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DDDB15">
      <w:pPr>
        <w:spacing w:before="0" w:after="0" w:line="240" w:lineRule="auto"/>
        <w:ind w:firstLine="0"/>
        <w:jc w:val="center"/>
        <w:outlineLvl w:val="0"/>
      </w:pPr>
      <w:r>
        <w:rPr>
          <w:rFonts w:ascii="黑体" w:hAnsi="黑体" w:eastAsia="黑体" w:cs="黑体"/>
          <w:b/>
          <w:color w:val="000000"/>
          <w:sz w:val="44"/>
        </w:rPr>
        <w:t>2026年单位预算信息公开目录</w:t>
      </w:r>
    </w:p>
    <w:p w14:paraId="21893ABE">
      <w:pPr>
        <w:spacing w:before="0" w:after="0" w:line="240" w:lineRule="auto"/>
        <w:ind w:firstLine="0"/>
        <w:jc w:val="center"/>
        <w:outlineLvl w:val="9"/>
      </w:pPr>
      <w:r>
        <w:rPr>
          <w:rFonts w:ascii="黑体" w:hAnsi="黑体" w:eastAsia="黑体" w:cs="黑体"/>
          <w:b/>
          <w:color w:val="000000"/>
          <w:sz w:val="30"/>
        </w:rPr>
        <w:t xml:space="preserve"> </w:t>
      </w:r>
    </w:p>
    <w:p w14:paraId="46C90AD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一、隆尧县教育局本级收支预算</w:t>
      </w:r>
      <w:r>
        <w:tab/>
      </w:r>
      <w:r>
        <w:fldChar w:fldCharType="begin"/>
      </w:r>
      <w:r>
        <w:instrText xml:space="preserve">PAGEREF _Toc_4_4_0000000001 \h</w:instrText>
      </w:r>
      <w:r>
        <w:fldChar w:fldCharType="separate"/>
      </w:r>
      <w:r>
        <w:t>1</w:t>
      </w:r>
      <w:r>
        <w:fldChar w:fldCharType="end"/>
      </w:r>
      <w:r>
        <w:fldChar w:fldCharType="end"/>
      </w:r>
    </w:p>
    <w:p w14:paraId="7F60EED9">
      <w:pPr>
        <w:pStyle w:val="2"/>
        <w:tabs>
          <w:tab w:val="right" w:leader="dot" w:pos="14562"/>
        </w:tabs>
      </w:pPr>
      <w:r>
        <w:fldChar w:fldCharType="begin"/>
      </w:r>
      <w:r>
        <w:instrText xml:space="preserve">HYPERLINK \l _Toc_4_4_0000000002</w:instrText>
      </w:r>
      <w:r>
        <w:fldChar w:fldCharType="separate"/>
      </w:r>
      <w:r>
        <w:rPr>
          <w:b w:val="0"/>
        </w:rPr>
        <w:t>二、河北隆尧第一中学收支预算</w:t>
      </w:r>
      <w:r>
        <w:tab/>
      </w:r>
      <w:r>
        <w:fldChar w:fldCharType="begin"/>
      </w:r>
      <w:r>
        <w:instrText xml:space="preserve">PAGEREF _Toc_4_4_0000000002 \h</w:instrText>
      </w:r>
      <w:r>
        <w:fldChar w:fldCharType="separate"/>
      </w:r>
      <w:r>
        <w:t>95</w:t>
      </w:r>
      <w:r>
        <w:fldChar w:fldCharType="end"/>
      </w:r>
      <w:r>
        <w:fldChar w:fldCharType="end"/>
      </w:r>
    </w:p>
    <w:p w14:paraId="4732AF6A">
      <w:pPr>
        <w:pStyle w:val="2"/>
        <w:tabs>
          <w:tab w:val="right" w:leader="dot" w:pos="14562"/>
        </w:tabs>
      </w:pPr>
      <w:r>
        <w:fldChar w:fldCharType="begin"/>
      </w:r>
      <w:r>
        <w:instrText xml:space="preserve">HYPERLINK \l _Toc_4_4_0000000003</w:instrText>
      </w:r>
      <w:r>
        <w:fldChar w:fldCharType="separate"/>
      </w:r>
      <w:r>
        <w:rPr>
          <w:b w:val="0"/>
        </w:rPr>
        <w:t>三、隆尧县尧山中学收支预算</w:t>
      </w:r>
      <w:r>
        <w:tab/>
      </w:r>
      <w:r>
        <w:fldChar w:fldCharType="begin"/>
      </w:r>
      <w:r>
        <w:instrText xml:space="preserve">PAGEREF _Toc_4_4_0000000003 \h</w:instrText>
      </w:r>
      <w:r>
        <w:fldChar w:fldCharType="separate"/>
      </w:r>
      <w:r>
        <w:t>146</w:t>
      </w:r>
      <w:r>
        <w:fldChar w:fldCharType="end"/>
      </w:r>
      <w:r>
        <w:fldChar w:fldCharType="end"/>
      </w:r>
    </w:p>
    <w:p w14:paraId="5D2ABA70">
      <w:pPr>
        <w:pStyle w:val="2"/>
        <w:tabs>
          <w:tab w:val="right" w:leader="dot" w:pos="14562"/>
        </w:tabs>
      </w:pPr>
      <w:r>
        <w:fldChar w:fldCharType="begin"/>
      </w:r>
      <w:r>
        <w:instrText xml:space="preserve">HYPERLINK \l _Toc_4_4_0000000004</w:instrText>
      </w:r>
      <w:r>
        <w:fldChar w:fldCharType="separate"/>
      </w:r>
      <w:r>
        <w:rPr>
          <w:b w:val="0"/>
        </w:rPr>
        <w:t>四、隆尧县尹村中学收支预算</w:t>
      </w:r>
      <w:r>
        <w:tab/>
      </w:r>
      <w:r>
        <w:fldChar w:fldCharType="begin"/>
      </w:r>
      <w:r>
        <w:instrText xml:space="preserve">PAGEREF _Toc_4_4_0000000004 \h</w:instrText>
      </w:r>
      <w:r>
        <w:fldChar w:fldCharType="separate"/>
      </w:r>
      <w:r>
        <w:t>177</w:t>
      </w:r>
      <w:r>
        <w:fldChar w:fldCharType="end"/>
      </w:r>
      <w:r>
        <w:fldChar w:fldCharType="end"/>
      </w:r>
    </w:p>
    <w:p w14:paraId="18BB927F">
      <w:pPr>
        <w:pStyle w:val="2"/>
        <w:tabs>
          <w:tab w:val="right" w:leader="dot" w:pos="14562"/>
        </w:tabs>
      </w:pPr>
      <w:r>
        <w:fldChar w:fldCharType="begin"/>
      </w:r>
      <w:r>
        <w:instrText xml:space="preserve">HYPERLINK \l _Toc_4_4_0000000005</w:instrText>
      </w:r>
      <w:r>
        <w:fldChar w:fldCharType="separate"/>
      </w:r>
      <w:r>
        <w:rPr>
          <w:b w:val="0"/>
        </w:rPr>
        <w:t>五、隆尧县东良中学收支预算</w:t>
      </w:r>
      <w:r>
        <w:tab/>
      </w:r>
      <w:r>
        <w:fldChar w:fldCharType="begin"/>
      </w:r>
      <w:r>
        <w:instrText xml:space="preserve">PAGEREF _Toc_4_4_0000000005 \h</w:instrText>
      </w:r>
      <w:r>
        <w:fldChar w:fldCharType="separate"/>
      </w:r>
      <w:r>
        <w:t>202</w:t>
      </w:r>
      <w:r>
        <w:fldChar w:fldCharType="end"/>
      </w:r>
      <w:r>
        <w:fldChar w:fldCharType="end"/>
      </w:r>
    </w:p>
    <w:p w14:paraId="410212A2">
      <w:pPr>
        <w:pStyle w:val="2"/>
        <w:tabs>
          <w:tab w:val="right" w:leader="dot" w:pos="14562"/>
        </w:tabs>
      </w:pPr>
      <w:r>
        <w:fldChar w:fldCharType="begin"/>
      </w:r>
      <w:r>
        <w:instrText xml:space="preserve">HYPERLINK \l _Toc_4_4_0000000006</w:instrText>
      </w:r>
      <w:r>
        <w:fldChar w:fldCharType="separate"/>
      </w:r>
      <w:r>
        <w:rPr>
          <w:b w:val="0"/>
        </w:rPr>
        <w:t>六、隆尧县魏家庄中学收支预算</w:t>
      </w:r>
      <w:r>
        <w:tab/>
      </w:r>
      <w:r>
        <w:fldChar w:fldCharType="begin"/>
      </w:r>
      <w:r>
        <w:instrText xml:space="preserve">PAGEREF _Toc_4_4_0000000006 \h</w:instrText>
      </w:r>
      <w:r>
        <w:fldChar w:fldCharType="separate"/>
      </w:r>
      <w:r>
        <w:t>226</w:t>
      </w:r>
      <w:r>
        <w:fldChar w:fldCharType="end"/>
      </w:r>
      <w:r>
        <w:fldChar w:fldCharType="end"/>
      </w:r>
    </w:p>
    <w:p w14:paraId="0E73A251">
      <w:pPr>
        <w:pStyle w:val="2"/>
        <w:tabs>
          <w:tab w:val="right" w:leader="dot" w:pos="14562"/>
        </w:tabs>
      </w:pPr>
      <w:r>
        <w:fldChar w:fldCharType="begin"/>
      </w:r>
      <w:r>
        <w:instrText xml:space="preserve">HYPERLINK \l _Toc_4_4_0000000007</w:instrText>
      </w:r>
      <w:r>
        <w:fldChar w:fldCharType="separate"/>
      </w:r>
      <w:r>
        <w:rPr>
          <w:b w:val="0"/>
        </w:rPr>
        <w:t>七、隆尧县牛家桥中学收支预算</w:t>
      </w:r>
      <w:r>
        <w:tab/>
      </w:r>
      <w:r>
        <w:fldChar w:fldCharType="begin"/>
      </w:r>
      <w:r>
        <w:instrText xml:space="preserve">PAGEREF _Toc_4_4_0000000007 \h</w:instrText>
      </w:r>
      <w:r>
        <w:fldChar w:fldCharType="separate"/>
      </w:r>
      <w:r>
        <w:t>248</w:t>
      </w:r>
      <w:r>
        <w:fldChar w:fldCharType="end"/>
      </w:r>
      <w:r>
        <w:fldChar w:fldCharType="end"/>
      </w:r>
    </w:p>
    <w:p w14:paraId="0AC15F06">
      <w:pPr>
        <w:pStyle w:val="2"/>
        <w:tabs>
          <w:tab w:val="right" w:leader="dot" w:pos="14562"/>
        </w:tabs>
      </w:pPr>
      <w:r>
        <w:fldChar w:fldCharType="begin"/>
      </w:r>
      <w:r>
        <w:instrText xml:space="preserve">HYPERLINK \l _Toc_4_4_0000000008</w:instrText>
      </w:r>
      <w:r>
        <w:fldChar w:fldCharType="separate"/>
      </w:r>
      <w:r>
        <w:rPr>
          <w:b w:val="0"/>
        </w:rPr>
        <w:t>八、河北省隆尧县滏阳中学收支预算</w:t>
      </w:r>
      <w:r>
        <w:tab/>
      </w:r>
      <w:r>
        <w:fldChar w:fldCharType="begin"/>
      </w:r>
      <w:r>
        <w:instrText xml:space="preserve">PAGEREF _Toc_4_4_0000000008 \h</w:instrText>
      </w:r>
      <w:r>
        <w:fldChar w:fldCharType="separate"/>
      </w:r>
      <w:r>
        <w:t>269</w:t>
      </w:r>
      <w:r>
        <w:fldChar w:fldCharType="end"/>
      </w:r>
      <w:r>
        <w:fldChar w:fldCharType="end"/>
      </w:r>
    </w:p>
    <w:p w14:paraId="6DC7CD21">
      <w:pPr>
        <w:pStyle w:val="2"/>
        <w:tabs>
          <w:tab w:val="right" w:leader="dot" w:pos="14562"/>
        </w:tabs>
      </w:pPr>
      <w:r>
        <w:fldChar w:fldCharType="begin"/>
      </w:r>
      <w:r>
        <w:instrText xml:space="preserve">HYPERLINK \l _Toc_4_4_0000000009</w:instrText>
      </w:r>
      <w:r>
        <w:fldChar w:fldCharType="separate"/>
      </w:r>
      <w:r>
        <w:rPr>
          <w:b w:val="0"/>
        </w:rPr>
        <w:t>九、隆尧县固城中学收支预算</w:t>
      </w:r>
      <w:r>
        <w:tab/>
      </w:r>
      <w:r>
        <w:fldChar w:fldCharType="begin"/>
      </w:r>
      <w:r>
        <w:instrText xml:space="preserve">PAGEREF _Toc_4_4_0000000009 \h</w:instrText>
      </w:r>
      <w:r>
        <w:fldChar w:fldCharType="separate"/>
      </w:r>
      <w:r>
        <w:t>295</w:t>
      </w:r>
      <w:r>
        <w:fldChar w:fldCharType="end"/>
      </w:r>
      <w:r>
        <w:fldChar w:fldCharType="end"/>
      </w:r>
    </w:p>
    <w:p w14:paraId="281CE468">
      <w:pPr>
        <w:pStyle w:val="2"/>
        <w:tabs>
          <w:tab w:val="right" w:leader="dot" w:pos="14562"/>
        </w:tabs>
      </w:pPr>
      <w:r>
        <w:fldChar w:fldCharType="begin"/>
      </w:r>
      <w:r>
        <w:instrText xml:space="preserve">HYPERLINK \l _Toc_4_4_0000000010</w:instrText>
      </w:r>
      <w:r>
        <w:fldChar w:fldCharType="separate"/>
      </w:r>
      <w:r>
        <w:rPr>
          <w:b w:val="0"/>
        </w:rPr>
        <w:t>十、河北省隆尧县实验中学收支预算</w:t>
      </w:r>
      <w:r>
        <w:tab/>
      </w:r>
      <w:r>
        <w:fldChar w:fldCharType="begin"/>
      </w:r>
      <w:r>
        <w:instrText xml:space="preserve">PAGEREF _Toc_4_4_0000000010 \h</w:instrText>
      </w:r>
      <w:r>
        <w:fldChar w:fldCharType="separate"/>
      </w:r>
      <w:r>
        <w:t>322</w:t>
      </w:r>
      <w:r>
        <w:fldChar w:fldCharType="end"/>
      </w:r>
      <w:r>
        <w:fldChar w:fldCharType="end"/>
      </w:r>
    </w:p>
    <w:p w14:paraId="7B1A12C0">
      <w:pPr>
        <w:pStyle w:val="2"/>
        <w:tabs>
          <w:tab w:val="right" w:leader="dot" w:pos="14562"/>
        </w:tabs>
      </w:pPr>
      <w:r>
        <w:fldChar w:fldCharType="begin"/>
      </w:r>
      <w:r>
        <w:instrText xml:space="preserve">HYPERLINK \l _Toc_4_4_0000000011</w:instrText>
      </w:r>
      <w:r>
        <w:fldChar w:fldCharType="separate"/>
      </w:r>
      <w:r>
        <w:rPr>
          <w:b w:val="0"/>
        </w:rPr>
        <w:t>十一、隆尧县特殊教育学校收支预算</w:t>
      </w:r>
      <w:r>
        <w:tab/>
      </w:r>
      <w:r>
        <w:fldChar w:fldCharType="begin"/>
      </w:r>
      <w:r>
        <w:instrText xml:space="preserve">PAGEREF _Toc_4_4_0000000011 \h</w:instrText>
      </w:r>
      <w:r>
        <w:fldChar w:fldCharType="separate"/>
      </w:r>
      <w:r>
        <w:t>349</w:t>
      </w:r>
      <w:r>
        <w:fldChar w:fldCharType="end"/>
      </w:r>
      <w:r>
        <w:fldChar w:fldCharType="end"/>
      </w:r>
    </w:p>
    <w:p w14:paraId="68C4EB6A">
      <w:pPr>
        <w:pStyle w:val="2"/>
        <w:tabs>
          <w:tab w:val="right" w:leader="dot" w:pos="14562"/>
        </w:tabs>
      </w:pPr>
      <w:r>
        <w:fldChar w:fldCharType="begin"/>
      </w:r>
      <w:r>
        <w:instrText xml:space="preserve">HYPERLINK \l _Toc_4_4_0000000012</w:instrText>
      </w:r>
      <w:r>
        <w:fldChar w:fldCharType="separate"/>
      </w:r>
      <w:r>
        <w:rPr>
          <w:b w:val="0"/>
        </w:rPr>
        <w:t>十二、隆尧县实验小学收支预算</w:t>
      </w:r>
      <w:r>
        <w:tab/>
      </w:r>
      <w:r>
        <w:fldChar w:fldCharType="begin"/>
      </w:r>
      <w:r>
        <w:instrText xml:space="preserve">PAGEREF _Toc_4_4_0000000012 \h</w:instrText>
      </w:r>
      <w:r>
        <w:fldChar w:fldCharType="separate"/>
      </w:r>
      <w:r>
        <w:t>373</w:t>
      </w:r>
      <w:r>
        <w:fldChar w:fldCharType="end"/>
      </w:r>
      <w:r>
        <w:fldChar w:fldCharType="end"/>
      </w:r>
    </w:p>
    <w:p w14:paraId="6AA27F96">
      <w:pPr>
        <w:pStyle w:val="2"/>
        <w:tabs>
          <w:tab w:val="right" w:leader="dot" w:pos="14562"/>
        </w:tabs>
      </w:pPr>
      <w:r>
        <w:fldChar w:fldCharType="begin"/>
      </w:r>
      <w:r>
        <w:instrText xml:space="preserve">HYPERLINK \l _Toc_4_4_0000000013</w:instrText>
      </w:r>
      <w:r>
        <w:fldChar w:fldCharType="separate"/>
      </w:r>
      <w:r>
        <w:rPr>
          <w:b w:val="0"/>
        </w:rPr>
        <w:t>十三、隆尧县县直幼儿园收支预算</w:t>
      </w:r>
      <w:r>
        <w:tab/>
      </w:r>
      <w:r>
        <w:fldChar w:fldCharType="begin"/>
      </w:r>
      <w:r>
        <w:instrText xml:space="preserve">PAGEREF _Toc_4_4_0000000013 \h</w:instrText>
      </w:r>
      <w:r>
        <w:fldChar w:fldCharType="separate"/>
      </w:r>
      <w:r>
        <w:t>397</w:t>
      </w:r>
      <w:r>
        <w:fldChar w:fldCharType="end"/>
      </w:r>
      <w:r>
        <w:fldChar w:fldCharType="end"/>
      </w:r>
    </w:p>
    <w:p w14:paraId="5743540F">
      <w:pPr>
        <w:pStyle w:val="2"/>
        <w:tabs>
          <w:tab w:val="right" w:leader="dot" w:pos="14562"/>
        </w:tabs>
      </w:pPr>
      <w:r>
        <w:fldChar w:fldCharType="begin"/>
      </w:r>
      <w:r>
        <w:instrText xml:space="preserve">HYPERLINK \l _Toc_4_4_0000000014</w:instrText>
      </w:r>
      <w:r>
        <w:fldChar w:fldCharType="separate"/>
      </w:r>
      <w:r>
        <w:rPr>
          <w:b w:val="0"/>
        </w:rPr>
        <w:t>十四、隆尧县职业技术教育中心收支预算</w:t>
      </w:r>
      <w:r>
        <w:tab/>
      </w:r>
      <w:r>
        <w:fldChar w:fldCharType="begin"/>
      </w:r>
      <w:r>
        <w:instrText xml:space="preserve">PAGEREF _Toc_4_4_0000000014 \h</w:instrText>
      </w:r>
      <w:r>
        <w:fldChar w:fldCharType="separate"/>
      </w:r>
      <w:r>
        <w:t>427</w:t>
      </w:r>
      <w:r>
        <w:fldChar w:fldCharType="end"/>
      </w:r>
      <w:r>
        <w:fldChar w:fldCharType="end"/>
      </w:r>
    </w:p>
    <w:p w14:paraId="734E50B7">
      <w:pPr>
        <w:pStyle w:val="2"/>
        <w:tabs>
          <w:tab w:val="right" w:leader="dot" w:pos="14562"/>
        </w:tabs>
      </w:pPr>
      <w:r>
        <w:fldChar w:fldCharType="begin"/>
      </w:r>
      <w:r>
        <w:instrText xml:space="preserve">HYPERLINK \l _Toc_4_4_0000000015</w:instrText>
      </w:r>
      <w:r>
        <w:fldChar w:fldCharType="separate"/>
      </w:r>
      <w:r>
        <w:rPr>
          <w:b w:val="0"/>
        </w:rPr>
        <w:t>十五、隆尧县城关校区收支预算</w:t>
      </w:r>
      <w:r>
        <w:tab/>
      </w:r>
      <w:r>
        <w:fldChar w:fldCharType="begin"/>
      </w:r>
      <w:r>
        <w:instrText xml:space="preserve">PAGEREF _Toc_4_4_0000000015 \h</w:instrText>
      </w:r>
      <w:r>
        <w:fldChar w:fldCharType="separate"/>
      </w:r>
      <w:r>
        <w:t>488</w:t>
      </w:r>
      <w:r>
        <w:fldChar w:fldCharType="end"/>
      </w:r>
      <w:r>
        <w:fldChar w:fldCharType="end"/>
      </w:r>
    </w:p>
    <w:p w14:paraId="509830F1">
      <w:pPr>
        <w:pStyle w:val="2"/>
        <w:tabs>
          <w:tab w:val="right" w:leader="dot" w:pos="14562"/>
        </w:tabs>
      </w:pPr>
      <w:r>
        <w:fldChar w:fldCharType="begin"/>
      </w:r>
      <w:r>
        <w:instrText xml:space="preserve">HYPERLINK \l _Toc_4_4_0000000016</w:instrText>
      </w:r>
      <w:r>
        <w:fldChar w:fldCharType="separate"/>
      </w:r>
      <w:r>
        <w:rPr>
          <w:b w:val="0"/>
        </w:rPr>
        <w:t>十六、隆尧县魏庄校区收支预算</w:t>
      </w:r>
      <w:r>
        <w:tab/>
      </w:r>
      <w:r>
        <w:fldChar w:fldCharType="begin"/>
      </w:r>
      <w:r>
        <w:instrText xml:space="preserve">PAGEREF _Toc_4_4_0000000016 \h</w:instrText>
      </w:r>
      <w:r>
        <w:fldChar w:fldCharType="separate"/>
      </w:r>
      <w:r>
        <w:t>562</w:t>
      </w:r>
      <w:r>
        <w:fldChar w:fldCharType="end"/>
      </w:r>
      <w:r>
        <w:fldChar w:fldCharType="end"/>
      </w:r>
    </w:p>
    <w:p w14:paraId="6FB13895">
      <w:pPr>
        <w:pStyle w:val="2"/>
        <w:tabs>
          <w:tab w:val="right" w:leader="dot" w:pos="14562"/>
        </w:tabs>
      </w:pPr>
      <w:r>
        <w:fldChar w:fldCharType="begin"/>
      </w:r>
      <w:r>
        <w:instrText xml:space="preserve">HYPERLINK \l _Toc_4_4_0000000017</w:instrText>
      </w:r>
      <w:r>
        <w:fldChar w:fldCharType="separate"/>
      </w:r>
      <w:r>
        <w:rPr>
          <w:b w:val="0"/>
        </w:rPr>
        <w:t>十七、隆尧县北楼校区收支预算</w:t>
      </w:r>
      <w:r>
        <w:tab/>
      </w:r>
      <w:r>
        <w:fldChar w:fldCharType="begin"/>
      </w:r>
      <w:r>
        <w:instrText xml:space="preserve">PAGEREF _Toc_4_4_0000000017 \h</w:instrText>
      </w:r>
      <w:r>
        <w:fldChar w:fldCharType="separate"/>
      </w:r>
      <w:r>
        <w:t>608</w:t>
      </w:r>
      <w:r>
        <w:fldChar w:fldCharType="end"/>
      </w:r>
      <w:r>
        <w:fldChar w:fldCharType="end"/>
      </w:r>
    </w:p>
    <w:p w14:paraId="3C8A663C">
      <w:pPr>
        <w:pStyle w:val="2"/>
        <w:tabs>
          <w:tab w:val="right" w:leader="dot" w:pos="14562"/>
        </w:tabs>
      </w:pPr>
      <w:r>
        <w:fldChar w:fldCharType="begin"/>
      </w:r>
      <w:r>
        <w:instrText xml:space="preserve">HYPERLINK \l _Toc_4_4_0000000018</w:instrText>
      </w:r>
      <w:r>
        <w:fldChar w:fldCharType="separate"/>
      </w:r>
      <w:r>
        <w:rPr>
          <w:b w:val="0"/>
        </w:rPr>
        <w:t>十八、隆尧县东良校区收支预算</w:t>
      </w:r>
      <w:r>
        <w:tab/>
      </w:r>
      <w:r>
        <w:fldChar w:fldCharType="begin"/>
      </w:r>
      <w:r>
        <w:instrText xml:space="preserve">PAGEREF _Toc_4_4_0000000018 \h</w:instrText>
      </w:r>
      <w:r>
        <w:fldChar w:fldCharType="separate"/>
      </w:r>
      <w:r>
        <w:t>660</w:t>
      </w:r>
      <w:r>
        <w:fldChar w:fldCharType="end"/>
      </w:r>
      <w:r>
        <w:fldChar w:fldCharType="end"/>
      </w:r>
    </w:p>
    <w:p w14:paraId="0BD7585A">
      <w:pPr>
        <w:pStyle w:val="2"/>
        <w:tabs>
          <w:tab w:val="right" w:leader="dot" w:pos="14562"/>
        </w:tabs>
      </w:pPr>
      <w:r>
        <w:fldChar w:fldCharType="begin"/>
      </w:r>
      <w:r>
        <w:instrText xml:space="preserve">HYPERLINK \l _Toc_4_4_0000000019</w:instrText>
      </w:r>
      <w:r>
        <w:fldChar w:fldCharType="separate"/>
      </w:r>
      <w:r>
        <w:rPr>
          <w:b w:val="0"/>
        </w:rPr>
        <w:t>十九、隆尧县双碑校区收支预算</w:t>
      </w:r>
      <w:r>
        <w:tab/>
      </w:r>
      <w:r>
        <w:fldChar w:fldCharType="begin"/>
      </w:r>
      <w:r>
        <w:instrText xml:space="preserve">PAGEREF _Toc_4_4_0000000019 \h</w:instrText>
      </w:r>
      <w:r>
        <w:fldChar w:fldCharType="separate"/>
      </w:r>
      <w:r>
        <w:t>744</w:t>
      </w:r>
      <w:r>
        <w:fldChar w:fldCharType="end"/>
      </w:r>
      <w:r>
        <w:fldChar w:fldCharType="end"/>
      </w:r>
    </w:p>
    <w:p w14:paraId="5492D225">
      <w:pPr>
        <w:pStyle w:val="2"/>
        <w:tabs>
          <w:tab w:val="right" w:leader="dot" w:pos="14562"/>
        </w:tabs>
      </w:pPr>
      <w:r>
        <w:fldChar w:fldCharType="begin"/>
      </w:r>
      <w:r>
        <w:instrText xml:space="preserve">HYPERLINK \l _Toc_4_4_0000000020</w:instrText>
      </w:r>
      <w:r>
        <w:fldChar w:fldCharType="separate"/>
      </w:r>
      <w:r>
        <w:rPr>
          <w:b w:val="0"/>
        </w:rPr>
        <w:t>二十、隆尧县山口校区收支预算</w:t>
      </w:r>
      <w:r>
        <w:tab/>
      </w:r>
      <w:r>
        <w:fldChar w:fldCharType="begin"/>
      </w:r>
      <w:r>
        <w:instrText xml:space="preserve">PAGEREF _Toc_4_4_0000000020 \h</w:instrText>
      </w:r>
      <w:r>
        <w:fldChar w:fldCharType="separate"/>
      </w:r>
      <w:r>
        <w:t>816</w:t>
      </w:r>
      <w:r>
        <w:fldChar w:fldCharType="end"/>
      </w:r>
      <w:r>
        <w:fldChar w:fldCharType="end"/>
      </w:r>
    </w:p>
    <w:p w14:paraId="27075F6C">
      <w:pPr>
        <w:pStyle w:val="2"/>
        <w:tabs>
          <w:tab w:val="right" w:leader="dot" w:pos="14562"/>
        </w:tabs>
      </w:pPr>
      <w:r>
        <w:fldChar w:fldCharType="begin"/>
      </w:r>
      <w:r>
        <w:instrText xml:space="preserve">HYPERLINK \l _Toc_4_4_0000000021</w:instrText>
      </w:r>
      <w:r>
        <w:fldChar w:fldCharType="separate"/>
      </w:r>
      <w:r>
        <w:rPr>
          <w:b w:val="0"/>
        </w:rPr>
        <w:t>二十一、隆尧县尹村校区收支预算</w:t>
      </w:r>
      <w:r>
        <w:tab/>
      </w:r>
      <w:r>
        <w:fldChar w:fldCharType="begin"/>
      </w:r>
      <w:r>
        <w:instrText xml:space="preserve">PAGEREF _Toc_4_4_0000000021 \h</w:instrText>
      </w:r>
      <w:r>
        <w:fldChar w:fldCharType="separate"/>
      </w:r>
      <w:r>
        <w:t>879</w:t>
      </w:r>
      <w:r>
        <w:fldChar w:fldCharType="end"/>
      </w:r>
      <w:r>
        <w:fldChar w:fldCharType="end"/>
      </w:r>
    </w:p>
    <w:p w14:paraId="2B903F9A">
      <w:pPr>
        <w:pStyle w:val="2"/>
        <w:tabs>
          <w:tab w:val="right" w:leader="dot" w:pos="14562"/>
        </w:tabs>
      </w:pPr>
      <w:r>
        <w:fldChar w:fldCharType="begin"/>
      </w:r>
      <w:r>
        <w:instrText xml:space="preserve">HYPERLINK \l _Toc_4_4_0000000022</w:instrText>
      </w:r>
      <w:r>
        <w:fldChar w:fldCharType="separate"/>
      </w:r>
      <w:r>
        <w:rPr>
          <w:b w:val="0"/>
        </w:rPr>
        <w:t>二十二、隆尧县固城校区收支预算</w:t>
      </w:r>
      <w:r>
        <w:tab/>
      </w:r>
      <w:r>
        <w:fldChar w:fldCharType="begin"/>
      </w:r>
      <w:r>
        <w:instrText xml:space="preserve">PAGEREF _Toc_4_4_0000000022 \h</w:instrText>
      </w:r>
      <w:r>
        <w:fldChar w:fldCharType="separate"/>
      </w:r>
      <w:r>
        <w:t>944</w:t>
      </w:r>
      <w:r>
        <w:fldChar w:fldCharType="end"/>
      </w:r>
      <w:r>
        <w:fldChar w:fldCharType="end"/>
      </w:r>
    </w:p>
    <w:p w14:paraId="68226CD2">
      <w:pPr>
        <w:pStyle w:val="2"/>
        <w:tabs>
          <w:tab w:val="right" w:leader="dot" w:pos="14562"/>
        </w:tabs>
      </w:pPr>
      <w:r>
        <w:fldChar w:fldCharType="begin"/>
      </w:r>
      <w:r>
        <w:instrText xml:space="preserve">HYPERLINK \l _Toc_4_4_0000000023</w:instrText>
      </w:r>
      <w:r>
        <w:fldChar w:fldCharType="separate"/>
      </w:r>
      <w:r>
        <w:rPr>
          <w:b w:val="0"/>
        </w:rPr>
        <w:t>二十三、隆尧县大张家庄校区收支预算</w:t>
      </w:r>
      <w:r>
        <w:tab/>
      </w:r>
      <w:r>
        <w:fldChar w:fldCharType="begin"/>
      </w:r>
      <w:r>
        <w:instrText xml:space="preserve">PAGEREF _Toc_4_4_0000000023 \h</w:instrText>
      </w:r>
      <w:r>
        <w:fldChar w:fldCharType="separate"/>
      </w:r>
      <w:r>
        <w:t>1010</w:t>
      </w:r>
      <w:r>
        <w:fldChar w:fldCharType="end"/>
      </w:r>
      <w:r>
        <w:fldChar w:fldCharType="end"/>
      </w:r>
    </w:p>
    <w:p w14:paraId="1494170F">
      <w:pPr>
        <w:pStyle w:val="2"/>
        <w:tabs>
          <w:tab w:val="right" w:leader="dot" w:pos="14562"/>
        </w:tabs>
      </w:pPr>
      <w:r>
        <w:fldChar w:fldCharType="begin"/>
      </w:r>
      <w:r>
        <w:instrText xml:space="preserve">HYPERLINK \l _Toc_4_4_0000000024</w:instrText>
      </w:r>
      <w:r>
        <w:fldChar w:fldCharType="separate"/>
      </w:r>
      <w:r>
        <w:rPr>
          <w:b w:val="0"/>
        </w:rPr>
        <w:t>二十四、隆尧县千户营校区收支预算</w:t>
      </w:r>
      <w:r>
        <w:tab/>
      </w:r>
      <w:r>
        <w:fldChar w:fldCharType="begin"/>
      </w:r>
      <w:r>
        <w:instrText xml:space="preserve">PAGEREF _Toc_4_4_0000000024 \h</w:instrText>
      </w:r>
      <w:r>
        <w:fldChar w:fldCharType="separate"/>
      </w:r>
      <w:r>
        <w:t>1075</w:t>
      </w:r>
      <w:r>
        <w:fldChar w:fldCharType="end"/>
      </w:r>
      <w:r>
        <w:fldChar w:fldCharType="end"/>
      </w:r>
    </w:p>
    <w:p w14:paraId="48EB2223">
      <w:pPr>
        <w:pStyle w:val="2"/>
        <w:tabs>
          <w:tab w:val="right" w:leader="dot" w:pos="14562"/>
        </w:tabs>
      </w:pPr>
      <w:r>
        <w:fldChar w:fldCharType="begin"/>
      </w:r>
      <w:r>
        <w:instrText xml:space="preserve">HYPERLINK \l _Toc_4_4_0000000025</w:instrText>
      </w:r>
      <w:r>
        <w:fldChar w:fldCharType="separate"/>
      </w:r>
      <w:r>
        <w:rPr>
          <w:b w:val="0"/>
        </w:rPr>
        <w:t>二十五、隆尧县牛家桥校区收支预算</w:t>
      </w:r>
      <w:r>
        <w:tab/>
      </w:r>
      <w:r>
        <w:fldChar w:fldCharType="begin"/>
      </w:r>
      <w:r>
        <w:instrText xml:space="preserve">PAGEREF _Toc_4_4_0000000025 \h</w:instrText>
      </w:r>
      <w:r>
        <w:fldChar w:fldCharType="separate"/>
      </w:r>
      <w:r>
        <w:t>1137</w:t>
      </w:r>
      <w:r>
        <w:fldChar w:fldCharType="end"/>
      </w:r>
      <w:r>
        <w:fldChar w:fldCharType="end"/>
      </w:r>
    </w:p>
    <w:p w14:paraId="515E03C5">
      <w:pPr>
        <w:pStyle w:val="2"/>
        <w:tabs>
          <w:tab w:val="right" w:leader="dot" w:pos="14562"/>
        </w:tabs>
      </w:pPr>
      <w:r>
        <w:fldChar w:fldCharType="begin"/>
      </w:r>
      <w:r>
        <w:instrText xml:space="preserve">HYPERLINK \l _Toc_4_4_0000000026</w:instrText>
      </w:r>
      <w:r>
        <w:fldChar w:fldCharType="separate"/>
      </w:r>
      <w:r>
        <w:rPr>
          <w:b w:val="0"/>
        </w:rPr>
        <w:t>二十六、隆尧县莲子镇校区收支预算</w:t>
      </w:r>
      <w:r>
        <w:tab/>
      </w:r>
      <w:r>
        <w:fldChar w:fldCharType="begin"/>
      </w:r>
      <w:r>
        <w:instrText xml:space="preserve">PAGEREF _Toc_4_4_0000000026 \h</w:instrText>
      </w:r>
      <w:r>
        <w:fldChar w:fldCharType="separate"/>
      </w:r>
      <w:r>
        <w:t>1198</w:t>
      </w:r>
      <w:r>
        <w:fldChar w:fldCharType="end"/>
      </w:r>
      <w:r>
        <w:fldChar w:fldCharType="end"/>
      </w:r>
    </w:p>
    <w:p w14:paraId="484AF71C">
      <w:pPr>
        <w:pStyle w:val="2"/>
        <w:tabs>
          <w:tab w:val="right" w:leader="dot" w:pos="14562"/>
        </w:tabs>
      </w:pPr>
      <w:r>
        <w:fldChar w:fldCharType="begin"/>
      </w:r>
      <w:r>
        <w:instrText xml:space="preserve">HYPERLINK \l _Toc_4_4_0000000027</w:instrText>
      </w:r>
      <w:r>
        <w:fldChar w:fldCharType="separate"/>
      </w:r>
      <w:r>
        <w:rPr>
          <w:b w:val="0"/>
        </w:rPr>
        <w:t>二十七、隆尧县教师发展中心收支预算</w:t>
      </w:r>
      <w:r>
        <w:tab/>
      </w:r>
      <w:r>
        <w:fldChar w:fldCharType="begin"/>
      </w:r>
      <w:r>
        <w:instrText xml:space="preserve">PAGEREF _Toc_4_4_0000000027 \h</w:instrText>
      </w:r>
      <w:r>
        <w:fldChar w:fldCharType="separate"/>
      </w:r>
      <w:r>
        <w:t>1252</w:t>
      </w:r>
      <w:r>
        <w:fldChar w:fldCharType="end"/>
      </w:r>
      <w:r>
        <w:fldChar w:fldCharType="end"/>
      </w:r>
    </w:p>
    <w:p w14:paraId="67AF60C7">
      <w:pPr>
        <w:pStyle w:val="2"/>
        <w:tabs>
          <w:tab w:val="right" w:leader="dot" w:pos="14562"/>
        </w:tabs>
      </w:pPr>
      <w:r>
        <w:fldChar w:fldCharType="begin"/>
      </w:r>
      <w:r>
        <w:instrText xml:space="preserve">HYPERLINK \l _Toc_4_4_0000000028</w:instrText>
      </w:r>
      <w:r>
        <w:fldChar w:fldCharType="separate"/>
      </w:r>
      <w:r>
        <w:rPr>
          <w:b w:val="0"/>
        </w:rPr>
        <w:t>二十八、隆尧县实验幼儿园收支预算</w:t>
      </w:r>
      <w:r>
        <w:tab/>
      </w:r>
      <w:r>
        <w:fldChar w:fldCharType="begin"/>
      </w:r>
      <w:r>
        <w:instrText xml:space="preserve">PAGEREF _Toc_4_4_0000000028 \h</w:instrText>
      </w:r>
      <w:r>
        <w:fldChar w:fldCharType="separate"/>
      </w:r>
      <w:r>
        <w:t>1275</w:t>
      </w:r>
      <w:r>
        <w:fldChar w:fldCharType="end"/>
      </w:r>
      <w:r>
        <w:fldChar w:fldCharType="end"/>
      </w:r>
    </w:p>
    <w:p w14:paraId="4CE3C95D">
      <w:pPr>
        <w:pStyle w:val="2"/>
        <w:tabs>
          <w:tab w:val="right" w:leader="dot" w:pos="14562"/>
        </w:tabs>
      </w:pPr>
      <w:r>
        <w:fldChar w:fldCharType="begin"/>
      </w:r>
      <w:r>
        <w:instrText xml:space="preserve">HYPERLINK \l _Toc_4_4_0000000029</w:instrText>
      </w:r>
      <w:r>
        <w:fldChar w:fldCharType="separate"/>
      </w:r>
      <w:r>
        <w:rPr>
          <w:b w:val="0"/>
        </w:rPr>
        <w:t>二十九、隆尧县第二实验小学收支预算</w:t>
      </w:r>
      <w:r>
        <w:tab/>
      </w:r>
      <w:r>
        <w:fldChar w:fldCharType="begin"/>
      </w:r>
      <w:r>
        <w:instrText xml:space="preserve">PAGEREF _Toc_4_4_0000000029 \h</w:instrText>
      </w:r>
      <w:r>
        <w:fldChar w:fldCharType="separate"/>
      </w:r>
      <w:r>
        <w:t>1298</w:t>
      </w:r>
      <w:r>
        <w:fldChar w:fldCharType="end"/>
      </w:r>
      <w:r>
        <w:fldChar w:fldCharType="end"/>
      </w:r>
    </w:p>
    <w:p w14:paraId="451ADD8C">
      <w:pPr>
        <w:pStyle w:val="2"/>
        <w:tabs>
          <w:tab w:val="right" w:leader="dot" w:pos="14562"/>
        </w:tabs>
      </w:pPr>
      <w:r>
        <w:fldChar w:fldCharType="begin"/>
      </w:r>
      <w:r>
        <w:instrText xml:space="preserve">HYPERLINK \l _Toc_4_4_0000000030</w:instrText>
      </w:r>
      <w:r>
        <w:fldChar w:fldCharType="separate"/>
      </w:r>
      <w:r>
        <w:rPr>
          <w:b w:val="0"/>
        </w:rPr>
        <w:t>三十、隆尧县北楼中学收支预算</w:t>
      </w:r>
      <w:r>
        <w:tab/>
      </w:r>
      <w:r>
        <w:fldChar w:fldCharType="begin"/>
      </w:r>
      <w:r>
        <w:instrText xml:space="preserve">PAGEREF _Toc_4_4_0000000030 \h</w:instrText>
      </w:r>
      <w:r>
        <w:fldChar w:fldCharType="separate"/>
      </w:r>
      <w:r>
        <w:t>1323</w:t>
      </w:r>
      <w:r>
        <w:fldChar w:fldCharType="end"/>
      </w:r>
      <w:r>
        <w:fldChar w:fldCharType="end"/>
      </w:r>
    </w:p>
    <w:p w14:paraId="0C44B0A4">
      <w:pPr>
        <w:pStyle w:val="2"/>
        <w:tabs>
          <w:tab w:val="right" w:leader="dot" w:pos="14562"/>
        </w:tabs>
      </w:pPr>
      <w:r>
        <w:fldChar w:fldCharType="begin"/>
      </w:r>
      <w:r>
        <w:instrText xml:space="preserve">HYPERLINK \l _Toc_4_4_0000000031</w:instrText>
      </w:r>
      <w:r>
        <w:fldChar w:fldCharType="separate"/>
      </w:r>
      <w:r>
        <w:rPr>
          <w:b w:val="0"/>
        </w:rPr>
        <w:t>三十一、隆尧县双碑中学收支预算</w:t>
      </w:r>
      <w:r>
        <w:tab/>
      </w:r>
      <w:r>
        <w:fldChar w:fldCharType="begin"/>
      </w:r>
      <w:r>
        <w:instrText xml:space="preserve">PAGEREF _Toc_4_4_0000000031 \h</w:instrText>
      </w:r>
      <w:r>
        <w:fldChar w:fldCharType="separate"/>
      </w:r>
      <w:r>
        <w:t>1350</w:t>
      </w:r>
      <w:r>
        <w:fldChar w:fldCharType="end"/>
      </w:r>
      <w:r>
        <w:fldChar w:fldCharType="end"/>
      </w:r>
    </w:p>
    <w:p w14:paraId="57E2ADBE">
      <w:pPr>
        <w:pStyle w:val="2"/>
        <w:tabs>
          <w:tab w:val="right" w:leader="dot" w:pos="14562"/>
        </w:tabs>
      </w:pPr>
      <w:r>
        <w:fldChar w:fldCharType="begin"/>
      </w:r>
      <w:r>
        <w:instrText xml:space="preserve">HYPERLINK \l _Toc_4_4_0000000032</w:instrText>
      </w:r>
      <w:r>
        <w:fldChar w:fldCharType="separate"/>
      </w:r>
      <w:r>
        <w:rPr>
          <w:b w:val="0"/>
        </w:rPr>
        <w:t>三十二、隆尧县大张庄中学收支预算</w:t>
      </w:r>
      <w:r>
        <w:tab/>
      </w:r>
      <w:r>
        <w:fldChar w:fldCharType="begin"/>
      </w:r>
      <w:r>
        <w:instrText xml:space="preserve">PAGEREF _Toc_4_4_0000000032 \h</w:instrText>
      </w:r>
      <w:r>
        <w:fldChar w:fldCharType="separate"/>
      </w:r>
      <w:r>
        <w:t>1371</w:t>
      </w:r>
      <w:r>
        <w:fldChar w:fldCharType="end"/>
      </w:r>
      <w:r>
        <w:fldChar w:fldCharType="end"/>
      </w:r>
    </w:p>
    <w:p w14:paraId="36A533AC">
      <w:pPr>
        <w:pStyle w:val="2"/>
        <w:tabs>
          <w:tab w:val="right" w:leader="dot" w:pos="14562"/>
        </w:tabs>
      </w:pPr>
      <w:r>
        <w:fldChar w:fldCharType="begin"/>
      </w:r>
      <w:r>
        <w:instrText xml:space="preserve">HYPERLINK \l _Toc_4_4_0000000033</w:instrText>
      </w:r>
      <w:r>
        <w:fldChar w:fldCharType="separate"/>
      </w:r>
      <w:r>
        <w:rPr>
          <w:b w:val="0"/>
        </w:rPr>
        <w:t>三十三、隆尧县莲子中学收支预算</w:t>
      </w:r>
      <w:r>
        <w:tab/>
      </w:r>
      <w:r>
        <w:fldChar w:fldCharType="begin"/>
      </w:r>
      <w:r>
        <w:instrText xml:space="preserve">PAGEREF _Toc_4_4_0000000033 \h</w:instrText>
      </w:r>
      <w:r>
        <w:fldChar w:fldCharType="separate"/>
      </w:r>
      <w:r>
        <w:t>1395</w:t>
      </w:r>
      <w:r>
        <w:fldChar w:fldCharType="end"/>
      </w:r>
      <w:r>
        <w:fldChar w:fldCharType="end"/>
      </w:r>
    </w:p>
    <w:p w14:paraId="039C584B">
      <w:pPr>
        <w:pStyle w:val="2"/>
        <w:tabs>
          <w:tab w:val="right" w:leader="dot" w:pos="14562"/>
        </w:tabs>
      </w:pPr>
      <w:r>
        <w:fldChar w:fldCharType="begin"/>
      </w:r>
      <w:r>
        <w:instrText xml:space="preserve">HYPERLINK \l _Toc_4_4_0000000034</w:instrText>
      </w:r>
      <w:r>
        <w:fldChar w:fldCharType="separate"/>
      </w:r>
      <w:r>
        <w:rPr>
          <w:b w:val="0"/>
        </w:rPr>
        <w:t>三十四、隆尧县唐尧街幼儿园收支预算</w:t>
      </w:r>
      <w:r>
        <w:tab/>
      </w:r>
      <w:r>
        <w:fldChar w:fldCharType="begin"/>
      </w:r>
      <w:r>
        <w:instrText xml:space="preserve">PAGEREF _Toc_4_4_0000000034 \h</w:instrText>
      </w:r>
      <w:r>
        <w:fldChar w:fldCharType="separate"/>
      </w:r>
      <w:r>
        <w:t>1420</w:t>
      </w:r>
      <w:r>
        <w:fldChar w:fldCharType="end"/>
      </w:r>
      <w:r>
        <w:fldChar w:fldCharType="end"/>
      </w:r>
    </w:p>
    <w:p w14:paraId="5A2BE7B7">
      <w:pPr>
        <w:pStyle w:val="2"/>
        <w:tabs>
          <w:tab w:val="right" w:leader="dot" w:pos="14562"/>
        </w:tabs>
      </w:pPr>
      <w:r>
        <w:fldChar w:fldCharType="begin"/>
      </w:r>
      <w:r>
        <w:instrText xml:space="preserve">HYPERLINK \l _Toc_4_4_0000000035</w:instrText>
      </w:r>
      <w:r>
        <w:fldChar w:fldCharType="separate"/>
      </w:r>
      <w:r>
        <w:rPr>
          <w:b w:val="0"/>
        </w:rPr>
        <w:t>三十五、隆尧县青少年校外活动中心收支预算</w:t>
      </w:r>
      <w:r>
        <w:tab/>
      </w:r>
      <w:r>
        <w:fldChar w:fldCharType="begin"/>
      </w:r>
      <w:r>
        <w:instrText xml:space="preserve">PAGEREF _Toc_4_4_0000000035 \h</w:instrText>
      </w:r>
      <w:r>
        <w:fldChar w:fldCharType="separate"/>
      </w:r>
      <w:r>
        <w:t>1451</w:t>
      </w:r>
      <w:r>
        <w:fldChar w:fldCharType="end"/>
      </w:r>
      <w:r>
        <w:fldChar w:fldCharType="end"/>
      </w:r>
    </w:p>
    <w:p w14:paraId="72C0C5CA">
      <w:pPr>
        <w:pStyle w:val="2"/>
        <w:tabs>
          <w:tab w:val="right" w:leader="dot" w:pos="14562"/>
        </w:tabs>
      </w:pPr>
      <w:r>
        <w:fldChar w:fldCharType="begin"/>
      </w:r>
      <w:r>
        <w:instrText xml:space="preserve">HYPERLINK \l _Toc_4_4_0000000036</w:instrText>
      </w:r>
      <w:r>
        <w:fldChar w:fldCharType="separate"/>
      </w:r>
      <w:r>
        <w:rPr>
          <w:b w:val="0"/>
        </w:rPr>
        <w:t>三十六、隆尧县第三实验小学收支预算</w:t>
      </w:r>
      <w:r>
        <w:tab/>
      </w:r>
      <w:r>
        <w:fldChar w:fldCharType="begin"/>
      </w:r>
      <w:r>
        <w:instrText xml:space="preserve">PAGEREF _Toc_4_4_0000000036 \h</w:instrText>
      </w:r>
      <w:r>
        <w:fldChar w:fldCharType="separate"/>
      </w:r>
      <w:r>
        <w:t>1469</w:t>
      </w:r>
      <w:r>
        <w:fldChar w:fldCharType="end"/>
      </w:r>
      <w:r>
        <w:fldChar w:fldCharType="end"/>
      </w:r>
    </w:p>
    <w:p w14:paraId="0B8F9554">
      <w:pPr>
        <w:pStyle w:val="2"/>
        <w:tabs>
          <w:tab w:val="right" w:leader="dot" w:pos="14562"/>
        </w:tabs>
      </w:pPr>
      <w:r>
        <w:fldChar w:fldCharType="begin"/>
      </w:r>
      <w:r>
        <w:instrText xml:space="preserve">HYPERLINK \l _Toc_4_4_0000000037</w:instrText>
      </w:r>
      <w:r>
        <w:fldChar w:fldCharType="separate"/>
      </w:r>
      <w:r>
        <w:rPr>
          <w:b w:val="0"/>
        </w:rPr>
        <w:t>三十七、隆尧县第五实验小学收支预算</w:t>
      </w:r>
      <w:r>
        <w:tab/>
      </w:r>
      <w:r>
        <w:fldChar w:fldCharType="begin"/>
      </w:r>
      <w:r>
        <w:instrText xml:space="preserve">PAGEREF _Toc_4_4_0000000037 \h</w:instrText>
      </w:r>
      <w:r>
        <w:fldChar w:fldCharType="separate"/>
      </w:r>
      <w:r>
        <w:t>1493</w:t>
      </w:r>
      <w:r>
        <w:fldChar w:fldCharType="end"/>
      </w:r>
      <w:r>
        <w:fldChar w:fldCharType="end"/>
      </w:r>
    </w:p>
    <w:p w14:paraId="11BEAA69">
      <w:pPr>
        <w:pStyle w:val="2"/>
        <w:tabs>
          <w:tab w:val="right" w:leader="dot" w:pos="14562"/>
        </w:tabs>
      </w:pPr>
      <w:r>
        <w:fldChar w:fldCharType="begin"/>
      </w:r>
      <w:r>
        <w:instrText xml:space="preserve">HYPERLINK \l _Toc_4_4_0000000038</w:instrText>
      </w:r>
      <w:r>
        <w:fldChar w:fldCharType="separate"/>
      </w:r>
      <w:r>
        <w:rPr>
          <w:b w:val="0"/>
        </w:rPr>
        <w:t>三十八、隆尧县唐尧街小学收支预算</w:t>
      </w:r>
      <w:r>
        <w:tab/>
      </w:r>
      <w:r>
        <w:fldChar w:fldCharType="begin"/>
      </w:r>
      <w:r>
        <w:instrText xml:space="preserve">PAGEREF _Toc_4_4_0000000038 \h</w:instrText>
      </w:r>
      <w:r>
        <w:fldChar w:fldCharType="separate"/>
      </w:r>
      <w:r>
        <w:t>1513</w:t>
      </w:r>
      <w:r>
        <w:fldChar w:fldCharType="end"/>
      </w:r>
      <w:r>
        <w:fldChar w:fldCharType="end"/>
      </w:r>
    </w:p>
    <w:p w14:paraId="6E02C308">
      <w:pPr>
        <w:sectPr>
          <w:pgSz w:w="16840" w:h="11900" w:orient="landscape"/>
          <w:pgMar w:top="1587" w:right="1134" w:bottom="1361" w:left="1134" w:header="720" w:footer="720" w:gutter="0"/>
          <w:pgNumType w:start="1"/>
          <w:cols w:space="720" w:num="1"/>
        </w:sectPr>
      </w:pPr>
      <w:r>
        <w:fldChar w:fldCharType="end"/>
      </w:r>
    </w:p>
    <w:p w14:paraId="33AA924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一、隆尧县教育局本级收支预算</w:t>
      </w:r>
      <w:bookmarkEnd w:id="0"/>
    </w:p>
    <w:p w14:paraId="76CB9B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22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B65F52">
            <w:pPr>
              <w:pStyle w:val="9"/>
            </w:pPr>
            <w:r>
              <w:t>360001隆尧县教育局本级</w:t>
            </w:r>
          </w:p>
        </w:tc>
        <w:tc>
          <w:tcPr>
            <w:tcW w:w="2126" w:type="dxa"/>
            <w:tcBorders>
              <w:top w:val="single" w:color="FFFFFF" w:sz="6" w:space="0"/>
              <w:left w:val="single" w:color="FFFFFF" w:sz="6" w:space="0"/>
              <w:right w:val="single" w:color="FFFFFF" w:sz="6" w:space="0"/>
            </w:tcBorders>
            <w:vAlign w:val="center"/>
          </w:tcPr>
          <w:p w14:paraId="7628617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79C396C">
            <w:pPr>
              <w:pStyle w:val="7"/>
            </w:pPr>
            <w:r>
              <w:t>单位：万元</w:t>
            </w:r>
          </w:p>
        </w:tc>
      </w:tr>
      <w:tr w14:paraId="50E7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403F3">
            <w:pPr>
              <w:pStyle w:val="10"/>
            </w:pPr>
            <w:r>
              <w:t>序号</w:t>
            </w:r>
          </w:p>
        </w:tc>
        <w:tc>
          <w:tcPr>
            <w:tcW w:w="6661" w:type="dxa"/>
            <w:gridSpan w:val="2"/>
            <w:vAlign w:val="center"/>
          </w:tcPr>
          <w:p w14:paraId="3949C094">
            <w:pPr>
              <w:pStyle w:val="10"/>
            </w:pPr>
            <w:r>
              <w:t>收入</w:t>
            </w:r>
          </w:p>
        </w:tc>
        <w:tc>
          <w:tcPr>
            <w:tcW w:w="6661" w:type="dxa"/>
            <w:gridSpan w:val="2"/>
            <w:vAlign w:val="center"/>
          </w:tcPr>
          <w:p w14:paraId="6D67E8E1">
            <w:pPr>
              <w:pStyle w:val="10"/>
            </w:pPr>
            <w:r>
              <w:t>支出</w:t>
            </w:r>
          </w:p>
        </w:tc>
      </w:tr>
      <w:tr w14:paraId="742B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6161FE"/>
        </w:tc>
        <w:tc>
          <w:tcPr>
            <w:tcW w:w="4535" w:type="dxa"/>
            <w:vAlign w:val="center"/>
          </w:tcPr>
          <w:p w14:paraId="675AF5AD">
            <w:pPr>
              <w:pStyle w:val="10"/>
            </w:pPr>
            <w:r>
              <w:t>项  目</w:t>
            </w:r>
          </w:p>
        </w:tc>
        <w:tc>
          <w:tcPr>
            <w:tcW w:w="2126" w:type="dxa"/>
            <w:vAlign w:val="center"/>
          </w:tcPr>
          <w:p w14:paraId="16788445">
            <w:pPr>
              <w:pStyle w:val="10"/>
            </w:pPr>
            <w:r>
              <w:t>预算数</w:t>
            </w:r>
          </w:p>
        </w:tc>
        <w:tc>
          <w:tcPr>
            <w:tcW w:w="4535" w:type="dxa"/>
            <w:vAlign w:val="center"/>
          </w:tcPr>
          <w:p w14:paraId="0551A7D2">
            <w:pPr>
              <w:pStyle w:val="10"/>
            </w:pPr>
            <w:r>
              <w:t>项  目</w:t>
            </w:r>
          </w:p>
        </w:tc>
        <w:tc>
          <w:tcPr>
            <w:tcW w:w="2126" w:type="dxa"/>
            <w:vAlign w:val="center"/>
          </w:tcPr>
          <w:p w14:paraId="360E3317">
            <w:pPr>
              <w:pStyle w:val="10"/>
            </w:pPr>
            <w:r>
              <w:t>预算数</w:t>
            </w:r>
          </w:p>
        </w:tc>
      </w:tr>
      <w:tr w14:paraId="52D82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C01534">
            <w:pPr>
              <w:pStyle w:val="10"/>
            </w:pPr>
            <w:r>
              <w:t>栏次</w:t>
            </w:r>
          </w:p>
        </w:tc>
        <w:tc>
          <w:tcPr>
            <w:tcW w:w="4535" w:type="dxa"/>
            <w:vAlign w:val="center"/>
          </w:tcPr>
          <w:p w14:paraId="7DF31B76">
            <w:pPr>
              <w:pStyle w:val="10"/>
            </w:pPr>
            <w:r>
              <w:t>1</w:t>
            </w:r>
          </w:p>
        </w:tc>
        <w:tc>
          <w:tcPr>
            <w:tcW w:w="2126" w:type="dxa"/>
            <w:vAlign w:val="center"/>
          </w:tcPr>
          <w:p w14:paraId="3F0F4A73">
            <w:pPr>
              <w:pStyle w:val="10"/>
            </w:pPr>
            <w:r>
              <w:t>2</w:t>
            </w:r>
          </w:p>
        </w:tc>
        <w:tc>
          <w:tcPr>
            <w:tcW w:w="4535" w:type="dxa"/>
            <w:vAlign w:val="center"/>
          </w:tcPr>
          <w:p w14:paraId="00235D39">
            <w:pPr>
              <w:pStyle w:val="10"/>
            </w:pPr>
            <w:r>
              <w:t>3</w:t>
            </w:r>
          </w:p>
        </w:tc>
        <w:tc>
          <w:tcPr>
            <w:tcW w:w="2126" w:type="dxa"/>
            <w:vAlign w:val="center"/>
          </w:tcPr>
          <w:p w14:paraId="2ED33CD5">
            <w:pPr>
              <w:pStyle w:val="10"/>
            </w:pPr>
            <w:r>
              <w:t>4</w:t>
            </w:r>
          </w:p>
        </w:tc>
      </w:tr>
      <w:tr w14:paraId="4D29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4779B">
            <w:pPr>
              <w:pStyle w:val="13"/>
            </w:pPr>
            <w:r>
              <w:t>1</w:t>
            </w:r>
          </w:p>
        </w:tc>
        <w:tc>
          <w:tcPr>
            <w:tcW w:w="4535" w:type="dxa"/>
            <w:vAlign w:val="center"/>
          </w:tcPr>
          <w:p w14:paraId="463D1CED">
            <w:pPr>
              <w:pStyle w:val="12"/>
            </w:pPr>
            <w:r>
              <w:t>一、一般公共预算拨款收入</w:t>
            </w:r>
          </w:p>
        </w:tc>
        <w:tc>
          <w:tcPr>
            <w:tcW w:w="2126" w:type="dxa"/>
            <w:vAlign w:val="center"/>
          </w:tcPr>
          <w:p w14:paraId="7F48182A">
            <w:pPr>
              <w:pStyle w:val="11"/>
            </w:pPr>
            <w:r>
              <w:t>5852.30</w:t>
            </w:r>
          </w:p>
        </w:tc>
        <w:tc>
          <w:tcPr>
            <w:tcW w:w="4535" w:type="dxa"/>
            <w:vAlign w:val="center"/>
          </w:tcPr>
          <w:p w14:paraId="0E08AA09">
            <w:pPr>
              <w:pStyle w:val="12"/>
            </w:pPr>
            <w:r>
              <w:t>一、一般公共服务支出</w:t>
            </w:r>
          </w:p>
        </w:tc>
        <w:tc>
          <w:tcPr>
            <w:tcW w:w="2126" w:type="dxa"/>
            <w:vAlign w:val="center"/>
          </w:tcPr>
          <w:p w14:paraId="36D1BF25">
            <w:pPr>
              <w:pStyle w:val="11"/>
            </w:pPr>
          </w:p>
        </w:tc>
      </w:tr>
      <w:tr w14:paraId="7993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F8A3C">
            <w:pPr>
              <w:pStyle w:val="13"/>
            </w:pPr>
            <w:r>
              <w:t>2</w:t>
            </w:r>
          </w:p>
        </w:tc>
        <w:tc>
          <w:tcPr>
            <w:tcW w:w="4535" w:type="dxa"/>
            <w:vAlign w:val="center"/>
          </w:tcPr>
          <w:p w14:paraId="0010C7EE">
            <w:pPr>
              <w:pStyle w:val="12"/>
            </w:pPr>
            <w:r>
              <w:t>二、政府性基金预算拨款收入</w:t>
            </w:r>
          </w:p>
        </w:tc>
        <w:tc>
          <w:tcPr>
            <w:tcW w:w="2126" w:type="dxa"/>
            <w:vAlign w:val="center"/>
          </w:tcPr>
          <w:p w14:paraId="02F6CAA6">
            <w:pPr>
              <w:pStyle w:val="11"/>
            </w:pPr>
          </w:p>
        </w:tc>
        <w:tc>
          <w:tcPr>
            <w:tcW w:w="4535" w:type="dxa"/>
            <w:vAlign w:val="center"/>
          </w:tcPr>
          <w:p w14:paraId="193C1519">
            <w:pPr>
              <w:pStyle w:val="12"/>
            </w:pPr>
            <w:r>
              <w:t>二、外交支出</w:t>
            </w:r>
          </w:p>
        </w:tc>
        <w:tc>
          <w:tcPr>
            <w:tcW w:w="2126" w:type="dxa"/>
            <w:vAlign w:val="center"/>
          </w:tcPr>
          <w:p w14:paraId="19BB1F4A">
            <w:pPr>
              <w:pStyle w:val="11"/>
            </w:pPr>
          </w:p>
        </w:tc>
      </w:tr>
      <w:tr w14:paraId="3508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63A78">
            <w:pPr>
              <w:pStyle w:val="13"/>
            </w:pPr>
            <w:r>
              <w:t>3</w:t>
            </w:r>
          </w:p>
        </w:tc>
        <w:tc>
          <w:tcPr>
            <w:tcW w:w="4535" w:type="dxa"/>
            <w:vAlign w:val="center"/>
          </w:tcPr>
          <w:p w14:paraId="5D41DE86">
            <w:pPr>
              <w:pStyle w:val="12"/>
            </w:pPr>
            <w:r>
              <w:t>三、国有资本经营预算拨款收入</w:t>
            </w:r>
          </w:p>
        </w:tc>
        <w:tc>
          <w:tcPr>
            <w:tcW w:w="2126" w:type="dxa"/>
            <w:vAlign w:val="center"/>
          </w:tcPr>
          <w:p w14:paraId="204F0478">
            <w:pPr>
              <w:pStyle w:val="11"/>
            </w:pPr>
          </w:p>
        </w:tc>
        <w:tc>
          <w:tcPr>
            <w:tcW w:w="4535" w:type="dxa"/>
            <w:vAlign w:val="center"/>
          </w:tcPr>
          <w:p w14:paraId="126DDDD3">
            <w:pPr>
              <w:pStyle w:val="12"/>
            </w:pPr>
            <w:r>
              <w:t>三、国防支出</w:t>
            </w:r>
          </w:p>
        </w:tc>
        <w:tc>
          <w:tcPr>
            <w:tcW w:w="2126" w:type="dxa"/>
            <w:vAlign w:val="center"/>
          </w:tcPr>
          <w:p w14:paraId="6A455530">
            <w:pPr>
              <w:pStyle w:val="11"/>
            </w:pPr>
          </w:p>
        </w:tc>
      </w:tr>
      <w:tr w14:paraId="7F9D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A59FF">
            <w:pPr>
              <w:pStyle w:val="13"/>
            </w:pPr>
            <w:r>
              <w:t>4</w:t>
            </w:r>
          </w:p>
        </w:tc>
        <w:tc>
          <w:tcPr>
            <w:tcW w:w="4535" w:type="dxa"/>
            <w:vAlign w:val="center"/>
          </w:tcPr>
          <w:p w14:paraId="420A204A">
            <w:pPr>
              <w:pStyle w:val="12"/>
            </w:pPr>
            <w:r>
              <w:t>四、财政专户管理资金收入</w:t>
            </w:r>
          </w:p>
        </w:tc>
        <w:tc>
          <w:tcPr>
            <w:tcW w:w="2126" w:type="dxa"/>
            <w:vAlign w:val="center"/>
          </w:tcPr>
          <w:p w14:paraId="723AB6B8">
            <w:pPr>
              <w:pStyle w:val="11"/>
              <w:rPr>
                <w:rFonts w:hint="default" w:eastAsia="方正书宋_GBK"/>
                <w:lang w:val="en-US" w:eastAsia="zh-CN"/>
              </w:rPr>
            </w:pPr>
            <w:r>
              <w:rPr>
                <w:rFonts w:hint="eastAsia"/>
                <w:lang w:val="en-US" w:eastAsia="zh-CN"/>
              </w:rPr>
              <w:t>196</w:t>
            </w:r>
          </w:p>
        </w:tc>
        <w:tc>
          <w:tcPr>
            <w:tcW w:w="4535" w:type="dxa"/>
            <w:vAlign w:val="center"/>
          </w:tcPr>
          <w:p w14:paraId="5856DDC7">
            <w:pPr>
              <w:pStyle w:val="12"/>
            </w:pPr>
            <w:r>
              <w:t>四、公共安全支出</w:t>
            </w:r>
          </w:p>
        </w:tc>
        <w:tc>
          <w:tcPr>
            <w:tcW w:w="2126" w:type="dxa"/>
            <w:vAlign w:val="center"/>
          </w:tcPr>
          <w:p w14:paraId="1DF07FE9">
            <w:pPr>
              <w:pStyle w:val="11"/>
            </w:pPr>
          </w:p>
        </w:tc>
      </w:tr>
      <w:tr w14:paraId="77DA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3107">
            <w:pPr>
              <w:pStyle w:val="13"/>
            </w:pPr>
            <w:r>
              <w:t>5</w:t>
            </w:r>
          </w:p>
        </w:tc>
        <w:tc>
          <w:tcPr>
            <w:tcW w:w="4535" w:type="dxa"/>
            <w:vAlign w:val="center"/>
          </w:tcPr>
          <w:p w14:paraId="58DAC6C4">
            <w:pPr>
              <w:pStyle w:val="12"/>
            </w:pPr>
            <w:r>
              <w:t>五、单位资金</w:t>
            </w:r>
          </w:p>
        </w:tc>
        <w:tc>
          <w:tcPr>
            <w:tcW w:w="2126" w:type="dxa"/>
            <w:vAlign w:val="center"/>
          </w:tcPr>
          <w:p w14:paraId="0FAD3EC3">
            <w:pPr>
              <w:pStyle w:val="11"/>
            </w:pPr>
          </w:p>
        </w:tc>
        <w:tc>
          <w:tcPr>
            <w:tcW w:w="4535" w:type="dxa"/>
            <w:vAlign w:val="center"/>
          </w:tcPr>
          <w:p w14:paraId="3EBB431B">
            <w:pPr>
              <w:pStyle w:val="12"/>
            </w:pPr>
            <w:r>
              <w:t>五、教育支出</w:t>
            </w:r>
          </w:p>
        </w:tc>
        <w:tc>
          <w:tcPr>
            <w:tcW w:w="2126" w:type="dxa"/>
            <w:vAlign w:val="center"/>
          </w:tcPr>
          <w:p w14:paraId="76746CA0">
            <w:pPr>
              <w:pStyle w:val="11"/>
            </w:pPr>
            <w:r>
              <w:t>6001.44</w:t>
            </w:r>
          </w:p>
        </w:tc>
      </w:tr>
      <w:tr w14:paraId="26EA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ECE22">
            <w:pPr>
              <w:pStyle w:val="13"/>
            </w:pPr>
            <w:r>
              <w:t>6</w:t>
            </w:r>
          </w:p>
        </w:tc>
        <w:tc>
          <w:tcPr>
            <w:tcW w:w="4535" w:type="dxa"/>
            <w:vAlign w:val="center"/>
          </w:tcPr>
          <w:p w14:paraId="44576830">
            <w:pPr>
              <w:pStyle w:val="12"/>
            </w:pPr>
          </w:p>
        </w:tc>
        <w:tc>
          <w:tcPr>
            <w:tcW w:w="2126" w:type="dxa"/>
            <w:vAlign w:val="center"/>
          </w:tcPr>
          <w:p w14:paraId="4E75672E">
            <w:pPr>
              <w:pStyle w:val="11"/>
            </w:pPr>
          </w:p>
        </w:tc>
        <w:tc>
          <w:tcPr>
            <w:tcW w:w="4535" w:type="dxa"/>
            <w:vAlign w:val="center"/>
          </w:tcPr>
          <w:p w14:paraId="3B9B2F7E">
            <w:pPr>
              <w:pStyle w:val="12"/>
            </w:pPr>
            <w:r>
              <w:t>六、科学技术支出</w:t>
            </w:r>
          </w:p>
        </w:tc>
        <w:tc>
          <w:tcPr>
            <w:tcW w:w="2126" w:type="dxa"/>
            <w:vAlign w:val="center"/>
          </w:tcPr>
          <w:p w14:paraId="6279AF72">
            <w:pPr>
              <w:pStyle w:val="11"/>
            </w:pPr>
          </w:p>
        </w:tc>
      </w:tr>
      <w:tr w14:paraId="5A3A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C4793">
            <w:pPr>
              <w:pStyle w:val="13"/>
            </w:pPr>
            <w:r>
              <w:t>7</w:t>
            </w:r>
          </w:p>
        </w:tc>
        <w:tc>
          <w:tcPr>
            <w:tcW w:w="4535" w:type="dxa"/>
            <w:vAlign w:val="center"/>
          </w:tcPr>
          <w:p w14:paraId="1CA60508">
            <w:pPr>
              <w:pStyle w:val="12"/>
            </w:pPr>
          </w:p>
        </w:tc>
        <w:tc>
          <w:tcPr>
            <w:tcW w:w="2126" w:type="dxa"/>
            <w:vAlign w:val="center"/>
          </w:tcPr>
          <w:p w14:paraId="5A6D142F">
            <w:pPr>
              <w:pStyle w:val="11"/>
            </w:pPr>
          </w:p>
        </w:tc>
        <w:tc>
          <w:tcPr>
            <w:tcW w:w="4535" w:type="dxa"/>
            <w:vAlign w:val="center"/>
          </w:tcPr>
          <w:p w14:paraId="2B9BA339">
            <w:pPr>
              <w:pStyle w:val="12"/>
            </w:pPr>
            <w:r>
              <w:t>七、文化旅游体育与传媒支出</w:t>
            </w:r>
          </w:p>
        </w:tc>
        <w:tc>
          <w:tcPr>
            <w:tcW w:w="2126" w:type="dxa"/>
            <w:vAlign w:val="center"/>
          </w:tcPr>
          <w:p w14:paraId="7B337725">
            <w:pPr>
              <w:pStyle w:val="11"/>
            </w:pPr>
          </w:p>
        </w:tc>
      </w:tr>
      <w:tr w14:paraId="0461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4656">
            <w:pPr>
              <w:pStyle w:val="13"/>
            </w:pPr>
            <w:r>
              <w:t>8</w:t>
            </w:r>
          </w:p>
        </w:tc>
        <w:tc>
          <w:tcPr>
            <w:tcW w:w="4535" w:type="dxa"/>
            <w:vAlign w:val="center"/>
          </w:tcPr>
          <w:p w14:paraId="0A3AD805">
            <w:pPr>
              <w:pStyle w:val="12"/>
            </w:pPr>
          </w:p>
        </w:tc>
        <w:tc>
          <w:tcPr>
            <w:tcW w:w="2126" w:type="dxa"/>
            <w:vAlign w:val="center"/>
          </w:tcPr>
          <w:p w14:paraId="3CE9F697">
            <w:pPr>
              <w:pStyle w:val="11"/>
            </w:pPr>
          </w:p>
        </w:tc>
        <w:tc>
          <w:tcPr>
            <w:tcW w:w="4535" w:type="dxa"/>
            <w:vAlign w:val="center"/>
          </w:tcPr>
          <w:p w14:paraId="4BF7E15C">
            <w:pPr>
              <w:pStyle w:val="12"/>
            </w:pPr>
            <w:r>
              <w:t>八、社会保障和就业支出</w:t>
            </w:r>
          </w:p>
        </w:tc>
        <w:tc>
          <w:tcPr>
            <w:tcW w:w="2126" w:type="dxa"/>
            <w:vAlign w:val="center"/>
          </w:tcPr>
          <w:p w14:paraId="30D30C34">
            <w:pPr>
              <w:pStyle w:val="11"/>
            </w:pPr>
            <w:r>
              <w:t>21.14</w:t>
            </w:r>
          </w:p>
        </w:tc>
      </w:tr>
      <w:tr w14:paraId="5E99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A77FC">
            <w:pPr>
              <w:pStyle w:val="13"/>
            </w:pPr>
            <w:r>
              <w:t>9</w:t>
            </w:r>
          </w:p>
        </w:tc>
        <w:tc>
          <w:tcPr>
            <w:tcW w:w="4535" w:type="dxa"/>
            <w:vAlign w:val="center"/>
          </w:tcPr>
          <w:p w14:paraId="7ADA74C8">
            <w:pPr>
              <w:pStyle w:val="12"/>
            </w:pPr>
          </w:p>
        </w:tc>
        <w:tc>
          <w:tcPr>
            <w:tcW w:w="2126" w:type="dxa"/>
            <w:vAlign w:val="center"/>
          </w:tcPr>
          <w:p w14:paraId="2814D840">
            <w:pPr>
              <w:pStyle w:val="11"/>
            </w:pPr>
          </w:p>
        </w:tc>
        <w:tc>
          <w:tcPr>
            <w:tcW w:w="4535" w:type="dxa"/>
            <w:vAlign w:val="center"/>
          </w:tcPr>
          <w:p w14:paraId="10F04833">
            <w:pPr>
              <w:pStyle w:val="12"/>
            </w:pPr>
            <w:r>
              <w:t>九、社会保险基金支出</w:t>
            </w:r>
          </w:p>
        </w:tc>
        <w:tc>
          <w:tcPr>
            <w:tcW w:w="2126" w:type="dxa"/>
            <w:vAlign w:val="center"/>
          </w:tcPr>
          <w:p w14:paraId="20169934">
            <w:pPr>
              <w:pStyle w:val="11"/>
            </w:pPr>
          </w:p>
        </w:tc>
      </w:tr>
      <w:tr w14:paraId="7215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29D8D">
            <w:pPr>
              <w:pStyle w:val="13"/>
            </w:pPr>
            <w:r>
              <w:t>10</w:t>
            </w:r>
          </w:p>
        </w:tc>
        <w:tc>
          <w:tcPr>
            <w:tcW w:w="4535" w:type="dxa"/>
            <w:vAlign w:val="center"/>
          </w:tcPr>
          <w:p w14:paraId="1964A873">
            <w:pPr>
              <w:pStyle w:val="12"/>
            </w:pPr>
          </w:p>
        </w:tc>
        <w:tc>
          <w:tcPr>
            <w:tcW w:w="2126" w:type="dxa"/>
            <w:vAlign w:val="center"/>
          </w:tcPr>
          <w:p w14:paraId="649397BE">
            <w:pPr>
              <w:pStyle w:val="11"/>
            </w:pPr>
          </w:p>
        </w:tc>
        <w:tc>
          <w:tcPr>
            <w:tcW w:w="4535" w:type="dxa"/>
            <w:vAlign w:val="center"/>
          </w:tcPr>
          <w:p w14:paraId="4AC284C5">
            <w:pPr>
              <w:pStyle w:val="12"/>
            </w:pPr>
            <w:r>
              <w:t>十、卫生健康支出</w:t>
            </w:r>
          </w:p>
        </w:tc>
        <w:tc>
          <w:tcPr>
            <w:tcW w:w="2126" w:type="dxa"/>
            <w:vAlign w:val="center"/>
          </w:tcPr>
          <w:p w14:paraId="076115FA">
            <w:pPr>
              <w:pStyle w:val="11"/>
            </w:pPr>
            <w:r>
              <w:t>9.58</w:t>
            </w:r>
          </w:p>
        </w:tc>
      </w:tr>
      <w:tr w14:paraId="73F6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5A5E">
            <w:pPr>
              <w:pStyle w:val="13"/>
            </w:pPr>
            <w:r>
              <w:t>11</w:t>
            </w:r>
          </w:p>
        </w:tc>
        <w:tc>
          <w:tcPr>
            <w:tcW w:w="4535" w:type="dxa"/>
            <w:vAlign w:val="center"/>
          </w:tcPr>
          <w:p w14:paraId="617C00CD">
            <w:pPr>
              <w:pStyle w:val="12"/>
            </w:pPr>
          </w:p>
        </w:tc>
        <w:tc>
          <w:tcPr>
            <w:tcW w:w="2126" w:type="dxa"/>
            <w:vAlign w:val="center"/>
          </w:tcPr>
          <w:p w14:paraId="0A3B4195">
            <w:pPr>
              <w:pStyle w:val="11"/>
            </w:pPr>
          </w:p>
        </w:tc>
        <w:tc>
          <w:tcPr>
            <w:tcW w:w="4535" w:type="dxa"/>
            <w:vAlign w:val="center"/>
          </w:tcPr>
          <w:p w14:paraId="16DCDCAB">
            <w:pPr>
              <w:pStyle w:val="12"/>
            </w:pPr>
            <w:r>
              <w:t>十一、节能环保支出</w:t>
            </w:r>
          </w:p>
        </w:tc>
        <w:tc>
          <w:tcPr>
            <w:tcW w:w="2126" w:type="dxa"/>
            <w:vAlign w:val="center"/>
          </w:tcPr>
          <w:p w14:paraId="3A1BCF27">
            <w:pPr>
              <w:pStyle w:val="11"/>
            </w:pPr>
          </w:p>
        </w:tc>
      </w:tr>
      <w:tr w14:paraId="581E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B970">
            <w:pPr>
              <w:pStyle w:val="13"/>
            </w:pPr>
            <w:r>
              <w:t>12</w:t>
            </w:r>
          </w:p>
        </w:tc>
        <w:tc>
          <w:tcPr>
            <w:tcW w:w="4535" w:type="dxa"/>
            <w:vAlign w:val="center"/>
          </w:tcPr>
          <w:p w14:paraId="02510D06">
            <w:pPr>
              <w:pStyle w:val="12"/>
            </w:pPr>
          </w:p>
        </w:tc>
        <w:tc>
          <w:tcPr>
            <w:tcW w:w="2126" w:type="dxa"/>
            <w:vAlign w:val="center"/>
          </w:tcPr>
          <w:p w14:paraId="470340C8">
            <w:pPr>
              <w:pStyle w:val="11"/>
            </w:pPr>
          </w:p>
        </w:tc>
        <w:tc>
          <w:tcPr>
            <w:tcW w:w="4535" w:type="dxa"/>
            <w:vAlign w:val="center"/>
          </w:tcPr>
          <w:p w14:paraId="58575DF7">
            <w:pPr>
              <w:pStyle w:val="12"/>
            </w:pPr>
            <w:r>
              <w:t>十二、城乡社区支出</w:t>
            </w:r>
          </w:p>
        </w:tc>
        <w:tc>
          <w:tcPr>
            <w:tcW w:w="2126" w:type="dxa"/>
            <w:vAlign w:val="center"/>
          </w:tcPr>
          <w:p w14:paraId="4A3D250F">
            <w:pPr>
              <w:pStyle w:val="11"/>
            </w:pPr>
          </w:p>
        </w:tc>
      </w:tr>
      <w:tr w14:paraId="77E7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EE807">
            <w:pPr>
              <w:pStyle w:val="13"/>
            </w:pPr>
            <w:r>
              <w:t>13</w:t>
            </w:r>
          </w:p>
        </w:tc>
        <w:tc>
          <w:tcPr>
            <w:tcW w:w="4535" w:type="dxa"/>
            <w:vAlign w:val="center"/>
          </w:tcPr>
          <w:p w14:paraId="3658ABDD">
            <w:pPr>
              <w:pStyle w:val="12"/>
            </w:pPr>
          </w:p>
        </w:tc>
        <w:tc>
          <w:tcPr>
            <w:tcW w:w="2126" w:type="dxa"/>
            <w:vAlign w:val="center"/>
          </w:tcPr>
          <w:p w14:paraId="1C03727E">
            <w:pPr>
              <w:pStyle w:val="11"/>
            </w:pPr>
          </w:p>
        </w:tc>
        <w:tc>
          <w:tcPr>
            <w:tcW w:w="4535" w:type="dxa"/>
            <w:vAlign w:val="center"/>
          </w:tcPr>
          <w:p w14:paraId="05F09D73">
            <w:pPr>
              <w:pStyle w:val="12"/>
            </w:pPr>
            <w:r>
              <w:t>十三、农林水支出</w:t>
            </w:r>
          </w:p>
        </w:tc>
        <w:tc>
          <w:tcPr>
            <w:tcW w:w="2126" w:type="dxa"/>
            <w:vAlign w:val="center"/>
          </w:tcPr>
          <w:p w14:paraId="6A9EABAD">
            <w:pPr>
              <w:pStyle w:val="11"/>
            </w:pPr>
          </w:p>
        </w:tc>
      </w:tr>
      <w:tr w14:paraId="7738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B8FF">
            <w:pPr>
              <w:pStyle w:val="13"/>
            </w:pPr>
            <w:r>
              <w:t>14</w:t>
            </w:r>
          </w:p>
        </w:tc>
        <w:tc>
          <w:tcPr>
            <w:tcW w:w="4535" w:type="dxa"/>
            <w:vAlign w:val="center"/>
          </w:tcPr>
          <w:p w14:paraId="2848AC01">
            <w:pPr>
              <w:pStyle w:val="12"/>
            </w:pPr>
          </w:p>
        </w:tc>
        <w:tc>
          <w:tcPr>
            <w:tcW w:w="2126" w:type="dxa"/>
            <w:vAlign w:val="center"/>
          </w:tcPr>
          <w:p w14:paraId="5E8C53A9">
            <w:pPr>
              <w:pStyle w:val="11"/>
            </w:pPr>
          </w:p>
        </w:tc>
        <w:tc>
          <w:tcPr>
            <w:tcW w:w="4535" w:type="dxa"/>
            <w:vAlign w:val="center"/>
          </w:tcPr>
          <w:p w14:paraId="3139B211">
            <w:pPr>
              <w:pStyle w:val="12"/>
            </w:pPr>
            <w:r>
              <w:t>十四、交通运输支出</w:t>
            </w:r>
          </w:p>
        </w:tc>
        <w:tc>
          <w:tcPr>
            <w:tcW w:w="2126" w:type="dxa"/>
            <w:vAlign w:val="center"/>
          </w:tcPr>
          <w:p w14:paraId="2BCEE4EF">
            <w:pPr>
              <w:pStyle w:val="11"/>
            </w:pPr>
          </w:p>
        </w:tc>
      </w:tr>
      <w:tr w14:paraId="0D4F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75415">
            <w:pPr>
              <w:pStyle w:val="13"/>
            </w:pPr>
            <w:r>
              <w:t>15</w:t>
            </w:r>
          </w:p>
        </w:tc>
        <w:tc>
          <w:tcPr>
            <w:tcW w:w="4535" w:type="dxa"/>
            <w:vAlign w:val="center"/>
          </w:tcPr>
          <w:p w14:paraId="6942830A">
            <w:pPr>
              <w:pStyle w:val="12"/>
            </w:pPr>
          </w:p>
        </w:tc>
        <w:tc>
          <w:tcPr>
            <w:tcW w:w="2126" w:type="dxa"/>
            <w:vAlign w:val="center"/>
          </w:tcPr>
          <w:p w14:paraId="53CEE65E">
            <w:pPr>
              <w:pStyle w:val="11"/>
            </w:pPr>
          </w:p>
        </w:tc>
        <w:tc>
          <w:tcPr>
            <w:tcW w:w="4535" w:type="dxa"/>
            <w:vAlign w:val="center"/>
          </w:tcPr>
          <w:p w14:paraId="5B87D556">
            <w:pPr>
              <w:pStyle w:val="12"/>
            </w:pPr>
            <w:r>
              <w:t>十五、资源勘探工业信息等支出</w:t>
            </w:r>
          </w:p>
        </w:tc>
        <w:tc>
          <w:tcPr>
            <w:tcW w:w="2126" w:type="dxa"/>
            <w:vAlign w:val="center"/>
          </w:tcPr>
          <w:p w14:paraId="5724E3AD">
            <w:pPr>
              <w:pStyle w:val="11"/>
            </w:pPr>
          </w:p>
        </w:tc>
      </w:tr>
      <w:tr w14:paraId="27CE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DF696">
            <w:pPr>
              <w:pStyle w:val="13"/>
            </w:pPr>
            <w:r>
              <w:t>16</w:t>
            </w:r>
          </w:p>
        </w:tc>
        <w:tc>
          <w:tcPr>
            <w:tcW w:w="4535" w:type="dxa"/>
            <w:vAlign w:val="center"/>
          </w:tcPr>
          <w:p w14:paraId="73E78AD2">
            <w:pPr>
              <w:pStyle w:val="12"/>
            </w:pPr>
          </w:p>
        </w:tc>
        <w:tc>
          <w:tcPr>
            <w:tcW w:w="2126" w:type="dxa"/>
            <w:vAlign w:val="center"/>
          </w:tcPr>
          <w:p w14:paraId="02FE6E6C">
            <w:pPr>
              <w:pStyle w:val="11"/>
            </w:pPr>
          </w:p>
        </w:tc>
        <w:tc>
          <w:tcPr>
            <w:tcW w:w="4535" w:type="dxa"/>
            <w:vAlign w:val="center"/>
          </w:tcPr>
          <w:p w14:paraId="3C95C08B">
            <w:pPr>
              <w:pStyle w:val="12"/>
            </w:pPr>
            <w:r>
              <w:t>十六、商业服务业等支出</w:t>
            </w:r>
          </w:p>
        </w:tc>
        <w:tc>
          <w:tcPr>
            <w:tcW w:w="2126" w:type="dxa"/>
            <w:vAlign w:val="center"/>
          </w:tcPr>
          <w:p w14:paraId="209D5565">
            <w:pPr>
              <w:pStyle w:val="11"/>
            </w:pPr>
          </w:p>
        </w:tc>
      </w:tr>
      <w:tr w14:paraId="196E9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F44A9">
            <w:pPr>
              <w:pStyle w:val="13"/>
            </w:pPr>
            <w:r>
              <w:t>17</w:t>
            </w:r>
          </w:p>
        </w:tc>
        <w:tc>
          <w:tcPr>
            <w:tcW w:w="4535" w:type="dxa"/>
            <w:vAlign w:val="center"/>
          </w:tcPr>
          <w:p w14:paraId="3B49F07D">
            <w:pPr>
              <w:pStyle w:val="12"/>
            </w:pPr>
          </w:p>
        </w:tc>
        <w:tc>
          <w:tcPr>
            <w:tcW w:w="2126" w:type="dxa"/>
            <w:vAlign w:val="center"/>
          </w:tcPr>
          <w:p w14:paraId="78952F88">
            <w:pPr>
              <w:pStyle w:val="11"/>
            </w:pPr>
          </w:p>
        </w:tc>
        <w:tc>
          <w:tcPr>
            <w:tcW w:w="4535" w:type="dxa"/>
            <w:vAlign w:val="center"/>
          </w:tcPr>
          <w:p w14:paraId="75C6B337">
            <w:pPr>
              <w:pStyle w:val="12"/>
            </w:pPr>
            <w:r>
              <w:t>十七、金融支出</w:t>
            </w:r>
          </w:p>
        </w:tc>
        <w:tc>
          <w:tcPr>
            <w:tcW w:w="2126" w:type="dxa"/>
            <w:vAlign w:val="center"/>
          </w:tcPr>
          <w:p w14:paraId="0DBB5E7B">
            <w:pPr>
              <w:pStyle w:val="11"/>
            </w:pPr>
          </w:p>
        </w:tc>
      </w:tr>
      <w:tr w14:paraId="6DB4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3953">
            <w:pPr>
              <w:pStyle w:val="13"/>
            </w:pPr>
            <w:r>
              <w:t>18</w:t>
            </w:r>
          </w:p>
        </w:tc>
        <w:tc>
          <w:tcPr>
            <w:tcW w:w="4535" w:type="dxa"/>
            <w:vAlign w:val="center"/>
          </w:tcPr>
          <w:p w14:paraId="07654D5B">
            <w:pPr>
              <w:pStyle w:val="12"/>
            </w:pPr>
          </w:p>
        </w:tc>
        <w:tc>
          <w:tcPr>
            <w:tcW w:w="2126" w:type="dxa"/>
            <w:vAlign w:val="center"/>
          </w:tcPr>
          <w:p w14:paraId="34913E53">
            <w:pPr>
              <w:pStyle w:val="11"/>
            </w:pPr>
          </w:p>
        </w:tc>
        <w:tc>
          <w:tcPr>
            <w:tcW w:w="4535" w:type="dxa"/>
            <w:vAlign w:val="center"/>
          </w:tcPr>
          <w:p w14:paraId="5CC20153">
            <w:pPr>
              <w:pStyle w:val="12"/>
            </w:pPr>
            <w:r>
              <w:t>十八、援助其他地区支出</w:t>
            </w:r>
          </w:p>
        </w:tc>
        <w:tc>
          <w:tcPr>
            <w:tcW w:w="2126" w:type="dxa"/>
            <w:vAlign w:val="center"/>
          </w:tcPr>
          <w:p w14:paraId="7509A306">
            <w:pPr>
              <w:pStyle w:val="11"/>
            </w:pPr>
          </w:p>
        </w:tc>
      </w:tr>
      <w:tr w14:paraId="64E7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F0AD">
            <w:pPr>
              <w:pStyle w:val="13"/>
            </w:pPr>
            <w:r>
              <w:t>19</w:t>
            </w:r>
          </w:p>
        </w:tc>
        <w:tc>
          <w:tcPr>
            <w:tcW w:w="4535" w:type="dxa"/>
            <w:vAlign w:val="center"/>
          </w:tcPr>
          <w:p w14:paraId="600BA026">
            <w:pPr>
              <w:pStyle w:val="12"/>
            </w:pPr>
          </w:p>
        </w:tc>
        <w:tc>
          <w:tcPr>
            <w:tcW w:w="2126" w:type="dxa"/>
            <w:vAlign w:val="center"/>
          </w:tcPr>
          <w:p w14:paraId="13C3797C">
            <w:pPr>
              <w:pStyle w:val="11"/>
            </w:pPr>
          </w:p>
        </w:tc>
        <w:tc>
          <w:tcPr>
            <w:tcW w:w="4535" w:type="dxa"/>
            <w:vAlign w:val="center"/>
          </w:tcPr>
          <w:p w14:paraId="4B81425E">
            <w:pPr>
              <w:pStyle w:val="12"/>
            </w:pPr>
            <w:r>
              <w:t>十九、自然资源海洋气象等支出</w:t>
            </w:r>
          </w:p>
        </w:tc>
        <w:tc>
          <w:tcPr>
            <w:tcW w:w="2126" w:type="dxa"/>
            <w:vAlign w:val="center"/>
          </w:tcPr>
          <w:p w14:paraId="5BF7087E">
            <w:pPr>
              <w:pStyle w:val="11"/>
            </w:pPr>
          </w:p>
        </w:tc>
      </w:tr>
      <w:tr w14:paraId="5592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93022">
            <w:pPr>
              <w:pStyle w:val="13"/>
            </w:pPr>
            <w:r>
              <w:t>20</w:t>
            </w:r>
          </w:p>
        </w:tc>
        <w:tc>
          <w:tcPr>
            <w:tcW w:w="4535" w:type="dxa"/>
            <w:vAlign w:val="center"/>
          </w:tcPr>
          <w:p w14:paraId="6088EF9F">
            <w:pPr>
              <w:pStyle w:val="12"/>
            </w:pPr>
          </w:p>
        </w:tc>
        <w:tc>
          <w:tcPr>
            <w:tcW w:w="2126" w:type="dxa"/>
            <w:vAlign w:val="center"/>
          </w:tcPr>
          <w:p w14:paraId="26C4A736">
            <w:pPr>
              <w:pStyle w:val="11"/>
            </w:pPr>
          </w:p>
        </w:tc>
        <w:tc>
          <w:tcPr>
            <w:tcW w:w="4535" w:type="dxa"/>
            <w:vAlign w:val="center"/>
          </w:tcPr>
          <w:p w14:paraId="6972E9CC">
            <w:pPr>
              <w:pStyle w:val="12"/>
            </w:pPr>
            <w:r>
              <w:t>二十、住房保障支出</w:t>
            </w:r>
          </w:p>
        </w:tc>
        <w:tc>
          <w:tcPr>
            <w:tcW w:w="2126" w:type="dxa"/>
            <w:vAlign w:val="center"/>
          </w:tcPr>
          <w:p w14:paraId="310A8EAE">
            <w:pPr>
              <w:pStyle w:val="11"/>
            </w:pPr>
            <w:r>
              <w:t>16.14</w:t>
            </w:r>
          </w:p>
        </w:tc>
      </w:tr>
      <w:tr w14:paraId="74B4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CA723">
            <w:pPr>
              <w:pStyle w:val="13"/>
            </w:pPr>
            <w:r>
              <w:t>21</w:t>
            </w:r>
          </w:p>
        </w:tc>
        <w:tc>
          <w:tcPr>
            <w:tcW w:w="4535" w:type="dxa"/>
            <w:vAlign w:val="center"/>
          </w:tcPr>
          <w:p w14:paraId="4EEDB6E7">
            <w:pPr>
              <w:pStyle w:val="12"/>
            </w:pPr>
          </w:p>
        </w:tc>
        <w:tc>
          <w:tcPr>
            <w:tcW w:w="2126" w:type="dxa"/>
            <w:vAlign w:val="center"/>
          </w:tcPr>
          <w:p w14:paraId="0C0611F5">
            <w:pPr>
              <w:pStyle w:val="11"/>
            </w:pPr>
          </w:p>
        </w:tc>
        <w:tc>
          <w:tcPr>
            <w:tcW w:w="4535" w:type="dxa"/>
            <w:vAlign w:val="center"/>
          </w:tcPr>
          <w:p w14:paraId="0A02B633">
            <w:pPr>
              <w:pStyle w:val="12"/>
            </w:pPr>
            <w:r>
              <w:t>二十一、粮油物资储备支出</w:t>
            </w:r>
          </w:p>
        </w:tc>
        <w:tc>
          <w:tcPr>
            <w:tcW w:w="2126" w:type="dxa"/>
            <w:vAlign w:val="center"/>
          </w:tcPr>
          <w:p w14:paraId="7BC67ABE">
            <w:pPr>
              <w:pStyle w:val="11"/>
            </w:pPr>
          </w:p>
        </w:tc>
      </w:tr>
      <w:tr w14:paraId="1054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25C4">
            <w:pPr>
              <w:pStyle w:val="13"/>
            </w:pPr>
            <w:r>
              <w:t>22</w:t>
            </w:r>
          </w:p>
        </w:tc>
        <w:tc>
          <w:tcPr>
            <w:tcW w:w="4535" w:type="dxa"/>
            <w:vAlign w:val="center"/>
          </w:tcPr>
          <w:p w14:paraId="1DFB50C2">
            <w:pPr>
              <w:pStyle w:val="12"/>
            </w:pPr>
          </w:p>
        </w:tc>
        <w:tc>
          <w:tcPr>
            <w:tcW w:w="2126" w:type="dxa"/>
            <w:vAlign w:val="center"/>
          </w:tcPr>
          <w:p w14:paraId="53FE158E">
            <w:pPr>
              <w:pStyle w:val="11"/>
            </w:pPr>
          </w:p>
        </w:tc>
        <w:tc>
          <w:tcPr>
            <w:tcW w:w="4535" w:type="dxa"/>
            <w:vAlign w:val="center"/>
          </w:tcPr>
          <w:p w14:paraId="508DF5E7">
            <w:pPr>
              <w:pStyle w:val="12"/>
            </w:pPr>
            <w:r>
              <w:t>二十二、国有资本经营预算支出</w:t>
            </w:r>
          </w:p>
        </w:tc>
        <w:tc>
          <w:tcPr>
            <w:tcW w:w="2126" w:type="dxa"/>
            <w:vAlign w:val="center"/>
          </w:tcPr>
          <w:p w14:paraId="2800AB6A">
            <w:pPr>
              <w:pStyle w:val="11"/>
            </w:pPr>
          </w:p>
        </w:tc>
      </w:tr>
      <w:tr w14:paraId="37AA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6D83">
            <w:pPr>
              <w:pStyle w:val="13"/>
            </w:pPr>
            <w:r>
              <w:t>23</w:t>
            </w:r>
          </w:p>
        </w:tc>
        <w:tc>
          <w:tcPr>
            <w:tcW w:w="4535" w:type="dxa"/>
            <w:vAlign w:val="center"/>
          </w:tcPr>
          <w:p w14:paraId="3BCF925B">
            <w:pPr>
              <w:pStyle w:val="12"/>
            </w:pPr>
          </w:p>
        </w:tc>
        <w:tc>
          <w:tcPr>
            <w:tcW w:w="2126" w:type="dxa"/>
            <w:vAlign w:val="center"/>
          </w:tcPr>
          <w:p w14:paraId="3BD38C3E">
            <w:pPr>
              <w:pStyle w:val="11"/>
            </w:pPr>
          </w:p>
        </w:tc>
        <w:tc>
          <w:tcPr>
            <w:tcW w:w="4535" w:type="dxa"/>
            <w:vAlign w:val="center"/>
          </w:tcPr>
          <w:p w14:paraId="630A4B9B">
            <w:pPr>
              <w:pStyle w:val="12"/>
            </w:pPr>
            <w:r>
              <w:t>二十三、灾害防治及应急管理支出</w:t>
            </w:r>
          </w:p>
        </w:tc>
        <w:tc>
          <w:tcPr>
            <w:tcW w:w="2126" w:type="dxa"/>
            <w:vAlign w:val="center"/>
          </w:tcPr>
          <w:p w14:paraId="4470A869">
            <w:pPr>
              <w:pStyle w:val="11"/>
            </w:pPr>
          </w:p>
        </w:tc>
      </w:tr>
      <w:tr w14:paraId="6B47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23DC">
            <w:pPr>
              <w:pStyle w:val="13"/>
            </w:pPr>
            <w:r>
              <w:t>24</w:t>
            </w:r>
          </w:p>
        </w:tc>
        <w:tc>
          <w:tcPr>
            <w:tcW w:w="4535" w:type="dxa"/>
            <w:vAlign w:val="center"/>
          </w:tcPr>
          <w:p w14:paraId="6CDC44BD">
            <w:pPr>
              <w:pStyle w:val="12"/>
            </w:pPr>
          </w:p>
        </w:tc>
        <w:tc>
          <w:tcPr>
            <w:tcW w:w="2126" w:type="dxa"/>
            <w:vAlign w:val="center"/>
          </w:tcPr>
          <w:p w14:paraId="5571114D">
            <w:pPr>
              <w:pStyle w:val="11"/>
            </w:pPr>
          </w:p>
        </w:tc>
        <w:tc>
          <w:tcPr>
            <w:tcW w:w="4535" w:type="dxa"/>
            <w:vAlign w:val="center"/>
          </w:tcPr>
          <w:p w14:paraId="3B130F2C">
            <w:pPr>
              <w:pStyle w:val="12"/>
            </w:pPr>
            <w:r>
              <w:t>二十四、预备费</w:t>
            </w:r>
          </w:p>
        </w:tc>
        <w:tc>
          <w:tcPr>
            <w:tcW w:w="2126" w:type="dxa"/>
            <w:vAlign w:val="center"/>
          </w:tcPr>
          <w:p w14:paraId="0748630C">
            <w:pPr>
              <w:pStyle w:val="11"/>
            </w:pPr>
          </w:p>
        </w:tc>
      </w:tr>
      <w:tr w14:paraId="3E47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FB954">
            <w:pPr>
              <w:pStyle w:val="13"/>
            </w:pPr>
            <w:r>
              <w:t>25</w:t>
            </w:r>
          </w:p>
        </w:tc>
        <w:tc>
          <w:tcPr>
            <w:tcW w:w="4535" w:type="dxa"/>
            <w:vAlign w:val="center"/>
          </w:tcPr>
          <w:p w14:paraId="609867F6">
            <w:pPr>
              <w:pStyle w:val="12"/>
            </w:pPr>
          </w:p>
        </w:tc>
        <w:tc>
          <w:tcPr>
            <w:tcW w:w="2126" w:type="dxa"/>
            <w:vAlign w:val="center"/>
          </w:tcPr>
          <w:p w14:paraId="1966CBB2">
            <w:pPr>
              <w:pStyle w:val="11"/>
            </w:pPr>
          </w:p>
        </w:tc>
        <w:tc>
          <w:tcPr>
            <w:tcW w:w="4535" w:type="dxa"/>
            <w:vAlign w:val="center"/>
          </w:tcPr>
          <w:p w14:paraId="5386CDBE">
            <w:pPr>
              <w:pStyle w:val="12"/>
            </w:pPr>
            <w:r>
              <w:t>二十五、其他支出</w:t>
            </w:r>
          </w:p>
        </w:tc>
        <w:tc>
          <w:tcPr>
            <w:tcW w:w="2126" w:type="dxa"/>
            <w:vAlign w:val="center"/>
          </w:tcPr>
          <w:p w14:paraId="34F2AE24">
            <w:pPr>
              <w:pStyle w:val="11"/>
            </w:pPr>
            <w:r>
              <w:t>5283.99</w:t>
            </w:r>
          </w:p>
        </w:tc>
      </w:tr>
      <w:tr w14:paraId="1823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58E4E">
            <w:pPr>
              <w:pStyle w:val="13"/>
            </w:pPr>
            <w:r>
              <w:t>26</w:t>
            </w:r>
          </w:p>
        </w:tc>
        <w:tc>
          <w:tcPr>
            <w:tcW w:w="4535" w:type="dxa"/>
            <w:vAlign w:val="center"/>
          </w:tcPr>
          <w:p w14:paraId="30AF8043">
            <w:pPr>
              <w:pStyle w:val="12"/>
            </w:pPr>
          </w:p>
        </w:tc>
        <w:tc>
          <w:tcPr>
            <w:tcW w:w="2126" w:type="dxa"/>
            <w:vAlign w:val="center"/>
          </w:tcPr>
          <w:p w14:paraId="6AC40AE7">
            <w:pPr>
              <w:pStyle w:val="11"/>
            </w:pPr>
          </w:p>
        </w:tc>
        <w:tc>
          <w:tcPr>
            <w:tcW w:w="4535" w:type="dxa"/>
            <w:vAlign w:val="center"/>
          </w:tcPr>
          <w:p w14:paraId="0D66A7F6">
            <w:pPr>
              <w:pStyle w:val="12"/>
            </w:pPr>
            <w:r>
              <w:t>二十六、转移性支出</w:t>
            </w:r>
          </w:p>
        </w:tc>
        <w:tc>
          <w:tcPr>
            <w:tcW w:w="2126" w:type="dxa"/>
            <w:vAlign w:val="center"/>
          </w:tcPr>
          <w:p w14:paraId="0E6127B6">
            <w:pPr>
              <w:pStyle w:val="11"/>
            </w:pPr>
          </w:p>
        </w:tc>
      </w:tr>
      <w:tr w14:paraId="1B2D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AF47C">
            <w:pPr>
              <w:pStyle w:val="13"/>
            </w:pPr>
            <w:r>
              <w:t>27</w:t>
            </w:r>
          </w:p>
        </w:tc>
        <w:tc>
          <w:tcPr>
            <w:tcW w:w="4535" w:type="dxa"/>
            <w:vAlign w:val="center"/>
          </w:tcPr>
          <w:p w14:paraId="55220088">
            <w:pPr>
              <w:pStyle w:val="12"/>
            </w:pPr>
          </w:p>
        </w:tc>
        <w:tc>
          <w:tcPr>
            <w:tcW w:w="2126" w:type="dxa"/>
            <w:vAlign w:val="center"/>
          </w:tcPr>
          <w:p w14:paraId="76636EB8">
            <w:pPr>
              <w:pStyle w:val="11"/>
            </w:pPr>
          </w:p>
        </w:tc>
        <w:tc>
          <w:tcPr>
            <w:tcW w:w="4535" w:type="dxa"/>
            <w:vAlign w:val="center"/>
          </w:tcPr>
          <w:p w14:paraId="7CFEF6ED">
            <w:pPr>
              <w:pStyle w:val="12"/>
            </w:pPr>
            <w:r>
              <w:t>二十七、债务还本支出</w:t>
            </w:r>
          </w:p>
        </w:tc>
        <w:tc>
          <w:tcPr>
            <w:tcW w:w="2126" w:type="dxa"/>
            <w:vAlign w:val="center"/>
          </w:tcPr>
          <w:p w14:paraId="5F0D3B00">
            <w:pPr>
              <w:pStyle w:val="11"/>
            </w:pPr>
          </w:p>
        </w:tc>
      </w:tr>
      <w:tr w14:paraId="5F74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6994">
            <w:pPr>
              <w:pStyle w:val="13"/>
            </w:pPr>
            <w:r>
              <w:t>28</w:t>
            </w:r>
          </w:p>
        </w:tc>
        <w:tc>
          <w:tcPr>
            <w:tcW w:w="4535" w:type="dxa"/>
            <w:vAlign w:val="center"/>
          </w:tcPr>
          <w:p w14:paraId="6B5521B7">
            <w:pPr>
              <w:pStyle w:val="12"/>
            </w:pPr>
          </w:p>
        </w:tc>
        <w:tc>
          <w:tcPr>
            <w:tcW w:w="2126" w:type="dxa"/>
            <w:vAlign w:val="center"/>
          </w:tcPr>
          <w:p w14:paraId="419ECEC3">
            <w:pPr>
              <w:pStyle w:val="11"/>
            </w:pPr>
          </w:p>
        </w:tc>
        <w:tc>
          <w:tcPr>
            <w:tcW w:w="4535" w:type="dxa"/>
            <w:vAlign w:val="center"/>
          </w:tcPr>
          <w:p w14:paraId="39C88118">
            <w:pPr>
              <w:pStyle w:val="12"/>
            </w:pPr>
            <w:r>
              <w:t>二十八、债务付息支出</w:t>
            </w:r>
          </w:p>
        </w:tc>
        <w:tc>
          <w:tcPr>
            <w:tcW w:w="2126" w:type="dxa"/>
            <w:vAlign w:val="center"/>
          </w:tcPr>
          <w:p w14:paraId="285ABAE5">
            <w:pPr>
              <w:pStyle w:val="11"/>
            </w:pPr>
          </w:p>
        </w:tc>
      </w:tr>
      <w:tr w14:paraId="0F7F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3B1E5">
            <w:pPr>
              <w:pStyle w:val="13"/>
            </w:pPr>
            <w:r>
              <w:t>29</w:t>
            </w:r>
          </w:p>
        </w:tc>
        <w:tc>
          <w:tcPr>
            <w:tcW w:w="4535" w:type="dxa"/>
            <w:vAlign w:val="center"/>
          </w:tcPr>
          <w:p w14:paraId="6D572953">
            <w:pPr>
              <w:pStyle w:val="12"/>
            </w:pPr>
          </w:p>
        </w:tc>
        <w:tc>
          <w:tcPr>
            <w:tcW w:w="2126" w:type="dxa"/>
            <w:vAlign w:val="center"/>
          </w:tcPr>
          <w:p w14:paraId="17693AB8">
            <w:pPr>
              <w:pStyle w:val="11"/>
            </w:pPr>
          </w:p>
        </w:tc>
        <w:tc>
          <w:tcPr>
            <w:tcW w:w="4535" w:type="dxa"/>
            <w:vAlign w:val="center"/>
          </w:tcPr>
          <w:p w14:paraId="4B2B44FF">
            <w:pPr>
              <w:pStyle w:val="12"/>
            </w:pPr>
            <w:r>
              <w:t>二十九、债务发行费用支出</w:t>
            </w:r>
          </w:p>
        </w:tc>
        <w:tc>
          <w:tcPr>
            <w:tcW w:w="2126" w:type="dxa"/>
            <w:vAlign w:val="center"/>
          </w:tcPr>
          <w:p w14:paraId="4CBDD4C4">
            <w:pPr>
              <w:pStyle w:val="11"/>
            </w:pPr>
          </w:p>
        </w:tc>
      </w:tr>
      <w:tr w14:paraId="6D28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E39D">
            <w:pPr>
              <w:pStyle w:val="13"/>
            </w:pPr>
            <w:r>
              <w:t>30</w:t>
            </w:r>
          </w:p>
        </w:tc>
        <w:tc>
          <w:tcPr>
            <w:tcW w:w="4535" w:type="dxa"/>
            <w:vAlign w:val="center"/>
          </w:tcPr>
          <w:p w14:paraId="042A92FA">
            <w:pPr>
              <w:pStyle w:val="12"/>
            </w:pPr>
          </w:p>
        </w:tc>
        <w:tc>
          <w:tcPr>
            <w:tcW w:w="2126" w:type="dxa"/>
            <w:vAlign w:val="center"/>
          </w:tcPr>
          <w:p w14:paraId="54EB67A3">
            <w:pPr>
              <w:pStyle w:val="11"/>
            </w:pPr>
          </w:p>
        </w:tc>
        <w:tc>
          <w:tcPr>
            <w:tcW w:w="4535" w:type="dxa"/>
            <w:vAlign w:val="center"/>
          </w:tcPr>
          <w:p w14:paraId="32D4664F">
            <w:pPr>
              <w:pStyle w:val="12"/>
            </w:pPr>
            <w:r>
              <w:t>三十、抗疫特别国债安排的支出</w:t>
            </w:r>
          </w:p>
        </w:tc>
        <w:tc>
          <w:tcPr>
            <w:tcW w:w="2126" w:type="dxa"/>
            <w:vAlign w:val="center"/>
          </w:tcPr>
          <w:p w14:paraId="71393625">
            <w:pPr>
              <w:pStyle w:val="11"/>
            </w:pPr>
          </w:p>
        </w:tc>
      </w:tr>
      <w:tr w14:paraId="56C9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5A94">
            <w:pPr>
              <w:pStyle w:val="13"/>
            </w:pPr>
            <w:r>
              <w:t>31</w:t>
            </w:r>
          </w:p>
        </w:tc>
        <w:tc>
          <w:tcPr>
            <w:tcW w:w="4535" w:type="dxa"/>
            <w:vAlign w:val="center"/>
          </w:tcPr>
          <w:p w14:paraId="70D23953">
            <w:pPr>
              <w:pStyle w:val="14"/>
            </w:pPr>
            <w:r>
              <w:t>本年收入合计</w:t>
            </w:r>
          </w:p>
        </w:tc>
        <w:tc>
          <w:tcPr>
            <w:tcW w:w="2126" w:type="dxa"/>
            <w:vAlign w:val="center"/>
          </w:tcPr>
          <w:p w14:paraId="5AB0562A">
            <w:pPr>
              <w:pStyle w:val="15"/>
              <w:rPr>
                <w:rFonts w:hint="default" w:eastAsia="方正书宋_GBK"/>
                <w:lang w:val="en-US" w:eastAsia="zh-CN"/>
              </w:rPr>
            </w:pPr>
            <w:r>
              <w:rPr>
                <w:rFonts w:hint="eastAsia"/>
                <w:lang w:val="en-US" w:eastAsia="zh-CN"/>
              </w:rPr>
              <w:t>6048.3</w:t>
            </w:r>
          </w:p>
        </w:tc>
        <w:tc>
          <w:tcPr>
            <w:tcW w:w="4535" w:type="dxa"/>
            <w:vAlign w:val="center"/>
          </w:tcPr>
          <w:p w14:paraId="7BA40FFF">
            <w:pPr>
              <w:pStyle w:val="14"/>
            </w:pPr>
            <w:r>
              <w:t>本年支出合计</w:t>
            </w:r>
          </w:p>
        </w:tc>
        <w:tc>
          <w:tcPr>
            <w:tcW w:w="2126" w:type="dxa"/>
            <w:vAlign w:val="center"/>
          </w:tcPr>
          <w:p w14:paraId="3A86A0DB">
            <w:pPr>
              <w:pStyle w:val="15"/>
            </w:pPr>
            <w:r>
              <w:t>11332.29</w:t>
            </w:r>
          </w:p>
        </w:tc>
      </w:tr>
      <w:tr w14:paraId="0D1D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0470D">
            <w:pPr>
              <w:pStyle w:val="13"/>
            </w:pPr>
            <w:r>
              <w:t>32</w:t>
            </w:r>
          </w:p>
        </w:tc>
        <w:tc>
          <w:tcPr>
            <w:tcW w:w="4535" w:type="dxa"/>
            <w:vAlign w:val="center"/>
          </w:tcPr>
          <w:p w14:paraId="377EC4D3">
            <w:pPr>
              <w:pStyle w:val="12"/>
            </w:pPr>
            <w:r>
              <w:t>上年结转结余</w:t>
            </w:r>
          </w:p>
        </w:tc>
        <w:tc>
          <w:tcPr>
            <w:tcW w:w="2126" w:type="dxa"/>
            <w:vAlign w:val="center"/>
          </w:tcPr>
          <w:p w14:paraId="38943F8F">
            <w:pPr>
              <w:pStyle w:val="11"/>
            </w:pPr>
            <w:r>
              <w:t>5283.99</w:t>
            </w:r>
          </w:p>
        </w:tc>
        <w:tc>
          <w:tcPr>
            <w:tcW w:w="4535" w:type="dxa"/>
            <w:vAlign w:val="center"/>
          </w:tcPr>
          <w:p w14:paraId="457918B3">
            <w:pPr>
              <w:pStyle w:val="12"/>
            </w:pPr>
            <w:r>
              <w:t>年终结转结余</w:t>
            </w:r>
          </w:p>
        </w:tc>
        <w:tc>
          <w:tcPr>
            <w:tcW w:w="2126" w:type="dxa"/>
            <w:vAlign w:val="center"/>
          </w:tcPr>
          <w:p w14:paraId="55945866">
            <w:pPr>
              <w:pStyle w:val="11"/>
              <w:rPr>
                <w:rFonts w:hint="eastAsia" w:eastAsia="方正书宋_GBK"/>
                <w:lang w:val="en-US" w:eastAsia="zh-CN"/>
              </w:rPr>
            </w:pPr>
          </w:p>
        </w:tc>
      </w:tr>
      <w:tr w14:paraId="500E2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A8462">
            <w:pPr>
              <w:pStyle w:val="13"/>
            </w:pPr>
            <w:r>
              <w:t>33</w:t>
            </w:r>
          </w:p>
        </w:tc>
        <w:tc>
          <w:tcPr>
            <w:tcW w:w="4535" w:type="dxa"/>
            <w:vAlign w:val="center"/>
          </w:tcPr>
          <w:p w14:paraId="36A7FFAD">
            <w:pPr>
              <w:pStyle w:val="14"/>
            </w:pPr>
            <w:r>
              <w:t>收入总计</w:t>
            </w:r>
          </w:p>
        </w:tc>
        <w:tc>
          <w:tcPr>
            <w:tcW w:w="2126" w:type="dxa"/>
            <w:vAlign w:val="center"/>
          </w:tcPr>
          <w:p w14:paraId="11B801F5">
            <w:pPr>
              <w:pStyle w:val="15"/>
              <w:rPr>
                <w:rFonts w:hint="default" w:eastAsia="方正书宋_GBK"/>
                <w:lang w:val="en-US" w:eastAsia="zh-CN"/>
              </w:rPr>
            </w:pPr>
            <w:r>
              <w:rPr>
                <w:rFonts w:hint="eastAsia"/>
                <w:lang w:val="en-US" w:eastAsia="zh-CN"/>
              </w:rPr>
              <w:t>11332.29</w:t>
            </w:r>
          </w:p>
        </w:tc>
        <w:tc>
          <w:tcPr>
            <w:tcW w:w="4535" w:type="dxa"/>
            <w:vAlign w:val="center"/>
          </w:tcPr>
          <w:p w14:paraId="344325FA">
            <w:pPr>
              <w:pStyle w:val="14"/>
            </w:pPr>
            <w:r>
              <w:t>支出总计</w:t>
            </w:r>
          </w:p>
        </w:tc>
        <w:tc>
          <w:tcPr>
            <w:tcW w:w="2126" w:type="dxa"/>
            <w:vAlign w:val="center"/>
          </w:tcPr>
          <w:p w14:paraId="4D5363AD">
            <w:pPr>
              <w:pStyle w:val="15"/>
              <w:rPr>
                <w:rFonts w:hint="default" w:eastAsia="方正书宋_GBK"/>
                <w:lang w:val="en-US" w:eastAsia="zh-CN"/>
              </w:rPr>
            </w:pPr>
            <w:r>
              <w:rPr>
                <w:rFonts w:hint="eastAsia"/>
                <w:lang w:val="en-US" w:eastAsia="zh-CN"/>
              </w:rPr>
              <w:t>11332.29</w:t>
            </w:r>
          </w:p>
        </w:tc>
      </w:tr>
    </w:tbl>
    <w:p w14:paraId="52D2BAE4">
      <w:pPr>
        <w:sectPr>
          <w:footerReference r:id="rId3" w:type="default"/>
          <w:footerReference r:id="rId4" w:type="even"/>
          <w:pgSz w:w="16840" w:h="11900" w:orient="landscape"/>
          <w:pgMar w:top="1361" w:right="1020" w:bottom="1134" w:left="1020" w:header="720" w:footer="720" w:gutter="0"/>
          <w:pgNumType w:start="1"/>
          <w:cols w:space="720" w:num="1"/>
        </w:sectPr>
      </w:pPr>
    </w:p>
    <w:p w14:paraId="2A8381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2F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7DAFDE">
            <w:pPr>
              <w:pStyle w:val="9"/>
            </w:pPr>
            <w:r>
              <w:t>360001隆尧县教育局本级</w:t>
            </w:r>
          </w:p>
        </w:tc>
        <w:tc>
          <w:tcPr>
            <w:tcW w:w="3402" w:type="dxa"/>
            <w:gridSpan w:val="3"/>
            <w:tcBorders>
              <w:top w:val="single" w:color="FFFFFF" w:sz="6" w:space="0"/>
              <w:left w:val="single" w:color="FFFFFF" w:sz="6" w:space="0"/>
              <w:right w:val="single" w:color="FFFFFF" w:sz="6" w:space="0"/>
            </w:tcBorders>
            <w:vAlign w:val="center"/>
          </w:tcPr>
          <w:p w14:paraId="17D9215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260DC3F">
            <w:pPr>
              <w:pStyle w:val="7"/>
            </w:pPr>
            <w:r>
              <w:t>单位：万元</w:t>
            </w:r>
          </w:p>
        </w:tc>
      </w:tr>
      <w:tr w14:paraId="43E5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A8792D">
            <w:pPr>
              <w:pStyle w:val="10"/>
            </w:pPr>
            <w:r>
              <w:t>序号</w:t>
            </w:r>
          </w:p>
        </w:tc>
        <w:tc>
          <w:tcPr>
            <w:tcW w:w="2551" w:type="dxa"/>
            <w:gridSpan w:val="2"/>
            <w:vAlign w:val="center"/>
          </w:tcPr>
          <w:p w14:paraId="0A9919FD">
            <w:pPr>
              <w:pStyle w:val="10"/>
            </w:pPr>
            <w:r>
              <w:t>功能分类科目</w:t>
            </w:r>
          </w:p>
        </w:tc>
        <w:tc>
          <w:tcPr>
            <w:tcW w:w="1134" w:type="dxa"/>
            <w:vMerge w:val="restart"/>
            <w:vAlign w:val="center"/>
          </w:tcPr>
          <w:p w14:paraId="67FBBFB9">
            <w:pPr>
              <w:pStyle w:val="10"/>
            </w:pPr>
            <w:r>
              <w:t>合计</w:t>
            </w:r>
          </w:p>
        </w:tc>
        <w:tc>
          <w:tcPr>
            <w:tcW w:w="9072" w:type="dxa"/>
            <w:gridSpan w:val="8"/>
            <w:vAlign w:val="center"/>
          </w:tcPr>
          <w:p w14:paraId="19560148">
            <w:pPr>
              <w:pStyle w:val="10"/>
            </w:pPr>
            <w:r>
              <w:t>本年收入</w:t>
            </w:r>
          </w:p>
        </w:tc>
        <w:tc>
          <w:tcPr>
            <w:tcW w:w="1134" w:type="dxa"/>
            <w:vMerge w:val="restart"/>
            <w:vAlign w:val="center"/>
          </w:tcPr>
          <w:p w14:paraId="4200DA8B">
            <w:pPr>
              <w:pStyle w:val="10"/>
            </w:pPr>
            <w:r>
              <w:t>上年结转</w:t>
            </w:r>
          </w:p>
        </w:tc>
      </w:tr>
      <w:tr w14:paraId="5E93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B635BC"/>
        </w:tc>
        <w:tc>
          <w:tcPr>
            <w:tcW w:w="992" w:type="dxa"/>
            <w:vAlign w:val="center"/>
          </w:tcPr>
          <w:p w14:paraId="69A4F6A3">
            <w:pPr>
              <w:pStyle w:val="10"/>
            </w:pPr>
            <w:r>
              <w:t>科目    编码</w:t>
            </w:r>
          </w:p>
        </w:tc>
        <w:tc>
          <w:tcPr>
            <w:tcW w:w="1559" w:type="dxa"/>
            <w:vAlign w:val="center"/>
          </w:tcPr>
          <w:p w14:paraId="2FE9E0B2">
            <w:pPr>
              <w:pStyle w:val="10"/>
            </w:pPr>
            <w:r>
              <w:t>科目名称</w:t>
            </w:r>
          </w:p>
        </w:tc>
        <w:tc>
          <w:tcPr>
            <w:tcW w:w="1134" w:type="dxa"/>
            <w:vMerge w:val="continue"/>
          </w:tcPr>
          <w:p w14:paraId="01B75369"/>
        </w:tc>
        <w:tc>
          <w:tcPr>
            <w:tcW w:w="1134" w:type="dxa"/>
            <w:vAlign w:val="center"/>
          </w:tcPr>
          <w:p w14:paraId="166F56FD">
            <w:pPr>
              <w:pStyle w:val="10"/>
            </w:pPr>
            <w:r>
              <w:t>小计</w:t>
            </w:r>
          </w:p>
        </w:tc>
        <w:tc>
          <w:tcPr>
            <w:tcW w:w="1134" w:type="dxa"/>
            <w:vAlign w:val="center"/>
          </w:tcPr>
          <w:p w14:paraId="76CE0A3E">
            <w:pPr>
              <w:pStyle w:val="10"/>
            </w:pPr>
            <w:r>
              <w:t>财政拨款 收入</w:t>
            </w:r>
          </w:p>
        </w:tc>
        <w:tc>
          <w:tcPr>
            <w:tcW w:w="1134" w:type="dxa"/>
            <w:vAlign w:val="center"/>
          </w:tcPr>
          <w:p w14:paraId="68D692BC">
            <w:pPr>
              <w:pStyle w:val="10"/>
            </w:pPr>
            <w:r>
              <w:t>财政专户 收入</w:t>
            </w:r>
          </w:p>
        </w:tc>
        <w:tc>
          <w:tcPr>
            <w:tcW w:w="1134" w:type="dxa"/>
            <w:vAlign w:val="center"/>
          </w:tcPr>
          <w:p w14:paraId="2325BE3C">
            <w:pPr>
              <w:pStyle w:val="10"/>
            </w:pPr>
            <w:r>
              <w:t>事业收入</w:t>
            </w:r>
          </w:p>
        </w:tc>
        <w:tc>
          <w:tcPr>
            <w:tcW w:w="1134" w:type="dxa"/>
            <w:vAlign w:val="center"/>
          </w:tcPr>
          <w:p w14:paraId="2EAA3333">
            <w:pPr>
              <w:pStyle w:val="10"/>
            </w:pPr>
            <w:r>
              <w:t>经营收入</w:t>
            </w:r>
          </w:p>
        </w:tc>
        <w:tc>
          <w:tcPr>
            <w:tcW w:w="1134" w:type="dxa"/>
            <w:vAlign w:val="center"/>
          </w:tcPr>
          <w:p w14:paraId="44C14CD0">
            <w:pPr>
              <w:pStyle w:val="10"/>
            </w:pPr>
            <w:r>
              <w:t>上级补助收入</w:t>
            </w:r>
          </w:p>
        </w:tc>
        <w:tc>
          <w:tcPr>
            <w:tcW w:w="1134" w:type="dxa"/>
            <w:vAlign w:val="center"/>
          </w:tcPr>
          <w:p w14:paraId="5DF942D9">
            <w:pPr>
              <w:pStyle w:val="10"/>
            </w:pPr>
            <w:r>
              <w:t>附属单位上缴收入</w:t>
            </w:r>
          </w:p>
        </w:tc>
        <w:tc>
          <w:tcPr>
            <w:tcW w:w="1134" w:type="dxa"/>
            <w:vAlign w:val="center"/>
          </w:tcPr>
          <w:p w14:paraId="574EA199">
            <w:pPr>
              <w:pStyle w:val="10"/>
            </w:pPr>
            <w:r>
              <w:t>其他收入</w:t>
            </w:r>
          </w:p>
        </w:tc>
        <w:tc>
          <w:tcPr>
            <w:tcW w:w="1134" w:type="dxa"/>
            <w:vMerge w:val="continue"/>
          </w:tcPr>
          <w:p w14:paraId="5C24F726"/>
        </w:tc>
      </w:tr>
      <w:tr w14:paraId="1089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B434AF">
            <w:pPr>
              <w:pStyle w:val="10"/>
            </w:pPr>
            <w:r>
              <w:t>栏次</w:t>
            </w:r>
          </w:p>
        </w:tc>
        <w:tc>
          <w:tcPr>
            <w:tcW w:w="992" w:type="dxa"/>
            <w:vAlign w:val="center"/>
          </w:tcPr>
          <w:p w14:paraId="055EFC38">
            <w:pPr>
              <w:pStyle w:val="10"/>
            </w:pPr>
            <w:r>
              <w:t>1</w:t>
            </w:r>
          </w:p>
        </w:tc>
        <w:tc>
          <w:tcPr>
            <w:tcW w:w="1559" w:type="dxa"/>
            <w:vAlign w:val="center"/>
          </w:tcPr>
          <w:p w14:paraId="3A57D8F1">
            <w:pPr>
              <w:pStyle w:val="10"/>
            </w:pPr>
            <w:r>
              <w:t>2</w:t>
            </w:r>
          </w:p>
        </w:tc>
        <w:tc>
          <w:tcPr>
            <w:tcW w:w="1134" w:type="dxa"/>
            <w:vAlign w:val="center"/>
          </w:tcPr>
          <w:p w14:paraId="0805F37C">
            <w:pPr>
              <w:pStyle w:val="10"/>
            </w:pPr>
            <w:r>
              <w:t>3</w:t>
            </w:r>
          </w:p>
        </w:tc>
        <w:tc>
          <w:tcPr>
            <w:tcW w:w="1134" w:type="dxa"/>
            <w:vAlign w:val="center"/>
          </w:tcPr>
          <w:p w14:paraId="6A59241F">
            <w:pPr>
              <w:pStyle w:val="10"/>
            </w:pPr>
            <w:r>
              <w:t>4</w:t>
            </w:r>
          </w:p>
        </w:tc>
        <w:tc>
          <w:tcPr>
            <w:tcW w:w="1134" w:type="dxa"/>
            <w:vAlign w:val="center"/>
          </w:tcPr>
          <w:p w14:paraId="77F28BE4">
            <w:pPr>
              <w:pStyle w:val="10"/>
            </w:pPr>
            <w:r>
              <w:t>5</w:t>
            </w:r>
          </w:p>
        </w:tc>
        <w:tc>
          <w:tcPr>
            <w:tcW w:w="1134" w:type="dxa"/>
            <w:vAlign w:val="center"/>
          </w:tcPr>
          <w:p w14:paraId="3878DB5C">
            <w:pPr>
              <w:pStyle w:val="10"/>
            </w:pPr>
            <w:r>
              <w:t>6</w:t>
            </w:r>
          </w:p>
        </w:tc>
        <w:tc>
          <w:tcPr>
            <w:tcW w:w="1134" w:type="dxa"/>
            <w:vAlign w:val="center"/>
          </w:tcPr>
          <w:p w14:paraId="11B45A4C">
            <w:pPr>
              <w:pStyle w:val="10"/>
            </w:pPr>
            <w:r>
              <w:t>7</w:t>
            </w:r>
          </w:p>
        </w:tc>
        <w:tc>
          <w:tcPr>
            <w:tcW w:w="1134" w:type="dxa"/>
            <w:vAlign w:val="center"/>
          </w:tcPr>
          <w:p w14:paraId="122B6213">
            <w:pPr>
              <w:pStyle w:val="10"/>
            </w:pPr>
            <w:r>
              <w:t>8</w:t>
            </w:r>
          </w:p>
        </w:tc>
        <w:tc>
          <w:tcPr>
            <w:tcW w:w="1134" w:type="dxa"/>
            <w:vAlign w:val="center"/>
          </w:tcPr>
          <w:p w14:paraId="2F960D77">
            <w:pPr>
              <w:pStyle w:val="10"/>
            </w:pPr>
            <w:r>
              <w:t>9</w:t>
            </w:r>
          </w:p>
        </w:tc>
        <w:tc>
          <w:tcPr>
            <w:tcW w:w="1134" w:type="dxa"/>
            <w:vAlign w:val="center"/>
          </w:tcPr>
          <w:p w14:paraId="4FD0A4F9">
            <w:pPr>
              <w:pStyle w:val="10"/>
            </w:pPr>
            <w:r>
              <w:t>10</w:t>
            </w:r>
          </w:p>
        </w:tc>
        <w:tc>
          <w:tcPr>
            <w:tcW w:w="1134" w:type="dxa"/>
            <w:vAlign w:val="center"/>
          </w:tcPr>
          <w:p w14:paraId="1666D2C8">
            <w:pPr>
              <w:pStyle w:val="10"/>
            </w:pPr>
            <w:r>
              <w:t>11</w:t>
            </w:r>
          </w:p>
        </w:tc>
        <w:tc>
          <w:tcPr>
            <w:tcW w:w="1134" w:type="dxa"/>
            <w:vAlign w:val="center"/>
          </w:tcPr>
          <w:p w14:paraId="768D4987">
            <w:pPr>
              <w:pStyle w:val="10"/>
            </w:pPr>
            <w:r>
              <w:t>12</w:t>
            </w:r>
          </w:p>
        </w:tc>
      </w:tr>
      <w:tr w14:paraId="6A6E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5BD66">
            <w:pPr>
              <w:pStyle w:val="13"/>
            </w:pPr>
            <w:r>
              <w:t>1</w:t>
            </w:r>
          </w:p>
        </w:tc>
        <w:tc>
          <w:tcPr>
            <w:tcW w:w="992" w:type="dxa"/>
            <w:vAlign w:val="center"/>
          </w:tcPr>
          <w:p w14:paraId="7E21994C">
            <w:pPr>
              <w:pStyle w:val="16"/>
            </w:pPr>
          </w:p>
        </w:tc>
        <w:tc>
          <w:tcPr>
            <w:tcW w:w="1559" w:type="dxa"/>
            <w:vAlign w:val="center"/>
          </w:tcPr>
          <w:p w14:paraId="1D79B8C1">
            <w:pPr>
              <w:pStyle w:val="14"/>
            </w:pPr>
            <w:r>
              <w:t>合计</w:t>
            </w:r>
          </w:p>
        </w:tc>
        <w:tc>
          <w:tcPr>
            <w:tcW w:w="1134" w:type="dxa"/>
            <w:vAlign w:val="center"/>
          </w:tcPr>
          <w:p w14:paraId="34578C50">
            <w:pPr>
              <w:pStyle w:val="15"/>
            </w:pPr>
            <w:r>
              <w:t>11332.29</w:t>
            </w:r>
          </w:p>
        </w:tc>
        <w:tc>
          <w:tcPr>
            <w:tcW w:w="1134" w:type="dxa"/>
            <w:vAlign w:val="center"/>
          </w:tcPr>
          <w:p w14:paraId="5CDE40C9">
            <w:pPr>
              <w:pStyle w:val="15"/>
            </w:pPr>
            <w:r>
              <w:t>6048.30</w:t>
            </w:r>
          </w:p>
        </w:tc>
        <w:tc>
          <w:tcPr>
            <w:tcW w:w="1134" w:type="dxa"/>
            <w:vAlign w:val="center"/>
          </w:tcPr>
          <w:p w14:paraId="1EBC253F">
            <w:pPr>
              <w:pStyle w:val="15"/>
            </w:pPr>
            <w:r>
              <w:t>5852.30</w:t>
            </w:r>
          </w:p>
        </w:tc>
        <w:tc>
          <w:tcPr>
            <w:tcW w:w="1134" w:type="dxa"/>
            <w:vAlign w:val="center"/>
          </w:tcPr>
          <w:p w14:paraId="2DB79DC9">
            <w:pPr>
              <w:pStyle w:val="15"/>
            </w:pPr>
            <w:r>
              <w:t>196.00</w:t>
            </w:r>
          </w:p>
        </w:tc>
        <w:tc>
          <w:tcPr>
            <w:tcW w:w="1134" w:type="dxa"/>
            <w:vAlign w:val="center"/>
          </w:tcPr>
          <w:p w14:paraId="1001DF0B">
            <w:pPr>
              <w:pStyle w:val="15"/>
            </w:pPr>
          </w:p>
        </w:tc>
        <w:tc>
          <w:tcPr>
            <w:tcW w:w="1134" w:type="dxa"/>
            <w:vAlign w:val="center"/>
          </w:tcPr>
          <w:p w14:paraId="407F1C84">
            <w:pPr>
              <w:pStyle w:val="15"/>
            </w:pPr>
          </w:p>
        </w:tc>
        <w:tc>
          <w:tcPr>
            <w:tcW w:w="1134" w:type="dxa"/>
            <w:vAlign w:val="center"/>
          </w:tcPr>
          <w:p w14:paraId="57D96358">
            <w:pPr>
              <w:pStyle w:val="15"/>
            </w:pPr>
          </w:p>
        </w:tc>
        <w:tc>
          <w:tcPr>
            <w:tcW w:w="1134" w:type="dxa"/>
            <w:vAlign w:val="center"/>
          </w:tcPr>
          <w:p w14:paraId="70AE7F6B">
            <w:pPr>
              <w:pStyle w:val="15"/>
            </w:pPr>
          </w:p>
        </w:tc>
        <w:tc>
          <w:tcPr>
            <w:tcW w:w="1134" w:type="dxa"/>
            <w:vAlign w:val="center"/>
          </w:tcPr>
          <w:p w14:paraId="677E89C6">
            <w:pPr>
              <w:pStyle w:val="15"/>
            </w:pPr>
          </w:p>
        </w:tc>
        <w:tc>
          <w:tcPr>
            <w:tcW w:w="1134" w:type="dxa"/>
            <w:vAlign w:val="center"/>
          </w:tcPr>
          <w:p w14:paraId="3876226E">
            <w:pPr>
              <w:pStyle w:val="15"/>
            </w:pPr>
            <w:r>
              <w:t>5283.99</w:t>
            </w:r>
          </w:p>
        </w:tc>
      </w:tr>
      <w:tr w14:paraId="070A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AEAFA">
            <w:pPr>
              <w:pStyle w:val="13"/>
            </w:pPr>
            <w:r>
              <w:t>2</w:t>
            </w:r>
          </w:p>
        </w:tc>
        <w:tc>
          <w:tcPr>
            <w:tcW w:w="992" w:type="dxa"/>
            <w:vAlign w:val="center"/>
          </w:tcPr>
          <w:p w14:paraId="1097AF1D">
            <w:pPr>
              <w:pStyle w:val="12"/>
            </w:pPr>
            <w:r>
              <w:t>205</w:t>
            </w:r>
          </w:p>
        </w:tc>
        <w:tc>
          <w:tcPr>
            <w:tcW w:w="1559" w:type="dxa"/>
            <w:vAlign w:val="center"/>
          </w:tcPr>
          <w:p w14:paraId="388A8B45">
            <w:pPr>
              <w:pStyle w:val="12"/>
            </w:pPr>
            <w:r>
              <w:t>教育支出</w:t>
            </w:r>
          </w:p>
        </w:tc>
        <w:tc>
          <w:tcPr>
            <w:tcW w:w="1134" w:type="dxa"/>
            <w:vAlign w:val="center"/>
          </w:tcPr>
          <w:p w14:paraId="54B2F532">
            <w:pPr>
              <w:pStyle w:val="11"/>
            </w:pPr>
            <w:r>
              <w:t>6001.44</w:t>
            </w:r>
          </w:p>
        </w:tc>
        <w:tc>
          <w:tcPr>
            <w:tcW w:w="1134" w:type="dxa"/>
            <w:vAlign w:val="center"/>
          </w:tcPr>
          <w:p w14:paraId="186525F9">
            <w:pPr>
              <w:pStyle w:val="11"/>
            </w:pPr>
            <w:r>
              <w:t>6001.44</w:t>
            </w:r>
          </w:p>
        </w:tc>
        <w:tc>
          <w:tcPr>
            <w:tcW w:w="1134" w:type="dxa"/>
            <w:vAlign w:val="center"/>
          </w:tcPr>
          <w:p w14:paraId="70C2077D">
            <w:pPr>
              <w:pStyle w:val="11"/>
            </w:pPr>
            <w:r>
              <w:t>5805.44</w:t>
            </w:r>
          </w:p>
        </w:tc>
        <w:tc>
          <w:tcPr>
            <w:tcW w:w="1134" w:type="dxa"/>
            <w:vAlign w:val="center"/>
          </w:tcPr>
          <w:p w14:paraId="63985081">
            <w:pPr>
              <w:pStyle w:val="11"/>
            </w:pPr>
            <w:r>
              <w:t>196.00</w:t>
            </w:r>
          </w:p>
        </w:tc>
        <w:tc>
          <w:tcPr>
            <w:tcW w:w="1134" w:type="dxa"/>
            <w:vAlign w:val="center"/>
          </w:tcPr>
          <w:p w14:paraId="250BC5EE">
            <w:pPr>
              <w:pStyle w:val="11"/>
            </w:pPr>
          </w:p>
        </w:tc>
        <w:tc>
          <w:tcPr>
            <w:tcW w:w="1134" w:type="dxa"/>
            <w:vAlign w:val="center"/>
          </w:tcPr>
          <w:p w14:paraId="1495B5F2">
            <w:pPr>
              <w:pStyle w:val="11"/>
            </w:pPr>
          </w:p>
        </w:tc>
        <w:tc>
          <w:tcPr>
            <w:tcW w:w="1134" w:type="dxa"/>
            <w:vAlign w:val="center"/>
          </w:tcPr>
          <w:p w14:paraId="121F4102">
            <w:pPr>
              <w:pStyle w:val="11"/>
            </w:pPr>
          </w:p>
        </w:tc>
        <w:tc>
          <w:tcPr>
            <w:tcW w:w="1134" w:type="dxa"/>
            <w:vAlign w:val="center"/>
          </w:tcPr>
          <w:p w14:paraId="2CFEA901">
            <w:pPr>
              <w:pStyle w:val="11"/>
            </w:pPr>
          </w:p>
        </w:tc>
        <w:tc>
          <w:tcPr>
            <w:tcW w:w="1134" w:type="dxa"/>
            <w:vAlign w:val="center"/>
          </w:tcPr>
          <w:p w14:paraId="1674082F">
            <w:pPr>
              <w:pStyle w:val="11"/>
            </w:pPr>
          </w:p>
        </w:tc>
        <w:tc>
          <w:tcPr>
            <w:tcW w:w="1134" w:type="dxa"/>
            <w:vAlign w:val="center"/>
          </w:tcPr>
          <w:p w14:paraId="7D53E533">
            <w:pPr>
              <w:pStyle w:val="11"/>
            </w:pPr>
          </w:p>
        </w:tc>
      </w:tr>
      <w:tr w14:paraId="2CF7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8E71C">
            <w:pPr>
              <w:pStyle w:val="13"/>
            </w:pPr>
            <w:r>
              <w:t>3</w:t>
            </w:r>
          </w:p>
        </w:tc>
        <w:tc>
          <w:tcPr>
            <w:tcW w:w="992" w:type="dxa"/>
            <w:vAlign w:val="center"/>
          </w:tcPr>
          <w:p w14:paraId="465EBB4D">
            <w:pPr>
              <w:pStyle w:val="12"/>
            </w:pPr>
            <w:r>
              <w:t>20501</w:t>
            </w:r>
          </w:p>
        </w:tc>
        <w:tc>
          <w:tcPr>
            <w:tcW w:w="1559" w:type="dxa"/>
            <w:vAlign w:val="center"/>
          </w:tcPr>
          <w:p w14:paraId="510CDAD7">
            <w:pPr>
              <w:pStyle w:val="12"/>
            </w:pPr>
            <w:r>
              <w:t>教育管理事务</w:t>
            </w:r>
          </w:p>
        </w:tc>
        <w:tc>
          <w:tcPr>
            <w:tcW w:w="1134" w:type="dxa"/>
            <w:vAlign w:val="center"/>
          </w:tcPr>
          <w:p w14:paraId="62748529">
            <w:pPr>
              <w:pStyle w:val="11"/>
            </w:pPr>
            <w:r>
              <w:t>476.49</w:t>
            </w:r>
          </w:p>
        </w:tc>
        <w:tc>
          <w:tcPr>
            <w:tcW w:w="1134" w:type="dxa"/>
            <w:vAlign w:val="center"/>
          </w:tcPr>
          <w:p w14:paraId="08CDE298">
            <w:pPr>
              <w:pStyle w:val="11"/>
            </w:pPr>
            <w:r>
              <w:t>476.49</w:t>
            </w:r>
          </w:p>
        </w:tc>
        <w:tc>
          <w:tcPr>
            <w:tcW w:w="1134" w:type="dxa"/>
            <w:vAlign w:val="center"/>
          </w:tcPr>
          <w:p w14:paraId="09F3019D">
            <w:pPr>
              <w:pStyle w:val="11"/>
            </w:pPr>
            <w:r>
              <w:t>280.49</w:t>
            </w:r>
          </w:p>
        </w:tc>
        <w:tc>
          <w:tcPr>
            <w:tcW w:w="1134" w:type="dxa"/>
            <w:vAlign w:val="center"/>
          </w:tcPr>
          <w:p w14:paraId="50B13A39">
            <w:pPr>
              <w:pStyle w:val="11"/>
            </w:pPr>
            <w:r>
              <w:t>196.00</w:t>
            </w:r>
          </w:p>
        </w:tc>
        <w:tc>
          <w:tcPr>
            <w:tcW w:w="1134" w:type="dxa"/>
            <w:vAlign w:val="center"/>
          </w:tcPr>
          <w:p w14:paraId="7F48961D">
            <w:pPr>
              <w:pStyle w:val="11"/>
            </w:pPr>
          </w:p>
        </w:tc>
        <w:tc>
          <w:tcPr>
            <w:tcW w:w="1134" w:type="dxa"/>
            <w:vAlign w:val="center"/>
          </w:tcPr>
          <w:p w14:paraId="20C5DC02">
            <w:pPr>
              <w:pStyle w:val="11"/>
            </w:pPr>
          </w:p>
        </w:tc>
        <w:tc>
          <w:tcPr>
            <w:tcW w:w="1134" w:type="dxa"/>
            <w:vAlign w:val="center"/>
          </w:tcPr>
          <w:p w14:paraId="7F06A85C">
            <w:pPr>
              <w:pStyle w:val="11"/>
            </w:pPr>
          </w:p>
        </w:tc>
        <w:tc>
          <w:tcPr>
            <w:tcW w:w="1134" w:type="dxa"/>
            <w:vAlign w:val="center"/>
          </w:tcPr>
          <w:p w14:paraId="43E69248">
            <w:pPr>
              <w:pStyle w:val="11"/>
            </w:pPr>
          </w:p>
        </w:tc>
        <w:tc>
          <w:tcPr>
            <w:tcW w:w="1134" w:type="dxa"/>
            <w:vAlign w:val="center"/>
          </w:tcPr>
          <w:p w14:paraId="6F83B30E">
            <w:pPr>
              <w:pStyle w:val="11"/>
            </w:pPr>
          </w:p>
        </w:tc>
        <w:tc>
          <w:tcPr>
            <w:tcW w:w="1134" w:type="dxa"/>
            <w:vAlign w:val="center"/>
          </w:tcPr>
          <w:p w14:paraId="68CBB0A6">
            <w:pPr>
              <w:pStyle w:val="11"/>
            </w:pPr>
          </w:p>
        </w:tc>
      </w:tr>
      <w:tr w14:paraId="73C4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CF754">
            <w:pPr>
              <w:pStyle w:val="13"/>
            </w:pPr>
            <w:r>
              <w:t>4</w:t>
            </w:r>
          </w:p>
        </w:tc>
        <w:tc>
          <w:tcPr>
            <w:tcW w:w="992" w:type="dxa"/>
            <w:vAlign w:val="center"/>
          </w:tcPr>
          <w:p w14:paraId="3BC4875E">
            <w:pPr>
              <w:pStyle w:val="12"/>
            </w:pPr>
            <w:r>
              <w:t>2050101</w:t>
            </w:r>
          </w:p>
        </w:tc>
        <w:tc>
          <w:tcPr>
            <w:tcW w:w="1559" w:type="dxa"/>
            <w:vAlign w:val="center"/>
          </w:tcPr>
          <w:p w14:paraId="2630C279">
            <w:pPr>
              <w:pStyle w:val="12"/>
            </w:pPr>
            <w:r>
              <w:t>行政运行</w:t>
            </w:r>
          </w:p>
        </w:tc>
        <w:tc>
          <w:tcPr>
            <w:tcW w:w="1134" w:type="dxa"/>
            <w:vAlign w:val="center"/>
          </w:tcPr>
          <w:p w14:paraId="71CD9B8A">
            <w:pPr>
              <w:pStyle w:val="11"/>
            </w:pPr>
            <w:r>
              <w:t>476.49</w:t>
            </w:r>
          </w:p>
        </w:tc>
        <w:tc>
          <w:tcPr>
            <w:tcW w:w="1134" w:type="dxa"/>
            <w:vAlign w:val="center"/>
          </w:tcPr>
          <w:p w14:paraId="3A4CECFC">
            <w:pPr>
              <w:pStyle w:val="11"/>
            </w:pPr>
            <w:r>
              <w:t>476.49</w:t>
            </w:r>
          </w:p>
        </w:tc>
        <w:tc>
          <w:tcPr>
            <w:tcW w:w="1134" w:type="dxa"/>
            <w:vAlign w:val="center"/>
          </w:tcPr>
          <w:p w14:paraId="1868F225">
            <w:pPr>
              <w:pStyle w:val="11"/>
            </w:pPr>
            <w:r>
              <w:t>280.49</w:t>
            </w:r>
          </w:p>
        </w:tc>
        <w:tc>
          <w:tcPr>
            <w:tcW w:w="1134" w:type="dxa"/>
            <w:vAlign w:val="center"/>
          </w:tcPr>
          <w:p w14:paraId="233387CE">
            <w:pPr>
              <w:pStyle w:val="11"/>
            </w:pPr>
            <w:r>
              <w:t>196.00</w:t>
            </w:r>
          </w:p>
        </w:tc>
        <w:tc>
          <w:tcPr>
            <w:tcW w:w="1134" w:type="dxa"/>
            <w:vAlign w:val="center"/>
          </w:tcPr>
          <w:p w14:paraId="48816902">
            <w:pPr>
              <w:pStyle w:val="11"/>
            </w:pPr>
          </w:p>
        </w:tc>
        <w:tc>
          <w:tcPr>
            <w:tcW w:w="1134" w:type="dxa"/>
            <w:vAlign w:val="center"/>
          </w:tcPr>
          <w:p w14:paraId="686B6466">
            <w:pPr>
              <w:pStyle w:val="11"/>
            </w:pPr>
          </w:p>
        </w:tc>
        <w:tc>
          <w:tcPr>
            <w:tcW w:w="1134" w:type="dxa"/>
            <w:vAlign w:val="center"/>
          </w:tcPr>
          <w:p w14:paraId="3B91E0C7">
            <w:pPr>
              <w:pStyle w:val="11"/>
            </w:pPr>
          </w:p>
        </w:tc>
        <w:tc>
          <w:tcPr>
            <w:tcW w:w="1134" w:type="dxa"/>
            <w:vAlign w:val="center"/>
          </w:tcPr>
          <w:p w14:paraId="70214C30">
            <w:pPr>
              <w:pStyle w:val="11"/>
            </w:pPr>
          </w:p>
        </w:tc>
        <w:tc>
          <w:tcPr>
            <w:tcW w:w="1134" w:type="dxa"/>
            <w:vAlign w:val="center"/>
          </w:tcPr>
          <w:p w14:paraId="3F70E5AD">
            <w:pPr>
              <w:pStyle w:val="11"/>
            </w:pPr>
          </w:p>
        </w:tc>
        <w:tc>
          <w:tcPr>
            <w:tcW w:w="1134" w:type="dxa"/>
            <w:vAlign w:val="center"/>
          </w:tcPr>
          <w:p w14:paraId="091CD2BC">
            <w:pPr>
              <w:pStyle w:val="11"/>
            </w:pPr>
          </w:p>
        </w:tc>
      </w:tr>
      <w:tr w14:paraId="67B4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731F7">
            <w:pPr>
              <w:pStyle w:val="13"/>
            </w:pPr>
            <w:r>
              <w:t>5</w:t>
            </w:r>
          </w:p>
        </w:tc>
        <w:tc>
          <w:tcPr>
            <w:tcW w:w="992" w:type="dxa"/>
            <w:vAlign w:val="center"/>
          </w:tcPr>
          <w:p w14:paraId="0F042BF4">
            <w:pPr>
              <w:pStyle w:val="12"/>
            </w:pPr>
            <w:r>
              <w:t>20502</w:t>
            </w:r>
          </w:p>
        </w:tc>
        <w:tc>
          <w:tcPr>
            <w:tcW w:w="1559" w:type="dxa"/>
            <w:vAlign w:val="center"/>
          </w:tcPr>
          <w:p w14:paraId="666B0691">
            <w:pPr>
              <w:pStyle w:val="12"/>
            </w:pPr>
            <w:r>
              <w:t>普通教育</w:t>
            </w:r>
          </w:p>
        </w:tc>
        <w:tc>
          <w:tcPr>
            <w:tcW w:w="1134" w:type="dxa"/>
            <w:vAlign w:val="center"/>
          </w:tcPr>
          <w:p w14:paraId="3396C960">
            <w:pPr>
              <w:pStyle w:val="11"/>
            </w:pPr>
            <w:r>
              <w:t>5393.20</w:t>
            </w:r>
          </w:p>
        </w:tc>
        <w:tc>
          <w:tcPr>
            <w:tcW w:w="1134" w:type="dxa"/>
            <w:vAlign w:val="center"/>
          </w:tcPr>
          <w:p w14:paraId="5CF2300A">
            <w:pPr>
              <w:pStyle w:val="11"/>
            </w:pPr>
            <w:r>
              <w:t>5393.20</w:t>
            </w:r>
          </w:p>
        </w:tc>
        <w:tc>
          <w:tcPr>
            <w:tcW w:w="1134" w:type="dxa"/>
            <w:vAlign w:val="center"/>
          </w:tcPr>
          <w:p w14:paraId="61948871">
            <w:pPr>
              <w:pStyle w:val="11"/>
            </w:pPr>
            <w:r>
              <w:t>5393.20</w:t>
            </w:r>
          </w:p>
        </w:tc>
        <w:tc>
          <w:tcPr>
            <w:tcW w:w="1134" w:type="dxa"/>
            <w:vAlign w:val="center"/>
          </w:tcPr>
          <w:p w14:paraId="04B64776">
            <w:pPr>
              <w:pStyle w:val="11"/>
            </w:pPr>
          </w:p>
        </w:tc>
        <w:tc>
          <w:tcPr>
            <w:tcW w:w="1134" w:type="dxa"/>
            <w:vAlign w:val="center"/>
          </w:tcPr>
          <w:p w14:paraId="2761A3A2">
            <w:pPr>
              <w:pStyle w:val="11"/>
            </w:pPr>
          </w:p>
        </w:tc>
        <w:tc>
          <w:tcPr>
            <w:tcW w:w="1134" w:type="dxa"/>
            <w:vAlign w:val="center"/>
          </w:tcPr>
          <w:p w14:paraId="581CE369">
            <w:pPr>
              <w:pStyle w:val="11"/>
            </w:pPr>
          </w:p>
        </w:tc>
        <w:tc>
          <w:tcPr>
            <w:tcW w:w="1134" w:type="dxa"/>
            <w:vAlign w:val="center"/>
          </w:tcPr>
          <w:p w14:paraId="26C3E2F4">
            <w:pPr>
              <w:pStyle w:val="11"/>
            </w:pPr>
          </w:p>
        </w:tc>
        <w:tc>
          <w:tcPr>
            <w:tcW w:w="1134" w:type="dxa"/>
            <w:vAlign w:val="center"/>
          </w:tcPr>
          <w:p w14:paraId="118544EC">
            <w:pPr>
              <w:pStyle w:val="11"/>
            </w:pPr>
          </w:p>
        </w:tc>
        <w:tc>
          <w:tcPr>
            <w:tcW w:w="1134" w:type="dxa"/>
            <w:vAlign w:val="center"/>
          </w:tcPr>
          <w:p w14:paraId="1EF5278D">
            <w:pPr>
              <w:pStyle w:val="11"/>
            </w:pPr>
          </w:p>
        </w:tc>
        <w:tc>
          <w:tcPr>
            <w:tcW w:w="1134" w:type="dxa"/>
            <w:vAlign w:val="center"/>
          </w:tcPr>
          <w:p w14:paraId="6C367E9E">
            <w:pPr>
              <w:pStyle w:val="11"/>
            </w:pPr>
          </w:p>
        </w:tc>
      </w:tr>
      <w:tr w14:paraId="4141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0B68AD">
            <w:pPr>
              <w:pStyle w:val="13"/>
            </w:pPr>
            <w:r>
              <w:t>6</w:t>
            </w:r>
          </w:p>
        </w:tc>
        <w:tc>
          <w:tcPr>
            <w:tcW w:w="992" w:type="dxa"/>
            <w:vAlign w:val="center"/>
          </w:tcPr>
          <w:p w14:paraId="1A549AFB">
            <w:pPr>
              <w:pStyle w:val="12"/>
            </w:pPr>
            <w:r>
              <w:t>2050201</w:t>
            </w:r>
          </w:p>
        </w:tc>
        <w:tc>
          <w:tcPr>
            <w:tcW w:w="1559" w:type="dxa"/>
            <w:vAlign w:val="center"/>
          </w:tcPr>
          <w:p w14:paraId="1B93AAC0">
            <w:pPr>
              <w:pStyle w:val="12"/>
            </w:pPr>
            <w:r>
              <w:t>学前教育</w:t>
            </w:r>
          </w:p>
        </w:tc>
        <w:tc>
          <w:tcPr>
            <w:tcW w:w="1134" w:type="dxa"/>
            <w:vAlign w:val="center"/>
          </w:tcPr>
          <w:p w14:paraId="668445AC">
            <w:pPr>
              <w:pStyle w:val="11"/>
            </w:pPr>
            <w:r>
              <w:t>1467.51</w:t>
            </w:r>
          </w:p>
        </w:tc>
        <w:tc>
          <w:tcPr>
            <w:tcW w:w="1134" w:type="dxa"/>
            <w:vAlign w:val="center"/>
          </w:tcPr>
          <w:p w14:paraId="4228856E">
            <w:pPr>
              <w:pStyle w:val="11"/>
            </w:pPr>
            <w:r>
              <w:t>1467.51</w:t>
            </w:r>
          </w:p>
        </w:tc>
        <w:tc>
          <w:tcPr>
            <w:tcW w:w="1134" w:type="dxa"/>
            <w:vAlign w:val="center"/>
          </w:tcPr>
          <w:p w14:paraId="04FF0486">
            <w:pPr>
              <w:pStyle w:val="11"/>
            </w:pPr>
            <w:r>
              <w:t>1467.51</w:t>
            </w:r>
          </w:p>
        </w:tc>
        <w:tc>
          <w:tcPr>
            <w:tcW w:w="1134" w:type="dxa"/>
            <w:vAlign w:val="center"/>
          </w:tcPr>
          <w:p w14:paraId="6B1B8106">
            <w:pPr>
              <w:pStyle w:val="11"/>
            </w:pPr>
          </w:p>
        </w:tc>
        <w:tc>
          <w:tcPr>
            <w:tcW w:w="1134" w:type="dxa"/>
            <w:vAlign w:val="center"/>
          </w:tcPr>
          <w:p w14:paraId="01DF7C50">
            <w:pPr>
              <w:pStyle w:val="11"/>
            </w:pPr>
          </w:p>
        </w:tc>
        <w:tc>
          <w:tcPr>
            <w:tcW w:w="1134" w:type="dxa"/>
            <w:vAlign w:val="center"/>
          </w:tcPr>
          <w:p w14:paraId="0A2C4C96">
            <w:pPr>
              <w:pStyle w:val="11"/>
            </w:pPr>
          </w:p>
        </w:tc>
        <w:tc>
          <w:tcPr>
            <w:tcW w:w="1134" w:type="dxa"/>
            <w:vAlign w:val="center"/>
          </w:tcPr>
          <w:p w14:paraId="5BEC41D8">
            <w:pPr>
              <w:pStyle w:val="11"/>
            </w:pPr>
          </w:p>
        </w:tc>
        <w:tc>
          <w:tcPr>
            <w:tcW w:w="1134" w:type="dxa"/>
            <w:vAlign w:val="center"/>
          </w:tcPr>
          <w:p w14:paraId="052B14D1">
            <w:pPr>
              <w:pStyle w:val="11"/>
            </w:pPr>
          </w:p>
        </w:tc>
        <w:tc>
          <w:tcPr>
            <w:tcW w:w="1134" w:type="dxa"/>
            <w:vAlign w:val="center"/>
          </w:tcPr>
          <w:p w14:paraId="4E87632C">
            <w:pPr>
              <w:pStyle w:val="11"/>
            </w:pPr>
          </w:p>
        </w:tc>
        <w:tc>
          <w:tcPr>
            <w:tcW w:w="1134" w:type="dxa"/>
            <w:vAlign w:val="center"/>
          </w:tcPr>
          <w:p w14:paraId="323C42A1">
            <w:pPr>
              <w:pStyle w:val="11"/>
            </w:pPr>
          </w:p>
        </w:tc>
      </w:tr>
      <w:tr w14:paraId="20D7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453E2">
            <w:pPr>
              <w:pStyle w:val="13"/>
            </w:pPr>
            <w:r>
              <w:t>7</w:t>
            </w:r>
          </w:p>
        </w:tc>
        <w:tc>
          <w:tcPr>
            <w:tcW w:w="992" w:type="dxa"/>
            <w:vAlign w:val="center"/>
          </w:tcPr>
          <w:p w14:paraId="791A47BF">
            <w:pPr>
              <w:pStyle w:val="12"/>
            </w:pPr>
            <w:r>
              <w:t>2050202</w:t>
            </w:r>
          </w:p>
        </w:tc>
        <w:tc>
          <w:tcPr>
            <w:tcW w:w="1559" w:type="dxa"/>
            <w:vAlign w:val="center"/>
          </w:tcPr>
          <w:p w14:paraId="5884CEB7">
            <w:pPr>
              <w:pStyle w:val="12"/>
            </w:pPr>
            <w:r>
              <w:t>小学教育</w:t>
            </w:r>
          </w:p>
        </w:tc>
        <w:tc>
          <w:tcPr>
            <w:tcW w:w="1134" w:type="dxa"/>
            <w:vAlign w:val="center"/>
          </w:tcPr>
          <w:p w14:paraId="4EF49AC0">
            <w:pPr>
              <w:pStyle w:val="11"/>
            </w:pPr>
            <w:r>
              <w:t>1759.38</w:t>
            </w:r>
          </w:p>
        </w:tc>
        <w:tc>
          <w:tcPr>
            <w:tcW w:w="1134" w:type="dxa"/>
            <w:vAlign w:val="center"/>
          </w:tcPr>
          <w:p w14:paraId="1D9F7838">
            <w:pPr>
              <w:pStyle w:val="11"/>
            </w:pPr>
            <w:r>
              <w:t>1759.38</w:t>
            </w:r>
          </w:p>
        </w:tc>
        <w:tc>
          <w:tcPr>
            <w:tcW w:w="1134" w:type="dxa"/>
            <w:vAlign w:val="center"/>
          </w:tcPr>
          <w:p w14:paraId="7546BB7A">
            <w:pPr>
              <w:pStyle w:val="11"/>
            </w:pPr>
            <w:r>
              <w:t>1759.38</w:t>
            </w:r>
          </w:p>
        </w:tc>
        <w:tc>
          <w:tcPr>
            <w:tcW w:w="1134" w:type="dxa"/>
            <w:vAlign w:val="center"/>
          </w:tcPr>
          <w:p w14:paraId="728B93AA">
            <w:pPr>
              <w:pStyle w:val="11"/>
            </w:pPr>
          </w:p>
        </w:tc>
        <w:tc>
          <w:tcPr>
            <w:tcW w:w="1134" w:type="dxa"/>
            <w:vAlign w:val="center"/>
          </w:tcPr>
          <w:p w14:paraId="3C10A51A">
            <w:pPr>
              <w:pStyle w:val="11"/>
            </w:pPr>
          </w:p>
        </w:tc>
        <w:tc>
          <w:tcPr>
            <w:tcW w:w="1134" w:type="dxa"/>
            <w:vAlign w:val="center"/>
          </w:tcPr>
          <w:p w14:paraId="7BEBBAEE">
            <w:pPr>
              <w:pStyle w:val="11"/>
            </w:pPr>
          </w:p>
        </w:tc>
        <w:tc>
          <w:tcPr>
            <w:tcW w:w="1134" w:type="dxa"/>
            <w:vAlign w:val="center"/>
          </w:tcPr>
          <w:p w14:paraId="044005A0">
            <w:pPr>
              <w:pStyle w:val="11"/>
            </w:pPr>
          </w:p>
        </w:tc>
        <w:tc>
          <w:tcPr>
            <w:tcW w:w="1134" w:type="dxa"/>
            <w:vAlign w:val="center"/>
          </w:tcPr>
          <w:p w14:paraId="4664435C">
            <w:pPr>
              <w:pStyle w:val="11"/>
            </w:pPr>
          </w:p>
        </w:tc>
        <w:tc>
          <w:tcPr>
            <w:tcW w:w="1134" w:type="dxa"/>
            <w:vAlign w:val="center"/>
          </w:tcPr>
          <w:p w14:paraId="2DF03255">
            <w:pPr>
              <w:pStyle w:val="11"/>
            </w:pPr>
          </w:p>
        </w:tc>
        <w:tc>
          <w:tcPr>
            <w:tcW w:w="1134" w:type="dxa"/>
            <w:vAlign w:val="center"/>
          </w:tcPr>
          <w:p w14:paraId="430CE75F">
            <w:pPr>
              <w:pStyle w:val="11"/>
            </w:pPr>
          </w:p>
        </w:tc>
      </w:tr>
      <w:tr w14:paraId="3EA7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75813">
            <w:pPr>
              <w:pStyle w:val="13"/>
            </w:pPr>
            <w:r>
              <w:t>8</w:t>
            </w:r>
          </w:p>
        </w:tc>
        <w:tc>
          <w:tcPr>
            <w:tcW w:w="992" w:type="dxa"/>
            <w:vAlign w:val="center"/>
          </w:tcPr>
          <w:p w14:paraId="2FB3339B">
            <w:pPr>
              <w:pStyle w:val="12"/>
            </w:pPr>
            <w:r>
              <w:t>2050203</w:t>
            </w:r>
          </w:p>
        </w:tc>
        <w:tc>
          <w:tcPr>
            <w:tcW w:w="1559" w:type="dxa"/>
            <w:vAlign w:val="center"/>
          </w:tcPr>
          <w:p w14:paraId="61BBE2D1">
            <w:pPr>
              <w:pStyle w:val="12"/>
            </w:pPr>
            <w:r>
              <w:t>初中教育</w:t>
            </w:r>
          </w:p>
        </w:tc>
        <w:tc>
          <w:tcPr>
            <w:tcW w:w="1134" w:type="dxa"/>
            <w:vAlign w:val="center"/>
          </w:tcPr>
          <w:p w14:paraId="30C4F616">
            <w:pPr>
              <w:pStyle w:val="11"/>
            </w:pPr>
            <w:r>
              <w:t>689.85</w:t>
            </w:r>
          </w:p>
        </w:tc>
        <w:tc>
          <w:tcPr>
            <w:tcW w:w="1134" w:type="dxa"/>
            <w:vAlign w:val="center"/>
          </w:tcPr>
          <w:p w14:paraId="0BFDFD83">
            <w:pPr>
              <w:pStyle w:val="11"/>
            </w:pPr>
            <w:r>
              <w:t>689.85</w:t>
            </w:r>
          </w:p>
        </w:tc>
        <w:tc>
          <w:tcPr>
            <w:tcW w:w="1134" w:type="dxa"/>
            <w:vAlign w:val="center"/>
          </w:tcPr>
          <w:p w14:paraId="3974C46C">
            <w:pPr>
              <w:pStyle w:val="11"/>
            </w:pPr>
            <w:r>
              <w:t>689.85</w:t>
            </w:r>
          </w:p>
        </w:tc>
        <w:tc>
          <w:tcPr>
            <w:tcW w:w="1134" w:type="dxa"/>
            <w:vAlign w:val="center"/>
          </w:tcPr>
          <w:p w14:paraId="47E6610F">
            <w:pPr>
              <w:pStyle w:val="11"/>
            </w:pPr>
          </w:p>
        </w:tc>
        <w:tc>
          <w:tcPr>
            <w:tcW w:w="1134" w:type="dxa"/>
            <w:vAlign w:val="center"/>
          </w:tcPr>
          <w:p w14:paraId="6CF879EB">
            <w:pPr>
              <w:pStyle w:val="11"/>
            </w:pPr>
          </w:p>
        </w:tc>
        <w:tc>
          <w:tcPr>
            <w:tcW w:w="1134" w:type="dxa"/>
            <w:vAlign w:val="center"/>
          </w:tcPr>
          <w:p w14:paraId="73DF0671">
            <w:pPr>
              <w:pStyle w:val="11"/>
            </w:pPr>
          </w:p>
        </w:tc>
        <w:tc>
          <w:tcPr>
            <w:tcW w:w="1134" w:type="dxa"/>
            <w:vAlign w:val="center"/>
          </w:tcPr>
          <w:p w14:paraId="237D0A75">
            <w:pPr>
              <w:pStyle w:val="11"/>
            </w:pPr>
          </w:p>
        </w:tc>
        <w:tc>
          <w:tcPr>
            <w:tcW w:w="1134" w:type="dxa"/>
            <w:vAlign w:val="center"/>
          </w:tcPr>
          <w:p w14:paraId="0428F9DE">
            <w:pPr>
              <w:pStyle w:val="11"/>
            </w:pPr>
          </w:p>
        </w:tc>
        <w:tc>
          <w:tcPr>
            <w:tcW w:w="1134" w:type="dxa"/>
            <w:vAlign w:val="center"/>
          </w:tcPr>
          <w:p w14:paraId="4600494F">
            <w:pPr>
              <w:pStyle w:val="11"/>
            </w:pPr>
          </w:p>
        </w:tc>
        <w:tc>
          <w:tcPr>
            <w:tcW w:w="1134" w:type="dxa"/>
            <w:vAlign w:val="center"/>
          </w:tcPr>
          <w:p w14:paraId="0E75555D">
            <w:pPr>
              <w:pStyle w:val="11"/>
            </w:pPr>
          </w:p>
        </w:tc>
      </w:tr>
      <w:tr w14:paraId="75513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7E787">
            <w:pPr>
              <w:pStyle w:val="13"/>
            </w:pPr>
            <w:r>
              <w:t>9</w:t>
            </w:r>
          </w:p>
        </w:tc>
        <w:tc>
          <w:tcPr>
            <w:tcW w:w="992" w:type="dxa"/>
            <w:vAlign w:val="center"/>
          </w:tcPr>
          <w:p w14:paraId="29BDFE0B">
            <w:pPr>
              <w:pStyle w:val="12"/>
            </w:pPr>
            <w:r>
              <w:t>2050204</w:t>
            </w:r>
          </w:p>
        </w:tc>
        <w:tc>
          <w:tcPr>
            <w:tcW w:w="1559" w:type="dxa"/>
            <w:vAlign w:val="center"/>
          </w:tcPr>
          <w:p w14:paraId="2B0DE42D">
            <w:pPr>
              <w:pStyle w:val="12"/>
            </w:pPr>
            <w:r>
              <w:t>高中教育</w:t>
            </w:r>
          </w:p>
        </w:tc>
        <w:tc>
          <w:tcPr>
            <w:tcW w:w="1134" w:type="dxa"/>
            <w:vAlign w:val="center"/>
          </w:tcPr>
          <w:p w14:paraId="3020B783">
            <w:pPr>
              <w:pStyle w:val="11"/>
            </w:pPr>
            <w:r>
              <w:t>365.77</w:t>
            </w:r>
          </w:p>
        </w:tc>
        <w:tc>
          <w:tcPr>
            <w:tcW w:w="1134" w:type="dxa"/>
            <w:vAlign w:val="center"/>
          </w:tcPr>
          <w:p w14:paraId="3DD3B20B">
            <w:pPr>
              <w:pStyle w:val="11"/>
            </w:pPr>
            <w:r>
              <w:t>365.77</w:t>
            </w:r>
          </w:p>
        </w:tc>
        <w:tc>
          <w:tcPr>
            <w:tcW w:w="1134" w:type="dxa"/>
            <w:vAlign w:val="center"/>
          </w:tcPr>
          <w:p w14:paraId="4A33913B">
            <w:pPr>
              <w:pStyle w:val="11"/>
            </w:pPr>
            <w:r>
              <w:t>365.77</w:t>
            </w:r>
          </w:p>
        </w:tc>
        <w:tc>
          <w:tcPr>
            <w:tcW w:w="1134" w:type="dxa"/>
            <w:vAlign w:val="center"/>
          </w:tcPr>
          <w:p w14:paraId="3019FC38">
            <w:pPr>
              <w:pStyle w:val="11"/>
            </w:pPr>
          </w:p>
        </w:tc>
        <w:tc>
          <w:tcPr>
            <w:tcW w:w="1134" w:type="dxa"/>
            <w:vAlign w:val="center"/>
          </w:tcPr>
          <w:p w14:paraId="01534ADA">
            <w:pPr>
              <w:pStyle w:val="11"/>
            </w:pPr>
          </w:p>
        </w:tc>
        <w:tc>
          <w:tcPr>
            <w:tcW w:w="1134" w:type="dxa"/>
            <w:vAlign w:val="center"/>
          </w:tcPr>
          <w:p w14:paraId="75AFCD2F">
            <w:pPr>
              <w:pStyle w:val="11"/>
            </w:pPr>
          </w:p>
        </w:tc>
        <w:tc>
          <w:tcPr>
            <w:tcW w:w="1134" w:type="dxa"/>
            <w:vAlign w:val="center"/>
          </w:tcPr>
          <w:p w14:paraId="1A812FD2">
            <w:pPr>
              <w:pStyle w:val="11"/>
            </w:pPr>
          </w:p>
        </w:tc>
        <w:tc>
          <w:tcPr>
            <w:tcW w:w="1134" w:type="dxa"/>
            <w:vAlign w:val="center"/>
          </w:tcPr>
          <w:p w14:paraId="0E374CE4">
            <w:pPr>
              <w:pStyle w:val="11"/>
            </w:pPr>
          </w:p>
        </w:tc>
        <w:tc>
          <w:tcPr>
            <w:tcW w:w="1134" w:type="dxa"/>
            <w:vAlign w:val="center"/>
          </w:tcPr>
          <w:p w14:paraId="1F2C68A8">
            <w:pPr>
              <w:pStyle w:val="11"/>
            </w:pPr>
          </w:p>
        </w:tc>
        <w:tc>
          <w:tcPr>
            <w:tcW w:w="1134" w:type="dxa"/>
            <w:vAlign w:val="center"/>
          </w:tcPr>
          <w:p w14:paraId="0A7AC443">
            <w:pPr>
              <w:pStyle w:val="11"/>
            </w:pPr>
          </w:p>
        </w:tc>
      </w:tr>
      <w:tr w14:paraId="1B01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E9547">
            <w:pPr>
              <w:pStyle w:val="13"/>
            </w:pPr>
            <w:r>
              <w:t>10</w:t>
            </w:r>
          </w:p>
        </w:tc>
        <w:tc>
          <w:tcPr>
            <w:tcW w:w="992" w:type="dxa"/>
            <w:vAlign w:val="center"/>
          </w:tcPr>
          <w:p w14:paraId="7D85CE01">
            <w:pPr>
              <w:pStyle w:val="12"/>
            </w:pPr>
            <w:r>
              <w:t>2050205</w:t>
            </w:r>
          </w:p>
        </w:tc>
        <w:tc>
          <w:tcPr>
            <w:tcW w:w="1559" w:type="dxa"/>
            <w:vAlign w:val="center"/>
          </w:tcPr>
          <w:p w14:paraId="0C140AFF">
            <w:pPr>
              <w:pStyle w:val="12"/>
            </w:pPr>
            <w:r>
              <w:t>高等教育</w:t>
            </w:r>
          </w:p>
        </w:tc>
        <w:tc>
          <w:tcPr>
            <w:tcW w:w="1134" w:type="dxa"/>
            <w:vAlign w:val="center"/>
          </w:tcPr>
          <w:p w14:paraId="3F1B7A44">
            <w:pPr>
              <w:pStyle w:val="11"/>
            </w:pPr>
            <w:r>
              <w:t>4.00</w:t>
            </w:r>
          </w:p>
        </w:tc>
        <w:tc>
          <w:tcPr>
            <w:tcW w:w="1134" w:type="dxa"/>
            <w:vAlign w:val="center"/>
          </w:tcPr>
          <w:p w14:paraId="6E4F45A2">
            <w:pPr>
              <w:pStyle w:val="11"/>
            </w:pPr>
            <w:r>
              <w:t>4.00</w:t>
            </w:r>
          </w:p>
        </w:tc>
        <w:tc>
          <w:tcPr>
            <w:tcW w:w="1134" w:type="dxa"/>
            <w:vAlign w:val="center"/>
          </w:tcPr>
          <w:p w14:paraId="73478D6B">
            <w:pPr>
              <w:pStyle w:val="11"/>
            </w:pPr>
            <w:r>
              <w:t>4.00</w:t>
            </w:r>
          </w:p>
        </w:tc>
        <w:tc>
          <w:tcPr>
            <w:tcW w:w="1134" w:type="dxa"/>
            <w:vAlign w:val="center"/>
          </w:tcPr>
          <w:p w14:paraId="6EC794BB">
            <w:pPr>
              <w:pStyle w:val="11"/>
            </w:pPr>
          </w:p>
        </w:tc>
        <w:tc>
          <w:tcPr>
            <w:tcW w:w="1134" w:type="dxa"/>
            <w:vAlign w:val="center"/>
          </w:tcPr>
          <w:p w14:paraId="44985A73">
            <w:pPr>
              <w:pStyle w:val="11"/>
            </w:pPr>
          </w:p>
        </w:tc>
        <w:tc>
          <w:tcPr>
            <w:tcW w:w="1134" w:type="dxa"/>
            <w:vAlign w:val="center"/>
          </w:tcPr>
          <w:p w14:paraId="0BDA74CC">
            <w:pPr>
              <w:pStyle w:val="11"/>
            </w:pPr>
          </w:p>
        </w:tc>
        <w:tc>
          <w:tcPr>
            <w:tcW w:w="1134" w:type="dxa"/>
            <w:vAlign w:val="center"/>
          </w:tcPr>
          <w:p w14:paraId="3F779DB7">
            <w:pPr>
              <w:pStyle w:val="11"/>
            </w:pPr>
          </w:p>
        </w:tc>
        <w:tc>
          <w:tcPr>
            <w:tcW w:w="1134" w:type="dxa"/>
            <w:vAlign w:val="center"/>
          </w:tcPr>
          <w:p w14:paraId="3A66E754">
            <w:pPr>
              <w:pStyle w:val="11"/>
            </w:pPr>
          </w:p>
        </w:tc>
        <w:tc>
          <w:tcPr>
            <w:tcW w:w="1134" w:type="dxa"/>
            <w:vAlign w:val="center"/>
          </w:tcPr>
          <w:p w14:paraId="1A02ECF3">
            <w:pPr>
              <w:pStyle w:val="11"/>
            </w:pPr>
          </w:p>
        </w:tc>
        <w:tc>
          <w:tcPr>
            <w:tcW w:w="1134" w:type="dxa"/>
            <w:vAlign w:val="center"/>
          </w:tcPr>
          <w:p w14:paraId="4BF7C1FA">
            <w:pPr>
              <w:pStyle w:val="11"/>
            </w:pPr>
          </w:p>
        </w:tc>
      </w:tr>
      <w:tr w14:paraId="343D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EA047">
            <w:pPr>
              <w:pStyle w:val="13"/>
            </w:pPr>
            <w:r>
              <w:t>11</w:t>
            </w:r>
          </w:p>
        </w:tc>
        <w:tc>
          <w:tcPr>
            <w:tcW w:w="992" w:type="dxa"/>
            <w:vAlign w:val="center"/>
          </w:tcPr>
          <w:p w14:paraId="503AB69E">
            <w:pPr>
              <w:pStyle w:val="12"/>
            </w:pPr>
            <w:r>
              <w:t>2050299</w:t>
            </w:r>
          </w:p>
        </w:tc>
        <w:tc>
          <w:tcPr>
            <w:tcW w:w="1559" w:type="dxa"/>
            <w:vAlign w:val="center"/>
          </w:tcPr>
          <w:p w14:paraId="1C1F6D5F">
            <w:pPr>
              <w:pStyle w:val="12"/>
            </w:pPr>
            <w:r>
              <w:t>其他普通教育支出</w:t>
            </w:r>
          </w:p>
        </w:tc>
        <w:tc>
          <w:tcPr>
            <w:tcW w:w="1134" w:type="dxa"/>
            <w:vAlign w:val="center"/>
          </w:tcPr>
          <w:p w14:paraId="1FCF6EAB">
            <w:pPr>
              <w:pStyle w:val="11"/>
            </w:pPr>
            <w:r>
              <w:t>1106.70</w:t>
            </w:r>
          </w:p>
        </w:tc>
        <w:tc>
          <w:tcPr>
            <w:tcW w:w="1134" w:type="dxa"/>
            <w:vAlign w:val="center"/>
          </w:tcPr>
          <w:p w14:paraId="0D8B39A6">
            <w:pPr>
              <w:pStyle w:val="11"/>
            </w:pPr>
            <w:r>
              <w:t>1106.70</w:t>
            </w:r>
          </w:p>
        </w:tc>
        <w:tc>
          <w:tcPr>
            <w:tcW w:w="1134" w:type="dxa"/>
            <w:vAlign w:val="center"/>
          </w:tcPr>
          <w:p w14:paraId="4DBAA8B7">
            <w:pPr>
              <w:pStyle w:val="11"/>
            </w:pPr>
            <w:r>
              <w:t>1106.70</w:t>
            </w:r>
          </w:p>
        </w:tc>
        <w:tc>
          <w:tcPr>
            <w:tcW w:w="1134" w:type="dxa"/>
            <w:vAlign w:val="center"/>
          </w:tcPr>
          <w:p w14:paraId="4F12B9E9">
            <w:pPr>
              <w:pStyle w:val="11"/>
            </w:pPr>
          </w:p>
        </w:tc>
        <w:tc>
          <w:tcPr>
            <w:tcW w:w="1134" w:type="dxa"/>
            <w:vAlign w:val="center"/>
          </w:tcPr>
          <w:p w14:paraId="7DD288FC">
            <w:pPr>
              <w:pStyle w:val="11"/>
            </w:pPr>
          </w:p>
        </w:tc>
        <w:tc>
          <w:tcPr>
            <w:tcW w:w="1134" w:type="dxa"/>
            <w:vAlign w:val="center"/>
          </w:tcPr>
          <w:p w14:paraId="6474F79B">
            <w:pPr>
              <w:pStyle w:val="11"/>
            </w:pPr>
          </w:p>
        </w:tc>
        <w:tc>
          <w:tcPr>
            <w:tcW w:w="1134" w:type="dxa"/>
            <w:vAlign w:val="center"/>
          </w:tcPr>
          <w:p w14:paraId="36EDDC20">
            <w:pPr>
              <w:pStyle w:val="11"/>
            </w:pPr>
          </w:p>
        </w:tc>
        <w:tc>
          <w:tcPr>
            <w:tcW w:w="1134" w:type="dxa"/>
            <w:vAlign w:val="center"/>
          </w:tcPr>
          <w:p w14:paraId="24BB6AB4">
            <w:pPr>
              <w:pStyle w:val="11"/>
            </w:pPr>
          </w:p>
        </w:tc>
        <w:tc>
          <w:tcPr>
            <w:tcW w:w="1134" w:type="dxa"/>
            <w:vAlign w:val="center"/>
          </w:tcPr>
          <w:p w14:paraId="77AD44DD">
            <w:pPr>
              <w:pStyle w:val="11"/>
            </w:pPr>
          </w:p>
        </w:tc>
        <w:tc>
          <w:tcPr>
            <w:tcW w:w="1134" w:type="dxa"/>
            <w:vAlign w:val="center"/>
          </w:tcPr>
          <w:p w14:paraId="00AE1949">
            <w:pPr>
              <w:pStyle w:val="11"/>
            </w:pPr>
          </w:p>
        </w:tc>
      </w:tr>
      <w:tr w14:paraId="7C2AF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5BE35">
            <w:pPr>
              <w:pStyle w:val="13"/>
            </w:pPr>
            <w:r>
              <w:t>12</w:t>
            </w:r>
          </w:p>
        </w:tc>
        <w:tc>
          <w:tcPr>
            <w:tcW w:w="992" w:type="dxa"/>
            <w:vAlign w:val="center"/>
          </w:tcPr>
          <w:p w14:paraId="5F7237AD">
            <w:pPr>
              <w:pStyle w:val="12"/>
            </w:pPr>
            <w:r>
              <w:t>20503</w:t>
            </w:r>
          </w:p>
        </w:tc>
        <w:tc>
          <w:tcPr>
            <w:tcW w:w="1559" w:type="dxa"/>
            <w:vAlign w:val="center"/>
          </w:tcPr>
          <w:p w14:paraId="0927B0AE">
            <w:pPr>
              <w:pStyle w:val="12"/>
            </w:pPr>
            <w:r>
              <w:t>职业教育</w:t>
            </w:r>
          </w:p>
        </w:tc>
        <w:tc>
          <w:tcPr>
            <w:tcW w:w="1134" w:type="dxa"/>
            <w:vAlign w:val="center"/>
          </w:tcPr>
          <w:p w14:paraId="5B975D14">
            <w:pPr>
              <w:pStyle w:val="11"/>
            </w:pPr>
            <w:r>
              <w:t>131.76</w:t>
            </w:r>
          </w:p>
        </w:tc>
        <w:tc>
          <w:tcPr>
            <w:tcW w:w="1134" w:type="dxa"/>
            <w:vAlign w:val="center"/>
          </w:tcPr>
          <w:p w14:paraId="18A5A6C8">
            <w:pPr>
              <w:pStyle w:val="11"/>
            </w:pPr>
            <w:r>
              <w:t>131.76</w:t>
            </w:r>
          </w:p>
        </w:tc>
        <w:tc>
          <w:tcPr>
            <w:tcW w:w="1134" w:type="dxa"/>
            <w:vAlign w:val="center"/>
          </w:tcPr>
          <w:p w14:paraId="6F3FB48D">
            <w:pPr>
              <w:pStyle w:val="11"/>
            </w:pPr>
            <w:r>
              <w:t>131.76</w:t>
            </w:r>
          </w:p>
        </w:tc>
        <w:tc>
          <w:tcPr>
            <w:tcW w:w="1134" w:type="dxa"/>
            <w:vAlign w:val="center"/>
          </w:tcPr>
          <w:p w14:paraId="60BEAC1B">
            <w:pPr>
              <w:pStyle w:val="11"/>
            </w:pPr>
          </w:p>
        </w:tc>
        <w:tc>
          <w:tcPr>
            <w:tcW w:w="1134" w:type="dxa"/>
            <w:vAlign w:val="center"/>
          </w:tcPr>
          <w:p w14:paraId="1B2D42AA">
            <w:pPr>
              <w:pStyle w:val="11"/>
            </w:pPr>
          </w:p>
        </w:tc>
        <w:tc>
          <w:tcPr>
            <w:tcW w:w="1134" w:type="dxa"/>
            <w:vAlign w:val="center"/>
          </w:tcPr>
          <w:p w14:paraId="25661D0C">
            <w:pPr>
              <w:pStyle w:val="11"/>
            </w:pPr>
          </w:p>
        </w:tc>
        <w:tc>
          <w:tcPr>
            <w:tcW w:w="1134" w:type="dxa"/>
            <w:vAlign w:val="center"/>
          </w:tcPr>
          <w:p w14:paraId="3E93EBCF">
            <w:pPr>
              <w:pStyle w:val="11"/>
            </w:pPr>
          </w:p>
        </w:tc>
        <w:tc>
          <w:tcPr>
            <w:tcW w:w="1134" w:type="dxa"/>
            <w:vAlign w:val="center"/>
          </w:tcPr>
          <w:p w14:paraId="682B0CA5">
            <w:pPr>
              <w:pStyle w:val="11"/>
            </w:pPr>
          </w:p>
        </w:tc>
        <w:tc>
          <w:tcPr>
            <w:tcW w:w="1134" w:type="dxa"/>
            <w:vAlign w:val="center"/>
          </w:tcPr>
          <w:p w14:paraId="64DFE682">
            <w:pPr>
              <w:pStyle w:val="11"/>
            </w:pPr>
          </w:p>
        </w:tc>
        <w:tc>
          <w:tcPr>
            <w:tcW w:w="1134" w:type="dxa"/>
            <w:vAlign w:val="center"/>
          </w:tcPr>
          <w:p w14:paraId="6E636839">
            <w:pPr>
              <w:pStyle w:val="11"/>
            </w:pPr>
          </w:p>
        </w:tc>
      </w:tr>
      <w:tr w14:paraId="3EEC8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B7029">
            <w:pPr>
              <w:pStyle w:val="13"/>
            </w:pPr>
            <w:r>
              <w:t>13</w:t>
            </w:r>
          </w:p>
        </w:tc>
        <w:tc>
          <w:tcPr>
            <w:tcW w:w="992" w:type="dxa"/>
            <w:vAlign w:val="center"/>
          </w:tcPr>
          <w:p w14:paraId="607461BA">
            <w:pPr>
              <w:pStyle w:val="12"/>
            </w:pPr>
            <w:r>
              <w:t>2050302</w:t>
            </w:r>
          </w:p>
        </w:tc>
        <w:tc>
          <w:tcPr>
            <w:tcW w:w="1559" w:type="dxa"/>
            <w:vAlign w:val="center"/>
          </w:tcPr>
          <w:p w14:paraId="79225C67">
            <w:pPr>
              <w:pStyle w:val="12"/>
            </w:pPr>
            <w:r>
              <w:t>中等职业教育</w:t>
            </w:r>
          </w:p>
        </w:tc>
        <w:tc>
          <w:tcPr>
            <w:tcW w:w="1134" w:type="dxa"/>
            <w:vAlign w:val="center"/>
          </w:tcPr>
          <w:p w14:paraId="43A9912D">
            <w:pPr>
              <w:pStyle w:val="11"/>
            </w:pPr>
            <w:r>
              <w:t>131.76</w:t>
            </w:r>
          </w:p>
        </w:tc>
        <w:tc>
          <w:tcPr>
            <w:tcW w:w="1134" w:type="dxa"/>
            <w:vAlign w:val="center"/>
          </w:tcPr>
          <w:p w14:paraId="7711C95B">
            <w:pPr>
              <w:pStyle w:val="11"/>
            </w:pPr>
            <w:r>
              <w:t>131.76</w:t>
            </w:r>
          </w:p>
        </w:tc>
        <w:tc>
          <w:tcPr>
            <w:tcW w:w="1134" w:type="dxa"/>
            <w:vAlign w:val="center"/>
          </w:tcPr>
          <w:p w14:paraId="7C8A5A30">
            <w:pPr>
              <w:pStyle w:val="11"/>
            </w:pPr>
            <w:r>
              <w:t>131.76</w:t>
            </w:r>
          </w:p>
        </w:tc>
        <w:tc>
          <w:tcPr>
            <w:tcW w:w="1134" w:type="dxa"/>
            <w:vAlign w:val="center"/>
          </w:tcPr>
          <w:p w14:paraId="4B6CA46E">
            <w:pPr>
              <w:pStyle w:val="11"/>
            </w:pPr>
          </w:p>
        </w:tc>
        <w:tc>
          <w:tcPr>
            <w:tcW w:w="1134" w:type="dxa"/>
            <w:vAlign w:val="center"/>
          </w:tcPr>
          <w:p w14:paraId="00204F34">
            <w:pPr>
              <w:pStyle w:val="11"/>
            </w:pPr>
          </w:p>
        </w:tc>
        <w:tc>
          <w:tcPr>
            <w:tcW w:w="1134" w:type="dxa"/>
            <w:vAlign w:val="center"/>
          </w:tcPr>
          <w:p w14:paraId="4D7D2517">
            <w:pPr>
              <w:pStyle w:val="11"/>
            </w:pPr>
          </w:p>
        </w:tc>
        <w:tc>
          <w:tcPr>
            <w:tcW w:w="1134" w:type="dxa"/>
            <w:vAlign w:val="center"/>
          </w:tcPr>
          <w:p w14:paraId="0CBAAEBB">
            <w:pPr>
              <w:pStyle w:val="11"/>
            </w:pPr>
          </w:p>
        </w:tc>
        <w:tc>
          <w:tcPr>
            <w:tcW w:w="1134" w:type="dxa"/>
            <w:vAlign w:val="center"/>
          </w:tcPr>
          <w:p w14:paraId="079CE8B1">
            <w:pPr>
              <w:pStyle w:val="11"/>
            </w:pPr>
          </w:p>
        </w:tc>
        <w:tc>
          <w:tcPr>
            <w:tcW w:w="1134" w:type="dxa"/>
            <w:vAlign w:val="center"/>
          </w:tcPr>
          <w:p w14:paraId="59B5926F">
            <w:pPr>
              <w:pStyle w:val="11"/>
            </w:pPr>
          </w:p>
        </w:tc>
        <w:tc>
          <w:tcPr>
            <w:tcW w:w="1134" w:type="dxa"/>
            <w:vAlign w:val="center"/>
          </w:tcPr>
          <w:p w14:paraId="648B54D7">
            <w:pPr>
              <w:pStyle w:val="11"/>
            </w:pPr>
          </w:p>
        </w:tc>
      </w:tr>
      <w:tr w14:paraId="0EAB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8AFCF">
            <w:pPr>
              <w:pStyle w:val="13"/>
            </w:pPr>
            <w:r>
              <w:t>14</w:t>
            </w:r>
          </w:p>
        </w:tc>
        <w:tc>
          <w:tcPr>
            <w:tcW w:w="992" w:type="dxa"/>
            <w:vAlign w:val="center"/>
          </w:tcPr>
          <w:p w14:paraId="118F288A">
            <w:pPr>
              <w:pStyle w:val="12"/>
            </w:pPr>
            <w:r>
              <w:t>208</w:t>
            </w:r>
          </w:p>
        </w:tc>
        <w:tc>
          <w:tcPr>
            <w:tcW w:w="1559" w:type="dxa"/>
            <w:vAlign w:val="center"/>
          </w:tcPr>
          <w:p w14:paraId="497C47C6">
            <w:pPr>
              <w:pStyle w:val="12"/>
            </w:pPr>
            <w:r>
              <w:t>社会保障和就业支出</w:t>
            </w:r>
          </w:p>
        </w:tc>
        <w:tc>
          <w:tcPr>
            <w:tcW w:w="1134" w:type="dxa"/>
            <w:vAlign w:val="center"/>
          </w:tcPr>
          <w:p w14:paraId="76EDE038">
            <w:pPr>
              <w:pStyle w:val="11"/>
            </w:pPr>
            <w:r>
              <w:t>21.14</w:t>
            </w:r>
          </w:p>
        </w:tc>
        <w:tc>
          <w:tcPr>
            <w:tcW w:w="1134" w:type="dxa"/>
            <w:vAlign w:val="center"/>
          </w:tcPr>
          <w:p w14:paraId="17B1670C">
            <w:pPr>
              <w:pStyle w:val="11"/>
            </w:pPr>
            <w:r>
              <w:t>21.14</w:t>
            </w:r>
          </w:p>
        </w:tc>
        <w:tc>
          <w:tcPr>
            <w:tcW w:w="1134" w:type="dxa"/>
            <w:vAlign w:val="center"/>
          </w:tcPr>
          <w:p w14:paraId="7280ACC8">
            <w:pPr>
              <w:pStyle w:val="11"/>
            </w:pPr>
            <w:r>
              <w:t>21.14</w:t>
            </w:r>
          </w:p>
        </w:tc>
        <w:tc>
          <w:tcPr>
            <w:tcW w:w="1134" w:type="dxa"/>
            <w:vAlign w:val="center"/>
          </w:tcPr>
          <w:p w14:paraId="4A4ECABF">
            <w:pPr>
              <w:pStyle w:val="11"/>
            </w:pPr>
          </w:p>
        </w:tc>
        <w:tc>
          <w:tcPr>
            <w:tcW w:w="1134" w:type="dxa"/>
            <w:vAlign w:val="center"/>
          </w:tcPr>
          <w:p w14:paraId="79AA5FEC">
            <w:pPr>
              <w:pStyle w:val="11"/>
            </w:pPr>
          </w:p>
        </w:tc>
        <w:tc>
          <w:tcPr>
            <w:tcW w:w="1134" w:type="dxa"/>
            <w:vAlign w:val="center"/>
          </w:tcPr>
          <w:p w14:paraId="42C1507D">
            <w:pPr>
              <w:pStyle w:val="11"/>
            </w:pPr>
          </w:p>
        </w:tc>
        <w:tc>
          <w:tcPr>
            <w:tcW w:w="1134" w:type="dxa"/>
            <w:vAlign w:val="center"/>
          </w:tcPr>
          <w:p w14:paraId="6E7DF3B2">
            <w:pPr>
              <w:pStyle w:val="11"/>
            </w:pPr>
          </w:p>
        </w:tc>
        <w:tc>
          <w:tcPr>
            <w:tcW w:w="1134" w:type="dxa"/>
            <w:vAlign w:val="center"/>
          </w:tcPr>
          <w:p w14:paraId="66387361">
            <w:pPr>
              <w:pStyle w:val="11"/>
            </w:pPr>
          </w:p>
        </w:tc>
        <w:tc>
          <w:tcPr>
            <w:tcW w:w="1134" w:type="dxa"/>
            <w:vAlign w:val="center"/>
          </w:tcPr>
          <w:p w14:paraId="451F02CC">
            <w:pPr>
              <w:pStyle w:val="11"/>
            </w:pPr>
          </w:p>
        </w:tc>
        <w:tc>
          <w:tcPr>
            <w:tcW w:w="1134" w:type="dxa"/>
            <w:vAlign w:val="center"/>
          </w:tcPr>
          <w:p w14:paraId="1EC8ADA4">
            <w:pPr>
              <w:pStyle w:val="11"/>
            </w:pPr>
          </w:p>
        </w:tc>
      </w:tr>
      <w:tr w14:paraId="4531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14D86">
            <w:pPr>
              <w:pStyle w:val="13"/>
            </w:pPr>
            <w:r>
              <w:t>15</w:t>
            </w:r>
          </w:p>
        </w:tc>
        <w:tc>
          <w:tcPr>
            <w:tcW w:w="992" w:type="dxa"/>
            <w:vAlign w:val="center"/>
          </w:tcPr>
          <w:p w14:paraId="2571AFFF">
            <w:pPr>
              <w:pStyle w:val="12"/>
            </w:pPr>
            <w:r>
              <w:t>20805</w:t>
            </w:r>
          </w:p>
        </w:tc>
        <w:tc>
          <w:tcPr>
            <w:tcW w:w="1559" w:type="dxa"/>
            <w:vAlign w:val="center"/>
          </w:tcPr>
          <w:p w14:paraId="403B1ACC">
            <w:pPr>
              <w:pStyle w:val="12"/>
            </w:pPr>
            <w:r>
              <w:t>行政事业单位养老支出</w:t>
            </w:r>
          </w:p>
        </w:tc>
        <w:tc>
          <w:tcPr>
            <w:tcW w:w="1134" w:type="dxa"/>
            <w:vAlign w:val="center"/>
          </w:tcPr>
          <w:p w14:paraId="4FCF171C">
            <w:pPr>
              <w:pStyle w:val="11"/>
            </w:pPr>
            <w:r>
              <w:t>21.14</w:t>
            </w:r>
          </w:p>
        </w:tc>
        <w:tc>
          <w:tcPr>
            <w:tcW w:w="1134" w:type="dxa"/>
            <w:vAlign w:val="center"/>
          </w:tcPr>
          <w:p w14:paraId="315E1F03">
            <w:pPr>
              <w:pStyle w:val="11"/>
            </w:pPr>
            <w:r>
              <w:t>21.14</w:t>
            </w:r>
          </w:p>
        </w:tc>
        <w:tc>
          <w:tcPr>
            <w:tcW w:w="1134" w:type="dxa"/>
            <w:vAlign w:val="center"/>
          </w:tcPr>
          <w:p w14:paraId="082A11C9">
            <w:pPr>
              <w:pStyle w:val="11"/>
            </w:pPr>
            <w:r>
              <w:t>21.14</w:t>
            </w:r>
          </w:p>
        </w:tc>
        <w:tc>
          <w:tcPr>
            <w:tcW w:w="1134" w:type="dxa"/>
            <w:vAlign w:val="center"/>
          </w:tcPr>
          <w:p w14:paraId="52110AD8">
            <w:pPr>
              <w:pStyle w:val="11"/>
            </w:pPr>
          </w:p>
        </w:tc>
        <w:tc>
          <w:tcPr>
            <w:tcW w:w="1134" w:type="dxa"/>
            <w:vAlign w:val="center"/>
          </w:tcPr>
          <w:p w14:paraId="62186CFC">
            <w:pPr>
              <w:pStyle w:val="11"/>
            </w:pPr>
          </w:p>
        </w:tc>
        <w:tc>
          <w:tcPr>
            <w:tcW w:w="1134" w:type="dxa"/>
            <w:vAlign w:val="center"/>
          </w:tcPr>
          <w:p w14:paraId="15544EE2">
            <w:pPr>
              <w:pStyle w:val="11"/>
            </w:pPr>
          </w:p>
        </w:tc>
        <w:tc>
          <w:tcPr>
            <w:tcW w:w="1134" w:type="dxa"/>
            <w:vAlign w:val="center"/>
          </w:tcPr>
          <w:p w14:paraId="2B4E84BB">
            <w:pPr>
              <w:pStyle w:val="11"/>
            </w:pPr>
          </w:p>
        </w:tc>
        <w:tc>
          <w:tcPr>
            <w:tcW w:w="1134" w:type="dxa"/>
            <w:vAlign w:val="center"/>
          </w:tcPr>
          <w:p w14:paraId="64832726">
            <w:pPr>
              <w:pStyle w:val="11"/>
            </w:pPr>
          </w:p>
        </w:tc>
        <w:tc>
          <w:tcPr>
            <w:tcW w:w="1134" w:type="dxa"/>
            <w:vAlign w:val="center"/>
          </w:tcPr>
          <w:p w14:paraId="576D885F">
            <w:pPr>
              <w:pStyle w:val="11"/>
            </w:pPr>
          </w:p>
        </w:tc>
        <w:tc>
          <w:tcPr>
            <w:tcW w:w="1134" w:type="dxa"/>
            <w:vAlign w:val="center"/>
          </w:tcPr>
          <w:p w14:paraId="1ABD9A2B">
            <w:pPr>
              <w:pStyle w:val="11"/>
            </w:pPr>
          </w:p>
        </w:tc>
      </w:tr>
      <w:tr w14:paraId="0218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013B3">
            <w:pPr>
              <w:pStyle w:val="13"/>
            </w:pPr>
            <w:r>
              <w:t>16</w:t>
            </w:r>
          </w:p>
        </w:tc>
        <w:tc>
          <w:tcPr>
            <w:tcW w:w="992" w:type="dxa"/>
            <w:vAlign w:val="center"/>
          </w:tcPr>
          <w:p w14:paraId="38FC6204">
            <w:pPr>
              <w:pStyle w:val="12"/>
            </w:pPr>
            <w:r>
              <w:t>2080505</w:t>
            </w:r>
          </w:p>
        </w:tc>
        <w:tc>
          <w:tcPr>
            <w:tcW w:w="1559" w:type="dxa"/>
            <w:vAlign w:val="center"/>
          </w:tcPr>
          <w:p w14:paraId="1209EDC5">
            <w:pPr>
              <w:pStyle w:val="12"/>
            </w:pPr>
            <w:r>
              <w:t>机关事业单位基本养老保险缴费支出</w:t>
            </w:r>
          </w:p>
        </w:tc>
        <w:tc>
          <w:tcPr>
            <w:tcW w:w="1134" w:type="dxa"/>
            <w:vAlign w:val="center"/>
          </w:tcPr>
          <w:p w14:paraId="0E56C22B">
            <w:pPr>
              <w:pStyle w:val="11"/>
            </w:pPr>
            <w:r>
              <w:t>21.14</w:t>
            </w:r>
          </w:p>
        </w:tc>
        <w:tc>
          <w:tcPr>
            <w:tcW w:w="1134" w:type="dxa"/>
            <w:vAlign w:val="center"/>
          </w:tcPr>
          <w:p w14:paraId="7E4C4D5E">
            <w:pPr>
              <w:pStyle w:val="11"/>
            </w:pPr>
            <w:r>
              <w:t>21.14</w:t>
            </w:r>
          </w:p>
        </w:tc>
        <w:tc>
          <w:tcPr>
            <w:tcW w:w="1134" w:type="dxa"/>
            <w:vAlign w:val="center"/>
          </w:tcPr>
          <w:p w14:paraId="2525AF3F">
            <w:pPr>
              <w:pStyle w:val="11"/>
            </w:pPr>
            <w:r>
              <w:t>21.14</w:t>
            </w:r>
          </w:p>
        </w:tc>
        <w:tc>
          <w:tcPr>
            <w:tcW w:w="1134" w:type="dxa"/>
            <w:vAlign w:val="center"/>
          </w:tcPr>
          <w:p w14:paraId="157CEC10">
            <w:pPr>
              <w:pStyle w:val="11"/>
            </w:pPr>
          </w:p>
        </w:tc>
        <w:tc>
          <w:tcPr>
            <w:tcW w:w="1134" w:type="dxa"/>
            <w:vAlign w:val="center"/>
          </w:tcPr>
          <w:p w14:paraId="5A8FCE2B">
            <w:pPr>
              <w:pStyle w:val="11"/>
            </w:pPr>
          </w:p>
        </w:tc>
        <w:tc>
          <w:tcPr>
            <w:tcW w:w="1134" w:type="dxa"/>
            <w:vAlign w:val="center"/>
          </w:tcPr>
          <w:p w14:paraId="6EC6B43E">
            <w:pPr>
              <w:pStyle w:val="11"/>
            </w:pPr>
          </w:p>
        </w:tc>
        <w:tc>
          <w:tcPr>
            <w:tcW w:w="1134" w:type="dxa"/>
            <w:vAlign w:val="center"/>
          </w:tcPr>
          <w:p w14:paraId="7A68BA09">
            <w:pPr>
              <w:pStyle w:val="11"/>
            </w:pPr>
          </w:p>
        </w:tc>
        <w:tc>
          <w:tcPr>
            <w:tcW w:w="1134" w:type="dxa"/>
            <w:vAlign w:val="center"/>
          </w:tcPr>
          <w:p w14:paraId="18EC8E52">
            <w:pPr>
              <w:pStyle w:val="11"/>
            </w:pPr>
          </w:p>
        </w:tc>
        <w:tc>
          <w:tcPr>
            <w:tcW w:w="1134" w:type="dxa"/>
            <w:vAlign w:val="center"/>
          </w:tcPr>
          <w:p w14:paraId="25B72F67">
            <w:pPr>
              <w:pStyle w:val="11"/>
            </w:pPr>
          </w:p>
        </w:tc>
        <w:tc>
          <w:tcPr>
            <w:tcW w:w="1134" w:type="dxa"/>
            <w:vAlign w:val="center"/>
          </w:tcPr>
          <w:p w14:paraId="2A693238">
            <w:pPr>
              <w:pStyle w:val="11"/>
            </w:pPr>
          </w:p>
        </w:tc>
      </w:tr>
      <w:tr w14:paraId="5A08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1043F">
            <w:pPr>
              <w:pStyle w:val="13"/>
            </w:pPr>
            <w:r>
              <w:t>17</w:t>
            </w:r>
          </w:p>
        </w:tc>
        <w:tc>
          <w:tcPr>
            <w:tcW w:w="992" w:type="dxa"/>
            <w:vAlign w:val="center"/>
          </w:tcPr>
          <w:p w14:paraId="391B32C5">
            <w:pPr>
              <w:pStyle w:val="12"/>
            </w:pPr>
            <w:r>
              <w:t>210</w:t>
            </w:r>
          </w:p>
        </w:tc>
        <w:tc>
          <w:tcPr>
            <w:tcW w:w="1559" w:type="dxa"/>
            <w:vAlign w:val="center"/>
          </w:tcPr>
          <w:p w14:paraId="434AF66A">
            <w:pPr>
              <w:pStyle w:val="12"/>
            </w:pPr>
            <w:r>
              <w:t>卫生健康支出</w:t>
            </w:r>
          </w:p>
        </w:tc>
        <w:tc>
          <w:tcPr>
            <w:tcW w:w="1134" w:type="dxa"/>
            <w:vAlign w:val="center"/>
          </w:tcPr>
          <w:p w14:paraId="094D78E6">
            <w:pPr>
              <w:pStyle w:val="11"/>
            </w:pPr>
            <w:r>
              <w:t>9.58</w:t>
            </w:r>
          </w:p>
        </w:tc>
        <w:tc>
          <w:tcPr>
            <w:tcW w:w="1134" w:type="dxa"/>
            <w:vAlign w:val="center"/>
          </w:tcPr>
          <w:p w14:paraId="2CFFD5C7">
            <w:pPr>
              <w:pStyle w:val="11"/>
            </w:pPr>
            <w:r>
              <w:t>9.58</w:t>
            </w:r>
          </w:p>
        </w:tc>
        <w:tc>
          <w:tcPr>
            <w:tcW w:w="1134" w:type="dxa"/>
            <w:vAlign w:val="center"/>
          </w:tcPr>
          <w:p w14:paraId="01DF7319">
            <w:pPr>
              <w:pStyle w:val="11"/>
            </w:pPr>
            <w:r>
              <w:t>9.58</w:t>
            </w:r>
          </w:p>
        </w:tc>
        <w:tc>
          <w:tcPr>
            <w:tcW w:w="1134" w:type="dxa"/>
            <w:vAlign w:val="center"/>
          </w:tcPr>
          <w:p w14:paraId="3508A88B">
            <w:pPr>
              <w:pStyle w:val="11"/>
            </w:pPr>
          </w:p>
        </w:tc>
        <w:tc>
          <w:tcPr>
            <w:tcW w:w="1134" w:type="dxa"/>
            <w:vAlign w:val="center"/>
          </w:tcPr>
          <w:p w14:paraId="478FF898">
            <w:pPr>
              <w:pStyle w:val="11"/>
            </w:pPr>
          </w:p>
        </w:tc>
        <w:tc>
          <w:tcPr>
            <w:tcW w:w="1134" w:type="dxa"/>
            <w:vAlign w:val="center"/>
          </w:tcPr>
          <w:p w14:paraId="48811656">
            <w:pPr>
              <w:pStyle w:val="11"/>
            </w:pPr>
          </w:p>
        </w:tc>
        <w:tc>
          <w:tcPr>
            <w:tcW w:w="1134" w:type="dxa"/>
            <w:vAlign w:val="center"/>
          </w:tcPr>
          <w:p w14:paraId="7EF3DC61">
            <w:pPr>
              <w:pStyle w:val="11"/>
            </w:pPr>
          </w:p>
        </w:tc>
        <w:tc>
          <w:tcPr>
            <w:tcW w:w="1134" w:type="dxa"/>
            <w:vAlign w:val="center"/>
          </w:tcPr>
          <w:p w14:paraId="39F971F2">
            <w:pPr>
              <w:pStyle w:val="11"/>
            </w:pPr>
          </w:p>
        </w:tc>
        <w:tc>
          <w:tcPr>
            <w:tcW w:w="1134" w:type="dxa"/>
            <w:vAlign w:val="center"/>
          </w:tcPr>
          <w:p w14:paraId="2270822A">
            <w:pPr>
              <w:pStyle w:val="11"/>
            </w:pPr>
          </w:p>
        </w:tc>
        <w:tc>
          <w:tcPr>
            <w:tcW w:w="1134" w:type="dxa"/>
            <w:vAlign w:val="center"/>
          </w:tcPr>
          <w:p w14:paraId="586142E2">
            <w:pPr>
              <w:pStyle w:val="11"/>
            </w:pPr>
          </w:p>
        </w:tc>
      </w:tr>
      <w:tr w14:paraId="7173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00549">
            <w:pPr>
              <w:pStyle w:val="13"/>
            </w:pPr>
            <w:r>
              <w:t>18</w:t>
            </w:r>
          </w:p>
        </w:tc>
        <w:tc>
          <w:tcPr>
            <w:tcW w:w="992" w:type="dxa"/>
            <w:vAlign w:val="center"/>
          </w:tcPr>
          <w:p w14:paraId="46337EB1">
            <w:pPr>
              <w:pStyle w:val="12"/>
            </w:pPr>
            <w:r>
              <w:t>21011</w:t>
            </w:r>
          </w:p>
        </w:tc>
        <w:tc>
          <w:tcPr>
            <w:tcW w:w="1559" w:type="dxa"/>
            <w:vAlign w:val="center"/>
          </w:tcPr>
          <w:p w14:paraId="14D3E146">
            <w:pPr>
              <w:pStyle w:val="12"/>
            </w:pPr>
            <w:r>
              <w:t>行政事业单位医疗</w:t>
            </w:r>
          </w:p>
        </w:tc>
        <w:tc>
          <w:tcPr>
            <w:tcW w:w="1134" w:type="dxa"/>
            <w:vAlign w:val="center"/>
          </w:tcPr>
          <w:p w14:paraId="1779E8F3">
            <w:pPr>
              <w:pStyle w:val="11"/>
            </w:pPr>
            <w:r>
              <w:t>9.58</w:t>
            </w:r>
          </w:p>
        </w:tc>
        <w:tc>
          <w:tcPr>
            <w:tcW w:w="1134" w:type="dxa"/>
            <w:vAlign w:val="center"/>
          </w:tcPr>
          <w:p w14:paraId="4CEEDABE">
            <w:pPr>
              <w:pStyle w:val="11"/>
            </w:pPr>
            <w:r>
              <w:t>9.58</w:t>
            </w:r>
          </w:p>
        </w:tc>
        <w:tc>
          <w:tcPr>
            <w:tcW w:w="1134" w:type="dxa"/>
            <w:vAlign w:val="center"/>
          </w:tcPr>
          <w:p w14:paraId="133EBF8C">
            <w:pPr>
              <w:pStyle w:val="11"/>
            </w:pPr>
            <w:r>
              <w:t>9.58</w:t>
            </w:r>
          </w:p>
        </w:tc>
        <w:tc>
          <w:tcPr>
            <w:tcW w:w="1134" w:type="dxa"/>
            <w:vAlign w:val="center"/>
          </w:tcPr>
          <w:p w14:paraId="17FCC0FA">
            <w:pPr>
              <w:pStyle w:val="11"/>
            </w:pPr>
          </w:p>
        </w:tc>
        <w:tc>
          <w:tcPr>
            <w:tcW w:w="1134" w:type="dxa"/>
            <w:vAlign w:val="center"/>
          </w:tcPr>
          <w:p w14:paraId="61BD98E0">
            <w:pPr>
              <w:pStyle w:val="11"/>
            </w:pPr>
          </w:p>
        </w:tc>
        <w:tc>
          <w:tcPr>
            <w:tcW w:w="1134" w:type="dxa"/>
            <w:vAlign w:val="center"/>
          </w:tcPr>
          <w:p w14:paraId="50155348">
            <w:pPr>
              <w:pStyle w:val="11"/>
            </w:pPr>
          </w:p>
        </w:tc>
        <w:tc>
          <w:tcPr>
            <w:tcW w:w="1134" w:type="dxa"/>
            <w:vAlign w:val="center"/>
          </w:tcPr>
          <w:p w14:paraId="6EFA2E68">
            <w:pPr>
              <w:pStyle w:val="11"/>
            </w:pPr>
          </w:p>
        </w:tc>
        <w:tc>
          <w:tcPr>
            <w:tcW w:w="1134" w:type="dxa"/>
            <w:vAlign w:val="center"/>
          </w:tcPr>
          <w:p w14:paraId="0E217038">
            <w:pPr>
              <w:pStyle w:val="11"/>
            </w:pPr>
          </w:p>
        </w:tc>
        <w:tc>
          <w:tcPr>
            <w:tcW w:w="1134" w:type="dxa"/>
            <w:vAlign w:val="center"/>
          </w:tcPr>
          <w:p w14:paraId="6A3A5872">
            <w:pPr>
              <w:pStyle w:val="11"/>
            </w:pPr>
          </w:p>
        </w:tc>
        <w:tc>
          <w:tcPr>
            <w:tcW w:w="1134" w:type="dxa"/>
            <w:vAlign w:val="center"/>
          </w:tcPr>
          <w:p w14:paraId="4248A641">
            <w:pPr>
              <w:pStyle w:val="11"/>
            </w:pPr>
          </w:p>
        </w:tc>
      </w:tr>
      <w:tr w14:paraId="1C7C6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07774">
            <w:pPr>
              <w:pStyle w:val="13"/>
            </w:pPr>
            <w:r>
              <w:t>19</w:t>
            </w:r>
          </w:p>
        </w:tc>
        <w:tc>
          <w:tcPr>
            <w:tcW w:w="992" w:type="dxa"/>
            <w:vAlign w:val="center"/>
          </w:tcPr>
          <w:p w14:paraId="66C0DD0B">
            <w:pPr>
              <w:pStyle w:val="12"/>
            </w:pPr>
            <w:r>
              <w:t>2101101</w:t>
            </w:r>
          </w:p>
        </w:tc>
        <w:tc>
          <w:tcPr>
            <w:tcW w:w="1559" w:type="dxa"/>
            <w:vAlign w:val="center"/>
          </w:tcPr>
          <w:p w14:paraId="578C98F6">
            <w:pPr>
              <w:pStyle w:val="12"/>
            </w:pPr>
            <w:r>
              <w:t>行政单位医疗</w:t>
            </w:r>
          </w:p>
        </w:tc>
        <w:tc>
          <w:tcPr>
            <w:tcW w:w="1134" w:type="dxa"/>
            <w:vAlign w:val="center"/>
          </w:tcPr>
          <w:p w14:paraId="1FF42EB3">
            <w:pPr>
              <w:pStyle w:val="11"/>
            </w:pPr>
            <w:r>
              <w:t>9.58</w:t>
            </w:r>
          </w:p>
        </w:tc>
        <w:tc>
          <w:tcPr>
            <w:tcW w:w="1134" w:type="dxa"/>
            <w:vAlign w:val="center"/>
          </w:tcPr>
          <w:p w14:paraId="4C447373">
            <w:pPr>
              <w:pStyle w:val="11"/>
            </w:pPr>
            <w:r>
              <w:t>9.58</w:t>
            </w:r>
          </w:p>
        </w:tc>
        <w:tc>
          <w:tcPr>
            <w:tcW w:w="1134" w:type="dxa"/>
            <w:vAlign w:val="center"/>
          </w:tcPr>
          <w:p w14:paraId="6E8CF7DC">
            <w:pPr>
              <w:pStyle w:val="11"/>
            </w:pPr>
            <w:r>
              <w:t>9.58</w:t>
            </w:r>
          </w:p>
        </w:tc>
        <w:tc>
          <w:tcPr>
            <w:tcW w:w="1134" w:type="dxa"/>
            <w:vAlign w:val="center"/>
          </w:tcPr>
          <w:p w14:paraId="051188C9">
            <w:pPr>
              <w:pStyle w:val="11"/>
            </w:pPr>
          </w:p>
        </w:tc>
        <w:tc>
          <w:tcPr>
            <w:tcW w:w="1134" w:type="dxa"/>
            <w:vAlign w:val="center"/>
          </w:tcPr>
          <w:p w14:paraId="59F29C5D">
            <w:pPr>
              <w:pStyle w:val="11"/>
            </w:pPr>
          </w:p>
        </w:tc>
        <w:tc>
          <w:tcPr>
            <w:tcW w:w="1134" w:type="dxa"/>
            <w:vAlign w:val="center"/>
          </w:tcPr>
          <w:p w14:paraId="5C2E0C52">
            <w:pPr>
              <w:pStyle w:val="11"/>
            </w:pPr>
          </w:p>
        </w:tc>
        <w:tc>
          <w:tcPr>
            <w:tcW w:w="1134" w:type="dxa"/>
            <w:vAlign w:val="center"/>
          </w:tcPr>
          <w:p w14:paraId="2E03F147">
            <w:pPr>
              <w:pStyle w:val="11"/>
            </w:pPr>
          </w:p>
        </w:tc>
        <w:tc>
          <w:tcPr>
            <w:tcW w:w="1134" w:type="dxa"/>
            <w:vAlign w:val="center"/>
          </w:tcPr>
          <w:p w14:paraId="213A4C4C">
            <w:pPr>
              <w:pStyle w:val="11"/>
            </w:pPr>
          </w:p>
        </w:tc>
        <w:tc>
          <w:tcPr>
            <w:tcW w:w="1134" w:type="dxa"/>
            <w:vAlign w:val="center"/>
          </w:tcPr>
          <w:p w14:paraId="05ED02B8">
            <w:pPr>
              <w:pStyle w:val="11"/>
            </w:pPr>
          </w:p>
        </w:tc>
        <w:tc>
          <w:tcPr>
            <w:tcW w:w="1134" w:type="dxa"/>
            <w:vAlign w:val="center"/>
          </w:tcPr>
          <w:p w14:paraId="10944A0E">
            <w:pPr>
              <w:pStyle w:val="11"/>
            </w:pPr>
          </w:p>
        </w:tc>
      </w:tr>
      <w:tr w14:paraId="3D10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A1857">
            <w:pPr>
              <w:pStyle w:val="13"/>
            </w:pPr>
            <w:r>
              <w:t>20</w:t>
            </w:r>
          </w:p>
        </w:tc>
        <w:tc>
          <w:tcPr>
            <w:tcW w:w="992" w:type="dxa"/>
            <w:vAlign w:val="center"/>
          </w:tcPr>
          <w:p w14:paraId="22A2816D">
            <w:pPr>
              <w:pStyle w:val="12"/>
            </w:pPr>
            <w:r>
              <w:t>221</w:t>
            </w:r>
          </w:p>
        </w:tc>
        <w:tc>
          <w:tcPr>
            <w:tcW w:w="1559" w:type="dxa"/>
            <w:vAlign w:val="center"/>
          </w:tcPr>
          <w:p w14:paraId="133B2074">
            <w:pPr>
              <w:pStyle w:val="12"/>
            </w:pPr>
            <w:r>
              <w:t>住房保障支出</w:t>
            </w:r>
          </w:p>
        </w:tc>
        <w:tc>
          <w:tcPr>
            <w:tcW w:w="1134" w:type="dxa"/>
            <w:vAlign w:val="center"/>
          </w:tcPr>
          <w:p w14:paraId="7338D744">
            <w:pPr>
              <w:pStyle w:val="11"/>
            </w:pPr>
            <w:r>
              <w:t>16.14</w:t>
            </w:r>
          </w:p>
        </w:tc>
        <w:tc>
          <w:tcPr>
            <w:tcW w:w="1134" w:type="dxa"/>
            <w:vAlign w:val="center"/>
          </w:tcPr>
          <w:p w14:paraId="23EC504E">
            <w:pPr>
              <w:pStyle w:val="11"/>
            </w:pPr>
            <w:r>
              <w:t>16.14</w:t>
            </w:r>
          </w:p>
        </w:tc>
        <w:tc>
          <w:tcPr>
            <w:tcW w:w="1134" w:type="dxa"/>
            <w:vAlign w:val="center"/>
          </w:tcPr>
          <w:p w14:paraId="55FF3B71">
            <w:pPr>
              <w:pStyle w:val="11"/>
            </w:pPr>
            <w:r>
              <w:t>16.14</w:t>
            </w:r>
          </w:p>
        </w:tc>
        <w:tc>
          <w:tcPr>
            <w:tcW w:w="1134" w:type="dxa"/>
            <w:vAlign w:val="center"/>
          </w:tcPr>
          <w:p w14:paraId="4638815D">
            <w:pPr>
              <w:pStyle w:val="11"/>
            </w:pPr>
          </w:p>
        </w:tc>
        <w:tc>
          <w:tcPr>
            <w:tcW w:w="1134" w:type="dxa"/>
            <w:vAlign w:val="center"/>
          </w:tcPr>
          <w:p w14:paraId="2329E028">
            <w:pPr>
              <w:pStyle w:val="11"/>
            </w:pPr>
          </w:p>
        </w:tc>
        <w:tc>
          <w:tcPr>
            <w:tcW w:w="1134" w:type="dxa"/>
            <w:vAlign w:val="center"/>
          </w:tcPr>
          <w:p w14:paraId="2C694FFD">
            <w:pPr>
              <w:pStyle w:val="11"/>
            </w:pPr>
          </w:p>
        </w:tc>
        <w:tc>
          <w:tcPr>
            <w:tcW w:w="1134" w:type="dxa"/>
            <w:vAlign w:val="center"/>
          </w:tcPr>
          <w:p w14:paraId="02910CD8">
            <w:pPr>
              <w:pStyle w:val="11"/>
            </w:pPr>
          </w:p>
        </w:tc>
        <w:tc>
          <w:tcPr>
            <w:tcW w:w="1134" w:type="dxa"/>
            <w:vAlign w:val="center"/>
          </w:tcPr>
          <w:p w14:paraId="4811A375">
            <w:pPr>
              <w:pStyle w:val="11"/>
            </w:pPr>
          </w:p>
        </w:tc>
        <w:tc>
          <w:tcPr>
            <w:tcW w:w="1134" w:type="dxa"/>
            <w:vAlign w:val="center"/>
          </w:tcPr>
          <w:p w14:paraId="3E86C0B3">
            <w:pPr>
              <w:pStyle w:val="11"/>
            </w:pPr>
          </w:p>
        </w:tc>
        <w:tc>
          <w:tcPr>
            <w:tcW w:w="1134" w:type="dxa"/>
            <w:vAlign w:val="center"/>
          </w:tcPr>
          <w:p w14:paraId="258B6388">
            <w:pPr>
              <w:pStyle w:val="11"/>
            </w:pPr>
          </w:p>
        </w:tc>
      </w:tr>
      <w:tr w14:paraId="1B0A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FA018">
            <w:pPr>
              <w:pStyle w:val="13"/>
            </w:pPr>
            <w:r>
              <w:t>21</w:t>
            </w:r>
          </w:p>
        </w:tc>
        <w:tc>
          <w:tcPr>
            <w:tcW w:w="992" w:type="dxa"/>
            <w:vAlign w:val="center"/>
          </w:tcPr>
          <w:p w14:paraId="36302629">
            <w:pPr>
              <w:pStyle w:val="12"/>
            </w:pPr>
            <w:r>
              <w:t>22102</w:t>
            </w:r>
          </w:p>
        </w:tc>
        <w:tc>
          <w:tcPr>
            <w:tcW w:w="1559" w:type="dxa"/>
            <w:vAlign w:val="center"/>
          </w:tcPr>
          <w:p w14:paraId="726C44CC">
            <w:pPr>
              <w:pStyle w:val="12"/>
            </w:pPr>
            <w:r>
              <w:t>住房改革支出</w:t>
            </w:r>
          </w:p>
        </w:tc>
        <w:tc>
          <w:tcPr>
            <w:tcW w:w="1134" w:type="dxa"/>
            <w:vAlign w:val="center"/>
          </w:tcPr>
          <w:p w14:paraId="7840C454">
            <w:pPr>
              <w:pStyle w:val="11"/>
            </w:pPr>
            <w:r>
              <w:t>16.14</w:t>
            </w:r>
          </w:p>
        </w:tc>
        <w:tc>
          <w:tcPr>
            <w:tcW w:w="1134" w:type="dxa"/>
            <w:vAlign w:val="center"/>
          </w:tcPr>
          <w:p w14:paraId="6A2FE973">
            <w:pPr>
              <w:pStyle w:val="11"/>
            </w:pPr>
            <w:r>
              <w:t>16.14</w:t>
            </w:r>
          </w:p>
        </w:tc>
        <w:tc>
          <w:tcPr>
            <w:tcW w:w="1134" w:type="dxa"/>
            <w:vAlign w:val="center"/>
          </w:tcPr>
          <w:p w14:paraId="2B117EE0">
            <w:pPr>
              <w:pStyle w:val="11"/>
            </w:pPr>
            <w:r>
              <w:t>16.14</w:t>
            </w:r>
          </w:p>
        </w:tc>
        <w:tc>
          <w:tcPr>
            <w:tcW w:w="1134" w:type="dxa"/>
            <w:vAlign w:val="center"/>
          </w:tcPr>
          <w:p w14:paraId="03BB07AA">
            <w:pPr>
              <w:pStyle w:val="11"/>
            </w:pPr>
          </w:p>
        </w:tc>
        <w:tc>
          <w:tcPr>
            <w:tcW w:w="1134" w:type="dxa"/>
            <w:vAlign w:val="center"/>
          </w:tcPr>
          <w:p w14:paraId="0F1B666F">
            <w:pPr>
              <w:pStyle w:val="11"/>
            </w:pPr>
          </w:p>
        </w:tc>
        <w:tc>
          <w:tcPr>
            <w:tcW w:w="1134" w:type="dxa"/>
            <w:vAlign w:val="center"/>
          </w:tcPr>
          <w:p w14:paraId="129EFEE6">
            <w:pPr>
              <w:pStyle w:val="11"/>
            </w:pPr>
          </w:p>
        </w:tc>
        <w:tc>
          <w:tcPr>
            <w:tcW w:w="1134" w:type="dxa"/>
            <w:vAlign w:val="center"/>
          </w:tcPr>
          <w:p w14:paraId="5569EBAB">
            <w:pPr>
              <w:pStyle w:val="11"/>
            </w:pPr>
          </w:p>
        </w:tc>
        <w:tc>
          <w:tcPr>
            <w:tcW w:w="1134" w:type="dxa"/>
            <w:vAlign w:val="center"/>
          </w:tcPr>
          <w:p w14:paraId="585C3F7E">
            <w:pPr>
              <w:pStyle w:val="11"/>
            </w:pPr>
          </w:p>
        </w:tc>
        <w:tc>
          <w:tcPr>
            <w:tcW w:w="1134" w:type="dxa"/>
            <w:vAlign w:val="center"/>
          </w:tcPr>
          <w:p w14:paraId="17EA1948">
            <w:pPr>
              <w:pStyle w:val="11"/>
            </w:pPr>
          </w:p>
        </w:tc>
        <w:tc>
          <w:tcPr>
            <w:tcW w:w="1134" w:type="dxa"/>
            <w:vAlign w:val="center"/>
          </w:tcPr>
          <w:p w14:paraId="3E1D75FA">
            <w:pPr>
              <w:pStyle w:val="11"/>
            </w:pPr>
          </w:p>
        </w:tc>
      </w:tr>
      <w:tr w14:paraId="7722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765FE">
            <w:pPr>
              <w:pStyle w:val="13"/>
            </w:pPr>
            <w:r>
              <w:t>22</w:t>
            </w:r>
          </w:p>
        </w:tc>
        <w:tc>
          <w:tcPr>
            <w:tcW w:w="992" w:type="dxa"/>
            <w:vAlign w:val="center"/>
          </w:tcPr>
          <w:p w14:paraId="4412FF5E">
            <w:pPr>
              <w:pStyle w:val="12"/>
            </w:pPr>
            <w:r>
              <w:t>2210201</w:t>
            </w:r>
          </w:p>
        </w:tc>
        <w:tc>
          <w:tcPr>
            <w:tcW w:w="1559" w:type="dxa"/>
            <w:vAlign w:val="center"/>
          </w:tcPr>
          <w:p w14:paraId="2CE3F1D5">
            <w:pPr>
              <w:pStyle w:val="12"/>
            </w:pPr>
            <w:r>
              <w:t>住房公积金</w:t>
            </w:r>
          </w:p>
        </w:tc>
        <w:tc>
          <w:tcPr>
            <w:tcW w:w="1134" w:type="dxa"/>
            <w:vAlign w:val="center"/>
          </w:tcPr>
          <w:p w14:paraId="77794939">
            <w:pPr>
              <w:pStyle w:val="11"/>
            </w:pPr>
            <w:r>
              <w:t>16.14</w:t>
            </w:r>
          </w:p>
        </w:tc>
        <w:tc>
          <w:tcPr>
            <w:tcW w:w="1134" w:type="dxa"/>
            <w:vAlign w:val="center"/>
          </w:tcPr>
          <w:p w14:paraId="1ED6115D">
            <w:pPr>
              <w:pStyle w:val="11"/>
            </w:pPr>
            <w:r>
              <w:t>16.14</w:t>
            </w:r>
          </w:p>
        </w:tc>
        <w:tc>
          <w:tcPr>
            <w:tcW w:w="1134" w:type="dxa"/>
            <w:vAlign w:val="center"/>
          </w:tcPr>
          <w:p w14:paraId="6C4E4242">
            <w:pPr>
              <w:pStyle w:val="11"/>
            </w:pPr>
            <w:r>
              <w:t>16.14</w:t>
            </w:r>
          </w:p>
        </w:tc>
        <w:tc>
          <w:tcPr>
            <w:tcW w:w="1134" w:type="dxa"/>
            <w:vAlign w:val="center"/>
          </w:tcPr>
          <w:p w14:paraId="6BC91DFB">
            <w:pPr>
              <w:pStyle w:val="11"/>
            </w:pPr>
          </w:p>
        </w:tc>
        <w:tc>
          <w:tcPr>
            <w:tcW w:w="1134" w:type="dxa"/>
            <w:vAlign w:val="center"/>
          </w:tcPr>
          <w:p w14:paraId="62494F12">
            <w:pPr>
              <w:pStyle w:val="11"/>
            </w:pPr>
          </w:p>
        </w:tc>
        <w:tc>
          <w:tcPr>
            <w:tcW w:w="1134" w:type="dxa"/>
            <w:vAlign w:val="center"/>
          </w:tcPr>
          <w:p w14:paraId="06C132C7">
            <w:pPr>
              <w:pStyle w:val="11"/>
            </w:pPr>
          </w:p>
        </w:tc>
        <w:tc>
          <w:tcPr>
            <w:tcW w:w="1134" w:type="dxa"/>
            <w:vAlign w:val="center"/>
          </w:tcPr>
          <w:p w14:paraId="79E339F3">
            <w:pPr>
              <w:pStyle w:val="11"/>
            </w:pPr>
          </w:p>
        </w:tc>
        <w:tc>
          <w:tcPr>
            <w:tcW w:w="1134" w:type="dxa"/>
            <w:vAlign w:val="center"/>
          </w:tcPr>
          <w:p w14:paraId="4E2E324A">
            <w:pPr>
              <w:pStyle w:val="11"/>
            </w:pPr>
          </w:p>
        </w:tc>
        <w:tc>
          <w:tcPr>
            <w:tcW w:w="1134" w:type="dxa"/>
            <w:vAlign w:val="center"/>
          </w:tcPr>
          <w:p w14:paraId="0E83B4FA">
            <w:pPr>
              <w:pStyle w:val="11"/>
            </w:pPr>
          </w:p>
        </w:tc>
        <w:tc>
          <w:tcPr>
            <w:tcW w:w="1134" w:type="dxa"/>
            <w:vAlign w:val="center"/>
          </w:tcPr>
          <w:p w14:paraId="7E952CD8">
            <w:pPr>
              <w:pStyle w:val="11"/>
            </w:pPr>
          </w:p>
        </w:tc>
      </w:tr>
      <w:tr w14:paraId="70E1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A170C">
            <w:pPr>
              <w:pStyle w:val="13"/>
            </w:pPr>
            <w:r>
              <w:t>23</w:t>
            </w:r>
          </w:p>
        </w:tc>
        <w:tc>
          <w:tcPr>
            <w:tcW w:w="992" w:type="dxa"/>
            <w:vAlign w:val="center"/>
          </w:tcPr>
          <w:p w14:paraId="26C13DC4">
            <w:pPr>
              <w:pStyle w:val="12"/>
            </w:pPr>
            <w:r>
              <w:t>229</w:t>
            </w:r>
          </w:p>
        </w:tc>
        <w:tc>
          <w:tcPr>
            <w:tcW w:w="1559" w:type="dxa"/>
            <w:vAlign w:val="center"/>
          </w:tcPr>
          <w:p w14:paraId="44B22B0B">
            <w:pPr>
              <w:pStyle w:val="12"/>
            </w:pPr>
            <w:r>
              <w:t>其他支出</w:t>
            </w:r>
          </w:p>
        </w:tc>
        <w:tc>
          <w:tcPr>
            <w:tcW w:w="1134" w:type="dxa"/>
            <w:vAlign w:val="center"/>
          </w:tcPr>
          <w:p w14:paraId="0BCBD849">
            <w:pPr>
              <w:pStyle w:val="11"/>
            </w:pPr>
            <w:r>
              <w:t>5283.99</w:t>
            </w:r>
          </w:p>
        </w:tc>
        <w:tc>
          <w:tcPr>
            <w:tcW w:w="1134" w:type="dxa"/>
            <w:vAlign w:val="center"/>
          </w:tcPr>
          <w:p w14:paraId="772AA576">
            <w:pPr>
              <w:pStyle w:val="11"/>
            </w:pPr>
          </w:p>
        </w:tc>
        <w:tc>
          <w:tcPr>
            <w:tcW w:w="1134" w:type="dxa"/>
            <w:vAlign w:val="center"/>
          </w:tcPr>
          <w:p w14:paraId="577BBFEA">
            <w:pPr>
              <w:pStyle w:val="11"/>
            </w:pPr>
          </w:p>
        </w:tc>
        <w:tc>
          <w:tcPr>
            <w:tcW w:w="1134" w:type="dxa"/>
            <w:vAlign w:val="center"/>
          </w:tcPr>
          <w:p w14:paraId="3993A4E8">
            <w:pPr>
              <w:pStyle w:val="11"/>
            </w:pPr>
          </w:p>
        </w:tc>
        <w:tc>
          <w:tcPr>
            <w:tcW w:w="1134" w:type="dxa"/>
            <w:vAlign w:val="center"/>
          </w:tcPr>
          <w:p w14:paraId="75C66969">
            <w:pPr>
              <w:pStyle w:val="11"/>
            </w:pPr>
          </w:p>
        </w:tc>
        <w:tc>
          <w:tcPr>
            <w:tcW w:w="1134" w:type="dxa"/>
            <w:vAlign w:val="center"/>
          </w:tcPr>
          <w:p w14:paraId="284DFAFD">
            <w:pPr>
              <w:pStyle w:val="11"/>
            </w:pPr>
          </w:p>
        </w:tc>
        <w:tc>
          <w:tcPr>
            <w:tcW w:w="1134" w:type="dxa"/>
            <w:vAlign w:val="center"/>
          </w:tcPr>
          <w:p w14:paraId="68B244B8">
            <w:pPr>
              <w:pStyle w:val="11"/>
            </w:pPr>
          </w:p>
        </w:tc>
        <w:tc>
          <w:tcPr>
            <w:tcW w:w="1134" w:type="dxa"/>
            <w:vAlign w:val="center"/>
          </w:tcPr>
          <w:p w14:paraId="72937EB7">
            <w:pPr>
              <w:pStyle w:val="11"/>
            </w:pPr>
          </w:p>
        </w:tc>
        <w:tc>
          <w:tcPr>
            <w:tcW w:w="1134" w:type="dxa"/>
            <w:vAlign w:val="center"/>
          </w:tcPr>
          <w:p w14:paraId="45B27C39">
            <w:pPr>
              <w:pStyle w:val="11"/>
            </w:pPr>
          </w:p>
        </w:tc>
        <w:tc>
          <w:tcPr>
            <w:tcW w:w="1134" w:type="dxa"/>
            <w:vAlign w:val="center"/>
          </w:tcPr>
          <w:p w14:paraId="03C3CDB5">
            <w:pPr>
              <w:pStyle w:val="11"/>
            </w:pPr>
            <w:r>
              <w:t>5283.99</w:t>
            </w:r>
          </w:p>
        </w:tc>
      </w:tr>
      <w:tr w14:paraId="4775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1E225">
            <w:pPr>
              <w:pStyle w:val="13"/>
            </w:pPr>
            <w:r>
              <w:t>24</w:t>
            </w:r>
          </w:p>
        </w:tc>
        <w:tc>
          <w:tcPr>
            <w:tcW w:w="992" w:type="dxa"/>
            <w:vAlign w:val="center"/>
          </w:tcPr>
          <w:p w14:paraId="1892564D">
            <w:pPr>
              <w:pStyle w:val="12"/>
            </w:pPr>
            <w:r>
              <w:t>22904</w:t>
            </w:r>
          </w:p>
        </w:tc>
        <w:tc>
          <w:tcPr>
            <w:tcW w:w="1559" w:type="dxa"/>
            <w:vAlign w:val="center"/>
          </w:tcPr>
          <w:p w14:paraId="150A9F7B">
            <w:pPr>
              <w:pStyle w:val="12"/>
            </w:pPr>
            <w:r>
              <w:t>其他政府性基金及对应专项债务收入安排的支出</w:t>
            </w:r>
          </w:p>
        </w:tc>
        <w:tc>
          <w:tcPr>
            <w:tcW w:w="1134" w:type="dxa"/>
            <w:vAlign w:val="center"/>
          </w:tcPr>
          <w:p w14:paraId="2A9514A2">
            <w:pPr>
              <w:pStyle w:val="11"/>
            </w:pPr>
            <w:r>
              <w:t>5283.99</w:t>
            </w:r>
          </w:p>
        </w:tc>
        <w:tc>
          <w:tcPr>
            <w:tcW w:w="1134" w:type="dxa"/>
            <w:vAlign w:val="center"/>
          </w:tcPr>
          <w:p w14:paraId="2612B704">
            <w:pPr>
              <w:pStyle w:val="11"/>
            </w:pPr>
          </w:p>
        </w:tc>
        <w:tc>
          <w:tcPr>
            <w:tcW w:w="1134" w:type="dxa"/>
            <w:vAlign w:val="center"/>
          </w:tcPr>
          <w:p w14:paraId="70B780BC">
            <w:pPr>
              <w:pStyle w:val="11"/>
            </w:pPr>
          </w:p>
        </w:tc>
        <w:tc>
          <w:tcPr>
            <w:tcW w:w="1134" w:type="dxa"/>
            <w:vAlign w:val="center"/>
          </w:tcPr>
          <w:p w14:paraId="6E236CFD">
            <w:pPr>
              <w:pStyle w:val="11"/>
            </w:pPr>
          </w:p>
        </w:tc>
        <w:tc>
          <w:tcPr>
            <w:tcW w:w="1134" w:type="dxa"/>
            <w:vAlign w:val="center"/>
          </w:tcPr>
          <w:p w14:paraId="565FAF6C">
            <w:pPr>
              <w:pStyle w:val="11"/>
            </w:pPr>
          </w:p>
        </w:tc>
        <w:tc>
          <w:tcPr>
            <w:tcW w:w="1134" w:type="dxa"/>
            <w:vAlign w:val="center"/>
          </w:tcPr>
          <w:p w14:paraId="0E5AF6E4">
            <w:pPr>
              <w:pStyle w:val="11"/>
            </w:pPr>
          </w:p>
        </w:tc>
        <w:tc>
          <w:tcPr>
            <w:tcW w:w="1134" w:type="dxa"/>
            <w:vAlign w:val="center"/>
          </w:tcPr>
          <w:p w14:paraId="7F703FEF">
            <w:pPr>
              <w:pStyle w:val="11"/>
            </w:pPr>
          </w:p>
        </w:tc>
        <w:tc>
          <w:tcPr>
            <w:tcW w:w="1134" w:type="dxa"/>
            <w:vAlign w:val="center"/>
          </w:tcPr>
          <w:p w14:paraId="0E431B2E">
            <w:pPr>
              <w:pStyle w:val="11"/>
            </w:pPr>
          </w:p>
        </w:tc>
        <w:tc>
          <w:tcPr>
            <w:tcW w:w="1134" w:type="dxa"/>
            <w:vAlign w:val="center"/>
          </w:tcPr>
          <w:p w14:paraId="60D53186">
            <w:pPr>
              <w:pStyle w:val="11"/>
            </w:pPr>
          </w:p>
        </w:tc>
        <w:tc>
          <w:tcPr>
            <w:tcW w:w="1134" w:type="dxa"/>
            <w:vAlign w:val="center"/>
          </w:tcPr>
          <w:p w14:paraId="20C32DFC">
            <w:pPr>
              <w:pStyle w:val="11"/>
            </w:pPr>
            <w:r>
              <w:t>5283.99</w:t>
            </w:r>
          </w:p>
        </w:tc>
      </w:tr>
      <w:tr w14:paraId="4C68C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D1EAD5">
            <w:pPr>
              <w:pStyle w:val="13"/>
            </w:pPr>
            <w:r>
              <w:t>25</w:t>
            </w:r>
          </w:p>
        </w:tc>
        <w:tc>
          <w:tcPr>
            <w:tcW w:w="992" w:type="dxa"/>
            <w:vAlign w:val="center"/>
          </w:tcPr>
          <w:p w14:paraId="00F593B9">
            <w:pPr>
              <w:pStyle w:val="12"/>
            </w:pPr>
            <w:r>
              <w:t>2290402</w:t>
            </w:r>
          </w:p>
        </w:tc>
        <w:tc>
          <w:tcPr>
            <w:tcW w:w="1559" w:type="dxa"/>
            <w:vAlign w:val="center"/>
          </w:tcPr>
          <w:p w14:paraId="355D055B">
            <w:pPr>
              <w:pStyle w:val="12"/>
            </w:pPr>
            <w:r>
              <w:t>其他地方自行试点项目收益专项债券收入安排的支出</w:t>
            </w:r>
          </w:p>
        </w:tc>
        <w:tc>
          <w:tcPr>
            <w:tcW w:w="1134" w:type="dxa"/>
            <w:vAlign w:val="center"/>
          </w:tcPr>
          <w:p w14:paraId="50D07605">
            <w:pPr>
              <w:pStyle w:val="11"/>
            </w:pPr>
            <w:r>
              <w:t>5283.99</w:t>
            </w:r>
          </w:p>
        </w:tc>
        <w:tc>
          <w:tcPr>
            <w:tcW w:w="1134" w:type="dxa"/>
            <w:vAlign w:val="center"/>
          </w:tcPr>
          <w:p w14:paraId="2C0D6AD1">
            <w:pPr>
              <w:pStyle w:val="11"/>
            </w:pPr>
          </w:p>
        </w:tc>
        <w:tc>
          <w:tcPr>
            <w:tcW w:w="1134" w:type="dxa"/>
            <w:vAlign w:val="center"/>
          </w:tcPr>
          <w:p w14:paraId="6A9303A0">
            <w:pPr>
              <w:pStyle w:val="11"/>
            </w:pPr>
          </w:p>
        </w:tc>
        <w:tc>
          <w:tcPr>
            <w:tcW w:w="1134" w:type="dxa"/>
            <w:vAlign w:val="center"/>
          </w:tcPr>
          <w:p w14:paraId="4D6865E2">
            <w:pPr>
              <w:pStyle w:val="11"/>
            </w:pPr>
          </w:p>
        </w:tc>
        <w:tc>
          <w:tcPr>
            <w:tcW w:w="1134" w:type="dxa"/>
            <w:vAlign w:val="center"/>
          </w:tcPr>
          <w:p w14:paraId="4E4A4D3D">
            <w:pPr>
              <w:pStyle w:val="11"/>
            </w:pPr>
          </w:p>
        </w:tc>
        <w:tc>
          <w:tcPr>
            <w:tcW w:w="1134" w:type="dxa"/>
            <w:vAlign w:val="center"/>
          </w:tcPr>
          <w:p w14:paraId="4D40FEF6">
            <w:pPr>
              <w:pStyle w:val="11"/>
            </w:pPr>
          </w:p>
        </w:tc>
        <w:tc>
          <w:tcPr>
            <w:tcW w:w="1134" w:type="dxa"/>
            <w:vAlign w:val="center"/>
          </w:tcPr>
          <w:p w14:paraId="217BB461">
            <w:pPr>
              <w:pStyle w:val="11"/>
            </w:pPr>
          </w:p>
        </w:tc>
        <w:tc>
          <w:tcPr>
            <w:tcW w:w="1134" w:type="dxa"/>
            <w:vAlign w:val="center"/>
          </w:tcPr>
          <w:p w14:paraId="1D65DBB5">
            <w:pPr>
              <w:pStyle w:val="11"/>
            </w:pPr>
          </w:p>
        </w:tc>
        <w:tc>
          <w:tcPr>
            <w:tcW w:w="1134" w:type="dxa"/>
            <w:vAlign w:val="center"/>
          </w:tcPr>
          <w:p w14:paraId="6671A8D8">
            <w:pPr>
              <w:pStyle w:val="11"/>
            </w:pPr>
          </w:p>
        </w:tc>
        <w:tc>
          <w:tcPr>
            <w:tcW w:w="1134" w:type="dxa"/>
            <w:vAlign w:val="center"/>
          </w:tcPr>
          <w:p w14:paraId="461BE29C">
            <w:pPr>
              <w:pStyle w:val="11"/>
            </w:pPr>
            <w:r>
              <w:t>5283.99</w:t>
            </w:r>
          </w:p>
        </w:tc>
      </w:tr>
    </w:tbl>
    <w:p w14:paraId="7D7B7D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7285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C8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CBD087">
            <w:pPr>
              <w:pStyle w:val="9"/>
            </w:pPr>
            <w:r>
              <w:t>360001隆尧县教育局本级</w:t>
            </w:r>
          </w:p>
        </w:tc>
        <w:tc>
          <w:tcPr>
            <w:tcW w:w="2722" w:type="dxa"/>
            <w:gridSpan w:val="2"/>
            <w:tcBorders>
              <w:top w:val="single" w:color="FFFFFF" w:sz="6" w:space="0"/>
              <w:left w:val="single" w:color="FFFFFF" w:sz="6" w:space="0"/>
              <w:right w:val="single" w:color="FFFFFF" w:sz="6" w:space="0"/>
            </w:tcBorders>
            <w:vAlign w:val="center"/>
          </w:tcPr>
          <w:p w14:paraId="080C11D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DF65027">
            <w:pPr>
              <w:pStyle w:val="7"/>
            </w:pPr>
            <w:r>
              <w:t>单位：万元</w:t>
            </w:r>
          </w:p>
        </w:tc>
      </w:tr>
      <w:tr w14:paraId="683F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B103B">
            <w:pPr>
              <w:pStyle w:val="10"/>
            </w:pPr>
            <w:r>
              <w:t>序号</w:t>
            </w:r>
          </w:p>
        </w:tc>
        <w:tc>
          <w:tcPr>
            <w:tcW w:w="5527" w:type="dxa"/>
            <w:gridSpan w:val="2"/>
            <w:vAlign w:val="center"/>
          </w:tcPr>
          <w:p w14:paraId="709F6934">
            <w:pPr>
              <w:pStyle w:val="10"/>
            </w:pPr>
            <w:r>
              <w:t>功能分类科目</w:t>
            </w:r>
          </w:p>
        </w:tc>
        <w:tc>
          <w:tcPr>
            <w:tcW w:w="1361" w:type="dxa"/>
            <w:vMerge w:val="restart"/>
            <w:vAlign w:val="center"/>
          </w:tcPr>
          <w:p w14:paraId="2B722F13">
            <w:pPr>
              <w:pStyle w:val="10"/>
            </w:pPr>
            <w:r>
              <w:t>合计</w:t>
            </w:r>
          </w:p>
        </w:tc>
        <w:tc>
          <w:tcPr>
            <w:tcW w:w="1361" w:type="dxa"/>
            <w:vMerge w:val="restart"/>
            <w:vAlign w:val="center"/>
          </w:tcPr>
          <w:p w14:paraId="7F01E68F">
            <w:pPr>
              <w:pStyle w:val="10"/>
            </w:pPr>
            <w:r>
              <w:t>基本支出</w:t>
            </w:r>
          </w:p>
        </w:tc>
        <w:tc>
          <w:tcPr>
            <w:tcW w:w="1361" w:type="dxa"/>
            <w:vMerge w:val="restart"/>
            <w:vAlign w:val="center"/>
          </w:tcPr>
          <w:p w14:paraId="45465F20">
            <w:pPr>
              <w:pStyle w:val="10"/>
            </w:pPr>
            <w:r>
              <w:t>项目支出</w:t>
            </w:r>
          </w:p>
        </w:tc>
        <w:tc>
          <w:tcPr>
            <w:tcW w:w="1361" w:type="dxa"/>
            <w:vMerge w:val="restart"/>
            <w:vAlign w:val="center"/>
          </w:tcPr>
          <w:p w14:paraId="643BADBF">
            <w:pPr>
              <w:pStyle w:val="10"/>
            </w:pPr>
            <w:r>
              <w:t>经营支出</w:t>
            </w:r>
          </w:p>
        </w:tc>
        <w:tc>
          <w:tcPr>
            <w:tcW w:w="1361" w:type="dxa"/>
            <w:vMerge w:val="restart"/>
            <w:vAlign w:val="center"/>
          </w:tcPr>
          <w:p w14:paraId="355D7F82">
            <w:pPr>
              <w:pStyle w:val="10"/>
            </w:pPr>
            <w:r>
              <w:t>上解上级     支出</w:t>
            </w:r>
          </w:p>
        </w:tc>
        <w:tc>
          <w:tcPr>
            <w:tcW w:w="1361" w:type="dxa"/>
            <w:vMerge w:val="restart"/>
            <w:vAlign w:val="center"/>
          </w:tcPr>
          <w:p w14:paraId="399E692C">
            <w:pPr>
              <w:pStyle w:val="10"/>
            </w:pPr>
            <w:r>
              <w:t>对附属单位补助支出</w:t>
            </w:r>
          </w:p>
        </w:tc>
      </w:tr>
      <w:tr w14:paraId="66F0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C822F9"/>
        </w:tc>
        <w:tc>
          <w:tcPr>
            <w:tcW w:w="992" w:type="dxa"/>
            <w:vAlign w:val="center"/>
          </w:tcPr>
          <w:p w14:paraId="6BEB0D06">
            <w:pPr>
              <w:pStyle w:val="10"/>
            </w:pPr>
            <w:r>
              <w:t>科目    编码</w:t>
            </w:r>
          </w:p>
        </w:tc>
        <w:tc>
          <w:tcPr>
            <w:tcW w:w="4535" w:type="dxa"/>
            <w:vAlign w:val="center"/>
          </w:tcPr>
          <w:p w14:paraId="30EF6124">
            <w:pPr>
              <w:pStyle w:val="10"/>
            </w:pPr>
            <w:r>
              <w:t>科目名称</w:t>
            </w:r>
          </w:p>
        </w:tc>
        <w:tc>
          <w:tcPr>
            <w:tcW w:w="1361" w:type="dxa"/>
            <w:vMerge w:val="continue"/>
          </w:tcPr>
          <w:p w14:paraId="033ABCC1"/>
        </w:tc>
        <w:tc>
          <w:tcPr>
            <w:tcW w:w="1361" w:type="dxa"/>
            <w:vMerge w:val="continue"/>
          </w:tcPr>
          <w:p w14:paraId="3DCDB300"/>
        </w:tc>
        <w:tc>
          <w:tcPr>
            <w:tcW w:w="1361" w:type="dxa"/>
            <w:vMerge w:val="continue"/>
          </w:tcPr>
          <w:p w14:paraId="74F203E0"/>
        </w:tc>
        <w:tc>
          <w:tcPr>
            <w:tcW w:w="1361" w:type="dxa"/>
            <w:vMerge w:val="continue"/>
          </w:tcPr>
          <w:p w14:paraId="1D67F758"/>
        </w:tc>
        <w:tc>
          <w:tcPr>
            <w:tcW w:w="1361" w:type="dxa"/>
            <w:vMerge w:val="continue"/>
          </w:tcPr>
          <w:p w14:paraId="594D392D"/>
        </w:tc>
        <w:tc>
          <w:tcPr>
            <w:tcW w:w="1361" w:type="dxa"/>
            <w:vMerge w:val="continue"/>
          </w:tcPr>
          <w:p w14:paraId="0174EC64"/>
        </w:tc>
      </w:tr>
      <w:tr w14:paraId="4E8138EE">
        <w:tblPrEx>
          <w:tblCellMar>
            <w:top w:w="0" w:type="dxa"/>
            <w:left w:w="108" w:type="dxa"/>
            <w:bottom w:w="0" w:type="dxa"/>
            <w:right w:w="108" w:type="dxa"/>
          </w:tblCellMar>
        </w:tblPrEx>
        <w:trPr>
          <w:trHeight w:val="369" w:hRule="atLeast"/>
          <w:tblHeader/>
          <w:jc w:val="center"/>
        </w:trPr>
        <w:tc>
          <w:tcPr>
            <w:tcW w:w="850" w:type="dxa"/>
            <w:vAlign w:val="center"/>
          </w:tcPr>
          <w:p w14:paraId="256506E3">
            <w:pPr>
              <w:pStyle w:val="10"/>
            </w:pPr>
            <w:r>
              <w:t>栏次</w:t>
            </w:r>
          </w:p>
        </w:tc>
        <w:tc>
          <w:tcPr>
            <w:tcW w:w="992" w:type="dxa"/>
            <w:vAlign w:val="center"/>
          </w:tcPr>
          <w:p w14:paraId="01FE4C4C">
            <w:pPr>
              <w:pStyle w:val="10"/>
            </w:pPr>
            <w:r>
              <w:t>1</w:t>
            </w:r>
          </w:p>
        </w:tc>
        <w:tc>
          <w:tcPr>
            <w:tcW w:w="4535" w:type="dxa"/>
            <w:vAlign w:val="center"/>
          </w:tcPr>
          <w:p w14:paraId="1254F06B">
            <w:pPr>
              <w:pStyle w:val="10"/>
            </w:pPr>
            <w:r>
              <w:t>2</w:t>
            </w:r>
          </w:p>
        </w:tc>
        <w:tc>
          <w:tcPr>
            <w:tcW w:w="1361" w:type="dxa"/>
            <w:vAlign w:val="center"/>
          </w:tcPr>
          <w:p w14:paraId="596D926E">
            <w:pPr>
              <w:pStyle w:val="10"/>
            </w:pPr>
            <w:r>
              <w:t>3</w:t>
            </w:r>
          </w:p>
        </w:tc>
        <w:tc>
          <w:tcPr>
            <w:tcW w:w="1361" w:type="dxa"/>
            <w:vAlign w:val="center"/>
          </w:tcPr>
          <w:p w14:paraId="4420FE38">
            <w:pPr>
              <w:pStyle w:val="10"/>
            </w:pPr>
            <w:r>
              <w:t>4</w:t>
            </w:r>
          </w:p>
        </w:tc>
        <w:tc>
          <w:tcPr>
            <w:tcW w:w="1361" w:type="dxa"/>
            <w:vAlign w:val="center"/>
          </w:tcPr>
          <w:p w14:paraId="7186B91F">
            <w:pPr>
              <w:pStyle w:val="10"/>
            </w:pPr>
            <w:r>
              <w:t>5</w:t>
            </w:r>
          </w:p>
        </w:tc>
        <w:tc>
          <w:tcPr>
            <w:tcW w:w="1361" w:type="dxa"/>
            <w:vAlign w:val="center"/>
          </w:tcPr>
          <w:p w14:paraId="3A56B865">
            <w:pPr>
              <w:pStyle w:val="10"/>
            </w:pPr>
            <w:r>
              <w:t>6</w:t>
            </w:r>
          </w:p>
        </w:tc>
        <w:tc>
          <w:tcPr>
            <w:tcW w:w="1361" w:type="dxa"/>
            <w:vAlign w:val="center"/>
          </w:tcPr>
          <w:p w14:paraId="41F35183">
            <w:pPr>
              <w:pStyle w:val="10"/>
            </w:pPr>
            <w:r>
              <w:t>7</w:t>
            </w:r>
          </w:p>
        </w:tc>
        <w:tc>
          <w:tcPr>
            <w:tcW w:w="1361" w:type="dxa"/>
            <w:vAlign w:val="center"/>
          </w:tcPr>
          <w:p w14:paraId="1D1BE22C">
            <w:pPr>
              <w:pStyle w:val="10"/>
            </w:pPr>
            <w:r>
              <w:t>8</w:t>
            </w:r>
          </w:p>
        </w:tc>
      </w:tr>
      <w:tr w14:paraId="0FF24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892C8">
            <w:pPr>
              <w:pStyle w:val="13"/>
            </w:pPr>
            <w:r>
              <w:t>1</w:t>
            </w:r>
          </w:p>
        </w:tc>
        <w:tc>
          <w:tcPr>
            <w:tcW w:w="992" w:type="dxa"/>
            <w:vAlign w:val="center"/>
          </w:tcPr>
          <w:p w14:paraId="4D3F50E0">
            <w:pPr>
              <w:pStyle w:val="16"/>
            </w:pPr>
          </w:p>
        </w:tc>
        <w:tc>
          <w:tcPr>
            <w:tcW w:w="4535" w:type="dxa"/>
            <w:vAlign w:val="center"/>
          </w:tcPr>
          <w:p w14:paraId="07F9B26D">
            <w:pPr>
              <w:pStyle w:val="14"/>
            </w:pPr>
            <w:r>
              <w:t>合计</w:t>
            </w:r>
          </w:p>
        </w:tc>
        <w:tc>
          <w:tcPr>
            <w:tcW w:w="1361" w:type="dxa"/>
            <w:vAlign w:val="center"/>
          </w:tcPr>
          <w:p w14:paraId="6BD6E650">
            <w:pPr>
              <w:pStyle w:val="15"/>
            </w:pPr>
            <w:r>
              <w:t>11332.29</w:t>
            </w:r>
          </w:p>
        </w:tc>
        <w:tc>
          <w:tcPr>
            <w:tcW w:w="1361" w:type="dxa"/>
            <w:vAlign w:val="center"/>
          </w:tcPr>
          <w:p w14:paraId="58859D6B">
            <w:pPr>
              <w:pStyle w:val="15"/>
            </w:pPr>
            <w:r>
              <w:t>294.35</w:t>
            </w:r>
          </w:p>
        </w:tc>
        <w:tc>
          <w:tcPr>
            <w:tcW w:w="1361" w:type="dxa"/>
            <w:vAlign w:val="center"/>
          </w:tcPr>
          <w:p w14:paraId="72FE3C20">
            <w:pPr>
              <w:pStyle w:val="15"/>
            </w:pPr>
            <w:r>
              <w:t>11037.94</w:t>
            </w:r>
          </w:p>
        </w:tc>
        <w:tc>
          <w:tcPr>
            <w:tcW w:w="1361" w:type="dxa"/>
            <w:vAlign w:val="center"/>
          </w:tcPr>
          <w:p w14:paraId="29AB8CFA">
            <w:pPr>
              <w:pStyle w:val="15"/>
            </w:pPr>
          </w:p>
        </w:tc>
        <w:tc>
          <w:tcPr>
            <w:tcW w:w="1361" w:type="dxa"/>
            <w:vAlign w:val="center"/>
          </w:tcPr>
          <w:p w14:paraId="2574713C">
            <w:pPr>
              <w:pStyle w:val="15"/>
            </w:pPr>
          </w:p>
        </w:tc>
        <w:tc>
          <w:tcPr>
            <w:tcW w:w="1361" w:type="dxa"/>
            <w:vAlign w:val="center"/>
          </w:tcPr>
          <w:p w14:paraId="1F6A9442">
            <w:pPr>
              <w:pStyle w:val="15"/>
            </w:pPr>
          </w:p>
        </w:tc>
      </w:tr>
      <w:tr w14:paraId="02391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C2E2C">
            <w:pPr>
              <w:pStyle w:val="13"/>
            </w:pPr>
            <w:r>
              <w:t>2</w:t>
            </w:r>
          </w:p>
        </w:tc>
        <w:tc>
          <w:tcPr>
            <w:tcW w:w="992" w:type="dxa"/>
            <w:vAlign w:val="center"/>
          </w:tcPr>
          <w:p w14:paraId="6E0D73EF">
            <w:pPr>
              <w:pStyle w:val="12"/>
            </w:pPr>
            <w:r>
              <w:t>205</w:t>
            </w:r>
          </w:p>
        </w:tc>
        <w:tc>
          <w:tcPr>
            <w:tcW w:w="4535" w:type="dxa"/>
            <w:vAlign w:val="center"/>
          </w:tcPr>
          <w:p w14:paraId="2BBE835F">
            <w:pPr>
              <w:pStyle w:val="12"/>
            </w:pPr>
            <w:r>
              <w:t>教育支出</w:t>
            </w:r>
          </w:p>
        </w:tc>
        <w:tc>
          <w:tcPr>
            <w:tcW w:w="1361" w:type="dxa"/>
            <w:vAlign w:val="center"/>
          </w:tcPr>
          <w:p w14:paraId="29385387">
            <w:pPr>
              <w:pStyle w:val="11"/>
            </w:pPr>
            <w:r>
              <w:t>6001.44</w:t>
            </w:r>
          </w:p>
        </w:tc>
        <w:tc>
          <w:tcPr>
            <w:tcW w:w="1361" w:type="dxa"/>
            <w:vAlign w:val="center"/>
          </w:tcPr>
          <w:p w14:paraId="5B9A994B">
            <w:pPr>
              <w:pStyle w:val="11"/>
            </w:pPr>
            <w:r>
              <w:t>247.49</w:t>
            </w:r>
          </w:p>
        </w:tc>
        <w:tc>
          <w:tcPr>
            <w:tcW w:w="1361" w:type="dxa"/>
            <w:vAlign w:val="center"/>
          </w:tcPr>
          <w:p w14:paraId="04DA1F30">
            <w:pPr>
              <w:pStyle w:val="11"/>
            </w:pPr>
            <w:r>
              <w:t>5753.96</w:t>
            </w:r>
          </w:p>
        </w:tc>
        <w:tc>
          <w:tcPr>
            <w:tcW w:w="1361" w:type="dxa"/>
            <w:vAlign w:val="center"/>
          </w:tcPr>
          <w:p w14:paraId="383E4750">
            <w:pPr>
              <w:pStyle w:val="11"/>
            </w:pPr>
          </w:p>
        </w:tc>
        <w:tc>
          <w:tcPr>
            <w:tcW w:w="1361" w:type="dxa"/>
            <w:vAlign w:val="center"/>
          </w:tcPr>
          <w:p w14:paraId="279B743F">
            <w:pPr>
              <w:pStyle w:val="11"/>
            </w:pPr>
          </w:p>
        </w:tc>
        <w:tc>
          <w:tcPr>
            <w:tcW w:w="1361" w:type="dxa"/>
            <w:vAlign w:val="center"/>
          </w:tcPr>
          <w:p w14:paraId="494890B5">
            <w:pPr>
              <w:pStyle w:val="11"/>
            </w:pPr>
          </w:p>
        </w:tc>
      </w:tr>
      <w:tr w14:paraId="7A66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50C67">
            <w:pPr>
              <w:pStyle w:val="13"/>
            </w:pPr>
            <w:r>
              <w:t>3</w:t>
            </w:r>
          </w:p>
        </w:tc>
        <w:tc>
          <w:tcPr>
            <w:tcW w:w="992" w:type="dxa"/>
            <w:vAlign w:val="center"/>
          </w:tcPr>
          <w:p w14:paraId="48C58067">
            <w:pPr>
              <w:pStyle w:val="12"/>
            </w:pPr>
            <w:r>
              <w:t>20501</w:t>
            </w:r>
          </w:p>
        </w:tc>
        <w:tc>
          <w:tcPr>
            <w:tcW w:w="4535" w:type="dxa"/>
            <w:vAlign w:val="center"/>
          </w:tcPr>
          <w:p w14:paraId="048CFDF2">
            <w:pPr>
              <w:pStyle w:val="12"/>
            </w:pPr>
            <w:r>
              <w:t>教育管理事务</w:t>
            </w:r>
          </w:p>
        </w:tc>
        <w:tc>
          <w:tcPr>
            <w:tcW w:w="1361" w:type="dxa"/>
            <w:vAlign w:val="center"/>
          </w:tcPr>
          <w:p w14:paraId="49B526C6">
            <w:pPr>
              <w:pStyle w:val="11"/>
            </w:pPr>
            <w:r>
              <w:t>476.49</w:t>
            </w:r>
          </w:p>
        </w:tc>
        <w:tc>
          <w:tcPr>
            <w:tcW w:w="1361" w:type="dxa"/>
            <w:vAlign w:val="center"/>
          </w:tcPr>
          <w:p w14:paraId="78C0FB78">
            <w:pPr>
              <w:pStyle w:val="11"/>
            </w:pPr>
            <w:r>
              <w:t>247.49</w:t>
            </w:r>
          </w:p>
        </w:tc>
        <w:tc>
          <w:tcPr>
            <w:tcW w:w="1361" w:type="dxa"/>
            <w:vAlign w:val="center"/>
          </w:tcPr>
          <w:p w14:paraId="35A00EB8">
            <w:pPr>
              <w:pStyle w:val="11"/>
            </w:pPr>
            <w:r>
              <w:t>229.00</w:t>
            </w:r>
          </w:p>
        </w:tc>
        <w:tc>
          <w:tcPr>
            <w:tcW w:w="1361" w:type="dxa"/>
            <w:vAlign w:val="center"/>
          </w:tcPr>
          <w:p w14:paraId="52483636">
            <w:pPr>
              <w:pStyle w:val="11"/>
            </w:pPr>
          </w:p>
        </w:tc>
        <w:tc>
          <w:tcPr>
            <w:tcW w:w="1361" w:type="dxa"/>
            <w:vAlign w:val="center"/>
          </w:tcPr>
          <w:p w14:paraId="29767C57">
            <w:pPr>
              <w:pStyle w:val="11"/>
            </w:pPr>
          </w:p>
        </w:tc>
        <w:tc>
          <w:tcPr>
            <w:tcW w:w="1361" w:type="dxa"/>
            <w:vAlign w:val="center"/>
          </w:tcPr>
          <w:p w14:paraId="2A0A3C3D">
            <w:pPr>
              <w:pStyle w:val="11"/>
            </w:pPr>
          </w:p>
        </w:tc>
      </w:tr>
      <w:tr w14:paraId="181F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E0C70">
            <w:pPr>
              <w:pStyle w:val="13"/>
            </w:pPr>
            <w:r>
              <w:t>4</w:t>
            </w:r>
          </w:p>
        </w:tc>
        <w:tc>
          <w:tcPr>
            <w:tcW w:w="992" w:type="dxa"/>
            <w:vAlign w:val="center"/>
          </w:tcPr>
          <w:p w14:paraId="0E1A495C">
            <w:pPr>
              <w:pStyle w:val="12"/>
            </w:pPr>
            <w:r>
              <w:t>2050101</w:t>
            </w:r>
          </w:p>
        </w:tc>
        <w:tc>
          <w:tcPr>
            <w:tcW w:w="4535" w:type="dxa"/>
            <w:vAlign w:val="center"/>
          </w:tcPr>
          <w:p w14:paraId="21CF780E">
            <w:pPr>
              <w:pStyle w:val="12"/>
            </w:pPr>
            <w:r>
              <w:t>行政运行</w:t>
            </w:r>
          </w:p>
        </w:tc>
        <w:tc>
          <w:tcPr>
            <w:tcW w:w="1361" w:type="dxa"/>
            <w:vAlign w:val="center"/>
          </w:tcPr>
          <w:p w14:paraId="6B2BD285">
            <w:pPr>
              <w:pStyle w:val="11"/>
            </w:pPr>
            <w:r>
              <w:t>476.49</w:t>
            </w:r>
          </w:p>
        </w:tc>
        <w:tc>
          <w:tcPr>
            <w:tcW w:w="1361" w:type="dxa"/>
            <w:vAlign w:val="center"/>
          </w:tcPr>
          <w:p w14:paraId="3857CEC0">
            <w:pPr>
              <w:pStyle w:val="11"/>
            </w:pPr>
            <w:r>
              <w:t>247.49</w:t>
            </w:r>
          </w:p>
        </w:tc>
        <w:tc>
          <w:tcPr>
            <w:tcW w:w="1361" w:type="dxa"/>
            <w:vAlign w:val="center"/>
          </w:tcPr>
          <w:p w14:paraId="6EBCA2EB">
            <w:pPr>
              <w:pStyle w:val="11"/>
            </w:pPr>
            <w:r>
              <w:t>229.00</w:t>
            </w:r>
          </w:p>
        </w:tc>
        <w:tc>
          <w:tcPr>
            <w:tcW w:w="1361" w:type="dxa"/>
            <w:vAlign w:val="center"/>
          </w:tcPr>
          <w:p w14:paraId="45EDC9F8">
            <w:pPr>
              <w:pStyle w:val="11"/>
            </w:pPr>
          </w:p>
        </w:tc>
        <w:tc>
          <w:tcPr>
            <w:tcW w:w="1361" w:type="dxa"/>
            <w:vAlign w:val="center"/>
          </w:tcPr>
          <w:p w14:paraId="51D7CEF5">
            <w:pPr>
              <w:pStyle w:val="11"/>
            </w:pPr>
          </w:p>
        </w:tc>
        <w:tc>
          <w:tcPr>
            <w:tcW w:w="1361" w:type="dxa"/>
            <w:vAlign w:val="center"/>
          </w:tcPr>
          <w:p w14:paraId="7BCBA9D9">
            <w:pPr>
              <w:pStyle w:val="11"/>
            </w:pPr>
          </w:p>
        </w:tc>
      </w:tr>
      <w:tr w14:paraId="6E8F1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85302">
            <w:pPr>
              <w:pStyle w:val="13"/>
            </w:pPr>
            <w:r>
              <w:t>5</w:t>
            </w:r>
          </w:p>
        </w:tc>
        <w:tc>
          <w:tcPr>
            <w:tcW w:w="992" w:type="dxa"/>
            <w:vAlign w:val="center"/>
          </w:tcPr>
          <w:p w14:paraId="773EBFF3">
            <w:pPr>
              <w:pStyle w:val="12"/>
            </w:pPr>
            <w:r>
              <w:t>20502</w:t>
            </w:r>
          </w:p>
        </w:tc>
        <w:tc>
          <w:tcPr>
            <w:tcW w:w="4535" w:type="dxa"/>
            <w:vAlign w:val="center"/>
          </w:tcPr>
          <w:p w14:paraId="1CED8FBB">
            <w:pPr>
              <w:pStyle w:val="12"/>
            </w:pPr>
            <w:r>
              <w:t>普通教育</w:t>
            </w:r>
          </w:p>
        </w:tc>
        <w:tc>
          <w:tcPr>
            <w:tcW w:w="1361" w:type="dxa"/>
            <w:vAlign w:val="center"/>
          </w:tcPr>
          <w:p w14:paraId="2908BF37">
            <w:pPr>
              <w:pStyle w:val="11"/>
            </w:pPr>
            <w:r>
              <w:t>5393.20</w:t>
            </w:r>
          </w:p>
        </w:tc>
        <w:tc>
          <w:tcPr>
            <w:tcW w:w="1361" w:type="dxa"/>
            <w:vAlign w:val="center"/>
          </w:tcPr>
          <w:p w14:paraId="6B1A2739">
            <w:pPr>
              <w:pStyle w:val="11"/>
            </w:pPr>
          </w:p>
        </w:tc>
        <w:tc>
          <w:tcPr>
            <w:tcW w:w="1361" w:type="dxa"/>
            <w:vAlign w:val="center"/>
          </w:tcPr>
          <w:p w14:paraId="20ADC250">
            <w:pPr>
              <w:pStyle w:val="11"/>
            </w:pPr>
            <w:r>
              <w:t>5393.20</w:t>
            </w:r>
          </w:p>
        </w:tc>
        <w:tc>
          <w:tcPr>
            <w:tcW w:w="1361" w:type="dxa"/>
            <w:vAlign w:val="center"/>
          </w:tcPr>
          <w:p w14:paraId="14649177">
            <w:pPr>
              <w:pStyle w:val="11"/>
            </w:pPr>
          </w:p>
        </w:tc>
        <w:tc>
          <w:tcPr>
            <w:tcW w:w="1361" w:type="dxa"/>
            <w:vAlign w:val="center"/>
          </w:tcPr>
          <w:p w14:paraId="1F49E419">
            <w:pPr>
              <w:pStyle w:val="11"/>
            </w:pPr>
          </w:p>
        </w:tc>
        <w:tc>
          <w:tcPr>
            <w:tcW w:w="1361" w:type="dxa"/>
            <w:vAlign w:val="center"/>
          </w:tcPr>
          <w:p w14:paraId="1CEF6D62">
            <w:pPr>
              <w:pStyle w:val="11"/>
            </w:pPr>
          </w:p>
        </w:tc>
      </w:tr>
      <w:tr w14:paraId="7061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E370">
            <w:pPr>
              <w:pStyle w:val="13"/>
            </w:pPr>
            <w:r>
              <w:t>6</w:t>
            </w:r>
          </w:p>
        </w:tc>
        <w:tc>
          <w:tcPr>
            <w:tcW w:w="992" w:type="dxa"/>
            <w:vAlign w:val="center"/>
          </w:tcPr>
          <w:p w14:paraId="74B862B2">
            <w:pPr>
              <w:pStyle w:val="12"/>
            </w:pPr>
            <w:r>
              <w:t>2050201</w:t>
            </w:r>
          </w:p>
        </w:tc>
        <w:tc>
          <w:tcPr>
            <w:tcW w:w="4535" w:type="dxa"/>
            <w:vAlign w:val="center"/>
          </w:tcPr>
          <w:p w14:paraId="57D0797E">
            <w:pPr>
              <w:pStyle w:val="12"/>
            </w:pPr>
            <w:r>
              <w:t>学前教育</w:t>
            </w:r>
          </w:p>
        </w:tc>
        <w:tc>
          <w:tcPr>
            <w:tcW w:w="1361" w:type="dxa"/>
            <w:vAlign w:val="center"/>
          </w:tcPr>
          <w:p w14:paraId="7E78CF80">
            <w:pPr>
              <w:pStyle w:val="11"/>
            </w:pPr>
            <w:r>
              <w:t>1467.51</w:t>
            </w:r>
          </w:p>
        </w:tc>
        <w:tc>
          <w:tcPr>
            <w:tcW w:w="1361" w:type="dxa"/>
            <w:vAlign w:val="center"/>
          </w:tcPr>
          <w:p w14:paraId="143DD659">
            <w:pPr>
              <w:pStyle w:val="11"/>
            </w:pPr>
          </w:p>
        </w:tc>
        <w:tc>
          <w:tcPr>
            <w:tcW w:w="1361" w:type="dxa"/>
            <w:vAlign w:val="center"/>
          </w:tcPr>
          <w:p w14:paraId="000FB037">
            <w:pPr>
              <w:pStyle w:val="11"/>
            </w:pPr>
            <w:r>
              <w:t>1467.51</w:t>
            </w:r>
          </w:p>
        </w:tc>
        <w:tc>
          <w:tcPr>
            <w:tcW w:w="1361" w:type="dxa"/>
            <w:vAlign w:val="center"/>
          </w:tcPr>
          <w:p w14:paraId="03586EC3">
            <w:pPr>
              <w:pStyle w:val="11"/>
            </w:pPr>
          </w:p>
        </w:tc>
        <w:tc>
          <w:tcPr>
            <w:tcW w:w="1361" w:type="dxa"/>
            <w:vAlign w:val="center"/>
          </w:tcPr>
          <w:p w14:paraId="45695719">
            <w:pPr>
              <w:pStyle w:val="11"/>
            </w:pPr>
          </w:p>
        </w:tc>
        <w:tc>
          <w:tcPr>
            <w:tcW w:w="1361" w:type="dxa"/>
            <w:vAlign w:val="center"/>
          </w:tcPr>
          <w:p w14:paraId="78402398">
            <w:pPr>
              <w:pStyle w:val="11"/>
            </w:pPr>
          </w:p>
        </w:tc>
      </w:tr>
      <w:tr w14:paraId="05BF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D4CDA">
            <w:pPr>
              <w:pStyle w:val="13"/>
            </w:pPr>
            <w:r>
              <w:t>7</w:t>
            </w:r>
          </w:p>
        </w:tc>
        <w:tc>
          <w:tcPr>
            <w:tcW w:w="992" w:type="dxa"/>
            <w:vAlign w:val="center"/>
          </w:tcPr>
          <w:p w14:paraId="16888521">
            <w:pPr>
              <w:pStyle w:val="12"/>
            </w:pPr>
            <w:r>
              <w:t>2050202</w:t>
            </w:r>
          </w:p>
        </w:tc>
        <w:tc>
          <w:tcPr>
            <w:tcW w:w="4535" w:type="dxa"/>
            <w:vAlign w:val="center"/>
          </w:tcPr>
          <w:p w14:paraId="49754F34">
            <w:pPr>
              <w:pStyle w:val="12"/>
            </w:pPr>
            <w:r>
              <w:t>小学教育</w:t>
            </w:r>
          </w:p>
        </w:tc>
        <w:tc>
          <w:tcPr>
            <w:tcW w:w="1361" w:type="dxa"/>
            <w:vAlign w:val="center"/>
          </w:tcPr>
          <w:p w14:paraId="69F8D8BA">
            <w:pPr>
              <w:pStyle w:val="11"/>
            </w:pPr>
            <w:r>
              <w:t>1759.38</w:t>
            </w:r>
          </w:p>
        </w:tc>
        <w:tc>
          <w:tcPr>
            <w:tcW w:w="1361" w:type="dxa"/>
            <w:vAlign w:val="center"/>
          </w:tcPr>
          <w:p w14:paraId="1B8E5252">
            <w:pPr>
              <w:pStyle w:val="11"/>
            </w:pPr>
          </w:p>
        </w:tc>
        <w:tc>
          <w:tcPr>
            <w:tcW w:w="1361" w:type="dxa"/>
            <w:vAlign w:val="center"/>
          </w:tcPr>
          <w:p w14:paraId="420550F6">
            <w:pPr>
              <w:pStyle w:val="11"/>
            </w:pPr>
            <w:r>
              <w:t>1759.38</w:t>
            </w:r>
          </w:p>
        </w:tc>
        <w:tc>
          <w:tcPr>
            <w:tcW w:w="1361" w:type="dxa"/>
            <w:vAlign w:val="center"/>
          </w:tcPr>
          <w:p w14:paraId="318C4BE1">
            <w:pPr>
              <w:pStyle w:val="11"/>
            </w:pPr>
          </w:p>
        </w:tc>
        <w:tc>
          <w:tcPr>
            <w:tcW w:w="1361" w:type="dxa"/>
            <w:vAlign w:val="center"/>
          </w:tcPr>
          <w:p w14:paraId="78301593">
            <w:pPr>
              <w:pStyle w:val="11"/>
            </w:pPr>
          </w:p>
        </w:tc>
        <w:tc>
          <w:tcPr>
            <w:tcW w:w="1361" w:type="dxa"/>
            <w:vAlign w:val="center"/>
          </w:tcPr>
          <w:p w14:paraId="0EA6BD4C">
            <w:pPr>
              <w:pStyle w:val="11"/>
            </w:pPr>
          </w:p>
        </w:tc>
      </w:tr>
      <w:tr w14:paraId="021C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753CB">
            <w:pPr>
              <w:pStyle w:val="13"/>
            </w:pPr>
            <w:r>
              <w:t>8</w:t>
            </w:r>
          </w:p>
        </w:tc>
        <w:tc>
          <w:tcPr>
            <w:tcW w:w="992" w:type="dxa"/>
            <w:vAlign w:val="center"/>
          </w:tcPr>
          <w:p w14:paraId="60335744">
            <w:pPr>
              <w:pStyle w:val="12"/>
            </w:pPr>
            <w:r>
              <w:t>2050203</w:t>
            </w:r>
          </w:p>
        </w:tc>
        <w:tc>
          <w:tcPr>
            <w:tcW w:w="4535" w:type="dxa"/>
            <w:vAlign w:val="center"/>
          </w:tcPr>
          <w:p w14:paraId="5C8C1182">
            <w:pPr>
              <w:pStyle w:val="12"/>
            </w:pPr>
            <w:r>
              <w:t>初中教育</w:t>
            </w:r>
          </w:p>
        </w:tc>
        <w:tc>
          <w:tcPr>
            <w:tcW w:w="1361" w:type="dxa"/>
            <w:vAlign w:val="center"/>
          </w:tcPr>
          <w:p w14:paraId="0A292B8F">
            <w:pPr>
              <w:pStyle w:val="11"/>
            </w:pPr>
            <w:r>
              <w:t>689.85</w:t>
            </w:r>
          </w:p>
        </w:tc>
        <w:tc>
          <w:tcPr>
            <w:tcW w:w="1361" w:type="dxa"/>
            <w:vAlign w:val="center"/>
          </w:tcPr>
          <w:p w14:paraId="5B94BA43">
            <w:pPr>
              <w:pStyle w:val="11"/>
            </w:pPr>
          </w:p>
        </w:tc>
        <w:tc>
          <w:tcPr>
            <w:tcW w:w="1361" w:type="dxa"/>
            <w:vAlign w:val="center"/>
          </w:tcPr>
          <w:p w14:paraId="5BD5B7D4">
            <w:pPr>
              <w:pStyle w:val="11"/>
            </w:pPr>
            <w:r>
              <w:t>689.85</w:t>
            </w:r>
          </w:p>
        </w:tc>
        <w:tc>
          <w:tcPr>
            <w:tcW w:w="1361" w:type="dxa"/>
            <w:vAlign w:val="center"/>
          </w:tcPr>
          <w:p w14:paraId="369AE1DC">
            <w:pPr>
              <w:pStyle w:val="11"/>
            </w:pPr>
          </w:p>
        </w:tc>
        <w:tc>
          <w:tcPr>
            <w:tcW w:w="1361" w:type="dxa"/>
            <w:vAlign w:val="center"/>
          </w:tcPr>
          <w:p w14:paraId="3A5217EF">
            <w:pPr>
              <w:pStyle w:val="11"/>
            </w:pPr>
          </w:p>
        </w:tc>
        <w:tc>
          <w:tcPr>
            <w:tcW w:w="1361" w:type="dxa"/>
            <w:vAlign w:val="center"/>
          </w:tcPr>
          <w:p w14:paraId="49ABA6BE">
            <w:pPr>
              <w:pStyle w:val="11"/>
            </w:pPr>
          </w:p>
        </w:tc>
      </w:tr>
      <w:tr w14:paraId="0FB03A82">
        <w:tblPrEx>
          <w:tblCellMar>
            <w:top w:w="0" w:type="dxa"/>
            <w:left w:w="108" w:type="dxa"/>
            <w:bottom w:w="0" w:type="dxa"/>
            <w:right w:w="108" w:type="dxa"/>
          </w:tblCellMar>
        </w:tblPrEx>
        <w:trPr>
          <w:trHeight w:val="369" w:hRule="atLeast"/>
          <w:jc w:val="center"/>
        </w:trPr>
        <w:tc>
          <w:tcPr>
            <w:tcW w:w="850" w:type="dxa"/>
            <w:vAlign w:val="center"/>
          </w:tcPr>
          <w:p w14:paraId="7E8B17B0">
            <w:pPr>
              <w:pStyle w:val="13"/>
            </w:pPr>
            <w:r>
              <w:t>9</w:t>
            </w:r>
          </w:p>
        </w:tc>
        <w:tc>
          <w:tcPr>
            <w:tcW w:w="992" w:type="dxa"/>
            <w:vAlign w:val="center"/>
          </w:tcPr>
          <w:p w14:paraId="078D1108">
            <w:pPr>
              <w:pStyle w:val="12"/>
            </w:pPr>
            <w:r>
              <w:t>2050204</w:t>
            </w:r>
          </w:p>
        </w:tc>
        <w:tc>
          <w:tcPr>
            <w:tcW w:w="4535" w:type="dxa"/>
            <w:vAlign w:val="center"/>
          </w:tcPr>
          <w:p w14:paraId="62D29AC8">
            <w:pPr>
              <w:pStyle w:val="12"/>
            </w:pPr>
            <w:r>
              <w:t>高中教育</w:t>
            </w:r>
          </w:p>
        </w:tc>
        <w:tc>
          <w:tcPr>
            <w:tcW w:w="1361" w:type="dxa"/>
            <w:vAlign w:val="center"/>
          </w:tcPr>
          <w:p w14:paraId="7D8EF3BB">
            <w:pPr>
              <w:pStyle w:val="11"/>
            </w:pPr>
            <w:r>
              <w:t>365.77</w:t>
            </w:r>
          </w:p>
        </w:tc>
        <w:tc>
          <w:tcPr>
            <w:tcW w:w="1361" w:type="dxa"/>
            <w:vAlign w:val="center"/>
          </w:tcPr>
          <w:p w14:paraId="138D21AE">
            <w:pPr>
              <w:pStyle w:val="11"/>
            </w:pPr>
          </w:p>
        </w:tc>
        <w:tc>
          <w:tcPr>
            <w:tcW w:w="1361" w:type="dxa"/>
            <w:vAlign w:val="center"/>
          </w:tcPr>
          <w:p w14:paraId="14FE38CF">
            <w:pPr>
              <w:pStyle w:val="11"/>
            </w:pPr>
            <w:r>
              <w:t>365.77</w:t>
            </w:r>
          </w:p>
        </w:tc>
        <w:tc>
          <w:tcPr>
            <w:tcW w:w="1361" w:type="dxa"/>
            <w:vAlign w:val="center"/>
          </w:tcPr>
          <w:p w14:paraId="1ED13D55">
            <w:pPr>
              <w:pStyle w:val="11"/>
            </w:pPr>
          </w:p>
        </w:tc>
        <w:tc>
          <w:tcPr>
            <w:tcW w:w="1361" w:type="dxa"/>
            <w:vAlign w:val="center"/>
          </w:tcPr>
          <w:p w14:paraId="10385BC3">
            <w:pPr>
              <w:pStyle w:val="11"/>
            </w:pPr>
          </w:p>
        </w:tc>
        <w:tc>
          <w:tcPr>
            <w:tcW w:w="1361" w:type="dxa"/>
            <w:vAlign w:val="center"/>
          </w:tcPr>
          <w:p w14:paraId="382F9E2E">
            <w:pPr>
              <w:pStyle w:val="11"/>
            </w:pPr>
          </w:p>
        </w:tc>
      </w:tr>
      <w:tr w14:paraId="642A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7195">
            <w:pPr>
              <w:pStyle w:val="13"/>
            </w:pPr>
            <w:r>
              <w:t>10</w:t>
            </w:r>
          </w:p>
        </w:tc>
        <w:tc>
          <w:tcPr>
            <w:tcW w:w="992" w:type="dxa"/>
            <w:vAlign w:val="center"/>
          </w:tcPr>
          <w:p w14:paraId="3B4450EC">
            <w:pPr>
              <w:pStyle w:val="12"/>
            </w:pPr>
            <w:r>
              <w:t>2050205</w:t>
            </w:r>
          </w:p>
        </w:tc>
        <w:tc>
          <w:tcPr>
            <w:tcW w:w="4535" w:type="dxa"/>
            <w:vAlign w:val="center"/>
          </w:tcPr>
          <w:p w14:paraId="42FC6900">
            <w:pPr>
              <w:pStyle w:val="12"/>
            </w:pPr>
            <w:r>
              <w:t>高等教育</w:t>
            </w:r>
          </w:p>
        </w:tc>
        <w:tc>
          <w:tcPr>
            <w:tcW w:w="1361" w:type="dxa"/>
            <w:vAlign w:val="center"/>
          </w:tcPr>
          <w:p w14:paraId="0660BEDE">
            <w:pPr>
              <w:pStyle w:val="11"/>
            </w:pPr>
            <w:r>
              <w:t>4.00</w:t>
            </w:r>
          </w:p>
        </w:tc>
        <w:tc>
          <w:tcPr>
            <w:tcW w:w="1361" w:type="dxa"/>
            <w:vAlign w:val="center"/>
          </w:tcPr>
          <w:p w14:paraId="04F0E526">
            <w:pPr>
              <w:pStyle w:val="11"/>
            </w:pPr>
          </w:p>
        </w:tc>
        <w:tc>
          <w:tcPr>
            <w:tcW w:w="1361" w:type="dxa"/>
            <w:vAlign w:val="center"/>
          </w:tcPr>
          <w:p w14:paraId="5A4E6EAF">
            <w:pPr>
              <w:pStyle w:val="11"/>
            </w:pPr>
            <w:r>
              <w:t>4.00</w:t>
            </w:r>
          </w:p>
        </w:tc>
        <w:tc>
          <w:tcPr>
            <w:tcW w:w="1361" w:type="dxa"/>
            <w:vAlign w:val="center"/>
          </w:tcPr>
          <w:p w14:paraId="3C08D299">
            <w:pPr>
              <w:pStyle w:val="11"/>
            </w:pPr>
          </w:p>
        </w:tc>
        <w:tc>
          <w:tcPr>
            <w:tcW w:w="1361" w:type="dxa"/>
            <w:vAlign w:val="center"/>
          </w:tcPr>
          <w:p w14:paraId="0F84B1BF">
            <w:pPr>
              <w:pStyle w:val="11"/>
            </w:pPr>
          </w:p>
        </w:tc>
        <w:tc>
          <w:tcPr>
            <w:tcW w:w="1361" w:type="dxa"/>
            <w:vAlign w:val="center"/>
          </w:tcPr>
          <w:p w14:paraId="16537EA0">
            <w:pPr>
              <w:pStyle w:val="11"/>
            </w:pPr>
          </w:p>
        </w:tc>
      </w:tr>
      <w:tr w14:paraId="70F6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AC908">
            <w:pPr>
              <w:pStyle w:val="13"/>
            </w:pPr>
            <w:r>
              <w:t>11</w:t>
            </w:r>
          </w:p>
        </w:tc>
        <w:tc>
          <w:tcPr>
            <w:tcW w:w="992" w:type="dxa"/>
            <w:vAlign w:val="center"/>
          </w:tcPr>
          <w:p w14:paraId="3C07AFA7">
            <w:pPr>
              <w:pStyle w:val="12"/>
            </w:pPr>
            <w:r>
              <w:t>2050299</w:t>
            </w:r>
          </w:p>
        </w:tc>
        <w:tc>
          <w:tcPr>
            <w:tcW w:w="4535" w:type="dxa"/>
            <w:vAlign w:val="center"/>
          </w:tcPr>
          <w:p w14:paraId="689DE678">
            <w:pPr>
              <w:pStyle w:val="12"/>
            </w:pPr>
            <w:r>
              <w:t>其他普通教育支出</w:t>
            </w:r>
          </w:p>
        </w:tc>
        <w:tc>
          <w:tcPr>
            <w:tcW w:w="1361" w:type="dxa"/>
            <w:vAlign w:val="center"/>
          </w:tcPr>
          <w:p w14:paraId="6E3C6330">
            <w:pPr>
              <w:pStyle w:val="11"/>
            </w:pPr>
            <w:r>
              <w:t>1106.70</w:t>
            </w:r>
          </w:p>
        </w:tc>
        <w:tc>
          <w:tcPr>
            <w:tcW w:w="1361" w:type="dxa"/>
            <w:vAlign w:val="center"/>
          </w:tcPr>
          <w:p w14:paraId="0C779530">
            <w:pPr>
              <w:pStyle w:val="11"/>
            </w:pPr>
          </w:p>
        </w:tc>
        <w:tc>
          <w:tcPr>
            <w:tcW w:w="1361" w:type="dxa"/>
            <w:vAlign w:val="center"/>
          </w:tcPr>
          <w:p w14:paraId="66383D8A">
            <w:pPr>
              <w:pStyle w:val="11"/>
            </w:pPr>
            <w:r>
              <w:t>1106.70</w:t>
            </w:r>
          </w:p>
        </w:tc>
        <w:tc>
          <w:tcPr>
            <w:tcW w:w="1361" w:type="dxa"/>
            <w:vAlign w:val="center"/>
          </w:tcPr>
          <w:p w14:paraId="7C427396">
            <w:pPr>
              <w:pStyle w:val="11"/>
            </w:pPr>
          </w:p>
        </w:tc>
        <w:tc>
          <w:tcPr>
            <w:tcW w:w="1361" w:type="dxa"/>
            <w:vAlign w:val="center"/>
          </w:tcPr>
          <w:p w14:paraId="641BB8B8">
            <w:pPr>
              <w:pStyle w:val="11"/>
            </w:pPr>
          </w:p>
        </w:tc>
        <w:tc>
          <w:tcPr>
            <w:tcW w:w="1361" w:type="dxa"/>
            <w:vAlign w:val="center"/>
          </w:tcPr>
          <w:p w14:paraId="0E2D3847">
            <w:pPr>
              <w:pStyle w:val="11"/>
            </w:pPr>
          </w:p>
        </w:tc>
      </w:tr>
      <w:tr w14:paraId="1EC7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36CC4">
            <w:pPr>
              <w:pStyle w:val="13"/>
            </w:pPr>
            <w:r>
              <w:t>12</w:t>
            </w:r>
          </w:p>
        </w:tc>
        <w:tc>
          <w:tcPr>
            <w:tcW w:w="992" w:type="dxa"/>
            <w:vAlign w:val="center"/>
          </w:tcPr>
          <w:p w14:paraId="355C0F62">
            <w:pPr>
              <w:pStyle w:val="12"/>
            </w:pPr>
            <w:r>
              <w:t>20503</w:t>
            </w:r>
          </w:p>
        </w:tc>
        <w:tc>
          <w:tcPr>
            <w:tcW w:w="4535" w:type="dxa"/>
            <w:vAlign w:val="center"/>
          </w:tcPr>
          <w:p w14:paraId="322CA25B">
            <w:pPr>
              <w:pStyle w:val="12"/>
            </w:pPr>
            <w:r>
              <w:t>职业教育</w:t>
            </w:r>
          </w:p>
        </w:tc>
        <w:tc>
          <w:tcPr>
            <w:tcW w:w="1361" w:type="dxa"/>
            <w:vAlign w:val="center"/>
          </w:tcPr>
          <w:p w14:paraId="5B424C59">
            <w:pPr>
              <w:pStyle w:val="11"/>
            </w:pPr>
            <w:r>
              <w:t>131.76</w:t>
            </w:r>
          </w:p>
        </w:tc>
        <w:tc>
          <w:tcPr>
            <w:tcW w:w="1361" w:type="dxa"/>
            <w:vAlign w:val="center"/>
          </w:tcPr>
          <w:p w14:paraId="3F7A3F64">
            <w:pPr>
              <w:pStyle w:val="11"/>
            </w:pPr>
          </w:p>
        </w:tc>
        <w:tc>
          <w:tcPr>
            <w:tcW w:w="1361" w:type="dxa"/>
            <w:vAlign w:val="center"/>
          </w:tcPr>
          <w:p w14:paraId="5BEA7865">
            <w:pPr>
              <w:pStyle w:val="11"/>
            </w:pPr>
            <w:r>
              <w:t>131.76</w:t>
            </w:r>
          </w:p>
        </w:tc>
        <w:tc>
          <w:tcPr>
            <w:tcW w:w="1361" w:type="dxa"/>
            <w:vAlign w:val="center"/>
          </w:tcPr>
          <w:p w14:paraId="77E40974">
            <w:pPr>
              <w:pStyle w:val="11"/>
            </w:pPr>
          </w:p>
        </w:tc>
        <w:tc>
          <w:tcPr>
            <w:tcW w:w="1361" w:type="dxa"/>
            <w:vAlign w:val="center"/>
          </w:tcPr>
          <w:p w14:paraId="1913D575">
            <w:pPr>
              <w:pStyle w:val="11"/>
            </w:pPr>
          </w:p>
        </w:tc>
        <w:tc>
          <w:tcPr>
            <w:tcW w:w="1361" w:type="dxa"/>
            <w:vAlign w:val="center"/>
          </w:tcPr>
          <w:p w14:paraId="27896583">
            <w:pPr>
              <w:pStyle w:val="11"/>
            </w:pPr>
          </w:p>
        </w:tc>
      </w:tr>
      <w:tr w14:paraId="3710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62EC">
            <w:pPr>
              <w:pStyle w:val="13"/>
            </w:pPr>
            <w:r>
              <w:t>13</w:t>
            </w:r>
          </w:p>
        </w:tc>
        <w:tc>
          <w:tcPr>
            <w:tcW w:w="992" w:type="dxa"/>
            <w:vAlign w:val="center"/>
          </w:tcPr>
          <w:p w14:paraId="5F59949B">
            <w:pPr>
              <w:pStyle w:val="12"/>
            </w:pPr>
            <w:r>
              <w:t>2050302</w:t>
            </w:r>
          </w:p>
        </w:tc>
        <w:tc>
          <w:tcPr>
            <w:tcW w:w="4535" w:type="dxa"/>
            <w:vAlign w:val="center"/>
          </w:tcPr>
          <w:p w14:paraId="22E8401E">
            <w:pPr>
              <w:pStyle w:val="12"/>
            </w:pPr>
            <w:r>
              <w:t>中等职业教育</w:t>
            </w:r>
          </w:p>
        </w:tc>
        <w:tc>
          <w:tcPr>
            <w:tcW w:w="1361" w:type="dxa"/>
            <w:vAlign w:val="center"/>
          </w:tcPr>
          <w:p w14:paraId="5D97070A">
            <w:pPr>
              <w:pStyle w:val="11"/>
            </w:pPr>
            <w:r>
              <w:t>131.76</w:t>
            </w:r>
          </w:p>
        </w:tc>
        <w:tc>
          <w:tcPr>
            <w:tcW w:w="1361" w:type="dxa"/>
            <w:vAlign w:val="center"/>
          </w:tcPr>
          <w:p w14:paraId="69080958">
            <w:pPr>
              <w:pStyle w:val="11"/>
            </w:pPr>
          </w:p>
        </w:tc>
        <w:tc>
          <w:tcPr>
            <w:tcW w:w="1361" w:type="dxa"/>
            <w:vAlign w:val="center"/>
          </w:tcPr>
          <w:p w14:paraId="7927840E">
            <w:pPr>
              <w:pStyle w:val="11"/>
            </w:pPr>
            <w:r>
              <w:t>131.76</w:t>
            </w:r>
          </w:p>
        </w:tc>
        <w:tc>
          <w:tcPr>
            <w:tcW w:w="1361" w:type="dxa"/>
            <w:vAlign w:val="center"/>
          </w:tcPr>
          <w:p w14:paraId="55AF0ED5">
            <w:pPr>
              <w:pStyle w:val="11"/>
            </w:pPr>
          </w:p>
        </w:tc>
        <w:tc>
          <w:tcPr>
            <w:tcW w:w="1361" w:type="dxa"/>
            <w:vAlign w:val="center"/>
          </w:tcPr>
          <w:p w14:paraId="4A4D96B9">
            <w:pPr>
              <w:pStyle w:val="11"/>
            </w:pPr>
          </w:p>
        </w:tc>
        <w:tc>
          <w:tcPr>
            <w:tcW w:w="1361" w:type="dxa"/>
            <w:vAlign w:val="center"/>
          </w:tcPr>
          <w:p w14:paraId="3CA27448">
            <w:pPr>
              <w:pStyle w:val="11"/>
            </w:pPr>
          </w:p>
        </w:tc>
      </w:tr>
      <w:tr w14:paraId="2A5878F4">
        <w:tblPrEx>
          <w:tblCellMar>
            <w:top w:w="0" w:type="dxa"/>
            <w:left w:w="108" w:type="dxa"/>
            <w:bottom w:w="0" w:type="dxa"/>
            <w:right w:w="108" w:type="dxa"/>
          </w:tblCellMar>
        </w:tblPrEx>
        <w:trPr>
          <w:trHeight w:val="369" w:hRule="atLeast"/>
          <w:jc w:val="center"/>
        </w:trPr>
        <w:tc>
          <w:tcPr>
            <w:tcW w:w="850" w:type="dxa"/>
            <w:vAlign w:val="center"/>
          </w:tcPr>
          <w:p w14:paraId="79963D21">
            <w:pPr>
              <w:pStyle w:val="13"/>
            </w:pPr>
            <w:r>
              <w:t>14</w:t>
            </w:r>
          </w:p>
        </w:tc>
        <w:tc>
          <w:tcPr>
            <w:tcW w:w="992" w:type="dxa"/>
            <w:vAlign w:val="center"/>
          </w:tcPr>
          <w:p w14:paraId="070460A6">
            <w:pPr>
              <w:pStyle w:val="12"/>
            </w:pPr>
            <w:r>
              <w:t>208</w:t>
            </w:r>
          </w:p>
        </w:tc>
        <w:tc>
          <w:tcPr>
            <w:tcW w:w="4535" w:type="dxa"/>
            <w:vAlign w:val="center"/>
          </w:tcPr>
          <w:p w14:paraId="264A4F64">
            <w:pPr>
              <w:pStyle w:val="12"/>
            </w:pPr>
            <w:r>
              <w:t>社会保障和就业支出</w:t>
            </w:r>
          </w:p>
        </w:tc>
        <w:tc>
          <w:tcPr>
            <w:tcW w:w="1361" w:type="dxa"/>
            <w:vAlign w:val="center"/>
          </w:tcPr>
          <w:p w14:paraId="2451BA8A">
            <w:pPr>
              <w:pStyle w:val="11"/>
            </w:pPr>
            <w:r>
              <w:t>21.14</w:t>
            </w:r>
          </w:p>
        </w:tc>
        <w:tc>
          <w:tcPr>
            <w:tcW w:w="1361" w:type="dxa"/>
            <w:vAlign w:val="center"/>
          </w:tcPr>
          <w:p w14:paraId="0CA24A55">
            <w:pPr>
              <w:pStyle w:val="11"/>
            </w:pPr>
            <w:r>
              <w:t>21.14</w:t>
            </w:r>
          </w:p>
        </w:tc>
        <w:tc>
          <w:tcPr>
            <w:tcW w:w="1361" w:type="dxa"/>
            <w:vAlign w:val="center"/>
          </w:tcPr>
          <w:p w14:paraId="6C32C1A4">
            <w:pPr>
              <w:pStyle w:val="11"/>
            </w:pPr>
          </w:p>
        </w:tc>
        <w:tc>
          <w:tcPr>
            <w:tcW w:w="1361" w:type="dxa"/>
            <w:vAlign w:val="center"/>
          </w:tcPr>
          <w:p w14:paraId="20BC037D">
            <w:pPr>
              <w:pStyle w:val="11"/>
            </w:pPr>
          </w:p>
        </w:tc>
        <w:tc>
          <w:tcPr>
            <w:tcW w:w="1361" w:type="dxa"/>
            <w:vAlign w:val="center"/>
          </w:tcPr>
          <w:p w14:paraId="044D7C72">
            <w:pPr>
              <w:pStyle w:val="11"/>
            </w:pPr>
          </w:p>
        </w:tc>
        <w:tc>
          <w:tcPr>
            <w:tcW w:w="1361" w:type="dxa"/>
            <w:vAlign w:val="center"/>
          </w:tcPr>
          <w:p w14:paraId="5D912542">
            <w:pPr>
              <w:pStyle w:val="11"/>
            </w:pPr>
          </w:p>
        </w:tc>
      </w:tr>
      <w:tr w14:paraId="7CDB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96E73">
            <w:pPr>
              <w:pStyle w:val="13"/>
            </w:pPr>
            <w:r>
              <w:t>15</w:t>
            </w:r>
          </w:p>
        </w:tc>
        <w:tc>
          <w:tcPr>
            <w:tcW w:w="992" w:type="dxa"/>
            <w:vAlign w:val="center"/>
          </w:tcPr>
          <w:p w14:paraId="3AB46005">
            <w:pPr>
              <w:pStyle w:val="12"/>
            </w:pPr>
            <w:r>
              <w:t>20805</w:t>
            </w:r>
          </w:p>
        </w:tc>
        <w:tc>
          <w:tcPr>
            <w:tcW w:w="4535" w:type="dxa"/>
            <w:vAlign w:val="center"/>
          </w:tcPr>
          <w:p w14:paraId="6792A051">
            <w:pPr>
              <w:pStyle w:val="12"/>
            </w:pPr>
            <w:r>
              <w:t>行政事业单位养老支出</w:t>
            </w:r>
          </w:p>
        </w:tc>
        <w:tc>
          <w:tcPr>
            <w:tcW w:w="1361" w:type="dxa"/>
            <w:vAlign w:val="center"/>
          </w:tcPr>
          <w:p w14:paraId="0646BF29">
            <w:pPr>
              <w:pStyle w:val="11"/>
            </w:pPr>
            <w:r>
              <w:t>21.14</w:t>
            </w:r>
          </w:p>
        </w:tc>
        <w:tc>
          <w:tcPr>
            <w:tcW w:w="1361" w:type="dxa"/>
            <w:vAlign w:val="center"/>
          </w:tcPr>
          <w:p w14:paraId="0AFBB584">
            <w:pPr>
              <w:pStyle w:val="11"/>
            </w:pPr>
            <w:r>
              <w:t>21.14</w:t>
            </w:r>
          </w:p>
        </w:tc>
        <w:tc>
          <w:tcPr>
            <w:tcW w:w="1361" w:type="dxa"/>
            <w:vAlign w:val="center"/>
          </w:tcPr>
          <w:p w14:paraId="04835D60">
            <w:pPr>
              <w:pStyle w:val="11"/>
            </w:pPr>
          </w:p>
        </w:tc>
        <w:tc>
          <w:tcPr>
            <w:tcW w:w="1361" w:type="dxa"/>
            <w:vAlign w:val="center"/>
          </w:tcPr>
          <w:p w14:paraId="1B7B4784">
            <w:pPr>
              <w:pStyle w:val="11"/>
            </w:pPr>
          </w:p>
        </w:tc>
        <w:tc>
          <w:tcPr>
            <w:tcW w:w="1361" w:type="dxa"/>
            <w:vAlign w:val="center"/>
          </w:tcPr>
          <w:p w14:paraId="1C8F7574">
            <w:pPr>
              <w:pStyle w:val="11"/>
            </w:pPr>
          </w:p>
        </w:tc>
        <w:tc>
          <w:tcPr>
            <w:tcW w:w="1361" w:type="dxa"/>
            <w:vAlign w:val="center"/>
          </w:tcPr>
          <w:p w14:paraId="24815F47">
            <w:pPr>
              <w:pStyle w:val="11"/>
            </w:pPr>
          </w:p>
        </w:tc>
      </w:tr>
      <w:tr w14:paraId="3187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4BA4">
            <w:pPr>
              <w:pStyle w:val="13"/>
            </w:pPr>
            <w:r>
              <w:t>16</w:t>
            </w:r>
          </w:p>
        </w:tc>
        <w:tc>
          <w:tcPr>
            <w:tcW w:w="992" w:type="dxa"/>
            <w:vAlign w:val="center"/>
          </w:tcPr>
          <w:p w14:paraId="0350AFA0">
            <w:pPr>
              <w:pStyle w:val="12"/>
            </w:pPr>
            <w:r>
              <w:t>2080505</w:t>
            </w:r>
          </w:p>
        </w:tc>
        <w:tc>
          <w:tcPr>
            <w:tcW w:w="4535" w:type="dxa"/>
            <w:vAlign w:val="center"/>
          </w:tcPr>
          <w:p w14:paraId="683DE6D3">
            <w:pPr>
              <w:pStyle w:val="12"/>
            </w:pPr>
            <w:r>
              <w:t>机关事业单位基本养老保险缴费支出</w:t>
            </w:r>
          </w:p>
        </w:tc>
        <w:tc>
          <w:tcPr>
            <w:tcW w:w="1361" w:type="dxa"/>
            <w:vAlign w:val="center"/>
          </w:tcPr>
          <w:p w14:paraId="491590ED">
            <w:pPr>
              <w:pStyle w:val="11"/>
            </w:pPr>
            <w:r>
              <w:t>21.14</w:t>
            </w:r>
          </w:p>
        </w:tc>
        <w:tc>
          <w:tcPr>
            <w:tcW w:w="1361" w:type="dxa"/>
            <w:vAlign w:val="center"/>
          </w:tcPr>
          <w:p w14:paraId="37985937">
            <w:pPr>
              <w:pStyle w:val="11"/>
            </w:pPr>
            <w:r>
              <w:t>21.14</w:t>
            </w:r>
          </w:p>
        </w:tc>
        <w:tc>
          <w:tcPr>
            <w:tcW w:w="1361" w:type="dxa"/>
            <w:vAlign w:val="center"/>
          </w:tcPr>
          <w:p w14:paraId="2602C6D3">
            <w:pPr>
              <w:pStyle w:val="11"/>
            </w:pPr>
          </w:p>
        </w:tc>
        <w:tc>
          <w:tcPr>
            <w:tcW w:w="1361" w:type="dxa"/>
            <w:vAlign w:val="center"/>
          </w:tcPr>
          <w:p w14:paraId="30A0E9F1">
            <w:pPr>
              <w:pStyle w:val="11"/>
            </w:pPr>
          </w:p>
        </w:tc>
        <w:tc>
          <w:tcPr>
            <w:tcW w:w="1361" w:type="dxa"/>
            <w:vAlign w:val="center"/>
          </w:tcPr>
          <w:p w14:paraId="5F54C4B5">
            <w:pPr>
              <w:pStyle w:val="11"/>
            </w:pPr>
          </w:p>
        </w:tc>
        <w:tc>
          <w:tcPr>
            <w:tcW w:w="1361" w:type="dxa"/>
            <w:vAlign w:val="center"/>
          </w:tcPr>
          <w:p w14:paraId="64C00DCA">
            <w:pPr>
              <w:pStyle w:val="11"/>
            </w:pPr>
          </w:p>
        </w:tc>
      </w:tr>
      <w:tr w14:paraId="47E4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5E5D">
            <w:pPr>
              <w:pStyle w:val="13"/>
            </w:pPr>
            <w:r>
              <w:t>17</w:t>
            </w:r>
          </w:p>
        </w:tc>
        <w:tc>
          <w:tcPr>
            <w:tcW w:w="992" w:type="dxa"/>
            <w:vAlign w:val="center"/>
          </w:tcPr>
          <w:p w14:paraId="71BCA622">
            <w:pPr>
              <w:pStyle w:val="12"/>
            </w:pPr>
            <w:r>
              <w:t>210</w:t>
            </w:r>
          </w:p>
        </w:tc>
        <w:tc>
          <w:tcPr>
            <w:tcW w:w="4535" w:type="dxa"/>
            <w:vAlign w:val="center"/>
          </w:tcPr>
          <w:p w14:paraId="222B8C13">
            <w:pPr>
              <w:pStyle w:val="12"/>
            </w:pPr>
            <w:r>
              <w:t>卫生健康支出</w:t>
            </w:r>
          </w:p>
        </w:tc>
        <w:tc>
          <w:tcPr>
            <w:tcW w:w="1361" w:type="dxa"/>
            <w:vAlign w:val="center"/>
          </w:tcPr>
          <w:p w14:paraId="684ECB94">
            <w:pPr>
              <w:pStyle w:val="11"/>
            </w:pPr>
            <w:r>
              <w:t>9.58</w:t>
            </w:r>
          </w:p>
        </w:tc>
        <w:tc>
          <w:tcPr>
            <w:tcW w:w="1361" w:type="dxa"/>
            <w:vAlign w:val="center"/>
          </w:tcPr>
          <w:p w14:paraId="1B6D28F2">
            <w:pPr>
              <w:pStyle w:val="11"/>
            </w:pPr>
            <w:r>
              <w:t>9.58</w:t>
            </w:r>
          </w:p>
        </w:tc>
        <w:tc>
          <w:tcPr>
            <w:tcW w:w="1361" w:type="dxa"/>
            <w:vAlign w:val="center"/>
          </w:tcPr>
          <w:p w14:paraId="28B2C887">
            <w:pPr>
              <w:pStyle w:val="11"/>
            </w:pPr>
          </w:p>
        </w:tc>
        <w:tc>
          <w:tcPr>
            <w:tcW w:w="1361" w:type="dxa"/>
            <w:vAlign w:val="center"/>
          </w:tcPr>
          <w:p w14:paraId="2BB43A4F">
            <w:pPr>
              <w:pStyle w:val="11"/>
            </w:pPr>
          </w:p>
        </w:tc>
        <w:tc>
          <w:tcPr>
            <w:tcW w:w="1361" w:type="dxa"/>
            <w:vAlign w:val="center"/>
          </w:tcPr>
          <w:p w14:paraId="07308DA7">
            <w:pPr>
              <w:pStyle w:val="11"/>
            </w:pPr>
          </w:p>
        </w:tc>
        <w:tc>
          <w:tcPr>
            <w:tcW w:w="1361" w:type="dxa"/>
            <w:vAlign w:val="center"/>
          </w:tcPr>
          <w:p w14:paraId="4EDD6A1A">
            <w:pPr>
              <w:pStyle w:val="11"/>
            </w:pPr>
          </w:p>
        </w:tc>
      </w:tr>
      <w:tr w14:paraId="252E5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89F1A">
            <w:pPr>
              <w:pStyle w:val="13"/>
            </w:pPr>
            <w:r>
              <w:t>18</w:t>
            </w:r>
          </w:p>
        </w:tc>
        <w:tc>
          <w:tcPr>
            <w:tcW w:w="992" w:type="dxa"/>
            <w:vAlign w:val="center"/>
          </w:tcPr>
          <w:p w14:paraId="6ADAAC6B">
            <w:pPr>
              <w:pStyle w:val="12"/>
            </w:pPr>
            <w:r>
              <w:t>21011</w:t>
            </w:r>
          </w:p>
        </w:tc>
        <w:tc>
          <w:tcPr>
            <w:tcW w:w="4535" w:type="dxa"/>
            <w:vAlign w:val="center"/>
          </w:tcPr>
          <w:p w14:paraId="4130200A">
            <w:pPr>
              <w:pStyle w:val="12"/>
            </w:pPr>
            <w:r>
              <w:t>行政事业单位医疗</w:t>
            </w:r>
          </w:p>
        </w:tc>
        <w:tc>
          <w:tcPr>
            <w:tcW w:w="1361" w:type="dxa"/>
            <w:vAlign w:val="center"/>
          </w:tcPr>
          <w:p w14:paraId="6C73DAB9">
            <w:pPr>
              <w:pStyle w:val="11"/>
            </w:pPr>
            <w:r>
              <w:t>9.58</w:t>
            </w:r>
          </w:p>
        </w:tc>
        <w:tc>
          <w:tcPr>
            <w:tcW w:w="1361" w:type="dxa"/>
            <w:vAlign w:val="center"/>
          </w:tcPr>
          <w:p w14:paraId="131D1865">
            <w:pPr>
              <w:pStyle w:val="11"/>
            </w:pPr>
            <w:r>
              <w:t>9.58</w:t>
            </w:r>
          </w:p>
        </w:tc>
        <w:tc>
          <w:tcPr>
            <w:tcW w:w="1361" w:type="dxa"/>
            <w:vAlign w:val="center"/>
          </w:tcPr>
          <w:p w14:paraId="6F7749FF">
            <w:pPr>
              <w:pStyle w:val="11"/>
            </w:pPr>
          </w:p>
        </w:tc>
        <w:tc>
          <w:tcPr>
            <w:tcW w:w="1361" w:type="dxa"/>
            <w:vAlign w:val="center"/>
          </w:tcPr>
          <w:p w14:paraId="2CD929F0">
            <w:pPr>
              <w:pStyle w:val="11"/>
            </w:pPr>
          </w:p>
        </w:tc>
        <w:tc>
          <w:tcPr>
            <w:tcW w:w="1361" w:type="dxa"/>
            <w:vAlign w:val="center"/>
          </w:tcPr>
          <w:p w14:paraId="0330010E">
            <w:pPr>
              <w:pStyle w:val="11"/>
            </w:pPr>
          </w:p>
        </w:tc>
        <w:tc>
          <w:tcPr>
            <w:tcW w:w="1361" w:type="dxa"/>
            <w:vAlign w:val="center"/>
          </w:tcPr>
          <w:p w14:paraId="2D3D2F51">
            <w:pPr>
              <w:pStyle w:val="11"/>
            </w:pPr>
          </w:p>
        </w:tc>
      </w:tr>
      <w:tr w14:paraId="5254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CBAC1">
            <w:pPr>
              <w:pStyle w:val="13"/>
            </w:pPr>
            <w:r>
              <w:t>19</w:t>
            </w:r>
          </w:p>
        </w:tc>
        <w:tc>
          <w:tcPr>
            <w:tcW w:w="992" w:type="dxa"/>
            <w:vAlign w:val="center"/>
          </w:tcPr>
          <w:p w14:paraId="4B7232ED">
            <w:pPr>
              <w:pStyle w:val="12"/>
            </w:pPr>
            <w:r>
              <w:t>2101101</w:t>
            </w:r>
          </w:p>
        </w:tc>
        <w:tc>
          <w:tcPr>
            <w:tcW w:w="4535" w:type="dxa"/>
            <w:vAlign w:val="center"/>
          </w:tcPr>
          <w:p w14:paraId="000F0942">
            <w:pPr>
              <w:pStyle w:val="12"/>
            </w:pPr>
            <w:r>
              <w:t>行政单位医疗</w:t>
            </w:r>
          </w:p>
        </w:tc>
        <w:tc>
          <w:tcPr>
            <w:tcW w:w="1361" w:type="dxa"/>
            <w:vAlign w:val="center"/>
          </w:tcPr>
          <w:p w14:paraId="69D7A029">
            <w:pPr>
              <w:pStyle w:val="11"/>
            </w:pPr>
            <w:r>
              <w:t>9.58</w:t>
            </w:r>
          </w:p>
        </w:tc>
        <w:tc>
          <w:tcPr>
            <w:tcW w:w="1361" w:type="dxa"/>
            <w:vAlign w:val="center"/>
          </w:tcPr>
          <w:p w14:paraId="09B2F716">
            <w:pPr>
              <w:pStyle w:val="11"/>
            </w:pPr>
            <w:r>
              <w:t>9.58</w:t>
            </w:r>
          </w:p>
        </w:tc>
        <w:tc>
          <w:tcPr>
            <w:tcW w:w="1361" w:type="dxa"/>
            <w:vAlign w:val="center"/>
          </w:tcPr>
          <w:p w14:paraId="7CD462FD">
            <w:pPr>
              <w:pStyle w:val="11"/>
            </w:pPr>
          </w:p>
        </w:tc>
        <w:tc>
          <w:tcPr>
            <w:tcW w:w="1361" w:type="dxa"/>
            <w:vAlign w:val="center"/>
          </w:tcPr>
          <w:p w14:paraId="6C88C24A">
            <w:pPr>
              <w:pStyle w:val="11"/>
            </w:pPr>
          </w:p>
        </w:tc>
        <w:tc>
          <w:tcPr>
            <w:tcW w:w="1361" w:type="dxa"/>
            <w:vAlign w:val="center"/>
          </w:tcPr>
          <w:p w14:paraId="563A6AEF">
            <w:pPr>
              <w:pStyle w:val="11"/>
            </w:pPr>
          </w:p>
        </w:tc>
        <w:tc>
          <w:tcPr>
            <w:tcW w:w="1361" w:type="dxa"/>
            <w:vAlign w:val="center"/>
          </w:tcPr>
          <w:p w14:paraId="712B2EC2">
            <w:pPr>
              <w:pStyle w:val="11"/>
            </w:pPr>
          </w:p>
        </w:tc>
      </w:tr>
      <w:tr w14:paraId="0F64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4445">
            <w:pPr>
              <w:pStyle w:val="13"/>
            </w:pPr>
            <w:r>
              <w:t>20</w:t>
            </w:r>
          </w:p>
        </w:tc>
        <w:tc>
          <w:tcPr>
            <w:tcW w:w="992" w:type="dxa"/>
            <w:vAlign w:val="center"/>
          </w:tcPr>
          <w:p w14:paraId="142C3213">
            <w:pPr>
              <w:pStyle w:val="12"/>
            </w:pPr>
            <w:r>
              <w:t>221</w:t>
            </w:r>
          </w:p>
        </w:tc>
        <w:tc>
          <w:tcPr>
            <w:tcW w:w="4535" w:type="dxa"/>
            <w:vAlign w:val="center"/>
          </w:tcPr>
          <w:p w14:paraId="386F856A">
            <w:pPr>
              <w:pStyle w:val="12"/>
            </w:pPr>
            <w:r>
              <w:t>住房保障支出</w:t>
            </w:r>
          </w:p>
        </w:tc>
        <w:tc>
          <w:tcPr>
            <w:tcW w:w="1361" w:type="dxa"/>
            <w:vAlign w:val="center"/>
          </w:tcPr>
          <w:p w14:paraId="1554FD06">
            <w:pPr>
              <w:pStyle w:val="11"/>
            </w:pPr>
            <w:r>
              <w:t>16.14</w:t>
            </w:r>
          </w:p>
        </w:tc>
        <w:tc>
          <w:tcPr>
            <w:tcW w:w="1361" w:type="dxa"/>
            <w:vAlign w:val="center"/>
          </w:tcPr>
          <w:p w14:paraId="3E160298">
            <w:pPr>
              <w:pStyle w:val="11"/>
            </w:pPr>
            <w:r>
              <w:t>16.14</w:t>
            </w:r>
          </w:p>
        </w:tc>
        <w:tc>
          <w:tcPr>
            <w:tcW w:w="1361" w:type="dxa"/>
            <w:vAlign w:val="center"/>
          </w:tcPr>
          <w:p w14:paraId="3EF16987">
            <w:pPr>
              <w:pStyle w:val="11"/>
            </w:pPr>
          </w:p>
        </w:tc>
        <w:tc>
          <w:tcPr>
            <w:tcW w:w="1361" w:type="dxa"/>
            <w:vAlign w:val="center"/>
          </w:tcPr>
          <w:p w14:paraId="53F1C121">
            <w:pPr>
              <w:pStyle w:val="11"/>
            </w:pPr>
          </w:p>
        </w:tc>
        <w:tc>
          <w:tcPr>
            <w:tcW w:w="1361" w:type="dxa"/>
            <w:vAlign w:val="center"/>
          </w:tcPr>
          <w:p w14:paraId="70EEC5C4">
            <w:pPr>
              <w:pStyle w:val="11"/>
            </w:pPr>
          </w:p>
        </w:tc>
        <w:tc>
          <w:tcPr>
            <w:tcW w:w="1361" w:type="dxa"/>
            <w:vAlign w:val="center"/>
          </w:tcPr>
          <w:p w14:paraId="2B2A4632">
            <w:pPr>
              <w:pStyle w:val="11"/>
            </w:pPr>
          </w:p>
        </w:tc>
      </w:tr>
      <w:tr w14:paraId="16CE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AD09D">
            <w:pPr>
              <w:pStyle w:val="13"/>
            </w:pPr>
            <w:r>
              <w:t>21</w:t>
            </w:r>
          </w:p>
        </w:tc>
        <w:tc>
          <w:tcPr>
            <w:tcW w:w="992" w:type="dxa"/>
            <w:vAlign w:val="center"/>
          </w:tcPr>
          <w:p w14:paraId="23C00EB1">
            <w:pPr>
              <w:pStyle w:val="12"/>
            </w:pPr>
            <w:r>
              <w:t>22102</w:t>
            </w:r>
          </w:p>
        </w:tc>
        <w:tc>
          <w:tcPr>
            <w:tcW w:w="4535" w:type="dxa"/>
            <w:vAlign w:val="center"/>
          </w:tcPr>
          <w:p w14:paraId="07F915E1">
            <w:pPr>
              <w:pStyle w:val="12"/>
            </w:pPr>
            <w:r>
              <w:t>住房改革支出</w:t>
            </w:r>
          </w:p>
        </w:tc>
        <w:tc>
          <w:tcPr>
            <w:tcW w:w="1361" w:type="dxa"/>
            <w:vAlign w:val="center"/>
          </w:tcPr>
          <w:p w14:paraId="247A8245">
            <w:pPr>
              <w:pStyle w:val="11"/>
            </w:pPr>
            <w:r>
              <w:t>16.14</w:t>
            </w:r>
          </w:p>
        </w:tc>
        <w:tc>
          <w:tcPr>
            <w:tcW w:w="1361" w:type="dxa"/>
            <w:vAlign w:val="center"/>
          </w:tcPr>
          <w:p w14:paraId="4B4213ED">
            <w:pPr>
              <w:pStyle w:val="11"/>
            </w:pPr>
            <w:r>
              <w:t>16.14</w:t>
            </w:r>
          </w:p>
        </w:tc>
        <w:tc>
          <w:tcPr>
            <w:tcW w:w="1361" w:type="dxa"/>
            <w:vAlign w:val="center"/>
          </w:tcPr>
          <w:p w14:paraId="43A458A4">
            <w:pPr>
              <w:pStyle w:val="11"/>
            </w:pPr>
          </w:p>
        </w:tc>
        <w:tc>
          <w:tcPr>
            <w:tcW w:w="1361" w:type="dxa"/>
            <w:vAlign w:val="center"/>
          </w:tcPr>
          <w:p w14:paraId="3B2F56A6">
            <w:pPr>
              <w:pStyle w:val="11"/>
            </w:pPr>
          </w:p>
        </w:tc>
        <w:tc>
          <w:tcPr>
            <w:tcW w:w="1361" w:type="dxa"/>
            <w:vAlign w:val="center"/>
          </w:tcPr>
          <w:p w14:paraId="0A851BD3">
            <w:pPr>
              <w:pStyle w:val="11"/>
            </w:pPr>
          </w:p>
        </w:tc>
        <w:tc>
          <w:tcPr>
            <w:tcW w:w="1361" w:type="dxa"/>
            <w:vAlign w:val="center"/>
          </w:tcPr>
          <w:p w14:paraId="6B3D6D3F">
            <w:pPr>
              <w:pStyle w:val="11"/>
            </w:pPr>
          </w:p>
        </w:tc>
      </w:tr>
      <w:tr w14:paraId="1B38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C3FA">
            <w:pPr>
              <w:pStyle w:val="13"/>
            </w:pPr>
            <w:r>
              <w:t>22</w:t>
            </w:r>
          </w:p>
        </w:tc>
        <w:tc>
          <w:tcPr>
            <w:tcW w:w="992" w:type="dxa"/>
            <w:vAlign w:val="center"/>
          </w:tcPr>
          <w:p w14:paraId="26A6400B">
            <w:pPr>
              <w:pStyle w:val="12"/>
            </w:pPr>
            <w:r>
              <w:t>2210201</w:t>
            </w:r>
          </w:p>
        </w:tc>
        <w:tc>
          <w:tcPr>
            <w:tcW w:w="4535" w:type="dxa"/>
            <w:vAlign w:val="center"/>
          </w:tcPr>
          <w:p w14:paraId="68CD2480">
            <w:pPr>
              <w:pStyle w:val="12"/>
            </w:pPr>
            <w:r>
              <w:t>住房公积金</w:t>
            </w:r>
          </w:p>
        </w:tc>
        <w:tc>
          <w:tcPr>
            <w:tcW w:w="1361" w:type="dxa"/>
            <w:vAlign w:val="center"/>
          </w:tcPr>
          <w:p w14:paraId="5169FC64">
            <w:pPr>
              <w:pStyle w:val="11"/>
            </w:pPr>
            <w:r>
              <w:t>16.14</w:t>
            </w:r>
          </w:p>
        </w:tc>
        <w:tc>
          <w:tcPr>
            <w:tcW w:w="1361" w:type="dxa"/>
            <w:vAlign w:val="center"/>
          </w:tcPr>
          <w:p w14:paraId="3B8259B5">
            <w:pPr>
              <w:pStyle w:val="11"/>
            </w:pPr>
            <w:r>
              <w:t>16.14</w:t>
            </w:r>
          </w:p>
        </w:tc>
        <w:tc>
          <w:tcPr>
            <w:tcW w:w="1361" w:type="dxa"/>
            <w:vAlign w:val="center"/>
          </w:tcPr>
          <w:p w14:paraId="0849F62D">
            <w:pPr>
              <w:pStyle w:val="11"/>
            </w:pPr>
          </w:p>
        </w:tc>
        <w:tc>
          <w:tcPr>
            <w:tcW w:w="1361" w:type="dxa"/>
            <w:vAlign w:val="center"/>
          </w:tcPr>
          <w:p w14:paraId="07457719">
            <w:pPr>
              <w:pStyle w:val="11"/>
            </w:pPr>
          </w:p>
        </w:tc>
        <w:tc>
          <w:tcPr>
            <w:tcW w:w="1361" w:type="dxa"/>
            <w:vAlign w:val="center"/>
          </w:tcPr>
          <w:p w14:paraId="7B462E75">
            <w:pPr>
              <w:pStyle w:val="11"/>
            </w:pPr>
          </w:p>
        </w:tc>
        <w:tc>
          <w:tcPr>
            <w:tcW w:w="1361" w:type="dxa"/>
            <w:vAlign w:val="center"/>
          </w:tcPr>
          <w:p w14:paraId="2A55E365">
            <w:pPr>
              <w:pStyle w:val="11"/>
            </w:pPr>
          </w:p>
        </w:tc>
      </w:tr>
      <w:tr w14:paraId="74A7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8867">
            <w:pPr>
              <w:pStyle w:val="13"/>
            </w:pPr>
            <w:r>
              <w:t>23</w:t>
            </w:r>
          </w:p>
        </w:tc>
        <w:tc>
          <w:tcPr>
            <w:tcW w:w="992" w:type="dxa"/>
            <w:vAlign w:val="center"/>
          </w:tcPr>
          <w:p w14:paraId="17199C50">
            <w:pPr>
              <w:pStyle w:val="12"/>
            </w:pPr>
            <w:r>
              <w:t>229</w:t>
            </w:r>
          </w:p>
        </w:tc>
        <w:tc>
          <w:tcPr>
            <w:tcW w:w="4535" w:type="dxa"/>
            <w:vAlign w:val="center"/>
          </w:tcPr>
          <w:p w14:paraId="3DA2AE2B">
            <w:pPr>
              <w:pStyle w:val="12"/>
            </w:pPr>
            <w:r>
              <w:t>其他支出</w:t>
            </w:r>
          </w:p>
        </w:tc>
        <w:tc>
          <w:tcPr>
            <w:tcW w:w="1361" w:type="dxa"/>
            <w:vAlign w:val="center"/>
          </w:tcPr>
          <w:p w14:paraId="7F24A7AD">
            <w:pPr>
              <w:pStyle w:val="11"/>
            </w:pPr>
            <w:r>
              <w:t>5283.99</w:t>
            </w:r>
          </w:p>
        </w:tc>
        <w:tc>
          <w:tcPr>
            <w:tcW w:w="1361" w:type="dxa"/>
            <w:vAlign w:val="center"/>
          </w:tcPr>
          <w:p w14:paraId="49619EB4">
            <w:pPr>
              <w:pStyle w:val="11"/>
            </w:pPr>
          </w:p>
        </w:tc>
        <w:tc>
          <w:tcPr>
            <w:tcW w:w="1361" w:type="dxa"/>
            <w:vAlign w:val="center"/>
          </w:tcPr>
          <w:p w14:paraId="67F6D9A4">
            <w:pPr>
              <w:pStyle w:val="11"/>
            </w:pPr>
            <w:r>
              <w:t>5283.99</w:t>
            </w:r>
          </w:p>
        </w:tc>
        <w:tc>
          <w:tcPr>
            <w:tcW w:w="1361" w:type="dxa"/>
            <w:vAlign w:val="center"/>
          </w:tcPr>
          <w:p w14:paraId="7C9D5452">
            <w:pPr>
              <w:pStyle w:val="11"/>
            </w:pPr>
          </w:p>
        </w:tc>
        <w:tc>
          <w:tcPr>
            <w:tcW w:w="1361" w:type="dxa"/>
            <w:vAlign w:val="center"/>
          </w:tcPr>
          <w:p w14:paraId="3F4B944C">
            <w:pPr>
              <w:pStyle w:val="11"/>
            </w:pPr>
          </w:p>
        </w:tc>
        <w:tc>
          <w:tcPr>
            <w:tcW w:w="1361" w:type="dxa"/>
            <w:vAlign w:val="center"/>
          </w:tcPr>
          <w:p w14:paraId="76190727">
            <w:pPr>
              <w:pStyle w:val="11"/>
            </w:pPr>
          </w:p>
        </w:tc>
      </w:tr>
      <w:tr w14:paraId="3733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EAB3">
            <w:pPr>
              <w:pStyle w:val="13"/>
            </w:pPr>
            <w:r>
              <w:t>24</w:t>
            </w:r>
          </w:p>
        </w:tc>
        <w:tc>
          <w:tcPr>
            <w:tcW w:w="992" w:type="dxa"/>
            <w:vAlign w:val="center"/>
          </w:tcPr>
          <w:p w14:paraId="60CFC151">
            <w:pPr>
              <w:pStyle w:val="12"/>
            </w:pPr>
            <w:r>
              <w:t>22904</w:t>
            </w:r>
          </w:p>
        </w:tc>
        <w:tc>
          <w:tcPr>
            <w:tcW w:w="4535" w:type="dxa"/>
            <w:vAlign w:val="center"/>
          </w:tcPr>
          <w:p w14:paraId="075CABD9">
            <w:pPr>
              <w:pStyle w:val="12"/>
            </w:pPr>
            <w:r>
              <w:t>其他政府性基金及对应专项债务收入安排的支出</w:t>
            </w:r>
          </w:p>
        </w:tc>
        <w:tc>
          <w:tcPr>
            <w:tcW w:w="1361" w:type="dxa"/>
            <w:vAlign w:val="center"/>
          </w:tcPr>
          <w:p w14:paraId="37F54688">
            <w:pPr>
              <w:pStyle w:val="11"/>
            </w:pPr>
            <w:r>
              <w:t>5283.99</w:t>
            </w:r>
          </w:p>
        </w:tc>
        <w:tc>
          <w:tcPr>
            <w:tcW w:w="1361" w:type="dxa"/>
            <w:vAlign w:val="center"/>
          </w:tcPr>
          <w:p w14:paraId="7AA62DA0">
            <w:pPr>
              <w:pStyle w:val="11"/>
            </w:pPr>
          </w:p>
        </w:tc>
        <w:tc>
          <w:tcPr>
            <w:tcW w:w="1361" w:type="dxa"/>
            <w:vAlign w:val="center"/>
          </w:tcPr>
          <w:p w14:paraId="0B1912CD">
            <w:pPr>
              <w:pStyle w:val="11"/>
            </w:pPr>
            <w:r>
              <w:t>5283.99</w:t>
            </w:r>
          </w:p>
        </w:tc>
        <w:tc>
          <w:tcPr>
            <w:tcW w:w="1361" w:type="dxa"/>
            <w:vAlign w:val="center"/>
          </w:tcPr>
          <w:p w14:paraId="17F0537F">
            <w:pPr>
              <w:pStyle w:val="11"/>
            </w:pPr>
          </w:p>
        </w:tc>
        <w:tc>
          <w:tcPr>
            <w:tcW w:w="1361" w:type="dxa"/>
            <w:vAlign w:val="center"/>
          </w:tcPr>
          <w:p w14:paraId="52EA3735">
            <w:pPr>
              <w:pStyle w:val="11"/>
            </w:pPr>
          </w:p>
        </w:tc>
        <w:tc>
          <w:tcPr>
            <w:tcW w:w="1361" w:type="dxa"/>
            <w:vAlign w:val="center"/>
          </w:tcPr>
          <w:p w14:paraId="5FB15DC3">
            <w:pPr>
              <w:pStyle w:val="11"/>
            </w:pPr>
          </w:p>
        </w:tc>
      </w:tr>
      <w:tr w14:paraId="37D12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06762">
            <w:pPr>
              <w:pStyle w:val="13"/>
            </w:pPr>
            <w:r>
              <w:t>25</w:t>
            </w:r>
          </w:p>
        </w:tc>
        <w:tc>
          <w:tcPr>
            <w:tcW w:w="992" w:type="dxa"/>
            <w:vAlign w:val="center"/>
          </w:tcPr>
          <w:p w14:paraId="131A4D7F">
            <w:pPr>
              <w:pStyle w:val="12"/>
            </w:pPr>
            <w:r>
              <w:t>2290402</w:t>
            </w:r>
          </w:p>
        </w:tc>
        <w:tc>
          <w:tcPr>
            <w:tcW w:w="4535" w:type="dxa"/>
            <w:vAlign w:val="center"/>
          </w:tcPr>
          <w:p w14:paraId="04A2741D">
            <w:pPr>
              <w:pStyle w:val="12"/>
            </w:pPr>
            <w:r>
              <w:t>其他地方自行试点项目收益专项债券收入安排的支出</w:t>
            </w:r>
          </w:p>
        </w:tc>
        <w:tc>
          <w:tcPr>
            <w:tcW w:w="1361" w:type="dxa"/>
            <w:vAlign w:val="center"/>
          </w:tcPr>
          <w:p w14:paraId="7FBE138D">
            <w:pPr>
              <w:pStyle w:val="11"/>
            </w:pPr>
            <w:r>
              <w:t>5283.99</w:t>
            </w:r>
          </w:p>
        </w:tc>
        <w:tc>
          <w:tcPr>
            <w:tcW w:w="1361" w:type="dxa"/>
            <w:vAlign w:val="center"/>
          </w:tcPr>
          <w:p w14:paraId="5EB52C8F">
            <w:pPr>
              <w:pStyle w:val="11"/>
            </w:pPr>
          </w:p>
        </w:tc>
        <w:tc>
          <w:tcPr>
            <w:tcW w:w="1361" w:type="dxa"/>
            <w:vAlign w:val="center"/>
          </w:tcPr>
          <w:p w14:paraId="5E77C65A">
            <w:pPr>
              <w:pStyle w:val="11"/>
            </w:pPr>
            <w:r>
              <w:t>5283.99</w:t>
            </w:r>
          </w:p>
        </w:tc>
        <w:tc>
          <w:tcPr>
            <w:tcW w:w="1361" w:type="dxa"/>
            <w:vAlign w:val="center"/>
          </w:tcPr>
          <w:p w14:paraId="4980C525">
            <w:pPr>
              <w:pStyle w:val="11"/>
            </w:pPr>
          </w:p>
        </w:tc>
        <w:tc>
          <w:tcPr>
            <w:tcW w:w="1361" w:type="dxa"/>
            <w:vAlign w:val="center"/>
          </w:tcPr>
          <w:p w14:paraId="6EB2140F">
            <w:pPr>
              <w:pStyle w:val="11"/>
            </w:pPr>
          </w:p>
        </w:tc>
        <w:tc>
          <w:tcPr>
            <w:tcW w:w="1361" w:type="dxa"/>
            <w:vAlign w:val="center"/>
          </w:tcPr>
          <w:p w14:paraId="2C04EAFB">
            <w:pPr>
              <w:pStyle w:val="11"/>
            </w:pPr>
          </w:p>
        </w:tc>
      </w:tr>
    </w:tbl>
    <w:p w14:paraId="43C98E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9E13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32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2E642B">
            <w:pPr>
              <w:pStyle w:val="9"/>
            </w:pPr>
            <w:r>
              <w:t>360001隆尧县教育局本级</w:t>
            </w:r>
          </w:p>
        </w:tc>
        <w:tc>
          <w:tcPr>
            <w:tcW w:w="3402" w:type="dxa"/>
            <w:tcBorders>
              <w:top w:val="single" w:color="FFFFFF" w:sz="6" w:space="0"/>
              <w:left w:val="single" w:color="FFFFFF" w:sz="6" w:space="0"/>
              <w:right w:val="single" w:color="FFFFFF" w:sz="6" w:space="0"/>
            </w:tcBorders>
            <w:vAlign w:val="center"/>
          </w:tcPr>
          <w:p w14:paraId="19FA937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83E6790">
            <w:pPr>
              <w:pStyle w:val="7"/>
            </w:pPr>
            <w:r>
              <w:t>单位：万元</w:t>
            </w:r>
          </w:p>
        </w:tc>
      </w:tr>
      <w:tr w14:paraId="1DFA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0A201">
            <w:pPr>
              <w:pStyle w:val="10"/>
            </w:pPr>
            <w:r>
              <w:t>序号</w:t>
            </w:r>
          </w:p>
        </w:tc>
        <w:tc>
          <w:tcPr>
            <w:tcW w:w="4876" w:type="dxa"/>
            <w:gridSpan w:val="2"/>
            <w:vAlign w:val="center"/>
          </w:tcPr>
          <w:p w14:paraId="1DB8AAF4">
            <w:pPr>
              <w:pStyle w:val="10"/>
            </w:pPr>
            <w:r>
              <w:t>收入</w:t>
            </w:r>
          </w:p>
        </w:tc>
        <w:tc>
          <w:tcPr>
            <w:tcW w:w="9298" w:type="dxa"/>
            <w:gridSpan w:val="5"/>
            <w:vAlign w:val="center"/>
          </w:tcPr>
          <w:p w14:paraId="58709CB1">
            <w:pPr>
              <w:pStyle w:val="10"/>
            </w:pPr>
            <w:r>
              <w:t>支出</w:t>
            </w:r>
          </w:p>
        </w:tc>
      </w:tr>
      <w:tr w14:paraId="3F3D4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924477"/>
        </w:tc>
        <w:tc>
          <w:tcPr>
            <w:tcW w:w="3402" w:type="dxa"/>
            <w:vAlign w:val="center"/>
          </w:tcPr>
          <w:p w14:paraId="663D4725">
            <w:pPr>
              <w:pStyle w:val="10"/>
            </w:pPr>
            <w:r>
              <w:t>项  目</w:t>
            </w:r>
          </w:p>
        </w:tc>
        <w:tc>
          <w:tcPr>
            <w:tcW w:w="1474" w:type="dxa"/>
            <w:vAlign w:val="center"/>
          </w:tcPr>
          <w:p w14:paraId="66461C80">
            <w:pPr>
              <w:pStyle w:val="10"/>
            </w:pPr>
            <w:r>
              <w:t>金额</w:t>
            </w:r>
          </w:p>
        </w:tc>
        <w:tc>
          <w:tcPr>
            <w:tcW w:w="3402" w:type="dxa"/>
            <w:vAlign w:val="center"/>
          </w:tcPr>
          <w:p w14:paraId="6D99CEDC">
            <w:pPr>
              <w:pStyle w:val="10"/>
            </w:pPr>
            <w:r>
              <w:t>项  目</w:t>
            </w:r>
          </w:p>
        </w:tc>
        <w:tc>
          <w:tcPr>
            <w:tcW w:w="1474" w:type="dxa"/>
            <w:vAlign w:val="center"/>
          </w:tcPr>
          <w:p w14:paraId="489E268B">
            <w:pPr>
              <w:pStyle w:val="10"/>
            </w:pPr>
            <w:r>
              <w:t>合计</w:t>
            </w:r>
          </w:p>
        </w:tc>
        <w:tc>
          <w:tcPr>
            <w:tcW w:w="1474" w:type="dxa"/>
            <w:vAlign w:val="center"/>
          </w:tcPr>
          <w:p w14:paraId="4274D6FB">
            <w:pPr>
              <w:pStyle w:val="10"/>
            </w:pPr>
            <w:r>
              <w:t>一般公共预算财政拨款</w:t>
            </w:r>
          </w:p>
        </w:tc>
        <w:tc>
          <w:tcPr>
            <w:tcW w:w="1474" w:type="dxa"/>
            <w:vAlign w:val="center"/>
          </w:tcPr>
          <w:p w14:paraId="66593ABC">
            <w:pPr>
              <w:pStyle w:val="10"/>
            </w:pPr>
            <w:r>
              <w:t>政府性基金预算财政    拨款</w:t>
            </w:r>
          </w:p>
        </w:tc>
        <w:tc>
          <w:tcPr>
            <w:tcW w:w="1474" w:type="dxa"/>
            <w:vAlign w:val="center"/>
          </w:tcPr>
          <w:p w14:paraId="349515F0">
            <w:pPr>
              <w:pStyle w:val="10"/>
            </w:pPr>
            <w:r>
              <w:t>国有资本经营预算财政拨款</w:t>
            </w:r>
          </w:p>
        </w:tc>
      </w:tr>
      <w:tr w14:paraId="6D5AF5AE">
        <w:tblPrEx>
          <w:tblCellMar>
            <w:top w:w="0" w:type="dxa"/>
            <w:left w:w="108" w:type="dxa"/>
            <w:bottom w:w="0" w:type="dxa"/>
            <w:right w:w="108" w:type="dxa"/>
          </w:tblCellMar>
        </w:tblPrEx>
        <w:trPr>
          <w:trHeight w:val="369" w:hRule="atLeast"/>
          <w:tblHeader/>
          <w:jc w:val="center"/>
        </w:trPr>
        <w:tc>
          <w:tcPr>
            <w:tcW w:w="850" w:type="dxa"/>
            <w:vAlign w:val="center"/>
          </w:tcPr>
          <w:p w14:paraId="329765C7">
            <w:pPr>
              <w:pStyle w:val="10"/>
            </w:pPr>
            <w:r>
              <w:t>栏次</w:t>
            </w:r>
          </w:p>
        </w:tc>
        <w:tc>
          <w:tcPr>
            <w:tcW w:w="3402" w:type="dxa"/>
            <w:vAlign w:val="center"/>
          </w:tcPr>
          <w:p w14:paraId="73A63379">
            <w:pPr>
              <w:pStyle w:val="10"/>
            </w:pPr>
            <w:r>
              <w:t>1</w:t>
            </w:r>
          </w:p>
        </w:tc>
        <w:tc>
          <w:tcPr>
            <w:tcW w:w="1474" w:type="dxa"/>
            <w:vAlign w:val="center"/>
          </w:tcPr>
          <w:p w14:paraId="3744961F">
            <w:pPr>
              <w:pStyle w:val="10"/>
            </w:pPr>
            <w:r>
              <w:t>2</w:t>
            </w:r>
          </w:p>
        </w:tc>
        <w:tc>
          <w:tcPr>
            <w:tcW w:w="3402" w:type="dxa"/>
            <w:vAlign w:val="center"/>
          </w:tcPr>
          <w:p w14:paraId="727BF5D3">
            <w:pPr>
              <w:pStyle w:val="10"/>
            </w:pPr>
            <w:r>
              <w:t>3</w:t>
            </w:r>
          </w:p>
        </w:tc>
        <w:tc>
          <w:tcPr>
            <w:tcW w:w="1474" w:type="dxa"/>
            <w:vAlign w:val="center"/>
          </w:tcPr>
          <w:p w14:paraId="7D170746">
            <w:pPr>
              <w:pStyle w:val="10"/>
            </w:pPr>
            <w:r>
              <w:t>4</w:t>
            </w:r>
          </w:p>
        </w:tc>
        <w:tc>
          <w:tcPr>
            <w:tcW w:w="1474" w:type="dxa"/>
            <w:vAlign w:val="center"/>
          </w:tcPr>
          <w:p w14:paraId="7E5A93C0">
            <w:pPr>
              <w:pStyle w:val="10"/>
            </w:pPr>
            <w:r>
              <w:t>5</w:t>
            </w:r>
          </w:p>
        </w:tc>
        <w:tc>
          <w:tcPr>
            <w:tcW w:w="1474" w:type="dxa"/>
            <w:vAlign w:val="center"/>
          </w:tcPr>
          <w:p w14:paraId="7D922224">
            <w:pPr>
              <w:pStyle w:val="10"/>
            </w:pPr>
            <w:r>
              <w:t>6</w:t>
            </w:r>
          </w:p>
        </w:tc>
        <w:tc>
          <w:tcPr>
            <w:tcW w:w="1474" w:type="dxa"/>
            <w:vAlign w:val="center"/>
          </w:tcPr>
          <w:p w14:paraId="19720FE4">
            <w:pPr>
              <w:pStyle w:val="10"/>
            </w:pPr>
            <w:r>
              <w:t>7</w:t>
            </w:r>
          </w:p>
        </w:tc>
      </w:tr>
      <w:tr w14:paraId="183E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4CACE">
            <w:pPr>
              <w:pStyle w:val="13"/>
            </w:pPr>
            <w:r>
              <w:t>1</w:t>
            </w:r>
          </w:p>
        </w:tc>
        <w:tc>
          <w:tcPr>
            <w:tcW w:w="3402" w:type="dxa"/>
            <w:vAlign w:val="center"/>
          </w:tcPr>
          <w:p w14:paraId="1D6D93F8">
            <w:pPr>
              <w:pStyle w:val="12"/>
            </w:pPr>
            <w:r>
              <w:t>一、一般公共预算拨款</w:t>
            </w:r>
          </w:p>
        </w:tc>
        <w:tc>
          <w:tcPr>
            <w:tcW w:w="1474" w:type="dxa"/>
            <w:vAlign w:val="center"/>
          </w:tcPr>
          <w:p w14:paraId="40EEBEFE">
            <w:pPr>
              <w:pStyle w:val="11"/>
            </w:pPr>
            <w:r>
              <w:t>5852.30</w:t>
            </w:r>
          </w:p>
        </w:tc>
        <w:tc>
          <w:tcPr>
            <w:tcW w:w="3402" w:type="dxa"/>
            <w:vAlign w:val="center"/>
          </w:tcPr>
          <w:p w14:paraId="530B32DA">
            <w:pPr>
              <w:pStyle w:val="12"/>
            </w:pPr>
            <w:r>
              <w:t>一、一般公共服务支出</w:t>
            </w:r>
          </w:p>
        </w:tc>
        <w:tc>
          <w:tcPr>
            <w:tcW w:w="1474" w:type="dxa"/>
            <w:vAlign w:val="center"/>
          </w:tcPr>
          <w:p w14:paraId="089016FE">
            <w:pPr>
              <w:pStyle w:val="11"/>
            </w:pPr>
          </w:p>
        </w:tc>
        <w:tc>
          <w:tcPr>
            <w:tcW w:w="1474" w:type="dxa"/>
            <w:vAlign w:val="center"/>
          </w:tcPr>
          <w:p w14:paraId="0E086C9B">
            <w:pPr>
              <w:pStyle w:val="11"/>
            </w:pPr>
          </w:p>
        </w:tc>
        <w:tc>
          <w:tcPr>
            <w:tcW w:w="1474" w:type="dxa"/>
            <w:vAlign w:val="center"/>
          </w:tcPr>
          <w:p w14:paraId="783CCCF6">
            <w:pPr>
              <w:pStyle w:val="11"/>
            </w:pPr>
          </w:p>
        </w:tc>
        <w:tc>
          <w:tcPr>
            <w:tcW w:w="1474" w:type="dxa"/>
            <w:vAlign w:val="center"/>
          </w:tcPr>
          <w:p w14:paraId="220EDC9D">
            <w:pPr>
              <w:pStyle w:val="11"/>
            </w:pPr>
          </w:p>
        </w:tc>
      </w:tr>
      <w:tr w14:paraId="001B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46A6">
            <w:pPr>
              <w:pStyle w:val="13"/>
            </w:pPr>
            <w:r>
              <w:t>2</w:t>
            </w:r>
          </w:p>
        </w:tc>
        <w:tc>
          <w:tcPr>
            <w:tcW w:w="3402" w:type="dxa"/>
            <w:vAlign w:val="center"/>
          </w:tcPr>
          <w:p w14:paraId="47E38505">
            <w:pPr>
              <w:pStyle w:val="12"/>
            </w:pPr>
            <w:r>
              <w:t>二、政府性基金预算拨款</w:t>
            </w:r>
          </w:p>
        </w:tc>
        <w:tc>
          <w:tcPr>
            <w:tcW w:w="1474" w:type="dxa"/>
            <w:vAlign w:val="center"/>
          </w:tcPr>
          <w:p w14:paraId="55524094">
            <w:pPr>
              <w:pStyle w:val="11"/>
            </w:pPr>
          </w:p>
        </w:tc>
        <w:tc>
          <w:tcPr>
            <w:tcW w:w="3402" w:type="dxa"/>
            <w:vAlign w:val="center"/>
          </w:tcPr>
          <w:p w14:paraId="21BE0701">
            <w:pPr>
              <w:pStyle w:val="12"/>
            </w:pPr>
            <w:r>
              <w:t>二、外交支出</w:t>
            </w:r>
          </w:p>
        </w:tc>
        <w:tc>
          <w:tcPr>
            <w:tcW w:w="1474" w:type="dxa"/>
            <w:vAlign w:val="center"/>
          </w:tcPr>
          <w:p w14:paraId="3E55D152">
            <w:pPr>
              <w:pStyle w:val="11"/>
            </w:pPr>
          </w:p>
        </w:tc>
        <w:tc>
          <w:tcPr>
            <w:tcW w:w="1474" w:type="dxa"/>
            <w:vAlign w:val="center"/>
          </w:tcPr>
          <w:p w14:paraId="021B791F">
            <w:pPr>
              <w:pStyle w:val="11"/>
            </w:pPr>
          </w:p>
        </w:tc>
        <w:tc>
          <w:tcPr>
            <w:tcW w:w="1474" w:type="dxa"/>
            <w:vAlign w:val="center"/>
          </w:tcPr>
          <w:p w14:paraId="3D807EBA">
            <w:pPr>
              <w:pStyle w:val="11"/>
            </w:pPr>
          </w:p>
        </w:tc>
        <w:tc>
          <w:tcPr>
            <w:tcW w:w="1474" w:type="dxa"/>
            <w:vAlign w:val="center"/>
          </w:tcPr>
          <w:p w14:paraId="1FCC6179">
            <w:pPr>
              <w:pStyle w:val="11"/>
            </w:pPr>
          </w:p>
        </w:tc>
      </w:tr>
      <w:tr w14:paraId="00C81EFD">
        <w:tblPrEx>
          <w:tblCellMar>
            <w:top w:w="0" w:type="dxa"/>
            <w:left w:w="108" w:type="dxa"/>
            <w:bottom w:w="0" w:type="dxa"/>
            <w:right w:w="108" w:type="dxa"/>
          </w:tblCellMar>
        </w:tblPrEx>
        <w:trPr>
          <w:trHeight w:val="369" w:hRule="atLeast"/>
          <w:jc w:val="center"/>
        </w:trPr>
        <w:tc>
          <w:tcPr>
            <w:tcW w:w="850" w:type="dxa"/>
            <w:vAlign w:val="center"/>
          </w:tcPr>
          <w:p w14:paraId="7AB40F70">
            <w:pPr>
              <w:pStyle w:val="13"/>
            </w:pPr>
            <w:r>
              <w:t>3</w:t>
            </w:r>
          </w:p>
        </w:tc>
        <w:tc>
          <w:tcPr>
            <w:tcW w:w="3402" w:type="dxa"/>
            <w:vAlign w:val="center"/>
          </w:tcPr>
          <w:p w14:paraId="012C7687">
            <w:pPr>
              <w:pStyle w:val="12"/>
            </w:pPr>
            <w:r>
              <w:t>三、国有资本经营预算拨款</w:t>
            </w:r>
          </w:p>
        </w:tc>
        <w:tc>
          <w:tcPr>
            <w:tcW w:w="1474" w:type="dxa"/>
            <w:vAlign w:val="center"/>
          </w:tcPr>
          <w:p w14:paraId="1DD238FB">
            <w:pPr>
              <w:pStyle w:val="11"/>
            </w:pPr>
          </w:p>
        </w:tc>
        <w:tc>
          <w:tcPr>
            <w:tcW w:w="3402" w:type="dxa"/>
            <w:vAlign w:val="center"/>
          </w:tcPr>
          <w:p w14:paraId="3021EDFD">
            <w:pPr>
              <w:pStyle w:val="12"/>
            </w:pPr>
            <w:r>
              <w:t>三、国防支出</w:t>
            </w:r>
          </w:p>
        </w:tc>
        <w:tc>
          <w:tcPr>
            <w:tcW w:w="1474" w:type="dxa"/>
            <w:vAlign w:val="center"/>
          </w:tcPr>
          <w:p w14:paraId="26DA7D2B">
            <w:pPr>
              <w:pStyle w:val="11"/>
            </w:pPr>
          </w:p>
        </w:tc>
        <w:tc>
          <w:tcPr>
            <w:tcW w:w="1474" w:type="dxa"/>
            <w:vAlign w:val="center"/>
          </w:tcPr>
          <w:p w14:paraId="084E1FD5">
            <w:pPr>
              <w:pStyle w:val="11"/>
            </w:pPr>
          </w:p>
        </w:tc>
        <w:tc>
          <w:tcPr>
            <w:tcW w:w="1474" w:type="dxa"/>
            <w:vAlign w:val="center"/>
          </w:tcPr>
          <w:p w14:paraId="75D3F82D">
            <w:pPr>
              <w:pStyle w:val="11"/>
            </w:pPr>
          </w:p>
        </w:tc>
        <w:tc>
          <w:tcPr>
            <w:tcW w:w="1474" w:type="dxa"/>
            <w:vAlign w:val="center"/>
          </w:tcPr>
          <w:p w14:paraId="6A51D7CF">
            <w:pPr>
              <w:pStyle w:val="11"/>
            </w:pPr>
          </w:p>
        </w:tc>
      </w:tr>
      <w:tr w14:paraId="3C82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77FA8">
            <w:pPr>
              <w:pStyle w:val="13"/>
            </w:pPr>
            <w:r>
              <w:t>4</w:t>
            </w:r>
          </w:p>
        </w:tc>
        <w:tc>
          <w:tcPr>
            <w:tcW w:w="3402" w:type="dxa"/>
            <w:vAlign w:val="center"/>
          </w:tcPr>
          <w:p w14:paraId="1BD1C757">
            <w:pPr>
              <w:pStyle w:val="12"/>
            </w:pPr>
          </w:p>
        </w:tc>
        <w:tc>
          <w:tcPr>
            <w:tcW w:w="1474" w:type="dxa"/>
            <w:vAlign w:val="center"/>
          </w:tcPr>
          <w:p w14:paraId="625981DF">
            <w:pPr>
              <w:pStyle w:val="11"/>
            </w:pPr>
          </w:p>
        </w:tc>
        <w:tc>
          <w:tcPr>
            <w:tcW w:w="3402" w:type="dxa"/>
            <w:vAlign w:val="center"/>
          </w:tcPr>
          <w:p w14:paraId="483B292E">
            <w:pPr>
              <w:pStyle w:val="12"/>
            </w:pPr>
            <w:r>
              <w:t>四、公共安全支出</w:t>
            </w:r>
          </w:p>
        </w:tc>
        <w:tc>
          <w:tcPr>
            <w:tcW w:w="1474" w:type="dxa"/>
            <w:vAlign w:val="center"/>
          </w:tcPr>
          <w:p w14:paraId="47B3F7BB">
            <w:pPr>
              <w:pStyle w:val="11"/>
            </w:pPr>
          </w:p>
        </w:tc>
        <w:tc>
          <w:tcPr>
            <w:tcW w:w="1474" w:type="dxa"/>
            <w:vAlign w:val="center"/>
          </w:tcPr>
          <w:p w14:paraId="1538B3F4">
            <w:pPr>
              <w:pStyle w:val="11"/>
            </w:pPr>
          </w:p>
        </w:tc>
        <w:tc>
          <w:tcPr>
            <w:tcW w:w="1474" w:type="dxa"/>
            <w:vAlign w:val="center"/>
          </w:tcPr>
          <w:p w14:paraId="156B949E">
            <w:pPr>
              <w:pStyle w:val="11"/>
            </w:pPr>
          </w:p>
        </w:tc>
        <w:tc>
          <w:tcPr>
            <w:tcW w:w="1474" w:type="dxa"/>
            <w:vAlign w:val="center"/>
          </w:tcPr>
          <w:p w14:paraId="51B70F23">
            <w:pPr>
              <w:pStyle w:val="11"/>
            </w:pPr>
          </w:p>
        </w:tc>
      </w:tr>
      <w:tr w14:paraId="28BB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2B6F6">
            <w:pPr>
              <w:pStyle w:val="13"/>
            </w:pPr>
            <w:r>
              <w:t>5</w:t>
            </w:r>
          </w:p>
        </w:tc>
        <w:tc>
          <w:tcPr>
            <w:tcW w:w="3402" w:type="dxa"/>
            <w:vAlign w:val="center"/>
          </w:tcPr>
          <w:p w14:paraId="3055020F">
            <w:pPr>
              <w:pStyle w:val="12"/>
            </w:pPr>
          </w:p>
        </w:tc>
        <w:tc>
          <w:tcPr>
            <w:tcW w:w="1474" w:type="dxa"/>
            <w:vAlign w:val="center"/>
          </w:tcPr>
          <w:p w14:paraId="35809F85">
            <w:pPr>
              <w:pStyle w:val="11"/>
            </w:pPr>
          </w:p>
        </w:tc>
        <w:tc>
          <w:tcPr>
            <w:tcW w:w="3402" w:type="dxa"/>
            <w:vAlign w:val="center"/>
          </w:tcPr>
          <w:p w14:paraId="7BCF6699">
            <w:pPr>
              <w:pStyle w:val="12"/>
            </w:pPr>
            <w:r>
              <w:t>五、教育支出</w:t>
            </w:r>
          </w:p>
        </w:tc>
        <w:tc>
          <w:tcPr>
            <w:tcW w:w="1474" w:type="dxa"/>
            <w:vAlign w:val="center"/>
          </w:tcPr>
          <w:p w14:paraId="77BEC8C3">
            <w:pPr>
              <w:pStyle w:val="11"/>
            </w:pPr>
            <w:r>
              <w:t>5805.44</w:t>
            </w:r>
          </w:p>
        </w:tc>
        <w:tc>
          <w:tcPr>
            <w:tcW w:w="1474" w:type="dxa"/>
            <w:vAlign w:val="center"/>
          </w:tcPr>
          <w:p w14:paraId="5AB69C54">
            <w:pPr>
              <w:pStyle w:val="11"/>
            </w:pPr>
            <w:r>
              <w:t>5805.44</w:t>
            </w:r>
          </w:p>
        </w:tc>
        <w:tc>
          <w:tcPr>
            <w:tcW w:w="1474" w:type="dxa"/>
            <w:vAlign w:val="center"/>
          </w:tcPr>
          <w:p w14:paraId="001F82C5">
            <w:pPr>
              <w:pStyle w:val="11"/>
            </w:pPr>
          </w:p>
        </w:tc>
        <w:tc>
          <w:tcPr>
            <w:tcW w:w="1474" w:type="dxa"/>
            <w:vAlign w:val="center"/>
          </w:tcPr>
          <w:p w14:paraId="028E601E">
            <w:pPr>
              <w:pStyle w:val="11"/>
            </w:pPr>
          </w:p>
        </w:tc>
      </w:tr>
      <w:tr w14:paraId="75BE3745">
        <w:tblPrEx>
          <w:tblCellMar>
            <w:top w:w="0" w:type="dxa"/>
            <w:left w:w="108" w:type="dxa"/>
            <w:bottom w:w="0" w:type="dxa"/>
            <w:right w:w="108" w:type="dxa"/>
          </w:tblCellMar>
        </w:tblPrEx>
        <w:trPr>
          <w:trHeight w:val="369" w:hRule="atLeast"/>
          <w:jc w:val="center"/>
        </w:trPr>
        <w:tc>
          <w:tcPr>
            <w:tcW w:w="850" w:type="dxa"/>
            <w:vAlign w:val="center"/>
          </w:tcPr>
          <w:p w14:paraId="415EA42E">
            <w:pPr>
              <w:pStyle w:val="13"/>
            </w:pPr>
            <w:r>
              <w:t>6</w:t>
            </w:r>
          </w:p>
        </w:tc>
        <w:tc>
          <w:tcPr>
            <w:tcW w:w="3402" w:type="dxa"/>
            <w:vAlign w:val="center"/>
          </w:tcPr>
          <w:p w14:paraId="4CB9D28A">
            <w:pPr>
              <w:pStyle w:val="12"/>
            </w:pPr>
          </w:p>
        </w:tc>
        <w:tc>
          <w:tcPr>
            <w:tcW w:w="1474" w:type="dxa"/>
            <w:vAlign w:val="center"/>
          </w:tcPr>
          <w:p w14:paraId="2BD1CC9E">
            <w:pPr>
              <w:pStyle w:val="11"/>
            </w:pPr>
          </w:p>
        </w:tc>
        <w:tc>
          <w:tcPr>
            <w:tcW w:w="3402" w:type="dxa"/>
            <w:vAlign w:val="center"/>
          </w:tcPr>
          <w:p w14:paraId="1A3746DF">
            <w:pPr>
              <w:pStyle w:val="12"/>
            </w:pPr>
            <w:r>
              <w:t>六、科学技术支出</w:t>
            </w:r>
          </w:p>
        </w:tc>
        <w:tc>
          <w:tcPr>
            <w:tcW w:w="1474" w:type="dxa"/>
            <w:vAlign w:val="center"/>
          </w:tcPr>
          <w:p w14:paraId="4BAA0384">
            <w:pPr>
              <w:pStyle w:val="11"/>
            </w:pPr>
          </w:p>
        </w:tc>
        <w:tc>
          <w:tcPr>
            <w:tcW w:w="1474" w:type="dxa"/>
            <w:vAlign w:val="center"/>
          </w:tcPr>
          <w:p w14:paraId="702AC73C">
            <w:pPr>
              <w:pStyle w:val="11"/>
            </w:pPr>
          </w:p>
        </w:tc>
        <w:tc>
          <w:tcPr>
            <w:tcW w:w="1474" w:type="dxa"/>
            <w:vAlign w:val="center"/>
          </w:tcPr>
          <w:p w14:paraId="415D5454">
            <w:pPr>
              <w:pStyle w:val="11"/>
            </w:pPr>
          </w:p>
        </w:tc>
        <w:tc>
          <w:tcPr>
            <w:tcW w:w="1474" w:type="dxa"/>
            <w:vAlign w:val="center"/>
          </w:tcPr>
          <w:p w14:paraId="379C5DFD">
            <w:pPr>
              <w:pStyle w:val="11"/>
            </w:pPr>
          </w:p>
        </w:tc>
      </w:tr>
      <w:tr w14:paraId="50AE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C0A8D">
            <w:pPr>
              <w:pStyle w:val="13"/>
            </w:pPr>
            <w:r>
              <w:t>7</w:t>
            </w:r>
          </w:p>
        </w:tc>
        <w:tc>
          <w:tcPr>
            <w:tcW w:w="3402" w:type="dxa"/>
            <w:vAlign w:val="center"/>
          </w:tcPr>
          <w:p w14:paraId="338794CF">
            <w:pPr>
              <w:pStyle w:val="12"/>
            </w:pPr>
          </w:p>
        </w:tc>
        <w:tc>
          <w:tcPr>
            <w:tcW w:w="1474" w:type="dxa"/>
            <w:vAlign w:val="center"/>
          </w:tcPr>
          <w:p w14:paraId="7CD9199D">
            <w:pPr>
              <w:pStyle w:val="11"/>
            </w:pPr>
          </w:p>
        </w:tc>
        <w:tc>
          <w:tcPr>
            <w:tcW w:w="3402" w:type="dxa"/>
            <w:vAlign w:val="center"/>
          </w:tcPr>
          <w:p w14:paraId="65BD5156">
            <w:pPr>
              <w:pStyle w:val="12"/>
            </w:pPr>
            <w:r>
              <w:t>七、文化旅游体育与传媒支出</w:t>
            </w:r>
          </w:p>
        </w:tc>
        <w:tc>
          <w:tcPr>
            <w:tcW w:w="1474" w:type="dxa"/>
            <w:vAlign w:val="center"/>
          </w:tcPr>
          <w:p w14:paraId="080D2FFD">
            <w:pPr>
              <w:pStyle w:val="11"/>
            </w:pPr>
          </w:p>
        </w:tc>
        <w:tc>
          <w:tcPr>
            <w:tcW w:w="1474" w:type="dxa"/>
            <w:vAlign w:val="center"/>
          </w:tcPr>
          <w:p w14:paraId="0DB9AAC2">
            <w:pPr>
              <w:pStyle w:val="11"/>
            </w:pPr>
          </w:p>
        </w:tc>
        <w:tc>
          <w:tcPr>
            <w:tcW w:w="1474" w:type="dxa"/>
            <w:vAlign w:val="center"/>
          </w:tcPr>
          <w:p w14:paraId="5C356F7F">
            <w:pPr>
              <w:pStyle w:val="11"/>
            </w:pPr>
          </w:p>
        </w:tc>
        <w:tc>
          <w:tcPr>
            <w:tcW w:w="1474" w:type="dxa"/>
            <w:vAlign w:val="center"/>
          </w:tcPr>
          <w:p w14:paraId="4EFB202E">
            <w:pPr>
              <w:pStyle w:val="11"/>
            </w:pPr>
          </w:p>
        </w:tc>
      </w:tr>
      <w:tr w14:paraId="7BECB148">
        <w:tblPrEx>
          <w:tblCellMar>
            <w:top w:w="0" w:type="dxa"/>
            <w:left w:w="108" w:type="dxa"/>
            <w:bottom w:w="0" w:type="dxa"/>
            <w:right w:w="108" w:type="dxa"/>
          </w:tblCellMar>
        </w:tblPrEx>
        <w:trPr>
          <w:trHeight w:val="369" w:hRule="atLeast"/>
          <w:jc w:val="center"/>
        </w:trPr>
        <w:tc>
          <w:tcPr>
            <w:tcW w:w="850" w:type="dxa"/>
            <w:vAlign w:val="center"/>
          </w:tcPr>
          <w:p w14:paraId="77809CF6">
            <w:pPr>
              <w:pStyle w:val="13"/>
            </w:pPr>
            <w:r>
              <w:t>8</w:t>
            </w:r>
          </w:p>
        </w:tc>
        <w:tc>
          <w:tcPr>
            <w:tcW w:w="3402" w:type="dxa"/>
            <w:vAlign w:val="center"/>
          </w:tcPr>
          <w:p w14:paraId="119866DD">
            <w:pPr>
              <w:pStyle w:val="12"/>
            </w:pPr>
          </w:p>
        </w:tc>
        <w:tc>
          <w:tcPr>
            <w:tcW w:w="1474" w:type="dxa"/>
            <w:vAlign w:val="center"/>
          </w:tcPr>
          <w:p w14:paraId="33260256">
            <w:pPr>
              <w:pStyle w:val="11"/>
            </w:pPr>
          </w:p>
        </w:tc>
        <w:tc>
          <w:tcPr>
            <w:tcW w:w="3402" w:type="dxa"/>
            <w:vAlign w:val="center"/>
          </w:tcPr>
          <w:p w14:paraId="7220E93A">
            <w:pPr>
              <w:pStyle w:val="12"/>
            </w:pPr>
            <w:r>
              <w:t>八、社会保障和就业支出</w:t>
            </w:r>
          </w:p>
        </w:tc>
        <w:tc>
          <w:tcPr>
            <w:tcW w:w="1474" w:type="dxa"/>
            <w:vAlign w:val="center"/>
          </w:tcPr>
          <w:p w14:paraId="19AEE1B0">
            <w:pPr>
              <w:pStyle w:val="11"/>
            </w:pPr>
            <w:r>
              <w:t>21.14</w:t>
            </w:r>
          </w:p>
        </w:tc>
        <w:tc>
          <w:tcPr>
            <w:tcW w:w="1474" w:type="dxa"/>
            <w:vAlign w:val="center"/>
          </w:tcPr>
          <w:p w14:paraId="23912863">
            <w:pPr>
              <w:pStyle w:val="11"/>
            </w:pPr>
            <w:r>
              <w:t>21.14</w:t>
            </w:r>
          </w:p>
        </w:tc>
        <w:tc>
          <w:tcPr>
            <w:tcW w:w="1474" w:type="dxa"/>
            <w:vAlign w:val="center"/>
          </w:tcPr>
          <w:p w14:paraId="1629EAA8">
            <w:pPr>
              <w:pStyle w:val="11"/>
            </w:pPr>
          </w:p>
        </w:tc>
        <w:tc>
          <w:tcPr>
            <w:tcW w:w="1474" w:type="dxa"/>
            <w:vAlign w:val="center"/>
          </w:tcPr>
          <w:p w14:paraId="4E986843">
            <w:pPr>
              <w:pStyle w:val="11"/>
            </w:pPr>
          </w:p>
        </w:tc>
      </w:tr>
      <w:tr w14:paraId="5725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C832">
            <w:pPr>
              <w:pStyle w:val="13"/>
            </w:pPr>
            <w:r>
              <w:t>9</w:t>
            </w:r>
          </w:p>
        </w:tc>
        <w:tc>
          <w:tcPr>
            <w:tcW w:w="3402" w:type="dxa"/>
            <w:vAlign w:val="center"/>
          </w:tcPr>
          <w:p w14:paraId="484E572B">
            <w:pPr>
              <w:pStyle w:val="12"/>
            </w:pPr>
          </w:p>
        </w:tc>
        <w:tc>
          <w:tcPr>
            <w:tcW w:w="1474" w:type="dxa"/>
            <w:vAlign w:val="center"/>
          </w:tcPr>
          <w:p w14:paraId="2E5B0241">
            <w:pPr>
              <w:pStyle w:val="11"/>
            </w:pPr>
          </w:p>
        </w:tc>
        <w:tc>
          <w:tcPr>
            <w:tcW w:w="3402" w:type="dxa"/>
            <w:vAlign w:val="center"/>
          </w:tcPr>
          <w:p w14:paraId="6CB3886B">
            <w:pPr>
              <w:pStyle w:val="12"/>
            </w:pPr>
            <w:r>
              <w:t>九、社会保险基金支出</w:t>
            </w:r>
          </w:p>
        </w:tc>
        <w:tc>
          <w:tcPr>
            <w:tcW w:w="1474" w:type="dxa"/>
            <w:vAlign w:val="center"/>
          </w:tcPr>
          <w:p w14:paraId="6140F103">
            <w:pPr>
              <w:pStyle w:val="11"/>
            </w:pPr>
          </w:p>
        </w:tc>
        <w:tc>
          <w:tcPr>
            <w:tcW w:w="1474" w:type="dxa"/>
            <w:vAlign w:val="center"/>
          </w:tcPr>
          <w:p w14:paraId="3511DE59">
            <w:pPr>
              <w:pStyle w:val="11"/>
            </w:pPr>
          </w:p>
        </w:tc>
        <w:tc>
          <w:tcPr>
            <w:tcW w:w="1474" w:type="dxa"/>
            <w:vAlign w:val="center"/>
          </w:tcPr>
          <w:p w14:paraId="37E268FC">
            <w:pPr>
              <w:pStyle w:val="11"/>
            </w:pPr>
          </w:p>
        </w:tc>
        <w:tc>
          <w:tcPr>
            <w:tcW w:w="1474" w:type="dxa"/>
            <w:vAlign w:val="center"/>
          </w:tcPr>
          <w:p w14:paraId="7564444F">
            <w:pPr>
              <w:pStyle w:val="11"/>
            </w:pPr>
          </w:p>
        </w:tc>
      </w:tr>
      <w:tr w14:paraId="3778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C78F4">
            <w:pPr>
              <w:pStyle w:val="13"/>
            </w:pPr>
            <w:r>
              <w:t>10</w:t>
            </w:r>
          </w:p>
        </w:tc>
        <w:tc>
          <w:tcPr>
            <w:tcW w:w="3402" w:type="dxa"/>
            <w:vAlign w:val="center"/>
          </w:tcPr>
          <w:p w14:paraId="228B83D8">
            <w:pPr>
              <w:pStyle w:val="12"/>
            </w:pPr>
          </w:p>
        </w:tc>
        <w:tc>
          <w:tcPr>
            <w:tcW w:w="1474" w:type="dxa"/>
            <w:vAlign w:val="center"/>
          </w:tcPr>
          <w:p w14:paraId="74EC9C29">
            <w:pPr>
              <w:pStyle w:val="11"/>
            </w:pPr>
          </w:p>
        </w:tc>
        <w:tc>
          <w:tcPr>
            <w:tcW w:w="3402" w:type="dxa"/>
            <w:vAlign w:val="center"/>
          </w:tcPr>
          <w:p w14:paraId="650835F5">
            <w:pPr>
              <w:pStyle w:val="12"/>
            </w:pPr>
            <w:r>
              <w:t>十、卫生健康支出</w:t>
            </w:r>
          </w:p>
        </w:tc>
        <w:tc>
          <w:tcPr>
            <w:tcW w:w="1474" w:type="dxa"/>
            <w:vAlign w:val="center"/>
          </w:tcPr>
          <w:p w14:paraId="759935D2">
            <w:pPr>
              <w:pStyle w:val="11"/>
            </w:pPr>
            <w:r>
              <w:t>9.58</w:t>
            </w:r>
          </w:p>
        </w:tc>
        <w:tc>
          <w:tcPr>
            <w:tcW w:w="1474" w:type="dxa"/>
            <w:vAlign w:val="center"/>
          </w:tcPr>
          <w:p w14:paraId="601AA0C2">
            <w:pPr>
              <w:pStyle w:val="11"/>
            </w:pPr>
            <w:r>
              <w:t>9.58</w:t>
            </w:r>
          </w:p>
        </w:tc>
        <w:tc>
          <w:tcPr>
            <w:tcW w:w="1474" w:type="dxa"/>
            <w:vAlign w:val="center"/>
          </w:tcPr>
          <w:p w14:paraId="4A3ABB37">
            <w:pPr>
              <w:pStyle w:val="11"/>
            </w:pPr>
          </w:p>
        </w:tc>
        <w:tc>
          <w:tcPr>
            <w:tcW w:w="1474" w:type="dxa"/>
            <w:vAlign w:val="center"/>
          </w:tcPr>
          <w:p w14:paraId="2E2556C8">
            <w:pPr>
              <w:pStyle w:val="11"/>
            </w:pPr>
          </w:p>
        </w:tc>
      </w:tr>
      <w:tr w14:paraId="472D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8A92">
            <w:pPr>
              <w:pStyle w:val="13"/>
            </w:pPr>
            <w:r>
              <w:t>11</w:t>
            </w:r>
          </w:p>
        </w:tc>
        <w:tc>
          <w:tcPr>
            <w:tcW w:w="3402" w:type="dxa"/>
            <w:vAlign w:val="center"/>
          </w:tcPr>
          <w:p w14:paraId="310CAC76">
            <w:pPr>
              <w:pStyle w:val="12"/>
            </w:pPr>
          </w:p>
        </w:tc>
        <w:tc>
          <w:tcPr>
            <w:tcW w:w="1474" w:type="dxa"/>
            <w:vAlign w:val="center"/>
          </w:tcPr>
          <w:p w14:paraId="1880A860">
            <w:pPr>
              <w:pStyle w:val="11"/>
            </w:pPr>
          </w:p>
        </w:tc>
        <w:tc>
          <w:tcPr>
            <w:tcW w:w="3402" w:type="dxa"/>
            <w:vAlign w:val="center"/>
          </w:tcPr>
          <w:p w14:paraId="0DED3110">
            <w:pPr>
              <w:pStyle w:val="12"/>
            </w:pPr>
            <w:r>
              <w:t>十一、节能环保支出</w:t>
            </w:r>
          </w:p>
        </w:tc>
        <w:tc>
          <w:tcPr>
            <w:tcW w:w="1474" w:type="dxa"/>
            <w:vAlign w:val="center"/>
          </w:tcPr>
          <w:p w14:paraId="3F374BD5">
            <w:pPr>
              <w:pStyle w:val="11"/>
            </w:pPr>
          </w:p>
        </w:tc>
        <w:tc>
          <w:tcPr>
            <w:tcW w:w="1474" w:type="dxa"/>
            <w:vAlign w:val="center"/>
          </w:tcPr>
          <w:p w14:paraId="352097BE">
            <w:pPr>
              <w:pStyle w:val="11"/>
            </w:pPr>
          </w:p>
        </w:tc>
        <w:tc>
          <w:tcPr>
            <w:tcW w:w="1474" w:type="dxa"/>
            <w:vAlign w:val="center"/>
          </w:tcPr>
          <w:p w14:paraId="4A980918">
            <w:pPr>
              <w:pStyle w:val="11"/>
            </w:pPr>
          </w:p>
        </w:tc>
        <w:tc>
          <w:tcPr>
            <w:tcW w:w="1474" w:type="dxa"/>
            <w:vAlign w:val="center"/>
          </w:tcPr>
          <w:p w14:paraId="78BEC74D">
            <w:pPr>
              <w:pStyle w:val="11"/>
            </w:pPr>
          </w:p>
        </w:tc>
      </w:tr>
      <w:tr w14:paraId="52F8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70BC0">
            <w:pPr>
              <w:pStyle w:val="13"/>
            </w:pPr>
            <w:r>
              <w:t>12</w:t>
            </w:r>
          </w:p>
        </w:tc>
        <w:tc>
          <w:tcPr>
            <w:tcW w:w="3402" w:type="dxa"/>
            <w:vAlign w:val="center"/>
          </w:tcPr>
          <w:p w14:paraId="40FCBA9B">
            <w:pPr>
              <w:pStyle w:val="12"/>
            </w:pPr>
          </w:p>
        </w:tc>
        <w:tc>
          <w:tcPr>
            <w:tcW w:w="1474" w:type="dxa"/>
            <w:vAlign w:val="center"/>
          </w:tcPr>
          <w:p w14:paraId="6D677C5C">
            <w:pPr>
              <w:pStyle w:val="11"/>
            </w:pPr>
          </w:p>
        </w:tc>
        <w:tc>
          <w:tcPr>
            <w:tcW w:w="3402" w:type="dxa"/>
            <w:vAlign w:val="center"/>
          </w:tcPr>
          <w:p w14:paraId="213E3E9E">
            <w:pPr>
              <w:pStyle w:val="12"/>
            </w:pPr>
            <w:r>
              <w:t>十二、城乡社区支出</w:t>
            </w:r>
          </w:p>
        </w:tc>
        <w:tc>
          <w:tcPr>
            <w:tcW w:w="1474" w:type="dxa"/>
            <w:vAlign w:val="center"/>
          </w:tcPr>
          <w:p w14:paraId="525F1AA9">
            <w:pPr>
              <w:pStyle w:val="11"/>
            </w:pPr>
          </w:p>
        </w:tc>
        <w:tc>
          <w:tcPr>
            <w:tcW w:w="1474" w:type="dxa"/>
            <w:vAlign w:val="center"/>
          </w:tcPr>
          <w:p w14:paraId="645E0796">
            <w:pPr>
              <w:pStyle w:val="11"/>
            </w:pPr>
          </w:p>
        </w:tc>
        <w:tc>
          <w:tcPr>
            <w:tcW w:w="1474" w:type="dxa"/>
            <w:vAlign w:val="center"/>
          </w:tcPr>
          <w:p w14:paraId="4505FEE4">
            <w:pPr>
              <w:pStyle w:val="11"/>
            </w:pPr>
          </w:p>
        </w:tc>
        <w:tc>
          <w:tcPr>
            <w:tcW w:w="1474" w:type="dxa"/>
            <w:vAlign w:val="center"/>
          </w:tcPr>
          <w:p w14:paraId="7F1F3991">
            <w:pPr>
              <w:pStyle w:val="11"/>
            </w:pPr>
          </w:p>
        </w:tc>
      </w:tr>
      <w:tr w14:paraId="3D83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91986">
            <w:pPr>
              <w:pStyle w:val="13"/>
            </w:pPr>
            <w:r>
              <w:t>13</w:t>
            </w:r>
          </w:p>
        </w:tc>
        <w:tc>
          <w:tcPr>
            <w:tcW w:w="3402" w:type="dxa"/>
            <w:vAlign w:val="center"/>
          </w:tcPr>
          <w:p w14:paraId="35E457FB">
            <w:pPr>
              <w:pStyle w:val="12"/>
            </w:pPr>
          </w:p>
        </w:tc>
        <w:tc>
          <w:tcPr>
            <w:tcW w:w="1474" w:type="dxa"/>
            <w:vAlign w:val="center"/>
          </w:tcPr>
          <w:p w14:paraId="775AFCFC">
            <w:pPr>
              <w:pStyle w:val="11"/>
            </w:pPr>
          </w:p>
        </w:tc>
        <w:tc>
          <w:tcPr>
            <w:tcW w:w="3402" w:type="dxa"/>
            <w:vAlign w:val="center"/>
          </w:tcPr>
          <w:p w14:paraId="11E140D1">
            <w:pPr>
              <w:pStyle w:val="12"/>
            </w:pPr>
            <w:r>
              <w:t>十三、农林水支出</w:t>
            </w:r>
          </w:p>
        </w:tc>
        <w:tc>
          <w:tcPr>
            <w:tcW w:w="1474" w:type="dxa"/>
            <w:vAlign w:val="center"/>
          </w:tcPr>
          <w:p w14:paraId="5CE441CA">
            <w:pPr>
              <w:pStyle w:val="11"/>
            </w:pPr>
          </w:p>
        </w:tc>
        <w:tc>
          <w:tcPr>
            <w:tcW w:w="1474" w:type="dxa"/>
            <w:vAlign w:val="center"/>
          </w:tcPr>
          <w:p w14:paraId="359FBF57">
            <w:pPr>
              <w:pStyle w:val="11"/>
            </w:pPr>
          </w:p>
        </w:tc>
        <w:tc>
          <w:tcPr>
            <w:tcW w:w="1474" w:type="dxa"/>
            <w:vAlign w:val="center"/>
          </w:tcPr>
          <w:p w14:paraId="20B435CA">
            <w:pPr>
              <w:pStyle w:val="11"/>
            </w:pPr>
          </w:p>
        </w:tc>
        <w:tc>
          <w:tcPr>
            <w:tcW w:w="1474" w:type="dxa"/>
            <w:vAlign w:val="center"/>
          </w:tcPr>
          <w:p w14:paraId="0BAA8AF7">
            <w:pPr>
              <w:pStyle w:val="11"/>
            </w:pPr>
          </w:p>
        </w:tc>
      </w:tr>
      <w:tr w14:paraId="0BDA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85391">
            <w:pPr>
              <w:pStyle w:val="13"/>
            </w:pPr>
            <w:r>
              <w:t>14</w:t>
            </w:r>
          </w:p>
        </w:tc>
        <w:tc>
          <w:tcPr>
            <w:tcW w:w="3402" w:type="dxa"/>
            <w:vAlign w:val="center"/>
          </w:tcPr>
          <w:p w14:paraId="29F69E25">
            <w:pPr>
              <w:pStyle w:val="12"/>
            </w:pPr>
          </w:p>
        </w:tc>
        <w:tc>
          <w:tcPr>
            <w:tcW w:w="1474" w:type="dxa"/>
            <w:vAlign w:val="center"/>
          </w:tcPr>
          <w:p w14:paraId="1E1FF399">
            <w:pPr>
              <w:pStyle w:val="11"/>
            </w:pPr>
          </w:p>
        </w:tc>
        <w:tc>
          <w:tcPr>
            <w:tcW w:w="3402" w:type="dxa"/>
            <w:vAlign w:val="center"/>
          </w:tcPr>
          <w:p w14:paraId="4F8BFB0E">
            <w:pPr>
              <w:pStyle w:val="12"/>
            </w:pPr>
            <w:r>
              <w:t>十四、交通运输支出</w:t>
            </w:r>
          </w:p>
        </w:tc>
        <w:tc>
          <w:tcPr>
            <w:tcW w:w="1474" w:type="dxa"/>
            <w:vAlign w:val="center"/>
          </w:tcPr>
          <w:p w14:paraId="1C3DD717">
            <w:pPr>
              <w:pStyle w:val="11"/>
            </w:pPr>
          </w:p>
        </w:tc>
        <w:tc>
          <w:tcPr>
            <w:tcW w:w="1474" w:type="dxa"/>
            <w:vAlign w:val="center"/>
          </w:tcPr>
          <w:p w14:paraId="4E7EEEE8">
            <w:pPr>
              <w:pStyle w:val="11"/>
            </w:pPr>
          </w:p>
        </w:tc>
        <w:tc>
          <w:tcPr>
            <w:tcW w:w="1474" w:type="dxa"/>
            <w:vAlign w:val="center"/>
          </w:tcPr>
          <w:p w14:paraId="24784A9D">
            <w:pPr>
              <w:pStyle w:val="11"/>
            </w:pPr>
          </w:p>
        </w:tc>
        <w:tc>
          <w:tcPr>
            <w:tcW w:w="1474" w:type="dxa"/>
            <w:vAlign w:val="center"/>
          </w:tcPr>
          <w:p w14:paraId="325E7AB2">
            <w:pPr>
              <w:pStyle w:val="11"/>
            </w:pPr>
          </w:p>
        </w:tc>
      </w:tr>
      <w:tr w14:paraId="0611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61272">
            <w:pPr>
              <w:pStyle w:val="13"/>
            </w:pPr>
            <w:r>
              <w:t>15</w:t>
            </w:r>
          </w:p>
        </w:tc>
        <w:tc>
          <w:tcPr>
            <w:tcW w:w="3402" w:type="dxa"/>
            <w:vAlign w:val="center"/>
          </w:tcPr>
          <w:p w14:paraId="14D4FE14">
            <w:pPr>
              <w:pStyle w:val="12"/>
            </w:pPr>
          </w:p>
        </w:tc>
        <w:tc>
          <w:tcPr>
            <w:tcW w:w="1474" w:type="dxa"/>
            <w:vAlign w:val="center"/>
          </w:tcPr>
          <w:p w14:paraId="282EF963">
            <w:pPr>
              <w:pStyle w:val="11"/>
            </w:pPr>
          </w:p>
        </w:tc>
        <w:tc>
          <w:tcPr>
            <w:tcW w:w="3402" w:type="dxa"/>
            <w:vAlign w:val="center"/>
          </w:tcPr>
          <w:p w14:paraId="2E52D0BB">
            <w:pPr>
              <w:pStyle w:val="12"/>
            </w:pPr>
            <w:r>
              <w:t>十五、资源勘探工业信息等支出</w:t>
            </w:r>
          </w:p>
        </w:tc>
        <w:tc>
          <w:tcPr>
            <w:tcW w:w="1474" w:type="dxa"/>
            <w:vAlign w:val="center"/>
          </w:tcPr>
          <w:p w14:paraId="7956038A">
            <w:pPr>
              <w:pStyle w:val="11"/>
            </w:pPr>
          </w:p>
        </w:tc>
        <w:tc>
          <w:tcPr>
            <w:tcW w:w="1474" w:type="dxa"/>
            <w:vAlign w:val="center"/>
          </w:tcPr>
          <w:p w14:paraId="7F02A39E">
            <w:pPr>
              <w:pStyle w:val="11"/>
            </w:pPr>
          </w:p>
        </w:tc>
        <w:tc>
          <w:tcPr>
            <w:tcW w:w="1474" w:type="dxa"/>
            <w:vAlign w:val="center"/>
          </w:tcPr>
          <w:p w14:paraId="21FD24A5">
            <w:pPr>
              <w:pStyle w:val="11"/>
            </w:pPr>
          </w:p>
        </w:tc>
        <w:tc>
          <w:tcPr>
            <w:tcW w:w="1474" w:type="dxa"/>
            <w:vAlign w:val="center"/>
          </w:tcPr>
          <w:p w14:paraId="29BDE85F">
            <w:pPr>
              <w:pStyle w:val="11"/>
            </w:pPr>
          </w:p>
        </w:tc>
      </w:tr>
      <w:tr w14:paraId="51F3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70F8">
            <w:pPr>
              <w:pStyle w:val="13"/>
            </w:pPr>
            <w:r>
              <w:t>16</w:t>
            </w:r>
          </w:p>
        </w:tc>
        <w:tc>
          <w:tcPr>
            <w:tcW w:w="3402" w:type="dxa"/>
            <w:vAlign w:val="center"/>
          </w:tcPr>
          <w:p w14:paraId="6B7D1054">
            <w:pPr>
              <w:pStyle w:val="12"/>
            </w:pPr>
          </w:p>
        </w:tc>
        <w:tc>
          <w:tcPr>
            <w:tcW w:w="1474" w:type="dxa"/>
            <w:vAlign w:val="center"/>
          </w:tcPr>
          <w:p w14:paraId="3DE41626">
            <w:pPr>
              <w:pStyle w:val="11"/>
            </w:pPr>
          </w:p>
        </w:tc>
        <w:tc>
          <w:tcPr>
            <w:tcW w:w="3402" w:type="dxa"/>
            <w:vAlign w:val="center"/>
          </w:tcPr>
          <w:p w14:paraId="0714097D">
            <w:pPr>
              <w:pStyle w:val="12"/>
            </w:pPr>
            <w:r>
              <w:t>十六、商业服务业等支出</w:t>
            </w:r>
          </w:p>
        </w:tc>
        <w:tc>
          <w:tcPr>
            <w:tcW w:w="1474" w:type="dxa"/>
            <w:vAlign w:val="center"/>
          </w:tcPr>
          <w:p w14:paraId="65B8FF69">
            <w:pPr>
              <w:pStyle w:val="11"/>
            </w:pPr>
          </w:p>
        </w:tc>
        <w:tc>
          <w:tcPr>
            <w:tcW w:w="1474" w:type="dxa"/>
            <w:vAlign w:val="center"/>
          </w:tcPr>
          <w:p w14:paraId="426DF673">
            <w:pPr>
              <w:pStyle w:val="11"/>
            </w:pPr>
          </w:p>
        </w:tc>
        <w:tc>
          <w:tcPr>
            <w:tcW w:w="1474" w:type="dxa"/>
            <w:vAlign w:val="center"/>
          </w:tcPr>
          <w:p w14:paraId="0F15F431">
            <w:pPr>
              <w:pStyle w:val="11"/>
            </w:pPr>
          </w:p>
        </w:tc>
        <w:tc>
          <w:tcPr>
            <w:tcW w:w="1474" w:type="dxa"/>
            <w:vAlign w:val="center"/>
          </w:tcPr>
          <w:p w14:paraId="4FC2BE2F">
            <w:pPr>
              <w:pStyle w:val="11"/>
            </w:pPr>
          </w:p>
        </w:tc>
      </w:tr>
      <w:tr w14:paraId="69AD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FA8F">
            <w:pPr>
              <w:pStyle w:val="13"/>
            </w:pPr>
            <w:r>
              <w:t>17</w:t>
            </w:r>
          </w:p>
        </w:tc>
        <w:tc>
          <w:tcPr>
            <w:tcW w:w="3402" w:type="dxa"/>
            <w:vAlign w:val="center"/>
          </w:tcPr>
          <w:p w14:paraId="1DAAC8E6">
            <w:pPr>
              <w:pStyle w:val="12"/>
            </w:pPr>
          </w:p>
        </w:tc>
        <w:tc>
          <w:tcPr>
            <w:tcW w:w="1474" w:type="dxa"/>
            <w:vAlign w:val="center"/>
          </w:tcPr>
          <w:p w14:paraId="78F561DF">
            <w:pPr>
              <w:pStyle w:val="11"/>
            </w:pPr>
          </w:p>
        </w:tc>
        <w:tc>
          <w:tcPr>
            <w:tcW w:w="3402" w:type="dxa"/>
            <w:vAlign w:val="center"/>
          </w:tcPr>
          <w:p w14:paraId="00EB0CC3">
            <w:pPr>
              <w:pStyle w:val="12"/>
            </w:pPr>
            <w:r>
              <w:t>十七、金融支出</w:t>
            </w:r>
          </w:p>
        </w:tc>
        <w:tc>
          <w:tcPr>
            <w:tcW w:w="1474" w:type="dxa"/>
            <w:vAlign w:val="center"/>
          </w:tcPr>
          <w:p w14:paraId="32107733">
            <w:pPr>
              <w:pStyle w:val="11"/>
            </w:pPr>
          </w:p>
        </w:tc>
        <w:tc>
          <w:tcPr>
            <w:tcW w:w="1474" w:type="dxa"/>
            <w:vAlign w:val="center"/>
          </w:tcPr>
          <w:p w14:paraId="4D4C3654">
            <w:pPr>
              <w:pStyle w:val="11"/>
            </w:pPr>
          </w:p>
        </w:tc>
        <w:tc>
          <w:tcPr>
            <w:tcW w:w="1474" w:type="dxa"/>
            <w:vAlign w:val="center"/>
          </w:tcPr>
          <w:p w14:paraId="28FC39C1">
            <w:pPr>
              <w:pStyle w:val="11"/>
            </w:pPr>
          </w:p>
        </w:tc>
        <w:tc>
          <w:tcPr>
            <w:tcW w:w="1474" w:type="dxa"/>
            <w:vAlign w:val="center"/>
          </w:tcPr>
          <w:p w14:paraId="2B635E8A">
            <w:pPr>
              <w:pStyle w:val="11"/>
            </w:pPr>
          </w:p>
        </w:tc>
      </w:tr>
      <w:tr w14:paraId="137D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179D">
            <w:pPr>
              <w:pStyle w:val="13"/>
            </w:pPr>
            <w:r>
              <w:t>18</w:t>
            </w:r>
          </w:p>
        </w:tc>
        <w:tc>
          <w:tcPr>
            <w:tcW w:w="3402" w:type="dxa"/>
            <w:vAlign w:val="center"/>
          </w:tcPr>
          <w:p w14:paraId="1B12B62C">
            <w:pPr>
              <w:pStyle w:val="12"/>
            </w:pPr>
          </w:p>
        </w:tc>
        <w:tc>
          <w:tcPr>
            <w:tcW w:w="1474" w:type="dxa"/>
            <w:vAlign w:val="center"/>
          </w:tcPr>
          <w:p w14:paraId="730EC53D">
            <w:pPr>
              <w:pStyle w:val="11"/>
            </w:pPr>
          </w:p>
        </w:tc>
        <w:tc>
          <w:tcPr>
            <w:tcW w:w="3402" w:type="dxa"/>
            <w:vAlign w:val="center"/>
          </w:tcPr>
          <w:p w14:paraId="421D2178">
            <w:pPr>
              <w:pStyle w:val="12"/>
            </w:pPr>
            <w:r>
              <w:t>十八、援助其他地区支出</w:t>
            </w:r>
          </w:p>
        </w:tc>
        <w:tc>
          <w:tcPr>
            <w:tcW w:w="1474" w:type="dxa"/>
            <w:vAlign w:val="center"/>
          </w:tcPr>
          <w:p w14:paraId="4D3C99E5">
            <w:pPr>
              <w:pStyle w:val="11"/>
            </w:pPr>
          </w:p>
        </w:tc>
        <w:tc>
          <w:tcPr>
            <w:tcW w:w="1474" w:type="dxa"/>
            <w:vAlign w:val="center"/>
          </w:tcPr>
          <w:p w14:paraId="4F201FAA">
            <w:pPr>
              <w:pStyle w:val="11"/>
            </w:pPr>
          </w:p>
        </w:tc>
        <w:tc>
          <w:tcPr>
            <w:tcW w:w="1474" w:type="dxa"/>
            <w:vAlign w:val="center"/>
          </w:tcPr>
          <w:p w14:paraId="35F79502">
            <w:pPr>
              <w:pStyle w:val="11"/>
            </w:pPr>
          </w:p>
        </w:tc>
        <w:tc>
          <w:tcPr>
            <w:tcW w:w="1474" w:type="dxa"/>
            <w:vAlign w:val="center"/>
          </w:tcPr>
          <w:p w14:paraId="56F5D3B4">
            <w:pPr>
              <w:pStyle w:val="11"/>
            </w:pPr>
          </w:p>
        </w:tc>
      </w:tr>
      <w:tr w14:paraId="615C32A4">
        <w:tblPrEx>
          <w:tblCellMar>
            <w:top w:w="0" w:type="dxa"/>
            <w:left w:w="108" w:type="dxa"/>
            <w:bottom w:w="0" w:type="dxa"/>
            <w:right w:w="108" w:type="dxa"/>
          </w:tblCellMar>
        </w:tblPrEx>
        <w:trPr>
          <w:trHeight w:val="369" w:hRule="atLeast"/>
          <w:jc w:val="center"/>
        </w:trPr>
        <w:tc>
          <w:tcPr>
            <w:tcW w:w="850" w:type="dxa"/>
            <w:vAlign w:val="center"/>
          </w:tcPr>
          <w:p w14:paraId="65A4A80E">
            <w:pPr>
              <w:pStyle w:val="13"/>
            </w:pPr>
            <w:r>
              <w:t>19</w:t>
            </w:r>
          </w:p>
        </w:tc>
        <w:tc>
          <w:tcPr>
            <w:tcW w:w="3402" w:type="dxa"/>
            <w:vAlign w:val="center"/>
          </w:tcPr>
          <w:p w14:paraId="75B23BFB">
            <w:pPr>
              <w:pStyle w:val="12"/>
            </w:pPr>
          </w:p>
        </w:tc>
        <w:tc>
          <w:tcPr>
            <w:tcW w:w="1474" w:type="dxa"/>
            <w:vAlign w:val="center"/>
          </w:tcPr>
          <w:p w14:paraId="2B665E3C">
            <w:pPr>
              <w:pStyle w:val="11"/>
            </w:pPr>
          </w:p>
        </w:tc>
        <w:tc>
          <w:tcPr>
            <w:tcW w:w="3402" w:type="dxa"/>
            <w:vAlign w:val="center"/>
          </w:tcPr>
          <w:p w14:paraId="0EB107E8">
            <w:pPr>
              <w:pStyle w:val="12"/>
            </w:pPr>
            <w:r>
              <w:t>十九、自然资源海洋气象等支出</w:t>
            </w:r>
          </w:p>
        </w:tc>
        <w:tc>
          <w:tcPr>
            <w:tcW w:w="1474" w:type="dxa"/>
            <w:vAlign w:val="center"/>
          </w:tcPr>
          <w:p w14:paraId="2D782D1F">
            <w:pPr>
              <w:pStyle w:val="11"/>
            </w:pPr>
          </w:p>
        </w:tc>
        <w:tc>
          <w:tcPr>
            <w:tcW w:w="1474" w:type="dxa"/>
            <w:vAlign w:val="center"/>
          </w:tcPr>
          <w:p w14:paraId="6796AEFB">
            <w:pPr>
              <w:pStyle w:val="11"/>
            </w:pPr>
          </w:p>
        </w:tc>
        <w:tc>
          <w:tcPr>
            <w:tcW w:w="1474" w:type="dxa"/>
            <w:vAlign w:val="center"/>
          </w:tcPr>
          <w:p w14:paraId="40B61F0D">
            <w:pPr>
              <w:pStyle w:val="11"/>
            </w:pPr>
          </w:p>
        </w:tc>
        <w:tc>
          <w:tcPr>
            <w:tcW w:w="1474" w:type="dxa"/>
            <w:vAlign w:val="center"/>
          </w:tcPr>
          <w:p w14:paraId="3B0C97B1">
            <w:pPr>
              <w:pStyle w:val="11"/>
            </w:pPr>
          </w:p>
        </w:tc>
      </w:tr>
      <w:tr w14:paraId="2B57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01E0">
            <w:pPr>
              <w:pStyle w:val="13"/>
            </w:pPr>
            <w:r>
              <w:t>20</w:t>
            </w:r>
          </w:p>
        </w:tc>
        <w:tc>
          <w:tcPr>
            <w:tcW w:w="3402" w:type="dxa"/>
            <w:vAlign w:val="center"/>
          </w:tcPr>
          <w:p w14:paraId="70DD684A">
            <w:pPr>
              <w:pStyle w:val="12"/>
            </w:pPr>
          </w:p>
        </w:tc>
        <w:tc>
          <w:tcPr>
            <w:tcW w:w="1474" w:type="dxa"/>
            <w:vAlign w:val="center"/>
          </w:tcPr>
          <w:p w14:paraId="2A9CDCA6">
            <w:pPr>
              <w:pStyle w:val="11"/>
            </w:pPr>
          </w:p>
        </w:tc>
        <w:tc>
          <w:tcPr>
            <w:tcW w:w="3402" w:type="dxa"/>
            <w:vAlign w:val="center"/>
          </w:tcPr>
          <w:p w14:paraId="54A02742">
            <w:pPr>
              <w:pStyle w:val="12"/>
            </w:pPr>
            <w:r>
              <w:t>二十、住房保障支出</w:t>
            </w:r>
          </w:p>
        </w:tc>
        <w:tc>
          <w:tcPr>
            <w:tcW w:w="1474" w:type="dxa"/>
            <w:vAlign w:val="center"/>
          </w:tcPr>
          <w:p w14:paraId="122586A0">
            <w:pPr>
              <w:pStyle w:val="11"/>
            </w:pPr>
            <w:r>
              <w:t>16.14</w:t>
            </w:r>
          </w:p>
        </w:tc>
        <w:tc>
          <w:tcPr>
            <w:tcW w:w="1474" w:type="dxa"/>
            <w:vAlign w:val="center"/>
          </w:tcPr>
          <w:p w14:paraId="2374F97C">
            <w:pPr>
              <w:pStyle w:val="11"/>
            </w:pPr>
            <w:r>
              <w:t>16.14</w:t>
            </w:r>
          </w:p>
        </w:tc>
        <w:tc>
          <w:tcPr>
            <w:tcW w:w="1474" w:type="dxa"/>
            <w:vAlign w:val="center"/>
          </w:tcPr>
          <w:p w14:paraId="2167B262">
            <w:pPr>
              <w:pStyle w:val="11"/>
            </w:pPr>
          </w:p>
        </w:tc>
        <w:tc>
          <w:tcPr>
            <w:tcW w:w="1474" w:type="dxa"/>
            <w:vAlign w:val="center"/>
          </w:tcPr>
          <w:p w14:paraId="33FEA674">
            <w:pPr>
              <w:pStyle w:val="11"/>
            </w:pPr>
          </w:p>
        </w:tc>
      </w:tr>
      <w:tr w14:paraId="5D846CFE">
        <w:tblPrEx>
          <w:tblCellMar>
            <w:top w:w="0" w:type="dxa"/>
            <w:left w:w="108" w:type="dxa"/>
            <w:bottom w:w="0" w:type="dxa"/>
            <w:right w:w="108" w:type="dxa"/>
          </w:tblCellMar>
        </w:tblPrEx>
        <w:trPr>
          <w:trHeight w:val="369" w:hRule="atLeast"/>
          <w:jc w:val="center"/>
        </w:trPr>
        <w:tc>
          <w:tcPr>
            <w:tcW w:w="850" w:type="dxa"/>
            <w:vAlign w:val="center"/>
          </w:tcPr>
          <w:p w14:paraId="2C07E0AD">
            <w:pPr>
              <w:pStyle w:val="13"/>
            </w:pPr>
            <w:r>
              <w:t>21</w:t>
            </w:r>
          </w:p>
        </w:tc>
        <w:tc>
          <w:tcPr>
            <w:tcW w:w="3402" w:type="dxa"/>
            <w:vAlign w:val="center"/>
          </w:tcPr>
          <w:p w14:paraId="0FC2996C">
            <w:pPr>
              <w:pStyle w:val="12"/>
            </w:pPr>
          </w:p>
        </w:tc>
        <w:tc>
          <w:tcPr>
            <w:tcW w:w="1474" w:type="dxa"/>
            <w:vAlign w:val="center"/>
          </w:tcPr>
          <w:p w14:paraId="0FCA65F5">
            <w:pPr>
              <w:pStyle w:val="11"/>
            </w:pPr>
          </w:p>
        </w:tc>
        <w:tc>
          <w:tcPr>
            <w:tcW w:w="3402" w:type="dxa"/>
            <w:vAlign w:val="center"/>
          </w:tcPr>
          <w:p w14:paraId="2996771C">
            <w:pPr>
              <w:pStyle w:val="12"/>
            </w:pPr>
            <w:r>
              <w:t>二十一、粮油物资储备支出</w:t>
            </w:r>
          </w:p>
        </w:tc>
        <w:tc>
          <w:tcPr>
            <w:tcW w:w="1474" w:type="dxa"/>
            <w:vAlign w:val="center"/>
          </w:tcPr>
          <w:p w14:paraId="167096F3">
            <w:pPr>
              <w:pStyle w:val="11"/>
            </w:pPr>
          </w:p>
        </w:tc>
        <w:tc>
          <w:tcPr>
            <w:tcW w:w="1474" w:type="dxa"/>
            <w:vAlign w:val="center"/>
          </w:tcPr>
          <w:p w14:paraId="39609413">
            <w:pPr>
              <w:pStyle w:val="11"/>
            </w:pPr>
          </w:p>
        </w:tc>
        <w:tc>
          <w:tcPr>
            <w:tcW w:w="1474" w:type="dxa"/>
            <w:vAlign w:val="center"/>
          </w:tcPr>
          <w:p w14:paraId="47D1BD88">
            <w:pPr>
              <w:pStyle w:val="11"/>
            </w:pPr>
          </w:p>
        </w:tc>
        <w:tc>
          <w:tcPr>
            <w:tcW w:w="1474" w:type="dxa"/>
            <w:vAlign w:val="center"/>
          </w:tcPr>
          <w:p w14:paraId="7FD7336A">
            <w:pPr>
              <w:pStyle w:val="11"/>
            </w:pPr>
          </w:p>
        </w:tc>
      </w:tr>
      <w:tr w14:paraId="50C9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6FAFE">
            <w:pPr>
              <w:pStyle w:val="13"/>
            </w:pPr>
            <w:r>
              <w:t>22</w:t>
            </w:r>
          </w:p>
        </w:tc>
        <w:tc>
          <w:tcPr>
            <w:tcW w:w="3402" w:type="dxa"/>
            <w:vAlign w:val="center"/>
          </w:tcPr>
          <w:p w14:paraId="206F89F3">
            <w:pPr>
              <w:pStyle w:val="12"/>
            </w:pPr>
          </w:p>
        </w:tc>
        <w:tc>
          <w:tcPr>
            <w:tcW w:w="1474" w:type="dxa"/>
            <w:vAlign w:val="center"/>
          </w:tcPr>
          <w:p w14:paraId="2109320A">
            <w:pPr>
              <w:pStyle w:val="11"/>
            </w:pPr>
          </w:p>
        </w:tc>
        <w:tc>
          <w:tcPr>
            <w:tcW w:w="3402" w:type="dxa"/>
            <w:vAlign w:val="center"/>
          </w:tcPr>
          <w:p w14:paraId="79B380D8">
            <w:pPr>
              <w:pStyle w:val="12"/>
            </w:pPr>
            <w:r>
              <w:t>二十二、国有资本经营预算支出</w:t>
            </w:r>
          </w:p>
        </w:tc>
        <w:tc>
          <w:tcPr>
            <w:tcW w:w="1474" w:type="dxa"/>
            <w:vAlign w:val="center"/>
          </w:tcPr>
          <w:p w14:paraId="7E877652">
            <w:pPr>
              <w:pStyle w:val="11"/>
            </w:pPr>
          </w:p>
        </w:tc>
        <w:tc>
          <w:tcPr>
            <w:tcW w:w="1474" w:type="dxa"/>
            <w:vAlign w:val="center"/>
          </w:tcPr>
          <w:p w14:paraId="7C1A1D30">
            <w:pPr>
              <w:pStyle w:val="11"/>
            </w:pPr>
          </w:p>
        </w:tc>
        <w:tc>
          <w:tcPr>
            <w:tcW w:w="1474" w:type="dxa"/>
            <w:vAlign w:val="center"/>
          </w:tcPr>
          <w:p w14:paraId="04CA1F42">
            <w:pPr>
              <w:pStyle w:val="11"/>
            </w:pPr>
          </w:p>
        </w:tc>
        <w:tc>
          <w:tcPr>
            <w:tcW w:w="1474" w:type="dxa"/>
            <w:vAlign w:val="center"/>
          </w:tcPr>
          <w:p w14:paraId="05563927">
            <w:pPr>
              <w:pStyle w:val="11"/>
            </w:pPr>
          </w:p>
        </w:tc>
      </w:tr>
      <w:tr w14:paraId="5832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5A2EA">
            <w:pPr>
              <w:pStyle w:val="13"/>
            </w:pPr>
            <w:r>
              <w:t>23</w:t>
            </w:r>
          </w:p>
        </w:tc>
        <w:tc>
          <w:tcPr>
            <w:tcW w:w="3402" w:type="dxa"/>
            <w:vAlign w:val="center"/>
          </w:tcPr>
          <w:p w14:paraId="0ACCB318">
            <w:pPr>
              <w:pStyle w:val="12"/>
            </w:pPr>
          </w:p>
        </w:tc>
        <w:tc>
          <w:tcPr>
            <w:tcW w:w="1474" w:type="dxa"/>
            <w:vAlign w:val="center"/>
          </w:tcPr>
          <w:p w14:paraId="7F1FF4EA">
            <w:pPr>
              <w:pStyle w:val="11"/>
            </w:pPr>
          </w:p>
        </w:tc>
        <w:tc>
          <w:tcPr>
            <w:tcW w:w="3402" w:type="dxa"/>
            <w:vAlign w:val="center"/>
          </w:tcPr>
          <w:p w14:paraId="19747EB8">
            <w:pPr>
              <w:pStyle w:val="12"/>
            </w:pPr>
            <w:r>
              <w:t>二十三、灾害防治及应急管理支出</w:t>
            </w:r>
          </w:p>
        </w:tc>
        <w:tc>
          <w:tcPr>
            <w:tcW w:w="1474" w:type="dxa"/>
            <w:vAlign w:val="center"/>
          </w:tcPr>
          <w:p w14:paraId="70C33FF7">
            <w:pPr>
              <w:pStyle w:val="11"/>
            </w:pPr>
          </w:p>
        </w:tc>
        <w:tc>
          <w:tcPr>
            <w:tcW w:w="1474" w:type="dxa"/>
            <w:vAlign w:val="center"/>
          </w:tcPr>
          <w:p w14:paraId="3EED976E">
            <w:pPr>
              <w:pStyle w:val="11"/>
            </w:pPr>
          </w:p>
        </w:tc>
        <w:tc>
          <w:tcPr>
            <w:tcW w:w="1474" w:type="dxa"/>
            <w:vAlign w:val="center"/>
          </w:tcPr>
          <w:p w14:paraId="5517752C">
            <w:pPr>
              <w:pStyle w:val="11"/>
            </w:pPr>
          </w:p>
        </w:tc>
        <w:tc>
          <w:tcPr>
            <w:tcW w:w="1474" w:type="dxa"/>
            <w:vAlign w:val="center"/>
          </w:tcPr>
          <w:p w14:paraId="5D5E5E01">
            <w:pPr>
              <w:pStyle w:val="11"/>
            </w:pPr>
          </w:p>
        </w:tc>
      </w:tr>
      <w:tr w14:paraId="5AF1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D7331">
            <w:pPr>
              <w:pStyle w:val="13"/>
            </w:pPr>
            <w:r>
              <w:t>24</w:t>
            </w:r>
          </w:p>
        </w:tc>
        <w:tc>
          <w:tcPr>
            <w:tcW w:w="3402" w:type="dxa"/>
            <w:vAlign w:val="center"/>
          </w:tcPr>
          <w:p w14:paraId="3D0F7321">
            <w:pPr>
              <w:pStyle w:val="12"/>
            </w:pPr>
          </w:p>
        </w:tc>
        <w:tc>
          <w:tcPr>
            <w:tcW w:w="1474" w:type="dxa"/>
            <w:vAlign w:val="center"/>
          </w:tcPr>
          <w:p w14:paraId="09CCEE26">
            <w:pPr>
              <w:pStyle w:val="11"/>
            </w:pPr>
          </w:p>
        </w:tc>
        <w:tc>
          <w:tcPr>
            <w:tcW w:w="3402" w:type="dxa"/>
            <w:vAlign w:val="center"/>
          </w:tcPr>
          <w:p w14:paraId="442373F0">
            <w:pPr>
              <w:pStyle w:val="12"/>
            </w:pPr>
            <w:r>
              <w:t>二十四、预备费</w:t>
            </w:r>
          </w:p>
        </w:tc>
        <w:tc>
          <w:tcPr>
            <w:tcW w:w="1474" w:type="dxa"/>
            <w:vAlign w:val="center"/>
          </w:tcPr>
          <w:p w14:paraId="40A809E7">
            <w:pPr>
              <w:pStyle w:val="11"/>
            </w:pPr>
          </w:p>
        </w:tc>
        <w:tc>
          <w:tcPr>
            <w:tcW w:w="1474" w:type="dxa"/>
            <w:vAlign w:val="center"/>
          </w:tcPr>
          <w:p w14:paraId="017BF273">
            <w:pPr>
              <w:pStyle w:val="11"/>
            </w:pPr>
          </w:p>
        </w:tc>
        <w:tc>
          <w:tcPr>
            <w:tcW w:w="1474" w:type="dxa"/>
            <w:vAlign w:val="center"/>
          </w:tcPr>
          <w:p w14:paraId="53A02A09">
            <w:pPr>
              <w:pStyle w:val="11"/>
            </w:pPr>
          </w:p>
        </w:tc>
        <w:tc>
          <w:tcPr>
            <w:tcW w:w="1474" w:type="dxa"/>
            <w:vAlign w:val="center"/>
          </w:tcPr>
          <w:p w14:paraId="628C7594">
            <w:pPr>
              <w:pStyle w:val="11"/>
            </w:pPr>
          </w:p>
        </w:tc>
      </w:tr>
      <w:tr w14:paraId="30B5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20B9B">
            <w:pPr>
              <w:pStyle w:val="13"/>
            </w:pPr>
            <w:r>
              <w:t>25</w:t>
            </w:r>
          </w:p>
        </w:tc>
        <w:tc>
          <w:tcPr>
            <w:tcW w:w="3402" w:type="dxa"/>
            <w:vAlign w:val="center"/>
          </w:tcPr>
          <w:p w14:paraId="54DB1650">
            <w:pPr>
              <w:pStyle w:val="12"/>
            </w:pPr>
          </w:p>
        </w:tc>
        <w:tc>
          <w:tcPr>
            <w:tcW w:w="1474" w:type="dxa"/>
            <w:vAlign w:val="center"/>
          </w:tcPr>
          <w:p w14:paraId="39EB221D">
            <w:pPr>
              <w:pStyle w:val="11"/>
            </w:pPr>
          </w:p>
        </w:tc>
        <w:tc>
          <w:tcPr>
            <w:tcW w:w="3402" w:type="dxa"/>
            <w:vAlign w:val="center"/>
          </w:tcPr>
          <w:p w14:paraId="200D6926">
            <w:pPr>
              <w:pStyle w:val="12"/>
            </w:pPr>
            <w:r>
              <w:t>二十五、其他支出</w:t>
            </w:r>
          </w:p>
        </w:tc>
        <w:tc>
          <w:tcPr>
            <w:tcW w:w="1474" w:type="dxa"/>
            <w:vAlign w:val="center"/>
          </w:tcPr>
          <w:p w14:paraId="5E9B4D34">
            <w:pPr>
              <w:pStyle w:val="11"/>
            </w:pPr>
            <w:r>
              <w:t>5283.99</w:t>
            </w:r>
          </w:p>
        </w:tc>
        <w:tc>
          <w:tcPr>
            <w:tcW w:w="1474" w:type="dxa"/>
            <w:vAlign w:val="center"/>
          </w:tcPr>
          <w:p w14:paraId="385FF8D0">
            <w:pPr>
              <w:pStyle w:val="11"/>
            </w:pPr>
          </w:p>
        </w:tc>
        <w:tc>
          <w:tcPr>
            <w:tcW w:w="1474" w:type="dxa"/>
            <w:vAlign w:val="center"/>
          </w:tcPr>
          <w:p w14:paraId="20494791">
            <w:pPr>
              <w:pStyle w:val="11"/>
            </w:pPr>
            <w:r>
              <w:t>5283.99</w:t>
            </w:r>
          </w:p>
        </w:tc>
        <w:tc>
          <w:tcPr>
            <w:tcW w:w="1474" w:type="dxa"/>
            <w:vAlign w:val="center"/>
          </w:tcPr>
          <w:p w14:paraId="75604B3A">
            <w:pPr>
              <w:pStyle w:val="11"/>
            </w:pPr>
          </w:p>
        </w:tc>
      </w:tr>
      <w:tr w14:paraId="5644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05B6F">
            <w:pPr>
              <w:pStyle w:val="13"/>
            </w:pPr>
            <w:r>
              <w:t>26</w:t>
            </w:r>
          </w:p>
        </w:tc>
        <w:tc>
          <w:tcPr>
            <w:tcW w:w="3402" w:type="dxa"/>
            <w:vAlign w:val="center"/>
          </w:tcPr>
          <w:p w14:paraId="4EC02184">
            <w:pPr>
              <w:pStyle w:val="12"/>
            </w:pPr>
          </w:p>
        </w:tc>
        <w:tc>
          <w:tcPr>
            <w:tcW w:w="1474" w:type="dxa"/>
            <w:vAlign w:val="center"/>
          </w:tcPr>
          <w:p w14:paraId="4BF16429">
            <w:pPr>
              <w:pStyle w:val="11"/>
            </w:pPr>
          </w:p>
        </w:tc>
        <w:tc>
          <w:tcPr>
            <w:tcW w:w="3402" w:type="dxa"/>
            <w:vAlign w:val="center"/>
          </w:tcPr>
          <w:p w14:paraId="26C6F683">
            <w:pPr>
              <w:pStyle w:val="12"/>
            </w:pPr>
            <w:r>
              <w:t>二十六、转移性支出</w:t>
            </w:r>
          </w:p>
        </w:tc>
        <w:tc>
          <w:tcPr>
            <w:tcW w:w="1474" w:type="dxa"/>
            <w:vAlign w:val="center"/>
          </w:tcPr>
          <w:p w14:paraId="5F1859E2">
            <w:pPr>
              <w:pStyle w:val="11"/>
            </w:pPr>
          </w:p>
        </w:tc>
        <w:tc>
          <w:tcPr>
            <w:tcW w:w="1474" w:type="dxa"/>
            <w:vAlign w:val="center"/>
          </w:tcPr>
          <w:p w14:paraId="73BA1A72">
            <w:pPr>
              <w:pStyle w:val="11"/>
            </w:pPr>
          </w:p>
        </w:tc>
        <w:tc>
          <w:tcPr>
            <w:tcW w:w="1474" w:type="dxa"/>
            <w:vAlign w:val="center"/>
          </w:tcPr>
          <w:p w14:paraId="3266897D">
            <w:pPr>
              <w:pStyle w:val="11"/>
            </w:pPr>
          </w:p>
        </w:tc>
        <w:tc>
          <w:tcPr>
            <w:tcW w:w="1474" w:type="dxa"/>
            <w:vAlign w:val="center"/>
          </w:tcPr>
          <w:p w14:paraId="04529C43">
            <w:pPr>
              <w:pStyle w:val="11"/>
            </w:pPr>
          </w:p>
        </w:tc>
      </w:tr>
      <w:tr w14:paraId="3934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9342E">
            <w:pPr>
              <w:pStyle w:val="13"/>
            </w:pPr>
            <w:r>
              <w:t>27</w:t>
            </w:r>
          </w:p>
        </w:tc>
        <w:tc>
          <w:tcPr>
            <w:tcW w:w="3402" w:type="dxa"/>
            <w:vAlign w:val="center"/>
          </w:tcPr>
          <w:p w14:paraId="7AEB9A42">
            <w:pPr>
              <w:pStyle w:val="12"/>
            </w:pPr>
          </w:p>
        </w:tc>
        <w:tc>
          <w:tcPr>
            <w:tcW w:w="1474" w:type="dxa"/>
            <w:vAlign w:val="center"/>
          </w:tcPr>
          <w:p w14:paraId="18B54C66">
            <w:pPr>
              <w:pStyle w:val="11"/>
            </w:pPr>
          </w:p>
        </w:tc>
        <w:tc>
          <w:tcPr>
            <w:tcW w:w="3402" w:type="dxa"/>
            <w:vAlign w:val="center"/>
          </w:tcPr>
          <w:p w14:paraId="2F13CEEF">
            <w:pPr>
              <w:pStyle w:val="12"/>
            </w:pPr>
            <w:r>
              <w:t>二十七、债务还本支出</w:t>
            </w:r>
          </w:p>
        </w:tc>
        <w:tc>
          <w:tcPr>
            <w:tcW w:w="1474" w:type="dxa"/>
            <w:vAlign w:val="center"/>
          </w:tcPr>
          <w:p w14:paraId="73EE9480">
            <w:pPr>
              <w:pStyle w:val="11"/>
            </w:pPr>
          </w:p>
        </w:tc>
        <w:tc>
          <w:tcPr>
            <w:tcW w:w="1474" w:type="dxa"/>
            <w:vAlign w:val="center"/>
          </w:tcPr>
          <w:p w14:paraId="18A4E4E8">
            <w:pPr>
              <w:pStyle w:val="11"/>
            </w:pPr>
          </w:p>
        </w:tc>
        <w:tc>
          <w:tcPr>
            <w:tcW w:w="1474" w:type="dxa"/>
            <w:vAlign w:val="center"/>
          </w:tcPr>
          <w:p w14:paraId="0DDBA008">
            <w:pPr>
              <w:pStyle w:val="11"/>
            </w:pPr>
          </w:p>
        </w:tc>
        <w:tc>
          <w:tcPr>
            <w:tcW w:w="1474" w:type="dxa"/>
            <w:vAlign w:val="center"/>
          </w:tcPr>
          <w:p w14:paraId="1116F7AA">
            <w:pPr>
              <w:pStyle w:val="11"/>
            </w:pPr>
          </w:p>
        </w:tc>
      </w:tr>
      <w:tr w14:paraId="79BB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BC09">
            <w:pPr>
              <w:pStyle w:val="13"/>
            </w:pPr>
            <w:r>
              <w:t>28</w:t>
            </w:r>
          </w:p>
        </w:tc>
        <w:tc>
          <w:tcPr>
            <w:tcW w:w="3402" w:type="dxa"/>
            <w:vAlign w:val="center"/>
          </w:tcPr>
          <w:p w14:paraId="5F4A3521">
            <w:pPr>
              <w:pStyle w:val="12"/>
            </w:pPr>
          </w:p>
        </w:tc>
        <w:tc>
          <w:tcPr>
            <w:tcW w:w="1474" w:type="dxa"/>
            <w:vAlign w:val="center"/>
          </w:tcPr>
          <w:p w14:paraId="134998DA">
            <w:pPr>
              <w:pStyle w:val="11"/>
            </w:pPr>
          </w:p>
        </w:tc>
        <w:tc>
          <w:tcPr>
            <w:tcW w:w="3402" w:type="dxa"/>
            <w:vAlign w:val="center"/>
          </w:tcPr>
          <w:p w14:paraId="0EC95147">
            <w:pPr>
              <w:pStyle w:val="12"/>
            </w:pPr>
            <w:r>
              <w:t>二十八、债务付息支出</w:t>
            </w:r>
          </w:p>
        </w:tc>
        <w:tc>
          <w:tcPr>
            <w:tcW w:w="1474" w:type="dxa"/>
            <w:vAlign w:val="center"/>
          </w:tcPr>
          <w:p w14:paraId="4C8F220F">
            <w:pPr>
              <w:pStyle w:val="11"/>
            </w:pPr>
          </w:p>
        </w:tc>
        <w:tc>
          <w:tcPr>
            <w:tcW w:w="1474" w:type="dxa"/>
            <w:vAlign w:val="center"/>
          </w:tcPr>
          <w:p w14:paraId="2D4BA9AC">
            <w:pPr>
              <w:pStyle w:val="11"/>
            </w:pPr>
          </w:p>
        </w:tc>
        <w:tc>
          <w:tcPr>
            <w:tcW w:w="1474" w:type="dxa"/>
            <w:vAlign w:val="center"/>
          </w:tcPr>
          <w:p w14:paraId="2E2FC77E">
            <w:pPr>
              <w:pStyle w:val="11"/>
            </w:pPr>
          </w:p>
        </w:tc>
        <w:tc>
          <w:tcPr>
            <w:tcW w:w="1474" w:type="dxa"/>
            <w:vAlign w:val="center"/>
          </w:tcPr>
          <w:p w14:paraId="62B08111">
            <w:pPr>
              <w:pStyle w:val="11"/>
            </w:pPr>
          </w:p>
        </w:tc>
      </w:tr>
      <w:tr w14:paraId="775C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1F48">
            <w:pPr>
              <w:pStyle w:val="13"/>
            </w:pPr>
            <w:r>
              <w:t>29</w:t>
            </w:r>
          </w:p>
        </w:tc>
        <w:tc>
          <w:tcPr>
            <w:tcW w:w="3402" w:type="dxa"/>
            <w:vAlign w:val="center"/>
          </w:tcPr>
          <w:p w14:paraId="36139842">
            <w:pPr>
              <w:pStyle w:val="12"/>
            </w:pPr>
          </w:p>
        </w:tc>
        <w:tc>
          <w:tcPr>
            <w:tcW w:w="1474" w:type="dxa"/>
            <w:vAlign w:val="center"/>
          </w:tcPr>
          <w:p w14:paraId="46BFCEE6">
            <w:pPr>
              <w:pStyle w:val="11"/>
            </w:pPr>
          </w:p>
        </w:tc>
        <w:tc>
          <w:tcPr>
            <w:tcW w:w="3402" w:type="dxa"/>
            <w:vAlign w:val="center"/>
          </w:tcPr>
          <w:p w14:paraId="640DB6C9">
            <w:pPr>
              <w:pStyle w:val="12"/>
            </w:pPr>
            <w:r>
              <w:t>二十九、债务发行费用支出</w:t>
            </w:r>
          </w:p>
        </w:tc>
        <w:tc>
          <w:tcPr>
            <w:tcW w:w="1474" w:type="dxa"/>
            <w:vAlign w:val="center"/>
          </w:tcPr>
          <w:p w14:paraId="14C18C74">
            <w:pPr>
              <w:pStyle w:val="11"/>
            </w:pPr>
          </w:p>
        </w:tc>
        <w:tc>
          <w:tcPr>
            <w:tcW w:w="1474" w:type="dxa"/>
            <w:vAlign w:val="center"/>
          </w:tcPr>
          <w:p w14:paraId="023AE7DE">
            <w:pPr>
              <w:pStyle w:val="11"/>
            </w:pPr>
          </w:p>
        </w:tc>
        <w:tc>
          <w:tcPr>
            <w:tcW w:w="1474" w:type="dxa"/>
            <w:vAlign w:val="center"/>
          </w:tcPr>
          <w:p w14:paraId="4F41EF9A">
            <w:pPr>
              <w:pStyle w:val="11"/>
            </w:pPr>
          </w:p>
        </w:tc>
        <w:tc>
          <w:tcPr>
            <w:tcW w:w="1474" w:type="dxa"/>
            <w:vAlign w:val="center"/>
          </w:tcPr>
          <w:p w14:paraId="205632C0">
            <w:pPr>
              <w:pStyle w:val="11"/>
            </w:pPr>
          </w:p>
        </w:tc>
      </w:tr>
      <w:tr w14:paraId="1654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1FB91">
            <w:pPr>
              <w:pStyle w:val="13"/>
            </w:pPr>
            <w:r>
              <w:t>30</w:t>
            </w:r>
          </w:p>
        </w:tc>
        <w:tc>
          <w:tcPr>
            <w:tcW w:w="3402" w:type="dxa"/>
            <w:vAlign w:val="center"/>
          </w:tcPr>
          <w:p w14:paraId="31CB69FE">
            <w:pPr>
              <w:pStyle w:val="12"/>
            </w:pPr>
          </w:p>
        </w:tc>
        <w:tc>
          <w:tcPr>
            <w:tcW w:w="1474" w:type="dxa"/>
            <w:vAlign w:val="center"/>
          </w:tcPr>
          <w:p w14:paraId="462FB18A">
            <w:pPr>
              <w:pStyle w:val="11"/>
            </w:pPr>
          </w:p>
        </w:tc>
        <w:tc>
          <w:tcPr>
            <w:tcW w:w="3402" w:type="dxa"/>
            <w:vAlign w:val="center"/>
          </w:tcPr>
          <w:p w14:paraId="156A8B18">
            <w:pPr>
              <w:pStyle w:val="12"/>
            </w:pPr>
            <w:r>
              <w:t>三十、抗疫特别国债安排的支出</w:t>
            </w:r>
          </w:p>
        </w:tc>
        <w:tc>
          <w:tcPr>
            <w:tcW w:w="1474" w:type="dxa"/>
            <w:vAlign w:val="center"/>
          </w:tcPr>
          <w:p w14:paraId="6D671842">
            <w:pPr>
              <w:pStyle w:val="11"/>
            </w:pPr>
          </w:p>
        </w:tc>
        <w:tc>
          <w:tcPr>
            <w:tcW w:w="1474" w:type="dxa"/>
            <w:vAlign w:val="center"/>
          </w:tcPr>
          <w:p w14:paraId="728A6A31">
            <w:pPr>
              <w:pStyle w:val="11"/>
            </w:pPr>
          </w:p>
        </w:tc>
        <w:tc>
          <w:tcPr>
            <w:tcW w:w="1474" w:type="dxa"/>
            <w:vAlign w:val="center"/>
          </w:tcPr>
          <w:p w14:paraId="6E466D2C">
            <w:pPr>
              <w:pStyle w:val="11"/>
            </w:pPr>
          </w:p>
        </w:tc>
        <w:tc>
          <w:tcPr>
            <w:tcW w:w="1474" w:type="dxa"/>
            <w:vAlign w:val="center"/>
          </w:tcPr>
          <w:p w14:paraId="15478826">
            <w:pPr>
              <w:pStyle w:val="11"/>
            </w:pPr>
          </w:p>
        </w:tc>
      </w:tr>
      <w:tr w14:paraId="122D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A675">
            <w:pPr>
              <w:pStyle w:val="13"/>
            </w:pPr>
            <w:r>
              <w:t>31</w:t>
            </w:r>
          </w:p>
        </w:tc>
        <w:tc>
          <w:tcPr>
            <w:tcW w:w="3402" w:type="dxa"/>
            <w:vAlign w:val="center"/>
          </w:tcPr>
          <w:p w14:paraId="0BAB3462">
            <w:pPr>
              <w:pStyle w:val="12"/>
            </w:pPr>
          </w:p>
        </w:tc>
        <w:tc>
          <w:tcPr>
            <w:tcW w:w="1474" w:type="dxa"/>
            <w:vAlign w:val="center"/>
          </w:tcPr>
          <w:p w14:paraId="488804CB">
            <w:pPr>
              <w:pStyle w:val="11"/>
            </w:pPr>
          </w:p>
        </w:tc>
        <w:tc>
          <w:tcPr>
            <w:tcW w:w="3402" w:type="dxa"/>
            <w:vAlign w:val="center"/>
          </w:tcPr>
          <w:p w14:paraId="549EC886">
            <w:pPr>
              <w:pStyle w:val="12"/>
            </w:pPr>
            <w:r>
              <w:t>三十一、人行科目</w:t>
            </w:r>
          </w:p>
        </w:tc>
        <w:tc>
          <w:tcPr>
            <w:tcW w:w="1474" w:type="dxa"/>
            <w:vAlign w:val="center"/>
          </w:tcPr>
          <w:p w14:paraId="5FAE03F8">
            <w:pPr>
              <w:pStyle w:val="11"/>
            </w:pPr>
          </w:p>
        </w:tc>
        <w:tc>
          <w:tcPr>
            <w:tcW w:w="1474" w:type="dxa"/>
            <w:vAlign w:val="center"/>
          </w:tcPr>
          <w:p w14:paraId="4F2E8DCC">
            <w:pPr>
              <w:pStyle w:val="11"/>
            </w:pPr>
          </w:p>
        </w:tc>
        <w:tc>
          <w:tcPr>
            <w:tcW w:w="1474" w:type="dxa"/>
            <w:vAlign w:val="center"/>
          </w:tcPr>
          <w:p w14:paraId="54437D1F">
            <w:pPr>
              <w:pStyle w:val="11"/>
            </w:pPr>
          </w:p>
        </w:tc>
        <w:tc>
          <w:tcPr>
            <w:tcW w:w="1474" w:type="dxa"/>
            <w:vAlign w:val="center"/>
          </w:tcPr>
          <w:p w14:paraId="710339C6">
            <w:pPr>
              <w:pStyle w:val="11"/>
            </w:pPr>
          </w:p>
        </w:tc>
      </w:tr>
      <w:tr w14:paraId="05D1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D3F79">
            <w:pPr>
              <w:pStyle w:val="13"/>
            </w:pPr>
            <w:r>
              <w:t>32</w:t>
            </w:r>
          </w:p>
        </w:tc>
        <w:tc>
          <w:tcPr>
            <w:tcW w:w="3402" w:type="dxa"/>
            <w:vAlign w:val="center"/>
          </w:tcPr>
          <w:p w14:paraId="00457B54">
            <w:pPr>
              <w:pStyle w:val="14"/>
            </w:pPr>
            <w:r>
              <w:t>本年收入合计</w:t>
            </w:r>
          </w:p>
        </w:tc>
        <w:tc>
          <w:tcPr>
            <w:tcW w:w="1474" w:type="dxa"/>
            <w:vAlign w:val="center"/>
          </w:tcPr>
          <w:p w14:paraId="6E1569D4">
            <w:pPr>
              <w:pStyle w:val="15"/>
            </w:pPr>
            <w:r>
              <w:t>5852.30</w:t>
            </w:r>
          </w:p>
        </w:tc>
        <w:tc>
          <w:tcPr>
            <w:tcW w:w="3402" w:type="dxa"/>
            <w:vAlign w:val="center"/>
          </w:tcPr>
          <w:p w14:paraId="49432BBA">
            <w:pPr>
              <w:pStyle w:val="14"/>
            </w:pPr>
            <w:r>
              <w:t>本年支出合计</w:t>
            </w:r>
          </w:p>
        </w:tc>
        <w:tc>
          <w:tcPr>
            <w:tcW w:w="1474" w:type="dxa"/>
            <w:vAlign w:val="center"/>
          </w:tcPr>
          <w:p w14:paraId="1EE641B2">
            <w:pPr>
              <w:pStyle w:val="15"/>
            </w:pPr>
            <w:r>
              <w:t>11136.29</w:t>
            </w:r>
          </w:p>
        </w:tc>
        <w:tc>
          <w:tcPr>
            <w:tcW w:w="1474" w:type="dxa"/>
            <w:vAlign w:val="center"/>
          </w:tcPr>
          <w:p w14:paraId="5F48FA48">
            <w:pPr>
              <w:pStyle w:val="15"/>
            </w:pPr>
            <w:r>
              <w:t>5852.30</w:t>
            </w:r>
          </w:p>
        </w:tc>
        <w:tc>
          <w:tcPr>
            <w:tcW w:w="1474" w:type="dxa"/>
            <w:vAlign w:val="center"/>
          </w:tcPr>
          <w:p w14:paraId="26C8C258">
            <w:pPr>
              <w:pStyle w:val="15"/>
            </w:pPr>
            <w:r>
              <w:t>5283.99</w:t>
            </w:r>
          </w:p>
        </w:tc>
        <w:tc>
          <w:tcPr>
            <w:tcW w:w="1474" w:type="dxa"/>
            <w:vAlign w:val="center"/>
          </w:tcPr>
          <w:p w14:paraId="73228001">
            <w:pPr>
              <w:pStyle w:val="15"/>
            </w:pPr>
          </w:p>
        </w:tc>
      </w:tr>
      <w:tr w14:paraId="6310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2ED11">
            <w:pPr>
              <w:pStyle w:val="13"/>
            </w:pPr>
            <w:r>
              <w:t>33</w:t>
            </w:r>
          </w:p>
        </w:tc>
        <w:tc>
          <w:tcPr>
            <w:tcW w:w="3402" w:type="dxa"/>
            <w:vAlign w:val="center"/>
          </w:tcPr>
          <w:p w14:paraId="1EAE8C7E">
            <w:pPr>
              <w:pStyle w:val="12"/>
            </w:pPr>
            <w:r>
              <w:t>年初财政拨款结转和结余</w:t>
            </w:r>
          </w:p>
        </w:tc>
        <w:tc>
          <w:tcPr>
            <w:tcW w:w="1474" w:type="dxa"/>
            <w:vAlign w:val="center"/>
          </w:tcPr>
          <w:p w14:paraId="11926873">
            <w:pPr>
              <w:pStyle w:val="11"/>
            </w:pPr>
            <w:r>
              <w:t>5283.99</w:t>
            </w:r>
          </w:p>
        </w:tc>
        <w:tc>
          <w:tcPr>
            <w:tcW w:w="3402" w:type="dxa"/>
            <w:vAlign w:val="center"/>
          </w:tcPr>
          <w:p w14:paraId="3D17A3E1">
            <w:pPr>
              <w:pStyle w:val="12"/>
            </w:pPr>
            <w:r>
              <w:t>年末财政拨款结转和结余</w:t>
            </w:r>
          </w:p>
        </w:tc>
        <w:tc>
          <w:tcPr>
            <w:tcW w:w="1474" w:type="dxa"/>
            <w:vAlign w:val="center"/>
          </w:tcPr>
          <w:p w14:paraId="28D495A0">
            <w:pPr>
              <w:pStyle w:val="11"/>
            </w:pPr>
          </w:p>
        </w:tc>
        <w:tc>
          <w:tcPr>
            <w:tcW w:w="1474" w:type="dxa"/>
            <w:vAlign w:val="center"/>
          </w:tcPr>
          <w:p w14:paraId="3D4E4648">
            <w:pPr>
              <w:pStyle w:val="11"/>
            </w:pPr>
          </w:p>
        </w:tc>
        <w:tc>
          <w:tcPr>
            <w:tcW w:w="1474" w:type="dxa"/>
            <w:vAlign w:val="center"/>
          </w:tcPr>
          <w:p w14:paraId="684BFE7C">
            <w:pPr>
              <w:pStyle w:val="11"/>
            </w:pPr>
          </w:p>
        </w:tc>
        <w:tc>
          <w:tcPr>
            <w:tcW w:w="1474" w:type="dxa"/>
            <w:vAlign w:val="center"/>
          </w:tcPr>
          <w:p w14:paraId="5BC59345">
            <w:pPr>
              <w:pStyle w:val="11"/>
            </w:pPr>
          </w:p>
        </w:tc>
      </w:tr>
      <w:tr w14:paraId="0756D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F8E0">
            <w:pPr>
              <w:pStyle w:val="13"/>
            </w:pPr>
            <w:r>
              <w:t>34</w:t>
            </w:r>
          </w:p>
        </w:tc>
        <w:tc>
          <w:tcPr>
            <w:tcW w:w="3402" w:type="dxa"/>
            <w:vAlign w:val="center"/>
          </w:tcPr>
          <w:p w14:paraId="334016C2">
            <w:pPr>
              <w:pStyle w:val="12"/>
            </w:pPr>
            <w:r>
              <w:t>一、一般公共预算拨款</w:t>
            </w:r>
          </w:p>
        </w:tc>
        <w:tc>
          <w:tcPr>
            <w:tcW w:w="1474" w:type="dxa"/>
            <w:vAlign w:val="center"/>
          </w:tcPr>
          <w:p w14:paraId="377083A5">
            <w:pPr>
              <w:pStyle w:val="11"/>
            </w:pPr>
          </w:p>
        </w:tc>
        <w:tc>
          <w:tcPr>
            <w:tcW w:w="3402" w:type="dxa"/>
            <w:vAlign w:val="center"/>
          </w:tcPr>
          <w:p w14:paraId="75FF8902">
            <w:pPr>
              <w:pStyle w:val="12"/>
            </w:pPr>
          </w:p>
        </w:tc>
        <w:tc>
          <w:tcPr>
            <w:tcW w:w="1474" w:type="dxa"/>
            <w:vAlign w:val="center"/>
          </w:tcPr>
          <w:p w14:paraId="17B67363">
            <w:pPr>
              <w:pStyle w:val="11"/>
            </w:pPr>
          </w:p>
        </w:tc>
        <w:tc>
          <w:tcPr>
            <w:tcW w:w="1474" w:type="dxa"/>
            <w:vAlign w:val="center"/>
          </w:tcPr>
          <w:p w14:paraId="60614647">
            <w:pPr>
              <w:pStyle w:val="11"/>
            </w:pPr>
          </w:p>
        </w:tc>
        <w:tc>
          <w:tcPr>
            <w:tcW w:w="1474" w:type="dxa"/>
            <w:vAlign w:val="center"/>
          </w:tcPr>
          <w:p w14:paraId="5899F2CD">
            <w:pPr>
              <w:pStyle w:val="11"/>
            </w:pPr>
          </w:p>
        </w:tc>
        <w:tc>
          <w:tcPr>
            <w:tcW w:w="1474" w:type="dxa"/>
            <w:vAlign w:val="center"/>
          </w:tcPr>
          <w:p w14:paraId="040C9660">
            <w:pPr>
              <w:pStyle w:val="11"/>
            </w:pPr>
          </w:p>
        </w:tc>
      </w:tr>
      <w:tr w14:paraId="6BE76697">
        <w:tblPrEx>
          <w:tblCellMar>
            <w:top w:w="0" w:type="dxa"/>
            <w:left w:w="108" w:type="dxa"/>
            <w:bottom w:w="0" w:type="dxa"/>
            <w:right w:w="108" w:type="dxa"/>
          </w:tblCellMar>
        </w:tblPrEx>
        <w:trPr>
          <w:trHeight w:val="369" w:hRule="atLeast"/>
          <w:jc w:val="center"/>
        </w:trPr>
        <w:tc>
          <w:tcPr>
            <w:tcW w:w="850" w:type="dxa"/>
            <w:vAlign w:val="center"/>
          </w:tcPr>
          <w:p w14:paraId="2381B1C7">
            <w:pPr>
              <w:pStyle w:val="13"/>
            </w:pPr>
            <w:r>
              <w:t>35</w:t>
            </w:r>
          </w:p>
        </w:tc>
        <w:tc>
          <w:tcPr>
            <w:tcW w:w="3402" w:type="dxa"/>
            <w:vAlign w:val="center"/>
          </w:tcPr>
          <w:p w14:paraId="5062CF06">
            <w:pPr>
              <w:pStyle w:val="12"/>
            </w:pPr>
            <w:r>
              <w:t>二、政府性基金预算拨款</w:t>
            </w:r>
          </w:p>
        </w:tc>
        <w:tc>
          <w:tcPr>
            <w:tcW w:w="1474" w:type="dxa"/>
            <w:vAlign w:val="center"/>
          </w:tcPr>
          <w:p w14:paraId="395B8A2C">
            <w:pPr>
              <w:pStyle w:val="11"/>
            </w:pPr>
            <w:r>
              <w:t>5283.99</w:t>
            </w:r>
          </w:p>
        </w:tc>
        <w:tc>
          <w:tcPr>
            <w:tcW w:w="3402" w:type="dxa"/>
            <w:vAlign w:val="center"/>
          </w:tcPr>
          <w:p w14:paraId="3F7CA01C">
            <w:pPr>
              <w:pStyle w:val="12"/>
            </w:pPr>
          </w:p>
        </w:tc>
        <w:tc>
          <w:tcPr>
            <w:tcW w:w="1474" w:type="dxa"/>
            <w:vAlign w:val="center"/>
          </w:tcPr>
          <w:p w14:paraId="2A3956EA">
            <w:pPr>
              <w:pStyle w:val="11"/>
            </w:pPr>
          </w:p>
        </w:tc>
        <w:tc>
          <w:tcPr>
            <w:tcW w:w="1474" w:type="dxa"/>
            <w:vAlign w:val="center"/>
          </w:tcPr>
          <w:p w14:paraId="225E7884">
            <w:pPr>
              <w:pStyle w:val="11"/>
            </w:pPr>
          </w:p>
        </w:tc>
        <w:tc>
          <w:tcPr>
            <w:tcW w:w="1474" w:type="dxa"/>
            <w:vAlign w:val="center"/>
          </w:tcPr>
          <w:p w14:paraId="3F21E2FD">
            <w:pPr>
              <w:pStyle w:val="11"/>
            </w:pPr>
          </w:p>
        </w:tc>
        <w:tc>
          <w:tcPr>
            <w:tcW w:w="1474" w:type="dxa"/>
            <w:vAlign w:val="center"/>
          </w:tcPr>
          <w:p w14:paraId="2F7EE4D9">
            <w:pPr>
              <w:pStyle w:val="11"/>
            </w:pPr>
          </w:p>
        </w:tc>
      </w:tr>
      <w:tr w14:paraId="3370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9FCA5">
            <w:pPr>
              <w:pStyle w:val="13"/>
            </w:pPr>
            <w:r>
              <w:t>36</w:t>
            </w:r>
          </w:p>
        </w:tc>
        <w:tc>
          <w:tcPr>
            <w:tcW w:w="3402" w:type="dxa"/>
            <w:vAlign w:val="center"/>
          </w:tcPr>
          <w:p w14:paraId="637773FB">
            <w:pPr>
              <w:pStyle w:val="12"/>
            </w:pPr>
            <w:r>
              <w:t>三、国有资本经营预算拨款</w:t>
            </w:r>
          </w:p>
        </w:tc>
        <w:tc>
          <w:tcPr>
            <w:tcW w:w="1474" w:type="dxa"/>
            <w:vAlign w:val="center"/>
          </w:tcPr>
          <w:p w14:paraId="0205644C">
            <w:pPr>
              <w:pStyle w:val="11"/>
            </w:pPr>
          </w:p>
        </w:tc>
        <w:tc>
          <w:tcPr>
            <w:tcW w:w="3402" w:type="dxa"/>
            <w:vAlign w:val="center"/>
          </w:tcPr>
          <w:p w14:paraId="491665C7">
            <w:pPr>
              <w:pStyle w:val="12"/>
            </w:pPr>
          </w:p>
        </w:tc>
        <w:tc>
          <w:tcPr>
            <w:tcW w:w="1474" w:type="dxa"/>
            <w:vAlign w:val="center"/>
          </w:tcPr>
          <w:p w14:paraId="564DFB59">
            <w:pPr>
              <w:pStyle w:val="11"/>
            </w:pPr>
          </w:p>
        </w:tc>
        <w:tc>
          <w:tcPr>
            <w:tcW w:w="1474" w:type="dxa"/>
            <w:vAlign w:val="center"/>
          </w:tcPr>
          <w:p w14:paraId="7A1BD935">
            <w:pPr>
              <w:pStyle w:val="11"/>
            </w:pPr>
          </w:p>
        </w:tc>
        <w:tc>
          <w:tcPr>
            <w:tcW w:w="1474" w:type="dxa"/>
            <w:vAlign w:val="center"/>
          </w:tcPr>
          <w:p w14:paraId="7148731A">
            <w:pPr>
              <w:pStyle w:val="11"/>
            </w:pPr>
          </w:p>
        </w:tc>
        <w:tc>
          <w:tcPr>
            <w:tcW w:w="1474" w:type="dxa"/>
            <w:vAlign w:val="center"/>
          </w:tcPr>
          <w:p w14:paraId="2DDC1435">
            <w:pPr>
              <w:pStyle w:val="11"/>
            </w:pPr>
          </w:p>
        </w:tc>
      </w:tr>
      <w:tr w14:paraId="441D60B9">
        <w:tblPrEx>
          <w:tblCellMar>
            <w:top w:w="0" w:type="dxa"/>
            <w:left w:w="108" w:type="dxa"/>
            <w:bottom w:w="0" w:type="dxa"/>
            <w:right w:w="108" w:type="dxa"/>
          </w:tblCellMar>
        </w:tblPrEx>
        <w:trPr>
          <w:trHeight w:val="369" w:hRule="atLeast"/>
          <w:jc w:val="center"/>
        </w:trPr>
        <w:tc>
          <w:tcPr>
            <w:tcW w:w="850" w:type="dxa"/>
            <w:vAlign w:val="center"/>
          </w:tcPr>
          <w:p w14:paraId="736072E2">
            <w:pPr>
              <w:pStyle w:val="13"/>
            </w:pPr>
            <w:r>
              <w:t>37</w:t>
            </w:r>
          </w:p>
        </w:tc>
        <w:tc>
          <w:tcPr>
            <w:tcW w:w="3402" w:type="dxa"/>
            <w:vAlign w:val="center"/>
          </w:tcPr>
          <w:p w14:paraId="56FB4583">
            <w:pPr>
              <w:pStyle w:val="14"/>
            </w:pPr>
            <w:r>
              <w:t>收入总计</w:t>
            </w:r>
          </w:p>
        </w:tc>
        <w:tc>
          <w:tcPr>
            <w:tcW w:w="1474" w:type="dxa"/>
            <w:vAlign w:val="center"/>
          </w:tcPr>
          <w:p w14:paraId="5DFE91F2">
            <w:pPr>
              <w:pStyle w:val="15"/>
            </w:pPr>
            <w:r>
              <w:t>11136.29</w:t>
            </w:r>
          </w:p>
        </w:tc>
        <w:tc>
          <w:tcPr>
            <w:tcW w:w="3402" w:type="dxa"/>
            <w:vAlign w:val="center"/>
          </w:tcPr>
          <w:p w14:paraId="00DE4C3A">
            <w:pPr>
              <w:pStyle w:val="14"/>
            </w:pPr>
            <w:r>
              <w:t>支出总计</w:t>
            </w:r>
          </w:p>
        </w:tc>
        <w:tc>
          <w:tcPr>
            <w:tcW w:w="1474" w:type="dxa"/>
            <w:vAlign w:val="center"/>
          </w:tcPr>
          <w:p w14:paraId="79D71F3E">
            <w:pPr>
              <w:pStyle w:val="15"/>
            </w:pPr>
            <w:r>
              <w:t>11136.29</w:t>
            </w:r>
          </w:p>
        </w:tc>
        <w:tc>
          <w:tcPr>
            <w:tcW w:w="1474" w:type="dxa"/>
            <w:vAlign w:val="center"/>
          </w:tcPr>
          <w:p w14:paraId="04393DF3">
            <w:pPr>
              <w:pStyle w:val="15"/>
            </w:pPr>
            <w:r>
              <w:t>5852.30</w:t>
            </w:r>
          </w:p>
        </w:tc>
        <w:tc>
          <w:tcPr>
            <w:tcW w:w="1474" w:type="dxa"/>
            <w:vAlign w:val="center"/>
          </w:tcPr>
          <w:p w14:paraId="5A7203D4">
            <w:pPr>
              <w:pStyle w:val="15"/>
            </w:pPr>
            <w:r>
              <w:t>5283.99</w:t>
            </w:r>
          </w:p>
        </w:tc>
        <w:tc>
          <w:tcPr>
            <w:tcW w:w="1474" w:type="dxa"/>
            <w:vAlign w:val="center"/>
          </w:tcPr>
          <w:p w14:paraId="7F6214B9">
            <w:pPr>
              <w:pStyle w:val="15"/>
            </w:pPr>
          </w:p>
        </w:tc>
      </w:tr>
    </w:tbl>
    <w:p w14:paraId="3A78A52D">
      <w:pPr>
        <w:sectPr>
          <w:pgSz w:w="16840" w:h="11900" w:orient="landscape"/>
          <w:pgMar w:top="1361" w:right="1020" w:bottom="1134" w:left="1020" w:header="720" w:footer="720" w:gutter="0"/>
          <w:cols w:space="720" w:num="1"/>
        </w:sectPr>
      </w:pPr>
    </w:p>
    <w:p w14:paraId="5C7C51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D9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1F77EE">
            <w:pPr>
              <w:pStyle w:val="9"/>
            </w:pPr>
            <w:r>
              <w:t>360001隆尧县教育局本级</w:t>
            </w:r>
          </w:p>
        </w:tc>
        <w:tc>
          <w:tcPr>
            <w:tcW w:w="2551" w:type="dxa"/>
            <w:tcBorders>
              <w:top w:val="single" w:color="FFFFFF" w:sz="6" w:space="0"/>
              <w:left w:val="single" w:color="FFFFFF" w:sz="6" w:space="0"/>
              <w:right w:val="single" w:color="FFFFFF" w:sz="6" w:space="0"/>
            </w:tcBorders>
            <w:vAlign w:val="center"/>
          </w:tcPr>
          <w:p w14:paraId="696D99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30B383">
            <w:pPr>
              <w:pStyle w:val="7"/>
            </w:pPr>
            <w:r>
              <w:t>单位：万元</w:t>
            </w:r>
          </w:p>
        </w:tc>
      </w:tr>
      <w:tr w14:paraId="625C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92D31F">
            <w:pPr>
              <w:pStyle w:val="10"/>
            </w:pPr>
            <w:r>
              <w:t>序号</w:t>
            </w:r>
          </w:p>
        </w:tc>
        <w:tc>
          <w:tcPr>
            <w:tcW w:w="5726" w:type="dxa"/>
            <w:gridSpan w:val="2"/>
            <w:vAlign w:val="center"/>
          </w:tcPr>
          <w:p w14:paraId="3EDB6805">
            <w:pPr>
              <w:pStyle w:val="10"/>
            </w:pPr>
            <w:r>
              <w:t>功能分类科目</w:t>
            </w:r>
          </w:p>
        </w:tc>
        <w:tc>
          <w:tcPr>
            <w:tcW w:w="2551" w:type="dxa"/>
            <w:vMerge w:val="restart"/>
            <w:vAlign w:val="center"/>
          </w:tcPr>
          <w:p w14:paraId="450580AF">
            <w:pPr>
              <w:pStyle w:val="10"/>
            </w:pPr>
            <w:r>
              <w:t>合计</w:t>
            </w:r>
          </w:p>
        </w:tc>
        <w:tc>
          <w:tcPr>
            <w:tcW w:w="2551" w:type="dxa"/>
            <w:vMerge w:val="restart"/>
            <w:vAlign w:val="center"/>
          </w:tcPr>
          <w:p w14:paraId="27C8DE16">
            <w:pPr>
              <w:pStyle w:val="10"/>
            </w:pPr>
            <w:r>
              <w:t>基本支出</w:t>
            </w:r>
          </w:p>
        </w:tc>
        <w:tc>
          <w:tcPr>
            <w:tcW w:w="2551" w:type="dxa"/>
            <w:vMerge w:val="restart"/>
            <w:vAlign w:val="center"/>
          </w:tcPr>
          <w:p w14:paraId="328336DC">
            <w:pPr>
              <w:pStyle w:val="10"/>
            </w:pPr>
            <w:r>
              <w:t>项目支出</w:t>
            </w:r>
          </w:p>
        </w:tc>
      </w:tr>
      <w:tr w14:paraId="5C92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A5217"/>
        </w:tc>
        <w:tc>
          <w:tcPr>
            <w:tcW w:w="1191" w:type="dxa"/>
            <w:vAlign w:val="center"/>
          </w:tcPr>
          <w:p w14:paraId="6C168FD9">
            <w:pPr>
              <w:pStyle w:val="10"/>
            </w:pPr>
            <w:r>
              <w:t>科目编码</w:t>
            </w:r>
          </w:p>
        </w:tc>
        <w:tc>
          <w:tcPr>
            <w:tcW w:w="4535" w:type="dxa"/>
            <w:vAlign w:val="center"/>
          </w:tcPr>
          <w:p w14:paraId="6696A78C">
            <w:pPr>
              <w:pStyle w:val="10"/>
            </w:pPr>
            <w:r>
              <w:t>科目名称</w:t>
            </w:r>
          </w:p>
        </w:tc>
        <w:tc>
          <w:tcPr>
            <w:tcW w:w="2551" w:type="dxa"/>
            <w:vMerge w:val="continue"/>
          </w:tcPr>
          <w:p w14:paraId="2785A863"/>
        </w:tc>
        <w:tc>
          <w:tcPr>
            <w:tcW w:w="2551" w:type="dxa"/>
            <w:vMerge w:val="continue"/>
          </w:tcPr>
          <w:p w14:paraId="3F7A8EB4"/>
        </w:tc>
        <w:tc>
          <w:tcPr>
            <w:tcW w:w="2551" w:type="dxa"/>
            <w:vMerge w:val="continue"/>
          </w:tcPr>
          <w:p w14:paraId="101C3845"/>
        </w:tc>
      </w:tr>
      <w:tr w14:paraId="5871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EB95A">
            <w:pPr>
              <w:pStyle w:val="10"/>
            </w:pPr>
            <w:r>
              <w:t>栏次</w:t>
            </w:r>
          </w:p>
        </w:tc>
        <w:tc>
          <w:tcPr>
            <w:tcW w:w="1191" w:type="dxa"/>
            <w:vAlign w:val="center"/>
          </w:tcPr>
          <w:p w14:paraId="3F8DCF90">
            <w:pPr>
              <w:pStyle w:val="10"/>
            </w:pPr>
            <w:r>
              <w:t>1</w:t>
            </w:r>
          </w:p>
        </w:tc>
        <w:tc>
          <w:tcPr>
            <w:tcW w:w="4535" w:type="dxa"/>
            <w:vAlign w:val="center"/>
          </w:tcPr>
          <w:p w14:paraId="76DD2829">
            <w:pPr>
              <w:pStyle w:val="10"/>
            </w:pPr>
            <w:r>
              <w:t>2</w:t>
            </w:r>
          </w:p>
        </w:tc>
        <w:tc>
          <w:tcPr>
            <w:tcW w:w="2551" w:type="dxa"/>
            <w:vAlign w:val="center"/>
          </w:tcPr>
          <w:p w14:paraId="7BBC6701">
            <w:pPr>
              <w:pStyle w:val="10"/>
            </w:pPr>
            <w:r>
              <w:t>3</w:t>
            </w:r>
          </w:p>
        </w:tc>
        <w:tc>
          <w:tcPr>
            <w:tcW w:w="2551" w:type="dxa"/>
            <w:vAlign w:val="center"/>
          </w:tcPr>
          <w:p w14:paraId="7935D547">
            <w:pPr>
              <w:pStyle w:val="10"/>
            </w:pPr>
            <w:r>
              <w:t>4</w:t>
            </w:r>
          </w:p>
        </w:tc>
        <w:tc>
          <w:tcPr>
            <w:tcW w:w="2551" w:type="dxa"/>
            <w:vAlign w:val="center"/>
          </w:tcPr>
          <w:p w14:paraId="22709765">
            <w:pPr>
              <w:pStyle w:val="10"/>
            </w:pPr>
            <w:r>
              <w:t>5</w:t>
            </w:r>
          </w:p>
        </w:tc>
      </w:tr>
      <w:tr w14:paraId="2B92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EAFD">
            <w:pPr>
              <w:pStyle w:val="13"/>
            </w:pPr>
            <w:r>
              <w:t>1</w:t>
            </w:r>
          </w:p>
        </w:tc>
        <w:tc>
          <w:tcPr>
            <w:tcW w:w="1191" w:type="dxa"/>
            <w:vAlign w:val="center"/>
          </w:tcPr>
          <w:p w14:paraId="703105A8">
            <w:pPr>
              <w:pStyle w:val="16"/>
            </w:pPr>
          </w:p>
        </w:tc>
        <w:tc>
          <w:tcPr>
            <w:tcW w:w="4535" w:type="dxa"/>
            <w:vAlign w:val="center"/>
          </w:tcPr>
          <w:p w14:paraId="61B1C18D">
            <w:pPr>
              <w:pStyle w:val="14"/>
            </w:pPr>
            <w:r>
              <w:t>合计</w:t>
            </w:r>
          </w:p>
        </w:tc>
        <w:tc>
          <w:tcPr>
            <w:tcW w:w="2551" w:type="dxa"/>
            <w:vAlign w:val="center"/>
          </w:tcPr>
          <w:p w14:paraId="69669994">
            <w:pPr>
              <w:pStyle w:val="15"/>
            </w:pPr>
            <w:r>
              <w:t>5852.30</w:t>
            </w:r>
          </w:p>
        </w:tc>
        <w:tc>
          <w:tcPr>
            <w:tcW w:w="2551" w:type="dxa"/>
            <w:vAlign w:val="center"/>
          </w:tcPr>
          <w:p w14:paraId="69DEB0FE">
            <w:pPr>
              <w:pStyle w:val="15"/>
            </w:pPr>
            <w:r>
              <w:t>294.35</w:t>
            </w:r>
          </w:p>
        </w:tc>
        <w:tc>
          <w:tcPr>
            <w:tcW w:w="2551" w:type="dxa"/>
            <w:vAlign w:val="center"/>
          </w:tcPr>
          <w:p w14:paraId="37630A84">
            <w:pPr>
              <w:pStyle w:val="15"/>
            </w:pPr>
            <w:r>
              <w:t>5557.96</w:t>
            </w:r>
          </w:p>
        </w:tc>
      </w:tr>
      <w:tr w14:paraId="71A5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45F0">
            <w:pPr>
              <w:pStyle w:val="13"/>
            </w:pPr>
            <w:r>
              <w:t>2</w:t>
            </w:r>
          </w:p>
        </w:tc>
        <w:tc>
          <w:tcPr>
            <w:tcW w:w="1191" w:type="dxa"/>
            <w:vAlign w:val="center"/>
          </w:tcPr>
          <w:p w14:paraId="0880502E">
            <w:pPr>
              <w:pStyle w:val="12"/>
            </w:pPr>
            <w:r>
              <w:t>205</w:t>
            </w:r>
          </w:p>
        </w:tc>
        <w:tc>
          <w:tcPr>
            <w:tcW w:w="4535" w:type="dxa"/>
            <w:vAlign w:val="center"/>
          </w:tcPr>
          <w:p w14:paraId="655CCFE7">
            <w:pPr>
              <w:pStyle w:val="12"/>
            </w:pPr>
            <w:r>
              <w:t>教育支出</w:t>
            </w:r>
          </w:p>
        </w:tc>
        <w:tc>
          <w:tcPr>
            <w:tcW w:w="2551" w:type="dxa"/>
            <w:vAlign w:val="center"/>
          </w:tcPr>
          <w:p w14:paraId="66296174">
            <w:pPr>
              <w:pStyle w:val="11"/>
            </w:pPr>
            <w:r>
              <w:t>5805.44</w:t>
            </w:r>
          </w:p>
        </w:tc>
        <w:tc>
          <w:tcPr>
            <w:tcW w:w="2551" w:type="dxa"/>
            <w:vAlign w:val="center"/>
          </w:tcPr>
          <w:p w14:paraId="7F951C63">
            <w:pPr>
              <w:pStyle w:val="11"/>
            </w:pPr>
            <w:r>
              <w:t>247.49</w:t>
            </w:r>
          </w:p>
        </w:tc>
        <w:tc>
          <w:tcPr>
            <w:tcW w:w="2551" w:type="dxa"/>
            <w:vAlign w:val="center"/>
          </w:tcPr>
          <w:p w14:paraId="01FA26E8">
            <w:pPr>
              <w:pStyle w:val="11"/>
            </w:pPr>
            <w:r>
              <w:t>5557.96</w:t>
            </w:r>
          </w:p>
        </w:tc>
      </w:tr>
      <w:tr w14:paraId="2F881040">
        <w:tblPrEx>
          <w:tblCellMar>
            <w:top w:w="0" w:type="dxa"/>
            <w:left w:w="108" w:type="dxa"/>
            <w:bottom w:w="0" w:type="dxa"/>
            <w:right w:w="108" w:type="dxa"/>
          </w:tblCellMar>
        </w:tblPrEx>
        <w:trPr>
          <w:trHeight w:val="369" w:hRule="atLeast"/>
          <w:jc w:val="center"/>
        </w:trPr>
        <w:tc>
          <w:tcPr>
            <w:tcW w:w="850" w:type="dxa"/>
            <w:vAlign w:val="center"/>
          </w:tcPr>
          <w:p w14:paraId="1EE63669">
            <w:pPr>
              <w:pStyle w:val="13"/>
            </w:pPr>
            <w:r>
              <w:t>3</w:t>
            </w:r>
          </w:p>
        </w:tc>
        <w:tc>
          <w:tcPr>
            <w:tcW w:w="1191" w:type="dxa"/>
            <w:vAlign w:val="center"/>
          </w:tcPr>
          <w:p w14:paraId="43E03EC2">
            <w:pPr>
              <w:pStyle w:val="12"/>
            </w:pPr>
            <w:r>
              <w:t>20501</w:t>
            </w:r>
          </w:p>
        </w:tc>
        <w:tc>
          <w:tcPr>
            <w:tcW w:w="4535" w:type="dxa"/>
            <w:vAlign w:val="center"/>
          </w:tcPr>
          <w:p w14:paraId="573B4D64">
            <w:pPr>
              <w:pStyle w:val="12"/>
            </w:pPr>
            <w:r>
              <w:t>教育管理事务</w:t>
            </w:r>
          </w:p>
        </w:tc>
        <w:tc>
          <w:tcPr>
            <w:tcW w:w="2551" w:type="dxa"/>
            <w:vAlign w:val="center"/>
          </w:tcPr>
          <w:p w14:paraId="25505BFF">
            <w:pPr>
              <w:pStyle w:val="11"/>
            </w:pPr>
            <w:r>
              <w:t>280.49</w:t>
            </w:r>
          </w:p>
        </w:tc>
        <w:tc>
          <w:tcPr>
            <w:tcW w:w="2551" w:type="dxa"/>
            <w:vAlign w:val="center"/>
          </w:tcPr>
          <w:p w14:paraId="1A5D1B54">
            <w:pPr>
              <w:pStyle w:val="11"/>
            </w:pPr>
            <w:r>
              <w:t>247.49</w:t>
            </w:r>
          </w:p>
        </w:tc>
        <w:tc>
          <w:tcPr>
            <w:tcW w:w="2551" w:type="dxa"/>
            <w:vAlign w:val="center"/>
          </w:tcPr>
          <w:p w14:paraId="190BF7AB">
            <w:pPr>
              <w:pStyle w:val="11"/>
            </w:pPr>
            <w:r>
              <w:t>33.00</w:t>
            </w:r>
          </w:p>
        </w:tc>
      </w:tr>
      <w:tr w14:paraId="1675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78CA">
            <w:pPr>
              <w:pStyle w:val="13"/>
            </w:pPr>
            <w:r>
              <w:t>4</w:t>
            </w:r>
          </w:p>
        </w:tc>
        <w:tc>
          <w:tcPr>
            <w:tcW w:w="1191" w:type="dxa"/>
            <w:vAlign w:val="center"/>
          </w:tcPr>
          <w:p w14:paraId="22C8CB16">
            <w:pPr>
              <w:pStyle w:val="12"/>
            </w:pPr>
            <w:r>
              <w:t>2050101</w:t>
            </w:r>
          </w:p>
        </w:tc>
        <w:tc>
          <w:tcPr>
            <w:tcW w:w="4535" w:type="dxa"/>
            <w:vAlign w:val="center"/>
          </w:tcPr>
          <w:p w14:paraId="2F1BFECD">
            <w:pPr>
              <w:pStyle w:val="12"/>
            </w:pPr>
            <w:r>
              <w:t>行政运行</w:t>
            </w:r>
          </w:p>
        </w:tc>
        <w:tc>
          <w:tcPr>
            <w:tcW w:w="2551" w:type="dxa"/>
            <w:vAlign w:val="center"/>
          </w:tcPr>
          <w:p w14:paraId="09B671B0">
            <w:pPr>
              <w:pStyle w:val="11"/>
            </w:pPr>
            <w:r>
              <w:t>280.49</w:t>
            </w:r>
          </w:p>
        </w:tc>
        <w:tc>
          <w:tcPr>
            <w:tcW w:w="2551" w:type="dxa"/>
            <w:vAlign w:val="center"/>
          </w:tcPr>
          <w:p w14:paraId="67ADCCA4">
            <w:pPr>
              <w:pStyle w:val="11"/>
            </w:pPr>
            <w:r>
              <w:t>247.49</w:t>
            </w:r>
          </w:p>
        </w:tc>
        <w:tc>
          <w:tcPr>
            <w:tcW w:w="2551" w:type="dxa"/>
            <w:vAlign w:val="center"/>
          </w:tcPr>
          <w:p w14:paraId="79F8D326">
            <w:pPr>
              <w:pStyle w:val="11"/>
            </w:pPr>
            <w:r>
              <w:t>33.00</w:t>
            </w:r>
          </w:p>
        </w:tc>
      </w:tr>
      <w:tr w14:paraId="66F8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5F587">
            <w:pPr>
              <w:pStyle w:val="13"/>
            </w:pPr>
            <w:r>
              <w:t>5</w:t>
            </w:r>
          </w:p>
        </w:tc>
        <w:tc>
          <w:tcPr>
            <w:tcW w:w="1191" w:type="dxa"/>
            <w:vAlign w:val="center"/>
          </w:tcPr>
          <w:p w14:paraId="217995E8">
            <w:pPr>
              <w:pStyle w:val="12"/>
            </w:pPr>
            <w:r>
              <w:t>20502</w:t>
            </w:r>
          </w:p>
        </w:tc>
        <w:tc>
          <w:tcPr>
            <w:tcW w:w="4535" w:type="dxa"/>
            <w:vAlign w:val="center"/>
          </w:tcPr>
          <w:p w14:paraId="79A5A9DC">
            <w:pPr>
              <w:pStyle w:val="12"/>
            </w:pPr>
            <w:r>
              <w:t>普通教育</w:t>
            </w:r>
          </w:p>
        </w:tc>
        <w:tc>
          <w:tcPr>
            <w:tcW w:w="2551" w:type="dxa"/>
            <w:vAlign w:val="center"/>
          </w:tcPr>
          <w:p w14:paraId="0854DDD4">
            <w:pPr>
              <w:pStyle w:val="11"/>
            </w:pPr>
            <w:r>
              <w:t>5393.20</w:t>
            </w:r>
          </w:p>
        </w:tc>
        <w:tc>
          <w:tcPr>
            <w:tcW w:w="2551" w:type="dxa"/>
            <w:vAlign w:val="center"/>
          </w:tcPr>
          <w:p w14:paraId="5EE57D68">
            <w:pPr>
              <w:pStyle w:val="11"/>
            </w:pPr>
          </w:p>
        </w:tc>
        <w:tc>
          <w:tcPr>
            <w:tcW w:w="2551" w:type="dxa"/>
            <w:vAlign w:val="center"/>
          </w:tcPr>
          <w:p w14:paraId="5B9C33E5">
            <w:pPr>
              <w:pStyle w:val="11"/>
            </w:pPr>
            <w:r>
              <w:t>5393.20</w:t>
            </w:r>
          </w:p>
        </w:tc>
      </w:tr>
      <w:tr w14:paraId="7BC4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AFB90">
            <w:pPr>
              <w:pStyle w:val="13"/>
            </w:pPr>
            <w:r>
              <w:t>6</w:t>
            </w:r>
          </w:p>
        </w:tc>
        <w:tc>
          <w:tcPr>
            <w:tcW w:w="1191" w:type="dxa"/>
            <w:vAlign w:val="center"/>
          </w:tcPr>
          <w:p w14:paraId="20F08B54">
            <w:pPr>
              <w:pStyle w:val="12"/>
            </w:pPr>
            <w:r>
              <w:t>2050201</w:t>
            </w:r>
          </w:p>
        </w:tc>
        <w:tc>
          <w:tcPr>
            <w:tcW w:w="4535" w:type="dxa"/>
            <w:vAlign w:val="center"/>
          </w:tcPr>
          <w:p w14:paraId="21682936">
            <w:pPr>
              <w:pStyle w:val="12"/>
            </w:pPr>
            <w:r>
              <w:t>学前教育</w:t>
            </w:r>
          </w:p>
        </w:tc>
        <w:tc>
          <w:tcPr>
            <w:tcW w:w="2551" w:type="dxa"/>
            <w:vAlign w:val="center"/>
          </w:tcPr>
          <w:p w14:paraId="32766E10">
            <w:pPr>
              <w:pStyle w:val="11"/>
            </w:pPr>
            <w:r>
              <w:t>1467.51</w:t>
            </w:r>
          </w:p>
        </w:tc>
        <w:tc>
          <w:tcPr>
            <w:tcW w:w="2551" w:type="dxa"/>
            <w:vAlign w:val="center"/>
          </w:tcPr>
          <w:p w14:paraId="555F9BE8">
            <w:pPr>
              <w:pStyle w:val="11"/>
            </w:pPr>
          </w:p>
        </w:tc>
        <w:tc>
          <w:tcPr>
            <w:tcW w:w="2551" w:type="dxa"/>
            <w:vAlign w:val="center"/>
          </w:tcPr>
          <w:p w14:paraId="1DF1C327">
            <w:pPr>
              <w:pStyle w:val="11"/>
            </w:pPr>
            <w:r>
              <w:t>1467.51</w:t>
            </w:r>
          </w:p>
        </w:tc>
      </w:tr>
      <w:tr w14:paraId="0A95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0D49">
            <w:pPr>
              <w:pStyle w:val="13"/>
            </w:pPr>
            <w:r>
              <w:t>7</w:t>
            </w:r>
          </w:p>
        </w:tc>
        <w:tc>
          <w:tcPr>
            <w:tcW w:w="1191" w:type="dxa"/>
            <w:vAlign w:val="center"/>
          </w:tcPr>
          <w:p w14:paraId="247484F3">
            <w:pPr>
              <w:pStyle w:val="12"/>
            </w:pPr>
            <w:r>
              <w:t>2050202</w:t>
            </w:r>
          </w:p>
        </w:tc>
        <w:tc>
          <w:tcPr>
            <w:tcW w:w="4535" w:type="dxa"/>
            <w:vAlign w:val="center"/>
          </w:tcPr>
          <w:p w14:paraId="3B6FEA29">
            <w:pPr>
              <w:pStyle w:val="12"/>
            </w:pPr>
            <w:r>
              <w:t>小学教育</w:t>
            </w:r>
          </w:p>
        </w:tc>
        <w:tc>
          <w:tcPr>
            <w:tcW w:w="2551" w:type="dxa"/>
            <w:vAlign w:val="center"/>
          </w:tcPr>
          <w:p w14:paraId="6C62F2AE">
            <w:pPr>
              <w:pStyle w:val="11"/>
            </w:pPr>
            <w:r>
              <w:t>1759.38</w:t>
            </w:r>
          </w:p>
        </w:tc>
        <w:tc>
          <w:tcPr>
            <w:tcW w:w="2551" w:type="dxa"/>
            <w:vAlign w:val="center"/>
          </w:tcPr>
          <w:p w14:paraId="51CDC1F0">
            <w:pPr>
              <w:pStyle w:val="11"/>
            </w:pPr>
          </w:p>
        </w:tc>
        <w:tc>
          <w:tcPr>
            <w:tcW w:w="2551" w:type="dxa"/>
            <w:vAlign w:val="center"/>
          </w:tcPr>
          <w:p w14:paraId="5DA3252B">
            <w:pPr>
              <w:pStyle w:val="11"/>
            </w:pPr>
            <w:r>
              <w:t>1759.38</w:t>
            </w:r>
          </w:p>
        </w:tc>
      </w:tr>
      <w:tr w14:paraId="7B2D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87C8">
            <w:pPr>
              <w:pStyle w:val="13"/>
            </w:pPr>
            <w:r>
              <w:t>8</w:t>
            </w:r>
          </w:p>
        </w:tc>
        <w:tc>
          <w:tcPr>
            <w:tcW w:w="1191" w:type="dxa"/>
            <w:vAlign w:val="center"/>
          </w:tcPr>
          <w:p w14:paraId="7932C594">
            <w:pPr>
              <w:pStyle w:val="12"/>
            </w:pPr>
            <w:r>
              <w:t>2050203</w:t>
            </w:r>
          </w:p>
        </w:tc>
        <w:tc>
          <w:tcPr>
            <w:tcW w:w="4535" w:type="dxa"/>
            <w:vAlign w:val="center"/>
          </w:tcPr>
          <w:p w14:paraId="77836B9C">
            <w:pPr>
              <w:pStyle w:val="12"/>
            </w:pPr>
            <w:r>
              <w:t>初中教育</w:t>
            </w:r>
          </w:p>
        </w:tc>
        <w:tc>
          <w:tcPr>
            <w:tcW w:w="2551" w:type="dxa"/>
            <w:vAlign w:val="center"/>
          </w:tcPr>
          <w:p w14:paraId="61F2EE10">
            <w:pPr>
              <w:pStyle w:val="11"/>
            </w:pPr>
            <w:r>
              <w:t>689.85</w:t>
            </w:r>
          </w:p>
        </w:tc>
        <w:tc>
          <w:tcPr>
            <w:tcW w:w="2551" w:type="dxa"/>
            <w:vAlign w:val="center"/>
          </w:tcPr>
          <w:p w14:paraId="44A33832">
            <w:pPr>
              <w:pStyle w:val="11"/>
            </w:pPr>
          </w:p>
        </w:tc>
        <w:tc>
          <w:tcPr>
            <w:tcW w:w="2551" w:type="dxa"/>
            <w:vAlign w:val="center"/>
          </w:tcPr>
          <w:p w14:paraId="60907F7F">
            <w:pPr>
              <w:pStyle w:val="11"/>
            </w:pPr>
            <w:r>
              <w:t>689.85</w:t>
            </w:r>
          </w:p>
        </w:tc>
      </w:tr>
      <w:tr w14:paraId="3C9C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86C1D">
            <w:pPr>
              <w:pStyle w:val="13"/>
            </w:pPr>
            <w:r>
              <w:t>9</w:t>
            </w:r>
          </w:p>
        </w:tc>
        <w:tc>
          <w:tcPr>
            <w:tcW w:w="1191" w:type="dxa"/>
            <w:vAlign w:val="center"/>
          </w:tcPr>
          <w:p w14:paraId="2F821D6F">
            <w:pPr>
              <w:pStyle w:val="12"/>
            </w:pPr>
            <w:r>
              <w:t>2050204</w:t>
            </w:r>
          </w:p>
        </w:tc>
        <w:tc>
          <w:tcPr>
            <w:tcW w:w="4535" w:type="dxa"/>
            <w:vAlign w:val="center"/>
          </w:tcPr>
          <w:p w14:paraId="6162A804">
            <w:pPr>
              <w:pStyle w:val="12"/>
            </w:pPr>
            <w:r>
              <w:t>高中教育</w:t>
            </w:r>
          </w:p>
        </w:tc>
        <w:tc>
          <w:tcPr>
            <w:tcW w:w="2551" w:type="dxa"/>
            <w:vAlign w:val="center"/>
          </w:tcPr>
          <w:p w14:paraId="611FBB86">
            <w:pPr>
              <w:pStyle w:val="11"/>
            </w:pPr>
            <w:r>
              <w:t>365.77</w:t>
            </w:r>
          </w:p>
        </w:tc>
        <w:tc>
          <w:tcPr>
            <w:tcW w:w="2551" w:type="dxa"/>
            <w:vAlign w:val="center"/>
          </w:tcPr>
          <w:p w14:paraId="48D48CDB">
            <w:pPr>
              <w:pStyle w:val="11"/>
            </w:pPr>
          </w:p>
        </w:tc>
        <w:tc>
          <w:tcPr>
            <w:tcW w:w="2551" w:type="dxa"/>
            <w:vAlign w:val="center"/>
          </w:tcPr>
          <w:p w14:paraId="39661F0C">
            <w:pPr>
              <w:pStyle w:val="11"/>
            </w:pPr>
            <w:r>
              <w:t>365.77</w:t>
            </w:r>
          </w:p>
        </w:tc>
      </w:tr>
      <w:tr w14:paraId="1B1B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A378F">
            <w:pPr>
              <w:pStyle w:val="13"/>
            </w:pPr>
            <w:r>
              <w:t>10</w:t>
            </w:r>
          </w:p>
        </w:tc>
        <w:tc>
          <w:tcPr>
            <w:tcW w:w="1191" w:type="dxa"/>
            <w:vAlign w:val="center"/>
          </w:tcPr>
          <w:p w14:paraId="79DAED39">
            <w:pPr>
              <w:pStyle w:val="12"/>
            </w:pPr>
            <w:r>
              <w:t>2050205</w:t>
            </w:r>
          </w:p>
        </w:tc>
        <w:tc>
          <w:tcPr>
            <w:tcW w:w="4535" w:type="dxa"/>
            <w:vAlign w:val="center"/>
          </w:tcPr>
          <w:p w14:paraId="638EE302">
            <w:pPr>
              <w:pStyle w:val="12"/>
            </w:pPr>
            <w:r>
              <w:t>高等教育</w:t>
            </w:r>
          </w:p>
        </w:tc>
        <w:tc>
          <w:tcPr>
            <w:tcW w:w="2551" w:type="dxa"/>
            <w:vAlign w:val="center"/>
          </w:tcPr>
          <w:p w14:paraId="69B2839C">
            <w:pPr>
              <w:pStyle w:val="11"/>
            </w:pPr>
            <w:r>
              <w:t>4.00</w:t>
            </w:r>
          </w:p>
        </w:tc>
        <w:tc>
          <w:tcPr>
            <w:tcW w:w="2551" w:type="dxa"/>
            <w:vAlign w:val="center"/>
          </w:tcPr>
          <w:p w14:paraId="2FFAEE17">
            <w:pPr>
              <w:pStyle w:val="11"/>
            </w:pPr>
          </w:p>
        </w:tc>
        <w:tc>
          <w:tcPr>
            <w:tcW w:w="2551" w:type="dxa"/>
            <w:vAlign w:val="center"/>
          </w:tcPr>
          <w:p w14:paraId="0C62D011">
            <w:pPr>
              <w:pStyle w:val="11"/>
            </w:pPr>
            <w:r>
              <w:t>4.00</w:t>
            </w:r>
          </w:p>
        </w:tc>
      </w:tr>
      <w:tr w14:paraId="4B88B08F">
        <w:tblPrEx>
          <w:tblCellMar>
            <w:top w:w="0" w:type="dxa"/>
            <w:left w:w="108" w:type="dxa"/>
            <w:bottom w:w="0" w:type="dxa"/>
            <w:right w:w="108" w:type="dxa"/>
          </w:tblCellMar>
        </w:tblPrEx>
        <w:trPr>
          <w:trHeight w:val="369" w:hRule="atLeast"/>
          <w:jc w:val="center"/>
        </w:trPr>
        <w:tc>
          <w:tcPr>
            <w:tcW w:w="850" w:type="dxa"/>
            <w:vAlign w:val="center"/>
          </w:tcPr>
          <w:p w14:paraId="76F41650">
            <w:pPr>
              <w:pStyle w:val="13"/>
            </w:pPr>
            <w:r>
              <w:t>11</w:t>
            </w:r>
          </w:p>
        </w:tc>
        <w:tc>
          <w:tcPr>
            <w:tcW w:w="1191" w:type="dxa"/>
            <w:vAlign w:val="center"/>
          </w:tcPr>
          <w:p w14:paraId="26F5F94A">
            <w:pPr>
              <w:pStyle w:val="12"/>
            </w:pPr>
            <w:r>
              <w:t>2050299</w:t>
            </w:r>
          </w:p>
        </w:tc>
        <w:tc>
          <w:tcPr>
            <w:tcW w:w="4535" w:type="dxa"/>
            <w:vAlign w:val="center"/>
          </w:tcPr>
          <w:p w14:paraId="04BD4513">
            <w:pPr>
              <w:pStyle w:val="12"/>
            </w:pPr>
            <w:r>
              <w:t>其他普通教育支出</w:t>
            </w:r>
          </w:p>
        </w:tc>
        <w:tc>
          <w:tcPr>
            <w:tcW w:w="2551" w:type="dxa"/>
            <w:vAlign w:val="center"/>
          </w:tcPr>
          <w:p w14:paraId="7AF6BCAE">
            <w:pPr>
              <w:pStyle w:val="11"/>
            </w:pPr>
            <w:r>
              <w:t>1106.70</w:t>
            </w:r>
          </w:p>
        </w:tc>
        <w:tc>
          <w:tcPr>
            <w:tcW w:w="2551" w:type="dxa"/>
            <w:vAlign w:val="center"/>
          </w:tcPr>
          <w:p w14:paraId="705F80BD">
            <w:pPr>
              <w:pStyle w:val="11"/>
            </w:pPr>
          </w:p>
        </w:tc>
        <w:tc>
          <w:tcPr>
            <w:tcW w:w="2551" w:type="dxa"/>
            <w:vAlign w:val="center"/>
          </w:tcPr>
          <w:p w14:paraId="328187DC">
            <w:pPr>
              <w:pStyle w:val="11"/>
            </w:pPr>
            <w:r>
              <w:t>1106.70</w:t>
            </w:r>
          </w:p>
        </w:tc>
      </w:tr>
      <w:tr w14:paraId="7A86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5394">
            <w:pPr>
              <w:pStyle w:val="13"/>
            </w:pPr>
            <w:r>
              <w:t>12</w:t>
            </w:r>
          </w:p>
        </w:tc>
        <w:tc>
          <w:tcPr>
            <w:tcW w:w="1191" w:type="dxa"/>
            <w:vAlign w:val="center"/>
          </w:tcPr>
          <w:p w14:paraId="252B310B">
            <w:pPr>
              <w:pStyle w:val="12"/>
            </w:pPr>
            <w:r>
              <w:t>20503</w:t>
            </w:r>
          </w:p>
        </w:tc>
        <w:tc>
          <w:tcPr>
            <w:tcW w:w="4535" w:type="dxa"/>
            <w:vAlign w:val="center"/>
          </w:tcPr>
          <w:p w14:paraId="25172319">
            <w:pPr>
              <w:pStyle w:val="12"/>
            </w:pPr>
            <w:r>
              <w:t>职业教育</w:t>
            </w:r>
          </w:p>
        </w:tc>
        <w:tc>
          <w:tcPr>
            <w:tcW w:w="2551" w:type="dxa"/>
            <w:vAlign w:val="center"/>
          </w:tcPr>
          <w:p w14:paraId="149904DE">
            <w:pPr>
              <w:pStyle w:val="11"/>
            </w:pPr>
            <w:r>
              <w:t>131.76</w:t>
            </w:r>
          </w:p>
        </w:tc>
        <w:tc>
          <w:tcPr>
            <w:tcW w:w="2551" w:type="dxa"/>
            <w:vAlign w:val="center"/>
          </w:tcPr>
          <w:p w14:paraId="7D64B88C">
            <w:pPr>
              <w:pStyle w:val="11"/>
            </w:pPr>
          </w:p>
        </w:tc>
        <w:tc>
          <w:tcPr>
            <w:tcW w:w="2551" w:type="dxa"/>
            <w:vAlign w:val="center"/>
          </w:tcPr>
          <w:p w14:paraId="7E50DB55">
            <w:pPr>
              <w:pStyle w:val="11"/>
            </w:pPr>
            <w:r>
              <w:t>131.76</w:t>
            </w:r>
          </w:p>
        </w:tc>
      </w:tr>
      <w:tr w14:paraId="7D908595">
        <w:tblPrEx>
          <w:tblCellMar>
            <w:top w:w="0" w:type="dxa"/>
            <w:left w:w="108" w:type="dxa"/>
            <w:bottom w:w="0" w:type="dxa"/>
            <w:right w:w="108" w:type="dxa"/>
          </w:tblCellMar>
        </w:tblPrEx>
        <w:trPr>
          <w:trHeight w:val="369" w:hRule="atLeast"/>
          <w:jc w:val="center"/>
        </w:trPr>
        <w:tc>
          <w:tcPr>
            <w:tcW w:w="850" w:type="dxa"/>
            <w:vAlign w:val="center"/>
          </w:tcPr>
          <w:p w14:paraId="6EDCEE20">
            <w:pPr>
              <w:pStyle w:val="13"/>
            </w:pPr>
            <w:r>
              <w:t>13</w:t>
            </w:r>
          </w:p>
        </w:tc>
        <w:tc>
          <w:tcPr>
            <w:tcW w:w="1191" w:type="dxa"/>
            <w:vAlign w:val="center"/>
          </w:tcPr>
          <w:p w14:paraId="7C6B3FD1">
            <w:pPr>
              <w:pStyle w:val="12"/>
            </w:pPr>
            <w:r>
              <w:t>2050302</w:t>
            </w:r>
          </w:p>
        </w:tc>
        <w:tc>
          <w:tcPr>
            <w:tcW w:w="4535" w:type="dxa"/>
            <w:vAlign w:val="center"/>
          </w:tcPr>
          <w:p w14:paraId="4F744D8C">
            <w:pPr>
              <w:pStyle w:val="12"/>
            </w:pPr>
            <w:r>
              <w:t>中等职业教育</w:t>
            </w:r>
          </w:p>
        </w:tc>
        <w:tc>
          <w:tcPr>
            <w:tcW w:w="2551" w:type="dxa"/>
            <w:vAlign w:val="center"/>
          </w:tcPr>
          <w:p w14:paraId="11BD46A3">
            <w:pPr>
              <w:pStyle w:val="11"/>
            </w:pPr>
            <w:r>
              <w:t>131.76</w:t>
            </w:r>
          </w:p>
        </w:tc>
        <w:tc>
          <w:tcPr>
            <w:tcW w:w="2551" w:type="dxa"/>
            <w:vAlign w:val="center"/>
          </w:tcPr>
          <w:p w14:paraId="41B3FA4A">
            <w:pPr>
              <w:pStyle w:val="11"/>
            </w:pPr>
          </w:p>
        </w:tc>
        <w:tc>
          <w:tcPr>
            <w:tcW w:w="2551" w:type="dxa"/>
            <w:vAlign w:val="center"/>
          </w:tcPr>
          <w:p w14:paraId="1E65BFB3">
            <w:pPr>
              <w:pStyle w:val="11"/>
            </w:pPr>
            <w:r>
              <w:t>131.76</w:t>
            </w:r>
          </w:p>
        </w:tc>
      </w:tr>
      <w:tr w14:paraId="60701755">
        <w:tblPrEx>
          <w:tblCellMar>
            <w:top w:w="0" w:type="dxa"/>
            <w:left w:w="108" w:type="dxa"/>
            <w:bottom w:w="0" w:type="dxa"/>
            <w:right w:w="108" w:type="dxa"/>
          </w:tblCellMar>
        </w:tblPrEx>
        <w:trPr>
          <w:trHeight w:val="369" w:hRule="atLeast"/>
          <w:jc w:val="center"/>
        </w:trPr>
        <w:tc>
          <w:tcPr>
            <w:tcW w:w="850" w:type="dxa"/>
            <w:vAlign w:val="center"/>
          </w:tcPr>
          <w:p w14:paraId="0D59A10D">
            <w:pPr>
              <w:pStyle w:val="13"/>
            </w:pPr>
            <w:r>
              <w:t>14</w:t>
            </w:r>
          </w:p>
        </w:tc>
        <w:tc>
          <w:tcPr>
            <w:tcW w:w="1191" w:type="dxa"/>
            <w:vAlign w:val="center"/>
          </w:tcPr>
          <w:p w14:paraId="54E1F84A">
            <w:pPr>
              <w:pStyle w:val="12"/>
            </w:pPr>
            <w:r>
              <w:t>208</w:t>
            </w:r>
          </w:p>
        </w:tc>
        <w:tc>
          <w:tcPr>
            <w:tcW w:w="4535" w:type="dxa"/>
            <w:vAlign w:val="center"/>
          </w:tcPr>
          <w:p w14:paraId="524A5EFF">
            <w:pPr>
              <w:pStyle w:val="12"/>
            </w:pPr>
            <w:r>
              <w:t>社会保障和就业支出</w:t>
            </w:r>
          </w:p>
        </w:tc>
        <w:tc>
          <w:tcPr>
            <w:tcW w:w="2551" w:type="dxa"/>
            <w:vAlign w:val="center"/>
          </w:tcPr>
          <w:p w14:paraId="460C62B9">
            <w:pPr>
              <w:pStyle w:val="11"/>
            </w:pPr>
            <w:r>
              <w:t>21.14</w:t>
            </w:r>
          </w:p>
        </w:tc>
        <w:tc>
          <w:tcPr>
            <w:tcW w:w="2551" w:type="dxa"/>
            <w:vAlign w:val="center"/>
          </w:tcPr>
          <w:p w14:paraId="026C67BF">
            <w:pPr>
              <w:pStyle w:val="11"/>
            </w:pPr>
            <w:r>
              <w:t>21.14</w:t>
            </w:r>
          </w:p>
        </w:tc>
        <w:tc>
          <w:tcPr>
            <w:tcW w:w="2551" w:type="dxa"/>
            <w:vAlign w:val="center"/>
          </w:tcPr>
          <w:p w14:paraId="1A985D82">
            <w:pPr>
              <w:pStyle w:val="11"/>
            </w:pPr>
          </w:p>
        </w:tc>
      </w:tr>
      <w:tr w14:paraId="42C5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E8CA2">
            <w:pPr>
              <w:pStyle w:val="13"/>
            </w:pPr>
            <w:r>
              <w:t>15</w:t>
            </w:r>
          </w:p>
        </w:tc>
        <w:tc>
          <w:tcPr>
            <w:tcW w:w="1191" w:type="dxa"/>
            <w:vAlign w:val="center"/>
          </w:tcPr>
          <w:p w14:paraId="6B2C84C0">
            <w:pPr>
              <w:pStyle w:val="12"/>
            </w:pPr>
            <w:r>
              <w:t>20805</w:t>
            </w:r>
          </w:p>
        </w:tc>
        <w:tc>
          <w:tcPr>
            <w:tcW w:w="4535" w:type="dxa"/>
            <w:vAlign w:val="center"/>
          </w:tcPr>
          <w:p w14:paraId="273BA027">
            <w:pPr>
              <w:pStyle w:val="12"/>
            </w:pPr>
            <w:r>
              <w:t>行政事业单位养老支出</w:t>
            </w:r>
          </w:p>
        </w:tc>
        <w:tc>
          <w:tcPr>
            <w:tcW w:w="2551" w:type="dxa"/>
            <w:vAlign w:val="center"/>
          </w:tcPr>
          <w:p w14:paraId="239D28E3">
            <w:pPr>
              <w:pStyle w:val="11"/>
            </w:pPr>
            <w:r>
              <w:t>21.14</w:t>
            </w:r>
          </w:p>
        </w:tc>
        <w:tc>
          <w:tcPr>
            <w:tcW w:w="2551" w:type="dxa"/>
            <w:vAlign w:val="center"/>
          </w:tcPr>
          <w:p w14:paraId="545594E4">
            <w:pPr>
              <w:pStyle w:val="11"/>
            </w:pPr>
            <w:r>
              <w:t>21.14</w:t>
            </w:r>
          </w:p>
        </w:tc>
        <w:tc>
          <w:tcPr>
            <w:tcW w:w="2551" w:type="dxa"/>
            <w:vAlign w:val="center"/>
          </w:tcPr>
          <w:p w14:paraId="340C8F30">
            <w:pPr>
              <w:pStyle w:val="11"/>
            </w:pPr>
          </w:p>
        </w:tc>
      </w:tr>
      <w:tr w14:paraId="3D24A685">
        <w:tblPrEx>
          <w:tblCellMar>
            <w:top w:w="0" w:type="dxa"/>
            <w:left w:w="108" w:type="dxa"/>
            <w:bottom w:w="0" w:type="dxa"/>
            <w:right w:w="108" w:type="dxa"/>
          </w:tblCellMar>
        </w:tblPrEx>
        <w:trPr>
          <w:trHeight w:val="369" w:hRule="atLeast"/>
          <w:jc w:val="center"/>
        </w:trPr>
        <w:tc>
          <w:tcPr>
            <w:tcW w:w="850" w:type="dxa"/>
            <w:vAlign w:val="center"/>
          </w:tcPr>
          <w:p w14:paraId="703279AE">
            <w:pPr>
              <w:pStyle w:val="13"/>
            </w:pPr>
            <w:r>
              <w:t>16</w:t>
            </w:r>
          </w:p>
        </w:tc>
        <w:tc>
          <w:tcPr>
            <w:tcW w:w="1191" w:type="dxa"/>
            <w:vAlign w:val="center"/>
          </w:tcPr>
          <w:p w14:paraId="183758C9">
            <w:pPr>
              <w:pStyle w:val="12"/>
            </w:pPr>
            <w:r>
              <w:t>2080505</w:t>
            </w:r>
          </w:p>
        </w:tc>
        <w:tc>
          <w:tcPr>
            <w:tcW w:w="4535" w:type="dxa"/>
            <w:vAlign w:val="center"/>
          </w:tcPr>
          <w:p w14:paraId="45D7A05F">
            <w:pPr>
              <w:pStyle w:val="12"/>
            </w:pPr>
            <w:r>
              <w:t>机关事业单位基本养老保险缴费支出</w:t>
            </w:r>
          </w:p>
        </w:tc>
        <w:tc>
          <w:tcPr>
            <w:tcW w:w="2551" w:type="dxa"/>
            <w:vAlign w:val="center"/>
          </w:tcPr>
          <w:p w14:paraId="00FC905B">
            <w:pPr>
              <w:pStyle w:val="11"/>
            </w:pPr>
            <w:r>
              <w:t>21.14</w:t>
            </w:r>
          </w:p>
        </w:tc>
        <w:tc>
          <w:tcPr>
            <w:tcW w:w="2551" w:type="dxa"/>
            <w:vAlign w:val="center"/>
          </w:tcPr>
          <w:p w14:paraId="04817EF5">
            <w:pPr>
              <w:pStyle w:val="11"/>
            </w:pPr>
            <w:r>
              <w:t>21.14</w:t>
            </w:r>
          </w:p>
        </w:tc>
        <w:tc>
          <w:tcPr>
            <w:tcW w:w="2551" w:type="dxa"/>
            <w:vAlign w:val="center"/>
          </w:tcPr>
          <w:p w14:paraId="01856C24">
            <w:pPr>
              <w:pStyle w:val="11"/>
            </w:pPr>
          </w:p>
        </w:tc>
      </w:tr>
      <w:tr w14:paraId="27C23354">
        <w:tblPrEx>
          <w:tblCellMar>
            <w:top w:w="0" w:type="dxa"/>
            <w:left w:w="108" w:type="dxa"/>
            <w:bottom w:w="0" w:type="dxa"/>
            <w:right w:w="108" w:type="dxa"/>
          </w:tblCellMar>
        </w:tblPrEx>
        <w:trPr>
          <w:trHeight w:val="369" w:hRule="atLeast"/>
          <w:jc w:val="center"/>
        </w:trPr>
        <w:tc>
          <w:tcPr>
            <w:tcW w:w="850" w:type="dxa"/>
            <w:vAlign w:val="center"/>
          </w:tcPr>
          <w:p w14:paraId="67F9ADB5">
            <w:pPr>
              <w:pStyle w:val="13"/>
            </w:pPr>
            <w:r>
              <w:t>17</w:t>
            </w:r>
          </w:p>
        </w:tc>
        <w:tc>
          <w:tcPr>
            <w:tcW w:w="1191" w:type="dxa"/>
            <w:vAlign w:val="center"/>
          </w:tcPr>
          <w:p w14:paraId="3B7BD826">
            <w:pPr>
              <w:pStyle w:val="12"/>
            </w:pPr>
            <w:r>
              <w:t>210</w:t>
            </w:r>
          </w:p>
        </w:tc>
        <w:tc>
          <w:tcPr>
            <w:tcW w:w="4535" w:type="dxa"/>
            <w:vAlign w:val="center"/>
          </w:tcPr>
          <w:p w14:paraId="697F9373">
            <w:pPr>
              <w:pStyle w:val="12"/>
            </w:pPr>
            <w:r>
              <w:t>卫生健康支出</w:t>
            </w:r>
          </w:p>
        </w:tc>
        <w:tc>
          <w:tcPr>
            <w:tcW w:w="2551" w:type="dxa"/>
            <w:vAlign w:val="center"/>
          </w:tcPr>
          <w:p w14:paraId="7F43A82D">
            <w:pPr>
              <w:pStyle w:val="11"/>
            </w:pPr>
            <w:r>
              <w:t>9.58</w:t>
            </w:r>
          </w:p>
        </w:tc>
        <w:tc>
          <w:tcPr>
            <w:tcW w:w="2551" w:type="dxa"/>
            <w:vAlign w:val="center"/>
          </w:tcPr>
          <w:p w14:paraId="144795F3">
            <w:pPr>
              <w:pStyle w:val="11"/>
            </w:pPr>
            <w:r>
              <w:t>9.58</w:t>
            </w:r>
          </w:p>
        </w:tc>
        <w:tc>
          <w:tcPr>
            <w:tcW w:w="2551" w:type="dxa"/>
            <w:vAlign w:val="center"/>
          </w:tcPr>
          <w:p w14:paraId="5E5A4C91">
            <w:pPr>
              <w:pStyle w:val="11"/>
            </w:pPr>
          </w:p>
        </w:tc>
      </w:tr>
      <w:tr w14:paraId="074C28C7">
        <w:tblPrEx>
          <w:tblCellMar>
            <w:top w:w="0" w:type="dxa"/>
            <w:left w:w="108" w:type="dxa"/>
            <w:bottom w:w="0" w:type="dxa"/>
            <w:right w:w="108" w:type="dxa"/>
          </w:tblCellMar>
        </w:tblPrEx>
        <w:trPr>
          <w:trHeight w:val="369" w:hRule="atLeast"/>
          <w:jc w:val="center"/>
        </w:trPr>
        <w:tc>
          <w:tcPr>
            <w:tcW w:w="850" w:type="dxa"/>
            <w:vAlign w:val="center"/>
          </w:tcPr>
          <w:p w14:paraId="0B43DD16">
            <w:pPr>
              <w:pStyle w:val="13"/>
            </w:pPr>
            <w:r>
              <w:t>18</w:t>
            </w:r>
          </w:p>
        </w:tc>
        <w:tc>
          <w:tcPr>
            <w:tcW w:w="1191" w:type="dxa"/>
            <w:vAlign w:val="center"/>
          </w:tcPr>
          <w:p w14:paraId="1731DA1B">
            <w:pPr>
              <w:pStyle w:val="12"/>
            </w:pPr>
            <w:r>
              <w:t>21011</w:t>
            </w:r>
          </w:p>
        </w:tc>
        <w:tc>
          <w:tcPr>
            <w:tcW w:w="4535" w:type="dxa"/>
            <w:vAlign w:val="center"/>
          </w:tcPr>
          <w:p w14:paraId="10F2BFE1">
            <w:pPr>
              <w:pStyle w:val="12"/>
            </w:pPr>
            <w:r>
              <w:t>行政事业单位医疗</w:t>
            </w:r>
          </w:p>
        </w:tc>
        <w:tc>
          <w:tcPr>
            <w:tcW w:w="2551" w:type="dxa"/>
            <w:vAlign w:val="center"/>
          </w:tcPr>
          <w:p w14:paraId="53D7810D">
            <w:pPr>
              <w:pStyle w:val="11"/>
            </w:pPr>
            <w:r>
              <w:t>9.58</w:t>
            </w:r>
          </w:p>
        </w:tc>
        <w:tc>
          <w:tcPr>
            <w:tcW w:w="2551" w:type="dxa"/>
            <w:vAlign w:val="center"/>
          </w:tcPr>
          <w:p w14:paraId="280D1980">
            <w:pPr>
              <w:pStyle w:val="11"/>
            </w:pPr>
            <w:r>
              <w:t>9.58</w:t>
            </w:r>
          </w:p>
        </w:tc>
        <w:tc>
          <w:tcPr>
            <w:tcW w:w="2551" w:type="dxa"/>
            <w:vAlign w:val="center"/>
          </w:tcPr>
          <w:p w14:paraId="2395D3C5">
            <w:pPr>
              <w:pStyle w:val="11"/>
            </w:pPr>
          </w:p>
        </w:tc>
      </w:tr>
      <w:tr w14:paraId="218E44E0">
        <w:tblPrEx>
          <w:tblCellMar>
            <w:top w:w="0" w:type="dxa"/>
            <w:left w:w="108" w:type="dxa"/>
            <w:bottom w:w="0" w:type="dxa"/>
            <w:right w:w="108" w:type="dxa"/>
          </w:tblCellMar>
        </w:tblPrEx>
        <w:trPr>
          <w:trHeight w:val="369" w:hRule="atLeast"/>
          <w:jc w:val="center"/>
        </w:trPr>
        <w:tc>
          <w:tcPr>
            <w:tcW w:w="850" w:type="dxa"/>
            <w:vAlign w:val="center"/>
          </w:tcPr>
          <w:p w14:paraId="2DEC8E22">
            <w:pPr>
              <w:pStyle w:val="13"/>
            </w:pPr>
            <w:r>
              <w:t>19</w:t>
            </w:r>
          </w:p>
        </w:tc>
        <w:tc>
          <w:tcPr>
            <w:tcW w:w="1191" w:type="dxa"/>
            <w:vAlign w:val="center"/>
          </w:tcPr>
          <w:p w14:paraId="5398F80F">
            <w:pPr>
              <w:pStyle w:val="12"/>
            </w:pPr>
            <w:r>
              <w:t>2101101</w:t>
            </w:r>
          </w:p>
        </w:tc>
        <w:tc>
          <w:tcPr>
            <w:tcW w:w="4535" w:type="dxa"/>
            <w:vAlign w:val="center"/>
          </w:tcPr>
          <w:p w14:paraId="3A8CA0A3">
            <w:pPr>
              <w:pStyle w:val="12"/>
            </w:pPr>
            <w:r>
              <w:t>行政单位医疗</w:t>
            </w:r>
          </w:p>
        </w:tc>
        <w:tc>
          <w:tcPr>
            <w:tcW w:w="2551" w:type="dxa"/>
            <w:vAlign w:val="center"/>
          </w:tcPr>
          <w:p w14:paraId="19967C54">
            <w:pPr>
              <w:pStyle w:val="11"/>
            </w:pPr>
            <w:r>
              <w:t>9.58</w:t>
            </w:r>
          </w:p>
        </w:tc>
        <w:tc>
          <w:tcPr>
            <w:tcW w:w="2551" w:type="dxa"/>
            <w:vAlign w:val="center"/>
          </w:tcPr>
          <w:p w14:paraId="2244D3CB">
            <w:pPr>
              <w:pStyle w:val="11"/>
            </w:pPr>
            <w:r>
              <w:t>9.58</w:t>
            </w:r>
          </w:p>
        </w:tc>
        <w:tc>
          <w:tcPr>
            <w:tcW w:w="2551" w:type="dxa"/>
            <w:vAlign w:val="center"/>
          </w:tcPr>
          <w:p w14:paraId="52D4C678">
            <w:pPr>
              <w:pStyle w:val="11"/>
            </w:pPr>
          </w:p>
        </w:tc>
      </w:tr>
      <w:tr w14:paraId="2945F548">
        <w:tblPrEx>
          <w:tblCellMar>
            <w:top w:w="0" w:type="dxa"/>
            <w:left w:w="108" w:type="dxa"/>
            <w:bottom w:w="0" w:type="dxa"/>
            <w:right w:w="108" w:type="dxa"/>
          </w:tblCellMar>
        </w:tblPrEx>
        <w:trPr>
          <w:trHeight w:val="369" w:hRule="atLeast"/>
          <w:jc w:val="center"/>
        </w:trPr>
        <w:tc>
          <w:tcPr>
            <w:tcW w:w="850" w:type="dxa"/>
            <w:vAlign w:val="center"/>
          </w:tcPr>
          <w:p w14:paraId="77F5BAC8">
            <w:pPr>
              <w:pStyle w:val="13"/>
            </w:pPr>
            <w:r>
              <w:t>20</w:t>
            </w:r>
          </w:p>
        </w:tc>
        <w:tc>
          <w:tcPr>
            <w:tcW w:w="1191" w:type="dxa"/>
            <w:vAlign w:val="center"/>
          </w:tcPr>
          <w:p w14:paraId="6DFA7712">
            <w:pPr>
              <w:pStyle w:val="12"/>
            </w:pPr>
            <w:r>
              <w:t>221</w:t>
            </w:r>
          </w:p>
        </w:tc>
        <w:tc>
          <w:tcPr>
            <w:tcW w:w="4535" w:type="dxa"/>
            <w:vAlign w:val="center"/>
          </w:tcPr>
          <w:p w14:paraId="64A5A108">
            <w:pPr>
              <w:pStyle w:val="12"/>
            </w:pPr>
            <w:r>
              <w:t>住房保障支出</w:t>
            </w:r>
          </w:p>
        </w:tc>
        <w:tc>
          <w:tcPr>
            <w:tcW w:w="2551" w:type="dxa"/>
            <w:vAlign w:val="center"/>
          </w:tcPr>
          <w:p w14:paraId="5E7FED11">
            <w:pPr>
              <w:pStyle w:val="11"/>
            </w:pPr>
            <w:r>
              <w:t>16.14</w:t>
            </w:r>
          </w:p>
        </w:tc>
        <w:tc>
          <w:tcPr>
            <w:tcW w:w="2551" w:type="dxa"/>
            <w:vAlign w:val="center"/>
          </w:tcPr>
          <w:p w14:paraId="1DE667DF">
            <w:pPr>
              <w:pStyle w:val="11"/>
            </w:pPr>
            <w:r>
              <w:t>16.14</w:t>
            </w:r>
          </w:p>
        </w:tc>
        <w:tc>
          <w:tcPr>
            <w:tcW w:w="2551" w:type="dxa"/>
            <w:vAlign w:val="center"/>
          </w:tcPr>
          <w:p w14:paraId="76199AD2">
            <w:pPr>
              <w:pStyle w:val="11"/>
            </w:pPr>
          </w:p>
        </w:tc>
      </w:tr>
      <w:tr w14:paraId="4DA7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50C7">
            <w:pPr>
              <w:pStyle w:val="13"/>
            </w:pPr>
            <w:r>
              <w:t>21</w:t>
            </w:r>
          </w:p>
        </w:tc>
        <w:tc>
          <w:tcPr>
            <w:tcW w:w="1191" w:type="dxa"/>
            <w:vAlign w:val="center"/>
          </w:tcPr>
          <w:p w14:paraId="3BE02541">
            <w:pPr>
              <w:pStyle w:val="12"/>
            </w:pPr>
            <w:r>
              <w:t>22102</w:t>
            </w:r>
          </w:p>
        </w:tc>
        <w:tc>
          <w:tcPr>
            <w:tcW w:w="4535" w:type="dxa"/>
            <w:vAlign w:val="center"/>
          </w:tcPr>
          <w:p w14:paraId="3851E916">
            <w:pPr>
              <w:pStyle w:val="12"/>
            </w:pPr>
            <w:r>
              <w:t>住房改革支出</w:t>
            </w:r>
          </w:p>
        </w:tc>
        <w:tc>
          <w:tcPr>
            <w:tcW w:w="2551" w:type="dxa"/>
            <w:vAlign w:val="center"/>
          </w:tcPr>
          <w:p w14:paraId="0BB5F1AC">
            <w:pPr>
              <w:pStyle w:val="11"/>
            </w:pPr>
            <w:r>
              <w:t>16.14</w:t>
            </w:r>
          </w:p>
        </w:tc>
        <w:tc>
          <w:tcPr>
            <w:tcW w:w="2551" w:type="dxa"/>
            <w:vAlign w:val="center"/>
          </w:tcPr>
          <w:p w14:paraId="6F1F1BAD">
            <w:pPr>
              <w:pStyle w:val="11"/>
            </w:pPr>
            <w:r>
              <w:t>16.14</w:t>
            </w:r>
          </w:p>
        </w:tc>
        <w:tc>
          <w:tcPr>
            <w:tcW w:w="2551" w:type="dxa"/>
            <w:vAlign w:val="center"/>
          </w:tcPr>
          <w:p w14:paraId="51903AD1">
            <w:pPr>
              <w:pStyle w:val="11"/>
            </w:pPr>
          </w:p>
        </w:tc>
      </w:tr>
      <w:tr w14:paraId="249B47FD">
        <w:tblPrEx>
          <w:tblCellMar>
            <w:top w:w="0" w:type="dxa"/>
            <w:left w:w="108" w:type="dxa"/>
            <w:bottom w:w="0" w:type="dxa"/>
            <w:right w:w="108" w:type="dxa"/>
          </w:tblCellMar>
        </w:tblPrEx>
        <w:trPr>
          <w:trHeight w:val="369" w:hRule="atLeast"/>
          <w:jc w:val="center"/>
        </w:trPr>
        <w:tc>
          <w:tcPr>
            <w:tcW w:w="850" w:type="dxa"/>
            <w:vAlign w:val="center"/>
          </w:tcPr>
          <w:p w14:paraId="69A7E4F5">
            <w:pPr>
              <w:pStyle w:val="13"/>
            </w:pPr>
            <w:r>
              <w:t>22</w:t>
            </w:r>
          </w:p>
        </w:tc>
        <w:tc>
          <w:tcPr>
            <w:tcW w:w="1191" w:type="dxa"/>
            <w:vAlign w:val="center"/>
          </w:tcPr>
          <w:p w14:paraId="244BAA98">
            <w:pPr>
              <w:pStyle w:val="12"/>
            </w:pPr>
            <w:r>
              <w:t>2210201</w:t>
            </w:r>
          </w:p>
        </w:tc>
        <w:tc>
          <w:tcPr>
            <w:tcW w:w="4535" w:type="dxa"/>
            <w:vAlign w:val="center"/>
          </w:tcPr>
          <w:p w14:paraId="0F8465E2">
            <w:pPr>
              <w:pStyle w:val="12"/>
            </w:pPr>
            <w:r>
              <w:t>住房公积金</w:t>
            </w:r>
          </w:p>
        </w:tc>
        <w:tc>
          <w:tcPr>
            <w:tcW w:w="2551" w:type="dxa"/>
            <w:vAlign w:val="center"/>
          </w:tcPr>
          <w:p w14:paraId="187A57CA">
            <w:pPr>
              <w:pStyle w:val="11"/>
            </w:pPr>
            <w:r>
              <w:t>16.14</w:t>
            </w:r>
          </w:p>
        </w:tc>
        <w:tc>
          <w:tcPr>
            <w:tcW w:w="2551" w:type="dxa"/>
            <w:vAlign w:val="center"/>
          </w:tcPr>
          <w:p w14:paraId="3A769A80">
            <w:pPr>
              <w:pStyle w:val="11"/>
            </w:pPr>
            <w:r>
              <w:t>16.14</w:t>
            </w:r>
          </w:p>
        </w:tc>
        <w:tc>
          <w:tcPr>
            <w:tcW w:w="2551" w:type="dxa"/>
            <w:vAlign w:val="center"/>
          </w:tcPr>
          <w:p w14:paraId="50FCB315">
            <w:pPr>
              <w:pStyle w:val="11"/>
            </w:pPr>
          </w:p>
        </w:tc>
      </w:tr>
    </w:tbl>
    <w:p w14:paraId="4B38102F">
      <w:pPr>
        <w:sectPr>
          <w:pgSz w:w="16840" w:h="11900" w:orient="landscape"/>
          <w:pgMar w:top="1361" w:right="1020" w:bottom="1134" w:left="1020" w:header="720" w:footer="720" w:gutter="0"/>
          <w:cols w:space="720" w:num="1"/>
        </w:sectPr>
      </w:pPr>
    </w:p>
    <w:p w14:paraId="19947D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0D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0BDF16">
            <w:pPr>
              <w:pStyle w:val="9"/>
            </w:pPr>
            <w:r>
              <w:t>360001隆尧县教育局本级</w:t>
            </w:r>
          </w:p>
        </w:tc>
        <w:tc>
          <w:tcPr>
            <w:tcW w:w="2551" w:type="dxa"/>
            <w:tcBorders>
              <w:top w:val="single" w:color="FFFFFF" w:sz="6" w:space="0"/>
              <w:left w:val="single" w:color="FFFFFF" w:sz="6" w:space="0"/>
              <w:right w:val="single" w:color="FFFFFF" w:sz="6" w:space="0"/>
            </w:tcBorders>
            <w:vAlign w:val="center"/>
          </w:tcPr>
          <w:p w14:paraId="470DB7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4BC879">
            <w:pPr>
              <w:pStyle w:val="7"/>
            </w:pPr>
            <w:r>
              <w:t>单位：万元</w:t>
            </w:r>
          </w:p>
        </w:tc>
      </w:tr>
      <w:tr w14:paraId="189ED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85E5D">
            <w:pPr>
              <w:pStyle w:val="10"/>
            </w:pPr>
            <w:r>
              <w:t>序号</w:t>
            </w:r>
          </w:p>
        </w:tc>
        <w:tc>
          <w:tcPr>
            <w:tcW w:w="5726" w:type="dxa"/>
            <w:gridSpan w:val="2"/>
            <w:vAlign w:val="center"/>
          </w:tcPr>
          <w:p w14:paraId="1701C2D4">
            <w:pPr>
              <w:pStyle w:val="10"/>
            </w:pPr>
            <w:r>
              <w:t>支出部门经济分类科目</w:t>
            </w:r>
          </w:p>
        </w:tc>
        <w:tc>
          <w:tcPr>
            <w:tcW w:w="7653" w:type="dxa"/>
            <w:gridSpan w:val="3"/>
            <w:vAlign w:val="center"/>
          </w:tcPr>
          <w:p w14:paraId="174ED0B2">
            <w:pPr>
              <w:pStyle w:val="10"/>
            </w:pPr>
            <w:r>
              <w:t>一般公共预算基本支出</w:t>
            </w:r>
          </w:p>
        </w:tc>
      </w:tr>
      <w:tr w14:paraId="33E8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EDDF19"/>
        </w:tc>
        <w:tc>
          <w:tcPr>
            <w:tcW w:w="1191" w:type="dxa"/>
            <w:vAlign w:val="center"/>
          </w:tcPr>
          <w:p w14:paraId="442F6B36">
            <w:pPr>
              <w:pStyle w:val="10"/>
            </w:pPr>
            <w:r>
              <w:t>科目编码</w:t>
            </w:r>
          </w:p>
        </w:tc>
        <w:tc>
          <w:tcPr>
            <w:tcW w:w="4535" w:type="dxa"/>
            <w:vAlign w:val="center"/>
          </w:tcPr>
          <w:p w14:paraId="06CCD9F7">
            <w:pPr>
              <w:pStyle w:val="10"/>
            </w:pPr>
            <w:r>
              <w:t>科目名称</w:t>
            </w:r>
          </w:p>
        </w:tc>
        <w:tc>
          <w:tcPr>
            <w:tcW w:w="2551" w:type="dxa"/>
            <w:vAlign w:val="center"/>
          </w:tcPr>
          <w:p w14:paraId="47888AB2">
            <w:pPr>
              <w:pStyle w:val="10"/>
            </w:pPr>
            <w:r>
              <w:t>合计</w:t>
            </w:r>
          </w:p>
        </w:tc>
        <w:tc>
          <w:tcPr>
            <w:tcW w:w="2551" w:type="dxa"/>
            <w:vAlign w:val="center"/>
          </w:tcPr>
          <w:p w14:paraId="25AA6761">
            <w:pPr>
              <w:pStyle w:val="10"/>
            </w:pPr>
            <w:r>
              <w:t>人员经费</w:t>
            </w:r>
          </w:p>
        </w:tc>
        <w:tc>
          <w:tcPr>
            <w:tcW w:w="2551" w:type="dxa"/>
            <w:vAlign w:val="center"/>
          </w:tcPr>
          <w:p w14:paraId="6C77A2AC">
            <w:pPr>
              <w:pStyle w:val="10"/>
            </w:pPr>
            <w:r>
              <w:t>公用经费</w:t>
            </w:r>
          </w:p>
        </w:tc>
      </w:tr>
      <w:tr w14:paraId="48DD1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D60C0">
            <w:pPr>
              <w:pStyle w:val="10"/>
            </w:pPr>
            <w:r>
              <w:t>栏次</w:t>
            </w:r>
          </w:p>
        </w:tc>
        <w:tc>
          <w:tcPr>
            <w:tcW w:w="1191" w:type="dxa"/>
            <w:vAlign w:val="center"/>
          </w:tcPr>
          <w:p w14:paraId="24A26D68">
            <w:pPr>
              <w:pStyle w:val="10"/>
            </w:pPr>
            <w:r>
              <w:t>1</w:t>
            </w:r>
          </w:p>
        </w:tc>
        <w:tc>
          <w:tcPr>
            <w:tcW w:w="4535" w:type="dxa"/>
            <w:vAlign w:val="center"/>
          </w:tcPr>
          <w:p w14:paraId="226AE658">
            <w:pPr>
              <w:pStyle w:val="10"/>
            </w:pPr>
            <w:r>
              <w:t>2</w:t>
            </w:r>
          </w:p>
        </w:tc>
        <w:tc>
          <w:tcPr>
            <w:tcW w:w="2551" w:type="dxa"/>
            <w:vAlign w:val="center"/>
          </w:tcPr>
          <w:p w14:paraId="7C2753CA">
            <w:pPr>
              <w:pStyle w:val="10"/>
            </w:pPr>
            <w:r>
              <w:t>3</w:t>
            </w:r>
          </w:p>
        </w:tc>
        <w:tc>
          <w:tcPr>
            <w:tcW w:w="2551" w:type="dxa"/>
            <w:vAlign w:val="center"/>
          </w:tcPr>
          <w:p w14:paraId="13CDE461">
            <w:pPr>
              <w:pStyle w:val="10"/>
            </w:pPr>
            <w:r>
              <w:t>4</w:t>
            </w:r>
          </w:p>
        </w:tc>
        <w:tc>
          <w:tcPr>
            <w:tcW w:w="2551" w:type="dxa"/>
            <w:vAlign w:val="center"/>
          </w:tcPr>
          <w:p w14:paraId="0605E193">
            <w:pPr>
              <w:pStyle w:val="10"/>
            </w:pPr>
            <w:r>
              <w:t>5</w:t>
            </w:r>
          </w:p>
        </w:tc>
      </w:tr>
      <w:tr w14:paraId="652B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8C24C">
            <w:pPr>
              <w:pStyle w:val="13"/>
            </w:pPr>
            <w:r>
              <w:t>1</w:t>
            </w:r>
          </w:p>
        </w:tc>
        <w:tc>
          <w:tcPr>
            <w:tcW w:w="1191" w:type="dxa"/>
            <w:vAlign w:val="center"/>
          </w:tcPr>
          <w:p w14:paraId="7BE6138A">
            <w:pPr>
              <w:pStyle w:val="16"/>
            </w:pPr>
          </w:p>
        </w:tc>
        <w:tc>
          <w:tcPr>
            <w:tcW w:w="4535" w:type="dxa"/>
            <w:vAlign w:val="center"/>
          </w:tcPr>
          <w:p w14:paraId="458A75B2">
            <w:pPr>
              <w:pStyle w:val="14"/>
            </w:pPr>
            <w:r>
              <w:t>合计</w:t>
            </w:r>
          </w:p>
        </w:tc>
        <w:tc>
          <w:tcPr>
            <w:tcW w:w="2551" w:type="dxa"/>
            <w:vAlign w:val="center"/>
          </w:tcPr>
          <w:p w14:paraId="63E10A47">
            <w:pPr>
              <w:pStyle w:val="15"/>
            </w:pPr>
            <w:r>
              <w:t>294.35</w:t>
            </w:r>
          </w:p>
        </w:tc>
        <w:tc>
          <w:tcPr>
            <w:tcW w:w="2551" w:type="dxa"/>
            <w:vAlign w:val="center"/>
          </w:tcPr>
          <w:p w14:paraId="47548A92">
            <w:pPr>
              <w:pStyle w:val="15"/>
            </w:pPr>
            <w:r>
              <w:t>233.67</w:t>
            </w:r>
          </w:p>
        </w:tc>
        <w:tc>
          <w:tcPr>
            <w:tcW w:w="2551" w:type="dxa"/>
            <w:vAlign w:val="center"/>
          </w:tcPr>
          <w:p w14:paraId="1E4A6DC6">
            <w:pPr>
              <w:pStyle w:val="15"/>
            </w:pPr>
            <w:r>
              <w:t>60.68</w:t>
            </w:r>
          </w:p>
        </w:tc>
      </w:tr>
      <w:tr w14:paraId="4BB343AB">
        <w:tblPrEx>
          <w:tblCellMar>
            <w:top w:w="0" w:type="dxa"/>
            <w:left w:w="108" w:type="dxa"/>
            <w:bottom w:w="0" w:type="dxa"/>
            <w:right w:w="108" w:type="dxa"/>
          </w:tblCellMar>
        </w:tblPrEx>
        <w:trPr>
          <w:trHeight w:val="369" w:hRule="atLeast"/>
          <w:jc w:val="center"/>
        </w:trPr>
        <w:tc>
          <w:tcPr>
            <w:tcW w:w="850" w:type="dxa"/>
            <w:vAlign w:val="center"/>
          </w:tcPr>
          <w:p w14:paraId="0C95CC32">
            <w:pPr>
              <w:pStyle w:val="13"/>
            </w:pPr>
            <w:r>
              <w:t>2</w:t>
            </w:r>
          </w:p>
        </w:tc>
        <w:tc>
          <w:tcPr>
            <w:tcW w:w="1191" w:type="dxa"/>
            <w:vAlign w:val="center"/>
          </w:tcPr>
          <w:p w14:paraId="20A53A78">
            <w:pPr>
              <w:pStyle w:val="12"/>
            </w:pPr>
            <w:r>
              <w:t>301</w:t>
            </w:r>
          </w:p>
        </w:tc>
        <w:tc>
          <w:tcPr>
            <w:tcW w:w="4535" w:type="dxa"/>
            <w:vAlign w:val="center"/>
          </w:tcPr>
          <w:p w14:paraId="4524BE47">
            <w:pPr>
              <w:pStyle w:val="12"/>
            </w:pPr>
            <w:r>
              <w:t>工资福利支出</w:t>
            </w:r>
          </w:p>
        </w:tc>
        <w:tc>
          <w:tcPr>
            <w:tcW w:w="2551" w:type="dxa"/>
            <w:vAlign w:val="center"/>
          </w:tcPr>
          <w:p w14:paraId="16C3CF11">
            <w:pPr>
              <w:pStyle w:val="11"/>
            </w:pPr>
            <w:r>
              <w:t>207.48</w:t>
            </w:r>
          </w:p>
        </w:tc>
        <w:tc>
          <w:tcPr>
            <w:tcW w:w="2551" w:type="dxa"/>
            <w:vAlign w:val="center"/>
          </w:tcPr>
          <w:p w14:paraId="5A2C7692">
            <w:pPr>
              <w:pStyle w:val="11"/>
            </w:pPr>
            <w:r>
              <w:t>207.48</w:t>
            </w:r>
          </w:p>
        </w:tc>
        <w:tc>
          <w:tcPr>
            <w:tcW w:w="2551" w:type="dxa"/>
            <w:vAlign w:val="center"/>
          </w:tcPr>
          <w:p w14:paraId="17262BCA">
            <w:pPr>
              <w:pStyle w:val="11"/>
            </w:pPr>
          </w:p>
        </w:tc>
      </w:tr>
      <w:tr w14:paraId="2367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C207">
            <w:pPr>
              <w:pStyle w:val="13"/>
            </w:pPr>
            <w:r>
              <w:t>3</w:t>
            </w:r>
          </w:p>
        </w:tc>
        <w:tc>
          <w:tcPr>
            <w:tcW w:w="1191" w:type="dxa"/>
            <w:vAlign w:val="center"/>
          </w:tcPr>
          <w:p w14:paraId="0FBAE782">
            <w:pPr>
              <w:pStyle w:val="12"/>
            </w:pPr>
            <w:r>
              <w:t>30101</w:t>
            </w:r>
          </w:p>
        </w:tc>
        <w:tc>
          <w:tcPr>
            <w:tcW w:w="4535" w:type="dxa"/>
            <w:vAlign w:val="center"/>
          </w:tcPr>
          <w:p w14:paraId="200E0D50">
            <w:pPr>
              <w:pStyle w:val="12"/>
            </w:pPr>
            <w:r>
              <w:t>基本工资</w:t>
            </w:r>
          </w:p>
        </w:tc>
        <w:tc>
          <w:tcPr>
            <w:tcW w:w="2551" w:type="dxa"/>
            <w:vAlign w:val="center"/>
          </w:tcPr>
          <w:p w14:paraId="466FB4AA">
            <w:pPr>
              <w:pStyle w:val="11"/>
            </w:pPr>
            <w:r>
              <w:t>94.79</w:t>
            </w:r>
          </w:p>
        </w:tc>
        <w:tc>
          <w:tcPr>
            <w:tcW w:w="2551" w:type="dxa"/>
            <w:vAlign w:val="center"/>
          </w:tcPr>
          <w:p w14:paraId="5A94B311">
            <w:pPr>
              <w:pStyle w:val="11"/>
            </w:pPr>
            <w:r>
              <w:t>94.79</w:t>
            </w:r>
          </w:p>
        </w:tc>
        <w:tc>
          <w:tcPr>
            <w:tcW w:w="2551" w:type="dxa"/>
            <w:vAlign w:val="center"/>
          </w:tcPr>
          <w:p w14:paraId="0664B0CE">
            <w:pPr>
              <w:pStyle w:val="11"/>
            </w:pPr>
          </w:p>
        </w:tc>
      </w:tr>
      <w:tr w14:paraId="250F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12AB">
            <w:pPr>
              <w:pStyle w:val="13"/>
            </w:pPr>
            <w:r>
              <w:t>4</w:t>
            </w:r>
          </w:p>
        </w:tc>
        <w:tc>
          <w:tcPr>
            <w:tcW w:w="1191" w:type="dxa"/>
            <w:vAlign w:val="center"/>
          </w:tcPr>
          <w:p w14:paraId="4DB0244B">
            <w:pPr>
              <w:pStyle w:val="12"/>
            </w:pPr>
            <w:r>
              <w:t>30102</w:t>
            </w:r>
          </w:p>
        </w:tc>
        <w:tc>
          <w:tcPr>
            <w:tcW w:w="4535" w:type="dxa"/>
            <w:vAlign w:val="center"/>
          </w:tcPr>
          <w:p w14:paraId="075EAB40">
            <w:pPr>
              <w:pStyle w:val="12"/>
            </w:pPr>
            <w:r>
              <w:t>津贴补贴</w:t>
            </w:r>
          </w:p>
        </w:tc>
        <w:tc>
          <w:tcPr>
            <w:tcW w:w="2551" w:type="dxa"/>
            <w:vAlign w:val="center"/>
          </w:tcPr>
          <w:p w14:paraId="27C18BB0">
            <w:pPr>
              <w:pStyle w:val="11"/>
            </w:pPr>
            <w:r>
              <w:t>19.07</w:t>
            </w:r>
          </w:p>
        </w:tc>
        <w:tc>
          <w:tcPr>
            <w:tcW w:w="2551" w:type="dxa"/>
            <w:vAlign w:val="center"/>
          </w:tcPr>
          <w:p w14:paraId="17726A82">
            <w:pPr>
              <w:pStyle w:val="11"/>
            </w:pPr>
            <w:r>
              <w:t>19.07</w:t>
            </w:r>
          </w:p>
        </w:tc>
        <w:tc>
          <w:tcPr>
            <w:tcW w:w="2551" w:type="dxa"/>
            <w:vAlign w:val="center"/>
          </w:tcPr>
          <w:p w14:paraId="5D296974">
            <w:pPr>
              <w:pStyle w:val="11"/>
            </w:pPr>
          </w:p>
        </w:tc>
      </w:tr>
      <w:tr w14:paraId="249E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39C5">
            <w:pPr>
              <w:pStyle w:val="13"/>
            </w:pPr>
            <w:r>
              <w:t>5</w:t>
            </w:r>
          </w:p>
        </w:tc>
        <w:tc>
          <w:tcPr>
            <w:tcW w:w="1191" w:type="dxa"/>
            <w:vAlign w:val="center"/>
          </w:tcPr>
          <w:p w14:paraId="436DE242">
            <w:pPr>
              <w:pStyle w:val="12"/>
            </w:pPr>
            <w:r>
              <w:t>30103</w:t>
            </w:r>
          </w:p>
        </w:tc>
        <w:tc>
          <w:tcPr>
            <w:tcW w:w="4535" w:type="dxa"/>
            <w:vAlign w:val="center"/>
          </w:tcPr>
          <w:p w14:paraId="2E6CC5E6">
            <w:pPr>
              <w:pStyle w:val="12"/>
            </w:pPr>
            <w:r>
              <w:t>奖金</w:t>
            </w:r>
          </w:p>
        </w:tc>
        <w:tc>
          <w:tcPr>
            <w:tcW w:w="2551" w:type="dxa"/>
            <w:vAlign w:val="center"/>
          </w:tcPr>
          <w:p w14:paraId="6E917DB4">
            <w:pPr>
              <w:pStyle w:val="11"/>
            </w:pPr>
            <w:r>
              <w:t>28.75</w:t>
            </w:r>
          </w:p>
        </w:tc>
        <w:tc>
          <w:tcPr>
            <w:tcW w:w="2551" w:type="dxa"/>
            <w:vAlign w:val="center"/>
          </w:tcPr>
          <w:p w14:paraId="676A4E0F">
            <w:pPr>
              <w:pStyle w:val="11"/>
            </w:pPr>
            <w:r>
              <w:t>28.75</w:t>
            </w:r>
          </w:p>
        </w:tc>
        <w:tc>
          <w:tcPr>
            <w:tcW w:w="2551" w:type="dxa"/>
            <w:vAlign w:val="center"/>
          </w:tcPr>
          <w:p w14:paraId="307121C7">
            <w:pPr>
              <w:pStyle w:val="11"/>
            </w:pPr>
          </w:p>
        </w:tc>
      </w:tr>
      <w:tr w14:paraId="0515FF45">
        <w:tblPrEx>
          <w:tblCellMar>
            <w:top w:w="0" w:type="dxa"/>
            <w:left w:w="108" w:type="dxa"/>
            <w:bottom w:w="0" w:type="dxa"/>
            <w:right w:w="108" w:type="dxa"/>
          </w:tblCellMar>
        </w:tblPrEx>
        <w:trPr>
          <w:trHeight w:val="369" w:hRule="atLeast"/>
          <w:jc w:val="center"/>
        </w:trPr>
        <w:tc>
          <w:tcPr>
            <w:tcW w:w="850" w:type="dxa"/>
            <w:vAlign w:val="center"/>
          </w:tcPr>
          <w:p w14:paraId="7CD35E95">
            <w:pPr>
              <w:pStyle w:val="13"/>
            </w:pPr>
            <w:r>
              <w:t>6</w:t>
            </w:r>
          </w:p>
        </w:tc>
        <w:tc>
          <w:tcPr>
            <w:tcW w:w="1191" w:type="dxa"/>
            <w:vAlign w:val="center"/>
          </w:tcPr>
          <w:p w14:paraId="0AA21AEF">
            <w:pPr>
              <w:pStyle w:val="12"/>
            </w:pPr>
            <w:r>
              <w:t>30107</w:t>
            </w:r>
          </w:p>
        </w:tc>
        <w:tc>
          <w:tcPr>
            <w:tcW w:w="4535" w:type="dxa"/>
            <w:vAlign w:val="center"/>
          </w:tcPr>
          <w:p w14:paraId="45E3E871">
            <w:pPr>
              <w:pStyle w:val="12"/>
            </w:pPr>
            <w:r>
              <w:t>绩效工资</w:t>
            </w:r>
          </w:p>
        </w:tc>
        <w:tc>
          <w:tcPr>
            <w:tcW w:w="2551" w:type="dxa"/>
            <w:vAlign w:val="center"/>
          </w:tcPr>
          <w:p w14:paraId="5F512F02">
            <w:pPr>
              <w:pStyle w:val="11"/>
            </w:pPr>
            <w:r>
              <w:t>16.98</w:t>
            </w:r>
          </w:p>
        </w:tc>
        <w:tc>
          <w:tcPr>
            <w:tcW w:w="2551" w:type="dxa"/>
            <w:vAlign w:val="center"/>
          </w:tcPr>
          <w:p w14:paraId="32F862E1">
            <w:pPr>
              <w:pStyle w:val="11"/>
            </w:pPr>
            <w:r>
              <w:t>16.98</w:t>
            </w:r>
          </w:p>
        </w:tc>
        <w:tc>
          <w:tcPr>
            <w:tcW w:w="2551" w:type="dxa"/>
            <w:vAlign w:val="center"/>
          </w:tcPr>
          <w:p w14:paraId="26DF1B9E">
            <w:pPr>
              <w:pStyle w:val="11"/>
            </w:pPr>
          </w:p>
        </w:tc>
      </w:tr>
      <w:tr w14:paraId="4D6D6555">
        <w:tblPrEx>
          <w:tblCellMar>
            <w:top w:w="0" w:type="dxa"/>
            <w:left w:w="108" w:type="dxa"/>
            <w:bottom w:w="0" w:type="dxa"/>
            <w:right w:w="108" w:type="dxa"/>
          </w:tblCellMar>
        </w:tblPrEx>
        <w:trPr>
          <w:trHeight w:val="369" w:hRule="atLeast"/>
          <w:jc w:val="center"/>
        </w:trPr>
        <w:tc>
          <w:tcPr>
            <w:tcW w:w="850" w:type="dxa"/>
            <w:vAlign w:val="center"/>
          </w:tcPr>
          <w:p w14:paraId="4C8EE52D">
            <w:pPr>
              <w:pStyle w:val="13"/>
            </w:pPr>
            <w:r>
              <w:t>7</w:t>
            </w:r>
          </w:p>
        </w:tc>
        <w:tc>
          <w:tcPr>
            <w:tcW w:w="1191" w:type="dxa"/>
            <w:vAlign w:val="center"/>
          </w:tcPr>
          <w:p w14:paraId="23E55633">
            <w:pPr>
              <w:pStyle w:val="12"/>
            </w:pPr>
            <w:r>
              <w:t>30108</w:t>
            </w:r>
          </w:p>
        </w:tc>
        <w:tc>
          <w:tcPr>
            <w:tcW w:w="4535" w:type="dxa"/>
            <w:vAlign w:val="center"/>
          </w:tcPr>
          <w:p w14:paraId="0DA9E701">
            <w:pPr>
              <w:pStyle w:val="12"/>
            </w:pPr>
            <w:r>
              <w:t>机关事业单位基本养老保险缴费</w:t>
            </w:r>
          </w:p>
        </w:tc>
        <w:tc>
          <w:tcPr>
            <w:tcW w:w="2551" w:type="dxa"/>
            <w:vAlign w:val="center"/>
          </w:tcPr>
          <w:p w14:paraId="38037122">
            <w:pPr>
              <w:pStyle w:val="11"/>
            </w:pPr>
            <w:r>
              <w:t>21.14</w:t>
            </w:r>
          </w:p>
        </w:tc>
        <w:tc>
          <w:tcPr>
            <w:tcW w:w="2551" w:type="dxa"/>
            <w:vAlign w:val="center"/>
          </w:tcPr>
          <w:p w14:paraId="60042E56">
            <w:pPr>
              <w:pStyle w:val="11"/>
            </w:pPr>
            <w:r>
              <w:t>21.14</w:t>
            </w:r>
          </w:p>
        </w:tc>
        <w:tc>
          <w:tcPr>
            <w:tcW w:w="2551" w:type="dxa"/>
            <w:vAlign w:val="center"/>
          </w:tcPr>
          <w:p w14:paraId="6A2B40AB">
            <w:pPr>
              <w:pStyle w:val="11"/>
            </w:pPr>
          </w:p>
        </w:tc>
      </w:tr>
      <w:tr w14:paraId="329B9E97">
        <w:tblPrEx>
          <w:tblCellMar>
            <w:top w:w="0" w:type="dxa"/>
            <w:left w:w="108" w:type="dxa"/>
            <w:bottom w:w="0" w:type="dxa"/>
            <w:right w:w="108" w:type="dxa"/>
          </w:tblCellMar>
        </w:tblPrEx>
        <w:trPr>
          <w:trHeight w:val="369" w:hRule="atLeast"/>
          <w:jc w:val="center"/>
        </w:trPr>
        <w:tc>
          <w:tcPr>
            <w:tcW w:w="850" w:type="dxa"/>
            <w:vAlign w:val="center"/>
          </w:tcPr>
          <w:p w14:paraId="7051CBCD">
            <w:pPr>
              <w:pStyle w:val="13"/>
            </w:pPr>
            <w:r>
              <w:t>8</w:t>
            </w:r>
          </w:p>
        </w:tc>
        <w:tc>
          <w:tcPr>
            <w:tcW w:w="1191" w:type="dxa"/>
            <w:vAlign w:val="center"/>
          </w:tcPr>
          <w:p w14:paraId="6E1ACA31">
            <w:pPr>
              <w:pStyle w:val="12"/>
            </w:pPr>
            <w:r>
              <w:t>30110</w:t>
            </w:r>
          </w:p>
        </w:tc>
        <w:tc>
          <w:tcPr>
            <w:tcW w:w="4535" w:type="dxa"/>
            <w:vAlign w:val="center"/>
          </w:tcPr>
          <w:p w14:paraId="346E7409">
            <w:pPr>
              <w:pStyle w:val="12"/>
            </w:pPr>
            <w:r>
              <w:t>职工基本医疗保险缴费</w:t>
            </w:r>
          </w:p>
        </w:tc>
        <w:tc>
          <w:tcPr>
            <w:tcW w:w="2551" w:type="dxa"/>
            <w:vAlign w:val="center"/>
          </w:tcPr>
          <w:p w14:paraId="4105C05E">
            <w:pPr>
              <w:pStyle w:val="11"/>
            </w:pPr>
            <w:r>
              <w:t>9.58</w:t>
            </w:r>
          </w:p>
        </w:tc>
        <w:tc>
          <w:tcPr>
            <w:tcW w:w="2551" w:type="dxa"/>
            <w:vAlign w:val="center"/>
          </w:tcPr>
          <w:p w14:paraId="743E2E92">
            <w:pPr>
              <w:pStyle w:val="11"/>
            </w:pPr>
            <w:r>
              <w:t>9.58</w:t>
            </w:r>
          </w:p>
        </w:tc>
        <w:tc>
          <w:tcPr>
            <w:tcW w:w="2551" w:type="dxa"/>
            <w:vAlign w:val="center"/>
          </w:tcPr>
          <w:p w14:paraId="6A036203">
            <w:pPr>
              <w:pStyle w:val="11"/>
            </w:pPr>
          </w:p>
        </w:tc>
      </w:tr>
      <w:tr w14:paraId="4365A930">
        <w:tblPrEx>
          <w:tblCellMar>
            <w:top w:w="0" w:type="dxa"/>
            <w:left w:w="108" w:type="dxa"/>
            <w:bottom w:w="0" w:type="dxa"/>
            <w:right w:w="108" w:type="dxa"/>
          </w:tblCellMar>
        </w:tblPrEx>
        <w:trPr>
          <w:trHeight w:val="369" w:hRule="atLeast"/>
          <w:jc w:val="center"/>
        </w:trPr>
        <w:tc>
          <w:tcPr>
            <w:tcW w:w="850" w:type="dxa"/>
            <w:vAlign w:val="center"/>
          </w:tcPr>
          <w:p w14:paraId="054C1272">
            <w:pPr>
              <w:pStyle w:val="13"/>
            </w:pPr>
            <w:r>
              <w:t>9</w:t>
            </w:r>
          </w:p>
        </w:tc>
        <w:tc>
          <w:tcPr>
            <w:tcW w:w="1191" w:type="dxa"/>
            <w:vAlign w:val="center"/>
          </w:tcPr>
          <w:p w14:paraId="593913AA">
            <w:pPr>
              <w:pStyle w:val="12"/>
            </w:pPr>
            <w:r>
              <w:t>30112</w:t>
            </w:r>
          </w:p>
        </w:tc>
        <w:tc>
          <w:tcPr>
            <w:tcW w:w="4535" w:type="dxa"/>
            <w:vAlign w:val="center"/>
          </w:tcPr>
          <w:p w14:paraId="23B9F9D5">
            <w:pPr>
              <w:pStyle w:val="12"/>
            </w:pPr>
            <w:r>
              <w:t>其他社会保障缴费</w:t>
            </w:r>
          </w:p>
        </w:tc>
        <w:tc>
          <w:tcPr>
            <w:tcW w:w="2551" w:type="dxa"/>
            <w:vAlign w:val="center"/>
          </w:tcPr>
          <w:p w14:paraId="1F9CB7E3">
            <w:pPr>
              <w:pStyle w:val="11"/>
            </w:pPr>
            <w:r>
              <w:t>1.02</w:t>
            </w:r>
          </w:p>
        </w:tc>
        <w:tc>
          <w:tcPr>
            <w:tcW w:w="2551" w:type="dxa"/>
            <w:vAlign w:val="center"/>
          </w:tcPr>
          <w:p w14:paraId="3636C5D4">
            <w:pPr>
              <w:pStyle w:val="11"/>
            </w:pPr>
            <w:r>
              <w:t>1.02</w:t>
            </w:r>
          </w:p>
        </w:tc>
        <w:tc>
          <w:tcPr>
            <w:tcW w:w="2551" w:type="dxa"/>
            <w:vAlign w:val="center"/>
          </w:tcPr>
          <w:p w14:paraId="76C3DB96">
            <w:pPr>
              <w:pStyle w:val="11"/>
            </w:pPr>
          </w:p>
        </w:tc>
      </w:tr>
      <w:tr w14:paraId="1A8E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848CE">
            <w:pPr>
              <w:pStyle w:val="13"/>
            </w:pPr>
            <w:r>
              <w:t>10</w:t>
            </w:r>
          </w:p>
        </w:tc>
        <w:tc>
          <w:tcPr>
            <w:tcW w:w="1191" w:type="dxa"/>
            <w:vAlign w:val="center"/>
          </w:tcPr>
          <w:p w14:paraId="573771DF">
            <w:pPr>
              <w:pStyle w:val="12"/>
            </w:pPr>
            <w:r>
              <w:t>30113</w:t>
            </w:r>
          </w:p>
        </w:tc>
        <w:tc>
          <w:tcPr>
            <w:tcW w:w="4535" w:type="dxa"/>
            <w:vAlign w:val="center"/>
          </w:tcPr>
          <w:p w14:paraId="6D903FC3">
            <w:pPr>
              <w:pStyle w:val="12"/>
            </w:pPr>
            <w:r>
              <w:t>住房公积金</w:t>
            </w:r>
          </w:p>
        </w:tc>
        <w:tc>
          <w:tcPr>
            <w:tcW w:w="2551" w:type="dxa"/>
            <w:vAlign w:val="center"/>
          </w:tcPr>
          <w:p w14:paraId="4EB08280">
            <w:pPr>
              <w:pStyle w:val="11"/>
            </w:pPr>
            <w:r>
              <w:t>16.14</w:t>
            </w:r>
          </w:p>
        </w:tc>
        <w:tc>
          <w:tcPr>
            <w:tcW w:w="2551" w:type="dxa"/>
            <w:vAlign w:val="center"/>
          </w:tcPr>
          <w:p w14:paraId="37676F8F">
            <w:pPr>
              <w:pStyle w:val="11"/>
            </w:pPr>
            <w:r>
              <w:t>16.14</w:t>
            </w:r>
          </w:p>
        </w:tc>
        <w:tc>
          <w:tcPr>
            <w:tcW w:w="2551" w:type="dxa"/>
            <w:vAlign w:val="center"/>
          </w:tcPr>
          <w:p w14:paraId="130652A3">
            <w:pPr>
              <w:pStyle w:val="11"/>
            </w:pPr>
          </w:p>
        </w:tc>
      </w:tr>
      <w:tr w14:paraId="05AE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92EC2">
            <w:pPr>
              <w:pStyle w:val="13"/>
            </w:pPr>
            <w:r>
              <w:t>11</w:t>
            </w:r>
          </w:p>
        </w:tc>
        <w:tc>
          <w:tcPr>
            <w:tcW w:w="1191" w:type="dxa"/>
            <w:vAlign w:val="center"/>
          </w:tcPr>
          <w:p w14:paraId="46132380">
            <w:pPr>
              <w:pStyle w:val="12"/>
            </w:pPr>
            <w:r>
              <w:t>302</w:t>
            </w:r>
          </w:p>
        </w:tc>
        <w:tc>
          <w:tcPr>
            <w:tcW w:w="4535" w:type="dxa"/>
            <w:vAlign w:val="center"/>
          </w:tcPr>
          <w:p w14:paraId="1C0858F1">
            <w:pPr>
              <w:pStyle w:val="12"/>
            </w:pPr>
            <w:r>
              <w:t>商品和服务支出</w:t>
            </w:r>
          </w:p>
        </w:tc>
        <w:tc>
          <w:tcPr>
            <w:tcW w:w="2551" w:type="dxa"/>
            <w:vAlign w:val="center"/>
          </w:tcPr>
          <w:p w14:paraId="2906F90C">
            <w:pPr>
              <w:pStyle w:val="11"/>
            </w:pPr>
            <w:r>
              <w:t>55.88</w:t>
            </w:r>
          </w:p>
        </w:tc>
        <w:tc>
          <w:tcPr>
            <w:tcW w:w="2551" w:type="dxa"/>
            <w:vAlign w:val="center"/>
          </w:tcPr>
          <w:p w14:paraId="5055916B">
            <w:pPr>
              <w:pStyle w:val="11"/>
            </w:pPr>
          </w:p>
        </w:tc>
        <w:tc>
          <w:tcPr>
            <w:tcW w:w="2551" w:type="dxa"/>
            <w:vAlign w:val="center"/>
          </w:tcPr>
          <w:p w14:paraId="455D3A6F">
            <w:pPr>
              <w:pStyle w:val="11"/>
            </w:pPr>
            <w:r>
              <w:t>55.88</w:t>
            </w:r>
          </w:p>
        </w:tc>
      </w:tr>
      <w:tr w14:paraId="4522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28FB5">
            <w:pPr>
              <w:pStyle w:val="13"/>
            </w:pPr>
            <w:r>
              <w:t>12</w:t>
            </w:r>
          </w:p>
        </w:tc>
        <w:tc>
          <w:tcPr>
            <w:tcW w:w="1191" w:type="dxa"/>
            <w:vAlign w:val="center"/>
          </w:tcPr>
          <w:p w14:paraId="4B8AE78D">
            <w:pPr>
              <w:pStyle w:val="12"/>
            </w:pPr>
            <w:r>
              <w:t>30201</w:t>
            </w:r>
          </w:p>
        </w:tc>
        <w:tc>
          <w:tcPr>
            <w:tcW w:w="4535" w:type="dxa"/>
            <w:vAlign w:val="center"/>
          </w:tcPr>
          <w:p w14:paraId="021D053C">
            <w:pPr>
              <w:pStyle w:val="12"/>
            </w:pPr>
            <w:r>
              <w:t>办公费</w:t>
            </w:r>
          </w:p>
        </w:tc>
        <w:tc>
          <w:tcPr>
            <w:tcW w:w="2551" w:type="dxa"/>
            <w:vAlign w:val="center"/>
          </w:tcPr>
          <w:p w14:paraId="2335C399">
            <w:pPr>
              <w:pStyle w:val="11"/>
            </w:pPr>
            <w:r>
              <w:t>15.90</w:t>
            </w:r>
          </w:p>
        </w:tc>
        <w:tc>
          <w:tcPr>
            <w:tcW w:w="2551" w:type="dxa"/>
            <w:vAlign w:val="center"/>
          </w:tcPr>
          <w:p w14:paraId="62AE6BBA">
            <w:pPr>
              <w:pStyle w:val="11"/>
            </w:pPr>
          </w:p>
        </w:tc>
        <w:tc>
          <w:tcPr>
            <w:tcW w:w="2551" w:type="dxa"/>
            <w:vAlign w:val="center"/>
          </w:tcPr>
          <w:p w14:paraId="2C9792EB">
            <w:pPr>
              <w:pStyle w:val="11"/>
            </w:pPr>
            <w:r>
              <w:t>15.90</w:t>
            </w:r>
          </w:p>
        </w:tc>
      </w:tr>
      <w:tr w14:paraId="3696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77D15">
            <w:pPr>
              <w:pStyle w:val="13"/>
            </w:pPr>
            <w:r>
              <w:t>13</w:t>
            </w:r>
          </w:p>
        </w:tc>
        <w:tc>
          <w:tcPr>
            <w:tcW w:w="1191" w:type="dxa"/>
            <w:vAlign w:val="center"/>
          </w:tcPr>
          <w:p w14:paraId="4DE4C6D5">
            <w:pPr>
              <w:pStyle w:val="12"/>
            </w:pPr>
            <w:r>
              <w:t>30202</w:t>
            </w:r>
          </w:p>
        </w:tc>
        <w:tc>
          <w:tcPr>
            <w:tcW w:w="4535" w:type="dxa"/>
            <w:vAlign w:val="center"/>
          </w:tcPr>
          <w:p w14:paraId="061AC079">
            <w:pPr>
              <w:pStyle w:val="12"/>
            </w:pPr>
            <w:r>
              <w:t>印刷费</w:t>
            </w:r>
          </w:p>
        </w:tc>
        <w:tc>
          <w:tcPr>
            <w:tcW w:w="2551" w:type="dxa"/>
            <w:vAlign w:val="center"/>
          </w:tcPr>
          <w:p w14:paraId="2333388C">
            <w:pPr>
              <w:pStyle w:val="11"/>
            </w:pPr>
            <w:r>
              <w:t>5.50</w:t>
            </w:r>
          </w:p>
        </w:tc>
        <w:tc>
          <w:tcPr>
            <w:tcW w:w="2551" w:type="dxa"/>
            <w:vAlign w:val="center"/>
          </w:tcPr>
          <w:p w14:paraId="64A09544">
            <w:pPr>
              <w:pStyle w:val="11"/>
            </w:pPr>
          </w:p>
        </w:tc>
        <w:tc>
          <w:tcPr>
            <w:tcW w:w="2551" w:type="dxa"/>
            <w:vAlign w:val="center"/>
          </w:tcPr>
          <w:p w14:paraId="531FCFF1">
            <w:pPr>
              <w:pStyle w:val="11"/>
            </w:pPr>
            <w:r>
              <w:t>5.50</w:t>
            </w:r>
          </w:p>
        </w:tc>
      </w:tr>
      <w:tr w14:paraId="2CE4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A0FE">
            <w:pPr>
              <w:pStyle w:val="13"/>
            </w:pPr>
            <w:r>
              <w:t>14</w:t>
            </w:r>
          </w:p>
        </w:tc>
        <w:tc>
          <w:tcPr>
            <w:tcW w:w="1191" w:type="dxa"/>
            <w:vAlign w:val="center"/>
          </w:tcPr>
          <w:p w14:paraId="482CA064">
            <w:pPr>
              <w:pStyle w:val="12"/>
            </w:pPr>
            <w:r>
              <w:t>30206</w:t>
            </w:r>
          </w:p>
        </w:tc>
        <w:tc>
          <w:tcPr>
            <w:tcW w:w="4535" w:type="dxa"/>
            <w:vAlign w:val="center"/>
          </w:tcPr>
          <w:p w14:paraId="3C4173F1">
            <w:pPr>
              <w:pStyle w:val="12"/>
            </w:pPr>
            <w:r>
              <w:t>电费</w:t>
            </w:r>
          </w:p>
        </w:tc>
        <w:tc>
          <w:tcPr>
            <w:tcW w:w="2551" w:type="dxa"/>
            <w:vAlign w:val="center"/>
          </w:tcPr>
          <w:p w14:paraId="1F4FB474">
            <w:pPr>
              <w:pStyle w:val="11"/>
            </w:pPr>
            <w:r>
              <w:t>2.00</w:t>
            </w:r>
          </w:p>
        </w:tc>
        <w:tc>
          <w:tcPr>
            <w:tcW w:w="2551" w:type="dxa"/>
            <w:vAlign w:val="center"/>
          </w:tcPr>
          <w:p w14:paraId="718CCDAF">
            <w:pPr>
              <w:pStyle w:val="11"/>
            </w:pPr>
          </w:p>
        </w:tc>
        <w:tc>
          <w:tcPr>
            <w:tcW w:w="2551" w:type="dxa"/>
            <w:vAlign w:val="center"/>
          </w:tcPr>
          <w:p w14:paraId="65156480">
            <w:pPr>
              <w:pStyle w:val="11"/>
            </w:pPr>
            <w:r>
              <w:t>2.00</w:t>
            </w:r>
          </w:p>
        </w:tc>
      </w:tr>
      <w:tr w14:paraId="2B97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C5022">
            <w:pPr>
              <w:pStyle w:val="13"/>
            </w:pPr>
            <w:r>
              <w:t>15</w:t>
            </w:r>
          </w:p>
        </w:tc>
        <w:tc>
          <w:tcPr>
            <w:tcW w:w="1191" w:type="dxa"/>
            <w:vAlign w:val="center"/>
          </w:tcPr>
          <w:p w14:paraId="30E4BEF1">
            <w:pPr>
              <w:pStyle w:val="12"/>
            </w:pPr>
            <w:r>
              <w:t>30207</w:t>
            </w:r>
          </w:p>
        </w:tc>
        <w:tc>
          <w:tcPr>
            <w:tcW w:w="4535" w:type="dxa"/>
            <w:vAlign w:val="center"/>
          </w:tcPr>
          <w:p w14:paraId="3BA89C3E">
            <w:pPr>
              <w:pStyle w:val="12"/>
            </w:pPr>
            <w:r>
              <w:t>邮电费</w:t>
            </w:r>
          </w:p>
        </w:tc>
        <w:tc>
          <w:tcPr>
            <w:tcW w:w="2551" w:type="dxa"/>
            <w:vAlign w:val="center"/>
          </w:tcPr>
          <w:p w14:paraId="5A351212">
            <w:pPr>
              <w:pStyle w:val="11"/>
            </w:pPr>
            <w:r>
              <w:t>1.20</w:t>
            </w:r>
          </w:p>
        </w:tc>
        <w:tc>
          <w:tcPr>
            <w:tcW w:w="2551" w:type="dxa"/>
            <w:vAlign w:val="center"/>
          </w:tcPr>
          <w:p w14:paraId="6855AABB">
            <w:pPr>
              <w:pStyle w:val="11"/>
            </w:pPr>
          </w:p>
        </w:tc>
        <w:tc>
          <w:tcPr>
            <w:tcW w:w="2551" w:type="dxa"/>
            <w:vAlign w:val="center"/>
          </w:tcPr>
          <w:p w14:paraId="42F0FEF6">
            <w:pPr>
              <w:pStyle w:val="11"/>
            </w:pPr>
            <w:r>
              <w:t>1.20</w:t>
            </w:r>
          </w:p>
        </w:tc>
      </w:tr>
      <w:tr w14:paraId="0D284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9384D">
            <w:pPr>
              <w:pStyle w:val="13"/>
            </w:pPr>
            <w:r>
              <w:t>16</w:t>
            </w:r>
          </w:p>
        </w:tc>
        <w:tc>
          <w:tcPr>
            <w:tcW w:w="1191" w:type="dxa"/>
            <w:vAlign w:val="center"/>
          </w:tcPr>
          <w:p w14:paraId="13CDE9D7">
            <w:pPr>
              <w:pStyle w:val="12"/>
            </w:pPr>
            <w:r>
              <w:t>30209</w:t>
            </w:r>
          </w:p>
        </w:tc>
        <w:tc>
          <w:tcPr>
            <w:tcW w:w="4535" w:type="dxa"/>
            <w:vAlign w:val="center"/>
          </w:tcPr>
          <w:p w14:paraId="7CACAC62">
            <w:pPr>
              <w:pStyle w:val="12"/>
            </w:pPr>
            <w:r>
              <w:t>物业管理费</w:t>
            </w:r>
          </w:p>
        </w:tc>
        <w:tc>
          <w:tcPr>
            <w:tcW w:w="2551" w:type="dxa"/>
            <w:vAlign w:val="center"/>
          </w:tcPr>
          <w:p w14:paraId="3AB4B288">
            <w:pPr>
              <w:pStyle w:val="11"/>
            </w:pPr>
            <w:r>
              <w:t>8.00</w:t>
            </w:r>
          </w:p>
        </w:tc>
        <w:tc>
          <w:tcPr>
            <w:tcW w:w="2551" w:type="dxa"/>
            <w:vAlign w:val="center"/>
          </w:tcPr>
          <w:p w14:paraId="1027BAE2">
            <w:pPr>
              <w:pStyle w:val="11"/>
            </w:pPr>
          </w:p>
        </w:tc>
        <w:tc>
          <w:tcPr>
            <w:tcW w:w="2551" w:type="dxa"/>
            <w:vAlign w:val="center"/>
          </w:tcPr>
          <w:p w14:paraId="085919E5">
            <w:pPr>
              <w:pStyle w:val="11"/>
            </w:pPr>
            <w:r>
              <w:t>8.00</w:t>
            </w:r>
          </w:p>
        </w:tc>
      </w:tr>
      <w:tr w14:paraId="11E1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34BB3">
            <w:pPr>
              <w:pStyle w:val="13"/>
            </w:pPr>
            <w:r>
              <w:t>17</w:t>
            </w:r>
          </w:p>
        </w:tc>
        <w:tc>
          <w:tcPr>
            <w:tcW w:w="1191" w:type="dxa"/>
            <w:vAlign w:val="center"/>
          </w:tcPr>
          <w:p w14:paraId="7EF3E10E">
            <w:pPr>
              <w:pStyle w:val="12"/>
            </w:pPr>
            <w:r>
              <w:t>30211</w:t>
            </w:r>
          </w:p>
        </w:tc>
        <w:tc>
          <w:tcPr>
            <w:tcW w:w="4535" w:type="dxa"/>
            <w:vAlign w:val="center"/>
          </w:tcPr>
          <w:p w14:paraId="268E963D">
            <w:pPr>
              <w:pStyle w:val="12"/>
            </w:pPr>
            <w:r>
              <w:t>差旅费</w:t>
            </w:r>
          </w:p>
        </w:tc>
        <w:tc>
          <w:tcPr>
            <w:tcW w:w="2551" w:type="dxa"/>
            <w:vAlign w:val="center"/>
          </w:tcPr>
          <w:p w14:paraId="452962C9">
            <w:pPr>
              <w:pStyle w:val="11"/>
            </w:pPr>
            <w:r>
              <w:t>4.80</w:t>
            </w:r>
          </w:p>
        </w:tc>
        <w:tc>
          <w:tcPr>
            <w:tcW w:w="2551" w:type="dxa"/>
            <w:vAlign w:val="center"/>
          </w:tcPr>
          <w:p w14:paraId="0B40C6F0">
            <w:pPr>
              <w:pStyle w:val="11"/>
            </w:pPr>
          </w:p>
        </w:tc>
        <w:tc>
          <w:tcPr>
            <w:tcW w:w="2551" w:type="dxa"/>
            <w:vAlign w:val="center"/>
          </w:tcPr>
          <w:p w14:paraId="578F7FD0">
            <w:pPr>
              <w:pStyle w:val="11"/>
            </w:pPr>
            <w:r>
              <w:t>4.80</w:t>
            </w:r>
          </w:p>
        </w:tc>
      </w:tr>
      <w:tr w14:paraId="2F57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5D7C5">
            <w:pPr>
              <w:pStyle w:val="13"/>
            </w:pPr>
            <w:r>
              <w:t>18</w:t>
            </w:r>
          </w:p>
        </w:tc>
        <w:tc>
          <w:tcPr>
            <w:tcW w:w="1191" w:type="dxa"/>
            <w:vAlign w:val="center"/>
          </w:tcPr>
          <w:p w14:paraId="3EF7D8E3">
            <w:pPr>
              <w:pStyle w:val="12"/>
            </w:pPr>
            <w:r>
              <w:t>30213</w:t>
            </w:r>
          </w:p>
        </w:tc>
        <w:tc>
          <w:tcPr>
            <w:tcW w:w="4535" w:type="dxa"/>
            <w:vAlign w:val="center"/>
          </w:tcPr>
          <w:p w14:paraId="768B690D">
            <w:pPr>
              <w:pStyle w:val="12"/>
            </w:pPr>
            <w:r>
              <w:t>维修（护）费</w:t>
            </w:r>
          </w:p>
        </w:tc>
        <w:tc>
          <w:tcPr>
            <w:tcW w:w="2551" w:type="dxa"/>
            <w:vAlign w:val="center"/>
          </w:tcPr>
          <w:p w14:paraId="0A3A0D22">
            <w:pPr>
              <w:pStyle w:val="11"/>
            </w:pPr>
            <w:r>
              <w:t>4.50</w:t>
            </w:r>
          </w:p>
        </w:tc>
        <w:tc>
          <w:tcPr>
            <w:tcW w:w="2551" w:type="dxa"/>
            <w:vAlign w:val="center"/>
          </w:tcPr>
          <w:p w14:paraId="40350BBE">
            <w:pPr>
              <w:pStyle w:val="11"/>
            </w:pPr>
          </w:p>
        </w:tc>
        <w:tc>
          <w:tcPr>
            <w:tcW w:w="2551" w:type="dxa"/>
            <w:vAlign w:val="center"/>
          </w:tcPr>
          <w:p w14:paraId="0C3EEFF8">
            <w:pPr>
              <w:pStyle w:val="11"/>
            </w:pPr>
            <w:r>
              <w:t>4.50</w:t>
            </w:r>
          </w:p>
        </w:tc>
      </w:tr>
      <w:tr w14:paraId="159B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81CE8">
            <w:pPr>
              <w:pStyle w:val="13"/>
            </w:pPr>
            <w:r>
              <w:t>19</w:t>
            </w:r>
          </w:p>
        </w:tc>
        <w:tc>
          <w:tcPr>
            <w:tcW w:w="1191" w:type="dxa"/>
            <w:vAlign w:val="center"/>
          </w:tcPr>
          <w:p w14:paraId="126422D2">
            <w:pPr>
              <w:pStyle w:val="12"/>
            </w:pPr>
            <w:r>
              <w:t>30216</w:t>
            </w:r>
          </w:p>
        </w:tc>
        <w:tc>
          <w:tcPr>
            <w:tcW w:w="4535" w:type="dxa"/>
            <w:vAlign w:val="center"/>
          </w:tcPr>
          <w:p w14:paraId="007D71A4">
            <w:pPr>
              <w:pStyle w:val="12"/>
            </w:pPr>
            <w:r>
              <w:t>培训费</w:t>
            </w:r>
          </w:p>
        </w:tc>
        <w:tc>
          <w:tcPr>
            <w:tcW w:w="2551" w:type="dxa"/>
            <w:vAlign w:val="center"/>
          </w:tcPr>
          <w:p w14:paraId="22328D40">
            <w:pPr>
              <w:pStyle w:val="11"/>
            </w:pPr>
            <w:r>
              <w:t>0.50</w:t>
            </w:r>
          </w:p>
        </w:tc>
        <w:tc>
          <w:tcPr>
            <w:tcW w:w="2551" w:type="dxa"/>
            <w:vAlign w:val="center"/>
          </w:tcPr>
          <w:p w14:paraId="3FF58319">
            <w:pPr>
              <w:pStyle w:val="11"/>
            </w:pPr>
          </w:p>
        </w:tc>
        <w:tc>
          <w:tcPr>
            <w:tcW w:w="2551" w:type="dxa"/>
            <w:vAlign w:val="center"/>
          </w:tcPr>
          <w:p w14:paraId="53667825">
            <w:pPr>
              <w:pStyle w:val="11"/>
            </w:pPr>
            <w:r>
              <w:t>0.50</w:t>
            </w:r>
          </w:p>
        </w:tc>
      </w:tr>
      <w:tr w14:paraId="0CE3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A76F1">
            <w:pPr>
              <w:pStyle w:val="13"/>
            </w:pPr>
            <w:r>
              <w:t>20</w:t>
            </w:r>
          </w:p>
        </w:tc>
        <w:tc>
          <w:tcPr>
            <w:tcW w:w="1191" w:type="dxa"/>
            <w:vAlign w:val="center"/>
          </w:tcPr>
          <w:p w14:paraId="5A3AFD96">
            <w:pPr>
              <w:pStyle w:val="12"/>
            </w:pPr>
            <w:r>
              <w:t>30228</w:t>
            </w:r>
          </w:p>
        </w:tc>
        <w:tc>
          <w:tcPr>
            <w:tcW w:w="4535" w:type="dxa"/>
            <w:vAlign w:val="center"/>
          </w:tcPr>
          <w:p w14:paraId="7CE882D6">
            <w:pPr>
              <w:pStyle w:val="12"/>
            </w:pPr>
            <w:r>
              <w:t>工会经费</w:t>
            </w:r>
          </w:p>
        </w:tc>
        <w:tc>
          <w:tcPr>
            <w:tcW w:w="2551" w:type="dxa"/>
            <w:vAlign w:val="center"/>
          </w:tcPr>
          <w:p w14:paraId="6C0557A0">
            <w:pPr>
              <w:pStyle w:val="11"/>
            </w:pPr>
            <w:r>
              <w:t>0.30</w:t>
            </w:r>
          </w:p>
        </w:tc>
        <w:tc>
          <w:tcPr>
            <w:tcW w:w="2551" w:type="dxa"/>
            <w:vAlign w:val="center"/>
          </w:tcPr>
          <w:p w14:paraId="0EC0BE0E">
            <w:pPr>
              <w:pStyle w:val="11"/>
            </w:pPr>
          </w:p>
        </w:tc>
        <w:tc>
          <w:tcPr>
            <w:tcW w:w="2551" w:type="dxa"/>
            <w:vAlign w:val="center"/>
          </w:tcPr>
          <w:p w14:paraId="334A64D2">
            <w:pPr>
              <w:pStyle w:val="11"/>
            </w:pPr>
            <w:r>
              <w:t>0.30</w:t>
            </w:r>
          </w:p>
        </w:tc>
      </w:tr>
      <w:tr w14:paraId="19A4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8C722">
            <w:pPr>
              <w:pStyle w:val="13"/>
            </w:pPr>
            <w:r>
              <w:t>21</w:t>
            </w:r>
          </w:p>
        </w:tc>
        <w:tc>
          <w:tcPr>
            <w:tcW w:w="1191" w:type="dxa"/>
            <w:vAlign w:val="center"/>
          </w:tcPr>
          <w:p w14:paraId="04420484">
            <w:pPr>
              <w:pStyle w:val="12"/>
            </w:pPr>
            <w:r>
              <w:t>30239</w:t>
            </w:r>
          </w:p>
        </w:tc>
        <w:tc>
          <w:tcPr>
            <w:tcW w:w="4535" w:type="dxa"/>
            <w:vAlign w:val="center"/>
          </w:tcPr>
          <w:p w14:paraId="719BEDDC">
            <w:pPr>
              <w:pStyle w:val="12"/>
            </w:pPr>
            <w:r>
              <w:t>其他交通费用</w:t>
            </w:r>
          </w:p>
        </w:tc>
        <w:tc>
          <w:tcPr>
            <w:tcW w:w="2551" w:type="dxa"/>
            <w:vAlign w:val="center"/>
          </w:tcPr>
          <w:p w14:paraId="35E1A1DA">
            <w:pPr>
              <w:pStyle w:val="11"/>
            </w:pPr>
            <w:r>
              <w:t>11.68</w:t>
            </w:r>
          </w:p>
        </w:tc>
        <w:tc>
          <w:tcPr>
            <w:tcW w:w="2551" w:type="dxa"/>
            <w:vAlign w:val="center"/>
          </w:tcPr>
          <w:p w14:paraId="61124762">
            <w:pPr>
              <w:pStyle w:val="11"/>
            </w:pPr>
          </w:p>
        </w:tc>
        <w:tc>
          <w:tcPr>
            <w:tcW w:w="2551" w:type="dxa"/>
            <w:vAlign w:val="center"/>
          </w:tcPr>
          <w:p w14:paraId="377CDAB0">
            <w:pPr>
              <w:pStyle w:val="11"/>
            </w:pPr>
            <w:r>
              <w:t>11.68</w:t>
            </w:r>
          </w:p>
        </w:tc>
      </w:tr>
      <w:tr w14:paraId="6473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FD16B">
            <w:pPr>
              <w:pStyle w:val="13"/>
            </w:pPr>
            <w:r>
              <w:t>22</w:t>
            </w:r>
          </w:p>
        </w:tc>
        <w:tc>
          <w:tcPr>
            <w:tcW w:w="1191" w:type="dxa"/>
            <w:vAlign w:val="center"/>
          </w:tcPr>
          <w:p w14:paraId="56DE74B9">
            <w:pPr>
              <w:pStyle w:val="12"/>
            </w:pPr>
            <w:r>
              <w:t>30299</w:t>
            </w:r>
          </w:p>
        </w:tc>
        <w:tc>
          <w:tcPr>
            <w:tcW w:w="4535" w:type="dxa"/>
            <w:vAlign w:val="center"/>
          </w:tcPr>
          <w:p w14:paraId="1B116D76">
            <w:pPr>
              <w:pStyle w:val="12"/>
            </w:pPr>
            <w:r>
              <w:t>其他商品和服务支出</w:t>
            </w:r>
          </w:p>
        </w:tc>
        <w:tc>
          <w:tcPr>
            <w:tcW w:w="2551" w:type="dxa"/>
            <w:vAlign w:val="center"/>
          </w:tcPr>
          <w:p w14:paraId="5433BD18">
            <w:pPr>
              <w:pStyle w:val="11"/>
            </w:pPr>
            <w:r>
              <w:t>1.50</w:t>
            </w:r>
          </w:p>
        </w:tc>
        <w:tc>
          <w:tcPr>
            <w:tcW w:w="2551" w:type="dxa"/>
            <w:vAlign w:val="center"/>
          </w:tcPr>
          <w:p w14:paraId="45D23068">
            <w:pPr>
              <w:pStyle w:val="11"/>
            </w:pPr>
          </w:p>
        </w:tc>
        <w:tc>
          <w:tcPr>
            <w:tcW w:w="2551" w:type="dxa"/>
            <w:vAlign w:val="center"/>
          </w:tcPr>
          <w:p w14:paraId="54A42FEC">
            <w:pPr>
              <w:pStyle w:val="11"/>
            </w:pPr>
            <w:r>
              <w:t>1.50</w:t>
            </w:r>
          </w:p>
        </w:tc>
      </w:tr>
      <w:tr w14:paraId="38BB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63966">
            <w:pPr>
              <w:pStyle w:val="13"/>
            </w:pPr>
            <w:r>
              <w:t>23</w:t>
            </w:r>
          </w:p>
        </w:tc>
        <w:tc>
          <w:tcPr>
            <w:tcW w:w="1191" w:type="dxa"/>
            <w:vAlign w:val="center"/>
          </w:tcPr>
          <w:p w14:paraId="4FC0CA69">
            <w:pPr>
              <w:pStyle w:val="12"/>
            </w:pPr>
            <w:r>
              <w:t>303</w:t>
            </w:r>
          </w:p>
        </w:tc>
        <w:tc>
          <w:tcPr>
            <w:tcW w:w="4535" w:type="dxa"/>
            <w:vAlign w:val="center"/>
          </w:tcPr>
          <w:p w14:paraId="048394D7">
            <w:pPr>
              <w:pStyle w:val="12"/>
            </w:pPr>
            <w:r>
              <w:t>对个人和家庭的补助</w:t>
            </w:r>
          </w:p>
        </w:tc>
        <w:tc>
          <w:tcPr>
            <w:tcW w:w="2551" w:type="dxa"/>
            <w:vAlign w:val="center"/>
          </w:tcPr>
          <w:p w14:paraId="6634A296">
            <w:pPr>
              <w:pStyle w:val="11"/>
            </w:pPr>
            <w:r>
              <w:t>26.19</w:t>
            </w:r>
          </w:p>
        </w:tc>
        <w:tc>
          <w:tcPr>
            <w:tcW w:w="2551" w:type="dxa"/>
            <w:vAlign w:val="center"/>
          </w:tcPr>
          <w:p w14:paraId="1C3797EC">
            <w:pPr>
              <w:pStyle w:val="11"/>
            </w:pPr>
            <w:r>
              <w:t>26.19</w:t>
            </w:r>
          </w:p>
        </w:tc>
        <w:tc>
          <w:tcPr>
            <w:tcW w:w="2551" w:type="dxa"/>
            <w:vAlign w:val="center"/>
          </w:tcPr>
          <w:p w14:paraId="5ABF2BEA">
            <w:pPr>
              <w:pStyle w:val="11"/>
            </w:pPr>
          </w:p>
        </w:tc>
      </w:tr>
      <w:tr w14:paraId="1AEF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5BE84">
            <w:pPr>
              <w:pStyle w:val="13"/>
            </w:pPr>
            <w:r>
              <w:t>24</w:t>
            </w:r>
          </w:p>
        </w:tc>
        <w:tc>
          <w:tcPr>
            <w:tcW w:w="1191" w:type="dxa"/>
            <w:vAlign w:val="center"/>
          </w:tcPr>
          <w:p w14:paraId="3FDC8DEB">
            <w:pPr>
              <w:pStyle w:val="12"/>
            </w:pPr>
            <w:r>
              <w:t>30302</w:t>
            </w:r>
          </w:p>
        </w:tc>
        <w:tc>
          <w:tcPr>
            <w:tcW w:w="4535" w:type="dxa"/>
            <w:vAlign w:val="center"/>
          </w:tcPr>
          <w:p w14:paraId="0F6AC300">
            <w:pPr>
              <w:pStyle w:val="12"/>
            </w:pPr>
            <w:r>
              <w:t>退休费</w:t>
            </w:r>
          </w:p>
        </w:tc>
        <w:tc>
          <w:tcPr>
            <w:tcW w:w="2551" w:type="dxa"/>
            <w:vAlign w:val="center"/>
          </w:tcPr>
          <w:p w14:paraId="184090E8">
            <w:pPr>
              <w:pStyle w:val="11"/>
            </w:pPr>
            <w:r>
              <w:t>25.04</w:t>
            </w:r>
          </w:p>
        </w:tc>
        <w:tc>
          <w:tcPr>
            <w:tcW w:w="2551" w:type="dxa"/>
            <w:vAlign w:val="center"/>
          </w:tcPr>
          <w:p w14:paraId="13BB9306">
            <w:pPr>
              <w:pStyle w:val="11"/>
            </w:pPr>
            <w:r>
              <w:t>25.04</w:t>
            </w:r>
          </w:p>
        </w:tc>
        <w:tc>
          <w:tcPr>
            <w:tcW w:w="2551" w:type="dxa"/>
            <w:vAlign w:val="center"/>
          </w:tcPr>
          <w:p w14:paraId="78E696DF">
            <w:pPr>
              <w:pStyle w:val="11"/>
            </w:pPr>
          </w:p>
        </w:tc>
      </w:tr>
      <w:tr w14:paraId="0384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181D">
            <w:pPr>
              <w:pStyle w:val="13"/>
            </w:pPr>
            <w:r>
              <w:t>25</w:t>
            </w:r>
          </w:p>
        </w:tc>
        <w:tc>
          <w:tcPr>
            <w:tcW w:w="1191" w:type="dxa"/>
            <w:vAlign w:val="center"/>
          </w:tcPr>
          <w:p w14:paraId="278E7115">
            <w:pPr>
              <w:pStyle w:val="12"/>
            </w:pPr>
            <w:r>
              <w:t>30305</w:t>
            </w:r>
          </w:p>
        </w:tc>
        <w:tc>
          <w:tcPr>
            <w:tcW w:w="4535" w:type="dxa"/>
            <w:vAlign w:val="center"/>
          </w:tcPr>
          <w:p w14:paraId="680E2CC6">
            <w:pPr>
              <w:pStyle w:val="12"/>
            </w:pPr>
            <w:r>
              <w:t>生活补助</w:t>
            </w:r>
          </w:p>
        </w:tc>
        <w:tc>
          <w:tcPr>
            <w:tcW w:w="2551" w:type="dxa"/>
            <w:vAlign w:val="center"/>
          </w:tcPr>
          <w:p w14:paraId="73650C65">
            <w:pPr>
              <w:pStyle w:val="11"/>
            </w:pPr>
            <w:r>
              <w:t>1.15</w:t>
            </w:r>
          </w:p>
        </w:tc>
        <w:tc>
          <w:tcPr>
            <w:tcW w:w="2551" w:type="dxa"/>
            <w:vAlign w:val="center"/>
          </w:tcPr>
          <w:p w14:paraId="0EA3D798">
            <w:pPr>
              <w:pStyle w:val="11"/>
            </w:pPr>
            <w:r>
              <w:t>1.15</w:t>
            </w:r>
          </w:p>
        </w:tc>
        <w:tc>
          <w:tcPr>
            <w:tcW w:w="2551" w:type="dxa"/>
            <w:vAlign w:val="center"/>
          </w:tcPr>
          <w:p w14:paraId="0A984D78">
            <w:pPr>
              <w:pStyle w:val="11"/>
            </w:pPr>
          </w:p>
        </w:tc>
      </w:tr>
      <w:tr w14:paraId="23AE782D">
        <w:tblPrEx>
          <w:tblCellMar>
            <w:top w:w="0" w:type="dxa"/>
            <w:left w:w="108" w:type="dxa"/>
            <w:bottom w:w="0" w:type="dxa"/>
            <w:right w:w="108" w:type="dxa"/>
          </w:tblCellMar>
        </w:tblPrEx>
        <w:trPr>
          <w:trHeight w:val="369" w:hRule="atLeast"/>
          <w:jc w:val="center"/>
        </w:trPr>
        <w:tc>
          <w:tcPr>
            <w:tcW w:w="850" w:type="dxa"/>
            <w:vAlign w:val="center"/>
          </w:tcPr>
          <w:p w14:paraId="0E398A1F">
            <w:pPr>
              <w:pStyle w:val="13"/>
            </w:pPr>
            <w:r>
              <w:t>26</w:t>
            </w:r>
          </w:p>
        </w:tc>
        <w:tc>
          <w:tcPr>
            <w:tcW w:w="1191" w:type="dxa"/>
            <w:vAlign w:val="center"/>
          </w:tcPr>
          <w:p w14:paraId="6692EF92">
            <w:pPr>
              <w:pStyle w:val="12"/>
            </w:pPr>
            <w:r>
              <w:t>310</w:t>
            </w:r>
          </w:p>
        </w:tc>
        <w:tc>
          <w:tcPr>
            <w:tcW w:w="4535" w:type="dxa"/>
            <w:vAlign w:val="center"/>
          </w:tcPr>
          <w:p w14:paraId="7FD8FAAD">
            <w:pPr>
              <w:pStyle w:val="12"/>
            </w:pPr>
            <w:r>
              <w:t>资本性支出</w:t>
            </w:r>
          </w:p>
        </w:tc>
        <w:tc>
          <w:tcPr>
            <w:tcW w:w="2551" w:type="dxa"/>
            <w:vAlign w:val="center"/>
          </w:tcPr>
          <w:p w14:paraId="59BE2C59">
            <w:pPr>
              <w:pStyle w:val="11"/>
            </w:pPr>
            <w:r>
              <w:t>4.80</w:t>
            </w:r>
          </w:p>
        </w:tc>
        <w:tc>
          <w:tcPr>
            <w:tcW w:w="2551" w:type="dxa"/>
            <w:vAlign w:val="center"/>
          </w:tcPr>
          <w:p w14:paraId="0E003FD1">
            <w:pPr>
              <w:pStyle w:val="11"/>
            </w:pPr>
          </w:p>
        </w:tc>
        <w:tc>
          <w:tcPr>
            <w:tcW w:w="2551" w:type="dxa"/>
            <w:vAlign w:val="center"/>
          </w:tcPr>
          <w:p w14:paraId="18936DAD">
            <w:pPr>
              <w:pStyle w:val="11"/>
            </w:pPr>
            <w:r>
              <w:t>4.80</w:t>
            </w:r>
          </w:p>
        </w:tc>
      </w:tr>
      <w:tr w14:paraId="4447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D469">
            <w:pPr>
              <w:pStyle w:val="13"/>
            </w:pPr>
            <w:r>
              <w:t>27</w:t>
            </w:r>
          </w:p>
        </w:tc>
        <w:tc>
          <w:tcPr>
            <w:tcW w:w="1191" w:type="dxa"/>
            <w:vAlign w:val="center"/>
          </w:tcPr>
          <w:p w14:paraId="10647D88">
            <w:pPr>
              <w:pStyle w:val="12"/>
            </w:pPr>
            <w:r>
              <w:t>31002</w:t>
            </w:r>
          </w:p>
        </w:tc>
        <w:tc>
          <w:tcPr>
            <w:tcW w:w="4535" w:type="dxa"/>
            <w:vAlign w:val="center"/>
          </w:tcPr>
          <w:p w14:paraId="01C19F5A">
            <w:pPr>
              <w:pStyle w:val="12"/>
            </w:pPr>
            <w:r>
              <w:t>办公设备购置</w:t>
            </w:r>
          </w:p>
        </w:tc>
        <w:tc>
          <w:tcPr>
            <w:tcW w:w="2551" w:type="dxa"/>
            <w:vAlign w:val="center"/>
          </w:tcPr>
          <w:p w14:paraId="48F571BA">
            <w:pPr>
              <w:pStyle w:val="11"/>
            </w:pPr>
            <w:r>
              <w:t>4.80</w:t>
            </w:r>
          </w:p>
        </w:tc>
        <w:tc>
          <w:tcPr>
            <w:tcW w:w="2551" w:type="dxa"/>
            <w:vAlign w:val="center"/>
          </w:tcPr>
          <w:p w14:paraId="39C1A396">
            <w:pPr>
              <w:pStyle w:val="11"/>
            </w:pPr>
          </w:p>
        </w:tc>
        <w:tc>
          <w:tcPr>
            <w:tcW w:w="2551" w:type="dxa"/>
            <w:vAlign w:val="center"/>
          </w:tcPr>
          <w:p w14:paraId="31F9FD9A">
            <w:pPr>
              <w:pStyle w:val="11"/>
            </w:pPr>
            <w:r>
              <w:t>4.80</w:t>
            </w:r>
          </w:p>
        </w:tc>
      </w:tr>
    </w:tbl>
    <w:p w14:paraId="0D7DBD45">
      <w:pPr>
        <w:sectPr>
          <w:pgSz w:w="16840" w:h="11900" w:orient="landscape"/>
          <w:pgMar w:top="1361" w:right="1020" w:bottom="1134" w:left="1020" w:header="720" w:footer="720" w:gutter="0"/>
          <w:cols w:space="720" w:num="1"/>
        </w:sectPr>
      </w:pPr>
    </w:p>
    <w:p w14:paraId="0C892A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55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EEBA2B">
            <w:pPr>
              <w:pStyle w:val="9"/>
            </w:pPr>
            <w:r>
              <w:t>360001隆尧县教育局本级</w:t>
            </w:r>
          </w:p>
        </w:tc>
        <w:tc>
          <w:tcPr>
            <w:tcW w:w="2551" w:type="dxa"/>
            <w:tcBorders>
              <w:top w:val="single" w:color="FFFFFF" w:sz="6" w:space="0"/>
              <w:left w:val="single" w:color="FFFFFF" w:sz="6" w:space="0"/>
              <w:right w:val="single" w:color="FFFFFF" w:sz="6" w:space="0"/>
            </w:tcBorders>
            <w:vAlign w:val="center"/>
          </w:tcPr>
          <w:p w14:paraId="6D23E2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139755">
            <w:pPr>
              <w:pStyle w:val="7"/>
            </w:pPr>
            <w:r>
              <w:t>单位：万元</w:t>
            </w:r>
          </w:p>
        </w:tc>
      </w:tr>
      <w:tr w14:paraId="70F9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B8D61">
            <w:pPr>
              <w:pStyle w:val="10"/>
            </w:pPr>
            <w:r>
              <w:t>序号</w:t>
            </w:r>
          </w:p>
        </w:tc>
        <w:tc>
          <w:tcPr>
            <w:tcW w:w="5726" w:type="dxa"/>
            <w:gridSpan w:val="2"/>
            <w:vAlign w:val="center"/>
          </w:tcPr>
          <w:p w14:paraId="06DB3A30">
            <w:pPr>
              <w:pStyle w:val="10"/>
            </w:pPr>
            <w:r>
              <w:t>功能分类科目</w:t>
            </w:r>
          </w:p>
        </w:tc>
        <w:tc>
          <w:tcPr>
            <w:tcW w:w="2551" w:type="dxa"/>
            <w:vMerge w:val="restart"/>
            <w:vAlign w:val="center"/>
          </w:tcPr>
          <w:p w14:paraId="654FFEBE">
            <w:pPr>
              <w:pStyle w:val="10"/>
            </w:pPr>
            <w:r>
              <w:t>合计</w:t>
            </w:r>
          </w:p>
        </w:tc>
        <w:tc>
          <w:tcPr>
            <w:tcW w:w="2551" w:type="dxa"/>
            <w:vMerge w:val="restart"/>
            <w:vAlign w:val="center"/>
          </w:tcPr>
          <w:p w14:paraId="6AA6A8BF">
            <w:pPr>
              <w:pStyle w:val="10"/>
            </w:pPr>
            <w:r>
              <w:t>基本支出</w:t>
            </w:r>
          </w:p>
        </w:tc>
        <w:tc>
          <w:tcPr>
            <w:tcW w:w="2551" w:type="dxa"/>
            <w:vMerge w:val="restart"/>
            <w:vAlign w:val="center"/>
          </w:tcPr>
          <w:p w14:paraId="66F84890">
            <w:pPr>
              <w:pStyle w:val="10"/>
            </w:pPr>
            <w:r>
              <w:t>项目支出</w:t>
            </w:r>
          </w:p>
        </w:tc>
      </w:tr>
      <w:tr w14:paraId="7DBF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A7ED5B"/>
        </w:tc>
        <w:tc>
          <w:tcPr>
            <w:tcW w:w="1191" w:type="dxa"/>
            <w:vAlign w:val="center"/>
          </w:tcPr>
          <w:p w14:paraId="6CF4BA59">
            <w:pPr>
              <w:pStyle w:val="10"/>
            </w:pPr>
            <w:r>
              <w:t>科目编码</w:t>
            </w:r>
          </w:p>
        </w:tc>
        <w:tc>
          <w:tcPr>
            <w:tcW w:w="4535" w:type="dxa"/>
            <w:vAlign w:val="center"/>
          </w:tcPr>
          <w:p w14:paraId="4E5457A0">
            <w:pPr>
              <w:pStyle w:val="10"/>
            </w:pPr>
            <w:r>
              <w:t>科目名称</w:t>
            </w:r>
          </w:p>
        </w:tc>
        <w:tc>
          <w:tcPr>
            <w:tcW w:w="2551" w:type="dxa"/>
            <w:vMerge w:val="continue"/>
          </w:tcPr>
          <w:p w14:paraId="6D854424"/>
        </w:tc>
        <w:tc>
          <w:tcPr>
            <w:tcW w:w="2551" w:type="dxa"/>
            <w:vMerge w:val="continue"/>
          </w:tcPr>
          <w:p w14:paraId="4035F64F"/>
        </w:tc>
        <w:tc>
          <w:tcPr>
            <w:tcW w:w="2551" w:type="dxa"/>
            <w:vMerge w:val="continue"/>
          </w:tcPr>
          <w:p w14:paraId="376F64B7"/>
        </w:tc>
      </w:tr>
      <w:tr w14:paraId="04DA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72028">
            <w:pPr>
              <w:pStyle w:val="10"/>
            </w:pPr>
            <w:r>
              <w:t>栏次</w:t>
            </w:r>
          </w:p>
        </w:tc>
        <w:tc>
          <w:tcPr>
            <w:tcW w:w="1191" w:type="dxa"/>
            <w:vAlign w:val="center"/>
          </w:tcPr>
          <w:p w14:paraId="2C4ED837">
            <w:pPr>
              <w:pStyle w:val="10"/>
            </w:pPr>
            <w:r>
              <w:t>1</w:t>
            </w:r>
          </w:p>
        </w:tc>
        <w:tc>
          <w:tcPr>
            <w:tcW w:w="4535" w:type="dxa"/>
            <w:vAlign w:val="center"/>
          </w:tcPr>
          <w:p w14:paraId="6D86473A">
            <w:pPr>
              <w:pStyle w:val="10"/>
            </w:pPr>
            <w:r>
              <w:t>2</w:t>
            </w:r>
          </w:p>
        </w:tc>
        <w:tc>
          <w:tcPr>
            <w:tcW w:w="2551" w:type="dxa"/>
            <w:vAlign w:val="center"/>
          </w:tcPr>
          <w:p w14:paraId="2EC72975">
            <w:pPr>
              <w:pStyle w:val="10"/>
            </w:pPr>
            <w:r>
              <w:t>3</w:t>
            </w:r>
          </w:p>
        </w:tc>
        <w:tc>
          <w:tcPr>
            <w:tcW w:w="2551" w:type="dxa"/>
            <w:vAlign w:val="center"/>
          </w:tcPr>
          <w:p w14:paraId="332C0B42">
            <w:pPr>
              <w:pStyle w:val="10"/>
            </w:pPr>
            <w:r>
              <w:t>4</w:t>
            </w:r>
          </w:p>
        </w:tc>
        <w:tc>
          <w:tcPr>
            <w:tcW w:w="2551" w:type="dxa"/>
            <w:vAlign w:val="center"/>
          </w:tcPr>
          <w:p w14:paraId="1F598F96">
            <w:pPr>
              <w:pStyle w:val="10"/>
            </w:pPr>
            <w:r>
              <w:t>5</w:t>
            </w:r>
          </w:p>
        </w:tc>
      </w:tr>
      <w:tr w14:paraId="4801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9BE0">
            <w:pPr>
              <w:pStyle w:val="13"/>
            </w:pPr>
            <w:r>
              <w:t>1</w:t>
            </w:r>
          </w:p>
        </w:tc>
        <w:tc>
          <w:tcPr>
            <w:tcW w:w="1191" w:type="dxa"/>
            <w:vAlign w:val="center"/>
          </w:tcPr>
          <w:p w14:paraId="6107FAE2">
            <w:pPr>
              <w:pStyle w:val="16"/>
            </w:pPr>
          </w:p>
        </w:tc>
        <w:tc>
          <w:tcPr>
            <w:tcW w:w="4535" w:type="dxa"/>
            <w:vAlign w:val="center"/>
          </w:tcPr>
          <w:p w14:paraId="7DAC0B3F">
            <w:pPr>
              <w:pStyle w:val="14"/>
            </w:pPr>
            <w:r>
              <w:t>合计</w:t>
            </w:r>
          </w:p>
        </w:tc>
        <w:tc>
          <w:tcPr>
            <w:tcW w:w="2551" w:type="dxa"/>
            <w:vAlign w:val="center"/>
          </w:tcPr>
          <w:p w14:paraId="0543CEAD">
            <w:pPr>
              <w:pStyle w:val="15"/>
            </w:pPr>
            <w:r>
              <w:t>5283.99</w:t>
            </w:r>
          </w:p>
        </w:tc>
        <w:tc>
          <w:tcPr>
            <w:tcW w:w="2551" w:type="dxa"/>
            <w:vAlign w:val="center"/>
          </w:tcPr>
          <w:p w14:paraId="5E304661">
            <w:pPr>
              <w:pStyle w:val="15"/>
            </w:pPr>
          </w:p>
        </w:tc>
        <w:tc>
          <w:tcPr>
            <w:tcW w:w="2551" w:type="dxa"/>
            <w:vAlign w:val="center"/>
          </w:tcPr>
          <w:p w14:paraId="78B88BDE">
            <w:pPr>
              <w:pStyle w:val="15"/>
            </w:pPr>
            <w:r>
              <w:t>5283.99</w:t>
            </w:r>
          </w:p>
        </w:tc>
      </w:tr>
      <w:tr w14:paraId="3365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E424">
            <w:pPr>
              <w:pStyle w:val="13"/>
            </w:pPr>
            <w:r>
              <w:t>2</w:t>
            </w:r>
          </w:p>
        </w:tc>
        <w:tc>
          <w:tcPr>
            <w:tcW w:w="1191" w:type="dxa"/>
            <w:vAlign w:val="center"/>
          </w:tcPr>
          <w:p w14:paraId="7E12C913">
            <w:pPr>
              <w:pStyle w:val="12"/>
            </w:pPr>
            <w:r>
              <w:t>229</w:t>
            </w:r>
          </w:p>
        </w:tc>
        <w:tc>
          <w:tcPr>
            <w:tcW w:w="4535" w:type="dxa"/>
            <w:vAlign w:val="center"/>
          </w:tcPr>
          <w:p w14:paraId="528541CA">
            <w:pPr>
              <w:pStyle w:val="12"/>
            </w:pPr>
            <w:r>
              <w:t>其他支出</w:t>
            </w:r>
          </w:p>
        </w:tc>
        <w:tc>
          <w:tcPr>
            <w:tcW w:w="2551" w:type="dxa"/>
            <w:vAlign w:val="center"/>
          </w:tcPr>
          <w:p w14:paraId="40CDF2D0">
            <w:pPr>
              <w:pStyle w:val="11"/>
            </w:pPr>
            <w:r>
              <w:t>5283.99</w:t>
            </w:r>
          </w:p>
        </w:tc>
        <w:tc>
          <w:tcPr>
            <w:tcW w:w="2551" w:type="dxa"/>
            <w:vAlign w:val="center"/>
          </w:tcPr>
          <w:p w14:paraId="1FC65248">
            <w:pPr>
              <w:pStyle w:val="11"/>
            </w:pPr>
          </w:p>
        </w:tc>
        <w:tc>
          <w:tcPr>
            <w:tcW w:w="2551" w:type="dxa"/>
            <w:vAlign w:val="center"/>
          </w:tcPr>
          <w:p w14:paraId="73AB45C8">
            <w:pPr>
              <w:pStyle w:val="11"/>
            </w:pPr>
            <w:r>
              <w:t>5283.99</w:t>
            </w:r>
          </w:p>
        </w:tc>
      </w:tr>
      <w:tr w14:paraId="5DFB8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FAFB">
            <w:pPr>
              <w:pStyle w:val="13"/>
            </w:pPr>
            <w:r>
              <w:t>3</w:t>
            </w:r>
          </w:p>
        </w:tc>
        <w:tc>
          <w:tcPr>
            <w:tcW w:w="1191" w:type="dxa"/>
            <w:vAlign w:val="center"/>
          </w:tcPr>
          <w:p w14:paraId="69AF580E">
            <w:pPr>
              <w:pStyle w:val="12"/>
            </w:pPr>
            <w:r>
              <w:t>22904</w:t>
            </w:r>
          </w:p>
        </w:tc>
        <w:tc>
          <w:tcPr>
            <w:tcW w:w="4535" w:type="dxa"/>
            <w:vAlign w:val="center"/>
          </w:tcPr>
          <w:p w14:paraId="4FDE1572">
            <w:pPr>
              <w:pStyle w:val="12"/>
            </w:pPr>
            <w:r>
              <w:t>其他政府性基金及对应专项债务收入安排的支出</w:t>
            </w:r>
          </w:p>
        </w:tc>
        <w:tc>
          <w:tcPr>
            <w:tcW w:w="2551" w:type="dxa"/>
            <w:vAlign w:val="center"/>
          </w:tcPr>
          <w:p w14:paraId="72F312F3">
            <w:pPr>
              <w:pStyle w:val="11"/>
            </w:pPr>
            <w:r>
              <w:t>5283.99</w:t>
            </w:r>
          </w:p>
        </w:tc>
        <w:tc>
          <w:tcPr>
            <w:tcW w:w="2551" w:type="dxa"/>
            <w:vAlign w:val="center"/>
          </w:tcPr>
          <w:p w14:paraId="20A3D91B">
            <w:pPr>
              <w:pStyle w:val="11"/>
            </w:pPr>
          </w:p>
        </w:tc>
        <w:tc>
          <w:tcPr>
            <w:tcW w:w="2551" w:type="dxa"/>
            <w:vAlign w:val="center"/>
          </w:tcPr>
          <w:p w14:paraId="4E2CB84A">
            <w:pPr>
              <w:pStyle w:val="11"/>
            </w:pPr>
            <w:r>
              <w:t>5283.99</w:t>
            </w:r>
          </w:p>
        </w:tc>
      </w:tr>
      <w:tr w14:paraId="19B1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5DA28">
            <w:pPr>
              <w:pStyle w:val="13"/>
            </w:pPr>
            <w:r>
              <w:t>4</w:t>
            </w:r>
          </w:p>
        </w:tc>
        <w:tc>
          <w:tcPr>
            <w:tcW w:w="1191" w:type="dxa"/>
            <w:vAlign w:val="center"/>
          </w:tcPr>
          <w:p w14:paraId="03BE3E56">
            <w:pPr>
              <w:pStyle w:val="12"/>
            </w:pPr>
            <w:r>
              <w:t>2290402</w:t>
            </w:r>
          </w:p>
        </w:tc>
        <w:tc>
          <w:tcPr>
            <w:tcW w:w="4535" w:type="dxa"/>
            <w:vAlign w:val="center"/>
          </w:tcPr>
          <w:p w14:paraId="673F9575">
            <w:pPr>
              <w:pStyle w:val="12"/>
            </w:pPr>
            <w:r>
              <w:t>其他地方自行试点项目收益专项债券收入安排的支出</w:t>
            </w:r>
          </w:p>
        </w:tc>
        <w:tc>
          <w:tcPr>
            <w:tcW w:w="2551" w:type="dxa"/>
            <w:vAlign w:val="center"/>
          </w:tcPr>
          <w:p w14:paraId="67FBCF60">
            <w:pPr>
              <w:pStyle w:val="11"/>
            </w:pPr>
            <w:r>
              <w:t>5283.99</w:t>
            </w:r>
          </w:p>
        </w:tc>
        <w:tc>
          <w:tcPr>
            <w:tcW w:w="2551" w:type="dxa"/>
            <w:vAlign w:val="center"/>
          </w:tcPr>
          <w:p w14:paraId="5F03EC63">
            <w:pPr>
              <w:pStyle w:val="11"/>
            </w:pPr>
          </w:p>
        </w:tc>
        <w:tc>
          <w:tcPr>
            <w:tcW w:w="2551" w:type="dxa"/>
            <w:vAlign w:val="center"/>
          </w:tcPr>
          <w:p w14:paraId="101713D5">
            <w:pPr>
              <w:pStyle w:val="11"/>
            </w:pPr>
            <w:r>
              <w:t>5283.99</w:t>
            </w:r>
          </w:p>
        </w:tc>
      </w:tr>
    </w:tbl>
    <w:p w14:paraId="30B0D703">
      <w:pPr>
        <w:sectPr>
          <w:pgSz w:w="16840" w:h="11900" w:orient="landscape"/>
          <w:pgMar w:top="1361" w:right="1020" w:bottom="1134" w:left="1020" w:header="720" w:footer="720" w:gutter="0"/>
          <w:cols w:space="720" w:num="1"/>
        </w:sectPr>
      </w:pPr>
    </w:p>
    <w:p w14:paraId="1C95BB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B7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13F702">
            <w:pPr>
              <w:pStyle w:val="9"/>
            </w:pPr>
            <w:r>
              <w:t>360001隆尧县教育局本级</w:t>
            </w:r>
          </w:p>
        </w:tc>
        <w:tc>
          <w:tcPr>
            <w:tcW w:w="2551" w:type="dxa"/>
            <w:tcBorders>
              <w:top w:val="single" w:color="FFFFFF" w:sz="6" w:space="0"/>
              <w:left w:val="single" w:color="FFFFFF" w:sz="6" w:space="0"/>
              <w:right w:val="single" w:color="FFFFFF" w:sz="6" w:space="0"/>
            </w:tcBorders>
            <w:vAlign w:val="center"/>
          </w:tcPr>
          <w:p w14:paraId="3599445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EE7430">
            <w:pPr>
              <w:pStyle w:val="7"/>
            </w:pPr>
            <w:r>
              <w:t>单位：万元</w:t>
            </w:r>
          </w:p>
        </w:tc>
      </w:tr>
      <w:tr w14:paraId="5D9C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080A73">
            <w:pPr>
              <w:pStyle w:val="10"/>
            </w:pPr>
            <w:r>
              <w:t>序号</w:t>
            </w:r>
          </w:p>
        </w:tc>
        <w:tc>
          <w:tcPr>
            <w:tcW w:w="5726" w:type="dxa"/>
            <w:gridSpan w:val="2"/>
            <w:vAlign w:val="center"/>
          </w:tcPr>
          <w:p w14:paraId="51CBCCFB">
            <w:pPr>
              <w:pStyle w:val="10"/>
            </w:pPr>
            <w:r>
              <w:t>功能分类科目</w:t>
            </w:r>
          </w:p>
        </w:tc>
        <w:tc>
          <w:tcPr>
            <w:tcW w:w="2551" w:type="dxa"/>
            <w:vMerge w:val="restart"/>
            <w:vAlign w:val="center"/>
          </w:tcPr>
          <w:p w14:paraId="762FF07D">
            <w:pPr>
              <w:pStyle w:val="10"/>
            </w:pPr>
            <w:r>
              <w:t>合计</w:t>
            </w:r>
          </w:p>
        </w:tc>
        <w:tc>
          <w:tcPr>
            <w:tcW w:w="2551" w:type="dxa"/>
            <w:vMerge w:val="restart"/>
            <w:vAlign w:val="center"/>
          </w:tcPr>
          <w:p w14:paraId="6D5DF169">
            <w:pPr>
              <w:pStyle w:val="10"/>
            </w:pPr>
            <w:r>
              <w:t>基本支出</w:t>
            </w:r>
          </w:p>
        </w:tc>
        <w:tc>
          <w:tcPr>
            <w:tcW w:w="2551" w:type="dxa"/>
            <w:vMerge w:val="restart"/>
            <w:vAlign w:val="center"/>
          </w:tcPr>
          <w:p w14:paraId="2EB282CA">
            <w:pPr>
              <w:pStyle w:val="10"/>
            </w:pPr>
            <w:r>
              <w:t>项目支出</w:t>
            </w:r>
          </w:p>
        </w:tc>
      </w:tr>
      <w:tr w14:paraId="7C3B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92D66E"/>
        </w:tc>
        <w:tc>
          <w:tcPr>
            <w:tcW w:w="1191" w:type="dxa"/>
            <w:vAlign w:val="center"/>
          </w:tcPr>
          <w:p w14:paraId="4F1BD8D5">
            <w:pPr>
              <w:pStyle w:val="10"/>
            </w:pPr>
            <w:r>
              <w:t>科目编码</w:t>
            </w:r>
          </w:p>
        </w:tc>
        <w:tc>
          <w:tcPr>
            <w:tcW w:w="4535" w:type="dxa"/>
            <w:vAlign w:val="center"/>
          </w:tcPr>
          <w:p w14:paraId="0F6E6017">
            <w:pPr>
              <w:pStyle w:val="10"/>
            </w:pPr>
            <w:r>
              <w:t>科目名称</w:t>
            </w:r>
          </w:p>
        </w:tc>
        <w:tc>
          <w:tcPr>
            <w:tcW w:w="2551" w:type="dxa"/>
            <w:vMerge w:val="continue"/>
          </w:tcPr>
          <w:p w14:paraId="4B8F1188"/>
        </w:tc>
        <w:tc>
          <w:tcPr>
            <w:tcW w:w="2551" w:type="dxa"/>
            <w:vMerge w:val="continue"/>
          </w:tcPr>
          <w:p w14:paraId="0C838051"/>
        </w:tc>
        <w:tc>
          <w:tcPr>
            <w:tcW w:w="2551" w:type="dxa"/>
            <w:vMerge w:val="continue"/>
          </w:tcPr>
          <w:p w14:paraId="4A8E47F6"/>
        </w:tc>
      </w:tr>
      <w:tr w14:paraId="73D7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0A6EB">
            <w:pPr>
              <w:pStyle w:val="10"/>
            </w:pPr>
            <w:r>
              <w:t>栏次</w:t>
            </w:r>
          </w:p>
        </w:tc>
        <w:tc>
          <w:tcPr>
            <w:tcW w:w="1191" w:type="dxa"/>
            <w:vAlign w:val="center"/>
          </w:tcPr>
          <w:p w14:paraId="4302F84E">
            <w:pPr>
              <w:pStyle w:val="10"/>
            </w:pPr>
            <w:r>
              <w:t>1</w:t>
            </w:r>
          </w:p>
        </w:tc>
        <w:tc>
          <w:tcPr>
            <w:tcW w:w="4535" w:type="dxa"/>
            <w:vAlign w:val="center"/>
          </w:tcPr>
          <w:p w14:paraId="45B7BDCA">
            <w:pPr>
              <w:pStyle w:val="10"/>
            </w:pPr>
            <w:r>
              <w:t>2</w:t>
            </w:r>
          </w:p>
        </w:tc>
        <w:tc>
          <w:tcPr>
            <w:tcW w:w="2551" w:type="dxa"/>
            <w:vAlign w:val="center"/>
          </w:tcPr>
          <w:p w14:paraId="569D9B84">
            <w:pPr>
              <w:pStyle w:val="10"/>
            </w:pPr>
            <w:r>
              <w:t>3</w:t>
            </w:r>
          </w:p>
        </w:tc>
        <w:tc>
          <w:tcPr>
            <w:tcW w:w="2551" w:type="dxa"/>
            <w:vAlign w:val="center"/>
          </w:tcPr>
          <w:p w14:paraId="054BC2D0">
            <w:pPr>
              <w:pStyle w:val="10"/>
            </w:pPr>
            <w:r>
              <w:t>4</w:t>
            </w:r>
          </w:p>
        </w:tc>
        <w:tc>
          <w:tcPr>
            <w:tcW w:w="2551" w:type="dxa"/>
            <w:vAlign w:val="center"/>
          </w:tcPr>
          <w:p w14:paraId="1E563DEA">
            <w:pPr>
              <w:pStyle w:val="10"/>
            </w:pPr>
            <w:r>
              <w:t>5</w:t>
            </w:r>
          </w:p>
        </w:tc>
      </w:tr>
      <w:tr w14:paraId="4715B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6FEF7">
            <w:pPr>
              <w:pStyle w:val="13"/>
            </w:pPr>
          </w:p>
        </w:tc>
        <w:tc>
          <w:tcPr>
            <w:tcW w:w="1191" w:type="dxa"/>
            <w:vAlign w:val="center"/>
          </w:tcPr>
          <w:p w14:paraId="15CC08D5">
            <w:pPr>
              <w:pStyle w:val="12"/>
            </w:pPr>
          </w:p>
        </w:tc>
        <w:tc>
          <w:tcPr>
            <w:tcW w:w="4535" w:type="dxa"/>
            <w:vAlign w:val="center"/>
          </w:tcPr>
          <w:p w14:paraId="3B7AEDC1">
            <w:pPr>
              <w:pStyle w:val="12"/>
            </w:pPr>
          </w:p>
        </w:tc>
        <w:tc>
          <w:tcPr>
            <w:tcW w:w="2551" w:type="dxa"/>
            <w:vAlign w:val="center"/>
          </w:tcPr>
          <w:p w14:paraId="54AEF41D">
            <w:pPr>
              <w:pStyle w:val="11"/>
            </w:pPr>
          </w:p>
        </w:tc>
        <w:tc>
          <w:tcPr>
            <w:tcW w:w="2551" w:type="dxa"/>
            <w:vAlign w:val="center"/>
          </w:tcPr>
          <w:p w14:paraId="11A4E1DA">
            <w:pPr>
              <w:pStyle w:val="11"/>
            </w:pPr>
          </w:p>
        </w:tc>
        <w:tc>
          <w:tcPr>
            <w:tcW w:w="2551" w:type="dxa"/>
            <w:vAlign w:val="center"/>
          </w:tcPr>
          <w:p w14:paraId="6E19F28F">
            <w:pPr>
              <w:pStyle w:val="11"/>
            </w:pPr>
          </w:p>
        </w:tc>
      </w:tr>
    </w:tbl>
    <w:p w14:paraId="2C8AC1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B4B6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6C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20D797">
            <w:pPr>
              <w:pStyle w:val="9"/>
            </w:pPr>
            <w:r>
              <w:t>360001隆尧县教育局本级</w:t>
            </w:r>
          </w:p>
        </w:tc>
        <w:tc>
          <w:tcPr>
            <w:tcW w:w="2381" w:type="dxa"/>
            <w:tcBorders>
              <w:top w:val="single" w:color="FFFFFF" w:sz="6" w:space="0"/>
              <w:left w:val="single" w:color="FFFFFF" w:sz="6" w:space="0"/>
              <w:right w:val="single" w:color="FFFFFF" w:sz="6" w:space="0"/>
            </w:tcBorders>
            <w:vAlign w:val="center"/>
          </w:tcPr>
          <w:p w14:paraId="79ED8B7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F4025ED">
            <w:pPr>
              <w:pStyle w:val="7"/>
            </w:pPr>
            <w:r>
              <w:t>单位：万元</w:t>
            </w:r>
          </w:p>
        </w:tc>
      </w:tr>
      <w:tr w14:paraId="3255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C7F07">
            <w:pPr>
              <w:pStyle w:val="10"/>
            </w:pPr>
            <w:r>
              <w:t>序号</w:t>
            </w:r>
          </w:p>
        </w:tc>
        <w:tc>
          <w:tcPr>
            <w:tcW w:w="3798" w:type="dxa"/>
            <w:vMerge w:val="restart"/>
            <w:vAlign w:val="center"/>
          </w:tcPr>
          <w:p w14:paraId="11F81914">
            <w:pPr>
              <w:pStyle w:val="10"/>
            </w:pPr>
            <w:r>
              <w:t>项  目</w:t>
            </w:r>
          </w:p>
        </w:tc>
        <w:tc>
          <w:tcPr>
            <w:tcW w:w="9524" w:type="dxa"/>
            <w:gridSpan w:val="4"/>
            <w:vAlign w:val="center"/>
          </w:tcPr>
          <w:p w14:paraId="003110A7">
            <w:pPr>
              <w:pStyle w:val="10"/>
            </w:pPr>
            <w:r>
              <w:t>资 金 性 质</w:t>
            </w:r>
          </w:p>
        </w:tc>
      </w:tr>
      <w:tr w14:paraId="4908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3BB8D6"/>
        </w:tc>
        <w:tc>
          <w:tcPr>
            <w:tcW w:w="3798" w:type="dxa"/>
            <w:vMerge w:val="continue"/>
          </w:tcPr>
          <w:p w14:paraId="1E346754"/>
        </w:tc>
        <w:tc>
          <w:tcPr>
            <w:tcW w:w="2381" w:type="dxa"/>
            <w:vAlign w:val="center"/>
          </w:tcPr>
          <w:p w14:paraId="63AACFE1">
            <w:pPr>
              <w:pStyle w:val="10"/>
            </w:pPr>
            <w:r>
              <w:t>合计</w:t>
            </w:r>
          </w:p>
        </w:tc>
        <w:tc>
          <w:tcPr>
            <w:tcW w:w="2381" w:type="dxa"/>
            <w:vAlign w:val="center"/>
          </w:tcPr>
          <w:p w14:paraId="10F4BF77">
            <w:pPr>
              <w:pStyle w:val="10"/>
            </w:pPr>
            <w:r>
              <w:t>一般公共预算              财政拨款</w:t>
            </w:r>
          </w:p>
        </w:tc>
        <w:tc>
          <w:tcPr>
            <w:tcW w:w="2381" w:type="dxa"/>
            <w:vAlign w:val="center"/>
          </w:tcPr>
          <w:p w14:paraId="5B074984">
            <w:pPr>
              <w:pStyle w:val="10"/>
            </w:pPr>
            <w:r>
              <w:t>政府性基金                  预算拨款</w:t>
            </w:r>
          </w:p>
        </w:tc>
        <w:tc>
          <w:tcPr>
            <w:tcW w:w="2381" w:type="dxa"/>
            <w:vAlign w:val="center"/>
          </w:tcPr>
          <w:p w14:paraId="1AEE37CE">
            <w:pPr>
              <w:pStyle w:val="10"/>
            </w:pPr>
            <w:r>
              <w:t>国有资本经营              预算财政拨款</w:t>
            </w:r>
          </w:p>
        </w:tc>
      </w:tr>
      <w:tr w14:paraId="2623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48265E">
            <w:pPr>
              <w:pStyle w:val="10"/>
            </w:pPr>
            <w:r>
              <w:t>栏次</w:t>
            </w:r>
          </w:p>
        </w:tc>
        <w:tc>
          <w:tcPr>
            <w:tcW w:w="3798" w:type="dxa"/>
            <w:vAlign w:val="center"/>
          </w:tcPr>
          <w:p w14:paraId="4C3C85A6">
            <w:pPr>
              <w:pStyle w:val="10"/>
            </w:pPr>
            <w:r>
              <w:t>1</w:t>
            </w:r>
          </w:p>
        </w:tc>
        <w:tc>
          <w:tcPr>
            <w:tcW w:w="2381" w:type="dxa"/>
            <w:vAlign w:val="center"/>
          </w:tcPr>
          <w:p w14:paraId="1C6CE3E2">
            <w:pPr>
              <w:pStyle w:val="10"/>
            </w:pPr>
            <w:r>
              <w:t>2</w:t>
            </w:r>
          </w:p>
        </w:tc>
        <w:tc>
          <w:tcPr>
            <w:tcW w:w="2381" w:type="dxa"/>
            <w:vAlign w:val="center"/>
          </w:tcPr>
          <w:p w14:paraId="61D4A00B">
            <w:pPr>
              <w:pStyle w:val="10"/>
            </w:pPr>
            <w:r>
              <w:t>3</w:t>
            </w:r>
          </w:p>
        </w:tc>
        <w:tc>
          <w:tcPr>
            <w:tcW w:w="2381" w:type="dxa"/>
            <w:vAlign w:val="center"/>
          </w:tcPr>
          <w:p w14:paraId="418FF445">
            <w:pPr>
              <w:pStyle w:val="10"/>
            </w:pPr>
            <w:r>
              <w:t>4</w:t>
            </w:r>
          </w:p>
        </w:tc>
        <w:tc>
          <w:tcPr>
            <w:tcW w:w="2381" w:type="dxa"/>
            <w:vAlign w:val="center"/>
          </w:tcPr>
          <w:p w14:paraId="217863BD">
            <w:pPr>
              <w:pStyle w:val="10"/>
            </w:pPr>
            <w:r>
              <w:t>5</w:t>
            </w:r>
          </w:p>
        </w:tc>
      </w:tr>
      <w:tr w14:paraId="1E12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7C0694">
            <w:pPr>
              <w:pStyle w:val="13"/>
            </w:pPr>
          </w:p>
        </w:tc>
        <w:tc>
          <w:tcPr>
            <w:tcW w:w="3798" w:type="dxa"/>
            <w:vAlign w:val="center"/>
          </w:tcPr>
          <w:p w14:paraId="2B72298C">
            <w:pPr>
              <w:pStyle w:val="12"/>
            </w:pPr>
          </w:p>
        </w:tc>
        <w:tc>
          <w:tcPr>
            <w:tcW w:w="2381" w:type="dxa"/>
            <w:vAlign w:val="center"/>
          </w:tcPr>
          <w:p w14:paraId="57B83BAD">
            <w:pPr>
              <w:pStyle w:val="11"/>
            </w:pPr>
          </w:p>
        </w:tc>
        <w:tc>
          <w:tcPr>
            <w:tcW w:w="2381" w:type="dxa"/>
            <w:vAlign w:val="center"/>
          </w:tcPr>
          <w:p w14:paraId="0F8AA5C7">
            <w:pPr>
              <w:pStyle w:val="11"/>
            </w:pPr>
          </w:p>
        </w:tc>
        <w:tc>
          <w:tcPr>
            <w:tcW w:w="2381" w:type="dxa"/>
            <w:vAlign w:val="center"/>
          </w:tcPr>
          <w:p w14:paraId="453AB65C">
            <w:pPr>
              <w:pStyle w:val="11"/>
            </w:pPr>
          </w:p>
        </w:tc>
        <w:tc>
          <w:tcPr>
            <w:tcW w:w="2381" w:type="dxa"/>
            <w:vAlign w:val="center"/>
          </w:tcPr>
          <w:p w14:paraId="56BC7A18">
            <w:pPr>
              <w:pStyle w:val="11"/>
            </w:pPr>
          </w:p>
        </w:tc>
      </w:tr>
    </w:tbl>
    <w:p w14:paraId="0837E81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D8FDB67">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隆尧县教育局本级2026年单位预算信息公开情况说明</w:t>
      </w:r>
    </w:p>
    <w:p w14:paraId="394929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地方预决算公开操作规程》和《关于进一步推进预算公开工作的实施意见》规定，现将隆尧县教育局本级2026年单位预算公开如下：</w:t>
      </w:r>
    </w:p>
    <w:p w14:paraId="153C190C">
      <w:pPr>
        <w:spacing w:before="10" w:after="10" w:line="240" w:lineRule="auto"/>
        <w:ind w:firstLine="640"/>
        <w:jc w:val="left"/>
        <w:outlineLvl w:val="5"/>
      </w:pPr>
      <w:r>
        <w:rPr>
          <w:rFonts w:ascii="黑体" w:hAnsi="黑体" w:eastAsia="黑体" w:cs="黑体"/>
          <w:color w:val="000000"/>
          <w:sz w:val="32"/>
        </w:rPr>
        <w:t>一、单位职责及机构设置情况</w:t>
      </w:r>
    </w:p>
    <w:p w14:paraId="00B885D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00ED50">
      <w:pPr>
        <w:pStyle w:val="17"/>
      </w:pPr>
      <w:r>
        <w:t>1.负责教育系统党的政治建设、思想建设、组织建设、作风建设、纪律建设和制度建设。</w:t>
      </w:r>
    </w:p>
    <w:p w14:paraId="6E3B62D9">
      <w:pPr>
        <w:pStyle w:val="17"/>
      </w:pPr>
      <w:r>
        <w:t>2.承担所属学校基层党组织和党员队伍建设工作。</w:t>
      </w:r>
    </w:p>
    <w:p w14:paraId="16039DC5">
      <w:pPr>
        <w:pStyle w:val="17"/>
      </w:pPr>
      <w:r>
        <w:t>3.指导全县各级各类</w:t>
      </w:r>
      <w:r>
        <w:rPr>
          <w:rFonts w:hint="eastAsia"/>
          <w:lang w:eastAsia="zh-CN"/>
        </w:rPr>
        <w:t>学校</w:t>
      </w:r>
      <w:r>
        <w:t>意识形态和党的宣传教育工作，指导和督促党的统一战线方针政策在各级各类学校的贯彻落实。</w:t>
      </w:r>
    </w:p>
    <w:p w14:paraId="1693FD5C">
      <w:pPr>
        <w:pStyle w:val="17"/>
      </w:pPr>
      <w:r>
        <w:t>4.按照干部管理权限，负责县教育局所属单位领导班子建设、干部队伍建设、干部选任和日常教育管理工作。</w:t>
      </w:r>
    </w:p>
    <w:p w14:paraId="0C4F03E1">
      <w:pPr>
        <w:pStyle w:val="17"/>
      </w:pPr>
      <w:r>
        <w:t>5.负责全县教师工作。贯彻落实各级各类教师资格标准，负责中小学幼儿园和中等职业学校教师资格认定实施工作，组织实施各级各类教师资格证制度。负责全县教师教育工作，负责教学成果奖评审奖励工作。会同有关单位组织实施教育系统职称评聘、表彰奖励等工作。</w:t>
      </w:r>
    </w:p>
    <w:p w14:paraId="03D6483F">
      <w:pPr>
        <w:pStyle w:val="17"/>
      </w:pPr>
      <w:r>
        <w:t>6.统筹管理教育系统工作。</w:t>
      </w:r>
    </w:p>
    <w:p w14:paraId="2FEFC19F">
      <w:pPr>
        <w:pStyle w:val="17"/>
      </w:pPr>
      <w:r>
        <w:t>7.参与拟订中专院校毕业生就业政策，指导职业院校开展学生就业创业工作。</w:t>
      </w:r>
    </w:p>
    <w:p w14:paraId="74DF760B">
      <w:pPr>
        <w:pStyle w:val="17"/>
      </w:pPr>
      <w:r>
        <w:t>8.负责本系统教育经费的统筹管理和内部审计，参与拟订教育经费筹措、教育拨款、教育基建投资等政策，负责统计全县教育经费投入情况。</w:t>
      </w:r>
    </w:p>
    <w:p w14:paraId="08CEA39A">
      <w:pPr>
        <w:pStyle w:val="17"/>
      </w:pPr>
      <w:r>
        <w:t>9.拟订全县教育改革与发展的政策和规划并组织实施。</w:t>
      </w:r>
    </w:p>
    <w:p w14:paraId="15AB4792">
      <w:pPr>
        <w:pStyle w:val="17"/>
      </w:pPr>
      <w:r>
        <w:t>10.负责全县各级各类教育的统筹规划和协调管理，会同有关单位组织实施各级各类学校的设置标准，负责教育基本信息的统计、分析和发布。</w:t>
      </w:r>
    </w:p>
    <w:p w14:paraId="53E3B5E2">
      <w:pPr>
        <w:pStyle w:val="17"/>
      </w:pPr>
      <w:r>
        <w:t>11.规划、组织并指导全县教育、教学科学研究工作。指导教育信息化工作。</w:t>
      </w:r>
    </w:p>
    <w:p w14:paraId="09B51853">
      <w:pPr>
        <w:pStyle w:val="17"/>
      </w:pPr>
      <w:r>
        <w:t>12. 负责基础教育管理工作。负责义务教育的协调指导</w:t>
      </w:r>
      <w:r>
        <w:rPr>
          <w:rFonts w:hint="eastAsia"/>
          <w:lang w:eastAsia="zh-CN"/>
        </w:rPr>
        <w:t>，推进</w:t>
      </w:r>
      <w:r>
        <w:t>义务教育均衡发展和促进教育公平。</w:t>
      </w:r>
      <w:r>
        <w:rPr>
          <w:rFonts w:hint="eastAsia"/>
          <w:lang w:eastAsia="zh-CN"/>
        </w:rPr>
        <w:t>指导</w:t>
      </w:r>
      <w:r>
        <w:t>普通高中教育、幼儿教育、特殊教育。研究制定基础教育教学政策，推进素质教育。</w:t>
      </w:r>
    </w:p>
    <w:p w14:paraId="13D16B34">
      <w:pPr>
        <w:pStyle w:val="17"/>
      </w:pPr>
      <w:r>
        <w:t>13.负责各级各类学校学生和教师的思想政治工作，指导全县学校思想政治工作队伍建设，指导中小学德育课程教育教学。</w:t>
      </w:r>
    </w:p>
    <w:p w14:paraId="68E36395">
      <w:pPr>
        <w:pStyle w:val="17"/>
      </w:pPr>
      <w:r>
        <w:t>14.指导各级各类学校的德育、体育、卫生、艺术、劳动、国防教育和心理健康教育工作。</w:t>
      </w:r>
    </w:p>
    <w:p w14:paraId="568D37ED">
      <w:pPr>
        <w:pStyle w:val="17"/>
      </w:pPr>
      <w:r>
        <w:t>15.会同有关单位指导职业教育的发展与改革，拟订中等职业教育教学指导政策和教学评估标准，负责中等职业教育的地方教材建设和职业指导工作。负责成人教育和社区教育的指导工作。</w:t>
      </w:r>
    </w:p>
    <w:p w14:paraId="148FF561">
      <w:pPr>
        <w:pStyle w:val="17"/>
      </w:pPr>
      <w:r>
        <w:t>16.指导各级各类学校抓好家校共建工作。</w:t>
      </w:r>
    </w:p>
    <w:p w14:paraId="417A3227">
      <w:pPr>
        <w:pStyle w:val="17"/>
      </w:pPr>
      <w:r>
        <w:t>17.负责民办教育的统筹规划、综合协调和指导管理完善政策措施，规范办学秩序，促进民办教育事业健康发展。</w:t>
      </w:r>
    </w:p>
    <w:p w14:paraId="3D983D07">
      <w:pPr>
        <w:pStyle w:val="17"/>
      </w:pPr>
      <w:r>
        <w:t>18.统筹指导少数民族教育工作，协调对少数民族和少数民族学校的教育</w:t>
      </w:r>
      <w:r>
        <w:rPr>
          <w:rFonts w:hint="eastAsia"/>
          <w:lang w:eastAsia="zh-CN"/>
        </w:rPr>
        <w:t>援助。</w:t>
      </w:r>
    </w:p>
    <w:p w14:paraId="4D3EAB92">
      <w:pPr>
        <w:pStyle w:val="17"/>
      </w:pPr>
      <w:r>
        <w:t>19.负责全县老年教育工作。</w:t>
      </w:r>
    </w:p>
    <w:p w14:paraId="3668194B">
      <w:pPr>
        <w:pStyle w:val="17"/>
      </w:pPr>
      <w:r>
        <w:t>20.负责中高等学历教育招生考试。</w:t>
      </w:r>
    </w:p>
    <w:p w14:paraId="0D299B1E">
      <w:pPr>
        <w:pStyle w:val="17"/>
      </w:pPr>
      <w:r>
        <w:t>21.负责教育系统安全稳定和校园及周边综合治理工作。</w:t>
      </w:r>
    </w:p>
    <w:p w14:paraId="1C864D70">
      <w:pPr>
        <w:pStyle w:val="17"/>
      </w:pPr>
      <w:r>
        <w:t>22.负责全县教育督导工作，组织实施对乡镇政府履行教育职责评价，组织开展全县各级各类教育的督导评估、检查验收、质量监测等工作，承担县人民政府教育督导委员会交办的其他事项。</w:t>
      </w:r>
    </w:p>
    <w:p w14:paraId="13831064">
      <w:pPr>
        <w:pStyle w:val="17"/>
      </w:pPr>
      <w:r>
        <w:t>23.负责全县语言文字工作，组织协调并监督检查汉语文字规范及标准的实施，推广和普及普通话。</w:t>
      </w:r>
    </w:p>
    <w:p w14:paraId="46B25756">
      <w:pPr>
        <w:pStyle w:val="17"/>
      </w:pPr>
      <w:r>
        <w:t>24.承办县委、县政府交办的</w:t>
      </w:r>
      <w:r>
        <w:rPr>
          <w:rFonts w:hint="eastAsia"/>
          <w:lang w:eastAsia="zh-CN"/>
        </w:rPr>
        <w:t>其他事项</w:t>
      </w:r>
      <w:r>
        <w:t xml:space="preserve">。 </w:t>
      </w:r>
    </w:p>
    <w:p w14:paraId="6DDDE08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F08C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0C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2D6B26">
            <w:pPr>
              <w:pStyle w:val="10"/>
            </w:pPr>
            <w:r>
              <w:t>单位名称</w:t>
            </w:r>
          </w:p>
        </w:tc>
        <w:tc>
          <w:tcPr>
            <w:tcW w:w="1843" w:type="dxa"/>
            <w:vAlign w:val="center"/>
          </w:tcPr>
          <w:p w14:paraId="690F259B">
            <w:pPr>
              <w:pStyle w:val="10"/>
            </w:pPr>
            <w:r>
              <w:t>单位性质</w:t>
            </w:r>
          </w:p>
        </w:tc>
        <w:tc>
          <w:tcPr>
            <w:tcW w:w="2126" w:type="dxa"/>
            <w:vAlign w:val="center"/>
          </w:tcPr>
          <w:p w14:paraId="5815E202">
            <w:pPr>
              <w:pStyle w:val="10"/>
            </w:pPr>
            <w:r>
              <w:t>单位规格</w:t>
            </w:r>
          </w:p>
        </w:tc>
        <w:tc>
          <w:tcPr>
            <w:tcW w:w="3827" w:type="dxa"/>
            <w:vAlign w:val="center"/>
          </w:tcPr>
          <w:p w14:paraId="6D810321">
            <w:pPr>
              <w:pStyle w:val="10"/>
            </w:pPr>
            <w:r>
              <w:t>经费保障形式</w:t>
            </w:r>
          </w:p>
        </w:tc>
      </w:tr>
      <w:tr w14:paraId="25BB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5813B2">
            <w:pPr>
              <w:pStyle w:val="12"/>
            </w:pPr>
            <w:r>
              <w:t>隆尧县教育局本级</w:t>
            </w:r>
          </w:p>
        </w:tc>
        <w:tc>
          <w:tcPr>
            <w:tcW w:w="1843" w:type="dxa"/>
            <w:vAlign w:val="center"/>
          </w:tcPr>
          <w:p w14:paraId="43B76E39">
            <w:pPr>
              <w:pStyle w:val="13"/>
            </w:pPr>
            <w:r>
              <w:t>行政</w:t>
            </w:r>
          </w:p>
        </w:tc>
        <w:tc>
          <w:tcPr>
            <w:tcW w:w="2126" w:type="dxa"/>
            <w:vAlign w:val="center"/>
          </w:tcPr>
          <w:p w14:paraId="3625F408">
            <w:pPr>
              <w:pStyle w:val="13"/>
            </w:pPr>
            <w:r>
              <w:t>正科级</w:t>
            </w:r>
          </w:p>
        </w:tc>
        <w:tc>
          <w:tcPr>
            <w:tcW w:w="3827" w:type="dxa"/>
            <w:vAlign w:val="center"/>
          </w:tcPr>
          <w:p w14:paraId="561C92E4">
            <w:pPr>
              <w:pStyle w:val="13"/>
            </w:pPr>
            <w:r>
              <w:t>财政拨款</w:t>
            </w:r>
          </w:p>
        </w:tc>
      </w:tr>
    </w:tbl>
    <w:p w14:paraId="2E58AEBF">
      <w:pPr>
        <w:spacing w:before="10" w:after="10" w:line="240" w:lineRule="auto"/>
        <w:ind w:firstLine="640"/>
        <w:jc w:val="left"/>
        <w:outlineLvl w:val="5"/>
      </w:pPr>
      <w:r>
        <w:rPr>
          <w:rFonts w:ascii="黑体" w:hAnsi="黑体" w:eastAsia="黑体" w:cs="黑体"/>
          <w:color w:val="000000"/>
          <w:sz w:val="32"/>
        </w:rPr>
        <w:t>二、单位预算安排的总体情况</w:t>
      </w:r>
    </w:p>
    <w:p w14:paraId="454C9712">
      <w:pPr>
        <w:pStyle w:val="18"/>
      </w:pPr>
      <w:r>
        <w:t>按照预算管理有关规定，目前我县部门预算的编制实行综合预算管理，即全部收入和支出都反映在预算中。隆尧县教育局及所属事业单位的收支包含在部门预算中。</w:t>
      </w:r>
    </w:p>
    <w:p w14:paraId="01C8CD80">
      <w:pPr>
        <w:pStyle w:val="18"/>
      </w:pPr>
      <w:r>
        <w:t>1、收入说明</w:t>
      </w:r>
    </w:p>
    <w:p w14:paraId="4A579FB2">
      <w:pPr>
        <w:pStyle w:val="18"/>
      </w:pPr>
      <w:r>
        <w:t>反映本部门当年全部收入。2026年预算</w:t>
      </w:r>
      <w:r>
        <w:rPr>
          <w:rFonts w:hint="eastAsia"/>
          <w:lang w:eastAsia="zh-CN"/>
        </w:rPr>
        <w:t>收入</w:t>
      </w:r>
      <w:r>
        <w:t>11332.29万元，其中：一般公共预算收入5852.30万元，基金预算收入0万元，国有资本经营预算收入0万元，财政专户核拨收入196万元，单位资金收入0万元，上年结转结余5283.99万元。</w:t>
      </w:r>
    </w:p>
    <w:p w14:paraId="69EB3B50">
      <w:pPr>
        <w:pStyle w:val="18"/>
      </w:pPr>
      <w:r>
        <w:t>2、支出说明</w:t>
      </w:r>
    </w:p>
    <w:p w14:paraId="6161BD97">
      <w:pPr>
        <w:pStyle w:val="18"/>
      </w:pPr>
      <w:r>
        <w:t>收支预算总表支出栏、基本支出表、项目支出表按经济分类和支出功能分类科目编制，反映隆尧县教育局年度部门预算中支出预算的总体情况。2026年支出预算11332.29万元，其中基本支出294.35万元，包括人员经费233.67万元和日常公用经费60.68万元；项目支出11037.94万元，主要为教育购置和修缮、建设。</w:t>
      </w:r>
    </w:p>
    <w:p w14:paraId="0ED71626">
      <w:pPr>
        <w:pStyle w:val="18"/>
      </w:pPr>
      <w:r>
        <w:t>3、比上年增减情况</w:t>
      </w:r>
    </w:p>
    <w:p w14:paraId="593864B3">
      <w:pPr>
        <w:pStyle w:val="18"/>
      </w:pPr>
      <w:r>
        <w:t>因为</w:t>
      </w:r>
      <w:r>
        <w:rPr>
          <w:rFonts w:hint="eastAsia"/>
          <w:lang w:val="en-US" w:eastAsia="zh-CN"/>
        </w:rPr>
        <w:t>去年</w:t>
      </w:r>
      <w:r>
        <w:t>人员预留经费与</w:t>
      </w:r>
      <w:r>
        <w:rPr>
          <w:rFonts w:hint="eastAsia"/>
          <w:lang w:val="en-US" w:eastAsia="zh-CN"/>
        </w:rPr>
        <w:t>部分学校建设</w:t>
      </w:r>
      <w:r>
        <w:t>项目</w:t>
      </w:r>
      <w:r>
        <w:rPr>
          <w:rFonts w:hint="eastAsia"/>
          <w:lang w:val="en-US" w:eastAsia="zh-CN"/>
        </w:rPr>
        <w:t>等</w:t>
      </w:r>
      <w:r>
        <w:t>安排到</w:t>
      </w:r>
      <w:r>
        <w:rPr>
          <w:rFonts w:hint="eastAsia"/>
          <w:lang w:eastAsia="zh-CN"/>
        </w:rPr>
        <w:t>教育</w:t>
      </w:r>
      <w:r>
        <w:rPr>
          <w:rFonts w:hint="eastAsia"/>
          <w:lang w:val="en-US" w:eastAsia="zh-CN"/>
        </w:rPr>
        <w:t>局本级</w:t>
      </w:r>
      <w:r>
        <w:t>，</w:t>
      </w:r>
      <w:r>
        <w:rPr>
          <w:rFonts w:hint="eastAsia"/>
          <w:lang w:val="en-US" w:eastAsia="zh-CN"/>
        </w:rPr>
        <w:t>所以</w:t>
      </w:r>
      <w:r>
        <w:t>增减变化无法同上年对比。</w:t>
      </w:r>
    </w:p>
    <w:p w14:paraId="5146BC47">
      <w:pPr>
        <w:spacing w:before="10" w:after="10" w:line="240" w:lineRule="auto"/>
        <w:ind w:firstLine="640"/>
        <w:jc w:val="left"/>
        <w:outlineLvl w:val="5"/>
      </w:pPr>
      <w:r>
        <w:rPr>
          <w:rFonts w:ascii="黑体" w:hAnsi="黑体" w:eastAsia="黑体" w:cs="黑体"/>
          <w:color w:val="000000"/>
          <w:sz w:val="32"/>
        </w:rPr>
        <w:t>三、机关运行经费安排情况</w:t>
      </w:r>
    </w:p>
    <w:p w14:paraId="5543708C">
      <w:pPr>
        <w:pStyle w:val="19"/>
      </w:pPr>
      <w:r>
        <w:t>2026年，我部门运行经费共计安排60.68万元，主要用于日常维修、办公用房水电费、办公用房取暖费、办公用房物业管理费等日常运行支出。</w:t>
      </w:r>
    </w:p>
    <w:p w14:paraId="0536A6D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E321A2">
      <w:pPr>
        <w:spacing w:before="10" w:after="10" w:line="360" w:lineRule="auto"/>
        <w:ind w:firstLine="640"/>
        <w:jc w:val="left"/>
        <w:outlineLvl w:val="2"/>
      </w:pPr>
      <w:r>
        <w:t>2026年，我单位财政拨款“三公”经费预算安排0万元，其中因公出国（境）费0万元；公务用车购置及运维费0万元（其中：公务用车购置费为0万元，公务用车运行维护费0万元</w:t>
      </w:r>
      <w:r>
        <w:rPr>
          <w:rFonts w:hint="eastAsia"/>
          <w:lang w:eastAsia="zh-CN"/>
        </w:rPr>
        <w:t>）</w:t>
      </w:r>
      <w:r>
        <w:t>；公务接待费0万元。与2025年相比</w:t>
      </w:r>
      <w:r>
        <w:rPr>
          <w:rFonts w:hint="eastAsia"/>
          <w:lang w:val="en-US" w:eastAsia="zh-CN"/>
        </w:rPr>
        <w:t>减少0.5万元</w:t>
      </w:r>
      <w:r>
        <w:t>。</w:t>
      </w:r>
    </w:p>
    <w:p w14:paraId="526EB25B">
      <w:pPr>
        <w:spacing w:before="10" w:after="10" w:line="360" w:lineRule="auto"/>
        <w:ind w:firstLine="640"/>
        <w:jc w:val="left"/>
        <w:outlineLvl w:val="2"/>
      </w:pPr>
      <w:r>
        <w:rPr>
          <w:rFonts w:ascii="黑体" w:hAnsi="黑体" w:eastAsia="黑体" w:cs="黑体"/>
          <w:color w:val="000000"/>
          <w:sz w:val="32"/>
        </w:rPr>
        <w:t>五、“</w:t>
      </w:r>
      <w:r>
        <w:rPr>
          <w:rFonts w:hint="eastAsia" w:ascii="黑体" w:hAnsi="黑体" w:eastAsia="黑体" w:cs="黑体"/>
          <w:color w:val="000000"/>
          <w:sz w:val="32"/>
          <w:lang w:val="en-US" w:eastAsia="zh-CN"/>
        </w:rPr>
        <w:t>委托业务费</w:t>
      </w:r>
      <w:r>
        <w:rPr>
          <w:rFonts w:ascii="黑体" w:hAnsi="黑体" w:eastAsia="黑体" w:cs="黑体"/>
          <w:color w:val="000000"/>
          <w:sz w:val="32"/>
        </w:rPr>
        <w:t>”经费预算情况及增减变化原因</w:t>
      </w:r>
    </w:p>
    <w:p w14:paraId="78172305">
      <w:pPr>
        <w:pStyle w:val="20"/>
      </w:pPr>
      <w:r>
        <w:t>2026年，我</w:t>
      </w:r>
      <w:r>
        <w:rPr>
          <w:rFonts w:hint="eastAsia"/>
          <w:lang w:val="en-US" w:eastAsia="zh-CN"/>
        </w:rPr>
        <w:t>单位</w:t>
      </w:r>
      <w:bookmarkStart w:id="38" w:name="_GoBack"/>
      <w:bookmarkEnd w:id="38"/>
      <w:r>
        <w:rPr>
          <w:rFonts w:hint="eastAsia"/>
        </w:rPr>
        <w:t>财政拨款</w:t>
      </w:r>
      <w:r>
        <w:t>未安排“</w:t>
      </w:r>
      <w:r>
        <w:rPr>
          <w:rFonts w:hint="eastAsia"/>
          <w:lang w:val="en-US" w:eastAsia="zh-CN"/>
        </w:rPr>
        <w:t>委托业务费</w:t>
      </w:r>
      <w:r>
        <w:t>”经费预算。与2025年相比减少</w:t>
      </w:r>
      <w:r>
        <w:rPr>
          <w:rFonts w:hint="eastAsia"/>
          <w:lang w:val="en-US" w:eastAsia="zh-CN"/>
        </w:rPr>
        <w:t>316.97</w:t>
      </w:r>
      <w:r>
        <w:t>万元。2026年，我</w:t>
      </w:r>
      <w:r>
        <w:rPr>
          <w:rFonts w:hint="eastAsia"/>
          <w:lang w:val="en-US" w:eastAsia="zh-CN"/>
        </w:rPr>
        <w:t>单位非</w:t>
      </w:r>
      <w:r>
        <w:rPr>
          <w:rFonts w:hint="eastAsia"/>
        </w:rPr>
        <w:t>财政拨款</w:t>
      </w:r>
      <w:r>
        <w:t>安排“</w:t>
      </w:r>
      <w:r>
        <w:rPr>
          <w:rFonts w:hint="eastAsia"/>
          <w:lang w:val="en-US" w:eastAsia="zh-CN"/>
        </w:rPr>
        <w:t>委托业务费</w:t>
      </w:r>
      <w:r>
        <w:t>”经费预算</w:t>
      </w:r>
      <w:r>
        <w:rPr>
          <w:rFonts w:hint="eastAsia"/>
          <w:lang w:val="en-US" w:eastAsia="zh-CN"/>
        </w:rPr>
        <w:t>50万元</w:t>
      </w:r>
      <w:r>
        <w:t>。与2025年相比减少</w:t>
      </w:r>
      <w:r>
        <w:rPr>
          <w:rFonts w:hint="eastAsia"/>
          <w:lang w:val="en-US" w:eastAsia="zh-CN"/>
        </w:rPr>
        <w:t>0.4</w:t>
      </w:r>
      <w:r>
        <w:t>万元</w:t>
      </w:r>
      <w:r>
        <w:rPr>
          <w:rFonts w:hint="eastAsia"/>
          <w:lang w:eastAsia="zh-CN"/>
        </w:rPr>
        <w:t>。</w:t>
      </w:r>
      <w:r>
        <w:rPr>
          <w:rFonts w:hint="eastAsia"/>
          <w:lang w:val="en-US" w:eastAsia="zh-CN"/>
        </w:rPr>
        <w:t>减少原因：厉行节约，减少经费开支</w:t>
      </w:r>
      <w:r>
        <w:t>。</w:t>
      </w:r>
    </w:p>
    <w:p w14:paraId="3773032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2A56F6E6">
      <w:pPr>
        <w:spacing w:before="0" w:after="0"/>
        <w:ind w:firstLine="560"/>
        <w:jc w:val="left"/>
        <w:outlineLvl w:val="9"/>
      </w:pPr>
      <w:r>
        <w:rPr>
          <w:rFonts w:ascii="方正仿宋_GBK" w:hAnsi="方正仿宋_GBK" w:eastAsia="方正仿宋_GBK" w:cs="方正仿宋_GBK"/>
          <w:b/>
          <w:color w:val="000000"/>
          <w:sz w:val="28"/>
        </w:rPr>
        <w:t>1、冀财教[2025]116号/中央/2026年普通高中资金/普通高中助学金（唐尧高中）绩效目标表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1D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6E1B5">
            <w:pPr>
              <w:pStyle w:val="11"/>
            </w:pPr>
            <w:r>
              <w:t>单位：万元</w:t>
            </w:r>
          </w:p>
        </w:tc>
      </w:tr>
      <w:tr w14:paraId="78129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BBC8C">
            <w:pPr>
              <w:pStyle w:val="10"/>
            </w:pPr>
            <w:r>
              <w:t>项目编码</w:t>
            </w:r>
          </w:p>
        </w:tc>
        <w:tc>
          <w:tcPr>
            <w:tcW w:w="5103" w:type="dxa"/>
            <w:gridSpan w:val="2"/>
            <w:vAlign w:val="center"/>
          </w:tcPr>
          <w:p w14:paraId="5474D4EB">
            <w:pPr>
              <w:pStyle w:val="12"/>
            </w:pPr>
            <w:r>
              <w:t>13052526P00001210043L</w:t>
            </w:r>
          </w:p>
        </w:tc>
        <w:tc>
          <w:tcPr>
            <w:tcW w:w="2835" w:type="dxa"/>
            <w:vAlign w:val="center"/>
          </w:tcPr>
          <w:p w14:paraId="4399A341">
            <w:pPr>
              <w:pStyle w:val="10"/>
            </w:pPr>
            <w:r>
              <w:t>项目名称</w:t>
            </w:r>
          </w:p>
        </w:tc>
        <w:tc>
          <w:tcPr>
            <w:tcW w:w="6095" w:type="dxa"/>
            <w:gridSpan w:val="3"/>
            <w:vAlign w:val="center"/>
          </w:tcPr>
          <w:p w14:paraId="416AC2F0">
            <w:pPr>
              <w:pStyle w:val="12"/>
            </w:pPr>
            <w:r>
              <w:t>冀财教[2025]116号/中央/2026年普通高中资金/普通高中助学金（唐尧高中）</w:t>
            </w:r>
          </w:p>
        </w:tc>
      </w:tr>
      <w:tr w14:paraId="706CE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BCCC9">
            <w:pPr>
              <w:pStyle w:val="10"/>
            </w:pPr>
            <w:r>
              <w:t>预算规模及资金用途</w:t>
            </w:r>
          </w:p>
        </w:tc>
        <w:tc>
          <w:tcPr>
            <w:tcW w:w="2268" w:type="dxa"/>
            <w:vAlign w:val="center"/>
          </w:tcPr>
          <w:p w14:paraId="3D6129FE">
            <w:pPr>
              <w:pStyle w:val="10"/>
            </w:pPr>
            <w:r>
              <w:t>预算数</w:t>
            </w:r>
          </w:p>
        </w:tc>
        <w:tc>
          <w:tcPr>
            <w:tcW w:w="2835" w:type="dxa"/>
            <w:vAlign w:val="center"/>
          </w:tcPr>
          <w:p w14:paraId="0DC01AFA">
            <w:pPr>
              <w:pStyle w:val="12"/>
            </w:pPr>
            <w:r>
              <w:t>29.00</w:t>
            </w:r>
          </w:p>
        </w:tc>
        <w:tc>
          <w:tcPr>
            <w:tcW w:w="2835" w:type="dxa"/>
            <w:vAlign w:val="center"/>
          </w:tcPr>
          <w:p w14:paraId="35637A34">
            <w:pPr>
              <w:pStyle w:val="10"/>
            </w:pPr>
            <w:r>
              <w:t>其中：财政    资金</w:t>
            </w:r>
          </w:p>
        </w:tc>
        <w:tc>
          <w:tcPr>
            <w:tcW w:w="2551" w:type="dxa"/>
            <w:vAlign w:val="center"/>
          </w:tcPr>
          <w:p w14:paraId="2F9F9073">
            <w:pPr>
              <w:pStyle w:val="12"/>
            </w:pPr>
            <w:r>
              <w:t>29.00</w:t>
            </w:r>
          </w:p>
        </w:tc>
        <w:tc>
          <w:tcPr>
            <w:tcW w:w="2268" w:type="dxa"/>
            <w:vAlign w:val="center"/>
          </w:tcPr>
          <w:p w14:paraId="1329E472">
            <w:pPr>
              <w:pStyle w:val="10"/>
            </w:pPr>
            <w:r>
              <w:t>其他资金</w:t>
            </w:r>
          </w:p>
        </w:tc>
        <w:tc>
          <w:tcPr>
            <w:tcW w:w="1276" w:type="dxa"/>
            <w:vAlign w:val="center"/>
          </w:tcPr>
          <w:p w14:paraId="337E615B">
            <w:pPr>
              <w:pStyle w:val="12"/>
            </w:pPr>
            <w:r>
              <w:t xml:space="preserve"> </w:t>
            </w:r>
          </w:p>
        </w:tc>
      </w:tr>
      <w:tr w14:paraId="0FEB7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E7671"/>
        </w:tc>
        <w:tc>
          <w:tcPr>
            <w:tcW w:w="14033" w:type="dxa"/>
            <w:gridSpan w:val="6"/>
            <w:vAlign w:val="center"/>
          </w:tcPr>
          <w:p w14:paraId="79D3EE47">
            <w:pPr>
              <w:pStyle w:val="12"/>
            </w:pPr>
            <w:r>
              <w:t>优先资助建档立卡家庭学生、孤残学生、父母丧失劳动能力学生、少数民族学生、烈士子女与单亲家庭经济困难学生、低保、特困救助、突发致贫学生。</w:t>
            </w:r>
          </w:p>
        </w:tc>
      </w:tr>
      <w:tr w14:paraId="55111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0A6CD">
            <w:pPr>
              <w:pStyle w:val="10"/>
            </w:pPr>
            <w:r>
              <w:t>资金支出计划（%）</w:t>
            </w:r>
          </w:p>
        </w:tc>
        <w:tc>
          <w:tcPr>
            <w:tcW w:w="5103" w:type="dxa"/>
            <w:gridSpan w:val="2"/>
            <w:vAlign w:val="center"/>
          </w:tcPr>
          <w:p w14:paraId="22CAE9A3">
            <w:pPr>
              <w:pStyle w:val="10"/>
            </w:pPr>
            <w:r>
              <w:t>3月底</w:t>
            </w:r>
          </w:p>
        </w:tc>
        <w:tc>
          <w:tcPr>
            <w:tcW w:w="2835" w:type="dxa"/>
            <w:vAlign w:val="center"/>
          </w:tcPr>
          <w:p w14:paraId="31F2787E">
            <w:pPr>
              <w:pStyle w:val="10"/>
            </w:pPr>
            <w:r>
              <w:t>6月底</w:t>
            </w:r>
          </w:p>
        </w:tc>
        <w:tc>
          <w:tcPr>
            <w:tcW w:w="2551" w:type="dxa"/>
            <w:vAlign w:val="center"/>
          </w:tcPr>
          <w:p w14:paraId="7AF15F35">
            <w:pPr>
              <w:pStyle w:val="10"/>
            </w:pPr>
            <w:r>
              <w:t>10月底</w:t>
            </w:r>
          </w:p>
        </w:tc>
        <w:tc>
          <w:tcPr>
            <w:tcW w:w="3544" w:type="dxa"/>
            <w:gridSpan w:val="2"/>
            <w:vAlign w:val="center"/>
          </w:tcPr>
          <w:p w14:paraId="1F584B2C">
            <w:pPr>
              <w:pStyle w:val="10"/>
            </w:pPr>
            <w:r>
              <w:t>12月底</w:t>
            </w:r>
          </w:p>
        </w:tc>
      </w:tr>
      <w:tr w14:paraId="63DE0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47B93"/>
        </w:tc>
        <w:tc>
          <w:tcPr>
            <w:tcW w:w="5103" w:type="dxa"/>
            <w:gridSpan w:val="2"/>
            <w:vAlign w:val="center"/>
          </w:tcPr>
          <w:p w14:paraId="1BBAD973">
            <w:pPr>
              <w:pStyle w:val="13"/>
            </w:pPr>
            <w:r>
              <w:t>25%</w:t>
            </w:r>
          </w:p>
        </w:tc>
        <w:tc>
          <w:tcPr>
            <w:tcW w:w="2835" w:type="dxa"/>
            <w:vAlign w:val="center"/>
          </w:tcPr>
          <w:p w14:paraId="461DCFCB">
            <w:pPr>
              <w:pStyle w:val="13"/>
            </w:pPr>
            <w:r>
              <w:t>50%</w:t>
            </w:r>
          </w:p>
        </w:tc>
        <w:tc>
          <w:tcPr>
            <w:tcW w:w="2551" w:type="dxa"/>
            <w:vAlign w:val="center"/>
          </w:tcPr>
          <w:p w14:paraId="1742E8FD">
            <w:pPr>
              <w:pStyle w:val="13"/>
            </w:pPr>
            <w:r>
              <w:t>75%</w:t>
            </w:r>
          </w:p>
        </w:tc>
        <w:tc>
          <w:tcPr>
            <w:tcW w:w="3544" w:type="dxa"/>
            <w:gridSpan w:val="2"/>
            <w:vAlign w:val="center"/>
          </w:tcPr>
          <w:p w14:paraId="180EA917">
            <w:pPr>
              <w:pStyle w:val="13"/>
            </w:pPr>
            <w:r>
              <w:t>100%</w:t>
            </w:r>
          </w:p>
        </w:tc>
      </w:tr>
      <w:tr w14:paraId="114FD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420C6">
            <w:pPr>
              <w:pStyle w:val="10"/>
            </w:pPr>
            <w:r>
              <w:t>绩效目标</w:t>
            </w:r>
          </w:p>
        </w:tc>
        <w:tc>
          <w:tcPr>
            <w:tcW w:w="14033" w:type="dxa"/>
            <w:gridSpan w:val="6"/>
            <w:vAlign w:val="center"/>
          </w:tcPr>
          <w:p w14:paraId="18A339F2">
            <w:pPr>
              <w:pStyle w:val="12"/>
            </w:pPr>
            <w:r>
              <w:t>1.优先资助建档立卡家庭学生、孤残学生、父母丧失劳动能力学生、少数民族学生、烈士子女与单亲家庭经济困难学生、低保、特困救助、突发致贫学生。</w:t>
            </w:r>
            <w:r>
              <w:tab/>
            </w:r>
            <w:r>
              <w:tab/>
            </w:r>
            <w:r>
              <w:tab/>
            </w:r>
            <w:r>
              <w:tab/>
            </w:r>
            <w:r>
              <w:tab/>
            </w:r>
            <w:r>
              <w:tab/>
            </w:r>
          </w:p>
          <w:p w14:paraId="547F8263">
            <w:pPr>
              <w:pStyle w:val="12"/>
            </w:pPr>
            <w:r>
              <w:t>2.及时发放资助资金，确保贫困家庭学生得到资助，不因贫困失学辍学。</w:t>
            </w:r>
          </w:p>
          <w:p w14:paraId="5DDF387D">
            <w:pPr>
              <w:pStyle w:val="12"/>
            </w:pPr>
            <w:r>
              <w:t>3.深入宣传学生资助政策，落实河北省普通高中国家助学金管理办法。</w:t>
            </w:r>
            <w:r>
              <w:tab/>
            </w:r>
            <w:r>
              <w:tab/>
            </w:r>
            <w:r>
              <w:tab/>
            </w:r>
            <w:r>
              <w:tab/>
            </w:r>
            <w:r>
              <w:tab/>
            </w:r>
            <w:r>
              <w:tab/>
            </w:r>
          </w:p>
        </w:tc>
      </w:tr>
    </w:tbl>
    <w:p w14:paraId="659BC9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B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D0B2D">
            <w:pPr>
              <w:pStyle w:val="10"/>
            </w:pPr>
            <w:r>
              <w:t>一级指标</w:t>
            </w:r>
          </w:p>
        </w:tc>
        <w:tc>
          <w:tcPr>
            <w:tcW w:w="2268" w:type="dxa"/>
            <w:vAlign w:val="center"/>
          </w:tcPr>
          <w:p w14:paraId="634222A0">
            <w:pPr>
              <w:pStyle w:val="10"/>
            </w:pPr>
            <w:r>
              <w:t>二级指标</w:t>
            </w:r>
          </w:p>
        </w:tc>
        <w:tc>
          <w:tcPr>
            <w:tcW w:w="2835" w:type="dxa"/>
            <w:vAlign w:val="center"/>
          </w:tcPr>
          <w:p w14:paraId="6B3C78A1">
            <w:pPr>
              <w:pStyle w:val="10"/>
            </w:pPr>
            <w:r>
              <w:t>三级指标</w:t>
            </w:r>
          </w:p>
        </w:tc>
        <w:tc>
          <w:tcPr>
            <w:tcW w:w="5386" w:type="dxa"/>
            <w:vAlign w:val="center"/>
          </w:tcPr>
          <w:p w14:paraId="39C258D1">
            <w:pPr>
              <w:pStyle w:val="10"/>
            </w:pPr>
            <w:r>
              <w:t>绩效指标描述</w:t>
            </w:r>
          </w:p>
        </w:tc>
        <w:tc>
          <w:tcPr>
            <w:tcW w:w="2268" w:type="dxa"/>
            <w:vAlign w:val="center"/>
          </w:tcPr>
          <w:p w14:paraId="3FF7A330">
            <w:pPr>
              <w:pStyle w:val="10"/>
            </w:pPr>
            <w:r>
              <w:t>指标值</w:t>
            </w:r>
          </w:p>
        </w:tc>
        <w:tc>
          <w:tcPr>
            <w:tcW w:w="1276" w:type="dxa"/>
            <w:vAlign w:val="center"/>
          </w:tcPr>
          <w:p w14:paraId="15959269">
            <w:pPr>
              <w:pStyle w:val="10"/>
            </w:pPr>
            <w:r>
              <w:t>指标值确定依据</w:t>
            </w:r>
          </w:p>
        </w:tc>
      </w:tr>
      <w:tr w14:paraId="4364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BA430">
            <w:pPr>
              <w:pStyle w:val="13"/>
            </w:pPr>
            <w:r>
              <w:t>产出指标</w:t>
            </w:r>
          </w:p>
        </w:tc>
        <w:tc>
          <w:tcPr>
            <w:tcW w:w="2268" w:type="dxa"/>
            <w:vAlign w:val="center"/>
          </w:tcPr>
          <w:p w14:paraId="7E93405F">
            <w:pPr>
              <w:pStyle w:val="12"/>
            </w:pPr>
            <w:r>
              <w:t>数量指标</w:t>
            </w:r>
          </w:p>
        </w:tc>
        <w:tc>
          <w:tcPr>
            <w:tcW w:w="2835" w:type="dxa"/>
            <w:vAlign w:val="center"/>
          </w:tcPr>
          <w:p w14:paraId="1D8130B5">
            <w:pPr>
              <w:pStyle w:val="12"/>
            </w:pPr>
            <w:r>
              <w:t>高中经济困难资助比例</w:t>
            </w:r>
          </w:p>
        </w:tc>
        <w:tc>
          <w:tcPr>
            <w:tcW w:w="5386" w:type="dxa"/>
            <w:vAlign w:val="center"/>
          </w:tcPr>
          <w:p w14:paraId="7CE7A120">
            <w:pPr>
              <w:pStyle w:val="12"/>
            </w:pPr>
            <w:r>
              <w:t>按在校生18%测算</w:t>
            </w:r>
          </w:p>
        </w:tc>
        <w:tc>
          <w:tcPr>
            <w:tcW w:w="2268" w:type="dxa"/>
            <w:vAlign w:val="center"/>
          </w:tcPr>
          <w:p w14:paraId="2F91B9F8">
            <w:pPr>
              <w:pStyle w:val="12"/>
            </w:pPr>
            <w:r>
              <w:t>≥203人</w:t>
            </w:r>
          </w:p>
        </w:tc>
        <w:tc>
          <w:tcPr>
            <w:tcW w:w="1276" w:type="dxa"/>
            <w:vAlign w:val="center"/>
          </w:tcPr>
          <w:p w14:paraId="22A6A13F">
            <w:pPr>
              <w:pStyle w:val="12"/>
            </w:pPr>
            <w:r>
              <w:t>普通高中国家助学金管理办法</w:t>
            </w:r>
          </w:p>
        </w:tc>
      </w:tr>
      <w:tr w14:paraId="2B8D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CA5DD"/>
        </w:tc>
        <w:tc>
          <w:tcPr>
            <w:tcW w:w="2268" w:type="dxa"/>
            <w:vAlign w:val="center"/>
          </w:tcPr>
          <w:p w14:paraId="27CFCC2E">
            <w:pPr>
              <w:pStyle w:val="12"/>
            </w:pPr>
            <w:r>
              <w:t>质量指标</w:t>
            </w:r>
          </w:p>
        </w:tc>
        <w:tc>
          <w:tcPr>
            <w:tcW w:w="2835" w:type="dxa"/>
            <w:vAlign w:val="center"/>
          </w:tcPr>
          <w:p w14:paraId="76DD9767">
            <w:pPr>
              <w:pStyle w:val="12"/>
            </w:pPr>
            <w:r>
              <w:t>高中助学金资助制度落实情况</w:t>
            </w:r>
          </w:p>
        </w:tc>
        <w:tc>
          <w:tcPr>
            <w:tcW w:w="5386" w:type="dxa"/>
            <w:vAlign w:val="center"/>
          </w:tcPr>
          <w:p w14:paraId="2214F2F9">
            <w:pPr>
              <w:pStyle w:val="12"/>
            </w:pPr>
            <w:r>
              <w:t>符合享受资助条件的学生应助尽助</w:t>
            </w:r>
          </w:p>
        </w:tc>
        <w:tc>
          <w:tcPr>
            <w:tcW w:w="2268" w:type="dxa"/>
            <w:vAlign w:val="center"/>
          </w:tcPr>
          <w:p w14:paraId="616633C2">
            <w:pPr>
              <w:pStyle w:val="12"/>
            </w:pPr>
            <w:r>
              <w:t>100%</w:t>
            </w:r>
          </w:p>
        </w:tc>
        <w:tc>
          <w:tcPr>
            <w:tcW w:w="1276" w:type="dxa"/>
            <w:vAlign w:val="center"/>
          </w:tcPr>
          <w:p w14:paraId="1638E12D">
            <w:pPr>
              <w:pStyle w:val="12"/>
            </w:pPr>
            <w:r>
              <w:t>普通高中国家助学金管理办法</w:t>
            </w:r>
          </w:p>
        </w:tc>
      </w:tr>
      <w:tr w14:paraId="1A63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43BA"/>
        </w:tc>
        <w:tc>
          <w:tcPr>
            <w:tcW w:w="2268" w:type="dxa"/>
            <w:vAlign w:val="center"/>
          </w:tcPr>
          <w:p w14:paraId="51504858">
            <w:pPr>
              <w:pStyle w:val="12"/>
            </w:pPr>
            <w:r>
              <w:t>时效指标</w:t>
            </w:r>
          </w:p>
        </w:tc>
        <w:tc>
          <w:tcPr>
            <w:tcW w:w="2835" w:type="dxa"/>
            <w:vAlign w:val="center"/>
          </w:tcPr>
          <w:p w14:paraId="663DA2B9">
            <w:pPr>
              <w:pStyle w:val="12"/>
            </w:pPr>
            <w:r>
              <w:t>资金拨付率</w:t>
            </w:r>
          </w:p>
        </w:tc>
        <w:tc>
          <w:tcPr>
            <w:tcW w:w="5386" w:type="dxa"/>
            <w:vAlign w:val="center"/>
          </w:tcPr>
          <w:p w14:paraId="1A62F58E">
            <w:pPr>
              <w:pStyle w:val="12"/>
            </w:pPr>
            <w:r>
              <w:t>资助资金支付进度</w:t>
            </w:r>
          </w:p>
        </w:tc>
        <w:tc>
          <w:tcPr>
            <w:tcW w:w="2268" w:type="dxa"/>
            <w:vAlign w:val="center"/>
          </w:tcPr>
          <w:p w14:paraId="153D02E4">
            <w:pPr>
              <w:pStyle w:val="12"/>
            </w:pPr>
            <w:r>
              <w:t>100%</w:t>
            </w:r>
          </w:p>
        </w:tc>
        <w:tc>
          <w:tcPr>
            <w:tcW w:w="1276" w:type="dxa"/>
            <w:vAlign w:val="center"/>
          </w:tcPr>
          <w:p w14:paraId="17C8A19A">
            <w:pPr>
              <w:pStyle w:val="12"/>
            </w:pPr>
            <w:r>
              <w:t>普通高中国家助学金管理办法</w:t>
            </w:r>
          </w:p>
        </w:tc>
      </w:tr>
      <w:tr w14:paraId="129E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B7452"/>
        </w:tc>
        <w:tc>
          <w:tcPr>
            <w:tcW w:w="2268" w:type="dxa"/>
            <w:vAlign w:val="center"/>
          </w:tcPr>
          <w:p w14:paraId="67651EBF">
            <w:pPr>
              <w:pStyle w:val="12"/>
            </w:pPr>
            <w:r>
              <w:t>成本指标</w:t>
            </w:r>
          </w:p>
        </w:tc>
        <w:tc>
          <w:tcPr>
            <w:tcW w:w="2835" w:type="dxa"/>
            <w:vAlign w:val="center"/>
          </w:tcPr>
          <w:p w14:paraId="731955D2">
            <w:pPr>
              <w:pStyle w:val="12"/>
            </w:pPr>
            <w:r>
              <w:t>高中家庭经济困难学生补助标准</w:t>
            </w:r>
          </w:p>
        </w:tc>
        <w:tc>
          <w:tcPr>
            <w:tcW w:w="5386" w:type="dxa"/>
            <w:vAlign w:val="center"/>
          </w:tcPr>
          <w:p w14:paraId="1D1972F6">
            <w:pPr>
              <w:pStyle w:val="12"/>
            </w:pPr>
            <w:r>
              <w:t>标准2300元/生/学年。</w:t>
            </w:r>
          </w:p>
        </w:tc>
        <w:tc>
          <w:tcPr>
            <w:tcW w:w="2268" w:type="dxa"/>
            <w:vAlign w:val="center"/>
          </w:tcPr>
          <w:p w14:paraId="0A81AAC8">
            <w:pPr>
              <w:pStyle w:val="12"/>
            </w:pPr>
            <w:r>
              <w:t>2300元</w:t>
            </w:r>
          </w:p>
        </w:tc>
        <w:tc>
          <w:tcPr>
            <w:tcW w:w="1276" w:type="dxa"/>
            <w:vAlign w:val="center"/>
          </w:tcPr>
          <w:p w14:paraId="2F6ABC07">
            <w:pPr>
              <w:pStyle w:val="12"/>
            </w:pPr>
            <w:r>
              <w:t>普通高中国家助学金管理办法</w:t>
            </w:r>
          </w:p>
        </w:tc>
      </w:tr>
      <w:tr w14:paraId="21C4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84C8D">
            <w:pPr>
              <w:pStyle w:val="13"/>
            </w:pPr>
            <w:r>
              <w:t>效益指标</w:t>
            </w:r>
          </w:p>
        </w:tc>
        <w:tc>
          <w:tcPr>
            <w:tcW w:w="2268" w:type="dxa"/>
            <w:vAlign w:val="center"/>
          </w:tcPr>
          <w:p w14:paraId="086EE219">
            <w:pPr>
              <w:pStyle w:val="12"/>
            </w:pPr>
            <w:r>
              <w:t>可持续影响指标</w:t>
            </w:r>
          </w:p>
        </w:tc>
        <w:tc>
          <w:tcPr>
            <w:tcW w:w="2835" w:type="dxa"/>
            <w:vAlign w:val="center"/>
          </w:tcPr>
          <w:p w14:paraId="605331AB">
            <w:pPr>
              <w:pStyle w:val="12"/>
            </w:pPr>
            <w:r>
              <w:t>学校办学能力提升</w:t>
            </w:r>
          </w:p>
        </w:tc>
        <w:tc>
          <w:tcPr>
            <w:tcW w:w="5386" w:type="dxa"/>
            <w:vAlign w:val="center"/>
          </w:tcPr>
          <w:p w14:paraId="6B1C7DF8">
            <w:pPr>
              <w:pStyle w:val="12"/>
            </w:pPr>
            <w:r>
              <w:t>学校办学能力、提升入学率</w:t>
            </w:r>
          </w:p>
        </w:tc>
        <w:tc>
          <w:tcPr>
            <w:tcW w:w="2268" w:type="dxa"/>
            <w:vAlign w:val="center"/>
          </w:tcPr>
          <w:p w14:paraId="57D2B361">
            <w:pPr>
              <w:pStyle w:val="12"/>
            </w:pPr>
            <w:r>
              <w:t>≥99%</w:t>
            </w:r>
          </w:p>
        </w:tc>
        <w:tc>
          <w:tcPr>
            <w:tcW w:w="1276" w:type="dxa"/>
            <w:vAlign w:val="center"/>
          </w:tcPr>
          <w:p w14:paraId="6A37A23C">
            <w:pPr>
              <w:pStyle w:val="12"/>
            </w:pPr>
            <w:r>
              <w:t>普通高中国家助学金管理办法</w:t>
            </w:r>
          </w:p>
        </w:tc>
      </w:tr>
      <w:tr w14:paraId="081B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4117D">
            <w:pPr>
              <w:pStyle w:val="13"/>
            </w:pPr>
            <w:r>
              <w:t>满意度指标</w:t>
            </w:r>
          </w:p>
        </w:tc>
        <w:tc>
          <w:tcPr>
            <w:tcW w:w="2268" w:type="dxa"/>
            <w:vAlign w:val="center"/>
          </w:tcPr>
          <w:p w14:paraId="1CABA6A9">
            <w:pPr>
              <w:pStyle w:val="12"/>
            </w:pPr>
            <w:r>
              <w:t>服务对象满意度指标</w:t>
            </w:r>
          </w:p>
        </w:tc>
        <w:tc>
          <w:tcPr>
            <w:tcW w:w="2835" w:type="dxa"/>
            <w:vAlign w:val="center"/>
          </w:tcPr>
          <w:p w14:paraId="6F131929">
            <w:pPr>
              <w:pStyle w:val="12"/>
            </w:pPr>
            <w:r>
              <w:t>受益学生家长及调查满意度</w:t>
            </w:r>
          </w:p>
        </w:tc>
        <w:tc>
          <w:tcPr>
            <w:tcW w:w="5386" w:type="dxa"/>
            <w:vAlign w:val="center"/>
          </w:tcPr>
          <w:p w14:paraId="189990CF">
            <w:pPr>
              <w:pStyle w:val="12"/>
            </w:pPr>
            <w:r>
              <w:t>学生、教师及家长对学校保教保育工作满意度情况</w:t>
            </w:r>
          </w:p>
        </w:tc>
        <w:tc>
          <w:tcPr>
            <w:tcW w:w="2268" w:type="dxa"/>
            <w:vAlign w:val="center"/>
          </w:tcPr>
          <w:p w14:paraId="393E70C1">
            <w:pPr>
              <w:pStyle w:val="12"/>
            </w:pPr>
            <w:r>
              <w:t>≥95%</w:t>
            </w:r>
          </w:p>
        </w:tc>
        <w:tc>
          <w:tcPr>
            <w:tcW w:w="1276" w:type="dxa"/>
            <w:vAlign w:val="center"/>
          </w:tcPr>
          <w:p w14:paraId="36A5F667">
            <w:pPr>
              <w:pStyle w:val="12"/>
            </w:pPr>
            <w:r>
              <w:t>调查问卷</w:t>
            </w:r>
          </w:p>
        </w:tc>
      </w:tr>
    </w:tbl>
    <w:p w14:paraId="7A1F2EB3">
      <w:pPr>
        <w:sectPr>
          <w:pgSz w:w="16840" w:h="11900" w:orient="landscape"/>
          <w:pgMar w:top="1361" w:right="1020" w:bottom="1134" w:left="1020" w:header="720" w:footer="720" w:gutter="0"/>
          <w:cols w:space="720" w:num="1"/>
        </w:sectPr>
      </w:pPr>
    </w:p>
    <w:p w14:paraId="22DC0216">
      <w:pPr>
        <w:spacing w:before="0" w:after="0"/>
        <w:ind w:firstLine="560"/>
        <w:jc w:val="left"/>
        <w:outlineLvl w:val="9"/>
      </w:pPr>
      <w:r>
        <w:rPr>
          <w:rFonts w:ascii="方正仿宋_GBK" w:hAnsi="方正仿宋_GBK" w:eastAsia="方正仿宋_GBK" w:cs="方正仿宋_GBK"/>
          <w:b/>
          <w:color w:val="000000"/>
          <w:sz w:val="28"/>
        </w:rPr>
        <w:t>2、冀财教[2025]116号/中央/2026年普通高中资金/普通高中助学金（文茂高中）绩效目标表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D0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7B403">
            <w:pPr>
              <w:pStyle w:val="11"/>
            </w:pPr>
            <w:r>
              <w:t>单位：万元</w:t>
            </w:r>
          </w:p>
        </w:tc>
      </w:tr>
      <w:tr w14:paraId="53B43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53486">
            <w:pPr>
              <w:pStyle w:val="10"/>
            </w:pPr>
            <w:r>
              <w:t>项目编码</w:t>
            </w:r>
          </w:p>
        </w:tc>
        <w:tc>
          <w:tcPr>
            <w:tcW w:w="5103" w:type="dxa"/>
            <w:gridSpan w:val="2"/>
            <w:vAlign w:val="center"/>
          </w:tcPr>
          <w:p w14:paraId="5A6D90DE">
            <w:pPr>
              <w:pStyle w:val="12"/>
            </w:pPr>
            <w:r>
              <w:t>13052526P00001210045U</w:t>
            </w:r>
          </w:p>
        </w:tc>
        <w:tc>
          <w:tcPr>
            <w:tcW w:w="2835" w:type="dxa"/>
            <w:vAlign w:val="center"/>
          </w:tcPr>
          <w:p w14:paraId="39C7882B">
            <w:pPr>
              <w:pStyle w:val="10"/>
            </w:pPr>
            <w:r>
              <w:t>项目名称</w:t>
            </w:r>
          </w:p>
        </w:tc>
        <w:tc>
          <w:tcPr>
            <w:tcW w:w="6095" w:type="dxa"/>
            <w:gridSpan w:val="3"/>
            <w:vAlign w:val="center"/>
          </w:tcPr>
          <w:p w14:paraId="608EDDF7">
            <w:pPr>
              <w:pStyle w:val="12"/>
            </w:pPr>
            <w:r>
              <w:t>冀财教[2025]116号/中央/2026年普通高中资金/普通高中助学金（文茂高中）</w:t>
            </w:r>
          </w:p>
        </w:tc>
      </w:tr>
      <w:tr w14:paraId="41108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854CE">
            <w:pPr>
              <w:pStyle w:val="10"/>
            </w:pPr>
            <w:r>
              <w:t>预算规模及资金用途</w:t>
            </w:r>
          </w:p>
        </w:tc>
        <w:tc>
          <w:tcPr>
            <w:tcW w:w="2268" w:type="dxa"/>
            <w:vAlign w:val="center"/>
          </w:tcPr>
          <w:p w14:paraId="035B5639">
            <w:pPr>
              <w:pStyle w:val="10"/>
            </w:pPr>
            <w:r>
              <w:t>预算数</w:t>
            </w:r>
          </w:p>
        </w:tc>
        <w:tc>
          <w:tcPr>
            <w:tcW w:w="2835" w:type="dxa"/>
            <w:vAlign w:val="center"/>
          </w:tcPr>
          <w:p w14:paraId="77603BAF">
            <w:pPr>
              <w:pStyle w:val="12"/>
            </w:pPr>
            <w:r>
              <w:t>23.00</w:t>
            </w:r>
          </w:p>
        </w:tc>
        <w:tc>
          <w:tcPr>
            <w:tcW w:w="2835" w:type="dxa"/>
            <w:vAlign w:val="center"/>
          </w:tcPr>
          <w:p w14:paraId="1FFEE26E">
            <w:pPr>
              <w:pStyle w:val="10"/>
            </w:pPr>
            <w:r>
              <w:t>其中：财政    资金</w:t>
            </w:r>
          </w:p>
        </w:tc>
        <w:tc>
          <w:tcPr>
            <w:tcW w:w="2551" w:type="dxa"/>
            <w:vAlign w:val="center"/>
          </w:tcPr>
          <w:p w14:paraId="13C62A6D">
            <w:pPr>
              <w:pStyle w:val="12"/>
            </w:pPr>
            <w:r>
              <w:t>23.00</w:t>
            </w:r>
          </w:p>
        </w:tc>
        <w:tc>
          <w:tcPr>
            <w:tcW w:w="2268" w:type="dxa"/>
            <w:vAlign w:val="center"/>
          </w:tcPr>
          <w:p w14:paraId="5A0F379D">
            <w:pPr>
              <w:pStyle w:val="10"/>
            </w:pPr>
            <w:r>
              <w:t>其他资金</w:t>
            </w:r>
          </w:p>
        </w:tc>
        <w:tc>
          <w:tcPr>
            <w:tcW w:w="1276" w:type="dxa"/>
            <w:vAlign w:val="center"/>
          </w:tcPr>
          <w:p w14:paraId="727E6DA7">
            <w:pPr>
              <w:pStyle w:val="12"/>
            </w:pPr>
            <w:r>
              <w:t xml:space="preserve"> </w:t>
            </w:r>
          </w:p>
        </w:tc>
      </w:tr>
      <w:tr w14:paraId="47AE2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6E50F"/>
        </w:tc>
        <w:tc>
          <w:tcPr>
            <w:tcW w:w="14033" w:type="dxa"/>
            <w:gridSpan w:val="6"/>
            <w:vAlign w:val="center"/>
          </w:tcPr>
          <w:p w14:paraId="15B7BA36">
            <w:pPr>
              <w:pStyle w:val="12"/>
            </w:pPr>
            <w:r>
              <w:t>优先资助建档立卡家庭学生、孤残学生、父母丧失劳动能力学生、少数民族学生、烈士子女与单亲家庭经济困难学生、低保、特困救助、突发致贫学生</w:t>
            </w:r>
          </w:p>
        </w:tc>
      </w:tr>
      <w:tr w14:paraId="20212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3C438">
            <w:pPr>
              <w:pStyle w:val="10"/>
            </w:pPr>
            <w:r>
              <w:t>资金支出计划（%）</w:t>
            </w:r>
          </w:p>
        </w:tc>
        <w:tc>
          <w:tcPr>
            <w:tcW w:w="5103" w:type="dxa"/>
            <w:gridSpan w:val="2"/>
            <w:vAlign w:val="center"/>
          </w:tcPr>
          <w:p w14:paraId="4B610773">
            <w:pPr>
              <w:pStyle w:val="10"/>
            </w:pPr>
            <w:r>
              <w:t>3月底</w:t>
            </w:r>
          </w:p>
        </w:tc>
        <w:tc>
          <w:tcPr>
            <w:tcW w:w="2835" w:type="dxa"/>
            <w:vAlign w:val="center"/>
          </w:tcPr>
          <w:p w14:paraId="4FEF4A1D">
            <w:pPr>
              <w:pStyle w:val="10"/>
            </w:pPr>
            <w:r>
              <w:t>6月底</w:t>
            </w:r>
          </w:p>
        </w:tc>
        <w:tc>
          <w:tcPr>
            <w:tcW w:w="2551" w:type="dxa"/>
            <w:vAlign w:val="center"/>
          </w:tcPr>
          <w:p w14:paraId="6CC74BBE">
            <w:pPr>
              <w:pStyle w:val="10"/>
            </w:pPr>
            <w:r>
              <w:t>10月底</w:t>
            </w:r>
          </w:p>
        </w:tc>
        <w:tc>
          <w:tcPr>
            <w:tcW w:w="3544" w:type="dxa"/>
            <w:gridSpan w:val="2"/>
            <w:vAlign w:val="center"/>
          </w:tcPr>
          <w:p w14:paraId="310A019D">
            <w:pPr>
              <w:pStyle w:val="10"/>
            </w:pPr>
            <w:r>
              <w:t>12月底</w:t>
            </w:r>
          </w:p>
        </w:tc>
      </w:tr>
      <w:tr w14:paraId="531FB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36003"/>
        </w:tc>
        <w:tc>
          <w:tcPr>
            <w:tcW w:w="5103" w:type="dxa"/>
            <w:gridSpan w:val="2"/>
            <w:vAlign w:val="center"/>
          </w:tcPr>
          <w:p w14:paraId="4DBFC3B6">
            <w:pPr>
              <w:pStyle w:val="13"/>
            </w:pPr>
            <w:r>
              <w:t>25%</w:t>
            </w:r>
          </w:p>
        </w:tc>
        <w:tc>
          <w:tcPr>
            <w:tcW w:w="2835" w:type="dxa"/>
            <w:vAlign w:val="center"/>
          </w:tcPr>
          <w:p w14:paraId="2CF67067">
            <w:pPr>
              <w:pStyle w:val="13"/>
            </w:pPr>
            <w:r>
              <w:t>50%</w:t>
            </w:r>
          </w:p>
        </w:tc>
        <w:tc>
          <w:tcPr>
            <w:tcW w:w="2551" w:type="dxa"/>
            <w:vAlign w:val="center"/>
          </w:tcPr>
          <w:p w14:paraId="40DC4FA3">
            <w:pPr>
              <w:pStyle w:val="13"/>
            </w:pPr>
            <w:r>
              <w:t>75%</w:t>
            </w:r>
          </w:p>
        </w:tc>
        <w:tc>
          <w:tcPr>
            <w:tcW w:w="3544" w:type="dxa"/>
            <w:gridSpan w:val="2"/>
            <w:vAlign w:val="center"/>
          </w:tcPr>
          <w:p w14:paraId="660B2F32">
            <w:pPr>
              <w:pStyle w:val="13"/>
            </w:pPr>
            <w:r>
              <w:t>100%</w:t>
            </w:r>
          </w:p>
        </w:tc>
      </w:tr>
      <w:tr w14:paraId="44D89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30F49">
            <w:pPr>
              <w:pStyle w:val="10"/>
            </w:pPr>
            <w:r>
              <w:t>绩效目标</w:t>
            </w:r>
          </w:p>
        </w:tc>
        <w:tc>
          <w:tcPr>
            <w:tcW w:w="14033" w:type="dxa"/>
            <w:gridSpan w:val="6"/>
            <w:vAlign w:val="center"/>
          </w:tcPr>
          <w:p w14:paraId="1CA67CC1">
            <w:pPr>
              <w:pStyle w:val="12"/>
            </w:pPr>
            <w:r>
              <w:t>1.优先资助建档立卡家庭学生、孤残学生、父母丧失劳动能力学生、少数民族学生、烈士子女与单亲家庭经济困难学生、低保、特困救助、突发致贫学生</w:t>
            </w:r>
            <w:r>
              <w:tab/>
            </w:r>
            <w:r>
              <w:t>。</w:t>
            </w:r>
            <w:r>
              <w:tab/>
            </w:r>
            <w:r>
              <w:tab/>
            </w:r>
            <w:r>
              <w:tab/>
            </w:r>
            <w:r>
              <w:tab/>
            </w:r>
            <w:r>
              <w:tab/>
            </w:r>
          </w:p>
          <w:p w14:paraId="46FC8EBF">
            <w:pPr>
              <w:pStyle w:val="12"/>
            </w:pPr>
            <w:r>
              <w:t>2.及时发放资助资金，确保贫困家庭学生得到资助，不因贫困失学辍学。</w:t>
            </w:r>
            <w:r>
              <w:tab/>
            </w:r>
            <w:r>
              <w:tab/>
            </w:r>
            <w:r>
              <w:tab/>
            </w:r>
            <w:r>
              <w:tab/>
            </w:r>
            <w:r>
              <w:tab/>
            </w:r>
          </w:p>
          <w:p w14:paraId="0194B88A">
            <w:pPr>
              <w:pStyle w:val="12"/>
            </w:pPr>
            <w:r>
              <w:t>3.深入宣传学生资助政策，落实河北省普通高中国家助学金管理办法。</w:t>
            </w:r>
            <w:r>
              <w:tab/>
            </w:r>
            <w:r>
              <w:tab/>
            </w:r>
            <w:r>
              <w:tab/>
            </w:r>
            <w:r>
              <w:tab/>
            </w:r>
            <w:r>
              <w:tab/>
            </w:r>
            <w:r>
              <w:tab/>
            </w:r>
          </w:p>
          <w:p w14:paraId="052C593D">
            <w:pPr>
              <w:pStyle w:val="12"/>
            </w:pPr>
          </w:p>
        </w:tc>
      </w:tr>
    </w:tbl>
    <w:p w14:paraId="64A9C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D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A5C12">
            <w:pPr>
              <w:pStyle w:val="10"/>
            </w:pPr>
            <w:r>
              <w:t>一级指标</w:t>
            </w:r>
          </w:p>
        </w:tc>
        <w:tc>
          <w:tcPr>
            <w:tcW w:w="2268" w:type="dxa"/>
            <w:vAlign w:val="center"/>
          </w:tcPr>
          <w:p w14:paraId="444E0D4C">
            <w:pPr>
              <w:pStyle w:val="10"/>
            </w:pPr>
            <w:r>
              <w:t>二级指标</w:t>
            </w:r>
          </w:p>
        </w:tc>
        <w:tc>
          <w:tcPr>
            <w:tcW w:w="2835" w:type="dxa"/>
            <w:vAlign w:val="center"/>
          </w:tcPr>
          <w:p w14:paraId="080609E0">
            <w:pPr>
              <w:pStyle w:val="10"/>
            </w:pPr>
            <w:r>
              <w:t>三级指标</w:t>
            </w:r>
          </w:p>
        </w:tc>
        <w:tc>
          <w:tcPr>
            <w:tcW w:w="5386" w:type="dxa"/>
            <w:vAlign w:val="center"/>
          </w:tcPr>
          <w:p w14:paraId="17C3A8E1">
            <w:pPr>
              <w:pStyle w:val="10"/>
            </w:pPr>
            <w:r>
              <w:t>绩效指标描述</w:t>
            </w:r>
          </w:p>
        </w:tc>
        <w:tc>
          <w:tcPr>
            <w:tcW w:w="2268" w:type="dxa"/>
            <w:vAlign w:val="center"/>
          </w:tcPr>
          <w:p w14:paraId="12EC3DD5">
            <w:pPr>
              <w:pStyle w:val="10"/>
            </w:pPr>
            <w:r>
              <w:t>指标值</w:t>
            </w:r>
          </w:p>
        </w:tc>
        <w:tc>
          <w:tcPr>
            <w:tcW w:w="1276" w:type="dxa"/>
            <w:vAlign w:val="center"/>
          </w:tcPr>
          <w:p w14:paraId="5413B5F9">
            <w:pPr>
              <w:pStyle w:val="10"/>
            </w:pPr>
            <w:r>
              <w:t>指标值确定依据</w:t>
            </w:r>
          </w:p>
        </w:tc>
      </w:tr>
      <w:tr w14:paraId="5CC9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DA3C7">
            <w:pPr>
              <w:pStyle w:val="13"/>
            </w:pPr>
            <w:r>
              <w:t>产出指标</w:t>
            </w:r>
          </w:p>
        </w:tc>
        <w:tc>
          <w:tcPr>
            <w:tcW w:w="2268" w:type="dxa"/>
            <w:vAlign w:val="center"/>
          </w:tcPr>
          <w:p w14:paraId="1A9CD721">
            <w:pPr>
              <w:pStyle w:val="12"/>
            </w:pPr>
            <w:r>
              <w:t>数量指标</w:t>
            </w:r>
          </w:p>
        </w:tc>
        <w:tc>
          <w:tcPr>
            <w:tcW w:w="2835" w:type="dxa"/>
            <w:vAlign w:val="center"/>
          </w:tcPr>
          <w:p w14:paraId="30E1C3D4">
            <w:pPr>
              <w:pStyle w:val="12"/>
            </w:pPr>
            <w:r>
              <w:t>普通高中资助人数</w:t>
            </w:r>
          </w:p>
        </w:tc>
        <w:tc>
          <w:tcPr>
            <w:tcW w:w="5386" w:type="dxa"/>
            <w:vAlign w:val="center"/>
          </w:tcPr>
          <w:p w14:paraId="5C9255B0">
            <w:pPr>
              <w:pStyle w:val="12"/>
            </w:pPr>
            <w:r>
              <w:t>普通高中助学受资助人数约占普通高中在校生总数的18%</w:t>
            </w:r>
          </w:p>
        </w:tc>
        <w:tc>
          <w:tcPr>
            <w:tcW w:w="2268" w:type="dxa"/>
            <w:vAlign w:val="center"/>
          </w:tcPr>
          <w:p w14:paraId="68C1C0E4">
            <w:pPr>
              <w:pStyle w:val="12"/>
            </w:pPr>
            <w:r>
              <w:t>≥153人</w:t>
            </w:r>
          </w:p>
        </w:tc>
        <w:tc>
          <w:tcPr>
            <w:tcW w:w="1276" w:type="dxa"/>
            <w:vAlign w:val="center"/>
          </w:tcPr>
          <w:p w14:paraId="72EE174F">
            <w:pPr>
              <w:pStyle w:val="12"/>
            </w:pPr>
            <w:r>
              <w:t>年度预算</w:t>
            </w:r>
          </w:p>
        </w:tc>
      </w:tr>
      <w:tr w14:paraId="5A93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C4431"/>
        </w:tc>
        <w:tc>
          <w:tcPr>
            <w:tcW w:w="2268" w:type="dxa"/>
            <w:vAlign w:val="center"/>
          </w:tcPr>
          <w:p w14:paraId="094FBADD">
            <w:pPr>
              <w:pStyle w:val="12"/>
            </w:pPr>
            <w:r>
              <w:t>质量指标</w:t>
            </w:r>
          </w:p>
        </w:tc>
        <w:tc>
          <w:tcPr>
            <w:tcW w:w="2835" w:type="dxa"/>
            <w:vAlign w:val="center"/>
          </w:tcPr>
          <w:p w14:paraId="0B7C0ADD">
            <w:pPr>
              <w:pStyle w:val="12"/>
            </w:pPr>
            <w:r>
              <w:t>高中助学金资助制度落实情况</w:t>
            </w:r>
          </w:p>
        </w:tc>
        <w:tc>
          <w:tcPr>
            <w:tcW w:w="5386" w:type="dxa"/>
            <w:vAlign w:val="center"/>
          </w:tcPr>
          <w:p w14:paraId="7B570A3F">
            <w:pPr>
              <w:pStyle w:val="12"/>
            </w:pPr>
            <w:r>
              <w:t>符合享受资助条件的学生应助尽助</w:t>
            </w:r>
          </w:p>
        </w:tc>
        <w:tc>
          <w:tcPr>
            <w:tcW w:w="2268" w:type="dxa"/>
            <w:vAlign w:val="center"/>
          </w:tcPr>
          <w:p w14:paraId="065A7B5A">
            <w:pPr>
              <w:pStyle w:val="12"/>
            </w:pPr>
            <w:r>
              <w:t>100%</w:t>
            </w:r>
          </w:p>
        </w:tc>
        <w:tc>
          <w:tcPr>
            <w:tcW w:w="1276" w:type="dxa"/>
            <w:vAlign w:val="center"/>
          </w:tcPr>
          <w:p w14:paraId="14EC618B">
            <w:pPr>
              <w:pStyle w:val="12"/>
            </w:pPr>
            <w:r>
              <w:t>隆尧县普通高中国家助学金管理办法</w:t>
            </w:r>
          </w:p>
        </w:tc>
      </w:tr>
      <w:tr w14:paraId="3347333B">
        <w:tblPrEx>
          <w:tblCellMar>
            <w:top w:w="0" w:type="dxa"/>
            <w:left w:w="108" w:type="dxa"/>
            <w:bottom w:w="0" w:type="dxa"/>
            <w:right w:w="108" w:type="dxa"/>
          </w:tblCellMar>
        </w:tblPrEx>
        <w:trPr>
          <w:trHeight w:val="397" w:hRule="atLeast"/>
          <w:jc w:val="center"/>
        </w:trPr>
        <w:tc>
          <w:tcPr>
            <w:tcW w:w="1276" w:type="dxa"/>
            <w:vMerge w:val="continue"/>
            <w:vAlign w:val="center"/>
          </w:tcPr>
          <w:p w14:paraId="7879F975"/>
        </w:tc>
        <w:tc>
          <w:tcPr>
            <w:tcW w:w="2268" w:type="dxa"/>
            <w:vAlign w:val="center"/>
          </w:tcPr>
          <w:p w14:paraId="52F3B792">
            <w:pPr>
              <w:pStyle w:val="12"/>
            </w:pPr>
            <w:r>
              <w:t>时效指标</w:t>
            </w:r>
          </w:p>
        </w:tc>
        <w:tc>
          <w:tcPr>
            <w:tcW w:w="2835" w:type="dxa"/>
            <w:vAlign w:val="center"/>
          </w:tcPr>
          <w:p w14:paraId="5E6958C5">
            <w:pPr>
              <w:pStyle w:val="12"/>
            </w:pPr>
            <w:r>
              <w:t>资金拨付率</w:t>
            </w:r>
          </w:p>
        </w:tc>
        <w:tc>
          <w:tcPr>
            <w:tcW w:w="5386" w:type="dxa"/>
            <w:vAlign w:val="center"/>
          </w:tcPr>
          <w:p w14:paraId="5F6DF6DE">
            <w:pPr>
              <w:pStyle w:val="12"/>
            </w:pPr>
            <w:r>
              <w:t>资助资金支付进度</w:t>
            </w:r>
          </w:p>
        </w:tc>
        <w:tc>
          <w:tcPr>
            <w:tcW w:w="2268" w:type="dxa"/>
            <w:vAlign w:val="center"/>
          </w:tcPr>
          <w:p w14:paraId="00AE5B10">
            <w:pPr>
              <w:pStyle w:val="12"/>
            </w:pPr>
            <w:r>
              <w:t>100%</w:t>
            </w:r>
          </w:p>
        </w:tc>
        <w:tc>
          <w:tcPr>
            <w:tcW w:w="1276" w:type="dxa"/>
            <w:vAlign w:val="center"/>
          </w:tcPr>
          <w:p w14:paraId="023CCB42">
            <w:pPr>
              <w:pStyle w:val="12"/>
            </w:pPr>
            <w:r>
              <w:t>隆尧县普通高中国家助学金管理办法</w:t>
            </w:r>
          </w:p>
        </w:tc>
      </w:tr>
      <w:tr w14:paraId="5379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214E0"/>
        </w:tc>
        <w:tc>
          <w:tcPr>
            <w:tcW w:w="2268" w:type="dxa"/>
            <w:vAlign w:val="center"/>
          </w:tcPr>
          <w:p w14:paraId="330F7969">
            <w:pPr>
              <w:pStyle w:val="12"/>
            </w:pPr>
            <w:r>
              <w:t>成本指标</w:t>
            </w:r>
          </w:p>
        </w:tc>
        <w:tc>
          <w:tcPr>
            <w:tcW w:w="2835" w:type="dxa"/>
            <w:vAlign w:val="center"/>
          </w:tcPr>
          <w:p w14:paraId="552466B1">
            <w:pPr>
              <w:pStyle w:val="12"/>
            </w:pPr>
            <w:r>
              <w:t>普高国家助学金标准</w:t>
            </w:r>
          </w:p>
        </w:tc>
        <w:tc>
          <w:tcPr>
            <w:tcW w:w="5386" w:type="dxa"/>
            <w:vAlign w:val="center"/>
          </w:tcPr>
          <w:p w14:paraId="6AA6229C">
            <w:pPr>
              <w:pStyle w:val="12"/>
            </w:pPr>
            <w:r>
              <w:t>普高国家助学金资助标准2300元/生/年</w:t>
            </w:r>
          </w:p>
        </w:tc>
        <w:tc>
          <w:tcPr>
            <w:tcW w:w="2268" w:type="dxa"/>
            <w:vAlign w:val="center"/>
          </w:tcPr>
          <w:p w14:paraId="7DE1A530">
            <w:pPr>
              <w:pStyle w:val="12"/>
            </w:pPr>
            <w:r>
              <w:t>2300元</w:t>
            </w:r>
          </w:p>
        </w:tc>
        <w:tc>
          <w:tcPr>
            <w:tcW w:w="1276" w:type="dxa"/>
            <w:vAlign w:val="center"/>
          </w:tcPr>
          <w:p w14:paraId="4CF953FB">
            <w:pPr>
              <w:pStyle w:val="12"/>
            </w:pPr>
            <w:r>
              <w:t>隆尧县普通高中国家助学金管理办法</w:t>
            </w:r>
          </w:p>
        </w:tc>
      </w:tr>
      <w:tr w14:paraId="4C7F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A57ED">
            <w:pPr>
              <w:pStyle w:val="13"/>
            </w:pPr>
            <w:r>
              <w:t>效益指标</w:t>
            </w:r>
          </w:p>
        </w:tc>
        <w:tc>
          <w:tcPr>
            <w:tcW w:w="2268" w:type="dxa"/>
            <w:vAlign w:val="center"/>
          </w:tcPr>
          <w:p w14:paraId="672C57C2">
            <w:pPr>
              <w:pStyle w:val="12"/>
            </w:pPr>
            <w:r>
              <w:t>可持续影响指标</w:t>
            </w:r>
          </w:p>
        </w:tc>
        <w:tc>
          <w:tcPr>
            <w:tcW w:w="2835" w:type="dxa"/>
            <w:vAlign w:val="center"/>
          </w:tcPr>
          <w:p w14:paraId="32378B7B">
            <w:pPr>
              <w:pStyle w:val="12"/>
            </w:pPr>
            <w:r>
              <w:t>高中运转</w:t>
            </w:r>
          </w:p>
        </w:tc>
        <w:tc>
          <w:tcPr>
            <w:tcW w:w="5386" w:type="dxa"/>
            <w:vAlign w:val="center"/>
          </w:tcPr>
          <w:p w14:paraId="214E61FC">
            <w:pPr>
              <w:pStyle w:val="12"/>
            </w:pPr>
            <w:r>
              <w:t>高中生受教育年限</w:t>
            </w:r>
          </w:p>
        </w:tc>
        <w:tc>
          <w:tcPr>
            <w:tcW w:w="2268" w:type="dxa"/>
            <w:vAlign w:val="center"/>
          </w:tcPr>
          <w:p w14:paraId="6D610249">
            <w:pPr>
              <w:pStyle w:val="12"/>
            </w:pPr>
            <w:r>
              <w:t>3年</w:t>
            </w:r>
          </w:p>
        </w:tc>
        <w:tc>
          <w:tcPr>
            <w:tcW w:w="1276" w:type="dxa"/>
            <w:vAlign w:val="center"/>
          </w:tcPr>
          <w:p w14:paraId="4B333ED2">
            <w:pPr>
              <w:pStyle w:val="12"/>
            </w:pPr>
            <w:r>
              <w:t>隆尧县普通高中国家助学金管理办法</w:t>
            </w:r>
          </w:p>
        </w:tc>
      </w:tr>
      <w:tr w14:paraId="71CA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7E1A6">
            <w:pPr>
              <w:pStyle w:val="13"/>
            </w:pPr>
            <w:r>
              <w:t>满意度指标</w:t>
            </w:r>
          </w:p>
        </w:tc>
        <w:tc>
          <w:tcPr>
            <w:tcW w:w="2268" w:type="dxa"/>
            <w:vAlign w:val="center"/>
          </w:tcPr>
          <w:p w14:paraId="3AB29424">
            <w:pPr>
              <w:pStyle w:val="12"/>
            </w:pPr>
            <w:r>
              <w:t>服务对象满意度指标</w:t>
            </w:r>
          </w:p>
        </w:tc>
        <w:tc>
          <w:tcPr>
            <w:tcW w:w="2835" w:type="dxa"/>
            <w:vAlign w:val="center"/>
          </w:tcPr>
          <w:p w14:paraId="7546047C">
            <w:pPr>
              <w:pStyle w:val="12"/>
            </w:pPr>
            <w:r>
              <w:t>受益学生家长及调查满意度</w:t>
            </w:r>
          </w:p>
        </w:tc>
        <w:tc>
          <w:tcPr>
            <w:tcW w:w="5386" w:type="dxa"/>
            <w:vAlign w:val="center"/>
          </w:tcPr>
          <w:p w14:paraId="6F7AEA79">
            <w:pPr>
              <w:pStyle w:val="12"/>
            </w:pPr>
            <w:r>
              <w:t>学生、教师及家长对学校保教保育工作满意度情况</w:t>
            </w:r>
          </w:p>
        </w:tc>
        <w:tc>
          <w:tcPr>
            <w:tcW w:w="2268" w:type="dxa"/>
            <w:vAlign w:val="center"/>
          </w:tcPr>
          <w:p w14:paraId="40855659">
            <w:pPr>
              <w:pStyle w:val="12"/>
            </w:pPr>
            <w:r>
              <w:t>≥95%</w:t>
            </w:r>
          </w:p>
        </w:tc>
        <w:tc>
          <w:tcPr>
            <w:tcW w:w="1276" w:type="dxa"/>
            <w:vAlign w:val="center"/>
          </w:tcPr>
          <w:p w14:paraId="518BA686">
            <w:pPr>
              <w:pStyle w:val="12"/>
            </w:pPr>
            <w:r>
              <w:t>隆尧县普通高中国家助学金管理办法</w:t>
            </w:r>
          </w:p>
        </w:tc>
      </w:tr>
    </w:tbl>
    <w:p w14:paraId="5A2142A8">
      <w:pPr>
        <w:sectPr>
          <w:pgSz w:w="16840" w:h="11900" w:orient="landscape"/>
          <w:pgMar w:top="1361" w:right="1020" w:bottom="1134" w:left="1020" w:header="720" w:footer="720" w:gutter="0"/>
          <w:cols w:space="720" w:num="1"/>
        </w:sectPr>
      </w:pPr>
    </w:p>
    <w:p w14:paraId="12809ADC">
      <w:pPr>
        <w:spacing w:before="0" w:after="0"/>
        <w:ind w:firstLine="560"/>
        <w:jc w:val="left"/>
        <w:outlineLvl w:val="9"/>
      </w:pPr>
      <w:r>
        <w:rPr>
          <w:rFonts w:ascii="方正仿宋_GBK" w:hAnsi="方正仿宋_GBK" w:eastAsia="方正仿宋_GBK" w:cs="方正仿宋_GBK"/>
          <w:b/>
          <w:color w:val="000000"/>
          <w:sz w:val="28"/>
        </w:rPr>
        <w:t>3、冀财教[2025]116号/中央/2026年学生资助/普通高中三免（唐尧中学）建档立卡绩效目标表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BB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CBB0B">
            <w:pPr>
              <w:pStyle w:val="11"/>
            </w:pPr>
            <w:r>
              <w:t>单位：万元</w:t>
            </w:r>
          </w:p>
        </w:tc>
      </w:tr>
      <w:tr w14:paraId="7B1F1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722E2">
            <w:pPr>
              <w:pStyle w:val="10"/>
            </w:pPr>
            <w:r>
              <w:t>项目编码</w:t>
            </w:r>
          </w:p>
        </w:tc>
        <w:tc>
          <w:tcPr>
            <w:tcW w:w="5103" w:type="dxa"/>
            <w:gridSpan w:val="2"/>
            <w:vAlign w:val="center"/>
          </w:tcPr>
          <w:p w14:paraId="030106A4">
            <w:pPr>
              <w:pStyle w:val="12"/>
            </w:pPr>
            <w:r>
              <w:t>13052526P000012100519</w:t>
            </w:r>
          </w:p>
        </w:tc>
        <w:tc>
          <w:tcPr>
            <w:tcW w:w="2835" w:type="dxa"/>
            <w:vAlign w:val="center"/>
          </w:tcPr>
          <w:p w14:paraId="27AF8F31">
            <w:pPr>
              <w:pStyle w:val="10"/>
            </w:pPr>
            <w:r>
              <w:t>项目名称</w:t>
            </w:r>
          </w:p>
        </w:tc>
        <w:tc>
          <w:tcPr>
            <w:tcW w:w="6095" w:type="dxa"/>
            <w:gridSpan w:val="3"/>
            <w:vAlign w:val="center"/>
          </w:tcPr>
          <w:p w14:paraId="773C45FF">
            <w:pPr>
              <w:pStyle w:val="12"/>
            </w:pPr>
            <w:r>
              <w:t>冀财教[2025]116号/中央/2026年学生资助/普通高中三免（唐尧中学）建档立卡</w:t>
            </w:r>
          </w:p>
        </w:tc>
      </w:tr>
      <w:tr w14:paraId="3A27C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5246D">
            <w:pPr>
              <w:pStyle w:val="10"/>
            </w:pPr>
            <w:r>
              <w:t>预算规模及资金用途</w:t>
            </w:r>
          </w:p>
        </w:tc>
        <w:tc>
          <w:tcPr>
            <w:tcW w:w="2268" w:type="dxa"/>
            <w:vAlign w:val="center"/>
          </w:tcPr>
          <w:p w14:paraId="65142A45">
            <w:pPr>
              <w:pStyle w:val="10"/>
            </w:pPr>
            <w:r>
              <w:t>预算数</w:t>
            </w:r>
          </w:p>
        </w:tc>
        <w:tc>
          <w:tcPr>
            <w:tcW w:w="2835" w:type="dxa"/>
            <w:vAlign w:val="center"/>
          </w:tcPr>
          <w:p w14:paraId="4B8BA1C5">
            <w:pPr>
              <w:pStyle w:val="12"/>
            </w:pPr>
            <w:r>
              <w:t>3.00</w:t>
            </w:r>
          </w:p>
        </w:tc>
        <w:tc>
          <w:tcPr>
            <w:tcW w:w="2835" w:type="dxa"/>
            <w:vAlign w:val="center"/>
          </w:tcPr>
          <w:p w14:paraId="58988900">
            <w:pPr>
              <w:pStyle w:val="10"/>
            </w:pPr>
            <w:r>
              <w:t>其中：财政    资金</w:t>
            </w:r>
          </w:p>
        </w:tc>
        <w:tc>
          <w:tcPr>
            <w:tcW w:w="2551" w:type="dxa"/>
            <w:vAlign w:val="center"/>
          </w:tcPr>
          <w:p w14:paraId="1041B3E5">
            <w:pPr>
              <w:pStyle w:val="12"/>
            </w:pPr>
            <w:r>
              <w:t>3.00</w:t>
            </w:r>
          </w:p>
        </w:tc>
        <w:tc>
          <w:tcPr>
            <w:tcW w:w="2268" w:type="dxa"/>
            <w:vAlign w:val="center"/>
          </w:tcPr>
          <w:p w14:paraId="03A257B8">
            <w:pPr>
              <w:pStyle w:val="10"/>
            </w:pPr>
            <w:r>
              <w:t>其他资金</w:t>
            </w:r>
          </w:p>
        </w:tc>
        <w:tc>
          <w:tcPr>
            <w:tcW w:w="1276" w:type="dxa"/>
            <w:vAlign w:val="center"/>
          </w:tcPr>
          <w:p w14:paraId="53EB5C05">
            <w:pPr>
              <w:pStyle w:val="12"/>
            </w:pPr>
            <w:r>
              <w:t xml:space="preserve"> </w:t>
            </w:r>
          </w:p>
        </w:tc>
      </w:tr>
      <w:tr w14:paraId="6FCB9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FF6F4"/>
        </w:tc>
        <w:tc>
          <w:tcPr>
            <w:tcW w:w="14033" w:type="dxa"/>
            <w:gridSpan w:val="6"/>
            <w:vAlign w:val="center"/>
          </w:tcPr>
          <w:p w14:paraId="62A61856">
            <w:pPr>
              <w:pStyle w:val="12"/>
            </w:pPr>
            <w:r>
              <w:t>深入宣传学生免学费政策，落实普通高中建档立卡家庭困难学生免除学杂费政策。</w:t>
            </w:r>
            <w:r>
              <w:tab/>
            </w:r>
            <w:r>
              <w:tab/>
            </w:r>
            <w:r>
              <w:tab/>
            </w:r>
            <w:r>
              <w:tab/>
            </w:r>
            <w:r>
              <w:tab/>
            </w:r>
            <w:r>
              <w:tab/>
            </w:r>
          </w:p>
        </w:tc>
      </w:tr>
      <w:tr w14:paraId="6EDEF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BC657">
            <w:pPr>
              <w:pStyle w:val="10"/>
            </w:pPr>
            <w:r>
              <w:t>资金支出计划（%）</w:t>
            </w:r>
          </w:p>
        </w:tc>
        <w:tc>
          <w:tcPr>
            <w:tcW w:w="5103" w:type="dxa"/>
            <w:gridSpan w:val="2"/>
            <w:vAlign w:val="center"/>
          </w:tcPr>
          <w:p w14:paraId="070FEE1C">
            <w:pPr>
              <w:pStyle w:val="10"/>
            </w:pPr>
            <w:r>
              <w:t>3月底</w:t>
            </w:r>
          </w:p>
        </w:tc>
        <w:tc>
          <w:tcPr>
            <w:tcW w:w="2835" w:type="dxa"/>
            <w:vAlign w:val="center"/>
          </w:tcPr>
          <w:p w14:paraId="24CB9BF8">
            <w:pPr>
              <w:pStyle w:val="10"/>
            </w:pPr>
            <w:r>
              <w:t>6月底</w:t>
            </w:r>
          </w:p>
        </w:tc>
        <w:tc>
          <w:tcPr>
            <w:tcW w:w="2551" w:type="dxa"/>
            <w:vAlign w:val="center"/>
          </w:tcPr>
          <w:p w14:paraId="3755DF3C">
            <w:pPr>
              <w:pStyle w:val="10"/>
            </w:pPr>
            <w:r>
              <w:t>10月底</w:t>
            </w:r>
          </w:p>
        </w:tc>
        <w:tc>
          <w:tcPr>
            <w:tcW w:w="3544" w:type="dxa"/>
            <w:gridSpan w:val="2"/>
            <w:vAlign w:val="center"/>
          </w:tcPr>
          <w:p w14:paraId="00B30E4D">
            <w:pPr>
              <w:pStyle w:val="10"/>
            </w:pPr>
            <w:r>
              <w:t>12月底</w:t>
            </w:r>
          </w:p>
        </w:tc>
      </w:tr>
      <w:tr w14:paraId="61A99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D9FD4"/>
        </w:tc>
        <w:tc>
          <w:tcPr>
            <w:tcW w:w="5103" w:type="dxa"/>
            <w:gridSpan w:val="2"/>
            <w:vAlign w:val="center"/>
          </w:tcPr>
          <w:p w14:paraId="3C21D02D">
            <w:pPr>
              <w:pStyle w:val="13"/>
            </w:pPr>
            <w:r>
              <w:t>25%</w:t>
            </w:r>
          </w:p>
        </w:tc>
        <w:tc>
          <w:tcPr>
            <w:tcW w:w="2835" w:type="dxa"/>
            <w:vAlign w:val="center"/>
          </w:tcPr>
          <w:p w14:paraId="6C3D6639">
            <w:pPr>
              <w:pStyle w:val="13"/>
            </w:pPr>
            <w:r>
              <w:t>50%</w:t>
            </w:r>
          </w:p>
        </w:tc>
        <w:tc>
          <w:tcPr>
            <w:tcW w:w="2551" w:type="dxa"/>
            <w:vAlign w:val="center"/>
          </w:tcPr>
          <w:p w14:paraId="4DE9FBB4">
            <w:pPr>
              <w:pStyle w:val="13"/>
            </w:pPr>
            <w:r>
              <w:t>75%</w:t>
            </w:r>
          </w:p>
        </w:tc>
        <w:tc>
          <w:tcPr>
            <w:tcW w:w="3544" w:type="dxa"/>
            <w:gridSpan w:val="2"/>
            <w:vAlign w:val="center"/>
          </w:tcPr>
          <w:p w14:paraId="53B651C0">
            <w:pPr>
              <w:pStyle w:val="13"/>
            </w:pPr>
            <w:r>
              <w:t>100%</w:t>
            </w:r>
          </w:p>
        </w:tc>
      </w:tr>
      <w:tr w14:paraId="78FE3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2B931">
            <w:pPr>
              <w:pStyle w:val="10"/>
            </w:pPr>
            <w:r>
              <w:t>绩效目标</w:t>
            </w:r>
          </w:p>
        </w:tc>
        <w:tc>
          <w:tcPr>
            <w:tcW w:w="14033" w:type="dxa"/>
            <w:gridSpan w:val="6"/>
            <w:vAlign w:val="center"/>
          </w:tcPr>
          <w:p w14:paraId="207FB6D1">
            <w:pPr>
              <w:pStyle w:val="12"/>
            </w:pPr>
            <w:r>
              <w:t>深入宣传学生免学费政策，落实普通高中建档立卡家庭困难学生免除学杂费政策。</w:t>
            </w:r>
          </w:p>
        </w:tc>
      </w:tr>
    </w:tbl>
    <w:p w14:paraId="2FCFB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1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AEA7A">
            <w:pPr>
              <w:pStyle w:val="10"/>
            </w:pPr>
            <w:r>
              <w:t>一级指标</w:t>
            </w:r>
          </w:p>
        </w:tc>
        <w:tc>
          <w:tcPr>
            <w:tcW w:w="2268" w:type="dxa"/>
            <w:vAlign w:val="center"/>
          </w:tcPr>
          <w:p w14:paraId="181F9587">
            <w:pPr>
              <w:pStyle w:val="10"/>
            </w:pPr>
            <w:r>
              <w:t>二级指标</w:t>
            </w:r>
          </w:p>
        </w:tc>
        <w:tc>
          <w:tcPr>
            <w:tcW w:w="2835" w:type="dxa"/>
            <w:vAlign w:val="center"/>
          </w:tcPr>
          <w:p w14:paraId="48CD4441">
            <w:pPr>
              <w:pStyle w:val="10"/>
            </w:pPr>
            <w:r>
              <w:t>三级指标</w:t>
            </w:r>
          </w:p>
        </w:tc>
        <w:tc>
          <w:tcPr>
            <w:tcW w:w="5386" w:type="dxa"/>
            <w:vAlign w:val="center"/>
          </w:tcPr>
          <w:p w14:paraId="0C63029D">
            <w:pPr>
              <w:pStyle w:val="10"/>
            </w:pPr>
            <w:r>
              <w:t>绩效指标描述</w:t>
            </w:r>
          </w:p>
        </w:tc>
        <w:tc>
          <w:tcPr>
            <w:tcW w:w="2268" w:type="dxa"/>
            <w:vAlign w:val="center"/>
          </w:tcPr>
          <w:p w14:paraId="28D742A0">
            <w:pPr>
              <w:pStyle w:val="10"/>
            </w:pPr>
            <w:r>
              <w:t>指标值</w:t>
            </w:r>
          </w:p>
        </w:tc>
        <w:tc>
          <w:tcPr>
            <w:tcW w:w="1276" w:type="dxa"/>
            <w:vAlign w:val="center"/>
          </w:tcPr>
          <w:p w14:paraId="4ED5807C">
            <w:pPr>
              <w:pStyle w:val="10"/>
            </w:pPr>
            <w:r>
              <w:t>指标值确定依据</w:t>
            </w:r>
          </w:p>
        </w:tc>
      </w:tr>
      <w:tr w14:paraId="4A5E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9E593">
            <w:pPr>
              <w:pStyle w:val="13"/>
            </w:pPr>
            <w:r>
              <w:t>产出指标</w:t>
            </w:r>
          </w:p>
        </w:tc>
        <w:tc>
          <w:tcPr>
            <w:tcW w:w="2268" w:type="dxa"/>
            <w:vAlign w:val="center"/>
          </w:tcPr>
          <w:p w14:paraId="5FC5852E">
            <w:pPr>
              <w:pStyle w:val="12"/>
            </w:pPr>
            <w:r>
              <w:t>数量指标</w:t>
            </w:r>
          </w:p>
        </w:tc>
        <w:tc>
          <w:tcPr>
            <w:tcW w:w="2835" w:type="dxa"/>
            <w:vAlign w:val="center"/>
          </w:tcPr>
          <w:p w14:paraId="0AAB2087">
            <w:pPr>
              <w:pStyle w:val="12"/>
            </w:pPr>
            <w:r>
              <w:t>普通高中资助人数</w:t>
            </w:r>
          </w:p>
        </w:tc>
        <w:tc>
          <w:tcPr>
            <w:tcW w:w="5386" w:type="dxa"/>
            <w:vAlign w:val="center"/>
          </w:tcPr>
          <w:p w14:paraId="611C61F9">
            <w:pPr>
              <w:pStyle w:val="12"/>
            </w:pPr>
            <w:r>
              <w:t>在我校就读具有正式注册学籍的建档立卡家庭学生</w:t>
            </w:r>
          </w:p>
        </w:tc>
        <w:tc>
          <w:tcPr>
            <w:tcW w:w="2268" w:type="dxa"/>
            <w:vAlign w:val="center"/>
          </w:tcPr>
          <w:p w14:paraId="2BDBB6E1">
            <w:pPr>
              <w:pStyle w:val="12"/>
            </w:pPr>
            <w:r>
              <w:t>≥88人</w:t>
            </w:r>
          </w:p>
        </w:tc>
        <w:tc>
          <w:tcPr>
            <w:tcW w:w="1276" w:type="dxa"/>
            <w:vAlign w:val="center"/>
          </w:tcPr>
          <w:p w14:paraId="131FD5A8">
            <w:pPr>
              <w:pStyle w:val="12"/>
            </w:pPr>
            <w:r>
              <w:t>河北省建档立卡家庭经济困难学生资助管理暂行办法</w:t>
            </w:r>
          </w:p>
        </w:tc>
      </w:tr>
      <w:tr w14:paraId="112BA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F8B5D"/>
        </w:tc>
        <w:tc>
          <w:tcPr>
            <w:tcW w:w="2268" w:type="dxa"/>
            <w:vAlign w:val="center"/>
          </w:tcPr>
          <w:p w14:paraId="37FC8F08">
            <w:pPr>
              <w:pStyle w:val="12"/>
            </w:pPr>
            <w:r>
              <w:t>质量指标</w:t>
            </w:r>
          </w:p>
        </w:tc>
        <w:tc>
          <w:tcPr>
            <w:tcW w:w="2835" w:type="dxa"/>
            <w:vAlign w:val="center"/>
          </w:tcPr>
          <w:p w14:paraId="18F9FD5F">
            <w:pPr>
              <w:pStyle w:val="12"/>
            </w:pPr>
            <w:r>
              <w:t>完成普高三免资金发放</w:t>
            </w:r>
          </w:p>
        </w:tc>
        <w:tc>
          <w:tcPr>
            <w:tcW w:w="5386" w:type="dxa"/>
            <w:vAlign w:val="center"/>
          </w:tcPr>
          <w:p w14:paraId="0BF836C6">
            <w:pPr>
              <w:pStyle w:val="12"/>
            </w:pPr>
            <w:r>
              <w:t>普高三免为建档立卡学生</w:t>
            </w:r>
          </w:p>
        </w:tc>
        <w:tc>
          <w:tcPr>
            <w:tcW w:w="2268" w:type="dxa"/>
            <w:vAlign w:val="center"/>
          </w:tcPr>
          <w:p w14:paraId="5D3EC29D">
            <w:pPr>
              <w:pStyle w:val="12"/>
            </w:pPr>
            <w:r>
              <w:t>100%</w:t>
            </w:r>
          </w:p>
        </w:tc>
        <w:tc>
          <w:tcPr>
            <w:tcW w:w="1276" w:type="dxa"/>
            <w:vAlign w:val="center"/>
          </w:tcPr>
          <w:p w14:paraId="28A9A33E">
            <w:pPr>
              <w:pStyle w:val="12"/>
            </w:pPr>
            <w:r>
              <w:t>河北省建档立卡家庭经济困难学生资助管理暂行办法</w:t>
            </w:r>
          </w:p>
        </w:tc>
      </w:tr>
      <w:tr w14:paraId="49F8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32065"/>
        </w:tc>
        <w:tc>
          <w:tcPr>
            <w:tcW w:w="2268" w:type="dxa"/>
            <w:vAlign w:val="center"/>
          </w:tcPr>
          <w:p w14:paraId="2EA4077F">
            <w:pPr>
              <w:pStyle w:val="12"/>
            </w:pPr>
            <w:r>
              <w:t>时效指标</w:t>
            </w:r>
          </w:p>
        </w:tc>
        <w:tc>
          <w:tcPr>
            <w:tcW w:w="2835" w:type="dxa"/>
            <w:vAlign w:val="center"/>
          </w:tcPr>
          <w:p w14:paraId="355172FA">
            <w:pPr>
              <w:pStyle w:val="12"/>
            </w:pPr>
            <w:r>
              <w:t>补助资金到位</w:t>
            </w:r>
          </w:p>
        </w:tc>
        <w:tc>
          <w:tcPr>
            <w:tcW w:w="5386" w:type="dxa"/>
            <w:vAlign w:val="center"/>
          </w:tcPr>
          <w:p w14:paraId="30F03EC7">
            <w:pPr>
              <w:pStyle w:val="12"/>
            </w:pPr>
            <w:r>
              <w:t>补助资金到位及时率</w:t>
            </w:r>
          </w:p>
        </w:tc>
        <w:tc>
          <w:tcPr>
            <w:tcW w:w="2268" w:type="dxa"/>
            <w:vAlign w:val="center"/>
          </w:tcPr>
          <w:p w14:paraId="4BBA3148">
            <w:pPr>
              <w:pStyle w:val="12"/>
            </w:pPr>
            <w:r>
              <w:t>100%</w:t>
            </w:r>
          </w:p>
        </w:tc>
        <w:tc>
          <w:tcPr>
            <w:tcW w:w="1276" w:type="dxa"/>
            <w:vAlign w:val="center"/>
          </w:tcPr>
          <w:p w14:paraId="41AC6A49">
            <w:pPr>
              <w:pStyle w:val="12"/>
            </w:pPr>
            <w:r>
              <w:t>河北省建档立卡家庭经济困难学生资助管理暂行办法</w:t>
            </w:r>
          </w:p>
        </w:tc>
      </w:tr>
      <w:tr w14:paraId="2DCF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EE64"/>
        </w:tc>
        <w:tc>
          <w:tcPr>
            <w:tcW w:w="2268" w:type="dxa"/>
            <w:vAlign w:val="center"/>
          </w:tcPr>
          <w:p w14:paraId="035A1071">
            <w:pPr>
              <w:pStyle w:val="12"/>
            </w:pPr>
            <w:r>
              <w:t>成本指标</w:t>
            </w:r>
          </w:p>
        </w:tc>
        <w:tc>
          <w:tcPr>
            <w:tcW w:w="2835" w:type="dxa"/>
            <w:vAlign w:val="center"/>
          </w:tcPr>
          <w:p w14:paraId="435DCA4D">
            <w:pPr>
              <w:pStyle w:val="12"/>
            </w:pPr>
            <w:r>
              <w:t>普通高中建档立卡学生减免标准</w:t>
            </w:r>
          </w:p>
        </w:tc>
        <w:tc>
          <w:tcPr>
            <w:tcW w:w="5386" w:type="dxa"/>
            <w:vAlign w:val="center"/>
          </w:tcPr>
          <w:p w14:paraId="6B977291">
            <w:pPr>
              <w:pStyle w:val="12"/>
            </w:pPr>
            <w:r>
              <w:t>学费2000元/生/年；住宿费500元/生/年；书费300元/生/年</w:t>
            </w:r>
          </w:p>
        </w:tc>
        <w:tc>
          <w:tcPr>
            <w:tcW w:w="2268" w:type="dxa"/>
            <w:vAlign w:val="center"/>
          </w:tcPr>
          <w:p w14:paraId="15903361">
            <w:pPr>
              <w:pStyle w:val="12"/>
            </w:pPr>
            <w:r>
              <w:t>2800元</w:t>
            </w:r>
          </w:p>
        </w:tc>
        <w:tc>
          <w:tcPr>
            <w:tcW w:w="1276" w:type="dxa"/>
            <w:vAlign w:val="center"/>
          </w:tcPr>
          <w:p w14:paraId="4571476C">
            <w:pPr>
              <w:pStyle w:val="12"/>
            </w:pPr>
            <w:r>
              <w:t>河北省建档立卡家庭经济困难学生资助管理暂行办法</w:t>
            </w:r>
          </w:p>
        </w:tc>
      </w:tr>
      <w:tr w14:paraId="7AB34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E04E2">
            <w:pPr>
              <w:pStyle w:val="13"/>
            </w:pPr>
            <w:r>
              <w:t>效益指标</w:t>
            </w:r>
          </w:p>
        </w:tc>
        <w:tc>
          <w:tcPr>
            <w:tcW w:w="2268" w:type="dxa"/>
            <w:vAlign w:val="center"/>
          </w:tcPr>
          <w:p w14:paraId="623C3395">
            <w:pPr>
              <w:pStyle w:val="12"/>
            </w:pPr>
            <w:r>
              <w:t>可持续影响指标</w:t>
            </w:r>
          </w:p>
        </w:tc>
        <w:tc>
          <w:tcPr>
            <w:tcW w:w="2835" w:type="dxa"/>
            <w:vAlign w:val="center"/>
          </w:tcPr>
          <w:p w14:paraId="5889296A">
            <w:pPr>
              <w:pStyle w:val="12"/>
            </w:pPr>
            <w:r>
              <w:t>高中运转</w:t>
            </w:r>
          </w:p>
        </w:tc>
        <w:tc>
          <w:tcPr>
            <w:tcW w:w="5386" w:type="dxa"/>
            <w:vAlign w:val="center"/>
          </w:tcPr>
          <w:p w14:paraId="77CDB526">
            <w:pPr>
              <w:pStyle w:val="12"/>
            </w:pPr>
            <w:r>
              <w:t>高中生受教育年限</w:t>
            </w:r>
          </w:p>
        </w:tc>
        <w:tc>
          <w:tcPr>
            <w:tcW w:w="2268" w:type="dxa"/>
            <w:vAlign w:val="center"/>
          </w:tcPr>
          <w:p w14:paraId="7341FDFB">
            <w:pPr>
              <w:pStyle w:val="12"/>
            </w:pPr>
            <w:r>
              <w:t>3年</w:t>
            </w:r>
          </w:p>
        </w:tc>
        <w:tc>
          <w:tcPr>
            <w:tcW w:w="1276" w:type="dxa"/>
            <w:vAlign w:val="center"/>
          </w:tcPr>
          <w:p w14:paraId="1BA925E4">
            <w:pPr>
              <w:pStyle w:val="12"/>
            </w:pPr>
            <w:r>
              <w:t>河北省建档立卡家庭经济困难学生资助管理暂行办法</w:t>
            </w:r>
          </w:p>
        </w:tc>
      </w:tr>
      <w:tr w14:paraId="2562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2E1F9">
            <w:pPr>
              <w:pStyle w:val="13"/>
            </w:pPr>
            <w:r>
              <w:t>满意度指标</w:t>
            </w:r>
          </w:p>
        </w:tc>
        <w:tc>
          <w:tcPr>
            <w:tcW w:w="2268" w:type="dxa"/>
            <w:vAlign w:val="center"/>
          </w:tcPr>
          <w:p w14:paraId="467E069D">
            <w:pPr>
              <w:pStyle w:val="12"/>
            </w:pPr>
            <w:r>
              <w:t>服务对象满意度指标</w:t>
            </w:r>
          </w:p>
        </w:tc>
        <w:tc>
          <w:tcPr>
            <w:tcW w:w="2835" w:type="dxa"/>
            <w:vAlign w:val="center"/>
          </w:tcPr>
          <w:p w14:paraId="52C61640">
            <w:pPr>
              <w:pStyle w:val="12"/>
            </w:pPr>
            <w:r>
              <w:t>提升幸福指数</w:t>
            </w:r>
          </w:p>
        </w:tc>
        <w:tc>
          <w:tcPr>
            <w:tcW w:w="5386" w:type="dxa"/>
            <w:vAlign w:val="center"/>
          </w:tcPr>
          <w:p w14:paraId="75729928">
            <w:pPr>
              <w:pStyle w:val="12"/>
            </w:pPr>
            <w:r>
              <w:t>提升建档立卡贫困家庭学生幸福指数</w:t>
            </w:r>
          </w:p>
          <w:p w14:paraId="2CB5006A">
            <w:pPr>
              <w:pStyle w:val="12"/>
            </w:pPr>
            <w:r>
              <w:t>家长学生满意</w:t>
            </w:r>
          </w:p>
        </w:tc>
        <w:tc>
          <w:tcPr>
            <w:tcW w:w="2268" w:type="dxa"/>
            <w:vAlign w:val="center"/>
          </w:tcPr>
          <w:p w14:paraId="3E2CAA6B">
            <w:pPr>
              <w:pStyle w:val="12"/>
            </w:pPr>
            <w:r>
              <w:t>≥98%</w:t>
            </w:r>
          </w:p>
        </w:tc>
        <w:tc>
          <w:tcPr>
            <w:tcW w:w="1276" w:type="dxa"/>
            <w:vAlign w:val="center"/>
          </w:tcPr>
          <w:p w14:paraId="77D39644">
            <w:pPr>
              <w:pStyle w:val="12"/>
            </w:pPr>
            <w:r>
              <w:t>河北省建档立卡家庭经济困难学生资助管理暂行办法</w:t>
            </w:r>
          </w:p>
        </w:tc>
      </w:tr>
    </w:tbl>
    <w:p w14:paraId="3784132A">
      <w:pPr>
        <w:sectPr>
          <w:pgSz w:w="16840" w:h="11900" w:orient="landscape"/>
          <w:pgMar w:top="1361" w:right="1020" w:bottom="1134" w:left="1020" w:header="720" w:footer="720" w:gutter="0"/>
          <w:cols w:space="720" w:num="1"/>
        </w:sectPr>
      </w:pPr>
    </w:p>
    <w:p w14:paraId="4FC6B9F6">
      <w:pPr>
        <w:spacing w:before="0" w:after="0"/>
        <w:ind w:firstLine="560"/>
        <w:jc w:val="left"/>
        <w:outlineLvl w:val="9"/>
      </w:pPr>
      <w:r>
        <w:rPr>
          <w:rFonts w:ascii="方正仿宋_GBK" w:hAnsi="方正仿宋_GBK" w:eastAsia="方正仿宋_GBK" w:cs="方正仿宋_GBK"/>
          <w:b/>
          <w:color w:val="000000"/>
          <w:sz w:val="28"/>
        </w:rPr>
        <w:t>4、冀财教[2025]116号/中央/2026年学生资助/普通高中三免（文茂中学）建档立卡绩效目标表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71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81352">
            <w:pPr>
              <w:pStyle w:val="11"/>
            </w:pPr>
            <w:r>
              <w:t>单位：万元</w:t>
            </w:r>
          </w:p>
        </w:tc>
      </w:tr>
      <w:tr w14:paraId="6D929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A3CBC">
            <w:pPr>
              <w:pStyle w:val="10"/>
            </w:pPr>
            <w:r>
              <w:t>项目编码</w:t>
            </w:r>
          </w:p>
        </w:tc>
        <w:tc>
          <w:tcPr>
            <w:tcW w:w="5103" w:type="dxa"/>
            <w:gridSpan w:val="2"/>
            <w:vAlign w:val="center"/>
          </w:tcPr>
          <w:p w14:paraId="3A65360C">
            <w:pPr>
              <w:pStyle w:val="12"/>
            </w:pPr>
            <w:r>
              <w:t>13052526P00001210053G</w:t>
            </w:r>
          </w:p>
        </w:tc>
        <w:tc>
          <w:tcPr>
            <w:tcW w:w="2835" w:type="dxa"/>
            <w:vAlign w:val="center"/>
          </w:tcPr>
          <w:p w14:paraId="1405B4A8">
            <w:pPr>
              <w:pStyle w:val="10"/>
            </w:pPr>
            <w:r>
              <w:t>项目名称</w:t>
            </w:r>
          </w:p>
        </w:tc>
        <w:tc>
          <w:tcPr>
            <w:tcW w:w="6095" w:type="dxa"/>
            <w:gridSpan w:val="3"/>
            <w:vAlign w:val="center"/>
          </w:tcPr>
          <w:p w14:paraId="4D051C28">
            <w:pPr>
              <w:pStyle w:val="12"/>
            </w:pPr>
            <w:r>
              <w:t>冀财教[2025]116号/中央/2026年学生资助/普通高中三免（文茂中学）建档立卡</w:t>
            </w:r>
          </w:p>
        </w:tc>
      </w:tr>
      <w:tr w14:paraId="0DF6A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10093">
            <w:pPr>
              <w:pStyle w:val="10"/>
            </w:pPr>
            <w:r>
              <w:t>预算规模及资金用途</w:t>
            </w:r>
          </w:p>
        </w:tc>
        <w:tc>
          <w:tcPr>
            <w:tcW w:w="2268" w:type="dxa"/>
            <w:vAlign w:val="center"/>
          </w:tcPr>
          <w:p w14:paraId="7D29843D">
            <w:pPr>
              <w:pStyle w:val="10"/>
            </w:pPr>
            <w:r>
              <w:t>预算数</w:t>
            </w:r>
          </w:p>
        </w:tc>
        <w:tc>
          <w:tcPr>
            <w:tcW w:w="2835" w:type="dxa"/>
            <w:vAlign w:val="center"/>
          </w:tcPr>
          <w:p w14:paraId="419C6251">
            <w:pPr>
              <w:pStyle w:val="12"/>
            </w:pPr>
            <w:r>
              <w:t>2.00</w:t>
            </w:r>
          </w:p>
        </w:tc>
        <w:tc>
          <w:tcPr>
            <w:tcW w:w="2835" w:type="dxa"/>
            <w:vAlign w:val="center"/>
          </w:tcPr>
          <w:p w14:paraId="42F86E86">
            <w:pPr>
              <w:pStyle w:val="10"/>
            </w:pPr>
            <w:r>
              <w:t>其中：财政    资金</w:t>
            </w:r>
          </w:p>
        </w:tc>
        <w:tc>
          <w:tcPr>
            <w:tcW w:w="2551" w:type="dxa"/>
            <w:vAlign w:val="center"/>
          </w:tcPr>
          <w:p w14:paraId="39AFEC97">
            <w:pPr>
              <w:pStyle w:val="12"/>
            </w:pPr>
            <w:r>
              <w:t>2.00</w:t>
            </w:r>
          </w:p>
        </w:tc>
        <w:tc>
          <w:tcPr>
            <w:tcW w:w="2268" w:type="dxa"/>
            <w:vAlign w:val="center"/>
          </w:tcPr>
          <w:p w14:paraId="380B6B17">
            <w:pPr>
              <w:pStyle w:val="10"/>
            </w:pPr>
            <w:r>
              <w:t>其他资金</w:t>
            </w:r>
          </w:p>
        </w:tc>
        <w:tc>
          <w:tcPr>
            <w:tcW w:w="1276" w:type="dxa"/>
            <w:vAlign w:val="center"/>
          </w:tcPr>
          <w:p w14:paraId="406570DB">
            <w:pPr>
              <w:pStyle w:val="12"/>
            </w:pPr>
            <w:r>
              <w:t xml:space="preserve"> </w:t>
            </w:r>
          </w:p>
        </w:tc>
      </w:tr>
      <w:tr w14:paraId="7DF21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7F324"/>
        </w:tc>
        <w:tc>
          <w:tcPr>
            <w:tcW w:w="14033" w:type="dxa"/>
            <w:gridSpan w:val="6"/>
            <w:vAlign w:val="center"/>
          </w:tcPr>
          <w:p w14:paraId="70030B5A">
            <w:pPr>
              <w:pStyle w:val="12"/>
            </w:pPr>
            <w:r>
              <w:t>深入宣传学生免学费政策，落实普通高中建档立卡家庭困难学生免除学杂费政策。</w:t>
            </w:r>
          </w:p>
        </w:tc>
      </w:tr>
      <w:tr w14:paraId="464CA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6F4E3">
            <w:pPr>
              <w:pStyle w:val="10"/>
            </w:pPr>
            <w:r>
              <w:t>资金支出计划（%）</w:t>
            </w:r>
          </w:p>
        </w:tc>
        <w:tc>
          <w:tcPr>
            <w:tcW w:w="5103" w:type="dxa"/>
            <w:gridSpan w:val="2"/>
            <w:vAlign w:val="center"/>
          </w:tcPr>
          <w:p w14:paraId="31766FE5">
            <w:pPr>
              <w:pStyle w:val="10"/>
            </w:pPr>
            <w:r>
              <w:t>3月底</w:t>
            </w:r>
          </w:p>
        </w:tc>
        <w:tc>
          <w:tcPr>
            <w:tcW w:w="2835" w:type="dxa"/>
            <w:vAlign w:val="center"/>
          </w:tcPr>
          <w:p w14:paraId="5771E09E">
            <w:pPr>
              <w:pStyle w:val="10"/>
            </w:pPr>
            <w:r>
              <w:t>6月底</w:t>
            </w:r>
          </w:p>
        </w:tc>
        <w:tc>
          <w:tcPr>
            <w:tcW w:w="2551" w:type="dxa"/>
            <w:vAlign w:val="center"/>
          </w:tcPr>
          <w:p w14:paraId="62B9B05D">
            <w:pPr>
              <w:pStyle w:val="10"/>
            </w:pPr>
            <w:r>
              <w:t>10月底</w:t>
            </w:r>
          </w:p>
        </w:tc>
        <w:tc>
          <w:tcPr>
            <w:tcW w:w="3544" w:type="dxa"/>
            <w:gridSpan w:val="2"/>
            <w:vAlign w:val="center"/>
          </w:tcPr>
          <w:p w14:paraId="1DB4C645">
            <w:pPr>
              <w:pStyle w:val="10"/>
            </w:pPr>
            <w:r>
              <w:t>12月底</w:t>
            </w:r>
          </w:p>
        </w:tc>
      </w:tr>
      <w:tr w14:paraId="08F28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18553"/>
        </w:tc>
        <w:tc>
          <w:tcPr>
            <w:tcW w:w="5103" w:type="dxa"/>
            <w:gridSpan w:val="2"/>
            <w:vAlign w:val="center"/>
          </w:tcPr>
          <w:p w14:paraId="7C5ADBE3">
            <w:pPr>
              <w:pStyle w:val="13"/>
            </w:pPr>
            <w:r>
              <w:t>25%</w:t>
            </w:r>
          </w:p>
        </w:tc>
        <w:tc>
          <w:tcPr>
            <w:tcW w:w="2835" w:type="dxa"/>
            <w:vAlign w:val="center"/>
          </w:tcPr>
          <w:p w14:paraId="1873D437">
            <w:pPr>
              <w:pStyle w:val="13"/>
            </w:pPr>
            <w:r>
              <w:t>50%</w:t>
            </w:r>
          </w:p>
        </w:tc>
        <w:tc>
          <w:tcPr>
            <w:tcW w:w="2551" w:type="dxa"/>
            <w:vAlign w:val="center"/>
          </w:tcPr>
          <w:p w14:paraId="5898538B">
            <w:pPr>
              <w:pStyle w:val="13"/>
            </w:pPr>
            <w:r>
              <w:t>75%</w:t>
            </w:r>
          </w:p>
        </w:tc>
        <w:tc>
          <w:tcPr>
            <w:tcW w:w="3544" w:type="dxa"/>
            <w:gridSpan w:val="2"/>
            <w:vAlign w:val="center"/>
          </w:tcPr>
          <w:p w14:paraId="569FFB19">
            <w:pPr>
              <w:pStyle w:val="13"/>
            </w:pPr>
            <w:r>
              <w:t>100%</w:t>
            </w:r>
          </w:p>
        </w:tc>
      </w:tr>
      <w:tr w14:paraId="0EE0A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B9468">
            <w:pPr>
              <w:pStyle w:val="10"/>
            </w:pPr>
            <w:r>
              <w:t>绩效目标</w:t>
            </w:r>
          </w:p>
        </w:tc>
        <w:tc>
          <w:tcPr>
            <w:tcW w:w="14033" w:type="dxa"/>
            <w:gridSpan w:val="6"/>
            <w:vAlign w:val="center"/>
          </w:tcPr>
          <w:p w14:paraId="5A6B0BCB">
            <w:pPr>
              <w:pStyle w:val="12"/>
            </w:pPr>
            <w:r>
              <w:t>深入宣传学生免学费政策，落实普通高中建档立卡家庭困难学生免除学杂费政策。</w:t>
            </w:r>
            <w:r>
              <w:tab/>
            </w:r>
            <w:r>
              <w:tab/>
            </w:r>
            <w:r>
              <w:tab/>
            </w:r>
            <w:r>
              <w:tab/>
            </w:r>
            <w:r>
              <w:tab/>
            </w:r>
            <w:r>
              <w:tab/>
            </w:r>
          </w:p>
          <w:p w14:paraId="4299075F">
            <w:pPr>
              <w:pStyle w:val="12"/>
            </w:pPr>
          </w:p>
        </w:tc>
      </w:tr>
    </w:tbl>
    <w:p w14:paraId="1137D6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9C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856A7">
            <w:pPr>
              <w:pStyle w:val="10"/>
            </w:pPr>
            <w:r>
              <w:t>一级指标</w:t>
            </w:r>
          </w:p>
        </w:tc>
        <w:tc>
          <w:tcPr>
            <w:tcW w:w="2268" w:type="dxa"/>
            <w:vAlign w:val="center"/>
          </w:tcPr>
          <w:p w14:paraId="2ABE78E0">
            <w:pPr>
              <w:pStyle w:val="10"/>
            </w:pPr>
            <w:r>
              <w:t>二级指标</w:t>
            </w:r>
          </w:p>
        </w:tc>
        <w:tc>
          <w:tcPr>
            <w:tcW w:w="2835" w:type="dxa"/>
            <w:vAlign w:val="center"/>
          </w:tcPr>
          <w:p w14:paraId="5FF29463">
            <w:pPr>
              <w:pStyle w:val="10"/>
            </w:pPr>
            <w:r>
              <w:t>三级指标</w:t>
            </w:r>
          </w:p>
        </w:tc>
        <w:tc>
          <w:tcPr>
            <w:tcW w:w="5386" w:type="dxa"/>
            <w:vAlign w:val="center"/>
          </w:tcPr>
          <w:p w14:paraId="7182A6A5">
            <w:pPr>
              <w:pStyle w:val="10"/>
            </w:pPr>
            <w:r>
              <w:t>绩效指标描述</w:t>
            </w:r>
          </w:p>
        </w:tc>
        <w:tc>
          <w:tcPr>
            <w:tcW w:w="2268" w:type="dxa"/>
            <w:vAlign w:val="center"/>
          </w:tcPr>
          <w:p w14:paraId="35F43980">
            <w:pPr>
              <w:pStyle w:val="10"/>
            </w:pPr>
            <w:r>
              <w:t>指标值</w:t>
            </w:r>
          </w:p>
        </w:tc>
        <w:tc>
          <w:tcPr>
            <w:tcW w:w="1276" w:type="dxa"/>
            <w:vAlign w:val="center"/>
          </w:tcPr>
          <w:p w14:paraId="7751A9C8">
            <w:pPr>
              <w:pStyle w:val="10"/>
            </w:pPr>
            <w:r>
              <w:t>指标值确定依据</w:t>
            </w:r>
          </w:p>
        </w:tc>
      </w:tr>
      <w:tr w14:paraId="1671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9C7FF">
            <w:pPr>
              <w:pStyle w:val="13"/>
            </w:pPr>
            <w:r>
              <w:t>产出指标</w:t>
            </w:r>
          </w:p>
        </w:tc>
        <w:tc>
          <w:tcPr>
            <w:tcW w:w="2268" w:type="dxa"/>
            <w:vAlign w:val="center"/>
          </w:tcPr>
          <w:p w14:paraId="0CE5D835">
            <w:pPr>
              <w:pStyle w:val="12"/>
            </w:pPr>
            <w:r>
              <w:t>数量指标</w:t>
            </w:r>
          </w:p>
        </w:tc>
        <w:tc>
          <w:tcPr>
            <w:tcW w:w="2835" w:type="dxa"/>
            <w:vAlign w:val="center"/>
          </w:tcPr>
          <w:p w14:paraId="29C5CBA5">
            <w:pPr>
              <w:pStyle w:val="12"/>
            </w:pPr>
            <w:r>
              <w:t>普通高中资助人数</w:t>
            </w:r>
          </w:p>
        </w:tc>
        <w:tc>
          <w:tcPr>
            <w:tcW w:w="5386" w:type="dxa"/>
            <w:vAlign w:val="center"/>
          </w:tcPr>
          <w:p w14:paraId="0A84AD23">
            <w:pPr>
              <w:pStyle w:val="12"/>
            </w:pPr>
            <w:r>
              <w:t>在我校就读具有正式注册学籍的建档立卡家庭学生</w:t>
            </w:r>
          </w:p>
        </w:tc>
        <w:tc>
          <w:tcPr>
            <w:tcW w:w="2268" w:type="dxa"/>
            <w:vAlign w:val="center"/>
          </w:tcPr>
          <w:p w14:paraId="2244258A">
            <w:pPr>
              <w:pStyle w:val="12"/>
            </w:pPr>
            <w:r>
              <w:t>≥46人</w:t>
            </w:r>
          </w:p>
        </w:tc>
        <w:tc>
          <w:tcPr>
            <w:tcW w:w="1276" w:type="dxa"/>
            <w:vAlign w:val="center"/>
          </w:tcPr>
          <w:p w14:paraId="7E515660">
            <w:pPr>
              <w:pStyle w:val="12"/>
            </w:pPr>
            <w:r>
              <w:t>河北省建档立卡家庭经济困难学生资助管理暂行办法</w:t>
            </w:r>
          </w:p>
        </w:tc>
      </w:tr>
      <w:tr w14:paraId="5D2C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4A51C"/>
        </w:tc>
        <w:tc>
          <w:tcPr>
            <w:tcW w:w="2268" w:type="dxa"/>
            <w:vAlign w:val="center"/>
          </w:tcPr>
          <w:p w14:paraId="498F4A54">
            <w:pPr>
              <w:pStyle w:val="12"/>
            </w:pPr>
            <w:r>
              <w:t>质量指标</w:t>
            </w:r>
          </w:p>
        </w:tc>
        <w:tc>
          <w:tcPr>
            <w:tcW w:w="2835" w:type="dxa"/>
            <w:vAlign w:val="center"/>
          </w:tcPr>
          <w:p w14:paraId="6A211DE0">
            <w:pPr>
              <w:pStyle w:val="12"/>
            </w:pPr>
            <w:r>
              <w:t>完成普高三免资金发放</w:t>
            </w:r>
          </w:p>
        </w:tc>
        <w:tc>
          <w:tcPr>
            <w:tcW w:w="5386" w:type="dxa"/>
            <w:vAlign w:val="center"/>
          </w:tcPr>
          <w:p w14:paraId="5612F0F9">
            <w:pPr>
              <w:pStyle w:val="12"/>
            </w:pPr>
            <w:r>
              <w:t>普高三免为建档立卡学生</w:t>
            </w:r>
          </w:p>
        </w:tc>
        <w:tc>
          <w:tcPr>
            <w:tcW w:w="2268" w:type="dxa"/>
            <w:vAlign w:val="center"/>
          </w:tcPr>
          <w:p w14:paraId="7503242F">
            <w:pPr>
              <w:pStyle w:val="12"/>
            </w:pPr>
            <w:r>
              <w:t>100%</w:t>
            </w:r>
          </w:p>
        </w:tc>
        <w:tc>
          <w:tcPr>
            <w:tcW w:w="1276" w:type="dxa"/>
            <w:vAlign w:val="center"/>
          </w:tcPr>
          <w:p w14:paraId="595DDBBD">
            <w:pPr>
              <w:pStyle w:val="12"/>
            </w:pPr>
            <w:r>
              <w:t>河北省建档立卡家庭经济困难学生资助管理暂行办法</w:t>
            </w:r>
          </w:p>
        </w:tc>
      </w:tr>
      <w:tr w14:paraId="4A38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3320A"/>
        </w:tc>
        <w:tc>
          <w:tcPr>
            <w:tcW w:w="2268" w:type="dxa"/>
            <w:vAlign w:val="center"/>
          </w:tcPr>
          <w:p w14:paraId="0C8B0C5E">
            <w:pPr>
              <w:pStyle w:val="12"/>
            </w:pPr>
            <w:r>
              <w:t>时效指标</w:t>
            </w:r>
          </w:p>
        </w:tc>
        <w:tc>
          <w:tcPr>
            <w:tcW w:w="2835" w:type="dxa"/>
            <w:vAlign w:val="center"/>
          </w:tcPr>
          <w:p w14:paraId="4A798284">
            <w:pPr>
              <w:pStyle w:val="12"/>
            </w:pPr>
            <w:r>
              <w:t>补助资金到位</w:t>
            </w:r>
          </w:p>
        </w:tc>
        <w:tc>
          <w:tcPr>
            <w:tcW w:w="5386" w:type="dxa"/>
            <w:vAlign w:val="center"/>
          </w:tcPr>
          <w:p w14:paraId="1E9B03B9">
            <w:pPr>
              <w:pStyle w:val="12"/>
            </w:pPr>
            <w:r>
              <w:t>补助资金到位及时率</w:t>
            </w:r>
          </w:p>
        </w:tc>
        <w:tc>
          <w:tcPr>
            <w:tcW w:w="2268" w:type="dxa"/>
            <w:vAlign w:val="center"/>
          </w:tcPr>
          <w:p w14:paraId="56755D91">
            <w:pPr>
              <w:pStyle w:val="12"/>
            </w:pPr>
            <w:r>
              <w:t>≥99%</w:t>
            </w:r>
          </w:p>
        </w:tc>
        <w:tc>
          <w:tcPr>
            <w:tcW w:w="1276" w:type="dxa"/>
            <w:vAlign w:val="center"/>
          </w:tcPr>
          <w:p w14:paraId="60277365">
            <w:pPr>
              <w:pStyle w:val="12"/>
            </w:pPr>
            <w:r>
              <w:t>河北省建档立卡家庭经济困难学生资助管理暂行办法</w:t>
            </w:r>
          </w:p>
        </w:tc>
      </w:tr>
      <w:tr w14:paraId="41B5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95B06"/>
        </w:tc>
        <w:tc>
          <w:tcPr>
            <w:tcW w:w="2268" w:type="dxa"/>
            <w:vAlign w:val="center"/>
          </w:tcPr>
          <w:p w14:paraId="5FC83CCB">
            <w:pPr>
              <w:pStyle w:val="12"/>
            </w:pPr>
            <w:r>
              <w:t>成本指标</w:t>
            </w:r>
          </w:p>
        </w:tc>
        <w:tc>
          <w:tcPr>
            <w:tcW w:w="2835" w:type="dxa"/>
            <w:vAlign w:val="center"/>
          </w:tcPr>
          <w:p w14:paraId="735CBD03">
            <w:pPr>
              <w:pStyle w:val="12"/>
            </w:pPr>
            <w:r>
              <w:t>普通高中建档立卡学生减免标准</w:t>
            </w:r>
          </w:p>
        </w:tc>
        <w:tc>
          <w:tcPr>
            <w:tcW w:w="5386" w:type="dxa"/>
            <w:vAlign w:val="center"/>
          </w:tcPr>
          <w:p w14:paraId="73C2E494">
            <w:pPr>
              <w:pStyle w:val="12"/>
            </w:pPr>
            <w:r>
              <w:t>学费</w:t>
            </w:r>
            <w:r>
              <w:rPr>
                <w:rFonts w:hint="eastAsia"/>
                <w:lang w:eastAsia="zh-CN"/>
              </w:rPr>
              <w:t>2000</w:t>
            </w:r>
            <w:r>
              <w:t>元/生/年；住宿费500元/生/年；书费300元/生/年</w:t>
            </w:r>
          </w:p>
        </w:tc>
        <w:tc>
          <w:tcPr>
            <w:tcW w:w="2268" w:type="dxa"/>
            <w:vAlign w:val="center"/>
          </w:tcPr>
          <w:p w14:paraId="59231585">
            <w:pPr>
              <w:pStyle w:val="12"/>
            </w:pPr>
            <w:r>
              <w:t>2800元</w:t>
            </w:r>
          </w:p>
        </w:tc>
        <w:tc>
          <w:tcPr>
            <w:tcW w:w="1276" w:type="dxa"/>
            <w:vAlign w:val="center"/>
          </w:tcPr>
          <w:p w14:paraId="21D33187">
            <w:pPr>
              <w:pStyle w:val="12"/>
            </w:pPr>
            <w:r>
              <w:t>河北省建档立卡家庭经济困难学生资助管理暂行办法</w:t>
            </w:r>
          </w:p>
        </w:tc>
      </w:tr>
      <w:tr w14:paraId="34CB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0A174">
            <w:pPr>
              <w:pStyle w:val="13"/>
            </w:pPr>
            <w:r>
              <w:t>效益指标</w:t>
            </w:r>
          </w:p>
        </w:tc>
        <w:tc>
          <w:tcPr>
            <w:tcW w:w="2268" w:type="dxa"/>
            <w:vAlign w:val="center"/>
          </w:tcPr>
          <w:p w14:paraId="2AD38373">
            <w:pPr>
              <w:pStyle w:val="12"/>
            </w:pPr>
            <w:r>
              <w:t>可持续影响指标</w:t>
            </w:r>
          </w:p>
        </w:tc>
        <w:tc>
          <w:tcPr>
            <w:tcW w:w="2835" w:type="dxa"/>
            <w:vAlign w:val="center"/>
          </w:tcPr>
          <w:p w14:paraId="7CE36056">
            <w:pPr>
              <w:pStyle w:val="12"/>
            </w:pPr>
            <w:r>
              <w:t>高中运转</w:t>
            </w:r>
          </w:p>
        </w:tc>
        <w:tc>
          <w:tcPr>
            <w:tcW w:w="5386" w:type="dxa"/>
            <w:vAlign w:val="center"/>
          </w:tcPr>
          <w:p w14:paraId="77786418">
            <w:pPr>
              <w:pStyle w:val="12"/>
            </w:pPr>
            <w:r>
              <w:t>高中生受教育年限</w:t>
            </w:r>
          </w:p>
        </w:tc>
        <w:tc>
          <w:tcPr>
            <w:tcW w:w="2268" w:type="dxa"/>
            <w:vAlign w:val="center"/>
          </w:tcPr>
          <w:p w14:paraId="2490DB1A">
            <w:pPr>
              <w:pStyle w:val="12"/>
            </w:pPr>
            <w:r>
              <w:t>3年</w:t>
            </w:r>
          </w:p>
        </w:tc>
        <w:tc>
          <w:tcPr>
            <w:tcW w:w="1276" w:type="dxa"/>
            <w:vAlign w:val="center"/>
          </w:tcPr>
          <w:p w14:paraId="23358570">
            <w:pPr>
              <w:pStyle w:val="12"/>
            </w:pPr>
            <w:r>
              <w:t>河北省建档立卡家庭经济困难学生资助管理暂行办法</w:t>
            </w:r>
          </w:p>
        </w:tc>
      </w:tr>
      <w:tr w14:paraId="0A32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19E85">
            <w:pPr>
              <w:pStyle w:val="13"/>
            </w:pPr>
            <w:r>
              <w:t>满意度指标</w:t>
            </w:r>
          </w:p>
        </w:tc>
        <w:tc>
          <w:tcPr>
            <w:tcW w:w="2268" w:type="dxa"/>
            <w:vAlign w:val="center"/>
          </w:tcPr>
          <w:p w14:paraId="33DFCA71">
            <w:pPr>
              <w:pStyle w:val="12"/>
            </w:pPr>
            <w:r>
              <w:t>服务对象满意度指标</w:t>
            </w:r>
          </w:p>
        </w:tc>
        <w:tc>
          <w:tcPr>
            <w:tcW w:w="2835" w:type="dxa"/>
            <w:vAlign w:val="center"/>
          </w:tcPr>
          <w:p w14:paraId="76D6F2D4">
            <w:pPr>
              <w:pStyle w:val="12"/>
            </w:pPr>
            <w:r>
              <w:t>提升幸福指数</w:t>
            </w:r>
          </w:p>
        </w:tc>
        <w:tc>
          <w:tcPr>
            <w:tcW w:w="5386" w:type="dxa"/>
            <w:vAlign w:val="center"/>
          </w:tcPr>
          <w:p w14:paraId="6A8BDAD9">
            <w:pPr>
              <w:pStyle w:val="12"/>
            </w:pPr>
            <w:r>
              <w:t>提升建档立卡贫困家庭学生幸福指数</w:t>
            </w:r>
          </w:p>
          <w:p w14:paraId="18C7880B">
            <w:pPr>
              <w:pStyle w:val="12"/>
            </w:pPr>
            <w:r>
              <w:t>家长学生满意</w:t>
            </w:r>
          </w:p>
        </w:tc>
        <w:tc>
          <w:tcPr>
            <w:tcW w:w="2268" w:type="dxa"/>
            <w:vAlign w:val="center"/>
          </w:tcPr>
          <w:p w14:paraId="3274FC40">
            <w:pPr>
              <w:pStyle w:val="12"/>
            </w:pPr>
            <w:r>
              <w:t>≥98%</w:t>
            </w:r>
          </w:p>
        </w:tc>
        <w:tc>
          <w:tcPr>
            <w:tcW w:w="1276" w:type="dxa"/>
            <w:vAlign w:val="center"/>
          </w:tcPr>
          <w:p w14:paraId="7CBF943F">
            <w:pPr>
              <w:pStyle w:val="12"/>
            </w:pPr>
            <w:r>
              <w:t>河北省建档立卡家庭经济困难学生资助管理暂行办法</w:t>
            </w:r>
          </w:p>
        </w:tc>
      </w:tr>
    </w:tbl>
    <w:p w14:paraId="7481A52D">
      <w:pPr>
        <w:sectPr>
          <w:pgSz w:w="16840" w:h="11900" w:orient="landscape"/>
          <w:pgMar w:top="1361" w:right="1020" w:bottom="1134" w:left="1020" w:header="720" w:footer="720" w:gutter="0"/>
          <w:cols w:space="720" w:num="1"/>
        </w:sectPr>
      </w:pPr>
    </w:p>
    <w:p w14:paraId="50495A3D">
      <w:pPr>
        <w:spacing w:before="0" w:after="0"/>
        <w:ind w:firstLine="560"/>
        <w:jc w:val="left"/>
        <w:outlineLvl w:val="9"/>
      </w:pPr>
      <w:r>
        <w:rPr>
          <w:rFonts w:ascii="方正仿宋_GBK" w:hAnsi="方正仿宋_GBK" w:eastAsia="方正仿宋_GBK" w:cs="方正仿宋_GBK"/>
          <w:b/>
          <w:color w:val="000000"/>
          <w:sz w:val="28"/>
        </w:rPr>
        <w:t>5、冀财教[2025]116号/中央/2026年学生资助/中职免学费（东方中职）绩效目标表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23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00ECD">
            <w:pPr>
              <w:pStyle w:val="11"/>
            </w:pPr>
            <w:r>
              <w:t>单位：万元</w:t>
            </w:r>
          </w:p>
        </w:tc>
      </w:tr>
      <w:tr w14:paraId="6FD56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F2F40">
            <w:pPr>
              <w:pStyle w:val="10"/>
            </w:pPr>
            <w:r>
              <w:t>项目编码</w:t>
            </w:r>
          </w:p>
        </w:tc>
        <w:tc>
          <w:tcPr>
            <w:tcW w:w="5103" w:type="dxa"/>
            <w:gridSpan w:val="2"/>
            <w:vAlign w:val="center"/>
          </w:tcPr>
          <w:p w14:paraId="6F03C79C">
            <w:pPr>
              <w:pStyle w:val="12"/>
            </w:pPr>
            <w:r>
              <w:t>13052526P000012100596</w:t>
            </w:r>
          </w:p>
        </w:tc>
        <w:tc>
          <w:tcPr>
            <w:tcW w:w="2835" w:type="dxa"/>
            <w:vAlign w:val="center"/>
          </w:tcPr>
          <w:p w14:paraId="20162AED">
            <w:pPr>
              <w:pStyle w:val="10"/>
            </w:pPr>
            <w:r>
              <w:t>项目名称</w:t>
            </w:r>
          </w:p>
        </w:tc>
        <w:tc>
          <w:tcPr>
            <w:tcW w:w="6095" w:type="dxa"/>
            <w:gridSpan w:val="3"/>
            <w:vAlign w:val="center"/>
          </w:tcPr>
          <w:p w14:paraId="32A3CAEC">
            <w:pPr>
              <w:pStyle w:val="12"/>
            </w:pPr>
            <w:r>
              <w:t>冀财教[2025]116号/中央/2026年学生资助/中职免学费（东方中职）</w:t>
            </w:r>
          </w:p>
        </w:tc>
      </w:tr>
      <w:tr w14:paraId="34D7B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5BB2A">
            <w:pPr>
              <w:pStyle w:val="10"/>
            </w:pPr>
            <w:r>
              <w:t>预算规模及资金用途</w:t>
            </w:r>
          </w:p>
        </w:tc>
        <w:tc>
          <w:tcPr>
            <w:tcW w:w="2268" w:type="dxa"/>
            <w:vAlign w:val="center"/>
          </w:tcPr>
          <w:p w14:paraId="6E29C47C">
            <w:pPr>
              <w:pStyle w:val="10"/>
            </w:pPr>
            <w:r>
              <w:t>预算数</w:t>
            </w:r>
          </w:p>
        </w:tc>
        <w:tc>
          <w:tcPr>
            <w:tcW w:w="2835" w:type="dxa"/>
            <w:vAlign w:val="center"/>
          </w:tcPr>
          <w:p w14:paraId="43ECE68E">
            <w:pPr>
              <w:pStyle w:val="12"/>
            </w:pPr>
            <w:r>
              <w:t>27.00</w:t>
            </w:r>
          </w:p>
        </w:tc>
        <w:tc>
          <w:tcPr>
            <w:tcW w:w="2835" w:type="dxa"/>
            <w:vAlign w:val="center"/>
          </w:tcPr>
          <w:p w14:paraId="0BCD4C7E">
            <w:pPr>
              <w:pStyle w:val="10"/>
            </w:pPr>
            <w:r>
              <w:t>其中：财政    资金</w:t>
            </w:r>
          </w:p>
        </w:tc>
        <w:tc>
          <w:tcPr>
            <w:tcW w:w="2551" w:type="dxa"/>
            <w:vAlign w:val="center"/>
          </w:tcPr>
          <w:p w14:paraId="52DDEAE3">
            <w:pPr>
              <w:pStyle w:val="12"/>
            </w:pPr>
            <w:r>
              <w:t>27.00</w:t>
            </w:r>
          </w:p>
        </w:tc>
        <w:tc>
          <w:tcPr>
            <w:tcW w:w="2268" w:type="dxa"/>
            <w:vAlign w:val="center"/>
          </w:tcPr>
          <w:p w14:paraId="3AADAE81">
            <w:pPr>
              <w:pStyle w:val="10"/>
            </w:pPr>
            <w:r>
              <w:t>其他资金</w:t>
            </w:r>
          </w:p>
        </w:tc>
        <w:tc>
          <w:tcPr>
            <w:tcW w:w="1276" w:type="dxa"/>
            <w:vAlign w:val="center"/>
          </w:tcPr>
          <w:p w14:paraId="777C83F8">
            <w:pPr>
              <w:pStyle w:val="12"/>
            </w:pPr>
            <w:r>
              <w:t xml:space="preserve"> </w:t>
            </w:r>
          </w:p>
        </w:tc>
      </w:tr>
      <w:tr w14:paraId="42F53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0FBA5"/>
        </w:tc>
        <w:tc>
          <w:tcPr>
            <w:tcW w:w="14033" w:type="dxa"/>
            <w:gridSpan w:val="6"/>
            <w:vAlign w:val="center"/>
          </w:tcPr>
          <w:p w14:paraId="1E3971CD">
            <w:pPr>
              <w:pStyle w:val="12"/>
            </w:pPr>
            <w:r>
              <w:t>弥补中职涉农及其他专业贫困生免除学费后的经费不足。</w:t>
            </w:r>
          </w:p>
        </w:tc>
      </w:tr>
      <w:tr w14:paraId="13B8A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816FB">
            <w:pPr>
              <w:pStyle w:val="10"/>
            </w:pPr>
            <w:r>
              <w:t>资金支出计划（%）</w:t>
            </w:r>
          </w:p>
        </w:tc>
        <w:tc>
          <w:tcPr>
            <w:tcW w:w="5103" w:type="dxa"/>
            <w:gridSpan w:val="2"/>
            <w:vAlign w:val="center"/>
          </w:tcPr>
          <w:p w14:paraId="05464DD4">
            <w:pPr>
              <w:pStyle w:val="10"/>
            </w:pPr>
            <w:r>
              <w:t>3月底</w:t>
            </w:r>
          </w:p>
        </w:tc>
        <w:tc>
          <w:tcPr>
            <w:tcW w:w="2835" w:type="dxa"/>
            <w:vAlign w:val="center"/>
          </w:tcPr>
          <w:p w14:paraId="17CDDA65">
            <w:pPr>
              <w:pStyle w:val="10"/>
            </w:pPr>
            <w:r>
              <w:t>6月底</w:t>
            </w:r>
          </w:p>
        </w:tc>
        <w:tc>
          <w:tcPr>
            <w:tcW w:w="2551" w:type="dxa"/>
            <w:vAlign w:val="center"/>
          </w:tcPr>
          <w:p w14:paraId="5FDE04B5">
            <w:pPr>
              <w:pStyle w:val="10"/>
            </w:pPr>
            <w:r>
              <w:t>10月底</w:t>
            </w:r>
          </w:p>
        </w:tc>
        <w:tc>
          <w:tcPr>
            <w:tcW w:w="3544" w:type="dxa"/>
            <w:gridSpan w:val="2"/>
            <w:vAlign w:val="center"/>
          </w:tcPr>
          <w:p w14:paraId="67EDB1E9">
            <w:pPr>
              <w:pStyle w:val="10"/>
            </w:pPr>
            <w:r>
              <w:t>12月底</w:t>
            </w:r>
          </w:p>
        </w:tc>
      </w:tr>
      <w:tr w14:paraId="05D74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33AA8"/>
        </w:tc>
        <w:tc>
          <w:tcPr>
            <w:tcW w:w="5103" w:type="dxa"/>
            <w:gridSpan w:val="2"/>
            <w:vAlign w:val="center"/>
          </w:tcPr>
          <w:p w14:paraId="749CEE35">
            <w:pPr>
              <w:pStyle w:val="13"/>
            </w:pPr>
            <w:r>
              <w:t>25%</w:t>
            </w:r>
          </w:p>
        </w:tc>
        <w:tc>
          <w:tcPr>
            <w:tcW w:w="2835" w:type="dxa"/>
            <w:vAlign w:val="center"/>
          </w:tcPr>
          <w:p w14:paraId="58B63FBE">
            <w:pPr>
              <w:pStyle w:val="13"/>
            </w:pPr>
            <w:r>
              <w:t>50%</w:t>
            </w:r>
          </w:p>
        </w:tc>
        <w:tc>
          <w:tcPr>
            <w:tcW w:w="2551" w:type="dxa"/>
            <w:vAlign w:val="center"/>
          </w:tcPr>
          <w:p w14:paraId="08755A51">
            <w:pPr>
              <w:pStyle w:val="13"/>
            </w:pPr>
            <w:r>
              <w:t>75%</w:t>
            </w:r>
          </w:p>
        </w:tc>
        <w:tc>
          <w:tcPr>
            <w:tcW w:w="3544" w:type="dxa"/>
            <w:gridSpan w:val="2"/>
            <w:vAlign w:val="center"/>
          </w:tcPr>
          <w:p w14:paraId="6EEC67BB">
            <w:pPr>
              <w:pStyle w:val="13"/>
            </w:pPr>
            <w:r>
              <w:t>100%</w:t>
            </w:r>
          </w:p>
        </w:tc>
      </w:tr>
      <w:tr w14:paraId="2CF15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443DE">
            <w:pPr>
              <w:pStyle w:val="10"/>
            </w:pPr>
            <w:r>
              <w:t>绩效目标</w:t>
            </w:r>
          </w:p>
        </w:tc>
        <w:tc>
          <w:tcPr>
            <w:tcW w:w="14033" w:type="dxa"/>
            <w:gridSpan w:val="6"/>
            <w:vAlign w:val="center"/>
          </w:tcPr>
          <w:p w14:paraId="50C41F80">
            <w:pPr>
              <w:pStyle w:val="12"/>
            </w:pPr>
            <w:r>
              <w:t>弥补中职涉农及其他专业贫困生免除学费后的经费不足。</w:t>
            </w:r>
            <w:r>
              <w:tab/>
            </w:r>
            <w:r>
              <w:tab/>
            </w:r>
            <w:r>
              <w:tab/>
            </w:r>
            <w:r>
              <w:tab/>
            </w:r>
            <w:r>
              <w:tab/>
            </w:r>
            <w:r>
              <w:tab/>
            </w:r>
          </w:p>
        </w:tc>
      </w:tr>
    </w:tbl>
    <w:p w14:paraId="7DE73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7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8FE63">
            <w:pPr>
              <w:pStyle w:val="10"/>
            </w:pPr>
            <w:r>
              <w:t>一级指标</w:t>
            </w:r>
          </w:p>
        </w:tc>
        <w:tc>
          <w:tcPr>
            <w:tcW w:w="2268" w:type="dxa"/>
            <w:vAlign w:val="center"/>
          </w:tcPr>
          <w:p w14:paraId="0CD601FE">
            <w:pPr>
              <w:pStyle w:val="10"/>
            </w:pPr>
            <w:r>
              <w:t>二级指标</w:t>
            </w:r>
          </w:p>
        </w:tc>
        <w:tc>
          <w:tcPr>
            <w:tcW w:w="2835" w:type="dxa"/>
            <w:vAlign w:val="center"/>
          </w:tcPr>
          <w:p w14:paraId="103C993A">
            <w:pPr>
              <w:pStyle w:val="10"/>
            </w:pPr>
            <w:r>
              <w:t>三级指标</w:t>
            </w:r>
          </w:p>
        </w:tc>
        <w:tc>
          <w:tcPr>
            <w:tcW w:w="5386" w:type="dxa"/>
            <w:vAlign w:val="center"/>
          </w:tcPr>
          <w:p w14:paraId="79F67143">
            <w:pPr>
              <w:pStyle w:val="10"/>
            </w:pPr>
            <w:r>
              <w:t>绩效指标描述</w:t>
            </w:r>
          </w:p>
        </w:tc>
        <w:tc>
          <w:tcPr>
            <w:tcW w:w="2268" w:type="dxa"/>
            <w:vAlign w:val="center"/>
          </w:tcPr>
          <w:p w14:paraId="4CDD839A">
            <w:pPr>
              <w:pStyle w:val="10"/>
            </w:pPr>
            <w:r>
              <w:t>指标值</w:t>
            </w:r>
          </w:p>
        </w:tc>
        <w:tc>
          <w:tcPr>
            <w:tcW w:w="1276" w:type="dxa"/>
            <w:vAlign w:val="center"/>
          </w:tcPr>
          <w:p w14:paraId="45A567B2">
            <w:pPr>
              <w:pStyle w:val="10"/>
            </w:pPr>
            <w:r>
              <w:t>指标值确定依据</w:t>
            </w:r>
          </w:p>
        </w:tc>
      </w:tr>
      <w:tr w14:paraId="09DF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6ACF5">
            <w:pPr>
              <w:pStyle w:val="13"/>
            </w:pPr>
            <w:r>
              <w:t>产出指标</w:t>
            </w:r>
          </w:p>
        </w:tc>
        <w:tc>
          <w:tcPr>
            <w:tcW w:w="2268" w:type="dxa"/>
            <w:vAlign w:val="center"/>
          </w:tcPr>
          <w:p w14:paraId="27BEA4E6">
            <w:pPr>
              <w:pStyle w:val="12"/>
            </w:pPr>
            <w:r>
              <w:t>数量指标</w:t>
            </w:r>
          </w:p>
        </w:tc>
        <w:tc>
          <w:tcPr>
            <w:tcW w:w="2835" w:type="dxa"/>
            <w:vAlign w:val="center"/>
          </w:tcPr>
          <w:p w14:paraId="47981C76">
            <w:pPr>
              <w:pStyle w:val="12"/>
            </w:pPr>
            <w:r>
              <w:t>免学费补助人数</w:t>
            </w:r>
          </w:p>
        </w:tc>
        <w:tc>
          <w:tcPr>
            <w:tcW w:w="5386" w:type="dxa"/>
            <w:vAlign w:val="center"/>
          </w:tcPr>
          <w:p w14:paraId="2D6BA14E">
            <w:pPr>
              <w:pStyle w:val="12"/>
            </w:pPr>
            <w:r>
              <w:t>免学费补助人数</w:t>
            </w:r>
          </w:p>
        </w:tc>
        <w:tc>
          <w:tcPr>
            <w:tcW w:w="2268" w:type="dxa"/>
            <w:vAlign w:val="center"/>
          </w:tcPr>
          <w:p w14:paraId="74089F6A">
            <w:pPr>
              <w:pStyle w:val="12"/>
            </w:pPr>
            <w:r>
              <w:t>≥280人</w:t>
            </w:r>
          </w:p>
        </w:tc>
        <w:tc>
          <w:tcPr>
            <w:tcW w:w="1276" w:type="dxa"/>
            <w:vAlign w:val="center"/>
          </w:tcPr>
          <w:p w14:paraId="25C70617">
            <w:pPr>
              <w:pStyle w:val="12"/>
            </w:pPr>
            <w:r>
              <w:t>2026年度预算</w:t>
            </w:r>
          </w:p>
        </w:tc>
      </w:tr>
      <w:tr w14:paraId="0A2D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55336"/>
        </w:tc>
        <w:tc>
          <w:tcPr>
            <w:tcW w:w="2268" w:type="dxa"/>
            <w:vAlign w:val="center"/>
          </w:tcPr>
          <w:p w14:paraId="30272F21">
            <w:pPr>
              <w:pStyle w:val="12"/>
            </w:pPr>
            <w:r>
              <w:t>质量指标</w:t>
            </w:r>
          </w:p>
        </w:tc>
        <w:tc>
          <w:tcPr>
            <w:tcW w:w="2835" w:type="dxa"/>
            <w:vAlign w:val="center"/>
          </w:tcPr>
          <w:p w14:paraId="2A1A828B">
            <w:pPr>
              <w:pStyle w:val="12"/>
            </w:pPr>
            <w:r>
              <w:t>免学费全覆盖</w:t>
            </w:r>
          </w:p>
        </w:tc>
        <w:tc>
          <w:tcPr>
            <w:tcW w:w="5386" w:type="dxa"/>
            <w:vAlign w:val="center"/>
          </w:tcPr>
          <w:p w14:paraId="1FAFDB49">
            <w:pPr>
              <w:pStyle w:val="12"/>
            </w:pPr>
            <w:r>
              <w:t>免学费一、二、三年级中职生</w:t>
            </w:r>
          </w:p>
        </w:tc>
        <w:tc>
          <w:tcPr>
            <w:tcW w:w="2268" w:type="dxa"/>
            <w:vAlign w:val="center"/>
          </w:tcPr>
          <w:p w14:paraId="0F0F19BF">
            <w:pPr>
              <w:pStyle w:val="12"/>
            </w:pPr>
            <w:r>
              <w:t>100%</w:t>
            </w:r>
          </w:p>
        </w:tc>
        <w:tc>
          <w:tcPr>
            <w:tcW w:w="1276" w:type="dxa"/>
            <w:vAlign w:val="center"/>
          </w:tcPr>
          <w:p w14:paraId="6DB0DCE9">
            <w:pPr>
              <w:pStyle w:val="12"/>
            </w:pPr>
            <w:r>
              <w:t>隆尧县中职免学费管理办法</w:t>
            </w:r>
          </w:p>
        </w:tc>
      </w:tr>
      <w:tr w14:paraId="3B9D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4E535"/>
        </w:tc>
        <w:tc>
          <w:tcPr>
            <w:tcW w:w="2268" w:type="dxa"/>
            <w:vAlign w:val="center"/>
          </w:tcPr>
          <w:p w14:paraId="149DE9AC">
            <w:pPr>
              <w:pStyle w:val="12"/>
            </w:pPr>
            <w:r>
              <w:t>时效指标</w:t>
            </w:r>
          </w:p>
        </w:tc>
        <w:tc>
          <w:tcPr>
            <w:tcW w:w="2835" w:type="dxa"/>
            <w:vAlign w:val="center"/>
          </w:tcPr>
          <w:p w14:paraId="43D38A5A">
            <w:pPr>
              <w:pStyle w:val="12"/>
            </w:pPr>
            <w:r>
              <w:t>免学费经费拨付率</w:t>
            </w:r>
          </w:p>
        </w:tc>
        <w:tc>
          <w:tcPr>
            <w:tcW w:w="5386" w:type="dxa"/>
            <w:vAlign w:val="center"/>
          </w:tcPr>
          <w:p w14:paraId="63313394">
            <w:pPr>
              <w:pStyle w:val="12"/>
            </w:pPr>
            <w:r>
              <w:t>免学费经费及时拨付到位率</w:t>
            </w:r>
          </w:p>
        </w:tc>
        <w:tc>
          <w:tcPr>
            <w:tcW w:w="2268" w:type="dxa"/>
            <w:vAlign w:val="center"/>
          </w:tcPr>
          <w:p w14:paraId="5C55954D">
            <w:pPr>
              <w:pStyle w:val="12"/>
            </w:pPr>
            <w:r>
              <w:t>≥99%</w:t>
            </w:r>
          </w:p>
        </w:tc>
        <w:tc>
          <w:tcPr>
            <w:tcW w:w="1276" w:type="dxa"/>
            <w:vAlign w:val="center"/>
          </w:tcPr>
          <w:p w14:paraId="352CD031">
            <w:pPr>
              <w:pStyle w:val="12"/>
            </w:pPr>
            <w:r>
              <w:t>隆尧县中职免学费管理办法</w:t>
            </w:r>
          </w:p>
        </w:tc>
      </w:tr>
      <w:tr w14:paraId="12C0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12A88"/>
        </w:tc>
        <w:tc>
          <w:tcPr>
            <w:tcW w:w="2268" w:type="dxa"/>
            <w:vAlign w:val="center"/>
          </w:tcPr>
          <w:p w14:paraId="7FD1BFC4">
            <w:pPr>
              <w:pStyle w:val="12"/>
            </w:pPr>
            <w:r>
              <w:t>成本指标</w:t>
            </w:r>
          </w:p>
        </w:tc>
        <w:tc>
          <w:tcPr>
            <w:tcW w:w="2835" w:type="dxa"/>
            <w:vAlign w:val="center"/>
          </w:tcPr>
          <w:p w14:paraId="7E6FA638">
            <w:pPr>
              <w:pStyle w:val="12"/>
            </w:pPr>
            <w:r>
              <w:t>中职学校免学费补助标准</w:t>
            </w:r>
          </w:p>
        </w:tc>
        <w:tc>
          <w:tcPr>
            <w:tcW w:w="5386" w:type="dxa"/>
            <w:vAlign w:val="center"/>
          </w:tcPr>
          <w:p w14:paraId="1AF3E0F7">
            <w:pPr>
              <w:pStyle w:val="12"/>
            </w:pPr>
            <w:r>
              <w:t>中职学校免学费补助标准</w:t>
            </w:r>
          </w:p>
        </w:tc>
        <w:tc>
          <w:tcPr>
            <w:tcW w:w="2268" w:type="dxa"/>
            <w:vAlign w:val="center"/>
          </w:tcPr>
          <w:p w14:paraId="45480DC2">
            <w:pPr>
              <w:pStyle w:val="12"/>
            </w:pPr>
            <w:r>
              <w:t>2000元/生/年</w:t>
            </w:r>
          </w:p>
        </w:tc>
        <w:tc>
          <w:tcPr>
            <w:tcW w:w="1276" w:type="dxa"/>
            <w:vAlign w:val="center"/>
          </w:tcPr>
          <w:p w14:paraId="7CAEC966">
            <w:pPr>
              <w:pStyle w:val="12"/>
            </w:pPr>
            <w:r>
              <w:t>隆尧县中职免学费管理办法</w:t>
            </w:r>
          </w:p>
        </w:tc>
      </w:tr>
      <w:tr w14:paraId="1765C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69709">
            <w:pPr>
              <w:pStyle w:val="13"/>
            </w:pPr>
            <w:r>
              <w:t>效益指标</w:t>
            </w:r>
          </w:p>
        </w:tc>
        <w:tc>
          <w:tcPr>
            <w:tcW w:w="2268" w:type="dxa"/>
            <w:vAlign w:val="center"/>
          </w:tcPr>
          <w:p w14:paraId="6239A7D4">
            <w:pPr>
              <w:pStyle w:val="12"/>
            </w:pPr>
            <w:r>
              <w:t>可持续影响指标</w:t>
            </w:r>
          </w:p>
        </w:tc>
        <w:tc>
          <w:tcPr>
            <w:tcW w:w="2835" w:type="dxa"/>
            <w:vAlign w:val="center"/>
          </w:tcPr>
          <w:p w14:paraId="74A35EBB">
            <w:pPr>
              <w:pStyle w:val="12"/>
            </w:pPr>
            <w:r>
              <w:t>中职运转</w:t>
            </w:r>
          </w:p>
        </w:tc>
        <w:tc>
          <w:tcPr>
            <w:tcW w:w="5386" w:type="dxa"/>
            <w:vAlign w:val="center"/>
          </w:tcPr>
          <w:p w14:paraId="078E548F">
            <w:pPr>
              <w:pStyle w:val="12"/>
            </w:pPr>
            <w:r>
              <w:t>高中受教育年限</w:t>
            </w:r>
          </w:p>
        </w:tc>
        <w:tc>
          <w:tcPr>
            <w:tcW w:w="2268" w:type="dxa"/>
            <w:vAlign w:val="center"/>
          </w:tcPr>
          <w:p w14:paraId="0DBCE309">
            <w:pPr>
              <w:pStyle w:val="12"/>
            </w:pPr>
            <w:r>
              <w:t>3年</w:t>
            </w:r>
          </w:p>
        </w:tc>
        <w:tc>
          <w:tcPr>
            <w:tcW w:w="1276" w:type="dxa"/>
            <w:vAlign w:val="center"/>
          </w:tcPr>
          <w:p w14:paraId="0913B455">
            <w:pPr>
              <w:pStyle w:val="12"/>
            </w:pPr>
            <w:r>
              <w:t>隆尧县中职免学费管理办法</w:t>
            </w:r>
          </w:p>
        </w:tc>
      </w:tr>
      <w:tr w14:paraId="3D88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04F4D">
            <w:pPr>
              <w:pStyle w:val="13"/>
            </w:pPr>
            <w:r>
              <w:t>满意度指标</w:t>
            </w:r>
          </w:p>
        </w:tc>
        <w:tc>
          <w:tcPr>
            <w:tcW w:w="2268" w:type="dxa"/>
            <w:vAlign w:val="center"/>
          </w:tcPr>
          <w:p w14:paraId="1EABF639">
            <w:pPr>
              <w:pStyle w:val="12"/>
            </w:pPr>
            <w:r>
              <w:t>服务对象满意度指标</w:t>
            </w:r>
          </w:p>
        </w:tc>
        <w:tc>
          <w:tcPr>
            <w:tcW w:w="2835" w:type="dxa"/>
            <w:vAlign w:val="center"/>
          </w:tcPr>
          <w:p w14:paraId="278A3F04">
            <w:pPr>
              <w:pStyle w:val="12"/>
            </w:pPr>
            <w:r>
              <w:t>提升幸福指数</w:t>
            </w:r>
          </w:p>
        </w:tc>
        <w:tc>
          <w:tcPr>
            <w:tcW w:w="5386" w:type="dxa"/>
            <w:vAlign w:val="center"/>
          </w:tcPr>
          <w:p w14:paraId="30BFEAB9">
            <w:pPr>
              <w:pStyle w:val="12"/>
            </w:pPr>
            <w:r>
              <w:t>提升贫困家庭学生的幸福指数</w:t>
            </w:r>
            <w:r>
              <w:rPr>
                <w:rFonts w:hint="eastAsia"/>
                <w:lang w:eastAsia="zh-CN"/>
              </w:rPr>
              <w:t>，学生家长</w:t>
            </w:r>
            <w:r>
              <w:t>满</w:t>
            </w:r>
            <w:r>
              <w:rPr>
                <w:rFonts w:hint="eastAsia"/>
                <w:lang w:eastAsia="zh-CN"/>
              </w:rPr>
              <w:t>意度</w:t>
            </w:r>
          </w:p>
        </w:tc>
        <w:tc>
          <w:tcPr>
            <w:tcW w:w="2268" w:type="dxa"/>
            <w:vAlign w:val="center"/>
          </w:tcPr>
          <w:p w14:paraId="3C791F2D">
            <w:pPr>
              <w:pStyle w:val="12"/>
            </w:pPr>
            <w:r>
              <w:t>≥95%</w:t>
            </w:r>
          </w:p>
        </w:tc>
        <w:tc>
          <w:tcPr>
            <w:tcW w:w="1276" w:type="dxa"/>
            <w:vAlign w:val="center"/>
          </w:tcPr>
          <w:p w14:paraId="2E3FF685">
            <w:pPr>
              <w:pStyle w:val="12"/>
            </w:pPr>
            <w:r>
              <w:t>隆尧县中职免学费管理办法</w:t>
            </w:r>
          </w:p>
        </w:tc>
      </w:tr>
    </w:tbl>
    <w:p w14:paraId="783F5287">
      <w:pPr>
        <w:sectPr>
          <w:pgSz w:w="16840" w:h="11900" w:orient="landscape"/>
          <w:pgMar w:top="1361" w:right="1020" w:bottom="1134" w:left="1020" w:header="720" w:footer="720" w:gutter="0"/>
          <w:cols w:space="720" w:num="1"/>
        </w:sectPr>
      </w:pPr>
    </w:p>
    <w:p w14:paraId="03FC76EE">
      <w:pPr>
        <w:spacing w:before="0" w:after="0"/>
        <w:ind w:firstLine="560"/>
        <w:jc w:val="left"/>
        <w:outlineLvl w:val="9"/>
      </w:pPr>
      <w:r>
        <w:rPr>
          <w:rFonts w:ascii="方正仿宋_GBK" w:hAnsi="方正仿宋_GBK" w:eastAsia="方正仿宋_GBK" w:cs="方正仿宋_GBK"/>
          <w:b/>
          <w:color w:val="000000"/>
          <w:sz w:val="28"/>
        </w:rPr>
        <w:t>6、冀财教[2025]116号/中央/2026年学生资助/中职免学费（文茂中学）绩效目标表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FA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4EA4C">
            <w:pPr>
              <w:pStyle w:val="11"/>
            </w:pPr>
            <w:r>
              <w:t>单位：万元</w:t>
            </w:r>
          </w:p>
        </w:tc>
      </w:tr>
      <w:tr w14:paraId="5F7E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D031C">
            <w:pPr>
              <w:pStyle w:val="10"/>
            </w:pPr>
            <w:r>
              <w:t>项目编码</w:t>
            </w:r>
          </w:p>
        </w:tc>
        <w:tc>
          <w:tcPr>
            <w:tcW w:w="5103" w:type="dxa"/>
            <w:gridSpan w:val="2"/>
            <w:vAlign w:val="center"/>
          </w:tcPr>
          <w:p w14:paraId="72956FA4">
            <w:pPr>
              <w:pStyle w:val="12"/>
            </w:pPr>
            <w:r>
              <w:t>13052526P00001210057Y</w:t>
            </w:r>
          </w:p>
        </w:tc>
        <w:tc>
          <w:tcPr>
            <w:tcW w:w="2835" w:type="dxa"/>
            <w:vAlign w:val="center"/>
          </w:tcPr>
          <w:p w14:paraId="3A845B81">
            <w:pPr>
              <w:pStyle w:val="10"/>
            </w:pPr>
            <w:r>
              <w:t>项目名称</w:t>
            </w:r>
          </w:p>
        </w:tc>
        <w:tc>
          <w:tcPr>
            <w:tcW w:w="6095" w:type="dxa"/>
            <w:gridSpan w:val="3"/>
            <w:vAlign w:val="center"/>
          </w:tcPr>
          <w:p w14:paraId="7EB9E40F">
            <w:pPr>
              <w:pStyle w:val="12"/>
            </w:pPr>
            <w:r>
              <w:t>冀财教[2025]116号/中央/2026年学生资助/中职免学费（文茂中学）</w:t>
            </w:r>
          </w:p>
        </w:tc>
      </w:tr>
      <w:tr w14:paraId="6E7A7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3B659">
            <w:pPr>
              <w:pStyle w:val="10"/>
            </w:pPr>
            <w:r>
              <w:t>预算规模及资金用途</w:t>
            </w:r>
          </w:p>
        </w:tc>
        <w:tc>
          <w:tcPr>
            <w:tcW w:w="2268" w:type="dxa"/>
            <w:vAlign w:val="center"/>
          </w:tcPr>
          <w:p w14:paraId="5D21EA83">
            <w:pPr>
              <w:pStyle w:val="10"/>
            </w:pPr>
            <w:r>
              <w:t>预算数</w:t>
            </w:r>
          </w:p>
        </w:tc>
        <w:tc>
          <w:tcPr>
            <w:tcW w:w="2835" w:type="dxa"/>
            <w:vAlign w:val="center"/>
          </w:tcPr>
          <w:p w14:paraId="766C382D">
            <w:pPr>
              <w:pStyle w:val="12"/>
            </w:pPr>
            <w:r>
              <w:t>35.00</w:t>
            </w:r>
          </w:p>
        </w:tc>
        <w:tc>
          <w:tcPr>
            <w:tcW w:w="2835" w:type="dxa"/>
            <w:vAlign w:val="center"/>
          </w:tcPr>
          <w:p w14:paraId="2E2D8750">
            <w:pPr>
              <w:pStyle w:val="10"/>
            </w:pPr>
            <w:r>
              <w:t>其中：财政    资金</w:t>
            </w:r>
          </w:p>
        </w:tc>
        <w:tc>
          <w:tcPr>
            <w:tcW w:w="2551" w:type="dxa"/>
            <w:vAlign w:val="center"/>
          </w:tcPr>
          <w:p w14:paraId="5AE77B1B">
            <w:pPr>
              <w:pStyle w:val="12"/>
            </w:pPr>
            <w:r>
              <w:t>35.00</w:t>
            </w:r>
          </w:p>
        </w:tc>
        <w:tc>
          <w:tcPr>
            <w:tcW w:w="2268" w:type="dxa"/>
            <w:vAlign w:val="center"/>
          </w:tcPr>
          <w:p w14:paraId="2C1168BE">
            <w:pPr>
              <w:pStyle w:val="10"/>
            </w:pPr>
            <w:r>
              <w:t>其他资金</w:t>
            </w:r>
          </w:p>
        </w:tc>
        <w:tc>
          <w:tcPr>
            <w:tcW w:w="1276" w:type="dxa"/>
            <w:vAlign w:val="center"/>
          </w:tcPr>
          <w:p w14:paraId="0B6687C5">
            <w:pPr>
              <w:pStyle w:val="12"/>
            </w:pPr>
            <w:r>
              <w:t xml:space="preserve"> </w:t>
            </w:r>
          </w:p>
        </w:tc>
      </w:tr>
      <w:tr w14:paraId="12B5F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EEB7F"/>
        </w:tc>
        <w:tc>
          <w:tcPr>
            <w:tcW w:w="14033" w:type="dxa"/>
            <w:gridSpan w:val="6"/>
            <w:vAlign w:val="center"/>
          </w:tcPr>
          <w:p w14:paraId="7162EB28">
            <w:pPr>
              <w:pStyle w:val="12"/>
            </w:pPr>
            <w:r>
              <w:t>弥补中职涉农及其他专业贫困生免除学费后的经费不足。</w:t>
            </w:r>
            <w:r>
              <w:tab/>
            </w:r>
            <w:r>
              <w:tab/>
            </w:r>
            <w:r>
              <w:tab/>
            </w:r>
            <w:r>
              <w:tab/>
            </w:r>
            <w:r>
              <w:tab/>
            </w:r>
            <w:r>
              <w:tab/>
            </w:r>
          </w:p>
        </w:tc>
      </w:tr>
      <w:tr w14:paraId="2AAE3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8E546">
            <w:pPr>
              <w:pStyle w:val="10"/>
            </w:pPr>
            <w:r>
              <w:t>资金支出计划（%）</w:t>
            </w:r>
          </w:p>
        </w:tc>
        <w:tc>
          <w:tcPr>
            <w:tcW w:w="5103" w:type="dxa"/>
            <w:gridSpan w:val="2"/>
            <w:vAlign w:val="center"/>
          </w:tcPr>
          <w:p w14:paraId="03F4B38B">
            <w:pPr>
              <w:pStyle w:val="10"/>
            </w:pPr>
            <w:r>
              <w:t>3月底</w:t>
            </w:r>
          </w:p>
        </w:tc>
        <w:tc>
          <w:tcPr>
            <w:tcW w:w="2835" w:type="dxa"/>
            <w:vAlign w:val="center"/>
          </w:tcPr>
          <w:p w14:paraId="6F76EDDE">
            <w:pPr>
              <w:pStyle w:val="10"/>
            </w:pPr>
            <w:r>
              <w:t>6月底</w:t>
            </w:r>
          </w:p>
        </w:tc>
        <w:tc>
          <w:tcPr>
            <w:tcW w:w="2551" w:type="dxa"/>
            <w:vAlign w:val="center"/>
          </w:tcPr>
          <w:p w14:paraId="29490DCB">
            <w:pPr>
              <w:pStyle w:val="10"/>
            </w:pPr>
            <w:r>
              <w:t>10月底</w:t>
            </w:r>
          </w:p>
        </w:tc>
        <w:tc>
          <w:tcPr>
            <w:tcW w:w="3544" w:type="dxa"/>
            <w:gridSpan w:val="2"/>
            <w:vAlign w:val="center"/>
          </w:tcPr>
          <w:p w14:paraId="5B84C528">
            <w:pPr>
              <w:pStyle w:val="10"/>
            </w:pPr>
            <w:r>
              <w:t>12月底</w:t>
            </w:r>
          </w:p>
        </w:tc>
      </w:tr>
      <w:tr w14:paraId="296D4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BD624"/>
        </w:tc>
        <w:tc>
          <w:tcPr>
            <w:tcW w:w="5103" w:type="dxa"/>
            <w:gridSpan w:val="2"/>
            <w:vAlign w:val="center"/>
          </w:tcPr>
          <w:p w14:paraId="524013F6">
            <w:pPr>
              <w:pStyle w:val="13"/>
            </w:pPr>
            <w:r>
              <w:t>25%</w:t>
            </w:r>
          </w:p>
        </w:tc>
        <w:tc>
          <w:tcPr>
            <w:tcW w:w="2835" w:type="dxa"/>
            <w:vAlign w:val="center"/>
          </w:tcPr>
          <w:p w14:paraId="4053CB48">
            <w:pPr>
              <w:pStyle w:val="13"/>
            </w:pPr>
            <w:r>
              <w:t>50%</w:t>
            </w:r>
          </w:p>
        </w:tc>
        <w:tc>
          <w:tcPr>
            <w:tcW w:w="2551" w:type="dxa"/>
            <w:vAlign w:val="center"/>
          </w:tcPr>
          <w:p w14:paraId="5430C8AD">
            <w:pPr>
              <w:pStyle w:val="13"/>
            </w:pPr>
            <w:r>
              <w:t>75%</w:t>
            </w:r>
          </w:p>
        </w:tc>
        <w:tc>
          <w:tcPr>
            <w:tcW w:w="3544" w:type="dxa"/>
            <w:gridSpan w:val="2"/>
            <w:vAlign w:val="center"/>
          </w:tcPr>
          <w:p w14:paraId="491AAF64">
            <w:pPr>
              <w:pStyle w:val="13"/>
            </w:pPr>
            <w:r>
              <w:t>100%</w:t>
            </w:r>
          </w:p>
        </w:tc>
      </w:tr>
      <w:tr w14:paraId="1ECF4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57BBD">
            <w:pPr>
              <w:pStyle w:val="10"/>
            </w:pPr>
            <w:r>
              <w:t>绩效目标</w:t>
            </w:r>
          </w:p>
        </w:tc>
        <w:tc>
          <w:tcPr>
            <w:tcW w:w="14033" w:type="dxa"/>
            <w:gridSpan w:val="6"/>
            <w:vAlign w:val="center"/>
          </w:tcPr>
          <w:p w14:paraId="37809FD5">
            <w:pPr>
              <w:pStyle w:val="12"/>
            </w:pPr>
            <w:r>
              <w:t>1.弥补中职涉农及其他专业贫困生免除学费后的经费不足。</w:t>
            </w:r>
          </w:p>
        </w:tc>
      </w:tr>
    </w:tbl>
    <w:p w14:paraId="71832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4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42973">
            <w:pPr>
              <w:pStyle w:val="10"/>
            </w:pPr>
            <w:r>
              <w:t>一级指标</w:t>
            </w:r>
          </w:p>
        </w:tc>
        <w:tc>
          <w:tcPr>
            <w:tcW w:w="2268" w:type="dxa"/>
            <w:vAlign w:val="center"/>
          </w:tcPr>
          <w:p w14:paraId="60437EE3">
            <w:pPr>
              <w:pStyle w:val="10"/>
            </w:pPr>
            <w:r>
              <w:t>二级指标</w:t>
            </w:r>
          </w:p>
        </w:tc>
        <w:tc>
          <w:tcPr>
            <w:tcW w:w="2835" w:type="dxa"/>
            <w:vAlign w:val="center"/>
          </w:tcPr>
          <w:p w14:paraId="7E7D3E27">
            <w:pPr>
              <w:pStyle w:val="10"/>
            </w:pPr>
            <w:r>
              <w:t>三级指标</w:t>
            </w:r>
          </w:p>
        </w:tc>
        <w:tc>
          <w:tcPr>
            <w:tcW w:w="5386" w:type="dxa"/>
            <w:vAlign w:val="center"/>
          </w:tcPr>
          <w:p w14:paraId="4F63BECA">
            <w:pPr>
              <w:pStyle w:val="10"/>
            </w:pPr>
            <w:r>
              <w:t>绩效指标描述</w:t>
            </w:r>
          </w:p>
        </w:tc>
        <w:tc>
          <w:tcPr>
            <w:tcW w:w="2268" w:type="dxa"/>
            <w:vAlign w:val="center"/>
          </w:tcPr>
          <w:p w14:paraId="2DDA52BD">
            <w:pPr>
              <w:pStyle w:val="10"/>
            </w:pPr>
            <w:r>
              <w:t>指标值</w:t>
            </w:r>
          </w:p>
        </w:tc>
        <w:tc>
          <w:tcPr>
            <w:tcW w:w="1276" w:type="dxa"/>
            <w:vAlign w:val="center"/>
          </w:tcPr>
          <w:p w14:paraId="29222935">
            <w:pPr>
              <w:pStyle w:val="10"/>
            </w:pPr>
            <w:r>
              <w:t>指标值确定依据</w:t>
            </w:r>
          </w:p>
        </w:tc>
      </w:tr>
      <w:tr w14:paraId="3C28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A6356">
            <w:pPr>
              <w:pStyle w:val="13"/>
            </w:pPr>
            <w:r>
              <w:t>产出指标</w:t>
            </w:r>
          </w:p>
        </w:tc>
        <w:tc>
          <w:tcPr>
            <w:tcW w:w="2268" w:type="dxa"/>
            <w:vAlign w:val="center"/>
          </w:tcPr>
          <w:p w14:paraId="3B27D639">
            <w:pPr>
              <w:pStyle w:val="12"/>
            </w:pPr>
            <w:r>
              <w:t>数量指标</w:t>
            </w:r>
          </w:p>
        </w:tc>
        <w:tc>
          <w:tcPr>
            <w:tcW w:w="2835" w:type="dxa"/>
            <w:vAlign w:val="center"/>
          </w:tcPr>
          <w:p w14:paraId="260581DF">
            <w:pPr>
              <w:pStyle w:val="12"/>
            </w:pPr>
            <w:r>
              <w:t>免学费补助人数</w:t>
            </w:r>
          </w:p>
        </w:tc>
        <w:tc>
          <w:tcPr>
            <w:tcW w:w="5386" w:type="dxa"/>
            <w:vAlign w:val="center"/>
          </w:tcPr>
          <w:p w14:paraId="6363BBAC">
            <w:pPr>
              <w:pStyle w:val="12"/>
            </w:pPr>
            <w:r>
              <w:t>免学费补助人数</w:t>
            </w:r>
          </w:p>
        </w:tc>
        <w:tc>
          <w:tcPr>
            <w:tcW w:w="2268" w:type="dxa"/>
            <w:vAlign w:val="center"/>
          </w:tcPr>
          <w:p w14:paraId="55CFB886">
            <w:pPr>
              <w:pStyle w:val="12"/>
            </w:pPr>
            <w:r>
              <w:t>≥391人</w:t>
            </w:r>
          </w:p>
        </w:tc>
        <w:tc>
          <w:tcPr>
            <w:tcW w:w="1276" w:type="dxa"/>
            <w:vAlign w:val="center"/>
          </w:tcPr>
          <w:p w14:paraId="7E88ABEA">
            <w:pPr>
              <w:pStyle w:val="12"/>
            </w:pPr>
            <w:r>
              <w:t>2026年度预算</w:t>
            </w:r>
          </w:p>
        </w:tc>
      </w:tr>
      <w:tr w14:paraId="0385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D6820"/>
        </w:tc>
        <w:tc>
          <w:tcPr>
            <w:tcW w:w="2268" w:type="dxa"/>
            <w:vAlign w:val="center"/>
          </w:tcPr>
          <w:p w14:paraId="7D49802B">
            <w:pPr>
              <w:pStyle w:val="12"/>
            </w:pPr>
            <w:r>
              <w:t>质量指标</w:t>
            </w:r>
          </w:p>
        </w:tc>
        <w:tc>
          <w:tcPr>
            <w:tcW w:w="2835" w:type="dxa"/>
            <w:vAlign w:val="center"/>
          </w:tcPr>
          <w:p w14:paraId="42227691">
            <w:pPr>
              <w:pStyle w:val="12"/>
            </w:pPr>
            <w:r>
              <w:t>免学费全覆盖</w:t>
            </w:r>
          </w:p>
        </w:tc>
        <w:tc>
          <w:tcPr>
            <w:tcW w:w="5386" w:type="dxa"/>
            <w:vAlign w:val="center"/>
          </w:tcPr>
          <w:p w14:paraId="0F22294A">
            <w:pPr>
              <w:pStyle w:val="12"/>
            </w:pPr>
            <w:r>
              <w:t>免学费一、二、三年级中职生</w:t>
            </w:r>
          </w:p>
        </w:tc>
        <w:tc>
          <w:tcPr>
            <w:tcW w:w="2268" w:type="dxa"/>
            <w:vAlign w:val="center"/>
          </w:tcPr>
          <w:p w14:paraId="2EC02512">
            <w:pPr>
              <w:pStyle w:val="12"/>
            </w:pPr>
            <w:r>
              <w:t>100%</w:t>
            </w:r>
          </w:p>
        </w:tc>
        <w:tc>
          <w:tcPr>
            <w:tcW w:w="1276" w:type="dxa"/>
            <w:vAlign w:val="center"/>
          </w:tcPr>
          <w:p w14:paraId="2326F841">
            <w:pPr>
              <w:pStyle w:val="12"/>
            </w:pPr>
            <w:r>
              <w:t>隆尧县中职免学费管理办法</w:t>
            </w:r>
          </w:p>
        </w:tc>
      </w:tr>
      <w:tr w14:paraId="5F41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2B8D9"/>
        </w:tc>
        <w:tc>
          <w:tcPr>
            <w:tcW w:w="2268" w:type="dxa"/>
            <w:vAlign w:val="center"/>
          </w:tcPr>
          <w:p w14:paraId="63708777">
            <w:pPr>
              <w:pStyle w:val="12"/>
            </w:pPr>
            <w:r>
              <w:t>时效指标</w:t>
            </w:r>
          </w:p>
        </w:tc>
        <w:tc>
          <w:tcPr>
            <w:tcW w:w="2835" w:type="dxa"/>
            <w:vAlign w:val="center"/>
          </w:tcPr>
          <w:p w14:paraId="314103DE">
            <w:pPr>
              <w:pStyle w:val="12"/>
            </w:pPr>
            <w:r>
              <w:t>免学费经费拨付率</w:t>
            </w:r>
          </w:p>
        </w:tc>
        <w:tc>
          <w:tcPr>
            <w:tcW w:w="5386" w:type="dxa"/>
            <w:vAlign w:val="center"/>
          </w:tcPr>
          <w:p w14:paraId="136FF153">
            <w:pPr>
              <w:pStyle w:val="12"/>
            </w:pPr>
            <w:r>
              <w:t>免学费经费及时拨付到位率</w:t>
            </w:r>
          </w:p>
        </w:tc>
        <w:tc>
          <w:tcPr>
            <w:tcW w:w="2268" w:type="dxa"/>
            <w:vAlign w:val="center"/>
          </w:tcPr>
          <w:p w14:paraId="6EAAB2E1">
            <w:pPr>
              <w:pStyle w:val="12"/>
            </w:pPr>
            <w:r>
              <w:t>≥99%</w:t>
            </w:r>
          </w:p>
        </w:tc>
        <w:tc>
          <w:tcPr>
            <w:tcW w:w="1276" w:type="dxa"/>
            <w:vAlign w:val="center"/>
          </w:tcPr>
          <w:p w14:paraId="6B6F031F">
            <w:pPr>
              <w:pStyle w:val="12"/>
            </w:pPr>
            <w:r>
              <w:t>隆尧县中职免学费管理办法</w:t>
            </w:r>
          </w:p>
        </w:tc>
      </w:tr>
      <w:tr w14:paraId="4846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EF961"/>
        </w:tc>
        <w:tc>
          <w:tcPr>
            <w:tcW w:w="2268" w:type="dxa"/>
            <w:vAlign w:val="center"/>
          </w:tcPr>
          <w:p w14:paraId="37B09A61">
            <w:pPr>
              <w:pStyle w:val="12"/>
            </w:pPr>
            <w:r>
              <w:t>成本指标</w:t>
            </w:r>
          </w:p>
        </w:tc>
        <w:tc>
          <w:tcPr>
            <w:tcW w:w="2835" w:type="dxa"/>
            <w:vAlign w:val="center"/>
          </w:tcPr>
          <w:p w14:paraId="1446EDE5">
            <w:pPr>
              <w:pStyle w:val="12"/>
            </w:pPr>
            <w:r>
              <w:t>中职学校免学费补助标准</w:t>
            </w:r>
          </w:p>
        </w:tc>
        <w:tc>
          <w:tcPr>
            <w:tcW w:w="5386" w:type="dxa"/>
            <w:vAlign w:val="center"/>
          </w:tcPr>
          <w:p w14:paraId="7567D5DB">
            <w:pPr>
              <w:pStyle w:val="12"/>
            </w:pPr>
            <w:r>
              <w:t>中职学校免学费补助标准</w:t>
            </w:r>
          </w:p>
        </w:tc>
        <w:tc>
          <w:tcPr>
            <w:tcW w:w="2268" w:type="dxa"/>
            <w:vAlign w:val="center"/>
          </w:tcPr>
          <w:p w14:paraId="5B4BDDF8">
            <w:pPr>
              <w:pStyle w:val="12"/>
            </w:pPr>
            <w:r>
              <w:t>2000元/生/年</w:t>
            </w:r>
          </w:p>
        </w:tc>
        <w:tc>
          <w:tcPr>
            <w:tcW w:w="1276" w:type="dxa"/>
            <w:vAlign w:val="center"/>
          </w:tcPr>
          <w:p w14:paraId="52897943">
            <w:pPr>
              <w:pStyle w:val="12"/>
            </w:pPr>
            <w:r>
              <w:t>隆尧县中职免学费管理办法</w:t>
            </w:r>
          </w:p>
        </w:tc>
      </w:tr>
      <w:tr w14:paraId="7914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7554B">
            <w:pPr>
              <w:pStyle w:val="13"/>
            </w:pPr>
            <w:r>
              <w:t>效益指标</w:t>
            </w:r>
          </w:p>
        </w:tc>
        <w:tc>
          <w:tcPr>
            <w:tcW w:w="2268" w:type="dxa"/>
            <w:vAlign w:val="center"/>
          </w:tcPr>
          <w:p w14:paraId="3F5ABFBF">
            <w:pPr>
              <w:pStyle w:val="12"/>
            </w:pPr>
            <w:r>
              <w:t>可持续影响指标</w:t>
            </w:r>
          </w:p>
        </w:tc>
        <w:tc>
          <w:tcPr>
            <w:tcW w:w="2835" w:type="dxa"/>
            <w:vAlign w:val="center"/>
          </w:tcPr>
          <w:p w14:paraId="165D92A4">
            <w:pPr>
              <w:pStyle w:val="12"/>
            </w:pPr>
            <w:r>
              <w:t>中职运转</w:t>
            </w:r>
          </w:p>
        </w:tc>
        <w:tc>
          <w:tcPr>
            <w:tcW w:w="5386" w:type="dxa"/>
            <w:vAlign w:val="center"/>
          </w:tcPr>
          <w:p w14:paraId="51CB046E">
            <w:pPr>
              <w:pStyle w:val="12"/>
            </w:pPr>
            <w:r>
              <w:t>高中受教育年限</w:t>
            </w:r>
          </w:p>
        </w:tc>
        <w:tc>
          <w:tcPr>
            <w:tcW w:w="2268" w:type="dxa"/>
            <w:vAlign w:val="center"/>
          </w:tcPr>
          <w:p w14:paraId="662A0C19">
            <w:pPr>
              <w:pStyle w:val="12"/>
            </w:pPr>
            <w:r>
              <w:t>3年</w:t>
            </w:r>
          </w:p>
        </w:tc>
        <w:tc>
          <w:tcPr>
            <w:tcW w:w="1276" w:type="dxa"/>
            <w:vAlign w:val="center"/>
          </w:tcPr>
          <w:p w14:paraId="27B59BAA">
            <w:pPr>
              <w:pStyle w:val="12"/>
            </w:pPr>
            <w:r>
              <w:t>隆尧县中职免学费管理办法</w:t>
            </w:r>
          </w:p>
        </w:tc>
      </w:tr>
      <w:tr w14:paraId="60B1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42985">
            <w:pPr>
              <w:pStyle w:val="13"/>
            </w:pPr>
            <w:r>
              <w:t>满意度指标</w:t>
            </w:r>
          </w:p>
        </w:tc>
        <w:tc>
          <w:tcPr>
            <w:tcW w:w="2268" w:type="dxa"/>
            <w:vAlign w:val="center"/>
          </w:tcPr>
          <w:p w14:paraId="065863D5">
            <w:pPr>
              <w:pStyle w:val="12"/>
            </w:pPr>
            <w:r>
              <w:t>服务对象满意度指标</w:t>
            </w:r>
          </w:p>
        </w:tc>
        <w:tc>
          <w:tcPr>
            <w:tcW w:w="2835" w:type="dxa"/>
            <w:vAlign w:val="center"/>
          </w:tcPr>
          <w:p w14:paraId="74830F3D">
            <w:pPr>
              <w:pStyle w:val="12"/>
            </w:pPr>
            <w:r>
              <w:t>提升幸福指数</w:t>
            </w:r>
          </w:p>
        </w:tc>
        <w:tc>
          <w:tcPr>
            <w:tcW w:w="5386" w:type="dxa"/>
            <w:vAlign w:val="center"/>
          </w:tcPr>
          <w:p w14:paraId="5A6C43C0">
            <w:pPr>
              <w:pStyle w:val="12"/>
            </w:pPr>
            <w:r>
              <w:t>提升贫困家庭学生的幸福指数学生家长满</w:t>
            </w:r>
            <w:r>
              <w:rPr>
                <w:rFonts w:hint="eastAsia"/>
                <w:lang w:eastAsia="zh-CN"/>
              </w:rPr>
              <w:t>意度</w:t>
            </w:r>
          </w:p>
        </w:tc>
        <w:tc>
          <w:tcPr>
            <w:tcW w:w="2268" w:type="dxa"/>
            <w:vAlign w:val="center"/>
          </w:tcPr>
          <w:p w14:paraId="416BC9AD">
            <w:pPr>
              <w:pStyle w:val="12"/>
            </w:pPr>
            <w:r>
              <w:t>≥95%</w:t>
            </w:r>
          </w:p>
        </w:tc>
        <w:tc>
          <w:tcPr>
            <w:tcW w:w="1276" w:type="dxa"/>
            <w:vAlign w:val="center"/>
          </w:tcPr>
          <w:p w14:paraId="03C04044">
            <w:pPr>
              <w:pStyle w:val="12"/>
            </w:pPr>
            <w:r>
              <w:t>隆尧县中职免学费管理办法</w:t>
            </w:r>
          </w:p>
        </w:tc>
      </w:tr>
    </w:tbl>
    <w:p w14:paraId="649E8426">
      <w:pPr>
        <w:sectPr>
          <w:pgSz w:w="16840" w:h="11900" w:orient="landscape"/>
          <w:pgMar w:top="1361" w:right="1020" w:bottom="1134" w:left="1020" w:header="720" w:footer="720" w:gutter="0"/>
          <w:cols w:space="720" w:num="1"/>
        </w:sectPr>
      </w:pPr>
    </w:p>
    <w:p w14:paraId="43D857E8">
      <w:pPr>
        <w:spacing w:before="0" w:after="0"/>
        <w:ind w:firstLine="560"/>
        <w:jc w:val="left"/>
        <w:outlineLvl w:val="9"/>
      </w:pPr>
      <w:r>
        <w:rPr>
          <w:rFonts w:ascii="方正仿宋_GBK" w:hAnsi="方正仿宋_GBK" w:eastAsia="方正仿宋_GBK" w:cs="方正仿宋_GBK"/>
          <w:b/>
          <w:color w:val="000000"/>
          <w:sz w:val="28"/>
        </w:rPr>
        <w:t>7、冀财教[2025]116号/中央/2026年学生资助/中职助学金（东方中职）</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D5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4E3DE">
            <w:pPr>
              <w:pStyle w:val="11"/>
            </w:pPr>
            <w:r>
              <w:t>单位：万元</w:t>
            </w:r>
          </w:p>
        </w:tc>
      </w:tr>
      <w:tr w14:paraId="06909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6483E">
            <w:pPr>
              <w:pStyle w:val="10"/>
            </w:pPr>
            <w:r>
              <w:t>项目编码</w:t>
            </w:r>
          </w:p>
        </w:tc>
        <w:tc>
          <w:tcPr>
            <w:tcW w:w="5103" w:type="dxa"/>
            <w:gridSpan w:val="2"/>
            <w:vAlign w:val="center"/>
          </w:tcPr>
          <w:p w14:paraId="47E48CD1">
            <w:pPr>
              <w:pStyle w:val="12"/>
            </w:pPr>
            <w:r>
              <w:t>13052526P00001210060H</w:t>
            </w:r>
          </w:p>
        </w:tc>
        <w:tc>
          <w:tcPr>
            <w:tcW w:w="2835" w:type="dxa"/>
            <w:vAlign w:val="center"/>
          </w:tcPr>
          <w:p w14:paraId="7BD62560">
            <w:pPr>
              <w:pStyle w:val="10"/>
            </w:pPr>
            <w:r>
              <w:t>项目名称</w:t>
            </w:r>
          </w:p>
        </w:tc>
        <w:tc>
          <w:tcPr>
            <w:tcW w:w="6095" w:type="dxa"/>
            <w:gridSpan w:val="3"/>
            <w:vAlign w:val="center"/>
          </w:tcPr>
          <w:p w14:paraId="3051CB88">
            <w:pPr>
              <w:pStyle w:val="12"/>
            </w:pPr>
            <w:r>
              <w:t>冀财教[2025]116号/中央/2026年学生资助/中职助学金（东方中职）</w:t>
            </w:r>
            <w:r>
              <w:tab/>
            </w:r>
          </w:p>
        </w:tc>
      </w:tr>
      <w:tr w14:paraId="49ECC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77A81">
            <w:pPr>
              <w:pStyle w:val="10"/>
            </w:pPr>
            <w:r>
              <w:t>预算规模及资金用途</w:t>
            </w:r>
          </w:p>
        </w:tc>
        <w:tc>
          <w:tcPr>
            <w:tcW w:w="2268" w:type="dxa"/>
            <w:vAlign w:val="center"/>
          </w:tcPr>
          <w:p w14:paraId="6E435BF9">
            <w:pPr>
              <w:pStyle w:val="10"/>
            </w:pPr>
            <w:r>
              <w:t>预算数</w:t>
            </w:r>
          </w:p>
        </w:tc>
        <w:tc>
          <w:tcPr>
            <w:tcW w:w="2835" w:type="dxa"/>
            <w:vAlign w:val="center"/>
          </w:tcPr>
          <w:p w14:paraId="03B9FCD9">
            <w:pPr>
              <w:pStyle w:val="12"/>
            </w:pPr>
            <w:r>
              <w:t>6.50</w:t>
            </w:r>
          </w:p>
        </w:tc>
        <w:tc>
          <w:tcPr>
            <w:tcW w:w="2835" w:type="dxa"/>
            <w:vAlign w:val="center"/>
          </w:tcPr>
          <w:p w14:paraId="32F120DE">
            <w:pPr>
              <w:pStyle w:val="10"/>
            </w:pPr>
            <w:r>
              <w:t>其中：财政    资金</w:t>
            </w:r>
          </w:p>
        </w:tc>
        <w:tc>
          <w:tcPr>
            <w:tcW w:w="2551" w:type="dxa"/>
            <w:vAlign w:val="center"/>
          </w:tcPr>
          <w:p w14:paraId="5169D594">
            <w:pPr>
              <w:pStyle w:val="12"/>
            </w:pPr>
            <w:r>
              <w:t>6.50</w:t>
            </w:r>
          </w:p>
        </w:tc>
        <w:tc>
          <w:tcPr>
            <w:tcW w:w="2268" w:type="dxa"/>
            <w:vAlign w:val="center"/>
          </w:tcPr>
          <w:p w14:paraId="7DE9C91C">
            <w:pPr>
              <w:pStyle w:val="10"/>
            </w:pPr>
            <w:r>
              <w:t>其他资金</w:t>
            </w:r>
          </w:p>
        </w:tc>
        <w:tc>
          <w:tcPr>
            <w:tcW w:w="1276" w:type="dxa"/>
            <w:vAlign w:val="center"/>
          </w:tcPr>
          <w:p w14:paraId="16D183BA">
            <w:pPr>
              <w:pStyle w:val="12"/>
            </w:pPr>
            <w:r>
              <w:t xml:space="preserve"> </w:t>
            </w:r>
          </w:p>
        </w:tc>
      </w:tr>
      <w:tr w14:paraId="7DF53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839CF"/>
        </w:tc>
        <w:tc>
          <w:tcPr>
            <w:tcW w:w="14033" w:type="dxa"/>
            <w:gridSpan w:val="6"/>
            <w:vAlign w:val="center"/>
          </w:tcPr>
          <w:p w14:paraId="2C39F50E">
            <w:pPr>
              <w:pStyle w:val="12"/>
            </w:pPr>
            <w:r>
              <w:t>增加中职招生吸引力，控制学生流失率下降，促进教育均衡</w:t>
            </w:r>
            <w:r>
              <w:tab/>
            </w:r>
            <w:r>
              <w:tab/>
            </w:r>
            <w:r>
              <w:tab/>
            </w:r>
            <w:r>
              <w:tab/>
            </w:r>
            <w:r>
              <w:tab/>
            </w:r>
            <w:r>
              <w:tab/>
            </w:r>
          </w:p>
        </w:tc>
      </w:tr>
      <w:tr w14:paraId="0AD8A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E581D">
            <w:pPr>
              <w:pStyle w:val="10"/>
            </w:pPr>
            <w:r>
              <w:t>资金支出计划（%）</w:t>
            </w:r>
          </w:p>
        </w:tc>
        <w:tc>
          <w:tcPr>
            <w:tcW w:w="5103" w:type="dxa"/>
            <w:gridSpan w:val="2"/>
            <w:vAlign w:val="center"/>
          </w:tcPr>
          <w:p w14:paraId="71223AFE">
            <w:pPr>
              <w:pStyle w:val="10"/>
            </w:pPr>
            <w:r>
              <w:t>3月底</w:t>
            </w:r>
          </w:p>
        </w:tc>
        <w:tc>
          <w:tcPr>
            <w:tcW w:w="2835" w:type="dxa"/>
            <w:vAlign w:val="center"/>
          </w:tcPr>
          <w:p w14:paraId="22E6D0F6">
            <w:pPr>
              <w:pStyle w:val="10"/>
            </w:pPr>
            <w:r>
              <w:t>6月底</w:t>
            </w:r>
          </w:p>
        </w:tc>
        <w:tc>
          <w:tcPr>
            <w:tcW w:w="2551" w:type="dxa"/>
            <w:vAlign w:val="center"/>
          </w:tcPr>
          <w:p w14:paraId="58ECA769">
            <w:pPr>
              <w:pStyle w:val="10"/>
            </w:pPr>
            <w:r>
              <w:t>10月底</w:t>
            </w:r>
          </w:p>
        </w:tc>
        <w:tc>
          <w:tcPr>
            <w:tcW w:w="3544" w:type="dxa"/>
            <w:gridSpan w:val="2"/>
            <w:vAlign w:val="center"/>
          </w:tcPr>
          <w:p w14:paraId="0522A37D">
            <w:pPr>
              <w:pStyle w:val="10"/>
            </w:pPr>
            <w:r>
              <w:t>12月底</w:t>
            </w:r>
          </w:p>
        </w:tc>
      </w:tr>
      <w:tr w14:paraId="5D6BF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58300"/>
        </w:tc>
        <w:tc>
          <w:tcPr>
            <w:tcW w:w="5103" w:type="dxa"/>
            <w:gridSpan w:val="2"/>
            <w:vAlign w:val="center"/>
          </w:tcPr>
          <w:p w14:paraId="52F453D2">
            <w:pPr>
              <w:pStyle w:val="13"/>
            </w:pPr>
            <w:r>
              <w:t>25%</w:t>
            </w:r>
          </w:p>
        </w:tc>
        <w:tc>
          <w:tcPr>
            <w:tcW w:w="2835" w:type="dxa"/>
            <w:vAlign w:val="center"/>
          </w:tcPr>
          <w:p w14:paraId="2527766B">
            <w:pPr>
              <w:pStyle w:val="13"/>
            </w:pPr>
            <w:r>
              <w:t>50%</w:t>
            </w:r>
          </w:p>
        </w:tc>
        <w:tc>
          <w:tcPr>
            <w:tcW w:w="2551" w:type="dxa"/>
            <w:vAlign w:val="center"/>
          </w:tcPr>
          <w:p w14:paraId="631D54A6">
            <w:pPr>
              <w:pStyle w:val="13"/>
            </w:pPr>
            <w:r>
              <w:t>75%</w:t>
            </w:r>
          </w:p>
        </w:tc>
        <w:tc>
          <w:tcPr>
            <w:tcW w:w="3544" w:type="dxa"/>
            <w:gridSpan w:val="2"/>
            <w:vAlign w:val="center"/>
          </w:tcPr>
          <w:p w14:paraId="1B0986A5">
            <w:pPr>
              <w:pStyle w:val="13"/>
            </w:pPr>
            <w:r>
              <w:t>100%</w:t>
            </w:r>
          </w:p>
        </w:tc>
      </w:tr>
      <w:tr w14:paraId="0CBD0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08B12">
            <w:pPr>
              <w:pStyle w:val="10"/>
            </w:pPr>
            <w:r>
              <w:t>绩效目标</w:t>
            </w:r>
          </w:p>
        </w:tc>
        <w:tc>
          <w:tcPr>
            <w:tcW w:w="14033" w:type="dxa"/>
            <w:gridSpan w:val="6"/>
            <w:vAlign w:val="center"/>
          </w:tcPr>
          <w:p w14:paraId="4A2844EF">
            <w:pPr>
              <w:pStyle w:val="12"/>
            </w:pPr>
            <w:r>
              <w:t>增加中职招生吸引力，控制学生流失率下降，促进教育均衡</w:t>
            </w:r>
            <w:r>
              <w:tab/>
            </w:r>
            <w:r>
              <w:tab/>
            </w:r>
            <w:r>
              <w:tab/>
            </w:r>
            <w:r>
              <w:tab/>
            </w:r>
            <w:r>
              <w:tab/>
            </w:r>
            <w:r>
              <w:tab/>
            </w:r>
          </w:p>
          <w:p w14:paraId="6CB80490">
            <w:pPr>
              <w:pStyle w:val="12"/>
            </w:pPr>
          </w:p>
        </w:tc>
      </w:tr>
    </w:tbl>
    <w:p w14:paraId="52663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6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DF8EB">
            <w:pPr>
              <w:pStyle w:val="10"/>
            </w:pPr>
            <w:r>
              <w:t>一级指标</w:t>
            </w:r>
          </w:p>
        </w:tc>
        <w:tc>
          <w:tcPr>
            <w:tcW w:w="2268" w:type="dxa"/>
            <w:vAlign w:val="center"/>
          </w:tcPr>
          <w:p w14:paraId="65013955">
            <w:pPr>
              <w:pStyle w:val="10"/>
            </w:pPr>
            <w:r>
              <w:t>二级指标</w:t>
            </w:r>
          </w:p>
        </w:tc>
        <w:tc>
          <w:tcPr>
            <w:tcW w:w="2835" w:type="dxa"/>
            <w:vAlign w:val="center"/>
          </w:tcPr>
          <w:p w14:paraId="5F576A71">
            <w:pPr>
              <w:pStyle w:val="10"/>
            </w:pPr>
            <w:r>
              <w:t>三级指标</w:t>
            </w:r>
          </w:p>
        </w:tc>
        <w:tc>
          <w:tcPr>
            <w:tcW w:w="5386" w:type="dxa"/>
            <w:vAlign w:val="center"/>
          </w:tcPr>
          <w:p w14:paraId="7B33F30D">
            <w:pPr>
              <w:pStyle w:val="10"/>
            </w:pPr>
            <w:r>
              <w:t>绩效指标描述</w:t>
            </w:r>
          </w:p>
        </w:tc>
        <w:tc>
          <w:tcPr>
            <w:tcW w:w="2268" w:type="dxa"/>
            <w:vAlign w:val="center"/>
          </w:tcPr>
          <w:p w14:paraId="2856E401">
            <w:pPr>
              <w:pStyle w:val="10"/>
            </w:pPr>
            <w:r>
              <w:t>指标值</w:t>
            </w:r>
          </w:p>
        </w:tc>
        <w:tc>
          <w:tcPr>
            <w:tcW w:w="1276" w:type="dxa"/>
            <w:vAlign w:val="center"/>
          </w:tcPr>
          <w:p w14:paraId="5B75323A">
            <w:pPr>
              <w:pStyle w:val="10"/>
            </w:pPr>
            <w:r>
              <w:t>指标值确定依据</w:t>
            </w:r>
          </w:p>
        </w:tc>
      </w:tr>
      <w:tr w14:paraId="001F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6CD3E">
            <w:pPr>
              <w:pStyle w:val="13"/>
            </w:pPr>
            <w:r>
              <w:t>产出指标</w:t>
            </w:r>
          </w:p>
        </w:tc>
        <w:tc>
          <w:tcPr>
            <w:tcW w:w="2268" w:type="dxa"/>
            <w:vAlign w:val="center"/>
          </w:tcPr>
          <w:p w14:paraId="2A2C4015">
            <w:pPr>
              <w:pStyle w:val="12"/>
            </w:pPr>
            <w:r>
              <w:t>数量指标</w:t>
            </w:r>
          </w:p>
        </w:tc>
        <w:tc>
          <w:tcPr>
            <w:tcW w:w="2835" w:type="dxa"/>
            <w:vAlign w:val="center"/>
          </w:tcPr>
          <w:p w14:paraId="2871FD98">
            <w:pPr>
              <w:pStyle w:val="12"/>
            </w:pPr>
            <w:r>
              <w:t>中职享受助学金人数</w:t>
            </w:r>
          </w:p>
        </w:tc>
        <w:tc>
          <w:tcPr>
            <w:tcW w:w="5386" w:type="dxa"/>
            <w:vAlign w:val="center"/>
          </w:tcPr>
          <w:p w14:paraId="0E3122C8">
            <w:pPr>
              <w:pStyle w:val="12"/>
            </w:pPr>
            <w:r>
              <w:t>中职享受助学金人数</w:t>
            </w:r>
          </w:p>
        </w:tc>
        <w:tc>
          <w:tcPr>
            <w:tcW w:w="2268" w:type="dxa"/>
            <w:vAlign w:val="center"/>
          </w:tcPr>
          <w:p w14:paraId="4905911D">
            <w:pPr>
              <w:pStyle w:val="12"/>
            </w:pPr>
            <w:r>
              <w:t>≥36人</w:t>
            </w:r>
          </w:p>
        </w:tc>
        <w:tc>
          <w:tcPr>
            <w:tcW w:w="1276" w:type="dxa"/>
            <w:vAlign w:val="center"/>
          </w:tcPr>
          <w:p w14:paraId="2D984A4E">
            <w:pPr>
              <w:pStyle w:val="12"/>
            </w:pPr>
            <w:r>
              <w:t>年度招生计划</w:t>
            </w:r>
          </w:p>
        </w:tc>
      </w:tr>
      <w:tr w14:paraId="5177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09653"/>
        </w:tc>
        <w:tc>
          <w:tcPr>
            <w:tcW w:w="2268" w:type="dxa"/>
            <w:vAlign w:val="center"/>
          </w:tcPr>
          <w:p w14:paraId="64D5F1A6">
            <w:pPr>
              <w:pStyle w:val="12"/>
            </w:pPr>
            <w:r>
              <w:t>质量指标</w:t>
            </w:r>
          </w:p>
        </w:tc>
        <w:tc>
          <w:tcPr>
            <w:tcW w:w="2835" w:type="dxa"/>
            <w:vAlign w:val="center"/>
          </w:tcPr>
          <w:p w14:paraId="42C118F1">
            <w:pPr>
              <w:pStyle w:val="12"/>
            </w:pPr>
            <w:r>
              <w:t>完成助学金发放工作</w:t>
            </w:r>
          </w:p>
        </w:tc>
        <w:tc>
          <w:tcPr>
            <w:tcW w:w="5386" w:type="dxa"/>
            <w:vAlign w:val="center"/>
          </w:tcPr>
          <w:p w14:paraId="11FA4137">
            <w:pPr>
              <w:pStyle w:val="12"/>
            </w:pPr>
            <w:r>
              <w:t>涉农专业学生及其他专业贫困生</w:t>
            </w:r>
          </w:p>
        </w:tc>
        <w:tc>
          <w:tcPr>
            <w:tcW w:w="2268" w:type="dxa"/>
            <w:vAlign w:val="center"/>
          </w:tcPr>
          <w:p w14:paraId="74787B30">
            <w:pPr>
              <w:pStyle w:val="12"/>
            </w:pPr>
            <w:r>
              <w:t>100%</w:t>
            </w:r>
          </w:p>
        </w:tc>
        <w:tc>
          <w:tcPr>
            <w:tcW w:w="1276" w:type="dxa"/>
            <w:vAlign w:val="center"/>
          </w:tcPr>
          <w:p w14:paraId="33AEC9DF">
            <w:pPr>
              <w:pStyle w:val="12"/>
            </w:pPr>
            <w:r>
              <w:t>冀财教[2024]103号</w:t>
            </w:r>
          </w:p>
        </w:tc>
      </w:tr>
      <w:tr w14:paraId="39BE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07D2B"/>
        </w:tc>
        <w:tc>
          <w:tcPr>
            <w:tcW w:w="2268" w:type="dxa"/>
            <w:vAlign w:val="center"/>
          </w:tcPr>
          <w:p w14:paraId="72C8CA91">
            <w:pPr>
              <w:pStyle w:val="12"/>
            </w:pPr>
            <w:r>
              <w:t>时效指标</w:t>
            </w:r>
          </w:p>
        </w:tc>
        <w:tc>
          <w:tcPr>
            <w:tcW w:w="2835" w:type="dxa"/>
            <w:vAlign w:val="center"/>
          </w:tcPr>
          <w:p w14:paraId="3EE5B16C">
            <w:pPr>
              <w:pStyle w:val="12"/>
            </w:pPr>
            <w:r>
              <w:t>助学金及时足额发放</w:t>
            </w:r>
          </w:p>
        </w:tc>
        <w:tc>
          <w:tcPr>
            <w:tcW w:w="5386" w:type="dxa"/>
            <w:vAlign w:val="center"/>
          </w:tcPr>
          <w:p w14:paraId="1A514145">
            <w:pPr>
              <w:pStyle w:val="12"/>
            </w:pPr>
            <w:r>
              <w:t>助学金及时足额发放率</w:t>
            </w:r>
          </w:p>
        </w:tc>
        <w:tc>
          <w:tcPr>
            <w:tcW w:w="2268" w:type="dxa"/>
            <w:vAlign w:val="center"/>
          </w:tcPr>
          <w:p w14:paraId="16ECEC8A">
            <w:pPr>
              <w:pStyle w:val="12"/>
            </w:pPr>
            <w:r>
              <w:t>100%</w:t>
            </w:r>
          </w:p>
        </w:tc>
        <w:tc>
          <w:tcPr>
            <w:tcW w:w="1276" w:type="dxa"/>
            <w:vAlign w:val="center"/>
          </w:tcPr>
          <w:p w14:paraId="081C1002">
            <w:pPr>
              <w:pStyle w:val="12"/>
            </w:pPr>
            <w:r>
              <w:t>冀财教[2024]103号</w:t>
            </w:r>
          </w:p>
        </w:tc>
      </w:tr>
      <w:tr w14:paraId="4F82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00C8A"/>
        </w:tc>
        <w:tc>
          <w:tcPr>
            <w:tcW w:w="2268" w:type="dxa"/>
            <w:vAlign w:val="center"/>
          </w:tcPr>
          <w:p w14:paraId="01C6E48B">
            <w:pPr>
              <w:pStyle w:val="12"/>
            </w:pPr>
            <w:r>
              <w:t>成本指标</w:t>
            </w:r>
          </w:p>
        </w:tc>
        <w:tc>
          <w:tcPr>
            <w:tcW w:w="2835" w:type="dxa"/>
            <w:vAlign w:val="center"/>
          </w:tcPr>
          <w:p w14:paraId="0308D5E8">
            <w:pPr>
              <w:pStyle w:val="12"/>
            </w:pPr>
            <w:r>
              <w:t>中职助学金标准</w:t>
            </w:r>
          </w:p>
        </w:tc>
        <w:tc>
          <w:tcPr>
            <w:tcW w:w="5386" w:type="dxa"/>
            <w:vAlign w:val="center"/>
          </w:tcPr>
          <w:p w14:paraId="6764824E">
            <w:pPr>
              <w:pStyle w:val="12"/>
            </w:pPr>
            <w:r>
              <w:t>中职助学金资助标准2300</w:t>
            </w:r>
            <w:r>
              <w:rPr>
                <w:rFonts w:hint="eastAsia"/>
                <w:lang w:eastAsia="zh-CN"/>
              </w:rPr>
              <w:t>元/</w:t>
            </w:r>
            <w:r>
              <w:t>生/年</w:t>
            </w:r>
          </w:p>
        </w:tc>
        <w:tc>
          <w:tcPr>
            <w:tcW w:w="2268" w:type="dxa"/>
            <w:vAlign w:val="center"/>
          </w:tcPr>
          <w:p w14:paraId="24158C4A">
            <w:pPr>
              <w:pStyle w:val="12"/>
            </w:pPr>
            <w:r>
              <w:t>2300元</w:t>
            </w:r>
          </w:p>
        </w:tc>
        <w:tc>
          <w:tcPr>
            <w:tcW w:w="1276" w:type="dxa"/>
            <w:vAlign w:val="center"/>
          </w:tcPr>
          <w:p w14:paraId="6017D481">
            <w:pPr>
              <w:pStyle w:val="12"/>
            </w:pPr>
            <w:r>
              <w:t>冀财教[2024]103号</w:t>
            </w:r>
          </w:p>
        </w:tc>
      </w:tr>
      <w:tr w14:paraId="2F00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96E39">
            <w:pPr>
              <w:pStyle w:val="13"/>
            </w:pPr>
            <w:r>
              <w:t>效益指标</w:t>
            </w:r>
          </w:p>
        </w:tc>
        <w:tc>
          <w:tcPr>
            <w:tcW w:w="2268" w:type="dxa"/>
            <w:vAlign w:val="center"/>
          </w:tcPr>
          <w:p w14:paraId="650B3659">
            <w:pPr>
              <w:pStyle w:val="12"/>
            </w:pPr>
            <w:r>
              <w:t>可持续影响指标</w:t>
            </w:r>
          </w:p>
        </w:tc>
        <w:tc>
          <w:tcPr>
            <w:tcW w:w="2835" w:type="dxa"/>
            <w:vAlign w:val="center"/>
          </w:tcPr>
          <w:p w14:paraId="1BD135D8">
            <w:pPr>
              <w:pStyle w:val="12"/>
            </w:pPr>
            <w:r>
              <w:t>中职运转</w:t>
            </w:r>
          </w:p>
        </w:tc>
        <w:tc>
          <w:tcPr>
            <w:tcW w:w="5386" w:type="dxa"/>
            <w:vAlign w:val="center"/>
          </w:tcPr>
          <w:p w14:paraId="3B6106A6">
            <w:pPr>
              <w:pStyle w:val="12"/>
            </w:pPr>
            <w:r>
              <w:t>中职受教育年限</w:t>
            </w:r>
          </w:p>
        </w:tc>
        <w:tc>
          <w:tcPr>
            <w:tcW w:w="2268" w:type="dxa"/>
            <w:vAlign w:val="center"/>
          </w:tcPr>
          <w:p w14:paraId="1F4CC839">
            <w:pPr>
              <w:pStyle w:val="12"/>
            </w:pPr>
            <w:r>
              <w:t>3年</w:t>
            </w:r>
          </w:p>
        </w:tc>
        <w:tc>
          <w:tcPr>
            <w:tcW w:w="1276" w:type="dxa"/>
            <w:vAlign w:val="center"/>
          </w:tcPr>
          <w:p w14:paraId="1455BE82">
            <w:pPr>
              <w:pStyle w:val="12"/>
            </w:pPr>
            <w:r>
              <w:t>隆尧县中职免学费管理办法</w:t>
            </w:r>
          </w:p>
        </w:tc>
      </w:tr>
      <w:tr w14:paraId="07BA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43939">
            <w:pPr>
              <w:pStyle w:val="13"/>
            </w:pPr>
            <w:r>
              <w:t>满意度指标</w:t>
            </w:r>
          </w:p>
        </w:tc>
        <w:tc>
          <w:tcPr>
            <w:tcW w:w="2268" w:type="dxa"/>
            <w:vAlign w:val="center"/>
          </w:tcPr>
          <w:p w14:paraId="0F91097A">
            <w:pPr>
              <w:pStyle w:val="12"/>
            </w:pPr>
            <w:r>
              <w:t>服务对象满意度指标</w:t>
            </w:r>
          </w:p>
        </w:tc>
        <w:tc>
          <w:tcPr>
            <w:tcW w:w="2835" w:type="dxa"/>
            <w:vAlign w:val="center"/>
          </w:tcPr>
          <w:p w14:paraId="77641BE7">
            <w:pPr>
              <w:pStyle w:val="12"/>
            </w:pPr>
            <w:r>
              <w:t>提升幸福指数</w:t>
            </w:r>
          </w:p>
        </w:tc>
        <w:tc>
          <w:tcPr>
            <w:tcW w:w="5386" w:type="dxa"/>
            <w:vAlign w:val="center"/>
          </w:tcPr>
          <w:p w14:paraId="7053487B">
            <w:pPr>
              <w:pStyle w:val="12"/>
            </w:pPr>
            <w:r>
              <w:t>提升建档立卡贫困家庭学生幸福指数</w:t>
            </w:r>
          </w:p>
          <w:p w14:paraId="30962A44">
            <w:pPr>
              <w:pStyle w:val="12"/>
            </w:pPr>
            <w:r>
              <w:t>家长学生满意</w:t>
            </w:r>
          </w:p>
        </w:tc>
        <w:tc>
          <w:tcPr>
            <w:tcW w:w="2268" w:type="dxa"/>
            <w:vAlign w:val="center"/>
          </w:tcPr>
          <w:p w14:paraId="1E3CFFC5">
            <w:pPr>
              <w:pStyle w:val="12"/>
            </w:pPr>
            <w:r>
              <w:t>≥95%</w:t>
            </w:r>
          </w:p>
        </w:tc>
        <w:tc>
          <w:tcPr>
            <w:tcW w:w="1276" w:type="dxa"/>
            <w:vAlign w:val="center"/>
          </w:tcPr>
          <w:p w14:paraId="0A9191B7">
            <w:pPr>
              <w:pStyle w:val="12"/>
            </w:pPr>
            <w:r>
              <w:t xml:space="preserve"> 调查问卷</w:t>
            </w:r>
          </w:p>
        </w:tc>
      </w:tr>
    </w:tbl>
    <w:p w14:paraId="3E8F3F52">
      <w:pPr>
        <w:sectPr>
          <w:pgSz w:w="16840" w:h="11900" w:orient="landscape"/>
          <w:pgMar w:top="1361" w:right="1020" w:bottom="1134" w:left="1020" w:header="720" w:footer="720" w:gutter="0"/>
          <w:cols w:space="720" w:num="1"/>
        </w:sectPr>
      </w:pPr>
    </w:p>
    <w:p w14:paraId="3FA6A6CC">
      <w:pPr>
        <w:spacing w:before="0" w:after="0"/>
        <w:ind w:firstLine="560"/>
        <w:jc w:val="left"/>
        <w:outlineLvl w:val="9"/>
      </w:pPr>
      <w:r>
        <w:rPr>
          <w:rFonts w:ascii="方正仿宋_GBK" w:hAnsi="方正仿宋_GBK" w:eastAsia="方正仿宋_GBK" w:cs="方正仿宋_GBK"/>
          <w:b/>
          <w:color w:val="000000"/>
          <w:sz w:val="28"/>
        </w:rPr>
        <w:t>8、冀财教[2025]116号/中央/2026年学生资助/中职助学金（文茂中学）</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32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A588F">
            <w:pPr>
              <w:pStyle w:val="11"/>
            </w:pPr>
            <w:r>
              <w:t>单位：万元</w:t>
            </w:r>
          </w:p>
        </w:tc>
      </w:tr>
      <w:tr w14:paraId="3757D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B48D8">
            <w:pPr>
              <w:pStyle w:val="10"/>
            </w:pPr>
            <w:r>
              <w:t>项目编码</w:t>
            </w:r>
          </w:p>
        </w:tc>
        <w:tc>
          <w:tcPr>
            <w:tcW w:w="5103" w:type="dxa"/>
            <w:gridSpan w:val="2"/>
            <w:vAlign w:val="center"/>
          </w:tcPr>
          <w:p w14:paraId="2544F61B">
            <w:pPr>
              <w:pStyle w:val="12"/>
            </w:pPr>
            <w:r>
              <w:t>13052526P000012100544</w:t>
            </w:r>
          </w:p>
        </w:tc>
        <w:tc>
          <w:tcPr>
            <w:tcW w:w="2835" w:type="dxa"/>
            <w:vAlign w:val="center"/>
          </w:tcPr>
          <w:p w14:paraId="06961F86">
            <w:pPr>
              <w:pStyle w:val="10"/>
            </w:pPr>
            <w:r>
              <w:t>项目名称</w:t>
            </w:r>
          </w:p>
        </w:tc>
        <w:tc>
          <w:tcPr>
            <w:tcW w:w="6095" w:type="dxa"/>
            <w:gridSpan w:val="3"/>
            <w:vAlign w:val="center"/>
          </w:tcPr>
          <w:p w14:paraId="58C35C49">
            <w:pPr>
              <w:pStyle w:val="12"/>
            </w:pPr>
            <w:r>
              <w:t>冀财教[2025]116号/中央/2026年学生资助/中职助学金（文茂中学）</w:t>
            </w:r>
            <w:r>
              <w:tab/>
            </w:r>
          </w:p>
        </w:tc>
      </w:tr>
      <w:tr w14:paraId="3E619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6175F">
            <w:pPr>
              <w:pStyle w:val="10"/>
            </w:pPr>
            <w:r>
              <w:t>预算规模及资金用途</w:t>
            </w:r>
          </w:p>
        </w:tc>
        <w:tc>
          <w:tcPr>
            <w:tcW w:w="2268" w:type="dxa"/>
            <w:vAlign w:val="center"/>
          </w:tcPr>
          <w:p w14:paraId="45EC585F">
            <w:pPr>
              <w:pStyle w:val="10"/>
            </w:pPr>
            <w:r>
              <w:t>预算数</w:t>
            </w:r>
          </w:p>
        </w:tc>
        <w:tc>
          <w:tcPr>
            <w:tcW w:w="2835" w:type="dxa"/>
            <w:vAlign w:val="center"/>
          </w:tcPr>
          <w:p w14:paraId="3EF5234E">
            <w:pPr>
              <w:pStyle w:val="12"/>
            </w:pPr>
            <w:r>
              <w:t>7.00</w:t>
            </w:r>
          </w:p>
        </w:tc>
        <w:tc>
          <w:tcPr>
            <w:tcW w:w="2835" w:type="dxa"/>
            <w:vAlign w:val="center"/>
          </w:tcPr>
          <w:p w14:paraId="2BC023E6">
            <w:pPr>
              <w:pStyle w:val="10"/>
            </w:pPr>
            <w:r>
              <w:t>其中：财政    资金</w:t>
            </w:r>
          </w:p>
        </w:tc>
        <w:tc>
          <w:tcPr>
            <w:tcW w:w="2551" w:type="dxa"/>
            <w:vAlign w:val="center"/>
          </w:tcPr>
          <w:p w14:paraId="5FD9DFEB">
            <w:pPr>
              <w:pStyle w:val="12"/>
            </w:pPr>
            <w:r>
              <w:t>7.00</w:t>
            </w:r>
          </w:p>
        </w:tc>
        <w:tc>
          <w:tcPr>
            <w:tcW w:w="2268" w:type="dxa"/>
            <w:vAlign w:val="center"/>
          </w:tcPr>
          <w:p w14:paraId="4DC97AF7">
            <w:pPr>
              <w:pStyle w:val="10"/>
            </w:pPr>
            <w:r>
              <w:t>其他资金</w:t>
            </w:r>
          </w:p>
        </w:tc>
        <w:tc>
          <w:tcPr>
            <w:tcW w:w="1276" w:type="dxa"/>
            <w:vAlign w:val="center"/>
          </w:tcPr>
          <w:p w14:paraId="34571325">
            <w:pPr>
              <w:pStyle w:val="12"/>
            </w:pPr>
            <w:r>
              <w:t xml:space="preserve"> </w:t>
            </w:r>
          </w:p>
        </w:tc>
      </w:tr>
      <w:tr w14:paraId="6BE3E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14D61"/>
        </w:tc>
        <w:tc>
          <w:tcPr>
            <w:tcW w:w="14033" w:type="dxa"/>
            <w:gridSpan w:val="6"/>
            <w:vAlign w:val="center"/>
          </w:tcPr>
          <w:p w14:paraId="7DEA62F6">
            <w:pPr>
              <w:pStyle w:val="12"/>
            </w:pPr>
            <w:r>
              <w:t>增加中职招生吸引力，控制学生流失率下降，促进教育均衡发展。</w:t>
            </w:r>
          </w:p>
        </w:tc>
      </w:tr>
      <w:tr w14:paraId="16529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99362">
            <w:pPr>
              <w:pStyle w:val="10"/>
            </w:pPr>
            <w:r>
              <w:t>资金支出计划（%）</w:t>
            </w:r>
          </w:p>
        </w:tc>
        <w:tc>
          <w:tcPr>
            <w:tcW w:w="5103" w:type="dxa"/>
            <w:gridSpan w:val="2"/>
            <w:vAlign w:val="center"/>
          </w:tcPr>
          <w:p w14:paraId="0752BF01">
            <w:pPr>
              <w:pStyle w:val="10"/>
            </w:pPr>
            <w:r>
              <w:t>3月底</w:t>
            </w:r>
          </w:p>
        </w:tc>
        <w:tc>
          <w:tcPr>
            <w:tcW w:w="2835" w:type="dxa"/>
            <w:vAlign w:val="center"/>
          </w:tcPr>
          <w:p w14:paraId="23B08182">
            <w:pPr>
              <w:pStyle w:val="10"/>
            </w:pPr>
            <w:r>
              <w:t>6月底</w:t>
            </w:r>
          </w:p>
        </w:tc>
        <w:tc>
          <w:tcPr>
            <w:tcW w:w="2551" w:type="dxa"/>
            <w:vAlign w:val="center"/>
          </w:tcPr>
          <w:p w14:paraId="7C3BC835">
            <w:pPr>
              <w:pStyle w:val="10"/>
            </w:pPr>
            <w:r>
              <w:t>10月底</w:t>
            </w:r>
          </w:p>
        </w:tc>
        <w:tc>
          <w:tcPr>
            <w:tcW w:w="3544" w:type="dxa"/>
            <w:gridSpan w:val="2"/>
            <w:vAlign w:val="center"/>
          </w:tcPr>
          <w:p w14:paraId="3FF48CB1">
            <w:pPr>
              <w:pStyle w:val="10"/>
            </w:pPr>
            <w:r>
              <w:t>12月底</w:t>
            </w:r>
          </w:p>
        </w:tc>
      </w:tr>
      <w:tr w14:paraId="13FF4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F2297"/>
        </w:tc>
        <w:tc>
          <w:tcPr>
            <w:tcW w:w="5103" w:type="dxa"/>
            <w:gridSpan w:val="2"/>
            <w:vAlign w:val="center"/>
          </w:tcPr>
          <w:p w14:paraId="58283030">
            <w:pPr>
              <w:pStyle w:val="13"/>
            </w:pPr>
            <w:r>
              <w:t>25%</w:t>
            </w:r>
          </w:p>
        </w:tc>
        <w:tc>
          <w:tcPr>
            <w:tcW w:w="2835" w:type="dxa"/>
            <w:vAlign w:val="center"/>
          </w:tcPr>
          <w:p w14:paraId="661B2846">
            <w:pPr>
              <w:pStyle w:val="13"/>
            </w:pPr>
            <w:r>
              <w:t>50%</w:t>
            </w:r>
          </w:p>
        </w:tc>
        <w:tc>
          <w:tcPr>
            <w:tcW w:w="2551" w:type="dxa"/>
            <w:vAlign w:val="center"/>
          </w:tcPr>
          <w:p w14:paraId="002F505B">
            <w:pPr>
              <w:pStyle w:val="13"/>
            </w:pPr>
            <w:r>
              <w:t>75%</w:t>
            </w:r>
          </w:p>
        </w:tc>
        <w:tc>
          <w:tcPr>
            <w:tcW w:w="3544" w:type="dxa"/>
            <w:gridSpan w:val="2"/>
            <w:vAlign w:val="center"/>
          </w:tcPr>
          <w:p w14:paraId="6111A0F3">
            <w:pPr>
              <w:pStyle w:val="13"/>
            </w:pPr>
            <w:r>
              <w:t>100%</w:t>
            </w:r>
          </w:p>
        </w:tc>
      </w:tr>
      <w:tr w14:paraId="6D66B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C7265">
            <w:pPr>
              <w:pStyle w:val="10"/>
            </w:pPr>
            <w:r>
              <w:t>绩效目标</w:t>
            </w:r>
          </w:p>
        </w:tc>
        <w:tc>
          <w:tcPr>
            <w:tcW w:w="14033" w:type="dxa"/>
            <w:gridSpan w:val="6"/>
            <w:vAlign w:val="center"/>
          </w:tcPr>
          <w:p w14:paraId="29D043F5">
            <w:pPr>
              <w:pStyle w:val="12"/>
            </w:pPr>
            <w:r>
              <w:t>1.增加中职招生吸引力，控制学生流失率下降，促进教育均衡发展。</w:t>
            </w:r>
            <w:r>
              <w:tab/>
            </w:r>
            <w:r>
              <w:tab/>
            </w:r>
            <w:r>
              <w:tab/>
            </w:r>
            <w:r>
              <w:tab/>
            </w:r>
            <w:r>
              <w:tab/>
            </w:r>
            <w:r>
              <w:tab/>
            </w:r>
          </w:p>
        </w:tc>
      </w:tr>
    </w:tbl>
    <w:p w14:paraId="496396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9E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421D7">
            <w:pPr>
              <w:pStyle w:val="10"/>
            </w:pPr>
            <w:r>
              <w:t>一级指标</w:t>
            </w:r>
          </w:p>
        </w:tc>
        <w:tc>
          <w:tcPr>
            <w:tcW w:w="2268" w:type="dxa"/>
            <w:vAlign w:val="center"/>
          </w:tcPr>
          <w:p w14:paraId="09A9E6BA">
            <w:pPr>
              <w:pStyle w:val="10"/>
            </w:pPr>
            <w:r>
              <w:t>二级指标</w:t>
            </w:r>
          </w:p>
        </w:tc>
        <w:tc>
          <w:tcPr>
            <w:tcW w:w="2835" w:type="dxa"/>
            <w:vAlign w:val="center"/>
          </w:tcPr>
          <w:p w14:paraId="3BB3F373">
            <w:pPr>
              <w:pStyle w:val="10"/>
            </w:pPr>
            <w:r>
              <w:t>三级指标</w:t>
            </w:r>
          </w:p>
        </w:tc>
        <w:tc>
          <w:tcPr>
            <w:tcW w:w="5386" w:type="dxa"/>
            <w:vAlign w:val="center"/>
          </w:tcPr>
          <w:p w14:paraId="6C4FFE8A">
            <w:pPr>
              <w:pStyle w:val="10"/>
            </w:pPr>
            <w:r>
              <w:t>绩效指标描述</w:t>
            </w:r>
          </w:p>
        </w:tc>
        <w:tc>
          <w:tcPr>
            <w:tcW w:w="2268" w:type="dxa"/>
            <w:vAlign w:val="center"/>
          </w:tcPr>
          <w:p w14:paraId="4AB4AE46">
            <w:pPr>
              <w:pStyle w:val="10"/>
            </w:pPr>
            <w:r>
              <w:t>指标值</w:t>
            </w:r>
          </w:p>
        </w:tc>
        <w:tc>
          <w:tcPr>
            <w:tcW w:w="1276" w:type="dxa"/>
            <w:vAlign w:val="center"/>
          </w:tcPr>
          <w:p w14:paraId="15887AA0">
            <w:pPr>
              <w:pStyle w:val="10"/>
            </w:pPr>
            <w:r>
              <w:t>指标值确定依据</w:t>
            </w:r>
          </w:p>
        </w:tc>
      </w:tr>
      <w:tr w14:paraId="6FA9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19A53">
            <w:pPr>
              <w:pStyle w:val="13"/>
            </w:pPr>
            <w:r>
              <w:t>产出指标</w:t>
            </w:r>
          </w:p>
        </w:tc>
        <w:tc>
          <w:tcPr>
            <w:tcW w:w="2268" w:type="dxa"/>
            <w:vAlign w:val="center"/>
          </w:tcPr>
          <w:p w14:paraId="699CC479">
            <w:pPr>
              <w:pStyle w:val="12"/>
            </w:pPr>
            <w:r>
              <w:t>数量指标</w:t>
            </w:r>
          </w:p>
        </w:tc>
        <w:tc>
          <w:tcPr>
            <w:tcW w:w="2835" w:type="dxa"/>
            <w:vAlign w:val="center"/>
          </w:tcPr>
          <w:p w14:paraId="3E01CE21">
            <w:pPr>
              <w:pStyle w:val="12"/>
            </w:pPr>
            <w:r>
              <w:t>中职享受助学金人数</w:t>
            </w:r>
          </w:p>
        </w:tc>
        <w:tc>
          <w:tcPr>
            <w:tcW w:w="5386" w:type="dxa"/>
            <w:vAlign w:val="center"/>
          </w:tcPr>
          <w:p w14:paraId="4D486796">
            <w:pPr>
              <w:pStyle w:val="12"/>
            </w:pPr>
            <w:r>
              <w:t>中职享受助学金人数</w:t>
            </w:r>
          </w:p>
        </w:tc>
        <w:tc>
          <w:tcPr>
            <w:tcW w:w="2268" w:type="dxa"/>
            <w:vAlign w:val="center"/>
          </w:tcPr>
          <w:p w14:paraId="2FB8E10E">
            <w:pPr>
              <w:pStyle w:val="12"/>
            </w:pPr>
            <w:r>
              <w:t>≥28人</w:t>
            </w:r>
          </w:p>
        </w:tc>
        <w:tc>
          <w:tcPr>
            <w:tcW w:w="1276" w:type="dxa"/>
            <w:vAlign w:val="center"/>
          </w:tcPr>
          <w:p w14:paraId="176FC97C">
            <w:pPr>
              <w:pStyle w:val="12"/>
            </w:pPr>
            <w:r>
              <w:t>年度招生计划</w:t>
            </w:r>
          </w:p>
        </w:tc>
      </w:tr>
      <w:tr w14:paraId="69D9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63094"/>
        </w:tc>
        <w:tc>
          <w:tcPr>
            <w:tcW w:w="2268" w:type="dxa"/>
            <w:vAlign w:val="center"/>
          </w:tcPr>
          <w:p w14:paraId="32C1053E">
            <w:pPr>
              <w:pStyle w:val="12"/>
            </w:pPr>
            <w:r>
              <w:t>质量指标</w:t>
            </w:r>
          </w:p>
        </w:tc>
        <w:tc>
          <w:tcPr>
            <w:tcW w:w="2835" w:type="dxa"/>
            <w:vAlign w:val="center"/>
          </w:tcPr>
          <w:p w14:paraId="6313BEB8">
            <w:pPr>
              <w:pStyle w:val="12"/>
            </w:pPr>
            <w:r>
              <w:t>完成助学金发放工作</w:t>
            </w:r>
          </w:p>
        </w:tc>
        <w:tc>
          <w:tcPr>
            <w:tcW w:w="5386" w:type="dxa"/>
            <w:vAlign w:val="center"/>
          </w:tcPr>
          <w:p w14:paraId="5011623A">
            <w:pPr>
              <w:pStyle w:val="12"/>
            </w:pPr>
            <w:r>
              <w:t>涉农专业学生及其他专业贫困生</w:t>
            </w:r>
          </w:p>
        </w:tc>
        <w:tc>
          <w:tcPr>
            <w:tcW w:w="2268" w:type="dxa"/>
            <w:vAlign w:val="center"/>
          </w:tcPr>
          <w:p w14:paraId="003DC916">
            <w:pPr>
              <w:pStyle w:val="12"/>
            </w:pPr>
            <w:r>
              <w:t>100%</w:t>
            </w:r>
          </w:p>
        </w:tc>
        <w:tc>
          <w:tcPr>
            <w:tcW w:w="1276" w:type="dxa"/>
            <w:vAlign w:val="center"/>
          </w:tcPr>
          <w:p w14:paraId="0BFB7301">
            <w:pPr>
              <w:pStyle w:val="12"/>
            </w:pPr>
            <w:r>
              <w:t>冀财教【2024】103号</w:t>
            </w:r>
          </w:p>
        </w:tc>
      </w:tr>
      <w:tr w14:paraId="2B6F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8335F"/>
        </w:tc>
        <w:tc>
          <w:tcPr>
            <w:tcW w:w="2268" w:type="dxa"/>
            <w:vAlign w:val="center"/>
          </w:tcPr>
          <w:p w14:paraId="19ED74BA">
            <w:pPr>
              <w:pStyle w:val="12"/>
            </w:pPr>
            <w:r>
              <w:t>时效指标</w:t>
            </w:r>
          </w:p>
        </w:tc>
        <w:tc>
          <w:tcPr>
            <w:tcW w:w="2835" w:type="dxa"/>
            <w:vAlign w:val="center"/>
          </w:tcPr>
          <w:p w14:paraId="7A2AF8DB">
            <w:pPr>
              <w:pStyle w:val="12"/>
            </w:pPr>
            <w:r>
              <w:t>助学金及时足额发放</w:t>
            </w:r>
          </w:p>
        </w:tc>
        <w:tc>
          <w:tcPr>
            <w:tcW w:w="5386" w:type="dxa"/>
            <w:vAlign w:val="center"/>
          </w:tcPr>
          <w:p w14:paraId="4F9F9E94">
            <w:pPr>
              <w:pStyle w:val="12"/>
            </w:pPr>
            <w:r>
              <w:t>助学金及时足额发放率</w:t>
            </w:r>
          </w:p>
        </w:tc>
        <w:tc>
          <w:tcPr>
            <w:tcW w:w="2268" w:type="dxa"/>
            <w:vAlign w:val="center"/>
          </w:tcPr>
          <w:p w14:paraId="17C2D2EB">
            <w:pPr>
              <w:pStyle w:val="12"/>
            </w:pPr>
            <w:r>
              <w:t>100%</w:t>
            </w:r>
          </w:p>
        </w:tc>
        <w:tc>
          <w:tcPr>
            <w:tcW w:w="1276" w:type="dxa"/>
            <w:vAlign w:val="center"/>
          </w:tcPr>
          <w:p w14:paraId="53EDFC37">
            <w:pPr>
              <w:pStyle w:val="12"/>
            </w:pPr>
            <w:r>
              <w:t>冀财教【2024】103号</w:t>
            </w:r>
          </w:p>
        </w:tc>
      </w:tr>
      <w:tr w14:paraId="58B9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BC99"/>
        </w:tc>
        <w:tc>
          <w:tcPr>
            <w:tcW w:w="2268" w:type="dxa"/>
            <w:vAlign w:val="center"/>
          </w:tcPr>
          <w:p w14:paraId="04726127">
            <w:pPr>
              <w:pStyle w:val="12"/>
            </w:pPr>
            <w:r>
              <w:t>成本指标</w:t>
            </w:r>
          </w:p>
        </w:tc>
        <w:tc>
          <w:tcPr>
            <w:tcW w:w="2835" w:type="dxa"/>
            <w:vAlign w:val="center"/>
          </w:tcPr>
          <w:p w14:paraId="0174B0C2">
            <w:pPr>
              <w:pStyle w:val="12"/>
            </w:pPr>
            <w:r>
              <w:t>中职助学金标准</w:t>
            </w:r>
          </w:p>
        </w:tc>
        <w:tc>
          <w:tcPr>
            <w:tcW w:w="5386" w:type="dxa"/>
            <w:vAlign w:val="center"/>
          </w:tcPr>
          <w:p w14:paraId="5F73FC40">
            <w:pPr>
              <w:pStyle w:val="12"/>
            </w:pPr>
            <w:r>
              <w:t>中职助学金资助标准2300/生/年</w:t>
            </w:r>
          </w:p>
        </w:tc>
        <w:tc>
          <w:tcPr>
            <w:tcW w:w="2268" w:type="dxa"/>
            <w:vAlign w:val="center"/>
          </w:tcPr>
          <w:p w14:paraId="79BF1DD7">
            <w:pPr>
              <w:pStyle w:val="12"/>
            </w:pPr>
            <w:r>
              <w:t>2300元</w:t>
            </w:r>
          </w:p>
        </w:tc>
        <w:tc>
          <w:tcPr>
            <w:tcW w:w="1276" w:type="dxa"/>
            <w:vAlign w:val="center"/>
          </w:tcPr>
          <w:p w14:paraId="5C69999F">
            <w:pPr>
              <w:pStyle w:val="12"/>
            </w:pPr>
            <w:r>
              <w:t>冀财教【2024】103号</w:t>
            </w:r>
          </w:p>
        </w:tc>
      </w:tr>
      <w:tr w14:paraId="3F984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27EEF">
            <w:pPr>
              <w:pStyle w:val="13"/>
            </w:pPr>
            <w:r>
              <w:t>效益指标</w:t>
            </w:r>
          </w:p>
        </w:tc>
        <w:tc>
          <w:tcPr>
            <w:tcW w:w="2268" w:type="dxa"/>
            <w:vAlign w:val="center"/>
          </w:tcPr>
          <w:p w14:paraId="4A8A2F1F">
            <w:pPr>
              <w:pStyle w:val="12"/>
            </w:pPr>
            <w:r>
              <w:t>可持续影响指标</w:t>
            </w:r>
          </w:p>
        </w:tc>
        <w:tc>
          <w:tcPr>
            <w:tcW w:w="2835" w:type="dxa"/>
            <w:vAlign w:val="center"/>
          </w:tcPr>
          <w:p w14:paraId="5A03A1A1">
            <w:pPr>
              <w:pStyle w:val="12"/>
            </w:pPr>
            <w:r>
              <w:t>中职学校运转</w:t>
            </w:r>
          </w:p>
        </w:tc>
        <w:tc>
          <w:tcPr>
            <w:tcW w:w="5386" w:type="dxa"/>
            <w:vAlign w:val="center"/>
          </w:tcPr>
          <w:p w14:paraId="23A7FC73">
            <w:pPr>
              <w:pStyle w:val="12"/>
            </w:pPr>
            <w:r>
              <w:t>中职受教育年限</w:t>
            </w:r>
          </w:p>
        </w:tc>
        <w:tc>
          <w:tcPr>
            <w:tcW w:w="2268" w:type="dxa"/>
            <w:vAlign w:val="center"/>
          </w:tcPr>
          <w:p w14:paraId="7FAAF1E6">
            <w:pPr>
              <w:pStyle w:val="12"/>
            </w:pPr>
            <w:r>
              <w:t>3年</w:t>
            </w:r>
          </w:p>
        </w:tc>
        <w:tc>
          <w:tcPr>
            <w:tcW w:w="1276" w:type="dxa"/>
            <w:vAlign w:val="center"/>
          </w:tcPr>
          <w:p w14:paraId="2412D6DC">
            <w:pPr>
              <w:pStyle w:val="12"/>
            </w:pPr>
            <w:r>
              <w:t>冀财教【2024】103号</w:t>
            </w:r>
          </w:p>
        </w:tc>
      </w:tr>
      <w:tr w14:paraId="5C74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C659A">
            <w:pPr>
              <w:pStyle w:val="13"/>
            </w:pPr>
            <w:r>
              <w:t>满意度指标</w:t>
            </w:r>
          </w:p>
        </w:tc>
        <w:tc>
          <w:tcPr>
            <w:tcW w:w="2268" w:type="dxa"/>
            <w:vAlign w:val="center"/>
          </w:tcPr>
          <w:p w14:paraId="17310523">
            <w:pPr>
              <w:pStyle w:val="12"/>
            </w:pPr>
            <w:r>
              <w:t>服务对象满意度指标</w:t>
            </w:r>
          </w:p>
        </w:tc>
        <w:tc>
          <w:tcPr>
            <w:tcW w:w="2835" w:type="dxa"/>
            <w:vAlign w:val="center"/>
          </w:tcPr>
          <w:p w14:paraId="3FFE9342">
            <w:pPr>
              <w:pStyle w:val="12"/>
            </w:pPr>
            <w:r>
              <w:t>提升幸福指数</w:t>
            </w:r>
          </w:p>
        </w:tc>
        <w:tc>
          <w:tcPr>
            <w:tcW w:w="5386" w:type="dxa"/>
            <w:vAlign w:val="center"/>
          </w:tcPr>
          <w:p w14:paraId="4F66339B">
            <w:pPr>
              <w:pStyle w:val="12"/>
            </w:pPr>
            <w:r>
              <w:t>提升建档立卡贫困家庭学生幸福指数</w:t>
            </w:r>
          </w:p>
          <w:p w14:paraId="2F711581">
            <w:pPr>
              <w:pStyle w:val="12"/>
            </w:pPr>
            <w:r>
              <w:t>家长学生满意</w:t>
            </w:r>
          </w:p>
        </w:tc>
        <w:tc>
          <w:tcPr>
            <w:tcW w:w="2268" w:type="dxa"/>
            <w:vAlign w:val="center"/>
          </w:tcPr>
          <w:p w14:paraId="7D2B3CD7">
            <w:pPr>
              <w:pStyle w:val="12"/>
            </w:pPr>
            <w:r>
              <w:t>≥98%</w:t>
            </w:r>
          </w:p>
        </w:tc>
        <w:tc>
          <w:tcPr>
            <w:tcW w:w="1276" w:type="dxa"/>
            <w:vAlign w:val="center"/>
          </w:tcPr>
          <w:p w14:paraId="17E89701">
            <w:pPr>
              <w:pStyle w:val="12"/>
            </w:pPr>
            <w:r>
              <w:t>调查问卷</w:t>
            </w:r>
          </w:p>
        </w:tc>
      </w:tr>
    </w:tbl>
    <w:p w14:paraId="6C865FE7">
      <w:pPr>
        <w:sectPr>
          <w:pgSz w:w="16840" w:h="11900" w:orient="landscape"/>
          <w:pgMar w:top="1361" w:right="1020" w:bottom="1134" w:left="1020" w:header="720" w:footer="720" w:gutter="0"/>
          <w:cols w:space="720" w:num="1"/>
        </w:sectPr>
      </w:pPr>
    </w:p>
    <w:p w14:paraId="4D3E36AE">
      <w:pPr>
        <w:spacing w:before="0" w:after="0"/>
        <w:ind w:firstLine="560"/>
        <w:jc w:val="left"/>
        <w:outlineLvl w:val="9"/>
      </w:pPr>
      <w:r>
        <w:rPr>
          <w:rFonts w:ascii="方正仿宋_GBK" w:hAnsi="方正仿宋_GBK" w:eastAsia="方正仿宋_GBK" w:cs="方正仿宋_GBK"/>
          <w:b/>
          <w:color w:val="000000"/>
          <w:sz w:val="28"/>
        </w:rPr>
        <w:t>9、冀财教[2025]121号/中央/2026年义教补助经费/家庭经济困难学生生活补助（初中）绩效目标表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DD8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7FD66">
            <w:pPr>
              <w:pStyle w:val="11"/>
            </w:pPr>
            <w:r>
              <w:t>单位：万元</w:t>
            </w:r>
          </w:p>
        </w:tc>
      </w:tr>
      <w:tr w14:paraId="05070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109BF">
            <w:pPr>
              <w:pStyle w:val="10"/>
            </w:pPr>
            <w:r>
              <w:t>项目编码</w:t>
            </w:r>
          </w:p>
        </w:tc>
        <w:tc>
          <w:tcPr>
            <w:tcW w:w="5103" w:type="dxa"/>
            <w:gridSpan w:val="2"/>
            <w:vAlign w:val="center"/>
          </w:tcPr>
          <w:p w14:paraId="208DDCAD">
            <w:pPr>
              <w:pStyle w:val="12"/>
            </w:pPr>
            <w:r>
              <w:t>13052526P00001010011E</w:t>
            </w:r>
          </w:p>
        </w:tc>
        <w:tc>
          <w:tcPr>
            <w:tcW w:w="2835" w:type="dxa"/>
            <w:vAlign w:val="center"/>
          </w:tcPr>
          <w:p w14:paraId="2821FD15">
            <w:pPr>
              <w:pStyle w:val="10"/>
            </w:pPr>
            <w:r>
              <w:t>项目名称</w:t>
            </w:r>
          </w:p>
        </w:tc>
        <w:tc>
          <w:tcPr>
            <w:tcW w:w="6095" w:type="dxa"/>
            <w:gridSpan w:val="3"/>
            <w:vAlign w:val="center"/>
          </w:tcPr>
          <w:p w14:paraId="3BD2CE84">
            <w:pPr>
              <w:pStyle w:val="12"/>
            </w:pPr>
            <w:r>
              <w:t>冀财教[2025]121号/中央/2026年义教补助经费/家庭经济困难学生生活补助（初中）</w:t>
            </w:r>
          </w:p>
        </w:tc>
      </w:tr>
      <w:tr w14:paraId="5A5EC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82178">
            <w:pPr>
              <w:pStyle w:val="10"/>
            </w:pPr>
            <w:r>
              <w:t>预算规模及资金用途</w:t>
            </w:r>
          </w:p>
        </w:tc>
        <w:tc>
          <w:tcPr>
            <w:tcW w:w="2268" w:type="dxa"/>
            <w:vAlign w:val="center"/>
          </w:tcPr>
          <w:p w14:paraId="70A1ADF3">
            <w:pPr>
              <w:pStyle w:val="10"/>
            </w:pPr>
            <w:r>
              <w:t>预算数</w:t>
            </w:r>
          </w:p>
        </w:tc>
        <w:tc>
          <w:tcPr>
            <w:tcW w:w="2835" w:type="dxa"/>
            <w:vAlign w:val="center"/>
          </w:tcPr>
          <w:p w14:paraId="13756CD0">
            <w:pPr>
              <w:pStyle w:val="12"/>
            </w:pPr>
            <w:r>
              <w:t>246.00</w:t>
            </w:r>
          </w:p>
        </w:tc>
        <w:tc>
          <w:tcPr>
            <w:tcW w:w="2835" w:type="dxa"/>
            <w:vAlign w:val="center"/>
          </w:tcPr>
          <w:p w14:paraId="477123BE">
            <w:pPr>
              <w:pStyle w:val="10"/>
            </w:pPr>
            <w:r>
              <w:t>其中：财政    资金</w:t>
            </w:r>
          </w:p>
        </w:tc>
        <w:tc>
          <w:tcPr>
            <w:tcW w:w="2551" w:type="dxa"/>
            <w:vAlign w:val="center"/>
          </w:tcPr>
          <w:p w14:paraId="525FE5FC">
            <w:pPr>
              <w:pStyle w:val="12"/>
            </w:pPr>
            <w:r>
              <w:t>246.00</w:t>
            </w:r>
          </w:p>
        </w:tc>
        <w:tc>
          <w:tcPr>
            <w:tcW w:w="2268" w:type="dxa"/>
            <w:vAlign w:val="center"/>
          </w:tcPr>
          <w:p w14:paraId="5348CC8B">
            <w:pPr>
              <w:pStyle w:val="10"/>
            </w:pPr>
            <w:r>
              <w:t>其他资金</w:t>
            </w:r>
          </w:p>
        </w:tc>
        <w:tc>
          <w:tcPr>
            <w:tcW w:w="1276" w:type="dxa"/>
            <w:vAlign w:val="center"/>
          </w:tcPr>
          <w:p w14:paraId="49B53E07">
            <w:pPr>
              <w:pStyle w:val="12"/>
            </w:pPr>
            <w:r>
              <w:t xml:space="preserve"> </w:t>
            </w:r>
          </w:p>
        </w:tc>
      </w:tr>
      <w:tr w14:paraId="7C992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4EA09"/>
        </w:tc>
        <w:tc>
          <w:tcPr>
            <w:tcW w:w="14033" w:type="dxa"/>
            <w:gridSpan w:val="6"/>
            <w:vAlign w:val="center"/>
          </w:tcPr>
          <w:p w14:paraId="316C5AEB">
            <w:pPr>
              <w:pStyle w:val="12"/>
              <w:rPr>
                <w:rFonts w:hint="eastAsia" w:eastAsia="方正书宋_GBK"/>
                <w:lang w:eastAsia="zh-CN"/>
              </w:rPr>
            </w:pPr>
            <w:r>
              <w:t>保障落实建档立卡及家庭经济困难学生资助所需资金，确保建档立卡等家庭经济困难学生优先获得资助</w:t>
            </w:r>
            <w:r>
              <w:rPr>
                <w:rFonts w:hint="eastAsia"/>
                <w:lang w:eastAsia="zh-CN"/>
              </w:rPr>
              <w:t>。</w:t>
            </w:r>
          </w:p>
        </w:tc>
      </w:tr>
      <w:tr w14:paraId="52C7D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865A8">
            <w:pPr>
              <w:pStyle w:val="10"/>
            </w:pPr>
            <w:r>
              <w:t>资金支出计划（%）</w:t>
            </w:r>
          </w:p>
        </w:tc>
        <w:tc>
          <w:tcPr>
            <w:tcW w:w="5103" w:type="dxa"/>
            <w:gridSpan w:val="2"/>
            <w:vAlign w:val="center"/>
          </w:tcPr>
          <w:p w14:paraId="47A01857">
            <w:pPr>
              <w:pStyle w:val="10"/>
            </w:pPr>
            <w:r>
              <w:t>3月底</w:t>
            </w:r>
          </w:p>
        </w:tc>
        <w:tc>
          <w:tcPr>
            <w:tcW w:w="2835" w:type="dxa"/>
            <w:vAlign w:val="center"/>
          </w:tcPr>
          <w:p w14:paraId="55CA31AA">
            <w:pPr>
              <w:pStyle w:val="10"/>
            </w:pPr>
            <w:r>
              <w:t>6月底</w:t>
            </w:r>
          </w:p>
        </w:tc>
        <w:tc>
          <w:tcPr>
            <w:tcW w:w="2551" w:type="dxa"/>
            <w:vAlign w:val="center"/>
          </w:tcPr>
          <w:p w14:paraId="0C165374">
            <w:pPr>
              <w:pStyle w:val="10"/>
            </w:pPr>
            <w:r>
              <w:t>10月底</w:t>
            </w:r>
          </w:p>
        </w:tc>
        <w:tc>
          <w:tcPr>
            <w:tcW w:w="3544" w:type="dxa"/>
            <w:gridSpan w:val="2"/>
            <w:vAlign w:val="center"/>
          </w:tcPr>
          <w:p w14:paraId="6C116450">
            <w:pPr>
              <w:pStyle w:val="10"/>
            </w:pPr>
            <w:r>
              <w:t>12月底</w:t>
            </w:r>
          </w:p>
        </w:tc>
      </w:tr>
      <w:tr w14:paraId="4EAFD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93EA6"/>
        </w:tc>
        <w:tc>
          <w:tcPr>
            <w:tcW w:w="5103" w:type="dxa"/>
            <w:gridSpan w:val="2"/>
            <w:vAlign w:val="center"/>
          </w:tcPr>
          <w:p w14:paraId="28069AD4">
            <w:pPr>
              <w:pStyle w:val="13"/>
            </w:pPr>
            <w:r>
              <w:t>25%</w:t>
            </w:r>
          </w:p>
        </w:tc>
        <w:tc>
          <w:tcPr>
            <w:tcW w:w="2835" w:type="dxa"/>
            <w:vAlign w:val="center"/>
          </w:tcPr>
          <w:p w14:paraId="16976406">
            <w:pPr>
              <w:pStyle w:val="13"/>
            </w:pPr>
            <w:r>
              <w:t>50%</w:t>
            </w:r>
          </w:p>
        </w:tc>
        <w:tc>
          <w:tcPr>
            <w:tcW w:w="2551" w:type="dxa"/>
            <w:vAlign w:val="center"/>
          </w:tcPr>
          <w:p w14:paraId="4ED684D0">
            <w:pPr>
              <w:pStyle w:val="13"/>
            </w:pPr>
            <w:r>
              <w:t>75%</w:t>
            </w:r>
          </w:p>
        </w:tc>
        <w:tc>
          <w:tcPr>
            <w:tcW w:w="3544" w:type="dxa"/>
            <w:gridSpan w:val="2"/>
            <w:vAlign w:val="center"/>
          </w:tcPr>
          <w:p w14:paraId="0A3890B4">
            <w:pPr>
              <w:pStyle w:val="13"/>
            </w:pPr>
            <w:r>
              <w:t>100%</w:t>
            </w:r>
          </w:p>
        </w:tc>
      </w:tr>
      <w:tr w14:paraId="24C33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01001">
            <w:pPr>
              <w:pStyle w:val="10"/>
            </w:pPr>
            <w:r>
              <w:t>绩效目标</w:t>
            </w:r>
          </w:p>
        </w:tc>
        <w:tc>
          <w:tcPr>
            <w:tcW w:w="14033" w:type="dxa"/>
            <w:gridSpan w:val="6"/>
            <w:vAlign w:val="center"/>
          </w:tcPr>
          <w:p w14:paraId="5B809271">
            <w:pPr>
              <w:pStyle w:val="12"/>
            </w:pPr>
            <w:r>
              <w:t>1.保障落实建档立卡及家庭经济困难学生资助所需资金，确保建档立卡等家庭经济困难学生优先获得资助</w:t>
            </w:r>
          </w:p>
        </w:tc>
      </w:tr>
    </w:tbl>
    <w:p w14:paraId="7956E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2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A2E8E">
            <w:pPr>
              <w:pStyle w:val="10"/>
            </w:pPr>
            <w:r>
              <w:t>一级指标</w:t>
            </w:r>
          </w:p>
        </w:tc>
        <w:tc>
          <w:tcPr>
            <w:tcW w:w="2268" w:type="dxa"/>
            <w:vAlign w:val="center"/>
          </w:tcPr>
          <w:p w14:paraId="62C9445D">
            <w:pPr>
              <w:pStyle w:val="10"/>
            </w:pPr>
            <w:r>
              <w:t>二级指标</w:t>
            </w:r>
          </w:p>
        </w:tc>
        <w:tc>
          <w:tcPr>
            <w:tcW w:w="2835" w:type="dxa"/>
            <w:vAlign w:val="center"/>
          </w:tcPr>
          <w:p w14:paraId="7F8BD7C3">
            <w:pPr>
              <w:pStyle w:val="10"/>
            </w:pPr>
            <w:r>
              <w:t>三级指标</w:t>
            </w:r>
          </w:p>
        </w:tc>
        <w:tc>
          <w:tcPr>
            <w:tcW w:w="5386" w:type="dxa"/>
            <w:vAlign w:val="center"/>
          </w:tcPr>
          <w:p w14:paraId="30A3996E">
            <w:pPr>
              <w:pStyle w:val="10"/>
            </w:pPr>
            <w:r>
              <w:t>绩效指标描述</w:t>
            </w:r>
          </w:p>
        </w:tc>
        <w:tc>
          <w:tcPr>
            <w:tcW w:w="2268" w:type="dxa"/>
            <w:vAlign w:val="center"/>
          </w:tcPr>
          <w:p w14:paraId="07C728F6">
            <w:pPr>
              <w:pStyle w:val="10"/>
            </w:pPr>
            <w:r>
              <w:t>指标值</w:t>
            </w:r>
          </w:p>
        </w:tc>
        <w:tc>
          <w:tcPr>
            <w:tcW w:w="1276" w:type="dxa"/>
            <w:vAlign w:val="center"/>
          </w:tcPr>
          <w:p w14:paraId="1FC13A63">
            <w:pPr>
              <w:pStyle w:val="10"/>
            </w:pPr>
            <w:r>
              <w:t>指标值确定依据</w:t>
            </w:r>
          </w:p>
        </w:tc>
      </w:tr>
      <w:tr w14:paraId="797C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9B01A">
            <w:pPr>
              <w:pStyle w:val="13"/>
            </w:pPr>
            <w:r>
              <w:t>产出指标</w:t>
            </w:r>
          </w:p>
        </w:tc>
        <w:tc>
          <w:tcPr>
            <w:tcW w:w="2268" w:type="dxa"/>
            <w:vAlign w:val="center"/>
          </w:tcPr>
          <w:p w14:paraId="4234D9B0">
            <w:pPr>
              <w:pStyle w:val="12"/>
            </w:pPr>
            <w:r>
              <w:t>数量指标</w:t>
            </w:r>
          </w:p>
        </w:tc>
        <w:tc>
          <w:tcPr>
            <w:tcW w:w="2835" w:type="dxa"/>
            <w:vAlign w:val="center"/>
          </w:tcPr>
          <w:p w14:paraId="02FAE8BE">
            <w:pPr>
              <w:pStyle w:val="12"/>
            </w:pPr>
            <w:r>
              <w:t>家庭经济困难资助比例</w:t>
            </w:r>
          </w:p>
        </w:tc>
        <w:tc>
          <w:tcPr>
            <w:tcW w:w="5386" w:type="dxa"/>
            <w:vAlign w:val="center"/>
          </w:tcPr>
          <w:p w14:paraId="7D9CFB32">
            <w:pPr>
              <w:pStyle w:val="12"/>
            </w:pPr>
            <w:r>
              <w:t>寄宿生按义教在校生15%测算，非寄宿生按义教在校生5%测算</w:t>
            </w:r>
          </w:p>
        </w:tc>
        <w:tc>
          <w:tcPr>
            <w:tcW w:w="2268" w:type="dxa"/>
            <w:vAlign w:val="center"/>
          </w:tcPr>
          <w:p w14:paraId="541D41D8">
            <w:pPr>
              <w:pStyle w:val="12"/>
            </w:pPr>
            <w:r>
              <w:t>≥3010人</w:t>
            </w:r>
          </w:p>
        </w:tc>
        <w:tc>
          <w:tcPr>
            <w:tcW w:w="1276" w:type="dxa"/>
            <w:vAlign w:val="center"/>
          </w:tcPr>
          <w:p w14:paraId="0D1E8422">
            <w:pPr>
              <w:pStyle w:val="12"/>
            </w:pPr>
            <w:r>
              <w:t>城乡义务教育“两免一补”资助实施细则</w:t>
            </w:r>
          </w:p>
        </w:tc>
      </w:tr>
      <w:tr w14:paraId="77ED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B3CAF"/>
        </w:tc>
        <w:tc>
          <w:tcPr>
            <w:tcW w:w="2268" w:type="dxa"/>
            <w:vAlign w:val="center"/>
          </w:tcPr>
          <w:p w14:paraId="7745796E">
            <w:pPr>
              <w:pStyle w:val="12"/>
            </w:pPr>
            <w:r>
              <w:t>质量指标</w:t>
            </w:r>
          </w:p>
        </w:tc>
        <w:tc>
          <w:tcPr>
            <w:tcW w:w="2835" w:type="dxa"/>
            <w:vAlign w:val="center"/>
          </w:tcPr>
          <w:p w14:paraId="489A02EC">
            <w:pPr>
              <w:pStyle w:val="12"/>
            </w:pPr>
            <w:r>
              <w:t>义务教育资助制度落实情况</w:t>
            </w:r>
          </w:p>
        </w:tc>
        <w:tc>
          <w:tcPr>
            <w:tcW w:w="5386" w:type="dxa"/>
            <w:vAlign w:val="center"/>
          </w:tcPr>
          <w:p w14:paraId="08EEBEF7">
            <w:pPr>
              <w:pStyle w:val="12"/>
            </w:pPr>
            <w:r>
              <w:t>符合享受资助条件的学生应助尽助</w:t>
            </w:r>
          </w:p>
        </w:tc>
        <w:tc>
          <w:tcPr>
            <w:tcW w:w="2268" w:type="dxa"/>
            <w:vAlign w:val="center"/>
          </w:tcPr>
          <w:p w14:paraId="2BBB2CA9">
            <w:pPr>
              <w:pStyle w:val="12"/>
            </w:pPr>
            <w:r>
              <w:t>≥99%</w:t>
            </w:r>
          </w:p>
        </w:tc>
        <w:tc>
          <w:tcPr>
            <w:tcW w:w="1276" w:type="dxa"/>
            <w:vAlign w:val="center"/>
          </w:tcPr>
          <w:p w14:paraId="597FCC62">
            <w:pPr>
              <w:pStyle w:val="12"/>
            </w:pPr>
            <w:r>
              <w:t>城乡义务教育“两免一补”资助实施细则</w:t>
            </w:r>
          </w:p>
        </w:tc>
      </w:tr>
      <w:tr w14:paraId="48D4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56A46"/>
        </w:tc>
        <w:tc>
          <w:tcPr>
            <w:tcW w:w="2268" w:type="dxa"/>
            <w:vAlign w:val="center"/>
          </w:tcPr>
          <w:p w14:paraId="12DE5245">
            <w:pPr>
              <w:pStyle w:val="12"/>
            </w:pPr>
            <w:r>
              <w:t>时效指标</w:t>
            </w:r>
          </w:p>
        </w:tc>
        <w:tc>
          <w:tcPr>
            <w:tcW w:w="2835" w:type="dxa"/>
            <w:vAlign w:val="center"/>
          </w:tcPr>
          <w:p w14:paraId="5C9B1E67">
            <w:pPr>
              <w:pStyle w:val="12"/>
            </w:pPr>
            <w:r>
              <w:t>资金拨付率</w:t>
            </w:r>
          </w:p>
        </w:tc>
        <w:tc>
          <w:tcPr>
            <w:tcW w:w="5386" w:type="dxa"/>
            <w:vAlign w:val="center"/>
          </w:tcPr>
          <w:p w14:paraId="3CC7C425">
            <w:pPr>
              <w:pStyle w:val="12"/>
            </w:pPr>
            <w:r>
              <w:t>所有项目资金支付进度</w:t>
            </w:r>
          </w:p>
        </w:tc>
        <w:tc>
          <w:tcPr>
            <w:tcW w:w="2268" w:type="dxa"/>
            <w:vAlign w:val="center"/>
          </w:tcPr>
          <w:p w14:paraId="176BBE65">
            <w:pPr>
              <w:pStyle w:val="12"/>
            </w:pPr>
            <w:r>
              <w:t>≥99%</w:t>
            </w:r>
          </w:p>
        </w:tc>
        <w:tc>
          <w:tcPr>
            <w:tcW w:w="1276" w:type="dxa"/>
            <w:vAlign w:val="center"/>
          </w:tcPr>
          <w:p w14:paraId="675B3C54">
            <w:pPr>
              <w:pStyle w:val="12"/>
            </w:pPr>
            <w:r>
              <w:t>城乡义务教育“两免一补”资助实施细则</w:t>
            </w:r>
          </w:p>
        </w:tc>
      </w:tr>
      <w:tr w14:paraId="6869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6E565"/>
        </w:tc>
        <w:tc>
          <w:tcPr>
            <w:tcW w:w="2268" w:type="dxa"/>
            <w:vAlign w:val="center"/>
          </w:tcPr>
          <w:p w14:paraId="32151026">
            <w:pPr>
              <w:pStyle w:val="12"/>
            </w:pPr>
            <w:r>
              <w:t>成本指标</w:t>
            </w:r>
          </w:p>
        </w:tc>
        <w:tc>
          <w:tcPr>
            <w:tcW w:w="2835" w:type="dxa"/>
            <w:vAlign w:val="center"/>
          </w:tcPr>
          <w:p w14:paraId="693930DE">
            <w:pPr>
              <w:pStyle w:val="12"/>
            </w:pPr>
            <w:r>
              <w:t>家庭经济困难寄宿及非</w:t>
            </w:r>
            <w:r>
              <w:rPr>
                <w:rFonts w:hint="eastAsia"/>
                <w:lang w:eastAsia="zh-CN"/>
              </w:rPr>
              <w:t>寄宿</w:t>
            </w:r>
            <w:r>
              <w:t>类学生补助标准</w:t>
            </w:r>
          </w:p>
        </w:tc>
        <w:tc>
          <w:tcPr>
            <w:tcW w:w="5386" w:type="dxa"/>
            <w:vAlign w:val="center"/>
          </w:tcPr>
          <w:p w14:paraId="3EAB1672">
            <w:pPr>
              <w:pStyle w:val="12"/>
            </w:pPr>
            <w:r>
              <w:t>初中寄宿：标准1500元/生/学年，初中非寄宿：标准750元/生/学年</w:t>
            </w:r>
          </w:p>
        </w:tc>
        <w:tc>
          <w:tcPr>
            <w:tcW w:w="2268" w:type="dxa"/>
            <w:vAlign w:val="center"/>
          </w:tcPr>
          <w:p w14:paraId="3FD6ADDD">
            <w:pPr>
              <w:pStyle w:val="12"/>
            </w:pPr>
            <w:r>
              <w:t>2460000元</w:t>
            </w:r>
          </w:p>
        </w:tc>
        <w:tc>
          <w:tcPr>
            <w:tcW w:w="1276" w:type="dxa"/>
            <w:vAlign w:val="center"/>
          </w:tcPr>
          <w:p w14:paraId="042DD40D">
            <w:pPr>
              <w:pStyle w:val="12"/>
            </w:pPr>
            <w:r>
              <w:t>城乡义务教育“两免一补”资助实施细则</w:t>
            </w:r>
          </w:p>
        </w:tc>
      </w:tr>
      <w:tr w14:paraId="7673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0EC44">
            <w:pPr>
              <w:pStyle w:val="13"/>
            </w:pPr>
            <w:r>
              <w:t>效益指标</w:t>
            </w:r>
          </w:p>
        </w:tc>
        <w:tc>
          <w:tcPr>
            <w:tcW w:w="2268" w:type="dxa"/>
            <w:vAlign w:val="center"/>
          </w:tcPr>
          <w:p w14:paraId="323DDF0B">
            <w:pPr>
              <w:pStyle w:val="12"/>
            </w:pPr>
            <w:r>
              <w:t>可持续影响指标</w:t>
            </w:r>
          </w:p>
        </w:tc>
        <w:tc>
          <w:tcPr>
            <w:tcW w:w="2835" w:type="dxa"/>
            <w:vAlign w:val="center"/>
          </w:tcPr>
          <w:p w14:paraId="0FF42D7A">
            <w:pPr>
              <w:pStyle w:val="12"/>
            </w:pPr>
            <w:r>
              <w:t>项目实施成果</w:t>
            </w:r>
          </w:p>
        </w:tc>
        <w:tc>
          <w:tcPr>
            <w:tcW w:w="5386" w:type="dxa"/>
            <w:vAlign w:val="center"/>
          </w:tcPr>
          <w:p w14:paraId="7C402A96">
            <w:pPr>
              <w:pStyle w:val="12"/>
            </w:pPr>
            <w:r>
              <w:t>家庭经济困难补助实施年限</w:t>
            </w:r>
          </w:p>
        </w:tc>
        <w:tc>
          <w:tcPr>
            <w:tcW w:w="2268" w:type="dxa"/>
            <w:vAlign w:val="center"/>
          </w:tcPr>
          <w:p w14:paraId="5449E135">
            <w:pPr>
              <w:pStyle w:val="12"/>
            </w:pPr>
            <w:r>
              <w:t>3年</w:t>
            </w:r>
          </w:p>
        </w:tc>
        <w:tc>
          <w:tcPr>
            <w:tcW w:w="1276" w:type="dxa"/>
            <w:vAlign w:val="center"/>
          </w:tcPr>
          <w:p w14:paraId="75C93099">
            <w:pPr>
              <w:pStyle w:val="12"/>
            </w:pPr>
            <w:r>
              <w:t>城乡义务教育“两免一补”资助实施细则</w:t>
            </w:r>
          </w:p>
        </w:tc>
      </w:tr>
      <w:tr w14:paraId="5490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E4FBE">
            <w:pPr>
              <w:pStyle w:val="13"/>
            </w:pPr>
            <w:r>
              <w:t>满意度指标</w:t>
            </w:r>
          </w:p>
        </w:tc>
        <w:tc>
          <w:tcPr>
            <w:tcW w:w="2268" w:type="dxa"/>
            <w:vAlign w:val="center"/>
          </w:tcPr>
          <w:p w14:paraId="312EA11C">
            <w:pPr>
              <w:pStyle w:val="12"/>
            </w:pPr>
            <w:r>
              <w:t>服务对象满意度指标</w:t>
            </w:r>
          </w:p>
        </w:tc>
        <w:tc>
          <w:tcPr>
            <w:tcW w:w="2835" w:type="dxa"/>
            <w:vAlign w:val="center"/>
          </w:tcPr>
          <w:p w14:paraId="4C187921">
            <w:pPr>
              <w:pStyle w:val="12"/>
            </w:pPr>
            <w:r>
              <w:t>受益学生家长及调查满意度</w:t>
            </w:r>
          </w:p>
        </w:tc>
        <w:tc>
          <w:tcPr>
            <w:tcW w:w="5386" w:type="dxa"/>
            <w:vAlign w:val="center"/>
          </w:tcPr>
          <w:p w14:paraId="7B24E94D">
            <w:pPr>
              <w:pStyle w:val="12"/>
            </w:pPr>
            <w:r>
              <w:t>学生、教师及家长对学校保教保育工作满意度情况</w:t>
            </w:r>
          </w:p>
        </w:tc>
        <w:tc>
          <w:tcPr>
            <w:tcW w:w="2268" w:type="dxa"/>
            <w:vAlign w:val="center"/>
          </w:tcPr>
          <w:p w14:paraId="7AA2911B">
            <w:pPr>
              <w:pStyle w:val="12"/>
            </w:pPr>
            <w:r>
              <w:t>≥95%</w:t>
            </w:r>
          </w:p>
        </w:tc>
        <w:tc>
          <w:tcPr>
            <w:tcW w:w="1276" w:type="dxa"/>
            <w:vAlign w:val="center"/>
          </w:tcPr>
          <w:p w14:paraId="6E8552BD">
            <w:pPr>
              <w:pStyle w:val="12"/>
            </w:pPr>
            <w:r>
              <w:t>调查问卷</w:t>
            </w:r>
          </w:p>
        </w:tc>
      </w:tr>
    </w:tbl>
    <w:p w14:paraId="688FEEA6">
      <w:pPr>
        <w:sectPr>
          <w:pgSz w:w="16840" w:h="11900" w:orient="landscape"/>
          <w:pgMar w:top="1361" w:right="1020" w:bottom="1134" w:left="1020" w:header="720" w:footer="720" w:gutter="0"/>
          <w:cols w:space="720" w:num="1"/>
        </w:sectPr>
      </w:pPr>
    </w:p>
    <w:p w14:paraId="45A3DD91">
      <w:pPr>
        <w:spacing w:before="0" w:after="0"/>
        <w:ind w:firstLine="560"/>
        <w:jc w:val="left"/>
        <w:outlineLvl w:val="9"/>
      </w:pPr>
      <w:r>
        <w:rPr>
          <w:rFonts w:ascii="方正仿宋_GBK" w:hAnsi="方正仿宋_GBK" w:eastAsia="方正仿宋_GBK" w:cs="方正仿宋_GBK"/>
          <w:b/>
          <w:color w:val="000000"/>
          <w:sz w:val="28"/>
        </w:rPr>
        <w:t>10、冀财教[2025]121号/中央/2026年义教补助经费/家庭经济困难学生生活补助（小学）绩效目标表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44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D30C7">
            <w:pPr>
              <w:pStyle w:val="11"/>
            </w:pPr>
            <w:r>
              <w:t>单位：万元</w:t>
            </w:r>
          </w:p>
        </w:tc>
      </w:tr>
      <w:tr w14:paraId="79F22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9C640">
            <w:pPr>
              <w:pStyle w:val="10"/>
            </w:pPr>
            <w:r>
              <w:t>项目编码</w:t>
            </w:r>
          </w:p>
        </w:tc>
        <w:tc>
          <w:tcPr>
            <w:tcW w:w="5103" w:type="dxa"/>
            <w:gridSpan w:val="2"/>
            <w:vAlign w:val="center"/>
          </w:tcPr>
          <w:p w14:paraId="62388D48">
            <w:pPr>
              <w:pStyle w:val="12"/>
            </w:pPr>
            <w:r>
              <w:t>13052526P00001010010T</w:t>
            </w:r>
          </w:p>
        </w:tc>
        <w:tc>
          <w:tcPr>
            <w:tcW w:w="2835" w:type="dxa"/>
            <w:vAlign w:val="center"/>
          </w:tcPr>
          <w:p w14:paraId="488363F4">
            <w:pPr>
              <w:pStyle w:val="10"/>
            </w:pPr>
            <w:r>
              <w:t>项目名称</w:t>
            </w:r>
          </w:p>
        </w:tc>
        <w:tc>
          <w:tcPr>
            <w:tcW w:w="6095" w:type="dxa"/>
            <w:gridSpan w:val="3"/>
            <w:vAlign w:val="center"/>
          </w:tcPr>
          <w:p w14:paraId="29E71122">
            <w:pPr>
              <w:pStyle w:val="12"/>
            </w:pPr>
            <w:r>
              <w:t>冀财教[2025]121号/中央/2026年义教补助经费/家庭经济困难学生生活补助（小学）</w:t>
            </w:r>
          </w:p>
        </w:tc>
      </w:tr>
      <w:tr w14:paraId="175D5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48EF7">
            <w:pPr>
              <w:pStyle w:val="10"/>
            </w:pPr>
            <w:r>
              <w:t>预算规模及资金用途</w:t>
            </w:r>
          </w:p>
        </w:tc>
        <w:tc>
          <w:tcPr>
            <w:tcW w:w="2268" w:type="dxa"/>
            <w:vAlign w:val="center"/>
          </w:tcPr>
          <w:p w14:paraId="659651A1">
            <w:pPr>
              <w:pStyle w:val="10"/>
            </w:pPr>
            <w:r>
              <w:t>预算数</w:t>
            </w:r>
          </w:p>
        </w:tc>
        <w:tc>
          <w:tcPr>
            <w:tcW w:w="2835" w:type="dxa"/>
            <w:vAlign w:val="center"/>
          </w:tcPr>
          <w:p w14:paraId="2D6410E8">
            <w:pPr>
              <w:pStyle w:val="12"/>
            </w:pPr>
            <w:r>
              <w:t>170.00</w:t>
            </w:r>
          </w:p>
        </w:tc>
        <w:tc>
          <w:tcPr>
            <w:tcW w:w="2835" w:type="dxa"/>
            <w:vAlign w:val="center"/>
          </w:tcPr>
          <w:p w14:paraId="2CEA1D65">
            <w:pPr>
              <w:pStyle w:val="10"/>
            </w:pPr>
            <w:r>
              <w:t>其中：财政    资金</w:t>
            </w:r>
          </w:p>
        </w:tc>
        <w:tc>
          <w:tcPr>
            <w:tcW w:w="2551" w:type="dxa"/>
            <w:vAlign w:val="center"/>
          </w:tcPr>
          <w:p w14:paraId="56CC3595">
            <w:pPr>
              <w:pStyle w:val="12"/>
            </w:pPr>
            <w:r>
              <w:t>170.00</w:t>
            </w:r>
          </w:p>
        </w:tc>
        <w:tc>
          <w:tcPr>
            <w:tcW w:w="2268" w:type="dxa"/>
            <w:vAlign w:val="center"/>
          </w:tcPr>
          <w:p w14:paraId="25C1C2F8">
            <w:pPr>
              <w:pStyle w:val="10"/>
            </w:pPr>
            <w:r>
              <w:t>其他资金</w:t>
            </w:r>
          </w:p>
        </w:tc>
        <w:tc>
          <w:tcPr>
            <w:tcW w:w="1276" w:type="dxa"/>
            <w:vAlign w:val="center"/>
          </w:tcPr>
          <w:p w14:paraId="176C1EEA">
            <w:pPr>
              <w:pStyle w:val="12"/>
            </w:pPr>
            <w:r>
              <w:t xml:space="preserve"> </w:t>
            </w:r>
          </w:p>
        </w:tc>
      </w:tr>
      <w:tr w14:paraId="0ABCA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73D3F"/>
        </w:tc>
        <w:tc>
          <w:tcPr>
            <w:tcW w:w="14033" w:type="dxa"/>
            <w:gridSpan w:val="6"/>
            <w:vAlign w:val="center"/>
          </w:tcPr>
          <w:p w14:paraId="210A2B46">
            <w:pPr>
              <w:pStyle w:val="12"/>
            </w:pPr>
            <w:r>
              <w:t>保障落实建档立卡及家庭经济困难学生资助所需资金，确保建档立卡等家庭经济困难学生优先获得资助</w:t>
            </w:r>
            <w:r>
              <w:tab/>
            </w:r>
            <w:r>
              <w:tab/>
            </w:r>
            <w:r>
              <w:tab/>
            </w:r>
            <w:r>
              <w:tab/>
            </w:r>
            <w:r>
              <w:tab/>
            </w:r>
            <w:r>
              <w:tab/>
            </w:r>
          </w:p>
          <w:p w14:paraId="521DCA40">
            <w:pPr>
              <w:pStyle w:val="12"/>
            </w:pPr>
          </w:p>
        </w:tc>
      </w:tr>
      <w:tr w14:paraId="52CD8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E16F1">
            <w:pPr>
              <w:pStyle w:val="10"/>
            </w:pPr>
            <w:r>
              <w:t>资金支出计划（%）</w:t>
            </w:r>
          </w:p>
        </w:tc>
        <w:tc>
          <w:tcPr>
            <w:tcW w:w="5103" w:type="dxa"/>
            <w:gridSpan w:val="2"/>
            <w:vAlign w:val="center"/>
          </w:tcPr>
          <w:p w14:paraId="2048D16E">
            <w:pPr>
              <w:pStyle w:val="10"/>
            </w:pPr>
            <w:r>
              <w:t>3月底</w:t>
            </w:r>
          </w:p>
        </w:tc>
        <w:tc>
          <w:tcPr>
            <w:tcW w:w="2835" w:type="dxa"/>
            <w:vAlign w:val="center"/>
          </w:tcPr>
          <w:p w14:paraId="4B14837C">
            <w:pPr>
              <w:pStyle w:val="10"/>
            </w:pPr>
            <w:r>
              <w:t>6月底</w:t>
            </w:r>
          </w:p>
        </w:tc>
        <w:tc>
          <w:tcPr>
            <w:tcW w:w="2551" w:type="dxa"/>
            <w:vAlign w:val="center"/>
          </w:tcPr>
          <w:p w14:paraId="0A558655">
            <w:pPr>
              <w:pStyle w:val="10"/>
            </w:pPr>
            <w:r>
              <w:t>10月底</w:t>
            </w:r>
          </w:p>
        </w:tc>
        <w:tc>
          <w:tcPr>
            <w:tcW w:w="3544" w:type="dxa"/>
            <w:gridSpan w:val="2"/>
            <w:vAlign w:val="center"/>
          </w:tcPr>
          <w:p w14:paraId="5FAF8E36">
            <w:pPr>
              <w:pStyle w:val="10"/>
            </w:pPr>
            <w:r>
              <w:t>12月底</w:t>
            </w:r>
          </w:p>
        </w:tc>
      </w:tr>
      <w:tr w14:paraId="55891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BA989"/>
        </w:tc>
        <w:tc>
          <w:tcPr>
            <w:tcW w:w="5103" w:type="dxa"/>
            <w:gridSpan w:val="2"/>
            <w:vAlign w:val="center"/>
          </w:tcPr>
          <w:p w14:paraId="742F8528">
            <w:pPr>
              <w:pStyle w:val="13"/>
            </w:pPr>
            <w:r>
              <w:t>25%</w:t>
            </w:r>
          </w:p>
        </w:tc>
        <w:tc>
          <w:tcPr>
            <w:tcW w:w="2835" w:type="dxa"/>
            <w:vAlign w:val="center"/>
          </w:tcPr>
          <w:p w14:paraId="7106871F">
            <w:pPr>
              <w:pStyle w:val="13"/>
            </w:pPr>
            <w:r>
              <w:t>50%</w:t>
            </w:r>
          </w:p>
        </w:tc>
        <w:tc>
          <w:tcPr>
            <w:tcW w:w="2551" w:type="dxa"/>
            <w:vAlign w:val="center"/>
          </w:tcPr>
          <w:p w14:paraId="3BD27EB9">
            <w:pPr>
              <w:pStyle w:val="13"/>
            </w:pPr>
            <w:r>
              <w:t>75%</w:t>
            </w:r>
          </w:p>
        </w:tc>
        <w:tc>
          <w:tcPr>
            <w:tcW w:w="3544" w:type="dxa"/>
            <w:gridSpan w:val="2"/>
            <w:vAlign w:val="center"/>
          </w:tcPr>
          <w:p w14:paraId="3DE27080">
            <w:pPr>
              <w:pStyle w:val="13"/>
            </w:pPr>
            <w:r>
              <w:t>100%</w:t>
            </w:r>
          </w:p>
        </w:tc>
      </w:tr>
      <w:tr w14:paraId="5E972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E4EA7">
            <w:pPr>
              <w:pStyle w:val="10"/>
            </w:pPr>
            <w:r>
              <w:t>绩效目标</w:t>
            </w:r>
          </w:p>
        </w:tc>
        <w:tc>
          <w:tcPr>
            <w:tcW w:w="14033" w:type="dxa"/>
            <w:gridSpan w:val="6"/>
            <w:vAlign w:val="center"/>
          </w:tcPr>
          <w:p w14:paraId="0AB85341">
            <w:pPr>
              <w:pStyle w:val="12"/>
              <w:rPr>
                <w:rFonts w:hint="eastAsia" w:eastAsia="方正书宋_GBK"/>
                <w:lang w:eastAsia="zh-CN"/>
              </w:rPr>
            </w:pPr>
            <w:r>
              <w:t>1.保障落实建档立卡及家庭经济困难学生资助所需资金，确保建档立卡等家庭经济困难学生优先获得资助</w:t>
            </w:r>
            <w:r>
              <w:rPr>
                <w:rFonts w:hint="eastAsia"/>
                <w:lang w:eastAsia="zh-CN"/>
              </w:rPr>
              <w:t>。</w:t>
            </w:r>
          </w:p>
        </w:tc>
      </w:tr>
    </w:tbl>
    <w:p w14:paraId="5FA9E2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7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A97C6">
            <w:pPr>
              <w:pStyle w:val="10"/>
            </w:pPr>
            <w:r>
              <w:t>一级指标</w:t>
            </w:r>
          </w:p>
        </w:tc>
        <w:tc>
          <w:tcPr>
            <w:tcW w:w="2268" w:type="dxa"/>
            <w:vAlign w:val="center"/>
          </w:tcPr>
          <w:p w14:paraId="50147023">
            <w:pPr>
              <w:pStyle w:val="10"/>
            </w:pPr>
            <w:r>
              <w:t>二级指标</w:t>
            </w:r>
          </w:p>
        </w:tc>
        <w:tc>
          <w:tcPr>
            <w:tcW w:w="2835" w:type="dxa"/>
            <w:vAlign w:val="center"/>
          </w:tcPr>
          <w:p w14:paraId="2D952CA5">
            <w:pPr>
              <w:pStyle w:val="10"/>
            </w:pPr>
            <w:r>
              <w:t>三级指标</w:t>
            </w:r>
          </w:p>
        </w:tc>
        <w:tc>
          <w:tcPr>
            <w:tcW w:w="5386" w:type="dxa"/>
            <w:vAlign w:val="center"/>
          </w:tcPr>
          <w:p w14:paraId="54760575">
            <w:pPr>
              <w:pStyle w:val="10"/>
            </w:pPr>
            <w:r>
              <w:t>绩效指标描述</w:t>
            </w:r>
          </w:p>
        </w:tc>
        <w:tc>
          <w:tcPr>
            <w:tcW w:w="2268" w:type="dxa"/>
            <w:vAlign w:val="center"/>
          </w:tcPr>
          <w:p w14:paraId="3E18A508">
            <w:pPr>
              <w:pStyle w:val="10"/>
            </w:pPr>
            <w:r>
              <w:t>指标值</w:t>
            </w:r>
          </w:p>
        </w:tc>
        <w:tc>
          <w:tcPr>
            <w:tcW w:w="1276" w:type="dxa"/>
            <w:vAlign w:val="center"/>
          </w:tcPr>
          <w:p w14:paraId="0D706309">
            <w:pPr>
              <w:pStyle w:val="10"/>
            </w:pPr>
            <w:r>
              <w:t>指标值确定依据</w:t>
            </w:r>
          </w:p>
        </w:tc>
      </w:tr>
      <w:tr w14:paraId="201C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FBE43">
            <w:pPr>
              <w:pStyle w:val="13"/>
            </w:pPr>
            <w:r>
              <w:t>产出指标</w:t>
            </w:r>
          </w:p>
        </w:tc>
        <w:tc>
          <w:tcPr>
            <w:tcW w:w="2268" w:type="dxa"/>
            <w:vAlign w:val="center"/>
          </w:tcPr>
          <w:p w14:paraId="1A74AA5E">
            <w:pPr>
              <w:pStyle w:val="12"/>
            </w:pPr>
            <w:r>
              <w:t>数量指标</w:t>
            </w:r>
          </w:p>
        </w:tc>
        <w:tc>
          <w:tcPr>
            <w:tcW w:w="2835" w:type="dxa"/>
            <w:vAlign w:val="center"/>
          </w:tcPr>
          <w:p w14:paraId="5AAB1D6F">
            <w:pPr>
              <w:pStyle w:val="12"/>
            </w:pPr>
            <w:r>
              <w:t>家庭经济困难资助比例</w:t>
            </w:r>
          </w:p>
        </w:tc>
        <w:tc>
          <w:tcPr>
            <w:tcW w:w="5386" w:type="dxa"/>
            <w:vAlign w:val="center"/>
          </w:tcPr>
          <w:p w14:paraId="22B595C9">
            <w:pPr>
              <w:pStyle w:val="12"/>
            </w:pPr>
            <w:r>
              <w:t>寄宿生按义教在校生15%测算，1688人</w:t>
            </w:r>
            <w:r>
              <w:rPr>
                <w:rFonts w:hint="eastAsia"/>
                <w:lang w:eastAsia="zh-CN"/>
              </w:rPr>
              <w:t>；</w:t>
            </w:r>
            <w:r>
              <w:t>非寄宿生按义教在校生3%测算，928人</w:t>
            </w:r>
          </w:p>
        </w:tc>
        <w:tc>
          <w:tcPr>
            <w:tcW w:w="2268" w:type="dxa"/>
            <w:vAlign w:val="center"/>
          </w:tcPr>
          <w:p w14:paraId="022C5189">
            <w:pPr>
              <w:pStyle w:val="12"/>
            </w:pPr>
            <w:r>
              <w:t>2616人</w:t>
            </w:r>
          </w:p>
        </w:tc>
        <w:tc>
          <w:tcPr>
            <w:tcW w:w="1276" w:type="dxa"/>
            <w:vAlign w:val="center"/>
          </w:tcPr>
          <w:p w14:paraId="38679D0B">
            <w:pPr>
              <w:pStyle w:val="12"/>
            </w:pPr>
            <w:r>
              <w:t>城乡义务教育“两免一补”资助实施细则</w:t>
            </w:r>
          </w:p>
        </w:tc>
      </w:tr>
      <w:tr w14:paraId="704D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475B5"/>
        </w:tc>
        <w:tc>
          <w:tcPr>
            <w:tcW w:w="2268" w:type="dxa"/>
            <w:vAlign w:val="center"/>
          </w:tcPr>
          <w:p w14:paraId="6680FA10">
            <w:pPr>
              <w:pStyle w:val="12"/>
            </w:pPr>
            <w:r>
              <w:t>质量指标</w:t>
            </w:r>
          </w:p>
        </w:tc>
        <w:tc>
          <w:tcPr>
            <w:tcW w:w="2835" w:type="dxa"/>
            <w:vAlign w:val="center"/>
          </w:tcPr>
          <w:p w14:paraId="606DC149">
            <w:pPr>
              <w:pStyle w:val="12"/>
            </w:pPr>
            <w:r>
              <w:t>义务教育资助制度落实情况</w:t>
            </w:r>
          </w:p>
        </w:tc>
        <w:tc>
          <w:tcPr>
            <w:tcW w:w="5386" w:type="dxa"/>
            <w:vAlign w:val="center"/>
          </w:tcPr>
          <w:p w14:paraId="05ABABC8">
            <w:pPr>
              <w:pStyle w:val="12"/>
            </w:pPr>
            <w:r>
              <w:t>符合享受资助条件的学生应助尽助</w:t>
            </w:r>
          </w:p>
        </w:tc>
        <w:tc>
          <w:tcPr>
            <w:tcW w:w="2268" w:type="dxa"/>
            <w:vAlign w:val="center"/>
          </w:tcPr>
          <w:p w14:paraId="3343FF81">
            <w:pPr>
              <w:pStyle w:val="12"/>
            </w:pPr>
            <w:r>
              <w:t>≥99%</w:t>
            </w:r>
          </w:p>
        </w:tc>
        <w:tc>
          <w:tcPr>
            <w:tcW w:w="1276" w:type="dxa"/>
            <w:vAlign w:val="center"/>
          </w:tcPr>
          <w:p w14:paraId="07781C80">
            <w:pPr>
              <w:pStyle w:val="12"/>
            </w:pPr>
            <w:r>
              <w:t>城乡义务教育“两免一补”资助实施细则</w:t>
            </w:r>
          </w:p>
        </w:tc>
      </w:tr>
      <w:tr w14:paraId="597A7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4592F"/>
        </w:tc>
        <w:tc>
          <w:tcPr>
            <w:tcW w:w="2268" w:type="dxa"/>
            <w:vAlign w:val="center"/>
          </w:tcPr>
          <w:p w14:paraId="4BB6649C">
            <w:pPr>
              <w:pStyle w:val="12"/>
            </w:pPr>
            <w:r>
              <w:t>时效指标</w:t>
            </w:r>
          </w:p>
        </w:tc>
        <w:tc>
          <w:tcPr>
            <w:tcW w:w="2835" w:type="dxa"/>
            <w:vAlign w:val="center"/>
          </w:tcPr>
          <w:p w14:paraId="3B282DB0">
            <w:pPr>
              <w:pStyle w:val="12"/>
            </w:pPr>
            <w:r>
              <w:t>资金拨付率</w:t>
            </w:r>
          </w:p>
        </w:tc>
        <w:tc>
          <w:tcPr>
            <w:tcW w:w="5386" w:type="dxa"/>
            <w:vAlign w:val="center"/>
          </w:tcPr>
          <w:p w14:paraId="38547D22">
            <w:pPr>
              <w:pStyle w:val="12"/>
            </w:pPr>
            <w:r>
              <w:t>所有项目资金支付进度</w:t>
            </w:r>
          </w:p>
        </w:tc>
        <w:tc>
          <w:tcPr>
            <w:tcW w:w="2268" w:type="dxa"/>
            <w:vAlign w:val="center"/>
          </w:tcPr>
          <w:p w14:paraId="13D1C56F">
            <w:pPr>
              <w:pStyle w:val="12"/>
            </w:pPr>
            <w:r>
              <w:t>≥99%</w:t>
            </w:r>
          </w:p>
        </w:tc>
        <w:tc>
          <w:tcPr>
            <w:tcW w:w="1276" w:type="dxa"/>
            <w:vAlign w:val="center"/>
          </w:tcPr>
          <w:p w14:paraId="20681AE3">
            <w:pPr>
              <w:pStyle w:val="12"/>
            </w:pPr>
            <w:r>
              <w:t>城乡义务教育“两免一补”资助实施细则</w:t>
            </w:r>
          </w:p>
        </w:tc>
      </w:tr>
      <w:tr w14:paraId="698B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09682"/>
        </w:tc>
        <w:tc>
          <w:tcPr>
            <w:tcW w:w="2268" w:type="dxa"/>
            <w:vAlign w:val="center"/>
          </w:tcPr>
          <w:p w14:paraId="3086D2EF">
            <w:pPr>
              <w:pStyle w:val="12"/>
            </w:pPr>
            <w:r>
              <w:t>成本指标</w:t>
            </w:r>
          </w:p>
        </w:tc>
        <w:tc>
          <w:tcPr>
            <w:tcW w:w="2835" w:type="dxa"/>
            <w:vAlign w:val="center"/>
          </w:tcPr>
          <w:p w14:paraId="18EEC875">
            <w:pPr>
              <w:pStyle w:val="12"/>
            </w:pPr>
            <w:r>
              <w:t>家庭经济困难寄宿及非</w:t>
            </w:r>
            <w:r>
              <w:rPr>
                <w:rFonts w:hint="eastAsia"/>
                <w:lang w:eastAsia="zh-CN"/>
              </w:rPr>
              <w:t>寄宿</w:t>
            </w:r>
            <w:r>
              <w:t>类学生补助标准</w:t>
            </w:r>
          </w:p>
        </w:tc>
        <w:tc>
          <w:tcPr>
            <w:tcW w:w="5386" w:type="dxa"/>
            <w:vAlign w:val="center"/>
          </w:tcPr>
          <w:p w14:paraId="1C10AF50">
            <w:pPr>
              <w:pStyle w:val="12"/>
            </w:pPr>
            <w:r>
              <w:t>小学寄宿标准：1250元/生/学年；小学非寄宿标准：625元/</w:t>
            </w:r>
            <w:r>
              <w:rPr>
                <w:rFonts w:hint="eastAsia"/>
                <w:lang w:eastAsia="zh-CN"/>
              </w:rPr>
              <w:t>生</w:t>
            </w:r>
            <w:r>
              <w:t>/年</w:t>
            </w:r>
          </w:p>
        </w:tc>
        <w:tc>
          <w:tcPr>
            <w:tcW w:w="2268" w:type="dxa"/>
            <w:vAlign w:val="center"/>
          </w:tcPr>
          <w:p w14:paraId="1E3B88B1">
            <w:pPr>
              <w:pStyle w:val="12"/>
            </w:pPr>
            <w:r>
              <w:t>1700000元</w:t>
            </w:r>
          </w:p>
        </w:tc>
        <w:tc>
          <w:tcPr>
            <w:tcW w:w="1276" w:type="dxa"/>
            <w:vAlign w:val="center"/>
          </w:tcPr>
          <w:p w14:paraId="5C66674C">
            <w:pPr>
              <w:pStyle w:val="12"/>
            </w:pPr>
            <w:r>
              <w:t>城乡义务教育“两免一补”资助实施细则</w:t>
            </w:r>
          </w:p>
        </w:tc>
      </w:tr>
      <w:tr w14:paraId="05BCF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507C9">
            <w:pPr>
              <w:pStyle w:val="13"/>
            </w:pPr>
            <w:r>
              <w:t>效益指标</w:t>
            </w:r>
          </w:p>
        </w:tc>
        <w:tc>
          <w:tcPr>
            <w:tcW w:w="2268" w:type="dxa"/>
            <w:vAlign w:val="center"/>
          </w:tcPr>
          <w:p w14:paraId="48B7E572">
            <w:pPr>
              <w:pStyle w:val="12"/>
            </w:pPr>
            <w:r>
              <w:t>可持续影响指标</w:t>
            </w:r>
          </w:p>
        </w:tc>
        <w:tc>
          <w:tcPr>
            <w:tcW w:w="2835" w:type="dxa"/>
            <w:vAlign w:val="center"/>
          </w:tcPr>
          <w:p w14:paraId="4F95CC77">
            <w:pPr>
              <w:pStyle w:val="12"/>
            </w:pPr>
            <w:r>
              <w:t>项目实施成果</w:t>
            </w:r>
          </w:p>
        </w:tc>
        <w:tc>
          <w:tcPr>
            <w:tcW w:w="5386" w:type="dxa"/>
            <w:vAlign w:val="center"/>
          </w:tcPr>
          <w:p w14:paraId="01C3B932">
            <w:pPr>
              <w:pStyle w:val="12"/>
            </w:pPr>
            <w:r>
              <w:t>家庭经济困难补助实施年限</w:t>
            </w:r>
          </w:p>
        </w:tc>
        <w:tc>
          <w:tcPr>
            <w:tcW w:w="2268" w:type="dxa"/>
            <w:vAlign w:val="center"/>
          </w:tcPr>
          <w:p w14:paraId="365205FA">
            <w:pPr>
              <w:pStyle w:val="12"/>
            </w:pPr>
            <w:r>
              <w:t>6年</w:t>
            </w:r>
          </w:p>
        </w:tc>
        <w:tc>
          <w:tcPr>
            <w:tcW w:w="1276" w:type="dxa"/>
            <w:vAlign w:val="center"/>
          </w:tcPr>
          <w:p w14:paraId="5F253A55">
            <w:pPr>
              <w:pStyle w:val="12"/>
            </w:pPr>
            <w:r>
              <w:t>城乡义务教育“两免一补”资助实施细则</w:t>
            </w:r>
          </w:p>
        </w:tc>
      </w:tr>
      <w:tr w14:paraId="3376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66B32">
            <w:pPr>
              <w:pStyle w:val="13"/>
            </w:pPr>
            <w:r>
              <w:t>满意度指标</w:t>
            </w:r>
          </w:p>
        </w:tc>
        <w:tc>
          <w:tcPr>
            <w:tcW w:w="2268" w:type="dxa"/>
            <w:vAlign w:val="center"/>
          </w:tcPr>
          <w:p w14:paraId="338C7DAB">
            <w:pPr>
              <w:pStyle w:val="12"/>
            </w:pPr>
            <w:r>
              <w:t>服务对象满意度指标</w:t>
            </w:r>
          </w:p>
        </w:tc>
        <w:tc>
          <w:tcPr>
            <w:tcW w:w="2835" w:type="dxa"/>
            <w:vAlign w:val="center"/>
          </w:tcPr>
          <w:p w14:paraId="187154C3">
            <w:pPr>
              <w:pStyle w:val="12"/>
            </w:pPr>
            <w:r>
              <w:t>受益学生家长及调查满意度</w:t>
            </w:r>
          </w:p>
        </w:tc>
        <w:tc>
          <w:tcPr>
            <w:tcW w:w="5386" w:type="dxa"/>
            <w:vAlign w:val="center"/>
          </w:tcPr>
          <w:p w14:paraId="436E8A8C">
            <w:pPr>
              <w:pStyle w:val="12"/>
            </w:pPr>
            <w:r>
              <w:t>学生、教师及家长对学校保教保育工作满意度情况</w:t>
            </w:r>
          </w:p>
        </w:tc>
        <w:tc>
          <w:tcPr>
            <w:tcW w:w="2268" w:type="dxa"/>
            <w:vAlign w:val="center"/>
          </w:tcPr>
          <w:p w14:paraId="4D296BE2">
            <w:pPr>
              <w:pStyle w:val="12"/>
            </w:pPr>
            <w:r>
              <w:t>≥95%</w:t>
            </w:r>
          </w:p>
        </w:tc>
        <w:tc>
          <w:tcPr>
            <w:tcW w:w="1276" w:type="dxa"/>
            <w:vAlign w:val="center"/>
          </w:tcPr>
          <w:p w14:paraId="252C46F6">
            <w:pPr>
              <w:pStyle w:val="12"/>
            </w:pPr>
            <w:r>
              <w:t>调查问卷</w:t>
            </w:r>
          </w:p>
        </w:tc>
      </w:tr>
    </w:tbl>
    <w:p w14:paraId="711DDAF3">
      <w:pPr>
        <w:sectPr>
          <w:pgSz w:w="16840" w:h="11900" w:orient="landscape"/>
          <w:pgMar w:top="1361" w:right="1020" w:bottom="1134" w:left="1020" w:header="720" w:footer="720" w:gutter="0"/>
          <w:cols w:space="720" w:num="1"/>
        </w:sectPr>
      </w:pPr>
    </w:p>
    <w:p w14:paraId="5357FC29">
      <w:pPr>
        <w:spacing w:before="0" w:after="0"/>
        <w:ind w:firstLine="560"/>
        <w:jc w:val="left"/>
        <w:outlineLvl w:val="9"/>
      </w:pPr>
      <w:r>
        <w:rPr>
          <w:rFonts w:ascii="方正仿宋_GBK" w:hAnsi="方正仿宋_GBK" w:eastAsia="方正仿宋_GBK" w:cs="方正仿宋_GBK"/>
          <w:b/>
          <w:color w:val="000000"/>
          <w:sz w:val="28"/>
        </w:rPr>
        <w:t>11、冀财教[2025]138号/省级/2026年教师队伍建设/原民办代课教师教龄补助绩效目标表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B0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3EF25">
            <w:pPr>
              <w:pStyle w:val="11"/>
            </w:pPr>
            <w:r>
              <w:t>单位：万元</w:t>
            </w:r>
          </w:p>
        </w:tc>
      </w:tr>
      <w:tr w14:paraId="02B31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860D3">
            <w:pPr>
              <w:pStyle w:val="10"/>
            </w:pPr>
            <w:r>
              <w:t>项目编码</w:t>
            </w:r>
          </w:p>
        </w:tc>
        <w:tc>
          <w:tcPr>
            <w:tcW w:w="5103" w:type="dxa"/>
            <w:gridSpan w:val="2"/>
            <w:vAlign w:val="center"/>
          </w:tcPr>
          <w:p w14:paraId="4363365F">
            <w:pPr>
              <w:pStyle w:val="12"/>
            </w:pPr>
            <w:r>
              <w:t>13052526P00001510004R</w:t>
            </w:r>
          </w:p>
        </w:tc>
        <w:tc>
          <w:tcPr>
            <w:tcW w:w="2835" w:type="dxa"/>
            <w:vAlign w:val="center"/>
          </w:tcPr>
          <w:p w14:paraId="6743CD30">
            <w:pPr>
              <w:pStyle w:val="10"/>
            </w:pPr>
            <w:r>
              <w:t>项目名称</w:t>
            </w:r>
          </w:p>
        </w:tc>
        <w:tc>
          <w:tcPr>
            <w:tcW w:w="6095" w:type="dxa"/>
            <w:gridSpan w:val="3"/>
            <w:vAlign w:val="center"/>
          </w:tcPr>
          <w:p w14:paraId="220B79CB">
            <w:pPr>
              <w:pStyle w:val="12"/>
            </w:pPr>
            <w:r>
              <w:t>冀财教[2025]138号/省级/2026年教师队伍建设/原民办代课教师教龄补助</w:t>
            </w:r>
          </w:p>
        </w:tc>
      </w:tr>
      <w:tr w14:paraId="04934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04E7D">
            <w:pPr>
              <w:pStyle w:val="10"/>
            </w:pPr>
            <w:r>
              <w:t>预算规模及资金用途</w:t>
            </w:r>
          </w:p>
        </w:tc>
        <w:tc>
          <w:tcPr>
            <w:tcW w:w="2268" w:type="dxa"/>
            <w:vAlign w:val="center"/>
          </w:tcPr>
          <w:p w14:paraId="750C0D84">
            <w:pPr>
              <w:pStyle w:val="10"/>
            </w:pPr>
            <w:r>
              <w:t>预算数</w:t>
            </w:r>
          </w:p>
        </w:tc>
        <w:tc>
          <w:tcPr>
            <w:tcW w:w="2835" w:type="dxa"/>
            <w:vAlign w:val="center"/>
          </w:tcPr>
          <w:p w14:paraId="13B10CC0">
            <w:pPr>
              <w:pStyle w:val="12"/>
            </w:pPr>
            <w:r>
              <w:t>170.00</w:t>
            </w:r>
          </w:p>
        </w:tc>
        <w:tc>
          <w:tcPr>
            <w:tcW w:w="2835" w:type="dxa"/>
            <w:vAlign w:val="center"/>
          </w:tcPr>
          <w:p w14:paraId="144DE86F">
            <w:pPr>
              <w:pStyle w:val="10"/>
            </w:pPr>
            <w:r>
              <w:t>其中：财政    资金</w:t>
            </w:r>
          </w:p>
        </w:tc>
        <w:tc>
          <w:tcPr>
            <w:tcW w:w="2551" w:type="dxa"/>
            <w:vAlign w:val="center"/>
          </w:tcPr>
          <w:p w14:paraId="45A7A1D2">
            <w:pPr>
              <w:pStyle w:val="12"/>
            </w:pPr>
            <w:r>
              <w:t>170.00</w:t>
            </w:r>
          </w:p>
        </w:tc>
        <w:tc>
          <w:tcPr>
            <w:tcW w:w="2268" w:type="dxa"/>
            <w:vAlign w:val="center"/>
          </w:tcPr>
          <w:p w14:paraId="393B0B92">
            <w:pPr>
              <w:pStyle w:val="10"/>
            </w:pPr>
            <w:r>
              <w:t>其他资金</w:t>
            </w:r>
          </w:p>
        </w:tc>
        <w:tc>
          <w:tcPr>
            <w:tcW w:w="1276" w:type="dxa"/>
            <w:vAlign w:val="center"/>
          </w:tcPr>
          <w:p w14:paraId="4CA73291">
            <w:pPr>
              <w:pStyle w:val="12"/>
            </w:pPr>
            <w:r>
              <w:t xml:space="preserve"> </w:t>
            </w:r>
          </w:p>
        </w:tc>
      </w:tr>
      <w:tr w14:paraId="0830C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9E16C"/>
        </w:tc>
        <w:tc>
          <w:tcPr>
            <w:tcW w:w="14033" w:type="dxa"/>
            <w:gridSpan w:val="6"/>
            <w:vAlign w:val="center"/>
          </w:tcPr>
          <w:p w14:paraId="1593FE48">
            <w:pPr>
              <w:pStyle w:val="12"/>
            </w:pPr>
            <w:r>
              <w:t>用于</w:t>
            </w:r>
            <w:r>
              <w:rPr>
                <w:rFonts w:hint="eastAsia"/>
                <w:lang w:eastAsia="zh-CN"/>
              </w:rPr>
              <w:t>达到</w:t>
            </w:r>
            <w:r>
              <w:t>退休年龄老民办教师的教龄补助发放</w:t>
            </w:r>
            <w:r>
              <w:tab/>
            </w:r>
            <w:r>
              <w:tab/>
            </w:r>
            <w:r>
              <w:tab/>
            </w:r>
            <w:r>
              <w:tab/>
            </w:r>
            <w:r>
              <w:tab/>
            </w:r>
            <w:r>
              <w:tab/>
            </w:r>
          </w:p>
          <w:p w14:paraId="1B807DDE">
            <w:pPr>
              <w:pStyle w:val="12"/>
            </w:pPr>
          </w:p>
        </w:tc>
      </w:tr>
      <w:tr w14:paraId="71415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316D7">
            <w:pPr>
              <w:pStyle w:val="10"/>
            </w:pPr>
            <w:r>
              <w:t>资金支出计划（%）</w:t>
            </w:r>
          </w:p>
        </w:tc>
        <w:tc>
          <w:tcPr>
            <w:tcW w:w="5103" w:type="dxa"/>
            <w:gridSpan w:val="2"/>
            <w:vAlign w:val="center"/>
          </w:tcPr>
          <w:p w14:paraId="16BA220F">
            <w:pPr>
              <w:pStyle w:val="10"/>
            </w:pPr>
            <w:r>
              <w:t>3月底</w:t>
            </w:r>
          </w:p>
        </w:tc>
        <w:tc>
          <w:tcPr>
            <w:tcW w:w="2835" w:type="dxa"/>
            <w:vAlign w:val="center"/>
          </w:tcPr>
          <w:p w14:paraId="68232514">
            <w:pPr>
              <w:pStyle w:val="10"/>
            </w:pPr>
            <w:r>
              <w:t>6月底</w:t>
            </w:r>
          </w:p>
        </w:tc>
        <w:tc>
          <w:tcPr>
            <w:tcW w:w="2551" w:type="dxa"/>
            <w:vAlign w:val="center"/>
          </w:tcPr>
          <w:p w14:paraId="7AFD5FA5">
            <w:pPr>
              <w:pStyle w:val="10"/>
            </w:pPr>
            <w:r>
              <w:t>10月底</w:t>
            </w:r>
          </w:p>
        </w:tc>
        <w:tc>
          <w:tcPr>
            <w:tcW w:w="3544" w:type="dxa"/>
            <w:gridSpan w:val="2"/>
            <w:vAlign w:val="center"/>
          </w:tcPr>
          <w:p w14:paraId="2A132529">
            <w:pPr>
              <w:pStyle w:val="10"/>
            </w:pPr>
            <w:r>
              <w:t>12月底</w:t>
            </w:r>
          </w:p>
        </w:tc>
      </w:tr>
      <w:tr w14:paraId="24D74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10978"/>
        </w:tc>
        <w:tc>
          <w:tcPr>
            <w:tcW w:w="5103" w:type="dxa"/>
            <w:gridSpan w:val="2"/>
            <w:vAlign w:val="center"/>
          </w:tcPr>
          <w:p w14:paraId="458BD831">
            <w:pPr>
              <w:pStyle w:val="13"/>
            </w:pPr>
            <w:r>
              <w:t>25%</w:t>
            </w:r>
          </w:p>
        </w:tc>
        <w:tc>
          <w:tcPr>
            <w:tcW w:w="2835" w:type="dxa"/>
            <w:vAlign w:val="center"/>
          </w:tcPr>
          <w:p w14:paraId="62A23534">
            <w:pPr>
              <w:pStyle w:val="13"/>
            </w:pPr>
            <w:r>
              <w:t>50%</w:t>
            </w:r>
          </w:p>
        </w:tc>
        <w:tc>
          <w:tcPr>
            <w:tcW w:w="2551" w:type="dxa"/>
            <w:vAlign w:val="center"/>
          </w:tcPr>
          <w:p w14:paraId="55FF8D2E">
            <w:pPr>
              <w:pStyle w:val="13"/>
            </w:pPr>
            <w:r>
              <w:t>75%</w:t>
            </w:r>
          </w:p>
        </w:tc>
        <w:tc>
          <w:tcPr>
            <w:tcW w:w="3544" w:type="dxa"/>
            <w:gridSpan w:val="2"/>
            <w:vAlign w:val="center"/>
          </w:tcPr>
          <w:p w14:paraId="67429C9B">
            <w:pPr>
              <w:pStyle w:val="13"/>
            </w:pPr>
            <w:r>
              <w:t>100%</w:t>
            </w:r>
          </w:p>
        </w:tc>
      </w:tr>
      <w:tr w14:paraId="7721121F">
        <w:tblPrEx>
          <w:tblCellMar>
            <w:top w:w="0" w:type="dxa"/>
            <w:left w:w="108" w:type="dxa"/>
            <w:bottom w:w="0" w:type="dxa"/>
            <w:right w:w="108" w:type="dxa"/>
          </w:tblCellMar>
        </w:tblPrEx>
        <w:trPr>
          <w:trHeight w:val="369" w:hRule="atLeast"/>
          <w:jc w:val="center"/>
        </w:trPr>
        <w:tc>
          <w:tcPr>
            <w:tcW w:w="1276" w:type="dxa"/>
            <w:vAlign w:val="center"/>
          </w:tcPr>
          <w:p w14:paraId="37B5BD95">
            <w:pPr>
              <w:pStyle w:val="10"/>
            </w:pPr>
            <w:r>
              <w:t>绩效目标</w:t>
            </w:r>
          </w:p>
        </w:tc>
        <w:tc>
          <w:tcPr>
            <w:tcW w:w="14033" w:type="dxa"/>
            <w:gridSpan w:val="6"/>
            <w:vAlign w:val="center"/>
          </w:tcPr>
          <w:p w14:paraId="00E55304">
            <w:pPr>
              <w:pStyle w:val="12"/>
            </w:pPr>
            <w:r>
              <w:t>1.用于</w:t>
            </w:r>
            <w:r>
              <w:rPr>
                <w:rFonts w:hint="eastAsia"/>
                <w:lang w:eastAsia="zh-CN"/>
              </w:rPr>
              <w:t>达到</w:t>
            </w:r>
            <w:r>
              <w:t>退休年龄老民办教师的教龄补助发放</w:t>
            </w:r>
          </w:p>
          <w:p w14:paraId="73DB079D">
            <w:pPr>
              <w:pStyle w:val="12"/>
            </w:pPr>
            <w:r>
              <w:t>2.资金按月发放，确保农村原民办代课教师教龄补助发放工作顺利实施</w:t>
            </w:r>
          </w:p>
        </w:tc>
      </w:tr>
    </w:tbl>
    <w:p w14:paraId="32C8B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F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3268D">
            <w:pPr>
              <w:pStyle w:val="10"/>
            </w:pPr>
            <w:r>
              <w:t>一级指标</w:t>
            </w:r>
          </w:p>
        </w:tc>
        <w:tc>
          <w:tcPr>
            <w:tcW w:w="2268" w:type="dxa"/>
            <w:vAlign w:val="center"/>
          </w:tcPr>
          <w:p w14:paraId="2A3B50A0">
            <w:pPr>
              <w:pStyle w:val="10"/>
            </w:pPr>
            <w:r>
              <w:t>二级指标</w:t>
            </w:r>
          </w:p>
        </w:tc>
        <w:tc>
          <w:tcPr>
            <w:tcW w:w="2835" w:type="dxa"/>
            <w:vAlign w:val="center"/>
          </w:tcPr>
          <w:p w14:paraId="6DEA2DC7">
            <w:pPr>
              <w:pStyle w:val="10"/>
            </w:pPr>
            <w:r>
              <w:t>三级指标</w:t>
            </w:r>
          </w:p>
        </w:tc>
        <w:tc>
          <w:tcPr>
            <w:tcW w:w="5386" w:type="dxa"/>
            <w:vAlign w:val="center"/>
          </w:tcPr>
          <w:p w14:paraId="366DEEF8">
            <w:pPr>
              <w:pStyle w:val="10"/>
            </w:pPr>
            <w:r>
              <w:t>绩效指标描述</w:t>
            </w:r>
          </w:p>
        </w:tc>
        <w:tc>
          <w:tcPr>
            <w:tcW w:w="2268" w:type="dxa"/>
            <w:vAlign w:val="center"/>
          </w:tcPr>
          <w:p w14:paraId="450894D9">
            <w:pPr>
              <w:pStyle w:val="10"/>
            </w:pPr>
            <w:r>
              <w:t>指标值</w:t>
            </w:r>
          </w:p>
        </w:tc>
        <w:tc>
          <w:tcPr>
            <w:tcW w:w="1276" w:type="dxa"/>
            <w:vAlign w:val="center"/>
          </w:tcPr>
          <w:p w14:paraId="3BE39EF2">
            <w:pPr>
              <w:pStyle w:val="10"/>
            </w:pPr>
            <w:r>
              <w:t>指标值确定依据</w:t>
            </w:r>
          </w:p>
        </w:tc>
      </w:tr>
      <w:tr w14:paraId="63D5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3C518">
            <w:pPr>
              <w:pStyle w:val="13"/>
            </w:pPr>
            <w:r>
              <w:t>产出指标</w:t>
            </w:r>
          </w:p>
        </w:tc>
        <w:tc>
          <w:tcPr>
            <w:tcW w:w="2268" w:type="dxa"/>
            <w:vAlign w:val="center"/>
          </w:tcPr>
          <w:p w14:paraId="11FEA14E">
            <w:pPr>
              <w:pStyle w:val="12"/>
            </w:pPr>
            <w:r>
              <w:t>数量指标</w:t>
            </w:r>
          </w:p>
        </w:tc>
        <w:tc>
          <w:tcPr>
            <w:tcW w:w="2835" w:type="dxa"/>
            <w:vAlign w:val="center"/>
          </w:tcPr>
          <w:p w14:paraId="40CBC22F">
            <w:pPr>
              <w:pStyle w:val="12"/>
            </w:pPr>
            <w:r>
              <w:t>代课教师教龄补助</w:t>
            </w:r>
          </w:p>
        </w:tc>
        <w:tc>
          <w:tcPr>
            <w:tcW w:w="5386" w:type="dxa"/>
            <w:vAlign w:val="center"/>
          </w:tcPr>
          <w:p w14:paraId="10845C58">
            <w:pPr>
              <w:pStyle w:val="12"/>
            </w:pPr>
            <w:r>
              <w:t>到达退休年龄的，按照相关要求已在人事部门登记备案的原民办教师人数</w:t>
            </w:r>
          </w:p>
        </w:tc>
        <w:tc>
          <w:tcPr>
            <w:tcW w:w="2268" w:type="dxa"/>
            <w:vAlign w:val="center"/>
          </w:tcPr>
          <w:p w14:paraId="65D9FE99">
            <w:pPr>
              <w:pStyle w:val="12"/>
            </w:pPr>
            <w:r>
              <w:t>1732人</w:t>
            </w:r>
          </w:p>
        </w:tc>
        <w:tc>
          <w:tcPr>
            <w:tcW w:w="1276" w:type="dxa"/>
            <w:vAlign w:val="center"/>
          </w:tcPr>
          <w:p w14:paraId="19BF1D91">
            <w:pPr>
              <w:pStyle w:val="12"/>
            </w:pPr>
            <w:r>
              <w:t>隆尧县农村原民办代课教师身份和教龄认定工作实施细则文件精神</w:t>
            </w:r>
          </w:p>
        </w:tc>
      </w:tr>
      <w:tr w14:paraId="1331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F66D3"/>
        </w:tc>
        <w:tc>
          <w:tcPr>
            <w:tcW w:w="2268" w:type="dxa"/>
            <w:vAlign w:val="center"/>
          </w:tcPr>
          <w:p w14:paraId="53A73FB2">
            <w:pPr>
              <w:pStyle w:val="12"/>
            </w:pPr>
            <w:r>
              <w:t>质量指标</w:t>
            </w:r>
          </w:p>
        </w:tc>
        <w:tc>
          <w:tcPr>
            <w:tcW w:w="2835" w:type="dxa"/>
            <w:vAlign w:val="center"/>
          </w:tcPr>
          <w:p w14:paraId="41D4C8D6">
            <w:pPr>
              <w:pStyle w:val="12"/>
            </w:pPr>
            <w:r>
              <w:t>补助率</w:t>
            </w:r>
          </w:p>
        </w:tc>
        <w:tc>
          <w:tcPr>
            <w:tcW w:w="5386" w:type="dxa"/>
            <w:vAlign w:val="center"/>
          </w:tcPr>
          <w:p w14:paraId="18CC715C">
            <w:pPr>
              <w:pStyle w:val="12"/>
            </w:pPr>
            <w:r>
              <w:t>民办代课教师教龄补助率</w:t>
            </w:r>
          </w:p>
        </w:tc>
        <w:tc>
          <w:tcPr>
            <w:tcW w:w="2268" w:type="dxa"/>
            <w:vAlign w:val="center"/>
          </w:tcPr>
          <w:p w14:paraId="5994DA89">
            <w:pPr>
              <w:pStyle w:val="12"/>
            </w:pPr>
            <w:r>
              <w:t>≥99%</w:t>
            </w:r>
          </w:p>
        </w:tc>
        <w:tc>
          <w:tcPr>
            <w:tcW w:w="1276" w:type="dxa"/>
            <w:vAlign w:val="center"/>
          </w:tcPr>
          <w:p w14:paraId="35407A16">
            <w:pPr>
              <w:pStyle w:val="12"/>
            </w:pPr>
            <w:r>
              <w:t>工作计划</w:t>
            </w:r>
          </w:p>
        </w:tc>
      </w:tr>
      <w:tr w14:paraId="1F89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874AF"/>
        </w:tc>
        <w:tc>
          <w:tcPr>
            <w:tcW w:w="2268" w:type="dxa"/>
            <w:vAlign w:val="center"/>
          </w:tcPr>
          <w:p w14:paraId="64C39EEE">
            <w:pPr>
              <w:pStyle w:val="12"/>
            </w:pPr>
            <w:r>
              <w:t>时效指标</w:t>
            </w:r>
          </w:p>
        </w:tc>
        <w:tc>
          <w:tcPr>
            <w:tcW w:w="2835" w:type="dxa"/>
            <w:vAlign w:val="center"/>
          </w:tcPr>
          <w:p w14:paraId="49D8F726">
            <w:pPr>
              <w:pStyle w:val="12"/>
            </w:pPr>
            <w:r>
              <w:t>资金支付率</w:t>
            </w:r>
          </w:p>
        </w:tc>
        <w:tc>
          <w:tcPr>
            <w:tcW w:w="5386" w:type="dxa"/>
            <w:vAlign w:val="center"/>
          </w:tcPr>
          <w:p w14:paraId="69D2902F">
            <w:pPr>
              <w:pStyle w:val="12"/>
            </w:pPr>
            <w:r>
              <w:t>按照序时进度完成资金支付</w:t>
            </w:r>
          </w:p>
        </w:tc>
        <w:tc>
          <w:tcPr>
            <w:tcW w:w="2268" w:type="dxa"/>
            <w:vAlign w:val="center"/>
          </w:tcPr>
          <w:p w14:paraId="126DBED9">
            <w:pPr>
              <w:pStyle w:val="12"/>
            </w:pPr>
            <w:r>
              <w:t>≥99%</w:t>
            </w:r>
          </w:p>
        </w:tc>
        <w:tc>
          <w:tcPr>
            <w:tcW w:w="1276" w:type="dxa"/>
            <w:vAlign w:val="center"/>
          </w:tcPr>
          <w:p w14:paraId="663A9307">
            <w:pPr>
              <w:pStyle w:val="12"/>
            </w:pPr>
            <w:r>
              <w:t>工作计划</w:t>
            </w:r>
          </w:p>
        </w:tc>
      </w:tr>
      <w:tr w14:paraId="742F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DC7F1"/>
        </w:tc>
        <w:tc>
          <w:tcPr>
            <w:tcW w:w="2268" w:type="dxa"/>
            <w:vAlign w:val="center"/>
          </w:tcPr>
          <w:p w14:paraId="60167948">
            <w:pPr>
              <w:pStyle w:val="12"/>
            </w:pPr>
            <w:r>
              <w:t>成本指标</w:t>
            </w:r>
          </w:p>
        </w:tc>
        <w:tc>
          <w:tcPr>
            <w:tcW w:w="2835" w:type="dxa"/>
            <w:vAlign w:val="center"/>
          </w:tcPr>
          <w:p w14:paraId="65484F54">
            <w:pPr>
              <w:pStyle w:val="12"/>
            </w:pPr>
            <w:r>
              <w:t>发放标准</w:t>
            </w:r>
          </w:p>
        </w:tc>
        <w:tc>
          <w:tcPr>
            <w:tcW w:w="5386" w:type="dxa"/>
            <w:vAlign w:val="center"/>
          </w:tcPr>
          <w:p w14:paraId="040FA1BA">
            <w:pPr>
              <w:pStyle w:val="12"/>
            </w:pPr>
            <w:r>
              <w:t>教龄补助标准任教年限不满一年的按一年计算。根据经济社会发展情况，适时调整教龄补贴标准。</w:t>
            </w:r>
          </w:p>
        </w:tc>
        <w:tc>
          <w:tcPr>
            <w:tcW w:w="2268" w:type="dxa"/>
            <w:vAlign w:val="center"/>
          </w:tcPr>
          <w:p w14:paraId="48CDC86F">
            <w:pPr>
              <w:pStyle w:val="12"/>
            </w:pPr>
            <w:r>
              <w:t>26元</w:t>
            </w:r>
          </w:p>
        </w:tc>
        <w:tc>
          <w:tcPr>
            <w:tcW w:w="1276" w:type="dxa"/>
            <w:vAlign w:val="center"/>
          </w:tcPr>
          <w:p w14:paraId="76E94F47">
            <w:pPr>
              <w:pStyle w:val="12"/>
            </w:pPr>
            <w:r>
              <w:t>年度预算安排</w:t>
            </w:r>
          </w:p>
        </w:tc>
      </w:tr>
      <w:tr w14:paraId="7DE6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78908">
            <w:pPr>
              <w:pStyle w:val="13"/>
            </w:pPr>
            <w:r>
              <w:t>效益指标</w:t>
            </w:r>
          </w:p>
        </w:tc>
        <w:tc>
          <w:tcPr>
            <w:tcW w:w="2268" w:type="dxa"/>
            <w:vAlign w:val="center"/>
          </w:tcPr>
          <w:p w14:paraId="73165026">
            <w:pPr>
              <w:pStyle w:val="12"/>
            </w:pPr>
            <w:r>
              <w:t>可持续影响指标</w:t>
            </w:r>
          </w:p>
        </w:tc>
        <w:tc>
          <w:tcPr>
            <w:tcW w:w="2835" w:type="dxa"/>
            <w:vAlign w:val="center"/>
          </w:tcPr>
          <w:p w14:paraId="616B4190">
            <w:pPr>
              <w:pStyle w:val="12"/>
            </w:pPr>
            <w:r>
              <w:t>政策知晓率</w:t>
            </w:r>
          </w:p>
        </w:tc>
        <w:tc>
          <w:tcPr>
            <w:tcW w:w="5386" w:type="dxa"/>
            <w:vAlign w:val="center"/>
          </w:tcPr>
          <w:p w14:paraId="6A38AC6F">
            <w:pPr>
              <w:pStyle w:val="12"/>
            </w:pPr>
            <w:r>
              <w:t>政策知晓率</w:t>
            </w:r>
          </w:p>
        </w:tc>
        <w:tc>
          <w:tcPr>
            <w:tcW w:w="2268" w:type="dxa"/>
            <w:vAlign w:val="center"/>
          </w:tcPr>
          <w:p w14:paraId="6DC073D3">
            <w:pPr>
              <w:pStyle w:val="12"/>
            </w:pPr>
            <w:r>
              <w:t>≥98%</w:t>
            </w:r>
          </w:p>
        </w:tc>
        <w:tc>
          <w:tcPr>
            <w:tcW w:w="1276" w:type="dxa"/>
            <w:vAlign w:val="center"/>
          </w:tcPr>
          <w:p w14:paraId="110AD2A8">
            <w:pPr>
              <w:pStyle w:val="12"/>
            </w:pPr>
            <w:r>
              <w:t>调查结果</w:t>
            </w:r>
          </w:p>
        </w:tc>
      </w:tr>
      <w:tr w14:paraId="20F8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BC749">
            <w:pPr>
              <w:pStyle w:val="13"/>
            </w:pPr>
            <w:r>
              <w:t>满意度指标</w:t>
            </w:r>
          </w:p>
        </w:tc>
        <w:tc>
          <w:tcPr>
            <w:tcW w:w="2268" w:type="dxa"/>
            <w:vAlign w:val="center"/>
          </w:tcPr>
          <w:p w14:paraId="531A7BB4">
            <w:pPr>
              <w:pStyle w:val="12"/>
            </w:pPr>
            <w:r>
              <w:t>服务对象满意度指标</w:t>
            </w:r>
          </w:p>
        </w:tc>
        <w:tc>
          <w:tcPr>
            <w:tcW w:w="2835" w:type="dxa"/>
            <w:vAlign w:val="center"/>
          </w:tcPr>
          <w:p w14:paraId="59A066FE">
            <w:pPr>
              <w:pStyle w:val="12"/>
            </w:pPr>
            <w:r>
              <w:t>享受补助老民办教师满意度</w:t>
            </w:r>
          </w:p>
        </w:tc>
        <w:tc>
          <w:tcPr>
            <w:tcW w:w="5386" w:type="dxa"/>
            <w:vAlign w:val="center"/>
          </w:tcPr>
          <w:p w14:paraId="69905448">
            <w:pPr>
              <w:pStyle w:val="12"/>
            </w:pPr>
            <w:r>
              <w:t>享受补助老</w:t>
            </w:r>
            <w:r>
              <w:rPr>
                <w:rFonts w:hint="eastAsia"/>
                <w:lang w:eastAsia="zh-CN"/>
              </w:rPr>
              <w:t>民办教师</w:t>
            </w:r>
            <w:r>
              <w:t>对资金发放情况满意度</w:t>
            </w:r>
          </w:p>
        </w:tc>
        <w:tc>
          <w:tcPr>
            <w:tcW w:w="2268" w:type="dxa"/>
            <w:vAlign w:val="center"/>
          </w:tcPr>
          <w:p w14:paraId="6933C39E">
            <w:pPr>
              <w:pStyle w:val="12"/>
            </w:pPr>
            <w:r>
              <w:t>≥95%</w:t>
            </w:r>
          </w:p>
        </w:tc>
        <w:tc>
          <w:tcPr>
            <w:tcW w:w="1276" w:type="dxa"/>
            <w:vAlign w:val="center"/>
          </w:tcPr>
          <w:p w14:paraId="018E0384">
            <w:pPr>
              <w:pStyle w:val="12"/>
            </w:pPr>
            <w:r>
              <w:t>调查结果</w:t>
            </w:r>
          </w:p>
        </w:tc>
      </w:tr>
    </w:tbl>
    <w:p w14:paraId="4B9E1571">
      <w:pPr>
        <w:sectPr>
          <w:pgSz w:w="16840" w:h="11900" w:orient="landscape"/>
          <w:pgMar w:top="1361" w:right="1020" w:bottom="1134" w:left="1020" w:header="720" w:footer="720" w:gutter="0"/>
          <w:cols w:space="720" w:num="1"/>
        </w:sectPr>
      </w:pPr>
    </w:p>
    <w:p w14:paraId="56F3BD3C">
      <w:pPr>
        <w:spacing w:before="0" w:after="0"/>
        <w:ind w:firstLine="560"/>
        <w:jc w:val="left"/>
        <w:outlineLvl w:val="9"/>
      </w:pPr>
      <w:r>
        <w:rPr>
          <w:rFonts w:ascii="方正仿宋_GBK" w:hAnsi="方正仿宋_GBK" w:eastAsia="方正仿宋_GBK" w:cs="方正仿宋_GBK"/>
          <w:b/>
          <w:color w:val="000000"/>
          <w:sz w:val="28"/>
        </w:rPr>
        <w:t>12、冀财教[2025]141号/省级/2026年大学新生救助资金绩效目标表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F3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DC6DB">
            <w:pPr>
              <w:pStyle w:val="11"/>
            </w:pPr>
            <w:r>
              <w:t>单位：万元</w:t>
            </w:r>
          </w:p>
        </w:tc>
      </w:tr>
      <w:tr w14:paraId="2F73C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AE117">
            <w:pPr>
              <w:pStyle w:val="10"/>
            </w:pPr>
            <w:r>
              <w:t>项目编码</w:t>
            </w:r>
          </w:p>
        </w:tc>
        <w:tc>
          <w:tcPr>
            <w:tcW w:w="5103" w:type="dxa"/>
            <w:gridSpan w:val="2"/>
            <w:vAlign w:val="center"/>
          </w:tcPr>
          <w:p w14:paraId="790BBD11">
            <w:pPr>
              <w:pStyle w:val="12"/>
            </w:pPr>
            <w:r>
              <w:t>13052526P00000210036C</w:t>
            </w:r>
          </w:p>
        </w:tc>
        <w:tc>
          <w:tcPr>
            <w:tcW w:w="2835" w:type="dxa"/>
            <w:vAlign w:val="center"/>
          </w:tcPr>
          <w:p w14:paraId="7C0A13FC">
            <w:pPr>
              <w:pStyle w:val="10"/>
            </w:pPr>
            <w:r>
              <w:t>项目名称</w:t>
            </w:r>
          </w:p>
        </w:tc>
        <w:tc>
          <w:tcPr>
            <w:tcW w:w="6095" w:type="dxa"/>
            <w:gridSpan w:val="3"/>
            <w:vAlign w:val="center"/>
          </w:tcPr>
          <w:p w14:paraId="2212AFB1">
            <w:pPr>
              <w:pStyle w:val="12"/>
            </w:pPr>
            <w:r>
              <w:t>冀财教[2025]141号/省级/2026年大学新生救助资金</w:t>
            </w:r>
          </w:p>
        </w:tc>
      </w:tr>
      <w:tr w14:paraId="560D6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E207F">
            <w:pPr>
              <w:pStyle w:val="10"/>
            </w:pPr>
            <w:r>
              <w:t>预算规模及资金用途</w:t>
            </w:r>
          </w:p>
        </w:tc>
        <w:tc>
          <w:tcPr>
            <w:tcW w:w="2268" w:type="dxa"/>
            <w:vAlign w:val="center"/>
          </w:tcPr>
          <w:p w14:paraId="62D06083">
            <w:pPr>
              <w:pStyle w:val="10"/>
            </w:pPr>
            <w:r>
              <w:t>预算数</w:t>
            </w:r>
          </w:p>
        </w:tc>
        <w:tc>
          <w:tcPr>
            <w:tcW w:w="2835" w:type="dxa"/>
            <w:vAlign w:val="center"/>
          </w:tcPr>
          <w:p w14:paraId="74B617BF">
            <w:pPr>
              <w:pStyle w:val="12"/>
            </w:pPr>
            <w:r>
              <w:t>4.00</w:t>
            </w:r>
          </w:p>
        </w:tc>
        <w:tc>
          <w:tcPr>
            <w:tcW w:w="2835" w:type="dxa"/>
            <w:vAlign w:val="center"/>
          </w:tcPr>
          <w:p w14:paraId="47AEB0CB">
            <w:pPr>
              <w:pStyle w:val="10"/>
            </w:pPr>
            <w:r>
              <w:t>其中：财政    资金</w:t>
            </w:r>
          </w:p>
        </w:tc>
        <w:tc>
          <w:tcPr>
            <w:tcW w:w="2551" w:type="dxa"/>
            <w:vAlign w:val="center"/>
          </w:tcPr>
          <w:p w14:paraId="5A55C2A7">
            <w:pPr>
              <w:pStyle w:val="12"/>
            </w:pPr>
            <w:r>
              <w:t>4.00</w:t>
            </w:r>
          </w:p>
        </w:tc>
        <w:tc>
          <w:tcPr>
            <w:tcW w:w="2268" w:type="dxa"/>
            <w:vAlign w:val="center"/>
          </w:tcPr>
          <w:p w14:paraId="6E5552C4">
            <w:pPr>
              <w:pStyle w:val="10"/>
            </w:pPr>
            <w:r>
              <w:t>其他资金</w:t>
            </w:r>
          </w:p>
        </w:tc>
        <w:tc>
          <w:tcPr>
            <w:tcW w:w="1276" w:type="dxa"/>
            <w:vAlign w:val="center"/>
          </w:tcPr>
          <w:p w14:paraId="06360D8F">
            <w:pPr>
              <w:pStyle w:val="12"/>
            </w:pPr>
            <w:r>
              <w:t xml:space="preserve"> </w:t>
            </w:r>
          </w:p>
        </w:tc>
      </w:tr>
      <w:tr w14:paraId="50275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90564"/>
        </w:tc>
        <w:tc>
          <w:tcPr>
            <w:tcW w:w="14033" w:type="dxa"/>
            <w:gridSpan w:val="6"/>
            <w:vAlign w:val="center"/>
          </w:tcPr>
          <w:p w14:paraId="0EE7B706">
            <w:pPr>
              <w:pStyle w:val="12"/>
            </w:pPr>
            <w:r>
              <w:t>保障落实建档立卡及家庭经济困难学生资助所需资金，确保建档立卡等家庭经济困难学生优先获得资助</w:t>
            </w:r>
            <w:r>
              <w:tab/>
            </w:r>
          </w:p>
        </w:tc>
      </w:tr>
      <w:tr w14:paraId="65C2E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318C8">
            <w:pPr>
              <w:pStyle w:val="10"/>
            </w:pPr>
            <w:r>
              <w:t>资金支出计划（%）</w:t>
            </w:r>
          </w:p>
        </w:tc>
        <w:tc>
          <w:tcPr>
            <w:tcW w:w="5103" w:type="dxa"/>
            <w:gridSpan w:val="2"/>
            <w:vAlign w:val="center"/>
          </w:tcPr>
          <w:p w14:paraId="0FB7D845">
            <w:pPr>
              <w:pStyle w:val="10"/>
            </w:pPr>
            <w:r>
              <w:t>3月底</w:t>
            </w:r>
          </w:p>
        </w:tc>
        <w:tc>
          <w:tcPr>
            <w:tcW w:w="2835" w:type="dxa"/>
            <w:vAlign w:val="center"/>
          </w:tcPr>
          <w:p w14:paraId="3AE82952">
            <w:pPr>
              <w:pStyle w:val="10"/>
            </w:pPr>
            <w:r>
              <w:t>6月底</w:t>
            </w:r>
          </w:p>
        </w:tc>
        <w:tc>
          <w:tcPr>
            <w:tcW w:w="2551" w:type="dxa"/>
            <w:vAlign w:val="center"/>
          </w:tcPr>
          <w:p w14:paraId="63174561">
            <w:pPr>
              <w:pStyle w:val="10"/>
            </w:pPr>
            <w:r>
              <w:t>10月底</w:t>
            </w:r>
          </w:p>
        </w:tc>
        <w:tc>
          <w:tcPr>
            <w:tcW w:w="3544" w:type="dxa"/>
            <w:gridSpan w:val="2"/>
            <w:vAlign w:val="center"/>
          </w:tcPr>
          <w:p w14:paraId="2178892E">
            <w:pPr>
              <w:pStyle w:val="10"/>
            </w:pPr>
            <w:r>
              <w:t>12月底</w:t>
            </w:r>
          </w:p>
        </w:tc>
      </w:tr>
      <w:tr w14:paraId="4C90D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813F7"/>
        </w:tc>
        <w:tc>
          <w:tcPr>
            <w:tcW w:w="5103" w:type="dxa"/>
            <w:gridSpan w:val="2"/>
            <w:vAlign w:val="center"/>
          </w:tcPr>
          <w:p w14:paraId="5B81E22C">
            <w:pPr>
              <w:pStyle w:val="13"/>
            </w:pPr>
            <w:r>
              <w:t>25%</w:t>
            </w:r>
          </w:p>
        </w:tc>
        <w:tc>
          <w:tcPr>
            <w:tcW w:w="2835" w:type="dxa"/>
            <w:vAlign w:val="center"/>
          </w:tcPr>
          <w:p w14:paraId="2F9DAB7E">
            <w:pPr>
              <w:pStyle w:val="13"/>
            </w:pPr>
            <w:r>
              <w:t>50%</w:t>
            </w:r>
          </w:p>
        </w:tc>
        <w:tc>
          <w:tcPr>
            <w:tcW w:w="2551" w:type="dxa"/>
            <w:vAlign w:val="center"/>
          </w:tcPr>
          <w:p w14:paraId="2D4D1D81">
            <w:pPr>
              <w:pStyle w:val="13"/>
            </w:pPr>
            <w:r>
              <w:t>75%</w:t>
            </w:r>
          </w:p>
        </w:tc>
        <w:tc>
          <w:tcPr>
            <w:tcW w:w="3544" w:type="dxa"/>
            <w:gridSpan w:val="2"/>
            <w:vAlign w:val="center"/>
          </w:tcPr>
          <w:p w14:paraId="4079076D">
            <w:pPr>
              <w:pStyle w:val="13"/>
            </w:pPr>
            <w:r>
              <w:t>100%</w:t>
            </w:r>
          </w:p>
        </w:tc>
      </w:tr>
      <w:tr w14:paraId="6CDBB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E0B95">
            <w:pPr>
              <w:pStyle w:val="10"/>
            </w:pPr>
            <w:r>
              <w:t>绩效目标</w:t>
            </w:r>
          </w:p>
        </w:tc>
        <w:tc>
          <w:tcPr>
            <w:tcW w:w="14033" w:type="dxa"/>
            <w:gridSpan w:val="6"/>
            <w:vAlign w:val="center"/>
          </w:tcPr>
          <w:p w14:paraId="73E8AE0C">
            <w:pPr>
              <w:pStyle w:val="12"/>
            </w:pPr>
            <w:r>
              <w:t>1.保障落实建档立卡及家庭经济困难学生资助所需资金，确保建档立卡等家庭经济困难学生优先获得资助</w:t>
            </w:r>
            <w:r>
              <w:tab/>
            </w:r>
            <w:r>
              <w:tab/>
            </w:r>
            <w:r>
              <w:tab/>
            </w:r>
            <w:r>
              <w:tab/>
            </w:r>
            <w:r>
              <w:tab/>
            </w:r>
            <w:r>
              <w:tab/>
            </w:r>
          </w:p>
        </w:tc>
      </w:tr>
    </w:tbl>
    <w:p w14:paraId="21EEC0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4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3FB59">
            <w:pPr>
              <w:pStyle w:val="10"/>
            </w:pPr>
            <w:r>
              <w:t>一级指标</w:t>
            </w:r>
          </w:p>
        </w:tc>
        <w:tc>
          <w:tcPr>
            <w:tcW w:w="2268" w:type="dxa"/>
            <w:vAlign w:val="center"/>
          </w:tcPr>
          <w:p w14:paraId="00E65CB6">
            <w:pPr>
              <w:pStyle w:val="10"/>
            </w:pPr>
            <w:r>
              <w:t>二级指标</w:t>
            </w:r>
          </w:p>
        </w:tc>
        <w:tc>
          <w:tcPr>
            <w:tcW w:w="2835" w:type="dxa"/>
            <w:vAlign w:val="center"/>
          </w:tcPr>
          <w:p w14:paraId="52BD36BD">
            <w:pPr>
              <w:pStyle w:val="10"/>
            </w:pPr>
            <w:r>
              <w:t>三级指标</w:t>
            </w:r>
          </w:p>
        </w:tc>
        <w:tc>
          <w:tcPr>
            <w:tcW w:w="5386" w:type="dxa"/>
            <w:vAlign w:val="center"/>
          </w:tcPr>
          <w:p w14:paraId="07D43333">
            <w:pPr>
              <w:pStyle w:val="10"/>
            </w:pPr>
            <w:r>
              <w:t>绩效指标描述</w:t>
            </w:r>
          </w:p>
        </w:tc>
        <w:tc>
          <w:tcPr>
            <w:tcW w:w="2268" w:type="dxa"/>
            <w:vAlign w:val="center"/>
          </w:tcPr>
          <w:p w14:paraId="2912A425">
            <w:pPr>
              <w:pStyle w:val="10"/>
            </w:pPr>
            <w:r>
              <w:t>指标值</w:t>
            </w:r>
          </w:p>
        </w:tc>
        <w:tc>
          <w:tcPr>
            <w:tcW w:w="1276" w:type="dxa"/>
            <w:vAlign w:val="center"/>
          </w:tcPr>
          <w:p w14:paraId="59121A03">
            <w:pPr>
              <w:pStyle w:val="10"/>
            </w:pPr>
            <w:r>
              <w:t>指标值确定依据</w:t>
            </w:r>
          </w:p>
        </w:tc>
      </w:tr>
      <w:tr w14:paraId="6C91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C55E3">
            <w:pPr>
              <w:pStyle w:val="13"/>
            </w:pPr>
            <w:r>
              <w:t>产出指标</w:t>
            </w:r>
          </w:p>
        </w:tc>
        <w:tc>
          <w:tcPr>
            <w:tcW w:w="2268" w:type="dxa"/>
            <w:vAlign w:val="center"/>
          </w:tcPr>
          <w:p w14:paraId="06AE4C97">
            <w:pPr>
              <w:pStyle w:val="12"/>
            </w:pPr>
            <w:r>
              <w:t>数量指标</w:t>
            </w:r>
          </w:p>
        </w:tc>
        <w:tc>
          <w:tcPr>
            <w:tcW w:w="2835" w:type="dxa"/>
            <w:vAlign w:val="center"/>
          </w:tcPr>
          <w:p w14:paraId="206FFBA1">
            <w:pPr>
              <w:pStyle w:val="12"/>
            </w:pPr>
            <w:r>
              <w:t>大学新生入学资助覆盖面</w:t>
            </w:r>
          </w:p>
        </w:tc>
        <w:tc>
          <w:tcPr>
            <w:tcW w:w="5386" w:type="dxa"/>
            <w:vAlign w:val="center"/>
          </w:tcPr>
          <w:p w14:paraId="569ABDCC">
            <w:pPr>
              <w:pStyle w:val="12"/>
            </w:pPr>
            <w:r>
              <w:t>救助比例原则上不超过本县当年录取人数的4%</w:t>
            </w:r>
          </w:p>
        </w:tc>
        <w:tc>
          <w:tcPr>
            <w:tcW w:w="2268" w:type="dxa"/>
            <w:vAlign w:val="center"/>
          </w:tcPr>
          <w:p w14:paraId="10E79C3C">
            <w:pPr>
              <w:pStyle w:val="12"/>
            </w:pPr>
            <w:r>
              <w:t>≥99%</w:t>
            </w:r>
          </w:p>
        </w:tc>
        <w:tc>
          <w:tcPr>
            <w:tcW w:w="1276" w:type="dxa"/>
            <w:vAlign w:val="center"/>
          </w:tcPr>
          <w:p w14:paraId="28253837">
            <w:pPr>
              <w:pStyle w:val="12"/>
            </w:pPr>
            <w:r>
              <w:t>河北省建档立卡家庭经济困难学生资助管理暂行办法</w:t>
            </w:r>
          </w:p>
        </w:tc>
      </w:tr>
      <w:tr w14:paraId="0892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18DB7"/>
        </w:tc>
        <w:tc>
          <w:tcPr>
            <w:tcW w:w="2268" w:type="dxa"/>
            <w:vAlign w:val="center"/>
          </w:tcPr>
          <w:p w14:paraId="5CE1B119">
            <w:pPr>
              <w:pStyle w:val="12"/>
            </w:pPr>
            <w:r>
              <w:t>质量指标</w:t>
            </w:r>
          </w:p>
        </w:tc>
        <w:tc>
          <w:tcPr>
            <w:tcW w:w="2835" w:type="dxa"/>
            <w:vAlign w:val="center"/>
          </w:tcPr>
          <w:p w14:paraId="43CC1832">
            <w:pPr>
              <w:pStyle w:val="12"/>
            </w:pPr>
            <w:r>
              <w:t>大学新生入学资助制度落实情况</w:t>
            </w:r>
          </w:p>
        </w:tc>
        <w:tc>
          <w:tcPr>
            <w:tcW w:w="5386" w:type="dxa"/>
            <w:vAlign w:val="center"/>
          </w:tcPr>
          <w:p w14:paraId="02463FE3">
            <w:pPr>
              <w:pStyle w:val="12"/>
            </w:pPr>
            <w:r>
              <w:t>符合享受资助条件的学生应助尽助</w:t>
            </w:r>
          </w:p>
        </w:tc>
        <w:tc>
          <w:tcPr>
            <w:tcW w:w="2268" w:type="dxa"/>
            <w:vAlign w:val="center"/>
          </w:tcPr>
          <w:p w14:paraId="1633759F">
            <w:pPr>
              <w:pStyle w:val="12"/>
            </w:pPr>
            <w:r>
              <w:t>100%</w:t>
            </w:r>
          </w:p>
        </w:tc>
        <w:tc>
          <w:tcPr>
            <w:tcW w:w="1276" w:type="dxa"/>
            <w:vAlign w:val="center"/>
          </w:tcPr>
          <w:p w14:paraId="6571E8F0">
            <w:pPr>
              <w:pStyle w:val="12"/>
            </w:pPr>
            <w:r>
              <w:t>河北省建档立卡家庭经济困难学生资助管理暂行办法</w:t>
            </w:r>
          </w:p>
        </w:tc>
      </w:tr>
      <w:tr w14:paraId="5069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54B33"/>
        </w:tc>
        <w:tc>
          <w:tcPr>
            <w:tcW w:w="2268" w:type="dxa"/>
            <w:vAlign w:val="center"/>
          </w:tcPr>
          <w:p w14:paraId="00A22C2B">
            <w:pPr>
              <w:pStyle w:val="12"/>
            </w:pPr>
            <w:r>
              <w:t>时效指标</w:t>
            </w:r>
          </w:p>
        </w:tc>
        <w:tc>
          <w:tcPr>
            <w:tcW w:w="2835" w:type="dxa"/>
            <w:vAlign w:val="center"/>
          </w:tcPr>
          <w:p w14:paraId="49934663">
            <w:pPr>
              <w:pStyle w:val="12"/>
            </w:pPr>
            <w:r>
              <w:t>资金拨付率</w:t>
            </w:r>
          </w:p>
        </w:tc>
        <w:tc>
          <w:tcPr>
            <w:tcW w:w="5386" w:type="dxa"/>
            <w:vAlign w:val="center"/>
          </w:tcPr>
          <w:p w14:paraId="0E317CBD">
            <w:pPr>
              <w:pStyle w:val="12"/>
            </w:pPr>
            <w:r>
              <w:t>资助资金支付进度</w:t>
            </w:r>
          </w:p>
        </w:tc>
        <w:tc>
          <w:tcPr>
            <w:tcW w:w="2268" w:type="dxa"/>
            <w:vAlign w:val="center"/>
          </w:tcPr>
          <w:p w14:paraId="3E819345">
            <w:pPr>
              <w:pStyle w:val="12"/>
            </w:pPr>
            <w:r>
              <w:t>100%</w:t>
            </w:r>
          </w:p>
        </w:tc>
        <w:tc>
          <w:tcPr>
            <w:tcW w:w="1276" w:type="dxa"/>
            <w:vAlign w:val="center"/>
          </w:tcPr>
          <w:p w14:paraId="753E66F0">
            <w:pPr>
              <w:pStyle w:val="12"/>
            </w:pPr>
            <w:r>
              <w:t>河北省建档立卡家庭经济困难学生资助管理暂行办法</w:t>
            </w:r>
          </w:p>
        </w:tc>
      </w:tr>
      <w:tr w14:paraId="5A31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8BCF3"/>
        </w:tc>
        <w:tc>
          <w:tcPr>
            <w:tcW w:w="2268" w:type="dxa"/>
            <w:vAlign w:val="center"/>
          </w:tcPr>
          <w:p w14:paraId="0FC4BAA0">
            <w:pPr>
              <w:pStyle w:val="12"/>
            </w:pPr>
            <w:r>
              <w:t>成本指标</w:t>
            </w:r>
          </w:p>
        </w:tc>
        <w:tc>
          <w:tcPr>
            <w:tcW w:w="2835" w:type="dxa"/>
            <w:vAlign w:val="center"/>
          </w:tcPr>
          <w:p w14:paraId="2E4F9830">
            <w:pPr>
              <w:pStyle w:val="12"/>
            </w:pPr>
            <w:r>
              <w:t>大学新生入学资助补助标准</w:t>
            </w:r>
          </w:p>
        </w:tc>
        <w:tc>
          <w:tcPr>
            <w:tcW w:w="5386" w:type="dxa"/>
            <w:vAlign w:val="center"/>
          </w:tcPr>
          <w:p w14:paraId="54B6E120">
            <w:pPr>
              <w:pStyle w:val="12"/>
            </w:pPr>
            <w:r>
              <w:t>一次性补助学生入学省级金额</w:t>
            </w:r>
          </w:p>
        </w:tc>
        <w:tc>
          <w:tcPr>
            <w:tcW w:w="2268" w:type="dxa"/>
            <w:vAlign w:val="center"/>
          </w:tcPr>
          <w:p w14:paraId="3A83DF69">
            <w:pPr>
              <w:pStyle w:val="12"/>
            </w:pPr>
            <w:r>
              <w:t>40000元</w:t>
            </w:r>
          </w:p>
        </w:tc>
        <w:tc>
          <w:tcPr>
            <w:tcW w:w="1276" w:type="dxa"/>
            <w:vAlign w:val="center"/>
          </w:tcPr>
          <w:p w14:paraId="0B62A203">
            <w:pPr>
              <w:pStyle w:val="12"/>
            </w:pPr>
            <w:r>
              <w:t>河北省建档立卡家庭经济困难学生资助管理暂行办法</w:t>
            </w:r>
          </w:p>
        </w:tc>
      </w:tr>
      <w:tr w14:paraId="00C2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8B7A4">
            <w:pPr>
              <w:pStyle w:val="13"/>
            </w:pPr>
            <w:r>
              <w:t>效益指标</w:t>
            </w:r>
          </w:p>
        </w:tc>
        <w:tc>
          <w:tcPr>
            <w:tcW w:w="2268" w:type="dxa"/>
            <w:vAlign w:val="center"/>
          </w:tcPr>
          <w:p w14:paraId="5224FAC6">
            <w:pPr>
              <w:pStyle w:val="12"/>
            </w:pPr>
            <w:r>
              <w:t>可持续影响指标</w:t>
            </w:r>
          </w:p>
        </w:tc>
        <w:tc>
          <w:tcPr>
            <w:tcW w:w="2835" w:type="dxa"/>
            <w:vAlign w:val="center"/>
          </w:tcPr>
          <w:p w14:paraId="57C2935F">
            <w:pPr>
              <w:pStyle w:val="12"/>
            </w:pPr>
            <w:r>
              <w:t xml:space="preserve"> 项目实施时间</w:t>
            </w:r>
          </w:p>
        </w:tc>
        <w:tc>
          <w:tcPr>
            <w:tcW w:w="5386" w:type="dxa"/>
            <w:vAlign w:val="center"/>
          </w:tcPr>
          <w:p w14:paraId="01CB4DE0">
            <w:pPr>
              <w:pStyle w:val="12"/>
            </w:pPr>
            <w:r>
              <w:t xml:space="preserve"> 大学生新生入学资助时间</w:t>
            </w:r>
          </w:p>
        </w:tc>
        <w:tc>
          <w:tcPr>
            <w:tcW w:w="2268" w:type="dxa"/>
            <w:vAlign w:val="center"/>
          </w:tcPr>
          <w:p w14:paraId="05B0E491">
            <w:pPr>
              <w:pStyle w:val="12"/>
            </w:pPr>
            <w:r>
              <w:t>1年</w:t>
            </w:r>
          </w:p>
        </w:tc>
        <w:tc>
          <w:tcPr>
            <w:tcW w:w="1276" w:type="dxa"/>
            <w:vAlign w:val="center"/>
          </w:tcPr>
          <w:p w14:paraId="1381EF9E">
            <w:pPr>
              <w:pStyle w:val="12"/>
            </w:pPr>
            <w:r>
              <w:t>河北省建档立卡家庭经济困难学生资助管理暂行办法</w:t>
            </w:r>
          </w:p>
        </w:tc>
      </w:tr>
      <w:tr w14:paraId="64F5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56089">
            <w:pPr>
              <w:pStyle w:val="13"/>
            </w:pPr>
            <w:r>
              <w:t>满意度指标</w:t>
            </w:r>
          </w:p>
        </w:tc>
        <w:tc>
          <w:tcPr>
            <w:tcW w:w="2268" w:type="dxa"/>
            <w:vAlign w:val="center"/>
          </w:tcPr>
          <w:p w14:paraId="375610F1">
            <w:pPr>
              <w:pStyle w:val="12"/>
            </w:pPr>
            <w:r>
              <w:t>服务对象满意度指标</w:t>
            </w:r>
          </w:p>
        </w:tc>
        <w:tc>
          <w:tcPr>
            <w:tcW w:w="2835" w:type="dxa"/>
            <w:vAlign w:val="center"/>
          </w:tcPr>
          <w:p w14:paraId="1268EA6D">
            <w:pPr>
              <w:pStyle w:val="12"/>
            </w:pPr>
            <w:r>
              <w:t>受益学生家长及调查满意度</w:t>
            </w:r>
          </w:p>
        </w:tc>
        <w:tc>
          <w:tcPr>
            <w:tcW w:w="5386" w:type="dxa"/>
            <w:vAlign w:val="center"/>
          </w:tcPr>
          <w:p w14:paraId="1C312D63">
            <w:pPr>
              <w:pStyle w:val="12"/>
            </w:pPr>
            <w:r>
              <w:t>学生、教师及家长对学校资助工作满意度情况</w:t>
            </w:r>
          </w:p>
        </w:tc>
        <w:tc>
          <w:tcPr>
            <w:tcW w:w="2268" w:type="dxa"/>
            <w:vAlign w:val="center"/>
          </w:tcPr>
          <w:p w14:paraId="0B982BF5">
            <w:pPr>
              <w:pStyle w:val="12"/>
            </w:pPr>
            <w:r>
              <w:t>≥95%</w:t>
            </w:r>
          </w:p>
        </w:tc>
        <w:tc>
          <w:tcPr>
            <w:tcW w:w="1276" w:type="dxa"/>
            <w:vAlign w:val="center"/>
          </w:tcPr>
          <w:p w14:paraId="58771FF0">
            <w:pPr>
              <w:pStyle w:val="12"/>
            </w:pPr>
            <w:r>
              <w:t>调查问卷</w:t>
            </w:r>
          </w:p>
        </w:tc>
      </w:tr>
    </w:tbl>
    <w:p w14:paraId="6C3F19FC">
      <w:pPr>
        <w:sectPr>
          <w:pgSz w:w="16840" w:h="11900" w:orient="landscape"/>
          <w:pgMar w:top="1361" w:right="1020" w:bottom="1134" w:left="1020" w:header="720" w:footer="720" w:gutter="0"/>
          <w:cols w:space="720" w:num="1"/>
        </w:sectPr>
      </w:pPr>
    </w:p>
    <w:p w14:paraId="5732A04E">
      <w:pPr>
        <w:spacing w:before="0" w:after="0"/>
        <w:ind w:firstLine="560"/>
        <w:jc w:val="left"/>
        <w:outlineLvl w:val="9"/>
      </w:pPr>
      <w:r>
        <w:rPr>
          <w:rFonts w:ascii="方正仿宋_GBK" w:hAnsi="方正仿宋_GBK" w:eastAsia="方正仿宋_GBK" w:cs="方正仿宋_GBK"/>
          <w:b/>
          <w:color w:val="000000"/>
          <w:sz w:val="28"/>
        </w:rPr>
        <w:t>13、冀财教[2025]142号/省级/2026年职教发展/中职免学费（东方中职）绩效目标表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75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0EA16">
            <w:pPr>
              <w:pStyle w:val="11"/>
            </w:pPr>
            <w:r>
              <w:t>单位：万元</w:t>
            </w:r>
          </w:p>
        </w:tc>
      </w:tr>
      <w:tr w14:paraId="144EF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6546F">
            <w:pPr>
              <w:pStyle w:val="10"/>
            </w:pPr>
            <w:r>
              <w:t>项目编码</w:t>
            </w:r>
          </w:p>
        </w:tc>
        <w:tc>
          <w:tcPr>
            <w:tcW w:w="5103" w:type="dxa"/>
            <w:gridSpan w:val="2"/>
            <w:vAlign w:val="center"/>
          </w:tcPr>
          <w:p w14:paraId="5BA51CAC">
            <w:pPr>
              <w:pStyle w:val="12"/>
            </w:pPr>
            <w:r>
              <w:t>13052526P000012100640</w:t>
            </w:r>
          </w:p>
        </w:tc>
        <w:tc>
          <w:tcPr>
            <w:tcW w:w="2835" w:type="dxa"/>
            <w:vAlign w:val="center"/>
          </w:tcPr>
          <w:p w14:paraId="03D77466">
            <w:pPr>
              <w:pStyle w:val="10"/>
            </w:pPr>
            <w:r>
              <w:t>项目名称</w:t>
            </w:r>
          </w:p>
        </w:tc>
        <w:tc>
          <w:tcPr>
            <w:tcW w:w="6095" w:type="dxa"/>
            <w:gridSpan w:val="3"/>
            <w:vAlign w:val="center"/>
          </w:tcPr>
          <w:p w14:paraId="48123091">
            <w:pPr>
              <w:pStyle w:val="12"/>
            </w:pPr>
            <w:r>
              <w:t>冀财教[2025]142号/省级/2026年职教发展/中职免学费（东方中职）</w:t>
            </w:r>
          </w:p>
        </w:tc>
      </w:tr>
      <w:tr w14:paraId="41988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09414">
            <w:pPr>
              <w:pStyle w:val="10"/>
            </w:pPr>
            <w:r>
              <w:t>预算规模及资金用途</w:t>
            </w:r>
          </w:p>
        </w:tc>
        <w:tc>
          <w:tcPr>
            <w:tcW w:w="2268" w:type="dxa"/>
            <w:vAlign w:val="center"/>
          </w:tcPr>
          <w:p w14:paraId="75DC44C4">
            <w:pPr>
              <w:pStyle w:val="10"/>
            </w:pPr>
            <w:r>
              <w:t>预算数</w:t>
            </w:r>
          </w:p>
        </w:tc>
        <w:tc>
          <w:tcPr>
            <w:tcW w:w="2835" w:type="dxa"/>
            <w:vAlign w:val="center"/>
          </w:tcPr>
          <w:p w14:paraId="39EC4B8A">
            <w:pPr>
              <w:pStyle w:val="12"/>
            </w:pPr>
            <w:r>
              <w:t>12.00</w:t>
            </w:r>
          </w:p>
        </w:tc>
        <w:tc>
          <w:tcPr>
            <w:tcW w:w="2835" w:type="dxa"/>
            <w:vAlign w:val="center"/>
          </w:tcPr>
          <w:p w14:paraId="4923EEE8">
            <w:pPr>
              <w:pStyle w:val="10"/>
            </w:pPr>
            <w:r>
              <w:t>其中：财政    资金</w:t>
            </w:r>
          </w:p>
        </w:tc>
        <w:tc>
          <w:tcPr>
            <w:tcW w:w="2551" w:type="dxa"/>
            <w:vAlign w:val="center"/>
          </w:tcPr>
          <w:p w14:paraId="0ACD6F67">
            <w:pPr>
              <w:pStyle w:val="12"/>
            </w:pPr>
            <w:r>
              <w:t>12.00</w:t>
            </w:r>
          </w:p>
        </w:tc>
        <w:tc>
          <w:tcPr>
            <w:tcW w:w="2268" w:type="dxa"/>
            <w:vAlign w:val="center"/>
          </w:tcPr>
          <w:p w14:paraId="4C09D98D">
            <w:pPr>
              <w:pStyle w:val="10"/>
            </w:pPr>
            <w:r>
              <w:t>其他资金</w:t>
            </w:r>
          </w:p>
        </w:tc>
        <w:tc>
          <w:tcPr>
            <w:tcW w:w="1276" w:type="dxa"/>
            <w:vAlign w:val="center"/>
          </w:tcPr>
          <w:p w14:paraId="65435B9E">
            <w:pPr>
              <w:pStyle w:val="12"/>
            </w:pPr>
            <w:r>
              <w:t xml:space="preserve"> </w:t>
            </w:r>
          </w:p>
        </w:tc>
      </w:tr>
      <w:tr w14:paraId="6139F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D4092"/>
        </w:tc>
        <w:tc>
          <w:tcPr>
            <w:tcW w:w="14033" w:type="dxa"/>
            <w:gridSpan w:val="6"/>
            <w:vAlign w:val="center"/>
          </w:tcPr>
          <w:p w14:paraId="77DF84D9">
            <w:pPr>
              <w:pStyle w:val="12"/>
            </w:pPr>
            <w:r>
              <w:t>弥补中职涉农及其他专业贫困生免除学费后的经费不足。</w:t>
            </w:r>
          </w:p>
        </w:tc>
      </w:tr>
      <w:tr w14:paraId="3BABE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5F2D4">
            <w:pPr>
              <w:pStyle w:val="10"/>
            </w:pPr>
            <w:r>
              <w:t>资金支出计划（%）</w:t>
            </w:r>
          </w:p>
        </w:tc>
        <w:tc>
          <w:tcPr>
            <w:tcW w:w="5103" w:type="dxa"/>
            <w:gridSpan w:val="2"/>
            <w:vAlign w:val="center"/>
          </w:tcPr>
          <w:p w14:paraId="6DD4AE95">
            <w:pPr>
              <w:pStyle w:val="10"/>
            </w:pPr>
            <w:r>
              <w:t>3月底</w:t>
            </w:r>
          </w:p>
        </w:tc>
        <w:tc>
          <w:tcPr>
            <w:tcW w:w="2835" w:type="dxa"/>
            <w:vAlign w:val="center"/>
          </w:tcPr>
          <w:p w14:paraId="211870B9">
            <w:pPr>
              <w:pStyle w:val="10"/>
            </w:pPr>
            <w:r>
              <w:t>6月底</w:t>
            </w:r>
          </w:p>
        </w:tc>
        <w:tc>
          <w:tcPr>
            <w:tcW w:w="2551" w:type="dxa"/>
            <w:vAlign w:val="center"/>
          </w:tcPr>
          <w:p w14:paraId="7881BA83">
            <w:pPr>
              <w:pStyle w:val="10"/>
            </w:pPr>
            <w:r>
              <w:t>10月底</w:t>
            </w:r>
          </w:p>
        </w:tc>
        <w:tc>
          <w:tcPr>
            <w:tcW w:w="3544" w:type="dxa"/>
            <w:gridSpan w:val="2"/>
            <w:vAlign w:val="center"/>
          </w:tcPr>
          <w:p w14:paraId="2AEB8734">
            <w:pPr>
              <w:pStyle w:val="10"/>
            </w:pPr>
            <w:r>
              <w:t>12月底</w:t>
            </w:r>
          </w:p>
        </w:tc>
      </w:tr>
      <w:tr w14:paraId="39214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5FDDC"/>
        </w:tc>
        <w:tc>
          <w:tcPr>
            <w:tcW w:w="5103" w:type="dxa"/>
            <w:gridSpan w:val="2"/>
            <w:vAlign w:val="center"/>
          </w:tcPr>
          <w:p w14:paraId="35F2AB81">
            <w:pPr>
              <w:pStyle w:val="13"/>
            </w:pPr>
            <w:r>
              <w:t>25%</w:t>
            </w:r>
          </w:p>
        </w:tc>
        <w:tc>
          <w:tcPr>
            <w:tcW w:w="2835" w:type="dxa"/>
            <w:vAlign w:val="center"/>
          </w:tcPr>
          <w:p w14:paraId="03162711">
            <w:pPr>
              <w:pStyle w:val="13"/>
            </w:pPr>
            <w:r>
              <w:t>50%</w:t>
            </w:r>
          </w:p>
        </w:tc>
        <w:tc>
          <w:tcPr>
            <w:tcW w:w="2551" w:type="dxa"/>
            <w:vAlign w:val="center"/>
          </w:tcPr>
          <w:p w14:paraId="1550E870">
            <w:pPr>
              <w:pStyle w:val="13"/>
            </w:pPr>
            <w:r>
              <w:t>75%</w:t>
            </w:r>
          </w:p>
        </w:tc>
        <w:tc>
          <w:tcPr>
            <w:tcW w:w="3544" w:type="dxa"/>
            <w:gridSpan w:val="2"/>
            <w:vAlign w:val="center"/>
          </w:tcPr>
          <w:p w14:paraId="3E0AF6FD">
            <w:pPr>
              <w:pStyle w:val="13"/>
            </w:pPr>
            <w:r>
              <w:t>100%</w:t>
            </w:r>
          </w:p>
        </w:tc>
      </w:tr>
      <w:tr w14:paraId="1601C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DF8AD">
            <w:pPr>
              <w:pStyle w:val="10"/>
            </w:pPr>
            <w:r>
              <w:t>绩效目标</w:t>
            </w:r>
          </w:p>
        </w:tc>
        <w:tc>
          <w:tcPr>
            <w:tcW w:w="14033" w:type="dxa"/>
            <w:gridSpan w:val="6"/>
            <w:vAlign w:val="center"/>
          </w:tcPr>
          <w:p w14:paraId="451A80F2">
            <w:pPr>
              <w:pStyle w:val="12"/>
            </w:pPr>
            <w:r>
              <w:t>1.弥补中职涉农及其他专业贫困生免除学费后的经费不足。</w:t>
            </w:r>
            <w:r>
              <w:tab/>
            </w:r>
          </w:p>
        </w:tc>
      </w:tr>
    </w:tbl>
    <w:p w14:paraId="4F9F51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8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B0D15">
            <w:pPr>
              <w:pStyle w:val="10"/>
            </w:pPr>
            <w:r>
              <w:t>一级指标</w:t>
            </w:r>
          </w:p>
        </w:tc>
        <w:tc>
          <w:tcPr>
            <w:tcW w:w="2268" w:type="dxa"/>
            <w:vAlign w:val="center"/>
          </w:tcPr>
          <w:p w14:paraId="100475A8">
            <w:pPr>
              <w:pStyle w:val="10"/>
            </w:pPr>
            <w:r>
              <w:t>二级指标</w:t>
            </w:r>
          </w:p>
        </w:tc>
        <w:tc>
          <w:tcPr>
            <w:tcW w:w="2835" w:type="dxa"/>
            <w:vAlign w:val="center"/>
          </w:tcPr>
          <w:p w14:paraId="1384FF73">
            <w:pPr>
              <w:pStyle w:val="10"/>
            </w:pPr>
            <w:r>
              <w:t>三级指标</w:t>
            </w:r>
          </w:p>
        </w:tc>
        <w:tc>
          <w:tcPr>
            <w:tcW w:w="5386" w:type="dxa"/>
            <w:vAlign w:val="center"/>
          </w:tcPr>
          <w:p w14:paraId="145D80D9">
            <w:pPr>
              <w:pStyle w:val="10"/>
            </w:pPr>
            <w:r>
              <w:t>绩效指标描述</w:t>
            </w:r>
          </w:p>
        </w:tc>
        <w:tc>
          <w:tcPr>
            <w:tcW w:w="2268" w:type="dxa"/>
            <w:vAlign w:val="center"/>
          </w:tcPr>
          <w:p w14:paraId="2D28A924">
            <w:pPr>
              <w:pStyle w:val="10"/>
            </w:pPr>
            <w:r>
              <w:t>指标值</w:t>
            </w:r>
          </w:p>
        </w:tc>
        <w:tc>
          <w:tcPr>
            <w:tcW w:w="1276" w:type="dxa"/>
            <w:vAlign w:val="center"/>
          </w:tcPr>
          <w:p w14:paraId="0F0EC17F">
            <w:pPr>
              <w:pStyle w:val="10"/>
            </w:pPr>
            <w:r>
              <w:t>指标值确定依据</w:t>
            </w:r>
          </w:p>
        </w:tc>
      </w:tr>
      <w:tr w14:paraId="5D03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072A8">
            <w:pPr>
              <w:pStyle w:val="13"/>
            </w:pPr>
            <w:r>
              <w:t>产出指标</w:t>
            </w:r>
          </w:p>
        </w:tc>
        <w:tc>
          <w:tcPr>
            <w:tcW w:w="2268" w:type="dxa"/>
            <w:vAlign w:val="center"/>
          </w:tcPr>
          <w:p w14:paraId="644124E0">
            <w:pPr>
              <w:pStyle w:val="12"/>
            </w:pPr>
            <w:r>
              <w:t>数量指标</w:t>
            </w:r>
          </w:p>
        </w:tc>
        <w:tc>
          <w:tcPr>
            <w:tcW w:w="2835" w:type="dxa"/>
            <w:vAlign w:val="center"/>
          </w:tcPr>
          <w:p w14:paraId="53D335C5">
            <w:pPr>
              <w:pStyle w:val="12"/>
            </w:pPr>
            <w:r>
              <w:t>免学费补助人数</w:t>
            </w:r>
          </w:p>
        </w:tc>
        <w:tc>
          <w:tcPr>
            <w:tcW w:w="5386" w:type="dxa"/>
            <w:vAlign w:val="center"/>
          </w:tcPr>
          <w:p w14:paraId="072F5B63">
            <w:pPr>
              <w:pStyle w:val="12"/>
            </w:pPr>
            <w:r>
              <w:t>免学费补助人数</w:t>
            </w:r>
          </w:p>
        </w:tc>
        <w:tc>
          <w:tcPr>
            <w:tcW w:w="2268" w:type="dxa"/>
            <w:vAlign w:val="center"/>
          </w:tcPr>
          <w:p w14:paraId="5414B289">
            <w:pPr>
              <w:pStyle w:val="12"/>
            </w:pPr>
            <w:r>
              <w:t>≥280人</w:t>
            </w:r>
          </w:p>
        </w:tc>
        <w:tc>
          <w:tcPr>
            <w:tcW w:w="1276" w:type="dxa"/>
            <w:vAlign w:val="center"/>
          </w:tcPr>
          <w:p w14:paraId="60F413DA">
            <w:pPr>
              <w:pStyle w:val="12"/>
            </w:pPr>
            <w:r>
              <w:t>2026年度预算</w:t>
            </w:r>
          </w:p>
        </w:tc>
      </w:tr>
      <w:tr w14:paraId="3396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0426F"/>
        </w:tc>
        <w:tc>
          <w:tcPr>
            <w:tcW w:w="2268" w:type="dxa"/>
            <w:vAlign w:val="center"/>
          </w:tcPr>
          <w:p w14:paraId="5B165295">
            <w:pPr>
              <w:pStyle w:val="12"/>
            </w:pPr>
            <w:r>
              <w:t>质量指标</w:t>
            </w:r>
          </w:p>
        </w:tc>
        <w:tc>
          <w:tcPr>
            <w:tcW w:w="2835" w:type="dxa"/>
            <w:vAlign w:val="center"/>
          </w:tcPr>
          <w:p w14:paraId="349F3B4D">
            <w:pPr>
              <w:pStyle w:val="12"/>
            </w:pPr>
            <w:r>
              <w:t>免学费全覆盖</w:t>
            </w:r>
          </w:p>
        </w:tc>
        <w:tc>
          <w:tcPr>
            <w:tcW w:w="5386" w:type="dxa"/>
            <w:vAlign w:val="center"/>
          </w:tcPr>
          <w:p w14:paraId="3024B660">
            <w:pPr>
              <w:pStyle w:val="12"/>
            </w:pPr>
            <w:r>
              <w:t>免学费一、二、三年级中职生</w:t>
            </w:r>
          </w:p>
        </w:tc>
        <w:tc>
          <w:tcPr>
            <w:tcW w:w="2268" w:type="dxa"/>
            <w:vAlign w:val="center"/>
          </w:tcPr>
          <w:p w14:paraId="0B7721B9">
            <w:pPr>
              <w:pStyle w:val="12"/>
            </w:pPr>
            <w:r>
              <w:t>100%</w:t>
            </w:r>
          </w:p>
        </w:tc>
        <w:tc>
          <w:tcPr>
            <w:tcW w:w="1276" w:type="dxa"/>
            <w:vAlign w:val="center"/>
          </w:tcPr>
          <w:p w14:paraId="166C71A4">
            <w:pPr>
              <w:pStyle w:val="12"/>
            </w:pPr>
            <w:r>
              <w:t>隆尧县中职免学费管理办法</w:t>
            </w:r>
          </w:p>
        </w:tc>
      </w:tr>
      <w:tr w14:paraId="7F017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25FCA"/>
        </w:tc>
        <w:tc>
          <w:tcPr>
            <w:tcW w:w="2268" w:type="dxa"/>
            <w:vAlign w:val="center"/>
          </w:tcPr>
          <w:p w14:paraId="718297F4">
            <w:pPr>
              <w:pStyle w:val="12"/>
            </w:pPr>
            <w:r>
              <w:t>时效指标</w:t>
            </w:r>
          </w:p>
        </w:tc>
        <w:tc>
          <w:tcPr>
            <w:tcW w:w="2835" w:type="dxa"/>
            <w:vAlign w:val="center"/>
          </w:tcPr>
          <w:p w14:paraId="3D55BDDC">
            <w:pPr>
              <w:pStyle w:val="12"/>
            </w:pPr>
            <w:r>
              <w:t>免学费经费拨付率</w:t>
            </w:r>
          </w:p>
        </w:tc>
        <w:tc>
          <w:tcPr>
            <w:tcW w:w="5386" w:type="dxa"/>
            <w:vAlign w:val="center"/>
          </w:tcPr>
          <w:p w14:paraId="1E43E244">
            <w:pPr>
              <w:pStyle w:val="12"/>
            </w:pPr>
            <w:r>
              <w:t>免学费经费及时拨付到位率</w:t>
            </w:r>
          </w:p>
        </w:tc>
        <w:tc>
          <w:tcPr>
            <w:tcW w:w="2268" w:type="dxa"/>
            <w:vAlign w:val="center"/>
          </w:tcPr>
          <w:p w14:paraId="3CEDE46D">
            <w:pPr>
              <w:pStyle w:val="12"/>
            </w:pPr>
            <w:r>
              <w:t>≥99%</w:t>
            </w:r>
          </w:p>
        </w:tc>
        <w:tc>
          <w:tcPr>
            <w:tcW w:w="1276" w:type="dxa"/>
            <w:vAlign w:val="center"/>
          </w:tcPr>
          <w:p w14:paraId="5A43A679">
            <w:pPr>
              <w:pStyle w:val="12"/>
            </w:pPr>
            <w:r>
              <w:t>隆尧县中职免学费管理办法</w:t>
            </w:r>
          </w:p>
        </w:tc>
      </w:tr>
      <w:tr w14:paraId="5BC2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0873E"/>
        </w:tc>
        <w:tc>
          <w:tcPr>
            <w:tcW w:w="2268" w:type="dxa"/>
            <w:vAlign w:val="center"/>
          </w:tcPr>
          <w:p w14:paraId="21979EA4">
            <w:pPr>
              <w:pStyle w:val="12"/>
            </w:pPr>
            <w:r>
              <w:t>成本指标</w:t>
            </w:r>
          </w:p>
        </w:tc>
        <w:tc>
          <w:tcPr>
            <w:tcW w:w="2835" w:type="dxa"/>
            <w:vAlign w:val="center"/>
          </w:tcPr>
          <w:p w14:paraId="3F863835">
            <w:pPr>
              <w:pStyle w:val="12"/>
            </w:pPr>
            <w:r>
              <w:t>中职学校免学费补助标准</w:t>
            </w:r>
          </w:p>
        </w:tc>
        <w:tc>
          <w:tcPr>
            <w:tcW w:w="5386" w:type="dxa"/>
            <w:vAlign w:val="center"/>
          </w:tcPr>
          <w:p w14:paraId="4A62E519">
            <w:pPr>
              <w:pStyle w:val="12"/>
            </w:pPr>
            <w:r>
              <w:t>中职学校免学费补助标准</w:t>
            </w:r>
          </w:p>
        </w:tc>
        <w:tc>
          <w:tcPr>
            <w:tcW w:w="2268" w:type="dxa"/>
            <w:vAlign w:val="center"/>
          </w:tcPr>
          <w:p w14:paraId="117495D0">
            <w:pPr>
              <w:pStyle w:val="12"/>
            </w:pPr>
            <w:r>
              <w:t>2000元/生/年</w:t>
            </w:r>
          </w:p>
        </w:tc>
        <w:tc>
          <w:tcPr>
            <w:tcW w:w="1276" w:type="dxa"/>
            <w:vAlign w:val="center"/>
          </w:tcPr>
          <w:p w14:paraId="020E7DA9">
            <w:pPr>
              <w:pStyle w:val="12"/>
            </w:pPr>
            <w:r>
              <w:t>隆尧县中职免学费管理办法</w:t>
            </w:r>
          </w:p>
        </w:tc>
      </w:tr>
      <w:tr w14:paraId="6B39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10093">
            <w:pPr>
              <w:pStyle w:val="13"/>
            </w:pPr>
            <w:r>
              <w:t>效益指标</w:t>
            </w:r>
          </w:p>
        </w:tc>
        <w:tc>
          <w:tcPr>
            <w:tcW w:w="2268" w:type="dxa"/>
            <w:vAlign w:val="center"/>
          </w:tcPr>
          <w:p w14:paraId="6DCA2945">
            <w:pPr>
              <w:pStyle w:val="12"/>
            </w:pPr>
            <w:r>
              <w:t>可持续影响指标</w:t>
            </w:r>
          </w:p>
        </w:tc>
        <w:tc>
          <w:tcPr>
            <w:tcW w:w="2835" w:type="dxa"/>
            <w:vAlign w:val="center"/>
          </w:tcPr>
          <w:p w14:paraId="064B7B44">
            <w:pPr>
              <w:pStyle w:val="12"/>
            </w:pPr>
            <w:r>
              <w:t>中职运转</w:t>
            </w:r>
          </w:p>
        </w:tc>
        <w:tc>
          <w:tcPr>
            <w:tcW w:w="5386" w:type="dxa"/>
            <w:vAlign w:val="center"/>
          </w:tcPr>
          <w:p w14:paraId="067EC9CF">
            <w:pPr>
              <w:pStyle w:val="12"/>
            </w:pPr>
            <w:r>
              <w:t>高中受教育年限</w:t>
            </w:r>
          </w:p>
        </w:tc>
        <w:tc>
          <w:tcPr>
            <w:tcW w:w="2268" w:type="dxa"/>
            <w:vAlign w:val="center"/>
          </w:tcPr>
          <w:p w14:paraId="14E3B6F8">
            <w:pPr>
              <w:pStyle w:val="12"/>
            </w:pPr>
            <w:r>
              <w:t>3年</w:t>
            </w:r>
          </w:p>
        </w:tc>
        <w:tc>
          <w:tcPr>
            <w:tcW w:w="1276" w:type="dxa"/>
            <w:vAlign w:val="center"/>
          </w:tcPr>
          <w:p w14:paraId="4AD1640C">
            <w:pPr>
              <w:pStyle w:val="12"/>
            </w:pPr>
            <w:r>
              <w:t>隆尧县中职免学费管理办法</w:t>
            </w:r>
          </w:p>
        </w:tc>
      </w:tr>
      <w:tr w14:paraId="0A0E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23258">
            <w:pPr>
              <w:pStyle w:val="13"/>
            </w:pPr>
            <w:r>
              <w:t>满意度指标</w:t>
            </w:r>
          </w:p>
        </w:tc>
        <w:tc>
          <w:tcPr>
            <w:tcW w:w="2268" w:type="dxa"/>
            <w:vAlign w:val="center"/>
          </w:tcPr>
          <w:p w14:paraId="64BA46B9">
            <w:pPr>
              <w:pStyle w:val="12"/>
            </w:pPr>
            <w:r>
              <w:t>服务对象满意度指标</w:t>
            </w:r>
          </w:p>
        </w:tc>
        <w:tc>
          <w:tcPr>
            <w:tcW w:w="2835" w:type="dxa"/>
            <w:vAlign w:val="center"/>
          </w:tcPr>
          <w:p w14:paraId="3E9CB76E">
            <w:pPr>
              <w:pStyle w:val="12"/>
            </w:pPr>
            <w:r>
              <w:t>提升幸福指数</w:t>
            </w:r>
          </w:p>
        </w:tc>
        <w:tc>
          <w:tcPr>
            <w:tcW w:w="5386" w:type="dxa"/>
            <w:vAlign w:val="center"/>
          </w:tcPr>
          <w:p w14:paraId="63BBA246">
            <w:pPr>
              <w:pStyle w:val="12"/>
            </w:pPr>
            <w:r>
              <w:t>提升贫困家庭学生的幸福指数</w:t>
            </w:r>
            <w:r>
              <w:rPr>
                <w:rFonts w:hint="eastAsia"/>
                <w:lang w:eastAsia="zh-CN"/>
              </w:rPr>
              <w:t>，学生家长</w:t>
            </w:r>
            <w:r>
              <w:t>满</w:t>
            </w:r>
            <w:r>
              <w:rPr>
                <w:rFonts w:hint="eastAsia"/>
                <w:lang w:eastAsia="zh-CN"/>
              </w:rPr>
              <w:t>意度</w:t>
            </w:r>
          </w:p>
        </w:tc>
        <w:tc>
          <w:tcPr>
            <w:tcW w:w="2268" w:type="dxa"/>
            <w:vAlign w:val="center"/>
          </w:tcPr>
          <w:p w14:paraId="1F54A0D8">
            <w:pPr>
              <w:pStyle w:val="12"/>
            </w:pPr>
            <w:r>
              <w:t>≥95%</w:t>
            </w:r>
          </w:p>
        </w:tc>
        <w:tc>
          <w:tcPr>
            <w:tcW w:w="1276" w:type="dxa"/>
            <w:vAlign w:val="center"/>
          </w:tcPr>
          <w:p w14:paraId="124B8805">
            <w:pPr>
              <w:pStyle w:val="12"/>
            </w:pPr>
            <w:r>
              <w:t>隆尧县中职免学费管理办法</w:t>
            </w:r>
          </w:p>
        </w:tc>
      </w:tr>
    </w:tbl>
    <w:p w14:paraId="1B3BD007">
      <w:pPr>
        <w:sectPr>
          <w:pgSz w:w="16840" w:h="11900" w:orient="landscape"/>
          <w:pgMar w:top="1361" w:right="1020" w:bottom="1134" w:left="1020" w:header="720" w:footer="720" w:gutter="0"/>
          <w:cols w:space="720" w:num="1"/>
        </w:sectPr>
      </w:pPr>
    </w:p>
    <w:p w14:paraId="301E333C">
      <w:pPr>
        <w:spacing w:before="0" w:after="0"/>
        <w:ind w:firstLine="560"/>
        <w:jc w:val="left"/>
        <w:outlineLvl w:val="9"/>
      </w:pPr>
      <w:r>
        <w:rPr>
          <w:rFonts w:ascii="方正仿宋_GBK" w:hAnsi="方正仿宋_GBK" w:eastAsia="方正仿宋_GBK" w:cs="方正仿宋_GBK"/>
          <w:b/>
          <w:color w:val="000000"/>
          <w:sz w:val="28"/>
        </w:rPr>
        <w:t>14、冀财教[2025]142号/省级/2026年职教发展/中职免学费（文茂中学）绩效目标表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1F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1947A">
            <w:pPr>
              <w:pStyle w:val="11"/>
            </w:pPr>
            <w:r>
              <w:t>单位：万元</w:t>
            </w:r>
          </w:p>
        </w:tc>
      </w:tr>
      <w:tr w14:paraId="4AEE9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EAA9A">
            <w:pPr>
              <w:pStyle w:val="10"/>
            </w:pPr>
            <w:r>
              <w:t>项目编码</w:t>
            </w:r>
          </w:p>
        </w:tc>
        <w:tc>
          <w:tcPr>
            <w:tcW w:w="5103" w:type="dxa"/>
            <w:gridSpan w:val="2"/>
            <w:vAlign w:val="center"/>
          </w:tcPr>
          <w:p w14:paraId="09622FD4">
            <w:pPr>
              <w:pStyle w:val="12"/>
            </w:pPr>
            <w:r>
              <w:t>13052526P00001210062Q</w:t>
            </w:r>
          </w:p>
        </w:tc>
        <w:tc>
          <w:tcPr>
            <w:tcW w:w="2835" w:type="dxa"/>
            <w:vAlign w:val="center"/>
          </w:tcPr>
          <w:p w14:paraId="0B199077">
            <w:pPr>
              <w:pStyle w:val="10"/>
            </w:pPr>
            <w:r>
              <w:t>项目名称</w:t>
            </w:r>
          </w:p>
        </w:tc>
        <w:tc>
          <w:tcPr>
            <w:tcW w:w="6095" w:type="dxa"/>
            <w:gridSpan w:val="3"/>
            <w:vAlign w:val="center"/>
          </w:tcPr>
          <w:p w14:paraId="6D4FD13B">
            <w:pPr>
              <w:pStyle w:val="12"/>
            </w:pPr>
            <w:r>
              <w:t>冀财教[2025]142号/省级/2026年职教发展/中职免学费（文茂中学）</w:t>
            </w:r>
          </w:p>
        </w:tc>
      </w:tr>
      <w:tr w14:paraId="56FAE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ABBB7">
            <w:pPr>
              <w:pStyle w:val="10"/>
            </w:pPr>
            <w:r>
              <w:t>预算规模及资金用途</w:t>
            </w:r>
          </w:p>
        </w:tc>
        <w:tc>
          <w:tcPr>
            <w:tcW w:w="2268" w:type="dxa"/>
            <w:vAlign w:val="center"/>
          </w:tcPr>
          <w:p w14:paraId="6550EFCA">
            <w:pPr>
              <w:pStyle w:val="10"/>
            </w:pPr>
            <w:r>
              <w:t>预算数</w:t>
            </w:r>
          </w:p>
        </w:tc>
        <w:tc>
          <w:tcPr>
            <w:tcW w:w="2835" w:type="dxa"/>
            <w:vAlign w:val="center"/>
          </w:tcPr>
          <w:p w14:paraId="28B02AF7">
            <w:pPr>
              <w:pStyle w:val="12"/>
            </w:pPr>
            <w:r>
              <w:t>12.00</w:t>
            </w:r>
          </w:p>
        </w:tc>
        <w:tc>
          <w:tcPr>
            <w:tcW w:w="2835" w:type="dxa"/>
            <w:vAlign w:val="center"/>
          </w:tcPr>
          <w:p w14:paraId="2EC466EF">
            <w:pPr>
              <w:pStyle w:val="10"/>
            </w:pPr>
            <w:r>
              <w:t>其中：财政    资金</w:t>
            </w:r>
          </w:p>
        </w:tc>
        <w:tc>
          <w:tcPr>
            <w:tcW w:w="2551" w:type="dxa"/>
            <w:vAlign w:val="center"/>
          </w:tcPr>
          <w:p w14:paraId="732A0FC3">
            <w:pPr>
              <w:pStyle w:val="12"/>
            </w:pPr>
            <w:r>
              <w:t>12.00</w:t>
            </w:r>
          </w:p>
        </w:tc>
        <w:tc>
          <w:tcPr>
            <w:tcW w:w="2268" w:type="dxa"/>
            <w:vAlign w:val="center"/>
          </w:tcPr>
          <w:p w14:paraId="4CF90493">
            <w:pPr>
              <w:pStyle w:val="10"/>
            </w:pPr>
            <w:r>
              <w:t>其他资金</w:t>
            </w:r>
          </w:p>
        </w:tc>
        <w:tc>
          <w:tcPr>
            <w:tcW w:w="1276" w:type="dxa"/>
            <w:vAlign w:val="center"/>
          </w:tcPr>
          <w:p w14:paraId="0798F046">
            <w:pPr>
              <w:pStyle w:val="12"/>
            </w:pPr>
            <w:r>
              <w:t xml:space="preserve"> </w:t>
            </w:r>
          </w:p>
        </w:tc>
      </w:tr>
      <w:tr w14:paraId="6CD14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00CAC"/>
        </w:tc>
        <w:tc>
          <w:tcPr>
            <w:tcW w:w="14033" w:type="dxa"/>
            <w:gridSpan w:val="6"/>
            <w:vAlign w:val="center"/>
          </w:tcPr>
          <w:p w14:paraId="31598FF8">
            <w:pPr>
              <w:pStyle w:val="12"/>
            </w:pPr>
            <w:r>
              <w:t>弥补中职涉农及其他专业贫困生免除学费后的经费不足。</w:t>
            </w:r>
            <w:r>
              <w:tab/>
            </w:r>
          </w:p>
        </w:tc>
      </w:tr>
      <w:tr w14:paraId="67DEC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2270A">
            <w:pPr>
              <w:pStyle w:val="10"/>
            </w:pPr>
            <w:r>
              <w:t>资金支出计划（%）</w:t>
            </w:r>
          </w:p>
        </w:tc>
        <w:tc>
          <w:tcPr>
            <w:tcW w:w="5103" w:type="dxa"/>
            <w:gridSpan w:val="2"/>
            <w:vAlign w:val="center"/>
          </w:tcPr>
          <w:p w14:paraId="0DC87A2D">
            <w:pPr>
              <w:pStyle w:val="10"/>
            </w:pPr>
            <w:r>
              <w:t>3月底</w:t>
            </w:r>
          </w:p>
        </w:tc>
        <w:tc>
          <w:tcPr>
            <w:tcW w:w="2835" w:type="dxa"/>
            <w:vAlign w:val="center"/>
          </w:tcPr>
          <w:p w14:paraId="266E6ED8">
            <w:pPr>
              <w:pStyle w:val="10"/>
            </w:pPr>
            <w:r>
              <w:t>6月底</w:t>
            </w:r>
          </w:p>
        </w:tc>
        <w:tc>
          <w:tcPr>
            <w:tcW w:w="2551" w:type="dxa"/>
            <w:vAlign w:val="center"/>
          </w:tcPr>
          <w:p w14:paraId="2419C3EF">
            <w:pPr>
              <w:pStyle w:val="10"/>
            </w:pPr>
            <w:r>
              <w:t>10月底</w:t>
            </w:r>
          </w:p>
        </w:tc>
        <w:tc>
          <w:tcPr>
            <w:tcW w:w="3544" w:type="dxa"/>
            <w:gridSpan w:val="2"/>
            <w:vAlign w:val="center"/>
          </w:tcPr>
          <w:p w14:paraId="225F0A2D">
            <w:pPr>
              <w:pStyle w:val="10"/>
            </w:pPr>
            <w:r>
              <w:t>12月底</w:t>
            </w:r>
          </w:p>
        </w:tc>
      </w:tr>
      <w:tr w14:paraId="196CD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1536A"/>
        </w:tc>
        <w:tc>
          <w:tcPr>
            <w:tcW w:w="5103" w:type="dxa"/>
            <w:gridSpan w:val="2"/>
            <w:vAlign w:val="center"/>
          </w:tcPr>
          <w:p w14:paraId="169FF64E">
            <w:pPr>
              <w:pStyle w:val="13"/>
            </w:pPr>
            <w:r>
              <w:t>25%</w:t>
            </w:r>
          </w:p>
        </w:tc>
        <w:tc>
          <w:tcPr>
            <w:tcW w:w="2835" w:type="dxa"/>
            <w:vAlign w:val="center"/>
          </w:tcPr>
          <w:p w14:paraId="7C346693">
            <w:pPr>
              <w:pStyle w:val="13"/>
            </w:pPr>
            <w:r>
              <w:t>50%</w:t>
            </w:r>
          </w:p>
        </w:tc>
        <w:tc>
          <w:tcPr>
            <w:tcW w:w="2551" w:type="dxa"/>
            <w:vAlign w:val="center"/>
          </w:tcPr>
          <w:p w14:paraId="04EC10C0">
            <w:pPr>
              <w:pStyle w:val="13"/>
            </w:pPr>
            <w:r>
              <w:t>75%</w:t>
            </w:r>
          </w:p>
        </w:tc>
        <w:tc>
          <w:tcPr>
            <w:tcW w:w="3544" w:type="dxa"/>
            <w:gridSpan w:val="2"/>
            <w:vAlign w:val="center"/>
          </w:tcPr>
          <w:p w14:paraId="12F974C1">
            <w:pPr>
              <w:pStyle w:val="13"/>
            </w:pPr>
            <w:r>
              <w:t>100%</w:t>
            </w:r>
          </w:p>
        </w:tc>
      </w:tr>
      <w:tr w14:paraId="29345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12E46">
            <w:pPr>
              <w:pStyle w:val="10"/>
            </w:pPr>
            <w:r>
              <w:t>绩效目标</w:t>
            </w:r>
          </w:p>
        </w:tc>
        <w:tc>
          <w:tcPr>
            <w:tcW w:w="14033" w:type="dxa"/>
            <w:gridSpan w:val="6"/>
            <w:vAlign w:val="center"/>
          </w:tcPr>
          <w:p w14:paraId="43475811">
            <w:pPr>
              <w:pStyle w:val="12"/>
            </w:pPr>
            <w:r>
              <w:t>1.弥补中职涉农及其他专业贫困生免除学费后的经费不足。</w:t>
            </w:r>
            <w:r>
              <w:tab/>
            </w:r>
            <w:r>
              <w:tab/>
            </w:r>
            <w:r>
              <w:tab/>
            </w:r>
            <w:r>
              <w:tab/>
            </w:r>
            <w:r>
              <w:tab/>
            </w:r>
            <w:r>
              <w:tab/>
            </w:r>
          </w:p>
        </w:tc>
      </w:tr>
    </w:tbl>
    <w:p w14:paraId="3999D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0B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833DB">
            <w:pPr>
              <w:pStyle w:val="10"/>
            </w:pPr>
            <w:r>
              <w:t>一级指标</w:t>
            </w:r>
          </w:p>
        </w:tc>
        <w:tc>
          <w:tcPr>
            <w:tcW w:w="2268" w:type="dxa"/>
            <w:vAlign w:val="center"/>
          </w:tcPr>
          <w:p w14:paraId="15D214C9">
            <w:pPr>
              <w:pStyle w:val="10"/>
            </w:pPr>
            <w:r>
              <w:t>二级指标</w:t>
            </w:r>
          </w:p>
        </w:tc>
        <w:tc>
          <w:tcPr>
            <w:tcW w:w="2835" w:type="dxa"/>
            <w:vAlign w:val="center"/>
          </w:tcPr>
          <w:p w14:paraId="4DF6378E">
            <w:pPr>
              <w:pStyle w:val="10"/>
            </w:pPr>
            <w:r>
              <w:t>三级指标</w:t>
            </w:r>
          </w:p>
        </w:tc>
        <w:tc>
          <w:tcPr>
            <w:tcW w:w="5386" w:type="dxa"/>
            <w:vAlign w:val="center"/>
          </w:tcPr>
          <w:p w14:paraId="00DF8CC5">
            <w:pPr>
              <w:pStyle w:val="10"/>
            </w:pPr>
            <w:r>
              <w:t>绩效指标描述</w:t>
            </w:r>
          </w:p>
        </w:tc>
        <w:tc>
          <w:tcPr>
            <w:tcW w:w="2268" w:type="dxa"/>
            <w:vAlign w:val="center"/>
          </w:tcPr>
          <w:p w14:paraId="52366A83">
            <w:pPr>
              <w:pStyle w:val="10"/>
            </w:pPr>
            <w:r>
              <w:t>指标值</w:t>
            </w:r>
          </w:p>
        </w:tc>
        <w:tc>
          <w:tcPr>
            <w:tcW w:w="1276" w:type="dxa"/>
            <w:vAlign w:val="center"/>
          </w:tcPr>
          <w:p w14:paraId="32CF2F35">
            <w:pPr>
              <w:pStyle w:val="10"/>
            </w:pPr>
            <w:r>
              <w:t>指标值确定依据</w:t>
            </w:r>
          </w:p>
        </w:tc>
      </w:tr>
      <w:tr w14:paraId="2293A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EF25E">
            <w:pPr>
              <w:pStyle w:val="13"/>
            </w:pPr>
            <w:r>
              <w:t>产出指标</w:t>
            </w:r>
          </w:p>
        </w:tc>
        <w:tc>
          <w:tcPr>
            <w:tcW w:w="2268" w:type="dxa"/>
            <w:vAlign w:val="center"/>
          </w:tcPr>
          <w:p w14:paraId="0E3225C7">
            <w:pPr>
              <w:pStyle w:val="12"/>
            </w:pPr>
            <w:r>
              <w:t>数量指标</w:t>
            </w:r>
          </w:p>
        </w:tc>
        <w:tc>
          <w:tcPr>
            <w:tcW w:w="2835" w:type="dxa"/>
            <w:vAlign w:val="center"/>
          </w:tcPr>
          <w:p w14:paraId="33E52DAA">
            <w:pPr>
              <w:pStyle w:val="12"/>
            </w:pPr>
            <w:r>
              <w:t>免学费补助人数</w:t>
            </w:r>
          </w:p>
        </w:tc>
        <w:tc>
          <w:tcPr>
            <w:tcW w:w="5386" w:type="dxa"/>
            <w:vAlign w:val="center"/>
          </w:tcPr>
          <w:p w14:paraId="2B2DDCE3">
            <w:pPr>
              <w:pStyle w:val="12"/>
            </w:pPr>
            <w:r>
              <w:t>免学费补助人数</w:t>
            </w:r>
          </w:p>
        </w:tc>
        <w:tc>
          <w:tcPr>
            <w:tcW w:w="2268" w:type="dxa"/>
            <w:vAlign w:val="center"/>
          </w:tcPr>
          <w:p w14:paraId="3CBF062F">
            <w:pPr>
              <w:pStyle w:val="12"/>
            </w:pPr>
            <w:r>
              <w:t>≥391人</w:t>
            </w:r>
          </w:p>
        </w:tc>
        <w:tc>
          <w:tcPr>
            <w:tcW w:w="1276" w:type="dxa"/>
            <w:vAlign w:val="center"/>
          </w:tcPr>
          <w:p w14:paraId="19C41524">
            <w:pPr>
              <w:pStyle w:val="12"/>
            </w:pPr>
            <w:r>
              <w:t>2026年度预算</w:t>
            </w:r>
          </w:p>
        </w:tc>
      </w:tr>
      <w:tr w14:paraId="51A0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41F5"/>
        </w:tc>
        <w:tc>
          <w:tcPr>
            <w:tcW w:w="2268" w:type="dxa"/>
            <w:vAlign w:val="center"/>
          </w:tcPr>
          <w:p w14:paraId="6E290304">
            <w:pPr>
              <w:pStyle w:val="12"/>
            </w:pPr>
            <w:r>
              <w:t>质量指标</w:t>
            </w:r>
          </w:p>
        </w:tc>
        <w:tc>
          <w:tcPr>
            <w:tcW w:w="2835" w:type="dxa"/>
            <w:vAlign w:val="center"/>
          </w:tcPr>
          <w:p w14:paraId="797DCD6F">
            <w:pPr>
              <w:pStyle w:val="12"/>
            </w:pPr>
            <w:r>
              <w:t>免学费全覆盖</w:t>
            </w:r>
          </w:p>
        </w:tc>
        <w:tc>
          <w:tcPr>
            <w:tcW w:w="5386" w:type="dxa"/>
            <w:vAlign w:val="center"/>
          </w:tcPr>
          <w:p w14:paraId="3D6FABBA">
            <w:pPr>
              <w:pStyle w:val="12"/>
            </w:pPr>
            <w:r>
              <w:t>免学费一、二、三年级中职生</w:t>
            </w:r>
          </w:p>
        </w:tc>
        <w:tc>
          <w:tcPr>
            <w:tcW w:w="2268" w:type="dxa"/>
            <w:vAlign w:val="center"/>
          </w:tcPr>
          <w:p w14:paraId="62D71E50">
            <w:pPr>
              <w:pStyle w:val="12"/>
            </w:pPr>
            <w:r>
              <w:t>100%</w:t>
            </w:r>
          </w:p>
        </w:tc>
        <w:tc>
          <w:tcPr>
            <w:tcW w:w="1276" w:type="dxa"/>
            <w:vAlign w:val="center"/>
          </w:tcPr>
          <w:p w14:paraId="6C3D0D00">
            <w:pPr>
              <w:pStyle w:val="12"/>
            </w:pPr>
            <w:r>
              <w:t>隆尧县中职免学费管理办法</w:t>
            </w:r>
          </w:p>
        </w:tc>
      </w:tr>
      <w:tr w14:paraId="39F6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F63B"/>
        </w:tc>
        <w:tc>
          <w:tcPr>
            <w:tcW w:w="2268" w:type="dxa"/>
            <w:vAlign w:val="center"/>
          </w:tcPr>
          <w:p w14:paraId="653228F5">
            <w:pPr>
              <w:pStyle w:val="12"/>
            </w:pPr>
            <w:r>
              <w:t>时效指标</w:t>
            </w:r>
          </w:p>
        </w:tc>
        <w:tc>
          <w:tcPr>
            <w:tcW w:w="2835" w:type="dxa"/>
            <w:vAlign w:val="center"/>
          </w:tcPr>
          <w:p w14:paraId="20A69BBD">
            <w:pPr>
              <w:pStyle w:val="12"/>
            </w:pPr>
            <w:r>
              <w:t>免学费经费拨付率</w:t>
            </w:r>
          </w:p>
        </w:tc>
        <w:tc>
          <w:tcPr>
            <w:tcW w:w="5386" w:type="dxa"/>
            <w:vAlign w:val="center"/>
          </w:tcPr>
          <w:p w14:paraId="3E2F7090">
            <w:pPr>
              <w:pStyle w:val="12"/>
            </w:pPr>
            <w:r>
              <w:t>免学费经费及时拨付到位率</w:t>
            </w:r>
          </w:p>
        </w:tc>
        <w:tc>
          <w:tcPr>
            <w:tcW w:w="2268" w:type="dxa"/>
            <w:vAlign w:val="center"/>
          </w:tcPr>
          <w:p w14:paraId="25655A28">
            <w:pPr>
              <w:pStyle w:val="12"/>
            </w:pPr>
            <w:r>
              <w:t>100%</w:t>
            </w:r>
          </w:p>
        </w:tc>
        <w:tc>
          <w:tcPr>
            <w:tcW w:w="1276" w:type="dxa"/>
            <w:vAlign w:val="center"/>
          </w:tcPr>
          <w:p w14:paraId="1C64A228">
            <w:pPr>
              <w:pStyle w:val="12"/>
            </w:pPr>
            <w:r>
              <w:t>隆尧县中职免学费管理办法</w:t>
            </w:r>
          </w:p>
        </w:tc>
      </w:tr>
      <w:tr w14:paraId="1F6F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9C371"/>
        </w:tc>
        <w:tc>
          <w:tcPr>
            <w:tcW w:w="2268" w:type="dxa"/>
            <w:vAlign w:val="center"/>
          </w:tcPr>
          <w:p w14:paraId="4A754315">
            <w:pPr>
              <w:pStyle w:val="12"/>
            </w:pPr>
            <w:r>
              <w:t>成本指标</w:t>
            </w:r>
          </w:p>
        </w:tc>
        <w:tc>
          <w:tcPr>
            <w:tcW w:w="2835" w:type="dxa"/>
            <w:vAlign w:val="center"/>
          </w:tcPr>
          <w:p w14:paraId="6D6C354E">
            <w:pPr>
              <w:pStyle w:val="12"/>
            </w:pPr>
            <w:r>
              <w:t>中职学校免学费补助标准</w:t>
            </w:r>
          </w:p>
        </w:tc>
        <w:tc>
          <w:tcPr>
            <w:tcW w:w="5386" w:type="dxa"/>
            <w:vAlign w:val="center"/>
          </w:tcPr>
          <w:p w14:paraId="2662BA3D">
            <w:pPr>
              <w:pStyle w:val="12"/>
            </w:pPr>
            <w:r>
              <w:t>中职学校免学费补助标准</w:t>
            </w:r>
          </w:p>
        </w:tc>
        <w:tc>
          <w:tcPr>
            <w:tcW w:w="2268" w:type="dxa"/>
            <w:vAlign w:val="center"/>
          </w:tcPr>
          <w:p w14:paraId="7EF9BD8E">
            <w:pPr>
              <w:pStyle w:val="12"/>
            </w:pPr>
            <w:r>
              <w:t>2000元/生/年</w:t>
            </w:r>
          </w:p>
        </w:tc>
        <w:tc>
          <w:tcPr>
            <w:tcW w:w="1276" w:type="dxa"/>
            <w:vAlign w:val="center"/>
          </w:tcPr>
          <w:p w14:paraId="54A69470">
            <w:pPr>
              <w:pStyle w:val="12"/>
            </w:pPr>
            <w:r>
              <w:t>隆尧县中职免学费管理办法</w:t>
            </w:r>
          </w:p>
        </w:tc>
      </w:tr>
      <w:tr w14:paraId="6A90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6C7B8">
            <w:pPr>
              <w:pStyle w:val="13"/>
            </w:pPr>
            <w:r>
              <w:t>效益指标</w:t>
            </w:r>
          </w:p>
        </w:tc>
        <w:tc>
          <w:tcPr>
            <w:tcW w:w="2268" w:type="dxa"/>
            <w:vAlign w:val="center"/>
          </w:tcPr>
          <w:p w14:paraId="27F2C3A7">
            <w:pPr>
              <w:pStyle w:val="12"/>
            </w:pPr>
            <w:r>
              <w:t>可持续影响指标</w:t>
            </w:r>
          </w:p>
        </w:tc>
        <w:tc>
          <w:tcPr>
            <w:tcW w:w="2835" w:type="dxa"/>
            <w:vAlign w:val="center"/>
          </w:tcPr>
          <w:p w14:paraId="0E5BAC30">
            <w:pPr>
              <w:pStyle w:val="12"/>
            </w:pPr>
            <w:r>
              <w:t>中职运转</w:t>
            </w:r>
          </w:p>
        </w:tc>
        <w:tc>
          <w:tcPr>
            <w:tcW w:w="5386" w:type="dxa"/>
            <w:vAlign w:val="center"/>
          </w:tcPr>
          <w:p w14:paraId="706BFECE">
            <w:pPr>
              <w:pStyle w:val="12"/>
            </w:pPr>
            <w:r>
              <w:t>高中受教育年限</w:t>
            </w:r>
          </w:p>
        </w:tc>
        <w:tc>
          <w:tcPr>
            <w:tcW w:w="2268" w:type="dxa"/>
            <w:vAlign w:val="center"/>
          </w:tcPr>
          <w:p w14:paraId="150903FA">
            <w:pPr>
              <w:pStyle w:val="12"/>
            </w:pPr>
            <w:r>
              <w:t>3年</w:t>
            </w:r>
          </w:p>
        </w:tc>
        <w:tc>
          <w:tcPr>
            <w:tcW w:w="1276" w:type="dxa"/>
            <w:vAlign w:val="center"/>
          </w:tcPr>
          <w:p w14:paraId="1A2C52E8">
            <w:pPr>
              <w:pStyle w:val="12"/>
            </w:pPr>
            <w:r>
              <w:t>隆尧县中职免学费管理办法</w:t>
            </w:r>
          </w:p>
        </w:tc>
      </w:tr>
      <w:tr w14:paraId="145D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6F8AC">
            <w:pPr>
              <w:pStyle w:val="13"/>
            </w:pPr>
            <w:r>
              <w:t>满意度指标</w:t>
            </w:r>
          </w:p>
        </w:tc>
        <w:tc>
          <w:tcPr>
            <w:tcW w:w="2268" w:type="dxa"/>
            <w:vAlign w:val="center"/>
          </w:tcPr>
          <w:p w14:paraId="5748371E">
            <w:pPr>
              <w:pStyle w:val="12"/>
            </w:pPr>
            <w:r>
              <w:t>服务对象满意度指标</w:t>
            </w:r>
          </w:p>
        </w:tc>
        <w:tc>
          <w:tcPr>
            <w:tcW w:w="2835" w:type="dxa"/>
            <w:vAlign w:val="center"/>
          </w:tcPr>
          <w:p w14:paraId="2EC02CAF">
            <w:pPr>
              <w:pStyle w:val="12"/>
            </w:pPr>
            <w:r>
              <w:t>提升幸福指数</w:t>
            </w:r>
          </w:p>
        </w:tc>
        <w:tc>
          <w:tcPr>
            <w:tcW w:w="5386" w:type="dxa"/>
            <w:vAlign w:val="center"/>
          </w:tcPr>
          <w:p w14:paraId="3C0E07E8">
            <w:pPr>
              <w:pStyle w:val="12"/>
            </w:pPr>
            <w:r>
              <w:t>提升贫困家庭学生的幸福指数学生家长满</w:t>
            </w:r>
            <w:r>
              <w:rPr>
                <w:rFonts w:hint="eastAsia"/>
                <w:lang w:eastAsia="zh-CN"/>
              </w:rPr>
              <w:t>意度</w:t>
            </w:r>
          </w:p>
        </w:tc>
        <w:tc>
          <w:tcPr>
            <w:tcW w:w="2268" w:type="dxa"/>
            <w:vAlign w:val="center"/>
          </w:tcPr>
          <w:p w14:paraId="725F95A5">
            <w:pPr>
              <w:pStyle w:val="12"/>
            </w:pPr>
            <w:r>
              <w:t>95%</w:t>
            </w:r>
          </w:p>
        </w:tc>
        <w:tc>
          <w:tcPr>
            <w:tcW w:w="1276" w:type="dxa"/>
            <w:vAlign w:val="center"/>
          </w:tcPr>
          <w:p w14:paraId="2ABB2544">
            <w:pPr>
              <w:pStyle w:val="12"/>
            </w:pPr>
            <w:r>
              <w:t>隆尧县中职免学费管理办法</w:t>
            </w:r>
          </w:p>
        </w:tc>
      </w:tr>
    </w:tbl>
    <w:p w14:paraId="15967C2C">
      <w:pPr>
        <w:sectPr>
          <w:pgSz w:w="16840" w:h="11900" w:orient="landscape"/>
          <w:pgMar w:top="1361" w:right="1020" w:bottom="1134" w:left="1020" w:header="720" w:footer="720" w:gutter="0"/>
          <w:cols w:space="720" w:num="1"/>
        </w:sectPr>
      </w:pPr>
    </w:p>
    <w:p w14:paraId="20408931">
      <w:pPr>
        <w:spacing w:before="0" w:after="0"/>
        <w:ind w:firstLine="560"/>
        <w:jc w:val="left"/>
        <w:outlineLvl w:val="9"/>
      </w:pPr>
      <w:r>
        <w:rPr>
          <w:rFonts w:ascii="方正仿宋_GBK" w:hAnsi="方正仿宋_GBK" w:eastAsia="方正仿宋_GBK" w:cs="方正仿宋_GBK"/>
          <w:b/>
          <w:color w:val="000000"/>
          <w:sz w:val="28"/>
        </w:rPr>
        <w:t>15、冀财教[2025]147号/省级/2026年义教补助经费/家庭经济困难学生生活补助（初中）绩效目标表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4D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CC525">
            <w:pPr>
              <w:pStyle w:val="11"/>
            </w:pPr>
            <w:r>
              <w:t>单位：万元</w:t>
            </w:r>
          </w:p>
        </w:tc>
      </w:tr>
      <w:tr w14:paraId="2D205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1E8E6">
            <w:pPr>
              <w:pStyle w:val="10"/>
            </w:pPr>
            <w:r>
              <w:t>项目编码</w:t>
            </w:r>
          </w:p>
        </w:tc>
        <w:tc>
          <w:tcPr>
            <w:tcW w:w="5103" w:type="dxa"/>
            <w:gridSpan w:val="2"/>
            <w:vAlign w:val="center"/>
          </w:tcPr>
          <w:p w14:paraId="6FBE0A30">
            <w:pPr>
              <w:pStyle w:val="12"/>
            </w:pPr>
            <w:r>
              <w:t>13052526P00001010013M</w:t>
            </w:r>
          </w:p>
        </w:tc>
        <w:tc>
          <w:tcPr>
            <w:tcW w:w="2835" w:type="dxa"/>
            <w:vAlign w:val="center"/>
          </w:tcPr>
          <w:p w14:paraId="50C038CA">
            <w:pPr>
              <w:pStyle w:val="10"/>
            </w:pPr>
            <w:r>
              <w:t>项目名称</w:t>
            </w:r>
          </w:p>
        </w:tc>
        <w:tc>
          <w:tcPr>
            <w:tcW w:w="6095" w:type="dxa"/>
            <w:gridSpan w:val="3"/>
            <w:vAlign w:val="center"/>
          </w:tcPr>
          <w:p w14:paraId="759ECF7F">
            <w:pPr>
              <w:pStyle w:val="12"/>
            </w:pPr>
            <w:r>
              <w:t>冀财教[2025]147号/省级/2026年义教补助经费/家庭经济困难学生生活补助（初中）</w:t>
            </w:r>
          </w:p>
        </w:tc>
      </w:tr>
      <w:tr w14:paraId="1C46B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B2979">
            <w:pPr>
              <w:pStyle w:val="10"/>
            </w:pPr>
            <w:r>
              <w:t>预算规模及资金用途</w:t>
            </w:r>
          </w:p>
        </w:tc>
        <w:tc>
          <w:tcPr>
            <w:tcW w:w="2268" w:type="dxa"/>
            <w:vAlign w:val="center"/>
          </w:tcPr>
          <w:p w14:paraId="458B00E5">
            <w:pPr>
              <w:pStyle w:val="10"/>
            </w:pPr>
            <w:r>
              <w:t>预算数</w:t>
            </w:r>
          </w:p>
        </w:tc>
        <w:tc>
          <w:tcPr>
            <w:tcW w:w="2835" w:type="dxa"/>
            <w:vAlign w:val="center"/>
          </w:tcPr>
          <w:p w14:paraId="5F01D5BD">
            <w:pPr>
              <w:pStyle w:val="12"/>
            </w:pPr>
            <w:r>
              <w:t>138.00</w:t>
            </w:r>
          </w:p>
        </w:tc>
        <w:tc>
          <w:tcPr>
            <w:tcW w:w="2835" w:type="dxa"/>
            <w:vAlign w:val="center"/>
          </w:tcPr>
          <w:p w14:paraId="56DDC7E8">
            <w:pPr>
              <w:pStyle w:val="10"/>
            </w:pPr>
            <w:r>
              <w:t>其中：财政    资金</w:t>
            </w:r>
          </w:p>
        </w:tc>
        <w:tc>
          <w:tcPr>
            <w:tcW w:w="2551" w:type="dxa"/>
            <w:vAlign w:val="center"/>
          </w:tcPr>
          <w:p w14:paraId="7613E9E8">
            <w:pPr>
              <w:pStyle w:val="12"/>
            </w:pPr>
            <w:r>
              <w:t>138.00</w:t>
            </w:r>
          </w:p>
        </w:tc>
        <w:tc>
          <w:tcPr>
            <w:tcW w:w="2268" w:type="dxa"/>
            <w:vAlign w:val="center"/>
          </w:tcPr>
          <w:p w14:paraId="3E26296C">
            <w:pPr>
              <w:pStyle w:val="10"/>
            </w:pPr>
            <w:r>
              <w:t>其他资金</w:t>
            </w:r>
          </w:p>
        </w:tc>
        <w:tc>
          <w:tcPr>
            <w:tcW w:w="1276" w:type="dxa"/>
            <w:vAlign w:val="center"/>
          </w:tcPr>
          <w:p w14:paraId="67D1F3A0">
            <w:pPr>
              <w:pStyle w:val="12"/>
            </w:pPr>
            <w:r>
              <w:t xml:space="preserve"> </w:t>
            </w:r>
          </w:p>
        </w:tc>
      </w:tr>
      <w:tr w14:paraId="3436B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673DF"/>
        </w:tc>
        <w:tc>
          <w:tcPr>
            <w:tcW w:w="14033" w:type="dxa"/>
            <w:gridSpan w:val="6"/>
            <w:vAlign w:val="center"/>
          </w:tcPr>
          <w:p w14:paraId="71806750">
            <w:pPr>
              <w:pStyle w:val="12"/>
            </w:pPr>
            <w:r>
              <w:t>保障落实建档立卡及家庭经济困难学生资助所需资金，确保建档立卡等家庭经济困难学生优先获得资助</w:t>
            </w:r>
            <w:r>
              <w:tab/>
            </w:r>
            <w:r>
              <w:tab/>
            </w:r>
            <w:r>
              <w:tab/>
            </w:r>
            <w:r>
              <w:tab/>
            </w:r>
            <w:r>
              <w:tab/>
            </w:r>
            <w:r>
              <w:tab/>
            </w:r>
          </w:p>
          <w:p w14:paraId="4C82A3E1">
            <w:pPr>
              <w:pStyle w:val="12"/>
            </w:pPr>
          </w:p>
        </w:tc>
      </w:tr>
      <w:tr w14:paraId="675A2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22179">
            <w:pPr>
              <w:pStyle w:val="10"/>
            </w:pPr>
            <w:r>
              <w:t>资金支出计划（%）</w:t>
            </w:r>
          </w:p>
        </w:tc>
        <w:tc>
          <w:tcPr>
            <w:tcW w:w="5103" w:type="dxa"/>
            <w:gridSpan w:val="2"/>
            <w:vAlign w:val="center"/>
          </w:tcPr>
          <w:p w14:paraId="7632A96A">
            <w:pPr>
              <w:pStyle w:val="10"/>
            </w:pPr>
            <w:r>
              <w:t>3月底</w:t>
            </w:r>
          </w:p>
        </w:tc>
        <w:tc>
          <w:tcPr>
            <w:tcW w:w="2835" w:type="dxa"/>
            <w:vAlign w:val="center"/>
          </w:tcPr>
          <w:p w14:paraId="12EA4AED">
            <w:pPr>
              <w:pStyle w:val="10"/>
            </w:pPr>
            <w:r>
              <w:t>6月底</w:t>
            </w:r>
          </w:p>
        </w:tc>
        <w:tc>
          <w:tcPr>
            <w:tcW w:w="2551" w:type="dxa"/>
            <w:vAlign w:val="center"/>
          </w:tcPr>
          <w:p w14:paraId="238EB2D0">
            <w:pPr>
              <w:pStyle w:val="10"/>
            </w:pPr>
            <w:r>
              <w:t>10月底</w:t>
            </w:r>
          </w:p>
        </w:tc>
        <w:tc>
          <w:tcPr>
            <w:tcW w:w="3544" w:type="dxa"/>
            <w:gridSpan w:val="2"/>
            <w:vAlign w:val="center"/>
          </w:tcPr>
          <w:p w14:paraId="0FBFF2C6">
            <w:pPr>
              <w:pStyle w:val="10"/>
            </w:pPr>
            <w:r>
              <w:t>12月底</w:t>
            </w:r>
          </w:p>
        </w:tc>
      </w:tr>
      <w:tr w14:paraId="3420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32EB8"/>
        </w:tc>
        <w:tc>
          <w:tcPr>
            <w:tcW w:w="5103" w:type="dxa"/>
            <w:gridSpan w:val="2"/>
            <w:vAlign w:val="center"/>
          </w:tcPr>
          <w:p w14:paraId="56A67806">
            <w:pPr>
              <w:pStyle w:val="13"/>
            </w:pPr>
            <w:r>
              <w:t>25%</w:t>
            </w:r>
          </w:p>
        </w:tc>
        <w:tc>
          <w:tcPr>
            <w:tcW w:w="2835" w:type="dxa"/>
            <w:vAlign w:val="center"/>
          </w:tcPr>
          <w:p w14:paraId="231BADD4">
            <w:pPr>
              <w:pStyle w:val="13"/>
            </w:pPr>
            <w:r>
              <w:t>50%</w:t>
            </w:r>
          </w:p>
        </w:tc>
        <w:tc>
          <w:tcPr>
            <w:tcW w:w="2551" w:type="dxa"/>
            <w:vAlign w:val="center"/>
          </w:tcPr>
          <w:p w14:paraId="6F02B5C5">
            <w:pPr>
              <w:pStyle w:val="13"/>
            </w:pPr>
            <w:r>
              <w:t>75%</w:t>
            </w:r>
          </w:p>
        </w:tc>
        <w:tc>
          <w:tcPr>
            <w:tcW w:w="3544" w:type="dxa"/>
            <w:gridSpan w:val="2"/>
            <w:vAlign w:val="center"/>
          </w:tcPr>
          <w:p w14:paraId="69A86119">
            <w:pPr>
              <w:pStyle w:val="13"/>
            </w:pPr>
            <w:r>
              <w:t>100%</w:t>
            </w:r>
          </w:p>
        </w:tc>
      </w:tr>
      <w:tr w14:paraId="5AC01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AC417">
            <w:pPr>
              <w:pStyle w:val="10"/>
            </w:pPr>
            <w:r>
              <w:t>绩效目标</w:t>
            </w:r>
          </w:p>
        </w:tc>
        <w:tc>
          <w:tcPr>
            <w:tcW w:w="14033" w:type="dxa"/>
            <w:gridSpan w:val="6"/>
            <w:vAlign w:val="center"/>
          </w:tcPr>
          <w:p w14:paraId="1F00C8A7">
            <w:pPr>
              <w:pStyle w:val="12"/>
            </w:pPr>
            <w:r>
              <w:t>1.保障落实建档立卡及家庭经济困难学生资助所需资金，确保建档立卡等家庭经济困难学生优先获得资助</w:t>
            </w:r>
          </w:p>
        </w:tc>
      </w:tr>
    </w:tbl>
    <w:p w14:paraId="3D1DF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B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CA948">
            <w:pPr>
              <w:pStyle w:val="10"/>
            </w:pPr>
            <w:r>
              <w:t>一级指标</w:t>
            </w:r>
          </w:p>
        </w:tc>
        <w:tc>
          <w:tcPr>
            <w:tcW w:w="2268" w:type="dxa"/>
            <w:vAlign w:val="center"/>
          </w:tcPr>
          <w:p w14:paraId="09EEC73A">
            <w:pPr>
              <w:pStyle w:val="10"/>
            </w:pPr>
            <w:r>
              <w:t>二级指标</w:t>
            </w:r>
          </w:p>
        </w:tc>
        <w:tc>
          <w:tcPr>
            <w:tcW w:w="2835" w:type="dxa"/>
            <w:vAlign w:val="center"/>
          </w:tcPr>
          <w:p w14:paraId="52D04DB8">
            <w:pPr>
              <w:pStyle w:val="10"/>
            </w:pPr>
            <w:r>
              <w:t>三级指标</w:t>
            </w:r>
          </w:p>
        </w:tc>
        <w:tc>
          <w:tcPr>
            <w:tcW w:w="5386" w:type="dxa"/>
            <w:vAlign w:val="center"/>
          </w:tcPr>
          <w:p w14:paraId="18408EE0">
            <w:pPr>
              <w:pStyle w:val="10"/>
            </w:pPr>
            <w:r>
              <w:t>绩效指标描述</w:t>
            </w:r>
          </w:p>
        </w:tc>
        <w:tc>
          <w:tcPr>
            <w:tcW w:w="2268" w:type="dxa"/>
            <w:vAlign w:val="center"/>
          </w:tcPr>
          <w:p w14:paraId="7EEABAC7">
            <w:pPr>
              <w:pStyle w:val="10"/>
            </w:pPr>
            <w:r>
              <w:t>指标值</w:t>
            </w:r>
          </w:p>
        </w:tc>
        <w:tc>
          <w:tcPr>
            <w:tcW w:w="1276" w:type="dxa"/>
            <w:vAlign w:val="center"/>
          </w:tcPr>
          <w:p w14:paraId="11EE3E31">
            <w:pPr>
              <w:pStyle w:val="10"/>
            </w:pPr>
            <w:r>
              <w:t>指标值确定依据</w:t>
            </w:r>
          </w:p>
        </w:tc>
      </w:tr>
      <w:tr w14:paraId="4513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5DD1B">
            <w:pPr>
              <w:pStyle w:val="13"/>
            </w:pPr>
            <w:r>
              <w:t>产出指标</w:t>
            </w:r>
          </w:p>
        </w:tc>
        <w:tc>
          <w:tcPr>
            <w:tcW w:w="2268" w:type="dxa"/>
            <w:vAlign w:val="center"/>
          </w:tcPr>
          <w:p w14:paraId="36272D73">
            <w:pPr>
              <w:pStyle w:val="12"/>
            </w:pPr>
            <w:r>
              <w:t>数量指标</w:t>
            </w:r>
          </w:p>
        </w:tc>
        <w:tc>
          <w:tcPr>
            <w:tcW w:w="2835" w:type="dxa"/>
            <w:vAlign w:val="center"/>
          </w:tcPr>
          <w:p w14:paraId="104D2967">
            <w:pPr>
              <w:pStyle w:val="12"/>
            </w:pPr>
            <w:r>
              <w:t>家庭经济困难资助比例</w:t>
            </w:r>
          </w:p>
        </w:tc>
        <w:tc>
          <w:tcPr>
            <w:tcW w:w="5386" w:type="dxa"/>
            <w:vAlign w:val="center"/>
          </w:tcPr>
          <w:p w14:paraId="4D6BEB3F">
            <w:pPr>
              <w:pStyle w:val="12"/>
            </w:pPr>
            <w:r>
              <w:t>寄宿生按义教在校生15%测算，非寄宿生按义教在校生5%测算</w:t>
            </w:r>
          </w:p>
        </w:tc>
        <w:tc>
          <w:tcPr>
            <w:tcW w:w="2268" w:type="dxa"/>
            <w:vAlign w:val="center"/>
          </w:tcPr>
          <w:p w14:paraId="60595DA7">
            <w:pPr>
              <w:pStyle w:val="12"/>
            </w:pPr>
            <w:r>
              <w:t>≥3010人</w:t>
            </w:r>
          </w:p>
        </w:tc>
        <w:tc>
          <w:tcPr>
            <w:tcW w:w="1276" w:type="dxa"/>
            <w:vAlign w:val="center"/>
          </w:tcPr>
          <w:p w14:paraId="3CA0ABDB">
            <w:pPr>
              <w:pStyle w:val="12"/>
            </w:pPr>
            <w:r>
              <w:t>城乡义务教育“两免一补”资助实施细则</w:t>
            </w:r>
          </w:p>
        </w:tc>
      </w:tr>
      <w:tr w14:paraId="3BB3A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58C1A"/>
        </w:tc>
        <w:tc>
          <w:tcPr>
            <w:tcW w:w="2268" w:type="dxa"/>
            <w:vAlign w:val="center"/>
          </w:tcPr>
          <w:p w14:paraId="0C0ED42C">
            <w:pPr>
              <w:pStyle w:val="12"/>
            </w:pPr>
            <w:r>
              <w:t>质量指标</w:t>
            </w:r>
          </w:p>
        </w:tc>
        <w:tc>
          <w:tcPr>
            <w:tcW w:w="2835" w:type="dxa"/>
            <w:vAlign w:val="center"/>
          </w:tcPr>
          <w:p w14:paraId="3C9FC5D5">
            <w:pPr>
              <w:pStyle w:val="12"/>
            </w:pPr>
            <w:r>
              <w:t>义务教育资助制度落实情况</w:t>
            </w:r>
          </w:p>
        </w:tc>
        <w:tc>
          <w:tcPr>
            <w:tcW w:w="5386" w:type="dxa"/>
            <w:vAlign w:val="center"/>
          </w:tcPr>
          <w:p w14:paraId="6E077B9D">
            <w:pPr>
              <w:pStyle w:val="12"/>
            </w:pPr>
            <w:r>
              <w:t>符合享受资助条件的学生应助尽助</w:t>
            </w:r>
          </w:p>
        </w:tc>
        <w:tc>
          <w:tcPr>
            <w:tcW w:w="2268" w:type="dxa"/>
            <w:vAlign w:val="center"/>
          </w:tcPr>
          <w:p w14:paraId="26FA7B1B">
            <w:pPr>
              <w:pStyle w:val="12"/>
            </w:pPr>
            <w:r>
              <w:t>≥99%</w:t>
            </w:r>
          </w:p>
        </w:tc>
        <w:tc>
          <w:tcPr>
            <w:tcW w:w="1276" w:type="dxa"/>
            <w:vAlign w:val="center"/>
          </w:tcPr>
          <w:p w14:paraId="1B0BCDB4">
            <w:pPr>
              <w:pStyle w:val="12"/>
            </w:pPr>
            <w:r>
              <w:t>城乡义务教育“两免一补”资助实施细则</w:t>
            </w:r>
          </w:p>
        </w:tc>
      </w:tr>
      <w:tr w14:paraId="1711A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D4A40"/>
        </w:tc>
        <w:tc>
          <w:tcPr>
            <w:tcW w:w="2268" w:type="dxa"/>
            <w:vAlign w:val="center"/>
          </w:tcPr>
          <w:p w14:paraId="797D317C">
            <w:pPr>
              <w:pStyle w:val="12"/>
            </w:pPr>
            <w:r>
              <w:t>时效指标</w:t>
            </w:r>
          </w:p>
        </w:tc>
        <w:tc>
          <w:tcPr>
            <w:tcW w:w="2835" w:type="dxa"/>
            <w:vAlign w:val="center"/>
          </w:tcPr>
          <w:p w14:paraId="79990599">
            <w:pPr>
              <w:pStyle w:val="12"/>
            </w:pPr>
            <w:r>
              <w:t>资金拨付率</w:t>
            </w:r>
          </w:p>
        </w:tc>
        <w:tc>
          <w:tcPr>
            <w:tcW w:w="5386" w:type="dxa"/>
            <w:vAlign w:val="center"/>
          </w:tcPr>
          <w:p w14:paraId="77320B42">
            <w:pPr>
              <w:pStyle w:val="12"/>
            </w:pPr>
            <w:r>
              <w:t>所有项目资金支付进度</w:t>
            </w:r>
          </w:p>
        </w:tc>
        <w:tc>
          <w:tcPr>
            <w:tcW w:w="2268" w:type="dxa"/>
            <w:vAlign w:val="center"/>
          </w:tcPr>
          <w:p w14:paraId="07D2DE0B">
            <w:pPr>
              <w:pStyle w:val="12"/>
            </w:pPr>
            <w:r>
              <w:t>≥99%</w:t>
            </w:r>
          </w:p>
        </w:tc>
        <w:tc>
          <w:tcPr>
            <w:tcW w:w="1276" w:type="dxa"/>
            <w:vAlign w:val="center"/>
          </w:tcPr>
          <w:p w14:paraId="517BD1C6">
            <w:pPr>
              <w:pStyle w:val="12"/>
            </w:pPr>
            <w:r>
              <w:t>城乡义务教育“两免一补”资助实施细则</w:t>
            </w:r>
          </w:p>
        </w:tc>
      </w:tr>
      <w:tr w14:paraId="24F3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55431"/>
        </w:tc>
        <w:tc>
          <w:tcPr>
            <w:tcW w:w="2268" w:type="dxa"/>
            <w:vAlign w:val="center"/>
          </w:tcPr>
          <w:p w14:paraId="7B54228A">
            <w:pPr>
              <w:pStyle w:val="12"/>
            </w:pPr>
            <w:r>
              <w:t>成本指标</w:t>
            </w:r>
          </w:p>
        </w:tc>
        <w:tc>
          <w:tcPr>
            <w:tcW w:w="2835" w:type="dxa"/>
            <w:vAlign w:val="center"/>
          </w:tcPr>
          <w:p w14:paraId="6168B760">
            <w:pPr>
              <w:pStyle w:val="12"/>
            </w:pPr>
            <w:r>
              <w:t>家庭经济困难寄宿及非</w:t>
            </w:r>
            <w:r>
              <w:rPr>
                <w:rFonts w:hint="eastAsia"/>
                <w:lang w:eastAsia="zh-CN"/>
              </w:rPr>
              <w:t>寄宿</w:t>
            </w:r>
            <w:r>
              <w:t>类学生补助标准</w:t>
            </w:r>
          </w:p>
        </w:tc>
        <w:tc>
          <w:tcPr>
            <w:tcW w:w="5386" w:type="dxa"/>
            <w:vAlign w:val="center"/>
          </w:tcPr>
          <w:p w14:paraId="450BDD8D">
            <w:pPr>
              <w:pStyle w:val="12"/>
            </w:pPr>
            <w:r>
              <w:t>初中寄宿：标准1500元/生/学年，初中非寄宿：标准750元/生/学年</w:t>
            </w:r>
          </w:p>
        </w:tc>
        <w:tc>
          <w:tcPr>
            <w:tcW w:w="2268" w:type="dxa"/>
            <w:vAlign w:val="center"/>
          </w:tcPr>
          <w:p w14:paraId="7804A258">
            <w:pPr>
              <w:pStyle w:val="12"/>
            </w:pPr>
            <w:r>
              <w:t>1500元</w:t>
            </w:r>
          </w:p>
        </w:tc>
        <w:tc>
          <w:tcPr>
            <w:tcW w:w="1276" w:type="dxa"/>
            <w:vAlign w:val="center"/>
          </w:tcPr>
          <w:p w14:paraId="2F0AD604">
            <w:pPr>
              <w:pStyle w:val="12"/>
            </w:pPr>
            <w:r>
              <w:t>城乡义务教育“两免一补”资助实施细则</w:t>
            </w:r>
          </w:p>
        </w:tc>
      </w:tr>
      <w:tr w14:paraId="14FA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60D01">
            <w:pPr>
              <w:pStyle w:val="13"/>
            </w:pPr>
            <w:r>
              <w:t>效益指标</w:t>
            </w:r>
          </w:p>
        </w:tc>
        <w:tc>
          <w:tcPr>
            <w:tcW w:w="2268" w:type="dxa"/>
            <w:vAlign w:val="center"/>
          </w:tcPr>
          <w:p w14:paraId="314D115B">
            <w:pPr>
              <w:pStyle w:val="12"/>
            </w:pPr>
            <w:r>
              <w:t>可持续影响指标</w:t>
            </w:r>
          </w:p>
        </w:tc>
        <w:tc>
          <w:tcPr>
            <w:tcW w:w="2835" w:type="dxa"/>
            <w:vAlign w:val="center"/>
          </w:tcPr>
          <w:p w14:paraId="0597282A">
            <w:pPr>
              <w:pStyle w:val="12"/>
            </w:pPr>
            <w:r>
              <w:t>项目实施成果</w:t>
            </w:r>
          </w:p>
        </w:tc>
        <w:tc>
          <w:tcPr>
            <w:tcW w:w="5386" w:type="dxa"/>
            <w:vAlign w:val="center"/>
          </w:tcPr>
          <w:p w14:paraId="35D46614">
            <w:pPr>
              <w:pStyle w:val="12"/>
            </w:pPr>
            <w:r>
              <w:t>家庭经济困难补助实施年限</w:t>
            </w:r>
          </w:p>
        </w:tc>
        <w:tc>
          <w:tcPr>
            <w:tcW w:w="2268" w:type="dxa"/>
            <w:vAlign w:val="center"/>
          </w:tcPr>
          <w:p w14:paraId="1E7947C6">
            <w:pPr>
              <w:pStyle w:val="12"/>
            </w:pPr>
            <w:r>
              <w:t>3年</w:t>
            </w:r>
          </w:p>
        </w:tc>
        <w:tc>
          <w:tcPr>
            <w:tcW w:w="1276" w:type="dxa"/>
            <w:vAlign w:val="center"/>
          </w:tcPr>
          <w:p w14:paraId="00D96753">
            <w:pPr>
              <w:pStyle w:val="12"/>
            </w:pPr>
            <w:r>
              <w:t>城乡义务教育“两免一补”资助实施细则</w:t>
            </w:r>
          </w:p>
        </w:tc>
      </w:tr>
      <w:tr w14:paraId="09C1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5449B">
            <w:pPr>
              <w:pStyle w:val="13"/>
            </w:pPr>
            <w:r>
              <w:t>满意度指标</w:t>
            </w:r>
          </w:p>
        </w:tc>
        <w:tc>
          <w:tcPr>
            <w:tcW w:w="2268" w:type="dxa"/>
            <w:vAlign w:val="center"/>
          </w:tcPr>
          <w:p w14:paraId="37289340">
            <w:pPr>
              <w:pStyle w:val="12"/>
            </w:pPr>
            <w:r>
              <w:t>服务对象满意度指标</w:t>
            </w:r>
          </w:p>
        </w:tc>
        <w:tc>
          <w:tcPr>
            <w:tcW w:w="2835" w:type="dxa"/>
            <w:vAlign w:val="center"/>
          </w:tcPr>
          <w:p w14:paraId="79695C64">
            <w:pPr>
              <w:pStyle w:val="12"/>
            </w:pPr>
            <w:r>
              <w:t>受益学生家长及调查满意度</w:t>
            </w:r>
          </w:p>
        </w:tc>
        <w:tc>
          <w:tcPr>
            <w:tcW w:w="5386" w:type="dxa"/>
            <w:vAlign w:val="center"/>
          </w:tcPr>
          <w:p w14:paraId="224A9AAF">
            <w:pPr>
              <w:pStyle w:val="12"/>
            </w:pPr>
            <w:r>
              <w:t>学生、教师及家长对学校保教保育工作满意度情况</w:t>
            </w:r>
          </w:p>
        </w:tc>
        <w:tc>
          <w:tcPr>
            <w:tcW w:w="2268" w:type="dxa"/>
            <w:vAlign w:val="center"/>
          </w:tcPr>
          <w:p w14:paraId="3758CC1E">
            <w:pPr>
              <w:pStyle w:val="12"/>
            </w:pPr>
            <w:r>
              <w:t>≥95%</w:t>
            </w:r>
          </w:p>
        </w:tc>
        <w:tc>
          <w:tcPr>
            <w:tcW w:w="1276" w:type="dxa"/>
            <w:vAlign w:val="center"/>
          </w:tcPr>
          <w:p w14:paraId="2B51B6DC">
            <w:pPr>
              <w:pStyle w:val="12"/>
            </w:pPr>
            <w:r>
              <w:t>调查问卷</w:t>
            </w:r>
          </w:p>
        </w:tc>
      </w:tr>
    </w:tbl>
    <w:p w14:paraId="77D43664">
      <w:pPr>
        <w:sectPr>
          <w:pgSz w:w="16840" w:h="11900" w:orient="landscape"/>
          <w:pgMar w:top="1361" w:right="1020" w:bottom="1134" w:left="1020" w:header="720" w:footer="720" w:gutter="0"/>
          <w:cols w:space="720" w:num="1"/>
        </w:sectPr>
      </w:pPr>
    </w:p>
    <w:p w14:paraId="19EF6939">
      <w:pPr>
        <w:spacing w:before="0" w:after="0"/>
        <w:ind w:firstLine="560"/>
        <w:jc w:val="left"/>
        <w:outlineLvl w:val="9"/>
      </w:pPr>
      <w:r>
        <w:rPr>
          <w:rFonts w:ascii="方正仿宋_GBK" w:hAnsi="方正仿宋_GBK" w:eastAsia="方正仿宋_GBK" w:cs="方正仿宋_GBK"/>
          <w:b/>
          <w:color w:val="000000"/>
          <w:sz w:val="28"/>
        </w:rPr>
        <w:t>16、冀财教[2025]147号/省级/2026年义教补助经费/家庭经济困难学生生活补助（小学）</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45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9706F">
            <w:pPr>
              <w:pStyle w:val="11"/>
            </w:pPr>
            <w:r>
              <w:t>单位：万元</w:t>
            </w:r>
          </w:p>
        </w:tc>
      </w:tr>
      <w:tr w14:paraId="564AF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418ED">
            <w:pPr>
              <w:pStyle w:val="10"/>
            </w:pPr>
            <w:r>
              <w:t>项目编码</w:t>
            </w:r>
          </w:p>
        </w:tc>
        <w:tc>
          <w:tcPr>
            <w:tcW w:w="5103" w:type="dxa"/>
            <w:gridSpan w:val="2"/>
            <w:vAlign w:val="center"/>
          </w:tcPr>
          <w:p w14:paraId="6F8A91FB">
            <w:pPr>
              <w:pStyle w:val="12"/>
            </w:pPr>
            <w:r>
              <w:t>13052526P000010100122</w:t>
            </w:r>
          </w:p>
        </w:tc>
        <w:tc>
          <w:tcPr>
            <w:tcW w:w="2835" w:type="dxa"/>
            <w:vAlign w:val="center"/>
          </w:tcPr>
          <w:p w14:paraId="36A665EC">
            <w:pPr>
              <w:pStyle w:val="10"/>
            </w:pPr>
            <w:r>
              <w:t>项目名称</w:t>
            </w:r>
          </w:p>
        </w:tc>
        <w:tc>
          <w:tcPr>
            <w:tcW w:w="6095" w:type="dxa"/>
            <w:gridSpan w:val="3"/>
            <w:vAlign w:val="center"/>
          </w:tcPr>
          <w:p w14:paraId="6914BA5B">
            <w:pPr>
              <w:pStyle w:val="12"/>
            </w:pPr>
            <w:r>
              <w:t>冀财教[2025]147号/省级/2026年义教补助经费/家庭经济困难学生生活补助（小学）</w:t>
            </w:r>
            <w:r>
              <w:tab/>
            </w:r>
            <w:r>
              <w:tab/>
            </w:r>
          </w:p>
        </w:tc>
      </w:tr>
      <w:tr w14:paraId="34DF4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32184">
            <w:pPr>
              <w:pStyle w:val="10"/>
            </w:pPr>
            <w:r>
              <w:t>预算规模及资金用途</w:t>
            </w:r>
          </w:p>
        </w:tc>
        <w:tc>
          <w:tcPr>
            <w:tcW w:w="2268" w:type="dxa"/>
            <w:vAlign w:val="center"/>
          </w:tcPr>
          <w:p w14:paraId="53C0FC9C">
            <w:pPr>
              <w:pStyle w:val="10"/>
            </w:pPr>
            <w:r>
              <w:t>预算数</w:t>
            </w:r>
          </w:p>
        </w:tc>
        <w:tc>
          <w:tcPr>
            <w:tcW w:w="2835" w:type="dxa"/>
            <w:vAlign w:val="center"/>
          </w:tcPr>
          <w:p w14:paraId="3DA06565">
            <w:pPr>
              <w:pStyle w:val="12"/>
            </w:pPr>
            <w:r>
              <w:t>100.00</w:t>
            </w:r>
          </w:p>
        </w:tc>
        <w:tc>
          <w:tcPr>
            <w:tcW w:w="2835" w:type="dxa"/>
            <w:vAlign w:val="center"/>
          </w:tcPr>
          <w:p w14:paraId="401B9164">
            <w:pPr>
              <w:pStyle w:val="10"/>
            </w:pPr>
            <w:r>
              <w:t>其中：财政    资金</w:t>
            </w:r>
          </w:p>
        </w:tc>
        <w:tc>
          <w:tcPr>
            <w:tcW w:w="2551" w:type="dxa"/>
            <w:vAlign w:val="center"/>
          </w:tcPr>
          <w:p w14:paraId="000C0940">
            <w:pPr>
              <w:pStyle w:val="12"/>
            </w:pPr>
            <w:r>
              <w:t>100.00</w:t>
            </w:r>
          </w:p>
        </w:tc>
        <w:tc>
          <w:tcPr>
            <w:tcW w:w="2268" w:type="dxa"/>
            <w:vAlign w:val="center"/>
          </w:tcPr>
          <w:p w14:paraId="311035D4">
            <w:pPr>
              <w:pStyle w:val="10"/>
            </w:pPr>
            <w:r>
              <w:t>其他资金</w:t>
            </w:r>
          </w:p>
        </w:tc>
        <w:tc>
          <w:tcPr>
            <w:tcW w:w="1276" w:type="dxa"/>
            <w:vAlign w:val="center"/>
          </w:tcPr>
          <w:p w14:paraId="279A5073">
            <w:pPr>
              <w:pStyle w:val="12"/>
            </w:pPr>
            <w:r>
              <w:t xml:space="preserve"> </w:t>
            </w:r>
          </w:p>
        </w:tc>
      </w:tr>
      <w:tr w14:paraId="3A777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9817A"/>
        </w:tc>
        <w:tc>
          <w:tcPr>
            <w:tcW w:w="14033" w:type="dxa"/>
            <w:gridSpan w:val="6"/>
            <w:vAlign w:val="center"/>
          </w:tcPr>
          <w:p w14:paraId="2BF9C32A">
            <w:pPr>
              <w:pStyle w:val="12"/>
            </w:pPr>
            <w:r>
              <w:t>保障落实建档立卡及家庭经济困难学生资助所需资金，确保建档立卡等家庭经济困难学生优先获得资助</w:t>
            </w:r>
            <w:r>
              <w:tab/>
            </w:r>
            <w:r>
              <w:tab/>
            </w:r>
            <w:r>
              <w:tab/>
            </w:r>
            <w:r>
              <w:tab/>
            </w:r>
            <w:r>
              <w:tab/>
            </w:r>
            <w:r>
              <w:tab/>
            </w:r>
          </w:p>
        </w:tc>
      </w:tr>
      <w:tr w14:paraId="15318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3B35B">
            <w:pPr>
              <w:pStyle w:val="10"/>
            </w:pPr>
            <w:r>
              <w:t>资金支出计划（%）</w:t>
            </w:r>
          </w:p>
        </w:tc>
        <w:tc>
          <w:tcPr>
            <w:tcW w:w="5103" w:type="dxa"/>
            <w:gridSpan w:val="2"/>
            <w:vAlign w:val="center"/>
          </w:tcPr>
          <w:p w14:paraId="4300F874">
            <w:pPr>
              <w:pStyle w:val="10"/>
            </w:pPr>
            <w:r>
              <w:t>3月底</w:t>
            </w:r>
          </w:p>
        </w:tc>
        <w:tc>
          <w:tcPr>
            <w:tcW w:w="2835" w:type="dxa"/>
            <w:vAlign w:val="center"/>
          </w:tcPr>
          <w:p w14:paraId="3AE88B22">
            <w:pPr>
              <w:pStyle w:val="10"/>
            </w:pPr>
            <w:r>
              <w:t>6月底</w:t>
            </w:r>
          </w:p>
        </w:tc>
        <w:tc>
          <w:tcPr>
            <w:tcW w:w="2551" w:type="dxa"/>
            <w:vAlign w:val="center"/>
          </w:tcPr>
          <w:p w14:paraId="704A479D">
            <w:pPr>
              <w:pStyle w:val="10"/>
            </w:pPr>
            <w:r>
              <w:t>10月底</w:t>
            </w:r>
          </w:p>
        </w:tc>
        <w:tc>
          <w:tcPr>
            <w:tcW w:w="3544" w:type="dxa"/>
            <w:gridSpan w:val="2"/>
            <w:vAlign w:val="center"/>
          </w:tcPr>
          <w:p w14:paraId="1C96AD7C">
            <w:pPr>
              <w:pStyle w:val="10"/>
            </w:pPr>
            <w:r>
              <w:t>12月底</w:t>
            </w:r>
          </w:p>
        </w:tc>
      </w:tr>
      <w:tr w14:paraId="7ACF1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CE3BE"/>
        </w:tc>
        <w:tc>
          <w:tcPr>
            <w:tcW w:w="5103" w:type="dxa"/>
            <w:gridSpan w:val="2"/>
            <w:vAlign w:val="center"/>
          </w:tcPr>
          <w:p w14:paraId="176DBD20">
            <w:pPr>
              <w:pStyle w:val="13"/>
            </w:pPr>
            <w:r>
              <w:t>25%</w:t>
            </w:r>
          </w:p>
        </w:tc>
        <w:tc>
          <w:tcPr>
            <w:tcW w:w="2835" w:type="dxa"/>
            <w:vAlign w:val="center"/>
          </w:tcPr>
          <w:p w14:paraId="45ED9DD1">
            <w:pPr>
              <w:pStyle w:val="13"/>
            </w:pPr>
            <w:r>
              <w:t>50%</w:t>
            </w:r>
          </w:p>
        </w:tc>
        <w:tc>
          <w:tcPr>
            <w:tcW w:w="2551" w:type="dxa"/>
            <w:vAlign w:val="center"/>
          </w:tcPr>
          <w:p w14:paraId="06BAE37A">
            <w:pPr>
              <w:pStyle w:val="13"/>
            </w:pPr>
            <w:r>
              <w:t>75%</w:t>
            </w:r>
          </w:p>
        </w:tc>
        <w:tc>
          <w:tcPr>
            <w:tcW w:w="3544" w:type="dxa"/>
            <w:gridSpan w:val="2"/>
            <w:vAlign w:val="center"/>
          </w:tcPr>
          <w:p w14:paraId="42F403E4">
            <w:pPr>
              <w:pStyle w:val="13"/>
            </w:pPr>
            <w:r>
              <w:t>100%</w:t>
            </w:r>
          </w:p>
        </w:tc>
      </w:tr>
      <w:tr w14:paraId="27B1D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A4AC1">
            <w:pPr>
              <w:pStyle w:val="10"/>
            </w:pPr>
            <w:r>
              <w:t>绩效目标</w:t>
            </w:r>
          </w:p>
        </w:tc>
        <w:tc>
          <w:tcPr>
            <w:tcW w:w="14033" w:type="dxa"/>
            <w:gridSpan w:val="6"/>
            <w:vAlign w:val="center"/>
          </w:tcPr>
          <w:p w14:paraId="598B71D7">
            <w:pPr>
              <w:pStyle w:val="12"/>
            </w:pPr>
            <w:r>
              <w:t>1.保障落实建档立卡及家庭经济困难学生资助所需资金，确保建档立卡等家庭经济困难学生优先获得资助</w:t>
            </w:r>
          </w:p>
        </w:tc>
      </w:tr>
    </w:tbl>
    <w:p w14:paraId="706F6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0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3EDFD">
            <w:pPr>
              <w:pStyle w:val="10"/>
            </w:pPr>
            <w:r>
              <w:t>一级指标</w:t>
            </w:r>
          </w:p>
        </w:tc>
        <w:tc>
          <w:tcPr>
            <w:tcW w:w="2268" w:type="dxa"/>
            <w:vAlign w:val="center"/>
          </w:tcPr>
          <w:p w14:paraId="46DD8F53">
            <w:pPr>
              <w:pStyle w:val="10"/>
            </w:pPr>
            <w:r>
              <w:t>二级指标</w:t>
            </w:r>
          </w:p>
        </w:tc>
        <w:tc>
          <w:tcPr>
            <w:tcW w:w="2835" w:type="dxa"/>
            <w:vAlign w:val="center"/>
          </w:tcPr>
          <w:p w14:paraId="02AA8F7A">
            <w:pPr>
              <w:pStyle w:val="10"/>
            </w:pPr>
            <w:r>
              <w:t>三级指标</w:t>
            </w:r>
          </w:p>
        </w:tc>
        <w:tc>
          <w:tcPr>
            <w:tcW w:w="5386" w:type="dxa"/>
            <w:vAlign w:val="center"/>
          </w:tcPr>
          <w:p w14:paraId="4A4E3CB1">
            <w:pPr>
              <w:pStyle w:val="10"/>
            </w:pPr>
            <w:r>
              <w:t>绩效指标描述</w:t>
            </w:r>
          </w:p>
        </w:tc>
        <w:tc>
          <w:tcPr>
            <w:tcW w:w="2268" w:type="dxa"/>
            <w:vAlign w:val="center"/>
          </w:tcPr>
          <w:p w14:paraId="0AF26EDA">
            <w:pPr>
              <w:pStyle w:val="10"/>
            </w:pPr>
            <w:r>
              <w:t>指标值</w:t>
            </w:r>
          </w:p>
        </w:tc>
        <w:tc>
          <w:tcPr>
            <w:tcW w:w="1276" w:type="dxa"/>
            <w:vAlign w:val="center"/>
          </w:tcPr>
          <w:p w14:paraId="49CA4E1B">
            <w:pPr>
              <w:pStyle w:val="10"/>
            </w:pPr>
            <w:r>
              <w:t>指标值确定依据</w:t>
            </w:r>
          </w:p>
        </w:tc>
      </w:tr>
      <w:tr w14:paraId="6E41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7A2D7">
            <w:pPr>
              <w:pStyle w:val="13"/>
            </w:pPr>
            <w:r>
              <w:t>产出指标</w:t>
            </w:r>
          </w:p>
        </w:tc>
        <w:tc>
          <w:tcPr>
            <w:tcW w:w="2268" w:type="dxa"/>
            <w:vAlign w:val="center"/>
          </w:tcPr>
          <w:p w14:paraId="069F0A12">
            <w:pPr>
              <w:pStyle w:val="12"/>
            </w:pPr>
            <w:r>
              <w:t>数量指标</w:t>
            </w:r>
          </w:p>
        </w:tc>
        <w:tc>
          <w:tcPr>
            <w:tcW w:w="2835" w:type="dxa"/>
            <w:vAlign w:val="center"/>
          </w:tcPr>
          <w:p w14:paraId="28A993EF">
            <w:pPr>
              <w:pStyle w:val="12"/>
            </w:pPr>
            <w:r>
              <w:t>家庭经济困难资助比例</w:t>
            </w:r>
          </w:p>
        </w:tc>
        <w:tc>
          <w:tcPr>
            <w:tcW w:w="5386" w:type="dxa"/>
            <w:vAlign w:val="center"/>
          </w:tcPr>
          <w:p w14:paraId="09C2EBD8">
            <w:pPr>
              <w:pStyle w:val="12"/>
            </w:pPr>
            <w:r>
              <w:t>寄宿生按义教在校生15%测算，非寄宿生按义教在校生5%测算</w:t>
            </w:r>
          </w:p>
        </w:tc>
        <w:tc>
          <w:tcPr>
            <w:tcW w:w="2268" w:type="dxa"/>
            <w:vAlign w:val="center"/>
          </w:tcPr>
          <w:p w14:paraId="667E71A8">
            <w:pPr>
              <w:pStyle w:val="12"/>
            </w:pPr>
            <w:r>
              <w:t>2616人</w:t>
            </w:r>
          </w:p>
        </w:tc>
        <w:tc>
          <w:tcPr>
            <w:tcW w:w="1276" w:type="dxa"/>
            <w:vAlign w:val="center"/>
          </w:tcPr>
          <w:p w14:paraId="446EABD0">
            <w:pPr>
              <w:pStyle w:val="12"/>
            </w:pPr>
            <w:r>
              <w:t>城乡义务教育“两免一补”资助实施细则</w:t>
            </w:r>
          </w:p>
        </w:tc>
      </w:tr>
      <w:tr w14:paraId="486C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34AE8"/>
        </w:tc>
        <w:tc>
          <w:tcPr>
            <w:tcW w:w="2268" w:type="dxa"/>
            <w:vAlign w:val="center"/>
          </w:tcPr>
          <w:p w14:paraId="799AA65C">
            <w:pPr>
              <w:pStyle w:val="12"/>
            </w:pPr>
            <w:r>
              <w:t>质量指标</w:t>
            </w:r>
          </w:p>
        </w:tc>
        <w:tc>
          <w:tcPr>
            <w:tcW w:w="2835" w:type="dxa"/>
            <w:vAlign w:val="center"/>
          </w:tcPr>
          <w:p w14:paraId="608FA629">
            <w:pPr>
              <w:pStyle w:val="12"/>
            </w:pPr>
            <w:r>
              <w:t>义务教育资助制度落实情况</w:t>
            </w:r>
          </w:p>
        </w:tc>
        <w:tc>
          <w:tcPr>
            <w:tcW w:w="5386" w:type="dxa"/>
            <w:vAlign w:val="center"/>
          </w:tcPr>
          <w:p w14:paraId="2EED3FE5">
            <w:pPr>
              <w:pStyle w:val="12"/>
            </w:pPr>
            <w:r>
              <w:t>符合享受资助条件的学生应助尽助</w:t>
            </w:r>
          </w:p>
        </w:tc>
        <w:tc>
          <w:tcPr>
            <w:tcW w:w="2268" w:type="dxa"/>
            <w:vAlign w:val="center"/>
          </w:tcPr>
          <w:p w14:paraId="1ECCA629">
            <w:pPr>
              <w:pStyle w:val="12"/>
            </w:pPr>
            <w:r>
              <w:t>≥99%</w:t>
            </w:r>
          </w:p>
        </w:tc>
        <w:tc>
          <w:tcPr>
            <w:tcW w:w="1276" w:type="dxa"/>
            <w:vAlign w:val="center"/>
          </w:tcPr>
          <w:p w14:paraId="4BC75C50">
            <w:pPr>
              <w:pStyle w:val="12"/>
            </w:pPr>
            <w:r>
              <w:t>城乡义务教育“两免一补”资助实施细则</w:t>
            </w:r>
          </w:p>
        </w:tc>
      </w:tr>
      <w:tr w14:paraId="4A33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86258"/>
        </w:tc>
        <w:tc>
          <w:tcPr>
            <w:tcW w:w="2268" w:type="dxa"/>
            <w:vAlign w:val="center"/>
          </w:tcPr>
          <w:p w14:paraId="3D69D76C">
            <w:pPr>
              <w:pStyle w:val="12"/>
            </w:pPr>
            <w:r>
              <w:t>时效指标</w:t>
            </w:r>
          </w:p>
        </w:tc>
        <w:tc>
          <w:tcPr>
            <w:tcW w:w="2835" w:type="dxa"/>
            <w:vAlign w:val="center"/>
          </w:tcPr>
          <w:p w14:paraId="707C7F89">
            <w:pPr>
              <w:pStyle w:val="12"/>
            </w:pPr>
            <w:r>
              <w:t>资金拨付率</w:t>
            </w:r>
          </w:p>
        </w:tc>
        <w:tc>
          <w:tcPr>
            <w:tcW w:w="5386" w:type="dxa"/>
            <w:vAlign w:val="center"/>
          </w:tcPr>
          <w:p w14:paraId="25157DBA">
            <w:pPr>
              <w:pStyle w:val="12"/>
            </w:pPr>
            <w:r>
              <w:t>所有项目资金支付进度</w:t>
            </w:r>
          </w:p>
        </w:tc>
        <w:tc>
          <w:tcPr>
            <w:tcW w:w="2268" w:type="dxa"/>
            <w:vAlign w:val="center"/>
          </w:tcPr>
          <w:p w14:paraId="03107ABF">
            <w:pPr>
              <w:pStyle w:val="12"/>
            </w:pPr>
            <w:r>
              <w:t>≥99%</w:t>
            </w:r>
          </w:p>
        </w:tc>
        <w:tc>
          <w:tcPr>
            <w:tcW w:w="1276" w:type="dxa"/>
            <w:vAlign w:val="center"/>
          </w:tcPr>
          <w:p w14:paraId="3310D4C1">
            <w:pPr>
              <w:pStyle w:val="12"/>
            </w:pPr>
            <w:r>
              <w:t>城乡义务教育“两免一补”资助实施细则</w:t>
            </w:r>
          </w:p>
        </w:tc>
      </w:tr>
      <w:tr w14:paraId="0977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38E2E"/>
        </w:tc>
        <w:tc>
          <w:tcPr>
            <w:tcW w:w="2268" w:type="dxa"/>
            <w:vAlign w:val="center"/>
          </w:tcPr>
          <w:p w14:paraId="6CE79376">
            <w:pPr>
              <w:pStyle w:val="12"/>
            </w:pPr>
            <w:r>
              <w:t>成本指标</w:t>
            </w:r>
          </w:p>
        </w:tc>
        <w:tc>
          <w:tcPr>
            <w:tcW w:w="2835" w:type="dxa"/>
            <w:vAlign w:val="center"/>
          </w:tcPr>
          <w:p w14:paraId="26B639F5">
            <w:pPr>
              <w:pStyle w:val="12"/>
            </w:pPr>
            <w:r>
              <w:t>家庭经济困难寄宿及非</w:t>
            </w:r>
            <w:r>
              <w:rPr>
                <w:rFonts w:hint="eastAsia"/>
                <w:lang w:eastAsia="zh-CN"/>
              </w:rPr>
              <w:t>寄宿</w:t>
            </w:r>
            <w:r>
              <w:t>类学生补助标准</w:t>
            </w:r>
          </w:p>
        </w:tc>
        <w:tc>
          <w:tcPr>
            <w:tcW w:w="5386" w:type="dxa"/>
            <w:vAlign w:val="center"/>
          </w:tcPr>
          <w:p w14:paraId="777B3DD7">
            <w:pPr>
              <w:pStyle w:val="12"/>
            </w:pPr>
            <w:r>
              <w:t>小学寄宿：标准1250元/生/学年；非寄宿标准625元/生/学年</w:t>
            </w:r>
          </w:p>
        </w:tc>
        <w:tc>
          <w:tcPr>
            <w:tcW w:w="2268" w:type="dxa"/>
            <w:vAlign w:val="center"/>
          </w:tcPr>
          <w:p w14:paraId="17DF092D">
            <w:pPr>
              <w:pStyle w:val="12"/>
            </w:pPr>
            <w:r>
              <w:t>1250元</w:t>
            </w:r>
          </w:p>
        </w:tc>
        <w:tc>
          <w:tcPr>
            <w:tcW w:w="1276" w:type="dxa"/>
            <w:vAlign w:val="center"/>
          </w:tcPr>
          <w:p w14:paraId="15A9664E">
            <w:pPr>
              <w:pStyle w:val="12"/>
            </w:pPr>
            <w:r>
              <w:t>城乡义务教育“两免一补”资助实施细则</w:t>
            </w:r>
          </w:p>
        </w:tc>
      </w:tr>
      <w:tr w14:paraId="2703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887B1">
            <w:pPr>
              <w:pStyle w:val="13"/>
            </w:pPr>
            <w:r>
              <w:t>效益指标</w:t>
            </w:r>
          </w:p>
        </w:tc>
        <w:tc>
          <w:tcPr>
            <w:tcW w:w="2268" w:type="dxa"/>
            <w:vAlign w:val="center"/>
          </w:tcPr>
          <w:p w14:paraId="334C1462">
            <w:pPr>
              <w:pStyle w:val="12"/>
            </w:pPr>
            <w:r>
              <w:t>可持续影响指标</w:t>
            </w:r>
          </w:p>
        </w:tc>
        <w:tc>
          <w:tcPr>
            <w:tcW w:w="2835" w:type="dxa"/>
            <w:vAlign w:val="center"/>
          </w:tcPr>
          <w:p w14:paraId="5FE05B1C">
            <w:pPr>
              <w:pStyle w:val="12"/>
            </w:pPr>
            <w:r>
              <w:t>项目实施成果</w:t>
            </w:r>
          </w:p>
        </w:tc>
        <w:tc>
          <w:tcPr>
            <w:tcW w:w="5386" w:type="dxa"/>
            <w:vAlign w:val="center"/>
          </w:tcPr>
          <w:p w14:paraId="3475D099">
            <w:pPr>
              <w:pStyle w:val="12"/>
            </w:pPr>
            <w:r>
              <w:t>家庭经济困难补助实施年限</w:t>
            </w:r>
          </w:p>
        </w:tc>
        <w:tc>
          <w:tcPr>
            <w:tcW w:w="2268" w:type="dxa"/>
            <w:vAlign w:val="center"/>
          </w:tcPr>
          <w:p w14:paraId="2418442E">
            <w:pPr>
              <w:pStyle w:val="12"/>
            </w:pPr>
            <w:r>
              <w:t>6年</w:t>
            </w:r>
          </w:p>
        </w:tc>
        <w:tc>
          <w:tcPr>
            <w:tcW w:w="1276" w:type="dxa"/>
            <w:vAlign w:val="center"/>
          </w:tcPr>
          <w:p w14:paraId="46068818">
            <w:pPr>
              <w:pStyle w:val="12"/>
            </w:pPr>
            <w:r>
              <w:t>城乡义务教育“两免一补”资助实施细则</w:t>
            </w:r>
          </w:p>
        </w:tc>
      </w:tr>
      <w:tr w14:paraId="1DB6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482EF">
            <w:pPr>
              <w:pStyle w:val="13"/>
            </w:pPr>
            <w:r>
              <w:t>满意度指标</w:t>
            </w:r>
          </w:p>
        </w:tc>
        <w:tc>
          <w:tcPr>
            <w:tcW w:w="2268" w:type="dxa"/>
            <w:vAlign w:val="center"/>
          </w:tcPr>
          <w:p w14:paraId="2685D037">
            <w:pPr>
              <w:pStyle w:val="12"/>
            </w:pPr>
            <w:r>
              <w:t>服务对象满意度指标</w:t>
            </w:r>
          </w:p>
        </w:tc>
        <w:tc>
          <w:tcPr>
            <w:tcW w:w="2835" w:type="dxa"/>
            <w:vAlign w:val="center"/>
          </w:tcPr>
          <w:p w14:paraId="244F0854">
            <w:pPr>
              <w:pStyle w:val="12"/>
            </w:pPr>
            <w:r>
              <w:t>受益学生家长及调查满意度</w:t>
            </w:r>
          </w:p>
        </w:tc>
        <w:tc>
          <w:tcPr>
            <w:tcW w:w="5386" w:type="dxa"/>
            <w:vAlign w:val="center"/>
          </w:tcPr>
          <w:p w14:paraId="6A9EA7D3">
            <w:pPr>
              <w:pStyle w:val="12"/>
            </w:pPr>
            <w:r>
              <w:t>学生、教师及家长对学校保教保育工作满意度情况</w:t>
            </w:r>
          </w:p>
        </w:tc>
        <w:tc>
          <w:tcPr>
            <w:tcW w:w="2268" w:type="dxa"/>
            <w:vAlign w:val="center"/>
          </w:tcPr>
          <w:p w14:paraId="7389E77D">
            <w:pPr>
              <w:pStyle w:val="12"/>
            </w:pPr>
            <w:r>
              <w:t>≥95%</w:t>
            </w:r>
          </w:p>
        </w:tc>
        <w:tc>
          <w:tcPr>
            <w:tcW w:w="1276" w:type="dxa"/>
            <w:vAlign w:val="center"/>
          </w:tcPr>
          <w:p w14:paraId="54286A7F">
            <w:pPr>
              <w:pStyle w:val="12"/>
            </w:pPr>
            <w:r>
              <w:t>调查问卷</w:t>
            </w:r>
          </w:p>
        </w:tc>
      </w:tr>
    </w:tbl>
    <w:p w14:paraId="0C53B73B">
      <w:pPr>
        <w:sectPr>
          <w:pgSz w:w="16840" w:h="11900" w:orient="landscape"/>
          <w:pgMar w:top="1361" w:right="1020" w:bottom="1134" w:left="1020" w:header="720" w:footer="720" w:gutter="0"/>
          <w:cols w:space="720" w:num="1"/>
        </w:sectPr>
      </w:pPr>
    </w:p>
    <w:p w14:paraId="0EAAC967">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17、冀财教[2025]147号/省级/2026年义教补助经费/营养改善计划绩效目标表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6D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34B28">
            <w:pPr>
              <w:pStyle w:val="11"/>
            </w:pPr>
            <w:r>
              <w:t>单位：万元</w:t>
            </w:r>
          </w:p>
        </w:tc>
      </w:tr>
      <w:tr w14:paraId="47B1B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8252E">
            <w:pPr>
              <w:pStyle w:val="10"/>
            </w:pPr>
            <w:r>
              <w:t>项目编码</w:t>
            </w:r>
          </w:p>
        </w:tc>
        <w:tc>
          <w:tcPr>
            <w:tcW w:w="5103" w:type="dxa"/>
            <w:gridSpan w:val="2"/>
            <w:vAlign w:val="center"/>
          </w:tcPr>
          <w:p w14:paraId="2B13C66B">
            <w:pPr>
              <w:pStyle w:val="12"/>
            </w:pPr>
            <w:r>
              <w:t>13052526P000016100053</w:t>
            </w:r>
          </w:p>
        </w:tc>
        <w:tc>
          <w:tcPr>
            <w:tcW w:w="2835" w:type="dxa"/>
            <w:vAlign w:val="center"/>
          </w:tcPr>
          <w:p w14:paraId="5E688F79">
            <w:pPr>
              <w:pStyle w:val="10"/>
            </w:pPr>
            <w:r>
              <w:t>项目名称</w:t>
            </w:r>
          </w:p>
        </w:tc>
        <w:tc>
          <w:tcPr>
            <w:tcW w:w="6095" w:type="dxa"/>
            <w:gridSpan w:val="3"/>
            <w:vAlign w:val="center"/>
          </w:tcPr>
          <w:p w14:paraId="4C81BC30">
            <w:pPr>
              <w:pStyle w:val="12"/>
            </w:pPr>
            <w:r>
              <w:t>冀财教[2025]147号/省级/2026年义教补助经费/营养改善计划</w:t>
            </w:r>
          </w:p>
        </w:tc>
      </w:tr>
      <w:tr w14:paraId="1DBBE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1D2C8">
            <w:pPr>
              <w:pStyle w:val="10"/>
            </w:pPr>
            <w:r>
              <w:t>预算规模及资金用途</w:t>
            </w:r>
          </w:p>
        </w:tc>
        <w:tc>
          <w:tcPr>
            <w:tcW w:w="2268" w:type="dxa"/>
            <w:vAlign w:val="center"/>
          </w:tcPr>
          <w:p w14:paraId="6CEFCEED">
            <w:pPr>
              <w:pStyle w:val="10"/>
            </w:pPr>
            <w:r>
              <w:t>预算数</w:t>
            </w:r>
          </w:p>
        </w:tc>
        <w:tc>
          <w:tcPr>
            <w:tcW w:w="2835" w:type="dxa"/>
            <w:vAlign w:val="center"/>
          </w:tcPr>
          <w:p w14:paraId="3308E9D5">
            <w:pPr>
              <w:pStyle w:val="12"/>
            </w:pPr>
            <w:r>
              <w:t>687.00</w:t>
            </w:r>
          </w:p>
        </w:tc>
        <w:tc>
          <w:tcPr>
            <w:tcW w:w="2835" w:type="dxa"/>
            <w:vAlign w:val="center"/>
          </w:tcPr>
          <w:p w14:paraId="3633FCA7">
            <w:pPr>
              <w:pStyle w:val="10"/>
            </w:pPr>
            <w:r>
              <w:t>其中：财政    资金</w:t>
            </w:r>
          </w:p>
        </w:tc>
        <w:tc>
          <w:tcPr>
            <w:tcW w:w="2551" w:type="dxa"/>
            <w:vAlign w:val="center"/>
          </w:tcPr>
          <w:p w14:paraId="21B92869">
            <w:pPr>
              <w:pStyle w:val="12"/>
            </w:pPr>
            <w:r>
              <w:t>687.00</w:t>
            </w:r>
          </w:p>
        </w:tc>
        <w:tc>
          <w:tcPr>
            <w:tcW w:w="2268" w:type="dxa"/>
            <w:vAlign w:val="center"/>
          </w:tcPr>
          <w:p w14:paraId="6F7AF93D">
            <w:pPr>
              <w:pStyle w:val="10"/>
            </w:pPr>
            <w:r>
              <w:t>其他资金</w:t>
            </w:r>
          </w:p>
        </w:tc>
        <w:tc>
          <w:tcPr>
            <w:tcW w:w="1276" w:type="dxa"/>
            <w:vAlign w:val="center"/>
          </w:tcPr>
          <w:p w14:paraId="4449F879">
            <w:pPr>
              <w:pStyle w:val="12"/>
            </w:pPr>
            <w:r>
              <w:t xml:space="preserve"> </w:t>
            </w:r>
          </w:p>
        </w:tc>
      </w:tr>
      <w:tr w14:paraId="1CC2E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38A22"/>
        </w:tc>
        <w:tc>
          <w:tcPr>
            <w:tcW w:w="14033" w:type="dxa"/>
            <w:gridSpan w:val="6"/>
            <w:vAlign w:val="center"/>
          </w:tcPr>
          <w:p w14:paraId="718312A0">
            <w:pPr>
              <w:pStyle w:val="12"/>
            </w:pPr>
            <w:r>
              <w:t>营养改善计划地方试点，每生每天2.5元，全年供餐200天，500元。</w:t>
            </w:r>
            <w:r>
              <w:tab/>
            </w:r>
            <w:r>
              <w:tab/>
            </w:r>
            <w:r>
              <w:tab/>
            </w:r>
          </w:p>
        </w:tc>
      </w:tr>
      <w:tr w14:paraId="7EC5A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ED0BD">
            <w:pPr>
              <w:pStyle w:val="10"/>
            </w:pPr>
            <w:r>
              <w:t>资金支出计划（%）</w:t>
            </w:r>
          </w:p>
        </w:tc>
        <w:tc>
          <w:tcPr>
            <w:tcW w:w="5103" w:type="dxa"/>
            <w:gridSpan w:val="2"/>
            <w:vAlign w:val="center"/>
          </w:tcPr>
          <w:p w14:paraId="5FF1DDCC">
            <w:pPr>
              <w:pStyle w:val="10"/>
            </w:pPr>
            <w:r>
              <w:t>3月底</w:t>
            </w:r>
          </w:p>
        </w:tc>
        <w:tc>
          <w:tcPr>
            <w:tcW w:w="2835" w:type="dxa"/>
            <w:vAlign w:val="center"/>
          </w:tcPr>
          <w:p w14:paraId="0BD7D8A6">
            <w:pPr>
              <w:pStyle w:val="10"/>
            </w:pPr>
            <w:r>
              <w:t>6月底</w:t>
            </w:r>
          </w:p>
        </w:tc>
        <w:tc>
          <w:tcPr>
            <w:tcW w:w="2551" w:type="dxa"/>
            <w:vAlign w:val="center"/>
          </w:tcPr>
          <w:p w14:paraId="4120E0EA">
            <w:pPr>
              <w:pStyle w:val="10"/>
            </w:pPr>
            <w:r>
              <w:t>10月底</w:t>
            </w:r>
          </w:p>
        </w:tc>
        <w:tc>
          <w:tcPr>
            <w:tcW w:w="3544" w:type="dxa"/>
            <w:gridSpan w:val="2"/>
            <w:vAlign w:val="center"/>
          </w:tcPr>
          <w:p w14:paraId="68068B3C">
            <w:pPr>
              <w:pStyle w:val="10"/>
            </w:pPr>
            <w:r>
              <w:t>12月底</w:t>
            </w:r>
          </w:p>
        </w:tc>
      </w:tr>
      <w:tr w14:paraId="66C9F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C57FE"/>
        </w:tc>
        <w:tc>
          <w:tcPr>
            <w:tcW w:w="5103" w:type="dxa"/>
            <w:gridSpan w:val="2"/>
            <w:vAlign w:val="center"/>
          </w:tcPr>
          <w:p w14:paraId="6C558C2B">
            <w:pPr>
              <w:pStyle w:val="13"/>
            </w:pPr>
            <w:r>
              <w:t>25%</w:t>
            </w:r>
          </w:p>
        </w:tc>
        <w:tc>
          <w:tcPr>
            <w:tcW w:w="2835" w:type="dxa"/>
            <w:vAlign w:val="center"/>
          </w:tcPr>
          <w:p w14:paraId="4E209B65">
            <w:pPr>
              <w:pStyle w:val="13"/>
            </w:pPr>
            <w:r>
              <w:t>50%</w:t>
            </w:r>
          </w:p>
        </w:tc>
        <w:tc>
          <w:tcPr>
            <w:tcW w:w="2551" w:type="dxa"/>
            <w:vAlign w:val="center"/>
          </w:tcPr>
          <w:p w14:paraId="5DE649B9">
            <w:pPr>
              <w:pStyle w:val="13"/>
            </w:pPr>
            <w:r>
              <w:t>75%</w:t>
            </w:r>
          </w:p>
        </w:tc>
        <w:tc>
          <w:tcPr>
            <w:tcW w:w="3544" w:type="dxa"/>
            <w:gridSpan w:val="2"/>
            <w:vAlign w:val="center"/>
          </w:tcPr>
          <w:p w14:paraId="72ED837E">
            <w:pPr>
              <w:pStyle w:val="13"/>
            </w:pPr>
            <w:r>
              <w:t>100%</w:t>
            </w:r>
          </w:p>
        </w:tc>
      </w:tr>
      <w:tr w14:paraId="67CF7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DF9B9">
            <w:pPr>
              <w:pStyle w:val="10"/>
            </w:pPr>
            <w:r>
              <w:t>绩效目标</w:t>
            </w:r>
          </w:p>
        </w:tc>
        <w:tc>
          <w:tcPr>
            <w:tcW w:w="14033" w:type="dxa"/>
            <w:gridSpan w:val="6"/>
            <w:vAlign w:val="center"/>
          </w:tcPr>
          <w:p w14:paraId="5532852D">
            <w:pPr>
              <w:pStyle w:val="12"/>
            </w:pPr>
            <w:r>
              <w:t>1.营养改善计划地方试点，每生每天2.5元，全年供餐200天，500元。</w:t>
            </w:r>
          </w:p>
        </w:tc>
      </w:tr>
    </w:tbl>
    <w:p w14:paraId="72683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D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3E167">
            <w:pPr>
              <w:pStyle w:val="10"/>
            </w:pPr>
            <w:r>
              <w:t>一级指标</w:t>
            </w:r>
          </w:p>
        </w:tc>
        <w:tc>
          <w:tcPr>
            <w:tcW w:w="2268" w:type="dxa"/>
            <w:vAlign w:val="center"/>
          </w:tcPr>
          <w:p w14:paraId="16F7AE27">
            <w:pPr>
              <w:pStyle w:val="10"/>
            </w:pPr>
            <w:r>
              <w:t>二级指标</w:t>
            </w:r>
          </w:p>
        </w:tc>
        <w:tc>
          <w:tcPr>
            <w:tcW w:w="2835" w:type="dxa"/>
            <w:vAlign w:val="center"/>
          </w:tcPr>
          <w:p w14:paraId="3D9C28EA">
            <w:pPr>
              <w:pStyle w:val="10"/>
            </w:pPr>
            <w:r>
              <w:t>三级指标</w:t>
            </w:r>
          </w:p>
        </w:tc>
        <w:tc>
          <w:tcPr>
            <w:tcW w:w="5386" w:type="dxa"/>
            <w:vAlign w:val="center"/>
          </w:tcPr>
          <w:p w14:paraId="4660A6F7">
            <w:pPr>
              <w:pStyle w:val="10"/>
            </w:pPr>
            <w:r>
              <w:t>绩效指标描述</w:t>
            </w:r>
          </w:p>
        </w:tc>
        <w:tc>
          <w:tcPr>
            <w:tcW w:w="2268" w:type="dxa"/>
            <w:vAlign w:val="center"/>
          </w:tcPr>
          <w:p w14:paraId="5C85FC2D">
            <w:pPr>
              <w:pStyle w:val="10"/>
            </w:pPr>
            <w:r>
              <w:t>指标值</w:t>
            </w:r>
          </w:p>
        </w:tc>
        <w:tc>
          <w:tcPr>
            <w:tcW w:w="1276" w:type="dxa"/>
            <w:vAlign w:val="center"/>
          </w:tcPr>
          <w:p w14:paraId="4FC42BA2">
            <w:pPr>
              <w:pStyle w:val="10"/>
            </w:pPr>
            <w:r>
              <w:t>指标值确定依据</w:t>
            </w:r>
          </w:p>
        </w:tc>
      </w:tr>
      <w:tr w14:paraId="0CD7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AB53A">
            <w:pPr>
              <w:pStyle w:val="13"/>
            </w:pPr>
            <w:r>
              <w:t>产出指标</w:t>
            </w:r>
          </w:p>
        </w:tc>
        <w:tc>
          <w:tcPr>
            <w:tcW w:w="2268" w:type="dxa"/>
            <w:vAlign w:val="center"/>
          </w:tcPr>
          <w:p w14:paraId="0DDA9655">
            <w:pPr>
              <w:pStyle w:val="12"/>
            </w:pPr>
            <w:r>
              <w:t>数量指标</w:t>
            </w:r>
          </w:p>
        </w:tc>
        <w:tc>
          <w:tcPr>
            <w:tcW w:w="2835" w:type="dxa"/>
            <w:vAlign w:val="center"/>
          </w:tcPr>
          <w:p w14:paraId="30849580">
            <w:pPr>
              <w:pStyle w:val="12"/>
            </w:pPr>
            <w:r>
              <w:t>营养改善计划省级试点补助学生数</w:t>
            </w:r>
          </w:p>
        </w:tc>
        <w:tc>
          <w:tcPr>
            <w:tcW w:w="5386" w:type="dxa"/>
            <w:vAlign w:val="center"/>
          </w:tcPr>
          <w:p w14:paraId="2CA3E01B">
            <w:pPr>
              <w:pStyle w:val="12"/>
            </w:pPr>
            <w:r>
              <w:t>农村义务教育学生营养改善计划省级试点补助覆盖除县城区外的义教阶段公办及民办小学</w:t>
            </w:r>
          </w:p>
        </w:tc>
        <w:tc>
          <w:tcPr>
            <w:tcW w:w="2268" w:type="dxa"/>
            <w:vAlign w:val="center"/>
          </w:tcPr>
          <w:p w14:paraId="2D1D575B">
            <w:pPr>
              <w:pStyle w:val="12"/>
            </w:pPr>
            <w:r>
              <w:t>28000人</w:t>
            </w:r>
          </w:p>
        </w:tc>
        <w:tc>
          <w:tcPr>
            <w:tcW w:w="1276" w:type="dxa"/>
            <w:vAlign w:val="center"/>
          </w:tcPr>
          <w:p w14:paraId="5A8E185F">
            <w:pPr>
              <w:pStyle w:val="12"/>
            </w:pPr>
            <w:r>
              <w:t>全省农村小学生中实施营养改善计划地方试点的实施方案</w:t>
            </w:r>
          </w:p>
          <w:p w14:paraId="13E7EB38">
            <w:pPr>
              <w:pStyle w:val="12"/>
            </w:pPr>
          </w:p>
        </w:tc>
      </w:tr>
      <w:tr w14:paraId="4930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03AED"/>
        </w:tc>
        <w:tc>
          <w:tcPr>
            <w:tcW w:w="2268" w:type="dxa"/>
            <w:vAlign w:val="center"/>
          </w:tcPr>
          <w:p w14:paraId="194801AB">
            <w:pPr>
              <w:pStyle w:val="12"/>
            </w:pPr>
            <w:r>
              <w:t>质量指标</w:t>
            </w:r>
          </w:p>
        </w:tc>
        <w:tc>
          <w:tcPr>
            <w:tcW w:w="2835" w:type="dxa"/>
            <w:vAlign w:val="center"/>
          </w:tcPr>
          <w:p w14:paraId="69E3C50B">
            <w:pPr>
              <w:pStyle w:val="12"/>
            </w:pPr>
            <w:r>
              <w:t>营养改善计划食品安全达标率</w:t>
            </w:r>
          </w:p>
        </w:tc>
        <w:tc>
          <w:tcPr>
            <w:tcW w:w="5386" w:type="dxa"/>
            <w:vAlign w:val="center"/>
          </w:tcPr>
          <w:p w14:paraId="5BFF06F4">
            <w:pPr>
              <w:pStyle w:val="12"/>
            </w:pPr>
            <w:r>
              <w:t>农村义务教育学生营养改善计划供餐质量达标率</w:t>
            </w:r>
          </w:p>
        </w:tc>
        <w:tc>
          <w:tcPr>
            <w:tcW w:w="2268" w:type="dxa"/>
            <w:vAlign w:val="center"/>
          </w:tcPr>
          <w:p w14:paraId="7078D4CC">
            <w:pPr>
              <w:pStyle w:val="12"/>
            </w:pPr>
            <w:r>
              <w:t>100%</w:t>
            </w:r>
          </w:p>
        </w:tc>
        <w:tc>
          <w:tcPr>
            <w:tcW w:w="1276" w:type="dxa"/>
            <w:vAlign w:val="center"/>
          </w:tcPr>
          <w:p w14:paraId="2DE61C37">
            <w:pPr>
              <w:pStyle w:val="12"/>
            </w:pPr>
            <w:r>
              <w:t>全省农村小学生中实施营养改善计划地方试点的实施方案</w:t>
            </w:r>
          </w:p>
          <w:p w14:paraId="1B97ED90">
            <w:pPr>
              <w:pStyle w:val="12"/>
            </w:pPr>
          </w:p>
        </w:tc>
      </w:tr>
      <w:tr w14:paraId="50967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85A23"/>
        </w:tc>
        <w:tc>
          <w:tcPr>
            <w:tcW w:w="2268" w:type="dxa"/>
            <w:vAlign w:val="center"/>
          </w:tcPr>
          <w:p w14:paraId="5A4E68F3">
            <w:pPr>
              <w:pStyle w:val="12"/>
            </w:pPr>
            <w:r>
              <w:t>时效指标</w:t>
            </w:r>
          </w:p>
        </w:tc>
        <w:tc>
          <w:tcPr>
            <w:tcW w:w="2835" w:type="dxa"/>
            <w:vAlign w:val="center"/>
          </w:tcPr>
          <w:p w14:paraId="4052ADAE">
            <w:pPr>
              <w:pStyle w:val="12"/>
            </w:pPr>
            <w:r>
              <w:t>资金拨付率</w:t>
            </w:r>
          </w:p>
        </w:tc>
        <w:tc>
          <w:tcPr>
            <w:tcW w:w="5386" w:type="dxa"/>
            <w:vAlign w:val="center"/>
          </w:tcPr>
          <w:p w14:paraId="1B8FF3DE">
            <w:pPr>
              <w:pStyle w:val="12"/>
            </w:pPr>
            <w:r>
              <w:t>按照供餐情况月底结算</w:t>
            </w:r>
          </w:p>
        </w:tc>
        <w:tc>
          <w:tcPr>
            <w:tcW w:w="2268" w:type="dxa"/>
            <w:vAlign w:val="center"/>
          </w:tcPr>
          <w:p w14:paraId="64D91A5E">
            <w:pPr>
              <w:pStyle w:val="12"/>
            </w:pPr>
            <w:r>
              <w:t>≥99%</w:t>
            </w:r>
          </w:p>
        </w:tc>
        <w:tc>
          <w:tcPr>
            <w:tcW w:w="1276" w:type="dxa"/>
            <w:vAlign w:val="center"/>
          </w:tcPr>
          <w:p w14:paraId="05D3F5A1">
            <w:pPr>
              <w:pStyle w:val="12"/>
            </w:pPr>
            <w:r>
              <w:t>全省农村小学生中实施营养改善计划地方试点的实施方案</w:t>
            </w:r>
          </w:p>
          <w:p w14:paraId="65214EE6">
            <w:pPr>
              <w:pStyle w:val="12"/>
            </w:pPr>
          </w:p>
        </w:tc>
      </w:tr>
      <w:tr w14:paraId="7EA6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FCA1C"/>
        </w:tc>
        <w:tc>
          <w:tcPr>
            <w:tcW w:w="2268" w:type="dxa"/>
            <w:vAlign w:val="center"/>
          </w:tcPr>
          <w:p w14:paraId="5F9754B4">
            <w:pPr>
              <w:pStyle w:val="12"/>
            </w:pPr>
            <w:r>
              <w:t>成本指标</w:t>
            </w:r>
          </w:p>
        </w:tc>
        <w:tc>
          <w:tcPr>
            <w:tcW w:w="2835" w:type="dxa"/>
            <w:vAlign w:val="center"/>
          </w:tcPr>
          <w:p w14:paraId="7B375216">
            <w:pPr>
              <w:pStyle w:val="12"/>
            </w:pPr>
            <w:r>
              <w:t>营养膳食生均补助标准</w:t>
            </w:r>
          </w:p>
        </w:tc>
        <w:tc>
          <w:tcPr>
            <w:tcW w:w="5386" w:type="dxa"/>
            <w:vAlign w:val="center"/>
          </w:tcPr>
          <w:p w14:paraId="13B32ACA">
            <w:pPr>
              <w:pStyle w:val="12"/>
            </w:pPr>
            <w:r>
              <w:t>农村义务教育学生营养膳食生均补助标准</w:t>
            </w:r>
          </w:p>
        </w:tc>
        <w:tc>
          <w:tcPr>
            <w:tcW w:w="2268" w:type="dxa"/>
            <w:vAlign w:val="center"/>
          </w:tcPr>
          <w:p w14:paraId="17A5AF8A">
            <w:pPr>
              <w:pStyle w:val="12"/>
            </w:pPr>
            <w:r>
              <w:t>2.5元/天</w:t>
            </w:r>
          </w:p>
        </w:tc>
        <w:tc>
          <w:tcPr>
            <w:tcW w:w="1276" w:type="dxa"/>
            <w:vAlign w:val="center"/>
          </w:tcPr>
          <w:p w14:paraId="72A9186B">
            <w:pPr>
              <w:pStyle w:val="12"/>
            </w:pPr>
            <w:r>
              <w:t>全省农村小学生中实施营养改善计划地方试点的实施方案</w:t>
            </w:r>
          </w:p>
          <w:p w14:paraId="783882CE">
            <w:pPr>
              <w:pStyle w:val="12"/>
            </w:pPr>
          </w:p>
        </w:tc>
      </w:tr>
      <w:tr w14:paraId="39E7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6A4A4">
            <w:pPr>
              <w:pStyle w:val="13"/>
            </w:pPr>
            <w:r>
              <w:t>效益指标</w:t>
            </w:r>
          </w:p>
        </w:tc>
        <w:tc>
          <w:tcPr>
            <w:tcW w:w="2268" w:type="dxa"/>
            <w:vAlign w:val="center"/>
          </w:tcPr>
          <w:p w14:paraId="60994AF3">
            <w:pPr>
              <w:pStyle w:val="12"/>
            </w:pPr>
            <w:r>
              <w:t>可持续影响指标</w:t>
            </w:r>
          </w:p>
        </w:tc>
        <w:tc>
          <w:tcPr>
            <w:tcW w:w="2835" w:type="dxa"/>
            <w:vAlign w:val="center"/>
          </w:tcPr>
          <w:p w14:paraId="05C2B55B">
            <w:pPr>
              <w:pStyle w:val="12"/>
            </w:pPr>
            <w:r>
              <w:t>学生受益年限</w:t>
            </w:r>
          </w:p>
        </w:tc>
        <w:tc>
          <w:tcPr>
            <w:tcW w:w="5386" w:type="dxa"/>
            <w:vAlign w:val="center"/>
          </w:tcPr>
          <w:p w14:paraId="44F7567E">
            <w:pPr>
              <w:pStyle w:val="12"/>
            </w:pPr>
            <w:r>
              <w:t>小学受教育年限</w:t>
            </w:r>
          </w:p>
        </w:tc>
        <w:tc>
          <w:tcPr>
            <w:tcW w:w="2268" w:type="dxa"/>
            <w:vAlign w:val="center"/>
          </w:tcPr>
          <w:p w14:paraId="3A411CF3">
            <w:pPr>
              <w:pStyle w:val="12"/>
            </w:pPr>
            <w:r>
              <w:t>6年</w:t>
            </w:r>
          </w:p>
        </w:tc>
        <w:tc>
          <w:tcPr>
            <w:tcW w:w="1276" w:type="dxa"/>
            <w:vAlign w:val="center"/>
          </w:tcPr>
          <w:p w14:paraId="3C77BB78">
            <w:pPr>
              <w:pStyle w:val="12"/>
            </w:pPr>
            <w:r>
              <w:t>全省农村小学生中实施营养改善计划地方试点的实施方案</w:t>
            </w:r>
          </w:p>
          <w:p w14:paraId="68CE43F9">
            <w:pPr>
              <w:pStyle w:val="12"/>
            </w:pPr>
          </w:p>
        </w:tc>
      </w:tr>
      <w:tr w14:paraId="198B3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C0793">
            <w:pPr>
              <w:pStyle w:val="13"/>
            </w:pPr>
            <w:r>
              <w:t>满意度指标</w:t>
            </w:r>
          </w:p>
        </w:tc>
        <w:tc>
          <w:tcPr>
            <w:tcW w:w="2268" w:type="dxa"/>
            <w:vAlign w:val="center"/>
          </w:tcPr>
          <w:p w14:paraId="54721FD3">
            <w:pPr>
              <w:pStyle w:val="12"/>
            </w:pPr>
            <w:r>
              <w:t>服务对象满意度指标</w:t>
            </w:r>
          </w:p>
        </w:tc>
        <w:tc>
          <w:tcPr>
            <w:tcW w:w="2835" w:type="dxa"/>
            <w:vAlign w:val="center"/>
          </w:tcPr>
          <w:p w14:paraId="5A661AEC">
            <w:pPr>
              <w:pStyle w:val="12"/>
            </w:pPr>
            <w:r>
              <w:t>教师满意度</w:t>
            </w:r>
          </w:p>
        </w:tc>
        <w:tc>
          <w:tcPr>
            <w:tcW w:w="5386" w:type="dxa"/>
            <w:vAlign w:val="center"/>
          </w:tcPr>
          <w:p w14:paraId="2E787407">
            <w:pPr>
              <w:pStyle w:val="12"/>
            </w:pPr>
            <w:r>
              <w:t>家长对实施项目的满意度</w:t>
            </w:r>
          </w:p>
        </w:tc>
        <w:tc>
          <w:tcPr>
            <w:tcW w:w="2268" w:type="dxa"/>
            <w:vAlign w:val="center"/>
          </w:tcPr>
          <w:p w14:paraId="25BE2EFB">
            <w:pPr>
              <w:pStyle w:val="12"/>
            </w:pPr>
            <w:r>
              <w:t>≥95%</w:t>
            </w:r>
          </w:p>
        </w:tc>
        <w:tc>
          <w:tcPr>
            <w:tcW w:w="1276" w:type="dxa"/>
            <w:vAlign w:val="center"/>
          </w:tcPr>
          <w:p w14:paraId="099CF319">
            <w:pPr>
              <w:pStyle w:val="12"/>
            </w:pPr>
            <w:r>
              <w:t>全省农村小学生中实施营养改善计划地方试点的实施方案</w:t>
            </w:r>
          </w:p>
          <w:p w14:paraId="48E27DDC">
            <w:pPr>
              <w:pStyle w:val="12"/>
            </w:pPr>
          </w:p>
        </w:tc>
      </w:tr>
    </w:tbl>
    <w:p w14:paraId="6C8C58C1">
      <w:pPr>
        <w:sectPr>
          <w:pgSz w:w="16840" w:h="11900" w:orient="landscape"/>
          <w:pgMar w:top="1361" w:right="1020" w:bottom="1134" w:left="1020" w:header="720" w:footer="720" w:gutter="0"/>
          <w:cols w:space="720" w:num="1"/>
        </w:sectPr>
      </w:pPr>
    </w:p>
    <w:p w14:paraId="45D56B3E">
      <w:pPr>
        <w:spacing w:before="0" w:after="0"/>
        <w:ind w:firstLine="560"/>
        <w:jc w:val="left"/>
        <w:outlineLvl w:val="9"/>
      </w:pPr>
      <w:r>
        <w:rPr>
          <w:rFonts w:ascii="方正仿宋_GBK" w:hAnsi="方正仿宋_GBK" w:eastAsia="方正仿宋_GBK" w:cs="方正仿宋_GBK"/>
          <w:b/>
          <w:color w:val="000000"/>
          <w:sz w:val="28"/>
        </w:rPr>
        <w:t>18、冀财教[2025]150号/省级/2026年普通高中资金/普通高中三免（唐尧中学）建档立卡</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4A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90AF4">
            <w:pPr>
              <w:pStyle w:val="11"/>
            </w:pPr>
            <w:r>
              <w:t>单位：万元</w:t>
            </w:r>
          </w:p>
        </w:tc>
      </w:tr>
      <w:tr w14:paraId="0050B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C684A">
            <w:pPr>
              <w:pStyle w:val="10"/>
            </w:pPr>
            <w:r>
              <w:t>项目编码</w:t>
            </w:r>
          </w:p>
        </w:tc>
        <w:tc>
          <w:tcPr>
            <w:tcW w:w="5103" w:type="dxa"/>
            <w:gridSpan w:val="2"/>
            <w:vAlign w:val="center"/>
          </w:tcPr>
          <w:p w14:paraId="69B65441">
            <w:pPr>
              <w:pStyle w:val="12"/>
            </w:pPr>
            <w:r>
              <w:t>13052526P000012100667</w:t>
            </w:r>
          </w:p>
        </w:tc>
        <w:tc>
          <w:tcPr>
            <w:tcW w:w="2835" w:type="dxa"/>
            <w:vAlign w:val="center"/>
          </w:tcPr>
          <w:p w14:paraId="67C96F7A">
            <w:pPr>
              <w:pStyle w:val="10"/>
            </w:pPr>
            <w:r>
              <w:t>项目名称</w:t>
            </w:r>
          </w:p>
        </w:tc>
        <w:tc>
          <w:tcPr>
            <w:tcW w:w="6095" w:type="dxa"/>
            <w:gridSpan w:val="3"/>
            <w:vAlign w:val="center"/>
          </w:tcPr>
          <w:p w14:paraId="15452EBD">
            <w:pPr>
              <w:pStyle w:val="12"/>
            </w:pPr>
            <w:r>
              <w:t>冀财教[2025]150号/省级/2026年普通高中资金/普通高中三免（唐尧中学）建档立卡</w:t>
            </w:r>
            <w:r>
              <w:tab/>
            </w:r>
          </w:p>
        </w:tc>
      </w:tr>
      <w:tr w14:paraId="07804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90DEB">
            <w:pPr>
              <w:pStyle w:val="10"/>
            </w:pPr>
            <w:r>
              <w:t>预算规模及资金用途</w:t>
            </w:r>
          </w:p>
        </w:tc>
        <w:tc>
          <w:tcPr>
            <w:tcW w:w="2268" w:type="dxa"/>
            <w:vAlign w:val="center"/>
          </w:tcPr>
          <w:p w14:paraId="137636FF">
            <w:pPr>
              <w:pStyle w:val="10"/>
            </w:pPr>
            <w:r>
              <w:t>预算数</w:t>
            </w:r>
          </w:p>
        </w:tc>
        <w:tc>
          <w:tcPr>
            <w:tcW w:w="2835" w:type="dxa"/>
            <w:vAlign w:val="center"/>
          </w:tcPr>
          <w:p w14:paraId="33762541">
            <w:pPr>
              <w:pStyle w:val="12"/>
            </w:pPr>
            <w:r>
              <w:t>8.00</w:t>
            </w:r>
          </w:p>
        </w:tc>
        <w:tc>
          <w:tcPr>
            <w:tcW w:w="2835" w:type="dxa"/>
            <w:vAlign w:val="center"/>
          </w:tcPr>
          <w:p w14:paraId="66450773">
            <w:pPr>
              <w:pStyle w:val="10"/>
            </w:pPr>
            <w:r>
              <w:t>其中：财政    资金</w:t>
            </w:r>
          </w:p>
        </w:tc>
        <w:tc>
          <w:tcPr>
            <w:tcW w:w="2551" w:type="dxa"/>
            <w:vAlign w:val="center"/>
          </w:tcPr>
          <w:p w14:paraId="7BEE1C1D">
            <w:pPr>
              <w:pStyle w:val="12"/>
            </w:pPr>
            <w:r>
              <w:t>8.00</w:t>
            </w:r>
          </w:p>
        </w:tc>
        <w:tc>
          <w:tcPr>
            <w:tcW w:w="2268" w:type="dxa"/>
            <w:vAlign w:val="center"/>
          </w:tcPr>
          <w:p w14:paraId="5C06969C">
            <w:pPr>
              <w:pStyle w:val="10"/>
            </w:pPr>
            <w:r>
              <w:t>其他资金</w:t>
            </w:r>
          </w:p>
        </w:tc>
        <w:tc>
          <w:tcPr>
            <w:tcW w:w="1276" w:type="dxa"/>
            <w:vAlign w:val="center"/>
          </w:tcPr>
          <w:p w14:paraId="50E19EEF">
            <w:pPr>
              <w:pStyle w:val="12"/>
            </w:pPr>
            <w:r>
              <w:t xml:space="preserve"> </w:t>
            </w:r>
          </w:p>
        </w:tc>
      </w:tr>
      <w:tr w14:paraId="3FF72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39B80"/>
        </w:tc>
        <w:tc>
          <w:tcPr>
            <w:tcW w:w="14033" w:type="dxa"/>
            <w:gridSpan w:val="6"/>
            <w:vAlign w:val="center"/>
          </w:tcPr>
          <w:p w14:paraId="4B619D7A">
            <w:pPr>
              <w:pStyle w:val="12"/>
            </w:pPr>
            <w:r>
              <w:t>深入宣传学生免学费政策，落实普通高中建档立卡家庭困难学生免除学杂费政策。</w:t>
            </w:r>
            <w:r>
              <w:tab/>
            </w:r>
            <w:r>
              <w:tab/>
            </w:r>
            <w:r>
              <w:tab/>
            </w:r>
            <w:r>
              <w:tab/>
            </w:r>
            <w:r>
              <w:tab/>
            </w:r>
            <w:r>
              <w:tab/>
            </w:r>
          </w:p>
        </w:tc>
      </w:tr>
      <w:tr w14:paraId="0F412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AA12B">
            <w:pPr>
              <w:pStyle w:val="10"/>
            </w:pPr>
            <w:r>
              <w:t>资金支出计划（%）</w:t>
            </w:r>
          </w:p>
        </w:tc>
        <w:tc>
          <w:tcPr>
            <w:tcW w:w="5103" w:type="dxa"/>
            <w:gridSpan w:val="2"/>
            <w:vAlign w:val="center"/>
          </w:tcPr>
          <w:p w14:paraId="72090F2B">
            <w:pPr>
              <w:pStyle w:val="10"/>
            </w:pPr>
            <w:r>
              <w:t>3月底</w:t>
            </w:r>
          </w:p>
        </w:tc>
        <w:tc>
          <w:tcPr>
            <w:tcW w:w="2835" w:type="dxa"/>
            <w:vAlign w:val="center"/>
          </w:tcPr>
          <w:p w14:paraId="79330643">
            <w:pPr>
              <w:pStyle w:val="10"/>
            </w:pPr>
            <w:r>
              <w:t>6月底</w:t>
            </w:r>
          </w:p>
        </w:tc>
        <w:tc>
          <w:tcPr>
            <w:tcW w:w="2551" w:type="dxa"/>
            <w:vAlign w:val="center"/>
          </w:tcPr>
          <w:p w14:paraId="55B01E9E">
            <w:pPr>
              <w:pStyle w:val="10"/>
            </w:pPr>
            <w:r>
              <w:t>10月底</w:t>
            </w:r>
          </w:p>
        </w:tc>
        <w:tc>
          <w:tcPr>
            <w:tcW w:w="3544" w:type="dxa"/>
            <w:gridSpan w:val="2"/>
            <w:vAlign w:val="center"/>
          </w:tcPr>
          <w:p w14:paraId="45B6AE51">
            <w:pPr>
              <w:pStyle w:val="10"/>
            </w:pPr>
            <w:r>
              <w:t>12月底</w:t>
            </w:r>
          </w:p>
        </w:tc>
      </w:tr>
      <w:tr w14:paraId="1F4FF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AD791"/>
        </w:tc>
        <w:tc>
          <w:tcPr>
            <w:tcW w:w="5103" w:type="dxa"/>
            <w:gridSpan w:val="2"/>
            <w:vAlign w:val="center"/>
          </w:tcPr>
          <w:p w14:paraId="6783E9BA">
            <w:pPr>
              <w:pStyle w:val="13"/>
            </w:pPr>
            <w:r>
              <w:t>25%</w:t>
            </w:r>
          </w:p>
        </w:tc>
        <w:tc>
          <w:tcPr>
            <w:tcW w:w="2835" w:type="dxa"/>
            <w:vAlign w:val="center"/>
          </w:tcPr>
          <w:p w14:paraId="784B21DF">
            <w:pPr>
              <w:pStyle w:val="13"/>
            </w:pPr>
            <w:r>
              <w:t>50%</w:t>
            </w:r>
          </w:p>
        </w:tc>
        <w:tc>
          <w:tcPr>
            <w:tcW w:w="2551" w:type="dxa"/>
            <w:vAlign w:val="center"/>
          </w:tcPr>
          <w:p w14:paraId="1AACC2A3">
            <w:pPr>
              <w:pStyle w:val="13"/>
            </w:pPr>
            <w:r>
              <w:t>75%</w:t>
            </w:r>
          </w:p>
        </w:tc>
        <w:tc>
          <w:tcPr>
            <w:tcW w:w="3544" w:type="dxa"/>
            <w:gridSpan w:val="2"/>
            <w:vAlign w:val="center"/>
          </w:tcPr>
          <w:p w14:paraId="0682518D">
            <w:pPr>
              <w:pStyle w:val="13"/>
            </w:pPr>
            <w:r>
              <w:t>100%</w:t>
            </w:r>
          </w:p>
        </w:tc>
      </w:tr>
      <w:tr w14:paraId="117D9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30F59">
            <w:pPr>
              <w:pStyle w:val="10"/>
            </w:pPr>
            <w:r>
              <w:t>绩效目标</w:t>
            </w:r>
          </w:p>
        </w:tc>
        <w:tc>
          <w:tcPr>
            <w:tcW w:w="14033" w:type="dxa"/>
            <w:gridSpan w:val="6"/>
            <w:vAlign w:val="center"/>
          </w:tcPr>
          <w:p w14:paraId="6788AEB5">
            <w:pPr>
              <w:pStyle w:val="12"/>
            </w:pPr>
            <w:r>
              <w:t>1.深入宣传学生免学费政策，落实普通高中建档立卡家庭困难学生免除学杂费政策。</w:t>
            </w:r>
          </w:p>
        </w:tc>
      </w:tr>
    </w:tbl>
    <w:p w14:paraId="5D148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9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F221D">
            <w:pPr>
              <w:pStyle w:val="10"/>
            </w:pPr>
            <w:r>
              <w:t>一级指标</w:t>
            </w:r>
          </w:p>
        </w:tc>
        <w:tc>
          <w:tcPr>
            <w:tcW w:w="2268" w:type="dxa"/>
            <w:vAlign w:val="center"/>
          </w:tcPr>
          <w:p w14:paraId="4AA2B024">
            <w:pPr>
              <w:pStyle w:val="10"/>
            </w:pPr>
            <w:r>
              <w:t>二级指标</w:t>
            </w:r>
          </w:p>
        </w:tc>
        <w:tc>
          <w:tcPr>
            <w:tcW w:w="2835" w:type="dxa"/>
            <w:vAlign w:val="center"/>
          </w:tcPr>
          <w:p w14:paraId="3BD601BB">
            <w:pPr>
              <w:pStyle w:val="10"/>
            </w:pPr>
            <w:r>
              <w:t>三级指标</w:t>
            </w:r>
          </w:p>
        </w:tc>
        <w:tc>
          <w:tcPr>
            <w:tcW w:w="5386" w:type="dxa"/>
            <w:vAlign w:val="center"/>
          </w:tcPr>
          <w:p w14:paraId="53C6E2E2">
            <w:pPr>
              <w:pStyle w:val="10"/>
            </w:pPr>
            <w:r>
              <w:t>绩效指标描述</w:t>
            </w:r>
          </w:p>
        </w:tc>
        <w:tc>
          <w:tcPr>
            <w:tcW w:w="2268" w:type="dxa"/>
            <w:vAlign w:val="center"/>
          </w:tcPr>
          <w:p w14:paraId="1189411A">
            <w:pPr>
              <w:pStyle w:val="10"/>
            </w:pPr>
            <w:r>
              <w:t>指标值</w:t>
            </w:r>
          </w:p>
        </w:tc>
        <w:tc>
          <w:tcPr>
            <w:tcW w:w="1276" w:type="dxa"/>
            <w:vAlign w:val="center"/>
          </w:tcPr>
          <w:p w14:paraId="689B9E69">
            <w:pPr>
              <w:pStyle w:val="10"/>
            </w:pPr>
            <w:r>
              <w:t>指标值确定依据</w:t>
            </w:r>
          </w:p>
        </w:tc>
      </w:tr>
      <w:tr w14:paraId="04C4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A08ED">
            <w:pPr>
              <w:pStyle w:val="13"/>
            </w:pPr>
            <w:r>
              <w:t>产出指标</w:t>
            </w:r>
          </w:p>
        </w:tc>
        <w:tc>
          <w:tcPr>
            <w:tcW w:w="2268" w:type="dxa"/>
            <w:vAlign w:val="center"/>
          </w:tcPr>
          <w:p w14:paraId="61A40D9F">
            <w:pPr>
              <w:pStyle w:val="12"/>
            </w:pPr>
            <w:r>
              <w:t>数量指标</w:t>
            </w:r>
          </w:p>
        </w:tc>
        <w:tc>
          <w:tcPr>
            <w:tcW w:w="2835" w:type="dxa"/>
            <w:vAlign w:val="center"/>
          </w:tcPr>
          <w:p w14:paraId="4799B8CC">
            <w:pPr>
              <w:pStyle w:val="12"/>
            </w:pPr>
            <w:r>
              <w:t>普通高中资助人数</w:t>
            </w:r>
          </w:p>
        </w:tc>
        <w:tc>
          <w:tcPr>
            <w:tcW w:w="5386" w:type="dxa"/>
            <w:vAlign w:val="center"/>
          </w:tcPr>
          <w:p w14:paraId="38136424">
            <w:pPr>
              <w:pStyle w:val="12"/>
            </w:pPr>
            <w:r>
              <w:t>在我校就读具有正式注册学籍的建档立卡家庭学生</w:t>
            </w:r>
          </w:p>
        </w:tc>
        <w:tc>
          <w:tcPr>
            <w:tcW w:w="2268" w:type="dxa"/>
            <w:vAlign w:val="center"/>
          </w:tcPr>
          <w:p w14:paraId="2DECB60F">
            <w:pPr>
              <w:pStyle w:val="12"/>
            </w:pPr>
            <w:r>
              <w:t>≥88人</w:t>
            </w:r>
          </w:p>
        </w:tc>
        <w:tc>
          <w:tcPr>
            <w:tcW w:w="1276" w:type="dxa"/>
            <w:vAlign w:val="center"/>
          </w:tcPr>
          <w:p w14:paraId="0E263098">
            <w:pPr>
              <w:pStyle w:val="12"/>
            </w:pPr>
            <w:r>
              <w:t>河北省建档立卡家庭经济困难学生资助管理暂行办法</w:t>
            </w:r>
          </w:p>
        </w:tc>
      </w:tr>
      <w:tr w14:paraId="1376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983CA"/>
        </w:tc>
        <w:tc>
          <w:tcPr>
            <w:tcW w:w="2268" w:type="dxa"/>
            <w:vAlign w:val="center"/>
          </w:tcPr>
          <w:p w14:paraId="4B65A88A">
            <w:pPr>
              <w:pStyle w:val="12"/>
            </w:pPr>
            <w:r>
              <w:t>质量指标</w:t>
            </w:r>
          </w:p>
        </w:tc>
        <w:tc>
          <w:tcPr>
            <w:tcW w:w="2835" w:type="dxa"/>
            <w:vAlign w:val="center"/>
          </w:tcPr>
          <w:p w14:paraId="73DA4844">
            <w:pPr>
              <w:pStyle w:val="12"/>
            </w:pPr>
            <w:r>
              <w:t>完成普高三免资金发放</w:t>
            </w:r>
          </w:p>
        </w:tc>
        <w:tc>
          <w:tcPr>
            <w:tcW w:w="5386" w:type="dxa"/>
            <w:vAlign w:val="center"/>
          </w:tcPr>
          <w:p w14:paraId="612F99D8">
            <w:pPr>
              <w:pStyle w:val="12"/>
            </w:pPr>
            <w:r>
              <w:t>普高三免为建档立卡学生</w:t>
            </w:r>
          </w:p>
        </w:tc>
        <w:tc>
          <w:tcPr>
            <w:tcW w:w="2268" w:type="dxa"/>
            <w:vAlign w:val="center"/>
          </w:tcPr>
          <w:p w14:paraId="160D7A9F">
            <w:pPr>
              <w:pStyle w:val="12"/>
            </w:pPr>
            <w:r>
              <w:t>100%</w:t>
            </w:r>
          </w:p>
        </w:tc>
        <w:tc>
          <w:tcPr>
            <w:tcW w:w="1276" w:type="dxa"/>
            <w:vAlign w:val="center"/>
          </w:tcPr>
          <w:p w14:paraId="4321E101">
            <w:pPr>
              <w:pStyle w:val="12"/>
            </w:pPr>
            <w:r>
              <w:t>河北省建档立卡家庭经济困难学生资助管理暂行办法</w:t>
            </w:r>
          </w:p>
        </w:tc>
      </w:tr>
      <w:tr w14:paraId="6C78A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CA176"/>
        </w:tc>
        <w:tc>
          <w:tcPr>
            <w:tcW w:w="2268" w:type="dxa"/>
            <w:vAlign w:val="center"/>
          </w:tcPr>
          <w:p w14:paraId="7524DC7B">
            <w:pPr>
              <w:pStyle w:val="12"/>
            </w:pPr>
            <w:r>
              <w:t>时效指标</w:t>
            </w:r>
          </w:p>
        </w:tc>
        <w:tc>
          <w:tcPr>
            <w:tcW w:w="2835" w:type="dxa"/>
            <w:vAlign w:val="center"/>
          </w:tcPr>
          <w:p w14:paraId="4083DFBB">
            <w:pPr>
              <w:pStyle w:val="12"/>
            </w:pPr>
            <w:r>
              <w:t>补助资金到位</w:t>
            </w:r>
          </w:p>
        </w:tc>
        <w:tc>
          <w:tcPr>
            <w:tcW w:w="5386" w:type="dxa"/>
            <w:vAlign w:val="center"/>
          </w:tcPr>
          <w:p w14:paraId="7803FDDD">
            <w:pPr>
              <w:pStyle w:val="12"/>
            </w:pPr>
            <w:r>
              <w:t>补助资金到位及时率</w:t>
            </w:r>
          </w:p>
        </w:tc>
        <w:tc>
          <w:tcPr>
            <w:tcW w:w="2268" w:type="dxa"/>
            <w:vAlign w:val="center"/>
          </w:tcPr>
          <w:p w14:paraId="10DD1E78">
            <w:pPr>
              <w:pStyle w:val="12"/>
            </w:pPr>
            <w:r>
              <w:t>100%</w:t>
            </w:r>
          </w:p>
        </w:tc>
        <w:tc>
          <w:tcPr>
            <w:tcW w:w="1276" w:type="dxa"/>
            <w:vAlign w:val="center"/>
          </w:tcPr>
          <w:p w14:paraId="0F58B6A5">
            <w:pPr>
              <w:pStyle w:val="12"/>
            </w:pPr>
            <w:r>
              <w:t>河北省建档立卡家庭经济困难学生资助管理暂行办法</w:t>
            </w:r>
          </w:p>
        </w:tc>
      </w:tr>
      <w:tr w14:paraId="58AE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B3326"/>
        </w:tc>
        <w:tc>
          <w:tcPr>
            <w:tcW w:w="2268" w:type="dxa"/>
            <w:vAlign w:val="center"/>
          </w:tcPr>
          <w:p w14:paraId="3036145B">
            <w:pPr>
              <w:pStyle w:val="12"/>
            </w:pPr>
            <w:r>
              <w:t>成本指标</w:t>
            </w:r>
          </w:p>
        </w:tc>
        <w:tc>
          <w:tcPr>
            <w:tcW w:w="2835" w:type="dxa"/>
            <w:vAlign w:val="center"/>
          </w:tcPr>
          <w:p w14:paraId="1F510EF7">
            <w:pPr>
              <w:pStyle w:val="12"/>
            </w:pPr>
            <w:r>
              <w:t>普通高中建档立卡学生减免标准</w:t>
            </w:r>
          </w:p>
        </w:tc>
        <w:tc>
          <w:tcPr>
            <w:tcW w:w="5386" w:type="dxa"/>
            <w:vAlign w:val="center"/>
          </w:tcPr>
          <w:p w14:paraId="742B8DE4">
            <w:pPr>
              <w:pStyle w:val="12"/>
            </w:pPr>
            <w:r>
              <w:t>学费2000元/生/年；住宿费500元/生/年；书费300元/生/年</w:t>
            </w:r>
          </w:p>
        </w:tc>
        <w:tc>
          <w:tcPr>
            <w:tcW w:w="2268" w:type="dxa"/>
            <w:vAlign w:val="center"/>
          </w:tcPr>
          <w:p w14:paraId="63C6F284">
            <w:pPr>
              <w:pStyle w:val="12"/>
            </w:pPr>
            <w:r>
              <w:t>2800元</w:t>
            </w:r>
          </w:p>
        </w:tc>
        <w:tc>
          <w:tcPr>
            <w:tcW w:w="1276" w:type="dxa"/>
            <w:vAlign w:val="center"/>
          </w:tcPr>
          <w:p w14:paraId="0A6E07DB">
            <w:pPr>
              <w:pStyle w:val="12"/>
            </w:pPr>
            <w:r>
              <w:t>河北省建档立卡家庭经济困难学生资助管理暂行办法</w:t>
            </w:r>
          </w:p>
        </w:tc>
      </w:tr>
      <w:tr w14:paraId="5913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BEA8D">
            <w:pPr>
              <w:pStyle w:val="13"/>
            </w:pPr>
            <w:r>
              <w:t>效益指标</w:t>
            </w:r>
          </w:p>
        </w:tc>
        <w:tc>
          <w:tcPr>
            <w:tcW w:w="2268" w:type="dxa"/>
            <w:vAlign w:val="center"/>
          </w:tcPr>
          <w:p w14:paraId="006FD287">
            <w:pPr>
              <w:pStyle w:val="12"/>
            </w:pPr>
            <w:r>
              <w:t>可持续影响指标</w:t>
            </w:r>
          </w:p>
        </w:tc>
        <w:tc>
          <w:tcPr>
            <w:tcW w:w="2835" w:type="dxa"/>
            <w:vAlign w:val="center"/>
          </w:tcPr>
          <w:p w14:paraId="2259BAB9">
            <w:pPr>
              <w:pStyle w:val="12"/>
            </w:pPr>
            <w:r>
              <w:t>高中运转</w:t>
            </w:r>
          </w:p>
        </w:tc>
        <w:tc>
          <w:tcPr>
            <w:tcW w:w="5386" w:type="dxa"/>
            <w:vAlign w:val="center"/>
          </w:tcPr>
          <w:p w14:paraId="05EE5313">
            <w:pPr>
              <w:pStyle w:val="12"/>
            </w:pPr>
            <w:r>
              <w:t>高中生受教育年限</w:t>
            </w:r>
          </w:p>
        </w:tc>
        <w:tc>
          <w:tcPr>
            <w:tcW w:w="2268" w:type="dxa"/>
            <w:vAlign w:val="center"/>
          </w:tcPr>
          <w:p w14:paraId="578820CE">
            <w:pPr>
              <w:pStyle w:val="12"/>
            </w:pPr>
            <w:r>
              <w:t>3年</w:t>
            </w:r>
          </w:p>
        </w:tc>
        <w:tc>
          <w:tcPr>
            <w:tcW w:w="1276" w:type="dxa"/>
            <w:vAlign w:val="center"/>
          </w:tcPr>
          <w:p w14:paraId="08740F54">
            <w:pPr>
              <w:pStyle w:val="12"/>
            </w:pPr>
            <w:r>
              <w:t>河北省建档立卡家庭经济困难学生资助管理暂行办法</w:t>
            </w:r>
          </w:p>
        </w:tc>
      </w:tr>
      <w:tr w14:paraId="0819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DB74C">
            <w:pPr>
              <w:pStyle w:val="13"/>
            </w:pPr>
            <w:r>
              <w:t>满意度指标</w:t>
            </w:r>
          </w:p>
        </w:tc>
        <w:tc>
          <w:tcPr>
            <w:tcW w:w="2268" w:type="dxa"/>
            <w:vAlign w:val="center"/>
          </w:tcPr>
          <w:p w14:paraId="2A45A3EE">
            <w:pPr>
              <w:pStyle w:val="12"/>
            </w:pPr>
            <w:r>
              <w:t>服务对象满意度指标</w:t>
            </w:r>
          </w:p>
        </w:tc>
        <w:tc>
          <w:tcPr>
            <w:tcW w:w="2835" w:type="dxa"/>
            <w:vAlign w:val="center"/>
          </w:tcPr>
          <w:p w14:paraId="3971721B">
            <w:pPr>
              <w:pStyle w:val="12"/>
            </w:pPr>
            <w:r>
              <w:t>提升幸福指数</w:t>
            </w:r>
          </w:p>
        </w:tc>
        <w:tc>
          <w:tcPr>
            <w:tcW w:w="5386" w:type="dxa"/>
            <w:vAlign w:val="center"/>
          </w:tcPr>
          <w:p w14:paraId="19EB6DB1">
            <w:pPr>
              <w:pStyle w:val="12"/>
            </w:pPr>
            <w:r>
              <w:t>提升建档立卡贫困家庭学生幸福指数</w:t>
            </w:r>
          </w:p>
          <w:p w14:paraId="74508CB3">
            <w:pPr>
              <w:pStyle w:val="12"/>
            </w:pPr>
            <w:r>
              <w:t>家长学生满意</w:t>
            </w:r>
          </w:p>
        </w:tc>
        <w:tc>
          <w:tcPr>
            <w:tcW w:w="2268" w:type="dxa"/>
            <w:vAlign w:val="center"/>
          </w:tcPr>
          <w:p w14:paraId="004C22BC">
            <w:pPr>
              <w:pStyle w:val="12"/>
            </w:pPr>
            <w:r>
              <w:t>≥98%</w:t>
            </w:r>
          </w:p>
        </w:tc>
        <w:tc>
          <w:tcPr>
            <w:tcW w:w="1276" w:type="dxa"/>
            <w:vAlign w:val="center"/>
          </w:tcPr>
          <w:p w14:paraId="078A1D0E">
            <w:pPr>
              <w:pStyle w:val="12"/>
            </w:pPr>
            <w:r>
              <w:t>河北省建档立卡家庭经济困难学生资助管理暂行办法</w:t>
            </w:r>
          </w:p>
        </w:tc>
      </w:tr>
    </w:tbl>
    <w:p w14:paraId="51C00547">
      <w:pPr>
        <w:sectPr>
          <w:pgSz w:w="16840" w:h="11900" w:orient="landscape"/>
          <w:pgMar w:top="1361" w:right="1020" w:bottom="1134" w:left="1020" w:header="720" w:footer="720" w:gutter="0"/>
          <w:cols w:space="720" w:num="1"/>
        </w:sectPr>
      </w:pPr>
    </w:p>
    <w:p w14:paraId="21C103BF">
      <w:pPr>
        <w:spacing w:before="0" w:after="0"/>
        <w:ind w:firstLine="560"/>
        <w:jc w:val="left"/>
        <w:outlineLvl w:val="9"/>
      </w:pPr>
      <w:r>
        <w:rPr>
          <w:rFonts w:ascii="方正仿宋_GBK" w:hAnsi="方正仿宋_GBK" w:eastAsia="方正仿宋_GBK" w:cs="方正仿宋_GBK"/>
          <w:b/>
          <w:color w:val="000000"/>
          <w:sz w:val="28"/>
        </w:rPr>
        <w:t>19、冀财教[2025]150号/省级/2026年普通高中资金/普通高中三免（文茂中学）建档立卡</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4B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6B058">
            <w:pPr>
              <w:pStyle w:val="11"/>
            </w:pPr>
            <w:r>
              <w:t>单位：万元</w:t>
            </w:r>
          </w:p>
        </w:tc>
      </w:tr>
      <w:tr w14:paraId="571BE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AC27D">
            <w:pPr>
              <w:pStyle w:val="10"/>
            </w:pPr>
            <w:r>
              <w:t>项目编码</w:t>
            </w:r>
          </w:p>
        </w:tc>
        <w:tc>
          <w:tcPr>
            <w:tcW w:w="5103" w:type="dxa"/>
            <w:gridSpan w:val="2"/>
            <w:vAlign w:val="center"/>
          </w:tcPr>
          <w:p w14:paraId="3819D94D">
            <w:pPr>
              <w:pStyle w:val="12"/>
            </w:pPr>
            <w:r>
              <w:t>13052526P00001210068E</w:t>
            </w:r>
          </w:p>
        </w:tc>
        <w:tc>
          <w:tcPr>
            <w:tcW w:w="2835" w:type="dxa"/>
            <w:vAlign w:val="center"/>
          </w:tcPr>
          <w:p w14:paraId="106AFA50">
            <w:pPr>
              <w:pStyle w:val="10"/>
            </w:pPr>
            <w:r>
              <w:t>项目名称</w:t>
            </w:r>
          </w:p>
        </w:tc>
        <w:tc>
          <w:tcPr>
            <w:tcW w:w="6095" w:type="dxa"/>
            <w:gridSpan w:val="3"/>
            <w:vAlign w:val="center"/>
          </w:tcPr>
          <w:p w14:paraId="58C2E77E">
            <w:pPr>
              <w:pStyle w:val="12"/>
            </w:pPr>
            <w:r>
              <w:t>冀财教[2025]150号/省级/2026年普通高中资金/普通高中三免（文茂中学）建档立卡</w:t>
            </w:r>
            <w:r>
              <w:tab/>
            </w:r>
          </w:p>
        </w:tc>
      </w:tr>
      <w:tr w14:paraId="71311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12B4F">
            <w:pPr>
              <w:pStyle w:val="10"/>
            </w:pPr>
            <w:r>
              <w:t>预算规模及资金用途</w:t>
            </w:r>
          </w:p>
        </w:tc>
        <w:tc>
          <w:tcPr>
            <w:tcW w:w="2268" w:type="dxa"/>
            <w:vAlign w:val="center"/>
          </w:tcPr>
          <w:p w14:paraId="55E71BA7">
            <w:pPr>
              <w:pStyle w:val="10"/>
            </w:pPr>
            <w:r>
              <w:t>预算数</w:t>
            </w:r>
          </w:p>
        </w:tc>
        <w:tc>
          <w:tcPr>
            <w:tcW w:w="2835" w:type="dxa"/>
            <w:vAlign w:val="center"/>
          </w:tcPr>
          <w:p w14:paraId="3DA58AD0">
            <w:pPr>
              <w:pStyle w:val="12"/>
            </w:pPr>
            <w:r>
              <w:t>4.00</w:t>
            </w:r>
          </w:p>
        </w:tc>
        <w:tc>
          <w:tcPr>
            <w:tcW w:w="2835" w:type="dxa"/>
            <w:vAlign w:val="center"/>
          </w:tcPr>
          <w:p w14:paraId="2E62A22B">
            <w:pPr>
              <w:pStyle w:val="10"/>
            </w:pPr>
            <w:r>
              <w:t>其中：财政    资金</w:t>
            </w:r>
          </w:p>
        </w:tc>
        <w:tc>
          <w:tcPr>
            <w:tcW w:w="2551" w:type="dxa"/>
            <w:vAlign w:val="center"/>
          </w:tcPr>
          <w:p w14:paraId="5539B3CB">
            <w:pPr>
              <w:pStyle w:val="12"/>
            </w:pPr>
            <w:r>
              <w:t>4.00</w:t>
            </w:r>
          </w:p>
        </w:tc>
        <w:tc>
          <w:tcPr>
            <w:tcW w:w="2268" w:type="dxa"/>
            <w:vAlign w:val="center"/>
          </w:tcPr>
          <w:p w14:paraId="787B965C">
            <w:pPr>
              <w:pStyle w:val="10"/>
            </w:pPr>
            <w:r>
              <w:t>其他资金</w:t>
            </w:r>
          </w:p>
        </w:tc>
        <w:tc>
          <w:tcPr>
            <w:tcW w:w="1276" w:type="dxa"/>
            <w:vAlign w:val="center"/>
          </w:tcPr>
          <w:p w14:paraId="1387C19D">
            <w:pPr>
              <w:pStyle w:val="12"/>
            </w:pPr>
            <w:r>
              <w:t xml:space="preserve"> </w:t>
            </w:r>
          </w:p>
        </w:tc>
      </w:tr>
      <w:tr w14:paraId="45579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9D58F"/>
        </w:tc>
        <w:tc>
          <w:tcPr>
            <w:tcW w:w="14033" w:type="dxa"/>
            <w:gridSpan w:val="6"/>
            <w:vAlign w:val="center"/>
          </w:tcPr>
          <w:p w14:paraId="1498F4CE">
            <w:pPr>
              <w:pStyle w:val="12"/>
            </w:pPr>
            <w:r>
              <w:t>深入宣传学生免学费政策，落实普通高中建档立卡家庭困难学生免除学杂费政策。</w:t>
            </w:r>
          </w:p>
        </w:tc>
      </w:tr>
      <w:tr w14:paraId="086F0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9D573">
            <w:pPr>
              <w:pStyle w:val="10"/>
            </w:pPr>
            <w:r>
              <w:t>资金支出计划（%）</w:t>
            </w:r>
          </w:p>
        </w:tc>
        <w:tc>
          <w:tcPr>
            <w:tcW w:w="5103" w:type="dxa"/>
            <w:gridSpan w:val="2"/>
            <w:vAlign w:val="center"/>
          </w:tcPr>
          <w:p w14:paraId="170FB08D">
            <w:pPr>
              <w:pStyle w:val="10"/>
            </w:pPr>
            <w:r>
              <w:t>3月底</w:t>
            </w:r>
          </w:p>
        </w:tc>
        <w:tc>
          <w:tcPr>
            <w:tcW w:w="2835" w:type="dxa"/>
            <w:vAlign w:val="center"/>
          </w:tcPr>
          <w:p w14:paraId="6EBA4EE2">
            <w:pPr>
              <w:pStyle w:val="10"/>
            </w:pPr>
            <w:r>
              <w:t>6月底</w:t>
            </w:r>
          </w:p>
        </w:tc>
        <w:tc>
          <w:tcPr>
            <w:tcW w:w="2551" w:type="dxa"/>
            <w:vAlign w:val="center"/>
          </w:tcPr>
          <w:p w14:paraId="749F6BA2">
            <w:pPr>
              <w:pStyle w:val="10"/>
            </w:pPr>
            <w:r>
              <w:t>10月底</w:t>
            </w:r>
          </w:p>
        </w:tc>
        <w:tc>
          <w:tcPr>
            <w:tcW w:w="3544" w:type="dxa"/>
            <w:gridSpan w:val="2"/>
            <w:vAlign w:val="center"/>
          </w:tcPr>
          <w:p w14:paraId="311779F1">
            <w:pPr>
              <w:pStyle w:val="10"/>
            </w:pPr>
            <w:r>
              <w:t>12月底</w:t>
            </w:r>
          </w:p>
        </w:tc>
      </w:tr>
      <w:tr w14:paraId="6F9EC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A8C52"/>
        </w:tc>
        <w:tc>
          <w:tcPr>
            <w:tcW w:w="5103" w:type="dxa"/>
            <w:gridSpan w:val="2"/>
            <w:vAlign w:val="center"/>
          </w:tcPr>
          <w:p w14:paraId="2E32A701">
            <w:pPr>
              <w:pStyle w:val="13"/>
            </w:pPr>
            <w:r>
              <w:t>25%</w:t>
            </w:r>
          </w:p>
        </w:tc>
        <w:tc>
          <w:tcPr>
            <w:tcW w:w="2835" w:type="dxa"/>
            <w:vAlign w:val="center"/>
          </w:tcPr>
          <w:p w14:paraId="692747A6">
            <w:pPr>
              <w:pStyle w:val="13"/>
            </w:pPr>
            <w:r>
              <w:t>50%</w:t>
            </w:r>
          </w:p>
        </w:tc>
        <w:tc>
          <w:tcPr>
            <w:tcW w:w="2551" w:type="dxa"/>
            <w:vAlign w:val="center"/>
          </w:tcPr>
          <w:p w14:paraId="117AA9EF">
            <w:pPr>
              <w:pStyle w:val="13"/>
            </w:pPr>
            <w:r>
              <w:t>75%</w:t>
            </w:r>
          </w:p>
        </w:tc>
        <w:tc>
          <w:tcPr>
            <w:tcW w:w="3544" w:type="dxa"/>
            <w:gridSpan w:val="2"/>
            <w:vAlign w:val="center"/>
          </w:tcPr>
          <w:p w14:paraId="0EF727E6">
            <w:pPr>
              <w:pStyle w:val="13"/>
            </w:pPr>
            <w:r>
              <w:t>100%</w:t>
            </w:r>
          </w:p>
        </w:tc>
      </w:tr>
      <w:tr w14:paraId="5608C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E5B13">
            <w:pPr>
              <w:pStyle w:val="10"/>
            </w:pPr>
            <w:r>
              <w:t>绩效目标</w:t>
            </w:r>
          </w:p>
        </w:tc>
        <w:tc>
          <w:tcPr>
            <w:tcW w:w="14033" w:type="dxa"/>
            <w:gridSpan w:val="6"/>
            <w:vAlign w:val="center"/>
          </w:tcPr>
          <w:p w14:paraId="1FA832CA">
            <w:pPr>
              <w:pStyle w:val="12"/>
            </w:pPr>
            <w:r>
              <w:t>1.深入宣传学生免学费政策，落实普通高中建档立卡家庭困难学生免除学杂费政策。</w:t>
            </w:r>
            <w:r>
              <w:tab/>
            </w:r>
            <w:r>
              <w:tab/>
            </w:r>
            <w:r>
              <w:tab/>
            </w:r>
            <w:r>
              <w:tab/>
            </w:r>
            <w:r>
              <w:tab/>
            </w:r>
            <w:r>
              <w:tab/>
            </w:r>
          </w:p>
        </w:tc>
      </w:tr>
    </w:tbl>
    <w:p w14:paraId="325AC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C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AF04D">
            <w:pPr>
              <w:pStyle w:val="10"/>
            </w:pPr>
            <w:r>
              <w:t>一级指标</w:t>
            </w:r>
          </w:p>
        </w:tc>
        <w:tc>
          <w:tcPr>
            <w:tcW w:w="2268" w:type="dxa"/>
            <w:vAlign w:val="center"/>
          </w:tcPr>
          <w:p w14:paraId="63F79D1B">
            <w:pPr>
              <w:pStyle w:val="10"/>
            </w:pPr>
            <w:r>
              <w:t>二级指标</w:t>
            </w:r>
          </w:p>
        </w:tc>
        <w:tc>
          <w:tcPr>
            <w:tcW w:w="2835" w:type="dxa"/>
            <w:vAlign w:val="center"/>
          </w:tcPr>
          <w:p w14:paraId="0FC74C07">
            <w:pPr>
              <w:pStyle w:val="10"/>
            </w:pPr>
            <w:r>
              <w:t>三级指标</w:t>
            </w:r>
          </w:p>
        </w:tc>
        <w:tc>
          <w:tcPr>
            <w:tcW w:w="5386" w:type="dxa"/>
            <w:vAlign w:val="center"/>
          </w:tcPr>
          <w:p w14:paraId="297FE292">
            <w:pPr>
              <w:pStyle w:val="10"/>
            </w:pPr>
            <w:r>
              <w:t>绩效指标描述</w:t>
            </w:r>
          </w:p>
        </w:tc>
        <w:tc>
          <w:tcPr>
            <w:tcW w:w="2268" w:type="dxa"/>
            <w:vAlign w:val="center"/>
          </w:tcPr>
          <w:p w14:paraId="27AC122D">
            <w:pPr>
              <w:pStyle w:val="10"/>
            </w:pPr>
            <w:r>
              <w:t>指标值</w:t>
            </w:r>
          </w:p>
        </w:tc>
        <w:tc>
          <w:tcPr>
            <w:tcW w:w="1276" w:type="dxa"/>
            <w:vAlign w:val="center"/>
          </w:tcPr>
          <w:p w14:paraId="5203B538">
            <w:pPr>
              <w:pStyle w:val="10"/>
            </w:pPr>
            <w:r>
              <w:t>指标值确定依据</w:t>
            </w:r>
          </w:p>
        </w:tc>
      </w:tr>
      <w:tr w14:paraId="7286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C9E7E">
            <w:pPr>
              <w:pStyle w:val="13"/>
            </w:pPr>
            <w:r>
              <w:t>产出指标</w:t>
            </w:r>
          </w:p>
        </w:tc>
        <w:tc>
          <w:tcPr>
            <w:tcW w:w="2268" w:type="dxa"/>
            <w:vAlign w:val="center"/>
          </w:tcPr>
          <w:p w14:paraId="0945909E">
            <w:pPr>
              <w:pStyle w:val="12"/>
            </w:pPr>
            <w:r>
              <w:t>数量指标</w:t>
            </w:r>
          </w:p>
        </w:tc>
        <w:tc>
          <w:tcPr>
            <w:tcW w:w="2835" w:type="dxa"/>
            <w:vAlign w:val="center"/>
          </w:tcPr>
          <w:p w14:paraId="4BD66029">
            <w:pPr>
              <w:pStyle w:val="12"/>
            </w:pPr>
            <w:r>
              <w:t>普通高中资助人数</w:t>
            </w:r>
          </w:p>
        </w:tc>
        <w:tc>
          <w:tcPr>
            <w:tcW w:w="5386" w:type="dxa"/>
            <w:vAlign w:val="center"/>
          </w:tcPr>
          <w:p w14:paraId="6A242246">
            <w:pPr>
              <w:pStyle w:val="12"/>
            </w:pPr>
            <w:r>
              <w:t>在我校就读具有正式注册学籍的建档立卡家庭学生</w:t>
            </w:r>
          </w:p>
        </w:tc>
        <w:tc>
          <w:tcPr>
            <w:tcW w:w="2268" w:type="dxa"/>
            <w:vAlign w:val="center"/>
          </w:tcPr>
          <w:p w14:paraId="41E81A7D">
            <w:pPr>
              <w:pStyle w:val="12"/>
            </w:pPr>
            <w:r>
              <w:t>46人</w:t>
            </w:r>
          </w:p>
        </w:tc>
        <w:tc>
          <w:tcPr>
            <w:tcW w:w="1276" w:type="dxa"/>
            <w:vAlign w:val="center"/>
          </w:tcPr>
          <w:p w14:paraId="1CF5AA65">
            <w:pPr>
              <w:pStyle w:val="12"/>
            </w:pPr>
            <w:r>
              <w:t>河北省建档立卡家庭经济困难学生资助管理暂行办法</w:t>
            </w:r>
          </w:p>
        </w:tc>
      </w:tr>
      <w:tr w14:paraId="027E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0B502"/>
        </w:tc>
        <w:tc>
          <w:tcPr>
            <w:tcW w:w="2268" w:type="dxa"/>
            <w:vAlign w:val="center"/>
          </w:tcPr>
          <w:p w14:paraId="07E0FB12">
            <w:pPr>
              <w:pStyle w:val="12"/>
            </w:pPr>
            <w:r>
              <w:t>质量指标</w:t>
            </w:r>
          </w:p>
        </w:tc>
        <w:tc>
          <w:tcPr>
            <w:tcW w:w="2835" w:type="dxa"/>
            <w:vAlign w:val="center"/>
          </w:tcPr>
          <w:p w14:paraId="0371552B">
            <w:pPr>
              <w:pStyle w:val="12"/>
            </w:pPr>
            <w:r>
              <w:t>完成普高三免资金发放</w:t>
            </w:r>
          </w:p>
        </w:tc>
        <w:tc>
          <w:tcPr>
            <w:tcW w:w="5386" w:type="dxa"/>
            <w:vAlign w:val="center"/>
          </w:tcPr>
          <w:p w14:paraId="0718B311">
            <w:pPr>
              <w:pStyle w:val="12"/>
            </w:pPr>
            <w:r>
              <w:t>普高三免为建档立卡学生</w:t>
            </w:r>
          </w:p>
        </w:tc>
        <w:tc>
          <w:tcPr>
            <w:tcW w:w="2268" w:type="dxa"/>
            <w:vAlign w:val="center"/>
          </w:tcPr>
          <w:p w14:paraId="074A40B1">
            <w:pPr>
              <w:pStyle w:val="12"/>
            </w:pPr>
            <w:r>
              <w:t>100%</w:t>
            </w:r>
          </w:p>
        </w:tc>
        <w:tc>
          <w:tcPr>
            <w:tcW w:w="1276" w:type="dxa"/>
            <w:vAlign w:val="center"/>
          </w:tcPr>
          <w:p w14:paraId="4A393EC1">
            <w:pPr>
              <w:pStyle w:val="12"/>
            </w:pPr>
            <w:r>
              <w:t>河北省建档立卡家庭经济困难学生资助管理暂行办法</w:t>
            </w:r>
          </w:p>
        </w:tc>
      </w:tr>
      <w:tr w14:paraId="224F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556A8"/>
        </w:tc>
        <w:tc>
          <w:tcPr>
            <w:tcW w:w="2268" w:type="dxa"/>
            <w:vAlign w:val="center"/>
          </w:tcPr>
          <w:p w14:paraId="31189FD2">
            <w:pPr>
              <w:pStyle w:val="12"/>
            </w:pPr>
            <w:r>
              <w:t>时效指标</w:t>
            </w:r>
          </w:p>
        </w:tc>
        <w:tc>
          <w:tcPr>
            <w:tcW w:w="2835" w:type="dxa"/>
            <w:vAlign w:val="center"/>
          </w:tcPr>
          <w:p w14:paraId="73A0DAFE">
            <w:pPr>
              <w:pStyle w:val="12"/>
            </w:pPr>
            <w:r>
              <w:t>补助资金到位</w:t>
            </w:r>
          </w:p>
        </w:tc>
        <w:tc>
          <w:tcPr>
            <w:tcW w:w="5386" w:type="dxa"/>
            <w:vAlign w:val="center"/>
          </w:tcPr>
          <w:p w14:paraId="3ABDE51A">
            <w:pPr>
              <w:pStyle w:val="12"/>
            </w:pPr>
            <w:r>
              <w:t>补助资金到位及时率</w:t>
            </w:r>
          </w:p>
        </w:tc>
        <w:tc>
          <w:tcPr>
            <w:tcW w:w="2268" w:type="dxa"/>
            <w:vAlign w:val="center"/>
          </w:tcPr>
          <w:p w14:paraId="708E8839">
            <w:pPr>
              <w:pStyle w:val="12"/>
            </w:pPr>
            <w:r>
              <w:t>≥99%</w:t>
            </w:r>
          </w:p>
        </w:tc>
        <w:tc>
          <w:tcPr>
            <w:tcW w:w="1276" w:type="dxa"/>
            <w:vAlign w:val="center"/>
          </w:tcPr>
          <w:p w14:paraId="176CEADA">
            <w:pPr>
              <w:pStyle w:val="12"/>
            </w:pPr>
            <w:r>
              <w:t>河北省建档立卡家庭经济困难学生资助管理暂行办法</w:t>
            </w:r>
          </w:p>
        </w:tc>
      </w:tr>
      <w:tr w14:paraId="7A1C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11E9"/>
        </w:tc>
        <w:tc>
          <w:tcPr>
            <w:tcW w:w="2268" w:type="dxa"/>
            <w:vAlign w:val="center"/>
          </w:tcPr>
          <w:p w14:paraId="13D72EC2">
            <w:pPr>
              <w:pStyle w:val="12"/>
            </w:pPr>
            <w:r>
              <w:t>成本指标</w:t>
            </w:r>
          </w:p>
        </w:tc>
        <w:tc>
          <w:tcPr>
            <w:tcW w:w="2835" w:type="dxa"/>
            <w:vAlign w:val="center"/>
          </w:tcPr>
          <w:p w14:paraId="13CDDECC">
            <w:pPr>
              <w:pStyle w:val="12"/>
            </w:pPr>
            <w:r>
              <w:t>普通高中建档立卡学生减免标准</w:t>
            </w:r>
          </w:p>
        </w:tc>
        <w:tc>
          <w:tcPr>
            <w:tcW w:w="5386" w:type="dxa"/>
            <w:vAlign w:val="center"/>
          </w:tcPr>
          <w:p w14:paraId="122CB01E">
            <w:pPr>
              <w:pStyle w:val="12"/>
            </w:pPr>
            <w:r>
              <w:t>学费20000元/生/年；住宿费500元/生/年；书费300元/生/年</w:t>
            </w:r>
          </w:p>
        </w:tc>
        <w:tc>
          <w:tcPr>
            <w:tcW w:w="2268" w:type="dxa"/>
            <w:vAlign w:val="center"/>
          </w:tcPr>
          <w:p w14:paraId="664A7D5C">
            <w:pPr>
              <w:pStyle w:val="12"/>
            </w:pPr>
            <w:r>
              <w:t>2800元</w:t>
            </w:r>
          </w:p>
        </w:tc>
        <w:tc>
          <w:tcPr>
            <w:tcW w:w="1276" w:type="dxa"/>
            <w:vAlign w:val="center"/>
          </w:tcPr>
          <w:p w14:paraId="76078ADE">
            <w:pPr>
              <w:pStyle w:val="12"/>
            </w:pPr>
            <w:r>
              <w:t>河北省建档立卡家庭经济困难学生资助管理暂行办法</w:t>
            </w:r>
          </w:p>
        </w:tc>
      </w:tr>
      <w:tr w14:paraId="5BD7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B641D">
            <w:pPr>
              <w:pStyle w:val="13"/>
            </w:pPr>
            <w:r>
              <w:t>效益指标</w:t>
            </w:r>
          </w:p>
        </w:tc>
        <w:tc>
          <w:tcPr>
            <w:tcW w:w="2268" w:type="dxa"/>
            <w:vAlign w:val="center"/>
          </w:tcPr>
          <w:p w14:paraId="2721C1F5">
            <w:pPr>
              <w:pStyle w:val="12"/>
            </w:pPr>
            <w:r>
              <w:t>可持续影响指标</w:t>
            </w:r>
          </w:p>
        </w:tc>
        <w:tc>
          <w:tcPr>
            <w:tcW w:w="2835" w:type="dxa"/>
            <w:vAlign w:val="center"/>
          </w:tcPr>
          <w:p w14:paraId="28FD97CD">
            <w:pPr>
              <w:pStyle w:val="12"/>
            </w:pPr>
            <w:r>
              <w:t>高中运转</w:t>
            </w:r>
          </w:p>
        </w:tc>
        <w:tc>
          <w:tcPr>
            <w:tcW w:w="5386" w:type="dxa"/>
            <w:vAlign w:val="center"/>
          </w:tcPr>
          <w:p w14:paraId="72D8D546">
            <w:pPr>
              <w:pStyle w:val="12"/>
            </w:pPr>
            <w:r>
              <w:t>高中生受教育年限</w:t>
            </w:r>
          </w:p>
        </w:tc>
        <w:tc>
          <w:tcPr>
            <w:tcW w:w="2268" w:type="dxa"/>
            <w:vAlign w:val="center"/>
          </w:tcPr>
          <w:p w14:paraId="07924EA9">
            <w:pPr>
              <w:pStyle w:val="12"/>
            </w:pPr>
            <w:r>
              <w:t>3年</w:t>
            </w:r>
          </w:p>
        </w:tc>
        <w:tc>
          <w:tcPr>
            <w:tcW w:w="1276" w:type="dxa"/>
            <w:vAlign w:val="center"/>
          </w:tcPr>
          <w:p w14:paraId="05D1DBE9">
            <w:pPr>
              <w:pStyle w:val="12"/>
            </w:pPr>
            <w:r>
              <w:t>河北省建档立卡家庭经济困难学生资助管理暂行办法</w:t>
            </w:r>
          </w:p>
        </w:tc>
      </w:tr>
      <w:tr w14:paraId="1A5F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43C4B">
            <w:pPr>
              <w:pStyle w:val="13"/>
            </w:pPr>
            <w:r>
              <w:t>满意度指标</w:t>
            </w:r>
          </w:p>
        </w:tc>
        <w:tc>
          <w:tcPr>
            <w:tcW w:w="2268" w:type="dxa"/>
            <w:vAlign w:val="center"/>
          </w:tcPr>
          <w:p w14:paraId="56371C5C">
            <w:pPr>
              <w:pStyle w:val="12"/>
            </w:pPr>
            <w:r>
              <w:t>服务对象满意度指标</w:t>
            </w:r>
          </w:p>
        </w:tc>
        <w:tc>
          <w:tcPr>
            <w:tcW w:w="2835" w:type="dxa"/>
            <w:vAlign w:val="center"/>
          </w:tcPr>
          <w:p w14:paraId="6AB8245A">
            <w:pPr>
              <w:pStyle w:val="12"/>
            </w:pPr>
            <w:r>
              <w:t>提升幸福指数</w:t>
            </w:r>
          </w:p>
        </w:tc>
        <w:tc>
          <w:tcPr>
            <w:tcW w:w="5386" w:type="dxa"/>
            <w:vAlign w:val="center"/>
          </w:tcPr>
          <w:p w14:paraId="37A54BB9">
            <w:pPr>
              <w:pStyle w:val="12"/>
            </w:pPr>
            <w:r>
              <w:t>提升建档立卡贫困家庭学生幸福指数</w:t>
            </w:r>
          </w:p>
          <w:p w14:paraId="3F28A0D9">
            <w:pPr>
              <w:pStyle w:val="12"/>
            </w:pPr>
            <w:r>
              <w:t>家长学生满意</w:t>
            </w:r>
          </w:p>
        </w:tc>
        <w:tc>
          <w:tcPr>
            <w:tcW w:w="2268" w:type="dxa"/>
            <w:vAlign w:val="center"/>
          </w:tcPr>
          <w:p w14:paraId="672B5494">
            <w:pPr>
              <w:pStyle w:val="12"/>
            </w:pPr>
            <w:r>
              <w:t>≥98%</w:t>
            </w:r>
          </w:p>
        </w:tc>
        <w:tc>
          <w:tcPr>
            <w:tcW w:w="1276" w:type="dxa"/>
            <w:vAlign w:val="center"/>
          </w:tcPr>
          <w:p w14:paraId="3F17010E">
            <w:pPr>
              <w:pStyle w:val="12"/>
            </w:pPr>
            <w:r>
              <w:t>河北省建档立卡家庭经济困难学生资助管理暂行办法</w:t>
            </w:r>
          </w:p>
        </w:tc>
      </w:tr>
    </w:tbl>
    <w:p w14:paraId="01F06073">
      <w:pPr>
        <w:sectPr>
          <w:pgSz w:w="16840" w:h="11900" w:orient="landscape"/>
          <w:pgMar w:top="1361" w:right="1020" w:bottom="1134" w:left="1020" w:header="720" w:footer="720" w:gutter="0"/>
          <w:cols w:space="720" w:num="1"/>
        </w:sectPr>
      </w:pPr>
    </w:p>
    <w:p w14:paraId="3A79ACC4">
      <w:pPr>
        <w:spacing w:before="0" w:after="0"/>
        <w:ind w:firstLine="560"/>
        <w:jc w:val="left"/>
        <w:outlineLvl w:val="9"/>
      </w:pPr>
      <w:r>
        <w:rPr>
          <w:rFonts w:ascii="方正仿宋_GBK" w:hAnsi="方正仿宋_GBK" w:eastAsia="方正仿宋_GBK" w:cs="方正仿宋_GBK"/>
          <w:b/>
          <w:color w:val="000000"/>
          <w:sz w:val="28"/>
        </w:rPr>
        <w:t>20、冀财教[2025]150号/省级/2026年普通高中资金/普通高中助学金（唐尧高中）绩效目标表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25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CEE2B">
            <w:pPr>
              <w:pStyle w:val="11"/>
            </w:pPr>
            <w:r>
              <w:t>单位：万元</w:t>
            </w:r>
          </w:p>
        </w:tc>
      </w:tr>
      <w:tr w14:paraId="6ABBA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83BA9">
            <w:pPr>
              <w:pStyle w:val="10"/>
            </w:pPr>
            <w:r>
              <w:t>项目编码</w:t>
            </w:r>
          </w:p>
        </w:tc>
        <w:tc>
          <w:tcPr>
            <w:tcW w:w="5103" w:type="dxa"/>
            <w:gridSpan w:val="2"/>
            <w:vAlign w:val="center"/>
          </w:tcPr>
          <w:p w14:paraId="24732463">
            <w:pPr>
              <w:pStyle w:val="12"/>
            </w:pPr>
            <w:r>
              <w:t>13052526P000012100473</w:t>
            </w:r>
          </w:p>
        </w:tc>
        <w:tc>
          <w:tcPr>
            <w:tcW w:w="2835" w:type="dxa"/>
            <w:vAlign w:val="center"/>
          </w:tcPr>
          <w:p w14:paraId="50E76584">
            <w:pPr>
              <w:pStyle w:val="10"/>
            </w:pPr>
            <w:r>
              <w:t>项目名称</w:t>
            </w:r>
          </w:p>
        </w:tc>
        <w:tc>
          <w:tcPr>
            <w:tcW w:w="6095" w:type="dxa"/>
            <w:gridSpan w:val="3"/>
            <w:vAlign w:val="center"/>
          </w:tcPr>
          <w:p w14:paraId="2C7DDD95">
            <w:pPr>
              <w:pStyle w:val="12"/>
            </w:pPr>
            <w:r>
              <w:t>冀财教[2025]150号/省级/2026年普通高中资金/普通高中助学金（唐尧高中）</w:t>
            </w:r>
          </w:p>
        </w:tc>
      </w:tr>
      <w:tr w14:paraId="20666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F8CF8">
            <w:pPr>
              <w:pStyle w:val="10"/>
            </w:pPr>
            <w:r>
              <w:t>预算规模及资金用途</w:t>
            </w:r>
          </w:p>
        </w:tc>
        <w:tc>
          <w:tcPr>
            <w:tcW w:w="2268" w:type="dxa"/>
            <w:vAlign w:val="center"/>
          </w:tcPr>
          <w:p w14:paraId="1D53E7CD">
            <w:pPr>
              <w:pStyle w:val="10"/>
            </w:pPr>
            <w:r>
              <w:t>预算数</w:t>
            </w:r>
          </w:p>
        </w:tc>
        <w:tc>
          <w:tcPr>
            <w:tcW w:w="2835" w:type="dxa"/>
            <w:vAlign w:val="center"/>
          </w:tcPr>
          <w:p w14:paraId="3C162E32">
            <w:pPr>
              <w:pStyle w:val="12"/>
            </w:pPr>
            <w:r>
              <w:t>9.00</w:t>
            </w:r>
          </w:p>
        </w:tc>
        <w:tc>
          <w:tcPr>
            <w:tcW w:w="2835" w:type="dxa"/>
            <w:vAlign w:val="center"/>
          </w:tcPr>
          <w:p w14:paraId="3353A944">
            <w:pPr>
              <w:pStyle w:val="10"/>
            </w:pPr>
            <w:r>
              <w:t>其中：财政    资金</w:t>
            </w:r>
          </w:p>
        </w:tc>
        <w:tc>
          <w:tcPr>
            <w:tcW w:w="2551" w:type="dxa"/>
            <w:vAlign w:val="center"/>
          </w:tcPr>
          <w:p w14:paraId="0C0136AC">
            <w:pPr>
              <w:pStyle w:val="12"/>
            </w:pPr>
            <w:r>
              <w:t>9.00</w:t>
            </w:r>
          </w:p>
        </w:tc>
        <w:tc>
          <w:tcPr>
            <w:tcW w:w="2268" w:type="dxa"/>
            <w:vAlign w:val="center"/>
          </w:tcPr>
          <w:p w14:paraId="1195D3FB">
            <w:pPr>
              <w:pStyle w:val="10"/>
            </w:pPr>
            <w:r>
              <w:t>其他资金</w:t>
            </w:r>
          </w:p>
        </w:tc>
        <w:tc>
          <w:tcPr>
            <w:tcW w:w="1276" w:type="dxa"/>
            <w:vAlign w:val="center"/>
          </w:tcPr>
          <w:p w14:paraId="312AD751">
            <w:pPr>
              <w:pStyle w:val="12"/>
            </w:pPr>
            <w:r>
              <w:t xml:space="preserve"> </w:t>
            </w:r>
          </w:p>
        </w:tc>
      </w:tr>
      <w:tr w14:paraId="78E17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3E70F"/>
        </w:tc>
        <w:tc>
          <w:tcPr>
            <w:tcW w:w="14033" w:type="dxa"/>
            <w:gridSpan w:val="6"/>
            <w:vAlign w:val="center"/>
          </w:tcPr>
          <w:p w14:paraId="1DD3C7A1">
            <w:pPr>
              <w:pStyle w:val="12"/>
            </w:pPr>
            <w:r>
              <w:t>优先资助建档立卡家庭学生、孤残学生、父母丧失劳动能力学生、少数民族学生、烈士子女与单亲家庭经济困难学生、低保、特困救助、突发致贫学生。</w:t>
            </w:r>
          </w:p>
        </w:tc>
      </w:tr>
      <w:tr w14:paraId="4A9E7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1D551">
            <w:pPr>
              <w:pStyle w:val="10"/>
            </w:pPr>
            <w:r>
              <w:t>资金支出计划（%）</w:t>
            </w:r>
          </w:p>
        </w:tc>
        <w:tc>
          <w:tcPr>
            <w:tcW w:w="5103" w:type="dxa"/>
            <w:gridSpan w:val="2"/>
            <w:vAlign w:val="center"/>
          </w:tcPr>
          <w:p w14:paraId="0A7C40AC">
            <w:pPr>
              <w:pStyle w:val="10"/>
            </w:pPr>
            <w:r>
              <w:t>3月底</w:t>
            </w:r>
          </w:p>
        </w:tc>
        <w:tc>
          <w:tcPr>
            <w:tcW w:w="2835" w:type="dxa"/>
            <w:vAlign w:val="center"/>
          </w:tcPr>
          <w:p w14:paraId="5527EF40">
            <w:pPr>
              <w:pStyle w:val="10"/>
            </w:pPr>
            <w:r>
              <w:t>6月底</w:t>
            </w:r>
          </w:p>
        </w:tc>
        <w:tc>
          <w:tcPr>
            <w:tcW w:w="2551" w:type="dxa"/>
            <w:vAlign w:val="center"/>
          </w:tcPr>
          <w:p w14:paraId="682F96D6">
            <w:pPr>
              <w:pStyle w:val="10"/>
            </w:pPr>
            <w:r>
              <w:t>10月底</w:t>
            </w:r>
          </w:p>
        </w:tc>
        <w:tc>
          <w:tcPr>
            <w:tcW w:w="3544" w:type="dxa"/>
            <w:gridSpan w:val="2"/>
            <w:vAlign w:val="center"/>
          </w:tcPr>
          <w:p w14:paraId="2C4680B0">
            <w:pPr>
              <w:pStyle w:val="10"/>
            </w:pPr>
            <w:r>
              <w:t>12月底</w:t>
            </w:r>
          </w:p>
        </w:tc>
      </w:tr>
      <w:tr w14:paraId="21226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F82CD"/>
        </w:tc>
        <w:tc>
          <w:tcPr>
            <w:tcW w:w="5103" w:type="dxa"/>
            <w:gridSpan w:val="2"/>
            <w:vAlign w:val="center"/>
          </w:tcPr>
          <w:p w14:paraId="46107E8E">
            <w:pPr>
              <w:pStyle w:val="13"/>
            </w:pPr>
            <w:r>
              <w:t>25%</w:t>
            </w:r>
          </w:p>
        </w:tc>
        <w:tc>
          <w:tcPr>
            <w:tcW w:w="2835" w:type="dxa"/>
            <w:vAlign w:val="center"/>
          </w:tcPr>
          <w:p w14:paraId="291F79A7">
            <w:pPr>
              <w:pStyle w:val="13"/>
            </w:pPr>
            <w:r>
              <w:t>50%</w:t>
            </w:r>
          </w:p>
        </w:tc>
        <w:tc>
          <w:tcPr>
            <w:tcW w:w="2551" w:type="dxa"/>
            <w:vAlign w:val="center"/>
          </w:tcPr>
          <w:p w14:paraId="5671646E">
            <w:pPr>
              <w:pStyle w:val="13"/>
            </w:pPr>
            <w:r>
              <w:t>75%</w:t>
            </w:r>
          </w:p>
        </w:tc>
        <w:tc>
          <w:tcPr>
            <w:tcW w:w="3544" w:type="dxa"/>
            <w:gridSpan w:val="2"/>
            <w:vAlign w:val="center"/>
          </w:tcPr>
          <w:p w14:paraId="0CF6C6CA">
            <w:pPr>
              <w:pStyle w:val="13"/>
            </w:pPr>
            <w:r>
              <w:t>100%</w:t>
            </w:r>
          </w:p>
        </w:tc>
      </w:tr>
      <w:tr w14:paraId="16B29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88A4E">
            <w:pPr>
              <w:pStyle w:val="10"/>
            </w:pPr>
            <w:r>
              <w:t>绩效目标</w:t>
            </w:r>
          </w:p>
        </w:tc>
        <w:tc>
          <w:tcPr>
            <w:tcW w:w="14033" w:type="dxa"/>
            <w:gridSpan w:val="6"/>
            <w:vAlign w:val="center"/>
          </w:tcPr>
          <w:p w14:paraId="0DF25C76">
            <w:pPr>
              <w:pStyle w:val="12"/>
            </w:pPr>
            <w:r>
              <w:t>1.优先资助建档立卡家庭学生、孤残学生、父母丧失劳动能力学生、少数民族学生、烈士子女与单亲家庭经济困难学生、低保、特困救助、突发致贫学生。</w:t>
            </w:r>
            <w:r>
              <w:tab/>
            </w:r>
            <w:r>
              <w:tab/>
            </w:r>
            <w:r>
              <w:tab/>
            </w:r>
            <w:r>
              <w:tab/>
            </w:r>
            <w:r>
              <w:tab/>
            </w:r>
            <w:r>
              <w:tab/>
            </w:r>
          </w:p>
          <w:p w14:paraId="4900F91B">
            <w:pPr>
              <w:pStyle w:val="12"/>
            </w:pPr>
            <w:r>
              <w:t>2.及时发放资助资金，确保贫困家庭学生得到资助，不因贫困失学辍学。</w:t>
            </w:r>
            <w:r>
              <w:tab/>
            </w:r>
          </w:p>
          <w:p w14:paraId="024F956C">
            <w:pPr>
              <w:pStyle w:val="12"/>
            </w:pPr>
            <w:r>
              <w:t>3.深入宣传学生资助政策，落实河北省普通高中国家助学金管理办法。</w:t>
            </w:r>
            <w:r>
              <w:tab/>
            </w:r>
          </w:p>
        </w:tc>
      </w:tr>
    </w:tbl>
    <w:p w14:paraId="1B18B2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8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46F3B31">
            <w:pPr>
              <w:pStyle w:val="10"/>
            </w:pPr>
            <w:r>
              <w:t>一级指标</w:t>
            </w:r>
          </w:p>
        </w:tc>
        <w:tc>
          <w:tcPr>
            <w:tcW w:w="2268" w:type="dxa"/>
            <w:vAlign w:val="center"/>
          </w:tcPr>
          <w:p w14:paraId="4FAACAC0">
            <w:pPr>
              <w:pStyle w:val="10"/>
            </w:pPr>
            <w:r>
              <w:t>二级指标</w:t>
            </w:r>
          </w:p>
        </w:tc>
        <w:tc>
          <w:tcPr>
            <w:tcW w:w="2835" w:type="dxa"/>
            <w:vAlign w:val="center"/>
          </w:tcPr>
          <w:p w14:paraId="256D46A5">
            <w:pPr>
              <w:pStyle w:val="10"/>
            </w:pPr>
            <w:r>
              <w:t>三级指标</w:t>
            </w:r>
          </w:p>
        </w:tc>
        <w:tc>
          <w:tcPr>
            <w:tcW w:w="5386" w:type="dxa"/>
            <w:vAlign w:val="center"/>
          </w:tcPr>
          <w:p w14:paraId="0C80BCA3">
            <w:pPr>
              <w:pStyle w:val="10"/>
            </w:pPr>
            <w:r>
              <w:t>绩效指标描述</w:t>
            </w:r>
          </w:p>
        </w:tc>
        <w:tc>
          <w:tcPr>
            <w:tcW w:w="2268" w:type="dxa"/>
            <w:vAlign w:val="center"/>
          </w:tcPr>
          <w:p w14:paraId="19F12D3F">
            <w:pPr>
              <w:pStyle w:val="10"/>
            </w:pPr>
            <w:r>
              <w:t>指标值</w:t>
            </w:r>
          </w:p>
        </w:tc>
        <w:tc>
          <w:tcPr>
            <w:tcW w:w="1276" w:type="dxa"/>
            <w:vAlign w:val="center"/>
          </w:tcPr>
          <w:p w14:paraId="28F1D678">
            <w:pPr>
              <w:pStyle w:val="10"/>
            </w:pPr>
            <w:r>
              <w:t>指标值确定依据</w:t>
            </w:r>
          </w:p>
        </w:tc>
      </w:tr>
      <w:tr w14:paraId="3A7D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4712C">
            <w:pPr>
              <w:pStyle w:val="13"/>
            </w:pPr>
            <w:r>
              <w:t>产出指标</w:t>
            </w:r>
          </w:p>
        </w:tc>
        <w:tc>
          <w:tcPr>
            <w:tcW w:w="2268" w:type="dxa"/>
            <w:vAlign w:val="center"/>
          </w:tcPr>
          <w:p w14:paraId="7D3C481A">
            <w:pPr>
              <w:pStyle w:val="12"/>
            </w:pPr>
            <w:r>
              <w:t>数量指标</w:t>
            </w:r>
          </w:p>
        </w:tc>
        <w:tc>
          <w:tcPr>
            <w:tcW w:w="2835" w:type="dxa"/>
            <w:vAlign w:val="center"/>
          </w:tcPr>
          <w:p w14:paraId="0BD7E1DC">
            <w:pPr>
              <w:pStyle w:val="12"/>
            </w:pPr>
            <w:r>
              <w:t>高中</w:t>
            </w:r>
            <w:r>
              <w:rPr>
                <w:rFonts w:hint="eastAsia"/>
                <w:lang w:eastAsia="zh-CN"/>
              </w:rPr>
              <w:t>家庭经济</w:t>
            </w:r>
            <w:r>
              <w:t>困难</w:t>
            </w:r>
            <w:r>
              <w:rPr>
                <w:rFonts w:hint="eastAsia"/>
                <w:lang w:eastAsia="zh-CN"/>
              </w:rPr>
              <w:t>学生资助</w:t>
            </w:r>
            <w:r>
              <w:t>比例</w:t>
            </w:r>
          </w:p>
        </w:tc>
        <w:tc>
          <w:tcPr>
            <w:tcW w:w="5386" w:type="dxa"/>
            <w:vAlign w:val="center"/>
          </w:tcPr>
          <w:p w14:paraId="1E9E7C6B">
            <w:pPr>
              <w:pStyle w:val="12"/>
            </w:pPr>
            <w:r>
              <w:t>按在校生18%测算</w:t>
            </w:r>
          </w:p>
        </w:tc>
        <w:tc>
          <w:tcPr>
            <w:tcW w:w="2268" w:type="dxa"/>
            <w:vAlign w:val="center"/>
          </w:tcPr>
          <w:p w14:paraId="49330305">
            <w:pPr>
              <w:pStyle w:val="12"/>
            </w:pPr>
            <w:r>
              <w:t>≥203人</w:t>
            </w:r>
          </w:p>
        </w:tc>
        <w:tc>
          <w:tcPr>
            <w:tcW w:w="1276" w:type="dxa"/>
            <w:vAlign w:val="center"/>
          </w:tcPr>
          <w:p w14:paraId="0761E76E">
            <w:pPr>
              <w:pStyle w:val="12"/>
            </w:pPr>
            <w:r>
              <w:t>普通高中国家助学金管理办法</w:t>
            </w:r>
          </w:p>
        </w:tc>
      </w:tr>
      <w:tr w14:paraId="7A07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67184"/>
        </w:tc>
        <w:tc>
          <w:tcPr>
            <w:tcW w:w="2268" w:type="dxa"/>
            <w:vAlign w:val="center"/>
          </w:tcPr>
          <w:p w14:paraId="4AA5268B">
            <w:pPr>
              <w:pStyle w:val="12"/>
            </w:pPr>
            <w:r>
              <w:t>质量指标</w:t>
            </w:r>
          </w:p>
        </w:tc>
        <w:tc>
          <w:tcPr>
            <w:tcW w:w="2835" w:type="dxa"/>
            <w:vAlign w:val="center"/>
          </w:tcPr>
          <w:p w14:paraId="3134FEE7">
            <w:pPr>
              <w:pStyle w:val="12"/>
            </w:pPr>
            <w:r>
              <w:t>高中助学金资助制度落实情况</w:t>
            </w:r>
          </w:p>
        </w:tc>
        <w:tc>
          <w:tcPr>
            <w:tcW w:w="5386" w:type="dxa"/>
            <w:vAlign w:val="center"/>
          </w:tcPr>
          <w:p w14:paraId="0F560FDD">
            <w:pPr>
              <w:pStyle w:val="12"/>
            </w:pPr>
            <w:r>
              <w:t>符合享受资助条件的学生应助尽助</w:t>
            </w:r>
          </w:p>
        </w:tc>
        <w:tc>
          <w:tcPr>
            <w:tcW w:w="2268" w:type="dxa"/>
            <w:vAlign w:val="center"/>
          </w:tcPr>
          <w:p w14:paraId="348076A2">
            <w:pPr>
              <w:pStyle w:val="12"/>
            </w:pPr>
            <w:r>
              <w:t>100%</w:t>
            </w:r>
          </w:p>
        </w:tc>
        <w:tc>
          <w:tcPr>
            <w:tcW w:w="1276" w:type="dxa"/>
            <w:vAlign w:val="center"/>
          </w:tcPr>
          <w:p w14:paraId="07986473">
            <w:pPr>
              <w:pStyle w:val="12"/>
            </w:pPr>
            <w:r>
              <w:t>普通高中国家助学金管理办法</w:t>
            </w:r>
          </w:p>
        </w:tc>
      </w:tr>
      <w:tr w14:paraId="05C7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85762"/>
        </w:tc>
        <w:tc>
          <w:tcPr>
            <w:tcW w:w="2268" w:type="dxa"/>
            <w:vAlign w:val="center"/>
          </w:tcPr>
          <w:p w14:paraId="40B4EEC0">
            <w:pPr>
              <w:pStyle w:val="12"/>
            </w:pPr>
            <w:r>
              <w:t>时效指标</w:t>
            </w:r>
          </w:p>
        </w:tc>
        <w:tc>
          <w:tcPr>
            <w:tcW w:w="2835" w:type="dxa"/>
            <w:vAlign w:val="center"/>
          </w:tcPr>
          <w:p w14:paraId="52DF6DBD">
            <w:pPr>
              <w:pStyle w:val="12"/>
            </w:pPr>
            <w:r>
              <w:t>资金拨付率</w:t>
            </w:r>
          </w:p>
        </w:tc>
        <w:tc>
          <w:tcPr>
            <w:tcW w:w="5386" w:type="dxa"/>
            <w:vAlign w:val="center"/>
          </w:tcPr>
          <w:p w14:paraId="60E38278">
            <w:pPr>
              <w:pStyle w:val="12"/>
            </w:pPr>
            <w:r>
              <w:t>资助资金支付进度</w:t>
            </w:r>
          </w:p>
        </w:tc>
        <w:tc>
          <w:tcPr>
            <w:tcW w:w="2268" w:type="dxa"/>
            <w:vAlign w:val="center"/>
          </w:tcPr>
          <w:p w14:paraId="4F7F6C29">
            <w:pPr>
              <w:pStyle w:val="12"/>
            </w:pPr>
            <w:r>
              <w:t>100%</w:t>
            </w:r>
          </w:p>
        </w:tc>
        <w:tc>
          <w:tcPr>
            <w:tcW w:w="1276" w:type="dxa"/>
            <w:vAlign w:val="center"/>
          </w:tcPr>
          <w:p w14:paraId="48716915">
            <w:pPr>
              <w:pStyle w:val="12"/>
            </w:pPr>
            <w:r>
              <w:t>普通高中国家助学金管理办法</w:t>
            </w:r>
          </w:p>
        </w:tc>
      </w:tr>
      <w:tr w14:paraId="2840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4D55C"/>
        </w:tc>
        <w:tc>
          <w:tcPr>
            <w:tcW w:w="2268" w:type="dxa"/>
            <w:vAlign w:val="center"/>
          </w:tcPr>
          <w:p w14:paraId="22B6CA19">
            <w:pPr>
              <w:pStyle w:val="12"/>
            </w:pPr>
            <w:r>
              <w:t>成本指标</w:t>
            </w:r>
          </w:p>
        </w:tc>
        <w:tc>
          <w:tcPr>
            <w:tcW w:w="2835" w:type="dxa"/>
            <w:vAlign w:val="center"/>
          </w:tcPr>
          <w:p w14:paraId="2ED37E46">
            <w:pPr>
              <w:pStyle w:val="12"/>
            </w:pPr>
            <w:r>
              <w:t>高中家庭经济困难学生补助标准</w:t>
            </w:r>
          </w:p>
        </w:tc>
        <w:tc>
          <w:tcPr>
            <w:tcW w:w="5386" w:type="dxa"/>
            <w:vAlign w:val="center"/>
          </w:tcPr>
          <w:p w14:paraId="5FC77A74">
            <w:pPr>
              <w:pStyle w:val="12"/>
            </w:pPr>
            <w:r>
              <w:t>标准2300元/生/学年。</w:t>
            </w:r>
          </w:p>
        </w:tc>
        <w:tc>
          <w:tcPr>
            <w:tcW w:w="2268" w:type="dxa"/>
            <w:vAlign w:val="center"/>
          </w:tcPr>
          <w:p w14:paraId="17CA696C">
            <w:pPr>
              <w:pStyle w:val="12"/>
            </w:pPr>
            <w:r>
              <w:t>2300元</w:t>
            </w:r>
          </w:p>
        </w:tc>
        <w:tc>
          <w:tcPr>
            <w:tcW w:w="1276" w:type="dxa"/>
            <w:vAlign w:val="center"/>
          </w:tcPr>
          <w:p w14:paraId="2AB1830D">
            <w:pPr>
              <w:pStyle w:val="12"/>
            </w:pPr>
            <w:r>
              <w:t>普通高中国家助学金管理办法</w:t>
            </w:r>
          </w:p>
        </w:tc>
      </w:tr>
      <w:tr w14:paraId="2293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08A69">
            <w:pPr>
              <w:pStyle w:val="13"/>
            </w:pPr>
            <w:r>
              <w:t>效益指标</w:t>
            </w:r>
          </w:p>
        </w:tc>
        <w:tc>
          <w:tcPr>
            <w:tcW w:w="2268" w:type="dxa"/>
            <w:vAlign w:val="center"/>
          </w:tcPr>
          <w:p w14:paraId="1AC37860">
            <w:pPr>
              <w:pStyle w:val="12"/>
            </w:pPr>
            <w:r>
              <w:t>可持续影响指标</w:t>
            </w:r>
          </w:p>
        </w:tc>
        <w:tc>
          <w:tcPr>
            <w:tcW w:w="2835" w:type="dxa"/>
            <w:vAlign w:val="center"/>
          </w:tcPr>
          <w:p w14:paraId="22D69EE7">
            <w:pPr>
              <w:pStyle w:val="12"/>
            </w:pPr>
            <w:r>
              <w:t>高中运转</w:t>
            </w:r>
          </w:p>
        </w:tc>
        <w:tc>
          <w:tcPr>
            <w:tcW w:w="5386" w:type="dxa"/>
            <w:vAlign w:val="center"/>
          </w:tcPr>
          <w:p w14:paraId="059F8F77">
            <w:pPr>
              <w:pStyle w:val="12"/>
            </w:pPr>
            <w:r>
              <w:t>高中生受教育年限</w:t>
            </w:r>
          </w:p>
        </w:tc>
        <w:tc>
          <w:tcPr>
            <w:tcW w:w="2268" w:type="dxa"/>
            <w:vAlign w:val="center"/>
          </w:tcPr>
          <w:p w14:paraId="46EC4809">
            <w:pPr>
              <w:pStyle w:val="12"/>
            </w:pPr>
            <w:r>
              <w:t>3年</w:t>
            </w:r>
          </w:p>
        </w:tc>
        <w:tc>
          <w:tcPr>
            <w:tcW w:w="1276" w:type="dxa"/>
            <w:vAlign w:val="center"/>
          </w:tcPr>
          <w:p w14:paraId="00E7DD24">
            <w:pPr>
              <w:pStyle w:val="12"/>
            </w:pPr>
            <w:r>
              <w:t>普通高中国家助学金管理办法</w:t>
            </w:r>
          </w:p>
        </w:tc>
      </w:tr>
      <w:tr w14:paraId="5DEE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2ED38">
            <w:pPr>
              <w:pStyle w:val="13"/>
            </w:pPr>
            <w:r>
              <w:t>满意度指标</w:t>
            </w:r>
          </w:p>
        </w:tc>
        <w:tc>
          <w:tcPr>
            <w:tcW w:w="2268" w:type="dxa"/>
            <w:vAlign w:val="center"/>
          </w:tcPr>
          <w:p w14:paraId="316A2A2C">
            <w:pPr>
              <w:pStyle w:val="12"/>
            </w:pPr>
            <w:r>
              <w:t>服务对象满意度指标</w:t>
            </w:r>
          </w:p>
        </w:tc>
        <w:tc>
          <w:tcPr>
            <w:tcW w:w="2835" w:type="dxa"/>
            <w:vAlign w:val="center"/>
          </w:tcPr>
          <w:p w14:paraId="26E28B60">
            <w:pPr>
              <w:pStyle w:val="12"/>
            </w:pPr>
            <w:r>
              <w:t>受益学生家长及调查</w:t>
            </w:r>
            <w:r>
              <w:rPr>
                <w:rFonts w:hint="eastAsia"/>
                <w:lang w:eastAsia="zh-CN"/>
              </w:rPr>
              <w:t>的满意度</w:t>
            </w:r>
          </w:p>
        </w:tc>
        <w:tc>
          <w:tcPr>
            <w:tcW w:w="5386" w:type="dxa"/>
            <w:vAlign w:val="center"/>
          </w:tcPr>
          <w:p w14:paraId="48E7CB4B">
            <w:pPr>
              <w:pStyle w:val="12"/>
            </w:pPr>
            <w:r>
              <w:t>学生、教师及家长对学校保教保育工作</w:t>
            </w:r>
            <w:r>
              <w:rPr>
                <w:rFonts w:hint="eastAsia"/>
                <w:lang w:eastAsia="zh-CN"/>
              </w:rPr>
              <w:t>的满意度</w:t>
            </w:r>
          </w:p>
        </w:tc>
        <w:tc>
          <w:tcPr>
            <w:tcW w:w="2268" w:type="dxa"/>
            <w:vAlign w:val="center"/>
          </w:tcPr>
          <w:p w14:paraId="7F606D48">
            <w:pPr>
              <w:pStyle w:val="12"/>
            </w:pPr>
            <w:r>
              <w:t>≥95%</w:t>
            </w:r>
          </w:p>
        </w:tc>
        <w:tc>
          <w:tcPr>
            <w:tcW w:w="1276" w:type="dxa"/>
            <w:vAlign w:val="center"/>
          </w:tcPr>
          <w:p w14:paraId="204D16F3">
            <w:pPr>
              <w:pStyle w:val="12"/>
            </w:pPr>
            <w:r>
              <w:t>调查问卷</w:t>
            </w:r>
          </w:p>
        </w:tc>
      </w:tr>
    </w:tbl>
    <w:p w14:paraId="57B6BE7D">
      <w:pPr>
        <w:sectPr>
          <w:pgSz w:w="16840" w:h="11900" w:orient="landscape"/>
          <w:pgMar w:top="1361" w:right="1020" w:bottom="1134" w:left="1020" w:header="720" w:footer="720" w:gutter="0"/>
          <w:cols w:space="720" w:num="1"/>
        </w:sectPr>
      </w:pPr>
    </w:p>
    <w:p w14:paraId="6EB160E2">
      <w:pPr>
        <w:spacing w:before="0" w:after="0"/>
        <w:ind w:firstLine="560"/>
        <w:jc w:val="left"/>
        <w:outlineLvl w:val="9"/>
      </w:pPr>
      <w:r>
        <w:rPr>
          <w:rFonts w:ascii="方正仿宋_GBK" w:hAnsi="方正仿宋_GBK" w:eastAsia="方正仿宋_GBK" w:cs="方正仿宋_GBK"/>
          <w:b/>
          <w:color w:val="000000"/>
          <w:sz w:val="28"/>
        </w:rPr>
        <w:t>21、冀财教[2025]150号/省级/2026年普通高中资金/普通高中助学金（文茂高中）绩效目标表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EA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5514F">
            <w:pPr>
              <w:pStyle w:val="11"/>
            </w:pPr>
            <w:r>
              <w:t>单位：万元</w:t>
            </w:r>
          </w:p>
        </w:tc>
      </w:tr>
      <w:tr w14:paraId="15D1D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22CEF">
            <w:pPr>
              <w:pStyle w:val="10"/>
            </w:pPr>
            <w:r>
              <w:t>项目编码</w:t>
            </w:r>
          </w:p>
        </w:tc>
        <w:tc>
          <w:tcPr>
            <w:tcW w:w="5103" w:type="dxa"/>
            <w:gridSpan w:val="2"/>
            <w:vAlign w:val="center"/>
          </w:tcPr>
          <w:p w14:paraId="0F5A5EB1">
            <w:pPr>
              <w:pStyle w:val="12"/>
            </w:pPr>
            <w:r>
              <w:t>13052526P00001210049A</w:t>
            </w:r>
          </w:p>
        </w:tc>
        <w:tc>
          <w:tcPr>
            <w:tcW w:w="2835" w:type="dxa"/>
            <w:vAlign w:val="center"/>
          </w:tcPr>
          <w:p w14:paraId="58FC3D28">
            <w:pPr>
              <w:pStyle w:val="10"/>
            </w:pPr>
            <w:r>
              <w:t>项目名称</w:t>
            </w:r>
          </w:p>
        </w:tc>
        <w:tc>
          <w:tcPr>
            <w:tcW w:w="6095" w:type="dxa"/>
            <w:gridSpan w:val="3"/>
            <w:vAlign w:val="center"/>
          </w:tcPr>
          <w:p w14:paraId="05C197E3">
            <w:pPr>
              <w:pStyle w:val="12"/>
            </w:pPr>
            <w:r>
              <w:t>冀财教[2025]150号/省级/2026年普通高中资金/普通高中助学金（文茂高中）</w:t>
            </w:r>
          </w:p>
        </w:tc>
      </w:tr>
      <w:tr w14:paraId="228FE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90DEB">
            <w:pPr>
              <w:pStyle w:val="10"/>
            </w:pPr>
            <w:r>
              <w:t>预算规模及资金用途</w:t>
            </w:r>
          </w:p>
        </w:tc>
        <w:tc>
          <w:tcPr>
            <w:tcW w:w="2268" w:type="dxa"/>
            <w:vAlign w:val="center"/>
          </w:tcPr>
          <w:p w14:paraId="4F486675">
            <w:pPr>
              <w:pStyle w:val="10"/>
            </w:pPr>
            <w:r>
              <w:t>预算数</w:t>
            </w:r>
          </w:p>
        </w:tc>
        <w:tc>
          <w:tcPr>
            <w:tcW w:w="2835" w:type="dxa"/>
            <w:vAlign w:val="center"/>
          </w:tcPr>
          <w:p w14:paraId="523F7D56">
            <w:pPr>
              <w:pStyle w:val="12"/>
            </w:pPr>
            <w:r>
              <w:t>7.50</w:t>
            </w:r>
          </w:p>
        </w:tc>
        <w:tc>
          <w:tcPr>
            <w:tcW w:w="2835" w:type="dxa"/>
            <w:vAlign w:val="center"/>
          </w:tcPr>
          <w:p w14:paraId="5A3459E0">
            <w:pPr>
              <w:pStyle w:val="10"/>
            </w:pPr>
            <w:r>
              <w:t>其中：财政    资金</w:t>
            </w:r>
          </w:p>
        </w:tc>
        <w:tc>
          <w:tcPr>
            <w:tcW w:w="2551" w:type="dxa"/>
            <w:vAlign w:val="center"/>
          </w:tcPr>
          <w:p w14:paraId="2631190C">
            <w:pPr>
              <w:pStyle w:val="12"/>
            </w:pPr>
            <w:r>
              <w:t>7.50</w:t>
            </w:r>
          </w:p>
        </w:tc>
        <w:tc>
          <w:tcPr>
            <w:tcW w:w="2268" w:type="dxa"/>
            <w:vAlign w:val="center"/>
          </w:tcPr>
          <w:p w14:paraId="571A62C4">
            <w:pPr>
              <w:pStyle w:val="10"/>
            </w:pPr>
            <w:r>
              <w:t>其他资金</w:t>
            </w:r>
          </w:p>
        </w:tc>
        <w:tc>
          <w:tcPr>
            <w:tcW w:w="1276" w:type="dxa"/>
            <w:vAlign w:val="center"/>
          </w:tcPr>
          <w:p w14:paraId="761EE03B">
            <w:pPr>
              <w:pStyle w:val="12"/>
            </w:pPr>
            <w:r>
              <w:t xml:space="preserve"> </w:t>
            </w:r>
          </w:p>
        </w:tc>
      </w:tr>
      <w:tr w14:paraId="5144F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20D33"/>
        </w:tc>
        <w:tc>
          <w:tcPr>
            <w:tcW w:w="14033" w:type="dxa"/>
            <w:gridSpan w:val="6"/>
            <w:vAlign w:val="center"/>
          </w:tcPr>
          <w:p w14:paraId="12F22716">
            <w:pPr>
              <w:pStyle w:val="12"/>
            </w:pPr>
            <w:r>
              <w:t>优先资助建档立卡家庭学生、孤残学生、父母丧失劳动能力学生、少数民族学生、烈士子女与单亲家庭经济困难学生、低保、特困救助、突发致贫学生。</w:t>
            </w:r>
            <w:r>
              <w:tab/>
            </w:r>
            <w:r>
              <w:tab/>
            </w:r>
          </w:p>
        </w:tc>
      </w:tr>
      <w:tr w14:paraId="229E4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09D38">
            <w:pPr>
              <w:pStyle w:val="10"/>
            </w:pPr>
            <w:r>
              <w:t>资金支出计划（%）</w:t>
            </w:r>
          </w:p>
        </w:tc>
        <w:tc>
          <w:tcPr>
            <w:tcW w:w="5103" w:type="dxa"/>
            <w:gridSpan w:val="2"/>
            <w:vAlign w:val="center"/>
          </w:tcPr>
          <w:p w14:paraId="504D9972">
            <w:pPr>
              <w:pStyle w:val="10"/>
            </w:pPr>
            <w:r>
              <w:t>3月底</w:t>
            </w:r>
          </w:p>
        </w:tc>
        <w:tc>
          <w:tcPr>
            <w:tcW w:w="2835" w:type="dxa"/>
            <w:vAlign w:val="center"/>
          </w:tcPr>
          <w:p w14:paraId="1E75C050">
            <w:pPr>
              <w:pStyle w:val="10"/>
            </w:pPr>
            <w:r>
              <w:t>6月底</w:t>
            </w:r>
          </w:p>
        </w:tc>
        <w:tc>
          <w:tcPr>
            <w:tcW w:w="2551" w:type="dxa"/>
            <w:vAlign w:val="center"/>
          </w:tcPr>
          <w:p w14:paraId="12F5D6D2">
            <w:pPr>
              <w:pStyle w:val="10"/>
            </w:pPr>
            <w:r>
              <w:t>10月底</w:t>
            </w:r>
          </w:p>
        </w:tc>
        <w:tc>
          <w:tcPr>
            <w:tcW w:w="3544" w:type="dxa"/>
            <w:gridSpan w:val="2"/>
            <w:vAlign w:val="center"/>
          </w:tcPr>
          <w:p w14:paraId="766769F6">
            <w:pPr>
              <w:pStyle w:val="10"/>
            </w:pPr>
            <w:r>
              <w:t>12月底</w:t>
            </w:r>
          </w:p>
        </w:tc>
      </w:tr>
      <w:tr w14:paraId="6A410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71B02"/>
        </w:tc>
        <w:tc>
          <w:tcPr>
            <w:tcW w:w="5103" w:type="dxa"/>
            <w:gridSpan w:val="2"/>
            <w:vAlign w:val="center"/>
          </w:tcPr>
          <w:p w14:paraId="79B0FBFE">
            <w:pPr>
              <w:pStyle w:val="13"/>
            </w:pPr>
            <w:r>
              <w:t>25%</w:t>
            </w:r>
          </w:p>
        </w:tc>
        <w:tc>
          <w:tcPr>
            <w:tcW w:w="2835" w:type="dxa"/>
            <w:vAlign w:val="center"/>
          </w:tcPr>
          <w:p w14:paraId="480D388B">
            <w:pPr>
              <w:pStyle w:val="13"/>
            </w:pPr>
            <w:r>
              <w:t>50%</w:t>
            </w:r>
          </w:p>
        </w:tc>
        <w:tc>
          <w:tcPr>
            <w:tcW w:w="2551" w:type="dxa"/>
            <w:vAlign w:val="center"/>
          </w:tcPr>
          <w:p w14:paraId="12E9097C">
            <w:pPr>
              <w:pStyle w:val="13"/>
            </w:pPr>
            <w:r>
              <w:t>75%</w:t>
            </w:r>
          </w:p>
        </w:tc>
        <w:tc>
          <w:tcPr>
            <w:tcW w:w="3544" w:type="dxa"/>
            <w:gridSpan w:val="2"/>
            <w:vAlign w:val="center"/>
          </w:tcPr>
          <w:p w14:paraId="74E5FD99">
            <w:pPr>
              <w:pStyle w:val="13"/>
            </w:pPr>
            <w:r>
              <w:t>100%</w:t>
            </w:r>
          </w:p>
        </w:tc>
      </w:tr>
      <w:tr w14:paraId="3D47E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CFA37">
            <w:pPr>
              <w:pStyle w:val="10"/>
            </w:pPr>
            <w:r>
              <w:t>绩效目标</w:t>
            </w:r>
          </w:p>
        </w:tc>
        <w:tc>
          <w:tcPr>
            <w:tcW w:w="14033" w:type="dxa"/>
            <w:gridSpan w:val="6"/>
            <w:vAlign w:val="center"/>
          </w:tcPr>
          <w:p w14:paraId="6BB7B526">
            <w:pPr>
              <w:pStyle w:val="12"/>
            </w:pPr>
            <w:r>
              <w:t>1.优先资助建档立卡家庭学生、孤残学生、父母丧失劳动能力学生、少数民族学生、烈士子女与单亲家庭经济困难学生、低保、特困救助、突发致贫学生。</w:t>
            </w:r>
            <w:r>
              <w:tab/>
            </w:r>
            <w:r>
              <w:tab/>
            </w:r>
            <w:r>
              <w:tab/>
            </w:r>
            <w:r>
              <w:tab/>
            </w:r>
            <w:r>
              <w:tab/>
            </w:r>
            <w:r>
              <w:tab/>
            </w:r>
          </w:p>
          <w:p w14:paraId="3FEC0E9A">
            <w:pPr>
              <w:pStyle w:val="12"/>
            </w:pPr>
            <w:r>
              <w:t>2.及时发放资助资金，确保贫困家庭学生得到资助，不因贫困失学辍学。</w:t>
            </w:r>
            <w:r>
              <w:tab/>
            </w:r>
            <w:r>
              <w:tab/>
            </w:r>
            <w:r>
              <w:tab/>
            </w:r>
            <w:r>
              <w:tab/>
            </w:r>
            <w:r>
              <w:tab/>
            </w:r>
            <w:r>
              <w:tab/>
            </w:r>
          </w:p>
          <w:p w14:paraId="2B1AA4B5">
            <w:pPr>
              <w:pStyle w:val="12"/>
            </w:pPr>
            <w:r>
              <w:t>3.深入宣传学生资助政策，落实河北省普通高中国家助学金管理办法。</w:t>
            </w:r>
          </w:p>
        </w:tc>
      </w:tr>
    </w:tbl>
    <w:p w14:paraId="2A631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2"/>
        <w:gridCol w:w="2272"/>
        <w:gridCol w:w="1276"/>
      </w:tblGrid>
      <w:tr w14:paraId="354B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FEA5A">
            <w:pPr>
              <w:pStyle w:val="10"/>
            </w:pPr>
            <w:r>
              <w:t>一级指标</w:t>
            </w:r>
          </w:p>
        </w:tc>
        <w:tc>
          <w:tcPr>
            <w:tcW w:w="2268" w:type="dxa"/>
            <w:vAlign w:val="center"/>
          </w:tcPr>
          <w:p w14:paraId="1D309040">
            <w:pPr>
              <w:pStyle w:val="10"/>
            </w:pPr>
            <w:r>
              <w:t>二级指标</w:t>
            </w:r>
          </w:p>
        </w:tc>
        <w:tc>
          <w:tcPr>
            <w:tcW w:w="2835" w:type="dxa"/>
            <w:vAlign w:val="center"/>
          </w:tcPr>
          <w:p w14:paraId="2EB454C6">
            <w:pPr>
              <w:pStyle w:val="10"/>
            </w:pPr>
            <w:r>
              <w:t>三级指标</w:t>
            </w:r>
          </w:p>
        </w:tc>
        <w:tc>
          <w:tcPr>
            <w:tcW w:w="5382" w:type="dxa"/>
            <w:vAlign w:val="center"/>
          </w:tcPr>
          <w:p w14:paraId="2635E0D4">
            <w:pPr>
              <w:pStyle w:val="10"/>
            </w:pPr>
            <w:r>
              <w:t>绩效指标描述</w:t>
            </w:r>
          </w:p>
        </w:tc>
        <w:tc>
          <w:tcPr>
            <w:tcW w:w="2272" w:type="dxa"/>
            <w:vAlign w:val="center"/>
          </w:tcPr>
          <w:p w14:paraId="164E18CE">
            <w:pPr>
              <w:pStyle w:val="10"/>
            </w:pPr>
            <w:r>
              <w:t>指标值</w:t>
            </w:r>
          </w:p>
        </w:tc>
        <w:tc>
          <w:tcPr>
            <w:tcW w:w="1276" w:type="dxa"/>
            <w:vAlign w:val="center"/>
          </w:tcPr>
          <w:p w14:paraId="57366A3B">
            <w:pPr>
              <w:pStyle w:val="10"/>
            </w:pPr>
            <w:r>
              <w:t>指标值确定依据</w:t>
            </w:r>
          </w:p>
        </w:tc>
      </w:tr>
      <w:tr w14:paraId="4604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A665A">
            <w:pPr>
              <w:pStyle w:val="13"/>
            </w:pPr>
            <w:r>
              <w:t>产出指标</w:t>
            </w:r>
          </w:p>
        </w:tc>
        <w:tc>
          <w:tcPr>
            <w:tcW w:w="2268" w:type="dxa"/>
            <w:vAlign w:val="center"/>
          </w:tcPr>
          <w:p w14:paraId="584763E5">
            <w:pPr>
              <w:pStyle w:val="12"/>
            </w:pPr>
            <w:r>
              <w:t>数量指标</w:t>
            </w:r>
          </w:p>
        </w:tc>
        <w:tc>
          <w:tcPr>
            <w:tcW w:w="2835" w:type="dxa"/>
            <w:vAlign w:val="center"/>
          </w:tcPr>
          <w:p w14:paraId="6F891C57">
            <w:pPr>
              <w:pStyle w:val="12"/>
            </w:pPr>
            <w:r>
              <w:t>普通高中资助人数</w:t>
            </w:r>
          </w:p>
        </w:tc>
        <w:tc>
          <w:tcPr>
            <w:tcW w:w="5382" w:type="dxa"/>
            <w:vAlign w:val="center"/>
          </w:tcPr>
          <w:p w14:paraId="2A8A8D4E">
            <w:pPr>
              <w:pStyle w:val="12"/>
            </w:pPr>
            <w:r>
              <w:t>普通高中助学受资助人数约占普通高中在校生总数的18%</w:t>
            </w:r>
          </w:p>
        </w:tc>
        <w:tc>
          <w:tcPr>
            <w:tcW w:w="2272" w:type="dxa"/>
            <w:vAlign w:val="center"/>
          </w:tcPr>
          <w:p w14:paraId="6DB5C0A7">
            <w:pPr>
              <w:pStyle w:val="12"/>
            </w:pPr>
            <w:r>
              <w:t>≥153人</w:t>
            </w:r>
          </w:p>
        </w:tc>
        <w:tc>
          <w:tcPr>
            <w:tcW w:w="1276" w:type="dxa"/>
            <w:vAlign w:val="center"/>
          </w:tcPr>
          <w:p w14:paraId="46CDB46D">
            <w:pPr>
              <w:pStyle w:val="12"/>
            </w:pPr>
            <w:r>
              <w:t>普通高中国家助学金管理办法</w:t>
            </w:r>
          </w:p>
        </w:tc>
      </w:tr>
      <w:tr w14:paraId="6126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6F3AF"/>
        </w:tc>
        <w:tc>
          <w:tcPr>
            <w:tcW w:w="2268" w:type="dxa"/>
            <w:vAlign w:val="center"/>
          </w:tcPr>
          <w:p w14:paraId="5B159862">
            <w:pPr>
              <w:pStyle w:val="12"/>
            </w:pPr>
            <w:r>
              <w:t>质量指标</w:t>
            </w:r>
          </w:p>
        </w:tc>
        <w:tc>
          <w:tcPr>
            <w:tcW w:w="2835" w:type="dxa"/>
            <w:vAlign w:val="center"/>
          </w:tcPr>
          <w:p w14:paraId="19758AC3">
            <w:pPr>
              <w:pStyle w:val="12"/>
            </w:pPr>
            <w:r>
              <w:t>高中助学金资助制度落实情况</w:t>
            </w:r>
          </w:p>
        </w:tc>
        <w:tc>
          <w:tcPr>
            <w:tcW w:w="5382" w:type="dxa"/>
            <w:vAlign w:val="center"/>
          </w:tcPr>
          <w:p w14:paraId="4E6CEB0B">
            <w:pPr>
              <w:pStyle w:val="12"/>
            </w:pPr>
            <w:r>
              <w:t>符合享受资助条件的学生应助尽助</w:t>
            </w:r>
          </w:p>
        </w:tc>
        <w:tc>
          <w:tcPr>
            <w:tcW w:w="2272" w:type="dxa"/>
            <w:vAlign w:val="center"/>
          </w:tcPr>
          <w:p w14:paraId="70098223">
            <w:pPr>
              <w:pStyle w:val="12"/>
            </w:pPr>
            <w:r>
              <w:t>100%</w:t>
            </w:r>
          </w:p>
        </w:tc>
        <w:tc>
          <w:tcPr>
            <w:tcW w:w="1276" w:type="dxa"/>
            <w:vAlign w:val="center"/>
          </w:tcPr>
          <w:p w14:paraId="45DA0722">
            <w:pPr>
              <w:pStyle w:val="12"/>
            </w:pPr>
            <w:r>
              <w:t>普通高中国家助学金管理办法</w:t>
            </w:r>
          </w:p>
        </w:tc>
      </w:tr>
      <w:tr w14:paraId="5F7F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A00A9"/>
        </w:tc>
        <w:tc>
          <w:tcPr>
            <w:tcW w:w="2268" w:type="dxa"/>
            <w:vAlign w:val="center"/>
          </w:tcPr>
          <w:p w14:paraId="6CFE4E64">
            <w:pPr>
              <w:pStyle w:val="12"/>
            </w:pPr>
            <w:r>
              <w:t>时效指标</w:t>
            </w:r>
          </w:p>
        </w:tc>
        <w:tc>
          <w:tcPr>
            <w:tcW w:w="2835" w:type="dxa"/>
            <w:vAlign w:val="center"/>
          </w:tcPr>
          <w:p w14:paraId="4B01EED4">
            <w:pPr>
              <w:pStyle w:val="12"/>
            </w:pPr>
            <w:r>
              <w:t>资金拨付率</w:t>
            </w:r>
          </w:p>
        </w:tc>
        <w:tc>
          <w:tcPr>
            <w:tcW w:w="5382" w:type="dxa"/>
            <w:vAlign w:val="center"/>
          </w:tcPr>
          <w:p w14:paraId="759EFCD2">
            <w:pPr>
              <w:pStyle w:val="12"/>
            </w:pPr>
            <w:r>
              <w:t>资助资金支付进度</w:t>
            </w:r>
          </w:p>
        </w:tc>
        <w:tc>
          <w:tcPr>
            <w:tcW w:w="2272" w:type="dxa"/>
            <w:vAlign w:val="center"/>
          </w:tcPr>
          <w:p w14:paraId="59624972">
            <w:pPr>
              <w:pStyle w:val="12"/>
            </w:pPr>
            <w:r>
              <w:t>100%</w:t>
            </w:r>
          </w:p>
        </w:tc>
        <w:tc>
          <w:tcPr>
            <w:tcW w:w="1276" w:type="dxa"/>
            <w:vAlign w:val="center"/>
          </w:tcPr>
          <w:p w14:paraId="2E39A21C">
            <w:pPr>
              <w:pStyle w:val="12"/>
            </w:pPr>
            <w:r>
              <w:t>普通高中国家助学金管理办法</w:t>
            </w:r>
          </w:p>
        </w:tc>
      </w:tr>
      <w:tr w14:paraId="3376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8F59D"/>
        </w:tc>
        <w:tc>
          <w:tcPr>
            <w:tcW w:w="2268" w:type="dxa"/>
            <w:vAlign w:val="center"/>
          </w:tcPr>
          <w:p w14:paraId="34E03A75">
            <w:pPr>
              <w:pStyle w:val="12"/>
            </w:pPr>
            <w:r>
              <w:t>成本指标</w:t>
            </w:r>
          </w:p>
        </w:tc>
        <w:tc>
          <w:tcPr>
            <w:tcW w:w="2835" w:type="dxa"/>
            <w:vAlign w:val="center"/>
          </w:tcPr>
          <w:p w14:paraId="4FF28AFB">
            <w:pPr>
              <w:pStyle w:val="12"/>
            </w:pPr>
            <w:r>
              <w:t>普高国家助学金标准</w:t>
            </w:r>
          </w:p>
        </w:tc>
        <w:tc>
          <w:tcPr>
            <w:tcW w:w="5382" w:type="dxa"/>
            <w:vAlign w:val="center"/>
          </w:tcPr>
          <w:p w14:paraId="5D4F93CF">
            <w:pPr>
              <w:pStyle w:val="12"/>
            </w:pPr>
            <w:r>
              <w:t>普高国家助学金资助标准2300元/生/年</w:t>
            </w:r>
          </w:p>
        </w:tc>
        <w:tc>
          <w:tcPr>
            <w:tcW w:w="2272" w:type="dxa"/>
            <w:vAlign w:val="center"/>
          </w:tcPr>
          <w:p w14:paraId="383E0A83">
            <w:pPr>
              <w:pStyle w:val="12"/>
            </w:pPr>
            <w:r>
              <w:t>2300元</w:t>
            </w:r>
          </w:p>
        </w:tc>
        <w:tc>
          <w:tcPr>
            <w:tcW w:w="1276" w:type="dxa"/>
            <w:vAlign w:val="center"/>
          </w:tcPr>
          <w:p w14:paraId="73685C28">
            <w:pPr>
              <w:pStyle w:val="12"/>
            </w:pPr>
            <w:r>
              <w:t>普通高中国家助学金管理办法</w:t>
            </w:r>
          </w:p>
        </w:tc>
      </w:tr>
      <w:tr w14:paraId="68AD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9104F">
            <w:pPr>
              <w:pStyle w:val="13"/>
            </w:pPr>
            <w:r>
              <w:t>效益指标</w:t>
            </w:r>
          </w:p>
        </w:tc>
        <w:tc>
          <w:tcPr>
            <w:tcW w:w="2268" w:type="dxa"/>
            <w:vAlign w:val="center"/>
          </w:tcPr>
          <w:p w14:paraId="6930D78D">
            <w:pPr>
              <w:pStyle w:val="12"/>
            </w:pPr>
            <w:r>
              <w:t>可持续影响指标</w:t>
            </w:r>
          </w:p>
        </w:tc>
        <w:tc>
          <w:tcPr>
            <w:tcW w:w="2835" w:type="dxa"/>
            <w:vAlign w:val="center"/>
          </w:tcPr>
          <w:p w14:paraId="4E0F8309">
            <w:pPr>
              <w:pStyle w:val="12"/>
            </w:pPr>
            <w:r>
              <w:t>高中运转</w:t>
            </w:r>
          </w:p>
        </w:tc>
        <w:tc>
          <w:tcPr>
            <w:tcW w:w="5382" w:type="dxa"/>
            <w:vAlign w:val="center"/>
          </w:tcPr>
          <w:p w14:paraId="114EA0EC">
            <w:pPr>
              <w:pStyle w:val="12"/>
            </w:pPr>
            <w:r>
              <w:t>高中生受教育年限</w:t>
            </w:r>
          </w:p>
        </w:tc>
        <w:tc>
          <w:tcPr>
            <w:tcW w:w="2272" w:type="dxa"/>
            <w:vAlign w:val="center"/>
          </w:tcPr>
          <w:p w14:paraId="6DEC8B84">
            <w:pPr>
              <w:pStyle w:val="12"/>
            </w:pPr>
            <w:r>
              <w:t>3年</w:t>
            </w:r>
          </w:p>
        </w:tc>
        <w:tc>
          <w:tcPr>
            <w:tcW w:w="1276" w:type="dxa"/>
            <w:vAlign w:val="center"/>
          </w:tcPr>
          <w:p w14:paraId="078462E5">
            <w:pPr>
              <w:pStyle w:val="12"/>
            </w:pPr>
            <w:r>
              <w:t>普通高中国家助学金管理办法</w:t>
            </w:r>
          </w:p>
        </w:tc>
      </w:tr>
      <w:tr w14:paraId="5124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30A3A">
            <w:pPr>
              <w:pStyle w:val="13"/>
            </w:pPr>
            <w:r>
              <w:t>满意度指标</w:t>
            </w:r>
          </w:p>
        </w:tc>
        <w:tc>
          <w:tcPr>
            <w:tcW w:w="2268" w:type="dxa"/>
            <w:vAlign w:val="center"/>
          </w:tcPr>
          <w:p w14:paraId="70B8C1AB">
            <w:pPr>
              <w:pStyle w:val="12"/>
            </w:pPr>
            <w:r>
              <w:t>服务对象满意度指标</w:t>
            </w:r>
          </w:p>
        </w:tc>
        <w:tc>
          <w:tcPr>
            <w:tcW w:w="2835" w:type="dxa"/>
            <w:vAlign w:val="center"/>
          </w:tcPr>
          <w:p w14:paraId="35375FC4">
            <w:pPr>
              <w:pStyle w:val="12"/>
            </w:pPr>
            <w:r>
              <w:t>受益学生家长及调查满意度</w:t>
            </w:r>
          </w:p>
        </w:tc>
        <w:tc>
          <w:tcPr>
            <w:tcW w:w="5382" w:type="dxa"/>
            <w:vAlign w:val="center"/>
          </w:tcPr>
          <w:p w14:paraId="386EBD5E">
            <w:pPr>
              <w:pStyle w:val="12"/>
            </w:pPr>
            <w:r>
              <w:t>学生、教师及家长对学校保教保育工作</w:t>
            </w:r>
            <w:r>
              <w:rPr>
                <w:rFonts w:hint="eastAsia"/>
                <w:lang w:eastAsia="zh-CN"/>
              </w:rPr>
              <w:t>的满意度</w:t>
            </w:r>
          </w:p>
        </w:tc>
        <w:tc>
          <w:tcPr>
            <w:tcW w:w="2272" w:type="dxa"/>
            <w:vAlign w:val="center"/>
          </w:tcPr>
          <w:p w14:paraId="34347906">
            <w:pPr>
              <w:pStyle w:val="12"/>
            </w:pPr>
            <w:r>
              <w:t>≥95%</w:t>
            </w:r>
          </w:p>
        </w:tc>
        <w:tc>
          <w:tcPr>
            <w:tcW w:w="1276" w:type="dxa"/>
            <w:vAlign w:val="center"/>
          </w:tcPr>
          <w:p w14:paraId="5335E813">
            <w:pPr>
              <w:pStyle w:val="12"/>
            </w:pPr>
            <w:r>
              <w:t>调查问卷</w:t>
            </w:r>
          </w:p>
        </w:tc>
      </w:tr>
    </w:tbl>
    <w:p w14:paraId="18E9FEF0">
      <w:pPr>
        <w:sectPr>
          <w:pgSz w:w="16840" w:h="11900" w:orient="landscape"/>
          <w:pgMar w:top="1361" w:right="1020" w:bottom="1134" w:left="1020" w:header="720" w:footer="720" w:gutter="0"/>
          <w:cols w:space="720" w:num="1"/>
        </w:sectPr>
      </w:pPr>
    </w:p>
    <w:p w14:paraId="278DD31F">
      <w:pPr>
        <w:spacing w:before="0" w:after="0"/>
        <w:ind w:firstLine="560"/>
        <w:jc w:val="left"/>
        <w:outlineLvl w:val="9"/>
      </w:pPr>
      <w:r>
        <w:rPr>
          <w:rFonts w:ascii="方正仿宋_GBK" w:hAnsi="方正仿宋_GBK" w:eastAsia="方正仿宋_GBK" w:cs="方正仿宋_GBK"/>
          <w:b/>
          <w:color w:val="000000"/>
          <w:sz w:val="28"/>
        </w:rPr>
        <w:t>22、教育局专项经费（非税）绩效目标表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2A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828C7">
            <w:pPr>
              <w:pStyle w:val="11"/>
            </w:pPr>
            <w:r>
              <w:t>单位：万元</w:t>
            </w:r>
          </w:p>
        </w:tc>
      </w:tr>
      <w:tr w14:paraId="4EB37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C89E3">
            <w:pPr>
              <w:pStyle w:val="10"/>
            </w:pPr>
            <w:r>
              <w:t>项目编码</w:t>
            </w:r>
          </w:p>
        </w:tc>
        <w:tc>
          <w:tcPr>
            <w:tcW w:w="5103" w:type="dxa"/>
            <w:gridSpan w:val="2"/>
            <w:vAlign w:val="center"/>
          </w:tcPr>
          <w:p w14:paraId="06C585E1">
            <w:pPr>
              <w:pStyle w:val="12"/>
            </w:pPr>
            <w:r>
              <w:t>13052526P00000210031A</w:t>
            </w:r>
          </w:p>
        </w:tc>
        <w:tc>
          <w:tcPr>
            <w:tcW w:w="2835" w:type="dxa"/>
            <w:vAlign w:val="center"/>
          </w:tcPr>
          <w:p w14:paraId="2BEB8F21">
            <w:pPr>
              <w:pStyle w:val="10"/>
            </w:pPr>
            <w:r>
              <w:t>项目名称</w:t>
            </w:r>
          </w:p>
        </w:tc>
        <w:tc>
          <w:tcPr>
            <w:tcW w:w="6095" w:type="dxa"/>
            <w:gridSpan w:val="3"/>
            <w:vAlign w:val="center"/>
          </w:tcPr>
          <w:p w14:paraId="5971FA75">
            <w:pPr>
              <w:pStyle w:val="12"/>
            </w:pPr>
            <w:r>
              <w:t>教育局专项经费（非税）</w:t>
            </w:r>
          </w:p>
        </w:tc>
      </w:tr>
      <w:tr w14:paraId="15DC3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4ED2E">
            <w:pPr>
              <w:pStyle w:val="10"/>
            </w:pPr>
            <w:r>
              <w:t>预算规模及资金用途</w:t>
            </w:r>
          </w:p>
        </w:tc>
        <w:tc>
          <w:tcPr>
            <w:tcW w:w="2268" w:type="dxa"/>
            <w:vAlign w:val="center"/>
          </w:tcPr>
          <w:p w14:paraId="4B04B835">
            <w:pPr>
              <w:pStyle w:val="10"/>
            </w:pPr>
            <w:r>
              <w:t>预算数</w:t>
            </w:r>
          </w:p>
        </w:tc>
        <w:tc>
          <w:tcPr>
            <w:tcW w:w="2835" w:type="dxa"/>
            <w:vAlign w:val="center"/>
          </w:tcPr>
          <w:p w14:paraId="0A09B322">
            <w:pPr>
              <w:pStyle w:val="12"/>
            </w:pPr>
            <w:r>
              <w:t>229.00</w:t>
            </w:r>
          </w:p>
        </w:tc>
        <w:tc>
          <w:tcPr>
            <w:tcW w:w="2835" w:type="dxa"/>
            <w:vAlign w:val="center"/>
          </w:tcPr>
          <w:p w14:paraId="0FB591C3">
            <w:pPr>
              <w:pStyle w:val="10"/>
            </w:pPr>
            <w:r>
              <w:t>其中：财政    资金</w:t>
            </w:r>
          </w:p>
        </w:tc>
        <w:tc>
          <w:tcPr>
            <w:tcW w:w="2551" w:type="dxa"/>
            <w:vAlign w:val="center"/>
          </w:tcPr>
          <w:p w14:paraId="439A1B18">
            <w:pPr>
              <w:pStyle w:val="12"/>
            </w:pPr>
            <w:r>
              <w:t>229.00</w:t>
            </w:r>
          </w:p>
        </w:tc>
        <w:tc>
          <w:tcPr>
            <w:tcW w:w="2268" w:type="dxa"/>
            <w:vAlign w:val="center"/>
          </w:tcPr>
          <w:p w14:paraId="7A0EFC7F">
            <w:pPr>
              <w:pStyle w:val="10"/>
            </w:pPr>
            <w:r>
              <w:t>其他资金</w:t>
            </w:r>
          </w:p>
        </w:tc>
        <w:tc>
          <w:tcPr>
            <w:tcW w:w="1276" w:type="dxa"/>
            <w:vAlign w:val="center"/>
          </w:tcPr>
          <w:p w14:paraId="61A57FAB">
            <w:pPr>
              <w:pStyle w:val="12"/>
            </w:pPr>
            <w:r>
              <w:t xml:space="preserve"> </w:t>
            </w:r>
          </w:p>
        </w:tc>
      </w:tr>
      <w:tr w14:paraId="42C97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BF173"/>
        </w:tc>
        <w:tc>
          <w:tcPr>
            <w:tcW w:w="14033" w:type="dxa"/>
            <w:gridSpan w:val="6"/>
            <w:vAlign w:val="center"/>
          </w:tcPr>
          <w:p w14:paraId="68BB7109">
            <w:pPr>
              <w:pStyle w:val="12"/>
            </w:pPr>
            <w:r>
              <w:t>用于各项工作顺利进行的各项开支</w:t>
            </w:r>
          </w:p>
        </w:tc>
      </w:tr>
      <w:tr w14:paraId="3324C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076C4">
            <w:pPr>
              <w:pStyle w:val="10"/>
            </w:pPr>
            <w:r>
              <w:t>资金支出计划（%）</w:t>
            </w:r>
          </w:p>
        </w:tc>
        <w:tc>
          <w:tcPr>
            <w:tcW w:w="5103" w:type="dxa"/>
            <w:gridSpan w:val="2"/>
            <w:vAlign w:val="center"/>
          </w:tcPr>
          <w:p w14:paraId="62CCA5C6">
            <w:pPr>
              <w:pStyle w:val="10"/>
            </w:pPr>
            <w:r>
              <w:t>3月底</w:t>
            </w:r>
          </w:p>
        </w:tc>
        <w:tc>
          <w:tcPr>
            <w:tcW w:w="2835" w:type="dxa"/>
            <w:vAlign w:val="center"/>
          </w:tcPr>
          <w:p w14:paraId="121A0C9B">
            <w:pPr>
              <w:pStyle w:val="10"/>
            </w:pPr>
            <w:r>
              <w:t>6月底</w:t>
            </w:r>
          </w:p>
        </w:tc>
        <w:tc>
          <w:tcPr>
            <w:tcW w:w="2551" w:type="dxa"/>
            <w:vAlign w:val="center"/>
          </w:tcPr>
          <w:p w14:paraId="57E893D7">
            <w:pPr>
              <w:pStyle w:val="10"/>
            </w:pPr>
            <w:r>
              <w:t>10月底</w:t>
            </w:r>
          </w:p>
        </w:tc>
        <w:tc>
          <w:tcPr>
            <w:tcW w:w="3544" w:type="dxa"/>
            <w:gridSpan w:val="2"/>
            <w:vAlign w:val="center"/>
          </w:tcPr>
          <w:p w14:paraId="4F60004B">
            <w:pPr>
              <w:pStyle w:val="10"/>
            </w:pPr>
            <w:r>
              <w:t>12月底</w:t>
            </w:r>
          </w:p>
        </w:tc>
      </w:tr>
      <w:tr w14:paraId="1FE86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F12C5"/>
        </w:tc>
        <w:tc>
          <w:tcPr>
            <w:tcW w:w="5103" w:type="dxa"/>
            <w:gridSpan w:val="2"/>
            <w:vAlign w:val="center"/>
          </w:tcPr>
          <w:p w14:paraId="6CDE694D">
            <w:pPr>
              <w:pStyle w:val="13"/>
            </w:pPr>
            <w:r>
              <w:t>25%</w:t>
            </w:r>
          </w:p>
        </w:tc>
        <w:tc>
          <w:tcPr>
            <w:tcW w:w="2835" w:type="dxa"/>
            <w:vAlign w:val="center"/>
          </w:tcPr>
          <w:p w14:paraId="2F5E7CBE">
            <w:pPr>
              <w:pStyle w:val="13"/>
            </w:pPr>
            <w:r>
              <w:t>50%</w:t>
            </w:r>
          </w:p>
        </w:tc>
        <w:tc>
          <w:tcPr>
            <w:tcW w:w="2551" w:type="dxa"/>
            <w:vAlign w:val="center"/>
          </w:tcPr>
          <w:p w14:paraId="6A83EFA2">
            <w:pPr>
              <w:pStyle w:val="13"/>
            </w:pPr>
            <w:r>
              <w:t>75%</w:t>
            </w:r>
          </w:p>
        </w:tc>
        <w:tc>
          <w:tcPr>
            <w:tcW w:w="3544" w:type="dxa"/>
            <w:gridSpan w:val="2"/>
            <w:vAlign w:val="center"/>
          </w:tcPr>
          <w:p w14:paraId="3584B990">
            <w:pPr>
              <w:pStyle w:val="13"/>
            </w:pPr>
            <w:r>
              <w:t>100%</w:t>
            </w:r>
          </w:p>
        </w:tc>
      </w:tr>
      <w:tr w14:paraId="36972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3DD28">
            <w:pPr>
              <w:pStyle w:val="10"/>
            </w:pPr>
            <w:r>
              <w:t>绩效目标</w:t>
            </w:r>
          </w:p>
        </w:tc>
        <w:tc>
          <w:tcPr>
            <w:tcW w:w="14033" w:type="dxa"/>
            <w:gridSpan w:val="6"/>
            <w:vAlign w:val="center"/>
          </w:tcPr>
          <w:p w14:paraId="1AB2C376">
            <w:pPr>
              <w:pStyle w:val="12"/>
            </w:pPr>
            <w:r>
              <w:t>1.用于各项工作顺利进行的各项开支</w:t>
            </w:r>
            <w:r>
              <w:tab/>
            </w:r>
            <w:r>
              <w:tab/>
            </w:r>
          </w:p>
        </w:tc>
      </w:tr>
    </w:tbl>
    <w:p w14:paraId="1B76B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1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D329E">
            <w:pPr>
              <w:pStyle w:val="10"/>
            </w:pPr>
            <w:r>
              <w:t>一级指标</w:t>
            </w:r>
          </w:p>
        </w:tc>
        <w:tc>
          <w:tcPr>
            <w:tcW w:w="2268" w:type="dxa"/>
            <w:vAlign w:val="center"/>
          </w:tcPr>
          <w:p w14:paraId="64A8EEDD">
            <w:pPr>
              <w:pStyle w:val="10"/>
            </w:pPr>
            <w:r>
              <w:t>二级指标</w:t>
            </w:r>
          </w:p>
        </w:tc>
        <w:tc>
          <w:tcPr>
            <w:tcW w:w="2835" w:type="dxa"/>
            <w:vAlign w:val="center"/>
          </w:tcPr>
          <w:p w14:paraId="354E830B">
            <w:pPr>
              <w:pStyle w:val="10"/>
            </w:pPr>
            <w:r>
              <w:t>三级指标</w:t>
            </w:r>
          </w:p>
        </w:tc>
        <w:tc>
          <w:tcPr>
            <w:tcW w:w="5386" w:type="dxa"/>
            <w:vAlign w:val="center"/>
          </w:tcPr>
          <w:p w14:paraId="33B0EA72">
            <w:pPr>
              <w:pStyle w:val="10"/>
            </w:pPr>
            <w:r>
              <w:t>绩效指标描述</w:t>
            </w:r>
          </w:p>
        </w:tc>
        <w:tc>
          <w:tcPr>
            <w:tcW w:w="2268" w:type="dxa"/>
            <w:vAlign w:val="center"/>
          </w:tcPr>
          <w:p w14:paraId="2F3F4106">
            <w:pPr>
              <w:pStyle w:val="10"/>
            </w:pPr>
            <w:r>
              <w:t>指标值</w:t>
            </w:r>
          </w:p>
        </w:tc>
        <w:tc>
          <w:tcPr>
            <w:tcW w:w="1276" w:type="dxa"/>
            <w:vAlign w:val="center"/>
          </w:tcPr>
          <w:p w14:paraId="7B33CC32">
            <w:pPr>
              <w:pStyle w:val="10"/>
            </w:pPr>
            <w:r>
              <w:t>指标值确定依据</w:t>
            </w:r>
          </w:p>
        </w:tc>
      </w:tr>
      <w:tr w14:paraId="24F2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86AB0">
            <w:pPr>
              <w:pStyle w:val="13"/>
            </w:pPr>
            <w:r>
              <w:t>产出指标</w:t>
            </w:r>
          </w:p>
        </w:tc>
        <w:tc>
          <w:tcPr>
            <w:tcW w:w="2268" w:type="dxa"/>
            <w:vAlign w:val="center"/>
          </w:tcPr>
          <w:p w14:paraId="77FD803C">
            <w:pPr>
              <w:pStyle w:val="12"/>
            </w:pPr>
            <w:r>
              <w:t>数量指标</w:t>
            </w:r>
          </w:p>
        </w:tc>
        <w:tc>
          <w:tcPr>
            <w:tcW w:w="2835" w:type="dxa"/>
            <w:vAlign w:val="center"/>
          </w:tcPr>
          <w:p w14:paraId="7423D8B8">
            <w:pPr>
              <w:pStyle w:val="12"/>
            </w:pPr>
            <w:r>
              <w:t>上缴考务费次数</w:t>
            </w:r>
          </w:p>
        </w:tc>
        <w:tc>
          <w:tcPr>
            <w:tcW w:w="5386" w:type="dxa"/>
            <w:vAlign w:val="center"/>
          </w:tcPr>
          <w:p w14:paraId="12A975AC">
            <w:pPr>
              <w:pStyle w:val="12"/>
            </w:pPr>
            <w:r>
              <w:t>上缴考务费次数</w:t>
            </w:r>
          </w:p>
        </w:tc>
        <w:tc>
          <w:tcPr>
            <w:tcW w:w="2268" w:type="dxa"/>
            <w:vAlign w:val="center"/>
          </w:tcPr>
          <w:p w14:paraId="7472C578">
            <w:pPr>
              <w:pStyle w:val="12"/>
            </w:pPr>
            <w:r>
              <w:t>≥5场次</w:t>
            </w:r>
          </w:p>
        </w:tc>
        <w:tc>
          <w:tcPr>
            <w:tcW w:w="1276" w:type="dxa"/>
            <w:vAlign w:val="center"/>
          </w:tcPr>
          <w:p w14:paraId="4CED2E16">
            <w:pPr>
              <w:pStyle w:val="12"/>
            </w:pPr>
            <w:r>
              <w:t>收费许可及备案</w:t>
            </w:r>
          </w:p>
        </w:tc>
      </w:tr>
      <w:tr w14:paraId="7509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C8EF6"/>
        </w:tc>
        <w:tc>
          <w:tcPr>
            <w:tcW w:w="2268" w:type="dxa"/>
            <w:vAlign w:val="center"/>
          </w:tcPr>
          <w:p w14:paraId="4EFD1155">
            <w:pPr>
              <w:pStyle w:val="12"/>
            </w:pPr>
            <w:r>
              <w:t>质量指标</w:t>
            </w:r>
          </w:p>
        </w:tc>
        <w:tc>
          <w:tcPr>
            <w:tcW w:w="2835" w:type="dxa"/>
            <w:vAlign w:val="center"/>
          </w:tcPr>
          <w:p w14:paraId="51143D28">
            <w:pPr>
              <w:pStyle w:val="12"/>
            </w:pPr>
            <w:r>
              <w:t>专项经费拨付完成率</w:t>
            </w:r>
          </w:p>
        </w:tc>
        <w:tc>
          <w:tcPr>
            <w:tcW w:w="5386" w:type="dxa"/>
            <w:vAlign w:val="center"/>
          </w:tcPr>
          <w:p w14:paraId="1FE102A0">
            <w:pPr>
              <w:pStyle w:val="12"/>
            </w:pPr>
            <w:r>
              <w:t>专项经费拨付完成率</w:t>
            </w:r>
          </w:p>
        </w:tc>
        <w:tc>
          <w:tcPr>
            <w:tcW w:w="2268" w:type="dxa"/>
            <w:vAlign w:val="center"/>
          </w:tcPr>
          <w:p w14:paraId="26E24A24">
            <w:pPr>
              <w:pStyle w:val="12"/>
            </w:pPr>
            <w:r>
              <w:t>100%</w:t>
            </w:r>
          </w:p>
        </w:tc>
        <w:tc>
          <w:tcPr>
            <w:tcW w:w="1276" w:type="dxa"/>
            <w:vAlign w:val="center"/>
          </w:tcPr>
          <w:p w14:paraId="3465D554">
            <w:pPr>
              <w:pStyle w:val="12"/>
            </w:pPr>
            <w:r>
              <w:t>收费许可及备案</w:t>
            </w:r>
          </w:p>
        </w:tc>
      </w:tr>
      <w:tr w14:paraId="5492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BA5D1"/>
        </w:tc>
        <w:tc>
          <w:tcPr>
            <w:tcW w:w="2268" w:type="dxa"/>
            <w:vAlign w:val="center"/>
          </w:tcPr>
          <w:p w14:paraId="61676BD2">
            <w:pPr>
              <w:pStyle w:val="12"/>
            </w:pPr>
            <w:r>
              <w:t>时效指标</w:t>
            </w:r>
          </w:p>
        </w:tc>
        <w:tc>
          <w:tcPr>
            <w:tcW w:w="2835" w:type="dxa"/>
            <w:vAlign w:val="center"/>
          </w:tcPr>
          <w:p w14:paraId="5BFF564D">
            <w:pPr>
              <w:pStyle w:val="12"/>
            </w:pPr>
            <w:r>
              <w:t>资金支付率</w:t>
            </w:r>
          </w:p>
        </w:tc>
        <w:tc>
          <w:tcPr>
            <w:tcW w:w="5386" w:type="dxa"/>
            <w:vAlign w:val="center"/>
          </w:tcPr>
          <w:p w14:paraId="7071A9A0">
            <w:pPr>
              <w:pStyle w:val="12"/>
            </w:pPr>
            <w:r>
              <w:t>按照序时进度完成资金支付</w:t>
            </w:r>
          </w:p>
        </w:tc>
        <w:tc>
          <w:tcPr>
            <w:tcW w:w="2268" w:type="dxa"/>
            <w:vAlign w:val="center"/>
          </w:tcPr>
          <w:p w14:paraId="4257F232">
            <w:pPr>
              <w:pStyle w:val="12"/>
            </w:pPr>
            <w:r>
              <w:t>100%</w:t>
            </w:r>
          </w:p>
        </w:tc>
        <w:tc>
          <w:tcPr>
            <w:tcW w:w="1276" w:type="dxa"/>
            <w:vAlign w:val="center"/>
          </w:tcPr>
          <w:p w14:paraId="43AA9300">
            <w:pPr>
              <w:pStyle w:val="12"/>
            </w:pPr>
            <w:r>
              <w:t>收费许可及备案</w:t>
            </w:r>
          </w:p>
        </w:tc>
      </w:tr>
      <w:tr w14:paraId="4EBF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2A83E"/>
        </w:tc>
        <w:tc>
          <w:tcPr>
            <w:tcW w:w="2268" w:type="dxa"/>
            <w:vAlign w:val="center"/>
          </w:tcPr>
          <w:p w14:paraId="544AB45E">
            <w:pPr>
              <w:pStyle w:val="12"/>
            </w:pPr>
            <w:r>
              <w:t>成本指标</w:t>
            </w:r>
          </w:p>
        </w:tc>
        <w:tc>
          <w:tcPr>
            <w:tcW w:w="2835" w:type="dxa"/>
            <w:vAlign w:val="center"/>
          </w:tcPr>
          <w:p w14:paraId="4EC91AEE">
            <w:pPr>
              <w:pStyle w:val="12"/>
            </w:pPr>
            <w:r>
              <w:t>按考试进度缴纳拨付</w:t>
            </w:r>
          </w:p>
        </w:tc>
        <w:tc>
          <w:tcPr>
            <w:tcW w:w="5386" w:type="dxa"/>
            <w:vAlign w:val="center"/>
          </w:tcPr>
          <w:p w14:paraId="279F3728">
            <w:pPr>
              <w:pStyle w:val="12"/>
            </w:pPr>
            <w:r>
              <w:t>按考试进度缴纳拨付</w:t>
            </w:r>
          </w:p>
        </w:tc>
        <w:tc>
          <w:tcPr>
            <w:tcW w:w="2268" w:type="dxa"/>
            <w:vAlign w:val="center"/>
          </w:tcPr>
          <w:p w14:paraId="3F73DB91">
            <w:pPr>
              <w:pStyle w:val="12"/>
            </w:pPr>
            <w:r>
              <w:t>229万元</w:t>
            </w:r>
          </w:p>
        </w:tc>
        <w:tc>
          <w:tcPr>
            <w:tcW w:w="1276" w:type="dxa"/>
            <w:vAlign w:val="center"/>
          </w:tcPr>
          <w:p w14:paraId="3A3F485C">
            <w:pPr>
              <w:pStyle w:val="12"/>
            </w:pPr>
            <w:r>
              <w:t>收费许可及备案</w:t>
            </w:r>
          </w:p>
        </w:tc>
      </w:tr>
      <w:tr w14:paraId="3B9A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FA6A1">
            <w:pPr>
              <w:pStyle w:val="13"/>
            </w:pPr>
            <w:r>
              <w:t>效益指标</w:t>
            </w:r>
          </w:p>
        </w:tc>
        <w:tc>
          <w:tcPr>
            <w:tcW w:w="2268" w:type="dxa"/>
            <w:vAlign w:val="center"/>
          </w:tcPr>
          <w:p w14:paraId="55BDCED3">
            <w:pPr>
              <w:pStyle w:val="12"/>
            </w:pPr>
            <w:r>
              <w:t>可持续影响指标</w:t>
            </w:r>
          </w:p>
        </w:tc>
        <w:tc>
          <w:tcPr>
            <w:tcW w:w="2835" w:type="dxa"/>
            <w:vAlign w:val="center"/>
          </w:tcPr>
          <w:p w14:paraId="7279461D">
            <w:pPr>
              <w:pStyle w:val="12"/>
            </w:pPr>
            <w:r>
              <w:t>提高考试质量</w:t>
            </w:r>
          </w:p>
        </w:tc>
        <w:tc>
          <w:tcPr>
            <w:tcW w:w="5386" w:type="dxa"/>
            <w:vAlign w:val="center"/>
          </w:tcPr>
          <w:p w14:paraId="39021CB5">
            <w:pPr>
              <w:pStyle w:val="12"/>
            </w:pPr>
            <w:r>
              <w:t>提高考试质量、保障考试正常运行</w:t>
            </w:r>
          </w:p>
        </w:tc>
        <w:tc>
          <w:tcPr>
            <w:tcW w:w="2268" w:type="dxa"/>
            <w:vAlign w:val="center"/>
          </w:tcPr>
          <w:p w14:paraId="7653DEEB">
            <w:pPr>
              <w:pStyle w:val="12"/>
            </w:pPr>
            <w:r>
              <w:t>≥98%</w:t>
            </w:r>
          </w:p>
        </w:tc>
        <w:tc>
          <w:tcPr>
            <w:tcW w:w="1276" w:type="dxa"/>
            <w:vAlign w:val="center"/>
          </w:tcPr>
          <w:p w14:paraId="6B987998">
            <w:pPr>
              <w:pStyle w:val="12"/>
            </w:pPr>
            <w:r>
              <w:t>收费许可及备案</w:t>
            </w:r>
          </w:p>
        </w:tc>
      </w:tr>
      <w:tr w14:paraId="1313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51D38">
            <w:pPr>
              <w:pStyle w:val="13"/>
            </w:pPr>
            <w:r>
              <w:t>满意度指标</w:t>
            </w:r>
          </w:p>
        </w:tc>
        <w:tc>
          <w:tcPr>
            <w:tcW w:w="2268" w:type="dxa"/>
            <w:vAlign w:val="center"/>
          </w:tcPr>
          <w:p w14:paraId="4406560E">
            <w:pPr>
              <w:pStyle w:val="12"/>
            </w:pPr>
            <w:r>
              <w:t>服务对象满意度指标</w:t>
            </w:r>
          </w:p>
        </w:tc>
        <w:tc>
          <w:tcPr>
            <w:tcW w:w="2835" w:type="dxa"/>
            <w:vAlign w:val="center"/>
          </w:tcPr>
          <w:p w14:paraId="2E19F071">
            <w:pPr>
              <w:pStyle w:val="12"/>
            </w:pPr>
            <w:r>
              <w:t>服务对象满意度</w:t>
            </w:r>
          </w:p>
        </w:tc>
        <w:tc>
          <w:tcPr>
            <w:tcW w:w="5386" w:type="dxa"/>
            <w:vAlign w:val="center"/>
          </w:tcPr>
          <w:p w14:paraId="7D042A10">
            <w:pPr>
              <w:pStyle w:val="12"/>
            </w:pPr>
            <w:r>
              <w:t>学校老师和学生</w:t>
            </w:r>
            <w:r>
              <w:rPr>
                <w:rFonts w:hint="eastAsia"/>
                <w:lang w:eastAsia="zh-CN"/>
              </w:rPr>
              <w:t>的满意度</w:t>
            </w:r>
          </w:p>
        </w:tc>
        <w:tc>
          <w:tcPr>
            <w:tcW w:w="2268" w:type="dxa"/>
            <w:vAlign w:val="center"/>
          </w:tcPr>
          <w:p w14:paraId="0924C0A8">
            <w:pPr>
              <w:pStyle w:val="12"/>
            </w:pPr>
            <w:r>
              <w:t>≥95%</w:t>
            </w:r>
          </w:p>
        </w:tc>
        <w:tc>
          <w:tcPr>
            <w:tcW w:w="1276" w:type="dxa"/>
            <w:vAlign w:val="center"/>
          </w:tcPr>
          <w:p w14:paraId="450E44A0">
            <w:pPr>
              <w:pStyle w:val="12"/>
            </w:pPr>
            <w:r>
              <w:t>问卷调查</w:t>
            </w:r>
          </w:p>
        </w:tc>
      </w:tr>
    </w:tbl>
    <w:p w14:paraId="2C0B6B41">
      <w:pPr>
        <w:sectPr>
          <w:pgSz w:w="16840" w:h="11900" w:orient="landscape"/>
          <w:pgMar w:top="1361" w:right="1020" w:bottom="1134" w:left="1020" w:header="720" w:footer="720" w:gutter="0"/>
          <w:cols w:space="720" w:num="1"/>
        </w:sectPr>
      </w:pPr>
    </w:p>
    <w:p w14:paraId="40CD7FCB">
      <w:pPr>
        <w:spacing w:before="0" w:after="0"/>
        <w:ind w:firstLine="560"/>
        <w:jc w:val="left"/>
        <w:outlineLvl w:val="9"/>
      </w:pPr>
      <w:r>
        <w:rPr>
          <w:rFonts w:ascii="方正仿宋_GBK" w:hAnsi="方正仿宋_GBK" w:eastAsia="方正仿宋_GBK" w:cs="方正仿宋_GBK"/>
          <w:b/>
          <w:color w:val="000000"/>
          <w:sz w:val="28"/>
        </w:rPr>
        <w:t>23、教育专项经费绩效目标表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C5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96DC7">
            <w:pPr>
              <w:pStyle w:val="11"/>
            </w:pPr>
            <w:r>
              <w:t>单位：万元</w:t>
            </w:r>
          </w:p>
        </w:tc>
      </w:tr>
      <w:tr w14:paraId="333DF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5BE59">
            <w:pPr>
              <w:pStyle w:val="10"/>
            </w:pPr>
            <w:r>
              <w:t>项目编码</w:t>
            </w:r>
          </w:p>
        </w:tc>
        <w:tc>
          <w:tcPr>
            <w:tcW w:w="5103" w:type="dxa"/>
            <w:gridSpan w:val="2"/>
            <w:vAlign w:val="center"/>
          </w:tcPr>
          <w:p w14:paraId="363B2F78">
            <w:pPr>
              <w:pStyle w:val="12"/>
            </w:pPr>
            <w:r>
              <w:t>13052526P00876410002U</w:t>
            </w:r>
          </w:p>
        </w:tc>
        <w:tc>
          <w:tcPr>
            <w:tcW w:w="2835" w:type="dxa"/>
            <w:vAlign w:val="center"/>
          </w:tcPr>
          <w:p w14:paraId="1E84F942">
            <w:pPr>
              <w:pStyle w:val="10"/>
            </w:pPr>
            <w:r>
              <w:t>项目名称</w:t>
            </w:r>
          </w:p>
        </w:tc>
        <w:tc>
          <w:tcPr>
            <w:tcW w:w="6095" w:type="dxa"/>
            <w:gridSpan w:val="3"/>
            <w:vAlign w:val="center"/>
          </w:tcPr>
          <w:p w14:paraId="2AE91F6F">
            <w:pPr>
              <w:pStyle w:val="12"/>
            </w:pPr>
            <w:r>
              <w:t>教育专项经费</w:t>
            </w:r>
          </w:p>
        </w:tc>
      </w:tr>
      <w:tr w14:paraId="6CFA0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F1382">
            <w:pPr>
              <w:pStyle w:val="10"/>
            </w:pPr>
            <w:r>
              <w:t>预算规模及资金用途</w:t>
            </w:r>
          </w:p>
        </w:tc>
        <w:tc>
          <w:tcPr>
            <w:tcW w:w="2268" w:type="dxa"/>
            <w:vAlign w:val="center"/>
          </w:tcPr>
          <w:p w14:paraId="7233A72B">
            <w:pPr>
              <w:pStyle w:val="10"/>
            </w:pPr>
            <w:r>
              <w:t>预算数</w:t>
            </w:r>
          </w:p>
        </w:tc>
        <w:tc>
          <w:tcPr>
            <w:tcW w:w="2835" w:type="dxa"/>
            <w:vAlign w:val="center"/>
          </w:tcPr>
          <w:p w14:paraId="33BAE339">
            <w:pPr>
              <w:pStyle w:val="12"/>
            </w:pPr>
            <w:r>
              <w:t>64.00</w:t>
            </w:r>
          </w:p>
        </w:tc>
        <w:tc>
          <w:tcPr>
            <w:tcW w:w="2835" w:type="dxa"/>
            <w:vAlign w:val="center"/>
          </w:tcPr>
          <w:p w14:paraId="6B0C590E">
            <w:pPr>
              <w:pStyle w:val="10"/>
            </w:pPr>
            <w:r>
              <w:t>其中：财政    资金</w:t>
            </w:r>
          </w:p>
        </w:tc>
        <w:tc>
          <w:tcPr>
            <w:tcW w:w="2551" w:type="dxa"/>
            <w:vAlign w:val="center"/>
          </w:tcPr>
          <w:p w14:paraId="7CE02D6A">
            <w:pPr>
              <w:pStyle w:val="12"/>
            </w:pPr>
            <w:r>
              <w:t>64.00</w:t>
            </w:r>
          </w:p>
        </w:tc>
        <w:tc>
          <w:tcPr>
            <w:tcW w:w="2268" w:type="dxa"/>
            <w:vAlign w:val="center"/>
          </w:tcPr>
          <w:p w14:paraId="3F5BBE02">
            <w:pPr>
              <w:pStyle w:val="10"/>
            </w:pPr>
            <w:r>
              <w:t>其他资金</w:t>
            </w:r>
          </w:p>
        </w:tc>
        <w:tc>
          <w:tcPr>
            <w:tcW w:w="1276" w:type="dxa"/>
            <w:vAlign w:val="center"/>
          </w:tcPr>
          <w:p w14:paraId="732E9646">
            <w:pPr>
              <w:pStyle w:val="12"/>
            </w:pPr>
            <w:r>
              <w:t xml:space="preserve"> </w:t>
            </w:r>
          </w:p>
        </w:tc>
      </w:tr>
      <w:tr w14:paraId="2F6B0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2F4D1"/>
        </w:tc>
        <w:tc>
          <w:tcPr>
            <w:tcW w:w="14033" w:type="dxa"/>
            <w:gridSpan w:val="6"/>
            <w:vAlign w:val="center"/>
          </w:tcPr>
          <w:p w14:paraId="53DE54D3">
            <w:pPr>
              <w:pStyle w:val="12"/>
            </w:pPr>
            <w:r>
              <w:t xml:space="preserve"> 完成年度专项工作目标</w:t>
            </w:r>
            <w:r>
              <w:tab/>
            </w:r>
            <w:r>
              <w:tab/>
            </w:r>
            <w:r>
              <w:tab/>
            </w:r>
            <w:r>
              <w:tab/>
            </w:r>
            <w:r>
              <w:tab/>
            </w:r>
            <w:r>
              <w:tab/>
            </w:r>
          </w:p>
          <w:p w14:paraId="67A27F0E">
            <w:pPr>
              <w:pStyle w:val="12"/>
            </w:pPr>
          </w:p>
        </w:tc>
      </w:tr>
      <w:tr w14:paraId="5E124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073E4">
            <w:pPr>
              <w:pStyle w:val="10"/>
            </w:pPr>
            <w:r>
              <w:t>资金支出计划（%）</w:t>
            </w:r>
          </w:p>
        </w:tc>
        <w:tc>
          <w:tcPr>
            <w:tcW w:w="5103" w:type="dxa"/>
            <w:gridSpan w:val="2"/>
            <w:vAlign w:val="center"/>
          </w:tcPr>
          <w:p w14:paraId="58FB19C8">
            <w:pPr>
              <w:pStyle w:val="10"/>
            </w:pPr>
            <w:r>
              <w:t>3月底</w:t>
            </w:r>
          </w:p>
        </w:tc>
        <w:tc>
          <w:tcPr>
            <w:tcW w:w="2835" w:type="dxa"/>
            <w:vAlign w:val="center"/>
          </w:tcPr>
          <w:p w14:paraId="63F96428">
            <w:pPr>
              <w:pStyle w:val="10"/>
            </w:pPr>
            <w:r>
              <w:t>6月底</w:t>
            </w:r>
          </w:p>
        </w:tc>
        <w:tc>
          <w:tcPr>
            <w:tcW w:w="2551" w:type="dxa"/>
            <w:vAlign w:val="center"/>
          </w:tcPr>
          <w:p w14:paraId="027D2165">
            <w:pPr>
              <w:pStyle w:val="10"/>
            </w:pPr>
            <w:r>
              <w:t>10月底</w:t>
            </w:r>
          </w:p>
        </w:tc>
        <w:tc>
          <w:tcPr>
            <w:tcW w:w="3544" w:type="dxa"/>
            <w:gridSpan w:val="2"/>
            <w:vAlign w:val="center"/>
          </w:tcPr>
          <w:p w14:paraId="1E8A53FA">
            <w:pPr>
              <w:pStyle w:val="10"/>
            </w:pPr>
            <w:r>
              <w:t>12月底</w:t>
            </w:r>
          </w:p>
        </w:tc>
      </w:tr>
      <w:tr w14:paraId="4ABB7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CC8BC"/>
        </w:tc>
        <w:tc>
          <w:tcPr>
            <w:tcW w:w="5103" w:type="dxa"/>
            <w:gridSpan w:val="2"/>
            <w:vAlign w:val="center"/>
          </w:tcPr>
          <w:p w14:paraId="72C9900D">
            <w:pPr>
              <w:pStyle w:val="13"/>
            </w:pPr>
            <w:r>
              <w:t>25%</w:t>
            </w:r>
          </w:p>
        </w:tc>
        <w:tc>
          <w:tcPr>
            <w:tcW w:w="2835" w:type="dxa"/>
            <w:vAlign w:val="center"/>
          </w:tcPr>
          <w:p w14:paraId="177983AC">
            <w:pPr>
              <w:pStyle w:val="13"/>
            </w:pPr>
            <w:r>
              <w:t>50%</w:t>
            </w:r>
          </w:p>
        </w:tc>
        <w:tc>
          <w:tcPr>
            <w:tcW w:w="2551" w:type="dxa"/>
            <w:vAlign w:val="center"/>
          </w:tcPr>
          <w:p w14:paraId="0D73E76F">
            <w:pPr>
              <w:pStyle w:val="13"/>
            </w:pPr>
            <w:r>
              <w:t>75%</w:t>
            </w:r>
          </w:p>
        </w:tc>
        <w:tc>
          <w:tcPr>
            <w:tcW w:w="3544" w:type="dxa"/>
            <w:gridSpan w:val="2"/>
            <w:vAlign w:val="center"/>
          </w:tcPr>
          <w:p w14:paraId="2D894DFE">
            <w:pPr>
              <w:pStyle w:val="13"/>
            </w:pPr>
            <w:r>
              <w:t>100%</w:t>
            </w:r>
          </w:p>
        </w:tc>
      </w:tr>
      <w:tr w14:paraId="22262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18264">
            <w:pPr>
              <w:pStyle w:val="10"/>
            </w:pPr>
            <w:r>
              <w:t>绩效目标</w:t>
            </w:r>
          </w:p>
        </w:tc>
        <w:tc>
          <w:tcPr>
            <w:tcW w:w="14033" w:type="dxa"/>
            <w:gridSpan w:val="6"/>
            <w:vAlign w:val="center"/>
          </w:tcPr>
          <w:p w14:paraId="202EC9D3">
            <w:pPr>
              <w:pStyle w:val="12"/>
            </w:pPr>
            <w:r>
              <w:t>1. 完成年度专项工作目标</w:t>
            </w:r>
          </w:p>
        </w:tc>
      </w:tr>
    </w:tbl>
    <w:p w14:paraId="66900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E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E9215">
            <w:pPr>
              <w:pStyle w:val="10"/>
            </w:pPr>
            <w:r>
              <w:t>一级指标</w:t>
            </w:r>
          </w:p>
        </w:tc>
        <w:tc>
          <w:tcPr>
            <w:tcW w:w="2268" w:type="dxa"/>
            <w:vAlign w:val="center"/>
          </w:tcPr>
          <w:p w14:paraId="240E82F7">
            <w:pPr>
              <w:pStyle w:val="10"/>
            </w:pPr>
            <w:r>
              <w:t>二级指标</w:t>
            </w:r>
          </w:p>
        </w:tc>
        <w:tc>
          <w:tcPr>
            <w:tcW w:w="2835" w:type="dxa"/>
            <w:vAlign w:val="center"/>
          </w:tcPr>
          <w:p w14:paraId="68B93E9C">
            <w:pPr>
              <w:pStyle w:val="10"/>
            </w:pPr>
            <w:r>
              <w:t>三级指标</w:t>
            </w:r>
          </w:p>
        </w:tc>
        <w:tc>
          <w:tcPr>
            <w:tcW w:w="5386" w:type="dxa"/>
            <w:vAlign w:val="center"/>
          </w:tcPr>
          <w:p w14:paraId="7B6A3E6D">
            <w:pPr>
              <w:pStyle w:val="10"/>
            </w:pPr>
            <w:r>
              <w:t>绩效指标描述</w:t>
            </w:r>
          </w:p>
        </w:tc>
        <w:tc>
          <w:tcPr>
            <w:tcW w:w="2268" w:type="dxa"/>
            <w:vAlign w:val="center"/>
          </w:tcPr>
          <w:p w14:paraId="130A1B89">
            <w:pPr>
              <w:pStyle w:val="10"/>
            </w:pPr>
            <w:r>
              <w:t>指标值</w:t>
            </w:r>
          </w:p>
        </w:tc>
        <w:tc>
          <w:tcPr>
            <w:tcW w:w="1276" w:type="dxa"/>
            <w:vAlign w:val="center"/>
          </w:tcPr>
          <w:p w14:paraId="1F77DD18">
            <w:pPr>
              <w:pStyle w:val="10"/>
            </w:pPr>
            <w:r>
              <w:t>指标值确定依据</w:t>
            </w:r>
          </w:p>
        </w:tc>
      </w:tr>
      <w:tr w14:paraId="13D2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9D9BD">
            <w:pPr>
              <w:pStyle w:val="13"/>
            </w:pPr>
            <w:r>
              <w:t>产出指标</w:t>
            </w:r>
          </w:p>
        </w:tc>
        <w:tc>
          <w:tcPr>
            <w:tcW w:w="2268" w:type="dxa"/>
            <w:vAlign w:val="center"/>
          </w:tcPr>
          <w:p w14:paraId="299434CD">
            <w:pPr>
              <w:pStyle w:val="12"/>
            </w:pPr>
            <w:r>
              <w:t>数量指标</w:t>
            </w:r>
          </w:p>
        </w:tc>
        <w:tc>
          <w:tcPr>
            <w:tcW w:w="2835" w:type="dxa"/>
            <w:vAlign w:val="center"/>
          </w:tcPr>
          <w:p w14:paraId="3AC523A6">
            <w:pPr>
              <w:pStyle w:val="12"/>
            </w:pPr>
            <w:r>
              <w:t xml:space="preserve"> 完成年度督导、语言文字、优质教育发展等专项工作</w:t>
            </w:r>
          </w:p>
        </w:tc>
        <w:tc>
          <w:tcPr>
            <w:tcW w:w="5386" w:type="dxa"/>
            <w:vAlign w:val="center"/>
          </w:tcPr>
          <w:p w14:paraId="309A6D95">
            <w:pPr>
              <w:pStyle w:val="12"/>
            </w:pPr>
            <w:r>
              <w:t xml:space="preserve"> 完成年度专项工作</w:t>
            </w:r>
          </w:p>
        </w:tc>
        <w:tc>
          <w:tcPr>
            <w:tcW w:w="2268" w:type="dxa"/>
            <w:vAlign w:val="center"/>
          </w:tcPr>
          <w:p w14:paraId="27AEC8A5">
            <w:pPr>
              <w:pStyle w:val="12"/>
            </w:pPr>
            <w:r>
              <w:t>≥98%</w:t>
            </w:r>
          </w:p>
        </w:tc>
        <w:tc>
          <w:tcPr>
            <w:tcW w:w="1276" w:type="dxa"/>
            <w:vAlign w:val="center"/>
          </w:tcPr>
          <w:p w14:paraId="6A6C2B11">
            <w:pPr>
              <w:pStyle w:val="12"/>
            </w:pPr>
            <w:r>
              <w:t>年度计划</w:t>
            </w:r>
          </w:p>
        </w:tc>
      </w:tr>
      <w:tr w14:paraId="4A03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9ECCF"/>
        </w:tc>
        <w:tc>
          <w:tcPr>
            <w:tcW w:w="2268" w:type="dxa"/>
            <w:vAlign w:val="center"/>
          </w:tcPr>
          <w:p w14:paraId="339581EC">
            <w:pPr>
              <w:pStyle w:val="12"/>
            </w:pPr>
            <w:r>
              <w:t>质量指标</w:t>
            </w:r>
          </w:p>
        </w:tc>
        <w:tc>
          <w:tcPr>
            <w:tcW w:w="2835" w:type="dxa"/>
            <w:vAlign w:val="center"/>
          </w:tcPr>
          <w:p w14:paraId="77C04EE1">
            <w:pPr>
              <w:pStyle w:val="12"/>
            </w:pPr>
            <w:r>
              <w:t>预算执行率</w:t>
            </w:r>
          </w:p>
        </w:tc>
        <w:tc>
          <w:tcPr>
            <w:tcW w:w="5386" w:type="dxa"/>
            <w:vAlign w:val="center"/>
          </w:tcPr>
          <w:p w14:paraId="4E9A7297">
            <w:pPr>
              <w:pStyle w:val="12"/>
            </w:pPr>
            <w:r>
              <w:t>项目预算执行进度</w:t>
            </w:r>
          </w:p>
        </w:tc>
        <w:tc>
          <w:tcPr>
            <w:tcW w:w="2268" w:type="dxa"/>
            <w:vAlign w:val="center"/>
          </w:tcPr>
          <w:p w14:paraId="4549F3FE">
            <w:pPr>
              <w:pStyle w:val="12"/>
            </w:pPr>
            <w:r>
              <w:t>≥98%</w:t>
            </w:r>
          </w:p>
        </w:tc>
        <w:tc>
          <w:tcPr>
            <w:tcW w:w="1276" w:type="dxa"/>
            <w:vAlign w:val="center"/>
          </w:tcPr>
          <w:p w14:paraId="028B00E9">
            <w:pPr>
              <w:pStyle w:val="12"/>
            </w:pPr>
            <w:r>
              <w:t>年度计划</w:t>
            </w:r>
          </w:p>
        </w:tc>
      </w:tr>
      <w:tr w14:paraId="1C49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8A391"/>
        </w:tc>
        <w:tc>
          <w:tcPr>
            <w:tcW w:w="2268" w:type="dxa"/>
            <w:vAlign w:val="center"/>
          </w:tcPr>
          <w:p w14:paraId="76132DCB">
            <w:pPr>
              <w:pStyle w:val="12"/>
            </w:pPr>
            <w:r>
              <w:t>时效指标</w:t>
            </w:r>
          </w:p>
        </w:tc>
        <w:tc>
          <w:tcPr>
            <w:tcW w:w="2835" w:type="dxa"/>
            <w:vAlign w:val="center"/>
          </w:tcPr>
          <w:p w14:paraId="1FB43693">
            <w:pPr>
              <w:pStyle w:val="12"/>
            </w:pPr>
            <w:r>
              <w:t>经费拨付完成率</w:t>
            </w:r>
          </w:p>
        </w:tc>
        <w:tc>
          <w:tcPr>
            <w:tcW w:w="5386" w:type="dxa"/>
            <w:vAlign w:val="center"/>
          </w:tcPr>
          <w:p w14:paraId="0B4917FE">
            <w:pPr>
              <w:pStyle w:val="12"/>
            </w:pPr>
            <w:r>
              <w:t>经费拨付完成率达到需时进度</w:t>
            </w:r>
          </w:p>
        </w:tc>
        <w:tc>
          <w:tcPr>
            <w:tcW w:w="2268" w:type="dxa"/>
            <w:vAlign w:val="center"/>
          </w:tcPr>
          <w:p w14:paraId="6983597D">
            <w:pPr>
              <w:pStyle w:val="12"/>
            </w:pPr>
            <w:r>
              <w:t>≥98%</w:t>
            </w:r>
          </w:p>
        </w:tc>
        <w:tc>
          <w:tcPr>
            <w:tcW w:w="1276" w:type="dxa"/>
            <w:vAlign w:val="center"/>
          </w:tcPr>
          <w:p w14:paraId="17582466">
            <w:pPr>
              <w:pStyle w:val="12"/>
            </w:pPr>
            <w:r>
              <w:t>年度计划</w:t>
            </w:r>
          </w:p>
        </w:tc>
      </w:tr>
      <w:tr w14:paraId="4840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CB436"/>
        </w:tc>
        <w:tc>
          <w:tcPr>
            <w:tcW w:w="2268" w:type="dxa"/>
            <w:vAlign w:val="center"/>
          </w:tcPr>
          <w:p w14:paraId="738E782C">
            <w:pPr>
              <w:pStyle w:val="12"/>
            </w:pPr>
            <w:r>
              <w:t>成本指标</w:t>
            </w:r>
          </w:p>
        </w:tc>
        <w:tc>
          <w:tcPr>
            <w:tcW w:w="2835" w:type="dxa"/>
            <w:vAlign w:val="center"/>
          </w:tcPr>
          <w:p w14:paraId="73858EC0">
            <w:pPr>
              <w:pStyle w:val="12"/>
            </w:pPr>
            <w:r>
              <w:t>不超预算</w:t>
            </w:r>
          </w:p>
        </w:tc>
        <w:tc>
          <w:tcPr>
            <w:tcW w:w="5386" w:type="dxa"/>
            <w:vAlign w:val="center"/>
          </w:tcPr>
          <w:p w14:paraId="16842EB8">
            <w:pPr>
              <w:pStyle w:val="12"/>
            </w:pPr>
            <w:r>
              <w:t>不超预算</w:t>
            </w:r>
          </w:p>
        </w:tc>
        <w:tc>
          <w:tcPr>
            <w:tcW w:w="2268" w:type="dxa"/>
            <w:vAlign w:val="center"/>
          </w:tcPr>
          <w:p w14:paraId="0815B463">
            <w:pPr>
              <w:pStyle w:val="12"/>
            </w:pPr>
            <w:r>
              <w:t>≤640000元</w:t>
            </w:r>
          </w:p>
        </w:tc>
        <w:tc>
          <w:tcPr>
            <w:tcW w:w="1276" w:type="dxa"/>
            <w:vAlign w:val="center"/>
          </w:tcPr>
          <w:p w14:paraId="515442C5">
            <w:pPr>
              <w:pStyle w:val="12"/>
            </w:pPr>
            <w:r>
              <w:t>年度计划</w:t>
            </w:r>
          </w:p>
        </w:tc>
      </w:tr>
      <w:tr w14:paraId="76A2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9CBDA">
            <w:pPr>
              <w:pStyle w:val="13"/>
            </w:pPr>
            <w:r>
              <w:t>效益指标</w:t>
            </w:r>
          </w:p>
        </w:tc>
        <w:tc>
          <w:tcPr>
            <w:tcW w:w="2268" w:type="dxa"/>
            <w:vAlign w:val="center"/>
          </w:tcPr>
          <w:p w14:paraId="6DCDE802">
            <w:pPr>
              <w:pStyle w:val="12"/>
            </w:pPr>
            <w:r>
              <w:t>可持续影响指标</w:t>
            </w:r>
          </w:p>
        </w:tc>
        <w:tc>
          <w:tcPr>
            <w:tcW w:w="2835" w:type="dxa"/>
            <w:vAlign w:val="center"/>
          </w:tcPr>
          <w:p w14:paraId="7CF559A2">
            <w:pPr>
              <w:pStyle w:val="12"/>
            </w:pPr>
            <w:r>
              <w:t>项目实施成果</w:t>
            </w:r>
          </w:p>
        </w:tc>
        <w:tc>
          <w:tcPr>
            <w:tcW w:w="5386" w:type="dxa"/>
            <w:vAlign w:val="center"/>
          </w:tcPr>
          <w:p w14:paraId="2E5D5108">
            <w:pPr>
              <w:pStyle w:val="12"/>
            </w:pPr>
            <w:r>
              <w:t xml:space="preserve"> 完成年度专项工作目标</w:t>
            </w:r>
          </w:p>
        </w:tc>
        <w:tc>
          <w:tcPr>
            <w:tcW w:w="2268" w:type="dxa"/>
            <w:vAlign w:val="center"/>
          </w:tcPr>
          <w:p w14:paraId="2996DCC3">
            <w:pPr>
              <w:pStyle w:val="12"/>
            </w:pPr>
            <w:r>
              <w:t>≥95%</w:t>
            </w:r>
          </w:p>
        </w:tc>
        <w:tc>
          <w:tcPr>
            <w:tcW w:w="1276" w:type="dxa"/>
            <w:vAlign w:val="center"/>
          </w:tcPr>
          <w:p w14:paraId="60936C80">
            <w:pPr>
              <w:pStyle w:val="12"/>
            </w:pPr>
            <w:r>
              <w:t>年度计划</w:t>
            </w:r>
          </w:p>
        </w:tc>
      </w:tr>
      <w:tr w14:paraId="5BB0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EDFC2">
            <w:pPr>
              <w:pStyle w:val="13"/>
            </w:pPr>
            <w:r>
              <w:t>满意度指标</w:t>
            </w:r>
          </w:p>
        </w:tc>
        <w:tc>
          <w:tcPr>
            <w:tcW w:w="2268" w:type="dxa"/>
            <w:vAlign w:val="center"/>
          </w:tcPr>
          <w:p w14:paraId="296BBCE0">
            <w:pPr>
              <w:pStyle w:val="12"/>
            </w:pPr>
            <w:r>
              <w:t>服务对象满意度指标</w:t>
            </w:r>
          </w:p>
        </w:tc>
        <w:tc>
          <w:tcPr>
            <w:tcW w:w="2835" w:type="dxa"/>
            <w:vAlign w:val="center"/>
          </w:tcPr>
          <w:p w14:paraId="3A7B73B8">
            <w:pPr>
              <w:pStyle w:val="12"/>
            </w:pPr>
            <w:r>
              <w:t xml:space="preserve"> 受益人群满意度</w:t>
            </w:r>
          </w:p>
        </w:tc>
        <w:tc>
          <w:tcPr>
            <w:tcW w:w="5386" w:type="dxa"/>
            <w:vAlign w:val="center"/>
          </w:tcPr>
          <w:p w14:paraId="448C0E4D">
            <w:pPr>
              <w:pStyle w:val="12"/>
            </w:pPr>
            <w:r>
              <w:t>学生、教师及家长对教育工作满意度情况</w:t>
            </w:r>
          </w:p>
        </w:tc>
        <w:tc>
          <w:tcPr>
            <w:tcW w:w="2268" w:type="dxa"/>
            <w:vAlign w:val="center"/>
          </w:tcPr>
          <w:p w14:paraId="528333F8">
            <w:pPr>
              <w:pStyle w:val="12"/>
            </w:pPr>
            <w:r>
              <w:t>≥95%</w:t>
            </w:r>
          </w:p>
        </w:tc>
        <w:tc>
          <w:tcPr>
            <w:tcW w:w="1276" w:type="dxa"/>
            <w:vAlign w:val="center"/>
          </w:tcPr>
          <w:p w14:paraId="2139DEF6">
            <w:pPr>
              <w:pStyle w:val="12"/>
            </w:pPr>
            <w:r>
              <w:t>调查问卷</w:t>
            </w:r>
          </w:p>
        </w:tc>
      </w:tr>
    </w:tbl>
    <w:p w14:paraId="453F4D35">
      <w:pPr>
        <w:sectPr>
          <w:pgSz w:w="16840" w:h="11900" w:orient="landscape"/>
          <w:pgMar w:top="1361" w:right="1020" w:bottom="1134" w:left="1020" w:header="720" w:footer="720" w:gutter="0"/>
          <w:cols w:space="720" w:num="1"/>
        </w:sectPr>
      </w:pPr>
    </w:p>
    <w:p w14:paraId="62481826">
      <w:pPr>
        <w:spacing w:before="0" w:after="0"/>
        <w:ind w:firstLine="560"/>
        <w:jc w:val="left"/>
        <w:outlineLvl w:val="9"/>
      </w:pPr>
      <w:r>
        <w:rPr>
          <w:rFonts w:ascii="方正仿宋_GBK" w:hAnsi="方正仿宋_GBK" w:eastAsia="方正仿宋_GBK" w:cs="方正仿宋_GBK"/>
          <w:b/>
          <w:color w:val="000000"/>
          <w:sz w:val="28"/>
        </w:rPr>
        <w:t>24、隆尧县标准化考点扩容绩效目标表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2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06AA2">
            <w:pPr>
              <w:pStyle w:val="11"/>
            </w:pPr>
            <w:r>
              <w:t>单位：万元</w:t>
            </w:r>
          </w:p>
        </w:tc>
      </w:tr>
      <w:tr w14:paraId="174EE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37EC3">
            <w:pPr>
              <w:pStyle w:val="10"/>
            </w:pPr>
            <w:r>
              <w:t>项目编码</w:t>
            </w:r>
          </w:p>
        </w:tc>
        <w:tc>
          <w:tcPr>
            <w:tcW w:w="5103" w:type="dxa"/>
            <w:gridSpan w:val="2"/>
            <w:vAlign w:val="center"/>
          </w:tcPr>
          <w:p w14:paraId="3F8DF0B7">
            <w:pPr>
              <w:pStyle w:val="12"/>
            </w:pPr>
            <w:r>
              <w:t>13052526P00000210285N</w:t>
            </w:r>
          </w:p>
        </w:tc>
        <w:tc>
          <w:tcPr>
            <w:tcW w:w="2835" w:type="dxa"/>
            <w:vAlign w:val="center"/>
          </w:tcPr>
          <w:p w14:paraId="27FCC257">
            <w:pPr>
              <w:pStyle w:val="10"/>
            </w:pPr>
            <w:r>
              <w:t>项目名称</w:t>
            </w:r>
          </w:p>
        </w:tc>
        <w:tc>
          <w:tcPr>
            <w:tcW w:w="6095" w:type="dxa"/>
            <w:gridSpan w:val="3"/>
            <w:vAlign w:val="center"/>
          </w:tcPr>
          <w:p w14:paraId="1B4A6280">
            <w:pPr>
              <w:pStyle w:val="12"/>
            </w:pPr>
            <w:r>
              <w:t>隆尧县标准化考点扩容</w:t>
            </w:r>
          </w:p>
        </w:tc>
      </w:tr>
      <w:tr w14:paraId="20956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0F2EB">
            <w:pPr>
              <w:pStyle w:val="10"/>
            </w:pPr>
            <w:r>
              <w:t>预算规模及资金用途</w:t>
            </w:r>
          </w:p>
        </w:tc>
        <w:tc>
          <w:tcPr>
            <w:tcW w:w="2268" w:type="dxa"/>
            <w:vAlign w:val="center"/>
          </w:tcPr>
          <w:p w14:paraId="0E3DD558">
            <w:pPr>
              <w:pStyle w:val="10"/>
            </w:pPr>
            <w:r>
              <w:t>预算数</w:t>
            </w:r>
          </w:p>
        </w:tc>
        <w:tc>
          <w:tcPr>
            <w:tcW w:w="2835" w:type="dxa"/>
            <w:vAlign w:val="center"/>
          </w:tcPr>
          <w:p w14:paraId="5FFFCFD0">
            <w:pPr>
              <w:pStyle w:val="12"/>
            </w:pPr>
            <w:r>
              <w:t>22.23</w:t>
            </w:r>
          </w:p>
        </w:tc>
        <w:tc>
          <w:tcPr>
            <w:tcW w:w="2835" w:type="dxa"/>
            <w:vAlign w:val="center"/>
          </w:tcPr>
          <w:p w14:paraId="7E717375">
            <w:pPr>
              <w:pStyle w:val="10"/>
            </w:pPr>
            <w:r>
              <w:t>其中：财政    资金</w:t>
            </w:r>
          </w:p>
        </w:tc>
        <w:tc>
          <w:tcPr>
            <w:tcW w:w="2551" w:type="dxa"/>
            <w:vAlign w:val="center"/>
          </w:tcPr>
          <w:p w14:paraId="3119E295">
            <w:pPr>
              <w:pStyle w:val="12"/>
            </w:pPr>
            <w:r>
              <w:t>22.23</w:t>
            </w:r>
          </w:p>
        </w:tc>
        <w:tc>
          <w:tcPr>
            <w:tcW w:w="2268" w:type="dxa"/>
            <w:vAlign w:val="center"/>
          </w:tcPr>
          <w:p w14:paraId="0A9552C5">
            <w:pPr>
              <w:pStyle w:val="10"/>
            </w:pPr>
            <w:r>
              <w:t>其他资金</w:t>
            </w:r>
          </w:p>
        </w:tc>
        <w:tc>
          <w:tcPr>
            <w:tcW w:w="1276" w:type="dxa"/>
            <w:vAlign w:val="center"/>
          </w:tcPr>
          <w:p w14:paraId="552DCBD8">
            <w:pPr>
              <w:pStyle w:val="12"/>
            </w:pPr>
            <w:r>
              <w:t xml:space="preserve"> </w:t>
            </w:r>
          </w:p>
        </w:tc>
      </w:tr>
      <w:tr w14:paraId="0B465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0A126"/>
        </w:tc>
        <w:tc>
          <w:tcPr>
            <w:tcW w:w="14033" w:type="dxa"/>
            <w:gridSpan w:val="6"/>
            <w:vAlign w:val="center"/>
          </w:tcPr>
          <w:p w14:paraId="475BDCC9">
            <w:pPr>
              <w:pStyle w:val="12"/>
            </w:pPr>
            <w:r>
              <w:t>职教中心新增25个标准化考场，隆尧一中新增8个标准化考场。</w:t>
            </w:r>
            <w:r>
              <w:tab/>
            </w:r>
          </w:p>
        </w:tc>
      </w:tr>
      <w:tr w14:paraId="4404F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DB287">
            <w:pPr>
              <w:pStyle w:val="10"/>
            </w:pPr>
            <w:r>
              <w:t>资金支出计划（%）</w:t>
            </w:r>
          </w:p>
        </w:tc>
        <w:tc>
          <w:tcPr>
            <w:tcW w:w="5103" w:type="dxa"/>
            <w:gridSpan w:val="2"/>
            <w:vAlign w:val="center"/>
          </w:tcPr>
          <w:p w14:paraId="10911A97">
            <w:pPr>
              <w:pStyle w:val="10"/>
            </w:pPr>
            <w:r>
              <w:t>3月底</w:t>
            </w:r>
          </w:p>
        </w:tc>
        <w:tc>
          <w:tcPr>
            <w:tcW w:w="2835" w:type="dxa"/>
            <w:vAlign w:val="center"/>
          </w:tcPr>
          <w:p w14:paraId="28EBD5AE">
            <w:pPr>
              <w:pStyle w:val="10"/>
            </w:pPr>
            <w:r>
              <w:t>6月底</w:t>
            </w:r>
          </w:p>
        </w:tc>
        <w:tc>
          <w:tcPr>
            <w:tcW w:w="2551" w:type="dxa"/>
            <w:vAlign w:val="center"/>
          </w:tcPr>
          <w:p w14:paraId="081FF72F">
            <w:pPr>
              <w:pStyle w:val="10"/>
            </w:pPr>
            <w:r>
              <w:t>10月底</w:t>
            </w:r>
          </w:p>
        </w:tc>
        <w:tc>
          <w:tcPr>
            <w:tcW w:w="3544" w:type="dxa"/>
            <w:gridSpan w:val="2"/>
            <w:vAlign w:val="center"/>
          </w:tcPr>
          <w:p w14:paraId="2FDA7DA9">
            <w:pPr>
              <w:pStyle w:val="10"/>
            </w:pPr>
            <w:r>
              <w:t>12月底</w:t>
            </w:r>
          </w:p>
        </w:tc>
      </w:tr>
      <w:tr w14:paraId="4803E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288B4"/>
        </w:tc>
        <w:tc>
          <w:tcPr>
            <w:tcW w:w="5103" w:type="dxa"/>
            <w:gridSpan w:val="2"/>
            <w:vAlign w:val="center"/>
          </w:tcPr>
          <w:p w14:paraId="5B3E4C18">
            <w:pPr>
              <w:pStyle w:val="13"/>
            </w:pPr>
            <w:r>
              <w:t>100%</w:t>
            </w:r>
          </w:p>
        </w:tc>
        <w:tc>
          <w:tcPr>
            <w:tcW w:w="2835" w:type="dxa"/>
            <w:vAlign w:val="center"/>
          </w:tcPr>
          <w:p w14:paraId="55F71BC7">
            <w:pPr>
              <w:pStyle w:val="13"/>
            </w:pPr>
            <w:r>
              <w:t>100%</w:t>
            </w:r>
          </w:p>
        </w:tc>
        <w:tc>
          <w:tcPr>
            <w:tcW w:w="2551" w:type="dxa"/>
            <w:vAlign w:val="center"/>
          </w:tcPr>
          <w:p w14:paraId="53E827AB">
            <w:pPr>
              <w:pStyle w:val="13"/>
            </w:pPr>
            <w:r>
              <w:t>100%</w:t>
            </w:r>
          </w:p>
        </w:tc>
        <w:tc>
          <w:tcPr>
            <w:tcW w:w="3544" w:type="dxa"/>
            <w:gridSpan w:val="2"/>
            <w:vAlign w:val="center"/>
          </w:tcPr>
          <w:p w14:paraId="6E1E89D3">
            <w:pPr>
              <w:pStyle w:val="13"/>
            </w:pPr>
            <w:r>
              <w:t>100%</w:t>
            </w:r>
          </w:p>
        </w:tc>
      </w:tr>
      <w:tr w14:paraId="36902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DD955">
            <w:pPr>
              <w:pStyle w:val="10"/>
            </w:pPr>
            <w:r>
              <w:t>绩效目标</w:t>
            </w:r>
          </w:p>
        </w:tc>
        <w:tc>
          <w:tcPr>
            <w:tcW w:w="14033" w:type="dxa"/>
            <w:gridSpan w:val="6"/>
            <w:vAlign w:val="center"/>
          </w:tcPr>
          <w:p w14:paraId="291765E4">
            <w:pPr>
              <w:pStyle w:val="12"/>
            </w:pPr>
            <w:r>
              <w:t>1.职教中心新增25个标准化考场，隆尧一中新增8个标准化考场。</w:t>
            </w:r>
            <w:r>
              <w:tab/>
            </w:r>
            <w:r>
              <w:tab/>
            </w:r>
          </w:p>
        </w:tc>
      </w:tr>
    </w:tbl>
    <w:p w14:paraId="2AD74F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C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5EEFA">
            <w:pPr>
              <w:pStyle w:val="10"/>
            </w:pPr>
            <w:r>
              <w:t>一级指标</w:t>
            </w:r>
          </w:p>
        </w:tc>
        <w:tc>
          <w:tcPr>
            <w:tcW w:w="2268" w:type="dxa"/>
            <w:vAlign w:val="center"/>
          </w:tcPr>
          <w:p w14:paraId="51AB8520">
            <w:pPr>
              <w:pStyle w:val="10"/>
            </w:pPr>
            <w:r>
              <w:t>二级指标</w:t>
            </w:r>
          </w:p>
        </w:tc>
        <w:tc>
          <w:tcPr>
            <w:tcW w:w="2835" w:type="dxa"/>
            <w:vAlign w:val="center"/>
          </w:tcPr>
          <w:p w14:paraId="338E2B80">
            <w:pPr>
              <w:pStyle w:val="10"/>
            </w:pPr>
            <w:r>
              <w:t>三级指标</w:t>
            </w:r>
          </w:p>
        </w:tc>
        <w:tc>
          <w:tcPr>
            <w:tcW w:w="5386" w:type="dxa"/>
            <w:vAlign w:val="center"/>
          </w:tcPr>
          <w:p w14:paraId="3D3A1AFA">
            <w:pPr>
              <w:pStyle w:val="10"/>
            </w:pPr>
            <w:r>
              <w:t>绩效指标描述</w:t>
            </w:r>
          </w:p>
        </w:tc>
        <w:tc>
          <w:tcPr>
            <w:tcW w:w="2268" w:type="dxa"/>
            <w:vAlign w:val="center"/>
          </w:tcPr>
          <w:p w14:paraId="53E9EE14">
            <w:pPr>
              <w:pStyle w:val="10"/>
            </w:pPr>
            <w:r>
              <w:t>指标值</w:t>
            </w:r>
          </w:p>
        </w:tc>
        <w:tc>
          <w:tcPr>
            <w:tcW w:w="1276" w:type="dxa"/>
            <w:vAlign w:val="center"/>
          </w:tcPr>
          <w:p w14:paraId="40882BDE">
            <w:pPr>
              <w:pStyle w:val="10"/>
            </w:pPr>
            <w:r>
              <w:t>指标值确定依据</w:t>
            </w:r>
          </w:p>
        </w:tc>
      </w:tr>
      <w:tr w14:paraId="6C06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795BE">
            <w:pPr>
              <w:pStyle w:val="13"/>
            </w:pPr>
            <w:r>
              <w:t>产出指标</w:t>
            </w:r>
          </w:p>
        </w:tc>
        <w:tc>
          <w:tcPr>
            <w:tcW w:w="2268" w:type="dxa"/>
            <w:vAlign w:val="center"/>
          </w:tcPr>
          <w:p w14:paraId="22425932">
            <w:pPr>
              <w:pStyle w:val="12"/>
            </w:pPr>
            <w:r>
              <w:t>数量指标</w:t>
            </w:r>
          </w:p>
        </w:tc>
        <w:tc>
          <w:tcPr>
            <w:tcW w:w="2835" w:type="dxa"/>
            <w:vAlign w:val="center"/>
          </w:tcPr>
          <w:p w14:paraId="7B8C664D">
            <w:pPr>
              <w:pStyle w:val="12"/>
            </w:pPr>
            <w:r>
              <w:t>考点建设</w:t>
            </w:r>
          </w:p>
        </w:tc>
        <w:tc>
          <w:tcPr>
            <w:tcW w:w="5386" w:type="dxa"/>
            <w:vAlign w:val="center"/>
          </w:tcPr>
          <w:p w14:paraId="3C0C9E57">
            <w:pPr>
              <w:pStyle w:val="12"/>
            </w:pPr>
            <w:r>
              <w:t>标准化考点建设</w:t>
            </w:r>
          </w:p>
        </w:tc>
        <w:tc>
          <w:tcPr>
            <w:tcW w:w="2268" w:type="dxa"/>
            <w:vAlign w:val="center"/>
          </w:tcPr>
          <w:p w14:paraId="27B01A43">
            <w:pPr>
              <w:pStyle w:val="12"/>
            </w:pPr>
            <w:r>
              <w:t>33 个</w:t>
            </w:r>
          </w:p>
        </w:tc>
        <w:tc>
          <w:tcPr>
            <w:tcW w:w="1276" w:type="dxa"/>
            <w:vAlign w:val="center"/>
          </w:tcPr>
          <w:p w14:paraId="47D1E05C">
            <w:pPr>
              <w:pStyle w:val="12"/>
            </w:pPr>
            <w:r>
              <w:t>项目规划</w:t>
            </w:r>
          </w:p>
        </w:tc>
      </w:tr>
      <w:tr w14:paraId="7ECB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6ABC"/>
        </w:tc>
        <w:tc>
          <w:tcPr>
            <w:tcW w:w="2268" w:type="dxa"/>
            <w:vAlign w:val="center"/>
          </w:tcPr>
          <w:p w14:paraId="73236342">
            <w:pPr>
              <w:pStyle w:val="12"/>
            </w:pPr>
            <w:r>
              <w:t>质量指标</w:t>
            </w:r>
          </w:p>
        </w:tc>
        <w:tc>
          <w:tcPr>
            <w:tcW w:w="2835" w:type="dxa"/>
            <w:vAlign w:val="center"/>
          </w:tcPr>
          <w:p w14:paraId="621C4A56">
            <w:pPr>
              <w:pStyle w:val="12"/>
            </w:pPr>
            <w:r>
              <w:t>项目完成时间</w:t>
            </w:r>
          </w:p>
        </w:tc>
        <w:tc>
          <w:tcPr>
            <w:tcW w:w="5386" w:type="dxa"/>
            <w:vAlign w:val="center"/>
          </w:tcPr>
          <w:p w14:paraId="3322EC55">
            <w:pPr>
              <w:pStyle w:val="12"/>
            </w:pPr>
            <w:r>
              <w:t>按规划时间完成</w:t>
            </w:r>
          </w:p>
        </w:tc>
        <w:tc>
          <w:tcPr>
            <w:tcW w:w="2268" w:type="dxa"/>
            <w:vAlign w:val="center"/>
          </w:tcPr>
          <w:p w14:paraId="40DF50DF">
            <w:pPr>
              <w:pStyle w:val="12"/>
            </w:pPr>
            <w:r>
              <w:t>100%</w:t>
            </w:r>
          </w:p>
        </w:tc>
        <w:tc>
          <w:tcPr>
            <w:tcW w:w="1276" w:type="dxa"/>
            <w:vAlign w:val="center"/>
          </w:tcPr>
          <w:p w14:paraId="783BC8B4">
            <w:pPr>
              <w:pStyle w:val="12"/>
            </w:pPr>
            <w:r>
              <w:t>项目规划</w:t>
            </w:r>
          </w:p>
        </w:tc>
      </w:tr>
      <w:tr w14:paraId="1017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9BA9B"/>
        </w:tc>
        <w:tc>
          <w:tcPr>
            <w:tcW w:w="2268" w:type="dxa"/>
            <w:vAlign w:val="center"/>
          </w:tcPr>
          <w:p w14:paraId="5B359489">
            <w:pPr>
              <w:pStyle w:val="12"/>
            </w:pPr>
            <w:r>
              <w:t>时效指标</w:t>
            </w:r>
          </w:p>
        </w:tc>
        <w:tc>
          <w:tcPr>
            <w:tcW w:w="2835" w:type="dxa"/>
            <w:vAlign w:val="center"/>
          </w:tcPr>
          <w:p w14:paraId="6C76E45C">
            <w:pPr>
              <w:pStyle w:val="12"/>
            </w:pPr>
            <w:r>
              <w:t>项目资金拨付完成率</w:t>
            </w:r>
          </w:p>
        </w:tc>
        <w:tc>
          <w:tcPr>
            <w:tcW w:w="5386" w:type="dxa"/>
            <w:vAlign w:val="center"/>
          </w:tcPr>
          <w:p w14:paraId="1C160B4C">
            <w:pPr>
              <w:pStyle w:val="12"/>
            </w:pPr>
            <w:r>
              <w:t>项目资金拨付完成率</w:t>
            </w:r>
          </w:p>
        </w:tc>
        <w:tc>
          <w:tcPr>
            <w:tcW w:w="2268" w:type="dxa"/>
            <w:vAlign w:val="center"/>
          </w:tcPr>
          <w:p w14:paraId="3CEFB81E">
            <w:pPr>
              <w:pStyle w:val="12"/>
            </w:pPr>
            <w:r>
              <w:t>100%</w:t>
            </w:r>
          </w:p>
        </w:tc>
        <w:tc>
          <w:tcPr>
            <w:tcW w:w="1276" w:type="dxa"/>
            <w:vAlign w:val="center"/>
          </w:tcPr>
          <w:p w14:paraId="7A81CD9C">
            <w:pPr>
              <w:pStyle w:val="12"/>
            </w:pPr>
            <w:r>
              <w:t>项目规划</w:t>
            </w:r>
          </w:p>
        </w:tc>
      </w:tr>
      <w:tr w14:paraId="04EEB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2707A"/>
        </w:tc>
        <w:tc>
          <w:tcPr>
            <w:tcW w:w="2268" w:type="dxa"/>
            <w:vAlign w:val="center"/>
          </w:tcPr>
          <w:p w14:paraId="23EFF2C1">
            <w:pPr>
              <w:pStyle w:val="12"/>
            </w:pPr>
            <w:r>
              <w:t>成本指标</w:t>
            </w:r>
          </w:p>
        </w:tc>
        <w:tc>
          <w:tcPr>
            <w:tcW w:w="2835" w:type="dxa"/>
            <w:vAlign w:val="center"/>
          </w:tcPr>
          <w:p w14:paraId="470D0CD5">
            <w:pPr>
              <w:pStyle w:val="12"/>
            </w:pPr>
            <w:r>
              <w:t>不超预算</w:t>
            </w:r>
          </w:p>
        </w:tc>
        <w:tc>
          <w:tcPr>
            <w:tcW w:w="5386" w:type="dxa"/>
            <w:vAlign w:val="center"/>
          </w:tcPr>
          <w:p w14:paraId="2013A1EA">
            <w:pPr>
              <w:pStyle w:val="12"/>
            </w:pPr>
            <w:r>
              <w:t>不超预算</w:t>
            </w:r>
          </w:p>
        </w:tc>
        <w:tc>
          <w:tcPr>
            <w:tcW w:w="2268" w:type="dxa"/>
            <w:vAlign w:val="center"/>
          </w:tcPr>
          <w:p w14:paraId="49BB0672">
            <w:pPr>
              <w:pStyle w:val="12"/>
            </w:pPr>
            <w:r>
              <w:t>222306 元</w:t>
            </w:r>
          </w:p>
        </w:tc>
        <w:tc>
          <w:tcPr>
            <w:tcW w:w="1276" w:type="dxa"/>
            <w:vAlign w:val="center"/>
          </w:tcPr>
          <w:p w14:paraId="08E34376">
            <w:pPr>
              <w:pStyle w:val="12"/>
            </w:pPr>
            <w:r>
              <w:t>项目规划</w:t>
            </w:r>
          </w:p>
        </w:tc>
      </w:tr>
      <w:tr w14:paraId="3706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763AC">
            <w:pPr>
              <w:pStyle w:val="13"/>
            </w:pPr>
            <w:r>
              <w:t>效益指标</w:t>
            </w:r>
          </w:p>
        </w:tc>
        <w:tc>
          <w:tcPr>
            <w:tcW w:w="2268" w:type="dxa"/>
            <w:vAlign w:val="center"/>
          </w:tcPr>
          <w:p w14:paraId="4E2769B8">
            <w:pPr>
              <w:pStyle w:val="12"/>
            </w:pPr>
            <w:r>
              <w:t>可持续影响指标</w:t>
            </w:r>
          </w:p>
        </w:tc>
        <w:tc>
          <w:tcPr>
            <w:tcW w:w="2835" w:type="dxa"/>
            <w:vAlign w:val="center"/>
          </w:tcPr>
          <w:p w14:paraId="3ACE7F32">
            <w:pPr>
              <w:pStyle w:val="12"/>
            </w:pPr>
            <w:r>
              <w:t>小学、初中、普通高中毛入学率</w:t>
            </w:r>
          </w:p>
        </w:tc>
        <w:tc>
          <w:tcPr>
            <w:tcW w:w="5386" w:type="dxa"/>
            <w:vAlign w:val="center"/>
          </w:tcPr>
          <w:p w14:paraId="0FA1501D">
            <w:pPr>
              <w:pStyle w:val="12"/>
            </w:pPr>
            <w:r>
              <w:t>义教阶段学生毛入学率</w:t>
            </w:r>
          </w:p>
        </w:tc>
        <w:tc>
          <w:tcPr>
            <w:tcW w:w="2268" w:type="dxa"/>
            <w:vAlign w:val="center"/>
          </w:tcPr>
          <w:p w14:paraId="7375D30D">
            <w:pPr>
              <w:pStyle w:val="12"/>
            </w:pPr>
            <w:r>
              <w:t>100%</w:t>
            </w:r>
          </w:p>
        </w:tc>
        <w:tc>
          <w:tcPr>
            <w:tcW w:w="1276" w:type="dxa"/>
            <w:vAlign w:val="center"/>
          </w:tcPr>
          <w:p w14:paraId="7AF8EC16">
            <w:pPr>
              <w:pStyle w:val="12"/>
            </w:pPr>
            <w:r>
              <w:t>项目规划</w:t>
            </w:r>
          </w:p>
        </w:tc>
      </w:tr>
      <w:tr w14:paraId="2F27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3C91A">
            <w:pPr>
              <w:pStyle w:val="13"/>
            </w:pPr>
            <w:r>
              <w:t>满意度指标</w:t>
            </w:r>
          </w:p>
        </w:tc>
        <w:tc>
          <w:tcPr>
            <w:tcW w:w="2268" w:type="dxa"/>
            <w:vAlign w:val="center"/>
          </w:tcPr>
          <w:p w14:paraId="6D7AE15E">
            <w:pPr>
              <w:pStyle w:val="12"/>
            </w:pPr>
            <w:r>
              <w:t>服务对象满意度指标</w:t>
            </w:r>
          </w:p>
        </w:tc>
        <w:tc>
          <w:tcPr>
            <w:tcW w:w="2835" w:type="dxa"/>
            <w:vAlign w:val="center"/>
          </w:tcPr>
          <w:p w14:paraId="356736E5">
            <w:pPr>
              <w:pStyle w:val="12"/>
            </w:pPr>
            <w:r>
              <w:t xml:space="preserve"> 学校考生满意度</w:t>
            </w:r>
          </w:p>
        </w:tc>
        <w:tc>
          <w:tcPr>
            <w:tcW w:w="5386" w:type="dxa"/>
            <w:vAlign w:val="center"/>
          </w:tcPr>
          <w:p w14:paraId="4F725E71">
            <w:pPr>
              <w:pStyle w:val="12"/>
            </w:pPr>
            <w:r>
              <w:t xml:space="preserve"> 学生及学生家长满意度</w:t>
            </w:r>
          </w:p>
        </w:tc>
        <w:tc>
          <w:tcPr>
            <w:tcW w:w="2268" w:type="dxa"/>
            <w:vAlign w:val="center"/>
          </w:tcPr>
          <w:p w14:paraId="09D373C5">
            <w:pPr>
              <w:pStyle w:val="12"/>
            </w:pPr>
            <w:r>
              <w:t>≥95%</w:t>
            </w:r>
          </w:p>
        </w:tc>
        <w:tc>
          <w:tcPr>
            <w:tcW w:w="1276" w:type="dxa"/>
            <w:vAlign w:val="center"/>
          </w:tcPr>
          <w:p w14:paraId="3AF40899">
            <w:pPr>
              <w:pStyle w:val="12"/>
            </w:pPr>
            <w:r>
              <w:t xml:space="preserve"> 调查问卷</w:t>
            </w:r>
          </w:p>
        </w:tc>
      </w:tr>
    </w:tbl>
    <w:p w14:paraId="6D7FC555">
      <w:pPr>
        <w:sectPr>
          <w:pgSz w:w="16840" w:h="11900" w:orient="landscape"/>
          <w:pgMar w:top="1361" w:right="1020" w:bottom="1134" w:left="1020" w:header="720" w:footer="720" w:gutter="0"/>
          <w:cols w:space="720" w:num="1"/>
        </w:sectPr>
      </w:pPr>
    </w:p>
    <w:p w14:paraId="6486A3BA">
      <w:pPr>
        <w:spacing w:before="0" w:after="0"/>
        <w:ind w:firstLine="560"/>
        <w:jc w:val="left"/>
        <w:outlineLvl w:val="9"/>
      </w:pPr>
      <w:r>
        <w:rPr>
          <w:rFonts w:ascii="方正仿宋_GBK" w:hAnsi="方正仿宋_GBK" w:eastAsia="方正仿宋_GBK" w:cs="方正仿宋_GBK"/>
          <w:b/>
          <w:color w:val="000000"/>
          <w:sz w:val="28"/>
        </w:rPr>
        <w:t>25、隆尧县小学安保项目绩效目标表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30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123EA">
            <w:pPr>
              <w:pStyle w:val="11"/>
            </w:pPr>
            <w:r>
              <w:t>单位：万元</w:t>
            </w:r>
          </w:p>
        </w:tc>
      </w:tr>
      <w:tr w14:paraId="0EA89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B8943">
            <w:pPr>
              <w:pStyle w:val="10"/>
            </w:pPr>
            <w:r>
              <w:t>项目编码</w:t>
            </w:r>
          </w:p>
        </w:tc>
        <w:tc>
          <w:tcPr>
            <w:tcW w:w="5103" w:type="dxa"/>
            <w:gridSpan w:val="2"/>
            <w:vAlign w:val="center"/>
          </w:tcPr>
          <w:p w14:paraId="70E41F95">
            <w:pPr>
              <w:pStyle w:val="12"/>
            </w:pPr>
            <w:r>
              <w:t>13052526P00001310001K</w:t>
            </w:r>
          </w:p>
        </w:tc>
        <w:tc>
          <w:tcPr>
            <w:tcW w:w="2835" w:type="dxa"/>
            <w:vAlign w:val="center"/>
          </w:tcPr>
          <w:p w14:paraId="1534BEA2">
            <w:pPr>
              <w:pStyle w:val="10"/>
            </w:pPr>
            <w:r>
              <w:t>项目名称</w:t>
            </w:r>
          </w:p>
        </w:tc>
        <w:tc>
          <w:tcPr>
            <w:tcW w:w="6095" w:type="dxa"/>
            <w:gridSpan w:val="3"/>
            <w:vAlign w:val="center"/>
          </w:tcPr>
          <w:p w14:paraId="44DF365C">
            <w:pPr>
              <w:pStyle w:val="12"/>
            </w:pPr>
            <w:r>
              <w:t>隆尧县小学安保项目</w:t>
            </w:r>
          </w:p>
        </w:tc>
      </w:tr>
      <w:tr w14:paraId="68CA2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15DE7">
            <w:pPr>
              <w:pStyle w:val="10"/>
            </w:pPr>
            <w:r>
              <w:t>预算规模及资金用途</w:t>
            </w:r>
          </w:p>
        </w:tc>
        <w:tc>
          <w:tcPr>
            <w:tcW w:w="2268" w:type="dxa"/>
            <w:vAlign w:val="center"/>
          </w:tcPr>
          <w:p w14:paraId="7CF07BC4">
            <w:pPr>
              <w:pStyle w:val="10"/>
            </w:pPr>
            <w:r>
              <w:t>预算数</w:t>
            </w:r>
          </w:p>
        </w:tc>
        <w:tc>
          <w:tcPr>
            <w:tcW w:w="2835" w:type="dxa"/>
            <w:vAlign w:val="center"/>
          </w:tcPr>
          <w:p w14:paraId="1C718FB7">
            <w:pPr>
              <w:pStyle w:val="12"/>
            </w:pPr>
            <w:r>
              <w:t>330.12</w:t>
            </w:r>
          </w:p>
        </w:tc>
        <w:tc>
          <w:tcPr>
            <w:tcW w:w="2835" w:type="dxa"/>
            <w:vAlign w:val="center"/>
          </w:tcPr>
          <w:p w14:paraId="69A6BD34">
            <w:pPr>
              <w:pStyle w:val="10"/>
            </w:pPr>
            <w:r>
              <w:t>其中：财政    资金</w:t>
            </w:r>
          </w:p>
        </w:tc>
        <w:tc>
          <w:tcPr>
            <w:tcW w:w="2551" w:type="dxa"/>
            <w:vAlign w:val="center"/>
          </w:tcPr>
          <w:p w14:paraId="6F7AEDC8">
            <w:pPr>
              <w:pStyle w:val="12"/>
            </w:pPr>
            <w:r>
              <w:t>330.12</w:t>
            </w:r>
          </w:p>
        </w:tc>
        <w:tc>
          <w:tcPr>
            <w:tcW w:w="2268" w:type="dxa"/>
            <w:vAlign w:val="center"/>
          </w:tcPr>
          <w:p w14:paraId="3CD5EE06">
            <w:pPr>
              <w:pStyle w:val="10"/>
            </w:pPr>
            <w:r>
              <w:t>其他资金</w:t>
            </w:r>
          </w:p>
        </w:tc>
        <w:tc>
          <w:tcPr>
            <w:tcW w:w="1276" w:type="dxa"/>
            <w:vAlign w:val="center"/>
          </w:tcPr>
          <w:p w14:paraId="5055CA7C">
            <w:pPr>
              <w:pStyle w:val="12"/>
            </w:pPr>
            <w:r>
              <w:t xml:space="preserve"> </w:t>
            </w:r>
          </w:p>
        </w:tc>
      </w:tr>
      <w:tr w14:paraId="31E28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CA206"/>
        </w:tc>
        <w:tc>
          <w:tcPr>
            <w:tcW w:w="14033" w:type="dxa"/>
            <w:gridSpan w:val="6"/>
            <w:vAlign w:val="center"/>
          </w:tcPr>
          <w:p w14:paraId="0CF47D08">
            <w:pPr>
              <w:pStyle w:val="12"/>
            </w:pPr>
            <w:r>
              <w:t>保障教职员工、在校学生安全及学校财产安全</w:t>
            </w:r>
            <w:r>
              <w:tab/>
            </w:r>
            <w:r>
              <w:tab/>
            </w:r>
            <w:r>
              <w:tab/>
            </w:r>
            <w:r>
              <w:tab/>
            </w:r>
            <w:r>
              <w:tab/>
            </w:r>
            <w:r>
              <w:tab/>
            </w:r>
          </w:p>
          <w:p w14:paraId="142F48D7">
            <w:pPr>
              <w:pStyle w:val="12"/>
            </w:pPr>
          </w:p>
        </w:tc>
      </w:tr>
      <w:tr w14:paraId="785A7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532D8">
            <w:pPr>
              <w:pStyle w:val="10"/>
            </w:pPr>
            <w:r>
              <w:t>资金支出计划（%）</w:t>
            </w:r>
          </w:p>
        </w:tc>
        <w:tc>
          <w:tcPr>
            <w:tcW w:w="5103" w:type="dxa"/>
            <w:gridSpan w:val="2"/>
            <w:vAlign w:val="center"/>
          </w:tcPr>
          <w:p w14:paraId="54ABE576">
            <w:pPr>
              <w:pStyle w:val="10"/>
            </w:pPr>
            <w:r>
              <w:t>3月底</w:t>
            </w:r>
          </w:p>
        </w:tc>
        <w:tc>
          <w:tcPr>
            <w:tcW w:w="2835" w:type="dxa"/>
            <w:vAlign w:val="center"/>
          </w:tcPr>
          <w:p w14:paraId="6D9C8932">
            <w:pPr>
              <w:pStyle w:val="10"/>
            </w:pPr>
            <w:r>
              <w:t>6月底</w:t>
            </w:r>
          </w:p>
        </w:tc>
        <w:tc>
          <w:tcPr>
            <w:tcW w:w="2551" w:type="dxa"/>
            <w:vAlign w:val="center"/>
          </w:tcPr>
          <w:p w14:paraId="5A43EE59">
            <w:pPr>
              <w:pStyle w:val="10"/>
            </w:pPr>
            <w:r>
              <w:t>10月底</w:t>
            </w:r>
          </w:p>
        </w:tc>
        <w:tc>
          <w:tcPr>
            <w:tcW w:w="3544" w:type="dxa"/>
            <w:gridSpan w:val="2"/>
            <w:vAlign w:val="center"/>
          </w:tcPr>
          <w:p w14:paraId="1AE31171">
            <w:pPr>
              <w:pStyle w:val="10"/>
            </w:pPr>
            <w:r>
              <w:t>12月底</w:t>
            </w:r>
          </w:p>
        </w:tc>
      </w:tr>
      <w:tr w14:paraId="6E6E9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C2CA2"/>
        </w:tc>
        <w:tc>
          <w:tcPr>
            <w:tcW w:w="5103" w:type="dxa"/>
            <w:gridSpan w:val="2"/>
            <w:vAlign w:val="center"/>
          </w:tcPr>
          <w:p w14:paraId="320C617A">
            <w:pPr>
              <w:pStyle w:val="13"/>
            </w:pPr>
            <w:r>
              <w:t>25%</w:t>
            </w:r>
          </w:p>
        </w:tc>
        <w:tc>
          <w:tcPr>
            <w:tcW w:w="2835" w:type="dxa"/>
            <w:vAlign w:val="center"/>
          </w:tcPr>
          <w:p w14:paraId="5CA9C503">
            <w:pPr>
              <w:pStyle w:val="13"/>
            </w:pPr>
            <w:r>
              <w:t>50%</w:t>
            </w:r>
          </w:p>
        </w:tc>
        <w:tc>
          <w:tcPr>
            <w:tcW w:w="2551" w:type="dxa"/>
            <w:vAlign w:val="center"/>
          </w:tcPr>
          <w:p w14:paraId="3F3509AC">
            <w:pPr>
              <w:pStyle w:val="13"/>
            </w:pPr>
            <w:r>
              <w:t>75%</w:t>
            </w:r>
          </w:p>
        </w:tc>
        <w:tc>
          <w:tcPr>
            <w:tcW w:w="3544" w:type="dxa"/>
            <w:gridSpan w:val="2"/>
            <w:vAlign w:val="center"/>
          </w:tcPr>
          <w:p w14:paraId="16A96D79">
            <w:pPr>
              <w:pStyle w:val="13"/>
            </w:pPr>
            <w:r>
              <w:t>100%</w:t>
            </w:r>
          </w:p>
        </w:tc>
      </w:tr>
      <w:tr w14:paraId="2F4E9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89239">
            <w:pPr>
              <w:pStyle w:val="10"/>
            </w:pPr>
            <w:r>
              <w:t>绩效目标</w:t>
            </w:r>
          </w:p>
        </w:tc>
        <w:tc>
          <w:tcPr>
            <w:tcW w:w="14033" w:type="dxa"/>
            <w:gridSpan w:val="6"/>
            <w:vAlign w:val="center"/>
          </w:tcPr>
          <w:p w14:paraId="0FAF0672">
            <w:pPr>
              <w:pStyle w:val="12"/>
            </w:pPr>
            <w:r>
              <w:t>1.保障教职员工、在校学生安全及学校财产安全</w:t>
            </w:r>
          </w:p>
        </w:tc>
      </w:tr>
    </w:tbl>
    <w:p w14:paraId="46876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4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41FC1">
            <w:pPr>
              <w:pStyle w:val="10"/>
            </w:pPr>
            <w:r>
              <w:t>一级指标</w:t>
            </w:r>
          </w:p>
        </w:tc>
        <w:tc>
          <w:tcPr>
            <w:tcW w:w="2268" w:type="dxa"/>
            <w:vAlign w:val="center"/>
          </w:tcPr>
          <w:p w14:paraId="65B6ACE8">
            <w:pPr>
              <w:pStyle w:val="10"/>
            </w:pPr>
            <w:r>
              <w:t>二级指标</w:t>
            </w:r>
          </w:p>
        </w:tc>
        <w:tc>
          <w:tcPr>
            <w:tcW w:w="2835" w:type="dxa"/>
            <w:vAlign w:val="center"/>
          </w:tcPr>
          <w:p w14:paraId="758B5206">
            <w:pPr>
              <w:pStyle w:val="10"/>
            </w:pPr>
            <w:r>
              <w:t>三级指标</w:t>
            </w:r>
          </w:p>
        </w:tc>
        <w:tc>
          <w:tcPr>
            <w:tcW w:w="5386" w:type="dxa"/>
            <w:vAlign w:val="center"/>
          </w:tcPr>
          <w:p w14:paraId="43D185DE">
            <w:pPr>
              <w:pStyle w:val="10"/>
            </w:pPr>
            <w:r>
              <w:t>绩效指标描述</w:t>
            </w:r>
          </w:p>
        </w:tc>
        <w:tc>
          <w:tcPr>
            <w:tcW w:w="2268" w:type="dxa"/>
            <w:vAlign w:val="center"/>
          </w:tcPr>
          <w:p w14:paraId="64DABA23">
            <w:pPr>
              <w:pStyle w:val="10"/>
            </w:pPr>
            <w:r>
              <w:t>指标值</w:t>
            </w:r>
          </w:p>
        </w:tc>
        <w:tc>
          <w:tcPr>
            <w:tcW w:w="1276" w:type="dxa"/>
            <w:vAlign w:val="center"/>
          </w:tcPr>
          <w:p w14:paraId="10508FDD">
            <w:pPr>
              <w:pStyle w:val="10"/>
            </w:pPr>
            <w:r>
              <w:t>指标值确定依据</w:t>
            </w:r>
          </w:p>
        </w:tc>
      </w:tr>
      <w:tr w14:paraId="1955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46896">
            <w:pPr>
              <w:pStyle w:val="13"/>
            </w:pPr>
            <w:r>
              <w:t>产出指标</w:t>
            </w:r>
          </w:p>
        </w:tc>
        <w:tc>
          <w:tcPr>
            <w:tcW w:w="2268" w:type="dxa"/>
            <w:vAlign w:val="center"/>
          </w:tcPr>
          <w:p w14:paraId="21FF76F2">
            <w:pPr>
              <w:pStyle w:val="12"/>
            </w:pPr>
            <w:r>
              <w:t>数量指标</w:t>
            </w:r>
          </w:p>
        </w:tc>
        <w:tc>
          <w:tcPr>
            <w:tcW w:w="2835" w:type="dxa"/>
            <w:vAlign w:val="center"/>
          </w:tcPr>
          <w:p w14:paraId="6398335E">
            <w:pPr>
              <w:pStyle w:val="12"/>
            </w:pPr>
            <w:r>
              <w:t>学校配备保安数</w:t>
            </w:r>
          </w:p>
        </w:tc>
        <w:tc>
          <w:tcPr>
            <w:tcW w:w="5386" w:type="dxa"/>
            <w:vAlign w:val="center"/>
          </w:tcPr>
          <w:p w14:paraId="7395A060">
            <w:pPr>
              <w:pStyle w:val="12"/>
            </w:pPr>
            <w:r>
              <w:t>配备保安人数</w:t>
            </w:r>
          </w:p>
        </w:tc>
        <w:tc>
          <w:tcPr>
            <w:tcW w:w="2268" w:type="dxa"/>
            <w:vAlign w:val="center"/>
          </w:tcPr>
          <w:p w14:paraId="1B2E1270">
            <w:pPr>
              <w:pStyle w:val="12"/>
            </w:pPr>
            <w:r>
              <w:t>≥131人</w:t>
            </w:r>
          </w:p>
        </w:tc>
        <w:tc>
          <w:tcPr>
            <w:tcW w:w="1276" w:type="dxa"/>
            <w:vAlign w:val="center"/>
          </w:tcPr>
          <w:p w14:paraId="156AD556">
            <w:pPr>
              <w:pStyle w:val="12"/>
            </w:pPr>
            <w:r>
              <w:t>校园安保条例</w:t>
            </w:r>
          </w:p>
        </w:tc>
      </w:tr>
      <w:tr w14:paraId="1BD4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780C7"/>
        </w:tc>
        <w:tc>
          <w:tcPr>
            <w:tcW w:w="2268" w:type="dxa"/>
            <w:vAlign w:val="center"/>
          </w:tcPr>
          <w:p w14:paraId="3BD53893">
            <w:pPr>
              <w:pStyle w:val="12"/>
            </w:pPr>
            <w:r>
              <w:t>质量指标</w:t>
            </w:r>
          </w:p>
        </w:tc>
        <w:tc>
          <w:tcPr>
            <w:tcW w:w="2835" w:type="dxa"/>
            <w:vAlign w:val="center"/>
          </w:tcPr>
          <w:p w14:paraId="72617A53">
            <w:pPr>
              <w:pStyle w:val="12"/>
            </w:pPr>
            <w:r>
              <w:t>完成率</w:t>
            </w:r>
          </w:p>
        </w:tc>
        <w:tc>
          <w:tcPr>
            <w:tcW w:w="5386" w:type="dxa"/>
            <w:vAlign w:val="center"/>
          </w:tcPr>
          <w:p w14:paraId="3D72A8DB">
            <w:pPr>
              <w:pStyle w:val="12"/>
            </w:pPr>
            <w:r>
              <w:t>完成率</w:t>
            </w:r>
          </w:p>
        </w:tc>
        <w:tc>
          <w:tcPr>
            <w:tcW w:w="2268" w:type="dxa"/>
            <w:vAlign w:val="center"/>
          </w:tcPr>
          <w:p w14:paraId="2FC9F35D">
            <w:pPr>
              <w:pStyle w:val="12"/>
            </w:pPr>
            <w:r>
              <w:t>≥99%</w:t>
            </w:r>
          </w:p>
        </w:tc>
        <w:tc>
          <w:tcPr>
            <w:tcW w:w="1276" w:type="dxa"/>
            <w:vAlign w:val="center"/>
          </w:tcPr>
          <w:p w14:paraId="15FD1204">
            <w:pPr>
              <w:pStyle w:val="12"/>
            </w:pPr>
            <w:r>
              <w:t>校园安保条例</w:t>
            </w:r>
          </w:p>
        </w:tc>
      </w:tr>
      <w:tr w14:paraId="6793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14393"/>
        </w:tc>
        <w:tc>
          <w:tcPr>
            <w:tcW w:w="2268" w:type="dxa"/>
            <w:vAlign w:val="center"/>
          </w:tcPr>
          <w:p w14:paraId="4F47A128">
            <w:pPr>
              <w:pStyle w:val="12"/>
            </w:pPr>
            <w:r>
              <w:t>时效指标</w:t>
            </w:r>
          </w:p>
        </w:tc>
        <w:tc>
          <w:tcPr>
            <w:tcW w:w="2835" w:type="dxa"/>
            <w:vAlign w:val="center"/>
          </w:tcPr>
          <w:p w14:paraId="7076AE35">
            <w:pPr>
              <w:pStyle w:val="12"/>
            </w:pPr>
            <w:r>
              <w:t>经费拨付完成率</w:t>
            </w:r>
          </w:p>
        </w:tc>
        <w:tc>
          <w:tcPr>
            <w:tcW w:w="5386" w:type="dxa"/>
            <w:vAlign w:val="center"/>
          </w:tcPr>
          <w:p w14:paraId="189C0A6D">
            <w:pPr>
              <w:pStyle w:val="12"/>
            </w:pPr>
            <w:r>
              <w:t>经费拨付完成率达到需时进度</w:t>
            </w:r>
          </w:p>
        </w:tc>
        <w:tc>
          <w:tcPr>
            <w:tcW w:w="2268" w:type="dxa"/>
            <w:vAlign w:val="center"/>
          </w:tcPr>
          <w:p w14:paraId="6856228D">
            <w:pPr>
              <w:pStyle w:val="12"/>
            </w:pPr>
            <w:r>
              <w:t>≥99%</w:t>
            </w:r>
          </w:p>
        </w:tc>
        <w:tc>
          <w:tcPr>
            <w:tcW w:w="1276" w:type="dxa"/>
            <w:vAlign w:val="center"/>
          </w:tcPr>
          <w:p w14:paraId="4D185C05">
            <w:pPr>
              <w:pStyle w:val="12"/>
            </w:pPr>
            <w:r>
              <w:t>校园安保条例</w:t>
            </w:r>
          </w:p>
        </w:tc>
      </w:tr>
      <w:tr w14:paraId="765E4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907DD"/>
        </w:tc>
        <w:tc>
          <w:tcPr>
            <w:tcW w:w="2268" w:type="dxa"/>
            <w:vAlign w:val="center"/>
          </w:tcPr>
          <w:p w14:paraId="2140719F">
            <w:pPr>
              <w:pStyle w:val="12"/>
            </w:pPr>
            <w:r>
              <w:t>成本指标</w:t>
            </w:r>
          </w:p>
        </w:tc>
        <w:tc>
          <w:tcPr>
            <w:tcW w:w="2835" w:type="dxa"/>
            <w:vAlign w:val="center"/>
          </w:tcPr>
          <w:p w14:paraId="63672D38">
            <w:pPr>
              <w:pStyle w:val="12"/>
            </w:pPr>
            <w:r>
              <w:t>不超预算</w:t>
            </w:r>
          </w:p>
        </w:tc>
        <w:tc>
          <w:tcPr>
            <w:tcW w:w="5386" w:type="dxa"/>
            <w:vAlign w:val="center"/>
          </w:tcPr>
          <w:p w14:paraId="0C30F581">
            <w:pPr>
              <w:pStyle w:val="12"/>
            </w:pPr>
            <w:r>
              <w:t>不超预算</w:t>
            </w:r>
          </w:p>
        </w:tc>
        <w:tc>
          <w:tcPr>
            <w:tcW w:w="2268" w:type="dxa"/>
            <w:vAlign w:val="center"/>
          </w:tcPr>
          <w:p w14:paraId="4F3810B6">
            <w:pPr>
              <w:pStyle w:val="12"/>
            </w:pPr>
            <w:r>
              <w:t>≤330.12万元</w:t>
            </w:r>
          </w:p>
        </w:tc>
        <w:tc>
          <w:tcPr>
            <w:tcW w:w="1276" w:type="dxa"/>
            <w:vAlign w:val="center"/>
          </w:tcPr>
          <w:p w14:paraId="5113E6B9">
            <w:pPr>
              <w:pStyle w:val="12"/>
            </w:pPr>
            <w:r>
              <w:t>校园安保条例</w:t>
            </w:r>
          </w:p>
        </w:tc>
      </w:tr>
      <w:tr w14:paraId="7F26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269F5">
            <w:pPr>
              <w:pStyle w:val="13"/>
            </w:pPr>
            <w:r>
              <w:t>效益指标</w:t>
            </w:r>
          </w:p>
        </w:tc>
        <w:tc>
          <w:tcPr>
            <w:tcW w:w="2268" w:type="dxa"/>
            <w:vAlign w:val="center"/>
          </w:tcPr>
          <w:p w14:paraId="369252C9">
            <w:pPr>
              <w:pStyle w:val="12"/>
            </w:pPr>
            <w:r>
              <w:t>可持续影响指标</w:t>
            </w:r>
          </w:p>
        </w:tc>
        <w:tc>
          <w:tcPr>
            <w:tcW w:w="2835" w:type="dxa"/>
            <w:vAlign w:val="center"/>
          </w:tcPr>
          <w:p w14:paraId="42A8F0F3">
            <w:pPr>
              <w:pStyle w:val="12"/>
            </w:pPr>
            <w:r>
              <w:t>小学学生入学率</w:t>
            </w:r>
          </w:p>
        </w:tc>
        <w:tc>
          <w:tcPr>
            <w:tcW w:w="5386" w:type="dxa"/>
            <w:vAlign w:val="center"/>
          </w:tcPr>
          <w:p w14:paraId="50A9DE64">
            <w:pPr>
              <w:pStyle w:val="12"/>
            </w:pPr>
            <w:r>
              <w:t>小学义务教育阶段学生入学率</w:t>
            </w:r>
          </w:p>
        </w:tc>
        <w:tc>
          <w:tcPr>
            <w:tcW w:w="2268" w:type="dxa"/>
            <w:vAlign w:val="center"/>
          </w:tcPr>
          <w:p w14:paraId="1E81A358">
            <w:pPr>
              <w:pStyle w:val="12"/>
            </w:pPr>
            <w:r>
              <w:t>100%</w:t>
            </w:r>
          </w:p>
        </w:tc>
        <w:tc>
          <w:tcPr>
            <w:tcW w:w="1276" w:type="dxa"/>
            <w:vAlign w:val="center"/>
          </w:tcPr>
          <w:p w14:paraId="602EC348">
            <w:pPr>
              <w:pStyle w:val="12"/>
            </w:pPr>
            <w:r>
              <w:t>校园安保条例</w:t>
            </w:r>
          </w:p>
        </w:tc>
      </w:tr>
      <w:tr w14:paraId="7729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3543A">
            <w:pPr>
              <w:pStyle w:val="13"/>
            </w:pPr>
            <w:r>
              <w:t>满意度指标</w:t>
            </w:r>
          </w:p>
        </w:tc>
        <w:tc>
          <w:tcPr>
            <w:tcW w:w="2268" w:type="dxa"/>
            <w:vAlign w:val="center"/>
          </w:tcPr>
          <w:p w14:paraId="4FA8DB21">
            <w:pPr>
              <w:pStyle w:val="12"/>
            </w:pPr>
            <w:r>
              <w:t>服务对象满意度指标</w:t>
            </w:r>
          </w:p>
        </w:tc>
        <w:tc>
          <w:tcPr>
            <w:tcW w:w="2835" w:type="dxa"/>
            <w:vAlign w:val="center"/>
          </w:tcPr>
          <w:p w14:paraId="63EE7845">
            <w:pPr>
              <w:pStyle w:val="12"/>
            </w:pPr>
            <w:r>
              <w:t>服务对象满意度</w:t>
            </w:r>
          </w:p>
        </w:tc>
        <w:tc>
          <w:tcPr>
            <w:tcW w:w="5386" w:type="dxa"/>
            <w:vAlign w:val="center"/>
          </w:tcPr>
          <w:p w14:paraId="5CF8A115">
            <w:pPr>
              <w:pStyle w:val="12"/>
            </w:pPr>
            <w:r>
              <w:t>学生和家长满意度</w:t>
            </w:r>
          </w:p>
        </w:tc>
        <w:tc>
          <w:tcPr>
            <w:tcW w:w="2268" w:type="dxa"/>
            <w:vAlign w:val="center"/>
          </w:tcPr>
          <w:p w14:paraId="13999BA7">
            <w:pPr>
              <w:pStyle w:val="12"/>
            </w:pPr>
            <w:r>
              <w:t>≥95%</w:t>
            </w:r>
          </w:p>
        </w:tc>
        <w:tc>
          <w:tcPr>
            <w:tcW w:w="1276" w:type="dxa"/>
            <w:vAlign w:val="center"/>
          </w:tcPr>
          <w:p w14:paraId="611B9AC9">
            <w:pPr>
              <w:pStyle w:val="12"/>
            </w:pPr>
            <w:r>
              <w:t>调查问卷</w:t>
            </w:r>
          </w:p>
        </w:tc>
      </w:tr>
    </w:tbl>
    <w:p w14:paraId="7CD1094E">
      <w:pPr>
        <w:sectPr>
          <w:pgSz w:w="16840" w:h="11900" w:orient="landscape"/>
          <w:pgMar w:top="1361" w:right="1020" w:bottom="1134" w:left="1020" w:header="720" w:footer="720" w:gutter="0"/>
          <w:cols w:space="720" w:num="1"/>
        </w:sectPr>
      </w:pPr>
    </w:p>
    <w:p w14:paraId="7EBF57AB">
      <w:pPr>
        <w:spacing w:before="0" w:after="0"/>
        <w:ind w:firstLine="560"/>
        <w:jc w:val="left"/>
        <w:outlineLvl w:val="9"/>
      </w:pPr>
      <w:r>
        <w:rPr>
          <w:rFonts w:ascii="方正仿宋_GBK" w:hAnsi="方正仿宋_GBK" w:eastAsia="方正仿宋_GBK" w:cs="方正仿宋_GBK"/>
          <w:b/>
          <w:color w:val="000000"/>
          <w:sz w:val="28"/>
        </w:rPr>
        <w:t>26、隆尧县职业教育园区建设项目绩效目标表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3E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7D2B5C">
            <w:pPr>
              <w:pStyle w:val="11"/>
            </w:pPr>
            <w:r>
              <w:t>单位：万元</w:t>
            </w:r>
          </w:p>
        </w:tc>
      </w:tr>
      <w:tr w14:paraId="28CD1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B1B62">
            <w:pPr>
              <w:pStyle w:val="10"/>
            </w:pPr>
            <w:r>
              <w:t>项目编码</w:t>
            </w:r>
          </w:p>
        </w:tc>
        <w:tc>
          <w:tcPr>
            <w:tcW w:w="5103" w:type="dxa"/>
            <w:gridSpan w:val="2"/>
            <w:vAlign w:val="center"/>
          </w:tcPr>
          <w:p w14:paraId="65EFF4B5">
            <w:pPr>
              <w:pStyle w:val="12"/>
            </w:pPr>
            <w:r>
              <w:t>1305252386XSO8UKLQIZS</w:t>
            </w:r>
          </w:p>
        </w:tc>
        <w:tc>
          <w:tcPr>
            <w:tcW w:w="2835" w:type="dxa"/>
            <w:vAlign w:val="center"/>
          </w:tcPr>
          <w:p w14:paraId="0EF94D96">
            <w:pPr>
              <w:pStyle w:val="10"/>
            </w:pPr>
            <w:r>
              <w:t>项目名称</w:t>
            </w:r>
          </w:p>
        </w:tc>
        <w:tc>
          <w:tcPr>
            <w:tcW w:w="6095" w:type="dxa"/>
            <w:gridSpan w:val="3"/>
            <w:vAlign w:val="center"/>
          </w:tcPr>
          <w:p w14:paraId="3EE6FD07">
            <w:pPr>
              <w:pStyle w:val="12"/>
            </w:pPr>
            <w:r>
              <w:t>隆尧县职业教育园区建设项目</w:t>
            </w:r>
          </w:p>
        </w:tc>
      </w:tr>
      <w:tr w14:paraId="4717C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4D4E9">
            <w:pPr>
              <w:pStyle w:val="10"/>
            </w:pPr>
            <w:r>
              <w:t>预算规模及资金用途</w:t>
            </w:r>
          </w:p>
        </w:tc>
        <w:tc>
          <w:tcPr>
            <w:tcW w:w="2268" w:type="dxa"/>
            <w:vAlign w:val="center"/>
          </w:tcPr>
          <w:p w14:paraId="39419231">
            <w:pPr>
              <w:pStyle w:val="10"/>
            </w:pPr>
            <w:r>
              <w:t>预算数</w:t>
            </w:r>
          </w:p>
        </w:tc>
        <w:tc>
          <w:tcPr>
            <w:tcW w:w="2835" w:type="dxa"/>
            <w:vAlign w:val="center"/>
          </w:tcPr>
          <w:p w14:paraId="0FA64738">
            <w:pPr>
              <w:pStyle w:val="12"/>
            </w:pPr>
            <w:r>
              <w:t>5283.99</w:t>
            </w:r>
          </w:p>
        </w:tc>
        <w:tc>
          <w:tcPr>
            <w:tcW w:w="2835" w:type="dxa"/>
            <w:vAlign w:val="center"/>
          </w:tcPr>
          <w:p w14:paraId="2293DA65">
            <w:pPr>
              <w:pStyle w:val="10"/>
            </w:pPr>
            <w:r>
              <w:t>其中：财政    资金</w:t>
            </w:r>
          </w:p>
        </w:tc>
        <w:tc>
          <w:tcPr>
            <w:tcW w:w="2551" w:type="dxa"/>
            <w:vAlign w:val="center"/>
          </w:tcPr>
          <w:p w14:paraId="42FDB9BC">
            <w:pPr>
              <w:pStyle w:val="12"/>
            </w:pPr>
            <w:r>
              <w:t>5283.99</w:t>
            </w:r>
          </w:p>
        </w:tc>
        <w:tc>
          <w:tcPr>
            <w:tcW w:w="2268" w:type="dxa"/>
            <w:vAlign w:val="center"/>
          </w:tcPr>
          <w:p w14:paraId="3DB29610">
            <w:pPr>
              <w:pStyle w:val="10"/>
            </w:pPr>
            <w:r>
              <w:t>其他资金</w:t>
            </w:r>
          </w:p>
        </w:tc>
        <w:tc>
          <w:tcPr>
            <w:tcW w:w="1276" w:type="dxa"/>
            <w:vAlign w:val="center"/>
          </w:tcPr>
          <w:p w14:paraId="6468E557">
            <w:pPr>
              <w:pStyle w:val="12"/>
            </w:pPr>
            <w:r>
              <w:t xml:space="preserve"> </w:t>
            </w:r>
          </w:p>
        </w:tc>
      </w:tr>
      <w:tr w14:paraId="1E8BE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0C155"/>
        </w:tc>
        <w:tc>
          <w:tcPr>
            <w:tcW w:w="14033" w:type="dxa"/>
            <w:gridSpan w:val="6"/>
            <w:vAlign w:val="center"/>
          </w:tcPr>
          <w:p w14:paraId="40916B5F">
            <w:pPr>
              <w:pStyle w:val="12"/>
            </w:pPr>
            <w:r>
              <w:t>投资控制在48982万元；项目运行期间加强设备管理和缺陷管理，确保设施处于良好的运行状态，设备良好率95%以上。运行</w:t>
            </w:r>
            <w:r>
              <w:rPr>
                <w:rFonts w:hint="eastAsia"/>
                <w:lang w:eastAsia="zh-CN"/>
              </w:rPr>
              <w:t>期</w:t>
            </w:r>
            <w:r>
              <w:t>招收学生人数4050人，项目第一年收入为7133.91万元。</w:t>
            </w:r>
            <w:r>
              <w:tab/>
            </w:r>
          </w:p>
        </w:tc>
      </w:tr>
      <w:tr w14:paraId="4103C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FAB67">
            <w:pPr>
              <w:pStyle w:val="10"/>
            </w:pPr>
            <w:r>
              <w:t>资金支出计划（%）</w:t>
            </w:r>
          </w:p>
        </w:tc>
        <w:tc>
          <w:tcPr>
            <w:tcW w:w="5103" w:type="dxa"/>
            <w:gridSpan w:val="2"/>
            <w:vAlign w:val="center"/>
          </w:tcPr>
          <w:p w14:paraId="70FDC65E">
            <w:pPr>
              <w:pStyle w:val="10"/>
            </w:pPr>
            <w:r>
              <w:t>3月底</w:t>
            </w:r>
          </w:p>
        </w:tc>
        <w:tc>
          <w:tcPr>
            <w:tcW w:w="2835" w:type="dxa"/>
            <w:vAlign w:val="center"/>
          </w:tcPr>
          <w:p w14:paraId="6B92C5B9">
            <w:pPr>
              <w:pStyle w:val="10"/>
            </w:pPr>
            <w:r>
              <w:t>6月底</w:t>
            </w:r>
          </w:p>
        </w:tc>
        <w:tc>
          <w:tcPr>
            <w:tcW w:w="2551" w:type="dxa"/>
            <w:vAlign w:val="center"/>
          </w:tcPr>
          <w:p w14:paraId="05137B60">
            <w:pPr>
              <w:pStyle w:val="10"/>
            </w:pPr>
            <w:r>
              <w:t>10月底</w:t>
            </w:r>
          </w:p>
        </w:tc>
        <w:tc>
          <w:tcPr>
            <w:tcW w:w="3544" w:type="dxa"/>
            <w:gridSpan w:val="2"/>
            <w:vAlign w:val="center"/>
          </w:tcPr>
          <w:p w14:paraId="41FBFC96">
            <w:pPr>
              <w:pStyle w:val="10"/>
            </w:pPr>
            <w:r>
              <w:t>12月底</w:t>
            </w:r>
          </w:p>
        </w:tc>
      </w:tr>
      <w:tr w14:paraId="35627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542DC"/>
        </w:tc>
        <w:tc>
          <w:tcPr>
            <w:tcW w:w="5103" w:type="dxa"/>
            <w:gridSpan w:val="2"/>
            <w:vAlign w:val="center"/>
          </w:tcPr>
          <w:p w14:paraId="07EFF5DD">
            <w:pPr>
              <w:pStyle w:val="13"/>
            </w:pPr>
            <w:r>
              <w:t xml:space="preserve"> </w:t>
            </w:r>
          </w:p>
        </w:tc>
        <w:tc>
          <w:tcPr>
            <w:tcW w:w="2835" w:type="dxa"/>
            <w:vAlign w:val="center"/>
          </w:tcPr>
          <w:p w14:paraId="38A7C602">
            <w:pPr>
              <w:pStyle w:val="13"/>
            </w:pPr>
            <w:r>
              <w:t>50%</w:t>
            </w:r>
          </w:p>
        </w:tc>
        <w:tc>
          <w:tcPr>
            <w:tcW w:w="2551" w:type="dxa"/>
            <w:vAlign w:val="center"/>
          </w:tcPr>
          <w:p w14:paraId="7DADCB74">
            <w:pPr>
              <w:pStyle w:val="13"/>
            </w:pPr>
            <w:r>
              <w:t>75%</w:t>
            </w:r>
          </w:p>
        </w:tc>
        <w:tc>
          <w:tcPr>
            <w:tcW w:w="3544" w:type="dxa"/>
            <w:gridSpan w:val="2"/>
            <w:vAlign w:val="center"/>
          </w:tcPr>
          <w:p w14:paraId="75BCAD56">
            <w:pPr>
              <w:pStyle w:val="13"/>
            </w:pPr>
            <w:r>
              <w:t>100%</w:t>
            </w:r>
          </w:p>
        </w:tc>
      </w:tr>
      <w:tr w14:paraId="5E60D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B46C3">
            <w:pPr>
              <w:pStyle w:val="10"/>
            </w:pPr>
            <w:r>
              <w:t>绩效目标</w:t>
            </w:r>
          </w:p>
        </w:tc>
        <w:tc>
          <w:tcPr>
            <w:tcW w:w="14033" w:type="dxa"/>
            <w:gridSpan w:val="6"/>
            <w:vAlign w:val="center"/>
          </w:tcPr>
          <w:p w14:paraId="3184DEB5">
            <w:pPr>
              <w:pStyle w:val="12"/>
            </w:pPr>
            <w:r>
              <w:t>1.投资控制在48982万元；项目运行期间加强设备管理和缺陷管理，确保设施处于良好的运行状态，设备良好率95%以上。运行</w:t>
            </w:r>
            <w:r>
              <w:rPr>
                <w:rFonts w:hint="eastAsia"/>
                <w:lang w:eastAsia="zh-CN"/>
              </w:rPr>
              <w:t>期</w:t>
            </w:r>
            <w:r>
              <w:t>招收学生人数4050人，项目第一年收入为7133.91万元。</w:t>
            </w:r>
            <w:r>
              <w:tab/>
            </w:r>
            <w:r>
              <w:tab/>
            </w:r>
            <w:r>
              <w:tab/>
            </w:r>
            <w:r>
              <w:tab/>
            </w:r>
            <w:r>
              <w:tab/>
            </w:r>
            <w:r>
              <w:tab/>
            </w:r>
          </w:p>
        </w:tc>
      </w:tr>
    </w:tbl>
    <w:p w14:paraId="7A279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A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1AC29">
            <w:pPr>
              <w:pStyle w:val="10"/>
            </w:pPr>
            <w:r>
              <w:t>一级指标</w:t>
            </w:r>
          </w:p>
        </w:tc>
        <w:tc>
          <w:tcPr>
            <w:tcW w:w="2268" w:type="dxa"/>
            <w:vAlign w:val="center"/>
          </w:tcPr>
          <w:p w14:paraId="6D5D23E2">
            <w:pPr>
              <w:pStyle w:val="10"/>
            </w:pPr>
            <w:r>
              <w:t>二级指标</w:t>
            </w:r>
          </w:p>
        </w:tc>
        <w:tc>
          <w:tcPr>
            <w:tcW w:w="2835" w:type="dxa"/>
            <w:vAlign w:val="center"/>
          </w:tcPr>
          <w:p w14:paraId="39957A49">
            <w:pPr>
              <w:pStyle w:val="10"/>
            </w:pPr>
            <w:r>
              <w:t>三级指标</w:t>
            </w:r>
          </w:p>
        </w:tc>
        <w:tc>
          <w:tcPr>
            <w:tcW w:w="5386" w:type="dxa"/>
            <w:vAlign w:val="center"/>
          </w:tcPr>
          <w:p w14:paraId="0E9DD653">
            <w:pPr>
              <w:pStyle w:val="10"/>
            </w:pPr>
            <w:r>
              <w:t>绩效指标描述</w:t>
            </w:r>
          </w:p>
        </w:tc>
        <w:tc>
          <w:tcPr>
            <w:tcW w:w="2268" w:type="dxa"/>
            <w:vAlign w:val="center"/>
          </w:tcPr>
          <w:p w14:paraId="7B7850FD">
            <w:pPr>
              <w:pStyle w:val="10"/>
            </w:pPr>
            <w:r>
              <w:t>指标值</w:t>
            </w:r>
          </w:p>
        </w:tc>
        <w:tc>
          <w:tcPr>
            <w:tcW w:w="1276" w:type="dxa"/>
            <w:vAlign w:val="center"/>
          </w:tcPr>
          <w:p w14:paraId="1ECB99B3">
            <w:pPr>
              <w:pStyle w:val="10"/>
            </w:pPr>
            <w:r>
              <w:t>指标值确定依据</w:t>
            </w:r>
          </w:p>
        </w:tc>
      </w:tr>
      <w:tr w14:paraId="3885C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8CE15">
            <w:pPr>
              <w:pStyle w:val="13"/>
            </w:pPr>
            <w:r>
              <w:t>产出指标</w:t>
            </w:r>
          </w:p>
        </w:tc>
        <w:tc>
          <w:tcPr>
            <w:tcW w:w="2268" w:type="dxa"/>
            <w:vAlign w:val="center"/>
          </w:tcPr>
          <w:p w14:paraId="421E0D9F">
            <w:pPr>
              <w:pStyle w:val="12"/>
            </w:pPr>
            <w:r>
              <w:t>数量指标</w:t>
            </w:r>
          </w:p>
        </w:tc>
        <w:tc>
          <w:tcPr>
            <w:tcW w:w="2835" w:type="dxa"/>
            <w:vAlign w:val="center"/>
          </w:tcPr>
          <w:p w14:paraId="61E08E29">
            <w:pPr>
              <w:pStyle w:val="12"/>
            </w:pPr>
            <w:r>
              <w:t>建设内容</w:t>
            </w:r>
          </w:p>
        </w:tc>
        <w:tc>
          <w:tcPr>
            <w:tcW w:w="5386" w:type="dxa"/>
            <w:vAlign w:val="center"/>
          </w:tcPr>
          <w:p w14:paraId="6DB899F2">
            <w:pPr>
              <w:pStyle w:val="12"/>
            </w:pPr>
            <w:r>
              <w:t>本项目总建筑面积98500㎡，其中：地上建筑面积93500㎡，地下建筑面积5000㎡。主要建设5层实训楼一栋，建筑面积6000㎡；5层教学楼三栋，建筑面积18000㎡；3层食堂一栋建筑面积6500㎡；6层科技图书楼一栋，面积13000㎡；2层体育馆一栋，建筑面积4200㎡；4层艺术中心一栋，建筑面积5000㎡；5层学生宿舍四栋，建筑面积25000㎡；5层教职工宿舍一栋，建筑面积4000㎡；以上建筑均采用框架结构，连廊及门卫等附属建筑建筑面积11800m2；地下车库和设备用房建筑面积5000㎡；机动车停车位190个，非机动车停车位2600个，院内硬化，植被以及室外配套管线（包括给水、排水、电力）等</w:t>
            </w:r>
          </w:p>
        </w:tc>
        <w:tc>
          <w:tcPr>
            <w:tcW w:w="2268" w:type="dxa"/>
            <w:vAlign w:val="center"/>
          </w:tcPr>
          <w:p w14:paraId="7ECEFB32">
            <w:pPr>
              <w:pStyle w:val="12"/>
            </w:pPr>
            <w:r>
              <w:t>≥98500㎡</w:t>
            </w:r>
          </w:p>
        </w:tc>
        <w:tc>
          <w:tcPr>
            <w:tcW w:w="1276" w:type="dxa"/>
            <w:vAlign w:val="center"/>
          </w:tcPr>
          <w:p w14:paraId="0ACBACDF">
            <w:pPr>
              <w:pStyle w:val="12"/>
            </w:pPr>
            <w:r>
              <w:t>可行性研究报告</w:t>
            </w:r>
          </w:p>
        </w:tc>
      </w:tr>
      <w:tr w14:paraId="26C0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8904D"/>
        </w:tc>
        <w:tc>
          <w:tcPr>
            <w:tcW w:w="2268" w:type="dxa"/>
            <w:vAlign w:val="center"/>
          </w:tcPr>
          <w:p w14:paraId="41A7E9DF">
            <w:pPr>
              <w:pStyle w:val="12"/>
            </w:pPr>
            <w:r>
              <w:t>质量指标</w:t>
            </w:r>
          </w:p>
        </w:tc>
        <w:tc>
          <w:tcPr>
            <w:tcW w:w="2835" w:type="dxa"/>
            <w:vAlign w:val="center"/>
          </w:tcPr>
          <w:p w14:paraId="493666B9">
            <w:pPr>
              <w:pStyle w:val="12"/>
            </w:pPr>
            <w:r>
              <w:t>工程实施验收合格率</w:t>
            </w:r>
          </w:p>
        </w:tc>
        <w:tc>
          <w:tcPr>
            <w:tcW w:w="5386" w:type="dxa"/>
            <w:vAlign w:val="center"/>
          </w:tcPr>
          <w:p w14:paraId="333BC72C">
            <w:pPr>
              <w:pStyle w:val="12"/>
            </w:pPr>
            <w:r>
              <w:t>申报程序的合规，项目实施及资金使用符合项目规划</w:t>
            </w:r>
          </w:p>
        </w:tc>
        <w:tc>
          <w:tcPr>
            <w:tcW w:w="2268" w:type="dxa"/>
            <w:vAlign w:val="center"/>
          </w:tcPr>
          <w:p w14:paraId="2846A575">
            <w:pPr>
              <w:pStyle w:val="12"/>
            </w:pPr>
            <w:r>
              <w:t>100%</w:t>
            </w:r>
          </w:p>
        </w:tc>
        <w:tc>
          <w:tcPr>
            <w:tcW w:w="1276" w:type="dxa"/>
            <w:vAlign w:val="center"/>
          </w:tcPr>
          <w:p w14:paraId="594117D1">
            <w:pPr>
              <w:pStyle w:val="12"/>
            </w:pPr>
            <w:r>
              <w:t>可行性研究报告</w:t>
            </w:r>
          </w:p>
        </w:tc>
      </w:tr>
      <w:tr w14:paraId="2F69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442AE"/>
        </w:tc>
        <w:tc>
          <w:tcPr>
            <w:tcW w:w="2268" w:type="dxa"/>
            <w:vAlign w:val="center"/>
          </w:tcPr>
          <w:p w14:paraId="16ABFF86">
            <w:pPr>
              <w:pStyle w:val="12"/>
            </w:pPr>
            <w:r>
              <w:t>时效指标</w:t>
            </w:r>
          </w:p>
        </w:tc>
        <w:tc>
          <w:tcPr>
            <w:tcW w:w="2835" w:type="dxa"/>
            <w:vAlign w:val="center"/>
          </w:tcPr>
          <w:p w14:paraId="616EFB3D">
            <w:pPr>
              <w:pStyle w:val="12"/>
            </w:pPr>
            <w:r>
              <w:t>资金支付率</w:t>
            </w:r>
          </w:p>
        </w:tc>
        <w:tc>
          <w:tcPr>
            <w:tcW w:w="5386" w:type="dxa"/>
            <w:vAlign w:val="center"/>
          </w:tcPr>
          <w:p w14:paraId="11902252">
            <w:pPr>
              <w:pStyle w:val="12"/>
            </w:pPr>
            <w:r>
              <w:t>按照序时进度完成资金支付</w:t>
            </w:r>
          </w:p>
        </w:tc>
        <w:tc>
          <w:tcPr>
            <w:tcW w:w="2268" w:type="dxa"/>
            <w:vAlign w:val="center"/>
          </w:tcPr>
          <w:p w14:paraId="705FA0F6">
            <w:pPr>
              <w:pStyle w:val="12"/>
            </w:pPr>
            <w:r>
              <w:t>100%</w:t>
            </w:r>
          </w:p>
        </w:tc>
        <w:tc>
          <w:tcPr>
            <w:tcW w:w="1276" w:type="dxa"/>
            <w:vAlign w:val="center"/>
          </w:tcPr>
          <w:p w14:paraId="370F347E">
            <w:pPr>
              <w:pStyle w:val="12"/>
            </w:pPr>
            <w:r>
              <w:t>可行性研究报告</w:t>
            </w:r>
          </w:p>
        </w:tc>
      </w:tr>
      <w:tr w14:paraId="1546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6944"/>
        </w:tc>
        <w:tc>
          <w:tcPr>
            <w:tcW w:w="2268" w:type="dxa"/>
            <w:vAlign w:val="center"/>
          </w:tcPr>
          <w:p w14:paraId="67285BC2">
            <w:pPr>
              <w:pStyle w:val="12"/>
            </w:pPr>
            <w:r>
              <w:t>成本指标</w:t>
            </w:r>
          </w:p>
        </w:tc>
        <w:tc>
          <w:tcPr>
            <w:tcW w:w="2835" w:type="dxa"/>
            <w:vAlign w:val="center"/>
          </w:tcPr>
          <w:p w14:paraId="230B8E37">
            <w:pPr>
              <w:pStyle w:val="12"/>
            </w:pPr>
            <w:r>
              <w:t>项目成本控制情况</w:t>
            </w:r>
          </w:p>
        </w:tc>
        <w:tc>
          <w:tcPr>
            <w:tcW w:w="5386" w:type="dxa"/>
            <w:vAlign w:val="center"/>
          </w:tcPr>
          <w:p w14:paraId="086AF756">
            <w:pPr>
              <w:pStyle w:val="12"/>
            </w:pPr>
            <w:r>
              <w:t>严格按照招标价格及审计额进行</w:t>
            </w:r>
          </w:p>
        </w:tc>
        <w:tc>
          <w:tcPr>
            <w:tcW w:w="2268" w:type="dxa"/>
            <w:vAlign w:val="center"/>
          </w:tcPr>
          <w:p w14:paraId="7B2B6F59">
            <w:pPr>
              <w:pStyle w:val="12"/>
            </w:pPr>
            <w:r>
              <w:t>≤29000 万元</w:t>
            </w:r>
          </w:p>
        </w:tc>
        <w:tc>
          <w:tcPr>
            <w:tcW w:w="1276" w:type="dxa"/>
            <w:vAlign w:val="center"/>
          </w:tcPr>
          <w:p w14:paraId="3D98659D">
            <w:pPr>
              <w:pStyle w:val="12"/>
            </w:pPr>
            <w:r>
              <w:t>可行性研究报告</w:t>
            </w:r>
          </w:p>
        </w:tc>
      </w:tr>
      <w:tr w14:paraId="619E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7D17D">
            <w:pPr>
              <w:pStyle w:val="13"/>
            </w:pPr>
            <w:r>
              <w:t>效益指标</w:t>
            </w:r>
          </w:p>
        </w:tc>
        <w:tc>
          <w:tcPr>
            <w:tcW w:w="2268" w:type="dxa"/>
            <w:vAlign w:val="center"/>
          </w:tcPr>
          <w:p w14:paraId="65B41196">
            <w:pPr>
              <w:pStyle w:val="12"/>
            </w:pPr>
            <w:r>
              <w:t>经济效益指标</w:t>
            </w:r>
          </w:p>
        </w:tc>
        <w:tc>
          <w:tcPr>
            <w:tcW w:w="2835" w:type="dxa"/>
            <w:vAlign w:val="center"/>
          </w:tcPr>
          <w:p w14:paraId="12CBDADA">
            <w:pPr>
              <w:pStyle w:val="12"/>
            </w:pPr>
            <w:r>
              <w:t>每年预计产生的项目收益</w:t>
            </w:r>
          </w:p>
        </w:tc>
        <w:tc>
          <w:tcPr>
            <w:tcW w:w="5386" w:type="dxa"/>
            <w:vAlign w:val="center"/>
          </w:tcPr>
          <w:p w14:paraId="7BAAD2CC">
            <w:pPr>
              <w:pStyle w:val="12"/>
            </w:pPr>
            <w:r>
              <w:t xml:space="preserve"> 年收入</w:t>
            </w:r>
          </w:p>
        </w:tc>
        <w:tc>
          <w:tcPr>
            <w:tcW w:w="2268" w:type="dxa"/>
            <w:vAlign w:val="center"/>
          </w:tcPr>
          <w:p w14:paraId="176714BC">
            <w:pPr>
              <w:pStyle w:val="12"/>
            </w:pPr>
            <w:r>
              <w:t>≥6408.91 万元</w:t>
            </w:r>
          </w:p>
        </w:tc>
        <w:tc>
          <w:tcPr>
            <w:tcW w:w="1276" w:type="dxa"/>
            <w:vAlign w:val="center"/>
          </w:tcPr>
          <w:p w14:paraId="21BA8855">
            <w:pPr>
              <w:pStyle w:val="12"/>
            </w:pPr>
            <w:r>
              <w:t>可行性研究报告</w:t>
            </w:r>
          </w:p>
        </w:tc>
      </w:tr>
      <w:tr w14:paraId="658A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E4745"/>
        </w:tc>
        <w:tc>
          <w:tcPr>
            <w:tcW w:w="2268" w:type="dxa"/>
            <w:vAlign w:val="center"/>
          </w:tcPr>
          <w:p w14:paraId="7E824D9C">
            <w:pPr>
              <w:pStyle w:val="12"/>
            </w:pPr>
            <w:r>
              <w:t>社会效益指标</w:t>
            </w:r>
          </w:p>
        </w:tc>
        <w:tc>
          <w:tcPr>
            <w:tcW w:w="2835" w:type="dxa"/>
            <w:vAlign w:val="center"/>
          </w:tcPr>
          <w:p w14:paraId="70E7B521">
            <w:pPr>
              <w:pStyle w:val="12"/>
            </w:pPr>
            <w:r>
              <w:t>学校办学能力提升</w:t>
            </w:r>
          </w:p>
        </w:tc>
        <w:tc>
          <w:tcPr>
            <w:tcW w:w="5386" w:type="dxa"/>
            <w:vAlign w:val="center"/>
          </w:tcPr>
          <w:p w14:paraId="527501C6">
            <w:pPr>
              <w:pStyle w:val="12"/>
            </w:pPr>
            <w:r>
              <w:t>学校办学能</w:t>
            </w:r>
            <w:r>
              <w:rPr>
                <w:rFonts w:hint="eastAsia"/>
                <w:lang w:eastAsia="zh-CN"/>
              </w:rPr>
              <w:t>力提</w:t>
            </w:r>
            <w:r>
              <w:t>升情况及教育教学工作等开展的情况</w:t>
            </w:r>
          </w:p>
        </w:tc>
        <w:tc>
          <w:tcPr>
            <w:tcW w:w="2268" w:type="dxa"/>
            <w:vAlign w:val="center"/>
          </w:tcPr>
          <w:p w14:paraId="496E3954">
            <w:pPr>
              <w:pStyle w:val="12"/>
            </w:pPr>
            <w:r>
              <w:t>≥85 %</w:t>
            </w:r>
          </w:p>
        </w:tc>
        <w:tc>
          <w:tcPr>
            <w:tcW w:w="1276" w:type="dxa"/>
            <w:vAlign w:val="center"/>
          </w:tcPr>
          <w:p w14:paraId="15DE1EA3">
            <w:pPr>
              <w:pStyle w:val="12"/>
            </w:pPr>
            <w:r>
              <w:t>可行性研究报告</w:t>
            </w:r>
          </w:p>
        </w:tc>
      </w:tr>
      <w:tr w14:paraId="23BC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6DA6F"/>
        </w:tc>
        <w:tc>
          <w:tcPr>
            <w:tcW w:w="2268" w:type="dxa"/>
            <w:vAlign w:val="center"/>
          </w:tcPr>
          <w:p w14:paraId="07CBBC53">
            <w:pPr>
              <w:pStyle w:val="12"/>
            </w:pPr>
            <w:r>
              <w:t>生态效益指标</w:t>
            </w:r>
          </w:p>
        </w:tc>
        <w:tc>
          <w:tcPr>
            <w:tcW w:w="2835" w:type="dxa"/>
            <w:vAlign w:val="center"/>
          </w:tcPr>
          <w:p w14:paraId="2E54E46F">
            <w:pPr>
              <w:pStyle w:val="12"/>
            </w:pPr>
            <w:r>
              <w:t>教育发展水平</w:t>
            </w:r>
          </w:p>
        </w:tc>
        <w:tc>
          <w:tcPr>
            <w:tcW w:w="5386" w:type="dxa"/>
            <w:vAlign w:val="center"/>
          </w:tcPr>
          <w:p w14:paraId="78746D0D">
            <w:pPr>
              <w:pStyle w:val="12"/>
            </w:pPr>
            <w:r>
              <w:t>辖区内教育环境明显好转</w:t>
            </w:r>
          </w:p>
        </w:tc>
        <w:tc>
          <w:tcPr>
            <w:tcW w:w="2268" w:type="dxa"/>
            <w:vAlign w:val="center"/>
          </w:tcPr>
          <w:p w14:paraId="25E69FF9">
            <w:pPr>
              <w:pStyle w:val="12"/>
            </w:pPr>
            <w:r>
              <w:t>≥85 %</w:t>
            </w:r>
          </w:p>
        </w:tc>
        <w:tc>
          <w:tcPr>
            <w:tcW w:w="1276" w:type="dxa"/>
            <w:vAlign w:val="center"/>
          </w:tcPr>
          <w:p w14:paraId="721A5403">
            <w:pPr>
              <w:pStyle w:val="12"/>
            </w:pPr>
            <w:r>
              <w:t>可行性研究报告</w:t>
            </w:r>
          </w:p>
        </w:tc>
      </w:tr>
      <w:tr w14:paraId="2A58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1C4AE"/>
        </w:tc>
        <w:tc>
          <w:tcPr>
            <w:tcW w:w="2268" w:type="dxa"/>
            <w:vAlign w:val="center"/>
          </w:tcPr>
          <w:p w14:paraId="25D3E407">
            <w:pPr>
              <w:pStyle w:val="12"/>
            </w:pPr>
            <w:r>
              <w:t>可持续影响指标</w:t>
            </w:r>
          </w:p>
        </w:tc>
        <w:tc>
          <w:tcPr>
            <w:tcW w:w="2835" w:type="dxa"/>
            <w:vAlign w:val="center"/>
          </w:tcPr>
          <w:p w14:paraId="31242B24">
            <w:pPr>
              <w:pStyle w:val="12"/>
            </w:pPr>
            <w:r>
              <w:t>项目持续发挥作用的期限</w:t>
            </w:r>
          </w:p>
        </w:tc>
        <w:tc>
          <w:tcPr>
            <w:tcW w:w="5386" w:type="dxa"/>
            <w:vAlign w:val="center"/>
          </w:tcPr>
          <w:p w14:paraId="7E158FA1">
            <w:pPr>
              <w:pStyle w:val="12"/>
            </w:pPr>
            <w:r>
              <w:t>大于15年</w:t>
            </w:r>
          </w:p>
        </w:tc>
        <w:tc>
          <w:tcPr>
            <w:tcW w:w="2268" w:type="dxa"/>
            <w:vAlign w:val="center"/>
          </w:tcPr>
          <w:p w14:paraId="4073F373">
            <w:pPr>
              <w:pStyle w:val="12"/>
            </w:pPr>
            <w:r>
              <w:t>≥15 年</w:t>
            </w:r>
          </w:p>
        </w:tc>
        <w:tc>
          <w:tcPr>
            <w:tcW w:w="1276" w:type="dxa"/>
            <w:vAlign w:val="center"/>
          </w:tcPr>
          <w:p w14:paraId="5DEB4BA6">
            <w:pPr>
              <w:pStyle w:val="12"/>
            </w:pPr>
            <w:r>
              <w:t>可行性研究报告</w:t>
            </w:r>
          </w:p>
        </w:tc>
      </w:tr>
      <w:tr w14:paraId="1C57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97557">
            <w:pPr>
              <w:pStyle w:val="13"/>
            </w:pPr>
            <w:r>
              <w:t>满意度指标</w:t>
            </w:r>
          </w:p>
        </w:tc>
        <w:tc>
          <w:tcPr>
            <w:tcW w:w="2268" w:type="dxa"/>
            <w:vAlign w:val="center"/>
          </w:tcPr>
          <w:p w14:paraId="396745B0">
            <w:pPr>
              <w:pStyle w:val="12"/>
            </w:pPr>
            <w:r>
              <w:t>服务对象满意度指标</w:t>
            </w:r>
          </w:p>
        </w:tc>
        <w:tc>
          <w:tcPr>
            <w:tcW w:w="2835" w:type="dxa"/>
            <w:vAlign w:val="center"/>
          </w:tcPr>
          <w:p w14:paraId="77D5811D">
            <w:pPr>
              <w:pStyle w:val="12"/>
            </w:pPr>
            <w:r>
              <w:t>学生、教师及家长对学校教学环境满意度情况</w:t>
            </w:r>
          </w:p>
        </w:tc>
        <w:tc>
          <w:tcPr>
            <w:tcW w:w="5386" w:type="dxa"/>
            <w:vAlign w:val="center"/>
          </w:tcPr>
          <w:p w14:paraId="11E217B6">
            <w:pPr>
              <w:pStyle w:val="12"/>
            </w:pPr>
            <w:r>
              <w:t>学生、教师及家长对学校教学环境满意度情况</w:t>
            </w:r>
          </w:p>
        </w:tc>
        <w:tc>
          <w:tcPr>
            <w:tcW w:w="2268" w:type="dxa"/>
            <w:vAlign w:val="center"/>
          </w:tcPr>
          <w:p w14:paraId="0CA7DEB9">
            <w:pPr>
              <w:pStyle w:val="12"/>
            </w:pPr>
            <w:r>
              <w:t>≥95%</w:t>
            </w:r>
          </w:p>
        </w:tc>
        <w:tc>
          <w:tcPr>
            <w:tcW w:w="1276" w:type="dxa"/>
            <w:vAlign w:val="center"/>
          </w:tcPr>
          <w:p w14:paraId="4D8E56F3">
            <w:pPr>
              <w:pStyle w:val="12"/>
            </w:pPr>
            <w:r>
              <w:t>调查问卷</w:t>
            </w:r>
          </w:p>
        </w:tc>
      </w:tr>
    </w:tbl>
    <w:p w14:paraId="30F1ADD2">
      <w:pPr>
        <w:sectPr>
          <w:pgSz w:w="16840" w:h="11900" w:orient="landscape"/>
          <w:pgMar w:top="1361" w:right="1020" w:bottom="1134" w:left="1020" w:header="720" w:footer="720" w:gutter="0"/>
          <w:cols w:space="720" w:num="1"/>
        </w:sectPr>
      </w:pPr>
    </w:p>
    <w:p w14:paraId="5E88281A">
      <w:pPr>
        <w:spacing w:before="0" w:after="0"/>
        <w:ind w:firstLine="560"/>
        <w:jc w:val="left"/>
        <w:outlineLvl w:val="9"/>
      </w:pPr>
      <w:r>
        <w:rPr>
          <w:rFonts w:ascii="方正仿宋_GBK" w:hAnsi="方正仿宋_GBK" w:eastAsia="方正仿宋_GBK" w:cs="方正仿宋_GBK"/>
          <w:b/>
          <w:color w:val="000000"/>
          <w:sz w:val="28"/>
        </w:rPr>
        <w:t>27、人事代理/幼儿园招聘教师工资绩效目标表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8C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0A90A">
            <w:pPr>
              <w:pStyle w:val="11"/>
            </w:pPr>
            <w:r>
              <w:t>单位：万元</w:t>
            </w:r>
          </w:p>
        </w:tc>
      </w:tr>
      <w:tr w14:paraId="31BC2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E1738">
            <w:pPr>
              <w:pStyle w:val="10"/>
            </w:pPr>
            <w:r>
              <w:t>项目编码</w:t>
            </w:r>
          </w:p>
        </w:tc>
        <w:tc>
          <w:tcPr>
            <w:tcW w:w="5103" w:type="dxa"/>
            <w:gridSpan w:val="2"/>
            <w:vAlign w:val="center"/>
          </w:tcPr>
          <w:p w14:paraId="7D3AEB58">
            <w:pPr>
              <w:pStyle w:val="12"/>
            </w:pPr>
            <w:r>
              <w:t>13052526P000018100010</w:t>
            </w:r>
          </w:p>
        </w:tc>
        <w:tc>
          <w:tcPr>
            <w:tcW w:w="2835" w:type="dxa"/>
            <w:vAlign w:val="center"/>
          </w:tcPr>
          <w:p w14:paraId="5FBD9B13">
            <w:pPr>
              <w:pStyle w:val="10"/>
            </w:pPr>
            <w:r>
              <w:t>项目名称</w:t>
            </w:r>
          </w:p>
        </w:tc>
        <w:tc>
          <w:tcPr>
            <w:tcW w:w="6095" w:type="dxa"/>
            <w:gridSpan w:val="3"/>
            <w:vAlign w:val="center"/>
          </w:tcPr>
          <w:p w14:paraId="40D81D9B">
            <w:pPr>
              <w:pStyle w:val="12"/>
            </w:pPr>
            <w:r>
              <w:t>人事代理/幼儿园招聘教师工资</w:t>
            </w:r>
          </w:p>
        </w:tc>
      </w:tr>
      <w:tr w14:paraId="05A17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A3716">
            <w:pPr>
              <w:pStyle w:val="10"/>
            </w:pPr>
            <w:r>
              <w:t>预算规模及资金用途</w:t>
            </w:r>
          </w:p>
        </w:tc>
        <w:tc>
          <w:tcPr>
            <w:tcW w:w="2268" w:type="dxa"/>
            <w:vAlign w:val="center"/>
          </w:tcPr>
          <w:p w14:paraId="691F2685">
            <w:pPr>
              <w:pStyle w:val="10"/>
            </w:pPr>
            <w:r>
              <w:t>预算数</w:t>
            </w:r>
          </w:p>
        </w:tc>
        <w:tc>
          <w:tcPr>
            <w:tcW w:w="2835" w:type="dxa"/>
            <w:vAlign w:val="center"/>
          </w:tcPr>
          <w:p w14:paraId="34970C73">
            <w:pPr>
              <w:pStyle w:val="12"/>
            </w:pPr>
            <w:r>
              <w:t>1467.51</w:t>
            </w:r>
          </w:p>
        </w:tc>
        <w:tc>
          <w:tcPr>
            <w:tcW w:w="2835" w:type="dxa"/>
            <w:vAlign w:val="center"/>
          </w:tcPr>
          <w:p w14:paraId="6E56524A">
            <w:pPr>
              <w:pStyle w:val="10"/>
            </w:pPr>
            <w:r>
              <w:t>其中：财政    资金</w:t>
            </w:r>
          </w:p>
        </w:tc>
        <w:tc>
          <w:tcPr>
            <w:tcW w:w="2551" w:type="dxa"/>
            <w:vAlign w:val="center"/>
          </w:tcPr>
          <w:p w14:paraId="47434969">
            <w:pPr>
              <w:pStyle w:val="12"/>
            </w:pPr>
            <w:r>
              <w:t>1467.51</w:t>
            </w:r>
          </w:p>
        </w:tc>
        <w:tc>
          <w:tcPr>
            <w:tcW w:w="2268" w:type="dxa"/>
            <w:vAlign w:val="center"/>
          </w:tcPr>
          <w:p w14:paraId="09020829">
            <w:pPr>
              <w:pStyle w:val="10"/>
            </w:pPr>
            <w:r>
              <w:t>其他资金</w:t>
            </w:r>
          </w:p>
        </w:tc>
        <w:tc>
          <w:tcPr>
            <w:tcW w:w="1276" w:type="dxa"/>
            <w:vAlign w:val="center"/>
          </w:tcPr>
          <w:p w14:paraId="283EBB96">
            <w:pPr>
              <w:pStyle w:val="12"/>
            </w:pPr>
            <w:r>
              <w:t xml:space="preserve"> </w:t>
            </w:r>
          </w:p>
        </w:tc>
      </w:tr>
      <w:tr w14:paraId="54B0B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D0B94"/>
        </w:tc>
        <w:tc>
          <w:tcPr>
            <w:tcW w:w="14033" w:type="dxa"/>
            <w:gridSpan w:val="6"/>
            <w:vAlign w:val="center"/>
          </w:tcPr>
          <w:p w14:paraId="40F5C021">
            <w:pPr>
              <w:pStyle w:val="12"/>
            </w:pPr>
            <w:r>
              <w:t>按规定拨付教师工资，资金拨付率达到100%</w:t>
            </w:r>
            <w:r>
              <w:tab/>
            </w:r>
            <w:r>
              <w:tab/>
            </w:r>
            <w:r>
              <w:tab/>
            </w:r>
            <w:r>
              <w:tab/>
            </w:r>
            <w:r>
              <w:tab/>
            </w:r>
            <w:r>
              <w:tab/>
            </w:r>
          </w:p>
          <w:p w14:paraId="4B018B08">
            <w:pPr>
              <w:pStyle w:val="12"/>
            </w:pPr>
          </w:p>
        </w:tc>
      </w:tr>
      <w:tr w14:paraId="13328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14FC4">
            <w:pPr>
              <w:pStyle w:val="10"/>
            </w:pPr>
            <w:r>
              <w:t>资金支出计划（%）</w:t>
            </w:r>
          </w:p>
        </w:tc>
        <w:tc>
          <w:tcPr>
            <w:tcW w:w="5103" w:type="dxa"/>
            <w:gridSpan w:val="2"/>
            <w:vAlign w:val="center"/>
          </w:tcPr>
          <w:p w14:paraId="572F44DF">
            <w:pPr>
              <w:pStyle w:val="10"/>
            </w:pPr>
            <w:r>
              <w:t>3月底</w:t>
            </w:r>
          </w:p>
        </w:tc>
        <w:tc>
          <w:tcPr>
            <w:tcW w:w="2835" w:type="dxa"/>
            <w:vAlign w:val="center"/>
          </w:tcPr>
          <w:p w14:paraId="7C59A477">
            <w:pPr>
              <w:pStyle w:val="10"/>
            </w:pPr>
            <w:r>
              <w:t>6月底</w:t>
            </w:r>
          </w:p>
        </w:tc>
        <w:tc>
          <w:tcPr>
            <w:tcW w:w="2551" w:type="dxa"/>
            <w:vAlign w:val="center"/>
          </w:tcPr>
          <w:p w14:paraId="6D94ADD1">
            <w:pPr>
              <w:pStyle w:val="10"/>
            </w:pPr>
            <w:r>
              <w:t>10月底</w:t>
            </w:r>
          </w:p>
        </w:tc>
        <w:tc>
          <w:tcPr>
            <w:tcW w:w="3544" w:type="dxa"/>
            <w:gridSpan w:val="2"/>
            <w:vAlign w:val="center"/>
          </w:tcPr>
          <w:p w14:paraId="27FAC269">
            <w:pPr>
              <w:pStyle w:val="10"/>
            </w:pPr>
            <w:r>
              <w:t>12月底</w:t>
            </w:r>
          </w:p>
        </w:tc>
      </w:tr>
      <w:tr w14:paraId="58E05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E09F3"/>
        </w:tc>
        <w:tc>
          <w:tcPr>
            <w:tcW w:w="5103" w:type="dxa"/>
            <w:gridSpan w:val="2"/>
            <w:vAlign w:val="center"/>
          </w:tcPr>
          <w:p w14:paraId="6B94C1D7">
            <w:pPr>
              <w:pStyle w:val="13"/>
            </w:pPr>
            <w:r>
              <w:t>25%</w:t>
            </w:r>
          </w:p>
        </w:tc>
        <w:tc>
          <w:tcPr>
            <w:tcW w:w="2835" w:type="dxa"/>
            <w:vAlign w:val="center"/>
          </w:tcPr>
          <w:p w14:paraId="3ADF00D9">
            <w:pPr>
              <w:pStyle w:val="13"/>
            </w:pPr>
            <w:r>
              <w:t>50%</w:t>
            </w:r>
          </w:p>
        </w:tc>
        <w:tc>
          <w:tcPr>
            <w:tcW w:w="2551" w:type="dxa"/>
            <w:vAlign w:val="center"/>
          </w:tcPr>
          <w:p w14:paraId="7332C637">
            <w:pPr>
              <w:pStyle w:val="13"/>
            </w:pPr>
            <w:r>
              <w:t>70%</w:t>
            </w:r>
          </w:p>
        </w:tc>
        <w:tc>
          <w:tcPr>
            <w:tcW w:w="3544" w:type="dxa"/>
            <w:gridSpan w:val="2"/>
            <w:vAlign w:val="center"/>
          </w:tcPr>
          <w:p w14:paraId="447F5337">
            <w:pPr>
              <w:pStyle w:val="13"/>
            </w:pPr>
            <w:r>
              <w:t>100%</w:t>
            </w:r>
          </w:p>
        </w:tc>
      </w:tr>
      <w:tr w14:paraId="7F297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70D2E">
            <w:pPr>
              <w:pStyle w:val="10"/>
            </w:pPr>
            <w:r>
              <w:t>绩效目标</w:t>
            </w:r>
          </w:p>
        </w:tc>
        <w:tc>
          <w:tcPr>
            <w:tcW w:w="14033" w:type="dxa"/>
            <w:gridSpan w:val="6"/>
            <w:vAlign w:val="center"/>
          </w:tcPr>
          <w:p w14:paraId="7F17B38F">
            <w:pPr>
              <w:pStyle w:val="12"/>
            </w:pPr>
            <w:r>
              <w:t>1.按规定拨付教师工资，资金拨付率达到100%</w:t>
            </w:r>
          </w:p>
        </w:tc>
      </w:tr>
    </w:tbl>
    <w:p w14:paraId="50D691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6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39AC34A">
            <w:pPr>
              <w:pStyle w:val="10"/>
            </w:pPr>
            <w:r>
              <w:t>一级指标</w:t>
            </w:r>
          </w:p>
        </w:tc>
        <w:tc>
          <w:tcPr>
            <w:tcW w:w="2268" w:type="dxa"/>
            <w:vAlign w:val="center"/>
          </w:tcPr>
          <w:p w14:paraId="54CD253A">
            <w:pPr>
              <w:pStyle w:val="10"/>
            </w:pPr>
            <w:r>
              <w:t>二级指标</w:t>
            </w:r>
          </w:p>
        </w:tc>
        <w:tc>
          <w:tcPr>
            <w:tcW w:w="2835" w:type="dxa"/>
            <w:vAlign w:val="center"/>
          </w:tcPr>
          <w:p w14:paraId="144EC3E8">
            <w:pPr>
              <w:pStyle w:val="10"/>
            </w:pPr>
            <w:r>
              <w:t>三级指标</w:t>
            </w:r>
          </w:p>
        </w:tc>
        <w:tc>
          <w:tcPr>
            <w:tcW w:w="5386" w:type="dxa"/>
            <w:vAlign w:val="center"/>
          </w:tcPr>
          <w:p w14:paraId="696116A6">
            <w:pPr>
              <w:pStyle w:val="10"/>
            </w:pPr>
            <w:r>
              <w:t>绩效指标描述</w:t>
            </w:r>
          </w:p>
        </w:tc>
        <w:tc>
          <w:tcPr>
            <w:tcW w:w="2268" w:type="dxa"/>
            <w:vAlign w:val="center"/>
          </w:tcPr>
          <w:p w14:paraId="43C8B2B6">
            <w:pPr>
              <w:pStyle w:val="10"/>
            </w:pPr>
            <w:r>
              <w:t>指标值</w:t>
            </w:r>
          </w:p>
        </w:tc>
        <w:tc>
          <w:tcPr>
            <w:tcW w:w="1276" w:type="dxa"/>
            <w:vAlign w:val="center"/>
          </w:tcPr>
          <w:p w14:paraId="08F59E68">
            <w:pPr>
              <w:pStyle w:val="10"/>
            </w:pPr>
            <w:r>
              <w:t>指标值确定依据</w:t>
            </w:r>
          </w:p>
        </w:tc>
      </w:tr>
      <w:tr w14:paraId="4604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99BA1">
            <w:pPr>
              <w:pStyle w:val="13"/>
            </w:pPr>
            <w:r>
              <w:t>产出指标</w:t>
            </w:r>
          </w:p>
        </w:tc>
        <w:tc>
          <w:tcPr>
            <w:tcW w:w="2268" w:type="dxa"/>
            <w:vAlign w:val="center"/>
          </w:tcPr>
          <w:p w14:paraId="7C12DD3C">
            <w:pPr>
              <w:pStyle w:val="12"/>
            </w:pPr>
            <w:r>
              <w:t>数量指标</w:t>
            </w:r>
          </w:p>
        </w:tc>
        <w:tc>
          <w:tcPr>
            <w:tcW w:w="2835" w:type="dxa"/>
            <w:vAlign w:val="center"/>
          </w:tcPr>
          <w:p w14:paraId="76B4F948">
            <w:pPr>
              <w:pStyle w:val="12"/>
            </w:pPr>
            <w:r>
              <w:t xml:space="preserve"> 招聘幼儿园人事代理教师</w:t>
            </w:r>
          </w:p>
        </w:tc>
        <w:tc>
          <w:tcPr>
            <w:tcW w:w="5386" w:type="dxa"/>
            <w:vAlign w:val="center"/>
          </w:tcPr>
          <w:p w14:paraId="412C42E0">
            <w:pPr>
              <w:pStyle w:val="12"/>
            </w:pPr>
            <w:r>
              <w:t xml:space="preserve"> 2023年招聘幼儿园人事代理教师 </w:t>
            </w:r>
          </w:p>
        </w:tc>
        <w:tc>
          <w:tcPr>
            <w:tcW w:w="2268" w:type="dxa"/>
            <w:vAlign w:val="center"/>
          </w:tcPr>
          <w:p w14:paraId="038A30EF">
            <w:pPr>
              <w:pStyle w:val="12"/>
            </w:pPr>
            <w:r>
              <w:t>185人</w:t>
            </w:r>
          </w:p>
        </w:tc>
        <w:tc>
          <w:tcPr>
            <w:tcW w:w="1276" w:type="dxa"/>
            <w:vAlign w:val="center"/>
          </w:tcPr>
          <w:p w14:paraId="2FA511EF">
            <w:pPr>
              <w:pStyle w:val="12"/>
            </w:pPr>
            <w:r>
              <w:t>政府批复</w:t>
            </w:r>
          </w:p>
        </w:tc>
      </w:tr>
      <w:tr w14:paraId="2347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30064"/>
        </w:tc>
        <w:tc>
          <w:tcPr>
            <w:tcW w:w="2268" w:type="dxa"/>
            <w:vAlign w:val="center"/>
          </w:tcPr>
          <w:p w14:paraId="6EC75CB4">
            <w:pPr>
              <w:pStyle w:val="12"/>
            </w:pPr>
            <w:r>
              <w:t>质量指标</w:t>
            </w:r>
          </w:p>
        </w:tc>
        <w:tc>
          <w:tcPr>
            <w:tcW w:w="2835" w:type="dxa"/>
            <w:vAlign w:val="center"/>
          </w:tcPr>
          <w:p w14:paraId="487C0F6C">
            <w:pPr>
              <w:pStyle w:val="12"/>
            </w:pPr>
            <w:r>
              <w:t xml:space="preserve"> 提高入园率</w:t>
            </w:r>
          </w:p>
        </w:tc>
        <w:tc>
          <w:tcPr>
            <w:tcW w:w="5386" w:type="dxa"/>
            <w:vAlign w:val="center"/>
          </w:tcPr>
          <w:p w14:paraId="19A12DD6">
            <w:pPr>
              <w:pStyle w:val="12"/>
            </w:pPr>
            <w:r>
              <w:t>提高了学前入园率，增加幼儿教师人数</w:t>
            </w:r>
          </w:p>
        </w:tc>
        <w:tc>
          <w:tcPr>
            <w:tcW w:w="2268" w:type="dxa"/>
            <w:vAlign w:val="center"/>
          </w:tcPr>
          <w:p w14:paraId="347A6BC5">
            <w:pPr>
              <w:pStyle w:val="12"/>
            </w:pPr>
            <w:r>
              <w:t>≥95%</w:t>
            </w:r>
          </w:p>
        </w:tc>
        <w:tc>
          <w:tcPr>
            <w:tcW w:w="1276" w:type="dxa"/>
            <w:vAlign w:val="center"/>
          </w:tcPr>
          <w:p w14:paraId="764B4701">
            <w:pPr>
              <w:pStyle w:val="12"/>
            </w:pPr>
            <w:r>
              <w:t>政府批复</w:t>
            </w:r>
          </w:p>
        </w:tc>
      </w:tr>
      <w:tr w14:paraId="632E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1BF8"/>
        </w:tc>
        <w:tc>
          <w:tcPr>
            <w:tcW w:w="2268" w:type="dxa"/>
            <w:vAlign w:val="center"/>
          </w:tcPr>
          <w:p w14:paraId="07D230D2">
            <w:pPr>
              <w:pStyle w:val="12"/>
            </w:pPr>
            <w:r>
              <w:t>时效指标</w:t>
            </w:r>
          </w:p>
        </w:tc>
        <w:tc>
          <w:tcPr>
            <w:tcW w:w="2835" w:type="dxa"/>
            <w:vAlign w:val="center"/>
          </w:tcPr>
          <w:p w14:paraId="26F51AE0">
            <w:pPr>
              <w:pStyle w:val="12"/>
            </w:pPr>
            <w:r>
              <w:t xml:space="preserve"> 按时完成新招聘幼儿教师工资支付</w:t>
            </w:r>
          </w:p>
        </w:tc>
        <w:tc>
          <w:tcPr>
            <w:tcW w:w="5386" w:type="dxa"/>
            <w:vAlign w:val="center"/>
          </w:tcPr>
          <w:p w14:paraId="248C7645">
            <w:pPr>
              <w:pStyle w:val="12"/>
            </w:pPr>
            <w:r>
              <w:t>按照预算批复，序时完成工资发放</w:t>
            </w:r>
          </w:p>
        </w:tc>
        <w:tc>
          <w:tcPr>
            <w:tcW w:w="2268" w:type="dxa"/>
            <w:vAlign w:val="center"/>
          </w:tcPr>
          <w:p w14:paraId="58284288">
            <w:pPr>
              <w:pStyle w:val="12"/>
            </w:pPr>
            <w:r>
              <w:t>≥99%</w:t>
            </w:r>
          </w:p>
        </w:tc>
        <w:tc>
          <w:tcPr>
            <w:tcW w:w="1276" w:type="dxa"/>
            <w:vAlign w:val="center"/>
          </w:tcPr>
          <w:p w14:paraId="316478F9">
            <w:pPr>
              <w:pStyle w:val="12"/>
            </w:pPr>
            <w:r>
              <w:t>政府批复</w:t>
            </w:r>
          </w:p>
        </w:tc>
      </w:tr>
      <w:tr w14:paraId="30FE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79C90"/>
        </w:tc>
        <w:tc>
          <w:tcPr>
            <w:tcW w:w="2268" w:type="dxa"/>
            <w:vAlign w:val="center"/>
          </w:tcPr>
          <w:p w14:paraId="1E16AC36">
            <w:pPr>
              <w:pStyle w:val="12"/>
            </w:pPr>
            <w:r>
              <w:t>成本指标</w:t>
            </w:r>
          </w:p>
        </w:tc>
        <w:tc>
          <w:tcPr>
            <w:tcW w:w="2835" w:type="dxa"/>
            <w:vAlign w:val="center"/>
          </w:tcPr>
          <w:p w14:paraId="6D2669C8">
            <w:pPr>
              <w:pStyle w:val="12"/>
            </w:pPr>
            <w:r>
              <w:t xml:space="preserve"> 幼儿园教师</w:t>
            </w:r>
          </w:p>
        </w:tc>
        <w:tc>
          <w:tcPr>
            <w:tcW w:w="5386" w:type="dxa"/>
            <w:vAlign w:val="center"/>
          </w:tcPr>
          <w:p w14:paraId="1FAE9A8A">
            <w:pPr>
              <w:pStyle w:val="12"/>
            </w:pPr>
            <w:r>
              <w:t xml:space="preserve"> 新招聘幼儿园人事代理教师</w:t>
            </w:r>
          </w:p>
        </w:tc>
        <w:tc>
          <w:tcPr>
            <w:tcW w:w="2268" w:type="dxa"/>
            <w:vAlign w:val="center"/>
          </w:tcPr>
          <w:p w14:paraId="3161E95D">
            <w:pPr>
              <w:pStyle w:val="12"/>
            </w:pPr>
            <w:r>
              <w:t>≤14675065.2元</w:t>
            </w:r>
          </w:p>
        </w:tc>
        <w:tc>
          <w:tcPr>
            <w:tcW w:w="1276" w:type="dxa"/>
            <w:vAlign w:val="center"/>
          </w:tcPr>
          <w:p w14:paraId="055E47D1">
            <w:pPr>
              <w:pStyle w:val="12"/>
            </w:pPr>
            <w:r>
              <w:t>政府批复</w:t>
            </w:r>
          </w:p>
        </w:tc>
      </w:tr>
      <w:tr w14:paraId="7D69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89E38">
            <w:pPr>
              <w:pStyle w:val="13"/>
            </w:pPr>
            <w:r>
              <w:t>效益指标</w:t>
            </w:r>
          </w:p>
        </w:tc>
        <w:tc>
          <w:tcPr>
            <w:tcW w:w="2268" w:type="dxa"/>
            <w:vAlign w:val="center"/>
          </w:tcPr>
          <w:p w14:paraId="14F47385">
            <w:pPr>
              <w:pStyle w:val="12"/>
            </w:pPr>
            <w:r>
              <w:t>可持续影响指标</w:t>
            </w:r>
          </w:p>
        </w:tc>
        <w:tc>
          <w:tcPr>
            <w:tcW w:w="2835" w:type="dxa"/>
            <w:vAlign w:val="center"/>
          </w:tcPr>
          <w:p w14:paraId="64A3BF22">
            <w:pPr>
              <w:pStyle w:val="12"/>
            </w:pPr>
            <w:r>
              <w:t>工作效率提升率</w:t>
            </w:r>
          </w:p>
        </w:tc>
        <w:tc>
          <w:tcPr>
            <w:tcW w:w="5386" w:type="dxa"/>
            <w:vAlign w:val="center"/>
          </w:tcPr>
          <w:p w14:paraId="2EDD019A">
            <w:pPr>
              <w:pStyle w:val="12"/>
            </w:pPr>
            <w:r>
              <w:t xml:space="preserve"> 提升教师在教学育儿工作积极性</w:t>
            </w:r>
          </w:p>
        </w:tc>
        <w:tc>
          <w:tcPr>
            <w:tcW w:w="2268" w:type="dxa"/>
            <w:vAlign w:val="center"/>
          </w:tcPr>
          <w:p w14:paraId="09D85454">
            <w:pPr>
              <w:pStyle w:val="12"/>
            </w:pPr>
            <w:r>
              <w:t>≥90%</w:t>
            </w:r>
          </w:p>
        </w:tc>
        <w:tc>
          <w:tcPr>
            <w:tcW w:w="1276" w:type="dxa"/>
            <w:vAlign w:val="center"/>
          </w:tcPr>
          <w:p w14:paraId="63C1EEFE">
            <w:pPr>
              <w:pStyle w:val="12"/>
            </w:pPr>
            <w:r>
              <w:t>政府批复</w:t>
            </w:r>
          </w:p>
        </w:tc>
      </w:tr>
      <w:tr w14:paraId="2EEA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663C0">
            <w:pPr>
              <w:pStyle w:val="13"/>
            </w:pPr>
            <w:r>
              <w:t>满意度指标</w:t>
            </w:r>
          </w:p>
        </w:tc>
        <w:tc>
          <w:tcPr>
            <w:tcW w:w="2268" w:type="dxa"/>
            <w:vAlign w:val="center"/>
          </w:tcPr>
          <w:p w14:paraId="1640CE1A">
            <w:pPr>
              <w:pStyle w:val="12"/>
            </w:pPr>
            <w:r>
              <w:t>服务对象满意度指标</w:t>
            </w:r>
          </w:p>
        </w:tc>
        <w:tc>
          <w:tcPr>
            <w:tcW w:w="2835" w:type="dxa"/>
            <w:vAlign w:val="center"/>
          </w:tcPr>
          <w:p w14:paraId="6B7777C0">
            <w:pPr>
              <w:pStyle w:val="12"/>
            </w:pPr>
            <w:r>
              <w:t xml:space="preserve"> 有效支付教师待遇</w:t>
            </w:r>
          </w:p>
        </w:tc>
        <w:tc>
          <w:tcPr>
            <w:tcW w:w="5386" w:type="dxa"/>
            <w:vAlign w:val="center"/>
          </w:tcPr>
          <w:p w14:paraId="32DA4773">
            <w:pPr>
              <w:pStyle w:val="12"/>
            </w:pPr>
            <w:r>
              <w:t xml:space="preserve"> 招聘教师满意度</w:t>
            </w:r>
          </w:p>
        </w:tc>
        <w:tc>
          <w:tcPr>
            <w:tcW w:w="2268" w:type="dxa"/>
            <w:vAlign w:val="center"/>
          </w:tcPr>
          <w:p w14:paraId="76E784BB">
            <w:pPr>
              <w:pStyle w:val="12"/>
            </w:pPr>
            <w:r>
              <w:t>≥95%</w:t>
            </w:r>
          </w:p>
        </w:tc>
        <w:tc>
          <w:tcPr>
            <w:tcW w:w="1276" w:type="dxa"/>
            <w:vAlign w:val="center"/>
          </w:tcPr>
          <w:p w14:paraId="32D1ABDD">
            <w:pPr>
              <w:pStyle w:val="12"/>
            </w:pPr>
            <w:r>
              <w:t>政府批复</w:t>
            </w:r>
          </w:p>
        </w:tc>
      </w:tr>
    </w:tbl>
    <w:p w14:paraId="4D50A28B">
      <w:pPr>
        <w:sectPr>
          <w:pgSz w:w="16840" w:h="11900" w:orient="landscape"/>
          <w:pgMar w:top="1361" w:right="1020" w:bottom="1134" w:left="1020" w:header="720" w:footer="720" w:gutter="0"/>
          <w:cols w:space="720" w:num="1"/>
        </w:sectPr>
      </w:pPr>
    </w:p>
    <w:p w14:paraId="36A08C4A">
      <w:pPr>
        <w:spacing w:before="0" w:after="0"/>
        <w:ind w:firstLine="560"/>
        <w:jc w:val="left"/>
        <w:outlineLvl w:val="9"/>
      </w:pPr>
      <w:r>
        <w:rPr>
          <w:rFonts w:ascii="方正仿宋_GBK" w:hAnsi="方正仿宋_GBK" w:eastAsia="方正仿宋_GBK" w:cs="方正仿宋_GBK"/>
          <w:b/>
          <w:color w:val="000000"/>
          <w:sz w:val="28"/>
        </w:rPr>
        <w:t>28、市级基数/民办初中公用经费绩效目标表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0E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FDBAC">
            <w:pPr>
              <w:pStyle w:val="11"/>
            </w:pPr>
            <w:r>
              <w:t>单位：万元</w:t>
            </w:r>
          </w:p>
        </w:tc>
      </w:tr>
      <w:tr w14:paraId="00FF6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6AE78">
            <w:pPr>
              <w:pStyle w:val="10"/>
            </w:pPr>
            <w:r>
              <w:t>项目编码</w:t>
            </w:r>
          </w:p>
        </w:tc>
        <w:tc>
          <w:tcPr>
            <w:tcW w:w="5103" w:type="dxa"/>
            <w:gridSpan w:val="2"/>
            <w:vAlign w:val="center"/>
          </w:tcPr>
          <w:p w14:paraId="24C5E827">
            <w:pPr>
              <w:pStyle w:val="12"/>
            </w:pPr>
            <w:r>
              <w:t>13052526P00000410485L</w:t>
            </w:r>
          </w:p>
        </w:tc>
        <w:tc>
          <w:tcPr>
            <w:tcW w:w="2835" w:type="dxa"/>
            <w:vAlign w:val="center"/>
          </w:tcPr>
          <w:p w14:paraId="34971BFD">
            <w:pPr>
              <w:pStyle w:val="10"/>
            </w:pPr>
            <w:r>
              <w:t>项目名称</w:t>
            </w:r>
          </w:p>
        </w:tc>
        <w:tc>
          <w:tcPr>
            <w:tcW w:w="6095" w:type="dxa"/>
            <w:gridSpan w:val="3"/>
            <w:vAlign w:val="center"/>
          </w:tcPr>
          <w:p w14:paraId="57EF68CD">
            <w:pPr>
              <w:pStyle w:val="12"/>
            </w:pPr>
            <w:r>
              <w:t>市级基数/民办初中公用经费</w:t>
            </w:r>
          </w:p>
        </w:tc>
      </w:tr>
      <w:tr w14:paraId="522FE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85862">
            <w:pPr>
              <w:pStyle w:val="10"/>
            </w:pPr>
            <w:r>
              <w:t>预算规模及资金用途</w:t>
            </w:r>
          </w:p>
        </w:tc>
        <w:tc>
          <w:tcPr>
            <w:tcW w:w="2268" w:type="dxa"/>
            <w:vAlign w:val="center"/>
          </w:tcPr>
          <w:p w14:paraId="429D4C72">
            <w:pPr>
              <w:pStyle w:val="10"/>
            </w:pPr>
            <w:r>
              <w:t>预算数</w:t>
            </w:r>
          </w:p>
        </w:tc>
        <w:tc>
          <w:tcPr>
            <w:tcW w:w="2835" w:type="dxa"/>
            <w:vAlign w:val="center"/>
          </w:tcPr>
          <w:p w14:paraId="7DF899FA">
            <w:pPr>
              <w:pStyle w:val="12"/>
            </w:pPr>
            <w:r>
              <w:t>215.83</w:t>
            </w:r>
          </w:p>
        </w:tc>
        <w:tc>
          <w:tcPr>
            <w:tcW w:w="2835" w:type="dxa"/>
            <w:vAlign w:val="center"/>
          </w:tcPr>
          <w:p w14:paraId="1529E175">
            <w:pPr>
              <w:pStyle w:val="10"/>
            </w:pPr>
            <w:r>
              <w:t>其中：财政    资金</w:t>
            </w:r>
          </w:p>
        </w:tc>
        <w:tc>
          <w:tcPr>
            <w:tcW w:w="2551" w:type="dxa"/>
            <w:vAlign w:val="center"/>
          </w:tcPr>
          <w:p w14:paraId="0D8C7DFE">
            <w:pPr>
              <w:pStyle w:val="12"/>
            </w:pPr>
            <w:r>
              <w:t>215.83</w:t>
            </w:r>
          </w:p>
        </w:tc>
        <w:tc>
          <w:tcPr>
            <w:tcW w:w="2268" w:type="dxa"/>
            <w:vAlign w:val="center"/>
          </w:tcPr>
          <w:p w14:paraId="0EEEEB19">
            <w:pPr>
              <w:pStyle w:val="10"/>
            </w:pPr>
            <w:r>
              <w:t>其他资金</w:t>
            </w:r>
          </w:p>
        </w:tc>
        <w:tc>
          <w:tcPr>
            <w:tcW w:w="1276" w:type="dxa"/>
            <w:vAlign w:val="center"/>
          </w:tcPr>
          <w:p w14:paraId="542ECDA8">
            <w:pPr>
              <w:pStyle w:val="12"/>
            </w:pPr>
            <w:r>
              <w:t xml:space="preserve"> </w:t>
            </w:r>
          </w:p>
        </w:tc>
      </w:tr>
      <w:tr w14:paraId="13FF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4E505"/>
        </w:tc>
        <w:tc>
          <w:tcPr>
            <w:tcW w:w="14033" w:type="dxa"/>
            <w:gridSpan w:val="6"/>
            <w:vAlign w:val="center"/>
          </w:tcPr>
          <w:p w14:paraId="49754C47">
            <w:pPr>
              <w:pStyle w:val="12"/>
            </w:pPr>
            <w:r>
              <w:t>保障义务教育学校正常运转，完成教育教学活动和其他日常工作任务等方面的费用支出。</w:t>
            </w:r>
            <w:r>
              <w:tab/>
            </w:r>
            <w:r>
              <w:tab/>
            </w:r>
            <w:r>
              <w:tab/>
            </w:r>
            <w:r>
              <w:tab/>
            </w:r>
            <w:r>
              <w:tab/>
            </w:r>
            <w:r>
              <w:tab/>
            </w:r>
          </w:p>
        </w:tc>
      </w:tr>
      <w:tr w14:paraId="1FABF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FC2A8">
            <w:pPr>
              <w:pStyle w:val="10"/>
            </w:pPr>
            <w:r>
              <w:t>资金支出计划（%）</w:t>
            </w:r>
          </w:p>
        </w:tc>
        <w:tc>
          <w:tcPr>
            <w:tcW w:w="5103" w:type="dxa"/>
            <w:gridSpan w:val="2"/>
            <w:vAlign w:val="center"/>
          </w:tcPr>
          <w:p w14:paraId="3885C0E0">
            <w:pPr>
              <w:pStyle w:val="10"/>
            </w:pPr>
            <w:r>
              <w:t>3月底</w:t>
            </w:r>
          </w:p>
        </w:tc>
        <w:tc>
          <w:tcPr>
            <w:tcW w:w="2835" w:type="dxa"/>
            <w:vAlign w:val="center"/>
          </w:tcPr>
          <w:p w14:paraId="419C7A92">
            <w:pPr>
              <w:pStyle w:val="10"/>
            </w:pPr>
            <w:r>
              <w:t>6月底</w:t>
            </w:r>
          </w:p>
        </w:tc>
        <w:tc>
          <w:tcPr>
            <w:tcW w:w="2551" w:type="dxa"/>
            <w:vAlign w:val="center"/>
          </w:tcPr>
          <w:p w14:paraId="34B735EA">
            <w:pPr>
              <w:pStyle w:val="10"/>
            </w:pPr>
            <w:r>
              <w:t>10月底</w:t>
            </w:r>
          </w:p>
        </w:tc>
        <w:tc>
          <w:tcPr>
            <w:tcW w:w="3544" w:type="dxa"/>
            <w:gridSpan w:val="2"/>
            <w:vAlign w:val="center"/>
          </w:tcPr>
          <w:p w14:paraId="2F8B1403">
            <w:pPr>
              <w:pStyle w:val="10"/>
            </w:pPr>
            <w:r>
              <w:t>12月底</w:t>
            </w:r>
          </w:p>
        </w:tc>
      </w:tr>
      <w:tr w14:paraId="7D98A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F04DB"/>
        </w:tc>
        <w:tc>
          <w:tcPr>
            <w:tcW w:w="5103" w:type="dxa"/>
            <w:gridSpan w:val="2"/>
            <w:vAlign w:val="center"/>
          </w:tcPr>
          <w:p w14:paraId="6DB26B82">
            <w:pPr>
              <w:pStyle w:val="13"/>
            </w:pPr>
            <w:r>
              <w:t>25%</w:t>
            </w:r>
          </w:p>
        </w:tc>
        <w:tc>
          <w:tcPr>
            <w:tcW w:w="2835" w:type="dxa"/>
            <w:vAlign w:val="center"/>
          </w:tcPr>
          <w:p w14:paraId="33E305B7">
            <w:pPr>
              <w:pStyle w:val="13"/>
            </w:pPr>
            <w:r>
              <w:t>50%</w:t>
            </w:r>
          </w:p>
        </w:tc>
        <w:tc>
          <w:tcPr>
            <w:tcW w:w="2551" w:type="dxa"/>
            <w:vAlign w:val="center"/>
          </w:tcPr>
          <w:p w14:paraId="464810E5">
            <w:pPr>
              <w:pStyle w:val="13"/>
            </w:pPr>
            <w:r>
              <w:t>75%</w:t>
            </w:r>
          </w:p>
        </w:tc>
        <w:tc>
          <w:tcPr>
            <w:tcW w:w="3544" w:type="dxa"/>
            <w:gridSpan w:val="2"/>
            <w:vAlign w:val="center"/>
          </w:tcPr>
          <w:p w14:paraId="1F7D355D">
            <w:pPr>
              <w:pStyle w:val="13"/>
            </w:pPr>
            <w:r>
              <w:t>100%</w:t>
            </w:r>
          </w:p>
        </w:tc>
      </w:tr>
      <w:tr w14:paraId="6CB41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32C82">
            <w:pPr>
              <w:pStyle w:val="10"/>
            </w:pPr>
            <w:r>
              <w:t>绩效目标</w:t>
            </w:r>
          </w:p>
        </w:tc>
        <w:tc>
          <w:tcPr>
            <w:tcW w:w="14033" w:type="dxa"/>
            <w:gridSpan w:val="6"/>
            <w:vAlign w:val="center"/>
          </w:tcPr>
          <w:p w14:paraId="70511666">
            <w:pPr>
              <w:pStyle w:val="12"/>
            </w:pPr>
            <w:r>
              <w:t>1.保障义务教育学校正常运转，完成教育教学活动和其他日常工作任务等方面的费用支出。</w:t>
            </w:r>
          </w:p>
        </w:tc>
      </w:tr>
    </w:tbl>
    <w:p w14:paraId="20EEF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CC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BB6A6">
            <w:pPr>
              <w:pStyle w:val="10"/>
            </w:pPr>
            <w:r>
              <w:t>一级指标</w:t>
            </w:r>
          </w:p>
        </w:tc>
        <w:tc>
          <w:tcPr>
            <w:tcW w:w="2268" w:type="dxa"/>
            <w:vAlign w:val="center"/>
          </w:tcPr>
          <w:p w14:paraId="22E62D32">
            <w:pPr>
              <w:pStyle w:val="10"/>
            </w:pPr>
            <w:r>
              <w:t>二级指标</w:t>
            </w:r>
          </w:p>
        </w:tc>
        <w:tc>
          <w:tcPr>
            <w:tcW w:w="2835" w:type="dxa"/>
            <w:vAlign w:val="center"/>
          </w:tcPr>
          <w:p w14:paraId="194359C3">
            <w:pPr>
              <w:pStyle w:val="10"/>
            </w:pPr>
            <w:r>
              <w:t>三级指标</w:t>
            </w:r>
          </w:p>
        </w:tc>
        <w:tc>
          <w:tcPr>
            <w:tcW w:w="5386" w:type="dxa"/>
            <w:vAlign w:val="center"/>
          </w:tcPr>
          <w:p w14:paraId="60598B84">
            <w:pPr>
              <w:pStyle w:val="10"/>
            </w:pPr>
            <w:r>
              <w:t>绩效指标描述</w:t>
            </w:r>
          </w:p>
        </w:tc>
        <w:tc>
          <w:tcPr>
            <w:tcW w:w="2268" w:type="dxa"/>
            <w:vAlign w:val="center"/>
          </w:tcPr>
          <w:p w14:paraId="2B1F7061">
            <w:pPr>
              <w:pStyle w:val="10"/>
            </w:pPr>
            <w:r>
              <w:t>指标值</w:t>
            </w:r>
          </w:p>
        </w:tc>
        <w:tc>
          <w:tcPr>
            <w:tcW w:w="1276" w:type="dxa"/>
            <w:vAlign w:val="center"/>
          </w:tcPr>
          <w:p w14:paraId="461BA222">
            <w:pPr>
              <w:pStyle w:val="10"/>
            </w:pPr>
            <w:r>
              <w:t>指标值确定依据</w:t>
            </w:r>
          </w:p>
        </w:tc>
      </w:tr>
      <w:tr w14:paraId="20AAA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B7DE1">
            <w:pPr>
              <w:pStyle w:val="13"/>
            </w:pPr>
            <w:r>
              <w:t>产出指标</w:t>
            </w:r>
          </w:p>
        </w:tc>
        <w:tc>
          <w:tcPr>
            <w:tcW w:w="2268" w:type="dxa"/>
            <w:vAlign w:val="center"/>
          </w:tcPr>
          <w:p w14:paraId="5586A684">
            <w:pPr>
              <w:pStyle w:val="12"/>
            </w:pPr>
            <w:r>
              <w:t>数量指标</w:t>
            </w:r>
          </w:p>
        </w:tc>
        <w:tc>
          <w:tcPr>
            <w:tcW w:w="2835" w:type="dxa"/>
            <w:vAlign w:val="center"/>
          </w:tcPr>
          <w:p w14:paraId="51D3B10A">
            <w:pPr>
              <w:pStyle w:val="12"/>
            </w:pPr>
            <w:r>
              <w:t>适龄在校生</w:t>
            </w:r>
          </w:p>
        </w:tc>
        <w:tc>
          <w:tcPr>
            <w:tcW w:w="5386" w:type="dxa"/>
            <w:vAlign w:val="center"/>
          </w:tcPr>
          <w:p w14:paraId="47DCBD37">
            <w:pPr>
              <w:pStyle w:val="12"/>
            </w:pPr>
            <w:r>
              <w:t>适龄在校就读学生人数</w:t>
            </w:r>
          </w:p>
        </w:tc>
        <w:tc>
          <w:tcPr>
            <w:tcW w:w="2268" w:type="dxa"/>
            <w:vAlign w:val="center"/>
          </w:tcPr>
          <w:p w14:paraId="43F0236B">
            <w:pPr>
              <w:pStyle w:val="12"/>
            </w:pPr>
            <w:r>
              <w:t>≥1587人</w:t>
            </w:r>
          </w:p>
        </w:tc>
        <w:tc>
          <w:tcPr>
            <w:tcW w:w="1276" w:type="dxa"/>
            <w:vAlign w:val="center"/>
          </w:tcPr>
          <w:p w14:paraId="03A16343">
            <w:pPr>
              <w:pStyle w:val="12"/>
            </w:pPr>
            <w:r>
              <w:t>城乡义务教育公用经费管理办法</w:t>
            </w:r>
          </w:p>
        </w:tc>
      </w:tr>
      <w:tr w14:paraId="3138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65617"/>
        </w:tc>
        <w:tc>
          <w:tcPr>
            <w:tcW w:w="2268" w:type="dxa"/>
            <w:vAlign w:val="center"/>
          </w:tcPr>
          <w:p w14:paraId="1DD1EA55">
            <w:pPr>
              <w:pStyle w:val="12"/>
            </w:pPr>
            <w:r>
              <w:t>质量指标</w:t>
            </w:r>
          </w:p>
        </w:tc>
        <w:tc>
          <w:tcPr>
            <w:tcW w:w="2835" w:type="dxa"/>
            <w:vAlign w:val="center"/>
          </w:tcPr>
          <w:p w14:paraId="049ED9CD">
            <w:pPr>
              <w:pStyle w:val="12"/>
            </w:pPr>
            <w:r>
              <w:t>预算控制率</w:t>
            </w:r>
          </w:p>
        </w:tc>
        <w:tc>
          <w:tcPr>
            <w:tcW w:w="5386" w:type="dxa"/>
            <w:vAlign w:val="center"/>
          </w:tcPr>
          <w:p w14:paraId="41DFC0F5">
            <w:pPr>
              <w:pStyle w:val="12"/>
            </w:pPr>
            <w:r>
              <w:t>预算执行</w:t>
            </w:r>
          </w:p>
        </w:tc>
        <w:tc>
          <w:tcPr>
            <w:tcW w:w="2268" w:type="dxa"/>
            <w:vAlign w:val="center"/>
          </w:tcPr>
          <w:p w14:paraId="0A4674FB">
            <w:pPr>
              <w:pStyle w:val="12"/>
            </w:pPr>
            <w:r>
              <w:t>≥98%</w:t>
            </w:r>
          </w:p>
        </w:tc>
        <w:tc>
          <w:tcPr>
            <w:tcW w:w="1276" w:type="dxa"/>
            <w:vAlign w:val="center"/>
          </w:tcPr>
          <w:p w14:paraId="752072BD">
            <w:pPr>
              <w:pStyle w:val="12"/>
            </w:pPr>
            <w:r>
              <w:t>城乡义务教育公用经费管理办法</w:t>
            </w:r>
          </w:p>
        </w:tc>
      </w:tr>
      <w:tr w14:paraId="34E8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CA122"/>
        </w:tc>
        <w:tc>
          <w:tcPr>
            <w:tcW w:w="2268" w:type="dxa"/>
            <w:vAlign w:val="center"/>
          </w:tcPr>
          <w:p w14:paraId="44F213DA">
            <w:pPr>
              <w:pStyle w:val="12"/>
            </w:pPr>
            <w:r>
              <w:t>时效指标</w:t>
            </w:r>
          </w:p>
        </w:tc>
        <w:tc>
          <w:tcPr>
            <w:tcW w:w="2835" w:type="dxa"/>
            <w:vAlign w:val="center"/>
          </w:tcPr>
          <w:p w14:paraId="162484CB">
            <w:pPr>
              <w:pStyle w:val="12"/>
            </w:pPr>
            <w:r>
              <w:t>资金支付率</w:t>
            </w:r>
          </w:p>
        </w:tc>
        <w:tc>
          <w:tcPr>
            <w:tcW w:w="5386" w:type="dxa"/>
            <w:vAlign w:val="center"/>
          </w:tcPr>
          <w:p w14:paraId="41FEA8A9">
            <w:pPr>
              <w:pStyle w:val="12"/>
            </w:pPr>
            <w:r>
              <w:t>按照序时进度完成资金支付</w:t>
            </w:r>
          </w:p>
        </w:tc>
        <w:tc>
          <w:tcPr>
            <w:tcW w:w="2268" w:type="dxa"/>
            <w:vAlign w:val="center"/>
          </w:tcPr>
          <w:p w14:paraId="5CDEE9BA">
            <w:pPr>
              <w:pStyle w:val="12"/>
            </w:pPr>
            <w:r>
              <w:t>100%</w:t>
            </w:r>
          </w:p>
        </w:tc>
        <w:tc>
          <w:tcPr>
            <w:tcW w:w="1276" w:type="dxa"/>
            <w:vAlign w:val="center"/>
          </w:tcPr>
          <w:p w14:paraId="51CFB688">
            <w:pPr>
              <w:pStyle w:val="12"/>
            </w:pPr>
            <w:r>
              <w:t>城乡义务教育公用经费管理办法</w:t>
            </w:r>
          </w:p>
        </w:tc>
      </w:tr>
      <w:tr w14:paraId="5C1E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6D926"/>
        </w:tc>
        <w:tc>
          <w:tcPr>
            <w:tcW w:w="2268" w:type="dxa"/>
            <w:vAlign w:val="center"/>
          </w:tcPr>
          <w:p w14:paraId="668E7528">
            <w:pPr>
              <w:pStyle w:val="12"/>
            </w:pPr>
            <w:r>
              <w:t>成本指标</w:t>
            </w:r>
          </w:p>
        </w:tc>
        <w:tc>
          <w:tcPr>
            <w:tcW w:w="2835" w:type="dxa"/>
            <w:vAlign w:val="center"/>
          </w:tcPr>
          <w:p w14:paraId="5AEE7700">
            <w:pPr>
              <w:pStyle w:val="12"/>
            </w:pPr>
            <w:r>
              <w:t>生均拨款标准</w:t>
            </w:r>
          </w:p>
        </w:tc>
        <w:tc>
          <w:tcPr>
            <w:tcW w:w="5386" w:type="dxa"/>
            <w:vAlign w:val="center"/>
          </w:tcPr>
          <w:p w14:paraId="1BC82294">
            <w:pPr>
              <w:pStyle w:val="12"/>
            </w:pPr>
            <w:r>
              <w:t>基本标准940元、寄宿生300元、取暖补助120元/生/学年；随班就读学生：标准7000元/生/学年。</w:t>
            </w:r>
          </w:p>
        </w:tc>
        <w:tc>
          <w:tcPr>
            <w:tcW w:w="2268" w:type="dxa"/>
            <w:vAlign w:val="center"/>
          </w:tcPr>
          <w:p w14:paraId="2F1E5262">
            <w:pPr>
              <w:pStyle w:val="12"/>
            </w:pPr>
            <w:r>
              <w:t>1360元</w:t>
            </w:r>
          </w:p>
        </w:tc>
        <w:tc>
          <w:tcPr>
            <w:tcW w:w="1276" w:type="dxa"/>
            <w:vAlign w:val="center"/>
          </w:tcPr>
          <w:p w14:paraId="37DA97B0">
            <w:pPr>
              <w:pStyle w:val="12"/>
            </w:pPr>
            <w:r>
              <w:t>城乡义务教育公用经费管理办法</w:t>
            </w:r>
          </w:p>
        </w:tc>
      </w:tr>
      <w:tr w14:paraId="0737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8F9D8">
            <w:pPr>
              <w:pStyle w:val="13"/>
            </w:pPr>
            <w:r>
              <w:t>效益指标</w:t>
            </w:r>
          </w:p>
        </w:tc>
        <w:tc>
          <w:tcPr>
            <w:tcW w:w="2268" w:type="dxa"/>
            <w:vAlign w:val="center"/>
          </w:tcPr>
          <w:p w14:paraId="51B517B5">
            <w:pPr>
              <w:pStyle w:val="12"/>
            </w:pPr>
            <w:r>
              <w:t>可持续影响指标</w:t>
            </w:r>
          </w:p>
        </w:tc>
        <w:tc>
          <w:tcPr>
            <w:tcW w:w="2835" w:type="dxa"/>
            <w:vAlign w:val="center"/>
          </w:tcPr>
          <w:p w14:paraId="31CBF547">
            <w:pPr>
              <w:pStyle w:val="12"/>
            </w:pPr>
            <w:r>
              <w:t>教育发展水平明显好转</w:t>
            </w:r>
          </w:p>
        </w:tc>
        <w:tc>
          <w:tcPr>
            <w:tcW w:w="5386" w:type="dxa"/>
            <w:vAlign w:val="center"/>
          </w:tcPr>
          <w:p w14:paraId="32A876D4">
            <w:pPr>
              <w:pStyle w:val="12"/>
            </w:pPr>
            <w:r>
              <w:t>学生受教育年限</w:t>
            </w:r>
          </w:p>
        </w:tc>
        <w:tc>
          <w:tcPr>
            <w:tcW w:w="2268" w:type="dxa"/>
            <w:vAlign w:val="center"/>
          </w:tcPr>
          <w:p w14:paraId="70CC20B7">
            <w:pPr>
              <w:pStyle w:val="12"/>
            </w:pPr>
            <w:r>
              <w:t>3年</w:t>
            </w:r>
          </w:p>
        </w:tc>
        <w:tc>
          <w:tcPr>
            <w:tcW w:w="1276" w:type="dxa"/>
            <w:vAlign w:val="center"/>
          </w:tcPr>
          <w:p w14:paraId="37C274B7">
            <w:pPr>
              <w:pStyle w:val="12"/>
            </w:pPr>
            <w:r>
              <w:t>城乡义务教育公用经费管理办法</w:t>
            </w:r>
          </w:p>
        </w:tc>
      </w:tr>
      <w:tr w14:paraId="07D6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3D023">
            <w:pPr>
              <w:pStyle w:val="13"/>
            </w:pPr>
            <w:r>
              <w:t>满意度指标</w:t>
            </w:r>
          </w:p>
        </w:tc>
        <w:tc>
          <w:tcPr>
            <w:tcW w:w="2268" w:type="dxa"/>
            <w:vAlign w:val="center"/>
          </w:tcPr>
          <w:p w14:paraId="1EC42124">
            <w:pPr>
              <w:pStyle w:val="12"/>
            </w:pPr>
            <w:r>
              <w:t>服务对象满意度指标</w:t>
            </w:r>
          </w:p>
        </w:tc>
        <w:tc>
          <w:tcPr>
            <w:tcW w:w="2835" w:type="dxa"/>
            <w:vAlign w:val="center"/>
          </w:tcPr>
          <w:p w14:paraId="689EB159">
            <w:pPr>
              <w:pStyle w:val="12"/>
            </w:pPr>
            <w:r>
              <w:t>受益学生家长及调查满意度</w:t>
            </w:r>
          </w:p>
        </w:tc>
        <w:tc>
          <w:tcPr>
            <w:tcW w:w="5386" w:type="dxa"/>
            <w:vAlign w:val="center"/>
          </w:tcPr>
          <w:p w14:paraId="068F903E">
            <w:pPr>
              <w:pStyle w:val="12"/>
            </w:pPr>
            <w:r>
              <w:t>学生、教师及家长对学校教育教学工作满意度情况</w:t>
            </w:r>
          </w:p>
        </w:tc>
        <w:tc>
          <w:tcPr>
            <w:tcW w:w="2268" w:type="dxa"/>
            <w:vAlign w:val="center"/>
          </w:tcPr>
          <w:p w14:paraId="3B2DC52D">
            <w:pPr>
              <w:pStyle w:val="12"/>
            </w:pPr>
            <w:r>
              <w:t>≥95%</w:t>
            </w:r>
          </w:p>
        </w:tc>
        <w:tc>
          <w:tcPr>
            <w:tcW w:w="1276" w:type="dxa"/>
            <w:vAlign w:val="center"/>
          </w:tcPr>
          <w:p w14:paraId="24A40852">
            <w:pPr>
              <w:pStyle w:val="12"/>
            </w:pPr>
            <w:r>
              <w:t>调查问卷</w:t>
            </w:r>
          </w:p>
        </w:tc>
      </w:tr>
    </w:tbl>
    <w:p w14:paraId="29FB5257">
      <w:pPr>
        <w:sectPr>
          <w:pgSz w:w="16840" w:h="11900" w:orient="landscape"/>
          <w:pgMar w:top="1361" w:right="1020" w:bottom="1134" w:left="1020" w:header="720" w:footer="720" w:gutter="0"/>
          <w:cols w:space="720" w:num="1"/>
        </w:sectPr>
      </w:pPr>
    </w:p>
    <w:p w14:paraId="1EECC15D">
      <w:pPr>
        <w:spacing w:before="0" w:after="0"/>
        <w:ind w:firstLine="560"/>
        <w:jc w:val="left"/>
        <w:outlineLvl w:val="9"/>
      </w:pPr>
      <w:r>
        <w:rPr>
          <w:rFonts w:ascii="方正仿宋_GBK" w:hAnsi="方正仿宋_GBK" w:eastAsia="方正仿宋_GBK" w:cs="方正仿宋_GBK"/>
          <w:b/>
          <w:color w:val="000000"/>
          <w:sz w:val="28"/>
        </w:rPr>
        <w:t>29、市级基数/民办小学公用经费绩效目标表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70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6396A">
            <w:pPr>
              <w:pStyle w:val="11"/>
            </w:pPr>
            <w:r>
              <w:t>单位：万元</w:t>
            </w:r>
          </w:p>
        </w:tc>
      </w:tr>
      <w:tr w14:paraId="5E3D2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CA7BC">
            <w:pPr>
              <w:pStyle w:val="10"/>
            </w:pPr>
            <w:r>
              <w:t>项目编码</w:t>
            </w:r>
          </w:p>
        </w:tc>
        <w:tc>
          <w:tcPr>
            <w:tcW w:w="5103" w:type="dxa"/>
            <w:gridSpan w:val="2"/>
            <w:vAlign w:val="center"/>
          </w:tcPr>
          <w:p w14:paraId="64C91112">
            <w:pPr>
              <w:pStyle w:val="12"/>
            </w:pPr>
            <w:r>
              <w:t>13052526P000004104868</w:t>
            </w:r>
          </w:p>
        </w:tc>
        <w:tc>
          <w:tcPr>
            <w:tcW w:w="2835" w:type="dxa"/>
            <w:vAlign w:val="center"/>
          </w:tcPr>
          <w:p w14:paraId="7780502B">
            <w:pPr>
              <w:pStyle w:val="10"/>
            </w:pPr>
            <w:r>
              <w:t>项目名称</w:t>
            </w:r>
          </w:p>
        </w:tc>
        <w:tc>
          <w:tcPr>
            <w:tcW w:w="6095" w:type="dxa"/>
            <w:gridSpan w:val="3"/>
            <w:vAlign w:val="center"/>
          </w:tcPr>
          <w:p w14:paraId="26BF2C13">
            <w:pPr>
              <w:pStyle w:val="12"/>
            </w:pPr>
            <w:r>
              <w:t>市级基数/民办小学公用经费</w:t>
            </w:r>
          </w:p>
        </w:tc>
      </w:tr>
      <w:tr w14:paraId="3E3ED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59481">
            <w:pPr>
              <w:pStyle w:val="10"/>
            </w:pPr>
            <w:r>
              <w:t>预算规模及资金用途</w:t>
            </w:r>
          </w:p>
        </w:tc>
        <w:tc>
          <w:tcPr>
            <w:tcW w:w="2268" w:type="dxa"/>
            <w:vAlign w:val="center"/>
          </w:tcPr>
          <w:p w14:paraId="3EB283CA">
            <w:pPr>
              <w:pStyle w:val="10"/>
            </w:pPr>
            <w:r>
              <w:t>预算数</w:t>
            </w:r>
          </w:p>
        </w:tc>
        <w:tc>
          <w:tcPr>
            <w:tcW w:w="2835" w:type="dxa"/>
            <w:vAlign w:val="center"/>
          </w:tcPr>
          <w:p w14:paraId="58662BD1">
            <w:pPr>
              <w:pStyle w:val="12"/>
            </w:pPr>
            <w:r>
              <w:t>49.17</w:t>
            </w:r>
          </w:p>
        </w:tc>
        <w:tc>
          <w:tcPr>
            <w:tcW w:w="2835" w:type="dxa"/>
            <w:vAlign w:val="center"/>
          </w:tcPr>
          <w:p w14:paraId="4850A325">
            <w:pPr>
              <w:pStyle w:val="10"/>
            </w:pPr>
            <w:r>
              <w:t>其中：财政    资金</w:t>
            </w:r>
          </w:p>
        </w:tc>
        <w:tc>
          <w:tcPr>
            <w:tcW w:w="2551" w:type="dxa"/>
            <w:vAlign w:val="center"/>
          </w:tcPr>
          <w:p w14:paraId="4E9439CA">
            <w:pPr>
              <w:pStyle w:val="12"/>
            </w:pPr>
            <w:r>
              <w:t>49.17</w:t>
            </w:r>
          </w:p>
        </w:tc>
        <w:tc>
          <w:tcPr>
            <w:tcW w:w="2268" w:type="dxa"/>
            <w:vAlign w:val="center"/>
          </w:tcPr>
          <w:p w14:paraId="711E5424">
            <w:pPr>
              <w:pStyle w:val="10"/>
            </w:pPr>
            <w:r>
              <w:t>其他资金</w:t>
            </w:r>
          </w:p>
        </w:tc>
        <w:tc>
          <w:tcPr>
            <w:tcW w:w="1276" w:type="dxa"/>
            <w:vAlign w:val="center"/>
          </w:tcPr>
          <w:p w14:paraId="44F5AD01">
            <w:pPr>
              <w:pStyle w:val="12"/>
            </w:pPr>
            <w:r>
              <w:t xml:space="preserve"> </w:t>
            </w:r>
          </w:p>
        </w:tc>
      </w:tr>
      <w:tr w14:paraId="72C43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44DDD"/>
        </w:tc>
        <w:tc>
          <w:tcPr>
            <w:tcW w:w="14033" w:type="dxa"/>
            <w:gridSpan w:val="6"/>
            <w:vAlign w:val="center"/>
          </w:tcPr>
          <w:p w14:paraId="3458C023">
            <w:pPr>
              <w:pStyle w:val="12"/>
            </w:pPr>
            <w:r>
              <w:t>保障义务教育学校正常运转，完成教育教学活动和其他日常工作任务等方面的费用支出。</w:t>
            </w:r>
            <w:r>
              <w:tab/>
            </w:r>
            <w:r>
              <w:tab/>
            </w:r>
            <w:r>
              <w:tab/>
            </w:r>
            <w:r>
              <w:tab/>
            </w:r>
            <w:r>
              <w:tab/>
            </w:r>
            <w:r>
              <w:tab/>
            </w:r>
          </w:p>
        </w:tc>
      </w:tr>
      <w:tr w14:paraId="4128F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C7978">
            <w:pPr>
              <w:pStyle w:val="10"/>
            </w:pPr>
            <w:r>
              <w:t>资金支出计划（%）</w:t>
            </w:r>
          </w:p>
        </w:tc>
        <w:tc>
          <w:tcPr>
            <w:tcW w:w="5103" w:type="dxa"/>
            <w:gridSpan w:val="2"/>
            <w:vAlign w:val="center"/>
          </w:tcPr>
          <w:p w14:paraId="02471A31">
            <w:pPr>
              <w:pStyle w:val="10"/>
            </w:pPr>
            <w:r>
              <w:t>3月底</w:t>
            </w:r>
          </w:p>
        </w:tc>
        <w:tc>
          <w:tcPr>
            <w:tcW w:w="2835" w:type="dxa"/>
            <w:vAlign w:val="center"/>
          </w:tcPr>
          <w:p w14:paraId="2E4F1F6B">
            <w:pPr>
              <w:pStyle w:val="10"/>
            </w:pPr>
            <w:r>
              <w:t>6月底</w:t>
            </w:r>
          </w:p>
        </w:tc>
        <w:tc>
          <w:tcPr>
            <w:tcW w:w="2551" w:type="dxa"/>
            <w:vAlign w:val="center"/>
          </w:tcPr>
          <w:p w14:paraId="0FA5C6AA">
            <w:pPr>
              <w:pStyle w:val="10"/>
            </w:pPr>
            <w:r>
              <w:t>10月底</w:t>
            </w:r>
          </w:p>
        </w:tc>
        <w:tc>
          <w:tcPr>
            <w:tcW w:w="3544" w:type="dxa"/>
            <w:gridSpan w:val="2"/>
            <w:vAlign w:val="center"/>
          </w:tcPr>
          <w:p w14:paraId="2A8E2E0E">
            <w:pPr>
              <w:pStyle w:val="10"/>
            </w:pPr>
            <w:r>
              <w:t>12月底</w:t>
            </w:r>
          </w:p>
        </w:tc>
      </w:tr>
      <w:tr w14:paraId="1F2A7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3B8CA"/>
        </w:tc>
        <w:tc>
          <w:tcPr>
            <w:tcW w:w="5103" w:type="dxa"/>
            <w:gridSpan w:val="2"/>
            <w:vAlign w:val="center"/>
          </w:tcPr>
          <w:p w14:paraId="10676027">
            <w:pPr>
              <w:pStyle w:val="13"/>
            </w:pPr>
            <w:r>
              <w:t>25%</w:t>
            </w:r>
          </w:p>
        </w:tc>
        <w:tc>
          <w:tcPr>
            <w:tcW w:w="2835" w:type="dxa"/>
            <w:vAlign w:val="center"/>
          </w:tcPr>
          <w:p w14:paraId="69667FF8">
            <w:pPr>
              <w:pStyle w:val="13"/>
            </w:pPr>
            <w:r>
              <w:t>50%</w:t>
            </w:r>
          </w:p>
        </w:tc>
        <w:tc>
          <w:tcPr>
            <w:tcW w:w="2551" w:type="dxa"/>
            <w:vAlign w:val="center"/>
          </w:tcPr>
          <w:p w14:paraId="5CD82317">
            <w:pPr>
              <w:pStyle w:val="13"/>
            </w:pPr>
            <w:r>
              <w:t>75%</w:t>
            </w:r>
          </w:p>
        </w:tc>
        <w:tc>
          <w:tcPr>
            <w:tcW w:w="3544" w:type="dxa"/>
            <w:gridSpan w:val="2"/>
            <w:vAlign w:val="center"/>
          </w:tcPr>
          <w:p w14:paraId="54D3A5A8">
            <w:pPr>
              <w:pStyle w:val="13"/>
            </w:pPr>
            <w:r>
              <w:t>100%</w:t>
            </w:r>
          </w:p>
        </w:tc>
      </w:tr>
      <w:tr w14:paraId="0E5B8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758FC">
            <w:pPr>
              <w:pStyle w:val="10"/>
            </w:pPr>
            <w:r>
              <w:t>绩效目标</w:t>
            </w:r>
          </w:p>
        </w:tc>
        <w:tc>
          <w:tcPr>
            <w:tcW w:w="14033" w:type="dxa"/>
            <w:gridSpan w:val="6"/>
            <w:vAlign w:val="center"/>
          </w:tcPr>
          <w:p w14:paraId="5BF31872">
            <w:pPr>
              <w:pStyle w:val="12"/>
            </w:pPr>
            <w:r>
              <w:t>1.保障义务教育学校正常运转，完成教育教学活动和其他日常工作任务等方面的费用支出。</w:t>
            </w:r>
          </w:p>
        </w:tc>
      </w:tr>
    </w:tbl>
    <w:p w14:paraId="522D0D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5D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A81C0DC">
            <w:pPr>
              <w:pStyle w:val="10"/>
            </w:pPr>
            <w:r>
              <w:t>一级指标</w:t>
            </w:r>
          </w:p>
        </w:tc>
        <w:tc>
          <w:tcPr>
            <w:tcW w:w="2268" w:type="dxa"/>
            <w:vAlign w:val="center"/>
          </w:tcPr>
          <w:p w14:paraId="5A01A304">
            <w:pPr>
              <w:pStyle w:val="10"/>
            </w:pPr>
            <w:r>
              <w:t>二级指标</w:t>
            </w:r>
          </w:p>
        </w:tc>
        <w:tc>
          <w:tcPr>
            <w:tcW w:w="2835" w:type="dxa"/>
            <w:vAlign w:val="center"/>
          </w:tcPr>
          <w:p w14:paraId="4A69217E">
            <w:pPr>
              <w:pStyle w:val="10"/>
            </w:pPr>
            <w:r>
              <w:t>三级指标</w:t>
            </w:r>
          </w:p>
        </w:tc>
        <w:tc>
          <w:tcPr>
            <w:tcW w:w="5386" w:type="dxa"/>
            <w:vAlign w:val="center"/>
          </w:tcPr>
          <w:p w14:paraId="72435D65">
            <w:pPr>
              <w:pStyle w:val="10"/>
            </w:pPr>
            <w:r>
              <w:t>绩效指标描述</w:t>
            </w:r>
          </w:p>
        </w:tc>
        <w:tc>
          <w:tcPr>
            <w:tcW w:w="2268" w:type="dxa"/>
            <w:vAlign w:val="center"/>
          </w:tcPr>
          <w:p w14:paraId="3CC1EDD9">
            <w:pPr>
              <w:pStyle w:val="10"/>
            </w:pPr>
            <w:r>
              <w:t>指标值</w:t>
            </w:r>
          </w:p>
        </w:tc>
        <w:tc>
          <w:tcPr>
            <w:tcW w:w="1276" w:type="dxa"/>
            <w:vAlign w:val="center"/>
          </w:tcPr>
          <w:p w14:paraId="694D24D7">
            <w:pPr>
              <w:pStyle w:val="10"/>
            </w:pPr>
            <w:r>
              <w:t>指标值确定依据</w:t>
            </w:r>
          </w:p>
        </w:tc>
      </w:tr>
      <w:tr w14:paraId="0EF5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0A197">
            <w:pPr>
              <w:pStyle w:val="13"/>
            </w:pPr>
            <w:r>
              <w:t>产出指标</w:t>
            </w:r>
          </w:p>
        </w:tc>
        <w:tc>
          <w:tcPr>
            <w:tcW w:w="2268" w:type="dxa"/>
            <w:vAlign w:val="center"/>
          </w:tcPr>
          <w:p w14:paraId="67EE168E">
            <w:pPr>
              <w:pStyle w:val="12"/>
            </w:pPr>
            <w:r>
              <w:t>数量指标</w:t>
            </w:r>
          </w:p>
        </w:tc>
        <w:tc>
          <w:tcPr>
            <w:tcW w:w="2835" w:type="dxa"/>
            <w:vAlign w:val="center"/>
          </w:tcPr>
          <w:p w14:paraId="139DC0E1">
            <w:pPr>
              <w:pStyle w:val="12"/>
            </w:pPr>
            <w:r>
              <w:t>适龄在校生</w:t>
            </w:r>
          </w:p>
        </w:tc>
        <w:tc>
          <w:tcPr>
            <w:tcW w:w="5386" w:type="dxa"/>
            <w:vAlign w:val="center"/>
          </w:tcPr>
          <w:p w14:paraId="49E6DBC5">
            <w:pPr>
              <w:pStyle w:val="12"/>
            </w:pPr>
            <w:r>
              <w:t>适龄在校就读学生人数</w:t>
            </w:r>
          </w:p>
        </w:tc>
        <w:tc>
          <w:tcPr>
            <w:tcW w:w="2268" w:type="dxa"/>
            <w:vAlign w:val="center"/>
          </w:tcPr>
          <w:p w14:paraId="3B7BA600">
            <w:pPr>
              <w:pStyle w:val="12"/>
            </w:pPr>
            <w:r>
              <w:t>≥597人</w:t>
            </w:r>
          </w:p>
        </w:tc>
        <w:tc>
          <w:tcPr>
            <w:tcW w:w="1276" w:type="dxa"/>
            <w:vAlign w:val="center"/>
          </w:tcPr>
          <w:p w14:paraId="2DCEE123">
            <w:pPr>
              <w:pStyle w:val="12"/>
            </w:pPr>
            <w:r>
              <w:t>城乡义务教育公用经费管理办法</w:t>
            </w:r>
          </w:p>
        </w:tc>
      </w:tr>
      <w:tr w14:paraId="37368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7D1B7"/>
        </w:tc>
        <w:tc>
          <w:tcPr>
            <w:tcW w:w="2268" w:type="dxa"/>
            <w:vAlign w:val="center"/>
          </w:tcPr>
          <w:p w14:paraId="5E9869A7">
            <w:pPr>
              <w:pStyle w:val="12"/>
            </w:pPr>
            <w:r>
              <w:t>质量指标</w:t>
            </w:r>
          </w:p>
        </w:tc>
        <w:tc>
          <w:tcPr>
            <w:tcW w:w="2835" w:type="dxa"/>
            <w:vAlign w:val="center"/>
          </w:tcPr>
          <w:p w14:paraId="78FCA46B">
            <w:pPr>
              <w:pStyle w:val="12"/>
            </w:pPr>
            <w:r>
              <w:t>预算控制率</w:t>
            </w:r>
          </w:p>
        </w:tc>
        <w:tc>
          <w:tcPr>
            <w:tcW w:w="5386" w:type="dxa"/>
            <w:vAlign w:val="center"/>
          </w:tcPr>
          <w:p w14:paraId="298C9029">
            <w:pPr>
              <w:pStyle w:val="12"/>
            </w:pPr>
            <w:r>
              <w:t>预算执行</w:t>
            </w:r>
          </w:p>
        </w:tc>
        <w:tc>
          <w:tcPr>
            <w:tcW w:w="2268" w:type="dxa"/>
            <w:vAlign w:val="center"/>
          </w:tcPr>
          <w:p w14:paraId="4A16F9A1">
            <w:pPr>
              <w:pStyle w:val="12"/>
            </w:pPr>
            <w:r>
              <w:t>≥95%</w:t>
            </w:r>
          </w:p>
        </w:tc>
        <w:tc>
          <w:tcPr>
            <w:tcW w:w="1276" w:type="dxa"/>
            <w:vAlign w:val="center"/>
          </w:tcPr>
          <w:p w14:paraId="02203961">
            <w:pPr>
              <w:pStyle w:val="12"/>
            </w:pPr>
            <w:r>
              <w:t>城乡义务教育公用经费管理办法</w:t>
            </w:r>
          </w:p>
        </w:tc>
      </w:tr>
      <w:tr w14:paraId="3AC2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54351"/>
        </w:tc>
        <w:tc>
          <w:tcPr>
            <w:tcW w:w="2268" w:type="dxa"/>
            <w:vAlign w:val="center"/>
          </w:tcPr>
          <w:p w14:paraId="5DF4A572">
            <w:pPr>
              <w:pStyle w:val="12"/>
            </w:pPr>
            <w:r>
              <w:t>时效指标</w:t>
            </w:r>
          </w:p>
        </w:tc>
        <w:tc>
          <w:tcPr>
            <w:tcW w:w="2835" w:type="dxa"/>
            <w:vAlign w:val="center"/>
          </w:tcPr>
          <w:p w14:paraId="4932795F">
            <w:pPr>
              <w:pStyle w:val="12"/>
            </w:pPr>
            <w:r>
              <w:t>资金支付率</w:t>
            </w:r>
          </w:p>
        </w:tc>
        <w:tc>
          <w:tcPr>
            <w:tcW w:w="5386" w:type="dxa"/>
            <w:vAlign w:val="center"/>
          </w:tcPr>
          <w:p w14:paraId="74758CD6">
            <w:pPr>
              <w:pStyle w:val="12"/>
            </w:pPr>
            <w:r>
              <w:t>按照序时进度完成资金支付</w:t>
            </w:r>
          </w:p>
        </w:tc>
        <w:tc>
          <w:tcPr>
            <w:tcW w:w="2268" w:type="dxa"/>
            <w:vAlign w:val="center"/>
          </w:tcPr>
          <w:p w14:paraId="68C53558">
            <w:pPr>
              <w:pStyle w:val="12"/>
            </w:pPr>
            <w:r>
              <w:t>100%</w:t>
            </w:r>
          </w:p>
        </w:tc>
        <w:tc>
          <w:tcPr>
            <w:tcW w:w="1276" w:type="dxa"/>
            <w:vAlign w:val="center"/>
          </w:tcPr>
          <w:p w14:paraId="3B09B6CD">
            <w:pPr>
              <w:pStyle w:val="12"/>
            </w:pPr>
            <w:r>
              <w:t>城乡义务教育公用经费管理办法</w:t>
            </w:r>
          </w:p>
        </w:tc>
      </w:tr>
      <w:tr w14:paraId="385C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DB66A"/>
        </w:tc>
        <w:tc>
          <w:tcPr>
            <w:tcW w:w="2268" w:type="dxa"/>
            <w:vAlign w:val="center"/>
          </w:tcPr>
          <w:p w14:paraId="6A6D0568">
            <w:pPr>
              <w:pStyle w:val="12"/>
            </w:pPr>
            <w:r>
              <w:t>成本指标</w:t>
            </w:r>
          </w:p>
        </w:tc>
        <w:tc>
          <w:tcPr>
            <w:tcW w:w="2835" w:type="dxa"/>
            <w:vAlign w:val="center"/>
          </w:tcPr>
          <w:p w14:paraId="39D137D9">
            <w:pPr>
              <w:pStyle w:val="12"/>
            </w:pPr>
            <w:r>
              <w:t>生均拨款标准</w:t>
            </w:r>
          </w:p>
        </w:tc>
        <w:tc>
          <w:tcPr>
            <w:tcW w:w="5386" w:type="dxa"/>
            <w:vAlign w:val="center"/>
          </w:tcPr>
          <w:p w14:paraId="42DBDF6F">
            <w:pPr>
              <w:pStyle w:val="12"/>
            </w:pPr>
            <w:r>
              <w:t>小学：（基本标准720元、寄宿生300元、取暖120元）/生/学年；随班就读学生：标准7000元/生/学年。</w:t>
            </w:r>
          </w:p>
        </w:tc>
        <w:tc>
          <w:tcPr>
            <w:tcW w:w="2268" w:type="dxa"/>
            <w:vAlign w:val="center"/>
          </w:tcPr>
          <w:p w14:paraId="6EFF1D09">
            <w:pPr>
              <w:pStyle w:val="12"/>
            </w:pPr>
            <w:r>
              <w:t>491680元</w:t>
            </w:r>
          </w:p>
        </w:tc>
        <w:tc>
          <w:tcPr>
            <w:tcW w:w="1276" w:type="dxa"/>
            <w:vAlign w:val="center"/>
          </w:tcPr>
          <w:p w14:paraId="57E62DF5">
            <w:pPr>
              <w:pStyle w:val="12"/>
            </w:pPr>
            <w:r>
              <w:t>城乡义务教育公用经费管理办法</w:t>
            </w:r>
          </w:p>
        </w:tc>
      </w:tr>
      <w:tr w14:paraId="6BAE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CDAF6">
            <w:pPr>
              <w:pStyle w:val="13"/>
            </w:pPr>
            <w:r>
              <w:t>效益指标</w:t>
            </w:r>
          </w:p>
        </w:tc>
        <w:tc>
          <w:tcPr>
            <w:tcW w:w="2268" w:type="dxa"/>
            <w:vAlign w:val="center"/>
          </w:tcPr>
          <w:p w14:paraId="3E633D6D">
            <w:pPr>
              <w:pStyle w:val="12"/>
            </w:pPr>
            <w:r>
              <w:t>可持续影响指标</w:t>
            </w:r>
          </w:p>
        </w:tc>
        <w:tc>
          <w:tcPr>
            <w:tcW w:w="2835" w:type="dxa"/>
            <w:vAlign w:val="center"/>
          </w:tcPr>
          <w:p w14:paraId="310B0F4D">
            <w:pPr>
              <w:pStyle w:val="12"/>
            </w:pPr>
            <w:r>
              <w:t>教育发展水平明显好转</w:t>
            </w:r>
          </w:p>
        </w:tc>
        <w:tc>
          <w:tcPr>
            <w:tcW w:w="5386" w:type="dxa"/>
            <w:vAlign w:val="center"/>
          </w:tcPr>
          <w:p w14:paraId="0AB4B589">
            <w:pPr>
              <w:pStyle w:val="12"/>
            </w:pPr>
            <w:r>
              <w:t>学生受教育年限</w:t>
            </w:r>
          </w:p>
        </w:tc>
        <w:tc>
          <w:tcPr>
            <w:tcW w:w="2268" w:type="dxa"/>
            <w:vAlign w:val="center"/>
          </w:tcPr>
          <w:p w14:paraId="5C4D6F8A">
            <w:pPr>
              <w:pStyle w:val="12"/>
            </w:pPr>
            <w:r>
              <w:t>≥6年</w:t>
            </w:r>
          </w:p>
        </w:tc>
        <w:tc>
          <w:tcPr>
            <w:tcW w:w="1276" w:type="dxa"/>
            <w:vAlign w:val="center"/>
          </w:tcPr>
          <w:p w14:paraId="02570DBF">
            <w:pPr>
              <w:pStyle w:val="12"/>
            </w:pPr>
            <w:r>
              <w:t>城乡义务教育公用经费管理办法</w:t>
            </w:r>
          </w:p>
        </w:tc>
      </w:tr>
      <w:tr w14:paraId="247E6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8F8F6">
            <w:pPr>
              <w:pStyle w:val="13"/>
            </w:pPr>
            <w:r>
              <w:t>满意度指标</w:t>
            </w:r>
          </w:p>
        </w:tc>
        <w:tc>
          <w:tcPr>
            <w:tcW w:w="2268" w:type="dxa"/>
            <w:vAlign w:val="center"/>
          </w:tcPr>
          <w:p w14:paraId="77F25030">
            <w:pPr>
              <w:pStyle w:val="12"/>
            </w:pPr>
            <w:r>
              <w:t>服务对象满意度指标</w:t>
            </w:r>
          </w:p>
        </w:tc>
        <w:tc>
          <w:tcPr>
            <w:tcW w:w="2835" w:type="dxa"/>
            <w:vAlign w:val="center"/>
          </w:tcPr>
          <w:p w14:paraId="1C81F26C">
            <w:pPr>
              <w:pStyle w:val="12"/>
            </w:pPr>
            <w:r>
              <w:t>受益学生家长及调查满意度</w:t>
            </w:r>
          </w:p>
        </w:tc>
        <w:tc>
          <w:tcPr>
            <w:tcW w:w="5386" w:type="dxa"/>
            <w:vAlign w:val="center"/>
          </w:tcPr>
          <w:p w14:paraId="3EE3E950">
            <w:pPr>
              <w:pStyle w:val="12"/>
            </w:pPr>
            <w:r>
              <w:t>学生、教师及家长对学校教育教学工作满意度情况</w:t>
            </w:r>
          </w:p>
        </w:tc>
        <w:tc>
          <w:tcPr>
            <w:tcW w:w="2268" w:type="dxa"/>
            <w:vAlign w:val="center"/>
          </w:tcPr>
          <w:p w14:paraId="2D2C32FF">
            <w:pPr>
              <w:pStyle w:val="12"/>
            </w:pPr>
            <w:r>
              <w:t>≥95%</w:t>
            </w:r>
          </w:p>
        </w:tc>
        <w:tc>
          <w:tcPr>
            <w:tcW w:w="1276" w:type="dxa"/>
            <w:vAlign w:val="center"/>
          </w:tcPr>
          <w:p w14:paraId="26D7ABFE">
            <w:pPr>
              <w:pStyle w:val="12"/>
            </w:pPr>
            <w:r>
              <w:t>调查问卷</w:t>
            </w:r>
          </w:p>
        </w:tc>
      </w:tr>
    </w:tbl>
    <w:p w14:paraId="6D4F03B5">
      <w:pPr>
        <w:sectPr>
          <w:pgSz w:w="16840" w:h="11900" w:orient="landscape"/>
          <w:pgMar w:top="1361" w:right="1020" w:bottom="1134" w:left="1020" w:header="720" w:footer="720" w:gutter="0"/>
          <w:cols w:space="720" w:num="1"/>
        </w:sectPr>
      </w:pPr>
    </w:p>
    <w:p w14:paraId="731C6C7F">
      <w:pPr>
        <w:spacing w:before="0" w:after="0"/>
        <w:ind w:firstLine="560"/>
        <w:jc w:val="left"/>
        <w:outlineLvl w:val="9"/>
      </w:pPr>
      <w:r>
        <w:rPr>
          <w:rFonts w:ascii="方正仿宋_GBK" w:hAnsi="方正仿宋_GBK" w:eastAsia="方正仿宋_GBK" w:cs="方正仿宋_GBK"/>
          <w:b/>
          <w:color w:val="000000"/>
          <w:sz w:val="28"/>
        </w:rPr>
        <w:t>30、唐尧中学补助经费绩效目标表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6A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2B6B1">
            <w:pPr>
              <w:pStyle w:val="11"/>
            </w:pPr>
            <w:r>
              <w:t>单位：万元</w:t>
            </w:r>
          </w:p>
        </w:tc>
      </w:tr>
      <w:tr w14:paraId="5B2E0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730FE">
            <w:pPr>
              <w:pStyle w:val="10"/>
            </w:pPr>
            <w:r>
              <w:t>项目编码</w:t>
            </w:r>
          </w:p>
        </w:tc>
        <w:tc>
          <w:tcPr>
            <w:tcW w:w="5103" w:type="dxa"/>
            <w:gridSpan w:val="2"/>
            <w:vAlign w:val="center"/>
          </w:tcPr>
          <w:p w14:paraId="6267564E">
            <w:pPr>
              <w:pStyle w:val="12"/>
            </w:pPr>
            <w:r>
              <w:t>13052526P000011100018</w:t>
            </w:r>
          </w:p>
        </w:tc>
        <w:tc>
          <w:tcPr>
            <w:tcW w:w="2835" w:type="dxa"/>
            <w:vAlign w:val="center"/>
          </w:tcPr>
          <w:p w14:paraId="6D0395A5">
            <w:pPr>
              <w:pStyle w:val="10"/>
            </w:pPr>
            <w:r>
              <w:t>项目名称</w:t>
            </w:r>
          </w:p>
        </w:tc>
        <w:tc>
          <w:tcPr>
            <w:tcW w:w="6095" w:type="dxa"/>
            <w:gridSpan w:val="3"/>
            <w:vAlign w:val="center"/>
          </w:tcPr>
          <w:p w14:paraId="6EC93217">
            <w:pPr>
              <w:pStyle w:val="12"/>
            </w:pPr>
            <w:r>
              <w:t>唐尧中学补助经费</w:t>
            </w:r>
          </w:p>
        </w:tc>
      </w:tr>
      <w:tr w14:paraId="25F85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FCBE7">
            <w:pPr>
              <w:pStyle w:val="10"/>
            </w:pPr>
            <w:r>
              <w:t>预算规模及资金用途</w:t>
            </w:r>
          </w:p>
        </w:tc>
        <w:tc>
          <w:tcPr>
            <w:tcW w:w="2268" w:type="dxa"/>
            <w:vAlign w:val="center"/>
          </w:tcPr>
          <w:p w14:paraId="5A064E5B">
            <w:pPr>
              <w:pStyle w:val="10"/>
            </w:pPr>
            <w:r>
              <w:t>预算数</w:t>
            </w:r>
          </w:p>
        </w:tc>
        <w:tc>
          <w:tcPr>
            <w:tcW w:w="2835" w:type="dxa"/>
            <w:vAlign w:val="center"/>
          </w:tcPr>
          <w:p w14:paraId="6809A492">
            <w:pPr>
              <w:pStyle w:val="12"/>
            </w:pPr>
            <w:r>
              <w:t>259.91</w:t>
            </w:r>
          </w:p>
        </w:tc>
        <w:tc>
          <w:tcPr>
            <w:tcW w:w="2835" w:type="dxa"/>
            <w:vAlign w:val="center"/>
          </w:tcPr>
          <w:p w14:paraId="1A79D294">
            <w:pPr>
              <w:pStyle w:val="10"/>
            </w:pPr>
            <w:r>
              <w:t>其中：财政    资金</w:t>
            </w:r>
          </w:p>
        </w:tc>
        <w:tc>
          <w:tcPr>
            <w:tcW w:w="2551" w:type="dxa"/>
            <w:vAlign w:val="center"/>
          </w:tcPr>
          <w:p w14:paraId="388F7529">
            <w:pPr>
              <w:pStyle w:val="12"/>
            </w:pPr>
            <w:r>
              <w:t>259.91</w:t>
            </w:r>
          </w:p>
        </w:tc>
        <w:tc>
          <w:tcPr>
            <w:tcW w:w="2268" w:type="dxa"/>
            <w:vAlign w:val="center"/>
          </w:tcPr>
          <w:p w14:paraId="6573570C">
            <w:pPr>
              <w:pStyle w:val="10"/>
            </w:pPr>
            <w:r>
              <w:t>其他资金</w:t>
            </w:r>
          </w:p>
        </w:tc>
        <w:tc>
          <w:tcPr>
            <w:tcW w:w="1276" w:type="dxa"/>
            <w:vAlign w:val="center"/>
          </w:tcPr>
          <w:p w14:paraId="22C07B10">
            <w:pPr>
              <w:pStyle w:val="12"/>
            </w:pPr>
            <w:r>
              <w:t xml:space="preserve"> </w:t>
            </w:r>
          </w:p>
        </w:tc>
      </w:tr>
      <w:tr w14:paraId="04E30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05F1B"/>
        </w:tc>
        <w:tc>
          <w:tcPr>
            <w:tcW w:w="14033" w:type="dxa"/>
            <w:gridSpan w:val="6"/>
            <w:vAlign w:val="center"/>
          </w:tcPr>
          <w:p w14:paraId="6D7CA166">
            <w:pPr>
              <w:pStyle w:val="12"/>
            </w:pPr>
            <w:r>
              <w:t>按学期发放民办学校教师工资，提升教育事业发展</w:t>
            </w:r>
            <w:r>
              <w:tab/>
            </w:r>
            <w:r>
              <w:tab/>
            </w:r>
            <w:r>
              <w:tab/>
            </w:r>
            <w:r>
              <w:tab/>
            </w:r>
            <w:r>
              <w:tab/>
            </w:r>
            <w:r>
              <w:tab/>
            </w:r>
          </w:p>
          <w:p w14:paraId="36FAEA67">
            <w:pPr>
              <w:pStyle w:val="12"/>
            </w:pPr>
          </w:p>
        </w:tc>
      </w:tr>
      <w:tr w14:paraId="2DEB5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E853D">
            <w:pPr>
              <w:pStyle w:val="10"/>
            </w:pPr>
            <w:r>
              <w:t>资金支出计划（%）</w:t>
            </w:r>
          </w:p>
        </w:tc>
        <w:tc>
          <w:tcPr>
            <w:tcW w:w="5103" w:type="dxa"/>
            <w:gridSpan w:val="2"/>
            <w:vAlign w:val="center"/>
          </w:tcPr>
          <w:p w14:paraId="32CDD6B2">
            <w:pPr>
              <w:pStyle w:val="10"/>
            </w:pPr>
            <w:r>
              <w:t>3月底</w:t>
            </w:r>
          </w:p>
        </w:tc>
        <w:tc>
          <w:tcPr>
            <w:tcW w:w="2835" w:type="dxa"/>
            <w:vAlign w:val="center"/>
          </w:tcPr>
          <w:p w14:paraId="402AA0F2">
            <w:pPr>
              <w:pStyle w:val="10"/>
            </w:pPr>
            <w:r>
              <w:t>6月底</w:t>
            </w:r>
          </w:p>
        </w:tc>
        <w:tc>
          <w:tcPr>
            <w:tcW w:w="2551" w:type="dxa"/>
            <w:vAlign w:val="center"/>
          </w:tcPr>
          <w:p w14:paraId="15B6B479">
            <w:pPr>
              <w:pStyle w:val="10"/>
            </w:pPr>
            <w:r>
              <w:t>10月底</w:t>
            </w:r>
          </w:p>
        </w:tc>
        <w:tc>
          <w:tcPr>
            <w:tcW w:w="3544" w:type="dxa"/>
            <w:gridSpan w:val="2"/>
            <w:vAlign w:val="center"/>
          </w:tcPr>
          <w:p w14:paraId="33D5996A">
            <w:pPr>
              <w:pStyle w:val="10"/>
            </w:pPr>
            <w:r>
              <w:t>12月底</w:t>
            </w:r>
          </w:p>
        </w:tc>
      </w:tr>
      <w:tr w14:paraId="2DD5C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BF745"/>
        </w:tc>
        <w:tc>
          <w:tcPr>
            <w:tcW w:w="5103" w:type="dxa"/>
            <w:gridSpan w:val="2"/>
            <w:vAlign w:val="center"/>
          </w:tcPr>
          <w:p w14:paraId="7236ADD1">
            <w:pPr>
              <w:pStyle w:val="13"/>
            </w:pPr>
            <w:r>
              <w:t>25%</w:t>
            </w:r>
          </w:p>
        </w:tc>
        <w:tc>
          <w:tcPr>
            <w:tcW w:w="2835" w:type="dxa"/>
            <w:vAlign w:val="center"/>
          </w:tcPr>
          <w:p w14:paraId="297CB272">
            <w:pPr>
              <w:pStyle w:val="13"/>
            </w:pPr>
            <w:r>
              <w:t>50%</w:t>
            </w:r>
          </w:p>
        </w:tc>
        <w:tc>
          <w:tcPr>
            <w:tcW w:w="2551" w:type="dxa"/>
            <w:vAlign w:val="center"/>
          </w:tcPr>
          <w:p w14:paraId="0E877C00">
            <w:pPr>
              <w:pStyle w:val="13"/>
            </w:pPr>
            <w:r>
              <w:t>75%</w:t>
            </w:r>
          </w:p>
        </w:tc>
        <w:tc>
          <w:tcPr>
            <w:tcW w:w="3544" w:type="dxa"/>
            <w:gridSpan w:val="2"/>
            <w:vAlign w:val="center"/>
          </w:tcPr>
          <w:p w14:paraId="07C38054">
            <w:pPr>
              <w:pStyle w:val="13"/>
            </w:pPr>
            <w:r>
              <w:t>100%</w:t>
            </w:r>
          </w:p>
        </w:tc>
      </w:tr>
      <w:tr w14:paraId="6C513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2AC7D">
            <w:pPr>
              <w:pStyle w:val="10"/>
            </w:pPr>
            <w:r>
              <w:t>绩效目标</w:t>
            </w:r>
          </w:p>
        </w:tc>
        <w:tc>
          <w:tcPr>
            <w:tcW w:w="14033" w:type="dxa"/>
            <w:gridSpan w:val="6"/>
            <w:vAlign w:val="center"/>
          </w:tcPr>
          <w:p w14:paraId="318D3283">
            <w:pPr>
              <w:pStyle w:val="12"/>
            </w:pPr>
            <w:r>
              <w:t>1.按学期发放民办学校教师工资，提升教育事业发展</w:t>
            </w:r>
          </w:p>
        </w:tc>
      </w:tr>
    </w:tbl>
    <w:p w14:paraId="6CF27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6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D0D6D">
            <w:pPr>
              <w:pStyle w:val="10"/>
            </w:pPr>
            <w:r>
              <w:t>一级指标</w:t>
            </w:r>
          </w:p>
        </w:tc>
        <w:tc>
          <w:tcPr>
            <w:tcW w:w="2268" w:type="dxa"/>
            <w:vAlign w:val="center"/>
          </w:tcPr>
          <w:p w14:paraId="30CB8A42">
            <w:pPr>
              <w:pStyle w:val="10"/>
            </w:pPr>
            <w:r>
              <w:t>二级指标</w:t>
            </w:r>
          </w:p>
        </w:tc>
        <w:tc>
          <w:tcPr>
            <w:tcW w:w="2835" w:type="dxa"/>
            <w:vAlign w:val="center"/>
          </w:tcPr>
          <w:p w14:paraId="6FD25A0A">
            <w:pPr>
              <w:pStyle w:val="10"/>
            </w:pPr>
            <w:r>
              <w:t>三级指标</w:t>
            </w:r>
          </w:p>
        </w:tc>
        <w:tc>
          <w:tcPr>
            <w:tcW w:w="5386" w:type="dxa"/>
            <w:vAlign w:val="center"/>
          </w:tcPr>
          <w:p w14:paraId="663B53D4">
            <w:pPr>
              <w:pStyle w:val="10"/>
            </w:pPr>
            <w:r>
              <w:t>绩效指标描述</w:t>
            </w:r>
          </w:p>
        </w:tc>
        <w:tc>
          <w:tcPr>
            <w:tcW w:w="2268" w:type="dxa"/>
            <w:vAlign w:val="center"/>
          </w:tcPr>
          <w:p w14:paraId="7B25CAC2">
            <w:pPr>
              <w:pStyle w:val="10"/>
            </w:pPr>
            <w:r>
              <w:t>指标值</w:t>
            </w:r>
          </w:p>
        </w:tc>
        <w:tc>
          <w:tcPr>
            <w:tcW w:w="1276" w:type="dxa"/>
            <w:vAlign w:val="center"/>
          </w:tcPr>
          <w:p w14:paraId="6773FC84">
            <w:pPr>
              <w:pStyle w:val="10"/>
            </w:pPr>
            <w:r>
              <w:t>指标值确定依据</w:t>
            </w:r>
          </w:p>
        </w:tc>
      </w:tr>
      <w:tr w14:paraId="6467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F4C44">
            <w:pPr>
              <w:pStyle w:val="13"/>
            </w:pPr>
            <w:r>
              <w:t>产出指标</w:t>
            </w:r>
          </w:p>
        </w:tc>
        <w:tc>
          <w:tcPr>
            <w:tcW w:w="2268" w:type="dxa"/>
            <w:vAlign w:val="center"/>
          </w:tcPr>
          <w:p w14:paraId="44D9B0E4">
            <w:pPr>
              <w:pStyle w:val="12"/>
            </w:pPr>
            <w:r>
              <w:t>数量指标</w:t>
            </w:r>
          </w:p>
        </w:tc>
        <w:tc>
          <w:tcPr>
            <w:tcW w:w="2835" w:type="dxa"/>
            <w:vAlign w:val="center"/>
          </w:tcPr>
          <w:p w14:paraId="086356AD">
            <w:pPr>
              <w:pStyle w:val="12"/>
            </w:pPr>
            <w:r>
              <w:t>专任教师比（%）</w:t>
            </w:r>
          </w:p>
        </w:tc>
        <w:tc>
          <w:tcPr>
            <w:tcW w:w="5386" w:type="dxa"/>
            <w:vAlign w:val="center"/>
          </w:tcPr>
          <w:p w14:paraId="179DECD2">
            <w:pPr>
              <w:pStyle w:val="12"/>
            </w:pPr>
            <w:r>
              <w:t>专任教师数量占教职工总数的比率</w:t>
            </w:r>
          </w:p>
        </w:tc>
        <w:tc>
          <w:tcPr>
            <w:tcW w:w="2268" w:type="dxa"/>
            <w:vAlign w:val="center"/>
          </w:tcPr>
          <w:p w14:paraId="6CDA8C5A">
            <w:pPr>
              <w:pStyle w:val="12"/>
            </w:pPr>
            <w:r>
              <w:t>≥97%</w:t>
            </w:r>
          </w:p>
        </w:tc>
        <w:tc>
          <w:tcPr>
            <w:tcW w:w="1276" w:type="dxa"/>
            <w:vAlign w:val="center"/>
          </w:tcPr>
          <w:p w14:paraId="299FB1E9">
            <w:pPr>
              <w:pStyle w:val="12"/>
            </w:pPr>
            <w:r>
              <w:t>人社部门</w:t>
            </w:r>
            <w:r>
              <w:rPr>
                <w:rFonts w:hint="eastAsia"/>
                <w:lang w:eastAsia="zh-CN"/>
              </w:rPr>
              <w:t>工作</w:t>
            </w:r>
            <w:r>
              <w:t>批复</w:t>
            </w:r>
          </w:p>
        </w:tc>
      </w:tr>
      <w:tr w14:paraId="39D6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DCF20"/>
        </w:tc>
        <w:tc>
          <w:tcPr>
            <w:tcW w:w="2268" w:type="dxa"/>
            <w:vAlign w:val="center"/>
          </w:tcPr>
          <w:p w14:paraId="6C90AEC3">
            <w:pPr>
              <w:pStyle w:val="12"/>
            </w:pPr>
            <w:r>
              <w:t>质量指标</w:t>
            </w:r>
          </w:p>
        </w:tc>
        <w:tc>
          <w:tcPr>
            <w:tcW w:w="2835" w:type="dxa"/>
            <w:vAlign w:val="center"/>
          </w:tcPr>
          <w:p w14:paraId="51BF4045">
            <w:pPr>
              <w:pStyle w:val="12"/>
            </w:pPr>
            <w:r>
              <w:t>项目资金拨付及时到位率</w:t>
            </w:r>
          </w:p>
        </w:tc>
        <w:tc>
          <w:tcPr>
            <w:tcW w:w="5386" w:type="dxa"/>
            <w:vAlign w:val="center"/>
          </w:tcPr>
          <w:p w14:paraId="354F0A72">
            <w:pPr>
              <w:pStyle w:val="12"/>
            </w:pPr>
            <w:r>
              <w:t>项目资金拨付及时到位率</w:t>
            </w:r>
          </w:p>
        </w:tc>
        <w:tc>
          <w:tcPr>
            <w:tcW w:w="2268" w:type="dxa"/>
            <w:vAlign w:val="center"/>
          </w:tcPr>
          <w:p w14:paraId="0DE8B779">
            <w:pPr>
              <w:pStyle w:val="12"/>
            </w:pPr>
            <w:r>
              <w:t>100%</w:t>
            </w:r>
          </w:p>
        </w:tc>
        <w:tc>
          <w:tcPr>
            <w:tcW w:w="1276" w:type="dxa"/>
            <w:vAlign w:val="center"/>
          </w:tcPr>
          <w:p w14:paraId="6EC8EBD1">
            <w:pPr>
              <w:pStyle w:val="12"/>
            </w:pPr>
            <w:r>
              <w:t>人社部门</w:t>
            </w:r>
            <w:r>
              <w:rPr>
                <w:rFonts w:hint="eastAsia"/>
                <w:lang w:eastAsia="zh-CN"/>
              </w:rPr>
              <w:t>工作</w:t>
            </w:r>
            <w:r>
              <w:t>批复</w:t>
            </w:r>
          </w:p>
        </w:tc>
      </w:tr>
      <w:tr w14:paraId="4A57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C9C43"/>
        </w:tc>
        <w:tc>
          <w:tcPr>
            <w:tcW w:w="2268" w:type="dxa"/>
            <w:vAlign w:val="center"/>
          </w:tcPr>
          <w:p w14:paraId="3894CE81">
            <w:pPr>
              <w:pStyle w:val="12"/>
            </w:pPr>
            <w:r>
              <w:t>时效指标</w:t>
            </w:r>
          </w:p>
        </w:tc>
        <w:tc>
          <w:tcPr>
            <w:tcW w:w="2835" w:type="dxa"/>
            <w:vAlign w:val="center"/>
          </w:tcPr>
          <w:p w14:paraId="7DFC1DAA">
            <w:pPr>
              <w:pStyle w:val="12"/>
            </w:pPr>
            <w:r>
              <w:t>义教经费支付完成率</w:t>
            </w:r>
          </w:p>
        </w:tc>
        <w:tc>
          <w:tcPr>
            <w:tcW w:w="5386" w:type="dxa"/>
            <w:vAlign w:val="center"/>
          </w:tcPr>
          <w:p w14:paraId="0E404634">
            <w:pPr>
              <w:pStyle w:val="12"/>
            </w:pPr>
            <w:r>
              <w:t>按照序时进度完成资金支付</w:t>
            </w:r>
          </w:p>
        </w:tc>
        <w:tc>
          <w:tcPr>
            <w:tcW w:w="2268" w:type="dxa"/>
            <w:vAlign w:val="center"/>
          </w:tcPr>
          <w:p w14:paraId="1FB16151">
            <w:pPr>
              <w:pStyle w:val="12"/>
            </w:pPr>
            <w:r>
              <w:t>100%</w:t>
            </w:r>
          </w:p>
        </w:tc>
        <w:tc>
          <w:tcPr>
            <w:tcW w:w="1276" w:type="dxa"/>
            <w:vAlign w:val="center"/>
          </w:tcPr>
          <w:p w14:paraId="39C62531">
            <w:pPr>
              <w:pStyle w:val="12"/>
            </w:pPr>
            <w:r>
              <w:t>人社部门</w:t>
            </w:r>
            <w:r>
              <w:rPr>
                <w:rFonts w:hint="eastAsia"/>
                <w:lang w:eastAsia="zh-CN"/>
              </w:rPr>
              <w:t>工作</w:t>
            </w:r>
            <w:r>
              <w:t>批复</w:t>
            </w:r>
          </w:p>
        </w:tc>
      </w:tr>
      <w:tr w14:paraId="7175A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DFB30"/>
        </w:tc>
        <w:tc>
          <w:tcPr>
            <w:tcW w:w="2268" w:type="dxa"/>
            <w:vAlign w:val="center"/>
          </w:tcPr>
          <w:p w14:paraId="48F78DB3">
            <w:pPr>
              <w:pStyle w:val="12"/>
            </w:pPr>
            <w:r>
              <w:t>成本指标</w:t>
            </w:r>
          </w:p>
        </w:tc>
        <w:tc>
          <w:tcPr>
            <w:tcW w:w="2835" w:type="dxa"/>
            <w:vAlign w:val="center"/>
          </w:tcPr>
          <w:p w14:paraId="1138D30F">
            <w:pPr>
              <w:pStyle w:val="12"/>
            </w:pPr>
            <w:r>
              <w:t>包含教师</w:t>
            </w:r>
          </w:p>
        </w:tc>
        <w:tc>
          <w:tcPr>
            <w:tcW w:w="5386" w:type="dxa"/>
            <w:vAlign w:val="center"/>
          </w:tcPr>
          <w:p w14:paraId="1FBE01AC">
            <w:pPr>
              <w:pStyle w:val="12"/>
            </w:pPr>
            <w:r>
              <w:t>政策内全覆盖</w:t>
            </w:r>
          </w:p>
        </w:tc>
        <w:tc>
          <w:tcPr>
            <w:tcW w:w="2268" w:type="dxa"/>
            <w:vAlign w:val="center"/>
          </w:tcPr>
          <w:p w14:paraId="691F8695">
            <w:pPr>
              <w:pStyle w:val="12"/>
            </w:pPr>
            <w:r>
              <w:t>31 人</w:t>
            </w:r>
          </w:p>
        </w:tc>
        <w:tc>
          <w:tcPr>
            <w:tcW w:w="1276" w:type="dxa"/>
            <w:vAlign w:val="center"/>
          </w:tcPr>
          <w:p w14:paraId="76C484F3">
            <w:pPr>
              <w:pStyle w:val="12"/>
            </w:pPr>
            <w:r>
              <w:t>人社部门</w:t>
            </w:r>
            <w:r>
              <w:rPr>
                <w:rFonts w:hint="eastAsia"/>
                <w:lang w:eastAsia="zh-CN"/>
              </w:rPr>
              <w:t>工作</w:t>
            </w:r>
            <w:r>
              <w:t>批复</w:t>
            </w:r>
          </w:p>
        </w:tc>
      </w:tr>
      <w:tr w14:paraId="300B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E1BD8">
            <w:pPr>
              <w:pStyle w:val="13"/>
            </w:pPr>
            <w:r>
              <w:t>效益指标</w:t>
            </w:r>
          </w:p>
        </w:tc>
        <w:tc>
          <w:tcPr>
            <w:tcW w:w="2268" w:type="dxa"/>
            <w:vAlign w:val="center"/>
          </w:tcPr>
          <w:p w14:paraId="16590B7D">
            <w:pPr>
              <w:pStyle w:val="12"/>
            </w:pPr>
            <w:r>
              <w:t>可持续影响指标</w:t>
            </w:r>
          </w:p>
        </w:tc>
        <w:tc>
          <w:tcPr>
            <w:tcW w:w="2835" w:type="dxa"/>
            <w:vAlign w:val="center"/>
          </w:tcPr>
          <w:p w14:paraId="5BBE085C">
            <w:pPr>
              <w:pStyle w:val="12"/>
            </w:pPr>
            <w:r>
              <w:t xml:space="preserve"> 教师工资待遇</w:t>
            </w:r>
          </w:p>
        </w:tc>
        <w:tc>
          <w:tcPr>
            <w:tcW w:w="5386" w:type="dxa"/>
            <w:vAlign w:val="center"/>
          </w:tcPr>
          <w:p w14:paraId="65AA22D2">
            <w:pPr>
              <w:pStyle w:val="12"/>
            </w:pPr>
            <w:r>
              <w:t>保障民办教师工资待遇</w:t>
            </w:r>
          </w:p>
        </w:tc>
        <w:tc>
          <w:tcPr>
            <w:tcW w:w="2268" w:type="dxa"/>
            <w:vAlign w:val="center"/>
          </w:tcPr>
          <w:p w14:paraId="5039D014">
            <w:pPr>
              <w:pStyle w:val="12"/>
            </w:pPr>
            <w:r>
              <w:t>≥98%</w:t>
            </w:r>
          </w:p>
        </w:tc>
        <w:tc>
          <w:tcPr>
            <w:tcW w:w="1276" w:type="dxa"/>
            <w:vAlign w:val="center"/>
          </w:tcPr>
          <w:p w14:paraId="59B2FED3">
            <w:pPr>
              <w:pStyle w:val="12"/>
            </w:pPr>
            <w:r>
              <w:t>人社部门</w:t>
            </w:r>
            <w:r>
              <w:rPr>
                <w:rFonts w:hint="eastAsia"/>
                <w:lang w:eastAsia="zh-CN"/>
              </w:rPr>
              <w:t>工作</w:t>
            </w:r>
            <w:r>
              <w:t>批复</w:t>
            </w:r>
          </w:p>
        </w:tc>
      </w:tr>
      <w:tr w14:paraId="4E8C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ACFC3">
            <w:pPr>
              <w:pStyle w:val="13"/>
            </w:pPr>
            <w:r>
              <w:t>满意度指标</w:t>
            </w:r>
          </w:p>
        </w:tc>
        <w:tc>
          <w:tcPr>
            <w:tcW w:w="2268" w:type="dxa"/>
            <w:vAlign w:val="center"/>
          </w:tcPr>
          <w:p w14:paraId="344B78B9">
            <w:pPr>
              <w:pStyle w:val="12"/>
            </w:pPr>
            <w:r>
              <w:t>服务对象满意度指标</w:t>
            </w:r>
          </w:p>
        </w:tc>
        <w:tc>
          <w:tcPr>
            <w:tcW w:w="2835" w:type="dxa"/>
            <w:vAlign w:val="center"/>
          </w:tcPr>
          <w:p w14:paraId="240AF597">
            <w:pPr>
              <w:pStyle w:val="12"/>
            </w:pPr>
            <w:r>
              <w:t xml:space="preserve"> 教师满意度</w:t>
            </w:r>
          </w:p>
        </w:tc>
        <w:tc>
          <w:tcPr>
            <w:tcW w:w="5386" w:type="dxa"/>
            <w:vAlign w:val="center"/>
          </w:tcPr>
          <w:p w14:paraId="2FF13CA7">
            <w:pPr>
              <w:pStyle w:val="12"/>
            </w:pPr>
            <w:r>
              <w:t xml:space="preserve"> 学校教师满意度</w:t>
            </w:r>
          </w:p>
        </w:tc>
        <w:tc>
          <w:tcPr>
            <w:tcW w:w="2268" w:type="dxa"/>
            <w:vAlign w:val="center"/>
          </w:tcPr>
          <w:p w14:paraId="4B9D40E1">
            <w:pPr>
              <w:pStyle w:val="12"/>
            </w:pPr>
            <w:r>
              <w:t>≥98%</w:t>
            </w:r>
          </w:p>
        </w:tc>
        <w:tc>
          <w:tcPr>
            <w:tcW w:w="1276" w:type="dxa"/>
            <w:vAlign w:val="center"/>
          </w:tcPr>
          <w:p w14:paraId="60ABCAF8">
            <w:pPr>
              <w:pStyle w:val="12"/>
            </w:pPr>
            <w:r>
              <w:t xml:space="preserve"> 调查问卷</w:t>
            </w:r>
          </w:p>
        </w:tc>
      </w:tr>
    </w:tbl>
    <w:p w14:paraId="08B3A38E">
      <w:pPr>
        <w:sectPr>
          <w:pgSz w:w="16840" w:h="11900" w:orient="landscape"/>
          <w:pgMar w:top="1361" w:right="1020" w:bottom="1134" w:left="1020" w:header="720" w:footer="720" w:gutter="0"/>
          <w:cols w:space="720" w:num="1"/>
        </w:sectPr>
      </w:pPr>
    </w:p>
    <w:p w14:paraId="16085FBD">
      <w:pPr>
        <w:spacing w:before="0" w:after="0"/>
        <w:ind w:firstLine="560"/>
        <w:jc w:val="left"/>
        <w:outlineLvl w:val="9"/>
      </w:pPr>
      <w:r>
        <w:rPr>
          <w:rFonts w:ascii="方正仿宋_GBK" w:hAnsi="方正仿宋_GBK" w:eastAsia="方正仿宋_GBK" w:cs="方正仿宋_GBK"/>
          <w:b/>
          <w:color w:val="000000"/>
          <w:sz w:val="28"/>
        </w:rPr>
        <w:t>31、县级配套/2026年普通高中三免（唐尧中学）建档立卡</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D2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3BE8B">
            <w:pPr>
              <w:pStyle w:val="11"/>
            </w:pPr>
            <w:r>
              <w:t>单位：万元</w:t>
            </w:r>
          </w:p>
        </w:tc>
      </w:tr>
      <w:tr w14:paraId="2B033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85917">
            <w:pPr>
              <w:pStyle w:val="10"/>
            </w:pPr>
            <w:r>
              <w:t>项目编码</w:t>
            </w:r>
          </w:p>
        </w:tc>
        <w:tc>
          <w:tcPr>
            <w:tcW w:w="5103" w:type="dxa"/>
            <w:gridSpan w:val="2"/>
            <w:vAlign w:val="center"/>
          </w:tcPr>
          <w:p w14:paraId="4BBD3E3B">
            <w:pPr>
              <w:pStyle w:val="12"/>
            </w:pPr>
            <w:r>
              <w:t>13052526P00001210039E</w:t>
            </w:r>
          </w:p>
        </w:tc>
        <w:tc>
          <w:tcPr>
            <w:tcW w:w="2835" w:type="dxa"/>
            <w:vAlign w:val="center"/>
          </w:tcPr>
          <w:p w14:paraId="0F95C4C2">
            <w:pPr>
              <w:pStyle w:val="10"/>
            </w:pPr>
            <w:r>
              <w:t>项目名称</w:t>
            </w:r>
          </w:p>
        </w:tc>
        <w:tc>
          <w:tcPr>
            <w:tcW w:w="6095" w:type="dxa"/>
            <w:gridSpan w:val="3"/>
            <w:vAlign w:val="center"/>
          </w:tcPr>
          <w:p w14:paraId="4D541D04">
            <w:pPr>
              <w:pStyle w:val="12"/>
            </w:pPr>
            <w:r>
              <w:t>县级配套/2026年普通高中三免（唐尧中学）建档立卡</w:t>
            </w:r>
            <w:r>
              <w:tab/>
            </w:r>
          </w:p>
        </w:tc>
      </w:tr>
      <w:tr w14:paraId="2AD8A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3937F">
            <w:pPr>
              <w:pStyle w:val="10"/>
            </w:pPr>
            <w:r>
              <w:t>预算规模及资金用途</w:t>
            </w:r>
          </w:p>
        </w:tc>
        <w:tc>
          <w:tcPr>
            <w:tcW w:w="2268" w:type="dxa"/>
            <w:vAlign w:val="center"/>
          </w:tcPr>
          <w:p w14:paraId="2B501A35">
            <w:pPr>
              <w:pStyle w:val="10"/>
            </w:pPr>
            <w:r>
              <w:t>预算数</w:t>
            </w:r>
          </w:p>
        </w:tc>
        <w:tc>
          <w:tcPr>
            <w:tcW w:w="2835" w:type="dxa"/>
            <w:vAlign w:val="center"/>
          </w:tcPr>
          <w:p w14:paraId="549FD6F2">
            <w:pPr>
              <w:pStyle w:val="12"/>
            </w:pPr>
            <w:r>
              <w:t>2.46</w:t>
            </w:r>
          </w:p>
        </w:tc>
        <w:tc>
          <w:tcPr>
            <w:tcW w:w="2835" w:type="dxa"/>
            <w:vAlign w:val="center"/>
          </w:tcPr>
          <w:p w14:paraId="2B1C05C6">
            <w:pPr>
              <w:pStyle w:val="10"/>
            </w:pPr>
            <w:r>
              <w:t>其中：财政    资金</w:t>
            </w:r>
          </w:p>
        </w:tc>
        <w:tc>
          <w:tcPr>
            <w:tcW w:w="2551" w:type="dxa"/>
            <w:vAlign w:val="center"/>
          </w:tcPr>
          <w:p w14:paraId="5EFEBA9B">
            <w:pPr>
              <w:pStyle w:val="12"/>
            </w:pPr>
            <w:r>
              <w:t>2.46</w:t>
            </w:r>
          </w:p>
        </w:tc>
        <w:tc>
          <w:tcPr>
            <w:tcW w:w="2268" w:type="dxa"/>
            <w:vAlign w:val="center"/>
          </w:tcPr>
          <w:p w14:paraId="53C14696">
            <w:pPr>
              <w:pStyle w:val="10"/>
            </w:pPr>
            <w:r>
              <w:t>其他资金</w:t>
            </w:r>
          </w:p>
        </w:tc>
        <w:tc>
          <w:tcPr>
            <w:tcW w:w="1276" w:type="dxa"/>
            <w:vAlign w:val="center"/>
          </w:tcPr>
          <w:p w14:paraId="6F69A532">
            <w:pPr>
              <w:pStyle w:val="12"/>
            </w:pPr>
            <w:r>
              <w:t xml:space="preserve"> </w:t>
            </w:r>
          </w:p>
        </w:tc>
      </w:tr>
      <w:tr w14:paraId="2770C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13E2A"/>
        </w:tc>
        <w:tc>
          <w:tcPr>
            <w:tcW w:w="14033" w:type="dxa"/>
            <w:gridSpan w:val="6"/>
            <w:vAlign w:val="center"/>
          </w:tcPr>
          <w:p w14:paraId="67AE2AD4">
            <w:pPr>
              <w:pStyle w:val="12"/>
            </w:pPr>
            <w:r>
              <w:t>深入宣传学生免学费政策，落实普通高中建档立卡家庭困难学生免除学杂费政策</w:t>
            </w:r>
            <w:r>
              <w:tab/>
            </w:r>
          </w:p>
        </w:tc>
      </w:tr>
      <w:tr w14:paraId="5A90F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2EC6C">
            <w:pPr>
              <w:pStyle w:val="10"/>
            </w:pPr>
            <w:r>
              <w:t>资金支出计划（%）</w:t>
            </w:r>
          </w:p>
        </w:tc>
        <w:tc>
          <w:tcPr>
            <w:tcW w:w="5103" w:type="dxa"/>
            <w:gridSpan w:val="2"/>
            <w:vAlign w:val="center"/>
          </w:tcPr>
          <w:p w14:paraId="1B45D8CF">
            <w:pPr>
              <w:pStyle w:val="10"/>
            </w:pPr>
            <w:r>
              <w:t>3月底</w:t>
            </w:r>
          </w:p>
        </w:tc>
        <w:tc>
          <w:tcPr>
            <w:tcW w:w="2835" w:type="dxa"/>
            <w:vAlign w:val="center"/>
          </w:tcPr>
          <w:p w14:paraId="4827CFA0">
            <w:pPr>
              <w:pStyle w:val="10"/>
            </w:pPr>
            <w:r>
              <w:t>6月底</w:t>
            </w:r>
          </w:p>
        </w:tc>
        <w:tc>
          <w:tcPr>
            <w:tcW w:w="2551" w:type="dxa"/>
            <w:vAlign w:val="center"/>
          </w:tcPr>
          <w:p w14:paraId="6BFB6364">
            <w:pPr>
              <w:pStyle w:val="10"/>
            </w:pPr>
            <w:r>
              <w:t>10月底</w:t>
            </w:r>
          </w:p>
        </w:tc>
        <w:tc>
          <w:tcPr>
            <w:tcW w:w="3544" w:type="dxa"/>
            <w:gridSpan w:val="2"/>
            <w:vAlign w:val="center"/>
          </w:tcPr>
          <w:p w14:paraId="4260C51E">
            <w:pPr>
              <w:pStyle w:val="10"/>
            </w:pPr>
            <w:r>
              <w:t>12月底</w:t>
            </w:r>
          </w:p>
        </w:tc>
      </w:tr>
      <w:tr w14:paraId="65F67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C6C9C"/>
        </w:tc>
        <w:tc>
          <w:tcPr>
            <w:tcW w:w="5103" w:type="dxa"/>
            <w:gridSpan w:val="2"/>
            <w:vAlign w:val="center"/>
          </w:tcPr>
          <w:p w14:paraId="342B3CBA">
            <w:pPr>
              <w:pStyle w:val="13"/>
            </w:pPr>
            <w:r>
              <w:t>25%</w:t>
            </w:r>
          </w:p>
        </w:tc>
        <w:tc>
          <w:tcPr>
            <w:tcW w:w="2835" w:type="dxa"/>
            <w:vAlign w:val="center"/>
          </w:tcPr>
          <w:p w14:paraId="689FED47">
            <w:pPr>
              <w:pStyle w:val="13"/>
            </w:pPr>
            <w:r>
              <w:t>50%</w:t>
            </w:r>
          </w:p>
        </w:tc>
        <w:tc>
          <w:tcPr>
            <w:tcW w:w="2551" w:type="dxa"/>
            <w:vAlign w:val="center"/>
          </w:tcPr>
          <w:p w14:paraId="45DDF912">
            <w:pPr>
              <w:pStyle w:val="13"/>
            </w:pPr>
            <w:r>
              <w:t>75%</w:t>
            </w:r>
          </w:p>
        </w:tc>
        <w:tc>
          <w:tcPr>
            <w:tcW w:w="3544" w:type="dxa"/>
            <w:gridSpan w:val="2"/>
            <w:vAlign w:val="center"/>
          </w:tcPr>
          <w:p w14:paraId="1A9FA9E5">
            <w:pPr>
              <w:pStyle w:val="13"/>
            </w:pPr>
            <w:r>
              <w:t>100%</w:t>
            </w:r>
          </w:p>
        </w:tc>
      </w:tr>
      <w:tr w14:paraId="38A27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9AFEE">
            <w:pPr>
              <w:pStyle w:val="10"/>
            </w:pPr>
            <w:r>
              <w:t>绩效目标</w:t>
            </w:r>
          </w:p>
        </w:tc>
        <w:tc>
          <w:tcPr>
            <w:tcW w:w="14033" w:type="dxa"/>
            <w:gridSpan w:val="6"/>
            <w:vAlign w:val="center"/>
          </w:tcPr>
          <w:p w14:paraId="49DABA78">
            <w:pPr>
              <w:pStyle w:val="12"/>
            </w:pPr>
            <w:r>
              <w:t>1.深入宣传学生免学费政策，落实普通高中建档立卡家庭困难学生免除学杂费政策</w:t>
            </w:r>
          </w:p>
        </w:tc>
      </w:tr>
    </w:tbl>
    <w:p w14:paraId="7DA56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E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D050B">
            <w:pPr>
              <w:pStyle w:val="10"/>
            </w:pPr>
            <w:r>
              <w:t>一级指标</w:t>
            </w:r>
          </w:p>
        </w:tc>
        <w:tc>
          <w:tcPr>
            <w:tcW w:w="2268" w:type="dxa"/>
            <w:vAlign w:val="center"/>
          </w:tcPr>
          <w:p w14:paraId="4C4CBF37">
            <w:pPr>
              <w:pStyle w:val="10"/>
            </w:pPr>
            <w:r>
              <w:t>二级指标</w:t>
            </w:r>
          </w:p>
        </w:tc>
        <w:tc>
          <w:tcPr>
            <w:tcW w:w="2835" w:type="dxa"/>
            <w:vAlign w:val="center"/>
          </w:tcPr>
          <w:p w14:paraId="7D3CE481">
            <w:pPr>
              <w:pStyle w:val="10"/>
            </w:pPr>
            <w:r>
              <w:t>三级指标</w:t>
            </w:r>
          </w:p>
        </w:tc>
        <w:tc>
          <w:tcPr>
            <w:tcW w:w="5386" w:type="dxa"/>
            <w:vAlign w:val="center"/>
          </w:tcPr>
          <w:p w14:paraId="5542F965">
            <w:pPr>
              <w:pStyle w:val="10"/>
            </w:pPr>
            <w:r>
              <w:t>绩效指标描述</w:t>
            </w:r>
          </w:p>
        </w:tc>
        <w:tc>
          <w:tcPr>
            <w:tcW w:w="2268" w:type="dxa"/>
            <w:vAlign w:val="center"/>
          </w:tcPr>
          <w:p w14:paraId="18942EE8">
            <w:pPr>
              <w:pStyle w:val="10"/>
            </w:pPr>
            <w:r>
              <w:t>指标值</w:t>
            </w:r>
          </w:p>
        </w:tc>
        <w:tc>
          <w:tcPr>
            <w:tcW w:w="1276" w:type="dxa"/>
            <w:vAlign w:val="center"/>
          </w:tcPr>
          <w:p w14:paraId="661C7DC0">
            <w:pPr>
              <w:pStyle w:val="10"/>
            </w:pPr>
            <w:r>
              <w:t>指标值确定依据</w:t>
            </w:r>
          </w:p>
        </w:tc>
      </w:tr>
      <w:tr w14:paraId="08F61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88416">
            <w:pPr>
              <w:pStyle w:val="13"/>
            </w:pPr>
            <w:r>
              <w:t>产出指标</w:t>
            </w:r>
          </w:p>
        </w:tc>
        <w:tc>
          <w:tcPr>
            <w:tcW w:w="2268" w:type="dxa"/>
            <w:vAlign w:val="center"/>
          </w:tcPr>
          <w:p w14:paraId="1BF54585">
            <w:pPr>
              <w:pStyle w:val="12"/>
            </w:pPr>
            <w:r>
              <w:t>数量指标</w:t>
            </w:r>
          </w:p>
        </w:tc>
        <w:tc>
          <w:tcPr>
            <w:tcW w:w="2835" w:type="dxa"/>
            <w:vAlign w:val="center"/>
          </w:tcPr>
          <w:p w14:paraId="1F483632">
            <w:pPr>
              <w:pStyle w:val="12"/>
            </w:pPr>
            <w:r>
              <w:t>普通高中资助人数</w:t>
            </w:r>
          </w:p>
        </w:tc>
        <w:tc>
          <w:tcPr>
            <w:tcW w:w="5386" w:type="dxa"/>
            <w:vAlign w:val="center"/>
          </w:tcPr>
          <w:p w14:paraId="757D1CE8">
            <w:pPr>
              <w:pStyle w:val="12"/>
            </w:pPr>
            <w:r>
              <w:t>在我校就读具有正式注册学籍的建档立卡家庭学生</w:t>
            </w:r>
          </w:p>
        </w:tc>
        <w:tc>
          <w:tcPr>
            <w:tcW w:w="2268" w:type="dxa"/>
            <w:vAlign w:val="center"/>
          </w:tcPr>
          <w:p w14:paraId="33585CEE">
            <w:pPr>
              <w:pStyle w:val="12"/>
            </w:pPr>
            <w:r>
              <w:t>≥88人</w:t>
            </w:r>
          </w:p>
        </w:tc>
        <w:tc>
          <w:tcPr>
            <w:tcW w:w="1276" w:type="dxa"/>
            <w:vAlign w:val="center"/>
          </w:tcPr>
          <w:p w14:paraId="3D54FFD3">
            <w:pPr>
              <w:pStyle w:val="12"/>
            </w:pPr>
            <w:r>
              <w:t>河北省建档立卡家庭经济困难学生资助管理暂行办法</w:t>
            </w:r>
          </w:p>
        </w:tc>
      </w:tr>
      <w:tr w14:paraId="51FF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32B21"/>
        </w:tc>
        <w:tc>
          <w:tcPr>
            <w:tcW w:w="2268" w:type="dxa"/>
            <w:vAlign w:val="center"/>
          </w:tcPr>
          <w:p w14:paraId="4FEA897A">
            <w:pPr>
              <w:pStyle w:val="12"/>
            </w:pPr>
            <w:r>
              <w:t>质量指标</w:t>
            </w:r>
          </w:p>
        </w:tc>
        <w:tc>
          <w:tcPr>
            <w:tcW w:w="2835" w:type="dxa"/>
            <w:vAlign w:val="center"/>
          </w:tcPr>
          <w:p w14:paraId="042172D2">
            <w:pPr>
              <w:pStyle w:val="12"/>
            </w:pPr>
            <w:r>
              <w:t>完成普高三免资金发放</w:t>
            </w:r>
          </w:p>
        </w:tc>
        <w:tc>
          <w:tcPr>
            <w:tcW w:w="5386" w:type="dxa"/>
            <w:vAlign w:val="center"/>
          </w:tcPr>
          <w:p w14:paraId="222BBD99">
            <w:pPr>
              <w:pStyle w:val="12"/>
            </w:pPr>
            <w:r>
              <w:t>普高三免为建档立卡学生</w:t>
            </w:r>
          </w:p>
        </w:tc>
        <w:tc>
          <w:tcPr>
            <w:tcW w:w="2268" w:type="dxa"/>
            <w:vAlign w:val="center"/>
          </w:tcPr>
          <w:p w14:paraId="0E204D14">
            <w:pPr>
              <w:pStyle w:val="12"/>
            </w:pPr>
            <w:r>
              <w:t>100%</w:t>
            </w:r>
          </w:p>
        </w:tc>
        <w:tc>
          <w:tcPr>
            <w:tcW w:w="1276" w:type="dxa"/>
            <w:vAlign w:val="center"/>
          </w:tcPr>
          <w:p w14:paraId="7DDC7FC3">
            <w:pPr>
              <w:pStyle w:val="12"/>
            </w:pPr>
            <w:r>
              <w:t>河北省建档立卡家庭经济困难学生资助管理暂行办法</w:t>
            </w:r>
          </w:p>
        </w:tc>
      </w:tr>
      <w:tr w14:paraId="1F40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A0D1A"/>
        </w:tc>
        <w:tc>
          <w:tcPr>
            <w:tcW w:w="2268" w:type="dxa"/>
            <w:vAlign w:val="center"/>
          </w:tcPr>
          <w:p w14:paraId="5BB043D8">
            <w:pPr>
              <w:pStyle w:val="12"/>
            </w:pPr>
            <w:r>
              <w:t>时效指标</w:t>
            </w:r>
          </w:p>
        </w:tc>
        <w:tc>
          <w:tcPr>
            <w:tcW w:w="2835" w:type="dxa"/>
            <w:vAlign w:val="center"/>
          </w:tcPr>
          <w:p w14:paraId="7DC2B055">
            <w:pPr>
              <w:pStyle w:val="12"/>
            </w:pPr>
            <w:r>
              <w:t>补助资金到位</w:t>
            </w:r>
          </w:p>
        </w:tc>
        <w:tc>
          <w:tcPr>
            <w:tcW w:w="5386" w:type="dxa"/>
            <w:vAlign w:val="center"/>
          </w:tcPr>
          <w:p w14:paraId="3098C6F6">
            <w:pPr>
              <w:pStyle w:val="12"/>
            </w:pPr>
            <w:r>
              <w:t>补助资金到位及时率</w:t>
            </w:r>
          </w:p>
        </w:tc>
        <w:tc>
          <w:tcPr>
            <w:tcW w:w="2268" w:type="dxa"/>
            <w:vAlign w:val="center"/>
          </w:tcPr>
          <w:p w14:paraId="5A548D02">
            <w:pPr>
              <w:pStyle w:val="12"/>
            </w:pPr>
            <w:r>
              <w:t>100%</w:t>
            </w:r>
          </w:p>
        </w:tc>
        <w:tc>
          <w:tcPr>
            <w:tcW w:w="1276" w:type="dxa"/>
            <w:vAlign w:val="center"/>
          </w:tcPr>
          <w:p w14:paraId="686A6657">
            <w:pPr>
              <w:pStyle w:val="12"/>
            </w:pPr>
            <w:r>
              <w:t>河北省建档立卡家庭经济困难学生资助管理暂行办法</w:t>
            </w:r>
          </w:p>
        </w:tc>
      </w:tr>
      <w:tr w14:paraId="3703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FD74C"/>
        </w:tc>
        <w:tc>
          <w:tcPr>
            <w:tcW w:w="2268" w:type="dxa"/>
            <w:vAlign w:val="center"/>
          </w:tcPr>
          <w:p w14:paraId="1D46AEE3">
            <w:pPr>
              <w:pStyle w:val="12"/>
            </w:pPr>
            <w:r>
              <w:t>成本指标</w:t>
            </w:r>
          </w:p>
        </w:tc>
        <w:tc>
          <w:tcPr>
            <w:tcW w:w="2835" w:type="dxa"/>
            <w:vAlign w:val="center"/>
          </w:tcPr>
          <w:p w14:paraId="675C1127">
            <w:pPr>
              <w:pStyle w:val="12"/>
            </w:pPr>
            <w:r>
              <w:t>普通高中建档立卡学生减免标准</w:t>
            </w:r>
          </w:p>
        </w:tc>
        <w:tc>
          <w:tcPr>
            <w:tcW w:w="5386" w:type="dxa"/>
            <w:vAlign w:val="center"/>
          </w:tcPr>
          <w:p w14:paraId="238551DF">
            <w:pPr>
              <w:pStyle w:val="12"/>
            </w:pPr>
            <w:r>
              <w:t>学费2000元/生/年；住宿费500元/生/年；书费300元/生/年</w:t>
            </w:r>
          </w:p>
        </w:tc>
        <w:tc>
          <w:tcPr>
            <w:tcW w:w="2268" w:type="dxa"/>
            <w:vAlign w:val="center"/>
          </w:tcPr>
          <w:p w14:paraId="1FC91043">
            <w:pPr>
              <w:pStyle w:val="12"/>
            </w:pPr>
            <w:r>
              <w:t>2800元</w:t>
            </w:r>
          </w:p>
        </w:tc>
        <w:tc>
          <w:tcPr>
            <w:tcW w:w="1276" w:type="dxa"/>
            <w:vAlign w:val="center"/>
          </w:tcPr>
          <w:p w14:paraId="550B374B">
            <w:pPr>
              <w:pStyle w:val="12"/>
            </w:pPr>
            <w:r>
              <w:t>河北省建档立卡家庭经济困难学生资助管理暂行办法</w:t>
            </w:r>
          </w:p>
        </w:tc>
      </w:tr>
      <w:tr w14:paraId="3836F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9B5DE">
            <w:pPr>
              <w:pStyle w:val="13"/>
            </w:pPr>
            <w:r>
              <w:t>效益指标</w:t>
            </w:r>
          </w:p>
        </w:tc>
        <w:tc>
          <w:tcPr>
            <w:tcW w:w="2268" w:type="dxa"/>
            <w:vAlign w:val="center"/>
          </w:tcPr>
          <w:p w14:paraId="5EE4F052">
            <w:pPr>
              <w:pStyle w:val="12"/>
            </w:pPr>
            <w:r>
              <w:t>可持续影响指标</w:t>
            </w:r>
          </w:p>
        </w:tc>
        <w:tc>
          <w:tcPr>
            <w:tcW w:w="2835" w:type="dxa"/>
            <w:vAlign w:val="center"/>
          </w:tcPr>
          <w:p w14:paraId="22A82728">
            <w:pPr>
              <w:pStyle w:val="12"/>
            </w:pPr>
            <w:r>
              <w:t>高中运转</w:t>
            </w:r>
          </w:p>
        </w:tc>
        <w:tc>
          <w:tcPr>
            <w:tcW w:w="5386" w:type="dxa"/>
            <w:vAlign w:val="center"/>
          </w:tcPr>
          <w:p w14:paraId="7CE4886C">
            <w:pPr>
              <w:pStyle w:val="12"/>
            </w:pPr>
            <w:r>
              <w:t>高中生受教育年限</w:t>
            </w:r>
          </w:p>
        </w:tc>
        <w:tc>
          <w:tcPr>
            <w:tcW w:w="2268" w:type="dxa"/>
            <w:vAlign w:val="center"/>
          </w:tcPr>
          <w:p w14:paraId="500CC0BB">
            <w:pPr>
              <w:pStyle w:val="12"/>
            </w:pPr>
            <w:r>
              <w:t>3年</w:t>
            </w:r>
          </w:p>
        </w:tc>
        <w:tc>
          <w:tcPr>
            <w:tcW w:w="1276" w:type="dxa"/>
            <w:vAlign w:val="center"/>
          </w:tcPr>
          <w:p w14:paraId="2F4D88F4">
            <w:pPr>
              <w:pStyle w:val="12"/>
            </w:pPr>
            <w:r>
              <w:t>河北省建档立卡家庭经济困难学生资助管理暂行办法</w:t>
            </w:r>
          </w:p>
        </w:tc>
      </w:tr>
      <w:tr w14:paraId="4A65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CF3C7">
            <w:pPr>
              <w:pStyle w:val="13"/>
            </w:pPr>
            <w:r>
              <w:t>满意度指标</w:t>
            </w:r>
          </w:p>
        </w:tc>
        <w:tc>
          <w:tcPr>
            <w:tcW w:w="2268" w:type="dxa"/>
            <w:vAlign w:val="center"/>
          </w:tcPr>
          <w:p w14:paraId="1892F3C0">
            <w:pPr>
              <w:pStyle w:val="12"/>
            </w:pPr>
            <w:r>
              <w:t>服务对象满意度指标</w:t>
            </w:r>
          </w:p>
        </w:tc>
        <w:tc>
          <w:tcPr>
            <w:tcW w:w="2835" w:type="dxa"/>
            <w:vAlign w:val="center"/>
          </w:tcPr>
          <w:p w14:paraId="5E30A772">
            <w:pPr>
              <w:pStyle w:val="12"/>
            </w:pPr>
            <w:r>
              <w:t>提升幸福指数</w:t>
            </w:r>
          </w:p>
        </w:tc>
        <w:tc>
          <w:tcPr>
            <w:tcW w:w="5386" w:type="dxa"/>
            <w:vAlign w:val="center"/>
          </w:tcPr>
          <w:p w14:paraId="74E326AC">
            <w:pPr>
              <w:pStyle w:val="12"/>
            </w:pPr>
            <w:r>
              <w:t>提升建档立卡贫困家庭学生幸福指数</w:t>
            </w:r>
          </w:p>
          <w:p w14:paraId="519741FA">
            <w:pPr>
              <w:pStyle w:val="12"/>
            </w:pPr>
            <w:r>
              <w:t>家长学生满意</w:t>
            </w:r>
          </w:p>
        </w:tc>
        <w:tc>
          <w:tcPr>
            <w:tcW w:w="2268" w:type="dxa"/>
            <w:vAlign w:val="center"/>
          </w:tcPr>
          <w:p w14:paraId="40BDC097">
            <w:pPr>
              <w:pStyle w:val="12"/>
            </w:pPr>
            <w:r>
              <w:t>≥98%</w:t>
            </w:r>
          </w:p>
        </w:tc>
        <w:tc>
          <w:tcPr>
            <w:tcW w:w="1276" w:type="dxa"/>
            <w:vAlign w:val="center"/>
          </w:tcPr>
          <w:p w14:paraId="72CF4715">
            <w:pPr>
              <w:pStyle w:val="12"/>
            </w:pPr>
            <w:r>
              <w:t>河北省建档立卡家庭经济困难学生资助管理暂行办法</w:t>
            </w:r>
          </w:p>
        </w:tc>
      </w:tr>
    </w:tbl>
    <w:p w14:paraId="4331C912">
      <w:pPr>
        <w:sectPr>
          <w:pgSz w:w="16840" w:h="11900" w:orient="landscape"/>
          <w:pgMar w:top="1361" w:right="1020" w:bottom="1134" w:left="1020" w:header="720" w:footer="720" w:gutter="0"/>
          <w:cols w:space="720" w:num="1"/>
        </w:sectPr>
      </w:pPr>
    </w:p>
    <w:p w14:paraId="318BF1ED">
      <w:pPr>
        <w:spacing w:before="0" w:after="0"/>
        <w:ind w:firstLine="560"/>
        <w:jc w:val="left"/>
        <w:outlineLvl w:val="9"/>
      </w:pPr>
      <w:r>
        <w:rPr>
          <w:rFonts w:ascii="方正仿宋_GBK" w:hAnsi="方正仿宋_GBK" w:eastAsia="方正仿宋_GBK" w:cs="方正仿宋_GBK"/>
          <w:b/>
          <w:color w:val="000000"/>
          <w:sz w:val="28"/>
        </w:rPr>
        <w:t>32、县级配套/2026年普通高中三免（文茂中学）建档立卡</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3C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A9C6C">
            <w:pPr>
              <w:pStyle w:val="11"/>
            </w:pPr>
            <w:r>
              <w:t>单位：万元</w:t>
            </w:r>
          </w:p>
        </w:tc>
      </w:tr>
      <w:tr w14:paraId="46097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E27F2">
            <w:pPr>
              <w:pStyle w:val="10"/>
            </w:pPr>
            <w:r>
              <w:t>项目编码</w:t>
            </w:r>
          </w:p>
        </w:tc>
        <w:tc>
          <w:tcPr>
            <w:tcW w:w="5103" w:type="dxa"/>
            <w:gridSpan w:val="2"/>
            <w:vAlign w:val="center"/>
          </w:tcPr>
          <w:p w14:paraId="7DAC3740">
            <w:pPr>
              <w:pStyle w:val="12"/>
            </w:pPr>
            <w:r>
              <w:t>13052526P00001210041D</w:t>
            </w:r>
          </w:p>
        </w:tc>
        <w:tc>
          <w:tcPr>
            <w:tcW w:w="2835" w:type="dxa"/>
            <w:vAlign w:val="center"/>
          </w:tcPr>
          <w:p w14:paraId="3DBF3A6C">
            <w:pPr>
              <w:pStyle w:val="10"/>
            </w:pPr>
            <w:r>
              <w:t>项目名称</w:t>
            </w:r>
          </w:p>
        </w:tc>
        <w:tc>
          <w:tcPr>
            <w:tcW w:w="6095" w:type="dxa"/>
            <w:gridSpan w:val="3"/>
            <w:vAlign w:val="center"/>
          </w:tcPr>
          <w:p w14:paraId="13EE7FB9">
            <w:pPr>
              <w:pStyle w:val="12"/>
            </w:pPr>
            <w:r>
              <w:t>县级配套/2026年普通高中三免（文茂中学）建档立卡</w:t>
            </w:r>
            <w:r>
              <w:tab/>
            </w:r>
          </w:p>
        </w:tc>
      </w:tr>
      <w:tr w14:paraId="2AD46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30FF5">
            <w:pPr>
              <w:pStyle w:val="10"/>
            </w:pPr>
            <w:r>
              <w:t>预算规模及资金用途</w:t>
            </w:r>
          </w:p>
        </w:tc>
        <w:tc>
          <w:tcPr>
            <w:tcW w:w="2268" w:type="dxa"/>
            <w:vAlign w:val="center"/>
          </w:tcPr>
          <w:p w14:paraId="32FCBDB0">
            <w:pPr>
              <w:pStyle w:val="10"/>
            </w:pPr>
            <w:r>
              <w:t>预算数</w:t>
            </w:r>
          </w:p>
        </w:tc>
        <w:tc>
          <w:tcPr>
            <w:tcW w:w="2835" w:type="dxa"/>
            <w:vAlign w:val="center"/>
          </w:tcPr>
          <w:p w14:paraId="32AE0BE3">
            <w:pPr>
              <w:pStyle w:val="12"/>
            </w:pPr>
            <w:r>
              <w:t>1.20</w:t>
            </w:r>
          </w:p>
        </w:tc>
        <w:tc>
          <w:tcPr>
            <w:tcW w:w="2835" w:type="dxa"/>
            <w:vAlign w:val="center"/>
          </w:tcPr>
          <w:p w14:paraId="757A6612">
            <w:pPr>
              <w:pStyle w:val="10"/>
            </w:pPr>
            <w:r>
              <w:t>其中：财政    资金</w:t>
            </w:r>
          </w:p>
        </w:tc>
        <w:tc>
          <w:tcPr>
            <w:tcW w:w="2551" w:type="dxa"/>
            <w:vAlign w:val="center"/>
          </w:tcPr>
          <w:p w14:paraId="51F6DED1">
            <w:pPr>
              <w:pStyle w:val="12"/>
            </w:pPr>
            <w:r>
              <w:t>1.20</w:t>
            </w:r>
          </w:p>
        </w:tc>
        <w:tc>
          <w:tcPr>
            <w:tcW w:w="2268" w:type="dxa"/>
            <w:vAlign w:val="center"/>
          </w:tcPr>
          <w:p w14:paraId="78914AB6">
            <w:pPr>
              <w:pStyle w:val="10"/>
            </w:pPr>
            <w:r>
              <w:t>其他资金</w:t>
            </w:r>
          </w:p>
        </w:tc>
        <w:tc>
          <w:tcPr>
            <w:tcW w:w="1276" w:type="dxa"/>
            <w:vAlign w:val="center"/>
          </w:tcPr>
          <w:p w14:paraId="001D9FB4">
            <w:pPr>
              <w:pStyle w:val="12"/>
            </w:pPr>
            <w:r>
              <w:t xml:space="preserve"> </w:t>
            </w:r>
          </w:p>
        </w:tc>
      </w:tr>
      <w:tr w14:paraId="4D0E2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A5394"/>
        </w:tc>
        <w:tc>
          <w:tcPr>
            <w:tcW w:w="14033" w:type="dxa"/>
            <w:gridSpan w:val="6"/>
            <w:vAlign w:val="center"/>
          </w:tcPr>
          <w:p w14:paraId="41191562">
            <w:pPr>
              <w:pStyle w:val="12"/>
            </w:pPr>
            <w:r>
              <w:t>深入宣传学生免学费政策，落实普通高中建档立卡家庭困难学生免除学杂费政策</w:t>
            </w:r>
            <w:r>
              <w:tab/>
            </w:r>
          </w:p>
        </w:tc>
      </w:tr>
      <w:tr w14:paraId="2D7B1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1FFB0">
            <w:pPr>
              <w:pStyle w:val="10"/>
            </w:pPr>
            <w:r>
              <w:t>资金支出计划（%）</w:t>
            </w:r>
          </w:p>
        </w:tc>
        <w:tc>
          <w:tcPr>
            <w:tcW w:w="5103" w:type="dxa"/>
            <w:gridSpan w:val="2"/>
            <w:vAlign w:val="center"/>
          </w:tcPr>
          <w:p w14:paraId="00CBA8FB">
            <w:pPr>
              <w:pStyle w:val="10"/>
            </w:pPr>
            <w:r>
              <w:t>3月底</w:t>
            </w:r>
          </w:p>
        </w:tc>
        <w:tc>
          <w:tcPr>
            <w:tcW w:w="2835" w:type="dxa"/>
            <w:vAlign w:val="center"/>
          </w:tcPr>
          <w:p w14:paraId="6DF2436F">
            <w:pPr>
              <w:pStyle w:val="10"/>
            </w:pPr>
            <w:r>
              <w:t>6月底</w:t>
            </w:r>
          </w:p>
        </w:tc>
        <w:tc>
          <w:tcPr>
            <w:tcW w:w="2551" w:type="dxa"/>
            <w:vAlign w:val="center"/>
          </w:tcPr>
          <w:p w14:paraId="11761588">
            <w:pPr>
              <w:pStyle w:val="10"/>
            </w:pPr>
            <w:r>
              <w:t>10月底</w:t>
            </w:r>
          </w:p>
        </w:tc>
        <w:tc>
          <w:tcPr>
            <w:tcW w:w="3544" w:type="dxa"/>
            <w:gridSpan w:val="2"/>
            <w:vAlign w:val="center"/>
          </w:tcPr>
          <w:p w14:paraId="3195F447">
            <w:pPr>
              <w:pStyle w:val="10"/>
            </w:pPr>
            <w:r>
              <w:t>12月底</w:t>
            </w:r>
          </w:p>
        </w:tc>
      </w:tr>
      <w:tr w14:paraId="62FDB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A992C"/>
        </w:tc>
        <w:tc>
          <w:tcPr>
            <w:tcW w:w="5103" w:type="dxa"/>
            <w:gridSpan w:val="2"/>
            <w:vAlign w:val="center"/>
          </w:tcPr>
          <w:p w14:paraId="756E5870">
            <w:pPr>
              <w:pStyle w:val="13"/>
            </w:pPr>
            <w:r>
              <w:t>25%</w:t>
            </w:r>
          </w:p>
        </w:tc>
        <w:tc>
          <w:tcPr>
            <w:tcW w:w="2835" w:type="dxa"/>
            <w:vAlign w:val="center"/>
          </w:tcPr>
          <w:p w14:paraId="7424A588">
            <w:pPr>
              <w:pStyle w:val="13"/>
            </w:pPr>
            <w:r>
              <w:t>50%</w:t>
            </w:r>
          </w:p>
        </w:tc>
        <w:tc>
          <w:tcPr>
            <w:tcW w:w="2551" w:type="dxa"/>
            <w:vAlign w:val="center"/>
          </w:tcPr>
          <w:p w14:paraId="782BDEDB">
            <w:pPr>
              <w:pStyle w:val="13"/>
            </w:pPr>
            <w:r>
              <w:t>75%</w:t>
            </w:r>
          </w:p>
        </w:tc>
        <w:tc>
          <w:tcPr>
            <w:tcW w:w="3544" w:type="dxa"/>
            <w:gridSpan w:val="2"/>
            <w:vAlign w:val="center"/>
          </w:tcPr>
          <w:p w14:paraId="5DC228EA">
            <w:pPr>
              <w:pStyle w:val="13"/>
            </w:pPr>
            <w:r>
              <w:t>100%</w:t>
            </w:r>
          </w:p>
        </w:tc>
      </w:tr>
      <w:tr w14:paraId="70CBA4CD">
        <w:tblPrEx>
          <w:tblCellMar>
            <w:top w:w="0" w:type="dxa"/>
            <w:left w:w="108" w:type="dxa"/>
            <w:bottom w:w="0" w:type="dxa"/>
            <w:right w:w="108" w:type="dxa"/>
          </w:tblCellMar>
        </w:tblPrEx>
        <w:trPr>
          <w:trHeight w:val="369" w:hRule="atLeast"/>
          <w:jc w:val="center"/>
        </w:trPr>
        <w:tc>
          <w:tcPr>
            <w:tcW w:w="1276" w:type="dxa"/>
            <w:vAlign w:val="center"/>
          </w:tcPr>
          <w:p w14:paraId="4B7E4043">
            <w:pPr>
              <w:pStyle w:val="10"/>
            </w:pPr>
            <w:r>
              <w:t>绩效目标</w:t>
            </w:r>
          </w:p>
        </w:tc>
        <w:tc>
          <w:tcPr>
            <w:tcW w:w="14033" w:type="dxa"/>
            <w:gridSpan w:val="6"/>
            <w:vAlign w:val="center"/>
          </w:tcPr>
          <w:p w14:paraId="4C806900">
            <w:pPr>
              <w:pStyle w:val="12"/>
            </w:pPr>
            <w:r>
              <w:t>1.深入宣传学生免学费政策，落实普通高中建档立卡家庭困难学生免除学杂费政策</w:t>
            </w:r>
          </w:p>
        </w:tc>
      </w:tr>
    </w:tbl>
    <w:p w14:paraId="3F4CAE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1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14089">
            <w:pPr>
              <w:pStyle w:val="10"/>
            </w:pPr>
            <w:r>
              <w:t>一级指标</w:t>
            </w:r>
          </w:p>
        </w:tc>
        <w:tc>
          <w:tcPr>
            <w:tcW w:w="2268" w:type="dxa"/>
            <w:vAlign w:val="center"/>
          </w:tcPr>
          <w:p w14:paraId="34819FD4">
            <w:pPr>
              <w:pStyle w:val="10"/>
            </w:pPr>
            <w:r>
              <w:t>二级指标</w:t>
            </w:r>
          </w:p>
        </w:tc>
        <w:tc>
          <w:tcPr>
            <w:tcW w:w="2835" w:type="dxa"/>
            <w:vAlign w:val="center"/>
          </w:tcPr>
          <w:p w14:paraId="100AFC52">
            <w:pPr>
              <w:pStyle w:val="10"/>
            </w:pPr>
            <w:r>
              <w:t>三级指标</w:t>
            </w:r>
          </w:p>
        </w:tc>
        <w:tc>
          <w:tcPr>
            <w:tcW w:w="5386" w:type="dxa"/>
            <w:vAlign w:val="center"/>
          </w:tcPr>
          <w:p w14:paraId="4C046983">
            <w:pPr>
              <w:pStyle w:val="10"/>
            </w:pPr>
            <w:r>
              <w:t>绩效指标描述</w:t>
            </w:r>
          </w:p>
        </w:tc>
        <w:tc>
          <w:tcPr>
            <w:tcW w:w="2268" w:type="dxa"/>
            <w:vAlign w:val="center"/>
          </w:tcPr>
          <w:p w14:paraId="28D0EFC7">
            <w:pPr>
              <w:pStyle w:val="10"/>
            </w:pPr>
            <w:r>
              <w:t>指标值</w:t>
            </w:r>
          </w:p>
        </w:tc>
        <w:tc>
          <w:tcPr>
            <w:tcW w:w="1276" w:type="dxa"/>
            <w:vAlign w:val="center"/>
          </w:tcPr>
          <w:p w14:paraId="003D671B">
            <w:pPr>
              <w:pStyle w:val="10"/>
            </w:pPr>
            <w:r>
              <w:t>指标值确定依据</w:t>
            </w:r>
          </w:p>
        </w:tc>
      </w:tr>
      <w:tr w14:paraId="0AE90F3A">
        <w:tblPrEx>
          <w:tblCellMar>
            <w:top w:w="0" w:type="dxa"/>
            <w:left w:w="108" w:type="dxa"/>
            <w:bottom w:w="0" w:type="dxa"/>
            <w:right w:w="108" w:type="dxa"/>
          </w:tblCellMar>
        </w:tblPrEx>
        <w:trPr>
          <w:trHeight w:val="397" w:hRule="atLeast"/>
          <w:jc w:val="center"/>
        </w:trPr>
        <w:tc>
          <w:tcPr>
            <w:tcW w:w="1276" w:type="dxa"/>
            <w:vMerge w:val="restart"/>
            <w:vAlign w:val="center"/>
          </w:tcPr>
          <w:p w14:paraId="24696A2B">
            <w:pPr>
              <w:pStyle w:val="13"/>
            </w:pPr>
            <w:r>
              <w:t>产出指标</w:t>
            </w:r>
          </w:p>
        </w:tc>
        <w:tc>
          <w:tcPr>
            <w:tcW w:w="2268" w:type="dxa"/>
            <w:vAlign w:val="center"/>
          </w:tcPr>
          <w:p w14:paraId="303548EC">
            <w:pPr>
              <w:pStyle w:val="12"/>
            </w:pPr>
            <w:r>
              <w:t>数量指标</w:t>
            </w:r>
          </w:p>
        </w:tc>
        <w:tc>
          <w:tcPr>
            <w:tcW w:w="2835" w:type="dxa"/>
            <w:vAlign w:val="center"/>
          </w:tcPr>
          <w:p w14:paraId="22BA1C92">
            <w:pPr>
              <w:pStyle w:val="12"/>
            </w:pPr>
            <w:r>
              <w:t>普通高中资助人数</w:t>
            </w:r>
          </w:p>
        </w:tc>
        <w:tc>
          <w:tcPr>
            <w:tcW w:w="5386" w:type="dxa"/>
            <w:vAlign w:val="center"/>
          </w:tcPr>
          <w:p w14:paraId="321056F4">
            <w:pPr>
              <w:pStyle w:val="12"/>
            </w:pPr>
            <w:r>
              <w:t>在我校就读具有正式注册学籍的建档立卡家庭学生</w:t>
            </w:r>
          </w:p>
        </w:tc>
        <w:tc>
          <w:tcPr>
            <w:tcW w:w="2268" w:type="dxa"/>
            <w:vAlign w:val="center"/>
          </w:tcPr>
          <w:p w14:paraId="1DE20D37">
            <w:pPr>
              <w:pStyle w:val="12"/>
            </w:pPr>
            <w:r>
              <w:t>≥46人</w:t>
            </w:r>
          </w:p>
        </w:tc>
        <w:tc>
          <w:tcPr>
            <w:tcW w:w="1276" w:type="dxa"/>
            <w:vAlign w:val="center"/>
          </w:tcPr>
          <w:p w14:paraId="64123CE5">
            <w:pPr>
              <w:pStyle w:val="12"/>
            </w:pPr>
            <w:r>
              <w:t>河北省建档立卡家庭经济困难学生资助管理暂行办法</w:t>
            </w:r>
          </w:p>
        </w:tc>
      </w:tr>
      <w:tr w14:paraId="4FC3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73E72"/>
        </w:tc>
        <w:tc>
          <w:tcPr>
            <w:tcW w:w="2268" w:type="dxa"/>
            <w:vAlign w:val="center"/>
          </w:tcPr>
          <w:p w14:paraId="6638A40B">
            <w:pPr>
              <w:pStyle w:val="12"/>
            </w:pPr>
            <w:r>
              <w:t>质量指标</w:t>
            </w:r>
          </w:p>
        </w:tc>
        <w:tc>
          <w:tcPr>
            <w:tcW w:w="2835" w:type="dxa"/>
            <w:vAlign w:val="center"/>
          </w:tcPr>
          <w:p w14:paraId="245674DF">
            <w:pPr>
              <w:pStyle w:val="12"/>
            </w:pPr>
            <w:r>
              <w:t>完成普高三免资金发放</w:t>
            </w:r>
          </w:p>
        </w:tc>
        <w:tc>
          <w:tcPr>
            <w:tcW w:w="5386" w:type="dxa"/>
            <w:vAlign w:val="center"/>
          </w:tcPr>
          <w:p w14:paraId="1F1335D8">
            <w:pPr>
              <w:pStyle w:val="12"/>
            </w:pPr>
            <w:r>
              <w:t>普高三免为建档立卡学生</w:t>
            </w:r>
          </w:p>
        </w:tc>
        <w:tc>
          <w:tcPr>
            <w:tcW w:w="2268" w:type="dxa"/>
            <w:vAlign w:val="center"/>
          </w:tcPr>
          <w:p w14:paraId="40BE25B7">
            <w:pPr>
              <w:pStyle w:val="12"/>
            </w:pPr>
            <w:r>
              <w:t>100%</w:t>
            </w:r>
          </w:p>
        </w:tc>
        <w:tc>
          <w:tcPr>
            <w:tcW w:w="1276" w:type="dxa"/>
            <w:vAlign w:val="center"/>
          </w:tcPr>
          <w:p w14:paraId="524E166F">
            <w:pPr>
              <w:pStyle w:val="12"/>
            </w:pPr>
            <w:r>
              <w:t>河北省建档立卡家庭经济困难学生资助管理暂行办法</w:t>
            </w:r>
          </w:p>
        </w:tc>
      </w:tr>
      <w:tr w14:paraId="56C4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0CF3"/>
        </w:tc>
        <w:tc>
          <w:tcPr>
            <w:tcW w:w="2268" w:type="dxa"/>
            <w:vAlign w:val="center"/>
          </w:tcPr>
          <w:p w14:paraId="4BE5E6B8">
            <w:pPr>
              <w:pStyle w:val="12"/>
            </w:pPr>
            <w:r>
              <w:t>时效指标</w:t>
            </w:r>
          </w:p>
        </w:tc>
        <w:tc>
          <w:tcPr>
            <w:tcW w:w="2835" w:type="dxa"/>
            <w:vAlign w:val="center"/>
          </w:tcPr>
          <w:p w14:paraId="5DFF5EAA">
            <w:pPr>
              <w:pStyle w:val="12"/>
            </w:pPr>
            <w:r>
              <w:t>补助资金到位</w:t>
            </w:r>
          </w:p>
        </w:tc>
        <w:tc>
          <w:tcPr>
            <w:tcW w:w="5386" w:type="dxa"/>
            <w:vAlign w:val="center"/>
          </w:tcPr>
          <w:p w14:paraId="7481BD39">
            <w:pPr>
              <w:pStyle w:val="12"/>
            </w:pPr>
            <w:r>
              <w:t>补助资金到位及时率</w:t>
            </w:r>
          </w:p>
        </w:tc>
        <w:tc>
          <w:tcPr>
            <w:tcW w:w="2268" w:type="dxa"/>
            <w:vAlign w:val="center"/>
          </w:tcPr>
          <w:p w14:paraId="491D3540">
            <w:pPr>
              <w:pStyle w:val="12"/>
            </w:pPr>
            <w:r>
              <w:t>99%</w:t>
            </w:r>
          </w:p>
        </w:tc>
        <w:tc>
          <w:tcPr>
            <w:tcW w:w="1276" w:type="dxa"/>
            <w:vAlign w:val="center"/>
          </w:tcPr>
          <w:p w14:paraId="71F42629">
            <w:pPr>
              <w:pStyle w:val="12"/>
            </w:pPr>
            <w:r>
              <w:t>河北省建档立卡家庭经济困难学生资助管理暂行办法</w:t>
            </w:r>
          </w:p>
        </w:tc>
      </w:tr>
      <w:tr w14:paraId="69F3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E32CF"/>
        </w:tc>
        <w:tc>
          <w:tcPr>
            <w:tcW w:w="2268" w:type="dxa"/>
            <w:vAlign w:val="center"/>
          </w:tcPr>
          <w:p w14:paraId="0EBF84B0">
            <w:pPr>
              <w:pStyle w:val="12"/>
            </w:pPr>
            <w:r>
              <w:t>成本指标</w:t>
            </w:r>
          </w:p>
        </w:tc>
        <w:tc>
          <w:tcPr>
            <w:tcW w:w="2835" w:type="dxa"/>
            <w:vAlign w:val="center"/>
          </w:tcPr>
          <w:p w14:paraId="36D4016E">
            <w:pPr>
              <w:pStyle w:val="12"/>
            </w:pPr>
            <w:r>
              <w:t>普通高中建档立卡学生减免标准</w:t>
            </w:r>
          </w:p>
        </w:tc>
        <w:tc>
          <w:tcPr>
            <w:tcW w:w="5386" w:type="dxa"/>
            <w:vAlign w:val="center"/>
          </w:tcPr>
          <w:p w14:paraId="4610801E">
            <w:pPr>
              <w:pStyle w:val="12"/>
            </w:pPr>
            <w:r>
              <w:t>学费20000元/生/年；住宿费500元/生/年；书费300元/生/年</w:t>
            </w:r>
          </w:p>
        </w:tc>
        <w:tc>
          <w:tcPr>
            <w:tcW w:w="2268" w:type="dxa"/>
            <w:vAlign w:val="center"/>
          </w:tcPr>
          <w:p w14:paraId="53C046BD">
            <w:pPr>
              <w:pStyle w:val="12"/>
            </w:pPr>
            <w:r>
              <w:t>2800元</w:t>
            </w:r>
          </w:p>
        </w:tc>
        <w:tc>
          <w:tcPr>
            <w:tcW w:w="1276" w:type="dxa"/>
            <w:vAlign w:val="center"/>
          </w:tcPr>
          <w:p w14:paraId="0E8092EF">
            <w:pPr>
              <w:pStyle w:val="12"/>
            </w:pPr>
            <w:r>
              <w:t>河北省建档立卡家庭经济困难学生资助管理暂行办法</w:t>
            </w:r>
          </w:p>
        </w:tc>
      </w:tr>
      <w:tr w14:paraId="2B1B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DCC65">
            <w:pPr>
              <w:pStyle w:val="13"/>
            </w:pPr>
            <w:r>
              <w:t>效益指标</w:t>
            </w:r>
          </w:p>
        </w:tc>
        <w:tc>
          <w:tcPr>
            <w:tcW w:w="2268" w:type="dxa"/>
            <w:vAlign w:val="center"/>
          </w:tcPr>
          <w:p w14:paraId="08C1DBA4">
            <w:pPr>
              <w:pStyle w:val="12"/>
            </w:pPr>
            <w:r>
              <w:t>可持续影响指标</w:t>
            </w:r>
          </w:p>
        </w:tc>
        <w:tc>
          <w:tcPr>
            <w:tcW w:w="2835" w:type="dxa"/>
            <w:vAlign w:val="center"/>
          </w:tcPr>
          <w:p w14:paraId="0AAD41FD">
            <w:pPr>
              <w:pStyle w:val="12"/>
            </w:pPr>
            <w:r>
              <w:t>高中运转</w:t>
            </w:r>
          </w:p>
        </w:tc>
        <w:tc>
          <w:tcPr>
            <w:tcW w:w="5386" w:type="dxa"/>
            <w:vAlign w:val="center"/>
          </w:tcPr>
          <w:p w14:paraId="5BA13B2D">
            <w:pPr>
              <w:pStyle w:val="12"/>
            </w:pPr>
            <w:r>
              <w:t>高中生受教育年限</w:t>
            </w:r>
          </w:p>
        </w:tc>
        <w:tc>
          <w:tcPr>
            <w:tcW w:w="2268" w:type="dxa"/>
            <w:vAlign w:val="center"/>
          </w:tcPr>
          <w:p w14:paraId="2F970666">
            <w:pPr>
              <w:pStyle w:val="12"/>
            </w:pPr>
            <w:r>
              <w:t>3年</w:t>
            </w:r>
          </w:p>
        </w:tc>
        <w:tc>
          <w:tcPr>
            <w:tcW w:w="1276" w:type="dxa"/>
            <w:vAlign w:val="center"/>
          </w:tcPr>
          <w:p w14:paraId="7C633743">
            <w:pPr>
              <w:pStyle w:val="12"/>
            </w:pPr>
            <w:r>
              <w:t>河北省建档立卡家庭经济困难学生资助管理暂行办法</w:t>
            </w:r>
          </w:p>
        </w:tc>
      </w:tr>
      <w:tr w14:paraId="105D76B4">
        <w:tblPrEx>
          <w:tblCellMar>
            <w:top w:w="0" w:type="dxa"/>
            <w:left w:w="108" w:type="dxa"/>
            <w:bottom w:w="0" w:type="dxa"/>
            <w:right w:w="108" w:type="dxa"/>
          </w:tblCellMar>
        </w:tblPrEx>
        <w:trPr>
          <w:trHeight w:val="397" w:hRule="atLeast"/>
          <w:jc w:val="center"/>
        </w:trPr>
        <w:tc>
          <w:tcPr>
            <w:tcW w:w="1276" w:type="dxa"/>
            <w:vAlign w:val="center"/>
          </w:tcPr>
          <w:p w14:paraId="092C7CF6">
            <w:pPr>
              <w:pStyle w:val="13"/>
            </w:pPr>
            <w:r>
              <w:t>满意度指标</w:t>
            </w:r>
          </w:p>
        </w:tc>
        <w:tc>
          <w:tcPr>
            <w:tcW w:w="2268" w:type="dxa"/>
            <w:vAlign w:val="center"/>
          </w:tcPr>
          <w:p w14:paraId="18DAC953">
            <w:pPr>
              <w:pStyle w:val="12"/>
            </w:pPr>
            <w:r>
              <w:t>服务对象满意度指标</w:t>
            </w:r>
          </w:p>
        </w:tc>
        <w:tc>
          <w:tcPr>
            <w:tcW w:w="2835" w:type="dxa"/>
            <w:vAlign w:val="center"/>
          </w:tcPr>
          <w:p w14:paraId="5C520DC6">
            <w:pPr>
              <w:pStyle w:val="12"/>
            </w:pPr>
            <w:r>
              <w:t>提升幸福指数</w:t>
            </w:r>
          </w:p>
        </w:tc>
        <w:tc>
          <w:tcPr>
            <w:tcW w:w="5386" w:type="dxa"/>
            <w:vAlign w:val="center"/>
          </w:tcPr>
          <w:p w14:paraId="6C6AFD21">
            <w:pPr>
              <w:pStyle w:val="12"/>
            </w:pPr>
            <w:r>
              <w:t>提升建档立卡贫困家庭学生幸福指数</w:t>
            </w:r>
          </w:p>
          <w:p w14:paraId="21CDDA3B">
            <w:pPr>
              <w:pStyle w:val="12"/>
            </w:pPr>
            <w:r>
              <w:t>家长学生满意</w:t>
            </w:r>
          </w:p>
        </w:tc>
        <w:tc>
          <w:tcPr>
            <w:tcW w:w="2268" w:type="dxa"/>
            <w:vAlign w:val="center"/>
          </w:tcPr>
          <w:p w14:paraId="071CB6B4">
            <w:pPr>
              <w:pStyle w:val="12"/>
            </w:pPr>
            <w:r>
              <w:t>≥98%</w:t>
            </w:r>
          </w:p>
        </w:tc>
        <w:tc>
          <w:tcPr>
            <w:tcW w:w="1276" w:type="dxa"/>
            <w:vAlign w:val="center"/>
          </w:tcPr>
          <w:p w14:paraId="131B7C43">
            <w:pPr>
              <w:pStyle w:val="12"/>
            </w:pPr>
            <w:r>
              <w:t>河北省建档立卡家庭经济困难学生资助管理暂行办法</w:t>
            </w:r>
          </w:p>
        </w:tc>
      </w:tr>
    </w:tbl>
    <w:p w14:paraId="0ACC854D">
      <w:pPr>
        <w:sectPr>
          <w:pgSz w:w="16840" w:h="11900" w:orient="landscape"/>
          <w:pgMar w:top="1361" w:right="1020" w:bottom="1134" w:left="1020" w:header="720" w:footer="720" w:gutter="0"/>
          <w:cols w:space="720" w:num="1"/>
        </w:sectPr>
      </w:pPr>
    </w:p>
    <w:p w14:paraId="49DBD532">
      <w:pPr>
        <w:spacing w:before="0" w:after="0"/>
        <w:ind w:firstLine="560"/>
        <w:jc w:val="left"/>
        <w:outlineLvl w:val="9"/>
      </w:pPr>
      <w:r>
        <w:rPr>
          <w:rFonts w:ascii="方正仿宋_GBK" w:hAnsi="方正仿宋_GBK" w:eastAsia="方正仿宋_GBK" w:cs="方正仿宋_GBK"/>
          <w:b/>
          <w:color w:val="000000"/>
          <w:sz w:val="28"/>
        </w:rPr>
        <w:t>33、县级配套/2026年中职免学费（东方中职）绩效目标表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F4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1C4FF">
            <w:pPr>
              <w:pStyle w:val="11"/>
            </w:pPr>
            <w:r>
              <w:t>单位：万元</w:t>
            </w:r>
          </w:p>
        </w:tc>
      </w:tr>
      <w:tr w14:paraId="4D7B2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554D1">
            <w:pPr>
              <w:pStyle w:val="10"/>
            </w:pPr>
            <w:r>
              <w:t>项目编码</w:t>
            </w:r>
          </w:p>
        </w:tc>
        <w:tc>
          <w:tcPr>
            <w:tcW w:w="5103" w:type="dxa"/>
            <w:gridSpan w:val="2"/>
            <w:vAlign w:val="center"/>
          </w:tcPr>
          <w:p w14:paraId="734E1D49">
            <w:pPr>
              <w:pStyle w:val="12"/>
            </w:pPr>
            <w:r>
              <w:t>13052526P00001410028A</w:t>
            </w:r>
          </w:p>
        </w:tc>
        <w:tc>
          <w:tcPr>
            <w:tcW w:w="2835" w:type="dxa"/>
            <w:vAlign w:val="center"/>
          </w:tcPr>
          <w:p w14:paraId="29BB176E">
            <w:pPr>
              <w:pStyle w:val="10"/>
            </w:pPr>
            <w:r>
              <w:t>项目名称</w:t>
            </w:r>
          </w:p>
        </w:tc>
        <w:tc>
          <w:tcPr>
            <w:tcW w:w="6095" w:type="dxa"/>
            <w:gridSpan w:val="3"/>
            <w:vAlign w:val="center"/>
          </w:tcPr>
          <w:p w14:paraId="0062DA0A">
            <w:pPr>
              <w:pStyle w:val="12"/>
            </w:pPr>
            <w:r>
              <w:t>县级配套/2026年中职免学费（东方中职）</w:t>
            </w:r>
          </w:p>
        </w:tc>
      </w:tr>
      <w:tr w14:paraId="4B12D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EB9E1">
            <w:pPr>
              <w:pStyle w:val="10"/>
            </w:pPr>
            <w:r>
              <w:t>预算规模及资金用途</w:t>
            </w:r>
          </w:p>
        </w:tc>
        <w:tc>
          <w:tcPr>
            <w:tcW w:w="2268" w:type="dxa"/>
            <w:vAlign w:val="center"/>
          </w:tcPr>
          <w:p w14:paraId="10408BB2">
            <w:pPr>
              <w:pStyle w:val="10"/>
            </w:pPr>
            <w:r>
              <w:t>预算数</w:t>
            </w:r>
          </w:p>
        </w:tc>
        <w:tc>
          <w:tcPr>
            <w:tcW w:w="2835" w:type="dxa"/>
            <w:vAlign w:val="center"/>
          </w:tcPr>
          <w:p w14:paraId="7B4FC0B7">
            <w:pPr>
              <w:pStyle w:val="12"/>
            </w:pPr>
            <w:r>
              <w:t>11.20</w:t>
            </w:r>
          </w:p>
        </w:tc>
        <w:tc>
          <w:tcPr>
            <w:tcW w:w="2835" w:type="dxa"/>
            <w:vAlign w:val="center"/>
          </w:tcPr>
          <w:p w14:paraId="51A78A5D">
            <w:pPr>
              <w:pStyle w:val="10"/>
            </w:pPr>
            <w:r>
              <w:t>其中：财政    资金</w:t>
            </w:r>
          </w:p>
        </w:tc>
        <w:tc>
          <w:tcPr>
            <w:tcW w:w="2551" w:type="dxa"/>
            <w:vAlign w:val="center"/>
          </w:tcPr>
          <w:p w14:paraId="512CD0D4">
            <w:pPr>
              <w:pStyle w:val="12"/>
            </w:pPr>
            <w:r>
              <w:t>11.20</w:t>
            </w:r>
          </w:p>
        </w:tc>
        <w:tc>
          <w:tcPr>
            <w:tcW w:w="2268" w:type="dxa"/>
            <w:vAlign w:val="center"/>
          </w:tcPr>
          <w:p w14:paraId="62C54BA4">
            <w:pPr>
              <w:pStyle w:val="10"/>
            </w:pPr>
            <w:r>
              <w:t>其他资金</w:t>
            </w:r>
          </w:p>
        </w:tc>
        <w:tc>
          <w:tcPr>
            <w:tcW w:w="1276" w:type="dxa"/>
            <w:vAlign w:val="center"/>
          </w:tcPr>
          <w:p w14:paraId="42517286">
            <w:pPr>
              <w:pStyle w:val="12"/>
            </w:pPr>
            <w:r>
              <w:t xml:space="preserve"> </w:t>
            </w:r>
          </w:p>
        </w:tc>
      </w:tr>
      <w:tr w14:paraId="2F554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C88FC"/>
        </w:tc>
        <w:tc>
          <w:tcPr>
            <w:tcW w:w="14033" w:type="dxa"/>
            <w:gridSpan w:val="6"/>
            <w:vAlign w:val="center"/>
          </w:tcPr>
          <w:p w14:paraId="2ADFC62C">
            <w:pPr>
              <w:pStyle w:val="12"/>
            </w:pPr>
            <w:r>
              <w:t>弥补中职涉农及其他专业贫困生免除学费后的经费不足。</w:t>
            </w:r>
            <w:r>
              <w:tab/>
            </w:r>
            <w:r>
              <w:tab/>
            </w:r>
            <w:r>
              <w:tab/>
            </w:r>
            <w:r>
              <w:tab/>
            </w:r>
          </w:p>
        </w:tc>
      </w:tr>
      <w:tr w14:paraId="6D5DD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DCB52">
            <w:pPr>
              <w:pStyle w:val="10"/>
            </w:pPr>
            <w:r>
              <w:t>资金支出计划（%）</w:t>
            </w:r>
          </w:p>
        </w:tc>
        <w:tc>
          <w:tcPr>
            <w:tcW w:w="5103" w:type="dxa"/>
            <w:gridSpan w:val="2"/>
            <w:vAlign w:val="center"/>
          </w:tcPr>
          <w:p w14:paraId="1050EF83">
            <w:pPr>
              <w:pStyle w:val="10"/>
            </w:pPr>
            <w:r>
              <w:t>3月底</w:t>
            </w:r>
          </w:p>
        </w:tc>
        <w:tc>
          <w:tcPr>
            <w:tcW w:w="2835" w:type="dxa"/>
            <w:vAlign w:val="center"/>
          </w:tcPr>
          <w:p w14:paraId="507CE1CE">
            <w:pPr>
              <w:pStyle w:val="10"/>
            </w:pPr>
            <w:r>
              <w:t>6月底</w:t>
            </w:r>
          </w:p>
        </w:tc>
        <w:tc>
          <w:tcPr>
            <w:tcW w:w="2551" w:type="dxa"/>
            <w:vAlign w:val="center"/>
          </w:tcPr>
          <w:p w14:paraId="1805794E">
            <w:pPr>
              <w:pStyle w:val="10"/>
            </w:pPr>
            <w:r>
              <w:t>10月底</w:t>
            </w:r>
          </w:p>
        </w:tc>
        <w:tc>
          <w:tcPr>
            <w:tcW w:w="3544" w:type="dxa"/>
            <w:gridSpan w:val="2"/>
            <w:vAlign w:val="center"/>
          </w:tcPr>
          <w:p w14:paraId="589A75B4">
            <w:pPr>
              <w:pStyle w:val="10"/>
            </w:pPr>
            <w:r>
              <w:t>12月底</w:t>
            </w:r>
          </w:p>
        </w:tc>
      </w:tr>
      <w:tr w14:paraId="40055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0C188"/>
        </w:tc>
        <w:tc>
          <w:tcPr>
            <w:tcW w:w="5103" w:type="dxa"/>
            <w:gridSpan w:val="2"/>
            <w:vAlign w:val="center"/>
          </w:tcPr>
          <w:p w14:paraId="2810F5ED">
            <w:pPr>
              <w:pStyle w:val="13"/>
            </w:pPr>
            <w:r>
              <w:t>25%</w:t>
            </w:r>
          </w:p>
        </w:tc>
        <w:tc>
          <w:tcPr>
            <w:tcW w:w="2835" w:type="dxa"/>
            <w:vAlign w:val="center"/>
          </w:tcPr>
          <w:p w14:paraId="380DF061">
            <w:pPr>
              <w:pStyle w:val="13"/>
            </w:pPr>
            <w:r>
              <w:t>50%</w:t>
            </w:r>
          </w:p>
        </w:tc>
        <w:tc>
          <w:tcPr>
            <w:tcW w:w="2551" w:type="dxa"/>
            <w:vAlign w:val="center"/>
          </w:tcPr>
          <w:p w14:paraId="11ACAD84">
            <w:pPr>
              <w:pStyle w:val="13"/>
            </w:pPr>
            <w:r>
              <w:t>75%</w:t>
            </w:r>
          </w:p>
        </w:tc>
        <w:tc>
          <w:tcPr>
            <w:tcW w:w="3544" w:type="dxa"/>
            <w:gridSpan w:val="2"/>
            <w:vAlign w:val="center"/>
          </w:tcPr>
          <w:p w14:paraId="1FD6E94F">
            <w:pPr>
              <w:pStyle w:val="13"/>
            </w:pPr>
            <w:r>
              <w:t>100%</w:t>
            </w:r>
          </w:p>
        </w:tc>
      </w:tr>
      <w:tr w14:paraId="3C744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C3BF0">
            <w:pPr>
              <w:pStyle w:val="10"/>
            </w:pPr>
            <w:r>
              <w:t>绩效目标</w:t>
            </w:r>
          </w:p>
        </w:tc>
        <w:tc>
          <w:tcPr>
            <w:tcW w:w="14033" w:type="dxa"/>
            <w:gridSpan w:val="6"/>
            <w:vAlign w:val="center"/>
          </w:tcPr>
          <w:p w14:paraId="74CFEF58">
            <w:pPr>
              <w:pStyle w:val="12"/>
            </w:pPr>
            <w:r>
              <w:t>1.弥补中职涉农及其他专业贫困生免除学费后的经费不足。</w:t>
            </w:r>
          </w:p>
        </w:tc>
      </w:tr>
    </w:tbl>
    <w:p w14:paraId="556094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1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93DED">
            <w:pPr>
              <w:pStyle w:val="10"/>
            </w:pPr>
            <w:r>
              <w:t>一级指标</w:t>
            </w:r>
          </w:p>
        </w:tc>
        <w:tc>
          <w:tcPr>
            <w:tcW w:w="2268" w:type="dxa"/>
            <w:vAlign w:val="center"/>
          </w:tcPr>
          <w:p w14:paraId="0902EAE9">
            <w:pPr>
              <w:pStyle w:val="10"/>
            </w:pPr>
            <w:r>
              <w:t>二级指标</w:t>
            </w:r>
          </w:p>
        </w:tc>
        <w:tc>
          <w:tcPr>
            <w:tcW w:w="2835" w:type="dxa"/>
            <w:vAlign w:val="center"/>
          </w:tcPr>
          <w:p w14:paraId="5D4CE525">
            <w:pPr>
              <w:pStyle w:val="10"/>
            </w:pPr>
            <w:r>
              <w:t>三级指标</w:t>
            </w:r>
          </w:p>
        </w:tc>
        <w:tc>
          <w:tcPr>
            <w:tcW w:w="5386" w:type="dxa"/>
            <w:vAlign w:val="center"/>
          </w:tcPr>
          <w:p w14:paraId="2E0701A3">
            <w:pPr>
              <w:pStyle w:val="10"/>
            </w:pPr>
            <w:r>
              <w:t>绩效指标描述</w:t>
            </w:r>
          </w:p>
        </w:tc>
        <w:tc>
          <w:tcPr>
            <w:tcW w:w="2268" w:type="dxa"/>
            <w:vAlign w:val="center"/>
          </w:tcPr>
          <w:p w14:paraId="3FD978CA">
            <w:pPr>
              <w:pStyle w:val="10"/>
            </w:pPr>
            <w:r>
              <w:t>指标值</w:t>
            </w:r>
          </w:p>
        </w:tc>
        <w:tc>
          <w:tcPr>
            <w:tcW w:w="1276" w:type="dxa"/>
            <w:vAlign w:val="center"/>
          </w:tcPr>
          <w:p w14:paraId="65E36526">
            <w:pPr>
              <w:pStyle w:val="10"/>
            </w:pPr>
            <w:r>
              <w:t>指标值确定依据</w:t>
            </w:r>
          </w:p>
        </w:tc>
      </w:tr>
      <w:tr w14:paraId="677EB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AD701">
            <w:pPr>
              <w:pStyle w:val="13"/>
            </w:pPr>
            <w:r>
              <w:t>产出指标</w:t>
            </w:r>
          </w:p>
        </w:tc>
        <w:tc>
          <w:tcPr>
            <w:tcW w:w="2268" w:type="dxa"/>
            <w:vAlign w:val="center"/>
          </w:tcPr>
          <w:p w14:paraId="157C6843">
            <w:pPr>
              <w:pStyle w:val="12"/>
            </w:pPr>
            <w:r>
              <w:t>数量指标</w:t>
            </w:r>
          </w:p>
        </w:tc>
        <w:tc>
          <w:tcPr>
            <w:tcW w:w="2835" w:type="dxa"/>
            <w:vAlign w:val="center"/>
          </w:tcPr>
          <w:p w14:paraId="6E70501A">
            <w:pPr>
              <w:pStyle w:val="12"/>
            </w:pPr>
            <w:r>
              <w:t>免学费补助人数</w:t>
            </w:r>
          </w:p>
        </w:tc>
        <w:tc>
          <w:tcPr>
            <w:tcW w:w="5386" w:type="dxa"/>
            <w:vAlign w:val="center"/>
          </w:tcPr>
          <w:p w14:paraId="6F9757F6">
            <w:pPr>
              <w:pStyle w:val="12"/>
            </w:pPr>
            <w:r>
              <w:t>免学费补助人数</w:t>
            </w:r>
          </w:p>
        </w:tc>
        <w:tc>
          <w:tcPr>
            <w:tcW w:w="2268" w:type="dxa"/>
            <w:vAlign w:val="center"/>
          </w:tcPr>
          <w:p w14:paraId="59428AE3">
            <w:pPr>
              <w:pStyle w:val="12"/>
            </w:pPr>
            <w:r>
              <w:t>280人</w:t>
            </w:r>
          </w:p>
        </w:tc>
        <w:tc>
          <w:tcPr>
            <w:tcW w:w="1276" w:type="dxa"/>
            <w:vAlign w:val="center"/>
          </w:tcPr>
          <w:p w14:paraId="1725E58B">
            <w:pPr>
              <w:pStyle w:val="12"/>
            </w:pPr>
            <w:r>
              <w:t>2025年度预算</w:t>
            </w:r>
          </w:p>
        </w:tc>
      </w:tr>
      <w:tr w14:paraId="2549D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B8ED3"/>
        </w:tc>
        <w:tc>
          <w:tcPr>
            <w:tcW w:w="2268" w:type="dxa"/>
            <w:vAlign w:val="center"/>
          </w:tcPr>
          <w:p w14:paraId="3C1E3842">
            <w:pPr>
              <w:pStyle w:val="12"/>
            </w:pPr>
            <w:r>
              <w:t>质量指标</w:t>
            </w:r>
          </w:p>
        </w:tc>
        <w:tc>
          <w:tcPr>
            <w:tcW w:w="2835" w:type="dxa"/>
            <w:vAlign w:val="center"/>
          </w:tcPr>
          <w:p w14:paraId="7DF90FE9">
            <w:pPr>
              <w:pStyle w:val="12"/>
            </w:pPr>
            <w:r>
              <w:t>免学费全覆盖</w:t>
            </w:r>
          </w:p>
        </w:tc>
        <w:tc>
          <w:tcPr>
            <w:tcW w:w="5386" w:type="dxa"/>
            <w:vAlign w:val="center"/>
          </w:tcPr>
          <w:p w14:paraId="0D6566D0">
            <w:pPr>
              <w:pStyle w:val="12"/>
            </w:pPr>
            <w:r>
              <w:t>免学费一、二、三年级中职生</w:t>
            </w:r>
          </w:p>
        </w:tc>
        <w:tc>
          <w:tcPr>
            <w:tcW w:w="2268" w:type="dxa"/>
            <w:vAlign w:val="center"/>
          </w:tcPr>
          <w:p w14:paraId="1E6669B0">
            <w:pPr>
              <w:pStyle w:val="12"/>
            </w:pPr>
            <w:r>
              <w:t>100%</w:t>
            </w:r>
          </w:p>
        </w:tc>
        <w:tc>
          <w:tcPr>
            <w:tcW w:w="1276" w:type="dxa"/>
            <w:vAlign w:val="center"/>
          </w:tcPr>
          <w:p w14:paraId="77E80C68">
            <w:pPr>
              <w:pStyle w:val="12"/>
            </w:pPr>
            <w:r>
              <w:t>隆尧县中职免学费管理办法</w:t>
            </w:r>
          </w:p>
        </w:tc>
      </w:tr>
      <w:tr w14:paraId="4E98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EAD03"/>
        </w:tc>
        <w:tc>
          <w:tcPr>
            <w:tcW w:w="2268" w:type="dxa"/>
            <w:vAlign w:val="center"/>
          </w:tcPr>
          <w:p w14:paraId="44ACCF13">
            <w:pPr>
              <w:pStyle w:val="12"/>
            </w:pPr>
            <w:r>
              <w:t>时效指标</w:t>
            </w:r>
          </w:p>
        </w:tc>
        <w:tc>
          <w:tcPr>
            <w:tcW w:w="2835" w:type="dxa"/>
            <w:vAlign w:val="center"/>
          </w:tcPr>
          <w:p w14:paraId="5803344A">
            <w:pPr>
              <w:pStyle w:val="12"/>
            </w:pPr>
            <w:r>
              <w:t>免学费经费拨付率</w:t>
            </w:r>
          </w:p>
        </w:tc>
        <w:tc>
          <w:tcPr>
            <w:tcW w:w="5386" w:type="dxa"/>
            <w:vAlign w:val="center"/>
          </w:tcPr>
          <w:p w14:paraId="115B3147">
            <w:pPr>
              <w:pStyle w:val="12"/>
            </w:pPr>
            <w:r>
              <w:t>免学费经费及时拨付到位率</w:t>
            </w:r>
          </w:p>
        </w:tc>
        <w:tc>
          <w:tcPr>
            <w:tcW w:w="2268" w:type="dxa"/>
            <w:vAlign w:val="center"/>
          </w:tcPr>
          <w:p w14:paraId="3857CEE9">
            <w:pPr>
              <w:pStyle w:val="12"/>
            </w:pPr>
            <w:r>
              <w:t>≥99%</w:t>
            </w:r>
          </w:p>
        </w:tc>
        <w:tc>
          <w:tcPr>
            <w:tcW w:w="1276" w:type="dxa"/>
            <w:vAlign w:val="center"/>
          </w:tcPr>
          <w:p w14:paraId="071BAB56">
            <w:pPr>
              <w:pStyle w:val="12"/>
            </w:pPr>
            <w:r>
              <w:t>隆尧县中职免学费管理办法</w:t>
            </w:r>
          </w:p>
        </w:tc>
      </w:tr>
      <w:tr w14:paraId="63CA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8E3C9"/>
        </w:tc>
        <w:tc>
          <w:tcPr>
            <w:tcW w:w="2268" w:type="dxa"/>
            <w:vAlign w:val="center"/>
          </w:tcPr>
          <w:p w14:paraId="4E70E2A3">
            <w:pPr>
              <w:pStyle w:val="12"/>
            </w:pPr>
            <w:r>
              <w:t>成本指标</w:t>
            </w:r>
          </w:p>
        </w:tc>
        <w:tc>
          <w:tcPr>
            <w:tcW w:w="2835" w:type="dxa"/>
            <w:vAlign w:val="center"/>
          </w:tcPr>
          <w:p w14:paraId="21F6610C">
            <w:pPr>
              <w:pStyle w:val="12"/>
            </w:pPr>
            <w:r>
              <w:t>中职学校免学费补助标准</w:t>
            </w:r>
          </w:p>
        </w:tc>
        <w:tc>
          <w:tcPr>
            <w:tcW w:w="5386" w:type="dxa"/>
            <w:vAlign w:val="center"/>
          </w:tcPr>
          <w:p w14:paraId="0B736CBD">
            <w:pPr>
              <w:pStyle w:val="12"/>
            </w:pPr>
            <w:r>
              <w:t>中职学校免学费补助标准</w:t>
            </w:r>
          </w:p>
        </w:tc>
        <w:tc>
          <w:tcPr>
            <w:tcW w:w="2268" w:type="dxa"/>
            <w:vAlign w:val="center"/>
          </w:tcPr>
          <w:p w14:paraId="7826F331">
            <w:pPr>
              <w:pStyle w:val="12"/>
            </w:pPr>
            <w:r>
              <w:t>2000元/生/年</w:t>
            </w:r>
          </w:p>
        </w:tc>
        <w:tc>
          <w:tcPr>
            <w:tcW w:w="1276" w:type="dxa"/>
            <w:vAlign w:val="center"/>
          </w:tcPr>
          <w:p w14:paraId="01F200E3">
            <w:pPr>
              <w:pStyle w:val="12"/>
            </w:pPr>
            <w:r>
              <w:t>隆尧县中职免学费管理办法</w:t>
            </w:r>
          </w:p>
        </w:tc>
      </w:tr>
      <w:tr w14:paraId="50BF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2B13F">
            <w:pPr>
              <w:pStyle w:val="13"/>
            </w:pPr>
            <w:r>
              <w:t>效益指标</w:t>
            </w:r>
          </w:p>
        </w:tc>
        <w:tc>
          <w:tcPr>
            <w:tcW w:w="2268" w:type="dxa"/>
            <w:vAlign w:val="center"/>
          </w:tcPr>
          <w:p w14:paraId="1972082B">
            <w:pPr>
              <w:pStyle w:val="12"/>
            </w:pPr>
            <w:r>
              <w:t>可持续影响指标</w:t>
            </w:r>
          </w:p>
        </w:tc>
        <w:tc>
          <w:tcPr>
            <w:tcW w:w="2835" w:type="dxa"/>
            <w:vAlign w:val="center"/>
          </w:tcPr>
          <w:p w14:paraId="6B386CEB">
            <w:pPr>
              <w:pStyle w:val="12"/>
            </w:pPr>
            <w:r>
              <w:t>中职运转</w:t>
            </w:r>
          </w:p>
        </w:tc>
        <w:tc>
          <w:tcPr>
            <w:tcW w:w="5386" w:type="dxa"/>
            <w:vAlign w:val="center"/>
          </w:tcPr>
          <w:p w14:paraId="456ED6DC">
            <w:pPr>
              <w:pStyle w:val="12"/>
            </w:pPr>
            <w:r>
              <w:t>高中受教育年限</w:t>
            </w:r>
          </w:p>
        </w:tc>
        <w:tc>
          <w:tcPr>
            <w:tcW w:w="2268" w:type="dxa"/>
            <w:vAlign w:val="center"/>
          </w:tcPr>
          <w:p w14:paraId="0735CADC">
            <w:pPr>
              <w:pStyle w:val="12"/>
            </w:pPr>
            <w:r>
              <w:t>3年</w:t>
            </w:r>
          </w:p>
        </w:tc>
        <w:tc>
          <w:tcPr>
            <w:tcW w:w="1276" w:type="dxa"/>
            <w:vAlign w:val="center"/>
          </w:tcPr>
          <w:p w14:paraId="6A379175">
            <w:pPr>
              <w:pStyle w:val="12"/>
            </w:pPr>
            <w:r>
              <w:t>隆尧县中职免学费管理办法</w:t>
            </w:r>
          </w:p>
        </w:tc>
      </w:tr>
      <w:tr w14:paraId="04C8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19C89">
            <w:pPr>
              <w:pStyle w:val="13"/>
            </w:pPr>
            <w:r>
              <w:t>满意度指标</w:t>
            </w:r>
          </w:p>
        </w:tc>
        <w:tc>
          <w:tcPr>
            <w:tcW w:w="2268" w:type="dxa"/>
            <w:vAlign w:val="center"/>
          </w:tcPr>
          <w:p w14:paraId="3A354EA8">
            <w:pPr>
              <w:pStyle w:val="12"/>
            </w:pPr>
            <w:r>
              <w:t>服务对象满意度指标</w:t>
            </w:r>
          </w:p>
        </w:tc>
        <w:tc>
          <w:tcPr>
            <w:tcW w:w="2835" w:type="dxa"/>
            <w:vAlign w:val="center"/>
          </w:tcPr>
          <w:p w14:paraId="7D019A52">
            <w:pPr>
              <w:pStyle w:val="12"/>
            </w:pPr>
            <w:r>
              <w:t>提升幸福指数</w:t>
            </w:r>
          </w:p>
        </w:tc>
        <w:tc>
          <w:tcPr>
            <w:tcW w:w="5386" w:type="dxa"/>
            <w:vAlign w:val="center"/>
          </w:tcPr>
          <w:p w14:paraId="15A7FA03">
            <w:pPr>
              <w:pStyle w:val="12"/>
            </w:pPr>
            <w:r>
              <w:t>提升贫困家庭学生的幸福指数学生家长满</w:t>
            </w:r>
            <w:r>
              <w:rPr>
                <w:rFonts w:hint="eastAsia"/>
                <w:lang w:eastAsia="zh-CN"/>
              </w:rPr>
              <w:t>意度</w:t>
            </w:r>
          </w:p>
        </w:tc>
        <w:tc>
          <w:tcPr>
            <w:tcW w:w="2268" w:type="dxa"/>
            <w:vAlign w:val="center"/>
          </w:tcPr>
          <w:p w14:paraId="1E06C233">
            <w:pPr>
              <w:pStyle w:val="12"/>
            </w:pPr>
            <w:r>
              <w:t>≥95%</w:t>
            </w:r>
          </w:p>
        </w:tc>
        <w:tc>
          <w:tcPr>
            <w:tcW w:w="1276" w:type="dxa"/>
            <w:vAlign w:val="center"/>
          </w:tcPr>
          <w:p w14:paraId="2C664480">
            <w:pPr>
              <w:pStyle w:val="12"/>
            </w:pPr>
            <w:r>
              <w:t>隆尧县中职免学费管理办法</w:t>
            </w:r>
          </w:p>
        </w:tc>
      </w:tr>
    </w:tbl>
    <w:p w14:paraId="331B02ED">
      <w:pPr>
        <w:sectPr>
          <w:pgSz w:w="16840" w:h="11900" w:orient="landscape"/>
          <w:pgMar w:top="1361" w:right="1020" w:bottom="1134" w:left="1020" w:header="720" w:footer="720" w:gutter="0"/>
          <w:cols w:space="720" w:num="1"/>
        </w:sectPr>
      </w:pPr>
    </w:p>
    <w:p w14:paraId="7F9F8E3E">
      <w:pPr>
        <w:spacing w:before="0" w:after="0"/>
        <w:ind w:firstLine="560"/>
        <w:jc w:val="left"/>
        <w:outlineLvl w:val="9"/>
      </w:pPr>
      <w:r>
        <w:rPr>
          <w:rFonts w:hint="eastAsia" w:ascii="方正仿宋_GBK" w:hAnsi="方正仿宋_GBK" w:eastAsia="方正仿宋_GBK" w:cs="方正仿宋_GBK"/>
          <w:b/>
          <w:color w:val="000000"/>
          <w:sz w:val="28"/>
          <w:lang w:eastAsia="zh-CN"/>
        </w:rPr>
        <w:t>34.</w:t>
      </w:r>
      <w:r>
        <w:rPr>
          <w:rFonts w:ascii="方正仿宋_GBK" w:hAnsi="方正仿宋_GBK" w:eastAsia="方正仿宋_GBK" w:cs="方正仿宋_GBK"/>
          <w:b/>
          <w:color w:val="000000"/>
          <w:sz w:val="28"/>
        </w:rPr>
        <w:t>县级配套/2026年中职免学费（文茂中职）绩效目标表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FB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C9A3F">
            <w:pPr>
              <w:pStyle w:val="11"/>
            </w:pPr>
            <w:r>
              <w:t>单位：万元</w:t>
            </w:r>
          </w:p>
        </w:tc>
      </w:tr>
      <w:tr w14:paraId="2F4B6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A5F70">
            <w:pPr>
              <w:pStyle w:val="10"/>
            </w:pPr>
            <w:r>
              <w:t>项目编码</w:t>
            </w:r>
          </w:p>
        </w:tc>
        <w:tc>
          <w:tcPr>
            <w:tcW w:w="5103" w:type="dxa"/>
            <w:gridSpan w:val="2"/>
            <w:vAlign w:val="center"/>
          </w:tcPr>
          <w:p w14:paraId="7E7A66CF">
            <w:pPr>
              <w:pStyle w:val="12"/>
            </w:pPr>
            <w:r>
              <w:t>13052526P00001410027N</w:t>
            </w:r>
          </w:p>
        </w:tc>
        <w:tc>
          <w:tcPr>
            <w:tcW w:w="2835" w:type="dxa"/>
            <w:vAlign w:val="center"/>
          </w:tcPr>
          <w:p w14:paraId="51923737">
            <w:pPr>
              <w:pStyle w:val="10"/>
            </w:pPr>
            <w:r>
              <w:t>项目名称</w:t>
            </w:r>
          </w:p>
        </w:tc>
        <w:tc>
          <w:tcPr>
            <w:tcW w:w="6095" w:type="dxa"/>
            <w:gridSpan w:val="3"/>
            <w:vAlign w:val="center"/>
          </w:tcPr>
          <w:p w14:paraId="12585599">
            <w:pPr>
              <w:pStyle w:val="12"/>
            </w:pPr>
            <w:r>
              <w:t>县级配套/2026年中职免学费（文茂中职）</w:t>
            </w:r>
          </w:p>
        </w:tc>
      </w:tr>
      <w:tr w14:paraId="53005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CA8F9">
            <w:pPr>
              <w:pStyle w:val="10"/>
            </w:pPr>
            <w:r>
              <w:t>预算规模及资金用途</w:t>
            </w:r>
          </w:p>
        </w:tc>
        <w:tc>
          <w:tcPr>
            <w:tcW w:w="2268" w:type="dxa"/>
            <w:vAlign w:val="center"/>
          </w:tcPr>
          <w:p w14:paraId="38D78240">
            <w:pPr>
              <w:pStyle w:val="10"/>
            </w:pPr>
            <w:r>
              <w:t>预算数</w:t>
            </w:r>
          </w:p>
        </w:tc>
        <w:tc>
          <w:tcPr>
            <w:tcW w:w="2835" w:type="dxa"/>
            <w:vAlign w:val="center"/>
          </w:tcPr>
          <w:p w14:paraId="4438BE9C">
            <w:pPr>
              <w:pStyle w:val="12"/>
            </w:pPr>
            <w:r>
              <w:t>17.56</w:t>
            </w:r>
          </w:p>
        </w:tc>
        <w:tc>
          <w:tcPr>
            <w:tcW w:w="2835" w:type="dxa"/>
            <w:vAlign w:val="center"/>
          </w:tcPr>
          <w:p w14:paraId="233F48EF">
            <w:pPr>
              <w:pStyle w:val="10"/>
            </w:pPr>
            <w:r>
              <w:t>其中：财政    资金</w:t>
            </w:r>
          </w:p>
        </w:tc>
        <w:tc>
          <w:tcPr>
            <w:tcW w:w="2551" w:type="dxa"/>
            <w:vAlign w:val="center"/>
          </w:tcPr>
          <w:p w14:paraId="0DA07FA9">
            <w:pPr>
              <w:pStyle w:val="12"/>
            </w:pPr>
            <w:r>
              <w:t>17.56</w:t>
            </w:r>
          </w:p>
        </w:tc>
        <w:tc>
          <w:tcPr>
            <w:tcW w:w="2268" w:type="dxa"/>
            <w:vAlign w:val="center"/>
          </w:tcPr>
          <w:p w14:paraId="4AD4A259">
            <w:pPr>
              <w:pStyle w:val="10"/>
            </w:pPr>
            <w:r>
              <w:t>其他资金</w:t>
            </w:r>
          </w:p>
        </w:tc>
        <w:tc>
          <w:tcPr>
            <w:tcW w:w="1276" w:type="dxa"/>
            <w:vAlign w:val="center"/>
          </w:tcPr>
          <w:p w14:paraId="7AA5DE54">
            <w:pPr>
              <w:pStyle w:val="12"/>
            </w:pPr>
            <w:r>
              <w:t xml:space="preserve"> </w:t>
            </w:r>
          </w:p>
        </w:tc>
      </w:tr>
      <w:tr w14:paraId="7068C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C8692"/>
        </w:tc>
        <w:tc>
          <w:tcPr>
            <w:tcW w:w="14033" w:type="dxa"/>
            <w:gridSpan w:val="6"/>
            <w:vAlign w:val="center"/>
          </w:tcPr>
          <w:p w14:paraId="3D6242B6">
            <w:pPr>
              <w:pStyle w:val="12"/>
            </w:pPr>
            <w:r>
              <w:t>弥补中职涉农及其他专业贫困生免除学费后的经费不足。</w:t>
            </w:r>
            <w:r>
              <w:tab/>
            </w:r>
          </w:p>
        </w:tc>
      </w:tr>
      <w:tr w14:paraId="599E6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8597E">
            <w:pPr>
              <w:pStyle w:val="10"/>
            </w:pPr>
            <w:r>
              <w:t>资金支出计划（%）</w:t>
            </w:r>
          </w:p>
        </w:tc>
        <w:tc>
          <w:tcPr>
            <w:tcW w:w="5103" w:type="dxa"/>
            <w:gridSpan w:val="2"/>
            <w:vAlign w:val="center"/>
          </w:tcPr>
          <w:p w14:paraId="542AF740">
            <w:pPr>
              <w:pStyle w:val="10"/>
            </w:pPr>
            <w:r>
              <w:t>3月底</w:t>
            </w:r>
          </w:p>
        </w:tc>
        <w:tc>
          <w:tcPr>
            <w:tcW w:w="2835" w:type="dxa"/>
            <w:vAlign w:val="center"/>
          </w:tcPr>
          <w:p w14:paraId="6234CE65">
            <w:pPr>
              <w:pStyle w:val="10"/>
            </w:pPr>
            <w:r>
              <w:t>6月底</w:t>
            </w:r>
          </w:p>
        </w:tc>
        <w:tc>
          <w:tcPr>
            <w:tcW w:w="2551" w:type="dxa"/>
            <w:vAlign w:val="center"/>
          </w:tcPr>
          <w:p w14:paraId="35E296FD">
            <w:pPr>
              <w:pStyle w:val="10"/>
            </w:pPr>
            <w:r>
              <w:t>10月底</w:t>
            </w:r>
          </w:p>
        </w:tc>
        <w:tc>
          <w:tcPr>
            <w:tcW w:w="3544" w:type="dxa"/>
            <w:gridSpan w:val="2"/>
            <w:vAlign w:val="center"/>
          </w:tcPr>
          <w:p w14:paraId="0A677966">
            <w:pPr>
              <w:pStyle w:val="10"/>
            </w:pPr>
            <w:r>
              <w:t>12月底</w:t>
            </w:r>
          </w:p>
        </w:tc>
      </w:tr>
      <w:tr w14:paraId="604C0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66B0B"/>
        </w:tc>
        <w:tc>
          <w:tcPr>
            <w:tcW w:w="5103" w:type="dxa"/>
            <w:gridSpan w:val="2"/>
            <w:vAlign w:val="center"/>
          </w:tcPr>
          <w:p w14:paraId="40AC976B">
            <w:pPr>
              <w:pStyle w:val="13"/>
            </w:pPr>
            <w:r>
              <w:t>25%</w:t>
            </w:r>
          </w:p>
        </w:tc>
        <w:tc>
          <w:tcPr>
            <w:tcW w:w="2835" w:type="dxa"/>
            <w:vAlign w:val="center"/>
          </w:tcPr>
          <w:p w14:paraId="75A24A61">
            <w:pPr>
              <w:pStyle w:val="13"/>
            </w:pPr>
            <w:r>
              <w:t>50%</w:t>
            </w:r>
          </w:p>
        </w:tc>
        <w:tc>
          <w:tcPr>
            <w:tcW w:w="2551" w:type="dxa"/>
            <w:vAlign w:val="center"/>
          </w:tcPr>
          <w:p w14:paraId="165F6E4E">
            <w:pPr>
              <w:pStyle w:val="13"/>
            </w:pPr>
            <w:r>
              <w:t>75%</w:t>
            </w:r>
          </w:p>
        </w:tc>
        <w:tc>
          <w:tcPr>
            <w:tcW w:w="3544" w:type="dxa"/>
            <w:gridSpan w:val="2"/>
            <w:vAlign w:val="center"/>
          </w:tcPr>
          <w:p w14:paraId="3439DB99">
            <w:pPr>
              <w:pStyle w:val="13"/>
            </w:pPr>
            <w:r>
              <w:t>100%</w:t>
            </w:r>
          </w:p>
        </w:tc>
      </w:tr>
      <w:tr w14:paraId="18C77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430AF">
            <w:pPr>
              <w:pStyle w:val="10"/>
            </w:pPr>
            <w:r>
              <w:t>绩效目标</w:t>
            </w:r>
          </w:p>
        </w:tc>
        <w:tc>
          <w:tcPr>
            <w:tcW w:w="14033" w:type="dxa"/>
            <w:gridSpan w:val="6"/>
            <w:vAlign w:val="center"/>
          </w:tcPr>
          <w:p w14:paraId="4409CF83">
            <w:pPr>
              <w:pStyle w:val="12"/>
            </w:pPr>
            <w:r>
              <w:t>1.弥补中职涉农及其他专业贫困生免除学费后的经费不足。</w:t>
            </w:r>
          </w:p>
        </w:tc>
      </w:tr>
    </w:tbl>
    <w:p w14:paraId="4EC6E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2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5EBA4">
            <w:pPr>
              <w:pStyle w:val="10"/>
            </w:pPr>
            <w:r>
              <w:t>一级指标</w:t>
            </w:r>
          </w:p>
        </w:tc>
        <w:tc>
          <w:tcPr>
            <w:tcW w:w="2268" w:type="dxa"/>
            <w:vAlign w:val="center"/>
          </w:tcPr>
          <w:p w14:paraId="78D41CA5">
            <w:pPr>
              <w:pStyle w:val="10"/>
            </w:pPr>
            <w:r>
              <w:t>二级指标</w:t>
            </w:r>
          </w:p>
        </w:tc>
        <w:tc>
          <w:tcPr>
            <w:tcW w:w="2835" w:type="dxa"/>
            <w:vAlign w:val="center"/>
          </w:tcPr>
          <w:p w14:paraId="5DED7449">
            <w:pPr>
              <w:pStyle w:val="10"/>
            </w:pPr>
            <w:r>
              <w:t>三级指标</w:t>
            </w:r>
          </w:p>
        </w:tc>
        <w:tc>
          <w:tcPr>
            <w:tcW w:w="5386" w:type="dxa"/>
            <w:vAlign w:val="center"/>
          </w:tcPr>
          <w:p w14:paraId="22125FB6">
            <w:pPr>
              <w:pStyle w:val="10"/>
            </w:pPr>
            <w:r>
              <w:t>绩效指标描述</w:t>
            </w:r>
          </w:p>
        </w:tc>
        <w:tc>
          <w:tcPr>
            <w:tcW w:w="2268" w:type="dxa"/>
            <w:vAlign w:val="center"/>
          </w:tcPr>
          <w:p w14:paraId="4C54164C">
            <w:pPr>
              <w:pStyle w:val="10"/>
            </w:pPr>
            <w:r>
              <w:t>指标值</w:t>
            </w:r>
          </w:p>
        </w:tc>
        <w:tc>
          <w:tcPr>
            <w:tcW w:w="1276" w:type="dxa"/>
            <w:vAlign w:val="center"/>
          </w:tcPr>
          <w:p w14:paraId="16C79871">
            <w:pPr>
              <w:pStyle w:val="10"/>
            </w:pPr>
            <w:r>
              <w:t>指标值确定依据</w:t>
            </w:r>
          </w:p>
        </w:tc>
      </w:tr>
      <w:tr w14:paraId="23B0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DC24B">
            <w:pPr>
              <w:pStyle w:val="13"/>
            </w:pPr>
            <w:r>
              <w:t>产出指标</w:t>
            </w:r>
          </w:p>
        </w:tc>
        <w:tc>
          <w:tcPr>
            <w:tcW w:w="2268" w:type="dxa"/>
            <w:vAlign w:val="center"/>
          </w:tcPr>
          <w:p w14:paraId="70F588F9">
            <w:pPr>
              <w:pStyle w:val="12"/>
            </w:pPr>
            <w:r>
              <w:t>数量指标</w:t>
            </w:r>
          </w:p>
        </w:tc>
        <w:tc>
          <w:tcPr>
            <w:tcW w:w="2835" w:type="dxa"/>
            <w:vAlign w:val="center"/>
          </w:tcPr>
          <w:p w14:paraId="671AFE29">
            <w:pPr>
              <w:pStyle w:val="12"/>
            </w:pPr>
            <w:r>
              <w:t>免学费补助人数</w:t>
            </w:r>
          </w:p>
        </w:tc>
        <w:tc>
          <w:tcPr>
            <w:tcW w:w="5386" w:type="dxa"/>
            <w:vAlign w:val="center"/>
          </w:tcPr>
          <w:p w14:paraId="6E42363C">
            <w:pPr>
              <w:pStyle w:val="12"/>
            </w:pPr>
            <w:r>
              <w:t>免学费补助人数</w:t>
            </w:r>
          </w:p>
        </w:tc>
        <w:tc>
          <w:tcPr>
            <w:tcW w:w="2268" w:type="dxa"/>
            <w:vAlign w:val="center"/>
          </w:tcPr>
          <w:p w14:paraId="4F002AEA">
            <w:pPr>
              <w:pStyle w:val="12"/>
            </w:pPr>
            <w:r>
              <w:t>≥391人</w:t>
            </w:r>
          </w:p>
        </w:tc>
        <w:tc>
          <w:tcPr>
            <w:tcW w:w="1276" w:type="dxa"/>
            <w:vAlign w:val="center"/>
          </w:tcPr>
          <w:p w14:paraId="6CAC3A0F">
            <w:pPr>
              <w:pStyle w:val="12"/>
            </w:pPr>
            <w:r>
              <w:t>年度预算</w:t>
            </w:r>
          </w:p>
        </w:tc>
      </w:tr>
      <w:tr w14:paraId="4C01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5AB39"/>
        </w:tc>
        <w:tc>
          <w:tcPr>
            <w:tcW w:w="2268" w:type="dxa"/>
            <w:vAlign w:val="center"/>
          </w:tcPr>
          <w:p w14:paraId="6A709422">
            <w:pPr>
              <w:pStyle w:val="12"/>
            </w:pPr>
            <w:r>
              <w:t>质量指标</w:t>
            </w:r>
          </w:p>
        </w:tc>
        <w:tc>
          <w:tcPr>
            <w:tcW w:w="2835" w:type="dxa"/>
            <w:vAlign w:val="center"/>
          </w:tcPr>
          <w:p w14:paraId="5643D740">
            <w:pPr>
              <w:pStyle w:val="12"/>
            </w:pPr>
            <w:r>
              <w:t>免学费全覆盖</w:t>
            </w:r>
          </w:p>
        </w:tc>
        <w:tc>
          <w:tcPr>
            <w:tcW w:w="5386" w:type="dxa"/>
            <w:vAlign w:val="center"/>
          </w:tcPr>
          <w:p w14:paraId="287292F4">
            <w:pPr>
              <w:pStyle w:val="12"/>
            </w:pPr>
            <w:r>
              <w:t>免学费一、二、三年级中职生</w:t>
            </w:r>
          </w:p>
        </w:tc>
        <w:tc>
          <w:tcPr>
            <w:tcW w:w="2268" w:type="dxa"/>
            <w:vAlign w:val="center"/>
          </w:tcPr>
          <w:p w14:paraId="64F767D8">
            <w:pPr>
              <w:pStyle w:val="12"/>
            </w:pPr>
            <w:r>
              <w:t>100%</w:t>
            </w:r>
          </w:p>
        </w:tc>
        <w:tc>
          <w:tcPr>
            <w:tcW w:w="1276" w:type="dxa"/>
            <w:vAlign w:val="center"/>
          </w:tcPr>
          <w:p w14:paraId="197A2D8B">
            <w:pPr>
              <w:pStyle w:val="12"/>
            </w:pPr>
            <w:r>
              <w:t>隆尧县中职免学费管理办法</w:t>
            </w:r>
          </w:p>
        </w:tc>
      </w:tr>
      <w:tr w14:paraId="0FB3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2E9DE"/>
        </w:tc>
        <w:tc>
          <w:tcPr>
            <w:tcW w:w="2268" w:type="dxa"/>
            <w:vAlign w:val="center"/>
          </w:tcPr>
          <w:p w14:paraId="466DBAC1">
            <w:pPr>
              <w:pStyle w:val="12"/>
            </w:pPr>
            <w:r>
              <w:t>时效指标</w:t>
            </w:r>
          </w:p>
        </w:tc>
        <w:tc>
          <w:tcPr>
            <w:tcW w:w="2835" w:type="dxa"/>
            <w:vAlign w:val="center"/>
          </w:tcPr>
          <w:p w14:paraId="2E2FCD05">
            <w:pPr>
              <w:pStyle w:val="12"/>
            </w:pPr>
            <w:r>
              <w:t>免学费经费拨付率</w:t>
            </w:r>
          </w:p>
        </w:tc>
        <w:tc>
          <w:tcPr>
            <w:tcW w:w="5386" w:type="dxa"/>
            <w:vAlign w:val="center"/>
          </w:tcPr>
          <w:p w14:paraId="5B707950">
            <w:pPr>
              <w:pStyle w:val="12"/>
            </w:pPr>
            <w:r>
              <w:t>免学费经费及时拨付到位率</w:t>
            </w:r>
          </w:p>
        </w:tc>
        <w:tc>
          <w:tcPr>
            <w:tcW w:w="2268" w:type="dxa"/>
            <w:vAlign w:val="center"/>
          </w:tcPr>
          <w:p w14:paraId="681F0924">
            <w:pPr>
              <w:pStyle w:val="12"/>
            </w:pPr>
            <w:r>
              <w:t>100%</w:t>
            </w:r>
          </w:p>
        </w:tc>
        <w:tc>
          <w:tcPr>
            <w:tcW w:w="1276" w:type="dxa"/>
            <w:vAlign w:val="center"/>
          </w:tcPr>
          <w:p w14:paraId="182DD380">
            <w:pPr>
              <w:pStyle w:val="12"/>
            </w:pPr>
            <w:r>
              <w:t>隆尧县中职免学费管理办法</w:t>
            </w:r>
          </w:p>
        </w:tc>
      </w:tr>
      <w:tr w14:paraId="52B51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9AC63"/>
        </w:tc>
        <w:tc>
          <w:tcPr>
            <w:tcW w:w="2268" w:type="dxa"/>
            <w:vAlign w:val="center"/>
          </w:tcPr>
          <w:p w14:paraId="1544C74C">
            <w:pPr>
              <w:pStyle w:val="12"/>
            </w:pPr>
            <w:r>
              <w:t>成本指标</w:t>
            </w:r>
          </w:p>
        </w:tc>
        <w:tc>
          <w:tcPr>
            <w:tcW w:w="2835" w:type="dxa"/>
            <w:vAlign w:val="center"/>
          </w:tcPr>
          <w:p w14:paraId="2CC45D00">
            <w:pPr>
              <w:pStyle w:val="12"/>
            </w:pPr>
            <w:r>
              <w:t>中职学校免学费补助标准</w:t>
            </w:r>
          </w:p>
        </w:tc>
        <w:tc>
          <w:tcPr>
            <w:tcW w:w="5386" w:type="dxa"/>
            <w:vAlign w:val="center"/>
          </w:tcPr>
          <w:p w14:paraId="10D3F6FE">
            <w:pPr>
              <w:pStyle w:val="12"/>
            </w:pPr>
            <w:r>
              <w:t>中职学校免学费补助标准</w:t>
            </w:r>
          </w:p>
        </w:tc>
        <w:tc>
          <w:tcPr>
            <w:tcW w:w="2268" w:type="dxa"/>
            <w:vAlign w:val="center"/>
          </w:tcPr>
          <w:p w14:paraId="390F9979">
            <w:pPr>
              <w:pStyle w:val="12"/>
            </w:pPr>
            <w:r>
              <w:t>2000元/生/年</w:t>
            </w:r>
          </w:p>
        </w:tc>
        <w:tc>
          <w:tcPr>
            <w:tcW w:w="1276" w:type="dxa"/>
            <w:vAlign w:val="center"/>
          </w:tcPr>
          <w:p w14:paraId="69ECBD89">
            <w:pPr>
              <w:pStyle w:val="12"/>
            </w:pPr>
            <w:r>
              <w:t>隆尧县中职免学费管理办法</w:t>
            </w:r>
          </w:p>
        </w:tc>
      </w:tr>
      <w:tr w14:paraId="4357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E59E7">
            <w:pPr>
              <w:pStyle w:val="13"/>
            </w:pPr>
            <w:r>
              <w:t>效益指标</w:t>
            </w:r>
          </w:p>
        </w:tc>
        <w:tc>
          <w:tcPr>
            <w:tcW w:w="2268" w:type="dxa"/>
            <w:vAlign w:val="center"/>
          </w:tcPr>
          <w:p w14:paraId="761E2E3D">
            <w:pPr>
              <w:pStyle w:val="12"/>
            </w:pPr>
            <w:r>
              <w:t>可持续影响指标</w:t>
            </w:r>
          </w:p>
        </w:tc>
        <w:tc>
          <w:tcPr>
            <w:tcW w:w="2835" w:type="dxa"/>
            <w:vAlign w:val="center"/>
          </w:tcPr>
          <w:p w14:paraId="23E38D45">
            <w:pPr>
              <w:pStyle w:val="12"/>
            </w:pPr>
            <w:r>
              <w:t>中职运转</w:t>
            </w:r>
          </w:p>
        </w:tc>
        <w:tc>
          <w:tcPr>
            <w:tcW w:w="5386" w:type="dxa"/>
            <w:vAlign w:val="center"/>
          </w:tcPr>
          <w:p w14:paraId="17889A5A">
            <w:pPr>
              <w:pStyle w:val="12"/>
            </w:pPr>
            <w:r>
              <w:t>高中受教育年限</w:t>
            </w:r>
          </w:p>
        </w:tc>
        <w:tc>
          <w:tcPr>
            <w:tcW w:w="2268" w:type="dxa"/>
            <w:vAlign w:val="center"/>
          </w:tcPr>
          <w:p w14:paraId="4345E0A4">
            <w:pPr>
              <w:pStyle w:val="12"/>
            </w:pPr>
            <w:r>
              <w:t>3年</w:t>
            </w:r>
          </w:p>
        </w:tc>
        <w:tc>
          <w:tcPr>
            <w:tcW w:w="1276" w:type="dxa"/>
            <w:vAlign w:val="center"/>
          </w:tcPr>
          <w:p w14:paraId="36BC891A">
            <w:pPr>
              <w:pStyle w:val="12"/>
            </w:pPr>
            <w:r>
              <w:t>隆尧县中职免学费管理办法</w:t>
            </w:r>
          </w:p>
        </w:tc>
      </w:tr>
      <w:tr w14:paraId="1317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EB73B">
            <w:pPr>
              <w:pStyle w:val="13"/>
            </w:pPr>
            <w:r>
              <w:t>满意度指标</w:t>
            </w:r>
          </w:p>
        </w:tc>
        <w:tc>
          <w:tcPr>
            <w:tcW w:w="2268" w:type="dxa"/>
            <w:vAlign w:val="center"/>
          </w:tcPr>
          <w:p w14:paraId="0C1DE8DA">
            <w:pPr>
              <w:pStyle w:val="12"/>
            </w:pPr>
            <w:r>
              <w:t>服务对象满意度指标</w:t>
            </w:r>
          </w:p>
        </w:tc>
        <w:tc>
          <w:tcPr>
            <w:tcW w:w="2835" w:type="dxa"/>
            <w:vAlign w:val="center"/>
          </w:tcPr>
          <w:p w14:paraId="3B659656">
            <w:pPr>
              <w:pStyle w:val="12"/>
            </w:pPr>
            <w:r>
              <w:t>提升幸福指数</w:t>
            </w:r>
          </w:p>
        </w:tc>
        <w:tc>
          <w:tcPr>
            <w:tcW w:w="5386" w:type="dxa"/>
            <w:vAlign w:val="center"/>
          </w:tcPr>
          <w:p w14:paraId="279F906B">
            <w:pPr>
              <w:pStyle w:val="12"/>
            </w:pPr>
            <w:r>
              <w:t>提升贫困家庭学生的幸福指数学生家长满</w:t>
            </w:r>
            <w:r>
              <w:rPr>
                <w:rFonts w:hint="eastAsia"/>
                <w:lang w:eastAsia="zh-CN"/>
              </w:rPr>
              <w:t>意度</w:t>
            </w:r>
          </w:p>
        </w:tc>
        <w:tc>
          <w:tcPr>
            <w:tcW w:w="2268" w:type="dxa"/>
            <w:vAlign w:val="center"/>
          </w:tcPr>
          <w:p w14:paraId="7B9AC9DE">
            <w:pPr>
              <w:pStyle w:val="12"/>
            </w:pPr>
            <w:r>
              <w:t>≥95%</w:t>
            </w:r>
          </w:p>
        </w:tc>
        <w:tc>
          <w:tcPr>
            <w:tcW w:w="1276" w:type="dxa"/>
            <w:vAlign w:val="center"/>
          </w:tcPr>
          <w:p w14:paraId="17F2A5DC">
            <w:pPr>
              <w:pStyle w:val="12"/>
            </w:pPr>
            <w:r>
              <w:t>隆尧县中职免学费管理办法</w:t>
            </w:r>
          </w:p>
        </w:tc>
      </w:tr>
    </w:tbl>
    <w:p w14:paraId="5A191DF2">
      <w:pPr>
        <w:sectPr>
          <w:pgSz w:w="16840" w:h="11900" w:orient="landscape"/>
          <w:pgMar w:top="1361" w:right="1020" w:bottom="1134" w:left="1020" w:header="720" w:footer="720" w:gutter="0"/>
          <w:cols w:space="720" w:num="1"/>
        </w:sectPr>
      </w:pPr>
    </w:p>
    <w:p w14:paraId="2666B853">
      <w:pPr>
        <w:spacing w:before="0" w:after="0"/>
        <w:ind w:firstLine="560"/>
        <w:jc w:val="left"/>
        <w:outlineLvl w:val="9"/>
      </w:pPr>
      <w:r>
        <w:rPr>
          <w:rFonts w:ascii="方正仿宋_GBK" w:hAnsi="方正仿宋_GBK" w:eastAsia="方正仿宋_GBK" w:cs="方正仿宋_GBK"/>
          <w:b/>
          <w:color w:val="000000"/>
          <w:sz w:val="28"/>
        </w:rPr>
        <w:t>35、县级配套/民办小学公用经费绩效目标表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93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E7C06">
            <w:pPr>
              <w:pStyle w:val="11"/>
            </w:pPr>
            <w:r>
              <w:t>单位：万元</w:t>
            </w:r>
          </w:p>
        </w:tc>
      </w:tr>
      <w:tr w14:paraId="11674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D078B">
            <w:pPr>
              <w:pStyle w:val="10"/>
            </w:pPr>
            <w:r>
              <w:t>项目编码</w:t>
            </w:r>
          </w:p>
        </w:tc>
        <w:tc>
          <w:tcPr>
            <w:tcW w:w="5103" w:type="dxa"/>
            <w:gridSpan w:val="2"/>
            <w:vAlign w:val="center"/>
          </w:tcPr>
          <w:p w14:paraId="4DEB511E">
            <w:pPr>
              <w:pStyle w:val="12"/>
            </w:pPr>
            <w:r>
              <w:t>13052526P000004104841</w:t>
            </w:r>
          </w:p>
        </w:tc>
        <w:tc>
          <w:tcPr>
            <w:tcW w:w="2835" w:type="dxa"/>
            <w:vAlign w:val="center"/>
          </w:tcPr>
          <w:p w14:paraId="586B8F43">
            <w:pPr>
              <w:pStyle w:val="10"/>
            </w:pPr>
            <w:r>
              <w:t>项目名称</w:t>
            </w:r>
          </w:p>
        </w:tc>
        <w:tc>
          <w:tcPr>
            <w:tcW w:w="6095" w:type="dxa"/>
            <w:gridSpan w:val="3"/>
            <w:vAlign w:val="center"/>
          </w:tcPr>
          <w:p w14:paraId="23B708B9">
            <w:pPr>
              <w:pStyle w:val="12"/>
            </w:pPr>
            <w:r>
              <w:t>县级配套/民办小学公用经费</w:t>
            </w:r>
          </w:p>
        </w:tc>
      </w:tr>
      <w:tr w14:paraId="27B64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A2B76">
            <w:pPr>
              <w:pStyle w:val="10"/>
            </w:pPr>
            <w:r>
              <w:t>预算规模及资金用途</w:t>
            </w:r>
          </w:p>
        </w:tc>
        <w:tc>
          <w:tcPr>
            <w:tcW w:w="2268" w:type="dxa"/>
            <w:vAlign w:val="center"/>
          </w:tcPr>
          <w:p w14:paraId="0B2F0732">
            <w:pPr>
              <w:pStyle w:val="10"/>
            </w:pPr>
            <w:r>
              <w:t>预算数</w:t>
            </w:r>
          </w:p>
        </w:tc>
        <w:tc>
          <w:tcPr>
            <w:tcW w:w="2835" w:type="dxa"/>
            <w:vAlign w:val="center"/>
          </w:tcPr>
          <w:p w14:paraId="14900302">
            <w:pPr>
              <w:pStyle w:val="12"/>
            </w:pPr>
            <w:r>
              <w:t>12.41</w:t>
            </w:r>
          </w:p>
        </w:tc>
        <w:tc>
          <w:tcPr>
            <w:tcW w:w="2835" w:type="dxa"/>
            <w:vAlign w:val="center"/>
          </w:tcPr>
          <w:p w14:paraId="23502DB6">
            <w:pPr>
              <w:pStyle w:val="10"/>
            </w:pPr>
            <w:r>
              <w:t>其中：财政    资金</w:t>
            </w:r>
          </w:p>
        </w:tc>
        <w:tc>
          <w:tcPr>
            <w:tcW w:w="2551" w:type="dxa"/>
            <w:vAlign w:val="center"/>
          </w:tcPr>
          <w:p w14:paraId="72CC799D">
            <w:pPr>
              <w:pStyle w:val="12"/>
            </w:pPr>
            <w:r>
              <w:t>12.41</w:t>
            </w:r>
          </w:p>
        </w:tc>
        <w:tc>
          <w:tcPr>
            <w:tcW w:w="2268" w:type="dxa"/>
            <w:vAlign w:val="center"/>
          </w:tcPr>
          <w:p w14:paraId="561E5B76">
            <w:pPr>
              <w:pStyle w:val="10"/>
            </w:pPr>
            <w:r>
              <w:t>其他资金</w:t>
            </w:r>
          </w:p>
        </w:tc>
        <w:tc>
          <w:tcPr>
            <w:tcW w:w="1276" w:type="dxa"/>
            <w:vAlign w:val="center"/>
          </w:tcPr>
          <w:p w14:paraId="2FB646BB">
            <w:pPr>
              <w:pStyle w:val="12"/>
            </w:pPr>
            <w:r>
              <w:t xml:space="preserve"> </w:t>
            </w:r>
          </w:p>
        </w:tc>
      </w:tr>
      <w:tr w14:paraId="01DA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84296"/>
        </w:tc>
        <w:tc>
          <w:tcPr>
            <w:tcW w:w="14033" w:type="dxa"/>
            <w:gridSpan w:val="6"/>
            <w:vAlign w:val="center"/>
          </w:tcPr>
          <w:p w14:paraId="0B924F85">
            <w:pPr>
              <w:pStyle w:val="12"/>
            </w:pPr>
            <w:r>
              <w:t>保障义务教育学校正常运转，完成教育教学活动和其他日常工作任务等方面的费用支出。</w:t>
            </w:r>
            <w:r>
              <w:tab/>
            </w:r>
            <w:r>
              <w:tab/>
            </w:r>
            <w:r>
              <w:tab/>
            </w:r>
            <w:r>
              <w:tab/>
            </w:r>
            <w:r>
              <w:tab/>
            </w:r>
            <w:r>
              <w:tab/>
            </w:r>
          </w:p>
          <w:p w14:paraId="4B3A5B81">
            <w:pPr>
              <w:pStyle w:val="12"/>
            </w:pPr>
          </w:p>
        </w:tc>
      </w:tr>
      <w:tr w14:paraId="045E4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5EB54">
            <w:pPr>
              <w:pStyle w:val="10"/>
            </w:pPr>
            <w:r>
              <w:t>资金支出计划（%）</w:t>
            </w:r>
          </w:p>
        </w:tc>
        <w:tc>
          <w:tcPr>
            <w:tcW w:w="5103" w:type="dxa"/>
            <w:gridSpan w:val="2"/>
            <w:vAlign w:val="center"/>
          </w:tcPr>
          <w:p w14:paraId="166C6F7D">
            <w:pPr>
              <w:pStyle w:val="10"/>
            </w:pPr>
            <w:r>
              <w:t>3月底</w:t>
            </w:r>
          </w:p>
        </w:tc>
        <w:tc>
          <w:tcPr>
            <w:tcW w:w="2835" w:type="dxa"/>
            <w:vAlign w:val="center"/>
          </w:tcPr>
          <w:p w14:paraId="28DFBFED">
            <w:pPr>
              <w:pStyle w:val="10"/>
            </w:pPr>
            <w:r>
              <w:t>6月底</w:t>
            </w:r>
          </w:p>
        </w:tc>
        <w:tc>
          <w:tcPr>
            <w:tcW w:w="2551" w:type="dxa"/>
            <w:vAlign w:val="center"/>
          </w:tcPr>
          <w:p w14:paraId="3AAB4631">
            <w:pPr>
              <w:pStyle w:val="10"/>
            </w:pPr>
            <w:r>
              <w:t>10月底</w:t>
            </w:r>
          </w:p>
        </w:tc>
        <w:tc>
          <w:tcPr>
            <w:tcW w:w="3544" w:type="dxa"/>
            <w:gridSpan w:val="2"/>
            <w:vAlign w:val="center"/>
          </w:tcPr>
          <w:p w14:paraId="74DB8A1B">
            <w:pPr>
              <w:pStyle w:val="10"/>
            </w:pPr>
            <w:r>
              <w:t>12月底</w:t>
            </w:r>
          </w:p>
        </w:tc>
      </w:tr>
      <w:tr w14:paraId="20A34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56BAB"/>
        </w:tc>
        <w:tc>
          <w:tcPr>
            <w:tcW w:w="5103" w:type="dxa"/>
            <w:gridSpan w:val="2"/>
            <w:vAlign w:val="center"/>
          </w:tcPr>
          <w:p w14:paraId="4970D39C">
            <w:pPr>
              <w:pStyle w:val="13"/>
            </w:pPr>
            <w:r>
              <w:t>25%</w:t>
            </w:r>
          </w:p>
        </w:tc>
        <w:tc>
          <w:tcPr>
            <w:tcW w:w="2835" w:type="dxa"/>
            <w:vAlign w:val="center"/>
          </w:tcPr>
          <w:p w14:paraId="53BC3BB3">
            <w:pPr>
              <w:pStyle w:val="13"/>
            </w:pPr>
            <w:r>
              <w:t>50%</w:t>
            </w:r>
          </w:p>
        </w:tc>
        <w:tc>
          <w:tcPr>
            <w:tcW w:w="2551" w:type="dxa"/>
            <w:vAlign w:val="center"/>
          </w:tcPr>
          <w:p w14:paraId="619D8522">
            <w:pPr>
              <w:pStyle w:val="13"/>
            </w:pPr>
            <w:r>
              <w:t>75%</w:t>
            </w:r>
          </w:p>
        </w:tc>
        <w:tc>
          <w:tcPr>
            <w:tcW w:w="3544" w:type="dxa"/>
            <w:gridSpan w:val="2"/>
            <w:vAlign w:val="center"/>
          </w:tcPr>
          <w:p w14:paraId="4FBB421D">
            <w:pPr>
              <w:pStyle w:val="13"/>
            </w:pPr>
            <w:r>
              <w:t>100%</w:t>
            </w:r>
          </w:p>
        </w:tc>
      </w:tr>
      <w:tr w14:paraId="03009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0AEC8">
            <w:pPr>
              <w:pStyle w:val="10"/>
            </w:pPr>
            <w:r>
              <w:t>绩效目标</w:t>
            </w:r>
          </w:p>
        </w:tc>
        <w:tc>
          <w:tcPr>
            <w:tcW w:w="14033" w:type="dxa"/>
            <w:gridSpan w:val="6"/>
            <w:vAlign w:val="center"/>
          </w:tcPr>
          <w:p w14:paraId="395E0262">
            <w:pPr>
              <w:pStyle w:val="12"/>
            </w:pPr>
            <w:r>
              <w:t>1.保障义务教育学校正常运转，完成教育教学活动和其他日常工作任务等方面的费用支出。</w:t>
            </w:r>
          </w:p>
        </w:tc>
      </w:tr>
    </w:tbl>
    <w:p w14:paraId="2165A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9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302A0">
            <w:pPr>
              <w:pStyle w:val="10"/>
            </w:pPr>
            <w:r>
              <w:t>一级指标</w:t>
            </w:r>
          </w:p>
        </w:tc>
        <w:tc>
          <w:tcPr>
            <w:tcW w:w="2268" w:type="dxa"/>
            <w:vAlign w:val="center"/>
          </w:tcPr>
          <w:p w14:paraId="658823F9">
            <w:pPr>
              <w:pStyle w:val="10"/>
            </w:pPr>
            <w:r>
              <w:t>二级指标</w:t>
            </w:r>
          </w:p>
        </w:tc>
        <w:tc>
          <w:tcPr>
            <w:tcW w:w="2835" w:type="dxa"/>
            <w:vAlign w:val="center"/>
          </w:tcPr>
          <w:p w14:paraId="3C67106C">
            <w:pPr>
              <w:pStyle w:val="10"/>
            </w:pPr>
            <w:r>
              <w:t>三级指标</w:t>
            </w:r>
          </w:p>
        </w:tc>
        <w:tc>
          <w:tcPr>
            <w:tcW w:w="5386" w:type="dxa"/>
            <w:vAlign w:val="center"/>
          </w:tcPr>
          <w:p w14:paraId="169A1905">
            <w:pPr>
              <w:pStyle w:val="10"/>
            </w:pPr>
            <w:r>
              <w:t>绩效指标描述</w:t>
            </w:r>
          </w:p>
        </w:tc>
        <w:tc>
          <w:tcPr>
            <w:tcW w:w="2268" w:type="dxa"/>
            <w:vAlign w:val="center"/>
          </w:tcPr>
          <w:p w14:paraId="70C95CBE">
            <w:pPr>
              <w:pStyle w:val="10"/>
            </w:pPr>
            <w:r>
              <w:t>指标值</w:t>
            </w:r>
          </w:p>
        </w:tc>
        <w:tc>
          <w:tcPr>
            <w:tcW w:w="1276" w:type="dxa"/>
            <w:vAlign w:val="center"/>
          </w:tcPr>
          <w:p w14:paraId="484A4CAB">
            <w:pPr>
              <w:pStyle w:val="10"/>
            </w:pPr>
            <w:r>
              <w:t>指标值确定依据</w:t>
            </w:r>
          </w:p>
        </w:tc>
      </w:tr>
      <w:tr w14:paraId="69D4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67F03">
            <w:pPr>
              <w:pStyle w:val="13"/>
            </w:pPr>
            <w:r>
              <w:t>产出指标</w:t>
            </w:r>
          </w:p>
        </w:tc>
        <w:tc>
          <w:tcPr>
            <w:tcW w:w="2268" w:type="dxa"/>
            <w:vAlign w:val="center"/>
          </w:tcPr>
          <w:p w14:paraId="1F243BA6">
            <w:pPr>
              <w:pStyle w:val="12"/>
            </w:pPr>
            <w:r>
              <w:t>数量指标</w:t>
            </w:r>
          </w:p>
        </w:tc>
        <w:tc>
          <w:tcPr>
            <w:tcW w:w="2835" w:type="dxa"/>
            <w:vAlign w:val="center"/>
          </w:tcPr>
          <w:p w14:paraId="33DE8DF8">
            <w:pPr>
              <w:pStyle w:val="12"/>
            </w:pPr>
            <w:r>
              <w:t>适龄在校生</w:t>
            </w:r>
          </w:p>
        </w:tc>
        <w:tc>
          <w:tcPr>
            <w:tcW w:w="5386" w:type="dxa"/>
            <w:vAlign w:val="center"/>
          </w:tcPr>
          <w:p w14:paraId="65A2E4C0">
            <w:pPr>
              <w:pStyle w:val="12"/>
            </w:pPr>
            <w:r>
              <w:t>适龄在校就读学生人数</w:t>
            </w:r>
          </w:p>
        </w:tc>
        <w:tc>
          <w:tcPr>
            <w:tcW w:w="2268" w:type="dxa"/>
            <w:vAlign w:val="center"/>
          </w:tcPr>
          <w:p w14:paraId="2479062A">
            <w:pPr>
              <w:pStyle w:val="12"/>
            </w:pPr>
            <w:r>
              <w:t>≥597人</w:t>
            </w:r>
          </w:p>
        </w:tc>
        <w:tc>
          <w:tcPr>
            <w:tcW w:w="1276" w:type="dxa"/>
            <w:vAlign w:val="center"/>
          </w:tcPr>
          <w:p w14:paraId="4C0695D3">
            <w:pPr>
              <w:pStyle w:val="12"/>
            </w:pPr>
            <w:r>
              <w:t>城乡义务教育公用经费管理办法</w:t>
            </w:r>
          </w:p>
        </w:tc>
      </w:tr>
      <w:tr w14:paraId="6A45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5F2E1"/>
        </w:tc>
        <w:tc>
          <w:tcPr>
            <w:tcW w:w="2268" w:type="dxa"/>
            <w:vAlign w:val="center"/>
          </w:tcPr>
          <w:p w14:paraId="5DACF666">
            <w:pPr>
              <w:pStyle w:val="12"/>
            </w:pPr>
            <w:r>
              <w:t>质量指标</w:t>
            </w:r>
          </w:p>
        </w:tc>
        <w:tc>
          <w:tcPr>
            <w:tcW w:w="2835" w:type="dxa"/>
            <w:vAlign w:val="center"/>
          </w:tcPr>
          <w:p w14:paraId="730500BD">
            <w:pPr>
              <w:pStyle w:val="12"/>
            </w:pPr>
            <w:r>
              <w:t>预算控制率</w:t>
            </w:r>
          </w:p>
        </w:tc>
        <w:tc>
          <w:tcPr>
            <w:tcW w:w="5386" w:type="dxa"/>
            <w:vAlign w:val="center"/>
          </w:tcPr>
          <w:p w14:paraId="755620BD">
            <w:pPr>
              <w:pStyle w:val="12"/>
            </w:pPr>
            <w:r>
              <w:t>预算执行</w:t>
            </w:r>
          </w:p>
        </w:tc>
        <w:tc>
          <w:tcPr>
            <w:tcW w:w="2268" w:type="dxa"/>
            <w:vAlign w:val="center"/>
          </w:tcPr>
          <w:p w14:paraId="72331054">
            <w:pPr>
              <w:pStyle w:val="12"/>
            </w:pPr>
            <w:r>
              <w:t>≥95%</w:t>
            </w:r>
          </w:p>
        </w:tc>
        <w:tc>
          <w:tcPr>
            <w:tcW w:w="1276" w:type="dxa"/>
            <w:vAlign w:val="center"/>
          </w:tcPr>
          <w:p w14:paraId="78458BBD">
            <w:pPr>
              <w:pStyle w:val="12"/>
            </w:pPr>
            <w:r>
              <w:t>城乡义务教育公用经费管理办法</w:t>
            </w:r>
          </w:p>
        </w:tc>
      </w:tr>
      <w:tr w14:paraId="1F66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BEDE"/>
        </w:tc>
        <w:tc>
          <w:tcPr>
            <w:tcW w:w="2268" w:type="dxa"/>
            <w:vAlign w:val="center"/>
          </w:tcPr>
          <w:p w14:paraId="7701B6CB">
            <w:pPr>
              <w:pStyle w:val="12"/>
            </w:pPr>
            <w:r>
              <w:t>时效指标</w:t>
            </w:r>
          </w:p>
        </w:tc>
        <w:tc>
          <w:tcPr>
            <w:tcW w:w="2835" w:type="dxa"/>
            <w:vAlign w:val="center"/>
          </w:tcPr>
          <w:p w14:paraId="750E6001">
            <w:pPr>
              <w:pStyle w:val="12"/>
            </w:pPr>
            <w:r>
              <w:t>资金支付率</w:t>
            </w:r>
          </w:p>
        </w:tc>
        <w:tc>
          <w:tcPr>
            <w:tcW w:w="5386" w:type="dxa"/>
            <w:vAlign w:val="center"/>
          </w:tcPr>
          <w:p w14:paraId="55D3645E">
            <w:pPr>
              <w:pStyle w:val="12"/>
            </w:pPr>
            <w:r>
              <w:t>按照序时进度完成资金支付</w:t>
            </w:r>
          </w:p>
        </w:tc>
        <w:tc>
          <w:tcPr>
            <w:tcW w:w="2268" w:type="dxa"/>
            <w:vAlign w:val="center"/>
          </w:tcPr>
          <w:p w14:paraId="6E394ABD">
            <w:pPr>
              <w:pStyle w:val="12"/>
            </w:pPr>
            <w:r>
              <w:t>100%</w:t>
            </w:r>
          </w:p>
        </w:tc>
        <w:tc>
          <w:tcPr>
            <w:tcW w:w="1276" w:type="dxa"/>
            <w:vAlign w:val="center"/>
          </w:tcPr>
          <w:p w14:paraId="01144197">
            <w:pPr>
              <w:pStyle w:val="12"/>
            </w:pPr>
            <w:r>
              <w:t>城乡义务教育公用经费管理办法</w:t>
            </w:r>
          </w:p>
        </w:tc>
      </w:tr>
      <w:tr w14:paraId="0510D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41775"/>
        </w:tc>
        <w:tc>
          <w:tcPr>
            <w:tcW w:w="2268" w:type="dxa"/>
            <w:vAlign w:val="center"/>
          </w:tcPr>
          <w:p w14:paraId="512FD310">
            <w:pPr>
              <w:pStyle w:val="12"/>
            </w:pPr>
            <w:r>
              <w:t>成本指标</w:t>
            </w:r>
          </w:p>
        </w:tc>
        <w:tc>
          <w:tcPr>
            <w:tcW w:w="2835" w:type="dxa"/>
            <w:vAlign w:val="center"/>
          </w:tcPr>
          <w:p w14:paraId="7DF21A1E">
            <w:pPr>
              <w:pStyle w:val="12"/>
            </w:pPr>
            <w:r>
              <w:t>生均拨款标准</w:t>
            </w:r>
          </w:p>
        </w:tc>
        <w:tc>
          <w:tcPr>
            <w:tcW w:w="5386" w:type="dxa"/>
            <w:vAlign w:val="center"/>
          </w:tcPr>
          <w:p w14:paraId="5F18DA0F">
            <w:pPr>
              <w:pStyle w:val="12"/>
            </w:pPr>
            <w:r>
              <w:t>小学：（基本标准720元、寄宿生300元、取暖120元）/生/学年；随班就读学生：标准7000元/生/学年。</w:t>
            </w:r>
          </w:p>
        </w:tc>
        <w:tc>
          <w:tcPr>
            <w:tcW w:w="2268" w:type="dxa"/>
            <w:vAlign w:val="center"/>
          </w:tcPr>
          <w:p w14:paraId="3C28909B">
            <w:pPr>
              <w:pStyle w:val="12"/>
            </w:pPr>
            <w:r>
              <w:t>124100元</w:t>
            </w:r>
          </w:p>
        </w:tc>
        <w:tc>
          <w:tcPr>
            <w:tcW w:w="1276" w:type="dxa"/>
            <w:vAlign w:val="center"/>
          </w:tcPr>
          <w:p w14:paraId="3E96335C">
            <w:pPr>
              <w:pStyle w:val="12"/>
            </w:pPr>
            <w:r>
              <w:t>城乡义务教育公用经费管理办法</w:t>
            </w:r>
          </w:p>
        </w:tc>
      </w:tr>
      <w:tr w14:paraId="6D76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D072B">
            <w:pPr>
              <w:pStyle w:val="13"/>
            </w:pPr>
            <w:r>
              <w:t>效益指标</w:t>
            </w:r>
          </w:p>
        </w:tc>
        <w:tc>
          <w:tcPr>
            <w:tcW w:w="2268" w:type="dxa"/>
            <w:vAlign w:val="center"/>
          </w:tcPr>
          <w:p w14:paraId="47E15625">
            <w:pPr>
              <w:pStyle w:val="12"/>
            </w:pPr>
            <w:r>
              <w:t>可持续影响指标</w:t>
            </w:r>
          </w:p>
        </w:tc>
        <w:tc>
          <w:tcPr>
            <w:tcW w:w="2835" w:type="dxa"/>
            <w:vAlign w:val="center"/>
          </w:tcPr>
          <w:p w14:paraId="677A8DF2">
            <w:pPr>
              <w:pStyle w:val="12"/>
            </w:pPr>
            <w:r>
              <w:t>教育发展水平明显好转</w:t>
            </w:r>
          </w:p>
        </w:tc>
        <w:tc>
          <w:tcPr>
            <w:tcW w:w="5386" w:type="dxa"/>
            <w:vAlign w:val="center"/>
          </w:tcPr>
          <w:p w14:paraId="78678DED">
            <w:pPr>
              <w:pStyle w:val="12"/>
            </w:pPr>
            <w:r>
              <w:t>学生受教育年限</w:t>
            </w:r>
          </w:p>
        </w:tc>
        <w:tc>
          <w:tcPr>
            <w:tcW w:w="2268" w:type="dxa"/>
            <w:vAlign w:val="center"/>
          </w:tcPr>
          <w:p w14:paraId="7C633539">
            <w:pPr>
              <w:pStyle w:val="12"/>
            </w:pPr>
            <w:r>
              <w:t>6年</w:t>
            </w:r>
          </w:p>
        </w:tc>
        <w:tc>
          <w:tcPr>
            <w:tcW w:w="1276" w:type="dxa"/>
            <w:vAlign w:val="center"/>
          </w:tcPr>
          <w:p w14:paraId="32F3B3EB">
            <w:pPr>
              <w:pStyle w:val="12"/>
            </w:pPr>
            <w:r>
              <w:t>城乡义务教育公用经费管理办法</w:t>
            </w:r>
          </w:p>
        </w:tc>
      </w:tr>
      <w:tr w14:paraId="5C1E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CFC52">
            <w:pPr>
              <w:pStyle w:val="13"/>
            </w:pPr>
            <w:r>
              <w:t>满意度指标</w:t>
            </w:r>
          </w:p>
        </w:tc>
        <w:tc>
          <w:tcPr>
            <w:tcW w:w="2268" w:type="dxa"/>
            <w:vAlign w:val="center"/>
          </w:tcPr>
          <w:p w14:paraId="08FEF4AC">
            <w:pPr>
              <w:pStyle w:val="12"/>
            </w:pPr>
            <w:r>
              <w:t>服务对象满意度指标</w:t>
            </w:r>
          </w:p>
        </w:tc>
        <w:tc>
          <w:tcPr>
            <w:tcW w:w="2835" w:type="dxa"/>
            <w:vAlign w:val="center"/>
          </w:tcPr>
          <w:p w14:paraId="6F695738">
            <w:pPr>
              <w:pStyle w:val="12"/>
            </w:pPr>
            <w:r>
              <w:t>受益学生家长及调查满意度</w:t>
            </w:r>
          </w:p>
        </w:tc>
        <w:tc>
          <w:tcPr>
            <w:tcW w:w="5386" w:type="dxa"/>
            <w:vAlign w:val="center"/>
          </w:tcPr>
          <w:p w14:paraId="68D59EEA">
            <w:pPr>
              <w:pStyle w:val="12"/>
            </w:pPr>
            <w:r>
              <w:t>学生、教师及家长对学校教育教学工作满意度情况</w:t>
            </w:r>
          </w:p>
        </w:tc>
        <w:tc>
          <w:tcPr>
            <w:tcW w:w="2268" w:type="dxa"/>
            <w:vAlign w:val="center"/>
          </w:tcPr>
          <w:p w14:paraId="7D3F3332">
            <w:pPr>
              <w:pStyle w:val="12"/>
            </w:pPr>
            <w:r>
              <w:t>≥95%</w:t>
            </w:r>
          </w:p>
        </w:tc>
        <w:tc>
          <w:tcPr>
            <w:tcW w:w="1276" w:type="dxa"/>
            <w:vAlign w:val="center"/>
          </w:tcPr>
          <w:p w14:paraId="40688EDD">
            <w:pPr>
              <w:pStyle w:val="12"/>
            </w:pPr>
            <w:r>
              <w:t>调查问卷</w:t>
            </w:r>
          </w:p>
        </w:tc>
      </w:tr>
    </w:tbl>
    <w:p w14:paraId="1F8D87EB">
      <w:pPr>
        <w:sectPr>
          <w:pgSz w:w="16840" w:h="11900" w:orient="landscape"/>
          <w:pgMar w:top="1361" w:right="1020" w:bottom="1134" w:left="1020" w:header="720" w:footer="720" w:gutter="0"/>
          <w:cols w:space="720" w:num="1"/>
        </w:sectPr>
      </w:pPr>
    </w:p>
    <w:p w14:paraId="6460974D">
      <w:pPr>
        <w:spacing w:before="0" w:after="0"/>
        <w:ind w:firstLine="560"/>
        <w:jc w:val="left"/>
        <w:outlineLvl w:val="9"/>
      </w:pPr>
      <w:r>
        <w:rPr>
          <w:rFonts w:ascii="方正仿宋_GBK" w:hAnsi="方正仿宋_GBK" w:eastAsia="方正仿宋_GBK" w:cs="方正仿宋_GBK"/>
          <w:b/>
          <w:color w:val="000000"/>
          <w:sz w:val="28"/>
        </w:rPr>
        <w:t>36、县级配套/原民办教师教龄补助绩效目标表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B3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0775D">
            <w:pPr>
              <w:pStyle w:val="11"/>
            </w:pPr>
            <w:r>
              <w:t>单位：万元</w:t>
            </w:r>
          </w:p>
        </w:tc>
      </w:tr>
      <w:tr w14:paraId="45A45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BB83F">
            <w:pPr>
              <w:pStyle w:val="10"/>
            </w:pPr>
            <w:r>
              <w:t>项目编码</w:t>
            </w:r>
          </w:p>
        </w:tc>
        <w:tc>
          <w:tcPr>
            <w:tcW w:w="5103" w:type="dxa"/>
            <w:gridSpan w:val="2"/>
            <w:vAlign w:val="center"/>
          </w:tcPr>
          <w:p w14:paraId="60F7E18D">
            <w:pPr>
              <w:pStyle w:val="12"/>
            </w:pPr>
            <w:r>
              <w:t>13052526P000015100036</w:t>
            </w:r>
          </w:p>
        </w:tc>
        <w:tc>
          <w:tcPr>
            <w:tcW w:w="2835" w:type="dxa"/>
            <w:vAlign w:val="center"/>
          </w:tcPr>
          <w:p w14:paraId="78517BFA">
            <w:pPr>
              <w:pStyle w:val="10"/>
            </w:pPr>
            <w:r>
              <w:t>项目名称</w:t>
            </w:r>
          </w:p>
        </w:tc>
        <w:tc>
          <w:tcPr>
            <w:tcW w:w="6095" w:type="dxa"/>
            <w:gridSpan w:val="3"/>
            <w:vAlign w:val="center"/>
          </w:tcPr>
          <w:p w14:paraId="51742EC5">
            <w:pPr>
              <w:pStyle w:val="12"/>
            </w:pPr>
            <w:r>
              <w:t>县级配套/原民办教师教龄补助</w:t>
            </w:r>
          </w:p>
        </w:tc>
      </w:tr>
      <w:tr w14:paraId="2A192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E232D">
            <w:pPr>
              <w:pStyle w:val="10"/>
            </w:pPr>
            <w:r>
              <w:t>预算规模及资金用途</w:t>
            </w:r>
          </w:p>
        </w:tc>
        <w:tc>
          <w:tcPr>
            <w:tcW w:w="2268" w:type="dxa"/>
            <w:vAlign w:val="center"/>
          </w:tcPr>
          <w:p w14:paraId="4B4CAD4D">
            <w:pPr>
              <w:pStyle w:val="10"/>
            </w:pPr>
            <w:r>
              <w:t>预算数</w:t>
            </w:r>
          </w:p>
        </w:tc>
        <w:tc>
          <w:tcPr>
            <w:tcW w:w="2835" w:type="dxa"/>
            <w:vAlign w:val="center"/>
          </w:tcPr>
          <w:p w14:paraId="441CBF0D">
            <w:pPr>
              <w:pStyle w:val="12"/>
            </w:pPr>
            <w:r>
              <w:t>329.16</w:t>
            </w:r>
          </w:p>
        </w:tc>
        <w:tc>
          <w:tcPr>
            <w:tcW w:w="2835" w:type="dxa"/>
            <w:vAlign w:val="center"/>
          </w:tcPr>
          <w:p w14:paraId="54DF2980">
            <w:pPr>
              <w:pStyle w:val="10"/>
            </w:pPr>
            <w:r>
              <w:t>其中：财政    资金</w:t>
            </w:r>
          </w:p>
        </w:tc>
        <w:tc>
          <w:tcPr>
            <w:tcW w:w="2551" w:type="dxa"/>
            <w:vAlign w:val="center"/>
          </w:tcPr>
          <w:p w14:paraId="49FE0339">
            <w:pPr>
              <w:pStyle w:val="12"/>
            </w:pPr>
            <w:r>
              <w:t>329.16</w:t>
            </w:r>
          </w:p>
        </w:tc>
        <w:tc>
          <w:tcPr>
            <w:tcW w:w="2268" w:type="dxa"/>
            <w:vAlign w:val="center"/>
          </w:tcPr>
          <w:p w14:paraId="12155C92">
            <w:pPr>
              <w:pStyle w:val="10"/>
            </w:pPr>
            <w:r>
              <w:t>其他资金</w:t>
            </w:r>
          </w:p>
        </w:tc>
        <w:tc>
          <w:tcPr>
            <w:tcW w:w="1276" w:type="dxa"/>
            <w:vAlign w:val="center"/>
          </w:tcPr>
          <w:p w14:paraId="79B9F2DB">
            <w:pPr>
              <w:pStyle w:val="12"/>
            </w:pPr>
            <w:r>
              <w:t xml:space="preserve"> </w:t>
            </w:r>
          </w:p>
        </w:tc>
      </w:tr>
      <w:tr w14:paraId="42026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0E161"/>
        </w:tc>
        <w:tc>
          <w:tcPr>
            <w:tcW w:w="14033" w:type="dxa"/>
            <w:gridSpan w:val="6"/>
            <w:vAlign w:val="center"/>
          </w:tcPr>
          <w:p w14:paraId="1C7E9427">
            <w:pPr>
              <w:pStyle w:val="12"/>
            </w:pPr>
            <w:r>
              <w:t>资金按月发放，确保农村原民办代课教师教龄补助发放工作顺利实施</w:t>
            </w:r>
            <w:r>
              <w:tab/>
            </w:r>
          </w:p>
        </w:tc>
      </w:tr>
      <w:tr w14:paraId="0A9A0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2FC65">
            <w:pPr>
              <w:pStyle w:val="10"/>
            </w:pPr>
            <w:r>
              <w:t>资金支出计划（%）</w:t>
            </w:r>
          </w:p>
        </w:tc>
        <w:tc>
          <w:tcPr>
            <w:tcW w:w="5103" w:type="dxa"/>
            <w:gridSpan w:val="2"/>
            <w:vAlign w:val="center"/>
          </w:tcPr>
          <w:p w14:paraId="0A2D558B">
            <w:pPr>
              <w:pStyle w:val="10"/>
            </w:pPr>
            <w:r>
              <w:t>3月底</w:t>
            </w:r>
          </w:p>
        </w:tc>
        <w:tc>
          <w:tcPr>
            <w:tcW w:w="2835" w:type="dxa"/>
            <w:vAlign w:val="center"/>
          </w:tcPr>
          <w:p w14:paraId="63CD259C">
            <w:pPr>
              <w:pStyle w:val="10"/>
            </w:pPr>
            <w:r>
              <w:t>6月底</w:t>
            </w:r>
          </w:p>
        </w:tc>
        <w:tc>
          <w:tcPr>
            <w:tcW w:w="2551" w:type="dxa"/>
            <w:vAlign w:val="center"/>
          </w:tcPr>
          <w:p w14:paraId="2FDD03B4">
            <w:pPr>
              <w:pStyle w:val="10"/>
            </w:pPr>
            <w:r>
              <w:t>10月底</w:t>
            </w:r>
          </w:p>
        </w:tc>
        <w:tc>
          <w:tcPr>
            <w:tcW w:w="3544" w:type="dxa"/>
            <w:gridSpan w:val="2"/>
            <w:vAlign w:val="center"/>
          </w:tcPr>
          <w:p w14:paraId="5643AFEA">
            <w:pPr>
              <w:pStyle w:val="10"/>
            </w:pPr>
            <w:r>
              <w:t>12月底</w:t>
            </w:r>
          </w:p>
        </w:tc>
      </w:tr>
      <w:tr w14:paraId="1F00D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4DA35"/>
        </w:tc>
        <w:tc>
          <w:tcPr>
            <w:tcW w:w="5103" w:type="dxa"/>
            <w:gridSpan w:val="2"/>
            <w:vAlign w:val="center"/>
          </w:tcPr>
          <w:p w14:paraId="02E151A6">
            <w:pPr>
              <w:pStyle w:val="13"/>
            </w:pPr>
            <w:r>
              <w:t>25%</w:t>
            </w:r>
          </w:p>
        </w:tc>
        <w:tc>
          <w:tcPr>
            <w:tcW w:w="2835" w:type="dxa"/>
            <w:vAlign w:val="center"/>
          </w:tcPr>
          <w:p w14:paraId="3C0579F2">
            <w:pPr>
              <w:pStyle w:val="13"/>
            </w:pPr>
            <w:r>
              <w:t>50%</w:t>
            </w:r>
          </w:p>
        </w:tc>
        <w:tc>
          <w:tcPr>
            <w:tcW w:w="2551" w:type="dxa"/>
            <w:vAlign w:val="center"/>
          </w:tcPr>
          <w:p w14:paraId="2FB4BB4F">
            <w:pPr>
              <w:pStyle w:val="13"/>
            </w:pPr>
            <w:r>
              <w:t>75%</w:t>
            </w:r>
          </w:p>
        </w:tc>
        <w:tc>
          <w:tcPr>
            <w:tcW w:w="3544" w:type="dxa"/>
            <w:gridSpan w:val="2"/>
            <w:vAlign w:val="center"/>
          </w:tcPr>
          <w:p w14:paraId="28D90326">
            <w:pPr>
              <w:pStyle w:val="13"/>
            </w:pPr>
            <w:r>
              <w:t>100%</w:t>
            </w:r>
          </w:p>
        </w:tc>
      </w:tr>
      <w:tr w14:paraId="39E7B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E7D25">
            <w:pPr>
              <w:pStyle w:val="10"/>
            </w:pPr>
            <w:r>
              <w:t>绩效目标</w:t>
            </w:r>
          </w:p>
        </w:tc>
        <w:tc>
          <w:tcPr>
            <w:tcW w:w="14033" w:type="dxa"/>
            <w:gridSpan w:val="6"/>
            <w:vAlign w:val="center"/>
          </w:tcPr>
          <w:p w14:paraId="14E73205">
            <w:pPr>
              <w:pStyle w:val="12"/>
            </w:pPr>
            <w:r>
              <w:t>1.资金按月发放，确保农村原民办代课教师教龄补助发放工作顺利实施</w:t>
            </w:r>
          </w:p>
        </w:tc>
      </w:tr>
    </w:tbl>
    <w:p w14:paraId="3B3F2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C8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251D1">
            <w:pPr>
              <w:pStyle w:val="10"/>
            </w:pPr>
            <w:r>
              <w:t>一级指标</w:t>
            </w:r>
          </w:p>
        </w:tc>
        <w:tc>
          <w:tcPr>
            <w:tcW w:w="2268" w:type="dxa"/>
            <w:vAlign w:val="center"/>
          </w:tcPr>
          <w:p w14:paraId="1C5EBA7B">
            <w:pPr>
              <w:pStyle w:val="10"/>
            </w:pPr>
            <w:r>
              <w:t>二级指标</w:t>
            </w:r>
          </w:p>
        </w:tc>
        <w:tc>
          <w:tcPr>
            <w:tcW w:w="2835" w:type="dxa"/>
            <w:vAlign w:val="center"/>
          </w:tcPr>
          <w:p w14:paraId="57E5D4E2">
            <w:pPr>
              <w:pStyle w:val="10"/>
            </w:pPr>
            <w:r>
              <w:t>三级指标</w:t>
            </w:r>
          </w:p>
        </w:tc>
        <w:tc>
          <w:tcPr>
            <w:tcW w:w="5386" w:type="dxa"/>
            <w:vAlign w:val="center"/>
          </w:tcPr>
          <w:p w14:paraId="11471890">
            <w:pPr>
              <w:pStyle w:val="10"/>
            </w:pPr>
            <w:r>
              <w:t>绩效指标描述</w:t>
            </w:r>
          </w:p>
        </w:tc>
        <w:tc>
          <w:tcPr>
            <w:tcW w:w="2268" w:type="dxa"/>
            <w:vAlign w:val="center"/>
          </w:tcPr>
          <w:p w14:paraId="712C2EAA">
            <w:pPr>
              <w:pStyle w:val="10"/>
            </w:pPr>
            <w:r>
              <w:t>指标值</w:t>
            </w:r>
          </w:p>
        </w:tc>
        <w:tc>
          <w:tcPr>
            <w:tcW w:w="1276" w:type="dxa"/>
            <w:vAlign w:val="center"/>
          </w:tcPr>
          <w:p w14:paraId="5674357B">
            <w:pPr>
              <w:pStyle w:val="10"/>
            </w:pPr>
            <w:r>
              <w:t>指标值确定依据</w:t>
            </w:r>
          </w:p>
        </w:tc>
      </w:tr>
      <w:tr w14:paraId="2728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C53BA">
            <w:pPr>
              <w:pStyle w:val="13"/>
            </w:pPr>
            <w:r>
              <w:t>产出指标</w:t>
            </w:r>
          </w:p>
        </w:tc>
        <w:tc>
          <w:tcPr>
            <w:tcW w:w="2268" w:type="dxa"/>
            <w:vAlign w:val="center"/>
          </w:tcPr>
          <w:p w14:paraId="2EDA03DE">
            <w:pPr>
              <w:pStyle w:val="12"/>
            </w:pPr>
            <w:r>
              <w:t>数量指标</w:t>
            </w:r>
          </w:p>
        </w:tc>
        <w:tc>
          <w:tcPr>
            <w:tcW w:w="2835" w:type="dxa"/>
            <w:vAlign w:val="center"/>
          </w:tcPr>
          <w:p w14:paraId="38D725F7">
            <w:pPr>
              <w:pStyle w:val="12"/>
            </w:pPr>
            <w:r>
              <w:t>代课教师教龄补助</w:t>
            </w:r>
          </w:p>
        </w:tc>
        <w:tc>
          <w:tcPr>
            <w:tcW w:w="5386" w:type="dxa"/>
            <w:vAlign w:val="center"/>
          </w:tcPr>
          <w:p w14:paraId="28BE708E">
            <w:pPr>
              <w:pStyle w:val="12"/>
            </w:pPr>
            <w:r>
              <w:t>到达退休年龄的，按照相关要求已在人事部门登记备案的原民办教师人数</w:t>
            </w:r>
          </w:p>
        </w:tc>
        <w:tc>
          <w:tcPr>
            <w:tcW w:w="2268" w:type="dxa"/>
            <w:vAlign w:val="center"/>
          </w:tcPr>
          <w:p w14:paraId="268D77A3">
            <w:pPr>
              <w:pStyle w:val="12"/>
            </w:pPr>
            <w:r>
              <w:t>≥1732人</w:t>
            </w:r>
          </w:p>
        </w:tc>
        <w:tc>
          <w:tcPr>
            <w:tcW w:w="1276" w:type="dxa"/>
            <w:vAlign w:val="center"/>
          </w:tcPr>
          <w:p w14:paraId="73029793">
            <w:pPr>
              <w:pStyle w:val="12"/>
            </w:pPr>
            <w:r>
              <w:t>隆尧县农村原民办代课教师身份和教龄认定工作实施细则文件精神</w:t>
            </w:r>
          </w:p>
        </w:tc>
      </w:tr>
      <w:tr w14:paraId="3B9E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5DB32"/>
        </w:tc>
        <w:tc>
          <w:tcPr>
            <w:tcW w:w="2268" w:type="dxa"/>
            <w:vAlign w:val="center"/>
          </w:tcPr>
          <w:p w14:paraId="54754EEB">
            <w:pPr>
              <w:pStyle w:val="12"/>
            </w:pPr>
            <w:r>
              <w:t>质量指标</w:t>
            </w:r>
          </w:p>
        </w:tc>
        <w:tc>
          <w:tcPr>
            <w:tcW w:w="2835" w:type="dxa"/>
            <w:vAlign w:val="center"/>
          </w:tcPr>
          <w:p w14:paraId="0CCBCCAA">
            <w:pPr>
              <w:pStyle w:val="12"/>
            </w:pPr>
            <w:r>
              <w:t>补助率</w:t>
            </w:r>
          </w:p>
        </w:tc>
        <w:tc>
          <w:tcPr>
            <w:tcW w:w="5386" w:type="dxa"/>
            <w:vAlign w:val="center"/>
          </w:tcPr>
          <w:p w14:paraId="54502FD5">
            <w:pPr>
              <w:pStyle w:val="12"/>
            </w:pPr>
            <w:r>
              <w:t>民办代课教师教龄补助率</w:t>
            </w:r>
          </w:p>
        </w:tc>
        <w:tc>
          <w:tcPr>
            <w:tcW w:w="2268" w:type="dxa"/>
            <w:vAlign w:val="center"/>
          </w:tcPr>
          <w:p w14:paraId="061FF382">
            <w:pPr>
              <w:pStyle w:val="12"/>
            </w:pPr>
            <w:r>
              <w:t>100%</w:t>
            </w:r>
          </w:p>
        </w:tc>
        <w:tc>
          <w:tcPr>
            <w:tcW w:w="1276" w:type="dxa"/>
            <w:vAlign w:val="center"/>
          </w:tcPr>
          <w:p w14:paraId="4EE2F842">
            <w:pPr>
              <w:pStyle w:val="12"/>
            </w:pPr>
            <w:r>
              <w:t>工作计划</w:t>
            </w:r>
          </w:p>
        </w:tc>
      </w:tr>
      <w:tr w14:paraId="07207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BFDA2"/>
        </w:tc>
        <w:tc>
          <w:tcPr>
            <w:tcW w:w="2268" w:type="dxa"/>
            <w:vAlign w:val="center"/>
          </w:tcPr>
          <w:p w14:paraId="4F810D66">
            <w:pPr>
              <w:pStyle w:val="12"/>
            </w:pPr>
            <w:r>
              <w:t>时效指标</w:t>
            </w:r>
          </w:p>
        </w:tc>
        <w:tc>
          <w:tcPr>
            <w:tcW w:w="2835" w:type="dxa"/>
            <w:vAlign w:val="center"/>
          </w:tcPr>
          <w:p w14:paraId="56DE9641">
            <w:pPr>
              <w:pStyle w:val="12"/>
            </w:pPr>
            <w:r>
              <w:t>资金支付率</w:t>
            </w:r>
          </w:p>
        </w:tc>
        <w:tc>
          <w:tcPr>
            <w:tcW w:w="5386" w:type="dxa"/>
            <w:vAlign w:val="center"/>
          </w:tcPr>
          <w:p w14:paraId="1B9868F9">
            <w:pPr>
              <w:pStyle w:val="12"/>
            </w:pPr>
            <w:r>
              <w:t>按照序时进度完成资金支付</w:t>
            </w:r>
          </w:p>
        </w:tc>
        <w:tc>
          <w:tcPr>
            <w:tcW w:w="2268" w:type="dxa"/>
            <w:vAlign w:val="center"/>
          </w:tcPr>
          <w:p w14:paraId="324E20E3">
            <w:pPr>
              <w:pStyle w:val="12"/>
            </w:pPr>
            <w:r>
              <w:t>≥99%</w:t>
            </w:r>
          </w:p>
        </w:tc>
        <w:tc>
          <w:tcPr>
            <w:tcW w:w="1276" w:type="dxa"/>
            <w:vAlign w:val="center"/>
          </w:tcPr>
          <w:p w14:paraId="79188842">
            <w:pPr>
              <w:pStyle w:val="12"/>
            </w:pPr>
            <w:r>
              <w:t>工作计划</w:t>
            </w:r>
          </w:p>
        </w:tc>
      </w:tr>
      <w:tr w14:paraId="5DA0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8BF96"/>
        </w:tc>
        <w:tc>
          <w:tcPr>
            <w:tcW w:w="2268" w:type="dxa"/>
            <w:vAlign w:val="center"/>
          </w:tcPr>
          <w:p w14:paraId="3AF5071E">
            <w:pPr>
              <w:pStyle w:val="12"/>
            </w:pPr>
            <w:r>
              <w:t>成本指标</w:t>
            </w:r>
          </w:p>
        </w:tc>
        <w:tc>
          <w:tcPr>
            <w:tcW w:w="2835" w:type="dxa"/>
            <w:vAlign w:val="center"/>
          </w:tcPr>
          <w:p w14:paraId="7698480D">
            <w:pPr>
              <w:pStyle w:val="12"/>
            </w:pPr>
            <w:r>
              <w:t>发放标准</w:t>
            </w:r>
          </w:p>
        </w:tc>
        <w:tc>
          <w:tcPr>
            <w:tcW w:w="5386" w:type="dxa"/>
            <w:vAlign w:val="center"/>
          </w:tcPr>
          <w:p w14:paraId="7CF9AC0B">
            <w:pPr>
              <w:pStyle w:val="12"/>
            </w:pPr>
            <w:r>
              <w:t>教龄补助标准任教年限不满一年的按一年计算。根据经济社会发展情况，适时调整教龄补贴标准。</w:t>
            </w:r>
          </w:p>
        </w:tc>
        <w:tc>
          <w:tcPr>
            <w:tcW w:w="2268" w:type="dxa"/>
            <w:vAlign w:val="center"/>
          </w:tcPr>
          <w:p w14:paraId="7A69A433">
            <w:pPr>
              <w:pStyle w:val="12"/>
            </w:pPr>
            <w:r>
              <w:t>26元</w:t>
            </w:r>
          </w:p>
        </w:tc>
        <w:tc>
          <w:tcPr>
            <w:tcW w:w="1276" w:type="dxa"/>
            <w:vAlign w:val="center"/>
          </w:tcPr>
          <w:p w14:paraId="5B0E2E83">
            <w:pPr>
              <w:pStyle w:val="12"/>
            </w:pPr>
            <w:r>
              <w:t>年度预算安排</w:t>
            </w:r>
          </w:p>
        </w:tc>
      </w:tr>
      <w:tr w14:paraId="76C0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0265A">
            <w:pPr>
              <w:pStyle w:val="13"/>
            </w:pPr>
            <w:r>
              <w:t>效益指标</w:t>
            </w:r>
          </w:p>
        </w:tc>
        <w:tc>
          <w:tcPr>
            <w:tcW w:w="2268" w:type="dxa"/>
            <w:vAlign w:val="center"/>
          </w:tcPr>
          <w:p w14:paraId="4CFBC9F6">
            <w:pPr>
              <w:pStyle w:val="12"/>
            </w:pPr>
            <w:r>
              <w:t>可持续影响指标</w:t>
            </w:r>
          </w:p>
        </w:tc>
        <w:tc>
          <w:tcPr>
            <w:tcW w:w="2835" w:type="dxa"/>
            <w:vAlign w:val="center"/>
          </w:tcPr>
          <w:p w14:paraId="6F5F8FC2">
            <w:pPr>
              <w:pStyle w:val="12"/>
            </w:pPr>
            <w:r>
              <w:t>政策知晓率</w:t>
            </w:r>
          </w:p>
        </w:tc>
        <w:tc>
          <w:tcPr>
            <w:tcW w:w="5386" w:type="dxa"/>
            <w:vAlign w:val="center"/>
          </w:tcPr>
          <w:p w14:paraId="6889C922">
            <w:pPr>
              <w:pStyle w:val="12"/>
            </w:pPr>
            <w:r>
              <w:t>政策知晓率</w:t>
            </w:r>
          </w:p>
        </w:tc>
        <w:tc>
          <w:tcPr>
            <w:tcW w:w="2268" w:type="dxa"/>
            <w:vAlign w:val="center"/>
          </w:tcPr>
          <w:p w14:paraId="202CBB3F">
            <w:pPr>
              <w:pStyle w:val="12"/>
            </w:pPr>
            <w:r>
              <w:t>≥98%</w:t>
            </w:r>
          </w:p>
        </w:tc>
        <w:tc>
          <w:tcPr>
            <w:tcW w:w="1276" w:type="dxa"/>
            <w:vAlign w:val="center"/>
          </w:tcPr>
          <w:p w14:paraId="67363E82">
            <w:pPr>
              <w:pStyle w:val="12"/>
            </w:pPr>
            <w:r>
              <w:t>调查结果</w:t>
            </w:r>
          </w:p>
        </w:tc>
      </w:tr>
      <w:tr w14:paraId="0142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0C9A6">
            <w:pPr>
              <w:pStyle w:val="13"/>
            </w:pPr>
            <w:r>
              <w:t>满意度指标</w:t>
            </w:r>
          </w:p>
        </w:tc>
        <w:tc>
          <w:tcPr>
            <w:tcW w:w="2268" w:type="dxa"/>
            <w:vAlign w:val="center"/>
          </w:tcPr>
          <w:p w14:paraId="30170A05">
            <w:pPr>
              <w:pStyle w:val="12"/>
            </w:pPr>
            <w:r>
              <w:t>服务对象满意度指标</w:t>
            </w:r>
          </w:p>
        </w:tc>
        <w:tc>
          <w:tcPr>
            <w:tcW w:w="2835" w:type="dxa"/>
            <w:vAlign w:val="center"/>
          </w:tcPr>
          <w:p w14:paraId="5A4E20FC">
            <w:pPr>
              <w:pStyle w:val="12"/>
            </w:pPr>
            <w:r>
              <w:t>享受补助老民办教师满意度</w:t>
            </w:r>
          </w:p>
        </w:tc>
        <w:tc>
          <w:tcPr>
            <w:tcW w:w="5386" w:type="dxa"/>
            <w:vAlign w:val="center"/>
          </w:tcPr>
          <w:p w14:paraId="667D8AEC">
            <w:pPr>
              <w:pStyle w:val="12"/>
            </w:pPr>
            <w:r>
              <w:t>享受补助老民办教师满意度对资金发放情况满意度</w:t>
            </w:r>
          </w:p>
        </w:tc>
        <w:tc>
          <w:tcPr>
            <w:tcW w:w="2268" w:type="dxa"/>
            <w:vAlign w:val="center"/>
          </w:tcPr>
          <w:p w14:paraId="5C1308DB">
            <w:pPr>
              <w:pStyle w:val="12"/>
            </w:pPr>
            <w:r>
              <w:t>≥95%</w:t>
            </w:r>
          </w:p>
        </w:tc>
        <w:tc>
          <w:tcPr>
            <w:tcW w:w="1276" w:type="dxa"/>
            <w:vAlign w:val="center"/>
          </w:tcPr>
          <w:p w14:paraId="62AD4063">
            <w:pPr>
              <w:pStyle w:val="12"/>
            </w:pPr>
            <w:r>
              <w:t>调查结果</w:t>
            </w:r>
          </w:p>
        </w:tc>
      </w:tr>
    </w:tbl>
    <w:p w14:paraId="6FEE1B96">
      <w:pPr>
        <w:sectPr>
          <w:pgSz w:w="16840" w:h="11900" w:orient="landscape"/>
          <w:pgMar w:top="1361" w:right="1020" w:bottom="1134" w:left="1020" w:header="720" w:footer="720" w:gutter="0"/>
          <w:cols w:space="720" w:num="1"/>
        </w:sectPr>
      </w:pPr>
    </w:p>
    <w:p w14:paraId="7B8E3AFC">
      <w:pPr>
        <w:spacing w:before="0" w:after="0"/>
        <w:ind w:firstLine="560"/>
        <w:jc w:val="left"/>
        <w:outlineLvl w:val="9"/>
      </w:pPr>
      <w:r>
        <w:rPr>
          <w:rFonts w:ascii="方正仿宋_GBK" w:hAnsi="方正仿宋_GBK" w:eastAsia="方正仿宋_GBK" w:cs="方正仿宋_GBK"/>
          <w:b/>
          <w:color w:val="000000"/>
          <w:sz w:val="28"/>
        </w:rPr>
        <w:t>37、县级配套/中小学营养改善计划绩效目标表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96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BF3A1">
            <w:pPr>
              <w:pStyle w:val="11"/>
            </w:pPr>
            <w:r>
              <w:t>单位：万元</w:t>
            </w:r>
          </w:p>
        </w:tc>
      </w:tr>
      <w:tr w14:paraId="373BF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0822D">
            <w:pPr>
              <w:pStyle w:val="10"/>
            </w:pPr>
            <w:r>
              <w:t>项目编码</w:t>
            </w:r>
          </w:p>
        </w:tc>
        <w:tc>
          <w:tcPr>
            <w:tcW w:w="5103" w:type="dxa"/>
            <w:gridSpan w:val="2"/>
            <w:vAlign w:val="center"/>
          </w:tcPr>
          <w:p w14:paraId="18A18215">
            <w:pPr>
              <w:pStyle w:val="12"/>
            </w:pPr>
            <w:r>
              <w:t>13052526P00001610004F</w:t>
            </w:r>
          </w:p>
        </w:tc>
        <w:tc>
          <w:tcPr>
            <w:tcW w:w="2835" w:type="dxa"/>
            <w:vAlign w:val="center"/>
          </w:tcPr>
          <w:p w14:paraId="5459F704">
            <w:pPr>
              <w:pStyle w:val="10"/>
            </w:pPr>
            <w:r>
              <w:t>项目名称</w:t>
            </w:r>
          </w:p>
        </w:tc>
        <w:tc>
          <w:tcPr>
            <w:tcW w:w="6095" w:type="dxa"/>
            <w:gridSpan w:val="3"/>
            <w:vAlign w:val="center"/>
          </w:tcPr>
          <w:p w14:paraId="3E54836A">
            <w:pPr>
              <w:pStyle w:val="12"/>
            </w:pPr>
            <w:r>
              <w:t>县级配套/中小学营养改善计划</w:t>
            </w:r>
          </w:p>
        </w:tc>
      </w:tr>
      <w:tr w14:paraId="557FE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8A23D">
            <w:pPr>
              <w:pStyle w:val="10"/>
            </w:pPr>
            <w:r>
              <w:t>预算规模及资金用途</w:t>
            </w:r>
          </w:p>
        </w:tc>
        <w:tc>
          <w:tcPr>
            <w:tcW w:w="2268" w:type="dxa"/>
            <w:vAlign w:val="center"/>
          </w:tcPr>
          <w:p w14:paraId="10C51F4C">
            <w:pPr>
              <w:pStyle w:val="10"/>
            </w:pPr>
            <w:r>
              <w:t>预算数</w:t>
            </w:r>
          </w:p>
        </w:tc>
        <w:tc>
          <w:tcPr>
            <w:tcW w:w="2835" w:type="dxa"/>
            <w:vAlign w:val="center"/>
          </w:tcPr>
          <w:p w14:paraId="26DD7D14">
            <w:pPr>
              <w:pStyle w:val="12"/>
            </w:pPr>
            <w:r>
              <w:t>100.00</w:t>
            </w:r>
          </w:p>
        </w:tc>
        <w:tc>
          <w:tcPr>
            <w:tcW w:w="2835" w:type="dxa"/>
            <w:vAlign w:val="center"/>
          </w:tcPr>
          <w:p w14:paraId="0D402E67">
            <w:pPr>
              <w:pStyle w:val="10"/>
            </w:pPr>
            <w:r>
              <w:t>其中：财政    资金</w:t>
            </w:r>
          </w:p>
        </w:tc>
        <w:tc>
          <w:tcPr>
            <w:tcW w:w="2551" w:type="dxa"/>
            <w:vAlign w:val="center"/>
          </w:tcPr>
          <w:p w14:paraId="638EB43E">
            <w:pPr>
              <w:pStyle w:val="12"/>
            </w:pPr>
            <w:r>
              <w:t>100.00</w:t>
            </w:r>
          </w:p>
        </w:tc>
        <w:tc>
          <w:tcPr>
            <w:tcW w:w="2268" w:type="dxa"/>
            <w:vAlign w:val="center"/>
          </w:tcPr>
          <w:p w14:paraId="3E2D0577">
            <w:pPr>
              <w:pStyle w:val="10"/>
            </w:pPr>
            <w:r>
              <w:t>其他资金</w:t>
            </w:r>
          </w:p>
        </w:tc>
        <w:tc>
          <w:tcPr>
            <w:tcW w:w="1276" w:type="dxa"/>
            <w:vAlign w:val="center"/>
          </w:tcPr>
          <w:p w14:paraId="3802123C">
            <w:pPr>
              <w:pStyle w:val="12"/>
            </w:pPr>
            <w:r>
              <w:t xml:space="preserve"> </w:t>
            </w:r>
          </w:p>
        </w:tc>
      </w:tr>
      <w:tr w14:paraId="67722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A2529"/>
        </w:tc>
        <w:tc>
          <w:tcPr>
            <w:tcW w:w="14033" w:type="dxa"/>
            <w:gridSpan w:val="6"/>
            <w:vAlign w:val="center"/>
          </w:tcPr>
          <w:p w14:paraId="329A9869">
            <w:pPr>
              <w:pStyle w:val="12"/>
            </w:pPr>
            <w:r>
              <w:t>营养改善计划地方试点，第二批地方试点每生每天2.5元，全年供餐200天，500元。</w:t>
            </w:r>
            <w:r>
              <w:tab/>
            </w:r>
            <w:r>
              <w:tab/>
            </w:r>
            <w:r>
              <w:tab/>
            </w:r>
            <w:r>
              <w:tab/>
            </w:r>
            <w:r>
              <w:tab/>
            </w:r>
            <w:r>
              <w:tab/>
            </w:r>
          </w:p>
        </w:tc>
      </w:tr>
      <w:tr w14:paraId="74643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EE3BF">
            <w:pPr>
              <w:pStyle w:val="10"/>
            </w:pPr>
            <w:r>
              <w:t>资金支出计划（%）</w:t>
            </w:r>
          </w:p>
        </w:tc>
        <w:tc>
          <w:tcPr>
            <w:tcW w:w="5103" w:type="dxa"/>
            <w:gridSpan w:val="2"/>
            <w:vAlign w:val="center"/>
          </w:tcPr>
          <w:p w14:paraId="7ED7F634">
            <w:pPr>
              <w:pStyle w:val="10"/>
            </w:pPr>
            <w:r>
              <w:t>3月底</w:t>
            </w:r>
          </w:p>
        </w:tc>
        <w:tc>
          <w:tcPr>
            <w:tcW w:w="2835" w:type="dxa"/>
            <w:vAlign w:val="center"/>
          </w:tcPr>
          <w:p w14:paraId="2B1B97C3">
            <w:pPr>
              <w:pStyle w:val="10"/>
            </w:pPr>
            <w:r>
              <w:t>6月底</w:t>
            </w:r>
          </w:p>
        </w:tc>
        <w:tc>
          <w:tcPr>
            <w:tcW w:w="2551" w:type="dxa"/>
            <w:vAlign w:val="center"/>
          </w:tcPr>
          <w:p w14:paraId="33F49E8B">
            <w:pPr>
              <w:pStyle w:val="10"/>
            </w:pPr>
            <w:r>
              <w:t>10月底</w:t>
            </w:r>
          </w:p>
        </w:tc>
        <w:tc>
          <w:tcPr>
            <w:tcW w:w="3544" w:type="dxa"/>
            <w:gridSpan w:val="2"/>
            <w:vAlign w:val="center"/>
          </w:tcPr>
          <w:p w14:paraId="749B58F3">
            <w:pPr>
              <w:pStyle w:val="10"/>
            </w:pPr>
            <w:r>
              <w:t>12月底</w:t>
            </w:r>
          </w:p>
        </w:tc>
      </w:tr>
      <w:tr w14:paraId="08759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76733"/>
        </w:tc>
        <w:tc>
          <w:tcPr>
            <w:tcW w:w="5103" w:type="dxa"/>
            <w:gridSpan w:val="2"/>
            <w:vAlign w:val="center"/>
          </w:tcPr>
          <w:p w14:paraId="0F74C67E">
            <w:pPr>
              <w:pStyle w:val="13"/>
            </w:pPr>
            <w:r>
              <w:t>25%</w:t>
            </w:r>
          </w:p>
        </w:tc>
        <w:tc>
          <w:tcPr>
            <w:tcW w:w="2835" w:type="dxa"/>
            <w:vAlign w:val="center"/>
          </w:tcPr>
          <w:p w14:paraId="1AAB0E1D">
            <w:pPr>
              <w:pStyle w:val="13"/>
            </w:pPr>
            <w:r>
              <w:t>50%</w:t>
            </w:r>
          </w:p>
        </w:tc>
        <w:tc>
          <w:tcPr>
            <w:tcW w:w="2551" w:type="dxa"/>
            <w:vAlign w:val="center"/>
          </w:tcPr>
          <w:p w14:paraId="7FE6E810">
            <w:pPr>
              <w:pStyle w:val="13"/>
            </w:pPr>
            <w:r>
              <w:t>75%</w:t>
            </w:r>
          </w:p>
        </w:tc>
        <w:tc>
          <w:tcPr>
            <w:tcW w:w="3544" w:type="dxa"/>
            <w:gridSpan w:val="2"/>
            <w:vAlign w:val="center"/>
          </w:tcPr>
          <w:p w14:paraId="2E62B89C">
            <w:pPr>
              <w:pStyle w:val="13"/>
            </w:pPr>
            <w:r>
              <w:t>100%</w:t>
            </w:r>
          </w:p>
        </w:tc>
      </w:tr>
      <w:tr w14:paraId="6A07B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B872C">
            <w:pPr>
              <w:pStyle w:val="10"/>
            </w:pPr>
            <w:r>
              <w:t>绩效目标</w:t>
            </w:r>
          </w:p>
        </w:tc>
        <w:tc>
          <w:tcPr>
            <w:tcW w:w="14033" w:type="dxa"/>
            <w:gridSpan w:val="6"/>
            <w:vAlign w:val="center"/>
          </w:tcPr>
          <w:p w14:paraId="0F1C25D4">
            <w:pPr>
              <w:pStyle w:val="12"/>
            </w:pPr>
            <w:r>
              <w:t>1.营养改善计划地方试点，第二批地方试点每生每天2.5元，全年供餐200天，500元。</w:t>
            </w:r>
          </w:p>
        </w:tc>
      </w:tr>
    </w:tbl>
    <w:p w14:paraId="554C52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DF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B9DBB">
            <w:pPr>
              <w:pStyle w:val="10"/>
            </w:pPr>
            <w:r>
              <w:t>一级指标</w:t>
            </w:r>
          </w:p>
        </w:tc>
        <w:tc>
          <w:tcPr>
            <w:tcW w:w="2268" w:type="dxa"/>
            <w:vAlign w:val="center"/>
          </w:tcPr>
          <w:p w14:paraId="0992C273">
            <w:pPr>
              <w:pStyle w:val="10"/>
            </w:pPr>
            <w:r>
              <w:t>二级指标</w:t>
            </w:r>
          </w:p>
        </w:tc>
        <w:tc>
          <w:tcPr>
            <w:tcW w:w="2835" w:type="dxa"/>
            <w:vAlign w:val="center"/>
          </w:tcPr>
          <w:p w14:paraId="3F71E5E2">
            <w:pPr>
              <w:pStyle w:val="10"/>
            </w:pPr>
            <w:r>
              <w:t>三级指标</w:t>
            </w:r>
          </w:p>
        </w:tc>
        <w:tc>
          <w:tcPr>
            <w:tcW w:w="5386" w:type="dxa"/>
            <w:vAlign w:val="center"/>
          </w:tcPr>
          <w:p w14:paraId="077FC9D3">
            <w:pPr>
              <w:pStyle w:val="10"/>
            </w:pPr>
            <w:r>
              <w:t>绩效指标描述</w:t>
            </w:r>
          </w:p>
        </w:tc>
        <w:tc>
          <w:tcPr>
            <w:tcW w:w="2268" w:type="dxa"/>
            <w:vAlign w:val="center"/>
          </w:tcPr>
          <w:p w14:paraId="5908AD1F">
            <w:pPr>
              <w:pStyle w:val="10"/>
            </w:pPr>
            <w:r>
              <w:t>指标值</w:t>
            </w:r>
          </w:p>
        </w:tc>
        <w:tc>
          <w:tcPr>
            <w:tcW w:w="1276" w:type="dxa"/>
            <w:vAlign w:val="center"/>
          </w:tcPr>
          <w:p w14:paraId="61D6E2B5">
            <w:pPr>
              <w:pStyle w:val="10"/>
            </w:pPr>
            <w:r>
              <w:t>指标值确定依据</w:t>
            </w:r>
          </w:p>
        </w:tc>
      </w:tr>
      <w:tr w14:paraId="1A06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D84B2">
            <w:pPr>
              <w:pStyle w:val="13"/>
            </w:pPr>
            <w:r>
              <w:t>产出指标</w:t>
            </w:r>
          </w:p>
        </w:tc>
        <w:tc>
          <w:tcPr>
            <w:tcW w:w="2268" w:type="dxa"/>
            <w:vAlign w:val="center"/>
          </w:tcPr>
          <w:p w14:paraId="53167E93">
            <w:pPr>
              <w:pStyle w:val="12"/>
            </w:pPr>
            <w:r>
              <w:t>数量指标</w:t>
            </w:r>
          </w:p>
        </w:tc>
        <w:tc>
          <w:tcPr>
            <w:tcW w:w="2835" w:type="dxa"/>
            <w:vAlign w:val="center"/>
          </w:tcPr>
          <w:p w14:paraId="43CE1EED">
            <w:pPr>
              <w:pStyle w:val="12"/>
            </w:pPr>
            <w:r>
              <w:t>营养改善计划省级试点补助学生数</w:t>
            </w:r>
          </w:p>
        </w:tc>
        <w:tc>
          <w:tcPr>
            <w:tcW w:w="5386" w:type="dxa"/>
            <w:vAlign w:val="center"/>
          </w:tcPr>
          <w:p w14:paraId="285CE6BB">
            <w:pPr>
              <w:pStyle w:val="12"/>
            </w:pPr>
            <w:r>
              <w:t>农村义务教育学生营养改善计划省级试点补助覆盖除县城区外的义教阶段公办及民办小学</w:t>
            </w:r>
          </w:p>
        </w:tc>
        <w:tc>
          <w:tcPr>
            <w:tcW w:w="2268" w:type="dxa"/>
            <w:vAlign w:val="center"/>
          </w:tcPr>
          <w:p w14:paraId="79C52B80">
            <w:pPr>
              <w:pStyle w:val="12"/>
            </w:pPr>
            <w:r>
              <w:t>≥28000人</w:t>
            </w:r>
          </w:p>
        </w:tc>
        <w:tc>
          <w:tcPr>
            <w:tcW w:w="1276" w:type="dxa"/>
            <w:vAlign w:val="center"/>
          </w:tcPr>
          <w:p w14:paraId="67D319D0">
            <w:pPr>
              <w:pStyle w:val="12"/>
            </w:pPr>
            <w:r>
              <w:t>全省农村小学生中实施营养改善计划地方试点的实施方案</w:t>
            </w:r>
          </w:p>
          <w:p w14:paraId="3C898449">
            <w:pPr>
              <w:pStyle w:val="12"/>
            </w:pPr>
          </w:p>
        </w:tc>
      </w:tr>
      <w:tr w14:paraId="7C96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63941"/>
        </w:tc>
        <w:tc>
          <w:tcPr>
            <w:tcW w:w="2268" w:type="dxa"/>
            <w:vAlign w:val="center"/>
          </w:tcPr>
          <w:p w14:paraId="15B3F7D1">
            <w:pPr>
              <w:pStyle w:val="12"/>
            </w:pPr>
            <w:r>
              <w:t>质量指标</w:t>
            </w:r>
          </w:p>
        </w:tc>
        <w:tc>
          <w:tcPr>
            <w:tcW w:w="2835" w:type="dxa"/>
            <w:vAlign w:val="center"/>
          </w:tcPr>
          <w:p w14:paraId="775779B7">
            <w:pPr>
              <w:pStyle w:val="12"/>
            </w:pPr>
            <w:r>
              <w:t>营养改善计划食品安全达标率</w:t>
            </w:r>
          </w:p>
        </w:tc>
        <w:tc>
          <w:tcPr>
            <w:tcW w:w="5386" w:type="dxa"/>
            <w:vAlign w:val="center"/>
          </w:tcPr>
          <w:p w14:paraId="63F7A6DD">
            <w:pPr>
              <w:pStyle w:val="12"/>
            </w:pPr>
            <w:r>
              <w:t>农村义务教育学生营养改善计划供餐质量达标率</w:t>
            </w:r>
          </w:p>
        </w:tc>
        <w:tc>
          <w:tcPr>
            <w:tcW w:w="2268" w:type="dxa"/>
            <w:vAlign w:val="center"/>
          </w:tcPr>
          <w:p w14:paraId="47D04A9B">
            <w:pPr>
              <w:pStyle w:val="12"/>
            </w:pPr>
            <w:r>
              <w:t>≥99%</w:t>
            </w:r>
          </w:p>
        </w:tc>
        <w:tc>
          <w:tcPr>
            <w:tcW w:w="1276" w:type="dxa"/>
            <w:vAlign w:val="center"/>
          </w:tcPr>
          <w:p w14:paraId="3BE9BC5F">
            <w:pPr>
              <w:pStyle w:val="12"/>
            </w:pPr>
            <w:r>
              <w:t>全省农村小学生中实施营养改善计划地方试点的实施方案</w:t>
            </w:r>
          </w:p>
          <w:p w14:paraId="3D3128D7">
            <w:pPr>
              <w:pStyle w:val="12"/>
            </w:pPr>
          </w:p>
        </w:tc>
      </w:tr>
      <w:tr w14:paraId="7DF0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B0C93"/>
        </w:tc>
        <w:tc>
          <w:tcPr>
            <w:tcW w:w="2268" w:type="dxa"/>
            <w:vAlign w:val="center"/>
          </w:tcPr>
          <w:p w14:paraId="11189037">
            <w:pPr>
              <w:pStyle w:val="12"/>
            </w:pPr>
            <w:r>
              <w:t>时效指标</w:t>
            </w:r>
          </w:p>
        </w:tc>
        <w:tc>
          <w:tcPr>
            <w:tcW w:w="2835" w:type="dxa"/>
            <w:vAlign w:val="center"/>
          </w:tcPr>
          <w:p w14:paraId="5483F4E5">
            <w:pPr>
              <w:pStyle w:val="12"/>
            </w:pPr>
            <w:r>
              <w:t>资金拨付率</w:t>
            </w:r>
          </w:p>
        </w:tc>
        <w:tc>
          <w:tcPr>
            <w:tcW w:w="5386" w:type="dxa"/>
            <w:vAlign w:val="center"/>
          </w:tcPr>
          <w:p w14:paraId="24A6C598">
            <w:pPr>
              <w:pStyle w:val="12"/>
            </w:pPr>
            <w:r>
              <w:t>按照供餐情况月底结算</w:t>
            </w:r>
          </w:p>
        </w:tc>
        <w:tc>
          <w:tcPr>
            <w:tcW w:w="2268" w:type="dxa"/>
            <w:vAlign w:val="center"/>
          </w:tcPr>
          <w:p w14:paraId="58E80165">
            <w:pPr>
              <w:pStyle w:val="12"/>
            </w:pPr>
            <w:r>
              <w:t>≥99%</w:t>
            </w:r>
          </w:p>
        </w:tc>
        <w:tc>
          <w:tcPr>
            <w:tcW w:w="1276" w:type="dxa"/>
            <w:vAlign w:val="center"/>
          </w:tcPr>
          <w:p w14:paraId="3DF5E040">
            <w:pPr>
              <w:pStyle w:val="12"/>
            </w:pPr>
            <w:r>
              <w:t>全省农村小学生中实施营养改善计划地方试点的实施方案</w:t>
            </w:r>
          </w:p>
          <w:p w14:paraId="1F09BB30">
            <w:pPr>
              <w:pStyle w:val="12"/>
            </w:pPr>
          </w:p>
        </w:tc>
      </w:tr>
      <w:tr w14:paraId="271F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EEEFF"/>
        </w:tc>
        <w:tc>
          <w:tcPr>
            <w:tcW w:w="2268" w:type="dxa"/>
            <w:vAlign w:val="center"/>
          </w:tcPr>
          <w:p w14:paraId="539C5A02">
            <w:pPr>
              <w:pStyle w:val="12"/>
            </w:pPr>
            <w:r>
              <w:t>成本指标</w:t>
            </w:r>
          </w:p>
        </w:tc>
        <w:tc>
          <w:tcPr>
            <w:tcW w:w="2835" w:type="dxa"/>
            <w:vAlign w:val="center"/>
          </w:tcPr>
          <w:p w14:paraId="02E81EC5">
            <w:pPr>
              <w:pStyle w:val="12"/>
            </w:pPr>
            <w:r>
              <w:t>营养膳食生均补助标准</w:t>
            </w:r>
          </w:p>
        </w:tc>
        <w:tc>
          <w:tcPr>
            <w:tcW w:w="5386" w:type="dxa"/>
            <w:vAlign w:val="center"/>
          </w:tcPr>
          <w:p w14:paraId="4D000256">
            <w:pPr>
              <w:pStyle w:val="12"/>
            </w:pPr>
            <w:r>
              <w:t>农村义务教育学生营养膳食生均补助标准</w:t>
            </w:r>
          </w:p>
        </w:tc>
        <w:tc>
          <w:tcPr>
            <w:tcW w:w="2268" w:type="dxa"/>
            <w:vAlign w:val="center"/>
          </w:tcPr>
          <w:p w14:paraId="030BE6AB">
            <w:pPr>
              <w:pStyle w:val="12"/>
            </w:pPr>
            <w:r>
              <w:t>2.5元/天</w:t>
            </w:r>
          </w:p>
        </w:tc>
        <w:tc>
          <w:tcPr>
            <w:tcW w:w="1276" w:type="dxa"/>
            <w:vAlign w:val="center"/>
          </w:tcPr>
          <w:p w14:paraId="12A2F955">
            <w:pPr>
              <w:pStyle w:val="12"/>
            </w:pPr>
            <w:r>
              <w:t>全省农村小学生中实施营养改善计划地方试点的实施方案</w:t>
            </w:r>
          </w:p>
          <w:p w14:paraId="4C5D2CE5">
            <w:pPr>
              <w:pStyle w:val="12"/>
            </w:pPr>
          </w:p>
        </w:tc>
      </w:tr>
      <w:tr w14:paraId="1E7E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CDF9F">
            <w:pPr>
              <w:pStyle w:val="13"/>
            </w:pPr>
            <w:r>
              <w:t>效益指标</w:t>
            </w:r>
          </w:p>
        </w:tc>
        <w:tc>
          <w:tcPr>
            <w:tcW w:w="2268" w:type="dxa"/>
            <w:vAlign w:val="center"/>
          </w:tcPr>
          <w:p w14:paraId="16E1E495">
            <w:pPr>
              <w:pStyle w:val="12"/>
            </w:pPr>
            <w:r>
              <w:t>可持续影响指标</w:t>
            </w:r>
          </w:p>
        </w:tc>
        <w:tc>
          <w:tcPr>
            <w:tcW w:w="2835" w:type="dxa"/>
            <w:vAlign w:val="center"/>
          </w:tcPr>
          <w:p w14:paraId="66A6B861">
            <w:pPr>
              <w:pStyle w:val="12"/>
            </w:pPr>
            <w:r>
              <w:t>学生受益年限</w:t>
            </w:r>
          </w:p>
        </w:tc>
        <w:tc>
          <w:tcPr>
            <w:tcW w:w="5386" w:type="dxa"/>
            <w:vAlign w:val="center"/>
          </w:tcPr>
          <w:p w14:paraId="18DA38FF">
            <w:pPr>
              <w:pStyle w:val="12"/>
            </w:pPr>
            <w:r>
              <w:t>小学受教育年限</w:t>
            </w:r>
          </w:p>
        </w:tc>
        <w:tc>
          <w:tcPr>
            <w:tcW w:w="2268" w:type="dxa"/>
            <w:vAlign w:val="center"/>
          </w:tcPr>
          <w:p w14:paraId="0DF621F5">
            <w:pPr>
              <w:pStyle w:val="12"/>
            </w:pPr>
            <w:r>
              <w:t>6年</w:t>
            </w:r>
          </w:p>
        </w:tc>
        <w:tc>
          <w:tcPr>
            <w:tcW w:w="1276" w:type="dxa"/>
            <w:vAlign w:val="center"/>
          </w:tcPr>
          <w:p w14:paraId="3A47E9C7">
            <w:pPr>
              <w:pStyle w:val="12"/>
            </w:pPr>
            <w:r>
              <w:t>全省农村小学生中实施营养改善计划地方试点的实施方案</w:t>
            </w:r>
          </w:p>
          <w:p w14:paraId="04C225FE">
            <w:pPr>
              <w:pStyle w:val="12"/>
            </w:pPr>
          </w:p>
        </w:tc>
      </w:tr>
      <w:tr w14:paraId="5E60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A7073">
            <w:pPr>
              <w:pStyle w:val="13"/>
            </w:pPr>
            <w:r>
              <w:t>满意度指标</w:t>
            </w:r>
          </w:p>
        </w:tc>
        <w:tc>
          <w:tcPr>
            <w:tcW w:w="2268" w:type="dxa"/>
            <w:vAlign w:val="center"/>
          </w:tcPr>
          <w:p w14:paraId="019C3A90">
            <w:pPr>
              <w:pStyle w:val="12"/>
            </w:pPr>
            <w:r>
              <w:t>服务对象满意度指标</w:t>
            </w:r>
          </w:p>
        </w:tc>
        <w:tc>
          <w:tcPr>
            <w:tcW w:w="2835" w:type="dxa"/>
            <w:vAlign w:val="center"/>
          </w:tcPr>
          <w:p w14:paraId="55797DC3">
            <w:pPr>
              <w:pStyle w:val="12"/>
            </w:pPr>
            <w:r>
              <w:t>教师满意度</w:t>
            </w:r>
          </w:p>
        </w:tc>
        <w:tc>
          <w:tcPr>
            <w:tcW w:w="5386" w:type="dxa"/>
            <w:vAlign w:val="center"/>
          </w:tcPr>
          <w:p w14:paraId="34940609">
            <w:pPr>
              <w:pStyle w:val="12"/>
            </w:pPr>
            <w:r>
              <w:t>家长对实施项目的满意度</w:t>
            </w:r>
          </w:p>
        </w:tc>
        <w:tc>
          <w:tcPr>
            <w:tcW w:w="2268" w:type="dxa"/>
            <w:vAlign w:val="center"/>
          </w:tcPr>
          <w:p w14:paraId="7EFA15AA">
            <w:pPr>
              <w:pStyle w:val="12"/>
            </w:pPr>
            <w:r>
              <w:t>≥95%</w:t>
            </w:r>
          </w:p>
        </w:tc>
        <w:tc>
          <w:tcPr>
            <w:tcW w:w="1276" w:type="dxa"/>
            <w:vAlign w:val="center"/>
          </w:tcPr>
          <w:p w14:paraId="78B0DAA6">
            <w:pPr>
              <w:pStyle w:val="12"/>
            </w:pPr>
            <w:r>
              <w:t>全省农村小学生中实施营养改善计划地方试点的实施方案</w:t>
            </w:r>
          </w:p>
          <w:p w14:paraId="24B4CA9B">
            <w:pPr>
              <w:pStyle w:val="12"/>
            </w:pPr>
          </w:p>
        </w:tc>
      </w:tr>
    </w:tbl>
    <w:p w14:paraId="2366AED4">
      <w:pPr>
        <w:sectPr>
          <w:pgSz w:w="16840" w:h="11900" w:orient="landscape"/>
          <w:pgMar w:top="1361" w:right="1020" w:bottom="1134" w:left="1020" w:header="720" w:footer="720" w:gutter="0"/>
          <w:cols w:space="720" w:num="1"/>
        </w:sectPr>
      </w:pPr>
    </w:p>
    <w:p w14:paraId="6EF03C22">
      <w:pPr>
        <w:spacing w:before="0" w:after="0"/>
        <w:ind w:firstLine="560"/>
        <w:jc w:val="left"/>
        <w:outlineLvl w:val="9"/>
      </w:pPr>
      <w:r>
        <w:rPr>
          <w:rFonts w:ascii="方正仿宋_GBK" w:hAnsi="方正仿宋_GBK" w:eastAsia="方正仿宋_GBK" w:cs="方正仿宋_GBK"/>
          <w:b/>
          <w:color w:val="000000"/>
          <w:sz w:val="28"/>
        </w:rPr>
        <w:t>38、县级配套/中小学营养改善计划</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01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2BAE0">
            <w:pPr>
              <w:pStyle w:val="11"/>
            </w:pPr>
            <w:r>
              <w:t>单位：万元</w:t>
            </w:r>
          </w:p>
        </w:tc>
      </w:tr>
      <w:tr w14:paraId="40184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CBF68">
            <w:pPr>
              <w:pStyle w:val="10"/>
            </w:pPr>
            <w:r>
              <w:t>项目编码</w:t>
            </w:r>
          </w:p>
        </w:tc>
        <w:tc>
          <w:tcPr>
            <w:tcW w:w="5103" w:type="dxa"/>
            <w:gridSpan w:val="2"/>
            <w:vAlign w:val="center"/>
          </w:tcPr>
          <w:p w14:paraId="12F98525">
            <w:pPr>
              <w:pStyle w:val="12"/>
            </w:pPr>
            <w:r>
              <w:t>13052526P00001610003U</w:t>
            </w:r>
          </w:p>
        </w:tc>
        <w:tc>
          <w:tcPr>
            <w:tcW w:w="2835" w:type="dxa"/>
            <w:vAlign w:val="center"/>
          </w:tcPr>
          <w:p w14:paraId="1EF44F4E">
            <w:pPr>
              <w:pStyle w:val="10"/>
            </w:pPr>
            <w:r>
              <w:t>项目名称</w:t>
            </w:r>
          </w:p>
        </w:tc>
        <w:tc>
          <w:tcPr>
            <w:tcW w:w="6095" w:type="dxa"/>
            <w:gridSpan w:val="3"/>
            <w:vAlign w:val="center"/>
          </w:tcPr>
          <w:p w14:paraId="676A0D9E">
            <w:pPr>
              <w:pStyle w:val="12"/>
            </w:pPr>
            <w:r>
              <w:t>县级配套/中小学营养改善计划</w:t>
            </w:r>
            <w:r>
              <w:tab/>
            </w:r>
          </w:p>
        </w:tc>
      </w:tr>
      <w:tr w14:paraId="09DE5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6A2AE">
            <w:pPr>
              <w:pStyle w:val="10"/>
            </w:pPr>
            <w:r>
              <w:t>预算规模及资金用途</w:t>
            </w:r>
          </w:p>
        </w:tc>
        <w:tc>
          <w:tcPr>
            <w:tcW w:w="2268" w:type="dxa"/>
            <w:vAlign w:val="center"/>
          </w:tcPr>
          <w:p w14:paraId="08043F6C">
            <w:pPr>
              <w:pStyle w:val="10"/>
            </w:pPr>
            <w:r>
              <w:t>预算数</w:t>
            </w:r>
          </w:p>
        </w:tc>
        <w:tc>
          <w:tcPr>
            <w:tcW w:w="2835" w:type="dxa"/>
            <w:vAlign w:val="center"/>
          </w:tcPr>
          <w:p w14:paraId="5E4CA33F">
            <w:pPr>
              <w:pStyle w:val="12"/>
            </w:pPr>
            <w:r>
              <w:t>587.00</w:t>
            </w:r>
          </w:p>
        </w:tc>
        <w:tc>
          <w:tcPr>
            <w:tcW w:w="2835" w:type="dxa"/>
            <w:vAlign w:val="center"/>
          </w:tcPr>
          <w:p w14:paraId="6DF9CB37">
            <w:pPr>
              <w:pStyle w:val="10"/>
            </w:pPr>
            <w:r>
              <w:t>其中：财政    资金</w:t>
            </w:r>
          </w:p>
        </w:tc>
        <w:tc>
          <w:tcPr>
            <w:tcW w:w="2551" w:type="dxa"/>
            <w:vAlign w:val="center"/>
          </w:tcPr>
          <w:p w14:paraId="66B93A5F">
            <w:pPr>
              <w:pStyle w:val="12"/>
            </w:pPr>
            <w:r>
              <w:t>587.00</w:t>
            </w:r>
          </w:p>
        </w:tc>
        <w:tc>
          <w:tcPr>
            <w:tcW w:w="2268" w:type="dxa"/>
            <w:vAlign w:val="center"/>
          </w:tcPr>
          <w:p w14:paraId="23BE977D">
            <w:pPr>
              <w:pStyle w:val="10"/>
            </w:pPr>
            <w:r>
              <w:t>其他资金</w:t>
            </w:r>
          </w:p>
        </w:tc>
        <w:tc>
          <w:tcPr>
            <w:tcW w:w="1276" w:type="dxa"/>
            <w:vAlign w:val="center"/>
          </w:tcPr>
          <w:p w14:paraId="6E4B6F88">
            <w:pPr>
              <w:pStyle w:val="12"/>
            </w:pPr>
            <w:r>
              <w:t xml:space="preserve"> </w:t>
            </w:r>
          </w:p>
        </w:tc>
      </w:tr>
      <w:tr w14:paraId="45CB7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140E9"/>
        </w:tc>
        <w:tc>
          <w:tcPr>
            <w:tcW w:w="14033" w:type="dxa"/>
            <w:gridSpan w:val="6"/>
            <w:vAlign w:val="center"/>
          </w:tcPr>
          <w:p w14:paraId="669A0ED1">
            <w:pPr>
              <w:pStyle w:val="12"/>
            </w:pPr>
            <w:r>
              <w:t>营养改善计划地方试点，每生每天2.5元，全年供餐200天，500元。</w:t>
            </w:r>
            <w:r>
              <w:tab/>
            </w:r>
            <w:r>
              <w:tab/>
            </w:r>
            <w:r>
              <w:tab/>
            </w:r>
            <w:r>
              <w:tab/>
            </w:r>
            <w:r>
              <w:tab/>
            </w:r>
            <w:r>
              <w:tab/>
            </w:r>
          </w:p>
          <w:p w14:paraId="4F3D5CEB">
            <w:pPr>
              <w:pStyle w:val="12"/>
            </w:pPr>
          </w:p>
        </w:tc>
      </w:tr>
      <w:tr w14:paraId="5215D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4EF1A">
            <w:pPr>
              <w:pStyle w:val="10"/>
            </w:pPr>
            <w:r>
              <w:t>资金支出计划（%）</w:t>
            </w:r>
          </w:p>
        </w:tc>
        <w:tc>
          <w:tcPr>
            <w:tcW w:w="5103" w:type="dxa"/>
            <w:gridSpan w:val="2"/>
            <w:vAlign w:val="center"/>
          </w:tcPr>
          <w:p w14:paraId="535D1477">
            <w:pPr>
              <w:pStyle w:val="10"/>
            </w:pPr>
            <w:r>
              <w:t>3月底</w:t>
            </w:r>
          </w:p>
        </w:tc>
        <w:tc>
          <w:tcPr>
            <w:tcW w:w="2835" w:type="dxa"/>
            <w:vAlign w:val="center"/>
          </w:tcPr>
          <w:p w14:paraId="7710B665">
            <w:pPr>
              <w:pStyle w:val="10"/>
            </w:pPr>
            <w:r>
              <w:t>6月底</w:t>
            </w:r>
          </w:p>
        </w:tc>
        <w:tc>
          <w:tcPr>
            <w:tcW w:w="2551" w:type="dxa"/>
            <w:vAlign w:val="center"/>
          </w:tcPr>
          <w:p w14:paraId="20F8543A">
            <w:pPr>
              <w:pStyle w:val="10"/>
            </w:pPr>
            <w:r>
              <w:t>10月底</w:t>
            </w:r>
          </w:p>
        </w:tc>
        <w:tc>
          <w:tcPr>
            <w:tcW w:w="3544" w:type="dxa"/>
            <w:gridSpan w:val="2"/>
            <w:vAlign w:val="center"/>
          </w:tcPr>
          <w:p w14:paraId="23C35B18">
            <w:pPr>
              <w:pStyle w:val="10"/>
            </w:pPr>
            <w:r>
              <w:t>12月底</w:t>
            </w:r>
          </w:p>
        </w:tc>
      </w:tr>
      <w:tr w14:paraId="089F7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0E1E2"/>
        </w:tc>
        <w:tc>
          <w:tcPr>
            <w:tcW w:w="5103" w:type="dxa"/>
            <w:gridSpan w:val="2"/>
            <w:vAlign w:val="center"/>
          </w:tcPr>
          <w:p w14:paraId="538B909E">
            <w:pPr>
              <w:pStyle w:val="13"/>
            </w:pPr>
            <w:r>
              <w:t>25%</w:t>
            </w:r>
          </w:p>
        </w:tc>
        <w:tc>
          <w:tcPr>
            <w:tcW w:w="2835" w:type="dxa"/>
            <w:vAlign w:val="center"/>
          </w:tcPr>
          <w:p w14:paraId="07F5D02D">
            <w:pPr>
              <w:pStyle w:val="13"/>
            </w:pPr>
            <w:r>
              <w:t>50%</w:t>
            </w:r>
          </w:p>
        </w:tc>
        <w:tc>
          <w:tcPr>
            <w:tcW w:w="2551" w:type="dxa"/>
            <w:vAlign w:val="center"/>
          </w:tcPr>
          <w:p w14:paraId="312B12D3">
            <w:pPr>
              <w:pStyle w:val="13"/>
            </w:pPr>
            <w:r>
              <w:t>75%</w:t>
            </w:r>
          </w:p>
        </w:tc>
        <w:tc>
          <w:tcPr>
            <w:tcW w:w="3544" w:type="dxa"/>
            <w:gridSpan w:val="2"/>
            <w:vAlign w:val="center"/>
          </w:tcPr>
          <w:p w14:paraId="70E87A60">
            <w:pPr>
              <w:pStyle w:val="13"/>
            </w:pPr>
            <w:r>
              <w:t>100%</w:t>
            </w:r>
          </w:p>
        </w:tc>
      </w:tr>
      <w:tr w14:paraId="49C48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5892B">
            <w:pPr>
              <w:pStyle w:val="10"/>
            </w:pPr>
            <w:r>
              <w:t>绩效目标</w:t>
            </w:r>
          </w:p>
        </w:tc>
        <w:tc>
          <w:tcPr>
            <w:tcW w:w="14033" w:type="dxa"/>
            <w:gridSpan w:val="6"/>
            <w:vAlign w:val="center"/>
          </w:tcPr>
          <w:p w14:paraId="32F78354">
            <w:pPr>
              <w:pStyle w:val="12"/>
            </w:pPr>
            <w:r>
              <w:t>1.营养改善计划地方试点，每生每天2.5元，全年供餐200天，500元。</w:t>
            </w:r>
          </w:p>
        </w:tc>
      </w:tr>
    </w:tbl>
    <w:p w14:paraId="68CE4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1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1E9BE">
            <w:pPr>
              <w:pStyle w:val="10"/>
            </w:pPr>
            <w:r>
              <w:t>一级指标</w:t>
            </w:r>
          </w:p>
        </w:tc>
        <w:tc>
          <w:tcPr>
            <w:tcW w:w="2268" w:type="dxa"/>
            <w:vAlign w:val="center"/>
          </w:tcPr>
          <w:p w14:paraId="47C4FB1D">
            <w:pPr>
              <w:pStyle w:val="10"/>
            </w:pPr>
            <w:r>
              <w:t>二级指标</w:t>
            </w:r>
          </w:p>
        </w:tc>
        <w:tc>
          <w:tcPr>
            <w:tcW w:w="2835" w:type="dxa"/>
            <w:vAlign w:val="center"/>
          </w:tcPr>
          <w:p w14:paraId="05D64793">
            <w:pPr>
              <w:pStyle w:val="10"/>
            </w:pPr>
            <w:r>
              <w:t>三级指标</w:t>
            </w:r>
          </w:p>
        </w:tc>
        <w:tc>
          <w:tcPr>
            <w:tcW w:w="5386" w:type="dxa"/>
            <w:vAlign w:val="center"/>
          </w:tcPr>
          <w:p w14:paraId="09423DC4">
            <w:pPr>
              <w:pStyle w:val="10"/>
            </w:pPr>
            <w:r>
              <w:t>绩效指标描述</w:t>
            </w:r>
          </w:p>
        </w:tc>
        <w:tc>
          <w:tcPr>
            <w:tcW w:w="2268" w:type="dxa"/>
            <w:vAlign w:val="center"/>
          </w:tcPr>
          <w:p w14:paraId="55CEA5C1">
            <w:pPr>
              <w:pStyle w:val="10"/>
            </w:pPr>
            <w:r>
              <w:t>指标值</w:t>
            </w:r>
          </w:p>
        </w:tc>
        <w:tc>
          <w:tcPr>
            <w:tcW w:w="1276" w:type="dxa"/>
            <w:vAlign w:val="center"/>
          </w:tcPr>
          <w:p w14:paraId="52A8144C">
            <w:pPr>
              <w:pStyle w:val="10"/>
            </w:pPr>
            <w:r>
              <w:t>指标值确定依据</w:t>
            </w:r>
          </w:p>
        </w:tc>
      </w:tr>
      <w:tr w14:paraId="4DBE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D8D81">
            <w:pPr>
              <w:pStyle w:val="13"/>
            </w:pPr>
            <w:r>
              <w:t>产出指标</w:t>
            </w:r>
          </w:p>
        </w:tc>
        <w:tc>
          <w:tcPr>
            <w:tcW w:w="2268" w:type="dxa"/>
            <w:vAlign w:val="center"/>
          </w:tcPr>
          <w:p w14:paraId="4C5CF1AA">
            <w:pPr>
              <w:pStyle w:val="12"/>
            </w:pPr>
            <w:r>
              <w:t>数量指标</w:t>
            </w:r>
          </w:p>
        </w:tc>
        <w:tc>
          <w:tcPr>
            <w:tcW w:w="2835" w:type="dxa"/>
            <w:vAlign w:val="center"/>
          </w:tcPr>
          <w:p w14:paraId="3B648FC4">
            <w:pPr>
              <w:pStyle w:val="12"/>
            </w:pPr>
            <w:r>
              <w:t>营养改善计划省级试点补助学生数</w:t>
            </w:r>
          </w:p>
        </w:tc>
        <w:tc>
          <w:tcPr>
            <w:tcW w:w="5386" w:type="dxa"/>
            <w:vAlign w:val="center"/>
          </w:tcPr>
          <w:p w14:paraId="0830D784">
            <w:pPr>
              <w:pStyle w:val="12"/>
            </w:pPr>
            <w:r>
              <w:t>农村义务教育学生营养改善计划省级试点补助覆盖除县城区外的义教阶段公办及民办小学</w:t>
            </w:r>
          </w:p>
        </w:tc>
        <w:tc>
          <w:tcPr>
            <w:tcW w:w="2268" w:type="dxa"/>
            <w:vAlign w:val="center"/>
          </w:tcPr>
          <w:p w14:paraId="1E9B4C11">
            <w:pPr>
              <w:pStyle w:val="12"/>
            </w:pPr>
            <w:r>
              <w:t>≥28000人</w:t>
            </w:r>
          </w:p>
        </w:tc>
        <w:tc>
          <w:tcPr>
            <w:tcW w:w="1276" w:type="dxa"/>
            <w:vAlign w:val="center"/>
          </w:tcPr>
          <w:p w14:paraId="757CE57D">
            <w:pPr>
              <w:pStyle w:val="12"/>
            </w:pPr>
            <w:r>
              <w:t>全省农村小学生中实施营养改善计划地方试点的实施方案</w:t>
            </w:r>
          </w:p>
          <w:p w14:paraId="6BE958B4">
            <w:pPr>
              <w:pStyle w:val="12"/>
            </w:pPr>
          </w:p>
        </w:tc>
      </w:tr>
      <w:tr w14:paraId="46E1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D3E4D"/>
        </w:tc>
        <w:tc>
          <w:tcPr>
            <w:tcW w:w="2268" w:type="dxa"/>
            <w:vAlign w:val="center"/>
          </w:tcPr>
          <w:p w14:paraId="7E04ED60">
            <w:pPr>
              <w:pStyle w:val="12"/>
            </w:pPr>
            <w:r>
              <w:t>质量指标</w:t>
            </w:r>
          </w:p>
        </w:tc>
        <w:tc>
          <w:tcPr>
            <w:tcW w:w="2835" w:type="dxa"/>
            <w:vAlign w:val="center"/>
          </w:tcPr>
          <w:p w14:paraId="116DF47F">
            <w:pPr>
              <w:pStyle w:val="12"/>
            </w:pPr>
            <w:r>
              <w:t>营养改善计划食品安全达标率</w:t>
            </w:r>
          </w:p>
        </w:tc>
        <w:tc>
          <w:tcPr>
            <w:tcW w:w="5386" w:type="dxa"/>
            <w:vAlign w:val="center"/>
          </w:tcPr>
          <w:p w14:paraId="789C7F4E">
            <w:pPr>
              <w:pStyle w:val="12"/>
            </w:pPr>
            <w:r>
              <w:t>农村义务教育学生营养改善计划供餐质量达标率</w:t>
            </w:r>
          </w:p>
        </w:tc>
        <w:tc>
          <w:tcPr>
            <w:tcW w:w="2268" w:type="dxa"/>
            <w:vAlign w:val="center"/>
          </w:tcPr>
          <w:p w14:paraId="4ECB3225">
            <w:pPr>
              <w:pStyle w:val="12"/>
            </w:pPr>
            <w:r>
              <w:t>100%</w:t>
            </w:r>
          </w:p>
        </w:tc>
        <w:tc>
          <w:tcPr>
            <w:tcW w:w="1276" w:type="dxa"/>
            <w:vAlign w:val="center"/>
          </w:tcPr>
          <w:p w14:paraId="3071D80D">
            <w:pPr>
              <w:pStyle w:val="12"/>
            </w:pPr>
            <w:r>
              <w:t>全省农村小学生中实施营养改善计划地方试点的实施方案</w:t>
            </w:r>
          </w:p>
          <w:p w14:paraId="63C43B12">
            <w:pPr>
              <w:pStyle w:val="12"/>
            </w:pPr>
          </w:p>
        </w:tc>
      </w:tr>
      <w:tr w14:paraId="33E4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B7C8F"/>
        </w:tc>
        <w:tc>
          <w:tcPr>
            <w:tcW w:w="2268" w:type="dxa"/>
            <w:vAlign w:val="center"/>
          </w:tcPr>
          <w:p w14:paraId="2D717ECA">
            <w:pPr>
              <w:pStyle w:val="12"/>
            </w:pPr>
            <w:r>
              <w:t>时效指标</w:t>
            </w:r>
          </w:p>
        </w:tc>
        <w:tc>
          <w:tcPr>
            <w:tcW w:w="2835" w:type="dxa"/>
            <w:vAlign w:val="center"/>
          </w:tcPr>
          <w:p w14:paraId="0F4D60DD">
            <w:pPr>
              <w:pStyle w:val="12"/>
            </w:pPr>
            <w:r>
              <w:t>资金拨付率</w:t>
            </w:r>
          </w:p>
        </w:tc>
        <w:tc>
          <w:tcPr>
            <w:tcW w:w="5386" w:type="dxa"/>
            <w:vAlign w:val="center"/>
          </w:tcPr>
          <w:p w14:paraId="55D2C3C1">
            <w:pPr>
              <w:pStyle w:val="12"/>
            </w:pPr>
            <w:r>
              <w:t>按照供餐情况月底结算</w:t>
            </w:r>
          </w:p>
        </w:tc>
        <w:tc>
          <w:tcPr>
            <w:tcW w:w="2268" w:type="dxa"/>
            <w:vAlign w:val="center"/>
          </w:tcPr>
          <w:p w14:paraId="312B9260">
            <w:pPr>
              <w:pStyle w:val="12"/>
            </w:pPr>
            <w:r>
              <w:t>≥99%</w:t>
            </w:r>
          </w:p>
        </w:tc>
        <w:tc>
          <w:tcPr>
            <w:tcW w:w="1276" w:type="dxa"/>
            <w:vAlign w:val="center"/>
          </w:tcPr>
          <w:p w14:paraId="3A4AA19E">
            <w:pPr>
              <w:pStyle w:val="12"/>
            </w:pPr>
            <w:r>
              <w:t>全省农村小学生中实施营养改善计划地方试点的实施方案</w:t>
            </w:r>
          </w:p>
          <w:p w14:paraId="2D669B49">
            <w:pPr>
              <w:pStyle w:val="12"/>
            </w:pPr>
          </w:p>
        </w:tc>
      </w:tr>
      <w:tr w14:paraId="2CE0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F8193"/>
        </w:tc>
        <w:tc>
          <w:tcPr>
            <w:tcW w:w="2268" w:type="dxa"/>
            <w:vAlign w:val="center"/>
          </w:tcPr>
          <w:p w14:paraId="6E0AA822">
            <w:pPr>
              <w:pStyle w:val="12"/>
            </w:pPr>
            <w:r>
              <w:t>成本指标</w:t>
            </w:r>
          </w:p>
        </w:tc>
        <w:tc>
          <w:tcPr>
            <w:tcW w:w="2835" w:type="dxa"/>
            <w:vAlign w:val="center"/>
          </w:tcPr>
          <w:p w14:paraId="1618AC6B">
            <w:pPr>
              <w:pStyle w:val="12"/>
            </w:pPr>
            <w:r>
              <w:t>营养膳食生均补助标准</w:t>
            </w:r>
          </w:p>
        </w:tc>
        <w:tc>
          <w:tcPr>
            <w:tcW w:w="5386" w:type="dxa"/>
            <w:vAlign w:val="center"/>
          </w:tcPr>
          <w:p w14:paraId="05884C83">
            <w:pPr>
              <w:pStyle w:val="12"/>
            </w:pPr>
            <w:r>
              <w:t>农村义务教育学生营养膳食生均补助标准</w:t>
            </w:r>
          </w:p>
        </w:tc>
        <w:tc>
          <w:tcPr>
            <w:tcW w:w="2268" w:type="dxa"/>
            <w:vAlign w:val="center"/>
          </w:tcPr>
          <w:p w14:paraId="7B640535">
            <w:pPr>
              <w:pStyle w:val="12"/>
            </w:pPr>
            <w:r>
              <w:t>2.5元/天</w:t>
            </w:r>
          </w:p>
        </w:tc>
        <w:tc>
          <w:tcPr>
            <w:tcW w:w="1276" w:type="dxa"/>
            <w:vAlign w:val="center"/>
          </w:tcPr>
          <w:p w14:paraId="271A1059">
            <w:pPr>
              <w:pStyle w:val="12"/>
            </w:pPr>
            <w:r>
              <w:t>全省农村小学生中实施营养改善计划地方试点的实施方案</w:t>
            </w:r>
          </w:p>
          <w:p w14:paraId="53B89193">
            <w:pPr>
              <w:pStyle w:val="12"/>
            </w:pPr>
          </w:p>
        </w:tc>
      </w:tr>
      <w:tr w14:paraId="337E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02A66">
            <w:pPr>
              <w:pStyle w:val="13"/>
            </w:pPr>
            <w:r>
              <w:t>效益指标</w:t>
            </w:r>
          </w:p>
        </w:tc>
        <w:tc>
          <w:tcPr>
            <w:tcW w:w="2268" w:type="dxa"/>
            <w:vAlign w:val="center"/>
          </w:tcPr>
          <w:p w14:paraId="54160DEF">
            <w:pPr>
              <w:pStyle w:val="12"/>
            </w:pPr>
            <w:r>
              <w:t>可持续影响指标</w:t>
            </w:r>
          </w:p>
        </w:tc>
        <w:tc>
          <w:tcPr>
            <w:tcW w:w="2835" w:type="dxa"/>
            <w:vAlign w:val="center"/>
          </w:tcPr>
          <w:p w14:paraId="689D7BD5">
            <w:pPr>
              <w:pStyle w:val="12"/>
            </w:pPr>
            <w:r>
              <w:t>学生受益年限</w:t>
            </w:r>
          </w:p>
        </w:tc>
        <w:tc>
          <w:tcPr>
            <w:tcW w:w="5386" w:type="dxa"/>
            <w:vAlign w:val="center"/>
          </w:tcPr>
          <w:p w14:paraId="07630DD8">
            <w:pPr>
              <w:pStyle w:val="12"/>
            </w:pPr>
            <w:r>
              <w:t>小学受教育年限</w:t>
            </w:r>
          </w:p>
        </w:tc>
        <w:tc>
          <w:tcPr>
            <w:tcW w:w="2268" w:type="dxa"/>
            <w:vAlign w:val="center"/>
          </w:tcPr>
          <w:p w14:paraId="57598E3C">
            <w:pPr>
              <w:pStyle w:val="12"/>
            </w:pPr>
            <w:r>
              <w:t>6年</w:t>
            </w:r>
          </w:p>
        </w:tc>
        <w:tc>
          <w:tcPr>
            <w:tcW w:w="1276" w:type="dxa"/>
            <w:vAlign w:val="center"/>
          </w:tcPr>
          <w:p w14:paraId="44976059">
            <w:pPr>
              <w:pStyle w:val="12"/>
            </w:pPr>
            <w:r>
              <w:t>全省农村小学生中实施营养改善计划地方试点的实施方案</w:t>
            </w:r>
          </w:p>
          <w:p w14:paraId="2205B191">
            <w:pPr>
              <w:pStyle w:val="12"/>
            </w:pPr>
          </w:p>
        </w:tc>
      </w:tr>
      <w:tr w14:paraId="3677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3F52F">
            <w:pPr>
              <w:pStyle w:val="13"/>
            </w:pPr>
            <w:r>
              <w:t>满意度指标</w:t>
            </w:r>
          </w:p>
        </w:tc>
        <w:tc>
          <w:tcPr>
            <w:tcW w:w="2268" w:type="dxa"/>
            <w:vAlign w:val="center"/>
          </w:tcPr>
          <w:p w14:paraId="6480A0FA">
            <w:pPr>
              <w:pStyle w:val="12"/>
            </w:pPr>
            <w:r>
              <w:t>服务对象满意度指标</w:t>
            </w:r>
          </w:p>
        </w:tc>
        <w:tc>
          <w:tcPr>
            <w:tcW w:w="2835" w:type="dxa"/>
            <w:vAlign w:val="center"/>
          </w:tcPr>
          <w:p w14:paraId="72F8D521">
            <w:pPr>
              <w:pStyle w:val="12"/>
            </w:pPr>
            <w:r>
              <w:t>教师满意度</w:t>
            </w:r>
          </w:p>
        </w:tc>
        <w:tc>
          <w:tcPr>
            <w:tcW w:w="5386" w:type="dxa"/>
            <w:vAlign w:val="center"/>
          </w:tcPr>
          <w:p w14:paraId="3D944D2F">
            <w:pPr>
              <w:pStyle w:val="12"/>
            </w:pPr>
            <w:r>
              <w:t>家长对实施项目的满意度</w:t>
            </w:r>
          </w:p>
        </w:tc>
        <w:tc>
          <w:tcPr>
            <w:tcW w:w="2268" w:type="dxa"/>
            <w:vAlign w:val="center"/>
          </w:tcPr>
          <w:p w14:paraId="55C2137F">
            <w:pPr>
              <w:pStyle w:val="12"/>
            </w:pPr>
            <w:r>
              <w:t>≥95%</w:t>
            </w:r>
          </w:p>
        </w:tc>
        <w:tc>
          <w:tcPr>
            <w:tcW w:w="1276" w:type="dxa"/>
            <w:vAlign w:val="center"/>
          </w:tcPr>
          <w:p w14:paraId="0941F8D4">
            <w:pPr>
              <w:pStyle w:val="12"/>
            </w:pPr>
            <w:r>
              <w:t>全省农村小学生中实施营养改善计划地方试点的实施方案</w:t>
            </w:r>
          </w:p>
          <w:p w14:paraId="5EDCADC7">
            <w:pPr>
              <w:pStyle w:val="12"/>
            </w:pPr>
          </w:p>
        </w:tc>
      </w:tr>
    </w:tbl>
    <w:p w14:paraId="388CE5B1">
      <w:pPr>
        <w:sectPr>
          <w:pgSz w:w="16840" w:h="11900" w:orient="landscape"/>
          <w:pgMar w:top="1361" w:right="1020" w:bottom="1134" w:left="1020" w:header="720" w:footer="720" w:gutter="0"/>
          <w:cols w:space="720" w:num="1"/>
        </w:sectPr>
      </w:pPr>
    </w:p>
    <w:p w14:paraId="5089B6C6">
      <w:pPr>
        <w:spacing w:before="0" w:after="0"/>
        <w:ind w:firstLine="560"/>
        <w:jc w:val="left"/>
        <w:outlineLvl w:val="9"/>
      </w:pPr>
      <w:r>
        <w:rPr>
          <w:rFonts w:ascii="方正仿宋_GBK" w:hAnsi="方正仿宋_GBK" w:eastAsia="方正仿宋_GBK" w:cs="方正仿宋_GBK"/>
          <w:b/>
          <w:color w:val="000000"/>
          <w:sz w:val="28"/>
        </w:rPr>
        <w:t>39、县级配套/资助/2026年普通高中助学金（唐尧中学）绩效目标表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AF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A21D9">
            <w:pPr>
              <w:pStyle w:val="11"/>
            </w:pPr>
            <w:r>
              <w:t>单位：万元</w:t>
            </w:r>
          </w:p>
        </w:tc>
      </w:tr>
      <w:tr w14:paraId="23BEB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367CF">
            <w:pPr>
              <w:pStyle w:val="10"/>
            </w:pPr>
            <w:r>
              <w:t>项目编码</w:t>
            </w:r>
          </w:p>
        </w:tc>
        <w:tc>
          <w:tcPr>
            <w:tcW w:w="5103" w:type="dxa"/>
            <w:gridSpan w:val="2"/>
            <w:vAlign w:val="center"/>
          </w:tcPr>
          <w:p w14:paraId="09AF18FD">
            <w:pPr>
              <w:pStyle w:val="12"/>
            </w:pPr>
            <w:r>
              <w:t>13052526P000012100350</w:t>
            </w:r>
          </w:p>
        </w:tc>
        <w:tc>
          <w:tcPr>
            <w:tcW w:w="2835" w:type="dxa"/>
            <w:vAlign w:val="center"/>
          </w:tcPr>
          <w:p w14:paraId="4BBCFA70">
            <w:pPr>
              <w:pStyle w:val="10"/>
            </w:pPr>
            <w:r>
              <w:t>项目名称</w:t>
            </w:r>
          </w:p>
        </w:tc>
        <w:tc>
          <w:tcPr>
            <w:tcW w:w="6095" w:type="dxa"/>
            <w:gridSpan w:val="3"/>
            <w:vAlign w:val="center"/>
          </w:tcPr>
          <w:p w14:paraId="4AEEB0CF">
            <w:pPr>
              <w:pStyle w:val="12"/>
            </w:pPr>
            <w:r>
              <w:t>县级配套/资助/2026年普通高中助学金（唐尧中学）</w:t>
            </w:r>
          </w:p>
        </w:tc>
      </w:tr>
      <w:tr w14:paraId="42147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2FB4B">
            <w:pPr>
              <w:pStyle w:val="10"/>
            </w:pPr>
            <w:r>
              <w:t>预算规模及资金用途</w:t>
            </w:r>
          </w:p>
        </w:tc>
        <w:tc>
          <w:tcPr>
            <w:tcW w:w="2268" w:type="dxa"/>
            <w:vAlign w:val="center"/>
          </w:tcPr>
          <w:p w14:paraId="5BC1FD14">
            <w:pPr>
              <w:pStyle w:val="10"/>
            </w:pPr>
            <w:r>
              <w:t>预算数</w:t>
            </w:r>
          </w:p>
        </w:tc>
        <w:tc>
          <w:tcPr>
            <w:tcW w:w="2835" w:type="dxa"/>
            <w:vAlign w:val="center"/>
          </w:tcPr>
          <w:p w14:paraId="48D9DB89">
            <w:pPr>
              <w:pStyle w:val="12"/>
            </w:pPr>
            <w:r>
              <w:t>9.34</w:t>
            </w:r>
          </w:p>
        </w:tc>
        <w:tc>
          <w:tcPr>
            <w:tcW w:w="2835" w:type="dxa"/>
            <w:vAlign w:val="center"/>
          </w:tcPr>
          <w:p w14:paraId="5EE2A3E9">
            <w:pPr>
              <w:pStyle w:val="10"/>
            </w:pPr>
            <w:r>
              <w:t>其中：财政    资金</w:t>
            </w:r>
          </w:p>
        </w:tc>
        <w:tc>
          <w:tcPr>
            <w:tcW w:w="2551" w:type="dxa"/>
            <w:vAlign w:val="center"/>
          </w:tcPr>
          <w:p w14:paraId="3AC426EC">
            <w:pPr>
              <w:pStyle w:val="12"/>
            </w:pPr>
            <w:r>
              <w:t>9.34</w:t>
            </w:r>
          </w:p>
        </w:tc>
        <w:tc>
          <w:tcPr>
            <w:tcW w:w="2268" w:type="dxa"/>
            <w:vAlign w:val="center"/>
          </w:tcPr>
          <w:p w14:paraId="7F2AB90C">
            <w:pPr>
              <w:pStyle w:val="10"/>
            </w:pPr>
            <w:r>
              <w:t>其他资金</w:t>
            </w:r>
          </w:p>
        </w:tc>
        <w:tc>
          <w:tcPr>
            <w:tcW w:w="1276" w:type="dxa"/>
            <w:vAlign w:val="center"/>
          </w:tcPr>
          <w:p w14:paraId="4E3B2690">
            <w:pPr>
              <w:pStyle w:val="12"/>
            </w:pPr>
            <w:r>
              <w:t xml:space="preserve"> </w:t>
            </w:r>
          </w:p>
        </w:tc>
      </w:tr>
      <w:tr w14:paraId="22F93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472A4"/>
        </w:tc>
        <w:tc>
          <w:tcPr>
            <w:tcW w:w="14033" w:type="dxa"/>
            <w:gridSpan w:val="6"/>
            <w:vAlign w:val="center"/>
          </w:tcPr>
          <w:p w14:paraId="22793032">
            <w:pPr>
              <w:pStyle w:val="12"/>
            </w:pPr>
            <w:r>
              <w:t>深入宣传学生资助政策，落实河北省普通高中国家助学金管理办法</w:t>
            </w:r>
          </w:p>
        </w:tc>
      </w:tr>
      <w:tr w14:paraId="364FE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24F9B">
            <w:pPr>
              <w:pStyle w:val="10"/>
            </w:pPr>
            <w:r>
              <w:t>资金支出计划（%）</w:t>
            </w:r>
          </w:p>
        </w:tc>
        <w:tc>
          <w:tcPr>
            <w:tcW w:w="5103" w:type="dxa"/>
            <w:gridSpan w:val="2"/>
            <w:vAlign w:val="center"/>
          </w:tcPr>
          <w:p w14:paraId="648C39CC">
            <w:pPr>
              <w:pStyle w:val="10"/>
            </w:pPr>
            <w:r>
              <w:t>3月底</w:t>
            </w:r>
          </w:p>
        </w:tc>
        <w:tc>
          <w:tcPr>
            <w:tcW w:w="2835" w:type="dxa"/>
            <w:vAlign w:val="center"/>
          </w:tcPr>
          <w:p w14:paraId="4C65CA05">
            <w:pPr>
              <w:pStyle w:val="10"/>
            </w:pPr>
            <w:r>
              <w:t>6月底</w:t>
            </w:r>
          </w:p>
        </w:tc>
        <w:tc>
          <w:tcPr>
            <w:tcW w:w="2551" w:type="dxa"/>
            <w:vAlign w:val="center"/>
          </w:tcPr>
          <w:p w14:paraId="377A2D3C">
            <w:pPr>
              <w:pStyle w:val="10"/>
            </w:pPr>
            <w:r>
              <w:t>10月底</w:t>
            </w:r>
          </w:p>
        </w:tc>
        <w:tc>
          <w:tcPr>
            <w:tcW w:w="3544" w:type="dxa"/>
            <w:gridSpan w:val="2"/>
            <w:vAlign w:val="center"/>
          </w:tcPr>
          <w:p w14:paraId="44809F64">
            <w:pPr>
              <w:pStyle w:val="10"/>
            </w:pPr>
            <w:r>
              <w:t>12月底</w:t>
            </w:r>
          </w:p>
        </w:tc>
      </w:tr>
      <w:tr w14:paraId="0B14B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FC885"/>
        </w:tc>
        <w:tc>
          <w:tcPr>
            <w:tcW w:w="5103" w:type="dxa"/>
            <w:gridSpan w:val="2"/>
            <w:vAlign w:val="center"/>
          </w:tcPr>
          <w:p w14:paraId="71BD75E3">
            <w:pPr>
              <w:pStyle w:val="13"/>
            </w:pPr>
            <w:r>
              <w:t>25%</w:t>
            </w:r>
          </w:p>
        </w:tc>
        <w:tc>
          <w:tcPr>
            <w:tcW w:w="2835" w:type="dxa"/>
            <w:vAlign w:val="center"/>
          </w:tcPr>
          <w:p w14:paraId="20C9ED21">
            <w:pPr>
              <w:pStyle w:val="13"/>
            </w:pPr>
            <w:r>
              <w:t>50%</w:t>
            </w:r>
          </w:p>
        </w:tc>
        <w:tc>
          <w:tcPr>
            <w:tcW w:w="2551" w:type="dxa"/>
            <w:vAlign w:val="center"/>
          </w:tcPr>
          <w:p w14:paraId="59C08A74">
            <w:pPr>
              <w:pStyle w:val="13"/>
            </w:pPr>
            <w:r>
              <w:t>75%</w:t>
            </w:r>
          </w:p>
        </w:tc>
        <w:tc>
          <w:tcPr>
            <w:tcW w:w="3544" w:type="dxa"/>
            <w:gridSpan w:val="2"/>
            <w:vAlign w:val="center"/>
          </w:tcPr>
          <w:p w14:paraId="7EBE2AC7">
            <w:pPr>
              <w:pStyle w:val="13"/>
            </w:pPr>
            <w:r>
              <w:t>100%</w:t>
            </w:r>
          </w:p>
        </w:tc>
      </w:tr>
      <w:tr w14:paraId="6F7A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FBBDF">
            <w:pPr>
              <w:pStyle w:val="10"/>
            </w:pPr>
            <w:r>
              <w:t>绩效目标</w:t>
            </w:r>
          </w:p>
        </w:tc>
        <w:tc>
          <w:tcPr>
            <w:tcW w:w="14033" w:type="dxa"/>
            <w:gridSpan w:val="6"/>
            <w:vAlign w:val="center"/>
          </w:tcPr>
          <w:p w14:paraId="32785FC2">
            <w:pPr>
              <w:pStyle w:val="12"/>
            </w:pPr>
            <w:r>
              <w:t>1.深入宣传学生资助政策，落实河北省普通高中国家助学金管理办法</w:t>
            </w:r>
          </w:p>
        </w:tc>
      </w:tr>
    </w:tbl>
    <w:p w14:paraId="59336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03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65918">
            <w:pPr>
              <w:pStyle w:val="10"/>
            </w:pPr>
            <w:r>
              <w:t>一级指标</w:t>
            </w:r>
          </w:p>
        </w:tc>
        <w:tc>
          <w:tcPr>
            <w:tcW w:w="2268" w:type="dxa"/>
            <w:vAlign w:val="center"/>
          </w:tcPr>
          <w:p w14:paraId="024BF7C6">
            <w:pPr>
              <w:pStyle w:val="10"/>
            </w:pPr>
            <w:r>
              <w:t>二级指标</w:t>
            </w:r>
          </w:p>
        </w:tc>
        <w:tc>
          <w:tcPr>
            <w:tcW w:w="2835" w:type="dxa"/>
            <w:vAlign w:val="center"/>
          </w:tcPr>
          <w:p w14:paraId="2E3A0BB2">
            <w:pPr>
              <w:pStyle w:val="10"/>
            </w:pPr>
            <w:r>
              <w:t>三级指标</w:t>
            </w:r>
          </w:p>
        </w:tc>
        <w:tc>
          <w:tcPr>
            <w:tcW w:w="5386" w:type="dxa"/>
            <w:vAlign w:val="center"/>
          </w:tcPr>
          <w:p w14:paraId="3FBCD972">
            <w:pPr>
              <w:pStyle w:val="10"/>
            </w:pPr>
            <w:r>
              <w:t>绩效指标描述</w:t>
            </w:r>
          </w:p>
        </w:tc>
        <w:tc>
          <w:tcPr>
            <w:tcW w:w="2268" w:type="dxa"/>
            <w:vAlign w:val="center"/>
          </w:tcPr>
          <w:p w14:paraId="6A7A27C7">
            <w:pPr>
              <w:pStyle w:val="10"/>
            </w:pPr>
            <w:r>
              <w:t>指标值</w:t>
            </w:r>
          </w:p>
        </w:tc>
        <w:tc>
          <w:tcPr>
            <w:tcW w:w="1276" w:type="dxa"/>
            <w:vAlign w:val="center"/>
          </w:tcPr>
          <w:p w14:paraId="6A531950">
            <w:pPr>
              <w:pStyle w:val="10"/>
            </w:pPr>
            <w:r>
              <w:t>指标值确定依据</w:t>
            </w:r>
          </w:p>
        </w:tc>
      </w:tr>
      <w:tr w14:paraId="2CCC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90DE4">
            <w:pPr>
              <w:pStyle w:val="13"/>
            </w:pPr>
            <w:r>
              <w:t>产出指标</w:t>
            </w:r>
          </w:p>
        </w:tc>
        <w:tc>
          <w:tcPr>
            <w:tcW w:w="2268" w:type="dxa"/>
            <w:vAlign w:val="center"/>
          </w:tcPr>
          <w:p w14:paraId="6C188537">
            <w:pPr>
              <w:pStyle w:val="12"/>
            </w:pPr>
            <w:r>
              <w:t>数量指标</w:t>
            </w:r>
          </w:p>
        </w:tc>
        <w:tc>
          <w:tcPr>
            <w:tcW w:w="2835" w:type="dxa"/>
            <w:vAlign w:val="center"/>
          </w:tcPr>
          <w:p w14:paraId="4A1E8179">
            <w:pPr>
              <w:pStyle w:val="12"/>
            </w:pPr>
            <w:r>
              <w:t>高中经济困难资助比例</w:t>
            </w:r>
          </w:p>
        </w:tc>
        <w:tc>
          <w:tcPr>
            <w:tcW w:w="5386" w:type="dxa"/>
            <w:vAlign w:val="center"/>
          </w:tcPr>
          <w:p w14:paraId="24425102">
            <w:pPr>
              <w:pStyle w:val="12"/>
            </w:pPr>
            <w:r>
              <w:t>按在校生18%测算</w:t>
            </w:r>
          </w:p>
        </w:tc>
        <w:tc>
          <w:tcPr>
            <w:tcW w:w="2268" w:type="dxa"/>
            <w:vAlign w:val="center"/>
          </w:tcPr>
          <w:p w14:paraId="1C23D6F4">
            <w:pPr>
              <w:pStyle w:val="12"/>
            </w:pPr>
            <w:r>
              <w:t>≥203人</w:t>
            </w:r>
          </w:p>
        </w:tc>
        <w:tc>
          <w:tcPr>
            <w:tcW w:w="1276" w:type="dxa"/>
            <w:vAlign w:val="center"/>
          </w:tcPr>
          <w:p w14:paraId="08B0D009">
            <w:pPr>
              <w:pStyle w:val="12"/>
            </w:pPr>
            <w:r>
              <w:t>普通高中国家助学金管理办法</w:t>
            </w:r>
          </w:p>
        </w:tc>
      </w:tr>
      <w:tr w14:paraId="5B1D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31308"/>
        </w:tc>
        <w:tc>
          <w:tcPr>
            <w:tcW w:w="2268" w:type="dxa"/>
            <w:vAlign w:val="center"/>
          </w:tcPr>
          <w:p w14:paraId="38C52062">
            <w:pPr>
              <w:pStyle w:val="12"/>
            </w:pPr>
            <w:r>
              <w:t>质量指标</w:t>
            </w:r>
          </w:p>
        </w:tc>
        <w:tc>
          <w:tcPr>
            <w:tcW w:w="2835" w:type="dxa"/>
            <w:vAlign w:val="center"/>
          </w:tcPr>
          <w:p w14:paraId="06CBEE25">
            <w:pPr>
              <w:pStyle w:val="12"/>
            </w:pPr>
            <w:r>
              <w:t>高中助学金资助制度落实情况</w:t>
            </w:r>
          </w:p>
        </w:tc>
        <w:tc>
          <w:tcPr>
            <w:tcW w:w="5386" w:type="dxa"/>
            <w:vAlign w:val="center"/>
          </w:tcPr>
          <w:p w14:paraId="65F48706">
            <w:pPr>
              <w:pStyle w:val="12"/>
            </w:pPr>
            <w:r>
              <w:t>符合享受资助条件的学生应助尽助</w:t>
            </w:r>
          </w:p>
        </w:tc>
        <w:tc>
          <w:tcPr>
            <w:tcW w:w="2268" w:type="dxa"/>
            <w:vAlign w:val="center"/>
          </w:tcPr>
          <w:p w14:paraId="14171C0C">
            <w:pPr>
              <w:pStyle w:val="12"/>
            </w:pPr>
            <w:r>
              <w:t>100%</w:t>
            </w:r>
          </w:p>
        </w:tc>
        <w:tc>
          <w:tcPr>
            <w:tcW w:w="1276" w:type="dxa"/>
            <w:vAlign w:val="center"/>
          </w:tcPr>
          <w:p w14:paraId="5D167137">
            <w:pPr>
              <w:pStyle w:val="12"/>
            </w:pPr>
            <w:r>
              <w:t>普通高中国家助学金管理办法</w:t>
            </w:r>
          </w:p>
        </w:tc>
      </w:tr>
      <w:tr w14:paraId="1F66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6CBC1"/>
        </w:tc>
        <w:tc>
          <w:tcPr>
            <w:tcW w:w="2268" w:type="dxa"/>
            <w:vAlign w:val="center"/>
          </w:tcPr>
          <w:p w14:paraId="27418F1C">
            <w:pPr>
              <w:pStyle w:val="12"/>
            </w:pPr>
            <w:r>
              <w:t>时效指标</w:t>
            </w:r>
          </w:p>
        </w:tc>
        <w:tc>
          <w:tcPr>
            <w:tcW w:w="2835" w:type="dxa"/>
            <w:vAlign w:val="center"/>
          </w:tcPr>
          <w:p w14:paraId="29FEDF70">
            <w:pPr>
              <w:pStyle w:val="12"/>
            </w:pPr>
            <w:r>
              <w:t>资金拨付率</w:t>
            </w:r>
          </w:p>
        </w:tc>
        <w:tc>
          <w:tcPr>
            <w:tcW w:w="5386" w:type="dxa"/>
            <w:vAlign w:val="center"/>
          </w:tcPr>
          <w:p w14:paraId="6149AD9A">
            <w:pPr>
              <w:pStyle w:val="12"/>
            </w:pPr>
            <w:r>
              <w:t>资助资金支付进度</w:t>
            </w:r>
          </w:p>
        </w:tc>
        <w:tc>
          <w:tcPr>
            <w:tcW w:w="2268" w:type="dxa"/>
            <w:vAlign w:val="center"/>
          </w:tcPr>
          <w:p w14:paraId="1F84395A">
            <w:pPr>
              <w:pStyle w:val="12"/>
            </w:pPr>
            <w:r>
              <w:t>100%</w:t>
            </w:r>
          </w:p>
        </w:tc>
        <w:tc>
          <w:tcPr>
            <w:tcW w:w="1276" w:type="dxa"/>
            <w:vAlign w:val="center"/>
          </w:tcPr>
          <w:p w14:paraId="090188D3">
            <w:pPr>
              <w:pStyle w:val="12"/>
            </w:pPr>
            <w:r>
              <w:t>普通高中国家助学金管理办法</w:t>
            </w:r>
          </w:p>
        </w:tc>
      </w:tr>
      <w:tr w14:paraId="5BAD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25DB8"/>
        </w:tc>
        <w:tc>
          <w:tcPr>
            <w:tcW w:w="2268" w:type="dxa"/>
            <w:vAlign w:val="center"/>
          </w:tcPr>
          <w:p w14:paraId="0EE5B027">
            <w:pPr>
              <w:pStyle w:val="12"/>
            </w:pPr>
            <w:r>
              <w:t>成本指标</w:t>
            </w:r>
          </w:p>
        </w:tc>
        <w:tc>
          <w:tcPr>
            <w:tcW w:w="2835" w:type="dxa"/>
            <w:vAlign w:val="center"/>
          </w:tcPr>
          <w:p w14:paraId="23264154">
            <w:pPr>
              <w:pStyle w:val="12"/>
            </w:pPr>
            <w:r>
              <w:t>高中家庭经济困难学生补助标准</w:t>
            </w:r>
          </w:p>
        </w:tc>
        <w:tc>
          <w:tcPr>
            <w:tcW w:w="5386" w:type="dxa"/>
            <w:vAlign w:val="center"/>
          </w:tcPr>
          <w:p w14:paraId="5890D0B6">
            <w:pPr>
              <w:pStyle w:val="12"/>
            </w:pPr>
            <w:r>
              <w:t>标准2300元/生/学年。</w:t>
            </w:r>
          </w:p>
        </w:tc>
        <w:tc>
          <w:tcPr>
            <w:tcW w:w="2268" w:type="dxa"/>
            <w:vAlign w:val="center"/>
          </w:tcPr>
          <w:p w14:paraId="0048AB69">
            <w:pPr>
              <w:pStyle w:val="12"/>
            </w:pPr>
            <w:r>
              <w:t>2300元</w:t>
            </w:r>
          </w:p>
        </w:tc>
        <w:tc>
          <w:tcPr>
            <w:tcW w:w="1276" w:type="dxa"/>
            <w:vAlign w:val="center"/>
          </w:tcPr>
          <w:p w14:paraId="19EBF3D2">
            <w:pPr>
              <w:pStyle w:val="12"/>
            </w:pPr>
            <w:r>
              <w:t>普通高中国家助学金管理办法</w:t>
            </w:r>
          </w:p>
        </w:tc>
      </w:tr>
      <w:tr w14:paraId="074E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B423F">
            <w:pPr>
              <w:pStyle w:val="13"/>
            </w:pPr>
            <w:r>
              <w:t>效益指标</w:t>
            </w:r>
          </w:p>
        </w:tc>
        <w:tc>
          <w:tcPr>
            <w:tcW w:w="2268" w:type="dxa"/>
            <w:vAlign w:val="center"/>
          </w:tcPr>
          <w:p w14:paraId="75A9A44C">
            <w:pPr>
              <w:pStyle w:val="12"/>
            </w:pPr>
            <w:r>
              <w:t>可持续影响指标</w:t>
            </w:r>
          </w:p>
        </w:tc>
        <w:tc>
          <w:tcPr>
            <w:tcW w:w="2835" w:type="dxa"/>
            <w:vAlign w:val="center"/>
          </w:tcPr>
          <w:p w14:paraId="0BCAB94C">
            <w:pPr>
              <w:pStyle w:val="12"/>
            </w:pPr>
            <w:r>
              <w:t>学校办学能力提升</w:t>
            </w:r>
          </w:p>
        </w:tc>
        <w:tc>
          <w:tcPr>
            <w:tcW w:w="5386" w:type="dxa"/>
            <w:vAlign w:val="center"/>
          </w:tcPr>
          <w:p w14:paraId="04F5823E">
            <w:pPr>
              <w:pStyle w:val="12"/>
            </w:pPr>
            <w:r>
              <w:t>学校办学能力、提升入学率</w:t>
            </w:r>
          </w:p>
        </w:tc>
        <w:tc>
          <w:tcPr>
            <w:tcW w:w="2268" w:type="dxa"/>
            <w:vAlign w:val="center"/>
          </w:tcPr>
          <w:p w14:paraId="5C9C9B6D">
            <w:pPr>
              <w:pStyle w:val="12"/>
            </w:pPr>
            <w:r>
              <w:t>100%</w:t>
            </w:r>
          </w:p>
        </w:tc>
        <w:tc>
          <w:tcPr>
            <w:tcW w:w="1276" w:type="dxa"/>
            <w:vAlign w:val="center"/>
          </w:tcPr>
          <w:p w14:paraId="3AF712F2">
            <w:pPr>
              <w:pStyle w:val="12"/>
            </w:pPr>
            <w:r>
              <w:t>普通高中国家助学金管理办法</w:t>
            </w:r>
          </w:p>
        </w:tc>
      </w:tr>
      <w:tr w14:paraId="5C85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35749">
            <w:pPr>
              <w:pStyle w:val="13"/>
            </w:pPr>
            <w:r>
              <w:t>满意度指标</w:t>
            </w:r>
          </w:p>
        </w:tc>
        <w:tc>
          <w:tcPr>
            <w:tcW w:w="2268" w:type="dxa"/>
            <w:vAlign w:val="center"/>
          </w:tcPr>
          <w:p w14:paraId="6010CC81">
            <w:pPr>
              <w:pStyle w:val="12"/>
            </w:pPr>
            <w:r>
              <w:t>服务对象满意度指标</w:t>
            </w:r>
          </w:p>
        </w:tc>
        <w:tc>
          <w:tcPr>
            <w:tcW w:w="2835" w:type="dxa"/>
            <w:vAlign w:val="center"/>
          </w:tcPr>
          <w:p w14:paraId="0376456F">
            <w:pPr>
              <w:pStyle w:val="12"/>
            </w:pPr>
            <w:r>
              <w:t>受益学生家长及调查满意度</w:t>
            </w:r>
          </w:p>
        </w:tc>
        <w:tc>
          <w:tcPr>
            <w:tcW w:w="5386" w:type="dxa"/>
            <w:vAlign w:val="center"/>
          </w:tcPr>
          <w:p w14:paraId="6389DD01">
            <w:pPr>
              <w:pStyle w:val="12"/>
            </w:pPr>
            <w:r>
              <w:t>学生、教师及家长对学校保教保育工作满意度情况</w:t>
            </w:r>
          </w:p>
        </w:tc>
        <w:tc>
          <w:tcPr>
            <w:tcW w:w="2268" w:type="dxa"/>
            <w:vAlign w:val="center"/>
          </w:tcPr>
          <w:p w14:paraId="3F68D54F">
            <w:pPr>
              <w:pStyle w:val="12"/>
            </w:pPr>
            <w:r>
              <w:t>≥95%</w:t>
            </w:r>
          </w:p>
        </w:tc>
        <w:tc>
          <w:tcPr>
            <w:tcW w:w="1276" w:type="dxa"/>
            <w:vAlign w:val="center"/>
          </w:tcPr>
          <w:p w14:paraId="7D68E0AB">
            <w:pPr>
              <w:pStyle w:val="12"/>
            </w:pPr>
            <w:r>
              <w:t>调查问卷</w:t>
            </w:r>
          </w:p>
        </w:tc>
      </w:tr>
    </w:tbl>
    <w:p w14:paraId="1040759D">
      <w:pPr>
        <w:sectPr>
          <w:pgSz w:w="16840" w:h="11900" w:orient="landscape"/>
          <w:pgMar w:top="1361" w:right="1020" w:bottom="1134" w:left="1020" w:header="720" w:footer="720" w:gutter="0"/>
          <w:cols w:space="720" w:num="1"/>
        </w:sectPr>
      </w:pPr>
    </w:p>
    <w:p w14:paraId="5ECF1795">
      <w:pPr>
        <w:spacing w:before="0" w:after="0"/>
        <w:ind w:firstLine="560"/>
        <w:jc w:val="left"/>
        <w:outlineLvl w:val="9"/>
      </w:pPr>
      <w:r>
        <w:rPr>
          <w:rFonts w:ascii="方正仿宋_GBK" w:hAnsi="方正仿宋_GBK" w:eastAsia="方正仿宋_GBK" w:cs="方正仿宋_GBK"/>
          <w:b/>
          <w:color w:val="000000"/>
          <w:sz w:val="28"/>
        </w:rPr>
        <w:t>40、县级配套/资助/2026年普通高中助学金（文茂高中）绩效目标表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13E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EA669">
            <w:pPr>
              <w:pStyle w:val="11"/>
            </w:pPr>
            <w:r>
              <w:t>单位：万元</w:t>
            </w:r>
          </w:p>
        </w:tc>
      </w:tr>
      <w:tr w14:paraId="50B92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17E24">
            <w:pPr>
              <w:pStyle w:val="10"/>
            </w:pPr>
            <w:r>
              <w:t>项目编码</w:t>
            </w:r>
          </w:p>
        </w:tc>
        <w:tc>
          <w:tcPr>
            <w:tcW w:w="5103" w:type="dxa"/>
            <w:gridSpan w:val="2"/>
            <w:vAlign w:val="center"/>
          </w:tcPr>
          <w:p w14:paraId="5FAE0D32">
            <w:pPr>
              <w:pStyle w:val="12"/>
            </w:pPr>
            <w:r>
              <w:t>13052526P000012100377</w:t>
            </w:r>
          </w:p>
        </w:tc>
        <w:tc>
          <w:tcPr>
            <w:tcW w:w="2835" w:type="dxa"/>
            <w:vAlign w:val="center"/>
          </w:tcPr>
          <w:p w14:paraId="25C32C6D">
            <w:pPr>
              <w:pStyle w:val="10"/>
            </w:pPr>
            <w:r>
              <w:t>项目名称</w:t>
            </w:r>
          </w:p>
        </w:tc>
        <w:tc>
          <w:tcPr>
            <w:tcW w:w="6095" w:type="dxa"/>
            <w:gridSpan w:val="3"/>
            <w:vAlign w:val="center"/>
          </w:tcPr>
          <w:p w14:paraId="09892E44">
            <w:pPr>
              <w:pStyle w:val="12"/>
            </w:pPr>
            <w:r>
              <w:t>县级配套/资助/2026年普通高中助学金（文茂高中）</w:t>
            </w:r>
          </w:p>
        </w:tc>
      </w:tr>
      <w:tr w14:paraId="2F841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36FAC">
            <w:pPr>
              <w:pStyle w:val="10"/>
            </w:pPr>
            <w:r>
              <w:t>预算规模及资金用途</w:t>
            </w:r>
          </w:p>
        </w:tc>
        <w:tc>
          <w:tcPr>
            <w:tcW w:w="2268" w:type="dxa"/>
            <w:vAlign w:val="center"/>
          </w:tcPr>
          <w:p w14:paraId="011584FE">
            <w:pPr>
              <w:pStyle w:val="10"/>
            </w:pPr>
            <w:r>
              <w:t>预算数</w:t>
            </w:r>
          </w:p>
        </w:tc>
        <w:tc>
          <w:tcPr>
            <w:tcW w:w="2835" w:type="dxa"/>
            <w:vAlign w:val="center"/>
          </w:tcPr>
          <w:p w14:paraId="51DB513C">
            <w:pPr>
              <w:pStyle w:val="12"/>
            </w:pPr>
            <w:r>
              <w:t>7.36</w:t>
            </w:r>
          </w:p>
        </w:tc>
        <w:tc>
          <w:tcPr>
            <w:tcW w:w="2835" w:type="dxa"/>
            <w:vAlign w:val="center"/>
          </w:tcPr>
          <w:p w14:paraId="09FEEA0F">
            <w:pPr>
              <w:pStyle w:val="10"/>
            </w:pPr>
            <w:r>
              <w:t>其中：财政    资金</w:t>
            </w:r>
          </w:p>
        </w:tc>
        <w:tc>
          <w:tcPr>
            <w:tcW w:w="2551" w:type="dxa"/>
            <w:vAlign w:val="center"/>
          </w:tcPr>
          <w:p w14:paraId="36FDB9C6">
            <w:pPr>
              <w:pStyle w:val="12"/>
            </w:pPr>
            <w:r>
              <w:t>7.36</w:t>
            </w:r>
          </w:p>
        </w:tc>
        <w:tc>
          <w:tcPr>
            <w:tcW w:w="2268" w:type="dxa"/>
            <w:vAlign w:val="center"/>
          </w:tcPr>
          <w:p w14:paraId="162C50CD">
            <w:pPr>
              <w:pStyle w:val="10"/>
            </w:pPr>
            <w:r>
              <w:t>其他资金</w:t>
            </w:r>
          </w:p>
        </w:tc>
        <w:tc>
          <w:tcPr>
            <w:tcW w:w="1276" w:type="dxa"/>
            <w:vAlign w:val="center"/>
          </w:tcPr>
          <w:p w14:paraId="7030F681">
            <w:pPr>
              <w:pStyle w:val="12"/>
            </w:pPr>
            <w:r>
              <w:t xml:space="preserve"> </w:t>
            </w:r>
          </w:p>
        </w:tc>
      </w:tr>
      <w:tr w14:paraId="05CF0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E656A"/>
        </w:tc>
        <w:tc>
          <w:tcPr>
            <w:tcW w:w="14033" w:type="dxa"/>
            <w:gridSpan w:val="6"/>
            <w:vAlign w:val="center"/>
          </w:tcPr>
          <w:p w14:paraId="3EB6E83B">
            <w:pPr>
              <w:pStyle w:val="12"/>
            </w:pPr>
            <w:r>
              <w:t>深入宣传学生资助政策，落实河北省普通高中国家助学金管理办法</w:t>
            </w:r>
          </w:p>
        </w:tc>
      </w:tr>
      <w:tr w14:paraId="35B42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C4614">
            <w:pPr>
              <w:pStyle w:val="10"/>
            </w:pPr>
            <w:r>
              <w:t>资金支出计划（%）</w:t>
            </w:r>
          </w:p>
        </w:tc>
        <w:tc>
          <w:tcPr>
            <w:tcW w:w="5103" w:type="dxa"/>
            <w:gridSpan w:val="2"/>
            <w:vAlign w:val="center"/>
          </w:tcPr>
          <w:p w14:paraId="1EC2C23F">
            <w:pPr>
              <w:pStyle w:val="10"/>
            </w:pPr>
            <w:r>
              <w:t>3月底</w:t>
            </w:r>
          </w:p>
        </w:tc>
        <w:tc>
          <w:tcPr>
            <w:tcW w:w="2835" w:type="dxa"/>
            <w:vAlign w:val="center"/>
          </w:tcPr>
          <w:p w14:paraId="0A536095">
            <w:pPr>
              <w:pStyle w:val="10"/>
            </w:pPr>
            <w:r>
              <w:t>6月底</w:t>
            </w:r>
          </w:p>
        </w:tc>
        <w:tc>
          <w:tcPr>
            <w:tcW w:w="2551" w:type="dxa"/>
            <w:vAlign w:val="center"/>
          </w:tcPr>
          <w:p w14:paraId="487EF550">
            <w:pPr>
              <w:pStyle w:val="10"/>
            </w:pPr>
            <w:r>
              <w:t>10月底</w:t>
            </w:r>
          </w:p>
        </w:tc>
        <w:tc>
          <w:tcPr>
            <w:tcW w:w="3544" w:type="dxa"/>
            <w:gridSpan w:val="2"/>
            <w:vAlign w:val="center"/>
          </w:tcPr>
          <w:p w14:paraId="4A81C802">
            <w:pPr>
              <w:pStyle w:val="10"/>
            </w:pPr>
            <w:r>
              <w:t>12月底</w:t>
            </w:r>
          </w:p>
        </w:tc>
      </w:tr>
      <w:tr w14:paraId="0ECF3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4863F"/>
        </w:tc>
        <w:tc>
          <w:tcPr>
            <w:tcW w:w="5103" w:type="dxa"/>
            <w:gridSpan w:val="2"/>
            <w:vAlign w:val="center"/>
          </w:tcPr>
          <w:p w14:paraId="3AE374A5">
            <w:pPr>
              <w:pStyle w:val="13"/>
            </w:pPr>
            <w:r>
              <w:t>25%</w:t>
            </w:r>
          </w:p>
        </w:tc>
        <w:tc>
          <w:tcPr>
            <w:tcW w:w="2835" w:type="dxa"/>
            <w:vAlign w:val="center"/>
          </w:tcPr>
          <w:p w14:paraId="46DD48FA">
            <w:pPr>
              <w:pStyle w:val="13"/>
            </w:pPr>
            <w:r>
              <w:t>50%</w:t>
            </w:r>
          </w:p>
        </w:tc>
        <w:tc>
          <w:tcPr>
            <w:tcW w:w="2551" w:type="dxa"/>
            <w:vAlign w:val="center"/>
          </w:tcPr>
          <w:p w14:paraId="3527E3BE">
            <w:pPr>
              <w:pStyle w:val="13"/>
            </w:pPr>
            <w:r>
              <w:t>75%</w:t>
            </w:r>
          </w:p>
        </w:tc>
        <w:tc>
          <w:tcPr>
            <w:tcW w:w="3544" w:type="dxa"/>
            <w:gridSpan w:val="2"/>
            <w:vAlign w:val="center"/>
          </w:tcPr>
          <w:p w14:paraId="6C3A275D">
            <w:pPr>
              <w:pStyle w:val="13"/>
            </w:pPr>
            <w:r>
              <w:t>100%</w:t>
            </w:r>
          </w:p>
        </w:tc>
      </w:tr>
      <w:tr w14:paraId="0E50B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70E0C">
            <w:pPr>
              <w:pStyle w:val="10"/>
            </w:pPr>
            <w:r>
              <w:t>绩效目标</w:t>
            </w:r>
          </w:p>
        </w:tc>
        <w:tc>
          <w:tcPr>
            <w:tcW w:w="14033" w:type="dxa"/>
            <w:gridSpan w:val="6"/>
            <w:vAlign w:val="center"/>
          </w:tcPr>
          <w:p w14:paraId="7F091B5D">
            <w:pPr>
              <w:pStyle w:val="12"/>
            </w:pPr>
            <w:r>
              <w:t>1.深入宣传学生资助政策，落实河北省普通高中国家助学金管理办法</w:t>
            </w:r>
          </w:p>
        </w:tc>
      </w:tr>
    </w:tbl>
    <w:p w14:paraId="568C33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7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69939">
            <w:pPr>
              <w:pStyle w:val="10"/>
            </w:pPr>
            <w:r>
              <w:t>一级指标</w:t>
            </w:r>
          </w:p>
        </w:tc>
        <w:tc>
          <w:tcPr>
            <w:tcW w:w="2268" w:type="dxa"/>
            <w:vAlign w:val="center"/>
          </w:tcPr>
          <w:p w14:paraId="086A36E3">
            <w:pPr>
              <w:pStyle w:val="10"/>
            </w:pPr>
            <w:r>
              <w:t>二级指标</w:t>
            </w:r>
          </w:p>
        </w:tc>
        <w:tc>
          <w:tcPr>
            <w:tcW w:w="2835" w:type="dxa"/>
            <w:vAlign w:val="center"/>
          </w:tcPr>
          <w:p w14:paraId="3C7445F0">
            <w:pPr>
              <w:pStyle w:val="10"/>
            </w:pPr>
            <w:r>
              <w:t>三级指标</w:t>
            </w:r>
          </w:p>
        </w:tc>
        <w:tc>
          <w:tcPr>
            <w:tcW w:w="5386" w:type="dxa"/>
            <w:vAlign w:val="center"/>
          </w:tcPr>
          <w:p w14:paraId="62CDE809">
            <w:pPr>
              <w:pStyle w:val="10"/>
            </w:pPr>
            <w:r>
              <w:t>绩效指标描述</w:t>
            </w:r>
          </w:p>
        </w:tc>
        <w:tc>
          <w:tcPr>
            <w:tcW w:w="2268" w:type="dxa"/>
            <w:vAlign w:val="center"/>
          </w:tcPr>
          <w:p w14:paraId="707F6275">
            <w:pPr>
              <w:pStyle w:val="10"/>
            </w:pPr>
            <w:r>
              <w:t>指标值</w:t>
            </w:r>
          </w:p>
        </w:tc>
        <w:tc>
          <w:tcPr>
            <w:tcW w:w="1276" w:type="dxa"/>
            <w:vAlign w:val="center"/>
          </w:tcPr>
          <w:p w14:paraId="4C019A09">
            <w:pPr>
              <w:pStyle w:val="10"/>
            </w:pPr>
            <w:r>
              <w:t>指标值确定依据</w:t>
            </w:r>
          </w:p>
        </w:tc>
      </w:tr>
      <w:tr w14:paraId="7F26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B2862">
            <w:pPr>
              <w:pStyle w:val="13"/>
            </w:pPr>
            <w:r>
              <w:t>产出指标</w:t>
            </w:r>
          </w:p>
        </w:tc>
        <w:tc>
          <w:tcPr>
            <w:tcW w:w="2268" w:type="dxa"/>
            <w:vAlign w:val="center"/>
          </w:tcPr>
          <w:p w14:paraId="15D12021">
            <w:pPr>
              <w:pStyle w:val="12"/>
            </w:pPr>
            <w:r>
              <w:t>数量指标</w:t>
            </w:r>
          </w:p>
        </w:tc>
        <w:tc>
          <w:tcPr>
            <w:tcW w:w="2835" w:type="dxa"/>
            <w:vAlign w:val="center"/>
          </w:tcPr>
          <w:p w14:paraId="2AA11862">
            <w:pPr>
              <w:pStyle w:val="12"/>
            </w:pPr>
            <w:r>
              <w:t>普通高中资助人数</w:t>
            </w:r>
          </w:p>
        </w:tc>
        <w:tc>
          <w:tcPr>
            <w:tcW w:w="5386" w:type="dxa"/>
            <w:vAlign w:val="center"/>
          </w:tcPr>
          <w:p w14:paraId="5FA226FB">
            <w:pPr>
              <w:pStyle w:val="12"/>
            </w:pPr>
            <w:r>
              <w:t>普通高中助学受资助人数约占普通高中在校生总数的18%</w:t>
            </w:r>
          </w:p>
        </w:tc>
        <w:tc>
          <w:tcPr>
            <w:tcW w:w="2268" w:type="dxa"/>
            <w:vAlign w:val="center"/>
          </w:tcPr>
          <w:p w14:paraId="5E43583E">
            <w:pPr>
              <w:pStyle w:val="12"/>
            </w:pPr>
            <w:r>
              <w:t>≥153人</w:t>
            </w:r>
          </w:p>
        </w:tc>
        <w:tc>
          <w:tcPr>
            <w:tcW w:w="1276" w:type="dxa"/>
            <w:vAlign w:val="center"/>
          </w:tcPr>
          <w:p w14:paraId="7E097861">
            <w:pPr>
              <w:pStyle w:val="12"/>
            </w:pPr>
            <w:r>
              <w:t>年度预算</w:t>
            </w:r>
          </w:p>
        </w:tc>
      </w:tr>
      <w:tr w14:paraId="7031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4C8BA"/>
        </w:tc>
        <w:tc>
          <w:tcPr>
            <w:tcW w:w="2268" w:type="dxa"/>
            <w:vAlign w:val="center"/>
          </w:tcPr>
          <w:p w14:paraId="5CDFCDC0">
            <w:pPr>
              <w:pStyle w:val="12"/>
            </w:pPr>
            <w:r>
              <w:t>质量指标</w:t>
            </w:r>
          </w:p>
        </w:tc>
        <w:tc>
          <w:tcPr>
            <w:tcW w:w="2835" w:type="dxa"/>
            <w:vAlign w:val="center"/>
          </w:tcPr>
          <w:p w14:paraId="5EAC3368">
            <w:pPr>
              <w:pStyle w:val="12"/>
            </w:pPr>
            <w:r>
              <w:t>高中助学金资助制度落实情况</w:t>
            </w:r>
          </w:p>
        </w:tc>
        <w:tc>
          <w:tcPr>
            <w:tcW w:w="5386" w:type="dxa"/>
            <w:vAlign w:val="center"/>
          </w:tcPr>
          <w:p w14:paraId="283AACB4">
            <w:pPr>
              <w:pStyle w:val="12"/>
            </w:pPr>
            <w:r>
              <w:t>符合享受资助条件的学生应助尽助</w:t>
            </w:r>
          </w:p>
        </w:tc>
        <w:tc>
          <w:tcPr>
            <w:tcW w:w="2268" w:type="dxa"/>
            <w:vAlign w:val="center"/>
          </w:tcPr>
          <w:p w14:paraId="49C6DE3E">
            <w:pPr>
              <w:pStyle w:val="12"/>
            </w:pPr>
            <w:r>
              <w:t>100%</w:t>
            </w:r>
          </w:p>
        </w:tc>
        <w:tc>
          <w:tcPr>
            <w:tcW w:w="1276" w:type="dxa"/>
            <w:vAlign w:val="center"/>
          </w:tcPr>
          <w:p w14:paraId="4089F9CA">
            <w:pPr>
              <w:pStyle w:val="12"/>
            </w:pPr>
            <w:r>
              <w:t>隆尧县普通高中国家助学金管理办法</w:t>
            </w:r>
          </w:p>
        </w:tc>
      </w:tr>
      <w:tr w14:paraId="33E0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90360"/>
        </w:tc>
        <w:tc>
          <w:tcPr>
            <w:tcW w:w="2268" w:type="dxa"/>
            <w:vAlign w:val="center"/>
          </w:tcPr>
          <w:p w14:paraId="1CBC4C81">
            <w:pPr>
              <w:pStyle w:val="12"/>
            </w:pPr>
            <w:r>
              <w:t>时效指标</w:t>
            </w:r>
          </w:p>
        </w:tc>
        <w:tc>
          <w:tcPr>
            <w:tcW w:w="2835" w:type="dxa"/>
            <w:vAlign w:val="center"/>
          </w:tcPr>
          <w:p w14:paraId="471FDDF1">
            <w:pPr>
              <w:pStyle w:val="12"/>
            </w:pPr>
            <w:r>
              <w:t>资金拨付率</w:t>
            </w:r>
          </w:p>
        </w:tc>
        <w:tc>
          <w:tcPr>
            <w:tcW w:w="5386" w:type="dxa"/>
            <w:vAlign w:val="center"/>
          </w:tcPr>
          <w:p w14:paraId="37D627B1">
            <w:pPr>
              <w:pStyle w:val="12"/>
            </w:pPr>
            <w:r>
              <w:t>资助资金支付进度</w:t>
            </w:r>
          </w:p>
        </w:tc>
        <w:tc>
          <w:tcPr>
            <w:tcW w:w="2268" w:type="dxa"/>
            <w:vAlign w:val="center"/>
          </w:tcPr>
          <w:p w14:paraId="59244DF0">
            <w:pPr>
              <w:pStyle w:val="12"/>
            </w:pPr>
            <w:r>
              <w:t>100%</w:t>
            </w:r>
          </w:p>
        </w:tc>
        <w:tc>
          <w:tcPr>
            <w:tcW w:w="1276" w:type="dxa"/>
            <w:vAlign w:val="center"/>
          </w:tcPr>
          <w:p w14:paraId="0FA1CC73">
            <w:pPr>
              <w:pStyle w:val="12"/>
            </w:pPr>
            <w:r>
              <w:t>隆尧县普通高中国家助学金管理办法</w:t>
            </w:r>
          </w:p>
        </w:tc>
      </w:tr>
      <w:tr w14:paraId="369D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E029C"/>
        </w:tc>
        <w:tc>
          <w:tcPr>
            <w:tcW w:w="2268" w:type="dxa"/>
            <w:vAlign w:val="center"/>
          </w:tcPr>
          <w:p w14:paraId="00E7CB1B">
            <w:pPr>
              <w:pStyle w:val="12"/>
            </w:pPr>
            <w:r>
              <w:t>成本指标</w:t>
            </w:r>
          </w:p>
        </w:tc>
        <w:tc>
          <w:tcPr>
            <w:tcW w:w="2835" w:type="dxa"/>
            <w:vAlign w:val="center"/>
          </w:tcPr>
          <w:p w14:paraId="3C7917B7">
            <w:pPr>
              <w:pStyle w:val="12"/>
            </w:pPr>
            <w:r>
              <w:t>普高国家助学金标准</w:t>
            </w:r>
          </w:p>
        </w:tc>
        <w:tc>
          <w:tcPr>
            <w:tcW w:w="5386" w:type="dxa"/>
            <w:vAlign w:val="center"/>
          </w:tcPr>
          <w:p w14:paraId="5F4EA560">
            <w:pPr>
              <w:pStyle w:val="12"/>
            </w:pPr>
            <w:r>
              <w:t>普高国家助学金资助标准2300元/生/年</w:t>
            </w:r>
          </w:p>
        </w:tc>
        <w:tc>
          <w:tcPr>
            <w:tcW w:w="2268" w:type="dxa"/>
            <w:vAlign w:val="center"/>
          </w:tcPr>
          <w:p w14:paraId="33A412C1">
            <w:pPr>
              <w:pStyle w:val="12"/>
            </w:pPr>
            <w:r>
              <w:t>2300元</w:t>
            </w:r>
          </w:p>
        </w:tc>
        <w:tc>
          <w:tcPr>
            <w:tcW w:w="1276" w:type="dxa"/>
            <w:vAlign w:val="center"/>
          </w:tcPr>
          <w:p w14:paraId="33DE284F">
            <w:pPr>
              <w:pStyle w:val="12"/>
            </w:pPr>
            <w:r>
              <w:t>隆尧县普通高中国家助学金管理办法</w:t>
            </w:r>
          </w:p>
        </w:tc>
      </w:tr>
      <w:tr w14:paraId="378D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10D08">
            <w:pPr>
              <w:pStyle w:val="13"/>
            </w:pPr>
            <w:r>
              <w:t>效益指标</w:t>
            </w:r>
          </w:p>
        </w:tc>
        <w:tc>
          <w:tcPr>
            <w:tcW w:w="2268" w:type="dxa"/>
            <w:vAlign w:val="center"/>
          </w:tcPr>
          <w:p w14:paraId="366A5941">
            <w:pPr>
              <w:pStyle w:val="12"/>
            </w:pPr>
            <w:r>
              <w:t>可持续影响指标</w:t>
            </w:r>
          </w:p>
        </w:tc>
        <w:tc>
          <w:tcPr>
            <w:tcW w:w="2835" w:type="dxa"/>
            <w:vAlign w:val="center"/>
          </w:tcPr>
          <w:p w14:paraId="412DA6B8">
            <w:pPr>
              <w:pStyle w:val="12"/>
            </w:pPr>
            <w:r>
              <w:t>高中运转</w:t>
            </w:r>
          </w:p>
        </w:tc>
        <w:tc>
          <w:tcPr>
            <w:tcW w:w="5386" w:type="dxa"/>
            <w:vAlign w:val="center"/>
          </w:tcPr>
          <w:p w14:paraId="675EC80E">
            <w:pPr>
              <w:pStyle w:val="12"/>
            </w:pPr>
            <w:r>
              <w:t>高中生受教育年限</w:t>
            </w:r>
          </w:p>
        </w:tc>
        <w:tc>
          <w:tcPr>
            <w:tcW w:w="2268" w:type="dxa"/>
            <w:vAlign w:val="center"/>
          </w:tcPr>
          <w:p w14:paraId="3AC3BC9E">
            <w:pPr>
              <w:pStyle w:val="12"/>
            </w:pPr>
            <w:r>
              <w:t>3年</w:t>
            </w:r>
          </w:p>
        </w:tc>
        <w:tc>
          <w:tcPr>
            <w:tcW w:w="1276" w:type="dxa"/>
            <w:vAlign w:val="center"/>
          </w:tcPr>
          <w:p w14:paraId="71BDE8D3">
            <w:pPr>
              <w:pStyle w:val="12"/>
            </w:pPr>
            <w:r>
              <w:t>隆尧县普通高中国家助学金管理办法</w:t>
            </w:r>
          </w:p>
        </w:tc>
      </w:tr>
      <w:tr w14:paraId="4DA9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2F869">
            <w:pPr>
              <w:pStyle w:val="13"/>
            </w:pPr>
            <w:r>
              <w:t>满意度指标</w:t>
            </w:r>
          </w:p>
        </w:tc>
        <w:tc>
          <w:tcPr>
            <w:tcW w:w="2268" w:type="dxa"/>
            <w:vAlign w:val="center"/>
          </w:tcPr>
          <w:p w14:paraId="22F611E0">
            <w:pPr>
              <w:pStyle w:val="12"/>
            </w:pPr>
            <w:r>
              <w:t>服务对象满意度指标</w:t>
            </w:r>
          </w:p>
        </w:tc>
        <w:tc>
          <w:tcPr>
            <w:tcW w:w="2835" w:type="dxa"/>
            <w:vAlign w:val="center"/>
          </w:tcPr>
          <w:p w14:paraId="4E492057">
            <w:pPr>
              <w:pStyle w:val="12"/>
            </w:pPr>
            <w:r>
              <w:t>受益学生家长及调查满意度</w:t>
            </w:r>
          </w:p>
        </w:tc>
        <w:tc>
          <w:tcPr>
            <w:tcW w:w="5386" w:type="dxa"/>
            <w:vAlign w:val="center"/>
          </w:tcPr>
          <w:p w14:paraId="1FEFF9F0">
            <w:pPr>
              <w:pStyle w:val="12"/>
            </w:pPr>
            <w:r>
              <w:t>学生、教师及家长对学校保教保育工作满意度情况</w:t>
            </w:r>
          </w:p>
        </w:tc>
        <w:tc>
          <w:tcPr>
            <w:tcW w:w="2268" w:type="dxa"/>
            <w:vAlign w:val="center"/>
          </w:tcPr>
          <w:p w14:paraId="20DC01FB">
            <w:pPr>
              <w:pStyle w:val="12"/>
            </w:pPr>
            <w:r>
              <w:t>≥95%</w:t>
            </w:r>
          </w:p>
        </w:tc>
        <w:tc>
          <w:tcPr>
            <w:tcW w:w="1276" w:type="dxa"/>
            <w:vAlign w:val="center"/>
          </w:tcPr>
          <w:p w14:paraId="2AC966EA">
            <w:pPr>
              <w:pStyle w:val="12"/>
            </w:pPr>
            <w:r>
              <w:t>调查问卷</w:t>
            </w:r>
          </w:p>
        </w:tc>
      </w:tr>
    </w:tbl>
    <w:p w14:paraId="4C59AB07">
      <w:pPr>
        <w:sectPr>
          <w:pgSz w:w="16840" w:h="11900" w:orient="landscape"/>
          <w:pgMar w:top="1361" w:right="1020" w:bottom="1134" w:left="1020" w:header="720" w:footer="720" w:gutter="0"/>
          <w:cols w:space="720" w:num="1"/>
        </w:sectPr>
      </w:pPr>
    </w:p>
    <w:p w14:paraId="306461F7">
      <w:pPr>
        <w:spacing w:before="0" w:after="0"/>
        <w:ind w:firstLine="560"/>
        <w:jc w:val="left"/>
        <w:outlineLvl w:val="9"/>
      </w:pPr>
      <w:r>
        <w:rPr>
          <w:rFonts w:ascii="方正仿宋_GBK" w:hAnsi="方正仿宋_GBK" w:eastAsia="方正仿宋_GBK" w:cs="方正仿宋_GBK"/>
          <w:b/>
          <w:color w:val="000000"/>
          <w:sz w:val="28"/>
        </w:rPr>
        <w:t>41、县级配套/资助/2026年中职助学金（东方中职）绩效目标表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1A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17295">
            <w:pPr>
              <w:pStyle w:val="11"/>
            </w:pPr>
            <w:r>
              <w:t>单位：万元</w:t>
            </w:r>
          </w:p>
        </w:tc>
      </w:tr>
      <w:tr w14:paraId="6EC63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C17BE">
            <w:pPr>
              <w:pStyle w:val="10"/>
            </w:pPr>
            <w:r>
              <w:t>项目编码</w:t>
            </w:r>
          </w:p>
        </w:tc>
        <w:tc>
          <w:tcPr>
            <w:tcW w:w="5103" w:type="dxa"/>
            <w:gridSpan w:val="2"/>
            <w:vAlign w:val="center"/>
          </w:tcPr>
          <w:p w14:paraId="1E6A4522">
            <w:pPr>
              <w:pStyle w:val="12"/>
            </w:pPr>
            <w:r>
              <w:t>13052526P00001410025F</w:t>
            </w:r>
          </w:p>
        </w:tc>
        <w:tc>
          <w:tcPr>
            <w:tcW w:w="2835" w:type="dxa"/>
            <w:vAlign w:val="center"/>
          </w:tcPr>
          <w:p w14:paraId="498025AF">
            <w:pPr>
              <w:pStyle w:val="10"/>
            </w:pPr>
            <w:r>
              <w:t>项目名称</w:t>
            </w:r>
          </w:p>
        </w:tc>
        <w:tc>
          <w:tcPr>
            <w:tcW w:w="6095" w:type="dxa"/>
            <w:gridSpan w:val="3"/>
            <w:vAlign w:val="center"/>
          </w:tcPr>
          <w:p w14:paraId="1C682DAE">
            <w:pPr>
              <w:pStyle w:val="12"/>
            </w:pPr>
            <w:r>
              <w:t>县级配套/资助/2026年中职助学金（东方中职）</w:t>
            </w:r>
          </w:p>
        </w:tc>
      </w:tr>
      <w:tr w14:paraId="01729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D1A33">
            <w:pPr>
              <w:pStyle w:val="10"/>
            </w:pPr>
            <w:r>
              <w:t>预算规模及资金用途</w:t>
            </w:r>
          </w:p>
        </w:tc>
        <w:tc>
          <w:tcPr>
            <w:tcW w:w="2268" w:type="dxa"/>
            <w:vAlign w:val="center"/>
          </w:tcPr>
          <w:p w14:paraId="274B4CD6">
            <w:pPr>
              <w:pStyle w:val="10"/>
            </w:pPr>
            <w:r>
              <w:t>预算数</w:t>
            </w:r>
          </w:p>
        </w:tc>
        <w:tc>
          <w:tcPr>
            <w:tcW w:w="2835" w:type="dxa"/>
            <w:vAlign w:val="center"/>
          </w:tcPr>
          <w:p w14:paraId="08945D44">
            <w:pPr>
              <w:pStyle w:val="12"/>
            </w:pPr>
            <w:r>
              <w:t>1.66</w:t>
            </w:r>
          </w:p>
        </w:tc>
        <w:tc>
          <w:tcPr>
            <w:tcW w:w="2835" w:type="dxa"/>
            <w:vAlign w:val="center"/>
          </w:tcPr>
          <w:p w14:paraId="4B47FD98">
            <w:pPr>
              <w:pStyle w:val="10"/>
            </w:pPr>
            <w:r>
              <w:t>其中：财政    资金</w:t>
            </w:r>
          </w:p>
        </w:tc>
        <w:tc>
          <w:tcPr>
            <w:tcW w:w="2551" w:type="dxa"/>
            <w:vAlign w:val="center"/>
          </w:tcPr>
          <w:p w14:paraId="3672E242">
            <w:pPr>
              <w:pStyle w:val="12"/>
            </w:pPr>
            <w:r>
              <w:t>1.66</w:t>
            </w:r>
          </w:p>
        </w:tc>
        <w:tc>
          <w:tcPr>
            <w:tcW w:w="2268" w:type="dxa"/>
            <w:vAlign w:val="center"/>
          </w:tcPr>
          <w:p w14:paraId="27974339">
            <w:pPr>
              <w:pStyle w:val="10"/>
            </w:pPr>
            <w:r>
              <w:t>其他资金</w:t>
            </w:r>
          </w:p>
        </w:tc>
        <w:tc>
          <w:tcPr>
            <w:tcW w:w="1276" w:type="dxa"/>
            <w:vAlign w:val="center"/>
          </w:tcPr>
          <w:p w14:paraId="0D06BA37">
            <w:pPr>
              <w:pStyle w:val="12"/>
            </w:pPr>
            <w:r>
              <w:t xml:space="preserve"> </w:t>
            </w:r>
          </w:p>
        </w:tc>
      </w:tr>
      <w:tr w14:paraId="525D0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833BD"/>
        </w:tc>
        <w:tc>
          <w:tcPr>
            <w:tcW w:w="14033" w:type="dxa"/>
            <w:gridSpan w:val="6"/>
            <w:vAlign w:val="center"/>
          </w:tcPr>
          <w:p w14:paraId="4A17CD0C">
            <w:pPr>
              <w:pStyle w:val="12"/>
            </w:pPr>
            <w:r>
              <w:t>增加中职招生吸引力，控制学生流失率下降，促进教育均衡</w:t>
            </w:r>
          </w:p>
        </w:tc>
      </w:tr>
      <w:tr w14:paraId="02BC6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D5B17">
            <w:pPr>
              <w:pStyle w:val="10"/>
            </w:pPr>
            <w:r>
              <w:t>资金支出计划（%）</w:t>
            </w:r>
          </w:p>
        </w:tc>
        <w:tc>
          <w:tcPr>
            <w:tcW w:w="5103" w:type="dxa"/>
            <w:gridSpan w:val="2"/>
            <w:vAlign w:val="center"/>
          </w:tcPr>
          <w:p w14:paraId="091DCA97">
            <w:pPr>
              <w:pStyle w:val="10"/>
            </w:pPr>
            <w:r>
              <w:t>3月底</w:t>
            </w:r>
          </w:p>
        </w:tc>
        <w:tc>
          <w:tcPr>
            <w:tcW w:w="2835" w:type="dxa"/>
            <w:vAlign w:val="center"/>
          </w:tcPr>
          <w:p w14:paraId="146D1A04">
            <w:pPr>
              <w:pStyle w:val="10"/>
            </w:pPr>
            <w:r>
              <w:t>6月底</w:t>
            </w:r>
          </w:p>
        </w:tc>
        <w:tc>
          <w:tcPr>
            <w:tcW w:w="2551" w:type="dxa"/>
            <w:vAlign w:val="center"/>
          </w:tcPr>
          <w:p w14:paraId="6716F9E9">
            <w:pPr>
              <w:pStyle w:val="10"/>
            </w:pPr>
            <w:r>
              <w:t>10月底</w:t>
            </w:r>
          </w:p>
        </w:tc>
        <w:tc>
          <w:tcPr>
            <w:tcW w:w="3544" w:type="dxa"/>
            <w:gridSpan w:val="2"/>
            <w:vAlign w:val="center"/>
          </w:tcPr>
          <w:p w14:paraId="7BF3B689">
            <w:pPr>
              <w:pStyle w:val="10"/>
            </w:pPr>
            <w:r>
              <w:t>12月底</w:t>
            </w:r>
          </w:p>
        </w:tc>
      </w:tr>
      <w:tr w14:paraId="554B1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EF875"/>
        </w:tc>
        <w:tc>
          <w:tcPr>
            <w:tcW w:w="5103" w:type="dxa"/>
            <w:gridSpan w:val="2"/>
            <w:vAlign w:val="center"/>
          </w:tcPr>
          <w:p w14:paraId="159C9134">
            <w:pPr>
              <w:pStyle w:val="13"/>
            </w:pPr>
            <w:r>
              <w:t>25%</w:t>
            </w:r>
          </w:p>
        </w:tc>
        <w:tc>
          <w:tcPr>
            <w:tcW w:w="2835" w:type="dxa"/>
            <w:vAlign w:val="center"/>
          </w:tcPr>
          <w:p w14:paraId="19995DA2">
            <w:pPr>
              <w:pStyle w:val="13"/>
            </w:pPr>
            <w:r>
              <w:t>50%</w:t>
            </w:r>
          </w:p>
        </w:tc>
        <w:tc>
          <w:tcPr>
            <w:tcW w:w="2551" w:type="dxa"/>
            <w:vAlign w:val="center"/>
          </w:tcPr>
          <w:p w14:paraId="0AE66D20">
            <w:pPr>
              <w:pStyle w:val="13"/>
            </w:pPr>
            <w:r>
              <w:t>75%</w:t>
            </w:r>
          </w:p>
        </w:tc>
        <w:tc>
          <w:tcPr>
            <w:tcW w:w="3544" w:type="dxa"/>
            <w:gridSpan w:val="2"/>
            <w:vAlign w:val="center"/>
          </w:tcPr>
          <w:p w14:paraId="01240D56">
            <w:pPr>
              <w:pStyle w:val="13"/>
            </w:pPr>
            <w:r>
              <w:t>100%</w:t>
            </w:r>
          </w:p>
        </w:tc>
      </w:tr>
      <w:tr w14:paraId="53BB9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C225F">
            <w:pPr>
              <w:pStyle w:val="10"/>
            </w:pPr>
            <w:r>
              <w:t>绩效目标</w:t>
            </w:r>
          </w:p>
        </w:tc>
        <w:tc>
          <w:tcPr>
            <w:tcW w:w="14033" w:type="dxa"/>
            <w:gridSpan w:val="6"/>
            <w:vAlign w:val="center"/>
          </w:tcPr>
          <w:p w14:paraId="1CE21198">
            <w:pPr>
              <w:pStyle w:val="12"/>
            </w:pPr>
            <w:r>
              <w:t>1.增加中职招生吸引力，控制学生流失率下降，促进教育均衡</w:t>
            </w:r>
          </w:p>
        </w:tc>
      </w:tr>
    </w:tbl>
    <w:p w14:paraId="7FA84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D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A932B">
            <w:pPr>
              <w:pStyle w:val="10"/>
            </w:pPr>
            <w:r>
              <w:t>一级指标</w:t>
            </w:r>
          </w:p>
        </w:tc>
        <w:tc>
          <w:tcPr>
            <w:tcW w:w="2268" w:type="dxa"/>
            <w:vAlign w:val="center"/>
          </w:tcPr>
          <w:p w14:paraId="423A45DE">
            <w:pPr>
              <w:pStyle w:val="10"/>
            </w:pPr>
            <w:r>
              <w:t>二级指标</w:t>
            </w:r>
          </w:p>
        </w:tc>
        <w:tc>
          <w:tcPr>
            <w:tcW w:w="2835" w:type="dxa"/>
            <w:vAlign w:val="center"/>
          </w:tcPr>
          <w:p w14:paraId="204BD19D">
            <w:pPr>
              <w:pStyle w:val="10"/>
            </w:pPr>
            <w:r>
              <w:t>三级指标</w:t>
            </w:r>
          </w:p>
        </w:tc>
        <w:tc>
          <w:tcPr>
            <w:tcW w:w="5386" w:type="dxa"/>
            <w:vAlign w:val="center"/>
          </w:tcPr>
          <w:p w14:paraId="2794C883">
            <w:pPr>
              <w:pStyle w:val="10"/>
            </w:pPr>
            <w:r>
              <w:t>绩效指标描述</w:t>
            </w:r>
          </w:p>
        </w:tc>
        <w:tc>
          <w:tcPr>
            <w:tcW w:w="2268" w:type="dxa"/>
            <w:vAlign w:val="center"/>
          </w:tcPr>
          <w:p w14:paraId="62C3BAF0">
            <w:pPr>
              <w:pStyle w:val="10"/>
            </w:pPr>
            <w:r>
              <w:t>指标值</w:t>
            </w:r>
          </w:p>
        </w:tc>
        <w:tc>
          <w:tcPr>
            <w:tcW w:w="1276" w:type="dxa"/>
            <w:vAlign w:val="center"/>
          </w:tcPr>
          <w:p w14:paraId="45CC0E6B">
            <w:pPr>
              <w:pStyle w:val="10"/>
            </w:pPr>
            <w:r>
              <w:t>指标值确定依据</w:t>
            </w:r>
          </w:p>
        </w:tc>
      </w:tr>
      <w:tr w14:paraId="4C54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21FA5">
            <w:pPr>
              <w:pStyle w:val="13"/>
            </w:pPr>
            <w:r>
              <w:t>产出指标</w:t>
            </w:r>
          </w:p>
        </w:tc>
        <w:tc>
          <w:tcPr>
            <w:tcW w:w="2268" w:type="dxa"/>
            <w:vAlign w:val="center"/>
          </w:tcPr>
          <w:p w14:paraId="63D45AEB">
            <w:pPr>
              <w:pStyle w:val="12"/>
            </w:pPr>
            <w:r>
              <w:t>数量指标</w:t>
            </w:r>
          </w:p>
        </w:tc>
        <w:tc>
          <w:tcPr>
            <w:tcW w:w="2835" w:type="dxa"/>
            <w:vAlign w:val="center"/>
          </w:tcPr>
          <w:p w14:paraId="7E722D29">
            <w:pPr>
              <w:pStyle w:val="12"/>
            </w:pPr>
            <w:r>
              <w:t>中职享受助学金人数</w:t>
            </w:r>
          </w:p>
        </w:tc>
        <w:tc>
          <w:tcPr>
            <w:tcW w:w="5386" w:type="dxa"/>
            <w:vAlign w:val="center"/>
          </w:tcPr>
          <w:p w14:paraId="7A5B24B6">
            <w:pPr>
              <w:pStyle w:val="12"/>
            </w:pPr>
            <w:r>
              <w:t>中职享受助学金人数</w:t>
            </w:r>
          </w:p>
        </w:tc>
        <w:tc>
          <w:tcPr>
            <w:tcW w:w="2268" w:type="dxa"/>
            <w:vAlign w:val="center"/>
          </w:tcPr>
          <w:p w14:paraId="7CA84D2C">
            <w:pPr>
              <w:pStyle w:val="12"/>
            </w:pPr>
            <w:r>
              <w:t>≥36人</w:t>
            </w:r>
          </w:p>
        </w:tc>
        <w:tc>
          <w:tcPr>
            <w:tcW w:w="1276" w:type="dxa"/>
            <w:vAlign w:val="center"/>
          </w:tcPr>
          <w:p w14:paraId="4CDC5BC3">
            <w:pPr>
              <w:pStyle w:val="12"/>
            </w:pPr>
            <w:r>
              <w:t>年度招生计划</w:t>
            </w:r>
          </w:p>
        </w:tc>
      </w:tr>
      <w:tr w14:paraId="09B1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45EDC"/>
        </w:tc>
        <w:tc>
          <w:tcPr>
            <w:tcW w:w="2268" w:type="dxa"/>
            <w:vAlign w:val="center"/>
          </w:tcPr>
          <w:p w14:paraId="4D45BA83">
            <w:pPr>
              <w:pStyle w:val="12"/>
            </w:pPr>
            <w:r>
              <w:t>质量指标</w:t>
            </w:r>
          </w:p>
        </w:tc>
        <w:tc>
          <w:tcPr>
            <w:tcW w:w="2835" w:type="dxa"/>
            <w:vAlign w:val="center"/>
          </w:tcPr>
          <w:p w14:paraId="42EC29AD">
            <w:pPr>
              <w:pStyle w:val="12"/>
            </w:pPr>
            <w:r>
              <w:t>完成助学金发放工作</w:t>
            </w:r>
          </w:p>
        </w:tc>
        <w:tc>
          <w:tcPr>
            <w:tcW w:w="5386" w:type="dxa"/>
            <w:vAlign w:val="center"/>
          </w:tcPr>
          <w:p w14:paraId="527A2906">
            <w:pPr>
              <w:pStyle w:val="12"/>
            </w:pPr>
            <w:r>
              <w:t>涉农专业学生及其他专业贫困生</w:t>
            </w:r>
          </w:p>
        </w:tc>
        <w:tc>
          <w:tcPr>
            <w:tcW w:w="2268" w:type="dxa"/>
            <w:vAlign w:val="center"/>
          </w:tcPr>
          <w:p w14:paraId="13CC6527">
            <w:pPr>
              <w:pStyle w:val="12"/>
            </w:pPr>
            <w:r>
              <w:t>100%</w:t>
            </w:r>
          </w:p>
        </w:tc>
        <w:tc>
          <w:tcPr>
            <w:tcW w:w="1276" w:type="dxa"/>
            <w:vAlign w:val="center"/>
          </w:tcPr>
          <w:p w14:paraId="6C027130">
            <w:pPr>
              <w:pStyle w:val="12"/>
            </w:pPr>
            <w:r>
              <w:t>冀财教[2024]103号</w:t>
            </w:r>
          </w:p>
        </w:tc>
      </w:tr>
      <w:tr w14:paraId="0FEFB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EF599"/>
        </w:tc>
        <w:tc>
          <w:tcPr>
            <w:tcW w:w="2268" w:type="dxa"/>
            <w:vAlign w:val="center"/>
          </w:tcPr>
          <w:p w14:paraId="71550AE0">
            <w:pPr>
              <w:pStyle w:val="12"/>
            </w:pPr>
            <w:r>
              <w:t>时效指标</w:t>
            </w:r>
          </w:p>
        </w:tc>
        <w:tc>
          <w:tcPr>
            <w:tcW w:w="2835" w:type="dxa"/>
            <w:vAlign w:val="center"/>
          </w:tcPr>
          <w:p w14:paraId="5E33329A">
            <w:pPr>
              <w:pStyle w:val="12"/>
            </w:pPr>
            <w:r>
              <w:t>助学金及时足额发放</w:t>
            </w:r>
          </w:p>
        </w:tc>
        <w:tc>
          <w:tcPr>
            <w:tcW w:w="5386" w:type="dxa"/>
            <w:vAlign w:val="center"/>
          </w:tcPr>
          <w:p w14:paraId="604ECB60">
            <w:pPr>
              <w:pStyle w:val="12"/>
            </w:pPr>
            <w:r>
              <w:t>助学金及时足额发放率</w:t>
            </w:r>
          </w:p>
        </w:tc>
        <w:tc>
          <w:tcPr>
            <w:tcW w:w="2268" w:type="dxa"/>
            <w:vAlign w:val="center"/>
          </w:tcPr>
          <w:p w14:paraId="0D2AA169">
            <w:pPr>
              <w:pStyle w:val="12"/>
            </w:pPr>
            <w:r>
              <w:t>≥98%</w:t>
            </w:r>
          </w:p>
        </w:tc>
        <w:tc>
          <w:tcPr>
            <w:tcW w:w="1276" w:type="dxa"/>
            <w:vAlign w:val="center"/>
          </w:tcPr>
          <w:p w14:paraId="184551E3">
            <w:pPr>
              <w:pStyle w:val="12"/>
            </w:pPr>
            <w:r>
              <w:t>冀财教[2024]103号</w:t>
            </w:r>
          </w:p>
        </w:tc>
      </w:tr>
      <w:tr w14:paraId="1D45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55BB3"/>
        </w:tc>
        <w:tc>
          <w:tcPr>
            <w:tcW w:w="2268" w:type="dxa"/>
            <w:vAlign w:val="center"/>
          </w:tcPr>
          <w:p w14:paraId="55CC414B">
            <w:pPr>
              <w:pStyle w:val="12"/>
            </w:pPr>
            <w:r>
              <w:t>成本指标</w:t>
            </w:r>
          </w:p>
        </w:tc>
        <w:tc>
          <w:tcPr>
            <w:tcW w:w="2835" w:type="dxa"/>
            <w:vAlign w:val="center"/>
          </w:tcPr>
          <w:p w14:paraId="47CE3B8C">
            <w:pPr>
              <w:pStyle w:val="12"/>
            </w:pPr>
            <w:r>
              <w:t>中职助学金标准</w:t>
            </w:r>
          </w:p>
        </w:tc>
        <w:tc>
          <w:tcPr>
            <w:tcW w:w="5386" w:type="dxa"/>
            <w:vAlign w:val="center"/>
          </w:tcPr>
          <w:p w14:paraId="3165BB7A">
            <w:pPr>
              <w:pStyle w:val="12"/>
            </w:pPr>
            <w:r>
              <w:t>中职助学金资助标准2300/生/年</w:t>
            </w:r>
          </w:p>
        </w:tc>
        <w:tc>
          <w:tcPr>
            <w:tcW w:w="2268" w:type="dxa"/>
            <w:vAlign w:val="center"/>
          </w:tcPr>
          <w:p w14:paraId="2A7D0206">
            <w:pPr>
              <w:pStyle w:val="12"/>
            </w:pPr>
            <w:r>
              <w:t>2300元</w:t>
            </w:r>
          </w:p>
        </w:tc>
        <w:tc>
          <w:tcPr>
            <w:tcW w:w="1276" w:type="dxa"/>
            <w:vAlign w:val="center"/>
          </w:tcPr>
          <w:p w14:paraId="35570EA7">
            <w:pPr>
              <w:pStyle w:val="12"/>
            </w:pPr>
            <w:r>
              <w:t>冀财教[2024]103号</w:t>
            </w:r>
          </w:p>
        </w:tc>
      </w:tr>
      <w:tr w14:paraId="3F03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60EEC">
            <w:pPr>
              <w:pStyle w:val="13"/>
            </w:pPr>
            <w:r>
              <w:t>效益指标</w:t>
            </w:r>
          </w:p>
        </w:tc>
        <w:tc>
          <w:tcPr>
            <w:tcW w:w="2268" w:type="dxa"/>
            <w:vAlign w:val="center"/>
          </w:tcPr>
          <w:p w14:paraId="3CC93A92">
            <w:pPr>
              <w:pStyle w:val="12"/>
            </w:pPr>
            <w:r>
              <w:t>可持续影响指标</w:t>
            </w:r>
          </w:p>
        </w:tc>
        <w:tc>
          <w:tcPr>
            <w:tcW w:w="2835" w:type="dxa"/>
            <w:vAlign w:val="center"/>
          </w:tcPr>
          <w:p w14:paraId="0D44E8B4">
            <w:pPr>
              <w:pStyle w:val="12"/>
            </w:pPr>
            <w:r>
              <w:t>中职运转</w:t>
            </w:r>
          </w:p>
        </w:tc>
        <w:tc>
          <w:tcPr>
            <w:tcW w:w="5386" w:type="dxa"/>
            <w:vAlign w:val="center"/>
          </w:tcPr>
          <w:p w14:paraId="18041F5A">
            <w:pPr>
              <w:pStyle w:val="12"/>
            </w:pPr>
            <w:r>
              <w:t>中职受教育年限</w:t>
            </w:r>
          </w:p>
        </w:tc>
        <w:tc>
          <w:tcPr>
            <w:tcW w:w="2268" w:type="dxa"/>
            <w:vAlign w:val="center"/>
          </w:tcPr>
          <w:p w14:paraId="3382F764">
            <w:pPr>
              <w:pStyle w:val="12"/>
            </w:pPr>
            <w:r>
              <w:t>3年</w:t>
            </w:r>
          </w:p>
        </w:tc>
        <w:tc>
          <w:tcPr>
            <w:tcW w:w="1276" w:type="dxa"/>
            <w:vAlign w:val="center"/>
          </w:tcPr>
          <w:p w14:paraId="39556493">
            <w:pPr>
              <w:pStyle w:val="12"/>
            </w:pPr>
            <w:r>
              <w:t>隆尧县中职免学费管理办法</w:t>
            </w:r>
          </w:p>
        </w:tc>
      </w:tr>
      <w:tr w14:paraId="6119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BC724">
            <w:pPr>
              <w:pStyle w:val="13"/>
            </w:pPr>
            <w:r>
              <w:t>满意度指标</w:t>
            </w:r>
          </w:p>
        </w:tc>
        <w:tc>
          <w:tcPr>
            <w:tcW w:w="2268" w:type="dxa"/>
            <w:vAlign w:val="center"/>
          </w:tcPr>
          <w:p w14:paraId="39E4B8EA">
            <w:pPr>
              <w:pStyle w:val="12"/>
            </w:pPr>
            <w:r>
              <w:t>服务对象满意度指标</w:t>
            </w:r>
          </w:p>
        </w:tc>
        <w:tc>
          <w:tcPr>
            <w:tcW w:w="2835" w:type="dxa"/>
            <w:vAlign w:val="center"/>
          </w:tcPr>
          <w:p w14:paraId="66EA98D4">
            <w:pPr>
              <w:pStyle w:val="12"/>
            </w:pPr>
            <w:r>
              <w:t>提升幸福指数</w:t>
            </w:r>
          </w:p>
        </w:tc>
        <w:tc>
          <w:tcPr>
            <w:tcW w:w="5386" w:type="dxa"/>
            <w:vAlign w:val="center"/>
          </w:tcPr>
          <w:p w14:paraId="36E5C3E5">
            <w:pPr>
              <w:pStyle w:val="12"/>
            </w:pPr>
            <w:r>
              <w:t>提升建档立卡贫困家庭学生幸福指数</w:t>
            </w:r>
          </w:p>
          <w:p w14:paraId="5F9EB6E2">
            <w:pPr>
              <w:pStyle w:val="12"/>
            </w:pPr>
            <w:r>
              <w:t>家长学生满意</w:t>
            </w:r>
          </w:p>
        </w:tc>
        <w:tc>
          <w:tcPr>
            <w:tcW w:w="2268" w:type="dxa"/>
            <w:vAlign w:val="center"/>
          </w:tcPr>
          <w:p w14:paraId="6C7E44A1">
            <w:pPr>
              <w:pStyle w:val="12"/>
            </w:pPr>
            <w:r>
              <w:t>≥98%</w:t>
            </w:r>
          </w:p>
        </w:tc>
        <w:tc>
          <w:tcPr>
            <w:tcW w:w="1276" w:type="dxa"/>
            <w:vAlign w:val="center"/>
          </w:tcPr>
          <w:p w14:paraId="5B2A24A1">
            <w:pPr>
              <w:pStyle w:val="12"/>
            </w:pPr>
            <w:r>
              <w:t xml:space="preserve"> 调查问卷</w:t>
            </w:r>
          </w:p>
        </w:tc>
      </w:tr>
    </w:tbl>
    <w:p w14:paraId="2EA3E49B">
      <w:pPr>
        <w:sectPr>
          <w:pgSz w:w="16840" w:h="11900" w:orient="landscape"/>
          <w:pgMar w:top="1361" w:right="1020" w:bottom="1134" w:left="1020" w:header="720" w:footer="720" w:gutter="0"/>
          <w:cols w:space="720" w:num="1"/>
        </w:sectPr>
      </w:pPr>
    </w:p>
    <w:p w14:paraId="38CA1108">
      <w:pPr>
        <w:spacing w:before="0" w:after="0"/>
        <w:ind w:firstLine="560"/>
        <w:jc w:val="left"/>
        <w:outlineLvl w:val="9"/>
      </w:pPr>
      <w:r>
        <w:rPr>
          <w:rFonts w:ascii="方正仿宋_GBK" w:hAnsi="方正仿宋_GBK" w:eastAsia="方正仿宋_GBK" w:cs="方正仿宋_GBK"/>
          <w:b/>
          <w:color w:val="000000"/>
          <w:sz w:val="28"/>
        </w:rPr>
        <w:t>42、县级配套/资助/2026年中职助学金（文茂中职）绩效目标表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23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026BF">
            <w:pPr>
              <w:pStyle w:val="11"/>
            </w:pPr>
            <w:r>
              <w:t>单位：万元</w:t>
            </w:r>
          </w:p>
        </w:tc>
      </w:tr>
      <w:tr w14:paraId="688B4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2D07D">
            <w:pPr>
              <w:pStyle w:val="10"/>
            </w:pPr>
            <w:r>
              <w:t>项目编码</w:t>
            </w:r>
          </w:p>
        </w:tc>
        <w:tc>
          <w:tcPr>
            <w:tcW w:w="5103" w:type="dxa"/>
            <w:gridSpan w:val="2"/>
            <w:vAlign w:val="center"/>
          </w:tcPr>
          <w:p w14:paraId="441D8E34">
            <w:pPr>
              <w:pStyle w:val="12"/>
            </w:pPr>
            <w:r>
              <w:t>13052526P00001410024U</w:t>
            </w:r>
          </w:p>
        </w:tc>
        <w:tc>
          <w:tcPr>
            <w:tcW w:w="2835" w:type="dxa"/>
            <w:vAlign w:val="center"/>
          </w:tcPr>
          <w:p w14:paraId="29737E61">
            <w:pPr>
              <w:pStyle w:val="10"/>
            </w:pPr>
            <w:r>
              <w:t>项目名称</w:t>
            </w:r>
          </w:p>
        </w:tc>
        <w:tc>
          <w:tcPr>
            <w:tcW w:w="6095" w:type="dxa"/>
            <w:gridSpan w:val="3"/>
            <w:vAlign w:val="center"/>
          </w:tcPr>
          <w:p w14:paraId="5AA616DD">
            <w:pPr>
              <w:pStyle w:val="12"/>
            </w:pPr>
            <w:r>
              <w:t>县级配套/资助/2026年中职助学金（文茂中职）</w:t>
            </w:r>
          </w:p>
        </w:tc>
      </w:tr>
      <w:tr w14:paraId="5D8B3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17D57">
            <w:pPr>
              <w:pStyle w:val="10"/>
            </w:pPr>
            <w:r>
              <w:t>预算规模及资金用途</w:t>
            </w:r>
          </w:p>
        </w:tc>
        <w:tc>
          <w:tcPr>
            <w:tcW w:w="2268" w:type="dxa"/>
            <w:vAlign w:val="center"/>
          </w:tcPr>
          <w:p w14:paraId="240373E9">
            <w:pPr>
              <w:pStyle w:val="10"/>
            </w:pPr>
            <w:r>
              <w:t>预算数</w:t>
            </w:r>
          </w:p>
        </w:tc>
        <w:tc>
          <w:tcPr>
            <w:tcW w:w="2835" w:type="dxa"/>
            <w:vAlign w:val="center"/>
          </w:tcPr>
          <w:p w14:paraId="3D9A370E">
            <w:pPr>
              <w:pStyle w:val="12"/>
            </w:pPr>
            <w:r>
              <w:t>1.84</w:t>
            </w:r>
          </w:p>
        </w:tc>
        <w:tc>
          <w:tcPr>
            <w:tcW w:w="2835" w:type="dxa"/>
            <w:vAlign w:val="center"/>
          </w:tcPr>
          <w:p w14:paraId="0A50DEFC">
            <w:pPr>
              <w:pStyle w:val="10"/>
            </w:pPr>
            <w:r>
              <w:t>其中：财政    资金</w:t>
            </w:r>
          </w:p>
        </w:tc>
        <w:tc>
          <w:tcPr>
            <w:tcW w:w="2551" w:type="dxa"/>
            <w:vAlign w:val="center"/>
          </w:tcPr>
          <w:p w14:paraId="67A8514F">
            <w:pPr>
              <w:pStyle w:val="12"/>
            </w:pPr>
            <w:r>
              <w:t>1.84</w:t>
            </w:r>
          </w:p>
        </w:tc>
        <w:tc>
          <w:tcPr>
            <w:tcW w:w="2268" w:type="dxa"/>
            <w:vAlign w:val="center"/>
          </w:tcPr>
          <w:p w14:paraId="1EE6099B">
            <w:pPr>
              <w:pStyle w:val="10"/>
            </w:pPr>
            <w:r>
              <w:t>其他资金</w:t>
            </w:r>
          </w:p>
        </w:tc>
        <w:tc>
          <w:tcPr>
            <w:tcW w:w="1276" w:type="dxa"/>
            <w:vAlign w:val="center"/>
          </w:tcPr>
          <w:p w14:paraId="1DE8794C">
            <w:pPr>
              <w:pStyle w:val="12"/>
            </w:pPr>
            <w:r>
              <w:t xml:space="preserve"> </w:t>
            </w:r>
          </w:p>
        </w:tc>
      </w:tr>
      <w:tr w14:paraId="2B370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251DA"/>
        </w:tc>
        <w:tc>
          <w:tcPr>
            <w:tcW w:w="14033" w:type="dxa"/>
            <w:gridSpan w:val="6"/>
            <w:vAlign w:val="center"/>
          </w:tcPr>
          <w:p w14:paraId="1B4F32C8">
            <w:pPr>
              <w:pStyle w:val="12"/>
            </w:pPr>
            <w:r>
              <w:t>增加中职招生吸引力，控制学生流失率下降，促进教育均衡发展</w:t>
            </w:r>
            <w:r>
              <w:tab/>
            </w:r>
          </w:p>
        </w:tc>
      </w:tr>
      <w:tr w14:paraId="6CF37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93CD6">
            <w:pPr>
              <w:pStyle w:val="10"/>
            </w:pPr>
            <w:r>
              <w:t>资金支出计划（%）</w:t>
            </w:r>
          </w:p>
        </w:tc>
        <w:tc>
          <w:tcPr>
            <w:tcW w:w="5103" w:type="dxa"/>
            <w:gridSpan w:val="2"/>
            <w:vAlign w:val="center"/>
          </w:tcPr>
          <w:p w14:paraId="64C3089F">
            <w:pPr>
              <w:pStyle w:val="10"/>
            </w:pPr>
            <w:r>
              <w:t>3月底</w:t>
            </w:r>
          </w:p>
        </w:tc>
        <w:tc>
          <w:tcPr>
            <w:tcW w:w="2835" w:type="dxa"/>
            <w:vAlign w:val="center"/>
          </w:tcPr>
          <w:p w14:paraId="6741CA8A">
            <w:pPr>
              <w:pStyle w:val="10"/>
            </w:pPr>
            <w:r>
              <w:t>6月底</w:t>
            </w:r>
          </w:p>
        </w:tc>
        <w:tc>
          <w:tcPr>
            <w:tcW w:w="2551" w:type="dxa"/>
            <w:vAlign w:val="center"/>
          </w:tcPr>
          <w:p w14:paraId="376A059E">
            <w:pPr>
              <w:pStyle w:val="10"/>
            </w:pPr>
            <w:r>
              <w:t>10月底</w:t>
            </w:r>
          </w:p>
        </w:tc>
        <w:tc>
          <w:tcPr>
            <w:tcW w:w="3544" w:type="dxa"/>
            <w:gridSpan w:val="2"/>
            <w:vAlign w:val="center"/>
          </w:tcPr>
          <w:p w14:paraId="6BAB4E02">
            <w:pPr>
              <w:pStyle w:val="10"/>
            </w:pPr>
            <w:r>
              <w:t>12月底</w:t>
            </w:r>
          </w:p>
        </w:tc>
      </w:tr>
      <w:tr w14:paraId="77117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EBAA6"/>
        </w:tc>
        <w:tc>
          <w:tcPr>
            <w:tcW w:w="5103" w:type="dxa"/>
            <w:gridSpan w:val="2"/>
            <w:vAlign w:val="center"/>
          </w:tcPr>
          <w:p w14:paraId="037B2C7A">
            <w:pPr>
              <w:pStyle w:val="13"/>
            </w:pPr>
            <w:r>
              <w:t>25%</w:t>
            </w:r>
          </w:p>
        </w:tc>
        <w:tc>
          <w:tcPr>
            <w:tcW w:w="2835" w:type="dxa"/>
            <w:vAlign w:val="center"/>
          </w:tcPr>
          <w:p w14:paraId="7B98A56F">
            <w:pPr>
              <w:pStyle w:val="13"/>
            </w:pPr>
            <w:r>
              <w:t>50%</w:t>
            </w:r>
          </w:p>
        </w:tc>
        <w:tc>
          <w:tcPr>
            <w:tcW w:w="2551" w:type="dxa"/>
            <w:vAlign w:val="center"/>
          </w:tcPr>
          <w:p w14:paraId="7E30C3C7">
            <w:pPr>
              <w:pStyle w:val="13"/>
            </w:pPr>
            <w:r>
              <w:t>75%</w:t>
            </w:r>
          </w:p>
        </w:tc>
        <w:tc>
          <w:tcPr>
            <w:tcW w:w="3544" w:type="dxa"/>
            <w:gridSpan w:val="2"/>
            <w:vAlign w:val="center"/>
          </w:tcPr>
          <w:p w14:paraId="2BF90BAB">
            <w:pPr>
              <w:pStyle w:val="13"/>
            </w:pPr>
            <w:r>
              <w:t>100%</w:t>
            </w:r>
          </w:p>
        </w:tc>
      </w:tr>
      <w:tr w14:paraId="21565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CFA1B">
            <w:pPr>
              <w:pStyle w:val="10"/>
            </w:pPr>
            <w:r>
              <w:t>绩效目标</w:t>
            </w:r>
          </w:p>
        </w:tc>
        <w:tc>
          <w:tcPr>
            <w:tcW w:w="14033" w:type="dxa"/>
            <w:gridSpan w:val="6"/>
            <w:vAlign w:val="center"/>
          </w:tcPr>
          <w:p w14:paraId="5C283566">
            <w:pPr>
              <w:pStyle w:val="12"/>
            </w:pPr>
            <w:r>
              <w:t>1.增加中职招生吸引力，控制学生流失率下降，促进教育均衡发展</w:t>
            </w:r>
          </w:p>
        </w:tc>
      </w:tr>
    </w:tbl>
    <w:p w14:paraId="1ED0F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C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91AA2">
            <w:pPr>
              <w:pStyle w:val="10"/>
            </w:pPr>
            <w:r>
              <w:t>一级指标</w:t>
            </w:r>
          </w:p>
        </w:tc>
        <w:tc>
          <w:tcPr>
            <w:tcW w:w="2268" w:type="dxa"/>
            <w:vAlign w:val="center"/>
          </w:tcPr>
          <w:p w14:paraId="503929DC">
            <w:pPr>
              <w:pStyle w:val="10"/>
            </w:pPr>
            <w:r>
              <w:t>二级指标</w:t>
            </w:r>
          </w:p>
        </w:tc>
        <w:tc>
          <w:tcPr>
            <w:tcW w:w="2835" w:type="dxa"/>
            <w:vAlign w:val="center"/>
          </w:tcPr>
          <w:p w14:paraId="2E662701">
            <w:pPr>
              <w:pStyle w:val="10"/>
            </w:pPr>
            <w:r>
              <w:t>三级指标</w:t>
            </w:r>
          </w:p>
        </w:tc>
        <w:tc>
          <w:tcPr>
            <w:tcW w:w="5386" w:type="dxa"/>
            <w:vAlign w:val="center"/>
          </w:tcPr>
          <w:p w14:paraId="39632A0E">
            <w:pPr>
              <w:pStyle w:val="10"/>
            </w:pPr>
            <w:r>
              <w:t>绩效指标描述</w:t>
            </w:r>
          </w:p>
        </w:tc>
        <w:tc>
          <w:tcPr>
            <w:tcW w:w="2268" w:type="dxa"/>
            <w:vAlign w:val="center"/>
          </w:tcPr>
          <w:p w14:paraId="6B4493AC">
            <w:pPr>
              <w:pStyle w:val="10"/>
            </w:pPr>
            <w:r>
              <w:t>指标值</w:t>
            </w:r>
          </w:p>
        </w:tc>
        <w:tc>
          <w:tcPr>
            <w:tcW w:w="1276" w:type="dxa"/>
            <w:vAlign w:val="center"/>
          </w:tcPr>
          <w:p w14:paraId="152935B4">
            <w:pPr>
              <w:pStyle w:val="10"/>
            </w:pPr>
            <w:r>
              <w:t>指标值确定依据</w:t>
            </w:r>
          </w:p>
        </w:tc>
      </w:tr>
      <w:tr w14:paraId="0B27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06A15">
            <w:pPr>
              <w:pStyle w:val="13"/>
            </w:pPr>
            <w:r>
              <w:t>产出指标</w:t>
            </w:r>
          </w:p>
        </w:tc>
        <w:tc>
          <w:tcPr>
            <w:tcW w:w="2268" w:type="dxa"/>
            <w:vAlign w:val="center"/>
          </w:tcPr>
          <w:p w14:paraId="5303E394">
            <w:pPr>
              <w:pStyle w:val="12"/>
            </w:pPr>
            <w:r>
              <w:t>数量指标</w:t>
            </w:r>
          </w:p>
        </w:tc>
        <w:tc>
          <w:tcPr>
            <w:tcW w:w="2835" w:type="dxa"/>
            <w:vAlign w:val="center"/>
          </w:tcPr>
          <w:p w14:paraId="0B855D45">
            <w:pPr>
              <w:pStyle w:val="12"/>
            </w:pPr>
            <w:r>
              <w:t>中职享受助学金人数</w:t>
            </w:r>
          </w:p>
        </w:tc>
        <w:tc>
          <w:tcPr>
            <w:tcW w:w="5386" w:type="dxa"/>
            <w:vAlign w:val="center"/>
          </w:tcPr>
          <w:p w14:paraId="62670BCF">
            <w:pPr>
              <w:pStyle w:val="12"/>
            </w:pPr>
            <w:r>
              <w:t>中职享受助学金人数</w:t>
            </w:r>
          </w:p>
        </w:tc>
        <w:tc>
          <w:tcPr>
            <w:tcW w:w="2268" w:type="dxa"/>
            <w:vAlign w:val="center"/>
          </w:tcPr>
          <w:p w14:paraId="40AC39E8">
            <w:pPr>
              <w:pStyle w:val="12"/>
            </w:pPr>
            <w:r>
              <w:t>≥28人</w:t>
            </w:r>
          </w:p>
        </w:tc>
        <w:tc>
          <w:tcPr>
            <w:tcW w:w="1276" w:type="dxa"/>
            <w:vAlign w:val="center"/>
          </w:tcPr>
          <w:p w14:paraId="2EF993A5">
            <w:pPr>
              <w:pStyle w:val="12"/>
            </w:pPr>
            <w:r>
              <w:t>年度招生计划</w:t>
            </w:r>
          </w:p>
        </w:tc>
      </w:tr>
      <w:tr w14:paraId="160B5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BE6EA"/>
        </w:tc>
        <w:tc>
          <w:tcPr>
            <w:tcW w:w="2268" w:type="dxa"/>
            <w:vAlign w:val="center"/>
          </w:tcPr>
          <w:p w14:paraId="685F0B0B">
            <w:pPr>
              <w:pStyle w:val="12"/>
            </w:pPr>
            <w:r>
              <w:t>质量指标</w:t>
            </w:r>
          </w:p>
        </w:tc>
        <w:tc>
          <w:tcPr>
            <w:tcW w:w="2835" w:type="dxa"/>
            <w:vAlign w:val="center"/>
          </w:tcPr>
          <w:p w14:paraId="0BDFA58B">
            <w:pPr>
              <w:pStyle w:val="12"/>
            </w:pPr>
            <w:r>
              <w:t>完成助学金发放工作</w:t>
            </w:r>
          </w:p>
        </w:tc>
        <w:tc>
          <w:tcPr>
            <w:tcW w:w="5386" w:type="dxa"/>
            <w:vAlign w:val="center"/>
          </w:tcPr>
          <w:p w14:paraId="3FBEBE25">
            <w:pPr>
              <w:pStyle w:val="12"/>
            </w:pPr>
            <w:r>
              <w:t>涉农专业学生及其他专业贫困生</w:t>
            </w:r>
          </w:p>
        </w:tc>
        <w:tc>
          <w:tcPr>
            <w:tcW w:w="2268" w:type="dxa"/>
            <w:vAlign w:val="center"/>
          </w:tcPr>
          <w:p w14:paraId="55CC6C18">
            <w:pPr>
              <w:pStyle w:val="12"/>
            </w:pPr>
            <w:r>
              <w:t>≥100%</w:t>
            </w:r>
          </w:p>
        </w:tc>
        <w:tc>
          <w:tcPr>
            <w:tcW w:w="1276" w:type="dxa"/>
            <w:vAlign w:val="center"/>
          </w:tcPr>
          <w:p w14:paraId="34AD2263">
            <w:pPr>
              <w:pStyle w:val="12"/>
            </w:pPr>
            <w:r>
              <w:t>冀财教【2024】103号</w:t>
            </w:r>
          </w:p>
        </w:tc>
      </w:tr>
      <w:tr w14:paraId="5DDB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D9AA1"/>
        </w:tc>
        <w:tc>
          <w:tcPr>
            <w:tcW w:w="2268" w:type="dxa"/>
            <w:vAlign w:val="center"/>
          </w:tcPr>
          <w:p w14:paraId="3530AAEC">
            <w:pPr>
              <w:pStyle w:val="12"/>
            </w:pPr>
            <w:r>
              <w:t>时效指标</w:t>
            </w:r>
          </w:p>
        </w:tc>
        <w:tc>
          <w:tcPr>
            <w:tcW w:w="2835" w:type="dxa"/>
            <w:vAlign w:val="center"/>
          </w:tcPr>
          <w:p w14:paraId="080E3B92">
            <w:pPr>
              <w:pStyle w:val="12"/>
            </w:pPr>
            <w:r>
              <w:t>助学金及时足额发放</w:t>
            </w:r>
          </w:p>
        </w:tc>
        <w:tc>
          <w:tcPr>
            <w:tcW w:w="5386" w:type="dxa"/>
            <w:vAlign w:val="center"/>
          </w:tcPr>
          <w:p w14:paraId="7A11E2A0">
            <w:pPr>
              <w:pStyle w:val="12"/>
            </w:pPr>
            <w:r>
              <w:t>助学金及时足额发放率</w:t>
            </w:r>
          </w:p>
        </w:tc>
        <w:tc>
          <w:tcPr>
            <w:tcW w:w="2268" w:type="dxa"/>
            <w:vAlign w:val="center"/>
          </w:tcPr>
          <w:p w14:paraId="646A88DD">
            <w:pPr>
              <w:pStyle w:val="12"/>
            </w:pPr>
            <w:r>
              <w:t>≥99%</w:t>
            </w:r>
          </w:p>
        </w:tc>
        <w:tc>
          <w:tcPr>
            <w:tcW w:w="1276" w:type="dxa"/>
            <w:vAlign w:val="center"/>
          </w:tcPr>
          <w:p w14:paraId="3CD1BCFE">
            <w:pPr>
              <w:pStyle w:val="12"/>
            </w:pPr>
            <w:r>
              <w:t>冀财教【2024】103号</w:t>
            </w:r>
          </w:p>
        </w:tc>
      </w:tr>
      <w:tr w14:paraId="7A4B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EE6F6"/>
        </w:tc>
        <w:tc>
          <w:tcPr>
            <w:tcW w:w="2268" w:type="dxa"/>
            <w:vAlign w:val="center"/>
          </w:tcPr>
          <w:p w14:paraId="465BDCE8">
            <w:pPr>
              <w:pStyle w:val="12"/>
            </w:pPr>
            <w:r>
              <w:t>成本指标</w:t>
            </w:r>
          </w:p>
        </w:tc>
        <w:tc>
          <w:tcPr>
            <w:tcW w:w="2835" w:type="dxa"/>
            <w:vAlign w:val="center"/>
          </w:tcPr>
          <w:p w14:paraId="542B6966">
            <w:pPr>
              <w:pStyle w:val="12"/>
            </w:pPr>
            <w:r>
              <w:t>中职助学金标准</w:t>
            </w:r>
          </w:p>
        </w:tc>
        <w:tc>
          <w:tcPr>
            <w:tcW w:w="5386" w:type="dxa"/>
            <w:vAlign w:val="center"/>
          </w:tcPr>
          <w:p w14:paraId="33EF7D84">
            <w:pPr>
              <w:pStyle w:val="12"/>
            </w:pPr>
            <w:r>
              <w:t>中职助学金资助标准2300/生/年</w:t>
            </w:r>
          </w:p>
        </w:tc>
        <w:tc>
          <w:tcPr>
            <w:tcW w:w="2268" w:type="dxa"/>
            <w:vAlign w:val="center"/>
          </w:tcPr>
          <w:p w14:paraId="0E6BB2F1">
            <w:pPr>
              <w:pStyle w:val="12"/>
            </w:pPr>
            <w:r>
              <w:t>2300元</w:t>
            </w:r>
          </w:p>
        </w:tc>
        <w:tc>
          <w:tcPr>
            <w:tcW w:w="1276" w:type="dxa"/>
            <w:vAlign w:val="center"/>
          </w:tcPr>
          <w:p w14:paraId="29763C2B">
            <w:pPr>
              <w:pStyle w:val="12"/>
            </w:pPr>
            <w:r>
              <w:t>冀财教【2024】103号</w:t>
            </w:r>
          </w:p>
        </w:tc>
      </w:tr>
      <w:tr w14:paraId="42D8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F1C4B">
            <w:pPr>
              <w:pStyle w:val="13"/>
            </w:pPr>
            <w:r>
              <w:t>效益指标</w:t>
            </w:r>
          </w:p>
        </w:tc>
        <w:tc>
          <w:tcPr>
            <w:tcW w:w="2268" w:type="dxa"/>
            <w:vAlign w:val="center"/>
          </w:tcPr>
          <w:p w14:paraId="18D46D21">
            <w:pPr>
              <w:pStyle w:val="12"/>
            </w:pPr>
            <w:r>
              <w:t>可持续影响指标</w:t>
            </w:r>
          </w:p>
        </w:tc>
        <w:tc>
          <w:tcPr>
            <w:tcW w:w="2835" w:type="dxa"/>
            <w:vAlign w:val="center"/>
          </w:tcPr>
          <w:p w14:paraId="401BC9B0">
            <w:pPr>
              <w:pStyle w:val="12"/>
            </w:pPr>
            <w:r>
              <w:t>中职学校运转</w:t>
            </w:r>
          </w:p>
        </w:tc>
        <w:tc>
          <w:tcPr>
            <w:tcW w:w="5386" w:type="dxa"/>
            <w:vAlign w:val="center"/>
          </w:tcPr>
          <w:p w14:paraId="22873D26">
            <w:pPr>
              <w:pStyle w:val="12"/>
            </w:pPr>
            <w:r>
              <w:t>中职受教育年限</w:t>
            </w:r>
          </w:p>
        </w:tc>
        <w:tc>
          <w:tcPr>
            <w:tcW w:w="2268" w:type="dxa"/>
            <w:vAlign w:val="center"/>
          </w:tcPr>
          <w:p w14:paraId="09D13941">
            <w:pPr>
              <w:pStyle w:val="12"/>
            </w:pPr>
            <w:r>
              <w:t>3年</w:t>
            </w:r>
          </w:p>
        </w:tc>
        <w:tc>
          <w:tcPr>
            <w:tcW w:w="1276" w:type="dxa"/>
            <w:vAlign w:val="center"/>
          </w:tcPr>
          <w:p w14:paraId="3859DD1A">
            <w:pPr>
              <w:pStyle w:val="12"/>
            </w:pPr>
            <w:r>
              <w:t>冀财教【2024】103号</w:t>
            </w:r>
          </w:p>
        </w:tc>
      </w:tr>
      <w:tr w14:paraId="1A2A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85A3F">
            <w:pPr>
              <w:pStyle w:val="13"/>
            </w:pPr>
            <w:r>
              <w:t>满意度指标</w:t>
            </w:r>
          </w:p>
        </w:tc>
        <w:tc>
          <w:tcPr>
            <w:tcW w:w="2268" w:type="dxa"/>
            <w:vAlign w:val="center"/>
          </w:tcPr>
          <w:p w14:paraId="06EB0167">
            <w:pPr>
              <w:pStyle w:val="12"/>
            </w:pPr>
            <w:r>
              <w:t>服务对象满意度指标</w:t>
            </w:r>
          </w:p>
        </w:tc>
        <w:tc>
          <w:tcPr>
            <w:tcW w:w="2835" w:type="dxa"/>
            <w:vAlign w:val="center"/>
          </w:tcPr>
          <w:p w14:paraId="602B93AD">
            <w:pPr>
              <w:pStyle w:val="12"/>
            </w:pPr>
            <w:r>
              <w:t>提升幸福指数</w:t>
            </w:r>
          </w:p>
        </w:tc>
        <w:tc>
          <w:tcPr>
            <w:tcW w:w="5386" w:type="dxa"/>
            <w:vAlign w:val="center"/>
          </w:tcPr>
          <w:p w14:paraId="3A92BB56">
            <w:pPr>
              <w:pStyle w:val="12"/>
            </w:pPr>
            <w:r>
              <w:t>提升建档立卡贫困家庭学生幸福指数</w:t>
            </w:r>
          </w:p>
          <w:p w14:paraId="29D4EC49">
            <w:pPr>
              <w:pStyle w:val="12"/>
            </w:pPr>
            <w:r>
              <w:t>家长学生满意</w:t>
            </w:r>
          </w:p>
        </w:tc>
        <w:tc>
          <w:tcPr>
            <w:tcW w:w="2268" w:type="dxa"/>
            <w:vAlign w:val="center"/>
          </w:tcPr>
          <w:p w14:paraId="4950A33A">
            <w:pPr>
              <w:pStyle w:val="12"/>
            </w:pPr>
            <w:r>
              <w:t>≥98%</w:t>
            </w:r>
          </w:p>
        </w:tc>
        <w:tc>
          <w:tcPr>
            <w:tcW w:w="1276" w:type="dxa"/>
            <w:vAlign w:val="center"/>
          </w:tcPr>
          <w:p w14:paraId="168E616D">
            <w:pPr>
              <w:pStyle w:val="12"/>
            </w:pPr>
            <w:r>
              <w:t>调查问卷</w:t>
            </w:r>
          </w:p>
        </w:tc>
      </w:tr>
    </w:tbl>
    <w:p w14:paraId="0F456F2A">
      <w:pPr>
        <w:sectPr>
          <w:pgSz w:w="16840" w:h="11900" w:orient="landscape"/>
          <w:pgMar w:top="1361" w:right="1020" w:bottom="1134" w:left="1020" w:header="720" w:footer="720" w:gutter="0"/>
          <w:cols w:space="720" w:num="1"/>
        </w:sectPr>
      </w:pPr>
    </w:p>
    <w:p w14:paraId="76D87125">
      <w:pPr>
        <w:spacing w:before="0" w:after="0"/>
        <w:ind w:firstLine="560"/>
        <w:jc w:val="left"/>
        <w:outlineLvl w:val="9"/>
      </w:pPr>
      <w:r>
        <w:rPr>
          <w:rFonts w:ascii="方正仿宋_GBK" w:hAnsi="方正仿宋_GBK" w:eastAsia="方正仿宋_GBK" w:cs="方正仿宋_GBK"/>
          <w:b/>
          <w:color w:val="000000"/>
          <w:sz w:val="28"/>
        </w:rPr>
        <w:t>43、县级配套/资助/家庭经济困难学生生活补助（初中）绩效目标表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D5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7E983">
            <w:pPr>
              <w:pStyle w:val="11"/>
            </w:pPr>
            <w:r>
              <w:t>单位：万元</w:t>
            </w:r>
          </w:p>
        </w:tc>
      </w:tr>
      <w:tr w14:paraId="1AEE4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3C3C6">
            <w:pPr>
              <w:pStyle w:val="10"/>
            </w:pPr>
            <w:r>
              <w:t>项目编码</w:t>
            </w:r>
          </w:p>
        </w:tc>
        <w:tc>
          <w:tcPr>
            <w:tcW w:w="5103" w:type="dxa"/>
            <w:gridSpan w:val="2"/>
            <w:vAlign w:val="center"/>
          </w:tcPr>
          <w:p w14:paraId="07B7A739">
            <w:pPr>
              <w:pStyle w:val="12"/>
            </w:pPr>
            <w:r>
              <w:t>13052526P00001010009F</w:t>
            </w:r>
          </w:p>
        </w:tc>
        <w:tc>
          <w:tcPr>
            <w:tcW w:w="2835" w:type="dxa"/>
            <w:vAlign w:val="center"/>
          </w:tcPr>
          <w:p w14:paraId="3E76E21A">
            <w:pPr>
              <w:pStyle w:val="10"/>
            </w:pPr>
            <w:r>
              <w:t>项目名称</w:t>
            </w:r>
          </w:p>
        </w:tc>
        <w:tc>
          <w:tcPr>
            <w:tcW w:w="6095" w:type="dxa"/>
            <w:gridSpan w:val="3"/>
            <w:vAlign w:val="center"/>
          </w:tcPr>
          <w:p w14:paraId="7716FB1A">
            <w:pPr>
              <w:pStyle w:val="12"/>
            </w:pPr>
            <w:r>
              <w:t>县级配套/资助/家庭经济困难学生生活补助（初中）</w:t>
            </w:r>
          </w:p>
        </w:tc>
      </w:tr>
      <w:tr w14:paraId="7BDD9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A8728">
            <w:pPr>
              <w:pStyle w:val="10"/>
            </w:pPr>
            <w:r>
              <w:t>预算规模及资金用途</w:t>
            </w:r>
          </w:p>
        </w:tc>
        <w:tc>
          <w:tcPr>
            <w:tcW w:w="2268" w:type="dxa"/>
            <w:vAlign w:val="center"/>
          </w:tcPr>
          <w:p w14:paraId="4B6DE2F1">
            <w:pPr>
              <w:pStyle w:val="10"/>
            </w:pPr>
            <w:r>
              <w:t>预算数</w:t>
            </w:r>
          </w:p>
        </w:tc>
        <w:tc>
          <w:tcPr>
            <w:tcW w:w="2835" w:type="dxa"/>
            <w:vAlign w:val="center"/>
          </w:tcPr>
          <w:p w14:paraId="120B44D5">
            <w:pPr>
              <w:pStyle w:val="12"/>
            </w:pPr>
            <w:r>
              <w:t>90.02</w:t>
            </w:r>
          </w:p>
        </w:tc>
        <w:tc>
          <w:tcPr>
            <w:tcW w:w="2835" w:type="dxa"/>
            <w:vAlign w:val="center"/>
          </w:tcPr>
          <w:p w14:paraId="3E0A1F4D">
            <w:pPr>
              <w:pStyle w:val="10"/>
            </w:pPr>
            <w:r>
              <w:t>其中：财政    资金</w:t>
            </w:r>
          </w:p>
        </w:tc>
        <w:tc>
          <w:tcPr>
            <w:tcW w:w="2551" w:type="dxa"/>
            <w:vAlign w:val="center"/>
          </w:tcPr>
          <w:p w14:paraId="1BDF8CF4">
            <w:pPr>
              <w:pStyle w:val="12"/>
            </w:pPr>
            <w:r>
              <w:t>90.02</w:t>
            </w:r>
          </w:p>
        </w:tc>
        <w:tc>
          <w:tcPr>
            <w:tcW w:w="2268" w:type="dxa"/>
            <w:vAlign w:val="center"/>
          </w:tcPr>
          <w:p w14:paraId="7D8202B6">
            <w:pPr>
              <w:pStyle w:val="10"/>
            </w:pPr>
            <w:r>
              <w:t>其他资金</w:t>
            </w:r>
          </w:p>
        </w:tc>
        <w:tc>
          <w:tcPr>
            <w:tcW w:w="1276" w:type="dxa"/>
            <w:vAlign w:val="center"/>
          </w:tcPr>
          <w:p w14:paraId="0F86D4E7">
            <w:pPr>
              <w:pStyle w:val="12"/>
            </w:pPr>
            <w:r>
              <w:t xml:space="preserve"> </w:t>
            </w:r>
          </w:p>
        </w:tc>
      </w:tr>
      <w:tr w14:paraId="0D5EE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17979"/>
        </w:tc>
        <w:tc>
          <w:tcPr>
            <w:tcW w:w="14033" w:type="dxa"/>
            <w:gridSpan w:val="6"/>
            <w:vAlign w:val="center"/>
          </w:tcPr>
          <w:p w14:paraId="3C17643C">
            <w:pPr>
              <w:pStyle w:val="12"/>
            </w:pPr>
            <w:r>
              <w:t>保障落实建档立卡及家庭经济困难学生资助所需资金，确保建档立卡等家庭经济困难学生优先获得资助</w:t>
            </w:r>
            <w:r>
              <w:tab/>
            </w:r>
            <w:r>
              <w:tab/>
            </w:r>
            <w:r>
              <w:tab/>
            </w:r>
            <w:r>
              <w:tab/>
            </w:r>
            <w:r>
              <w:tab/>
            </w:r>
            <w:r>
              <w:tab/>
            </w:r>
          </w:p>
          <w:p w14:paraId="4D624C99">
            <w:pPr>
              <w:pStyle w:val="12"/>
            </w:pPr>
          </w:p>
        </w:tc>
      </w:tr>
      <w:tr w14:paraId="23FA8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00E2C">
            <w:pPr>
              <w:pStyle w:val="10"/>
            </w:pPr>
            <w:r>
              <w:t>资金支出计划（%）</w:t>
            </w:r>
          </w:p>
        </w:tc>
        <w:tc>
          <w:tcPr>
            <w:tcW w:w="5103" w:type="dxa"/>
            <w:gridSpan w:val="2"/>
            <w:vAlign w:val="center"/>
          </w:tcPr>
          <w:p w14:paraId="1589BAC8">
            <w:pPr>
              <w:pStyle w:val="10"/>
            </w:pPr>
            <w:r>
              <w:t>3月底</w:t>
            </w:r>
          </w:p>
        </w:tc>
        <w:tc>
          <w:tcPr>
            <w:tcW w:w="2835" w:type="dxa"/>
            <w:vAlign w:val="center"/>
          </w:tcPr>
          <w:p w14:paraId="02E13586">
            <w:pPr>
              <w:pStyle w:val="10"/>
            </w:pPr>
            <w:r>
              <w:t>6月底</w:t>
            </w:r>
          </w:p>
        </w:tc>
        <w:tc>
          <w:tcPr>
            <w:tcW w:w="2551" w:type="dxa"/>
            <w:vAlign w:val="center"/>
          </w:tcPr>
          <w:p w14:paraId="6B9ED026">
            <w:pPr>
              <w:pStyle w:val="10"/>
            </w:pPr>
            <w:r>
              <w:t>10月底</w:t>
            </w:r>
          </w:p>
        </w:tc>
        <w:tc>
          <w:tcPr>
            <w:tcW w:w="3544" w:type="dxa"/>
            <w:gridSpan w:val="2"/>
            <w:vAlign w:val="center"/>
          </w:tcPr>
          <w:p w14:paraId="04735622">
            <w:pPr>
              <w:pStyle w:val="10"/>
            </w:pPr>
            <w:r>
              <w:t>12月底</w:t>
            </w:r>
          </w:p>
        </w:tc>
      </w:tr>
      <w:tr w14:paraId="1D1AC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3E7BF"/>
        </w:tc>
        <w:tc>
          <w:tcPr>
            <w:tcW w:w="5103" w:type="dxa"/>
            <w:gridSpan w:val="2"/>
            <w:vAlign w:val="center"/>
          </w:tcPr>
          <w:p w14:paraId="12332728">
            <w:pPr>
              <w:pStyle w:val="13"/>
            </w:pPr>
            <w:r>
              <w:t>25%</w:t>
            </w:r>
          </w:p>
        </w:tc>
        <w:tc>
          <w:tcPr>
            <w:tcW w:w="2835" w:type="dxa"/>
            <w:vAlign w:val="center"/>
          </w:tcPr>
          <w:p w14:paraId="407C7733">
            <w:pPr>
              <w:pStyle w:val="13"/>
            </w:pPr>
            <w:r>
              <w:t>50%</w:t>
            </w:r>
          </w:p>
        </w:tc>
        <w:tc>
          <w:tcPr>
            <w:tcW w:w="2551" w:type="dxa"/>
            <w:vAlign w:val="center"/>
          </w:tcPr>
          <w:p w14:paraId="3BF02398">
            <w:pPr>
              <w:pStyle w:val="13"/>
            </w:pPr>
            <w:r>
              <w:t>75%</w:t>
            </w:r>
          </w:p>
        </w:tc>
        <w:tc>
          <w:tcPr>
            <w:tcW w:w="3544" w:type="dxa"/>
            <w:gridSpan w:val="2"/>
            <w:vAlign w:val="center"/>
          </w:tcPr>
          <w:p w14:paraId="047EEE63">
            <w:pPr>
              <w:pStyle w:val="13"/>
            </w:pPr>
            <w:r>
              <w:t>100%</w:t>
            </w:r>
          </w:p>
        </w:tc>
      </w:tr>
      <w:tr w14:paraId="38296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456AE">
            <w:pPr>
              <w:pStyle w:val="10"/>
            </w:pPr>
            <w:r>
              <w:t>绩效目标</w:t>
            </w:r>
          </w:p>
        </w:tc>
        <w:tc>
          <w:tcPr>
            <w:tcW w:w="14033" w:type="dxa"/>
            <w:gridSpan w:val="6"/>
            <w:vAlign w:val="center"/>
          </w:tcPr>
          <w:p w14:paraId="1937E507">
            <w:pPr>
              <w:pStyle w:val="12"/>
            </w:pPr>
            <w:r>
              <w:t>1.保障落实建档立卡及家庭经济困难学生资助所需资金，确保建档立卡等家庭经济困难学生优先获得资助</w:t>
            </w:r>
          </w:p>
        </w:tc>
      </w:tr>
    </w:tbl>
    <w:p w14:paraId="2B6581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2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EF4FC">
            <w:pPr>
              <w:pStyle w:val="10"/>
            </w:pPr>
            <w:r>
              <w:t>一级指标</w:t>
            </w:r>
          </w:p>
        </w:tc>
        <w:tc>
          <w:tcPr>
            <w:tcW w:w="2268" w:type="dxa"/>
            <w:vAlign w:val="center"/>
          </w:tcPr>
          <w:p w14:paraId="0EF67224">
            <w:pPr>
              <w:pStyle w:val="10"/>
            </w:pPr>
            <w:r>
              <w:t>二级指标</w:t>
            </w:r>
          </w:p>
        </w:tc>
        <w:tc>
          <w:tcPr>
            <w:tcW w:w="2835" w:type="dxa"/>
            <w:vAlign w:val="center"/>
          </w:tcPr>
          <w:p w14:paraId="0D960ADC">
            <w:pPr>
              <w:pStyle w:val="10"/>
            </w:pPr>
            <w:r>
              <w:t>三级指标</w:t>
            </w:r>
          </w:p>
        </w:tc>
        <w:tc>
          <w:tcPr>
            <w:tcW w:w="5386" w:type="dxa"/>
            <w:vAlign w:val="center"/>
          </w:tcPr>
          <w:p w14:paraId="20746333">
            <w:pPr>
              <w:pStyle w:val="10"/>
            </w:pPr>
            <w:r>
              <w:t>绩效指标描述</w:t>
            </w:r>
          </w:p>
        </w:tc>
        <w:tc>
          <w:tcPr>
            <w:tcW w:w="2268" w:type="dxa"/>
            <w:vAlign w:val="center"/>
          </w:tcPr>
          <w:p w14:paraId="58722B36">
            <w:pPr>
              <w:pStyle w:val="10"/>
            </w:pPr>
            <w:r>
              <w:t>指标值</w:t>
            </w:r>
          </w:p>
        </w:tc>
        <w:tc>
          <w:tcPr>
            <w:tcW w:w="1276" w:type="dxa"/>
            <w:vAlign w:val="center"/>
          </w:tcPr>
          <w:p w14:paraId="58D2832A">
            <w:pPr>
              <w:pStyle w:val="10"/>
            </w:pPr>
            <w:r>
              <w:t>指标值确定依据</w:t>
            </w:r>
          </w:p>
        </w:tc>
      </w:tr>
      <w:tr w14:paraId="234A6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E2726">
            <w:pPr>
              <w:pStyle w:val="13"/>
            </w:pPr>
            <w:r>
              <w:t>产出指标</w:t>
            </w:r>
          </w:p>
        </w:tc>
        <w:tc>
          <w:tcPr>
            <w:tcW w:w="2268" w:type="dxa"/>
            <w:vAlign w:val="center"/>
          </w:tcPr>
          <w:p w14:paraId="241272E9">
            <w:pPr>
              <w:pStyle w:val="12"/>
            </w:pPr>
            <w:r>
              <w:t>数量指标</w:t>
            </w:r>
          </w:p>
        </w:tc>
        <w:tc>
          <w:tcPr>
            <w:tcW w:w="2835" w:type="dxa"/>
            <w:vAlign w:val="center"/>
          </w:tcPr>
          <w:p w14:paraId="661B91DE">
            <w:pPr>
              <w:pStyle w:val="12"/>
            </w:pPr>
            <w:r>
              <w:t>家庭经济困难资助比例</w:t>
            </w:r>
          </w:p>
        </w:tc>
        <w:tc>
          <w:tcPr>
            <w:tcW w:w="5386" w:type="dxa"/>
            <w:vAlign w:val="center"/>
          </w:tcPr>
          <w:p w14:paraId="1B559ADF">
            <w:pPr>
              <w:pStyle w:val="12"/>
            </w:pPr>
            <w:r>
              <w:t>寄宿生按义教在校生15%测算3000，非寄宿生按义教在校生3%测算10人</w:t>
            </w:r>
          </w:p>
        </w:tc>
        <w:tc>
          <w:tcPr>
            <w:tcW w:w="2268" w:type="dxa"/>
            <w:vAlign w:val="center"/>
          </w:tcPr>
          <w:p w14:paraId="0F36EA1E">
            <w:pPr>
              <w:pStyle w:val="12"/>
            </w:pPr>
            <w:r>
              <w:t>3010人</w:t>
            </w:r>
          </w:p>
        </w:tc>
        <w:tc>
          <w:tcPr>
            <w:tcW w:w="1276" w:type="dxa"/>
            <w:vAlign w:val="center"/>
          </w:tcPr>
          <w:p w14:paraId="4769D8C1">
            <w:pPr>
              <w:pStyle w:val="12"/>
            </w:pPr>
            <w:r>
              <w:t>城乡义务教育“两免一补”资助实施细则</w:t>
            </w:r>
          </w:p>
        </w:tc>
      </w:tr>
      <w:tr w14:paraId="12EF0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760B3"/>
        </w:tc>
        <w:tc>
          <w:tcPr>
            <w:tcW w:w="2268" w:type="dxa"/>
            <w:vAlign w:val="center"/>
          </w:tcPr>
          <w:p w14:paraId="16BB1050">
            <w:pPr>
              <w:pStyle w:val="12"/>
            </w:pPr>
            <w:r>
              <w:t>质量指标</w:t>
            </w:r>
          </w:p>
        </w:tc>
        <w:tc>
          <w:tcPr>
            <w:tcW w:w="2835" w:type="dxa"/>
            <w:vAlign w:val="center"/>
          </w:tcPr>
          <w:p w14:paraId="07C49ED5">
            <w:pPr>
              <w:pStyle w:val="12"/>
            </w:pPr>
            <w:r>
              <w:t>义务教育资助制度落实情况</w:t>
            </w:r>
          </w:p>
        </w:tc>
        <w:tc>
          <w:tcPr>
            <w:tcW w:w="5386" w:type="dxa"/>
            <w:vAlign w:val="center"/>
          </w:tcPr>
          <w:p w14:paraId="63B12392">
            <w:pPr>
              <w:pStyle w:val="12"/>
            </w:pPr>
            <w:r>
              <w:t>符合享受资助条件的学生应助尽助</w:t>
            </w:r>
          </w:p>
        </w:tc>
        <w:tc>
          <w:tcPr>
            <w:tcW w:w="2268" w:type="dxa"/>
            <w:vAlign w:val="center"/>
          </w:tcPr>
          <w:p w14:paraId="6595D332">
            <w:pPr>
              <w:pStyle w:val="12"/>
            </w:pPr>
            <w:r>
              <w:t>100%</w:t>
            </w:r>
          </w:p>
        </w:tc>
        <w:tc>
          <w:tcPr>
            <w:tcW w:w="1276" w:type="dxa"/>
            <w:vAlign w:val="center"/>
          </w:tcPr>
          <w:p w14:paraId="352BE96D">
            <w:pPr>
              <w:pStyle w:val="12"/>
            </w:pPr>
            <w:r>
              <w:t>城乡义务教育“两免一补”资助实施细则</w:t>
            </w:r>
          </w:p>
        </w:tc>
      </w:tr>
      <w:tr w14:paraId="1548B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E174"/>
        </w:tc>
        <w:tc>
          <w:tcPr>
            <w:tcW w:w="2268" w:type="dxa"/>
            <w:vAlign w:val="center"/>
          </w:tcPr>
          <w:p w14:paraId="4EE1ABB1">
            <w:pPr>
              <w:pStyle w:val="12"/>
            </w:pPr>
            <w:r>
              <w:t>时效指标</w:t>
            </w:r>
          </w:p>
        </w:tc>
        <w:tc>
          <w:tcPr>
            <w:tcW w:w="2835" w:type="dxa"/>
            <w:vAlign w:val="center"/>
          </w:tcPr>
          <w:p w14:paraId="432DC5D2">
            <w:pPr>
              <w:pStyle w:val="12"/>
            </w:pPr>
            <w:r>
              <w:t>资金拨付率</w:t>
            </w:r>
          </w:p>
        </w:tc>
        <w:tc>
          <w:tcPr>
            <w:tcW w:w="5386" w:type="dxa"/>
            <w:vAlign w:val="center"/>
          </w:tcPr>
          <w:p w14:paraId="11629916">
            <w:pPr>
              <w:pStyle w:val="12"/>
            </w:pPr>
            <w:r>
              <w:t>所有项目资金支付进度</w:t>
            </w:r>
          </w:p>
        </w:tc>
        <w:tc>
          <w:tcPr>
            <w:tcW w:w="2268" w:type="dxa"/>
            <w:vAlign w:val="center"/>
          </w:tcPr>
          <w:p w14:paraId="387B4863">
            <w:pPr>
              <w:pStyle w:val="12"/>
            </w:pPr>
            <w:r>
              <w:t>100%</w:t>
            </w:r>
          </w:p>
        </w:tc>
        <w:tc>
          <w:tcPr>
            <w:tcW w:w="1276" w:type="dxa"/>
            <w:vAlign w:val="center"/>
          </w:tcPr>
          <w:p w14:paraId="66840639">
            <w:pPr>
              <w:pStyle w:val="12"/>
            </w:pPr>
            <w:r>
              <w:t>城乡义务教育“两免一补”资助实施细则</w:t>
            </w:r>
          </w:p>
        </w:tc>
      </w:tr>
      <w:tr w14:paraId="765B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05AD0"/>
        </w:tc>
        <w:tc>
          <w:tcPr>
            <w:tcW w:w="2268" w:type="dxa"/>
            <w:vAlign w:val="center"/>
          </w:tcPr>
          <w:p w14:paraId="31E04BBC">
            <w:pPr>
              <w:pStyle w:val="12"/>
            </w:pPr>
            <w:r>
              <w:t>成本指标</w:t>
            </w:r>
          </w:p>
        </w:tc>
        <w:tc>
          <w:tcPr>
            <w:tcW w:w="2835" w:type="dxa"/>
            <w:vAlign w:val="center"/>
          </w:tcPr>
          <w:p w14:paraId="155D1A94">
            <w:pPr>
              <w:pStyle w:val="12"/>
            </w:pPr>
            <w:r>
              <w:t>家庭经济困难寄宿及非</w:t>
            </w:r>
            <w:r>
              <w:rPr>
                <w:rFonts w:hint="eastAsia"/>
                <w:lang w:eastAsia="zh-CN"/>
              </w:rPr>
              <w:t>寄宿</w:t>
            </w:r>
            <w:r>
              <w:t>类学生补助标准</w:t>
            </w:r>
          </w:p>
        </w:tc>
        <w:tc>
          <w:tcPr>
            <w:tcW w:w="5386" w:type="dxa"/>
            <w:vAlign w:val="center"/>
          </w:tcPr>
          <w:p w14:paraId="5022AB4F">
            <w:pPr>
              <w:pStyle w:val="12"/>
            </w:pPr>
            <w:r>
              <w:t>初中寄宿：标准1500元/生/学年，初中非寄宿：标准750元/生/学年</w:t>
            </w:r>
          </w:p>
        </w:tc>
        <w:tc>
          <w:tcPr>
            <w:tcW w:w="2268" w:type="dxa"/>
            <w:vAlign w:val="center"/>
          </w:tcPr>
          <w:p w14:paraId="278EED52">
            <w:pPr>
              <w:pStyle w:val="12"/>
            </w:pPr>
            <w:r>
              <w:t>900152元</w:t>
            </w:r>
          </w:p>
        </w:tc>
        <w:tc>
          <w:tcPr>
            <w:tcW w:w="1276" w:type="dxa"/>
            <w:vAlign w:val="center"/>
          </w:tcPr>
          <w:p w14:paraId="32B43DAE">
            <w:pPr>
              <w:pStyle w:val="12"/>
            </w:pPr>
            <w:r>
              <w:t>城乡义务教育“两免一补”资助实施细则</w:t>
            </w:r>
          </w:p>
        </w:tc>
      </w:tr>
      <w:tr w14:paraId="20A15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5BC10">
            <w:pPr>
              <w:pStyle w:val="13"/>
            </w:pPr>
            <w:r>
              <w:t>效益指标</w:t>
            </w:r>
          </w:p>
        </w:tc>
        <w:tc>
          <w:tcPr>
            <w:tcW w:w="2268" w:type="dxa"/>
            <w:vAlign w:val="center"/>
          </w:tcPr>
          <w:p w14:paraId="7F7907E0">
            <w:pPr>
              <w:pStyle w:val="12"/>
            </w:pPr>
            <w:r>
              <w:t>可持续影响指标</w:t>
            </w:r>
          </w:p>
        </w:tc>
        <w:tc>
          <w:tcPr>
            <w:tcW w:w="2835" w:type="dxa"/>
            <w:vAlign w:val="center"/>
          </w:tcPr>
          <w:p w14:paraId="63766D04">
            <w:pPr>
              <w:pStyle w:val="12"/>
            </w:pPr>
            <w:r>
              <w:t>教育发展水平明显好转</w:t>
            </w:r>
          </w:p>
        </w:tc>
        <w:tc>
          <w:tcPr>
            <w:tcW w:w="5386" w:type="dxa"/>
            <w:vAlign w:val="center"/>
          </w:tcPr>
          <w:p w14:paraId="14632617">
            <w:pPr>
              <w:pStyle w:val="12"/>
            </w:pPr>
            <w:r>
              <w:t>学生受教育年限</w:t>
            </w:r>
          </w:p>
        </w:tc>
        <w:tc>
          <w:tcPr>
            <w:tcW w:w="2268" w:type="dxa"/>
            <w:vAlign w:val="center"/>
          </w:tcPr>
          <w:p w14:paraId="6D3CCFE9">
            <w:pPr>
              <w:pStyle w:val="12"/>
            </w:pPr>
            <w:r>
              <w:t>3年</w:t>
            </w:r>
          </w:p>
        </w:tc>
        <w:tc>
          <w:tcPr>
            <w:tcW w:w="1276" w:type="dxa"/>
            <w:vAlign w:val="center"/>
          </w:tcPr>
          <w:p w14:paraId="232362D6">
            <w:pPr>
              <w:pStyle w:val="12"/>
            </w:pPr>
            <w:r>
              <w:t>城乡义务教育“两免一补”资助实施细则</w:t>
            </w:r>
          </w:p>
        </w:tc>
      </w:tr>
      <w:tr w14:paraId="36EB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CD2A5">
            <w:pPr>
              <w:pStyle w:val="13"/>
            </w:pPr>
            <w:r>
              <w:t>满意度指标</w:t>
            </w:r>
          </w:p>
        </w:tc>
        <w:tc>
          <w:tcPr>
            <w:tcW w:w="2268" w:type="dxa"/>
            <w:vAlign w:val="center"/>
          </w:tcPr>
          <w:p w14:paraId="6B0E999A">
            <w:pPr>
              <w:pStyle w:val="12"/>
            </w:pPr>
            <w:r>
              <w:t>服务对象满意度指标</w:t>
            </w:r>
          </w:p>
        </w:tc>
        <w:tc>
          <w:tcPr>
            <w:tcW w:w="2835" w:type="dxa"/>
            <w:vAlign w:val="center"/>
          </w:tcPr>
          <w:p w14:paraId="743EEC87">
            <w:pPr>
              <w:pStyle w:val="12"/>
            </w:pPr>
            <w:r>
              <w:t>受益学生家长及调查满意度</w:t>
            </w:r>
          </w:p>
        </w:tc>
        <w:tc>
          <w:tcPr>
            <w:tcW w:w="5386" w:type="dxa"/>
            <w:vAlign w:val="center"/>
          </w:tcPr>
          <w:p w14:paraId="7ABEE27C">
            <w:pPr>
              <w:pStyle w:val="12"/>
            </w:pPr>
            <w:r>
              <w:t>学生、教师及家长对学校保教保育工作满意度情况</w:t>
            </w:r>
          </w:p>
        </w:tc>
        <w:tc>
          <w:tcPr>
            <w:tcW w:w="2268" w:type="dxa"/>
            <w:vAlign w:val="center"/>
          </w:tcPr>
          <w:p w14:paraId="73DCA6F0">
            <w:pPr>
              <w:pStyle w:val="12"/>
            </w:pPr>
            <w:r>
              <w:t>≥95%</w:t>
            </w:r>
          </w:p>
        </w:tc>
        <w:tc>
          <w:tcPr>
            <w:tcW w:w="1276" w:type="dxa"/>
            <w:vAlign w:val="center"/>
          </w:tcPr>
          <w:p w14:paraId="0FCD100D">
            <w:pPr>
              <w:pStyle w:val="12"/>
            </w:pPr>
            <w:r>
              <w:t>调查问卷</w:t>
            </w:r>
          </w:p>
        </w:tc>
      </w:tr>
    </w:tbl>
    <w:p w14:paraId="23197843">
      <w:pPr>
        <w:sectPr>
          <w:pgSz w:w="16840" w:h="11900" w:orient="landscape"/>
          <w:pgMar w:top="1361" w:right="1020" w:bottom="1134" w:left="1020" w:header="720" w:footer="720" w:gutter="0"/>
          <w:cols w:space="720" w:num="1"/>
        </w:sectPr>
      </w:pPr>
    </w:p>
    <w:p w14:paraId="696367CD">
      <w:pPr>
        <w:spacing w:before="0" w:after="0"/>
        <w:ind w:firstLine="560"/>
        <w:jc w:val="left"/>
        <w:outlineLvl w:val="9"/>
      </w:pPr>
      <w:r>
        <w:rPr>
          <w:rFonts w:ascii="方正仿宋_GBK" w:hAnsi="方正仿宋_GBK" w:eastAsia="方正仿宋_GBK" w:cs="方正仿宋_GBK"/>
          <w:b/>
          <w:color w:val="000000"/>
          <w:sz w:val="28"/>
        </w:rPr>
        <w:t>44、县级配套/资助/家庭经济困难学生生活补助（小学）绩效目标表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D4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6703A">
            <w:pPr>
              <w:pStyle w:val="11"/>
            </w:pPr>
            <w:r>
              <w:t>单位：万元</w:t>
            </w:r>
          </w:p>
        </w:tc>
      </w:tr>
      <w:tr w14:paraId="1A766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93EB3">
            <w:pPr>
              <w:pStyle w:val="10"/>
            </w:pPr>
            <w:r>
              <w:t>项目编码</w:t>
            </w:r>
          </w:p>
        </w:tc>
        <w:tc>
          <w:tcPr>
            <w:tcW w:w="5103" w:type="dxa"/>
            <w:gridSpan w:val="2"/>
            <w:vAlign w:val="center"/>
          </w:tcPr>
          <w:p w14:paraId="3782777F">
            <w:pPr>
              <w:pStyle w:val="12"/>
            </w:pPr>
            <w:r>
              <w:t>13052526P00001010008U</w:t>
            </w:r>
          </w:p>
        </w:tc>
        <w:tc>
          <w:tcPr>
            <w:tcW w:w="2835" w:type="dxa"/>
            <w:vAlign w:val="center"/>
          </w:tcPr>
          <w:p w14:paraId="32B1134C">
            <w:pPr>
              <w:pStyle w:val="10"/>
            </w:pPr>
            <w:r>
              <w:t>项目名称</w:t>
            </w:r>
          </w:p>
        </w:tc>
        <w:tc>
          <w:tcPr>
            <w:tcW w:w="6095" w:type="dxa"/>
            <w:gridSpan w:val="3"/>
            <w:vAlign w:val="center"/>
          </w:tcPr>
          <w:p w14:paraId="385FF18B">
            <w:pPr>
              <w:pStyle w:val="12"/>
            </w:pPr>
            <w:r>
              <w:t>县级配套/资助/家庭经济困难学生生活补助（小学）</w:t>
            </w:r>
          </w:p>
        </w:tc>
      </w:tr>
      <w:tr w14:paraId="3D9E9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12850">
            <w:pPr>
              <w:pStyle w:val="10"/>
            </w:pPr>
            <w:r>
              <w:t>预算规模及资金用途</w:t>
            </w:r>
          </w:p>
        </w:tc>
        <w:tc>
          <w:tcPr>
            <w:tcW w:w="2268" w:type="dxa"/>
            <w:vAlign w:val="center"/>
          </w:tcPr>
          <w:p w14:paraId="3C8FC95B">
            <w:pPr>
              <w:pStyle w:val="10"/>
            </w:pPr>
            <w:r>
              <w:t>预算数</w:t>
            </w:r>
          </w:p>
        </w:tc>
        <w:tc>
          <w:tcPr>
            <w:tcW w:w="2835" w:type="dxa"/>
            <w:vAlign w:val="center"/>
          </w:tcPr>
          <w:p w14:paraId="01E84A33">
            <w:pPr>
              <w:pStyle w:val="12"/>
            </w:pPr>
            <w:r>
              <w:t>53.80</w:t>
            </w:r>
          </w:p>
        </w:tc>
        <w:tc>
          <w:tcPr>
            <w:tcW w:w="2835" w:type="dxa"/>
            <w:vAlign w:val="center"/>
          </w:tcPr>
          <w:p w14:paraId="3A20EDA8">
            <w:pPr>
              <w:pStyle w:val="10"/>
            </w:pPr>
            <w:r>
              <w:t>其中：财政    资金</w:t>
            </w:r>
          </w:p>
        </w:tc>
        <w:tc>
          <w:tcPr>
            <w:tcW w:w="2551" w:type="dxa"/>
            <w:vAlign w:val="center"/>
          </w:tcPr>
          <w:p w14:paraId="26C68F7F">
            <w:pPr>
              <w:pStyle w:val="12"/>
            </w:pPr>
            <w:r>
              <w:t>53.80</w:t>
            </w:r>
          </w:p>
        </w:tc>
        <w:tc>
          <w:tcPr>
            <w:tcW w:w="2268" w:type="dxa"/>
            <w:vAlign w:val="center"/>
          </w:tcPr>
          <w:p w14:paraId="1E7D1D44">
            <w:pPr>
              <w:pStyle w:val="10"/>
            </w:pPr>
            <w:r>
              <w:t>其他资金</w:t>
            </w:r>
          </w:p>
        </w:tc>
        <w:tc>
          <w:tcPr>
            <w:tcW w:w="1276" w:type="dxa"/>
            <w:vAlign w:val="center"/>
          </w:tcPr>
          <w:p w14:paraId="60B51C7C">
            <w:pPr>
              <w:pStyle w:val="12"/>
            </w:pPr>
            <w:r>
              <w:t xml:space="preserve"> </w:t>
            </w:r>
          </w:p>
        </w:tc>
      </w:tr>
      <w:tr w14:paraId="238E8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77BD8"/>
        </w:tc>
        <w:tc>
          <w:tcPr>
            <w:tcW w:w="14033" w:type="dxa"/>
            <w:gridSpan w:val="6"/>
            <w:vAlign w:val="center"/>
          </w:tcPr>
          <w:p w14:paraId="2C0BCABC">
            <w:pPr>
              <w:pStyle w:val="12"/>
            </w:pPr>
            <w:r>
              <w:t>保障落实建档立卡及家庭经济困难学生资助所需资金，确保建档立卡等家庭经济困难学生优先获得资助</w:t>
            </w:r>
            <w:r>
              <w:rPr>
                <w:rFonts w:hint="eastAsia"/>
                <w:lang w:eastAsia="zh-CN"/>
              </w:rPr>
              <w:t>。</w:t>
            </w:r>
          </w:p>
        </w:tc>
      </w:tr>
      <w:tr w14:paraId="44A1E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2929D">
            <w:pPr>
              <w:pStyle w:val="10"/>
            </w:pPr>
            <w:r>
              <w:t>资金支出计划（%）</w:t>
            </w:r>
          </w:p>
        </w:tc>
        <w:tc>
          <w:tcPr>
            <w:tcW w:w="5103" w:type="dxa"/>
            <w:gridSpan w:val="2"/>
            <w:vAlign w:val="center"/>
          </w:tcPr>
          <w:p w14:paraId="2C68E6FF">
            <w:pPr>
              <w:pStyle w:val="10"/>
            </w:pPr>
            <w:r>
              <w:t>3月底</w:t>
            </w:r>
          </w:p>
        </w:tc>
        <w:tc>
          <w:tcPr>
            <w:tcW w:w="2835" w:type="dxa"/>
            <w:vAlign w:val="center"/>
          </w:tcPr>
          <w:p w14:paraId="19460098">
            <w:pPr>
              <w:pStyle w:val="10"/>
            </w:pPr>
            <w:r>
              <w:t>6月底</w:t>
            </w:r>
          </w:p>
        </w:tc>
        <w:tc>
          <w:tcPr>
            <w:tcW w:w="2551" w:type="dxa"/>
            <w:vAlign w:val="center"/>
          </w:tcPr>
          <w:p w14:paraId="69F7F7DC">
            <w:pPr>
              <w:pStyle w:val="10"/>
            </w:pPr>
            <w:r>
              <w:t>10月底</w:t>
            </w:r>
          </w:p>
        </w:tc>
        <w:tc>
          <w:tcPr>
            <w:tcW w:w="3544" w:type="dxa"/>
            <w:gridSpan w:val="2"/>
            <w:vAlign w:val="center"/>
          </w:tcPr>
          <w:p w14:paraId="1A4BC264">
            <w:pPr>
              <w:pStyle w:val="10"/>
            </w:pPr>
            <w:r>
              <w:t>12月底</w:t>
            </w:r>
          </w:p>
        </w:tc>
      </w:tr>
      <w:tr w14:paraId="26BC7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446EC"/>
        </w:tc>
        <w:tc>
          <w:tcPr>
            <w:tcW w:w="5103" w:type="dxa"/>
            <w:gridSpan w:val="2"/>
            <w:vAlign w:val="center"/>
          </w:tcPr>
          <w:p w14:paraId="68679AFA">
            <w:pPr>
              <w:pStyle w:val="13"/>
            </w:pPr>
            <w:r>
              <w:t>25%</w:t>
            </w:r>
          </w:p>
        </w:tc>
        <w:tc>
          <w:tcPr>
            <w:tcW w:w="2835" w:type="dxa"/>
            <w:vAlign w:val="center"/>
          </w:tcPr>
          <w:p w14:paraId="77E930D0">
            <w:pPr>
              <w:pStyle w:val="13"/>
            </w:pPr>
            <w:r>
              <w:t>50%</w:t>
            </w:r>
          </w:p>
        </w:tc>
        <w:tc>
          <w:tcPr>
            <w:tcW w:w="2551" w:type="dxa"/>
            <w:vAlign w:val="center"/>
          </w:tcPr>
          <w:p w14:paraId="71FBA629">
            <w:pPr>
              <w:pStyle w:val="13"/>
            </w:pPr>
            <w:r>
              <w:t>75%</w:t>
            </w:r>
          </w:p>
        </w:tc>
        <w:tc>
          <w:tcPr>
            <w:tcW w:w="3544" w:type="dxa"/>
            <w:gridSpan w:val="2"/>
            <w:vAlign w:val="center"/>
          </w:tcPr>
          <w:p w14:paraId="0486D4C4">
            <w:pPr>
              <w:pStyle w:val="13"/>
            </w:pPr>
            <w:r>
              <w:t>100%</w:t>
            </w:r>
          </w:p>
        </w:tc>
      </w:tr>
      <w:tr w14:paraId="404D3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59A47">
            <w:pPr>
              <w:pStyle w:val="10"/>
            </w:pPr>
            <w:r>
              <w:t>绩效目标</w:t>
            </w:r>
          </w:p>
        </w:tc>
        <w:tc>
          <w:tcPr>
            <w:tcW w:w="14033" w:type="dxa"/>
            <w:gridSpan w:val="6"/>
            <w:vAlign w:val="center"/>
          </w:tcPr>
          <w:p w14:paraId="54ED5DB7">
            <w:pPr>
              <w:pStyle w:val="12"/>
            </w:pPr>
            <w:r>
              <w:t>1.保障落实建档立卡及家庭经济困难学生资助所需资金，确保建档立卡等家庭经济困难学生优先获得资助</w:t>
            </w:r>
            <w:r>
              <w:rPr>
                <w:rFonts w:hint="eastAsia"/>
                <w:lang w:eastAsia="zh-CN"/>
              </w:rPr>
              <w:t>。</w:t>
            </w:r>
          </w:p>
        </w:tc>
      </w:tr>
    </w:tbl>
    <w:p w14:paraId="13B29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5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555D6">
            <w:pPr>
              <w:pStyle w:val="10"/>
            </w:pPr>
            <w:r>
              <w:t>一级指标</w:t>
            </w:r>
          </w:p>
        </w:tc>
        <w:tc>
          <w:tcPr>
            <w:tcW w:w="2268" w:type="dxa"/>
            <w:vAlign w:val="center"/>
          </w:tcPr>
          <w:p w14:paraId="7CD5E0A3">
            <w:pPr>
              <w:pStyle w:val="10"/>
            </w:pPr>
            <w:r>
              <w:t>二级指标</w:t>
            </w:r>
          </w:p>
        </w:tc>
        <w:tc>
          <w:tcPr>
            <w:tcW w:w="2835" w:type="dxa"/>
            <w:vAlign w:val="center"/>
          </w:tcPr>
          <w:p w14:paraId="3057CDD6">
            <w:pPr>
              <w:pStyle w:val="10"/>
            </w:pPr>
            <w:r>
              <w:t>三级指标</w:t>
            </w:r>
          </w:p>
        </w:tc>
        <w:tc>
          <w:tcPr>
            <w:tcW w:w="5386" w:type="dxa"/>
            <w:vAlign w:val="center"/>
          </w:tcPr>
          <w:p w14:paraId="1240EB8D">
            <w:pPr>
              <w:pStyle w:val="10"/>
            </w:pPr>
            <w:r>
              <w:t>绩效指标描述</w:t>
            </w:r>
          </w:p>
        </w:tc>
        <w:tc>
          <w:tcPr>
            <w:tcW w:w="2268" w:type="dxa"/>
            <w:vAlign w:val="center"/>
          </w:tcPr>
          <w:p w14:paraId="4A7ED5C1">
            <w:pPr>
              <w:pStyle w:val="10"/>
            </w:pPr>
            <w:r>
              <w:t>指标值</w:t>
            </w:r>
          </w:p>
        </w:tc>
        <w:tc>
          <w:tcPr>
            <w:tcW w:w="1276" w:type="dxa"/>
            <w:vAlign w:val="center"/>
          </w:tcPr>
          <w:p w14:paraId="60BBA2D4">
            <w:pPr>
              <w:pStyle w:val="10"/>
            </w:pPr>
            <w:r>
              <w:t>指标值确定依据</w:t>
            </w:r>
          </w:p>
        </w:tc>
      </w:tr>
      <w:tr w14:paraId="78DC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4E7AD">
            <w:pPr>
              <w:pStyle w:val="13"/>
            </w:pPr>
            <w:r>
              <w:t>产出指标</w:t>
            </w:r>
          </w:p>
        </w:tc>
        <w:tc>
          <w:tcPr>
            <w:tcW w:w="2268" w:type="dxa"/>
            <w:vAlign w:val="center"/>
          </w:tcPr>
          <w:p w14:paraId="53A88564">
            <w:pPr>
              <w:pStyle w:val="12"/>
            </w:pPr>
            <w:r>
              <w:t>数量指标</w:t>
            </w:r>
          </w:p>
        </w:tc>
        <w:tc>
          <w:tcPr>
            <w:tcW w:w="2835" w:type="dxa"/>
            <w:vAlign w:val="center"/>
          </w:tcPr>
          <w:p w14:paraId="5F113ED3">
            <w:pPr>
              <w:pStyle w:val="12"/>
            </w:pPr>
            <w:r>
              <w:t>家庭经济困难资助比例</w:t>
            </w:r>
          </w:p>
        </w:tc>
        <w:tc>
          <w:tcPr>
            <w:tcW w:w="5386" w:type="dxa"/>
            <w:vAlign w:val="center"/>
          </w:tcPr>
          <w:p w14:paraId="6A03F757">
            <w:pPr>
              <w:pStyle w:val="12"/>
            </w:pPr>
            <w:r>
              <w:t>寄宿生按义教在校生15%测算，1688人，非寄宿生按义教在校生3%测算，928人</w:t>
            </w:r>
          </w:p>
        </w:tc>
        <w:tc>
          <w:tcPr>
            <w:tcW w:w="2268" w:type="dxa"/>
            <w:vAlign w:val="center"/>
          </w:tcPr>
          <w:p w14:paraId="5FF07473">
            <w:pPr>
              <w:pStyle w:val="12"/>
            </w:pPr>
            <w:r>
              <w:t>2616人</w:t>
            </w:r>
          </w:p>
        </w:tc>
        <w:tc>
          <w:tcPr>
            <w:tcW w:w="1276" w:type="dxa"/>
            <w:vAlign w:val="center"/>
          </w:tcPr>
          <w:p w14:paraId="51108186">
            <w:pPr>
              <w:pStyle w:val="12"/>
            </w:pPr>
            <w:r>
              <w:t>城乡义务教育“两免一补”资助实施细则</w:t>
            </w:r>
          </w:p>
        </w:tc>
      </w:tr>
      <w:tr w14:paraId="7568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A8F0D"/>
        </w:tc>
        <w:tc>
          <w:tcPr>
            <w:tcW w:w="2268" w:type="dxa"/>
            <w:vAlign w:val="center"/>
          </w:tcPr>
          <w:p w14:paraId="6704C503">
            <w:pPr>
              <w:pStyle w:val="12"/>
            </w:pPr>
            <w:r>
              <w:t>质量指标</w:t>
            </w:r>
          </w:p>
        </w:tc>
        <w:tc>
          <w:tcPr>
            <w:tcW w:w="2835" w:type="dxa"/>
            <w:vAlign w:val="center"/>
          </w:tcPr>
          <w:p w14:paraId="3B7C7D83">
            <w:pPr>
              <w:pStyle w:val="12"/>
            </w:pPr>
            <w:r>
              <w:t>义务教育资助制度落实情况</w:t>
            </w:r>
          </w:p>
        </w:tc>
        <w:tc>
          <w:tcPr>
            <w:tcW w:w="5386" w:type="dxa"/>
            <w:vAlign w:val="center"/>
          </w:tcPr>
          <w:p w14:paraId="78C94F40">
            <w:pPr>
              <w:pStyle w:val="12"/>
            </w:pPr>
            <w:r>
              <w:t>符合享受资助条件的学生应助尽助</w:t>
            </w:r>
          </w:p>
        </w:tc>
        <w:tc>
          <w:tcPr>
            <w:tcW w:w="2268" w:type="dxa"/>
            <w:vAlign w:val="center"/>
          </w:tcPr>
          <w:p w14:paraId="47009350">
            <w:pPr>
              <w:pStyle w:val="12"/>
            </w:pPr>
            <w:r>
              <w:t>100%</w:t>
            </w:r>
          </w:p>
        </w:tc>
        <w:tc>
          <w:tcPr>
            <w:tcW w:w="1276" w:type="dxa"/>
            <w:vAlign w:val="center"/>
          </w:tcPr>
          <w:p w14:paraId="1CF1DE5D">
            <w:pPr>
              <w:pStyle w:val="12"/>
            </w:pPr>
            <w:r>
              <w:t>城乡义务教育“两免一补”资助实施细则</w:t>
            </w:r>
          </w:p>
        </w:tc>
      </w:tr>
      <w:tr w14:paraId="6605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0C005"/>
        </w:tc>
        <w:tc>
          <w:tcPr>
            <w:tcW w:w="2268" w:type="dxa"/>
            <w:vAlign w:val="center"/>
          </w:tcPr>
          <w:p w14:paraId="0DA4FB7B">
            <w:pPr>
              <w:pStyle w:val="12"/>
            </w:pPr>
            <w:r>
              <w:t>时效指标</w:t>
            </w:r>
          </w:p>
        </w:tc>
        <w:tc>
          <w:tcPr>
            <w:tcW w:w="2835" w:type="dxa"/>
            <w:vAlign w:val="center"/>
          </w:tcPr>
          <w:p w14:paraId="416609E6">
            <w:pPr>
              <w:pStyle w:val="12"/>
            </w:pPr>
            <w:r>
              <w:t>资金拨付率</w:t>
            </w:r>
          </w:p>
        </w:tc>
        <w:tc>
          <w:tcPr>
            <w:tcW w:w="5386" w:type="dxa"/>
            <w:vAlign w:val="center"/>
          </w:tcPr>
          <w:p w14:paraId="21F3D686">
            <w:pPr>
              <w:pStyle w:val="12"/>
            </w:pPr>
            <w:r>
              <w:t>所有项目资金支付进度</w:t>
            </w:r>
          </w:p>
        </w:tc>
        <w:tc>
          <w:tcPr>
            <w:tcW w:w="2268" w:type="dxa"/>
            <w:vAlign w:val="center"/>
          </w:tcPr>
          <w:p w14:paraId="1F501296">
            <w:pPr>
              <w:pStyle w:val="12"/>
            </w:pPr>
            <w:r>
              <w:t>100%</w:t>
            </w:r>
          </w:p>
        </w:tc>
        <w:tc>
          <w:tcPr>
            <w:tcW w:w="1276" w:type="dxa"/>
            <w:vAlign w:val="center"/>
          </w:tcPr>
          <w:p w14:paraId="74AEA912">
            <w:pPr>
              <w:pStyle w:val="12"/>
            </w:pPr>
            <w:r>
              <w:t>城乡义务教育“两免一补”资助实施细则</w:t>
            </w:r>
          </w:p>
        </w:tc>
      </w:tr>
      <w:tr w14:paraId="6C2E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AA0C4"/>
        </w:tc>
        <w:tc>
          <w:tcPr>
            <w:tcW w:w="2268" w:type="dxa"/>
            <w:vAlign w:val="center"/>
          </w:tcPr>
          <w:p w14:paraId="14D44A50">
            <w:pPr>
              <w:pStyle w:val="12"/>
            </w:pPr>
            <w:r>
              <w:t>成本指标</w:t>
            </w:r>
          </w:p>
        </w:tc>
        <w:tc>
          <w:tcPr>
            <w:tcW w:w="2835" w:type="dxa"/>
            <w:vAlign w:val="center"/>
          </w:tcPr>
          <w:p w14:paraId="60F64194">
            <w:pPr>
              <w:pStyle w:val="12"/>
            </w:pPr>
            <w:r>
              <w:t>家庭经济困难寄宿及非</w:t>
            </w:r>
            <w:r>
              <w:rPr>
                <w:rFonts w:hint="eastAsia"/>
                <w:lang w:eastAsia="zh-CN"/>
              </w:rPr>
              <w:t>寄宿</w:t>
            </w:r>
            <w:r>
              <w:t>类学生补助标准</w:t>
            </w:r>
          </w:p>
        </w:tc>
        <w:tc>
          <w:tcPr>
            <w:tcW w:w="5386" w:type="dxa"/>
            <w:vAlign w:val="center"/>
          </w:tcPr>
          <w:p w14:paraId="448A0B9F">
            <w:pPr>
              <w:pStyle w:val="12"/>
            </w:pPr>
            <w:r>
              <w:t>小学寄宿：标准1250元/生/学年，小学非寄宿：标准625元/生/学年</w:t>
            </w:r>
          </w:p>
        </w:tc>
        <w:tc>
          <w:tcPr>
            <w:tcW w:w="2268" w:type="dxa"/>
            <w:vAlign w:val="center"/>
          </w:tcPr>
          <w:p w14:paraId="02352E29">
            <w:pPr>
              <w:pStyle w:val="12"/>
            </w:pPr>
            <w:r>
              <w:t>538000元</w:t>
            </w:r>
          </w:p>
        </w:tc>
        <w:tc>
          <w:tcPr>
            <w:tcW w:w="1276" w:type="dxa"/>
            <w:vAlign w:val="center"/>
          </w:tcPr>
          <w:p w14:paraId="15D7F402">
            <w:pPr>
              <w:pStyle w:val="12"/>
            </w:pPr>
            <w:r>
              <w:t>城乡义务教育“两免一补”资助实施细则</w:t>
            </w:r>
          </w:p>
        </w:tc>
      </w:tr>
      <w:tr w14:paraId="600A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22F78">
            <w:pPr>
              <w:pStyle w:val="13"/>
            </w:pPr>
            <w:r>
              <w:t>效益指标</w:t>
            </w:r>
          </w:p>
        </w:tc>
        <w:tc>
          <w:tcPr>
            <w:tcW w:w="2268" w:type="dxa"/>
            <w:vAlign w:val="center"/>
          </w:tcPr>
          <w:p w14:paraId="0B379391">
            <w:pPr>
              <w:pStyle w:val="12"/>
            </w:pPr>
            <w:r>
              <w:t>可持续影响指标</w:t>
            </w:r>
          </w:p>
        </w:tc>
        <w:tc>
          <w:tcPr>
            <w:tcW w:w="2835" w:type="dxa"/>
            <w:vAlign w:val="center"/>
          </w:tcPr>
          <w:p w14:paraId="6BD3F1C6">
            <w:pPr>
              <w:pStyle w:val="12"/>
            </w:pPr>
            <w:r>
              <w:t>教育发展水平明显好转</w:t>
            </w:r>
          </w:p>
        </w:tc>
        <w:tc>
          <w:tcPr>
            <w:tcW w:w="5386" w:type="dxa"/>
            <w:vAlign w:val="center"/>
          </w:tcPr>
          <w:p w14:paraId="553E5F48">
            <w:pPr>
              <w:pStyle w:val="12"/>
            </w:pPr>
            <w:r>
              <w:t>学生受教育年限</w:t>
            </w:r>
          </w:p>
        </w:tc>
        <w:tc>
          <w:tcPr>
            <w:tcW w:w="2268" w:type="dxa"/>
            <w:vAlign w:val="center"/>
          </w:tcPr>
          <w:p w14:paraId="4614283A">
            <w:pPr>
              <w:pStyle w:val="12"/>
            </w:pPr>
            <w:r>
              <w:t>3年</w:t>
            </w:r>
          </w:p>
        </w:tc>
        <w:tc>
          <w:tcPr>
            <w:tcW w:w="1276" w:type="dxa"/>
            <w:vAlign w:val="center"/>
          </w:tcPr>
          <w:p w14:paraId="480AA8B0">
            <w:pPr>
              <w:pStyle w:val="12"/>
            </w:pPr>
            <w:r>
              <w:t>城乡义务教育“两免一补”资助实施细则</w:t>
            </w:r>
          </w:p>
        </w:tc>
      </w:tr>
      <w:tr w14:paraId="05375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591BF">
            <w:pPr>
              <w:pStyle w:val="13"/>
            </w:pPr>
            <w:r>
              <w:t>满意度指标</w:t>
            </w:r>
          </w:p>
        </w:tc>
        <w:tc>
          <w:tcPr>
            <w:tcW w:w="2268" w:type="dxa"/>
            <w:vAlign w:val="center"/>
          </w:tcPr>
          <w:p w14:paraId="60DE8FC8">
            <w:pPr>
              <w:pStyle w:val="12"/>
            </w:pPr>
            <w:r>
              <w:t>服务对象满意度指标</w:t>
            </w:r>
          </w:p>
        </w:tc>
        <w:tc>
          <w:tcPr>
            <w:tcW w:w="2835" w:type="dxa"/>
            <w:vAlign w:val="center"/>
          </w:tcPr>
          <w:p w14:paraId="4DCF0E8C">
            <w:pPr>
              <w:pStyle w:val="12"/>
            </w:pPr>
            <w:r>
              <w:t>受益学生家长及调查满意度</w:t>
            </w:r>
          </w:p>
        </w:tc>
        <w:tc>
          <w:tcPr>
            <w:tcW w:w="5386" w:type="dxa"/>
            <w:vAlign w:val="center"/>
          </w:tcPr>
          <w:p w14:paraId="28505808">
            <w:pPr>
              <w:pStyle w:val="12"/>
            </w:pPr>
            <w:r>
              <w:t>学生、教师及家长对学校保教保育工作满意度情况</w:t>
            </w:r>
          </w:p>
        </w:tc>
        <w:tc>
          <w:tcPr>
            <w:tcW w:w="2268" w:type="dxa"/>
            <w:vAlign w:val="center"/>
          </w:tcPr>
          <w:p w14:paraId="2EEFF9DC">
            <w:pPr>
              <w:pStyle w:val="12"/>
            </w:pPr>
            <w:r>
              <w:t>≥95%</w:t>
            </w:r>
          </w:p>
        </w:tc>
        <w:tc>
          <w:tcPr>
            <w:tcW w:w="1276" w:type="dxa"/>
            <w:vAlign w:val="center"/>
          </w:tcPr>
          <w:p w14:paraId="72D192B9">
            <w:pPr>
              <w:pStyle w:val="12"/>
            </w:pPr>
            <w:r>
              <w:t>调查问卷</w:t>
            </w:r>
          </w:p>
        </w:tc>
      </w:tr>
    </w:tbl>
    <w:p w14:paraId="5FC610E1">
      <w:pPr>
        <w:sectPr>
          <w:pgSz w:w="16840" w:h="11900" w:orient="landscape"/>
          <w:pgMar w:top="1361" w:right="1020" w:bottom="1134" w:left="1020" w:header="720" w:footer="720" w:gutter="0"/>
          <w:cols w:space="720" w:num="1"/>
        </w:sectPr>
      </w:pPr>
    </w:p>
    <w:p w14:paraId="5CD64630">
      <w:pPr>
        <w:spacing w:before="0" w:after="0"/>
        <w:ind w:firstLine="560"/>
        <w:jc w:val="left"/>
        <w:outlineLvl w:val="9"/>
      </w:pPr>
      <w:r>
        <w:rPr>
          <w:rFonts w:ascii="方正仿宋_GBK" w:hAnsi="方正仿宋_GBK" w:eastAsia="方正仿宋_GBK" w:cs="方正仿宋_GBK"/>
          <w:b/>
          <w:color w:val="000000"/>
          <w:sz w:val="28"/>
        </w:rPr>
        <w:t>45、县中小学教室照明改造项目绩效目标表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D6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A511F">
            <w:pPr>
              <w:pStyle w:val="11"/>
            </w:pPr>
            <w:r>
              <w:t>单位：万元</w:t>
            </w:r>
          </w:p>
        </w:tc>
      </w:tr>
      <w:tr w14:paraId="68EDB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F4E85">
            <w:pPr>
              <w:pStyle w:val="10"/>
            </w:pPr>
            <w:r>
              <w:t>项目编码</w:t>
            </w:r>
          </w:p>
        </w:tc>
        <w:tc>
          <w:tcPr>
            <w:tcW w:w="5103" w:type="dxa"/>
            <w:gridSpan w:val="2"/>
            <w:vAlign w:val="center"/>
          </w:tcPr>
          <w:p w14:paraId="395475DB">
            <w:pPr>
              <w:pStyle w:val="12"/>
            </w:pPr>
            <w:r>
              <w:t>13052526P00000210247E</w:t>
            </w:r>
          </w:p>
        </w:tc>
        <w:tc>
          <w:tcPr>
            <w:tcW w:w="2835" w:type="dxa"/>
            <w:vAlign w:val="center"/>
          </w:tcPr>
          <w:p w14:paraId="28144507">
            <w:pPr>
              <w:pStyle w:val="10"/>
            </w:pPr>
            <w:r>
              <w:t>项目名称</w:t>
            </w:r>
          </w:p>
        </w:tc>
        <w:tc>
          <w:tcPr>
            <w:tcW w:w="6095" w:type="dxa"/>
            <w:gridSpan w:val="3"/>
            <w:vAlign w:val="center"/>
          </w:tcPr>
          <w:p w14:paraId="76715D5D">
            <w:pPr>
              <w:pStyle w:val="12"/>
            </w:pPr>
            <w:r>
              <w:t>县中小学教室照明改造项目</w:t>
            </w:r>
          </w:p>
        </w:tc>
      </w:tr>
      <w:tr w14:paraId="794B9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E2A72">
            <w:pPr>
              <w:pStyle w:val="10"/>
            </w:pPr>
            <w:r>
              <w:t>预算规模及资金用途</w:t>
            </w:r>
          </w:p>
        </w:tc>
        <w:tc>
          <w:tcPr>
            <w:tcW w:w="2268" w:type="dxa"/>
            <w:vAlign w:val="center"/>
          </w:tcPr>
          <w:p w14:paraId="7C97FCB3">
            <w:pPr>
              <w:pStyle w:val="10"/>
            </w:pPr>
            <w:r>
              <w:t>预算数</w:t>
            </w:r>
          </w:p>
        </w:tc>
        <w:tc>
          <w:tcPr>
            <w:tcW w:w="2835" w:type="dxa"/>
            <w:vAlign w:val="center"/>
          </w:tcPr>
          <w:p w14:paraId="0FA8371A">
            <w:pPr>
              <w:pStyle w:val="12"/>
            </w:pPr>
            <w:r>
              <w:t>72.64</w:t>
            </w:r>
          </w:p>
        </w:tc>
        <w:tc>
          <w:tcPr>
            <w:tcW w:w="2835" w:type="dxa"/>
            <w:vAlign w:val="center"/>
          </w:tcPr>
          <w:p w14:paraId="30B873D2">
            <w:pPr>
              <w:pStyle w:val="10"/>
            </w:pPr>
            <w:r>
              <w:t>其中：财政    资金</w:t>
            </w:r>
          </w:p>
        </w:tc>
        <w:tc>
          <w:tcPr>
            <w:tcW w:w="2551" w:type="dxa"/>
            <w:vAlign w:val="center"/>
          </w:tcPr>
          <w:p w14:paraId="45C093EF">
            <w:pPr>
              <w:pStyle w:val="12"/>
            </w:pPr>
            <w:r>
              <w:t>72.64</w:t>
            </w:r>
          </w:p>
        </w:tc>
        <w:tc>
          <w:tcPr>
            <w:tcW w:w="2268" w:type="dxa"/>
            <w:vAlign w:val="center"/>
          </w:tcPr>
          <w:p w14:paraId="039784A3">
            <w:pPr>
              <w:pStyle w:val="10"/>
            </w:pPr>
            <w:r>
              <w:t>其他资金</w:t>
            </w:r>
          </w:p>
        </w:tc>
        <w:tc>
          <w:tcPr>
            <w:tcW w:w="1276" w:type="dxa"/>
            <w:vAlign w:val="center"/>
          </w:tcPr>
          <w:p w14:paraId="00E6E682">
            <w:pPr>
              <w:pStyle w:val="12"/>
            </w:pPr>
            <w:r>
              <w:t xml:space="preserve"> </w:t>
            </w:r>
          </w:p>
        </w:tc>
      </w:tr>
      <w:tr w14:paraId="6DB9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DD5C7"/>
        </w:tc>
        <w:tc>
          <w:tcPr>
            <w:tcW w:w="14033" w:type="dxa"/>
            <w:gridSpan w:val="6"/>
            <w:vAlign w:val="center"/>
          </w:tcPr>
          <w:p w14:paraId="60310BF5">
            <w:pPr>
              <w:pStyle w:val="12"/>
            </w:pPr>
            <w:r>
              <w:t>提供全方位护眼灯具，提升青少年视力和身体健康水平</w:t>
            </w:r>
            <w:r>
              <w:tab/>
            </w:r>
            <w:r>
              <w:tab/>
            </w:r>
            <w:r>
              <w:tab/>
            </w:r>
            <w:r>
              <w:tab/>
            </w:r>
            <w:r>
              <w:tab/>
            </w:r>
            <w:r>
              <w:tab/>
            </w:r>
          </w:p>
          <w:p w14:paraId="6FC69584">
            <w:pPr>
              <w:pStyle w:val="12"/>
            </w:pPr>
          </w:p>
        </w:tc>
      </w:tr>
      <w:tr w14:paraId="702A0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52F54">
            <w:pPr>
              <w:pStyle w:val="10"/>
            </w:pPr>
            <w:r>
              <w:t>资金支出计划（%）</w:t>
            </w:r>
          </w:p>
        </w:tc>
        <w:tc>
          <w:tcPr>
            <w:tcW w:w="5103" w:type="dxa"/>
            <w:gridSpan w:val="2"/>
            <w:vAlign w:val="center"/>
          </w:tcPr>
          <w:p w14:paraId="13654A72">
            <w:pPr>
              <w:pStyle w:val="10"/>
            </w:pPr>
            <w:r>
              <w:t>3月底</w:t>
            </w:r>
          </w:p>
        </w:tc>
        <w:tc>
          <w:tcPr>
            <w:tcW w:w="2835" w:type="dxa"/>
            <w:vAlign w:val="center"/>
          </w:tcPr>
          <w:p w14:paraId="366E3625">
            <w:pPr>
              <w:pStyle w:val="10"/>
            </w:pPr>
            <w:r>
              <w:t>6月底</w:t>
            </w:r>
          </w:p>
        </w:tc>
        <w:tc>
          <w:tcPr>
            <w:tcW w:w="2551" w:type="dxa"/>
            <w:vAlign w:val="center"/>
          </w:tcPr>
          <w:p w14:paraId="5EC770DA">
            <w:pPr>
              <w:pStyle w:val="10"/>
            </w:pPr>
            <w:r>
              <w:t>10月底</w:t>
            </w:r>
          </w:p>
        </w:tc>
        <w:tc>
          <w:tcPr>
            <w:tcW w:w="3544" w:type="dxa"/>
            <w:gridSpan w:val="2"/>
            <w:vAlign w:val="center"/>
          </w:tcPr>
          <w:p w14:paraId="7636D1B1">
            <w:pPr>
              <w:pStyle w:val="10"/>
            </w:pPr>
            <w:r>
              <w:t>12月底</w:t>
            </w:r>
          </w:p>
        </w:tc>
      </w:tr>
      <w:tr w14:paraId="1F35C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42F6D"/>
        </w:tc>
        <w:tc>
          <w:tcPr>
            <w:tcW w:w="5103" w:type="dxa"/>
            <w:gridSpan w:val="2"/>
            <w:vAlign w:val="center"/>
          </w:tcPr>
          <w:p w14:paraId="5E1E8EA9">
            <w:pPr>
              <w:pStyle w:val="13"/>
            </w:pPr>
            <w:r>
              <w:t xml:space="preserve"> </w:t>
            </w:r>
          </w:p>
        </w:tc>
        <w:tc>
          <w:tcPr>
            <w:tcW w:w="2835" w:type="dxa"/>
            <w:vAlign w:val="center"/>
          </w:tcPr>
          <w:p w14:paraId="5A4EADA0">
            <w:pPr>
              <w:pStyle w:val="13"/>
            </w:pPr>
            <w:r>
              <w:t>100%</w:t>
            </w:r>
          </w:p>
        </w:tc>
        <w:tc>
          <w:tcPr>
            <w:tcW w:w="2551" w:type="dxa"/>
            <w:vAlign w:val="center"/>
          </w:tcPr>
          <w:p w14:paraId="0F9DF506">
            <w:pPr>
              <w:pStyle w:val="13"/>
            </w:pPr>
            <w:r>
              <w:t>100%</w:t>
            </w:r>
          </w:p>
        </w:tc>
        <w:tc>
          <w:tcPr>
            <w:tcW w:w="3544" w:type="dxa"/>
            <w:gridSpan w:val="2"/>
            <w:vAlign w:val="center"/>
          </w:tcPr>
          <w:p w14:paraId="3FF264F2">
            <w:pPr>
              <w:pStyle w:val="13"/>
            </w:pPr>
            <w:r>
              <w:t>100%</w:t>
            </w:r>
          </w:p>
        </w:tc>
      </w:tr>
      <w:tr w14:paraId="34543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34160">
            <w:pPr>
              <w:pStyle w:val="10"/>
            </w:pPr>
            <w:r>
              <w:t>绩效目标</w:t>
            </w:r>
          </w:p>
        </w:tc>
        <w:tc>
          <w:tcPr>
            <w:tcW w:w="14033" w:type="dxa"/>
            <w:gridSpan w:val="6"/>
            <w:vAlign w:val="center"/>
          </w:tcPr>
          <w:p w14:paraId="006BE744">
            <w:pPr>
              <w:pStyle w:val="12"/>
            </w:pPr>
            <w:r>
              <w:t>1.提供全方位护眼灯具，提升青少年视力和身体健康水平</w:t>
            </w:r>
          </w:p>
        </w:tc>
      </w:tr>
    </w:tbl>
    <w:p w14:paraId="4EAACD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5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94DC3">
            <w:pPr>
              <w:pStyle w:val="10"/>
            </w:pPr>
            <w:r>
              <w:t>一级指标</w:t>
            </w:r>
          </w:p>
        </w:tc>
        <w:tc>
          <w:tcPr>
            <w:tcW w:w="2268" w:type="dxa"/>
            <w:vAlign w:val="center"/>
          </w:tcPr>
          <w:p w14:paraId="3489EFBA">
            <w:pPr>
              <w:pStyle w:val="10"/>
            </w:pPr>
            <w:r>
              <w:t>二级指标</w:t>
            </w:r>
          </w:p>
        </w:tc>
        <w:tc>
          <w:tcPr>
            <w:tcW w:w="2835" w:type="dxa"/>
            <w:vAlign w:val="center"/>
          </w:tcPr>
          <w:p w14:paraId="4ADC9007">
            <w:pPr>
              <w:pStyle w:val="10"/>
            </w:pPr>
            <w:r>
              <w:t>三级指标</w:t>
            </w:r>
          </w:p>
        </w:tc>
        <w:tc>
          <w:tcPr>
            <w:tcW w:w="5386" w:type="dxa"/>
            <w:vAlign w:val="center"/>
          </w:tcPr>
          <w:p w14:paraId="236C9462">
            <w:pPr>
              <w:pStyle w:val="10"/>
            </w:pPr>
            <w:r>
              <w:t>绩效指标描述</w:t>
            </w:r>
          </w:p>
        </w:tc>
        <w:tc>
          <w:tcPr>
            <w:tcW w:w="2268" w:type="dxa"/>
            <w:vAlign w:val="center"/>
          </w:tcPr>
          <w:p w14:paraId="4104A30D">
            <w:pPr>
              <w:pStyle w:val="10"/>
            </w:pPr>
            <w:r>
              <w:t>指标值</w:t>
            </w:r>
          </w:p>
        </w:tc>
        <w:tc>
          <w:tcPr>
            <w:tcW w:w="1276" w:type="dxa"/>
            <w:vAlign w:val="center"/>
          </w:tcPr>
          <w:p w14:paraId="085741DF">
            <w:pPr>
              <w:pStyle w:val="10"/>
            </w:pPr>
            <w:r>
              <w:t>指标值确定依据</w:t>
            </w:r>
          </w:p>
        </w:tc>
      </w:tr>
      <w:tr w14:paraId="502D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6997C">
            <w:pPr>
              <w:pStyle w:val="13"/>
            </w:pPr>
            <w:r>
              <w:t>产出指标</w:t>
            </w:r>
          </w:p>
        </w:tc>
        <w:tc>
          <w:tcPr>
            <w:tcW w:w="2268" w:type="dxa"/>
            <w:vAlign w:val="center"/>
          </w:tcPr>
          <w:p w14:paraId="729F5C6D">
            <w:pPr>
              <w:pStyle w:val="12"/>
            </w:pPr>
            <w:r>
              <w:t>数量指标</w:t>
            </w:r>
          </w:p>
        </w:tc>
        <w:tc>
          <w:tcPr>
            <w:tcW w:w="2835" w:type="dxa"/>
            <w:vAlign w:val="center"/>
          </w:tcPr>
          <w:p w14:paraId="5CE69A21">
            <w:pPr>
              <w:pStyle w:val="12"/>
            </w:pPr>
            <w:r>
              <w:t>购置设备套数</w:t>
            </w:r>
          </w:p>
        </w:tc>
        <w:tc>
          <w:tcPr>
            <w:tcW w:w="5386" w:type="dxa"/>
            <w:vAlign w:val="center"/>
          </w:tcPr>
          <w:p w14:paraId="204A49C8">
            <w:pPr>
              <w:pStyle w:val="12"/>
            </w:pPr>
            <w:r>
              <w:t>购置设备套数</w:t>
            </w:r>
          </w:p>
        </w:tc>
        <w:tc>
          <w:tcPr>
            <w:tcW w:w="2268" w:type="dxa"/>
            <w:vAlign w:val="center"/>
          </w:tcPr>
          <w:p w14:paraId="39484E02">
            <w:pPr>
              <w:pStyle w:val="12"/>
            </w:pPr>
            <w:r>
              <w:t>4265套</w:t>
            </w:r>
          </w:p>
        </w:tc>
        <w:tc>
          <w:tcPr>
            <w:tcW w:w="1276" w:type="dxa"/>
            <w:vAlign w:val="center"/>
          </w:tcPr>
          <w:p w14:paraId="3E2F4381">
            <w:pPr>
              <w:pStyle w:val="12"/>
            </w:pPr>
            <w:r>
              <w:t>项目可行性研究报告</w:t>
            </w:r>
          </w:p>
        </w:tc>
      </w:tr>
      <w:tr w14:paraId="65A5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662CA"/>
        </w:tc>
        <w:tc>
          <w:tcPr>
            <w:tcW w:w="2268" w:type="dxa"/>
            <w:vAlign w:val="center"/>
          </w:tcPr>
          <w:p w14:paraId="5C30244A">
            <w:pPr>
              <w:pStyle w:val="12"/>
            </w:pPr>
            <w:r>
              <w:t>数量指标</w:t>
            </w:r>
          </w:p>
        </w:tc>
        <w:tc>
          <w:tcPr>
            <w:tcW w:w="2835" w:type="dxa"/>
            <w:vAlign w:val="center"/>
          </w:tcPr>
          <w:p w14:paraId="233ECEF2">
            <w:pPr>
              <w:pStyle w:val="12"/>
            </w:pPr>
            <w:r>
              <w:t xml:space="preserve"> 项目实施学校</w:t>
            </w:r>
          </w:p>
        </w:tc>
        <w:tc>
          <w:tcPr>
            <w:tcW w:w="5386" w:type="dxa"/>
            <w:vAlign w:val="center"/>
          </w:tcPr>
          <w:p w14:paraId="2F2084C6">
            <w:pPr>
              <w:pStyle w:val="12"/>
            </w:pPr>
            <w:r>
              <w:t>项目实施学校数量</w:t>
            </w:r>
          </w:p>
        </w:tc>
        <w:tc>
          <w:tcPr>
            <w:tcW w:w="2268" w:type="dxa"/>
            <w:vAlign w:val="center"/>
          </w:tcPr>
          <w:p w14:paraId="031813CD">
            <w:pPr>
              <w:pStyle w:val="12"/>
            </w:pPr>
            <w:r>
              <w:t>15所</w:t>
            </w:r>
          </w:p>
        </w:tc>
        <w:tc>
          <w:tcPr>
            <w:tcW w:w="1276" w:type="dxa"/>
            <w:vAlign w:val="center"/>
          </w:tcPr>
          <w:p w14:paraId="3C16E5B2">
            <w:pPr>
              <w:pStyle w:val="12"/>
            </w:pPr>
            <w:r>
              <w:t>项目可行性研究报告</w:t>
            </w:r>
          </w:p>
        </w:tc>
      </w:tr>
      <w:tr w14:paraId="5A371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C2839"/>
        </w:tc>
        <w:tc>
          <w:tcPr>
            <w:tcW w:w="2268" w:type="dxa"/>
            <w:vAlign w:val="center"/>
          </w:tcPr>
          <w:p w14:paraId="077F1EA6">
            <w:pPr>
              <w:pStyle w:val="12"/>
            </w:pPr>
            <w:r>
              <w:t>数量指标</w:t>
            </w:r>
          </w:p>
        </w:tc>
        <w:tc>
          <w:tcPr>
            <w:tcW w:w="2835" w:type="dxa"/>
            <w:vAlign w:val="center"/>
          </w:tcPr>
          <w:p w14:paraId="4F906C13">
            <w:pPr>
              <w:pStyle w:val="12"/>
            </w:pPr>
            <w:r>
              <w:t xml:space="preserve"> 增加公益性项目面积</w:t>
            </w:r>
          </w:p>
        </w:tc>
        <w:tc>
          <w:tcPr>
            <w:tcW w:w="5386" w:type="dxa"/>
            <w:vAlign w:val="center"/>
          </w:tcPr>
          <w:p w14:paraId="34838A03">
            <w:pPr>
              <w:pStyle w:val="12"/>
            </w:pPr>
            <w:r>
              <w:t>增加公益性项目面积</w:t>
            </w:r>
          </w:p>
        </w:tc>
        <w:tc>
          <w:tcPr>
            <w:tcW w:w="2268" w:type="dxa"/>
            <w:vAlign w:val="center"/>
          </w:tcPr>
          <w:p w14:paraId="57C7BB4E">
            <w:pPr>
              <w:pStyle w:val="12"/>
            </w:pPr>
            <w:r>
              <w:t>≥38726平方米</w:t>
            </w:r>
          </w:p>
        </w:tc>
        <w:tc>
          <w:tcPr>
            <w:tcW w:w="1276" w:type="dxa"/>
            <w:vAlign w:val="center"/>
          </w:tcPr>
          <w:p w14:paraId="43617051">
            <w:pPr>
              <w:pStyle w:val="12"/>
            </w:pPr>
            <w:r>
              <w:t>项目可行性研究报告</w:t>
            </w:r>
          </w:p>
        </w:tc>
      </w:tr>
      <w:tr w14:paraId="0233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C6872"/>
        </w:tc>
        <w:tc>
          <w:tcPr>
            <w:tcW w:w="2268" w:type="dxa"/>
            <w:vAlign w:val="center"/>
          </w:tcPr>
          <w:p w14:paraId="28AF0C24">
            <w:pPr>
              <w:pStyle w:val="12"/>
            </w:pPr>
            <w:r>
              <w:t>质量指标</w:t>
            </w:r>
          </w:p>
        </w:tc>
        <w:tc>
          <w:tcPr>
            <w:tcW w:w="2835" w:type="dxa"/>
            <w:vAlign w:val="center"/>
          </w:tcPr>
          <w:p w14:paraId="7581AC8C">
            <w:pPr>
              <w:pStyle w:val="12"/>
            </w:pPr>
            <w:r>
              <w:t xml:space="preserve"> 项目规划编制完整性、合规性</w:t>
            </w:r>
          </w:p>
        </w:tc>
        <w:tc>
          <w:tcPr>
            <w:tcW w:w="5386" w:type="dxa"/>
            <w:vAlign w:val="center"/>
          </w:tcPr>
          <w:p w14:paraId="0082B105">
            <w:pPr>
              <w:pStyle w:val="12"/>
            </w:pPr>
            <w:r>
              <w:t>专用设备购置质量合格率</w:t>
            </w:r>
          </w:p>
        </w:tc>
        <w:tc>
          <w:tcPr>
            <w:tcW w:w="2268" w:type="dxa"/>
            <w:vAlign w:val="center"/>
          </w:tcPr>
          <w:p w14:paraId="307668B0">
            <w:pPr>
              <w:pStyle w:val="12"/>
            </w:pPr>
            <w:r>
              <w:t>≥100%</w:t>
            </w:r>
          </w:p>
        </w:tc>
        <w:tc>
          <w:tcPr>
            <w:tcW w:w="1276" w:type="dxa"/>
            <w:vAlign w:val="center"/>
          </w:tcPr>
          <w:p w14:paraId="69574FAC">
            <w:pPr>
              <w:pStyle w:val="12"/>
            </w:pPr>
            <w:r>
              <w:t>项目可行性研究报告</w:t>
            </w:r>
          </w:p>
        </w:tc>
      </w:tr>
      <w:tr w14:paraId="39FD3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256C5"/>
        </w:tc>
        <w:tc>
          <w:tcPr>
            <w:tcW w:w="2268" w:type="dxa"/>
            <w:vAlign w:val="center"/>
          </w:tcPr>
          <w:p w14:paraId="012426C7">
            <w:pPr>
              <w:pStyle w:val="12"/>
            </w:pPr>
            <w:r>
              <w:t>质量指标</w:t>
            </w:r>
          </w:p>
        </w:tc>
        <w:tc>
          <w:tcPr>
            <w:tcW w:w="2835" w:type="dxa"/>
            <w:vAlign w:val="center"/>
          </w:tcPr>
          <w:p w14:paraId="695D8056">
            <w:pPr>
              <w:pStyle w:val="12"/>
            </w:pPr>
            <w:r>
              <w:t xml:space="preserve"> 项目验收合格率</w:t>
            </w:r>
          </w:p>
        </w:tc>
        <w:tc>
          <w:tcPr>
            <w:tcW w:w="5386" w:type="dxa"/>
            <w:vAlign w:val="center"/>
          </w:tcPr>
          <w:p w14:paraId="172ABD14">
            <w:pPr>
              <w:pStyle w:val="12"/>
            </w:pPr>
            <w:r>
              <w:t>学校购置设备完成情况</w:t>
            </w:r>
          </w:p>
        </w:tc>
        <w:tc>
          <w:tcPr>
            <w:tcW w:w="2268" w:type="dxa"/>
            <w:vAlign w:val="center"/>
          </w:tcPr>
          <w:p w14:paraId="0FD21819">
            <w:pPr>
              <w:pStyle w:val="12"/>
            </w:pPr>
            <w:r>
              <w:t>≥100%</w:t>
            </w:r>
          </w:p>
        </w:tc>
        <w:tc>
          <w:tcPr>
            <w:tcW w:w="1276" w:type="dxa"/>
            <w:vAlign w:val="center"/>
          </w:tcPr>
          <w:p w14:paraId="2E96E5BB">
            <w:pPr>
              <w:pStyle w:val="12"/>
            </w:pPr>
            <w:r>
              <w:t>项目可行性研究报告</w:t>
            </w:r>
          </w:p>
        </w:tc>
      </w:tr>
      <w:tr w14:paraId="2386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0DD1"/>
        </w:tc>
        <w:tc>
          <w:tcPr>
            <w:tcW w:w="2268" w:type="dxa"/>
            <w:vAlign w:val="center"/>
          </w:tcPr>
          <w:p w14:paraId="0EFA4463">
            <w:pPr>
              <w:pStyle w:val="12"/>
            </w:pPr>
            <w:r>
              <w:t>质量指标</w:t>
            </w:r>
          </w:p>
        </w:tc>
        <w:tc>
          <w:tcPr>
            <w:tcW w:w="2835" w:type="dxa"/>
            <w:vAlign w:val="center"/>
          </w:tcPr>
          <w:p w14:paraId="1247A876">
            <w:pPr>
              <w:pStyle w:val="12"/>
            </w:pPr>
            <w:r>
              <w:t xml:space="preserve"> 项目开展符合当地实际情况并实行重点倾斜</w:t>
            </w:r>
          </w:p>
        </w:tc>
        <w:tc>
          <w:tcPr>
            <w:tcW w:w="5386" w:type="dxa"/>
            <w:vAlign w:val="center"/>
          </w:tcPr>
          <w:p w14:paraId="64B3E03D">
            <w:pPr>
              <w:pStyle w:val="12"/>
            </w:pPr>
            <w:r>
              <w:t>项目开展符合当地实际情况并实行重点倾斜</w:t>
            </w:r>
          </w:p>
        </w:tc>
        <w:tc>
          <w:tcPr>
            <w:tcW w:w="2268" w:type="dxa"/>
            <w:vAlign w:val="center"/>
          </w:tcPr>
          <w:p w14:paraId="1086F28A">
            <w:pPr>
              <w:pStyle w:val="12"/>
            </w:pPr>
            <w:r>
              <w:t>100%</w:t>
            </w:r>
          </w:p>
        </w:tc>
        <w:tc>
          <w:tcPr>
            <w:tcW w:w="1276" w:type="dxa"/>
            <w:vAlign w:val="center"/>
          </w:tcPr>
          <w:p w14:paraId="4B91D796">
            <w:pPr>
              <w:pStyle w:val="12"/>
            </w:pPr>
            <w:r>
              <w:t>项目可行性研究报告</w:t>
            </w:r>
          </w:p>
        </w:tc>
      </w:tr>
      <w:tr w14:paraId="08A6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19562"/>
        </w:tc>
        <w:tc>
          <w:tcPr>
            <w:tcW w:w="2268" w:type="dxa"/>
            <w:vAlign w:val="center"/>
          </w:tcPr>
          <w:p w14:paraId="1C45FDFF">
            <w:pPr>
              <w:pStyle w:val="12"/>
            </w:pPr>
            <w:r>
              <w:t>时效指标</w:t>
            </w:r>
          </w:p>
        </w:tc>
        <w:tc>
          <w:tcPr>
            <w:tcW w:w="2835" w:type="dxa"/>
            <w:vAlign w:val="center"/>
          </w:tcPr>
          <w:p w14:paraId="35D23564">
            <w:pPr>
              <w:pStyle w:val="12"/>
            </w:pPr>
            <w:r>
              <w:t xml:space="preserve"> 按规定标明宣传标识</w:t>
            </w:r>
          </w:p>
        </w:tc>
        <w:tc>
          <w:tcPr>
            <w:tcW w:w="5386" w:type="dxa"/>
            <w:vAlign w:val="center"/>
          </w:tcPr>
          <w:p w14:paraId="4F6CFE62">
            <w:pPr>
              <w:pStyle w:val="12"/>
            </w:pPr>
            <w:r>
              <w:t>按规定标明宣传标识</w:t>
            </w:r>
          </w:p>
        </w:tc>
        <w:tc>
          <w:tcPr>
            <w:tcW w:w="2268" w:type="dxa"/>
            <w:vAlign w:val="center"/>
          </w:tcPr>
          <w:p w14:paraId="07C9BED5">
            <w:pPr>
              <w:pStyle w:val="12"/>
            </w:pPr>
            <w:r>
              <w:t>100%</w:t>
            </w:r>
          </w:p>
        </w:tc>
        <w:tc>
          <w:tcPr>
            <w:tcW w:w="1276" w:type="dxa"/>
            <w:vAlign w:val="center"/>
          </w:tcPr>
          <w:p w14:paraId="657FD30E">
            <w:pPr>
              <w:pStyle w:val="12"/>
            </w:pPr>
            <w:r>
              <w:t>项目可行性研究报告</w:t>
            </w:r>
          </w:p>
        </w:tc>
      </w:tr>
      <w:tr w14:paraId="17F8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6CEF7"/>
        </w:tc>
        <w:tc>
          <w:tcPr>
            <w:tcW w:w="2268" w:type="dxa"/>
            <w:vAlign w:val="center"/>
          </w:tcPr>
          <w:p w14:paraId="635BDA15">
            <w:pPr>
              <w:pStyle w:val="12"/>
            </w:pPr>
            <w:r>
              <w:t>时效指标</w:t>
            </w:r>
          </w:p>
        </w:tc>
        <w:tc>
          <w:tcPr>
            <w:tcW w:w="2835" w:type="dxa"/>
            <w:vAlign w:val="center"/>
          </w:tcPr>
          <w:p w14:paraId="16D9777D">
            <w:pPr>
              <w:pStyle w:val="12"/>
            </w:pPr>
            <w:r>
              <w:t xml:space="preserve"> 工作任务及时完成率</w:t>
            </w:r>
          </w:p>
        </w:tc>
        <w:tc>
          <w:tcPr>
            <w:tcW w:w="5386" w:type="dxa"/>
            <w:vAlign w:val="center"/>
          </w:tcPr>
          <w:p w14:paraId="0E72ED23">
            <w:pPr>
              <w:pStyle w:val="12"/>
            </w:pPr>
            <w:r>
              <w:t>工作任务及时完成率</w:t>
            </w:r>
          </w:p>
        </w:tc>
        <w:tc>
          <w:tcPr>
            <w:tcW w:w="2268" w:type="dxa"/>
            <w:vAlign w:val="center"/>
          </w:tcPr>
          <w:p w14:paraId="7F1751A1">
            <w:pPr>
              <w:pStyle w:val="12"/>
            </w:pPr>
            <w:r>
              <w:t>≥95%</w:t>
            </w:r>
          </w:p>
        </w:tc>
        <w:tc>
          <w:tcPr>
            <w:tcW w:w="1276" w:type="dxa"/>
            <w:vAlign w:val="center"/>
          </w:tcPr>
          <w:p w14:paraId="69239969">
            <w:pPr>
              <w:pStyle w:val="12"/>
            </w:pPr>
            <w:r>
              <w:t>项目可行性研究报告</w:t>
            </w:r>
          </w:p>
        </w:tc>
      </w:tr>
      <w:tr w14:paraId="0D6A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94972"/>
        </w:tc>
        <w:tc>
          <w:tcPr>
            <w:tcW w:w="2268" w:type="dxa"/>
            <w:vAlign w:val="center"/>
          </w:tcPr>
          <w:p w14:paraId="603044DC">
            <w:pPr>
              <w:pStyle w:val="12"/>
            </w:pPr>
            <w:r>
              <w:t>时效指标</w:t>
            </w:r>
          </w:p>
        </w:tc>
        <w:tc>
          <w:tcPr>
            <w:tcW w:w="2835" w:type="dxa"/>
            <w:vAlign w:val="center"/>
          </w:tcPr>
          <w:p w14:paraId="0034314B">
            <w:pPr>
              <w:pStyle w:val="12"/>
            </w:pPr>
            <w:r>
              <w:t xml:space="preserve"> 按时上报资金使用情况</w:t>
            </w:r>
          </w:p>
        </w:tc>
        <w:tc>
          <w:tcPr>
            <w:tcW w:w="5386" w:type="dxa"/>
            <w:vAlign w:val="center"/>
          </w:tcPr>
          <w:p w14:paraId="15FCF779">
            <w:pPr>
              <w:pStyle w:val="12"/>
            </w:pPr>
            <w:r>
              <w:t>按时上报资金使用情况</w:t>
            </w:r>
          </w:p>
        </w:tc>
        <w:tc>
          <w:tcPr>
            <w:tcW w:w="2268" w:type="dxa"/>
            <w:vAlign w:val="center"/>
          </w:tcPr>
          <w:p w14:paraId="76E2D070">
            <w:pPr>
              <w:pStyle w:val="12"/>
            </w:pPr>
            <w:r>
              <w:t>100%</w:t>
            </w:r>
          </w:p>
        </w:tc>
        <w:tc>
          <w:tcPr>
            <w:tcW w:w="1276" w:type="dxa"/>
            <w:vAlign w:val="center"/>
          </w:tcPr>
          <w:p w14:paraId="3BD927D2">
            <w:pPr>
              <w:pStyle w:val="12"/>
            </w:pPr>
            <w:r>
              <w:t>项目可行性研究报告</w:t>
            </w:r>
          </w:p>
        </w:tc>
      </w:tr>
      <w:tr w14:paraId="20AA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09330"/>
        </w:tc>
        <w:tc>
          <w:tcPr>
            <w:tcW w:w="2268" w:type="dxa"/>
            <w:vAlign w:val="center"/>
          </w:tcPr>
          <w:p w14:paraId="06AFABB1">
            <w:pPr>
              <w:pStyle w:val="12"/>
            </w:pPr>
            <w:r>
              <w:t>成本指标</w:t>
            </w:r>
          </w:p>
        </w:tc>
        <w:tc>
          <w:tcPr>
            <w:tcW w:w="2835" w:type="dxa"/>
            <w:vAlign w:val="center"/>
          </w:tcPr>
          <w:p w14:paraId="249BF2F5">
            <w:pPr>
              <w:pStyle w:val="12"/>
            </w:pPr>
            <w:r>
              <w:t xml:space="preserve"> 按时向社会公告项目实施情况</w:t>
            </w:r>
          </w:p>
        </w:tc>
        <w:tc>
          <w:tcPr>
            <w:tcW w:w="5386" w:type="dxa"/>
            <w:vAlign w:val="center"/>
          </w:tcPr>
          <w:p w14:paraId="0F344473">
            <w:pPr>
              <w:pStyle w:val="12"/>
            </w:pPr>
            <w:r>
              <w:t>按时向社会公告项目实施情况</w:t>
            </w:r>
          </w:p>
        </w:tc>
        <w:tc>
          <w:tcPr>
            <w:tcW w:w="2268" w:type="dxa"/>
            <w:vAlign w:val="center"/>
          </w:tcPr>
          <w:p w14:paraId="42B5D354">
            <w:pPr>
              <w:pStyle w:val="12"/>
            </w:pPr>
            <w:r>
              <w:t>100%</w:t>
            </w:r>
          </w:p>
        </w:tc>
        <w:tc>
          <w:tcPr>
            <w:tcW w:w="1276" w:type="dxa"/>
            <w:vAlign w:val="center"/>
          </w:tcPr>
          <w:p w14:paraId="1AA8E9B8">
            <w:pPr>
              <w:pStyle w:val="12"/>
            </w:pPr>
            <w:r>
              <w:t>项目可行性研究报告</w:t>
            </w:r>
          </w:p>
        </w:tc>
      </w:tr>
      <w:tr w14:paraId="6CDC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5C1EE">
            <w:pPr>
              <w:pStyle w:val="13"/>
            </w:pPr>
            <w:r>
              <w:t>效益指标</w:t>
            </w:r>
          </w:p>
        </w:tc>
        <w:tc>
          <w:tcPr>
            <w:tcW w:w="2268" w:type="dxa"/>
            <w:vAlign w:val="center"/>
          </w:tcPr>
          <w:p w14:paraId="3E105933">
            <w:pPr>
              <w:pStyle w:val="12"/>
            </w:pPr>
            <w:r>
              <w:t>可持续影响指标</w:t>
            </w:r>
          </w:p>
        </w:tc>
        <w:tc>
          <w:tcPr>
            <w:tcW w:w="2835" w:type="dxa"/>
            <w:vAlign w:val="center"/>
          </w:tcPr>
          <w:p w14:paraId="1BCA9A74">
            <w:pPr>
              <w:pStyle w:val="12"/>
            </w:pPr>
            <w:r>
              <w:t>项目成本控制情况</w:t>
            </w:r>
          </w:p>
        </w:tc>
        <w:tc>
          <w:tcPr>
            <w:tcW w:w="5386" w:type="dxa"/>
            <w:vAlign w:val="center"/>
          </w:tcPr>
          <w:p w14:paraId="3F9C735E">
            <w:pPr>
              <w:pStyle w:val="12"/>
            </w:pPr>
            <w:r>
              <w:t>严格按照招标价格及审计额进行</w:t>
            </w:r>
          </w:p>
        </w:tc>
        <w:tc>
          <w:tcPr>
            <w:tcW w:w="2268" w:type="dxa"/>
            <w:vAlign w:val="center"/>
          </w:tcPr>
          <w:p w14:paraId="58BF7028">
            <w:pPr>
              <w:pStyle w:val="12"/>
            </w:pPr>
            <w:r>
              <w:t>100%</w:t>
            </w:r>
          </w:p>
        </w:tc>
        <w:tc>
          <w:tcPr>
            <w:tcW w:w="1276" w:type="dxa"/>
            <w:vAlign w:val="center"/>
          </w:tcPr>
          <w:p w14:paraId="2068F857">
            <w:pPr>
              <w:pStyle w:val="12"/>
            </w:pPr>
            <w:r>
              <w:t>项目可行性研究报告</w:t>
            </w:r>
          </w:p>
        </w:tc>
      </w:tr>
      <w:tr w14:paraId="5A6CF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D188A">
            <w:pPr>
              <w:pStyle w:val="13"/>
            </w:pPr>
            <w:r>
              <w:t>满意度指标</w:t>
            </w:r>
          </w:p>
        </w:tc>
        <w:tc>
          <w:tcPr>
            <w:tcW w:w="2268" w:type="dxa"/>
            <w:vAlign w:val="center"/>
          </w:tcPr>
          <w:p w14:paraId="1D1D2847">
            <w:pPr>
              <w:pStyle w:val="12"/>
            </w:pPr>
            <w:r>
              <w:t>服务对象满意度指标</w:t>
            </w:r>
          </w:p>
        </w:tc>
        <w:tc>
          <w:tcPr>
            <w:tcW w:w="2835" w:type="dxa"/>
            <w:vAlign w:val="center"/>
          </w:tcPr>
          <w:p w14:paraId="3749113A">
            <w:pPr>
              <w:pStyle w:val="12"/>
            </w:pPr>
            <w:r>
              <w:t xml:space="preserve"> 项目公益服务时效</w:t>
            </w:r>
          </w:p>
        </w:tc>
        <w:tc>
          <w:tcPr>
            <w:tcW w:w="5386" w:type="dxa"/>
            <w:vAlign w:val="center"/>
          </w:tcPr>
          <w:p w14:paraId="14715719">
            <w:pPr>
              <w:pStyle w:val="12"/>
            </w:pPr>
            <w:r>
              <w:t xml:space="preserve"> 护眼灯使用平均寿命</w:t>
            </w:r>
          </w:p>
        </w:tc>
        <w:tc>
          <w:tcPr>
            <w:tcW w:w="2268" w:type="dxa"/>
            <w:vAlign w:val="center"/>
          </w:tcPr>
          <w:p w14:paraId="01D9E0AA">
            <w:pPr>
              <w:pStyle w:val="12"/>
            </w:pPr>
            <w:r>
              <w:t>≥50000 小时</w:t>
            </w:r>
          </w:p>
        </w:tc>
        <w:tc>
          <w:tcPr>
            <w:tcW w:w="1276" w:type="dxa"/>
            <w:vAlign w:val="center"/>
          </w:tcPr>
          <w:p w14:paraId="303EAF41">
            <w:pPr>
              <w:pStyle w:val="12"/>
            </w:pPr>
            <w:r>
              <w:t>项目可行性报告</w:t>
            </w:r>
          </w:p>
        </w:tc>
      </w:tr>
    </w:tbl>
    <w:p w14:paraId="025DCB32">
      <w:pPr>
        <w:sectPr>
          <w:pgSz w:w="16840" w:h="11900" w:orient="landscape"/>
          <w:pgMar w:top="1361" w:right="1020" w:bottom="1134" w:left="1020" w:header="720" w:footer="720" w:gutter="0"/>
          <w:cols w:space="720" w:num="1"/>
        </w:sectPr>
      </w:pPr>
    </w:p>
    <w:p w14:paraId="1250DC99">
      <w:pPr>
        <w:spacing w:before="0" w:after="0"/>
        <w:ind w:firstLine="560"/>
        <w:jc w:val="left"/>
        <w:outlineLvl w:val="9"/>
      </w:pPr>
      <w:r>
        <w:rPr>
          <w:rFonts w:ascii="方正仿宋_GBK" w:hAnsi="方正仿宋_GBK" w:eastAsia="方正仿宋_GBK" w:cs="方正仿宋_GBK"/>
          <w:b/>
          <w:color w:val="000000"/>
          <w:sz w:val="28"/>
        </w:rPr>
        <w:t>46、项目前期费用绩效目标表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93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96B98">
            <w:pPr>
              <w:pStyle w:val="11"/>
            </w:pPr>
            <w:r>
              <w:t>单位：万元</w:t>
            </w:r>
          </w:p>
        </w:tc>
      </w:tr>
      <w:tr w14:paraId="21F37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4947C">
            <w:pPr>
              <w:pStyle w:val="10"/>
            </w:pPr>
            <w:r>
              <w:t>项目编码</w:t>
            </w:r>
          </w:p>
        </w:tc>
        <w:tc>
          <w:tcPr>
            <w:tcW w:w="5103" w:type="dxa"/>
            <w:gridSpan w:val="2"/>
            <w:vAlign w:val="center"/>
          </w:tcPr>
          <w:p w14:paraId="13D31B9B">
            <w:pPr>
              <w:pStyle w:val="12"/>
            </w:pPr>
            <w:r>
              <w:t>13052526P000002102501</w:t>
            </w:r>
          </w:p>
        </w:tc>
        <w:tc>
          <w:tcPr>
            <w:tcW w:w="2835" w:type="dxa"/>
            <w:vAlign w:val="center"/>
          </w:tcPr>
          <w:p w14:paraId="12BD3A2E">
            <w:pPr>
              <w:pStyle w:val="10"/>
            </w:pPr>
            <w:r>
              <w:t>项目名称</w:t>
            </w:r>
          </w:p>
        </w:tc>
        <w:tc>
          <w:tcPr>
            <w:tcW w:w="6095" w:type="dxa"/>
            <w:gridSpan w:val="3"/>
            <w:vAlign w:val="center"/>
          </w:tcPr>
          <w:p w14:paraId="4DEC8EFE">
            <w:pPr>
              <w:pStyle w:val="12"/>
            </w:pPr>
            <w:r>
              <w:t>项目前期费用</w:t>
            </w:r>
          </w:p>
        </w:tc>
      </w:tr>
      <w:tr w14:paraId="150DD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C1E84">
            <w:pPr>
              <w:pStyle w:val="10"/>
            </w:pPr>
            <w:r>
              <w:t>预算规模及资金用途</w:t>
            </w:r>
          </w:p>
        </w:tc>
        <w:tc>
          <w:tcPr>
            <w:tcW w:w="2268" w:type="dxa"/>
            <w:vAlign w:val="center"/>
          </w:tcPr>
          <w:p w14:paraId="396A0D36">
            <w:pPr>
              <w:pStyle w:val="10"/>
            </w:pPr>
            <w:r>
              <w:t>预算数</w:t>
            </w:r>
          </w:p>
        </w:tc>
        <w:tc>
          <w:tcPr>
            <w:tcW w:w="2835" w:type="dxa"/>
            <w:vAlign w:val="center"/>
          </w:tcPr>
          <w:p w14:paraId="1F148E3E">
            <w:pPr>
              <w:pStyle w:val="12"/>
            </w:pPr>
            <w:r>
              <w:t>70.00</w:t>
            </w:r>
          </w:p>
        </w:tc>
        <w:tc>
          <w:tcPr>
            <w:tcW w:w="2835" w:type="dxa"/>
            <w:vAlign w:val="center"/>
          </w:tcPr>
          <w:p w14:paraId="243C5A2F">
            <w:pPr>
              <w:pStyle w:val="10"/>
            </w:pPr>
            <w:r>
              <w:t>其中：财政    资金</w:t>
            </w:r>
          </w:p>
        </w:tc>
        <w:tc>
          <w:tcPr>
            <w:tcW w:w="2551" w:type="dxa"/>
            <w:vAlign w:val="center"/>
          </w:tcPr>
          <w:p w14:paraId="1D408AE5">
            <w:pPr>
              <w:pStyle w:val="12"/>
            </w:pPr>
            <w:r>
              <w:t>70.00</w:t>
            </w:r>
          </w:p>
        </w:tc>
        <w:tc>
          <w:tcPr>
            <w:tcW w:w="2268" w:type="dxa"/>
            <w:vAlign w:val="center"/>
          </w:tcPr>
          <w:p w14:paraId="13516127">
            <w:pPr>
              <w:pStyle w:val="10"/>
            </w:pPr>
            <w:r>
              <w:t>其他资金</w:t>
            </w:r>
          </w:p>
        </w:tc>
        <w:tc>
          <w:tcPr>
            <w:tcW w:w="1276" w:type="dxa"/>
            <w:vAlign w:val="center"/>
          </w:tcPr>
          <w:p w14:paraId="5BD9C5D7">
            <w:pPr>
              <w:pStyle w:val="12"/>
            </w:pPr>
            <w:r>
              <w:t xml:space="preserve"> </w:t>
            </w:r>
          </w:p>
        </w:tc>
      </w:tr>
      <w:tr w14:paraId="043B8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E3E9D"/>
        </w:tc>
        <w:tc>
          <w:tcPr>
            <w:tcW w:w="14033" w:type="dxa"/>
            <w:gridSpan w:val="6"/>
            <w:vAlign w:val="center"/>
          </w:tcPr>
          <w:p w14:paraId="6A4E1020">
            <w:pPr>
              <w:pStyle w:val="12"/>
            </w:pPr>
            <w:r>
              <w:t>按照项目进度拨付项目资金</w:t>
            </w:r>
          </w:p>
        </w:tc>
      </w:tr>
      <w:tr w14:paraId="3F720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0E022">
            <w:pPr>
              <w:pStyle w:val="10"/>
            </w:pPr>
            <w:r>
              <w:t>资金支出计划（%）</w:t>
            </w:r>
          </w:p>
        </w:tc>
        <w:tc>
          <w:tcPr>
            <w:tcW w:w="5103" w:type="dxa"/>
            <w:gridSpan w:val="2"/>
            <w:vAlign w:val="center"/>
          </w:tcPr>
          <w:p w14:paraId="654FD16C">
            <w:pPr>
              <w:pStyle w:val="10"/>
            </w:pPr>
            <w:r>
              <w:t>3月底</w:t>
            </w:r>
          </w:p>
        </w:tc>
        <w:tc>
          <w:tcPr>
            <w:tcW w:w="2835" w:type="dxa"/>
            <w:vAlign w:val="center"/>
          </w:tcPr>
          <w:p w14:paraId="1CBADD86">
            <w:pPr>
              <w:pStyle w:val="10"/>
            </w:pPr>
            <w:r>
              <w:t>6月底</w:t>
            </w:r>
          </w:p>
        </w:tc>
        <w:tc>
          <w:tcPr>
            <w:tcW w:w="2551" w:type="dxa"/>
            <w:vAlign w:val="center"/>
          </w:tcPr>
          <w:p w14:paraId="2D89D0C4">
            <w:pPr>
              <w:pStyle w:val="10"/>
            </w:pPr>
            <w:r>
              <w:t>10月底</w:t>
            </w:r>
          </w:p>
        </w:tc>
        <w:tc>
          <w:tcPr>
            <w:tcW w:w="3544" w:type="dxa"/>
            <w:gridSpan w:val="2"/>
            <w:vAlign w:val="center"/>
          </w:tcPr>
          <w:p w14:paraId="5697745D">
            <w:pPr>
              <w:pStyle w:val="10"/>
            </w:pPr>
            <w:r>
              <w:t>12月底</w:t>
            </w:r>
          </w:p>
        </w:tc>
      </w:tr>
      <w:tr w14:paraId="600FA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ABDCF"/>
        </w:tc>
        <w:tc>
          <w:tcPr>
            <w:tcW w:w="5103" w:type="dxa"/>
            <w:gridSpan w:val="2"/>
            <w:vAlign w:val="center"/>
          </w:tcPr>
          <w:p w14:paraId="0C3C83EA">
            <w:pPr>
              <w:pStyle w:val="13"/>
            </w:pPr>
            <w:r>
              <w:t xml:space="preserve"> </w:t>
            </w:r>
          </w:p>
        </w:tc>
        <w:tc>
          <w:tcPr>
            <w:tcW w:w="2835" w:type="dxa"/>
            <w:vAlign w:val="center"/>
          </w:tcPr>
          <w:p w14:paraId="59443226">
            <w:pPr>
              <w:pStyle w:val="13"/>
            </w:pPr>
            <w:r>
              <w:t>100%</w:t>
            </w:r>
          </w:p>
        </w:tc>
        <w:tc>
          <w:tcPr>
            <w:tcW w:w="2551" w:type="dxa"/>
            <w:vAlign w:val="center"/>
          </w:tcPr>
          <w:p w14:paraId="503AF31C">
            <w:pPr>
              <w:pStyle w:val="13"/>
            </w:pPr>
            <w:r>
              <w:t>100%</w:t>
            </w:r>
          </w:p>
        </w:tc>
        <w:tc>
          <w:tcPr>
            <w:tcW w:w="3544" w:type="dxa"/>
            <w:gridSpan w:val="2"/>
            <w:vAlign w:val="center"/>
          </w:tcPr>
          <w:p w14:paraId="7BAD74A2">
            <w:pPr>
              <w:pStyle w:val="13"/>
            </w:pPr>
            <w:r>
              <w:t>100%</w:t>
            </w:r>
          </w:p>
        </w:tc>
      </w:tr>
      <w:tr w14:paraId="21CF8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96EE7">
            <w:pPr>
              <w:pStyle w:val="10"/>
            </w:pPr>
            <w:r>
              <w:t>绩效目标</w:t>
            </w:r>
          </w:p>
        </w:tc>
        <w:tc>
          <w:tcPr>
            <w:tcW w:w="14033" w:type="dxa"/>
            <w:gridSpan w:val="6"/>
            <w:vAlign w:val="center"/>
          </w:tcPr>
          <w:p w14:paraId="49C8217A">
            <w:pPr>
              <w:pStyle w:val="12"/>
            </w:pPr>
            <w:r>
              <w:t>1.按照项目进度拨付项目资金</w:t>
            </w:r>
            <w:r>
              <w:tab/>
            </w:r>
            <w:r>
              <w:tab/>
            </w:r>
            <w:r>
              <w:tab/>
            </w:r>
          </w:p>
        </w:tc>
      </w:tr>
    </w:tbl>
    <w:p w14:paraId="785CA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0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A36F8">
            <w:pPr>
              <w:pStyle w:val="10"/>
            </w:pPr>
            <w:r>
              <w:t>一级指标</w:t>
            </w:r>
          </w:p>
        </w:tc>
        <w:tc>
          <w:tcPr>
            <w:tcW w:w="2268" w:type="dxa"/>
            <w:vAlign w:val="center"/>
          </w:tcPr>
          <w:p w14:paraId="27A0F0AB">
            <w:pPr>
              <w:pStyle w:val="10"/>
            </w:pPr>
            <w:r>
              <w:t>二级指标</w:t>
            </w:r>
          </w:p>
        </w:tc>
        <w:tc>
          <w:tcPr>
            <w:tcW w:w="2835" w:type="dxa"/>
            <w:vAlign w:val="center"/>
          </w:tcPr>
          <w:p w14:paraId="6DFF7516">
            <w:pPr>
              <w:pStyle w:val="10"/>
            </w:pPr>
            <w:r>
              <w:t>三级指标</w:t>
            </w:r>
          </w:p>
        </w:tc>
        <w:tc>
          <w:tcPr>
            <w:tcW w:w="5386" w:type="dxa"/>
            <w:vAlign w:val="center"/>
          </w:tcPr>
          <w:p w14:paraId="78670E20">
            <w:pPr>
              <w:pStyle w:val="10"/>
            </w:pPr>
            <w:r>
              <w:t>绩效指标描述</w:t>
            </w:r>
          </w:p>
        </w:tc>
        <w:tc>
          <w:tcPr>
            <w:tcW w:w="2268" w:type="dxa"/>
            <w:vAlign w:val="center"/>
          </w:tcPr>
          <w:p w14:paraId="5D3FC17A">
            <w:pPr>
              <w:pStyle w:val="10"/>
            </w:pPr>
            <w:r>
              <w:t>指标值</w:t>
            </w:r>
          </w:p>
        </w:tc>
        <w:tc>
          <w:tcPr>
            <w:tcW w:w="1276" w:type="dxa"/>
            <w:vAlign w:val="center"/>
          </w:tcPr>
          <w:p w14:paraId="51AD3D73">
            <w:pPr>
              <w:pStyle w:val="10"/>
            </w:pPr>
            <w:r>
              <w:t>指标值确定依据</w:t>
            </w:r>
          </w:p>
        </w:tc>
      </w:tr>
      <w:tr w14:paraId="14EC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7C5CD">
            <w:pPr>
              <w:pStyle w:val="13"/>
            </w:pPr>
            <w:r>
              <w:t>产出指标</w:t>
            </w:r>
          </w:p>
        </w:tc>
        <w:tc>
          <w:tcPr>
            <w:tcW w:w="2268" w:type="dxa"/>
            <w:vAlign w:val="center"/>
          </w:tcPr>
          <w:p w14:paraId="10F47B2D">
            <w:pPr>
              <w:pStyle w:val="12"/>
            </w:pPr>
            <w:r>
              <w:t>数量指标</w:t>
            </w:r>
          </w:p>
        </w:tc>
        <w:tc>
          <w:tcPr>
            <w:tcW w:w="2835" w:type="dxa"/>
            <w:vAlign w:val="center"/>
          </w:tcPr>
          <w:p w14:paraId="2C25F219">
            <w:pPr>
              <w:pStyle w:val="12"/>
            </w:pPr>
            <w:r>
              <w:t>十一所学校</w:t>
            </w:r>
          </w:p>
        </w:tc>
        <w:tc>
          <w:tcPr>
            <w:tcW w:w="5386" w:type="dxa"/>
            <w:vAlign w:val="center"/>
          </w:tcPr>
          <w:p w14:paraId="1473F0FB">
            <w:pPr>
              <w:pStyle w:val="12"/>
            </w:pPr>
            <w:r>
              <w:t>尹村中学等11所学校项目完成合同进程</w:t>
            </w:r>
          </w:p>
        </w:tc>
        <w:tc>
          <w:tcPr>
            <w:tcW w:w="2268" w:type="dxa"/>
            <w:vAlign w:val="center"/>
          </w:tcPr>
          <w:p w14:paraId="23788230">
            <w:pPr>
              <w:pStyle w:val="12"/>
            </w:pPr>
            <w:r>
              <w:t>100%</w:t>
            </w:r>
          </w:p>
        </w:tc>
        <w:tc>
          <w:tcPr>
            <w:tcW w:w="1276" w:type="dxa"/>
            <w:vAlign w:val="center"/>
          </w:tcPr>
          <w:p w14:paraId="6DEF6039">
            <w:pPr>
              <w:pStyle w:val="12"/>
            </w:pPr>
            <w:r>
              <w:t>项目规划</w:t>
            </w:r>
          </w:p>
        </w:tc>
      </w:tr>
      <w:tr w14:paraId="6E7A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92879"/>
        </w:tc>
        <w:tc>
          <w:tcPr>
            <w:tcW w:w="2268" w:type="dxa"/>
            <w:vAlign w:val="center"/>
          </w:tcPr>
          <w:p w14:paraId="141424BA">
            <w:pPr>
              <w:pStyle w:val="12"/>
            </w:pPr>
            <w:r>
              <w:t>质量指标</w:t>
            </w:r>
          </w:p>
        </w:tc>
        <w:tc>
          <w:tcPr>
            <w:tcW w:w="2835" w:type="dxa"/>
            <w:vAlign w:val="center"/>
          </w:tcPr>
          <w:p w14:paraId="387B79DC">
            <w:pPr>
              <w:pStyle w:val="12"/>
            </w:pPr>
            <w:r>
              <w:t>工程实施验收合格率</w:t>
            </w:r>
          </w:p>
        </w:tc>
        <w:tc>
          <w:tcPr>
            <w:tcW w:w="5386" w:type="dxa"/>
            <w:vAlign w:val="center"/>
          </w:tcPr>
          <w:p w14:paraId="7ADD0105">
            <w:pPr>
              <w:pStyle w:val="12"/>
            </w:pPr>
            <w:r>
              <w:t>申报程序的合规，项目实施及资金使用符合项目规划</w:t>
            </w:r>
          </w:p>
        </w:tc>
        <w:tc>
          <w:tcPr>
            <w:tcW w:w="2268" w:type="dxa"/>
            <w:vAlign w:val="center"/>
          </w:tcPr>
          <w:p w14:paraId="0C7DEE90">
            <w:pPr>
              <w:pStyle w:val="12"/>
            </w:pPr>
            <w:r>
              <w:t>100%</w:t>
            </w:r>
          </w:p>
        </w:tc>
        <w:tc>
          <w:tcPr>
            <w:tcW w:w="1276" w:type="dxa"/>
            <w:vAlign w:val="center"/>
          </w:tcPr>
          <w:p w14:paraId="038F42B3">
            <w:pPr>
              <w:pStyle w:val="12"/>
            </w:pPr>
            <w:r>
              <w:t>项目规划</w:t>
            </w:r>
          </w:p>
        </w:tc>
      </w:tr>
      <w:tr w14:paraId="28EC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53B6F"/>
        </w:tc>
        <w:tc>
          <w:tcPr>
            <w:tcW w:w="2268" w:type="dxa"/>
            <w:vAlign w:val="center"/>
          </w:tcPr>
          <w:p w14:paraId="7737675C">
            <w:pPr>
              <w:pStyle w:val="12"/>
            </w:pPr>
            <w:r>
              <w:t>时效指标</w:t>
            </w:r>
          </w:p>
        </w:tc>
        <w:tc>
          <w:tcPr>
            <w:tcW w:w="2835" w:type="dxa"/>
            <w:vAlign w:val="center"/>
          </w:tcPr>
          <w:p w14:paraId="267CD501">
            <w:pPr>
              <w:pStyle w:val="12"/>
            </w:pPr>
            <w:r>
              <w:t>监理服务时限</w:t>
            </w:r>
          </w:p>
        </w:tc>
        <w:tc>
          <w:tcPr>
            <w:tcW w:w="5386" w:type="dxa"/>
            <w:vAlign w:val="center"/>
          </w:tcPr>
          <w:p w14:paraId="70597FDC">
            <w:pPr>
              <w:pStyle w:val="12"/>
            </w:pPr>
            <w:r>
              <w:t>监理服务至工程验收完成</w:t>
            </w:r>
          </w:p>
        </w:tc>
        <w:tc>
          <w:tcPr>
            <w:tcW w:w="2268" w:type="dxa"/>
            <w:vAlign w:val="center"/>
          </w:tcPr>
          <w:p w14:paraId="19A3A3F7">
            <w:pPr>
              <w:pStyle w:val="12"/>
            </w:pPr>
            <w:r>
              <w:t>100%</w:t>
            </w:r>
          </w:p>
        </w:tc>
        <w:tc>
          <w:tcPr>
            <w:tcW w:w="1276" w:type="dxa"/>
            <w:vAlign w:val="center"/>
          </w:tcPr>
          <w:p w14:paraId="0DBBA660">
            <w:pPr>
              <w:pStyle w:val="12"/>
            </w:pPr>
            <w:r>
              <w:t>项目规划</w:t>
            </w:r>
          </w:p>
        </w:tc>
      </w:tr>
      <w:tr w14:paraId="7006F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B0B9"/>
        </w:tc>
        <w:tc>
          <w:tcPr>
            <w:tcW w:w="2268" w:type="dxa"/>
            <w:vAlign w:val="center"/>
          </w:tcPr>
          <w:p w14:paraId="1AD7336F">
            <w:pPr>
              <w:pStyle w:val="12"/>
            </w:pPr>
            <w:r>
              <w:t>成本指标</w:t>
            </w:r>
          </w:p>
        </w:tc>
        <w:tc>
          <w:tcPr>
            <w:tcW w:w="2835" w:type="dxa"/>
            <w:vAlign w:val="center"/>
          </w:tcPr>
          <w:p w14:paraId="2FB0F821">
            <w:pPr>
              <w:pStyle w:val="12"/>
            </w:pPr>
            <w:r>
              <w:t>尹村中学等十一所学校前期费用</w:t>
            </w:r>
          </w:p>
        </w:tc>
        <w:tc>
          <w:tcPr>
            <w:tcW w:w="5386" w:type="dxa"/>
            <w:vAlign w:val="center"/>
          </w:tcPr>
          <w:p w14:paraId="289140B6">
            <w:pPr>
              <w:pStyle w:val="12"/>
            </w:pPr>
            <w:r>
              <w:t>工程前</w:t>
            </w:r>
            <w:r>
              <w:rPr>
                <w:rFonts w:hint="eastAsia"/>
                <w:lang w:eastAsia="zh-CN"/>
              </w:rPr>
              <w:t>期</w:t>
            </w:r>
            <w:r>
              <w:t>费用；监理服务费用</w:t>
            </w:r>
          </w:p>
        </w:tc>
        <w:tc>
          <w:tcPr>
            <w:tcW w:w="2268" w:type="dxa"/>
            <w:vAlign w:val="center"/>
          </w:tcPr>
          <w:p w14:paraId="6693AFFE">
            <w:pPr>
              <w:pStyle w:val="12"/>
            </w:pPr>
            <w:r>
              <w:t>≤700000元</w:t>
            </w:r>
          </w:p>
        </w:tc>
        <w:tc>
          <w:tcPr>
            <w:tcW w:w="1276" w:type="dxa"/>
            <w:vAlign w:val="center"/>
          </w:tcPr>
          <w:p w14:paraId="6C5B1DB7">
            <w:pPr>
              <w:pStyle w:val="12"/>
            </w:pPr>
            <w:r>
              <w:t>项目规划</w:t>
            </w:r>
          </w:p>
        </w:tc>
      </w:tr>
      <w:tr w14:paraId="6562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5A264">
            <w:pPr>
              <w:pStyle w:val="13"/>
            </w:pPr>
            <w:r>
              <w:t>效益指标</w:t>
            </w:r>
          </w:p>
        </w:tc>
        <w:tc>
          <w:tcPr>
            <w:tcW w:w="2268" w:type="dxa"/>
            <w:vAlign w:val="center"/>
          </w:tcPr>
          <w:p w14:paraId="7DC13CAE">
            <w:pPr>
              <w:pStyle w:val="12"/>
            </w:pPr>
            <w:r>
              <w:t>可持续影响指标</w:t>
            </w:r>
          </w:p>
        </w:tc>
        <w:tc>
          <w:tcPr>
            <w:tcW w:w="2835" w:type="dxa"/>
            <w:vAlign w:val="center"/>
          </w:tcPr>
          <w:p w14:paraId="3513FF05">
            <w:pPr>
              <w:pStyle w:val="12"/>
            </w:pPr>
            <w:r>
              <w:t>学校办学能力提升</w:t>
            </w:r>
          </w:p>
        </w:tc>
        <w:tc>
          <w:tcPr>
            <w:tcW w:w="5386" w:type="dxa"/>
            <w:vAlign w:val="center"/>
          </w:tcPr>
          <w:p w14:paraId="50B97FC6">
            <w:pPr>
              <w:pStyle w:val="12"/>
            </w:pPr>
            <w:r>
              <w:t>学校办学能</w:t>
            </w:r>
            <w:r>
              <w:rPr>
                <w:rFonts w:hint="eastAsia"/>
                <w:lang w:eastAsia="zh-CN"/>
              </w:rPr>
              <w:t>力提</w:t>
            </w:r>
            <w:r>
              <w:t>升情况及教育教学工作等开展的情况</w:t>
            </w:r>
          </w:p>
        </w:tc>
        <w:tc>
          <w:tcPr>
            <w:tcW w:w="2268" w:type="dxa"/>
            <w:vAlign w:val="center"/>
          </w:tcPr>
          <w:p w14:paraId="01632E10">
            <w:pPr>
              <w:pStyle w:val="12"/>
            </w:pPr>
            <w:r>
              <w:t>100%</w:t>
            </w:r>
          </w:p>
        </w:tc>
        <w:tc>
          <w:tcPr>
            <w:tcW w:w="1276" w:type="dxa"/>
            <w:vAlign w:val="center"/>
          </w:tcPr>
          <w:p w14:paraId="6B301BC9">
            <w:pPr>
              <w:pStyle w:val="12"/>
            </w:pPr>
            <w:r>
              <w:t>项目规划</w:t>
            </w:r>
          </w:p>
        </w:tc>
      </w:tr>
      <w:tr w14:paraId="1F45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20E86">
            <w:pPr>
              <w:pStyle w:val="13"/>
            </w:pPr>
            <w:r>
              <w:t>满意度指标</w:t>
            </w:r>
          </w:p>
        </w:tc>
        <w:tc>
          <w:tcPr>
            <w:tcW w:w="2268" w:type="dxa"/>
            <w:vAlign w:val="center"/>
          </w:tcPr>
          <w:p w14:paraId="5D2F310F">
            <w:pPr>
              <w:pStyle w:val="12"/>
            </w:pPr>
            <w:r>
              <w:t>服务对象满意度指标</w:t>
            </w:r>
          </w:p>
        </w:tc>
        <w:tc>
          <w:tcPr>
            <w:tcW w:w="2835" w:type="dxa"/>
            <w:vAlign w:val="center"/>
          </w:tcPr>
          <w:p w14:paraId="7B50E769">
            <w:pPr>
              <w:pStyle w:val="12"/>
            </w:pPr>
            <w:r>
              <w:t>受益学生家长及调查满意度</w:t>
            </w:r>
          </w:p>
        </w:tc>
        <w:tc>
          <w:tcPr>
            <w:tcW w:w="5386" w:type="dxa"/>
            <w:vAlign w:val="center"/>
          </w:tcPr>
          <w:p w14:paraId="245FFE92">
            <w:pPr>
              <w:pStyle w:val="12"/>
            </w:pPr>
            <w:r>
              <w:t>学生、教师及家长对学前保教保育工作满意度情况</w:t>
            </w:r>
          </w:p>
        </w:tc>
        <w:tc>
          <w:tcPr>
            <w:tcW w:w="2268" w:type="dxa"/>
            <w:vAlign w:val="center"/>
          </w:tcPr>
          <w:p w14:paraId="7ECBB08F">
            <w:pPr>
              <w:pStyle w:val="12"/>
            </w:pPr>
            <w:r>
              <w:t>≥95%</w:t>
            </w:r>
          </w:p>
        </w:tc>
        <w:tc>
          <w:tcPr>
            <w:tcW w:w="1276" w:type="dxa"/>
            <w:vAlign w:val="center"/>
          </w:tcPr>
          <w:p w14:paraId="06B1DC29">
            <w:pPr>
              <w:pStyle w:val="12"/>
            </w:pPr>
            <w:r>
              <w:t>项目规划</w:t>
            </w:r>
          </w:p>
        </w:tc>
      </w:tr>
    </w:tbl>
    <w:p w14:paraId="4D503FEB">
      <w:pPr>
        <w:sectPr>
          <w:pgSz w:w="16840" w:h="11900" w:orient="landscape"/>
          <w:pgMar w:top="1361" w:right="1020" w:bottom="1134" w:left="1020" w:header="720" w:footer="720" w:gutter="0"/>
          <w:cols w:space="720" w:num="1"/>
        </w:sectPr>
      </w:pPr>
    </w:p>
    <w:p w14:paraId="64CC13A7">
      <w:pPr>
        <w:spacing w:before="0" w:after="0"/>
        <w:ind w:firstLine="560"/>
        <w:jc w:val="left"/>
        <w:outlineLvl w:val="9"/>
      </w:pPr>
      <w:r>
        <w:rPr>
          <w:rFonts w:ascii="方正仿宋_GBK" w:hAnsi="方正仿宋_GBK" w:eastAsia="方正仿宋_GBK" w:cs="方正仿宋_GBK"/>
          <w:b/>
          <w:color w:val="000000"/>
          <w:sz w:val="28"/>
        </w:rPr>
        <w:t>47、学校占地补偿款绩效目标表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AE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9B9B9">
            <w:pPr>
              <w:pStyle w:val="11"/>
            </w:pPr>
            <w:r>
              <w:t>单位：万元</w:t>
            </w:r>
          </w:p>
        </w:tc>
      </w:tr>
      <w:tr w14:paraId="50230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E2EA3">
            <w:pPr>
              <w:pStyle w:val="10"/>
            </w:pPr>
            <w:r>
              <w:t>项目编码</w:t>
            </w:r>
          </w:p>
        </w:tc>
        <w:tc>
          <w:tcPr>
            <w:tcW w:w="5103" w:type="dxa"/>
            <w:gridSpan w:val="2"/>
            <w:vAlign w:val="center"/>
          </w:tcPr>
          <w:p w14:paraId="34F5ED4F">
            <w:pPr>
              <w:pStyle w:val="12"/>
            </w:pPr>
            <w:r>
              <w:t>13052526P000051100234</w:t>
            </w:r>
          </w:p>
        </w:tc>
        <w:tc>
          <w:tcPr>
            <w:tcW w:w="2835" w:type="dxa"/>
            <w:vAlign w:val="center"/>
          </w:tcPr>
          <w:p w14:paraId="49576865">
            <w:pPr>
              <w:pStyle w:val="10"/>
            </w:pPr>
            <w:r>
              <w:t>项目名称</w:t>
            </w:r>
          </w:p>
        </w:tc>
        <w:tc>
          <w:tcPr>
            <w:tcW w:w="6095" w:type="dxa"/>
            <w:gridSpan w:val="3"/>
            <w:vAlign w:val="center"/>
          </w:tcPr>
          <w:p w14:paraId="435D140C">
            <w:pPr>
              <w:pStyle w:val="12"/>
            </w:pPr>
            <w:r>
              <w:t>学校占地补偿款</w:t>
            </w:r>
          </w:p>
        </w:tc>
      </w:tr>
      <w:tr w14:paraId="06A5E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1A3E9">
            <w:pPr>
              <w:pStyle w:val="10"/>
            </w:pPr>
            <w:r>
              <w:t>预算规模及资金用途</w:t>
            </w:r>
          </w:p>
        </w:tc>
        <w:tc>
          <w:tcPr>
            <w:tcW w:w="2268" w:type="dxa"/>
            <w:vAlign w:val="center"/>
          </w:tcPr>
          <w:p w14:paraId="4532FCA7">
            <w:pPr>
              <w:pStyle w:val="10"/>
            </w:pPr>
            <w:r>
              <w:t>预算数</w:t>
            </w:r>
          </w:p>
        </w:tc>
        <w:tc>
          <w:tcPr>
            <w:tcW w:w="2835" w:type="dxa"/>
            <w:vAlign w:val="center"/>
          </w:tcPr>
          <w:p w14:paraId="7EA7AD51">
            <w:pPr>
              <w:pStyle w:val="12"/>
            </w:pPr>
            <w:r>
              <w:t>44.98</w:t>
            </w:r>
          </w:p>
        </w:tc>
        <w:tc>
          <w:tcPr>
            <w:tcW w:w="2835" w:type="dxa"/>
            <w:vAlign w:val="center"/>
          </w:tcPr>
          <w:p w14:paraId="5CDB53A5">
            <w:pPr>
              <w:pStyle w:val="10"/>
            </w:pPr>
            <w:r>
              <w:t>其中：财政    资金</w:t>
            </w:r>
          </w:p>
        </w:tc>
        <w:tc>
          <w:tcPr>
            <w:tcW w:w="2551" w:type="dxa"/>
            <w:vAlign w:val="center"/>
          </w:tcPr>
          <w:p w14:paraId="62EEEA53">
            <w:pPr>
              <w:pStyle w:val="12"/>
            </w:pPr>
            <w:r>
              <w:t>44.98</w:t>
            </w:r>
          </w:p>
        </w:tc>
        <w:tc>
          <w:tcPr>
            <w:tcW w:w="2268" w:type="dxa"/>
            <w:vAlign w:val="center"/>
          </w:tcPr>
          <w:p w14:paraId="30F7FD84">
            <w:pPr>
              <w:pStyle w:val="10"/>
            </w:pPr>
            <w:r>
              <w:t>其他资金</w:t>
            </w:r>
          </w:p>
        </w:tc>
        <w:tc>
          <w:tcPr>
            <w:tcW w:w="1276" w:type="dxa"/>
            <w:vAlign w:val="center"/>
          </w:tcPr>
          <w:p w14:paraId="48A450CB">
            <w:pPr>
              <w:pStyle w:val="12"/>
            </w:pPr>
            <w:r>
              <w:t xml:space="preserve"> </w:t>
            </w:r>
          </w:p>
        </w:tc>
      </w:tr>
      <w:tr w14:paraId="4A546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D86E1"/>
        </w:tc>
        <w:tc>
          <w:tcPr>
            <w:tcW w:w="14033" w:type="dxa"/>
            <w:gridSpan w:val="6"/>
            <w:vAlign w:val="center"/>
          </w:tcPr>
          <w:p w14:paraId="4E6A5670">
            <w:pPr>
              <w:pStyle w:val="12"/>
            </w:pPr>
            <w:r>
              <w:t>用于13所学校占地补偿，保障学校正常运转</w:t>
            </w:r>
            <w:r>
              <w:tab/>
            </w:r>
          </w:p>
        </w:tc>
      </w:tr>
      <w:tr w14:paraId="6D42A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02167">
            <w:pPr>
              <w:pStyle w:val="10"/>
            </w:pPr>
            <w:r>
              <w:t>资金支出计划（%）</w:t>
            </w:r>
          </w:p>
        </w:tc>
        <w:tc>
          <w:tcPr>
            <w:tcW w:w="5103" w:type="dxa"/>
            <w:gridSpan w:val="2"/>
            <w:vAlign w:val="center"/>
          </w:tcPr>
          <w:p w14:paraId="0C83D147">
            <w:pPr>
              <w:pStyle w:val="10"/>
            </w:pPr>
            <w:r>
              <w:t>3月底</w:t>
            </w:r>
          </w:p>
        </w:tc>
        <w:tc>
          <w:tcPr>
            <w:tcW w:w="2835" w:type="dxa"/>
            <w:vAlign w:val="center"/>
          </w:tcPr>
          <w:p w14:paraId="21E686C6">
            <w:pPr>
              <w:pStyle w:val="10"/>
            </w:pPr>
            <w:r>
              <w:t>6月底</w:t>
            </w:r>
          </w:p>
        </w:tc>
        <w:tc>
          <w:tcPr>
            <w:tcW w:w="2551" w:type="dxa"/>
            <w:vAlign w:val="center"/>
          </w:tcPr>
          <w:p w14:paraId="4E62D36A">
            <w:pPr>
              <w:pStyle w:val="10"/>
            </w:pPr>
            <w:r>
              <w:t>10月底</w:t>
            </w:r>
          </w:p>
        </w:tc>
        <w:tc>
          <w:tcPr>
            <w:tcW w:w="3544" w:type="dxa"/>
            <w:gridSpan w:val="2"/>
            <w:vAlign w:val="center"/>
          </w:tcPr>
          <w:p w14:paraId="4E0669A8">
            <w:pPr>
              <w:pStyle w:val="10"/>
            </w:pPr>
            <w:r>
              <w:t>12月底</w:t>
            </w:r>
          </w:p>
        </w:tc>
      </w:tr>
      <w:tr w14:paraId="4B339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21334"/>
        </w:tc>
        <w:tc>
          <w:tcPr>
            <w:tcW w:w="5103" w:type="dxa"/>
            <w:gridSpan w:val="2"/>
            <w:vAlign w:val="center"/>
          </w:tcPr>
          <w:p w14:paraId="38D1E109">
            <w:pPr>
              <w:pStyle w:val="13"/>
            </w:pPr>
            <w:r>
              <w:t xml:space="preserve"> </w:t>
            </w:r>
          </w:p>
        </w:tc>
        <w:tc>
          <w:tcPr>
            <w:tcW w:w="2835" w:type="dxa"/>
            <w:vAlign w:val="center"/>
          </w:tcPr>
          <w:p w14:paraId="50658484">
            <w:pPr>
              <w:pStyle w:val="13"/>
            </w:pPr>
            <w:r>
              <w:t>100%</w:t>
            </w:r>
          </w:p>
        </w:tc>
        <w:tc>
          <w:tcPr>
            <w:tcW w:w="2551" w:type="dxa"/>
            <w:vAlign w:val="center"/>
          </w:tcPr>
          <w:p w14:paraId="1F807484">
            <w:pPr>
              <w:pStyle w:val="13"/>
            </w:pPr>
            <w:r>
              <w:t>100%</w:t>
            </w:r>
          </w:p>
        </w:tc>
        <w:tc>
          <w:tcPr>
            <w:tcW w:w="3544" w:type="dxa"/>
            <w:gridSpan w:val="2"/>
            <w:vAlign w:val="center"/>
          </w:tcPr>
          <w:p w14:paraId="576510D4">
            <w:pPr>
              <w:pStyle w:val="13"/>
            </w:pPr>
            <w:r>
              <w:t>100%</w:t>
            </w:r>
          </w:p>
        </w:tc>
      </w:tr>
      <w:tr w14:paraId="4567D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94F71">
            <w:pPr>
              <w:pStyle w:val="10"/>
            </w:pPr>
            <w:r>
              <w:t>绩效目标</w:t>
            </w:r>
          </w:p>
        </w:tc>
        <w:tc>
          <w:tcPr>
            <w:tcW w:w="14033" w:type="dxa"/>
            <w:gridSpan w:val="6"/>
            <w:vAlign w:val="center"/>
          </w:tcPr>
          <w:p w14:paraId="1DD36F82">
            <w:pPr>
              <w:pStyle w:val="12"/>
            </w:pPr>
            <w:r>
              <w:t>1.用于13所学校占地补偿，保障学校正常运转</w:t>
            </w:r>
          </w:p>
        </w:tc>
      </w:tr>
    </w:tbl>
    <w:p w14:paraId="4DDD4F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0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E3AE7">
            <w:pPr>
              <w:pStyle w:val="10"/>
            </w:pPr>
            <w:r>
              <w:t>一级指标</w:t>
            </w:r>
          </w:p>
        </w:tc>
        <w:tc>
          <w:tcPr>
            <w:tcW w:w="2268" w:type="dxa"/>
            <w:vAlign w:val="center"/>
          </w:tcPr>
          <w:p w14:paraId="30D238B0">
            <w:pPr>
              <w:pStyle w:val="10"/>
            </w:pPr>
            <w:r>
              <w:t>二级指标</w:t>
            </w:r>
          </w:p>
        </w:tc>
        <w:tc>
          <w:tcPr>
            <w:tcW w:w="2835" w:type="dxa"/>
            <w:vAlign w:val="center"/>
          </w:tcPr>
          <w:p w14:paraId="7D9F94A0">
            <w:pPr>
              <w:pStyle w:val="10"/>
            </w:pPr>
            <w:r>
              <w:t>三级指标</w:t>
            </w:r>
          </w:p>
        </w:tc>
        <w:tc>
          <w:tcPr>
            <w:tcW w:w="5386" w:type="dxa"/>
            <w:vAlign w:val="center"/>
          </w:tcPr>
          <w:p w14:paraId="29FBFACC">
            <w:pPr>
              <w:pStyle w:val="10"/>
            </w:pPr>
            <w:r>
              <w:t>绩效指标描述</w:t>
            </w:r>
          </w:p>
        </w:tc>
        <w:tc>
          <w:tcPr>
            <w:tcW w:w="2268" w:type="dxa"/>
            <w:vAlign w:val="center"/>
          </w:tcPr>
          <w:p w14:paraId="7B1ECB5A">
            <w:pPr>
              <w:pStyle w:val="10"/>
            </w:pPr>
            <w:r>
              <w:t>指标值</w:t>
            </w:r>
          </w:p>
        </w:tc>
        <w:tc>
          <w:tcPr>
            <w:tcW w:w="1276" w:type="dxa"/>
            <w:vAlign w:val="center"/>
          </w:tcPr>
          <w:p w14:paraId="5569D096">
            <w:pPr>
              <w:pStyle w:val="10"/>
            </w:pPr>
            <w:r>
              <w:t>指标值确定依据</w:t>
            </w:r>
          </w:p>
        </w:tc>
      </w:tr>
      <w:tr w14:paraId="61EA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796CB">
            <w:pPr>
              <w:pStyle w:val="13"/>
            </w:pPr>
            <w:r>
              <w:t>产出指标</w:t>
            </w:r>
          </w:p>
        </w:tc>
        <w:tc>
          <w:tcPr>
            <w:tcW w:w="2268" w:type="dxa"/>
            <w:vAlign w:val="center"/>
          </w:tcPr>
          <w:p w14:paraId="498FC7A3">
            <w:pPr>
              <w:pStyle w:val="12"/>
            </w:pPr>
            <w:r>
              <w:t>数量指标</w:t>
            </w:r>
          </w:p>
        </w:tc>
        <w:tc>
          <w:tcPr>
            <w:tcW w:w="2835" w:type="dxa"/>
            <w:vAlign w:val="center"/>
          </w:tcPr>
          <w:p w14:paraId="093B369E">
            <w:pPr>
              <w:pStyle w:val="12"/>
            </w:pPr>
            <w:r>
              <w:t>占地学校数量</w:t>
            </w:r>
          </w:p>
        </w:tc>
        <w:tc>
          <w:tcPr>
            <w:tcW w:w="5386" w:type="dxa"/>
            <w:vAlign w:val="center"/>
          </w:tcPr>
          <w:p w14:paraId="3EAD5919">
            <w:pPr>
              <w:pStyle w:val="12"/>
            </w:pPr>
            <w:r>
              <w:t>涉及占地学校数量</w:t>
            </w:r>
          </w:p>
        </w:tc>
        <w:tc>
          <w:tcPr>
            <w:tcW w:w="2268" w:type="dxa"/>
            <w:vAlign w:val="center"/>
          </w:tcPr>
          <w:p w14:paraId="56572591">
            <w:pPr>
              <w:pStyle w:val="12"/>
            </w:pPr>
            <w:r>
              <w:t>13所</w:t>
            </w:r>
          </w:p>
        </w:tc>
        <w:tc>
          <w:tcPr>
            <w:tcW w:w="1276" w:type="dxa"/>
            <w:vAlign w:val="center"/>
          </w:tcPr>
          <w:p w14:paraId="26BFE41D">
            <w:pPr>
              <w:pStyle w:val="12"/>
            </w:pPr>
            <w:r>
              <w:t>租地协议</w:t>
            </w:r>
          </w:p>
        </w:tc>
      </w:tr>
      <w:tr w14:paraId="0E46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A4CD3"/>
        </w:tc>
        <w:tc>
          <w:tcPr>
            <w:tcW w:w="2268" w:type="dxa"/>
            <w:vAlign w:val="center"/>
          </w:tcPr>
          <w:p w14:paraId="2814B847">
            <w:pPr>
              <w:pStyle w:val="12"/>
            </w:pPr>
            <w:r>
              <w:t>质量指标</w:t>
            </w:r>
          </w:p>
        </w:tc>
        <w:tc>
          <w:tcPr>
            <w:tcW w:w="2835" w:type="dxa"/>
            <w:vAlign w:val="center"/>
          </w:tcPr>
          <w:p w14:paraId="51CF8A97">
            <w:pPr>
              <w:pStyle w:val="12"/>
            </w:pPr>
            <w:r>
              <w:t>预算执行率</w:t>
            </w:r>
          </w:p>
        </w:tc>
        <w:tc>
          <w:tcPr>
            <w:tcW w:w="5386" w:type="dxa"/>
            <w:vAlign w:val="center"/>
          </w:tcPr>
          <w:p w14:paraId="4048244C">
            <w:pPr>
              <w:pStyle w:val="12"/>
            </w:pPr>
            <w:r>
              <w:t>占地补偿资金预算执行情况</w:t>
            </w:r>
          </w:p>
        </w:tc>
        <w:tc>
          <w:tcPr>
            <w:tcW w:w="2268" w:type="dxa"/>
            <w:vAlign w:val="center"/>
          </w:tcPr>
          <w:p w14:paraId="46143081">
            <w:pPr>
              <w:pStyle w:val="12"/>
            </w:pPr>
            <w:r>
              <w:t>≥98%</w:t>
            </w:r>
          </w:p>
        </w:tc>
        <w:tc>
          <w:tcPr>
            <w:tcW w:w="1276" w:type="dxa"/>
            <w:vAlign w:val="center"/>
          </w:tcPr>
          <w:p w14:paraId="41FA52F8">
            <w:pPr>
              <w:pStyle w:val="12"/>
            </w:pPr>
            <w:r>
              <w:t>租地协议</w:t>
            </w:r>
          </w:p>
        </w:tc>
      </w:tr>
      <w:tr w14:paraId="379A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8F27C"/>
        </w:tc>
        <w:tc>
          <w:tcPr>
            <w:tcW w:w="2268" w:type="dxa"/>
            <w:vAlign w:val="center"/>
          </w:tcPr>
          <w:p w14:paraId="577E81C9">
            <w:pPr>
              <w:pStyle w:val="12"/>
            </w:pPr>
            <w:r>
              <w:t>时效指标</w:t>
            </w:r>
          </w:p>
        </w:tc>
        <w:tc>
          <w:tcPr>
            <w:tcW w:w="2835" w:type="dxa"/>
            <w:vAlign w:val="center"/>
          </w:tcPr>
          <w:p w14:paraId="10266DFA">
            <w:pPr>
              <w:pStyle w:val="12"/>
            </w:pPr>
            <w:r>
              <w:t>项目完成时限</w:t>
            </w:r>
          </w:p>
        </w:tc>
        <w:tc>
          <w:tcPr>
            <w:tcW w:w="5386" w:type="dxa"/>
            <w:vAlign w:val="center"/>
          </w:tcPr>
          <w:p w14:paraId="4115B140">
            <w:pPr>
              <w:pStyle w:val="12"/>
            </w:pPr>
            <w:r>
              <w:t>占地补偿资金支付周期</w:t>
            </w:r>
          </w:p>
        </w:tc>
        <w:tc>
          <w:tcPr>
            <w:tcW w:w="2268" w:type="dxa"/>
            <w:vAlign w:val="center"/>
          </w:tcPr>
          <w:p w14:paraId="1465255F">
            <w:pPr>
              <w:pStyle w:val="12"/>
            </w:pPr>
            <w:r>
              <w:t>12月</w:t>
            </w:r>
          </w:p>
        </w:tc>
        <w:tc>
          <w:tcPr>
            <w:tcW w:w="1276" w:type="dxa"/>
            <w:vAlign w:val="center"/>
          </w:tcPr>
          <w:p w14:paraId="50253873">
            <w:pPr>
              <w:pStyle w:val="12"/>
            </w:pPr>
            <w:r>
              <w:t>租地协议</w:t>
            </w:r>
          </w:p>
        </w:tc>
      </w:tr>
      <w:tr w14:paraId="39A2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B52AD"/>
        </w:tc>
        <w:tc>
          <w:tcPr>
            <w:tcW w:w="2268" w:type="dxa"/>
            <w:vAlign w:val="center"/>
          </w:tcPr>
          <w:p w14:paraId="04A9D4CE">
            <w:pPr>
              <w:pStyle w:val="12"/>
            </w:pPr>
            <w:r>
              <w:t>成本指标</w:t>
            </w:r>
          </w:p>
        </w:tc>
        <w:tc>
          <w:tcPr>
            <w:tcW w:w="2835" w:type="dxa"/>
            <w:vAlign w:val="center"/>
          </w:tcPr>
          <w:p w14:paraId="0305A682">
            <w:pPr>
              <w:pStyle w:val="12"/>
            </w:pPr>
            <w:r>
              <w:t>项目资金</w:t>
            </w:r>
          </w:p>
        </w:tc>
        <w:tc>
          <w:tcPr>
            <w:tcW w:w="5386" w:type="dxa"/>
            <w:vAlign w:val="center"/>
          </w:tcPr>
          <w:p w14:paraId="0AEE86B1">
            <w:pPr>
              <w:pStyle w:val="12"/>
            </w:pPr>
            <w:r>
              <w:t>占地补偿项目总资金</w:t>
            </w:r>
          </w:p>
        </w:tc>
        <w:tc>
          <w:tcPr>
            <w:tcW w:w="2268" w:type="dxa"/>
            <w:vAlign w:val="center"/>
          </w:tcPr>
          <w:p w14:paraId="55D5AA0D">
            <w:pPr>
              <w:pStyle w:val="12"/>
            </w:pPr>
            <w:r>
              <w:t>≤44.98万元</w:t>
            </w:r>
          </w:p>
        </w:tc>
        <w:tc>
          <w:tcPr>
            <w:tcW w:w="1276" w:type="dxa"/>
            <w:vAlign w:val="center"/>
          </w:tcPr>
          <w:p w14:paraId="4FA20A3D">
            <w:pPr>
              <w:pStyle w:val="12"/>
            </w:pPr>
            <w:r>
              <w:t>租地协议</w:t>
            </w:r>
          </w:p>
        </w:tc>
      </w:tr>
      <w:tr w14:paraId="0B1B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CF158">
            <w:pPr>
              <w:pStyle w:val="13"/>
            </w:pPr>
            <w:r>
              <w:t>效益指标</w:t>
            </w:r>
          </w:p>
        </w:tc>
        <w:tc>
          <w:tcPr>
            <w:tcW w:w="2268" w:type="dxa"/>
            <w:vAlign w:val="center"/>
          </w:tcPr>
          <w:p w14:paraId="3F364796">
            <w:pPr>
              <w:pStyle w:val="12"/>
            </w:pPr>
            <w:r>
              <w:t>可持续影响指标</w:t>
            </w:r>
          </w:p>
        </w:tc>
        <w:tc>
          <w:tcPr>
            <w:tcW w:w="2835" w:type="dxa"/>
            <w:vAlign w:val="center"/>
          </w:tcPr>
          <w:p w14:paraId="0BD81E48">
            <w:pPr>
              <w:pStyle w:val="12"/>
            </w:pPr>
            <w:r>
              <w:t>项目对学校正常运转影响</w:t>
            </w:r>
          </w:p>
        </w:tc>
        <w:tc>
          <w:tcPr>
            <w:tcW w:w="5386" w:type="dxa"/>
            <w:vAlign w:val="center"/>
          </w:tcPr>
          <w:p w14:paraId="2D3691B4">
            <w:pPr>
              <w:pStyle w:val="12"/>
            </w:pPr>
            <w:r>
              <w:t>占地对学校正常运转影响时效</w:t>
            </w:r>
          </w:p>
        </w:tc>
        <w:tc>
          <w:tcPr>
            <w:tcW w:w="2268" w:type="dxa"/>
            <w:vAlign w:val="center"/>
          </w:tcPr>
          <w:p w14:paraId="1F3722AA">
            <w:pPr>
              <w:pStyle w:val="12"/>
            </w:pPr>
            <w:r>
              <w:t>1年</w:t>
            </w:r>
          </w:p>
        </w:tc>
        <w:tc>
          <w:tcPr>
            <w:tcW w:w="1276" w:type="dxa"/>
            <w:vAlign w:val="center"/>
          </w:tcPr>
          <w:p w14:paraId="172DFF4E">
            <w:pPr>
              <w:pStyle w:val="12"/>
            </w:pPr>
            <w:r>
              <w:t>租地协议</w:t>
            </w:r>
          </w:p>
        </w:tc>
      </w:tr>
      <w:tr w14:paraId="686C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54138">
            <w:pPr>
              <w:pStyle w:val="13"/>
            </w:pPr>
            <w:r>
              <w:t>满意度指标</w:t>
            </w:r>
          </w:p>
        </w:tc>
        <w:tc>
          <w:tcPr>
            <w:tcW w:w="2268" w:type="dxa"/>
            <w:vAlign w:val="center"/>
          </w:tcPr>
          <w:p w14:paraId="45D89C08">
            <w:pPr>
              <w:pStyle w:val="12"/>
            </w:pPr>
            <w:r>
              <w:t>服务对象满意度指标</w:t>
            </w:r>
          </w:p>
        </w:tc>
        <w:tc>
          <w:tcPr>
            <w:tcW w:w="2835" w:type="dxa"/>
            <w:vAlign w:val="center"/>
          </w:tcPr>
          <w:p w14:paraId="754B9830">
            <w:pPr>
              <w:pStyle w:val="12"/>
            </w:pPr>
            <w:r>
              <w:t>占地双方满意度</w:t>
            </w:r>
          </w:p>
        </w:tc>
        <w:tc>
          <w:tcPr>
            <w:tcW w:w="5386" w:type="dxa"/>
            <w:vAlign w:val="center"/>
          </w:tcPr>
          <w:p w14:paraId="70D0263E">
            <w:pPr>
              <w:pStyle w:val="12"/>
            </w:pPr>
            <w:r>
              <w:t>学校和出租方满意度</w:t>
            </w:r>
          </w:p>
        </w:tc>
        <w:tc>
          <w:tcPr>
            <w:tcW w:w="2268" w:type="dxa"/>
            <w:vAlign w:val="center"/>
          </w:tcPr>
          <w:p w14:paraId="683EA1CB">
            <w:pPr>
              <w:pStyle w:val="12"/>
            </w:pPr>
            <w:r>
              <w:t>≥95%</w:t>
            </w:r>
          </w:p>
        </w:tc>
        <w:tc>
          <w:tcPr>
            <w:tcW w:w="1276" w:type="dxa"/>
            <w:vAlign w:val="center"/>
          </w:tcPr>
          <w:p w14:paraId="7B941844">
            <w:pPr>
              <w:pStyle w:val="12"/>
            </w:pPr>
            <w:r>
              <w:t>租地协议</w:t>
            </w:r>
          </w:p>
        </w:tc>
      </w:tr>
    </w:tbl>
    <w:p w14:paraId="7356A6D0">
      <w:pPr>
        <w:sectPr>
          <w:pgSz w:w="16840" w:h="11900" w:orient="landscape"/>
          <w:pgMar w:top="1361" w:right="1020" w:bottom="1134" w:left="1020" w:header="720" w:footer="720" w:gutter="0"/>
          <w:cols w:space="720" w:num="1"/>
        </w:sectPr>
      </w:pPr>
    </w:p>
    <w:p w14:paraId="0DC0E41B">
      <w:pPr>
        <w:spacing w:before="0" w:after="0"/>
        <w:ind w:firstLine="560"/>
        <w:jc w:val="left"/>
        <w:outlineLvl w:val="9"/>
      </w:pPr>
      <w:r>
        <w:rPr>
          <w:rFonts w:ascii="方正仿宋_GBK" w:hAnsi="方正仿宋_GBK" w:eastAsia="方正仿宋_GBK" w:cs="方正仿宋_GBK"/>
          <w:b/>
          <w:color w:val="000000"/>
          <w:sz w:val="28"/>
        </w:rPr>
        <w:t>48、正版化办公软件绩效目标表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91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CF57E">
            <w:pPr>
              <w:pStyle w:val="11"/>
            </w:pPr>
            <w:r>
              <w:t>单位：万元</w:t>
            </w:r>
          </w:p>
        </w:tc>
      </w:tr>
      <w:tr w14:paraId="771FB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B9028">
            <w:pPr>
              <w:pStyle w:val="10"/>
            </w:pPr>
            <w:r>
              <w:t>项目编码</w:t>
            </w:r>
          </w:p>
        </w:tc>
        <w:tc>
          <w:tcPr>
            <w:tcW w:w="5103" w:type="dxa"/>
            <w:gridSpan w:val="2"/>
            <w:vAlign w:val="center"/>
          </w:tcPr>
          <w:p w14:paraId="2A8F476C">
            <w:pPr>
              <w:pStyle w:val="12"/>
            </w:pPr>
            <w:r>
              <w:t>13052526P00000210256N</w:t>
            </w:r>
          </w:p>
        </w:tc>
        <w:tc>
          <w:tcPr>
            <w:tcW w:w="2835" w:type="dxa"/>
            <w:vAlign w:val="center"/>
          </w:tcPr>
          <w:p w14:paraId="2ED01B2C">
            <w:pPr>
              <w:pStyle w:val="10"/>
            </w:pPr>
            <w:r>
              <w:t>项目名称</w:t>
            </w:r>
          </w:p>
        </w:tc>
        <w:tc>
          <w:tcPr>
            <w:tcW w:w="6095" w:type="dxa"/>
            <w:gridSpan w:val="3"/>
            <w:vAlign w:val="center"/>
          </w:tcPr>
          <w:p w14:paraId="17FB448A">
            <w:pPr>
              <w:pStyle w:val="12"/>
            </w:pPr>
            <w:r>
              <w:t>正版化办公软件</w:t>
            </w:r>
          </w:p>
        </w:tc>
      </w:tr>
      <w:tr w14:paraId="639E1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D1F1A">
            <w:pPr>
              <w:pStyle w:val="10"/>
            </w:pPr>
            <w:r>
              <w:t>预算规模及资金用途</w:t>
            </w:r>
          </w:p>
        </w:tc>
        <w:tc>
          <w:tcPr>
            <w:tcW w:w="2268" w:type="dxa"/>
            <w:vAlign w:val="center"/>
          </w:tcPr>
          <w:p w14:paraId="00F4B70F">
            <w:pPr>
              <w:pStyle w:val="10"/>
            </w:pPr>
            <w:r>
              <w:t>预算数</w:t>
            </w:r>
          </w:p>
        </w:tc>
        <w:tc>
          <w:tcPr>
            <w:tcW w:w="2835" w:type="dxa"/>
            <w:vAlign w:val="center"/>
          </w:tcPr>
          <w:p w14:paraId="440300A9">
            <w:pPr>
              <w:pStyle w:val="12"/>
            </w:pPr>
            <w:r>
              <w:t>3.56</w:t>
            </w:r>
          </w:p>
        </w:tc>
        <w:tc>
          <w:tcPr>
            <w:tcW w:w="2835" w:type="dxa"/>
            <w:vAlign w:val="center"/>
          </w:tcPr>
          <w:p w14:paraId="370E26D2">
            <w:pPr>
              <w:pStyle w:val="10"/>
            </w:pPr>
            <w:r>
              <w:t>其中：财政    资金</w:t>
            </w:r>
          </w:p>
        </w:tc>
        <w:tc>
          <w:tcPr>
            <w:tcW w:w="2551" w:type="dxa"/>
            <w:vAlign w:val="center"/>
          </w:tcPr>
          <w:p w14:paraId="6CE04522">
            <w:pPr>
              <w:pStyle w:val="12"/>
            </w:pPr>
            <w:r>
              <w:t>3.56</w:t>
            </w:r>
          </w:p>
        </w:tc>
        <w:tc>
          <w:tcPr>
            <w:tcW w:w="2268" w:type="dxa"/>
            <w:vAlign w:val="center"/>
          </w:tcPr>
          <w:p w14:paraId="65A65659">
            <w:pPr>
              <w:pStyle w:val="10"/>
            </w:pPr>
            <w:r>
              <w:t>其他资金</w:t>
            </w:r>
          </w:p>
        </w:tc>
        <w:tc>
          <w:tcPr>
            <w:tcW w:w="1276" w:type="dxa"/>
            <w:vAlign w:val="center"/>
          </w:tcPr>
          <w:p w14:paraId="7136E971">
            <w:pPr>
              <w:pStyle w:val="12"/>
            </w:pPr>
            <w:r>
              <w:t xml:space="preserve"> </w:t>
            </w:r>
          </w:p>
        </w:tc>
      </w:tr>
      <w:tr w14:paraId="468F8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2C1F4"/>
        </w:tc>
        <w:tc>
          <w:tcPr>
            <w:tcW w:w="14033" w:type="dxa"/>
            <w:gridSpan w:val="6"/>
            <w:vAlign w:val="center"/>
          </w:tcPr>
          <w:p w14:paraId="47E8132A">
            <w:pPr>
              <w:pStyle w:val="12"/>
            </w:pPr>
            <w:r>
              <w:t>筑牢教育系统网络信息安全防线，保障教育系统工作规范开展。</w:t>
            </w:r>
            <w:r>
              <w:tab/>
            </w:r>
            <w:r>
              <w:tab/>
            </w:r>
            <w:r>
              <w:tab/>
            </w:r>
            <w:r>
              <w:tab/>
            </w:r>
            <w:r>
              <w:tab/>
            </w:r>
            <w:r>
              <w:tab/>
            </w:r>
          </w:p>
        </w:tc>
      </w:tr>
      <w:tr w14:paraId="70EC2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F7017">
            <w:pPr>
              <w:pStyle w:val="10"/>
            </w:pPr>
            <w:r>
              <w:t>资金支出计划（%）</w:t>
            </w:r>
          </w:p>
        </w:tc>
        <w:tc>
          <w:tcPr>
            <w:tcW w:w="5103" w:type="dxa"/>
            <w:gridSpan w:val="2"/>
            <w:vAlign w:val="center"/>
          </w:tcPr>
          <w:p w14:paraId="27B920E2">
            <w:pPr>
              <w:pStyle w:val="10"/>
            </w:pPr>
            <w:r>
              <w:t>3月底</w:t>
            </w:r>
          </w:p>
        </w:tc>
        <w:tc>
          <w:tcPr>
            <w:tcW w:w="2835" w:type="dxa"/>
            <w:vAlign w:val="center"/>
          </w:tcPr>
          <w:p w14:paraId="06CE62F3">
            <w:pPr>
              <w:pStyle w:val="10"/>
            </w:pPr>
            <w:r>
              <w:t>6月底</w:t>
            </w:r>
          </w:p>
        </w:tc>
        <w:tc>
          <w:tcPr>
            <w:tcW w:w="2551" w:type="dxa"/>
            <w:vAlign w:val="center"/>
          </w:tcPr>
          <w:p w14:paraId="663C30FD">
            <w:pPr>
              <w:pStyle w:val="10"/>
            </w:pPr>
            <w:r>
              <w:t>10月底</w:t>
            </w:r>
          </w:p>
        </w:tc>
        <w:tc>
          <w:tcPr>
            <w:tcW w:w="3544" w:type="dxa"/>
            <w:gridSpan w:val="2"/>
            <w:vAlign w:val="center"/>
          </w:tcPr>
          <w:p w14:paraId="1D4D0FDE">
            <w:pPr>
              <w:pStyle w:val="10"/>
            </w:pPr>
            <w:r>
              <w:t>12月底</w:t>
            </w:r>
          </w:p>
        </w:tc>
      </w:tr>
      <w:tr w14:paraId="1DB14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BF097"/>
        </w:tc>
        <w:tc>
          <w:tcPr>
            <w:tcW w:w="5103" w:type="dxa"/>
            <w:gridSpan w:val="2"/>
            <w:vAlign w:val="center"/>
          </w:tcPr>
          <w:p w14:paraId="6CA13B1E">
            <w:pPr>
              <w:pStyle w:val="13"/>
            </w:pPr>
            <w:r>
              <w:t xml:space="preserve"> </w:t>
            </w:r>
          </w:p>
        </w:tc>
        <w:tc>
          <w:tcPr>
            <w:tcW w:w="2835" w:type="dxa"/>
            <w:vAlign w:val="center"/>
          </w:tcPr>
          <w:p w14:paraId="39EC1296">
            <w:pPr>
              <w:pStyle w:val="13"/>
            </w:pPr>
            <w:r>
              <w:t>100%</w:t>
            </w:r>
          </w:p>
        </w:tc>
        <w:tc>
          <w:tcPr>
            <w:tcW w:w="2551" w:type="dxa"/>
            <w:vAlign w:val="center"/>
          </w:tcPr>
          <w:p w14:paraId="4F989B34">
            <w:pPr>
              <w:pStyle w:val="13"/>
            </w:pPr>
            <w:r>
              <w:t>100%</w:t>
            </w:r>
          </w:p>
        </w:tc>
        <w:tc>
          <w:tcPr>
            <w:tcW w:w="3544" w:type="dxa"/>
            <w:gridSpan w:val="2"/>
            <w:vAlign w:val="center"/>
          </w:tcPr>
          <w:p w14:paraId="27B241A2">
            <w:pPr>
              <w:pStyle w:val="13"/>
            </w:pPr>
            <w:r>
              <w:t>100%</w:t>
            </w:r>
          </w:p>
        </w:tc>
      </w:tr>
      <w:tr w14:paraId="076E2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5D326">
            <w:pPr>
              <w:pStyle w:val="10"/>
            </w:pPr>
            <w:r>
              <w:t>绩效目标</w:t>
            </w:r>
          </w:p>
        </w:tc>
        <w:tc>
          <w:tcPr>
            <w:tcW w:w="14033" w:type="dxa"/>
            <w:gridSpan w:val="6"/>
            <w:vAlign w:val="center"/>
          </w:tcPr>
          <w:p w14:paraId="0C107381">
            <w:pPr>
              <w:pStyle w:val="12"/>
            </w:pPr>
            <w:r>
              <w:t>1.按规定拨付资金，资金拨付率100%。</w:t>
            </w:r>
          </w:p>
          <w:p w14:paraId="2040C01C">
            <w:pPr>
              <w:pStyle w:val="12"/>
            </w:pPr>
            <w:r>
              <w:t>2.筑牢教育系统网络信息安全防线，保障教育系统工作规范开展。</w:t>
            </w:r>
          </w:p>
        </w:tc>
      </w:tr>
    </w:tbl>
    <w:p w14:paraId="1AF7C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4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1103D">
            <w:pPr>
              <w:pStyle w:val="10"/>
            </w:pPr>
            <w:r>
              <w:t>一级指标</w:t>
            </w:r>
          </w:p>
        </w:tc>
        <w:tc>
          <w:tcPr>
            <w:tcW w:w="2268" w:type="dxa"/>
            <w:vAlign w:val="center"/>
          </w:tcPr>
          <w:p w14:paraId="227E7E6E">
            <w:pPr>
              <w:pStyle w:val="10"/>
            </w:pPr>
            <w:r>
              <w:t>二级指标</w:t>
            </w:r>
          </w:p>
        </w:tc>
        <w:tc>
          <w:tcPr>
            <w:tcW w:w="2835" w:type="dxa"/>
            <w:vAlign w:val="center"/>
          </w:tcPr>
          <w:p w14:paraId="5B539529">
            <w:pPr>
              <w:pStyle w:val="10"/>
            </w:pPr>
            <w:r>
              <w:t>三级指标</w:t>
            </w:r>
          </w:p>
        </w:tc>
        <w:tc>
          <w:tcPr>
            <w:tcW w:w="5386" w:type="dxa"/>
            <w:vAlign w:val="center"/>
          </w:tcPr>
          <w:p w14:paraId="6442DC5C">
            <w:pPr>
              <w:pStyle w:val="10"/>
            </w:pPr>
            <w:r>
              <w:t>绩效指标描述</w:t>
            </w:r>
          </w:p>
        </w:tc>
        <w:tc>
          <w:tcPr>
            <w:tcW w:w="2268" w:type="dxa"/>
            <w:vAlign w:val="center"/>
          </w:tcPr>
          <w:p w14:paraId="5B130F01">
            <w:pPr>
              <w:pStyle w:val="10"/>
            </w:pPr>
            <w:r>
              <w:t>指标值</w:t>
            </w:r>
          </w:p>
        </w:tc>
        <w:tc>
          <w:tcPr>
            <w:tcW w:w="1276" w:type="dxa"/>
            <w:vAlign w:val="center"/>
          </w:tcPr>
          <w:p w14:paraId="2A5173DB">
            <w:pPr>
              <w:pStyle w:val="10"/>
            </w:pPr>
            <w:r>
              <w:t>指标值确定依据</w:t>
            </w:r>
          </w:p>
        </w:tc>
      </w:tr>
      <w:tr w14:paraId="640A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78849">
            <w:pPr>
              <w:pStyle w:val="13"/>
            </w:pPr>
            <w:r>
              <w:t>产出指标</w:t>
            </w:r>
          </w:p>
        </w:tc>
        <w:tc>
          <w:tcPr>
            <w:tcW w:w="2268" w:type="dxa"/>
            <w:vAlign w:val="center"/>
          </w:tcPr>
          <w:p w14:paraId="661BE57C">
            <w:pPr>
              <w:pStyle w:val="12"/>
            </w:pPr>
            <w:r>
              <w:t>数量指标</w:t>
            </w:r>
          </w:p>
        </w:tc>
        <w:tc>
          <w:tcPr>
            <w:tcW w:w="2835" w:type="dxa"/>
            <w:vAlign w:val="center"/>
          </w:tcPr>
          <w:p w14:paraId="37BDF5D5">
            <w:pPr>
              <w:pStyle w:val="12"/>
            </w:pPr>
            <w:r>
              <w:t>办公软件授权量</w:t>
            </w:r>
          </w:p>
        </w:tc>
        <w:tc>
          <w:tcPr>
            <w:tcW w:w="5386" w:type="dxa"/>
            <w:vAlign w:val="center"/>
          </w:tcPr>
          <w:p w14:paraId="18DCAFEE">
            <w:pPr>
              <w:pStyle w:val="12"/>
            </w:pPr>
            <w:r>
              <w:t>按在岗人员 1:1 配置率</w:t>
            </w:r>
          </w:p>
        </w:tc>
        <w:tc>
          <w:tcPr>
            <w:tcW w:w="2268" w:type="dxa"/>
            <w:vAlign w:val="center"/>
          </w:tcPr>
          <w:p w14:paraId="4840F259">
            <w:pPr>
              <w:pStyle w:val="12"/>
            </w:pPr>
            <w:r>
              <w:t>100%</w:t>
            </w:r>
          </w:p>
        </w:tc>
        <w:tc>
          <w:tcPr>
            <w:tcW w:w="1276" w:type="dxa"/>
            <w:vAlign w:val="center"/>
          </w:tcPr>
          <w:p w14:paraId="2D50BBA8">
            <w:pPr>
              <w:pStyle w:val="12"/>
            </w:pPr>
            <w:r>
              <w:t>项目规划</w:t>
            </w:r>
          </w:p>
        </w:tc>
      </w:tr>
      <w:tr w14:paraId="34CA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231B"/>
        </w:tc>
        <w:tc>
          <w:tcPr>
            <w:tcW w:w="2268" w:type="dxa"/>
            <w:vAlign w:val="center"/>
          </w:tcPr>
          <w:p w14:paraId="1E187E46">
            <w:pPr>
              <w:pStyle w:val="12"/>
            </w:pPr>
            <w:r>
              <w:t>质量指标</w:t>
            </w:r>
          </w:p>
        </w:tc>
        <w:tc>
          <w:tcPr>
            <w:tcW w:w="2835" w:type="dxa"/>
            <w:vAlign w:val="center"/>
          </w:tcPr>
          <w:p w14:paraId="1763BF1C">
            <w:pPr>
              <w:pStyle w:val="12"/>
            </w:pPr>
            <w:r>
              <w:t>系统兼容性达标率</w:t>
            </w:r>
          </w:p>
        </w:tc>
        <w:tc>
          <w:tcPr>
            <w:tcW w:w="5386" w:type="dxa"/>
            <w:vAlign w:val="center"/>
          </w:tcPr>
          <w:p w14:paraId="3EBCBA42">
            <w:pPr>
              <w:pStyle w:val="12"/>
            </w:pPr>
            <w:r>
              <w:t>业务必需的专业软件（如设计、分析类）正版率</w:t>
            </w:r>
          </w:p>
        </w:tc>
        <w:tc>
          <w:tcPr>
            <w:tcW w:w="2268" w:type="dxa"/>
            <w:vAlign w:val="center"/>
          </w:tcPr>
          <w:p w14:paraId="28260629">
            <w:pPr>
              <w:pStyle w:val="12"/>
            </w:pPr>
            <w:r>
              <w:t>100%</w:t>
            </w:r>
          </w:p>
        </w:tc>
        <w:tc>
          <w:tcPr>
            <w:tcW w:w="1276" w:type="dxa"/>
            <w:vAlign w:val="center"/>
          </w:tcPr>
          <w:p w14:paraId="31BDF1BD">
            <w:pPr>
              <w:pStyle w:val="12"/>
            </w:pPr>
            <w:r>
              <w:t>项目规划</w:t>
            </w:r>
          </w:p>
        </w:tc>
      </w:tr>
      <w:tr w14:paraId="29DD66F1">
        <w:tblPrEx>
          <w:tblCellMar>
            <w:top w:w="0" w:type="dxa"/>
            <w:left w:w="108" w:type="dxa"/>
            <w:bottom w:w="0" w:type="dxa"/>
            <w:right w:w="108" w:type="dxa"/>
          </w:tblCellMar>
        </w:tblPrEx>
        <w:trPr>
          <w:trHeight w:val="397" w:hRule="atLeast"/>
          <w:jc w:val="center"/>
        </w:trPr>
        <w:tc>
          <w:tcPr>
            <w:tcW w:w="1276" w:type="dxa"/>
            <w:vMerge w:val="continue"/>
            <w:vAlign w:val="center"/>
          </w:tcPr>
          <w:p w14:paraId="701C8D2F"/>
        </w:tc>
        <w:tc>
          <w:tcPr>
            <w:tcW w:w="2268" w:type="dxa"/>
            <w:vAlign w:val="center"/>
          </w:tcPr>
          <w:p w14:paraId="1B394E32">
            <w:pPr>
              <w:pStyle w:val="12"/>
            </w:pPr>
            <w:r>
              <w:t>时效指标</w:t>
            </w:r>
          </w:p>
        </w:tc>
        <w:tc>
          <w:tcPr>
            <w:tcW w:w="2835" w:type="dxa"/>
            <w:vAlign w:val="center"/>
          </w:tcPr>
          <w:p w14:paraId="7989A33A">
            <w:pPr>
              <w:pStyle w:val="12"/>
            </w:pPr>
            <w:r>
              <w:t>按期完成资金支付</w:t>
            </w:r>
          </w:p>
        </w:tc>
        <w:tc>
          <w:tcPr>
            <w:tcW w:w="5386" w:type="dxa"/>
            <w:vAlign w:val="center"/>
          </w:tcPr>
          <w:p w14:paraId="5D6083A7">
            <w:pPr>
              <w:pStyle w:val="12"/>
            </w:pPr>
            <w:r>
              <w:t>按期完成资金支付</w:t>
            </w:r>
          </w:p>
        </w:tc>
        <w:tc>
          <w:tcPr>
            <w:tcW w:w="2268" w:type="dxa"/>
            <w:vAlign w:val="center"/>
          </w:tcPr>
          <w:p w14:paraId="373EBBC5">
            <w:pPr>
              <w:pStyle w:val="12"/>
            </w:pPr>
            <w:r>
              <w:t>100%</w:t>
            </w:r>
          </w:p>
        </w:tc>
        <w:tc>
          <w:tcPr>
            <w:tcW w:w="1276" w:type="dxa"/>
            <w:vAlign w:val="center"/>
          </w:tcPr>
          <w:p w14:paraId="50E0FB78">
            <w:pPr>
              <w:pStyle w:val="12"/>
            </w:pPr>
            <w:r>
              <w:t>项目规划</w:t>
            </w:r>
          </w:p>
        </w:tc>
      </w:tr>
      <w:tr w14:paraId="6458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14822"/>
        </w:tc>
        <w:tc>
          <w:tcPr>
            <w:tcW w:w="2268" w:type="dxa"/>
            <w:vAlign w:val="center"/>
          </w:tcPr>
          <w:p w14:paraId="2B68AEC7">
            <w:pPr>
              <w:pStyle w:val="12"/>
            </w:pPr>
            <w:r>
              <w:t>成本指标</w:t>
            </w:r>
          </w:p>
        </w:tc>
        <w:tc>
          <w:tcPr>
            <w:tcW w:w="2835" w:type="dxa"/>
            <w:vAlign w:val="center"/>
          </w:tcPr>
          <w:p w14:paraId="2739E086">
            <w:pPr>
              <w:pStyle w:val="12"/>
            </w:pPr>
            <w:r>
              <w:t>单位采购成本控制</w:t>
            </w:r>
          </w:p>
        </w:tc>
        <w:tc>
          <w:tcPr>
            <w:tcW w:w="5386" w:type="dxa"/>
            <w:vAlign w:val="center"/>
          </w:tcPr>
          <w:p w14:paraId="7144263B">
            <w:pPr>
              <w:pStyle w:val="12"/>
            </w:pPr>
            <w:r>
              <w:t>操作正版办公软件系统成本</w:t>
            </w:r>
          </w:p>
        </w:tc>
        <w:tc>
          <w:tcPr>
            <w:tcW w:w="2268" w:type="dxa"/>
            <w:vAlign w:val="center"/>
          </w:tcPr>
          <w:p w14:paraId="21A82605">
            <w:pPr>
              <w:pStyle w:val="12"/>
            </w:pPr>
            <w:r>
              <w:t>35640元</w:t>
            </w:r>
          </w:p>
        </w:tc>
        <w:tc>
          <w:tcPr>
            <w:tcW w:w="1276" w:type="dxa"/>
            <w:vAlign w:val="center"/>
          </w:tcPr>
          <w:p w14:paraId="5E2DAF88">
            <w:pPr>
              <w:pStyle w:val="12"/>
            </w:pPr>
            <w:r>
              <w:t>项目规划</w:t>
            </w:r>
          </w:p>
        </w:tc>
      </w:tr>
      <w:tr w14:paraId="594B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AE7B8">
            <w:pPr>
              <w:pStyle w:val="13"/>
            </w:pPr>
            <w:r>
              <w:t>效益指标</w:t>
            </w:r>
          </w:p>
        </w:tc>
        <w:tc>
          <w:tcPr>
            <w:tcW w:w="2268" w:type="dxa"/>
            <w:vAlign w:val="center"/>
          </w:tcPr>
          <w:p w14:paraId="1882C3EE">
            <w:pPr>
              <w:pStyle w:val="12"/>
            </w:pPr>
            <w:r>
              <w:t>可持续影响指标</w:t>
            </w:r>
          </w:p>
        </w:tc>
        <w:tc>
          <w:tcPr>
            <w:tcW w:w="2835" w:type="dxa"/>
            <w:vAlign w:val="center"/>
          </w:tcPr>
          <w:p w14:paraId="5B331CCF">
            <w:pPr>
              <w:pStyle w:val="12"/>
            </w:pPr>
            <w:r>
              <w:t>软件使用寿命</w:t>
            </w:r>
          </w:p>
        </w:tc>
        <w:tc>
          <w:tcPr>
            <w:tcW w:w="5386" w:type="dxa"/>
            <w:vAlign w:val="center"/>
          </w:tcPr>
          <w:p w14:paraId="70525929">
            <w:pPr>
              <w:pStyle w:val="12"/>
            </w:pPr>
            <w:r>
              <w:t>正版软件使用期限</w:t>
            </w:r>
          </w:p>
        </w:tc>
        <w:tc>
          <w:tcPr>
            <w:tcW w:w="2268" w:type="dxa"/>
            <w:vAlign w:val="center"/>
          </w:tcPr>
          <w:p w14:paraId="4817981F">
            <w:pPr>
              <w:pStyle w:val="12"/>
            </w:pPr>
            <w:r>
              <w:t>1年</w:t>
            </w:r>
          </w:p>
        </w:tc>
        <w:tc>
          <w:tcPr>
            <w:tcW w:w="1276" w:type="dxa"/>
            <w:vAlign w:val="center"/>
          </w:tcPr>
          <w:p w14:paraId="310F9A25">
            <w:pPr>
              <w:pStyle w:val="12"/>
            </w:pPr>
            <w:r>
              <w:t>项目规划</w:t>
            </w:r>
          </w:p>
        </w:tc>
      </w:tr>
      <w:tr w14:paraId="28AEE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EB7E8">
            <w:pPr>
              <w:pStyle w:val="13"/>
            </w:pPr>
            <w:r>
              <w:t>满意度指标</w:t>
            </w:r>
          </w:p>
        </w:tc>
        <w:tc>
          <w:tcPr>
            <w:tcW w:w="2268" w:type="dxa"/>
            <w:vAlign w:val="center"/>
          </w:tcPr>
          <w:p w14:paraId="5F48ADDD">
            <w:pPr>
              <w:pStyle w:val="12"/>
            </w:pPr>
            <w:r>
              <w:t>服务对象满意度指标</w:t>
            </w:r>
          </w:p>
        </w:tc>
        <w:tc>
          <w:tcPr>
            <w:tcW w:w="2835" w:type="dxa"/>
            <w:vAlign w:val="center"/>
          </w:tcPr>
          <w:p w14:paraId="33D236FB">
            <w:pPr>
              <w:pStyle w:val="12"/>
            </w:pPr>
            <w:r>
              <w:t>运维服务满意度</w:t>
            </w:r>
          </w:p>
        </w:tc>
        <w:tc>
          <w:tcPr>
            <w:tcW w:w="5386" w:type="dxa"/>
            <w:vAlign w:val="center"/>
          </w:tcPr>
          <w:p w14:paraId="78938B11">
            <w:pPr>
              <w:pStyle w:val="12"/>
            </w:pPr>
            <w:r>
              <w:t>正版软件运行维护服务满意度</w:t>
            </w:r>
          </w:p>
        </w:tc>
        <w:tc>
          <w:tcPr>
            <w:tcW w:w="2268" w:type="dxa"/>
            <w:vAlign w:val="center"/>
          </w:tcPr>
          <w:p w14:paraId="7B502608">
            <w:pPr>
              <w:pStyle w:val="12"/>
            </w:pPr>
            <w:r>
              <w:t>≥95%</w:t>
            </w:r>
          </w:p>
        </w:tc>
        <w:tc>
          <w:tcPr>
            <w:tcW w:w="1276" w:type="dxa"/>
            <w:vAlign w:val="center"/>
          </w:tcPr>
          <w:p w14:paraId="44B63391">
            <w:pPr>
              <w:pStyle w:val="12"/>
            </w:pPr>
            <w:r>
              <w:t>调查问卷</w:t>
            </w:r>
          </w:p>
        </w:tc>
      </w:tr>
    </w:tbl>
    <w:p w14:paraId="7762D426">
      <w:pPr>
        <w:sectPr>
          <w:pgSz w:w="16840" w:h="11900" w:orient="landscape"/>
          <w:pgMar w:top="1361" w:right="1020" w:bottom="1134" w:left="1020" w:header="720" w:footer="720" w:gutter="0"/>
          <w:cols w:space="720" w:num="1"/>
        </w:sectPr>
      </w:pPr>
    </w:p>
    <w:p w14:paraId="01AA7D0C">
      <w:pPr>
        <w:spacing w:before="10" w:after="10" w:line="240" w:lineRule="auto"/>
        <w:ind w:firstLine="640"/>
        <w:jc w:val="left"/>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3F9FEA6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782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596CA2">
            <w:pPr>
              <w:pStyle w:val="9"/>
            </w:pPr>
            <w:r>
              <w:t>360001隆尧县教育局本级</w:t>
            </w:r>
          </w:p>
        </w:tc>
        <w:tc>
          <w:tcPr>
            <w:tcW w:w="8676" w:type="dxa"/>
            <w:gridSpan w:val="9"/>
            <w:tcBorders>
              <w:top w:val="single" w:color="FFFFFF" w:sz="6" w:space="0"/>
              <w:left w:val="single" w:color="FFFFFF" w:sz="6" w:space="0"/>
              <w:right w:val="single" w:color="FFFFFF" w:sz="6" w:space="0"/>
            </w:tcBorders>
            <w:vAlign w:val="center"/>
          </w:tcPr>
          <w:p w14:paraId="18615421">
            <w:pPr>
              <w:pStyle w:val="21"/>
            </w:pPr>
            <w:r>
              <w:t>单位：万元</w:t>
            </w:r>
          </w:p>
        </w:tc>
      </w:tr>
      <w:tr w14:paraId="387E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070C8A">
            <w:pPr>
              <w:pStyle w:val="10"/>
            </w:pPr>
            <w:r>
              <w:t>政府采购项目来源</w:t>
            </w:r>
          </w:p>
        </w:tc>
        <w:tc>
          <w:tcPr>
            <w:tcW w:w="1134" w:type="dxa"/>
            <w:vMerge w:val="restart"/>
            <w:vAlign w:val="center"/>
          </w:tcPr>
          <w:p w14:paraId="50106687">
            <w:pPr>
              <w:pStyle w:val="10"/>
            </w:pPr>
            <w:r>
              <w:t>采购物品名称</w:t>
            </w:r>
          </w:p>
        </w:tc>
        <w:tc>
          <w:tcPr>
            <w:tcW w:w="1134" w:type="dxa"/>
            <w:vMerge w:val="restart"/>
            <w:vAlign w:val="center"/>
          </w:tcPr>
          <w:p w14:paraId="45A5708F">
            <w:pPr>
              <w:pStyle w:val="10"/>
            </w:pPr>
            <w:r>
              <w:t>政府采购目录序号</w:t>
            </w:r>
          </w:p>
        </w:tc>
        <w:tc>
          <w:tcPr>
            <w:tcW w:w="709" w:type="dxa"/>
            <w:vMerge w:val="restart"/>
            <w:vAlign w:val="center"/>
          </w:tcPr>
          <w:p w14:paraId="002B9DBF">
            <w:pPr>
              <w:pStyle w:val="10"/>
            </w:pPr>
            <w:r>
              <w:t>计量  单位</w:t>
            </w:r>
          </w:p>
        </w:tc>
        <w:tc>
          <w:tcPr>
            <w:tcW w:w="850" w:type="dxa"/>
            <w:vMerge w:val="restart"/>
            <w:vAlign w:val="center"/>
          </w:tcPr>
          <w:p w14:paraId="4FE4D625">
            <w:pPr>
              <w:pStyle w:val="10"/>
            </w:pPr>
            <w:r>
              <w:t>数量</w:t>
            </w:r>
          </w:p>
        </w:tc>
        <w:tc>
          <w:tcPr>
            <w:tcW w:w="850" w:type="dxa"/>
            <w:vMerge w:val="restart"/>
            <w:vAlign w:val="center"/>
          </w:tcPr>
          <w:p w14:paraId="3415439D">
            <w:pPr>
              <w:pStyle w:val="10"/>
            </w:pPr>
            <w:r>
              <w:t>单价</w:t>
            </w:r>
          </w:p>
        </w:tc>
        <w:tc>
          <w:tcPr>
            <w:tcW w:w="7712" w:type="dxa"/>
            <w:gridSpan w:val="8"/>
            <w:vAlign w:val="center"/>
          </w:tcPr>
          <w:p w14:paraId="51060964">
            <w:pPr>
              <w:pStyle w:val="10"/>
            </w:pPr>
            <w:r>
              <w:t>政府采购金额（当年部门预算安排资金）</w:t>
            </w:r>
          </w:p>
        </w:tc>
        <w:tc>
          <w:tcPr>
            <w:tcW w:w="964" w:type="dxa"/>
            <w:vMerge w:val="restart"/>
            <w:vAlign w:val="center"/>
          </w:tcPr>
          <w:p w14:paraId="7ACE502B">
            <w:pPr>
              <w:pStyle w:val="10"/>
            </w:pPr>
            <w:r>
              <w:t>2026年  预留中  小微企  业份额</w:t>
            </w:r>
          </w:p>
        </w:tc>
      </w:tr>
      <w:tr w14:paraId="2F0A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539E3A2">
            <w:pPr>
              <w:pStyle w:val="10"/>
            </w:pPr>
            <w:r>
              <w:t>项目名称</w:t>
            </w:r>
          </w:p>
        </w:tc>
        <w:tc>
          <w:tcPr>
            <w:tcW w:w="964" w:type="dxa"/>
            <w:vAlign w:val="center"/>
          </w:tcPr>
          <w:p w14:paraId="06B12E3D">
            <w:pPr>
              <w:pStyle w:val="10"/>
            </w:pPr>
            <w:r>
              <w:t>预算    资金</w:t>
            </w:r>
          </w:p>
        </w:tc>
        <w:tc>
          <w:tcPr>
            <w:tcW w:w="1134" w:type="dxa"/>
            <w:vMerge w:val="continue"/>
          </w:tcPr>
          <w:p w14:paraId="3C188D2B"/>
        </w:tc>
        <w:tc>
          <w:tcPr>
            <w:tcW w:w="1134" w:type="dxa"/>
            <w:vMerge w:val="continue"/>
          </w:tcPr>
          <w:p w14:paraId="1D9C931F"/>
        </w:tc>
        <w:tc>
          <w:tcPr>
            <w:tcW w:w="709" w:type="dxa"/>
            <w:vMerge w:val="continue"/>
          </w:tcPr>
          <w:p w14:paraId="6F5457A7"/>
        </w:tc>
        <w:tc>
          <w:tcPr>
            <w:tcW w:w="850" w:type="dxa"/>
            <w:vMerge w:val="continue"/>
          </w:tcPr>
          <w:p w14:paraId="3DD23F8A"/>
        </w:tc>
        <w:tc>
          <w:tcPr>
            <w:tcW w:w="850" w:type="dxa"/>
            <w:vMerge w:val="continue"/>
          </w:tcPr>
          <w:p w14:paraId="31B16803"/>
        </w:tc>
        <w:tc>
          <w:tcPr>
            <w:tcW w:w="964" w:type="dxa"/>
            <w:vAlign w:val="center"/>
          </w:tcPr>
          <w:p w14:paraId="32E8FEB4">
            <w:pPr>
              <w:pStyle w:val="10"/>
            </w:pPr>
            <w:r>
              <w:t>合计</w:t>
            </w:r>
          </w:p>
        </w:tc>
        <w:tc>
          <w:tcPr>
            <w:tcW w:w="964" w:type="dxa"/>
            <w:vAlign w:val="center"/>
          </w:tcPr>
          <w:p w14:paraId="6B74C06D">
            <w:pPr>
              <w:pStyle w:val="10"/>
            </w:pPr>
            <w:r>
              <w:t>一般公共预算拨款</w:t>
            </w:r>
          </w:p>
        </w:tc>
        <w:tc>
          <w:tcPr>
            <w:tcW w:w="964" w:type="dxa"/>
            <w:vAlign w:val="center"/>
          </w:tcPr>
          <w:p w14:paraId="65C53650">
            <w:pPr>
              <w:pStyle w:val="10"/>
            </w:pPr>
            <w:r>
              <w:t>基金预算拨款</w:t>
            </w:r>
          </w:p>
        </w:tc>
        <w:tc>
          <w:tcPr>
            <w:tcW w:w="964" w:type="dxa"/>
            <w:vAlign w:val="center"/>
          </w:tcPr>
          <w:p w14:paraId="4988A8B4">
            <w:pPr>
              <w:pStyle w:val="10"/>
            </w:pPr>
            <w:r>
              <w:t>国有资本经营预算拨款</w:t>
            </w:r>
          </w:p>
        </w:tc>
        <w:tc>
          <w:tcPr>
            <w:tcW w:w="964" w:type="dxa"/>
            <w:vAlign w:val="center"/>
          </w:tcPr>
          <w:p w14:paraId="4099BC6F">
            <w:pPr>
              <w:pStyle w:val="10"/>
            </w:pPr>
            <w:r>
              <w:t>财政专户核拨</w:t>
            </w:r>
          </w:p>
        </w:tc>
        <w:tc>
          <w:tcPr>
            <w:tcW w:w="964" w:type="dxa"/>
            <w:vAlign w:val="center"/>
          </w:tcPr>
          <w:p w14:paraId="0E67B66A">
            <w:pPr>
              <w:pStyle w:val="10"/>
            </w:pPr>
            <w:r>
              <w:t>单位    资金</w:t>
            </w:r>
          </w:p>
        </w:tc>
        <w:tc>
          <w:tcPr>
            <w:tcW w:w="964" w:type="dxa"/>
            <w:vAlign w:val="center"/>
          </w:tcPr>
          <w:p w14:paraId="72D55FF6">
            <w:pPr>
              <w:pStyle w:val="10"/>
            </w:pPr>
            <w:r>
              <w:t>财政拨款结转</w:t>
            </w:r>
          </w:p>
        </w:tc>
        <w:tc>
          <w:tcPr>
            <w:tcW w:w="964" w:type="dxa"/>
            <w:vAlign w:val="center"/>
          </w:tcPr>
          <w:p w14:paraId="625AF152">
            <w:pPr>
              <w:pStyle w:val="10"/>
            </w:pPr>
            <w:r>
              <w:t>非财政拨款结余</w:t>
            </w:r>
          </w:p>
        </w:tc>
        <w:tc>
          <w:tcPr>
            <w:tcW w:w="964" w:type="dxa"/>
            <w:vMerge w:val="continue"/>
          </w:tcPr>
          <w:p w14:paraId="79CE5E5B"/>
        </w:tc>
      </w:tr>
      <w:tr w14:paraId="2D74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B59DC6">
            <w:pPr>
              <w:pStyle w:val="14"/>
            </w:pPr>
            <w:r>
              <w:t>合  计</w:t>
            </w:r>
          </w:p>
        </w:tc>
        <w:tc>
          <w:tcPr>
            <w:tcW w:w="964" w:type="dxa"/>
            <w:vAlign w:val="center"/>
          </w:tcPr>
          <w:p w14:paraId="685521DF">
            <w:pPr>
              <w:pStyle w:val="15"/>
            </w:pPr>
          </w:p>
        </w:tc>
        <w:tc>
          <w:tcPr>
            <w:tcW w:w="1134" w:type="dxa"/>
            <w:vAlign w:val="center"/>
          </w:tcPr>
          <w:p w14:paraId="097A303B">
            <w:pPr>
              <w:pStyle w:val="16"/>
            </w:pPr>
          </w:p>
        </w:tc>
        <w:tc>
          <w:tcPr>
            <w:tcW w:w="1134" w:type="dxa"/>
            <w:vAlign w:val="center"/>
          </w:tcPr>
          <w:p w14:paraId="3F2250BD">
            <w:pPr>
              <w:pStyle w:val="16"/>
            </w:pPr>
          </w:p>
        </w:tc>
        <w:tc>
          <w:tcPr>
            <w:tcW w:w="709" w:type="dxa"/>
            <w:vAlign w:val="center"/>
          </w:tcPr>
          <w:p w14:paraId="10DF571E">
            <w:pPr>
              <w:pStyle w:val="14"/>
            </w:pPr>
          </w:p>
        </w:tc>
        <w:tc>
          <w:tcPr>
            <w:tcW w:w="850" w:type="dxa"/>
            <w:vAlign w:val="center"/>
          </w:tcPr>
          <w:p w14:paraId="6227FD45">
            <w:pPr>
              <w:pStyle w:val="15"/>
            </w:pPr>
          </w:p>
        </w:tc>
        <w:tc>
          <w:tcPr>
            <w:tcW w:w="850" w:type="dxa"/>
            <w:vAlign w:val="center"/>
          </w:tcPr>
          <w:p w14:paraId="5CD32F0B">
            <w:pPr>
              <w:pStyle w:val="15"/>
            </w:pPr>
          </w:p>
        </w:tc>
        <w:tc>
          <w:tcPr>
            <w:tcW w:w="964" w:type="dxa"/>
            <w:vAlign w:val="center"/>
          </w:tcPr>
          <w:p w14:paraId="7639B17F">
            <w:pPr>
              <w:pStyle w:val="15"/>
            </w:pPr>
            <w:r>
              <w:t>330.12</w:t>
            </w:r>
          </w:p>
        </w:tc>
        <w:tc>
          <w:tcPr>
            <w:tcW w:w="964" w:type="dxa"/>
            <w:vAlign w:val="center"/>
          </w:tcPr>
          <w:p w14:paraId="55363A77">
            <w:pPr>
              <w:pStyle w:val="15"/>
            </w:pPr>
            <w:r>
              <w:t>330.12</w:t>
            </w:r>
          </w:p>
        </w:tc>
        <w:tc>
          <w:tcPr>
            <w:tcW w:w="964" w:type="dxa"/>
            <w:vAlign w:val="center"/>
          </w:tcPr>
          <w:p w14:paraId="2B84C452">
            <w:pPr>
              <w:pStyle w:val="15"/>
            </w:pPr>
          </w:p>
        </w:tc>
        <w:tc>
          <w:tcPr>
            <w:tcW w:w="964" w:type="dxa"/>
            <w:vAlign w:val="center"/>
          </w:tcPr>
          <w:p w14:paraId="1DE03232">
            <w:pPr>
              <w:pStyle w:val="15"/>
            </w:pPr>
          </w:p>
        </w:tc>
        <w:tc>
          <w:tcPr>
            <w:tcW w:w="964" w:type="dxa"/>
            <w:vAlign w:val="center"/>
          </w:tcPr>
          <w:p w14:paraId="4EE5087C">
            <w:pPr>
              <w:pStyle w:val="15"/>
            </w:pPr>
          </w:p>
        </w:tc>
        <w:tc>
          <w:tcPr>
            <w:tcW w:w="964" w:type="dxa"/>
            <w:vAlign w:val="center"/>
          </w:tcPr>
          <w:p w14:paraId="71ECF010">
            <w:pPr>
              <w:pStyle w:val="15"/>
            </w:pPr>
          </w:p>
        </w:tc>
        <w:tc>
          <w:tcPr>
            <w:tcW w:w="964" w:type="dxa"/>
            <w:vAlign w:val="center"/>
          </w:tcPr>
          <w:p w14:paraId="46F93A8E">
            <w:pPr>
              <w:pStyle w:val="15"/>
            </w:pPr>
          </w:p>
        </w:tc>
        <w:tc>
          <w:tcPr>
            <w:tcW w:w="964" w:type="dxa"/>
            <w:vAlign w:val="center"/>
          </w:tcPr>
          <w:p w14:paraId="7F0D143C">
            <w:pPr>
              <w:pStyle w:val="15"/>
            </w:pPr>
          </w:p>
        </w:tc>
        <w:tc>
          <w:tcPr>
            <w:tcW w:w="964" w:type="dxa"/>
            <w:vAlign w:val="center"/>
          </w:tcPr>
          <w:p w14:paraId="01E86657">
            <w:pPr>
              <w:pStyle w:val="15"/>
            </w:pPr>
            <w:r>
              <w:t>132.05</w:t>
            </w:r>
          </w:p>
        </w:tc>
      </w:tr>
      <w:tr w14:paraId="7CF0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BD2E89">
            <w:pPr>
              <w:pStyle w:val="14"/>
            </w:pPr>
            <w:r>
              <w:t>隆尧县教育局本级小计</w:t>
            </w:r>
          </w:p>
        </w:tc>
        <w:tc>
          <w:tcPr>
            <w:tcW w:w="964" w:type="dxa"/>
            <w:vAlign w:val="center"/>
          </w:tcPr>
          <w:p w14:paraId="7CF6E949">
            <w:pPr>
              <w:pStyle w:val="15"/>
            </w:pPr>
          </w:p>
        </w:tc>
        <w:tc>
          <w:tcPr>
            <w:tcW w:w="1134" w:type="dxa"/>
            <w:vAlign w:val="center"/>
          </w:tcPr>
          <w:p w14:paraId="3E921D41">
            <w:pPr>
              <w:pStyle w:val="16"/>
            </w:pPr>
          </w:p>
        </w:tc>
        <w:tc>
          <w:tcPr>
            <w:tcW w:w="1134" w:type="dxa"/>
            <w:vAlign w:val="center"/>
          </w:tcPr>
          <w:p w14:paraId="1234B24C">
            <w:pPr>
              <w:pStyle w:val="16"/>
            </w:pPr>
          </w:p>
        </w:tc>
        <w:tc>
          <w:tcPr>
            <w:tcW w:w="709" w:type="dxa"/>
            <w:vAlign w:val="center"/>
          </w:tcPr>
          <w:p w14:paraId="2A7F91D7">
            <w:pPr>
              <w:pStyle w:val="14"/>
            </w:pPr>
          </w:p>
        </w:tc>
        <w:tc>
          <w:tcPr>
            <w:tcW w:w="850" w:type="dxa"/>
            <w:vAlign w:val="center"/>
          </w:tcPr>
          <w:p w14:paraId="06727C5B">
            <w:pPr>
              <w:pStyle w:val="15"/>
            </w:pPr>
          </w:p>
        </w:tc>
        <w:tc>
          <w:tcPr>
            <w:tcW w:w="850" w:type="dxa"/>
            <w:vAlign w:val="center"/>
          </w:tcPr>
          <w:p w14:paraId="02136C9F">
            <w:pPr>
              <w:pStyle w:val="15"/>
            </w:pPr>
          </w:p>
        </w:tc>
        <w:tc>
          <w:tcPr>
            <w:tcW w:w="964" w:type="dxa"/>
            <w:vAlign w:val="center"/>
          </w:tcPr>
          <w:p w14:paraId="1DE18C15">
            <w:pPr>
              <w:pStyle w:val="15"/>
            </w:pPr>
            <w:r>
              <w:t>330.12</w:t>
            </w:r>
          </w:p>
        </w:tc>
        <w:tc>
          <w:tcPr>
            <w:tcW w:w="964" w:type="dxa"/>
            <w:vAlign w:val="center"/>
          </w:tcPr>
          <w:p w14:paraId="3C39D8F5">
            <w:pPr>
              <w:pStyle w:val="15"/>
            </w:pPr>
            <w:r>
              <w:t>330.12</w:t>
            </w:r>
          </w:p>
        </w:tc>
        <w:tc>
          <w:tcPr>
            <w:tcW w:w="964" w:type="dxa"/>
            <w:vAlign w:val="center"/>
          </w:tcPr>
          <w:p w14:paraId="292D9B95">
            <w:pPr>
              <w:pStyle w:val="15"/>
            </w:pPr>
          </w:p>
        </w:tc>
        <w:tc>
          <w:tcPr>
            <w:tcW w:w="964" w:type="dxa"/>
            <w:vAlign w:val="center"/>
          </w:tcPr>
          <w:p w14:paraId="48F46E26">
            <w:pPr>
              <w:pStyle w:val="15"/>
            </w:pPr>
          </w:p>
        </w:tc>
        <w:tc>
          <w:tcPr>
            <w:tcW w:w="964" w:type="dxa"/>
            <w:vAlign w:val="center"/>
          </w:tcPr>
          <w:p w14:paraId="5EB28EF1">
            <w:pPr>
              <w:pStyle w:val="15"/>
            </w:pPr>
          </w:p>
        </w:tc>
        <w:tc>
          <w:tcPr>
            <w:tcW w:w="964" w:type="dxa"/>
            <w:vAlign w:val="center"/>
          </w:tcPr>
          <w:p w14:paraId="3212A32C">
            <w:pPr>
              <w:pStyle w:val="15"/>
            </w:pPr>
          </w:p>
        </w:tc>
        <w:tc>
          <w:tcPr>
            <w:tcW w:w="964" w:type="dxa"/>
            <w:vAlign w:val="center"/>
          </w:tcPr>
          <w:p w14:paraId="4FC443CF">
            <w:pPr>
              <w:pStyle w:val="15"/>
            </w:pPr>
          </w:p>
        </w:tc>
        <w:tc>
          <w:tcPr>
            <w:tcW w:w="964" w:type="dxa"/>
            <w:vAlign w:val="center"/>
          </w:tcPr>
          <w:p w14:paraId="65E24AD3">
            <w:pPr>
              <w:pStyle w:val="15"/>
            </w:pPr>
          </w:p>
        </w:tc>
        <w:tc>
          <w:tcPr>
            <w:tcW w:w="964" w:type="dxa"/>
            <w:vAlign w:val="center"/>
          </w:tcPr>
          <w:p w14:paraId="30F5F460">
            <w:pPr>
              <w:pStyle w:val="15"/>
            </w:pPr>
            <w:r>
              <w:t>132.05</w:t>
            </w:r>
          </w:p>
        </w:tc>
      </w:tr>
      <w:tr w14:paraId="00CA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2BCC5E">
            <w:pPr>
              <w:pStyle w:val="12"/>
            </w:pPr>
            <w:r>
              <w:t>隆尧县小学安保项目</w:t>
            </w:r>
          </w:p>
        </w:tc>
        <w:tc>
          <w:tcPr>
            <w:tcW w:w="964" w:type="dxa"/>
            <w:vAlign w:val="center"/>
          </w:tcPr>
          <w:p w14:paraId="32A9C431">
            <w:pPr>
              <w:pStyle w:val="11"/>
            </w:pPr>
            <w:r>
              <w:t>330.12</w:t>
            </w:r>
          </w:p>
        </w:tc>
        <w:tc>
          <w:tcPr>
            <w:tcW w:w="1134" w:type="dxa"/>
            <w:vAlign w:val="center"/>
          </w:tcPr>
          <w:p w14:paraId="29B5412E">
            <w:pPr>
              <w:pStyle w:val="12"/>
            </w:pPr>
            <w:r>
              <w:t>保安服务</w:t>
            </w:r>
          </w:p>
        </w:tc>
        <w:tc>
          <w:tcPr>
            <w:tcW w:w="1134" w:type="dxa"/>
            <w:vAlign w:val="center"/>
          </w:tcPr>
          <w:p w14:paraId="063A1AF5">
            <w:pPr>
              <w:pStyle w:val="12"/>
            </w:pPr>
            <w:r>
              <w:t>C05040300</w:t>
            </w:r>
          </w:p>
        </w:tc>
        <w:tc>
          <w:tcPr>
            <w:tcW w:w="709" w:type="dxa"/>
            <w:vAlign w:val="center"/>
          </w:tcPr>
          <w:p w14:paraId="031E060B">
            <w:pPr>
              <w:pStyle w:val="13"/>
            </w:pPr>
            <w:r>
              <w:t>项</w:t>
            </w:r>
          </w:p>
        </w:tc>
        <w:tc>
          <w:tcPr>
            <w:tcW w:w="850" w:type="dxa"/>
            <w:vAlign w:val="center"/>
          </w:tcPr>
          <w:p w14:paraId="6D05BDDB">
            <w:pPr>
              <w:pStyle w:val="11"/>
            </w:pPr>
            <w:r>
              <w:t>1</w:t>
            </w:r>
          </w:p>
        </w:tc>
        <w:tc>
          <w:tcPr>
            <w:tcW w:w="850" w:type="dxa"/>
            <w:vAlign w:val="center"/>
          </w:tcPr>
          <w:p w14:paraId="671FAABD">
            <w:pPr>
              <w:pStyle w:val="11"/>
            </w:pPr>
            <w:r>
              <w:t>330.12</w:t>
            </w:r>
          </w:p>
        </w:tc>
        <w:tc>
          <w:tcPr>
            <w:tcW w:w="964" w:type="dxa"/>
            <w:vAlign w:val="center"/>
          </w:tcPr>
          <w:p w14:paraId="3A9BF251">
            <w:pPr>
              <w:pStyle w:val="11"/>
            </w:pPr>
            <w:r>
              <w:t>330.12</w:t>
            </w:r>
          </w:p>
        </w:tc>
        <w:tc>
          <w:tcPr>
            <w:tcW w:w="964" w:type="dxa"/>
            <w:vAlign w:val="center"/>
          </w:tcPr>
          <w:p w14:paraId="5153C2D8">
            <w:pPr>
              <w:pStyle w:val="11"/>
            </w:pPr>
            <w:r>
              <w:t>330.12</w:t>
            </w:r>
          </w:p>
        </w:tc>
        <w:tc>
          <w:tcPr>
            <w:tcW w:w="964" w:type="dxa"/>
            <w:vAlign w:val="center"/>
          </w:tcPr>
          <w:p w14:paraId="10FF74F9">
            <w:pPr>
              <w:pStyle w:val="11"/>
            </w:pPr>
          </w:p>
        </w:tc>
        <w:tc>
          <w:tcPr>
            <w:tcW w:w="964" w:type="dxa"/>
            <w:vAlign w:val="center"/>
          </w:tcPr>
          <w:p w14:paraId="692BD1EF">
            <w:pPr>
              <w:pStyle w:val="11"/>
            </w:pPr>
          </w:p>
        </w:tc>
        <w:tc>
          <w:tcPr>
            <w:tcW w:w="964" w:type="dxa"/>
            <w:vAlign w:val="center"/>
          </w:tcPr>
          <w:p w14:paraId="246B985B">
            <w:pPr>
              <w:pStyle w:val="11"/>
            </w:pPr>
          </w:p>
        </w:tc>
        <w:tc>
          <w:tcPr>
            <w:tcW w:w="964" w:type="dxa"/>
            <w:vAlign w:val="center"/>
          </w:tcPr>
          <w:p w14:paraId="577535C6">
            <w:pPr>
              <w:pStyle w:val="11"/>
            </w:pPr>
          </w:p>
        </w:tc>
        <w:tc>
          <w:tcPr>
            <w:tcW w:w="964" w:type="dxa"/>
            <w:vAlign w:val="center"/>
          </w:tcPr>
          <w:p w14:paraId="2BF38139">
            <w:pPr>
              <w:pStyle w:val="11"/>
            </w:pPr>
          </w:p>
        </w:tc>
        <w:tc>
          <w:tcPr>
            <w:tcW w:w="964" w:type="dxa"/>
            <w:vAlign w:val="center"/>
          </w:tcPr>
          <w:p w14:paraId="5D8F578E">
            <w:pPr>
              <w:pStyle w:val="11"/>
            </w:pPr>
          </w:p>
        </w:tc>
        <w:tc>
          <w:tcPr>
            <w:tcW w:w="964" w:type="dxa"/>
            <w:vAlign w:val="center"/>
          </w:tcPr>
          <w:p w14:paraId="24FCDF77">
            <w:pPr>
              <w:pStyle w:val="11"/>
            </w:pPr>
            <w:r>
              <w:t>132.05</w:t>
            </w:r>
          </w:p>
        </w:tc>
      </w:tr>
    </w:tbl>
    <w:p w14:paraId="1877D3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A49B80">
      <w:pPr>
        <w:spacing w:before="0" w:after="0"/>
        <w:ind w:firstLine="640"/>
        <w:jc w:val="left"/>
        <w:outlineLvl w:val="9"/>
      </w:pPr>
      <w:r>
        <w:rPr>
          <w:rFonts w:ascii="Times New Roman" w:hAnsi="Times New Roman" w:eastAsia="方正仿宋_GBK" w:cs="Times New Roman"/>
          <w:color w:val="000000"/>
          <w:sz w:val="32"/>
        </w:rPr>
        <w:t xml:space="preserve"> </w:t>
      </w:r>
    </w:p>
    <w:p w14:paraId="7467C303">
      <w:pPr>
        <w:spacing w:before="10" w:after="10" w:line="240" w:lineRule="auto"/>
        <w:ind w:firstLine="640"/>
        <w:jc w:val="left"/>
        <w:outlineLvl w:val="5"/>
        <w:rPr>
          <w:rFonts w:ascii="黑体" w:hAnsi="黑体" w:eastAsia="黑体" w:cs="黑体"/>
          <w:color w:val="000000"/>
          <w:sz w:val="32"/>
        </w:rPr>
      </w:pPr>
    </w:p>
    <w:p w14:paraId="0CA241A4">
      <w:pPr>
        <w:spacing w:before="10" w:after="10" w:line="240" w:lineRule="auto"/>
        <w:ind w:firstLine="640"/>
        <w:jc w:val="left"/>
        <w:outlineLvl w:val="5"/>
        <w:rPr>
          <w:rFonts w:ascii="黑体" w:hAnsi="黑体" w:eastAsia="黑体" w:cs="黑体"/>
          <w:color w:val="000000"/>
          <w:sz w:val="32"/>
        </w:rPr>
      </w:pPr>
    </w:p>
    <w:p w14:paraId="1C855B2F">
      <w:pPr>
        <w:spacing w:before="10" w:after="10" w:line="240" w:lineRule="auto"/>
        <w:ind w:firstLine="640"/>
        <w:jc w:val="left"/>
        <w:outlineLvl w:val="5"/>
        <w:rPr>
          <w:rFonts w:ascii="黑体" w:hAnsi="黑体" w:eastAsia="黑体" w:cs="黑体"/>
          <w:color w:val="000000"/>
          <w:sz w:val="32"/>
        </w:rPr>
      </w:pPr>
    </w:p>
    <w:p w14:paraId="0C455DA8">
      <w:pPr>
        <w:spacing w:before="10" w:after="10" w:line="240" w:lineRule="auto"/>
        <w:ind w:firstLine="640"/>
        <w:jc w:val="left"/>
        <w:outlineLvl w:val="5"/>
        <w:rPr>
          <w:rFonts w:ascii="黑体" w:hAnsi="黑体" w:eastAsia="黑体" w:cs="黑体"/>
          <w:color w:val="000000"/>
          <w:sz w:val="32"/>
        </w:rPr>
      </w:pPr>
    </w:p>
    <w:p w14:paraId="0071C39A">
      <w:pPr>
        <w:spacing w:before="10" w:after="10" w:line="240" w:lineRule="auto"/>
        <w:ind w:firstLine="640"/>
        <w:jc w:val="left"/>
        <w:outlineLvl w:val="5"/>
        <w:rPr>
          <w:rFonts w:ascii="黑体" w:hAnsi="黑体" w:eastAsia="黑体" w:cs="黑体"/>
          <w:color w:val="000000"/>
          <w:sz w:val="32"/>
        </w:rPr>
      </w:pPr>
    </w:p>
    <w:p w14:paraId="11E06C63">
      <w:pPr>
        <w:spacing w:before="10" w:after="10" w:line="240" w:lineRule="auto"/>
        <w:ind w:firstLine="640"/>
        <w:jc w:val="left"/>
        <w:outlineLvl w:val="5"/>
        <w:rPr>
          <w:rFonts w:ascii="黑体" w:hAnsi="黑体" w:eastAsia="黑体" w:cs="黑体"/>
          <w:color w:val="000000"/>
          <w:sz w:val="32"/>
        </w:rPr>
      </w:pPr>
    </w:p>
    <w:p w14:paraId="02F2F2E0">
      <w:pPr>
        <w:spacing w:before="10" w:after="10" w:line="240" w:lineRule="auto"/>
        <w:ind w:firstLine="640"/>
        <w:jc w:val="left"/>
        <w:outlineLvl w:val="5"/>
        <w:rPr>
          <w:rFonts w:ascii="黑体" w:hAnsi="黑体" w:eastAsia="黑体" w:cs="黑体"/>
          <w:color w:val="000000"/>
          <w:sz w:val="32"/>
        </w:rPr>
      </w:pPr>
    </w:p>
    <w:p w14:paraId="2A846783">
      <w:pPr>
        <w:spacing w:before="10" w:after="10" w:line="240" w:lineRule="auto"/>
        <w:ind w:firstLine="640"/>
        <w:jc w:val="left"/>
        <w:outlineLvl w:val="5"/>
        <w:rPr>
          <w:rFonts w:ascii="黑体" w:hAnsi="黑体" w:eastAsia="黑体" w:cs="黑体"/>
          <w:color w:val="000000"/>
          <w:sz w:val="32"/>
        </w:rPr>
      </w:pPr>
    </w:p>
    <w:p w14:paraId="53AFA654">
      <w:pPr>
        <w:spacing w:before="10" w:after="10" w:line="240" w:lineRule="auto"/>
        <w:ind w:firstLine="640"/>
        <w:jc w:val="left"/>
        <w:outlineLvl w:val="5"/>
        <w:rPr>
          <w:rFonts w:ascii="黑体" w:hAnsi="黑体" w:eastAsia="黑体" w:cs="黑体"/>
          <w:color w:val="000000"/>
          <w:sz w:val="32"/>
        </w:rPr>
      </w:pPr>
    </w:p>
    <w:p w14:paraId="36C72F3B">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4E8FAF35">
      <w:pPr>
        <w:spacing w:before="0" w:after="0" w:line="500" w:lineRule="exact"/>
        <w:ind w:firstLine="560"/>
        <w:jc w:val="left"/>
        <w:outlineLvl w:val="9"/>
      </w:pPr>
      <w:r>
        <w:rPr>
          <w:rFonts w:ascii="Times New Roman" w:hAnsi="Times New Roman" w:eastAsia="方正仿宋_GBK" w:cs="Times New Roman"/>
          <w:b w:val="0"/>
          <w:color w:val="000000"/>
          <w:sz w:val="28"/>
        </w:rPr>
        <w:t>隆尧县教育局本级上年末固定资产金额为162.69万元（详见下表）。本年度拟购置固定资产总额为5.80万元，已按要求列入政府采购预算，详见政府采购预算表。</w:t>
      </w:r>
    </w:p>
    <w:p w14:paraId="21C59C9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26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5CAF00">
            <w:pPr>
              <w:pStyle w:val="9"/>
            </w:pPr>
            <w:r>
              <w:t>360001隆尧县教育局本级</w:t>
            </w:r>
          </w:p>
        </w:tc>
        <w:tc>
          <w:tcPr>
            <w:tcW w:w="5670" w:type="dxa"/>
            <w:gridSpan w:val="2"/>
            <w:tcBorders>
              <w:top w:val="single" w:color="FFFFFF" w:sz="6" w:space="0"/>
              <w:left w:val="single" w:color="FFFFFF" w:sz="6" w:space="0"/>
              <w:right w:val="single" w:color="FFFFFF" w:sz="6" w:space="0"/>
            </w:tcBorders>
            <w:vAlign w:val="center"/>
          </w:tcPr>
          <w:p w14:paraId="7C6A50EF">
            <w:pPr>
              <w:pStyle w:val="7"/>
            </w:pPr>
            <w:r>
              <w:t>截止时间：2025-12-31</w:t>
            </w:r>
          </w:p>
        </w:tc>
      </w:tr>
      <w:tr w14:paraId="4289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835D49">
            <w:pPr>
              <w:pStyle w:val="10"/>
            </w:pPr>
            <w:r>
              <w:t>项   目</w:t>
            </w:r>
          </w:p>
        </w:tc>
        <w:tc>
          <w:tcPr>
            <w:tcW w:w="2835" w:type="dxa"/>
            <w:vAlign w:val="center"/>
          </w:tcPr>
          <w:p w14:paraId="04855B20">
            <w:pPr>
              <w:pStyle w:val="10"/>
            </w:pPr>
            <w:r>
              <w:t>数量</w:t>
            </w:r>
          </w:p>
        </w:tc>
        <w:tc>
          <w:tcPr>
            <w:tcW w:w="2835" w:type="dxa"/>
            <w:vAlign w:val="center"/>
          </w:tcPr>
          <w:p w14:paraId="261C9C43">
            <w:pPr>
              <w:pStyle w:val="10"/>
            </w:pPr>
            <w:r>
              <w:t>价值（金额单位：万元）</w:t>
            </w:r>
          </w:p>
        </w:tc>
      </w:tr>
      <w:tr w14:paraId="13F6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F9F6B0">
            <w:pPr>
              <w:pStyle w:val="12"/>
            </w:pPr>
            <w:r>
              <w:t>资产总额</w:t>
            </w:r>
          </w:p>
        </w:tc>
        <w:tc>
          <w:tcPr>
            <w:tcW w:w="2835" w:type="dxa"/>
            <w:vAlign w:val="center"/>
          </w:tcPr>
          <w:p w14:paraId="35809B76">
            <w:pPr>
              <w:pStyle w:val="13"/>
            </w:pPr>
          </w:p>
        </w:tc>
        <w:tc>
          <w:tcPr>
            <w:tcW w:w="2835" w:type="dxa"/>
            <w:vAlign w:val="center"/>
          </w:tcPr>
          <w:p w14:paraId="7BBDEF91">
            <w:pPr>
              <w:pStyle w:val="11"/>
            </w:pPr>
            <w:r>
              <w:t>162.69</w:t>
            </w:r>
          </w:p>
        </w:tc>
      </w:tr>
      <w:tr w14:paraId="7851B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CF9A94">
            <w:pPr>
              <w:pStyle w:val="12"/>
            </w:pPr>
            <w:r>
              <w:t>1、房屋（平方米）</w:t>
            </w:r>
          </w:p>
        </w:tc>
        <w:tc>
          <w:tcPr>
            <w:tcW w:w="2835" w:type="dxa"/>
            <w:vAlign w:val="center"/>
          </w:tcPr>
          <w:p w14:paraId="7EA9B264">
            <w:pPr>
              <w:pStyle w:val="13"/>
            </w:pPr>
          </w:p>
        </w:tc>
        <w:tc>
          <w:tcPr>
            <w:tcW w:w="2835" w:type="dxa"/>
            <w:vAlign w:val="center"/>
          </w:tcPr>
          <w:p w14:paraId="04980F6D">
            <w:pPr>
              <w:pStyle w:val="11"/>
            </w:pPr>
          </w:p>
        </w:tc>
      </w:tr>
      <w:tr w14:paraId="43E1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6F76CB">
            <w:pPr>
              <w:pStyle w:val="12"/>
            </w:pPr>
            <w:r>
              <w:t>　　其中：办公用房（平方米）</w:t>
            </w:r>
          </w:p>
        </w:tc>
        <w:tc>
          <w:tcPr>
            <w:tcW w:w="2835" w:type="dxa"/>
            <w:vAlign w:val="center"/>
          </w:tcPr>
          <w:p w14:paraId="53F09C7E">
            <w:pPr>
              <w:pStyle w:val="13"/>
            </w:pPr>
          </w:p>
        </w:tc>
        <w:tc>
          <w:tcPr>
            <w:tcW w:w="2835" w:type="dxa"/>
            <w:vAlign w:val="center"/>
          </w:tcPr>
          <w:p w14:paraId="770115E6">
            <w:pPr>
              <w:pStyle w:val="11"/>
            </w:pPr>
          </w:p>
        </w:tc>
      </w:tr>
      <w:tr w14:paraId="1E9B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D072D1">
            <w:pPr>
              <w:pStyle w:val="12"/>
            </w:pPr>
            <w:r>
              <w:t>2、车辆（台、辆）</w:t>
            </w:r>
          </w:p>
        </w:tc>
        <w:tc>
          <w:tcPr>
            <w:tcW w:w="2835" w:type="dxa"/>
            <w:vAlign w:val="center"/>
          </w:tcPr>
          <w:p w14:paraId="263F637C">
            <w:pPr>
              <w:pStyle w:val="13"/>
            </w:pPr>
          </w:p>
        </w:tc>
        <w:tc>
          <w:tcPr>
            <w:tcW w:w="2835" w:type="dxa"/>
            <w:vAlign w:val="center"/>
          </w:tcPr>
          <w:p w14:paraId="6B08A857">
            <w:pPr>
              <w:pStyle w:val="11"/>
            </w:pPr>
          </w:p>
        </w:tc>
      </w:tr>
      <w:tr w14:paraId="5DBB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E6F45">
            <w:pPr>
              <w:pStyle w:val="12"/>
            </w:pPr>
            <w:r>
              <w:t>3、单价在20万元以上的设备</w:t>
            </w:r>
          </w:p>
        </w:tc>
        <w:tc>
          <w:tcPr>
            <w:tcW w:w="2835" w:type="dxa"/>
            <w:vAlign w:val="center"/>
          </w:tcPr>
          <w:p w14:paraId="2C027D1F">
            <w:pPr>
              <w:pStyle w:val="13"/>
            </w:pPr>
          </w:p>
        </w:tc>
        <w:tc>
          <w:tcPr>
            <w:tcW w:w="2835" w:type="dxa"/>
            <w:vAlign w:val="center"/>
          </w:tcPr>
          <w:p w14:paraId="08928A7A">
            <w:pPr>
              <w:pStyle w:val="11"/>
            </w:pPr>
          </w:p>
        </w:tc>
      </w:tr>
      <w:tr w14:paraId="4FBA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300623">
            <w:pPr>
              <w:pStyle w:val="12"/>
            </w:pPr>
            <w:r>
              <w:t>4、其他固定资产</w:t>
            </w:r>
          </w:p>
        </w:tc>
        <w:tc>
          <w:tcPr>
            <w:tcW w:w="2835" w:type="dxa"/>
            <w:vAlign w:val="center"/>
          </w:tcPr>
          <w:p w14:paraId="4D565162">
            <w:pPr>
              <w:pStyle w:val="13"/>
            </w:pPr>
            <w:r>
              <w:t>956</w:t>
            </w:r>
          </w:p>
        </w:tc>
        <w:tc>
          <w:tcPr>
            <w:tcW w:w="2835" w:type="dxa"/>
            <w:vAlign w:val="center"/>
          </w:tcPr>
          <w:p w14:paraId="20C67CE2">
            <w:pPr>
              <w:pStyle w:val="11"/>
            </w:pPr>
            <w:r>
              <w:t>162.69</w:t>
            </w:r>
          </w:p>
        </w:tc>
      </w:tr>
    </w:tbl>
    <w:p w14:paraId="4877BECF">
      <w:pPr>
        <w:spacing w:before="0" w:after="0"/>
        <w:ind w:firstLine="640"/>
        <w:jc w:val="left"/>
        <w:outlineLvl w:val="9"/>
      </w:pPr>
      <w:r>
        <w:rPr>
          <w:rFonts w:ascii="Times New Roman" w:hAnsi="Times New Roman" w:eastAsia="方正仿宋_GBK" w:cs="Times New Roman"/>
          <w:color w:val="000000"/>
          <w:sz w:val="32"/>
        </w:rPr>
        <w:t xml:space="preserve"> </w:t>
      </w:r>
    </w:p>
    <w:p w14:paraId="232421D9">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758461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C3B64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1B2F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FA7C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BD281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4E8FF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8F8EF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A3CDB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6C52C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0164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7D238B">
      <w:pPr>
        <w:spacing w:before="10" w:after="10" w:line="240" w:lineRule="auto"/>
        <w:ind w:firstLine="640"/>
        <w:jc w:val="left"/>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25ED9FD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D2AF767">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二、河北隆尧第一中学收支预算</w:t>
      </w:r>
      <w:bookmarkEnd w:id="1"/>
    </w:p>
    <w:p w14:paraId="0A99B1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978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E436D3">
            <w:pPr>
              <w:pStyle w:val="9"/>
            </w:pPr>
            <w:r>
              <w:t>360003河北隆尧第一中学</w:t>
            </w:r>
          </w:p>
        </w:tc>
        <w:tc>
          <w:tcPr>
            <w:tcW w:w="2126" w:type="dxa"/>
            <w:tcBorders>
              <w:top w:val="single" w:color="FFFFFF" w:sz="6" w:space="0"/>
              <w:left w:val="single" w:color="FFFFFF" w:sz="6" w:space="0"/>
              <w:right w:val="single" w:color="FFFFFF" w:sz="6" w:space="0"/>
            </w:tcBorders>
            <w:vAlign w:val="center"/>
          </w:tcPr>
          <w:p w14:paraId="138F725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9B0CD74">
            <w:pPr>
              <w:pStyle w:val="7"/>
            </w:pPr>
            <w:r>
              <w:t>单位：万元</w:t>
            </w:r>
          </w:p>
        </w:tc>
      </w:tr>
      <w:tr w14:paraId="43BA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3CE4F">
            <w:pPr>
              <w:pStyle w:val="10"/>
            </w:pPr>
            <w:r>
              <w:t>序号</w:t>
            </w:r>
          </w:p>
        </w:tc>
        <w:tc>
          <w:tcPr>
            <w:tcW w:w="6661" w:type="dxa"/>
            <w:gridSpan w:val="2"/>
            <w:vAlign w:val="center"/>
          </w:tcPr>
          <w:p w14:paraId="27096FF5">
            <w:pPr>
              <w:pStyle w:val="10"/>
            </w:pPr>
            <w:r>
              <w:t>收入</w:t>
            </w:r>
          </w:p>
        </w:tc>
        <w:tc>
          <w:tcPr>
            <w:tcW w:w="6661" w:type="dxa"/>
            <w:gridSpan w:val="2"/>
            <w:vAlign w:val="center"/>
          </w:tcPr>
          <w:p w14:paraId="52761521">
            <w:pPr>
              <w:pStyle w:val="10"/>
            </w:pPr>
            <w:r>
              <w:t>支出</w:t>
            </w:r>
          </w:p>
        </w:tc>
      </w:tr>
      <w:tr w14:paraId="38AE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64770"/>
        </w:tc>
        <w:tc>
          <w:tcPr>
            <w:tcW w:w="4535" w:type="dxa"/>
            <w:vAlign w:val="center"/>
          </w:tcPr>
          <w:p w14:paraId="0491A9AB">
            <w:pPr>
              <w:pStyle w:val="10"/>
            </w:pPr>
            <w:r>
              <w:t>项  目</w:t>
            </w:r>
          </w:p>
        </w:tc>
        <w:tc>
          <w:tcPr>
            <w:tcW w:w="2126" w:type="dxa"/>
            <w:vAlign w:val="center"/>
          </w:tcPr>
          <w:p w14:paraId="148EE537">
            <w:pPr>
              <w:pStyle w:val="10"/>
            </w:pPr>
            <w:r>
              <w:t>预算数</w:t>
            </w:r>
          </w:p>
        </w:tc>
        <w:tc>
          <w:tcPr>
            <w:tcW w:w="4535" w:type="dxa"/>
            <w:vAlign w:val="center"/>
          </w:tcPr>
          <w:p w14:paraId="57B205A4">
            <w:pPr>
              <w:pStyle w:val="10"/>
            </w:pPr>
            <w:r>
              <w:t>项  目</w:t>
            </w:r>
          </w:p>
        </w:tc>
        <w:tc>
          <w:tcPr>
            <w:tcW w:w="2126" w:type="dxa"/>
            <w:vAlign w:val="center"/>
          </w:tcPr>
          <w:p w14:paraId="6870D843">
            <w:pPr>
              <w:pStyle w:val="10"/>
            </w:pPr>
            <w:r>
              <w:t>预算数</w:t>
            </w:r>
          </w:p>
        </w:tc>
      </w:tr>
      <w:tr w14:paraId="0A4B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C3DE2D">
            <w:pPr>
              <w:pStyle w:val="10"/>
            </w:pPr>
            <w:r>
              <w:t>栏次</w:t>
            </w:r>
          </w:p>
        </w:tc>
        <w:tc>
          <w:tcPr>
            <w:tcW w:w="4535" w:type="dxa"/>
            <w:vAlign w:val="center"/>
          </w:tcPr>
          <w:p w14:paraId="6CFC982D">
            <w:pPr>
              <w:pStyle w:val="10"/>
            </w:pPr>
            <w:r>
              <w:t>1</w:t>
            </w:r>
          </w:p>
        </w:tc>
        <w:tc>
          <w:tcPr>
            <w:tcW w:w="2126" w:type="dxa"/>
            <w:vAlign w:val="center"/>
          </w:tcPr>
          <w:p w14:paraId="0A464FAE">
            <w:pPr>
              <w:pStyle w:val="10"/>
            </w:pPr>
            <w:r>
              <w:t>2</w:t>
            </w:r>
          </w:p>
        </w:tc>
        <w:tc>
          <w:tcPr>
            <w:tcW w:w="4535" w:type="dxa"/>
            <w:vAlign w:val="center"/>
          </w:tcPr>
          <w:p w14:paraId="3C9C4319">
            <w:pPr>
              <w:pStyle w:val="10"/>
            </w:pPr>
            <w:r>
              <w:t>3</w:t>
            </w:r>
          </w:p>
        </w:tc>
        <w:tc>
          <w:tcPr>
            <w:tcW w:w="2126" w:type="dxa"/>
            <w:vAlign w:val="center"/>
          </w:tcPr>
          <w:p w14:paraId="42F16D93">
            <w:pPr>
              <w:pStyle w:val="10"/>
            </w:pPr>
            <w:r>
              <w:t>4</w:t>
            </w:r>
          </w:p>
        </w:tc>
      </w:tr>
      <w:tr w14:paraId="3EBD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3F69A">
            <w:pPr>
              <w:pStyle w:val="13"/>
            </w:pPr>
            <w:r>
              <w:t>1</w:t>
            </w:r>
          </w:p>
        </w:tc>
        <w:tc>
          <w:tcPr>
            <w:tcW w:w="4535" w:type="dxa"/>
            <w:vAlign w:val="center"/>
          </w:tcPr>
          <w:p w14:paraId="76FED359">
            <w:pPr>
              <w:pStyle w:val="12"/>
            </w:pPr>
            <w:r>
              <w:t>一、一般公共预算拨款收入</w:t>
            </w:r>
          </w:p>
        </w:tc>
        <w:tc>
          <w:tcPr>
            <w:tcW w:w="2126" w:type="dxa"/>
            <w:vAlign w:val="center"/>
          </w:tcPr>
          <w:p w14:paraId="697BDCBD">
            <w:pPr>
              <w:pStyle w:val="11"/>
            </w:pPr>
            <w:r>
              <w:t>5250.40</w:t>
            </w:r>
          </w:p>
        </w:tc>
        <w:tc>
          <w:tcPr>
            <w:tcW w:w="4535" w:type="dxa"/>
            <w:vAlign w:val="center"/>
          </w:tcPr>
          <w:p w14:paraId="4E60CD10">
            <w:pPr>
              <w:pStyle w:val="12"/>
            </w:pPr>
            <w:r>
              <w:t>一、一般公共服务支出</w:t>
            </w:r>
          </w:p>
        </w:tc>
        <w:tc>
          <w:tcPr>
            <w:tcW w:w="2126" w:type="dxa"/>
            <w:vAlign w:val="center"/>
          </w:tcPr>
          <w:p w14:paraId="02D7B74F">
            <w:pPr>
              <w:pStyle w:val="11"/>
            </w:pPr>
          </w:p>
        </w:tc>
      </w:tr>
      <w:tr w14:paraId="212D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BFD22">
            <w:pPr>
              <w:pStyle w:val="13"/>
            </w:pPr>
            <w:r>
              <w:t>2</w:t>
            </w:r>
          </w:p>
        </w:tc>
        <w:tc>
          <w:tcPr>
            <w:tcW w:w="4535" w:type="dxa"/>
            <w:vAlign w:val="center"/>
          </w:tcPr>
          <w:p w14:paraId="5D636304">
            <w:pPr>
              <w:pStyle w:val="12"/>
            </w:pPr>
            <w:r>
              <w:t>二、政府性基金预算拨款收入</w:t>
            </w:r>
          </w:p>
        </w:tc>
        <w:tc>
          <w:tcPr>
            <w:tcW w:w="2126" w:type="dxa"/>
            <w:vAlign w:val="center"/>
          </w:tcPr>
          <w:p w14:paraId="7BE59B07">
            <w:pPr>
              <w:pStyle w:val="11"/>
            </w:pPr>
          </w:p>
        </w:tc>
        <w:tc>
          <w:tcPr>
            <w:tcW w:w="4535" w:type="dxa"/>
            <w:vAlign w:val="center"/>
          </w:tcPr>
          <w:p w14:paraId="59718707">
            <w:pPr>
              <w:pStyle w:val="12"/>
            </w:pPr>
            <w:r>
              <w:t>二、外交支出</w:t>
            </w:r>
          </w:p>
        </w:tc>
        <w:tc>
          <w:tcPr>
            <w:tcW w:w="2126" w:type="dxa"/>
            <w:vAlign w:val="center"/>
          </w:tcPr>
          <w:p w14:paraId="479C640C">
            <w:pPr>
              <w:pStyle w:val="11"/>
            </w:pPr>
          </w:p>
        </w:tc>
      </w:tr>
      <w:tr w14:paraId="2D68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3F47">
            <w:pPr>
              <w:pStyle w:val="13"/>
            </w:pPr>
            <w:r>
              <w:t>3</w:t>
            </w:r>
          </w:p>
        </w:tc>
        <w:tc>
          <w:tcPr>
            <w:tcW w:w="4535" w:type="dxa"/>
            <w:vAlign w:val="center"/>
          </w:tcPr>
          <w:p w14:paraId="63CE475E">
            <w:pPr>
              <w:pStyle w:val="12"/>
            </w:pPr>
            <w:r>
              <w:t>三、国有资本经营预算拨款收入</w:t>
            </w:r>
          </w:p>
        </w:tc>
        <w:tc>
          <w:tcPr>
            <w:tcW w:w="2126" w:type="dxa"/>
            <w:vAlign w:val="center"/>
          </w:tcPr>
          <w:p w14:paraId="3C6B40D4">
            <w:pPr>
              <w:pStyle w:val="11"/>
            </w:pPr>
          </w:p>
        </w:tc>
        <w:tc>
          <w:tcPr>
            <w:tcW w:w="4535" w:type="dxa"/>
            <w:vAlign w:val="center"/>
          </w:tcPr>
          <w:p w14:paraId="7F699F16">
            <w:pPr>
              <w:pStyle w:val="12"/>
            </w:pPr>
            <w:r>
              <w:t>三、国防支出</w:t>
            </w:r>
          </w:p>
        </w:tc>
        <w:tc>
          <w:tcPr>
            <w:tcW w:w="2126" w:type="dxa"/>
            <w:vAlign w:val="center"/>
          </w:tcPr>
          <w:p w14:paraId="4781B01C">
            <w:pPr>
              <w:pStyle w:val="11"/>
            </w:pPr>
          </w:p>
        </w:tc>
      </w:tr>
      <w:tr w14:paraId="4B26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A8785">
            <w:pPr>
              <w:pStyle w:val="13"/>
            </w:pPr>
            <w:r>
              <w:t>4</w:t>
            </w:r>
          </w:p>
        </w:tc>
        <w:tc>
          <w:tcPr>
            <w:tcW w:w="4535" w:type="dxa"/>
            <w:vAlign w:val="center"/>
          </w:tcPr>
          <w:p w14:paraId="0334EDD5">
            <w:pPr>
              <w:pStyle w:val="12"/>
            </w:pPr>
            <w:r>
              <w:t>四、财政专户管理资金收入</w:t>
            </w:r>
          </w:p>
        </w:tc>
        <w:tc>
          <w:tcPr>
            <w:tcW w:w="2126" w:type="dxa"/>
            <w:vAlign w:val="center"/>
          </w:tcPr>
          <w:p w14:paraId="16D00509">
            <w:pPr>
              <w:pStyle w:val="11"/>
            </w:pPr>
          </w:p>
        </w:tc>
        <w:tc>
          <w:tcPr>
            <w:tcW w:w="4535" w:type="dxa"/>
            <w:vAlign w:val="center"/>
          </w:tcPr>
          <w:p w14:paraId="6CA15569">
            <w:pPr>
              <w:pStyle w:val="12"/>
            </w:pPr>
            <w:r>
              <w:t>四、公共安全支出</w:t>
            </w:r>
          </w:p>
        </w:tc>
        <w:tc>
          <w:tcPr>
            <w:tcW w:w="2126" w:type="dxa"/>
            <w:vAlign w:val="center"/>
          </w:tcPr>
          <w:p w14:paraId="097618A0">
            <w:pPr>
              <w:pStyle w:val="11"/>
            </w:pPr>
          </w:p>
        </w:tc>
      </w:tr>
      <w:tr w14:paraId="5764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C004">
            <w:pPr>
              <w:pStyle w:val="13"/>
            </w:pPr>
            <w:r>
              <w:t>5</w:t>
            </w:r>
          </w:p>
        </w:tc>
        <w:tc>
          <w:tcPr>
            <w:tcW w:w="4535" w:type="dxa"/>
            <w:vAlign w:val="center"/>
          </w:tcPr>
          <w:p w14:paraId="33228798">
            <w:pPr>
              <w:pStyle w:val="12"/>
            </w:pPr>
            <w:r>
              <w:t>五、单位资金</w:t>
            </w:r>
          </w:p>
        </w:tc>
        <w:tc>
          <w:tcPr>
            <w:tcW w:w="2126" w:type="dxa"/>
            <w:vAlign w:val="center"/>
          </w:tcPr>
          <w:p w14:paraId="5091C7D7">
            <w:pPr>
              <w:pStyle w:val="11"/>
            </w:pPr>
          </w:p>
        </w:tc>
        <w:tc>
          <w:tcPr>
            <w:tcW w:w="4535" w:type="dxa"/>
            <w:vAlign w:val="center"/>
          </w:tcPr>
          <w:p w14:paraId="60183E0D">
            <w:pPr>
              <w:pStyle w:val="12"/>
            </w:pPr>
            <w:r>
              <w:t>五、教育支出</w:t>
            </w:r>
          </w:p>
        </w:tc>
        <w:tc>
          <w:tcPr>
            <w:tcW w:w="2126" w:type="dxa"/>
            <w:vAlign w:val="center"/>
          </w:tcPr>
          <w:p w14:paraId="5DC9D24A">
            <w:pPr>
              <w:pStyle w:val="11"/>
            </w:pPr>
            <w:r>
              <w:t>6220.76</w:t>
            </w:r>
          </w:p>
        </w:tc>
      </w:tr>
      <w:tr w14:paraId="35A7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C7139">
            <w:pPr>
              <w:pStyle w:val="13"/>
            </w:pPr>
            <w:r>
              <w:t>6</w:t>
            </w:r>
          </w:p>
        </w:tc>
        <w:tc>
          <w:tcPr>
            <w:tcW w:w="4535" w:type="dxa"/>
            <w:vAlign w:val="center"/>
          </w:tcPr>
          <w:p w14:paraId="5BC8A3C9">
            <w:pPr>
              <w:pStyle w:val="12"/>
            </w:pPr>
          </w:p>
        </w:tc>
        <w:tc>
          <w:tcPr>
            <w:tcW w:w="2126" w:type="dxa"/>
            <w:vAlign w:val="center"/>
          </w:tcPr>
          <w:p w14:paraId="7F9544CB">
            <w:pPr>
              <w:pStyle w:val="11"/>
            </w:pPr>
          </w:p>
        </w:tc>
        <w:tc>
          <w:tcPr>
            <w:tcW w:w="4535" w:type="dxa"/>
            <w:vAlign w:val="center"/>
          </w:tcPr>
          <w:p w14:paraId="0DCCB7E2">
            <w:pPr>
              <w:pStyle w:val="12"/>
            </w:pPr>
            <w:r>
              <w:t>六、科学技术支出</w:t>
            </w:r>
          </w:p>
        </w:tc>
        <w:tc>
          <w:tcPr>
            <w:tcW w:w="2126" w:type="dxa"/>
            <w:vAlign w:val="center"/>
          </w:tcPr>
          <w:p w14:paraId="590FA639">
            <w:pPr>
              <w:pStyle w:val="11"/>
            </w:pPr>
          </w:p>
        </w:tc>
      </w:tr>
      <w:tr w14:paraId="37E5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82B9C">
            <w:pPr>
              <w:pStyle w:val="13"/>
            </w:pPr>
            <w:r>
              <w:t>7</w:t>
            </w:r>
          </w:p>
        </w:tc>
        <w:tc>
          <w:tcPr>
            <w:tcW w:w="4535" w:type="dxa"/>
            <w:vAlign w:val="center"/>
          </w:tcPr>
          <w:p w14:paraId="69CED4E3">
            <w:pPr>
              <w:pStyle w:val="12"/>
            </w:pPr>
          </w:p>
        </w:tc>
        <w:tc>
          <w:tcPr>
            <w:tcW w:w="2126" w:type="dxa"/>
            <w:vAlign w:val="center"/>
          </w:tcPr>
          <w:p w14:paraId="730089C4">
            <w:pPr>
              <w:pStyle w:val="11"/>
            </w:pPr>
          </w:p>
        </w:tc>
        <w:tc>
          <w:tcPr>
            <w:tcW w:w="4535" w:type="dxa"/>
            <w:vAlign w:val="center"/>
          </w:tcPr>
          <w:p w14:paraId="136BF8DE">
            <w:pPr>
              <w:pStyle w:val="12"/>
            </w:pPr>
            <w:r>
              <w:t>七、文化旅游体育与传媒支出</w:t>
            </w:r>
          </w:p>
        </w:tc>
        <w:tc>
          <w:tcPr>
            <w:tcW w:w="2126" w:type="dxa"/>
            <w:vAlign w:val="center"/>
          </w:tcPr>
          <w:p w14:paraId="3D1EFF15">
            <w:pPr>
              <w:pStyle w:val="11"/>
            </w:pPr>
          </w:p>
        </w:tc>
      </w:tr>
      <w:tr w14:paraId="550D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20FD">
            <w:pPr>
              <w:pStyle w:val="13"/>
            </w:pPr>
            <w:r>
              <w:t>8</w:t>
            </w:r>
          </w:p>
        </w:tc>
        <w:tc>
          <w:tcPr>
            <w:tcW w:w="4535" w:type="dxa"/>
            <w:vAlign w:val="center"/>
          </w:tcPr>
          <w:p w14:paraId="4CC02DB0">
            <w:pPr>
              <w:pStyle w:val="12"/>
            </w:pPr>
          </w:p>
        </w:tc>
        <w:tc>
          <w:tcPr>
            <w:tcW w:w="2126" w:type="dxa"/>
            <w:vAlign w:val="center"/>
          </w:tcPr>
          <w:p w14:paraId="41680DD0">
            <w:pPr>
              <w:pStyle w:val="11"/>
            </w:pPr>
          </w:p>
        </w:tc>
        <w:tc>
          <w:tcPr>
            <w:tcW w:w="4535" w:type="dxa"/>
            <w:vAlign w:val="center"/>
          </w:tcPr>
          <w:p w14:paraId="2405AE81">
            <w:pPr>
              <w:pStyle w:val="12"/>
            </w:pPr>
            <w:r>
              <w:t>八、社会保障和就业支出</w:t>
            </w:r>
          </w:p>
        </w:tc>
        <w:tc>
          <w:tcPr>
            <w:tcW w:w="2126" w:type="dxa"/>
            <w:vAlign w:val="center"/>
          </w:tcPr>
          <w:p w14:paraId="2E67F901">
            <w:pPr>
              <w:pStyle w:val="11"/>
            </w:pPr>
            <w:r>
              <w:t>15.53</w:t>
            </w:r>
          </w:p>
        </w:tc>
      </w:tr>
      <w:tr w14:paraId="402E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5BA0">
            <w:pPr>
              <w:pStyle w:val="13"/>
            </w:pPr>
            <w:r>
              <w:t>9</w:t>
            </w:r>
          </w:p>
        </w:tc>
        <w:tc>
          <w:tcPr>
            <w:tcW w:w="4535" w:type="dxa"/>
            <w:vAlign w:val="center"/>
          </w:tcPr>
          <w:p w14:paraId="7D693A65">
            <w:pPr>
              <w:pStyle w:val="12"/>
            </w:pPr>
          </w:p>
        </w:tc>
        <w:tc>
          <w:tcPr>
            <w:tcW w:w="2126" w:type="dxa"/>
            <w:vAlign w:val="center"/>
          </w:tcPr>
          <w:p w14:paraId="16B63822">
            <w:pPr>
              <w:pStyle w:val="11"/>
            </w:pPr>
          </w:p>
        </w:tc>
        <w:tc>
          <w:tcPr>
            <w:tcW w:w="4535" w:type="dxa"/>
            <w:vAlign w:val="center"/>
          </w:tcPr>
          <w:p w14:paraId="4E6BB72D">
            <w:pPr>
              <w:pStyle w:val="12"/>
            </w:pPr>
            <w:r>
              <w:t>九、社会保险基金支出</w:t>
            </w:r>
          </w:p>
        </w:tc>
        <w:tc>
          <w:tcPr>
            <w:tcW w:w="2126" w:type="dxa"/>
            <w:vAlign w:val="center"/>
          </w:tcPr>
          <w:p w14:paraId="360A4001">
            <w:pPr>
              <w:pStyle w:val="11"/>
            </w:pPr>
          </w:p>
        </w:tc>
      </w:tr>
      <w:tr w14:paraId="4FF1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F6B9">
            <w:pPr>
              <w:pStyle w:val="13"/>
            </w:pPr>
            <w:r>
              <w:t>10</w:t>
            </w:r>
          </w:p>
        </w:tc>
        <w:tc>
          <w:tcPr>
            <w:tcW w:w="4535" w:type="dxa"/>
            <w:vAlign w:val="center"/>
          </w:tcPr>
          <w:p w14:paraId="0B0003AF">
            <w:pPr>
              <w:pStyle w:val="12"/>
            </w:pPr>
          </w:p>
        </w:tc>
        <w:tc>
          <w:tcPr>
            <w:tcW w:w="2126" w:type="dxa"/>
            <w:vAlign w:val="center"/>
          </w:tcPr>
          <w:p w14:paraId="4E1B07B5">
            <w:pPr>
              <w:pStyle w:val="11"/>
            </w:pPr>
          </w:p>
        </w:tc>
        <w:tc>
          <w:tcPr>
            <w:tcW w:w="4535" w:type="dxa"/>
            <w:vAlign w:val="center"/>
          </w:tcPr>
          <w:p w14:paraId="21DC8A22">
            <w:pPr>
              <w:pStyle w:val="12"/>
            </w:pPr>
            <w:r>
              <w:t>十、卫生健康支出</w:t>
            </w:r>
          </w:p>
        </w:tc>
        <w:tc>
          <w:tcPr>
            <w:tcW w:w="2126" w:type="dxa"/>
            <w:vAlign w:val="center"/>
          </w:tcPr>
          <w:p w14:paraId="27BDC50D">
            <w:pPr>
              <w:pStyle w:val="11"/>
            </w:pPr>
          </w:p>
        </w:tc>
      </w:tr>
      <w:tr w14:paraId="41C4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FB64">
            <w:pPr>
              <w:pStyle w:val="13"/>
            </w:pPr>
            <w:r>
              <w:t>11</w:t>
            </w:r>
          </w:p>
        </w:tc>
        <w:tc>
          <w:tcPr>
            <w:tcW w:w="4535" w:type="dxa"/>
            <w:vAlign w:val="center"/>
          </w:tcPr>
          <w:p w14:paraId="5188EAD6">
            <w:pPr>
              <w:pStyle w:val="12"/>
            </w:pPr>
          </w:p>
        </w:tc>
        <w:tc>
          <w:tcPr>
            <w:tcW w:w="2126" w:type="dxa"/>
            <w:vAlign w:val="center"/>
          </w:tcPr>
          <w:p w14:paraId="1DE57D3D">
            <w:pPr>
              <w:pStyle w:val="11"/>
            </w:pPr>
          </w:p>
        </w:tc>
        <w:tc>
          <w:tcPr>
            <w:tcW w:w="4535" w:type="dxa"/>
            <w:vAlign w:val="center"/>
          </w:tcPr>
          <w:p w14:paraId="3392F100">
            <w:pPr>
              <w:pStyle w:val="12"/>
            </w:pPr>
            <w:r>
              <w:t>十一、节能环保支出</w:t>
            </w:r>
          </w:p>
        </w:tc>
        <w:tc>
          <w:tcPr>
            <w:tcW w:w="2126" w:type="dxa"/>
            <w:vAlign w:val="center"/>
          </w:tcPr>
          <w:p w14:paraId="35906984">
            <w:pPr>
              <w:pStyle w:val="11"/>
            </w:pPr>
          </w:p>
        </w:tc>
      </w:tr>
      <w:tr w14:paraId="7F20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343E1">
            <w:pPr>
              <w:pStyle w:val="13"/>
            </w:pPr>
            <w:r>
              <w:t>12</w:t>
            </w:r>
          </w:p>
        </w:tc>
        <w:tc>
          <w:tcPr>
            <w:tcW w:w="4535" w:type="dxa"/>
            <w:vAlign w:val="center"/>
          </w:tcPr>
          <w:p w14:paraId="43041B30">
            <w:pPr>
              <w:pStyle w:val="12"/>
            </w:pPr>
          </w:p>
        </w:tc>
        <w:tc>
          <w:tcPr>
            <w:tcW w:w="2126" w:type="dxa"/>
            <w:vAlign w:val="center"/>
          </w:tcPr>
          <w:p w14:paraId="360F7586">
            <w:pPr>
              <w:pStyle w:val="11"/>
            </w:pPr>
          </w:p>
        </w:tc>
        <w:tc>
          <w:tcPr>
            <w:tcW w:w="4535" w:type="dxa"/>
            <w:vAlign w:val="center"/>
          </w:tcPr>
          <w:p w14:paraId="6E37B41D">
            <w:pPr>
              <w:pStyle w:val="12"/>
            </w:pPr>
            <w:r>
              <w:t>十二、城乡社区支出</w:t>
            </w:r>
          </w:p>
        </w:tc>
        <w:tc>
          <w:tcPr>
            <w:tcW w:w="2126" w:type="dxa"/>
            <w:vAlign w:val="center"/>
          </w:tcPr>
          <w:p w14:paraId="72D4139B">
            <w:pPr>
              <w:pStyle w:val="11"/>
            </w:pPr>
          </w:p>
        </w:tc>
      </w:tr>
      <w:tr w14:paraId="395B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913F6">
            <w:pPr>
              <w:pStyle w:val="13"/>
            </w:pPr>
            <w:r>
              <w:t>13</w:t>
            </w:r>
          </w:p>
        </w:tc>
        <w:tc>
          <w:tcPr>
            <w:tcW w:w="4535" w:type="dxa"/>
            <w:vAlign w:val="center"/>
          </w:tcPr>
          <w:p w14:paraId="60E5D684">
            <w:pPr>
              <w:pStyle w:val="12"/>
            </w:pPr>
          </w:p>
        </w:tc>
        <w:tc>
          <w:tcPr>
            <w:tcW w:w="2126" w:type="dxa"/>
            <w:vAlign w:val="center"/>
          </w:tcPr>
          <w:p w14:paraId="101AC995">
            <w:pPr>
              <w:pStyle w:val="11"/>
            </w:pPr>
          </w:p>
        </w:tc>
        <w:tc>
          <w:tcPr>
            <w:tcW w:w="4535" w:type="dxa"/>
            <w:vAlign w:val="center"/>
          </w:tcPr>
          <w:p w14:paraId="1979D148">
            <w:pPr>
              <w:pStyle w:val="12"/>
            </w:pPr>
            <w:r>
              <w:t>十三、农林水支出</w:t>
            </w:r>
          </w:p>
        </w:tc>
        <w:tc>
          <w:tcPr>
            <w:tcW w:w="2126" w:type="dxa"/>
            <w:vAlign w:val="center"/>
          </w:tcPr>
          <w:p w14:paraId="66F445AB">
            <w:pPr>
              <w:pStyle w:val="11"/>
            </w:pPr>
          </w:p>
        </w:tc>
      </w:tr>
      <w:tr w14:paraId="6776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29631">
            <w:pPr>
              <w:pStyle w:val="13"/>
            </w:pPr>
            <w:r>
              <w:t>14</w:t>
            </w:r>
          </w:p>
        </w:tc>
        <w:tc>
          <w:tcPr>
            <w:tcW w:w="4535" w:type="dxa"/>
            <w:vAlign w:val="center"/>
          </w:tcPr>
          <w:p w14:paraId="5881EA4F">
            <w:pPr>
              <w:pStyle w:val="12"/>
            </w:pPr>
          </w:p>
        </w:tc>
        <w:tc>
          <w:tcPr>
            <w:tcW w:w="2126" w:type="dxa"/>
            <w:vAlign w:val="center"/>
          </w:tcPr>
          <w:p w14:paraId="52ADFB9E">
            <w:pPr>
              <w:pStyle w:val="11"/>
            </w:pPr>
          </w:p>
        </w:tc>
        <w:tc>
          <w:tcPr>
            <w:tcW w:w="4535" w:type="dxa"/>
            <w:vAlign w:val="center"/>
          </w:tcPr>
          <w:p w14:paraId="68F823E0">
            <w:pPr>
              <w:pStyle w:val="12"/>
            </w:pPr>
            <w:r>
              <w:t>十四、交通运输支出</w:t>
            </w:r>
          </w:p>
        </w:tc>
        <w:tc>
          <w:tcPr>
            <w:tcW w:w="2126" w:type="dxa"/>
            <w:vAlign w:val="center"/>
          </w:tcPr>
          <w:p w14:paraId="61E4D06B">
            <w:pPr>
              <w:pStyle w:val="11"/>
            </w:pPr>
          </w:p>
        </w:tc>
      </w:tr>
      <w:tr w14:paraId="7E94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B8C7">
            <w:pPr>
              <w:pStyle w:val="13"/>
            </w:pPr>
            <w:r>
              <w:t>15</w:t>
            </w:r>
          </w:p>
        </w:tc>
        <w:tc>
          <w:tcPr>
            <w:tcW w:w="4535" w:type="dxa"/>
            <w:vAlign w:val="center"/>
          </w:tcPr>
          <w:p w14:paraId="1264C317">
            <w:pPr>
              <w:pStyle w:val="12"/>
            </w:pPr>
          </w:p>
        </w:tc>
        <w:tc>
          <w:tcPr>
            <w:tcW w:w="2126" w:type="dxa"/>
            <w:vAlign w:val="center"/>
          </w:tcPr>
          <w:p w14:paraId="5454D739">
            <w:pPr>
              <w:pStyle w:val="11"/>
            </w:pPr>
          </w:p>
        </w:tc>
        <w:tc>
          <w:tcPr>
            <w:tcW w:w="4535" w:type="dxa"/>
            <w:vAlign w:val="center"/>
          </w:tcPr>
          <w:p w14:paraId="0EDF26B5">
            <w:pPr>
              <w:pStyle w:val="12"/>
            </w:pPr>
            <w:r>
              <w:t>十五、资源勘探工业信息等支出</w:t>
            </w:r>
          </w:p>
        </w:tc>
        <w:tc>
          <w:tcPr>
            <w:tcW w:w="2126" w:type="dxa"/>
            <w:vAlign w:val="center"/>
          </w:tcPr>
          <w:p w14:paraId="5E05655C">
            <w:pPr>
              <w:pStyle w:val="11"/>
            </w:pPr>
          </w:p>
        </w:tc>
      </w:tr>
      <w:tr w14:paraId="1EFB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615C">
            <w:pPr>
              <w:pStyle w:val="13"/>
            </w:pPr>
            <w:r>
              <w:t>16</w:t>
            </w:r>
          </w:p>
        </w:tc>
        <w:tc>
          <w:tcPr>
            <w:tcW w:w="4535" w:type="dxa"/>
            <w:vAlign w:val="center"/>
          </w:tcPr>
          <w:p w14:paraId="2B33B367">
            <w:pPr>
              <w:pStyle w:val="12"/>
            </w:pPr>
          </w:p>
        </w:tc>
        <w:tc>
          <w:tcPr>
            <w:tcW w:w="2126" w:type="dxa"/>
            <w:vAlign w:val="center"/>
          </w:tcPr>
          <w:p w14:paraId="575FE132">
            <w:pPr>
              <w:pStyle w:val="11"/>
            </w:pPr>
          </w:p>
        </w:tc>
        <w:tc>
          <w:tcPr>
            <w:tcW w:w="4535" w:type="dxa"/>
            <w:vAlign w:val="center"/>
          </w:tcPr>
          <w:p w14:paraId="30AF0BFF">
            <w:pPr>
              <w:pStyle w:val="12"/>
            </w:pPr>
            <w:r>
              <w:t>十六、商业服务业等支出</w:t>
            </w:r>
          </w:p>
        </w:tc>
        <w:tc>
          <w:tcPr>
            <w:tcW w:w="2126" w:type="dxa"/>
            <w:vAlign w:val="center"/>
          </w:tcPr>
          <w:p w14:paraId="4197B0FD">
            <w:pPr>
              <w:pStyle w:val="11"/>
            </w:pPr>
          </w:p>
        </w:tc>
      </w:tr>
      <w:tr w14:paraId="6414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58404">
            <w:pPr>
              <w:pStyle w:val="13"/>
            </w:pPr>
            <w:r>
              <w:t>17</w:t>
            </w:r>
          </w:p>
        </w:tc>
        <w:tc>
          <w:tcPr>
            <w:tcW w:w="4535" w:type="dxa"/>
            <w:vAlign w:val="center"/>
          </w:tcPr>
          <w:p w14:paraId="7326E175">
            <w:pPr>
              <w:pStyle w:val="12"/>
            </w:pPr>
          </w:p>
        </w:tc>
        <w:tc>
          <w:tcPr>
            <w:tcW w:w="2126" w:type="dxa"/>
            <w:vAlign w:val="center"/>
          </w:tcPr>
          <w:p w14:paraId="117B29BA">
            <w:pPr>
              <w:pStyle w:val="11"/>
            </w:pPr>
          </w:p>
        </w:tc>
        <w:tc>
          <w:tcPr>
            <w:tcW w:w="4535" w:type="dxa"/>
            <w:vAlign w:val="center"/>
          </w:tcPr>
          <w:p w14:paraId="07AC3A8C">
            <w:pPr>
              <w:pStyle w:val="12"/>
            </w:pPr>
            <w:r>
              <w:t>十七、金融支出</w:t>
            </w:r>
          </w:p>
        </w:tc>
        <w:tc>
          <w:tcPr>
            <w:tcW w:w="2126" w:type="dxa"/>
            <w:vAlign w:val="center"/>
          </w:tcPr>
          <w:p w14:paraId="548A3CB5">
            <w:pPr>
              <w:pStyle w:val="11"/>
            </w:pPr>
          </w:p>
        </w:tc>
      </w:tr>
      <w:tr w14:paraId="4930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CA6D8">
            <w:pPr>
              <w:pStyle w:val="13"/>
            </w:pPr>
            <w:r>
              <w:t>18</w:t>
            </w:r>
          </w:p>
        </w:tc>
        <w:tc>
          <w:tcPr>
            <w:tcW w:w="4535" w:type="dxa"/>
            <w:vAlign w:val="center"/>
          </w:tcPr>
          <w:p w14:paraId="179CB401">
            <w:pPr>
              <w:pStyle w:val="12"/>
            </w:pPr>
          </w:p>
        </w:tc>
        <w:tc>
          <w:tcPr>
            <w:tcW w:w="2126" w:type="dxa"/>
            <w:vAlign w:val="center"/>
          </w:tcPr>
          <w:p w14:paraId="23C0753E">
            <w:pPr>
              <w:pStyle w:val="11"/>
            </w:pPr>
          </w:p>
        </w:tc>
        <w:tc>
          <w:tcPr>
            <w:tcW w:w="4535" w:type="dxa"/>
            <w:vAlign w:val="center"/>
          </w:tcPr>
          <w:p w14:paraId="7373BB10">
            <w:pPr>
              <w:pStyle w:val="12"/>
            </w:pPr>
            <w:r>
              <w:t>十八、援助其他地区支出</w:t>
            </w:r>
          </w:p>
        </w:tc>
        <w:tc>
          <w:tcPr>
            <w:tcW w:w="2126" w:type="dxa"/>
            <w:vAlign w:val="center"/>
          </w:tcPr>
          <w:p w14:paraId="54A45AF7">
            <w:pPr>
              <w:pStyle w:val="11"/>
            </w:pPr>
          </w:p>
        </w:tc>
      </w:tr>
      <w:tr w14:paraId="6135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A0926">
            <w:pPr>
              <w:pStyle w:val="13"/>
            </w:pPr>
            <w:r>
              <w:t>19</w:t>
            </w:r>
          </w:p>
        </w:tc>
        <w:tc>
          <w:tcPr>
            <w:tcW w:w="4535" w:type="dxa"/>
            <w:vAlign w:val="center"/>
          </w:tcPr>
          <w:p w14:paraId="2523C8C9">
            <w:pPr>
              <w:pStyle w:val="12"/>
            </w:pPr>
          </w:p>
        </w:tc>
        <w:tc>
          <w:tcPr>
            <w:tcW w:w="2126" w:type="dxa"/>
            <w:vAlign w:val="center"/>
          </w:tcPr>
          <w:p w14:paraId="313DE28F">
            <w:pPr>
              <w:pStyle w:val="11"/>
            </w:pPr>
          </w:p>
        </w:tc>
        <w:tc>
          <w:tcPr>
            <w:tcW w:w="4535" w:type="dxa"/>
            <w:vAlign w:val="center"/>
          </w:tcPr>
          <w:p w14:paraId="2B23C705">
            <w:pPr>
              <w:pStyle w:val="12"/>
            </w:pPr>
            <w:r>
              <w:t>十九、自然资源海洋气象等支出</w:t>
            </w:r>
          </w:p>
        </w:tc>
        <w:tc>
          <w:tcPr>
            <w:tcW w:w="2126" w:type="dxa"/>
            <w:vAlign w:val="center"/>
          </w:tcPr>
          <w:p w14:paraId="3DF37480">
            <w:pPr>
              <w:pStyle w:val="11"/>
            </w:pPr>
          </w:p>
        </w:tc>
      </w:tr>
      <w:tr w14:paraId="5AED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4B5A4">
            <w:pPr>
              <w:pStyle w:val="13"/>
            </w:pPr>
            <w:r>
              <w:t>20</w:t>
            </w:r>
          </w:p>
        </w:tc>
        <w:tc>
          <w:tcPr>
            <w:tcW w:w="4535" w:type="dxa"/>
            <w:vAlign w:val="center"/>
          </w:tcPr>
          <w:p w14:paraId="4BCCBB97">
            <w:pPr>
              <w:pStyle w:val="12"/>
            </w:pPr>
          </w:p>
        </w:tc>
        <w:tc>
          <w:tcPr>
            <w:tcW w:w="2126" w:type="dxa"/>
            <w:vAlign w:val="center"/>
          </w:tcPr>
          <w:p w14:paraId="4350FE98">
            <w:pPr>
              <w:pStyle w:val="11"/>
            </w:pPr>
          </w:p>
        </w:tc>
        <w:tc>
          <w:tcPr>
            <w:tcW w:w="4535" w:type="dxa"/>
            <w:vAlign w:val="center"/>
          </w:tcPr>
          <w:p w14:paraId="567B5513">
            <w:pPr>
              <w:pStyle w:val="12"/>
            </w:pPr>
            <w:r>
              <w:t>二十、住房保障支出</w:t>
            </w:r>
          </w:p>
        </w:tc>
        <w:tc>
          <w:tcPr>
            <w:tcW w:w="2126" w:type="dxa"/>
            <w:vAlign w:val="center"/>
          </w:tcPr>
          <w:p w14:paraId="7A6EC0B4">
            <w:pPr>
              <w:pStyle w:val="11"/>
            </w:pPr>
          </w:p>
        </w:tc>
      </w:tr>
      <w:tr w14:paraId="5377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0FC2">
            <w:pPr>
              <w:pStyle w:val="13"/>
            </w:pPr>
            <w:r>
              <w:t>21</w:t>
            </w:r>
          </w:p>
        </w:tc>
        <w:tc>
          <w:tcPr>
            <w:tcW w:w="4535" w:type="dxa"/>
            <w:vAlign w:val="center"/>
          </w:tcPr>
          <w:p w14:paraId="376AB072">
            <w:pPr>
              <w:pStyle w:val="12"/>
            </w:pPr>
          </w:p>
        </w:tc>
        <w:tc>
          <w:tcPr>
            <w:tcW w:w="2126" w:type="dxa"/>
            <w:vAlign w:val="center"/>
          </w:tcPr>
          <w:p w14:paraId="41E644E3">
            <w:pPr>
              <w:pStyle w:val="11"/>
            </w:pPr>
          </w:p>
        </w:tc>
        <w:tc>
          <w:tcPr>
            <w:tcW w:w="4535" w:type="dxa"/>
            <w:vAlign w:val="center"/>
          </w:tcPr>
          <w:p w14:paraId="0B2CB47B">
            <w:pPr>
              <w:pStyle w:val="12"/>
            </w:pPr>
            <w:r>
              <w:t>二十一、粮油物资储备支出</w:t>
            </w:r>
          </w:p>
        </w:tc>
        <w:tc>
          <w:tcPr>
            <w:tcW w:w="2126" w:type="dxa"/>
            <w:vAlign w:val="center"/>
          </w:tcPr>
          <w:p w14:paraId="3B214C2D">
            <w:pPr>
              <w:pStyle w:val="11"/>
            </w:pPr>
          </w:p>
        </w:tc>
      </w:tr>
      <w:tr w14:paraId="2993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91D46">
            <w:pPr>
              <w:pStyle w:val="13"/>
            </w:pPr>
            <w:r>
              <w:t>22</w:t>
            </w:r>
          </w:p>
        </w:tc>
        <w:tc>
          <w:tcPr>
            <w:tcW w:w="4535" w:type="dxa"/>
            <w:vAlign w:val="center"/>
          </w:tcPr>
          <w:p w14:paraId="6B189024">
            <w:pPr>
              <w:pStyle w:val="12"/>
            </w:pPr>
          </w:p>
        </w:tc>
        <w:tc>
          <w:tcPr>
            <w:tcW w:w="2126" w:type="dxa"/>
            <w:vAlign w:val="center"/>
          </w:tcPr>
          <w:p w14:paraId="72E7DB76">
            <w:pPr>
              <w:pStyle w:val="11"/>
            </w:pPr>
          </w:p>
        </w:tc>
        <w:tc>
          <w:tcPr>
            <w:tcW w:w="4535" w:type="dxa"/>
            <w:vAlign w:val="center"/>
          </w:tcPr>
          <w:p w14:paraId="3CB42CCA">
            <w:pPr>
              <w:pStyle w:val="12"/>
            </w:pPr>
            <w:r>
              <w:t>二十二、国有资本经营预算支出</w:t>
            </w:r>
          </w:p>
        </w:tc>
        <w:tc>
          <w:tcPr>
            <w:tcW w:w="2126" w:type="dxa"/>
            <w:vAlign w:val="center"/>
          </w:tcPr>
          <w:p w14:paraId="75890615">
            <w:pPr>
              <w:pStyle w:val="11"/>
            </w:pPr>
          </w:p>
        </w:tc>
      </w:tr>
      <w:tr w14:paraId="09A3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65E63">
            <w:pPr>
              <w:pStyle w:val="13"/>
            </w:pPr>
            <w:r>
              <w:t>23</w:t>
            </w:r>
          </w:p>
        </w:tc>
        <w:tc>
          <w:tcPr>
            <w:tcW w:w="4535" w:type="dxa"/>
            <w:vAlign w:val="center"/>
          </w:tcPr>
          <w:p w14:paraId="747C55CB">
            <w:pPr>
              <w:pStyle w:val="12"/>
            </w:pPr>
          </w:p>
        </w:tc>
        <w:tc>
          <w:tcPr>
            <w:tcW w:w="2126" w:type="dxa"/>
            <w:vAlign w:val="center"/>
          </w:tcPr>
          <w:p w14:paraId="1BB4F964">
            <w:pPr>
              <w:pStyle w:val="11"/>
            </w:pPr>
          </w:p>
        </w:tc>
        <w:tc>
          <w:tcPr>
            <w:tcW w:w="4535" w:type="dxa"/>
            <w:vAlign w:val="center"/>
          </w:tcPr>
          <w:p w14:paraId="29224676">
            <w:pPr>
              <w:pStyle w:val="12"/>
            </w:pPr>
            <w:r>
              <w:t>二十三、灾害防治及应急管理支出</w:t>
            </w:r>
          </w:p>
        </w:tc>
        <w:tc>
          <w:tcPr>
            <w:tcW w:w="2126" w:type="dxa"/>
            <w:vAlign w:val="center"/>
          </w:tcPr>
          <w:p w14:paraId="1C2A2355">
            <w:pPr>
              <w:pStyle w:val="11"/>
            </w:pPr>
          </w:p>
        </w:tc>
      </w:tr>
      <w:tr w14:paraId="7DD0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AAAA3">
            <w:pPr>
              <w:pStyle w:val="13"/>
            </w:pPr>
            <w:r>
              <w:t>24</w:t>
            </w:r>
          </w:p>
        </w:tc>
        <w:tc>
          <w:tcPr>
            <w:tcW w:w="4535" w:type="dxa"/>
            <w:vAlign w:val="center"/>
          </w:tcPr>
          <w:p w14:paraId="28059A47">
            <w:pPr>
              <w:pStyle w:val="12"/>
            </w:pPr>
          </w:p>
        </w:tc>
        <w:tc>
          <w:tcPr>
            <w:tcW w:w="2126" w:type="dxa"/>
            <w:vAlign w:val="center"/>
          </w:tcPr>
          <w:p w14:paraId="5A74E8FD">
            <w:pPr>
              <w:pStyle w:val="11"/>
            </w:pPr>
          </w:p>
        </w:tc>
        <w:tc>
          <w:tcPr>
            <w:tcW w:w="4535" w:type="dxa"/>
            <w:vAlign w:val="center"/>
          </w:tcPr>
          <w:p w14:paraId="7CB14EAE">
            <w:pPr>
              <w:pStyle w:val="12"/>
            </w:pPr>
            <w:r>
              <w:t>二十四、预备费</w:t>
            </w:r>
          </w:p>
        </w:tc>
        <w:tc>
          <w:tcPr>
            <w:tcW w:w="2126" w:type="dxa"/>
            <w:vAlign w:val="center"/>
          </w:tcPr>
          <w:p w14:paraId="61A315B9">
            <w:pPr>
              <w:pStyle w:val="11"/>
            </w:pPr>
          </w:p>
        </w:tc>
      </w:tr>
      <w:tr w14:paraId="6902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F692">
            <w:pPr>
              <w:pStyle w:val="13"/>
            </w:pPr>
            <w:r>
              <w:t>25</w:t>
            </w:r>
          </w:p>
        </w:tc>
        <w:tc>
          <w:tcPr>
            <w:tcW w:w="4535" w:type="dxa"/>
            <w:vAlign w:val="center"/>
          </w:tcPr>
          <w:p w14:paraId="3C09DA28">
            <w:pPr>
              <w:pStyle w:val="12"/>
            </w:pPr>
          </w:p>
        </w:tc>
        <w:tc>
          <w:tcPr>
            <w:tcW w:w="2126" w:type="dxa"/>
            <w:vAlign w:val="center"/>
          </w:tcPr>
          <w:p w14:paraId="708DBC0F">
            <w:pPr>
              <w:pStyle w:val="11"/>
            </w:pPr>
          </w:p>
        </w:tc>
        <w:tc>
          <w:tcPr>
            <w:tcW w:w="4535" w:type="dxa"/>
            <w:vAlign w:val="center"/>
          </w:tcPr>
          <w:p w14:paraId="5786D031">
            <w:pPr>
              <w:pStyle w:val="12"/>
            </w:pPr>
            <w:r>
              <w:t>二十五、其他支出</w:t>
            </w:r>
          </w:p>
        </w:tc>
        <w:tc>
          <w:tcPr>
            <w:tcW w:w="2126" w:type="dxa"/>
            <w:vAlign w:val="center"/>
          </w:tcPr>
          <w:p w14:paraId="7470DF03">
            <w:pPr>
              <w:pStyle w:val="11"/>
            </w:pPr>
          </w:p>
        </w:tc>
      </w:tr>
      <w:tr w14:paraId="60C2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F8420">
            <w:pPr>
              <w:pStyle w:val="13"/>
            </w:pPr>
            <w:r>
              <w:t>26</w:t>
            </w:r>
          </w:p>
        </w:tc>
        <w:tc>
          <w:tcPr>
            <w:tcW w:w="4535" w:type="dxa"/>
            <w:vAlign w:val="center"/>
          </w:tcPr>
          <w:p w14:paraId="2D3400F2">
            <w:pPr>
              <w:pStyle w:val="12"/>
            </w:pPr>
          </w:p>
        </w:tc>
        <w:tc>
          <w:tcPr>
            <w:tcW w:w="2126" w:type="dxa"/>
            <w:vAlign w:val="center"/>
          </w:tcPr>
          <w:p w14:paraId="7AB4B39A">
            <w:pPr>
              <w:pStyle w:val="11"/>
            </w:pPr>
          </w:p>
        </w:tc>
        <w:tc>
          <w:tcPr>
            <w:tcW w:w="4535" w:type="dxa"/>
            <w:vAlign w:val="center"/>
          </w:tcPr>
          <w:p w14:paraId="780C98F3">
            <w:pPr>
              <w:pStyle w:val="12"/>
            </w:pPr>
            <w:r>
              <w:t>二十六、转移性支出</w:t>
            </w:r>
          </w:p>
        </w:tc>
        <w:tc>
          <w:tcPr>
            <w:tcW w:w="2126" w:type="dxa"/>
            <w:vAlign w:val="center"/>
          </w:tcPr>
          <w:p w14:paraId="61E4E8D7">
            <w:pPr>
              <w:pStyle w:val="11"/>
            </w:pPr>
          </w:p>
        </w:tc>
      </w:tr>
      <w:tr w14:paraId="6A31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8890B">
            <w:pPr>
              <w:pStyle w:val="13"/>
            </w:pPr>
            <w:r>
              <w:t>27</w:t>
            </w:r>
          </w:p>
        </w:tc>
        <w:tc>
          <w:tcPr>
            <w:tcW w:w="4535" w:type="dxa"/>
            <w:vAlign w:val="center"/>
          </w:tcPr>
          <w:p w14:paraId="7AF7D5E1">
            <w:pPr>
              <w:pStyle w:val="12"/>
            </w:pPr>
          </w:p>
        </w:tc>
        <w:tc>
          <w:tcPr>
            <w:tcW w:w="2126" w:type="dxa"/>
            <w:vAlign w:val="center"/>
          </w:tcPr>
          <w:p w14:paraId="5D022B70">
            <w:pPr>
              <w:pStyle w:val="11"/>
            </w:pPr>
          </w:p>
        </w:tc>
        <w:tc>
          <w:tcPr>
            <w:tcW w:w="4535" w:type="dxa"/>
            <w:vAlign w:val="center"/>
          </w:tcPr>
          <w:p w14:paraId="32A4B05F">
            <w:pPr>
              <w:pStyle w:val="12"/>
            </w:pPr>
            <w:r>
              <w:t>二十七、债务还本支出</w:t>
            </w:r>
          </w:p>
        </w:tc>
        <w:tc>
          <w:tcPr>
            <w:tcW w:w="2126" w:type="dxa"/>
            <w:vAlign w:val="center"/>
          </w:tcPr>
          <w:p w14:paraId="734E343C">
            <w:pPr>
              <w:pStyle w:val="11"/>
            </w:pPr>
          </w:p>
        </w:tc>
      </w:tr>
      <w:tr w14:paraId="6292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F0EEA">
            <w:pPr>
              <w:pStyle w:val="13"/>
            </w:pPr>
            <w:r>
              <w:t>28</w:t>
            </w:r>
          </w:p>
        </w:tc>
        <w:tc>
          <w:tcPr>
            <w:tcW w:w="4535" w:type="dxa"/>
            <w:vAlign w:val="center"/>
          </w:tcPr>
          <w:p w14:paraId="134D8834">
            <w:pPr>
              <w:pStyle w:val="12"/>
            </w:pPr>
          </w:p>
        </w:tc>
        <w:tc>
          <w:tcPr>
            <w:tcW w:w="2126" w:type="dxa"/>
            <w:vAlign w:val="center"/>
          </w:tcPr>
          <w:p w14:paraId="69166DA5">
            <w:pPr>
              <w:pStyle w:val="11"/>
            </w:pPr>
          </w:p>
        </w:tc>
        <w:tc>
          <w:tcPr>
            <w:tcW w:w="4535" w:type="dxa"/>
            <w:vAlign w:val="center"/>
          </w:tcPr>
          <w:p w14:paraId="5F544A3A">
            <w:pPr>
              <w:pStyle w:val="12"/>
            </w:pPr>
            <w:r>
              <w:t>二十八、债务付息支出</w:t>
            </w:r>
          </w:p>
        </w:tc>
        <w:tc>
          <w:tcPr>
            <w:tcW w:w="2126" w:type="dxa"/>
            <w:vAlign w:val="center"/>
          </w:tcPr>
          <w:p w14:paraId="08D5276D">
            <w:pPr>
              <w:pStyle w:val="11"/>
            </w:pPr>
          </w:p>
        </w:tc>
      </w:tr>
      <w:tr w14:paraId="5C62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B58E">
            <w:pPr>
              <w:pStyle w:val="13"/>
            </w:pPr>
            <w:r>
              <w:t>29</w:t>
            </w:r>
          </w:p>
        </w:tc>
        <w:tc>
          <w:tcPr>
            <w:tcW w:w="4535" w:type="dxa"/>
            <w:vAlign w:val="center"/>
          </w:tcPr>
          <w:p w14:paraId="36FC0705">
            <w:pPr>
              <w:pStyle w:val="12"/>
            </w:pPr>
          </w:p>
        </w:tc>
        <w:tc>
          <w:tcPr>
            <w:tcW w:w="2126" w:type="dxa"/>
            <w:vAlign w:val="center"/>
          </w:tcPr>
          <w:p w14:paraId="4CBA628E">
            <w:pPr>
              <w:pStyle w:val="11"/>
            </w:pPr>
          </w:p>
        </w:tc>
        <w:tc>
          <w:tcPr>
            <w:tcW w:w="4535" w:type="dxa"/>
            <w:vAlign w:val="center"/>
          </w:tcPr>
          <w:p w14:paraId="50FD7513">
            <w:pPr>
              <w:pStyle w:val="12"/>
            </w:pPr>
            <w:r>
              <w:t>二十九、债务发行费用支出</w:t>
            </w:r>
          </w:p>
        </w:tc>
        <w:tc>
          <w:tcPr>
            <w:tcW w:w="2126" w:type="dxa"/>
            <w:vAlign w:val="center"/>
          </w:tcPr>
          <w:p w14:paraId="6B6860C6">
            <w:pPr>
              <w:pStyle w:val="11"/>
            </w:pPr>
          </w:p>
        </w:tc>
      </w:tr>
      <w:tr w14:paraId="6B64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74236">
            <w:pPr>
              <w:pStyle w:val="13"/>
            </w:pPr>
            <w:r>
              <w:t>30</w:t>
            </w:r>
          </w:p>
        </w:tc>
        <w:tc>
          <w:tcPr>
            <w:tcW w:w="4535" w:type="dxa"/>
            <w:vAlign w:val="center"/>
          </w:tcPr>
          <w:p w14:paraId="4ABFD91D">
            <w:pPr>
              <w:pStyle w:val="12"/>
            </w:pPr>
          </w:p>
        </w:tc>
        <w:tc>
          <w:tcPr>
            <w:tcW w:w="2126" w:type="dxa"/>
            <w:vAlign w:val="center"/>
          </w:tcPr>
          <w:p w14:paraId="217DE6CD">
            <w:pPr>
              <w:pStyle w:val="11"/>
            </w:pPr>
          </w:p>
        </w:tc>
        <w:tc>
          <w:tcPr>
            <w:tcW w:w="4535" w:type="dxa"/>
            <w:vAlign w:val="center"/>
          </w:tcPr>
          <w:p w14:paraId="18030E37">
            <w:pPr>
              <w:pStyle w:val="12"/>
            </w:pPr>
            <w:r>
              <w:t>三十、抗疫特别国债安排的支出</w:t>
            </w:r>
          </w:p>
        </w:tc>
        <w:tc>
          <w:tcPr>
            <w:tcW w:w="2126" w:type="dxa"/>
            <w:vAlign w:val="center"/>
          </w:tcPr>
          <w:p w14:paraId="110450D7">
            <w:pPr>
              <w:pStyle w:val="11"/>
            </w:pPr>
          </w:p>
        </w:tc>
      </w:tr>
      <w:tr w14:paraId="345B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11A45">
            <w:pPr>
              <w:pStyle w:val="13"/>
            </w:pPr>
            <w:r>
              <w:t>31</w:t>
            </w:r>
          </w:p>
        </w:tc>
        <w:tc>
          <w:tcPr>
            <w:tcW w:w="4535" w:type="dxa"/>
            <w:vAlign w:val="center"/>
          </w:tcPr>
          <w:p w14:paraId="5EE645BC">
            <w:pPr>
              <w:pStyle w:val="14"/>
            </w:pPr>
            <w:r>
              <w:t>本年收入合计</w:t>
            </w:r>
          </w:p>
        </w:tc>
        <w:tc>
          <w:tcPr>
            <w:tcW w:w="2126" w:type="dxa"/>
            <w:vAlign w:val="center"/>
          </w:tcPr>
          <w:p w14:paraId="78C702FE">
            <w:pPr>
              <w:pStyle w:val="15"/>
            </w:pPr>
            <w:r>
              <w:t>5250.40</w:t>
            </w:r>
          </w:p>
        </w:tc>
        <w:tc>
          <w:tcPr>
            <w:tcW w:w="4535" w:type="dxa"/>
            <w:vAlign w:val="center"/>
          </w:tcPr>
          <w:p w14:paraId="0C70B6CF">
            <w:pPr>
              <w:pStyle w:val="14"/>
            </w:pPr>
            <w:r>
              <w:t>本年支出合计</w:t>
            </w:r>
          </w:p>
        </w:tc>
        <w:tc>
          <w:tcPr>
            <w:tcW w:w="2126" w:type="dxa"/>
            <w:vAlign w:val="center"/>
          </w:tcPr>
          <w:p w14:paraId="53A10746">
            <w:pPr>
              <w:pStyle w:val="15"/>
            </w:pPr>
            <w:r>
              <w:t>6236.29</w:t>
            </w:r>
          </w:p>
        </w:tc>
      </w:tr>
      <w:tr w14:paraId="097C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C2798">
            <w:pPr>
              <w:pStyle w:val="13"/>
            </w:pPr>
            <w:r>
              <w:t>32</w:t>
            </w:r>
          </w:p>
        </w:tc>
        <w:tc>
          <w:tcPr>
            <w:tcW w:w="4535" w:type="dxa"/>
            <w:vAlign w:val="center"/>
          </w:tcPr>
          <w:p w14:paraId="4413E579">
            <w:pPr>
              <w:pStyle w:val="12"/>
            </w:pPr>
            <w:r>
              <w:t>上年结转结余</w:t>
            </w:r>
          </w:p>
        </w:tc>
        <w:tc>
          <w:tcPr>
            <w:tcW w:w="2126" w:type="dxa"/>
            <w:vAlign w:val="center"/>
          </w:tcPr>
          <w:p w14:paraId="4C0D9CC2">
            <w:pPr>
              <w:pStyle w:val="11"/>
            </w:pPr>
          </w:p>
        </w:tc>
        <w:tc>
          <w:tcPr>
            <w:tcW w:w="4535" w:type="dxa"/>
            <w:vAlign w:val="center"/>
          </w:tcPr>
          <w:p w14:paraId="783E176B">
            <w:pPr>
              <w:pStyle w:val="12"/>
            </w:pPr>
            <w:r>
              <w:t>年终结转结余</w:t>
            </w:r>
          </w:p>
        </w:tc>
        <w:tc>
          <w:tcPr>
            <w:tcW w:w="2126" w:type="dxa"/>
            <w:vAlign w:val="center"/>
          </w:tcPr>
          <w:p w14:paraId="58B61383">
            <w:pPr>
              <w:pStyle w:val="11"/>
            </w:pPr>
            <w:r>
              <w:t>-985.89</w:t>
            </w:r>
          </w:p>
        </w:tc>
      </w:tr>
      <w:tr w14:paraId="6C161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5C33C">
            <w:pPr>
              <w:pStyle w:val="13"/>
            </w:pPr>
            <w:r>
              <w:t>33</w:t>
            </w:r>
          </w:p>
        </w:tc>
        <w:tc>
          <w:tcPr>
            <w:tcW w:w="4535" w:type="dxa"/>
            <w:vAlign w:val="center"/>
          </w:tcPr>
          <w:p w14:paraId="3740EEF8">
            <w:pPr>
              <w:pStyle w:val="14"/>
            </w:pPr>
            <w:r>
              <w:t>收入总计</w:t>
            </w:r>
          </w:p>
        </w:tc>
        <w:tc>
          <w:tcPr>
            <w:tcW w:w="2126" w:type="dxa"/>
            <w:vAlign w:val="center"/>
          </w:tcPr>
          <w:p w14:paraId="69B33B80">
            <w:pPr>
              <w:pStyle w:val="15"/>
            </w:pPr>
            <w:r>
              <w:t>5250.40</w:t>
            </w:r>
          </w:p>
        </w:tc>
        <w:tc>
          <w:tcPr>
            <w:tcW w:w="4535" w:type="dxa"/>
            <w:vAlign w:val="center"/>
          </w:tcPr>
          <w:p w14:paraId="040EAF91">
            <w:pPr>
              <w:pStyle w:val="14"/>
            </w:pPr>
            <w:r>
              <w:t>支出总计</w:t>
            </w:r>
          </w:p>
        </w:tc>
        <w:tc>
          <w:tcPr>
            <w:tcW w:w="2126" w:type="dxa"/>
            <w:vAlign w:val="center"/>
          </w:tcPr>
          <w:p w14:paraId="2876B56C">
            <w:pPr>
              <w:pStyle w:val="15"/>
            </w:pPr>
            <w:r>
              <w:t>5250.40</w:t>
            </w:r>
          </w:p>
        </w:tc>
      </w:tr>
    </w:tbl>
    <w:p w14:paraId="223A6877">
      <w:pPr>
        <w:sectPr>
          <w:pgSz w:w="16840" w:h="11900" w:orient="landscape"/>
          <w:pgMar w:top="1361" w:right="1020" w:bottom="1134" w:left="1020" w:header="720" w:footer="720" w:gutter="0"/>
          <w:cols w:space="720" w:num="1"/>
        </w:sectPr>
      </w:pPr>
    </w:p>
    <w:p w14:paraId="1E531B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553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1CAADA">
            <w:pPr>
              <w:pStyle w:val="9"/>
            </w:pPr>
            <w:r>
              <w:t>360003河北隆尧第一中学</w:t>
            </w:r>
          </w:p>
        </w:tc>
        <w:tc>
          <w:tcPr>
            <w:tcW w:w="3402" w:type="dxa"/>
            <w:gridSpan w:val="3"/>
            <w:tcBorders>
              <w:top w:val="single" w:color="FFFFFF" w:sz="6" w:space="0"/>
              <w:left w:val="single" w:color="FFFFFF" w:sz="6" w:space="0"/>
              <w:right w:val="single" w:color="FFFFFF" w:sz="6" w:space="0"/>
            </w:tcBorders>
            <w:vAlign w:val="center"/>
          </w:tcPr>
          <w:p w14:paraId="0DF65CE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264597D">
            <w:pPr>
              <w:pStyle w:val="7"/>
            </w:pPr>
            <w:r>
              <w:t>单位：万元</w:t>
            </w:r>
          </w:p>
        </w:tc>
      </w:tr>
      <w:tr w14:paraId="1980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9B8F42">
            <w:pPr>
              <w:pStyle w:val="10"/>
            </w:pPr>
            <w:r>
              <w:t>序号</w:t>
            </w:r>
          </w:p>
        </w:tc>
        <w:tc>
          <w:tcPr>
            <w:tcW w:w="2551" w:type="dxa"/>
            <w:gridSpan w:val="2"/>
            <w:vAlign w:val="center"/>
          </w:tcPr>
          <w:p w14:paraId="2490421F">
            <w:pPr>
              <w:pStyle w:val="10"/>
            </w:pPr>
            <w:r>
              <w:t>功能分类科目</w:t>
            </w:r>
          </w:p>
        </w:tc>
        <w:tc>
          <w:tcPr>
            <w:tcW w:w="1134" w:type="dxa"/>
            <w:vMerge w:val="restart"/>
            <w:vAlign w:val="center"/>
          </w:tcPr>
          <w:p w14:paraId="772AB0D6">
            <w:pPr>
              <w:pStyle w:val="10"/>
            </w:pPr>
            <w:r>
              <w:t>合计</w:t>
            </w:r>
          </w:p>
        </w:tc>
        <w:tc>
          <w:tcPr>
            <w:tcW w:w="9072" w:type="dxa"/>
            <w:gridSpan w:val="8"/>
            <w:vAlign w:val="center"/>
          </w:tcPr>
          <w:p w14:paraId="4153ED10">
            <w:pPr>
              <w:pStyle w:val="10"/>
            </w:pPr>
            <w:r>
              <w:t>本年收入</w:t>
            </w:r>
          </w:p>
        </w:tc>
        <w:tc>
          <w:tcPr>
            <w:tcW w:w="1134" w:type="dxa"/>
            <w:vMerge w:val="restart"/>
            <w:vAlign w:val="center"/>
          </w:tcPr>
          <w:p w14:paraId="5B9B330F">
            <w:pPr>
              <w:pStyle w:val="10"/>
            </w:pPr>
            <w:r>
              <w:t>上年结转</w:t>
            </w:r>
          </w:p>
        </w:tc>
      </w:tr>
      <w:tr w14:paraId="41A4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7BFAC4"/>
        </w:tc>
        <w:tc>
          <w:tcPr>
            <w:tcW w:w="992" w:type="dxa"/>
            <w:vAlign w:val="center"/>
          </w:tcPr>
          <w:p w14:paraId="66B8E500">
            <w:pPr>
              <w:pStyle w:val="10"/>
            </w:pPr>
            <w:r>
              <w:t>科目    编码</w:t>
            </w:r>
          </w:p>
        </w:tc>
        <w:tc>
          <w:tcPr>
            <w:tcW w:w="1559" w:type="dxa"/>
            <w:vAlign w:val="center"/>
          </w:tcPr>
          <w:p w14:paraId="547CDA35">
            <w:pPr>
              <w:pStyle w:val="10"/>
            </w:pPr>
            <w:r>
              <w:t>科目名称</w:t>
            </w:r>
          </w:p>
        </w:tc>
        <w:tc>
          <w:tcPr>
            <w:tcW w:w="1134" w:type="dxa"/>
            <w:vMerge w:val="continue"/>
          </w:tcPr>
          <w:p w14:paraId="260A85A6"/>
        </w:tc>
        <w:tc>
          <w:tcPr>
            <w:tcW w:w="1134" w:type="dxa"/>
            <w:vAlign w:val="center"/>
          </w:tcPr>
          <w:p w14:paraId="322BF6DA">
            <w:pPr>
              <w:pStyle w:val="10"/>
            </w:pPr>
            <w:r>
              <w:t>小计</w:t>
            </w:r>
          </w:p>
        </w:tc>
        <w:tc>
          <w:tcPr>
            <w:tcW w:w="1134" w:type="dxa"/>
            <w:vAlign w:val="center"/>
          </w:tcPr>
          <w:p w14:paraId="33E73334">
            <w:pPr>
              <w:pStyle w:val="10"/>
            </w:pPr>
            <w:r>
              <w:t>财政拨款 收入</w:t>
            </w:r>
          </w:p>
        </w:tc>
        <w:tc>
          <w:tcPr>
            <w:tcW w:w="1134" w:type="dxa"/>
            <w:vAlign w:val="center"/>
          </w:tcPr>
          <w:p w14:paraId="3F2FD775">
            <w:pPr>
              <w:pStyle w:val="10"/>
            </w:pPr>
            <w:r>
              <w:t>财政专户 收入</w:t>
            </w:r>
          </w:p>
        </w:tc>
        <w:tc>
          <w:tcPr>
            <w:tcW w:w="1134" w:type="dxa"/>
            <w:vAlign w:val="center"/>
          </w:tcPr>
          <w:p w14:paraId="5368DB19">
            <w:pPr>
              <w:pStyle w:val="10"/>
            </w:pPr>
            <w:r>
              <w:t>事业收入</w:t>
            </w:r>
          </w:p>
        </w:tc>
        <w:tc>
          <w:tcPr>
            <w:tcW w:w="1134" w:type="dxa"/>
            <w:vAlign w:val="center"/>
          </w:tcPr>
          <w:p w14:paraId="391E4125">
            <w:pPr>
              <w:pStyle w:val="10"/>
            </w:pPr>
            <w:r>
              <w:t>经营收入</w:t>
            </w:r>
          </w:p>
        </w:tc>
        <w:tc>
          <w:tcPr>
            <w:tcW w:w="1134" w:type="dxa"/>
            <w:vAlign w:val="center"/>
          </w:tcPr>
          <w:p w14:paraId="1C239A3D">
            <w:pPr>
              <w:pStyle w:val="10"/>
            </w:pPr>
            <w:r>
              <w:t>上级补助收入</w:t>
            </w:r>
          </w:p>
        </w:tc>
        <w:tc>
          <w:tcPr>
            <w:tcW w:w="1134" w:type="dxa"/>
            <w:vAlign w:val="center"/>
          </w:tcPr>
          <w:p w14:paraId="1AD9A393">
            <w:pPr>
              <w:pStyle w:val="10"/>
            </w:pPr>
            <w:r>
              <w:t>附属单位上缴收入</w:t>
            </w:r>
          </w:p>
        </w:tc>
        <w:tc>
          <w:tcPr>
            <w:tcW w:w="1134" w:type="dxa"/>
            <w:vAlign w:val="center"/>
          </w:tcPr>
          <w:p w14:paraId="19BF0776">
            <w:pPr>
              <w:pStyle w:val="10"/>
            </w:pPr>
            <w:r>
              <w:t>其他收入</w:t>
            </w:r>
          </w:p>
        </w:tc>
        <w:tc>
          <w:tcPr>
            <w:tcW w:w="1134" w:type="dxa"/>
            <w:vMerge w:val="continue"/>
          </w:tcPr>
          <w:p w14:paraId="18127A35"/>
        </w:tc>
      </w:tr>
      <w:tr w14:paraId="3BCA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4465C5">
            <w:pPr>
              <w:pStyle w:val="10"/>
            </w:pPr>
            <w:r>
              <w:t>栏次</w:t>
            </w:r>
          </w:p>
        </w:tc>
        <w:tc>
          <w:tcPr>
            <w:tcW w:w="992" w:type="dxa"/>
            <w:vAlign w:val="center"/>
          </w:tcPr>
          <w:p w14:paraId="089AF9F4">
            <w:pPr>
              <w:pStyle w:val="10"/>
            </w:pPr>
            <w:r>
              <w:t>1</w:t>
            </w:r>
          </w:p>
        </w:tc>
        <w:tc>
          <w:tcPr>
            <w:tcW w:w="1559" w:type="dxa"/>
            <w:vAlign w:val="center"/>
          </w:tcPr>
          <w:p w14:paraId="5FA74109">
            <w:pPr>
              <w:pStyle w:val="10"/>
            </w:pPr>
            <w:r>
              <w:t>2</w:t>
            </w:r>
          </w:p>
        </w:tc>
        <w:tc>
          <w:tcPr>
            <w:tcW w:w="1134" w:type="dxa"/>
            <w:vAlign w:val="center"/>
          </w:tcPr>
          <w:p w14:paraId="4C7F1718">
            <w:pPr>
              <w:pStyle w:val="10"/>
            </w:pPr>
            <w:r>
              <w:t>3</w:t>
            </w:r>
          </w:p>
        </w:tc>
        <w:tc>
          <w:tcPr>
            <w:tcW w:w="1134" w:type="dxa"/>
            <w:vAlign w:val="center"/>
          </w:tcPr>
          <w:p w14:paraId="578854D4">
            <w:pPr>
              <w:pStyle w:val="10"/>
            </w:pPr>
            <w:r>
              <w:t>4</w:t>
            </w:r>
          </w:p>
        </w:tc>
        <w:tc>
          <w:tcPr>
            <w:tcW w:w="1134" w:type="dxa"/>
            <w:vAlign w:val="center"/>
          </w:tcPr>
          <w:p w14:paraId="67C08752">
            <w:pPr>
              <w:pStyle w:val="10"/>
            </w:pPr>
            <w:r>
              <w:t>5</w:t>
            </w:r>
          </w:p>
        </w:tc>
        <w:tc>
          <w:tcPr>
            <w:tcW w:w="1134" w:type="dxa"/>
            <w:vAlign w:val="center"/>
          </w:tcPr>
          <w:p w14:paraId="482B41FD">
            <w:pPr>
              <w:pStyle w:val="10"/>
            </w:pPr>
            <w:r>
              <w:t>6</w:t>
            </w:r>
          </w:p>
        </w:tc>
        <w:tc>
          <w:tcPr>
            <w:tcW w:w="1134" w:type="dxa"/>
            <w:vAlign w:val="center"/>
          </w:tcPr>
          <w:p w14:paraId="1618A588">
            <w:pPr>
              <w:pStyle w:val="10"/>
            </w:pPr>
            <w:r>
              <w:t>7</w:t>
            </w:r>
          </w:p>
        </w:tc>
        <w:tc>
          <w:tcPr>
            <w:tcW w:w="1134" w:type="dxa"/>
            <w:vAlign w:val="center"/>
          </w:tcPr>
          <w:p w14:paraId="410A37FD">
            <w:pPr>
              <w:pStyle w:val="10"/>
            </w:pPr>
            <w:r>
              <w:t>8</w:t>
            </w:r>
          </w:p>
        </w:tc>
        <w:tc>
          <w:tcPr>
            <w:tcW w:w="1134" w:type="dxa"/>
            <w:vAlign w:val="center"/>
          </w:tcPr>
          <w:p w14:paraId="462E7D48">
            <w:pPr>
              <w:pStyle w:val="10"/>
            </w:pPr>
            <w:r>
              <w:t>9</w:t>
            </w:r>
          </w:p>
        </w:tc>
        <w:tc>
          <w:tcPr>
            <w:tcW w:w="1134" w:type="dxa"/>
            <w:vAlign w:val="center"/>
          </w:tcPr>
          <w:p w14:paraId="0A85785D">
            <w:pPr>
              <w:pStyle w:val="10"/>
            </w:pPr>
            <w:r>
              <w:t>10</w:t>
            </w:r>
          </w:p>
        </w:tc>
        <w:tc>
          <w:tcPr>
            <w:tcW w:w="1134" w:type="dxa"/>
            <w:vAlign w:val="center"/>
          </w:tcPr>
          <w:p w14:paraId="6BC77E31">
            <w:pPr>
              <w:pStyle w:val="10"/>
            </w:pPr>
            <w:r>
              <w:t>11</w:t>
            </w:r>
          </w:p>
        </w:tc>
        <w:tc>
          <w:tcPr>
            <w:tcW w:w="1134" w:type="dxa"/>
            <w:vAlign w:val="center"/>
          </w:tcPr>
          <w:p w14:paraId="024E2413">
            <w:pPr>
              <w:pStyle w:val="10"/>
            </w:pPr>
            <w:r>
              <w:t>12</w:t>
            </w:r>
          </w:p>
        </w:tc>
      </w:tr>
      <w:tr w14:paraId="291FB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CEBFA">
            <w:pPr>
              <w:pStyle w:val="13"/>
            </w:pPr>
            <w:r>
              <w:t>1</w:t>
            </w:r>
          </w:p>
        </w:tc>
        <w:tc>
          <w:tcPr>
            <w:tcW w:w="992" w:type="dxa"/>
            <w:vAlign w:val="center"/>
          </w:tcPr>
          <w:p w14:paraId="049CE89C">
            <w:pPr>
              <w:pStyle w:val="16"/>
            </w:pPr>
          </w:p>
        </w:tc>
        <w:tc>
          <w:tcPr>
            <w:tcW w:w="1559" w:type="dxa"/>
            <w:vAlign w:val="center"/>
          </w:tcPr>
          <w:p w14:paraId="68B106AE">
            <w:pPr>
              <w:pStyle w:val="14"/>
            </w:pPr>
            <w:r>
              <w:t>合计</w:t>
            </w:r>
          </w:p>
        </w:tc>
        <w:tc>
          <w:tcPr>
            <w:tcW w:w="1134" w:type="dxa"/>
            <w:vAlign w:val="center"/>
          </w:tcPr>
          <w:p w14:paraId="0C431921">
            <w:pPr>
              <w:pStyle w:val="15"/>
            </w:pPr>
            <w:r>
              <w:t>6236.29</w:t>
            </w:r>
          </w:p>
        </w:tc>
        <w:tc>
          <w:tcPr>
            <w:tcW w:w="1134" w:type="dxa"/>
            <w:vAlign w:val="center"/>
          </w:tcPr>
          <w:p w14:paraId="18C59114">
            <w:pPr>
              <w:pStyle w:val="15"/>
            </w:pPr>
            <w:r>
              <w:t>6236.29</w:t>
            </w:r>
          </w:p>
        </w:tc>
        <w:tc>
          <w:tcPr>
            <w:tcW w:w="1134" w:type="dxa"/>
            <w:vAlign w:val="center"/>
          </w:tcPr>
          <w:p w14:paraId="15B0DF14">
            <w:pPr>
              <w:pStyle w:val="15"/>
            </w:pPr>
            <w:r>
              <w:t>5250.40</w:t>
            </w:r>
          </w:p>
        </w:tc>
        <w:tc>
          <w:tcPr>
            <w:tcW w:w="1134" w:type="dxa"/>
            <w:vAlign w:val="center"/>
          </w:tcPr>
          <w:p w14:paraId="508FEE92">
            <w:pPr>
              <w:pStyle w:val="15"/>
            </w:pPr>
            <w:r>
              <w:t>985.89</w:t>
            </w:r>
          </w:p>
        </w:tc>
        <w:tc>
          <w:tcPr>
            <w:tcW w:w="1134" w:type="dxa"/>
            <w:vAlign w:val="center"/>
          </w:tcPr>
          <w:p w14:paraId="16DDBD7F">
            <w:pPr>
              <w:pStyle w:val="15"/>
            </w:pPr>
          </w:p>
        </w:tc>
        <w:tc>
          <w:tcPr>
            <w:tcW w:w="1134" w:type="dxa"/>
            <w:vAlign w:val="center"/>
          </w:tcPr>
          <w:p w14:paraId="5066C79B">
            <w:pPr>
              <w:pStyle w:val="15"/>
            </w:pPr>
          </w:p>
        </w:tc>
        <w:tc>
          <w:tcPr>
            <w:tcW w:w="1134" w:type="dxa"/>
            <w:vAlign w:val="center"/>
          </w:tcPr>
          <w:p w14:paraId="4F572F99">
            <w:pPr>
              <w:pStyle w:val="15"/>
            </w:pPr>
          </w:p>
        </w:tc>
        <w:tc>
          <w:tcPr>
            <w:tcW w:w="1134" w:type="dxa"/>
            <w:vAlign w:val="center"/>
          </w:tcPr>
          <w:p w14:paraId="510065A6">
            <w:pPr>
              <w:pStyle w:val="15"/>
            </w:pPr>
          </w:p>
        </w:tc>
        <w:tc>
          <w:tcPr>
            <w:tcW w:w="1134" w:type="dxa"/>
            <w:vAlign w:val="center"/>
          </w:tcPr>
          <w:p w14:paraId="418D6C4D">
            <w:pPr>
              <w:pStyle w:val="15"/>
            </w:pPr>
          </w:p>
        </w:tc>
        <w:tc>
          <w:tcPr>
            <w:tcW w:w="1134" w:type="dxa"/>
            <w:vAlign w:val="center"/>
          </w:tcPr>
          <w:p w14:paraId="39EBAEE2">
            <w:pPr>
              <w:pStyle w:val="15"/>
            </w:pPr>
          </w:p>
        </w:tc>
      </w:tr>
      <w:tr w14:paraId="7514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FBF29">
            <w:pPr>
              <w:pStyle w:val="13"/>
            </w:pPr>
            <w:r>
              <w:t>2</w:t>
            </w:r>
          </w:p>
        </w:tc>
        <w:tc>
          <w:tcPr>
            <w:tcW w:w="992" w:type="dxa"/>
            <w:vAlign w:val="center"/>
          </w:tcPr>
          <w:p w14:paraId="5D0B3EA4">
            <w:pPr>
              <w:pStyle w:val="12"/>
            </w:pPr>
            <w:r>
              <w:t>205</w:t>
            </w:r>
          </w:p>
        </w:tc>
        <w:tc>
          <w:tcPr>
            <w:tcW w:w="1559" w:type="dxa"/>
            <w:vAlign w:val="center"/>
          </w:tcPr>
          <w:p w14:paraId="5F79D717">
            <w:pPr>
              <w:pStyle w:val="12"/>
            </w:pPr>
            <w:r>
              <w:t>教育支出</w:t>
            </w:r>
          </w:p>
        </w:tc>
        <w:tc>
          <w:tcPr>
            <w:tcW w:w="1134" w:type="dxa"/>
            <w:vAlign w:val="center"/>
          </w:tcPr>
          <w:p w14:paraId="322F6D85">
            <w:pPr>
              <w:pStyle w:val="11"/>
            </w:pPr>
            <w:r>
              <w:t>6220.76</w:t>
            </w:r>
          </w:p>
        </w:tc>
        <w:tc>
          <w:tcPr>
            <w:tcW w:w="1134" w:type="dxa"/>
            <w:vAlign w:val="center"/>
          </w:tcPr>
          <w:p w14:paraId="1F46CF41">
            <w:pPr>
              <w:pStyle w:val="11"/>
            </w:pPr>
            <w:r>
              <w:t>6220.76</w:t>
            </w:r>
          </w:p>
        </w:tc>
        <w:tc>
          <w:tcPr>
            <w:tcW w:w="1134" w:type="dxa"/>
            <w:vAlign w:val="center"/>
          </w:tcPr>
          <w:p w14:paraId="5C8EC49C">
            <w:pPr>
              <w:pStyle w:val="11"/>
            </w:pPr>
            <w:r>
              <w:t>5234.87</w:t>
            </w:r>
          </w:p>
        </w:tc>
        <w:tc>
          <w:tcPr>
            <w:tcW w:w="1134" w:type="dxa"/>
            <w:vAlign w:val="center"/>
          </w:tcPr>
          <w:p w14:paraId="21F045D6">
            <w:pPr>
              <w:pStyle w:val="11"/>
            </w:pPr>
            <w:r>
              <w:t>985.89</w:t>
            </w:r>
          </w:p>
        </w:tc>
        <w:tc>
          <w:tcPr>
            <w:tcW w:w="1134" w:type="dxa"/>
            <w:vAlign w:val="center"/>
          </w:tcPr>
          <w:p w14:paraId="7D49F5D7">
            <w:pPr>
              <w:pStyle w:val="11"/>
            </w:pPr>
          </w:p>
        </w:tc>
        <w:tc>
          <w:tcPr>
            <w:tcW w:w="1134" w:type="dxa"/>
            <w:vAlign w:val="center"/>
          </w:tcPr>
          <w:p w14:paraId="114B17F3">
            <w:pPr>
              <w:pStyle w:val="11"/>
            </w:pPr>
          </w:p>
        </w:tc>
        <w:tc>
          <w:tcPr>
            <w:tcW w:w="1134" w:type="dxa"/>
            <w:vAlign w:val="center"/>
          </w:tcPr>
          <w:p w14:paraId="685D5214">
            <w:pPr>
              <w:pStyle w:val="11"/>
            </w:pPr>
          </w:p>
        </w:tc>
        <w:tc>
          <w:tcPr>
            <w:tcW w:w="1134" w:type="dxa"/>
            <w:vAlign w:val="center"/>
          </w:tcPr>
          <w:p w14:paraId="4B06B5E5">
            <w:pPr>
              <w:pStyle w:val="11"/>
            </w:pPr>
          </w:p>
        </w:tc>
        <w:tc>
          <w:tcPr>
            <w:tcW w:w="1134" w:type="dxa"/>
            <w:vAlign w:val="center"/>
          </w:tcPr>
          <w:p w14:paraId="5AD46301">
            <w:pPr>
              <w:pStyle w:val="11"/>
            </w:pPr>
          </w:p>
        </w:tc>
        <w:tc>
          <w:tcPr>
            <w:tcW w:w="1134" w:type="dxa"/>
            <w:vAlign w:val="center"/>
          </w:tcPr>
          <w:p w14:paraId="1ADD1AEB">
            <w:pPr>
              <w:pStyle w:val="11"/>
            </w:pPr>
          </w:p>
        </w:tc>
      </w:tr>
      <w:tr w14:paraId="42CD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C2EBB">
            <w:pPr>
              <w:pStyle w:val="13"/>
            </w:pPr>
            <w:r>
              <w:t>3</w:t>
            </w:r>
          </w:p>
        </w:tc>
        <w:tc>
          <w:tcPr>
            <w:tcW w:w="992" w:type="dxa"/>
            <w:vAlign w:val="center"/>
          </w:tcPr>
          <w:p w14:paraId="12621022">
            <w:pPr>
              <w:pStyle w:val="12"/>
            </w:pPr>
            <w:r>
              <w:t>20502</w:t>
            </w:r>
          </w:p>
        </w:tc>
        <w:tc>
          <w:tcPr>
            <w:tcW w:w="1559" w:type="dxa"/>
            <w:vAlign w:val="center"/>
          </w:tcPr>
          <w:p w14:paraId="396096AA">
            <w:pPr>
              <w:pStyle w:val="12"/>
            </w:pPr>
            <w:r>
              <w:t>普通教育</w:t>
            </w:r>
          </w:p>
        </w:tc>
        <w:tc>
          <w:tcPr>
            <w:tcW w:w="1134" w:type="dxa"/>
            <w:vAlign w:val="center"/>
          </w:tcPr>
          <w:p w14:paraId="2558DDD9">
            <w:pPr>
              <w:pStyle w:val="11"/>
            </w:pPr>
            <w:r>
              <w:t>6220.76</w:t>
            </w:r>
          </w:p>
        </w:tc>
        <w:tc>
          <w:tcPr>
            <w:tcW w:w="1134" w:type="dxa"/>
            <w:vAlign w:val="center"/>
          </w:tcPr>
          <w:p w14:paraId="779E57E3">
            <w:pPr>
              <w:pStyle w:val="11"/>
            </w:pPr>
            <w:r>
              <w:t>6220.76</w:t>
            </w:r>
          </w:p>
        </w:tc>
        <w:tc>
          <w:tcPr>
            <w:tcW w:w="1134" w:type="dxa"/>
            <w:vAlign w:val="center"/>
          </w:tcPr>
          <w:p w14:paraId="7A1723E3">
            <w:pPr>
              <w:pStyle w:val="11"/>
            </w:pPr>
            <w:r>
              <w:t>5234.87</w:t>
            </w:r>
          </w:p>
        </w:tc>
        <w:tc>
          <w:tcPr>
            <w:tcW w:w="1134" w:type="dxa"/>
            <w:vAlign w:val="center"/>
          </w:tcPr>
          <w:p w14:paraId="51EA311D">
            <w:pPr>
              <w:pStyle w:val="11"/>
            </w:pPr>
            <w:r>
              <w:t>985.89</w:t>
            </w:r>
          </w:p>
        </w:tc>
        <w:tc>
          <w:tcPr>
            <w:tcW w:w="1134" w:type="dxa"/>
            <w:vAlign w:val="center"/>
          </w:tcPr>
          <w:p w14:paraId="35E49AD9">
            <w:pPr>
              <w:pStyle w:val="11"/>
            </w:pPr>
          </w:p>
        </w:tc>
        <w:tc>
          <w:tcPr>
            <w:tcW w:w="1134" w:type="dxa"/>
            <w:vAlign w:val="center"/>
          </w:tcPr>
          <w:p w14:paraId="47B0E8ED">
            <w:pPr>
              <w:pStyle w:val="11"/>
            </w:pPr>
          </w:p>
        </w:tc>
        <w:tc>
          <w:tcPr>
            <w:tcW w:w="1134" w:type="dxa"/>
            <w:vAlign w:val="center"/>
          </w:tcPr>
          <w:p w14:paraId="1B0BCEE9">
            <w:pPr>
              <w:pStyle w:val="11"/>
            </w:pPr>
          </w:p>
        </w:tc>
        <w:tc>
          <w:tcPr>
            <w:tcW w:w="1134" w:type="dxa"/>
            <w:vAlign w:val="center"/>
          </w:tcPr>
          <w:p w14:paraId="08B41353">
            <w:pPr>
              <w:pStyle w:val="11"/>
            </w:pPr>
          </w:p>
        </w:tc>
        <w:tc>
          <w:tcPr>
            <w:tcW w:w="1134" w:type="dxa"/>
            <w:vAlign w:val="center"/>
          </w:tcPr>
          <w:p w14:paraId="40941ADA">
            <w:pPr>
              <w:pStyle w:val="11"/>
            </w:pPr>
          </w:p>
        </w:tc>
        <w:tc>
          <w:tcPr>
            <w:tcW w:w="1134" w:type="dxa"/>
            <w:vAlign w:val="center"/>
          </w:tcPr>
          <w:p w14:paraId="1F101DDD">
            <w:pPr>
              <w:pStyle w:val="11"/>
            </w:pPr>
          </w:p>
        </w:tc>
      </w:tr>
      <w:tr w14:paraId="208A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0FD34">
            <w:pPr>
              <w:pStyle w:val="13"/>
            </w:pPr>
            <w:r>
              <w:t>4</w:t>
            </w:r>
          </w:p>
        </w:tc>
        <w:tc>
          <w:tcPr>
            <w:tcW w:w="992" w:type="dxa"/>
            <w:vAlign w:val="center"/>
          </w:tcPr>
          <w:p w14:paraId="7698333E">
            <w:pPr>
              <w:pStyle w:val="12"/>
            </w:pPr>
            <w:r>
              <w:t>2050203</w:t>
            </w:r>
          </w:p>
        </w:tc>
        <w:tc>
          <w:tcPr>
            <w:tcW w:w="1559" w:type="dxa"/>
            <w:vAlign w:val="center"/>
          </w:tcPr>
          <w:p w14:paraId="6C3AA516">
            <w:pPr>
              <w:pStyle w:val="12"/>
            </w:pPr>
            <w:r>
              <w:t>初中教育</w:t>
            </w:r>
          </w:p>
        </w:tc>
        <w:tc>
          <w:tcPr>
            <w:tcW w:w="1134" w:type="dxa"/>
            <w:vAlign w:val="center"/>
          </w:tcPr>
          <w:p w14:paraId="2285920B">
            <w:pPr>
              <w:pStyle w:val="11"/>
            </w:pPr>
            <w:r>
              <w:t>129.22</w:t>
            </w:r>
          </w:p>
        </w:tc>
        <w:tc>
          <w:tcPr>
            <w:tcW w:w="1134" w:type="dxa"/>
            <w:vAlign w:val="center"/>
          </w:tcPr>
          <w:p w14:paraId="768092D5">
            <w:pPr>
              <w:pStyle w:val="11"/>
            </w:pPr>
            <w:r>
              <w:t>129.22</w:t>
            </w:r>
          </w:p>
        </w:tc>
        <w:tc>
          <w:tcPr>
            <w:tcW w:w="1134" w:type="dxa"/>
            <w:vAlign w:val="center"/>
          </w:tcPr>
          <w:p w14:paraId="11207457">
            <w:pPr>
              <w:pStyle w:val="11"/>
            </w:pPr>
            <w:r>
              <w:t>129.22</w:t>
            </w:r>
          </w:p>
        </w:tc>
        <w:tc>
          <w:tcPr>
            <w:tcW w:w="1134" w:type="dxa"/>
            <w:vAlign w:val="center"/>
          </w:tcPr>
          <w:p w14:paraId="27435D1F">
            <w:pPr>
              <w:pStyle w:val="11"/>
            </w:pPr>
          </w:p>
        </w:tc>
        <w:tc>
          <w:tcPr>
            <w:tcW w:w="1134" w:type="dxa"/>
            <w:vAlign w:val="center"/>
          </w:tcPr>
          <w:p w14:paraId="7E79AE9F">
            <w:pPr>
              <w:pStyle w:val="11"/>
            </w:pPr>
          </w:p>
        </w:tc>
        <w:tc>
          <w:tcPr>
            <w:tcW w:w="1134" w:type="dxa"/>
            <w:vAlign w:val="center"/>
          </w:tcPr>
          <w:p w14:paraId="07F7680F">
            <w:pPr>
              <w:pStyle w:val="11"/>
            </w:pPr>
          </w:p>
        </w:tc>
        <w:tc>
          <w:tcPr>
            <w:tcW w:w="1134" w:type="dxa"/>
            <w:vAlign w:val="center"/>
          </w:tcPr>
          <w:p w14:paraId="02F2934B">
            <w:pPr>
              <w:pStyle w:val="11"/>
            </w:pPr>
          </w:p>
        </w:tc>
        <w:tc>
          <w:tcPr>
            <w:tcW w:w="1134" w:type="dxa"/>
            <w:vAlign w:val="center"/>
          </w:tcPr>
          <w:p w14:paraId="5AECF4F6">
            <w:pPr>
              <w:pStyle w:val="11"/>
            </w:pPr>
          </w:p>
        </w:tc>
        <w:tc>
          <w:tcPr>
            <w:tcW w:w="1134" w:type="dxa"/>
            <w:vAlign w:val="center"/>
          </w:tcPr>
          <w:p w14:paraId="41634D92">
            <w:pPr>
              <w:pStyle w:val="11"/>
            </w:pPr>
          </w:p>
        </w:tc>
        <w:tc>
          <w:tcPr>
            <w:tcW w:w="1134" w:type="dxa"/>
            <w:vAlign w:val="center"/>
          </w:tcPr>
          <w:p w14:paraId="6988518B">
            <w:pPr>
              <w:pStyle w:val="11"/>
            </w:pPr>
          </w:p>
        </w:tc>
      </w:tr>
      <w:tr w14:paraId="102D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182CB">
            <w:pPr>
              <w:pStyle w:val="13"/>
            </w:pPr>
            <w:r>
              <w:t>5</w:t>
            </w:r>
          </w:p>
        </w:tc>
        <w:tc>
          <w:tcPr>
            <w:tcW w:w="992" w:type="dxa"/>
            <w:vAlign w:val="center"/>
          </w:tcPr>
          <w:p w14:paraId="56ACDA4A">
            <w:pPr>
              <w:pStyle w:val="12"/>
            </w:pPr>
            <w:r>
              <w:t>2050204</w:t>
            </w:r>
          </w:p>
        </w:tc>
        <w:tc>
          <w:tcPr>
            <w:tcW w:w="1559" w:type="dxa"/>
            <w:vAlign w:val="center"/>
          </w:tcPr>
          <w:p w14:paraId="209C3144">
            <w:pPr>
              <w:pStyle w:val="12"/>
            </w:pPr>
            <w:r>
              <w:t>高中教育</w:t>
            </w:r>
          </w:p>
        </w:tc>
        <w:tc>
          <w:tcPr>
            <w:tcW w:w="1134" w:type="dxa"/>
            <w:vAlign w:val="center"/>
          </w:tcPr>
          <w:p w14:paraId="6249F15C">
            <w:pPr>
              <w:pStyle w:val="11"/>
            </w:pPr>
            <w:r>
              <w:t>6091.54</w:t>
            </w:r>
          </w:p>
        </w:tc>
        <w:tc>
          <w:tcPr>
            <w:tcW w:w="1134" w:type="dxa"/>
            <w:vAlign w:val="center"/>
          </w:tcPr>
          <w:p w14:paraId="5E82A3C3">
            <w:pPr>
              <w:pStyle w:val="11"/>
            </w:pPr>
            <w:r>
              <w:t>6091.54</w:t>
            </w:r>
          </w:p>
        </w:tc>
        <w:tc>
          <w:tcPr>
            <w:tcW w:w="1134" w:type="dxa"/>
            <w:vAlign w:val="center"/>
          </w:tcPr>
          <w:p w14:paraId="700E4A8E">
            <w:pPr>
              <w:pStyle w:val="11"/>
            </w:pPr>
            <w:r>
              <w:t>5105.65</w:t>
            </w:r>
          </w:p>
        </w:tc>
        <w:tc>
          <w:tcPr>
            <w:tcW w:w="1134" w:type="dxa"/>
            <w:vAlign w:val="center"/>
          </w:tcPr>
          <w:p w14:paraId="5F82EA8C">
            <w:pPr>
              <w:pStyle w:val="11"/>
            </w:pPr>
            <w:r>
              <w:t>985.89</w:t>
            </w:r>
          </w:p>
        </w:tc>
        <w:tc>
          <w:tcPr>
            <w:tcW w:w="1134" w:type="dxa"/>
            <w:vAlign w:val="center"/>
          </w:tcPr>
          <w:p w14:paraId="1C401225">
            <w:pPr>
              <w:pStyle w:val="11"/>
            </w:pPr>
          </w:p>
        </w:tc>
        <w:tc>
          <w:tcPr>
            <w:tcW w:w="1134" w:type="dxa"/>
            <w:vAlign w:val="center"/>
          </w:tcPr>
          <w:p w14:paraId="46D2F72D">
            <w:pPr>
              <w:pStyle w:val="11"/>
            </w:pPr>
          </w:p>
        </w:tc>
        <w:tc>
          <w:tcPr>
            <w:tcW w:w="1134" w:type="dxa"/>
            <w:vAlign w:val="center"/>
          </w:tcPr>
          <w:p w14:paraId="11044CA4">
            <w:pPr>
              <w:pStyle w:val="11"/>
            </w:pPr>
          </w:p>
        </w:tc>
        <w:tc>
          <w:tcPr>
            <w:tcW w:w="1134" w:type="dxa"/>
            <w:vAlign w:val="center"/>
          </w:tcPr>
          <w:p w14:paraId="361476DB">
            <w:pPr>
              <w:pStyle w:val="11"/>
            </w:pPr>
          </w:p>
        </w:tc>
        <w:tc>
          <w:tcPr>
            <w:tcW w:w="1134" w:type="dxa"/>
            <w:vAlign w:val="center"/>
          </w:tcPr>
          <w:p w14:paraId="0110E3D9">
            <w:pPr>
              <w:pStyle w:val="11"/>
            </w:pPr>
          </w:p>
        </w:tc>
        <w:tc>
          <w:tcPr>
            <w:tcW w:w="1134" w:type="dxa"/>
            <w:vAlign w:val="center"/>
          </w:tcPr>
          <w:p w14:paraId="34B10C1D">
            <w:pPr>
              <w:pStyle w:val="11"/>
            </w:pPr>
          </w:p>
        </w:tc>
      </w:tr>
      <w:tr w14:paraId="00F4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9D085">
            <w:pPr>
              <w:pStyle w:val="13"/>
            </w:pPr>
            <w:r>
              <w:t>6</w:t>
            </w:r>
          </w:p>
        </w:tc>
        <w:tc>
          <w:tcPr>
            <w:tcW w:w="992" w:type="dxa"/>
            <w:vAlign w:val="center"/>
          </w:tcPr>
          <w:p w14:paraId="0C6B5BC9">
            <w:pPr>
              <w:pStyle w:val="12"/>
            </w:pPr>
            <w:r>
              <w:t>208</w:t>
            </w:r>
          </w:p>
        </w:tc>
        <w:tc>
          <w:tcPr>
            <w:tcW w:w="1559" w:type="dxa"/>
            <w:vAlign w:val="center"/>
          </w:tcPr>
          <w:p w14:paraId="0FE808D3">
            <w:pPr>
              <w:pStyle w:val="12"/>
            </w:pPr>
            <w:r>
              <w:t>社会保障和就业支出</w:t>
            </w:r>
          </w:p>
        </w:tc>
        <w:tc>
          <w:tcPr>
            <w:tcW w:w="1134" w:type="dxa"/>
            <w:vAlign w:val="center"/>
          </w:tcPr>
          <w:p w14:paraId="4F9902F7">
            <w:pPr>
              <w:pStyle w:val="11"/>
            </w:pPr>
            <w:r>
              <w:t>15.53</w:t>
            </w:r>
          </w:p>
        </w:tc>
        <w:tc>
          <w:tcPr>
            <w:tcW w:w="1134" w:type="dxa"/>
            <w:vAlign w:val="center"/>
          </w:tcPr>
          <w:p w14:paraId="7AC3E810">
            <w:pPr>
              <w:pStyle w:val="11"/>
            </w:pPr>
            <w:r>
              <w:t>15.53</w:t>
            </w:r>
          </w:p>
        </w:tc>
        <w:tc>
          <w:tcPr>
            <w:tcW w:w="1134" w:type="dxa"/>
            <w:vAlign w:val="center"/>
          </w:tcPr>
          <w:p w14:paraId="5E88D3E6">
            <w:pPr>
              <w:pStyle w:val="11"/>
            </w:pPr>
            <w:r>
              <w:t>15.53</w:t>
            </w:r>
          </w:p>
        </w:tc>
        <w:tc>
          <w:tcPr>
            <w:tcW w:w="1134" w:type="dxa"/>
            <w:vAlign w:val="center"/>
          </w:tcPr>
          <w:p w14:paraId="64F48457">
            <w:pPr>
              <w:pStyle w:val="11"/>
            </w:pPr>
          </w:p>
        </w:tc>
        <w:tc>
          <w:tcPr>
            <w:tcW w:w="1134" w:type="dxa"/>
            <w:vAlign w:val="center"/>
          </w:tcPr>
          <w:p w14:paraId="102762CC">
            <w:pPr>
              <w:pStyle w:val="11"/>
            </w:pPr>
          </w:p>
        </w:tc>
        <w:tc>
          <w:tcPr>
            <w:tcW w:w="1134" w:type="dxa"/>
            <w:vAlign w:val="center"/>
          </w:tcPr>
          <w:p w14:paraId="73E4BCDA">
            <w:pPr>
              <w:pStyle w:val="11"/>
            </w:pPr>
          </w:p>
        </w:tc>
        <w:tc>
          <w:tcPr>
            <w:tcW w:w="1134" w:type="dxa"/>
            <w:vAlign w:val="center"/>
          </w:tcPr>
          <w:p w14:paraId="4489EA6D">
            <w:pPr>
              <w:pStyle w:val="11"/>
            </w:pPr>
          </w:p>
        </w:tc>
        <w:tc>
          <w:tcPr>
            <w:tcW w:w="1134" w:type="dxa"/>
            <w:vAlign w:val="center"/>
          </w:tcPr>
          <w:p w14:paraId="2932334F">
            <w:pPr>
              <w:pStyle w:val="11"/>
            </w:pPr>
          </w:p>
        </w:tc>
        <w:tc>
          <w:tcPr>
            <w:tcW w:w="1134" w:type="dxa"/>
            <w:vAlign w:val="center"/>
          </w:tcPr>
          <w:p w14:paraId="6E526061">
            <w:pPr>
              <w:pStyle w:val="11"/>
            </w:pPr>
          </w:p>
        </w:tc>
        <w:tc>
          <w:tcPr>
            <w:tcW w:w="1134" w:type="dxa"/>
            <w:vAlign w:val="center"/>
          </w:tcPr>
          <w:p w14:paraId="559A15A2">
            <w:pPr>
              <w:pStyle w:val="11"/>
            </w:pPr>
          </w:p>
        </w:tc>
      </w:tr>
      <w:tr w14:paraId="6ED2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6DC8F">
            <w:pPr>
              <w:pStyle w:val="13"/>
            </w:pPr>
            <w:r>
              <w:t>7</w:t>
            </w:r>
          </w:p>
        </w:tc>
        <w:tc>
          <w:tcPr>
            <w:tcW w:w="992" w:type="dxa"/>
            <w:vAlign w:val="center"/>
          </w:tcPr>
          <w:p w14:paraId="16A6153C">
            <w:pPr>
              <w:pStyle w:val="12"/>
            </w:pPr>
            <w:r>
              <w:t>20805</w:t>
            </w:r>
          </w:p>
        </w:tc>
        <w:tc>
          <w:tcPr>
            <w:tcW w:w="1559" w:type="dxa"/>
            <w:vAlign w:val="center"/>
          </w:tcPr>
          <w:p w14:paraId="5F846712">
            <w:pPr>
              <w:pStyle w:val="12"/>
            </w:pPr>
            <w:r>
              <w:t>行政事业单位养老支出</w:t>
            </w:r>
          </w:p>
        </w:tc>
        <w:tc>
          <w:tcPr>
            <w:tcW w:w="1134" w:type="dxa"/>
            <w:vAlign w:val="center"/>
          </w:tcPr>
          <w:p w14:paraId="2F380E4E">
            <w:pPr>
              <w:pStyle w:val="11"/>
            </w:pPr>
            <w:r>
              <w:t>15.53</w:t>
            </w:r>
          </w:p>
        </w:tc>
        <w:tc>
          <w:tcPr>
            <w:tcW w:w="1134" w:type="dxa"/>
            <w:vAlign w:val="center"/>
          </w:tcPr>
          <w:p w14:paraId="64BE4128">
            <w:pPr>
              <w:pStyle w:val="11"/>
            </w:pPr>
            <w:r>
              <w:t>15.53</w:t>
            </w:r>
          </w:p>
        </w:tc>
        <w:tc>
          <w:tcPr>
            <w:tcW w:w="1134" w:type="dxa"/>
            <w:vAlign w:val="center"/>
          </w:tcPr>
          <w:p w14:paraId="4EACF429">
            <w:pPr>
              <w:pStyle w:val="11"/>
            </w:pPr>
            <w:r>
              <w:t>15.53</w:t>
            </w:r>
          </w:p>
        </w:tc>
        <w:tc>
          <w:tcPr>
            <w:tcW w:w="1134" w:type="dxa"/>
            <w:vAlign w:val="center"/>
          </w:tcPr>
          <w:p w14:paraId="473B2330">
            <w:pPr>
              <w:pStyle w:val="11"/>
            </w:pPr>
          </w:p>
        </w:tc>
        <w:tc>
          <w:tcPr>
            <w:tcW w:w="1134" w:type="dxa"/>
            <w:vAlign w:val="center"/>
          </w:tcPr>
          <w:p w14:paraId="1EE04CB1">
            <w:pPr>
              <w:pStyle w:val="11"/>
            </w:pPr>
          </w:p>
        </w:tc>
        <w:tc>
          <w:tcPr>
            <w:tcW w:w="1134" w:type="dxa"/>
            <w:vAlign w:val="center"/>
          </w:tcPr>
          <w:p w14:paraId="356E4A95">
            <w:pPr>
              <w:pStyle w:val="11"/>
            </w:pPr>
          </w:p>
        </w:tc>
        <w:tc>
          <w:tcPr>
            <w:tcW w:w="1134" w:type="dxa"/>
            <w:vAlign w:val="center"/>
          </w:tcPr>
          <w:p w14:paraId="2659ACC8">
            <w:pPr>
              <w:pStyle w:val="11"/>
            </w:pPr>
          </w:p>
        </w:tc>
        <w:tc>
          <w:tcPr>
            <w:tcW w:w="1134" w:type="dxa"/>
            <w:vAlign w:val="center"/>
          </w:tcPr>
          <w:p w14:paraId="22F7ACFD">
            <w:pPr>
              <w:pStyle w:val="11"/>
            </w:pPr>
          </w:p>
        </w:tc>
        <w:tc>
          <w:tcPr>
            <w:tcW w:w="1134" w:type="dxa"/>
            <w:vAlign w:val="center"/>
          </w:tcPr>
          <w:p w14:paraId="2C602B85">
            <w:pPr>
              <w:pStyle w:val="11"/>
            </w:pPr>
          </w:p>
        </w:tc>
        <w:tc>
          <w:tcPr>
            <w:tcW w:w="1134" w:type="dxa"/>
            <w:vAlign w:val="center"/>
          </w:tcPr>
          <w:p w14:paraId="2614EB4B">
            <w:pPr>
              <w:pStyle w:val="11"/>
            </w:pPr>
          </w:p>
        </w:tc>
      </w:tr>
      <w:tr w14:paraId="5A55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646A3">
            <w:pPr>
              <w:pStyle w:val="13"/>
            </w:pPr>
            <w:r>
              <w:t>8</w:t>
            </w:r>
          </w:p>
        </w:tc>
        <w:tc>
          <w:tcPr>
            <w:tcW w:w="992" w:type="dxa"/>
            <w:vAlign w:val="center"/>
          </w:tcPr>
          <w:p w14:paraId="7A309953">
            <w:pPr>
              <w:pStyle w:val="12"/>
            </w:pPr>
            <w:r>
              <w:t>2080502</w:t>
            </w:r>
          </w:p>
        </w:tc>
        <w:tc>
          <w:tcPr>
            <w:tcW w:w="1559" w:type="dxa"/>
            <w:vAlign w:val="center"/>
          </w:tcPr>
          <w:p w14:paraId="1E801A47">
            <w:pPr>
              <w:pStyle w:val="12"/>
            </w:pPr>
            <w:r>
              <w:t>事业单位离退休</w:t>
            </w:r>
          </w:p>
        </w:tc>
        <w:tc>
          <w:tcPr>
            <w:tcW w:w="1134" w:type="dxa"/>
            <w:vAlign w:val="center"/>
          </w:tcPr>
          <w:p w14:paraId="76CD3CB7">
            <w:pPr>
              <w:pStyle w:val="11"/>
            </w:pPr>
            <w:r>
              <w:t>15.53</w:t>
            </w:r>
          </w:p>
        </w:tc>
        <w:tc>
          <w:tcPr>
            <w:tcW w:w="1134" w:type="dxa"/>
            <w:vAlign w:val="center"/>
          </w:tcPr>
          <w:p w14:paraId="7F6A7C51">
            <w:pPr>
              <w:pStyle w:val="11"/>
            </w:pPr>
            <w:r>
              <w:t>15.53</w:t>
            </w:r>
          </w:p>
        </w:tc>
        <w:tc>
          <w:tcPr>
            <w:tcW w:w="1134" w:type="dxa"/>
            <w:vAlign w:val="center"/>
          </w:tcPr>
          <w:p w14:paraId="4ADEDCC7">
            <w:pPr>
              <w:pStyle w:val="11"/>
            </w:pPr>
            <w:r>
              <w:t>15.53</w:t>
            </w:r>
          </w:p>
        </w:tc>
        <w:tc>
          <w:tcPr>
            <w:tcW w:w="1134" w:type="dxa"/>
            <w:vAlign w:val="center"/>
          </w:tcPr>
          <w:p w14:paraId="3D2DFB18">
            <w:pPr>
              <w:pStyle w:val="11"/>
            </w:pPr>
          </w:p>
        </w:tc>
        <w:tc>
          <w:tcPr>
            <w:tcW w:w="1134" w:type="dxa"/>
            <w:vAlign w:val="center"/>
          </w:tcPr>
          <w:p w14:paraId="3F39A4E6">
            <w:pPr>
              <w:pStyle w:val="11"/>
            </w:pPr>
          </w:p>
        </w:tc>
        <w:tc>
          <w:tcPr>
            <w:tcW w:w="1134" w:type="dxa"/>
            <w:vAlign w:val="center"/>
          </w:tcPr>
          <w:p w14:paraId="23D77FED">
            <w:pPr>
              <w:pStyle w:val="11"/>
            </w:pPr>
          </w:p>
        </w:tc>
        <w:tc>
          <w:tcPr>
            <w:tcW w:w="1134" w:type="dxa"/>
            <w:vAlign w:val="center"/>
          </w:tcPr>
          <w:p w14:paraId="6E2A473C">
            <w:pPr>
              <w:pStyle w:val="11"/>
            </w:pPr>
          </w:p>
        </w:tc>
        <w:tc>
          <w:tcPr>
            <w:tcW w:w="1134" w:type="dxa"/>
            <w:vAlign w:val="center"/>
          </w:tcPr>
          <w:p w14:paraId="0956C9FA">
            <w:pPr>
              <w:pStyle w:val="11"/>
            </w:pPr>
          </w:p>
        </w:tc>
        <w:tc>
          <w:tcPr>
            <w:tcW w:w="1134" w:type="dxa"/>
            <w:vAlign w:val="center"/>
          </w:tcPr>
          <w:p w14:paraId="2E399909">
            <w:pPr>
              <w:pStyle w:val="11"/>
            </w:pPr>
          </w:p>
        </w:tc>
        <w:tc>
          <w:tcPr>
            <w:tcW w:w="1134" w:type="dxa"/>
            <w:vAlign w:val="center"/>
          </w:tcPr>
          <w:p w14:paraId="35452F7A">
            <w:pPr>
              <w:pStyle w:val="11"/>
            </w:pPr>
          </w:p>
        </w:tc>
      </w:tr>
    </w:tbl>
    <w:p w14:paraId="36A130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2B61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1E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F9C936">
            <w:pPr>
              <w:pStyle w:val="9"/>
            </w:pPr>
            <w:r>
              <w:t>360003河北隆尧第一中学</w:t>
            </w:r>
          </w:p>
        </w:tc>
        <w:tc>
          <w:tcPr>
            <w:tcW w:w="2722" w:type="dxa"/>
            <w:gridSpan w:val="2"/>
            <w:tcBorders>
              <w:top w:val="single" w:color="FFFFFF" w:sz="6" w:space="0"/>
              <w:left w:val="single" w:color="FFFFFF" w:sz="6" w:space="0"/>
              <w:right w:val="single" w:color="FFFFFF" w:sz="6" w:space="0"/>
            </w:tcBorders>
            <w:vAlign w:val="center"/>
          </w:tcPr>
          <w:p w14:paraId="31EB8D9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6B84F8E">
            <w:pPr>
              <w:pStyle w:val="7"/>
            </w:pPr>
            <w:r>
              <w:t>单位：万元</w:t>
            </w:r>
          </w:p>
        </w:tc>
      </w:tr>
      <w:tr w14:paraId="5741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81031">
            <w:pPr>
              <w:pStyle w:val="10"/>
            </w:pPr>
            <w:r>
              <w:t>序号</w:t>
            </w:r>
          </w:p>
        </w:tc>
        <w:tc>
          <w:tcPr>
            <w:tcW w:w="5527" w:type="dxa"/>
            <w:gridSpan w:val="2"/>
            <w:vAlign w:val="center"/>
          </w:tcPr>
          <w:p w14:paraId="79109D4A">
            <w:pPr>
              <w:pStyle w:val="10"/>
            </w:pPr>
            <w:r>
              <w:t>功能分类科目</w:t>
            </w:r>
          </w:p>
        </w:tc>
        <w:tc>
          <w:tcPr>
            <w:tcW w:w="1361" w:type="dxa"/>
            <w:vMerge w:val="restart"/>
            <w:vAlign w:val="center"/>
          </w:tcPr>
          <w:p w14:paraId="5D2F913C">
            <w:pPr>
              <w:pStyle w:val="10"/>
            </w:pPr>
            <w:r>
              <w:t>合计</w:t>
            </w:r>
          </w:p>
        </w:tc>
        <w:tc>
          <w:tcPr>
            <w:tcW w:w="1361" w:type="dxa"/>
            <w:vMerge w:val="restart"/>
            <w:vAlign w:val="center"/>
          </w:tcPr>
          <w:p w14:paraId="35CA2E2E">
            <w:pPr>
              <w:pStyle w:val="10"/>
            </w:pPr>
            <w:r>
              <w:t>基本支出</w:t>
            </w:r>
          </w:p>
        </w:tc>
        <w:tc>
          <w:tcPr>
            <w:tcW w:w="1361" w:type="dxa"/>
            <w:vMerge w:val="restart"/>
            <w:vAlign w:val="center"/>
          </w:tcPr>
          <w:p w14:paraId="3BEA6EE4">
            <w:pPr>
              <w:pStyle w:val="10"/>
            </w:pPr>
            <w:r>
              <w:t>项目支出</w:t>
            </w:r>
          </w:p>
        </w:tc>
        <w:tc>
          <w:tcPr>
            <w:tcW w:w="1361" w:type="dxa"/>
            <w:vMerge w:val="restart"/>
            <w:vAlign w:val="center"/>
          </w:tcPr>
          <w:p w14:paraId="42F8D745">
            <w:pPr>
              <w:pStyle w:val="10"/>
            </w:pPr>
            <w:r>
              <w:t>经营支出</w:t>
            </w:r>
          </w:p>
        </w:tc>
        <w:tc>
          <w:tcPr>
            <w:tcW w:w="1361" w:type="dxa"/>
            <w:vMerge w:val="restart"/>
            <w:vAlign w:val="center"/>
          </w:tcPr>
          <w:p w14:paraId="36D9BC05">
            <w:pPr>
              <w:pStyle w:val="10"/>
            </w:pPr>
            <w:r>
              <w:t>上解上级     支出</w:t>
            </w:r>
          </w:p>
        </w:tc>
        <w:tc>
          <w:tcPr>
            <w:tcW w:w="1361" w:type="dxa"/>
            <w:vMerge w:val="restart"/>
            <w:vAlign w:val="center"/>
          </w:tcPr>
          <w:p w14:paraId="2635D6C2">
            <w:pPr>
              <w:pStyle w:val="10"/>
            </w:pPr>
            <w:r>
              <w:t>对附属单位补助支出</w:t>
            </w:r>
          </w:p>
        </w:tc>
      </w:tr>
      <w:tr w14:paraId="5830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22BA85"/>
        </w:tc>
        <w:tc>
          <w:tcPr>
            <w:tcW w:w="992" w:type="dxa"/>
            <w:vAlign w:val="center"/>
          </w:tcPr>
          <w:p w14:paraId="383DDDC7">
            <w:pPr>
              <w:pStyle w:val="10"/>
            </w:pPr>
            <w:r>
              <w:t>科目    编码</w:t>
            </w:r>
          </w:p>
        </w:tc>
        <w:tc>
          <w:tcPr>
            <w:tcW w:w="4535" w:type="dxa"/>
            <w:vAlign w:val="center"/>
          </w:tcPr>
          <w:p w14:paraId="5A924F8E">
            <w:pPr>
              <w:pStyle w:val="10"/>
            </w:pPr>
            <w:r>
              <w:t>科目名称</w:t>
            </w:r>
          </w:p>
        </w:tc>
        <w:tc>
          <w:tcPr>
            <w:tcW w:w="1361" w:type="dxa"/>
            <w:vMerge w:val="continue"/>
          </w:tcPr>
          <w:p w14:paraId="46F67340"/>
        </w:tc>
        <w:tc>
          <w:tcPr>
            <w:tcW w:w="1361" w:type="dxa"/>
            <w:vMerge w:val="continue"/>
          </w:tcPr>
          <w:p w14:paraId="238067BD"/>
        </w:tc>
        <w:tc>
          <w:tcPr>
            <w:tcW w:w="1361" w:type="dxa"/>
            <w:vMerge w:val="continue"/>
          </w:tcPr>
          <w:p w14:paraId="6CEAA615"/>
        </w:tc>
        <w:tc>
          <w:tcPr>
            <w:tcW w:w="1361" w:type="dxa"/>
            <w:vMerge w:val="continue"/>
          </w:tcPr>
          <w:p w14:paraId="30BCB387"/>
        </w:tc>
        <w:tc>
          <w:tcPr>
            <w:tcW w:w="1361" w:type="dxa"/>
            <w:vMerge w:val="continue"/>
          </w:tcPr>
          <w:p w14:paraId="42D9B982"/>
        </w:tc>
        <w:tc>
          <w:tcPr>
            <w:tcW w:w="1361" w:type="dxa"/>
            <w:vMerge w:val="continue"/>
          </w:tcPr>
          <w:p w14:paraId="4E6BB81A"/>
        </w:tc>
      </w:tr>
      <w:tr w14:paraId="33D9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7BE665">
            <w:pPr>
              <w:pStyle w:val="10"/>
            </w:pPr>
            <w:r>
              <w:t>栏次</w:t>
            </w:r>
          </w:p>
        </w:tc>
        <w:tc>
          <w:tcPr>
            <w:tcW w:w="992" w:type="dxa"/>
            <w:vAlign w:val="center"/>
          </w:tcPr>
          <w:p w14:paraId="52E2E9C2">
            <w:pPr>
              <w:pStyle w:val="10"/>
            </w:pPr>
            <w:r>
              <w:t>1</w:t>
            </w:r>
          </w:p>
        </w:tc>
        <w:tc>
          <w:tcPr>
            <w:tcW w:w="4535" w:type="dxa"/>
            <w:vAlign w:val="center"/>
          </w:tcPr>
          <w:p w14:paraId="00FE0202">
            <w:pPr>
              <w:pStyle w:val="10"/>
            </w:pPr>
            <w:r>
              <w:t>2</w:t>
            </w:r>
          </w:p>
        </w:tc>
        <w:tc>
          <w:tcPr>
            <w:tcW w:w="1361" w:type="dxa"/>
            <w:vAlign w:val="center"/>
          </w:tcPr>
          <w:p w14:paraId="362AE575">
            <w:pPr>
              <w:pStyle w:val="10"/>
            </w:pPr>
            <w:r>
              <w:t>3</w:t>
            </w:r>
          </w:p>
        </w:tc>
        <w:tc>
          <w:tcPr>
            <w:tcW w:w="1361" w:type="dxa"/>
            <w:vAlign w:val="center"/>
          </w:tcPr>
          <w:p w14:paraId="3DDCECC9">
            <w:pPr>
              <w:pStyle w:val="10"/>
            </w:pPr>
            <w:r>
              <w:t>4</w:t>
            </w:r>
          </w:p>
        </w:tc>
        <w:tc>
          <w:tcPr>
            <w:tcW w:w="1361" w:type="dxa"/>
            <w:vAlign w:val="center"/>
          </w:tcPr>
          <w:p w14:paraId="7566A525">
            <w:pPr>
              <w:pStyle w:val="10"/>
            </w:pPr>
            <w:r>
              <w:t>5</w:t>
            </w:r>
          </w:p>
        </w:tc>
        <w:tc>
          <w:tcPr>
            <w:tcW w:w="1361" w:type="dxa"/>
            <w:vAlign w:val="center"/>
          </w:tcPr>
          <w:p w14:paraId="3F0D2056">
            <w:pPr>
              <w:pStyle w:val="10"/>
            </w:pPr>
            <w:r>
              <w:t>6</w:t>
            </w:r>
          </w:p>
        </w:tc>
        <w:tc>
          <w:tcPr>
            <w:tcW w:w="1361" w:type="dxa"/>
            <w:vAlign w:val="center"/>
          </w:tcPr>
          <w:p w14:paraId="01BA0168">
            <w:pPr>
              <w:pStyle w:val="10"/>
            </w:pPr>
            <w:r>
              <w:t>7</w:t>
            </w:r>
          </w:p>
        </w:tc>
        <w:tc>
          <w:tcPr>
            <w:tcW w:w="1361" w:type="dxa"/>
            <w:vAlign w:val="center"/>
          </w:tcPr>
          <w:p w14:paraId="70CEB0A3">
            <w:pPr>
              <w:pStyle w:val="10"/>
            </w:pPr>
            <w:r>
              <w:t>8</w:t>
            </w:r>
          </w:p>
        </w:tc>
      </w:tr>
      <w:tr w14:paraId="5690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BF48">
            <w:pPr>
              <w:pStyle w:val="13"/>
            </w:pPr>
            <w:r>
              <w:t>1</w:t>
            </w:r>
          </w:p>
        </w:tc>
        <w:tc>
          <w:tcPr>
            <w:tcW w:w="992" w:type="dxa"/>
            <w:vAlign w:val="center"/>
          </w:tcPr>
          <w:p w14:paraId="4E2316DF">
            <w:pPr>
              <w:pStyle w:val="16"/>
            </w:pPr>
          </w:p>
        </w:tc>
        <w:tc>
          <w:tcPr>
            <w:tcW w:w="4535" w:type="dxa"/>
            <w:vAlign w:val="center"/>
          </w:tcPr>
          <w:p w14:paraId="2591C093">
            <w:pPr>
              <w:pStyle w:val="14"/>
            </w:pPr>
            <w:r>
              <w:t>合计</w:t>
            </w:r>
          </w:p>
        </w:tc>
        <w:tc>
          <w:tcPr>
            <w:tcW w:w="1361" w:type="dxa"/>
            <w:vAlign w:val="center"/>
          </w:tcPr>
          <w:p w14:paraId="1DBB4853">
            <w:pPr>
              <w:pStyle w:val="15"/>
            </w:pPr>
            <w:r>
              <w:t>6236.29</w:t>
            </w:r>
          </w:p>
        </w:tc>
        <w:tc>
          <w:tcPr>
            <w:tcW w:w="1361" w:type="dxa"/>
            <w:vAlign w:val="center"/>
          </w:tcPr>
          <w:p w14:paraId="06827D85">
            <w:pPr>
              <w:pStyle w:val="15"/>
            </w:pPr>
            <w:r>
              <w:t>4188.31</w:t>
            </w:r>
          </w:p>
        </w:tc>
        <w:tc>
          <w:tcPr>
            <w:tcW w:w="1361" w:type="dxa"/>
            <w:vAlign w:val="center"/>
          </w:tcPr>
          <w:p w14:paraId="20735CF9">
            <w:pPr>
              <w:pStyle w:val="15"/>
            </w:pPr>
            <w:r>
              <w:t>2047.98</w:t>
            </w:r>
          </w:p>
        </w:tc>
        <w:tc>
          <w:tcPr>
            <w:tcW w:w="1361" w:type="dxa"/>
            <w:vAlign w:val="center"/>
          </w:tcPr>
          <w:p w14:paraId="64982906">
            <w:pPr>
              <w:pStyle w:val="15"/>
            </w:pPr>
          </w:p>
        </w:tc>
        <w:tc>
          <w:tcPr>
            <w:tcW w:w="1361" w:type="dxa"/>
            <w:vAlign w:val="center"/>
          </w:tcPr>
          <w:p w14:paraId="2F562D22">
            <w:pPr>
              <w:pStyle w:val="15"/>
            </w:pPr>
          </w:p>
        </w:tc>
        <w:tc>
          <w:tcPr>
            <w:tcW w:w="1361" w:type="dxa"/>
            <w:vAlign w:val="center"/>
          </w:tcPr>
          <w:p w14:paraId="55EFBE33">
            <w:pPr>
              <w:pStyle w:val="15"/>
            </w:pPr>
          </w:p>
        </w:tc>
      </w:tr>
      <w:tr w14:paraId="4E02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E78B">
            <w:pPr>
              <w:pStyle w:val="13"/>
            </w:pPr>
            <w:r>
              <w:t>2</w:t>
            </w:r>
          </w:p>
        </w:tc>
        <w:tc>
          <w:tcPr>
            <w:tcW w:w="992" w:type="dxa"/>
            <w:vAlign w:val="center"/>
          </w:tcPr>
          <w:p w14:paraId="4E8B1258">
            <w:pPr>
              <w:pStyle w:val="12"/>
            </w:pPr>
            <w:r>
              <w:t>205</w:t>
            </w:r>
          </w:p>
        </w:tc>
        <w:tc>
          <w:tcPr>
            <w:tcW w:w="4535" w:type="dxa"/>
            <w:vAlign w:val="center"/>
          </w:tcPr>
          <w:p w14:paraId="2D97509F">
            <w:pPr>
              <w:pStyle w:val="12"/>
            </w:pPr>
            <w:r>
              <w:t>教育支出</w:t>
            </w:r>
          </w:p>
        </w:tc>
        <w:tc>
          <w:tcPr>
            <w:tcW w:w="1361" w:type="dxa"/>
            <w:vAlign w:val="center"/>
          </w:tcPr>
          <w:p w14:paraId="7BCAA1CE">
            <w:pPr>
              <w:pStyle w:val="11"/>
            </w:pPr>
            <w:r>
              <w:t>6220.76</w:t>
            </w:r>
          </w:p>
        </w:tc>
        <w:tc>
          <w:tcPr>
            <w:tcW w:w="1361" w:type="dxa"/>
            <w:vAlign w:val="center"/>
          </w:tcPr>
          <w:p w14:paraId="0BC20E47">
            <w:pPr>
              <w:pStyle w:val="11"/>
            </w:pPr>
            <w:r>
              <w:t>4172.77</w:t>
            </w:r>
          </w:p>
        </w:tc>
        <w:tc>
          <w:tcPr>
            <w:tcW w:w="1361" w:type="dxa"/>
            <w:vAlign w:val="center"/>
          </w:tcPr>
          <w:p w14:paraId="15A13C63">
            <w:pPr>
              <w:pStyle w:val="11"/>
            </w:pPr>
            <w:r>
              <w:t>2047.98</w:t>
            </w:r>
          </w:p>
        </w:tc>
        <w:tc>
          <w:tcPr>
            <w:tcW w:w="1361" w:type="dxa"/>
            <w:vAlign w:val="center"/>
          </w:tcPr>
          <w:p w14:paraId="7287BBD9">
            <w:pPr>
              <w:pStyle w:val="11"/>
            </w:pPr>
          </w:p>
        </w:tc>
        <w:tc>
          <w:tcPr>
            <w:tcW w:w="1361" w:type="dxa"/>
            <w:vAlign w:val="center"/>
          </w:tcPr>
          <w:p w14:paraId="77F20E6D">
            <w:pPr>
              <w:pStyle w:val="11"/>
            </w:pPr>
          </w:p>
        </w:tc>
        <w:tc>
          <w:tcPr>
            <w:tcW w:w="1361" w:type="dxa"/>
            <w:vAlign w:val="center"/>
          </w:tcPr>
          <w:p w14:paraId="629C8FFB">
            <w:pPr>
              <w:pStyle w:val="11"/>
            </w:pPr>
          </w:p>
        </w:tc>
      </w:tr>
      <w:tr w14:paraId="7C7C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F78C">
            <w:pPr>
              <w:pStyle w:val="13"/>
            </w:pPr>
            <w:r>
              <w:t>3</w:t>
            </w:r>
          </w:p>
        </w:tc>
        <w:tc>
          <w:tcPr>
            <w:tcW w:w="992" w:type="dxa"/>
            <w:vAlign w:val="center"/>
          </w:tcPr>
          <w:p w14:paraId="3E074F79">
            <w:pPr>
              <w:pStyle w:val="12"/>
            </w:pPr>
            <w:r>
              <w:t>20502</w:t>
            </w:r>
          </w:p>
        </w:tc>
        <w:tc>
          <w:tcPr>
            <w:tcW w:w="4535" w:type="dxa"/>
            <w:vAlign w:val="center"/>
          </w:tcPr>
          <w:p w14:paraId="6BAECAFB">
            <w:pPr>
              <w:pStyle w:val="12"/>
            </w:pPr>
            <w:r>
              <w:t>普通教育</w:t>
            </w:r>
          </w:p>
        </w:tc>
        <w:tc>
          <w:tcPr>
            <w:tcW w:w="1361" w:type="dxa"/>
            <w:vAlign w:val="center"/>
          </w:tcPr>
          <w:p w14:paraId="0A3AC1BC">
            <w:pPr>
              <w:pStyle w:val="11"/>
            </w:pPr>
            <w:r>
              <w:t>6220.76</w:t>
            </w:r>
          </w:p>
        </w:tc>
        <w:tc>
          <w:tcPr>
            <w:tcW w:w="1361" w:type="dxa"/>
            <w:vAlign w:val="center"/>
          </w:tcPr>
          <w:p w14:paraId="4F2BF90E">
            <w:pPr>
              <w:pStyle w:val="11"/>
            </w:pPr>
            <w:r>
              <w:t>4172.77</w:t>
            </w:r>
          </w:p>
        </w:tc>
        <w:tc>
          <w:tcPr>
            <w:tcW w:w="1361" w:type="dxa"/>
            <w:vAlign w:val="center"/>
          </w:tcPr>
          <w:p w14:paraId="3944847E">
            <w:pPr>
              <w:pStyle w:val="11"/>
            </w:pPr>
            <w:r>
              <w:t>2047.98</w:t>
            </w:r>
          </w:p>
        </w:tc>
        <w:tc>
          <w:tcPr>
            <w:tcW w:w="1361" w:type="dxa"/>
            <w:vAlign w:val="center"/>
          </w:tcPr>
          <w:p w14:paraId="14198CF4">
            <w:pPr>
              <w:pStyle w:val="11"/>
            </w:pPr>
          </w:p>
        </w:tc>
        <w:tc>
          <w:tcPr>
            <w:tcW w:w="1361" w:type="dxa"/>
            <w:vAlign w:val="center"/>
          </w:tcPr>
          <w:p w14:paraId="38B5E5EC">
            <w:pPr>
              <w:pStyle w:val="11"/>
            </w:pPr>
          </w:p>
        </w:tc>
        <w:tc>
          <w:tcPr>
            <w:tcW w:w="1361" w:type="dxa"/>
            <w:vAlign w:val="center"/>
          </w:tcPr>
          <w:p w14:paraId="4B9CDB32">
            <w:pPr>
              <w:pStyle w:val="11"/>
            </w:pPr>
          </w:p>
        </w:tc>
      </w:tr>
      <w:tr w14:paraId="2774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7CC56">
            <w:pPr>
              <w:pStyle w:val="13"/>
            </w:pPr>
            <w:r>
              <w:t>4</w:t>
            </w:r>
          </w:p>
        </w:tc>
        <w:tc>
          <w:tcPr>
            <w:tcW w:w="992" w:type="dxa"/>
            <w:vAlign w:val="center"/>
          </w:tcPr>
          <w:p w14:paraId="35C9690E">
            <w:pPr>
              <w:pStyle w:val="12"/>
            </w:pPr>
            <w:r>
              <w:t>2050203</w:t>
            </w:r>
          </w:p>
        </w:tc>
        <w:tc>
          <w:tcPr>
            <w:tcW w:w="4535" w:type="dxa"/>
            <w:vAlign w:val="center"/>
          </w:tcPr>
          <w:p w14:paraId="27F7A414">
            <w:pPr>
              <w:pStyle w:val="12"/>
            </w:pPr>
            <w:r>
              <w:t>初中教育</w:t>
            </w:r>
          </w:p>
        </w:tc>
        <w:tc>
          <w:tcPr>
            <w:tcW w:w="1361" w:type="dxa"/>
            <w:vAlign w:val="center"/>
          </w:tcPr>
          <w:p w14:paraId="53C2A454">
            <w:pPr>
              <w:pStyle w:val="11"/>
            </w:pPr>
            <w:r>
              <w:t>129.22</w:t>
            </w:r>
          </w:p>
        </w:tc>
        <w:tc>
          <w:tcPr>
            <w:tcW w:w="1361" w:type="dxa"/>
            <w:vAlign w:val="center"/>
          </w:tcPr>
          <w:p w14:paraId="5B86B8F3">
            <w:pPr>
              <w:pStyle w:val="11"/>
            </w:pPr>
          </w:p>
        </w:tc>
        <w:tc>
          <w:tcPr>
            <w:tcW w:w="1361" w:type="dxa"/>
            <w:vAlign w:val="center"/>
          </w:tcPr>
          <w:p w14:paraId="3AB7023F">
            <w:pPr>
              <w:pStyle w:val="11"/>
            </w:pPr>
            <w:r>
              <w:t>129.22</w:t>
            </w:r>
          </w:p>
        </w:tc>
        <w:tc>
          <w:tcPr>
            <w:tcW w:w="1361" w:type="dxa"/>
            <w:vAlign w:val="center"/>
          </w:tcPr>
          <w:p w14:paraId="1512A3EA">
            <w:pPr>
              <w:pStyle w:val="11"/>
            </w:pPr>
          </w:p>
        </w:tc>
        <w:tc>
          <w:tcPr>
            <w:tcW w:w="1361" w:type="dxa"/>
            <w:vAlign w:val="center"/>
          </w:tcPr>
          <w:p w14:paraId="5F215A98">
            <w:pPr>
              <w:pStyle w:val="11"/>
            </w:pPr>
          </w:p>
        </w:tc>
        <w:tc>
          <w:tcPr>
            <w:tcW w:w="1361" w:type="dxa"/>
            <w:vAlign w:val="center"/>
          </w:tcPr>
          <w:p w14:paraId="56A8BE14">
            <w:pPr>
              <w:pStyle w:val="11"/>
            </w:pPr>
          </w:p>
        </w:tc>
      </w:tr>
      <w:tr w14:paraId="022F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A50D5">
            <w:pPr>
              <w:pStyle w:val="13"/>
            </w:pPr>
            <w:r>
              <w:t>5</w:t>
            </w:r>
          </w:p>
        </w:tc>
        <w:tc>
          <w:tcPr>
            <w:tcW w:w="992" w:type="dxa"/>
            <w:vAlign w:val="center"/>
          </w:tcPr>
          <w:p w14:paraId="47EB7560">
            <w:pPr>
              <w:pStyle w:val="12"/>
            </w:pPr>
            <w:r>
              <w:t>2050204</w:t>
            </w:r>
          </w:p>
        </w:tc>
        <w:tc>
          <w:tcPr>
            <w:tcW w:w="4535" w:type="dxa"/>
            <w:vAlign w:val="center"/>
          </w:tcPr>
          <w:p w14:paraId="79D3D971">
            <w:pPr>
              <w:pStyle w:val="12"/>
            </w:pPr>
            <w:r>
              <w:t>高中教育</w:t>
            </w:r>
          </w:p>
        </w:tc>
        <w:tc>
          <w:tcPr>
            <w:tcW w:w="1361" w:type="dxa"/>
            <w:vAlign w:val="center"/>
          </w:tcPr>
          <w:p w14:paraId="07402645">
            <w:pPr>
              <w:pStyle w:val="11"/>
            </w:pPr>
            <w:r>
              <w:t>6091.54</w:t>
            </w:r>
          </w:p>
        </w:tc>
        <w:tc>
          <w:tcPr>
            <w:tcW w:w="1361" w:type="dxa"/>
            <w:vAlign w:val="center"/>
          </w:tcPr>
          <w:p w14:paraId="36A6A037">
            <w:pPr>
              <w:pStyle w:val="11"/>
            </w:pPr>
            <w:r>
              <w:t>4172.77</w:t>
            </w:r>
          </w:p>
        </w:tc>
        <w:tc>
          <w:tcPr>
            <w:tcW w:w="1361" w:type="dxa"/>
            <w:vAlign w:val="center"/>
          </w:tcPr>
          <w:p w14:paraId="55DF75A5">
            <w:pPr>
              <w:pStyle w:val="11"/>
            </w:pPr>
            <w:r>
              <w:t>1918.76</w:t>
            </w:r>
          </w:p>
        </w:tc>
        <w:tc>
          <w:tcPr>
            <w:tcW w:w="1361" w:type="dxa"/>
            <w:vAlign w:val="center"/>
          </w:tcPr>
          <w:p w14:paraId="6E34A6C3">
            <w:pPr>
              <w:pStyle w:val="11"/>
            </w:pPr>
          </w:p>
        </w:tc>
        <w:tc>
          <w:tcPr>
            <w:tcW w:w="1361" w:type="dxa"/>
            <w:vAlign w:val="center"/>
          </w:tcPr>
          <w:p w14:paraId="192CA913">
            <w:pPr>
              <w:pStyle w:val="11"/>
            </w:pPr>
          </w:p>
        </w:tc>
        <w:tc>
          <w:tcPr>
            <w:tcW w:w="1361" w:type="dxa"/>
            <w:vAlign w:val="center"/>
          </w:tcPr>
          <w:p w14:paraId="13636AD8">
            <w:pPr>
              <w:pStyle w:val="11"/>
            </w:pPr>
          </w:p>
        </w:tc>
      </w:tr>
      <w:tr w14:paraId="2AC7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0BCEA">
            <w:pPr>
              <w:pStyle w:val="13"/>
            </w:pPr>
            <w:r>
              <w:t>6</w:t>
            </w:r>
          </w:p>
        </w:tc>
        <w:tc>
          <w:tcPr>
            <w:tcW w:w="992" w:type="dxa"/>
            <w:vAlign w:val="center"/>
          </w:tcPr>
          <w:p w14:paraId="545F8307">
            <w:pPr>
              <w:pStyle w:val="12"/>
            </w:pPr>
            <w:r>
              <w:t>208</w:t>
            </w:r>
          </w:p>
        </w:tc>
        <w:tc>
          <w:tcPr>
            <w:tcW w:w="4535" w:type="dxa"/>
            <w:vAlign w:val="center"/>
          </w:tcPr>
          <w:p w14:paraId="77850E8B">
            <w:pPr>
              <w:pStyle w:val="12"/>
            </w:pPr>
            <w:r>
              <w:t>社会保障和就业支出</w:t>
            </w:r>
          </w:p>
        </w:tc>
        <w:tc>
          <w:tcPr>
            <w:tcW w:w="1361" w:type="dxa"/>
            <w:vAlign w:val="center"/>
          </w:tcPr>
          <w:p w14:paraId="2B6DF4DC">
            <w:pPr>
              <w:pStyle w:val="11"/>
            </w:pPr>
            <w:r>
              <w:t>15.53</w:t>
            </w:r>
          </w:p>
        </w:tc>
        <w:tc>
          <w:tcPr>
            <w:tcW w:w="1361" w:type="dxa"/>
            <w:vAlign w:val="center"/>
          </w:tcPr>
          <w:p w14:paraId="59027D73">
            <w:pPr>
              <w:pStyle w:val="11"/>
            </w:pPr>
            <w:r>
              <w:t>15.53</w:t>
            </w:r>
          </w:p>
        </w:tc>
        <w:tc>
          <w:tcPr>
            <w:tcW w:w="1361" w:type="dxa"/>
            <w:vAlign w:val="center"/>
          </w:tcPr>
          <w:p w14:paraId="0A0DDBF7">
            <w:pPr>
              <w:pStyle w:val="11"/>
            </w:pPr>
          </w:p>
        </w:tc>
        <w:tc>
          <w:tcPr>
            <w:tcW w:w="1361" w:type="dxa"/>
            <w:vAlign w:val="center"/>
          </w:tcPr>
          <w:p w14:paraId="07B9CD67">
            <w:pPr>
              <w:pStyle w:val="11"/>
            </w:pPr>
          </w:p>
        </w:tc>
        <w:tc>
          <w:tcPr>
            <w:tcW w:w="1361" w:type="dxa"/>
            <w:vAlign w:val="center"/>
          </w:tcPr>
          <w:p w14:paraId="6B02262D">
            <w:pPr>
              <w:pStyle w:val="11"/>
            </w:pPr>
          </w:p>
        </w:tc>
        <w:tc>
          <w:tcPr>
            <w:tcW w:w="1361" w:type="dxa"/>
            <w:vAlign w:val="center"/>
          </w:tcPr>
          <w:p w14:paraId="2419A6E4">
            <w:pPr>
              <w:pStyle w:val="11"/>
            </w:pPr>
          </w:p>
        </w:tc>
      </w:tr>
      <w:tr w14:paraId="560C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A5451">
            <w:pPr>
              <w:pStyle w:val="13"/>
            </w:pPr>
            <w:r>
              <w:t>7</w:t>
            </w:r>
          </w:p>
        </w:tc>
        <w:tc>
          <w:tcPr>
            <w:tcW w:w="992" w:type="dxa"/>
            <w:vAlign w:val="center"/>
          </w:tcPr>
          <w:p w14:paraId="241A7A51">
            <w:pPr>
              <w:pStyle w:val="12"/>
            </w:pPr>
            <w:r>
              <w:t>20805</w:t>
            </w:r>
          </w:p>
        </w:tc>
        <w:tc>
          <w:tcPr>
            <w:tcW w:w="4535" w:type="dxa"/>
            <w:vAlign w:val="center"/>
          </w:tcPr>
          <w:p w14:paraId="338E1B3D">
            <w:pPr>
              <w:pStyle w:val="12"/>
            </w:pPr>
            <w:r>
              <w:t>行政事业单位养老支出</w:t>
            </w:r>
          </w:p>
        </w:tc>
        <w:tc>
          <w:tcPr>
            <w:tcW w:w="1361" w:type="dxa"/>
            <w:vAlign w:val="center"/>
          </w:tcPr>
          <w:p w14:paraId="15BCF229">
            <w:pPr>
              <w:pStyle w:val="11"/>
            </w:pPr>
            <w:r>
              <w:t>15.53</w:t>
            </w:r>
          </w:p>
        </w:tc>
        <w:tc>
          <w:tcPr>
            <w:tcW w:w="1361" w:type="dxa"/>
            <w:vAlign w:val="center"/>
          </w:tcPr>
          <w:p w14:paraId="5FAEAC3B">
            <w:pPr>
              <w:pStyle w:val="11"/>
            </w:pPr>
            <w:r>
              <w:t>15.53</w:t>
            </w:r>
          </w:p>
        </w:tc>
        <w:tc>
          <w:tcPr>
            <w:tcW w:w="1361" w:type="dxa"/>
            <w:vAlign w:val="center"/>
          </w:tcPr>
          <w:p w14:paraId="7FB9017C">
            <w:pPr>
              <w:pStyle w:val="11"/>
            </w:pPr>
          </w:p>
        </w:tc>
        <w:tc>
          <w:tcPr>
            <w:tcW w:w="1361" w:type="dxa"/>
            <w:vAlign w:val="center"/>
          </w:tcPr>
          <w:p w14:paraId="6A9A00CA">
            <w:pPr>
              <w:pStyle w:val="11"/>
            </w:pPr>
          </w:p>
        </w:tc>
        <w:tc>
          <w:tcPr>
            <w:tcW w:w="1361" w:type="dxa"/>
            <w:vAlign w:val="center"/>
          </w:tcPr>
          <w:p w14:paraId="35F69D8B">
            <w:pPr>
              <w:pStyle w:val="11"/>
            </w:pPr>
          </w:p>
        </w:tc>
        <w:tc>
          <w:tcPr>
            <w:tcW w:w="1361" w:type="dxa"/>
            <w:vAlign w:val="center"/>
          </w:tcPr>
          <w:p w14:paraId="5146D2C4">
            <w:pPr>
              <w:pStyle w:val="11"/>
            </w:pPr>
          </w:p>
        </w:tc>
      </w:tr>
      <w:tr w14:paraId="7976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0C23">
            <w:pPr>
              <w:pStyle w:val="13"/>
            </w:pPr>
            <w:r>
              <w:t>8</w:t>
            </w:r>
          </w:p>
        </w:tc>
        <w:tc>
          <w:tcPr>
            <w:tcW w:w="992" w:type="dxa"/>
            <w:vAlign w:val="center"/>
          </w:tcPr>
          <w:p w14:paraId="7E5C131F">
            <w:pPr>
              <w:pStyle w:val="12"/>
            </w:pPr>
            <w:r>
              <w:t>2080502</w:t>
            </w:r>
          </w:p>
        </w:tc>
        <w:tc>
          <w:tcPr>
            <w:tcW w:w="4535" w:type="dxa"/>
            <w:vAlign w:val="center"/>
          </w:tcPr>
          <w:p w14:paraId="55FF64E3">
            <w:pPr>
              <w:pStyle w:val="12"/>
            </w:pPr>
            <w:r>
              <w:t>事业单位离退休</w:t>
            </w:r>
          </w:p>
        </w:tc>
        <w:tc>
          <w:tcPr>
            <w:tcW w:w="1361" w:type="dxa"/>
            <w:vAlign w:val="center"/>
          </w:tcPr>
          <w:p w14:paraId="56DD5968">
            <w:pPr>
              <w:pStyle w:val="11"/>
            </w:pPr>
            <w:r>
              <w:t>15.53</w:t>
            </w:r>
          </w:p>
        </w:tc>
        <w:tc>
          <w:tcPr>
            <w:tcW w:w="1361" w:type="dxa"/>
            <w:vAlign w:val="center"/>
          </w:tcPr>
          <w:p w14:paraId="4AD1EC15">
            <w:pPr>
              <w:pStyle w:val="11"/>
            </w:pPr>
            <w:r>
              <w:t>15.53</w:t>
            </w:r>
          </w:p>
        </w:tc>
        <w:tc>
          <w:tcPr>
            <w:tcW w:w="1361" w:type="dxa"/>
            <w:vAlign w:val="center"/>
          </w:tcPr>
          <w:p w14:paraId="718F88E7">
            <w:pPr>
              <w:pStyle w:val="11"/>
            </w:pPr>
          </w:p>
        </w:tc>
        <w:tc>
          <w:tcPr>
            <w:tcW w:w="1361" w:type="dxa"/>
            <w:vAlign w:val="center"/>
          </w:tcPr>
          <w:p w14:paraId="33E18FFB">
            <w:pPr>
              <w:pStyle w:val="11"/>
            </w:pPr>
          </w:p>
        </w:tc>
        <w:tc>
          <w:tcPr>
            <w:tcW w:w="1361" w:type="dxa"/>
            <w:vAlign w:val="center"/>
          </w:tcPr>
          <w:p w14:paraId="65D74AB6">
            <w:pPr>
              <w:pStyle w:val="11"/>
            </w:pPr>
          </w:p>
        </w:tc>
        <w:tc>
          <w:tcPr>
            <w:tcW w:w="1361" w:type="dxa"/>
            <w:vAlign w:val="center"/>
          </w:tcPr>
          <w:p w14:paraId="5D405D52">
            <w:pPr>
              <w:pStyle w:val="11"/>
            </w:pPr>
          </w:p>
        </w:tc>
      </w:tr>
    </w:tbl>
    <w:p w14:paraId="0F0F02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A752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C2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C461A7">
            <w:pPr>
              <w:pStyle w:val="9"/>
            </w:pPr>
            <w:r>
              <w:t>360003河北隆尧第一中学</w:t>
            </w:r>
          </w:p>
        </w:tc>
        <w:tc>
          <w:tcPr>
            <w:tcW w:w="3402" w:type="dxa"/>
            <w:tcBorders>
              <w:top w:val="single" w:color="FFFFFF" w:sz="6" w:space="0"/>
              <w:left w:val="single" w:color="FFFFFF" w:sz="6" w:space="0"/>
              <w:right w:val="single" w:color="FFFFFF" w:sz="6" w:space="0"/>
            </w:tcBorders>
            <w:vAlign w:val="center"/>
          </w:tcPr>
          <w:p w14:paraId="1340637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6B9EED3">
            <w:pPr>
              <w:pStyle w:val="7"/>
            </w:pPr>
            <w:r>
              <w:t>单位：万元</w:t>
            </w:r>
          </w:p>
        </w:tc>
      </w:tr>
      <w:tr w14:paraId="7D87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215C0">
            <w:pPr>
              <w:pStyle w:val="10"/>
            </w:pPr>
            <w:r>
              <w:t>序号</w:t>
            </w:r>
          </w:p>
        </w:tc>
        <w:tc>
          <w:tcPr>
            <w:tcW w:w="4876" w:type="dxa"/>
            <w:gridSpan w:val="2"/>
            <w:vAlign w:val="center"/>
          </w:tcPr>
          <w:p w14:paraId="503EB634">
            <w:pPr>
              <w:pStyle w:val="10"/>
            </w:pPr>
            <w:r>
              <w:t>收入</w:t>
            </w:r>
          </w:p>
        </w:tc>
        <w:tc>
          <w:tcPr>
            <w:tcW w:w="9298" w:type="dxa"/>
            <w:gridSpan w:val="5"/>
            <w:vAlign w:val="center"/>
          </w:tcPr>
          <w:p w14:paraId="1A328F1D">
            <w:pPr>
              <w:pStyle w:val="10"/>
            </w:pPr>
            <w:r>
              <w:t>支出</w:t>
            </w:r>
          </w:p>
        </w:tc>
      </w:tr>
      <w:tr w14:paraId="7983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459358"/>
        </w:tc>
        <w:tc>
          <w:tcPr>
            <w:tcW w:w="3402" w:type="dxa"/>
            <w:vAlign w:val="center"/>
          </w:tcPr>
          <w:p w14:paraId="258CEA64">
            <w:pPr>
              <w:pStyle w:val="10"/>
            </w:pPr>
            <w:r>
              <w:t>项  目</w:t>
            </w:r>
          </w:p>
        </w:tc>
        <w:tc>
          <w:tcPr>
            <w:tcW w:w="1474" w:type="dxa"/>
            <w:vAlign w:val="center"/>
          </w:tcPr>
          <w:p w14:paraId="75DF51CD">
            <w:pPr>
              <w:pStyle w:val="10"/>
            </w:pPr>
            <w:r>
              <w:t>金额</w:t>
            </w:r>
          </w:p>
        </w:tc>
        <w:tc>
          <w:tcPr>
            <w:tcW w:w="3402" w:type="dxa"/>
            <w:vAlign w:val="center"/>
          </w:tcPr>
          <w:p w14:paraId="6C46CE87">
            <w:pPr>
              <w:pStyle w:val="10"/>
            </w:pPr>
            <w:r>
              <w:t>项  目</w:t>
            </w:r>
          </w:p>
        </w:tc>
        <w:tc>
          <w:tcPr>
            <w:tcW w:w="1474" w:type="dxa"/>
            <w:vAlign w:val="center"/>
          </w:tcPr>
          <w:p w14:paraId="1173D365">
            <w:pPr>
              <w:pStyle w:val="10"/>
            </w:pPr>
            <w:r>
              <w:t>合计</w:t>
            </w:r>
          </w:p>
        </w:tc>
        <w:tc>
          <w:tcPr>
            <w:tcW w:w="1474" w:type="dxa"/>
            <w:vAlign w:val="center"/>
          </w:tcPr>
          <w:p w14:paraId="42895D45">
            <w:pPr>
              <w:pStyle w:val="10"/>
            </w:pPr>
            <w:r>
              <w:t>一般公共预算财政拨款</w:t>
            </w:r>
          </w:p>
        </w:tc>
        <w:tc>
          <w:tcPr>
            <w:tcW w:w="1474" w:type="dxa"/>
            <w:vAlign w:val="center"/>
          </w:tcPr>
          <w:p w14:paraId="3EB6F2F1">
            <w:pPr>
              <w:pStyle w:val="10"/>
            </w:pPr>
            <w:r>
              <w:t>政府性基金预算财政    拨款</w:t>
            </w:r>
          </w:p>
        </w:tc>
        <w:tc>
          <w:tcPr>
            <w:tcW w:w="1474" w:type="dxa"/>
            <w:vAlign w:val="center"/>
          </w:tcPr>
          <w:p w14:paraId="313366E7">
            <w:pPr>
              <w:pStyle w:val="10"/>
            </w:pPr>
            <w:r>
              <w:t>国有资本经营预算财政拨款</w:t>
            </w:r>
          </w:p>
        </w:tc>
      </w:tr>
      <w:tr w14:paraId="4864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C94FD">
            <w:pPr>
              <w:pStyle w:val="10"/>
            </w:pPr>
            <w:r>
              <w:t>栏次</w:t>
            </w:r>
          </w:p>
        </w:tc>
        <w:tc>
          <w:tcPr>
            <w:tcW w:w="3402" w:type="dxa"/>
            <w:vAlign w:val="center"/>
          </w:tcPr>
          <w:p w14:paraId="61DB207D">
            <w:pPr>
              <w:pStyle w:val="10"/>
            </w:pPr>
            <w:r>
              <w:t>1</w:t>
            </w:r>
          </w:p>
        </w:tc>
        <w:tc>
          <w:tcPr>
            <w:tcW w:w="1474" w:type="dxa"/>
            <w:vAlign w:val="center"/>
          </w:tcPr>
          <w:p w14:paraId="564FAB57">
            <w:pPr>
              <w:pStyle w:val="10"/>
            </w:pPr>
            <w:r>
              <w:t>2</w:t>
            </w:r>
          </w:p>
        </w:tc>
        <w:tc>
          <w:tcPr>
            <w:tcW w:w="3402" w:type="dxa"/>
            <w:vAlign w:val="center"/>
          </w:tcPr>
          <w:p w14:paraId="371A9F59">
            <w:pPr>
              <w:pStyle w:val="10"/>
            </w:pPr>
            <w:r>
              <w:t>3</w:t>
            </w:r>
          </w:p>
        </w:tc>
        <w:tc>
          <w:tcPr>
            <w:tcW w:w="1474" w:type="dxa"/>
            <w:vAlign w:val="center"/>
          </w:tcPr>
          <w:p w14:paraId="16A102D3">
            <w:pPr>
              <w:pStyle w:val="10"/>
            </w:pPr>
            <w:r>
              <w:t>4</w:t>
            </w:r>
          </w:p>
        </w:tc>
        <w:tc>
          <w:tcPr>
            <w:tcW w:w="1474" w:type="dxa"/>
            <w:vAlign w:val="center"/>
          </w:tcPr>
          <w:p w14:paraId="62A83F45">
            <w:pPr>
              <w:pStyle w:val="10"/>
            </w:pPr>
            <w:r>
              <w:t>5</w:t>
            </w:r>
          </w:p>
        </w:tc>
        <w:tc>
          <w:tcPr>
            <w:tcW w:w="1474" w:type="dxa"/>
            <w:vAlign w:val="center"/>
          </w:tcPr>
          <w:p w14:paraId="23A160EA">
            <w:pPr>
              <w:pStyle w:val="10"/>
            </w:pPr>
            <w:r>
              <w:t>6</w:t>
            </w:r>
          </w:p>
        </w:tc>
        <w:tc>
          <w:tcPr>
            <w:tcW w:w="1474" w:type="dxa"/>
            <w:vAlign w:val="center"/>
          </w:tcPr>
          <w:p w14:paraId="65F4F86C">
            <w:pPr>
              <w:pStyle w:val="10"/>
            </w:pPr>
            <w:r>
              <w:t>7</w:t>
            </w:r>
          </w:p>
        </w:tc>
      </w:tr>
      <w:tr w14:paraId="49D9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ECF93">
            <w:pPr>
              <w:pStyle w:val="13"/>
            </w:pPr>
            <w:r>
              <w:t>1</w:t>
            </w:r>
          </w:p>
        </w:tc>
        <w:tc>
          <w:tcPr>
            <w:tcW w:w="3402" w:type="dxa"/>
            <w:vAlign w:val="center"/>
          </w:tcPr>
          <w:p w14:paraId="52343827">
            <w:pPr>
              <w:pStyle w:val="12"/>
            </w:pPr>
            <w:r>
              <w:t>一、一般公共预算拨款</w:t>
            </w:r>
          </w:p>
        </w:tc>
        <w:tc>
          <w:tcPr>
            <w:tcW w:w="1474" w:type="dxa"/>
            <w:vAlign w:val="center"/>
          </w:tcPr>
          <w:p w14:paraId="756D4680">
            <w:pPr>
              <w:pStyle w:val="11"/>
            </w:pPr>
            <w:r>
              <w:t>5250.40</w:t>
            </w:r>
          </w:p>
        </w:tc>
        <w:tc>
          <w:tcPr>
            <w:tcW w:w="3402" w:type="dxa"/>
            <w:vAlign w:val="center"/>
          </w:tcPr>
          <w:p w14:paraId="772C6B21">
            <w:pPr>
              <w:pStyle w:val="12"/>
            </w:pPr>
            <w:r>
              <w:t>一、一般公共服务支出</w:t>
            </w:r>
          </w:p>
        </w:tc>
        <w:tc>
          <w:tcPr>
            <w:tcW w:w="1474" w:type="dxa"/>
            <w:vAlign w:val="center"/>
          </w:tcPr>
          <w:p w14:paraId="34E6D18E">
            <w:pPr>
              <w:pStyle w:val="11"/>
            </w:pPr>
          </w:p>
        </w:tc>
        <w:tc>
          <w:tcPr>
            <w:tcW w:w="1474" w:type="dxa"/>
            <w:vAlign w:val="center"/>
          </w:tcPr>
          <w:p w14:paraId="47CCDCDD">
            <w:pPr>
              <w:pStyle w:val="11"/>
            </w:pPr>
          </w:p>
        </w:tc>
        <w:tc>
          <w:tcPr>
            <w:tcW w:w="1474" w:type="dxa"/>
            <w:vAlign w:val="center"/>
          </w:tcPr>
          <w:p w14:paraId="667EA99E">
            <w:pPr>
              <w:pStyle w:val="11"/>
            </w:pPr>
          </w:p>
        </w:tc>
        <w:tc>
          <w:tcPr>
            <w:tcW w:w="1474" w:type="dxa"/>
            <w:vAlign w:val="center"/>
          </w:tcPr>
          <w:p w14:paraId="3F41A543">
            <w:pPr>
              <w:pStyle w:val="11"/>
            </w:pPr>
          </w:p>
        </w:tc>
      </w:tr>
      <w:tr w14:paraId="6593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1D1AA">
            <w:pPr>
              <w:pStyle w:val="13"/>
            </w:pPr>
            <w:r>
              <w:t>2</w:t>
            </w:r>
          </w:p>
        </w:tc>
        <w:tc>
          <w:tcPr>
            <w:tcW w:w="3402" w:type="dxa"/>
            <w:vAlign w:val="center"/>
          </w:tcPr>
          <w:p w14:paraId="5EEBAE4E">
            <w:pPr>
              <w:pStyle w:val="12"/>
            </w:pPr>
            <w:r>
              <w:t>二、政府性基金预算拨款</w:t>
            </w:r>
          </w:p>
        </w:tc>
        <w:tc>
          <w:tcPr>
            <w:tcW w:w="1474" w:type="dxa"/>
            <w:vAlign w:val="center"/>
          </w:tcPr>
          <w:p w14:paraId="7D2F2CF6">
            <w:pPr>
              <w:pStyle w:val="11"/>
            </w:pPr>
          </w:p>
        </w:tc>
        <w:tc>
          <w:tcPr>
            <w:tcW w:w="3402" w:type="dxa"/>
            <w:vAlign w:val="center"/>
          </w:tcPr>
          <w:p w14:paraId="685A1658">
            <w:pPr>
              <w:pStyle w:val="12"/>
            </w:pPr>
            <w:r>
              <w:t>二、外交支出</w:t>
            </w:r>
          </w:p>
        </w:tc>
        <w:tc>
          <w:tcPr>
            <w:tcW w:w="1474" w:type="dxa"/>
            <w:vAlign w:val="center"/>
          </w:tcPr>
          <w:p w14:paraId="1239CA5C">
            <w:pPr>
              <w:pStyle w:val="11"/>
            </w:pPr>
          </w:p>
        </w:tc>
        <w:tc>
          <w:tcPr>
            <w:tcW w:w="1474" w:type="dxa"/>
            <w:vAlign w:val="center"/>
          </w:tcPr>
          <w:p w14:paraId="1ECAA40D">
            <w:pPr>
              <w:pStyle w:val="11"/>
            </w:pPr>
          </w:p>
        </w:tc>
        <w:tc>
          <w:tcPr>
            <w:tcW w:w="1474" w:type="dxa"/>
            <w:vAlign w:val="center"/>
          </w:tcPr>
          <w:p w14:paraId="608CBB43">
            <w:pPr>
              <w:pStyle w:val="11"/>
            </w:pPr>
          </w:p>
        </w:tc>
        <w:tc>
          <w:tcPr>
            <w:tcW w:w="1474" w:type="dxa"/>
            <w:vAlign w:val="center"/>
          </w:tcPr>
          <w:p w14:paraId="6D836988">
            <w:pPr>
              <w:pStyle w:val="11"/>
            </w:pPr>
          </w:p>
        </w:tc>
      </w:tr>
      <w:tr w14:paraId="048D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2DF64">
            <w:pPr>
              <w:pStyle w:val="13"/>
            </w:pPr>
            <w:r>
              <w:t>3</w:t>
            </w:r>
          </w:p>
        </w:tc>
        <w:tc>
          <w:tcPr>
            <w:tcW w:w="3402" w:type="dxa"/>
            <w:vAlign w:val="center"/>
          </w:tcPr>
          <w:p w14:paraId="0A63F899">
            <w:pPr>
              <w:pStyle w:val="12"/>
            </w:pPr>
            <w:r>
              <w:t>三、国有资本经营预算拨款</w:t>
            </w:r>
          </w:p>
        </w:tc>
        <w:tc>
          <w:tcPr>
            <w:tcW w:w="1474" w:type="dxa"/>
            <w:vAlign w:val="center"/>
          </w:tcPr>
          <w:p w14:paraId="12F7030B">
            <w:pPr>
              <w:pStyle w:val="11"/>
            </w:pPr>
          </w:p>
        </w:tc>
        <w:tc>
          <w:tcPr>
            <w:tcW w:w="3402" w:type="dxa"/>
            <w:vAlign w:val="center"/>
          </w:tcPr>
          <w:p w14:paraId="02AFC45A">
            <w:pPr>
              <w:pStyle w:val="12"/>
            </w:pPr>
            <w:r>
              <w:t>三、国防支出</w:t>
            </w:r>
          </w:p>
        </w:tc>
        <w:tc>
          <w:tcPr>
            <w:tcW w:w="1474" w:type="dxa"/>
            <w:vAlign w:val="center"/>
          </w:tcPr>
          <w:p w14:paraId="32CAC317">
            <w:pPr>
              <w:pStyle w:val="11"/>
            </w:pPr>
          </w:p>
        </w:tc>
        <w:tc>
          <w:tcPr>
            <w:tcW w:w="1474" w:type="dxa"/>
            <w:vAlign w:val="center"/>
          </w:tcPr>
          <w:p w14:paraId="5AFF0595">
            <w:pPr>
              <w:pStyle w:val="11"/>
            </w:pPr>
          </w:p>
        </w:tc>
        <w:tc>
          <w:tcPr>
            <w:tcW w:w="1474" w:type="dxa"/>
            <w:vAlign w:val="center"/>
          </w:tcPr>
          <w:p w14:paraId="2B013071">
            <w:pPr>
              <w:pStyle w:val="11"/>
            </w:pPr>
          </w:p>
        </w:tc>
        <w:tc>
          <w:tcPr>
            <w:tcW w:w="1474" w:type="dxa"/>
            <w:vAlign w:val="center"/>
          </w:tcPr>
          <w:p w14:paraId="459A4A32">
            <w:pPr>
              <w:pStyle w:val="11"/>
            </w:pPr>
          </w:p>
        </w:tc>
      </w:tr>
      <w:tr w14:paraId="4B78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D48EB">
            <w:pPr>
              <w:pStyle w:val="13"/>
            </w:pPr>
            <w:r>
              <w:t>4</w:t>
            </w:r>
          </w:p>
        </w:tc>
        <w:tc>
          <w:tcPr>
            <w:tcW w:w="3402" w:type="dxa"/>
            <w:vAlign w:val="center"/>
          </w:tcPr>
          <w:p w14:paraId="1ACF638C">
            <w:pPr>
              <w:pStyle w:val="12"/>
            </w:pPr>
          </w:p>
        </w:tc>
        <w:tc>
          <w:tcPr>
            <w:tcW w:w="1474" w:type="dxa"/>
            <w:vAlign w:val="center"/>
          </w:tcPr>
          <w:p w14:paraId="2D095129">
            <w:pPr>
              <w:pStyle w:val="11"/>
            </w:pPr>
          </w:p>
        </w:tc>
        <w:tc>
          <w:tcPr>
            <w:tcW w:w="3402" w:type="dxa"/>
            <w:vAlign w:val="center"/>
          </w:tcPr>
          <w:p w14:paraId="136C3260">
            <w:pPr>
              <w:pStyle w:val="12"/>
            </w:pPr>
            <w:r>
              <w:t>四、公共安全支出</w:t>
            </w:r>
          </w:p>
        </w:tc>
        <w:tc>
          <w:tcPr>
            <w:tcW w:w="1474" w:type="dxa"/>
            <w:vAlign w:val="center"/>
          </w:tcPr>
          <w:p w14:paraId="31008CE3">
            <w:pPr>
              <w:pStyle w:val="11"/>
            </w:pPr>
          </w:p>
        </w:tc>
        <w:tc>
          <w:tcPr>
            <w:tcW w:w="1474" w:type="dxa"/>
            <w:vAlign w:val="center"/>
          </w:tcPr>
          <w:p w14:paraId="5879A100">
            <w:pPr>
              <w:pStyle w:val="11"/>
            </w:pPr>
          </w:p>
        </w:tc>
        <w:tc>
          <w:tcPr>
            <w:tcW w:w="1474" w:type="dxa"/>
            <w:vAlign w:val="center"/>
          </w:tcPr>
          <w:p w14:paraId="36A68995">
            <w:pPr>
              <w:pStyle w:val="11"/>
            </w:pPr>
          </w:p>
        </w:tc>
        <w:tc>
          <w:tcPr>
            <w:tcW w:w="1474" w:type="dxa"/>
            <w:vAlign w:val="center"/>
          </w:tcPr>
          <w:p w14:paraId="712F0101">
            <w:pPr>
              <w:pStyle w:val="11"/>
            </w:pPr>
          </w:p>
        </w:tc>
      </w:tr>
      <w:tr w14:paraId="68EA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19EBC">
            <w:pPr>
              <w:pStyle w:val="13"/>
            </w:pPr>
            <w:r>
              <w:t>5</w:t>
            </w:r>
          </w:p>
        </w:tc>
        <w:tc>
          <w:tcPr>
            <w:tcW w:w="3402" w:type="dxa"/>
            <w:vAlign w:val="center"/>
          </w:tcPr>
          <w:p w14:paraId="40B3D6B6">
            <w:pPr>
              <w:pStyle w:val="12"/>
            </w:pPr>
          </w:p>
        </w:tc>
        <w:tc>
          <w:tcPr>
            <w:tcW w:w="1474" w:type="dxa"/>
            <w:vAlign w:val="center"/>
          </w:tcPr>
          <w:p w14:paraId="6148928B">
            <w:pPr>
              <w:pStyle w:val="11"/>
            </w:pPr>
          </w:p>
        </w:tc>
        <w:tc>
          <w:tcPr>
            <w:tcW w:w="3402" w:type="dxa"/>
            <w:vAlign w:val="center"/>
          </w:tcPr>
          <w:p w14:paraId="58F7B44E">
            <w:pPr>
              <w:pStyle w:val="12"/>
            </w:pPr>
            <w:r>
              <w:t>五、教育支出</w:t>
            </w:r>
          </w:p>
        </w:tc>
        <w:tc>
          <w:tcPr>
            <w:tcW w:w="1474" w:type="dxa"/>
            <w:vAlign w:val="center"/>
          </w:tcPr>
          <w:p w14:paraId="38736015">
            <w:pPr>
              <w:pStyle w:val="11"/>
            </w:pPr>
            <w:r>
              <w:t>5234.87</w:t>
            </w:r>
          </w:p>
        </w:tc>
        <w:tc>
          <w:tcPr>
            <w:tcW w:w="1474" w:type="dxa"/>
            <w:vAlign w:val="center"/>
          </w:tcPr>
          <w:p w14:paraId="6A1F164E">
            <w:pPr>
              <w:pStyle w:val="11"/>
            </w:pPr>
            <w:r>
              <w:t>5234.87</w:t>
            </w:r>
          </w:p>
        </w:tc>
        <w:tc>
          <w:tcPr>
            <w:tcW w:w="1474" w:type="dxa"/>
            <w:vAlign w:val="center"/>
          </w:tcPr>
          <w:p w14:paraId="75E84E3E">
            <w:pPr>
              <w:pStyle w:val="11"/>
            </w:pPr>
          </w:p>
        </w:tc>
        <w:tc>
          <w:tcPr>
            <w:tcW w:w="1474" w:type="dxa"/>
            <w:vAlign w:val="center"/>
          </w:tcPr>
          <w:p w14:paraId="6DFE0661">
            <w:pPr>
              <w:pStyle w:val="11"/>
            </w:pPr>
          </w:p>
        </w:tc>
      </w:tr>
      <w:tr w14:paraId="62C6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5D1F2">
            <w:pPr>
              <w:pStyle w:val="13"/>
            </w:pPr>
            <w:r>
              <w:t>6</w:t>
            </w:r>
          </w:p>
        </w:tc>
        <w:tc>
          <w:tcPr>
            <w:tcW w:w="3402" w:type="dxa"/>
            <w:vAlign w:val="center"/>
          </w:tcPr>
          <w:p w14:paraId="4CD67A97">
            <w:pPr>
              <w:pStyle w:val="12"/>
            </w:pPr>
          </w:p>
        </w:tc>
        <w:tc>
          <w:tcPr>
            <w:tcW w:w="1474" w:type="dxa"/>
            <w:vAlign w:val="center"/>
          </w:tcPr>
          <w:p w14:paraId="5F2BDAA4">
            <w:pPr>
              <w:pStyle w:val="11"/>
            </w:pPr>
          </w:p>
        </w:tc>
        <w:tc>
          <w:tcPr>
            <w:tcW w:w="3402" w:type="dxa"/>
            <w:vAlign w:val="center"/>
          </w:tcPr>
          <w:p w14:paraId="2912DF2C">
            <w:pPr>
              <w:pStyle w:val="12"/>
            </w:pPr>
            <w:r>
              <w:t>六、科学技术支出</w:t>
            </w:r>
          </w:p>
        </w:tc>
        <w:tc>
          <w:tcPr>
            <w:tcW w:w="1474" w:type="dxa"/>
            <w:vAlign w:val="center"/>
          </w:tcPr>
          <w:p w14:paraId="1FB2DEFA">
            <w:pPr>
              <w:pStyle w:val="11"/>
            </w:pPr>
          </w:p>
        </w:tc>
        <w:tc>
          <w:tcPr>
            <w:tcW w:w="1474" w:type="dxa"/>
            <w:vAlign w:val="center"/>
          </w:tcPr>
          <w:p w14:paraId="17C3DB88">
            <w:pPr>
              <w:pStyle w:val="11"/>
            </w:pPr>
          </w:p>
        </w:tc>
        <w:tc>
          <w:tcPr>
            <w:tcW w:w="1474" w:type="dxa"/>
            <w:vAlign w:val="center"/>
          </w:tcPr>
          <w:p w14:paraId="6948A906">
            <w:pPr>
              <w:pStyle w:val="11"/>
            </w:pPr>
          </w:p>
        </w:tc>
        <w:tc>
          <w:tcPr>
            <w:tcW w:w="1474" w:type="dxa"/>
            <w:vAlign w:val="center"/>
          </w:tcPr>
          <w:p w14:paraId="4192F46A">
            <w:pPr>
              <w:pStyle w:val="11"/>
            </w:pPr>
          </w:p>
        </w:tc>
      </w:tr>
      <w:tr w14:paraId="746A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10493">
            <w:pPr>
              <w:pStyle w:val="13"/>
            </w:pPr>
            <w:r>
              <w:t>7</w:t>
            </w:r>
          </w:p>
        </w:tc>
        <w:tc>
          <w:tcPr>
            <w:tcW w:w="3402" w:type="dxa"/>
            <w:vAlign w:val="center"/>
          </w:tcPr>
          <w:p w14:paraId="5D0F2787">
            <w:pPr>
              <w:pStyle w:val="12"/>
            </w:pPr>
          </w:p>
        </w:tc>
        <w:tc>
          <w:tcPr>
            <w:tcW w:w="1474" w:type="dxa"/>
            <w:vAlign w:val="center"/>
          </w:tcPr>
          <w:p w14:paraId="23FF3215">
            <w:pPr>
              <w:pStyle w:val="11"/>
            </w:pPr>
          </w:p>
        </w:tc>
        <w:tc>
          <w:tcPr>
            <w:tcW w:w="3402" w:type="dxa"/>
            <w:vAlign w:val="center"/>
          </w:tcPr>
          <w:p w14:paraId="267D6B85">
            <w:pPr>
              <w:pStyle w:val="12"/>
            </w:pPr>
            <w:r>
              <w:t>七、文化旅游体育与传媒支出</w:t>
            </w:r>
          </w:p>
        </w:tc>
        <w:tc>
          <w:tcPr>
            <w:tcW w:w="1474" w:type="dxa"/>
            <w:vAlign w:val="center"/>
          </w:tcPr>
          <w:p w14:paraId="37EDCFA7">
            <w:pPr>
              <w:pStyle w:val="11"/>
            </w:pPr>
          </w:p>
        </w:tc>
        <w:tc>
          <w:tcPr>
            <w:tcW w:w="1474" w:type="dxa"/>
            <w:vAlign w:val="center"/>
          </w:tcPr>
          <w:p w14:paraId="38FD3C11">
            <w:pPr>
              <w:pStyle w:val="11"/>
            </w:pPr>
          </w:p>
        </w:tc>
        <w:tc>
          <w:tcPr>
            <w:tcW w:w="1474" w:type="dxa"/>
            <w:vAlign w:val="center"/>
          </w:tcPr>
          <w:p w14:paraId="006E750B">
            <w:pPr>
              <w:pStyle w:val="11"/>
            </w:pPr>
          </w:p>
        </w:tc>
        <w:tc>
          <w:tcPr>
            <w:tcW w:w="1474" w:type="dxa"/>
            <w:vAlign w:val="center"/>
          </w:tcPr>
          <w:p w14:paraId="6B43E87A">
            <w:pPr>
              <w:pStyle w:val="11"/>
            </w:pPr>
          </w:p>
        </w:tc>
      </w:tr>
      <w:tr w14:paraId="7C29E481">
        <w:tblPrEx>
          <w:tblCellMar>
            <w:top w:w="0" w:type="dxa"/>
            <w:left w:w="108" w:type="dxa"/>
            <w:bottom w:w="0" w:type="dxa"/>
            <w:right w:w="108" w:type="dxa"/>
          </w:tblCellMar>
        </w:tblPrEx>
        <w:trPr>
          <w:trHeight w:val="369" w:hRule="atLeast"/>
          <w:jc w:val="center"/>
        </w:trPr>
        <w:tc>
          <w:tcPr>
            <w:tcW w:w="850" w:type="dxa"/>
            <w:vAlign w:val="center"/>
          </w:tcPr>
          <w:p w14:paraId="51438FA0">
            <w:pPr>
              <w:pStyle w:val="13"/>
            </w:pPr>
            <w:r>
              <w:t>8</w:t>
            </w:r>
          </w:p>
        </w:tc>
        <w:tc>
          <w:tcPr>
            <w:tcW w:w="3402" w:type="dxa"/>
            <w:vAlign w:val="center"/>
          </w:tcPr>
          <w:p w14:paraId="642A9B54">
            <w:pPr>
              <w:pStyle w:val="12"/>
            </w:pPr>
          </w:p>
        </w:tc>
        <w:tc>
          <w:tcPr>
            <w:tcW w:w="1474" w:type="dxa"/>
            <w:vAlign w:val="center"/>
          </w:tcPr>
          <w:p w14:paraId="74E7C103">
            <w:pPr>
              <w:pStyle w:val="11"/>
            </w:pPr>
          </w:p>
        </w:tc>
        <w:tc>
          <w:tcPr>
            <w:tcW w:w="3402" w:type="dxa"/>
            <w:vAlign w:val="center"/>
          </w:tcPr>
          <w:p w14:paraId="28A23A55">
            <w:pPr>
              <w:pStyle w:val="12"/>
            </w:pPr>
            <w:r>
              <w:t>八、社会保障和就业支出</w:t>
            </w:r>
          </w:p>
        </w:tc>
        <w:tc>
          <w:tcPr>
            <w:tcW w:w="1474" w:type="dxa"/>
            <w:vAlign w:val="center"/>
          </w:tcPr>
          <w:p w14:paraId="585533BC">
            <w:pPr>
              <w:pStyle w:val="11"/>
            </w:pPr>
            <w:r>
              <w:t>15.53</w:t>
            </w:r>
          </w:p>
        </w:tc>
        <w:tc>
          <w:tcPr>
            <w:tcW w:w="1474" w:type="dxa"/>
            <w:vAlign w:val="center"/>
          </w:tcPr>
          <w:p w14:paraId="58D89254">
            <w:pPr>
              <w:pStyle w:val="11"/>
            </w:pPr>
            <w:r>
              <w:t>15.53</w:t>
            </w:r>
          </w:p>
        </w:tc>
        <w:tc>
          <w:tcPr>
            <w:tcW w:w="1474" w:type="dxa"/>
            <w:vAlign w:val="center"/>
          </w:tcPr>
          <w:p w14:paraId="5A90D8AF">
            <w:pPr>
              <w:pStyle w:val="11"/>
            </w:pPr>
          </w:p>
        </w:tc>
        <w:tc>
          <w:tcPr>
            <w:tcW w:w="1474" w:type="dxa"/>
            <w:vAlign w:val="center"/>
          </w:tcPr>
          <w:p w14:paraId="3CD13016">
            <w:pPr>
              <w:pStyle w:val="11"/>
            </w:pPr>
          </w:p>
        </w:tc>
      </w:tr>
      <w:tr w14:paraId="415D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75F5">
            <w:pPr>
              <w:pStyle w:val="13"/>
            </w:pPr>
            <w:r>
              <w:t>9</w:t>
            </w:r>
          </w:p>
        </w:tc>
        <w:tc>
          <w:tcPr>
            <w:tcW w:w="3402" w:type="dxa"/>
            <w:vAlign w:val="center"/>
          </w:tcPr>
          <w:p w14:paraId="6AC9929B">
            <w:pPr>
              <w:pStyle w:val="12"/>
            </w:pPr>
          </w:p>
        </w:tc>
        <w:tc>
          <w:tcPr>
            <w:tcW w:w="1474" w:type="dxa"/>
            <w:vAlign w:val="center"/>
          </w:tcPr>
          <w:p w14:paraId="3AEE8866">
            <w:pPr>
              <w:pStyle w:val="11"/>
            </w:pPr>
          </w:p>
        </w:tc>
        <w:tc>
          <w:tcPr>
            <w:tcW w:w="3402" w:type="dxa"/>
            <w:vAlign w:val="center"/>
          </w:tcPr>
          <w:p w14:paraId="66287764">
            <w:pPr>
              <w:pStyle w:val="12"/>
            </w:pPr>
            <w:r>
              <w:t>九、社会保险基金支出</w:t>
            </w:r>
          </w:p>
        </w:tc>
        <w:tc>
          <w:tcPr>
            <w:tcW w:w="1474" w:type="dxa"/>
            <w:vAlign w:val="center"/>
          </w:tcPr>
          <w:p w14:paraId="613EBD89">
            <w:pPr>
              <w:pStyle w:val="11"/>
            </w:pPr>
          </w:p>
        </w:tc>
        <w:tc>
          <w:tcPr>
            <w:tcW w:w="1474" w:type="dxa"/>
            <w:vAlign w:val="center"/>
          </w:tcPr>
          <w:p w14:paraId="657B2548">
            <w:pPr>
              <w:pStyle w:val="11"/>
            </w:pPr>
          </w:p>
        </w:tc>
        <w:tc>
          <w:tcPr>
            <w:tcW w:w="1474" w:type="dxa"/>
            <w:vAlign w:val="center"/>
          </w:tcPr>
          <w:p w14:paraId="6ED58CE0">
            <w:pPr>
              <w:pStyle w:val="11"/>
            </w:pPr>
          </w:p>
        </w:tc>
        <w:tc>
          <w:tcPr>
            <w:tcW w:w="1474" w:type="dxa"/>
            <w:vAlign w:val="center"/>
          </w:tcPr>
          <w:p w14:paraId="758C99E3">
            <w:pPr>
              <w:pStyle w:val="11"/>
            </w:pPr>
          </w:p>
        </w:tc>
      </w:tr>
      <w:tr w14:paraId="17F98CD5">
        <w:tblPrEx>
          <w:tblCellMar>
            <w:top w:w="0" w:type="dxa"/>
            <w:left w:w="108" w:type="dxa"/>
            <w:bottom w:w="0" w:type="dxa"/>
            <w:right w:w="108" w:type="dxa"/>
          </w:tblCellMar>
        </w:tblPrEx>
        <w:trPr>
          <w:trHeight w:val="369" w:hRule="atLeast"/>
          <w:jc w:val="center"/>
        </w:trPr>
        <w:tc>
          <w:tcPr>
            <w:tcW w:w="850" w:type="dxa"/>
            <w:vAlign w:val="center"/>
          </w:tcPr>
          <w:p w14:paraId="79697006">
            <w:pPr>
              <w:pStyle w:val="13"/>
            </w:pPr>
            <w:r>
              <w:t>10</w:t>
            </w:r>
          </w:p>
        </w:tc>
        <w:tc>
          <w:tcPr>
            <w:tcW w:w="3402" w:type="dxa"/>
            <w:vAlign w:val="center"/>
          </w:tcPr>
          <w:p w14:paraId="472D462C">
            <w:pPr>
              <w:pStyle w:val="12"/>
            </w:pPr>
          </w:p>
        </w:tc>
        <w:tc>
          <w:tcPr>
            <w:tcW w:w="1474" w:type="dxa"/>
            <w:vAlign w:val="center"/>
          </w:tcPr>
          <w:p w14:paraId="0BD8729D">
            <w:pPr>
              <w:pStyle w:val="11"/>
            </w:pPr>
          </w:p>
        </w:tc>
        <w:tc>
          <w:tcPr>
            <w:tcW w:w="3402" w:type="dxa"/>
            <w:vAlign w:val="center"/>
          </w:tcPr>
          <w:p w14:paraId="5E01ECA0">
            <w:pPr>
              <w:pStyle w:val="12"/>
            </w:pPr>
            <w:r>
              <w:t>十、卫生健康支出</w:t>
            </w:r>
          </w:p>
        </w:tc>
        <w:tc>
          <w:tcPr>
            <w:tcW w:w="1474" w:type="dxa"/>
            <w:vAlign w:val="center"/>
          </w:tcPr>
          <w:p w14:paraId="1C5165AB">
            <w:pPr>
              <w:pStyle w:val="11"/>
            </w:pPr>
          </w:p>
        </w:tc>
        <w:tc>
          <w:tcPr>
            <w:tcW w:w="1474" w:type="dxa"/>
            <w:vAlign w:val="center"/>
          </w:tcPr>
          <w:p w14:paraId="576912EF">
            <w:pPr>
              <w:pStyle w:val="11"/>
            </w:pPr>
          </w:p>
        </w:tc>
        <w:tc>
          <w:tcPr>
            <w:tcW w:w="1474" w:type="dxa"/>
            <w:vAlign w:val="center"/>
          </w:tcPr>
          <w:p w14:paraId="73D069C2">
            <w:pPr>
              <w:pStyle w:val="11"/>
            </w:pPr>
          </w:p>
        </w:tc>
        <w:tc>
          <w:tcPr>
            <w:tcW w:w="1474" w:type="dxa"/>
            <w:vAlign w:val="center"/>
          </w:tcPr>
          <w:p w14:paraId="03D40F75">
            <w:pPr>
              <w:pStyle w:val="11"/>
            </w:pPr>
          </w:p>
        </w:tc>
      </w:tr>
      <w:tr w14:paraId="41EF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7816">
            <w:pPr>
              <w:pStyle w:val="13"/>
            </w:pPr>
            <w:r>
              <w:t>11</w:t>
            </w:r>
          </w:p>
        </w:tc>
        <w:tc>
          <w:tcPr>
            <w:tcW w:w="3402" w:type="dxa"/>
            <w:vAlign w:val="center"/>
          </w:tcPr>
          <w:p w14:paraId="218F090B">
            <w:pPr>
              <w:pStyle w:val="12"/>
            </w:pPr>
          </w:p>
        </w:tc>
        <w:tc>
          <w:tcPr>
            <w:tcW w:w="1474" w:type="dxa"/>
            <w:vAlign w:val="center"/>
          </w:tcPr>
          <w:p w14:paraId="6B2A0768">
            <w:pPr>
              <w:pStyle w:val="11"/>
            </w:pPr>
          </w:p>
        </w:tc>
        <w:tc>
          <w:tcPr>
            <w:tcW w:w="3402" w:type="dxa"/>
            <w:vAlign w:val="center"/>
          </w:tcPr>
          <w:p w14:paraId="78830320">
            <w:pPr>
              <w:pStyle w:val="12"/>
            </w:pPr>
            <w:r>
              <w:t>十一、节能环保支出</w:t>
            </w:r>
          </w:p>
        </w:tc>
        <w:tc>
          <w:tcPr>
            <w:tcW w:w="1474" w:type="dxa"/>
            <w:vAlign w:val="center"/>
          </w:tcPr>
          <w:p w14:paraId="6E6A1BFA">
            <w:pPr>
              <w:pStyle w:val="11"/>
            </w:pPr>
          </w:p>
        </w:tc>
        <w:tc>
          <w:tcPr>
            <w:tcW w:w="1474" w:type="dxa"/>
            <w:vAlign w:val="center"/>
          </w:tcPr>
          <w:p w14:paraId="52BD3752">
            <w:pPr>
              <w:pStyle w:val="11"/>
            </w:pPr>
          </w:p>
        </w:tc>
        <w:tc>
          <w:tcPr>
            <w:tcW w:w="1474" w:type="dxa"/>
            <w:vAlign w:val="center"/>
          </w:tcPr>
          <w:p w14:paraId="54B5C26E">
            <w:pPr>
              <w:pStyle w:val="11"/>
            </w:pPr>
          </w:p>
        </w:tc>
        <w:tc>
          <w:tcPr>
            <w:tcW w:w="1474" w:type="dxa"/>
            <w:vAlign w:val="center"/>
          </w:tcPr>
          <w:p w14:paraId="4496726D">
            <w:pPr>
              <w:pStyle w:val="11"/>
            </w:pPr>
          </w:p>
        </w:tc>
      </w:tr>
      <w:tr w14:paraId="4CA8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30238">
            <w:pPr>
              <w:pStyle w:val="13"/>
            </w:pPr>
            <w:r>
              <w:t>12</w:t>
            </w:r>
          </w:p>
        </w:tc>
        <w:tc>
          <w:tcPr>
            <w:tcW w:w="3402" w:type="dxa"/>
            <w:vAlign w:val="center"/>
          </w:tcPr>
          <w:p w14:paraId="1EEBBD91">
            <w:pPr>
              <w:pStyle w:val="12"/>
            </w:pPr>
          </w:p>
        </w:tc>
        <w:tc>
          <w:tcPr>
            <w:tcW w:w="1474" w:type="dxa"/>
            <w:vAlign w:val="center"/>
          </w:tcPr>
          <w:p w14:paraId="74DCFD83">
            <w:pPr>
              <w:pStyle w:val="11"/>
            </w:pPr>
          </w:p>
        </w:tc>
        <w:tc>
          <w:tcPr>
            <w:tcW w:w="3402" w:type="dxa"/>
            <w:vAlign w:val="center"/>
          </w:tcPr>
          <w:p w14:paraId="1C7EBD2D">
            <w:pPr>
              <w:pStyle w:val="12"/>
            </w:pPr>
            <w:r>
              <w:t>十二、城乡社区支出</w:t>
            </w:r>
          </w:p>
        </w:tc>
        <w:tc>
          <w:tcPr>
            <w:tcW w:w="1474" w:type="dxa"/>
            <w:vAlign w:val="center"/>
          </w:tcPr>
          <w:p w14:paraId="5D0F5349">
            <w:pPr>
              <w:pStyle w:val="11"/>
            </w:pPr>
          </w:p>
        </w:tc>
        <w:tc>
          <w:tcPr>
            <w:tcW w:w="1474" w:type="dxa"/>
            <w:vAlign w:val="center"/>
          </w:tcPr>
          <w:p w14:paraId="0DC95BDB">
            <w:pPr>
              <w:pStyle w:val="11"/>
            </w:pPr>
          </w:p>
        </w:tc>
        <w:tc>
          <w:tcPr>
            <w:tcW w:w="1474" w:type="dxa"/>
            <w:vAlign w:val="center"/>
          </w:tcPr>
          <w:p w14:paraId="745679C6">
            <w:pPr>
              <w:pStyle w:val="11"/>
            </w:pPr>
          </w:p>
        </w:tc>
        <w:tc>
          <w:tcPr>
            <w:tcW w:w="1474" w:type="dxa"/>
            <w:vAlign w:val="center"/>
          </w:tcPr>
          <w:p w14:paraId="64B9D3C7">
            <w:pPr>
              <w:pStyle w:val="11"/>
            </w:pPr>
          </w:p>
        </w:tc>
      </w:tr>
      <w:tr w14:paraId="3ED5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B9C99">
            <w:pPr>
              <w:pStyle w:val="13"/>
            </w:pPr>
            <w:r>
              <w:t>13</w:t>
            </w:r>
          </w:p>
        </w:tc>
        <w:tc>
          <w:tcPr>
            <w:tcW w:w="3402" w:type="dxa"/>
            <w:vAlign w:val="center"/>
          </w:tcPr>
          <w:p w14:paraId="2EFD9DE2">
            <w:pPr>
              <w:pStyle w:val="12"/>
            </w:pPr>
          </w:p>
        </w:tc>
        <w:tc>
          <w:tcPr>
            <w:tcW w:w="1474" w:type="dxa"/>
            <w:vAlign w:val="center"/>
          </w:tcPr>
          <w:p w14:paraId="7FB3B6A5">
            <w:pPr>
              <w:pStyle w:val="11"/>
            </w:pPr>
          </w:p>
        </w:tc>
        <w:tc>
          <w:tcPr>
            <w:tcW w:w="3402" w:type="dxa"/>
            <w:vAlign w:val="center"/>
          </w:tcPr>
          <w:p w14:paraId="7272DA57">
            <w:pPr>
              <w:pStyle w:val="12"/>
            </w:pPr>
            <w:r>
              <w:t>十三、农林水支出</w:t>
            </w:r>
          </w:p>
        </w:tc>
        <w:tc>
          <w:tcPr>
            <w:tcW w:w="1474" w:type="dxa"/>
            <w:vAlign w:val="center"/>
          </w:tcPr>
          <w:p w14:paraId="6F052AC5">
            <w:pPr>
              <w:pStyle w:val="11"/>
            </w:pPr>
          </w:p>
        </w:tc>
        <w:tc>
          <w:tcPr>
            <w:tcW w:w="1474" w:type="dxa"/>
            <w:vAlign w:val="center"/>
          </w:tcPr>
          <w:p w14:paraId="3081B1C4">
            <w:pPr>
              <w:pStyle w:val="11"/>
            </w:pPr>
          </w:p>
        </w:tc>
        <w:tc>
          <w:tcPr>
            <w:tcW w:w="1474" w:type="dxa"/>
            <w:vAlign w:val="center"/>
          </w:tcPr>
          <w:p w14:paraId="1F4F9442">
            <w:pPr>
              <w:pStyle w:val="11"/>
            </w:pPr>
          </w:p>
        </w:tc>
        <w:tc>
          <w:tcPr>
            <w:tcW w:w="1474" w:type="dxa"/>
            <w:vAlign w:val="center"/>
          </w:tcPr>
          <w:p w14:paraId="5AE58035">
            <w:pPr>
              <w:pStyle w:val="11"/>
            </w:pPr>
          </w:p>
        </w:tc>
      </w:tr>
      <w:tr w14:paraId="1A46D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E14D2">
            <w:pPr>
              <w:pStyle w:val="13"/>
            </w:pPr>
            <w:r>
              <w:t>14</w:t>
            </w:r>
          </w:p>
        </w:tc>
        <w:tc>
          <w:tcPr>
            <w:tcW w:w="3402" w:type="dxa"/>
            <w:vAlign w:val="center"/>
          </w:tcPr>
          <w:p w14:paraId="4EEE7BF5">
            <w:pPr>
              <w:pStyle w:val="12"/>
            </w:pPr>
          </w:p>
        </w:tc>
        <w:tc>
          <w:tcPr>
            <w:tcW w:w="1474" w:type="dxa"/>
            <w:vAlign w:val="center"/>
          </w:tcPr>
          <w:p w14:paraId="0A27B72E">
            <w:pPr>
              <w:pStyle w:val="11"/>
            </w:pPr>
          </w:p>
        </w:tc>
        <w:tc>
          <w:tcPr>
            <w:tcW w:w="3402" w:type="dxa"/>
            <w:vAlign w:val="center"/>
          </w:tcPr>
          <w:p w14:paraId="7FA3ADC4">
            <w:pPr>
              <w:pStyle w:val="12"/>
            </w:pPr>
            <w:r>
              <w:t>十四、交通运输支出</w:t>
            </w:r>
          </w:p>
        </w:tc>
        <w:tc>
          <w:tcPr>
            <w:tcW w:w="1474" w:type="dxa"/>
            <w:vAlign w:val="center"/>
          </w:tcPr>
          <w:p w14:paraId="6F534255">
            <w:pPr>
              <w:pStyle w:val="11"/>
            </w:pPr>
          </w:p>
        </w:tc>
        <w:tc>
          <w:tcPr>
            <w:tcW w:w="1474" w:type="dxa"/>
            <w:vAlign w:val="center"/>
          </w:tcPr>
          <w:p w14:paraId="4BA98984">
            <w:pPr>
              <w:pStyle w:val="11"/>
            </w:pPr>
          </w:p>
        </w:tc>
        <w:tc>
          <w:tcPr>
            <w:tcW w:w="1474" w:type="dxa"/>
            <w:vAlign w:val="center"/>
          </w:tcPr>
          <w:p w14:paraId="17C56150">
            <w:pPr>
              <w:pStyle w:val="11"/>
            </w:pPr>
          </w:p>
        </w:tc>
        <w:tc>
          <w:tcPr>
            <w:tcW w:w="1474" w:type="dxa"/>
            <w:vAlign w:val="center"/>
          </w:tcPr>
          <w:p w14:paraId="500BF389">
            <w:pPr>
              <w:pStyle w:val="11"/>
            </w:pPr>
          </w:p>
        </w:tc>
      </w:tr>
      <w:tr w14:paraId="54AF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D95E">
            <w:pPr>
              <w:pStyle w:val="13"/>
            </w:pPr>
            <w:r>
              <w:t>15</w:t>
            </w:r>
          </w:p>
        </w:tc>
        <w:tc>
          <w:tcPr>
            <w:tcW w:w="3402" w:type="dxa"/>
            <w:vAlign w:val="center"/>
          </w:tcPr>
          <w:p w14:paraId="0A96CF61">
            <w:pPr>
              <w:pStyle w:val="12"/>
            </w:pPr>
          </w:p>
        </w:tc>
        <w:tc>
          <w:tcPr>
            <w:tcW w:w="1474" w:type="dxa"/>
            <w:vAlign w:val="center"/>
          </w:tcPr>
          <w:p w14:paraId="2A97F0A3">
            <w:pPr>
              <w:pStyle w:val="11"/>
            </w:pPr>
          </w:p>
        </w:tc>
        <w:tc>
          <w:tcPr>
            <w:tcW w:w="3402" w:type="dxa"/>
            <w:vAlign w:val="center"/>
          </w:tcPr>
          <w:p w14:paraId="4630F95B">
            <w:pPr>
              <w:pStyle w:val="12"/>
            </w:pPr>
            <w:r>
              <w:t>十五、资源勘探工业信息等支出</w:t>
            </w:r>
          </w:p>
        </w:tc>
        <w:tc>
          <w:tcPr>
            <w:tcW w:w="1474" w:type="dxa"/>
            <w:vAlign w:val="center"/>
          </w:tcPr>
          <w:p w14:paraId="16093CF6">
            <w:pPr>
              <w:pStyle w:val="11"/>
            </w:pPr>
          </w:p>
        </w:tc>
        <w:tc>
          <w:tcPr>
            <w:tcW w:w="1474" w:type="dxa"/>
            <w:vAlign w:val="center"/>
          </w:tcPr>
          <w:p w14:paraId="01232B8D">
            <w:pPr>
              <w:pStyle w:val="11"/>
            </w:pPr>
          </w:p>
        </w:tc>
        <w:tc>
          <w:tcPr>
            <w:tcW w:w="1474" w:type="dxa"/>
            <w:vAlign w:val="center"/>
          </w:tcPr>
          <w:p w14:paraId="2180FF71">
            <w:pPr>
              <w:pStyle w:val="11"/>
            </w:pPr>
          </w:p>
        </w:tc>
        <w:tc>
          <w:tcPr>
            <w:tcW w:w="1474" w:type="dxa"/>
            <w:vAlign w:val="center"/>
          </w:tcPr>
          <w:p w14:paraId="29D5ED27">
            <w:pPr>
              <w:pStyle w:val="11"/>
            </w:pPr>
          </w:p>
        </w:tc>
      </w:tr>
      <w:tr w14:paraId="251E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1380">
            <w:pPr>
              <w:pStyle w:val="13"/>
            </w:pPr>
            <w:r>
              <w:t>16</w:t>
            </w:r>
          </w:p>
        </w:tc>
        <w:tc>
          <w:tcPr>
            <w:tcW w:w="3402" w:type="dxa"/>
            <w:vAlign w:val="center"/>
          </w:tcPr>
          <w:p w14:paraId="600F7A6A">
            <w:pPr>
              <w:pStyle w:val="12"/>
            </w:pPr>
          </w:p>
        </w:tc>
        <w:tc>
          <w:tcPr>
            <w:tcW w:w="1474" w:type="dxa"/>
            <w:vAlign w:val="center"/>
          </w:tcPr>
          <w:p w14:paraId="0152AC59">
            <w:pPr>
              <w:pStyle w:val="11"/>
            </w:pPr>
          </w:p>
        </w:tc>
        <w:tc>
          <w:tcPr>
            <w:tcW w:w="3402" w:type="dxa"/>
            <w:vAlign w:val="center"/>
          </w:tcPr>
          <w:p w14:paraId="6938F9DA">
            <w:pPr>
              <w:pStyle w:val="12"/>
            </w:pPr>
            <w:r>
              <w:t>十六、商业服务业等支出</w:t>
            </w:r>
          </w:p>
        </w:tc>
        <w:tc>
          <w:tcPr>
            <w:tcW w:w="1474" w:type="dxa"/>
            <w:vAlign w:val="center"/>
          </w:tcPr>
          <w:p w14:paraId="27D11187">
            <w:pPr>
              <w:pStyle w:val="11"/>
            </w:pPr>
          </w:p>
        </w:tc>
        <w:tc>
          <w:tcPr>
            <w:tcW w:w="1474" w:type="dxa"/>
            <w:vAlign w:val="center"/>
          </w:tcPr>
          <w:p w14:paraId="4382F0A7">
            <w:pPr>
              <w:pStyle w:val="11"/>
            </w:pPr>
          </w:p>
        </w:tc>
        <w:tc>
          <w:tcPr>
            <w:tcW w:w="1474" w:type="dxa"/>
            <w:vAlign w:val="center"/>
          </w:tcPr>
          <w:p w14:paraId="6D2F778F">
            <w:pPr>
              <w:pStyle w:val="11"/>
            </w:pPr>
          </w:p>
        </w:tc>
        <w:tc>
          <w:tcPr>
            <w:tcW w:w="1474" w:type="dxa"/>
            <w:vAlign w:val="center"/>
          </w:tcPr>
          <w:p w14:paraId="35F2F730">
            <w:pPr>
              <w:pStyle w:val="11"/>
            </w:pPr>
          </w:p>
        </w:tc>
      </w:tr>
      <w:tr w14:paraId="6616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1FB75">
            <w:pPr>
              <w:pStyle w:val="13"/>
            </w:pPr>
            <w:r>
              <w:t>17</w:t>
            </w:r>
          </w:p>
        </w:tc>
        <w:tc>
          <w:tcPr>
            <w:tcW w:w="3402" w:type="dxa"/>
            <w:vAlign w:val="center"/>
          </w:tcPr>
          <w:p w14:paraId="6136C58F">
            <w:pPr>
              <w:pStyle w:val="12"/>
            </w:pPr>
          </w:p>
        </w:tc>
        <w:tc>
          <w:tcPr>
            <w:tcW w:w="1474" w:type="dxa"/>
            <w:vAlign w:val="center"/>
          </w:tcPr>
          <w:p w14:paraId="6925FB07">
            <w:pPr>
              <w:pStyle w:val="11"/>
            </w:pPr>
          </w:p>
        </w:tc>
        <w:tc>
          <w:tcPr>
            <w:tcW w:w="3402" w:type="dxa"/>
            <w:vAlign w:val="center"/>
          </w:tcPr>
          <w:p w14:paraId="5A0786CA">
            <w:pPr>
              <w:pStyle w:val="12"/>
            </w:pPr>
            <w:r>
              <w:t>十七、金融支出</w:t>
            </w:r>
          </w:p>
        </w:tc>
        <w:tc>
          <w:tcPr>
            <w:tcW w:w="1474" w:type="dxa"/>
            <w:vAlign w:val="center"/>
          </w:tcPr>
          <w:p w14:paraId="129BB858">
            <w:pPr>
              <w:pStyle w:val="11"/>
            </w:pPr>
          </w:p>
        </w:tc>
        <w:tc>
          <w:tcPr>
            <w:tcW w:w="1474" w:type="dxa"/>
            <w:vAlign w:val="center"/>
          </w:tcPr>
          <w:p w14:paraId="3CEC6BEA">
            <w:pPr>
              <w:pStyle w:val="11"/>
            </w:pPr>
          </w:p>
        </w:tc>
        <w:tc>
          <w:tcPr>
            <w:tcW w:w="1474" w:type="dxa"/>
            <w:vAlign w:val="center"/>
          </w:tcPr>
          <w:p w14:paraId="03075BC5">
            <w:pPr>
              <w:pStyle w:val="11"/>
            </w:pPr>
          </w:p>
        </w:tc>
        <w:tc>
          <w:tcPr>
            <w:tcW w:w="1474" w:type="dxa"/>
            <w:vAlign w:val="center"/>
          </w:tcPr>
          <w:p w14:paraId="76A275CB">
            <w:pPr>
              <w:pStyle w:val="11"/>
            </w:pPr>
          </w:p>
        </w:tc>
      </w:tr>
      <w:tr w14:paraId="5AF3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7063A">
            <w:pPr>
              <w:pStyle w:val="13"/>
            </w:pPr>
            <w:r>
              <w:t>18</w:t>
            </w:r>
          </w:p>
        </w:tc>
        <w:tc>
          <w:tcPr>
            <w:tcW w:w="3402" w:type="dxa"/>
            <w:vAlign w:val="center"/>
          </w:tcPr>
          <w:p w14:paraId="23D6658D">
            <w:pPr>
              <w:pStyle w:val="12"/>
            </w:pPr>
          </w:p>
        </w:tc>
        <w:tc>
          <w:tcPr>
            <w:tcW w:w="1474" w:type="dxa"/>
            <w:vAlign w:val="center"/>
          </w:tcPr>
          <w:p w14:paraId="0D0A70F9">
            <w:pPr>
              <w:pStyle w:val="11"/>
            </w:pPr>
          </w:p>
        </w:tc>
        <w:tc>
          <w:tcPr>
            <w:tcW w:w="3402" w:type="dxa"/>
            <w:vAlign w:val="center"/>
          </w:tcPr>
          <w:p w14:paraId="62A20904">
            <w:pPr>
              <w:pStyle w:val="12"/>
            </w:pPr>
            <w:r>
              <w:t>十八、援助其他地区支出</w:t>
            </w:r>
          </w:p>
        </w:tc>
        <w:tc>
          <w:tcPr>
            <w:tcW w:w="1474" w:type="dxa"/>
            <w:vAlign w:val="center"/>
          </w:tcPr>
          <w:p w14:paraId="5263B3AE">
            <w:pPr>
              <w:pStyle w:val="11"/>
            </w:pPr>
          </w:p>
        </w:tc>
        <w:tc>
          <w:tcPr>
            <w:tcW w:w="1474" w:type="dxa"/>
            <w:vAlign w:val="center"/>
          </w:tcPr>
          <w:p w14:paraId="70CA53D8">
            <w:pPr>
              <w:pStyle w:val="11"/>
            </w:pPr>
          </w:p>
        </w:tc>
        <w:tc>
          <w:tcPr>
            <w:tcW w:w="1474" w:type="dxa"/>
            <w:vAlign w:val="center"/>
          </w:tcPr>
          <w:p w14:paraId="67567D80">
            <w:pPr>
              <w:pStyle w:val="11"/>
            </w:pPr>
          </w:p>
        </w:tc>
        <w:tc>
          <w:tcPr>
            <w:tcW w:w="1474" w:type="dxa"/>
            <w:vAlign w:val="center"/>
          </w:tcPr>
          <w:p w14:paraId="78A6AABE">
            <w:pPr>
              <w:pStyle w:val="11"/>
            </w:pPr>
          </w:p>
        </w:tc>
      </w:tr>
      <w:tr w14:paraId="19D0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A217">
            <w:pPr>
              <w:pStyle w:val="13"/>
            </w:pPr>
            <w:r>
              <w:t>19</w:t>
            </w:r>
          </w:p>
        </w:tc>
        <w:tc>
          <w:tcPr>
            <w:tcW w:w="3402" w:type="dxa"/>
            <w:vAlign w:val="center"/>
          </w:tcPr>
          <w:p w14:paraId="7190EAF5">
            <w:pPr>
              <w:pStyle w:val="12"/>
            </w:pPr>
          </w:p>
        </w:tc>
        <w:tc>
          <w:tcPr>
            <w:tcW w:w="1474" w:type="dxa"/>
            <w:vAlign w:val="center"/>
          </w:tcPr>
          <w:p w14:paraId="612DD818">
            <w:pPr>
              <w:pStyle w:val="11"/>
            </w:pPr>
          </w:p>
        </w:tc>
        <w:tc>
          <w:tcPr>
            <w:tcW w:w="3402" w:type="dxa"/>
            <w:vAlign w:val="center"/>
          </w:tcPr>
          <w:p w14:paraId="1336FF45">
            <w:pPr>
              <w:pStyle w:val="12"/>
            </w:pPr>
            <w:r>
              <w:t>十九、自然资源海洋气象等支出</w:t>
            </w:r>
          </w:p>
        </w:tc>
        <w:tc>
          <w:tcPr>
            <w:tcW w:w="1474" w:type="dxa"/>
            <w:vAlign w:val="center"/>
          </w:tcPr>
          <w:p w14:paraId="0F0A3C55">
            <w:pPr>
              <w:pStyle w:val="11"/>
            </w:pPr>
          </w:p>
        </w:tc>
        <w:tc>
          <w:tcPr>
            <w:tcW w:w="1474" w:type="dxa"/>
            <w:vAlign w:val="center"/>
          </w:tcPr>
          <w:p w14:paraId="783C81FA">
            <w:pPr>
              <w:pStyle w:val="11"/>
            </w:pPr>
          </w:p>
        </w:tc>
        <w:tc>
          <w:tcPr>
            <w:tcW w:w="1474" w:type="dxa"/>
            <w:vAlign w:val="center"/>
          </w:tcPr>
          <w:p w14:paraId="4D9F7E36">
            <w:pPr>
              <w:pStyle w:val="11"/>
            </w:pPr>
          </w:p>
        </w:tc>
        <w:tc>
          <w:tcPr>
            <w:tcW w:w="1474" w:type="dxa"/>
            <w:vAlign w:val="center"/>
          </w:tcPr>
          <w:p w14:paraId="0A94E1D4">
            <w:pPr>
              <w:pStyle w:val="11"/>
            </w:pPr>
          </w:p>
        </w:tc>
      </w:tr>
      <w:tr w14:paraId="55CE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460D">
            <w:pPr>
              <w:pStyle w:val="13"/>
            </w:pPr>
            <w:r>
              <w:t>20</w:t>
            </w:r>
          </w:p>
        </w:tc>
        <w:tc>
          <w:tcPr>
            <w:tcW w:w="3402" w:type="dxa"/>
            <w:vAlign w:val="center"/>
          </w:tcPr>
          <w:p w14:paraId="232A976B">
            <w:pPr>
              <w:pStyle w:val="12"/>
            </w:pPr>
          </w:p>
        </w:tc>
        <w:tc>
          <w:tcPr>
            <w:tcW w:w="1474" w:type="dxa"/>
            <w:vAlign w:val="center"/>
          </w:tcPr>
          <w:p w14:paraId="0DA437F3">
            <w:pPr>
              <w:pStyle w:val="11"/>
            </w:pPr>
          </w:p>
        </w:tc>
        <w:tc>
          <w:tcPr>
            <w:tcW w:w="3402" w:type="dxa"/>
            <w:vAlign w:val="center"/>
          </w:tcPr>
          <w:p w14:paraId="410A4EF1">
            <w:pPr>
              <w:pStyle w:val="12"/>
            </w:pPr>
            <w:r>
              <w:t>二十、住房保障支出</w:t>
            </w:r>
          </w:p>
        </w:tc>
        <w:tc>
          <w:tcPr>
            <w:tcW w:w="1474" w:type="dxa"/>
            <w:vAlign w:val="center"/>
          </w:tcPr>
          <w:p w14:paraId="36F06FA3">
            <w:pPr>
              <w:pStyle w:val="11"/>
            </w:pPr>
          </w:p>
        </w:tc>
        <w:tc>
          <w:tcPr>
            <w:tcW w:w="1474" w:type="dxa"/>
            <w:vAlign w:val="center"/>
          </w:tcPr>
          <w:p w14:paraId="11CD78E6">
            <w:pPr>
              <w:pStyle w:val="11"/>
            </w:pPr>
          </w:p>
        </w:tc>
        <w:tc>
          <w:tcPr>
            <w:tcW w:w="1474" w:type="dxa"/>
            <w:vAlign w:val="center"/>
          </w:tcPr>
          <w:p w14:paraId="1EDCBFAC">
            <w:pPr>
              <w:pStyle w:val="11"/>
            </w:pPr>
          </w:p>
        </w:tc>
        <w:tc>
          <w:tcPr>
            <w:tcW w:w="1474" w:type="dxa"/>
            <w:vAlign w:val="center"/>
          </w:tcPr>
          <w:p w14:paraId="50B282E6">
            <w:pPr>
              <w:pStyle w:val="11"/>
            </w:pPr>
          </w:p>
        </w:tc>
      </w:tr>
      <w:tr w14:paraId="3081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AC488">
            <w:pPr>
              <w:pStyle w:val="13"/>
            </w:pPr>
            <w:r>
              <w:t>21</w:t>
            </w:r>
          </w:p>
        </w:tc>
        <w:tc>
          <w:tcPr>
            <w:tcW w:w="3402" w:type="dxa"/>
            <w:vAlign w:val="center"/>
          </w:tcPr>
          <w:p w14:paraId="50EA143A">
            <w:pPr>
              <w:pStyle w:val="12"/>
            </w:pPr>
          </w:p>
        </w:tc>
        <w:tc>
          <w:tcPr>
            <w:tcW w:w="1474" w:type="dxa"/>
            <w:vAlign w:val="center"/>
          </w:tcPr>
          <w:p w14:paraId="2C7C6D2C">
            <w:pPr>
              <w:pStyle w:val="11"/>
            </w:pPr>
          </w:p>
        </w:tc>
        <w:tc>
          <w:tcPr>
            <w:tcW w:w="3402" w:type="dxa"/>
            <w:vAlign w:val="center"/>
          </w:tcPr>
          <w:p w14:paraId="3AAD9C7E">
            <w:pPr>
              <w:pStyle w:val="12"/>
            </w:pPr>
            <w:r>
              <w:t>二十一、粮油物资储备支出</w:t>
            </w:r>
          </w:p>
        </w:tc>
        <w:tc>
          <w:tcPr>
            <w:tcW w:w="1474" w:type="dxa"/>
            <w:vAlign w:val="center"/>
          </w:tcPr>
          <w:p w14:paraId="52831445">
            <w:pPr>
              <w:pStyle w:val="11"/>
            </w:pPr>
          </w:p>
        </w:tc>
        <w:tc>
          <w:tcPr>
            <w:tcW w:w="1474" w:type="dxa"/>
            <w:vAlign w:val="center"/>
          </w:tcPr>
          <w:p w14:paraId="05C630B7">
            <w:pPr>
              <w:pStyle w:val="11"/>
            </w:pPr>
          </w:p>
        </w:tc>
        <w:tc>
          <w:tcPr>
            <w:tcW w:w="1474" w:type="dxa"/>
            <w:vAlign w:val="center"/>
          </w:tcPr>
          <w:p w14:paraId="126EE10B">
            <w:pPr>
              <w:pStyle w:val="11"/>
            </w:pPr>
          </w:p>
        </w:tc>
        <w:tc>
          <w:tcPr>
            <w:tcW w:w="1474" w:type="dxa"/>
            <w:vAlign w:val="center"/>
          </w:tcPr>
          <w:p w14:paraId="2D27C542">
            <w:pPr>
              <w:pStyle w:val="11"/>
            </w:pPr>
          </w:p>
        </w:tc>
      </w:tr>
      <w:tr w14:paraId="5FEA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3E7A6">
            <w:pPr>
              <w:pStyle w:val="13"/>
            </w:pPr>
            <w:r>
              <w:t>22</w:t>
            </w:r>
          </w:p>
        </w:tc>
        <w:tc>
          <w:tcPr>
            <w:tcW w:w="3402" w:type="dxa"/>
            <w:vAlign w:val="center"/>
          </w:tcPr>
          <w:p w14:paraId="5C53CC84">
            <w:pPr>
              <w:pStyle w:val="12"/>
            </w:pPr>
          </w:p>
        </w:tc>
        <w:tc>
          <w:tcPr>
            <w:tcW w:w="1474" w:type="dxa"/>
            <w:vAlign w:val="center"/>
          </w:tcPr>
          <w:p w14:paraId="6E36F376">
            <w:pPr>
              <w:pStyle w:val="11"/>
            </w:pPr>
          </w:p>
        </w:tc>
        <w:tc>
          <w:tcPr>
            <w:tcW w:w="3402" w:type="dxa"/>
            <w:vAlign w:val="center"/>
          </w:tcPr>
          <w:p w14:paraId="57D1D29C">
            <w:pPr>
              <w:pStyle w:val="12"/>
            </w:pPr>
            <w:r>
              <w:t>二十二、国有资本经营预算支出</w:t>
            </w:r>
          </w:p>
        </w:tc>
        <w:tc>
          <w:tcPr>
            <w:tcW w:w="1474" w:type="dxa"/>
            <w:vAlign w:val="center"/>
          </w:tcPr>
          <w:p w14:paraId="4835E203">
            <w:pPr>
              <w:pStyle w:val="11"/>
            </w:pPr>
          </w:p>
        </w:tc>
        <w:tc>
          <w:tcPr>
            <w:tcW w:w="1474" w:type="dxa"/>
            <w:vAlign w:val="center"/>
          </w:tcPr>
          <w:p w14:paraId="7A640CF7">
            <w:pPr>
              <w:pStyle w:val="11"/>
            </w:pPr>
          </w:p>
        </w:tc>
        <w:tc>
          <w:tcPr>
            <w:tcW w:w="1474" w:type="dxa"/>
            <w:vAlign w:val="center"/>
          </w:tcPr>
          <w:p w14:paraId="1CC0B9AA">
            <w:pPr>
              <w:pStyle w:val="11"/>
            </w:pPr>
          </w:p>
        </w:tc>
        <w:tc>
          <w:tcPr>
            <w:tcW w:w="1474" w:type="dxa"/>
            <w:vAlign w:val="center"/>
          </w:tcPr>
          <w:p w14:paraId="2DECCD58">
            <w:pPr>
              <w:pStyle w:val="11"/>
            </w:pPr>
          </w:p>
        </w:tc>
      </w:tr>
      <w:tr w14:paraId="1066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00FD4">
            <w:pPr>
              <w:pStyle w:val="13"/>
            </w:pPr>
            <w:r>
              <w:t>23</w:t>
            </w:r>
          </w:p>
        </w:tc>
        <w:tc>
          <w:tcPr>
            <w:tcW w:w="3402" w:type="dxa"/>
            <w:vAlign w:val="center"/>
          </w:tcPr>
          <w:p w14:paraId="34D89309">
            <w:pPr>
              <w:pStyle w:val="12"/>
            </w:pPr>
          </w:p>
        </w:tc>
        <w:tc>
          <w:tcPr>
            <w:tcW w:w="1474" w:type="dxa"/>
            <w:vAlign w:val="center"/>
          </w:tcPr>
          <w:p w14:paraId="51B35D89">
            <w:pPr>
              <w:pStyle w:val="11"/>
            </w:pPr>
          </w:p>
        </w:tc>
        <w:tc>
          <w:tcPr>
            <w:tcW w:w="3402" w:type="dxa"/>
            <w:vAlign w:val="center"/>
          </w:tcPr>
          <w:p w14:paraId="3B3AD183">
            <w:pPr>
              <w:pStyle w:val="12"/>
            </w:pPr>
            <w:r>
              <w:t>二十三、灾害防治及应急管理支出</w:t>
            </w:r>
          </w:p>
        </w:tc>
        <w:tc>
          <w:tcPr>
            <w:tcW w:w="1474" w:type="dxa"/>
            <w:vAlign w:val="center"/>
          </w:tcPr>
          <w:p w14:paraId="60710DAD">
            <w:pPr>
              <w:pStyle w:val="11"/>
            </w:pPr>
          </w:p>
        </w:tc>
        <w:tc>
          <w:tcPr>
            <w:tcW w:w="1474" w:type="dxa"/>
            <w:vAlign w:val="center"/>
          </w:tcPr>
          <w:p w14:paraId="70379A9A">
            <w:pPr>
              <w:pStyle w:val="11"/>
            </w:pPr>
          </w:p>
        </w:tc>
        <w:tc>
          <w:tcPr>
            <w:tcW w:w="1474" w:type="dxa"/>
            <w:vAlign w:val="center"/>
          </w:tcPr>
          <w:p w14:paraId="1AA9F15D">
            <w:pPr>
              <w:pStyle w:val="11"/>
            </w:pPr>
          </w:p>
        </w:tc>
        <w:tc>
          <w:tcPr>
            <w:tcW w:w="1474" w:type="dxa"/>
            <w:vAlign w:val="center"/>
          </w:tcPr>
          <w:p w14:paraId="0485E1A8">
            <w:pPr>
              <w:pStyle w:val="11"/>
            </w:pPr>
          </w:p>
        </w:tc>
      </w:tr>
      <w:tr w14:paraId="7018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C460">
            <w:pPr>
              <w:pStyle w:val="13"/>
            </w:pPr>
            <w:r>
              <w:t>24</w:t>
            </w:r>
          </w:p>
        </w:tc>
        <w:tc>
          <w:tcPr>
            <w:tcW w:w="3402" w:type="dxa"/>
            <w:vAlign w:val="center"/>
          </w:tcPr>
          <w:p w14:paraId="52C1853E">
            <w:pPr>
              <w:pStyle w:val="12"/>
            </w:pPr>
          </w:p>
        </w:tc>
        <w:tc>
          <w:tcPr>
            <w:tcW w:w="1474" w:type="dxa"/>
            <w:vAlign w:val="center"/>
          </w:tcPr>
          <w:p w14:paraId="2DE0281B">
            <w:pPr>
              <w:pStyle w:val="11"/>
            </w:pPr>
          </w:p>
        </w:tc>
        <w:tc>
          <w:tcPr>
            <w:tcW w:w="3402" w:type="dxa"/>
            <w:vAlign w:val="center"/>
          </w:tcPr>
          <w:p w14:paraId="134B07A9">
            <w:pPr>
              <w:pStyle w:val="12"/>
            </w:pPr>
            <w:r>
              <w:t>二十四、预备费</w:t>
            </w:r>
          </w:p>
        </w:tc>
        <w:tc>
          <w:tcPr>
            <w:tcW w:w="1474" w:type="dxa"/>
            <w:vAlign w:val="center"/>
          </w:tcPr>
          <w:p w14:paraId="7FF4D232">
            <w:pPr>
              <w:pStyle w:val="11"/>
            </w:pPr>
          </w:p>
        </w:tc>
        <w:tc>
          <w:tcPr>
            <w:tcW w:w="1474" w:type="dxa"/>
            <w:vAlign w:val="center"/>
          </w:tcPr>
          <w:p w14:paraId="2FD6827F">
            <w:pPr>
              <w:pStyle w:val="11"/>
            </w:pPr>
          </w:p>
        </w:tc>
        <w:tc>
          <w:tcPr>
            <w:tcW w:w="1474" w:type="dxa"/>
            <w:vAlign w:val="center"/>
          </w:tcPr>
          <w:p w14:paraId="78D23CE0">
            <w:pPr>
              <w:pStyle w:val="11"/>
            </w:pPr>
          </w:p>
        </w:tc>
        <w:tc>
          <w:tcPr>
            <w:tcW w:w="1474" w:type="dxa"/>
            <w:vAlign w:val="center"/>
          </w:tcPr>
          <w:p w14:paraId="1942B742">
            <w:pPr>
              <w:pStyle w:val="11"/>
            </w:pPr>
          </w:p>
        </w:tc>
      </w:tr>
      <w:tr w14:paraId="6638E0CB">
        <w:tblPrEx>
          <w:tblCellMar>
            <w:top w:w="0" w:type="dxa"/>
            <w:left w:w="108" w:type="dxa"/>
            <w:bottom w:w="0" w:type="dxa"/>
            <w:right w:w="108" w:type="dxa"/>
          </w:tblCellMar>
        </w:tblPrEx>
        <w:trPr>
          <w:trHeight w:val="369" w:hRule="atLeast"/>
          <w:jc w:val="center"/>
        </w:trPr>
        <w:tc>
          <w:tcPr>
            <w:tcW w:w="850" w:type="dxa"/>
            <w:vAlign w:val="center"/>
          </w:tcPr>
          <w:p w14:paraId="0F543D2F">
            <w:pPr>
              <w:pStyle w:val="13"/>
            </w:pPr>
            <w:r>
              <w:t>25</w:t>
            </w:r>
          </w:p>
        </w:tc>
        <w:tc>
          <w:tcPr>
            <w:tcW w:w="3402" w:type="dxa"/>
            <w:vAlign w:val="center"/>
          </w:tcPr>
          <w:p w14:paraId="1D7E9B72">
            <w:pPr>
              <w:pStyle w:val="12"/>
            </w:pPr>
          </w:p>
        </w:tc>
        <w:tc>
          <w:tcPr>
            <w:tcW w:w="1474" w:type="dxa"/>
            <w:vAlign w:val="center"/>
          </w:tcPr>
          <w:p w14:paraId="2779AA14">
            <w:pPr>
              <w:pStyle w:val="11"/>
            </w:pPr>
          </w:p>
        </w:tc>
        <w:tc>
          <w:tcPr>
            <w:tcW w:w="3402" w:type="dxa"/>
            <w:vAlign w:val="center"/>
          </w:tcPr>
          <w:p w14:paraId="599C848A">
            <w:pPr>
              <w:pStyle w:val="12"/>
            </w:pPr>
            <w:r>
              <w:t>二十五、其他支出</w:t>
            </w:r>
          </w:p>
        </w:tc>
        <w:tc>
          <w:tcPr>
            <w:tcW w:w="1474" w:type="dxa"/>
            <w:vAlign w:val="center"/>
          </w:tcPr>
          <w:p w14:paraId="3151ED5F">
            <w:pPr>
              <w:pStyle w:val="11"/>
            </w:pPr>
          </w:p>
        </w:tc>
        <w:tc>
          <w:tcPr>
            <w:tcW w:w="1474" w:type="dxa"/>
            <w:vAlign w:val="center"/>
          </w:tcPr>
          <w:p w14:paraId="30945439">
            <w:pPr>
              <w:pStyle w:val="11"/>
            </w:pPr>
          </w:p>
        </w:tc>
        <w:tc>
          <w:tcPr>
            <w:tcW w:w="1474" w:type="dxa"/>
            <w:vAlign w:val="center"/>
          </w:tcPr>
          <w:p w14:paraId="55FB888A">
            <w:pPr>
              <w:pStyle w:val="11"/>
            </w:pPr>
          </w:p>
        </w:tc>
        <w:tc>
          <w:tcPr>
            <w:tcW w:w="1474" w:type="dxa"/>
            <w:vAlign w:val="center"/>
          </w:tcPr>
          <w:p w14:paraId="2F199009">
            <w:pPr>
              <w:pStyle w:val="11"/>
            </w:pPr>
          </w:p>
        </w:tc>
      </w:tr>
      <w:tr w14:paraId="4E045CBE">
        <w:tblPrEx>
          <w:tblCellMar>
            <w:top w:w="0" w:type="dxa"/>
            <w:left w:w="108" w:type="dxa"/>
            <w:bottom w:w="0" w:type="dxa"/>
            <w:right w:w="108" w:type="dxa"/>
          </w:tblCellMar>
        </w:tblPrEx>
        <w:trPr>
          <w:trHeight w:val="369" w:hRule="atLeast"/>
          <w:jc w:val="center"/>
        </w:trPr>
        <w:tc>
          <w:tcPr>
            <w:tcW w:w="850" w:type="dxa"/>
            <w:vAlign w:val="center"/>
          </w:tcPr>
          <w:p w14:paraId="0012CB17">
            <w:pPr>
              <w:pStyle w:val="13"/>
            </w:pPr>
            <w:r>
              <w:t>26</w:t>
            </w:r>
          </w:p>
        </w:tc>
        <w:tc>
          <w:tcPr>
            <w:tcW w:w="3402" w:type="dxa"/>
            <w:vAlign w:val="center"/>
          </w:tcPr>
          <w:p w14:paraId="6912ABC2">
            <w:pPr>
              <w:pStyle w:val="12"/>
            </w:pPr>
          </w:p>
        </w:tc>
        <w:tc>
          <w:tcPr>
            <w:tcW w:w="1474" w:type="dxa"/>
            <w:vAlign w:val="center"/>
          </w:tcPr>
          <w:p w14:paraId="217903F6">
            <w:pPr>
              <w:pStyle w:val="11"/>
            </w:pPr>
          </w:p>
        </w:tc>
        <w:tc>
          <w:tcPr>
            <w:tcW w:w="3402" w:type="dxa"/>
            <w:vAlign w:val="center"/>
          </w:tcPr>
          <w:p w14:paraId="5124B61F">
            <w:pPr>
              <w:pStyle w:val="12"/>
            </w:pPr>
            <w:r>
              <w:t>二十六、转移性支出</w:t>
            </w:r>
          </w:p>
        </w:tc>
        <w:tc>
          <w:tcPr>
            <w:tcW w:w="1474" w:type="dxa"/>
            <w:vAlign w:val="center"/>
          </w:tcPr>
          <w:p w14:paraId="6B9570F1">
            <w:pPr>
              <w:pStyle w:val="11"/>
            </w:pPr>
          </w:p>
        </w:tc>
        <w:tc>
          <w:tcPr>
            <w:tcW w:w="1474" w:type="dxa"/>
            <w:vAlign w:val="center"/>
          </w:tcPr>
          <w:p w14:paraId="2028EBED">
            <w:pPr>
              <w:pStyle w:val="11"/>
            </w:pPr>
          </w:p>
        </w:tc>
        <w:tc>
          <w:tcPr>
            <w:tcW w:w="1474" w:type="dxa"/>
            <w:vAlign w:val="center"/>
          </w:tcPr>
          <w:p w14:paraId="11B5742F">
            <w:pPr>
              <w:pStyle w:val="11"/>
            </w:pPr>
          </w:p>
        </w:tc>
        <w:tc>
          <w:tcPr>
            <w:tcW w:w="1474" w:type="dxa"/>
            <w:vAlign w:val="center"/>
          </w:tcPr>
          <w:p w14:paraId="20E65C93">
            <w:pPr>
              <w:pStyle w:val="11"/>
            </w:pPr>
          </w:p>
        </w:tc>
      </w:tr>
      <w:tr w14:paraId="2E38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81E6">
            <w:pPr>
              <w:pStyle w:val="13"/>
            </w:pPr>
            <w:r>
              <w:t>27</w:t>
            </w:r>
          </w:p>
        </w:tc>
        <w:tc>
          <w:tcPr>
            <w:tcW w:w="3402" w:type="dxa"/>
            <w:vAlign w:val="center"/>
          </w:tcPr>
          <w:p w14:paraId="249B5306">
            <w:pPr>
              <w:pStyle w:val="12"/>
            </w:pPr>
          </w:p>
        </w:tc>
        <w:tc>
          <w:tcPr>
            <w:tcW w:w="1474" w:type="dxa"/>
            <w:vAlign w:val="center"/>
          </w:tcPr>
          <w:p w14:paraId="7C8E0690">
            <w:pPr>
              <w:pStyle w:val="11"/>
            </w:pPr>
          </w:p>
        </w:tc>
        <w:tc>
          <w:tcPr>
            <w:tcW w:w="3402" w:type="dxa"/>
            <w:vAlign w:val="center"/>
          </w:tcPr>
          <w:p w14:paraId="696A8C37">
            <w:pPr>
              <w:pStyle w:val="12"/>
            </w:pPr>
            <w:r>
              <w:t>二十七、债务还本支出</w:t>
            </w:r>
          </w:p>
        </w:tc>
        <w:tc>
          <w:tcPr>
            <w:tcW w:w="1474" w:type="dxa"/>
            <w:vAlign w:val="center"/>
          </w:tcPr>
          <w:p w14:paraId="376D13AF">
            <w:pPr>
              <w:pStyle w:val="11"/>
            </w:pPr>
          </w:p>
        </w:tc>
        <w:tc>
          <w:tcPr>
            <w:tcW w:w="1474" w:type="dxa"/>
            <w:vAlign w:val="center"/>
          </w:tcPr>
          <w:p w14:paraId="28C81F89">
            <w:pPr>
              <w:pStyle w:val="11"/>
            </w:pPr>
          </w:p>
        </w:tc>
        <w:tc>
          <w:tcPr>
            <w:tcW w:w="1474" w:type="dxa"/>
            <w:vAlign w:val="center"/>
          </w:tcPr>
          <w:p w14:paraId="1392F32F">
            <w:pPr>
              <w:pStyle w:val="11"/>
            </w:pPr>
          </w:p>
        </w:tc>
        <w:tc>
          <w:tcPr>
            <w:tcW w:w="1474" w:type="dxa"/>
            <w:vAlign w:val="center"/>
          </w:tcPr>
          <w:p w14:paraId="442A116B">
            <w:pPr>
              <w:pStyle w:val="11"/>
            </w:pPr>
          </w:p>
        </w:tc>
      </w:tr>
      <w:tr w14:paraId="6AF6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78054">
            <w:pPr>
              <w:pStyle w:val="13"/>
            </w:pPr>
            <w:r>
              <w:t>28</w:t>
            </w:r>
          </w:p>
        </w:tc>
        <w:tc>
          <w:tcPr>
            <w:tcW w:w="3402" w:type="dxa"/>
            <w:vAlign w:val="center"/>
          </w:tcPr>
          <w:p w14:paraId="5981E729">
            <w:pPr>
              <w:pStyle w:val="12"/>
            </w:pPr>
          </w:p>
        </w:tc>
        <w:tc>
          <w:tcPr>
            <w:tcW w:w="1474" w:type="dxa"/>
            <w:vAlign w:val="center"/>
          </w:tcPr>
          <w:p w14:paraId="5128987F">
            <w:pPr>
              <w:pStyle w:val="11"/>
            </w:pPr>
          </w:p>
        </w:tc>
        <w:tc>
          <w:tcPr>
            <w:tcW w:w="3402" w:type="dxa"/>
            <w:vAlign w:val="center"/>
          </w:tcPr>
          <w:p w14:paraId="7E33C59A">
            <w:pPr>
              <w:pStyle w:val="12"/>
            </w:pPr>
            <w:r>
              <w:t>二十八、债务付息支出</w:t>
            </w:r>
          </w:p>
        </w:tc>
        <w:tc>
          <w:tcPr>
            <w:tcW w:w="1474" w:type="dxa"/>
            <w:vAlign w:val="center"/>
          </w:tcPr>
          <w:p w14:paraId="6909EDA7">
            <w:pPr>
              <w:pStyle w:val="11"/>
            </w:pPr>
          </w:p>
        </w:tc>
        <w:tc>
          <w:tcPr>
            <w:tcW w:w="1474" w:type="dxa"/>
            <w:vAlign w:val="center"/>
          </w:tcPr>
          <w:p w14:paraId="63C41B97">
            <w:pPr>
              <w:pStyle w:val="11"/>
            </w:pPr>
          </w:p>
        </w:tc>
        <w:tc>
          <w:tcPr>
            <w:tcW w:w="1474" w:type="dxa"/>
            <w:vAlign w:val="center"/>
          </w:tcPr>
          <w:p w14:paraId="57EA195B">
            <w:pPr>
              <w:pStyle w:val="11"/>
            </w:pPr>
          </w:p>
        </w:tc>
        <w:tc>
          <w:tcPr>
            <w:tcW w:w="1474" w:type="dxa"/>
            <w:vAlign w:val="center"/>
          </w:tcPr>
          <w:p w14:paraId="509751F1">
            <w:pPr>
              <w:pStyle w:val="11"/>
            </w:pPr>
          </w:p>
        </w:tc>
      </w:tr>
      <w:tr w14:paraId="045C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BD3F">
            <w:pPr>
              <w:pStyle w:val="13"/>
            </w:pPr>
            <w:r>
              <w:t>29</w:t>
            </w:r>
          </w:p>
        </w:tc>
        <w:tc>
          <w:tcPr>
            <w:tcW w:w="3402" w:type="dxa"/>
            <w:vAlign w:val="center"/>
          </w:tcPr>
          <w:p w14:paraId="4CA0D867">
            <w:pPr>
              <w:pStyle w:val="12"/>
            </w:pPr>
          </w:p>
        </w:tc>
        <w:tc>
          <w:tcPr>
            <w:tcW w:w="1474" w:type="dxa"/>
            <w:vAlign w:val="center"/>
          </w:tcPr>
          <w:p w14:paraId="13D1B8CB">
            <w:pPr>
              <w:pStyle w:val="11"/>
            </w:pPr>
          </w:p>
        </w:tc>
        <w:tc>
          <w:tcPr>
            <w:tcW w:w="3402" w:type="dxa"/>
            <w:vAlign w:val="center"/>
          </w:tcPr>
          <w:p w14:paraId="5E0CBDA3">
            <w:pPr>
              <w:pStyle w:val="12"/>
            </w:pPr>
            <w:r>
              <w:t>二十九、债务发行费用支出</w:t>
            </w:r>
          </w:p>
        </w:tc>
        <w:tc>
          <w:tcPr>
            <w:tcW w:w="1474" w:type="dxa"/>
            <w:vAlign w:val="center"/>
          </w:tcPr>
          <w:p w14:paraId="19641ACE">
            <w:pPr>
              <w:pStyle w:val="11"/>
            </w:pPr>
          </w:p>
        </w:tc>
        <w:tc>
          <w:tcPr>
            <w:tcW w:w="1474" w:type="dxa"/>
            <w:vAlign w:val="center"/>
          </w:tcPr>
          <w:p w14:paraId="5C9037E5">
            <w:pPr>
              <w:pStyle w:val="11"/>
            </w:pPr>
          </w:p>
        </w:tc>
        <w:tc>
          <w:tcPr>
            <w:tcW w:w="1474" w:type="dxa"/>
            <w:vAlign w:val="center"/>
          </w:tcPr>
          <w:p w14:paraId="6A01F965">
            <w:pPr>
              <w:pStyle w:val="11"/>
            </w:pPr>
          </w:p>
        </w:tc>
        <w:tc>
          <w:tcPr>
            <w:tcW w:w="1474" w:type="dxa"/>
            <w:vAlign w:val="center"/>
          </w:tcPr>
          <w:p w14:paraId="667141D1">
            <w:pPr>
              <w:pStyle w:val="11"/>
            </w:pPr>
          </w:p>
        </w:tc>
      </w:tr>
      <w:tr w14:paraId="20A06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7A42D">
            <w:pPr>
              <w:pStyle w:val="13"/>
            </w:pPr>
            <w:r>
              <w:t>30</w:t>
            </w:r>
          </w:p>
        </w:tc>
        <w:tc>
          <w:tcPr>
            <w:tcW w:w="3402" w:type="dxa"/>
            <w:vAlign w:val="center"/>
          </w:tcPr>
          <w:p w14:paraId="33536CE6">
            <w:pPr>
              <w:pStyle w:val="12"/>
            </w:pPr>
          </w:p>
        </w:tc>
        <w:tc>
          <w:tcPr>
            <w:tcW w:w="1474" w:type="dxa"/>
            <w:vAlign w:val="center"/>
          </w:tcPr>
          <w:p w14:paraId="03DED2CD">
            <w:pPr>
              <w:pStyle w:val="11"/>
            </w:pPr>
          </w:p>
        </w:tc>
        <w:tc>
          <w:tcPr>
            <w:tcW w:w="3402" w:type="dxa"/>
            <w:vAlign w:val="center"/>
          </w:tcPr>
          <w:p w14:paraId="193524C8">
            <w:pPr>
              <w:pStyle w:val="12"/>
            </w:pPr>
            <w:r>
              <w:t>三十、抗疫特别国债安排的支出</w:t>
            </w:r>
          </w:p>
        </w:tc>
        <w:tc>
          <w:tcPr>
            <w:tcW w:w="1474" w:type="dxa"/>
            <w:vAlign w:val="center"/>
          </w:tcPr>
          <w:p w14:paraId="0A5529CE">
            <w:pPr>
              <w:pStyle w:val="11"/>
            </w:pPr>
          </w:p>
        </w:tc>
        <w:tc>
          <w:tcPr>
            <w:tcW w:w="1474" w:type="dxa"/>
            <w:vAlign w:val="center"/>
          </w:tcPr>
          <w:p w14:paraId="2EF01823">
            <w:pPr>
              <w:pStyle w:val="11"/>
            </w:pPr>
          </w:p>
        </w:tc>
        <w:tc>
          <w:tcPr>
            <w:tcW w:w="1474" w:type="dxa"/>
            <w:vAlign w:val="center"/>
          </w:tcPr>
          <w:p w14:paraId="49BAB5C9">
            <w:pPr>
              <w:pStyle w:val="11"/>
            </w:pPr>
          </w:p>
        </w:tc>
        <w:tc>
          <w:tcPr>
            <w:tcW w:w="1474" w:type="dxa"/>
            <w:vAlign w:val="center"/>
          </w:tcPr>
          <w:p w14:paraId="0D7CBC01">
            <w:pPr>
              <w:pStyle w:val="11"/>
            </w:pPr>
          </w:p>
        </w:tc>
      </w:tr>
      <w:tr w14:paraId="36A3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FD7AE">
            <w:pPr>
              <w:pStyle w:val="13"/>
            </w:pPr>
            <w:r>
              <w:t>31</w:t>
            </w:r>
          </w:p>
        </w:tc>
        <w:tc>
          <w:tcPr>
            <w:tcW w:w="3402" w:type="dxa"/>
            <w:vAlign w:val="center"/>
          </w:tcPr>
          <w:p w14:paraId="02616787">
            <w:pPr>
              <w:pStyle w:val="12"/>
            </w:pPr>
          </w:p>
        </w:tc>
        <w:tc>
          <w:tcPr>
            <w:tcW w:w="1474" w:type="dxa"/>
            <w:vAlign w:val="center"/>
          </w:tcPr>
          <w:p w14:paraId="2142877E">
            <w:pPr>
              <w:pStyle w:val="11"/>
            </w:pPr>
          </w:p>
        </w:tc>
        <w:tc>
          <w:tcPr>
            <w:tcW w:w="3402" w:type="dxa"/>
            <w:vAlign w:val="center"/>
          </w:tcPr>
          <w:p w14:paraId="0637E195">
            <w:pPr>
              <w:pStyle w:val="12"/>
            </w:pPr>
            <w:r>
              <w:t>三十一、人行科目</w:t>
            </w:r>
          </w:p>
        </w:tc>
        <w:tc>
          <w:tcPr>
            <w:tcW w:w="1474" w:type="dxa"/>
            <w:vAlign w:val="center"/>
          </w:tcPr>
          <w:p w14:paraId="5BFA69E9">
            <w:pPr>
              <w:pStyle w:val="11"/>
            </w:pPr>
          </w:p>
        </w:tc>
        <w:tc>
          <w:tcPr>
            <w:tcW w:w="1474" w:type="dxa"/>
            <w:vAlign w:val="center"/>
          </w:tcPr>
          <w:p w14:paraId="4FA68AB4">
            <w:pPr>
              <w:pStyle w:val="11"/>
            </w:pPr>
          </w:p>
        </w:tc>
        <w:tc>
          <w:tcPr>
            <w:tcW w:w="1474" w:type="dxa"/>
            <w:vAlign w:val="center"/>
          </w:tcPr>
          <w:p w14:paraId="37253650">
            <w:pPr>
              <w:pStyle w:val="11"/>
            </w:pPr>
          </w:p>
        </w:tc>
        <w:tc>
          <w:tcPr>
            <w:tcW w:w="1474" w:type="dxa"/>
            <w:vAlign w:val="center"/>
          </w:tcPr>
          <w:p w14:paraId="332BB64A">
            <w:pPr>
              <w:pStyle w:val="11"/>
            </w:pPr>
          </w:p>
        </w:tc>
      </w:tr>
      <w:tr w14:paraId="7529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54258">
            <w:pPr>
              <w:pStyle w:val="13"/>
            </w:pPr>
            <w:r>
              <w:t>32</w:t>
            </w:r>
          </w:p>
        </w:tc>
        <w:tc>
          <w:tcPr>
            <w:tcW w:w="3402" w:type="dxa"/>
            <w:vAlign w:val="center"/>
          </w:tcPr>
          <w:p w14:paraId="47D4EA29">
            <w:pPr>
              <w:pStyle w:val="14"/>
            </w:pPr>
            <w:r>
              <w:t>本年收入合计</w:t>
            </w:r>
          </w:p>
        </w:tc>
        <w:tc>
          <w:tcPr>
            <w:tcW w:w="1474" w:type="dxa"/>
            <w:vAlign w:val="center"/>
          </w:tcPr>
          <w:p w14:paraId="1750E0F5">
            <w:pPr>
              <w:pStyle w:val="15"/>
            </w:pPr>
            <w:r>
              <w:t>5250.40</w:t>
            </w:r>
          </w:p>
        </w:tc>
        <w:tc>
          <w:tcPr>
            <w:tcW w:w="3402" w:type="dxa"/>
            <w:vAlign w:val="center"/>
          </w:tcPr>
          <w:p w14:paraId="17F08F1C">
            <w:pPr>
              <w:pStyle w:val="14"/>
            </w:pPr>
            <w:r>
              <w:t>本年支出合计</w:t>
            </w:r>
          </w:p>
        </w:tc>
        <w:tc>
          <w:tcPr>
            <w:tcW w:w="1474" w:type="dxa"/>
            <w:vAlign w:val="center"/>
          </w:tcPr>
          <w:p w14:paraId="635205D0">
            <w:pPr>
              <w:pStyle w:val="15"/>
            </w:pPr>
            <w:r>
              <w:t>5250.40</w:t>
            </w:r>
          </w:p>
        </w:tc>
        <w:tc>
          <w:tcPr>
            <w:tcW w:w="1474" w:type="dxa"/>
            <w:vAlign w:val="center"/>
          </w:tcPr>
          <w:p w14:paraId="5F8FAE4C">
            <w:pPr>
              <w:pStyle w:val="15"/>
            </w:pPr>
            <w:r>
              <w:t>5250.40</w:t>
            </w:r>
          </w:p>
        </w:tc>
        <w:tc>
          <w:tcPr>
            <w:tcW w:w="1474" w:type="dxa"/>
            <w:vAlign w:val="center"/>
          </w:tcPr>
          <w:p w14:paraId="5CF2165C">
            <w:pPr>
              <w:pStyle w:val="15"/>
            </w:pPr>
          </w:p>
        </w:tc>
        <w:tc>
          <w:tcPr>
            <w:tcW w:w="1474" w:type="dxa"/>
            <w:vAlign w:val="center"/>
          </w:tcPr>
          <w:p w14:paraId="19FAD68F">
            <w:pPr>
              <w:pStyle w:val="15"/>
            </w:pPr>
          </w:p>
        </w:tc>
      </w:tr>
      <w:tr w14:paraId="7FE0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B9CC0">
            <w:pPr>
              <w:pStyle w:val="13"/>
            </w:pPr>
            <w:r>
              <w:t>33</w:t>
            </w:r>
          </w:p>
        </w:tc>
        <w:tc>
          <w:tcPr>
            <w:tcW w:w="3402" w:type="dxa"/>
            <w:vAlign w:val="center"/>
          </w:tcPr>
          <w:p w14:paraId="7CA6FCE8">
            <w:pPr>
              <w:pStyle w:val="12"/>
            </w:pPr>
            <w:r>
              <w:t>年初财政拨款结转和结余</w:t>
            </w:r>
          </w:p>
        </w:tc>
        <w:tc>
          <w:tcPr>
            <w:tcW w:w="1474" w:type="dxa"/>
            <w:vAlign w:val="center"/>
          </w:tcPr>
          <w:p w14:paraId="24829D65">
            <w:pPr>
              <w:pStyle w:val="11"/>
            </w:pPr>
          </w:p>
        </w:tc>
        <w:tc>
          <w:tcPr>
            <w:tcW w:w="3402" w:type="dxa"/>
            <w:vAlign w:val="center"/>
          </w:tcPr>
          <w:p w14:paraId="19947014">
            <w:pPr>
              <w:pStyle w:val="12"/>
            </w:pPr>
            <w:r>
              <w:t>年末财政拨款结转和结余</w:t>
            </w:r>
          </w:p>
        </w:tc>
        <w:tc>
          <w:tcPr>
            <w:tcW w:w="1474" w:type="dxa"/>
            <w:vAlign w:val="center"/>
          </w:tcPr>
          <w:p w14:paraId="27AE3663">
            <w:pPr>
              <w:pStyle w:val="11"/>
            </w:pPr>
          </w:p>
        </w:tc>
        <w:tc>
          <w:tcPr>
            <w:tcW w:w="1474" w:type="dxa"/>
            <w:vAlign w:val="center"/>
          </w:tcPr>
          <w:p w14:paraId="68CDFB3E">
            <w:pPr>
              <w:pStyle w:val="11"/>
            </w:pPr>
          </w:p>
        </w:tc>
        <w:tc>
          <w:tcPr>
            <w:tcW w:w="1474" w:type="dxa"/>
            <w:vAlign w:val="center"/>
          </w:tcPr>
          <w:p w14:paraId="295CDBB9">
            <w:pPr>
              <w:pStyle w:val="11"/>
            </w:pPr>
          </w:p>
        </w:tc>
        <w:tc>
          <w:tcPr>
            <w:tcW w:w="1474" w:type="dxa"/>
            <w:vAlign w:val="center"/>
          </w:tcPr>
          <w:p w14:paraId="63CE6A64">
            <w:pPr>
              <w:pStyle w:val="11"/>
            </w:pPr>
          </w:p>
        </w:tc>
      </w:tr>
      <w:tr w14:paraId="005C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71B5">
            <w:pPr>
              <w:pStyle w:val="13"/>
            </w:pPr>
            <w:r>
              <w:t>34</w:t>
            </w:r>
          </w:p>
        </w:tc>
        <w:tc>
          <w:tcPr>
            <w:tcW w:w="3402" w:type="dxa"/>
            <w:vAlign w:val="center"/>
          </w:tcPr>
          <w:p w14:paraId="00722F66">
            <w:pPr>
              <w:pStyle w:val="12"/>
            </w:pPr>
            <w:r>
              <w:t>一、一般公共预算拨款</w:t>
            </w:r>
          </w:p>
        </w:tc>
        <w:tc>
          <w:tcPr>
            <w:tcW w:w="1474" w:type="dxa"/>
            <w:vAlign w:val="center"/>
          </w:tcPr>
          <w:p w14:paraId="121D2E6C">
            <w:pPr>
              <w:pStyle w:val="11"/>
            </w:pPr>
          </w:p>
        </w:tc>
        <w:tc>
          <w:tcPr>
            <w:tcW w:w="3402" w:type="dxa"/>
            <w:vAlign w:val="center"/>
          </w:tcPr>
          <w:p w14:paraId="51177724">
            <w:pPr>
              <w:pStyle w:val="12"/>
            </w:pPr>
          </w:p>
        </w:tc>
        <w:tc>
          <w:tcPr>
            <w:tcW w:w="1474" w:type="dxa"/>
            <w:vAlign w:val="center"/>
          </w:tcPr>
          <w:p w14:paraId="288BA455">
            <w:pPr>
              <w:pStyle w:val="11"/>
            </w:pPr>
          </w:p>
        </w:tc>
        <w:tc>
          <w:tcPr>
            <w:tcW w:w="1474" w:type="dxa"/>
            <w:vAlign w:val="center"/>
          </w:tcPr>
          <w:p w14:paraId="6DD21073">
            <w:pPr>
              <w:pStyle w:val="11"/>
            </w:pPr>
          </w:p>
        </w:tc>
        <w:tc>
          <w:tcPr>
            <w:tcW w:w="1474" w:type="dxa"/>
            <w:vAlign w:val="center"/>
          </w:tcPr>
          <w:p w14:paraId="3CA8105B">
            <w:pPr>
              <w:pStyle w:val="11"/>
            </w:pPr>
          </w:p>
        </w:tc>
        <w:tc>
          <w:tcPr>
            <w:tcW w:w="1474" w:type="dxa"/>
            <w:vAlign w:val="center"/>
          </w:tcPr>
          <w:p w14:paraId="43470F17">
            <w:pPr>
              <w:pStyle w:val="11"/>
            </w:pPr>
          </w:p>
        </w:tc>
      </w:tr>
      <w:tr w14:paraId="4886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25CB">
            <w:pPr>
              <w:pStyle w:val="13"/>
            </w:pPr>
            <w:r>
              <w:t>35</w:t>
            </w:r>
          </w:p>
        </w:tc>
        <w:tc>
          <w:tcPr>
            <w:tcW w:w="3402" w:type="dxa"/>
            <w:vAlign w:val="center"/>
          </w:tcPr>
          <w:p w14:paraId="2B3E558D">
            <w:pPr>
              <w:pStyle w:val="12"/>
            </w:pPr>
            <w:r>
              <w:t>二、政府性基金预算拨款</w:t>
            </w:r>
          </w:p>
        </w:tc>
        <w:tc>
          <w:tcPr>
            <w:tcW w:w="1474" w:type="dxa"/>
            <w:vAlign w:val="center"/>
          </w:tcPr>
          <w:p w14:paraId="760356DE">
            <w:pPr>
              <w:pStyle w:val="11"/>
            </w:pPr>
          </w:p>
        </w:tc>
        <w:tc>
          <w:tcPr>
            <w:tcW w:w="3402" w:type="dxa"/>
            <w:vAlign w:val="center"/>
          </w:tcPr>
          <w:p w14:paraId="22FDCCC4">
            <w:pPr>
              <w:pStyle w:val="12"/>
            </w:pPr>
          </w:p>
        </w:tc>
        <w:tc>
          <w:tcPr>
            <w:tcW w:w="1474" w:type="dxa"/>
            <w:vAlign w:val="center"/>
          </w:tcPr>
          <w:p w14:paraId="01B34758">
            <w:pPr>
              <w:pStyle w:val="11"/>
            </w:pPr>
          </w:p>
        </w:tc>
        <w:tc>
          <w:tcPr>
            <w:tcW w:w="1474" w:type="dxa"/>
            <w:vAlign w:val="center"/>
          </w:tcPr>
          <w:p w14:paraId="3E129F41">
            <w:pPr>
              <w:pStyle w:val="11"/>
            </w:pPr>
          </w:p>
        </w:tc>
        <w:tc>
          <w:tcPr>
            <w:tcW w:w="1474" w:type="dxa"/>
            <w:vAlign w:val="center"/>
          </w:tcPr>
          <w:p w14:paraId="503ADE61">
            <w:pPr>
              <w:pStyle w:val="11"/>
            </w:pPr>
          </w:p>
        </w:tc>
        <w:tc>
          <w:tcPr>
            <w:tcW w:w="1474" w:type="dxa"/>
            <w:vAlign w:val="center"/>
          </w:tcPr>
          <w:p w14:paraId="1A19A36D">
            <w:pPr>
              <w:pStyle w:val="11"/>
            </w:pPr>
          </w:p>
        </w:tc>
      </w:tr>
      <w:tr w14:paraId="4A28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11EA4">
            <w:pPr>
              <w:pStyle w:val="13"/>
            </w:pPr>
            <w:r>
              <w:t>36</w:t>
            </w:r>
          </w:p>
        </w:tc>
        <w:tc>
          <w:tcPr>
            <w:tcW w:w="3402" w:type="dxa"/>
            <w:vAlign w:val="center"/>
          </w:tcPr>
          <w:p w14:paraId="72B11DF8">
            <w:pPr>
              <w:pStyle w:val="12"/>
            </w:pPr>
            <w:r>
              <w:t>三、国有资本经营预算拨款</w:t>
            </w:r>
          </w:p>
        </w:tc>
        <w:tc>
          <w:tcPr>
            <w:tcW w:w="1474" w:type="dxa"/>
            <w:vAlign w:val="center"/>
          </w:tcPr>
          <w:p w14:paraId="259E762C">
            <w:pPr>
              <w:pStyle w:val="11"/>
            </w:pPr>
          </w:p>
        </w:tc>
        <w:tc>
          <w:tcPr>
            <w:tcW w:w="3402" w:type="dxa"/>
            <w:vAlign w:val="center"/>
          </w:tcPr>
          <w:p w14:paraId="491820D6">
            <w:pPr>
              <w:pStyle w:val="12"/>
            </w:pPr>
          </w:p>
        </w:tc>
        <w:tc>
          <w:tcPr>
            <w:tcW w:w="1474" w:type="dxa"/>
            <w:vAlign w:val="center"/>
          </w:tcPr>
          <w:p w14:paraId="2DDBC6EC">
            <w:pPr>
              <w:pStyle w:val="11"/>
            </w:pPr>
          </w:p>
        </w:tc>
        <w:tc>
          <w:tcPr>
            <w:tcW w:w="1474" w:type="dxa"/>
            <w:vAlign w:val="center"/>
          </w:tcPr>
          <w:p w14:paraId="561A79B5">
            <w:pPr>
              <w:pStyle w:val="11"/>
            </w:pPr>
          </w:p>
        </w:tc>
        <w:tc>
          <w:tcPr>
            <w:tcW w:w="1474" w:type="dxa"/>
            <w:vAlign w:val="center"/>
          </w:tcPr>
          <w:p w14:paraId="5AA462C7">
            <w:pPr>
              <w:pStyle w:val="11"/>
            </w:pPr>
          </w:p>
        </w:tc>
        <w:tc>
          <w:tcPr>
            <w:tcW w:w="1474" w:type="dxa"/>
            <w:vAlign w:val="center"/>
          </w:tcPr>
          <w:p w14:paraId="7C662C6D">
            <w:pPr>
              <w:pStyle w:val="11"/>
            </w:pPr>
          </w:p>
        </w:tc>
      </w:tr>
      <w:tr w14:paraId="334E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D812D">
            <w:pPr>
              <w:pStyle w:val="13"/>
            </w:pPr>
            <w:r>
              <w:t>37</w:t>
            </w:r>
          </w:p>
        </w:tc>
        <w:tc>
          <w:tcPr>
            <w:tcW w:w="3402" w:type="dxa"/>
            <w:vAlign w:val="center"/>
          </w:tcPr>
          <w:p w14:paraId="67D6A261">
            <w:pPr>
              <w:pStyle w:val="14"/>
            </w:pPr>
            <w:r>
              <w:t>收入总计</w:t>
            </w:r>
          </w:p>
        </w:tc>
        <w:tc>
          <w:tcPr>
            <w:tcW w:w="1474" w:type="dxa"/>
            <w:vAlign w:val="center"/>
          </w:tcPr>
          <w:p w14:paraId="105DF7C9">
            <w:pPr>
              <w:pStyle w:val="15"/>
            </w:pPr>
            <w:r>
              <w:t>5250.40</w:t>
            </w:r>
          </w:p>
        </w:tc>
        <w:tc>
          <w:tcPr>
            <w:tcW w:w="3402" w:type="dxa"/>
            <w:vAlign w:val="center"/>
          </w:tcPr>
          <w:p w14:paraId="688134C2">
            <w:pPr>
              <w:pStyle w:val="14"/>
            </w:pPr>
            <w:r>
              <w:t>支出总计</w:t>
            </w:r>
          </w:p>
        </w:tc>
        <w:tc>
          <w:tcPr>
            <w:tcW w:w="1474" w:type="dxa"/>
            <w:vAlign w:val="center"/>
          </w:tcPr>
          <w:p w14:paraId="50A52282">
            <w:pPr>
              <w:pStyle w:val="15"/>
            </w:pPr>
            <w:r>
              <w:t>5250.40</w:t>
            </w:r>
          </w:p>
        </w:tc>
        <w:tc>
          <w:tcPr>
            <w:tcW w:w="1474" w:type="dxa"/>
            <w:vAlign w:val="center"/>
          </w:tcPr>
          <w:p w14:paraId="52CE0675">
            <w:pPr>
              <w:pStyle w:val="15"/>
            </w:pPr>
            <w:r>
              <w:t>5250.40</w:t>
            </w:r>
          </w:p>
        </w:tc>
        <w:tc>
          <w:tcPr>
            <w:tcW w:w="1474" w:type="dxa"/>
            <w:vAlign w:val="center"/>
          </w:tcPr>
          <w:p w14:paraId="4142DBAE">
            <w:pPr>
              <w:pStyle w:val="15"/>
            </w:pPr>
          </w:p>
        </w:tc>
        <w:tc>
          <w:tcPr>
            <w:tcW w:w="1474" w:type="dxa"/>
            <w:vAlign w:val="center"/>
          </w:tcPr>
          <w:p w14:paraId="738B775B">
            <w:pPr>
              <w:pStyle w:val="15"/>
            </w:pPr>
          </w:p>
        </w:tc>
      </w:tr>
    </w:tbl>
    <w:p w14:paraId="0BEC0B91">
      <w:pPr>
        <w:sectPr>
          <w:pgSz w:w="16840" w:h="11900" w:orient="landscape"/>
          <w:pgMar w:top="1361" w:right="1020" w:bottom="1134" w:left="1020" w:header="720" w:footer="720" w:gutter="0"/>
          <w:cols w:space="720" w:num="1"/>
        </w:sectPr>
      </w:pPr>
    </w:p>
    <w:p w14:paraId="51C9B5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0D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3FDFD1">
            <w:pPr>
              <w:pStyle w:val="9"/>
            </w:pPr>
            <w:r>
              <w:t>360003河北隆尧第一中学</w:t>
            </w:r>
          </w:p>
        </w:tc>
        <w:tc>
          <w:tcPr>
            <w:tcW w:w="2551" w:type="dxa"/>
            <w:tcBorders>
              <w:top w:val="single" w:color="FFFFFF" w:sz="6" w:space="0"/>
              <w:left w:val="single" w:color="FFFFFF" w:sz="6" w:space="0"/>
              <w:right w:val="single" w:color="FFFFFF" w:sz="6" w:space="0"/>
            </w:tcBorders>
            <w:vAlign w:val="center"/>
          </w:tcPr>
          <w:p w14:paraId="01972D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68CAFA">
            <w:pPr>
              <w:pStyle w:val="7"/>
            </w:pPr>
            <w:r>
              <w:t>单位：万元</w:t>
            </w:r>
          </w:p>
        </w:tc>
      </w:tr>
      <w:tr w14:paraId="1BFB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29AAF">
            <w:pPr>
              <w:pStyle w:val="10"/>
            </w:pPr>
            <w:r>
              <w:t>序号</w:t>
            </w:r>
          </w:p>
        </w:tc>
        <w:tc>
          <w:tcPr>
            <w:tcW w:w="5726" w:type="dxa"/>
            <w:gridSpan w:val="2"/>
            <w:vAlign w:val="center"/>
          </w:tcPr>
          <w:p w14:paraId="217986B0">
            <w:pPr>
              <w:pStyle w:val="10"/>
            </w:pPr>
            <w:r>
              <w:t>功能分类科目</w:t>
            </w:r>
          </w:p>
        </w:tc>
        <w:tc>
          <w:tcPr>
            <w:tcW w:w="2551" w:type="dxa"/>
            <w:vMerge w:val="restart"/>
            <w:vAlign w:val="center"/>
          </w:tcPr>
          <w:p w14:paraId="5351A73C">
            <w:pPr>
              <w:pStyle w:val="10"/>
            </w:pPr>
            <w:r>
              <w:t>合计</w:t>
            </w:r>
          </w:p>
        </w:tc>
        <w:tc>
          <w:tcPr>
            <w:tcW w:w="2551" w:type="dxa"/>
            <w:vMerge w:val="restart"/>
            <w:vAlign w:val="center"/>
          </w:tcPr>
          <w:p w14:paraId="27D036A9">
            <w:pPr>
              <w:pStyle w:val="10"/>
            </w:pPr>
            <w:r>
              <w:t>基本支出</w:t>
            </w:r>
          </w:p>
        </w:tc>
        <w:tc>
          <w:tcPr>
            <w:tcW w:w="2551" w:type="dxa"/>
            <w:vMerge w:val="restart"/>
            <w:vAlign w:val="center"/>
          </w:tcPr>
          <w:p w14:paraId="519306E4">
            <w:pPr>
              <w:pStyle w:val="10"/>
            </w:pPr>
            <w:r>
              <w:t>项目支出</w:t>
            </w:r>
          </w:p>
        </w:tc>
      </w:tr>
      <w:tr w14:paraId="6842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1DB9B1"/>
        </w:tc>
        <w:tc>
          <w:tcPr>
            <w:tcW w:w="1191" w:type="dxa"/>
            <w:vAlign w:val="center"/>
          </w:tcPr>
          <w:p w14:paraId="41FCBED5">
            <w:pPr>
              <w:pStyle w:val="10"/>
            </w:pPr>
            <w:r>
              <w:t>科目编码</w:t>
            </w:r>
          </w:p>
        </w:tc>
        <w:tc>
          <w:tcPr>
            <w:tcW w:w="4535" w:type="dxa"/>
            <w:vAlign w:val="center"/>
          </w:tcPr>
          <w:p w14:paraId="5E986BF6">
            <w:pPr>
              <w:pStyle w:val="10"/>
            </w:pPr>
            <w:r>
              <w:t>科目名称</w:t>
            </w:r>
          </w:p>
        </w:tc>
        <w:tc>
          <w:tcPr>
            <w:tcW w:w="2551" w:type="dxa"/>
            <w:vMerge w:val="continue"/>
          </w:tcPr>
          <w:p w14:paraId="06FB3274"/>
        </w:tc>
        <w:tc>
          <w:tcPr>
            <w:tcW w:w="2551" w:type="dxa"/>
            <w:vMerge w:val="continue"/>
          </w:tcPr>
          <w:p w14:paraId="0BD8E163"/>
        </w:tc>
        <w:tc>
          <w:tcPr>
            <w:tcW w:w="2551" w:type="dxa"/>
            <w:vMerge w:val="continue"/>
          </w:tcPr>
          <w:p w14:paraId="40F91A82"/>
        </w:tc>
      </w:tr>
      <w:tr w14:paraId="76864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FEA70">
            <w:pPr>
              <w:pStyle w:val="10"/>
            </w:pPr>
            <w:r>
              <w:t>栏次</w:t>
            </w:r>
          </w:p>
        </w:tc>
        <w:tc>
          <w:tcPr>
            <w:tcW w:w="1191" w:type="dxa"/>
            <w:vAlign w:val="center"/>
          </w:tcPr>
          <w:p w14:paraId="7B2C983E">
            <w:pPr>
              <w:pStyle w:val="10"/>
            </w:pPr>
            <w:r>
              <w:t>1</w:t>
            </w:r>
          </w:p>
        </w:tc>
        <w:tc>
          <w:tcPr>
            <w:tcW w:w="4535" w:type="dxa"/>
            <w:vAlign w:val="center"/>
          </w:tcPr>
          <w:p w14:paraId="743461C1">
            <w:pPr>
              <w:pStyle w:val="10"/>
            </w:pPr>
            <w:r>
              <w:t>2</w:t>
            </w:r>
          </w:p>
        </w:tc>
        <w:tc>
          <w:tcPr>
            <w:tcW w:w="2551" w:type="dxa"/>
            <w:vAlign w:val="center"/>
          </w:tcPr>
          <w:p w14:paraId="7378DE11">
            <w:pPr>
              <w:pStyle w:val="10"/>
            </w:pPr>
            <w:r>
              <w:t>3</w:t>
            </w:r>
          </w:p>
        </w:tc>
        <w:tc>
          <w:tcPr>
            <w:tcW w:w="2551" w:type="dxa"/>
            <w:vAlign w:val="center"/>
          </w:tcPr>
          <w:p w14:paraId="41A26208">
            <w:pPr>
              <w:pStyle w:val="10"/>
            </w:pPr>
            <w:r>
              <w:t>4</w:t>
            </w:r>
          </w:p>
        </w:tc>
        <w:tc>
          <w:tcPr>
            <w:tcW w:w="2551" w:type="dxa"/>
            <w:vAlign w:val="center"/>
          </w:tcPr>
          <w:p w14:paraId="678A19E2">
            <w:pPr>
              <w:pStyle w:val="10"/>
            </w:pPr>
            <w:r>
              <w:t>5</w:t>
            </w:r>
          </w:p>
        </w:tc>
      </w:tr>
      <w:tr w14:paraId="47A8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0661">
            <w:pPr>
              <w:pStyle w:val="13"/>
            </w:pPr>
            <w:r>
              <w:t>1</w:t>
            </w:r>
          </w:p>
        </w:tc>
        <w:tc>
          <w:tcPr>
            <w:tcW w:w="1191" w:type="dxa"/>
            <w:vAlign w:val="center"/>
          </w:tcPr>
          <w:p w14:paraId="733D9B3E">
            <w:pPr>
              <w:pStyle w:val="16"/>
            </w:pPr>
          </w:p>
        </w:tc>
        <w:tc>
          <w:tcPr>
            <w:tcW w:w="4535" w:type="dxa"/>
            <w:vAlign w:val="center"/>
          </w:tcPr>
          <w:p w14:paraId="124A2353">
            <w:pPr>
              <w:pStyle w:val="14"/>
            </w:pPr>
            <w:r>
              <w:t>合计</w:t>
            </w:r>
          </w:p>
        </w:tc>
        <w:tc>
          <w:tcPr>
            <w:tcW w:w="2551" w:type="dxa"/>
            <w:vAlign w:val="center"/>
          </w:tcPr>
          <w:p w14:paraId="4D68AB5B">
            <w:pPr>
              <w:pStyle w:val="15"/>
            </w:pPr>
            <w:r>
              <w:t>5250.40</w:t>
            </w:r>
          </w:p>
        </w:tc>
        <w:tc>
          <w:tcPr>
            <w:tcW w:w="2551" w:type="dxa"/>
            <w:vAlign w:val="center"/>
          </w:tcPr>
          <w:p w14:paraId="53EB24AC">
            <w:pPr>
              <w:pStyle w:val="15"/>
            </w:pPr>
            <w:r>
              <w:t>4188.31</w:t>
            </w:r>
          </w:p>
        </w:tc>
        <w:tc>
          <w:tcPr>
            <w:tcW w:w="2551" w:type="dxa"/>
            <w:vAlign w:val="center"/>
          </w:tcPr>
          <w:p w14:paraId="1F9AC797">
            <w:pPr>
              <w:pStyle w:val="15"/>
            </w:pPr>
            <w:r>
              <w:t>1062.09</w:t>
            </w:r>
          </w:p>
        </w:tc>
      </w:tr>
      <w:tr w14:paraId="28E0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32D7">
            <w:pPr>
              <w:pStyle w:val="13"/>
            </w:pPr>
            <w:r>
              <w:t>2</w:t>
            </w:r>
          </w:p>
        </w:tc>
        <w:tc>
          <w:tcPr>
            <w:tcW w:w="1191" w:type="dxa"/>
            <w:vAlign w:val="center"/>
          </w:tcPr>
          <w:p w14:paraId="6F41B8A0">
            <w:pPr>
              <w:pStyle w:val="12"/>
            </w:pPr>
            <w:r>
              <w:t>205</w:t>
            </w:r>
          </w:p>
        </w:tc>
        <w:tc>
          <w:tcPr>
            <w:tcW w:w="4535" w:type="dxa"/>
            <w:vAlign w:val="center"/>
          </w:tcPr>
          <w:p w14:paraId="6E85B351">
            <w:pPr>
              <w:pStyle w:val="12"/>
            </w:pPr>
            <w:r>
              <w:t>教育支出</w:t>
            </w:r>
          </w:p>
        </w:tc>
        <w:tc>
          <w:tcPr>
            <w:tcW w:w="2551" w:type="dxa"/>
            <w:vAlign w:val="center"/>
          </w:tcPr>
          <w:p w14:paraId="6BAB1182">
            <w:pPr>
              <w:pStyle w:val="11"/>
            </w:pPr>
            <w:r>
              <w:t>5234.87</w:t>
            </w:r>
          </w:p>
        </w:tc>
        <w:tc>
          <w:tcPr>
            <w:tcW w:w="2551" w:type="dxa"/>
            <w:vAlign w:val="center"/>
          </w:tcPr>
          <w:p w14:paraId="1E904331">
            <w:pPr>
              <w:pStyle w:val="11"/>
            </w:pPr>
            <w:r>
              <w:t>4172.77</w:t>
            </w:r>
          </w:p>
        </w:tc>
        <w:tc>
          <w:tcPr>
            <w:tcW w:w="2551" w:type="dxa"/>
            <w:vAlign w:val="center"/>
          </w:tcPr>
          <w:p w14:paraId="66137087">
            <w:pPr>
              <w:pStyle w:val="11"/>
            </w:pPr>
            <w:r>
              <w:t>1062.09</w:t>
            </w:r>
          </w:p>
        </w:tc>
      </w:tr>
      <w:tr w14:paraId="32EC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D8CDC">
            <w:pPr>
              <w:pStyle w:val="13"/>
            </w:pPr>
            <w:r>
              <w:t>3</w:t>
            </w:r>
          </w:p>
        </w:tc>
        <w:tc>
          <w:tcPr>
            <w:tcW w:w="1191" w:type="dxa"/>
            <w:vAlign w:val="center"/>
          </w:tcPr>
          <w:p w14:paraId="1465DFFE">
            <w:pPr>
              <w:pStyle w:val="12"/>
            </w:pPr>
            <w:r>
              <w:t>20502</w:t>
            </w:r>
          </w:p>
        </w:tc>
        <w:tc>
          <w:tcPr>
            <w:tcW w:w="4535" w:type="dxa"/>
            <w:vAlign w:val="center"/>
          </w:tcPr>
          <w:p w14:paraId="662830CB">
            <w:pPr>
              <w:pStyle w:val="12"/>
            </w:pPr>
            <w:r>
              <w:t>普通教育</w:t>
            </w:r>
          </w:p>
        </w:tc>
        <w:tc>
          <w:tcPr>
            <w:tcW w:w="2551" w:type="dxa"/>
            <w:vAlign w:val="center"/>
          </w:tcPr>
          <w:p w14:paraId="7C7495B4">
            <w:pPr>
              <w:pStyle w:val="11"/>
            </w:pPr>
            <w:r>
              <w:t>5234.87</w:t>
            </w:r>
          </w:p>
        </w:tc>
        <w:tc>
          <w:tcPr>
            <w:tcW w:w="2551" w:type="dxa"/>
            <w:vAlign w:val="center"/>
          </w:tcPr>
          <w:p w14:paraId="57598062">
            <w:pPr>
              <w:pStyle w:val="11"/>
            </w:pPr>
            <w:r>
              <w:t>4172.77</w:t>
            </w:r>
          </w:p>
        </w:tc>
        <w:tc>
          <w:tcPr>
            <w:tcW w:w="2551" w:type="dxa"/>
            <w:vAlign w:val="center"/>
          </w:tcPr>
          <w:p w14:paraId="323317CF">
            <w:pPr>
              <w:pStyle w:val="11"/>
            </w:pPr>
            <w:r>
              <w:t>1062.09</w:t>
            </w:r>
          </w:p>
        </w:tc>
      </w:tr>
      <w:tr w14:paraId="17A0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FE940">
            <w:pPr>
              <w:pStyle w:val="13"/>
            </w:pPr>
            <w:r>
              <w:t>4</w:t>
            </w:r>
          </w:p>
        </w:tc>
        <w:tc>
          <w:tcPr>
            <w:tcW w:w="1191" w:type="dxa"/>
            <w:vAlign w:val="center"/>
          </w:tcPr>
          <w:p w14:paraId="359940AD">
            <w:pPr>
              <w:pStyle w:val="12"/>
            </w:pPr>
            <w:r>
              <w:t>2050203</w:t>
            </w:r>
          </w:p>
        </w:tc>
        <w:tc>
          <w:tcPr>
            <w:tcW w:w="4535" w:type="dxa"/>
            <w:vAlign w:val="center"/>
          </w:tcPr>
          <w:p w14:paraId="334C8B72">
            <w:pPr>
              <w:pStyle w:val="12"/>
            </w:pPr>
            <w:r>
              <w:t>初中教育</w:t>
            </w:r>
          </w:p>
        </w:tc>
        <w:tc>
          <w:tcPr>
            <w:tcW w:w="2551" w:type="dxa"/>
            <w:vAlign w:val="center"/>
          </w:tcPr>
          <w:p w14:paraId="7714378D">
            <w:pPr>
              <w:pStyle w:val="11"/>
            </w:pPr>
            <w:r>
              <w:t>129.22</w:t>
            </w:r>
          </w:p>
        </w:tc>
        <w:tc>
          <w:tcPr>
            <w:tcW w:w="2551" w:type="dxa"/>
            <w:vAlign w:val="center"/>
          </w:tcPr>
          <w:p w14:paraId="59644D78">
            <w:pPr>
              <w:pStyle w:val="11"/>
            </w:pPr>
          </w:p>
        </w:tc>
        <w:tc>
          <w:tcPr>
            <w:tcW w:w="2551" w:type="dxa"/>
            <w:vAlign w:val="center"/>
          </w:tcPr>
          <w:p w14:paraId="51A0AB29">
            <w:pPr>
              <w:pStyle w:val="11"/>
            </w:pPr>
            <w:r>
              <w:t>129.22</w:t>
            </w:r>
          </w:p>
        </w:tc>
      </w:tr>
      <w:tr w14:paraId="4EC7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40851">
            <w:pPr>
              <w:pStyle w:val="13"/>
            </w:pPr>
            <w:r>
              <w:t>5</w:t>
            </w:r>
          </w:p>
        </w:tc>
        <w:tc>
          <w:tcPr>
            <w:tcW w:w="1191" w:type="dxa"/>
            <w:vAlign w:val="center"/>
          </w:tcPr>
          <w:p w14:paraId="58F76200">
            <w:pPr>
              <w:pStyle w:val="12"/>
            </w:pPr>
            <w:r>
              <w:t>2050204</w:t>
            </w:r>
          </w:p>
        </w:tc>
        <w:tc>
          <w:tcPr>
            <w:tcW w:w="4535" w:type="dxa"/>
            <w:vAlign w:val="center"/>
          </w:tcPr>
          <w:p w14:paraId="5D70C744">
            <w:pPr>
              <w:pStyle w:val="12"/>
            </w:pPr>
            <w:r>
              <w:t>高中教育</w:t>
            </w:r>
          </w:p>
        </w:tc>
        <w:tc>
          <w:tcPr>
            <w:tcW w:w="2551" w:type="dxa"/>
            <w:vAlign w:val="center"/>
          </w:tcPr>
          <w:p w14:paraId="2352DFF8">
            <w:pPr>
              <w:pStyle w:val="11"/>
            </w:pPr>
            <w:r>
              <w:t>5105.65</w:t>
            </w:r>
          </w:p>
        </w:tc>
        <w:tc>
          <w:tcPr>
            <w:tcW w:w="2551" w:type="dxa"/>
            <w:vAlign w:val="center"/>
          </w:tcPr>
          <w:p w14:paraId="712039B7">
            <w:pPr>
              <w:pStyle w:val="11"/>
            </w:pPr>
            <w:r>
              <w:t>4172.77</w:t>
            </w:r>
          </w:p>
        </w:tc>
        <w:tc>
          <w:tcPr>
            <w:tcW w:w="2551" w:type="dxa"/>
            <w:vAlign w:val="center"/>
          </w:tcPr>
          <w:p w14:paraId="3899DEFD">
            <w:pPr>
              <w:pStyle w:val="11"/>
            </w:pPr>
            <w:r>
              <w:t>932.87</w:t>
            </w:r>
          </w:p>
        </w:tc>
      </w:tr>
      <w:tr w14:paraId="0873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9F34D">
            <w:pPr>
              <w:pStyle w:val="13"/>
            </w:pPr>
            <w:r>
              <w:t>6</w:t>
            </w:r>
          </w:p>
        </w:tc>
        <w:tc>
          <w:tcPr>
            <w:tcW w:w="1191" w:type="dxa"/>
            <w:vAlign w:val="center"/>
          </w:tcPr>
          <w:p w14:paraId="26133CBF">
            <w:pPr>
              <w:pStyle w:val="12"/>
            </w:pPr>
            <w:r>
              <w:t>208</w:t>
            </w:r>
          </w:p>
        </w:tc>
        <w:tc>
          <w:tcPr>
            <w:tcW w:w="4535" w:type="dxa"/>
            <w:vAlign w:val="center"/>
          </w:tcPr>
          <w:p w14:paraId="0C1669FC">
            <w:pPr>
              <w:pStyle w:val="12"/>
            </w:pPr>
            <w:r>
              <w:t>社会保障和就业支出</w:t>
            </w:r>
          </w:p>
        </w:tc>
        <w:tc>
          <w:tcPr>
            <w:tcW w:w="2551" w:type="dxa"/>
            <w:vAlign w:val="center"/>
          </w:tcPr>
          <w:p w14:paraId="0EA12E3F">
            <w:pPr>
              <w:pStyle w:val="11"/>
            </w:pPr>
            <w:r>
              <w:t>15.53</w:t>
            </w:r>
          </w:p>
        </w:tc>
        <w:tc>
          <w:tcPr>
            <w:tcW w:w="2551" w:type="dxa"/>
            <w:vAlign w:val="center"/>
          </w:tcPr>
          <w:p w14:paraId="1C0DBC91">
            <w:pPr>
              <w:pStyle w:val="11"/>
            </w:pPr>
            <w:r>
              <w:t>15.53</w:t>
            </w:r>
          </w:p>
        </w:tc>
        <w:tc>
          <w:tcPr>
            <w:tcW w:w="2551" w:type="dxa"/>
            <w:vAlign w:val="center"/>
          </w:tcPr>
          <w:p w14:paraId="024BA4FE">
            <w:pPr>
              <w:pStyle w:val="11"/>
            </w:pPr>
          </w:p>
        </w:tc>
      </w:tr>
      <w:tr w14:paraId="6A4E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9C62A">
            <w:pPr>
              <w:pStyle w:val="13"/>
            </w:pPr>
            <w:r>
              <w:t>7</w:t>
            </w:r>
          </w:p>
        </w:tc>
        <w:tc>
          <w:tcPr>
            <w:tcW w:w="1191" w:type="dxa"/>
            <w:vAlign w:val="center"/>
          </w:tcPr>
          <w:p w14:paraId="4D9D2EB3">
            <w:pPr>
              <w:pStyle w:val="12"/>
            </w:pPr>
            <w:r>
              <w:t>20805</w:t>
            </w:r>
          </w:p>
        </w:tc>
        <w:tc>
          <w:tcPr>
            <w:tcW w:w="4535" w:type="dxa"/>
            <w:vAlign w:val="center"/>
          </w:tcPr>
          <w:p w14:paraId="47E98C77">
            <w:pPr>
              <w:pStyle w:val="12"/>
            </w:pPr>
            <w:r>
              <w:t>行政事业单位养老支出</w:t>
            </w:r>
          </w:p>
        </w:tc>
        <w:tc>
          <w:tcPr>
            <w:tcW w:w="2551" w:type="dxa"/>
            <w:vAlign w:val="center"/>
          </w:tcPr>
          <w:p w14:paraId="1C705E22">
            <w:pPr>
              <w:pStyle w:val="11"/>
            </w:pPr>
            <w:r>
              <w:t>15.53</w:t>
            </w:r>
          </w:p>
        </w:tc>
        <w:tc>
          <w:tcPr>
            <w:tcW w:w="2551" w:type="dxa"/>
            <w:vAlign w:val="center"/>
          </w:tcPr>
          <w:p w14:paraId="006EBC55">
            <w:pPr>
              <w:pStyle w:val="11"/>
            </w:pPr>
            <w:r>
              <w:t>15.53</w:t>
            </w:r>
          </w:p>
        </w:tc>
        <w:tc>
          <w:tcPr>
            <w:tcW w:w="2551" w:type="dxa"/>
            <w:vAlign w:val="center"/>
          </w:tcPr>
          <w:p w14:paraId="328B44B5">
            <w:pPr>
              <w:pStyle w:val="11"/>
            </w:pPr>
          </w:p>
        </w:tc>
      </w:tr>
      <w:tr w14:paraId="36FC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1F20">
            <w:pPr>
              <w:pStyle w:val="13"/>
            </w:pPr>
            <w:r>
              <w:t>8</w:t>
            </w:r>
          </w:p>
        </w:tc>
        <w:tc>
          <w:tcPr>
            <w:tcW w:w="1191" w:type="dxa"/>
            <w:vAlign w:val="center"/>
          </w:tcPr>
          <w:p w14:paraId="3B21F1D0">
            <w:pPr>
              <w:pStyle w:val="12"/>
            </w:pPr>
            <w:r>
              <w:t>2080502</w:t>
            </w:r>
          </w:p>
        </w:tc>
        <w:tc>
          <w:tcPr>
            <w:tcW w:w="4535" w:type="dxa"/>
            <w:vAlign w:val="center"/>
          </w:tcPr>
          <w:p w14:paraId="7091A1B2">
            <w:pPr>
              <w:pStyle w:val="12"/>
            </w:pPr>
            <w:r>
              <w:t>事业单位离退休</w:t>
            </w:r>
          </w:p>
        </w:tc>
        <w:tc>
          <w:tcPr>
            <w:tcW w:w="2551" w:type="dxa"/>
            <w:vAlign w:val="center"/>
          </w:tcPr>
          <w:p w14:paraId="435BC80B">
            <w:pPr>
              <w:pStyle w:val="11"/>
            </w:pPr>
            <w:r>
              <w:t>15.53</w:t>
            </w:r>
          </w:p>
        </w:tc>
        <w:tc>
          <w:tcPr>
            <w:tcW w:w="2551" w:type="dxa"/>
            <w:vAlign w:val="center"/>
          </w:tcPr>
          <w:p w14:paraId="30240F14">
            <w:pPr>
              <w:pStyle w:val="11"/>
            </w:pPr>
            <w:r>
              <w:t>15.53</w:t>
            </w:r>
          </w:p>
        </w:tc>
        <w:tc>
          <w:tcPr>
            <w:tcW w:w="2551" w:type="dxa"/>
            <w:vAlign w:val="center"/>
          </w:tcPr>
          <w:p w14:paraId="3C7E42AD">
            <w:pPr>
              <w:pStyle w:val="11"/>
            </w:pPr>
          </w:p>
        </w:tc>
      </w:tr>
    </w:tbl>
    <w:p w14:paraId="7D5DFF3E">
      <w:pPr>
        <w:sectPr>
          <w:pgSz w:w="16840" w:h="11900" w:orient="landscape"/>
          <w:pgMar w:top="1361" w:right="1020" w:bottom="1134" w:left="1020" w:header="720" w:footer="720" w:gutter="0"/>
          <w:cols w:space="720" w:num="1"/>
        </w:sectPr>
      </w:pPr>
    </w:p>
    <w:p w14:paraId="7FD0A2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A2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11AD43">
            <w:pPr>
              <w:pStyle w:val="9"/>
            </w:pPr>
            <w:r>
              <w:t>360003河北隆尧第一中学</w:t>
            </w:r>
          </w:p>
        </w:tc>
        <w:tc>
          <w:tcPr>
            <w:tcW w:w="2551" w:type="dxa"/>
            <w:tcBorders>
              <w:top w:val="single" w:color="FFFFFF" w:sz="6" w:space="0"/>
              <w:left w:val="single" w:color="FFFFFF" w:sz="6" w:space="0"/>
              <w:right w:val="single" w:color="FFFFFF" w:sz="6" w:space="0"/>
            </w:tcBorders>
            <w:vAlign w:val="center"/>
          </w:tcPr>
          <w:p w14:paraId="0688B8F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FBE2AE">
            <w:pPr>
              <w:pStyle w:val="7"/>
            </w:pPr>
            <w:r>
              <w:t>单位：万元</w:t>
            </w:r>
          </w:p>
        </w:tc>
      </w:tr>
      <w:tr w14:paraId="42B6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BE8928">
            <w:pPr>
              <w:pStyle w:val="10"/>
            </w:pPr>
            <w:r>
              <w:t>序号</w:t>
            </w:r>
          </w:p>
        </w:tc>
        <w:tc>
          <w:tcPr>
            <w:tcW w:w="5726" w:type="dxa"/>
            <w:gridSpan w:val="2"/>
            <w:vAlign w:val="center"/>
          </w:tcPr>
          <w:p w14:paraId="651D9CD5">
            <w:pPr>
              <w:pStyle w:val="10"/>
            </w:pPr>
            <w:r>
              <w:t>支出部门经济分类科目</w:t>
            </w:r>
          </w:p>
        </w:tc>
        <w:tc>
          <w:tcPr>
            <w:tcW w:w="7653" w:type="dxa"/>
            <w:gridSpan w:val="3"/>
            <w:vAlign w:val="center"/>
          </w:tcPr>
          <w:p w14:paraId="2B0090E6">
            <w:pPr>
              <w:pStyle w:val="10"/>
            </w:pPr>
            <w:r>
              <w:t>一般公共预算基本支出</w:t>
            </w:r>
          </w:p>
        </w:tc>
      </w:tr>
      <w:tr w14:paraId="24C0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004DE"/>
        </w:tc>
        <w:tc>
          <w:tcPr>
            <w:tcW w:w="1191" w:type="dxa"/>
            <w:vAlign w:val="center"/>
          </w:tcPr>
          <w:p w14:paraId="70856172">
            <w:pPr>
              <w:pStyle w:val="10"/>
            </w:pPr>
            <w:r>
              <w:t>科目编码</w:t>
            </w:r>
          </w:p>
        </w:tc>
        <w:tc>
          <w:tcPr>
            <w:tcW w:w="4535" w:type="dxa"/>
            <w:vAlign w:val="center"/>
          </w:tcPr>
          <w:p w14:paraId="48028C02">
            <w:pPr>
              <w:pStyle w:val="10"/>
            </w:pPr>
            <w:r>
              <w:t>科目名称</w:t>
            </w:r>
          </w:p>
        </w:tc>
        <w:tc>
          <w:tcPr>
            <w:tcW w:w="2551" w:type="dxa"/>
            <w:vAlign w:val="center"/>
          </w:tcPr>
          <w:p w14:paraId="49F99E06">
            <w:pPr>
              <w:pStyle w:val="10"/>
            </w:pPr>
            <w:r>
              <w:t>合计</w:t>
            </w:r>
          </w:p>
        </w:tc>
        <w:tc>
          <w:tcPr>
            <w:tcW w:w="2551" w:type="dxa"/>
            <w:vAlign w:val="center"/>
          </w:tcPr>
          <w:p w14:paraId="4B511487">
            <w:pPr>
              <w:pStyle w:val="10"/>
            </w:pPr>
            <w:r>
              <w:t>人员经费</w:t>
            </w:r>
          </w:p>
        </w:tc>
        <w:tc>
          <w:tcPr>
            <w:tcW w:w="2551" w:type="dxa"/>
            <w:vAlign w:val="center"/>
          </w:tcPr>
          <w:p w14:paraId="737FD6CA">
            <w:pPr>
              <w:pStyle w:val="10"/>
            </w:pPr>
            <w:r>
              <w:t>公用经费</w:t>
            </w:r>
          </w:p>
        </w:tc>
      </w:tr>
      <w:tr w14:paraId="3803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0426A6">
            <w:pPr>
              <w:pStyle w:val="10"/>
            </w:pPr>
            <w:r>
              <w:t>栏次</w:t>
            </w:r>
          </w:p>
        </w:tc>
        <w:tc>
          <w:tcPr>
            <w:tcW w:w="1191" w:type="dxa"/>
            <w:vAlign w:val="center"/>
          </w:tcPr>
          <w:p w14:paraId="4621D091">
            <w:pPr>
              <w:pStyle w:val="10"/>
            </w:pPr>
            <w:r>
              <w:t>1</w:t>
            </w:r>
          </w:p>
        </w:tc>
        <w:tc>
          <w:tcPr>
            <w:tcW w:w="4535" w:type="dxa"/>
            <w:vAlign w:val="center"/>
          </w:tcPr>
          <w:p w14:paraId="5A56CF00">
            <w:pPr>
              <w:pStyle w:val="10"/>
            </w:pPr>
            <w:r>
              <w:t>2</w:t>
            </w:r>
          </w:p>
        </w:tc>
        <w:tc>
          <w:tcPr>
            <w:tcW w:w="2551" w:type="dxa"/>
            <w:vAlign w:val="center"/>
          </w:tcPr>
          <w:p w14:paraId="055E9657">
            <w:pPr>
              <w:pStyle w:val="10"/>
            </w:pPr>
            <w:r>
              <w:t>3</w:t>
            </w:r>
          </w:p>
        </w:tc>
        <w:tc>
          <w:tcPr>
            <w:tcW w:w="2551" w:type="dxa"/>
            <w:vAlign w:val="center"/>
          </w:tcPr>
          <w:p w14:paraId="2F87EE4A">
            <w:pPr>
              <w:pStyle w:val="10"/>
            </w:pPr>
            <w:r>
              <w:t>4</w:t>
            </w:r>
          </w:p>
        </w:tc>
        <w:tc>
          <w:tcPr>
            <w:tcW w:w="2551" w:type="dxa"/>
            <w:vAlign w:val="center"/>
          </w:tcPr>
          <w:p w14:paraId="1D4A37A4">
            <w:pPr>
              <w:pStyle w:val="10"/>
            </w:pPr>
            <w:r>
              <w:t>5</w:t>
            </w:r>
          </w:p>
        </w:tc>
      </w:tr>
      <w:tr w14:paraId="1594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C2EDA">
            <w:pPr>
              <w:pStyle w:val="13"/>
            </w:pPr>
            <w:r>
              <w:t>1</w:t>
            </w:r>
          </w:p>
        </w:tc>
        <w:tc>
          <w:tcPr>
            <w:tcW w:w="1191" w:type="dxa"/>
            <w:vAlign w:val="center"/>
          </w:tcPr>
          <w:p w14:paraId="4D05284C">
            <w:pPr>
              <w:pStyle w:val="16"/>
            </w:pPr>
          </w:p>
        </w:tc>
        <w:tc>
          <w:tcPr>
            <w:tcW w:w="4535" w:type="dxa"/>
            <w:vAlign w:val="center"/>
          </w:tcPr>
          <w:p w14:paraId="4826E0A5">
            <w:pPr>
              <w:pStyle w:val="14"/>
            </w:pPr>
            <w:r>
              <w:t>合计</w:t>
            </w:r>
          </w:p>
        </w:tc>
        <w:tc>
          <w:tcPr>
            <w:tcW w:w="2551" w:type="dxa"/>
            <w:vAlign w:val="center"/>
          </w:tcPr>
          <w:p w14:paraId="73FBF78C">
            <w:pPr>
              <w:pStyle w:val="15"/>
            </w:pPr>
            <w:r>
              <w:t>4188.31</w:t>
            </w:r>
          </w:p>
        </w:tc>
        <w:tc>
          <w:tcPr>
            <w:tcW w:w="2551" w:type="dxa"/>
            <w:vAlign w:val="center"/>
          </w:tcPr>
          <w:p w14:paraId="2F6798FB">
            <w:pPr>
              <w:pStyle w:val="15"/>
            </w:pPr>
            <w:r>
              <w:t>4188.31</w:t>
            </w:r>
          </w:p>
        </w:tc>
        <w:tc>
          <w:tcPr>
            <w:tcW w:w="2551" w:type="dxa"/>
            <w:vAlign w:val="center"/>
          </w:tcPr>
          <w:p w14:paraId="77989116">
            <w:pPr>
              <w:pStyle w:val="15"/>
            </w:pPr>
          </w:p>
        </w:tc>
      </w:tr>
      <w:tr w14:paraId="014A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6368A">
            <w:pPr>
              <w:pStyle w:val="13"/>
            </w:pPr>
            <w:r>
              <w:t>2</w:t>
            </w:r>
          </w:p>
        </w:tc>
        <w:tc>
          <w:tcPr>
            <w:tcW w:w="1191" w:type="dxa"/>
            <w:vAlign w:val="center"/>
          </w:tcPr>
          <w:p w14:paraId="695D9B71">
            <w:pPr>
              <w:pStyle w:val="12"/>
            </w:pPr>
            <w:r>
              <w:t>301</w:t>
            </w:r>
          </w:p>
        </w:tc>
        <w:tc>
          <w:tcPr>
            <w:tcW w:w="4535" w:type="dxa"/>
            <w:vAlign w:val="center"/>
          </w:tcPr>
          <w:p w14:paraId="1CAAF901">
            <w:pPr>
              <w:pStyle w:val="12"/>
            </w:pPr>
            <w:r>
              <w:t>工资福利支出</w:t>
            </w:r>
          </w:p>
        </w:tc>
        <w:tc>
          <w:tcPr>
            <w:tcW w:w="2551" w:type="dxa"/>
            <w:vAlign w:val="center"/>
          </w:tcPr>
          <w:p w14:paraId="2C4C886D">
            <w:pPr>
              <w:pStyle w:val="11"/>
            </w:pPr>
            <w:r>
              <w:t>4042.77</w:t>
            </w:r>
          </w:p>
        </w:tc>
        <w:tc>
          <w:tcPr>
            <w:tcW w:w="2551" w:type="dxa"/>
            <w:vAlign w:val="center"/>
          </w:tcPr>
          <w:p w14:paraId="29423202">
            <w:pPr>
              <w:pStyle w:val="11"/>
            </w:pPr>
            <w:r>
              <w:t>4042.77</w:t>
            </w:r>
          </w:p>
        </w:tc>
        <w:tc>
          <w:tcPr>
            <w:tcW w:w="2551" w:type="dxa"/>
            <w:vAlign w:val="center"/>
          </w:tcPr>
          <w:p w14:paraId="2221E2A0">
            <w:pPr>
              <w:pStyle w:val="11"/>
            </w:pPr>
          </w:p>
        </w:tc>
      </w:tr>
      <w:tr w14:paraId="2F2B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4406">
            <w:pPr>
              <w:pStyle w:val="13"/>
            </w:pPr>
            <w:r>
              <w:t>3</w:t>
            </w:r>
          </w:p>
        </w:tc>
        <w:tc>
          <w:tcPr>
            <w:tcW w:w="1191" w:type="dxa"/>
            <w:vAlign w:val="center"/>
          </w:tcPr>
          <w:p w14:paraId="43971C43">
            <w:pPr>
              <w:pStyle w:val="12"/>
            </w:pPr>
            <w:r>
              <w:t>30101</w:t>
            </w:r>
          </w:p>
        </w:tc>
        <w:tc>
          <w:tcPr>
            <w:tcW w:w="4535" w:type="dxa"/>
            <w:vAlign w:val="center"/>
          </w:tcPr>
          <w:p w14:paraId="0373FA0F">
            <w:pPr>
              <w:pStyle w:val="12"/>
            </w:pPr>
            <w:r>
              <w:t>基本工资</w:t>
            </w:r>
          </w:p>
        </w:tc>
        <w:tc>
          <w:tcPr>
            <w:tcW w:w="2551" w:type="dxa"/>
            <w:vAlign w:val="center"/>
          </w:tcPr>
          <w:p w14:paraId="6B312D7A">
            <w:pPr>
              <w:pStyle w:val="11"/>
            </w:pPr>
            <w:r>
              <w:t>1924.73</w:t>
            </w:r>
          </w:p>
        </w:tc>
        <w:tc>
          <w:tcPr>
            <w:tcW w:w="2551" w:type="dxa"/>
            <w:vAlign w:val="center"/>
          </w:tcPr>
          <w:p w14:paraId="7A2333FA">
            <w:pPr>
              <w:pStyle w:val="11"/>
            </w:pPr>
            <w:r>
              <w:t>1924.73</w:t>
            </w:r>
          </w:p>
        </w:tc>
        <w:tc>
          <w:tcPr>
            <w:tcW w:w="2551" w:type="dxa"/>
            <w:vAlign w:val="center"/>
          </w:tcPr>
          <w:p w14:paraId="3808BB4C">
            <w:pPr>
              <w:pStyle w:val="11"/>
            </w:pPr>
          </w:p>
        </w:tc>
      </w:tr>
      <w:tr w14:paraId="440B4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F7B3">
            <w:pPr>
              <w:pStyle w:val="13"/>
            </w:pPr>
            <w:r>
              <w:t>4</w:t>
            </w:r>
          </w:p>
        </w:tc>
        <w:tc>
          <w:tcPr>
            <w:tcW w:w="1191" w:type="dxa"/>
            <w:vAlign w:val="center"/>
          </w:tcPr>
          <w:p w14:paraId="03F59426">
            <w:pPr>
              <w:pStyle w:val="12"/>
            </w:pPr>
            <w:r>
              <w:t>30102</w:t>
            </w:r>
          </w:p>
        </w:tc>
        <w:tc>
          <w:tcPr>
            <w:tcW w:w="4535" w:type="dxa"/>
            <w:vAlign w:val="center"/>
          </w:tcPr>
          <w:p w14:paraId="7E466A08">
            <w:pPr>
              <w:pStyle w:val="12"/>
            </w:pPr>
            <w:r>
              <w:t>津贴补贴</w:t>
            </w:r>
          </w:p>
        </w:tc>
        <w:tc>
          <w:tcPr>
            <w:tcW w:w="2551" w:type="dxa"/>
            <w:vAlign w:val="center"/>
          </w:tcPr>
          <w:p w14:paraId="68796A45">
            <w:pPr>
              <w:pStyle w:val="11"/>
            </w:pPr>
            <w:r>
              <w:t>59.92</w:t>
            </w:r>
          </w:p>
        </w:tc>
        <w:tc>
          <w:tcPr>
            <w:tcW w:w="2551" w:type="dxa"/>
            <w:vAlign w:val="center"/>
          </w:tcPr>
          <w:p w14:paraId="0A8800C8">
            <w:pPr>
              <w:pStyle w:val="11"/>
            </w:pPr>
            <w:r>
              <w:t>59.92</w:t>
            </w:r>
          </w:p>
        </w:tc>
        <w:tc>
          <w:tcPr>
            <w:tcW w:w="2551" w:type="dxa"/>
            <w:vAlign w:val="center"/>
          </w:tcPr>
          <w:p w14:paraId="711F6367">
            <w:pPr>
              <w:pStyle w:val="11"/>
            </w:pPr>
          </w:p>
        </w:tc>
      </w:tr>
      <w:tr w14:paraId="3A3F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D103">
            <w:pPr>
              <w:pStyle w:val="13"/>
            </w:pPr>
            <w:r>
              <w:t>5</w:t>
            </w:r>
          </w:p>
        </w:tc>
        <w:tc>
          <w:tcPr>
            <w:tcW w:w="1191" w:type="dxa"/>
            <w:vAlign w:val="center"/>
          </w:tcPr>
          <w:p w14:paraId="724D16F7">
            <w:pPr>
              <w:pStyle w:val="12"/>
            </w:pPr>
            <w:r>
              <w:t>30107</w:t>
            </w:r>
          </w:p>
        </w:tc>
        <w:tc>
          <w:tcPr>
            <w:tcW w:w="4535" w:type="dxa"/>
            <w:vAlign w:val="center"/>
          </w:tcPr>
          <w:p w14:paraId="7BC11DF7">
            <w:pPr>
              <w:pStyle w:val="12"/>
            </w:pPr>
            <w:r>
              <w:t>绩效工资</w:t>
            </w:r>
          </w:p>
        </w:tc>
        <w:tc>
          <w:tcPr>
            <w:tcW w:w="2551" w:type="dxa"/>
            <w:vAlign w:val="center"/>
          </w:tcPr>
          <w:p w14:paraId="2D8D4389">
            <w:pPr>
              <w:pStyle w:val="11"/>
            </w:pPr>
            <w:r>
              <w:t>1103.53</w:t>
            </w:r>
          </w:p>
        </w:tc>
        <w:tc>
          <w:tcPr>
            <w:tcW w:w="2551" w:type="dxa"/>
            <w:vAlign w:val="center"/>
          </w:tcPr>
          <w:p w14:paraId="19F551DF">
            <w:pPr>
              <w:pStyle w:val="11"/>
            </w:pPr>
            <w:r>
              <w:t>1103.53</w:t>
            </w:r>
          </w:p>
        </w:tc>
        <w:tc>
          <w:tcPr>
            <w:tcW w:w="2551" w:type="dxa"/>
            <w:vAlign w:val="center"/>
          </w:tcPr>
          <w:p w14:paraId="48C11BF2">
            <w:pPr>
              <w:pStyle w:val="11"/>
            </w:pPr>
          </w:p>
        </w:tc>
      </w:tr>
      <w:tr w14:paraId="0CB8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81C4">
            <w:pPr>
              <w:pStyle w:val="13"/>
            </w:pPr>
            <w:r>
              <w:t>6</w:t>
            </w:r>
          </w:p>
        </w:tc>
        <w:tc>
          <w:tcPr>
            <w:tcW w:w="1191" w:type="dxa"/>
            <w:vAlign w:val="center"/>
          </w:tcPr>
          <w:p w14:paraId="57448919">
            <w:pPr>
              <w:pStyle w:val="12"/>
            </w:pPr>
            <w:r>
              <w:t>30108</w:t>
            </w:r>
          </w:p>
        </w:tc>
        <w:tc>
          <w:tcPr>
            <w:tcW w:w="4535" w:type="dxa"/>
            <w:vAlign w:val="center"/>
          </w:tcPr>
          <w:p w14:paraId="04796BEF">
            <w:pPr>
              <w:pStyle w:val="12"/>
            </w:pPr>
            <w:r>
              <w:t>机关事业单位基本养老保险缴费</w:t>
            </w:r>
          </w:p>
        </w:tc>
        <w:tc>
          <w:tcPr>
            <w:tcW w:w="2551" w:type="dxa"/>
            <w:vAlign w:val="center"/>
          </w:tcPr>
          <w:p w14:paraId="7AAFEF99">
            <w:pPr>
              <w:pStyle w:val="11"/>
            </w:pPr>
            <w:r>
              <w:t>420.01</w:t>
            </w:r>
          </w:p>
        </w:tc>
        <w:tc>
          <w:tcPr>
            <w:tcW w:w="2551" w:type="dxa"/>
            <w:vAlign w:val="center"/>
          </w:tcPr>
          <w:p w14:paraId="4040FDFD">
            <w:pPr>
              <w:pStyle w:val="11"/>
            </w:pPr>
            <w:r>
              <w:t>420.01</w:t>
            </w:r>
          </w:p>
        </w:tc>
        <w:tc>
          <w:tcPr>
            <w:tcW w:w="2551" w:type="dxa"/>
            <w:vAlign w:val="center"/>
          </w:tcPr>
          <w:p w14:paraId="62B12007">
            <w:pPr>
              <w:pStyle w:val="11"/>
            </w:pPr>
          </w:p>
        </w:tc>
      </w:tr>
      <w:tr w14:paraId="72C0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BCBAD">
            <w:pPr>
              <w:pStyle w:val="13"/>
            </w:pPr>
            <w:r>
              <w:t>7</w:t>
            </w:r>
          </w:p>
        </w:tc>
        <w:tc>
          <w:tcPr>
            <w:tcW w:w="1191" w:type="dxa"/>
            <w:vAlign w:val="center"/>
          </w:tcPr>
          <w:p w14:paraId="5A6F18E7">
            <w:pPr>
              <w:pStyle w:val="12"/>
            </w:pPr>
            <w:r>
              <w:t>30110</w:t>
            </w:r>
          </w:p>
        </w:tc>
        <w:tc>
          <w:tcPr>
            <w:tcW w:w="4535" w:type="dxa"/>
            <w:vAlign w:val="center"/>
          </w:tcPr>
          <w:p w14:paraId="3F02A47F">
            <w:pPr>
              <w:pStyle w:val="12"/>
            </w:pPr>
            <w:r>
              <w:t>职工基本医疗保险缴费</w:t>
            </w:r>
          </w:p>
        </w:tc>
        <w:tc>
          <w:tcPr>
            <w:tcW w:w="2551" w:type="dxa"/>
            <w:vAlign w:val="center"/>
          </w:tcPr>
          <w:p w14:paraId="16E33645">
            <w:pPr>
              <w:pStyle w:val="11"/>
            </w:pPr>
            <w:r>
              <w:t>200.48</w:t>
            </w:r>
          </w:p>
        </w:tc>
        <w:tc>
          <w:tcPr>
            <w:tcW w:w="2551" w:type="dxa"/>
            <w:vAlign w:val="center"/>
          </w:tcPr>
          <w:p w14:paraId="622C24FD">
            <w:pPr>
              <w:pStyle w:val="11"/>
            </w:pPr>
            <w:r>
              <w:t>200.48</w:t>
            </w:r>
          </w:p>
        </w:tc>
        <w:tc>
          <w:tcPr>
            <w:tcW w:w="2551" w:type="dxa"/>
            <w:vAlign w:val="center"/>
          </w:tcPr>
          <w:p w14:paraId="35C8BB28">
            <w:pPr>
              <w:pStyle w:val="11"/>
            </w:pPr>
          </w:p>
        </w:tc>
      </w:tr>
      <w:tr w14:paraId="427C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127A7">
            <w:pPr>
              <w:pStyle w:val="13"/>
            </w:pPr>
            <w:r>
              <w:t>8</w:t>
            </w:r>
          </w:p>
        </w:tc>
        <w:tc>
          <w:tcPr>
            <w:tcW w:w="1191" w:type="dxa"/>
            <w:vAlign w:val="center"/>
          </w:tcPr>
          <w:p w14:paraId="7DCA2397">
            <w:pPr>
              <w:pStyle w:val="12"/>
            </w:pPr>
            <w:r>
              <w:t>30112</w:t>
            </w:r>
          </w:p>
        </w:tc>
        <w:tc>
          <w:tcPr>
            <w:tcW w:w="4535" w:type="dxa"/>
            <w:vAlign w:val="center"/>
          </w:tcPr>
          <w:p w14:paraId="5462B003">
            <w:pPr>
              <w:pStyle w:val="12"/>
            </w:pPr>
            <w:r>
              <w:t>其他社会保障缴费</w:t>
            </w:r>
          </w:p>
        </w:tc>
        <w:tc>
          <w:tcPr>
            <w:tcW w:w="2551" w:type="dxa"/>
            <w:vAlign w:val="center"/>
          </w:tcPr>
          <w:p w14:paraId="40FCD0B9">
            <w:pPr>
              <w:pStyle w:val="11"/>
            </w:pPr>
            <w:r>
              <w:t>19.23</w:t>
            </w:r>
          </w:p>
        </w:tc>
        <w:tc>
          <w:tcPr>
            <w:tcW w:w="2551" w:type="dxa"/>
            <w:vAlign w:val="center"/>
          </w:tcPr>
          <w:p w14:paraId="015D8B91">
            <w:pPr>
              <w:pStyle w:val="11"/>
            </w:pPr>
            <w:r>
              <w:t>19.23</w:t>
            </w:r>
          </w:p>
        </w:tc>
        <w:tc>
          <w:tcPr>
            <w:tcW w:w="2551" w:type="dxa"/>
            <w:vAlign w:val="center"/>
          </w:tcPr>
          <w:p w14:paraId="2A912B15">
            <w:pPr>
              <w:pStyle w:val="11"/>
            </w:pPr>
          </w:p>
        </w:tc>
      </w:tr>
      <w:tr w14:paraId="327D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B8EB">
            <w:pPr>
              <w:pStyle w:val="13"/>
            </w:pPr>
            <w:r>
              <w:t>9</w:t>
            </w:r>
          </w:p>
        </w:tc>
        <w:tc>
          <w:tcPr>
            <w:tcW w:w="1191" w:type="dxa"/>
            <w:vAlign w:val="center"/>
          </w:tcPr>
          <w:p w14:paraId="548684CE">
            <w:pPr>
              <w:pStyle w:val="12"/>
            </w:pPr>
            <w:r>
              <w:t>30113</w:t>
            </w:r>
          </w:p>
        </w:tc>
        <w:tc>
          <w:tcPr>
            <w:tcW w:w="4535" w:type="dxa"/>
            <w:vAlign w:val="center"/>
          </w:tcPr>
          <w:p w14:paraId="3600EA19">
            <w:pPr>
              <w:pStyle w:val="12"/>
            </w:pPr>
            <w:r>
              <w:t>住房公积金</w:t>
            </w:r>
          </w:p>
        </w:tc>
        <w:tc>
          <w:tcPr>
            <w:tcW w:w="2551" w:type="dxa"/>
            <w:vAlign w:val="center"/>
          </w:tcPr>
          <w:p w14:paraId="0E5B602A">
            <w:pPr>
              <w:pStyle w:val="11"/>
            </w:pPr>
            <w:r>
              <w:t>314.87</w:t>
            </w:r>
          </w:p>
        </w:tc>
        <w:tc>
          <w:tcPr>
            <w:tcW w:w="2551" w:type="dxa"/>
            <w:vAlign w:val="center"/>
          </w:tcPr>
          <w:p w14:paraId="0690AC12">
            <w:pPr>
              <w:pStyle w:val="11"/>
            </w:pPr>
            <w:r>
              <w:t>314.87</w:t>
            </w:r>
          </w:p>
        </w:tc>
        <w:tc>
          <w:tcPr>
            <w:tcW w:w="2551" w:type="dxa"/>
            <w:vAlign w:val="center"/>
          </w:tcPr>
          <w:p w14:paraId="3A39ADD7">
            <w:pPr>
              <w:pStyle w:val="11"/>
            </w:pPr>
          </w:p>
        </w:tc>
      </w:tr>
      <w:tr w14:paraId="2A84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8C9D4">
            <w:pPr>
              <w:pStyle w:val="13"/>
            </w:pPr>
            <w:r>
              <w:t>10</w:t>
            </w:r>
          </w:p>
        </w:tc>
        <w:tc>
          <w:tcPr>
            <w:tcW w:w="1191" w:type="dxa"/>
            <w:vAlign w:val="center"/>
          </w:tcPr>
          <w:p w14:paraId="6CDEED87">
            <w:pPr>
              <w:pStyle w:val="12"/>
            </w:pPr>
            <w:r>
              <w:t>303</w:t>
            </w:r>
          </w:p>
        </w:tc>
        <w:tc>
          <w:tcPr>
            <w:tcW w:w="4535" w:type="dxa"/>
            <w:vAlign w:val="center"/>
          </w:tcPr>
          <w:p w14:paraId="6D6741C7">
            <w:pPr>
              <w:pStyle w:val="12"/>
            </w:pPr>
            <w:r>
              <w:t>对个人和家庭的补助</w:t>
            </w:r>
          </w:p>
        </w:tc>
        <w:tc>
          <w:tcPr>
            <w:tcW w:w="2551" w:type="dxa"/>
            <w:vAlign w:val="center"/>
          </w:tcPr>
          <w:p w14:paraId="11999BAA">
            <w:pPr>
              <w:pStyle w:val="11"/>
            </w:pPr>
            <w:r>
              <w:t>145.53</w:t>
            </w:r>
          </w:p>
        </w:tc>
        <w:tc>
          <w:tcPr>
            <w:tcW w:w="2551" w:type="dxa"/>
            <w:vAlign w:val="center"/>
          </w:tcPr>
          <w:p w14:paraId="2BC1E1D5">
            <w:pPr>
              <w:pStyle w:val="11"/>
            </w:pPr>
            <w:r>
              <w:t>145.53</w:t>
            </w:r>
          </w:p>
        </w:tc>
        <w:tc>
          <w:tcPr>
            <w:tcW w:w="2551" w:type="dxa"/>
            <w:vAlign w:val="center"/>
          </w:tcPr>
          <w:p w14:paraId="1700F7D1">
            <w:pPr>
              <w:pStyle w:val="11"/>
            </w:pPr>
          </w:p>
        </w:tc>
      </w:tr>
      <w:tr w14:paraId="520A7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46B2E">
            <w:pPr>
              <w:pStyle w:val="13"/>
            </w:pPr>
            <w:r>
              <w:t>11</w:t>
            </w:r>
          </w:p>
        </w:tc>
        <w:tc>
          <w:tcPr>
            <w:tcW w:w="1191" w:type="dxa"/>
            <w:vAlign w:val="center"/>
          </w:tcPr>
          <w:p w14:paraId="3255C16C">
            <w:pPr>
              <w:pStyle w:val="12"/>
            </w:pPr>
            <w:r>
              <w:t>30301</w:t>
            </w:r>
          </w:p>
        </w:tc>
        <w:tc>
          <w:tcPr>
            <w:tcW w:w="4535" w:type="dxa"/>
            <w:vAlign w:val="center"/>
          </w:tcPr>
          <w:p w14:paraId="765361FF">
            <w:pPr>
              <w:pStyle w:val="12"/>
            </w:pPr>
            <w:r>
              <w:t>离休费</w:t>
            </w:r>
          </w:p>
        </w:tc>
        <w:tc>
          <w:tcPr>
            <w:tcW w:w="2551" w:type="dxa"/>
            <w:vAlign w:val="center"/>
          </w:tcPr>
          <w:p w14:paraId="5BD12BC1">
            <w:pPr>
              <w:pStyle w:val="11"/>
            </w:pPr>
            <w:r>
              <w:t>15.53</w:t>
            </w:r>
          </w:p>
        </w:tc>
        <w:tc>
          <w:tcPr>
            <w:tcW w:w="2551" w:type="dxa"/>
            <w:vAlign w:val="center"/>
          </w:tcPr>
          <w:p w14:paraId="47716F26">
            <w:pPr>
              <w:pStyle w:val="11"/>
            </w:pPr>
            <w:r>
              <w:t>15.53</w:t>
            </w:r>
          </w:p>
        </w:tc>
        <w:tc>
          <w:tcPr>
            <w:tcW w:w="2551" w:type="dxa"/>
            <w:vAlign w:val="center"/>
          </w:tcPr>
          <w:p w14:paraId="140B2434">
            <w:pPr>
              <w:pStyle w:val="11"/>
            </w:pPr>
          </w:p>
        </w:tc>
      </w:tr>
      <w:tr w14:paraId="3093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FB664">
            <w:pPr>
              <w:pStyle w:val="13"/>
            </w:pPr>
            <w:r>
              <w:t>12</w:t>
            </w:r>
          </w:p>
        </w:tc>
        <w:tc>
          <w:tcPr>
            <w:tcW w:w="1191" w:type="dxa"/>
            <w:vAlign w:val="center"/>
          </w:tcPr>
          <w:p w14:paraId="0B6BDFA9">
            <w:pPr>
              <w:pStyle w:val="12"/>
            </w:pPr>
            <w:r>
              <w:t>30302</w:t>
            </w:r>
          </w:p>
        </w:tc>
        <w:tc>
          <w:tcPr>
            <w:tcW w:w="4535" w:type="dxa"/>
            <w:vAlign w:val="center"/>
          </w:tcPr>
          <w:p w14:paraId="6600DE95">
            <w:pPr>
              <w:pStyle w:val="12"/>
            </w:pPr>
            <w:r>
              <w:t>退休费</w:t>
            </w:r>
          </w:p>
        </w:tc>
        <w:tc>
          <w:tcPr>
            <w:tcW w:w="2551" w:type="dxa"/>
            <w:vAlign w:val="center"/>
          </w:tcPr>
          <w:p w14:paraId="076C4D65">
            <w:pPr>
              <w:pStyle w:val="11"/>
            </w:pPr>
            <w:r>
              <w:t>123.45</w:t>
            </w:r>
          </w:p>
        </w:tc>
        <w:tc>
          <w:tcPr>
            <w:tcW w:w="2551" w:type="dxa"/>
            <w:vAlign w:val="center"/>
          </w:tcPr>
          <w:p w14:paraId="71771CA7">
            <w:pPr>
              <w:pStyle w:val="11"/>
            </w:pPr>
            <w:r>
              <w:t>123.45</w:t>
            </w:r>
          </w:p>
        </w:tc>
        <w:tc>
          <w:tcPr>
            <w:tcW w:w="2551" w:type="dxa"/>
            <w:vAlign w:val="center"/>
          </w:tcPr>
          <w:p w14:paraId="07421D1C">
            <w:pPr>
              <w:pStyle w:val="11"/>
            </w:pPr>
          </w:p>
        </w:tc>
      </w:tr>
      <w:tr w14:paraId="0DF6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CFED1">
            <w:pPr>
              <w:pStyle w:val="13"/>
            </w:pPr>
            <w:r>
              <w:t>13</w:t>
            </w:r>
          </w:p>
        </w:tc>
        <w:tc>
          <w:tcPr>
            <w:tcW w:w="1191" w:type="dxa"/>
            <w:vAlign w:val="center"/>
          </w:tcPr>
          <w:p w14:paraId="21AF1C26">
            <w:pPr>
              <w:pStyle w:val="12"/>
            </w:pPr>
            <w:r>
              <w:t>30305</w:t>
            </w:r>
          </w:p>
        </w:tc>
        <w:tc>
          <w:tcPr>
            <w:tcW w:w="4535" w:type="dxa"/>
            <w:vAlign w:val="center"/>
          </w:tcPr>
          <w:p w14:paraId="70C328DB">
            <w:pPr>
              <w:pStyle w:val="12"/>
            </w:pPr>
            <w:r>
              <w:t>生活补助</w:t>
            </w:r>
          </w:p>
        </w:tc>
        <w:tc>
          <w:tcPr>
            <w:tcW w:w="2551" w:type="dxa"/>
            <w:vAlign w:val="center"/>
          </w:tcPr>
          <w:p w14:paraId="79B9EB1B">
            <w:pPr>
              <w:pStyle w:val="11"/>
            </w:pPr>
            <w:r>
              <w:t>6.55</w:t>
            </w:r>
          </w:p>
        </w:tc>
        <w:tc>
          <w:tcPr>
            <w:tcW w:w="2551" w:type="dxa"/>
            <w:vAlign w:val="center"/>
          </w:tcPr>
          <w:p w14:paraId="0F70C8AC">
            <w:pPr>
              <w:pStyle w:val="11"/>
            </w:pPr>
            <w:r>
              <w:t>6.55</w:t>
            </w:r>
          </w:p>
        </w:tc>
        <w:tc>
          <w:tcPr>
            <w:tcW w:w="2551" w:type="dxa"/>
            <w:vAlign w:val="center"/>
          </w:tcPr>
          <w:p w14:paraId="66B50855">
            <w:pPr>
              <w:pStyle w:val="11"/>
            </w:pPr>
          </w:p>
        </w:tc>
      </w:tr>
    </w:tbl>
    <w:p w14:paraId="3FE73C47">
      <w:pPr>
        <w:sectPr>
          <w:pgSz w:w="16840" w:h="11900" w:orient="landscape"/>
          <w:pgMar w:top="1361" w:right="1020" w:bottom="1134" w:left="1020" w:header="720" w:footer="720" w:gutter="0"/>
          <w:cols w:space="720" w:num="1"/>
        </w:sectPr>
      </w:pPr>
    </w:p>
    <w:p w14:paraId="762CA1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317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396CC9">
            <w:pPr>
              <w:pStyle w:val="9"/>
            </w:pPr>
            <w:r>
              <w:t>360003河北隆尧第一中学</w:t>
            </w:r>
          </w:p>
        </w:tc>
        <w:tc>
          <w:tcPr>
            <w:tcW w:w="2551" w:type="dxa"/>
            <w:tcBorders>
              <w:top w:val="single" w:color="FFFFFF" w:sz="6" w:space="0"/>
              <w:left w:val="single" w:color="FFFFFF" w:sz="6" w:space="0"/>
              <w:right w:val="single" w:color="FFFFFF" w:sz="6" w:space="0"/>
            </w:tcBorders>
            <w:vAlign w:val="center"/>
          </w:tcPr>
          <w:p w14:paraId="253EFCD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6BC579">
            <w:pPr>
              <w:pStyle w:val="7"/>
            </w:pPr>
            <w:r>
              <w:t>单位：万元</w:t>
            </w:r>
          </w:p>
        </w:tc>
      </w:tr>
      <w:tr w14:paraId="1865E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A3EC5">
            <w:pPr>
              <w:pStyle w:val="10"/>
            </w:pPr>
            <w:r>
              <w:t>序号</w:t>
            </w:r>
          </w:p>
        </w:tc>
        <w:tc>
          <w:tcPr>
            <w:tcW w:w="5726" w:type="dxa"/>
            <w:gridSpan w:val="2"/>
            <w:vAlign w:val="center"/>
          </w:tcPr>
          <w:p w14:paraId="044EC154">
            <w:pPr>
              <w:pStyle w:val="10"/>
            </w:pPr>
            <w:r>
              <w:t>功能分类科目</w:t>
            </w:r>
          </w:p>
        </w:tc>
        <w:tc>
          <w:tcPr>
            <w:tcW w:w="2551" w:type="dxa"/>
            <w:vMerge w:val="restart"/>
            <w:vAlign w:val="center"/>
          </w:tcPr>
          <w:p w14:paraId="0B78EDBF">
            <w:pPr>
              <w:pStyle w:val="10"/>
            </w:pPr>
            <w:r>
              <w:t>合计</w:t>
            </w:r>
          </w:p>
        </w:tc>
        <w:tc>
          <w:tcPr>
            <w:tcW w:w="2551" w:type="dxa"/>
            <w:vMerge w:val="restart"/>
            <w:vAlign w:val="center"/>
          </w:tcPr>
          <w:p w14:paraId="5193B79F">
            <w:pPr>
              <w:pStyle w:val="10"/>
            </w:pPr>
            <w:r>
              <w:t>基本支出</w:t>
            </w:r>
          </w:p>
        </w:tc>
        <w:tc>
          <w:tcPr>
            <w:tcW w:w="2551" w:type="dxa"/>
            <w:vMerge w:val="restart"/>
            <w:vAlign w:val="center"/>
          </w:tcPr>
          <w:p w14:paraId="34FF0E39">
            <w:pPr>
              <w:pStyle w:val="10"/>
            </w:pPr>
            <w:r>
              <w:t>项目支出</w:t>
            </w:r>
          </w:p>
        </w:tc>
      </w:tr>
      <w:tr w14:paraId="0BB4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65864"/>
        </w:tc>
        <w:tc>
          <w:tcPr>
            <w:tcW w:w="1191" w:type="dxa"/>
            <w:vAlign w:val="center"/>
          </w:tcPr>
          <w:p w14:paraId="16A2B44F">
            <w:pPr>
              <w:pStyle w:val="10"/>
            </w:pPr>
            <w:r>
              <w:t>科目编码</w:t>
            </w:r>
          </w:p>
        </w:tc>
        <w:tc>
          <w:tcPr>
            <w:tcW w:w="4535" w:type="dxa"/>
            <w:vAlign w:val="center"/>
          </w:tcPr>
          <w:p w14:paraId="1CFC16BF">
            <w:pPr>
              <w:pStyle w:val="10"/>
            </w:pPr>
            <w:r>
              <w:t>科目名称</w:t>
            </w:r>
          </w:p>
        </w:tc>
        <w:tc>
          <w:tcPr>
            <w:tcW w:w="2551" w:type="dxa"/>
            <w:vMerge w:val="continue"/>
          </w:tcPr>
          <w:p w14:paraId="6BF0E1F0"/>
        </w:tc>
        <w:tc>
          <w:tcPr>
            <w:tcW w:w="2551" w:type="dxa"/>
            <w:vMerge w:val="continue"/>
          </w:tcPr>
          <w:p w14:paraId="08145A48"/>
        </w:tc>
        <w:tc>
          <w:tcPr>
            <w:tcW w:w="2551" w:type="dxa"/>
            <w:vMerge w:val="continue"/>
          </w:tcPr>
          <w:p w14:paraId="2611371E"/>
        </w:tc>
      </w:tr>
      <w:tr w14:paraId="23D9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00F7FE">
            <w:pPr>
              <w:pStyle w:val="10"/>
            </w:pPr>
            <w:r>
              <w:t>栏次</w:t>
            </w:r>
          </w:p>
        </w:tc>
        <w:tc>
          <w:tcPr>
            <w:tcW w:w="1191" w:type="dxa"/>
            <w:vAlign w:val="center"/>
          </w:tcPr>
          <w:p w14:paraId="79778B4A">
            <w:pPr>
              <w:pStyle w:val="10"/>
            </w:pPr>
            <w:r>
              <w:t>1</w:t>
            </w:r>
          </w:p>
        </w:tc>
        <w:tc>
          <w:tcPr>
            <w:tcW w:w="4535" w:type="dxa"/>
            <w:vAlign w:val="center"/>
          </w:tcPr>
          <w:p w14:paraId="0761EAD1">
            <w:pPr>
              <w:pStyle w:val="10"/>
            </w:pPr>
            <w:r>
              <w:t>2</w:t>
            </w:r>
          </w:p>
        </w:tc>
        <w:tc>
          <w:tcPr>
            <w:tcW w:w="2551" w:type="dxa"/>
            <w:vAlign w:val="center"/>
          </w:tcPr>
          <w:p w14:paraId="56B089E0">
            <w:pPr>
              <w:pStyle w:val="10"/>
            </w:pPr>
            <w:r>
              <w:t>3</w:t>
            </w:r>
          </w:p>
        </w:tc>
        <w:tc>
          <w:tcPr>
            <w:tcW w:w="2551" w:type="dxa"/>
            <w:vAlign w:val="center"/>
          </w:tcPr>
          <w:p w14:paraId="0AA17516">
            <w:pPr>
              <w:pStyle w:val="10"/>
            </w:pPr>
            <w:r>
              <w:t>4</w:t>
            </w:r>
          </w:p>
        </w:tc>
        <w:tc>
          <w:tcPr>
            <w:tcW w:w="2551" w:type="dxa"/>
            <w:vAlign w:val="center"/>
          </w:tcPr>
          <w:p w14:paraId="19D77E58">
            <w:pPr>
              <w:pStyle w:val="10"/>
            </w:pPr>
            <w:r>
              <w:t>5</w:t>
            </w:r>
          </w:p>
        </w:tc>
      </w:tr>
      <w:tr w14:paraId="4EE85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D8F2B">
            <w:pPr>
              <w:pStyle w:val="13"/>
            </w:pPr>
          </w:p>
        </w:tc>
        <w:tc>
          <w:tcPr>
            <w:tcW w:w="1191" w:type="dxa"/>
            <w:vAlign w:val="center"/>
          </w:tcPr>
          <w:p w14:paraId="4C1083FE">
            <w:pPr>
              <w:pStyle w:val="12"/>
            </w:pPr>
          </w:p>
        </w:tc>
        <w:tc>
          <w:tcPr>
            <w:tcW w:w="4535" w:type="dxa"/>
            <w:vAlign w:val="center"/>
          </w:tcPr>
          <w:p w14:paraId="078065D8">
            <w:pPr>
              <w:pStyle w:val="12"/>
            </w:pPr>
          </w:p>
        </w:tc>
        <w:tc>
          <w:tcPr>
            <w:tcW w:w="2551" w:type="dxa"/>
            <w:vAlign w:val="center"/>
          </w:tcPr>
          <w:p w14:paraId="3B354127">
            <w:pPr>
              <w:pStyle w:val="11"/>
            </w:pPr>
          </w:p>
        </w:tc>
        <w:tc>
          <w:tcPr>
            <w:tcW w:w="2551" w:type="dxa"/>
            <w:vAlign w:val="center"/>
          </w:tcPr>
          <w:p w14:paraId="7E68D7A5">
            <w:pPr>
              <w:pStyle w:val="11"/>
            </w:pPr>
          </w:p>
        </w:tc>
        <w:tc>
          <w:tcPr>
            <w:tcW w:w="2551" w:type="dxa"/>
            <w:vAlign w:val="center"/>
          </w:tcPr>
          <w:p w14:paraId="4DCFCD3A">
            <w:pPr>
              <w:pStyle w:val="11"/>
            </w:pPr>
          </w:p>
        </w:tc>
      </w:tr>
    </w:tbl>
    <w:p w14:paraId="105124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F503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FD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790F0E">
            <w:pPr>
              <w:pStyle w:val="9"/>
            </w:pPr>
            <w:r>
              <w:t>360003河北隆尧第一中学</w:t>
            </w:r>
          </w:p>
        </w:tc>
        <w:tc>
          <w:tcPr>
            <w:tcW w:w="2551" w:type="dxa"/>
            <w:tcBorders>
              <w:top w:val="single" w:color="FFFFFF" w:sz="6" w:space="0"/>
              <w:left w:val="single" w:color="FFFFFF" w:sz="6" w:space="0"/>
              <w:right w:val="single" w:color="FFFFFF" w:sz="6" w:space="0"/>
            </w:tcBorders>
            <w:vAlign w:val="center"/>
          </w:tcPr>
          <w:p w14:paraId="0F5317D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C70B35">
            <w:pPr>
              <w:pStyle w:val="7"/>
            </w:pPr>
            <w:r>
              <w:t>单位：万元</w:t>
            </w:r>
          </w:p>
        </w:tc>
      </w:tr>
      <w:tr w14:paraId="11C3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9649E">
            <w:pPr>
              <w:pStyle w:val="10"/>
            </w:pPr>
            <w:r>
              <w:t>序号</w:t>
            </w:r>
          </w:p>
        </w:tc>
        <w:tc>
          <w:tcPr>
            <w:tcW w:w="5726" w:type="dxa"/>
            <w:gridSpan w:val="2"/>
            <w:vAlign w:val="center"/>
          </w:tcPr>
          <w:p w14:paraId="1F1125AE">
            <w:pPr>
              <w:pStyle w:val="10"/>
            </w:pPr>
            <w:r>
              <w:t>功能分类科目</w:t>
            </w:r>
          </w:p>
        </w:tc>
        <w:tc>
          <w:tcPr>
            <w:tcW w:w="2551" w:type="dxa"/>
            <w:vMerge w:val="restart"/>
            <w:vAlign w:val="center"/>
          </w:tcPr>
          <w:p w14:paraId="21439666">
            <w:pPr>
              <w:pStyle w:val="10"/>
            </w:pPr>
            <w:r>
              <w:t>合计</w:t>
            </w:r>
          </w:p>
        </w:tc>
        <w:tc>
          <w:tcPr>
            <w:tcW w:w="2551" w:type="dxa"/>
            <w:vMerge w:val="restart"/>
            <w:vAlign w:val="center"/>
          </w:tcPr>
          <w:p w14:paraId="04DEFC56">
            <w:pPr>
              <w:pStyle w:val="10"/>
            </w:pPr>
            <w:r>
              <w:t>基本支出</w:t>
            </w:r>
          </w:p>
        </w:tc>
        <w:tc>
          <w:tcPr>
            <w:tcW w:w="2551" w:type="dxa"/>
            <w:vMerge w:val="restart"/>
            <w:vAlign w:val="center"/>
          </w:tcPr>
          <w:p w14:paraId="58FCA974">
            <w:pPr>
              <w:pStyle w:val="10"/>
            </w:pPr>
            <w:r>
              <w:t>项目支出</w:t>
            </w:r>
          </w:p>
        </w:tc>
      </w:tr>
      <w:tr w14:paraId="30AB6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347216"/>
        </w:tc>
        <w:tc>
          <w:tcPr>
            <w:tcW w:w="1191" w:type="dxa"/>
            <w:vAlign w:val="center"/>
          </w:tcPr>
          <w:p w14:paraId="0B3B7085">
            <w:pPr>
              <w:pStyle w:val="10"/>
            </w:pPr>
            <w:r>
              <w:t>科目编码</w:t>
            </w:r>
          </w:p>
        </w:tc>
        <w:tc>
          <w:tcPr>
            <w:tcW w:w="4535" w:type="dxa"/>
            <w:vAlign w:val="center"/>
          </w:tcPr>
          <w:p w14:paraId="47F91833">
            <w:pPr>
              <w:pStyle w:val="10"/>
            </w:pPr>
            <w:r>
              <w:t>科目名称</w:t>
            </w:r>
          </w:p>
        </w:tc>
        <w:tc>
          <w:tcPr>
            <w:tcW w:w="2551" w:type="dxa"/>
            <w:vMerge w:val="continue"/>
          </w:tcPr>
          <w:p w14:paraId="4D789928"/>
        </w:tc>
        <w:tc>
          <w:tcPr>
            <w:tcW w:w="2551" w:type="dxa"/>
            <w:vMerge w:val="continue"/>
          </w:tcPr>
          <w:p w14:paraId="61315433"/>
        </w:tc>
        <w:tc>
          <w:tcPr>
            <w:tcW w:w="2551" w:type="dxa"/>
            <w:vMerge w:val="continue"/>
          </w:tcPr>
          <w:p w14:paraId="31AD5AE4"/>
        </w:tc>
      </w:tr>
      <w:tr w14:paraId="461C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A6532">
            <w:pPr>
              <w:pStyle w:val="10"/>
            </w:pPr>
            <w:r>
              <w:t>栏次</w:t>
            </w:r>
          </w:p>
        </w:tc>
        <w:tc>
          <w:tcPr>
            <w:tcW w:w="1191" w:type="dxa"/>
            <w:vAlign w:val="center"/>
          </w:tcPr>
          <w:p w14:paraId="4C23A245">
            <w:pPr>
              <w:pStyle w:val="10"/>
            </w:pPr>
            <w:r>
              <w:t>1</w:t>
            </w:r>
          </w:p>
        </w:tc>
        <w:tc>
          <w:tcPr>
            <w:tcW w:w="4535" w:type="dxa"/>
            <w:vAlign w:val="center"/>
          </w:tcPr>
          <w:p w14:paraId="097B3DEB">
            <w:pPr>
              <w:pStyle w:val="10"/>
            </w:pPr>
            <w:r>
              <w:t>2</w:t>
            </w:r>
          </w:p>
        </w:tc>
        <w:tc>
          <w:tcPr>
            <w:tcW w:w="2551" w:type="dxa"/>
            <w:vAlign w:val="center"/>
          </w:tcPr>
          <w:p w14:paraId="266568A8">
            <w:pPr>
              <w:pStyle w:val="10"/>
            </w:pPr>
            <w:r>
              <w:t>3</w:t>
            </w:r>
          </w:p>
        </w:tc>
        <w:tc>
          <w:tcPr>
            <w:tcW w:w="2551" w:type="dxa"/>
            <w:vAlign w:val="center"/>
          </w:tcPr>
          <w:p w14:paraId="751F2E4A">
            <w:pPr>
              <w:pStyle w:val="10"/>
            </w:pPr>
            <w:r>
              <w:t>4</w:t>
            </w:r>
          </w:p>
        </w:tc>
        <w:tc>
          <w:tcPr>
            <w:tcW w:w="2551" w:type="dxa"/>
            <w:vAlign w:val="center"/>
          </w:tcPr>
          <w:p w14:paraId="5D191DEB">
            <w:pPr>
              <w:pStyle w:val="10"/>
            </w:pPr>
            <w:r>
              <w:t>5</w:t>
            </w:r>
          </w:p>
        </w:tc>
      </w:tr>
      <w:tr w14:paraId="2448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D37DF">
            <w:pPr>
              <w:pStyle w:val="13"/>
            </w:pPr>
          </w:p>
        </w:tc>
        <w:tc>
          <w:tcPr>
            <w:tcW w:w="1191" w:type="dxa"/>
            <w:vAlign w:val="center"/>
          </w:tcPr>
          <w:p w14:paraId="5944428B">
            <w:pPr>
              <w:pStyle w:val="12"/>
            </w:pPr>
          </w:p>
        </w:tc>
        <w:tc>
          <w:tcPr>
            <w:tcW w:w="4535" w:type="dxa"/>
            <w:vAlign w:val="center"/>
          </w:tcPr>
          <w:p w14:paraId="7D49A549">
            <w:pPr>
              <w:pStyle w:val="12"/>
            </w:pPr>
          </w:p>
        </w:tc>
        <w:tc>
          <w:tcPr>
            <w:tcW w:w="2551" w:type="dxa"/>
            <w:vAlign w:val="center"/>
          </w:tcPr>
          <w:p w14:paraId="63AE1FE1">
            <w:pPr>
              <w:pStyle w:val="11"/>
            </w:pPr>
          </w:p>
        </w:tc>
        <w:tc>
          <w:tcPr>
            <w:tcW w:w="2551" w:type="dxa"/>
            <w:vAlign w:val="center"/>
          </w:tcPr>
          <w:p w14:paraId="4F26B28B">
            <w:pPr>
              <w:pStyle w:val="11"/>
            </w:pPr>
          </w:p>
        </w:tc>
        <w:tc>
          <w:tcPr>
            <w:tcW w:w="2551" w:type="dxa"/>
            <w:vAlign w:val="center"/>
          </w:tcPr>
          <w:p w14:paraId="278AA77A">
            <w:pPr>
              <w:pStyle w:val="11"/>
            </w:pPr>
          </w:p>
        </w:tc>
      </w:tr>
    </w:tbl>
    <w:p w14:paraId="2CDA80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E2B6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E50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BE22EA">
            <w:pPr>
              <w:pStyle w:val="9"/>
            </w:pPr>
            <w:r>
              <w:t>360003河北隆尧第一中学</w:t>
            </w:r>
          </w:p>
        </w:tc>
        <w:tc>
          <w:tcPr>
            <w:tcW w:w="2381" w:type="dxa"/>
            <w:tcBorders>
              <w:top w:val="single" w:color="FFFFFF" w:sz="6" w:space="0"/>
              <w:left w:val="single" w:color="FFFFFF" w:sz="6" w:space="0"/>
              <w:right w:val="single" w:color="FFFFFF" w:sz="6" w:space="0"/>
            </w:tcBorders>
            <w:vAlign w:val="center"/>
          </w:tcPr>
          <w:p w14:paraId="576A72F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4944F86">
            <w:pPr>
              <w:pStyle w:val="7"/>
            </w:pPr>
            <w:r>
              <w:t>单位：万元</w:t>
            </w:r>
          </w:p>
        </w:tc>
      </w:tr>
      <w:tr w14:paraId="354E4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13502">
            <w:pPr>
              <w:pStyle w:val="10"/>
            </w:pPr>
            <w:r>
              <w:t>序号</w:t>
            </w:r>
          </w:p>
        </w:tc>
        <w:tc>
          <w:tcPr>
            <w:tcW w:w="3798" w:type="dxa"/>
            <w:vMerge w:val="restart"/>
            <w:vAlign w:val="center"/>
          </w:tcPr>
          <w:p w14:paraId="5D1FFB31">
            <w:pPr>
              <w:pStyle w:val="10"/>
            </w:pPr>
            <w:r>
              <w:t>项  目</w:t>
            </w:r>
          </w:p>
        </w:tc>
        <w:tc>
          <w:tcPr>
            <w:tcW w:w="9524" w:type="dxa"/>
            <w:gridSpan w:val="4"/>
            <w:vAlign w:val="center"/>
          </w:tcPr>
          <w:p w14:paraId="01FF4528">
            <w:pPr>
              <w:pStyle w:val="10"/>
            </w:pPr>
            <w:r>
              <w:t>资 金 性 质</w:t>
            </w:r>
          </w:p>
        </w:tc>
      </w:tr>
      <w:tr w14:paraId="70B9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06B711"/>
        </w:tc>
        <w:tc>
          <w:tcPr>
            <w:tcW w:w="3798" w:type="dxa"/>
            <w:vMerge w:val="continue"/>
          </w:tcPr>
          <w:p w14:paraId="65BAD66C"/>
        </w:tc>
        <w:tc>
          <w:tcPr>
            <w:tcW w:w="2381" w:type="dxa"/>
            <w:vAlign w:val="center"/>
          </w:tcPr>
          <w:p w14:paraId="2E0E618A">
            <w:pPr>
              <w:pStyle w:val="10"/>
            </w:pPr>
            <w:r>
              <w:t>合计</w:t>
            </w:r>
          </w:p>
        </w:tc>
        <w:tc>
          <w:tcPr>
            <w:tcW w:w="2381" w:type="dxa"/>
            <w:vAlign w:val="center"/>
          </w:tcPr>
          <w:p w14:paraId="72F11FAB">
            <w:pPr>
              <w:pStyle w:val="10"/>
            </w:pPr>
            <w:r>
              <w:t>一般公共预算              财政拨款</w:t>
            </w:r>
          </w:p>
        </w:tc>
        <w:tc>
          <w:tcPr>
            <w:tcW w:w="2381" w:type="dxa"/>
            <w:vAlign w:val="center"/>
          </w:tcPr>
          <w:p w14:paraId="016CDCED">
            <w:pPr>
              <w:pStyle w:val="10"/>
            </w:pPr>
            <w:r>
              <w:t>政府性基金                  预算拨款</w:t>
            </w:r>
          </w:p>
        </w:tc>
        <w:tc>
          <w:tcPr>
            <w:tcW w:w="2381" w:type="dxa"/>
            <w:vAlign w:val="center"/>
          </w:tcPr>
          <w:p w14:paraId="2A29563A">
            <w:pPr>
              <w:pStyle w:val="10"/>
            </w:pPr>
            <w:r>
              <w:t>国有资本经营              预算财政拨款</w:t>
            </w:r>
          </w:p>
        </w:tc>
      </w:tr>
      <w:tr w14:paraId="12FE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7F9C61">
            <w:pPr>
              <w:pStyle w:val="10"/>
            </w:pPr>
            <w:r>
              <w:t>栏次</w:t>
            </w:r>
          </w:p>
        </w:tc>
        <w:tc>
          <w:tcPr>
            <w:tcW w:w="3798" w:type="dxa"/>
            <w:vAlign w:val="center"/>
          </w:tcPr>
          <w:p w14:paraId="59BC93F8">
            <w:pPr>
              <w:pStyle w:val="10"/>
            </w:pPr>
            <w:r>
              <w:t>1</w:t>
            </w:r>
          </w:p>
        </w:tc>
        <w:tc>
          <w:tcPr>
            <w:tcW w:w="2381" w:type="dxa"/>
            <w:vAlign w:val="center"/>
          </w:tcPr>
          <w:p w14:paraId="2C333C7F">
            <w:pPr>
              <w:pStyle w:val="10"/>
            </w:pPr>
            <w:r>
              <w:t>2</w:t>
            </w:r>
          </w:p>
        </w:tc>
        <w:tc>
          <w:tcPr>
            <w:tcW w:w="2381" w:type="dxa"/>
            <w:vAlign w:val="center"/>
          </w:tcPr>
          <w:p w14:paraId="3ED30529">
            <w:pPr>
              <w:pStyle w:val="10"/>
            </w:pPr>
            <w:r>
              <w:t>3</w:t>
            </w:r>
          </w:p>
        </w:tc>
        <w:tc>
          <w:tcPr>
            <w:tcW w:w="2381" w:type="dxa"/>
            <w:vAlign w:val="center"/>
          </w:tcPr>
          <w:p w14:paraId="316E0F7F">
            <w:pPr>
              <w:pStyle w:val="10"/>
            </w:pPr>
            <w:r>
              <w:t>4</w:t>
            </w:r>
          </w:p>
        </w:tc>
        <w:tc>
          <w:tcPr>
            <w:tcW w:w="2381" w:type="dxa"/>
            <w:vAlign w:val="center"/>
          </w:tcPr>
          <w:p w14:paraId="2313EEE6">
            <w:pPr>
              <w:pStyle w:val="10"/>
            </w:pPr>
            <w:r>
              <w:t>5</w:t>
            </w:r>
          </w:p>
        </w:tc>
      </w:tr>
      <w:tr w14:paraId="1E84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0D7534">
            <w:pPr>
              <w:pStyle w:val="13"/>
            </w:pPr>
          </w:p>
        </w:tc>
        <w:tc>
          <w:tcPr>
            <w:tcW w:w="3798" w:type="dxa"/>
            <w:vAlign w:val="center"/>
          </w:tcPr>
          <w:p w14:paraId="2121D1D4">
            <w:pPr>
              <w:pStyle w:val="12"/>
            </w:pPr>
          </w:p>
        </w:tc>
        <w:tc>
          <w:tcPr>
            <w:tcW w:w="2381" w:type="dxa"/>
            <w:vAlign w:val="center"/>
          </w:tcPr>
          <w:p w14:paraId="069DACF1">
            <w:pPr>
              <w:pStyle w:val="11"/>
            </w:pPr>
          </w:p>
        </w:tc>
        <w:tc>
          <w:tcPr>
            <w:tcW w:w="2381" w:type="dxa"/>
            <w:vAlign w:val="center"/>
          </w:tcPr>
          <w:p w14:paraId="027628A3">
            <w:pPr>
              <w:pStyle w:val="11"/>
            </w:pPr>
          </w:p>
        </w:tc>
        <w:tc>
          <w:tcPr>
            <w:tcW w:w="2381" w:type="dxa"/>
            <w:vAlign w:val="center"/>
          </w:tcPr>
          <w:p w14:paraId="399ABFA2">
            <w:pPr>
              <w:pStyle w:val="11"/>
            </w:pPr>
          </w:p>
        </w:tc>
        <w:tc>
          <w:tcPr>
            <w:tcW w:w="2381" w:type="dxa"/>
            <w:vAlign w:val="center"/>
          </w:tcPr>
          <w:p w14:paraId="7CE3D3B4">
            <w:pPr>
              <w:pStyle w:val="11"/>
            </w:pPr>
          </w:p>
        </w:tc>
      </w:tr>
    </w:tbl>
    <w:p w14:paraId="703EF08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CD367B6">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河北隆尧第一中学2026年单位预算信息公开情况说明</w:t>
      </w:r>
    </w:p>
    <w:p w14:paraId="7DC6020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地方预决算公开操作规程》和《关于进一步推进预算公开工作的实施意见》规定，现将河北隆尧第一中学2026年单位预算公开如下：</w:t>
      </w:r>
    </w:p>
    <w:p w14:paraId="27389758">
      <w:pPr>
        <w:spacing w:before="10" w:after="10" w:line="240" w:lineRule="auto"/>
        <w:ind w:firstLine="640"/>
        <w:jc w:val="left"/>
        <w:outlineLvl w:val="5"/>
      </w:pPr>
      <w:r>
        <w:rPr>
          <w:rFonts w:ascii="黑体" w:hAnsi="黑体" w:eastAsia="黑体" w:cs="黑体"/>
          <w:color w:val="000000"/>
          <w:sz w:val="32"/>
        </w:rPr>
        <w:t>一、单位职责及机构设置情况</w:t>
      </w:r>
    </w:p>
    <w:p w14:paraId="0795C1E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F0B18AA">
      <w:pPr>
        <w:pStyle w:val="17"/>
        <w:rPr>
          <w:rFonts w:hint="eastAsia"/>
        </w:rPr>
      </w:pPr>
      <w:r>
        <w:rPr>
          <w:rFonts w:hint="eastAsia"/>
        </w:rPr>
        <w:t>宣传贯彻执行党和国家的教育方针、教育政策、教育法律和法规，贯彻执行上级教育行政单位的各项规章制度，开展高中阶段教育工作：德育为首、全面育人加强</w:t>
      </w:r>
      <w:r>
        <w:rPr>
          <w:rFonts w:hint="eastAsia"/>
          <w:lang w:eastAsia="zh-CN"/>
        </w:rPr>
        <w:t>社会主义核心价值观</w:t>
      </w:r>
      <w:r>
        <w:rPr>
          <w:rFonts w:hint="eastAsia"/>
        </w:rPr>
        <w:t>教育，提高学生综合素质，促进学生德、智、体、美、劳全面发展；加强学生安全教育和管理，确保学生身心健康，加强</w:t>
      </w:r>
      <w:r>
        <w:rPr>
          <w:rFonts w:hint="eastAsia"/>
          <w:lang w:eastAsia="zh-CN"/>
        </w:rPr>
        <w:t>教师队伍</w:t>
      </w:r>
      <w:r>
        <w:rPr>
          <w:rFonts w:hint="eastAsia"/>
        </w:rPr>
        <w:t>建设和管理，提高</w:t>
      </w:r>
      <w:r>
        <w:rPr>
          <w:rFonts w:hint="eastAsia"/>
          <w:lang w:eastAsia="zh-CN"/>
        </w:rPr>
        <w:t>教师</w:t>
      </w:r>
      <w:r>
        <w:rPr>
          <w:rFonts w:hint="eastAsia"/>
        </w:rPr>
        <w:t>专业素养，为教育教学工作提供保障。</w:t>
      </w:r>
    </w:p>
    <w:p w14:paraId="10113707">
      <w:pPr>
        <w:pStyle w:val="17"/>
        <w:rPr>
          <w:rFonts w:hint="eastAsia"/>
        </w:rPr>
      </w:pPr>
      <w:r>
        <w:rPr>
          <w:rFonts w:hint="eastAsia"/>
        </w:rPr>
        <w:t>河北隆尧第一中学设15个股级内设机构：办公室、教导处、教研处、招生升学处、学工处、艺体部、团委、总务处、法制安全处、高一年级一部、高一年级二部、高二年级一部、高二年级二部、高三年级一部、高</w:t>
      </w:r>
      <w:r>
        <w:rPr>
          <w:rFonts w:hint="eastAsia"/>
          <w:lang w:eastAsia="zh-CN"/>
        </w:rPr>
        <w:t>三年</w:t>
      </w:r>
      <w:r>
        <w:rPr>
          <w:rFonts w:hint="eastAsia"/>
        </w:rPr>
        <w:t>级二部。</w:t>
      </w:r>
    </w:p>
    <w:p w14:paraId="5731B125">
      <w:pPr>
        <w:pStyle w:val="17"/>
      </w:pPr>
      <w:r>
        <w:rPr>
          <w:rFonts w:hint="eastAsia"/>
        </w:rPr>
        <w:t>河北隆尧第一中学事业编制357名，其中，校长1名（正科级），副校长5名（副科级）；经费形式为财政性资金基本保证。</w:t>
      </w:r>
    </w:p>
    <w:p w14:paraId="3AD39C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3BF5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2BA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5993FA">
            <w:pPr>
              <w:pStyle w:val="10"/>
            </w:pPr>
            <w:r>
              <w:t>单位名称</w:t>
            </w:r>
          </w:p>
        </w:tc>
        <w:tc>
          <w:tcPr>
            <w:tcW w:w="1843" w:type="dxa"/>
            <w:vAlign w:val="center"/>
          </w:tcPr>
          <w:p w14:paraId="0028F5AC">
            <w:pPr>
              <w:pStyle w:val="10"/>
            </w:pPr>
            <w:r>
              <w:t>单位性质</w:t>
            </w:r>
          </w:p>
        </w:tc>
        <w:tc>
          <w:tcPr>
            <w:tcW w:w="2126" w:type="dxa"/>
            <w:vAlign w:val="center"/>
          </w:tcPr>
          <w:p w14:paraId="7B918C96">
            <w:pPr>
              <w:pStyle w:val="10"/>
            </w:pPr>
            <w:r>
              <w:t>单位规格</w:t>
            </w:r>
          </w:p>
        </w:tc>
        <w:tc>
          <w:tcPr>
            <w:tcW w:w="3827" w:type="dxa"/>
            <w:vAlign w:val="center"/>
          </w:tcPr>
          <w:p w14:paraId="220D8C8F">
            <w:pPr>
              <w:pStyle w:val="10"/>
            </w:pPr>
            <w:r>
              <w:t>经费保障形式</w:t>
            </w:r>
          </w:p>
        </w:tc>
      </w:tr>
      <w:tr w14:paraId="4043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B8C27D">
            <w:pPr>
              <w:pStyle w:val="12"/>
            </w:pPr>
            <w:r>
              <w:t>河北隆尧第一中学</w:t>
            </w:r>
          </w:p>
        </w:tc>
        <w:tc>
          <w:tcPr>
            <w:tcW w:w="1843" w:type="dxa"/>
            <w:vAlign w:val="center"/>
          </w:tcPr>
          <w:p w14:paraId="66401CCD">
            <w:pPr>
              <w:pStyle w:val="13"/>
            </w:pPr>
            <w:r>
              <w:t>事业</w:t>
            </w:r>
          </w:p>
        </w:tc>
        <w:tc>
          <w:tcPr>
            <w:tcW w:w="2126" w:type="dxa"/>
            <w:vAlign w:val="center"/>
          </w:tcPr>
          <w:p w14:paraId="3F453784">
            <w:pPr>
              <w:pStyle w:val="13"/>
            </w:pPr>
            <w:r>
              <w:t>正科级</w:t>
            </w:r>
          </w:p>
        </w:tc>
        <w:tc>
          <w:tcPr>
            <w:tcW w:w="3827" w:type="dxa"/>
            <w:vAlign w:val="center"/>
          </w:tcPr>
          <w:p w14:paraId="7C467E7B">
            <w:pPr>
              <w:pStyle w:val="13"/>
            </w:pPr>
            <w:r>
              <w:t>财政性资金基本保证</w:t>
            </w:r>
          </w:p>
        </w:tc>
      </w:tr>
    </w:tbl>
    <w:p w14:paraId="67D170BA">
      <w:pPr>
        <w:spacing w:before="10" w:after="10" w:line="240" w:lineRule="auto"/>
        <w:ind w:firstLine="640"/>
        <w:jc w:val="left"/>
        <w:outlineLvl w:val="5"/>
      </w:pPr>
      <w:r>
        <w:rPr>
          <w:rFonts w:ascii="黑体" w:hAnsi="黑体" w:eastAsia="黑体" w:cs="黑体"/>
          <w:color w:val="000000"/>
          <w:sz w:val="32"/>
        </w:rPr>
        <w:t>二、单位预算安排的总体情况</w:t>
      </w:r>
    </w:p>
    <w:p w14:paraId="5E1E7002">
      <w:pPr>
        <w:pStyle w:val="18"/>
      </w:pPr>
      <w:r>
        <w:t>按照预算管理有关规定，单位预算的编制实行综合预算管理，即全部收入和支出都反映的预算中。河北隆尧第一中学的收支包含在单位预算中。</w:t>
      </w:r>
    </w:p>
    <w:p w14:paraId="7E97A877">
      <w:pPr>
        <w:pStyle w:val="18"/>
      </w:pPr>
      <w:r>
        <w:t>1、收入说明</w:t>
      </w:r>
    </w:p>
    <w:p w14:paraId="5FF0B279">
      <w:pPr>
        <w:pStyle w:val="18"/>
      </w:pPr>
      <w:r>
        <w:t>反映本单位当年全部收入。2026年预算收入6236.29万元，其中：一般公共预算收入5250.4万元，基金预算收入0万元，财政专户收入877.26万元，单位资金收入0万元，上年结转结余108.63万元。</w:t>
      </w:r>
    </w:p>
    <w:p w14:paraId="3213A8B7">
      <w:pPr>
        <w:pStyle w:val="18"/>
      </w:pPr>
      <w:r>
        <w:t>2、支出说明</w:t>
      </w:r>
    </w:p>
    <w:p w14:paraId="0169A1C7">
      <w:pPr>
        <w:pStyle w:val="18"/>
      </w:pPr>
      <w:r>
        <w:t>收支预算总表支出栏、基本支出表、项目支出表按经济分类和支出功能分类科目编制，反映我单位单位预算中支出预算的总体情况。2026年单位支出预算为6236.29万元，其中基本支出4188.31万元；项目支出2047.98万元，主要包括教育支出6220.76万元、社会保障和就业支出15.53万元。</w:t>
      </w:r>
    </w:p>
    <w:p w14:paraId="3AD4BD16">
      <w:pPr>
        <w:pStyle w:val="18"/>
      </w:pPr>
      <w:r>
        <w:t>3、比上年增减情况</w:t>
      </w:r>
    </w:p>
    <w:p w14:paraId="3919BA87">
      <w:pPr>
        <w:pStyle w:val="18"/>
      </w:pPr>
      <w:r>
        <w:t>2026年部门预算收支安排6236.29万元，较2025年预算减少97.82万元。其中基本支出减少87.29万元，项目支出减少10.53万元。</w:t>
      </w:r>
    </w:p>
    <w:p w14:paraId="626A1CDC">
      <w:pPr>
        <w:spacing w:before="10" w:after="10" w:line="240" w:lineRule="auto"/>
        <w:ind w:firstLine="640"/>
        <w:jc w:val="left"/>
        <w:outlineLvl w:val="5"/>
      </w:pPr>
      <w:r>
        <w:rPr>
          <w:rFonts w:ascii="黑体" w:hAnsi="黑体" w:eastAsia="黑体" w:cs="黑体"/>
          <w:color w:val="000000"/>
          <w:sz w:val="32"/>
        </w:rPr>
        <w:t>三、机关运行经费安排情况</w:t>
      </w:r>
    </w:p>
    <w:p w14:paraId="1320E591">
      <w:pPr>
        <w:pStyle w:val="19"/>
      </w:pPr>
      <w:r>
        <w:t>2026年，我单位按学生安排公用经费，无机关运行经费。</w:t>
      </w:r>
    </w:p>
    <w:p w14:paraId="44A2344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C189A6">
      <w:pPr>
        <w:pStyle w:val="20"/>
      </w:pPr>
      <w:r>
        <w:t>2026年，我单位未安排</w:t>
      </w:r>
      <w:r>
        <w:rPr>
          <w:rFonts w:hint="eastAsia"/>
          <w:lang w:eastAsia="zh-CN"/>
        </w:rPr>
        <w:t>“三公”经费</w:t>
      </w:r>
      <w:r>
        <w:t>。</w:t>
      </w:r>
    </w:p>
    <w:p w14:paraId="34806EF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949944">
      <w:pPr>
        <w:spacing w:before="0" w:after="0"/>
        <w:ind w:firstLine="560"/>
        <w:jc w:val="left"/>
        <w:outlineLvl w:val="9"/>
      </w:pPr>
      <w:r>
        <w:rPr>
          <w:rFonts w:ascii="方正仿宋_GBK" w:hAnsi="方正仿宋_GBK" w:eastAsia="方正仿宋_GBK" w:cs="方正仿宋_GBK"/>
          <w:b/>
          <w:color w:val="000000"/>
          <w:sz w:val="28"/>
        </w:rPr>
        <w:t>1、冀财教[2023]152号/省级/2024年高中改善办学条件/一中主教学楼门窗墙面厕所改造工程绩效目标表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61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04DBD">
            <w:pPr>
              <w:pStyle w:val="11"/>
            </w:pPr>
            <w:r>
              <w:t>单位：万元</w:t>
            </w:r>
          </w:p>
        </w:tc>
      </w:tr>
      <w:tr w14:paraId="35B61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14C92">
            <w:pPr>
              <w:pStyle w:val="10"/>
            </w:pPr>
            <w:r>
              <w:t>项目编码</w:t>
            </w:r>
          </w:p>
        </w:tc>
        <w:tc>
          <w:tcPr>
            <w:tcW w:w="5103" w:type="dxa"/>
            <w:gridSpan w:val="2"/>
            <w:vAlign w:val="center"/>
          </w:tcPr>
          <w:p w14:paraId="75B31C62">
            <w:pPr>
              <w:pStyle w:val="12"/>
            </w:pPr>
            <w:r>
              <w:t>13052526P00877110009B</w:t>
            </w:r>
          </w:p>
        </w:tc>
        <w:tc>
          <w:tcPr>
            <w:tcW w:w="2835" w:type="dxa"/>
            <w:vAlign w:val="center"/>
          </w:tcPr>
          <w:p w14:paraId="38D36409">
            <w:pPr>
              <w:pStyle w:val="10"/>
            </w:pPr>
            <w:r>
              <w:t>项目名称</w:t>
            </w:r>
          </w:p>
        </w:tc>
        <w:tc>
          <w:tcPr>
            <w:tcW w:w="6095" w:type="dxa"/>
            <w:gridSpan w:val="3"/>
            <w:vAlign w:val="center"/>
          </w:tcPr>
          <w:p w14:paraId="67E21A81">
            <w:pPr>
              <w:pStyle w:val="12"/>
            </w:pPr>
            <w:r>
              <w:t>冀财教[2023]152号/省级/2024年高中改善办学条件/一中主教学楼门窗墙面厕所改造工程</w:t>
            </w:r>
          </w:p>
        </w:tc>
      </w:tr>
      <w:tr w14:paraId="4160B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D7EED">
            <w:pPr>
              <w:pStyle w:val="10"/>
            </w:pPr>
            <w:r>
              <w:t>预算规模及资金用途</w:t>
            </w:r>
          </w:p>
        </w:tc>
        <w:tc>
          <w:tcPr>
            <w:tcW w:w="2268" w:type="dxa"/>
            <w:vAlign w:val="center"/>
          </w:tcPr>
          <w:p w14:paraId="3CC5E25F">
            <w:pPr>
              <w:pStyle w:val="10"/>
            </w:pPr>
            <w:r>
              <w:t>预算数</w:t>
            </w:r>
          </w:p>
        </w:tc>
        <w:tc>
          <w:tcPr>
            <w:tcW w:w="2835" w:type="dxa"/>
            <w:vAlign w:val="center"/>
          </w:tcPr>
          <w:p w14:paraId="2A37953B">
            <w:pPr>
              <w:pStyle w:val="12"/>
            </w:pPr>
            <w:r>
              <w:t>6.81</w:t>
            </w:r>
          </w:p>
        </w:tc>
        <w:tc>
          <w:tcPr>
            <w:tcW w:w="2835" w:type="dxa"/>
            <w:vAlign w:val="center"/>
          </w:tcPr>
          <w:p w14:paraId="6079F894">
            <w:pPr>
              <w:pStyle w:val="10"/>
            </w:pPr>
            <w:r>
              <w:t>其中：财政    资金</w:t>
            </w:r>
          </w:p>
        </w:tc>
        <w:tc>
          <w:tcPr>
            <w:tcW w:w="2551" w:type="dxa"/>
            <w:vAlign w:val="center"/>
          </w:tcPr>
          <w:p w14:paraId="5BB33330">
            <w:pPr>
              <w:pStyle w:val="12"/>
            </w:pPr>
            <w:r>
              <w:t>6.81</w:t>
            </w:r>
          </w:p>
        </w:tc>
        <w:tc>
          <w:tcPr>
            <w:tcW w:w="2268" w:type="dxa"/>
            <w:vAlign w:val="center"/>
          </w:tcPr>
          <w:p w14:paraId="6623AEE8">
            <w:pPr>
              <w:pStyle w:val="10"/>
            </w:pPr>
            <w:r>
              <w:t>其他资金</w:t>
            </w:r>
          </w:p>
        </w:tc>
        <w:tc>
          <w:tcPr>
            <w:tcW w:w="1276" w:type="dxa"/>
            <w:vAlign w:val="center"/>
          </w:tcPr>
          <w:p w14:paraId="0F953F8E">
            <w:pPr>
              <w:pStyle w:val="12"/>
            </w:pPr>
            <w:r>
              <w:t xml:space="preserve"> </w:t>
            </w:r>
          </w:p>
        </w:tc>
      </w:tr>
      <w:tr w14:paraId="4E9E2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1B5FB"/>
        </w:tc>
        <w:tc>
          <w:tcPr>
            <w:tcW w:w="14033" w:type="dxa"/>
            <w:gridSpan w:val="6"/>
            <w:vAlign w:val="center"/>
          </w:tcPr>
          <w:p w14:paraId="24832332">
            <w:pPr>
              <w:pStyle w:val="12"/>
            </w:pPr>
            <w:r>
              <w:t>落实全国中小学校舍改造实施规划，完善学校整体面貌和教育设施</w:t>
            </w:r>
          </w:p>
        </w:tc>
      </w:tr>
      <w:tr w14:paraId="4DC81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8DB2B">
            <w:pPr>
              <w:pStyle w:val="10"/>
            </w:pPr>
            <w:r>
              <w:t>资金支出计划（%）</w:t>
            </w:r>
          </w:p>
        </w:tc>
        <w:tc>
          <w:tcPr>
            <w:tcW w:w="5103" w:type="dxa"/>
            <w:gridSpan w:val="2"/>
            <w:vAlign w:val="center"/>
          </w:tcPr>
          <w:p w14:paraId="62D61A52">
            <w:pPr>
              <w:pStyle w:val="10"/>
            </w:pPr>
            <w:r>
              <w:t>3月底</w:t>
            </w:r>
          </w:p>
        </w:tc>
        <w:tc>
          <w:tcPr>
            <w:tcW w:w="2835" w:type="dxa"/>
            <w:vAlign w:val="center"/>
          </w:tcPr>
          <w:p w14:paraId="47C2836E">
            <w:pPr>
              <w:pStyle w:val="10"/>
            </w:pPr>
            <w:r>
              <w:t>6月底</w:t>
            </w:r>
          </w:p>
        </w:tc>
        <w:tc>
          <w:tcPr>
            <w:tcW w:w="2551" w:type="dxa"/>
            <w:vAlign w:val="center"/>
          </w:tcPr>
          <w:p w14:paraId="5AA9C91E">
            <w:pPr>
              <w:pStyle w:val="10"/>
            </w:pPr>
            <w:r>
              <w:t>10月底</w:t>
            </w:r>
          </w:p>
        </w:tc>
        <w:tc>
          <w:tcPr>
            <w:tcW w:w="3544" w:type="dxa"/>
            <w:gridSpan w:val="2"/>
            <w:vAlign w:val="center"/>
          </w:tcPr>
          <w:p w14:paraId="055E4060">
            <w:pPr>
              <w:pStyle w:val="10"/>
            </w:pPr>
            <w:r>
              <w:t>12月底</w:t>
            </w:r>
          </w:p>
        </w:tc>
      </w:tr>
      <w:tr w14:paraId="7C563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6ADDF"/>
        </w:tc>
        <w:tc>
          <w:tcPr>
            <w:tcW w:w="5103" w:type="dxa"/>
            <w:gridSpan w:val="2"/>
            <w:vAlign w:val="center"/>
          </w:tcPr>
          <w:p w14:paraId="1ECCEDB1">
            <w:pPr>
              <w:pStyle w:val="13"/>
            </w:pPr>
            <w:r>
              <w:t>100%</w:t>
            </w:r>
          </w:p>
        </w:tc>
        <w:tc>
          <w:tcPr>
            <w:tcW w:w="2835" w:type="dxa"/>
            <w:vAlign w:val="center"/>
          </w:tcPr>
          <w:p w14:paraId="44DB5AF7">
            <w:pPr>
              <w:pStyle w:val="13"/>
            </w:pPr>
            <w:r>
              <w:t>100%</w:t>
            </w:r>
          </w:p>
        </w:tc>
        <w:tc>
          <w:tcPr>
            <w:tcW w:w="2551" w:type="dxa"/>
            <w:vAlign w:val="center"/>
          </w:tcPr>
          <w:p w14:paraId="06DAD01B">
            <w:pPr>
              <w:pStyle w:val="13"/>
            </w:pPr>
            <w:r>
              <w:t>100%</w:t>
            </w:r>
          </w:p>
        </w:tc>
        <w:tc>
          <w:tcPr>
            <w:tcW w:w="3544" w:type="dxa"/>
            <w:gridSpan w:val="2"/>
            <w:vAlign w:val="center"/>
          </w:tcPr>
          <w:p w14:paraId="5561A633">
            <w:pPr>
              <w:pStyle w:val="13"/>
            </w:pPr>
            <w:r>
              <w:t>100%</w:t>
            </w:r>
          </w:p>
        </w:tc>
      </w:tr>
      <w:tr w14:paraId="6A0B4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1EF33">
            <w:pPr>
              <w:pStyle w:val="10"/>
            </w:pPr>
            <w:r>
              <w:t>绩效目标</w:t>
            </w:r>
          </w:p>
        </w:tc>
        <w:tc>
          <w:tcPr>
            <w:tcW w:w="14033" w:type="dxa"/>
            <w:gridSpan w:val="6"/>
            <w:vAlign w:val="center"/>
          </w:tcPr>
          <w:p w14:paraId="44B28468">
            <w:pPr>
              <w:pStyle w:val="12"/>
            </w:pPr>
            <w:r>
              <w:t>1.改善普通高中办学条件，进一步提升高中教育质量</w:t>
            </w:r>
          </w:p>
          <w:p w14:paraId="1BAEDC04">
            <w:pPr>
              <w:pStyle w:val="12"/>
            </w:pPr>
            <w:r>
              <w:t>2.按时拨付资金68134.18元，资金拨付率达到100%</w:t>
            </w:r>
          </w:p>
          <w:p w14:paraId="2819F90E">
            <w:pPr>
              <w:pStyle w:val="12"/>
            </w:pPr>
            <w:r>
              <w:t>3.落实全国中小学校舍改造实施规划，完善学校整体面貌和教育设施</w:t>
            </w:r>
          </w:p>
        </w:tc>
      </w:tr>
    </w:tbl>
    <w:p w14:paraId="64C78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B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02946">
            <w:pPr>
              <w:pStyle w:val="10"/>
            </w:pPr>
            <w:r>
              <w:t>一级指标</w:t>
            </w:r>
          </w:p>
        </w:tc>
        <w:tc>
          <w:tcPr>
            <w:tcW w:w="2268" w:type="dxa"/>
            <w:vAlign w:val="center"/>
          </w:tcPr>
          <w:p w14:paraId="5371B075">
            <w:pPr>
              <w:pStyle w:val="10"/>
            </w:pPr>
            <w:r>
              <w:t>二级指标</w:t>
            </w:r>
          </w:p>
        </w:tc>
        <w:tc>
          <w:tcPr>
            <w:tcW w:w="2835" w:type="dxa"/>
            <w:vAlign w:val="center"/>
          </w:tcPr>
          <w:p w14:paraId="794A0EB0">
            <w:pPr>
              <w:pStyle w:val="10"/>
            </w:pPr>
            <w:r>
              <w:t>三级指标</w:t>
            </w:r>
          </w:p>
        </w:tc>
        <w:tc>
          <w:tcPr>
            <w:tcW w:w="5386" w:type="dxa"/>
            <w:vAlign w:val="center"/>
          </w:tcPr>
          <w:p w14:paraId="2F98F133">
            <w:pPr>
              <w:pStyle w:val="10"/>
            </w:pPr>
            <w:r>
              <w:t>绩效指标描述</w:t>
            </w:r>
          </w:p>
        </w:tc>
        <w:tc>
          <w:tcPr>
            <w:tcW w:w="2268" w:type="dxa"/>
            <w:vAlign w:val="center"/>
          </w:tcPr>
          <w:p w14:paraId="4840604A">
            <w:pPr>
              <w:pStyle w:val="10"/>
            </w:pPr>
            <w:r>
              <w:t>指标值</w:t>
            </w:r>
          </w:p>
        </w:tc>
        <w:tc>
          <w:tcPr>
            <w:tcW w:w="1276" w:type="dxa"/>
            <w:vAlign w:val="center"/>
          </w:tcPr>
          <w:p w14:paraId="0933922B">
            <w:pPr>
              <w:pStyle w:val="10"/>
            </w:pPr>
            <w:r>
              <w:t>指标值确定依据</w:t>
            </w:r>
          </w:p>
        </w:tc>
      </w:tr>
      <w:tr w14:paraId="733D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576E8">
            <w:pPr>
              <w:pStyle w:val="13"/>
            </w:pPr>
            <w:r>
              <w:t>产出指标</w:t>
            </w:r>
          </w:p>
        </w:tc>
        <w:tc>
          <w:tcPr>
            <w:tcW w:w="2268" w:type="dxa"/>
            <w:vAlign w:val="center"/>
          </w:tcPr>
          <w:p w14:paraId="21EBC117">
            <w:pPr>
              <w:pStyle w:val="12"/>
            </w:pPr>
            <w:r>
              <w:t>数量指标</w:t>
            </w:r>
          </w:p>
        </w:tc>
        <w:tc>
          <w:tcPr>
            <w:tcW w:w="2835" w:type="dxa"/>
            <w:vAlign w:val="center"/>
          </w:tcPr>
          <w:p w14:paraId="79678BF4">
            <w:pPr>
              <w:pStyle w:val="12"/>
            </w:pPr>
            <w:r>
              <w:t>普通高中新建、改扩建校舍面积</w:t>
            </w:r>
          </w:p>
        </w:tc>
        <w:tc>
          <w:tcPr>
            <w:tcW w:w="5386" w:type="dxa"/>
            <w:vAlign w:val="center"/>
          </w:tcPr>
          <w:p w14:paraId="42FDCB24">
            <w:pPr>
              <w:pStyle w:val="12"/>
            </w:pPr>
            <w:r>
              <w:t>主教学楼地面改造工程面积</w:t>
            </w:r>
          </w:p>
        </w:tc>
        <w:tc>
          <w:tcPr>
            <w:tcW w:w="2268" w:type="dxa"/>
            <w:vAlign w:val="center"/>
          </w:tcPr>
          <w:p w14:paraId="73D05DF7">
            <w:pPr>
              <w:pStyle w:val="12"/>
            </w:pPr>
            <w:r>
              <w:t>≥3178平方米</w:t>
            </w:r>
          </w:p>
        </w:tc>
        <w:tc>
          <w:tcPr>
            <w:tcW w:w="1276" w:type="dxa"/>
            <w:vAlign w:val="center"/>
          </w:tcPr>
          <w:p w14:paraId="0F4A0F61">
            <w:pPr>
              <w:pStyle w:val="12"/>
            </w:pPr>
            <w:r>
              <w:t>可行性研究报告</w:t>
            </w:r>
          </w:p>
        </w:tc>
      </w:tr>
      <w:tr w14:paraId="785C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E78F0"/>
        </w:tc>
        <w:tc>
          <w:tcPr>
            <w:tcW w:w="2268" w:type="dxa"/>
            <w:vAlign w:val="center"/>
          </w:tcPr>
          <w:p w14:paraId="2B3912D9">
            <w:pPr>
              <w:pStyle w:val="12"/>
            </w:pPr>
            <w:r>
              <w:t>质量指标</w:t>
            </w:r>
          </w:p>
        </w:tc>
        <w:tc>
          <w:tcPr>
            <w:tcW w:w="2835" w:type="dxa"/>
            <w:vAlign w:val="center"/>
          </w:tcPr>
          <w:p w14:paraId="0588CE48">
            <w:pPr>
              <w:pStyle w:val="12"/>
            </w:pPr>
            <w:r>
              <w:t>新建、改扩建工程验收合格率</w:t>
            </w:r>
          </w:p>
        </w:tc>
        <w:tc>
          <w:tcPr>
            <w:tcW w:w="5386" w:type="dxa"/>
            <w:vAlign w:val="center"/>
          </w:tcPr>
          <w:p w14:paraId="1CA3F4C0">
            <w:pPr>
              <w:pStyle w:val="12"/>
            </w:pPr>
            <w:r>
              <w:t>新建工程验收合格数量与新建工程数量之比</w:t>
            </w:r>
          </w:p>
        </w:tc>
        <w:tc>
          <w:tcPr>
            <w:tcW w:w="2268" w:type="dxa"/>
            <w:vAlign w:val="center"/>
          </w:tcPr>
          <w:p w14:paraId="5B067206">
            <w:pPr>
              <w:pStyle w:val="12"/>
            </w:pPr>
            <w:r>
              <w:t>100%</w:t>
            </w:r>
          </w:p>
        </w:tc>
        <w:tc>
          <w:tcPr>
            <w:tcW w:w="1276" w:type="dxa"/>
            <w:vAlign w:val="center"/>
          </w:tcPr>
          <w:p w14:paraId="48830042">
            <w:pPr>
              <w:pStyle w:val="12"/>
            </w:pPr>
            <w:r>
              <w:t>可行性研究报告</w:t>
            </w:r>
          </w:p>
        </w:tc>
      </w:tr>
      <w:tr w14:paraId="7C1A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6D270"/>
        </w:tc>
        <w:tc>
          <w:tcPr>
            <w:tcW w:w="2268" w:type="dxa"/>
            <w:vAlign w:val="center"/>
          </w:tcPr>
          <w:p w14:paraId="15018B1D">
            <w:pPr>
              <w:pStyle w:val="12"/>
            </w:pPr>
            <w:r>
              <w:t>时效指标</w:t>
            </w:r>
          </w:p>
        </w:tc>
        <w:tc>
          <w:tcPr>
            <w:tcW w:w="2835" w:type="dxa"/>
            <w:vAlign w:val="center"/>
          </w:tcPr>
          <w:p w14:paraId="7FDB4AA2">
            <w:pPr>
              <w:pStyle w:val="12"/>
            </w:pPr>
            <w:r>
              <w:t>宿舍改造工程按期完成率</w:t>
            </w:r>
          </w:p>
        </w:tc>
        <w:tc>
          <w:tcPr>
            <w:tcW w:w="5386" w:type="dxa"/>
            <w:vAlign w:val="center"/>
          </w:tcPr>
          <w:p w14:paraId="162F3DEB">
            <w:pPr>
              <w:pStyle w:val="12"/>
            </w:pPr>
            <w:r>
              <w:t>工程按时完工率</w:t>
            </w:r>
          </w:p>
        </w:tc>
        <w:tc>
          <w:tcPr>
            <w:tcW w:w="2268" w:type="dxa"/>
            <w:vAlign w:val="center"/>
          </w:tcPr>
          <w:p w14:paraId="06964925">
            <w:pPr>
              <w:pStyle w:val="12"/>
            </w:pPr>
            <w:r>
              <w:t>100%</w:t>
            </w:r>
          </w:p>
        </w:tc>
        <w:tc>
          <w:tcPr>
            <w:tcW w:w="1276" w:type="dxa"/>
            <w:vAlign w:val="center"/>
          </w:tcPr>
          <w:p w14:paraId="68C8F71C">
            <w:pPr>
              <w:pStyle w:val="12"/>
            </w:pPr>
            <w:r>
              <w:t>结合项目实际情况</w:t>
            </w:r>
          </w:p>
        </w:tc>
      </w:tr>
      <w:tr w14:paraId="2F20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9F022"/>
        </w:tc>
        <w:tc>
          <w:tcPr>
            <w:tcW w:w="2268" w:type="dxa"/>
            <w:vAlign w:val="center"/>
          </w:tcPr>
          <w:p w14:paraId="22C47F6C">
            <w:pPr>
              <w:pStyle w:val="12"/>
            </w:pPr>
            <w:r>
              <w:t>成本指标</w:t>
            </w:r>
          </w:p>
        </w:tc>
        <w:tc>
          <w:tcPr>
            <w:tcW w:w="2835" w:type="dxa"/>
            <w:vAlign w:val="center"/>
          </w:tcPr>
          <w:p w14:paraId="5BC9E557">
            <w:pPr>
              <w:pStyle w:val="12"/>
            </w:pPr>
            <w:r>
              <w:t>设施修缮成本</w:t>
            </w:r>
          </w:p>
        </w:tc>
        <w:tc>
          <w:tcPr>
            <w:tcW w:w="5386" w:type="dxa"/>
            <w:vAlign w:val="center"/>
          </w:tcPr>
          <w:p w14:paraId="006D8836">
            <w:pPr>
              <w:pStyle w:val="12"/>
            </w:pPr>
            <w:r>
              <w:t>实行政府采购招投标</w:t>
            </w:r>
          </w:p>
        </w:tc>
        <w:tc>
          <w:tcPr>
            <w:tcW w:w="2268" w:type="dxa"/>
            <w:vAlign w:val="center"/>
          </w:tcPr>
          <w:p w14:paraId="798C1AA9">
            <w:pPr>
              <w:pStyle w:val="12"/>
            </w:pPr>
            <w:r>
              <w:t>≤71万元</w:t>
            </w:r>
          </w:p>
        </w:tc>
        <w:tc>
          <w:tcPr>
            <w:tcW w:w="1276" w:type="dxa"/>
            <w:vAlign w:val="center"/>
          </w:tcPr>
          <w:p w14:paraId="2A99D74B">
            <w:pPr>
              <w:pStyle w:val="12"/>
            </w:pPr>
            <w:r>
              <w:t>结合项目实际情况</w:t>
            </w:r>
          </w:p>
        </w:tc>
      </w:tr>
      <w:tr w14:paraId="550C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80105">
            <w:pPr>
              <w:pStyle w:val="13"/>
            </w:pPr>
            <w:r>
              <w:t>效益指标</w:t>
            </w:r>
          </w:p>
        </w:tc>
        <w:tc>
          <w:tcPr>
            <w:tcW w:w="2268" w:type="dxa"/>
            <w:vAlign w:val="center"/>
          </w:tcPr>
          <w:p w14:paraId="1D512DCC">
            <w:pPr>
              <w:pStyle w:val="12"/>
            </w:pPr>
            <w:r>
              <w:t>经济效益指标</w:t>
            </w:r>
          </w:p>
        </w:tc>
        <w:tc>
          <w:tcPr>
            <w:tcW w:w="2835" w:type="dxa"/>
            <w:vAlign w:val="center"/>
          </w:tcPr>
          <w:p w14:paraId="634C61DB">
            <w:pPr>
              <w:pStyle w:val="12"/>
            </w:pPr>
            <w:r>
              <w:t>高中教育毛入学率</w:t>
            </w:r>
          </w:p>
        </w:tc>
        <w:tc>
          <w:tcPr>
            <w:tcW w:w="5386" w:type="dxa"/>
            <w:vAlign w:val="center"/>
          </w:tcPr>
          <w:p w14:paraId="1BA697EB">
            <w:pPr>
              <w:pStyle w:val="12"/>
            </w:pPr>
            <w:r>
              <w:t>大幅度提升高中阶段毛入学率</w:t>
            </w:r>
          </w:p>
        </w:tc>
        <w:tc>
          <w:tcPr>
            <w:tcW w:w="2268" w:type="dxa"/>
            <w:vAlign w:val="center"/>
          </w:tcPr>
          <w:p w14:paraId="1E6EADA5">
            <w:pPr>
              <w:pStyle w:val="12"/>
            </w:pPr>
            <w:r>
              <w:t>≥90%</w:t>
            </w:r>
          </w:p>
        </w:tc>
        <w:tc>
          <w:tcPr>
            <w:tcW w:w="1276" w:type="dxa"/>
            <w:vAlign w:val="center"/>
          </w:tcPr>
          <w:p w14:paraId="17775865">
            <w:pPr>
              <w:pStyle w:val="12"/>
            </w:pPr>
            <w:r>
              <w:t>可行性研究报告</w:t>
            </w:r>
          </w:p>
        </w:tc>
      </w:tr>
      <w:tr w14:paraId="16F2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C6E4F"/>
        </w:tc>
        <w:tc>
          <w:tcPr>
            <w:tcW w:w="2268" w:type="dxa"/>
            <w:vAlign w:val="center"/>
          </w:tcPr>
          <w:p w14:paraId="0A970986">
            <w:pPr>
              <w:pStyle w:val="12"/>
            </w:pPr>
            <w:r>
              <w:t>社会效益指标</w:t>
            </w:r>
          </w:p>
        </w:tc>
        <w:tc>
          <w:tcPr>
            <w:tcW w:w="2835" w:type="dxa"/>
            <w:vAlign w:val="center"/>
          </w:tcPr>
          <w:p w14:paraId="20332495">
            <w:pPr>
              <w:pStyle w:val="12"/>
            </w:pPr>
            <w:r>
              <w:t>受益人数</w:t>
            </w:r>
          </w:p>
        </w:tc>
        <w:tc>
          <w:tcPr>
            <w:tcW w:w="5386" w:type="dxa"/>
            <w:vAlign w:val="center"/>
          </w:tcPr>
          <w:p w14:paraId="48374E80">
            <w:pPr>
              <w:pStyle w:val="12"/>
            </w:pPr>
            <w:r>
              <w:t>受益学生人数</w:t>
            </w:r>
          </w:p>
        </w:tc>
        <w:tc>
          <w:tcPr>
            <w:tcW w:w="2268" w:type="dxa"/>
            <w:vAlign w:val="center"/>
          </w:tcPr>
          <w:p w14:paraId="40857428">
            <w:pPr>
              <w:pStyle w:val="12"/>
            </w:pPr>
            <w:r>
              <w:t>≥1380人</w:t>
            </w:r>
          </w:p>
        </w:tc>
        <w:tc>
          <w:tcPr>
            <w:tcW w:w="1276" w:type="dxa"/>
            <w:vAlign w:val="center"/>
          </w:tcPr>
          <w:p w14:paraId="223C86B2">
            <w:pPr>
              <w:pStyle w:val="12"/>
            </w:pPr>
            <w:r>
              <w:t>可行性研究报告</w:t>
            </w:r>
          </w:p>
        </w:tc>
      </w:tr>
      <w:tr w14:paraId="7AD1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1F08D"/>
        </w:tc>
        <w:tc>
          <w:tcPr>
            <w:tcW w:w="2268" w:type="dxa"/>
            <w:vAlign w:val="center"/>
          </w:tcPr>
          <w:p w14:paraId="56ED308F">
            <w:pPr>
              <w:pStyle w:val="12"/>
            </w:pPr>
            <w:r>
              <w:t>可持续影响指标</w:t>
            </w:r>
          </w:p>
        </w:tc>
        <w:tc>
          <w:tcPr>
            <w:tcW w:w="2835" w:type="dxa"/>
            <w:vAlign w:val="center"/>
          </w:tcPr>
          <w:p w14:paraId="43BAEE52">
            <w:pPr>
              <w:pStyle w:val="12"/>
            </w:pPr>
            <w:r>
              <w:t>校舍使用年限</w:t>
            </w:r>
          </w:p>
        </w:tc>
        <w:tc>
          <w:tcPr>
            <w:tcW w:w="5386" w:type="dxa"/>
            <w:vAlign w:val="center"/>
          </w:tcPr>
          <w:p w14:paraId="3925DC37">
            <w:pPr>
              <w:pStyle w:val="12"/>
            </w:pPr>
            <w:r>
              <w:t>提高校舍使用年限</w:t>
            </w:r>
          </w:p>
        </w:tc>
        <w:tc>
          <w:tcPr>
            <w:tcW w:w="2268" w:type="dxa"/>
            <w:vAlign w:val="center"/>
          </w:tcPr>
          <w:p w14:paraId="1F97AD54">
            <w:pPr>
              <w:pStyle w:val="12"/>
            </w:pPr>
            <w:r>
              <w:t>≥50年</w:t>
            </w:r>
          </w:p>
        </w:tc>
        <w:tc>
          <w:tcPr>
            <w:tcW w:w="1276" w:type="dxa"/>
            <w:vAlign w:val="center"/>
          </w:tcPr>
          <w:p w14:paraId="3886167E">
            <w:pPr>
              <w:pStyle w:val="12"/>
            </w:pPr>
            <w:r>
              <w:t>可行性研究报告</w:t>
            </w:r>
          </w:p>
        </w:tc>
      </w:tr>
      <w:tr w14:paraId="6932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4FB17">
            <w:pPr>
              <w:pStyle w:val="13"/>
            </w:pPr>
            <w:r>
              <w:t>满意度指标</w:t>
            </w:r>
          </w:p>
        </w:tc>
        <w:tc>
          <w:tcPr>
            <w:tcW w:w="2268" w:type="dxa"/>
            <w:vAlign w:val="center"/>
          </w:tcPr>
          <w:p w14:paraId="1A2EABC0">
            <w:pPr>
              <w:pStyle w:val="12"/>
            </w:pPr>
            <w:r>
              <w:t>服务对象满意度指标</w:t>
            </w:r>
          </w:p>
        </w:tc>
        <w:tc>
          <w:tcPr>
            <w:tcW w:w="2835" w:type="dxa"/>
            <w:vAlign w:val="center"/>
          </w:tcPr>
          <w:p w14:paraId="4AE270D1">
            <w:pPr>
              <w:pStyle w:val="12"/>
            </w:pPr>
            <w:r>
              <w:t>学生和学生家长满意度</w:t>
            </w:r>
          </w:p>
        </w:tc>
        <w:tc>
          <w:tcPr>
            <w:tcW w:w="5386" w:type="dxa"/>
            <w:vAlign w:val="center"/>
          </w:tcPr>
          <w:p w14:paraId="1BEA5878">
            <w:pPr>
              <w:pStyle w:val="12"/>
            </w:pPr>
            <w:r>
              <w:t>大幅提高学生和学生家长满意度</w:t>
            </w:r>
          </w:p>
        </w:tc>
        <w:tc>
          <w:tcPr>
            <w:tcW w:w="2268" w:type="dxa"/>
            <w:vAlign w:val="center"/>
          </w:tcPr>
          <w:p w14:paraId="6B7D8FED">
            <w:pPr>
              <w:pStyle w:val="12"/>
            </w:pPr>
            <w:r>
              <w:t>≥95%</w:t>
            </w:r>
          </w:p>
        </w:tc>
        <w:tc>
          <w:tcPr>
            <w:tcW w:w="1276" w:type="dxa"/>
            <w:vAlign w:val="center"/>
          </w:tcPr>
          <w:p w14:paraId="6E5F8585">
            <w:pPr>
              <w:pStyle w:val="12"/>
            </w:pPr>
            <w:r>
              <w:t>可行性研究报告</w:t>
            </w:r>
          </w:p>
        </w:tc>
      </w:tr>
    </w:tbl>
    <w:p w14:paraId="7A14D749">
      <w:pPr>
        <w:sectPr>
          <w:pgSz w:w="16840" w:h="11900" w:orient="landscape"/>
          <w:pgMar w:top="1361" w:right="1020" w:bottom="1134" w:left="1020" w:header="720" w:footer="720" w:gutter="0"/>
          <w:cols w:space="720" w:num="1"/>
        </w:sectPr>
      </w:pPr>
    </w:p>
    <w:p w14:paraId="7DB2C4D8">
      <w:pPr>
        <w:spacing w:before="0" w:after="0"/>
        <w:ind w:firstLine="560"/>
        <w:jc w:val="left"/>
        <w:outlineLvl w:val="9"/>
      </w:pPr>
      <w:r>
        <w:rPr>
          <w:rFonts w:ascii="方正仿宋_GBK" w:hAnsi="方正仿宋_GBK" w:eastAsia="方正仿宋_GBK" w:cs="方正仿宋_GBK"/>
          <w:b/>
          <w:color w:val="000000"/>
          <w:sz w:val="28"/>
        </w:rPr>
        <w:t>2、冀财教[2023]155号/中央/2024年高中改善办学条件/一中主教学楼地面改造工程绩效目标表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C4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3DCB2">
            <w:pPr>
              <w:pStyle w:val="11"/>
            </w:pPr>
            <w:r>
              <w:t>单位：万元</w:t>
            </w:r>
          </w:p>
        </w:tc>
      </w:tr>
      <w:tr w14:paraId="58BA3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C3174">
            <w:pPr>
              <w:pStyle w:val="10"/>
            </w:pPr>
            <w:r>
              <w:t>项目编码</w:t>
            </w:r>
          </w:p>
        </w:tc>
        <w:tc>
          <w:tcPr>
            <w:tcW w:w="5103" w:type="dxa"/>
            <w:gridSpan w:val="2"/>
            <w:vAlign w:val="center"/>
          </w:tcPr>
          <w:p w14:paraId="4B83285B">
            <w:pPr>
              <w:pStyle w:val="12"/>
            </w:pPr>
            <w:r>
              <w:t>13052526P00877110012X</w:t>
            </w:r>
          </w:p>
        </w:tc>
        <w:tc>
          <w:tcPr>
            <w:tcW w:w="2835" w:type="dxa"/>
            <w:vAlign w:val="center"/>
          </w:tcPr>
          <w:p w14:paraId="7202DF7F">
            <w:pPr>
              <w:pStyle w:val="10"/>
            </w:pPr>
            <w:r>
              <w:t>项目名称</w:t>
            </w:r>
          </w:p>
        </w:tc>
        <w:tc>
          <w:tcPr>
            <w:tcW w:w="6095" w:type="dxa"/>
            <w:gridSpan w:val="3"/>
            <w:vAlign w:val="center"/>
          </w:tcPr>
          <w:p w14:paraId="4B3B4A07">
            <w:pPr>
              <w:pStyle w:val="12"/>
            </w:pPr>
            <w:r>
              <w:t>冀财教[2023]155号/中央/2024年高中改善办学条件/一中主教学楼地面改造工程</w:t>
            </w:r>
          </w:p>
        </w:tc>
      </w:tr>
      <w:tr w14:paraId="7085A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1C0AA">
            <w:pPr>
              <w:pStyle w:val="10"/>
            </w:pPr>
            <w:r>
              <w:t>预算规模及资金用途</w:t>
            </w:r>
          </w:p>
        </w:tc>
        <w:tc>
          <w:tcPr>
            <w:tcW w:w="2268" w:type="dxa"/>
            <w:vAlign w:val="center"/>
          </w:tcPr>
          <w:p w14:paraId="07ADF1C9">
            <w:pPr>
              <w:pStyle w:val="10"/>
            </w:pPr>
            <w:r>
              <w:t>预算数</w:t>
            </w:r>
          </w:p>
        </w:tc>
        <w:tc>
          <w:tcPr>
            <w:tcW w:w="2835" w:type="dxa"/>
            <w:vAlign w:val="center"/>
          </w:tcPr>
          <w:p w14:paraId="1948325F">
            <w:pPr>
              <w:pStyle w:val="12"/>
            </w:pPr>
            <w:r>
              <w:t>12.20</w:t>
            </w:r>
          </w:p>
        </w:tc>
        <w:tc>
          <w:tcPr>
            <w:tcW w:w="2835" w:type="dxa"/>
            <w:vAlign w:val="center"/>
          </w:tcPr>
          <w:p w14:paraId="6FB5767D">
            <w:pPr>
              <w:pStyle w:val="10"/>
            </w:pPr>
            <w:r>
              <w:t>其中：财政    资金</w:t>
            </w:r>
          </w:p>
        </w:tc>
        <w:tc>
          <w:tcPr>
            <w:tcW w:w="2551" w:type="dxa"/>
            <w:vAlign w:val="center"/>
          </w:tcPr>
          <w:p w14:paraId="1B567C50">
            <w:pPr>
              <w:pStyle w:val="12"/>
            </w:pPr>
            <w:r>
              <w:t>12.20</w:t>
            </w:r>
          </w:p>
        </w:tc>
        <w:tc>
          <w:tcPr>
            <w:tcW w:w="2268" w:type="dxa"/>
            <w:vAlign w:val="center"/>
          </w:tcPr>
          <w:p w14:paraId="04F23A19">
            <w:pPr>
              <w:pStyle w:val="10"/>
            </w:pPr>
            <w:r>
              <w:t>其他资金</w:t>
            </w:r>
          </w:p>
        </w:tc>
        <w:tc>
          <w:tcPr>
            <w:tcW w:w="1276" w:type="dxa"/>
            <w:vAlign w:val="center"/>
          </w:tcPr>
          <w:p w14:paraId="2FABCF28">
            <w:pPr>
              <w:pStyle w:val="12"/>
            </w:pPr>
            <w:r>
              <w:t xml:space="preserve"> </w:t>
            </w:r>
          </w:p>
        </w:tc>
      </w:tr>
      <w:tr w14:paraId="37246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4591A"/>
        </w:tc>
        <w:tc>
          <w:tcPr>
            <w:tcW w:w="14033" w:type="dxa"/>
            <w:gridSpan w:val="6"/>
            <w:vAlign w:val="center"/>
          </w:tcPr>
          <w:p w14:paraId="526F4933">
            <w:pPr>
              <w:pStyle w:val="12"/>
            </w:pPr>
            <w:r>
              <w:t>落实全国中小学校舍改造实施规划，完善学校整体面貌和教育设施</w:t>
            </w:r>
          </w:p>
        </w:tc>
      </w:tr>
      <w:tr w14:paraId="3A7D6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20209">
            <w:pPr>
              <w:pStyle w:val="10"/>
            </w:pPr>
            <w:r>
              <w:t>资金支出计划（%）</w:t>
            </w:r>
          </w:p>
        </w:tc>
        <w:tc>
          <w:tcPr>
            <w:tcW w:w="5103" w:type="dxa"/>
            <w:gridSpan w:val="2"/>
            <w:vAlign w:val="center"/>
          </w:tcPr>
          <w:p w14:paraId="48DAB862">
            <w:pPr>
              <w:pStyle w:val="10"/>
            </w:pPr>
            <w:r>
              <w:t>3月底</w:t>
            </w:r>
          </w:p>
        </w:tc>
        <w:tc>
          <w:tcPr>
            <w:tcW w:w="2835" w:type="dxa"/>
            <w:vAlign w:val="center"/>
          </w:tcPr>
          <w:p w14:paraId="699331F1">
            <w:pPr>
              <w:pStyle w:val="10"/>
            </w:pPr>
            <w:r>
              <w:t>6月底</w:t>
            </w:r>
          </w:p>
        </w:tc>
        <w:tc>
          <w:tcPr>
            <w:tcW w:w="2551" w:type="dxa"/>
            <w:vAlign w:val="center"/>
          </w:tcPr>
          <w:p w14:paraId="4938AB8E">
            <w:pPr>
              <w:pStyle w:val="10"/>
            </w:pPr>
            <w:r>
              <w:t>10月底</w:t>
            </w:r>
          </w:p>
        </w:tc>
        <w:tc>
          <w:tcPr>
            <w:tcW w:w="3544" w:type="dxa"/>
            <w:gridSpan w:val="2"/>
            <w:vAlign w:val="center"/>
          </w:tcPr>
          <w:p w14:paraId="06ABC1E4">
            <w:pPr>
              <w:pStyle w:val="10"/>
            </w:pPr>
            <w:r>
              <w:t>12月底</w:t>
            </w:r>
          </w:p>
        </w:tc>
      </w:tr>
      <w:tr w14:paraId="5EC31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E1366"/>
        </w:tc>
        <w:tc>
          <w:tcPr>
            <w:tcW w:w="5103" w:type="dxa"/>
            <w:gridSpan w:val="2"/>
            <w:vAlign w:val="center"/>
          </w:tcPr>
          <w:p w14:paraId="7739279A">
            <w:pPr>
              <w:pStyle w:val="13"/>
            </w:pPr>
            <w:r>
              <w:t>100%</w:t>
            </w:r>
          </w:p>
        </w:tc>
        <w:tc>
          <w:tcPr>
            <w:tcW w:w="2835" w:type="dxa"/>
            <w:vAlign w:val="center"/>
          </w:tcPr>
          <w:p w14:paraId="2724FC64">
            <w:pPr>
              <w:pStyle w:val="13"/>
            </w:pPr>
            <w:r>
              <w:t>100%</w:t>
            </w:r>
          </w:p>
        </w:tc>
        <w:tc>
          <w:tcPr>
            <w:tcW w:w="2551" w:type="dxa"/>
            <w:vAlign w:val="center"/>
          </w:tcPr>
          <w:p w14:paraId="69C46007">
            <w:pPr>
              <w:pStyle w:val="13"/>
            </w:pPr>
            <w:r>
              <w:t>100%</w:t>
            </w:r>
          </w:p>
        </w:tc>
        <w:tc>
          <w:tcPr>
            <w:tcW w:w="3544" w:type="dxa"/>
            <w:gridSpan w:val="2"/>
            <w:vAlign w:val="center"/>
          </w:tcPr>
          <w:p w14:paraId="07CFC8C6">
            <w:pPr>
              <w:pStyle w:val="13"/>
            </w:pPr>
            <w:r>
              <w:t>100%</w:t>
            </w:r>
          </w:p>
        </w:tc>
      </w:tr>
      <w:tr w14:paraId="7335E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0813D">
            <w:pPr>
              <w:pStyle w:val="10"/>
            </w:pPr>
            <w:r>
              <w:t>绩效目标</w:t>
            </w:r>
          </w:p>
        </w:tc>
        <w:tc>
          <w:tcPr>
            <w:tcW w:w="14033" w:type="dxa"/>
            <w:gridSpan w:val="6"/>
            <w:vAlign w:val="center"/>
          </w:tcPr>
          <w:p w14:paraId="7CB28E08">
            <w:pPr>
              <w:pStyle w:val="12"/>
            </w:pPr>
            <w:r>
              <w:t>1.改善普通高中办学条件，进一步提升高中教育质量</w:t>
            </w:r>
          </w:p>
          <w:p w14:paraId="5938F45A">
            <w:pPr>
              <w:pStyle w:val="12"/>
            </w:pPr>
            <w:r>
              <w:t>2.按时拨付资金121967.26元，资金拨付率达到100%</w:t>
            </w:r>
          </w:p>
          <w:p w14:paraId="1DCFE165">
            <w:pPr>
              <w:pStyle w:val="12"/>
            </w:pPr>
            <w:r>
              <w:t>3.落实全国中小学校舍改造实施规划，完善学校整体面貌和教育设施</w:t>
            </w:r>
          </w:p>
        </w:tc>
      </w:tr>
    </w:tbl>
    <w:p w14:paraId="066874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2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AB2A8">
            <w:pPr>
              <w:pStyle w:val="10"/>
            </w:pPr>
            <w:r>
              <w:t>一级指标</w:t>
            </w:r>
          </w:p>
        </w:tc>
        <w:tc>
          <w:tcPr>
            <w:tcW w:w="2268" w:type="dxa"/>
            <w:vAlign w:val="center"/>
          </w:tcPr>
          <w:p w14:paraId="1CFF0A12">
            <w:pPr>
              <w:pStyle w:val="10"/>
            </w:pPr>
            <w:r>
              <w:t>二级指标</w:t>
            </w:r>
          </w:p>
        </w:tc>
        <w:tc>
          <w:tcPr>
            <w:tcW w:w="2835" w:type="dxa"/>
            <w:vAlign w:val="center"/>
          </w:tcPr>
          <w:p w14:paraId="4D7B38F1">
            <w:pPr>
              <w:pStyle w:val="10"/>
            </w:pPr>
            <w:r>
              <w:t>三级指标</w:t>
            </w:r>
          </w:p>
        </w:tc>
        <w:tc>
          <w:tcPr>
            <w:tcW w:w="5386" w:type="dxa"/>
            <w:vAlign w:val="center"/>
          </w:tcPr>
          <w:p w14:paraId="232C2352">
            <w:pPr>
              <w:pStyle w:val="10"/>
            </w:pPr>
            <w:r>
              <w:t>绩效指标描述</w:t>
            </w:r>
          </w:p>
        </w:tc>
        <w:tc>
          <w:tcPr>
            <w:tcW w:w="2268" w:type="dxa"/>
            <w:vAlign w:val="center"/>
          </w:tcPr>
          <w:p w14:paraId="5DC6F074">
            <w:pPr>
              <w:pStyle w:val="10"/>
            </w:pPr>
            <w:r>
              <w:t>指标值</w:t>
            </w:r>
          </w:p>
        </w:tc>
        <w:tc>
          <w:tcPr>
            <w:tcW w:w="1276" w:type="dxa"/>
            <w:vAlign w:val="center"/>
          </w:tcPr>
          <w:p w14:paraId="0B049116">
            <w:pPr>
              <w:pStyle w:val="10"/>
            </w:pPr>
            <w:r>
              <w:t>指标值确定依据</w:t>
            </w:r>
          </w:p>
        </w:tc>
      </w:tr>
      <w:tr w14:paraId="2AF4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1588B">
            <w:pPr>
              <w:pStyle w:val="13"/>
            </w:pPr>
            <w:r>
              <w:t>产出指标</w:t>
            </w:r>
          </w:p>
        </w:tc>
        <w:tc>
          <w:tcPr>
            <w:tcW w:w="2268" w:type="dxa"/>
            <w:vAlign w:val="center"/>
          </w:tcPr>
          <w:p w14:paraId="178D02CF">
            <w:pPr>
              <w:pStyle w:val="12"/>
            </w:pPr>
            <w:r>
              <w:t>数量指标</w:t>
            </w:r>
          </w:p>
        </w:tc>
        <w:tc>
          <w:tcPr>
            <w:tcW w:w="2835" w:type="dxa"/>
            <w:vAlign w:val="center"/>
          </w:tcPr>
          <w:p w14:paraId="20B8E356">
            <w:pPr>
              <w:pStyle w:val="12"/>
            </w:pPr>
            <w:r>
              <w:t>普通高中新建、改扩建校舍面积</w:t>
            </w:r>
          </w:p>
        </w:tc>
        <w:tc>
          <w:tcPr>
            <w:tcW w:w="5386" w:type="dxa"/>
            <w:vAlign w:val="center"/>
          </w:tcPr>
          <w:p w14:paraId="1263BB41">
            <w:pPr>
              <w:pStyle w:val="12"/>
            </w:pPr>
            <w:r>
              <w:t>主教学楼地面改造工程面积</w:t>
            </w:r>
          </w:p>
        </w:tc>
        <w:tc>
          <w:tcPr>
            <w:tcW w:w="2268" w:type="dxa"/>
            <w:vAlign w:val="center"/>
          </w:tcPr>
          <w:p w14:paraId="7E529D10">
            <w:pPr>
              <w:pStyle w:val="12"/>
            </w:pPr>
            <w:r>
              <w:t>7675平方米</w:t>
            </w:r>
          </w:p>
        </w:tc>
        <w:tc>
          <w:tcPr>
            <w:tcW w:w="1276" w:type="dxa"/>
            <w:vAlign w:val="center"/>
          </w:tcPr>
          <w:p w14:paraId="72D5AC7D">
            <w:pPr>
              <w:pStyle w:val="12"/>
            </w:pPr>
            <w:r>
              <w:t>可行性研究报告</w:t>
            </w:r>
          </w:p>
        </w:tc>
      </w:tr>
      <w:tr w14:paraId="3A28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92956"/>
        </w:tc>
        <w:tc>
          <w:tcPr>
            <w:tcW w:w="2268" w:type="dxa"/>
            <w:vAlign w:val="center"/>
          </w:tcPr>
          <w:p w14:paraId="6ADB767D">
            <w:pPr>
              <w:pStyle w:val="12"/>
            </w:pPr>
            <w:r>
              <w:t>质量指标</w:t>
            </w:r>
          </w:p>
        </w:tc>
        <w:tc>
          <w:tcPr>
            <w:tcW w:w="2835" w:type="dxa"/>
            <w:vAlign w:val="center"/>
          </w:tcPr>
          <w:p w14:paraId="2C1D1D6D">
            <w:pPr>
              <w:pStyle w:val="12"/>
            </w:pPr>
            <w:r>
              <w:t>新建、改扩建工程验收合格率</w:t>
            </w:r>
          </w:p>
        </w:tc>
        <w:tc>
          <w:tcPr>
            <w:tcW w:w="5386" w:type="dxa"/>
            <w:vAlign w:val="center"/>
          </w:tcPr>
          <w:p w14:paraId="1C388ED4">
            <w:pPr>
              <w:pStyle w:val="12"/>
            </w:pPr>
            <w:r>
              <w:t>新建工程验收合格数量与新建工程数量之比</w:t>
            </w:r>
          </w:p>
        </w:tc>
        <w:tc>
          <w:tcPr>
            <w:tcW w:w="2268" w:type="dxa"/>
            <w:vAlign w:val="center"/>
          </w:tcPr>
          <w:p w14:paraId="418FC7B8">
            <w:pPr>
              <w:pStyle w:val="12"/>
            </w:pPr>
            <w:r>
              <w:t>100%</w:t>
            </w:r>
          </w:p>
        </w:tc>
        <w:tc>
          <w:tcPr>
            <w:tcW w:w="1276" w:type="dxa"/>
            <w:vAlign w:val="center"/>
          </w:tcPr>
          <w:p w14:paraId="7C97C1C3">
            <w:pPr>
              <w:pStyle w:val="12"/>
            </w:pPr>
            <w:r>
              <w:t>可行性研究报告</w:t>
            </w:r>
          </w:p>
        </w:tc>
      </w:tr>
      <w:tr w14:paraId="3BAB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11858"/>
        </w:tc>
        <w:tc>
          <w:tcPr>
            <w:tcW w:w="2268" w:type="dxa"/>
            <w:vAlign w:val="center"/>
          </w:tcPr>
          <w:p w14:paraId="35BF88FE">
            <w:pPr>
              <w:pStyle w:val="12"/>
            </w:pPr>
            <w:r>
              <w:t>时效指标</w:t>
            </w:r>
          </w:p>
        </w:tc>
        <w:tc>
          <w:tcPr>
            <w:tcW w:w="2835" w:type="dxa"/>
            <w:vAlign w:val="center"/>
          </w:tcPr>
          <w:p w14:paraId="443A182C">
            <w:pPr>
              <w:pStyle w:val="12"/>
            </w:pPr>
            <w:r>
              <w:t>宿舍改造工程按期完成率</w:t>
            </w:r>
          </w:p>
        </w:tc>
        <w:tc>
          <w:tcPr>
            <w:tcW w:w="5386" w:type="dxa"/>
            <w:vAlign w:val="center"/>
          </w:tcPr>
          <w:p w14:paraId="5CE3FC04">
            <w:pPr>
              <w:pStyle w:val="12"/>
            </w:pPr>
            <w:r>
              <w:t>工程按时完工率</w:t>
            </w:r>
          </w:p>
        </w:tc>
        <w:tc>
          <w:tcPr>
            <w:tcW w:w="2268" w:type="dxa"/>
            <w:vAlign w:val="center"/>
          </w:tcPr>
          <w:p w14:paraId="2E31584E">
            <w:pPr>
              <w:pStyle w:val="12"/>
            </w:pPr>
            <w:r>
              <w:t>100%</w:t>
            </w:r>
          </w:p>
        </w:tc>
        <w:tc>
          <w:tcPr>
            <w:tcW w:w="1276" w:type="dxa"/>
            <w:vAlign w:val="center"/>
          </w:tcPr>
          <w:p w14:paraId="4ECF78E9">
            <w:pPr>
              <w:pStyle w:val="12"/>
            </w:pPr>
            <w:r>
              <w:t>结合项目实际情况</w:t>
            </w:r>
          </w:p>
        </w:tc>
      </w:tr>
      <w:tr w14:paraId="245C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09889"/>
        </w:tc>
        <w:tc>
          <w:tcPr>
            <w:tcW w:w="2268" w:type="dxa"/>
            <w:vAlign w:val="center"/>
          </w:tcPr>
          <w:p w14:paraId="7CF62C13">
            <w:pPr>
              <w:pStyle w:val="12"/>
            </w:pPr>
            <w:r>
              <w:t>成本指标</w:t>
            </w:r>
          </w:p>
        </w:tc>
        <w:tc>
          <w:tcPr>
            <w:tcW w:w="2835" w:type="dxa"/>
            <w:vAlign w:val="center"/>
          </w:tcPr>
          <w:p w14:paraId="5ECDBFF3">
            <w:pPr>
              <w:pStyle w:val="12"/>
            </w:pPr>
            <w:r>
              <w:t>设施修缮成本</w:t>
            </w:r>
          </w:p>
        </w:tc>
        <w:tc>
          <w:tcPr>
            <w:tcW w:w="5386" w:type="dxa"/>
            <w:vAlign w:val="center"/>
          </w:tcPr>
          <w:p w14:paraId="5C8F3358">
            <w:pPr>
              <w:pStyle w:val="12"/>
            </w:pPr>
            <w:r>
              <w:t>实行政府采购招投标</w:t>
            </w:r>
          </w:p>
        </w:tc>
        <w:tc>
          <w:tcPr>
            <w:tcW w:w="2268" w:type="dxa"/>
            <w:vAlign w:val="center"/>
          </w:tcPr>
          <w:p w14:paraId="67D78BF6">
            <w:pPr>
              <w:pStyle w:val="12"/>
            </w:pPr>
            <w:r>
              <w:t>≤122.8万元</w:t>
            </w:r>
          </w:p>
        </w:tc>
        <w:tc>
          <w:tcPr>
            <w:tcW w:w="1276" w:type="dxa"/>
            <w:vAlign w:val="center"/>
          </w:tcPr>
          <w:p w14:paraId="505D29B1">
            <w:pPr>
              <w:pStyle w:val="12"/>
            </w:pPr>
            <w:r>
              <w:t>结合项目实际情况</w:t>
            </w:r>
          </w:p>
        </w:tc>
      </w:tr>
      <w:tr w14:paraId="09BA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F2EC4">
            <w:pPr>
              <w:pStyle w:val="13"/>
            </w:pPr>
            <w:r>
              <w:t>效益指标</w:t>
            </w:r>
          </w:p>
        </w:tc>
        <w:tc>
          <w:tcPr>
            <w:tcW w:w="2268" w:type="dxa"/>
            <w:vAlign w:val="center"/>
          </w:tcPr>
          <w:p w14:paraId="296F7ADF">
            <w:pPr>
              <w:pStyle w:val="12"/>
            </w:pPr>
            <w:r>
              <w:t>经济效益指标</w:t>
            </w:r>
          </w:p>
        </w:tc>
        <w:tc>
          <w:tcPr>
            <w:tcW w:w="2835" w:type="dxa"/>
            <w:vAlign w:val="center"/>
          </w:tcPr>
          <w:p w14:paraId="214D4BC0">
            <w:pPr>
              <w:pStyle w:val="12"/>
            </w:pPr>
            <w:r>
              <w:t>高中教育毛入学率</w:t>
            </w:r>
          </w:p>
        </w:tc>
        <w:tc>
          <w:tcPr>
            <w:tcW w:w="5386" w:type="dxa"/>
            <w:vAlign w:val="center"/>
          </w:tcPr>
          <w:p w14:paraId="398D53A5">
            <w:pPr>
              <w:pStyle w:val="12"/>
            </w:pPr>
            <w:r>
              <w:t>大幅度提升高中阶段毛入学率</w:t>
            </w:r>
          </w:p>
        </w:tc>
        <w:tc>
          <w:tcPr>
            <w:tcW w:w="2268" w:type="dxa"/>
            <w:vAlign w:val="center"/>
          </w:tcPr>
          <w:p w14:paraId="44403A4C">
            <w:pPr>
              <w:pStyle w:val="12"/>
            </w:pPr>
            <w:r>
              <w:t>≥90%</w:t>
            </w:r>
          </w:p>
        </w:tc>
        <w:tc>
          <w:tcPr>
            <w:tcW w:w="1276" w:type="dxa"/>
            <w:vAlign w:val="center"/>
          </w:tcPr>
          <w:p w14:paraId="4B18C9CC">
            <w:pPr>
              <w:pStyle w:val="12"/>
            </w:pPr>
            <w:r>
              <w:t>可行性研究报告</w:t>
            </w:r>
          </w:p>
        </w:tc>
      </w:tr>
      <w:tr w14:paraId="203F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C485D"/>
        </w:tc>
        <w:tc>
          <w:tcPr>
            <w:tcW w:w="2268" w:type="dxa"/>
            <w:vAlign w:val="center"/>
          </w:tcPr>
          <w:p w14:paraId="4F06F6B8">
            <w:pPr>
              <w:pStyle w:val="12"/>
            </w:pPr>
            <w:r>
              <w:t>社会效益指标</w:t>
            </w:r>
          </w:p>
        </w:tc>
        <w:tc>
          <w:tcPr>
            <w:tcW w:w="2835" w:type="dxa"/>
            <w:vAlign w:val="center"/>
          </w:tcPr>
          <w:p w14:paraId="0DB433FC">
            <w:pPr>
              <w:pStyle w:val="12"/>
            </w:pPr>
            <w:r>
              <w:t>受益人数</w:t>
            </w:r>
          </w:p>
        </w:tc>
        <w:tc>
          <w:tcPr>
            <w:tcW w:w="5386" w:type="dxa"/>
            <w:vAlign w:val="center"/>
          </w:tcPr>
          <w:p w14:paraId="39803E98">
            <w:pPr>
              <w:pStyle w:val="12"/>
            </w:pPr>
            <w:r>
              <w:t>受益学生人数</w:t>
            </w:r>
          </w:p>
        </w:tc>
        <w:tc>
          <w:tcPr>
            <w:tcW w:w="2268" w:type="dxa"/>
            <w:vAlign w:val="center"/>
          </w:tcPr>
          <w:p w14:paraId="76D2ACC9">
            <w:pPr>
              <w:pStyle w:val="12"/>
            </w:pPr>
            <w:r>
              <w:t>≥1380人</w:t>
            </w:r>
          </w:p>
        </w:tc>
        <w:tc>
          <w:tcPr>
            <w:tcW w:w="1276" w:type="dxa"/>
            <w:vAlign w:val="center"/>
          </w:tcPr>
          <w:p w14:paraId="12456CFA">
            <w:pPr>
              <w:pStyle w:val="12"/>
            </w:pPr>
            <w:r>
              <w:t>可行性研究报告</w:t>
            </w:r>
          </w:p>
        </w:tc>
      </w:tr>
      <w:tr w14:paraId="243A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FE46"/>
        </w:tc>
        <w:tc>
          <w:tcPr>
            <w:tcW w:w="2268" w:type="dxa"/>
            <w:vAlign w:val="center"/>
          </w:tcPr>
          <w:p w14:paraId="111829F2">
            <w:pPr>
              <w:pStyle w:val="12"/>
            </w:pPr>
            <w:r>
              <w:t>可持续影响指标</w:t>
            </w:r>
          </w:p>
        </w:tc>
        <w:tc>
          <w:tcPr>
            <w:tcW w:w="2835" w:type="dxa"/>
            <w:vAlign w:val="center"/>
          </w:tcPr>
          <w:p w14:paraId="7E82AC5C">
            <w:pPr>
              <w:pStyle w:val="12"/>
            </w:pPr>
            <w:r>
              <w:t>校舍使用年限</w:t>
            </w:r>
          </w:p>
        </w:tc>
        <w:tc>
          <w:tcPr>
            <w:tcW w:w="5386" w:type="dxa"/>
            <w:vAlign w:val="center"/>
          </w:tcPr>
          <w:p w14:paraId="582CF4E4">
            <w:pPr>
              <w:pStyle w:val="12"/>
            </w:pPr>
            <w:r>
              <w:t>提高校舍使用年限</w:t>
            </w:r>
          </w:p>
        </w:tc>
        <w:tc>
          <w:tcPr>
            <w:tcW w:w="2268" w:type="dxa"/>
            <w:vAlign w:val="center"/>
          </w:tcPr>
          <w:p w14:paraId="42975A81">
            <w:pPr>
              <w:pStyle w:val="12"/>
            </w:pPr>
            <w:r>
              <w:t>≥50年</w:t>
            </w:r>
          </w:p>
        </w:tc>
        <w:tc>
          <w:tcPr>
            <w:tcW w:w="1276" w:type="dxa"/>
            <w:vAlign w:val="center"/>
          </w:tcPr>
          <w:p w14:paraId="28317579">
            <w:pPr>
              <w:pStyle w:val="12"/>
            </w:pPr>
            <w:r>
              <w:t>可行性研究报告</w:t>
            </w:r>
          </w:p>
        </w:tc>
      </w:tr>
      <w:tr w14:paraId="679375E2">
        <w:tblPrEx>
          <w:tblCellMar>
            <w:top w:w="0" w:type="dxa"/>
            <w:left w:w="108" w:type="dxa"/>
            <w:bottom w:w="0" w:type="dxa"/>
            <w:right w:w="108" w:type="dxa"/>
          </w:tblCellMar>
        </w:tblPrEx>
        <w:trPr>
          <w:trHeight w:val="397" w:hRule="atLeast"/>
          <w:jc w:val="center"/>
        </w:trPr>
        <w:tc>
          <w:tcPr>
            <w:tcW w:w="1276" w:type="dxa"/>
            <w:vAlign w:val="center"/>
          </w:tcPr>
          <w:p w14:paraId="35493F31">
            <w:pPr>
              <w:pStyle w:val="13"/>
            </w:pPr>
            <w:r>
              <w:t>满意度指标</w:t>
            </w:r>
          </w:p>
        </w:tc>
        <w:tc>
          <w:tcPr>
            <w:tcW w:w="2268" w:type="dxa"/>
            <w:vAlign w:val="center"/>
          </w:tcPr>
          <w:p w14:paraId="19650C71">
            <w:pPr>
              <w:pStyle w:val="12"/>
            </w:pPr>
            <w:r>
              <w:t>服务对象满意度指标</w:t>
            </w:r>
          </w:p>
        </w:tc>
        <w:tc>
          <w:tcPr>
            <w:tcW w:w="2835" w:type="dxa"/>
            <w:vAlign w:val="center"/>
          </w:tcPr>
          <w:p w14:paraId="54320C83">
            <w:pPr>
              <w:pStyle w:val="12"/>
            </w:pPr>
            <w:r>
              <w:t>学生和学生家长满意度</w:t>
            </w:r>
          </w:p>
        </w:tc>
        <w:tc>
          <w:tcPr>
            <w:tcW w:w="5386" w:type="dxa"/>
            <w:vAlign w:val="center"/>
          </w:tcPr>
          <w:p w14:paraId="6A286C5B">
            <w:pPr>
              <w:pStyle w:val="12"/>
            </w:pPr>
            <w:r>
              <w:t>大幅提高学生和学生家长满意度</w:t>
            </w:r>
          </w:p>
        </w:tc>
        <w:tc>
          <w:tcPr>
            <w:tcW w:w="2268" w:type="dxa"/>
            <w:vAlign w:val="center"/>
          </w:tcPr>
          <w:p w14:paraId="24DC0764">
            <w:pPr>
              <w:pStyle w:val="12"/>
            </w:pPr>
            <w:r>
              <w:t>≥95%</w:t>
            </w:r>
          </w:p>
        </w:tc>
        <w:tc>
          <w:tcPr>
            <w:tcW w:w="1276" w:type="dxa"/>
            <w:vAlign w:val="center"/>
          </w:tcPr>
          <w:p w14:paraId="666D7D93">
            <w:pPr>
              <w:pStyle w:val="12"/>
            </w:pPr>
            <w:r>
              <w:t>可行性研究报告</w:t>
            </w:r>
          </w:p>
        </w:tc>
      </w:tr>
    </w:tbl>
    <w:p w14:paraId="5A2E8294">
      <w:pPr>
        <w:sectPr>
          <w:pgSz w:w="16840" w:h="11900" w:orient="landscape"/>
          <w:pgMar w:top="1361" w:right="1020" w:bottom="1134" w:left="1020" w:header="720" w:footer="720" w:gutter="0"/>
          <w:cols w:space="720" w:num="1"/>
        </w:sectPr>
      </w:pPr>
    </w:p>
    <w:p w14:paraId="54BC42FA">
      <w:pPr>
        <w:spacing w:before="0" w:after="0"/>
        <w:ind w:firstLine="560"/>
        <w:jc w:val="left"/>
        <w:outlineLvl w:val="9"/>
      </w:pPr>
      <w:r>
        <w:rPr>
          <w:rFonts w:ascii="方正仿宋_GBK" w:hAnsi="方正仿宋_GBK" w:eastAsia="方正仿宋_GBK" w:cs="方正仿宋_GBK"/>
          <w:b/>
          <w:color w:val="000000"/>
          <w:sz w:val="28"/>
        </w:rPr>
        <w:t>3、冀财教[2023]155号/中央/2024年高中改善办学条件/一中主教学楼空气能安装项目绩效目标表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D6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B6DE9">
            <w:pPr>
              <w:pStyle w:val="11"/>
            </w:pPr>
            <w:r>
              <w:t>单位：万元</w:t>
            </w:r>
          </w:p>
        </w:tc>
      </w:tr>
      <w:tr w14:paraId="4A4B0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C2432">
            <w:pPr>
              <w:pStyle w:val="10"/>
            </w:pPr>
            <w:r>
              <w:t>项目编码</w:t>
            </w:r>
          </w:p>
        </w:tc>
        <w:tc>
          <w:tcPr>
            <w:tcW w:w="5103" w:type="dxa"/>
            <w:gridSpan w:val="2"/>
            <w:vAlign w:val="center"/>
          </w:tcPr>
          <w:p w14:paraId="33AC13AB">
            <w:pPr>
              <w:pStyle w:val="12"/>
            </w:pPr>
            <w:r>
              <w:t>13052526P00877110010N</w:t>
            </w:r>
          </w:p>
        </w:tc>
        <w:tc>
          <w:tcPr>
            <w:tcW w:w="2835" w:type="dxa"/>
            <w:vAlign w:val="center"/>
          </w:tcPr>
          <w:p w14:paraId="0AF3985E">
            <w:pPr>
              <w:pStyle w:val="10"/>
            </w:pPr>
            <w:r>
              <w:t>项目名称</w:t>
            </w:r>
          </w:p>
        </w:tc>
        <w:tc>
          <w:tcPr>
            <w:tcW w:w="6095" w:type="dxa"/>
            <w:gridSpan w:val="3"/>
            <w:vAlign w:val="center"/>
          </w:tcPr>
          <w:p w14:paraId="27ABBA96">
            <w:pPr>
              <w:pStyle w:val="12"/>
            </w:pPr>
            <w:r>
              <w:t>冀财教[2023]155号/中央/2024年高中改善办学条件/一中主教学楼空气能安装项目</w:t>
            </w:r>
          </w:p>
        </w:tc>
      </w:tr>
      <w:tr w14:paraId="0DD42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A056A">
            <w:pPr>
              <w:pStyle w:val="10"/>
            </w:pPr>
            <w:r>
              <w:t>预算规模及资金用途</w:t>
            </w:r>
          </w:p>
        </w:tc>
        <w:tc>
          <w:tcPr>
            <w:tcW w:w="2268" w:type="dxa"/>
            <w:vAlign w:val="center"/>
          </w:tcPr>
          <w:p w14:paraId="21D5A305">
            <w:pPr>
              <w:pStyle w:val="10"/>
            </w:pPr>
            <w:r>
              <w:t>预算数</w:t>
            </w:r>
          </w:p>
        </w:tc>
        <w:tc>
          <w:tcPr>
            <w:tcW w:w="2835" w:type="dxa"/>
            <w:vAlign w:val="center"/>
          </w:tcPr>
          <w:p w14:paraId="0B46C431">
            <w:pPr>
              <w:pStyle w:val="12"/>
            </w:pPr>
            <w:r>
              <w:t>14.13</w:t>
            </w:r>
          </w:p>
        </w:tc>
        <w:tc>
          <w:tcPr>
            <w:tcW w:w="2835" w:type="dxa"/>
            <w:vAlign w:val="center"/>
          </w:tcPr>
          <w:p w14:paraId="71C98C94">
            <w:pPr>
              <w:pStyle w:val="10"/>
            </w:pPr>
            <w:r>
              <w:t>其中：财政    资金</w:t>
            </w:r>
          </w:p>
        </w:tc>
        <w:tc>
          <w:tcPr>
            <w:tcW w:w="2551" w:type="dxa"/>
            <w:vAlign w:val="center"/>
          </w:tcPr>
          <w:p w14:paraId="5BE9EED4">
            <w:pPr>
              <w:pStyle w:val="12"/>
            </w:pPr>
            <w:r>
              <w:t>14.13</w:t>
            </w:r>
          </w:p>
        </w:tc>
        <w:tc>
          <w:tcPr>
            <w:tcW w:w="2268" w:type="dxa"/>
            <w:vAlign w:val="center"/>
          </w:tcPr>
          <w:p w14:paraId="37D93C81">
            <w:pPr>
              <w:pStyle w:val="10"/>
            </w:pPr>
            <w:r>
              <w:t>其他资金</w:t>
            </w:r>
          </w:p>
        </w:tc>
        <w:tc>
          <w:tcPr>
            <w:tcW w:w="1276" w:type="dxa"/>
            <w:vAlign w:val="center"/>
          </w:tcPr>
          <w:p w14:paraId="2D5E99F8">
            <w:pPr>
              <w:pStyle w:val="12"/>
            </w:pPr>
            <w:r>
              <w:t xml:space="preserve"> </w:t>
            </w:r>
          </w:p>
        </w:tc>
      </w:tr>
      <w:tr w14:paraId="6E7DC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81813"/>
        </w:tc>
        <w:tc>
          <w:tcPr>
            <w:tcW w:w="14033" w:type="dxa"/>
            <w:gridSpan w:val="6"/>
            <w:vAlign w:val="center"/>
          </w:tcPr>
          <w:p w14:paraId="41867CB1">
            <w:pPr>
              <w:pStyle w:val="12"/>
            </w:pPr>
            <w:r>
              <w:t>落实全国中小学校舍改造实施规划，完善学校整体面貌和教育设施</w:t>
            </w:r>
          </w:p>
        </w:tc>
      </w:tr>
      <w:tr w14:paraId="0982A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57384">
            <w:pPr>
              <w:pStyle w:val="10"/>
            </w:pPr>
            <w:r>
              <w:t>资金支出计划（%）</w:t>
            </w:r>
          </w:p>
        </w:tc>
        <w:tc>
          <w:tcPr>
            <w:tcW w:w="5103" w:type="dxa"/>
            <w:gridSpan w:val="2"/>
            <w:vAlign w:val="center"/>
          </w:tcPr>
          <w:p w14:paraId="342578C2">
            <w:pPr>
              <w:pStyle w:val="10"/>
            </w:pPr>
            <w:r>
              <w:t>3月底</w:t>
            </w:r>
          </w:p>
        </w:tc>
        <w:tc>
          <w:tcPr>
            <w:tcW w:w="2835" w:type="dxa"/>
            <w:vAlign w:val="center"/>
          </w:tcPr>
          <w:p w14:paraId="4094457F">
            <w:pPr>
              <w:pStyle w:val="10"/>
            </w:pPr>
            <w:r>
              <w:t>6月底</w:t>
            </w:r>
          </w:p>
        </w:tc>
        <w:tc>
          <w:tcPr>
            <w:tcW w:w="2551" w:type="dxa"/>
            <w:vAlign w:val="center"/>
          </w:tcPr>
          <w:p w14:paraId="2ECA9E61">
            <w:pPr>
              <w:pStyle w:val="10"/>
            </w:pPr>
            <w:r>
              <w:t>10月底</w:t>
            </w:r>
          </w:p>
        </w:tc>
        <w:tc>
          <w:tcPr>
            <w:tcW w:w="3544" w:type="dxa"/>
            <w:gridSpan w:val="2"/>
            <w:vAlign w:val="center"/>
          </w:tcPr>
          <w:p w14:paraId="63EAA699">
            <w:pPr>
              <w:pStyle w:val="10"/>
            </w:pPr>
            <w:r>
              <w:t>12月底</w:t>
            </w:r>
          </w:p>
        </w:tc>
      </w:tr>
      <w:tr w14:paraId="017E7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FCFE7"/>
        </w:tc>
        <w:tc>
          <w:tcPr>
            <w:tcW w:w="5103" w:type="dxa"/>
            <w:gridSpan w:val="2"/>
            <w:vAlign w:val="center"/>
          </w:tcPr>
          <w:p w14:paraId="3BA2CFC3">
            <w:pPr>
              <w:pStyle w:val="13"/>
            </w:pPr>
            <w:r>
              <w:t>100%</w:t>
            </w:r>
          </w:p>
        </w:tc>
        <w:tc>
          <w:tcPr>
            <w:tcW w:w="2835" w:type="dxa"/>
            <w:vAlign w:val="center"/>
          </w:tcPr>
          <w:p w14:paraId="61B3177D">
            <w:pPr>
              <w:pStyle w:val="13"/>
            </w:pPr>
            <w:r>
              <w:t>100%</w:t>
            </w:r>
          </w:p>
        </w:tc>
        <w:tc>
          <w:tcPr>
            <w:tcW w:w="2551" w:type="dxa"/>
            <w:vAlign w:val="center"/>
          </w:tcPr>
          <w:p w14:paraId="63B90B62">
            <w:pPr>
              <w:pStyle w:val="13"/>
            </w:pPr>
            <w:r>
              <w:t>100%</w:t>
            </w:r>
          </w:p>
        </w:tc>
        <w:tc>
          <w:tcPr>
            <w:tcW w:w="3544" w:type="dxa"/>
            <w:gridSpan w:val="2"/>
            <w:vAlign w:val="center"/>
          </w:tcPr>
          <w:p w14:paraId="5C88B2A7">
            <w:pPr>
              <w:pStyle w:val="13"/>
            </w:pPr>
            <w:r>
              <w:t>100%</w:t>
            </w:r>
          </w:p>
        </w:tc>
      </w:tr>
      <w:tr w14:paraId="15FEE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A47C7">
            <w:pPr>
              <w:pStyle w:val="10"/>
            </w:pPr>
            <w:r>
              <w:t>绩效目标</w:t>
            </w:r>
          </w:p>
        </w:tc>
        <w:tc>
          <w:tcPr>
            <w:tcW w:w="14033" w:type="dxa"/>
            <w:gridSpan w:val="6"/>
            <w:vAlign w:val="center"/>
          </w:tcPr>
          <w:p w14:paraId="08173AA9">
            <w:pPr>
              <w:pStyle w:val="12"/>
            </w:pPr>
            <w:r>
              <w:t>1.改善普通高中办学条件，提高教学质量</w:t>
            </w:r>
          </w:p>
          <w:p w14:paraId="22714240">
            <w:pPr>
              <w:pStyle w:val="12"/>
            </w:pPr>
            <w:r>
              <w:t>2.按时拨付资金141256.82元，资金拨付率达到100%</w:t>
            </w:r>
          </w:p>
          <w:p w14:paraId="00DAB8B0">
            <w:pPr>
              <w:pStyle w:val="12"/>
            </w:pPr>
            <w:r>
              <w:t>3.落实全国中小学校舍改造实施规划，完善学校整体面貌和教育设施</w:t>
            </w:r>
          </w:p>
        </w:tc>
      </w:tr>
    </w:tbl>
    <w:p w14:paraId="18A7C6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9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8517B">
            <w:pPr>
              <w:pStyle w:val="10"/>
            </w:pPr>
            <w:r>
              <w:t>一级指标</w:t>
            </w:r>
          </w:p>
        </w:tc>
        <w:tc>
          <w:tcPr>
            <w:tcW w:w="2268" w:type="dxa"/>
            <w:vAlign w:val="center"/>
          </w:tcPr>
          <w:p w14:paraId="21D8DE99">
            <w:pPr>
              <w:pStyle w:val="10"/>
            </w:pPr>
            <w:r>
              <w:t>二级指标</w:t>
            </w:r>
          </w:p>
        </w:tc>
        <w:tc>
          <w:tcPr>
            <w:tcW w:w="2835" w:type="dxa"/>
            <w:vAlign w:val="center"/>
          </w:tcPr>
          <w:p w14:paraId="7B8802D1">
            <w:pPr>
              <w:pStyle w:val="10"/>
            </w:pPr>
            <w:r>
              <w:t>三级指标</w:t>
            </w:r>
          </w:p>
        </w:tc>
        <w:tc>
          <w:tcPr>
            <w:tcW w:w="5386" w:type="dxa"/>
            <w:vAlign w:val="center"/>
          </w:tcPr>
          <w:p w14:paraId="526DA147">
            <w:pPr>
              <w:pStyle w:val="10"/>
            </w:pPr>
            <w:r>
              <w:t>绩效指标描述</w:t>
            </w:r>
          </w:p>
        </w:tc>
        <w:tc>
          <w:tcPr>
            <w:tcW w:w="2268" w:type="dxa"/>
            <w:vAlign w:val="center"/>
          </w:tcPr>
          <w:p w14:paraId="11C37691">
            <w:pPr>
              <w:pStyle w:val="10"/>
            </w:pPr>
            <w:r>
              <w:t>指标值</w:t>
            </w:r>
          </w:p>
        </w:tc>
        <w:tc>
          <w:tcPr>
            <w:tcW w:w="1276" w:type="dxa"/>
            <w:vAlign w:val="center"/>
          </w:tcPr>
          <w:p w14:paraId="5BC2F8F6">
            <w:pPr>
              <w:pStyle w:val="10"/>
            </w:pPr>
            <w:r>
              <w:t>指标值确定依据</w:t>
            </w:r>
          </w:p>
        </w:tc>
      </w:tr>
      <w:tr w14:paraId="61EC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4363D">
            <w:pPr>
              <w:pStyle w:val="13"/>
            </w:pPr>
            <w:r>
              <w:t>产出指标</w:t>
            </w:r>
          </w:p>
        </w:tc>
        <w:tc>
          <w:tcPr>
            <w:tcW w:w="2268" w:type="dxa"/>
            <w:vAlign w:val="center"/>
          </w:tcPr>
          <w:p w14:paraId="2812E348">
            <w:pPr>
              <w:pStyle w:val="12"/>
            </w:pPr>
            <w:r>
              <w:t>数量指标</w:t>
            </w:r>
          </w:p>
        </w:tc>
        <w:tc>
          <w:tcPr>
            <w:tcW w:w="2835" w:type="dxa"/>
            <w:vAlign w:val="center"/>
          </w:tcPr>
          <w:p w14:paraId="476DB347">
            <w:pPr>
              <w:pStyle w:val="12"/>
            </w:pPr>
            <w:r>
              <w:t>主教学楼空气能数量</w:t>
            </w:r>
          </w:p>
        </w:tc>
        <w:tc>
          <w:tcPr>
            <w:tcW w:w="5386" w:type="dxa"/>
            <w:vAlign w:val="center"/>
          </w:tcPr>
          <w:p w14:paraId="37EEDBD1">
            <w:pPr>
              <w:pStyle w:val="12"/>
            </w:pPr>
            <w:r>
              <w:t>主教学楼空气能系统数量</w:t>
            </w:r>
          </w:p>
        </w:tc>
        <w:tc>
          <w:tcPr>
            <w:tcW w:w="2268" w:type="dxa"/>
            <w:vAlign w:val="center"/>
          </w:tcPr>
          <w:p w14:paraId="7AAC018B">
            <w:pPr>
              <w:pStyle w:val="12"/>
            </w:pPr>
            <w:r>
              <w:t>6套</w:t>
            </w:r>
          </w:p>
        </w:tc>
        <w:tc>
          <w:tcPr>
            <w:tcW w:w="1276" w:type="dxa"/>
            <w:vAlign w:val="center"/>
          </w:tcPr>
          <w:p w14:paraId="59E5B14D">
            <w:pPr>
              <w:pStyle w:val="12"/>
            </w:pPr>
            <w:r>
              <w:t>可行性研究报告</w:t>
            </w:r>
          </w:p>
        </w:tc>
      </w:tr>
      <w:tr w14:paraId="2885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F1A78"/>
        </w:tc>
        <w:tc>
          <w:tcPr>
            <w:tcW w:w="2268" w:type="dxa"/>
            <w:vAlign w:val="center"/>
          </w:tcPr>
          <w:p w14:paraId="14E3E4F3">
            <w:pPr>
              <w:pStyle w:val="12"/>
            </w:pPr>
            <w:r>
              <w:t>质量指标</w:t>
            </w:r>
          </w:p>
        </w:tc>
        <w:tc>
          <w:tcPr>
            <w:tcW w:w="2835" w:type="dxa"/>
            <w:vAlign w:val="center"/>
          </w:tcPr>
          <w:p w14:paraId="75B7EBD6">
            <w:pPr>
              <w:pStyle w:val="12"/>
            </w:pPr>
            <w:r>
              <w:t>项目工程质量合格率</w:t>
            </w:r>
          </w:p>
        </w:tc>
        <w:tc>
          <w:tcPr>
            <w:tcW w:w="5386" w:type="dxa"/>
            <w:vAlign w:val="center"/>
          </w:tcPr>
          <w:p w14:paraId="080F2241">
            <w:pPr>
              <w:pStyle w:val="12"/>
            </w:pPr>
            <w:r>
              <w:t>主教学楼空气能质量合格率</w:t>
            </w:r>
          </w:p>
        </w:tc>
        <w:tc>
          <w:tcPr>
            <w:tcW w:w="2268" w:type="dxa"/>
            <w:vAlign w:val="center"/>
          </w:tcPr>
          <w:p w14:paraId="26603CDB">
            <w:pPr>
              <w:pStyle w:val="12"/>
            </w:pPr>
            <w:r>
              <w:t>100%</w:t>
            </w:r>
          </w:p>
        </w:tc>
        <w:tc>
          <w:tcPr>
            <w:tcW w:w="1276" w:type="dxa"/>
            <w:vAlign w:val="center"/>
          </w:tcPr>
          <w:p w14:paraId="2FF3992B">
            <w:pPr>
              <w:pStyle w:val="12"/>
            </w:pPr>
            <w:r>
              <w:t>可行性研究报告</w:t>
            </w:r>
          </w:p>
        </w:tc>
      </w:tr>
      <w:tr w14:paraId="7F6E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D35E"/>
        </w:tc>
        <w:tc>
          <w:tcPr>
            <w:tcW w:w="2268" w:type="dxa"/>
            <w:vAlign w:val="center"/>
          </w:tcPr>
          <w:p w14:paraId="591C384C">
            <w:pPr>
              <w:pStyle w:val="12"/>
            </w:pPr>
            <w:r>
              <w:t>时效指标</w:t>
            </w:r>
          </w:p>
        </w:tc>
        <w:tc>
          <w:tcPr>
            <w:tcW w:w="2835" w:type="dxa"/>
            <w:vAlign w:val="center"/>
          </w:tcPr>
          <w:p w14:paraId="4765C6AA">
            <w:pPr>
              <w:pStyle w:val="12"/>
            </w:pPr>
            <w:r>
              <w:t>主教学楼空气能工程按期完成率</w:t>
            </w:r>
          </w:p>
        </w:tc>
        <w:tc>
          <w:tcPr>
            <w:tcW w:w="5386" w:type="dxa"/>
            <w:vAlign w:val="center"/>
          </w:tcPr>
          <w:p w14:paraId="799D2E39">
            <w:pPr>
              <w:pStyle w:val="12"/>
            </w:pPr>
            <w:r>
              <w:t>工程按时完工率</w:t>
            </w:r>
          </w:p>
        </w:tc>
        <w:tc>
          <w:tcPr>
            <w:tcW w:w="2268" w:type="dxa"/>
            <w:vAlign w:val="center"/>
          </w:tcPr>
          <w:p w14:paraId="54129B2F">
            <w:pPr>
              <w:pStyle w:val="12"/>
            </w:pPr>
            <w:r>
              <w:t>100%</w:t>
            </w:r>
          </w:p>
        </w:tc>
        <w:tc>
          <w:tcPr>
            <w:tcW w:w="1276" w:type="dxa"/>
            <w:vAlign w:val="center"/>
          </w:tcPr>
          <w:p w14:paraId="30EF81E8">
            <w:pPr>
              <w:pStyle w:val="12"/>
            </w:pPr>
            <w:r>
              <w:t>结合项目实际情况</w:t>
            </w:r>
          </w:p>
        </w:tc>
      </w:tr>
      <w:tr w14:paraId="0C67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35A2C"/>
        </w:tc>
        <w:tc>
          <w:tcPr>
            <w:tcW w:w="2268" w:type="dxa"/>
            <w:vAlign w:val="center"/>
          </w:tcPr>
          <w:p w14:paraId="733BBA6A">
            <w:pPr>
              <w:pStyle w:val="12"/>
            </w:pPr>
            <w:r>
              <w:t>成本指标</w:t>
            </w:r>
          </w:p>
        </w:tc>
        <w:tc>
          <w:tcPr>
            <w:tcW w:w="2835" w:type="dxa"/>
            <w:vAlign w:val="center"/>
          </w:tcPr>
          <w:p w14:paraId="5DFC5AAA">
            <w:pPr>
              <w:pStyle w:val="12"/>
            </w:pPr>
            <w:r>
              <w:t>主教学楼空气能安装成本</w:t>
            </w:r>
          </w:p>
        </w:tc>
        <w:tc>
          <w:tcPr>
            <w:tcW w:w="5386" w:type="dxa"/>
            <w:vAlign w:val="center"/>
          </w:tcPr>
          <w:p w14:paraId="1BB425F5">
            <w:pPr>
              <w:pStyle w:val="12"/>
            </w:pPr>
            <w:r>
              <w:t>实行政府采购招投标</w:t>
            </w:r>
          </w:p>
        </w:tc>
        <w:tc>
          <w:tcPr>
            <w:tcW w:w="2268" w:type="dxa"/>
            <w:vAlign w:val="center"/>
          </w:tcPr>
          <w:p w14:paraId="65E29E36">
            <w:pPr>
              <w:pStyle w:val="12"/>
            </w:pPr>
            <w:r>
              <w:t>≤161.2万元</w:t>
            </w:r>
          </w:p>
        </w:tc>
        <w:tc>
          <w:tcPr>
            <w:tcW w:w="1276" w:type="dxa"/>
            <w:vAlign w:val="center"/>
          </w:tcPr>
          <w:p w14:paraId="361D6A8F">
            <w:pPr>
              <w:pStyle w:val="12"/>
            </w:pPr>
            <w:r>
              <w:t>结合项目实际情况</w:t>
            </w:r>
          </w:p>
        </w:tc>
      </w:tr>
      <w:tr w14:paraId="0077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6616D">
            <w:pPr>
              <w:pStyle w:val="13"/>
            </w:pPr>
            <w:r>
              <w:t>效益指标</w:t>
            </w:r>
          </w:p>
        </w:tc>
        <w:tc>
          <w:tcPr>
            <w:tcW w:w="2268" w:type="dxa"/>
            <w:vAlign w:val="center"/>
          </w:tcPr>
          <w:p w14:paraId="556F389C">
            <w:pPr>
              <w:pStyle w:val="12"/>
            </w:pPr>
            <w:r>
              <w:t>经济效益指标</w:t>
            </w:r>
          </w:p>
        </w:tc>
        <w:tc>
          <w:tcPr>
            <w:tcW w:w="2835" w:type="dxa"/>
            <w:vAlign w:val="center"/>
          </w:tcPr>
          <w:p w14:paraId="4420E401">
            <w:pPr>
              <w:pStyle w:val="12"/>
            </w:pPr>
            <w:r>
              <w:t>高中教育毛入学率</w:t>
            </w:r>
          </w:p>
        </w:tc>
        <w:tc>
          <w:tcPr>
            <w:tcW w:w="5386" w:type="dxa"/>
            <w:vAlign w:val="center"/>
          </w:tcPr>
          <w:p w14:paraId="3173685C">
            <w:pPr>
              <w:pStyle w:val="12"/>
            </w:pPr>
            <w:r>
              <w:t>大幅度提升高中阶段毛入学率</w:t>
            </w:r>
          </w:p>
        </w:tc>
        <w:tc>
          <w:tcPr>
            <w:tcW w:w="2268" w:type="dxa"/>
            <w:vAlign w:val="center"/>
          </w:tcPr>
          <w:p w14:paraId="21AF4B02">
            <w:pPr>
              <w:pStyle w:val="12"/>
            </w:pPr>
            <w:r>
              <w:t>≥90%</w:t>
            </w:r>
          </w:p>
        </w:tc>
        <w:tc>
          <w:tcPr>
            <w:tcW w:w="1276" w:type="dxa"/>
            <w:vAlign w:val="center"/>
          </w:tcPr>
          <w:p w14:paraId="76148416">
            <w:pPr>
              <w:pStyle w:val="12"/>
            </w:pPr>
            <w:r>
              <w:t>可行性研究报告</w:t>
            </w:r>
          </w:p>
        </w:tc>
      </w:tr>
      <w:tr w14:paraId="1051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96A3B"/>
        </w:tc>
        <w:tc>
          <w:tcPr>
            <w:tcW w:w="2268" w:type="dxa"/>
            <w:vAlign w:val="center"/>
          </w:tcPr>
          <w:p w14:paraId="3286B804">
            <w:pPr>
              <w:pStyle w:val="12"/>
            </w:pPr>
            <w:r>
              <w:t>社会效益指标</w:t>
            </w:r>
          </w:p>
        </w:tc>
        <w:tc>
          <w:tcPr>
            <w:tcW w:w="2835" w:type="dxa"/>
            <w:vAlign w:val="center"/>
          </w:tcPr>
          <w:p w14:paraId="530DB230">
            <w:pPr>
              <w:pStyle w:val="12"/>
            </w:pPr>
            <w:r>
              <w:t>受益人数</w:t>
            </w:r>
          </w:p>
        </w:tc>
        <w:tc>
          <w:tcPr>
            <w:tcW w:w="5386" w:type="dxa"/>
            <w:vAlign w:val="center"/>
          </w:tcPr>
          <w:p w14:paraId="147C2672">
            <w:pPr>
              <w:pStyle w:val="12"/>
            </w:pPr>
            <w:r>
              <w:t>受益学生人数</w:t>
            </w:r>
          </w:p>
        </w:tc>
        <w:tc>
          <w:tcPr>
            <w:tcW w:w="2268" w:type="dxa"/>
            <w:vAlign w:val="center"/>
          </w:tcPr>
          <w:p w14:paraId="6F06F647">
            <w:pPr>
              <w:pStyle w:val="12"/>
            </w:pPr>
            <w:r>
              <w:t>≥1380人</w:t>
            </w:r>
          </w:p>
        </w:tc>
        <w:tc>
          <w:tcPr>
            <w:tcW w:w="1276" w:type="dxa"/>
            <w:vAlign w:val="center"/>
          </w:tcPr>
          <w:p w14:paraId="6C3BDDB4">
            <w:pPr>
              <w:pStyle w:val="12"/>
            </w:pPr>
            <w:r>
              <w:t>可行性研究报告</w:t>
            </w:r>
          </w:p>
        </w:tc>
      </w:tr>
      <w:tr w14:paraId="1007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4FC5"/>
        </w:tc>
        <w:tc>
          <w:tcPr>
            <w:tcW w:w="2268" w:type="dxa"/>
            <w:vAlign w:val="center"/>
          </w:tcPr>
          <w:p w14:paraId="56C2479C">
            <w:pPr>
              <w:pStyle w:val="12"/>
            </w:pPr>
            <w:r>
              <w:t>可持续影响指标</w:t>
            </w:r>
          </w:p>
        </w:tc>
        <w:tc>
          <w:tcPr>
            <w:tcW w:w="2835" w:type="dxa"/>
            <w:vAlign w:val="center"/>
          </w:tcPr>
          <w:p w14:paraId="3895242A">
            <w:pPr>
              <w:pStyle w:val="12"/>
            </w:pPr>
            <w:r>
              <w:t>校舍使用年限</w:t>
            </w:r>
          </w:p>
        </w:tc>
        <w:tc>
          <w:tcPr>
            <w:tcW w:w="5386" w:type="dxa"/>
            <w:vAlign w:val="center"/>
          </w:tcPr>
          <w:p w14:paraId="41E0BC37">
            <w:pPr>
              <w:pStyle w:val="12"/>
            </w:pPr>
            <w:r>
              <w:t>提高校舍使用年限</w:t>
            </w:r>
          </w:p>
        </w:tc>
        <w:tc>
          <w:tcPr>
            <w:tcW w:w="2268" w:type="dxa"/>
            <w:vAlign w:val="center"/>
          </w:tcPr>
          <w:p w14:paraId="0B3B634D">
            <w:pPr>
              <w:pStyle w:val="12"/>
            </w:pPr>
            <w:r>
              <w:t>≥50年</w:t>
            </w:r>
          </w:p>
        </w:tc>
        <w:tc>
          <w:tcPr>
            <w:tcW w:w="1276" w:type="dxa"/>
            <w:vAlign w:val="center"/>
          </w:tcPr>
          <w:p w14:paraId="0B1B1EB5">
            <w:pPr>
              <w:pStyle w:val="12"/>
            </w:pPr>
            <w:r>
              <w:t>可行性研究报告</w:t>
            </w:r>
          </w:p>
        </w:tc>
      </w:tr>
      <w:tr w14:paraId="6034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E0363">
            <w:pPr>
              <w:pStyle w:val="13"/>
            </w:pPr>
            <w:r>
              <w:t>满意度指标</w:t>
            </w:r>
          </w:p>
        </w:tc>
        <w:tc>
          <w:tcPr>
            <w:tcW w:w="2268" w:type="dxa"/>
            <w:vAlign w:val="center"/>
          </w:tcPr>
          <w:p w14:paraId="3013A5C5">
            <w:pPr>
              <w:pStyle w:val="12"/>
            </w:pPr>
            <w:r>
              <w:t>服务对象满意度指标</w:t>
            </w:r>
          </w:p>
        </w:tc>
        <w:tc>
          <w:tcPr>
            <w:tcW w:w="2835" w:type="dxa"/>
            <w:vAlign w:val="center"/>
          </w:tcPr>
          <w:p w14:paraId="5338B25D">
            <w:pPr>
              <w:pStyle w:val="12"/>
            </w:pPr>
            <w:r>
              <w:t>学生和学生家长满意度</w:t>
            </w:r>
          </w:p>
        </w:tc>
        <w:tc>
          <w:tcPr>
            <w:tcW w:w="5386" w:type="dxa"/>
            <w:vAlign w:val="center"/>
          </w:tcPr>
          <w:p w14:paraId="49E4978E">
            <w:pPr>
              <w:pStyle w:val="12"/>
            </w:pPr>
            <w:r>
              <w:t>大幅提高学生和学生家长满意度</w:t>
            </w:r>
          </w:p>
        </w:tc>
        <w:tc>
          <w:tcPr>
            <w:tcW w:w="2268" w:type="dxa"/>
            <w:vAlign w:val="center"/>
          </w:tcPr>
          <w:p w14:paraId="7D5CFEF3">
            <w:pPr>
              <w:pStyle w:val="12"/>
            </w:pPr>
            <w:r>
              <w:t>≥95%</w:t>
            </w:r>
          </w:p>
        </w:tc>
        <w:tc>
          <w:tcPr>
            <w:tcW w:w="1276" w:type="dxa"/>
            <w:vAlign w:val="center"/>
          </w:tcPr>
          <w:p w14:paraId="1587C264">
            <w:pPr>
              <w:pStyle w:val="12"/>
            </w:pPr>
            <w:r>
              <w:t>调查问卷</w:t>
            </w:r>
          </w:p>
        </w:tc>
      </w:tr>
    </w:tbl>
    <w:p w14:paraId="48A510E9">
      <w:pPr>
        <w:sectPr>
          <w:pgSz w:w="16840" w:h="11900" w:orient="landscape"/>
          <w:pgMar w:top="1361" w:right="1020" w:bottom="1134" w:left="1020" w:header="720" w:footer="720" w:gutter="0"/>
          <w:cols w:space="720" w:num="1"/>
        </w:sectPr>
      </w:pPr>
    </w:p>
    <w:p w14:paraId="320722A1">
      <w:pPr>
        <w:spacing w:before="0" w:after="0"/>
        <w:ind w:firstLine="560"/>
        <w:jc w:val="left"/>
        <w:outlineLvl w:val="9"/>
      </w:pPr>
      <w:r>
        <w:rPr>
          <w:rFonts w:ascii="方正仿宋_GBK" w:hAnsi="方正仿宋_GBK" w:eastAsia="方正仿宋_GBK" w:cs="方正仿宋_GBK"/>
          <w:b/>
          <w:color w:val="000000"/>
          <w:sz w:val="28"/>
        </w:rPr>
        <w:t>4、冀财教[2024]137号/省级/2025年改善办学条件/一中消防预警设备购置项目绩效目标表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CA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84C65">
            <w:pPr>
              <w:pStyle w:val="11"/>
            </w:pPr>
            <w:r>
              <w:t>单位：万元</w:t>
            </w:r>
          </w:p>
        </w:tc>
      </w:tr>
      <w:tr w14:paraId="433D6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0B519">
            <w:pPr>
              <w:pStyle w:val="10"/>
            </w:pPr>
            <w:r>
              <w:t>项目编码</w:t>
            </w:r>
          </w:p>
        </w:tc>
        <w:tc>
          <w:tcPr>
            <w:tcW w:w="5103" w:type="dxa"/>
            <w:gridSpan w:val="2"/>
            <w:vAlign w:val="center"/>
          </w:tcPr>
          <w:p w14:paraId="0E7CF418">
            <w:pPr>
              <w:pStyle w:val="12"/>
            </w:pPr>
            <w:r>
              <w:t>13052526P00877110008P</w:t>
            </w:r>
          </w:p>
        </w:tc>
        <w:tc>
          <w:tcPr>
            <w:tcW w:w="2835" w:type="dxa"/>
            <w:vAlign w:val="center"/>
          </w:tcPr>
          <w:p w14:paraId="081BE0D8">
            <w:pPr>
              <w:pStyle w:val="10"/>
            </w:pPr>
            <w:r>
              <w:t>项目名称</w:t>
            </w:r>
          </w:p>
        </w:tc>
        <w:tc>
          <w:tcPr>
            <w:tcW w:w="6095" w:type="dxa"/>
            <w:gridSpan w:val="3"/>
            <w:vAlign w:val="center"/>
          </w:tcPr>
          <w:p w14:paraId="5521470D">
            <w:pPr>
              <w:pStyle w:val="12"/>
            </w:pPr>
            <w:r>
              <w:t>冀财教[2024]137号/省级/2025年改善办学条件/一中消防预警设备购置项目</w:t>
            </w:r>
          </w:p>
        </w:tc>
      </w:tr>
      <w:tr w14:paraId="05E34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27EF1">
            <w:pPr>
              <w:pStyle w:val="10"/>
            </w:pPr>
            <w:r>
              <w:t>预算规模及资金用途</w:t>
            </w:r>
          </w:p>
        </w:tc>
        <w:tc>
          <w:tcPr>
            <w:tcW w:w="2268" w:type="dxa"/>
            <w:vAlign w:val="center"/>
          </w:tcPr>
          <w:p w14:paraId="2F5AA6CB">
            <w:pPr>
              <w:pStyle w:val="10"/>
            </w:pPr>
            <w:r>
              <w:t>预算数</w:t>
            </w:r>
          </w:p>
        </w:tc>
        <w:tc>
          <w:tcPr>
            <w:tcW w:w="2835" w:type="dxa"/>
            <w:vAlign w:val="center"/>
          </w:tcPr>
          <w:p w14:paraId="246C63C4">
            <w:pPr>
              <w:pStyle w:val="12"/>
            </w:pPr>
            <w:r>
              <w:t>67.00</w:t>
            </w:r>
          </w:p>
        </w:tc>
        <w:tc>
          <w:tcPr>
            <w:tcW w:w="2835" w:type="dxa"/>
            <w:vAlign w:val="center"/>
          </w:tcPr>
          <w:p w14:paraId="6C056472">
            <w:pPr>
              <w:pStyle w:val="10"/>
            </w:pPr>
            <w:r>
              <w:t>其中：财政    资金</w:t>
            </w:r>
          </w:p>
        </w:tc>
        <w:tc>
          <w:tcPr>
            <w:tcW w:w="2551" w:type="dxa"/>
            <w:vAlign w:val="center"/>
          </w:tcPr>
          <w:p w14:paraId="318F1303">
            <w:pPr>
              <w:pStyle w:val="12"/>
            </w:pPr>
            <w:r>
              <w:t>67.00</w:t>
            </w:r>
          </w:p>
        </w:tc>
        <w:tc>
          <w:tcPr>
            <w:tcW w:w="2268" w:type="dxa"/>
            <w:vAlign w:val="center"/>
          </w:tcPr>
          <w:p w14:paraId="634084B6">
            <w:pPr>
              <w:pStyle w:val="10"/>
            </w:pPr>
            <w:r>
              <w:t>其他资金</w:t>
            </w:r>
          </w:p>
        </w:tc>
        <w:tc>
          <w:tcPr>
            <w:tcW w:w="1276" w:type="dxa"/>
            <w:vAlign w:val="center"/>
          </w:tcPr>
          <w:p w14:paraId="22BD09CA">
            <w:pPr>
              <w:pStyle w:val="12"/>
            </w:pPr>
            <w:r>
              <w:t xml:space="preserve"> </w:t>
            </w:r>
          </w:p>
        </w:tc>
      </w:tr>
      <w:tr w14:paraId="29A1C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FD730"/>
        </w:tc>
        <w:tc>
          <w:tcPr>
            <w:tcW w:w="14033" w:type="dxa"/>
            <w:gridSpan w:val="6"/>
            <w:vAlign w:val="center"/>
          </w:tcPr>
          <w:p w14:paraId="6E3FEDF8">
            <w:pPr>
              <w:pStyle w:val="12"/>
            </w:pPr>
            <w:r>
              <w:t>火灾发生时能够及时发现并避免人员伤亡，保护师生安全。</w:t>
            </w:r>
          </w:p>
        </w:tc>
      </w:tr>
      <w:tr w14:paraId="5144F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D83A7">
            <w:pPr>
              <w:pStyle w:val="10"/>
            </w:pPr>
            <w:r>
              <w:t>资金支出计划（%）</w:t>
            </w:r>
          </w:p>
        </w:tc>
        <w:tc>
          <w:tcPr>
            <w:tcW w:w="5103" w:type="dxa"/>
            <w:gridSpan w:val="2"/>
            <w:vAlign w:val="center"/>
          </w:tcPr>
          <w:p w14:paraId="486E0C89">
            <w:pPr>
              <w:pStyle w:val="10"/>
            </w:pPr>
            <w:r>
              <w:t>3月底</w:t>
            </w:r>
          </w:p>
        </w:tc>
        <w:tc>
          <w:tcPr>
            <w:tcW w:w="2835" w:type="dxa"/>
            <w:vAlign w:val="center"/>
          </w:tcPr>
          <w:p w14:paraId="58374A73">
            <w:pPr>
              <w:pStyle w:val="10"/>
            </w:pPr>
            <w:r>
              <w:t>6月底</w:t>
            </w:r>
          </w:p>
        </w:tc>
        <w:tc>
          <w:tcPr>
            <w:tcW w:w="2551" w:type="dxa"/>
            <w:vAlign w:val="center"/>
          </w:tcPr>
          <w:p w14:paraId="0BDED9C5">
            <w:pPr>
              <w:pStyle w:val="10"/>
            </w:pPr>
            <w:r>
              <w:t>10月底</w:t>
            </w:r>
          </w:p>
        </w:tc>
        <w:tc>
          <w:tcPr>
            <w:tcW w:w="3544" w:type="dxa"/>
            <w:gridSpan w:val="2"/>
            <w:vAlign w:val="center"/>
          </w:tcPr>
          <w:p w14:paraId="4188BB4B">
            <w:pPr>
              <w:pStyle w:val="10"/>
            </w:pPr>
            <w:r>
              <w:t>12月底</w:t>
            </w:r>
          </w:p>
        </w:tc>
      </w:tr>
      <w:tr w14:paraId="2836A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82115"/>
        </w:tc>
        <w:tc>
          <w:tcPr>
            <w:tcW w:w="5103" w:type="dxa"/>
            <w:gridSpan w:val="2"/>
            <w:vAlign w:val="center"/>
          </w:tcPr>
          <w:p w14:paraId="02D43EE3">
            <w:pPr>
              <w:pStyle w:val="13"/>
            </w:pPr>
            <w:r>
              <w:t xml:space="preserve"> </w:t>
            </w:r>
          </w:p>
        </w:tc>
        <w:tc>
          <w:tcPr>
            <w:tcW w:w="2835" w:type="dxa"/>
            <w:vAlign w:val="center"/>
          </w:tcPr>
          <w:p w14:paraId="5FEC1DD3">
            <w:pPr>
              <w:pStyle w:val="13"/>
            </w:pPr>
            <w:r>
              <w:t xml:space="preserve"> </w:t>
            </w:r>
          </w:p>
        </w:tc>
        <w:tc>
          <w:tcPr>
            <w:tcW w:w="2551" w:type="dxa"/>
            <w:vAlign w:val="center"/>
          </w:tcPr>
          <w:p w14:paraId="5890ACF1">
            <w:pPr>
              <w:pStyle w:val="13"/>
            </w:pPr>
            <w:r>
              <w:t>100%</w:t>
            </w:r>
          </w:p>
        </w:tc>
        <w:tc>
          <w:tcPr>
            <w:tcW w:w="3544" w:type="dxa"/>
            <w:gridSpan w:val="2"/>
            <w:vAlign w:val="center"/>
          </w:tcPr>
          <w:p w14:paraId="171601DD">
            <w:pPr>
              <w:pStyle w:val="13"/>
            </w:pPr>
            <w:r>
              <w:t>100%</w:t>
            </w:r>
          </w:p>
        </w:tc>
      </w:tr>
      <w:tr w14:paraId="460D3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4C66B">
            <w:pPr>
              <w:pStyle w:val="10"/>
            </w:pPr>
            <w:r>
              <w:t>绩效目标</w:t>
            </w:r>
          </w:p>
        </w:tc>
        <w:tc>
          <w:tcPr>
            <w:tcW w:w="14033" w:type="dxa"/>
            <w:gridSpan w:val="6"/>
            <w:vAlign w:val="center"/>
          </w:tcPr>
          <w:p w14:paraId="74218C64">
            <w:pPr>
              <w:pStyle w:val="12"/>
            </w:pPr>
            <w:r>
              <w:t>1.按时拨付资金670000元，资金拨付率达到100%</w:t>
            </w:r>
          </w:p>
          <w:p w14:paraId="5854A274">
            <w:pPr>
              <w:pStyle w:val="12"/>
            </w:pPr>
            <w:r>
              <w:t>2.火灾发生时能够及时发现并避免人员伤亡</w:t>
            </w:r>
          </w:p>
          <w:p w14:paraId="4E78611B">
            <w:pPr>
              <w:pStyle w:val="12"/>
            </w:pPr>
            <w:r>
              <w:t>3.有效减少火灾发生的可能性</w:t>
            </w:r>
          </w:p>
        </w:tc>
      </w:tr>
    </w:tbl>
    <w:p w14:paraId="5B2E9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7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1ADD7">
            <w:pPr>
              <w:pStyle w:val="10"/>
            </w:pPr>
            <w:r>
              <w:t>一级指标</w:t>
            </w:r>
          </w:p>
        </w:tc>
        <w:tc>
          <w:tcPr>
            <w:tcW w:w="2268" w:type="dxa"/>
            <w:vAlign w:val="center"/>
          </w:tcPr>
          <w:p w14:paraId="443C2E12">
            <w:pPr>
              <w:pStyle w:val="10"/>
            </w:pPr>
            <w:r>
              <w:t>二级指标</w:t>
            </w:r>
          </w:p>
        </w:tc>
        <w:tc>
          <w:tcPr>
            <w:tcW w:w="2835" w:type="dxa"/>
            <w:vAlign w:val="center"/>
          </w:tcPr>
          <w:p w14:paraId="55CC772B">
            <w:pPr>
              <w:pStyle w:val="10"/>
            </w:pPr>
            <w:r>
              <w:t>三级指标</w:t>
            </w:r>
          </w:p>
        </w:tc>
        <w:tc>
          <w:tcPr>
            <w:tcW w:w="5386" w:type="dxa"/>
            <w:vAlign w:val="center"/>
          </w:tcPr>
          <w:p w14:paraId="61938364">
            <w:pPr>
              <w:pStyle w:val="10"/>
            </w:pPr>
            <w:r>
              <w:t>绩效指标描述</w:t>
            </w:r>
          </w:p>
        </w:tc>
        <w:tc>
          <w:tcPr>
            <w:tcW w:w="2268" w:type="dxa"/>
            <w:vAlign w:val="center"/>
          </w:tcPr>
          <w:p w14:paraId="2409A71A">
            <w:pPr>
              <w:pStyle w:val="10"/>
            </w:pPr>
            <w:r>
              <w:t>指标值</w:t>
            </w:r>
          </w:p>
        </w:tc>
        <w:tc>
          <w:tcPr>
            <w:tcW w:w="1276" w:type="dxa"/>
            <w:vAlign w:val="center"/>
          </w:tcPr>
          <w:p w14:paraId="4358759F">
            <w:pPr>
              <w:pStyle w:val="10"/>
            </w:pPr>
            <w:r>
              <w:t>指标值确定依据</w:t>
            </w:r>
          </w:p>
        </w:tc>
      </w:tr>
      <w:tr w14:paraId="1E8C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B8BAE">
            <w:pPr>
              <w:pStyle w:val="13"/>
            </w:pPr>
            <w:r>
              <w:t>产出指标</w:t>
            </w:r>
          </w:p>
        </w:tc>
        <w:tc>
          <w:tcPr>
            <w:tcW w:w="2268" w:type="dxa"/>
            <w:vAlign w:val="center"/>
          </w:tcPr>
          <w:p w14:paraId="2470AD97">
            <w:pPr>
              <w:pStyle w:val="12"/>
            </w:pPr>
            <w:r>
              <w:t>数量指标</w:t>
            </w:r>
          </w:p>
        </w:tc>
        <w:tc>
          <w:tcPr>
            <w:tcW w:w="2835" w:type="dxa"/>
            <w:vAlign w:val="center"/>
          </w:tcPr>
          <w:p w14:paraId="483BA0EC">
            <w:pPr>
              <w:pStyle w:val="12"/>
            </w:pPr>
            <w:r>
              <w:t>消防预警设备采购</w:t>
            </w:r>
          </w:p>
        </w:tc>
        <w:tc>
          <w:tcPr>
            <w:tcW w:w="5386" w:type="dxa"/>
            <w:vAlign w:val="center"/>
          </w:tcPr>
          <w:p w14:paraId="6A191C4A">
            <w:pPr>
              <w:pStyle w:val="12"/>
            </w:pPr>
            <w:r>
              <w:t>消防预警设备采购项目</w:t>
            </w:r>
          </w:p>
        </w:tc>
        <w:tc>
          <w:tcPr>
            <w:tcW w:w="2268" w:type="dxa"/>
            <w:vAlign w:val="center"/>
          </w:tcPr>
          <w:p w14:paraId="20B9A6C1">
            <w:pPr>
              <w:pStyle w:val="12"/>
            </w:pPr>
            <w:r>
              <w:t>1项</w:t>
            </w:r>
          </w:p>
        </w:tc>
        <w:tc>
          <w:tcPr>
            <w:tcW w:w="1276" w:type="dxa"/>
            <w:vAlign w:val="center"/>
          </w:tcPr>
          <w:p w14:paraId="6DA325B9">
            <w:pPr>
              <w:pStyle w:val="12"/>
            </w:pPr>
            <w:r>
              <w:t>可行性研究报告</w:t>
            </w:r>
          </w:p>
        </w:tc>
      </w:tr>
      <w:tr w14:paraId="7BE7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A7AEC"/>
        </w:tc>
        <w:tc>
          <w:tcPr>
            <w:tcW w:w="2268" w:type="dxa"/>
            <w:vAlign w:val="center"/>
          </w:tcPr>
          <w:p w14:paraId="0A5C693F">
            <w:pPr>
              <w:pStyle w:val="12"/>
            </w:pPr>
            <w:r>
              <w:t>质量指标</w:t>
            </w:r>
          </w:p>
        </w:tc>
        <w:tc>
          <w:tcPr>
            <w:tcW w:w="2835" w:type="dxa"/>
            <w:vAlign w:val="center"/>
          </w:tcPr>
          <w:p w14:paraId="7B5686EC">
            <w:pPr>
              <w:pStyle w:val="12"/>
            </w:pPr>
            <w:r>
              <w:t>项目工程质量合格率</w:t>
            </w:r>
          </w:p>
        </w:tc>
        <w:tc>
          <w:tcPr>
            <w:tcW w:w="5386" w:type="dxa"/>
            <w:vAlign w:val="center"/>
          </w:tcPr>
          <w:p w14:paraId="445898CF">
            <w:pPr>
              <w:pStyle w:val="12"/>
            </w:pPr>
            <w:r>
              <w:t>消防预警设备质量合格率</w:t>
            </w:r>
          </w:p>
        </w:tc>
        <w:tc>
          <w:tcPr>
            <w:tcW w:w="2268" w:type="dxa"/>
            <w:vAlign w:val="center"/>
          </w:tcPr>
          <w:p w14:paraId="12E0C8BB">
            <w:pPr>
              <w:pStyle w:val="12"/>
            </w:pPr>
            <w:r>
              <w:t>100%</w:t>
            </w:r>
          </w:p>
        </w:tc>
        <w:tc>
          <w:tcPr>
            <w:tcW w:w="1276" w:type="dxa"/>
            <w:vAlign w:val="center"/>
          </w:tcPr>
          <w:p w14:paraId="2B3A663D">
            <w:pPr>
              <w:pStyle w:val="12"/>
            </w:pPr>
            <w:r>
              <w:t>可行性研究报告</w:t>
            </w:r>
          </w:p>
        </w:tc>
      </w:tr>
      <w:tr w14:paraId="11640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927B2"/>
        </w:tc>
        <w:tc>
          <w:tcPr>
            <w:tcW w:w="2268" w:type="dxa"/>
            <w:vAlign w:val="center"/>
          </w:tcPr>
          <w:p w14:paraId="5509D377">
            <w:pPr>
              <w:pStyle w:val="12"/>
            </w:pPr>
            <w:r>
              <w:t>时效指标</w:t>
            </w:r>
          </w:p>
        </w:tc>
        <w:tc>
          <w:tcPr>
            <w:tcW w:w="2835" w:type="dxa"/>
            <w:vAlign w:val="center"/>
          </w:tcPr>
          <w:p w14:paraId="5671364E">
            <w:pPr>
              <w:pStyle w:val="12"/>
            </w:pPr>
            <w:r>
              <w:t>消防预警设备项目按时完成率</w:t>
            </w:r>
          </w:p>
        </w:tc>
        <w:tc>
          <w:tcPr>
            <w:tcW w:w="5386" w:type="dxa"/>
            <w:vAlign w:val="center"/>
          </w:tcPr>
          <w:p w14:paraId="37CAD4ED">
            <w:pPr>
              <w:pStyle w:val="12"/>
            </w:pPr>
            <w:r>
              <w:t>工程按时完工率</w:t>
            </w:r>
          </w:p>
        </w:tc>
        <w:tc>
          <w:tcPr>
            <w:tcW w:w="2268" w:type="dxa"/>
            <w:vAlign w:val="center"/>
          </w:tcPr>
          <w:p w14:paraId="742D0F13">
            <w:pPr>
              <w:pStyle w:val="12"/>
            </w:pPr>
            <w:r>
              <w:t>100%</w:t>
            </w:r>
          </w:p>
        </w:tc>
        <w:tc>
          <w:tcPr>
            <w:tcW w:w="1276" w:type="dxa"/>
            <w:vAlign w:val="center"/>
          </w:tcPr>
          <w:p w14:paraId="5AB11525">
            <w:pPr>
              <w:pStyle w:val="12"/>
            </w:pPr>
            <w:r>
              <w:t>结合项目实际情况</w:t>
            </w:r>
          </w:p>
        </w:tc>
      </w:tr>
      <w:tr w14:paraId="7477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78FA2"/>
        </w:tc>
        <w:tc>
          <w:tcPr>
            <w:tcW w:w="2268" w:type="dxa"/>
            <w:vAlign w:val="center"/>
          </w:tcPr>
          <w:p w14:paraId="2C28D9A3">
            <w:pPr>
              <w:pStyle w:val="12"/>
            </w:pPr>
            <w:r>
              <w:t>成本指标</w:t>
            </w:r>
          </w:p>
        </w:tc>
        <w:tc>
          <w:tcPr>
            <w:tcW w:w="2835" w:type="dxa"/>
            <w:vAlign w:val="center"/>
          </w:tcPr>
          <w:p w14:paraId="1F6C575B">
            <w:pPr>
              <w:pStyle w:val="12"/>
            </w:pPr>
            <w:r>
              <w:t>消防预警设备采购成本</w:t>
            </w:r>
          </w:p>
        </w:tc>
        <w:tc>
          <w:tcPr>
            <w:tcW w:w="5386" w:type="dxa"/>
            <w:vAlign w:val="center"/>
          </w:tcPr>
          <w:p w14:paraId="056FF58F">
            <w:pPr>
              <w:pStyle w:val="12"/>
            </w:pPr>
            <w:r>
              <w:t>实行政府采购招投标</w:t>
            </w:r>
          </w:p>
        </w:tc>
        <w:tc>
          <w:tcPr>
            <w:tcW w:w="2268" w:type="dxa"/>
            <w:vAlign w:val="center"/>
          </w:tcPr>
          <w:p w14:paraId="51D8AAC4">
            <w:pPr>
              <w:pStyle w:val="12"/>
            </w:pPr>
            <w:r>
              <w:t>≤67万元</w:t>
            </w:r>
          </w:p>
        </w:tc>
        <w:tc>
          <w:tcPr>
            <w:tcW w:w="1276" w:type="dxa"/>
            <w:vAlign w:val="center"/>
          </w:tcPr>
          <w:p w14:paraId="751AEE02">
            <w:pPr>
              <w:pStyle w:val="12"/>
            </w:pPr>
            <w:r>
              <w:t>结合项目实际情况</w:t>
            </w:r>
          </w:p>
        </w:tc>
      </w:tr>
      <w:tr w14:paraId="47CD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5483D">
            <w:pPr>
              <w:pStyle w:val="13"/>
            </w:pPr>
            <w:r>
              <w:t>效益指标</w:t>
            </w:r>
          </w:p>
        </w:tc>
        <w:tc>
          <w:tcPr>
            <w:tcW w:w="2268" w:type="dxa"/>
            <w:vAlign w:val="center"/>
          </w:tcPr>
          <w:p w14:paraId="42801122">
            <w:pPr>
              <w:pStyle w:val="12"/>
            </w:pPr>
            <w:r>
              <w:t>经济效益指标</w:t>
            </w:r>
          </w:p>
        </w:tc>
        <w:tc>
          <w:tcPr>
            <w:tcW w:w="2835" w:type="dxa"/>
            <w:vAlign w:val="center"/>
          </w:tcPr>
          <w:p w14:paraId="5B18A682">
            <w:pPr>
              <w:pStyle w:val="12"/>
            </w:pPr>
            <w:r>
              <w:t>高中教育毛入学率</w:t>
            </w:r>
          </w:p>
        </w:tc>
        <w:tc>
          <w:tcPr>
            <w:tcW w:w="5386" w:type="dxa"/>
            <w:vAlign w:val="center"/>
          </w:tcPr>
          <w:p w14:paraId="3E8F5831">
            <w:pPr>
              <w:pStyle w:val="12"/>
            </w:pPr>
            <w:r>
              <w:t>大幅度提升高中阶段毛入学率</w:t>
            </w:r>
          </w:p>
        </w:tc>
        <w:tc>
          <w:tcPr>
            <w:tcW w:w="2268" w:type="dxa"/>
            <w:vAlign w:val="center"/>
          </w:tcPr>
          <w:p w14:paraId="5F700568">
            <w:pPr>
              <w:pStyle w:val="12"/>
            </w:pPr>
            <w:r>
              <w:t>≥90%</w:t>
            </w:r>
          </w:p>
        </w:tc>
        <w:tc>
          <w:tcPr>
            <w:tcW w:w="1276" w:type="dxa"/>
            <w:vAlign w:val="center"/>
          </w:tcPr>
          <w:p w14:paraId="737C9EDD">
            <w:pPr>
              <w:pStyle w:val="12"/>
            </w:pPr>
            <w:r>
              <w:t>可行性研究报告</w:t>
            </w:r>
          </w:p>
        </w:tc>
      </w:tr>
      <w:tr w14:paraId="6784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A521F"/>
        </w:tc>
        <w:tc>
          <w:tcPr>
            <w:tcW w:w="2268" w:type="dxa"/>
            <w:vAlign w:val="center"/>
          </w:tcPr>
          <w:p w14:paraId="1C350304">
            <w:pPr>
              <w:pStyle w:val="12"/>
            </w:pPr>
            <w:r>
              <w:t>社会效益指标</w:t>
            </w:r>
          </w:p>
        </w:tc>
        <w:tc>
          <w:tcPr>
            <w:tcW w:w="2835" w:type="dxa"/>
            <w:vAlign w:val="center"/>
          </w:tcPr>
          <w:p w14:paraId="0DFB2E14">
            <w:pPr>
              <w:pStyle w:val="12"/>
            </w:pPr>
            <w:r>
              <w:t>受益人数</w:t>
            </w:r>
          </w:p>
        </w:tc>
        <w:tc>
          <w:tcPr>
            <w:tcW w:w="5386" w:type="dxa"/>
            <w:vAlign w:val="center"/>
          </w:tcPr>
          <w:p w14:paraId="656F4D45">
            <w:pPr>
              <w:pStyle w:val="12"/>
            </w:pPr>
            <w:r>
              <w:t>受益学生人数</w:t>
            </w:r>
          </w:p>
        </w:tc>
        <w:tc>
          <w:tcPr>
            <w:tcW w:w="2268" w:type="dxa"/>
            <w:vAlign w:val="center"/>
          </w:tcPr>
          <w:p w14:paraId="2DCA05B7">
            <w:pPr>
              <w:pStyle w:val="12"/>
            </w:pPr>
            <w:r>
              <w:t>4651人</w:t>
            </w:r>
          </w:p>
        </w:tc>
        <w:tc>
          <w:tcPr>
            <w:tcW w:w="1276" w:type="dxa"/>
            <w:vAlign w:val="center"/>
          </w:tcPr>
          <w:p w14:paraId="02180335">
            <w:pPr>
              <w:pStyle w:val="12"/>
            </w:pPr>
            <w:r>
              <w:t>可行性研究报告</w:t>
            </w:r>
          </w:p>
        </w:tc>
      </w:tr>
      <w:tr w14:paraId="2A05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B3FCF"/>
        </w:tc>
        <w:tc>
          <w:tcPr>
            <w:tcW w:w="2268" w:type="dxa"/>
            <w:vAlign w:val="center"/>
          </w:tcPr>
          <w:p w14:paraId="36D858DD">
            <w:pPr>
              <w:pStyle w:val="12"/>
            </w:pPr>
            <w:r>
              <w:t>可持续影响指标</w:t>
            </w:r>
          </w:p>
        </w:tc>
        <w:tc>
          <w:tcPr>
            <w:tcW w:w="2835" w:type="dxa"/>
            <w:vAlign w:val="center"/>
          </w:tcPr>
          <w:p w14:paraId="024512A4">
            <w:pPr>
              <w:pStyle w:val="12"/>
            </w:pPr>
            <w:r>
              <w:t>设备使用年限</w:t>
            </w:r>
          </w:p>
        </w:tc>
        <w:tc>
          <w:tcPr>
            <w:tcW w:w="5386" w:type="dxa"/>
            <w:vAlign w:val="center"/>
          </w:tcPr>
          <w:p w14:paraId="4E3B48D2">
            <w:pPr>
              <w:pStyle w:val="12"/>
            </w:pPr>
            <w:r>
              <w:t>提高设备使用年限</w:t>
            </w:r>
          </w:p>
        </w:tc>
        <w:tc>
          <w:tcPr>
            <w:tcW w:w="2268" w:type="dxa"/>
            <w:vAlign w:val="center"/>
          </w:tcPr>
          <w:p w14:paraId="518DE1FF">
            <w:pPr>
              <w:pStyle w:val="12"/>
            </w:pPr>
            <w:r>
              <w:t>≥10年</w:t>
            </w:r>
          </w:p>
        </w:tc>
        <w:tc>
          <w:tcPr>
            <w:tcW w:w="1276" w:type="dxa"/>
            <w:vAlign w:val="center"/>
          </w:tcPr>
          <w:p w14:paraId="7CB3B142">
            <w:pPr>
              <w:pStyle w:val="12"/>
            </w:pPr>
            <w:r>
              <w:t>可行性研究报告</w:t>
            </w:r>
          </w:p>
        </w:tc>
      </w:tr>
      <w:tr w14:paraId="3C5F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986D4">
            <w:pPr>
              <w:pStyle w:val="13"/>
            </w:pPr>
            <w:r>
              <w:t>满意度指标</w:t>
            </w:r>
          </w:p>
        </w:tc>
        <w:tc>
          <w:tcPr>
            <w:tcW w:w="2268" w:type="dxa"/>
            <w:vAlign w:val="center"/>
          </w:tcPr>
          <w:p w14:paraId="5866DB77">
            <w:pPr>
              <w:pStyle w:val="12"/>
            </w:pPr>
            <w:r>
              <w:t>服务对象满意度指标</w:t>
            </w:r>
          </w:p>
        </w:tc>
        <w:tc>
          <w:tcPr>
            <w:tcW w:w="2835" w:type="dxa"/>
            <w:vAlign w:val="center"/>
          </w:tcPr>
          <w:p w14:paraId="557AA2A2">
            <w:pPr>
              <w:pStyle w:val="12"/>
            </w:pPr>
            <w:r>
              <w:t>学生和学生家长满意度</w:t>
            </w:r>
          </w:p>
        </w:tc>
        <w:tc>
          <w:tcPr>
            <w:tcW w:w="5386" w:type="dxa"/>
            <w:vAlign w:val="center"/>
          </w:tcPr>
          <w:p w14:paraId="4436FABC">
            <w:pPr>
              <w:pStyle w:val="12"/>
            </w:pPr>
            <w:r>
              <w:t>大幅提高学生和学生家长满意度</w:t>
            </w:r>
          </w:p>
        </w:tc>
        <w:tc>
          <w:tcPr>
            <w:tcW w:w="2268" w:type="dxa"/>
            <w:vAlign w:val="center"/>
          </w:tcPr>
          <w:p w14:paraId="554FA00C">
            <w:pPr>
              <w:pStyle w:val="12"/>
            </w:pPr>
            <w:r>
              <w:t>≥95%</w:t>
            </w:r>
          </w:p>
        </w:tc>
        <w:tc>
          <w:tcPr>
            <w:tcW w:w="1276" w:type="dxa"/>
            <w:vAlign w:val="center"/>
          </w:tcPr>
          <w:p w14:paraId="78812557">
            <w:pPr>
              <w:pStyle w:val="12"/>
            </w:pPr>
            <w:r>
              <w:t>调查问卷</w:t>
            </w:r>
          </w:p>
        </w:tc>
      </w:tr>
    </w:tbl>
    <w:p w14:paraId="4BD7F72B">
      <w:pPr>
        <w:sectPr>
          <w:pgSz w:w="16840" w:h="11900" w:orient="landscape"/>
          <w:pgMar w:top="1361" w:right="1020" w:bottom="1134" w:left="1020" w:header="720" w:footer="720" w:gutter="0"/>
          <w:cols w:space="720" w:num="1"/>
        </w:sectPr>
      </w:pPr>
    </w:p>
    <w:p w14:paraId="243C2E70">
      <w:pPr>
        <w:spacing w:before="0" w:after="0"/>
        <w:ind w:firstLine="560"/>
        <w:jc w:val="left"/>
        <w:outlineLvl w:val="9"/>
      </w:pPr>
      <w:r>
        <w:rPr>
          <w:rFonts w:ascii="方正仿宋_GBK" w:hAnsi="方正仿宋_GBK" w:eastAsia="方正仿宋_GBK" w:cs="方正仿宋_GBK"/>
          <w:b/>
          <w:color w:val="000000"/>
          <w:sz w:val="28"/>
        </w:rPr>
        <w:t>5、冀财教[2024]57号/中央/2024年高中/改善办学条件/一中双电源及箱变安装项目绩效目标表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3E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113C9">
            <w:pPr>
              <w:pStyle w:val="11"/>
            </w:pPr>
            <w:r>
              <w:t>单位：万元</w:t>
            </w:r>
          </w:p>
        </w:tc>
      </w:tr>
      <w:tr w14:paraId="4567F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0E860">
            <w:pPr>
              <w:pStyle w:val="10"/>
            </w:pPr>
            <w:r>
              <w:t>项目编码</w:t>
            </w:r>
          </w:p>
        </w:tc>
        <w:tc>
          <w:tcPr>
            <w:tcW w:w="5103" w:type="dxa"/>
            <w:gridSpan w:val="2"/>
            <w:vAlign w:val="center"/>
          </w:tcPr>
          <w:p w14:paraId="4C0A8851">
            <w:pPr>
              <w:pStyle w:val="12"/>
            </w:pPr>
            <w:r>
              <w:t>13052526P00877110013H</w:t>
            </w:r>
          </w:p>
        </w:tc>
        <w:tc>
          <w:tcPr>
            <w:tcW w:w="2835" w:type="dxa"/>
            <w:vAlign w:val="center"/>
          </w:tcPr>
          <w:p w14:paraId="7243F8AF">
            <w:pPr>
              <w:pStyle w:val="10"/>
            </w:pPr>
            <w:r>
              <w:t>项目名称</w:t>
            </w:r>
          </w:p>
        </w:tc>
        <w:tc>
          <w:tcPr>
            <w:tcW w:w="6095" w:type="dxa"/>
            <w:gridSpan w:val="3"/>
            <w:vAlign w:val="center"/>
          </w:tcPr>
          <w:p w14:paraId="11861458">
            <w:pPr>
              <w:pStyle w:val="12"/>
            </w:pPr>
            <w:r>
              <w:t>冀财教[2024]57号/中央/2024年高中/改善办学条件/一中双电源及箱变安装项目</w:t>
            </w:r>
          </w:p>
        </w:tc>
      </w:tr>
      <w:tr w14:paraId="4590C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D9071">
            <w:pPr>
              <w:pStyle w:val="10"/>
            </w:pPr>
            <w:r>
              <w:t>预算规模及资金用途</w:t>
            </w:r>
          </w:p>
        </w:tc>
        <w:tc>
          <w:tcPr>
            <w:tcW w:w="2268" w:type="dxa"/>
            <w:vAlign w:val="center"/>
          </w:tcPr>
          <w:p w14:paraId="0E5CF467">
            <w:pPr>
              <w:pStyle w:val="10"/>
            </w:pPr>
            <w:r>
              <w:t>预算数</w:t>
            </w:r>
          </w:p>
        </w:tc>
        <w:tc>
          <w:tcPr>
            <w:tcW w:w="2835" w:type="dxa"/>
            <w:vAlign w:val="center"/>
          </w:tcPr>
          <w:p w14:paraId="4F1F572B">
            <w:pPr>
              <w:pStyle w:val="12"/>
            </w:pPr>
            <w:r>
              <w:t>31.92</w:t>
            </w:r>
          </w:p>
        </w:tc>
        <w:tc>
          <w:tcPr>
            <w:tcW w:w="2835" w:type="dxa"/>
            <w:vAlign w:val="center"/>
          </w:tcPr>
          <w:p w14:paraId="1F1D7167">
            <w:pPr>
              <w:pStyle w:val="10"/>
            </w:pPr>
            <w:r>
              <w:t>其中：财政    资金</w:t>
            </w:r>
          </w:p>
        </w:tc>
        <w:tc>
          <w:tcPr>
            <w:tcW w:w="2551" w:type="dxa"/>
            <w:vAlign w:val="center"/>
          </w:tcPr>
          <w:p w14:paraId="68E00A77">
            <w:pPr>
              <w:pStyle w:val="12"/>
            </w:pPr>
            <w:r>
              <w:t>31.92</w:t>
            </w:r>
          </w:p>
        </w:tc>
        <w:tc>
          <w:tcPr>
            <w:tcW w:w="2268" w:type="dxa"/>
            <w:vAlign w:val="center"/>
          </w:tcPr>
          <w:p w14:paraId="350D09B0">
            <w:pPr>
              <w:pStyle w:val="10"/>
            </w:pPr>
            <w:r>
              <w:t>其他资金</w:t>
            </w:r>
          </w:p>
        </w:tc>
        <w:tc>
          <w:tcPr>
            <w:tcW w:w="1276" w:type="dxa"/>
            <w:vAlign w:val="center"/>
          </w:tcPr>
          <w:p w14:paraId="7E6ABC23">
            <w:pPr>
              <w:pStyle w:val="12"/>
            </w:pPr>
            <w:r>
              <w:t xml:space="preserve"> </w:t>
            </w:r>
          </w:p>
        </w:tc>
      </w:tr>
      <w:tr w14:paraId="4C915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7CC4A"/>
        </w:tc>
        <w:tc>
          <w:tcPr>
            <w:tcW w:w="14033" w:type="dxa"/>
            <w:gridSpan w:val="6"/>
            <w:vAlign w:val="center"/>
          </w:tcPr>
          <w:p w14:paraId="1243F5A2">
            <w:pPr>
              <w:pStyle w:val="12"/>
            </w:pPr>
            <w:r>
              <w:t>满足学校用电需要，保证学校用电质量，保证正常教学活动正常开展。</w:t>
            </w:r>
          </w:p>
        </w:tc>
      </w:tr>
      <w:tr w14:paraId="2C683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FEC29">
            <w:pPr>
              <w:pStyle w:val="10"/>
            </w:pPr>
            <w:r>
              <w:t>资金支出计划（%）</w:t>
            </w:r>
          </w:p>
        </w:tc>
        <w:tc>
          <w:tcPr>
            <w:tcW w:w="5103" w:type="dxa"/>
            <w:gridSpan w:val="2"/>
            <w:vAlign w:val="center"/>
          </w:tcPr>
          <w:p w14:paraId="3DF314FD">
            <w:pPr>
              <w:pStyle w:val="10"/>
            </w:pPr>
            <w:r>
              <w:t>3月底</w:t>
            </w:r>
          </w:p>
        </w:tc>
        <w:tc>
          <w:tcPr>
            <w:tcW w:w="2835" w:type="dxa"/>
            <w:vAlign w:val="center"/>
          </w:tcPr>
          <w:p w14:paraId="38111DF3">
            <w:pPr>
              <w:pStyle w:val="10"/>
            </w:pPr>
            <w:r>
              <w:t>6月底</w:t>
            </w:r>
          </w:p>
        </w:tc>
        <w:tc>
          <w:tcPr>
            <w:tcW w:w="2551" w:type="dxa"/>
            <w:vAlign w:val="center"/>
          </w:tcPr>
          <w:p w14:paraId="1AAB2DCC">
            <w:pPr>
              <w:pStyle w:val="10"/>
            </w:pPr>
            <w:r>
              <w:t>10月底</w:t>
            </w:r>
          </w:p>
        </w:tc>
        <w:tc>
          <w:tcPr>
            <w:tcW w:w="3544" w:type="dxa"/>
            <w:gridSpan w:val="2"/>
            <w:vAlign w:val="center"/>
          </w:tcPr>
          <w:p w14:paraId="4D2981D6">
            <w:pPr>
              <w:pStyle w:val="10"/>
            </w:pPr>
            <w:r>
              <w:t>12月底</w:t>
            </w:r>
          </w:p>
        </w:tc>
      </w:tr>
      <w:tr w14:paraId="629C4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AFA46"/>
        </w:tc>
        <w:tc>
          <w:tcPr>
            <w:tcW w:w="5103" w:type="dxa"/>
            <w:gridSpan w:val="2"/>
            <w:vAlign w:val="center"/>
          </w:tcPr>
          <w:p w14:paraId="171A0C68">
            <w:pPr>
              <w:pStyle w:val="13"/>
            </w:pPr>
            <w:r>
              <w:t xml:space="preserve"> </w:t>
            </w:r>
          </w:p>
        </w:tc>
        <w:tc>
          <w:tcPr>
            <w:tcW w:w="2835" w:type="dxa"/>
            <w:vAlign w:val="center"/>
          </w:tcPr>
          <w:p w14:paraId="451DAD90">
            <w:pPr>
              <w:pStyle w:val="13"/>
            </w:pPr>
            <w:r>
              <w:t>100%</w:t>
            </w:r>
          </w:p>
        </w:tc>
        <w:tc>
          <w:tcPr>
            <w:tcW w:w="2551" w:type="dxa"/>
            <w:vAlign w:val="center"/>
          </w:tcPr>
          <w:p w14:paraId="64D64415">
            <w:pPr>
              <w:pStyle w:val="13"/>
            </w:pPr>
            <w:r>
              <w:t>100%</w:t>
            </w:r>
          </w:p>
        </w:tc>
        <w:tc>
          <w:tcPr>
            <w:tcW w:w="3544" w:type="dxa"/>
            <w:gridSpan w:val="2"/>
            <w:vAlign w:val="center"/>
          </w:tcPr>
          <w:p w14:paraId="479A8EBB">
            <w:pPr>
              <w:pStyle w:val="13"/>
            </w:pPr>
            <w:r>
              <w:t>100%</w:t>
            </w:r>
          </w:p>
        </w:tc>
      </w:tr>
      <w:tr w14:paraId="6449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E454E">
            <w:pPr>
              <w:pStyle w:val="10"/>
            </w:pPr>
            <w:r>
              <w:t>绩效目标</w:t>
            </w:r>
          </w:p>
        </w:tc>
        <w:tc>
          <w:tcPr>
            <w:tcW w:w="14033" w:type="dxa"/>
            <w:gridSpan w:val="6"/>
            <w:vAlign w:val="center"/>
          </w:tcPr>
          <w:p w14:paraId="6D6C6AFD">
            <w:pPr>
              <w:pStyle w:val="12"/>
            </w:pPr>
            <w:r>
              <w:t>1.按时拨付资金319243元，资金拨付率达到100%</w:t>
            </w:r>
          </w:p>
          <w:p w14:paraId="02C54C62">
            <w:pPr>
              <w:pStyle w:val="12"/>
            </w:pPr>
            <w:r>
              <w:t>2.满足学校用电需要，保证学校用电质量</w:t>
            </w:r>
          </w:p>
          <w:p w14:paraId="645E6F85">
            <w:pPr>
              <w:pStyle w:val="12"/>
            </w:pPr>
            <w:r>
              <w:t>3.提高教育教学水平和教育教学环境，保证正常教学活动正常开展</w:t>
            </w:r>
          </w:p>
        </w:tc>
      </w:tr>
    </w:tbl>
    <w:p w14:paraId="3172D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7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FCD07">
            <w:pPr>
              <w:pStyle w:val="10"/>
            </w:pPr>
            <w:r>
              <w:t>一级指标</w:t>
            </w:r>
          </w:p>
        </w:tc>
        <w:tc>
          <w:tcPr>
            <w:tcW w:w="2268" w:type="dxa"/>
            <w:vAlign w:val="center"/>
          </w:tcPr>
          <w:p w14:paraId="75726AC1">
            <w:pPr>
              <w:pStyle w:val="10"/>
            </w:pPr>
            <w:r>
              <w:t>二级指标</w:t>
            </w:r>
          </w:p>
        </w:tc>
        <w:tc>
          <w:tcPr>
            <w:tcW w:w="2835" w:type="dxa"/>
            <w:vAlign w:val="center"/>
          </w:tcPr>
          <w:p w14:paraId="5FD2C495">
            <w:pPr>
              <w:pStyle w:val="10"/>
            </w:pPr>
            <w:r>
              <w:t>三级指标</w:t>
            </w:r>
          </w:p>
        </w:tc>
        <w:tc>
          <w:tcPr>
            <w:tcW w:w="5386" w:type="dxa"/>
            <w:vAlign w:val="center"/>
          </w:tcPr>
          <w:p w14:paraId="32F21E25">
            <w:pPr>
              <w:pStyle w:val="10"/>
            </w:pPr>
            <w:r>
              <w:t>绩效指标描述</w:t>
            </w:r>
          </w:p>
        </w:tc>
        <w:tc>
          <w:tcPr>
            <w:tcW w:w="2268" w:type="dxa"/>
            <w:vAlign w:val="center"/>
          </w:tcPr>
          <w:p w14:paraId="7578897E">
            <w:pPr>
              <w:pStyle w:val="10"/>
            </w:pPr>
            <w:r>
              <w:t>指标值</w:t>
            </w:r>
          </w:p>
        </w:tc>
        <w:tc>
          <w:tcPr>
            <w:tcW w:w="1276" w:type="dxa"/>
            <w:vAlign w:val="center"/>
          </w:tcPr>
          <w:p w14:paraId="299E48C1">
            <w:pPr>
              <w:pStyle w:val="10"/>
            </w:pPr>
            <w:r>
              <w:t>指标值确定依据</w:t>
            </w:r>
          </w:p>
        </w:tc>
      </w:tr>
      <w:tr w14:paraId="58A6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2FDFB">
            <w:pPr>
              <w:pStyle w:val="13"/>
            </w:pPr>
            <w:r>
              <w:t>产出指标</w:t>
            </w:r>
          </w:p>
        </w:tc>
        <w:tc>
          <w:tcPr>
            <w:tcW w:w="2268" w:type="dxa"/>
            <w:vAlign w:val="center"/>
          </w:tcPr>
          <w:p w14:paraId="0ECAD5C4">
            <w:pPr>
              <w:pStyle w:val="12"/>
            </w:pPr>
            <w:r>
              <w:t>数量指标</w:t>
            </w:r>
          </w:p>
        </w:tc>
        <w:tc>
          <w:tcPr>
            <w:tcW w:w="2835" w:type="dxa"/>
            <w:vAlign w:val="center"/>
          </w:tcPr>
          <w:p w14:paraId="656151F8">
            <w:pPr>
              <w:pStyle w:val="12"/>
            </w:pPr>
            <w:r>
              <w:t>双电源及箱变安装</w:t>
            </w:r>
          </w:p>
        </w:tc>
        <w:tc>
          <w:tcPr>
            <w:tcW w:w="5386" w:type="dxa"/>
            <w:vAlign w:val="center"/>
          </w:tcPr>
          <w:p w14:paraId="3FAB42AA">
            <w:pPr>
              <w:pStyle w:val="12"/>
            </w:pPr>
            <w:r>
              <w:t>双电源及箱变安装设备</w:t>
            </w:r>
          </w:p>
        </w:tc>
        <w:tc>
          <w:tcPr>
            <w:tcW w:w="2268" w:type="dxa"/>
            <w:vAlign w:val="center"/>
          </w:tcPr>
          <w:p w14:paraId="4D78DACC">
            <w:pPr>
              <w:pStyle w:val="12"/>
            </w:pPr>
            <w:r>
              <w:t>1套</w:t>
            </w:r>
          </w:p>
        </w:tc>
        <w:tc>
          <w:tcPr>
            <w:tcW w:w="1276" w:type="dxa"/>
            <w:vAlign w:val="center"/>
          </w:tcPr>
          <w:p w14:paraId="4C41F0B8">
            <w:pPr>
              <w:pStyle w:val="12"/>
            </w:pPr>
            <w:r>
              <w:t>套</w:t>
            </w:r>
          </w:p>
        </w:tc>
      </w:tr>
      <w:tr w14:paraId="1D0F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13A5F"/>
        </w:tc>
        <w:tc>
          <w:tcPr>
            <w:tcW w:w="2268" w:type="dxa"/>
            <w:vAlign w:val="center"/>
          </w:tcPr>
          <w:p w14:paraId="0D37C5DB">
            <w:pPr>
              <w:pStyle w:val="12"/>
            </w:pPr>
            <w:r>
              <w:t>质量指标</w:t>
            </w:r>
          </w:p>
        </w:tc>
        <w:tc>
          <w:tcPr>
            <w:tcW w:w="2835" w:type="dxa"/>
            <w:vAlign w:val="center"/>
          </w:tcPr>
          <w:p w14:paraId="7D5CEDE8">
            <w:pPr>
              <w:pStyle w:val="12"/>
            </w:pPr>
            <w:r>
              <w:t>项目工程质量合格率</w:t>
            </w:r>
          </w:p>
        </w:tc>
        <w:tc>
          <w:tcPr>
            <w:tcW w:w="5386" w:type="dxa"/>
            <w:vAlign w:val="center"/>
          </w:tcPr>
          <w:p w14:paraId="21C48053">
            <w:pPr>
              <w:pStyle w:val="12"/>
            </w:pPr>
            <w:r>
              <w:t>双电源及箱变安装设备质量合格率</w:t>
            </w:r>
          </w:p>
        </w:tc>
        <w:tc>
          <w:tcPr>
            <w:tcW w:w="2268" w:type="dxa"/>
            <w:vAlign w:val="center"/>
          </w:tcPr>
          <w:p w14:paraId="2808E45B">
            <w:pPr>
              <w:pStyle w:val="12"/>
            </w:pPr>
            <w:r>
              <w:t>100%</w:t>
            </w:r>
          </w:p>
        </w:tc>
        <w:tc>
          <w:tcPr>
            <w:tcW w:w="1276" w:type="dxa"/>
            <w:vAlign w:val="center"/>
          </w:tcPr>
          <w:p w14:paraId="5234EF99">
            <w:pPr>
              <w:pStyle w:val="12"/>
            </w:pPr>
            <w:r>
              <w:t>可行性研究报告</w:t>
            </w:r>
          </w:p>
        </w:tc>
      </w:tr>
      <w:tr w14:paraId="4B5D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5C8B9"/>
        </w:tc>
        <w:tc>
          <w:tcPr>
            <w:tcW w:w="2268" w:type="dxa"/>
            <w:vAlign w:val="center"/>
          </w:tcPr>
          <w:p w14:paraId="126F4CA2">
            <w:pPr>
              <w:pStyle w:val="12"/>
            </w:pPr>
            <w:r>
              <w:t>时效指标</w:t>
            </w:r>
          </w:p>
        </w:tc>
        <w:tc>
          <w:tcPr>
            <w:tcW w:w="2835" w:type="dxa"/>
            <w:vAlign w:val="center"/>
          </w:tcPr>
          <w:p w14:paraId="404774EB">
            <w:pPr>
              <w:pStyle w:val="12"/>
            </w:pPr>
            <w:r>
              <w:t>双电源及箱变安装设备按时完成率</w:t>
            </w:r>
          </w:p>
        </w:tc>
        <w:tc>
          <w:tcPr>
            <w:tcW w:w="5386" w:type="dxa"/>
            <w:vAlign w:val="center"/>
          </w:tcPr>
          <w:p w14:paraId="335F0518">
            <w:pPr>
              <w:pStyle w:val="12"/>
            </w:pPr>
            <w:r>
              <w:t>工程按时完工率</w:t>
            </w:r>
          </w:p>
        </w:tc>
        <w:tc>
          <w:tcPr>
            <w:tcW w:w="2268" w:type="dxa"/>
            <w:vAlign w:val="center"/>
          </w:tcPr>
          <w:p w14:paraId="252881AA">
            <w:pPr>
              <w:pStyle w:val="12"/>
            </w:pPr>
            <w:r>
              <w:t>100%</w:t>
            </w:r>
          </w:p>
        </w:tc>
        <w:tc>
          <w:tcPr>
            <w:tcW w:w="1276" w:type="dxa"/>
            <w:vAlign w:val="center"/>
          </w:tcPr>
          <w:p w14:paraId="002F8F46">
            <w:pPr>
              <w:pStyle w:val="12"/>
            </w:pPr>
            <w:r>
              <w:t>结合项目实际情况</w:t>
            </w:r>
          </w:p>
        </w:tc>
      </w:tr>
      <w:tr w14:paraId="78D6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76490"/>
        </w:tc>
        <w:tc>
          <w:tcPr>
            <w:tcW w:w="2268" w:type="dxa"/>
            <w:vAlign w:val="center"/>
          </w:tcPr>
          <w:p w14:paraId="057ECACF">
            <w:pPr>
              <w:pStyle w:val="12"/>
            </w:pPr>
            <w:r>
              <w:t>成本指标</w:t>
            </w:r>
          </w:p>
        </w:tc>
        <w:tc>
          <w:tcPr>
            <w:tcW w:w="2835" w:type="dxa"/>
            <w:vAlign w:val="center"/>
          </w:tcPr>
          <w:p w14:paraId="24457C3C">
            <w:pPr>
              <w:pStyle w:val="12"/>
            </w:pPr>
            <w:r>
              <w:t>双电源及箱变安装项目成本</w:t>
            </w:r>
          </w:p>
        </w:tc>
        <w:tc>
          <w:tcPr>
            <w:tcW w:w="5386" w:type="dxa"/>
            <w:vAlign w:val="center"/>
          </w:tcPr>
          <w:p w14:paraId="11DAF995">
            <w:pPr>
              <w:pStyle w:val="12"/>
            </w:pPr>
            <w:r>
              <w:t>实行政府采购招投标</w:t>
            </w:r>
          </w:p>
        </w:tc>
        <w:tc>
          <w:tcPr>
            <w:tcW w:w="2268" w:type="dxa"/>
            <w:vAlign w:val="center"/>
          </w:tcPr>
          <w:p w14:paraId="35D2F550">
            <w:pPr>
              <w:pStyle w:val="12"/>
            </w:pPr>
            <w:r>
              <w:t>≤64.5万元</w:t>
            </w:r>
          </w:p>
        </w:tc>
        <w:tc>
          <w:tcPr>
            <w:tcW w:w="1276" w:type="dxa"/>
            <w:vAlign w:val="center"/>
          </w:tcPr>
          <w:p w14:paraId="7A843BE8">
            <w:pPr>
              <w:pStyle w:val="12"/>
            </w:pPr>
            <w:r>
              <w:t>结合项目实际情况</w:t>
            </w:r>
          </w:p>
        </w:tc>
      </w:tr>
      <w:tr w14:paraId="04ABE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FFCC1">
            <w:pPr>
              <w:pStyle w:val="13"/>
            </w:pPr>
            <w:r>
              <w:t>效益指标</w:t>
            </w:r>
          </w:p>
        </w:tc>
        <w:tc>
          <w:tcPr>
            <w:tcW w:w="2268" w:type="dxa"/>
            <w:vAlign w:val="center"/>
          </w:tcPr>
          <w:p w14:paraId="6DDBDB36">
            <w:pPr>
              <w:pStyle w:val="12"/>
            </w:pPr>
            <w:r>
              <w:t>经济效益指标</w:t>
            </w:r>
          </w:p>
        </w:tc>
        <w:tc>
          <w:tcPr>
            <w:tcW w:w="2835" w:type="dxa"/>
            <w:vAlign w:val="center"/>
          </w:tcPr>
          <w:p w14:paraId="0B086577">
            <w:pPr>
              <w:pStyle w:val="12"/>
            </w:pPr>
            <w:r>
              <w:t>高中教育毛入学率</w:t>
            </w:r>
          </w:p>
        </w:tc>
        <w:tc>
          <w:tcPr>
            <w:tcW w:w="5386" w:type="dxa"/>
            <w:vAlign w:val="center"/>
          </w:tcPr>
          <w:p w14:paraId="79EBC3FC">
            <w:pPr>
              <w:pStyle w:val="12"/>
            </w:pPr>
            <w:r>
              <w:t>大幅度提升高中阶段毛入学率</w:t>
            </w:r>
          </w:p>
        </w:tc>
        <w:tc>
          <w:tcPr>
            <w:tcW w:w="2268" w:type="dxa"/>
            <w:vAlign w:val="center"/>
          </w:tcPr>
          <w:p w14:paraId="0486628D">
            <w:pPr>
              <w:pStyle w:val="12"/>
            </w:pPr>
            <w:r>
              <w:t>≥90%</w:t>
            </w:r>
          </w:p>
        </w:tc>
        <w:tc>
          <w:tcPr>
            <w:tcW w:w="1276" w:type="dxa"/>
            <w:vAlign w:val="center"/>
          </w:tcPr>
          <w:p w14:paraId="2EB48EAF">
            <w:pPr>
              <w:pStyle w:val="12"/>
            </w:pPr>
            <w:r>
              <w:t>可行性研究报告</w:t>
            </w:r>
          </w:p>
        </w:tc>
      </w:tr>
      <w:tr w14:paraId="0C30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8E0C5"/>
        </w:tc>
        <w:tc>
          <w:tcPr>
            <w:tcW w:w="2268" w:type="dxa"/>
            <w:vAlign w:val="center"/>
          </w:tcPr>
          <w:p w14:paraId="2A12128C">
            <w:pPr>
              <w:pStyle w:val="12"/>
            </w:pPr>
            <w:r>
              <w:t>社会效益指标</w:t>
            </w:r>
          </w:p>
        </w:tc>
        <w:tc>
          <w:tcPr>
            <w:tcW w:w="2835" w:type="dxa"/>
            <w:vAlign w:val="center"/>
          </w:tcPr>
          <w:p w14:paraId="650A10D5">
            <w:pPr>
              <w:pStyle w:val="12"/>
            </w:pPr>
            <w:r>
              <w:t>受益人数</w:t>
            </w:r>
          </w:p>
        </w:tc>
        <w:tc>
          <w:tcPr>
            <w:tcW w:w="5386" w:type="dxa"/>
            <w:vAlign w:val="center"/>
          </w:tcPr>
          <w:p w14:paraId="38E2C79D">
            <w:pPr>
              <w:pStyle w:val="12"/>
            </w:pPr>
            <w:r>
              <w:t>受益学生人数</w:t>
            </w:r>
          </w:p>
        </w:tc>
        <w:tc>
          <w:tcPr>
            <w:tcW w:w="2268" w:type="dxa"/>
            <w:vAlign w:val="center"/>
          </w:tcPr>
          <w:p w14:paraId="74A73A0E">
            <w:pPr>
              <w:pStyle w:val="12"/>
            </w:pPr>
            <w:r>
              <w:t>≥4608人</w:t>
            </w:r>
          </w:p>
        </w:tc>
        <w:tc>
          <w:tcPr>
            <w:tcW w:w="1276" w:type="dxa"/>
            <w:vAlign w:val="center"/>
          </w:tcPr>
          <w:p w14:paraId="61389BDE">
            <w:pPr>
              <w:pStyle w:val="12"/>
            </w:pPr>
            <w:r>
              <w:t>可行性研究报告</w:t>
            </w:r>
          </w:p>
        </w:tc>
      </w:tr>
      <w:tr w14:paraId="6297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21494"/>
        </w:tc>
        <w:tc>
          <w:tcPr>
            <w:tcW w:w="2268" w:type="dxa"/>
            <w:vAlign w:val="center"/>
          </w:tcPr>
          <w:p w14:paraId="7C3781FA">
            <w:pPr>
              <w:pStyle w:val="12"/>
            </w:pPr>
            <w:r>
              <w:t>可持续影响指标</w:t>
            </w:r>
          </w:p>
        </w:tc>
        <w:tc>
          <w:tcPr>
            <w:tcW w:w="2835" w:type="dxa"/>
            <w:vAlign w:val="center"/>
          </w:tcPr>
          <w:p w14:paraId="3E03666E">
            <w:pPr>
              <w:pStyle w:val="12"/>
            </w:pPr>
            <w:r>
              <w:t>设备使用年限</w:t>
            </w:r>
          </w:p>
        </w:tc>
        <w:tc>
          <w:tcPr>
            <w:tcW w:w="5386" w:type="dxa"/>
            <w:vAlign w:val="center"/>
          </w:tcPr>
          <w:p w14:paraId="44100CFD">
            <w:pPr>
              <w:pStyle w:val="12"/>
            </w:pPr>
            <w:r>
              <w:t>提高设备使用年限</w:t>
            </w:r>
          </w:p>
        </w:tc>
        <w:tc>
          <w:tcPr>
            <w:tcW w:w="2268" w:type="dxa"/>
            <w:vAlign w:val="center"/>
          </w:tcPr>
          <w:p w14:paraId="4C77B382">
            <w:pPr>
              <w:pStyle w:val="12"/>
            </w:pPr>
            <w:r>
              <w:t>≥50年</w:t>
            </w:r>
          </w:p>
        </w:tc>
        <w:tc>
          <w:tcPr>
            <w:tcW w:w="1276" w:type="dxa"/>
            <w:vAlign w:val="center"/>
          </w:tcPr>
          <w:p w14:paraId="0CC3B880">
            <w:pPr>
              <w:pStyle w:val="12"/>
            </w:pPr>
            <w:r>
              <w:t>可行性研究报告</w:t>
            </w:r>
          </w:p>
        </w:tc>
      </w:tr>
      <w:tr w14:paraId="72D0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2062B">
            <w:pPr>
              <w:pStyle w:val="13"/>
            </w:pPr>
            <w:r>
              <w:t>满意度指标</w:t>
            </w:r>
          </w:p>
        </w:tc>
        <w:tc>
          <w:tcPr>
            <w:tcW w:w="2268" w:type="dxa"/>
            <w:vAlign w:val="center"/>
          </w:tcPr>
          <w:p w14:paraId="15C42AF0">
            <w:pPr>
              <w:pStyle w:val="12"/>
            </w:pPr>
            <w:r>
              <w:t>服务对象满意度指标</w:t>
            </w:r>
          </w:p>
        </w:tc>
        <w:tc>
          <w:tcPr>
            <w:tcW w:w="2835" w:type="dxa"/>
            <w:vAlign w:val="center"/>
          </w:tcPr>
          <w:p w14:paraId="729A0961">
            <w:pPr>
              <w:pStyle w:val="12"/>
            </w:pPr>
            <w:r>
              <w:t>学生和学生家长满意度</w:t>
            </w:r>
          </w:p>
        </w:tc>
        <w:tc>
          <w:tcPr>
            <w:tcW w:w="5386" w:type="dxa"/>
            <w:vAlign w:val="center"/>
          </w:tcPr>
          <w:p w14:paraId="3B4675B6">
            <w:pPr>
              <w:pStyle w:val="12"/>
            </w:pPr>
            <w:r>
              <w:t>大幅提高学生和学生家长满意度</w:t>
            </w:r>
          </w:p>
        </w:tc>
        <w:tc>
          <w:tcPr>
            <w:tcW w:w="2268" w:type="dxa"/>
            <w:vAlign w:val="center"/>
          </w:tcPr>
          <w:p w14:paraId="794B2662">
            <w:pPr>
              <w:pStyle w:val="12"/>
            </w:pPr>
            <w:r>
              <w:t>≥95%</w:t>
            </w:r>
          </w:p>
        </w:tc>
        <w:tc>
          <w:tcPr>
            <w:tcW w:w="1276" w:type="dxa"/>
            <w:vAlign w:val="center"/>
          </w:tcPr>
          <w:p w14:paraId="3B96B68F">
            <w:pPr>
              <w:pStyle w:val="12"/>
            </w:pPr>
            <w:r>
              <w:t>调查问卷</w:t>
            </w:r>
          </w:p>
        </w:tc>
      </w:tr>
    </w:tbl>
    <w:p w14:paraId="3E7E8C54">
      <w:pPr>
        <w:sectPr>
          <w:pgSz w:w="16840" w:h="11900" w:orient="landscape"/>
          <w:pgMar w:top="1361" w:right="1020" w:bottom="1134" w:left="1020" w:header="720" w:footer="720" w:gutter="0"/>
          <w:cols w:space="720" w:num="1"/>
        </w:sectPr>
      </w:pPr>
    </w:p>
    <w:p w14:paraId="6F0B91D5">
      <w:pPr>
        <w:spacing w:before="0" w:after="0"/>
        <w:ind w:firstLine="560"/>
        <w:jc w:val="left"/>
        <w:outlineLvl w:val="9"/>
      </w:pPr>
      <w:r>
        <w:rPr>
          <w:rFonts w:ascii="方正仿宋_GBK" w:hAnsi="方正仿宋_GBK" w:eastAsia="方正仿宋_GBK" w:cs="方正仿宋_GBK"/>
          <w:b/>
          <w:color w:val="000000"/>
          <w:sz w:val="28"/>
        </w:rPr>
        <w:t>6、冀财教[2024]57号/中央/2025年高中/改善办学条件/一中体育测试设备采购项目绩效目标表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BE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708FE">
            <w:pPr>
              <w:pStyle w:val="11"/>
            </w:pPr>
            <w:r>
              <w:t>单位：万元</w:t>
            </w:r>
          </w:p>
        </w:tc>
      </w:tr>
      <w:tr w14:paraId="5ED07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EB99B">
            <w:pPr>
              <w:pStyle w:val="10"/>
            </w:pPr>
            <w:r>
              <w:t>项目编码</w:t>
            </w:r>
          </w:p>
        </w:tc>
        <w:tc>
          <w:tcPr>
            <w:tcW w:w="5103" w:type="dxa"/>
            <w:gridSpan w:val="2"/>
            <w:vAlign w:val="center"/>
          </w:tcPr>
          <w:p w14:paraId="129C3637">
            <w:pPr>
              <w:pStyle w:val="12"/>
            </w:pPr>
            <w:r>
              <w:t>13052526P008771100145</w:t>
            </w:r>
          </w:p>
        </w:tc>
        <w:tc>
          <w:tcPr>
            <w:tcW w:w="2835" w:type="dxa"/>
            <w:vAlign w:val="center"/>
          </w:tcPr>
          <w:p w14:paraId="4503996B">
            <w:pPr>
              <w:pStyle w:val="10"/>
            </w:pPr>
            <w:r>
              <w:t>项目名称</w:t>
            </w:r>
          </w:p>
        </w:tc>
        <w:tc>
          <w:tcPr>
            <w:tcW w:w="6095" w:type="dxa"/>
            <w:gridSpan w:val="3"/>
            <w:vAlign w:val="center"/>
          </w:tcPr>
          <w:p w14:paraId="58D75ED5">
            <w:pPr>
              <w:pStyle w:val="12"/>
            </w:pPr>
            <w:r>
              <w:t>冀财教[2024]57号/中央/2025年高中/改善办学条件/一中体育测试设备采购项目</w:t>
            </w:r>
          </w:p>
        </w:tc>
      </w:tr>
      <w:tr w14:paraId="7F42A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74EEC">
            <w:pPr>
              <w:pStyle w:val="10"/>
            </w:pPr>
            <w:r>
              <w:t>预算规模及资金用途</w:t>
            </w:r>
          </w:p>
        </w:tc>
        <w:tc>
          <w:tcPr>
            <w:tcW w:w="2268" w:type="dxa"/>
            <w:vAlign w:val="center"/>
          </w:tcPr>
          <w:p w14:paraId="7EB6BC93">
            <w:pPr>
              <w:pStyle w:val="10"/>
            </w:pPr>
            <w:r>
              <w:t>预算数</w:t>
            </w:r>
          </w:p>
        </w:tc>
        <w:tc>
          <w:tcPr>
            <w:tcW w:w="2835" w:type="dxa"/>
            <w:vAlign w:val="center"/>
          </w:tcPr>
          <w:p w14:paraId="5DE9347E">
            <w:pPr>
              <w:pStyle w:val="12"/>
            </w:pPr>
            <w:r>
              <w:t>21.90</w:t>
            </w:r>
          </w:p>
        </w:tc>
        <w:tc>
          <w:tcPr>
            <w:tcW w:w="2835" w:type="dxa"/>
            <w:vAlign w:val="center"/>
          </w:tcPr>
          <w:p w14:paraId="4FD470B2">
            <w:pPr>
              <w:pStyle w:val="10"/>
            </w:pPr>
            <w:r>
              <w:t>其中：财政    资金</w:t>
            </w:r>
          </w:p>
        </w:tc>
        <w:tc>
          <w:tcPr>
            <w:tcW w:w="2551" w:type="dxa"/>
            <w:vAlign w:val="center"/>
          </w:tcPr>
          <w:p w14:paraId="58F3E4F6">
            <w:pPr>
              <w:pStyle w:val="12"/>
            </w:pPr>
            <w:r>
              <w:t>21.90</w:t>
            </w:r>
          </w:p>
        </w:tc>
        <w:tc>
          <w:tcPr>
            <w:tcW w:w="2268" w:type="dxa"/>
            <w:vAlign w:val="center"/>
          </w:tcPr>
          <w:p w14:paraId="23510FFB">
            <w:pPr>
              <w:pStyle w:val="10"/>
            </w:pPr>
            <w:r>
              <w:t>其他资金</w:t>
            </w:r>
          </w:p>
        </w:tc>
        <w:tc>
          <w:tcPr>
            <w:tcW w:w="1276" w:type="dxa"/>
            <w:vAlign w:val="center"/>
          </w:tcPr>
          <w:p w14:paraId="65149580">
            <w:pPr>
              <w:pStyle w:val="12"/>
            </w:pPr>
            <w:r>
              <w:t xml:space="preserve"> </w:t>
            </w:r>
          </w:p>
        </w:tc>
      </w:tr>
      <w:tr w14:paraId="1FD60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A8991"/>
        </w:tc>
        <w:tc>
          <w:tcPr>
            <w:tcW w:w="14033" w:type="dxa"/>
            <w:gridSpan w:val="6"/>
            <w:vAlign w:val="center"/>
          </w:tcPr>
          <w:p w14:paraId="7011F398">
            <w:pPr>
              <w:pStyle w:val="12"/>
            </w:pPr>
            <w:r>
              <w:t>实现对学生的训练过程自动分析和测试成绩自动判定，准确地记录每位学生的成绩，提高工作效率</w:t>
            </w:r>
          </w:p>
        </w:tc>
      </w:tr>
      <w:tr w14:paraId="3DDEB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E5A05">
            <w:pPr>
              <w:pStyle w:val="10"/>
            </w:pPr>
            <w:r>
              <w:t>资金支出计划（%）</w:t>
            </w:r>
          </w:p>
        </w:tc>
        <w:tc>
          <w:tcPr>
            <w:tcW w:w="5103" w:type="dxa"/>
            <w:gridSpan w:val="2"/>
            <w:vAlign w:val="center"/>
          </w:tcPr>
          <w:p w14:paraId="32350279">
            <w:pPr>
              <w:pStyle w:val="10"/>
            </w:pPr>
            <w:r>
              <w:t>3月底</w:t>
            </w:r>
          </w:p>
        </w:tc>
        <w:tc>
          <w:tcPr>
            <w:tcW w:w="2835" w:type="dxa"/>
            <w:vAlign w:val="center"/>
          </w:tcPr>
          <w:p w14:paraId="30A3E71D">
            <w:pPr>
              <w:pStyle w:val="10"/>
            </w:pPr>
            <w:r>
              <w:t>6月底</w:t>
            </w:r>
          </w:p>
        </w:tc>
        <w:tc>
          <w:tcPr>
            <w:tcW w:w="2551" w:type="dxa"/>
            <w:vAlign w:val="center"/>
          </w:tcPr>
          <w:p w14:paraId="51EA759C">
            <w:pPr>
              <w:pStyle w:val="10"/>
            </w:pPr>
            <w:r>
              <w:t>10月底</w:t>
            </w:r>
          </w:p>
        </w:tc>
        <w:tc>
          <w:tcPr>
            <w:tcW w:w="3544" w:type="dxa"/>
            <w:gridSpan w:val="2"/>
            <w:vAlign w:val="center"/>
          </w:tcPr>
          <w:p w14:paraId="7DA55C3C">
            <w:pPr>
              <w:pStyle w:val="10"/>
            </w:pPr>
            <w:r>
              <w:t>12月底</w:t>
            </w:r>
          </w:p>
        </w:tc>
      </w:tr>
      <w:tr w14:paraId="5D41C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D8B33"/>
        </w:tc>
        <w:tc>
          <w:tcPr>
            <w:tcW w:w="5103" w:type="dxa"/>
            <w:gridSpan w:val="2"/>
            <w:vAlign w:val="center"/>
          </w:tcPr>
          <w:p w14:paraId="19A0081B">
            <w:pPr>
              <w:pStyle w:val="13"/>
            </w:pPr>
            <w:r>
              <w:t>100%</w:t>
            </w:r>
          </w:p>
        </w:tc>
        <w:tc>
          <w:tcPr>
            <w:tcW w:w="2835" w:type="dxa"/>
            <w:vAlign w:val="center"/>
          </w:tcPr>
          <w:p w14:paraId="2DD66808">
            <w:pPr>
              <w:pStyle w:val="13"/>
            </w:pPr>
            <w:r>
              <w:t>100%</w:t>
            </w:r>
          </w:p>
        </w:tc>
        <w:tc>
          <w:tcPr>
            <w:tcW w:w="2551" w:type="dxa"/>
            <w:vAlign w:val="center"/>
          </w:tcPr>
          <w:p w14:paraId="02D80F2D">
            <w:pPr>
              <w:pStyle w:val="13"/>
            </w:pPr>
            <w:r>
              <w:t>100%</w:t>
            </w:r>
          </w:p>
        </w:tc>
        <w:tc>
          <w:tcPr>
            <w:tcW w:w="3544" w:type="dxa"/>
            <w:gridSpan w:val="2"/>
            <w:vAlign w:val="center"/>
          </w:tcPr>
          <w:p w14:paraId="711B9C06">
            <w:pPr>
              <w:pStyle w:val="13"/>
            </w:pPr>
            <w:r>
              <w:t>100%</w:t>
            </w:r>
          </w:p>
        </w:tc>
      </w:tr>
      <w:tr w14:paraId="60A0A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AE0CA">
            <w:pPr>
              <w:pStyle w:val="10"/>
            </w:pPr>
            <w:r>
              <w:t>绩效目标</w:t>
            </w:r>
          </w:p>
        </w:tc>
        <w:tc>
          <w:tcPr>
            <w:tcW w:w="14033" w:type="dxa"/>
            <w:gridSpan w:val="6"/>
            <w:vAlign w:val="center"/>
          </w:tcPr>
          <w:p w14:paraId="59DA6BEB">
            <w:pPr>
              <w:pStyle w:val="12"/>
            </w:pPr>
            <w:r>
              <w:t>1.能准确地记录每位学生的成绩，提高工作效率</w:t>
            </w:r>
          </w:p>
          <w:p w14:paraId="57AF144D">
            <w:pPr>
              <w:pStyle w:val="12"/>
            </w:pPr>
            <w:r>
              <w:t>2.按时拨付资金219000元，资金拨付率达到100%</w:t>
            </w:r>
          </w:p>
          <w:p w14:paraId="58CEFAE6">
            <w:pPr>
              <w:pStyle w:val="12"/>
            </w:pPr>
            <w:r>
              <w:t>3.实现对学生的训练过程自动分析和测试成绩自动判定</w:t>
            </w:r>
          </w:p>
        </w:tc>
      </w:tr>
    </w:tbl>
    <w:p w14:paraId="2DA9B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D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35206">
            <w:pPr>
              <w:pStyle w:val="10"/>
            </w:pPr>
            <w:r>
              <w:t>一级指标</w:t>
            </w:r>
          </w:p>
        </w:tc>
        <w:tc>
          <w:tcPr>
            <w:tcW w:w="2268" w:type="dxa"/>
            <w:vAlign w:val="center"/>
          </w:tcPr>
          <w:p w14:paraId="5B22149C">
            <w:pPr>
              <w:pStyle w:val="10"/>
            </w:pPr>
            <w:r>
              <w:t>二级指标</w:t>
            </w:r>
          </w:p>
        </w:tc>
        <w:tc>
          <w:tcPr>
            <w:tcW w:w="2835" w:type="dxa"/>
            <w:vAlign w:val="center"/>
          </w:tcPr>
          <w:p w14:paraId="50F60D77">
            <w:pPr>
              <w:pStyle w:val="10"/>
            </w:pPr>
            <w:r>
              <w:t>三级指标</w:t>
            </w:r>
          </w:p>
        </w:tc>
        <w:tc>
          <w:tcPr>
            <w:tcW w:w="5386" w:type="dxa"/>
            <w:vAlign w:val="center"/>
          </w:tcPr>
          <w:p w14:paraId="21A5E636">
            <w:pPr>
              <w:pStyle w:val="10"/>
            </w:pPr>
            <w:r>
              <w:t>绩效指标描述</w:t>
            </w:r>
          </w:p>
        </w:tc>
        <w:tc>
          <w:tcPr>
            <w:tcW w:w="2268" w:type="dxa"/>
            <w:vAlign w:val="center"/>
          </w:tcPr>
          <w:p w14:paraId="3FDBF0D2">
            <w:pPr>
              <w:pStyle w:val="10"/>
            </w:pPr>
            <w:r>
              <w:t>指标值</w:t>
            </w:r>
          </w:p>
        </w:tc>
        <w:tc>
          <w:tcPr>
            <w:tcW w:w="1276" w:type="dxa"/>
            <w:vAlign w:val="center"/>
          </w:tcPr>
          <w:p w14:paraId="11FB4839">
            <w:pPr>
              <w:pStyle w:val="10"/>
            </w:pPr>
            <w:r>
              <w:t>指标值确定依据</w:t>
            </w:r>
          </w:p>
        </w:tc>
      </w:tr>
      <w:tr w14:paraId="2C65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701E0">
            <w:pPr>
              <w:pStyle w:val="13"/>
            </w:pPr>
            <w:r>
              <w:t>产出指标</w:t>
            </w:r>
          </w:p>
        </w:tc>
        <w:tc>
          <w:tcPr>
            <w:tcW w:w="2268" w:type="dxa"/>
            <w:vAlign w:val="center"/>
          </w:tcPr>
          <w:p w14:paraId="58B630A6">
            <w:pPr>
              <w:pStyle w:val="12"/>
            </w:pPr>
            <w:r>
              <w:t>数量指标</w:t>
            </w:r>
          </w:p>
        </w:tc>
        <w:tc>
          <w:tcPr>
            <w:tcW w:w="2835" w:type="dxa"/>
            <w:vAlign w:val="center"/>
          </w:tcPr>
          <w:p w14:paraId="670E6A26">
            <w:pPr>
              <w:pStyle w:val="12"/>
            </w:pPr>
            <w:r>
              <w:t>体育测试设备采购</w:t>
            </w:r>
          </w:p>
        </w:tc>
        <w:tc>
          <w:tcPr>
            <w:tcW w:w="5386" w:type="dxa"/>
            <w:vAlign w:val="center"/>
          </w:tcPr>
          <w:p w14:paraId="5B4CCA94">
            <w:pPr>
              <w:pStyle w:val="12"/>
            </w:pPr>
            <w:r>
              <w:t>体育测试设备采购数量</w:t>
            </w:r>
          </w:p>
        </w:tc>
        <w:tc>
          <w:tcPr>
            <w:tcW w:w="2268" w:type="dxa"/>
            <w:vAlign w:val="center"/>
          </w:tcPr>
          <w:p w14:paraId="3BD2AFD2">
            <w:pPr>
              <w:pStyle w:val="12"/>
            </w:pPr>
            <w:r>
              <w:t>1套</w:t>
            </w:r>
          </w:p>
        </w:tc>
        <w:tc>
          <w:tcPr>
            <w:tcW w:w="1276" w:type="dxa"/>
            <w:vAlign w:val="center"/>
          </w:tcPr>
          <w:p w14:paraId="282AE6F9">
            <w:pPr>
              <w:pStyle w:val="12"/>
            </w:pPr>
            <w:r>
              <w:t>套</w:t>
            </w:r>
          </w:p>
        </w:tc>
      </w:tr>
      <w:tr w14:paraId="563F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EFB83"/>
        </w:tc>
        <w:tc>
          <w:tcPr>
            <w:tcW w:w="2268" w:type="dxa"/>
            <w:vAlign w:val="center"/>
          </w:tcPr>
          <w:p w14:paraId="14C1FC7D">
            <w:pPr>
              <w:pStyle w:val="12"/>
            </w:pPr>
            <w:r>
              <w:t>质量指标</w:t>
            </w:r>
          </w:p>
        </w:tc>
        <w:tc>
          <w:tcPr>
            <w:tcW w:w="2835" w:type="dxa"/>
            <w:vAlign w:val="center"/>
          </w:tcPr>
          <w:p w14:paraId="5B0A9D59">
            <w:pPr>
              <w:pStyle w:val="12"/>
            </w:pPr>
            <w:r>
              <w:t>项目工程质量合格率</w:t>
            </w:r>
          </w:p>
        </w:tc>
        <w:tc>
          <w:tcPr>
            <w:tcW w:w="5386" w:type="dxa"/>
            <w:vAlign w:val="center"/>
          </w:tcPr>
          <w:p w14:paraId="1DD99989">
            <w:pPr>
              <w:pStyle w:val="12"/>
            </w:pPr>
            <w:r>
              <w:t>体育测试设备质量合格率</w:t>
            </w:r>
          </w:p>
        </w:tc>
        <w:tc>
          <w:tcPr>
            <w:tcW w:w="2268" w:type="dxa"/>
            <w:vAlign w:val="center"/>
          </w:tcPr>
          <w:p w14:paraId="6E07FCDD">
            <w:pPr>
              <w:pStyle w:val="12"/>
            </w:pPr>
            <w:r>
              <w:t>100%</w:t>
            </w:r>
          </w:p>
        </w:tc>
        <w:tc>
          <w:tcPr>
            <w:tcW w:w="1276" w:type="dxa"/>
            <w:vAlign w:val="center"/>
          </w:tcPr>
          <w:p w14:paraId="6F93216B">
            <w:pPr>
              <w:pStyle w:val="12"/>
            </w:pPr>
            <w:r>
              <w:t>可行性研究报告</w:t>
            </w:r>
          </w:p>
        </w:tc>
      </w:tr>
      <w:tr w14:paraId="5CEA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F44A4"/>
        </w:tc>
        <w:tc>
          <w:tcPr>
            <w:tcW w:w="2268" w:type="dxa"/>
            <w:vAlign w:val="center"/>
          </w:tcPr>
          <w:p w14:paraId="0B31C63F">
            <w:pPr>
              <w:pStyle w:val="12"/>
            </w:pPr>
            <w:r>
              <w:t>时效指标</w:t>
            </w:r>
          </w:p>
        </w:tc>
        <w:tc>
          <w:tcPr>
            <w:tcW w:w="2835" w:type="dxa"/>
            <w:vAlign w:val="center"/>
          </w:tcPr>
          <w:p w14:paraId="5779AD49">
            <w:pPr>
              <w:pStyle w:val="12"/>
            </w:pPr>
            <w:r>
              <w:t>体育测试设备项目按时完成率</w:t>
            </w:r>
          </w:p>
        </w:tc>
        <w:tc>
          <w:tcPr>
            <w:tcW w:w="5386" w:type="dxa"/>
            <w:vAlign w:val="center"/>
          </w:tcPr>
          <w:p w14:paraId="30767D65">
            <w:pPr>
              <w:pStyle w:val="12"/>
            </w:pPr>
            <w:r>
              <w:t>工程按时完工率</w:t>
            </w:r>
          </w:p>
        </w:tc>
        <w:tc>
          <w:tcPr>
            <w:tcW w:w="2268" w:type="dxa"/>
            <w:vAlign w:val="center"/>
          </w:tcPr>
          <w:p w14:paraId="24A8EB09">
            <w:pPr>
              <w:pStyle w:val="12"/>
            </w:pPr>
            <w:r>
              <w:t>100%</w:t>
            </w:r>
          </w:p>
        </w:tc>
        <w:tc>
          <w:tcPr>
            <w:tcW w:w="1276" w:type="dxa"/>
            <w:vAlign w:val="center"/>
          </w:tcPr>
          <w:p w14:paraId="2EB7B6A8">
            <w:pPr>
              <w:pStyle w:val="12"/>
            </w:pPr>
            <w:r>
              <w:t>结合项目实际情况</w:t>
            </w:r>
          </w:p>
        </w:tc>
      </w:tr>
      <w:tr w14:paraId="2926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29C7"/>
        </w:tc>
        <w:tc>
          <w:tcPr>
            <w:tcW w:w="2268" w:type="dxa"/>
            <w:vAlign w:val="center"/>
          </w:tcPr>
          <w:p w14:paraId="447FDBB3">
            <w:pPr>
              <w:pStyle w:val="12"/>
            </w:pPr>
            <w:r>
              <w:t>成本指标</w:t>
            </w:r>
          </w:p>
        </w:tc>
        <w:tc>
          <w:tcPr>
            <w:tcW w:w="2835" w:type="dxa"/>
            <w:vAlign w:val="center"/>
          </w:tcPr>
          <w:p w14:paraId="75187D39">
            <w:pPr>
              <w:pStyle w:val="12"/>
            </w:pPr>
            <w:r>
              <w:t>体育测试设备采购成本</w:t>
            </w:r>
          </w:p>
        </w:tc>
        <w:tc>
          <w:tcPr>
            <w:tcW w:w="5386" w:type="dxa"/>
            <w:vAlign w:val="center"/>
          </w:tcPr>
          <w:p w14:paraId="7D0E9703">
            <w:pPr>
              <w:pStyle w:val="12"/>
            </w:pPr>
            <w:r>
              <w:t>实行政府采购招投标</w:t>
            </w:r>
          </w:p>
        </w:tc>
        <w:tc>
          <w:tcPr>
            <w:tcW w:w="2268" w:type="dxa"/>
            <w:vAlign w:val="center"/>
          </w:tcPr>
          <w:p w14:paraId="23E844F1">
            <w:pPr>
              <w:pStyle w:val="12"/>
            </w:pPr>
            <w:r>
              <w:t>≤44.5万元</w:t>
            </w:r>
          </w:p>
        </w:tc>
        <w:tc>
          <w:tcPr>
            <w:tcW w:w="1276" w:type="dxa"/>
            <w:vAlign w:val="center"/>
          </w:tcPr>
          <w:p w14:paraId="2471FBD4">
            <w:pPr>
              <w:pStyle w:val="12"/>
            </w:pPr>
            <w:r>
              <w:t>结合项目实际情况</w:t>
            </w:r>
          </w:p>
        </w:tc>
      </w:tr>
      <w:tr w14:paraId="7CD3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D682A">
            <w:pPr>
              <w:pStyle w:val="13"/>
            </w:pPr>
            <w:r>
              <w:t>效益指标</w:t>
            </w:r>
          </w:p>
        </w:tc>
        <w:tc>
          <w:tcPr>
            <w:tcW w:w="2268" w:type="dxa"/>
            <w:vAlign w:val="center"/>
          </w:tcPr>
          <w:p w14:paraId="55C4B44D">
            <w:pPr>
              <w:pStyle w:val="12"/>
            </w:pPr>
            <w:r>
              <w:t>经济效益指标</w:t>
            </w:r>
          </w:p>
        </w:tc>
        <w:tc>
          <w:tcPr>
            <w:tcW w:w="2835" w:type="dxa"/>
            <w:vAlign w:val="center"/>
          </w:tcPr>
          <w:p w14:paraId="133B4F0F">
            <w:pPr>
              <w:pStyle w:val="12"/>
            </w:pPr>
            <w:r>
              <w:t>高中教育毛入学率</w:t>
            </w:r>
          </w:p>
        </w:tc>
        <w:tc>
          <w:tcPr>
            <w:tcW w:w="5386" w:type="dxa"/>
            <w:vAlign w:val="center"/>
          </w:tcPr>
          <w:p w14:paraId="6C8310E0">
            <w:pPr>
              <w:pStyle w:val="12"/>
            </w:pPr>
            <w:r>
              <w:t>大幅度提升高中阶段毛入学率</w:t>
            </w:r>
          </w:p>
        </w:tc>
        <w:tc>
          <w:tcPr>
            <w:tcW w:w="2268" w:type="dxa"/>
            <w:vAlign w:val="center"/>
          </w:tcPr>
          <w:p w14:paraId="5C35B5A7">
            <w:pPr>
              <w:pStyle w:val="12"/>
            </w:pPr>
            <w:r>
              <w:t>≥90%</w:t>
            </w:r>
          </w:p>
        </w:tc>
        <w:tc>
          <w:tcPr>
            <w:tcW w:w="1276" w:type="dxa"/>
            <w:vAlign w:val="center"/>
          </w:tcPr>
          <w:p w14:paraId="023D57FE">
            <w:pPr>
              <w:pStyle w:val="12"/>
            </w:pPr>
            <w:r>
              <w:t>可行性研究报告</w:t>
            </w:r>
          </w:p>
        </w:tc>
      </w:tr>
      <w:tr w14:paraId="3CF2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A9802"/>
        </w:tc>
        <w:tc>
          <w:tcPr>
            <w:tcW w:w="2268" w:type="dxa"/>
            <w:vAlign w:val="center"/>
          </w:tcPr>
          <w:p w14:paraId="5BB45FDB">
            <w:pPr>
              <w:pStyle w:val="12"/>
            </w:pPr>
            <w:r>
              <w:t>社会效益指标</w:t>
            </w:r>
          </w:p>
        </w:tc>
        <w:tc>
          <w:tcPr>
            <w:tcW w:w="2835" w:type="dxa"/>
            <w:vAlign w:val="center"/>
          </w:tcPr>
          <w:p w14:paraId="24EB1529">
            <w:pPr>
              <w:pStyle w:val="12"/>
            </w:pPr>
            <w:r>
              <w:t>受益人数</w:t>
            </w:r>
          </w:p>
        </w:tc>
        <w:tc>
          <w:tcPr>
            <w:tcW w:w="5386" w:type="dxa"/>
            <w:vAlign w:val="center"/>
          </w:tcPr>
          <w:p w14:paraId="42E9771C">
            <w:pPr>
              <w:pStyle w:val="12"/>
            </w:pPr>
            <w:r>
              <w:t>受益学生人数</w:t>
            </w:r>
          </w:p>
        </w:tc>
        <w:tc>
          <w:tcPr>
            <w:tcW w:w="2268" w:type="dxa"/>
            <w:vAlign w:val="center"/>
          </w:tcPr>
          <w:p w14:paraId="68C7AEFA">
            <w:pPr>
              <w:pStyle w:val="12"/>
            </w:pPr>
            <w:r>
              <w:t>≥4608人</w:t>
            </w:r>
          </w:p>
        </w:tc>
        <w:tc>
          <w:tcPr>
            <w:tcW w:w="1276" w:type="dxa"/>
            <w:vAlign w:val="center"/>
          </w:tcPr>
          <w:p w14:paraId="0501F226">
            <w:pPr>
              <w:pStyle w:val="12"/>
            </w:pPr>
            <w:r>
              <w:t>可行性研究报告</w:t>
            </w:r>
          </w:p>
        </w:tc>
      </w:tr>
      <w:tr w14:paraId="31EB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F5F3C"/>
        </w:tc>
        <w:tc>
          <w:tcPr>
            <w:tcW w:w="2268" w:type="dxa"/>
            <w:vAlign w:val="center"/>
          </w:tcPr>
          <w:p w14:paraId="5E6EE7A4">
            <w:pPr>
              <w:pStyle w:val="12"/>
            </w:pPr>
            <w:r>
              <w:t>可持续影响指标</w:t>
            </w:r>
          </w:p>
        </w:tc>
        <w:tc>
          <w:tcPr>
            <w:tcW w:w="2835" w:type="dxa"/>
            <w:vAlign w:val="center"/>
          </w:tcPr>
          <w:p w14:paraId="33392075">
            <w:pPr>
              <w:pStyle w:val="12"/>
            </w:pPr>
            <w:r>
              <w:t>设备使用年限</w:t>
            </w:r>
          </w:p>
        </w:tc>
        <w:tc>
          <w:tcPr>
            <w:tcW w:w="5386" w:type="dxa"/>
            <w:vAlign w:val="center"/>
          </w:tcPr>
          <w:p w14:paraId="30FB3880">
            <w:pPr>
              <w:pStyle w:val="12"/>
            </w:pPr>
            <w:r>
              <w:t>提高设备使用年限</w:t>
            </w:r>
          </w:p>
        </w:tc>
        <w:tc>
          <w:tcPr>
            <w:tcW w:w="2268" w:type="dxa"/>
            <w:vAlign w:val="center"/>
          </w:tcPr>
          <w:p w14:paraId="34740837">
            <w:pPr>
              <w:pStyle w:val="12"/>
            </w:pPr>
            <w:r>
              <w:t>≥10年</w:t>
            </w:r>
          </w:p>
        </w:tc>
        <w:tc>
          <w:tcPr>
            <w:tcW w:w="1276" w:type="dxa"/>
            <w:vAlign w:val="center"/>
          </w:tcPr>
          <w:p w14:paraId="14C5AE15">
            <w:pPr>
              <w:pStyle w:val="12"/>
            </w:pPr>
            <w:r>
              <w:t>可行性研究报告</w:t>
            </w:r>
          </w:p>
        </w:tc>
      </w:tr>
      <w:tr w14:paraId="41FB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36459">
            <w:pPr>
              <w:pStyle w:val="13"/>
            </w:pPr>
            <w:r>
              <w:t>满意度指标</w:t>
            </w:r>
          </w:p>
        </w:tc>
        <w:tc>
          <w:tcPr>
            <w:tcW w:w="2268" w:type="dxa"/>
            <w:vAlign w:val="center"/>
          </w:tcPr>
          <w:p w14:paraId="7AE62B3E">
            <w:pPr>
              <w:pStyle w:val="12"/>
            </w:pPr>
            <w:r>
              <w:t>服务对象满意度指标</w:t>
            </w:r>
          </w:p>
        </w:tc>
        <w:tc>
          <w:tcPr>
            <w:tcW w:w="2835" w:type="dxa"/>
            <w:vAlign w:val="center"/>
          </w:tcPr>
          <w:p w14:paraId="722D1E6F">
            <w:pPr>
              <w:pStyle w:val="12"/>
            </w:pPr>
            <w:r>
              <w:t>学生和学生家长满意度</w:t>
            </w:r>
          </w:p>
        </w:tc>
        <w:tc>
          <w:tcPr>
            <w:tcW w:w="5386" w:type="dxa"/>
            <w:vAlign w:val="center"/>
          </w:tcPr>
          <w:p w14:paraId="66AF1BA6">
            <w:pPr>
              <w:pStyle w:val="12"/>
            </w:pPr>
            <w:r>
              <w:t>大幅提高学生和学生家长满意度</w:t>
            </w:r>
          </w:p>
        </w:tc>
        <w:tc>
          <w:tcPr>
            <w:tcW w:w="2268" w:type="dxa"/>
            <w:vAlign w:val="center"/>
          </w:tcPr>
          <w:p w14:paraId="34ABA36A">
            <w:pPr>
              <w:pStyle w:val="12"/>
            </w:pPr>
            <w:r>
              <w:t>≥95%</w:t>
            </w:r>
          </w:p>
        </w:tc>
        <w:tc>
          <w:tcPr>
            <w:tcW w:w="1276" w:type="dxa"/>
            <w:vAlign w:val="center"/>
          </w:tcPr>
          <w:p w14:paraId="65ADD966">
            <w:pPr>
              <w:pStyle w:val="12"/>
            </w:pPr>
            <w:r>
              <w:t>调查问卷</w:t>
            </w:r>
          </w:p>
        </w:tc>
      </w:tr>
    </w:tbl>
    <w:p w14:paraId="4B8C2A9B">
      <w:pPr>
        <w:sectPr>
          <w:pgSz w:w="16840" w:h="11900" w:orient="landscape"/>
          <w:pgMar w:top="1361" w:right="1020" w:bottom="1134" w:left="1020" w:header="720" w:footer="720" w:gutter="0"/>
          <w:cols w:space="720" w:num="1"/>
        </w:sectPr>
      </w:pPr>
    </w:p>
    <w:p w14:paraId="1AA0D8B6">
      <w:pPr>
        <w:spacing w:before="0" w:after="0"/>
        <w:ind w:firstLine="560"/>
        <w:jc w:val="left"/>
        <w:outlineLvl w:val="9"/>
      </w:pPr>
      <w:r>
        <w:rPr>
          <w:rFonts w:ascii="方正仿宋_GBK" w:hAnsi="方正仿宋_GBK" w:eastAsia="方正仿宋_GBK" w:cs="方正仿宋_GBK"/>
          <w:b/>
          <w:color w:val="000000"/>
          <w:sz w:val="28"/>
        </w:rPr>
        <w:t>7、冀财教[2025]116号/中央/2026年学生资助/普通高中三免（一中高中）建档立卡绩效目标表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2C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5ECEA">
            <w:pPr>
              <w:pStyle w:val="11"/>
            </w:pPr>
            <w:r>
              <w:t>单位：万元</w:t>
            </w:r>
          </w:p>
        </w:tc>
      </w:tr>
      <w:tr w14:paraId="6A299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6DE3D">
            <w:pPr>
              <w:pStyle w:val="10"/>
            </w:pPr>
            <w:r>
              <w:t>项目编码</w:t>
            </w:r>
          </w:p>
        </w:tc>
        <w:tc>
          <w:tcPr>
            <w:tcW w:w="5103" w:type="dxa"/>
            <w:gridSpan w:val="2"/>
            <w:vAlign w:val="center"/>
          </w:tcPr>
          <w:p w14:paraId="7D4EF114">
            <w:pPr>
              <w:pStyle w:val="12"/>
            </w:pPr>
            <w:r>
              <w:t>13052526P00001210050M</w:t>
            </w:r>
          </w:p>
        </w:tc>
        <w:tc>
          <w:tcPr>
            <w:tcW w:w="2835" w:type="dxa"/>
            <w:vAlign w:val="center"/>
          </w:tcPr>
          <w:p w14:paraId="6F1855F5">
            <w:pPr>
              <w:pStyle w:val="10"/>
            </w:pPr>
            <w:r>
              <w:t>项目名称</w:t>
            </w:r>
          </w:p>
        </w:tc>
        <w:tc>
          <w:tcPr>
            <w:tcW w:w="6095" w:type="dxa"/>
            <w:gridSpan w:val="3"/>
            <w:vAlign w:val="center"/>
          </w:tcPr>
          <w:p w14:paraId="61036C2D">
            <w:pPr>
              <w:pStyle w:val="12"/>
            </w:pPr>
            <w:r>
              <w:t>冀财教[2025]116号/中央/2026年学生资助/普通高中三免（一中高中）建档立卡</w:t>
            </w:r>
          </w:p>
        </w:tc>
      </w:tr>
      <w:tr w14:paraId="4CB0C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49F53">
            <w:pPr>
              <w:pStyle w:val="10"/>
            </w:pPr>
            <w:r>
              <w:t>预算规模及资金用途</w:t>
            </w:r>
          </w:p>
        </w:tc>
        <w:tc>
          <w:tcPr>
            <w:tcW w:w="2268" w:type="dxa"/>
            <w:vAlign w:val="center"/>
          </w:tcPr>
          <w:p w14:paraId="5B30CF9A">
            <w:pPr>
              <w:pStyle w:val="10"/>
            </w:pPr>
            <w:r>
              <w:t>预算数</w:t>
            </w:r>
          </w:p>
        </w:tc>
        <w:tc>
          <w:tcPr>
            <w:tcW w:w="2835" w:type="dxa"/>
            <w:vAlign w:val="center"/>
          </w:tcPr>
          <w:p w14:paraId="0D0DE115">
            <w:pPr>
              <w:pStyle w:val="12"/>
            </w:pPr>
            <w:r>
              <w:t>10.00</w:t>
            </w:r>
          </w:p>
        </w:tc>
        <w:tc>
          <w:tcPr>
            <w:tcW w:w="2835" w:type="dxa"/>
            <w:vAlign w:val="center"/>
          </w:tcPr>
          <w:p w14:paraId="719A14C3">
            <w:pPr>
              <w:pStyle w:val="10"/>
            </w:pPr>
            <w:r>
              <w:t>其中：财政    资金</w:t>
            </w:r>
          </w:p>
        </w:tc>
        <w:tc>
          <w:tcPr>
            <w:tcW w:w="2551" w:type="dxa"/>
            <w:vAlign w:val="center"/>
          </w:tcPr>
          <w:p w14:paraId="3B9F741F">
            <w:pPr>
              <w:pStyle w:val="12"/>
            </w:pPr>
            <w:r>
              <w:t>10.00</w:t>
            </w:r>
          </w:p>
        </w:tc>
        <w:tc>
          <w:tcPr>
            <w:tcW w:w="2268" w:type="dxa"/>
            <w:vAlign w:val="center"/>
          </w:tcPr>
          <w:p w14:paraId="4540916D">
            <w:pPr>
              <w:pStyle w:val="10"/>
            </w:pPr>
            <w:r>
              <w:t>其他资金</w:t>
            </w:r>
          </w:p>
        </w:tc>
        <w:tc>
          <w:tcPr>
            <w:tcW w:w="1276" w:type="dxa"/>
            <w:vAlign w:val="center"/>
          </w:tcPr>
          <w:p w14:paraId="646DFC16">
            <w:pPr>
              <w:pStyle w:val="12"/>
            </w:pPr>
            <w:r>
              <w:t xml:space="preserve"> </w:t>
            </w:r>
          </w:p>
        </w:tc>
      </w:tr>
      <w:tr w14:paraId="54BB4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D4FA5"/>
        </w:tc>
        <w:tc>
          <w:tcPr>
            <w:tcW w:w="14033" w:type="dxa"/>
            <w:gridSpan w:val="6"/>
            <w:vAlign w:val="center"/>
          </w:tcPr>
          <w:p w14:paraId="0FFEB4F7">
            <w:pPr>
              <w:pStyle w:val="12"/>
            </w:pPr>
            <w:r>
              <w:t>深入宣传学生免学费政策，落实普通高中建档立卡家庭困难学生免除学杂费政策</w:t>
            </w:r>
          </w:p>
        </w:tc>
      </w:tr>
      <w:tr w14:paraId="3C217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B4649">
            <w:pPr>
              <w:pStyle w:val="10"/>
            </w:pPr>
            <w:r>
              <w:t>资金支出计划（%）</w:t>
            </w:r>
          </w:p>
        </w:tc>
        <w:tc>
          <w:tcPr>
            <w:tcW w:w="5103" w:type="dxa"/>
            <w:gridSpan w:val="2"/>
            <w:vAlign w:val="center"/>
          </w:tcPr>
          <w:p w14:paraId="4993CCD8">
            <w:pPr>
              <w:pStyle w:val="10"/>
            </w:pPr>
            <w:r>
              <w:t>3月底</w:t>
            </w:r>
          </w:p>
        </w:tc>
        <w:tc>
          <w:tcPr>
            <w:tcW w:w="2835" w:type="dxa"/>
            <w:vAlign w:val="center"/>
          </w:tcPr>
          <w:p w14:paraId="702691CB">
            <w:pPr>
              <w:pStyle w:val="10"/>
            </w:pPr>
            <w:r>
              <w:t>6月底</w:t>
            </w:r>
          </w:p>
        </w:tc>
        <w:tc>
          <w:tcPr>
            <w:tcW w:w="2551" w:type="dxa"/>
            <w:vAlign w:val="center"/>
          </w:tcPr>
          <w:p w14:paraId="699F3324">
            <w:pPr>
              <w:pStyle w:val="10"/>
            </w:pPr>
            <w:r>
              <w:t>10月底</w:t>
            </w:r>
          </w:p>
        </w:tc>
        <w:tc>
          <w:tcPr>
            <w:tcW w:w="3544" w:type="dxa"/>
            <w:gridSpan w:val="2"/>
            <w:vAlign w:val="center"/>
          </w:tcPr>
          <w:p w14:paraId="0CF3C7AB">
            <w:pPr>
              <w:pStyle w:val="10"/>
            </w:pPr>
            <w:r>
              <w:t>12月底</w:t>
            </w:r>
          </w:p>
        </w:tc>
      </w:tr>
      <w:tr w14:paraId="38DFD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1D06B"/>
        </w:tc>
        <w:tc>
          <w:tcPr>
            <w:tcW w:w="5103" w:type="dxa"/>
            <w:gridSpan w:val="2"/>
            <w:vAlign w:val="center"/>
          </w:tcPr>
          <w:p w14:paraId="3153CA41">
            <w:pPr>
              <w:pStyle w:val="13"/>
            </w:pPr>
            <w:r>
              <w:t xml:space="preserve"> </w:t>
            </w:r>
          </w:p>
        </w:tc>
        <w:tc>
          <w:tcPr>
            <w:tcW w:w="2835" w:type="dxa"/>
            <w:vAlign w:val="center"/>
          </w:tcPr>
          <w:p w14:paraId="163BE406">
            <w:pPr>
              <w:pStyle w:val="13"/>
            </w:pPr>
            <w:r>
              <w:t xml:space="preserve"> </w:t>
            </w:r>
          </w:p>
        </w:tc>
        <w:tc>
          <w:tcPr>
            <w:tcW w:w="2551" w:type="dxa"/>
            <w:vAlign w:val="center"/>
          </w:tcPr>
          <w:p w14:paraId="7C59A6B2">
            <w:pPr>
              <w:pStyle w:val="13"/>
            </w:pPr>
            <w:r>
              <w:t>100%</w:t>
            </w:r>
          </w:p>
        </w:tc>
        <w:tc>
          <w:tcPr>
            <w:tcW w:w="3544" w:type="dxa"/>
            <w:gridSpan w:val="2"/>
            <w:vAlign w:val="center"/>
          </w:tcPr>
          <w:p w14:paraId="38D8CFAD">
            <w:pPr>
              <w:pStyle w:val="13"/>
            </w:pPr>
            <w:r>
              <w:t>100%</w:t>
            </w:r>
          </w:p>
        </w:tc>
      </w:tr>
      <w:tr w14:paraId="60413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BD44A">
            <w:pPr>
              <w:pStyle w:val="10"/>
            </w:pPr>
            <w:r>
              <w:t>绩效目标</w:t>
            </w:r>
          </w:p>
        </w:tc>
        <w:tc>
          <w:tcPr>
            <w:tcW w:w="14033" w:type="dxa"/>
            <w:gridSpan w:val="6"/>
            <w:vAlign w:val="center"/>
          </w:tcPr>
          <w:p w14:paraId="52B8FD74">
            <w:pPr>
              <w:pStyle w:val="12"/>
            </w:pPr>
            <w:r>
              <w:t>1.深入宣传学生免学费政策，落实普通高中建档立卡家庭困难学生免除学杂费政策</w:t>
            </w:r>
          </w:p>
          <w:p w14:paraId="5CD0881C">
            <w:pPr>
              <w:pStyle w:val="12"/>
            </w:pPr>
            <w:r>
              <w:t>2.减轻农民负担，增强普通高中教育的吸引力，加快县域经济发展</w:t>
            </w:r>
          </w:p>
          <w:p w14:paraId="2FF3FFE1">
            <w:pPr>
              <w:pStyle w:val="12"/>
            </w:pPr>
            <w:r>
              <w:t>3.中央三免资金100000元，改善学校办学条件，普通高中教育招生增加，学生流失率下降，促进教育均衡发展</w:t>
            </w:r>
          </w:p>
        </w:tc>
      </w:tr>
    </w:tbl>
    <w:p w14:paraId="69EC14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C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57EA0">
            <w:pPr>
              <w:pStyle w:val="10"/>
            </w:pPr>
            <w:r>
              <w:t>一级指标</w:t>
            </w:r>
          </w:p>
        </w:tc>
        <w:tc>
          <w:tcPr>
            <w:tcW w:w="2268" w:type="dxa"/>
            <w:vAlign w:val="center"/>
          </w:tcPr>
          <w:p w14:paraId="3791CC97">
            <w:pPr>
              <w:pStyle w:val="10"/>
            </w:pPr>
            <w:r>
              <w:t>二级指标</w:t>
            </w:r>
          </w:p>
        </w:tc>
        <w:tc>
          <w:tcPr>
            <w:tcW w:w="2835" w:type="dxa"/>
            <w:vAlign w:val="center"/>
          </w:tcPr>
          <w:p w14:paraId="24FDBBE6">
            <w:pPr>
              <w:pStyle w:val="10"/>
            </w:pPr>
            <w:r>
              <w:t>三级指标</w:t>
            </w:r>
          </w:p>
        </w:tc>
        <w:tc>
          <w:tcPr>
            <w:tcW w:w="5386" w:type="dxa"/>
            <w:vAlign w:val="center"/>
          </w:tcPr>
          <w:p w14:paraId="076D26AE">
            <w:pPr>
              <w:pStyle w:val="10"/>
            </w:pPr>
            <w:r>
              <w:t>绩效指标描述</w:t>
            </w:r>
          </w:p>
        </w:tc>
        <w:tc>
          <w:tcPr>
            <w:tcW w:w="2268" w:type="dxa"/>
            <w:vAlign w:val="center"/>
          </w:tcPr>
          <w:p w14:paraId="1F064EB6">
            <w:pPr>
              <w:pStyle w:val="10"/>
            </w:pPr>
            <w:r>
              <w:t>指标值</w:t>
            </w:r>
          </w:p>
        </w:tc>
        <w:tc>
          <w:tcPr>
            <w:tcW w:w="1276" w:type="dxa"/>
            <w:vAlign w:val="center"/>
          </w:tcPr>
          <w:p w14:paraId="71B927CD">
            <w:pPr>
              <w:pStyle w:val="10"/>
            </w:pPr>
            <w:r>
              <w:t>指标值确定依据</w:t>
            </w:r>
          </w:p>
        </w:tc>
      </w:tr>
      <w:tr w14:paraId="2BD2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77E94">
            <w:pPr>
              <w:pStyle w:val="13"/>
            </w:pPr>
            <w:r>
              <w:t>产出指标</w:t>
            </w:r>
          </w:p>
        </w:tc>
        <w:tc>
          <w:tcPr>
            <w:tcW w:w="2268" w:type="dxa"/>
            <w:vAlign w:val="center"/>
          </w:tcPr>
          <w:p w14:paraId="48BFB747">
            <w:pPr>
              <w:pStyle w:val="12"/>
            </w:pPr>
            <w:r>
              <w:t>数量指标</w:t>
            </w:r>
          </w:p>
        </w:tc>
        <w:tc>
          <w:tcPr>
            <w:tcW w:w="2835" w:type="dxa"/>
            <w:vAlign w:val="center"/>
          </w:tcPr>
          <w:p w14:paraId="521D4B06">
            <w:pPr>
              <w:pStyle w:val="12"/>
            </w:pPr>
            <w:r>
              <w:t>普通高中资助人数</w:t>
            </w:r>
          </w:p>
        </w:tc>
        <w:tc>
          <w:tcPr>
            <w:tcW w:w="5386" w:type="dxa"/>
            <w:vAlign w:val="center"/>
          </w:tcPr>
          <w:p w14:paraId="5FE72C13">
            <w:pPr>
              <w:pStyle w:val="12"/>
            </w:pPr>
            <w:r>
              <w:t>在我校就读具有正式注册学籍的建档立卡家庭学生</w:t>
            </w:r>
          </w:p>
        </w:tc>
        <w:tc>
          <w:tcPr>
            <w:tcW w:w="2268" w:type="dxa"/>
            <w:vAlign w:val="center"/>
          </w:tcPr>
          <w:p w14:paraId="53DFD318">
            <w:pPr>
              <w:pStyle w:val="12"/>
            </w:pPr>
            <w:r>
              <w:t>≥271人</w:t>
            </w:r>
          </w:p>
        </w:tc>
        <w:tc>
          <w:tcPr>
            <w:tcW w:w="1276" w:type="dxa"/>
            <w:vAlign w:val="center"/>
          </w:tcPr>
          <w:p w14:paraId="3D729B94">
            <w:pPr>
              <w:pStyle w:val="12"/>
            </w:pPr>
            <w:r>
              <w:t>年度预算</w:t>
            </w:r>
          </w:p>
        </w:tc>
      </w:tr>
      <w:tr w14:paraId="717C298B">
        <w:tblPrEx>
          <w:tblCellMar>
            <w:top w:w="0" w:type="dxa"/>
            <w:left w:w="108" w:type="dxa"/>
            <w:bottom w:w="0" w:type="dxa"/>
            <w:right w:w="108" w:type="dxa"/>
          </w:tblCellMar>
        </w:tblPrEx>
        <w:trPr>
          <w:trHeight w:val="397" w:hRule="atLeast"/>
          <w:jc w:val="center"/>
        </w:trPr>
        <w:tc>
          <w:tcPr>
            <w:tcW w:w="1276" w:type="dxa"/>
            <w:vMerge w:val="continue"/>
            <w:vAlign w:val="center"/>
          </w:tcPr>
          <w:p w14:paraId="29D60B05"/>
        </w:tc>
        <w:tc>
          <w:tcPr>
            <w:tcW w:w="2268" w:type="dxa"/>
            <w:vAlign w:val="center"/>
          </w:tcPr>
          <w:p w14:paraId="2825109A">
            <w:pPr>
              <w:pStyle w:val="12"/>
            </w:pPr>
            <w:r>
              <w:t>质量指标</w:t>
            </w:r>
          </w:p>
        </w:tc>
        <w:tc>
          <w:tcPr>
            <w:tcW w:w="2835" w:type="dxa"/>
            <w:vAlign w:val="center"/>
          </w:tcPr>
          <w:p w14:paraId="6D44A950">
            <w:pPr>
              <w:pStyle w:val="12"/>
            </w:pPr>
            <w:r>
              <w:t>成立评审小组</w:t>
            </w:r>
          </w:p>
        </w:tc>
        <w:tc>
          <w:tcPr>
            <w:tcW w:w="5386" w:type="dxa"/>
            <w:vAlign w:val="center"/>
          </w:tcPr>
          <w:p w14:paraId="71EE3F3B">
            <w:pPr>
              <w:pStyle w:val="12"/>
            </w:pPr>
            <w:r>
              <w:t>成立普通高中贫困资助评审小组，建立监督检查制度</w:t>
            </w:r>
          </w:p>
        </w:tc>
        <w:tc>
          <w:tcPr>
            <w:tcW w:w="2268" w:type="dxa"/>
            <w:vAlign w:val="center"/>
          </w:tcPr>
          <w:p w14:paraId="2493CC32">
            <w:pPr>
              <w:pStyle w:val="12"/>
            </w:pPr>
            <w:r>
              <w:t>1小组</w:t>
            </w:r>
          </w:p>
        </w:tc>
        <w:tc>
          <w:tcPr>
            <w:tcW w:w="1276" w:type="dxa"/>
            <w:vAlign w:val="center"/>
          </w:tcPr>
          <w:p w14:paraId="2DAD1328">
            <w:pPr>
              <w:pStyle w:val="12"/>
            </w:pPr>
            <w:r>
              <w:t>河北省建档立卡家庭经济困难学生资助管理暂行办法</w:t>
            </w:r>
          </w:p>
        </w:tc>
      </w:tr>
      <w:tr w14:paraId="49C9A571">
        <w:tblPrEx>
          <w:tblCellMar>
            <w:top w:w="0" w:type="dxa"/>
            <w:left w:w="108" w:type="dxa"/>
            <w:bottom w:w="0" w:type="dxa"/>
            <w:right w:w="108" w:type="dxa"/>
          </w:tblCellMar>
        </w:tblPrEx>
        <w:trPr>
          <w:trHeight w:val="397" w:hRule="atLeast"/>
          <w:jc w:val="center"/>
        </w:trPr>
        <w:tc>
          <w:tcPr>
            <w:tcW w:w="1276" w:type="dxa"/>
            <w:vMerge w:val="continue"/>
            <w:vAlign w:val="center"/>
          </w:tcPr>
          <w:p w14:paraId="348297B8"/>
        </w:tc>
        <w:tc>
          <w:tcPr>
            <w:tcW w:w="2268" w:type="dxa"/>
            <w:vAlign w:val="center"/>
          </w:tcPr>
          <w:p w14:paraId="40C84D70">
            <w:pPr>
              <w:pStyle w:val="12"/>
            </w:pPr>
            <w:r>
              <w:t>时效指标</w:t>
            </w:r>
          </w:p>
        </w:tc>
        <w:tc>
          <w:tcPr>
            <w:tcW w:w="2835" w:type="dxa"/>
            <w:vAlign w:val="center"/>
          </w:tcPr>
          <w:p w14:paraId="57FA051E">
            <w:pPr>
              <w:pStyle w:val="12"/>
            </w:pPr>
            <w:r>
              <w:t>补助资金到位</w:t>
            </w:r>
          </w:p>
        </w:tc>
        <w:tc>
          <w:tcPr>
            <w:tcW w:w="5386" w:type="dxa"/>
            <w:vAlign w:val="center"/>
          </w:tcPr>
          <w:p w14:paraId="0DD6CF05">
            <w:pPr>
              <w:pStyle w:val="12"/>
            </w:pPr>
            <w:r>
              <w:t>补助资金到位及时率</w:t>
            </w:r>
          </w:p>
        </w:tc>
        <w:tc>
          <w:tcPr>
            <w:tcW w:w="2268" w:type="dxa"/>
            <w:vAlign w:val="center"/>
          </w:tcPr>
          <w:p w14:paraId="1B3E7A4F">
            <w:pPr>
              <w:pStyle w:val="12"/>
            </w:pPr>
            <w:r>
              <w:t>100%</w:t>
            </w:r>
          </w:p>
        </w:tc>
        <w:tc>
          <w:tcPr>
            <w:tcW w:w="1276" w:type="dxa"/>
            <w:vAlign w:val="center"/>
          </w:tcPr>
          <w:p w14:paraId="6871AFB8">
            <w:pPr>
              <w:pStyle w:val="12"/>
            </w:pPr>
            <w:r>
              <w:t>河北省建档立卡家庭经济困难学生资助管理暂行办法</w:t>
            </w:r>
          </w:p>
        </w:tc>
      </w:tr>
      <w:tr w14:paraId="3AC3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8992A"/>
        </w:tc>
        <w:tc>
          <w:tcPr>
            <w:tcW w:w="2268" w:type="dxa"/>
            <w:vAlign w:val="center"/>
          </w:tcPr>
          <w:p w14:paraId="1B4AFB76">
            <w:pPr>
              <w:pStyle w:val="12"/>
            </w:pPr>
            <w:r>
              <w:t>成本指标</w:t>
            </w:r>
          </w:p>
        </w:tc>
        <w:tc>
          <w:tcPr>
            <w:tcW w:w="2835" w:type="dxa"/>
            <w:vAlign w:val="center"/>
          </w:tcPr>
          <w:p w14:paraId="796CB284">
            <w:pPr>
              <w:pStyle w:val="12"/>
            </w:pPr>
            <w:r>
              <w:t>普通高中建档立卡学生减免标准</w:t>
            </w:r>
          </w:p>
        </w:tc>
        <w:tc>
          <w:tcPr>
            <w:tcW w:w="5386" w:type="dxa"/>
            <w:vAlign w:val="center"/>
          </w:tcPr>
          <w:p w14:paraId="144481F6">
            <w:pPr>
              <w:pStyle w:val="12"/>
            </w:pPr>
            <w:r>
              <w:t>学费2000元/生/年；住宿费500元/生/年；书费300元/生/年</w:t>
            </w:r>
          </w:p>
        </w:tc>
        <w:tc>
          <w:tcPr>
            <w:tcW w:w="2268" w:type="dxa"/>
            <w:vAlign w:val="center"/>
          </w:tcPr>
          <w:p w14:paraId="324EE055">
            <w:pPr>
              <w:pStyle w:val="12"/>
            </w:pPr>
            <w:r>
              <w:t>2800元</w:t>
            </w:r>
          </w:p>
        </w:tc>
        <w:tc>
          <w:tcPr>
            <w:tcW w:w="1276" w:type="dxa"/>
            <w:vAlign w:val="center"/>
          </w:tcPr>
          <w:p w14:paraId="5106BE59">
            <w:pPr>
              <w:pStyle w:val="12"/>
            </w:pPr>
            <w:r>
              <w:t>河北省建档立卡家庭经济困难学生资助管理暂行办法</w:t>
            </w:r>
          </w:p>
        </w:tc>
      </w:tr>
      <w:tr w14:paraId="466F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1CB63">
            <w:pPr>
              <w:pStyle w:val="13"/>
            </w:pPr>
            <w:r>
              <w:t>效益指标</w:t>
            </w:r>
          </w:p>
        </w:tc>
        <w:tc>
          <w:tcPr>
            <w:tcW w:w="2268" w:type="dxa"/>
            <w:vAlign w:val="center"/>
          </w:tcPr>
          <w:p w14:paraId="43A29C3A">
            <w:pPr>
              <w:pStyle w:val="12"/>
            </w:pPr>
            <w:r>
              <w:t>经济效益指标</w:t>
            </w:r>
          </w:p>
        </w:tc>
        <w:tc>
          <w:tcPr>
            <w:tcW w:w="2835" w:type="dxa"/>
            <w:vAlign w:val="center"/>
          </w:tcPr>
          <w:p w14:paraId="18EE13C6">
            <w:pPr>
              <w:pStyle w:val="12"/>
            </w:pPr>
            <w:r>
              <w:t>减轻家庭负担</w:t>
            </w:r>
          </w:p>
        </w:tc>
        <w:tc>
          <w:tcPr>
            <w:tcW w:w="5386" w:type="dxa"/>
            <w:vAlign w:val="center"/>
          </w:tcPr>
          <w:p w14:paraId="1A887522">
            <w:pPr>
              <w:pStyle w:val="12"/>
            </w:pPr>
            <w:r>
              <w:t>减轻建档立卡家庭学生家长经济负担</w:t>
            </w:r>
          </w:p>
        </w:tc>
        <w:tc>
          <w:tcPr>
            <w:tcW w:w="2268" w:type="dxa"/>
            <w:vAlign w:val="center"/>
          </w:tcPr>
          <w:p w14:paraId="726D1B56">
            <w:pPr>
              <w:pStyle w:val="12"/>
            </w:pPr>
            <w:r>
              <w:t>100%</w:t>
            </w:r>
          </w:p>
        </w:tc>
        <w:tc>
          <w:tcPr>
            <w:tcW w:w="1276" w:type="dxa"/>
            <w:vAlign w:val="center"/>
          </w:tcPr>
          <w:p w14:paraId="61EF7D81">
            <w:pPr>
              <w:pStyle w:val="12"/>
            </w:pPr>
            <w:r>
              <w:t>河北省建档立卡家庭经济困难学生资助管理暂行办法</w:t>
            </w:r>
          </w:p>
        </w:tc>
      </w:tr>
      <w:tr w14:paraId="1191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AF1E3"/>
        </w:tc>
        <w:tc>
          <w:tcPr>
            <w:tcW w:w="2268" w:type="dxa"/>
            <w:vAlign w:val="center"/>
          </w:tcPr>
          <w:p w14:paraId="1B2867C2">
            <w:pPr>
              <w:pStyle w:val="12"/>
            </w:pPr>
            <w:r>
              <w:t>可持续影响指标</w:t>
            </w:r>
          </w:p>
        </w:tc>
        <w:tc>
          <w:tcPr>
            <w:tcW w:w="2835" w:type="dxa"/>
            <w:vAlign w:val="center"/>
          </w:tcPr>
          <w:p w14:paraId="3BD11FB3">
            <w:pPr>
              <w:pStyle w:val="12"/>
            </w:pPr>
            <w:r>
              <w:t>高中运转</w:t>
            </w:r>
          </w:p>
        </w:tc>
        <w:tc>
          <w:tcPr>
            <w:tcW w:w="5386" w:type="dxa"/>
            <w:vAlign w:val="center"/>
          </w:tcPr>
          <w:p w14:paraId="242A5EBE">
            <w:pPr>
              <w:pStyle w:val="12"/>
            </w:pPr>
            <w:r>
              <w:t>高中生受教育年限</w:t>
            </w:r>
          </w:p>
        </w:tc>
        <w:tc>
          <w:tcPr>
            <w:tcW w:w="2268" w:type="dxa"/>
            <w:vAlign w:val="center"/>
          </w:tcPr>
          <w:p w14:paraId="5DACE05F">
            <w:pPr>
              <w:pStyle w:val="12"/>
            </w:pPr>
            <w:r>
              <w:t>3年</w:t>
            </w:r>
          </w:p>
        </w:tc>
        <w:tc>
          <w:tcPr>
            <w:tcW w:w="1276" w:type="dxa"/>
            <w:vAlign w:val="center"/>
          </w:tcPr>
          <w:p w14:paraId="24BD1355">
            <w:pPr>
              <w:pStyle w:val="12"/>
            </w:pPr>
            <w:r>
              <w:t>河北省建档立卡家庭经济困难学生资助管理暂行办法</w:t>
            </w:r>
          </w:p>
        </w:tc>
      </w:tr>
      <w:tr w14:paraId="1B11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2BFE0">
            <w:pPr>
              <w:pStyle w:val="13"/>
            </w:pPr>
            <w:r>
              <w:t>满意度指标</w:t>
            </w:r>
          </w:p>
        </w:tc>
        <w:tc>
          <w:tcPr>
            <w:tcW w:w="2268" w:type="dxa"/>
            <w:vAlign w:val="center"/>
          </w:tcPr>
          <w:p w14:paraId="6F4C2F50">
            <w:pPr>
              <w:pStyle w:val="12"/>
            </w:pPr>
            <w:r>
              <w:t>服务对象满意度指标</w:t>
            </w:r>
          </w:p>
        </w:tc>
        <w:tc>
          <w:tcPr>
            <w:tcW w:w="2835" w:type="dxa"/>
            <w:vAlign w:val="center"/>
          </w:tcPr>
          <w:p w14:paraId="594B7D9B">
            <w:pPr>
              <w:pStyle w:val="12"/>
            </w:pPr>
            <w:r>
              <w:t>提升幸福指数</w:t>
            </w:r>
          </w:p>
        </w:tc>
        <w:tc>
          <w:tcPr>
            <w:tcW w:w="5386" w:type="dxa"/>
            <w:vAlign w:val="center"/>
          </w:tcPr>
          <w:p w14:paraId="29859BA5">
            <w:pPr>
              <w:pStyle w:val="12"/>
            </w:pPr>
            <w:r>
              <w:t>提升建档立卡贫困家庭学生幸福指数</w:t>
            </w:r>
          </w:p>
          <w:p w14:paraId="123F0082">
            <w:pPr>
              <w:pStyle w:val="12"/>
            </w:pPr>
            <w:r>
              <w:t>家长学生满意</w:t>
            </w:r>
          </w:p>
        </w:tc>
        <w:tc>
          <w:tcPr>
            <w:tcW w:w="2268" w:type="dxa"/>
            <w:vAlign w:val="center"/>
          </w:tcPr>
          <w:p w14:paraId="1B1435ED">
            <w:pPr>
              <w:pStyle w:val="12"/>
            </w:pPr>
            <w:r>
              <w:t>≥98%</w:t>
            </w:r>
          </w:p>
        </w:tc>
        <w:tc>
          <w:tcPr>
            <w:tcW w:w="1276" w:type="dxa"/>
            <w:vAlign w:val="center"/>
          </w:tcPr>
          <w:p w14:paraId="0043DE77">
            <w:pPr>
              <w:pStyle w:val="12"/>
            </w:pPr>
            <w:r>
              <w:t>河北省建档立卡家庭经济困难学生资助管理暂行办法</w:t>
            </w:r>
          </w:p>
        </w:tc>
      </w:tr>
    </w:tbl>
    <w:p w14:paraId="34D849FB">
      <w:pPr>
        <w:sectPr>
          <w:pgSz w:w="16840" w:h="11900" w:orient="landscape"/>
          <w:pgMar w:top="1361" w:right="1020" w:bottom="1134" w:left="1020" w:header="720" w:footer="720" w:gutter="0"/>
          <w:cols w:space="720" w:num="1"/>
        </w:sectPr>
      </w:pPr>
    </w:p>
    <w:p w14:paraId="03CB9519">
      <w:pPr>
        <w:spacing w:before="0" w:after="0"/>
        <w:ind w:firstLine="560"/>
        <w:jc w:val="left"/>
        <w:outlineLvl w:val="9"/>
      </w:pPr>
      <w:r>
        <w:rPr>
          <w:rFonts w:ascii="方正仿宋_GBK" w:hAnsi="方正仿宋_GBK" w:eastAsia="方正仿宋_GBK" w:cs="方正仿宋_GBK"/>
          <w:b/>
          <w:color w:val="000000"/>
          <w:sz w:val="28"/>
        </w:rPr>
        <w:t>8、冀财教[2025]116号/中央/2026年学生资助/普通高中助学金（一中高中）绩效目标表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AE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6FC4F">
            <w:pPr>
              <w:pStyle w:val="11"/>
            </w:pPr>
            <w:r>
              <w:t>单位：万元</w:t>
            </w:r>
          </w:p>
        </w:tc>
      </w:tr>
      <w:tr w14:paraId="522A1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AD70D">
            <w:pPr>
              <w:pStyle w:val="10"/>
            </w:pPr>
            <w:r>
              <w:t>项目编码</w:t>
            </w:r>
          </w:p>
        </w:tc>
        <w:tc>
          <w:tcPr>
            <w:tcW w:w="5103" w:type="dxa"/>
            <w:gridSpan w:val="2"/>
            <w:vAlign w:val="center"/>
          </w:tcPr>
          <w:p w14:paraId="45F0A2AC">
            <w:pPr>
              <w:pStyle w:val="12"/>
            </w:pPr>
            <w:r>
              <w:t>13052526P000012100421</w:t>
            </w:r>
          </w:p>
        </w:tc>
        <w:tc>
          <w:tcPr>
            <w:tcW w:w="2835" w:type="dxa"/>
            <w:vAlign w:val="center"/>
          </w:tcPr>
          <w:p w14:paraId="2128A912">
            <w:pPr>
              <w:pStyle w:val="10"/>
            </w:pPr>
            <w:r>
              <w:t>项目名称</w:t>
            </w:r>
          </w:p>
        </w:tc>
        <w:tc>
          <w:tcPr>
            <w:tcW w:w="6095" w:type="dxa"/>
            <w:gridSpan w:val="3"/>
            <w:vAlign w:val="center"/>
          </w:tcPr>
          <w:p w14:paraId="3206249D">
            <w:pPr>
              <w:pStyle w:val="12"/>
            </w:pPr>
            <w:r>
              <w:t>冀财教[2025]116号/中央/2026年学生资助/普通高中助学金（一中高中）</w:t>
            </w:r>
          </w:p>
        </w:tc>
      </w:tr>
      <w:tr w14:paraId="54312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507CC">
            <w:pPr>
              <w:pStyle w:val="10"/>
            </w:pPr>
            <w:r>
              <w:t>预算规模及资金用途</w:t>
            </w:r>
          </w:p>
        </w:tc>
        <w:tc>
          <w:tcPr>
            <w:tcW w:w="2268" w:type="dxa"/>
            <w:vAlign w:val="center"/>
          </w:tcPr>
          <w:p w14:paraId="15DE61B6">
            <w:pPr>
              <w:pStyle w:val="10"/>
            </w:pPr>
            <w:r>
              <w:t>预算数</w:t>
            </w:r>
          </w:p>
        </w:tc>
        <w:tc>
          <w:tcPr>
            <w:tcW w:w="2835" w:type="dxa"/>
            <w:vAlign w:val="center"/>
          </w:tcPr>
          <w:p w14:paraId="66F4CC36">
            <w:pPr>
              <w:pStyle w:val="12"/>
            </w:pPr>
            <w:r>
              <w:t>154.00</w:t>
            </w:r>
          </w:p>
        </w:tc>
        <w:tc>
          <w:tcPr>
            <w:tcW w:w="2835" w:type="dxa"/>
            <w:vAlign w:val="center"/>
          </w:tcPr>
          <w:p w14:paraId="5A65CFDA">
            <w:pPr>
              <w:pStyle w:val="10"/>
            </w:pPr>
            <w:r>
              <w:t>其中：财政    资金</w:t>
            </w:r>
          </w:p>
        </w:tc>
        <w:tc>
          <w:tcPr>
            <w:tcW w:w="2551" w:type="dxa"/>
            <w:vAlign w:val="center"/>
          </w:tcPr>
          <w:p w14:paraId="6690A5EC">
            <w:pPr>
              <w:pStyle w:val="12"/>
            </w:pPr>
            <w:r>
              <w:t>154.00</w:t>
            </w:r>
          </w:p>
        </w:tc>
        <w:tc>
          <w:tcPr>
            <w:tcW w:w="2268" w:type="dxa"/>
            <w:vAlign w:val="center"/>
          </w:tcPr>
          <w:p w14:paraId="369B0D67">
            <w:pPr>
              <w:pStyle w:val="10"/>
            </w:pPr>
            <w:r>
              <w:t>其他资金</w:t>
            </w:r>
          </w:p>
        </w:tc>
        <w:tc>
          <w:tcPr>
            <w:tcW w:w="1276" w:type="dxa"/>
            <w:vAlign w:val="center"/>
          </w:tcPr>
          <w:p w14:paraId="7E21A505">
            <w:pPr>
              <w:pStyle w:val="12"/>
            </w:pPr>
            <w:r>
              <w:t xml:space="preserve"> </w:t>
            </w:r>
          </w:p>
        </w:tc>
      </w:tr>
      <w:tr w14:paraId="5F3E9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30306"/>
        </w:tc>
        <w:tc>
          <w:tcPr>
            <w:tcW w:w="14033" w:type="dxa"/>
            <w:gridSpan w:val="6"/>
            <w:vAlign w:val="center"/>
          </w:tcPr>
          <w:p w14:paraId="25A47774">
            <w:pPr>
              <w:pStyle w:val="12"/>
            </w:pPr>
            <w:r>
              <w:t>深入宣传学生资助政策，落实河北省普通高中国家助学金管理办法</w:t>
            </w:r>
          </w:p>
        </w:tc>
      </w:tr>
      <w:tr w14:paraId="7D1AF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86D90">
            <w:pPr>
              <w:pStyle w:val="10"/>
            </w:pPr>
            <w:r>
              <w:t>资金支出计划（%）</w:t>
            </w:r>
          </w:p>
        </w:tc>
        <w:tc>
          <w:tcPr>
            <w:tcW w:w="5103" w:type="dxa"/>
            <w:gridSpan w:val="2"/>
            <w:vAlign w:val="center"/>
          </w:tcPr>
          <w:p w14:paraId="185E66D9">
            <w:pPr>
              <w:pStyle w:val="10"/>
            </w:pPr>
            <w:r>
              <w:t>3月底</w:t>
            </w:r>
          </w:p>
        </w:tc>
        <w:tc>
          <w:tcPr>
            <w:tcW w:w="2835" w:type="dxa"/>
            <w:vAlign w:val="center"/>
          </w:tcPr>
          <w:p w14:paraId="2DD0C979">
            <w:pPr>
              <w:pStyle w:val="10"/>
            </w:pPr>
            <w:r>
              <w:t>6月底</w:t>
            </w:r>
          </w:p>
        </w:tc>
        <w:tc>
          <w:tcPr>
            <w:tcW w:w="2551" w:type="dxa"/>
            <w:vAlign w:val="center"/>
          </w:tcPr>
          <w:p w14:paraId="099CA2E7">
            <w:pPr>
              <w:pStyle w:val="10"/>
            </w:pPr>
            <w:r>
              <w:t>10月底</w:t>
            </w:r>
          </w:p>
        </w:tc>
        <w:tc>
          <w:tcPr>
            <w:tcW w:w="3544" w:type="dxa"/>
            <w:gridSpan w:val="2"/>
            <w:vAlign w:val="center"/>
          </w:tcPr>
          <w:p w14:paraId="4935ECEF">
            <w:pPr>
              <w:pStyle w:val="10"/>
            </w:pPr>
            <w:r>
              <w:t>12月底</w:t>
            </w:r>
          </w:p>
        </w:tc>
      </w:tr>
      <w:tr w14:paraId="5BC2C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C5770"/>
        </w:tc>
        <w:tc>
          <w:tcPr>
            <w:tcW w:w="5103" w:type="dxa"/>
            <w:gridSpan w:val="2"/>
            <w:vAlign w:val="center"/>
          </w:tcPr>
          <w:p w14:paraId="0DFE4108">
            <w:pPr>
              <w:pStyle w:val="13"/>
            </w:pPr>
            <w:r>
              <w:t xml:space="preserve"> </w:t>
            </w:r>
          </w:p>
        </w:tc>
        <w:tc>
          <w:tcPr>
            <w:tcW w:w="2835" w:type="dxa"/>
            <w:vAlign w:val="center"/>
          </w:tcPr>
          <w:p w14:paraId="28D1AC48">
            <w:pPr>
              <w:pStyle w:val="13"/>
            </w:pPr>
            <w:r>
              <w:t xml:space="preserve"> </w:t>
            </w:r>
          </w:p>
        </w:tc>
        <w:tc>
          <w:tcPr>
            <w:tcW w:w="2551" w:type="dxa"/>
            <w:vAlign w:val="center"/>
          </w:tcPr>
          <w:p w14:paraId="039BDAA6">
            <w:pPr>
              <w:pStyle w:val="13"/>
            </w:pPr>
            <w:r>
              <w:t>100%</w:t>
            </w:r>
          </w:p>
        </w:tc>
        <w:tc>
          <w:tcPr>
            <w:tcW w:w="3544" w:type="dxa"/>
            <w:gridSpan w:val="2"/>
            <w:vAlign w:val="center"/>
          </w:tcPr>
          <w:p w14:paraId="22D9D36A">
            <w:pPr>
              <w:pStyle w:val="13"/>
            </w:pPr>
            <w:r>
              <w:t>100%</w:t>
            </w:r>
          </w:p>
        </w:tc>
      </w:tr>
      <w:tr w14:paraId="090E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18F43">
            <w:pPr>
              <w:pStyle w:val="10"/>
            </w:pPr>
            <w:r>
              <w:t>绩效目标</w:t>
            </w:r>
          </w:p>
        </w:tc>
        <w:tc>
          <w:tcPr>
            <w:tcW w:w="14033" w:type="dxa"/>
            <w:gridSpan w:val="6"/>
            <w:vAlign w:val="center"/>
          </w:tcPr>
          <w:p w14:paraId="45C923F8">
            <w:pPr>
              <w:pStyle w:val="12"/>
            </w:pPr>
            <w:r>
              <w:t>1.深入宣传学生资助政策，落实河北省普通高中国家助学金管理办法</w:t>
            </w:r>
          </w:p>
          <w:p w14:paraId="3EA2C71D">
            <w:pPr>
              <w:pStyle w:val="12"/>
            </w:pPr>
            <w:r>
              <w:t>2.优先资助建档立卡家庭学生、孤残学生、父母丧失劳动能力学生、少数民族学生、烈士子女与单亲家庭经济困难学生、低保、特困救助、突发致贫学生</w:t>
            </w:r>
          </w:p>
          <w:p w14:paraId="2D02F6F7">
            <w:pPr>
              <w:pStyle w:val="12"/>
            </w:pPr>
            <w:r>
              <w:t>3.及时发放资助资金，确保贫困家庭学生得到资助，不因贫困失学辍学</w:t>
            </w:r>
          </w:p>
        </w:tc>
      </w:tr>
    </w:tbl>
    <w:p w14:paraId="0E420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9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0CEF4">
            <w:pPr>
              <w:pStyle w:val="10"/>
            </w:pPr>
            <w:r>
              <w:t>一级指标</w:t>
            </w:r>
          </w:p>
        </w:tc>
        <w:tc>
          <w:tcPr>
            <w:tcW w:w="2268" w:type="dxa"/>
            <w:vAlign w:val="center"/>
          </w:tcPr>
          <w:p w14:paraId="21358161">
            <w:pPr>
              <w:pStyle w:val="10"/>
            </w:pPr>
            <w:r>
              <w:t>二级指标</w:t>
            </w:r>
          </w:p>
        </w:tc>
        <w:tc>
          <w:tcPr>
            <w:tcW w:w="2835" w:type="dxa"/>
            <w:vAlign w:val="center"/>
          </w:tcPr>
          <w:p w14:paraId="55FBA542">
            <w:pPr>
              <w:pStyle w:val="10"/>
            </w:pPr>
            <w:r>
              <w:t>三级指标</w:t>
            </w:r>
          </w:p>
        </w:tc>
        <w:tc>
          <w:tcPr>
            <w:tcW w:w="5386" w:type="dxa"/>
            <w:vAlign w:val="center"/>
          </w:tcPr>
          <w:p w14:paraId="0F4C2D95">
            <w:pPr>
              <w:pStyle w:val="10"/>
            </w:pPr>
            <w:r>
              <w:t>绩效指标描述</w:t>
            </w:r>
          </w:p>
        </w:tc>
        <w:tc>
          <w:tcPr>
            <w:tcW w:w="2268" w:type="dxa"/>
            <w:vAlign w:val="center"/>
          </w:tcPr>
          <w:p w14:paraId="4CB9AB1E">
            <w:pPr>
              <w:pStyle w:val="10"/>
            </w:pPr>
            <w:r>
              <w:t>指标值</w:t>
            </w:r>
          </w:p>
        </w:tc>
        <w:tc>
          <w:tcPr>
            <w:tcW w:w="1276" w:type="dxa"/>
            <w:vAlign w:val="center"/>
          </w:tcPr>
          <w:p w14:paraId="5AB10321">
            <w:pPr>
              <w:pStyle w:val="10"/>
            </w:pPr>
            <w:r>
              <w:t>指标值确定依据</w:t>
            </w:r>
          </w:p>
        </w:tc>
      </w:tr>
      <w:tr w14:paraId="0736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095F5">
            <w:pPr>
              <w:pStyle w:val="13"/>
            </w:pPr>
            <w:r>
              <w:t>产出指标</w:t>
            </w:r>
          </w:p>
        </w:tc>
        <w:tc>
          <w:tcPr>
            <w:tcW w:w="2268" w:type="dxa"/>
            <w:vAlign w:val="center"/>
          </w:tcPr>
          <w:p w14:paraId="65D47547">
            <w:pPr>
              <w:pStyle w:val="12"/>
            </w:pPr>
            <w:r>
              <w:t>数量指标</w:t>
            </w:r>
          </w:p>
        </w:tc>
        <w:tc>
          <w:tcPr>
            <w:tcW w:w="2835" w:type="dxa"/>
            <w:vAlign w:val="center"/>
          </w:tcPr>
          <w:p w14:paraId="1CDA5745">
            <w:pPr>
              <w:pStyle w:val="12"/>
            </w:pPr>
            <w:r>
              <w:t>普通高中资助人数</w:t>
            </w:r>
          </w:p>
        </w:tc>
        <w:tc>
          <w:tcPr>
            <w:tcW w:w="5386" w:type="dxa"/>
            <w:vAlign w:val="center"/>
          </w:tcPr>
          <w:p w14:paraId="7B1402ED">
            <w:pPr>
              <w:pStyle w:val="12"/>
            </w:pPr>
            <w:r>
              <w:t>普通高中助学受资助人数约占普通高中在校生总数的18%</w:t>
            </w:r>
          </w:p>
        </w:tc>
        <w:tc>
          <w:tcPr>
            <w:tcW w:w="2268" w:type="dxa"/>
            <w:vAlign w:val="center"/>
          </w:tcPr>
          <w:p w14:paraId="6499310E">
            <w:pPr>
              <w:pStyle w:val="12"/>
            </w:pPr>
            <w:r>
              <w:t>≥1091人</w:t>
            </w:r>
          </w:p>
        </w:tc>
        <w:tc>
          <w:tcPr>
            <w:tcW w:w="1276" w:type="dxa"/>
            <w:vAlign w:val="center"/>
          </w:tcPr>
          <w:p w14:paraId="20DF3E44">
            <w:pPr>
              <w:pStyle w:val="12"/>
            </w:pPr>
            <w:r>
              <w:t>年度预算</w:t>
            </w:r>
          </w:p>
        </w:tc>
      </w:tr>
      <w:tr w14:paraId="38F8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1A50"/>
        </w:tc>
        <w:tc>
          <w:tcPr>
            <w:tcW w:w="2268" w:type="dxa"/>
            <w:vAlign w:val="center"/>
          </w:tcPr>
          <w:p w14:paraId="2D867E08">
            <w:pPr>
              <w:pStyle w:val="12"/>
            </w:pPr>
            <w:r>
              <w:t>质量指标</w:t>
            </w:r>
          </w:p>
        </w:tc>
        <w:tc>
          <w:tcPr>
            <w:tcW w:w="2835" w:type="dxa"/>
            <w:vAlign w:val="center"/>
          </w:tcPr>
          <w:p w14:paraId="3B2A6107">
            <w:pPr>
              <w:pStyle w:val="12"/>
            </w:pPr>
            <w:r>
              <w:t>成立评审小组</w:t>
            </w:r>
          </w:p>
        </w:tc>
        <w:tc>
          <w:tcPr>
            <w:tcW w:w="5386" w:type="dxa"/>
            <w:vAlign w:val="center"/>
          </w:tcPr>
          <w:p w14:paraId="261BA7EF">
            <w:pPr>
              <w:pStyle w:val="12"/>
            </w:pPr>
            <w:r>
              <w:t>成立普高助学金评审小组建立监督检查制度</w:t>
            </w:r>
          </w:p>
        </w:tc>
        <w:tc>
          <w:tcPr>
            <w:tcW w:w="2268" w:type="dxa"/>
            <w:vAlign w:val="center"/>
          </w:tcPr>
          <w:p w14:paraId="73996CC0">
            <w:pPr>
              <w:pStyle w:val="12"/>
            </w:pPr>
            <w:r>
              <w:t>1组</w:t>
            </w:r>
          </w:p>
        </w:tc>
        <w:tc>
          <w:tcPr>
            <w:tcW w:w="1276" w:type="dxa"/>
            <w:vAlign w:val="center"/>
          </w:tcPr>
          <w:p w14:paraId="48D5C455">
            <w:pPr>
              <w:pStyle w:val="12"/>
            </w:pPr>
            <w:r>
              <w:t>隆尧县普通高中国家助学金管理办法</w:t>
            </w:r>
          </w:p>
        </w:tc>
      </w:tr>
      <w:tr w14:paraId="2E09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F751A"/>
        </w:tc>
        <w:tc>
          <w:tcPr>
            <w:tcW w:w="2268" w:type="dxa"/>
            <w:vAlign w:val="center"/>
          </w:tcPr>
          <w:p w14:paraId="65511BD1">
            <w:pPr>
              <w:pStyle w:val="12"/>
            </w:pPr>
            <w:r>
              <w:t>时效指标</w:t>
            </w:r>
          </w:p>
        </w:tc>
        <w:tc>
          <w:tcPr>
            <w:tcW w:w="2835" w:type="dxa"/>
            <w:vAlign w:val="center"/>
          </w:tcPr>
          <w:p w14:paraId="6561A42C">
            <w:pPr>
              <w:pStyle w:val="12"/>
            </w:pPr>
            <w:r>
              <w:t>补助资金到位</w:t>
            </w:r>
          </w:p>
        </w:tc>
        <w:tc>
          <w:tcPr>
            <w:tcW w:w="5386" w:type="dxa"/>
            <w:vAlign w:val="center"/>
          </w:tcPr>
          <w:p w14:paraId="5D6E6515">
            <w:pPr>
              <w:pStyle w:val="12"/>
            </w:pPr>
            <w:r>
              <w:t>补助资金及时足额到位率</w:t>
            </w:r>
          </w:p>
        </w:tc>
        <w:tc>
          <w:tcPr>
            <w:tcW w:w="2268" w:type="dxa"/>
            <w:vAlign w:val="center"/>
          </w:tcPr>
          <w:p w14:paraId="2E6D1854">
            <w:pPr>
              <w:pStyle w:val="12"/>
            </w:pPr>
            <w:r>
              <w:t>100%</w:t>
            </w:r>
          </w:p>
        </w:tc>
        <w:tc>
          <w:tcPr>
            <w:tcW w:w="1276" w:type="dxa"/>
            <w:vAlign w:val="center"/>
          </w:tcPr>
          <w:p w14:paraId="1CE243F3">
            <w:pPr>
              <w:pStyle w:val="12"/>
            </w:pPr>
            <w:r>
              <w:t>隆尧县普通高中国家助学金管理办法</w:t>
            </w:r>
          </w:p>
        </w:tc>
      </w:tr>
      <w:tr w14:paraId="3468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C367"/>
        </w:tc>
        <w:tc>
          <w:tcPr>
            <w:tcW w:w="2268" w:type="dxa"/>
            <w:vAlign w:val="center"/>
          </w:tcPr>
          <w:p w14:paraId="06DB6406">
            <w:pPr>
              <w:pStyle w:val="12"/>
            </w:pPr>
            <w:r>
              <w:t>成本指标</w:t>
            </w:r>
          </w:p>
        </w:tc>
        <w:tc>
          <w:tcPr>
            <w:tcW w:w="2835" w:type="dxa"/>
            <w:vAlign w:val="center"/>
          </w:tcPr>
          <w:p w14:paraId="4D166C7B">
            <w:pPr>
              <w:pStyle w:val="12"/>
            </w:pPr>
            <w:r>
              <w:t>普高国家助学金标准</w:t>
            </w:r>
          </w:p>
        </w:tc>
        <w:tc>
          <w:tcPr>
            <w:tcW w:w="5386" w:type="dxa"/>
            <w:vAlign w:val="center"/>
          </w:tcPr>
          <w:p w14:paraId="3A2A5934">
            <w:pPr>
              <w:pStyle w:val="12"/>
            </w:pPr>
            <w:r>
              <w:t>普高国家助学金资助标准2300元/生/年</w:t>
            </w:r>
          </w:p>
        </w:tc>
        <w:tc>
          <w:tcPr>
            <w:tcW w:w="2268" w:type="dxa"/>
            <w:vAlign w:val="center"/>
          </w:tcPr>
          <w:p w14:paraId="07B22CD7">
            <w:pPr>
              <w:pStyle w:val="12"/>
            </w:pPr>
            <w:r>
              <w:t>2300元</w:t>
            </w:r>
          </w:p>
        </w:tc>
        <w:tc>
          <w:tcPr>
            <w:tcW w:w="1276" w:type="dxa"/>
            <w:vAlign w:val="center"/>
          </w:tcPr>
          <w:p w14:paraId="7B805BD6">
            <w:pPr>
              <w:pStyle w:val="12"/>
            </w:pPr>
            <w:r>
              <w:t>隆尧县普通高中国家助学金管理办法</w:t>
            </w:r>
          </w:p>
        </w:tc>
      </w:tr>
      <w:tr w14:paraId="69A8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1A997">
            <w:pPr>
              <w:pStyle w:val="13"/>
            </w:pPr>
            <w:r>
              <w:t>效益指标</w:t>
            </w:r>
          </w:p>
        </w:tc>
        <w:tc>
          <w:tcPr>
            <w:tcW w:w="2268" w:type="dxa"/>
            <w:vAlign w:val="center"/>
          </w:tcPr>
          <w:p w14:paraId="62C87024">
            <w:pPr>
              <w:pStyle w:val="12"/>
            </w:pPr>
            <w:r>
              <w:t>经济效益指标</w:t>
            </w:r>
          </w:p>
        </w:tc>
        <w:tc>
          <w:tcPr>
            <w:tcW w:w="2835" w:type="dxa"/>
            <w:vAlign w:val="center"/>
          </w:tcPr>
          <w:p w14:paraId="12DD71B6">
            <w:pPr>
              <w:pStyle w:val="12"/>
            </w:pPr>
            <w:r>
              <w:t>减轻家庭负担</w:t>
            </w:r>
          </w:p>
        </w:tc>
        <w:tc>
          <w:tcPr>
            <w:tcW w:w="5386" w:type="dxa"/>
            <w:vAlign w:val="center"/>
          </w:tcPr>
          <w:p w14:paraId="0BC7195E">
            <w:pPr>
              <w:pStyle w:val="12"/>
            </w:pPr>
            <w:r>
              <w:t>减轻建档立卡家庭学生家长经济负担</w:t>
            </w:r>
          </w:p>
        </w:tc>
        <w:tc>
          <w:tcPr>
            <w:tcW w:w="2268" w:type="dxa"/>
            <w:vAlign w:val="center"/>
          </w:tcPr>
          <w:p w14:paraId="16A6DAA5">
            <w:pPr>
              <w:pStyle w:val="12"/>
            </w:pPr>
            <w:r>
              <w:t>100%</w:t>
            </w:r>
          </w:p>
        </w:tc>
        <w:tc>
          <w:tcPr>
            <w:tcW w:w="1276" w:type="dxa"/>
            <w:vAlign w:val="center"/>
          </w:tcPr>
          <w:p w14:paraId="7D794A6E">
            <w:pPr>
              <w:pStyle w:val="12"/>
            </w:pPr>
            <w:r>
              <w:t>隆尧县普通高中国家助学金管理办法</w:t>
            </w:r>
          </w:p>
        </w:tc>
      </w:tr>
      <w:tr w14:paraId="5230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A6F47"/>
        </w:tc>
        <w:tc>
          <w:tcPr>
            <w:tcW w:w="2268" w:type="dxa"/>
            <w:vAlign w:val="center"/>
          </w:tcPr>
          <w:p w14:paraId="7FA67C87">
            <w:pPr>
              <w:pStyle w:val="12"/>
            </w:pPr>
            <w:r>
              <w:t>可持续影响指标</w:t>
            </w:r>
          </w:p>
        </w:tc>
        <w:tc>
          <w:tcPr>
            <w:tcW w:w="2835" w:type="dxa"/>
            <w:vAlign w:val="center"/>
          </w:tcPr>
          <w:p w14:paraId="7627D449">
            <w:pPr>
              <w:pStyle w:val="12"/>
            </w:pPr>
            <w:r>
              <w:t>高中运转</w:t>
            </w:r>
          </w:p>
        </w:tc>
        <w:tc>
          <w:tcPr>
            <w:tcW w:w="5386" w:type="dxa"/>
            <w:vAlign w:val="center"/>
          </w:tcPr>
          <w:p w14:paraId="18BA2174">
            <w:pPr>
              <w:pStyle w:val="12"/>
            </w:pPr>
            <w:r>
              <w:t>高中生受教育年限</w:t>
            </w:r>
          </w:p>
        </w:tc>
        <w:tc>
          <w:tcPr>
            <w:tcW w:w="2268" w:type="dxa"/>
            <w:vAlign w:val="center"/>
          </w:tcPr>
          <w:p w14:paraId="6FD0D657">
            <w:pPr>
              <w:pStyle w:val="12"/>
            </w:pPr>
            <w:r>
              <w:t>3年</w:t>
            </w:r>
          </w:p>
        </w:tc>
        <w:tc>
          <w:tcPr>
            <w:tcW w:w="1276" w:type="dxa"/>
            <w:vAlign w:val="center"/>
          </w:tcPr>
          <w:p w14:paraId="061019F0">
            <w:pPr>
              <w:pStyle w:val="12"/>
            </w:pPr>
            <w:r>
              <w:t>隆尧县普通高中国家助学金管理办法</w:t>
            </w:r>
          </w:p>
        </w:tc>
      </w:tr>
      <w:tr w14:paraId="4149F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A9D2E">
            <w:pPr>
              <w:pStyle w:val="13"/>
            </w:pPr>
            <w:r>
              <w:t>满意度指标</w:t>
            </w:r>
          </w:p>
        </w:tc>
        <w:tc>
          <w:tcPr>
            <w:tcW w:w="2268" w:type="dxa"/>
            <w:vAlign w:val="center"/>
          </w:tcPr>
          <w:p w14:paraId="52392401">
            <w:pPr>
              <w:pStyle w:val="12"/>
            </w:pPr>
            <w:r>
              <w:t>服务对象满意度指标</w:t>
            </w:r>
          </w:p>
        </w:tc>
        <w:tc>
          <w:tcPr>
            <w:tcW w:w="2835" w:type="dxa"/>
            <w:vAlign w:val="center"/>
          </w:tcPr>
          <w:p w14:paraId="399ED344">
            <w:pPr>
              <w:pStyle w:val="12"/>
            </w:pPr>
            <w:r>
              <w:t>提升幸福指数</w:t>
            </w:r>
          </w:p>
        </w:tc>
        <w:tc>
          <w:tcPr>
            <w:tcW w:w="5386" w:type="dxa"/>
            <w:vAlign w:val="center"/>
          </w:tcPr>
          <w:p w14:paraId="703A2666">
            <w:pPr>
              <w:pStyle w:val="12"/>
            </w:pPr>
            <w:r>
              <w:t>提升建档立卡贫困家庭学生幸福指数</w:t>
            </w:r>
          </w:p>
          <w:p w14:paraId="1A5E3A48">
            <w:pPr>
              <w:pStyle w:val="12"/>
            </w:pPr>
            <w:r>
              <w:t>家长学生满意</w:t>
            </w:r>
          </w:p>
        </w:tc>
        <w:tc>
          <w:tcPr>
            <w:tcW w:w="2268" w:type="dxa"/>
            <w:vAlign w:val="center"/>
          </w:tcPr>
          <w:p w14:paraId="2212C43E">
            <w:pPr>
              <w:pStyle w:val="12"/>
            </w:pPr>
            <w:r>
              <w:t>≥98%</w:t>
            </w:r>
          </w:p>
        </w:tc>
        <w:tc>
          <w:tcPr>
            <w:tcW w:w="1276" w:type="dxa"/>
            <w:vAlign w:val="center"/>
          </w:tcPr>
          <w:p w14:paraId="257C252E">
            <w:pPr>
              <w:pStyle w:val="12"/>
            </w:pPr>
            <w:r>
              <w:t>隆尧县普通高中国家助学金管理办法</w:t>
            </w:r>
          </w:p>
        </w:tc>
      </w:tr>
    </w:tbl>
    <w:p w14:paraId="29E47E33">
      <w:pPr>
        <w:sectPr>
          <w:pgSz w:w="16840" w:h="11900" w:orient="landscape"/>
          <w:pgMar w:top="1361" w:right="1020" w:bottom="1134" w:left="1020" w:header="720" w:footer="720" w:gutter="0"/>
          <w:cols w:space="720" w:num="1"/>
        </w:sectPr>
      </w:pPr>
    </w:p>
    <w:p w14:paraId="0D9C1829">
      <w:pPr>
        <w:spacing w:before="0" w:after="0"/>
        <w:ind w:firstLine="560"/>
        <w:jc w:val="left"/>
        <w:outlineLvl w:val="9"/>
      </w:pPr>
      <w:r>
        <w:rPr>
          <w:rFonts w:ascii="方正仿宋_GBK" w:hAnsi="方正仿宋_GBK" w:eastAsia="方正仿宋_GBK" w:cs="方正仿宋_GBK"/>
          <w:b/>
          <w:color w:val="000000"/>
          <w:sz w:val="28"/>
        </w:rPr>
        <w:t>9、冀财教[2025]121号/中央/2026年义教补助经费/隆尧一中（初中）公用经费绩效目标表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9E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C98CB">
            <w:pPr>
              <w:pStyle w:val="11"/>
            </w:pPr>
            <w:r>
              <w:t>单位：万元</w:t>
            </w:r>
          </w:p>
        </w:tc>
      </w:tr>
      <w:tr w14:paraId="49526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4043C">
            <w:pPr>
              <w:pStyle w:val="10"/>
            </w:pPr>
            <w:r>
              <w:t>项目编码</w:t>
            </w:r>
          </w:p>
        </w:tc>
        <w:tc>
          <w:tcPr>
            <w:tcW w:w="5103" w:type="dxa"/>
            <w:gridSpan w:val="2"/>
            <w:vAlign w:val="center"/>
          </w:tcPr>
          <w:p w14:paraId="43BA9F95">
            <w:pPr>
              <w:pStyle w:val="12"/>
            </w:pPr>
            <w:r>
              <w:t>13052526P00000410244Y</w:t>
            </w:r>
          </w:p>
        </w:tc>
        <w:tc>
          <w:tcPr>
            <w:tcW w:w="2835" w:type="dxa"/>
            <w:vAlign w:val="center"/>
          </w:tcPr>
          <w:p w14:paraId="7931A176">
            <w:pPr>
              <w:pStyle w:val="10"/>
            </w:pPr>
            <w:r>
              <w:t>项目名称</w:t>
            </w:r>
          </w:p>
        </w:tc>
        <w:tc>
          <w:tcPr>
            <w:tcW w:w="6095" w:type="dxa"/>
            <w:gridSpan w:val="3"/>
            <w:vAlign w:val="center"/>
          </w:tcPr>
          <w:p w14:paraId="4C793FF0">
            <w:pPr>
              <w:pStyle w:val="12"/>
            </w:pPr>
            <w:r>
              <w:t>冀财教[2025]121号/中央/2026年义教补助经费/隆尧一中（初中）公用经费</w:t>
            </w:r>
          </w:p>
        </w:tc>
      </w:tr>
      <w:tr w14:paraId="2322C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B9128">
            <w:pPr>
              <w:pStyle w:val="10"/>
            </w:pPr>
            <w:r>
              <w:t>预算规模及资金用途</w:t>
            </w:r>
          </w:p>
        </w:tc>
        <w:tc>
          <w:tcPr>
            <w:tcW w:w="2268" w:type="dxa"/>
            <w:vAlign w:val="center"/>
          </w:tcPr>
          <w:p w14:paraId="59D0D03B">
            <w:pPr>
              <w:pStyle w:val="10"/>
            </w:pPr>
            <w:r>
              <w:t>预算数</w:t>
            </w:r>
          </w:p>
        </w:tc>
        <w:tc>
          <w:tcPr>
            <w:tcW w:w="2835" w:type="dxa"/>
            <w:vAlign w:val="center"/>
          </w:tcPr>
          <w:p w14:paraId="61AF2123">
            <w:pPr>
              <w:pStyle w:val="12"/>
            </w:pPr>
            <w:r>
              <w:t>76.37</w:t>
            </w:r>
          </w:p>
        </w:tc>
        <w:tc>
          <w:tcPr>
            <w:tcW w:w="2835" w:type="dxa"/>
            <w:vAlign w:val="center"/>
          </w:tcPr>
          <w:p w14:paraId="568F0BAC">
            <w:pPr>
              <w:pStyle w:val="10"/>
            </w:pPr>
            <w:r>
              <w:t>其中：财政    资金</w:t>
            </w:r>
          </w:p>
        </w:tc>
        <w:tc>
          <w:tcPr>
            <w:tcW w:w="2551" w:type="dxa"/>
            <w:vAlign w:val="center"/>
          </w:tcPr>
          <w:p w14:paraId="15000F90">
            <w:pPr>
              <w:pStyle w:val="12"/>
            </w:pPr>
            <w:r>
              <w:t>76.37</w:t>
            </w:r>
          </w:p>
        </w:tc>
        <w:tc>
          <w:tcPr>
            <w:tcW w:w="2268" w:type="dxa"/>
            <w:vAlign w:val="center"/>
          </w:tcPr>
          <w:p w14:paraId="6F1B18FC">
            <w:pPr>
              <w:pStyle w:val="10"/>
            </w:pPr>
            <w:r>
              <w:t>其他资金</w:t>
            </w:r>
          </w:p>
        </w:tc>
        <w:tc>
          <w:tcPr>
            <w:tcW w:w="1276" w:type="dxa"/>
            <w:vAlign w:val="center"/>
          </w:tcPr>
          <w:p w14:paraId="6282A493">
            <w:pPr>
              <w:pStyle w:val="12"/>
            </w:pPr>
            <w:r>
              <w:t xml:space="preserve"> </w:t>
            </w:r>
          </w:p>
        </w:tc>
      </w:tr>
      <w:tr w14:paraId="54384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717F6"/>
        </w:tc>
        <w:tc>
          <w:tcPr>
            <w:tcW w:w="14033" w:type="dxa"/>
            <w:gridSpan w:val="6"/>
            <w:vAlign w:val="center"/>
          </w:tcPr>
          <w:p w14:paraId="4EB1D716">
            <w:pPr>
              <w:pStyle w:val="12"/>
            </w:pPr>
            <w:r>
              <w:t>有效完成学校教学安全秩序，保障学校教学任务有效开展，满足学校正常教学需要。</w:t>
            </w:r>
          </w:p>
        </w:tc>
      </w:tr>
      <w:tr w14:paraId="03413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7ECFE">
            <w:pPr>
              <w:pStyle w:val="10"/>
            </w:pPr>
            <w:r>
              <w:t>资金支出计划（%）</w:t>
            </w:r>
          </w:p>
        </w:tc>
        <w:tc>
          <w:tcPr>
            <w:tcW w:w="5103" w:type="dxa"/>
            <w:gridSpan w:val="2"/>
            <w:vAlign w:val="center"/>
          </w:tcPr>
          <w:p w14:paraId="71585994">
            <w:pPr>
              <w:pStyle w:val="10"/>
            </w:pPr>
            <w:r>
              <w:t>3月底</w:t>
            </w:r>
          </w:p>
        </w:tc>
        <w:tc>
          <w:tcPr>
            <w:tcW w:w="2835" w:type="dxa"/>
            <w:vAlign w:val="center"/>
          </w:tcPr>
          <w:p w14:paraId="59171E88">
            <w:pPr>
              <w:pStyle w:val="10"/>
            </w:pPr>
            <w:r>
              <w:t>6月底</w:t>
            </w:r>
          </w:p>
        </w:tc>
        <w:tc>
          <w:tcPr>
            <w:tcW w:w="2551" w:type="dxa"/>
            <w:vAlign w:val="center"/>
          </w:tcPr>
          <w:p w14:paraId="7DAD91D9">
            <w:pPr>
              <w:pStyle w:val="10"/>
            </w:pPr>
            <w:r>
              <w:t>10月底</w:t>
            </w:r>
          </w:p>
        </w:tc>
        <w:tc>
          <w:tcPr>
            <w:tcW w:w="3544" w:type="dxa"/>
            <w:gridSpan w:val="2"/>
            <w:vAlign w:val="center"/>
          </w:tcPr>
          <w:p w14:paraId="2091A85C">
            <w:pPr>
              <w:pStyle w:val="10"/>
            </w:pPr>
            <w:r>
              <w:t>12月底</w:t>
            </w:r>
          </w:p>
        </w:tc>
      </w:tr>
      <w:tr w14:paraId="7BC13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85A21"/>
        </w:tc>
        <w:tc>
          <w:tcPr>
            <w:tcW w:w="5103" w:type="dxa"/>
            <w:gridSpan w:val="2"/>
            <w:vAlign w:val="center"/>
          </w:tcPr>
          <w:p w14:paraId="0379175A">
            <w:pPr>
              <w:pStyle w:val="13"/>
            </w:pPr>
            <w:r>
              <w:t>25%</w:t>
            </w:r>
          </w:p>
        </w:tc>
        <w:tc>
          <w:tcPr>
            <w:tcW w:w="2835" w:type="dxa"/>
            <w:vAlign w:val="center"/>
          </w:tcPr>
          <w:p w14:paraId="2EC7B218">
            <w:pPr>
              <w:pStyle w:val="13"/>
            </w:pPr>
            <w:r>
              <w:t>50%</w:t>
            </w:r>
          </w:p>
        </w:tc>
        <w:tc>
          <w:tcPr>
            <w:tcW w:w="2551" w:type="dxa"/>
            <w:vAlign w:val="center"/>
          </w:tcPr>
          <w:p w14:paraId="07D15AE4">
            <w:pPr>
              <w:pStyle w:val="13"/>
            </w:pPr>
            <w:r>
              <w:t>75%</w:t>
            </w:r>
          </w:p>
        </w:tc>
        <w:tc>
          <w:tcPr>
            <w:tcW w:w="3544" w:type="dxa"/>
            <w:gridSpan w:val="2"/>
            <w:vAlign w:val="center"/>
          </w:tcPr>
          <w:p w14:paraId="0DA8A9BD">
            <w:pPr>
              <w:pStyle w:val="13"/>
            </w:pPr>
            <w:r>
              <w:t>100%</w:t>
            </w:r>
          </w:p>
        </w:tc>
      </w:tr>
      <w:tr w14:paraId="5EB78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D1683">
            <w:pPr>
              <w:pStyle w:val="10"/>
            </w:pPr>
            <w:r>
              <w:t>绩效目标</w:t>
            </w:r>
          </w:p>
        </w:tc>
        <w:tc>
          <w:tcPr>
            <w:tcW w:w="14033" w:type="dxa"/>
            <w:gridSpan w:val="6"/>
            <w:vAlign w:val="center"/>
          </w:tcPr>
          <w:p w14:paraId="29E5A7EA">
            <w:pPr>
              <w:pStyle w:val="12"/>
            </w:pPr>
            <w:r>
              <w:t>1.有效完成学校教学安全秩序，保障学校教学任务有效开展，满足学校正常教学需要。</w:t>
            </w:r>
          </w:p>
          <w:p w14:paraId="19219923">
            <w:pPr>
              <w:pStyle w:val="12"/>
            </w:pPr>
            <w:r>
              <w:t>2.按规定拨付公用经费资金，预算执行率≥98%。</w:t>
            </w:r>
          </w:p>
        </w:tc>
      </w:tr>
    </w:tbl>
    <w:p w14:paraId="20701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D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2F623">
            <w:pPr>
              <w:pStyle w:val="10"/>
            </w:pPr>
            <w:r>
              <w:t>一级指标</w:t>
            </w:r>
          </w:p>
        </w:tc>
        <w:tc>
          <w:tcPr>
            <w:tcW w:w="2268" w:type="dxa"/>
            <w:vAlign w:val="center"/>
          </w:tcPr>
          <w:p w14:paraId="1E88DC40">
            <w:pPr>
              <w:pStyle w:val="10"/>
            </w:pPr>
            <w:r>
              <w:t>二级指标</w:t>
            </w:r>
          </w:p>
        </w:tc>
        <w:tc>
          <w:tcPr>
            <w:tcW w:w="2835" w:type="dxa"/>
            <w:vAlign w:val="center"/>
          </w:tcPr>
          <w:p w14:paraId="53BB0B1D">
            <w:pPr>
              <w:pStyle w:val="10"/>
            </w:pPr>
            <w:r>
              <w:t>三级指标</w:t>
            </w:r>
          </w:p>
        </w:tc>
        <w:tc>
          <w:tcPr>
            <w:tcW w:w="5386" w:type="dxa"/>
            <w:vAlign w:val="center"/>
          </w:tcPr>
          <w:p w14:paraId="6BA7784A">
            <w:pPr>
              <w:pStyle w:val="10"/>
            </w:pPr>
            <w:r>
              <w:t>绩效指标描述</w:t>
            </w:r>
          </w:p>
        </w:tc>
        <w:tc>
          <w:tcPr>
            <w:tcW w:w="2268" w:type="dxa"/>
            <w:vAlign w:val="center"/>
          </w:tcPr>
          <w:p w14:paraId="1B09C9F4">
            <w:pPr>
              <w:pStyle w:val="10"/>
            </w:pPr>
            <w:r>
              <w:t>指标值</w:t>
            </w:r>
          </w:p>
        </w:tc>
        <w:tc>
          <w:tcPr>
            <w:tcW w:w="1276" w:type="dxa"/>
            <w:vAlign w:val="center"/>
          </w:tcPr>
          <w:p w14:paraId="24653D38">
            <w:pPr>
              <w:pStyle w:val="10"/>
            </w:pPr>
            <w:r>
              <w:t>指标值确定依据</w:t>
            </w:r>
          </w:p>
        </w:tc>
      </w:tr>
      <w:tr w14:paraId="6157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CAA5E">
            <w:pPr>
              <w:pStyle w:val="13"/>
            </w:pPr>
            <w:r>
              <w:t>产出指标</w:t>
            </w:r>
          </w:p>
        </w:tc>
        <w:tc>
          <w:tcPr>
            <w:tcW w:w="2268" w:type="dxa"/>
            <w:vAlign w:val="center"/>
          </w:tcPr>
          <w:p w14:paraId="217775C1">
            <w:pPr>
              <w:pStyle w:val="12"/>
            </w:pPr>
            <w:r>
              <w:t>数量指标</w:t>
            </w:r>
          </w:p>
        </w:tc>
        <w:tc>
          <w:tcPr>
            <w:tcW w:w="2835" w:type="dxa"/>
            <w:vAlign w:val="center"/>
          </w:tcPr>
          <w:p w14:paraId="3AEFCBDC">
            <w:pPr>
              <w:pStyle w:val="12"/>
            </w:pPr>
            <w:r>
              <w:t>就读学生数</w:t>
            </w:r>
          </w:p>
        </w:tc>
        <w:tc>
          <w:tcPr>
            <w:tcW w:w="5386" w:type="dxa"/>
            <w:vAlign w:val="center"/>
          </w:tcPr>
          <w:p w14:paraId="162E62B2">
            <w:pPr>
              <w:pStyle w:val="12"/>
            </w:pPr>
            <w:r>
              <w:t>辐射区域内适龄学生人数</w:t>
            </w:r>
          </w:p>
        </w:tc>
        <w:tc>
          <w:tcPr>
            <w:tcW w:w="2268" w:type="dxa"/>
            <w:vAlign w:val="center"/>
          </w:tcPr>
          <w:p w14:paraId="1452D20A">
            <w:pPr>
              <w:pStyle w:val="12"/>
            </w:pPr>
            <w:r>
              <w:t>946人</w:t>
            </w:r>
          </w:p>
        </w:tc>
        <w:tc>
          <w:tcPr>
            <w:tcW w:w="1276" w:type="dxa"/>
            <w:vAlign w:val="center"/>
          </w:tcPr>
          <w:p w14:paraId="4B42E823">
            <w:pPr>
              <w:pStyle w:val="12"/>
            </w:pPr>
            <w:r>
              <w:t>城乡义务教育公用经费管理办法</w:t>
            </w:r>
          </w:p>
        </w:tc>
      </w:tr>
      <w:tr w14:paraId="1C5E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D6CCC"/>
        </w:tc>
        <w:tc>
          <w:tcPr>
            <w:tcW w:w="2268" w:type="dxa"/>
            <w:vAlign w:val="center"/>
          </w:tcPr>
          <w:p w14:paraId="3B3C66F6">
            <w:pPr>
              <w:pStyle w:val="12"/>
            </w:pPr>
            <w:r>
              <w:t>质量指标</w:t>
            </w:r>
          </w:p>
        </w:tc>
        <w:tc>
          <w:tcPr>
            <w:tcW w:w="2835" w:type="dxa"/>
            <w:vAlign w:val="center"/>
          </w:tcPr>
          <w:p w14:paraId="0467C624">
            <w:pPr>
              <w:pStyle w:val="12"/>
            </w:pPr>
            <w:r>
              <w:t>预算执行率</w:t>
            </w:r>
          </w:p>
        </w:tc>
        <w:tc>
          <w:tcPr>
            <w:tcW w:w="5386" w:type="dxa"/>
            <w:vAlign w:val="center"/>
          </w:tcPr>
          <w:p w14:paraId="6B632849">
            <w:pPr>
              <w:pStyle w:val="12"/>
            </w:pPr>
            <w:r>
              <w:t>预算执行率</w:t>
            </w:r>
          </w:p>
        </w:tc>
        <w:tc>
          <w:tcPr>
            <w:tcW w:w="2268" w:type="dxa"/>
            <w:vAlign w:val="center"/>
          </w:tcPr>
          <w:p w14:paraId="241FB3DD">
            <w:pPr>
              <w:pStyle w:val="12"/>
            </w:pPr>
            <w:r>
              <w:t>≥98%</w:t>
            </w:r>
          </w:p>
        </w:tc>
        <w:tc>
          <w:tcPr>
            <w:tcW w:w="1276" w:type="dxa"/>
            <w:vAlign w:val="center"/>
          </w:tcPr>
          <w:p w14:paraId="17D1EE1B">
            <w:pPr>
              <w:pStyle w:val="12"/>
            </w:pPr>
            <w:r>
              <w:t>城乡义务教育公用经费管理办法</w:t>
            </w:r>
          </w:p>
        </w:tc>
      </w:tr>
      <w:tr w14:paraId="21EE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B9003"/>
        </w:tc>
        <w:tc>
          <w:tcPr>
            <w:tcW w:w="2268" w:type="dxa"/>
            <w:vAlign w:val="center"/>
          </w:tcPr>
          <w:p w14:paraId="576052BD">
            <w:pPr>
              <w:pStyle w:val="12"/>
            </w:pPr>
            <w:r>
              <w:t>时效指标</w:t>
            </w:r>
          </w:p>
        </w:tc>
        <w:tc>
          <w:tcPr>
            <w:tcW w:w="2835" w:type="dxa"/>
            <w:vAlign w:val="center"/>
          </w:tcPr>
          <w:p w14:paraId="4166B5F6">
            <w:pPr>
              <w:pStyle w:val="12"/>
            </w:pPr>
            <w:r>
              <w:t>义教经费支付完成率</w:t>
            </w:r>
          </w:p>
        </w:tc>
        <w:tc>
          <w:tcPr>
            <w:tcW w:w="5386" w:type="dxa"/>
            <w:vAlign w:val="center"/>
          </w:tcPr>
          <w:p w14:paraId="54A8D5C2">
            <w:pPr>
              <w:pStyle w:val="12"/>
            </w:pPr>
            <w:r>
              <w:t>按照序时进度完成资金支付</w:t>
            </w:r>
          </w:p>
        </w:tc>
        <w:tc>
          <w:tcPr>
            <w:tcW w:w="2268" w:type="dxa"/>
            <w:vAlign w:val="center"/>
          </w:tcPr>
          <w:p w14:paraId="028E8748">
            <w:pPr>
              <w:pStyle w:val="12"/>
            </w:pPr>
            <w:r>
              <w:t>100%</w:t>
            </w:r>
          </w:p>
        </w:tc>
        <w:tc>
          <w:tcPr>
            <w:tcW w:w="1276" w:type="dxa"/>
            <w:vAlign w:val="center"/>
          </w:tcPr>
          <w:p w14:paraId="4C997472">
            <w:pPr>
              <w:pStyle w:val="12"/>
            </w:pPr>
            <w:r>
              <w:t>城乡义务教育公用经费管理办法</w:t>
            </w:r>
          </w:p>
        </w:tc>
      </w:tr>
      <w:tr w14:paraId="4537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D58FD"/>
        </w:tc>
        <w:tc>
          <w:tcPr>
            <w:tcW w:w="2268" w:type="dxa"/>
            <w:vAlign w:val="center"/>
          </w:tcPr>
          <w:p w14:paraId="0968E271">
            <w:pPr>
              <w:pStyle w:val="12"/>
            </w:pPr>
            <w:r>
              <w:t>成本指标</w:t>
            </w:r>
          </w:p>
        </w:tc>
        <w:tc>
          <w:tcPr>
            <w:tcW w:w="2835" w:type="dxa"/>
            <w:vAlign w:val="center"/>
          </w:tcPr>
          <w:p w14:paraId="28EE7A89">
            <w:pPr>
              <w:pStyle w:val="12"/>
            </w:pPr>
            <w:r>
              <w:t>生均拨款标准</w:t>
            </w:r>
          </w:p>
        </w:tc>
        <w:tc>
          <w:tcPr>
            <w:tcW w:w="5386" w:type="dxa"/>
            <w:vAlign w:val="center"/>
          </w:tcPr>
          <w:p w14:paraId="3EBEB2C0">
            <w:pPr>
              <w:pStyle w:val="12"/>
            </w:pPr>
            <w:r>
              <w:t>我省城乡义务教育学校生均公用经费基准定额为940元/年/生，取暖费120元/年/生，住宿生补助300元/年/生的标准，随班就读学生补助7000元/生/年</w:t>
            </w:r>
          </w:p>
        </w:tc>
        <w:tc>
          <w:tcPr>
            <w:tcW w:w="2268" w:type="dxa"/>
            <w:vAlign w:val="center"/>
          </w:tcPr>
          <w:p w14:paraId="74983AFB">
            <w:pPr>
              <w:pStyle w:val="12"/>
            </w:pPr>
            <w:r>
              <w:t>1360元</w:t>
            </w:r>
          </w:p>
        </w:tc>
        <w:tc>
          <w:tcPr>
            <w:tcW w:w="1276" w:type="dxa"/>
            <w:vAlign w:val="center"/>
          </w:tcPr>
          <w:p w14:paraId="0AE2759C">
            <w:pPr>
              <w:pStyle w:val="12"/>
            </w:pPr>
            <w:r>
              <w:t>城乡义务教育公用经费管理办法</w:t>
            </w:r>
          </w:p>
        </w:tc>
      </w:tr>
      <w:tr w14:paraId="33B7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5C78C">
            <w:pPr>
              <w:pStyle w:val="13"/>
            </w:pPr>
            <w:r>
              <w:t>效益指标</w:t>
            </w:r>
          </w:p>
        </w:tc>
        <w:tc>
          <w:tcPr>
            <w:tcW w:w="2268" w:type="dxa"/>
            <w:vAlign w:val="center"/>
          </w:tcPr>
          <w:p w14:paraId="24136DF5">
            <w:pPr>
              <w:pStyle w:val="12"/>
            </w:pPr>
            <w:r>
              <w:t>社会效益指标</w:t>
            </w:r>
          </w:p>
        </w:tc>
        <w:tc>
          <w:tcPr>
            <w:tcW w:w="2835" w:type="dxa"/>
            <w:vAlign w:val="center"/>
          </w:tcPr>
          <w:p w14:paraId="0FA51812">
            <w:pPr>
              <w:pStyle w:val="12"/>
            </w:pPr>
            <w:r>
              <w:t>学校稳定率</w:t>
            </w:r>
          </w:p>
        </w:tc>
        <w:tc>
          <w:tcPr>
            <w:tcW w:w="5386" w:type="dxa"/>
            <w:vAlign w:val="center"/>
          </w:tcPr>
          <w:p w14:paraId="08053FE2">
            <w:pPr>
              <w:pStyle w:val="12"/>
            </w:pPr>
            <w:r>
              <w:t>维护学校稳定，保障学校正常教学秩序有效开展</w:t>
            </w:r>
          </w:p>
        </w:tc>
        <w:tc>
          <w:tcPr>
            <w:tcW w:w="2268" w:type="dxa"/>
            <w:vAlign w:val="center"/>
          </w:tcPr>
          <w:p w14:paraId="0E02D01B">
            <w:pPr>
              <w:pStyle w:val="12"/>
            </w:pPr>
            <w:r>
              <w:t>100%</w:t>
            </w:r>
          </w:p>
        </w:tc>
        <w:tc>
          <w:tcPr>
            <w:tcW w:w="1276" w:type="dxa"/>
            <w:vAlign w:val="center"/>
          </w:tcPr>
          <w:p w14:paraId="14FC95C2">
            <w:pPr>
              <w:pStyle w:val="12"/>
            </w:pPr>
            <w:r>
              <w:t>城乡义务教育公用经费管理办法</w:t>
            </w:r>
          </w:p>
        </w:tc>
      </w:tr>
      <w:tr w14:paraId="486C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134B4">
            <w:pPr>
              <w:pStyle w:val="13"/>
            </w:pPr>
            <w:r>
              <w:t>满意度指标</w:t>
            </w:r>
          </w:p>
        </w:tc>
        <w:tc>
          <w:tcPr>
            <w:tcW w:w="2268" w:type="dxa"/>
            <w:vAlign w:val="center"/>
          </w:tcPr>
          <w:p w14:paraId="44B40BBD">
            <w:pPr>
              <w:pStyle w:val="12"/>
            </w:pPr>
            <w:r>
              <w:t>服务对象满意度指标</w:t>
            </w:r>
          </w:p>
        </w:tc>
        <w:tc>
          <w:tcPr>
            <w:tcW w:w="2835" w:type="dxa"/>
            <w:vAlign w:val="center"/>
          </w:tcPr>
          <w:p w14:paraId="07AD16C2">
            <w:pPr>
              <w:pStyle w:val="12"/>
            </w:pPr>
            <w:r>
              <w:t>家长和学生满意度</w:t>
            </w:r>
          </w:p>
        </w:tc>
        <w:tc>
          <w:tcPr>
            <w:tcW w:w="5386" w:type="dxa"/>
            <w:vAlign w:val="center"/>
          </w:tcPr>
          <w:p w14:paraId="01AA663A">
            <w:pPr>
              <w:pStyle w:val="12"/>
            </w:pPr>
            <w:r>
              <w:t>家长和学生满意度</w:t>
            </w:r>
          </w:p>
        </w:tc>
        <w:tc>
          <w:tcPr>
            <w:tcW w:w="2268" w:type="dxa"/>
            <w:vAlign w:val="center"/>
          </w:tcPr>
          <w:p w14:paraId="75AC58C7">
            <w:pPr>
              <w:pStyle w:val="12"/>
            </w:pPr>
            <w:r>
              <w:t>≥95%</w:t>
            </w:r>
          </w:p>
        </w:tc>
        <w:tc>
          <w:tcPr>
            <w:tcW w:w="1276" w:type="dxa"/>
            <w:vAlign w:val="center"/>
          </w:tcPr>
          <w:p w14:paraId="7C516E6F">
            <w:pPr>
              <w:pStyle w:val="12"/>
            </w:pPr>
            <w:r>
              <w:t>问卷调查</w:t>
            </w:r>
          </w:p>
        </w:tc>
      </w:tr>
    </w:tbl>
    <w:p w14:paraId="2F723A12">
      <w:pPr>
        <w:sectPr>
          <w:pgSz w:w="16840" w:h="11900" w:orient="landscape"/>
          <w:pgMar w:top="1361" w:right="1020" w:bottom="1134" w:left="1020" w:header="720" w:footer="720" w:gutter="0"/>
          <w:cols w:space="720" w:num="1"/>
        </w:sectPr>
      </w:pPr>
    </w:p>
    <w:p w14:paraId="18D11D62">
      <w:pPr>
        <w:spacing w:before="0" w:after="0"/>
        <w:ind w:firstLine="560"/>
        <w:jc w:val="left"/>
        <w:outlineLvl w:val="9"/>
      </w:pPr>
      <w:r>
        <w:rPr>
          <w:rFonts w:ascii="方正仿宋_GBK" w:hAnsi="方正仿宋_GBK" w:eastAsia="方正仿宋_GBK" w:cs="方正仿宋_GBK"/>
          <w:b/>
          <w:color w:val="000000"/>
          <w:sz w:val="28"/>
        </w:rPr>
        <w:t>10、冀财教[2025]147号/省级/2026年义教补助经费/隆尧一中（初中）公用经费绩效目标表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A2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C778D">
            <w:pPr>
              <w:pStyle w:val="11"/>
            </w:pPr>
            <w:r>
              <w:t>单位：万元</w:t>
            </w:r>
          </w:p>
        </w:tc>
      </w:tr>
      <w:tr w14:paraId="15C9F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16C16">
            <w:pPr>
              <w:pStyle w:val="10"/>
            </w:pPr>
            <w:r>
              <w:t>项目编码</w:t>
            </w:r>
          </w:p>
        </w:tc>
        <w:tc>
          <w:tcPr>
            <w:tcW w:w="5103" w:type="dxa"/>
            <w:gridSpan w:val="2"/>
            <w:vAlign w:val="center"/>
          </w:tcPr>
          <w:p w14:paraId="17CE9416">
            <w:pPr>
              <w:pStyle w:val="12"/>
            </w:pPr>
            <w:r>
              <w:t>13052526P00000410319N</w:t>
            </w:r>
          </w:p>
        </w:tc>
        <w:tc>
          <w:tcPr>
            <w:tcW w:w="2835" w:type="dxa"/>
            <w:vAlign w:val="center"/>
          </w:tcPr>
          <w:p w14:paraId="2580E948">
            <w:pPr>
              <w:pStyle w:val="10"/>
            </w:pPr>
            <w:r>
              <w:t>项目名称</w:t>
            </w:r>
          </w:p>
        </w:tc>
        <w:tc>
          <w:tcPr>
            <w:tcW w:w="6095" w:type="dxa"/>
            <w:gridSpan w:val="3"/>
            <w:vAlign w:val="center"/>
          </w:tcPr>
          <w:p w14:paraId="5A0E9E85">
            <w:pPr>
              <w:pStyle w:val="12"/>
            </w:pPr>
            <w:r>
              <w:t>冀财教[2025]147号/省级/2026年义教补助经费/隆尧一中（初中）公用经费</w:t>
            </w:r>
          </w:p>
        </w:tc>
      </w:tr>
      <w:tr w14:paraId="0E619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037FB">
            <w:pPr>
              <w:pStyle w:val="10"/>
            </w:pPr>
            <w:r>
              <w:t>预算规模及资金用途</w:t>
            </w:r>
          </w:p>
        </w:tc>
        <w:tc>
          <w:tcPr>
            <w:tcW w:w="2268" w:type="dxa"/>
            <w:vAlign w:val="center"/>
          </w:tcPr>
          <w:p w14:paraId="1EAC2276">
            <w:pPr>
              <w:pStyle w:val="10"/>
            </w:pPr>
            <w:r>
              <w:t>预算数</w:t>
            </w:r>
          </w:p>
        </w:tc>
        <w:tc>
          <w:tcPr>
            <w:tcW w:w="2835" w:type="dxa"/>
            <w:vAlign w:val="center"/>
          </w:tcPr>
          <w:p w14:paraId="1371D22E">
            <w:pPr>
              <w:pStyle w:val="12"/>
            </w:pPr>
            <w:r>
              <w:t>40.14</w:t>
            </w:r>
          </w:p>
        </w:tc>
        <w:tc>
          <w:tcPr>
            <w:tcW w:w="2835" w:type="dxa"/>
            <w:vAlign w:val="center"/>
          </w:tcPr>
          <w:p w14:paraId="364305DD">
            <w:pPr>
              <w:pStyle w:val="10"/>
            </w:pPr>
            <w:r>
              <w:t>其中：财政    资金</w:t>
            </w:r>
          </w:p>
        </w:tc>
        <w:tc>
          <w:tcPr>
            <w:tcW w:w="2551" w:type="dxa"/>
            <w:vAlign w:val="center"/>
          </w:tcPr>
          <w:p w14:paraId="2917892E">
            <w:pPr>
              <w:pStyle w:val="12"/>
            </w:pPr>
            <w:r>
              <w:t>40.14</w:t>
            </w:r>
          </w:p>
        </w:tc>
        <w:tc>
          <w:tcPr>
            <w:tcW w:w="2268" w:type="dxa"/>
            <w:vAlign w:val="center"/>
          </w:tcPr>
          <w:p w14:paraId="0DE0D4A7">
            <w:pPr>
              <w:pStyle w:val="10"/>
            </w:pPr>
            <w:r>
              <w:t>其他资金</w:t>
            </w:r>
          </w:p>
        </w:tc>
        <w:tc>
          <w:tcPr>
            <w:tcW w:w="1276" w:type="dxa"/>
            <w:vAlign w:val="center"/>
          </w:tcPr>
          <w:p w14:paraId="78EB73BD">
            <w:pPr>
              <w:pStyle w:val="12"/>
            </w:pPr>
            <w:r>
              <w:t xml:space="preserve"> </w:t>
            </w:r>
          </w:p>
        </w:tc>
      </w:tr>
      <w:tr w14:paraId="61C6B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13602"/>
        </w:tc>
        <w:tc>
          <w:tcPr>
            <w:tcW w:w="14033" w:type="dxa"/>
            <w:gridSpan w:val="6"/>
            <w:vAlign w:val="center"/>
          </w:tcPr>
          <w:p w14:paraId="34A2741E">
            <w:pPr>
              <w:pStyle w:val="12"/>
            </w:pPr>
            <w:r>
              <w:t>有效完成学校教学安全秩序，保障学校教学任务有效开展，满足学校正常教学需要。</w:t>
            </w:r>
          </w:p>
        </w:tc>
      </w:tr>
      <w:tr w14:paraId="1FBE8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08461">
            <w:pPr>
              <w:pStyle w:val="10"/>
            </w:pPr>
            <w:r>
              <w:t>资金支出计划（%）</w:t>
            </w:r>
          </w:p>
        </w:tc>
        <w:tc>
          <w:tcPr>
            <w:tcW w:w="5103" w:type="dxa"/>
            <w:gridSpan w:val="2"/>
            <w:vAlign w:val="center"/>
          </w:tcPr>
          <w:p w14:paraId="75AF855B">
            <w:pPr>
              <w:pStyle w:val="10"/>
            </w:pPr>
            <w:r>
              <w:t>3月底</w:t>
            </w:r>
          </w:p>
        </w:tc>
        <w:tc>
          <w:tcPr>
            <w:tcW w:w="2835" w:type="dxa"/>
            <w:vAlign w:val="center"/>
          </w:tcPr>
          <w:p w14:paraId="5D13B603">
            <w:pPr>
              <w:pStyle w:val="10"/>
            </w:pPr>
            <w:r>
              <w:t>6月底</w:t>
            </w:r>
          </w:p>
        </w:tc>
        <w:tc>
          <w:tcPr>
            <w:tcW w:w="2551" w:type="dxa"/>
            <w:vAlign w:val="center"/>
          </w:tcPr>
          <w:p w14:paraId="6D636685">
            <w:pPr>
              <w:pStyle w:val="10"/>
            </w:pPr>
            <w:r>
              <w:t>10月底</w:t>
            </w:r>
          </w:p>
        </w:tc>
        <w:tc>
          <w:tcPr>
            <w:tcW w:w="3544" w:type="dxa"/>
            <w:gridSpan w:val="2"/>
            <w:vAlign w:val="center"/>
          </w:tcPr>
          <w:p w14:paraId="4B5535D8">
            <w:pPr>
              <w:pStyle w:val="10"/>
            </w:pPr>
            <w:r>
              <w:t>12月底</w:t>
            </w:r>
          </w:p>
        </w:tc>
      </w:tr>
      <w:tr w14:paraId="17959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5D043"/>
        </w:tc>
        <w:tc>
          <w:tcPr>
            <w:tcW w:w="5103" w:type="dxa"/>
            <w:gridSpan w:val="2"/>
            <w:vAlign w:val="center"/>
          </w:tcPr>
          <w:p w14:paraId="3EEA8184">
            <w:pPr>
              <w:pStyle w:val="13"/>
            </w:pPr>
            <w:r>
              <w:t>25%</w:t>
            </w:r>
          </w:p>
        </w:tc>
        <w:tc>
          <w:tcPr>
            <w:tcW w:w="2835" w:type="dxa"/>
            <w:vAlign w:val="center"/>
          </w:tcPr>
          <w:p w14:paraId="0222C77A">
            <w:pPr>
              <w:pStyle w:val="13"/>
            </w:pPr>
            <w:r>
              <w:t>50%</w:t>
            </w:r>
          </w:p>
        </w:tc>
        <w:tc>
          <w:tcPr>
            <w:tcW w:w="2551" w:type="dxa"/>
            <w:vAlign w:val="center"/>
          </w:tcPr>
          <w:p w14:paraId="2E1A3676">
            <w:pPr>
              <w:pStyle w:val="13"/>
            </w:pPr>
            <w:r>
              <w:t>75%</w:t>
            </w:r>
          </w:p>
        </w:tc>
        <w:tc>
          <w:tcPr>
            <w:tcW w:w="3544" w:type="dxa"/>
            <w:gridSpan w:val="2"/>
            <w:vAlign w:val="center"/>
          </w:tcPr>
          <w:p w14:paraId="358C17B4">
            <w:pPr>
              <w:pStyle w:val="13"/>
            </w:pPr>
            <w:r>
              <w:t>100%</w:t>
            </w:r>
          </w:p>
        </w:tc>
      </w:tr>
      <w:tr w14:paraId="663A2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A857B">
            <w:pPr>
              <w:pStyle w:val="10"/>
            </w:pPr>
            <w:r>
              <w:t>绩效目标</w:t>
            </w:r>
          </w:p>
        </w:tc>
        <w:tc>
          <w:tcPr>
            <w:tcW w:w="14033" w:type="dxa"/>
            <w:gridSpan w:val="6"/>
            <w:vAlign w:val="center"/>
          </w:tcPr>
          <w:p w14:paraId="52A634FE">
            <w:pPr>
              <w:pStyle w:val="12"/>
            </w:pPr>
            <w:r>
              <w:t>1.按规定拨付公用经费资金，预算执行率≥98%。</w:t>
            </w:r>
          </w:p>
          <w:p w14:paraId="610EC89D">
            <w:pPr>
              <w:pStyle w:val="12"/>
            </w:pPr>
            <w:r>
              <w:t>2.有效完成学校教学安全秩序，保障学校教学任务有效开展，满足学校正常教学需要。</w:t>
            </w:r>
          </w:p>
        </w:tc>
      </w:tr>
    </w:tbl>
    <w:p w14:paraId="68C8F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1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2254F">
            <w:pPr>
              <w:pStyle w:val="10"/>
            </w:pPr>
            <w:r>
              <w:t>一级指标</w:t>
            </w:r>
          </w:p>
        </w:tc>
        <w:tc>
          <w:tcPr>
            <w:tcW w:w="2268" w:type="dxa"/>
            <w:vAlign w:val="center"/>
          </w:tcPr>
          <w:p w14:paraId="5708390E">
            <w:pPr>
              <w:pStyle w:val="10"/>
            </w:pPr>
            <w:r>
              <w:t>二级指标</w:t>
            </w:r>
          </w:p>
        </w:tc>
        <w:tc>
          <w:tcPr>
            <w:tcW w:w="2835" w:type="dxa"/>
            <w:vAlign w:val="center"/>
          </w:tcPr>
          <w:p w14:paraId="72B1B4E2">
            <w:pPr>
              <w:pStyle w:val="10"/>
            </w:pPr>
            <w:r>
              <w:t>三级指标</w:t>
            </w:r>
          </w:p>
        </w:tc>
        <w:tc>
          <w:tcPr>
            <w:tcW w:w="5386" w:type="dxa"/>
            <w:vAlign w:val="center"/>
          </w:tcPr>
          <w:p w14:paraId="2329836E">
            <w:pPr>
              <w:pStyle w:val="10"/>
            </w:pPr>
            <w:r>
              <w:t>绩效指标描述</w:t>
            </w:r>
          </w:p>
        </w:tc>
        <w:tc>
          <w:tcPr>
            <w:tcW w:w="2268" w:type="dxa"/>
            <w:vAlign w:val="center"/>
          </w:tcPr>
          <w:p w14:paraId="1D0F1ECB">
            <w:pPr>
              <w:pStyle w:val="10"/>
            </w:pPr>
            <w:r>
              <w:t>指标值</w:t>
            </w:r>
          </w:p>
        </w:tc>
        <w:tc>
          <w:tcPr>
            <w:tcW w:w="1276" w:type="dxa"/>
            <w:vAlign w:val="center"/>
          </w:tcPr>
          <w:p w14:paraId="2E5D18E7">
            <w:pPr>
              <w:pStyle w:val="10"/>
            </w:pPr>
            <w:r>
              <w:t>指标值确定依据</w:t>
            </w:r>
          </w:p>
        </w:tc>
      </w:tr>
      <w:tr w14:paraId="7BF1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12D28">
            <w:pPr>
              <w:pStyle w:val="13"/>
            </w:pPr>
            <w:r>
              <w:t>产出指标</w:t>
            </w:r>
          </w:p>
        </w:tc>
        <w:tc>
          <w:tcPr>
            <w:tcW w:w="2268" w:type="dxa"/>
            <w:vAlign w:val="center"/>
          </w:tcPr>
          <w:p w14:paraId="0F77793E">
            <w:pPr>
              <w:pStyle w:val="12"/>
            </w:pPr>
            <w:r>
              <w:t>数量指标</w:t>
            </w:r>
          </w:p>
        </w:tc>
        <w:tc>
          <w:tcPr>
            <w:tcW w:w="2835" w:type="dxa"/>
            <w:vAlign w:val="center"/>
          </w:tcPr>
          <w:p w14:paraId="0A96A2AE">
            <w:pPr>
              <w:pStyle w:val="12"/>
            </w:pPr>
            <w:r>
              <w:t>就读学生数</w:t>
            </w:r>
          </w:p>
        </w:tc>
        <w:tc>
          <w:tcPr>
            <w:tcW w:w="5386" w:type="dxa"/>
            <w:vAlign w:val="center"/>
          </w:tcPr>
          <w:p w14:paraId="0F4D7C39">
            <w:pPr>
              <w:pStyle w:val="12"/>
            </w:pPr>
            <w:r>
              <w:t>辐射区域内适龄学生人数</w:t>
            </w:r>
          </w:p>
        </w:tc>
        <w:tc>
          <w:tcPr>
            <w:tcW w:w="2268" w:type="dxa"/>
            <w:vAlign w:val="center"/>
          </w:tcPr>
          <w:p w14:paraId="0D30247A">
            <w:pPr>
              <w:pStyle w:val="12"/>
            </w:pPr>
            <w:r>
              <w:t>946人</w:t>
            </w:r>
          </w:p>
        </w:tc>
        <w:tc>
          <w:tcPr>
            <w:tcW w:w="1276" w:type="dxa"/>
            <w:vAlign w:val="center"/>
          </w:tcPr>
          <w:p w14:paraId="7D201604">
            <w:pPr>
              <w:pStyle w:val="12"/>
            </w:pPr>
            <w:r>
              <w:t>城乡义务教育公用经费管理办法</w:t>
            </w:r>
          </w:p>
        </w:tc>
      </w:tr>
      <w:tr w14:paraId="4160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5C901"/>
        </w:tc>
        <w:tc>
          <w:tcPr>
            <w:tcW w:w="2268" w:type="dxa"/>
            <w:vAlign w:val="center"/>
          </w:tcPr>
          <w:p w14:paraId="00B60B28">
            <w:pPr>
              <w:pStyle w:val="12"/>
            </w:pPr>
            <w:r>
              <w:t>质量指标</w:t>
            </w:r>
          </w:p>
        </w:tc>
        <w:tc>
          <w:tcPr>
            <w:tcW w:w="2835" w:type="dxa"/>
            <w:vAlign w:val="center"/>
          </w:tcPr>
          <w:p w14:paraId="6F87369C">
            <w:pPr>
              <w:pStyle w:val="12"/>
            </w:pPr>
            <w:r>
              <w:t>预算执行率</w:t>
            </w:r>
          </w:p>
        </w:tc>
        <w:tc>
          <w:tcPr>
            <w:tcW w:w="5386" w:type="dxa"/>
            <w:vAlign w:val="center"/>
          </w:tcPr>
          <w:p w14:paraId="7CFAE365">
            <w:pPr>
              <w:pStyle w:val="12"/>
            </w:pPr>
            <w:r>
              <w:t>预算执行率</w:t>
            </w:r>
          </w:p>
        </w:tc>
        <w:tc>
          <w:tcPr>
            <w:tcW w:w="2268" w:type="dxa"/>
            <w:vAlign w:val="center"/>
          </w:tcPr>
          <w:p w14:paraId="780E080F">
            <w:pPr>
              <w:pStyle w:val="12"/>
            </w:pPr>
            <w:r>
              <w:t>≥98%</w:t>
            </w:r>
          </w:p>
        </w:tc>
        <w:tc>
          <w:tcPr>
            <w:tcW w:w="1276" w:type="dxa"/>
            <w:vAlign w:val="center"/>
          </w:tcPr>
          <w:p w14:paraId="41CB570C">
            <w:pPr>
              <w:pStyle w:val="12"/>
            </w:pPr>
            <w:r>
              <w:t>城乡义务教育公用经费管理办法</w:t>
            </w:r>
          </w:p>
        </w:tc>
      </w:tr>
      <w:tr w14:paraId="023F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2B719"/>
        </w:tc>
        <w:tc>
          <w:tcPr>
            <w:tcW w:w="2268" w:type="dxa"/>
            <w:vAlign w:val="center"/>
          </w:tcPr>
          <w:p w14:paraId="4E2F2D8B">
            <w:pPr>
              <w:pStyle w:val="12"/>
            </w:pPr>
            <w:r>
              <w:t>时效指标</w:t>
            </w:r>
          </w:p>
        </w:tc>
        <w:tc>
          <w:tcPr>
            <w:tcW w:w="2835" w:type="dxa"/>
            <w:vAlign w:val="center"/>
          </w:tcPr>
          <w:p w14:paraId="629A599C">
            <w:pPr>
              <w:pStyle w:val="12"/>
            </w:pPr>
            <w:r>
              <w:t>义教经费支付完成率</w:t>
            </w:r>
          </w:p>
        </w:tc>
        <w:tc>
          <w:tcPr>
            <w:tcW w:w="5386" w:type="dxa"/>
            <w:vAlign w:val="center"/>
          </w:tcPr>
          <w:p w14:paraId="0612519A">
            <w:pPr>
              <w:pStyle w:val="12"/>
            </w:pPr>
            <w:r>
              <w:t>按照序时进度完成资金支付</w:t>
            </w:r>
          </w:p>
        </w:tc>
        <w:tc>
          <w:tcPr>
            <w:tcW w:w="2268" w:type="dxa"/>
            <w:vAlign w:val="center"/>
          </w:tcPr>
          <w:p w14:paraId="1E9B578B">
            <w:pPr>
              <w:pStyle w:val="12"/>
            </w:pPr>
            <w:r>
              <w:t>100%</w:t>
            </w:r>
          </w:p>
        </w:tc>
        <w:tc>
          <w:tcPr>
            <w:tcW w:w="1276" w:type="dxa"/>
            <w:vAlign w:val="center"/>
          </w:tcPr>
          <w:p w14:paraId="49504AA1">
            <w:pPr>
              <w:pStyle w:val="12"/>
            </w:pPr>
            <w:r>
              <w:t>城乡义务教育公用经费管理办法</w:t>
            </w:r>
          </w:p>
        </w:tc>
      </w:tr>
      <w:tr w14:paraId="79C7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398F1"/>
        </w:tc>
        <w:tc>
          <w:tcPr>
            <w:tcW w:w="2268" w:type="dxa"/>
            <w:vAlign w:val="center"/>
          </w:tcPr>
          <w:p w14:paraId="4747319D">
            <w:pPr>
              <w:pStyle w:val="12"/>
            </w:pPr>
            <w:r>
              <w:t>成本指标</w:t>
            </w:r>
          </w:p>
        </w:tc>
        <w:tc>
          <w:tcPr>
            <w:tcW w:w="2835" w:type="dxa"/>
            <w:vAlign w:val="center"/>
          </w:tcPr>
          <w:p w14:paraId="4EC7D21A">
            <w:pPr>
              <w:pStyle w:val="12"/>
            </w:pPr>
            <w:r>
              <w:t>生均拨款标准</w:t>
            </w:r>
          </w:p>
        </w:tc>
        <w:tc>
          <w:tcPr>
            <w:tcW w:w="5386" w:type="dxa"/>
            <w:vAlign w:val="center"/>
          </w:tcPr>
          <w:p w14:paraId="7E8CC184">
            <w:pPr>
              <w:pStyle w:val="12"/>
            </w:pPr>
            <w:r>
              <w:t>我省城乡义务教育学校生均公用经费基准定额为940元/年/生，取暖费120元/年/生，住宿生补助300元/年/生的标准，随班就读学生补助7000元/生/年</w:t>
            </w:r>
          </w:p>
        </w:tc>
        <w:tc>
          <w:tcPr>
            <w:tcW w:w="2268" w:type="dxa"/>
            <w:vAlign w:val="center"/>
          </w:tcPr>
          <w:p w14:paraId="56015167">
            <w:pPr>
              <w:pStyle w:val="12"/>
            </w:pPr>
            <w:r>
              <w:t>1360元</w:t>
            </w:r>
          </w:p>
        </w:tc>
        <w:tc>
          <w:tcPr>
            <w:tcW w:w="1276" w:type="dxa"/>
            <w:vAlign w:val="center"/>
          </w:tcPr>
          <w:p w14:paraId="111E667C">
            <w:pPr>
              <w:pStyle w:val="12"/>
            </w:pPr>
            <w:r>
              <w:t>城乡义务教育公用经费管理办法</w:t>
            </w:r>
          </w:p>
        </w:tc>
      </w:tr>
      <w:tr w14:paraId="365A7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2B79F">
            <w:pPr>
              <w:pStyle w:val="13"/>
            </w:pPr>
            <w:r>
              <w:t>效益指标</w:t>
            </w:r>
          </w:p>
        </w:tc>
        <w:tc>
          <w:tcPr>
            <w:tcW w:w="2268" w:type="dxa"/>
            <w:vAlign w:val="center"/>
          </w:tcPr>
          <w:p w14:paraId="32119BEA">
            <w:pPr>
              <w:pStyle w:val="12"/>
            </w:pPr>
            <w:r>
              <w:t>社会效益指标</w:t>
            </w:r>
          </w:p>
        </w:tc>
        <w:tc>
          <w:tcPr>
            <w:tcW w:w="2835" w:type="dxa"/>
            <w:vAlign w:val="center"/>
          </w:tcPr>
          <w:p w14:paraId="5016A45F">
            <w:pPr>
              <w:pStyle w:val="12"/>
            </w:pPr>
            <w:r>
              <w:t>学校稳定率</w:t>
            </w:r>
          </w:p>
        </w:tc>
        <w:tc>
          <w:tcPr>
            <w:tcW w:w="5386" w:type="dxa"/>
            <w:vAlign w:val="center"/>
          </w:tcPr>
          <w:p w14:paraId="2ECB4E05">
            <w:pPr>
              <w:pStyle w:val="12"/>
            </w:pPr>
            <w:r>
              <w:t>维护学校稳定，保障学校正常教学秩序有效开展</w:t>
            </w:r>
          </w:p>
        </w:tc>
        <w:tc>
          <w:tcPr>
            <w:tcW w:w="2268" w:type="dxa"/>
            <w:vAlign w:val="center"/>
          </w:tcPr>
          <w:p w14:paraId="5C213DD6">
            <w:pPr>
              <w:pStyle w:val="12"/>
            </w:pPr>
            <w:r>
              <w:t>100%</w:t>
            </w:r>
          </w:p>
        </w:tc>
        <w:tc>
          <w:tcPr>
            <w:tcW w:w="1276" w:type="dxa"/>
            <w:vAlign w:val="center"/>
          </w:tcPr>
          <w:p w14:paraId="59F47FA2">
            <w:pPr>
              <w:pStyle w:val="12"/>
            </w:pPr>
            <w:r>
              <w:t>城乡义务教育公用经费管理办法</w:t>
            </w:r>
          </w:p>
        </w:tc>
      </w:tr>
      <w:tr w14:paraId="1460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E929F">
            <w:pPr>
              <w:pStyle w:val="13"/>
            </w:pPr>
            <w:r>
              <w:t>满意度指标</w:t>
            </w:r>
          </w:p>
        </w:tc>
        <w:tc>
          <w:tcPr>
            <w:tcW w:w="2268" w:type="dxa"/>
            <w:vAlign w:val="center"/>
          </w:tcPr>
          <w:p w14:paraId="48291E49">
            <w:pPr>
              <w:pStyle w:val="12"/>
            </w:pPr>
            <w:r>
              <w:t>服务对象满意度指标</w:t>
            </w:r>
          </w:p>
        </w:tc>
        <w:tc>
          <w:tcPr>
            <w:tcW w:w="2835" w:type="dxa"/>
            <w:vAlign w:val="center"/>
          </w:tcPr>
          <w:p w14:paraId="093F7795">
            <w:pPr>
              <w:pStyle w:val="12"/>
            </w:pPr>
            <w:r>
              <w:t>家长和学生满意度</w:t>
            </w:r>
          </w:p>
        </w:tc>
        <w:tc>
          <w:tcPr>
            <w:tcW w:w="5386" w:type="dxa"/>
            <w:vAlign w:val="center"/>
          </w:tcPr>
          <w:p w14:paraId="701CA1B0">
            <w:pPr>
              <w:pStyle w:val="12"/>
            </w:pPr>
            <w:r>
              <w:t>家长和学生满意度</w:t>
            </w:r>
          </w:p>
        </w:tc>
        <w:tc>
          <w:tcPr>
            <w:tcW w:w="2268" w:type="dxa"/>
            <w:vAlign w:val="center"/>
          </w:tcPr>
          <w:p w14:paraId="6D1CC75F">
            <w:pPr>
              <w:pStyle w:val="12"/>
            </w:pPr>
            <w:r>
              <w:t>≥95%</w:t>
            </w:r>
          </w:p>
        </w:tc>
        <w:tc>
          <w:tcPr>
            <w:tcW w:w="1276" w:type="dxa"/>
            <w:vAlign w:val="center"/>
          </w:tcPr>
          <w:p w14:paraId="40DDCF45">
            <w:pPr>
              <w:pStyle w:val="12"/>
            </w:pPr>
            <w:r>
              <w:t>问卷调查</w:t>
            </w:r>
          </w:p>
        </w:tc>
      </w:tr>
    </w:tbl>
    <w:p w14:paraId="780F9F83">
      <w:pPr>
        <w:sectPr>
          <w:pgSz w:w="16840" w:h="11900" w:orient="landscape"/>
          <w:pgMar w:top="1361" w:right="1020" w:bottom="1134" w:left="1020" w:header="720" w:footer="720" w:gutter="0"/>
          <w:cols w:space="720" w:num="1"/>
        </w:sectPr>
      </w:pPr>
    </w:p>
    <w:p w14:paraId="5B7D715B">
      <w:pPr>
        <w:spacing w:before="0" w:after="0"/>
        <w:ind w:firstLine="560"/>
        <w:jc w:val="left"/>
        <w:outlineLvl w:val="9"/>
      </w:pPr>
      <w:r>
        <w:rPr>
          <w:rFonts w:ascii="方正仿宋_GBK" w:hAnsi="方正仿宋_GBK" w:eastAsia="方正仿宋_GBK" w:cs="方正仿宋_GBK"/>
          <w:b/>
          <w:color w:val="000000"/>
          <w:sz w:val="28"/>
        </w:rPr>
        <w:t>11、冀财教[2025]150号/省级/2026年普通高中资金/普通高中三免（一中高中）建档立卡</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F5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8ECCA">
            <w:pPr>
              <w:pStyle w:val="11"/>
            </w:pPr>
            <w:r>
              <w:t>单位：万元</w:t>
            </w:r>
          </w:p>
        </w:tc>
      </w:tr>
      <w:tr w14:paraId="401C1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7DC35">
            <w:pPr>
              <w:pStyle w:val="10"/>
            </w:pPr>
            <w:r>
              <w:t>项目编码</w:t>
            </w:r>
          </w:p>
        </w:tc>
        <w:tc>
          <w:tcPr>
            <w:tcW w:w="5103" w:type="dxa"/>
            <w:gridSpan w:val="2"/>
            <w:vAlign w:val="center"/>
          </w:tcPr>
          <w:p w14:paraId="03B45C51">
            <w:pPr>
              <w:pStyle w:val="12"/>
            </w:pPr>
            <w:r>
              <w:t>13052526P00001210065K</w:t>
            </w:r>
          </w:p>
        </w:tc>
        <w:tc>
          <w:tcPr>
            <w:tcW w:w="2835" w:type="dxa"/>
            <w:vAlign w:val="center"/>
          </w:tcPr>
          <w:p w14:paraId="7D5E5FE6">
            <w:pPr>
              <w:pStyle w:val="10"/>
            </w:pPr>
            <w:r>
              <w:t>项目名称</w:t>
            </w:r>
          </w:p>
        </w:tc>
        <w:tc>
          <w:tcPr>
            <w:tcW w:w="6095" w:type="dxa"/>
            <w:gridSpan w:val="3"/>
            <w:vAlign w:val="center"/>
          </w:tcPr>
          <w:p w14:paraId="2A5FEA55">
            <w:pPr>
              <w:pStyle w:val="12"/>
            </w:pPr>
            <w:r>
              <w:t>冀财教[2025]150号/省级/2026年普通高中资金/普通高中三免（一中高中）建档立卡</w:t>
            </w:r>
            <w:r>
              <w:tab/>
            </w:r>
          </w:p>
        </w:tc>
      </w:tr>
      <w:tr w14:paraId="3B9E5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3866D">
            <w:pPr>
              <w:pStyle w:val="10"/>
            </w:pPr>
            <w:r>
              <w:t>预算规模及资金用途</w:t>
            </w:r>
          </w:p>
        </w:tc>
        <w:tc>
          <w:tcPr>
            <w:tcW w:w="2268" w:type="dxa"/>
            <w:vAlign w:val="center"/>
          </w:tcPr>
          <w:p w14:paraId="2B534DCB">
            <w:pPr>
              <w:pStyle w:val="10"/>
            </w:pPr>
            <w:r>
              <w:t>预算数</w:t>
            </w:r>
          </w:p>
        </w:tc>
        <w:tc>
          <w:tcPr>
            <w:tcW w:w="2835" w:type="dxa"/>
            <w:vAlign w:val="center"/>
          </w:tcPr>
          <w:p w14:paraId="055349BE">
            <w:pPr>
              <w:pStyle w:val="12"/>
            </w:pPr>
            <w:r>
              <w:t>37.00</w:t>
            </w:r>
          </w:p>
        </w:tc>
        <w:tc>
          <w:tcPr>
            <w:tcW w:w="2835" w:type="dxa"/>
            <w:vAlign w:val="center"/>
          </w:tcPr>
          <w:p w14:paraId="09B9E067">
            <w:pPr>
              <w:pStyle w:val="10"/>
            </w:pPr>
            <w:r>
              <w:t>其中：财政    资金</w:t>
            </w:r>
          </w:p>
        </w:tc>
        <w:tc>
          <w:tcPr>
            <w:tcW w:w="2551" w:type="dxa"/>
            <w:vAlign w:val="center"/>
          </w:tcPr>
          <w:p w14:paraId="69185630">
            <w:pPr>
              <w:pStyle w:val="12"/>
            </w:pPr>
            <w:r>
              <w:t>37.00</w:t>
            </w:r>
          </w:p>
        </w:tc>
        <w:tc>
          <w:tcPr>
            <w:tcW w:w="2268" w:type="dxa"/>
            <w:vAlign w:val="center"/>
          </w:tcPr>
          <w:p w14:paraId="3C5BDD43">
            <w:pPr>
              <w:pStyle w:val="10"/>
            </w:pPr>
            <w:r>
              <w:t>其他资金</w:t>
            </w:r>
          </w:p>
        </w:tc>
        <w:tc>
          <w:tcPr>
            <w:tcW w:w="1276" w:type="dxa"/>
            <w:vAlign w:val="center"/>
          </w:tcPr>
          <w:p w14:paraId="3366D2AE">
            <w:pPr>
              <w:pStyle w:val="12"/>
            </w:pPr>
            <w:r>
              <w:t xml:space="preserve"> </w:t>
            </w:r>
          </w:p>
        </w:tc>
      </w:tr>
      <w:tr w14:paraId="744F0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CAE90"/>
        </w:tc>
        <w:tc>
          <w:tcPr>
            <w:tcW w:w="14033" w:type="dxa"/>
            <w:gridSpan w:val="6"/>
            <w:vAlign w:val="center"/>
          </w:tcPr>
          <w:p w14:paraId="64D0F319">
            <w:pPr>
              <w:pStyle w:val="12"/>
            </w:pPr>
            <w:r>
              <w:t>深入宣传学生免学费政策，落实普通高中建档立卡家庭困难学生免除学杂费政策</w:t>
            </w:r>
          </w:p>
        </w:tc>
      </w:tr>
      <w:tr w14:paraId="03DF2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8D6B9">
            <w:pPr>
              <w:pStyle w:val="10"/>
            </w:pPr>
            <w:r>
              <w:t>资金支出计划（%）</w:t>
            </w:r>
          </w:p>
        </w:tc>
        <w:tc>
          <w:tcPr>
            <w:tcW w:w="5103" w:type="dxa"/>
            <w:gridSpan w:val="2"/>
            <w:vAlign w:val="center"/>
          </w:tcPr>
          <w:p w14:paraId="6F8EEEA2">
            <w:pPr>
              <w:pStyle w:val="10"/>
            </w:pPr>
            <w:r>
              <w:t>3月底</w:t>
            </w:r>
          </w:p>
        </w:tc>
        <w:tc>
          <w:tcPr>
            <w:tcW w:w="2835" w:type="dxa"/>
            <w:vAlign w:val="center"/>
          </w:tcPr>
          <w:p w14:paraId="14F315A6">
            <w:pPr>
              <w:pStyle w:val="10"/>
            </w:pPr>
            <w:r>
              <w:t>6月底</w:t>
            </w:r>
          </w:p>
        </w:tc>
        <w:tc>
          <w:tcPr>
            <w:tcW w:w="2551" w:type="dxa"/>
            <w:vAlign w:val="center"/>
          </w:tcPr>
          <w:p w14:paraId="5447019D">
            <w:pPr>
              <w:pStyle w:val="10"/>
            </w:pPr>
            <w:r>
              <w:t>10月底</w:t>
            </w:r>
          </w:p>
        </w:tc>
        <w:tc>
          <w:tcPr>
            <w:tcW w:w="3544" w:type="dxa"/>
            <w:gridSpan w:val="2"/>
            <w:vAlign w:val="center"/>
          </w:tcPr>
          <w:p w14:paraId="60AC1881">
            <w:pPr>
              <w:pStyle w:val="10"/>
            </w:pPr>
            <w:r>
              <w:t>12月底</w:t>
            </w:r>
          </w:p>
        </w:tc>
      </w:tr>
      <w:tr w14:paraId="2DE69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20A09"/>
        </w:tc>
        <w:tc>
          <w:tcPr>
            <w:tcW w:w="5103" w:type="dxa"/>
            <w:gridSpan w:val="2"/>
            <w:vAlign w:val="center"/>
          </w:tcPr>
          <w:p w14:paraId="23835028">
            <w:pPr>
              <w:pStyle w:val="13"/>
            </w:pPr>
            <w:r>
              <w:t xml:space="preserve"> </w:t>
            </w:r>
          </w:p>
        </w:tc>
        <w:tc>
          <w:tcPr>
            <w:tcW w:w="2835" w:type="dxa"/>
            <w:vAlign w:val="center"/>
          </w:tcPr>
          <w:p w14:paraId="57498F3F">
            <w:pPr>
              <w:pStyle w:val="13"/>
            </w:pPr>
            <w:r>
              <w:t xml:space="preserve"> </w:t>
            </w:r>
          </w:p>
        </w:tc>
        <w:tc>
          <w:tcPr>
            <w:tcW w:w="2551" w:type="dxa"/>
            <w:vAlign w:val="center"/>
          </w:tcPr>
          <w:p w14:paraId="44B3A4A8">
            <w:pPr>
              <w:pStyle w:val="13"/>
            </w:pPr>
            <w:r>
              <w:t>100%</w:t>
            </w:r>
          </w:p>
        </w:tc>
        <w:tc>
          <w:tcPr>
            <w:tcW w:w="3544" w:type="dxa"/>
            <w:gridSpan w:val="2"/>
            <w:vAlign w:val="center"/>
          </w:tcPr>
          <w:p w14:paraId="4C01BC96">
            <w:pPr>
              <w:pStyle w:val="13"/>
            </w:pPr>
            <w:r>
              <w:t>100%</w:t>
            </w:r>
          </w:p>
        </w:tc>
      </w:tr>
      <w:tr w14:paraId="2CBFF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1FBD4">
            <w:pPr>
              <w:pStyle w:val="10"/>
            </w:pPr>
            <w:r>
              <w:t>绩效目标</w:t>
            </w:r>
          </w:p>
        </w:tc>
        <w:tc>
          <w:tcPr>
            <w:tcW w:w="14033" w:type="dxa"/>
            <w:gridSpan w:val="6"/>
            <w:vAlign w:val="center"/>
          </w:tcPr>
          <w:p w14:paraId="1FDE2192">
            <w:pPr>
              <w:pStyle w:val="12"/>
            </w:pPr>
            <w:r>
              <w:t>1.深入宣传学生免学费政策，落实普通高中建档立卡家庭困难学生免除学杂费政策</w:t>
            </w:r>
          </w:p>
          <w:p w14:paraId="7250C77C">
            <w:pPr>
              <w:pStyle w:val="12"/>
            </w:pPr>
            <w:r>
              <w:t>2.减轻农民负担，增强普通高中教育的吸引力，加快县域经济发展</w:t>
            </w:r>
          </w:p>
          <w:p w14:paraId="5DEA5241">
            <w:pPr>
              <w:pStyle w:val="12"/>
            </w:pPr>
            <w:r>
              <w:t>3.省级三免资金370000元，改善学校办学条件，普通高中教育招生增加，学生流失率下降，促进教育均衡发展</w:t>
            </w:r>
          </w:p>
        </w:tc>
      </w:tr>
    </w:tbl>
    <w:p w14:paraId="61044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3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36737">
            <w:pPr>
              <w:pStyle w:val="10"/>
            </w:pPr>
            <w:r>
              <w:t>一级指标</w:t>
            </w:r>
          </w:p>
        </w:tc>
        <w:tc>
          <w:tcPr>
            <w:tcW w:w="2268" w:type="dxa"/>
            <w:vAlign w:val="center"/>
          </w:tcPr>
          <w:p w14:paraId="6C329DAB">
            <w:pPr>
              <w:pStyle w:val="10"/>
            </w:pPr>
            <w:r>
              <w:t>二级指标</w:t>
            </w:r>
          </w:p>
        </w:tc>
        <w:tc>
          <w:tcPr>
            <w:tcW w:w="2835" w:type="dxa"/>
            <w:vAlign w:val="center"/>
          </w:tcPr>
          <w:p w14:paraId="463D2910">
            <w:pPr>
              <w:pStyle w:val="10"/>
            </w:pPr>
            <w:r>
              <w:t>三级指标</w:t>
            </w:r>
          </w:p>
        </w:tc>
        <w:tc>
          <w:tcPr>
            <w:tcW w:w="5386" w:type="dxa"/>
            <w:vAlign w:val="center"/>
          </w:tcPr>
          <w:p w14:paraId="14CF2A22">
            <w:pPr>
              <w:pStyle w:val="10"/>
            </w:pPr>
            <w:r>
              <w:t>绩效指标描述</w:t>
            </w:r>
          </w:p>
        </w:tc>
        <w:tc>
          <w:tcPr>
            <w:tcW w:w="2268" w:type="dxa"/>
            <w:vAlign w:val="center"/>
          </w:tcPr>
          <w:p w14:paraId="16DDD70E">
            <w:pPr>
              <w:pStyle w:val="10"/>
            </w:pPr>
            <w:r>
              <w:t>指标值</w:t>
            </w:r>
          </w:p>
        </w:tc>
        <w:tc>
          <w:tcPr>
            <w:tcW w:w="1276" w:type="dxa"/>
            <w:vAlign w:val="center"/>
          </w:tcPr>
          <w:p w14:paraId="1ED54632">
            <w:pPr>
              <w:pStyle w:val="10"/>
            </w:pPr>
            <w:r>
              <w:t>指标值确定依据</w:t>
            </w:r>
          </w:p>
        </w:tc>
      </w:tr>
      <w:tr w14:paraId="68B1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81594">
            <w:pPr>
              <w:pStyle w:val="13"/>
            </w:pPr>
            <w:r>
              <w:t>产出指标</w:t>
            </w:r>
          </w:p>
        </w:tc>
        <w:tc>
          <w:tcPr>
            <w:tcW w:w="2268" w:type="dxa"/>
            <w:vAlign w:val="center"/>
          </w:tcPr>
          <w:p w14:paraId="18197720">
            <w:pPr>
              <w:pStyle w:val="12"/>
            </w:pPr>
            <w:r>
              <w:t>数量指标</w:t>
            </w:r>
          </w:p>
        </w:tc>
        <w:tc>
          <w:tcPr>
            <w:tcW w:w="2835" w:type="dxa"/>
            <w:vAlign w:val="center"/>
          </w:tcPr>
          <w:p w14:paraId="55150166">
            <w:pPr>
              <w:pStyle w:val="12"/>
            </w:pPr>
            <w:r>
              <w:t>普通高中资助人数</w:t>
            </w:r>
          </w:p>
        </w:tc>
        <w:tc>
          <w:tcPr>
            <w:tcW w:w="5386" w:type="dxa"/>
            <w:vAlign w:val="center"/>
          </w:tcPr>
          <w:p w14:paraId="0CE13802">
            <w:pPr>
              <w:pStyle w:val="12"/>
            </w:pPr>
            <w:r>
              <w:t>在我校就读具有正式注册学籍的建档立卡家庭学生</w:t>
            </w:r>
          </w:p>
        </w:tc>
        <w:tc>
          <w:tcPr>
            <w:tcW w:w="2268" w:type="dxa"/>
            <w:vAlign w:val="center"/>
          </w:tcPr>
          <w:p w14:paraId="30BBDC00">
            <w:pPr>
              <w:pStyle w:val="12"/>
            </w:pPr>
            <w:r>
              <w:t>≥271人</w:t>
            </w:r>
          </w:p>
        </w:tc>
        <w:tc>
          <w:tcPr>
            <w:tcW w:w="1276" w:type="dxa"/>
            <w:vAlign w:val="center"/>
          </w:tcPr>
          <w:p w14:paraId="0C030ACD">
            <w:pPr>
              <w:pStyle w:val="12"/>
            </w:pPr>
            <w:r>
              <w:t>年度预算</w:t>
            </w:r>
          </w:p>
        </w:tc>
      </w:tr>
      <w:tr w14:paraId="33B2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7EC82"/>
        </w:tc>
        <w:tc>
          <w:tcPr>
            <w:tcW w:w="2268" w:type="dxa"/>
            <w:vAlign w:val="center"/>
          </w:tcPr>
          <w:p w14:paraId="4302F4AD">
            <w:pPr>
              <w:pStyle w:val="12"/>
            </w:pPr>
            <w:r>
              <w:t>质量指标</w:t>
            </w:r>
          </w:p>
        </w:tc>
        <w:tc>
          <w:tcPr>
            <w:tcW w:w="2835" w:type="dxa"/>
            <w:vAlign w:val="center"/>
          </w:tcPr>
          <w:p w14:paraId="60235D93">
            <w:pPr>
              <w:pStyle w:val="12"/>
            </w:pPr>
            <w:r>
              <w:t>成立评审小组</w:t>
            </w:r>
          </w:p>
        </w:tc>
        <w:tc>
          <w:tcPr>
            <w:tcW w:w="5386" w:type="dxa"/>
            <w:vAlign w:val="center"/>
          </w:tcPr>
          <w:p w14:paraId="0432DC22">
            <w:pPr>
              <w:pStyle w:val="12"/>
            </w:pPr>
            <w:r>
              <w:t>成立普通高中贫困资助评审小组，建立监督检查制度</w:t>
            </w:r>
          </w:p>
        </w:tc>
        <w:tc>
          <w:tcPr>
            <w:tcW w:w="2268" w:type="dxa"/>
            <w:vAlign w:val="center"/>
          </w:tcPr>
          <w:p w14:paraId="41B69DC2">
            <w:pPr>
              <w:pStyle w:val="12"/>
            </w:pPr>
            <w:r>
              <w:t>1小组</w:t>
            </w:r>
          </w:p>
        </w:tc>
        <w:tc>
          <w:tcPr>
            <w:tcW w:w="1276" w:type="dxa"/>
            <w:vAlign w:val="center"/>
          </w:tcPr>
          <w:p w14:paraId="6B87E553">
            <w:pPr>
              <w:pStyle w:val="12"/>
            </w:pPr>
            <w:r>
              <w:t>河北省建档立卡家庭经济困难学生资助管理暂行办法</w:t>
            </w:r>
          </w:p>
        </w:tc>
      </w:tr>
      <w:tr w14:paraId="1A9FA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94CA5"/>
        </w:tc>
        <w:tc>
          <w:tcPr>
            <w:tcW w:w="2268" w:type="dxa"/>
            <w:vAlign w:val="center"/>
          </w:tcPr>
          <w:p w14:paraId="1A968EA4">
            <w:pPr>
              <w:pStyle w:val="12"/>
            </w:pPr>
            <w:r>
              <w:t>时效指标</w:t>
            </w:r>
          </w:p>
        </w:tc>
        <w:tc>
          <w:tcPr>
            <w:tcW w:w="2835" w:type="dxa"/>
            <w:vAlign w:val="center"/>
          </w:tcPr>
          <w:p w14:paraId="3976577F">
            <w:pPr>
              <w:pStyle w:val="12"/>
            </w:pPr>
            <w:r>
              <w:t>补助资金到位</w:t>
            </w:r>
          </w:p>
        </w:tc>
        <w:tc>
          <w:tcPr>
            <w:tcW w:w="5386" w:type="dxa"/>
            <w:vAlign w:val="center"/>
          </w:tcPr>
          <w:p w14:paraId="3E655C1E">
            <w:pPr>
              <w:pStyle w:val="12"/>
            </w:pPr>
            <w:r>
              <w:t>补助资金到位及时率</w:t>
            </w:r>
          </w:p>
        </w:tc>
        <w:tc>
          <w:tcPr>
            <w:tcW w:w="2268" w:type="dxa"/>
            <w:vAlign w:val="center"/>
          </w:tcPr>
          <w:p w14:paraId="12A31C14">
            <w:pPr>
              <w:pStyle w:val="12"/>
            </w:pPr>
            <w:r>
              <w:t>100%</w:t>
            </w:r>
          </w:p>
        </w:tc>
        <w:tc>
          <w:tcPr>
            <w:tcW w:w="1276" w:type="dxa"/>
            <w:vAlign w:val="center"/>
          </w:tcPr>
          <w:p w14:paraId="105483AC">
            <w:pPr>
              <w:pStyle w:val="12"/>
            </w:pPr>
            <w:r>
              <w:t>河北省建档立卡家庭经济困难学生资助管理暂行办法</w:t>
            </w:r>
          </w:p>
        </w:tc>
      </w:tr>
      <w:tr w14:paraId="6D7D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71796"/>
        </w:tc>
        <w:tc>
          <w:tcPr>
            <w:tcW w:w="2268" w:type="dxa"/>
            <w:vAlign w:val="center"/>
          </w:tcPr>
          <w:p w14:paraId="005396B1">
            <w:pPr>
              <w:pStyle w:val="12"/>
            </w:pPr>
            <w:r>
              <w:t>成本指标</w:t>
            </w:r>
          </w:p>
        </w:tc>
        <w:tc>
          <w:tcPr>
            <w:tcW w:w="2835" w:type="dxa"/>
            <w:vAlign w:val="center"/>
          </w:tcPr>
          <w:p w14:paraId="04E453D0">
            <w:pPr>
              <w:pStyle w:val="12"/>
            </w:pPr>
            <w:r>
              <w:t>普通高中建档立卡学生减免标准</w:t>
            </w:r>
          </w:p>
        </w:tc>
        <w:tc>
          <w:tcPr>
            <w:tcW w:w="5386" w:type="dxa"/>
            <w:vAlign w:val="center"/>
          </w:tcPr>
          <w:p w14:paraId="3F8CD32B">
            <w:pPr>
              <w:pStyle w:val="12"/>
            </w:pPr>
            <w:r>
              <w:t>学费2000元/生/年；住宿费500元/生/年；书费300元/生/年</w:t>
            </w:r>
          </w:p>
        </w:tc>
        <w:tc>
          <w:tcPr>
            <w:tcW w:w="2268" w:type="dxa"/>
            <w:vAlign w:val="center"/>
          </w:tcPr>
          <w:p w14:paraId="75C1EA91">
            <w:pPr>
              <w:pStyle w:val="12"/>
            </w:pPr>
            <w:r>
              <w:t>2800元</w:t>
            </w:r>
          </w:p>
        </w:tc>
        <w:tc>
          <w:tcPr>
            <w:tcW w:w="1276" w:type="dxa"/>
            <w:vAlign w:val="center"/>
          </w:tcPr>
          <w:p w14:paraId="6DA23E72">
            <w:pPr>
              <w:pStyle w:val="12"/>
            </w:pPr>
            <w:r>
              <w:t>河北省建档立卡家庭经济困难学生资助管理暂行办法</w:t>
            </w:r>
          </w:p>
        </w:tc>
      </w:tr>
      <w:tr w14:paraId="43C7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1BABF">
            <w:pPr>
              <w:pStyle w:val="13"/>
            </w:pPr>
            <w:r>
              <w:t>效益指标</w:t>
            </w:r>
          </w:p>
        </w:tc>
        <w:tc>
          <w:tcPr>
            <w:tcW w:w="2268" w:type="dxa"/>
            <w:vAlign w:val="center"/>
          </w:tcPr>
          <w:p w14:paraId="394B19DA">
            <w:pPr>
              <w:pStyle w:val="12"/>
            </w:pPr>
            <w:r>
              <w:t>经济效益指标</w:t>
            </w:r>
          </w:p>
        </w:tc>
        <w:tc>
          <w:tcPr>
            <w:tcW w:w="2835" w:type="dxa"/>
            <w:vAlign w:val="center"/>
          </w:tcPr>
          <w:p w14:paraId="616E0D85">
            <w:pPr>
              <w:pStyle w:val="12"/>
            </w:pPr>
            <w:r>
              <w:t>减轻家庭负担</w:t>
            </w:r>
          </w:p>
        </w:tc>
        <w:tc>
          <w:tcPr>
            <w:tcW w:w="5386" w:type="dxa"/>
            <w:vAlign w:val="center"/>
          </w:tcPr>
          <w:p w14:paraId="3508631C">
            <w:pPr>
              <w:pStyle w:val="12"/>
            </w:pPr>
            <w:r>
              <w:t>减轻建档立卡家庭学生家长经济负担</w:t>
            </w:r>
          </w:p>
        </w:tc>
        <w:tc>
          <w:tcPr>
            <w:tcW w:w="2268" w:type="dxa"/>
            <w:vAlign w:val="center"/>
          </w:tcPr>
          <w:p w14:paraId="216934F3">
            <w:pPr>
              <w:pStyle w:val="12"/>
            </w:pPr>
            <w:r>
              <w:t>100%</w:t>
            </w:r>
          </w:p>
        </w:tc>
        <w:tc>
          <w:tcPr>
            <w:tcW w:w="1276" w:type="dxa"/>
            <w:vAlign w:val="center"/>
          </w:tcPr>
          <w:p w14:paraId="65761C74">
            <w:pPr>
              <w:pStyle w:val="12"/>
            </w:pPr>
            <w:r>
              <w:t>河北省建档立卡家庭经济困难学生资助管理暂行办法</w:t>
            </w:r>
          </w:p>
        </w:tc>
      </w:tr>
      <w:tr w14:paraId="47A47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6A73D"/>
        </w:tc>
        <w:tc>
          <w:tcPr>
            <w:tcW w:w="2268" w:type="dxa"/>
            <w:vAlign w:val="center"/>
          </w:tcPr>
          <w:p w14:paraId="66A966DD">
            <w:pPr>
              <w:pStyle w:val="12"/>
            </w:pPr>
            <w:r>
              <w:t>可持续影响指标</w:t>
            </w:r>
          </w:p>
        </w:tc>
        <w:tc>
          <w:tcPr>
            <w:tcW w:w="2835" w:type="dxa"/>
            <w:vAlign w:val="center"/>
          </w:tcPr>
          <w:p w14:paraId="2E0E5BAB">
            <w:pPr>
              <w:pStyle w:val="12"/>
            </w:pPr>
            <w:r>
              <w:t>高中运转</w:t>
            </w:r>
          </w:p>
        </w:tc>
        <w:tc>
          <w:tcPr>
            <w:tcW w:w="5386" w:type="dxa"/>
            <w:vAlign w:val="center"/>
          </w:tcPr>
          <w:p w14:paraId="43F434E3">
            <w:pPr>
              <w:pStyle w:val="12"/>
            </w:pPr>
            <w:r>
              <w:t>高中生受教育年限</w:t>
            </w:r>
          </w:p>
        </w:tc>
        <w:tc>
          <w:tcPr>
            <w:tcW w:w="2268" w:type="dxa"/>
            <w:vAlign w:val="center"/>
          </w:tcPr>
          <w:p w14:paraId="59F75F61">
            <w:pPr>
              <w:pStyle w:val="12"/>
            </w:pPr>
            <w:r>
              <w:t>3年</w:t>
            </w:r>
          </w:p>
        </w:tc>
        <w:tc>
          <w:tcPr>
            <w:tcW w:w="1276" w:type="dxa"/>
            <w:vAlign w:val="center"/>
          </w:tcPr>
          <w:p w14:paraId="04465A68">
            <w:pPr>
              <w:pStyle w:val="12"/>
            </w:pPr>
            <w:r>
              <w:t>河北省建档立卡家庭经济困难学生资助管理暂行办法</w:t>
            </w:r>
          </w:p>
        </w:tc>
      </w:tr>
      <w:tr w14:paraId="7D4B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90D03">
            <w:pPr>
              <w:pStyle w:val="13"/>
            </w:pPr>
            <w:r>
              <w:t>满意度指标</w:t>
            </w:r>
          </w:p>
        </w:tc>
        <w:tc>
          <w:tcPr>
            <w:tcW w:w="2268" w:type="dxa"/>
            <w:vAlign w:val="center"/>
          </w:tcPr>
          <w:p w14:paraId="0CDC6370">
            <w:pPr>
              <w:pStyle w:val="12"/>
            </w:pPr>
            <w:r>
              <w:t>服务对象满意度指标</w:t>
            </w:r>
          </w:p>
        </w:tc>
        <w:tc>
          <w:tcPr>
            <w:tcW w:w="2835" w:type="dxa"/>
            <w:vAlign w:val="center"/>
          </w:tcPr>
          <w:p w14:paraId="6B7A1796">
            <w:pPr>
              <w:pStyle w:val="12"/>
            </w:pPr>
            <w:r>
              <w:t>提升幸福指数</w:t>
            </w:r>
          </w:p>
        </w:tc>
        <w:tc>
          <w:tcPr>
            <w:tcW w:w="5386" w:type="dxa"/>
            <w:vAlign w:val="center"/>
          </w:tcPr>
          <w:p w14:paraId="40AFC19C">
            <w:pPr>
              <w:pStyle w:val="12"/>
            </w:pPr>
            <w:r>
              <w:t>提升建档立卡贫困家庭学生幸福指数</w:t>
            </w:r>
          </w:p>
          <w:p w14:paraId="7EBE8311">
            <w:pPr>
              <w:pStyle w:val="12"/>
            </w:pPr>
            <w:r>
              <w:t>家长学生满意</w:t>
            </w:r>
          </w:p>
        </w:tc>
        <w:tc>
          <w:tcPr>
            <w:tcW w:w="2268" w:type="dxa"/>
            <w:vAlign w:val="center"/>
          </w:tcPr>
          <w:p w14:paraId="045BA08D">
            <w:pPr>
              <w:pStyle w:val="12"/>
            </w:pPr>
            <w:r>
              <w:t>≥98%</w:t>
            </w:r>
          </w:p>
        </w:tc>
        <w:tc>
          <w:tcPr>
            <w:tcW w:w="1276" w:type="dxa"/>
            <w:vAlign w:val="center"/>
          </w:tcPr>
          <w:p w14:paraId="4BEC6507">
            <w:pPr>
              <w:pStyle w:val="12"/>
            </w:pPr>
            <w:r>
              <w:t>河北省建档立卡家庭经济困难学生资助管理暂行办法</w:t>
            </w:r>
          </w:p>
        </w:tc>
      </w:tr>
    </w:tbl>
    <w:p w14:paraId="1F49A538">
      <w:pPr>
        <w:sectPr>
          <w:pgSz w:w="16840" w:h="11900" w:orient="landscape"/>
          <w:pgMar w:top="1361" w:right="1020" w:bottom="1134" w:left="1020" w:header="720" w:footer="720" w:gutter="0"/>
          <w:cols w:space="720" w:num="1"/>
        </w:sectPr>
      </w:pPr>
    </w:p>
    <w:p w14:paraId="35A4BCCC">
      <w:pPr>
        <w:spacing w:before="0" w:after="0"/>
        <w:ind w:firstLine="560"/>
        <w:jc w:val="left"/>
        <w:outlineLvl w:val="9"/>
      </w:pPr>
      <w:r>
        <w:rPr>
          <w:rFonts w:ascii="方正仿宋_GBK" w:hAnsi="方正仿宋_GBK" w:eastAsia="方正仿宋_GBK" w:cs="方正仿宋_GBK"/>
          <w:b/>
          <w:color w:val="000000"/>
          <w:sz w:val="28"/>
        </w:rPr>
        <w:t>12、冀财教[2025]150号/省级/2026年学生资助/普通高中助学金（一中高中）绩效目标表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83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8B139">
            <w:pPr>
              <w:pStyle w:val="11"/>
            </w:pPr>
            <w:r>
              <w:t>单位：万元</w:t>
            </w:r>
          </w:p>
        </w:tc>
      </w:tr>
      <w:tr w14:paraId="47A76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030C5">
            <w:pPr>
              <w:pStyle w:val="10"/>
            </w:pPr>
            <w:r>
              <w:t>项目编码</w:t>
            </w:r>
          </w:p>
        </w:tc>
        <w:tc>
          <w:tcPr>
            <w:tcW w:w="5103" w:type="dxa"/>
            <w:gridSpan w:val="2"/>
            <w:vAlign w:val="center"/>
          </w:tcPr>
          <w:p w14:paraId="6201D2A1">
            <w:pPr>
              <w:pStyle w:val="12"/>
            </w:pPr>
            <w:r>
              <w:t>13052526P00001210046F</w:t>
            </w:r>
          </w:p>
        </w:tc>
        <w:tc>
          <w:tcPr>
            <w:tcW w:w="2835" w:type="dxa"/>
            <w:vAlign w:val="center"/>
          </w:tcPr>
          <w:p w14:paraId="74147ABC">
            <w:pPr>
              <w:pStyle w:val="10"/>
            </w:pPr>
            <w:r>
              <w:t>项目名称</w:t>
            </w:r>
          </w:p>
        </w:tc>
        <w:tc>
          <w:tcPr>
            <w:tcW w:w="6095" w:type="dxa"/>
            <w:gridSpan w:val="3"/>
            <w:vAlign w:val="center"/>
          </w:tcPr>
          <w:p w14:paraId="66C4CD63">
            <w:pPr>
              <w:pStyle w:val="12"/>
            </w:pPr>
            <w:r>
              <w:t>冀财教[2025]150号/省级/2026年学生资助/普通高中助学金（一中高中）</w:t>
            </w:r>
          </w:p>
        </w:tc>
      </w:tr>
      <w:tr w14:paraId="12AF2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B433">
            <w:pPr>
              <w:pStyle w:val="10"/>
            </w:pPr>
            <w:r>
              <w:t>预算规模及资金用途</w:t>
            </w:r>
          </w:p>
        </w:tc>
        <w:tc>
          <w:tcPr>
            <w:tcW w:w="2268" w:type="dxa"/>
            <w:vAlign w:val="center"/>
          </w:tcPr>
          <w:p w14:paraId="77F13D98">
            <w:pPr>
              <w:pStyle w:val="10"/>
            </w:pPr>
            <w:r>
              <w:t>预算数</w:t>
            </w:r>
          </w:p>
        </w:tc>
        <w:tc>
          <w:tcPr>
            <w:tcW w:w="2835" w:type="dxa"/>
            <w:vAlign w:val="center"/>
          </w:tcPr>
          <w:p w14:paraId="6C06F2D0">
            <w:pPr>
              <w:pStyle w:val="12"/>
            </w:pPr>
            <w:r>
              <w:t>51.00</w:t>
            </w:r>
          </w:p>
        </w:tc>
        <w:tc>
          <w:tcPr>
            <w:tcW w:w="2835" w:type="dxa"/>
            <w:vAlign w:val="center"/>
          </w:tcPr>
          <w:p w14:paraId="008BE442">
            <w:pPr>
              <w:pStyle w:val="10"/>
            </w:pPr>
            <w:r>
              <w:t>其中：财政    资金</w:t>
            </w:r>
          </w:p>
        </w:tc>
        <w:tc>
          <w:tcPr>
            <w:tcW w:w="2551" w:type="dxa"/>
            <w:vAlign w:val="center"/>
          </w:tcPr>
          <w:p w14:paraId="14B48CC6">
            <w:pPr>
              <w:pStyle w:val="12"/>
            </w:pPr>
            <w:r>
              <w:t>51.00</w:t>
            </w:r>
          </w:p>
        </w:tc>
        <w:tc>
          <w:tcPr>
            <w:tcW w:w="2268" w:type="dxa"/>
            <w:vAlign w:val="center"/>
          </w:tcPr>
          <w:p w14:paraId="498108F6">
            <w:pPr>
              <w:pStyle w:val="10"/>
            </w:pPr>
            <w:r>
              <w:t>其他资金</w:t>
            </w:r>
          </w:p>
        </w:tc>
        <w:tc>
          <w:tcPr>
            <w:tcW w:w="1276" w:type="dxa"/>
            <w:vAlign w:val="center"/>
          </w:tcPr>
          <w:p w14:paraId="38F036EA">
            <w:pPr>
              <w:pStyle w:val="12"/>
            </w:pPr>
            <w:r>
              <w:t xml:space="preserve"> </w:t>
            </w:r>
          </w:p>
        </w:tc>
      </w:tr>
      <w:tr w14:paraId="0F523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C62C4"/>
        </w:tc>
        <w:tc>
          <w:tcPr>
            <w:tcW w:w="14033" w:type="dxa"/>
            <w:gridSpan w:val="6"/>
            <w:vAlign w:val="center"/>
          </w:tcPr>
          <w:p w14:paraId="4C52C566">
            <w:pPr>
              <w:pStyle w:val="12"/>
            </w:pPr>
            <w:r>
              <w:t>深入宣传学生资助政策，落实河北省普通高中国家助学金管理办法</w:t>
            </w:r>
          </w:p>
        </w:tc>
      </w:tr>
      <w:tr w14:paraId="346C4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1AF7F">
            <w:pPr>
              <w:pStyle w:val="10"/>
            </w:pPr>
            <w:r>
              <w:t>资金支出计划（%）</w:t>
            </w:r>
          </w:p>
        </w:tc>
        <w:tc>
          <w:tcPr>
            <w:tcW w:w="5103" w:type="dxa"/>
            <w:gridSpan w:val="2"/>
            <w:vAlign w:val="center"/>
          </w:tcPr>
          <w:p w14:paraId="24E68B92">
            <w:pPr>
              <w:pStyle w:val="10"/>
            </w:pPr>
            <w:r>
              <w:t>3月底</w:t>
            </w:r>
          </w:p>
        </w:tc>
        <w:tc>
          <w:tcPr>
            <w:tcW w:w="2835" w:type="dxa"/>
            <w:vAlign w:val="center"/>
          </w:tcPr>
          <w:p w14:paraId="24E440EE">
            <w:pPr>
              <w:pStyle w:val="10"/>
            </w:pPr>
            <w:r>
              <w:t>6月底</w:t>
            </w:r>
          </w:p>
        </w:tc>
        <w:tc>
          <w:tcPr>
            <w:tcW w:w="2551" w:type="dxa"/>
            <w:vAlign w:val="center"/>
          </w:tcPr>
          <w:p w14:paraId="461C3823">
            <w:pPr>
              <w:pStyle w:val="10"/>
            </w:pPr>
            <w:r>
              <w:t>10月底</w:t>
            </w:r>
          </w:p>
        </w:tc>
        <w:tc>
          <w:tcPr>
            <w:tcW w:w="3544" w:type="dxa"/>
            <w:gridSpan w:val="2"/>
            <w:vAlign w:val="center"/>
          </w:tcPr>
          <w:p w14:paraId="652BD944">
            <w:pPr>
              <w:pStyle w:val="10"/>
            </w:pPr>
            <w:r>
              <w:t>12月底</w:t>
            </w:r>
          </w:p>
        </w:tc>
      </w:tr>
      <w:tr w14:paraId="76BA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21B01"/>
        </w:tc>
        <w:tc>
          <w:tcPr>
            <w:tcW w:w="5103" w:type="dxa"/>
            <w:gridSpan w:val="2"/>
            <w:vAlign w:val="center"/>
          </w:tcPr>
          <w:p w14:paraId="2F23CC06">
            <w:pPr>
              <w:pStyle w:val="13"/>
            </w:pPr>
            <w:r>
              <w:t xml:space="preserve"> </w:t>
            </w:r>
          </w:p>
        </w:tc>
        <w:tc>
          <w:tcPr>
            <w:tcW w:w="2835" w:type="dxa"/>
            <w:vAlign w:val="center"/>
          </w:tcPr>
          <w:p w14:paraId="2ED04D9A">
            <w:pPr>
              <w:pStyle w:val="13"/>
            </w:pPr>
            <w:r>
              <w:t xml:space="preserve"> </w:t>
            </w:r>
          </w:p>
        </w:tc>
        <w:tc>
          <w:tcPr>
            <w:tcW w:w="2551" w:type="dxa"/>
            <w:vAlign w:val="center"/>
          </w:tcPr>
          <w:p w14:paraId="473F57C4">
            <w:pPr>
              <w:pStyle w:val="13"/>
            </w:pPr>
            <w:r>
              <w:t>100%</w:t>
            </w:r>
          </w:p>
        </w:tc>
        <w:tc>
          <w:tcPr>
            <w:tcW w:w="3544" w:type="dxa"/>
            <w:gridSpan w:val="2"/>
            <w:vAlign w:val="center"/>
          </w:tcPr>
          <w:p w14:paraId="1EC1C3F2">
            <w:pPr>
              <w:pStyle w:val="13"/>
            </w:pPr>
            <w:r>
              <w:t>100%</w:t>
            </w:r>
          </w:p>
        </w:tc>
      </w:tr>
      <w:tr w14:paraId="317F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76B84">
            <w:pPr>
              <w:pStyle w:val="10"/>
            </w:pPr>
            <w:r>
              <w:t>绩效目标</w:t>
            </w:r>
          </w:p>
        </w:tc>
        <w:tc>
          <w:tcPr>
            <w:tcW w:w="14033" w:type="dxa"/>
            <w:gridSpan w:val="6"/>
            <w:vAlign w:val="center"/>
          </w:tcPr>
          <w:p w14:paraId="51953ECE">
            <w:pPr>
              <w:pStyle w:val="12"/>
            </w:pPr>
            <w:r>
              <w:t>1.深入宣传学生资助政策，落实河北省普通高中国家助学金管理办法</w:t>
            </w:r>
          </w:p>
          <w:p w14:paraId="3F349381">
            <w:pPr>
              <w:pStyle w:val="12"/>
            </w:pPr>
            <w:r>
              <w:t>2.优先资助建档立卡家庭学生、孤残学生、父母丧失劳动能力学生、少数民族学生、烈士子女与单亲家庭经济困难学生、低保、特困救助、突发致贫学生</w:t>
            </w:r>
          </w:p>
          <w:p w14:paraId="61FD3C6A">
            <w:pPr>
              <w:pStyle w:val="12"/>
            </w:pPr>
            <w:r>
              <w:t>3.及时发放资助资金，确保贫困家庭学生得到资助，不因贫困失学辍学</w:t>
            </w:r>
          </w:p>
        </w:tc>
      </w:tr>
    </w:tbl>
    <w:p w14:paraId="2AFEA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5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3F293">
            <w:pPr>
              <w:pStyle w:val="10"/>
            </w:pPr>
            <w:r>
              <w:t>一级指标</w:t>
            </w:r>
          </w:p>
        </w:tc>
        <w:tc>
          <w:tcPr>
            <w:tcW w:w="2268" w:type="dxa"/>
            <w:vAlign w:val="center"/>
          </w:tcPr>
          <w:p w14:paraId="7CEFDA01">
            <w:pPr>
              <w:pStyle w:val="10"/>
            </w:pPr>
            <w:r>
              <w:t>二级指标</w:t>
            </w:r>
          </w:p>
        </w:tc>
        <w:tc>
          <w:tcPr>
            <w:tcW w:w="2835" w:type="dxa"/>
            <w:vAlign w:val="center"/>
          </w:tcPr>
          <w:p w14:paraId="71944034">
            <w:pPr>
              <w:pStyle w:val="10"/>
            </w:pPr>
            <w:r>
              <w:t>三级指标</w:t>
            </w:r>
          </w:p>
        </w:tc>
        <w:tc>
          <w:tcPr>
            <w:tcW w:w="5386" w:type="dxa"/>
            <w:vAlign w:val="center"/>
          </w:tcPr>
          <w:p w14:paraId="2B37D10D">
            <w:pPr>
              <w:pStyle w:val="10"/>
            </w:pPr>
            <w:r>
              <w:t>绩效指标描述</w:t>
            </w:r>
          </w:p>
        </w:tc>
        <w:tc>
          <w:tcPr>
            <w:tcW w:w="2268" w:type="dxa"/>
            <w:vAlign w:val="center"/>
          </w:tcPr>
          <w:p w14:paraId="380A1325">
            <w:pPr>
              <w:pStyle w:val="10"/>
            </w:pPr>
            <w:r>
              <w:t>指标值</w:t>
            </w:r>
          </w:p>
        </w:tc>
        <w:tc>
          <w:tcPr>
            <w:tcW w:w="1276" w:type="dxa"/>
            <w:vAlign w:val="center"/>
          </w:tcPr>
          <w:p w14:paraId="53B3D0CB">
            <w:pPr>
              <w:pStyle w:val="10"/>
            </w:pPr>
            <w:r>
              <w:t>指标值确定依据</w:t>
            </w:r>
          </w:p>
        </w:tc>
      </w:tr>
      <w:tr w14:paraId="6C6F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7C679">
            <w:pPr>
              <w:pStyle w:val="13"/>
            </w:pPr>
            <w:r>
              <w:t>产出指标</w:t>
            </w:r>
          </w:p>
        </w:tc>
        <w:tc>
          <w:tcPr>
            <w:tcW w:w="2268" w:type="dxa"/>
            <w:vAlign w:val="center"/>
          </w:tcPr>
          <w:p w14:paraId="71A672EE">
            <w:pPr>
              <w:pStyle w:val="12"/>
            </w:pPr>
            <w:r>
              <w:t>数量指标</w:t>
            </w:r>
          </w:p>
        </w:tc>
        <w:tc>
          <w:tcPr>
            <w:tcW w:w="2835" w:type="dxa"/>
            <w:vAlign w:val="center"/>
          </w:tcPr>
          <w:p w14:paraId="1E77D2EB">
            <w:pPr>
              <w:pStyle w:val="12"/>
            </w:pPr>
            <w:r>
              <w:t>普通高中资助人数</w:t>
            </w:r>
          </w:p>
        </w:tc>
        <w:tc>
          <w:tcPr>
            <w:tcW w:w="5386" w:type="dxa"/>
            <w:vAlign w:val="center"/>
          </w:tcPr>
          <w:p w14:paraId="38A732DD">
            <w:pPr>
              <w:pStyle w:val="12"/>
            </w:pPr>
            <w:r>
              <w:t>普通高中助学受资助人数约占普通高中在校生总数的18%</w:t>
            </w:r>
          </w:p>
        </w:tc>
        <w:tc>
          <w:tcPr>
            <w:tcW w:w="2268" w:type="dxa"/>
            <w:vAlign w:val="center"/>
          </w:tcPr>
          <w:p w14:paraId="600A75E1">
            <w:pPr>
              <w:pStyle w:val="12"/>
            </w:pPr>
            <w:r>
              <w:t>≥1091人</w:t>
            </w:r>
          </w:p>
        </w:tc>
        <w:tc>
          <w:tcPr>
            <w:tcW w:w="1276" w:type="dxa"/>
            <w:vAlign w:val="center"/>
          </w:tcPr>
          <w:p w14:paraId="13C7AB03">
            <w:pPr>
              <w:pStyle w:val="12"/>
            </w:pPr>
            <w:r>
              <w:t>年度预算</w:t>
            </w:r>
          </w:p>
        </w:tc>
      </w:tr>
      <w:tr w14:paraId="4D97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121E"/>
        </w:tc>
        <w:tc>
          <w:tcPr>
            <w:tcW w:w="2268" w:type="dxa"/>
            <w:vAlign w:val="center"/>
          </w:tcPr>
          <w:p w14:paraId="66EF8B68">
            <w:pPr>
              <w:pStyle w:val="12"/>
            </w:pPr>
            <w:r>
              <w:t>质量指标</w:t>
            </w:r>
          </w:p>
        </w:tc>
        <w:tc>
          <w:tcPr>
            <w:tcW w:w="2835" w:type="dxa"/>
            <w:vAlign w:val="center"/>
          </w:tcPr>
          <w:p w14:paraId="0446FCF9">
            <w:pPr>
              <w:pStyle w:val="12"/>
            </w:pPr>
            <w:r>
              <w:t>成立评审小组</w:t>
            </w:r>
          </w:p>
        </w:tc>
        <w:tc>
          <w:tcPr>
            <w:tcW w:w="5386" w:type="dxa"/>
            <w:vAlign w:val="center"/>
          </w:tcPr>
          <w:p w14:paraId="5C4B044E">
            <w:pPr>
              <w:pStyle w:val="12"/>
            </w:pPr>
            <w:r>
              <w:t>成立普高助学金评审小组建立监督检查制度</w:t>
            </w:r>
          </w:p>
        </w:tc>
        <w:tc>
          <w:tcPr>
            <w:tcW w:w="2268" w:type="dxa"/>
            <w:vAlign w:val="center"/>
          </w:tcPr>
          <w:p w14:paraId="1B7B8CA0">
            <w:pPr>
              <w:pStyle w:val="12"/>
            </w:pPr>
            <w:r>
              <w:t>1组</w:t>
            </w:r>
          </w:p>
        </w:tc>
        <w:tc>
          <w:tcPr>
            <w:tcW w:w="1276" w:type="dxa"/>
            <w:vAlign w:val="center"/>
          </w:tcPr>
          <w:p w14:paraId="0F5A18C9">
            <w:pPr>
              <w:pStyle w:val="12"/>
            </w:pPr>
            <w:r>
              <w:t>隆尧县普通高中国家助学金管理办法</w:t>
            </w:r>
          </w:p>
        </w:tc>
      </w:tr>
      <w:tr w14:paraId="7C74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579C8"/>
        </w:tc>
        <w:tc>
          <w:tcPr>
            <w:tcW w:w="2268" w:type="dxa"/>
            <w:vAlign w:val="center"/>
          </w:tcPr>
          <w:p w14:paraId="087F185A">
            <w:pPr>
              <w:pStyle w:val="12"/>
            </w:pPr>
            <w:r>
              <w:t>时效指标</w:t>
            </w:r>
          </w:p>
        </w:tc>
        <w:tc>
          <w:tcPr>
            <w:tcW w:w="2835" w:type="dxa"/>
            <w:vAlign w:val="center"/>
          </w:tcPr>
          <w:p w14:paraId="4396B4D1">
            <w:pPr>
              <w:pStyle w:val="12"/>
            </w:pPr>
            <w:r>
              <w:t>补助资金到位</w:t>
            </w:r>
          </w:p>
        </w:tc>
        <w:tc>
          <w:tcPr>
            <w:tcW w:w="5386" w:type="dxa"/>
            <w:vAlign w:val="center"/>
          </w:tcPr>
          <w:p w14:paraId="5F1F8C0D">
            <w:pPr>
              <w:pStyle w:val="12"/>
            </w:pPr>
            <w:r>
              <w:t>补助资金及时足额到位率</w:t>
            </w:r>
          </w:p>
        </w:tc>
        <w:tc>
          <w:tcPr>
            <w:tcW w:w="2268" w:type="dxa"/>
            <w:vAlign w:val="center"/>
          </w:tcPr>
          <w:p w14:paraId="5F684F7F">
            <w:pPr>
              <w:pStyle w:val="12"/>
            </w:pPr>
            <w:r>
              <w:t>100%</w:t>
            </w:r>
          </w:p>
        </w:tc>
        <w:tc>
          <w:tcPr>
            <w:tcW w:w="1276" w:type="dxa"/>
            <w:vAlign w:val="center"/>
          </w:tcPr>
          <w:p w14:paraId="728CB307">
            <w:pPr>
              <w:pStyle w:val="12"/>
            </w:pPr>
            <w:r>
              <w:t>隆尧县普通高中国家助学金管理办法</w:t>
            </w:r>
          </w:p>
        </w:tc>
      </w:tr>
      <w:tr w14:paraId="5929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07A9D"/>
        </w:tc>
        <w:tc>
          <w:tcPr>
            <w:tcW w:w="2268" w:type="dxa"/>
            <w:vAlign w:val="center"/>
          </w:tcPr>
          <w:p w14:paraId="113BB666">
            <w:pPr>
              <w:pStyle w:val="12"/>
            </w:pPr>
            <w:r>
              <w:t>成本指标</w:t>
            </w:r>
          </w:p>
        </w:tc>
        <w:tc>
          <w:tcPr>
            <w:tcW w:w="2835" w:type="dxa"/>
            <w:vAlign w:val="center"/>
          </w:tcPr>
          <w:p w14:paraId="093BB146">
            <w:pPr>
              <w:pStyle w:val="12"/>
            </w:pPr>
            <w:r>
              <w:t>普高国家助学金标准</w:t>
            </w:r>
          </w:p>
        </w:tc>
        <w:tc>
          <w:tcPr>
            <w:tcW w:w="5386" w:type="dxa"/>
            <w:vAlign w:val="center"/>
          </w:tcPr>
          <w:p w14:paraId="7477F288">
            <w:pPr>
              <w:pStyle w:val="12"/>
            </w:pPr>
            <w:r>
              <w:t>普高国家助学金资助标准2300元/生/年</w:t>
            </w:r>
          </w:p>
        </w:tc>
        <w:tc>
          <w:tcPr>
            <w:tcW w:w="2268" w:type="dxa"/>
            <w:vAlign w:val="center"/>
          </w:tcPr>
          <w:p w14:paraId="67EA97C5">
            <w:pPr>
              <w:pStyle w:val="12"/>
            </w:pPr>
            <w:r>
              <w:t>2300元</w:t>
            </w:r>
          </w:p>
        </w:tc>
        <w:tc>
          <w:tcPr>
            <w:tcW w:w="1276" w:type="dxa"/>
            <w:vAlign w:val="center"/>
          </w:tcPr>
          <w:p w14:paraId="0DC8736D">
            <w:pPr>
              <w:pStyle w:val="12"/>
            </w:pPr>
            <w:r>
              <w:t>隆尧县普通高中国家助学金管理办法</w:t>
            </w:r>
          </w:p>
        </w:tc>
      </w:tr>
      <w:tr w14:paraId="2F9F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40E79">
            <w:pPr>
              <w:pStyle w:val="13"/>
            </w:pPr>
            <w:r>
              <w:t>效益指标</w:t>
            </w:r>
          </w:p>
        </w:tc>
        <w:tc>
          <w:tcPr>
            <w:tcW w:w="2268" w:type="dxa"/>
            <w:vAlign w:val="center"/>
          </w:tcPr>
          <w:p w14:paraId="203BE492">
            <w:pPr>
              <w:pStyle w:val="12"/>
            </w:pPr>
            <w:r>
              <w:t>经济效益指标</w:t>
            </w:r>
          </w:p>
        </w:tc>
        <w:tc>
          <w:tcPr>
            <w:tcW w:w="2835" w:type="dxa"/>
            <w:vAlign w:val="center"/>
          </w:tcPr>
          <w:p w14:paraId="501F1A3E">
            <w:pPr>
              <w:pStyle w:val="12"/>
            </w:pPr>
            <w:r>
              <w:t>减轻家庭负担</w:t>
            </w:r>
          </w:p>
        </w:tc>
        <w:tc>
          <w:tcPr>
            <w:tcW w:w="5386" w:type="dxa"/>
            <w:vAlign w:val="center"/>
          </w:tcPr>
          <w:p w14:paraId="1A32DEA3">
            <w:pPr>
              <w:pStyle w:val="12"/>
            </w:pPr>
            <w:r>
              <w:t>减轻建档立卡家庭学生家长经济负担</w:t>
            </w:r>
          </w:p>
        </w:tc>
        <w:tc>
          <w:tcPr>
            <w:tcW w:w="2268" w:type="dxa"/>
            <w:vAlign w:val="center"/>
          </w:tcPr>
          <w:p w14:paraId="04660D1A">
            <w:pPr>
              <w:pStyle w:val="12"/>
            </w:pPr>
            <w:r>
              <w:t>100%</w:t>
            </w:r>
          </w:p>
        </w:tc>
        <w:tc>
          <w:tcPr>
            <w:tcW w:w="1276" w:type="dxa"/>
            <w:vAlign w:val="center"/>
          </w:tcPr>
          <w:p w14:paraId="3B477D32">
            <w:pPr>
              <w:pStyle w:val="12"/>
            </w:pPr>
            <w:r>
              <w:t>隆尧县普通高中国家助学金管理办法</w:t>
            </w:r>
          </w:p>
        </w:tc>
      </w:tr>
      <w:tr w14:paraId="3CE3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CC93"/>
        </w:tc>
        <w:tc>
          <w:tcPr>
            <w:tcW w:w="2268" w:type="dxa"/>
            <w:vAlign w:val="center"/>
          </w:tcPr>
          <w:p w14:paraId="0B6670D1">
            <w:pPr>
              <w:pStyle w:val="12"/>
            </w:pPr>
            <w:r>
              <w:t>可持续影响指标</w:t>
            </w:r>
          </w:p>
        </w:tc>
        <w:tc>
          <w:tcPr>
            <w:tcW w:w="2835" w:type="dxa"/>
            <w:vAlign w:val="center"/>
          </w:tcPr>
          <w:p w14:paraId="2E2F96C0">
            <w:pPr>
              <w:pStyle w:val="12"/>
            </w:pPr>
            <w:r>
              <w:t>高中运转</w:t>
            </w:r>
          </w:p>
        </w:tc>
        <w:tc>
          <w:tcPr>
            <w:tcW w:w="5386" w:type="dxa"/>
            <w:vAlign w:val="center"/>
          </w:tcPr>
          <w:p w14:paraId="5D1D6750">
            <w:pPr>
              <w:pStyle w:val="12"/>
            </w:pPr>
            <w:r>
              <w:t>高中生受教育年限</w:t>
            </w:r>
          </w:p>
        </w:tc>
        <w:tc>
          <w:tcPr>
            <w:tcW w:w="2268" w:type="dxa"/>
            <w:vAlign w:val="center"/>
          </w:tcPr>
          <w:p w14:paraId="288DBDA7">
            <w:pPr>
              <w:pStyle w:val="12"/>
            </w:pPr>
            <w:r>
              <w:t>3年</w:t>
            </w:r>
          </w:p>
        </w:tc>
        <w:tc>
          <w:tcPr>
            <w:tcW w:w="1276" w:type="dxa"/>
            <w:vAlign w:val="center"/>
          </w:tcPr>
          <w:p w14:paraId="58166312">
            <w:pPr>
              <w:pStyle w:val="12"/>
            </w:pPr>
            <w:r>
              <w:t>隆尧县普通高中国家助学金管理办法</w:t>
            </w:r>
          </w:p>
        </w:tc>
      </w:tr>
      <w:tr w14:paraId="4869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CD966">
            <w:pPr>
              <w:pStyle w:val="13"/>
            </w:pPr>
            <w:r>
              <w:t>满意度指标</w:t>
            </w:r>
          </w:p>
        </w:tc>
        <w:tc>
          <w:tcPr>
            <w:tcW w:w="2268" w:type="dxa"/>
            <w:vAlign w:val="center"/>
          </w:tcPr>
          <w:p w14:paraId="7A8F021F">
            <w:pPr>
              <w:pStyle w:val="12"/>
            </w:pPr>
            <w:r>
              <w:t>服务对象满意度指标</w:t>
            </w:r>
          </w:p>
        </w:tc>
        <w:tc>
          <w:tcPr>
            <w:tcW w:w="2835" w:type="dxa"/>
            <w:vAlign w:val="center"/>
          </w:tcPr>
          <w:p w14:paraId="5A5D793F">
            <w:pPr>
              <w:pStyle w:val="12"/>
            </w:pPr>
            <w:r>
              <w:t>提升幸福指数</w:t>
            </w:r>
          </w:p>
        </w:tc>
        <w:tc>
          <w:tcPr>
            <w:tcW w:w="5386" w:type="dxa"/>
            <w:vAlign w:val="center"/>
          </w:tcPr>
          <w:p w14:paraId="16059F6B">
            <w:pPr>
              <w:pStyle w:val="12"/>
            </w:pPr>
            <w:r>
              <w:t>提升建档立卡贫困家庭学生幸福指数</w:t>
            </w:r>
          </w:p>
          <w:p w14:paraId="3CF59E10">
            <w:pPr>
              <w:pStyle w:val="12"/>
            </w:pPr>
            <w:r>
              <w:t>家长学生满意</w:t>
            </w:r>
          </w:p>
        </w:tc>
        <w:tc>
          <w:tcPr>
            <w:tcW w:w="2268" w:type="dxa"/>
            <w:vAlign w:val="center"/>
          </w:tcPr>
          <w:p w14:paraId="26A86CC3">
            <w:pPr>
              <w:pStyle w:val="12"/>
            </w:pPr>
            <w:r>
              <w:t>≥98%</w:t>
            </w:r>
          </w:p>
        </w:tc>
        <w:tc>
          <w:tcPr>
            <w:tcW w:w="1276" w:type="dxa"/>
            <w:vAlign w:val="center"/>
          </w:tcPr>
          <w:p w14:paraId="6EC59899">
            <w:pPr>
              <w:pStyle w:val="12"/>
            </w:pPr>
            <w:r>
              <w:t>隆尧县普通高中国家助学金管理办法</w:t>
            </w:r>
          </w:p>
        </w:tc>
      </w:tr>
    </w:tbl>
    <w:p w14:paraId="35CD1F36">
      <w:pPr>
        <w:sectPr>
          <w:pgSz w:w="16840" w:h="11900" w:orient="landscape"/>
          <w:pgMar w:top="1361" w:right="1020" w:bottom="1134" w:left="1020" w:header="720" w:footer="720" w:gutter="0"/>
          <w:cols w:space="720" w:num="1"/>
        </w:sectPr>
      </w:pPr>
    </w:p>
    <w:p w14:paraId="3095EA21">
      <w:pPr>
        <w:spacing w:before="0" w:after="0"/>
        <w:ind w:firstLine="560"/>
        <w:jc w:val="left"/>
        <w:outlineLvl w:val="9"/>
      </w:pPr>
      <w:r>
        <w:rPr>
          <w:rFonts w:ascii="方正仿宋_GBK" w:hAnsi="方正仿宋_GBK" w:eastAsia="方正仿宋_GBK" w:cs="方正仿宋_GBK"/>
          <w:b/>
          <w:color w:val="000000"/>
          <w:sz w:val="28"/>
        </w:rPr>
        <w:t>13、普通高中公用经费/隆尧一中绩效目标表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F3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2CA12">
            <w:pPr>
              <w:pStyle w:val="11"/>
            </w:pPr>
            <w:r>
              <w:t>单位：万元</w:t>
            </w:r>
          </w:p>
        </w:tc>
      </w:tr>
      <w:tr w14:paraId="6AFB6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1BAB5">
            <w:pPr>
              <w:pStyle w:val="10"/>
            </w:pPr>
            <w:r>
              <w:t>项目编码</w:t>
            </w:r>
          </w:p>
        </w:tc>
        <w:tc>
          <w:tcPr>
            <w:tcW w:w="5103" w:type="dxa"/>
            <w:gridSpan w:val="2"/>
            <w:vAlign w:val="center"/>
          </w:tcPr>
          <w:p w14:paraId="35F9A950">
            <w:pPr>
              <w:pStyle w:val="12"/>
            </w:pPr>
            <w:r>
              <w:t>13052526P00875810003Y</w:t>
            </w:r>
          </w:p>
        </w:tc>
        <w:tc>
          <w:tcPr>
            <w:tcW w:w="2835" w:type="dxa"/>
            <w:vAlign w:val="center"/>
          </w:tcPr>
          <w:p w14:paraId="505C4EA2">
            <w:pPr>
              <w:pStyle w:val="10"/>
            </w:pPr>
            <w:r>
              <w:t>项目名称</w:t>
            </w:r>
          </w:p>
        </w:tc>
        <w:tc>
          <w:tcPr>
            <w:tcW w:w="6095" w:type="dxa"/>
            <w:gridSpan w:val="3"/>
            <w:vAlign w:val="center"/>
          </w:tcPr>
          <w:p w14:paraId="46ECBB70">
            <w:pPr>
              <w:pStyle w:val="12"/>
            </w:pPr>
            <w:r>
              <w:t>普通高中公用经费/隆尧一中</w:t>
            </w:r>
          </w:p>
        </w:tc>
      </w:tr>
      <w:tr w14:paraId="060A4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D1478">
            <w:pPr>
              <w:pStyle w:val="10"/>
            </w:pPr>
            <w:r>
              <w:t>预算规模及资金用途</w:t>
            </w:r>
          </w:p>
        </w:tc>
        <w:tc>
          <w:tcPr>
            <w:tcW w:w="2268" w:type="dxa"/>
            <w:vAlign w:val="center"/>
          </w:tcPr>
          <w:p w14:paraId="72660BAA">
            <w:pPr>
              <w:pStyle w:val="10"/>
            </w:pPr>
            <w:r>
              <w:t>预算数</w:t>
            </w:r>
          </w:p>
        </w:tc>
        <w:tc>
          <w:tcPr>
            <w:tcW w:w="2835" w:type="dxa"/>
            <w:vAlign w:val="center"/>
          </w:tcPr>
          <w:p w14:paraId="7BB417FF">
            <w:pPr>
              <w:pStyle w:val="12"/>
            </w:pPr>
            <w:r>
              <w:t>465.10</w:t>
            </w:r>
          </w:p>
        </w:tc>
        <w:tc>
          <w:tcPr>
            <w:tcW w:w="2835" w:type="dxa"/>
            <w:vAlign w:val="center"/>
          </w:tcPr>
          <w:p w14:paraId="4C52BECB">
            <w:pPr>
              <w:pStyle w:val="10"/>
            </w:pPr>
            <w:r>
              <w:t>其中：财政    资金</w:t>
            </w:r>
          </w:p>
        </w:tc>
        <w:tc>
          <w:tcPr>
            <w:tcW w:w="2551" w:type="dxa"/>
            <w:vAlign w:val="center"/>
          </w:tcPr>
          <w:p w14:paraId="39C9C001">
            <w:pPr>
              <w:pStyle w:val="12"/>
            </w:pPr>
            <w:r>
              <w:t>465.10</w:t>
            </w:r>
          </w:p>
        </w:tc>
        <w:tc>
          <w:tcPr>
            <w:tcW w:w="2268" w:type="dxa"/>
            <w:vAlign w:val="center"/>
          </w:tcPr>
          <w:p w14:paraId="4B8586FE">
            <w:pPr>
              <w:pStyle w:val="10"/>
            </w:pPr>
            <w:r>
              <w:t>其他资金</w:t>
            </w:r>
          </w:p>
        </w:tc>
        <w:tc>
          <w:tcPr>
            <w:tcW w:w="1276" w:type="dxa"/>
            <w:vAlign w:val="center"/>
          </w:tcPr>
          <w:p w14:paraId="40A8717D">
            <w:pPr>
              <w:pStyle w:val="12"/>
            </w:pPr>
            <w:r>
              <w:t xml:space="preserve"> </w:t>
            </w:r>
          </w:p>
        </w:tc>
      </w:tr>
      <w:tr w14:paraId="01E12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7A5F0"/>
        </w:tc>
        <w:tc>
          <w:tcPr>
            <w:tcW w:w="14033" w:type="dxa"/>
            <w:gridSpan w:val="6"/>
            <w:vAlign w:val="center"/>
          </w:tcPr>
          <w:p w14:paraId="0546F3D6">
            <w:pPr>
              <w:pStyle w:val="12"/>
            </w:pPr>
            <w:r>
              <w:t>完成教育教学活动和其他日常工作任务等方面的费用支出。</w:t>
            </w:r>
          </w:p>
        </w:tc>
      </w:tr>
      <w:tr w14:paraId="39F29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FEFD3">
            <w:pPr>
              <w:pStyle w:val="10"/>
            </w:pPr>
            <w:r>
              <w:t>资金支出计划（%）</w:t>
            </w:r>
          </w:p>
        </w:tc>
        <w:tc>
          <w:tcPr>
            <w:tcW w:w="5103" w:type="dxa"/>
            <w:gridSpan w:val="2"/>
            <w:vAlign w:val="center"/>
          </w:tcPr>
          <w:p w14:paraId="7701F575">
            <w:pPr>
              <w:pStyle w:val="10"/>
            </w:pPr>
            <w:r>
              <w:t>3月底</w:t>
            </w:r>
          </w:p>
        </w:tc>
        <w:tc>
          <w:tcPr>
            <w:tcW w:w="2835" w:type="dxa"/>
            <w:vAlign w:val="center"/>
          </w:tcPr>
          <w:p w14:paraId="70A3288E">
            <w:pPr>
              <w:pStyle w:val="10"/>
            </w:pPr>
            <w:r>
              <w:t>6月底</w:t>
            </w:r>
          </w:p>
        </w:tc>
        <w:tc>
          <w:tcPr>
            <w:tcW w:w="2551" w:type="dxa"/>
            <w:vAlign w:val="center"/>
          </w:tcPr>
          <w:p w14:paraId="09503A9F">
            <w:pPr>
              <w:pStyle w:val="10"/>
            </w:pPr>
            <w:r>
              <w:t>10月底</w:t>
            </w:r>
          </w:p>
        </w:tc>
        <w:tc>
          <w:tcPr>
            <w:tcW w:w="3544" w:type="dxa"/>
            <w:gridSpan w:val="2"/>
            <w:vAlign w:val="center"/>
          </w:tcPr>
          <w:p w14:paraId="361BE44D">
            <w:pPr>
              <w:pStyle w:val="10"/>
            </w:pPr>
            <w:r>
              <w:t>12月底</w:t>
            </w:r>
          </w:p>
        </w:tc>
      </w:tr>
      <w:tr w14:paraId="5D3E0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C5FC3"/>
        </w:tc>
        <w:tc>
          <w:tcPr>
            <w:tcW w:w="5103" w:type="dxa"/>
            <w:gridSpan w:val="2"/>
            <w:vAlign w:val="center"/>
          </w:tcPr>
          <w:p w14:paraId="57D44F58">
            <w:pPr>
              <w:pStyle w:val="13"/>
            </w:pPr>
            <w:r>
              <w:t>25%</w:t>
            </w:r>
          </w:p>
        </w:tc>
        <w:tc>
          <w:tcPr>
            <w:tcW w:w="2835" w:type="dxa"/>
            <w:vAlign w:val="center"/>
          </w:tcPr>
          <w:p w14:paraId="4B941EBA">
            <w:pPr>
              <w:pStyle w:val="13"/>
            </w:pPr>
            <w:r>
              <w:t>50%</w:t>
            </w:r>
          </w:p>
        </w:tc>
        <w:tc>
          <w:tcPr>
            <w:tcW w:w="2551" w:type="dxa"/>
            <w:vAlign w:val="center"/>
          </w:tcPr>
          <w:p w14:paraId="37D47DBD">
            <w:pPr>
              <w:pStyle w:val="13"/>
            </w:pPr>
            <w:r>
              <w:t>75%</w:t>
            </w:r>
          </w:p>
        </w:tc>
        <w:tc>
          <w:tcPr>
            <w:tcW w:w="3544" w:type="dxa"/>
            <w:gridSpan w:val="2"/>
            <w:vAlign w:val="center"/>
          </w:tcPr>
          <w:p w14:paraId="56196462">
            <w:pPr>
              <w:pStyle w:val="13"/>
            </w:pPr>
            <w:r>
              <w:t>100%</w:t>
            </w:r>
          </w:p>
        </w:tc>
      </w:tr>
      <w:tr w14:paraId="242E3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33981">
            <w:pPr>
              <w:pStyle w:val="10"/>
            </w:pPr>
            <w:r>
              <w:t>绩效目标</w:t>
            </w:r>
          </w:p>
        </w:tc>
        <w:tc>
          <w:tcPr>
            <w:tcW w:w="14033" w:type="dxa"/>
            <w:gridSpan w:val="6"/>
            <w:vAlign w:val="center"/>
          </w:tcPr>
          <w:p w14:paraId="5FF62EAA">
            <w:pPr>
              <w:pStyle w:val="12"/>
            </w:pPr>
            <w:r>
              <w:t>1.完成教育教学活动和其他日常工作任务等方面的费用支出。</w:t>
            </w:r>
          </w:p>
          <w:p w14:paraId="5EF89B7A">
            <w:pPr>
              <w:pStyle w:val="12"/>
            </w:pPr>
            <w:r>
              <w:t>2.按规定拨付公用经费资金4651000元，资金拨付率达到100%</w:t>
            </w:r>
          </w:p>
          <w:p w14:paraId="5516E01F">
            <w:pPr>
              <w:pStyle w:val="12"/>
            </w:pPr>
            <w:r>
              <w:t>3.保障高中教育学校正常运转，提高教学质量</w:t>
            </w:r>
          </w:p>
        </w:tc>
      </w:tr>
    </w:tbl>
    <w:p w14:paraId="13090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1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A6E54">
            <w:pPr>
              <w:pStyle w:val="10"/>
            </w:pPr>
            <w:r>
              <w:t>一级指标</w:t>
            </w:r>
          </w:p>
        </w:tc>
        <w:tc>
          <w:tcPr>
            <w:tcW w:w="2268" w:type="dxa"/>
            <w:vAlign w:val="center"/>
          </w:tcPr>
          <w:p w14:paraId="3D24C5BB">
            <w:pPr>
              <w:pStyle w:val="10"/>
            </w:pPr>
            <w:r>
              <w:t>二级指标</w:t>
            </w:r>
          </w:p>
        </w:tc>
        <w:tc>
          <w:tcPr>
            <w:tcW w:w="2835" w:type="dxa"/>
            <w:vAlign w:val="center"/>
          </w:tcPr>
          <w:p w14:paraId="25CC807D">
            <w:pPr>
              <w:pStyle w:val="10"/>
            </w:pPr>
            <w:r>
              <w:t>三级指标</w:t>
            </w:r>
          </w:p>
        </w:tc>
        <w:tc>
          <w:tcPr>
            <w:tcW w:w="5386" w:type="dxa"/>
            <w:vAlign w:val="center"/>
          </w:tcPr>
          <w:p w14:paraId="0BDDE95C">
            <w:pPr>
              <w:pStyle w:val="10"/>
            </w:pPr>
            <w:r>
              <w:t>绩效指标描述</w:t>
            </w:r>
          </w:p>
        </w:tc>
        <w:tc>
          <w:tcPr>
            <w:tcW w:w="2268" w:type="dxa"/>
            <w:vAlign w:val="center"/>
          </w:tcPr>
          <w:p w14:paraId="68DC6701">
            <w:pPr>
              <w:pStyle w:val="10"/>
            </w:pPr>
            <w:r>
              <w:t>指标值</w:t>
            </w:r>
          </w:p>
        </w:tc>
        <w:tc>
          <w:tcPr>
            <w:tcW w:w="1276" w:type="dxa"/>
            <w:vAlign w:val="center"/>
          </w:tcPr>
          <w:p w14:paraId="31F88FB1">
            <w:pPr>
              <w:pStyle w:val="10"/>
            </w:pPr>
            <w:r>
              <w:t>指标值确定依据</w:t>
            </w:r>
          </w:p>
        </w:tc>
      </w:tr>
      <w:tr w14:paraId="261C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FA221">
            <w:pPr>
              <w:pStyle w:val="13"/>
            </w:pPr>
            <w:r>
              <w:t>产出指标</w:t>
            </w:r>
          </w:p>
        </w:tc>
        <w:tc>
          <w:tcPr>
            <w:tcW w:w="2268" w:type="dxa"/>
            <w:vAlign w:val="center"/>
          </w:tcPr>
          <w:p w14:paraId="4BB4A560">
            <w:pPr>
              <w:pStyle w:val="12"/>
            </w:pPr>
            <w:r>
              <w:t>数量指标</w:t>
            </w:r>
          </w:p>
        </w:tc>
        <w:tc>
          <w:tcPr>
            <w:tcW w:w="2835" w:type="dxa"/>
            <w:vAlign w:val="center"/>
          </w:tcPr>
          <w:p w14:paraId="041746A4">
            <w:pPr>
              <w:pStyle w:val="12"/>
            </w:pPr>
            <w:r>
              <w:t>在校生</w:t>
            </w:r>
          </w:p>
        </w:tc>
        <w:tc>
          <w:tcPr>
            <w:tcW w:w="5386" w:type="dxa"/>
            <w:vAlign w:val="center"/>
          </w:tcPr>
          <w:p w14:paraId="156431C5">
            <w:pPr>
              <w:pStyle w:val="12"/>
            </w:pPr>
            <w:r>
              <w:t>学校实际注册学籍人数</w:t>
            </w:r>
          </w:p>
        </w:tc>
        <w:tc>
          <w:tcPr>
            <w:tcW w:w="2268" w:type="dxa"/>
            <w:vAlign w:val="center"/>
          </w:tcPr>
          <w:p w14:paraId="393DF3B2">
            <w:pPr>
              <w:pStyle w:val="12"/>
            </w:pPr>
            <w:r>
              <w:t>4651人</w:t>
            </w:r>
          </w:p>
        </w:tc>
        <w:tc>
          <w:tcPr>
            <w:tcW w:w="1276" w:type="dxa"/>
            <w:vAlign w:val="center"/>
          </w:tcPr>
          <w:p w14:paraId="0D690DDC">
            <w:pPr>
              <w:pStyle w:val="12"/>
            </w:pPr>
            <w:r>
              <w:t>普通高中公用经费管理办法</w:t>
            </w:r>
          </w:p>
        </w:tc>
      </w:tr>
      <w:tr w14:paraId="4AB3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6EF1F"/>
        </w:tc>
        <w:tc>
          <w:tcPr>
            <w:tcW w:w="2268" w:type="dxa"/>
            <w:vAlign w:val="center"/>
          </w:tcPr>
          <w:p w14:paraId="60B4D4F2">
            <w:pPr>
              <w:pStyle w:val="12"/>
            </w:pPr>
            <w:r>
              <w:t>质量指标</w:t>
            </w:r>
          </w:p>
        </w:tc>
        <w:tc>
          <w:tcPr>
            <w:tcW w:w="2835" w:type="dxa"/>
            <w:vAlign w:val="center"/>
          </w:tcPr>
          <w:p w14:paraId="3CF58A5B">
            <w:pPr>
              <w:pStyle w:val="12"/>
            </w:pPr>
            <w:r>
              <w:t>提升办学质量</w:t>
            </w:r>
          </w:p>
        </w:tc>
        <w:tc>
          <w:tcPr>
            <w:tcW w:w="5386" w:type="dxa"/>
            <w:vAlign w:val="center"/>
          </w:tcPr>
          <w:p w14:paraId="0DC4D67D">
            <w:pPr>
              <w:pStyle w:val="12"/>
            </w:pPr>
            <w:r>
              <w:t>按学校实际工作运转需求，按季度办理资金拨付</w:t>
            </w:r>
          </w:p>
        </w:tc>
        <w:tc>
          <w:tcPr>
            <w:tcW w:w="2268" w:type="dxa"/>
            <w:vAlign w:val="center"/>
          </w:tcPr>
          <w:p w14:paraId="7177E45C">
            <w:pPr>
              <w:pStyle w:val="12"/>
            </w:pPr>
            <w:r>
              <w:t>100%</w:t>
            </w:r>
          </w:p>
        </w:tc>
        <w:tc>
          <w:tcPr>
            <w:tcW w:w="1276" w:type="dxa"/>
            <w:vAlign w:val="center"/>
          </w:tcPr>
          <w:p w14:paraId="3280F7F1">
            <w:pPr>
              <w:pStyle w:val="12"/>
            </w:pPr>
            <w:r>
              <w:t>普通高中公用经费管理办法</w:t>
            </w:r>
          </w:p>
        </w:tc>
      </w:tr>
      <w:tr w14:paraId="7B6CE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9B8A"/>
        </w:tc>
        <w:tc>
          <w:tcPr>
            <w:tcW w:w="2268" w:type="dxa"/>
            <w:vAlign w:val="center"/>
          </w:tcPr>
          <w:p w14:paraId="4FFD1FFC">
            <w:pPr>
              <w:pStyle w:val="12"/>
            </w:pPr>
            <w:r>
              <w:t>时效指标</w:t>
            </w:r>
          </w:p>
        </w:tc>
        <w:tc>
          <w:tcPr>
            <w:tcW w:w="2835" w:type="dxa"/>
            <w:vAlign w:val="center"/>
          </w:tcPr>
          <w:p w14:paraId="46A4C7FC">
            <w:pPr>
              <w:pStyle w:val="12"/>
            </w:pPr>
            <w:r>
              <w:t>资金支付率</w:t>
            </w:r>
          </w:p>
        </w:tc>
        <w:tc>
          <w:tcPr>
            <w:tcW w:w="5386" w:type="dxa"/>
            <w:vAlign w:val="center"/>
          </w:tcPr>
          <w:p w14:paraId="232B313E">
            <w:pPr>
              <w:pStyle w:val="12"/>
            </w:pPr>
            <w:r>
              <w:t>按照项目进度完成资金支付</w:t>
            </w:r>
          </w:p>
        </w:tc>
        <w:tc>
          <w:tcPr>
            <w:tcW w:w="2268" w:type="dxa"/>
            <w:vAlign w:val="center"/>
          </w:tcPr>
          <w:p w14:paraId="20FB4B95">
            <w:pPr>
              <w:pStyle w:val="12"/>
            </w:pPr>
            <w:r>
              <w:t>100%</w:t>
            </w:r>
          </w:p>
        </w:tc>
        <w:tc>
          <w:tcPr>
            <w:tcW w:w="1276" w:type="dxa"/>
            <w:vAlign w:val="center"/>
          </w:tcPr>
          <w:p w14:paraId="1C3365DC">
            <w:pPr>
              <w:pStyle w:val="12"/>
            </w:pPr>
            <w:r>
              <w:t>普通高中公用经费管理办法</w:t>
            </w:r>
          </w:p>
        </w:tc>
      </w:tr>
      <w:tr w14:paraId="3791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4B352"/>
        </w:tc>
        <w:tc>
          <w:tcPr>
            <w:tcW w:w="2268" w:type="dxa"/>
            <w:vAlign w:val="center"/>
          </w:tcPr>
          <w:p w14:paraId="64C10886">
            <w:pPr>
              <w:pStyle w:val="12"/>
            </w:pPr>
            <w:r>
              <w:t>成本指标</w:t>
            </w:r>
          </w:p>
        </w:tc>
        <w:tc>
          <w:tcPr>
            <w:tcW w:w="2835" w:type="dxa"/>
            <w:vAlign w:val="center"/>
          </w:tcPr>
          <w:p w14:paraId="3D8CBA05">
            <w:pPr>
              <w:pStyle w:val="12"/>
            </w:pPr>
            <w:r>
              <w:t>生均财政投入</w:t>
            </w:r>
          </w:p>
        </w:tc>
        <w:tc>
          <w:tcPr>
            <w:tcW w:w="5386" w:type="dxa"/>
            <w:vAlign w:val="center"/>
          </w:tcPr>
          <w:p w14:paraId="4543565B">
            <w:pPr>
              <w:pStyle w:val="12"/>
            </w:pPr>
            <w:r>
              <w:t>普通高中最低标准</w:t>
            </w:r>
          </w:p>
        </w:tc>
        <w:tc>
          <w:tcPr>
            <w:tcW w:w="2268" w:type="dxa"/>
            <w:vAlign w:val="center"/>
          </w:tcPr>
          <w:p w14:paraId="23F04969">
            <w:pPr>
              <w:pStyle w:val="12"/>
            </w:pPr>
            <w:r>
              <w:t>500元/人/学期</w:t>
            </w:r>
          </w:p>
        </w:tc>
        <w:tc>
          <w:tcPr>
            <w:tcW w:w="1276" w:type="dxa"/>
            <w:vAlign w:val="center"/>
          </w:tcPr>
          <w:p w14:paraId="47EEB6C5">
            <w:pPr>
              <w:pStyle w:val="12"/>
            </w:pPr>
            <w:r>
              <w:t>冀教基【2019】30号</w:t>
            </w:r>
          </w:p>
        </w:tc>
      </w:tr>
      <w:tr w14:paraId="4C97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0167D">
            <w:pPr>
              <w:pStyle w:val="13"/>
            </w:pPr>
            <w:r>
              <w:t>效益指标</w:t>
            </w:r>
          </w:p>
        </w:tc>
        <w:tc>
          <w:tcPr>
            <w:tcW w:w="2268" w:type="dxa"/>
            <w:vAlign w:val="center"/>
          </w:tcPr>
          <w:p w14:paraId="017EA8E1">
            <w:pPr>
              <w:pStyle w:val="12"/>
            </w:pPr>
            <w:r>
              <w:t>社会效益指标</w:t>
            </w:r>
          </w:p>
        </w:tc>
        <w:tc>
          <w:tcPr>
            <w:tcW w:w="2835" w:type="dxa"/>
            <w:vAlign w:val="center"/>
          </w:tcPr>
          <w:p w14:paraId="71C4F37A">
            <w:pPr>
              <w:pStyle w:val="12"/>
            </w:pPr>
            <w:r>
              <w:t>学校办学能力提升</w:t>
            </w:r>
          </w:p>
        </w:tc>
        <w:tc>
          <w:tcPr>
            <w:tcW w:w="5386" w:type="dxa"/>
            <w:vAlign w:val="center"/>
          </w:tcPr>
          <w:p w14:paraId="37723B6B">
            <w:pPr>
              <w:pStyle w:val="12"/>
            </w:pPr>
            <w:r>
              <w:t>改善教学条件，提高学生和家长满意度，提高优生率</w:t>
            </w:r>
          </w:p>
        </w:tc>
        <w:tc>
          <w:tcPr>
            <w:tcW w:w="2268" w:type="dxa"/>
            <w:vAlign w:val="center"/>
          </w:tcPr>
          <w:p w14:paraId="22D1FACB">
            <w:pPr>
              <w:pStyle w:val="12"/>
            </w:pPr>
            <w:r>
              <w:t>≥90%</w:t>
            </w:r>
          </w:p>
        </w:tc>
        <w:tc>
          <w:tcPr>
            <w:tcW w:w="1276" w:type="dxa"/>
            <w:vAlign w:val="center"/>
          </w:tcPr>
          <w:p w14:paraId="2DB038CA">
            <w:pPr>
              <w:pStyle w:val="12"/>
            </w:pPr>
            <w:r>
              <w:t>普通高中公用经费管理办法</w:t>
            </w:r>
          </w:p>
        </w:tc>
      </w:tr>
      <w:tr w14:paraId="628A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723A2">
            <w:pPr>
              <w:pStyle w:val="13"/>
            </w:pPr>
            <w:r>
              <w:t>满意度指标</w:t>
            </w:r>
          </w:p>
        </w:tc>
        <w:tc>
          <w:tcPr>
            <w:tcW w:w="2268" w:type="dxa"/>
            <w:vAlign w:val="center"/>
          </w:tcPr>
          <w:p w14:paraId="61D20725">
            <w:pPr>
              <w:pStyle w:val="12"/>
            </w:pPr>
            <w:r>
              <w:t>服务对象满意度指标</w:t>
            </w:r>
          </w:p>
        </w:tc>
        <w:tc>
          <w:tcPr>
            <w:tcW w:w="2835" w:type="dxa"/>
            <w:vAlign w:val="center"/>
          </w:tcPr>
          <w:p w14:paraId="48F71735">
            <w:pPr>
              <w:pStyle w:val="12"/>
            </w:pPr>
            <w:r>
              <w:t>受益学生家长及调查满意度</w:t>
            </w:r>
          </w:p>
        </w:tc>
        <w:tc>
          <w:tcPr>
            <w:tcW w:w="5386" w:type="dxa"/>
            <w:vAlign w:val="center"/>
          </w:tcPr>
          <w:p w14:paraId="10CAB0D8">
            <w:pPr>
              <w:pStyle w:val="12"/>
            </w:pPr>
            <w:r>
              <w:t>学生、教师及家长对学校工作满意度情况</w:t>
            </w:r>
          </w:p>
        </w:tc>
        <w:tc>
          <w:tcPr>
            <w:tcW w:w="2268" w:type="dxa"/>
            <w:vAlign w:val="center"/>
          </w:tcPr>
          <w:p w14:paraId="7CC522D8">
            <w:pPr>
              <w:pStyle w:val="12"/>
            </w:pPr>
            <w:r>
              <w:t>≥98%</w:t>
            </w:r>
          </w:p>
        </w:tc>
        <w:tc>
          <w:tcPr>
            <w:tcW w:w="1276" w:type="dxa"/>
            <w:vAlign w:val="center"/>
          </w:tcPr>
          <w:p w14:paraId="518C1831">
            <w:pPr>
              <w:pStyle w:val="12"/>
            </w:pPr>
            <w:r>
              <w:t>普通高中公用经费管理办法</w:t>
            </w:r>
          </w:p>
        </w:tc>
      </w:tr>
    </w:tbl>
    <w:p w14:paraId="43D36B61">
      <w:pPr>
        <w:sectPr>
          <w:pgSz w:w="16840" w:h="11900" w:orient="landscape"/>
          <w:pgMar w:top="1361" w:right="1020" w:bottom="1134" w:left="1020" w:header="720" w:footer="720" w:gutter="0"/>
          <w:cols w:space="720" w:num="1"/>
        </w:sectPr>
      </w:pPr>
    </w:p>
    <w:p w14:paraId="049B48F3">
      <w:pPr>
        <w:spacing w:before="0" w:after="0"/>
        <w:ind w:firstLine="560"/>
        <w:jc w:val="left"/>
        <w:outlineLvl w:val="9"/>
      </w:pPr>
      <w:r>
        <w:rPr>
          <w:rFonts w:ascii="方正仿宋_GBK" w:hAnsi="方正仿宋_GBK" w:eastAsia="方正仿宋_GBK" w:cs="方正仿宋_GBK"/>
          <w:b/>
          <w:color w:val="000000"/>
          <w:sz w:val="28"/>
        </w:rPr>
        <w:t>14、普通高中专项经费/隆尧一中绩效目标表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F5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2F860">
            <w:pPr>
              <w:pStyle w:val="11"/>
            </w:pPr>
            <w:r>
              <w:t>单位：万元</w:t>
            </w:r>
          </w:p>
        </w:tc>
      </w:tr>
      <w:tr w14:paraId="6FB10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49BD9">
            <w:pPr>
              <w:pStyle w:val="10"/>
            </w:pPr>
            <w:r>
              <w:t>项目编码</w:t>
            </w:r>
          </w:p>
        </w:tc>
        <w:tc>
          <w:tcPr>
            <w:tcW w:w="5103" w:type="dxa"/>
            <w:gridSpan w:val="2"/>
            <w:vAlign w:val="center"/>
          </w:tcPr>
          <w:p w14:paraId="242FA07C">
            <w:pPr>
              <w:pStyle w:val="12"/>
            </w:pPr>
            <w:r>
              <w:t>13052526P00000210033H</w:t>
            </w:r>
          </w:p>
        </w:tc>
        <w:tc>
          <w:tcPr>
            <w:tcW w:w="2835" w:type="dxa"/>
            <w:vAlign w:val="center"/>
          </w:tcPr>
          <w:p w14:paraId="4BBBB027">
            <w:pPr>
              <w:pStyle w:val="10"/>
            </w:pPr>
            <w:r>
              <w:t>项目名称</w:t>
            </w:r>
          </w:p>
        </w:tc>
        <w:tc>
          <w:tcPr>
            <w:tcW w:w="6095" w:type="dxa"/>
            <w:gridSpan w:val="3"/>
            <w:vAlign w:val="center"/>
          </w:tcPr>
          <w:p w14:paraId="1F81412D">
            <w:pPr>
              <w:pStyle w:val="12"/>
            </w:pPr>
            <w:r>
              <w:t>普通高中专项经费/隆尧一中</w:t>
            </w:r>
          </w:p>
        </w:tc>
      </w:tr>
      <w:tr w14:paraId="5676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05EC2">
            <w:pPr>
              <w:pStyle w:val="10"/>
            </w:pPr>
            <w:r>
              <w:t>预算规模及资金用途</w:t>
            </w:r>
          </w:p>
        </w:tc>
        <w:tc>
          <w:tcPr>
            <w:tcW w:w="2268" w:type="dxa"/>
            <w:vAlign w:val="center"/>
          </w:tcPr>
          <w:p w14:paraId="33573ECE">
            <w:pPr>
              <w:pStyle w:val="10"/>
            </w:pPr>
            <w:r>
              <w:t>预算数</w:t>
            </w:r>
          </w:p>
        </w:tc>
        <w:tc>
          <w:tcPr>
            <w:tcW w:w="2835" w:type="dxa"/>
            <w:vAlign w:val="center"/>
          </w:tcPr>
          <w:p w14:paraId="149314D2">
            <w:pPr>
              <w:pStyle w:val="12"/>
            </w:pPr>
            <w:r>
              <w:t>877.26</w:t>
            </w:r>
          </w:p>
        </w:tc>
        <w:tc>
          <w:tcPr>
            <w:tcW w:w="2835" w:type="dxa"/>
            <w:vAlign w:val="center"/>
          </w:tcPr>
          <w:p w14:paraId="6CF3473E">
            <w:pPr>
              <w:pStyle w:val="10"/>
            </w:pPr>
            <w:r>
              <w:t>其中：财政    资金</w:t>
            </w:r>
          </w:p>
        </w:tc>
        <w:tc>
          <w:tcPr>
            <w:tcW w:w="2551" w:type="dxa"/>
            <w:vAlign w:val="center"/>
          </w:tcPr>
          <w:p w14:paraId="2E02AA7D">
            <w:pPr>
              <w:pStyle w:val="12"/>
            </w:pPr>
            <w:r>
              <w:t>877.26</w:t>
            </w:r>
          </w:p>
        </w:tc>
        <w:tc>
          <w:tcPr>
            <w:tcW w:w="2268" w:type="dxa"/>
            <w:vAlign w:val="center"/>
          </w:tcPr>
          <w:p w14:paraId="2CAFD44B">
            <w:pPr>
              <w:pStyle w:val="10"/>
            </w:pPr>
            <w:r>
              <w:t>其他资金</w:t>
            </w:r>
          </w:p>
        </w:tc>
        <w:tc>
          <w:tcPr>
            <w:tcW w:w="1276" w:type="dxa"/>
            <w:vAlign w:val="center"/>
          </w:tcPr>
          <w:p w14:paraId="4287C216">
            <w:pPr>
              <w:pStyle w:val="12"/>
            </w:pPr>
            <w:r>
              <w:t xml:space="preserve"> </w:t>
            </w:r>
          </w:p>
        </w:tc>
      </w:tr>
      <w:tr w14:paraId="4A0E1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E285E"/>
        </w:tc>
        <w:tc>
          <w:tcPr>
            <w:tcW w:w="14033" w:type="dxa"/>
            <w:gridSpan w:val="6"/>
            <w:vAlign w:val="center"/>
          </w:tcPr>
          <w:p w14:paraId="7970E924">
            <w:pPr>
              <w:pStyle w:val="12"/>
            </w:pPr>
            <w:r>
              <w:t>维持学校正常运转和保持正常教育教学秩序，保证经费合理支出。</w:t>
            </w:r>
          </w:p>
        </w:tc>
      </w:tr>
      <w:tr w14:paraId="6F8EE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0DD1B">
            <w:pPr>
              <w:pStyle w:val="10"/>
            </w:pPr>
            <w:r>
              <w:t>资金支出计划（%）</w:t>
            </w:r>
          </w:p>
        </w:tc>
        <w:tc>
          <w:tcPr>
            <w:tcW w:w="5103" w:type="dxa"/>
            <w:gridSpan w:val="2"/>
            <w:vAlign w:val="center"/>
          </w:tcPr>
          <w:p w14:paraId="4AD37F57">
            <w:pPr>
              <w:pStyle w:val="10"/>
            </w:pPr>
            <w:r>
              <w:t>3月底</w:t>
            </w:r>
          </w:p>
        </w:tc>
        <w:tc>
          <w:tcPr>
            <w:tcW w:w="2835" w:type="dxa"/>
            <w:vAlign w:val="center"/>
          </w:tcPr>
          <w:p w14:paraId="4849C256">
            <w:pPr>
              <w:pStyle w:val="10"/>
            </w:pPr>
            <w:r>
              <w:t>6月底</w:t>
            </w:r>
          </w:p>
        </w:tc>
        <w:tc>
          <w:tcPr>
            <w:tcW w:w="2551" w:type="dxa"/>
            <w:vAlign w:val="center"/>
          </w:tcPr>
          <w:p w14:paraId="3BAA9292">
            <w:pPr>
              <w:pStyle w:val="10"/>
            </w:pPr>
            <w:r>
              <w:t>10月底</w:t>
            </w:r>
          </w:p>
        </w:tc>
        <w:tc>
          <w:tcPr>
            <w:tcW w:w="3544" w:type="dxa"/>
            <w:gridSpan w:val="2"/>
            <w:vAlign w:val="center"/>
          </w:tcPr>
          <w:p w14:paraId="22A18A16">
            <w:pPr>
              <w:pStyle w:val="10"/>
            </w:pPr>
            <w:r>
              <w:t>12月底</w:t>
            </w:r>
          </w:p>
        </w:tc>
      </w:tr>
      <w:tr w14:paraId="54A13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71D5B"/>
        </w:tc>
        <w:tc>
          <w:tcPr>
            <w:tcW w:w="5103" w:type="dxa"/>
            <w:gridSpan w:val="2"/>
            <w:vAlign w:val="center"/>
          </w:tcPr>
          <w:p w14:paraId="22C6B13B">
            <w:pPr>
              <w:pStyle w:val="13"/>
            </w:pPr>
            <w:r>
              <w:t>25%</w:t>
            </w:r>
          </w:p>
        </w:tc>
        <w:tc>
          <w:tcPr>
            <w:tcW w:w="2835" w:type="dxa"/>
            <w:vAlign w:val="center"/>
          </w:tcPr>
          <w:p w14:paraId="1E5D0A8D">
            <w:pPr>
              <w:pStyle w:val="13"/>
            </w:pPr>
            <w:r>
              <w:t>50%</w:t>
            </w:r>
          </w:p>
        </w:tc>
        <w:tc>
          <w:tcPr>
            <w:tcW w:w="2551" w:type="dxa"/>
            <w:vAlign w:val="center"/>
          </w:tcPr>
          <w:p w14:paraId="18D4213E">
            <w:pPr>
              <w:pStyle w:val="13"/>
            </w:pPr>
            <w:r>
              <w:t>75%</w:t>
            </w:r>
          </w:p>
        </w:tc>
        <w:tc>
          <w:tcPr>
            <w:tcW w:w="3544" w:type="dxa"/>
            <w:gridSpan w:val="2"/>
            <w:vAlign w:val="center"/>
          </w:tcPr>
          <w:p w14:paraId="7A70930E">
            <w:pPr>
              <w:pStyle w:val="13"/>
            </w:pPr>
            <w:r>
              <w:t>100%</w:t>
            </w:r>
          </w:p>
        </w:tc>
      </w:tr>
      <w:tr w14:paraId="4D487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DA2F9">
            <w:pPr>
              <w:pStyle w:val="10"/>
            </w:pPr>
            <w:r>
              <w:t>绩效目标</w:t>
            </w:r>
          </w:p>
        </w:tc>
        <w:tc>
          <w:tcPr>
            <w:tcW w:w="14033" w:type="dxa"/>
            <w:gridSpan w:val="6"/>
            <w:vAlign w:val="center"/>
          </w:tcPr>
          <w:p w14:paraId="327693D8">
            <w:pPr>
              <w:pStyle w:val="12"/>
            </w:pPr>
            <w:r>
              <w:t>1.按实际收取数额上缴入户，资金拨付率达到100%</w:t>
            </w:r>
          </w:p>
          <w:p w14:paraId="1626942C">
            <w:pPr>
              <w:pStyle w:val="12"/>
            </w:pPr>
            <w:r>
              <w:t>2.按时完成学住费收缴并全额上缴财政专户。</w:t>
            </w:r>
          </w:p>
          <w:p w14:paraId="02C302F6">
            <w:pPr>
              <w:pStyle w:val="12"/>
            </w:pPr>
            <w:r>
              <w:t>3.维持学校正常运转和保持正常教育教学秩序，保证经费合理支出。</w:t>
            </w:r>
          </w:p>
        </w:tc>
      </w:tr>
    </w:tbl>
    <w:p w14:paraId="2CF8B5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5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CCE9B">
            <w:pPr>
              <w:pStyle w:val="10"/>
            </w:pPr>
            <w:r>
              <w:t>一级指标</w:t>
            </w:r>
          </w:p>
        </w:tc>
        <w:tc>
          <w:tcPr>
            <w:tcW w:w="2268" w:type="dxa"/>
            <w:vAlign w:val="center"/>
          </w:tcPr>
          <w:p w14:paraId="2393BFCA">
            <w:pPr>
              <w:pStyle w:val="10"/>
            </w:pPr>
            <w:r>
              <w:t>二级指标</w:t>
            </w:r>
          </w:p>
        </w:tc>
        <w:tc>
          <w:tcPr>
            <w:tcW w:w="2835" w:type="dxa"/>
            <w:vAlign w:val="center"/>
          </w:tcPr>
          <w:p w14:paraId="7BEC184B">
            <w:pPr>
              <w:pStyle w:val="10"/>
            </w:pPr>
            <w:r>
              <w:t>三级指标</w:t>
            </w:r>
          </w:p>
        </w:tc>
        <w:tc>
          <w:tcPr>
            <w:tcW w:w="5386" w:type="dxa"/>
            <w:vAlign w:val="center"/>
          </w:tcPr>
          <w:p w14:paraId="1BD93A96">
            <w:pPr>
              <w:pStyle w:val="10"/>
            </w:pPr>
            <w:r>
              <w:t>绩效指标描述</w:t>
            </w:r>
          </w:p>
        </w:tc>
        <w:tc>
          <w:tcPr>
            <w:tcW w:w="2268" w:type="dxa"/>
            <w:vAlign w:val="center"/>
          </w:tcPr>
          <w:p w14:paraId="13D52C8E">
            <w:pPr>
              <w:pStyle w:val="10"/>
            </w:pPr>
            <w:r>
              <w:t>指标值</w:t>
            </w:r>
          </w:p>
        </w:tc>
        <w:tc>
          <w:tcPr>
            <w:tcW w:w="1276" w:type="dxa"/>
            <w:vAlign w:val="center"/>
          </w:tcPr>
          <w:p w14:paraId="38EA29D0">
            <w:pPr>
              <w:pStyle w:val="10"/>
            </w:pPr>
            <w:r>
              <w:t>指标值确定依据</w:t>
            </w:r>
          </w:p>
        </w:tc>
      </w:tr>
      <w:tr w14:paraId="2596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4B18E">
            <w:pPr>
              <w:pStyle w:val="13"/>
            </w:pPr>
            <w:r>
              <w:t>产出指标</w:t>
            </w:r>
          </w:p>
        </w:tc>
        <w:tc>
          <w:tcPr>
            <w:tcW w:w="2268" w:type="dxa"/>
            <w:vAlign w:val="center"/>
          </w:tcPr>
          <w:p w14:paraId="198E5E14">
            <w:pPr>
              <w:pStyle w:val="12"/>
            </w:pPr>
            <w:r>
              <w:t>数量指标</w:t>
            </w:r>
          </w:p>
        </w:tc>
        <w:tc>
          <w:tcPr>
            <w:tcW w:w="2835" w:type="dxa"/>
            <w:vAlign w:val="center"/>
          </w:tcPr>
          <w:p w14:paraId="4DC5DE57">
            <w:pPr>
              <w:pStyle w:val="12"/>
            </w:pPr>
            <w:r>
              <w:t>在校生</w:t>
            </w:r>
          </w:p>
        </w:tc>
        <w:tc>
          <w:tcPr>
            <w:tcW w:w="5386" w:type="dxa"/>
            <w:vAlign w:val="center"/>
          </w:tcPr>
          <w:p w14:paraId="36D991E5">
            <w:pPr>
              <w:pStyle w:val="12"/>
            </w:pPr>
            <w:r>
              <w:t>实际注册学籍人数</w:t>
            </w:r>
          </w:p>
        </w:tc>
        <w:tc>
          <w:tcPr>
            <w:tcW w:w="2268" w:type="dxa"/>
            <w:vAlign w:val="center"/>
          </w:tcPr>
          <w:p w14:paraId="2A32D5C2">
            <w:pPr>
              <w:pStyle w:val="12"/>
            </w:pPr>
            <w:r>
              <w:t>≥4651人</w:t>
            </w:r>
          </w:p>
        </w:tc>
        <w:tc>
          <w:tcPr>
            <w:tcW w:w="1276" w:type="dxa"/>
            <w:vAlign w:val="center"/>
          </w:tcPr>
          <w:p w14:paraId="7DADDBC8">
            <w:pPr>
              <w:pStyle w:val="12"/>
            </w:pPr>
            <w:r>
              <w:t>普通高中专项资金管理办法</w:t>
            </w:r>
          </w:p>
        </w:tc>
      </w:tr>
      <w:tr w14:paraId="5103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85489"/>
        </w:tc>
        <w:tc>
          <w:tcPr>
            <w:tcW w:w="2268" w:type="dxa"/>
            <w:vAlign w:val="center"/>
          </w:tcPr>
          <w:p w14:paraId="4512A2E5">
            <w:pPr>
              <w:pStyle w:val="12"/>
            </w:pPr>
            <w:r>
              <w:t>质量指标</w:t>
            </w:r>
          </w:p>
        </w:tc>
        <w:tc>
          <w:tcPr>
            <w:tcW w:w="2835" w:type="dxa"/>
            <w:vAlign w:val="center"/>
          </w:tcPr>
          <w:p w14:paraId="5ED93F83">
            <w:pPr>
              <w:pStyle w:val="12"/>
            </w:pPr>
            <w:r>
              <w:t>按学期上缴财政专户完成率</w:t>
            </w:r>
          </w:p>
        </w:tc>
        <w:tc>
          <w:tcPr>
            <w:tcW w:w="5386" w:type="dxa"/>
            <w:vAlign w:val="center"/>
          </w:tcPr>
          <w:p w14:paraId="39987071">
            <w:pPr>
              <w:pStyle w:val="12"/>
            </w:pPr>
            <w:r>
              <w:t>按学期完成学费、住宿费上缴财政专户</w:t>
            </w:r>
          </w:p>
        </w:tc>
        <w:tc>
          <w:tcPr>
            <w:tcW w:w="2268" w:type="dxa"/>
            <w:vAlign w:val="center"/>
          </w:tcPr>
          <w:p w14:paraId="4E6E757E">
            <w:pPr>
              <w:pStyle w:val="12"/>
            </w:pPr>
            <w:r>
              <w:t>877.26万元</w:t>
            </w:r>
          </w:p>
        </w:tc>
        <w:tc>
          <w:tcPr>
            <w:tcW w:w="1276" w:type="dxa"/>
            <w:vAlign w:val="center"/>
          </w:tcPr>
          <w:p w14:paraId="3CEB4778">
            <w:pPr>
              <w:pStyle w:val="12"/>
            </w:pPr>
            <w:r>
              <w:t>普通高中专项资金管理办法</w:t>
            </w:r>
          </w:p>
        </w:tc>
      </w:tr>
      <w:tr w14:paraId="7F10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9C33C"/>
        </w:tc>
        <w:tc>
          <w:tcPr>
            <w:tcW w:w="2268" w:type="dxa"/>
            <w:vAlign w:val="center"/>
          </w:tcPr>
          <w:p w14:paraId="79514E29">
            <w:pPr>
              <w:pStyle w:val="12"/>
            </w:pPr>
            <w:r>
              <w:t>时效指标</w:t>
            </w:r>
          </w:p>
        </w:tc>
        <w:tc>
          <w:tcPr>
            <w:tcW w:w="2835" w:type="dxa"/>
            <w:vAlign w:val="center"/>
          </w:tcPr>
          <w:p w14:paraId="5A0137B5">
            <w:pPr>
              <w:pStyle w:val="12"/>
            </w:pPr>
            <w:r>
              <w:t>资金支付率</w:t>
            </w:r>
          </w:p>
        </w:tc>
        <w:tc>
          <w:tcPr>
            <w:tcW w:w="5386" w:type="dxa"/>
            <w:vAlign w:val="center"/>
          </w:tcPr>
          <w:p w14:paraId="4E31ADAE">
            <w:pPr>
              <w:pStyle w:val="12"/>
            </w:pPr>
            <w:r>
              <w:t>自2024年1月起至2024年12月</w:t>
            </w:r>
          </w:p>
        </w:tc>
        <w:tc>
          <w:tcPr>
            <w:tcW w:w="2268" w:type="dxa"/>
            <w:vAlign w:val="center"/>
          </w:tcPr>
          <w:p w14:paraId="0C43A1BC">
            <w:pPr>
              <w:pStyle w:val="12"/>
            </w:pPr>
            <w:r>
              <w:t>100%</w:t>
            </w:r>
          </w:p>
        </w:tc>
        <w:tc>
          <w:tcPr>
            <w:tcW w:w="1276" w:type="dxa"/>
            <w:vAlign w:val="center"/>
          </w:tcPr>
          <w:p w14:paraId="1F911726">
            <w:pPr>
              <w:pStyle w:val="12"/>
            </w:pPr>
            <w:r>
              <w:t>普通高中专项资金管理办法</w:t>
            </w:r>
          </w:p>
        </w:tc>
      </w:tr>
      <w:tr w14:paraId="1DFD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6BF78"/>
        </w:tc>
        <w:tc>
          <w:tcPr>
            <w:tcW w:w="2268" w:type="dxa"/>
            <w:vAlign w:val="center"/>
          </w:tcPr>
          <w:p w14:paraId="4BDF57F3">
            <w:pPr>
              <w:pStyle w:val="12"/>
            </w:pPr>
            <w:r>
              <w:t>成本指标</w:t>
            </w:r>
          </w:p>
        </w:tc>
        <w:tc>
          <w:tcPr>
            <w:tcW w:w="2835" w:type="dxa"/>
            <w:vAlign w:val="center"/>
          </w:tcPr>
          <w:p w14:paraId="17350061">
            <w:pPr>
              <w:pStyle w:val="12"/>
            </w:pPr>
            <w:r>
              <w:t>收费标准</w:t>
            </w:r>
          </w:p>
        </w:tc>
        <w:tc>
          <w:tcPr>
            <w:tcW w:w="5386" w:type="dxa"/>
            <w:vAlign w:val="center"/>
          </w:tcPr>
          <w:p w14:paraId="1DBE573D">
            <w:pPr>
              <w:pStyle w:val="12"/>
            </w:pPr>
            <w:r>
              <w:t>按规定收费</w:t>
            </w:r>
          </w:p>
        </w:tc>
        <w:tc>
          <w:tcPr>
            <w:tcW w:w="2268" w:type="dxa"/>
            <w:vAlign w:val="center"/>
          </w:tcPr>
          <w:p w14:paraId="690B1F3C">
            <w:pPr>
              <w:pStyle w:val="12"/>
            </w:pPr>
            <w:r>
              <w:t>≥875元</w:t>
            </w:r>
          </w:p>
        </w:tc>
        <w:tc>
          <w:tcPr>
            <w:tcW w:w="1276" w:type="dxa"/>
            <w:vAlign w:val="center"/>
          </w:tcPr>
          <w:p w14:paraId="2D46A99A">
            <w:pPr>
              <w:pStyle w:val="12"/>
            </w:pPr>
            <w:r>
              <w:t>邢价行费【2016】27号、隆发改价格【2021】2号</w:t>
            </w:r>
          </w:p>
        </w:tc>
      </w:tr>
      <w:tr w14:paraId="1A001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12C0B">
            <w:pPr>
              <w:pStyle w:val="13"/>
            </w:pPr>
            <w:r>
              <w:t>效益指标</w:t>
            </w:r>
          </w:p>
        </w:tc>
        <w:tc>
          <w:tcPr>
            <w:tcW w:w="2268" w:type="dxa"/>
            <w:vAlign w:val="center"/>
          </w:tcPr>
          <w:p w14:paraId="60A1B40D">
            <w:pPr>
              <w:pStyle w:val="12"/>
            </w:pPr>
            <w:r>
              <w:t>社会效益指标</w:t>
            </w:r>
          </w:p>
        </w:tc>
        <w:tc>
          <w:tcPr>
            <w:tcW w:w="2835" w:type="dxa"/>
            <w:vAlign w:val="center"/>
          </w:tcPr>
          <w:p w14:paraId="4CA50779">
            <w:pPr>
              <w:pStyle w:val="12"/>
            </w:pPr>
            <w:r>
              <w:t>学生毛入学率</w:t>
            </w:r>
          </w:p>
        </w:tc>
        <w:tc>
          <w:tcPr>
            <w:tcW w:w="5386" w:type="dxa"/>
            <w:vAlign w:val="center"/>
          </w:tcPr>
          <w:p w14:paraId="5960761A">
            <w:pPr>
              <w:pStyle w:val="12"/>
            </w:pPr>
            <w:r>
              <w:t>提高学生毛入学率和优生比例</w:t>
            </w:r>
          </w:p>
        </w:tc>
        <w:tc>
          <w:tcPr>
            <w:tcW w:w="2268" w:type="dxa"/>
            <w:vAlign w:val="center"/>
          </w:tcPr>
          <w:p w14:paraId="77D22393">
            <w:pPr>
              <w:pStyle w:val="12"/>
            </w:pPr>
            <w:r>
              <w:t>≥90%</w:t>
            </w:r>
          </w:p>
        </w:tc>
        <w:tc>
          <w:tcPr>
            <w:tcW w:w="1276" w:type="dxa"/>
            <w:vAlign w:val="center"/>
          </w:tcPr>
          <w:p w14:paraId="4010D620">
            <w:pPr>
              <w:pStyle w:val="12"/>
            </w:pPr>
            <w:r>
              <w:t>学校招生计划</w:t>
            </w:r>
          </w:p>
        </w:tc>
      </w:tr>
      <w:tr w14:paraId="08C6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D64FE">
            <w:pPr>
              <w:pStyle w:val="13"/>
            </w:pPr>
            <w:r>
              <w:t>满意度指标</w:t>
            </w:r>
          </w:p>
        </w:tc>
        <w:tc>
          <w:tcPr>
            <w:tcW w:w="2268" w:type="dxa"/>
            <w:vAlign w:val="center"/>
          </w:tcPr>
          <w:p w14:paraId="50E81D6A">
            <w:pPr>
              <w:pStyle w:val="12"/>
            </w:pPr>
            <w:r>
              <w:t>服务对象满意度指标</w:t>
            </w:r>
          </w:p>
        </w:tc>
        <w:tc>
          <w:tcPr>
            <w:tcW w:w="2835" w:type="dxa"/>
            <w:vAlign w:val="center"/>
          </w:tcPr>
          <w:p w14:paraId="527E781A">
            <w:pPr>
              <w:pStyle w:val="12"/>
            </w:pPr>
            <w:r>
              <w:t>学生和教师满意度</w:t>
            </w:r>
          </w:p>
        </w:tc>
        <w:tc>
          <w:tcPr>
            <w:tcW w:w="5386" w:type="dxa"/>
            <w:vAlign w:val="center"/>
          </w:tcPr>
          <w:p w14:paraId="28910756">
            <w:pPr>
              <w:pStyle w:val="12"/>
            </w:pPr>
            <w:r>
              <w:t>提高学生和教师满意度</w:t>
            </w:r>
          </w:p>
        </w:tc>
        <w:tc>
          <w:tcPr>
            <w:tcW w:w="2268" w:type="dxa"/>
            <w:vAlign w:val="center"/>
          </w:tcPr>
          <w:p w14:paraId="02E7C5CB">
            <w:pPr>
              <w:pStyle w:val="12"/>
            </w:pPr>
            <w:r>
              <w:t>≥95%</w:t>
            </w:r>
          </w:p>
        </w:tc>
        <w:tc>
          <w:tcPr>
            <w:tcW w:w="1276" w:type="dxa"/>
            <w:vAlign w:val="center"/>
          </w:tcPr>
          <w:p w14:paraId="355D29EF">
            <w:pPr>
              <w:pStyle w:val="12"/>
            </w:pPr>
            <w:r>
              <w:t>普通高中专项资金管理办法</w:t>
            </w:r>
          </w:p>
        </w:tc>
      </w:tr>
    </w:tbl>
    <w:p w14:paraId="21F923B9">
      <w:pPr>
        <w:sectPr>
          <w:pgSz w:w="16840" w:h="11900" w:orient="landscape"/>
          <w:pgMar w:top="1361" w:right="1020" w:bottom="1134" w:left="1020" w:header="720" w:footer="720" w:gutter="0"/>
          <w:cols w:space="720" w:num="1"/>
        </w:sectPr>
      </w:pPr>
    </w:p>
    <w:p w14:paraId="350A6602">
      <w:pPr>
        <w:spacing w:before="0" w:after="0"/>
        <w:ind w:firstLine="560"/>
        <w:jc w:val="left"/>
        <w:outlineLvl w:val="9"/>
      </w:pPr>
      <w:r>
        <w:rPr>
          <w:rFonts w:ascii="方正仿宋_GBK" w:hAnsi="方正仿宋_GBK" w:eastAsia="方正仿宋_GBK" w:cs="方正仿宋_GBK"/>
          <w:b/>
          <w:color w:val="000000"/>
          <w:sz w:val="28"/>
        </w:rPr>
        <w:t>15、上年结转/普通高中专项经费/隆尧一中体育馆四周地面硬化等维修改造绩效目标表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67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12333">
            <w:pPr>
              <w:pStyle w:val="11"/>
            </w:pPr>
            <w:r>
              <w:t>单位：万元</w:t>
            </w:r>
          </w:p>
        </w:tc>
      </w:tr>
      <w:tr w14:paraId="29381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B06AE">
            <w:pPr>
              <w:pStyle w:val="10"/>
            </w:pPr>
            <w:r>
              <w:t>项目编码</w:t>
            </w:r>
          </w:p>
        </w:tc>
        <w:tc>
          <w:tcPr>
            <w:tcW w:w="5103" w:type="dxa"/>
            <w:gridSpan w:val="2"/>
            <w:vAlign w:val="center"/>
          </w:tcPr>
          <w:p w14:paraId="13560DBD">
            <w:pPr>
              <w:pStyle w:val="12"/>
            </w:pPr>
            <w:r>
              <w:t>13052526P00000210042R</w:t>
            </w:r>
          </w:p>
        </w:tc>
        <w:tc>
          <w:tcPr>
            <w:tcW w:w="2835" w:type="dxa"/>
            <w:vAlign w:val="center"/>
          </w:tcPr>
          <w:p w14:paraId="50355754">
            <w:pPr>
              <w:pStyle w:val="10"/>
            </w:pPr>
            <w:r>
              <w:t>项目名称</w:t>
            </w:r>
          </w:p>
        </w:tc>
        <w:tc>
          <w:tcPr>
            <w:tcW w:w="6095" w:type="dxa"/>
            <w:gridSpan w:val="3"/>
            <w:vAlign w:val="center"/>
          </w:tcPr>
          <w:p w14:paraId="55FFA4D6">
            <w:pPr>
              <w:pStyle w:val="12"/>
            </w:pPr>
            <w:r>
              <w:t>上年结转/普通高中专项经费/隆尧一中体育馆四周地面硬化等维修改造</w:t>
            </w:r>
          </w:p>
        </w:tc>
      </w:tr>
      <w:tr w14:paraId="551E4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DE738">
            <w:pPr>
              <w:pStyle w:val="10"/>
            </w:pPr>
            <w:r>
              <w:t>预算规模及资金用途</w:t>
            </w:r>
          </w:p>
        </w:tc>
        <w:tc>
          <w:tcPr>
            <w:tcW w:w="2268" w:type="dxa"/>
            <w:vAlign w:val="center"/>
          </w:tcPr>
          <w:p w14:paraId="7E462DD3">
            <w:pPr>
              <w:pStyle w:val="10"/>
            </w:pPr>
            <w:r>
              <w:t>预算数</w:t>
            </w:r>
          </w:p>
        </w:tc>
        <w:tc>
          <w:tcPr>
            <w:tcW w:w="2835" w:type="dxa"/>
            <w:vAlign w:val="center"/>
          </w:tcPr>
          <w:p w14:paraId="7B95E565">
            <w:pPr>
              <w:pStyle w:val="12"/>
            </w:pPr>
            <w:r>
              <w:t>108.63</w:t>
            </w:r>
          </w:p>
        </w:tc>
        <w:tc>
          <w:tcPr>
            <w:tcW w:w="2835" w:type="dxa"/>
            <w:vAlign w:val="center"/>
          </w:tcPr>
          <w:p w14:paraId="03F79DD5">
            <w:pPr>
              <w:pStyle w:val="10"/>
            </w:pPr>
            <w:r>
              <w:t>其中：财政    资金</w:t>
            </w:r>
          </w:p>
        </w:tc>
        <w:tc>
          <w:tcPr>
            <w:tcW w:w="2551" w:type="dxa"/>
            <w:vAlign w:val="center"/>
          </w:tcPr>
          <w:p w14:paraId="7626C85E">
            <w:pPr>
              <w:pStyle w:val="12"/>
            </w:pPr>
            <w:r>
              <w:t>108.63</w:t>
            </w:r>
          </w:p>
        </w:tc>
        <w:tc>
          <w:tcPr>
            <w:tcW w:w="2268" w:type="dxa"/>
            <w:vAlign w:val="center"/>
          </w:tcPr>
          <w:p w14:paraId="50B3E3A5">
            <w:pPr>
              <w:pStyle w:val="10"/>
            </w:pPr>
            <w:r>
              <w:t>其他资金</w:t>
            </w:r>
          </w:p>
        </w:tc>
        <w:tc>
          <w:tcPr>
            <w:tcW w:w="1276" w:type="dxa"/>
            <w:vAlign w:val="center"/>
          </w:tcPr>
          <w:p w14:paraId="0C412A6B">
            <w:pPr>
              <w:pStyle w:val="12"/>
            </w:pPr>
            <w:r>
              <w:t xml:space="preserve"> </w:t>
            </w:r>
          </w:p>
        </w:tc>
      </w:tr>
      <w:tr w14:paraId="7EE70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E7427"/>
        </w:tc>
        <w:tc>
          <w:tcPr>
            <w:tcW w:w="14033" w:type="dxa"/>
            <w:gridSpan w:val="6"/>
            <w:vAlign w:val="center"/>
          </w:tcPr>
          <w:p w14:paraId="6F469373">
            <w:pPr>
              <w:pStyle w:val="12"/>
            </w:pPr>
            <w:r>
              <w:t>落实全国中小学校舍改造实施规划，完善学校整体面貌和教育设施</w:t>
            </w:r>
          </w:p>
        </w:tc>
      </w:tr>
      <w:tr w14:paraId="09BA9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4303B">
            <w:pPr>
              <w:pStyle w:val="10"/>
            </w:pPr>
            <w:r>
              <w:t>资金支出计划（%）</w:t>
            </w:r>
          </w:p>
        </w:tc>
        <w:tc>
          <w:tcPr>
            <w:tcW w:w="5103" w:type="dxa"/>
            <w:gridSpan w:val="2"/>
            <w:vAlign w:val="center"/>
          </w:tcPr>
          <w:p w14:paraId="047F5BF8">
            <w:pPr>
              <w:pStyle w:val="10"/>
            </w:pPr>
            <w:r>
              <w:t>3月底</w:t>
            </w:r>
          </w:p>
        </w:tc>
        <w:tc>
          <w:tcPr>
            <w:tcW w:w="2835" w:type="dxa"/>
            <w:vAlign w:val="center"/>
          </w:tcPr>
          <w:p w14:paraId="7E347B3B">
            <w:pPr>
              <w:pStyle w:val="10"/>
            </w:pPr>
            <w:r>
              <w:t>6月底</w:t>
            </w:r>
          </w:p>
        </w:tc>
        <w:tc>
          <w:tcPr>
            <w:tcW w:w="2551" w:type="dxa"/>
            <w:vAlign w:val="center"/>
          </w:tcPr>
          <w:p w14:paraId="1A8B4B63">
            <w:pPr>
              <w:pStyle w:val="10"/>
            </w:pPr>
            <w:r>
              <w:t>10月底</w:t>
            </w:r>
          </w:p>
        </w:tc>
        <w:tc>
          <w:tcPr>
            <w:tcW w:w="3544" w:type="dxa"/>
            <w:gridSpan w:val="2"/>
            <w:vAlign w:val="center"/>
          </w:tcPr>
          <w:p w14:paraId="486A6B7A">
            <w:pPr>
              <w:pStyle w:val="10"/>
            </w:pPr>
            <w:r>
              <w:t>12月底</w:t>
            </w:r>
          </w:p>
        </w:tc>
      </w:tr>
      <w:tr w14:paraId="6BECF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EA7D4"/>
        </w:tc>
        <w:tc>
          <w:tcPr>
            <w:tcW w:w="5103" w:type="dxa"/>
            <w:gridSpan w:val="2"/>
            <w:vAlign w:val="center"/>
          </w:tcPr>
          <w:p w14:paraId="37A02178">
            <w:pPr>
              <w:pStyle w:val="13"/>
            </w:pPr>
            <w:r>
              <w:t xml:space="preserve"> </w:t>
            </w:r>
          </w:p>
        </w:tc>
        <w:tc>
          <w:tcPr>
            <w:tcW w:w="2835" w:type="dxa"/>
            <w:vAlign w:val="center"/>
          </w:tcPr>
          <w:p w14:paraId="77BE0FDC">
            <w:pPr>
              <w:pStyle w:val="13"/>
            </w:pPr>
            <w:r>
              <w:t xml:space="preserve"> </w:t>
            </w:r>
          </w:p>
        </w:tc>
        <w:tc>
          <w:tcPr>
            <w:tcW w:w="2551" w:type="dxa"/>
            <w:vAlign w:val="center"/>
          </w:tcPr>
          <w:p w14:paraId="06B0E41C">
            <w:pPr>
              <w:pStyle w:val="13"/>
            </w:pPr>
            <w:r>
              <w:t>100%</w:t>
            </w:r>
          </w:p>
        </w:tc>
        <w:tc>
          <w:tcPr>
            <w:tcW w:w="3544" w:type="dxa"/>
            <w:gridSpan w:val="2"/>
            <w:vAlign w:val="center"/>
          </w:tcPr>
          <w:p w14:paraId="6B3136D0">
            <w:pPr>
              <w:pStyle w:val="13"/>
            </w:pPr>
            <w:r>
              <w:t>100%</w:t>
            </w:r>
          </w:p>
        </w:tc>
      </w:tr>
      <w:tr w14:paraId="38E0A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37960">
            <w:pPr>
              <w:pStyle w:val="10"/>
            </w:pPr>
            <w:r>
              <w:t>绩效目标</w:t>
            </w:r>
          </w:p>
        </w:tc>
        <w:tc>
          <w:tcPr>
            <w:tcW w:w="14033" w:type="dxa"/>
            <w:gridSpan w:val="6"/>
            <w:vAlign w:val="center"/>
          </w:tcPr>
          <w:p w14:paraId="1852B6A2">
            <w:pPr>
              <w:pStyle w:val="12"/>
            </w:pPr>
            <w:r>
              <w:t>1.</w:t>
            </w:r>
            <w:r>
              <w:rPr>
                <w:rFonts w:hint="eastAsia"/>
                <w:lang w:eastAsia="zh-CN"/>
              </w:rPr>
              <w:t>按</w:t>
            </w:r>
            <w:r>
              <w:t>项目进度拨付资金，资金拨付率达到100%</w:t>
            </w:r>
          </w:p>
          <w:p w14:paraId="1C29A711">
            <w:pPr>
              <w:pStyle w:val="12"/>
            </w:pPr>
            <w:r>
              <w:t>2.落实全国中小学校舍改造实施规划，完善学校整体面貌和教育设施</w:t>
            </w:r>
          </w:p>
          <w:p w14:paraId="2BA262DB">
            <w:pPr>
              <w:pStyle w:val="12"/>
            </w:pPr>
            <w:r>
              <w:t>3.改善普通高中办学条件，进一步提升高中教育质量</w:t>
            </w:r>
          </w:p>
        </w:tc>
      </w:tr>
    </w:tbl>
    <w:p w14:paraId="038CA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0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98408">
            <w:pPr>
              <w:pStyle w:val="10"/>
            </w:pPr>
            <w:r>
              <w:t>一级指标</w:t>
            </w:r>
          </w:p>
        </w:tc>
        <w:tc>
          <w:tcPr>
            <w:tcW w:w="2268" w:type="dxa"/>
            <w:vAlign w:val="center"/>
          </w:tcPr>
          <w:p w14:paraId="372DFD94">
            <w:pPr>
              <w:pStyle w:val="10"/>
            </w:pPr>
            <w:r>
              <w:t>二级指标</w:t>
            </w:r>
          </w:p>
        </w:tc>
        <w:tc>
          <w:tcPr>
            <w:tcW w:w="2835" w:type="dxa"/>
            <w:vAlign w:val="center"/>
          </w:tcPr>
          <w:p w14:paraId="03022BB6">
            <w:pPr>
              <w:pStyle w:val="10"/>
            </w:pPr>
            <w:r>
              <w:t>三级指标</w:t>
            </w:r>
          </w:p>
        </w:tc>
        <w:tc>
          <w:tcPr>
            <w:tcW w:w="5386" w:type="dxa"/>
            <w:vAlign w:val="center"/>
          </w:tcPr>
          <w:p w14:paraId="3C4C47D2">
            <w:pPr>
              <w:pStyle w:val="10"/>
            </w:pPr>
            <w:r>
              <w:t>绩效指标描述</w:t>
            </w:r>
          </w:p>
        </w:tc>
        <w:tc>
          <w:tcPr>
            <w:tcW w:w="2268" w:type="dxa"/>
            <w:vAlign w:val="center"/>
          </w:tcPr>
          <w:p w14:paraId="57529D24">
            <w:pPr>
              <w:pStyle w:val="10"/>
            </w:pPr>
            <w:r>
              <w:t>指标值</w:t>
            </w:r>
          </w:p>
        </w:tc>
        <w:tc>
          <w:tcPr>
            <w:tcW w:w="1276" w:type="dxa"/>
            <w:vAlign w:val="center"/>
          </w:tcPr>
          <w:p w14:paraId="3A44AC25">
            <w:pPr>
              <w:pStyle w:val="10"/>
            </w:pPr>
            <w:r>
              <w:t>指标值确定依据</w:t>
            </w:r>
          </w:p>
        </w:tc>
      </w:tr>
      <w:tr w14:paraId="131D4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ECFD7">
            <w:pPr>
              <w:pStyle w:val="13"/>
            </w:pPr>
            <w:r>
              <w:t>产出指标</w:t>
            </w:r>
          </w:p>
        </w:tc>
        <w:tc>
          <w:tcPr>
            <w:tcW w:w="2268" w:type="dxa"/>
            <w:vAlign w:val="center"/>
          </w:tcPr>
          <w:p w14:paraId="7E24921E">
            <w:pPr>
              <w:pStyle w:val="12"/>
            </w:pPr>
            <w:r>
              <w:t>数量指标</w:t>
            </w:r>
          </w:p>
        </w:tc>
        <w:tc>
          <w:tcPr>
            <w:tcW w:w="2835" w:type="dxa"/>
            <w:vAlign w:val="center"/>
          </w:tcPr>
          <w:p w14:paraId="1CE146AF">
            <w:pPr>
              <w:pStyle w:val="12"/>
            </w:pPr>
            <w:r>
              <w:t>普通高中新建、改扩建校舍面积</w:t>
            </w:r>
          </w:p>
        </w:tc>
        <w:tc>
          <w:tcPr>
            <w:tcW w:w="5386" w:type="dxa"/>
            <w:vAlign w:val="center"/>
          </w:tcPr>
          <w:p w14:paraId="13B92C32">
            <w:pPr>
              <w:pStyle w:val="12"/>
            </w:pPr>
            <w:r>
              <w:t>体育馆四周硬化面积</w:t>
            </w:r>
          </w:p>
        </w:tc>
        <w:tc>
          <w:tcPr>
            <w:tcW w:w="2268" w:type="dxa"/>
            <w:vAlign w:val="center"/>
          </w:tcPr>
          <w:p w14:paraId="55F46B30">
            <w:pPr>
              <w:pStyle w:val="12"/>
            </w:pPr>
            <w:r>
              <w:t>6035平方米</w:t>
            </w:r>
          </w:p>
        </w:tc>
        <w:tc>
          <w:tcPr>
            <w:tcW w:w="1276" w:type="dxa"/>
            <w:vAlign w:val="center"/>
          </w:tcPr>
          <w:p w14:paraId="6DD3BF7B">
            <w:pPr>
              <w:pStyle w:val="12"/>
            </w:pPr>
            <w:r>
              <w:t>可行性研究报告</w:t>
            </w:r>
          </w:p>
        </w:tc>
      </w:tr>
      <w:tr w14:paraId="38F7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56B64"/>
        </w:tc>
        <w:tc>
          <w:tcPr>
            <w:tcW w:w="2268" w:type="dxa"/>
            <w:vAlign w:val="center"/>
          </w:tcPr>
          <w:p w14:paraId="1EBC95D3">
            <w:pPr>
              <w:pStyle w:val="12"/>
            </w:pPr>
            <w:r>
              <w:t>质量指标</w:t>
            </w:r>
          </w:p>
        </w:tc>
        <w:tc>
          <w:tcPr>
            <w:tcW w:w="2835" w:type="dxa"/>
            <w:vAlign w:val="center"/>
          </w:tcPr>
          <w:p w14:paraId="6946EBD6">
            <w:pPr>
              <w:pStyle w:val="12"/>
            </w:pPr>
            <w:r>
              <w:t>项目工程质量合格率</w:t>
            </w:r>
          </w:p>
        </w:tc>
        <w:tc>
          <w:tcPr>
            <w:tcW w:w="5386" w:type="dxa"/>
            <w:vAlign w:val="center"/>
          </w:tcPr>
          <w:p w14:paraId="11AD220D">
            <w:pPr>
              <w:pStyle w:val="12"/>
            </w:pPr>
            <w:r>
              <w:t>体育馆四周硬化质量合格率</w:t>
            </w:r>
          </w:p>
        </w:tc>
        <w:tc>
          <w:tcPr>
            <w:tcW w:w="2268" w:type="dxa"/>
            <w:vAlign w:val="center"/>
          </w:tcPr>
          <w:p w14:paraId="62B6C715">
            <w:pPr>
              <w:pStyle w:val="12"/>
            </w:pPr>
            <w:r>
              <w:t>100%</w:t>
            </w:r>
          </w:p>
        </w:tc>
        <w:tc>
          <w:tcPr>
            <w:tcW w:w="1276" w:type="dxa"/>
            <w:vAlign w:val="center"/>
          </w:tcPr>
          <w:p w14:paraId="0D50C498">
            <w:pPr>
              <w:pStyle w:val="12"/>
            </w:pPr>
            <w:r>
              <w:t>可行性研究报告</w:t>
            </w:r>
          </w:p>
        </w:tc>
      </w:tr>
      <w:tr w14:paraId="27DF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06F2B"/>
        </w:tc>
        <w:tc>
          <w:tcPr>
            <w:tcW w:w="2268" w:type="dxa"/>
            <w:vAlign w:val="center"/>
          </w:tcPr>
          <w:p w14:paraId="7A8F636E">
            <w:pPr>
              <w:pStyle w:val="12"/>
            </w:pPr>
            <w:r>
              <w:t>时效指标</w:t>
            </w:r>
          </w:p>
        </w:tc>
        <w:tc>
          <w:tcPr>
            <w:tcW w:w="2835" w:type="dxa"/>
            <w:vAlign w:val="center"/>
          </w:tcPr>
          <w:p w14:paraId="0D642A86">
            <w:pPr>
              <w:pStyle w:val="12"/>
            </w:pPr>
            <w:r>
              <w:t>校舍、操场改造工程按期完成率</w:t>
            </w:r>
          </w:p>
        </w:tc>
        <w:tc>
          <w:tcPr>
            <w:tcW w:w="5386" w:type="dxa"/>
            <w:vAlign w:val="center"/>
          </w:tcPr>
          <w:p w14:paraId="7675200F">
            <w:pPr>
              <w:pStyle w:val="12"/>
            </w:pPr>
            <w:r>
              <w:t>工程按时完工</w:t>
            </w:r>
          </w:p>
        </w:tc>
        <w:tc>
          <w:tcPr>
            <w:tcW w:w="2268" w:type="dxa"/>
            <w:vAlign w:val="center"/>
          </w:tcPr>
          <w:p w14:paraId="5F6383E4">
            <w:pPr>
              <w:pStyle w:val="12"/>
            </w:pPr>
            <w:r>
              <w:t>100%</w:t>
            </w:r>
          </w:p>
        </w:tc>
        <w:tc>
          <w:tcPr>
            <w:tcW w:w="1276" w:type="dxa"/>
            <w:vAlign w:val="center"/>
          </w:tcPr>
          <w:p w14:paraId="3EE27BBC">
            <w:pPr>
              <w:pStyle w:val="12"/>
            </w:pPr>
            <w:r>
              <w:t>结合项目实际情况</w:t>
            </w:r>
          </w:p>
        </w:tc>
      </w:tr>
      <w:tr w14:paraId="5573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340C7"/>
        </w:tc>
        <w:tc>
          <w:tcPr>
            <w:tcW w:w="2268" w:type="dxa"/>
            <w:vAlign w:val="center"/>
          </w:tcPr>
          <w:p w14:paraId="489F22D1">
            <w:pPr>
              <w:pStyle w:val="12"/>
            </w:pPr>
            <w:r>
              <w:t>成本指标</w:t>
            </w:r>
          </w:p>
        </w:tc>
        <w:tc>
          <w:tcPr>
            <w:tcW w:w="2835" w:type="dxa"/>
            <w:vAlign w:val="center"/>
          </w:tcPr>
          <w:p w14:paraId="0035C2F7">
            <w:pPr>
              <w:pStyle w:val="12"/>
            </w:pPr>
            <w:r>
              <w:t>设施修缮成本</w:t>
            </w:r>
          </w:p>
        </w:tc>
        <w:tc>
          <w:tcPr>
            <w:tcW w:w="5386" w:type="dxa"/>
            <w:vAlign w:val="center"/>
          </w:tcPr>
          <w:p w14:paraId="47DFF755">
            <w:pPr>
              <w:pStyle w:val="12"/>
            </w:pPr>
            <w:r>
              <w:t>体育馆四周硬化成本</w:t>
            </w:r>
          </w:p>
        </w:tc>
        <w:tc>
          <w:tcPr>
            <w:tcW w:w="2268" w:type="dxa"/>
            <w:vAlign w:val="center"/>
          </w:tcPr>
          <w:p w14:paraId="62667614">
            <w:pPr>
              <w:pStyle w:val="12"/>
            </w:pPr>
            <w:r>
              <w:t>≤108.63万元</w:t>
            </w:r>
          </w:p>
        </w:tc>
        <w:tc>
          <w:tcPr>
            <w:tcW w:w="1276" w:type="dxa"/>
            <w:vAlign w:val="center"/>
          </w:tcPr>
          <w:p w14:paraId="40D1F67B">
            <w:pPr>
              <w:pStyle w:val="12"/>
            </w:pPr>
            <w:r>
              <w:t>结合项目实际情况</w:t>
            </w:r>
          </w:p>
        </w:tc>
      </w:tr>
      <w:tr w14:paraId="4CDF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84D07">
            <w:pPr>
              <w:pStyle w:val="13"/>
            </w:pPr>
            <w:r>
              <w:t>效益指标</w:t>
            </w:r>
          </w:p>
        </w:tc>
        <w:tc>
          <w:tcPr>
            <w:tcW w:w="2268" w:type="dxa"/>
            <w:vAlign w:val="center"/>
          </w:tcPr>
          <w:p w14:paraId="6ECB5AAA">
            <w:pPr>
              <w:pStyle w:val="12"/>
            </w:pPr>
            <w:r>
              <w:t>社会效益指标</w:t>
            </w:r>
          </w:p>
        </w:tc>
        <w:tc>
          <w:tcPr>
            <w:tcW w:w="2835" w:type="dxa"/>
            <w:vAlign w:val="center"/>
          </w:tcPr>
          <w:p w14:paraId="4DF2A8EC">
            <w:pPr>
              <w:pStyle w:val="12"/>
            </w:pPr>
            <w:r>
              <w:t>受益人数</w:t>
            </w:r>
          </w:p>
        </w:tc>
        <w:tc>
          <w:tcPr>
            <w:tcW w:w="5386" w:type="dxa"/>
            <w:vAlign w:val="center"/>
          </w:tcPr>
          <w:p w14:paraId="419F4B61">
            <w:pPr>
              <w:pStyle w:val="12"/>
            </w:pPr>
            <w:r>
              <w:rPr>
                <w:rFonts w:hint="eastAsia"/>
                <w:lang w:eastAsia="zh-CN"/>
              </w:rPr>
              <w:t>受益</w:t>
            </w:r>
            <w:r>
              <w:t>师生人数</w:t>
            </w:r>
          </w:p>
        </w:tc>
        <w:tc>
          <w:tcPr>
            <w:tcW w:w="2268" w:type="dxa"/>
            <w:vAlign w:val="center"/>
          </w:tcPr>
          <w:p w14:paraId="2DA66C34">
            <w:pPr>
              <w:pStyle w:val="12"/>
            </w:pPr>
            <w:r>
              <w:t>≥5000人</w:t>
            </w:r>
          </w:p>
        </w:tc>
        <w:tc>
          <w:tcPr>
            <w:tcW w:w="1276" w:type="dxa"/>
            <w:vAlign w:val="center"/>
          </w:tcPr>
          <w:p w14:paraId="48210974">
            <w:pPr>
              <w:pStyle w:val="12"/>
            </w:pPr>
            <w:r>
              <w:t>可行性研究报告</w:t>
            </w:r>
          </w:p>
        </w:tc>
      </w:tr>
      <w:tr w14:paraId="6AE2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3E674"/>
        </w:tc>
        <w:tc>
          <w:tcPr>
            <w:tcW w:w="2268" w:type="dxa"/>
            <w:vAlign w:val="center"/>
          </w:tcPr>
          <w:p w14:paraId="460B05AB">
            <w:pPr>
              <w:pStyle w:val="12"/>
            </w:pPr>
            <w:r>
              <w:t>可持续影响指标</w:t>
            </w:r>
          </w:p>
        </w:tc>
        <w:tc>
          <w:tcPr>
            <w:tcW w:w="2835" w:type="dxa"/>
            <w:vAlign w:val="center"/>
          </w:tcPr>
          <w:p w14:paraId="2F5A193C">
            <w:pPr>
              <w:pStyle w:val="12"/>
            </w:pPr>
            <w:r>
              <w:t>校舍使用年限</w:t>
            </w:r>
          </w:p>
        </w:tc>
        <w:tc>
          <w:tcPr>
            <w:tcW w:w="5386" w:type="dxa"/>
            <w:vAlign w:val="center"/>
          </w:tcPr>
          <w:p w14:paraId="0EF71F5C">
            <w:pPr>
              <w:pStyle w:val="12"/>
            </w:pPr>
            <w:r>
              <w:t>提高校舍使用年限</w:t>
            </w:r>
          </w:p>
        </w:tc>
        <w:tc>
          <w:tcPr>
            <w:tcW w:w="2268" w:type="dxa"/>
            <w:vAlign w:val="center"/>
          </w:tcPr>
          <w:p w14:paraId="7A35390A">
            <w:pPr>
              <w:pStyle w:val="12"/>
            </w:pPr>
            <w:r>
              <w:t>≥50年</w:t>
            </w:r>
          </w:p>
        </w:tc>
        <w:tc>
          <w:tcPr>
            <w:tcW w:w="1276" w:type="dxa"/>
            <w:vAlign w:val="center"/>
          </w:tcPr>
          <w:p w14:paraId="75412D6A">
            <w:pPr>
              <w:pStyle w:val="12"/>
            </w:pPr>
            <w:r>
              <w:t>可行性研究报告</w:t>
            </w:r>
          </w:p>
        </w:tc>
      </w:tr>
      <w:tr w14:paraId="2CE9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8473C">
            <w:pPr>
              <w:pStyle w:val="13"/>
            </w:pPr>
            <w:r>
              <w:t>满意度指标</w:t>
            </w:r>
          </w:p>
        </w:tc>
        <w:tc>
          <w:tcPr>
            <w:tcW w:w="2268" w:type="dxa"/>
            <w:vAlign w:val="center"/>
          </w:tcPr>
          <w:p w14:paraId="0854B289">
            <w:pPr>
              <w:pStyle w:val="12"/>
            </w:pPr>
            <w:r>
              <w:t>服务对象满意度指标</w:t>
            </w:r>
          </w:p>
        </w:tc>
        <w:tc>
          <w:tcPr>
            <w:tcW w:w="2835" w:type="dxa"/>
            <w:vAlign w:val="center"/>
          </w:tcPr>
          <w:p w14:paraId="251C567B">
            <w:pPr>
              <w:pStyle w:val="12"/>
            </w:pPr>
            <w:r>
              <w:t>学生和学生家长满意度</w:t>
            </w:r>
          </w:p>
        </w:tc>
        <w:tc>
          <w:tcPr>
            <w:tcW w:w="5386" w:type="dxa"/>
            <w:vAlign w:val="center"/>
          </w:tcPr>
          <w:p w14:paraId="5C2B8EE1">
            <w:pPr>
              <w:pStyle w:val="12"/>
            </w:pPr>
            <w:r>
              <w:t>大幅提高学生和学生家长满意度</w:t>
            </w:r>
          </w:p>
        </w:tc>
        <w:tc>
          <w:tcPr>
            <w:tcW w:w="2268" w:type="dxa"/>
            <w:vAlign w:val="center"/>
          </w:tcPr>
          <w:p w14:paraId="3E978B73">
            <w:pPr>
              <w:pStyle w:val="12"/>
            </w:pPr>
            <w:r>
              <w:t>≥95%</w:t>
            </w:r>
          </w:p>
        </w:tc>
        <w:tc>
          <w:tcPr>
            <w:tcW w:w="1276" w:type="dxa"/>
            <w:vAlign w:val="center"/>
          </w:tcPr>
          <w:p w14:paraId="759B160A">
            <w:pPr>
              <w:pStyle w:val="12"/>
            </w:pPr>
            <w:r>
              <w:t>结合项目实际情况</w:t>
            </w:r>
          </w:p>
        </w:tc>
      </w:tr>
    </w:tbl>
    <w:p w14:paraId="49AC8862">
      <w:pPr>
        <w:sectPr>
          <w:pgSz w:w="16840" w:h="11900" w:orient="landscape"/>
          <w:pgMar w:top="1361" w:right="1020" w:bottom="1134" w:left="1020" w:header="720" w:footer="720" w:gutter="0"/>
          <w:cols w:space="720" w:num="1"/>
        </w:sectPr>
      </w:pPr>
    </w:p>
    <w:p w14:paraId="0AB791DA">
      <w:pPr>
        <w:spacing w:before="0" w:after="0"/>
        <w:ind w:firstLine="560"/>
        <w:jc w:val="left"/>
        <w:outlineLvl w:val="9"/>
      </w:pPr>
      <w:r>
        <w:rPr>
          <w:rFonts w:ascii="方正仿宋_GBK" w:hAnsi="方正仿宋_GBK" w:eastAsia="方正仿宋_GBK" w:cs="方正仿宋_GBK"/>
          <w:b/>
          <w:color w:val="000000"/>
          <w:sz w:val="28"/>
        </w:rPr>
        <w:t>16、退役军人公益岗（隆尧一中）绩效目标表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2E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4F702">
            <w:pPr>
              <w:pStyle w:val="11"/>
            </w:pPr>
            <w:r>
              <w:t>单位：万元</w:t>
            </w:r>
          </w:p>
        </w:tc>
      </w:tr>
      <w:tr w14:paraId="2BA2E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EA639">
            <w:pPr>
              <w:pStyle w:val="10"/>
            </w:pPr>
            <w:r>
              <w:t>项目编码</w:t>
            </w:r>
          </w:p>
        </w:tc>
        <w:tc>
          <w:tcPr>
            <w:tcW w:w="5103" w:type="dxa"/>
            <w:gridSpan w:val="2"/>
            <w:vAlign w:val="center"/>
          </w:tcPr>
          <w:p w14:paraId="50BBC1EE">
            <w:pPr>
              <w:pStyle w:val="12"/>
            </w:pPr>
            <w:r>
              <w:t>13052526P00870710014L</w:t>
            </w:r>
          </w:p>
        </w:tc>
        <w:tc>
          <w:tcPr>
            <w:tcW w:w="2835" w:type="dxa"/>
            <w:vAlign w:val="center"/>
          </w:tcPr>
          <w:p w14:paraId="2E8E9612">
            <w:pPr>
              <w:pStyle w:val="10"/>
            </w:pPr>
            <w:r>
              <w:t>项目名称</w:t>
            </w:r>
          </w:p>
        </w:tc>
        <w:tc>
          <w:tcPr>
            <w:tcW w:w="6095" w:type="dxa"/>
            <w:gridSpan w:val="3"/>
            <w:vAlign w:val="center"/>
          </w:tcPr>
          <w:p w14:paraId="4AE167DB">
            <w:pPr>
              <w:pStyle w:val="12"/>
            </w:pPr>
            <w:r>
              <w:t>退役军人公益岗（隆尧一中）</w:t>
            </w:r>
          </w:p>
        </w:tc>
      </w:tr>
      <w:tr w14:paraId="29BFB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33216">
            <w:pPr>
              <w:pStyle w:val="10"/>
            </w:pPr>
            <w:r>
              <w:t>预算规模及资金用途</w:t>
            </w:r>
          </w:p>
        </w:tc>
        <w:tc>
          <w:tcPr>
            <w:tcW w:w="2268" w:type="dxa"/>
            <w:vAlign w:val="center"/>
          </w:tcPr>
          <w:p w14:paraId="4172AB67">
            <w:pPr>
              <w:pStyle w:val="10"/>
            </w:pPr>
            <w:r>
              <w:t>预算数</w:t>
            </w:r>
          </w:p>
        </w:tc>
        <w:tc>
          <w:tcPr>
            <w:tcW w:w="2835" w:type="dxa"/>
            <w:vAlign w:val="center"/>
          </w:tcPr>
          <w:p w14:paraId="13604E43">
            <w:pPr>
              <w:pStyle w:val="12"/>
            </w:pPr>
            <w:r>
              <w:t>4.04</w:t>
            </w:r>
          </w:p>
        </w:tc>
        <w:tc>
          <w:tcPr>
            <w:tcW w:w="2835" w:type="dxa"/>
            <w:vAlign w:val="center"/>
          </w:tcPr>
          <w:p w14:paraId="2C4FC257">
            <w:pPr>
              <w:pStyle w:val="10"/>
            </w:pPr>
            <w:r>
              <w:t>其中：财政    资金</w:t>
            </w:r>
          </w:p>
        </w:tc>
        <w:tc>
          <w:tcPr>
            <w:tcW w:w="2551" w:type="dxa"/>
            <w:vAlign w:val="center"/>
          </w:tcPr>
          <w:p w14:paraId="47DCBC36">
            <w:pPr>
              <w:pStyle w:val="12"/>
            </w:pPr>
            <w:r>
              <w:t>4.04</w:t>
            </w:r>
          </w:p>
        </w:tc>
        <w:tc>
          <w:tcPr>
            <w:tcW w:w="2268" w:type="dxa"/>
            <w:vAlign w:val="center"/>
          </w:tcPr>
          <w:p w14:paraId="29427BD7">
            <w:pPr>
              <w:pStyle w:val="10"/>
            </w:pPr>
            <w:r>
              <w:t>其他资金</w:t>
            </w:r>
          </w:p>
        </w:tc>
        <w:tc>
          <w:tcPr>
            <w:tcW w:w="1276" w:type="dxa"/>
            <w:vAlign w:val="center"/>
          </w:tcPr>
          <w:p w14:paraId="5D17A26D">
            <w:pPr>
              <w:pStyle w:val="12"/>
            </w:pPr>
            <w:r>
              <w:t xml:space="preserve"> </w:t>
            </w:r>
          </w:p>
        </w:tc>
      </w:tr>
      <w:tr w14:paraId="3C1E4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C0390"/>
        </w:tc>
        <w:tc>
          <w:tcPr>
            <w:tcW w:w="14033" w:type="dxa"/>
            <w:gridSpan w:val="6"/>
            <w:vAlign w:val="center"/>
          </w:tcPr>
          <w:p w14:paraId="680200CE">
            <w:pPr>
              <w:pStyle w:val="12"/>
            </w:pPr>
            <w:r>
              <w:t>保障退役军人能更好</w:t>
            </w:r>
            <w:r>
              <w:rPr>
                <w:rFonts w:hint="eastAsia"/>
                <w:lang w:eastAsia="zh-CN"/>
              </w:rPr>
              <w:t>地</w:t>
            </w:r>
            <w:r>
              <w:t>为教育事业服务，有效减轻退役军人生活负担。</w:t>
            </w:r>
          </w:p>
        </w:tc>
      </w:tr>
      <w:tr w14:paraId="7DAFF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E058D">
            <w:pPr>
              <w:pStyle w:val="10"/>
            </w:pPr>
            <w:r>
              <w:t>资金支出计划（%）</w:t>
            </w:r>
          </w:p>
        </w:tc>
        <w:tc>
          <w:tcPr>
            <w:tcW w:w="5103" w:type="dxa"/>
            <w:gridSpan w:val="2"/>
            <w:vAlign w:val="center"/>
          </w:tcPr>
          <w:p w14:paraId="15D20CF2">
            <w:pPr>
              <w:pStyle w:val="10"/>
            </w:pPr>
            <w:r>
              <w:t>3月底</w:t>
            </w:r>
          </w:p>
        </w:tc>
        <w:tc>
          <w:tcPr>
            <w:tcW w:w="2835" w:type="dxa"/>
            <w:vAlign w:val="center"/>
          </w:tcPr>
          <w:p w14:paraId="5563E097">
            <w:pPr>
              <w:pStyle w:val="10"/>
            </w:pPr>
            <w:r>
              <w:t>6月底</w:t>
            </w:r>
          </w:p>
        </w:tc>
        <w:tc>
          <w:tcPr>
            <w:tcW w:w="2551" w:type="dxa"/>
            <w:vAlign w:val="center"/>
          </w:tcPr>
          <w:p w14:paraId="30FA3C19">
            <w:pPr>
              <w:pStyle w:val="10"/>
            </w:pPr>
            <w:r>
              <w:t>10月底</w:t>
            </w:r>
          </w:p>
        </w:tc>
        <w:tc>
          <w:tcPr>
            <w:tcW w:w="3544" w:type="dxa"/>
            <w:gridSpan w:val="2"/>
            <w:vAlign w:val="center"/>
          </w:tcPr>
          <w:p w14:paraId="75BC34A5">
            <w:pPr>
              <w:pStyle w:val="10"/>
            </w:pPr>
            <w:r>
              <w:t>12月底</w:t>
            </w:r>
          </w:p>
        </w:tc>
      </w:tr>
      <w:tr w14:paraId="410ED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73F46"/>
        </w:tc>
        <w:tc>
          <w:tcPr>
            <w:tcW w:w="5103" w:type="dxa"/>
            <w:gridSpan w:val="2"/>
            <w:vAlign w:val="center"/>
          </w:tcPr>
          <w:p w14:paraId="61DFEED1">
            <w:pPr>
              <w:pStyle w:val="13"/>
            </w:pPr>
            <w:r>
              <w:t>25%</w:t>
            </w:r>
          </w:p>
        </w:tc>
        <w:tc>
          <w:tcPr>
            <w:tcW w:w="2835" w:type="dxa"/>
            <w:vAlign w:val="center"/>
          </w:tcPr>
          <w:p w14:paraId="360886D4">
            <w:pPr>
              <w:pStyle w:val="13"/>
            </w:pPr>
            <w:r>
              <w:t>50%</w:t>
            </w:r>
          </w:p>
        </w:tc>
        <w:tc>
          <w:tcPr>
            <w:tcW w:w="2551" w:type="dxa"/>
            <w:vAlign w:val="center"/>
          </w:tcPr>
          <w:p w14:paraId="727315E2">
            <w:pPr>
              <w:pStyle w:val="13"/>
            </w:pPr>
            <w:r>
              <w:t>75%</w:t>
            </w:r>
          </w:p>
        </w:tc>
        <w:tc>
          <w:tcPr>
            <w:tcW w:w="3544" w:type="dxa"/>
            <w:gridSpan w:val="2"/>
            <w:vAlign w:val="center"/>
          </w:tcPr>
          <w:p w14:paraId="10DF1573">
            <w:pPr>
              <w:pStyle w:val="13"/>
            </w:pPr>
            <w:r>
              <w:t>100%</w:t>
            </w:r>
          </w:p>
        </w:tc>
      </w:tr>
      <w:tr w14:paraId="15315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B060D">
            <w:pPr>
              <w:pStyle w:val="10"/>
            </w:pPr>
            <w:r>
              <w:t>绩效目标</w:t>
            </w:r>
          </w:p>
        </w:tc>
        <w:tc>
          <w:tcPr>
            <w:tcW w:w="14033" w:type="dxa"/>
            <w:gridSpan w:val="6"/>
            <w:vAlign w:val="center"/>
          </w:tcPr>
          <w:p w14:paraId="0C1130EE">
            <w:pPr>
              <w:pStyle w:val="12"/>
            </w:pPr>
            <w:r>
              <w:t>1.保障退役军人能更好</w:t>
            </w:r>
            <w:r>
              <w:rPr>
                <w:rFonts w:hint="eastAsia"/>
                <w:lang w:eastAsia="zh-CN"/>
              </w:rPr>
              <w:t>地</w:t>
            </w:r>
            <w:r>
              <w:t>为教育事业服务</w:t>
            </w:r>
          </w:p>
          <w:p w14:paraId="30F02024">
            <w:pPr>
              <w:pStyle w:val="12"/>
            </w:pPr>
            <w:r>
              <w:t>2.按规定拨付退役军人专岗工资40407.44元，资金拨付率达到100%</w:t>
            </w:r>
          </w:p>
          <w:p w14:paraId="178D4D64">
            <w:pPr>
              <w:pStyle w:val="12"/>
            </w:pPr>
            <w:r>
              <w:t>3.有效减轻退役军人生活负担</w:t>
            </w:r>
          </w:p>
        </w:tc>
      </w:tr>
    </w:tbl>
    <w:p w14:paraId="66B24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F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82BAE">
            <w:pPr>
              <w:pStyle w:val="10"/>
            </w:pPr>
            <w:r>
              <w:t>一级指标</w:t>
            </w:r>
          </w:p>
        </w:tc>
        <w:tc>
          <w:tcPr>
            <w:tcW w:w="2268" w:type="dxa"/>
            <w:vAlign w:val="center"/>
          </w:tcPr>
          <w:p w14:paraId="0F47E34C">
            <w:pPr>
              <w:pStyle w:val="10"/>
            </w:pPr>
            <w:r>
              <w:t>二级指标</w:t>
            </w:r>
          </w:p>
        </w:tc>
        <w:tc>
          <w:tcPr>
            <w:tcW w:w="2835" w:type="dxa"/>
            <w:vAlign w:val="center"/>
          </w:tcPr>
          <w:p w14:paraId="283AAA23">
            <w:pPr>
              <w:pStyle w:val="10"/>
            </w:pPr>
            <w:r>
              <w:t>三级指标</w:t>
            </w:r>
          </w:p>
        </w:tc>
        <w:tc>
          <w:tcPr>
            <w:tcW w:w="5386" w:type="dxa"/>
            <w:vAlign w:val="center"/>
          </w:tcPr>
          <w:p w14:paraId="0D7DFCFF">
            <w:pPr>
              <w:pStyle w:val="10"/>
            </w:pPr>
            <w:r>
              <w:t>绩效指标描述</w:t>
            </w:r>
          </w:p>
        </w:tc>
        <w:tc>
          <w:tcPr>
            <w:tcW w:w="2268" w:type="dxa"/>
            <w:vAlign w:val="center"/>
          </w:tcPr>
          <w:p w14:paraId="62DC82D1">
            <w:pPr>
              <w:pStyle w:val="10"/>
            </w:pPr>
            <w:r>
              <w:t>指标值</w:t>
            </w:r>
          </w:p>
        </w:tc>
        <w:tc>
          <w:tcPr>
            <w:tcW w:w="1276" w:type="dxa"/>
            <w:vAlign w:val="center"/>
          </w:tcPr>
          <w:p w14:paraId="108E7388">
            <w:pPr>
              <w:pStyle w:val="10"/>
            </w:pPr>
            <w:r>
              <w:t>指标值确定依据</w:t>
            </w:r>
          </w:p>
        </w:tc>
      </w:tr>
      <w:tr w14:paraId="4627A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EEC69">
            <w:pPr>
              <w:pStyle w:val="13"/>
            </w:pPr>
            <w:r>
              <w:t>产出指标</w:t>
            </w:r>
          </w:p>
        </w:tc>
        <w:tc>
          <w:tcPr>
            <w:tcW w:w="2268" w:type="dxa"/>
            <w:vAlign w:val="center"/>
          </w:tcPr>
          <w:p w14:paraId="1FA49E9D">
            <w:pPr>
              <w:pStyle w:val="12"/>
            </w:pPr>
            <w:r>
              <w:t>数量指标</w:t>
            </w:r>
          </w:p>
        </w:tc>
        <w:tc>
          <w:tcPr>
            <w:tcW w:w="2835" w:type="dxa"/>
            <w:vAlign w:val="center"/>
          </w:tcPr>
          <w:p w14:paraId="33B37447">
            <w:pPr>
              <w:pStyle w:val="12"/>
            </w:pPr>
            <w:r>
              <w:t>退役军人人数</w:t>
            </w:r>
          </w:p>
        </w:tc>
        <w:tc>
          <w:tcPr>
            <w:tcW w:w="5386" w:type="dxa"/>
            <w:vAlign w:val="center"/>
          </w:tcPr>
          <w:p w14:paraId="5C5E6454">
            <w:pPr>
              <w:pStyle w:val="12"/>
            </w:pPr>
            <w:r>
              <w:t>学校退役军人数量</w:t>
            </w:r>
          </w:p>
        </w:tc>
        <w:tc>
          <w:tcPr>
            <w:tcW w:w="2268" w:type="dxa"/>
            <w:vAlign w:val="center"/>
          </w:tcPr>
          <w:p w14:paraId="16E10315">
            <w:pPr>
              <w:pStyle w:val="12"/>
            </w:pPr>
            <w:r>
              <w:t>1人</w:t>
            </w:r>
          </w:p>
        </w:tc>
        <w:tc>
          <w:tcPr>
            <w:tcW w:w="1276" w:type="dxa"/>
            <w:vAlign w:val="center"/>
          </w:tcPr>
          <w:p w14:paraId="1B4044C8">
            <w:pPr>
              <w:pStyle w:val="12"/>
            </w:pPr>
            <w:r>
              <w:t>《隆尧县人民政府专题会议纪要》【2020】15号</w:t>
            </w:r>
          </w:p>
        </w:tc>
      </w:tr>
      <w:tr w14:paraId="5064E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97341"/>
        </w:tc>
        <w:tc>
          <w:tcPr>
            <w:tcW w:w="2268" w:type="dxa"/>
            <w:vAlign w:val="center"/>
          </w:tcPr>
          <w:p w14:paraId="42F425AF">
            <w:pPr>
              <w:pStyle w:val="12"/>
            </w:pPr>
            <w:r>
              <w:t>质量指标</w:t>
            </w:r>
          </w:p>
        </w:tc>
        <w:tc>
          <w:tcPr>
            <w:tcW w:w="2835" w:type="dxa"/>
            <w:vAlign w:val="center"/>
          </w:tcPr>
          <w:p w14:paraId="3B9AC3BC">
            <w:pPr>
              <w:pStyle w:val="12"/>
            </w:pPr>
            <w:r>
              <w:t>提升升学率</w:t>
            </w:r>
          </w:p>
        </w:tc>
        <w:tc>
          <w:tcPr>
            <w:tcW w:w="5386" w:type="dxa"/>
            <w:vAlign w:val="center"/>
          </w:tcPr>
          <w:p w14:paraId="798B8E29">
            <w:pPr>
              <w:pStyle w:val="12"/>
            </w:pPr>
            <w:r>
              <w:t>提高了升学率和优生入学率，增加了骨干教师人数</w:t>
            </w:r>
          </w:p>
        </w:tc>
        <w:tc>
          <w:tcPr>
            <w:tcW w:w="2268" w:type="dxa"/>
            <w:vAlign w:val="center"/>
          </w:tcPr>
          <w:p w14:paraId="17C4989C">
            <w:pPr>
              <w:pStyle w:val="12"/>
            </w:pPr>
            <w:r>
              <w:t>100%</w:t>
            </w:r>
          </w:p>
        </w:tc>
        <w:tc>
          <w:tcPr>
            <w:tcW w:w="1276" w:type="dxa"/>
            <w:vAlign w:val="center"/>
          </w:tcPr>
          <w:p w14:paraId="42EB0CDC">
            <w:pPr>
              <w:pStyle w:val="12"/>
            </w:pPr>
            <w:r>
              <w:t>《隆尧县人民政府专题会议纪要》【2020】15号</w:t>
            </w:r>
          </w:p>
        </w:tc>
      </w:tr>
      <w:tr w14:paraId="49A4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F800"/>
        </w:tc>
        <w:tc>
          <w:tcPr>
            <w:tcW w:w="2268" w:type="dxa"/>
            <w:vAlign w:val="center"/>
          </w:tcPr>
          <w:p w14:paraId="61EBEC57">
            <w:pPr>
              <w:pStyle w:val="12"/>
            </w:pPr>
            <w:r>
              <w:t>时效指标</w:t>
            </w:r>
          </w:p>
        </w:tc>
        <w:tc>
          <w:tcPr>
            <w:tcW w:w="2835" w:type="dxa"/>
            <w:vAlign w:val="center"/>
          </w:tcPr>
          <w:p w14:paraId="62B7661E">
            <w:pPr>
              <w:pStyle w:val="12"/>
            </w:pPr>
            <w:r>
              <w:t>退役军人专岗工资支付完成率</w:t>
            </w:r>
          </w:p>
        </w:tc>
        <w:tc>
          <w:tcPr>
            <w:tcW w:w="5386" w:type="dxa"/>
            <w:vAlign w:val="center"/>
          </w:tcPr>
          <w:p w14:paraId="7E04CE01">
            <w:pPr>
              <w:pStyle w:val="12"/>
            </w:pPr>
            <w:r>
              <w:t>按照预算批复，序时完成工资发放</w:t>
            </w:r>
          </w:p>
        </w:tc>
        <w:tc>
          <w:tcPr>
            <w:tcW w:w="2268" w:type="dxa"/>
            <w:vAlign w:val="center"/>
          </w:tcPr>
          <w:p w14:paraId="092159AC">
            <w:pPr>
              <w:pStyle w:val="12"/>
            </w:pPr>
            <w:r>
              <w:t>100%</w:t>
            </w:r>
          </w:p>
        </w:tc>
        <w:tc>
          <w:tcPr>
            <w:tcW w:w="1276" w:type="dxa"/>
            <w:vAlign w:val="center"/>
          </w:tcPr>
          <w:p w14:paraId="04B54AE7">
            <w:pPr>
              <w:pStyle w:val="12"/>
            </w:pPr>
            <w:r>
              <w:t>《隆尧县人民政府专题会议纪要》【2020】15号</w:t>
            </w:r>
          </w:p>
        </w:tc>
      </w:tr>
      <w:tr w14:paraId="30AA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79486"/>
        </w:tc>
        <w:tc>
          <w:tcPr>
            <w:tcW w:w="2268" w:type="dxa"/>
            <w:vAlign w:val="center"/>
          </w:tcPr>
          <w:p w14:paraId="4E8E9504">
            <w:pPr>
              <w:pStyle w:val="12"/>
            </w:pPr>
            <w:r>
              <w:t>成本指标</w:t>
            </w:r>
          </w:p>
        </w:tc>
        <w:tc>
          <w:tcPr>
            <w:tcW w:w="2835" w:type="dxa"/>
            <w:vAlign w:val="center"/>
          </w:tcPr>
          <w:p w14:paraId="5A6D8767">
            <w:pPr>
              <w:pStyle w:val="12"/>
            </w:pPr>
            <w:r>
              <w:t>退役军人专岗工资</w:t>
            </w:r>
          </w:p>
        </w:tc>
        <w:tc>
          <w:tcPr>
            <w:tcW w:w="5386" w:type="dxa"/>
            <w:vAlign w:val="center"/>
          </w:tcPr>
          <w:p w14:paraId="415A1360">
            <w:pPr>
              <w:pStyle w:val="12"/>
            </w:pPr>
            <w:r>
              <w:t>退役军人专岗年需工资数额</w:t>
            </w:r>
          </w:p>
        </w:tc>
        <w:tc>
          <w:tcPr>
            <w:tcW w:w="2268" w:type="dxa"/>
            <w:vAlign w:val="center"/>
          </w:tcPr>
          <w:p w14:paraId="3CD75FBC">
            <w:pPr>
              <w:pStyle w:val="12"/>
            </w:pPr>
            <w:r>
              <w:t>40407.44元</w:t>
            </w:r>
          </w:p>
        </w:tc>
        <w:tc>
          <w:tcPr>
            <w:tcW w:w="1276" w:type="dxa"/>
            <w:vAlign w:val="center"/>
          </w:tcPr>
          <w:p w14:paraId="40D3A983">
            <w:pPr>
              <w:pStyle w:val="12"/>
            </w:pPr>
            <w:r>
              <w:t>《隆尧县人民政府专题会议纪要》【2020】15号</w:t>
            </w:r>
          </w:p>
        </w:tc>
      </w:tr>
      <w:tr w14:paraId="3249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4BE3F">
            <w:pPr>
              <w:pStyle w:val="13"/>
            </w:pPr>
            <w:r>
              <w:t>效益指标</w:t>
            </w:r>
          </w:p>
        </w:tc>
        <w:tc>
          <w:tcPr>
            <w:tcW w:w="2268" w:type="dxa"/>
            <w:vAlign w:val="center"/>
          </w:tcPr>
          <w:p w14:paraId="5E55D70F">
            <w:pPr>
              <w:pStyle w:val="12"/>
            </w:pPr>
            <w:r>
              <w:t>可持续影响指标</w:t>
            </w:r>
          </w:p>
        </w:tc>
        <w:tc>
          <w:tcPr>
            <w:tcW w:w="2835" w:type="dxa"/>
            <w:vAlign w:val="center"/>
          </w:tcPr>
          <w:p w14:paraId="6F552F99">
            <w:pPr>
              <w:pStyle w:val="12"/>
            </w:pPr>
            <w:r>
              <w:t>工作效率提升</w:t>
            </w:r>
          </w:p>
        </w:tc>
        <w:tc>
          <w:tcPr>
            <w:tcW w:w="5386" w:type="dxa"/>
            <w:vAlign w:val="center"/>
          </w:tcPr>
          <w:p w14:paraId="54434AEE">
            <w:pPr>
              <w:pStyle w:val="12"/>
            </w:pPr>
            <w:r>
              <w:t>提升教师在教育教学工作中积极性</w:t>
            </w:r>
          </w:p>
        </w:tc>
        <w:tc>
          <w:tcPr>
            <w:tcW w:w="2268" w:type="dxa"/>
            <w:vAlign w:val="center"/>
          </w:tcPr>
          <w:p w14:paraId="3C8D32E9">
            <w:pPr>
              <w:pStyle w:val="12"/>
            </w:pPr>
            <w:r>
              <w:t>100%</w:t>
            </w:r>
          </w:p>
        </w:tc>
        <w:tc>
          <w:tcPr>
            <w:tcW w:w="1276" w:type="dxa"/>
            <w:vAlign w:val="center"/>
          </w:tcPr>
          <w:p w14:paraId="42481EA6">
            <w:pPr>
              <w:pStyle w:val="12"/>
            </w:pPr>
            <w:r>
              <w:t>《隆尧县人民政府专题会议纪要》【2020】15号</w:t>
            </w:r>
          </w:p>
        </w:tc>
      </w:tr>
      <w:tr w14:paraId="4FBAA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0AFF4">
            <w:pPr>
              <w:pStyle w:val="13"/>
            </w:pPr>
            <w:r>
              <w:t>满意度指标</w:t>
            </w:r>
          </w:p>
        </w:tc>
        <w:tc>
          <w:tcPr>
            <w:tcW w:w="2268" w:type="dxa"/>
            <w:vAlign w:val="center"/>
          </w:tcPr>
          <w:p w14:paraId="2BFC9843">
            <w:pPr>
              <w:pStyle w:val="12"/>
            </w:pPr>
            <w:r>
              <w:t>服务对象满意度指标</w:t>
            </w:r>
          </w:p>
        </w:tc>
        <w:tc>
          <w:tcPr>
            <w:tcW w:w="2835" w:type="dxa"/>
            <w:vAlign w:val="center"/>
          </w:tcPr>
          <w:p w14:paraId="73C04519">
            <w:pPr>
              <w:pStyle w:val="12"/>
            </w:pPr>
            <w:r>
              <w:t>退役军人满意度</w:t>
            </w:r>
          </w:p>
        </w:tc>
        <w:tc>
          <w:tcPr>
            <w:tcW w:w="5386" w:type="dxa"/>
            <w:vAlign w:val="center"/>
          </w:tcPr>
          <w:p w14:paraId="4E02F4C4">
            <w:pPr>
              <w:pStyle w:val="12"/>
            </w:pPr>
            <w:r>
              <w:t>提升退役军人满意度</w:t>
            </w:r>
          </w:p>
        </w:tc>
        <w:tc>
          <w:tcPr>
            <w:tcW w:w="2268" w:type="dxa"/>
            <w:vAlign w:val="center"/>
          </w:tcPr>
          <w:p w14:paraId="6BA48B48">
            <w:pPr>
              <w:pStyle w:val="12"/>
            </w:pPr>
            <w:r>
              <w:t>≥95%</w:t>
            </w:r>
          </w:p>
        </w:tc>
        <w:tc>
          <w:tcPr>
            <w:tcW w:w="1276" w:type="dxa"/>
            <w:vAlign w:val="center"/>
          </w:tcPr>
          <w:p w14:paraId="0D3309A2">
            <w:pPr>
              <w:pStyle w:val="12"/>
            </w:pPr>
            <w:r>
              <w:t>《隆尧县人民政府专题会议纪要》【2020】15号</w:t>
            </w:r>
          </w:p>
        </w:tc>
      </w:tr>
    </w:tbl>
    <w:p w14:paraId="4A7A0CC1">
      <w:pPr>
        <w:sectPr>
          <w:pgSz w:w="16840" w:h="11900" w:orient="landscape"/>
          <w:pgMar w:top="1361" w:right="1020" w:bottom="1134" w:left="1020" w:header="720" w:footer="720" w:gutter="0"/>
          <w:cols w:space="720" w:num="1"/>
        </w:sectPr>
      </w:pPr>
    </w:p>
    <w:p w14:paraId="7F6DBFA2">
      <w:pPr>
        <w:spacing w:before="0" w:after="0"/>
        <w:ind w:firstLine="560"/>
        <w:jc w:val="left"/>
        <w:outlineLvl w:val="9"/>
      </w:pPr>
      <w:r>
        <w:rPr>
          <w:rFonts w:ascii="方正仿宋_GBK" w:hAnsi="方正仿宋_GBK" w:eastAsia="方正仿宋_GBK" w:cs="方正仿宋_GBK"/>
          <w:b/>
          <w:color w:val="000000"/>
          <w:sz w:val="28"/>
        </w:rPr>
        <w:t>17、县级配套/2026年普通高中三免（一中高中）建档立卡绩效目标表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16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36288">
            <w:pPr>
              <w:pStyle w:val="11"/>
            </w:pPr>
            <w:r>
              <w:t>单位：万元</w:t>
            </w:r>
          </w:p>
        </w:tc>
      </w:tr>
      <w:tr w14:paraId="0DA20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33AC5">
            <w:pPr>
              <w:pStyle w:val="10"/>
            </w:pPr>
            <w:r>
              <w:t>项目编码</w:t>
            </w:r>
          </w:p>
        </w:tc>
        <w:tc>
          <w:tcPr>
            <w:tcW w:w="5103" w:type="dxa"/>
            <w:gridSpan w:val="2"/>
            <w:vAlign w:val="center"/>
          </w:tcPr>
          <w:p w14:paraId="41A2FD38">
            <w:pPr>
              <w:pStyle w:val="12"/>
            </w:pPr>
            <w:r>
              <w:t>13052526P00001210038T</w:t>
            </w:r>
          </w:p>
        </w:tc>
        <w:tc>
          <w:tcPr>
            <w:tcW w:w="2835" w:type="dxa"/>
            <w:vAlign w:val="center"/>
          </w:tcPr>
          <w:p w14:paraId="55075104">
            <w:pPr>
              <w:pStyle w:val="10"/>
            </w:pPr>
            <w:r>
              <w:t>项目名称</w:t>
            </w:r>
          </w:p>
        </w:tc>
        <w:tc>
          <w:tcPr>
            <w:tcW w:w="6095" w:type="dxa"/>
            <w:gridSpan w:val="3"/>
            <w:vAlign w:val="center"/>
          </w:tcPr>
          <w:p w14:paraId="27E57F63">
            <w:pPr>
              <w:pStyle w:val="12"/>
            </w:pPr>
            <w:r>
              <w:t>县级配套/2026年普通高中三免（一中高中）建档立卡</w:t>
            </w:r>
          </w:p>
        </w:tc>
      </w:tr>
      <w:tr w14:paraId="7FD02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57779">
            <w:pPr>
              <w:pStyle w:val="10"/>
            </w:pPr>
            <w:r>
              <w:t>预算规模及资金用途</w:t>
            </w:r>
          </w:p>
        </w:tc>
        <w:tc>
          <w:tcPr>
            <w:tcW w:w="2268" w:type="dxa"/>
            <w:vAlign w:val="center"/>
          </w:tcPr>
          <w:p w14:paraId="349D5DA8">
            <w:pPr>
              <w:pStyle w:val="10"/>
            </w:pPr>
            <w:r>
              <w:t>预算数</w:t>
            </w:r>
          </w:p>
        </w:tc>
        <w:tc>
          <w:tcPr>
            <w:tcW w:w="2835" w:type="dxa"/>
            <w:vAlign w:val="center"/>
          </w:tcPr>
          <w:p w14:paraId="6D15AB06">
            <w:pPr>
              <w:pStyle w:val="12"/>
            </w:pPr>
            <w:r>
              <w:t>7.59</w:t>
            </w:r>
          </w:p>
        </w:tc>
        <w:tc>
          <w:tcPr>
            <w:tcW w:w="2835" w:type="dxa"/>
            <w:vAlign w:val="center"/>
          </w:tcPr>
          <w:p w14:paraId="4883D2FF">
            <w:pPr>
              <w:pStyle w:val="10"/>
            </w:pPr>
            <w:r>
              <w:t>其中：财政    资金</w:t>
            </w:r>
          </w:p>
        </w:tc>
        <w:tc>
          <w:tcPr>
            <w:tcW w:w="2551" w:type="dxa"/>
            <w:vAlign w:val="center"/>
          </w:tcPr>
          <w:p w14:paraId="43D9A337">
            <w:pPr>
              <w:pStyle w:val="12"/>
            </w:pPr>
            <w:r>
              <w:t>7.59</w:t>
            </w:r>
          </w:p>
        </w:tc>
        <w:tc>
          <w:tcPr>
            <w:tcW w:w="2268" w:type="dxa"/>
            <w:vAlign w:val="center"/>
          </w:tcPr>
          <w:p w14:paraId="01B42EC3">
            <w:pPr>
              <w:pStyle w:val="10"/>
            </w:pPr>
            <w:r>
              <w:t>其他资金</w:t>
            </w:r>
          </w:p>
        </w:tc>
        <w:tc>
          <w:tcPr>
            <w:tcW w:w="1276" w:type="dxa"/>
            <w:vAlign w:val="center"/>
          </w:tcPr>
          <w:p w14:paraId="7B0363CF">
            <w:pPr>
              <w:pStyle w:val="12"/>
            </w:pPr>
            <w:r>
              <w:t xml:space="preserve"> </w:t>
            </w:r>
          </w:p>
        </w:tc>
      </w:tr>
      <w:tr w14:paraId="3B890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35E98"/>
        </w:tc>
        <w:tc>
          <w:tcPr>
            <w:tcW w:w="14033" w:type="dxa"/>
            <w:gridSpan w:val="6"/>
            <w:vAlign w:val="center"/>
          </w:tcPr>
          <w:p w14:paraId="5722C05C">
            <w:pPr>
              <w:pStyle w:val="12"/>
            </w:pPr>
            <w:r>
              <w:t>深入宣传学生免学费政策，落实普通高中建档立卡家庭困难学生免除学杂费政策</w:t>
            </w:r>
          </w:p>
        </w:tc>
      </w:tr>
      <w:tr w14:paraId="62F65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3945B">
            <w:pPr>
              <w:pStyle w:val="10"/>
            </w:pPr>
            <w:r>
              <w:t>资金支出计划（%）</w:t>
            </w:r>
          </w:p>
        </w:tc>
        <w:tc>
          <w:tcPr>
            <w:tcW w:w="5103" w:type="dxa"/>
            <w:gridSpan w:val="2"/>
            <w:vAlign w:val="center"/>
          </w:tcPr>
          <w:p w14:paraId="4AF69BBF">
            <w:pPr>
              <w:pStyle w:val="10"/>
            </w:pPr>
            <w:r>
              <w:t>3月底</w:t>
            </w:r>
          </w:p>
        </w:tc>
        <w:tc>
          <w:tcPr>
            <w:tcW w:w="2835" w:type="dxa"/>
            <w:vAlign w:val="center"/>
          </w:tcPr>
          <w:p w14:paraId="466B6350">
            <w:pPr>
              <w:pStyle w:val="10"/>
            </w:pPr>
            <w:r>
              <w:t>6月底</w:t>
            </w:r>
          </w:p>
        </w:tc>
        <w:tc>
          <w:tcPr>
            <w:tcW w:w="2551" w:type="dxa"/>
            <w:vAlign w:val="center"/>
          </w:tcPr>
          <w:p w14:paraId="494E9BDB">
            <w:pPr>
              <w:pStyle w:val="10"/>
            </w:pPr>
            <w:r>
              <w:t>10月底</w:t>
            </w:r>
          </w:p>
        </w:tc>
        <w:tc>
          <w:tcPr>
            <w:tcW w:w="3544" w:type="dxa"/>
            <w:gridSpan w:val="2"/>
            <w:vAlign w:val="center"/>
          </w:tcPr>
          <w:p w14:paraId="74789DAC">
            <w:pPr>
              <w:pStyle w:val="10"/>
            </w:pPr>
            <w:r>
              <w:t>12月底</w:t>
            </w:r>
          </w:p>
        </w:tc>
      </w:tr>
      <w:tr w14:paraId="0D498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A31CD"/>
        </w:tc>
        <w:tc>
          <w:tcPr>
            <w:tcW w:w="5103" w:type="dxa"/>
            <w:gridSpan w:val="2"/>
            <w:vAlign w:val="center"/>
          </w:tcPr>
          <w:p w14:paraId="2859FF84">
            <w:pPr>
              <w:pStyle w:val="13"/>
            </w:pPr>
            <w:r>
              <w:t xml:space="preserve"> </w:t>
            </w:r>
          </w:p>
        </w:tc>
        <w:tc>
          <w:tcPr>
            <w:tcW w:w="2835" w:type="dxa"/>
            <w:vAlign w:val="center"/>
          </w:tcPr>
          <w:p w14:paraId="4DA4B978">
            <w:pPr>
              <w:pStyle w:val="13"/>
            </w:pPr>
            <w:r>
              <w:t xml:space="preserve"> </w:t>
            </w:r>
          </w:p>
        </w:tc>
        <w:tc>
          <w:tcPr>
            <w:tcW w:w="2551" w:type="dxa"/>
            <w:vAlign w:val="center"/>
          </w:tcPr>
          <w:p w14:paraId="67EF9B01">
            <w:pPr>
              <w:pStyle w:val="13"/>
            </w:pPr>
            <w:r>
              <w:t>100%</w:t>
            </w:r>
          </w:p>
        </w:tc>
        <w:tc>
          <w:tcPr>
            <w:tcW w:w="3544" w:type="dxa"/>
            <w:gridSpan w:val="2"/>
            <w:vAlign w:val="center"/>
          </w:tcPr>
          <w:p w14:paraId="5C7AEA52">
            <w:pPr>
              <w:pStyle w:val="13"/>
            </w:pPr>
            <w:r>
              <w:t>100%</w:t>
            </w:r>
          </w:p>
        </w:tc>
      </w:tr>
      <w:tr w14:paraId="5AA9C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63998">
            <w:pPr>
              <w:pStyle w:val="10"/>
            </w:pPr>
            <w:r>
              <w:t>绩效目标</w:t>
            </w:r>
          </w:p>
        </w:tc>
        <w:tc>
          <w:tcPr>
            <w:tcW w:w="14033" w:type="dxa"/>
            <w:gridSpan w:val="6"/>
            <w:vAlign w:val="center"/>
          </w:tcPr>
          <w:p w14:paraId="0F13AD2F">
            <w:pPr>
              <w:pStyle w:val="12"/>
            </w:pPr>
            <w:r>
              <w:t>1.县级三免资金75880元，改善学校办学条件，普通高中教育招生增加，学生流失率下降，促进教育均衡发展</w:t>
            </w:r>
          </w:p>
          <w:p w14:paraId="52DCDB6B">
            <w:pPr>
              <w:pStyle w:val="12"/>
            </w:pPr>
            <w:r>
              <w:t>2.深入宣传学生免学费政策，落实普通高中建档立卡家庭困难学生免除学杂费政策</w:t>
            </w:r>
          </w:p>
          <w:p w14:paraId="74BD4B51">
            <w:pPr>
              <w:pStyle w:val="12"/>
            </w:pPr>
            <w:r>
              <w:t>3.减轻农民负担，增强普通高中教育的吸引力，加快县域经济发展</w:t>
            </w:r>
          </w:p>
        </w:tc>
      </w:tr>
    </w:tbl>
    <w:p w14:paraId="6AE42B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3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8BDC8">
            <w:pPr>
              <w:pStyle w:val="10"/>
            </w:pPr>
            <w:r>
              <w:t>一级指标</w:t>
            </w:r>
          </w:p>
        </w:tc>
        <w:tc>
          <w:tcPr>
            <w:tcW w:w="2268" w:type="dxa"/>
            <w:vAlign w:val="center"/>
          </w:tcPr>
          <w:p w14:paraId="2F2F0AF9">
            <w:pPr>
              <w:pStyle w:val="10"/>
            </w:pPr>
            <w:r>
              <w:t>二级指标</w:t>
            </w:r>
          </w:p>
        </w:tc>
        <w:tc>
          <w:tcPr>
            <w:tcW w:w="2835" w:type="dxa"/>
            <w:vAlign w:val="center"/>
          </w:tcPr>
          <w:p w14:paraId="7E6EBD41">
            <w:pPr>
              <w:pStyle w:val="10"/>
            </w:pPr>
            <w:r>
              <w:t>三级指标</w:t>
            </w:r>
          </w:p>
        </w:tc>
        <w:tc>
          <w:tcPr>
            <w:tcW w:w="5386" w:type="dxa"/>
            <w:vAlign w:val="center"/>
          </w:tcPr>
          <w:p w14:paraId="13311AAD">
            <w:pPr>
              <w:pStyle w:val="10"/>
            </w:pPr>
            <w:r>
              <w:t>绩效指标描述</w:t>
            </w:r>
          </w:p>
        </w:tc>
        <w:tc>
          <w:tcPr>
            <w:tcW w:w="2268" w:type="dxa"/>
            <w:vAlign w:val="center"/>
          </w:tcPr>
          <w:p w14:paraId="2394EB0E">
            <w:pPr>
              <w:pStyle w:val="10"/>
            </w:pPr>
            <w:r>
              <w:t>指标值</w:t>
            </w:r>
          </w:p>
        </w:tc>
        <w:tc>
          <w:tcPr>
            <w:tcW w:w="1276" w:type="dxa"/>
            <w:vAlign w:val="center"/>
          </w:tcPr>
          <w:p w14:paraId="3B8FD111">
            <w:pPr>
              <w:pStyle w:val="10"/>
            </w:pPr>
            <w:r>
              <w:t>指标值确定依据</w:t>
            </w:r>
          </w:p>
        </w:tc>
      </w:tr>
      <w:tr w14:paraId="55B7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1DC55">
            <w:pPr>
              <w:pStyle w:val="13"/>
            </w:pPr>
            <w:r>
              <w:t>产出指标</w:t>
            </w:r>
          </w:p>
        </w:tc>
        <w:tc>
          <w:tcPr>
            <w:tcW w:w="2268" w:type="dxa"/>
            <w:vAlign w:val="center"/>
          </w:tcPr>
          <w:p w14:paraId="20722113">
            <w:pPr>
              <w:pStyle w:val="12"/>
            </w:pPr>
            <w:r>
              <w:t>数量指标</w:t>
            </w:r>
          </w:p>
        </w:tc>
        <w:tc>
          <w:tcPr>
            <w:tcW w:w="2835" w:type="dxa"/>
            <w:vAlign w:val="center"/>
          </w:tcPr>
          <w:p w14:paraId="32123EAF">
            <w:pPr>
              <w:pStyle w:val="12"/>
            </w:pPr>
            <w:r>
              <w:t>普通高中资助人数</w:t>
            </w:r>
          </w:p>
        </w:tc>
        <w:tc>
          <w:tcPr>
            <w:tcW w:w="5386" w:type="dxa"/>
            <w:vAlign w:val="center"/>
          </w:tcPr>
          <w:p w14:paraId="2C03100F">
            <w:pPr>
              <w:pStyle w:val="12"/>
            </w:pPr>
            <w:r>
              <w:t>在我校就读具有正式注册学籍的建档立卡家庭学生</w:t>
            </w:r>
          </w:p>
        </w:tc>
        <w:tc>
          <w:tcPr>
            <w:tcW w:w="2268" w:type="dxa"/>
            <w:vAlign w:val="center"/>
          </w:tcPr>
          <w:p w14:paraId="3808C02B">
            <w:pPr>
              <w:pStyle w:val="12"/>
            </w:pPr>
            <w:r>
              <w:t>≥271人</w:t>
            </w:r>
          </w:p>
        </w:tc>
        <w:tc>
          <w:tcPr>
            <w:tcW w:w="1276" w:type="dxa"/>
            <w:vAlign w:val="center"/>
          </w:tcPr>
          <w:p w14:paraId="20A0BE51">
            <w:pPr>
              <w:pStyle w:val="12"/>
            </w:pPr>
            <w:r>
              <w:t>年度预算</w:t>
            </w:r>
          </w:p>
        </w:tc>
      </w:tr>
      <w:tr w14:paraId="5007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75DC9"/>
        </w:tc>
        <w:tc>
          <w:tcPr>
            <w:tcW w:w="2268" w:type="dxa"/>
            <w:vAlign w:val="center"/>
          </w:tcPr>
          <w:p w14:paraId="4C78502E">
            <w:pPr>
              <w:pStyle w:val="12"/>
            </w:pPr>
            <w:r>
              <w:t>质量指标</w:t>
            </w:r>
          </w:p>
        </w:tc>
        <w:tc>
          <w:tcPr>
            <w:tcW w:w="2835" w:type="dxa"/>
            <w:vAlign w:val="center"/>
          </w:tcPr>
          <w:p w14:paraId="5D439141">
            <w:pPr>
              <w:pStyle w:val="12"/>
            </w:pPr>
            <w:r>
              <w:t>成立评审小组</w:t>
            </w:r>
          </w:p>
        </w:tc>
        <w:tc>
          <w:tcPr>
            <w:tcW w:w="5386" w:type="dxa"/>
            <w:vAlign w:val="center"/>
          </w:tcPr>
          <w:p w14:paraId="1EF220CD">
            <w:pPr>
              <w:pStyle w:val="12"/>
            </w:pPr>
            <w:r>
              <w:t>成立普通高中贫困资助评审小组，建立监督检查制度</w:t>
            </w:r>
          </w:p>
        </w:tc>
        <w:tc>
          <w:tcPr>
            <w:tcW w:w="2268" w:type="dxa"/>
            <w:vAlign w:val="center"/>
          </w:tcPr>
          <w:p w14:paraId="37D2568C">
            <w:pPr>
              <w:pStyle w:val="12"/>
            </w:pPr>
            <w:r>
              <w:t>1小组</w:t>
            </w:r>
          </w:p>
        </w:tc>
        <w:tc>
          <w:tcPr>
            <w:tcW w:w="1276" w:type="dxa"/>
            <w:vAlign w:val="center"/>
          </w:tcPr>
          <w:p w14:paraId="7A398AE4">
            <w:pPr>
              <w:pStyle w:val="12"/>
            </w:pPr>
            <w:r>
              <w:t>河北省建档立卡家庭经济困难学生资助管理暂行办法</w:t>
            </w:r>
          </w:p>
        </w:tc>
      </w:tr>
      <w:tr w14:paraId="5E23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4DAB8"/>
        </w:tc>
        <w:tc>
          <w:tcPr>
            <w:tcW w:w="2268" w:type="dxa"/>
            <w:vAlign w:val="center"/>
          </w:tcPr>
          <w:p w14:paraId="70A1B3B4">
            <w:pPr>
              <w:pStyle w:val="12"/>
            </w:pPr>
            <w:r>
              <w:t>时效指标</w:t>
            </w:r>
          </w:p>
        </w:tc>
        <w:tc>
          <w:tcPr>
            <w:tcW w:w="2835" w:type="dxa"/>
            <w:vAlign w:val="center"/>
          </w:tcPr>
          <w:p w14:paraId="34053075">
            <w:pPr>
              <w:pStyle w:val="12"/>
            </w:pPr>
            <w:r>
              <w:t>补助资金到位</w:t>
            </w:r>
          </w:p>
        </w:tc>
        <w:tc>
          <w:tcPr>
            <w:tcW w:w="5386" w:type="dxa"/>
            <w:vAlign w:val="center"/>
          </w:tcPr>
          <w:p w14:paraId="42690A29">
            <w:pPr>
              <w:pStyle w:val="12"/>
            </w:pPr>
            <w:r>
              <w:t>补助资金到位及时率</w:t>
            </w:r>
          </w:p>
        </w:tc>
        <w:tc>
          <w:tcPr>
            <w:tcW w:w="2268" w:type="dxa"/>
            <w:vAlign w:val="center"/>
          </w:tcPr>
          <w:p w14:paraId="466B0959">
            <w:pPr>
              <w:pStyle w:val="12"/>
            </w:pPr>
            <w:r>
              <w:t>100%</w:t>
            </w:r>
          </w:p>
        </w:tc>
        <w:tc>
          <w:tcPr>
            <w:tcW w:w="1276" w:type="dxa"/>
            <w:vAlign w:val="center"/>
          </w:tcPr>
          <w:p w14:paraId="5EB11B63">
            <w:pPr>
              <w:pStyle w:val="12"/>
            </w:pPr>
            <w:r>
              <w:t>河北省建档立卡家庭经济困难学生资助管理暂行办法</w:t>
            </w:r>
          </w:p>
        </w:tc>
      </w:tr>
      <w:tr w14:paraId="179DD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11BA9"/>
        </w:tc>
        <w:tc>
          <w:tcPr>
            <w:tcW w:w="2268" w:type="dxa"/>
            <w:vAlign w:val="center"/>
          </w:tcPr>
          <w:p w14:paraId="6FDC4F37">
            <w:pPr>
              <w:pStyle w:val="12"/>
            </w:pPr>
            <w:r>
              <w:t>成本指标</w:t>
            </w:r>
          </w:p>
        </w:tc>
        <w:tc>
          <w:tcPr>
            <w:tcW w:w="2835" w:type="dxa"/>
            <w:vAlign w:val="center"/>
          </w:tcPr>
          <w:p w14:paraId="6E2EAB0D">
            <w:pPr>
              <w:pStyle w:val="12"/>
            </w:pPr>
            <w:r>
              <w:t>普通高中建档立卡学生减免标准</w:t>
            </w:r>
          </w:p>
        </w:tc>
        <w:tc>
          <w:tcPr>
            <w:tcW w:w="5386" w:type="dxa"/>
            <w:vAlign w:val="center"/>
          </w:tcPr>
          <w:p w14:paraId="621277FA">
            <w:pPr>
              <w:pStyle w:val="12"/>
            </w:pPr>
            <w:r>
              <w:t>学费2000元/生/年；住宿费500元/生/年；书费300元/生/年</w:t>
            </w:r>
          </w:p>
        </w:tc>
        <w:tc>
          <w:tcPr>
            <w:tcW w:w="2268" w:type="dxa"/>
            <w:vAlign w:val="center"/>
          </w:tcPr>
          <w:p w14:paraId="4D542001">
            <w:pPr>
              <w:pStyle w:val="12"/>
            </w:pPr>
            <w:r>
              <w:t>2800元</w:t>
            </w:r>
          </w:p>
        </w:tc>
        <w:tc>
          <w:tcPr>
            <w:tcW w:w="1276" w:type="dxa"/>
            <w:vAlign w:val="center"/>
          </w:tcPr>
          <w:p w14:paraId="73FEE21F">
            <w:pPr>
              <w:pStyle w:val="12"/>
            </w:pPr>
            <w:r>
              <w:t>河北省建档立卡家庭经济困难学生资助管理暂行办法</w:t>
            </w:r>
          </w:p>
        </w:tc>
      </w:tr>
      <w:tr w14:paraId="0D935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0705A">
            <w:pPr>
              <w:pStyle w:val="13"/>
            </w:pPr>
            <w:r>
              <w:t>效益指标</w:t>
            </w:r>
          </w:p>
        </w:tc>
        <w:tc>
          <w:tcPr>
            <w:tcW w:w="2268" w:type="dxa"/>
            <w:vAlign w:val="center"/>
          </w:tcPr>
          <w:p w14:paraId="604096D4">
            <w:pPr>
              <w:pStyle w:val="12"/>
            </w:pPr>
            <w:r>
              <w:t>经济效益指标</w:t>
            </w:r>
          </w:p>
        </w:tc>
        <w:tc>
          <w:tcPr>
            <w:tcW w:w="2835" w:type="dxa"/>
            <w:vAlign w:val="center"/>
          </w:tcPr>
          <w:p w14:paraId="244DFAD9">
            <w:pPr>
              <w:pStyle w:val="12"/>
            </w:pPr>
            <w:r>
              <w:t>减轻家庭负担</w:t>
            </w:r>
          </w:p>
        </w:tc>
        <w:tc>
          <w:tcPr>
            <w:tcW w:w="5386" w:type="dxa"/>
            <w:vAlign w:val="center"/>
          </w:tcPr>
          <w:p w14:paraId="46C68E83">
            <w:pPr>
              <w:pStyle w:val="12"/>
            </w:pPr>
            <w:r>
              <w:t>减轻建档立卡家庭学生家长经济负担</w:t>
            </w:r>
          </w:p>
        </w:tc>
        <w:tc>
          <w:tcPr>
            <w:tcW w:w="2268" w:type="dxa"/>
            <w:vAlign w:val="center"/>
          </w:tcPr>
          <w:p w14:paraId="30AECC5A">
            <w:pPr>
              <w:pStyle w:val="12"/>
            </w:pPr>
            <w:r>
              <w:t>100%</w:t>
            </w:r>
          </w:p>
        </w:tc>
        <w:tc>
          <w:tcPr>
            <w:tcW w:w="1276" w:type="dxa"/>
            <w:vAlign w:val="center"/>
          </w:tcPr>
          <w:p w14:paraId="4579790B">
            <w:pPr>
              <w:pStyle w:val="12"/>
            </w:pPr>
            <w:r>
              <w:t>河北省建档立卡家庭经济困难学生资助管理暂行办法</w:t>
            </w:r>
          </w:p>
        </w:tc>
      </w:tr>
      <w:tr w14:paraId="6AA3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7E4E2"/>
        </w:tc>
        <w:tc>
          <w:tcPr>
            <w:tcW w:w="2268" w:type="dxa"/>
            <w:vAlign w:val="center"/>
          </w:tcPr>
          <w:p w14:paraId="164525C2">
            <w:pPr>
              <w:pStyle w:val="12"/>
            </w:pPr>
            <w:r>
              <w:t>可持续影响指标</w:t>
            </w:r>
          </w:p>
        </w:tc>
        <w:tc>
          <w:tcPr>
            <w:tcW w:w="2835" w:type="dxa"/>
            <w:vAlign w:val="center"/>
          </w:tcPr>
          <w:p w14:paraId="09DEF7FE">
            <w:pPr>
              <w:pStyle w:val="12"/>
            </w:pPr>
            <w:r>
              <w:t>高中运转</w:t>
            </w:r>
          </w:p>
        </w:tc>
        <w:tc>
          <w:tcPr>
            <w:tcW w:w="5386" w:type="dxa"/>
            <w:vAlign w:val="center"/>
          </w:tcPr>
          <w:p w14:paraId="4D0E1886">
            <w:pPr>
              <w:pStyle w:val="12"/>
            </w:pPr>
            <w:r>
              <w:t>高中生受教育年限</w:t>
            </w:r>
          </w:p>
        </w:tc>
        <w:tc>
          <w:tcPr>
            <w:tcW w:w="2268" w:type="dxa"/>
            <w:vAlign w:val="center"/>
          </w:tcPr>
          <w:p w14:paraId="2BE7E79D">
            <w:pPr>
              <w:pStyle w:val="12"/>
            </w:pPr>
            <w:r>
              <w:t>3年</w:t>
            </w:r>
          </w:p>
        </w:tc>
        <w:tc>
          <w:tcPr>
            <w:tcW w:w="1276" w:type="dxa"/>
            <w:vAlign w:val="center"/>
          </w:tcPr>
          <w:p w14:paraId="13E4BEE6">
            <w:pPr>
              <w:pStyle w:val="12"/>
            </w:pPr>
            <w:r>
              <w:t>河北省建档立卡家庭经济困难学生资助管理暂行办法</w:t>
            </w:r>
          </w:p>
        </w:tc>
      </w:tr>
      <w:tr w14:paraId="5D65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E704E">
            <w:pPr>
              <w:pStyle w:val="13"/>
            </w:pPr>
            <w:r>
              <w:t>满意度指标</w:t>
            </w:r>
          </w:p>
        </w:tc>
        <w:tc>
          <w:tcPr>
            <w:tcW w:w="2268" w:type="dxa"/>
            <w:vAlign w:val="center"/>
          </w:tcPr>
          <w:p w14:paraId="7FD07968">
            <w:pPr>
              <w:pStyle w:val="12"/>
            </w:pPr>
            <w:r>
              <w:t>服务对象满意度指标</w:t>
            </w:r>
          </w:p>
        </w:tc>
        <w:tc>
          <w:tcPr>
            <w:tcW w:w="2835" w:type="dxa"/>
            <w:vAlign w:val="center"/>
          </w:tcPr>
          <w:p w14:paraId="269BA9D4">
            <w:pPr>
              <w:pStyle w:val="12"/>
            </w:pPr>
            <w:r>
              <w:t>提升幸福指数</w:t>
            </w:r>
          </w:p>
        </w:tc>
        <w:tc>
          <w:tcPr>
            <w:tcW w:w="5386" w:type="dxa"/>
            <w:vAlign w:val="center"/>
          </w:tcPr>
          <w:p w14:paraId="636FE06D">
            <w:pPr>
              <w:pStyle w:val="12"/>
            </w:pPr>
            <w:r>
              <w:t>提升建档立卡贫困家庭学生幸福指数</w:t>
            </w:r>
          </w:p>
          <w:p w14:paraId="671585B5">
            <w:pPr>
              <w:pStyle w:val="12"/>
            </w:pPr>
            <w:r>
              <w:t>家长学生满意</w:t>
            </w:r>
          </w:p>
        </w:tc>
        <w:tc>
          <w:tcPr>
            <w:tcW w:w="2268" w:type="dxa"/>
            <w:vAlign w:val="center"/>
          </w:tcPr>
          <w:p w14:paraId="4CC87411">
            <w:pPr>
              <w:pStyle w:val="12"/>
            </w:pPr>
            <w:r>
              <w:t>≥98%</w:t>
            </w:r>
          </w:p>
        </w:tc>
        <w:tc>
          <w:tcPr>
            <w:tcW w:w="1276" w:type="dxa"/>
            <w:vAlign w:val="center"/>
          </w:tcPr>
          <w:p w14:paraId="5EE04F62">
            <w:pPr>
              <w:pStyle w:val="12"/>
            </w:pPr>
            <w:r>
              <w:t>河北省建档立卡家庭经济困难学生资助管理暂行办法</w:t>
            </w:r>
          </w:p>
        </w:tc>
      </w:tr>
    </w:tbl>
    <w:p w14:paraId="1D703118">
      <w:pPr>
        <w:sectPr>
          <w:pgSz w:w="16840" w:h="11900" w:orient="landscape"/>
          <w:pgMar w:top="1361" w:right="1020" w:bottom="1134" w:left="1020" w:header="720" w:footer="720" w:gutter="0"/>
          <w:cols w:space="720" w:num="1"/>
        </w:sectPr>
      </w:pPr>
    </w:p>
    <w:p w14:paraId="73A1E8E7">
      <w:pPr>
        <w:spacing w:before="0" w:after="0"/>
        <w:ind w:firstLine="560"/>
        <w:jc w:val="left"/>
        <w:outlineLvl w:val="9"/>
      </w:pPr>
      <w:r>
        <w:rPr>
          <w:rFonts w:ascii="方正仿宋_GBK" w:hAnsi="方正仿宋_GBK" w:eastAsia="方正仿宋_GBK" w:cs="方正仿宋_GBK"/>
          <w:b/>
          <w:color w:val="000000"/>
          <w:sz w:val="28"/>
        </w:rPr>
        <w:t>18、县级配套/隆尧一中（初中）公用经费绩效目标表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BD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65F15">
            <w:pPr>
              <w:pStyle w:val="11"/>
            </w:pPr>
            <w:r>
              <w:t>单位：万元</w:t>
            </w:r>
          </w:p>
        </w:tc>
      </w:tr>
      <w:tr w14:paraId="2B4FB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5E40B">
            <w:pPr>
              <w:pStyle w:val="10"/>
            </w:pPr>
            <w:r>
              <w:t>项目编码</w:t>
            </w:r>
          </w:p>
        </w:tc>
        <w:tc>
          <w:tcPr>
            <w:tcW w:w="5103" w:type="dxa"/>
            <w:gridSpan w:val="2"/>
            <w:vAlign w:val="center"/>
          </w:tcPr>
          <w:p w14:paraId="71CD04DC">
            <w:pPr>
              <w:pStyle w:val="12"/>
            </w:pPr>
            <w:r>
              <w:t>13052526P000004104042</w:t>
            </w:r>
          </w:p>
        </w:tc>
        <w:tc>
          <w:tcPr>
            <w:tcW w:w="2835" w:type="dxa"/>
            <w:vAlign w:val="center"/>
          </w:tcPr>
          <w:p w14:paraId="3C0099C9">
            <w:pPr>
              <w:pStyle w:val="10"/>
            </w:pPr>
            <w:r>
              <w:t>项目名称</w:t>
            </w:r>
          </w:p>
        </w:tc>
        <w:tc>
          <w:tcPr>
            <w:tcW w:w="6095" w:type="dxa"/>
            <w:gridSpan w:val="3"/>
            <w:vAlign w:val="center"/>
          </w:tcPr>
          <w:p w14:paraId="7F227743">
            <w:pPr>
              <w:pStyle w:val="12"/>
            </w:pPr>
            <w:r>
              <w:t>县级配套/隆尧一中（初中）公用经费</w:t>
            </w:r>
          </w:p>
        </w:tc>
      </w:tr>
      <w:tr w14:paraId="66B50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95A10">
            <w:pPr>
              <w:pStyle w:val="10"/>
            </w:pPr>
            <w:r>
              <w:t>预算规模及资金用途</w:t>
            </w:r>
          </w:p>
        </w:tc>
        <w:tc>
          <w:tcPr>
            <w:tcW w:w="2268" w:type="dxa"/>
            <w:vAlign w:val="center"/>
          </w:tcPr>
          <w:p w14:paraId="71C7F792">
            <w:pPr>
              <w:pStyle w:val="10"/>
            </w:pPr>
            <w:r>
              <w:t>预算数</w:t>
            </w:r>
          </w:p>
        </w:tc>
        <w:tc>
          <w:tcPr>
            <w:tcW w:w="2835" w:type="dxa"/>
            <w:vAlign w:val="center"/>
          </w:tcPr>
          <w:p w14:paraId="3BEE3618">
            <w:pPr>
              <w:pStyle w:val="12"/>
            </w:pPr>
            <w:r>
              <w:t>12.71</w:t>
            </w:r>
          </w:p>
        </w:tc>
        <w:tc>
          <w:tcPr>
            <w:tcW w:w="2835" w:type="dxa"/>
            <w:vAlign w:val="center"/>
          </w:tcPr>
          <w:p w14:paraId="68FE7B72">
            <w:pPr>
              <w:pStyle w:val="10"/>
            </w:pPr>
            <w:r>
              <w:t>其中：财政    资金</w:t>
            </w:r>
          </w:p>
        </w:tc>
        <w:tc>
          <w:tcPr>
            <w:tcW w:w="2551" w:type="dxa"/>
            <w:vAlign w:val="center"/>
          </w:tcPr>
          <w:p w14:paraId="00C37F7B">
            <w:pPr>
              <w:pStyle w:val="12"/>
            </w:pPr>
            <w:r>
              <w:t>12.71</w:t>
            </w:r>
          </w:p>
        </w:tc>
        <w:tc>
          <w:tcPr>
            <w:tcW w:w="2268" w:type="dxa"/>
            <w:vAlign w:val="center"/>
          </w:tcPr>
          <w:p w14:paraId="47E33200">
            <w:pPr>
              <w:pStyle w:val="10"/>
            </w:pPr>
            <w:r>
              <w:t>其他资金</w:t>
            </w:r>
          </w:p>
        </w:tc>
        <w:tc>
          <w:tcPr>
            <w:tcW w:w="1276" w:type="dxa"/>
            <w:vAlign w:val="center"/>
          </w:tcPr>
          <w:p w14:paraId="4E5A08AE">
            <w:pPr>
              <w:pStyle w:val="12"/>
            </w:pPr>
            <w:r>
              <w:t xml:space="preserve"> </w:t>
            </w:r>
          </w:p>
        </w:tc>
      </w:tr>
      <w:tr w14:paraId="3C6BF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C39A3"/>
        </w:tc>
        <w:tc>
          <w:tcPr>
            <w:tcW w:w="14033" w:type="dxa"/>
            <w:gridSpan w:val="6"/>
            <w:vAlign w:val="center"/>
          </w:tcPr>
          <w:p w14:paraId="6E621B9A">
            <w:pPr>
              <w:pStyle w:val="12"/>
            </w:pPr>
            <w:r>
              <w:t>有效完成学校教学安全秩序，保障学校教学任务有效开展，满足学校正常教学需要。</w:t>
            </w:r>
          </w:p>
        </w:tc>
      </w:tr>
      <w:tr w14:paraId="0078D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2E528">
            <w:pPr>
              <w:pStyle w:val="10"/>
            </w:pPr>
            <w:r>
              <w:t>资金支出计划（%）</w:t>
            </w:r>
          </w:p>
        </w:tc>
        <w:tc>
          <w:tcPr>
            <w:tcW w:w="5103" w:type="dxa"/>
            <w:gridSpan w:val="2"/>
            <w:vAlign w:val="center"/>
          </w:tcPr>
          <w:p w14:paraId="212D22D4">
            <w:pPr>
              <w:pStyle w:val="10"/>
            </w:pPr>
            <w:r>
              <w:t>3月底</w:t>
            </w:r>
          </w:p>
        </w:tc>
        <w:tc>
          <w:tcPr>
            <w:tcW w:w="2835" w:type="dxa"/>
            <w:vAlign w:val="center"/>
          </w:tcPr>
          <w:p w14:paraId="5F84A69C">
            <w:pPr>
              <w:pStyle w:val="10"/>
            </w:pPr>
            <w:r>
              <w:t>6月底</w:t>
            </w:r>
          </w:p>
        </w:tc>
        <w:tc>
          <w:tcPr>
            <w:tcW w:w="2551" w:type="dxa"/>
            <w:vAlign w:val="center"/>
          </w:tcPr>
          <w:p w14:paraId="6BFCEDB5">
            <w:pPr>
              <w:pStyle w:val="10"/>
            </w:pPr>
            <w:r>
              <w:t>10月底</w:t>
            </w:r>
          </w:p>
        </w:tc>
        <w:tc>
          <w:tcPr>
            <w:tcW w:w="3544" w:type="dxa"/>
            <w:gridSpan w:val="2"/>
            <w:vAlign w:val="center"/>
          </w:tcPr>
          <w:p w14:paraId="080D48D9">
            <w:pPr>
              <w:pStyle w:val="10"/>
            </w:pPr>
            <w:r>
              <w:t>12月底</w:t>
            </w:r>
          </w:p>
        </w:tc>
      </w:tr>
      <w:tr w14:paraId="5E646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69081"/>
        </w:tc>
        <w:tc>
          <w:tcPr>
            <w:tcW w:w="5103" w:type="dxa"/>
            <w:gridSpan w:val="2"/>
            <w:vAlign w:val="center"/>
          </w:tcPr>
          <w:p w14:paraId="70C4C981">
            <w:pPr>
              <w:pStyle w:val="13"/>
            </w:pPr>
            <w:r>
              <w:t>25%</w:t>
            </w:r>
          </w:p>
        </w:tc>
        <w:tc>
          <w:tcPr>
            <w:tcW w:w="2835" w:type="dxa"/>
            <w:vAlign w:val="center"/>
          </w:tcPr>
          <w:p w14:paraId="29D18EBD">
            <w:pPr>
              <w:pStyle w:val="13"/>
            </w:pPr>
            <w:r>
              <w:t>50%</w:t>
            </w:r>
          </w:p>
        </w:tc>
        <w:tc>
          <w:tcPr>
            <w:tcW w:w="2551" w:type="dxa"/>
            <w:vAlign w:val="center"/>
          </w:tcPr>
          <w:p w14:paraId="274BC633">
            <w:pPr>
              <w:pStyle w:val="13"/>
            </w:pPr>
            <w:r>
              <w:t>75%</w:t>
            </w:r>
          </w:p>
        </w:tc>
        <w:tc>
          <w:tcPr>
            <w:tcW w:w="3544" w:type="dxa"/>
            <w:gridSpan w:val="2"/>
            <w:vAlign w:val="center"/>
          </w:tcPr>
          <w:p w14:paraId="5BDCA742">
            <w:pPr>
              <w:pStyle w:val="13"/>
            </w:pPr>
            <w:r>
              <w:t>100%</w:t>
            </w:r>
          </w:p>
        </w:tc>
      </w:tr>
      <w:tr w14:paraId="38C4D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7175D">
            <w:pPr>
              <w:pStyle w:val="10"/>
            </w:pPr>
            <w:r>
              <w:t>绩效目标</w:t>
            </w:r>
          </w:p>
        </w:tc>
        <w:tc>
          <w:tcPr>
            <w:tcW w:w="14033" w:type="dxa"/>
            <w:gridSpan w:val="6"/>
            <w:vAlign w:val="center"/>
          </w:tcPr>
          <w:p w14:paraId="75F0AAC4">
            <w:pPr>
              <w:pStyle w:val="12"/>
            </w:pPr>
            <w:r>
              <w:t>1.有效完成学校教学安全秩序，保障学校教学任务有效开展，满足学校正常教学需要。</w:t>
            </w:r>
          </w:p>
          <w:p w14:paraId="5CB32CC3">
            <w:pPr>
              <w:pStyle w:val="12"/>
            </w:pPr>
            <w:r>
              <w:t>2.按规定拨付公用经费资金，预算执行率≥98%。</w:t>
            </w:r>
          </w:p>
        </w:tc>
      </w:tr>
    </w:tbl>
    <w:p w14:paraId="4337F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8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2CA66">
            <w:pPr>
              <w:pStyle w:val="10"/>
            </w:pPr>
            <w:r>
              <w:t>一级指标</w:t>
            </w:r>
          </w:p>
        </w:tc>
        <w:tc>
          <w:tcPr>
            <w:tcW w:w="2268" w:type="dxa"/>
            <w:vAlign w:val="center"/>
          </w:tcPr>
          <w:p w14:paraId="7B0A3F24">
            <w:pPr>
              <w:pStyle w:val="10"/>
            </w:pPr>
            <w:r>
              <w:t>二级指标</w:t>
            </w:r>
          </w:p>
        </w:tc>
        <w:tc>
          <w:tcPr>
            <w:tcW w:w="2835" w:type="dxa"/>
            <w:vAlign w:val="center"/>
          </w:tcPr>
          <w:p w14:paraId="422A3CB9">
            <w:pPr>
              <w:pStyle w:val="10"/>
            </w:pPr>
            <w:r>
              <w:t>三级指标</w:t>
            </w:r>
          </w:p>
        </w:tc>
        <w:tc>
          <w:tcPr>
            <w:tcW w:w="5386" w:type="dxa"/>
            <w:vAlign w:val="center"/>
          </w:tcPr>
          <w:p w14:paraId="2B2BDC49">
            <w:pPr>
              <w:pStyle w:val="10"/>
            </w:pPr>
            <w:r>
              <w:t>绩效指标描述</w:t>
            </w:r>
          </w:p>
        </w:tc>
        <w:tc>
          <w:tcPr>
            <w:tcW w:w="2268" w:type="dxa"/>
            <w:vAlign w:val="center"/>
          </w:tcPr>
          <w:p w14:paraId="61B25097">
            <w:pPr>
              <w:pStyle w:val="10"/>
            </w:pPr>
            <w:r>
              <w:t>指标值</w:t>
            </w:r>
          </w:p>
        </w:tc>
        <w:tc>
          <w:tcPr>
            <w:tcW w:w="1276" w:type="dxa"/>
            <w:vAlign w:val="center"/>
          </w:tcPr>
          <w:p w14:paraId="52E01AEF">
            <w:pPr>
              <w:pStyle w:val="10"/>
            </w:pPr>
            <w:r>
              <w:t>指标值确定依据</w:t>
            </w:r>
          </w:p>
        </w:tc>
      </w:tr>
      <w:tr w14:paraId="1934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29C2C">
            <w:pPr>
              <w:pStyle w:val="13"/>
            </w:pPr>
            <w:r>
              <w:t>产出指标</w:t>
            </w:r>
          </w:p>
        </w:tc>
        <w:tc>
          <w:tcPr>
            <w:tcW w:w="2268" w:type="dxa"/>
            <w:vAlign w:val="center"/>
          </w:tcPr>
          <w:p w14:paraId="22E7B32A">
            <w:pPr>
              <w:pStyle w:val="12"/>
            </w:pPr>
            <w:r>
              <w:t>数量指标</w:t>
            </w:r>
          </w:p>
        </w:tc>
        <w:tc>
          <w:tcPr>
            <w:tcW w:w="2835" w:type="dxa"/>
            <w:vAlign w:val="center"/>
          </w:tcPr>
          <w:p w14:paraId="7144C924">
            <w:pPr>
              <w:pStyle w:val="12"/>
            </w:pPr>
            <w:r>
              <w:t>就读学生数</w:t>
            </w:r>
          </w:p>
        </w:tc>
        <w:tc>
          <w:tcPr>
            <w:tcW w:w="5386" w:type="dxa"/>
            <w:vAlign w:val="center"/>
          </w:tcPr>
          <w:p w14:paraId="692F1400">
            <w:pPr>
              <w:pStyle w:val="12"/>
            </w:pPr>
            <w:r>
              <w:t>辐射区域内适龄学生人数</w:t>
            </w:r>
          </w:p>
        </w:tc>
        <w:tc>
          <w:tcPr>
            <w:tcW w:w="2268" w:type="dxa"/>
            <w:vAlign w:val="center"/>
          </w:tcPr>
          <w:p w14:paraId="1B0BE4DF">
            <w:pPr>
              <w:pStyle w:val="12"/>
            </w:pPr>
            <w:r>
              <w:t>946人</w:t>
            </w:r>
          </w:p>
        </w:tc>
        <w:tc>
          <w:tcPr>
            <w:tcW w:w="1276" w:type="dxa"/>
            <w:vAlign w:val="center"/>
          </w:tcPr>
          <w:p w14:paraId="4B542C3E">
            <w:pPr>
              <w:pStyle w:val="12"/>
            </w:pPr>
            <w:r>
              <w:t>城乡义务教育公用经费管理办法</w:t>
            </w:r>
          </w:p>
        </w:tc>
      </w:tr>
      <w:tr w14:paraId="6C56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C32E7"/>
        </w:tc>
        <w:tc>
          <w:tcPr>
            <w:tcW w:w="2268" w:type="dxa"/>
            <w:vAlign w:val="center"/>
          </w:tcPr>
          <w:p w14:paraId="3BED1911">
            <w:pPr>
              <w:pStyle w:val="12"/>
            </w:pPr>
            <w:r>
              <w:t>质量指标</w:t>
            </w:r>
          </w:p>
        </w:tc>
        <w:tc>
          <w:tcPr>
            <w:tcW w:w="2835" w:type="dxa"/>
            <w:vAlign w:val="center"/>
          </w:tcPr>
          <w:p w14:paraId="57738D1C">
            <w:pPr>
              <w:pStyle w:val="12"/>
            </w:pPr>
            <w:r>
              <w:t>预算执行率</w:t>
            </w:r>
          </w:p>
        </w:tc>
        <w:tc>
          <w:tcPr>
            <w:tcW w:w="5386" w:type="dxa"/>
            <w:vAlign w:val="center"/>
          </w:tcPr>
          <w:p w14:paraId="2135D51A">
            <w:pPr>
              <w:pStyle w:val="12"/>
            </w:pPr>
            <w:r>
              <w:t>预算执行率</w:t>
            </w:r>
          </w:p>
        </w:tc>
        <w:tc>
          <w:tcPr>
            <w:tcW w:w="2268" w:type="dxa"/>
            <w:vAlign w:val="center"/>
          </w:tcPr>
          <w:p w14:paraId="28863328">
            <w:pPr>
              <w:pStyle w:val="12"/>
            </w:pPr>
            <w:r>
              <w:t>≥98%</w:t>
            </w:r>
          </w:p>
        </w:tc>
        <w:tc>
          <w:tcPr>
            <w:tcW w:w="1276" w:type="dxa"/>
            <w:vAlign w:val="center"/>
          </w:tcPr>
          <w:p w14:paraId="166A4683">
            <w:pPr>
              <w:pStyle w:val="12"/>
            </w:pPr>
            <w:r>
              <w:t>城乡义务教育公用经费管理办法</w:t>
            </w:r>
          </w:p>
        </w:tc>
      </w:tr>
      <w:tr w14:paraId="3E4A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81FA3"/>
        </w:tc>
        <w:tc>
          <w:tcPr>
            <w:tcW w:w="2268" w:type="dxa"/>
            <w:vAlign w:val="center"/>
          </w:tcPr>
          <w:p w14:paraId="4A438AA6">
            <w:pPr>
              <w:pStyle w:val="12"/>
            </w:pPr>
            <w:r>
              <w:t>时效指标</w:t>
            </w:r>
          </w:p>
        </w:tc>
        <w:tc>
          <w:tcPr>
            <w:tcW w:w="2835" w:type="dxa"/>
            <w:vAlign w:val="center"/>
          </w:tcPr>
          <w:p w14:paraId="1B42B5FD">
            <w:pPr>
              <w:pStyle w:val="12"/>
            </w:pPr>
            <w:r>
              <w:t>义教经费支付完成率</w:t>
            </w:r>
          </w:p>
        </w:tc>
        <w:tc>
          <w:tcPr>
            <w:tcW w:w="5386" w:type="dxa"/>
            <w:vAlign w:val="center"/>
          </w:tcPr>
          <w:p w14:paraId="59E31A7D">
            <w:pPr>
              <w:pStyle w:val="12"/>
            </w:pPr>
            <w:r>
              <w:t>按照序时进度完成资金支付</w:t>
            </w:r>
          </w:p>
        </w:tc>
        <w:tc>
          <w:tcPr>
            <w:tcW w:w="2268" w:type="dxa"/>
            <w:vAlign w:val="center"/>
          </w:tcPr>
          <w:p w14:paraId="7A54C5C7">
            <w:pPr>
              <w:pStyle w:val="12"/>
            </w:pPr>
            <w:r>
              <w:t>100%</w:t>
            </w:r>
          </w:p>
        </w:tc>
        <w:tc>
          <w:tcPr>
            <w:tcW w:w="1276" w:type="dxa"/>
            <w:vAlign w:val="center"/>
          </w:tcPr>
          <w:p w14:paraId="07A3E9A6">
            <w:pPr>
              <w:pStyle w:val="12"/>
            </w:pPr>
            <w:r>
              <w:t>城乡义务教育公用经费管理办法</w:t>
            </w:r>
          </w:p>
        </w:tc>
      </w:tr>
      <w:tr w14:paraId="43C2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48626"/>
        </w:tc>
        <w:tc>
          <w:tcPr>
            <w:tcW w:w="2268" w:type="dxa"/>
            <w:vAlign w:val="center"/>
          </w:tcPr>
          <w:p w14:paraId="26ECEF38">
            <w:pPr>
              <w:pStyle w:val="12"/>
            </w:pPr>
            <w:r>
              <w:t>成本指标</w:t>
            </w:r>
          </w:p>
        </w:tc>
        <w:tc>
          <w:tcPr>
            <w:tcW w:w="2835" w:type="dxa"/>
            <w:vAlign w:val="center"/>
          </w:tcPr>
          <w:p w14:paraId="52A82BAC">
            <w:pPr>
              <w:pStyle w:val="12"/>
            </w:pPr>
            <w:r>
              <w:t>生均拨款标准</w:t>
            </w:r>
          </w:p>
        </w:tc>
        <w:tc>
          <w:tcPr>
            <w:tcW w:w="5386" w:type="dxa"/>
            <w:vAlign w:val="center"/>
          </w:tcPr>
          <w:p w14:paraId="5D9E1968">
            <w:pPr>
              <w:pStyle w:val="12"/>
            </w:pPr>
            <w:r>
              <w:t>我省城乡义务教育学校生均公用经费基准定额为940元/年/生，取暖费120元/年/生，住宿生补助300元/年/生的标准，随班就读学生补助7000元/生/年</w:t>
            </w:r>
          </w:p>
        </w:tc>
        <w:tc>
          <w:tcPr>
            <w:tcW w:w="2268" w:type="dxa"/>
            <w:vAlign w:val="center"/>
          </w:tcPr>
          <w:p w14:paraId="7FACFBA9">
            <w:pPr>
              <w:pStyle w:val="12"/>
            </w:pPr>
            <w:r>
              <w:t>1360元</w:t>
            </w:r>
          </w:p>
        </w:tc>
        <w:tc>
          <w:tcPr>
            <w:tcW w:w="1276" w:type="dxa"/>
            <w:vAlign w:val="center"/>
          </w:tcPr>
          <w:p w14:paraId="3FE9847B">
            <w:pPr>
              <w:pStyle w:val="12"/>
            </w:pPr>
            <w:r>
              <w:t>城乡义务教育公用经费管理办法</w:t>
            </w:r>
          </w:p>
        </w:tc>
      </w:tr>
      <w:tr w14:paraId="09FA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9A348">
            <w:pPr>
              <w:pStyle w:val="13"/>
            </w:pPr>
            <w:r>
              <w:t>效益指标</w:t>
            </w:r>
          </w:p>
        </w:tc>
        <w:tc>
          <w:tcPr>
            <w:tcW w:w="2268" w:type="dxa"/>
            <w:vAlign w:val="center"/>
          </w:tcPr>
          <w:p w14:paraId="28882A43">
            <w:pPr>
              <w:pStyle w:val="12"/>
            </w:pPr>
            <w:r>
              <w:t>社会效益指标</w:t>
            </w:r>
          </w:p>
        </w:tc>
        <w:tc>
          <w:tcPr>
            <w:tcW w:w="2835" w:type="dxa"/>
            <w:vAlign w:val="center"/>
          </w:tcPr>
          <w:p w14:paraId="374B5C20">
            <w:pPr>
              <w:pStyle w:val="12"/>
            </w:pPr>
            <w:r>
              <w:t>学校稳定率</w:t>
            </w:r>
          </w:p>
        </w:tc>
        <w:tc>
          <w:tcPr>
            <w:tcW w:w="5386" w:type="dxa"/>
            <w:vAlign w:val="center"/>
          </w:tcPr>
          <w:p w14:paraId="7CC10A7A">
            <w:pPr>
              <w:pStyle w:val="12"/>
            </w:pPr>
            <w:r>
              <w:t>维护学校稳定，保障学校正常教学秩序有效开展</w:t>
            </w:r>
          </w:p>
        </w:tc>
        <w:tc>
          <w:tcPr>
            <w:tcW w:w="2268" w:type="dxa"/>
            <w:vAlign w:val="center"/>
          </w:tcPr>
          <w:p w14:paraId="3AA6A965">
            <w:pPr>
              <w:pStyle w:val="12"/>
            </w:pPr>
            <w:r>
              <w:t>100%</w:t>
            </w:r>
          </w:p>
        </w:tc>
        <w:tc>
          <w:tcPr>
            <w:tcW w:w="1276" w:type="dxa"/>
            <w:vAlign w:val="center"/>
          </w:tcPr>
          <w:p w14:paraId="00B919A4">
            <w:pPr>
              <w:pStyle w:val="12"/>
            </w:pPr>
            <w:r>
              <w:t>城乡义务教育公用经费管理办法</w:t>
            </w:r>
          </w:p>
        </w:tc>
      </w:tr>
      <w:tr w14:paraId="05BC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4E8BD">
            <w:pPr>
              <w:pStyle w:val="13"/>
            </w:pPr>
            <w:r>
              <w:t>满意度指标</w:t>
            </w:r>
          </w:p>
        </w:tc>
        <w:tc>
          <w:tcPr>
            <w:tcW w:w="2268" w:type="dxa"/>
            <w:vAlign w:val="center"/>
          </w:tcPr>
          <w:p w14:paraId="68AB0E51">
            <w:pPr>
              <w:pStyle w:val="12"/>
            </w:pPr>
            <w:r>
              <w:t>服务对象满意度指标</w:t>
            </w:r>
          </w:p>
        </w:tc>
        <w:tc>
          <w:tcPr>
            <w:tcW w:w="2835" w:type="dxa"/>
            <w:vAlign w:val="center"/>
          </w:tcPr>
          <w:p w14:paraId="317EB056">
            <w:pPr>
              <w:pStyle w:val="12"/>
            </w:pPr>
            <w:r>
              <w:t>家长和学生满意度</w:t>
            </w:r>
          </w:p>
        </w:tc>
        <w:tc>
          <w:tcPr>
            <w:tcW w:w="5386" w:type="dxa"/>
            <w:vAlign w:val="center"/>
          </w:tcPr>
          <w:p w14:paraId="301BE748">
            <w:pPr>
              <w:pStyle w:val="12"/>
            </w:pPr>
            <w:r>
              <w:t>家长和学生满意度</w:t>
            </w:r>
          </w:p>
        </w:tc>
        <w:tc>
          <w:tcPr>
            <w:tcW w:w="2268" w:type="dxa"/>
            <w:vAlign w:val="center"/>
          </w:tcPr>
          <w:p w14:paraId="458A27F3">
            <w:pPr>
              <w:pStyle w:val="12"/>
            </w:pPr>
            <w:r>
              <w:t>≥95%</w:t>
            </w:r>
          </w:p>
        </w:tc>
        <w:tc>
          <w:tcPr>
            <w:tcW w:w="1276" w:type="dxa"/>
            <w:vAlign w:val="center"/>
          </w:tcPr>
          <w:p w14:paraId="507EBA19">
            <w:pPr>
              <w:pStyle w:val="12"/>
            </w:pPr>
            <w:r>
              <w:t>问卷调查</w:t>
            </w:r>
          </w:p>
        </w:tc>
      </w:tr>
    </w:tbl>
    <w:p w14:paraId="202020D0">
      <w:pPr>
        <w:sectPr>
          <w:pgSz w:w="16840" w:h="11900" w:orient="landscape"/>
          <w:pgMar w:top="1361" w:right="1020" w:bottom="1134" w:left="1020" w:header="720" w:footer="720" w:gutter="0"/>
          <w:cols w:space="720" w:num="1"/>
        </w:sectPr>
      </w:pPr>
    </w:p>
    <w:p w14:paraId="24A193C0">
      <w:pPr>
        <w:spacing w:before="0" w:after="0"/>
        <w:ind w:firstLine="560"/>
        <w:jc w:val="left"/>
        <w:outlineLvl w:val="9"/>
      </w:pPr>
      <w:r>
        <w:rPr>
          <w:rFonts w:ascii="方正仿宋_GBK" w:hAnsi="方正仿宋_GBK" w:eastAsia="方正仿宋_GBK" w:cs="方正仿宋_GBK"/>
          <w:b/>
          <w:color w:val="000000"/>
          <w:sz w:val="28"/>
        </w:rPr>
        <w:t>19、县级配套/资助/2026年普通高中助学金（一中高中）绩效目标表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2C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DBA91">
            <w:pPr>
              <w:pStyle w:val="11"/>
            </w:pPr>
            <w:r>
              <w:t>单位：万元</w:t>
            </w:r>
          </w:p>
        </w:tc>
      </w:tr>
      <w:tr w14:paraId="79B94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D5350">
            <w:pPr>
              <w:pStyle w:val="10"/>
            </w:pPr>
            <w:r>
              <w:t>项目编码</w:t>
            </w:r>
          </w:p>
        </w:tc>
        <w:tc>
          <w:tcPr>
            <w:tcW w:w="5103" w:type="dxa"/>
            <w:gridSpan w:val="2"/>
            <w:vAlign w:val="center"/>
          </w:tcPr>
          <w:p w14:paraId="683A3972">
            <w:pPr>
              <w:pStyle w:val="12"/>
            </w:pPr>
            <w:r>
              <w:t>13052526P00001210034C</w:t>
            </w:r>
          </w:p>
        </w:tc>
        <w:tc>
          <w:tcPr>
            <w:tcW w:w="2835" w:type="dxa"/>
            <w:vAlign w:val="center"/>
          </w:tcPr>
          <w:p w14:paraId="5A7AC4FC">
            <w:pPr>
              <w:pStyle w:val="10"/>
            </w:pPr>
            <w:r>
              <w:t>项目名称</w:t>
            </w:r>
          </w:p>
        </w:tc>
        <w:tc>
          <w:tcPr>
            <w:tcW w:w="6095" w:type="dxa"/>
            <w:gridSpan w:val="3"/>
            <w:vAlign w:val="center"/>
          </w:tcPr>
          <w:p w14:paraId="5B0659FA">
            <w:pPr>
              <w:pStyle w:val="12"/>
            </w:pPr>
            <w:r>
              <w:t>县级配套/资助/2026年普通高中助学金（一中高中）</w:t>
            </w:r>
          </w:p>
        </w:tc>
      </w:tr>
      <w:tr w14:paraId="7C06C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6EB38">
            <w:pPr>
              <w:pStyle w:val="10"/>
            </w:pPr>
            <w:r>
              <w:t>预算规模及资金用途</w:t>
            </w:r>
          </w:p>
        </w:tc>
        <w:tc>
          <w:tcPr>
            <w:tcW w:w="2268" w:type="dxa"/>
            <w:vAlign w:val="center"/>
          </w:tcPr>
          <w:p w14:paraId="2BDD2B8E">
            <w:pPr>
              <w:pStyle w:val="10"/>
            </w:pPr>
            <w:r>
              <w:t>预算数</w:t>
            </w:r>
          </w:p>
        </w:tc>
        <w:tc>
          <w:tcPr>
            <w:tcW w:w="2835" w:type="dxa"/>
            <w:vAlign w:val="center"/>
          </w:tcPr>
          <w:p w14:paraId="1B0D0411">
            <w:pPr>
              <w:pStyle w:val="12"/>
            </w:pPr>
            <w:r>
              <w:t>50.19</w:t>
            </w:r>
          </w:p>
        </w:tc>
        <w:tc>
          <w:tcPr>
            <w:tcW w:w="2835" w:type="dxa"/>
            <w:vAlign w:val="center"/>
          </w:tcPr>
          <w:p w14:paraId="5A8ADA9D">
            <w:pPr>
              <w:pStyle w:val="10"/>
            </w:pPr>
            <w:r>
              <w:t>其中：财政    资金</w:t>
            </w:r>
          </w:p>
        </w:tc>
        <w:tc>
          <w:tcPr>
            <w:tcW w:w="2551" w:type="dxa"/>
            <w:vAlign w:val="center"/>
          </w:tcPr>
          <w:p w14:paraId="46F26D2B">
            <w:pPr>
              <w:pStyle w:val="12"/>
            </w:pPr>
            <w:r>
              <w:t>50.19</w:t>
            </w:r>
          </w:p>
        </w:tc>
        <w:tc>
          <w:tcPr>
            <w:tcW w:w="2268" w:type="dxa"/>
            <w:vAlign w:val="center"/>
          </w:tcPr>
          <w:p w14:paraId="47B0B14E">
            <w:pPr>
              <w:pStyle w:val="10"/>
            </w:pPr>
            <w:r>
              <w:t>其他资金</w:t>
            </w:r>
          </w:p>
        </w:tc>
        <w:tc>
          <w:tcPr>
            <w:tcW w:w="1276" w:type="dxa"/>
            <w:vAlign w:val="center"/>
          </w:tcPr>
          <w:p w14:paraId="28A3BB63">
            <w:pPr>
              <w:pStyle w:val="12"/>
            </w:pPr>
            <w:r>
              <w:t xml:space="preserve"> </w:t>
            </w:r>
          </w:p>
        </w:tc>
      </w:tr>
      <w:tr w14:paraId="74616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5022E"/>
        </w:tc>
        <w:tc>
          <w:tcPr>
            <w:tcW w:w="14033" w:type="dxa"/>
            <w:gridSpan w:val="6"/>
            <w:vAlign w:val="center"/>
          </w:tcPr>
          <w:p w14:paraId="789779FB">
            <w:pPr>
              <w:pStyle w:val="12"/>
            </w:pPr>
            <w:r>
              <w:t>深入宣传学生资助政策，落实河北省普通高中国家助学金管理办法</w:t>
            </w:r>
          </w:p>
        </w:tc>
      </w:tr>
      <w:tr w14:paraId="0CF72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EA078">
            <w:pPr>
              <w:pStyle w:val="10"/>
            </w:pPr>
            <w:r>
              <w:t>资金支出计划（%）</w:t>
            </w:r>
          </w:p>
        </w:tc>
        <w:tc>
          <w:tcPr>
            <w:tcW w:w="5103" w:type="dxa"/>
            <w:gridSpan w:val="2"/>
            <w:vAlign w:val="center"/>
          </w:tcPr>
          <w:p w14:paraId="4E911E3D">
            <w:pPr>
              <w:pStyle w:val="10"/>
            </w:pPr>
            <w:r>
              <w:t>3月底</w:t>
            </w:r>
          </w:p>
        </w:tc>
        <w:tc>
          <w:tcPr>
            <w:tcW w:w="2835" w:type="dxa"/>
            <w:vAlign w:val="center"/>
          </w:tcPr>
          <w:p w14:paraId="39AD357F">
            <w:pPr>
              <w:pStyle w:val="10"/>
            </w:pPr>
            <w:r>
              <w:t>6月底</w:t>
            </w:r>
          </w:p>
        </w:tc>
        <w:tc>
          <w:tcPr>
            <w:tcW w:w="2551" w:type="dxa"/>
            <w:vAlign w:val="center"/>
          </w:tcPr>
          <w:p w14:paraId="7E1FD362">
            <w:pPr>
              <w:pStyle w:val="10"/>
            </w:pPr>
            <w:r>
              <w:t>10月底</w:t>
            </w:r>
          </w:p>
        </w:tc>
        <w:tc>
          <w:tcPr>
            <w:tcW w:w="3544" w:type="dxa"/>
            <w:gridSpan w:val="2"/>
            <w:vAlign w:val="center"/>
          </w:tcPr>
          <w:p w14:paraId="2F10409F">
            <w:pPr>
              <w:pStyle w:val="10"/>
            </w:pPr>
            <w:r>
              <w:t>12月底</w:t>
            </w:r>
          </w:p>
        </w:tc>
      </w:tr>
      <w:tr w14:paraId="2AEEB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4EB76"/>
        </w:tc>
        <w:tc>
          <w:tcPr>
            <w:tcW w:w="5103" w:type="dxa"/>
            <w:gridSpan w:val="2"/>
            <w:vAlign w:val="center"/>
          </w:tcPr>
          <w:p w14:paraId="177778B0">
            <w:pPr>
              <w:pStyle w:val="13"/>
            </w:pPr>
            <w:r>
              <w:t xml:space="preserve"> </w:t>
            </w:r>
          </w:p>
        </w:tc>
        <w:tc>
          <w:tcPr>
            <w:tcW w:w="2835" w:type="dxa"/>
            <w:vAlign w:val="center"/>
          </w:tcPr>
          <w:p w14:paraId="5DABD4CA">
            <w:pPr>
              <w:pStyle w:val="13"/>
            </w:pPr>
            <w:r>
              <w:t xml:space="preserve"> </w:t>
            </w:r>
          </w:p>
        </w:tc>
        <w:tc>
          <w:tcPr>
            <w:tcW w:w="2551" w:type="dxa"/>
            <w:vAlign w:val="center"/>
          </w:tcPr>
          <w:p w14:paraId="7A338E96">
            <w:pPr>
              <w:pStyle w:val="13"/>
            </w:pPr>
            <w:r>
              <w:t>100%</w:t>
            </w:r>
          </w:p>
        </w:tc>
        <w:tc>
          <w:tcPr>
            <w:tcW w:w="3544" w:type="dxa"/>
            <w:gridSpan w:val="2"/>
            <w:vAlign w:val="center"/>
          </w:tcPr>
          <w:p w14:paraId="132EA7A9">
            <w:pPr>
              <w:pStyle w:val="13"/>
            </w:pPr>
            <w:r>
              <w:t>100%</w:t>
            </w:r>
          </w:p>
        </w:tc>
      </w:tr>
      <w:tr w14:paraId="212E1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06152">
            <w:pPr>
              <w:pStyle w:val="10"/>
            </w:pPr>
            <w:r>
              <w:t>绩效目标</w:t>
            </w:r>
          </w:p>
        </w:tc>
        <w:tc>
          <w:tcPr>
            <w:tcW w:w="14033" w:type="dxa"/>
            <w:gridSpan w:val="6"/>
            <w:vAlign w:val="center"/>
          </w:tcPr>
          <w:p w14:paraId="10BEE952">
            <w:pPr>
              <w:pStyle w:val="12"/>
            </w:pPr>
            <w:r>
              <w:t>1.及时发放资助资金，确保贫困家庭学生得到资助，不因贫困失学辍学</w:t>
            </w:r>
          </w:p>
          <w:p w14:paraId="21810ED1">
            <w:pPr>
              <w:pStyle w:val="12"/>
            </w:pPr>
            <w:r>
              <w:t>2.深入宣传学生资助政策，落实河北省普通高中国家助学金管理办法</w:t>
            </w:r>
          </w:p>
          <w:p w14:paraId="2CF9A4E1">
            <w:pPr>
              <w:pStyle w:val="12"/>
            </w:pPr>
            <w:r>
              <w:t>3.优先资助建档立卡家庭学生、孤残学生、父母丧失劳动能力学生、少数民族学生、烈士子女与单亲家庭经济困难学生、低保、特困救助、突发致贫学生</w:t>
            </w:r>
          </w:p>
        </w:tc>
      </w:tr>
    </w:tbl>
    <w:p w14:paraId="33A33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2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15109">
            <w:pPr>
              <w:pStyle w:val="10"/>
            </w:pPr>
            <w:r>
              <w:t>一级指标</w:t>
            </w:r>
          </w:p>
        </w:tc>
        <w:tc>
          <w:tcPr>
            <w:tcW w:w="2268" w:type="dxa"/>
            <w:vAlign w:val="center"/>
          </w:tcPr>
          <w:p w14:paraId="4E94AD39">
            <w:pPr>
              <w:pStyle w:val="10"/>
            </w:pPr>
            <w:r>
              <w:t>二级指标</w:t>
            </w:r>
          </w:p>
        </w:tc>
        <w:tc>
          <w:tcPr>
            <w:tcW w:w="2835" w:type="dxa"/>
            <w:vAlign w:val="center"/>
          </w:tcPr>
          <w:p w14:paraId="3797BBB4">
            <w:pPr>
              <w:pStyle w:val="10"/>
            </w:pPr>
            <w:r>
              <w:t>三级指标</w:t>
            </w:r>
          </w:p>
        </w:tc>
        <w:tc>
          <w:tcPr>
            <w:tcW w:w="5386" w:type="dxa"/>
            <w:vAlign w:val="center"/>
          </w:tcPr>
          <w:p w14:paraId="0326391F">
            <w:pPr>
              <w:pStyle w:val="10"/>
            </w:pPr>
            <w:r>
              <w:t>绩效指标描述</w:t>
            </w:r>
          </w:p>
        </w:tc>
        <w:tc>
          <w:tcPr>
            <w:tcW w:w="2268" w:type="dxa"/>
            <w:vAlign w:val="center"/>
          </w:tcPr>
          <w:p w14:paraId="6BBA1612">
            <w:pPr>
              <w:pStyle w:val="10"/>
            </w:pPr>
            <w:r>
              <w:t>指标值</w:t>
            </w:r>
          </w:p>
        </w:tc>
        <w:tc>
          <w:tcPr>
            <w:tcW w:w="1276" w:type="dxa"/>
            <w:vAlign w:val="center"/>
          </w:tcPr>
          <w:p w14:paraId="75F4ED50">
            <w:pPr>
              <w:pStyle w:val="10"/>
            </w:pPr>
            <w:r>
              <w:t>指标值确定依据</w:t>
            </w:r>
          </w:p>
        </w:tc>
      </w:tr>
      <w:tr w14:paraId="32EB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8D587">
            <w:pPr>
              <w:pStyle w:val="13"/>
            </w:pPr>
            <w:r>
              <w:t>产出指标</w:t>
            </w:r>
          </w:p>
        </w:tc>
        <w:tc>
          <w:tcPr>
            <w:tcW w:w="2268" w:type="dxa"/>
            <w:vAlign w:val="center"/>
          </w:tcPr>
          <w:p w14:paraId="3787E273">
            <w:pPr>
              <w:pStyle w:val="12"/>
            </w:pPr>
            <w:r>
              <w:t>数量指标</w:t>
            </w:r>
          </w:p>
        </w:tc>
        <w:tc>
          <w:tcPr>
            <w:tcW w:w="2835" w:type="dxa"/>
            <w:vAlign w:val="center"/>
          </w:tcPr>
          <w:p w14:paraId="593D0AA1">
            <w:pPr>
              <w:pStyle w:val="12"/>
            </w:pPr>
            <w:r>
              <w:t>普通高中资助人数</w:t>
            </w:r>
          </w:p>
        </w:tc>
        <w:tc>
          <w:tcPr>
            <w:tcW w:w="5386" w:type="dxa"/>
            <w:vAlign w:val="center"/>
          </w:tcPr>
          <w:p w14:paraId="1582BDAC">
            <w:pPr>
              <w:pStyle w:val="12"/>
            </w:pPr>
            <w:r>
              <w:t>普通高中助学受资助人数约占普通高中在校生总数的18%</w:t>
            </w:r>
          </w:p>
        </w:tc>
        <w:tc>
          <w:tcPr>
            <w:tcW w:w="2268" w:type="dxa"/>
            <w:vAlign w:val="center"/>
          </w:tcPr>
          <w:p w14:paraId="7BC0EB70">
            <w:pPr>
              <w:pStyle w:val="12"/>
            </w:pPr>
            <w:r>
              <w:t>≥1091人</w:t>
            </w:r>
          </w:p>
        </w:tc>
        <w:tc>
          <w:tcPr>
            <w:tcW w:w="1276" w:type="dxa"/>
            <w:vAlign w:val="center"/>
          </w:tcPr>
          <w:p w14:paraId="7AF84DA5">
            <w:pPr>
              <w:pStyle w:val="12"/>
            </w:pPr>
            <w:r>
              <w:t>年度预算</w:t>
            </w:r>
          </w:p>
        </w:tc>
      </w:tr>
      <w:tr w14:paraId="2AAC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1E154"/>
        </w:tc>
        <w:tc>
          <w:tcPr>
            <w:tcW w:w="2268" w:type="dxa"/>
            <w:vAlign w:val="center"/>
          </w:tcPr>
          <w:p w14:paraId="17777F68">
            <w:pPr>
              <w:pStyle w:val="12"/>
            </w:pPr>
            <w:r>
              <w:t>质量指标</w:t>
            </w:r>
          </w:p>
        </w:tc>
        <w:tc>
          <w:tcPr>
            <w:tcW w:w="2835" w:type="dxa"/>
            <w:vAlign w:val="center"/>
          </w:tcPr>
          <w:p w14:paraId="7AE3513F">
            <w:pPr>
              <w:pStyle w:val="12"/>
            </w:pPr>
            <w:r>
              <w:t>成立评审小组</w:t>
            </w:r>
          </w:p>
        </w:tc>
        <w:tc>
          <w:tcPr>
            <w:tcW w:w="5386" w:type="dxa"/>
            <w:vAlign w:val="center"/>
          </w:tcPr>
          <w:p w14:paraId="299BA96B">
            <w:pPr>
              <w:pStyle w:val="12"/>
            </w:pPr>
            <w:r>
              <w:t>成立普高助学金评审小组建立监督检查制度</w:t>
            </w:r>
          </w:p>
        </w:tc>
        <w:tc>
          <w:tcPr>
            <w:tcW w:w="2268" w:type="dxa"/>
            <w:vAlign w:val="center"/>
          </w:tcPr>
          <w:p w14:paraId="59C18300">
            <w:pPr>
              <w:pStyle w:val="12"/>
            </w:pPr>
            <w:r>
              <w:t>1组</w:t>
            </w:r>
          </w:p>
        </w:tc>
        <w:tc>
          <w:tcPr>
            <w:tcW w:w="1276" w:type="dxa"/>
            <w:vAlign w:val="center"/>
          </w:tcPr>
          <w:p w14:paraId="6AD2E0A1">
            <w:pPr>
              <w:pStyle w:val="12"/>
            </w:pPr>
            <w:r>
              <w:t>隆尧县普通高中国家助学金管理办法</w:t>
            </w:r>
          </w:p>
        </w:tc>
      </w:tr>
      <w:tr w14:paraId="3DE7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55E34"/>
        </w:tc>
        <w:tc>
          <w:tcPr>
            <w:tcW w:w="2268" w:type="dxa"/>
            <w:vAlign w:val="center"/>
          </w:tcPr>
          <w:p w14:paraId="51BB58E7">
            <w:pPr>
              <w:pStyle w:val="12"/>
            </w:pPr>
            <w:r>
              <w:t>时效指标</w:t>
            </w:r>
          </w:p>
        </w:tc>
        <w:tc>
          <w:tcPr>
            <w:tcW w:w="2835" w:type="dxa"/>
            <w:vAlign w:val="center"/>
          </w:tcPr>
          <w:p w14:paraId="7BB97C16">
            <w:pPr>
              <w:pStyle w:val="12"/>
            </w:pPr>
            <w:r>
              <w:t>补助资金到位</w:t>
            </w:r>
          </w:p>
        </w:tc>
        <w:tc>
          <w:tcPr>
            <w:tcW w:w="5386" w:type="dxa"/>
            <w:vAlign w:val="center"/>
          </w:tcPr>
          <w:p w14:paraId="7550ABF4">
            <w:pPr>
              <w:pStyle w:val="12"/>
            </w:pPr>
            <w:r>
              <w:t>补助资金及时足额到位率</w:t>
            </w:r>
          </w:p>
        </w:tc>
        <w:tc>
          <w:tcPr>
            <w:tcW w:w="2268" w:type="dxa"/>
            <w:vAlign w:val="center"/>
          </w:tcPr>
          <w:p w14:paraId="553AE0A7">
            <w:pPr>
              <w:pStyle w:val="12"/>
            </w:pPr>
            <w:r>
              <w:t>100%</w:t>
            </w:r>
          </w:p>
        </w:tc>
        <w:tc>
          <w:tcPr>
            <w:tcW w:w="1276" w:type="dxa"/>
            <w:vAlign w:val="center"/>
          </w:tcPr>
          <w:p w14:paraId="6C7ACD82">
            <w:pPr>
              <w:pStyle w:val="12"/>
            </w:pPr>
            <w:r>
              <w:t>隆尧县普通高中国家助学金管理办法</w:t>
            </w:r>
          </w:p>
        </w:tc>
      </w:tr>
      <w:tr w14:paraId="36EE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B5483"/>
        </w:tc>
        <w:tc>
          <w:tcPr>
            <w:tcW w:w="2268" w:type="dxa"/>
            <w:vAlign w:val="center"/>
          </w:tcPr>
          <w:p w14:paraId="753CCD85">
            <w:pPr>
              <w:pStyle w:val="12"/>
            </w:pPr>
            <w:r>
              <w:t>成本指标</w:t>
            </w:r>
          </w:p>
        </w:tc>
        <w:tc>
          <w:tcPr>
            <w:tcW w:w="2835" w:type="dxa"/>
            <w:vAlign w:val="center"/>
          </w:tcPr>
          <w:p w14:paraId="1E2F363C">
            <w:pPr>
              <w:pStyle w:val="12"/>
            </w:pPr>
            <w:r>
              <w:t>普高国家助学金标准</w:t>
            </w:r>
          </w:p>
        </w:tc>
        <w:tc>
          <w:tcPr>
            <w:tcW w:w="5386" w:type="dxa"/>
            <w:vAlign w:val="center"/>
          </w:tcPr>
          <w:p w14:paraId="38BB14C5">
            <w:pPr>
              <w:pStyle w:val="12"/>
            </w:pPr>
            <w:r>
              <w:t>普高国家助学金资助标准2300元/生/年</w:t>
            </w:r>
          </w:p>
        </w:tc>
        <w:tc>
          <w:tcPr>
            <w:tcW w:w="2268" w:type="dxa"/>
            <w:vAlign w:val="center"/>
          </w:tcPr>
          <w:p w14:paraId="11A23D34">
            <w:pPr>
              <w:pStyle w:val="12"/>
            </w:pPr>
            <w:r>
              <w:t>2300元</w:t>
            </w:r>
          </w:p>
        </w:tc>
        <w:tc>
          <w:tcPr>
            <w:tcW w:w="1276" w:type="dxa"/>
            <w:vAlign w:val="center"/>
          </w:tcPr>
          <w:p w14:paraId="3CBFA819">
            <w:pPr>
              <w:pStyle w:val="12"/>
            </w:pPr>
            <w:r>
              <w:t>隆尧县普通高中国家助学金管理办法</w:t>
            </w:r>
          </w:p>
        </w:tc>
      </w:tr>
      <w:tr w14:paraId="616F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012A0">
            <w:pPr>
              <w:pStyle w:val="13"/>
            </w:pPr>
            <w:r>
              <w:t>效益指标</w:t>
            </w:r>
          </w:p>
        </w:tc>
        <w:tc>
          <w:tcPr>
            <w:tcW w:w="2268" w:type="dxa"/>
            <w:vAlign w:val="center"/>
          </w:tcPr>
          <w:p w14:paraId="23C11240">
            <w:pPr>
              <w:pStyle w:val="12"/>
            </w:pPr>
            <w:r>
              <w:t>经济效益指标</w:t>
            </w:r>
          </w:p>
        </w:tc>
        <w:tc>
          <w:tcPr>
            <w:tcW w:w="2835" w:type="dxa"/>
            <w:vAlign w:val="center"/>
          </w:tcPr>
          <w:p w14:paraId="59ABF9E8">
            <w:pPr>
              <w:pStyle w:val="12"/>
            </w:pPr>
            <w:r>
              <w:t>减轻家庭负担</w:t>
            </w:r>
          </w:p>
        </w:tc>
        <w:tc>
          <w:tcPr>
            <w:tcW w:w="5386" w:type="dxa"/>
            <w:vAlign w:val="center"/>
          </w:tcPr>
          <w:p w14:paraId="25D9F492">
            <w:pPr>
              <w:pStyle w:val="12"/>
            </w:pPr>
            <w:r>
              <w:t>减轻建档立卡家庭学生家长经济负担</w:t>
            </w:r>
          </w:p>
        </w:tc>
        <w:tc>
          <w:tcPr>
            <w:tcW w:w="2268" w:type="dxa"/>
            <w:vAlign w:val="center"/>
          </w:tcPr>
          <w:p w14:paraId="5B9FA564">
            <w:pPr>
              <w:pStyle w:val="12"/>
            </w:pPr>
            <w:r>
              <w:t>100%</w:t>
            </w:r>
          </w:p>
        </w:tc>
        <w:tc>
          <w:tcPr>
            <w:tcW w:w="1276" w:type="dxa"/>
            <w:vAlign w:val="center"/>
          </w:tcPr>
          <w:p w14:paraId="5964FC60">
            <w:pPr>
              <w:pStyle w:val="12"/>
            </w:pPr>
            <w:r>
              <w:t>隆尧县普通高中国家助学金管理办法</w:t>
            </w:r>
          </w:p>
        </w:tc>
      </w:tr>
      <w:tr w14:paraId="7518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A4BF1"/>
        </w:tc>
        <w:tc>
          <w:tcPr>
            <w:tcW w:w="2268" w:type="dxa"/>
            <w:vAlign w:val="center"/>
          </w:tcPr>
          <w:p w14:paraId="4AA64AFC">
            <w:pPr>
              <w:pStyle w:val="12"/>
            </w:pPr>
            <w:r>
              <w:t>可持续影响指标</w:t>
            </w:r>
          </w:p>
        </w:tc>
        <w:tc>
          <w:tcPr>
            <w:tcW w:w="2835" w:type="dxa"/>
            <w:vAlign w:val="center"/>
          </w:tcPr>
          <w:p w14:paraId="3AA377A6">
            <w:pPr>
              <w:pStyle w:val="12"/>
            </w:pPr>
            <w:r>
              <w:t>高中运转</w:t>
            </w:r>
          </w:p>
        </w:tc>
        <w:tc>
          <w:tcPr>
            <w:tcW w:w="5386" w:type="dxa"/>
            <w:vAlign w:val="center"/>
          </w:tcPr>
          <w:p w14:paraId="785A4629">
            <w:pPr>
              <w:pStyle w:val="12"/>
            </w:pPr>
            <w:r>
              <w:t>高中生受教育年限</w:t>
            </w:r>
          </w:p>
        </w:tc>
        <w:tc>
          <w:tcPr>
            <w:tcW w:w="2268" w:type="dxa"/>
            <w:vAlign w:val="center"/>
          </w:tcPr>
          <w:p w14:paraId="6B3DAB18">
            <w:pPr>
              <w:pStyle w:val="12"/>
            </w:pPr>
            <w:r>
              <w:t>3年</w:t>
            </w:r>
          </w:p>
        </w:tc>
        <w:tc>
          <w:tcPr>
            <w:tcW w:w="1276" w:type="dxa"/>
            <w:vAlign w:val="center"/>
          </w:tcPr>
          <w:p w14:paraId="4F072F29">
            <w:pPr>
              <w:pStyle w:val="12"/>
            </w:pPr>
            <w:r>
              <w:t>隆尧县普通高中国家助学金管理办法</w:t>
            </w:r>
          </w:p>
        </w:tc>
      </w:tr>
      <w:tr w14:paraId="0A86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509E2">
            <w:pPr>
              <w:pStyle w:val="13"/>
            </w:pPr>
            <w:r>
              <w:t>满意度指标</w:t>
            </w:r>
          </w:p>
        </w:tc>
        <w:tc>
          <w:tcPr>
            <w:tcW w:w="2268" w:type="dxa"/>
            <w:vAlign w:val="center"/>
          </w:tcPr>
          <w:p w14:paraId="44268DD4">
            <w:pPr>
              <w:pStyle w:val="12"/>
            </w:pPr>
            <w:r>
              <w:t>服务对象满意度指标</w:t>
            </w:r>
          </w:p>
        </w:tc>
        <w:tc>
          <w:tcPr>
            <w:tcW w:w="2835" w:type="dxa"/>
            <w:vAlign w:val="center"/>
          </w:tcPr>
          <w:p w14:paraId="4B3F5E4F">
            <w:pPr>
              <w:pStyle w:val="12"/>
            </w:pPr>
            <w:r>
              <w:t>提升幸福指数</w:t>
            </w:r>
          </w:p>
        </w:tc>
        <w:tc>
          <w:tcPr>
            <w:tcW w:w="5386" w:type="dxa"/>
            <w:vAlign w:val="center"/>
          </w:tcPr>
          <w:p w14:paraId="3644865C">
            <w:pPr>
              <w:pStyle w:val="12"/>
            </w:pPr>
            <w:r>
              <w:t>提升建档立卡贫困家庭学生幸福指数</w:t>
            </w:r>
          </w:p>
          <w:p w14:paraId="4278FFAB">
            <w:pPr>
              <w:pStyle w:val="12"/>
            </w:pPr>
            <w:r>
              <w:t>家长学生满意</w:t>
            </w:r>
          </w:p>
        </w:tc>
        <w:tc>
          <w:tcPr>
            <w:tcW w:w="2268" w:type="dxa"/>
            <w:vAlign w:val="center"/>
          </w:tcPr>
          <w:p w14:paraId="4EB4636C">
            <w:pPr>
              <w:pStyle w:val="12"/>
            </w:pPr>
            <w:r>
              <w:t>≥98%</w:t>
            </w:r>
          </w:p>
        </w:tc>
        <w:tc>
          <w:tcPr>
            <w:tcW w:w="1276" w:type="dxa"/>
            <w:vAlign w:val="center"/>
          </w:tcPr>
          <w:p w14:paraId="7D802249">
            <w:pPr>
              <w:pStyle w:val="12"/>
            </w:pPr>
            <w:r>
              <w:t>隆尧县普通高中国家助学金管理办法</w:t>
            </w:r>
          </w:p>
        </w:tc>
      </w:tr>
    </w:tbl>
    <w:p w14:paraId="14D9512E">
      <w:pPr>
        <w:sectPr>
          <w:pgSz w:w="16840" w:h="11900" w:orient="landscape"/>
          <w:pgMar w:top="1361" w:right="1020" w:bottom="1134" w:left="1020" w:header="720" w:footer="720" w:gutter="0"/>
          <w:cols w:space="720" w:num="1"/>
        </w:sectPr>
      </w:pPr>
    </w:p>
    <w:p w14:paraId="2523015E">
      <w:pPr>
        <w:spacing w:before="10" w:after="10" w:line="240" w:lineRule="auto"/>
        <w:ind w:firstLine="640"/>
        <w:jc w:val="left"/>
        <w:outlineLvl w:val="5"/>
      </w:pPr>
      <w:r>
        <w:rPr>
          <w:rFonts w:ascii="黑体" w:hAnsi="黑体" w:eastAsia="黑体" w:cs="黑体"/>
          <w:color w:val="000000"/>
          <w:sz w:val="32"/>
        </w:rPr>
        <w:t>六、政府采购预算情况</w:t>
      </w:r>
    </w:p>
    <w:p w14:paraId="3BC7878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55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350056">
            <w:pPr>
              <w:pStyle w:val="9"/>
            </w:pPr>
            <w:r>
              <w:t>360003河北隆尧第一中学</w:t>
            </w:r>
          </w:p>
        </w:tc>
        <w:tc>
          <w:tcPr>
            <w:tcW w:w="8676" w:type="dxa"/>
            <w:gridSpan w:val="9"/>
            <w:tcBorders>
              <w:top w:val="single" w:color="FFFFFF" w:sz="6" w:space="0"/>
              <w:left w:val="single" w:color="FFFFFF" w:sz="6" w:space="0"/>
              <w:right w:val="single" w:color="FFFFFF" w:sz="6" w:space="0"/>
            </w:tcBorders>
            <w:vAlign w:val="center"/>
          </w:tcPr>
          <w:p w14:paraId="54CFE476">
            <w:pPr>
              <w:pStyle w:val="21"/>
            </w:pPr>
            <w:r>
              <w:t>单位：万元</w:t>
            </w:r>
          </w:p>
        </w:tc>
      </w:tr>
      <w:tr w14:paraId="22E4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FAA975">
            <w:pPr>
              <w:pStyle w:val="10"/>
            </w:pPr>
            <w:r>
              <w:t>政府采购项目来源</w:t>
            </w:r>
          </w:p>
        </w:tc>
        <w:tc>
          <w:tcPr>
            <w:tcW w:w="1134" w:type="dxa"/>
            <w:vMerge w:val="restart"/>
            <w:vAlign w:val="center"/>
          </w:tcPr>
          <w:p w14:paraId="0A360DC4">
            <w:pPr>
              <w:pStyle w:val="10"/>
            </w:pPr>
            <w:r>
              <w:t>采购物品名称</w:t>
            </w:r>
          </w:p>
        </w:tc>
        <w:tc>
          <w:tcPr>
            <w:tcW w:w="1134" w:type="dxa"/>
            <w:vMerge w:val="restart"/>
            <w:vAlign w:val="center"/>
          </w:tcPr>
          <w:p w14:paraId="4489265E">
            <w:pPr>
              <w:pStyle w:val="10"/>
            </w:pPr>
            <w:r>
              <w:t>政府采购目录序号</w:t>
            </w:r>
          </w:p>
        </w:tc>
        <w:tc>
          <w:tcPr>
            <w:tcW w:w="709" w:type="dxa"/>
            <w:vMerge w:val="restart"/>
            <w:vAlign w:val="center"/>
          </w:tcPr>
          <w:p w14:paraId="41EADE76">
            <w:pPr>
              <w:pStyle w:val="10"/>
            </w:pPr>
            <w:r>
              <w:t>计量  单位</w:t>
            </w:r>
          </w:p>
        </w:tc>
        <w:tc>
          <w:tcPr>
            <w:tcW w:w="850" w:type="dxa"/>
            <w:vMerge w:val="restart"/>
            <w:vAlign w:val="center"/>
          </w:tcPr>
          <w:p w14:paraId="0D20E7D6">
            <w:pPr>
              <w:pStyle w:val="10"/>
            </w:pPr>
            <w:r>
              <w:t>数量</w:t>
            </w:r>
          </w:p>
        </w:tc>
        <w:tc>
          <w:tcPr>
            <w:tcW w:w="850" w:type="dxa"/>
            <w:vMerge w:val="restart"/>
            <w:vAlign w:val="center"/>
          </w:tcPr>
          <w:p w14:paraId="2A7002B5">
            <w:pPr>
              <w:pStyle w:val="10"/>
            </w:pPr>
            <w:r>
              <w:t>单价</w:t>
            </w:r>
          </w:p>
        </w:tc>
        <w:tc>
          <w:tcPr>
            <w:tcW w:w="7712" w:type="dxa"/>
            <w:gridSpan w:val="8"/>
            <w:vAlign w:val="center"/>
          </w:tcPr>
          <w:p w14:paraId="3AC39890">
            <w:pPr>
              <w:pStyle w:val="10"/>
            </w:pPr>
            <w:r>
              <w:t>政府采购金额（当年部门预算安排资金）</w:t>
            </w:r>
          </w:p>
        </w:tc>
        <w:tc>
          <w:tcPr>
            <w:tcW w:w="964" w:type="dxa"/>
            <w:vMerge w:val="restart"/>
            <w:vAlign w:val="center"/>
          </w:tcPr>
          <w:p w14:paraId="23FA8446">
            <w:pPr>
              <w:pStyle w:val="10"/>
            </w:pPr>
            <w:r>
              <w:t>2026年  预留中  小微企  业份额</w:t>
            </w:r>
          </w:p>
        </w:tc>
      </w:tr>
      <w:tr w14:paraId="1523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897CFD">
            <w:pPr>
              <w:pStyle w:val="10"/>
            </w:pPr>
            <w:r>
              <w:t>项目名称</w:t>
            </w:r>
          </w:p>
        </w:tc>
        <w:tc>
          <w:tcPr>
            <w:tcW w:w="964" w:type="dxa"/>
            <w:vAlign w:val="center"/>
          </w:tcPr>
          <w:p w14:paraId="3159FB3B">
            <w:pPr>
              <w:pStyle w:val="10"/>
            </w:pPr>
            <w:r>
              <w:t>预算    资金</w:t>
            </w:r>
          </w:p>
        </w:tc>
        <w:tc>
          <w:tcPr>
            <w:tcW w:w="1134" w:type="dxa"/>
            <w:vMerge w:val="continue"/>
          </w:tcPr>
          <w:p w14:paraId="7C269C6A"/>
        </w:tc>
        <w:tc>
          <w:tcPr>
            <w:tcW w:w="1134" w:type="dxa"/>
            <w:vMerge w:val="continue"/>
          </w:tcPr>
          <w:p w14:paraId="59BA80DC"/>
        </w:tc>
        <w:tc>
          <w:tcPr>
            <w:tcW w:w="709" w:type="dxa"/>
            <w:vMerge w:val="continue"/>
          </w:tcPr>
          <w:p w14:paraId="4F432976"/>
        </w:tc>
        <w:tc>
          <w:tcPr>
            <w:tcW w:w="850" w:type="dxa"/>
            <w:vMerge w:val="continue"/>
          </w:tcPr>
          <w:p w14:paraId="2D25997D"/>
        </w:tc>
        <w:tc>
          <w:tcPr>
            <w:tcW w:w="850" w:type="dxa"/>
            <w:vMerge w:val="continue"/>
          </w:tcPr>
          <w:p w14:paraId="39AAA1A1"/>
        </w:tc>
        <w:tc>
          <w:tcPr>
            <w:tcW w:w="964" w:type="dxa"/>
            <w:vAlign w:val="center"/>
          </w:tcPr>
          <w:p w14:paraId="3E0CB34F">
            <w:pPr>
              <w:pStyle w:val="10"/>
            </w:pPr>
            <w:r>
              <w:t>合计</w:t>
            </w:r>
          </w:p>
        </w:tc>
        <w:tc>
          <w:tcPr>
            <w:tcW w:w="964" w:type="dxa"/>
            <w:vAlign w:val="center"/>
          </w:tcPr>
          <w:p w14:paraId="6F8BA446">
            <w:pPr>
              <w:pStyle w:val="10"/>
            </w:pPr>
            <w:r>
              <w:t>一般公共预算拨款</w:t>
            </w:r>
          </w:p>
        </w:tc>
        <w:tc>
          <w:tcPr>
            <w:tcW w:w="964" w:type="dxa"/>
            <w:vAlign w:val="center"/>
          </w:tcPr>
          <w:p w14:paraId="7A7AA877">
            <w:pPr>
              <w:pStyle w:val="10"/>
            </w:pPr>
            <w:r>
              <w:t>基金预算拨款</w:t>
            </w:r>
          </w:p>
        </w:tc>
        <w:tc>
          <w:tcPr>
            <w:tcW w:w="964" w:type="dxa"/>
            <w:vAlign w:val="center"/>
          </w:tcPr>
          <w:p w14:paraId="5E35EB0A">
            <w:pPr>
              <w:pStyle w:val="10"/>
            </w:pPr>
            <w:r>
              <w:t>国有资本经营预算拨款</w:t>
            </w:r>
          </w:p>
        </w:tc>
        <w:tc>
          <w:tcPr>
            <w:tcW w:w="964" w:type="dxa"/>
            <w:vAlign w:val="center"/>
          </w:tcPr>
          <w:p w14:paraId="173601A8">
            <w:pPr>
              <w:pStyle w:val="10"/>
            </w:pPr>
            <w:r>
              <w:t>财政专户核拨</w:t>
            </w:r>
          </w:p>
        </w:tc>
        <w:tc>
          <w:tcPr>
            <w:tcW w:w="964" w:type="dxa"/>
            <w:vAlign w:val="center"/>
          </w:tcPr>
          <w:p w14:paraId="05594420">
            <w:pPr>
              <w:pStyle w:val="10"/>
            </w:pPr>
            <w:r>
              <w:t>单位    资金</w:t>
            </w:r>
          </w:p>
        </w:tc>
        <w:tc>
          <w:tcPr>
            <w:tcW w:w="964" w:type="dxa"/>
            <w:vAlign w:val="center"/>
          </w:tcPr>
          <w:p w14:paraId="32D43761">
            <w:pPr>
              <w:pStyle w:val="10"/>
            </w:pPr>
            <w:r>
              <w:t>财政拨款结转</w:t>
            </w:r>
          </w:p>
        </w:tc>
        <w:tc>
          <w:tcPr>
            <w:tcW w:w="964" w:type="dxa"/>
            <w:vAlign w:val="center"/>
          </w:tcPr>
          <w:p w14:paraId="554C3904">
            <w:pPr>
              <w:pStyle w:val="10"/>
            </w:pPr>
            <w:r>
              <w:t>非财政拨款结余</w:t>
            </w:r>
          </w:p>
        </w:tc>
        <w:tc>
          <w:tcPr>
            <w:tcW w:w="964" w:type="dxa"/>
            <w:vMerge w:val="continue"/>
          </w:tcPr>
          <w:p w14:paraId="273FA9D2"/>
        </w:tc>
      </w:tr>
      <w:tr w14:paraId="0259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2F58C3">
            <w:pPr>
              <w:pStyle w:val="14"/>
            </w:pPr>
            <w:r>
              <w:t>合  计</w:t>
            </w:r>
          </w:p>
        </w:tc>
        <w:tc>
          <w:tcPr>
            <w:tcW w:w="964" w:type="dxa"/>
            <w:vAlign w:val="center"/>
          </w:tcPr>
          <w:p w14:paraId="54D6E7E3">
            <w:pPr>
              <w:pStyle w:val="15"/>
            </w:pPr>
          </w:p>
        </w:tc>
        <w:tc>
          <w:tcPr>
            <w:tcW w:w="1134" w:type="dxa"/>
            <w:vAlign w:val="center"/>
          </w:tcPr>
          <w:p w14:paraId="62A0B5A4">
            <w:pPr>
              <w:pStyle w:val="16"/>
            </w:pPr>
          </w:p>
        </w:tc>
        <w:tc>
          <w:tcPr>
            <w:tcW w:w="1134" w:type="dxa"/>
            <w:vAlign w:val="center"/>
          </w:tcPr>
          <w:p w14:paraId="13AF43BD">
            <w:pPr>
              <w:pStyle w:val="16"/>
            </w:pPr>
          </w:p>
        </w:tc>
        <w:tc>
          <w:tcPr>
            <w:tcW w:w="709" w:type="dxa"/>
            <w:vAlign w:val="center"/>
          </w:tcPr>
          <w:p w14:paraId="6B4077C5">
            <w:pPr>
              <w:pStyle w:val="14"/>
            </w:pPr>
          </w:p>
        </w:tc>
        <w:tc>
          <w:tcPr>
            <w:tcW w:w="850" w:type="dxa"/>
            <w:vAlign w:val="center"/>
          </w:tcPr>
          <w:p w14:paraId="1FCE4101">
            <w:pPr>
              <w:pStyle w:val="15"/>
            </w:pPr>
          </w:p>
        </w:tc>
        <w:tc>
          <w:tcPr>
            <w:tcW w:w="850" w:type="dxa"/>
            <w:vAlign w:val="center"/>
          </w:tcPr>
          <w:p w14:paraId="500D877E">
            <w:pPr>
              <w:pStyle w:val="15"/>
            </w:pPr>
          </w:p>
        </w:tc>
        <w:tc>
          <w:tcPr>
            <w:tcW w:w="964" w:type="dxa"/>
            <w:vAlign w:val="center"/>
          </w:tcPr>
          <w:p w14:paraId="20E9DFF8">
            <w:pPr>
              <w:pStyle w:val="15"/>
            </w:pPr>
            <w:r>
              <w:t>335.08</w:t>
            </w:r>
          </w:p>
        </w:tc>
        <w:tc>
          <w:tcPr>
            <w:tcW w:w="964" w:type="dxa"/>
            <w:vAlign w:val="center"/>
          </w:tcPr>
          <w:p w14:paraId="75D9E44A">
            <w:pPr>
              <w:pStyle w:val="15"/>
            </w:pPr>
            <w:r>
              <w:t>203.95</w:t>
            </w:r>
          </w:p>
        </w:tc>
        <w:tc>
          <w:tcPr>
            <w:tcW w:w="964" w:type="dxa"/>
            <w:vAlign w:val="center"/>
          </w:tcPr>
          <w:p w14:paraId="1C0059BB">
            <w:pPr>
              <w:pStyle w:val="15"/>
            </w:pPr>
          </w:p>
        </w:tc>
        <w:tc>
          <w:tcPr>
            <w:tcW w:w="964" w:type="dxa"/>
            <w:vAlign w:val="center"/>
          </w:tcPr>
          <w:p w14:paraId="387AA7AC">
            <w:pPr>
              <w:pStyle w:val="15"/>
            </w:pPr>
          </w:p>
        </w:tc>
        <w:tc>
          <w:tcPr>
            <w:tcW w:w="964" w:type="dxa"/>
            <w:vAlign w:val="center"/>
          </w:tcPr>
          <w:p w14:paraId="16FD2C78">
            <w:pPr>
              <w:pStyle w:val="15"/>
            </w:pPr>
            <w:r>
              <w:t>131.13</w:t>
            </w:r>
          </w:p>
        </w:tc>
        <w:tc>
          <w:tcPr>
            <w:tcW w:w="964" w:type="dxa"/>
            <w:vAlign w:val="center"/>
          </w:tcPr>
          <w:p w14:paraId="57B2A9D4">
            <w:pPr>
              <w:pStyle w:val="15"/>
            </w:pPr>
          </w:p>
        </w:tc>
        <w:tc>
          <w:tcPr>
            <w:tcW w:w="964" w:type="dxa"/>
            <w:vAlign w:val="center"/>
          </w:tcPr>
          <w:p w14:paraId="197F20FC">
            <w:pPr>
              <w:pStyle w:val="15"/>
            </w:pPr>
          </w:p>
        </w:tc>
        <w:tc>
          <w:tcPr>
            <w:tcW w:w="964" w:type="dxa"/>
            <w:vAlign w:val="center"/>
          </w:tcPr>
          <w:p w14:paraId="689E2EF3">
            <w:pPr>
              <w:pStyle w:val="15"/>
            </w:pPr>
          </w:p>
        </w:tc>
        <w:tc>
          <w:tcPr>
            <w:tcW w:w="964" w:type="dxa"/>
            <w:vAlign w:val="center"/>
          </w:tcPr>
          <w:p w14:paraId="38477EB7">
            <w:pPr>
              <w:pStyle w:val="15"/>
            </w:pPr>
            <w:r>
              <w:t>335.08</w:t>
            </w:r>
          </w:p>
        </w:tc>
      </w:tr>
      <w:tr w14:paraId="5BBA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CC6624">
            <w:pPr>
              <w:pStyle w:val="14"/>
            </w:pPr>
            <w:r>
              <w:t>河北隆尧第一中学小计</w:t>
            </w:r>
          </w:p>
        </w:tc>
        <w:tc>
          <w:tcPr>
            <w:tcW w:w="964" w:type="dxa"/>
            <w:vAlign w:val="center"/>
          </w:tcPr>
          <w:p w14:paraId="2CE87954">
            <w:pPr>
              <w:pStyle w:val="15"/>
            </w:pPr>
          </w:p>
        </w:tc>
        <w:tc>
          <w:tcPr>
            <w:tcW w:w="1134" w:type="dxa"/>
            <w:vAlign w:val="center"/>
          </w:tcPr>
          <w:p w14:paraId="3810BE2F">
            <w:pPr>
              <w:pStyle w:val="16"/>
            </w:pPr>
          </w:p>
        </w:tc>
        <w:tc>
          <w:tcPr>
            <w:tcW w:w="1134" w:type="dxa"/>
            <w:vAlign w:val="center"/>
          </w:tcPr>
          <w:p w14:paraId="4864E95A">
            <w:pPr>
              <w:pStyle w:val="16"/>
            </w:pPr>
          </w:p>
        </w:tc>
        <w:tc>
          <w:tcPr>
            <w:tcW w:w="709" w:type="dxa"/>
            <w:vAlign w:val="center"/>
          </w:tcPr>
          <w:p w14:paraId="63415D16">
            <w:pPr>
              <w:pStyle w:val="14"/>
            </w:pPr>
          </w:p>
        </w:tc>
        <w:tc>
          <w:tcPr>
            <w:tcW w:w="850" w:type="dxa"/>
            <w:vAlign w:val="center"/>
          </w:tcPr>
          <w:p w14:paraId="44BC2847">
            <w:pPr>
              <w:pStyle w:val="15"/>
            </w:pPr>
          </w:p>
        </w:tc>
        <w:tc>
          <w:tcPr>
            <w:tcW w:w="850" w:type="dxa"/>
            <w:vAlign w:val="center"/>
          </w:tcPr>
          <w:p w14:paraId="1AB257A2">
            <w:pPr>
              <w:pStyle w:val="15"/>
            </w:pPr>
          </w:p>
        </w:tc>
        <w:tc>
          <w:tcPr>
            <w:tcW w:w="964" w:type="dxa"/>
            <w:vAlign w:val="center"/>
          </w:tcPr>
          <w:p w14:paraId="284A7777">
            <w:pPr>
              <w:pStyle w:val="15"/>
            </w:pPr>
            <w:r>
              <w:t>335.08</w:t>
            </w:r>
          </w:p>
        </w:tc>
        <w:tc>
          <w:tcPr>
            <w:tcW w:w="964" w:type="dxa"/>
            <w:vAlign w:val="center"/>
          </w:tcPr>
          <w:p w14:paraId="16F356E6">
            <w:pPr>
              <w:pStyle w:val="15"/>
            </w:pPr>
            <w:r>
              <w:t>203.95</w:t>
            </w:r>
          </w:p>
        </w:tc>
        <w:tc>
          <w:tcPr>
            <w:tcW w:w="964" w:type="dxa"/>
            <w:vAlign w:val="center"/>
          </w:tcPr>
          <w:p w14:paraId="1086B926">
            <w:pPr>
              <w:pStyle w:val="15"/>
            </w:pPr>
          </w:p>
        </w:tc>
        <w:tc>
          <w:tcPr>
            <w:tcW w:w="964" w:type="dxa"/>
            <w:vAlign w:val="center"/>
          </w:tcPr>
          <w:p w14:paraId="58D1EAE1">
            <w:pPr>
              <w:pStyle w:val="15"/>
            </w:pPr>
          </w:p>
        </w:tc>
        <w:tc>
          <w:tcPr>
            <w:tcW w:w="964" w:type="dxa"/>
            <w:vAlign w:val="center"/>
          </w:tcPr>
          <w:p w14:paraId="0B8D6C68">
            <w:pPr>
              <w:pStyle w:val="15"/>
            </w:pPr>
            <w:r>
              <w:t>131.13</w:t>
            </w:r>
          </w:p>
        </w:tc>
        <w:tc>
          <w:tcPr>
            <w:tcW w:w="964" w:type="dxa"/>
            <w:vAlign w:val="center"/>
          </w:tcPr>
          <w:p w14:paraId="54235D39">
            <w:pPr>
              <w:pStyle w:val="15"/>
            </w:pPr>
          </w:p>
        </w:tc>
        <w:tc>
          <w:tcPr>
            <w:tcW w:w="964" w:type="dxa"/>
            <w:vAlign w:val="center"/>
          </w:tcPr>
          <w:p w14:paraId="162F2BBC">
            <w:pPr>
              <w:pStyle w:val="15"/>
            </w:pPr>
          </w:p>
        </w:tc>
        <w:tc>
          <w:tcPr>
            <w:tcW w:w="964" w:type="dxa"/>
            <w:vAlign w:val="center"/>
          </w:tcPr>
          <w:p w14:paraId="6185829B">
            <w:pPr>
              <w:pStyle w:val="15"/>
            </w:pPr>
          </w:p>
        </w:tc>
        <w:tc>
          <w:tcPr>
            <w:tcW w:w="964" w:type="dxa"/>
            <w:vAlign w:val="center"/>
          </w:tcPr>
          <w:p w14:paraId="59BA2D14">
            <w:pPr>
              <w:pStyle w:val="15"/>
            </w:pPr>
            <w:r>
              <w:t>335.08</w:t>
            </w:r>
          </w:p>
        </w:tc>
      </w:tr>
      <w:tr w14:paraId="22A3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8C72F">
            <w:pPr>
              <w:pStyle w:val="12"/>
            </w:pPr>
            <w:r>
              <w:t>冀财教[2024]137号/省级/2025年改善办学条件/一中消防预警设备购置项目</w:t>
            </w:r>
          </w:p>
        </w:tc>
        <w:tc>
          <w:tcPr>
            <w:tcW w:w="964" w:type="dxa"/>
            <w:vAlign w:val="center"/>
          </w:tcPr>
          <w:p w14:paraId="0D13D279">
            <w:pPr>
              <w:pStyle w:val="11"/>
            </w:pPr>
            <w:r>
              <w:t>67.00</w:t>
            </w:r>
          </w:p>
        </w:tc>
        <w:tc>
          <w:tcPr>
            <w:tcW w:w="1134" w:type="dxa"/>
            <w:vAlign w:val="center"/>
          </w:tcPr>
          <w:p w14:paraId="0F004355">
            <w:pPr>
              <w:pStyle w:val="12"/>
            </w:pPr>
            <w:r>
              <w:t>消防设备</w:t>
            </w:r>
          </w:p>
        </w:tc>
        <w:tc>
          <w:tcPr>
            <w:tcW w:w="1134" w:type="dxa"/>
            <w:vAlign w:val="center"/>
          </w:tcPr>
          <w:p w14:paraId="0521F66D">
            <w:pPr>
              <w:pStyle w:val="12"/>
            </w:pPr>
            <w:r>
              <w:t>A02370100</w:t>
            </w:r>
          </w:p>
        </w:tc>
        <w:tc>
          <w:tcPr>
            <w:tcW w:w="709" w:type="dxa"/>
            <w:vAlign w:val="center"/>
          </w:tcPr>
          <w:p w14:paraId="17D6EA27">
            <w:pPr>
              <w:pStyle w:val="13"/>
            </w:pPr>
            <w:r>
              <w:t>套</w:t>
            </w:r>
          </w:p>
        </w:tc>
        <w:tc>
          <w:tcPr>
            <w:tcW w:w="850" w:type="dxa"/>
            <w:vAlign w:val="center"/>
          </w:tcPr>
          <w:p w14:paraId="2DCF4961">
            <w:pPr>
              <w:pStyle w:val="11"/>
            </w:pPr>
            <w:r>
              <w:t>20</w:t>
            </w:r>
          </w:p>
        </w:tc>
        <w:tc>
          <w:tcPr>
            <w:tcW w:w="850" w:type="dxa"/>
            <w:vAlign w:val="center"/>
          </w:tcPr>
          <w:p w14:paraId="41CCA683">
            <w:pPr>
              <w:pStyle w:val="11"/>
            </w:pPr>
            <w:r>
              <w:t>0.44</w:t>
            </w:r>
          </w:p>
        </w:tc>
        <w:tc>
          <w:tcPr>
            <w:tcW w:w="964" w:type="dxa"/>
            <w:vAlign w:val="center"/>
          </w:tcPr>
          <w:p w14:paraId="23251DD4">
            <w:pPr>
              <w:pStyle w:val="11"/>
            </w:pPr>
            <w:r>
              <w:t>8.80</w:t>
            </w:r>
          </w:p>
        </w:tc>
        <w:tc>
          <w:tcPr>
            <w:tcW w:w="964" w:type="dxa"/>
            <w:vAlign w:val="center"/>
          </w:tcPr>
          <w:p w14:paraId="0E6F0C3C">
            <w:pPr>
              <w:pStyle w:val="11"/>
            </w:pPr>
            <w:r>
              <w:t>8.80</w:t>
            </w:r>
          </w:p>
        </w:tc>
        <w:tc>
          <w:tcPr>
            <w:tcW w:w="964" w:type="dxa"/>
            <w:vAlign w:val="center"/>
          </w:tcPr>
          <w:p w14:paraId="0223500B">
            <w:pPr>
              <w:pStyle w:val="11"/>
            </w:pPr>
          </w:p>
        </w:tc>
        <w:tc>
          <w:tcPr>
            <w:tcW w:w="964" w:type="dxa"/>
            <w:vAlign w:val="center"/>
          </w:tcPr>
          <w:p w14:paraId="21CBCFAA">
            <w:pPr>
              <w:pStyle w:val="11"/>
            </w:pPr>
          </w:p>
        </w:tc>
        <w:tc>
          <w:tcPr>
            <w:tcW w:w="964" w:type="dxa"/>
            <w:vAlign w:val="center"/>
          </w:tcPr>
          <w:p w14:paraId="7CB3F616">
            <w:pPr>
              <w:pStyle w:val="11"/>
            </w:pPr>
          </w:p>
        </w:tc>
        <w:tc>
          <w:tcPr>
            <w:tcW w:w="964" w:type="dxa"/>
            <w:vAlign w:val="center"/>
          </w:tcPr>
          <w:p w14:paraId="033F20E3">
            <w:pPr>
              <w:pStyle w:val="11"/>
            </w:pPr>
          </w:p>
        </w:tc>
        <w:tc>
          <w:tcPr>
            <w:tcW w:w="964" w:type="dxa"/>
            <w:vAlign w:val="center"/>
          </w:tcPr>
          <w:p w14:paraId="590858A8">
            <w:pPr>
              <w:pStyle w:val="11"/>
            </w:pPr>
          </w:p>
        </w:tc>
        <w:tc>
          <w:tcPr>
            <w:tcW w:w="964" w:type="dxa"/>
            <w:vAlign w:val="center"/>
          </w:tcPr>
          <w:p w14:paraId="7A8241DF">
            <w:pPr>
              <w:pStyle w:val="11"/>
            </w:pPr>
          </w:p>
        </w:tc>
        <w:tc>
          <w:tcPr>
            <w:tcW w:w="964" w:type="dxa"/>
            <w:vAlign w:val="center"/>
          </w:tcPr>
          <w:p w14:paraId="5A0A4E4E">
            <w:pPr>
              <w:pStyle w:val="11"/>
            </w:pPr>
            <w:r>
              <w:t>8.80</w:t>
            </w:r>
          </w:p>
        </w:tc>
      </w:tr>
      <w:tr w14:paraId="5AA8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8F0038">
            <w:pPr>
              <w:pStyle w:val="12"/>
            </w:pPr>
            <w:r>
              <w:t>冀财教[2024]137号/省级/2025年改善办学条件/一中消防预警设备购置项目</w:t>
            </w:r>
          </w:p>
        </w:tc>
        <w:tc>
          <w:tcPr>
            <w:tcW w:w="964" w:type="dxa"/>
            <w:vAlign w:val="center"/>
          </w:tcPr>
          <w:p w14:paraId="3206B960">
            <w:pPr>
              <w:pStyle w:val="11"/>
            </w:pPr>
            <w:r>
              <w:t>67.00</w:t>
            </w:r>
          </w:p>
        </w:tc>
        <w:tc>
          <w:tcPr>
            <w:tcW w:w="1134" w:type="dxa"/>
            <w:vAlign w:val="center"/>
          </w:tcPr>
          <w:p w14:paraId="633E4198">
            <w:pPr>
              <w:pStyle w:val="12"/>
            </w:pPr>
            <w:r>
              <w:t>消防设备</w:t>
            </w:r>
          </w:p>
        </w:tc>
        <w:tc>
          <w:tcPr>
            <w:tcW w:w="1134" w:type="dxa"/>
            <w:vAlign w:val="center"/>
          </w:tcPr>
          <w:p w14:paraId="669098BD">
            <w:pPr>
              <w:pStyle w:val="12"/>
            </w:pPr>
            <w:r>
              <w:t>A02370100</w:t>
            </w:r>
          </w:p>
        </w:tc>
        <w:tc>
          <w:tcPr>
            <w:tcW w:w="709" w:type="dxa"/>
            <w:vAlign w:val="center"/>
          </w:tcPr>
          <w:p w14:paraId="77579441">
            <w:pPr>
              <w:pStyle w:val="13"/>
            </w:pPr>
            <w:r>
              <w:t>套</w:t>
            </w:r>
          </w:p>
        </w:tc>
        <w:tc>
          <w:tcPr>
            <w:tcW w:w="850" w:type="dxa"/>
            <w:vAlign w:val="center"/>
          </w:tcPr>
          <w:p w14:paraId="43E22707">
            <w:pPr>
              <w:pStyle w:val="11"/>
            </w:pPr>
            <w:r>
              <w:t>76</w:t>
            </w:r>
          </w:p>
        </w:tc>
        <w:tc>
          <w:tcPr>
            <w:tcW w:w="850" w:type="dxa"/>
            <w:vAlign w:val="center"/>
          </w:tcPr>
          <w:p w14:paraId="03053195">
            <w:pPr>
              <w:pStyle w:val="11"/>
            </w:pPr>
            <w:r>
              <w:t>0.48</w:t>
            </w:r>
          </w:p>
        </w:tc>
        <w:tc>
          <w:tcPr>
            <w:tcW w:w="964" w:type="dxa"/>
            <w:vAlign w:val="center"/>
          </w:tcPr>
          <w:p w14:paraId="618064E6">
            <w:pPr>
              <w:pStyle w:val="11"/>
            </w:pPr>
            <w:r>
              <w:t>36.71</w:t>
            </w:r>
          </w:p>
        </w:tc>
        <w:tc>
          <w:tcPr>
            <w:tcW w:w="964" w:type="dxa"/>
            <w:vAlign w:val="center"/>
          </w:tcPr>
          <w:p w14:paraId="4E74AB88">
            <w:pPr>
              <w:pStyle w:val="11"/>
            </w:pPr>
            <w:r>
              <w:t>36.71</w:t>
            </w:r>
          </w:p>
        </w:tc>
        <w:tc>
          <w:tcPr>
            <w:tcW w:w="964" w:type="dxa"/>
            <w:vAlign w:val="center"/>
          </w:tcPr>
          <w:p w14:paraId="044ED66A">
            <w:pPr>
              <w:pStyle w:val="11"/>
            </w:pPr>
          </w:p>
        </w:tc>
        <w:tc>
          <w:tcPr>
            <w:tcW w:w="964" w:type="dxa"/>
            <w:vAlign w:val="center"/>
          </w:tcPr>
          <w:p w14:paraId="794ECF67">
            <w:pPr>
              <w:pStyle w:val="11"/>
            </w:pPr>
          </w:p>
        </w:tc>
        <w:tc>
          <w:tcPr>
            <w:tcW w:w="964" w:type="dxa"/>
            <w:vAlign w:val="center"/>
          </w:tcPr>
          <w:p w14:paraId="7D499268">
            <w:pPr>
              <w:pStyle w:val="11"/>
            </w:pPr>
          </w:p>
        </w:tc>
        <w:tc>
          <w:tcPr>
            <w:tcW w:w="964" w:type="dxa"/>
            <w:vAlign w:val="center"/>
          </w:tcPr>
          <w:p w14:paraId="219EBF10">
            <w:pPr>
              <w:pStyle w:val="11"/>
            </w:pPr>
          </w:p>
        </w:tc>
        <w:tc>
          <w:tcPr>
            <w:tcW w:w="964" w:type="dxa"/>
            <w:vAlign w:val="center"/>
          </w:tcPr>
          <w:p w14:paraId="0EC0FB38">
            <w:pPr>
              <w:pStyle w:val="11"/>
            </w:pPr>
          </w:p>
        </w:tc>
        <w:tc>
          <w:tcPr>
            <w:tcW w:w="964" w:type="dxa"/>
            <w:vAlign w:val="center"/>
          </w:tcPr>
          <w:p w14:paraId="0A84BA22">
            <w:pPr>
              <w:pStyle w:val="11"/>
            </w:pPr>
          </w:p>
        </w:tc>
        <w:tc>
          <w:tcPr>
            <w:tcW w:w="964" w:type="dxa"/>
            <w:vAlign w:val="center"/>
          </w:tcPr>
          <w:p w14:paraId="374713DB">
            <w:pPr>
              <w:pStyle w:val="11"/>
            </w:pPr>
            <w:r>
              <w:t>36.71</w:t>
            </w:r>
          </w:p>
        </w:tc>
      </w:tr>
      <w:tr w14:paraId="1429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0616DF">
            <w:pPr>
              <w:pStyle w:val="12"/>
            </w:pPr>
            <w:r>
              <w:t>冀财教[2024]137号/省级/2025年改善办学条件/一中消防预警设备购置项目</w:t>
            </w:r>
          </w:p>
        </w:tc>
        <w:tc>
          <w:tcPr>
            <w:tcW w:w="964" w:type="dxa"/>
            <w:vAlign w:val="center"/>
          </w:tcPr>
          <w:p w14:paraId="07641158">
            <w:pPr>
              <w:pStyle w:val="11"/>
            </w:pPr>
            <w:r>
              <w:t>67.00</w:t>
            </w:r>
          </w:p>
        </w:tc>
        <w:tc>
          <w:tcPr>
            <w:tcW w:w="1134" w:type="dxa"/>
            <w:vAlign w:val="center"/>
          </w:tcPr>
          <w:p w14:paraId="3CFB0AF7">
            <w:pPr>
              <w:pStyle w:val="12"/>
            </w:pPr>
            <w:r>
              <w:t>消防设备</w:t>
            </w:r>
          </w:p>
        </w:tc>
        <w:tc>
          <w:tcPr>
            <w:tcW w:w="1134" w:type="dxa"/>
            <w:vAlign w:val="center"/>
          </w:tcPr>
          <w:p w14:paraId="08EEB9E5">
            <w:pPr>
              <w:pStyle w:val="12"/>
            </w:pPr>
            <w:r>
              <w:t>A02370100</w:t>
            </w:r>
          </w:p>
        </w:tc>
        <w:tc>
          <w:tcPr>
            <w:tcW w:w="709" w:type="dxa"/>
            <w:vAlign w:val="center"/>
          </w:tcPr>
          <w:p w14:paraId="22B612EC">
            <w:pPr>
              <w:pStyle w:val="13"/>
            </w:pPr>
            <w:r>
              <w:t>套</w:t>
            </w:r>
          </w:p>
        </w:tc>
        <w:tc>
          <w:tcPr>
            <w:tcW w:w="850" w:type="dxa"/>
            <w:vAlign w:val="center"/>
          </w:tcPr>
          <w:p w14:paraId="4271C39C">
            <w:pPr>
              <w:pStyle w:val="11"/>
            </w:pPr>
            <w:r>
              <w:t>5</w:t>
            </w:r>
          </w:p>
        </w:tc>
        <w:tc>
          <w:tcPr>
            <w:tcW w:w="850" w:type="dxa"/>
            <w:vAlign w:val="center"/>
          </w:tcPr>
          <w:p w14:paraId="560DC2E9">
            <w:pPr>
              <w:pStyle w:val="11"/>
            </w:pPr>
            <w:r>
              <w:t>0.50</w:t>
            </w:r>
          </w:p>
        </w:tc>
        <w:tc>
          <w:tcPr>
            <w:tcW w:w="964" w:type="dxa"/>
            <w:vAlign w:val="center"/>
          </w:tcPr>
          <w:p w14:paraId="555A04EC">
            <w:pPr>
              <w:pStyle w:val="11"/>
            </w:pPr>
            <w:r>
              <w:t>2.52</w:t>
            </w:r>
          </w:p>
        </w:tc>
        <w:tc>
          <w:tcPr>
            <w:tcW w:w="964" w:type="dxa"/>
            <w:vAlign w:val="center"/>
          </w:tcPr>
          <w:p w14:paraId="723DB034">
            <w:pPr>
              <w:pStyle w:val="11"/>
            </w:pPr>
            <w:r>
              <w:t>2.52</w:t>
            </w:r>
          </w:p>
        </w:tc>
        <w:tc>
          <w:tcPr>
            <w:tcW w:w="964" w:type="dxa"/>
            <w:vAlign w:val="center"/>
          </w:tcPr>
          <w:p w14:paraId="227B5A9A">
            <w:pPr>
              <w:pStyle w:val="11"/>
            </w:pPr>
          </w:p>
        </w:tc>
        <w:tc>
          <w:tcPr>
            <w:tcW w:w="964" w:type="dxa"/>
            <w:vAlign w:val="center"/>
          </w:tcPr>
          <w:p w14:paraId="69B9E034">
            <w:pPr>
              <w:pStyle w:val="11"/>
            </w:pPr>
          </w:p>
        </w:tc>
        <w:tc>
          <w:tcPr>
            <w:tcW w:w="964" w:type="dxa"/>
            <w:vAlign w:val="center"/>
          </w:tcPr>
          <w:p w14:paraId="77CFE687">
            <w:pPr>
              <w:pStyle w:val="11"/>
            </w:pPr>
          </w:p>
        </w:tc>
        <w:tc>
          <w:tcPr>
            <w:tcW w:w="964" w:type="dxa"/>
            <w:vAlign w:val="center"/>
          </w:tcPr>
          <w:p w14:paraId="003F9038">
            <w:pPr>
              <w:pStyle w:val="11"/>
            </w:pPr>
          </w:p>
        </w:tc>
        <w:tc>
          <w:tcPr>
            <w:tcW w:w="964" w:type="dxa"/>
            <w:vAlign w:val="center"/>
          </w:tcPr>
          <w:p w14:paraId="2F2CFF9A">
            <w:pPr>
              <w:pStyle w:val="11"/>
            </w:pPr>
          </w:p>
        </w:tc>
        <w:tc>
          <w:tcPr>
            <w:tcW w:w="964" w:type="dxa"/>
            <w:vAlign w:val="center"/>
          </w:tcPr>
          <w:p w14:paraId="72176624">
            <w:pPr>
              <w:pStyle w:val="11"/>
            </w:pPr>
          </w:p>
        </w:tc>
        <w:tc>
          <w:tcPr>
            <w:tcW w:w="964" w:type="dxa"/>
            <w:vAlign w:val="center"/>
          </w:tcPr>
          <w:p w14:paraId="2268D17F">
            <w:pPr>
              <w:pStyle w:val="11"/>
            </w:pPr>
            <w:r>
              <w:t>2.52</w:t>
            </w:r>
          </w:p>
        </w:tc>
      </w:tr>
      <w:tr w14:paraId="7C1C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1AAEE5">
            <w:pPr>
              <w:pStyle w:val="12"/>
            </w:pPr>
            <w:r>
              <w:t>冀财教[2024]137号/省级/2025年改善办学条件/一中消防预警设备购置项目</w:t>
            </w:r>
          </w:p>
        </w:tc>
        <w:tc>
          <w:tcPr>
            <w:tcW w:w="964" w:type="dxa"/>
            <w:vAlign w:val="center"/>
          </w:tcPr>
          <w:p w14:paraId="08ED321E">
            <w:pPr>
              <w:pStyle w:val="11"/>
            </w:pPr>
            <w:r>
              <w:t>67.00</w:t>
            </w:r>
          </w:p>
        </w:tc>
        <w:tc>
          <w:tcPr>
            <w:tcW w:w="1134" w:type="dxa"/>
            <w:vAlign w:val="center"/>
          </w:tcPr>
          <w:p w14:paraId="073E135E">
            <w:pPr>
              <w:pStyle w:val="12"/>
            </w:pPr>
            <w:r>
              <w:t>消防设备</w:t>
            </w:r>
          </w:p>
        </w:tc>
        <w:tc>
          <w:tcPr>
            <w:tcW w:w="1134" w:type="dxa"/>
            <w:vAlign w:val="center"/>
          </w:tcPr>
          <w:p w14:paraId="38728048">
            <w:pPr>
              <w:pStyle w:val="12"/>
            </w:pPr>
            <w:r>
              <w:t>A02370100</w:t>
            </w:r>
          </w:p>
        </w:tc>
        <w:tc>
          <w:tcPr>
            <w:tcW w:w="709" w:type="dxa"/>
            <w:vAlign w:val="center"/>
          </w:tcPr>
          <w:p w14:paraId="5F1BF5B0">
            <w:pPr>
              <w:pStyle w:val="13"/>
            </w:pPr>
            <w:r>
              <w:t>套</w:t>
            </w:r>
          </w:p>
        </w:tc>
        <w:tc>
          <w:tcPr>
            <w:tcW w:w="850" w:type="dxa"/>
            <w:vAlign w:val="center"/>
          </w:tcPr>
          <w:p w14:paraId="43E1281E">
            <w:pPr>
              <w:pStyle w:val="11"/>
            </w:pPr>
            <w:r>
              <w:t>20</w:t>
            </w:r>
          </w:p>
        </w:tc>
        <w:tc>
          <w:tcPr>
            <w:tcW w:w="850" w:type="dxa"/>
            <w:vAlign w:val="center"/>
          </w:tcPr>
          <w:p w14:paraId="166B2929">
            <w:pPr>
              <w:pStyle w:val="11"/>
            </w:pPr>
            <w:r>
              <w:t>0.70</w:t>
            </w:r>
          </w:p>
        </w:tc>
        <w:tc>
          <w:tcPr>
            <w:tcW w:w="964" w:type="dxa"/>
            <w:vAlign w:val="center"/>
          </w:tcPr>
          <w:p w14:paraId="493BBF87">
            <w:pPr>
              <w:pStyle w:val="11"/>
            </w:pPr>
            <w:r>
              <w:t>13.96</w:t>
            </w:r>
          </w:p>
        </w:tc>
        <w:tc>
          <w:tcPr>
            <w:tcW w:w="964" w:type="dxa"/>
            <w:vAlign w:val="center"/>
          </w:tcPr>
          <w:p w14:paraId="2765C4BA">
            <w:pPr>
              <w:pStyle w:val="11"/>
            </w:pPr>
            <w:r>
              <w:t>13.96</w:t>
            </w:r>
          </w:p>
        </w:tc>
        <w:tc>
          <w:tcPr>
            <w:tcW w:w="964" w:type="dxa"/>
            <w:vAlign w:val="center"/>
          </w:tcPr>
          <w:p w14:paraId="4B018914">
            <w:pPr>
              <w:pStyle w:val="11"/>
            </w:pPr>
          </w:p>
        </w:tc>
        <w:tc>
          <w:tcPr>
            <w:tcW w:w="964" w:type="dxa"/>
            <w:vAlign w:val="center"/>
          </w:tcPr>
          <w:p w14:paraId="494EDEB5">
            <w:pPr>
              <w:pStyle w:val="11"/>
            </w:pPr>
          </w:p>
        </w:tc>
        <w:tc>
          <w:tcPr>
            <w:tcW w:w="964" w:type="dxa"/>
            <w:vAlign w:val="center"/>
          </w:tcPr>
          <w:p w14:paraId="0970BD94">
            <w:pPr>
              <w:pStyle w:val="11"/>
            </w:pPr>
          </w:p>
        </w:tc>
        <w:tc>
          <w:tcPr>
            <w:tcW w:w="964" w:type="dxa"/>
            <w:vAlign w:val="center"/>
          </w:tcPr>
          <w:p w14:paraId="284E34DB">
            <w:pPr>
              <w:pStyle w:val="11"/>
            </w:pPr>
          </w:p>
        </w:tc>
        <w:tc>
          <w:tcPr>
            <w:tcW w:w="964" w:type="dxa"/>
            <w:vAlign w:val="center"/>
          </w:tcPr>
          <w:p w14:paraId="0600C631">
            <w:pPr>
              <w:pStyle w:val="11"/>
            </w:pPr>
          </w:p>
        </w:tc>
        <w:tc>
          <w:tcPr>
            <w:tcW w:w="964" w:type="dxa"/>
            <w:vAlign w:val="center"/>
          </w:tcPr>
          <w:p w14:paraId="03D77311">
            <w:pPr>
              <w:pStyle w:val="11"/>
            </w:pPr>
          </w:p>
        </w:tc>
        <w:tc>
          <w:tcPr>
            <w:tcW w:w="964" w:type="dxa"/>
            <w:vAlign w:val="center"/>
          </w:tcPr>
          <w:p w14:paraId="670E739F">
            <w:pPr>
              <w:pStyle w:val="11"/>
            </w:pPr>
            <w:r>
              <w:t>13.96</w:t>
            </w:r>
          </w:p>
        </w:tc>
      </w:tr>
      <w:tr w14:paraId="4A3B8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E79FC6">
            <w:pPr>
              <w:pStyle w:val="12"/>
            </w:pPr>
            <w:r>
              <w:t>冀财教[2024]137号/省级/2025年改善办学条件/一中消防预警设备购置项目</w:t>
            </w:r>
          </w:p>
        </w:tc>
        <w:tc>
          <w:tcPr>
            <w:tcW w:w="964" w:type="dxa"/>
            <w:vAlign w:val="center"/>
          </w:tcPr>
          <w:p w14:paraId="4D30C6DF">
            <w:pPr>
              <w:pStyle w:val="11"/>
            </w:pPr>
            <w:r>
              <w:t>67.00</w:t>
            </w:r>
          </w:p>
        </w:tc>
        <w:tc>
          <w:tcPr>
            <w:tcW w:w="1134" w:type="dxa"/>
            <w:vAlign w:val="center"/>
          </w:tcPr>
          <w:p w14:paraId="10A34117">
            <w:pPr>
              <w:pStyle w:val="12"/>
            </w:pPr>
            <w:r>
              <w:t>消防设备</w:t>
            </w:r>
          </w:p>
        </w:tc>
        <w:tc>
          <w:tcPr>
            <w:tcW w:w="1134" w:type="dxa"/>
            <w:vAlign w:val="center"/>
          </w:tcPr>
          <w:p w14:paraId="276C53A2">
            <w:pPr>
              <w:pStyle w:val="12"/>
            </w:pPr>
            <w:r>
              <w:t>A02370100</w:t>
            </w:r>
          </w:p>
        </w:tc>
        <w:tc>
          <w:tcPr>
            <w:tcW w:w="709" w:type="dxa"/>
            <w:vAlign w:val="center"/>
          </w:tcPr>
          <w:p w14:paraId="5480BDD4">
            <w:pPr>
              <w:pStyle w:val="13"/>
            </w:pPr>
            <w:r>
              <w:t>套</w:t>
            </w:r>
          </w:p>
        </w:tc>
        <w:tc>
          <w:tcPr>
            <w:tcW w:w="850" w:type="dxa"/>
            <w:vAlign w:val="center"/>
          </w:tcPr>
          <w:p w14:paraId="6440BB56">
            <w:pPr>
              <w:pStyle w:val="11"/>
            </w:pPr>
            <w:r>
              <w:t>1</w:t>
            </w:r>
          </w:p>
        </w:tc>
        <w:tc>
          <w:tcPr>
            <w:tcW w:w="850" w:type="dxa"/>
            <w:vAlign w:val="center"/>
          </w:tcPr>
          <w:p w14:paraId="00859008">
            <w:pPr>
              <w:pStyle w:val="11"/>
            </w:pPr>
            <w:r>
              <w:t>0.74</w:t>
            </w:r>
          </w:p>
        </w:tc>
        <w:tc>
          <w:tcPr>
            <w:tcW w:w="964" w:type="dxa"/>
            <w:vAlign w:val="center"/>
          </w:tcPr>
          <w:p w14:paraId="7BF02AA1">
            <w:pPr>
              <w:pStyle w:val="11"/>
            </w:pPr>
            <w:r>
              <w:t>0.74</w:t>
            </w:r>
          </w:p>
        </w:tc>
        <w:tc>
          <w:tcPr>
            <w:tcW w:w="964" w:type="dxa"/>
            <w:vAlign w:val="center"/>
          </w:tcPr>
          <w:p w14:paraId="6B139C92">
            <w:pPr>
              <w:pStyle w:val="11"/>
            </w:pPr>
            <w:r>
              <w:t>0.74</w:t>
            </w:r>
          </w:p>
        </w:tc>
        <w:tc>
          <w:tcPr>
            <w:tcW w:w="964" w:type="dxa"/>
            <w:vAlign w:val="center"/>
          </w:tcPr>
          <w:p w14:paraId="7EEDD175">
            <w:pPr>
              <w:pStyle w:val="11"/>
            </w:pPr>
          </w:p>
        </w:tc>
        <w:tc>
          <w:tcPr>
            <w:tcW w:w="964" w:type="dxa"/>
            <w:vAlign w:val="center"/>
          </w:tcPr>
          <w:p w14:paraId="6F9E2006">
            <w:pPr>
              <w:pStyle w:val="11"/>
            </w:pPr>
          </w:p>
        </w:tc>
        <w:tc>
          <w:tcPr>
            <w:tcW w:w="964" w:type="dxa"/>
            <w:vAlign w:val="center"/>
          </w:tcPr>
          <w:p w14:paraId="1B2D7D40">
            <w:pPr>
              <w:pStyle w:val="11"/>
            </w:pPr>
          </w:p>
        </w:tc>
        <w:tc>
          <w:tcPr>
            <w:tcW w:w="964" w:type="dxa"/>
            <w:vAlign w:val="center"/>
          </w:tcPr>
          <w:p w14:paraId="2C456257">
            <w:pPr>
              <w:pStyle w:val="11"/>
            </w:pPr>
          </w:p>
        </w:tc>
        <w:tc>
          <w:tcPr>
            <w:tcW w:w="964" w:type="dxa"/>
            <w:vAlign w:val="center"/>
          </w:tcPr>
          <w:p w14:paraId="724E516F">
            <w:pPr>
              <w:pStyle w:val="11"/>
            </w:pPr>
          </w:p>
        </w:tc>
        <w:tc>
          <w:tcPr>
            <w:tcW w:w="964" w:type="dxa"/>
            <w:vAlign w:val="center"/>
          </w:tcPr>
          <w:p w14:paraId="189AD5B4">
            <w:pPr>
              <w:pStyle w:val="11"/>
            </w:pPr>
          </w:p>
        </w:tc>
        <w:tc>
          <w:tcPr>
            <w:tcW w:w="964" w:type="dxa"/>
            <w:vAlign w:val="center"/>
          </w:tcPr>
          <w:p w14:paraId="6E9E678B">
            <w:pPr>
              <w:pStyle w:val="11"/>
            </w:pPr>
            <w:r>
              <w:t>0.74</w:t>
            </w:r>
          </w:p>
        </w:tc>
      </w:tr>
      <w:tr w14:paraId="1E1F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4242C4">
            <w:pPr>
              <w:pStyle w:val="12"/>
            </w:pPr>
            <w:r>
              <w:t>冀财教[2024]137号/省级/2025年改善办学条件/一中消防预警设备购置项目</w:t>
            </w:r>
          </w:p>
        </w:tc>
        <w:tc>
          <w:tcPr>
            <w:tcW w:w="964" w:type="dxa"/>
            <w:vAlign w:val="center"/>
          </w:tcPr>
          <w:p w14:paraId="419441EC">
            <w:pPr>
              <w:pStyle w:val="11"/>
            </w:pPr>
            <w:r>
              <w:t>67.00</w:t>
            </w:r>
          </w:p>
        </w:tc>
        <w:tc>
          <w:tcPr>
            <w:tcW w:w="1134" w:type="dxa"/>
            <w:vAlign w:val="center"/>
          </w:tcPr>
          <w:p w14:paraId="19777624">
            <w:pPr>
              <w:pStyle w:val="12"/>
            </w:pPr>
            <w:r>
              <w:t>消防设备</w:t>
            </w:r>
          </w:p>
        </w:tc>
        <w:tc>
          <w:tcPr>
            <w:tcW w:w="1134" w:type="dxa"/>
            <w:vAlign w:val="center"/>
          </w:tcPr>
          <w:p w14:paraId="08A7E6D9">
            <w:pPr>
              <w:pStyle w:val="12"/>
            </w:pPr>
            <w:r>
              <w:t>A02370100</w:t>
            </w:r>
          </w:p>
        </w:tc>
        <w:tc>
          <w:tcPr>
            <w:tcW w:w="709" w:type="dxa"/>
            <w:vAlign w:val="center"/>
          </w:tcPr>
          <w:p w14:paraId="58BE1D1D">
            <w:pPr>
              <w:pStyle w:val="13"/>
            </w:pPr>
            <w:r>
              <w:t>台</w:t>
            </w:r>
          </w:p>
        </w:tc>
        <w:tc>
          <w:tcPr>
            <w:tcW w:w="850" w:type="dxa"/>
            <w:vAlign w:val="center"/>
          </w:tcPr>
          <w:p w14:paraId="7D54E8A3">
            <w:pPr>
              <w:pStyle w:val="11"/>
            </w:pPr>
            <w:r>
              <w:t>24</w:t>
            </w:r>
          </w:p>
        </w:tc>
        <w:tc>
          <w:tcPr>
            <w:tcW w:w="850" w:type="dxa"/>
            <w:vAlign w:val="center"/>
          </w:tcPr>
          <w:p w14:paraId="7ED5FE8C">
            <w:pPr>
              <w:pStyle w:val="11"/>
            </w:pPr>
            <w:r>
              <w:t>0.06</w:t>
            </w:r>
          </w:p>
        </w:tc>
        <w:tc>
          <w:tcPr>
            <w:tcW w:w="964" w:type="dxa"/>
            <w:vAlign w:val="center"/>
          </w:tcPr>
          <w:p w14:paraId="478E4532">
            <w:pPr>
              <w:pStyle w:val="11"/>
            </w:pPr>
            <w:r>
              <w:t>1.37</w:t>
            </w:r>
          </w:p>
        </w:tc>
        <w:tc>
          <w:tcPr>
            <w:tcW w:w="964" w:type="dxa"/>
            <w:vAlign w:val="center"/>
          </w:tcPr>
          <w:p w14:paraId="2CEB1121">
            <w:pPr>
              <w:pStyle w:val="11"/>
            </w:pPr>
            <w:r>
              <w:t>1.37</w:t>
            </w:r>
          </w:p>
        </w:tc>
        <w:tc>
          <w:tcPr>
            <w:tcW w:w="964" w:type="dxa"/>
            <w:vAlign w:val="center"/>
          </w:tcPr>
          <w:p w14:paraId="45223854">
            <w:pPr>
              <w:pStyle w:val="11"/>
            </w:pPr>
          </w:p>
        </w:tc>
        <w:tc>
          <w:tcPr>
            <w:tcW w:w="964" w:type="dxa"/>
            <w:vAlign w:val="center"/>
          </w:tcPr>
          <w:p w14:paraId="2647A375">
            <w:pPr>
              <w:pStyle w:val="11"/>
            </w:pPr>
          </w:p>
        </w:tc>
        <w:tc>
          <w:tcPr>
            <w:tcW w:w="964" w:type="dxa"/>
            <w:vAlign w:val="center"/>
          </w:tcPr>
          <w:p w14:paraId="12BC7224">
            <w:pPr>
              <w:pStyle w:val="11"/>
            </w:pPr>
          </w:p>
        </w:tc>
        <w:tc>
          <w:tcPr>
            <w:tcW w:w="964" w:type="dxa"/>
            <w:vAlign w:val="center"/>
          </w:tcPr>
          <w:p w14:paraId="2D5A9520">
            <w:pPr>
              <w:pStyle w:val="11"/>
            </w:pPr>
          </w:p>
        </w:tc>
        <w:tc>
          <w:tcPr>
            <w:tcW w:w="964" w:type="dxa"/>
            <w:vAlign w:val="center"/>
          </w:tcPr>
          <w:p w14:paraId="309C6D38">
            <w:pPr>
              <w:pStyle w:val="11"/>
            </w:pPr>
          </w:p>
        </w:tc>
        <w:tc>
          <w:tcPr>
            <w:tcW w:w="964" w:type="dxa"/>
            <w:vAlign w:val="center"/>
          </w:tcPr>
          <w:p w14:paraId="5736B912">
            <w:pPr>
              <w:pStyle w:val="11"/>
            </w:pPr>
          </w:p>
        </w:tc>
        <w:tc>
          <w:tcPr>
            <w:tcW w:w="964" w:type="dxa"/>
            <w:vAlign w:val="center"/>
          </w:tcPr>
          <w:p w14:paraId="66B6782C">
            <w:pPr>
              <w:pStyle w:val="11"/>
            </w:pPr>
            <w:r>
              <w:t>1.37</w:t>
            </w:r>
          </w:p>
        </w:tc>
      </w:tr>
      <w:tr w14:paraId="2C3F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FE81C8">
            <w:pPr>
              <w:pStyle w:val="12"/>
            </w:pPr>
            <w:r>
              <w:t>冀财教[2024]137号/省级/2025年改善办学条件/一中消防预警设备购置项目</w:t>
            </w:r>
          </w:p>
        </w:tc>
        <w:tc>
          <w:tcPr>
            <w:tcW w:w="964" w:type="dxa"/>
            <w:vAlign w:val="center"/>
          </w:tcPr>
          <w:p w14:paraId="355CB69B">
            <w:pPr>
              <w:pStyle w:val="11"/>
            </w:pPr>
            <w:r>
              <w:t>67.00</w:t>
            </w:r>
          </w:p>
        </w:tc>
        <w:tc>
          <w:tcPr>
            <w:tcW w:w="1134" w:type="dxa"/>
            <w:vAlign w:val="center"/>
          </w:tcPr>
          <w:p w14:paraId="5439885A">
            <w:pPr>
              <w:pStyle w:val="12"/>
            </w:pPr>
            <w:r>
              <w:t>消防设备</w:t>
            </w:r>
          </w:p>
        </w:tc>
        <w:tc>
          <w:tcPr>
            <w:tcW w:w="1134" w:type="dxa"/>
            <w:vAlign w:val="center"/>
          </w:tcPr>
          <w:p w14:paraId="1511A119">
            <w:pPr>
              <w:pStyle w:val="12"/>
            </w:pPr>
            <w:r>
              <w:t>A02370100</w:t>
            </w:r>
          </w:p>
        </w:tc>
        <w:tc>
          <w:tcPr>
            <w:tcW w:w="709" w:type="dxa"/>
            <w:vAlign w:val="center"/>
          </w:tcPr>
          <w:p w14:paraId="1C6AABDB">
            <w:pPr>
              <w:pStyle w:val="13"/>
            </w:pPr>
            <w:r>
              <w:t>台</w:t>
            </w:r>
          </w:p>
        </w:tc>
        <w:tc>
          <w:tcPr>
            <w:tcW w:w="850" w:type="dxa"/>
            <w:vAlign w:val="center"/>
          </w:tcPr>
          <w:p w14:paraId="6650806C">
            <w:pPr>
              <w:pStyle w:val="11"/>
            </w:pPr>
            <w:r>
              <w:t>9</w:t>
            </w:r>
          </w:p>
        </w:tc>
        <w:tc>
          <w:tcPr>
            <w:tcW w:w="850" w:type="dxa"/>
            <w:vAlign w:val="center"/>
          </w:tcPr>
          <w:p w14:paraId="1AC3CC2D">
            <w:pPr>
              <w:pStyle w:val="11"/>
            </w:pPr>
            <w:r>
              <w:t>0.07</w:t>
            </w:r>
          </w:p>
        </w:tc>
        <w:tc>
          <w:tcPr>
            <w:tcW w:w="964" w:type="dxa"/>
            <w:vAlign w:val="center"/>
          </w:tcPr>
          <w:p w14:paraId="3A91C151">
            <w:pPr>
              <w:pStyle w:val="11"/>
            </w:pPr>
            <w:r>
              <w:t>0.61</w:t>
            </w:r>
          </w:p>
        </w:tc>
        <w:tc>
          <w:tcPr>
            <w:tcW w:w="964" w:type="dxa"/>
            <w:vAlign w:val="center"/>
          </w:tcPr>
          <w:p w14:paraId="0CF6E768">
            <w:pPr>
              <w:pStyle w:val="11"/>
            </w:pPr>
            <w:r>
              <w:t>0.61</w:t>
            </w:r>
          </w:p>
        </w:tc>
        <w:tc>
          <w:tcPr>
            <w:tcW w:w="964" w:type="dxa"/>
            <w:vAlign w:val="center"/>
          </w:tcPr>
          <w:p w14:paraId="28D8E6C5">
            <w:pPr>
              <w:pStyle w:val="11"/>
            </w:pPr>
          </w:p>
        </w:tc>
        <w:tc>
          <w:tcPr>
            <w:tcW w:w="964" w:type="dxa"/>
            <w:vAlign w:val="center"/>
          </w:tcPr>
          <w:p w14:paraId="43BCE204">
            <w:pPr>
              <w:pStyle w:val="11"/>
            </w:pPr>
          </w:p>
        </w:tc>
        <w:tc>
          <w:tcPr>
            <w:tcW w:w="964" w:type="dxa"/>
            <w:vAlign w:val="center"/>
          </w:tcPr>
          <w:p w14:paraId="2110E534">
            <w:pPr>
              <w:pStyle w:val="11"/>
            </w:pPr>
          </w:p>
        </w:tc>
        <w:tc>
          <w:tcPr>
            <w:tcW w:w="964" w:type="dxa"/>
            <w:vAlign w:val="center"/>
          </w:tcPr>
          <w:p w14:paraId="5DEB9829">
            <w:pPr>
              <w:pStyle w:val="11"/>
            </w:pPr>
          </w:p>
        </w:tc>
        <w:tc>
          <w:tcPr>
            <w:tcW w:w="964" w:type="dxa"/>
            <w:vAlign w:val="center"/>
          </w:tcPr>
          <w:p w14:paraId="120FEB74">
            <w:pPr>
              <w:pStyle w:val="11"/>
            </w:pPr>
          </w:p>
        </w:tc>
        <w:tc>
          <w:tcPr>
            <w:tcW w:w="964" w:type="dxa"/>
            <w:vAlign w:val="center"/>
          </w:tcPr>
          <w:p w14:paraId="334DC7AC">
            <w:pPr>
              <w:pStyle w:val="11"/>
            </w:pPr>
          </w:p>
        </w:tc>
        <w:tc>
          <w:tcPr>
            <w:tcW w:w="964" w:type="dxa"/>
            <w:vAlign w:val="center"/>
          </w:tcPr>
          <w:p w14:paraId="4852B9B0">
            <w:pPr>
              <w:pStyle w:val="11"/>
            </w:pPr>
            <w:r>
              <w:t>0.61</w:t>
            </w:r>
          </w:p>
        </w:tc>
      </w:tr>
      <w:tr w14:paraId="2777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129AE2">
            <w:pPr>
              <w:pStyle w:val="12"/>
            </w:pPr>
            <w:r>
              <w:t>冀财教[2024]137号/省级/2025年改善办学条件/一中消防预警设备购置项目</w:t>
            </w:r>
          </w:p>
        </w:tc>
        <w:tc>
          <w:tcPr>
            <w:tcW w:w="964" w:type="dxa"/>
            <w:vAlign w:val="center"/>
          </w:tcPr>
          <w:p w14:paraId="1E9B43E0">
            <w:pPr>
              <w:pStyle w:val="11"/>
            </w:pPr>
            <w:r>
              <w:t>67.00</w:t>
            </w:r>
          </w:p>
        </w:tc>
        <w:tc>
          <w:tcPr>
            <w:tcW w:w="1134" w:type="dxa"/>
            <w:vAlign w:val="center"/>
          </w:tcPr>
          <w:p w14:paraId="56830A21">
            <w:pPr>
              <w:pStyle w:val="12"/>
            </w:pPr>
            <w:r>
              <w:t>消防设备</w:t>
            </w:r>
          </w:p>
        </w:tc>
        <w:tc>
          <w:tcPr>
            <w:tcW w:w="1134" w:type="dxa"/>
            <w:vAlign w:val="center"/>
          </w:tcPr>
          <w:p w14:paraId="31B1B2EE">
            <w:pPr>
              <w:pStyle w:val="12"/>
            </w:pPr>
            <w:r>
              <w:t>A02370100</w:t>
            </w:r>
          </w:p>
        </w:tc>
        <w:tc>
          <w:tcPr>
            <w:tcW w:w="709" w:type="dxa"/>
            <w:vAlign w:val="center"/>
          </w:tcPr>
          <w:p w14:paraId="24585080">
            <w:pPr>
              <w:pStyle w:val="13"/>
            </w:pPr>
            <w:r>
              <w:t>台</w:t>
            </w:r>
          </w:p>
        </w:tc>
        <w:tc>
          <w:tcPr>
            <w:tcW w:w="850" w:type="dxa"/>
            <w:vAlign w:val="center"/>
          </w:tcPr>
          <w:p w14:paraId="79AACF27">
            <w:pPr>
              <w:pStyle w:val="11"/>
            </w:pPr>
            <w:r>
              <w:t>26</w:t>
            </w:r>
          </w:p>
        </w:tc>
        <w:tc>
          <w:tcPr>
            <w:tcW w:w="850" w:type="dxa"/>
            <w:vAlign w:val="center"/>
          </w:tcPr>
          <w:p w14:paraId="452F8A86">
            <w:pPr>
              <w:pStyle w:val="11"/>
            </w:pPr>
            <w:r>
              <w:t>0.06</w:t>
            </w:r>
          </w:p>
        </w:tc>
        <w:tc>
          <w:tcPr>
            <w:tcW w:w="964" w:type="dxa"/>
            <w:vAlign w:val="center"/>
          </w:tcPr>
          <w:p w14:paraId="415A101B">
            <w:pPr>
              <w:pStyle w:val="11"/>
            </w:pPr>
            <w:r>
              <w:t>1.55</w:t>
            </w:r>
          </w:p>
        </w:tc>
        <w:tc>
          <w:tcPr>
            <w:tcW w:w="964" w:type="dxa"/>
            <w:vAlign w:val="center"/>
          </w:tcPr>
          <w:p w14:paraId="130FB7FA">
            <w:pPr>
              <w:pStyle w:val="11"/>
            </w:pPr>
            <w:r>
              <w:t>1.55</w:t>
            </w:r>
          </w:p>
        </w:tc>
        <w:tc>
          <w:tcPr>
            <w:tcW w:w="964" w:type="dxa"/>
            <w:vAlign w:val="center"/>
          </w:tcPr>
          <w:p w14:paraId="7223EAB5">
            <w:pPr>
              <w:pStyle w:val="11"/>
            </w:pPr>
          </w:p>
        </w:tc>
        <w:tc>
          <w:tcPr>
            <w:tcW w:w="964" w:type="dxa"/>
            <w:vAlign w:val="center"/>
          </w:tcPr>
          <w:p w14:paraId="0E28F51A">
            <w:pPr>
              <w:pStyle w:val="11"/>
            </w:pPr>
          </w:p>
        </w:tc>
        <w:tc>
          <w:tcPr>
            <w:tcW w:w="964" w:type="dxa"/>
            <w:vAlign w:val="center"/>
          </w:tcPr>
          <w:p w14:paraId="73E748DD">
            <w:pPr>
              <w:pStyle w:val="11"/>
            </w:pPr>
          </w:p>
        </w:tc>
        <w:tc>
          <w:tcPr>
            <w:tcW w:w="964" w:type="dxa"/>
            <w:vAlign w:val="center"/>
          </w:tcPr>
          <w:p w14:paraId="0B73801A">
            <w:pPr>
              <w:pStyle w:val="11"/>
            </w:pPr>
          </w:p>
        </w:tc>
        <w:tc>
          <w:tcPr>
            <w:tcW w:w="964" w:type="dxa"/>
            <w:vAlign w:val="center"/>
          </w:tcPr>
          <w:p w14:paraId="405D58C8">
            <w:pPr>
              <w:pStyle w:val="11"/>
            </w:pPr>
          </w:p>
        </w:tc>
        <w:tc>
          <w:tcPr>
            <w:tcW w:w="964" w:type="dxa"/>
            <w:vAlign w:val="center"/>
          </w:tcPr>
          <w:p w14:paraId="552A944D">
            <w:pPr>
              <w:pStyle w:val="11"/>
            </w:pPr>
          </w:p>
        </w:tc>
        <w:tc>
          <w:tcPr>
            <w:tcW w:w="964" w:type="dxa"/>
            <w:vAlign w:val="center"/>
          </w:tcPr>
          <w:p w14:paraId="75360ACD">
            <w:pPr>
              <w:pStyle w:val="11"/>
            </w:pPr>
            <w:r>
              <w:t>1.55</w:t>
            </w:r>
          </w:p>
        </w:tc>
      </w:tr>
      <w:tr w14:paraId="520D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9CF65F">
            <w:pPr>
              <w:pStyle w:val="12"/>
            </w:pPr>
            <w:r>
              <w:t>冀财教[2024]137号/省级/2025年改善办学条件/一中消防预警设备购置项目</w:t>
            </w:r>
          </w:p>
        </w:tc>
        <w:tc>
          <w:tcPr>
            <w:tcW w:w="964" w:type="dxa"/>
            <w:vAlign w:val="center"/>
          </w:tcPr>
          <w:p w14:paraId="5A777FFB">
            <w:pPr>
              <w:pStyle w:val="11"/>
            </w:pPr>
            <w:r>
              <w:t>67.00</w:t>
            </w:r>
          </w:p>
        </w:tc>
        <w:tc>
          <w:tcPr>
            <w:tcW w:w="1134" w:type="dxa"/>
            <w:vAlign w:val="center"/>
          </w:tcPr>
          <w:p w14:paraId="0CBF5183">
            <w:pPr>
              <w:pStyle w:val="12"/>
            </w:pPr>
            <w:r>
              <w:t>消防设备</w:t>
            </w:r>
          </w:p>
        </w:tc>
        <w:tc>
          <w:tcPr>
            <w:tcW w:w="1134" w:type="dxa"/>
            <w:vAlign w:val="center"/>
          </w:tcPr>
          <w:p w14:paraId="373ED855">
            <w:pPr>
              <w:pStyle w:val="12"/>
            </w:pPr>
            <w:r>
              <w:t>A02370100</w:t>
            </w:r>
          </w:p>
        </w:tc>
        <w:tc>
          <w:tcPr>
            <w:tcW w:w="709" w:type="dxa"/>
            <w:vAlign w:val="center"/>
          </w:tcPr>
          <w:p w14:paraId="568E59F4">
            <w:pPr>
              <w:pStyle w:val="13"/>
            </w:pPr>
            <w:r>
              <w:t>台</w:t>
            </w:r>
          </w:p>
        </w:tc>
        <w:tc>
          <w:tcPr>
            <w:tcW w:w="850" w:type="dxa"/>
            <w:vAlign w:val="center"/>
          </w:tcPr>
          <w:p w14:paraId="7E3A9639">
            <w:pPr>
              <w:pStyle w:val="11"/>
            </w:pPr>
            <w:r>
              <w:t>107</w:t>
            </w:r>
          </w:p>
        </w:tc>
        <w:tc>
          <w:tcPr>
            <w:tcW w:w="850" w:type="dxa"/>
            <w:vAlign w:val="center"/>
          </w:tcPr>
          <w:p w14:paraId="6F6F6C86">
            <w:pPr>
              <w:pStyle w:val="11"/>
            </w:pPr>
            <w:r>
              <w:t>0.01</w:t>
            </w:r>
          </w:p>
        </w:tc>
        <w:tc>
          <w:tcPr>
            <w:tcW w:w="964" w:type="dxa"/>
            <w:vAlign w:val="center"/>
          </w:tcPr>
          <w:p w14:paraId="4B72C095">
            <w:pPr>
              <w:pStyle w:val="11"/>
            </w:pPr>
            <w:r>
              <w:t>0.75</w:t>
            </w:r>
          </w:p>
        </w:tc>
        <w:tc>
          <w:tcPr>
            <w:tcW w:w="964" w:type="dxa"/>
            <w:vAlign w:val="center"/>
          </w:tcPr>
          <w:p w14:paraId="35DB4978">
            <w:pPr>
              <w:pStyle w:val="11"/>
            </w:pPr>
            <w:r>
              <w:t>0.75</w:t>
            </w:r>
          </w:p>
        </w:tc>
        <w:tc>
          <w:tcPr>
            <w:tcW w:w="964" w:type="dxa"/>
            <w:vAlign w:val="center"/>
          </w:tcPr>
          <w:p w14:paraId="192F8D8E">
            <w:pPr>
              <w:pStyle w:val="11"/>
            </w:pPr>
          </w:p>
        </w:tc>
        <w:tc>
          <w:tcPr>
            <w:tcW w:w="964" w:type="dxa"/>
            <w:vAlign w:val="center"/>
          </w:tcPr>
          <w:p w14:paraId="7AC7DB70">
            <w:pPr>
              <w:pStyle w:val="11"/>
            </w:pPr>
          </w:p>
        </w:tc>
        <w:tc>
          <w:tcPr>
            <w:tcW w:w="964" w:type="dxa"/>
            <w:vAlign w:val="center"/>
          </w:tcPr>
          <w:p w14:paraId="2F665C7B">
            <w:pPr>
              <w:pStyle w:val="11"/>
            </w:pPr>
          </w:p>
        </w:tc>
        <w:tc>
          <w:tcPr>
            <w:tcW w:w="964" w:type="dxa"/>
            <w:vAlign w:val="center"/>
          </w:tcPr>
          <w:p w14:paraId="15C0E3B3">
            <w:pPr>
              <w:pStyle w:val="11"/>
            </w:pPr>
          </w:p>
        </w:tc>
        <w:tc>
          <w:tcPr>
            <w:tcW w:w="964" w:type="dxa"/>
            <w:vAlign w:val="center"/>
          </w:tcPr>
          <w:p w14:paraId="5F11C1C3">
            <w:pPr>
              <w:pStyle w:val="11"/>
            </w:pPr>
          </w:p>
        </w:tc>
        <w:tc>
          <w:tcPr>
            <w:tcW w:w="964" w:type="dxa"/>
            <w:vAlign w:val="center"/>
          </w:tcPr>
          <w:p w14:paraId="6D7B3FB8">
            <w:pPr>
              <w:pStyle w:val="11"/>
            </w:pPr>
          </w:p>
        </w:tc>
        <w:tc>
          <w:tcPr>
            <w:tcW w:w="964" w:type="dxa"/>
            <w:vAlign w:val="center"/>
          </w:tcPr>
          <w:p w14:paraId="14E6AEA9">
            <w:pPr>
              <w:pStyle w:val="11"/>
            </w:pPr>
            <w:r>
              <w:t>0.75</w:t>
            </w:r>
          </w:p>
        </w:tc>
      </w:tr>
      <w:tr w14:paraId="47B4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0C7E5F">
            <w:pPr>
              <w:pStyle w:val="12"/>
            </w:pPr>
            <w:r>
              <w:t>冀财教[2025]116号/中央/2026年学生资助/普通高中三免（一中高中）建档立卡</w:t>
            </w:r>
          </w:p>
        </w:tc>
        <w:tc>
          <w:tcPr>
            <w:tcW w:w="964" w:type="dxa"/>
            <w:vAlign w:val="center"/>
          </w:tcPr>
          <w:p w14:paraId="2F2073D6">
            <w:pPr>
              <w:pStyle w:val="11"/>
            </w:pPr>
            <w:r>
              <w:t>10.00</w:t>
            </w:r>
          </w:p>
        </w:tc>
        <w:tc>
          <w:tcPr>
            <w:tcW w:w="1134" w:type="dxa"/>
            <w:vAlign w:val="center"/>
          </w:tcPr>
          <w:p w14:paraId="0B644F25">
            <w:pPr>
              <w:pStyle w:val="12"/>
            </w:pPr>
            <w:r>
              <w:t>文件柜</w:t>
            </w:r>
          </w:p>
        </w:tc>
        <w:tc>
          <w:tcPr>
            <w:tcW w:w="1134" w:type="dxa"/>
            <w:vAlign w:val="center"/>
          </w:tcPr>
          <w:p w14:paraId="0D7DFAB0">
            <w:pPr>
              <w:pStyle w:val="12"/>
            </w:pPr>
            <w:r>
              <w:t>A05010502</w:t>
            </w:r>
          </w:p>
        </w:tc>
        <w:tc>
          <w:tcPr>
            <w:tcW w:w="709" w:type="dxa"/>
            <w:vAlign w:val="center"/>
          </w:tcPr>
          <w:p w14:paraId="672D992E">
            <w:pPr>
              <w:pStyle w:val="13"/>
            </w:pPr>
            <w:r>
              <w:t>米</w:t>
            </w:r>
          </w:p>
        </w:tc>
        <w:tc>
          <w:tcPr>
            <w:tcW w:w="850" w:type="dxa"/>
            <w:vAlign w:val="center"/>
          </w:tcPr>
          <w:p w14:paraId="1F8E9AF6">
            <w:pPr>
              <w:pStyle w:val="11"/>
            </w:pPr>
            <w:r>
              <w:t>13</w:t>
            </w:r>
          </w:p>
        </w:tc>
        <w:tc>
          <w:tcPr>
            <w:tcW w:w="850" w:type="dxa"/>
            <w:vAlign w:val="center"/>
          </w:tcPr>
          <w:p w14:paraId="23FFD9D0">
            <w:pPr>
              <w:pStyle w:val="11"/>
            </w:pPr>
            <w:r>
              <w:t>0.15</w:t>
            </w:r>
          </w:p>
        </w:tc>
        <w:tc>
          <w:tcPr>
            <w:tcW w:w="964" w:type="dxa"/>
            <w:vAlign w:val="center"/>
          </w:tcPr>
          <w:p w14:paraId="2CE01CEB">
            <w:pPr>
              <w:pStyle w:val="11"/>
            </w:pPr>
            <w:r>
              <w:t>1.95</w:t>
            </w:r>
          </w:p>
        </w:tc>
        <w:tc>
          <w:tcPr>
            <w:tcW w:w="964" w:type="dxa"/>
            <w:vAlign w:val="center"/>
          </w:tcPr>
          <w:p w14:paraId="2E214C93">
            <w:pPr>
              <w:pStyle w:val="11"/>
            </w:pPr>
            <w:r>
              <w:t>1.95</w:t>
            </w:r>
          </w:p>
        </w:tc>
        <w:tc>
          <w:tcPr>
            <w:tcW w:w="964" w:type="dxa"/>
            <w:vAlign w:val="center"/>
          </w:tcPr>
          <w:p w14:paraId="38373753">
            <w:pPr>
              <w:pStyle w:val="11"/>
            </w:pPr>
          </w:p>
        </w:tc>
        <w:tc>
          <w:tcPr>
            <w:tcW w:w="964" w:type="dxa"/>
            <w:vAlign w:val="center"/>
          </w:tcPr>
          <w:p w14:paraId="4209DC90">
            <w:pPr>
              <w:pStyle w:val="11"/>
            </w:pPr>
          </w:p>
        </w:tc>
        <w:tc>
          <w:tcPr>
            <w:tcW w:w="964" w:type="dxa"/>
            <w:vAlign w:val="center"/>
          </w:tcPr>
          <w:p w14:paraId="76C0A3A6">
            <w:pPr>
              <w:pStyle w:val="11"/>
            </w:pPr>
          </w:p>
        </w:tc>
        <w:tc>
          <w:tcPr>
            <w:tcW w:w="964" w:type="dxa"/>
            <w:vAlign w:val="center"/>
          </w:tcPr>
          <w:p w14:paraId="087A62B8">
            <w:pPr>
              <w:pStyle w:val="11"/>
            </w:pPr>
          </w:p>
        </w:tc>
        <w:tc>
          <w:tcPr>
            <w:tcW w:w="964" w:type="dxa"/>
            <w:vAlign w:val="center"/>
          </w:tcPr>
          <w:p w14:paraId="55189A6E">
            <w:pPr>
              <w:pStyle w:val="11"/>
            </w:pPr>
          </w:p>
        </w:tc>
        <w:tc>
          <w:tcPr>
            <w:tcW w:w="964" w:type="dxa"/>
            <w:vAlign w:val="center"/>
          </w:tcPr>
          <w:p w14:paraId="12EA431D">
            <w:pPr>
              <w:pStyle w:val="11"/>
            </w:pPr>
          </w:p>
        </w:tc>
        <w:tc>
          <w:tcPr>
            <w:tcW w:w="964" w:type="dxa"/>
            <w:vAlign w:val="center"/>
          </w:tcPr>
          <w:p w14:paraId="6E3739BB">
            <w:pPr>
              <w:pStyle w:val="11"/>
            </w:pPr>
            <w:r>
              <w:t>1.95</w:t>
            </w:r>
          </w:p>
        </w:tc>
      </w:tr>
      <w:tr w14:paraId="6008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191A95">
            <w:pPr>
              <w:pStyle w:val="12"/>
            </w:pPr>
            <w:r>
              <w:t>普通高中公用经费/隆尧一中</w:t>
            </w:r>
          </w:p>
        </w:tc>
        <w:tc>
          <w:tcPr>
            <w:tcW w:w="964" w:type="dxa"/>
            <w:vAlign w:val="center"/>
          </w:tcPr>
          <w:p w14:paraId="041C325E">
            <w:pPr>
              <w:pStyle w:val="11"/>
            </w:pPr>
            <w:r>
              <w:t>465.10</w:t>
            </w:r>
          </w:p>
        </w:tc>
        <w:tc>
          <w:tcPr>
            <w:tcW w:w="1134" w:type="dxa"/>
            <w:vAlign w:val="center"/>
          </w:tcPr>
          <w:p w14:paraId="42659700">
            <w:pPr>
              <w:pStyle w:val="12"/>
            </w:pPr>
            <w:r>
              <w:t>高中教育服务</w:t>
            </w:r>
          </w:p>
        </w:tc>
        <w:tc>
          <w:tcPr>
            <w:tcW w:w="1134" w:type="dxa"/>
            <w:vAlign w:val="center"/>
          </w:tcPr>
          <w:p w14:paraId="5FB41F31">
            <w:pPr>
              <w:pStyle w:val="12"/>
            </w:pPr>
            <w:r>
              <w:t>C02030200</w:t>
            </w:r>
          </w:p>
        </w:tc>
        <w:tc>
          <w:tcPr>
            <w:tcW w:w="709" w:type="dxa"/>
            <w:vAlign w:val="center"/>
          </w:tcPr>
          <w:p w14:paraId="08B0FD64">
            <w:pPr>
              <w:pStyle w:val="13"/>
            </w:pPr>
            <w:r>
              <w:t>项</w:t>
            </w:r>
          </w:p>
        </w:tc>
        <w:tc>
          <w:tcPr>
            <w:tcW w:w="850" w:type="dxa"/>
            <w:vAlign w:val="center"/>
          </w:tcPr>
          <w:p w14:paraId="1C11EB35">
            <w:pPr>
              <w:pStyle w:val="11"/>
            </w:pPr>
            <w:r>
              <w:t>1</w:t>
            </w:r>
          </w:p>
        </w:tc>
        <w:tc>
          <w:tcPr>
            <w:tcW w:w="850" w:type="dxa"/>
            <w:vAlign w:val="center"/>
          </w:tcPr>
          <w:p w14:paraId="67383D9C">
            <w:pPr>
              <w:pStyle w:val="11"/>
            </w:pPr>
            <w:r>
              <w:t>135.00</w:t>
            </w:r>
          </w:p>
        </w:tc>
        <w:tc>
          <w:tcPr>
            <w:tcW w:w="964" w:type="dxa"/>
            <w:vAlign w:val="center"/>
          </w:tcPr>
          <w:p w14:paraId="223DA904">
            <w:pPr>
              <w:pStyle w:val="11"/>
            </w:pPr>
            <w:r>
              <w:t>135.00</w:t>
            </w:r>
          </w:p>
        </w:tc>
        <w:tc>
          <w:tcPr>
            <w:tcW w:w="964" w:type="dxa"/>
            <w:vAlign w:val="center"/>
          </w:tcPr>
          <w:p w14:paraId="5E887722">
            <w:pPr>
              <w:pStyle w:val="11"/>
            </w:pPr>
            <w:r>
              <w:t>135.00</w:t>
            </w:r>
          </w:p>
        </w:tc>
        <w:tc>
          <w:tcPr>
            <w:tcW w:w="964" w:type="dxa"/>
            <w:vAlign w:val="center"/>
          </w:tcPr>
          <w:p w14:paraId="31585F48">
            <w:pPr>
              <w:pStyle w:val="11"/>
            </w:pPr>
          </w:p>
        </w:tc>
        <w:tc>
          <w:tcPr>
            <w:tcW w:w="964" w:type="dxa"/>
            <w:vAlign w:val="center"/>
          </w:tcPr>
          <w:p w14:paraId="248679F3">
            <w:pPr>
              <w:pStyle w:val="11"/>
            </w:pPr>
          </w:p>
        </w:tc>
        <w:tc>
          <w:tcPr>
            <w:tcW w:w="964" w:type="dxa"/>
            <w:vAlign w:val="center"/>
          </w:tcPr>
          <w:p w14:paraId="279015A0">
            <w:pPr>
              <w:pStyle w:val="11"/>
            </w:pPr>
          </w:p>
        </w:tc>
        <w:tc>
          <w:tcPr>
            <w:tcW w:w="964" w:type="dxa"/>
            <w:vAlign w:val="center"/>
          </w:tcPr>
          <w:p w14:paraId="6CECCF9A">
            <w:pPr>
              <w:pStyle w:val="11"/>
            </w:pPr>
          </w:p>
        </w:tc>
        <w:tc>
          <w:tcPr>
            <w:tcW w:w="964" w:type="dxa"/>
            <w:vAlign w:val="center"/>
          </w:tcPr>
          <w:p w14:paraId="20D750FC">
            <w:pPr>
              <w:pStyle w:val="11"/>
            </w:pPr>
          </w:p>
        </w:tc>
        <w:tc>
          <w:tcPr>
            <w:tcW w:w="964" w:type="dxa"/>
            <w:vAlign w:val="center"/>
          </w:tcPr>
          <w:p w14:paraId="265D4624">
            <w:pPr>
              <w:pStyle w:val="11"/>
            </w:pPr>
          </w:p>
        </w:tc>
        <w:tc>
          <w:tcPr>
            <w:tcW w:w="964" w:type="dxa"/>
            <w:vAlign w:val="center"/>
          </w:tcPr>
          <w:p w14:paraId="70E0E40E">
            <w:pPr>
              <w:pStyle w:val="11"/>
            </w:pPr>
            <w:r>
              <w:t>135.00</w:t>
            </w:r>
          </w:p>
        </w:tc>
      </w:tr>
      <w:tr w14:paraId="4D4B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8E5B8E">
            <w:pPr>
              <w:pStyle w:val="12"/>
            </w:pPr>
            <w:r>
              <w:t>普通高中专项经费/隆尧一中</w:t>
            </w:r>
          </w:p>
        </w:tc>
        <w:tc>
          <w:tcPr>
            <w:tcW w:w="964" w:type="dxa"/>
            <w:vAlign w:val="center"/>
          </w:tcPr>
          <w:p w14:paraId="7D6B141E">
            <w:pPr>
              <w:pStyle w:val="11"/>
            </w:pPr>
            <w:r>
              <w:t>877.26</w:t>
            </w:r>
          </w:p>
        </w:tc>
        <w:tc>
          <w:tcPr>
            <w:tcW w:w="1134" w:type="dxa"/>
            <w:vAlign w:val="center"/>
          </w:tcPr>
          <w:p w14:paraId="21C60939">
            <w:pPr>
              <w:pStyle w:val="12"/>
            </w:pPr>
            <w:r>
              <w:t>台式计算机</w:t>
            </w:r>
          </w:p>
        </w:tc>
        <w:tc>
          <w:tcPr>
            <w:tcW w:w="1134" w:type="dxa"/>
            <w:vAlign w:val="center"/>
          </w:tcPr>
          <w:p w14:paraId="4DBF9CC0">
            <w:pPr>
              <w:pStyle w:val="12"/>
            </w:pPr>
            <w:r>
              <w:t>A02010105</w:t>
            </w:r>
          </w:p>
        </w:tc>
        <w:tc>
          <w:tcPr>
            <w:tcW w:w="709" w:type="dxa"/>
            <w:vAlign w:val="center"/>
          </w:tcPr>
          <w:p w14:paraId="00CA5492">
            <w:pPr>
              <w:pStyle w:val="13"/>
            </w:pPr>
            <w:r>
              <w:t>台</w:t>
            </w:r>
          </w:p>
        </w:tc>
        <w:tc>
          <w:tcPr>
            <w:tcW w:w="850" w:type="dxa"/>
            <w:vAlign w:val="center"/>
          </w:tcPr>
          <w:p w14:paraId="51DEED4A">
            <w:pPr>
              <w:pStyle w:val="11"/>
            </w:pPr>
            <w:r>
              <w:t>10</w:t>
            </w:r>
          </w:p>
        </w:tc>
        <w:tc>
          <w:tcPr>
            <w:tcW w:w="850" w:type="dxa"/>
            <w:vAlign w:val="center"/>
          </w:tcPr>
          <w:p w14:paraId="16DE1826">
            <w:pPr>
              <w:pStyle w:val="11"/>
            </w:pPr>
            <w:r>
              <w:t>0.45</w:t>
            </w:r>
          </w:p>
        </w:tc>
        <w:tc>
          <w:tcPr>
            <w:tcW w:w="964" w:type="dxa"/>
            <w:vAlign w:val="center"/>
          </w:tcPr>
          <w:p w14:paraId="3F2AA848">
            <w:pPr>
              <w:pStyle w:val="11"/>
            </w:pPr>
            <w:r>
              <w:t>4.50</w:t>
            </w:r>
          </w:p>
        </w:tc>
        <w:tc>
          <w:tcPr>
            <w:tcW w:w="964" w:type="dxa"/>
            <w:vAlign w:val="center"/>
          </w:tcPr>
          <w:p w14:paraId="2864E3E9">
            <w:pPr>
              <w:pStyle w:val="11"/>
            </w:pPr>
          </w:p>
        </w:tc>
        <w:tc>
          <w:tcPr>
            <w:tcW w:w="964" w:type="dxa"/>
            <w:vAlign w:val="center"/>
          </w:tcPr>
          <w:p w14:paraId="3D4ACC6A">
            <w:pPr>
              <w:pStyle w:val="11"/>
            </w:pPr>
          </w:p>
        </w:tc>
        <w:tc>
          <w:tcPr>
            <w:tcW w:w="964" w:type="dxa"/>
            <w:vAlign w:val="center"/>
          </w:tcPr>
          <w:p w14:paraId="2D971F3E">
            <w:pPr>
              <w:pStyle w:val="11"/>
            </w:pPr>
          </w:p>
        </w:tc>
        <w:tc>
          <w:tcPr>
            <w:tcW w:w="964" w:type="dxa"/>
            <w:vAlign w:val="center"/>
          </w:tcPr>
          <w:p w14:paraId="6D0EE7F4">
            <w:pPr>
              <w:pStyle w:val="11"/>
            </w:pPr>
            <w:r>
              <w:t>4.50</w:t>
            </w:r>
          </w:p>
        </w:tc>
        <w:tc>
          <w:tcPr>
            <w:tcW w:w="964" w:type="dxa"/>
            <w:vAlign w:val="center"/>
          </w:tcPr>
          <w:p w14:paraId="0AD8F6F8">
            <w:pPr>
              <w:pStyle w:val="11"/>
            </w:pPr>
          </w:p>
        </w:tc>
        <w:tc>
          <w:tcPr>
            <w:tcW w:w="964" w:type="dxa"/>
            <w:vAlign w:val="center"/>
          </w:tcPr>
          <w:p w14:paraId="20BF9D90">
            <w:pPr>
              <w:pStyle w:val="11"/>
            </w:pPr>
          </w:p>
        </w:tc>
        <w:tc>
          <w:tcPr>
            <w:tcW w:w="964" w:type="dxa"/>
            <w:vAlign w:val="center"/>
          </w:tcPr>
          <w:p w14:paraId="3689CC79">
            <w:pPr>
              <w:pStyle w:val="11"/>
            </w:pPr>
          </w:p>
        </w:tc>
        <w:tc>
          <w:tcPr>
            <w:tcW w:w="964" w:type="dxa"/>
            <w:vAlign w:val="center"/>
          </w:tcPr>
          <w:p w14:paraId="15D61CFF">
            <w:pPr>
              <w:pStyle w:val="11"/>
            </w:pPr>
            <w:r>
              <w:t>4.50</w:t>
            </w:r>
          </w:p>
        </w:tc>
      </w:tr>
      <w:tr w14:paraId="764E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4B12F5">
            <w:pPr>
              <w:pStyle w:val="12"/>
            </w:pPr>
            <w:r>
              <w:t>普通高中专项经费/隆尧一中</w:t>
            </w:r>
          </w:p>
        </w:tc>
        <w:tc>
          <w:tcPr>
            <w:tcW w:w="964" w:type="dxa"/>
            <w:vAlign w:val="center"/>
          </w:tcPr>
          <w:p w14:paraId="78CEBAE5">
            <w:pPr>
              <w:pStyle w:val="11"/>
            </w:pPr>
            <w:r>
              <w:t>877.26</w:t>
            </w:r>
          </w:p>
        </w:tc>
        <w:tc>
          <w:tcPr>
            <w:tcW w:w="1134" w:type="dxa"/>
            <w:vAlign w:val="center"/>
          </w:tcPr>
          <w:p w14:paraId="709B8892">
            <w:pPr>
              <w:pStyle w:val="12"/>
            </w:pPr>
            <w:r>
              <w:t>触控一体机</w:t>
            </w:r>
          </w:p>
        </w:tc>
        <w:tc>
          <w:tcPr>
            <w:tcW w:w="1134" w:type="dxa"/>
            <w:vAlign w:val="center"/>
          </w:tcPr>
          <w:p w14:paraId="2BF40BDE">
            <w:pPr>
              <w:pStyle w:val="12"/>
            </w:pPr>
            <w:r>
              <w:t>A02020800</w:t>
            </w:r>
          </w:p>
        </w:tc>
        <w:tc>
          <w:tcPr>
            <w:tcW w:w="709" w:type="dxa"/>
            <w:vAlign w:val="center"/>
          </w:tcPr>
          <w:p w14:paraId="62386344">
            <w:pPr>
              <w:pStyle w:val="13"/>
            </w:pPr>
            <w:r>
              <w:t>套</w:t>
            </w:r>
          </w:p>
        </w:tc>
        <w:tc>
          <w:tcPr>
            <w:tcW w:w="850" w:type="dxa"/>
            <w:vAlign w:val="center"/>
          </w:tcPr>
          <w:p w14:paraId="5EE597D2">
            <w:pPr>
              <w:pStyle w:val="11"/>
            </w:pPr>
            <w:r>
              <w:t>12</w:t>
            </w:r>
          </w:p>
        </w:tc>
        <w:tc>
          <w:tcPr>
            <w:tcW w:w="850" w:type="dxa"/>
            <w:vAlign w:val="center"/>
          </w:tcPr>
          <w:p w14:paraId="26C4700A">
            <w:pPr>
              <w:pStyle w:val="11"/>
            </w:pPr>
            <w:r>
              <w:t>1.50</w:t>
            </w:r>
          </w:p>
        </w:tc>
        <w:tc>
          <w:tcPr>
            <w:tcW w:w="964" w:type="dxa"/>
            <w:vAlign w:val="center"/>
          </w:tcPr>
          <w:p w14:paraId="47D799C2">
            <w:pPr>
              <w:pStyle w:val="11"/>
            </w:pPr>
            <w:r>
              <w:t>18.00</w:t>
            </w:r>
          </w:p>
        </w:tc>
        <w:tc>
          <w:tcPr>
            <w:tcW w:w="964" w:type="dxa"/>
            <w:vAlign w:val="center"/>
          </w:tcPr>
          <w:p w14:paraId="0B26FB6A">
            <w:pPr>
              <w:pStyle w:val="11"/>
            </w:pPr>
          </w:p>
        </w:tc>
        <w:tc>
          <w:tcPr>
            <w:tcW w:w="964" w:type="dxa"/>
            <w:vAlign w:val="center"/>
          </w:tcPr>
          <w:p w14:paraId="18A2CFB5">
            <w:pPr>
              <w:pStyle w:val="11"/>
            </w:pPr>
          </w:p>
        </w:tc>
        <w:tc>
          <w:tcPr>
            <w:tcW w:w="964" w:type="dxa"/>
            <w:vAlign w:val="center"/>
          </w:tcPr>
          <w:p w14:paraId="60870FDE">
            <w:pPr>
              <w:pStyle w:val="11"/>
            </w:pPr>
          </w:p>
        </w:tc>
        <w:tc>
          <w:tcPr>
            <w:tcW w:w="964" w:type="dxa"/>
            <w:vAlign w:val="center"/>
          </w:tcPr>
          <w:p w14:paraId="08EE56A7">
            <w:pPr>
              <w:pStyle w:val="11"/>
            </w:pPr>
            <w:r>
              <w:t>18.00</w:t>
            </w:r>
          </w:p>
        </w:tc>
        <w:tc>
          <w:tcPr>
            <w:tcW w:w="964" w:type="dxa"/>
            <w:vAlign w:val="center"/>
          </w:tcPr>
          <w:p w14:paraId="01A4B0A0">
            <w:pPr>
              <w:pStyle w:val="11"/>
            </w:pPr>
          </w:p>
        </w:tc>
        <w:tc>
          <w:tcPr>
            <w:tcW w:w="964" w:type="dxa"/>
            <w:vAlign w:val="center"/>
          </w:tcPr>
          <w:p w14:paraId="4113A4BC">
            <w:pPr>
              <w:pStyle w:val="11"/>
            </w:pPr>
          </w:p>
        </w:tc>
        <w:tc>
          <w:tcPr>
            <w:tcW w:w="964" w:type="dxa"/>
            <w:vAlign w:val="center"/>
          </w:tcPr>
          <w:p w14:paraId="2B62F04C">
            <w:pPr>
              <w:pStyle w:val="11"/>
            </w:pPr>
          </w:p>
        </w:tc>
        <w:tc>
          <w:tcPr>
            <w:tcW w:w="964" w:type="dxa"/>
            <w:vAlign w:val="center"/>
          </w:tcPr>
          <w:p w14:paraId="24B50E1A">
            <w:pPr>
              <w:pStyle w:val="11"/>
            </w:pPr>
            <w:r>
              <w:t>18.00</w:t>
            </w:r>
          </w:p>
        </w:tc>
      </w:tr>
      <w:tr w14:paraId="29C48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17C161">
            <w:pPr>
              <w:pStyle w:val="12"/>
            </w:pPr>
            <w:r>
              <w:t>上年结转/普通高中专项经费/隆尧一中体育馆四周地面硬化等维修改造</w:t>
            </w:r>
          </w:p>
        </w:tc>
        <w:tc>
          <w:tcPr>
            <w:tcW w:w="964" w:type="dxa"/>
            <w:vAlign w:val="center"/>
          </w:tcPr>
          <w:p w14:paraId="78E3A612">
            <w:pPr>
              <w:pStyle w:val="11"/>
            </w:pPr>
            <w:r>
              <w:t>108.63</w:t>
            </w:r>
          </w:p>
        </w:tc>
        <w:tc>
          <w:tcPr>
            <w:tcW w:w="1134" w:type="dxa"/>
            <w:vAlign w:val="center"/>
          </w:tcPr>
          <w:p w14:paraId="52E1C673">
            <w:pPr>
              <w:pStyle w:val="12"/>
            </w:pPr>
            <w:r>
              <w:t>砖石工程</w:t>
            </w:r>
          </w:p>
        </w:tc>
        <w:tc>
          <w:tcPr>
            <w:tcW w:w="1134" w:type="dxa"/>
            <w:vAlign w:val="center"/>
          </w:tcPr>
          <w:p w14:paraId="2C115DF4">
            <w:pPr>
              <w:pStyle w:val="12"/>
            </w:pPr>
            <w:r>
              <w:t>B05080000</w:t>
            </w:r>
          </w:p>
        </w:tc>
        <w:tc>
          <w:tcPr>
            <w:tcW w:w="709" w:type="dxa"/>
            <w:vAlign w:val="center"/>
          </w:tcPr>
          <w:p w14:paraId="7A2DA1BD">
            <w:pPr>
              <w:pStyle w:val="13"/>
            </w:pPr>
            <w:r>
              <w:t>年</w:t>
            </w:r>
          </w:p>
        </w:tc>
        <w:tc>
          <w:tcPr>
            <w:tcW w:w="850" w:type="dxa"/>
            <w:vAlign w:val="center"/>
          </w:tcPr>
          <w:p w14:paraId="41AB5B0A">
            <w:pPr>
              <w:pStyle w:val="11"/>
            </w:pPr>
            <w:r>
              <w:t>6035</w:t>
            </w:r>
          </w:p>
        </w:tc>
        <w:tc>
          <w:tcPr>
            <w:tcW w:w="850" w:type="dxa"/>
            <w:vAlign w:val="center"/>
          </w:tcPr>
          <w:p w14:paraId="7C6183B2">
            <w:pPr>
              <w:pStyle w:val="11"/>
            </w:pPr>
            <w:r>
              <w:t>0.02</w:t>
            </w:r>
          </w:p>
        </w:tc>
        <w:tc>
          <w:tcPr>
            <w:tcW w:w="964" w:type="dxa"/>
            <w:vAlign w:val="center"/>
          </w:tcPr>
          <w:p w14:paraId="3FF7E14F">
            <w:pPr>
              <w:pStyle w:val="11"/>
            </w:pPr>
            <w:r>
              <w:t>108.63</w:t>
            </w:r>
          </w:p>
        </w:tc>
        <w:tc>
          <w:tcPr>
            <w:tcW w:w="964" w:type="dxa"/>
            <w:vAlign w:val="center"/>
          </w:tcPr>
          <w:p w14:paraId="504A30F5">
            <w:pPr>
              <w:pStyle w:val="11"/>
            </w:pPr>
          </w:p>
        </w:tc>
        <w:tc>
          <w:tcPr>
            <w:tcW w:w="964" w:type="dxa"/>
            <w:vAlign w:val="center"/>
          </w:tcPr>
          <w:p w14:paraId="1E2BE7DB">
            <w:pPr>
              <w:pStyle w:val="11"/>
            </w:pPr>
          </w:p>
        </w:tc>
        <w:tc>
          <w:tcPr>
            <w:tcW w:w="964" w:type="dxa"/>
            <w:vAlign w:val="center"/>
          </w:tcPr>
          <w:p w14:paraId="2D0CD332">
            <w:pPr>
              <w:pStyle w:val="11"/>
            </w:pPr>
          </w:p>
        </w:tc>
        <w:tc>
          <w:tcPr>
            <w:tcW w:w="964" w:type="dxa"/>
            <w:vAlign w:val="center"/>
          </w:tcPr>
          <w:p w14:paraId="5F633A86">
            <w:pPr>
              <w:pStyle w:val="11"/>
            </w:pPr>
            <w:r>
              <w:t>108.63</w:t>
            </w:r>
          </w:p>
        </w:tc>
        <w:tc>
          <w:tcPr>
            <w:tcW w:w="964" w:type="dxa"/>
            <w:vAlign w:val="center"/>
          </w:tcPr>
          <w:p w14:paraId="44F570C7">
            <w:pPr>
              <w:pStyle w:val="11"/>
            </w:pPr>
          </w:p>
        </w:tc>
        <w:tc>
          <w:tcPr>
            <w:tcW w:w="964" w:type="dxa"/>
            <w:vAlign w:val="center"/>
          </w:tcPr>
          <w:p w14:paraId="0F6E7DD7">
            <w:pPr>
              <w:pStyle w:val="11"/>
            </w:pPr>
          </w:p>
        </w:tc>
        <w:tc>
          <w:tcPr>
            <w:tcW w:w="964" w:type="dxa"/>
            <w:vAlign w:val="center"/>
          </w:tcPr>
          <w:p w14:paraId="1770A15E">
            <w:pPr>
              <w:pStyle w:val="11"/>
            </w:pPr>
          </w:p>
        </w:tc>
        <w:tc>
          <w:tcPr>
            <w:tcW w:w="964" w:type="dxa"/>
            <w:vAlign w:val="center"/>
          </w:tcPr>
          <w:p w14:paraId="29DF88B6">
            <w:pPr>
              <w:pStyle w:val="11"/>
            </w:pPr>
            <w:r>
              <w:t>108.63</w:t>
            </w:r>
          </w:p>
        </w:tc>
      </w:tr>
    </w:tbl>
    <w:p w14:paraId="75CA0C0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E45087">
      <w:pPr>
        <w:spacing w:before="0" w:after="0"/>
        <w:ind w:firstLine="640"/>
        <w:jc w:val="left"/>
        <w:outlineLvl w:val="9"/>
      </w:pPr>
      <w:r>
        <w:rPr>
          <w:rFonts w:ascii="Times New Roman" w:hAnsi="Times New Roman" w:eastAsia="方正仿宋_GBK" w:cs="Times New Roman"/>
          <w:color w:val="000000"/>
          <w:sz w:val="32"/>
        </w:rPr>
        <w:t xml:space="preserve"> </w:t>
      </w:r>
    </w:p>
    <w:p w14:paraId="1485BBD7">
      <w:pPr>
        <w:spacing w:before="10" w:after="10" w:line="240" w:lineRule="auto"/>
        <w:ind w:firstLine="640"/>
        <w:jc w:val="left"/>
        <w:outlineLvl w:val="5"/>
      </w:pPr>
      <w:r>
        <w:rPr>
          <w:rFonts w:ascii="黑体" w:hAnsi="黑体" w:eastAsia="黑体" w:cs="黑体"/>
          <w:color w:val="000000"/>
          <w:sz w:val="32"/>
        </w:rPr>
        <w:t>七、国有资产信息</w:t>
      </w:r>
    </w:p>
    <w:p w14:paraId="7AF77674">
      <w:pPr>
        <w:spacing w:before="0" w:after="0" w:line="500" w:lineRule="exact"/>
        <w:ind w:firstLine="560"/>
        <w:jc w:val="left"/>
        <w:outlineLvl w:val="9"/>
      </w:pPr>
      <w:r>
        <w:rPr>
          <w:rFonts w:ascii="Times New Roman" w:hAnsi="Times New Roman" w:eastAsia="方正仿宋_GBK" w:cs="Times New Roman"/>
          <w:b w:val="0"/>
          <w:color w:val="000000"/>
          <w:sz w:val="28"/>
        </w:rPr>
        <w:t>河北隆尧第一中学上年末固定资产金额为8740.90万元（详见下表）。本年度拟购置固定资产总额为63.61万元，已按要求列入政府采购预算，详见政府采购预算表。</w:t>
      </w:r>
    </w:p>
    <w:p w14:paraId="2CA8A77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77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6395A2">
            <w:pPr>
              <w:pStyle w:val="9"/>
            </w:pPr>
            <w:r>
              <w:t>360003河北隆尧第一中学</w:t>
            </w:r>
          </w:p>
        </w:tc>
        <w:tc>
          <w:tcPr>
            <w:tcW w:w="5670" w:type="dxa"/>
            <w:gridSpan w:val="2"/>
            <w:tcBorders>
              <w:top w:val="single" w:color="FFFFFF" w:sz="6" w:space="0"/>
              <w:left w:val="single" w:color="FFFFFF" w:sz="6" w:space="0"/>
              <w:right w:val="single" w:color="FFFFFF" w:sz="6" w:space="0"/>
            </w:tcBorders>
            <w:vAlign w:val="center"/>
          </w:tcPr>
          <w:p w14:paraId="735C4FC1">
            <w:pPr>
              <w:pStyle w:val="7"/>
            </w:pPr>
            <w:r>
              <w:t>截止时间：2025-12-31</w:t>
            </w:r>
          </w:p>
        </w:tc>
      </w:tr>
      <w:tr w14:paraId="1197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445EB7">
            <w:pPr>
              <w:pStyle w:val="10"/>
            </w:pPr>
            <w:r>
              <w:t>项   目</w:t>
            </w:r>
          </w:p>
        </w:tc>
        <w:tc>
          <w:tcPr>
            <w:tcW w:w="2835" w:type="dxa"/>
            <w:vAlign w:val="center"/>
          </w:tcPr>
          <w:p w14:paraId="3946002C">
            <w:pPr>
              <w:pStyle w:val="10"/>
            </w:pPr>
            <w:r>
              <w:t>数量</w:t>
            </w:r>
          </w:p>
        </w:tc>
        <w:tc>
          <w:tcPr>
            <w:tcW w:w="2835" w:type="dxa"/>
            <w:vAlign w:val="center"/>
          </w:tcPr>
          <w:p w14:paraId="6B11DF08">
            <w:pPr>
              <w:pStyle w:val="10"/>
            </w:pPr>
            <w:r>
              <w:t>价值（金额单位：万元）</w:t>
            </w:r>
          </w:p>
        </w:tc>
      </w:tr>
      <w:tr w14:paraId="66EC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E89937">
            <w:pPr>
              <w:pStyle w:val="12"/>
            </w:pPr>
            <w:r>
              <w:t>资产总额</w:t>
            </w:r>
          </w:p>
        </w:tc>
        <w:tc>
          <w:tcPr>
            <w:tcW w:w="2835" w:type="dxa"/>
            <w:vAlign w:val="center"/>
          </w:tcPr>
          <w:p w14:paraId="1012E6A0">
            <w:pPr>
              <w:pStyle w:val="13"/>
            </w:pPr>
          </w:p>
        </w:tc>
        <w:tc>
          <w:tcPr>
            <w:tcW w:w="2835" w:type="dxa"/>
            <w:vAlign w:val="center"/>
          </w:tcPr>
          <w:p w14:paraId="06279160">
            <w:pPr>
              <w:pStyle w:val="11"/>
            </w:pPr>
            <w:r>
              <w:t>8740.90</w:t>
            </w:r>
          </w:p>
        </w:tc>
      </w:tr>
      <w:tr w14:paraId="070F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E2894D">
            <w:pPr>
              <w:pStyle w:val="12"/>
            </w:pPr>
            <w:r>
              <w:t>1、房屋（平方米）</w:t>
            </w:r>
          </w:p>
        </w:tc>
        <w:tc>
          <w:tcPr>
            <w:tcW w:w="2835" w:type="dxa"/>
            <w:vAlign w:val="center"/>
          </w:tcPr>
          <w:p w14:paraId="480965A1">
            <w:pPr>
              <w:pStyle w:val="13"/>
            </w:pPr>
            <w:r>
              <w:t>51674.10</w:t>
            </w:r>
          </w:p>
        </w:tc>
        <w:tc>
          <w:tcPr>
            <w:tcW w:w="2835" w:type="dxa"/>
            <w:vAlign w:val="center"/>
          </w:tcPr>
          <w:p w14:paraId="6552411E">
            <w:pPr>
              <w:pStyle w:val="11"/>
            </w:pPr>
            <w:r>
              <w:t>5622.98</w:t>
            </w:r>
          </w:p>
        </w:tc>
      </w:tr>
      <w:tr w14:paraId="20471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31E0FD">
            <w:pPr>
              <w:pStyle w:val="12"/>
            </w:pPr>
            <w:r>
              <w:t>　　其中：办公用房（平方米）</w:t>
            </w:r>
          </w:p>
        </w:tc>
        <w:tc>
          <w:tcPr>
            <w:tcW w:w="2835" w:type="dxa"/>
            <w:vAlign w:val="center"/>
          </w:tcPr>
          <w:p w14:paraId="724E3FDB">
            <w:pPr>
              <w:pStyle w:val="13"/>
            </w:pPr>
            <w:r>
              <w:t>2636</w:t>
            </w:r>
          </w:p>
        </w:tc>
        <w:tc>
          <w:tcPr>
            <w:tcW w:w="2835" w:type="dxa"/>
            <w:vAlign w:val="center"/>
          </w:tcPr>
          <w:p w14:paraId="3638DF6B">
            <w:pPr>
              <w:pStyle w:val="11"/>
            </w:pPr>
            <w:r>
              <w:t>237.06</w:t>
            </w:r>
          </w:p>
        </w:tc>
      </w:tr>
      <w:tr w14:paraId="2DEF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2F407D">
            <w:pPr>
              <w:pStyle w:val="12"/>
            </w:pPr>
            <w:r>
              <w:t>2、车辆（台、辆）</w:t>
            </w:r>
          </w:p>
        </w:tc>
        <w:tc>
          <w:tcPr>
            <w:tcW w:w="2835" w:type="dxa"/>
            <w:vAlign w:val="center"/>
          </w:tcPr>
          <w:p w14:paraId="63165D7D">
            <w:pPr>
              <w:pStyle w:val="13"/>
            </w:pPr>
          </w:p>
        </w:tc>
        <w:tc>
          <w:tcPr>
            <w:tcW w:w="2835" w:type="dxa"/>
            <w:vAlign w:val="center"/>
          </w:tcPr>
          <w:p w14:paraId="4466A2C4">
            <w:pPr>
              <w:pStyle w:val="11"/>
            </w:pPr>
          </w:p>
        </w:tc>
      </w:tr>
      <w:tr w14:paraId="1E53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8EF873">
            <w:pPr>
              <w:pStyle w:val="12"/>
            </w:pPr>
            <w:r>
              <w:t>3、单价在20万元以上的设备</w:t>
            </w:r>
          </w:p>
        </w:tc>
        <w:tc>
          <w:tcPr>
            <w:tcW w:w="2835" w:type="dxa"/>
            <w:vAlign w:val="center"/>
          </w:tcPr>
          <w:p w14:paraId="00EBB2B5">
            <w:pPr>
              <w:pStyle w:val="13"/>
            </w:pPr>
          </w:p>
        </w:tc>
        <w:tc>
          <w:tcPr>
            <w:tcW w:w="2835" w:type="dxa"/>
            <w:vAlign w:val="center"/>
          </w:tcPr>
          <w:p w14:paraId="04191F4B">
            <w:pPr>
              <w:pStyle w:val="11"/>
            </w:pPr>
          </w:p>
        </w:tc>
      </w:tr>
      <w:tr w14:paraId="40A8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B8C9FA">
            <w:pPr>
              <w:pStyle w:val="12"/>
            </w:pPr>
            <w:r>
              <w:t>4、其他固定资产</w:t>
            </w:r>
          </w:p>
        </w:tc>
        <w:tc>
          <w:tcPr>
            <w:tcW w:w="2835" w:type="dxa"/>
            <w:vAlign w:val="center"/>
          </w:tcPr>
          <w:p w14:paraId="50CD990F">
            <w:pPr>
              <w:pStyle w:val="13"/>
            </w:pPr>
            <w:r>
              <w:t>26227</w:t>
            </w:r>
          </w:p>
        </w:tc>
        <w:tc>
          <w:tcPr>
            <w:tcW w:w="2835" w:type="dxa"/>
            <w:vAlign w:val="center"/>
          </w:tcPr>
          <w:p w14:paraId="12917303">
            <w:pPr>
              <w:pStyle w:val="11"/>
            </w:pPr>
            <w:r>
              <w:t>3117.92</w:t>
            </w:r>
          </w:p>
        </w:tc>
      </w:tr>
    </w:tbl>
    <w:p w14:paraId="38D85755">
      <w:pPr>
        <w:spacing w:before="0" w:after="0"/>
        <w:ind w:firstLine="640"/>
        <w:jc w:val="left"/>
        <w:outlineLvl w:val="9"/>
      </w:pPr>
      <w:r>
        <w:rPr>
          <w:rFonts w:ascii="Times New Roman" w:hAnsi="Times New Roman" w:eastAsia="方正仿宋_GBK" w:cs="Times New Roman"/>
          <w:color w:val="000000"/>
          <w:sz w:val="32"/>
        </w:rPr>
        <w:t xml:space="preserve"> </w:t>
      </w:r>
    </w:p>
    <w:p w14:paraId="6C93918F">
      <w:pPr>
        <w:spacing w:before="10" w:after="10" w:line="240" w:lineRule="auto"/>
        <w:ind w:firstLine="640"/>
        <w:jc w:val="left"/>
        <w:outlineLvl w:val="5"/>
      </w:pPr>
      <w:r>
        <w:rPr>
          <w:rFonts w:ascii="黑体" w:hAnsi="黑体" w:eastAsia="黑体" w:cs="黑体"/>
          <w:color w:val="000000"/>
          <w:sz w:val="32"/>
        </w:rPr>
        <w:t>八、名词解释</w:t>
      </w:r>
    </w:p>
    <w:p w14:paraId="28075D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27E1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9C82A7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FC0A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B8B93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2ACFB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6CDCD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E2FED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9984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8C97E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155812">
      <w:pPr>
        <w:spacing w:before="10" w:after="10" w:line="240" w:lineRule="auto"/>
        <w:ind w:firstLine="640"/>
        <w:jc w:val="left"/>
        <w:outlineLvl w:val="5"/>
      </w:pPr>
      <w:r>
        <w:rPr>
          <w:rFonts w:ascii="黑体" w:hAnsi="黑体" w:eastAsia="黑体" w:cs="黑体"/>
          <w:color w:val="000000"/>
          <w:sz w:val="32"/>
        </w:rPr>
        <w:t>九、其他需要说明的事项</w:t>
      </w:r>
    </w:p>
    <w:p w14:paraId="692CBE8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227F892">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三、隆尧县尧山中学收支预算</w:t>
      </w:r>
      <w:bookmarkEnd w:id="2"/>
    </w:p>
    <w:p w14:paraId="4C4A0A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0F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4B1014">
            <w:pPr>
              <w:pStyle w:val="9"/>
            </w:pPr>
            <w:r>
              <w:t>360004隆尧县尧山中学</w:t>
            </w:r>
          </w:p>
        </w:tc>
        <w:tc>
          <w:tcPr>
            <w:tcW w:w="2126" w:type="dxa"/>
            <w:tcBorders>
              <w:top w:val="single" w:color="FFFFFF" w:sz="6" w:space="0"/>
              <w:left w:val="single" w:color="FFFFFF" w:sz="6" w:space="0"/>
              <w:right w:val="single" w:color="FFFFFF" w:sz="6" w:space="0"/>
            </w:tcBorders>
            <w:vAlign w:val="center"/>
          </w:tcPr>
          <w:p w14:paraId="76E8FED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13BE940">
            <w:pPr>
              <w:pStyle w:val="7"/>
            </w:pPr>
            <w:r>
              <w:t>单位：万元</w:t>
            </w:r>
          </w:p>
        </w:tc>
      </w:tr>
      <w:tr w14:paraId="6533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334800">
            <w:pPr>
              <w:pStyle w:val="10"/>
            </w:pPr>
            <w:r>
              <w:t>序号</w:t>
            </w:r>
          </w:p>
        </w:tc>
        <w:tc>
          <w:tcPr>
            <w:tcW w:w="6661" w:type="dxa"/>
            <w:gridSpan w:val="2"/>
            <w:vAlign w:val="center"/>
          </w:tcPr>
          <w:p w14:paraId="2C3FBBD9">
            <w:pPr>
              <w:pStyle w:val="10"/>
            </w:pPr>
            <w:r>
              <w:t>收入</w:t>
            </w:r>
          </w:p>
        </w:tc>
        <w:tc>
          <w:tcPr>
            <w:tcW w:w="6661" w:type="dxa"/>
            <w:gridSpan w:val="2"/>
            <w:vAlign w:val="center"/>
          </w:tcPr>
          <w:p w14:paraId="4A22515D">
            <w:pPr>
              <w:pStyle w:val="10"/>
            </w:pPr>
            <w:r>
              <w:t>支出</w:t>
            </w:r>
          </w:p>
        </w:tc>
      </w:tr>
      <w:tr w14:paraId="246F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CC7BE9"/>
        </w:tc>
        <w:tc>
          <w:tcPr>
            <w:tcW w:w="4535" w:type="dxa"/>
            <w:vAlign w:val="center"/>
          </w:tcPr>
          <w:p w14:paraId="5070CD75">
            <w:pPr>
              <w:pStyle w:val="10"/>
            </w:pPr>
            <w:r>
              <w:t>项  目</w:t>
            </w:r>
          </w:p>
        </w:tc>
        <w:tc>
          <w:tcPr>
            <w:tcW w:w="2126" w:type="dxa"/>
            <w:vAlign w:val="center"/>
          </w:tcPr>
          <w:p w14:paraId="509350D7">
            <w:pPr>
              <w:pStyle w:val="10"/>
            </w:pPr>
            <w:r>
              <w:t>预算数</w:t>
            </w:r>
          </w:p>
        </w:tc>
        <w:tc>
          <w:tcPr>
            <w:tcW w:w="4535" w:type="dxa"/>
            <w:vAlign w:val="center"/>
          </w:tcPr>
          <w:p w14:paraId="1C87E38D">
            <w:pPr>
              <w:pStyle w:val="10"/>
            </w:pPr>
            <w:r>
              <w:t>项  目</w:t>
            </w:r>
          </w:p>
        </w:tc>
        <w:tc>
          <w:tcPr>
            <w:tcW w:w="2126" w:type="dxa"/>
            <w:vAlign w:val="center"/>
          </w:tcPr>
          <w:p w14:paraId="5A5E213C">
            <w:pPr>
              <w:pStyle w:val="10"/>
            </w:pPr>
            <w:r>
              <w:t>预算数</w:t>
            </w:r>
          </w:p>
        </w:tc>
      </w:tr>
      <w:tr w14:paraId="7714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B9D2AC">
            <w:pPr>
              <w:pStyle w:val="10"/>
            </w:pPr>
            <w:r>
              <w:t>栏次</w:t>
            </w:r>
          </w:p>
        </w:tc>
        <w:tc>
          <w:tcPr>
            <w:tcW w:w="4535" w:type="dxa"/>
            <w:vAlign w:val="center"/>
          </w:tcPr>
          <w:p w14:paraId="5CB550F8">
            <w:pPr>
              <w:pStyle w:val="10"/>
            </w:pPr>
            <w:r>
              <w:t>1</w:t>
            </w:r>
          </w:p>
        </w:tc>
        <w:tc>
          <w:tcPr>
            <w:tcW w:w="2126" w:type="dxa"/>
            <w:vAlign w:val="center"/>
          </w:tcPr>
          <w:p w14:paraId="59C0CC86">
            <w:pPr>
              <w:pStyle w:val="10"/>
            </w:pPr>
            <w:r>
              <w:t>2</w:t>
            </w:r>
          </w:p>
        </w:tc>
        <w:tc>
          <w:tcPr>
            <w:tcW w:w="4535" w:type="dxa"/>
            <w:vAlign w:val="center"/>
          </w:tcPr>
          <w:p w14:paraId="4CF2A328">
            <w:pPr>
              <w:pStyle w:val="10"/>
            </w:pPr>
            <w:r>
              <w:t>3</w:t>
            </w:r>
          </w:p>
        </w:tc>
        <w:tc>
          <w:tcPr>
            <w:tcW w:w="2126" w:type="dxa"/>
            <w:vAlign w:val="center"/>
          </w:tcPr>
          <w:p w14:paraId="165F0EFC">
            <w:pPr>
              <w:pStyle w:val="10"/>
            </w:pPr>
            <w:r>
              <w:t>4</w:t>
            </w:r>
          </w:p>
        </w:tc>
      </w:tr>
      <w:tr w14:paraId="2971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36D50">
            <w:pPr>
              <w:pStyle w:val="13"/>
            </w:pPr>
            <w:r>
              <w:t>1</w:t>
            </w:r>
          </w:p>
        </w:tc>
        <w:tc>
          <w:tcPr>
            <w:tcW w:w="4535" w:type="dxa"/>
            <w:vAlign w:val="center"/>
          </w:tcPr>
          <w:p w14:paraId="3093772C">
            <w:pPr>
              <w:pStyle w:val="12"/>
            </w:pPr>
            <w:r>
              <w:t>一、一般公共预算拨款收入</w:t>
            </w:r>
          </w:p>
        </w:tc>
        <w:tc>
          <w:tcPr>
            <w:tcW w:w="2126" w:type="dxa"/>
            <w:vAlign w:val="center"/>
          </w:tcPr>
          <w:p w14:paraId="58E065D3">
            <w:pPr>
              <w:pStyle w:val="11"/>
            </w:pPr>
            <w:r>
              <w:t>3508.17</w:t>
            </w:r>
          </w:p>
        </w:tc>
        <w:tc>
          <w:tcPr>
            <w:tcW w:w="4535" w:type="dxa"/>
            <w:vAlign w:val="center"/>
          </w:tcPr>
          <w:p w14:paraId="5BA917E8">
            <w:pPr>
              <w:pStyle w:val="12"/>
            </w:pPr>
            <w:r>
              <w:t>一、一般公共服务支出</w:t>
            </w:r>
          </w:p>
        </w:tc>
        <w:tc>
          <w:tcPr>
            <w:tcW w:w="2126" w:type="dxa"/>
            <w:vAlign w:val="center"/>
          </w:tcPr>
          <w:p w14:paraId="69BB62BC">
            <w:pPr>
              <w:pStyle w:val="11"/>
            </w:pPr>
          </w:p>
        </w:tc>
      </w:tr>
      <w:tr w14:paraId="7219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E69CD">
            <w:pPr>
              <w:pStyle w:val="13"/>
            </w:pPr>
            <w:r>
              <w:t>2</w:t>
            </w:r>
          </w:p>
        </w:tc>
        <w:tc>
          <w:tcPr>
            <w:tcW w:w="4535" w:type="dxa"/>
            <w:vAlign w:val="center"/>
          </w:tcPr>
          <w:p w14:paraId="1CA02CCB">
            <w:pPr>
              <w:pStyle w:val="12"/>
            </w:pPr>
            <w:r>
              <w:t>二、政府性基金预算拨款收入</w:t>
            </w:r>
          </w:p>
        </w:tc>
        <w:tc>
          <w:tcPr>
            <w:tcW w:w="2126" w:type="dxa"/>
            <w:vAlign w:val="center"/>
          </w:tcPr>
          <w:p w14:paraId="65663F32">
            <w:pPr>
              <w:pStyle w:val="11"/>
            </w:pPr>
          </w:p>
        </w:tc>
        <w:tc>
          <w:tcPr>
            <w:tcW w:w="4535" w:type="dxa"/>
            <w:vAlign w:val="center"/>
          </w:tcPr>
          <w:p w14:paraId="36A8828C">
            <w:pPr>
              <w:pStyle w:val="12"/>
            </w:pPr>
            <w:r>
              <w:t>二、外交支出</w:t>
            </w:r>
          </w:p>
        </w:tc>
        <w:tc>
          <w:tcPr>
            <w:tcW w:w="2126" w:type="dxa"/>
            <w:vAlign w:val="center"/>
          </w:tcPr>
          <w:p w14:paraId="6717A1AF">
            <w:pPr>
              <w:pStyle w:val="11"/>
            </w:pPr>
          </w:p>
        </w:tc>
      </w:tr>
      <w:tr w14:paraId="7CF7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60EA">
            <w:pPr>
              <w:pStyle w:val="13"/>
            </w:pPr>
            <w:r>
              <w:t>3</w:t>
            </w:r>
          </w:p>
        </w:tc>
        <w:tc>
          <w:tcPr>
            <w:tcW w:w="4535" w:type="dxa"/>
            <w:vAlign w:val="center"/>
          </w:tcPr>
          <w:p w14:paraId="7CB14A43">
            <w:pPr>
              <w:pStyle w:val="12"/>
            </w:pPr>
            <w:r>
              <w:t>三、国有资本经营预算拨款收入</w:t>
            </w:r>
          </w:p>
        </w:tc>
        <w:tc>
          <w:tcPr>
            <w:tcW w:w="2126" w:type="dxa"/>
            <w:vAlign w:val="center"/>
          </w:tcPr>
          <w:p w14:paraId="3C8639A8">
            <w:pPr>
              <w:pStyle w:val="11"/>
            </w:pPr>
          </w:p>
        </w:tc>
        <w:tc>
          <w:tcPr>
            <w:tcW w:w="4535" w:type="dxa"/>
            <w:vAlign w:val="center"/>
          </w:tcPr>
          <w:p w14:paraId="4FF6604C">
            <w:pPr>
              <w:pStyle w:val="12"/>
            </w:pPr>
            <w:r>
              <w:t>三、国防支出</w:t>
            </w:r>
          </w:p>
        </w:tc>
        <w:tc>
          <w:tcPr>
            <w:tcW w:w="2126" w:type="dxa"/>
            <w:vAlign w:val="center"/>
          </w:tcPr>
          <w:p w14:paraId="2487C7B2">
            <w:pPr>
              <w:pStyle w:val="11"/>
            </w:pPr>
          </w:p>
        </w:tc>
      </w:tr>
      <w:tr w14:paraId="6856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C58B">
            <w:pPr>
              <w:pStyle w:val="13"/>
            </w:pPr>
            <w:r>
              <w:t>4</w:t>
            </w:r>
          </w:p>
        </w:tc>
        <w:tc>
          <w:tcPr>
            <w:tcW w:w="4535" w:type="dxa"/>
            <w:vAlign w:val="center"/>
          </w:tcPr>
          <w:p w14:paraId="2B527C8E">
            <w:pPr>
              <w:pStyle w:val="12"/>
            </w:pPr>
            <w:r>
              <w:t>四、财政专户管理资金收入</w:t>
            </w:r>
          </w:p>
        </w:tc>
        <w:tc>
          <w:tcPr>
            <w:tcW w:w="2126" w:type="dxa"/>
            <w:vAlign w:val="center"/>
          </w:tcPr>
          <w:p w14:paraId="21B3EA0A">
            <w:pPr>
              <w:pStyle w:val="11"/>
            </w:pPr>
          </w:p>
        </w:tc>
        <w:tc>
          <w:tcPr>
            <w:tcW w:w="4535" w:type="dxa"/>
            <w:vAlign w:val="center"/>
          </w:tcPr>
          <w:p w14:paraId="6BD5C1CF">
            <w:pPr>
              <w:pStyle w:val="12"/>
            </w:pPr>
            <w:r>
              <w:t>四、公共安全支出</w:t>
            </w:r>
          </w:p>
        </w:tc>
        <w:tc>
          <w:tcPr>
            <w:tcW w:w="2126" w:type="dxa"/>
            <w:vAlign w:val="center"/>
          </w:tcPr>
          <w:p w14:paraId="7850ED2D">
            <w:pPr>
              <w:pStyle w:val="11"/>
            </w:pPr>
          </w:p>
        </w:tc>
      </w:tr>
      <w:tr w14:paraId="27B4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6822C">
            <w:pPr>
              <w:pStyle w:val="13"/>
            </w:pPr>
            <w:r>
              <w:t>5</w:t>
            </w:r>
          </w:p>
        </w:tc>
        <w:tc>
          <w:tcPr>
            <w:tcW w:w="4535" w:type="dxa"/>
            <w:vAlign w:val="center"/>
          </w:tcPr>
          <w:p w14:paraId="59F9BDBA">
            <w:pPr>
              <w:pStyle w:val="12"/>
            </w:pPr>
            <w:r>
              <w:t>五、单位资金</w:t>
            </w:r>
          </w:p>
        </w:tc>
        <w:tc>
          <w:tcPr>
            <w:tcW w:w="2126" w:type="dxa"/>
            <w:vAlign w:val="center"/>
          </w:tcPr>
          <w:p w14:paraId="2421FCC4">
            <w:pPr>
              <w:pStyle w:val="11"/>
            </w:pPr>
          </w:p>
        </w:tc>
        <w:tc>
          <w:tcPr>
            <w:tcW w:w="4535" w:type="dxa"/>
            <w:vAlign w:val="center"/>
          </w:tcPr>
          <w:p w14:paraId="422AE71B">
            <w:pPr>
              <w:pStyle w:val="12"/>
            </w:pPr>
            <w:r>
              <w:t>五、教育支出</w:t>
            </w:r>
          </w:p>
        </w:tc>
        <w:tc>
          <w:tcPr>
            <w:tcW w:w="2126" w:type="dxa"/>
            <w:vAlign w:val="center"/>
          </w:tcPr>
          <w:p w14:paraId="6CB774F5">
            <w:pPr>
              <w:pStyle w:val="11"/>
            </w:pPr>
            <w:r>
              <w:t>3508.17</w:t>
            </w:r>
          </w:p>
        </w:tc>
      </w:tr>
      <w:tr w14:paraId="136D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440E">
            <w:pPr>
              <w:pStyle w:val="13"/>
            </w:pPr>
            <w:r>
              <w:t>6</w:t>
            </w:r>
          </w:p>
        </w:tc>
        <w:tc>
          <w:tcPr>
            <w:tcW w:w="4535" w:type="dxa"/>
            <w:vAlign w:val="center"/>
          </w:tcPr>
          <w:p w14:paraId="597E4A99">
            <w:pPr>
              <w:pStyle w:val="12"/>
            </w:pPr>
          </w:p>
        </w:tc>
        <w:tc>
          <w:tcPr>
            <w:tcW w:w="2126" w:type="dxa"/>
            <w:vAlign w:val="center"/>
          </w:tcPr>
          <w:p w14:paraId="32CCA24C">
            <w:pPr>
              <w:pStyle w:val="11"/>
            </w:pPr>
          </w:p>
        </w:tc>
        <w:tc>
          <w:tcPr>
            <w:tcW w:w="4535" w:type="dxa"/>
            <w:vAlign w:val="center"/>
          </w:tcPr>
          <w:p w14:paraId="404BA481">
            <w:pPr>
              <w:pStyle w:val="12"/>
            </w:pPr>
            <w:r>
              <w:t>六、科学技术支出</w:t>
            </w:r>
          </w:p>
        </w:tc>
        <w:tc>
          <w:tcPr>
            <w:tcW w:w="2126" w:type="dxa"/>
            <w:vAlign w:val="center"/>
          </w:tcPr>
          <w:p w14:paraId="165F959A">
            <w:pPr>
              <w:pStyle w:val="11"/>
            </w:pPr>
          </w:p>
        </w:tc>
      </w:tr>
      <w:tr w14:paraId="7A2E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F6E93">
            <w:pPr>
              <w:pStyle w:val="13"/>
            </w:pPr>
            <w:r>
              <w:t>7</w:t>
            </w:r>
          </w:p>
        </w:tc>
        <w:tc>
          <w:tcPr>
            <w:tcW w:w="4535" w:type="dxa"/>
            <w:vAlign w:val="center"/>
          </w:tcPr>
          <w:p w14:paraId="49CEC2D7">
            <w:pPr>
              <w:pStyle w:val="12"/>
            </w:pPr>
          </w:p>
        </w:tc>
        <w:tc>
          <w:tcPr>
            <w:tcW w:w="2126" w:type="dxa"/>
            <w:vAlign w:val="center"/>
          </w:tcPr>
          <w:p w14:paraId="104E8E20">
            <w:pPr>
              <w:pStyle w:val="11"/>
            </w:pPr>
          </w:p>
        </w:tc>
        <w:tc>
          <w:tcPr>
            <w:tcW w:w="4535" w:type="dxa"/>
            <w:vAlign w:val="center"/>
          </w:tcPr>
          <w:p w14:paraId="259E7446">
            <w:pPr>
              <w:pStyle w:val="12"/>
            </w:pPr>
            <w:r>
              <w:t>七、文化旅游体育与传媒支出</w:t>
            </w:r>
          </w:p>
        </w:tc>
        <w:tc>
          <w:tcPr>
            <w:tcW w:w="2126" w:type="dxa"/>
            <w:vAlign w:val="center"/>
          </w:tcPr>
          <w:p w14:paraId="0985CDAE">
            <w:pPr>
              <w:pStyle w:val="11"/>
            </w:pPr>
          </w:p>
        </w:tc>
      </w:tr>
      <w:tr w14:paraId="500DE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F4BDB">
            <w:pPr>
              <w:pStyle w:val="13"/>
            </w:pPr>
            <w:r>
              <w:t>8</w:t>
            </w:r>
          </w:p>
        </w:tc>
        <w:tc>
          <w:tcPr>
            <w:tcW w:w="4535" w:type="dxa"/>
            <w:vAlign w:val="center"/>
          </w:tcPr>
          <w:p w14:paraId="7C2F85B9">
            <w:pPr>
              <w:pStyle w:val="12"/>
            </w:pPr>
          </w:p>
        </w:tc>
        <w:tc>
          <w:tcPr>
            <w:tcW w:w="2126" w:type="dxa"/>
            <w:vAlign w:val="center"/>
          </w:tcPr>
          <w:p w14:paraId="635F7F9C">
            <w:pPr>
              <w:pStyle w:val="11"/>
            </w:pPr>
          </w:p>
        </w:tc>
        <w:tc>
          <w:tcPr>
            <w:tcW w:w="4535" w:type="dxa"/>
            <w:vAlign w:val="center"/>
          </w:tcPr>
          <w:p w14:paraId="658C5C1D">
            <w:pPr>
              <w:pStyle w:val="12"/>
            </w:pPr>
            <w:r>
              <w:t>八、社会保障和就业支出</w:t>
            </w:r>
          </w:p>
        </w:tc>
        <w:tc>
          <w:tcPr>
            <w:tcW w:w="2126" w:type="dxa"/>
            <w:vAlign w:val="center"/>
          </w:tcPr>
          <w:p w14:paraId="146602D8">
            <w:pPr>
              <w:pStyle w:val="11"/>
            </w:pPr>
          </w:p>
        </w:tc>
      </w:tr>
      <w:tr w14:paraId="5729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E87B1">
            <w:pPr>
              <w:pStyle w:val="13"/>
            </w:pPr>
            <w:r>
              <w:t>9</w:t>
            </w:r>
          </w:p>
        </w:tc>
        <w:tc>
          <w:tcPr>
            <w:tcW w:w="4535" w:type="dxa"/>
            <w:vAlign w:val="center"/>
          </w:tcPr>
          <w:p w14:paraId="3B467ED1">
            <w:pPr>
              <w:pStyle w:val="12"/>
            </w:pPr>
          </w:p>
        </w:tc>
        <w:tc>
          <w:tcPr>
            <w:tcW w:w="2126" w:type="dxa"/>
            <w:vAlign w:val="center"/>
          </w:tcPr>
          <w:p w14:paraId="3EE228F2">
            <w:pPr>
              <w:pStyle w:val="11"/>
            </w:pPr>
          </w:p>
        </w:tc>
        <w:tc>
          <w:tcPr>
            <w:tcW w:w="4535" w:type="dxa"/>
            <w:vAlign w:val="center"/>
          </w:tcPr>
          <w:p w14:paraId="18EA5FAC">
            <w:pPr>
              <w:pStyle w:val="12"/>
            </w:pPr>
            <w:r>
              <w:t>九、社会保险基金支出</w:t>
            </w:r>
          </w:p>
        </w:tc>
        <w:tc>
          <w:tcPr>
            <w:tcW w:w="2126" w:type="dxa"/>
            <w:vAlign w:val="center"/>
          </w:tcPr>
          <w:p w14:paraId="1265FFEF">
            <w:pPr>
              <w:pStyle w:val="11"/>
            </w:pPr>
          </w:p>
        </w:tc>
      </w:tr>
      <w:tr w14:paraId="2682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DD5B">
            <w:pPr>
              <w:pStyle w:val="13"/>
            </w:pPr>
            <w:r>
              <w:t>10</w:t>
            </w:r>
          </w:p>
        </w:tc>
        <w:tc>
          <w:tcPr>
            <w:tcW w:w="4535" w:type="dxa"/>
            <w:vAlign w:val="center"/>
          </w:tcPr>
          <w:p w14:paraId="4E19DA84">
            <w:pPr>
              <w:pStyle w:val="12"/>
            </w:pPr>
          </w:p>
        </w:tc>
        <w:tc>
          <w:tcPr>
            <w:tcW w:w="2126" w:type="dxa"/>
            <w:vAlign w:val="center"/>
          </w:tcPr>
          <w:p w14:paraId="27B97867">
            <w:pPr>
              <w:pStyle w:val="11"/>
            </w:pPr>
          </w:p>
        </w:tc>
        <w:tc>
          <w:tcPr>
            <w:tcW w:w="4535" w:type="dxa"/>
            <w:vAlign w:val="center"/>
          </w:tcPr>
          <w:p w14:paraId="7721F4A3">
            <w:pPr>
              <w:pStyle w:val="12"/>
            </w:pPr>
            <w:r>
              <w:t>十、卫生健康支出</w:t>
            </w:r>
          </w:p>
        </w:tc>
        <w:tc>
          <w:tcPr>
            <w:tcW w:w="2126" w:type="dxa"/>
            <w:vAlign w:val="center"/>
          </w:tcPr>
          <w:p w14:paraId="0584300F">
            <w:pPr>
              <w:pStyle w:val="11"/>
            </w:pPr>
          </w:p>
        </w:tc>
      </w:tr>
      <w:tr w14:paraId="6571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081C">
            <w:pPr>
              <w:pStyle w:val="13"/>
            </w:pPr>
            <w:r>
              <w:t>11</w:t>
            </w:r>
          </w:p>
        </w:tc>
        <w:tc>
          <w:tcPr>
            <w:tcW w:w="4535" w:type="dxa"/>
            <w:vAlign w:val="center"/>
          </w:tcPr>
          <w:p w14:paraId="2C04C125">
            <w:pPr>
              <w:pStyle w:val="12"/>
            </w:pPr>
          </w:p>
        </w:tc>
        <w:tc>
          <w:tcPr>
            <w:tcW w:w="2126" w:type="dxa"/>
            <w:vAlign w:val="center"/>
          </w:tcPr>
          <w:p w14:paraId="6F21F492">
            <w:pPr>
              <w:pStyle w:val="11"/>
            </w:pPr>
          </w:p>
        </w:tc>
        <w:tc>
          <w:tcPr>
            <w:tcW w:w="4535" w:type="dxa"/>
            <w:vAlign w:val="center"/>
          </w:tcPr>
          <w:p w14:paraId="002D8AA2">
            <w:pPr>
              <w:pStyle w:val="12"/>
            </w:pPr>
            <w:r>
              <w:t>十一、节能环保支出</w:t>
            </w:r>
          </w:p>
        </w:tc>
        <w:tc>
          <w:tcPr>
            <w:tcW w:w="2126" w:type="dxa"/>
            <w:vAlign w:val="center"/>
          </w:tcPr>
          <w:p w14:paraId="559CC227">
            <w:pPr>
              <w:pStyle w:val="11"/>
            </w:pPr>
          </w:p>
        </w:tc>
      </w:tr>
      <w:tr w14:paraId="18E6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0F08">
            <w:pPr>
              <w:pStyle w:val="13"/>
            </w:pPr>
            <w:r>
              <w:t>12</w:t>
            </w:r>
          </w:p>
        </w:tc>
        <w:tc>
          <w:tcPr>
            <w:tcW w:w="4535" w:type="dxa"/>
            <w:vAlign w:val="center"/>
          </w:tcPr>
          <w:p w14:paraId="2638BEFA">
            <w:pPr>
              <w:pStyle w:val="12"/>
            </w:pPr>
          </w:p>
        </w:tc>
        <w:tc>
          <w:tcPr>
            <w:tcW w:w="2126" w:type="dxa"/>
            <w:vAlign w:val="center"/>
          </w:tcPr>
          <w:p w14:paraId="647480C4">
            <w:pPr>
              <w:pStyle w:val="11"/>
            </w:pPr>
          </w:p>
        </w:tc>
        <w:tc>
          <w:tcPr>
            <w:tcW w:w="4535" w:type="dxa"/>
            <w:vAlign w:val="center"/>
          </w:tcPr>
          <w:p w14:paraId="04765F1E">
            <w:pPr>
              <w:pStyle w:val="12"/>
            </w:pPr>
            <w:r>
              <w:t>十二、城乡社区支出</w:t>
            </w:r>
          </w:p>
        </w:tc>
        <w:tc>
          <w:tcPr>
            <w:tcW w:w="2126" w:type="dxa"/>
            <w:vAlign w:val="center"/>
          </w:tcPr>
          <w:p w14:paraId="5757113E">
            <w:pPr>
              <w:pStyle w:val="11"/>
            </w:pPr>
          </w:p>
        </w:tc>
      </w:tr>
      <w:tr w14:paraId="0CB8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E80BB">
            <w:pPr>
              <w:pStyle w:val="13"/>
            </w:pPr>
            <w:r>
              <w:t>13</w:t>
            </w:r>
          </w:p>
        </w:tc>
        <w:tc>
          <w:tcPr>
            <w:tcW w:w="4535" w:type="dxa"/>
            <w:vAlign w:val="center"/>
          </w:tcPr>
          <w:p w14:paraId="6E9B82DD">
            <w:pPr>
              <w:pStyle w:val="12"/>
            </w:pPr>
          </w:p>
        </w:tc>
        <w:tc>
          <w:tcPr>
            <w:tcW w:w="2126" w:type="dxa"/>
            <w:vAlign w:val="center"/>
          </w:tcPr>
          <w:p w14:paraId="290DCA56">
            <w:pPr>
              <w:pStyle w:val="11"/>
            </w:pPr>
          </w:p>
        </w:tc>
        <w:tc>
          <w:tcPr>
            <w:tcW w:w="4535" w:type="dxa"/>
            <w:vAlign w:val="center"/>
          </w:tcPr>
          <w:p w14:paraId="4AC8F3FD">
            <w:pPr>
              <w:pStyle w:val="12"/>
            </w:pPr>
            <w:r>
              <w:t>十三、农林水支出</w:t>
            </w:r>
          </w:p>
        </w:tc>
        <w:tc>
          <w:tcPr>
            <w:tcW w:w="2126" w:type="dxa"/>
            <w:vAlign w:val="center"/>
          </w:tcPr>
          <w:p w14:paraId="0C8FE1F1">
            <w:pPr>
              <w:pStyle w:val="11"/>
            </w:pPr>
          </w:p>
        </w:tc>
      </w:tr>
      <w:tr w14:paraId="529B8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63F25">
            <w:pPr>
              <w:pStyle w:val="13"/>
            </w:pPr>
            <w:r>
              <w:t>14</w:t>
            </w:r>
          </w:p>
        </w:tc>
        <w:tc>
          <w:tcPr>
            <w:tcW w:w="4535" w:type="dxa"/>
            <w:vAlign w:val="center"/>
          </w:tcPr>
          <w:p w14:paraId="444E1B15">
            <w:pPr>
              <w:pStyle w:val="12"/>
            </w:pPr>
          </w:p>
        </w:tc>
        <w:tc>
          <w:tcPr>
            <w:tcW w:w="2126" w:type="dxa"/>
            <w:vAlign w:val="center"/>
          </w:tcPr>
          <w:p w14:paraId="2014CFAC">
            <w:pPr>
              <w:pStyle w:val="11"/>
            </w:pPr>
          </w:p>
        </w:tc>
        <w:tc>
          <w:tcPr>
            <w:tcW w:w="4535" w:type="dxa"/>
            <w:vAlign w:val="center"/>
          </w:tcPr>
          <w:p w14:paraId="787A1841">
            <w:pPr>
              <w:pStyle w:val="12"/>
            </w:pPr>
            <w:r>
              <w:t>十四、交通运输支出</w:t>
            </w:r>
          </w:p>
        </w:tc>
        <w:tc>
          <w:tcPr>
            <w:tcW w:w="2126" w:type="dxa"/>
            <w:vAlign w:val="center"/>
          </w:tcPr>
          <w:p w14:paraId="61B7DF60">
            <w:pPr>
              <w:pStyle w:val="11"/>
            </w:pPr>
          </w:p>
        </w:tc>
      </w:tr>
      <w:tr w14:paraId="7639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A360">
            <w:pPr>
              <w:pStyle w:val="13"/>
            </w:pPr>
            <w:r>
              <w:t>15</w:t>
            </w:r>
          </w:p>
        </w:tc>
        <w:tc>
          <w:tcPr>
            <w:tcW w:w="4535" w:type="dxa"/>
            <w:vAlign w:val="center"/>
          </w:tcPr>
          <w:p w14:paraId="3CE4212F">
            <w:pPr>
              <w:pStyle w:val="12"/>
            </w:pPr>
          </w:p>
        </w:tc>
        <w:tc>
          <w:tcPr>
            <w:tcW w:w="2126" w:type="dxa"/>
            <w:vAlign w:val="center"/>
          </w:tcPr>
          <w:p w14:paraId="0DE6CE2A">
            <w:pPr>
              <w:pStyle w:val="11"/>
            </w:pPr>
          </w:p>
        </w:tc>
        <w:tc>
          <w:tcPr>
            <w:tcW w:w="4535" w:type="dxa"/>
            <w:vAlign w:val="center"/>
          </w:tcPr>
          <w:p w14:paraId="3841AEF3">
            <w:pPr>
              <w:pStyle w:val="12"/>
            </w:pPr>
            <w:r>
              <w:t>十五、资源勘探工业信息等支出</w:t>
            </w:r>
          </w:p>
        </w:tc>
        <w:tc>
          <w:tcPr>
            <w:tcW w:w="2126" w:type="dxa"/>
            <w:vAlign w:val="center"/>
          </w:tcPr>
          <w:p w14:paraId="0DF0F858">
            <w:pPr>
              <w:pStyle w:val="11"/>
            </w:pPr>
          </w:p>
        </w:tc>
      </w:tr>
      <w:tr w14:paraId="6917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15C2E">
            <w:pPr>
              <w:pStyle w:val="13"/>
            </w:pPr>
            <w:r>
              <w:t>16</w:t>
            </w:r>
          </w:p>
        </w:tc>
        <w:tc>
          <w:tcPr>
            <w:tcW w:w="4535" w:type="dxa"/>
            <w:vAlign w:val="center"/>
          </w:tcPr>
          <w:p w14:paraId="17C0B7CB">
            <w:pPr>
              <w:pStyle w:val="12"/>
            </w:pPr>
          </w:p>
        </w:tc>
        <w:tc>
          <w:tcPr>
            <w:tcW w:w="2126" w:type="dxa"/>
            <w:vAlign w:val="center"/>
          </w:tcPr>
          <w:p w14:paraId="0FB79EF5">
            <w:pPr>
              <w:pStyle w:val="11"/>
            </w:pPr>
          </w:p>
        </w:tc>
        <w:tc>
          <w:tcPr>
            <w:tcW w:w="4535" w:type="dxa"/>
            <w:vAlign w:val="center"/>
          </w:tcPr>
          <w:p w14:paraId="2953B387">
            <w:pPr>
              <w:pStyle w:val="12"/>
            </w:pPr>
            <w:r>
              <w:t>十六、商业服务业等支出</w:t>
            </w:r>
          </w:p>
        </w:tc>
        <w:tc>
          <w:tcPr>
            <w:tcW w:w="2126" w:type="dxa"/>
            <w:vAlign w:val="center"/>
          </w:tcPr>
          <w:p w14:paraId="62CA6DC5">
            <w:pPr>
              <w:pStyle w:val="11"/>
            </w:pPr>
          </w:p>
        </w:tc>
      </w:tr>
      <w:tr w14:paraId="73E9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2E846">
            <w:pPr>
              <w:pStyle w:val="13"/>
            </w:pPr>
            <w:r>
              <w:t>17</w:t>
            </w:r>
          </w:p>
        </w:tc>
        <w:tc>
          <w:tcPr>
            <w:tcW w:w="4535" w:type="dxa"/>
            <w:vAlign w:val="center"/>
          </w:tcPr>
          <w:p w14:paraId="1877087A">
            <w:pPr>
              <w:pStyle w:val="12"/>
            </w:pPr>
          </w:p>
        </w:tc>
        <w:tc>
          <w:tcPr>
            <w:tcW w:w="2126" w:type="dxa"/>
            <w:vAlign w:val="center"/>
          </w:tcPr>
          <w:p w14:paraId="3E04E7CF">
            <w:pPr>
              <w:pStyle w:val="11"/>
            </w:pPr>
          </w:p>
        </w:tc>
        <w:tc>
          <w:tcPr>
            <w:tcW w:w="4535" w:type="dxa"/>
            <w:vAlign w:val="center"/>
          </w:tcPr>
          <w:p w14:paraId="00353D24">
            <w:pPr>
              <w:pStyle w:val="12"/>
            </w:pPr>
            <w:r>
              <w:t>十七、金融支出</w:t>
            </w:r>
          </w:p>
        </w:tc>
        <w:tc>
          <w:tcPr>
            <w:tcW w:w="2126" w:type="dxa"/>
            <w:vAlign w:val="center"/>
          </w:tcPr>
          <w:p w14:paraId="045D30C1">
            <w:pPr>
              <w:pStyle w:val="11"/>
            </w:pPr>
          </w:p>
        </w:tc>
      </w:tr>
      <w:tr w14:paraId="38D9E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DB86E">
            <w:pPr>
              <w:pStyle w:val="13"/>
            </w:pPr>
            <w:r>
              <w:t>18</w:t>
            </w:r>
          </w:p>
        </w:tc>
        <w:tc>
          <w:tcPr>
            <w:tcW w:w="4535" w:type="dxa"/>
            <w:vAlign w:val="center"/>
          </w:tcPr>
          <w:p w14:paraId="12BD9761">
            <w:pPr>
              <w:pStyle w:val="12"/>
            </w:pPr>
          </w:p>
        </w:tc>
        <w:tc>
          <w:tcPr>
            <w:tcW w:w="2126" w:type="dxa"/>
            <w:vAlign w:val="center"/>
          </w:tcPr>
          <w:p w14:paraId="1B44B990">
            <w:pPr>
              <w:pStyle w:val="11"/>
            </w:pPr>
          </w:p>
        </w:tc>
        <w:tc>
          <w:tcPr>
            <w:tcW w:w="4535" w:type="dxa"/>
            <w:vAlign w:val="center"/>
          </w:tcPr>
          <w:p w14:paraId="095183CF">
            <w:pPr>
              <w:pStyle w:val="12"/>
            </w:pPr>
            <w:r>
              <w:t>十八、援助其他地区支出</w:t>
            </w:r>
          </w:p>
        </w:tc>
        <w:tc>
          <w:tcPr>
            <w:tcW w:w="2126" w:type="dxa"/>
            <w:vAlign w:val="center"/>
          </w:tcPr>
          <w:p w14:paraId="1A69D528">
            <w:pPr>
              <w:pStyle w:val="11"/>
            </w:pPr>
          </w:p>
        </w:tc>
      </w:tr>
      <w:tr w14:paraId="7CAD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192E">
            <w:pPr>
              <w:pStyle w:val="13"/>
            </w:pPr>
            <w:r>
              <w:t>19</w:t>
            </w:r>
          </w:p>
        </w:tc>
        <w:tc>
          <w:tcPr>
            <w:tcW w:w="4535" w:type="dxa"/>
            <w:vAlign w:val="center"/>
          </w:tcPr>
          <w:p w14:paraId="5F349835">
            <w:pPr>
              <w:pStyle w:val="12"/>
            </w:pPr>
          </w:p>
        </w:tc>
        <w:tc>
          <w:tcPr>
            <w:tcW w:w="2126" w:type="dxa"/>
            <w:vAlign w:val="center"/>
          </w:tcPr>
          <w:p w14:paraId="1F8F1F0B">
            <w:pPr>
              <w:pStyle w:val="11"/>
            </w:pPr>
          </w:p>
        </w:tc>
        <w:tc>
          <w:tcPr>
            <w:tcW w:w="4535" w:type="dxa"/>
            <w:vAlign w:val="center"/>
          </w:tcPr>
          <w:p w14:paraId="74255DD3">
            <w:pPr>
              <w:pStyle w:val="12"/>
            </w:pPr>
            <w:r>
              <w:t>十九、自然资源海洋气象等支出</w:t>
            </w:r>
          </w:p>
        </w:tc>
        <w:tc>
          <w:tcPr>
            <w:tcW w:w="2126" w:type="dxa"/>
            <w:vAlign w:val="center"/>
          </w:tcPr>
          <w:p w14:paraId="16B6979F">
            <w:pPr>
              <w:pStyle w:val="11"/>
            </w:pPr>
          </w:p>
        </w:tc>
      </w:tr>
      <w:tr w14:paraId="6F72C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F0203">
            <w:pPr>
              <w:pStyle w:val="13"/>
            </w:pPr>
            <w:r>
              <w:t>20</w:t>
            </w:r>
          </w:p>
        </w:tc>
        <w:tc>
          <w:tcPr>
            <w:tcW w:w="4535" w:type="dxa"/>
            <w:vAlign w:val="center"/>
          </w:tcPr>
          <w:p w14:paraId="4AD2C6CD">
            <w:pPr>
              <w:pStyle w:val="12"/>
            </w:pPr>
          </w:p>
        </w:tc>
        <w:tc>
          <w:tcPr>
            <w:tcW w:w="2126" w:type="dxa"/>
            <w:vAlign w:val="center"/>
          </w:tcPr>
          <w:p w14:paraId="3FDEBC2A">
            <w:pPr>
              <w:pStyle w:val="11"/>
            </w:pPr>
          </w:p>
        </w:tc>
        <w:tc>
          <w:tcPr>
            <w:tcW w:w="4535" w:type="dxa"/>
            <w:vAlign w:val="center"/>
          </w:tcPr>
          <w:p w14:paraId="645C9D10">
            <w:pPr>
              <w:pStyle w:val="12"/>
            </w:pPr>
            <w:r>
              <w:t>二十、住房保障支出</w:t>
            </w:r>
          </w:p>
        </w:tc>
        <w:tc>
          <w:tcPr>
            <w:tcW w:w="2126" w:type="dxa"/>
            <w:vAlign w:val="center"/>
          </w:tcPr>
          <w:p w14:paraId="01EB825D">
            <w:pPr>
              <w:pStyle w:val="11"/>
            </w:pPr>
          </w:p>
        </w:tc>
      </w:tr>
      <w:tr w14:paraId="1423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2200F">
            <w:pPr>
              <w:pStyle w:val="13"/>
            </w:pPr>
            <w:r>
              <w:t>21</w:t>
            </w:r>
          </w:p>
        </w:tc>
        <w:tc>
          <w:tcPr>
            <w:tcW w:w="4535" w:type="dxa"/>
            <w:vAlign w:val="center"/>
          </w:tcPr>
          <w:p w14:paraId="14E54C3C">
            <w:pPr>
              <w:pStyle w:val="12"/>
            </w:pPr>
          </w:p>
        </w:tc>
        <w:tc>
          <w:tcPr>
            <w:tcW w:w="2126" w:type="dxa"/>
            <w:vAlign w:val="center"/>
          </w:tcPr>
          <w:p w14:paraId="426D5D37">
            <w:pPr>
              <w:pStyle w:val="11"/>
            </w:pPr>
          </w:p>
        </w:tc>
        <w:tc>
          <w:tcPr>
            <w:tcW w:w="4535" w:type="dxa"/>
            <w:vAlign w:val="center"/>
          </w:tcPr>
          <w:p w14:paraId="0FE5023B">
            <w:pPr>
              <w:pStyle w:val="12"/>
            </w:pPr>
            <w:r>
              <w:t>二十一、粮油物资储备支出</w:t>
            </w:r>
          </w:p>
        </w:tc>
        <w:tc>
          <w:tcPr>
            <w:tcW w:w="2126" w:type="dxa"/>
            <w:vAlign w:val="center"/>
          </w:tcPr>
          <w:p w14:paraId="36474946">
            <w:pPr>
              <w:pStyle w:val="11"/>
            </w:pPr>
          </w:p>
        </w:tc>
      </w:tr>
      <w:tr w14:paraId="1A7A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95D4B">
            <w:pPr>
              <w:pStyle w:val="13"/>
            </w:pPr>
            <w:r>
              <w:t>22</w:t>
            </w:r>
          </w:p>
        </w:tc>
        <w:tc>
          <w:tcPr>
            <w:tcW w:w="4535" w:type="dxa"/>
            <w:vAlign w:val="center"/>
          </w:tcPr>
          <w:p w14:paraId="19FD8C6E">
            <w:pPr>
              <w:pStyle w:val="12"/>
            </w:pPr>
          </w:p>
        </w:tc>
        <w:tc>
          <w:tcPr>
            <w:tcW w:w="2126" w:type="dxa"/>
            <w:vAlign w:val="center"/>
          </w:tcPr>
          <w:p w14:paraId="294A1AAA">
            <w:pPr>
              <w:pStyle w:val="11"/>
            </w:pPr>
          </w:p>
        </w:tc>
        <w:tc>
          <w:tcPr>
            <w:tcW w:w="4535" w:type="dxa"/>
            <w:vAlign w:val="center"/>
          </w:tcPr>
          <w:p w14:paraId="7C1CC203">
            <w:pPr>
              <w:pStyle w:val="12"/>
            </w:pPr>
            <w:r>
              <w:t>二十二、国有资本经营预算支出</w:t>
            </w:r>
          </w:p>
        </w:tc>
        <w:tc>
          <w:tcPr>
            <w:tcW w:w="2126" w:type="dxa"/>
            <w:vAlign w:val="center"/>
          </w:tcPr>
          <w:p w14:paraId="2AE42F9F">
            <w:pPr>
              <w:pStyle w:val="11"/>
            </w:pPr>
          </w:p>
        </w:tc>
      </w:tr>
      <w:tr w14:paraId="1BE4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8F312">
            <w:pPr>
              <w:pStyle w:val="13"/>
            </w:pPr>
            <w:r>
              <w:t>23</w:t>
            </w:r>
          </w:p>
        </w:tc>
        <w:tc>
          <w:tcPr>
            <w:tcW w:w="4535" w:type="dxa"/>
            <w:vAlign w:val="center"/>
          </w:tcPr>
          <w:p w14:paraId="4D886780">
            <w:pPr>
              <w:pStyle w:val="12"/>
            </w:pPr>
          </w:p>
        </w:tc>
        <w:tc>
          <w:tcPr>
            <w:tcW w:w="2126" w:type="dxa"/>
            <w:vAlign w:val="center"/>
          </w:tcPr>
          <w:p w14:paraId="0860DA5E">
            <w:pPr>
              <w:pStyle w:val="11"/>
            </w:pPr>
          </w:p>
        </w:tc>
        <w:tc>
          <w:tcPr>
            <w:tcW w:w="4535" w:type="dxa"/>
            <w:vAlign w:val="center"/>
          </w:tcPr>
          <w:p w14:paraId="2837B612">
            <w:pPr>
              <w:pStyle w:val="12"/>
            </w:pPr>
            <w:r>
              <w:t>二十三、灾害防治及应急管理支出</w:t>
            </w:r>
          </w:p>
        </w:tc>
        <w:tc>
          <w:tcPr>
            <w:tcW w:w="2126" w:type="dxa"/>
            <w:vAlign w:val="center"/>
          </w:tcPr>
          <w:p w14:paraId="4529003A">
            <w:pPr>
              <w:pStyle w:val="11"/>
            </w:pPr>
          </w:p>
        </w:tc>
      </w:tr>
      <w:tr w14:paraId="76BF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877B8">
            <w:pPr>
              <w:pStyle w:val="13"/>
            </w:pPr>
            <w:r>
              <w:t>24</w:t>
            </w:r>
          </w:p>
        </w:tc>
        <w:tc>
          <w:tcPr>
            <w:tcW w:w="4535" w:type="dxa"/>
            <w:vAlign w:val="center"/>
          </w:tcPr>
          <w:p w14:paraId="383352DB">
            <w:pPr>
              <w:pStyle w:val="12"/>
            </w:pPr>
          </w:p>
        </w:tc>
        <w:tc>
          <w:tcPr>
            <w:tcW w:w="2126" w:type="dxa"/>
            <w:vAlign w:val="center"/>
          </w:tcPr>
          <w:p w14:paraId="440E64AB">
            <w:pPr>
              <w:pStyle w:val="11"/>
            </w:pPr>
          </w:p>
        </w:tc>
        <w:tc>
          <w:tcPr>
            <w:tcW w:w="4535" w:type="dxa"/>
            <w:vAlign w:val="center"/>
          </w:tcPr>
          <w:p w14:paraId="3F4AD2E6">
            <w:pPr>
              <w:pStyle w:val="12"/>
            </w:pPr>
            <w:r>
              <w:t>二十四、预备费</w:t>
            </w:r>
          </w:p>
        </w:tc>
        <w:tc>
          <w:tcPr>
            <w:tcW w:w="2126" w:type="dxa"/>
            <w:vAlign w:val="center"/>
          </w:tcPr>
          <w:p w14:paraId="037FDDB9">
            <w:pPr>
              <w:pStyle w:val="11"/>
            </w:pPr>
          </w:p>
        </w:tc>
      </w:tr>
      <w:tr w14:paraId="51719D77">
        <w:tblPrEx>
          <w:tblCellMar>
            <w:top w:w="0" w:type="dxa"/>
            <w:left w:w="108" w:type="dxa"/>
            <w:bottom w:w="0" w:type="dxa"/>
            <w:right w:w="108" w:type="dxa"/>
          </w:tblCellMar>
        </w:tblPrEx>
        <w:trPr>
          <w:trHeight w:val="369" w:hRule="atLeast"/>
          <w:jc w:val="center"/>
        </w:trPr>
        <w:tc>
          <w:tcPr>
            <w:tcW w:w="850" w:type="dxa"/>
            <w:vAlign w:val="center"/>
          </w:tcPr>
          <w:p w14:paraId="2F71ABC1">
            <w:pPr>
              <w:pStyle w:val="13"/>
            </w:pPr>
            <w:r>
              <w:t>25</w:t>
            </w:r>
          </w:p>
        </w:tc>
        <w:tc>
          <w:tcPr>
            <w:tcW w:w="4535" w:type="dxa"/>
            <w:vAlign w:val="center"/>
          </w:tcPr>
          <w:p w14:paraId="7FCD23AB">
            <w:pPr>
              <w:pStyle w:val="12"/>
            </w:pPr>
          </w:p>
        </w:tc>
        <w:tc>
          <w:tcPr>
            <w:tcW w:w="2126" w:type="dxa"/>
            <w:vAlign w:val="center"/>
          </w:tcPr>
          <w:p w14:paraId="2010F8CB">
            <w:pPr>
              <w:pStyle w:val="11"/>
            </w:pPr>
          </w:p>
        </w:tc>
        <w:tc>
          <w:tcPr>
            <w:tcW w:w="4535" w:type="dxa"/>
            <w:vAlign w:val="center"/>
          </w:tcPr>
          <w:p w14:paraId="7D48E7F5">
            <w:pPr>
              <w:pStyle w:val="12"/>
            </w:pPr>
            <w:r>
              <w:t>二十五、其他支出</w:t>
            </w:r>
          </w:p>
        </w:tc>
        <w:tc>
          <w:tcPr>
            <w:tcW w:w="2126" w:type="dxa"/>
            <w:vAlign w:val="center"/>
          </w:tcPr>
          <w:p w14:paraId="3AB10270">
            <w:pPr>
              <w:pStyle w:val="11"/>
            </w:pPr>
          </w:p>
        </w:tc>
      </w:tr>
      <w:tr w14:paraId="64EF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21DC">
            <w:pPr>
              <w:pStyle w:val="13"/>
            </w:pPr>
            <w:r>
              <w:t>26</w:t>
            </w:r>
          </w:p>
        </w:tc>
        <w:tc>
          <w:tcPr>
            <w:tcW w:w="4535" w:type="dxa"/>
            <w:vAlign w:val="center"/>
          </w:tcPr>
          <w:p w14:paraId="75348FF1">
            <w:pPr>
              <w:pStyle w:val="12"/>
            </w:pPr>
          </w:p>
        </w:tc>
        <w:tc>
          <w:tcPr>
            <w:tcW w:w="2126" w:type="dxa"/>
            <w:vAlign w:val="center"/>
          </w:tcPr>
          <w:p w14:paraId="52D867EE">
            <w:pPr>
              <w:pStyle w:val="11"/>
            </w:pPr>
          </w:p>
        </w:tc>
        <w:tc>
          <w:tcPr>
            <w:tcW w:w="4535" w:type="dxa"/>
            <w:vAlign w:val="center"/>
          </w:tcPr>
          <w:p w14:paraId="293C4222">
            <w:pPr>
              <w:pStyle w:val="12"/>
            </w:pPr>
            <w:r>
              <w:t>二十六、转移性支出</w:t>
            </w:r>
          </w:p>
        </w:tc>
        <w:tc>
          <w:tcPr>
            <w:tcW w:w="2126" w:type="dxa"/>
            <w:vAlign w:val="center"/>
          </w:tcPr>
          <w:p w14:paraId="576C6831">
            <w:pPr>
              <w:pStyle w:val="11"/>
            </w:pPr>
          </w:p>
        </w:tc>
      </w:tr>
      <w:tr w14:paraId="3B9A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7B6A3">
            <w:pPr>
              <w:pStyle w:val="13"/>
            </w:pPr>
            <w:r>
              <w:t>27</w:t>
            </w:r>
          </w:p>
        </w:tc>
        <w:tc>
          <w:tcPr>
            <w:tcW w:w="4535" w:type="dxa"/>
            <w:vAlign w:val="center"/>
          </w:tcPr>
          <w:p w14:paraId="6EEA4A70">
            <w:pPr>
              <w:pStyle w:val="12"/>
            </w:pPr>
          </w:p>
        </w:tc>
        <w:tc>
          <w:tcPr>
            <w:tcW w:w="2126" w:type="dxa"/>
            <w:vAlign w:val="center"/>
          </w:tcPr>
          <w:p w14:paraId="21D516E1">
            <w:pPr>
              <w:pStyle w:val="11"/>
            </w:pPr>
          </w:p>
        </w:tc>
        <w:tc>
          <w:tcPr>
            <w:tcW w:w="4535" w:type="dxa"/>
            <w:vAlign w:val="center"/>
          </w:tcPr>
          <w:p w14:paraId="6321F79D">
            <w:pPr>
              <w:pStyle w:val="12"/>
            </w:pPr>
            <w:r>
              <w:t>二十七、债务还本支出</w:t>
            </w:r>
          </w:p>
        </w:tc>
        <w:tc>
          <w:tcPr>
            <w:tcW w:w="2126" w:type="dxa"/>
            <w:vAlign w:val="center"/>
          </w:tcPr>
          <w:p w14:paraId="2EC901E2">
            <w:pPr>
              <w:pStyle w:val="11"/>
            </w:pPr>
          </w:p>
        </w:tc>
      </w:tr>
      <w:tr w14:paraId="0B79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B813A">
            <w:pPr>
              <w:pStyle w:val="13"/>
            </w:pPr>
            <w:r>
              <w:t>28</w:t>
            </w:r>
          </w:p>
        </w:tc>
        <w:tc>
          <w:tcPr>
            <w:tcW w:w="4535" w:type="dxa"/>
            <w:vAlign w:val="center"/>
          </w:tcPr>
          <w:p w14:paraId="0230BB9D">
            <w:pPr>
              <w:pStyle w:val="12"/>
            </w:pPr>
          </w:p>
        </w:tc>
        <w:tc>
          <w:tcPr>
            <w:tcW w:w="2126" w:type="dxa"/>
            <w:vAlign w:val="center"/>
          </w:tcPr>
          <w:p w14:paraId="72C89FD7">
            <w:pPr>
              <w:pStyle w:val="11"/>
            </w:pPr>
          </w:p>
        </w:tc>
        <w:tc>
          <w:tcPr>
            <w:tcW w:w="4535" w:type="dxa"/>
            <w:vAlign w:val="center"/>
          </w:tcPr>
          <w:p w14:paraId="2CB093D3">
            <w:pPr>
              <w:pStyle w:val="12"/>
            </w:pPr>
            <w:r>
              <w:t>二十八、债务付息支出</w:t>
            </w:r>
          </w:p>
        </w:tc>
        <w:tc>
          <w:tcPr>
            <w:tcW w:w="2126" w:type="dxa"/>
            <w:vAlign w:val="center"/>
          </w:tcPr>
          <w:p w14:paraId="4B9571F1">
            <w:pPr>
              <w:pStyle w:val="11"/>
            </w:pPr>
          </w:p>
        </w:tc>
      </w:tr>
      <w:tr w14:paraId="77E2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D60B9">
            <w:pPr>
              <w:pStyle w:val="13"/>
            </w:pPr>
            <w:r>
              <w:t>29</w:t>
            </w:r>
          </w:p>
        </w:tc>
        <w:tc>
          <w:tcPr>
            <w:tcW w:w="4535" w:type="dxa"/>
            <w:vAlign w:val="center"/>
          </w:tcPr>
          <w:p w14:paraId="3ACACBB3">
            <w:pPr>
              <w:pStyle w:val="12"/>
            </w:pPr>
          </w:p>
        </w:tc>
        <w:tc>
          <w:tcPr>
            <w:tcW w:w="2126" w:type="dxa"/>
            <w:vAlign w:val="center"/>
          </w:tcPr>
          <w:p w14:paraId="6D7008AC">
            <w:pPr>
              <w:pStyle w:val="11"/>
            </w:pPr>
          </w:p>
        </w:tc>
        <w:tc>
          <w:tcPr>
            <w:tcW w:w="4535" w:type="dxa"/>
            <w:vAlign w:val="center"/>
          </w:tcPr>
          <w:p w14:paraId="3D2D55D8">
            <w:pPr>
              <w:pStyle w:val="12"/>
            </w:pPr>
            <w:r>
              <w:t>二十九、债务发行费用支出</w:t>
            </w:r>
          </w:p>
        </w:tc>
        <w:tc>
          <w:tcPr>
            <w:tcW w:w="2126" w:type="dxa"/>
            <w:vAlign w:val="center"/>
          </w:tcPr>
          <w:p w14:paraId="38507507">
            <w:pPr>
              <w:pStyle w:val="11"/>
            </w:pPr>
          </w:p>
        </w:tc>
      </w:tr>
      <w:tr w14:paraId="2FB1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A941">
            <w:pPr>
              <w:pStyle w:val="13"/>
            </w:pPr>
            <w:r>
              <w:t>30</w:t>
            </w:r>
          </w:p>
        </w:tc>
        <w:tc>
          <w:tcPr>
            <w:tcW w:w="4535" w:type="dxa"/>
            <w:vAlign w:val="center"/>
          </w:tcPr>
          <w:p w14:paraId="777B4C66">
            <w:pPr>
              <w:pStyle w:val="12"/>
            </w:pPr>
          </w:p>
        </w:tc>
        <w:tc>
          <w:tcPr>
            <w:tcW w:w="2126" w:type="dxa"/>
            <w:vAlign w:val="center"/>
          </w:tcPr>
          <w:p w14:paraId="3968E8EA">
            <w:pPr>
              <w:pStyle w:val="11"/>
            </w:pPr>
          </w:p>
        </w:tc>
        <w:tc>
          <w:tcPr>
            <w:tcW w:w="4535" w:type="dxa"/>
            <w:vAlign w:val="center"/>
          </w:tcPr>
          <w:p w14:paraId="3E5BB27A">
            <w:pPr>
              <w:pStyle w:val="12"/>
            </w:pPr>
            <w:r>
              <w:t>三十、抗疫特别国债安排的支出</w:t>
            </w:r>
          </w:p>
        </w:tc>
        <w:tc>
          <w:tcPr>
            <w:tcW w:w="2126" w:type="dxa"/>
            <w:vAlign w:val="center"/>
          </w:tcPr>
          <w:p w14:paraId="4B79C5F6">
            <w:pPr>
              <w:pStyle w:val="11"/>
            </w:pPr>
          </w:p>
        </w:tc>
      </w:tr>
      <w:tr w14:paraId="5631D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4AA6D">
            <w:pPr>
              <w:pStyle w:val="13"/>
            </w:pPr>
            <w:r>
              <w:t>31</w:t>
            </w:r>
          </w:p>
        </w:tc>
        <w:tc>
          <w:tcPr>
            <w:tcW w:w="4535" w:type="dxa"/>
            <w:vAlign w:val="center"/>
          </w:tcPr>
          <w:p w14:paraId="094E0754">
            <w:pPr>
              <w:pStyle w:val="14"/>
            </w:pPr>
            <w:r>
              <w:t>本年收入合计</w:t>
            </w:r>
          </w:p>
        </w:tc>
        <w:tc>
          <w:tcPr>
            <w:tcW w:w="2126" w:type="dxa"/>
            <w:vAlign w:val="center"/>
          </w:tcPr>
          <w:p w14:paraId="6E96097D">
            <w:pPr>
              <w:pStyle w:val="15"/>
            </w:pPr>
            <w:r>
              <w:t>3508.17</w:t>
            </w:r>
          </w:p>
        </w:tc>
        <w:tc>
          <w:tcPr>
            <w:tcW w:w="4535" w:type="dxa"/>
            <w:vAlign w:val="center"/>
          </w:tcPr>
          <w:p w14:paraId="36D1A39B">
            <w:pPr>
              <w:pStyle w:val="14"/>
            </w:pPr>
            <w:r>
              <w:t>本年支出合计</w:t>
            </w:r>
          </w:p>
        </w:tc>
        <w:tc>
          <w:tcPr>
            <w:tcW w:w="2126" w:type="dxa"/>
            <w:vAlign w:val="center"/>
          </w:tcPr>
          <w:p w14:paraId="39901DCF">
            <w:pPr>
              <w:pStyle w:val="15"/>
            </w:pPr>
            <w:r>
              <w:t>3508.17</w:t>
            </w:r>
          </w:p>
        </w:tc>
      </w:tr>
      <w:tr w14:paraId="2659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2A688">
            <w:pPr>
              <w:pStyle w:val="13"/>
            </w:pPr>
            <w:r>
              <w:t>32</w:t>
            </w:r>
          </w:p>
        </w:tc>
        <w:tc>
          <w:tcPr>
            <w:tcW w:w="4535" w:type="dxa"/>
            <w:vAlign w:val="center"/>
          </w:tcPr>
          <w:p w14:paraId="1A5E06B6">
            <w:pPr>
              <w:pStyle w:val="12"/>
            </w:pPr>
            <w:r>
              <w:t>上年结转结余</w:t>
            </w:r>
          </w:p>
        </w:tc>
        <w:tc>
          <w:tcPr>
            <w:tcW w:w="2126" w:type="dxa"/>
            <w:vAlign w:val="center"/>
          </w:tcPr>
          <w:p w14:paraId="78CF8671">
            <w:pPr>
              <w:pStyle w:val="11"/>
            </w:pPr>
          </w:p>
        </w:tc>
        <w:tc>
          <w:tcPr>
            <w:tcW w:w="4535" w:type="dxa"/>
            <w:vAlign w:val="center"/>
          </w:tcPr>
          <w:p w14:paraId="43787C6B">
            <w:pPr>
              <w:pStyle w:val="12"/>
            </w:pPr>
            <w:r>
              <w:t>年终结转结余</w:t>
            </w:r>
          </w:p>
        </w:tc>
        <w:tc>
          <w:tcPr>
            <w:tcW w:w="2126" w:type="dxa"/>
            <w:vAlign w:val="center"/>
          </w:tcPr>
          <w:p w14:paraId="6D2C6B62">
            <w:pPr>
              <w:pStyle w:val="11"/>
            </w:pPr>
          </w:p>
        </w:tc>
      </w:tr>
      <w:tr w14:paraId="78FB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16DB">
            <w:pPr>
              <w:pStyle w:val="13"/>
            </w:pPr>
            <w:r>
              <w:t>33</w:t>
            </w:r>
          </w:p>
        </w:tc>
        <w:tc>
          <w:tcPr>
            <w:tcW w:w="4535" w:type="dxa"/>
            <w:vAlign w:val="center"/>
          </w:tcPr>
          <w:p w14:paraId="703EA44F">
            <w:pPr>
              <w:pStyle w:val="14"/>
            </w:pPr>
            <w:r>
              <w:t>收入总计</w:t>
            </w:r>
          </w:p>
        </w:tc>
        <w:tc>
          <w:tcPr>
            <w:tcW w:w="2126" w:type="dxa"/>
            <w:vAlign w:val="center"/>
          </w:tcPr>
          <w:p w14:paraId="4E14A9D3">
            <w:pPr>
              <w:pStyle w:val="15"/>
            </w:pPr>
            <w:r>
              <w:t>3508.17</w:t>
            </w:r>
          </w:p>
        </w:tc>
        <w:tc>
          <w:tcPr>
            <w:tcW w:w="4535" w:type="dxa"/>
            <w:vAlign w:val="center"/>
          </w:tcPr>
          <w:p w14:paraId="66C0A468">
            <w:pPr>
              <w:pStyle w:val="14"/>
            </w:pPr>
            <w:r>
              <w:t>支出总计</w:t>
            </w:r>
          </w:p>
        </w:tc>
        <w:tc>
          <w:tcPr>
            <w:tcW w:w="2126" w:type="dxa"/>
            <w:vAlign w:val="center"/>
          </w:tcPr>
          <w:p w14:paraId="4132214C">
            <w:pPr>
              <w:pStyle w:val="15"/>
            </w:pPr>
            <w:r>
              <w:t>3508.17</w:t>
            </w:r>
          </w:p>
        </w:tc>
      </w:tr>
    </w:tbl>
    <w:p w14:paraId="5573AD4C">
      <w:pPr>
        <w:sectPr>
          <w:pgSz w:w="16840" w:h="11900" w:orient="landscape"/>
          <w:pgMar w:top="1361" w:right="1020" w:bottom="1134" w:left="1020" w:header="720" w:footer="720" w:gutter="0"/>
          <w:cols w:space="720" w:num="1"/>
        </w:sectPr>
      </w:pPr>
    </w:p>
    <w:p w14:paraId="39D24A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5EF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A9ABF3">
            <w:pPr>
              <w:pStyle w:val="9"/>
            </w:pPr>
            <w:r>
              <w:t>360004隆尧县尧山中学</w:t>
            </w:r>
          </w:p>
        </w:tc>
        <w:tc>
          <w:tcPr>
            <w:tcW w:w="3402" w:type="dxa"/>
            <w:gridSpan w:val="3"/>
            <w:tcBorders>
              <w:top w:val="single" w:color="FFFFFF" w:sz="6" w:space="0"/>
              <w:left w:val="single" w:color="FFFFFF" w:sz="6" w:space="0"/>
              <w:right w:val="single" w:color="FFFFFF" w:sz="6" w:space="0"/>
            </w:tcBorders>
            <w:vAlign w:val="center"/>
          </w:tcPr>
          <w:p w14:paraId="3ED779D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78DFFCF">
            <w:pPr>
              <w:pStyle w:val="7"/>
            </w:pPr>
            <w:r>
              <w:t>单位：万元</w:t>
            </w:r>
          </w:p>
        </w:tc>
      </w:tr>
      <w:tr w14:paraId="1F0F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718D44">
            <w:pPr>
              <w:pStyle w:val="10"/>
            </w:pPr>
            <w:r>
              <w:t>序号</w:t>
            </w:r>
          </w:p>
        </w:tc>
        <w:tc>
          <w:tcPr>
            <w:tcW w:w="2551" w:type="dxa"/>
            <w:gridSpan w:val="2"/>
            <w:vAlign w:val="center"/>
          </w:tcPr>
          <w:p w14:paraId="577983D3">
            <w:pPr>
              <w:pStyle w:val="10"/>
            </w:pPr>
            <w:r>
              <w:t>功能分类科目</w:t>
            </w:r>
          </w:p>
        </w:tc>
        <w:tc>
          <w:tcPr>
            <w:tcW w:w="1134" w:type="dxa"/>
            <w:vMerge w:val="restart"/>
            <w:vAlign w:val="center"/>
          </w:tcPr>
          <w:p w14:paraId="2DF80A63">
            <w:pPr>
              <w:pStyle w:val="10"/>
            </w:pPr>
            <w:r>
              <w:t>合计</w:t>
            </w:r>
          </w:p>
        </w:tc>
        <w:tc>
          <w:tcPr>
            <w:tcW w:w="9072" w:type="dxa"/>
            <w:gridSpan w:val="8"/>
            <w:vAlign w:val="center"/>
          </w:tcPr>
          <w:p w14:paraId="6028D465">
            <w:pPr>
              <w:pStyle w:val="10"/>
            </w:pPr>
            <w:r>
              <w:t>本年收入</w:t>
            </w:r>
          </w:p>
        </w:tc>
        <w:tc>
          <w:tcPr>
            <w:tcW w:w="1134" w:type="dxa"/>
            <w:vMerge w:val="restart"/>
            <w:vAlign w:val="center"/>
          </w:tcPr>
          <w:p w14:paraId="6F324358">
            <w:pPr>
              <w:pStyle w:val="10"/>
            </w:pPr>
            <w:r>
              <w:t>上年结转</w:t>
            </w:r>
          </w:p>
        </w:tc>
      </w:tr>
      <w:tr w14:paraId="29CA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276297"/>
        </w:tc>
        <w:tc>
          <w:tcPr>
            <w:tcW w:w="992" w:type="dxa"/>
            <w:vAlign w:val="center"/>
          </w:tcPr>
          <w:p w14:paraId="57578C96">
            <w:pPr>
              <w:pStyle w:val="10"/>
            </w:pPr>
            <w:r>
              <w:t>科目    编码</w:t>
            </w:r>
          </w:p>
        </w:tc>
        <w:tc>
          <w:tcPr>
            <w:tcW w:w="1559" w:type="dxa"/>
            <w:vAlign w:val="center"/>
          </w:tcPr>
          <w:p w14:paraId="247F087D">
            <w:pPr>
              <w:pStyle w:val="10"/>
            </w:pPr>
            <w:r>
              <w:t>科目名称</w:t>
            </w:r>
          </w:p>
        </w:tc>
        <w:tc>
          <w:tcPr>
            <w:tcW w:w="1134" w:type="dxa"/>
            <w:vMerge w:val="continue"/>
          </w:tcPr>
          <w:p w14:paraId="141B1685"/>
        </w:tc>
        <w:tc>
          <w:tcPr>
            <w:tcW w:w="1134" w:type="dxa"/>
            <w:vAlign w:val="center"/>
          </w:tcPr>
          <w:p w14:paraId="43E1C007">
            <w:pPr>
              <w:pStyle w:val="10"/>
            </w:pPr>
            <w:r>
              <w:t>小计</w:t>
            </w:r>
          </w:p>
        </w:tc>
        <w:tc>
          <w:tcPr>
            <w:tcW w:w="1134" w:type="dxa"/>
            <w:vAlign w:val="center"/>
          </w:tcPr>
          <w:p w14:paraId="33BC0BC7">
            <w:pPr>
              <w:pStyle w:val="10"/>
            </w:pPr>
            <w:r>
              <w:t>财政拨款 收入</w:t>
            </w:r>
          </w:p>
        </w:tc>
        <w:tc>
          <w:tcPr>
            <w:tcW w:w="1134" w:type="dxa"/>
            <w:vAlign w:val="center"/>
          </w:tcPr>
          <w:p w14:paraId="355024A5">
            <w:pPr>
              <w:pStyle w:val="10"/>
            </w:pPr>
            <w:r>
              <w:t>财政专户 收入</w:t>
            </w:r>
          </w:p>
        </w:tc>
        <w:tc>
          <w:tcPr>
            <w:tcW w:w="1134" w:type="dxa"/>
            <w:vAlign w:val="center"/>
          </w:tcPr>
          <w:p w14:paraId="61E2F02E">
            <w:pPr>
              <w:pStyle w:val="10"/>
            </w:pPr>
            <w:r>
              <w:t>事业收入</w:t>
            </w:r>
          </w:p>
        </w:tc>
        <w:tc>
          <w:tcPr>
            <w:tcW w:w="1134" w:type="dxa"/>
            <w:vAlign w:val="center"/>
          </w:tcPr>
          <w:p w14:paraId="2DDB52B9">
            <w:pPr>
              <w:pStyle w:val="10"/>
            </w:pPr>
            <w:r>
              <w:t>经营收入</w:t>
            </w:r>
          </w:p>
        </w:tc>
        <w:tc>
          <w:tcPr>
            <w:tcW w:w="1134" w:type="dxa"/>
            <w:vAlign w:val="center"/>
          </w:tcPr>
          <w:p w14:paraId="727C3D39">
            <w:pPr>
              <w:pStyle w:val="10"/>
            </w:pPr>
            <w:r>
              <w:t>上级补助收入</w:t>
            </w:r>
          </w:p>
        </w:tc>
        <w:tc>
          <w:tcPr>
            <w:tcW w:w="1134" w:type="dxa"/>
            <w:vAlign w:val="center"/>
          </w:tcPr>
          <w:p w14:paraId="3E39F901">
            <w:pPr>
              <w:pStyle w:val="10"/>
            </w:pPr>
            <w:r>
              <w:t>附属单位上缴收入</w:t>
            </w:r>
          </w:p>
        </w:tc>
        <w:tc>
          <w:tcPr>
            <w:tcW w:w="1134" w:type="dxa"/>
            <w:vAlign w:val="center"/>
          </w:tcPr>
          <w:p w14:paraId="72ECE3F5">
            <w:pPr>
              <w:pStyle w:val="10"/>
            </w:pPr>
            <w:r>
              <w:t>其他收入</w:t>
            </w:r>
          </w:p>
        </w:tc>
        <w:tc>
          <w:tcPr>
            <w:tcW w:w="1134" w:type="dxa"/>
            <w:vMerge w:val="continue"/>
          </w:tcPr>
          <w:p w14:paraId="781B3BA0"/>
        </w:tc>
      </w:tr>
      <w:tr w14:paraId="076C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D018A2">
            <w:pPr>
              <w:pStyle w:val="10"/>
            </w:pPr>
            <w:r>
              <w:t>栏次</w:t>
            </w:r>
          </w:p>
        </w:tc>
        <w:tc>
          <w:tcPr>
            <w:tcW w:w="992" w:type="dxa"/>
            <w:vAlign w:val="center"/>
          </w:tcPr>
          <w:p w14:paraId="06C79060">
            <w:pPr>
              <w:pStyle w:val="10"/>
            </w:pPr>
            <w:r>
              <w:t>1</w:t>
            </w:r>
          </w:p>
        </w:tc>
        <w:tc>
          <w:tcPr>
            <w:tcW w:w="1559" w:type="dxa"/>
            <w:vAlign w:val="center"/>
          </w:tcPr>
          <w:p w14:paraId="44E2437C">
            <w:pPr>
              <w:pStyle w:val="10"/>
            </w:pPr>
            <w:r>
              <w:t>2</w:t>
            </w:r>
          </w:p>
        </w:tc>
        <w:tc>
          <w:tcPr>
            <w:tcW w:w="1134" w:type="dxa"/>
            <w:vAlign w:val="center"/>
          </w:tcPr>
          <w:p w14:paraId="1820DF7C">
            <w:pPr>
              <w:pStyle w:val="10"/>
            </w:pPr>
            <w:r>
              <w:t>3</w:t>
            </w:r>
          </w:p>
        </w:tc>
        <w:tc>
          <w:tcPr>
            <w:tcW w:w="1134" w:type="dxa"/>
            <w:vAlign w:val="center"/>
          </w:tcPr>
          <w:p w14:paraId="28D37B49">
            <w:pPr>
              <w:pStyle w:val="10"/>
            </w:pPr>
            <w:r>
              <w:t>4</w:t>
            </w:r>
          </w:p>
        </w:tc>
        <w:tc>
          <w:tcPr>
            <w:tcW w:w="1134" w:type="dxa"/>
            <w:vAlign w:val="center"/>
          </w:tcPr>
          <w:p w14:paraId="5F52946D">
            <w:pPr>
              <w:pStyle w:val="10"/>
            </w:pPr>
            <w:r>
              <w:t>5</w:t>
            </w:r>
          </w:p>
        </w:tc>
        <w:tc>
          <w:tcPr>
            <w:tcW w:w="1134" w:type="dxa"/>
            <w:vAlign w:val="center"/>
          </w:tcPr>
          <w:p w14:paraId="7F59F3E7">
            <w:pPr>
              <w:pStyle w:val="10"/>
            </w:pPr>
            <w:r>
              <w:t>6</w:t>
            </w:r>
          </w:p>
        </w:tc>
        <w:tc>
          <w:tcPr>
            <w:tcW w:w="1134" w:type="dxa"/>
            <w:vAlign w:val="center"/>
          </w:tcPr>
          <w:p w14:paraId="245904EF">
            <w:pPr>
              <w:pStyle w:val="10"/>
            </w:pPr>
            <w:r>
              <w:t>7</w:t>
            </w:r>
          </w:p>
        </w:tc>
        <w:tc>
          <w:tcPr>
            <w:tcW w:w="1134" w:type="dxa"/>
            <w:vAlign w:val="center"/>
          </w:tcPr>
          <w:p w14:paraId="164F7D7D">
            <w:pPr>
              <w:pStyle w:val="10"/>
            </w:pPr>
            <w:r>
              <w:t>8</w:t>
            </w:r>
          </w:p>
        </w:tc>
        <w:tc>
          <w:tcPr>
            <w:tcW w:w="1134" w:type="dxa"/>
            <w:vAlign w:val="center"/>
          </w:tcPr>
          <w:p w14:paraId="6E3A3499">
            <w:pPr>
              <w:pStyle w:val="10"/>
            </w:pPr>
            <w:r>
              <w:t>9</w:t>
            </w:r>
          </w:p>
        </w:tc>
        <w:tc>
          <w:tcPr>
            <w:tcW w:w="1134" w:type="dxa"/>
            <w:vAlign w:val="center"/>
          </w:tcPr>
          <w:p w14:paraId="6AD05DD1">
            <w:pPr>
              <w:pStyle w:val="10"/>
            </w:pPr>
            <w:r>
              <w:t>10</w:t>
            </w:r>
          </w:p>
        </w:tc>
        <w:tc>
          <w:tcPr>
            <w:tcW w:w="1134" w:type="dxa"/>
            <w:vAlign w:val="center"/>
          </w:tcPr>
          <w:p w14:paraId="49728CD8">
            <w:pPr>
              <w:pStyle w:val="10"/>
            </w:pPr>
            <w:r>
              <w:t>11</w:t>
            </w:r>
          </w:p>
        </w:tc>
        <w:tc>
          <w:tcPr>
            <w:tcW w:w="1134" w:type="dxa"/>
            <w:vAlign w:val="center"/>
          </w:tcPr>
          <w:p w14:paraId="0FF644B6">
            <w:pPr>
              <w:pStyle w:val="10"/>
            </w:pPr>
            <w:r>
              <w:t>12</w:t>
            </w:r>
          </w:p>
        </w:tc>
      </w:tr>
      <w:tr w14:paraId="5FD2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CBC0B">
            <w:pPr>
              <w:pStyle w:val="13"/>
            </w:pPr>
            <w:r>
              <w:t>1</w:t>
            </w:r>
          </w:p>
        </w:tc>
        <w:tc>
          <w:tcPr>
            <w:tcW w:w="992" w:type="dxa"/>
            <w:vAlign w:val="center"/>
          </w:tcPr>
          <w:p w14:paraId="22287689">
            <w:pPr>
              <w:pStyle w:val="16"/>
            </w:pPr>
          </w:p>
        </w:tc>
        <w:tc>
          <w:tcPr>
            <w:tcW w:w="1559" w:type="dxa"/>
            <w:vAlign w:val="center"/>
          </w:tcPr>
          <w:p w14:paraId="6D64BB74">
            <w:pPr>
              <w:pStyle w:val="14"/>
            </w:pPr>
            <w:r>
              <w:t>合计</w:t>
            </w:r>
          </w:p>
        </w:tc>
        <w:tc>
          <w:tcPr>
            <w:tcW w:w="1134" w:type="dxa"/>
            <w:vAlign w:val="center"/>
          </w:tcPr>
          <w:p w14:paraId="0B3BCA26">
            <w:pPr>
              <w:pStyle w:val="15"/>
            </w:pPr>
            <w:r>
              <w:t>3508.17</w:t>
            </w:r>
          </w:p>
        </w:tc>
        <w:tc>
          <w:tcPr>
            <w:tcW w:w="1134" w:type="dxa"/>
            <w:vAlign w:val="center"/>
          </w:tcPr>
          <w:p w14:paraId="2415C7E6">
            <w:pPr>
              <w:pStyle w:val="15"/>
            </w:pPr>
            <w:r>
              <w:t>3508.17</w:t>
            </w:r>
          </w:p>
        </w:tc>
        <w:tc>
          <w:tcPr>
            <w:tcW w:w="1134" w:type="dxa"/>
            <w:vAlign w:val="center"/>
          </w:tcPr>
          <w:p w14:paraId="59AE9244">
            <w:pPr>
              <w:pStyle w:val="15"/>
            </w:pPr>
            <w:r>
              <w:t>3508.17</w:t>
            </w:r>
          </w:p>
        </w:tc>
        <w:tc>
          <w:tcPr>
            <w:tcW w:w="1134" w:type="dxa"/>
            <w:vAlign w:val="center"/>
          </w:tcPr>
          <w:p w14:paraId="5B0D55AF">
            <w:pPr>
              <w:pStyle w:val="15"/>
            </w:pPr>
          </w:p>
        </w:tc>
        <w:tc>
          <w:tcPr>
            <w:tcW w:w="1134" w:type="dxa"/>
            <w:vAlign w:val="center"/>
          </w:tcPr>
          <w:p w14:paraId="3BAE7FE3">
            <w:pPr>
              <w:pStyle w:val="15"/>
            </w:pPr>
          </w:p>
        </w:tc>
        <w:tc>
          <w:tcPr>
            <w:tcW w:w="1134" w:type="dxa"/>
            <w:vAlign w:val="center"/>
          </w:tcPr>
          <w:p w14:paraId="5070B954">
            <w:pPr>
              <w:pStyle w:val="15"/>
            </w:pPr>
          </w:p>
        </w:tc>
        <w:tc>
          <w:tcPr>
            <w:tcW w:w="1134" w:type="dxa"/>
            <w:vAlign w:val="center"/>
          </w:tcPr>
          <w:p w14:paraId="2DFDF5C4">
            <w:pPr>
              <w:pStyle w:val="15"/>
            </w:pPr>
          </w:p>
        </w:tc>
        <w:tc>
          <w:tcPr>
            <w:tcW w:w="1134" w:type="dxa"/>
            <w:vAlign w:val="center"/>
          </w:tcPr>
          <w:p w14:paraId="0302E97B">
            <w:pPr>
              <w:pStyle w:val="15"/>
            </w:pPr>
          </w:p>
        </w:tc>
        <w:tc>
          <w:tcPr>
            <w:tcW w:w="1134" w:type="dxa"/>
            <w:vAlign w:val="center"/>
          </w:tcPr>
          <w:p w14:paraId="5AE4501B">
            <w:pPr>
              <w:pStyle w:val="15"/>
            </w:pPr>
          </w:p>
        </w:tc>
        <w:tc>
          <w:tcPr>
            <w:tcW w:w="1134" w:type="dxa"/>
            <w:vAlign w:val="center"/>
          </w:tcPr>
          <w:p w14:paraId="0E0D783C">
            <w:pPr>
              <w:pStyle w:val="15"/>
            </w:pPr>
          </w:p>
        </w:tc>
      </w:tr>
      <w:tr w14:paraId="153E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D0D0F">
            <w:pPr>
              <w:pStyle w:val="13"/>
            </w:pPr>
            <w:r>
              <w:t>2</w:t>
            </w:r>
          </w:p>
        </w:tc>
        <w:tc>
          <w:tcPr>
            <w:tcW w:w="992" w:type="dxa"/>
            <w:vAlign w:val="center"/>
          </w:tcPr>
          <w:p w14:paraId="6FDC8A57">
            <w:pPr>
              <w:pStyle w:val="12"/>
            </w:pPr>
            <w:r>
              <w:t>205</w:t>
            </w:r>
          </w:p>
        </w:tc>
        <w:tc>
          <w:tcPr>
            <w:tcW w:w="1559" w:type="dxa"/>
            <w:vAlign w:val="center"/>
          </w:tcPr>
          <w:p w14:paraId="5E5D326A">
            <w:pPr>
              <w:pStyle w:val="12"/>
            </w:pPr>
            <w:r>
              <w:t>教育支出</w:t>
            </w:r>
          </w:p>
        </w:tc>
        <w:tc>
          <w:tcPr>
            <w:tcW w:w="1134" w:type="dxa"/>
            <w:vAlign w:val="center"/>
          </w:tcPr>
          <w:p w14:paraId="2C51F413">
            <w:pPr>
              <w:pStyle w:val="11"/>
            </w:pPr>
            <w:r>
              <w:t>3508.17</w:t>
            </w:r>
          </w:p>
        </w:tc>
        <w:tc>
          <w:tcPr>
            <w:tcW w:w="1134" w:type="dxa"/>
            <w:vAlign w:val="center"/>
          </w:tcPr>
          <w:p w14:paraId="7E7E8F3F">
            <w:pPr>
              <w:pStyle w:val="11"/>
            </w:pPr>
            <w:r>
              <w:t>3508.17</w:t>
            </w:r>
          </w:p>
        </w:tc>
        <w:tc>
          <w:tcPr>
            <w:tcW w:w="1134" w:type="dxa"/>
            <w:vAlign w:val="center"/>
          </w:tcPr>
          <w:p w14:paraId="06F93DB1">
            <w:pPr>
              <w:pStyle w:val="11"/>
            </w:pPr>
            <w:r>
              <w:t>3508.17</w:t>
            </w:r>
          </w:p>
        </w:tc>
        <w:tc>
          <w:tcPr>
            <w:tcW w:w="1134" w:type="dxa"/>
            <w:vAlign w:val="center"/>
          </w:tcPr>
          <w:p w14:paraId="64107A20">
            <w:pPr>
              <w:pStyle w:val="11"/>
            </w:pPr>
          </w:p>
        </w:tc>
        <w:tc>
          <w:tcPr>
            <w:tcW w:w="1134" w:type="dxa"/>
            <w:vAlign w:val="center"/>
          </w:tcPr>
          <w:p w14:paraId="6B5A991A">
            <w:pPr>
              <w:pStyle w:val="11"/>
            </w:pPr>
          </w:p>
        </w:tc>
        <w:tc>
          <w:tcPr>
            <w:tcW w:w="1134" w:type="dxa"/>
            <w:vAlign w:val="center"/>
          </w:tcPr>
          <w:p w14:paraId="15D0FF7C">
            <w:pPr>
              <w:pStyle w:val="11"/>
            </w:pPr>
          </w:p>
        </w:tc>
        <w:tc>
          <w:tcPr>
            <w:tcW w:w="1134" w:type="dxa"/>
            <w:vAlign w:val="center"/>
          </w:tcPr>
          <w:p w14:paraId="7864B2A3">
            <w:pPr>
              <w:pStyle w:val="11"/>
            </w:pPr>
          </w:p>
        </w:tc>
        <w:tc>
          <w:tcPr>
            <w:tcW w:w="1134" w:type="dxa"/>
            <w:vAlign w:val="center"/>
          </w:tcPr>
          <w:p w14:paraId="48C4C625">
            <w:pPr>
              <w:pStyle w:val="11"/>
            </w:pPr>
          </w:p>
        </w:tc>
        <w:tc>
          <w:tcPr>
            <w:tcW w:w="1134" w:type="dxa"/>
            <w:vAlign w:val="center"/>
          </w:tcPr>
          <w:p w14:paraId="77AC863F">
            <w:pPr>
              <w:pStyle w:val="11"/>
            </w:pPr>
          </w:p>
        </w:tc>
        <w:tc>
          <w:tcPr>
            <w:tcW w:w="1134" w:type="dxa"/>
            <w:vAlign w:val="center"/>
          </w:tcPr>
          <w:p w14:paraId="06773A39">
            <w:pPr>
              <w:pStyle w:val="11"/>
            </w:pPr>
          </w:p>
        </w:tc>
      </w:tr>
      <w:tr w14:paraId="5BDF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64A82">
            <w:pPr>
              <w:pStyle w:val="13"/>
            </w:pPr>
            <w:r>
              <w:t>3</w:t>
            </w:r>
          </w:p>
        </w:tc>
        <w:tc>
          <w:tcPr>
            <w:tcW w:w="992" w:type="dxa"/>
            <w:vAlign w:val="center"/>
          </w:tcPr>
          <w:p w14:paraId="09C0EBE4">
            <w:pPr>
              <w:pStyle w:val="12"/>
            </w:pPr>
            <w:r>
              <w:t>20502</w:t>
            </w:r>
          </w:p>
        </w:tc>
        <w:tc>
          <w:tcPr>
            <w:tcW w:w="1559" w:type="dxa"/>
            <w:vAlign w:val="center"/>
          </w:tcPr>
          <w:p w14:paraId="154CC822">
            <w:pPr>
              <w:pStyle w:val="12"/>
            </w:pPr>
            <w:r>
              <w:t>普通教育</w:t>
            </w:r>
          </w:p>
        </w:tc>
        <w:tc>
          <w:tcPr>
            <w:tcW w:w="1134" w:type="dxa"/>
            <w:vAlign w:val="center"/>
          </w:tcPr>
          <w:p w14:paraId="48BA96D7">
            <w:pPr>
              <w:pStyle w:val="11"/>
            </w:pPr>
            <w:r>
              <w:t>3508.17</w:t>
            </w:r>
          </w:p>
        </w:tc>
        <w:tc>
          <w:tcPr>
            <w:tcW w:w="1134" w:type="dxa"/>
            <w:vAlign w:val="center"/>
          </w:tcPr>
          <w:p w14:paraId="25E251C1">
            <w:pPr>
              <w:pStyle w:val="11"/>
            </w:pPr>
            <w:r>
              <w:t>3508.17</w:t>
            </w:r>
          </w:p>
        </w:tc>
        <w:tc>
          <w:tcPr>
            <w:tcW w:w="1134" w:type="dxa"/>
            <w:vAlign w:val="center"/>
          </w:tcPr>
          <w:p w14:paraId="326C63BE">
            <w:pPr>
              <w:pStyle w:val="11"/>
            </w:pPr>
            <w:r>
              <w:t>3508.17</w:t>
            </w:r>
          </w:p>
        </w:tc>
        <w:tc>
          <w:tcPr>
            <w:tcW w:w="1134" w:type="dxa"/>
            <w:vAlign w:val="center"/>
          </w:tcPr>
          <w:p w14:paraId="78671D50">
            <w:pPr>
              <w:pStyle w:val="11"/>
            </w:pPr>
          </w:p>
        </w:tc>
        <w:tc>
          <w:tcPr>
            <w:tcW w:w="1134" w:type="dxa"/>
            <w:vAlign w:val="center"/>
          </w:tcPr>
          <w:p w14:paraId="56171452">
            <w:pPr>
              <w:pStyle w:val="11"/>
            </w:pPr>
          </w:p>
        </w:tc>
        <w:tc>
          <w:tcPr>
            <w:tcW w:w="1134" w:type="dxa"/>
            <w:vAlign w:val="center"/>
          </w:tcPr>
          <w:p w14:paraId="189E26CC">
            <w:pPr>
              <w:pStyle w:val="11"/>
            </w:pPr>
          </w:p>
        </w:tc>
        <w:tc>
          <w:tcPr>
            <w:tcW w:w="1134" w:type="dxa"/>
            <w:vAlign w:val="center"/>
          </w:tcPr>
          <w:p w14:paraId="401E8E09">
            <w:pPr>
              <w:pStyle w:val="11"/>
            </w:pPr>
          </w:p>
        </w:tc>
        <w:tc>
          <w:tcPr>
            <w:tcW w:w="1134" w:type="dxa"/>
            <w:vAlign w:val="center"/>
          </w:tcPr>
          <w:p w14:paraId="178701DC">
            <w:pPr>
              <w:pStyle w:val="11"/>
            </w:pPr>
          </w:p>
        </w:tc>
        <w:tc>
          <w:tcPr>
            <w:tcW w:w="1134" w:type="dxa"/>
            <w:vAlign w:val="center"/>
          </w:tcPr>
          <w:p w14:paraId="3AB65E2A">
            <w:pPr>
              <w:pStyle w:val="11"/>
            </w:pPr>
          </w:p>
        </w:tc>
        <w:tc>
          <w:tcPr>
            <w:tcW w:w="1134" w:type="dxa"/>
            <w:vAlign w:val="center"/>
          </w:tcPr>
          <w:p w14:paraId="534E107C">
            <w:pPr>
              <w:pStyle w:val="11"/>
            </w:pPr>
          </w:p>
        </w:tc>
      </w:tr>
      <w:tr w14:paraId="25A2F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1ECD1">
            <w:pPr>
              <w:pStyle w:val="13"/>
            </w:pPr>
            <w:r>
              <w:t>4</w:t>
            </w:r>
          </w:p>
        </w:tc>
        <w:tc>
          <w:tcPr>
            <w:tcW w:w="992" w:type="dxa"/>
            <w:vAlign w:val="center"/>
          </w:tcPr>
          <w:p w14:paraId="191EAE8C">
            <w:pPr>
              <w:pStyle w:val="12"/>
            </w:pPr>
            <w:r>
              <w:t>2050203</w:t>
            </w:r>
          </w:p>
        </w:tc>
        <w:tc>
          <w:tcPr>
            <w:tcW w:w="1559" w:type="dxa"/>
            <w:vAlign w:val="center"/>
          </w:tcPr>
          <w:p w14:paraId="5E613ECA">
            <w:pPr>
              <w:pStyle w:val="12"/>
            </w:pPr>
            <w:r>
              <w:t>初中教育</w:t>
            </w:r>
          </w:p>
        </w:tc>
        <w:tc>
          <w:tcPr>
            <w:tcW w:w="1134" w:type="dxa"/>
            <w:vAlign w:val="center"/>
          </w:tcPr>
          <w:p w14:paraId="2479D390">
            <w:pPr>
              <w:pStyle w:val="11"/>
            </w:pPr>
            <w:r>
              <w:t>3508.17</w:t>
            </w:r>
          </w:p>
        </w:tc>
        <w:tc>
          <w:tcPr>
            <w:tcW w:w="1134" w:type="dxa"/>
            <w:vAlign w:val="center"/>
          </w:tcPr>
          <w:p w14:paraId="52AB51CF">
            <w:pPr>
              <w:pStyle w:val="11"/>
            </w:pPr>
            <w:r>
              <w:t>3508.17</w:t>
            </w:r>
          </w:p>
        </w:tc>
        <w:tc>
          <w:tcPr>
            <w:tcW w:w="1134" w:type="dxa"/>
            <w:vAlign w:val="center"/>
          </w:tcPr>
          <w:p w14:paraId="191E8323">
            <w:pPr>
              <w:pStyle w:val="11"/>
            </w:pPr>
            <w:r>
              <w:t>3508.17</w:t>
            </w:r>
          </w:p>
        </w:tc>
        <w:tc>
          <w:tcPr>
            <w:tcW w:w="1134" w:type="dxa"/>
            <w:vAlign w:val="center"/>
          </w:tcPr>
          <w:p w14:paraId="69F1C0B2">
            <w:pPr>
              <w:pStyle w:val="11"/>
            </w:pPr>
          </w:p>
        </w:tc>
        <w:tc>
          <w:tcPr>
            <w:tcW w:w="1134" w:type="dxa"/>
            <w:vAlign w:val="center"/>
          </w:tcPr>
          <w:p w14:paraId="13E240DE">
            <w:pPr>
              <w:pStyle w:val="11"/>
            </w:pPr>
          </w:p>
        </w:tc>
        <w:tc>
          <w:tcPr>
            <w:tcW w:w="1134" w:type="dxa"/>
            <w:vAlign w:val="center"/>
          </w:tcPr>
          <w:p w14:paraId="1EF6736D">
            <w:pPr>
              <w:pStyle w:val="11"/>
            </w:pPr>
          </w:p>
        </w:tc>
        <w:tc>
          <w:tcPr>
            <w:tcW w:w="1134" w:type="dxa"/>
            <w:vAlign w:val="center"/>
          </w:tcPr>
          <w:p w14:paraId="5A6BA5B7">
            <w:pPr>
              <w:pStyle w:val="11"/>
            </w:pPr>
          </w:p>
        </w:tc>
        <w:tc>
          <w:tcPr>
            <w:tcW w:w="1134" w:type="dxa"/>
            <w:vAlign w:val="center"/>
          </w:tcPr>
          <w:p w14:paraId="2BEF304C">
            <w:pPr>
              <w:pStyle w:val="11"/>
            </w:pPr>
          </w:p>
        </w:tc>
        <w:tc>
          <w:tcPr>
            <w:tcW w:w="1134" w:type="dxa"/>
            <w:vAlign w:val="center"/>
          </w:tcPr>
          <w:p w14:paraId="718593C8">
            <w:pPr>
              <w:pStyle w:val="11"/>
            </w:pPr>
          </w:p>
        </w:tc>
        <w:tc>
          <w:tcPr>
            <w:tcW w:w="1134" w:type="dxa"/>
            <w:vAlign w:val="center"/>
          </w:tcPr>
          <w:p w14:paraId="34F9A8C0">
            <w:pPr>
              <w:pStyle w:val="11"/>
            </w:pPr>
          </w:p>
        </w:tc>
      </w:tr>
    </w:tbl>
    <w:p w14:paraId="73E013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EE98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F1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B0B320">
            <w:pPr>
              <w:pStyle w:val="9"/>
            </w:pPr>
            <w:r>
              <w:t>360004隆尧县尧山中学</w:t>
            </w:r>
          </w:p>
        </w:tc>
        <w:tc>
          <w:tcPr>
            <w:tcW w:w="2722" w:type="dxa"/>
            <w:gridSpan w:val="2"/>
            <w:tcBorders>
              <w:top w:val="single" w:color="FFFFFF" w:sz="6" w:space="0"/>
              <w:left w:val="single" w:color="FFFFFF" w:sz="6" w:space="0"/>
              <w:right w:val="single" w:color="FFFFFF" w:sz="6" w:space="0"/>
            </w:tcBorders>
            <w:vAlign w:val="center"/>
          </w:tcPr>
          <w:p w14:paraId="17F6590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CB9902D">
            <w:pPr>
              <w:pStyle w:val="7"/>
            </w:pPr>
            <w:r>
              <w:t>单位：万元</w:t>
            </w:r>
          </w:p>
        </w:tc>
      </w:tr>
      <w:tr w14:paraId="69FDD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F4758">
            <w:pPr>
              <w:pStyle w:val="10"/>
            </w:pPr>
            <w:r>
              <w:t>序号</w:t>
            </w:r>
          </w:p>
        </w:tc>
        <w:tc>
          <w:tcPr>
            <w:tcW w:w="5527" w:type="dxa"/>
            <w:gridSpan w:val="2"/>
            <w:vAlign w:val="center"/>
          </w:tcPr>
          <w:p w14:paraId="54546B40">
            <w:pPr>
              <w:pStyle w:val="10"/>
            </w:pPr>
            <w:r>
              <w:t>功能分类科目</w:t>
            </w:r>
          </w:p>
        </w:tc>
        <w:tc>
          <w:tcPr>
            <w:tcW w:w="1361" w:type="dxa"/>
            <w:vMerge w:val="restart"/>
            <w:vAlign w:val="center"/>
          </w:tcPr>
          <w:p w14:paraId="024ABFEA">
            <w:pPr>
              <w:pStyle w:val="10"/>
            </w:pPr>
            <w:r>
              <w:t>合计</w:t>
            </w:r>
          </w:p>
        </w:tc>
        <w:tc>
          <w:tcPr>
            <w:tcW w:w="1361" w:type="dxa"/>
            <w:vMerge w:val="restart"/>
            <w:vAlign w:val="center"/>
          </w:tcPr>
          <w:p w14:paraId="6A8E5A8B">
            <w:pPr>
              <w:pStyle w:val="10"/>
            </w:pPr>
            <w:r>
              <w:t>基本支出</w:t>
            </w:r>
          </w:p>
        </w:tc>
        <w:tc>
          <w:tcPr>
            <w:tcW w:w="1361" w:type="dxa"/>
            <w:vMerge w:val="restart"/>
            <w:vAlign w:val="center"/>
          </w:tcPr>
          <w:p w14:paraId="4138E548">
            <w:pPr>
              <w:pStyle w:val="10"/>
            </w:pPr>
            <w:r>
              <w:t>项目支出</w:t>
            </w:r>
          </w:p>
        </w:tc>
        <w:tc>
          <w:tcPr>
            <w:tcW w:w="1361" w:type="dxa"/>
            <w:vMerge w:val="restart"/>
            <w:vAlign w:val="center"/>
          </w:tcPr>
          <w:p w14:paraId="34DA0352">
            <w:pPr>
              <w:pStyle w:val="10"/>
            </w:pPr>
            <w:r>
              <w:t>经营支出</w:t>
            </w:r>
          </w:p>
        </w:tc>
        <w:tc>
          <w:tcPr>
            <w:tcW w:w="1361" w:type="dxa"/>
            <w:vMerge w:val="restart"/>
            <w:vAlign w:val="center"/>
          </w:tcPr>
          <w:p w14:paraId="3C13C783">
            <w:pPr>
              <w:pStyle w:val="10"/>
            </w:pPr>
            <w:r>
              <w:t>上解上级     支出</w:t>
            </w:r>
          </w:p>
        </w:tc>
        <w:tc>
          <w:tcPr>
            <w:tcW w:w="1361" w:type="dxa"/>
            <w:vMerge w:val="restart"/>
            <w:vAlign w:val="center"/>
          </w:tcPr>
          <w:p w14:paraId="3090ABCE">
            <w:pPr>
              <w:pStyle w:val="10"/>
            </w:pPr>
            <w:r>
              <w:t>对附属单位补助支出</w:t>
            </w:r>
          </w:p>
        </w:tc>
      </w:tr>
      <w:tr w14:paraId="2769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DED87"/>
        </w:tc>
        <w:tc>
          <w:tcPr>
            <w:tcW w:w="992" w:type="dxa"/>
            <w:vAlign w:val="center"/>
          </w:tcPr>
          <w:p w14:paraId="2FCBEC7C">
            <w:pPr>
              <w:pStyle w:val="10"/>
            </w:pPr>
            <w:r>
              <w:t>科目    编码</w:t>
            </w:r>
          </w:p>
        </w:tc>
        <w:tc>
          <w:tcPr>
            <w:tcW w:w="4535" w:type="dxa"/>
            <w:vAlign w:val="center"/>
          </w:tcPr>
          <w:p w14:paraId="6CFC06EF">
            <w:pPr>
              <w:pStyle w:val="10"/>
            </w:pPr>
            <w:r>
              <w:t>科目名称</w:t>
            </w:r>
          </w:p>
        </w:tc>
        <w:tc>
          <w:tcPr>
            <w:tcW w:w="1361" w:type="dxa"/>
            <w:vMerge w:val="continue"/>
          </w:tcPr>
          <w:p w14:paraId="3450100A"/>
        </w:tc>
        <w:tc>
          <w:tcPr>
            <w:tcW w:w="1361" w:type="dxa"/>
            <w:vMerge w:val="continue"/>
          </w:tcPr>
          <w:p w14:paraId="287DB5CE"/>
        </w:tc>
        <w:tc>
          <w:tcPr>
            <w:tcW w:w="1361" w:type="dxa"/>
            <w:vMerge w:val="continue"/>
          </w:tcPr>
          <w:p w14:paraId="13106E14"/>
        </w:tc>
        <w:tc>
          <w:tcPr>
            <w:tcW w:w="1361" w:type="dxa"/>
            <w:vMerge w:val="continue"/>
          </w:tcPr>
          <w:p w14:paraId="7446AA04"/>
        </w:tc>
        <w:tc>
          <w:tcPr>
            <w:tcW w:w="1361" w:type="dxa"/>
            <w:vMerge w:val="continue"/>
          </w:tcPr>
          <w:p w14:paraId="668BB890"/>
        </w:tc>
        <w:tc>
          <w:tcPr>
            <w:tcW w:w="1361" w:type="dxa"/>
            <w:vMerge w:val="continue"/>
          </w:tcPr>
          <w:p w14:paraId="168DCAE9"/>
        </w:tc>
      </w:tr>
      <w:tr w14:paraId="67CF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1C5EF">
            <w:pPr>
              <w:pStyle w:val="10"/>
            </w:pPr>
            <w:r>
              <w:t>栏次</w:t>
            </w:r>
          </w:p>
        </w:tc>
        <w:tc>
          <w:tcPr>
            <w:tcW w:w="992" w:type="dxa"/>
            <w:vAlign w:val="center"/>
          </w:tcPr>
          <w:p w14:paraId="61E40FC1">
            <w:pPr>
              <w:pStyle w:val="10"/>
            </w:pPr>
            <w:r>
              <w:t>1</w:t>
            </w:r>
          </w:p>
        </w:tc>
        <w:tc>
          <w:tcPr>
            <w:tcW w:w="4535" w:type="dxa"/>
            <w:vAlign w:val="center"/>
          </w:tcPr>
          <w:p w14:paraId="2B3C8F4A">
            <w:pPr>
              <w:pStyle w:val="10"/>
            </w:pPr>
            <w:r>
              <w:t>2</w:t>
            </w:r>
          </w:p>
        </w:tc>
        <w:tc>
          <w:tcPr>
            <w:tcW w:w="1361" w:type="dxa"/>
            <w:vAlign w:val="center"/>
          </w:tcPr>
          <w:p w14:paraId="0550A18F">
            <w:pPr>
              <w:pStyle w:val="10"/>
            </w:pPr>
            <w:r>
              <w:t>3</w:t>
            </w:r>
          </w:p>
        </w:tc>
        <w:tc>
          <w:tcPr>
            <w:tcW w:w="1361" w:type="dxa"/>
            <w:vAlign w:val="center"/>
          </w:tcPr>
          <w:p w14:paraId="7DDE015B">
            <w:pPr>
              <w:pStyle w:val="10"/>
            </w:pPr>
            <w:r>
              <w:t>4</w:t>
            </w:r>
          </w:p>
        </w:tc>
        <w:tc>
          <w:tcPr>
            <w:tcW w:w="1361" w:type="dxa"/>
            <w:vAlign w:val="center"/>
          </w:tcPr>
          <w:p w14:paraId="595B5BA0">
            <w:pPr>
              <w:pStyle w:val="10"/>
            </w:pPr>
            <w:r>
              <w:t>5</w:t>
            </w:r>
          </w:p>
        </w:tc>
        <w:tc>
          <w:tcPr>
            <w:tcW w:w="1361" w:type="dxa"/>
            <w:vAlign w:val="center"/>
          </w:tcPr>
          <w:p w14:paraId="4260780A">
            <w:pPr>
              <w:pStyle w:val="10"/>
            </w:pPr>
            <w:r>
              <w:t>6</w:t>
            </w:r>
          </w:p>
        </w:tc>
        <w:tc>
          <w:tcPr>
            <w:tcW w:w="1361" w:type="dxa"/>
            <w:vAlign w:val="center"/>
          </w:tcPr>
          <w:p w14:paraId="66744B6D">
            <w:pPr>
              <w:pStyle w:val="10"/>
            </w:pPr>
            <w:r>
              <w:t>7</w:t>
            </w:r>
          </w:p>
        </w:tc>
        <w:tc>
          <w:tcPr>
            <w:tcW w:w="1361" w:type="dxa"/>
            <w:vAlign w:val="center"/>
          </w:tcPr>
          <w:p w14:paraId="5A1DE80D">
            <w:pPr>
              <w:pStyle w:val="10"/>
            </w:pPr>
            <w:r>
              <w:t>8</w:t>
            </w:r>
          </w:p>
        </w:tc>
      </w:tr>
      <w:tr w14:paraId="3257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10AE4">
            <w:pPr>
              <w:pStyle w:val="13"/>
            </w:pPr>
            <w:r>
              <w:t>1</w:t>
            </w:r>
          </w:p>
        </w:tc>
        <w:tc>
          <w:tcPr>
            <w:tcW w:w="992" w:type="dxa"/>
            <w:vAlign w:val="center"/>
          </w:tcPr>
          <w:p w14:paraId="29F78524">
            <w:pPr>
              <w:pStyle w:val="16"/>
            </w:pPr>
          </w:p>
        </w:tc>
        <w:tc>
          <w:tcPr>
            <w:tcW w:w="4535" w:type="dxa"/>
            <w:vAlign w:val="center"/>
          </w:tcPr>
          <w:p w14:paraId="20E771C2">
            <w:pPr>
              <w:pStyle w:val="14"/>
            </w:pPr>
            <w:r>
              <w:t>合计</w:t>
            </w:r>
          </w:p>
        </w:tc>
        <w:tc>
          <w:tcPr>
            <w:tcW w:w="1361" w:type="dxa"/>
            <w:vAlign w:val="center"/>
          </w:tcPr>
          <w:p w14:paraId="672BE5BF">
            <w:pPr>
              <w:pStyle w:val="15"/>
            </w:pPr>
            <w:r>
              <w:t>3508.17</w:t>
            </w:r>
          </w:p>
        </w:tc>
        <w:tc>
          <w:tcPr>
            <w:tcW w:w="1361" w:type="dxa"/>
            <w:vAlign w:val="center"/>
          </w:tcPr>
          <w:p w14:paraId="391A2F00">
            <w:pPr>
              <w:pStyle w:val="15"/>
            </w:pPr>
            <w:r>
              <w:t>1932.62</w:t>
            </w:r>
          </w:p>
        </w:tc>
        <w:tc>
          <w:tcPr>
            <w:tcW w:w="1361" w:type="dxa"/>
            <w:vAlign w:val="center"/>
          </w:tcPr>
          <w:p w14:paraId="5FD8587F">
            <w:pPr>
              <w:pStyle w:val="15"/>
            </w:pPr>
            <w:r>
              <w:t>1575.55</w:t>
            </w:r>
          </w:p>
        </w:tc>
        <w:tc>
          <w:tcPr>
            <w:tcW w:w="1361" w:type="dxa"/>
            <w:vAlign w:val="center"/>
          </w:tcPr>
          <w:p w14:paraId="4F6987DC">
            <w:pPr>
              <w:pStyle w:val="15"/>
            </w:pPr>
          </w:p>
        </w:tc>
        <w:tc>
          <w:tcPr>
            <w:tcW w:w="1361" w:type="dxa"/>
            <w:vAlign w:val="center"/>
          </w:tcPr>
          <w:p w14:paraId="779041BA">
            <w:pPr>
              <w:pStyle w:val="15"/>
            </w:pPr>
          </w:p>
        </w:tc>
        <w:tc>
          <w:tcPr>
            <w:tcW w:w="1361" w:type="dxa"/>
            <w:vAlign w:val="center"/>
          </w:tcPr>
          <w:p w14:paraId="055588C0">
            <w:pPr>
              <w:pStyle w:val="15"/>
            </w:pPr>
          </w:p>
        </w:tc>
      </w:tr>
      <w:tr w14:paraId="5E28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910C">
            <w:pPr>
              <w:pStyle w:val="13"/>
            </w:pPr>
            <w:r>
              <w:t>2</w:t>
            </w:r>
          </w:p>
        </w:tc>
        <w:tc>
          <w:tcPr>
            <w:tcW w:w="992" w:type="dxa"/>
            <w:vAlign w:val="center"/>
          </w:tcPr>
          <w:p w14:paraId="0D9C2C73">
            <w:pPr>
              <w:pStyle w:val="12"/>
            </w:pPr>
            <w:r>
              <w:t>205</w:t>
            </w:r>
          </w:p>
        </w:tc>
        <w:tc>
          <w:tcPr>
            <w:tcW w:w="4535" w:type="dxa"/>
            <w:vAlign w:val="center"/>
          </w:tcPr>
          <w:p w14:paraId="61D5E247">
            <w:pPr>
              <w:pStyle w:val="12"/>
            </w:pPr>
            <w:r>
              <w:t>教育支出</w:t>
            </w:r>
          </w:p>
        </w:tc>
        <w:tc>
          <w:tcPr>
            <w:tcW w:w="1361" w:type="dxa"/>
            <w:vAlign w:val="center"/>
          </w:tcPr>
          <w:p w14:paraId="77A9C7B0">
            <w:pPr>
              <w:pStyle w:val="11"/>
            </w:pPr>
            <w:r>
              <w:t>3508.17</w:t>
            </w:r>
          </w:p>
        </w:tc>
        <w:tc>
          <w:tcPr>
            <w:tcW w:w="1361" w:type="dxa"/>
            <w:vAlign w:val="center"/>
          </w:tcPr>
          <w:p w14:paraId="10D25CC6">
            <w:pPr>
              <w:pStyle w:val="11"/>
            </w:pPr>
            <w:r>
              <w:t>1932.62</w:t>
            </w:r>
          </w:p>
        </w:tc>
        <w:tc>
          <w:tcPr>
            <w:tcW w:w="1361" w:type="dxa"/>
            <w:vAlign w:val="center"/>
          </w:tcPr>
          <w:p w14:paraId="05795D62">
            <w:pPr>
              <w:pStyle w:val="11"/>
            </w:pPr>
            <w:r>
              <w:t>1575.55</w:t>
            </w:r>
          </w:p>
        </w:tc>
        <w:tc>
          <w:tcPr>
            <w:tcW w:w="1361" w:type="dxa"/>
            <w:vAlign w:val="center"/>
          </w:tcPr>
          <w:p w14:paraId="77687650">
            <w:pPr>
              <w:pStyle w:val="11"/>
            </w:pPr>
          </w:p>
        </w:tc>
        <w:tc>
          <w:tcPr>
            <w:tcW w:w="1361" w:type="dxa"/>
            <w:vAlign w:val="center"/>
          </w:tcPr>
          <w:p w14:paraId="56A7BA67">
            <w:pPr>
              <w:pStyle w:val="11"/>
            </w:pPr>
          </w:p>
        </w:tc>
        <w:tc>
          <w:tcPr>
            <w:tcW w:w="1361" w:type="dxa"/>
            <w:vAlign w:val="center"/>
          </w:tcPr>
          <w:p w14:paraId="4497DC34">
            <w:pPr>
              <w:pStyle w:val="11"/>
            </w:pPr>
          </w:p>
        </w:tc>
      </w:tr>
      <w:tr w14:paraId="046E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B86E">
            <w:pPr>
              <w:pStyle w:val="13"/>
            </w:pPr>
            <w:r>
              <w:t>3</w:t>
            </w:r>
          </w:p>
        </w:tc>
        <w:tc>
          <w:tcPr>
            <w:tcW w:w="992" w:type="dxa"/>
            <w:vAlign w:val="center"/>
          </w:tcPr>
          <w:p w14:paraId="5AE99DCB">
            <w:pPr>
              <w:pStyle w:val="12"/>
            </w:pPr>
            <w:r>
              <w:t>20502</w:t>
            </w:r>
          </w:p>
        </w:tc>
        <w:tc>
          <w:tcPr>
            <w:tcW w:w="4535" w:type="dxa"/>
            <w:vAlign w:val="center"/>
          </w:tcPr>
          <w:p w14:paraId="19019375">
            <w:pPr>
              <w:pStyle w:val="12"/>
            </w:pPr>
            <w:r>
              <w:t>普通教育</w:t>
            </w:r>
          </w:p>
        </w:tc>
        <w:tc>
          <w:tcPr>
            <w:tcW w:w="1361" w:type="dxa"/>
            <w:vAlign w:val="center"/>
          </w:tcPr>
          <w:p w14:paraId="73465DA7">
            <w:pPr>
              <w:pStyle w:val="11"/>
            </w:pPr>
            <w:r>
              <w:t>3508.17</w:t>
            </w:r>
          </w:p>
        </w:tc>
        <w:tc>
          <w:tcPr>
            <w:tcW w:w="1361" w:type="dxa"/>
            <w:vAlign w:val="center"/>
          </w:tcPr>
          <w:p w14:paraId="67E28668">
            <w:pPr>
              <w:pStyle w:val="11"/>
            </w:pPr>
            <w:r>
              <w:t>1932.62</w:t>
            </w:r>
          </w:p>
        </w:tc>
        <w:tc>
          <w:tcPr>
            <w:tcW w:w="1361" w:type="dxa"/>
            <w:vAlign w:val="center"/>
          </w:tcPr>
          <w:p w14:paraId="238A1A0E">
            <w:pPr>
              <w:pStyle w:val="11"/>
            </w:pPr>
            <w:r>
              <w:t>1575.55</w:t>
            </w:r>
          </w:p>
        </w:tc>
        <w:tc>
          <w:tcPr>
            <w:tcW w:w="1361" w:type="dxa"/>
            <w:vAlign w:val="center"/>
          </w:tcPr>
          <w:p w14:paraId="06B9B7DD">
            <w:pPr>
              <w:pStyle w:val="11"/>
            </w:pPr>
          </w:p>
        </w:tc>
        <w:tc>
          <w:tcPr>
            <w:tcW w:w="1361" w:type="dxa"/>
            <w:vAlign w:val="center"/>
          </w:tcPr>
          <w:p w14:paraId="03B86D9C">
            <w:pPr>
              <w:pStyle w:val="11"/>
            </w:pPr>
          </w:p>
        </w:tc>
        <w:tc>
          <w:tcPr>
            <w:tcW w:w="1361" w:type="dxa"/>
            <w:vAlign w:val="center"/>
          </w:tcPr>
          <w:p w14:paraId="68457DEE">
            <w:pPr>
              <w:pStyle w:val="11"/>
            </w:pPr>
          </w:p>
        </w:tc>
      </w:tr>
      <w:tr w14:paraId="564C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FFEB2">
            <w:pPr>
              <w:pStyle w:val="13"/>
            </w:pPr>
            <w:r>
              <w:t>4</w:t>
            </w:r>
          </w:p>
        </w:tc>
        <w:tc>
          <w:tcPr>
            <w:tcW w:w="992" w:type="dxa"/>
            <w:vAlign w:val="center"/>
          </w:tcPr>
          <w:p w14:paraId="61711D4E">
            <w:pPr>
              <w:pStyle w:val="12"/>
            </w:pPr>
            <w:r>
              <w:t>2050203</w:t>
            </w:r>
          </w:p>
        </w:tc>
        <w:tc>
          <w:tcPr>
            <w:tcW w:w="4535" w:type="dxa"/>
            <w:vAlign w:val="center"/>
          </w:tcPr>
          <w:p w14:paraId="2AAEFBB5">
            <w:pPr>
              <w:pStyle w:val="12"/>
            </w:pPr>
            <w:r>
              <w:t>初中教育</w:t>
            </w:r>
          </w:p>
        </w:tc>
        <w:tc>
          <w:tcPr>
            <w:tcW w:w="1361" w:type="dxa"/>
            <w:vAlign w:val="center"/>
          </w:tcPr>
          <w:p w14:paraId="732B29E8">
            <w:pPr>
              <w:pStyle w:val="11"/>
            </w:pPr>
            <w:r>
              <w:t>3508.17</w:t>
            </w:r>
          </w:p>
        </w:tc>
        <w:tc>
          <w:tcPr>
            <w:tcW w:w="1361" w:type="dxa"/>
            <w:vAlign w:val="center"/>
          </w:tcPr>
          <w:p w14:paraId="58181CC9">
            <w:pPr>
              <w:pStyle w:val="11"/>
            </w:pPr>
            <w:r>
              <w:t>1932.62</w:t>
            </w:r>
          </w:p>
        </w:tc>
        <w:tc>
          <w:tcPr>
            <w:tcW w:w="1361" w:type="dxa"/>
            <w:vAlign w:val="center"/>
          </w:tcPr>
          <w:p w14:paraId="557D3627">
            <w:pPr>
              <w:pStyle w:val="11"/>
            </w:pPr>
            <w:r>
              <w:t>1575.55</w:t>
            </w:r>
          </w:p>
        </w:tc>
        <w:tc>
          <w:tcPr>
            <w:tcW w:w="1361" w:type="dxa"/>
            <w:vAlign w:val="center"/>
          </w:tcPr>
          <w:p w14:paraId="1576F46D">
            <w:pPr>
              <w:pStyle w:val="11"/>
            </w:pPr>
          </w:p>
        </w:tc>
        <w:tc>
          <w:tcPr>
            <w:tcW w:w="1361" w:type="dxa"/>
            <w:vAlign w:val="center"/>
          </w:tcPr>
          <w:p w14:paraId="51F24382">
            <w:pPr>
              <w:pStyle w:val="11"/>
            </w:pPr>
          </w:p>
        </w:tc>
        <w:tc>
          <w:tcPr>
            <w:tcW w:w="1361" w:type="dxa"/>
            <w:vAlign w:val="center"/>
          </w:tcPr>
          <w:p w14:paraId="2217F60E">
            <w:pPr>
              <w:pStyle w:val="11"/>
            </w:pPr>
          </w:p>
        </w:tc>
      </w:tr>
    </w:tbl>
    <w:p w14:paraId="3F976F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86D3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5D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36EDF7">
            <w:pPr>
              <w:pStyle w:val="9"/>
            </w:pPr>
            <w:r>
              <w:t>360004隆尧县尧山中学</w:t>
            </w:r>
          </w:p>
        </w:tc>
        <w:tc>
          <w:tcPr>
            <w:tcW w:w="3402" w:type="dxa"/>
            <w:tcBorders>
              <w:top w:val="single" w:color="FFFFFF" w:sz="6" w:space="0"/>
              <w:left w:val="single" w:color="FFFFFF" w:sz="6" w:space="0"/>
              <w:right w:val="single" w:color="FFFFFF" w:sz="6" w:space="0"/>
            </w:tcBorders>
            <w:vAlign w:val="center"/>
          </w:tcPr>
          <w:p w14:paraId="1FDE3B4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BEAB9E4">
            <w:pPr>
              <w:pStyle w:val="7"/>
            </w:pPr>
            <w:r>
              <w:t>单位：万元</w:t>
            </w:r>
          </w:p>
        </w:tc>
      </w:tr>
      <w:tr w14:paraId="32EE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7200A">
            <w:pPr>
              <w:pStyle w:val="10"/>
            </w:pPr>
            <w:r>
              <w:t>序号</w:t>
            </w:r>
          </w:p>
        </w:tc>
        <w:tc>
          <w:tcPr>
            <w:tcW w:w="4876" w:type="dxa"/>
            <w:gridSpan w:val="2"/>
            <w:vAlign w:val="center"/>
          </w:tcPr>
          <w:p w14:paraId="427253A4">
            <w:pPr>
              <w:pStyle w:val="10"/>
            </w:pPr>
            <w:r>
              <w:t>收入</w:t>
            </w:r>
          </w:p>
        </w:tc>
        <w:tc>
          <w:tcPr>
            <w:tcW w:w="9298" w:type="dxa"/>
            <w:gridSpan w:val="5"/>
            <w:vAlign w:val="center"/>
          </w:tcPr>
          <w:p w14:paraId="2E316F9D">
            <w:pPr>
              <w:pStyle w:val="10"/>
            </w:pPr>
            <w:r>
              <w:t>支出</w:t>
            </w:r>
          </w:p>
        </w:tc>
      </w:tr>
      <w:tr w14:paraId="25A4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60ABEB"/>
        </w:tc>
        <w:tc>
          <w:tcPr>
            <w:tcW w:w="3402" w:type="dxa"/>
            <w:vAlign w:val="center"/>
          </w:tcPr>
          <w:p w14:paraId="08AA2379">
            <w:pPr>
              <w:pStyle w:val="10"/>
            </w:pPr>
            <w:r>
              <w:t>项  目</w:t>
            </w:r>
          </w:p>
        </w:tc>
        <w:tc>
          <w:tcPr>
            <w:tcW w:w="1474" w:type="dxa"/>
            <w:vAlign w:val="center"/>
          </w:tcPr>
          <w:p w14:paraId="4EC39B88">
            <w:pPr>
              <w:pStyle w:val="10"/>
            </w:pPr>
            <w:r>
              <w:t>金额</w:t>
            </w:r>
          </w:p>
        </w:tc>
        <w:tc>
          <w:tcPr>
            <w:tcW w:w="3402" w:type="dxa"/>
            <w:vAlign w:val="center"/>
          </w:tcPr>
          <w:p w14:paraId="04B8E30D">
            <w:pPr>
              <w:pStyle w:val="10"/>
            </w:pPr>
            <w:r>
              <w:t>项  目</w:t>
            </w:r>
          </w:p>
        </w:tc>
        <w:tc>
          <w:tcPr>
            <w:tcW w:w="1474" w:type="dxa"/>
            <w:vAlign w:val="center"/>
          </w:tcPr>
          <w:p w14:paraId="3694033F">
            <w:pPr>
              <w:pStyle w:val="10"/>
            </w:pPr>
            <w:r>
              <w:t>合计</w:t>
            </w:r>
          </w:p>
        </w:tc>
        <w:tc>
          <w:tcPr>
            <w:tcW w:w="1474" w:type="dxa"/>
            <w:vAlign w:val="center"/>
          </w:tcPr>
          <w:p w14:paraId="2E882B55">
            <w:pPr>
              <w:pStyle w:val="10"/>
            </w:pPr>
            <w:r>
              <w:t>一般公共预算财政拨款</w:t>
            </w:r>
          </w:p>
        </w:tc>
        <w:tc>
          <w:tcPr>
            <w:tcW w:w="1474" w:type="dxa"/>
            <w:vAlign w:val="center"/>
          </w:tcPr>
          <w:p w14:paraId="06351028">
            <w:pPr>
              <w:pStyle w:val="10"/>
            </w:pPr>
            <w:r>
              <w:t>政府性基金预算财政    拨款</w:t>
            </w:r>
          </w:p>
        </w:tc>
        <w:tc>
          <w:tcPr>
            <w:tcW w:w="1474" w:type="dxa"/>
            <w:vAlign w:val="center"/>
          </w:tcPr>
          <w:p w14:paraId="605910D4">
            <w:pPr>
              <w:pStyle w:val="10"/>
            </w:pPr>
            <w:r>
              <w:t>国有资本经营预算财政拨款</w:t>
            </w:r>
          </w:p>
        </w:tc>
      </w:tr>
      <w:tr w14:paraId="6C78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FE64F">
            <w:pPr>
              <w:pStyle w:val="10"/>
            </w:pPr>
            <w:r>
              <w:t>栏次</w:t>
            </w:r>
          </w:p>
        </w:tc>
        <w:tc>
          <w:tcPr>
            <w:tcW w:w="3402" w:type="dxa"/>
            <w:vAlign w:val="center"/>
          </w:tcPr>
          <w:p w14:paraId="02B98DA4">
            <w:pPr>
              <w:pStyle w:val="10"/>
            </w:pPr>
            <w:r>
              <w:t>1</w:t>
            </w:r>
          </w:p>
        </w:tc>
        <w:tc>
          <w:tcPr>
            <w:tcW w:w="1474" w:type="dxa"/>
            <w:vAlign w:val="center"/>
          </w:tcPr>
          <w:p w14:paraId="0993C18B">
            <w:pPr>
              <w:pStyle w:val="10"/>
            </w:pPr>
            <w:r>
              <w:t>2</w:t>
            </w:r>
          </w:p>
        </w:tc>
        <w:tc>
          <w:tcPr>
            <w:tcW w:w="3402" w:type="dxa"/>
            <w:vAlign w:val="center"/>
          </w:tcPr>
          <w:p w14:paraId="1B5BD353">
            <w:pPr>
              <w:pStyle w:val="10"/>
            </w:pPr>
            <w:r>
              <w:t>3</w:t>
            </w:r>
          </w:p>
        </w:tc>
        <w:tc>
          <w:tcPr>
            <w:tcW w:w="1474" w:type="dxa"/>
            <w:vAlign w:val="center"/>
          </w:tcPr>
          <w:p w14:paraId="3EFEC4C0">
            <w:pPr>
              <w:pStyle w:val="10"/>
            </w:pPr>
            <w:r>
              <w:t>4</w:t>
            </w:r>
          </w:p>
        </w:tc>
        <w:tc>
          <w:tcPr>
            <w:tcW w:w="1474" w:type="dxa"/>
            <w:vAlign w:val="center"/>
          </w:tcPr>
          <w:p w14:paraId="10D8FD93">
            <w:pPr>
              <w:pStyle w:val="10"/>
            </w:pPr>
            <w:r>
              <w:t>5</w:t>
            </w:r>
          </w:p>
        </w:tc>
        <w:tc>
          <w:tcPr>
            <w:tcW w:w="1474" w:type="dxa"/>
            <w:vAlign w:val="center"/>
          </w:tcPr>
          <w:p w14:paraId="17BAE809">
            <w:pPr>
              <w:pStyle w:val="10"/>
            </w:pPr>
            <w:r>
              <w:t>6</w:t>
            </w:r>
          </w:p>
        </w:tc>
        <w:tc>
          <w:tcPr>
            <w:tcW w:w="1474" w:type="dxa"/>
            <w:vAlign w:val="center"/>
          </w:tcPr>
          <w:p w14:paraId="427C07E4">
            <w:pPr>
              <w:pStyle w:val="10"/>
            </w:pPr>
            <w:r>
              <w:t>7</w:t>
            </w:r>
          </w:p>
        </w:tc>
      </w:tr>
      <w:tr w14:paraId="51BF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324C">
            <w:pPr>
              <w:pStyle w:val="13"/>
            </w:pPr>
            <w:r>
              <w:t>1</w:t>
            </w:r>
          </w:p>
        </w:tc>
        <w:tc>
          <w:tcPr>
            <w:tcW w:w="3402" w:type="dxa"/>
            <w:vAlign w:val="center"/>
          </w:tcPr>
          <w:p w14:paraId="0328655D">
            <w:pPr>
              <w:pStyle w:val="12"/>
            </w:pPr>
            <w:r>
              <w:t>一、一般公共预算拨款</w:t>
            </w:r>
          </w:p>
        </w:tc>
        <w:tc>
          <w:tcPr>
            <w:tcW w:w="1474" w:type="dxa"/>
            <w:vAlign w:val="center"/>
          </w:tcPr>
          <w:p w14:paraId="1A1D1D57">
            <w:pPr>
              <w:pStyle w:val="11"/>
            </w:pPr>
            <w:r>
              <w:t>3508.17</w:t>
            </w:r>
          </w:p>
        </w:tc>
        <w:tc>
          <w:tcPr>
            <w:tcW w:w="3402" w:type="dxa"/>
            <w:vAlign w:val="center"/>
          </w:tcPr>
          <w:p w14:paraId="593ED0FF">
            <w:pPr>
              <w:pStyle w:val="12"/>
            </w:pPr>
            <w:r>
              <w:t>一、一般公共服务支出</w:t>
            </w:r>
          </w:p>
        </w:tc>
        <w:tc>
          <w:tcPr>
            <w:tcW w:w="1474" w:type="dxa"/>
            <w:vAlign w:val="center"/>
          </w:tcPr>
          <w:p w14:paraId="343E876E">
            <w:pPr>
              <w:pStyle w:val="11"/>
            </w:pPr>
          </w:p>
        </w:tc>
        <w:tc>
          <w:tcPr>
            <w:tcW w:w="1474" w:type="dxa"/>
            <w:vAlign w:val="center"/>
          </w:tcPr>
          <w:p w14:paraId="59C9B3CF">
            <w:pPr>
              <w:pStyle w:val="11"/>
            </w:pPr>
          </w:p>
        </w:tc>
        <w:tc>
          <w:tcPr>
            <w:tcW w:w="1474" w:type="dxa"/>
            <w:vAlign w:val="center"/>
          </w:tcPr>
          <w:p w14:paraId="1333F5AC">
            <w:pPr>
              <w:pStyle w:val="11"/>
            </w:pPr>
          </w:p>
        </w:tc>
        <w:tc>
          <w:tcPr>
            <w:tcW w:w="1474" w:type="dxa"/>
            <w:vAlign w:val="center"/>
          </w:tcPr>
          <w:p w14:paraId="142588E5">
            <w:pPr>
              <w:pStyle w:val="11"/>
            </w:pPr>
          </w:p>
        </w:tc>
      </w:tr>
      <w:tr w14:paraId="3419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4D7DF">
            <w:pPr>
              <w:pStyle w:val="13"/>
            </w:pPr>
            <w:r>
              <w:t>2</w:t>
            </w:r>
          </w:p>
        </w:tc>
        <w:tc>
          <w:tcPr>
            <w:tcW w:w="3402" w:type="dxa"/>
            <w:vAlign w:val="center"/>
          </w:tcPr>
          <w:p w14:paraId="76906160">
            <w:pPr>
              <w:pStyle w:val="12"/>
            </w:pPr>
            <w:r>
              <w:t>二、政府性基金预算拨款</w:t>
            </w:r>
          </w:p>
        </w:tc>
        <w:tc>
          <w:tcPr>
            <w:tcW w:w="1474" w:type="dxa"/>
            <w:vAlign w:val="center"/>
          </w:tcPr>
          <w:p w14:paraId="5E784E4D">
            <w:pPr>
              <w:pStyle w:val="11"/>
            </w:pPr>
          </w:p>
        </w:tc>
        <w:tc>
          <w:tcPr>
            <w:tcW w:w="3402" w:type="dxa"/>
            <w:vAlign w:val="center"/>
          </w:tcPr>
          <w:p w14:paraId="37C21064">
            <w:pPr>
              <w:pStyle w:val="12"/>
            </w:pPr>
            <w:r>
              <w:t>二、外交支出</w:t>
            </w:r>
          </w:p>
        </w:tc>
        <w:tc>
          <w:tcPr>
            <w:tcW w:w="1474" w:type="dxa"/>
            <w:vAlign w:val="center"/>
          </w:tcPr>
          <w:p w14:paraId="6B38B4E8">
            <w:pPr>
              <w:pStyle w:val="11"/>
            </w:pPr>
          </w:p>
        </w:tc>
        <w:tc>
          <w:tcPr>
            <w:tcW w:w="1474" w:type="dxa"/>
            <w:vAlign w:val="center"/>
          </w:tcPr>
          <w:p w14:paraId="4566BF2D">
            <w:pPr>
              <w:pStyle w:val="11"/>
            </w:pPr>
          </w:p>
        </w:tc>
        <w:tc>
          <w:tcPr>
            <w:tcW w:w="1474" w:type="dxa"/>
            <w:vAlign w:val="center"/>
          </w:tcPr>
          <w:p w14:paraId="2750316B">
            <w:pPr>
              <w:pStyle w:val="11"/>
            </w:pPr>
          </w:p>
        </w:tc>
        <w:tc>
          <w:tcPr>
            <w:tcW w:w="1474" w:type="dxa"/>
            <w:vAlign w:val="center"/>
          </w:tcPr>
          <w:p w14:paraId="3E2C2E84">
            <w:pPr>
              <w:pStyle w:val="11"/>
            </w:pPr>
          </w:p>
        </w:tc>
      </w:tr>
      <w:tr w14:paraId="032C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8C1A4">
            <w:pPr>
              <w:pStyle w:val="13"/>
            </w:pPr>
            <w:r>
              <w:t>3</w:t>
            </w:r>
          </w:p>
        </w:tc>
        <w:tc>
          <w:tcPr>
            <w:tcW w:w="3402" w:type="dxa"/>
            <w:vAlign w:val="center"/>
          </w:tcPr>
          <w:p w14:paraId="06D6D1E2">
            <w:pPr>
              <w:pStyle w:val="12"/>
            </w:pPr>
            <w:r>
              <w:t>三、国有资本经营预算拨款</w:t>
            </w:r>
          </w:p>
        </w:tc>
        <w:tc>
          <w:tcPr>
            <w:tcW w:w="1474" w:type="dxa"/>
            <w:vAlign w:val="center"/>
          </w:tcPr>
          <w:p w14:paraId="3AA58372">
            <w:pPr>
              <w:pStyle w:val="11"/>
            </w:pPr>
          </w:p>
        </w:tc>
        <w:tc>
          <w:tcPr>
            <w:tcW w:w="3402" w:type="dxa"/>
            <w:vAlign w:val="center"/>
          </w:tcPr>
          <w:p w14:paraId="47929CB2">
            <w:pPr>
              <w:pStyle w:val="12"/>
            </w:pPr>
            <w:r>
              <w:t>三、国防支出</w:t>
            </w:r>
          </w:p>
        </w:tc>
        <w:tc>
          <w:tcPr>
            <w:tcW w:w="1474" w:type="dxa"/>
            <w:vAlign w:val="center"/>
          </w:tcPr>
          <w:p w14:paraId="42E68F87">
            <w:pPr>
              <w:pStyle w:val="11"/>
            </w:pPr>
          </w:p>
        </w:tc>
        <w:tc>
          <w:tcPr>
            <w:tcW w:w="1474" w:type="dxa"/>
            <w:vAlign w:val="center"/>
          </w:tcPr>
          <w:p w14:paraId="3F78C9DE">
            <w:pPr>
              <w:pStyle w:val="11"/>
            </w:pPr>
          </w:p>
        </w:tc>
        <w:tc>
          <w:tcPr>
            <w:tcW w:w="1474" w:type="dxa"/>
            <w:vAlign w:val="center"/>
          </w:tcPr>
          <w:p w14:paraId="19942CA4">
            <w:pPr>
              <w:pStyle w:val="11"/>
            </w:pPr>
          </w:p>
        </w:tc>
        <w:tc>
          <w:tcPr>
            <w:tcW w:w="1474" w:type="dxa"/>
            <w:vAlign w:val="center"/>
          </w:tcPr>
          <w:p w14:paraId="7F656EAC">
            <w:pPr>
              <w:pStyle w:val="11"/>
            </w:pPr>
          </w:p>
        </w:tc>
      </w:tr>
      <w:tr w14:paraId="4279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F00B">
            <w:pPr>
              <w:pStyle w:val="13"/>
            </w:pPr>
            <w:r>
              <w:t>4</w:t>
            </w:r>
          </w:p>
        </w:tc>
        <w:tc>
          <w:tcPr>
            <w:tcW w:w="3402" w:type="dxa"/>
            <w:vAlign w:val="center"/>
          </w:tcPr>
          <w:p w14:paraId="58E69B51">
            <w:pPr>
              <w:pStyle w:val="12"/>
            </w:pPr>
          </w:p>
        </w:tc>
        <w:tc>
          <w:tcPr>
            <w:tcW w:w="1474" w:type="dxa"/>
            <w:vAlign w:val="center"/>
          </w:tcPr>
          <w:p w14:paraId="227BA318">
            <w:pPr>
              <w:pStyle w:val="11"/>
            </w:pPr>
          </w:p>
        </w:tc>
        <w:tc>
          <w:tcPr>
            <w:tcW w:w="3402" w:type="dxa"/>
            <w:vAlign w:val="center"/>
          </w:tcPr>
          <w:p w14:paraId="50F4E99E">
            <w:pPr>
              <w:pStyle w:val="12"/>
            </w:pPr>
            <w:r>
              <w:t>四、公共安全支出</w:t>
            </w:r>
          </w:p>
        </w:tc>
        <w:tc>
          <w:tcPr>
            <w:tcW w:w="1474" w:type="dxa"/>
            <w:vAlign w:val="center"/>
          </w:tcPr>
          <w:p w14:paraId="7E7773B8">
            <w:pPr>
              <w:pStyle w:val="11"/>
            </w:pPr>
          </w:p>
        </w:tc>
        <w:tc>
          <w:tcPr>
            <w:tcW w:w="1474" w:type="dxa"/>
            <w:vAlign w:val="center"/>
          </w:tcPr>
          <w:p w14:paraId="2C3A8348">
            <w:pPr>
              <w:pStyle w:val="11"/>
            </w:pPr>
          </w:p>
        </w:tc>
        <w:tc>
          <w:tcPr>
            <w:tcW w:w="1474" w:type="dxa"/>
            <w:vAlign w:val="center"/>
          </w:tcPr>
          <w:p w14:paraId="047B07A3">
            <w:pPr>
              <w:pStyle w:val="11"/>
            </w:pPr>
          </w:p>
        </w:tc>
        <w:tc>
          <w:tcPr>
            <w:tcW w:w="1474" w:type="dxa"/>
            <w:vAlign w:val="center"/>
          </w:tcPr>
          <w:p w14:paraId="24A6C910">
            <w:pPr>
              <w:pStyle w:val="11"/>
            </w:pPr>
          </w:p>
        </w:tc>
      </w:tr>
      <w:tr w14:paraId="5F89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9E11C">
            <w:pPr>
              <w:pStyle w:val="13"/>
            </w:pPr>
            <w:r>
              <w:t>5</w:t>
            </w:r>
          </w:p>
        </w:tc>
        <w:tc>
          <w:tcPr>
            <w:tcW w:w="3402" w:type="dxa"/>
            <w:vAlign w:val="center"/>
          </w:tcPr>
          <w:p w14:paraId="5A6589F2">
            <w:pPr>
              <w:pStyle w:val="12"/>
            </w:pPr>
          </w:p>
        </w:tc>
        <w:tc>
          <w:tcPr>
            <w:tcW w:w="1474" w:type="dxa"/>
            <w:vAlign w:val="center"/>
          </w:tcPr>
          <w:p w14:paraId="47B962F7">
            <w:pPr>
              <w:pStyle w:val="11"/>
            </w:pPr>
          </w:p>
        </w:tc>
        <w:tc>
          <w:tcPr>
            <w:tcW w:w="3402" w:type="dxa"/>
            <w:vAlign w:val="center"/>
          </w:tcPr>
          <w:p w14:paraId="1219E60B">
            <w:pPr>
              <w:pStyle w:val="12"/>
            </w:pPr>
            <w:r>
              <w:t>五、教育支出</w:t>
            </w:r>
          </w:p>
        </w:tc>
        <w:tc>
          <w:tcPr>
            <w:tcW w:w="1474" w:type="dxa"/>
            <w:vAlign w:val="center"/>
          </w:tcPr>
          <w:p w14:paraId="65B61FFF">
            <w:pPr>
              <w:pStyle w:val="11"/>
            </w:pPr>
            <w:r>
              <w:t>3508.17</w:t>
            </w:r>
          </w:p>
        </w:tc>
        <w:tc>
          <w:tcPr>
            <w:tcW w:w="1474" w:type="dxa"/>
            <w:vAlign w:val="center"/>
          </w:tcPr>
          <w:p w14:paraId="636FAB86">
            <w:pPr>
              <w:pStyle w:val="11"/>
            </w:pPr>
            <w:r>
              <w:t>3508.17</w:t>
            </w:r>
          </w:p>
        </w:tc>
        <w:tc>
          <w:tcPr>
            <w:tcW w:w="1474" w:type="dxa"/>
            <w:vAlign w:val="center"/>
          </w:tcPr>
          <w:p w14:paraId="02EEEB08">
            <w:pPr>
              <w:pStyle w:val="11"/>
            </w:pPr>
          </w:p>
        </w:tc>
        <w:tc>
          <w:tcPr>
            <w:tcW w:w="1474" w:type="dxa"/>
            <w:vAlign w:val="center"/>
          </w:tcPr>
          <w:p w14:paraId="30F1B2DE">
            <w:pPr>
              <w:pStyle w:val="11"/>
            </w:pPr>
          </w:p>
        </w:tc>
      </w:tr>
      <w:tr w14:paraId="4446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C4E3">
            <w:pPr>
              <w:pStyle w:val="13"/>
            </w:pPr>
            <w:r>
              <w:t>6</w:t>
            </w:r>
          </w:p>
        </w:tc>
        <w:tc>
          <w:tcPr>
            <w:tcW w:w="3402" w:type="dxa"/>
            <w:vAlign w:val="center"/>
          </w:tcPr>
          <w:p w14:paraId="53EB2465">
            <w:pPr>
              <w:pStyle w:val="12"/>
            </w:pPr>
          </w:p>
        </w:tc>
        <w:tc>
          <w:tcPr>
            <w:tcW w:w="1474" w:type="dxa"/>
            <w:vAlign w:val="center"/>
          </w:tcPr>
          <w:p w14:paraId="70EEE71D">
            <w:pPr>
              <w:pStyle w:val="11"/>
            </w:pPr>
          </w:p>
        </w:tc>
        <w:tc>
          <w:tcPr>
            <w:tcW w:w="3402" w:type="dxa"/>
            <w:vAlign w:val="center"/>
          </w:tcPr>
          <w:p w14:paraId="4EF1EE83">
            <w:pPr>
              <w:pStyle w:val="12"/>
            </w:pPr>
            <w:r>
              <w:t>六、科学技术支出</w:t>
            </w:r>
          </w:p>
        </w:tc>
        <w:tc>
          <w:tcPr>
            <w:tcW w:w="1474" w:type="dxa"/>
            <w:vAlign w:val="center"/>
          </w:tcPr>
          <w:p w14:paraId="26FC7C4A">
            <w:pPr>
              <w:pStyle w:val="11"/>
            </w:pPr>
          </w:p>
        </w:tc>
        <w:tc>
          <w:tcPr>
            <w:tcW w:w="1474" w:type="dxa"/>
            <w:vAlign w:val="center"/>
          </w:tcPr>
          <w:p w14:paraId="45DC392A">
            <w:pPr>
              <w:pStyle w:val="11"/>
            </w:pPr>
          </w:p>
        </w:tc>
        <w:tc>
          <w:tcPr>
            <w:tcW w:w="1474" w:type="dxa"/>
            <w:vAlign w:val="center"/>
          </w:tcPr>
          <w:p w14:paraId="47AF4D52">
            <w:pPr>
              <w:pStyle w:val="11"/>
            </w:pPr>
          </w:p>
        </w:tc>
        <w:tc>
          <w:tcPr>
            <w:tcW w:w="1474" w:type="dxa"/>
            <w:vAlign w:val="center"/>
          </w:tcPr>
          <w:p w14:paraId="637830AB">
            <w:pPr>
              <w:pStyle w:val="11"/>
            </w:pPr>
          </w:p>
        </w:tc>
      </w:tr>
      <w:tr w14:paraId="57093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DD59A">
            <w:pPr>
              <w:pStyle w:val="13"/>
            </w:pPr>
            <w:r>
              <w:t>7</w:t>
            </w:r>
          </w:p>
        </w:tc>
        <w:tc>
          <w:tcPr>
            <w:tcW w:w="3402" w:type="dxa"/>
            <w:vAlign w:val="center"/>
          </w:tcPr>
          <w:p w14:paraId="234F16AE">
            <w:pPr>
              <w:pStyle w:val="12"/>
            </w:pPr>
          </w:p>
        </w:tc>
        <w:tc>
          <w:tcPr>
            <w:tcW w:w="1474" w:type="dxa"/>
            <w:vAlign w:val="center"/>
          </w:tcPr>
          <w:p w14:paraId="438990CA">
            <w:pPr>
              <w:pStyle w:val="11"/>
            </w:pPr>
          </w:p>
        </w:tc>
        <w:tc>
          <w:tcPr>
            <w:tcW w:w="3402" w:type="dxa"/>
            <w:vAlign w:val="center"/>
          </w:tcPr>
          <w:p w14:paraId="762FEC13">
            <w:pPr>
              <w:pStyle w:val="12"/>
            </w:pPr>
            <w:r>
              <w:t>七、文化旅游体育与传媒支出</w:t>
            </w:r>
          </w:p>
        </w:tc>
        <w:tc>
          <w:tcPr>
            <w:tcW w:w="1474" w:type="dxa"/>
            <w:vAlign w:val="center"/>
          </w:tcPr>
          <w:p w14:paraId="7D91164E">
            <w:pPr>
              <w:pStyle w:val="11"/>
            </w:pPr>
          </w:p>
        </w:tc>
        <w:tc>
          <w:tcPr>
            <w:tcW w:w="1474" w:type="dxa"/>
            <w:vAlign w:val="center"/>
          </w:tcPr>
          <w:p w14:paraId="7602E170">
            <w:pPr>
              <w:pStyle w:val="11"/>
            </w:pPr>
          </w:p>
        </w:tc>
        <w:tc>
          <w:tcPr>
            <w:tcW w:w="1474" w:type="dxa"/>
            <w:vAlign w:val="center"/>
          </w:tcPr>
          <w:p w14:paraId="48FA7C7C">
            <w:pPr>
              <w:pStyle w:val="11"/>
            </w:pPr>
          </w:p>
        </w:tc>
        <w:tc>
          <w:tcPr>
            <w:tcW w:w="1474" w:type="dxa"/>
            <w:vAlign w:val="center"/>
          </w:tcPr>
          <w:p w14:paraId="5FAB2571">
            <w:pPr>
              <w:pStyle w:val="11"/>
            </w:pPr>
          </w:p>
        </w:tc>
      </w:tr>
      <w:tr w14:paraId="7E64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A5EBF">
            <w:pPr>
              <w:pStyle w:val="13"/>
            </w:pPr>
            <w:r>
              <w:t>8</w:t>
            </w:r>
          </w:p>
        </w:tc>
        <w:tc>
          <w:tcPr>
            <w:tcW w:w="3402" w:type="dxa"/>
            <w:vAlign w:val="center"/>
          </w:tcPr>
          <w:p w14:paraId="543F59BC">
            <w:pPr>
              <w:pStyle w:val="12"/>
            </w:pPr>
          </w:p>
        </w:tc>
        <w:tc>
          <w:tcPr>
            <w:tcW w:w="1474" w:type="dxa"/>
            <w:vAlign w:val="center"/>
          </w:tcPr>
          <w:p w14:paraId="683176B5">
            <w:pPr>
              <w:pStyle w:val="11"/>
            </w:pPr>
          </w:p>
        </w:tc>
        <w:tc>
          <w:tcPr>
            <w:tcW w:w="3402" w:type="dxa"/>
            <w:vAlign w:val="center"/>
          </w:tcPr>
          <w:p w14:paraId="730AE47B">
            <w:pPr>
              <w:pStyle w:val="12"/>
            </w:pPr>
            <w:r>
              <w:t>八、社会保障和就业支出</w:t>
            </w:r>
          </w:p>
        </w:tc>
        <w:tc>
          <w:tcPr>
            <w:tcW w:w="1474" w:type="dxa"/>
            <w:vAlign w:val="center"/>
          </w:tcPr>
          <w:p w14:paraId="3E2ACB28">
            <w:pPr>
              <w:pStyle w:val="11"/>
            </w:pPr>
          </w:p>
        </w:tc>
        <w:tc>
          <w:tcPr>
            <w:tcW w:w="1474" w:type="dxa"/>
            <w:vAlign w:val="center"/>
          </w:tcPr>
          <w:p w14:paraId="71CA6938">
            <w:pPr>
              <w:pStyle w:val="11"/>
            </w:pPr>
          </w:p>
        </w:tc>
        <w:tc>
          <w:tcPr>
            <w:tcW w:w="1474" w:type="dxa"/>
            <w:vAlign w:val="center"/>
          </w:tcPr>
          <w:p w14:paraId="638C422A">
            <w:pPr>
              <w:pStyle w:val="11"/>
            </w:pPr>
          </w:p>
        </w:tc>
        <w:tc>
          <w:tcPr>
            <w:tcW w:w="1474" w:type="dxa"/>
            <w:vAlign w:val="center"/>
          </w:tcPr>
          <w:p w14:paraId="03765EA4">
            <w:pPr>
              <w:pStyle w:val="11"/>
            </w:pPr>
          </w:p>
        </w:tc>
      </w:tr>
      <w:tr w14:paraId="2D12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7301D">
            <w:pPr>
              <w:pStyle w:val="13"/>
            </w:pPr>
            <w:r>
              <w:t>9</w:t>
            </w:r>
          </w:p>
        </w:tc>
        <w:tc>
          <w:tcPr>
            <w:tcW w:w="3402" w:type="dxa"/>
            <w:vAlign w:val="center"/>
          </w:tcPr>
          <w:p w14:paraId="6DB9ED33">
            <w:pPr>
              <w:pStyle w:val="12"/>
            </w:pPr>
          </w:p>
        </w:tc>
        <w:tc>
          <w:tcPr>
            <w:tcW w:w="1474" w:type="dxa"/>
            <w:vAlign w:val="center"/>
          </w:tcPr>
          <w:p w14:paraId="06105F94">
            <w:pPr>
              <w:pStyle w:val="11"/>
            </w:pPr>
          </w:p>
        </w:tc>
        <w:tc>
          <w:tcPr>
            <w:tcW w:w="3402" w:type="dxa"/>
            <w:vAlign w:val="center"/>
          </w:tcPr>
          <w:p w14:paraId="431C7ACF">
            <w:pPr>
              <w:pStyle w:val="12"/>
            </w:pPr>
            <w:r>
              <w:t>九、社会保险基金支出</w:t>
            </w:r>
          </w:p>
        </w:tc>
        <w:tc>
          <w:tcPr>
            <w:tcW w:w="1474" w:type="dxa"/>
            <w:vAlign w:val="center"/>
          </w:tcPr>
          <w:p w14:paraId="6132D30D">
            <w:pPr>
              <w:pStyle w:val="11"/>
            </w:pPr>
          </w:p>
        </w:tc>
        <w:tc>
          <w:tcPr>
            <w:tcW w:w="1474" w:type="dxa"/>
            <w:vAlign w:val="center"/>
          </w:tcPr>
          <w:p w14:paraId="7666E986">
            <w:pPr>
              <w:pStyle w:val="11"/>
            </w:pPr>
          </w:p>
        </w:tc>
        <w:tc>
          <w:tcPr>
            <w:tcW w:w="1474" w:type="dxa"/>
            <w:vAlign w:val="center"/>
          </w:tcPr>
          <w:p w14:paraId="143D6371">
            <w:pPr>
              <w:pStyle w:val="11"/>
            </w:pPr>
          </w:p>
        </w:tc>
        <w:tc>
          <w:tcPr>
            <w:tcW w:w="1474" w:type="dxa"/>
            <w:vAlign w:val="center"/>
          </w:tcPr>
          <w:p w14:paraId="5E795F22">
            <w:pPr>
              <w:pStyle w:val="11"/>
            </w:pPr>
          </w:p>
        </w:tc>
      </w:tr>
      <w:tr w14:paraId="46A3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3F8AD">
            <w:pPr>
              <w:pStyle w:val="13"/>
            </w:pPr>
            <w:r>
              <w:t>10</w:t>
            </w:r>
          </w:p>
        </w:tc>
        <w:tc>
          <w:tcPr>
            <w:tcW w:w="3402" w:type="dxa"/>
            <w:vAlign w:val="center"/>
          </w:tcPr>
          <w:p w14:paraId="1CA081C3">
            <w:pPr>
              <w:pStyle w:val="12"/>
            </w:pPr>
          </w:p>
        </w:tc>
        <w:tc>
          <w:tcPr>
            <w:tcW w:w="1474" w:type="dxa"/>
            <w:vAlign w:val="center"/>
          </w:tcPr>
          <w:p w14:paraId="52D44535">
            <w:pPr>
              <w:pStyle w:val="11"/>
            </w:pPr>
          </w:p>
        </w:tc>
        <w:tc>
          <w:tcPr>
            <w:tcW w:w="3402" w:type="dxa"/>
            <w:vAlign w:val="center"/>
          </w:tcPr>
          <w:p w14:paraId="2EAC000F">
            <w:pPr>
              <w:pStyle w:val="12"/>
            </w:pPr>
            <w:r>
              <w:t>十、卫生健康支出</w:t>
            </w:r>
          </w:p>
        </w:tc>
        <w:tc>
          <w:tcPr>
            <w:tcW w:w="1474" w:type="dxa"/>
            <w:vAlign w:val="center"/>
          </w:tcPr>
          <w:p w14:paraId="7135D927">
            <w:pPr>
              <w:pStyle w:val="11"/>
            </w:pPr>
          </w:p>
        </w:tc>
        <w:tc>
          <w:tcPr>
            <w:tcW w:w="1474" w:type="dxa"/>
            <w:vAlign w:val="center"/>
          </w:tcPr>
          <w:p w14:paraId="65F20509">
            <w:pPr>
              <w:pStyle w:val="11"/>
            </w:pPr>
          </w:p>
        </w:tc>
        <w:tc>
          <w:tcPr>
            <w:tcW w:w="1474" w:type="dxa"/>
            <w:vAlign w:val="center"/>
          </w:tcPr>
          <w:p w14:paraId="0E15E3C4">
            <w:pPr>
              <w:pStyle w:val="11"/>
            </w:pPr>
          </w:p>
        </w:tc>
        <w:tc>
          <w:tcPr>
            <w:tcW w:w="1474" w:type="dxa"/>
            <w:vAlign w:val="center"/>
          </w:tcPr>
          <w:p w14:paraId="3664C1DA">
            <w:pPr>
              <w:pStyle w:val="11"/>
            </w:pPr>
          </w:p>
        </w:tc>
      </w:tr>
      <w:tr w14:paraId="6AF5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9837">
            <w:pPr>
              <w:pStyle w:val="13"/>
            </w:pPr>
            <w:r>
              <w:t>11</w:t>
            </w:r>
          </w:p>
        </w:tc>
        <w:tc>
          <w:tcPr>
            <w:tcW w:w="3402" w:type="dxa"/>
            <w:vAlign w:val="center"/>
          </w:tcPr>
          <w:p w14:paraId="092ECE0B">
            <w:pPr>
              <w:pStyle w:val="12"/>
            </w:pPr>
          </w:p>
        </w:tc>
        <w:tc>
          <w:tcPr>
            <w:tcW w:w="1474" w:type="dxa"/>
            <w:vAlign w:val="center"/>
          </w:tcPr>
          <w:p w14:paraId="227F2101">
            <w:pPr>
              <w:pStyle w:val="11"/>
            </w:pPr>
          </w:p>
        </w:tc>
        <w:tc>
          <w:tcPr>
            <w:tcW w:w="3402" w:type="dxa"/>
            <w:vAlign w:val="center"/>
          </w:tcPr>
          <w:p w14:paraId="03F74261">
            <w:pPr>
              <w:pStyle w:val="12"/>
            </w:pPr>
            <w:r>
              <w:t>十一、节能环保支出</w:t>
            </w:r>
          </w:p>
        </w:tc>
        <w:tc>
          <w:tcPr>
            <w:tcW w:w="1474" w:type="dxa"/>
            <w:vAlign w:val="center"/>
          </w:tcPr>
          <w:p w14:paraId="667062E1">
            <w:pPr>
              <w:pStyle w:val="11"/>
            </w:pPr>
          </w:p>
        </w:tc>
        <w:tc>
          <w:tcPr>
            <w:tcW w:w="1474" w:type="dxa"/>
            <w:vAlign w:val="center"/>
          </w:tcPr>
          <w:p w14:paraId="25F1987E">
            <w:pPr>
              <w:pStyle w:val="11"/>
            </w:pPr>
          </w:p>
        </w:tc>
        <w:tc>
          <w:tcPr>
            <w:tcW w:w="1474" w:type="dxa"/>
            <w:vAlign w:val="center"/>
          </w:tcPr>
          <w:p w14:paraId="525F93EC">
            <w:pPr>
              <w:pStyle w:val="11"/>
            </w:pPr>
          </w:p>
        </w:tc>
        <w:tc>
          <w:tcPr>
            <w:tcW w:w="1474" w:type="dxa"/>
            <w:vAlign w:val="center"/>
          </w:tcPr>
          <w:p w14:paraId="2B71CCEF">
            <w:pPr>
              <w:pStyle w:val="11"/>
            </w:pPr>
          </w:p>
        </w:tc>
      </w:tr>
      <w:tr w14:paraId="38DB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F55B">
            <w:pPr>
              <w:pStyle w:val="13"/>
            </w:pPr>
            <w:r>
              <w:t>12</w:t>
            </w:r>
          </w:p>
        </w:tc>
        <w:tc>
          <w:tcPr>
            <w:tcW w:w="3402" w:type="dxa"/>
            <w:vAlign w:val="center"/>
          </w:tcPr>
          <w:p w14:paraId="63857528">
            <w:pPr>
              <w:pStyle w:val="12"/>
            </w:pPr>
          </w:p>
        </w:tc>
        <w:tc>
          <w:tcPr>
            <w:tcW w:w="1474" w:type="dxa"/>
            <w:vAlign w:val="center"/>
          </w:tcPr>
          <w:p w14:paraId="05340AD6">
            <w:pPr>
              <w:pStyle w:val="11"/>
            </w:pPr>
          </w:p>
        </w:tc>
        <w:tc>
          <w:tcPr>
            <w:tcW w:w="3402" w:type="dxa"/>
            <w:vAlign w:val="center"/>
          </w:tcPr>
          <w:p w14:paraId="3B1A58FA">
            <w:pPr>
              <w:pStyle w:val="12"/>
            </w:pPr>
            <w:r>
              <w:t>十二、城乡社区支出</w:t>
            </w:r>
          </w:p>
        </w:tc>
        <w:tc>
          <w:tcPr>
            <w:tcW w:w="1474" w:type="dxa"/>
            <w:vAlign w:val="center"/>
          </w:tcPr>
          <w:p w14:paraId="7B815FE8">
            <w:pPr>
              <w:pStyle w:val="11"/>
            </w:pPr>
          </w:p>
        </w:tc>
        <w:tc>
          <w:tcPr>
            <w:tcW w:w="1474" w:type="dxa"/>
            <w:vAlign w:val="center"/>
          </w:tcPr>
          <w:p w14:paraId="509FA241">
            <w:pPr>
              <w:pStyle w:val="11"/>
            </w:pPr>
          </w:p>
        </w:tc>
        <w:tc>
          <w:tcPr>
            <w:tcW w:w="1474" w:type="dxa"/>
            <w:vAlign w:val="center"/>
          </w:tcPr>
          <w:p w14:paraId="3ECD0217">
            <w:pPr>
              <w:pStyle w:val="11"/>
            </w:pPr>
          </w:p>
        </w:tc>
        <w:tc>
          <w:tcPr>
            <w:tcW w:w="1474" w:type="dxa"/>
            <w:vAlign w:val="center"/>
          </w:tcPr>
          <w:p w14:paraId="2D6B9006">
            <w:pPr>
              <w:pStyle w:val="11"/>
            </w:pPr>
          </w:p>
        </w:tc>
      </w:tr>
      <w:tr w14:paraId="3400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C4C63">
            <w:pPr>
              <w:pStyle w:val="13"/>
            </w:pPr>
            <w:r>
              <w:t>13</w:t>
            </w:r>
          </w:p>
        </w:tc>
        <w:tc>
          <w:tcPr>
            <w:tcW w:w="3402" w:type="dxa"/>
            <w:vAlign w:val="center"/>
          </w:tcPr>
          <w:p w14:paraId="7D59B71A">
            <w:pPr>
              <w:pStyle w:val="12"/>
            </w:pPr>
          </w:p>
        </w:tc>
        <w:tc>
          <w:tcPr>
            <w:tcW w:w="1474" w:type="dxa"/>
            <w:vAlign w:val="center"/>
          </w:tcPr>
          <w:p w14:paraId="6E7AFF40">
            <w:pPr>
              <w:pStyle w:val="11"/>
            </w:pPr>
          </w:p>
        </w:tc>
        <w:tc>
          <w:tcPr>
            <w:tcW w:w="3402" w:type="dxa"/>
            <w:vAlign w:val="center"/>
          </w:tcPr>
          <w:p w14:paraId="7ACEF561">
            <w:pPr>
              <w:pStyle w:val="12"/>
            </w:pPr>
            <w:r>
              <w:t>十三、农林水支出</w:t>
            </w:r>
          </w:p>
        </w:tc>
        <w:tc>
          <w:tcPr>
            <w:tcW w:w="1474" w:type="dxa"/>
            <w:vAlign w:val="center"/>
          </w:tcPr>
          <w:p w14:paraId="03B70E40">
            <w:pPr>
              <w:pStyle w:val="11"/>
            </w:pPr>
          </w:p>
        </w:tc>
        <w:tc>
          <w:tcPr>
            <w:tcW w:w="1474" w:type="dxa"/>
            <w:vAlign w:val="center"/>
          </w:tcPr>
          <w:p w14:paraId="73C50D3A">
            <w:pPr>
              <w:pStyle w:val="11"/>
            </w:pPr>
          </w:p>
        </w:tc>
        <w:tc>
          <w:tcPr>
            <w:tcW w:w="1474" w:type="dxa"/>
            <w:vAlign w:val="center"/>
          </w:tcPr>
          <w:p w14:paraId="2F89BFB1">
            <w:pPr>
              <w:pStyle w:val="11"/>
            </w:pPr>
          </w:p>
        </w:tc>
        <w:tc>
          <w:tcPr>
            <w:tcW w:w="1474" w:type="dxa"/>
            <w:vAlign w:val="center"/>
          </w:tcPr>
          <w:p w14:paraId="52344DB0">
            <w:pPr>
              <w:pStyle w:val="11"/>
            </w:pPr>
          </w:p>
        </w:tc>
      </w:tr>
      <w:tr w14:paraId="5F95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FA2E">
            <w:pPr>
              <w:pStyle w:val="13"/>
            </w:pPr>
            <w:r>
              <w:t>14</w:t>
            </w:r>
          </w:p>
        </w:tc>
        <w:tc>
          <w:tcPr>
            <w:tcW w:w="3402" w:type="dxa"/>
            <w:vAlign w:val="center"/>
          </w:tcPr>
          <w:p w14:paraId="0260F1B9">
            <w:pPr>
              <w:pStyle w:val="12"/>
            </w:pPr>
          </w:p>
        </w:tc>
        <w:tc>
          <w:tcPr>
            <w:tcW w:w="1474" w:type="dxa"/>
            <w:vAlign w:val="center"/>
          </w:tcPr>
          <w:p w14:paraId="73F846D8">
            <w:pPr>
              <w:pStyle w:val="11"/>
            </w:pPr>
          </w:p>
        </w:tc>
        <w:tc>
          <w:tcPr>
            <w:tcW w:w="3402" w:type="dxa"/>
            <w:vAlign w:val="center"/>
          </w:tcPr>
          <w:p w14:paraId="5FD675CF">
            <w:pPr>
              <w:pStyle w:val="12"/>
            </w:pPr>
            <w:r>
              <w:t>十四、交通运输支出</w:t>
            </w:r>
          </w:p>
        </w:tc>
        <w:tc>
          <w:tcPr>
            <w:tcW w:w="1474" w:type="dxa"/>
            <w:vAlign w:val="center"/>
          </w:tcPr>
          <w:p w14:paraId="330EF6BA">
            <w:pPr>
              <w:pStyle w:val="11"/>
            </w:pPr>
          </w:p>
        </w:tc>
        <w:tc>
          <w:tcPr>
            <w:tcW w:w="1474" w:type="dxa"/>
            <w:vAlign w:val="center"/>
          </w:tcPr>
          <w:p w14:paraId="120BA1E5">
            <w:pPr>
              <w:pStyle w:val="11"/>
            </w:pPr>
          </w:p>
        </w:tc>
        <w:tc>
          <w:tcPr>
            <w:tcW w:w="1474" w:type="dxa"/>
            <w:vAlign w:val="center"/>
          </w:tcPr>
          <w:p w14:paraId="5872A8B9">
            <w:pPr>
              <w:pStyle w:val="11"/>
            </w:pPr>
          </w:p>
        </w:tc>
        <w:tc>
          <w:tcPr>
            <w:tcW w:w="1474" w:type="dxa"/>
            <w:vAlign w:val="center"/>
          </w:tcPr>
          <w:p w14:paraId="6DFAB4D0">
            <w:pPr>
              <w:pStyle w:val="11"/>
            </w:pPr>
          </w:p>
        </w:tc>
      </w:tr>
      <w:tr w14:paraId="128B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B0C02">
            <w:pPr>
              <w:pStyle w:val="13"/>
            </w:pPr>
            <w:r>
              <w:t>15</w:t>
            </w:r>
          </w:p>
        </w:tc>
        <w:tc>
          <w:tcPr>
            <w:tcW w:w="3402" w:type="dxa"/>
            <w:vAlign w:val="center"/>
          </w:tcPr>
          <w:p w14:paraId="670C1DF0">
            <w:pPr>
              <w:pStyle w:val="12"/>
            </w:pPr>
          </w:p>
        </w:tc>
        <w:tc>
          <w:tcPr>
            <w:tcW w:w="1474" w:type="dxa"/>
            <w:vAlign w:val="center"/>
          </w:tcPr>
          <w:p w14:paraId="3CE47B53">
            <w:pPr>
              <w:pStyle w:val="11"/>
            </w:pPr>
          </w:p>
        </w:tc>
        <w:tc>
          <w:tcPr>
            <w:tcW w:w="3402" w:type="dxa"/>
            <w:vAlign w:val="center"/>
          </w:tcPr>
          <w:p w14:paraId="57C076D8">
            <w:pPr>
              <w:pStyle w:val="12"/>
            </w:pPr>
            <w:r>
              <w:t>十五、资源勘探工业信息等支出</w:t>
            </w:r>
          </w:p>
        </w:tc>
        <w:tc>
          <w:tcPr>
            <w:tcW w:w="1474" w:type="dxa"/>
            <w:vAlign w:val="center"/>
          </w:tcPr>
          <w:p w14:paraId="01A0C721">
            <w:pPr>
              <w:pStyle w:val="11"/>
            </w:pPr>
          </w:p>
        </w:tc>
        <w:tc>
          <w:tcPr>
            <w:tcW w:w="1474" w:type="dxa"/>
            <w:vAlign w:val="center"/>
          </w:tcPr>
          <w:p w14:paraId="01591BAE">
            <w:pPr>
              <w:pStyle w:val="11"/>
            </w:pPr>
          </w:p>
        </w:tc>
        <w:tc>
          <w:tcPr>
            <w:tcW w:w="1474" w:type="dxa"/>
            <w:vAlign w:val="center"/>
          </w:tcPr>
          <w:p w14:paraId="270BE6FA">
            <w:pPr>
              <w:pStyle w:val="11"/>
            </w:pPr>
          </w:p>
        </w:tc>
        <w:tc>
          <w:tcPr>
            <w:tcW w:w="1474" w:type="dxa"/>
            <w:vAlign w:val="center"/>
          </w:tcPr>
          <w:p w14:paraId="6F7E3F99">
            <w:pPr>
              <w:pStyle w:val="11"/>
            </w:pPr>
          </w:p>
        </w:tc>
      </w:tr>
      <w:tr w14:paraId="4348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8A251">
            <w:pPr>
              <w:pStyle w:val="13"/>
            </w:pPr>
            <w:r>
              <w:t>16</w:t>
            </w:r>
          </w:p>
        </w:tc>
        <w:tc>
          <w:tcPr>
            <w:tcW w:w="3402" w:type="dxa"/>
            <w:vAlign w:val="center"/>
          </w:tcPr>
          <w:p w14:paraId="16F4535D">
            <w:pPr>
              <w:pStyle w:val="12"/>
            </w:pPr>
          </w:p>
        </w:tc>
        <w:tc>
          <w:tcPr>
            <w:tcW w:w="1474" w:type="dxa"/>
            <w:vAlign w:val="center"/>
          </w:tcPr>
          <w:p w14:paraId="242D986B">
            <w:pPr>
              <w:pStyle w:val="11"/>
            </w:pPr>
          </w:p>
        </w:tc>
        <w:tc>
          <w:tcPr>
            <w:tcW w:w="3402" w:type="dxa"/>
            <w:vAlign w:val="center"/>
          </w:tcPr>
          <w:p w14:paraId="6269FC30">
            <w:pPr>
              <w:pStyle w:val="12"/>
            </w:pPr>
            <w:r>
              <w:t>十六、商业服务业等支出</w:t>
            </w:r>
          </w:p>
        </w:tc>
        <w:tc>
          <w:tcPr>
            <w:tcW w:w="1474" w:type="dxa"/>
            <w:vAlign w:val="center"/>
          </w:tcPr>
          <w:p w14:paraId="66936E4C">
            <w:pPr>
              <w:pStyle w:val="11"/>
            </w:pPr>
          </w:p>
        </w:tc>
        <w:tc>
          <w:tcPr>
            <w:tcW w:w="1474" w:type="dxa"/>
            <w:vAlign w:val="center"/>
          </w:tcPr>
          <w:p w14:paraId="38074AE9">
            <w:pPr>
              <w:pStyle w:val="11"/>
            </w:pPr>
          </w:p>
        </w:tc>
        <w:tc>
          <w:tcPr>
            <w:tcW w:w="1474" w:type="dxa"/>
            <w:vAlign w:val="center"/>
          </w:tcPr>
          <w:p w14:paraId="33EEA43A">
            <w:pPr>
              <w:pStyle w:val="11"/>
            </w:pPr>
          </w:p>
        </w:tc>
        <w:tc>
          <w:tcPr>
            <w:tcW w:w="1474" w:type="dxa"/>
            <w:vAlign w:val="center"/>
          </w:tcPr>
          <w:p w14:paraId="49600975">
            <w:pPr>
              <w:pStyle w:val="11"/>
            </w:pPr>
          </w:p>
        </w:tc>
      </w:tr>
      <w:tr w14:paraId="1861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21C9">
            <w:pPr>
              <w:pStyle w:val="13"/>
            </w:pPr>
            <w:r>
              <w:t>17</w:t>
            </w:r>
          </w:p>
        </w:tc>
        <w:tc>
          <w:tcPr>
            <w:tcW w:w="3402" w:type="dxa"/>
            <w:vAlign w:val="center"/>
          </w:tcPr>
          <w:p w14:paraId="5102A119">
            <w:pPr>
              <w:pStyle w:val="12"/>
            </w:pPr>
          </w:p>
        </w:tc>
        <w:tc>
          <w:tcPr>
            <w:tcW w:w="1474" w:type="dxa"/>
            <w:vAlign w:val="center"/>
          </w:tcPr>
          <w:p w14:paraId="6B92EFF8">
            <w:pPr>
              <w:pStyle w:val="11"/>
            </w:pPr>
          </w:p>
        </w:tc>
        <w:tc>
          <w:tcPr>
            <w:tcW w:w="3402" w:type="dxa"/>
            <w:vAlign w:val="center"/>
          </w:tcPr>
          <w:p w14:paraId="5DEBBF15">
            <w:pPr>
              <w:pStyle w:val="12"/>
            </w:pPr>
            <w:r>
              <w:t>十七、金融支出</w:t>
            </w:r>
          </w:p>
        </w:tc>
        <w:tc>
          <w:tcPr>
            <w:tcW w:w="1474" w:type="dxa"/>
            <w:vAlign w:val="center"/>
          </w:tcPr>
          <w:p w14:paraId="54396068">
            <w:pPr>
              <w:pStyle w:val="11"/>
            </w:pPr>
          </w:p>
        </w:tc>
        <w:tc>
          <w:tcPr>
            <w:tcW w:w="1474" w:type="dxa"/>
            <w:vAlign w:val="center"/>
          </w:tcPr>
          <w:p w14:paraId="0184432F">
            <w:pPr>
              <w:pStyle w:val="11"/>
            </w:pPr>
          </w:p>
        </w:tc>
        <w:tc>
          <w:tcPr>
            <w:tcW w:w="1474" w:type="dxa"/>
            <w:vAlign w:val="center"/>
          </w:tcPr>
          <w:p w14:paraId="143FEB8D">
            <w:pPr>
              <w:pStyle w:val="11"/>
            </w:pPr>
          </w:p>
        </w:tc>
        <w:tc>
          <w:tcPr>
            <w:tcW w:w="1474" w:type="dxa"/>
            <w:vAlign w:val="center"/>
          </w:tcPr>
          <w:p w14:paraId="6264D2A7">
            <w:pPr>
              <w:pStyle w:val="11"/>
            </w:pPr>
          </w:p>
        </w:tc>
      </w:tr>
      <w:tr w14:paraId="5F1C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97B23">
            <w:pPr>
              <w:pStyle w:val="13"/>
            </w:pPr>
            <w:r>
              <w:t>18</w:t>
            </w:r>
          </w:p>
        </w:tc>
        <w:tc>
          <w:tcPr>
            <w:tcW w:w="3402" w:type="dxa"/>
            <w:vAlign w:val="center"/>
          </w:tcPr>
          <w:p w14:paraId="7DCA5DC0">
            <w:pPr>
              <w:pStyle w:val="12"/>
            </w:pPr>
          </w:p>
        </w:tc>
        <w:tc>
          <w:tcPr>
            <w:tcW w:w="1474" w:type="dxa"/>
            <w:vAlign w:val="center"/>
          </w:tcPr>
          <w:p w14:paraId="12FDC31E">
            <w:pPr>
              <w:pStyle w:val="11"/>
            </w:pPr>
          </w:p>
        </w:tc>
        <w:tc>
          <w:tcPr>
            <w:tcW w:w="3402" w:type="dxa"/>
            <w:vAlign w:val="center"/>
          </w:tcPr>
          <w:p w14:paraId="1C72C21E">
            <w:pPr>
              <w:pStyle w:val="12"/>
            </w:pPr>
            <w:r>
              <w:t>十八、援助其他地区支出</w:t>
            </w:r>
          </w:p>
        </w:tc>
        <w:tc>
          <w:tcPr>
            <w:tcW w:w="1474" w:type="dxa"/>
            <w:vAlign w:val="center"/>
          </w:tcPr>
          <w:p w14:paraId="628F3879">
            <w:pPr>
              <w:pStyle w:val="11"/>
            </w:pPr>
          </w:p>
        </w:tc>
        <w:tc>
          <w:tcPr>
            <w:tcW w:w="1474" w:type="dxa"/>
            <w:vAlign w:val="center"/>
          </w:tcPr>
          <w:p w14:paraId="25D428C6">
            <w:pPr>
              <w:pStyle w:val="11"/>
            </w:pPr>
          </w:p>
        </w:tc>
        <w:tc>
          <w:tcPr>
            <w:tcW w:w="1474" w:type="dxa"/>
            <w:vAlign w:val="center"/>
          </w:tcPr>
          <w:p w14:paraId="7C37DE45">
            <w:pPr>
              <w:pStyle w:val="11"/>
            </w:pPr>
          </w:p>
        </w:tc>
        <w:tc>
          <w:tcPr>
            <w:tcW w:w="1474" w:type="dxa"/>
            <w:vAlign w:val="center"/>
          </w:tcPr>
          <w:p w14:paraId="44EDF79E">
            <w:pPr>
              <w:pStyle w:val="11"/>
            </w:pPr>
          </w:p>
        </w:tc>
      </w:tr>
      <w:tr w14:paraId="5FCB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21517">
            <w:pPr>
              <w:pStyle w:val="13"/>
            </w:pPr>
            <w:r>
              <w:t>19</w:t>
            </w:r>
          </w:p>
        </w:tc>
        <w:tc>
          <w:tcPr>
            <w:tcW w:w="3402" w:type="dxa"/>
            <w:vAlign w:val="center"/>
          </w:tcPr>
          <w:p w14:paraId="063C1646">
            <w:pPr>
              <w:pStyle w:val="12"/>
            </w:pPr>
          </w:p>
        </w:tc>
        <w:tc>
          <w:tcPr>
            <w:tcW w:w="1474" w:type="dxa"/>
            <w:vAlign w:val="center"/>
          </w:tcPr>
          <w:p w14:paraId="26269FE0">
            <w:pPr>
              <w:pStyle w:val="11"/>
            </w:pPr>
          </w:p>
        </w:tc>
        <w:tc>
          <w:tcPr>
            <w:tcW w:w="3402" w:type="dxa"/>
            <w:vAlign w:val="center"/>
          </w:tcPr>
          <w:p w14:paraId="7775F8B5">
            <w:pPr>
              <w:pStyle w:val="12"/>
            </w:pPr>
            <w:r>
              <w:t>十九、自然资源海洋气象等支出</w:t>
            </w:r>
          </w:p>
        </w:tc>
        <w:tc>
          <w:tcPr>
            <w:tcW w:w="1474" w:type="dxa"/>
            <w:vAlign w:val="center"/>
          </w:tcPr>
          <w:p w14:paraId="65967C50">
            <w:pPr>
              <w:pStyle w:val="11"/>
            </w:pPr>
          </w:p>
        </w:tc>
        <w:tc>
          <w:tcPr>
            <w:tcW w:w="1474" w:type="dxa"/>
            <w:vAlign w:val="center"/>
          </w:tcPr>
          <w:p w14:paraId="69301BF1">
            <w:pPr>
              <w:pStyle w:val="11"/>
            </w:pPr>
          </w:p>
        </w:tc>
        <w:tc>
          <w:tcPr>
            <w:tcW w:w="1474" w:type="dxa"/>
            <w:vAlign w:val="center"/>
          </w:tcPr>
          <w:p w14:paraId="293F5B46">
            <w:pPr>
              <w:pStyle w:val="11"/>
            </w:pPr>
          </w:p>
        </w:tc>
        <w:tc>
          <w:tcPr>
            <w:tcW w:w="1474" w:type="dxa"/>
            <w:vAlign w:val="center"/>
          </w:tcPr>
          <w:p w14:paraId="376E7FEE">
            <w:pPr>
              <w:pStyle w:val="11"/>
            </w:pPr>
          </w:p>
        </w:tc>
      </w:tr>
      <w:tr w14:paraId="4DD3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8185F">
            <w:pPr>
              <w:pStyle w:val="13"/>
            </w:pPr>
            <w:r>
              <w:t>20</w:t>
            </w:r>
          </w:p>
        </w:tc>
        <w:tc>
          <w:tcPr>
            <w:tcW w:w="3402" w:type="dxa"/>
            <w:vAlign w:val="center"/>
          </w:tcPr>
          <w:p w14:paraId="1D5C7DD6">
            <w:pPr>
              <w:pStyle w:val="12"/>
            </w:pPr>
          </w:p>
        </w:tc>
        <w:tc>
          <w:tcPr>
            <w:tcW w:w="1474" w:type="dxa"/>
            <w:vAlign w:val="center"/>
          </w:tcPr>
          <w:p w14:paraId="3A6F5775">
            <w:pPr>
              <w:pStyle w:val="11"/>
            </w:pPr>
          </w:p>
        </w:tc>
        <w:tc>
          <w:tcPr>
            <w:tcW w:w="3402" w:type="dxa"/>
            <w:vAlign w:val="center"/>
          </w:tcPr>
          <w:p w14:paraId="26CF610A">
            <w:pPr>
              <w:pStyle w:val="12"/>
            </w:pPr>
            <w:r>
              <w:t>二十、住房保障支出</w:t>
            </w:r>
          </w:p>
        </w:tc>
        <w:tc>
          <w:tcPr>
            <w:tcW w:w="1474" w:type="dxa"/>
            <w:vAlign w:val="center"/>
          </w:tcPr>
          <w:p w14:paraId="1EF12464">
            <w:pPr>
              <w:pStyle w:val="11"/>
            </w:pPr>
          </w:p>
        </w:tc>
        <w:tc>
          <w:tcPr>
            <w:tcW w:w="1474" w:type="dxa"/>
            <w:vAlign w:val="center"/>
          </w:tcPr>
          <w:p w14:paraId="2A68151C">
            <w:pPr>
              <w:pStyle w:val="11"/>
            </w:pPr>
          </w:p>
        </w:tc>
        <w:tc>
          <w:tcPr>
            <w:tcW w:w="1474" w:type="dxa"/>
            <w:vAlign w:val="center"/>
          </w:tcPr>
          <w:p w14:paraId="4744763A">
            <w:pPr>
              <w:pStyle w:val="11"/>
            </w:pPr>
          </w:p>
        </w:tc>
        <w:tc>
          <w:tcPr>
            <w:tcW w:w="1474" w:type="dxa"/>
            <w:vAlign w:val="center"/>
          </w:tcPr>
          <w:p w14:paraId="380976AB">
            <w:pPr>
              <w:pStyle w:val="11"/>
            </w:pPr>
          </w:p>
        </w:tc>
      </w:tr>
      <w:tr w14:paraId="16CA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E68F9">
            <w:pPr>
              <w:pStyle w:val="13"/>
            </w:pPr>
            <w:r>
              <w:t>21</w:t>
            </w:r>
          </w:p>
        </w:tc>
        <w:tc>
          <w:tcPr>
            <w:tcW w:w="3402" w:type="dxa"/>
            <w:vAlign w:val="center"/>
          </w:tcPr>
          <w:p w14:paraId="0F08B7E3">
            <w:pPr>
              <w:pStyle w:val="12"/>
            </w:pPr>
          </w:p>
        </w:tc>
        <w:tc>
          <w:tcPr>
            <w:tcW w:w="1474" w:type="dxa"/>
            <w:vAlign w:val="center"/>
          </w:tcPr>
          <w:p w14:paraId="327B0FF0">
            <w:pPr>
              <w:pStyle w:val="11"/>
            </w:pPr>
          </w:p>
        </w:tc>
        <w:tc>
          <w:tcPr>
            <w:tcW w:w="3402" w:type="dxa"/>
            <w:vAlign w:val="center"/>
          </w:tcPr>
          <w:p w14:paraId="0AB2BC19">
            <w:pPr>
              <w:pStyle w:val="12"/>
            </w:pPr>
            <w:r>
              <w:t>二十一、粮油物资储备支出</w:t>
            </w:r>
          </w:p>
        </w:tc>
        <w:tc>
          <w:tcPr>
            <w:tcW w:w="1474" w:type="dxa"/>
            <w:vAlign w:val="center"/>
          </w:tcPr>
          <w:p w14:paraId="035352BC">
            <w:pPr>
              <w:pStyle w:val="11"/>
            </w:pPr>
          </w:p>
        </w:tc>
        <w:tc>
          <w:tcPr>
            <w:tcW w:w="1474" w:type="dxa"/>
            <w:vAlign w:val="center"/>
          </w:tcPr>
          <w:p w14:paraId="72FB0E06">
            <w:pPr>
              <w:pStyle w:val="11"/>
            </w:pPr>
          </w:p>
        </w:tc>
        <w:tc>
          <w:tcPr>
            <w:tcW w:w="1474" w:type="dxa"/>
            <w:vAlign w:val="center"/>
          </w:tcPr>
          <w:p w14:paraId="7D2E558B">
            <w:pPr>
              <w:pStyle w:val="11"/>
            </w:pPr>
          </w:p>
        </w:tc>
        <w:tc>
          <w:tcPr>
            <w:tcW w:w="1474" w:type="dxa"/>
            <w:vAlign w:val="center"/>
          </w:tcPr>
          <w:p w14:paraId="0926A900">
            <w:pPr>
              <w:pStyle w:val="11"/>
            </w:pPr>
          </w:p>
        </w:tc>
      </w:tr>
      <w:tr w14:paraId="40E6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F3C1">
            <w:pPr>
              <w:pStyle w:val="13"/>
            </w:pPr>
            <w:r>
              <w:t>22</w:t>
            </w:r>
          </w:p>
        </w:tc>
        <w:tc>
          <w:tcPr>
            <w:tcW w:w="3402" w:type="dxa"/>
            <w:vAlign w:val="center"/>
          </w:tcPr>
          <w:p w14:paraId="088C7B44">
            <w:pPr>
              <w:pStyle w:val="12"/>
            </w:pPr>
          </w:p>
        </w:tc>
        <w:tc>
          <w:tcPr>
            <w:tcW w:w="1474" w:type="dxa"/>
            <w:vAlign w:val="center"/>
          </w:tcPr>
          <w:p w14:paraId="02D1A359">
            <w:pPr>
              <w:pStyle w:val="11"/>
            </w:pPr>
          </w:p>
        </w:tc>
        <w:tc>
          <w:tcPr>
            <w:tcW w:w="3402" w:type="dxa"/>
            <w:vAlign w:val="center"/>
          </w:tcPr>
          <w:p w14:paraId="439B6C08">
            <w:pPr>
              <w:pStyle w:val="12"/>
            </w:pPr>
            <w:r>
              <w:t>二十二、国有资本经营预算支出</w:t>
            </w:r>
          </w:p>
        </w:tc>
        <w:tc>
          <w:tcPr>
            <w:tcW w:w="1474" w:type="dxa"/>
            <w:vAlign w:val="center"/>
          </w:tcPr>
          <w:p w14:paraId="57EBCE75">
            <w:pPr>
              <w:pStyle w:val="11"/>
            </w:pPr>
          </w:p>
        </w:tc>
        <w:tc>
          <w:tcPr>
            <w:tcW w:w="1474" w:type="dxa"/>
            <w:vAlign w:val="center"/>
          </w:tcPr>
          <w:p w14:paraId="5BF63772">
            <w:pPr>
              <w:pStyle w:val="11"/>
            </w:pPr>
          </w:p>
        </w:tc>
        <w:tc>
          <w:tcPr>
            <w:tcW w:w="1474" w:type="dxa"/>
            <w:vAlign w:val="center"/>
          </w:tcPr>
          <w:p w14:paraId="450AEEAF">
            <w:pPr>
              <w:pStyle w:val="11"/>
            </w:pPr>
          </w:p>
        </w:tc>
        <w:tc>
          <w:tcPr>
            <w:tcW w:w="1474" w:type="dxa"/>
            <w:vAlign w:val="center"/>
          </w:tcPr>
          <w:p w14:paraId="676F77E7">
            <w:pPr>
              <w:pStyle w:val="11"/>
            </w:pPr>
          </w:p>
        </w:tc>
      </w:tr>
      <w:tr w14:paraId="529A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70040">
            <w:pPr>
              <w:pStyle w:val="13"/>
            </w:pPr>
            <w:r>
              <w:t>23</w:t>
            </w:r>
          </w:p>
        </w:tc>
        <w:tc>
          <w:tcPr>
            <w:tcW w:w="3402" w:type="dxa"/>
            <w:vAlign w:val="center"/>
          </w:tcPr>
          <w:p w14:paraId="5C4E0555">
            <w:pPr>
              <w:pStyle w:val="12"/>
            </w:pPr>
          </w:p>
        </w:tc>
        <w:tc>
          <w:tcPr>
            <w:tcW w:w="1474" w:type="dxa"/>
            <w:vAlign w:val="center"/>
          </w:tcPr>
          <w:p w14:paraId="542B3504">
            <w:pPr>
              <w:pStyle w:val="11"/>
            </w:pPr>
          </w:p>
        </w:tc>
        <w:tc>
          <w:tcPr>
            <w:tcW w:w="3402" w:type="dxa"/>
            <w:vAlign w:val="center"/>
          </w:tcPr>
          <w:p w14:paraId="0A923DFA">
            <w:pPr>
              <w:pStyle w:val="12"/>
            </w:pPr>
            <w:r>
              <w:t>二十三、灾害防治及应急管理支出</w:t>
            </w:r>
          </w:p>
        </w:tc>
        <w:tc>
          <w:tcPr>
            <w:tcW w:w="1474" w:type="dxa"/>
            <w:vAlign w:val="center"/>
          </w:tcPr>
          <w:p w14:paraId="23E4F873">
            <w:pPr>
              <w:pStyle w:val="11"/>
            </w:pPr>
          </w:p>
        </w:tc>
        <w:tc>
          <w:tcPr>
            <w:tcW w:w="1474" w:type="dxa"/>
            <w:vAlign w:val="center"/>
          </w:tcPr>
          <w:p w14:paraId="6DEC651B">
            <w:pPr>
              <w:pStyle w:val="11"/>
            </w:pPr>
          </w:p>
        </w:tc>
        <w:tc>
          <w:tcPr>
            <w:tcW w:w="1474" w:type="dxa"/>
            <w:vAlign w:val="center"/>
          </w:tcPr>
          <w:p w14:paraId="1ABE3F11">
            <w:pPr>
              <w:pStyle w:val="11"/>
            </w:pPr>
          </w:p>
        </w:tc>
        <w:tc>
          <w:tcPr>
            <w:tcW w:w="1474" w:type="dxa"/>
            <w:vAlign w:val="center"/>
          </w:tcPr>
          <w:p w14:paraId="30581A08">
            <w:pPr>
              <w:pStyle w:val="11"/>
            </w:pPr>
          </w:p>
        </w:tc>
      </w:tr>
      <w:tr w14:paraId="5DD6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4DBDC">
            <w:pPr>
              <w:pStyle w:val="13"/>
            </w:pPr>
            <w:r>
              <w:t>24</w:t>
            </w:r>
          </w:p>
        </w:tc>
        <w:tc>
          <w:tcPr>
            <w:tcW w:w="3402" w:type="dxa"/>
            <w:vAlign w:val="center"/>
          </w:tcPr>
          <w:p w14:paraId="1494A682">
            <w:pPr>
              <w:pStyle w:val="12"/>
            </w:pPr>
          </w:p>
        </w:tc>
        <w:tc>
          <w:tcPr>
            <w:tcW w:w="1474" w:type="dxa"/>
            <w:vAlign w:val="center"/>
          </w:tcPr>
          <w:p w14:paraId="23D5CE29">
            <w:pPr>
              <w:pStyle w:val="11"/>
            </w:pPr>
          </w:p>
        </w:tc>
        <w:tc>
          <w:tcPr>
            <w:tcW w:w="3402" w:type="dxa"/>
            <w:vAlign w:val="center"/>
          </w:tcPr>
          <w:p w14:paraId="0A8B84CB">
            <w:pPr>
              <w:pStyle w:val="12"/>
            </w:pPr>
            <w:r>
              <w:t>二十四、预备费</w:t>
            </w:r>
          </w:p>
        </w:tc>
        <w:tc>
          <w:tcPr>
            <w:tcW w:w="1474" w:type="dxa"/>
            <w:vAlign w:val="center"/>
          </w:tcPr>
          <w:p w14:paraId="3DF6FAB0">
            <w:pPr>
              <w:pStyle w:val="11"/>
            </w:pPr>
          </w:p>
        </w:tc>
        <w:tc>
          <w:tcPr>
            <w:tcW w:w="1474" w:type="dxa"/>
            <w:vAlign w:val="center"/>
          </w:tcPr>
          <w:p w14:paraId="3BCA2565">
            <w:pPr>
              <w:pStyle w:val="11"/>
            </w:pPr>
          </w:p>
        </w:tc>
        <w:tc>
          <w:tcPr>
            <w:tcW w:w="1474" w:type="dxa"/>
            <w:vAlign w:val="center"/>
          </w:tcPr>
          <w:p w14:paraId="12CB1F68">
            <w:pPr>
              <w:pStyle w:val="11"/>
            </w:pPr>
          </w:p>
        </w:tc>
        <w:tc>
          <w:tcPr>
            <w:tcW w:w="1474" w:type="dxa"/>
            <w:vAlign w:val="center"/>
          </w:tcPr>
          <w:p w14:paraId="19DE450A">
            <w:pPr>
              <w:pStyle w:val="11"/>
            </w:pPr>
          </w:p>
        </w:tc>
      </w:tr>
      <w:tr w14:paraId="319B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27A9">
            <w:pPr>
              <w:pStyle w:val="13"/>
            </w:pPr>
            <w:r>
              <w:t>25</w:t>
            </w:r>
          </w:p>
        </w:tc>
        <w:tc>
          <w:tcPr>
            <w:tcW w:w="3402" w:type="dxa"/>
            <w:vAlign w:val="center"/>
          </w:tcPr>
          <w:p w14:paraId="4251ADEE">
            <w:pPr>
              <w:pStyle w:val="12"/>
            </w:pPr>
          </w:p>
        </w:tc>
        <w:tc>
          <w:tcPr>
            <w:tcW w:w="1474" w:type="dxa"/>
            <w:vAlign w:val="center"/>
          </w:tcPr>
          <w:p w14:paraId="1F205883">
            <w:pPr>
              <w:pStyle w:val="11"/>
            </w:pPr>
          </w:p>
        </w:tc>
        <w:tc>
          <w:tcPr>
            <w:tcW w:w="3402" w:type="dxa"/>
            <w:vAlign w:val="center"/>
          </w:tcPr>
          <w:p w14:paraId="5AF00D77">
            <w:pPr>
              <w:pStyle w:val="12"/>
            </w:pPr>
            <w:r>
              <w:t>二十五、其他支出</w:t>
            </w:r>
          </w:p>
        </w:tc>
        <w:tc>
          <w:tcPr>
            <w:tcW w:w="1474" w:type="dxa"/>
            <w:vAlign w:val="center"/>
          </w:tcPr>
          <w:p w14:paraId="6A4D1D6C">
            <w:pPr>
              <w:pStyle w:val="11"/>
            </w:pPr>
          </w:p>
        </w:tc>
        <w:tc>
          <w:tcPr>
            <w:tcW w:w="1474" w:type="dxa"/>
            <w:vAlign w:val="center"/>
          </w:tcPr>
          <w:p w14:paraId="0E5CC859">
            <w:pPr>
              <w:pStyle w:val="11"/>
            </w:pPr>
          </w:p>
        </w:tc>
        <w:tc>
          <w:tcPr>
            <w:tcW w:w="1474" w:type="dxa"/>
            <w:vAlign w:val="center"/>
          </w:tcPr>
          <w:p w14:paraId="667FEDBE">
            <w:pPr>
              <w:pStyle w:val="11"/>
            </w:pPr>
          </w:p>
        </w:tc>
        <w:tc>
          <w:tcPr>
            <w:tcW w:w="1474" w:type="dxa"/>
            <w:vAlign w:val="center"/>
          </w:tcPr>
          <w:p w14:paraId="2A85FFD2">
            <w:pPr>
              <w:pStyle w:val="11"/>
            </w:pPr>
          </w:p>
        </w:tc>
      </w:tr>
      <w:tr w14:paraId="0570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DF9C">
            <w:pPr>
              <w:pStyle w:val="13"/>
            </w:pPr>
            <w:r>
              <w:t>26</w:t>
            </w:r>
          </w:p>
        </w:tc>
        <w:tc>
          <w:tcPr>
            <w:tcW w:w="3402" w:type="dxa"/>
            <w:vAlign w:val="center"/>
          </w:tcPr>
          <w:p w14:paraId="29C4D060">
            <w:pPr>
              <w:pStyle w:val="12"/>
            </w:pPr>
          </w:p>
        </w:tc>
        <w:tc>
          <w:tcPr>
            <w:tcW w:w="1474" w:type="dxa"/>
            <w:vAlign w:val="center"/>
          </w:tcPr>
          <w:p w14:paraId="23EE38CA">
            <w:pPr>
              <w:pStyle w:val="11"/>
            </w:pPr>
          </w:p>
        </w:tc>
        <w:tc>
          <w:tcPr>
            <w:tcW w:w="3402" w:type="dxa"/>
            <w:vAlign w:val="center"/>
          </w:tcPr>
          <w:p w14:paraId="57C09ED0">
            <w:pPr>
              <w:pStyle w:val="12"/>
            </w:pPr>
            <w:r>
              <w:t>二十六、转移性支出</w:t>
            </w:r>
          </w:p>
        </w:tc>
        <w:tc>
          <w:tcPr>
            <w:tcW w:w="1474" w:type="dxa"/>
            <w:vAlign w:val="center"/>
          </w:tcPr>
          <w:p w14:paraId="5156CE48">
            <w:pPr>
              <w:pStyle w:val="11"/>
            </w:pPr>
          </w:p>
        </w:tc>
        <w:tc>
          <w:tcPr>
            <w:tcW w:w="1474" w:type="dxa"/>
            <w:vAlign w:val="center"/>
          </w:tcPr>
          <w:p w14:paraId="29A7580C">
            <w:pPr>
              <w:pStyle w:val="11"/>
            </w:pPr>
          </w:p>
        </w:tc>
        <w:tc>
          <w:tcPr>
            <w:tcW w:w="1474" w:type="dxa"/>
            <w:vAlign w:val="center"/>
          </w:tcPr>
          <w:p w14:paraId="5E6C36C0">
            <w:pPr>
              <w:pStyle w:val="11"/>
            </w:pPr>
          </w:p>
        </w:tc>
        <w:tc>
          <w:tcPr>
            <w:tcW w:w="1474" w:type="dxa"/>
            <w:vAlign w:val="center"/>
          </w:tcPr>
          <w:p w14:paraId="14939196">
            <w:pPr>
              <w:pStyle w:val="11"/>
            </w:pPr>
          </w:p>
        </w:tc>
      </w:tr>
      <w:tr w14:paraId="22D8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A12CC">
            <w:pPr>
              <w:pStyle w:val="13"/>
            </w:pPr>
            <w:r>
              <w:t>27</w:t>
            </w:r>
          </w:p>
        </w:tc>
        <w:tc>
          <w:tcPr>
            <w:tcW w:w="3402" w:type="dxa"/>
            <w:vAlign w:val="center"/>
          </w:tcPr>
          <w:p w14:paraId="54B44790">
            <w:pPr>
              <w:pStyle w:val="12"/>
            </w:pPr>
          </w:p>
        </w:tc>
        <w:tc>
          <w:tcPr>
            <w:tcW w:w="1474" w:type="dxa"/>
            <w:vAlign w:val="center"/>
          </w:tcPr>
          <w:p w14:paraId="415793D3">
            <w:pPr>
              <w:pStyle w:val="11"/>
            </w:pPr>
          </w:p>
        </w:tc>
        <w:tc>
          <w:tcPr>
            <w:tcW w:w="3402" w:type="dxa"/>
            <w:vAlign w:val="center"/>
          </w:tcPr>
          <w:p w14:paraId="501827ED">
            <w:pPr>
              <w:pStyle w:val="12"/>
            </w:pPr>
            <w:r>
              <w:t>二十七、债务还本支出</w:t>
            </w:r>
          </w:p>
        </w:tc>
        <w:tc>
          <w:tcPr>
            <w:tcW w:w="1474" w:type="dxa"/>
            <w:vAlign w:val="center"/>
          </w:tcPr>
          <w:p w14:paraId="33004EFF">
            <w:pPr>
              <w:pStyle w:val="11"/>
            </w:pPr>
          </w:p>
        </w:tc>
        <w:tc>
          <w:tcPr>
            <w:tcW w:w="1474" w:type="dxa"/>
            <w:vAlign w:val="center"/>
          </w:tcPr>
          <w:p w14:paraId="704A53B6">
            <w:pPr>
              <w:pStyle w:val="11"/>
            </w:pPr>
          </w:p>
        </w:tc>
        <w:tc>
          <w:tcPr>
            <w:tcW w:w="1474" w:type="dxa"/>
            <w:vAlign w:val="center"/>
          </w:tcPr>
          <w:p w14:paraId="6193F85B">
            <w:pPr>
              <w:pStyle w:val="11"/>
            </w:pPr>
          </w:p>
        </w:tc>
        <w:tc>
          <w:tcPr>
            <w:tcW w:w="1474" w:type="dxa"/>
            <w:vAlign w:val="center"/>
          </w:tcPr>
          <w:p w14:paraId="027E191E">
            <w:pPr>
              <w:pStyle w:val="11"/>
            </w:pPr>
          </w:p>
        </w:tc>
      </w:tr>
      <w:tr w14:paraId="6634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B931">
            <w:pPr>
              <w:pStyle w:val="13"/>
            </w:pPr>
            <w:r>
              <w:t>28</w:t>
            </w:r>
          </w:p>
        </w:tc>
        <w:tc>
          <w:tcPr>
            <w:tcW w:w="3402" w:type="dxa"/>
            <w:vAlign w:val="center"/>
          </w:tcPr>
          <w:p w14:paraId="09AD571A">
            <w:pPr>
              <w:pStyle w:val="12"/>
            </w:pPr>
          </w:p>
        </w:tc>
        <w:tc>
          <w:tcPr>
            <w:tcW w:w="1474" w:type="dxa"/>
            <w:vAlign w:val="center"/>
          </w:tcPr>
          <w:p w14:paraId="6BB94EE6">
            <w:pPr>
              <w:pStyle w:val="11"/>
            </w:pPr>
          </w:p>
        </w:tc>
        <w:tc>
          <w:tcPr>
            <w:tcW w:w="3402" w:type="dxa"/>
            <w:vAlign w:val="center"/>
          </w:tcPr>
          <w:p w14:paraId="509EAFDE">
            <w:pPr>
              <w:pStyle w:val="12"/>
            </w:pPr>
            <w:r>
              <w:t>二十八、债务付息支出</w:t>
            </w:r>
          </w:p>
        </w:tc>
        <w:tc>
          <w:tcPr>
            <w:tcW w:w="1474" w:type="dxa"/>
            <w:vAlign w:val="center"/>
          </w:tcPr>
          <w:p w14:paraId="50229875">
            <w:pPr>
              <w:pStyle w:val="11"/>
            </w:pPr>
          </w:p>
        </w:tc>
        <w:tc>
          <w:tcPr>
            <w:tcW w:w="1474" w:type="dxa"/>
            <w:vAlign w:val="center"/>
          </w:tcPr>
          <w:p w14:paraId="0D2D951E">
            <w:pPr>
              <w:pStyle w:val="11"/>
            </w:pPr>
          </w:p>
        </w:tc>
        <w:tc>
          <w:tcPr>
            <w:tcW w:w="1474" w:type="dxa"/>
            <w:vAlign w:val="center"/>
          </w:tcPr>
          <w:p w14:paraId="2131B2D6">
            <w:pPr>
              <w:pStyle w:val="11"/>
            </w:pPr>
          </w:p>
        </w:tc>
        <w:tc>
          <w:tcPr>
            <w:tcW w:w="1474" w:type="dxa"/>
            <w:vAlign w:val="center"/>
          </w:tcPr>
          <w:p w14:paraId="23AA03CF">
            <w:pPr>
              <w:pStyle w:val="11"/>
            </w:pPr>
          </w:p>
        </w:tc>
      </w:tr>
      <w:tr w14:paraId="5D47F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5C28E">
            <w:pPr>
              <w:pStyle w:val="13"/>
            </w:pPr>
            <w:r>
              <w:t>29</w:t>
            </w:r>
          </w:p>
        </w:tc>
        <w:tc>
          <w:tcPr>
            <w:tcW w:w="3402" w:type="dxa"/>
            <w:vAlign w:val="center"/>
          </w:tcPr>
          <w:p w14:paraId="7D67CBB1">
            <w:pPr>
              <w:pStyle w:val="12"/>
            </w:pPr>
          </w:p>
        </w:tc>
        <w:tc>
          <w:tcPr>
            <w:tcW w:w="1474" w:type="dxa"/>
            <w:vAlign w:val="center"/>
          </w:tcPr>
          <w:p w14:paraId="2AEC7BDA">
            <w:pPr>
              <w:pStyle w:val="11"/>
            </w:pPr>
          </w:p>
        </w:tc>
        <w:tc>
          <w:tcPr>
            <w:tcW w:w="3402" w:type="dxa"/>
            <w:vAlign w:val="center"/>
          </w:tcPr>
          <w:p w14:paraId="36442CDC">
            <w:pPr>
              <w:pStyle w:val="12"/>
            </w:pPr>
            <w:r>
              <w:t>二十九、债务发行费用支出</w:t>
            </w:r>
          </w:p>
        </w:tc>
        <w:tc>
          <w:tcPr>
            <w:tcW w:w="1474" w:type="dxa"/>
            <w:vAlign w:val="center"/>
          </w:tcPr>
          <w:p w14:paraId="10770C45">
            <w:pPr>
              <w:pStyle w:val="11"/>
            </w:pPr>
          </w:p>
        </w:tc>
        <w:tc>
          <w:tcPr>
            <w:tcW w:w="1474" w:type="dxa"/>
            <w:vAlign w:val="center"/>
          </w:tcPr>
          <w:p w14:paraId="08B866D0">
            <w:pPr>
              <w:pStyle w:val="11"/>
            </w:pPr>
          </w:p>
        </w:tc>
        <w:tc>
          <w:tcPr>
            <w:tcW w:w="1474" w:type="dxa"/>
            <w:vAlign w:val="center"/>
          </w:tcPr>
          <w:p w14:paraId="63C89405">
            <w:pPr>
              <w:pStyle w:val="11"/>
            </w:pPr>
          </w:p>
        </w:tc>
        <w:tc>
          <w:tcPr>
            <w:tcW w:w="1474" w:type="dxa"/>
            <w:vAlign w:val="center"/>
          </w:tcPr>
          <w:p w14:paraId="7201F185">
            <w:pPr>
              <w:pStyle w:val="11"/>
            </w:pPr>
          </w:p>
        </w:tc>
      </w:tr>
      <w:tr w14:paraId="0E30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B8C1">
            <w:pPr>
              <w:pStyle w:val="13"/>
            </w:pPr>
            <w:r>
              <w:t>30</w:t>
            </w:r>
          </w:p>
        </w:tc>
        <w:tc>
          <w:tcPr>
            <w:tcW w:w="3402" w:type="dxa"/>
            <w:vAlign w:val="center"/>
          </w:tcPr>
          <w:p w14:paraId="108DEED4">
            <w:pPr>
              <w:pStyle w:val="12"/>
            </w:pPr>
          </w:p>
        </w:tc>
        <w:tc>
          <w:tcPr>
            <w:tcW w:w="1474" w:type="dxa"/>
            <w:vAlign w:val="center"/>
          </w:tcPr>
          <w:p w14:paraId="2C6DF396">
            <w:pPr>
              <w:pStyle w:val="11"/>
            </w:pPr>
          </w:p>
        </w:tc>
        <w:tc>
          <w:tcPr>
            <w:tcW w:w="3402" w:type="dxa"/>
            <w:vAlign w:val="center"/>
          </w:tcPr>
          <w:p w14:paraId="5EB3E936">
            <w:pPr>
              <w:pStyle w:val="12"/>
            </w:pPr>
            <w:r>
              <w:t>三十、抗疫特别国债安排的支出</w:t>
            </w:r>
          </w:p>
        </w:tc>
        <w:tc>
          <w:tcPr>
            <w:tcW w:w="1474" w:type="dxa"/>
            <w:vAlign w:val="center"/>
          </w:tcPr>
          <w:p w14:paraId="03D316A6">
            <w:pPr>
              <w:pStyle w:val="11"/>
            </w:pPr>
          </w:p>
        </w:tc>
        <w:tc>
          <w:tcPr>
            <w:tcW w:w="1474" w:type="dxa"/>
            <w:vAlign w:val="center"/>
          </w:tcPr>
          <w:p w14:paraId="42B2F7CE">
            <w:pPr>
              <w:pStyle w:val="11"/>
            </w:pPr>
          </w:p>
        </w:tc>
        <w:tc>
          <w:tcPr>
            <w:tcW w:w="1474" w:type="dxa"/>
            <w:vAlign w:val="center"/>
          </w:tcPr>
          <w:p w14:paraId="0B985919">
            <w:pPr>
              <w:pStyle w:val="11"/>
            </w:pPr>
          </w:p>
        </w:tc>
        <w:tc>
          <w:tcPr>
            <w:tcW w:w="1474" w:type="dxa"/>
            <w:vAlign w:val="center"/>
          </w:tcPr>
          <w:p w14:paraId="01221821">
            <w:pPr>
              <w:pStyle w:val="11"/>
            </w:pPr>
          </w:p>
        </w:tc>
      </w:tr>
      <w:tr w14:paraId="0B5A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66BE">
            <w:pPr>
              <w:pStyle w:val="13"/>
            </w:pPr>
            <w:r>
              <w:t>31</w:t>
            </w:r>
          </w:p>
        </w:tc>
        <w:tc>
          <w:tcPr>
            <w:tcW w:w="3402" w:type="dxa"/>
            <w:vAlign w:val="center"/>
          </w:tcPr>
          <w:p w14:paraId="27F72156">
            <w:pPr>
              <w:pStyle w:val="12"/>
            </w:pPr>
          </w:p>
        </w:tc>
        <w:tc>
          <w:tcPr>
            <w:tcW w:w="1474" w:type="dxa"/>
            <w:vAlign w:val="center"/>
          </w:tcPr>
          <w:p w14:paraId="1F1759EA">
            <w:pPr>
              <w:pStyle w:val="11"/>
            </w:pPr>
          </w:p>
        </w:tc>
        <w:tc>
          <w:tcPr>
            <w:tcW w:w="3402" w:type="dxa"/>
            <w:vAlign w:val="center"/>
          </w:tcPr>
          <w:p w14:paraId="5F3C5F88">
            <w:pPr>
              <w:pStyle w:val="12"/>
            </w:pPr>
            <w:r>
              <w:t>三十一、人行科目</w:t>
            </w:r>
          </w:p>
        </w:tc>
        <w:tc>
          <w:tcPr>
            <w:tcW w:w="1474" w:type="dxa"/>
            <w:vAlign w:val="center"/>
          </w:tcPr>
          <w:p w14:paraId="010355EC">
            <w:pPr>
              <w:pStyle w:val="11"/>
            </w:pPr>
          </w:p>
        </w:tc>
        <w:tc>
          <w:tcPr>
            <w:tcW w:w="1474" w:type="dxa"/>
            <w:vAlign w:val="center"/>
          </w:tcPr>
          <w:p w14:paraId="34B934E0">
            <w:pPr>
              <w:pStyle w:val="11"/>
            </w:pPr>
          </w:p>
        </w:tc>
        <w:tc>
          <w:tcPr>
            <w:tcW w:w="1474" w:type="dxa"/>
            <w:vAlign w:val="center"/>
          </w:tcPr>
          <w:p w14:paraId="11D1623D">
            <w:pPr>
              <w:pStyle w:val="11"/>
            </w:pPr>
          </w:p>
        </w:tc>
        <w:tc>
          <w:tcPr>
            <w:tcW w:w="1474" w:type="dxa"/>
            <w:vAlign w:val="center"/>
          </w:tcPr>
          <w:p w14:paraId="3A0B7057">
            <w:pPr>
              <w:pStyle w:val="11"/>
            </w:pPr>
          </w:p>
        </w:tc>
      </w:tr>
      <w:tr w14:paraId="5B2B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01182">
            <w:pPr>
              <w:pStyle w:val="13"/>
            </w:pPr>
            <w:r>
              <w:t>32</w:t>
            </w:r>
          </w:p>
        </w:tc>
        <w:tc>
          <w:tcPr>
            <w:tcW w:w="3402" w:type="dxa"/>
            <w:vAlign w:val="center"/>
          </w:tcPr>
          <w:p w14:paraId="71CF1EAC">
            <w:pPr>
              <w:pStyle w:val="14"/>
            </w:pPr>
            <w:r>
              <w:t>本年收入合计</w:t>
            </w:r>
          </w:p>
        </w:tc>
        <w:tc>
          <w:tcPr>
            <w:tcW w:w="1474" w:type="dxa"/>
            <w:vAlign w:val="center"/>
          </w:tcPr>
          <w:p w14:paraId="5F89AD59">
            <w:pPr>
              <w:pStyle w:val="15"/>
            </w:pPr>
            <w:r>
              <w:t>3508.17</w:t>
            </w:r>
          </w:p>
        </w:tc>
        <w:tc>
          <w:tcPr>
            <w:tcW w:w="3402" w:type="dxa"/>
            <w:vAlign w:val="center"/>
          </w:tcPr>
          <w:p w14:paraId="46C86612">
            <w:pPr>
              <w:pStyle w:val="14"/>
            </w:pPr>
            <w:r>
              <w:t>本年支出合计</w:t>
            </w:r>
          </w:p>
        </w:tc>
        <w:tc>
          <w:tcPr>
            <w:tcW w:w="1474" w:type="dxa"/>
            <w:vAlign w:val="center"/>
          </w:tcPr>
          <w:p w14:paraId="68F3A97E">
            <w:pPr>
              <w:pStyle w:val="15"/>
            </w:pPr>
            <w:r>
              <w:t>3508.17</w:t>
            </w:r>
          </w:p>
        </w:tc>
        <w:tc>
          <w:tcPr>
            <w:tcW w:w="1474" w:type="dxa"/>
            <w:vAlign w:val="center"/>
          </w:tcPr>
          <w:p w14:paraId="7494B255">
            <w:pPr>
              <w:pStyle w:val="15"/>
            </w:pPr>
            <w:r>
              <w:t>3508.17</w:t>
            </w:r>
          </w:p>
        </w:tc>
        <w:tc>
          <w:tcPr>
            <w:tcW w:w="1474" w:type="dxa"/>
            <w:vAlign w:val="center"/>
          </w:tcPr>
          <w:p w14:paraId="20C69CBB">
            <w:pPr>
              <w:pStyle w:val="15"/>
            </w:pPr>
          </w:p>
        </w:tc>
        <w:tc>
          <w:tcPr>
            <w:tcW w:w="1474" w:type="dxa"/>
            <w:vAlign w:val="center"/>
          </w:tcPr>
          <w:p w14:paraId="7D650594">
            <w:pPr>
              <w:pStyle w:val="15"/>
            </w:pPr>
          </w:p>
        </w:tc>
      </w:tr>
      <w:tr w14:paraId="3F08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8BB5B">
            <w:pPr>
              <w:pStyle w:val="13"/>
            </w:pPr>
            <w:r>
              <w:t>33</w:t>
            </w:r>
          </w:p>
        </w:tc>
        <w:tc>
          <w:tcPr>
            <w:tcW w:w="3402" w:type="dxa"/>
            <w:vAlign w:val="center"/>
          </w:tcPr>
          <w:p w14:paraId="3AF3D38A">
            <w:pPr>
              <w:pStyle w:val="12"/>
            </w:pPr>
            <w:r>
              <w:t>年初财政拨款结转和结余</w:t>
            </w:r>
          </w:p>
        </w:tc>
        <w:tc>
          <w:tcPr>
            <w:tcW w:w="1474" w:type="dxa"/>
            <w:vAlign w:val="center"/>
          </w:tcPr>
          <w:p w14:paraId="4845B9BB">
            <w:pPr>
              <w:pStyle w:val="11"/>
            </w:pPr>
          </w:p>
        </w:tc>
        <w:tc>
          <w:tcPr>
            <w:tcW w:w="3402" w:type="dxa"/>
            <w:vAlign w:val="center"/>
          </w:tcPr>
          <w:p w14:paraId="60B2C160">
            <w:pPr>
              <w:pStyle w:val="12"/>
            </w:pPr>
            <w:r>
              <w:t>年末财政拨款结转和结余</w:t>
            </w:r>
          </w:p>
        </w:tc>
        <w:tc>
          <w:tcPr>
            <w:tcW w:w="1474" w:type="dxa"/>
            <w:vAlign w:val="center"/>
          </w:tcPr>
          <w:p w14:paraId="2E239099">
            <w:pPr>
              <w:pStyle w:val="11"/>
            </w:pPr>
          </w:p>
        </w:tc>
        <w:tc>
          <w:tcPr>
            <w:tcW w:w="1474" w:type="dxa"/>
            <w:vAlign w:val="center"/>
          </w:tcPr>
          <w:p w14:paraId="7E68CEE4">
            <w:pPr>
              <w:pStyle w:val="11"/>
            </w:pPr>
          </w:p>
        </w:tc>
        <w:tc>
          <w:tcPr>
            <w:tcW w:w="1474" w:type="dxa"/>
            <w:vAlign w:val="center"/>
          </w:tcPr>
          <w:p w14:paraId="66EEA442">
            <w:pPr>
              <w:pStyle w:val="11"/>
            </w:pPr>
          </w:p>
        </w:tc>
        <w:tc>
          <w:tcPr>
            <w:tcW w:w="1474" w:type="dxa"/>
            <w:vAlign w:val="center"/>
          </w:tcPr>
          <w:p w14:paraId="249BDDB1">
            <w:pPr>
              <w:pStyle w:val="11"/>
            </w:pPr>
          </w:p>
        </w:tc>
      </w:tr>
      <w:tr w14:paraId="6B45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C65AF">
            <w:pPr>
              <w:pStyle w:val="13"/>
            </w:pPr>
            <w:r>
              <w:t>34</w:t>
            </w:r>
          </w:p>
        </w:tc>
        <w:tc>
          <w:tcPr>
            <w:tcW w:w="3402" w:type="dxa"/>
            <w:vAlign w:val="center"/>
          </w:tcPr>
          <w:p w14:paraId="11D5B0E0">
            <w:pPr>
              <w:pStyle w:val="12"/>
            </w:pPr>
            <w:r>
              <w:t>一、一般公共预算拨款</w:t>
            </w:r>
          </w:p>
        </w:tc>
        <w:tc>
          <w:tcPr>
            <w:tcW w:w="1474" w:type="dxa"/>
            <w:vAlign w:val="center"/>
          </w:tcPr>
          <w:p w14:paraId="03CA5E19">
            <w:pPr>
              <w:pStyle w:val="11"/>
            </w:pPr>
          </w:p>
        </w:tc>
        <w:tc>
          <w:tcPr>
            <w:tcW w:w="3402" w:type="dxa"/>
            <w:vAlign w:val="center"/>
          </w:tcPr>
          <w:p w14:paraId="5C8AF8FC">
            <w:pPr>
              <w:pStyle w:val="12"/>
            </w:pPr>
          </w:p>
        </w:tc>
        <w:tc>
          <w:tcPr>
            <w:tcW w:w="1474" w:type="dxa"/>
            <w:vAlign w:val="center"/>
          </w:tcPr>
          <w:p w14:paraId="21EAC9C8">
            <w:pPr>
              <w:pStyle w:val="11"/>
            </w:pPr>
          </w:p>
        </w:tc>
        <w:tc>
          <w:tcPr>
            <w:tcW w:w="1474" w:type="dxa"/>
            <w:vAlign w:val="center"/>
          </w:tcPr>
          <w:p w14:paraId="63A8CCC6">
            <w:pPr>
              <w:pStyle w:val="11"/>
            </w:pPr>
          </w:p>
        </w:tc>
        <w:tc>
          <w:tcPr>
            <w:tcW w:w="1474" w:type="dxa"/>
            <w:vAlign w:val="center"/>
          </w:tcPr>
          <w:p w14:paraId="02AAB6A2">
            <w:pPr>
              <w:pStyle w:val="11"/>
            </w:pPr>
          </w:p>
        </w:tc>
        <w:tc>
          <w:tcPr>
            <w:tcW w:w="1474" w:type="dxa"/>
            <w:vAlign w:val="center"/>
          </w:tcPr>
          <w:p w14:paraId="0D4B6ABB">
            <w:pPr>
              <w:pStyle w:val="11"/>
            </w:pPr>
          </w:p>
        </w:tc>
      </w:tr>
      <w:tr w14:paraId="4335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F1D5">
            <w:pPr>
              <w:pStyle w:val="13"/>
            </w:pPr>
            <w:r>
              <w:t>35</w:t>
            </w:r>
          </w:p>
        </w:tc>
        <w:tc>
          <w:tcPr>
            <w:tcW w:w="3402" w:type="dxa"/>
            <w:vAlign w:val="center"/>
          </w:tcPr>
          <w:p w14:paraId="165D6C88">
            <w:pPr>
              <w:pStyle w:val="12"/>
            </w:pPr>
            <w:r>
              <w:t>二、政府性基金预算拨款</w:t>
            </w:r>
          </w:p>
        </w:tc>
        <w:tc>
          <w:tcPr>
            <w:tcW w:w="1474" w:type="dxa"/>
            <w:vAlign w:val="center"/>
          </w:tcPr>
          <w:p w14:paraId="7DC58F2B">
            <w:pPr>
              <w:pStyle w:val="11"/>
            </w:pPr>
          </w:p>
        </w:tc>
        <w:tc>
          <w:tcPr>
            <w:tcW w:w="3402" w:type="dxa"/>
            <w:vAlign w:val="center"/>
          </w:tcPr>
          <w:p w14:paraId="6170685B">
            <w:pPr>
              <w:pStyle w:val="12"/>
            </w:pPr>
          </w:p>
        </w:tc>
        <w:tc>
          <w:tcPr>
            <w:tcW w:w="1474" w:type="dxa"/>
            <w:vAlign w:val="center"/>
          </w:tcPr>
          <w:p w14:paraId="56C98524">
            <w:pPr>
              <w:pStyle w:val="11"/>
            </w:pPr>
          </w:p>
        </w:tc>
        <w:tc>
          <w:tcPr>
            <w:tcW w:w="1474" w:type="dxa"/>
            <w:vAlign w:val="center"/>
          </w:tcPr>
          <w:p w14:paraId="27F3CDAF">
            <w:pPr>
              <w:pStyle w:val="11"/>
            </w:pPr>
          </w:p>
        </w:tc>
        <w:tc>
          <w:tcPr>
            <w:tcW w:w="1474" w:type="dxa"/>
            <w:vAlign w:val="center"/>
          </w:tcPr>
          <w:p w14:paraId="0B33925D">
            <w:pPr>
              <w:pStyle w:val="11"/>
            </w:pPr>
          </w:p>
        </w:tc>
        <w:tc>
          <w:tcPr>
            <w:tcW w:w="1474" w:type="dxa"/>
            <w:vAlign w:val="center"/>
          </w:tcPr>
          <w:p w14:paraId="56FA554C">
            <w:pPr>
              <w:pStyle w:val="11"/>
            </w:pPr>
          </w:p>
        </w:tc>
      </w:tr>
      <w:tr w14:paraId="678D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4558">
            <w:pPr>
              <w:pStyle w:val="13"/>
            </w:pPr>
            <w:r>
              <w:t>36</w:t>
            </w:r>
          </w:p>
        </w:tc>
        <w:tc>
          <w:tcPr>
            <w:tcW w:w="3402" w:type="dxa"/>
            <w:vAlign w:val="center"/>
          </w:tcPr>
          <w:p w14:paraId="1CF34844">
            <w:pPr>
              <w:pStyle w:val="12"/>
            </w:pPr>
            <w:r>
              <w:t>三、国有资本经营预算拨款</w:t>
            </w:r>
          </w:p>
        </w:tc>
        <w:tc>
          <w:tcPr>
            <w:tcW w:w="1474" w:type="dxa"/>
            <w:vAlign w:val="center"/>
          </w:tcPr>
          <w:p w14:paraId="36D03C57">
            <w:pPr>
              <w:pStyle w:val="11"/>
            </w:pPr>
          </w:p>
        </w:tc>
        <w:tc>
          <w:tcPr>
            <w:tcW w:w="3402" w:type="dxa"/>
            <w:vAlign w:val="center"/>
          </w:tcPr>
          <w:p w14:paraId="3C8FD652">
            <w:pPr>
              <w:pStyle w:val="12"/>
            </w:pPr>
          </w:p>
        </w:tc>
        <w:tc>
          <w:tcPr>
            <w:tcW w:w="1474" w:type="dxa"/>
            <w:vAlign w:val="center"/>
          </w:tcPr>
          <w:p w14:paraId="371B4151">
            <w:pPr>
              <w:pStyle w:val="11"/>
            </w:pPr>
          </w:p>
        </w:tc>
        <w:tc>
          <w:tcPr>
            <w:tcW w:w="1474" w:type="dxa"/>
            <w:vAlign w:val="center"/>
          </w:tcPr>
          <w:p w14:paraId="06F70B19">
            <w:pPr>
              <w:pStyle w:val="11"/>
            </w:pPr>
          </w:p>
        </w:tc>
        <w:tc>
          <w:tcPr>
            <w:tcW w:w="1474" w:type="dxa"/>
            <w:vAlign w:val="center"/>
          </w:tcPr>
          <w:p w14:paraId="495C27EE">
            <w:pPr>
              <w:pStyle w:val="11"/>
            </w:pPr>
          </w:p>
        </w:tc>
        <w:tc>
          <w:tcPr>
            <w:tcW w:w="1474" w:type="dxa"/>
            <w:vAlign w:val="center"/>
          </w:tcPr>
          <w:p w14:paraId="1B9ECA5C">
            <w:pPr>
              <w:pStyle w:val="11"/>
            </w:pPr>
          </w:p>
        </w:tc>
      </w:tr>
      <w:tr w14:paraId="479D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3E56A">
            <w:pPr>
              <w:pStyle w:val="13"/>
            </w:pPr>
            <w:r>
              <w:t>37</w:t>
            </w:r>
          </w:p>
        </w:tc>
        <w:tc>
          <w:tcPr>
            <w:tcW w:w="3402" w:type="dxa"/>
            <w:vAlign w:val="center"/>
          </w:tcPr>
          <w:p w14:paraId="0A2DBCFD">
            <w:pPr>
              <w:pStyle w:val="14"/>
            </w:pPr>
            <w:r>
              <w:t>收入总计</w:t>
            </w:r>
          </w:p>
        </w:tc>
        <w:tc>
          <w:tcPr>
            <w:tcW w:w="1474" w:type="dxa"/>
            <w:vAlign w:val="center"/>
          </w:tcPr>
          <w:p w14:paraId="62A04622">
            <w:pPr>
              <w:pStyle w:val="15"/>
            </w:pPr>
            <w:r>
              <w:t>3508.17</w:t>
            </w:r>
          </w:p>
        </w:tc>
        <w:tc>
          <w:tcPr>
            <w:tcW w:w="3402" w:type="dxa"/>
            <w:vAlign w:val="center"/>
          </w:tcPr>
          <w:p w14:paraId="14DB368B">
            <w:pPr>
              <w:pStyle w:val="14"/>
            </w:pPr>
            <w:r>
              <w:t>支出总计</w:t>
            </w:r>
          </w:p>
        </w:tc>
        <w:tc>
          <w:tcPr>
            <w:tcW w:w="1474" w:type="dxa"/>
            <w:vAlign w:val="center"/>
          </w:tcPr>
          <w:p w14:paraId="578E632F">
            <w:pPr>
              <w:pStyle w:val="15"/>
            </w:pPr>
            <w:r>
              <w:t>3508.17</w:t>
            </w:r>
          </w:p>
        </w:tc>
        <w:tc>
          <w:tcPr>
            <w:tcW w:w="1474" w:type="dxa"/>
            <w:vAlign w:val="center"/>
          </w:tcPr>
          <w:p w14:paraId="0613142B">
            <w:pPr>
              <w:pStyle w:val="15"/>
            </w:pPr>
            <w:r>
              <w:t>3508.17</w:t>
            </w:r>
          </w:p>
        </w:tc>
        <w:tc>
          <w:tcPr>
            <w:tcW w:w="1474" w:type="dxa"/>
            <w:vAlign w:val="center"/>
          </w:tcPr>
          <w:p w14:paraId="317E51CE">
            <w:pPr>
              <w:pStyle w:val="15"/>
            </w:pPr>
          </w:p>
        </w:tc>
        <w:tc>
          <w:tcPr>
            <w:tcW w:w="1474" w:type="dxa"/>
            <w:vAlign w:val="center"/>
          </w:tcPr>
          <w:p w14:paraId="2FF06B86">
            <w:pPr>
              <w:pStyle w:val="15"/>
            </w:pPr>
          </w:p>
        </w:tc>
      </w:tr>
    </w:tbl>
    <w:p w14:paraId="05D3ACA1">
      <w:pPr>
        <w:sectPr>
          <w:pgSz w:w="16840" w:h="11900" w:orient="landscape"/>
          <w:pgMar w:top="1361" w:right="1020" w:bottom="1134" w:left="1020" w:header="720" w:footer="720" w:gutter="0"/>
          <w:cols w:space="720" w:num="1"/>
        </w:sectPr>
      </w:pPr>
    </w:p>
    <w:p w14:paraId="2B2BE8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31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65D4D8">
            <w:pPr>
              <w:pStyle w:val="9"/>
            </w:pPr>
            <w:r>
              <w:t>360004隆尧县尧山中学</w:t>
            </w:r>
          </w:p>
        </w:tc>
        <w:tc>
          <w:tcPr>
            <w:tcW w:w="2551" w:type="dxa"/>
            <w:tcBorders>
              <w:top w:val="single" w:color="FFFFFF" w:sz="6" w:space="0"/>
              <w:left w:val="single" w:color="FFFFFF" w:sz="6" w:space="0"/>
              <w:right w:val="single" w:color="FFFFFF" w:sz="6" w:space="0"/>
            </w:tcBorders>
            <w:vAlign w:val="center"/>
          </w:tcPr>
          <w:p w14:paraId="44326EF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736C32">
            <w:pPr>
              <w:pStyle w:val="7"/>
            </w:pPr>
            <w:r>
              <w:t>单位：万元</w:t>
            </w:r>
          </w:p>
        </w:tc>
      </w:tr>
      <w:tr w14:paraId="5A350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906AEA">
            <w:pPr>
              <w:pStyle w:val="10"/>
            </w:pPr>
            <w:r>
              <w:t>序号</w:t>
            </w:r>
          </w:p>
        </w:tc>
        <w:tc>
          <w:tcPr>
            <w:tcW w:w="5726" w:type="dxa"/>
            <w:gridSpan w:val="2"/>
            <w:vAlign w:val="center"/>
          </w:tcPr>
          <w:p w14:paraId="2AA3BBEF">
            <w:pPr>
              <w:pStyle w:val="10"/>
            </w:pPr>
            <w:r>
              <w:t>功能分类科目</w:t>
            </w:r>
          </w:p>
        </w:tc>
        <w:tc>
          <w:tcPr>
            <w:tcW w:w="2551" w:type="dxa"/>
            <w:vMerge w:val="restart"/>
            <w:vAlign w:val="center"/>
          </w:tcPr>
          <w:p w14:paraId="41C57374">
            <w:pPr>
              <w:pStyle w:val="10"/>
            </w:pPr>
            <w:r>
              <w:t>合计</w:t>
            </w:r>
          </w:p>
        </w:tc>
        <w:tc>
          <w:tcPr>
            <w:tcW w:w="2551" w:type="dxa"/>
            <w:vMerge w:val="restart"/>
            <w:vAlign w:val="center"/>
          </w:tcPr>
          <w:p w14:paraId="4DB7E5E2">
            <w:pPr>
              <w:pStyle w:val="10"/>
            </w:pPr>
            <w:r>
              <w:t>基本支出</w:t>
            </w:r>
          </w:p>
        </w:tc>
        <w:tc>
          <w:tcPr>
            <w:tcW w:w="2551" w:type="dxa"/>
            <w:vMerge w:val="restart"/>
            <w:vAlign w:val="center"/>
          </w:tcPr>
          <w:p w14:paraId="6FE94F17">
            <w:pPr>
              <w:pStyle w:val="10"/>
            </w:pPr>
            <w:r>
              <w:t>项目支出</w:t>
            </w:r>
          </w:p>
        </w:tc>
      </w:tr>
      <w:tr w14:paraId="6DFC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5F1947"/>
        </w:tc>
        <w:tc>
          <w:tcPr>
            <w:tcW w:w="1191" w:type="dxa"/>
            <w:vAlign w:val="center"/>
          </w:tcPr>
          <w:p w14:paraId="32DFBBBB">
            <w:pPr>
              <w:pStyle w:val="10"/>
            </w:pPr>
            <w:r>
              <w:t>科目编码</w:t>
            </w:r>
          </w:p>
        </w:tc>
        <w:tc>
          <w:tcPr>
            <w:tcW w:w="4535" w:type="dxa"/>
            <w:vAlign w:val="center"/>
          </w:tcPr>
          <w:p w14:paraId="6B5A5C7E">
            <w:pPr>
              <w:pStyle w:val="10"/>
            </w:pPr>
            <w:r>
              <w:t>科目名称</w:t>
            </w:r>
          </w:p>
        </w:tc>
        <w:tc>
          <w:tcPr>
            <w:tcW w:w="2551" w:type="dxa"/>
            <w:vMerge w:val="continue"/>
          </w:tcPr>
          <w:p w14:paraId="0C40E21C"/>
        </w:tc>
        <w:tc>
          <w:tcPr>
            <w:tcW w:w="2551" w:type="dxa"/>
            <w:vMerge w:val="continue"/>
          </w:tcPr>
          <w:p w14:paraId="52CC93D0"/>
        </w:tc>
        <w:tc>
          <w:tcPr>
            <w:tcW w:w="2551" w:type="dxa"/>
            <w:vMerge w:val="continue"/>
          </w:tcPr>
          <w:p w14:paraId="5D0B036A"/>
        </w:tc>
      </w:tr>
      <w:tr w14:paraId="0341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B3417">
            <w:pPr>
              <w:pStyle w:val="10"/>
            </w:pPr>
            <w:r>
              <w:t>栏次</w:t>
            </w:r>
          </w:p>
        </w:tc>
        <w:tc>
          <w:tcPr>
            <w:tcW w:w="1191" w:type="dxa"/>
            <w:vAlign w:val="center"/>
          </w:tcPr>
          <w:p w14:paraId="12452B1B">
            <w:pPr>
              <w:pStyle w:val="10"/>
            </w:pPr>
            <w:r>
              <w:t>1</w:t>
            </w:r>
          </w:p>
        </w:tc>
        <w:tc>
          <w:tcPr>
            <w:tcW w:w="4535" w:type="dxa"/>
            <w:vAlign w:val="center"/>
          </w:tcPr>
          <w:p w14:paraId="4CA0B493">
            <w:pPr>
              <w:pStyle w:val="10"/>
            </w:pPr>
            <w:r>
              <w:t>2</w:t>
            </w:r>
          </w:p>
        </w:tc>
        <w:tc>
          <w:tcPr>
            <w:tcW w:w="2551" w:type="dxa"/>
            <w:vAlign w:val="center"/>
          </w:tcPr>
          <w:p w14:paraId="13A04B96">
            <w:pPr>
              <w:pStyle w:val="10"/>
            </w:pPr>
            <w:r>
              <w:t>3</w:t>
            </w:r>
          </w:p>
        </w:tc>
        <w:tc>
          <w:tcPr>
            <w:tcW w:w="2551" w:type="dxa"/>
            <w:vAlign w:val="center"/>
          </w:tcPr>
          <w:p w14:paraId="0967CADA">
            <w:pPr>
              <w:pStyle w:val="10"/>
            </w:pPr>
            <w:r>
              <w:t>4</w:t>
            </w:r>
          </w:p>
        </w:tc>
        <w:tc>
          <w:tcPr>
            <w:tcW w:w="2551" w:type="dxa"/>
            <w:vAlign w:val="center"/>
          </w:tcPr>
          <w:p w14:paraId="3E13314D">
            <w:pPr>
              <w:pStyle w:val="10"/>
            </w:pPr>
            <w:r>
              <w:t>5</w:t>
            </w:r>
          </w:p>
        </w:tc>
      </w:tr>
      <w:tr w14:paraId="062B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0064">
            <w:pPr>
              <w:pStyle w:val="13"/>
            </w:pPr>
            <w:r>
              <w:t>1</w:t>
            </w:r>
          </w:p>
        </w:tc>
        <w:tc>
          <w:tcPr>
            <w:tcW w:w="1191" w:type="dxa"/>
            <w:vAlign w:val="center"/>
          </w:tcPr>
          <w:p w14:paraId="7FBD5D55">
            <w:pPr>
              <w:pStyle w:val="16"/>
            </w:pPr>
          </w:p>
        </w:tc>
        <w:tc>
          <w:tcPr>
            <w:tcW w:w="4535" w:type="dxa"/>
            <w:vAlign w:val="center"/>
          </w:tcPr>
          <w:p w14:paraId="04549BF0">
            <w:pPr>
              <w:pStyle w:val="14"/>
            </w:pPr>
            <w:r>
              <w:t>合计</w:t>
            </w:r>
          </w:p>
        </w:tc>
        <w:tc>
          <w:tcPr>
            <w:tcW w:w="2551" w:type="dxa"/>
            <w:vAlign w:val="center"/>
          </w:tcPr>
          <w:p w14:paraId="493BCB61">
            <w:pPr>
              <w:pStyle w:val="15"/>
            </w:pPr>
            <w:r>
              <w:t>3508.17</w:t>
            </w:r>
          </w:p>
        </w:tc>
        <w:tc>
          <w:tcPr>
            <w:tcW w:w="2551" w:type="dxa"/>
            <w:vAlign w:val="center"/>
          </w:tcPr>
          <w:p w14:paraId="30727417">
            <w:pPr>
              <w:pStyle w:val="15"/>
            </w:pPr>
            <w:r>
              <w:t>1932.62</w:t>
            </w:r>
          </w:p>
        </w:tc>
        <w:tc>
          <w:tcPr>
            <w:tcW w:w="2551" w:type="dxa"/>
            <w:vAlign w:val="center"/>
          </w:tcPr>
          <w:p w14:paraId="14C79F40">
            <w:pPr>
              <w:pStyle w:val="15"/>
            </w:pPr>
            <w:r>
              <w:t>1575.55</w:t>
            </w:r>
          </w:p>
        </w:tc>
      </w:tr>
      <w:tr w14:paraId="4853D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60C6">
            <w:pPr>
              <w:pStyle w:val="13"/>
            </w:pPr>
            <w:r>
              <w:t>2</w:t>
            </w:r>
          </w:p>
        </w:tc>
        <w:tc>
          <w:tcPr>
            <w:tcW w:w="1191" w:type="dxa"/>
            <w:vAlign w:val="center"/>
          </w:tcPr>
          <w:p w14:paraId="0583279A">
            <w:pPr>
              <w:pStyle w:val="12"/>
            </w:pPr>
            <w:r>
              <w:t>205</w:t>
            </w:r>
          </w:p>
        </w:tc>
        <w:tc>
          <w:tcPr>
            <w:tcW w:w="4535" w:type="dxa"/>
            <w:vAlign w:val="center"/>
          </w:tcPr>
          <w:p w14:paraId="0E8B328C">
            <w:pPr>
              <w:pStyle w:val="12"/>
            </w:pPr>
            <w:r>
              <w:t>教育支出</w:t>
            </w:r>
          </w:p>
        </w:tc>
        <w:tc>
          <w:tcPr>
            <w:tcW w:w="2551" w:type="dxa"/>
            <w:vAlign w:val="center"/>
          </w:tcPr>
          <w:p w14:paraId="55B9B5C7">
            <w:pPr>
              <w:pStyle w:val="11"/>
            </w:pPr>
            <w:r>
              <w:t>3508.17</w:t>
            </w:r>
          </w:p>
        </w:tc>
        <w:tc>
          <w:tcPr>
            <w:tcW w:w="2551" w:type="dxa"/>
            <w:vAlign w:val="center"/>
          </w:tcPr>
          <w:p w14:paraId="6D116C93">
            <w:pPr>
              <w:pStyle w:val="11"/>
            </w:pPr>
            <w:r>
              <w:t>1932.62</w:t>
            </w:r>
          </w:p>
        </w:tc>
        <w:tc>
          <w:tcPr>
            <w:tcW w:w="2551" w:type="dxa"/>
            <w:vAlign w:val="center"/>
          </w:tcPr>
          <w:p w14:paraId="7C5EE884">
            <w:pPr>
              <w:pStyle w:val="11"/>
            </w:pPr>
            <w:r>
              <w:t>1575.55</w:t>
            </w:r>
          </w:p>
        </w:tc>
      </w:tr>
      <w:tr w14:paraId="2D28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E856B">
            <w:pPr>
              <w:pStyle w:val="13"/>
            </w:pPr>
            <w:r>
              <w:t>3</w:t>
            </w:r>
          </w:p>
        </w:tc>
        <w:tc>
          <w:tcPr>
            <w:tcW w:w="1191" w:type="dxa"/>
            <w:vAlign w:val="center"/>
          </w:tcPr>
          <w:p w14:paraId="18BBAC36">
            <w:pPr>
              <w:pStyle w:val="12"/>
            </w:pPr>
            <w:r>
              <w:t>20502</w:t>
            </w:r>
          </w:p>
        </w:tc>
        <w:tc>
          <w:tcPr>
            <w:tcW w:w="4535" w:type="dxa"/>
            <w:vAlign w:val="center"/>
          </w:tcPr>
          <w:p w14:paraId="71DA3D3C">
            <w:pPr>
              <w:pStyle w:val="12"/>
            </w:pPr>
            <w:r>
              <w:t>普通教育</w:t>
            </w:r>
          </w:p>
        </w:tc>
        <w:tc>
          <w:tcPr>
            <w:tcW w:w="2551" w:type="dxa"/>
            <w:vAlign w:val="center"/>
          </w:tcPr>
          <w:p w14:paraId="24B30DBA">
            <w:pPr>
              <w:pStyle w:val="11"/>
            </w:pPr>
            <w:r>
              <w:t>3508.17</w:t>
            </w:r>
          </w:p>
        </w:tc>
        <w:tc>
          <w:tcPr>
            <w:tcW w:w="2551" w:type="dxa"/>
            <w:vAlign w:val="center"/>
          </w:tcPr>
          <w:p w14:paraId="2316092B">
            <w:pPr>
              <w:pStyle w:val="11"/>
            </w:pPr>
            <w:r>
              <w:t>1932.62</w:t>
            </w:r>
          </w:p>
        </w:tc>
        <w:tc>
          <w:tcPr>
            <w:tcW w:w="2551" w:type="dxa"/>
            <w:vAlign w:val="center"/>
          </w:tcPr>
          <w:p w14:paraId="7916F24D">
            <w:pPr>
              <w:pStyle w:val="11"/>
            </w:pPr>
            <w:r>
              <w:t>1575.55</w:t>
            </w:r>
          </w:p>
        </w:tc>
      </w:tr>
      <w:tr w14:paraId="33A7B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40DB2">
            <w:pPr>
              <w:pStyle w:val="13"/>
            </w:pPr>
            <w:r>
              <w:t>4</w:t>
            </w:r>
          </w:p>
        </w:tc>
        <w:tc>
          <w:tcPr>
            <w:tcW w:w="1191" w:type="dxa"/>
            <w:vAlign w:val="center"/>
          </w:tcPr>
          <w:p w14:paraId="51FDC091">
            <w:pPr>
              <w:pStyle w:val="12"/>
            </w:pPr>
            <w:r>
              <w:t>2050203</w:t>
            </w:r>
          </w:p>
        </w:tc>
        <w:tc>
          <w:tcPr>
            <w:tcW w:w="4535" w:type="dxa"/>
            <w:vAlign w:val="center"/>
          </w:tcPr>
          <w:p w14:paraId="0B318E43">
            <w:pPr>
              <w:pStyle w:val="12"/>
            </w:pPr>
            <w:r>
              <w:t>初中教育</w:t>
            </w:r>
          </w:p>
        </w:tc>
        <w:tc>
          <w:tcPr>
            <w:tcW w:w="2551" w:type="dxa"/>
            <w:vAlign w:val="center"/>
          </w:tcPr>
          <w:p w14:paraId="5E0C6254">
            <w:pPr>
              <w:pStyle w:val="11"/>
            </w:pPr>
            <w:r>
              <w:t>3508.17</w:t>
            </w:r>
          </w:p>
        </w:tc>
        <w:tc>
          <w:tcPr>
            <w:tcW w:w="2551" w:type="dxa"/>
            <w:vAlign w:val="center"/>
          </w:tcPr>
          <w:p w14:paraId="7AE96609">
            <w:pPr>
              <w:pStyle w:val="11"/>
            </w:pPr>
            <w:r>
              <w:t>1932.62</w:t>
            </w:r>
          </w:p>
        </w:tc>
        <w:tc>
          <w:tcPr>
            <w:tcW w:w="2551" w:type="dxa"/>
            <w:vAlign w:val="center"/>
          </w:tcPr>
          <w:p w14:paraId="04598D9E">
            <w:pPr>
              <w:pStyle w:val="11"/>
            </w:pPr>
            <w:r>
              <w:t>1575.55</w:t>
            </w:r>
          </w:p>
        </w:tc>
      </w:tr>
    </w:tbl>
    <w:p w14:paraId="2BD69E31">
      <w:pPr>
        <w:sectPr>
          <w:pgSz w:w="16840" w:h="11900" w:orient="landscape"/>
          <w:pgMar w:top="1361" w:right="1020" w:bottom="1134" w:left="1020" w:header="720" w:footer="720" w:gutter="0"/>
          <w:cols w:space="720" w:num="1"/>
        </w:sectPr>
      </w:pPr>
    </w:p>
    <w:p w14:paraId="017EA1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5A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50A7B8">
            <w:pPr>
              <w:pStyle w:val="9"/>
            </w:pPr>
            <w:r>
              <w:t>360004隆尧县尧山中学</w:t>
            </w:r>
          </w:p>
        </w:tc>
        <w:tc>
          <w:tcPr>
            <w:tcW w:w="2551" w:type="dxa"/>
            <w:tcBorders>
              <w:top w:val="single" w:color="FFFFFF" w:sz="6" w:space="0"/>
              <w:left w:val="single" w:color="FFFFFF" w:sz="6" w:space="0"/>
              <w:right w:val="single" w:color="FFFFFF" w:sz="6" w:space="0"/>
            </w:tcBorders>
            <w:vAlign w:val="center"/>
          </w:tcPr>
          <w:p w14:paraId="20A61D6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1C3369">
            <w:pPr>
              <w:pStyle w:val="7"/>
            </w:pPr>
            <w:r>
              <w:t>单位：万元</w:t>
            </w:r>
          </w:p>
        </w:tc>
      </w:tr>
      <w:tr w14:paraId="0C6B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0878D">
            <w:pPr>
              <w:pStyle w:val="10"/>
            </w:pPr>
            <w:r>
              <w:t>序号</w:t>
            </w:r>
          </w:p>
        </w:tc>
        <w:tc>
          <w:tcPr>
            <w:tcW w:w="5726" w:type="dxa"/>
            <w:gridSpan w:val="2"/>
            <w:vAlign w:val="center"/>
          </w:tcPr>
          <w:p w14:paraId="41D64B59">
            <w:pPr>
              <w:pStyle w:val="10"/>
            </w:pPr>
            <w:r>
              <w:t>支出部门经济分类科目</w:t>
            </w:r>
          </w:p>
        </w:tc>
        <w:tc>
          <w:tcPr>
            <w:tcW w:w="7653" w:type="dxa"/>
            <w:gridSpan w:val="3"/>
            <w:vAlign w:val="center"/>
          </w:tcPr>
          <w:p w14:paraId="4B78A632">
            <w:pPr>
              <w:pStyle w:val="10"/>
            </w:pPr>
            <w:r>
              <w:t>一般公共预算基本支出</w:t>
            </w:r>
          </w:p>
        </w:tc>
      </w:tr>
      <w:tr w14:paraId="0D5B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71BC60"/>
        </w:tc>
        <w:tc>
          <w:tcPr>
            <w:tcW w:w="1191" w:type="dxa"/>
            <w:vAlign w:val="center"/>
          </w:tcPr>
          <w:p w14:paraId="15D92B3F">
            <w:pPr>
              <w:pStyle w:val="10"/>
            </w:pPr>
            <w:r>
              <w:t>科目编码</w:t>
            </w:r>
          </w:p>
        </w:tc>
        <w:tc>
          <w:tcPr>
            <w:tcW w:w="4535" w:type="dxa"/>
            <w:vAlign w:val="center"/>
          </w:tcPr>
          <w:p w14:paraId="08A19F03">
            <w:pPr>
              <w:pStyle w:val="10"/>
            </w:pPr>
            <w:r>
              <w:t>科目名称</w:t>
            </w:r>
          </w:p>
        </w:tc>
        <w:tc>
          <w:tcPr>
            <w:tcW w:w="2551" w:type="dxa"/>
            <w:vAlign w:val="center"/>
          </w:tcPr>
          <w:p w14:paraId="184CB6FD">
            <w:pPr>
              <w:pStyle w:val="10"/>
            </w:pPr>
            <w:r>
              <w:t>合计</w:t>
            </w:r>
          </w:p>
        </w:tc>
        <w:tc>
          <w:tcPr>
            <w:tcW w:w="2551" w:type="dxa"/>
            <w:vAlign w:val="center"/>
          </w:tcPr>
          <w:p w14:paraId="320F38CE">
            <w:pPr>
              <w:pStyle w:val="10"/>
            </w:pPr>
            <w:r>
              <w:t>人员经费</w:t>
            </w:r>
          </w:p>
        </w:tc>
        <w:tc>
          <w:tcPr>
            <w:tcW w:w="2551" w:type="dxa"/>
            <w:vAlign w:val="center"/>
          </w:tcPr>
          <w:p w14:paraId="7A2A2CB8">
            <w:pPr>
              <w:pStyle w:val="10"/>
            </w:pPr>
            <w:r>
              <w:t>公用经费</w:t>
            </w:r>
          </w:p>
        </w:tc>
      </w:tr>
      <w:tr w14:paraId="4803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9ABAA">
            <w:pPr>
              <w:pStyle w:val="10"/>
            </w:pPr>
            <w:r>
              <w:t>栏次</w:t>
            </w:r>
          </w:p>
        </w:tc>
        <w:tc>
          <w:tcPr>
            <w:tcW w:w="1191" w:type="dxa"/>
            <w:vAlign w:val="center"/>
          </w:tcPr>
          <w:p w14:paraId="23D819B5">
            <w:pPr>
              <w:pStyle w:val="10"/>
            </w:pPr>
            <w:r>
              <w:t>1</w:t>
            </w:r>
          </w:p>
        </w:tc>
        <w:tc>
          <w:tcPr>
            <w:tcW w:w="4535" w:type="dxa"/>
            <w:vAlign w:val="center"/>
          </w:tcPr>
          <w:p w14:paraId="6EB210EF">
            <w:pPr>
              <w:pStyle w:val="10"/>
            </w:pPr>
            <w:r>
              <w:t>2</w:t>
            </w:r>
          </w:p>
        </w:tc>
        <w:tc>
          <w:tcPr>
            <w:tcW w:w="2551" w:type="dxa"/>
            <w:vAlign w:val="center"/>
          </w:tcPr>
          <w:p w14:paraId="48C8A96D">
            <w:pPr>
              <w:pStyle w:val="10"/>
            </w:pPr>
            <w:r>
              <w:t>3</w:t>
            </w:r>
          </w:p>
        </w:tc>
        <w:tc>
          <w:tcPr>
            <w:tcW w:w="2551" w:type="dxa"/>
            <w:vAlign w:val="center"/>
          </w:tcPr>
          <w:p w14:paraId="61BECF25">
            <w:pPr>
              <w:pStyle w:val="10"/>
            </w:pPr>
            <w:r>
              <w:t>4</w:t>
            </w:r>
          </w:p>
        </w:tc>
        <w:tc>
          <w:tcPr>
            <w:tcW w:w="2551" w:type="dxa"/>
            <w:vAlign w:val="center"/>
          </w:tcPr>
          <w:p w14:paraId="33BB9210">
            <w:pPr>
              <w:pStyle w:val="10"/>
            </w:pPr>
            <w:r>
              <w:t>5</w:t>
            </w:r>
          </w:p>
        </w:tc>
      </w:tr>
      <w:tr w14:paraId="46B1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59535">
            <w:pPr>
              <w:pStyle w:val="13"/>
            </w:pPr>
            <w:r>
              <w:t>1</w:t>
            </w:r>
          </w:p>
        </w:tc>
        <w:tc>
          <w:tcPr>
            <w:tcW w:w="1191" w:type="dxa"/>
            <w:vAlign w:val="center"/>
          </w:tcPr>
          <w:p w14:paraId="073249D8">
            <w:pPr>
              <w:pStyle w:val="16"/>
            </w:pPr>
          </w:p>
        </w:tc>
        <w:tc>
          <w:tcPr>
            <w:tcW w:w="4535" w:type="dxa"/>
            <w:vAlign w:val="center"/>
          </w:tcPr>
          <w:p w14:paraId="69F97AC9">
            <w:pPr>
              <w:pStyle w:val="14"/>
            </w:pPr>
            <w:r>
              <w:t>合计</w:t>
            </w:r>
          </w:p>
        </w:tc>
        <w:tc>
          <w:tcPr>
            <w:tcW w:w="2551" w:type="dxa"/>
            <w:vAlign w:val="center"/>
          </w:tcPr>
          <w:p w14:paraId="46727A51">
            <w:pPr>
              <w:pStyle w:val="15"/>
            </w:pPr>
            <w:r>
              <w:t>1932.62</w:t>
            </w:r>
          </w:p>
        </w:tc>
        <w:tc>
          <w:tcPr>
            <w:tcW w:w="2551" w:type="dxa"/>
            <w:vAlign w:val="center"/>
          </w:tcPr>
          <w:p w14:paraId="358DDE3D">
            <w:pPr>
              <w:pStyle w:val="15"/>
            </w:pPr>
            <w:r>
              <w:t>1932.62</w:t>
            </w:r>
          </w:p>
        </w:tc>
        <w:tc>
          <w:tcPr>
            <w:tcW w:w="2551" w:type="dxa"/>
            <w:vAlign w:val="center"/>
          </w:tcPr>
          <w:p w14:paraId="2D5AE201">
            <w:pPr>
              <w:pStyle w:val="15"/>
            </w:pPr>
          </w:p>
        </w:tc>
      </w:tr>
      <w:tr w14:paraId="0BD5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3A80">
            <w:pPr>
              <w:pStyle w:val="13"/>
            </w:pPr>
            <w:r>
              <w:t>2</w:t>
            </w:r>
          </w:p>
        </w:tc>
        <w:tc>
          <w:tcPr>
            <w:tcW w:w="1191" w:type="dxa"/>
            <w:vAlign w:val="center"/>
          </w:tcPr>
          <w:p w14:paraId="3F1659AA">
            <w:pPr>
              <w:pStyle w:val="12"/>
            </w:pPr>
            <w:r>
              <w:t>301</w:t>
            </w:r>
          </w:p>
        </w:tc>
        <w:tc>
          <w:tcPr>
            <w:tcW w:w="4535" w:type="dxa"/>
            <w:vAlign w:val="center"/>
          </w:tcPr>
          <w:p w14:paraId="6B09EBE2">
            <w:pPr>
              <w:pStyle w:val="12"/>
            </w:pPr>
            <w:r>
              <w:t>工资福利支出</w:t>
            </w:r>
          </w:p>
        </w:tc>
        <w:tc>
          <w:tcPr>
            <w:tcW w:w="2551" w:type="dxa"/>
            <w:vAlign w:val="center"/>
          </w:tcPr>
          <w:p w14:paraId="128D8F54">
            <w:pPr>
              <w:pStyle w:val="11"/>
            </w:pPr>
            <w:r>
              <w:t>1898.85</w:t>
            </w:r>
          </w:p>
        </w:tc>
        <w:tc>
          <w:tcPr>
            <w:tcW w:w="2551" w:type="dxa"/>
            <w:vAlign w:val="center"/>
          </w:tcPr>
          <w:p w14:paraId="59434A28">
            <w:pPr>
              <w:pStyle w:val="11"/>
            </w:pPr>
            <w:r>
              <w:t>1898.85</w:t>
            </w:r>
          </w:p>
        </w:tc>
        <w:tc>
          <w:tcPr>
            <w:tcW w:w="2551" w:type="dxa"/>
            <w:vAlign w:val="center"/>
          </w:tcPr>
          <w:p w14:paraId="5E6B9C6F">
            <w:pPr>
              <w:pStyle w:val="11"/>
            </w:pPr>
          </w:p>
        </w:tc>
      </w:tr>
      <w:tr w14:paraId="2BCD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F0967">
            <w:pPr>
              <w:pStyle w:val="13"/>
            </w:pPr>
            <w:r>
              <w:t>3</w:t>
            </w:r>
          </w:p>
        </w:tc>
        <w:tc>
          <w:tcPr>
            <w:tcW w:w="1191" w:type="dxa"/>
            <w:vAlign w:val="center"/>
          </w:tcPr>
          <w:p w14:paraId="08EC4F9A">
            <w:pPr>
              <w:pStyle w:val="12"/>
            </w:pPr>
            <w:r>
              <w:t>30101</w:t>
            </w:r>
          </w:p>
        </w:tc>
        <w:tc>
          <w:tcPr>
            <w:tcW w:w="4535" w:type="dxa"/>
            <w:vAlign w:val="center"/>
          </w:tcPr>
          <w:p w14:paraId="0EF93C99">
            <w:pPr>
              <w:pStyle w:val="12"/>
            </w:pPr>
            <w:r>
              <w:t>基本工资</w:t>
            </w:r>
          </w:p>
        </w:tc>
        <w:tc>
          <w:tcPr>
            <w:tcW w:w="2551" w:type="dxa"/>
            <w:vAlign w:val="center"/>
          </w:tcPr>
          <w:p w14:paraId="20917910">
            <w:pPr>
              <w:pStyle w:val="11"/>
            </w:pPr>
            <w:r>
              <w:t>886.82</w:t>
            </w:r>
          </w:p>
        </w:tc>
        <w:tc>
          <w:tcPr>
            <w:tcW w:w="2551" w:type="dxa"/>
            <w:vAlign w:val="center"/>
          </w:tcPr>
          <w:p w14:paraId="7110C600">
            <w:pPr>
              <w:pStyle w:val="11"/>
            </w:pPr>
            <w:r>
              <w:t>886.82</w:t>
            </w:r>
          </w:p>
        </w:tc>
        <w:tc>
          <w:tcPr>
            <w:tcW w:w="2551" w:type="dxa"/>
            <w:vAlign w:val="center"/>
          </w:tcPr>
          <w:p w14:paraId="09846A51">
            <w:pPr>
              <w:pStyle w:val="11"/>
            </w:pPr>
          </w:p>
        </w:tc>
      </w:tr>
      <w:tr w14:paraId="4617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7B7C4">
            <w:pPr>
              <w:pStyle w:val="13"/>
            </w:pPr>
            <w:r>
              <w:t>4</w:t>
            </w:r>
          </w:p>
        </w:tc>
        <w:tc>
          <w:tcPr>
            <w:tcW w:w="1191" w:type="dxa"/>
            <w:vAlign w:val="center"/>
          </w:tcPr>
          <w:p w14:paraId="4CAC77C3">
            <w:pPr>
              <w:pStyle w:val="12"/>
            </w:pPr>
            <w:r>
              <w:t>30102</w:t>
            </w:r>
          </w:p>
        </w:tc>
        <w:tc>
          <w:tcPr>
            <w:tcW w:w="4535" w:type="dxa"/>
            <w:vAlign w:val="center"/>
          </w:tcPr>
          <w:p w14:paraId="7753751C">
            <w:pPr>
              <w:pStyle w:val="12"/>
            </w:pPr>
            <w:r>
              <w:t>津贴补贴</w:t>
            </w:r>
          </w:p>
        </w:tc>
        <w:tc>
          <w:tcPr>
            <w:tcW w:w="2551" w:type="dxa"/>
            <w:vAlign w:val="center"/>
          </w:tcPr>
          <w:p w14:paraId="66A9821E">
            <w:pPr>
              <w:pStyle w:val="11"/>
            </w:pPr>
            <w:r>
              <w:t>84.79</w:t>
            </w:r>
          </w:p>
        </w:tc>
        <w:tc>
          <w:tcPr>
            <w:tcW w:w="2551" w:type="dxa"/>
            <w:vAlign w:val="center"/>
          </w:tcPr>
          <w:p w14:paraId="1199B6A8">
            <w:pPr>
              <w:pStyle w:val="11"/>
            </w:pPr>
            <w:r>
              <w:t>84.79</w:t>
            </w:r>
          </w:p>
        </w:tc>
        <w:tc>
          <w:tcPr>
            <w:tcW w:w="2551" w:type="dxa"/>
            <w:vAlign w:val="center"/>
          </w:tcPr>
          <w:p w14:paraId="67F908E9">
            <w:pPr>
              <w:pStyle w:val="11"/>
            </w:pPr>
          </w:p>
        </w:tc>
      </w:tr>
      <w:tr w14:paraId="6B73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0260F">
            <w:pPr>
              <w:pStyle w:val="13"/>
            </w:pPr>
            <w:r>
              <w:t>5</w:t>
            </w:r>
          </w:p>
        </w:tc>
        <w:tc>
          <w:tcPr>
            <w:tcW w:w="1191" w:type="dxa"/>
            <w:vAlign w:val="center"/>
          </w:tcPr>
          <w:p w14:paraId="3FE7582A">
            <w:pPr>
              <w:pStyle w:val="12"/>
            </w:pPr>
            <w:r>
              <w:t>30107</w:t>
            </w:r>
          </w:p>
        </w:tc>
        <w:tc>
          <w:tcPr>
            <w:tcW w:w="4535" w:type="dxa"/>
            <w:vAlign w:val="center"/>
          </w:tcPr>
          <w:p w14:paraId="341C3E43">
            <w:pPr>
              <w:pStyle w:val="12"/>
            </w:pPr>
            <w:r>
              <w:t>绩效工资</w:t>
            </w:r>
          </w:p>
        </w:tc>
        <w:tc>
          <w:tcPr>
            <w:tcW w:w="2551" w:type="dxa"/>
            <w:vAlign w:val="center"/>
          </w:tcPr>
          <w:p w14:paraId="004748C9">
            <w:pPr>
              <w:pStyle w:val="11"/>
            </w:pPr>
            <w:r>
              <w:t>492.09</w:t>
            </w:r>
          </w:p>
        </w:tc>
        <w:tc>
          <w:tcPr>
            <w:tcW w:w="2551" w:type="dxa"/>
            <w:vAlign w:val="center"/>
          </w:tcPr>
          <w:p w14:paraId="372340F4">
            <w:pPr>
              <w:pStyle w:val="11"/>
            </w:pPr>
            <w:r>
              <w:t>492.09</w:t>
            </w:r>
          </w:p>
        </w:tc>
        <w:tc>
          <w:tcPr>
            <w:tcW w:w="2551" w:type="dxa"/>
            <w:vAlign w:val="center"/>
          </w:tcPr>
          <w:p w14:paraId="5ED97D7B">
            <w:pPr>
              <w:pStyle w:val="11"/>
            </w:pPr>
          </w:p>
        </w:tc>
      </w:tr>
      <w:tr w14:paraId="7CD5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B52B6">
            <w:pPr>
              <w:pStyle w:val="13"/>
            </w:pPr>
            <w:r>
              <w:t>6</w:t>
            </w:r>
          </w:p>
        </w:tc>
        <w:tc>
          <w:tcPr>
            <w:tcW w:w="1191" w:type="dxa"/>
            <w:vAlign w:val="center"/>
          </w:tcPr>
          <w:p w14:paraId="5416AB0F">
            <w:pPr>
              <w:pStyle w:val="12"/>
            </w:pPr>
            <w:r>
              <w:t>30108</w:t>
            </w:r>
          </w:p>
        </w:tc>
        <w:tc>
          <w:tcPr>
            <w:tcW w:w="4535" w:type="dxa"/>
            <w:vAlign w:val="center"/>
          </w:tcPr>
          <w:p w14:paraId="1AC073DF">
            <w:pPr>
              <w:pStyle w:val="12"/>
            </w:pPr>
            <w:r>
              <w:t>机关事业单位基本养老保险缴费</w:t>
            </w:r>
          </w:p>
        </w:tc>
        <w:tc>
          <w:tcPr>
            <w:tcW w:w="2551" w:type="dxa"/>
            <w:vAlign w:val="center"/>
          </w:tcPr>
          <w:p w14:paraId="723CDAF8">
            <w:pPr>
              <w:pStyle w:val="11"/>
            </w:pPr>
            <w:r>
              <w:t>193.23</w:t>
            </w:r>
          </w:p>
        </w:tc>
        <w:tc>
          <w:tcPr>
            <w:tcW w:w="2551" w:type="dxa"/>
            <w:vAlign w:val="center"/>
          </w:tcPr>
          <w:p w14:paraId="49758CD1">
            <w:pPr>
              <w:pStyle w:val="11"/>
            </w:pPr>
            <w:r>
              <w:t>193.23</w:t>
            </w:r>
          </w:p>
        </w:tc>
        <w:tc>
          <w:tcPr>
            <w:tcW w:w="2551" w:type="dxa"/>
            <w:vAlign w:val="center"/>
          </w:tcPr>
          <w:p w14:paraId="11FE2974">
            <w:pPr>
              <w:pStyle w:val="11"/>
            </w:pPr>
          </w:p>
        </w:tc>
      </w:tr>
      <w:tr w14:paraId="2906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7477">
            <w:pPr>
              <w:pStyle w:val="13"/>
            </w:pPr>
            <w:r>
              <w:t>7</w:t>
            </w:r>
          </w:p>
        </w:tc>
        <w:tc>
          <w:tcPr>
            <w:tcW w:w="1191" w:type="dxa"/>
            <w:vAlign w:val="center"/>
          </w:tcPr>
          <w:p w14:paraId="145713AC">
            <w:pPr>
              <w:pStyle w:val="12"/>
            </w:pPr>
            <w:r>
              <w:t>30110</w:t>
            </w:r>
          </w:p>
        </w:tc>
        <w:tc>
          <w:tcPr>
            <w:tcW w:w="4535" w:type="dxa"/>
            <w:vAlign w:val="center"/>
          </w:tcPr>
          <w:p w14:paraId="239EFBE4">
            <w:pPr>
              <w:pStyle w:val="12"/>
            </w:pPr>
            <w:r>
              <w:t>职工基本医疗保险缴费</w:t>
            </w:r>
          </w:p>
        </w:tc>
        <w:tc>
          <w:tcPr>
            <w:tcW w:w="2551" w:type="dxa"/>
            <w:vAlign w:val="center"/>
          </w:tcPr>
          <w:p w14:paraId="3B26AF3A">
            <w:pPr>
              <w:pStyle w:val="11"/>
            </w:pPr>
            <w:r>
              <w:t>91.60</w:t>
            </w:r>
          </w:p>
        </w:tc>
        <w:tc>
          <w:tcPr>
            <w:tcW w:w="2551" w:type="dxa"/>
            <w:vAlign w:val="center"/>
          </w:tcPr>
          <w:p w14:paraId="4106654D">
            <w:pPr>
              <w:pStyle w:val="11"/>
            </w:pPr>
            <w:r>
              <w:t>91.60</w:t>
            </w:r>
          </w:p>
        </w:tc>
        <w:tc>
          <w:tcPr>
            <w:tcW w:w="2551" w:type="dxa"/>
            <w:vAlign w:val="center"/>
          </w:tcPr>
          <w:p w14:paraId="4F24E6F5">
            <w:pPr>
              <w:pStyle w:val="11"/>
            </w:pPr>
          </w:p>
        </w:tc>
      </w:tr>
      <w:tr w14:paraId="3CE8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BA49">
            <w:pPr>
              <w:pStyle w:val="13"/>
            </w:pPr>
            <w:r>
              <w:t>8</w:t>
            </w:r>
          </w:p>
        </w:tc>
        <w:tc>
          <w:tcPr>
            <w:tcW w:w="1191" w:type="dxa"/>
            <w:vAlign w:val="center"/>
          </w:tcPr>
          <w:p w14:paraId="442076F2">
            <w:pPr>
              <w:pStyle w:val="12"/>
            </w:pPr>
            <w:r>
              <w:t>30112</w:t>
            </w:r>
          </w:p>
        </w:tc>
        <w:tc>
          <w:tcPr>
            <w:tcW w:w="4535" w:type="dxa"/>
            <w:vAlign w:val="center"/>
          </w:tcPr>
          <w:p w14:paraId="0643063A">
            <w:pPr>
              <w:pStyle w:val="12"/>
            </w:pPr>
            <w:r>
              <w:t>其他社会保障缴费</w:t>
            </w:r>
          </w:p>
        </w:tc>
        <w:tc>
          <w:tcPr>
            <w:tcW w:w="2551" w:type="dxa"/>
            <w:vAlign w:val="center"/>
          </w:tcPr>
          <w:p w14:paraId="4E21A7BA">
            <w:pPr>
              <w:pStyle w:val="11"/>
            </w:pPr>
            <w:r>
              <w:t>5.50</w:t>
            </w:r>
          </w:p>
        </w:tc>
        <w:tc>
          <w:tcPr>
            <w:tcW w:w="2551" w:type="dxa"/>
            <w:vAlign w:val="center"/>
          </w:tcPr>
          <w:p w14:paraId="6D09A2BC">
            <w:pPr>
              <w:pStyle w:val="11"/>
            </w:pPr>
            <w:r>
              <w:t>5.50</w:t>
            </w:r>
          </w:p>
        </w:tc>
        <w:tc>
          <w:tcPr>
            <w:tcW w:w="2551" w:type="dxa"/>
            <w:vAlign w:val="center"/>
          </w:tcPr>
          <w:p w14:paraId="1167D6FA">
            <w:pPr>
              <w:pStyle w:val="11"/>
            </w:pPr>
          </w:p>
        </w:tc>
      </w:tr>
      <w:tr w14:paraId="5B02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AFCF">
            <w:pPr>
              <w:pStyle w:val="13"/>
            </w:pPr>
            <w:r>
              <w:t>9</w:t>
            </w:r>
          </w:p>
        </w:tc>
        <w:tc>
          <w:tcPr>
            <w:tcW w:w="1191" w:type="dxa"/>
            <w:vAlign w:val="center"/>
          </w:tcPr>
          <w:p w14:paraId="0E1D6F67">
            <w:pPr>
              <w:pStyle w:val="12"/>
            </w:pPr>
            <w:r>
              <w:t>30113</w:t>
            </w:r>
          </w:p>
        </w:tc>
        <w:tc>
          <w:tcPr>
            <w:tcW w:w="4535" w:type="dxa"/>
            <w:vAlign w:val="center"/>
          </w:tcPr>
          <w:p w14:paraId="44417841">
            <w:pPr>
              <w:pStyle w:val="12"/>
            </w:pPr>
            <w:r>
              <w:t>住房公积金</w:t>
            </w:r>
          </w:p>
        </w:tc>
        <w:tc>
          <w:tcPr>
            <w:tcW w:w="2551" w:type="dxa"/>
            <w:vAlign w:val="center"/>
          </w:tcPr>
          <w:p w14:paraId="51706C7B">
            <w:pPr>
              <w:pStyle w:val="11"/>
            </w:pPr>
            <w:r>
              <w:t>144.82</w:t>
            </w:r>
          </w:p>
        </w:tc>
        <w:tc>
          <w:tcPr>
            <w:tcW w:w="2551" w:type="dxa"/>
            <w:vAlign w:val="center"/>
          </w:tcPr>
          <w:p w14:paraId="6284E78E">
            <w:pPr>
              <w:pStyle w:val="11"/>
            </w:pPr>
            <w:r>
              <w:t>144.82</w:t>
            </w:r>
          </w:p>
        </w:tc>
        <w:tc>
          <w:tcPr>
            <w:tcW w:w="2551" w:type="dxa"/>
            <w:vAlign w:val="center"/>
          </w:tcPr>
          <w:p w14:paraId="3A3C57FE">
            <w:pPr>
              <w:pStyle w:val="11"/>
            </w:pPr>
          </w:p>
        </w:tc>
      </w:tr>
      <w:tr w14:paraId="065B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639A">
            <w:pPr>
              <w:pStyle w:val="13"/>
            </w:pPr>
            <w:r>
              <w:t>10</w:t>
            </w:r>
          </w:p>
        </w:tc>
        <w:tc>
          <w:tcPr>
            <w:tcW w:w="1191" w:type="dxa"/>
            <w:vAlign w:val="center"/>
          </w:tcPr>
          <w:p w14:paraId="0304B511">
            <w:pPr>
              <w:pStyle w:val="12"/>
            </w:pPr>
            <w:r>
              <w:t>303</w:t>
            </w:r>
          </w:p>
        </w:tc>
        <w:tc>
          <w:tcPr>
            <w:tcW w:w="4535" w:type="dxa"/>
            <w:vAlign w:val="center"/>
          </w:tcPr>
          <w:p w14:paraId="1111E659">
            <w:pPr>
              <w:pStyle w:val="12"/>
            </w:pPr>
            <w:r>
              <w:t>对个人和家庭的补助</w:t>
            </w:r>
          </w:p>
        </w:tc>
        <w:tc>
          <w:tcPr>
            <w:tcW w:w="2551" w:type="dxa"/>
            <w:vAlign w:val="center"/>
          </w:tcPr>
          <w:p w14:paraId="6DD2469D">
            <w:pPr>
              <w:pStyle w:val="11"/>
            </w:pPr>
            <w:r>
              <w:t>33.77</w:t>
            </w:r>
          </w:p>
        </w:tc>
        <w:tc>
          <w:tcPr>
            <w:tcW w:w="2551" w:type="dxa"/>
            <w:vAlign w:val="center"/>
          </w:tcPr>
          <w:p w14:paraId="0A0407D3">
            <w:pPr>
              <w:pStyle w:val="11"/>
            </w:pPr>
            <w:r>
              <w:t>33.77</w:t>
            </w:r>
          </w:p>
        </w:tc>
        <w:tc>
          <w:tcPr>
            <w:tcW w:w="2551" w:type="dxa"/>
            <w:vAlign w:val="center"/>
          </w:tcPr>
          <w:p w14:paraId="1611775E">
            <w:pPr>
              <w:pStyle w:val="11"/>
            </w:pPr>
          </w:p>
        </w:tc>
      </w:tr>
      <w:tr w14:paraId="5386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A4291">
            <w:pPr>
              <w:pStyle w:val="13"/>
            </w:pPr>
            <w:r>
              <w:t>11</w:t>
            </w:r>
          </w:p>
        </w:tc>
        <w:tc>
          <w:tcPr>
            <w:tcW w:w="1191" w:type="dxa"/>
            <w:vAlign w:val="center"/>
          </w:tcPr>
          <w:p w14:paraId="06CF3107">
            <w:pPr>
              <w:pStyle w:val="12"/>
            </w:pPr>
            <w:r>
              <w:t>30302</w:t>
            </w:r>
          </w:p>
        </w:tc>
        <w:tc>
          <w:tcPr>
            <w:tcW w:w="4535" w:type="dxa"/>
            <w:vAlign w:val="center"/>
          </w:tcPr>
          <w:p w14:paraId="2794FC0E">
            <w:pPr>
              <w:pStyle w:val="12"/>
            </w:pPr>
            <w:r>
              <w:t>退休费</w:t>
            </w:r>
          </w:p>
        </w:tc>
        <w:tc>
          <w:tcPr>
            <w:tcW w:w="2551" w:type="dxa"/>
            <w:vAlign w:val="center"/>
          </w:tcPr>
          <w:p w14:paraId="052E0EC6">
            <w:pPr>
              <w:pStyle w:val="11"/>
            </w:pPr>
            <w:r>
              <w:t>31.61</w:t>
            </w:r>
          </w:p>
        </w:tc>
        <w:tc>
          <w:tcPr>
            <w:tcW w:w="2551" w:type="dxa"/>
            <w:vAlign w:val="center"/>
          </w:tcPr>
          <w:p w14:paraId="638830A6">
            <w:pPr>
              <w:pStyle w:val="11"/>
            </w:pPr>
            <w:r>
              <w:t>31.61</w:t>
            </w:r>
          </w:p>
        </w:tc>
        <w:tc>
          <w:tcPr>
            <w:tcW w:w="2551" w:type="dxa"/>
            <w:vAlign w:val="center"/>
          </w:tcPr>
          <w:p w14:paraId="009680CB">
            <w:pPr>
              <w:pStyle w:val="11"/>
            </w:pPr>
          </w:p>
        </w:tc>
      </w:tr>
      <w:tr w14:paraId="3DBD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A50F">
            <w:pPr>
              <w:pStyle w:val="13"/>
            </w:pPr>
            <w:r>
              <w:t>12</w:t>
            </w:r>
          </w:p>
        </w:tc>
        <w:tc>
          <w:tcPr>
            <w:tcW w:w="1191" w:type="dxa"/>
            <w:vAlign w:val="center"/>
          </w:tcPr>
          <w:p w14:paraId="772DA83C">
            <w:pPr>
              <w:pStyle w:val="12"/>
            </w:pPr>
            <w:r>
              <w:t>30305</w:t>
            </w:r>
          </w:p>
        </w:tc>
        <w:tc>
          <w:tcPr>
            <w:tcW w:w="4535" w:type="dxa"/>
            <w:vAlign w:val="center"/>
          </w:tcPr>
          <w:p w14:paraId="280055DD">
            <w:pPr>
              <w:pStyle w:val="12"/>
            </w:pPr>
            <w:r>
              <w:t>生活补助</w:t>
            </w:r>
          </w:p>
        </w:tc>
        <w:tc>
          <w:tcPr>
            <w:tcW w:w="2551" w:type="dxa"/>
            <w:vAlign w:val="center"/>
          </w:tcPr>
          <w:p w14:paraId="1419435E">
            <w:pPr>
              <w:pStyle w:val="11"/>
            </w:pPr>
            <w:r>
              <w:t>2.16</w:t>
            </w:r>
          </w:p>
        </w:tc>
        <w:tc>
          <w:tcPr>
            <w:tcW w:w="2551" w:type="dxa"/>
            <w:vAlign w:val="center"/>
          </w:tcPr>
          <w:p w14:paraId="46883949">
            <w:pPr>
              <w:pStyle w:val="11"/>
            </w:pPr>
            <w:r>
              <w:t>2.16</w:t>
            </w:r>
          </w:p>
        </w:tc>
        <w:tc>
          <w:tcPr>
            <w:tcW w:w="2551" w:type="dxa"/>
            <w:vAlign w:val="center"/>
          </w:tcPr>
          <w:p w14:paraId="71E5976A">
            <w:pPr>
              <w:pStyle w:val="11"/>
            </w:pPr>
          </w:p>
        </w:tc>
      </w:tr>
    </w:tbl>
    <w:p w14:paraId="1A02EEC9">
      <w:pPr>
        <w:sectPr>
          <w:pgSz w:w="16840" w:h="11900" w:orient="landscape"/>
          <w:pgMar w:top="1361" w:right="1020" w:bottom="1134" w:left="1020" w:header="720" w:footer="720" w:gutter="0"/>
          <w:cols w:space="720" w:num="1"/>
        </w:sectPr>
      </w:pPr>
    </w:p>
    <w:p w14:paraId="612D0D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AC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424511">
            <w:pPr>
              <w:pStyle w:val="9"/>
            </w:pPr>
            <w:r>
              <w:t>360004隆尧县尧山中学</w:t>
            </w:r>
          </w:p>
        </w:tc>
        <w:tc>
          <w:tcPr>
            <w:tcW w:w="2551" w:type="dxa"/>
            <w:tcBorders>
              <w:top w:val="single" w:color="FFFFFF" w:sz="6" w:space="0"/>
              <w:left w:val="single" w:color="FFFFFF" w:sz="6" w:space="0"/>
              <w:right w:val="single" w:color="FFFFFF" w:sz="6" w:space="0"/>
            </w:tcBorders>
            <w:vAlign w:val="center"/>
          </w:tcPr>
          <w:p w14:paraId="0B79F5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5AC596">
            <w:pPr>
              <w:pStyle w:val="7"/>
            </w:pPr>
            <w:r>
              <w:t>单位：万元</w:t>
            </w:r>
          </w:p>
        </w:tc>
      </w:tr>
      <w:tr w14:paraId="33E4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D9D4A">
            <w:pPr>
              <w:pStyle w:val="10"/>
            </w:pPr>
            <w:r>
              <w:t>序号</w:t>
            </w:r>
          </w:p>
        </w:tc>
        <w:tc>
          <w:tcPr>
            <w:tcW w:w="5726" w:type="dxa"/>
            <w:gridSpan w:val="2"/>
            <w:vAlign w:val="center"/>
          </w:tcPr>
          <w:p w14:paraId="2B388CC7">
            <w:pPr>
              <w:pStyle w:val="10"/>
            </w:pPr>
            <w:r>
              <w:t>功能分类科目</w:t>
            </w:r>
          </w:p>
        </w:tc>
        <w:tc>
          <w:tcPr>
            <w:tcW w:w="2551" w:type="dxa"/>
            <w:vMerge w:val="restart"/>
            <w:vAlign w:val="center"/>
          </w:tcPr>
          <w:p w14:paraId="012E49CF">
            <w:pPr>
              <w:pStyle w:val="10"/>
            </w:pPr>
            <w:r>
              <w:t>合计</w:t>
            </w:r>
          </w:p>
        </w:tc>
        <w:tc>
          <w:tcPr>
            <w:tcW w:w="2551" w:type="dxa"/>
            <w:vMerge w:val="restart"/>
            <w:vAlign w:val="center"/>
          </w:tcPr>
          <w:p w14:paraId="1900AA81">
            <w:pPr>
              <w:pStyle w:val="10"/>
            </w:pPr>
            <w:r>
              <w:t>基本支出</w:t>
            </w:r>
          </w:p>
        </w:tc>
        <w:tc>
          <w:tcPr>
            <w:tcW w:w="2551" w:type="dxa"/>
            <w:vMerge w:val="restart"/>
            <w:vAlign w:val="center"/>
          </w:tcPr>
          <w:p w14:paraId="1FE32758">
            <w:pPr>
              <w:pStyle w:val="10"/>
            </w:pPr>
            <w:r>
              <w:t>项目支出</w:t>
            </w:r>
          </w:p>
        </w:tc>
      </w:tr>
      <w:tr w14:paraId="75595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19BB6"/>
        </w:tc>
        <w:tc>
          <w:tcPr>
            <w:tcW w:w="1191" w:type="dxa"/>
            <w:vAlign w:val="center"/>
          </w:tcPr>
          <w:p w14:paraId="277B4534">
            <w:pPr>
              <w:pStyle w:val="10"/>
            </w:pPr>
            <w:r>
              <w:t>科目编码</w:t>
            </w:r>
          </w:p>
        </w:tc>
        <w:tc>
          <w:tcPr>
            <w:tcW w:w="4535" w:type="dxa"/>
            <w:vAlign w:val="center"/>
          </w:tcPr>
          <w:p w14:paraId="5FD1E9C7">
            <w:pPr>
              <w:pStyle w:val="10"/>
            </w:pPr>
            <w:r>
              <w:t>科目名称</w:t>
            </w:r>
          </w:p>
        </w:tc>
        <w:tc>
          <w:tcPr>
            <w:tcW w:w="2551" w:type="dxa"/>
            <w:vMerge w:val="continue"/>
          </w:tcPr>
          <w:p w14:paraId="1F2C2F7E"/>
        </w:tc>
        <w:tc>
          <w:tcPr>
            <w:tcW w:w="2551" w:type="dxa"/>
            <w:vMerge w:val="continue"/>
          </w:tcPr>
          <w:p w14:paraId="76C1AF09"/>
        </w:tc>
        <w:tc>
          <w:tcPr>
            <w:tcW w:w="2551" w:type="dxa"/>
            <w:vMerge w:val="continue"/>
          </w:tcPr>
          <w:p w14:paraId="38F0F64F"/>
        </w:tc>
      </w:tr>
      <w:tr w14:paraId="67F0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65CDB">
            <w:pPr>
              <w:pStyle w:val="10"/>
            </w:pPr>
            <w:r>
              <w:t>栏次</w:t>
            </w:r>
          </w:p>
        </w:tc>
        <w:tc>
          <w:tcPr>
            <w:tcW w:w="1191" w:type="dxa"/>
            <w:vAlign w:val="center"/>
          </w:tcPr>
          <w:p w14:paraId="2C7795CA">
            <w:pPr>
              <w:pStyle w:val="10"/>
            </w:pPr>
            <w:r>
              <w:t>1</w:t>
            </w:r>
          </w:p>
        </w:tc>
        <w:tc>
          <w:tcPr>
            <w:tcW w:w="4535" w:type="dxa"/>
            <w:vAlign w:val="center"/>
          </w:tcPr>
          <w:p w14:paraId="1ADD3664">
            <w:pPr>
              <w:pStyle w:val="10"/>
            </w:pPr>
            <w:r>
              <w:t>2</w:t>
            </w:r>
          </w:p>
        </w:tc>
        <w:tc>
          <w:tcPr>
            <w:tcW w:w="2551" w:type="dxa"/>
            <w:vAlign w:val="center"/>
          </w:tcPr>
          <w:p w14:paraId="7F08AEA4">
            <w:pPr>
              <w:pStyle w:val="10"/>
            </w:pPr>
            <w:r>
              <w:t>3</w:t>
            </w:r>
          </w:p>
        </w:tc>
        <w:tc>
          <w:tcPr>
            <w:tcW w:w="2551" w:type="dxa"/>
            <w:vAlign w:val="center"/>
          </w:tcPr>
          <w:p w14:paraId="0212E057">
            <w:pPr>
              <w:pStyle w:val="10"/>
            </w:pPr>
            <w:r>
              <w:t>4</w:t>
            </w:r>
          </w:p>
        </w:tc>
        <w:tc>
          <w:tcPr>
            <w:tcW w:w="2551" w:type="dxa"/>
            <w:vAlign w:val="center"/>
          </w:tcPr>
          <w:p w14:paraId="3E085E56">
            <w:pPr>
              <w:pStyle w:val="10"/>
            </w:pPr>
            <w:r>
              <w:t>5</w:t>
            </w:r>
          </w:p>
        </w:tc>
      </w:tr>
      <w:tr w14:paraId="64E11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D217">
            <w:pPr>
              <w:pStyle w:val="13"/>
            </w:pPr>
          </w:p>
        </w:tc>
        <w:tc>
          <w:tcPr>
            <w:tcW w:w="1191" w:type="dxa"/>
            <w:vAlign w:val="center"/>
          </w:tcPr>
          <w:p w14:paraId="40A5F337">
            <w:pPr>
              <w:pStyle w:val="12"/>
            </w:pPr>
          </w:p>
        </w:tc>
        <w:tc>
          <w:tcPr>
            <w:tcW w:w="4535" w:type="dxa"/>
            <w:vAlign w:val="center"/>
          </w:tcPr>
          <w:p w14:paraId="4ED3603B">
            <w:pPr>
              <w:pStyle w:val="12"/>
            </w:pPr>
          </w:p>
        </w:tc>
        <w:tc>
          <w:tcPr>
            <w:tcW w:w="2551" w:type="dxa"/>
            <w:vAlign w:val="center"/>
          </w:tcPr>
          <w:p w14:paraId="1D9F94BB">
            <w:pPr>
              <w:pStyle w:val="11"/>
            </w:pPr>
          </w:p>
        </w:tc>
        <w:tc>
          <w:tcPr>
            <w:tcW w:w="2551" w:type="dxa"/>
            <w:vAlign w:val="center"/>
          </w:tcPr>
          <w:p w14:paraId="4CD28F3C">
            <w:pPr>
              <w:pStyle w:val="11"/>
            </w:pPr>
          </w:p>
        </w:tc>
        <w:tc>
          <w:tcPr>
            <w:tcW w:w="2551" w:type="dxa"/>
            <w:vAlign w:val="center"/>
          </w:tcPr>
          <w:p w14:paraId="7D2097FB">
            <w:pPr>
              <w:pStyle w:val="11"/>
            </w:pPr>
          </w:p>
        </w:tc>
      </w:tr>
    </w:tbl>
    <w:p w14:paraId="2BB540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AF11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B2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8635C8">
            <w:pPr>
              <w:pStyle w:val="9"/>
            </w:pPr>
            <w:r>
              <w:t>360004隆尧县尧山中学</w:t>
            </w:r>
          </w:p>
        </w:tc>
        <w:tc>
          <w:tcPr>
            <w:tcW w:w="2551" w:type="dxa"/>
            <w:tcBorders>
              <w:top w:val="single" w:color="FFFFFF" w:sz="6" w:space="0"/>
              <w:left w:val="single" w:color="FFFFFF" w:sz="6" w:space="0"/>
              <w:right w:val="single" w:color="FFFFFF" w:sz="6" w:space="0"/>
            </w:tcBorders>
            <w:vAlign w:val="center"/>
          </w:tcPr>
          <w:p w14:paraId="31D7B6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E61B97">
            <w:pPr>
              <w:pStyle w:val="7"/>
            </w:pPr>
            <w:r>
              <w:t>单位：万元</w:t>
            </w:r>
          </w:p>
        </w:tc>
      </w:tr>
      <w:tr w14:paraId="09E9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55CC6">
            <w:pPr>
              <w:pStyle w:val="10"/>
            </w:pPr>
            <w:r>
              <w:t>序号</w:t>
            </w:r>
          </w:p>
        </w:tc>
        <w:tc>
          <w:tcPr>
            <w:tcW w:w="5726" w:type="dxa"/>
            <w:gridSpan w:val="2"/>
            <w:vAlign w:val="center"/>
          </w:tcPr>
          <w:p w14:paraId="373E5618">
            <w:pPr>
              <w:pStyle w:val="10"/>
            </w:pPr>
            <w:r>
              <w:t>功能分类科目</w:t>
            </w:r>
          </w:p>
        </w:tc>
        <w:tc>
          <w:tcPr>
            <w:tcW w:w="2551" w:type="dxa"/>
            <w:vMerge w:val="restart"/>
            <w:vAlign w:val="center"/>
          </w:tcPr>
          <w:p w14:paraId="7790855B">
            <w:pPr>
              <w:pStyle w:val="10"/>
            </w:pPr>
            <w:r>
              <w:t>合计</w:t>
            </w:r>
          </w:p>
        </w:tc>
        <w:tc>
          <w:tcPr>
            <w:tcW w:w="2551" w:type="dxa"/>
            <w:vMerge w:val="restart"/>
            <w:vAlign w:val="center"/>
          </w:tcPr>
          <w:p w14:paraId="096D6770">
            <w:pPr>
              <w:pStyle w:val="10"/>
            </w:pPr>
            <w:r>
              <w:t>基本支出</w:t>
            </w:r>
          </w:p>
        </w:tc>
        <w:tc>
          <w:tcPr>
            <w:tcW w:w="2551" w:type="dxa"/>
            <w:vMerge w:val="restart"/>
            <w:vAlign w:val="center"/>
          </w:tcPr>
          <w:p w14:paraId="0E8DC32B">
            <w:pPr>
              <w:pStyle w:val="10"/>
            </w:pPr>
            <w:r>
              <w:t>项目支出</w:t>
            </w:r>
          </w:p>
        </w:tc>
      </w:tr>
      <w:tr w14:paraId="74A6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D06E8"/>
        </w:tc>
        <w:tc>
          <w:tcPr>
            <w:tcW w:w="1191" w:type="dxa"/>
            <w:vAlign w:val="center"/>
          </w:tcPr>
          <w:p w14:paraId="6DA3742A">
            <w:pPr>
              <w:pStyle w:val="10"/>
            </w:pPr>
            <w:r>
              <w:t>科目编码</w:t>
            </w:r>
          </w:p>
        </w:tc>
        <w:tc>
          <w:tcPr>
            <w:tcW w:w="4535" w:type="dxa"/>
            <w:vAlign w:val="center"/>
          </w:tcPr>
          <w:p w14:paraId="17422369">
            <w:pPr>
              <w:pStyle w:val="10"/>
            </w:pPr>
            <w:r>
              <w:t>科目名称</w:t>
            </w:r>
          </w:p>
        </w:tc>
        <w:tc>
          <w:tcPr>
            <w:tcW w:w="2551" w:type="dxa"/>
            <w:vMerge w:val="continue"/>
          </w:tcPr>
          <w:p w14:paraId="6E01656F"/>
        </w:tc>
        <w:tc>
          <w:tcPr>
            <w:tcW w:w="2551" w:type="dxa"/>
            <w:vMerge w:val="continue"/>
          </w:tcPr>
          <w:p w14:paraId="4B62D43A"/>
        </w:tc>
        <w:tc>
          <w:tcPr>
            <w:tcW w:w="2551" w:type="dxa"/>
            <w:vMerge w:val="continue"/>
          </w:tcPr>
          <w:p w14:paraId="65585B5E"/>
        </w:tc>
      </w:tr>
      <w:tr w14:paraId="100F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85150">
            <w:pPr>
              <w:pStyle w:val="10"/>
            </w:pPr>
            <w:r>
              <w:t>栏次</w:t>
            </w:r>
          </w:p>
        </w:tc>
        <w:tc>
          <w:tcPr>
            <w:tcW w:w="1191" w:type="dxa"/>
            <w:vAlign w:val="center"/>
          </w:tcPr>
          <w:p w14:paraId="67CA7240">
            <w:pPr>
              <w:pStyle w:val="10"/>
            </w:pPr>
            <w:r>
              <w:t>1</w:t>
            </w:r>
          </w:p>
        </w:tc>
        <w:tc>
          <w:tcPr>
            <w:tcW w:w="4535" w:type="dxa"/>
            <w:vAlign w:val="center"/>
          </w:tcPr>
          <w:p w14:paraId="26B51B1D">
            <w:pPr>
              <w:pStyle w:val="10"/>
            </w:pPr>
            <w:r>
              <w:t>2</w:t>
            </w:r>
          </w:p>
        </w:tc>
        <w:tc>
          <w:tcPr>
            <w:tcW w:w="2551" w:type="dxa"/>
            <w:vAlign w:val="center"/>
          </w:tcPr>
          <w:p w14:paraId="004E78C7">
            <w:pPr>
              <w:pStyle w:val="10"/>
            </w:pPr>
            <w:r>
              <w:t>3</w:t>
            </w:r>
          </w:p>
        </w:tc>
        <w:tc>
          <w:tcPr>
            <w:tcW w:w="2551" w:type="dxa"/>
            <w:vAlign w:val="center"/>
          </w:tcPr>
          <w:p w14:paraId="7CF9E0C2">
            <w:pPr>
              <w:pStyle w:val="10"/>
            </w:pPr>
            <w:r>
              <w:t>4</w:t>
            </w:r>
          </w:p>
        </w:tc>
        <w:tc>
          <w:tcPr>
            <w:tcW w:w="2551" w:type="dxa"/>
            <w:vAlign w:val="center"/>
          </w:tcPr>
          <w:p w14:paraId="31B34424">
            <w:pPr>
              <w:pStyle w:val="10"/>
            </w:pPr>
            <w:r>
              <w:t>5</w:t>
            </w:r>
          </w:p>
        </w:tc>
      </w:tr>
      <w:tr w14:paraId="5D7B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79685">
            <w:pPr>
              <w:pStyle w:val="13"/>
            </w:pPr>
          </w:p>
        </w:tc>
        <w:tc>
          <w:tcPr>
            <w:tcW w:w="1191" w:type="dxa"/>
            <w:vAlign w:val="center"/>
          </w:tcPr>
          <w:p w14:paraId="6662B255">
            <w:pPr>
              <w:pStyle w:val="12"/>
            </w:pPr>
          </w:p>
        </w:tc>
        <w:tc>
          <w:tcPr>
            <w:tcW w:w="4535" w:type="dxa"/>
            <w:vAlign w:val="center"/>
          </w:tcPr>
          <w:p w14:paraId="6F5975C3">
            <w:pPr>
              <w:pStyle w:val="12"/>
            </w:pPr>
          </w:p>
        </w:tc>
        <w:tc>
          <w:tcPr>
            <w:tcW w:w="2551" w:type="dxa"/>
            <w:vAlign w:val="center"/>
          </w:tcPr>
          <w:p w14:paraId="26FA41CA">
            <w:pPr>
              <w:pStyle w:val="11"/>
            </w:pPr>
          </w:p>
        </w:tc>
        <w:tc>
          <w:tcPr>
            <w:tcW w:w="2551" w:type="dxa"/>
            <w:vAlign w:val="center"/>
          </w:tcPr>
          <w:p w14:paraId="2EC021EB">
            <w:pPr>
              <w:pStyle w:val="11"/>
            </w:pPr>
          </w:p>
        </w:tc>
        <w:tc>
          <w:tcPr>
            <w:tcW w:w="2551" w:type="dxa"/>
            <w:vAlign w:val="center"/>
          </w:tcPr>
          <w:p w14:paraId="397A8542">
            <w:pPr>
              <w:pStyle w:val="11"/>
            </w:pPr>
          </w:p>
        </w:tc>
      </w:tr>
    </w:tbl>
    <w:p w14:paraId="47D98A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FE43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FD4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087E9F">
            <w:pPr>
              <w:pStyle w:val="9"/>
            </w:pPr>
            <w:r>
              <w:t>360004隆尧县尧山中学</w:t>
            </w:r>
          </w:p>
        </w:tc>
        <w:tc>
          <w:tcPr>
            <w:tcW w:w="2381" w:type="dxa"/>
            <w:tcBorders>
              <w:top w:val="single" w:color="FFFFFF" w:sz="6" w:space="0"/>
              <w:left w:val="single" w:color="FFFFFF" w:sz="6" w:space="0"/>
              <w:right w:val="single" w:color="FFFFFF" w:sz="6" w:space="0"/>
            </w:tcBorders>
            <w:vAlign w:val="center"/>
          </w:tcPr>
          <w:p w14:paraId="64AD18D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98EC0C1">
            <w:pPr>
              <w:pStyle w:val="7"/>
            </w:pPr>
            <w:r>
              <w:t>单位：万元</w:t>
            </w:r>
          </w:p>
        </w:tc>
      </w:tr>
      <w:tr w14:paraId="36ED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D891D">
            <w:pPr>
              <w:pStyle w:val="10"/>
            </w:pPr>
            <w:r>
              <w:t>序号</w:t>
            </w:r>
          </w:p>
        </w:tc>
        <w:tc>
          <w:tcPr>
            <w:tcW w:w="3798" w:type="dxa"/>
            <w:vMerge w:val="restart"/>
            <w:vAlign w:val="center"/>
          </w:tcPr>
          <w:p w14:paraId="0B4F08C7">
            <w:pPr>
              <w:pStyle w:val="10"/>
            </w:pPr>
            <w:r>
              <w:t>项  目</w:t>
            </w:r>
          </w:p>
        </w:tc>
        <w:tc>
          <w:tcPr>
            <w:tcW w:w="9524" w:type="dxa"/>
            <w:gridSpan w:val="4"/>
            <w:vAlign w:val="center"/>
          </w:tcPr>
          <w:p w14:paraId="6C8BDCA7">
            <w:pPr>
              <w:pStyle w:val="10"/>
            </w:pPr>
            <w:r>
              <w:t>资 金 性 质</w:t>
            </w:r>
          </w:p>
        </w:tc>
      </w:tr>
      <w:tr w14:paraId="000E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B42569"/>
        </w:tc>
        <w:tc>
          <w:tcPr>
            <w:tcW w:w="3798" w:type="dxa"/>
            <w:vMerge w:val="continue"/>
          </w:tcPr>
          <w:p w14:paraId="07695CA6"/>
        </w:tc>
        <w:tc>
          <w:tcPr>
            <w:tcW w:w="2381" w:type="dxa"/>
            <w:vAlign w:val="center"/>
          </w:tcPr>
          <w:p w14:paraId="759B9838">
            <w:pPr>
              <w:pStyle w:val="10"/>
            </w:pPr>
            <w:r>
              <w:t>合计</w:t>
            </w:r>
          </w:p>
        </w:tc>
        <w:tc>
          <w:tcPr>
            <w:tcW w:w="2381" w:type="dxa"/>
            <w:vAlign w:val="center"/>
          </w:tcPr>
          <w:p w14:paraId="5CCED673">
            <w:pPr>
              <w:pStyle w:val="10"/>
            </w:pPr>
            <w:r>
              <w:t>一般公共预算              财政拨款</w:t>
            </w:r>
          </w:p>
        </w:tc>
        <w:tc>
          <w:tcPr>
            <w:tcW w:w="2381" w:type="dxa"/>
            <w:vAlign w:val="center"/>
          </w:tcPr>
          <w:p w14:paraId="7038CE68">
            <w:pPr>
              <w:pStyle w:val="10"/>
            </w:pPr>
            <w:r>
              <w:t>政府性基金                  预算拨款</w:t>
            </w:r>
          </w:p>
        </w:tc>
        <w:tc>
          <w:tcPr>
            <w:tcW w:w="2381" w:type="dxa"/>
            <w:vAlign w:val="center"/>
          </w:tcPr>
          <w:p w14:paraId="73D625C3">
            <w:pPr>
              <w:pStyle w:val="10"/>
            </w:pPr>
            <w:r>
              <w:t>国有资本经营              预算财政拨款</w:t>
            </w:r>
          </w:p>
        </w:tc>
      </w:tr>
      <w:tr w14:paraId="59FC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DD558E">
            <w:pPr>
              <w:pStyle w:val="10"/>
            </w:pPr>
            <w:r>
              <w:t>栏次</w:t>
            </w:r>
          </w:p>
        </w:tc>
        <w:tc>
          <w:tcPr>
            <w:tcW w:w="3798" w:type="dxa"/>
            <w:vAlign w:val="center"/>
          </w:tcPr>
          <w:p w14:paraId="2BD89CF8">
            <w:pPr>
              <w:pStyle w:val="10"/>
            </w:pPr>
            <w:r>
              <w:t>1</w:t>
            </w:r>
          </w:p>
        </w:tc>
        <w:tc>
          <w:tcPr>
            <w:tcW w:w="2381" w:type="dxa"/>
            <w:vAlign w:val="center"/>
          </w:tcPr>
          <w:p w14:paraId="28871AF7">
            <w:pPr>
              <w:pStyle w:val="10"/>
            </w:pPr>
            <w:r>
              <w:t>2</w:t>
            </w:r>
          </w:p>
        </w:tc>
        <w:tc>
          <w:tcPr>
            <w:tcW w:w="2381" w:type="dxa"/>
            <w:vAlign w:val="center"/>
          </w:tcPr>
          <w:p w14:paraId="2C113183">
            <w:pPr>
              <w:pStyle w:val="10"/>
            </w:pPr>
            <w:r>
              <w:t>3</w:t>
            </w:r>
          </w:p>
        </w:tc>
        <w:tc>
          <w:tcPr>
            <w:tcW w:w="2381" w:type="dxa"/>
            <w:vAlign w:val="center"/>
          </w:tcPr>
          <w:p w14:paraId="4E173D6D">
            <w:pPr>
              <w:pStyle w:val="10"/>
            </w:pPr>
            <w:r>
              <w:t>4</w:t>
            </w:r>
          </w:p>
        </w:tc>
        <w:tc>
          <w:tcPr>
            <w:tcW w:w="2381" w:type="dxa"/>
            <w:vAlign w:val="center"/>
          </w:tcPr>
          <w:p w14:paraId="1E1C136F">
            <w:pPr>
              <w:pStyle w:val="10"/>
            </w:pPr>
            <w:r>
              <w:t>5</w:t>
            </w:r>
          </w:p>
        </w:tc>
      </w:tr>
      <w:tr w14:paraId="3B95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08457">
            <w:pPr>
              <w:pStyle w:val="13"/>
            </w:pPr>
          </w:p>
        </w:tc>
        <w:tc>
          <w:tcPr>
            <w:tcW w:w="3798" w:type="dxa"/>
            <w:vAlign w:val="center"/>
          </w:tcPr>
          <w:p w14:paraId="4E9AC048">
            <w:pPr>
              <w:pStyle w:val="12"/>
            </w:pPr>
          </w:p>
        </w:tc>
        <w:tc>
          <w:tcPr>
            <w:tcW w:w="2381" w:type="dxa"/>
            <w:vAlign w:val="center"/>
          </w:tcPr>
          <w:p w14:paraId="60008497">
            <w:pPr>
              <w:pStyle w:val="11"/>
            </w:pPr>
          </w:p>
        </w:tc>
        <w:tc>
          <w:tcPr>
            <w:tcW w:w="2381" w:type="dxa"/>
            <w:vAlign w:val="center"/>
          </w:tcPr>
          <w:p w14:paraId="59F4DDAA">
            <w:pPr>
              <w:pStyle w:val="11"/>
            </w:pPr>
          </w:p>
        </w:tc>
        <w:tc>
          <w:tcPr>
            <w:tcW w:w="2381" w:type="dxa"/>
            <w:vAlign w:val="center"/>
          </w:tcPr>
          <w:p w14:paraId="014F2678">
            <w:pPr>
              <w:pStyle w:val="11"/>
            </w:pPr>
          </w:p>
        </w:tc>
        <w:tc>
          <w:tcPr>
            <w:tcW w:w="2381" w:type="dxa"/>
            <w:vAlign w:val="center"/>
          </w:tcPr>
          <w:p w14:paraId="5D2053E2">
            <w:pPr>
              <w:pStyle w:val="11"/>
            </w:pPr>
          </w:p>
        </w:tc>
      </w:tr>
    </w:tbl>
    <w:p w14:paraId="31924CF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FF33135">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隆尧县尧山中学2026年单位预算信息公开情况说明</w:t>
      </w:r>
    </w:p>
    <w:p w14:paraId="5909192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地方预决算公开操作规程》和《关于进一步推进预算公开工作的实施意见》规定，现将隆尧县尧山中学2026年单位预算公开如下：</w:t>
      </w:r>
    </w:p>
    <w:p w14:paraId="6ABF19B0">
      <w:pPr>
        <w:spacing w:before="10" w:after="10" w:line="240" w:lineRule="auto"/>
        <w:ind w:firstLine="640"/>
        <w:jc w:val="left"/>
        <w:outlineLvl w:val="5"/>
      </w:pPr>
      <w:r>
        <w:rPr>
          <w:rFonts w:ascii="黑体" w:hAnsi="黑体" w:eastAsia="黑体" w:cs="黑体"/>
          <w:color w:val="000000"/>
          <w:sz w:val="32"/>
        </w:rPr>
        <w:t>一、单位职责及机构设置情况</w:t>
      </w:r>
    </w:p>
    <w:p w14:paraId="528D38C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8C47EE">
      <w:pPr>
        <w:pStyle w:val="17"/>
        <w:rPr>
          <w:rFonts w:hint="eastAsia"/>
        </w:rPr>
      </w:pPr>
      <w:r>
        <w:rPr>
          <w:rFonts w:hint="eastAsia"/>
        </w:rPr>
        <w:t>贯彻落实基础教育的方针，政策，开展中学阶段教育教学工作，促进学生德，智，体，美，劳全面发展；负责学生安全教育和管理，确保学生身心健康；加强教师队伍建设和管理，为教育教学工作提供保障。</w:t>
      </w:r>
    </w:p>
    <w:p w14:paraId="2438604C">
      <w:pPr>
        <w:pStyle w:val="17"/>
      </w:pPr>
      <w:r>
        <w:rPr>
          <w:rFonts w:hint="eastAsia"/>
        </w:rPr>
        <w:t xml:space="preserve">    隆尧县尧山中学事业编制160名，其中，校长1名</w:t>
      </w:r>
      <w:r>
        <w:rPr>
          <w:rFonts w:hint="eastAsia"/>
          <w:lang w:eastAsia="zh-CN"/>
        </w:rPr>
        <w:t>（</w:t>
      </w:r>
      <w:r>
        <w:rPr>
          <w:rFonts w:hint="eastAsia"/>
        </w:rPr>
        <w:t>正股级</w:t>
      </w:r>
      <w:r>
        <w:rPr>
          <w:rFonts w:hint="eastAsia"/>
          <w:lang w:eastAsia="zh-CN"/>
        </w:rPr>
        <w:t>）</w:t>
      </w:r>
      <w:r>
        <w:rPr>
          <w:rFonts w:hint="eastAsia"/>
        </w:rPr>
        <w:t>，副校长4名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15AA1A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7C0B5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21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3754B5">
            <w:pPr>
              <w:pStyle w:val="10"/>
            </w:pPr>
            <w:r>
              <w:t>单位名称</w:t>
            </w:r>
          </w:p>
        </w:tc>
        <w:tc>
          <w:tcPr>
            <w:tcW w:w="1843" w:type="dxa"/>
            <w:vAlign w:val="center"/>
          </w:tcPr>
          <w:p w14:paraId="7FD9250A">
            <w:pPr>
              <w:pStyle w:val="10"/>
            </w:pPr>
            <w:r>
              <w:t>单位性质</w:t>
            </w:r>
          </w:p>
        </w:tc>
        <w:tc>
          <w:tcPr>
            <w:tcW w:w="2126" w:type="dxa"/>
            <w:vAlign w:val="center"/>
          </w:tcPr>
          <w:p w14:paraId="317F1C1A">
            <w:pPr>
              <w:pStyle w:val="10"/>
            </w:pPr>
            <w:r>
              <w:t>单位规格</w:t>
            </w:r>
          </w:p>
        </w:tc>
        <w:tc>
          <w:tcPr>
            <w:tcW w:w="3827" w:type="dxa"/>
            <w:vAlign w:val="center"/>
          </w:tcPr>
          <w:p w14:paraId="24F95E99">
            <w:pPr>
              <w:pStyle w:val="10"/>
            </w:pPr>
            <w:r>
              <w:t>经费保障形式</w:t>
            </w:r>
          </w:p>
        </w:tc>
      </w:tr>
      <w:tr w14:paraId="4582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209430">
            <w:pPr>
              <w:pStyle w:val="12"/>
            </w:pPr>
            <w:r>
              <w:t>隆尧县尧山中学</w:t>
            </w:r>
          </w:p>
        </w:tc>
        <w:tc>
          <w:tcPr>
            <w:tcW w:w="1843" w:type="dxa"/>
            <w:vAlign w:val="center"/>
          </w:tcPr>
          <w:p w14:paraId="23B35045">
            <w:pPr>
              <w:pStyle w:val="13"/>
            </w:pPr>
            <w:r>
              <w:t>事业</w:t>
            </w:r>
          </w:p>
        </w:tc>
        <w:tc>
          <w:tcPr>
            <w:tcW w:w="2126" w:type="dxa"/>
            <w:vAlign w:val="center"/>
          </w:tcPr>
          <w:p w14:paraId="4D68BDBD">
            <w:pPr>
              <w:pStyle w:val="13"/>
            </w:pPr>
            <w:r>
              <w:t>股级</w:t>
            </w:r>
          </w:p>
        </w:tc>
        <w:tc>
          <w:tcPr>
            <w:tcW w:w="3827" w:type="dxa"/>
            <w:vAlign w:val="center"/>
          </w:tcPr>
          <w:p w14:paraId="665395C0">
            <w:pPr>
              <w:pStyle w:val="13"/>
            </w:pPr>
            <w:r>
              <w:t>财政性资金基本保证</w:t>
            </w:r>
          </w:p>
        </w:tc>
      </w:tr>
    </w:tbl>
    <w:p w14:paraId="14D02C97">
      <w:pPr>
        <w:spacing w:before="10" w:after="10" w:line="240" w:lineRule="auto"/>
        <w:ind w:firstLine="640"/>
        <w:jc w:val="left"/>
        <w:outlineLvl w:val="5"/>
      </w:pPr>
      <w:r>
        <w:rPr>
          <w:rFonts w:ascii="黑体" w:hAnsi="黑体" w:eastAsia="黑体" w:cs="黑体"/>
          <w:color w:val="000000"/>
          <w:sz w:val="32"/>
        </w:rPr>
        <w:t>二、单位预算安排的总体情况</w:t>
      </w:r>
    </w:p>
    <w:p w14:paraId="33AAC89A">
      <w:pPr>
        <w:pStyle w:val="18"/>
      </w:pPr>
      <w:r>
        <w:t>按照预算管理有关规定，单位预算的编制实行综合预算管理，即全部收入和支出都反映的预算中。隆尧县尧山中学的收支包含在单位预算中。</w:t>
      </w:r>
    </w:p>
    <w:p w14:paraId="3E3E1BB3">
      <w:pPr>
        <w:pStyle w:val="18"/>
      </w:pPr>
      <w:r>
        <w:t>1、收入说明</w:t>
      </w:r>
    </w:p>
    <w:p w14:paraId="3ED49880">
      <w:pPr>
        <w:pStyle w:val="18"/>
      </w:pPr>
      <w:r>
        <w:t>反映本单位当年全部收入。2026年预算收入3508.17万元，其中：一般公共预算收入3508.17万元，上年结转0万元，基金预算收入0万元，财政专户收入0万元，其他来源收入0万元。</w:t>
      </w:r>
    </w:p>
    <w:p w14:paraId="1B81B3BC">
      <w:pPr>
        <w:pStyle w:val="18"/>
      </w:pPr>
      <w:r>
        <w:t>2、支出说明</w:t>
      </w:r>
    </w:p>
    <w:p w14:paraId="03A02F9F">
      <w:pPr>
        <w:pStyle w:val="18"/>
      </w:pPr>
      <w:r>
        <w:t>收支预算总表支出栏、基本支出表、项目支出表按经济分类和支出功能分类科目编制，反映我单位预算中支出预算的总体情况。2026年单位支出预算为3508.17万元，其中基本支出1932.62万元</w:t>
      </w:r>
      <w:r>
        <w:rPr>
          <w:rFonts w:hint="eastAsia"/>
          <w:lang w:eastAsia="zh-CN"/>
        </w:rPr>
        <w:t>：</w:t>
      </w:r>
      <w:r>
        <w:t>包括人员经费1932.62万元，项目支出1575.55万元。主要为初中教育1575.55万元。</w:t>
      </w:r>
    </w:p>
    <w:p w14:paraId="6396940E">
      <w:pPr>
        <w:pStyle w:val="18"/>
      </w:pPr>
      <w:r>
        <w:t>3、比上年增减情况</w:t>
      </w:r>
    </w:p>
    <w:p w14:paraId="4F445B89">
      <w:pPr>
        <w:pStyle w:val="18"/>
      </w:pPr>
      <w:r>
        <w:t>2026年部门预算收支安排3508.17元，较2025年预算增加414.01万元，其中基本支出增加5.1万元，项目支出增加408.91万元。</w:t>
      </w:r>
    </w:p>
    <w:p w14:paraId="25AEE169">
      <w:pPr>
        <w:spacing w:before="10" w:after="10" w:line="240" w:lineRule="auto"/>
        <w:ind w:firstLine="640"/>
        <w:jc w:val="left"/>
        <w:outlineLvl w:val="5"/>
      </w:pPr>
      <w:r>
        <w:rPr>
          <w:rFonts w:ascii="黑体" w:hAnsi="黑体" w:eastAsia="黑体" w:cs="黑体"/>
          <w:color w:val="000000"/>
          <w:sz w:val="32"/>
        </w:rPr>
        <w:t>三、机关运行经费安排情况</w:t>
      </w:r>
    </w:p>
    <w:p w14:paraId="1F05673B">
      <w:pPr>
        <w:pStyle w:val="19"/>
      </w:pPr>
      <w:r>
        <w:t>我单位按学生安排公用经费，无机关运行经费。</w:t>
      </w:r>
    </w:p>
    <w:p w14:paraId="3EE543B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E783E0">
      <w:pPr>
        <w:pStyle w:val="20"/>
      </w:pPr>
      <w:r>
        <w:t>2025年，我单位未安排</w:t>
      </w:r>
      <w:r>
        <w:rPr>
          <w:rFonts w:hint="eastAsia"/>
          <w:lang w:eastAsia="zh-CN"/>
        </w:rPr>
        <w:t>“三公”经费</w:t>
      </w:r>
      <w:r>
        <w:t>。</w:t>
      </w:r>
    </w:p>
    <w:p w14:paraId="3BCC88D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35376F">
      <w:pPr>
        <w:spacing w:before="0" w:after="0"/>
        <w:ind w:firstLine="560"/>
        <w:jc w:val="left"/>
        <w:outlineLvl w:val="9"/>
      </w:pPr>
      <w:r>
        <w:rPr>
          <w:rFonts w:ascii="方正仿宋_GBK" w:hAnsi="方正仿宋_GBK" w:eastAsia="方正仿宋_GBK" w:cs="方正仿宋_GBK"/>
          <w:b/>
          <w:color w:val="000000"/>
          <w:sz w:val="28"/>
        </w:rPr>
        <w:t>1、冀财教</w:t>
      </w:r>
      <w:r>
        <w:rPr>
          <w:rFonts w:hint="eastAsia" w:ascii="方正仿宋_GBK" w:hAnsi="方正仿宋_GBK" w:eastAsia="方正仿宋_GBK" w:cs="方正仿宋_GBK"/>
          <w:b/>
          <w:color w:val="000000"/>
          <w:sz w:val="28"/>
          <w:lang w:eastAsia="zh-CN"/>
        </w:rPr>
        <w:t>〔2023〕151号</w:t>
      </w:r>
      <w:r>
        <w:rPr>
          <w:rFonts w:ascii="方正仿宋_GBK" w:hAnsi="方正仿宋_GBK" w:eastAsia="方正仿宋_GBK" w:cs="方正仿宋_GBK"/>
          <w:b/>
          <w:color w:val="000000"/>
          <w:sz w:val="28"/>
        </w:rPr>
        <w:t>/中央/2024年薄弱环节改善与能力提升/隆尧县尧山中学新建教学楼项目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77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20CAB">
            <w:pPr>
              <w:pStyle w:val="11"/>
            </w:pPr>
            <w:r>
              <w:t>单位：万元</w:t>
            </w:r>
          </w:p>
        </w:tc>
      </w:tr>
      <w:tr w14:paraId="291FB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AF939">
            <w:pPr>
              <w:pStyle w:val="10"/>
            </w:pPr>
            <w:r>
              <w:t>项目编码</w:t>
            </w:r>
          </w:p>
        </w:tc>
        <w:tc>
          <w:tcPr>
            <w:tcW w:w="5103" w:type="dxa"/>
            <w:gridSpan w:val="2"/>
            <w:vAlign w:val="center"/>
          </w:tcPr>
          <w:p w14:paraId="5B859541">
            <w:pPr>
              <w:pStyle w:val="12"/>
            </w:pPr>
            <w:r>
              <w:t>13052526P00877010033K</w:t>
            </w:r>
          </w:p>
        </w:tc>
        <w:tc>
          <w:tcPr>
            <w:tcW w:w="2835" w:type="dxa"/>
            <w:vAlign w:val="center"/>
          </w:tcPr>
          <w:p w14:paraId="754F70F6">
            <w:pPr>
              <w:pStyle w:val="10"/>
            </w:pPr>
            <w:r>
              <w:t>项目名称</w:t>
            </w:r>
          </w:p>
        </w:tc>
        <w:tc>
          <w:tcPr>
            <w:tcW w:w="6095" w:type="dxa"/>
            <w:gridSpan w:val="3"/>
            <w:vAlign w:val="center"/>
          </w:tcPr>
          <w:p w14:paraId="56DFC5F1">
            <w:pPr>
              <w:pStyle w:val="12"/>
            </w:pPr>
            <w:r>
              <w:t>冀财教[2023]151号/中央/2024年薄弱环节改善与能力提升/隆尧县尧山中学新建教学楼项目</w:t>
            </w:r>
            <w:r>
              <w:tab/>
            </w:r>
          </w:p>
        </w:tc>
      </w:tr>
      <w:tr w14:paraId="3BBFF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BEE7F">
            <w:pPr>
              <w:pStyle w:val="10"/>
            </w:pPr>
            <w:r>
              <w:t>预算规模及资金用途</w:t>
            </w:r>
          </w:p>
        </w:tc>
        <w:tc>
          <w:tcPr>
            <w:tcW w:w="2268" w:type="dxa"/>
            <w:vAlign w:val="center"/>
          </w:tcPr>
          <w:p w14:paraId="3BF92252">
            <w:pPr>
              <w:pStyle w:val="10"/>
            </w:pPr>
            <w:r>
              <w:t>预算数</w:t>
            </w:r>
          </w:p>
        </w:tc>
        <w:tc>
          <w:tcPr>
            <w:tcW w:w="2835" w:type="dxa"/>
            <w:vAlign w:val="center"/>
          </w:tcPr>
          <w:p w14:paraId="4094C752">
            <w:pPr>
              <w:pStyle w:val="12"/>
            </w:pPr>
            <w:r>
              <w:t>164.88</w:t>
            </w:r>
          </w:p>
        </w:tc>
        <w:tc>
          <w:tcPr>
            <w:tcW w:w="2835" w:type="dxa"/>
            <w:vAlign w:val="center"/>
          </w:tcPr>
          <w:p w14:paraId="5E2E89D9">
            <w:pPr>
              <w:pStyle w:val="10"/>
            </w:pPr>
            <w:r>
              <w:t>其中：财政    资金</w:t>
            </w:r>
          </w:p>
        </w:tc>
        <w:tc>
          <w:tcPr>
            <w:tcW w:w="2551" w:type="dxa"/>
            <w:vAlign w:val="center"/>
          </w:tcPr>
          <w:p w14:paraId="05C642AC">
            <w:pPr>
              <w:pStyle w:val="12"/>
            </w:pPr>
            <w:r>
              <w:t>164.88</w:t>
            </w:r>
          </w:p>
        </w:tc>
        <w:tc>
          <w:tcPr>
            <w:tcW w:w="2268" w:type="dxa"/>
            <w:vAlign w:val="center"/>
          </w:tcPr>
          <w:p w14:paraId="3EA6C9F8">
            <w:pPr>
              <w:pStyle w:val="10"/>
            </w:pPr>
            <w:r>
              <w:t>其他资金</w:t>
            </w:r>
          </w:p>
        </w:tc>
        <w:tc>
          <w:tcPr>
            <w:tcW w:w="1276" w:type="dxa"/>
            <w:vAlign w:val="center"/>
          </w:tcPr>
          <w:p w14:paraId="1EBBF9D4">
            <w:pPr>
              <w:pStyle w:val="12"/>
            </w:pPr>
            <w:r>
              <w:t xml:space="preserve"> </w:t>
            </w:r>
          </w:p>
        </w:tc>
      </w:tr>
      <w:tr w14:paraId="1369F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0847D"/>
        </w:tc>
        <w:tc>
          <w:tcPr>
            <w:tcW w:w="14033" w:type="dxa"/>
            <w:gridSpan w:val="6"/>
            <w:vAlign w:val="center"/>
          </w:tcPr>
          <w:p w14:paraId="2AB3DE2F">
            <w:pPr>
              <w:pStyle w:val="12"/>
            </w:pPr>
            <w:r>
              <w:t>改善就学条件，提升学校形象，保障义务教育阶段教学安全，改善师生教学环境，创造良好的校园环境。</w:t>
            </w:r>
          </w:p>
        </w:tc>
      </w:tr>
      <w:tr w14:paraId="10B97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45537">
            <w:pPr>
              <w:pStyle w:val="10"/>
            </w:pPr>
            <w:r>
              <w:t>资金支出计划（%）</w:t>
            </w:r>
          </w:p>
        </w:tc>
        <w:tc>
          <w:tcPr>
            <w:tcW w:w="5103" w:type="dxa"/>
            <w:gridSpan w:val="2"/>
            <w:vAlign w:val="center"/>
          </w:tcPr>
          <w:p w14:paraId="64A4FD76">
            <w:pPr>
              <w:pStyle w:val="10"/>
            </w:pPr>
            <w:r>
              <w:t>3月底</w:t>
            </w:r>
          </w:p>
        </w:tc>
        <w:tc>
          <w:tcPr>
            <w:tcW w:w="2835" w:type="dxa"/>
            <w:vAlign w:val="center"/>
          </w:tcPr>
          <w:p w14:paraId="57B21113">
            <w:pPr>
              <w:pStyle w:val="10"/>
            </w:pPr>
            <w:r>
              <w:t>6月底</w:t>
            </w:r>
          </w:p>
        </w:tc>
        <w:tc>
          <w:tcPr>
            <w:tcW w:w="2551" w:type="dxa"/>
            <w:vAlign w:val="center"/>
          </w:tcPr>
          <w:p w14:paraId="64B99A98">
            <w:pPr>
              <w:pStyle w:val="10"/>
            </w:pPr>
            <w:r>
              <w:t>10月底</w:t>
            </w:r>
          </w:p>
        </w:tc>
        <w:tc>
          <w:tcPr>
            <w:tcW w:w="3544" w:type="dxa"/>
            <w:gridSpan w:val="2"/>
            <w:vAlign w:val="center"/>
          </w:tcPr>
          <w:p w14:paraId="4DB23F20">
            <w:pPr>
              <w:pStyle w:val="10"/>
            </w:pPr>
            <w:r>
              <w:t>12月底</w:t>
            </w:r>
          </w:p>
        </w:tc>
      </w:tr>
      <w:tr w14:paraId="48321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99B3D"/>
        </w:tc>
        <w:tc>
          <w:tcPr>
            <w:tcW w:w="5103" w:type="dxa"/>
            <w:gridSpan w:val="2"/>
            <w:vAlign w:val="center"/>
          </w:tcPr>
          <w:p w14:paraId="10CE2F49">
            <w:pPr>
              <w:pStyle w:val="13"/>
            </w:pPr>
            <w:r>
              <w:t xml:space="preserve"> </w:t>
            </w:r>
          </w:p>
        </w:tc>
        <w:tc>
          <w:tcPr>
            <w:tcW w:w="2835" w:type="dxa"/>
            <w:vAlign w:val="center"/>
          </w:tcPr>
          <w:p w14:paraId="3D7A3E44">
            <w:pPr>
              <w:pStyle w:val="13"/>
            </w:pPr>
            <w:r>
              <w:t>100%</w:t>
            </w:r>
          </w:p>
        </w:tc>
        <w:tc>
          <w:tcPr>
            <w:tcW w:w="2551" w:type="dxa"/>
            <w:vAlign w:val="center"/>
          </w:tcPr>
          <w:p w14:paraId="68E56867">
            <w:pPr>
              <w:pStyle w:val="13"/>
            </w:pPr>
            <w:r>
              <w:t>100%</w:t>
            </w:r>
          </w:p>
        </w:tc>
        <w:tc>
          <w:tcPr>
            <w:tcW w:w="3544" w:type="dxa"/>
            <w:gridSpan w:val="2"/>
            <w:vAlign w:val="center"/>
          </w:tcPr>
          <w:p w14:paraId="11E65741">
            <w:pPr>
              <w:pStyle w:val="13"/>
            </w:pPr>
            <w:r>
              <w:t>100%</w:t>
            </w:r>
          </w:p>
        </w:tc>
      </w:tr>
      <w:tr w14:paraId="55A81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51565">
            <w:pPr>
              <w:pStyle w:val="10"/>
            </w:pPr>
            <w:r>
              <w:t>绩效目标</w:t>
            </w:r>
          </w:p>
        </w:tc>
        <w:tc>
          <w:tcPr>
            <w:tcW w:w="14033" w:type="dxa"/>
            <w:gridSpan w:val="6"/>
            <w:vAlign w:val="center"/>
          </w:tcPr>
          <w:p w14:paraId="52191475">
            <w:pPr>
              <w:pStyle w:val="12"/>
            </w:pPr>
            <w:r>
              <w:t>1.改善就学条件，提升学校形象，保障义务教育阶段教学安全，改善师生教学环境，创造良好的校园环境。</w:t>
            </w:r>
          </w:p>
          <w:p w14:paraId="09BBDA0D">
            <w:pPr>
              <w:pStyle w:val="12"/>
            </w:pPr>
            <w:r>
              <w:tab/>
            </w:r>
          </w:p>
          <w:p w14:paraId="56E6477E">
            <w:pPr>
              <w:pStyle w:val="12"/>
            </w:pPr>
          </w:p>
          <w:p w14:paraId="58DE46F4">
            <w:pPr>
              <w:pStyle w:val="12"/>
            </w:pPr>
            <w:r>
              <w:t>2.项目需资金164.8772万元，资金拨付率达到100%。</w:t>
            </w:r>
          </w:p>
        </w:tc>
      </w:tr>
    </w:tbl>
    <w:p w14:paraId="45653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D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AF911">
            <w:pPr>
              <w:pStyle w:val="10"/>
            </w:pPr>
            <w:r>
              <w:t>一级指标</w:t>
            </w:r>
          </w:p>
        </w:tc>
        <w:tc>
          <w:tcPr>
            <w:tcW w:w="2268" w:type="dxa"/>
            <w:vAlign w:val="center"/>
          </w:tcPr>
          <w:p w14:paraId="78DA051E">
            <w:pPr>
              <w:pStyle w:val="10"/>
            </w:pPr>
            <w:r>
              <w:t>二级指标</w:t>
            </w:r>
          </w:p>
        </w:tc>
        <w:tc>
          <w:tcPr>
            <w:tcW w:w="2835" w:type="dxa"/>
            <w:vAlign w:val="center"/>
          </w:tcPr>
          <w:p w14:paraId="4AD5F3AF">
            <w:pPr>
              <w:pStyle w:val="10"/>
            </w:pPr>
            <w:r>
              <w:t>三级指标</w:t>
            </w:r>
          </w:p>
        </w:tc>
        <w:tc>
          <w:tcPr>
            <w:tcW w:w="5386" w:type="dxa"/>
            <w:vAlign w:val="center"/>
          </w:tcPr>
          <w:p w14:paraId="5349C505">
            <w:pPr>
              <w:pStyle w:val="10"/>
            </w:pPr>
            <w:r>
              <w:t>绩效指标描述</w:t>
            </w:r>
          </w:p>
        </w:tc>
        <w:tc>
          <w:tcPr>
            <w:tcW w:w="2268" w:type="dxa"/>
            <w:vAlign w:val="center"/>
          </w:tcPr>
          <w:p w14:paraId="1E5B1A89">
            <w:pPr>
              <w:pStyle w:val="10"/>
            </w:pPr>
            <w:r>
              <w:t>指标值</w:t>
            </w:r>
          </w:p>
        </w:tc>
        <w:tc>
          <w:tcPr>
            <w:tcW w:w="1276" w:type="dxa"/>
            <w:vAlign w:val="center"/>
          </w:tcPr>
          <w:p w14:paraId="4F37030C">
            <w:pPr>
              <w:pStyle w:val="10"/>
            </w:pPr>
            <w:r>
              <w:t>指标值确定依据</w:t>
            </w:r>
          </w:p>
        </w:tc>
      </w:tr>
      <w:tr w14:paraId="2D59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0AFE2">
            <w:pPr>
              <w:pStyle w:val="13"/>
            </w:pPr>
            <w:r>
              <w:t>产出指标</w:t>
            </w:r>
          </w:p>
        </w:tc>
        <w:tc>
          <w:tcPr>
            <w:tcW w:w="2268" w:type="dxa"/>
            <w:vAlign w:val="center"/>
          </w:tcPr>
          <w:p w14:paraId="6C8A5EC7">
            <w:pPr>
              <w:pStyle w:val="12"/>
            </w:pPr>
            <w:r>
              <w:t>数量指标</w:t>
            </w:r>
          </w:p>
        </w:tc>
        <w:tc>
          <w:tcPr>
            <w:tcW w:w="2835" w:type="dxa"/>
            <w:vAlign w:val="center"/>
          </w:tcPr>
          <w:p w14:paraId="15936367">
            <w:pPr>
              <w:pStyle w:val="12"/>
            </w:pPr>
            <w:r>
              <w:t>尧山中学新建教学楼项目</w:t>
            </w:r>
          </w:p>
        </w:tc>
        <w:tc>
          <w:tcPr>
            <w:tcW w:w="5386" w:type="dxa"/>
            <w:vAlign w:val="center"/>
          </w:tcPr>
          <w:p w14:paraId="769EAB56">
            <w:pPr>
              <w:pStyle w:val="12"/>
            </w:pPr>
            <w:r>
              <w:t>新建教学楼建筑面积</w:t>
            </w:r>
          </w:p>
        </w:tc>
        <w:tc>
          <w:tcPr>
            <w:tcW w:w="2268" w:type="dxa"/>
            <w:vAlign w:val="center"/>
          </w:tcPr>
          <w:p w14:paraId="644293C7">
            <w:pPr>
              <w:pStyle w:val="12"/>
            </w:pPr>
            <w:r>
              <w:t>5863.07平方米</w:t>
            </w:r>
          </w:p>
        </w:tc>
        <w:tc>
          <w:tcPr>
            <w:tcW w:w="1276" w:type="dxa"/>
            <w:vAlign w:val="center"/>
          </w:tcPr>
          <w:p w14:paraId="50757B5A">
            <w:pPr>
              <w:pStyle w:val="12"/>
            </w:pPr>
            <w:r>
              <w:t>项目规划</w:t>
            </w:r>
          </w:p>
        </w:tc>
      </w:tr>
      <w:tr w14:paraId="6B59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45349"/>
        </w:tc>
        <w:tc>
          <w:tcPr>
            <w:tcW w:w="2268" w:type="dxa"/>
            <w:vAlign w:val="center"/>
          </w:tcPr>
          <w:p w14:paraId="033C6750">
            <w:pPr>
              <w:pStyle w:val="12"/>
            </w:pPr>
            <w:r>
              <w:t>质量指标</w:t>
            </w:r>
          </w:p>
        </w:tc>
        <w:tc>
          <w:tcPr>
            <w:tcW w:w="2835" w:type="dxa"/>
            <w:vAlign w:val="center"/>
          </w:tcPr>
          <w:p w14:paraId="4AAAD290">
            <w:pPr>
              <w:pStyle w:val="12"/>
            </w:pPr>
            <w:r>
              <w:t>工程实施验收合格率</w:t>
            </w:r>
          </w:p>
        </w:tc>
        <w:tc>
          <w:tcPr>
            <w:tcW w:w="5386" w:type="dxa"/>
            <w:vAlign w:val="center"/>
          </w:tcPr>
          <w:p w14:paraId="0A8E568E">
            <w:pPr>
              <w:pStyle w:val="12"/>
            </w:pPr>
            <w:r>
              <w:t>申报程序的合规，项目实施及资金使用符合项目规划</w:t>
            </w:r>
          </w:p>
        </w:tc>
        <w:tc>
          <w:tcPr>
            <w:tcW w:w="2268" w:type="dxa"/>
            <w:vAlign w:val="center"/>
          </w:tcPr>
          <w:p w14:paraId="313D7825">
            <w:pPr>
              <w:pStyle w:val="12"/>
            </w:pPr>
            <w:r>
              <w:t>100%</w:t>
            </w:r>
          </w:p>
        </w:tc>
        <w:tc>
          <w:tcPr>
            <w:tcW w:w="1276" w:type="dxa"/>
            <w:vAlign w:val="center"/>
          </w:tcPr>
          <w:p w14:paraId="0FE5D4A6">
            <w:pPr>
              <w:pStyle w:val="12"/>
            </w:pPr>
            <w:r>
              <w:t>项目规划</w:t>
            </w:r>
          </w:p>
        </w:tc>
      </w:tr>
      <w:tr w14:paraId="6091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8C0D1"/>
        </w:tc>
        <w:tc>
          <w:tcPr>
            <w:tcW w:w="2268" w:type="dxa"/>
            <w:vAlign w:val="center"/>
          </w:tcPr>
          <w:p w14:paraId="7106BFC1">
            <w:pPr>
              <w:pStyle w:val="12"/>
            </w:pPr>
            <w:r>
              <w:t>时效指标</w:t>
            </w:r>
          </w:p>
        </w:tc>
        <w:tc>
          <w:tcPr>
            <w:tcW w:w="2835" w:type="dxa"/>
            <w:vAlign w:val="center"/>
          </w:tcPr>
          <w:p w14:paraId="1A50780F">
            <w:pPr>
              <w:pStyle w:val="12"/>
            </w:pPr>
            <w:r>
              <w:t>资金支付率</w:t>
            </w:r>
          </w:p>
        </w:tc>
        <w:tc>
          <w:tcPr>
            <w:tcW w:w="5386" w:type="dxa"/>
            <w:vAlign w:val="center"/>
          </w:tcPr>
          <w:p w14:paraId="151FF909">
            <w:pPr>
              <w:pStyle w:val="12"/>
            </w:pPr>
            <w:r>
              <w:t>按照序时进度完成资金支付</w:t>
            </w:r>
          </w:p>
        </w:tc>
        <w:tc>
          <w:tcPr>
            <w:tcW w:w="2268" w:type="dxa"/>
            <w:vAlign w:val="center"/>
          </w:tcPr>
          <w:p w14:paraId="1E3E9532">
            <w:pPr>
              <w:pStyle w:val="12"/>
            </w:pPr>
            <w:r>
              <w:t>100%</w:t>
            </w:r>
          </w:p>
        </w:tc>
        <w:tc>
          <w:tcPr>
            <w:tcW w:w="1276" w:type="dxa"/>
            <w:vAlign w:val="center"/>
          </w:tcPr>
          <w:p w14:paraId="368D6548">
            <w:pPr>
              <w:pStyle w:val="12"/>
            </w:pPr>
            <w:r>
              <w:t>项目规划</w:t>
            </w:r>
          </w:p>
        </w:tc>
      </w:tr>
      <w:tr w14:paraId="468D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3086C"/>
        </w:tc>
        <w:tc>
          <w:tcPr>
            <w:tcW w:w="2268" w:type="dxa"/>
            <w:vAlign w:val="center"/>
          </w:tcPr>
          <w:p w14:paraId="64570801">
            <w:pPr>
              <w:pStyle w:val="12"/>
            </w:pPr>
            <w:r>
              <w:t>成本指标</w:t>
            </w:r>
          </w:p>
        </w:tc>
        <w:tc>
          <w:tcPr>
            <w:tcW w:w="2835" w:type="dxa"/>
            <w:vAlign w:val="center"/>
          </w:tcPr>
          <w:p w14:paraId="137D5E5A">
            <w:pPr>
              <w:pStyle w:val="12"/>
            </w:pPr>
            <w:r>
              <w:t>项目成本控制情况</w:t>
            </w:r>
          </w:p>
        </w:tc>
        <w:tc>
          <w:tcPr>
            <w:tcW w:w="5386" w:type="dxa"/>
            <w:vAlign w:val="center"/>
          </w:tcPr>
          <w:p w14:paraId="47E686A6">
            <w:pPr>
              <w:pStyle w:val="12"/>
            </w:pPr>
            <w:r>
              <w:t>严格按照招标价格及审计额进行</w:t>
            </w:r>
          </w:p>
        </w:tc>
        <w:tc>
          <w:tcPr>
            <w:tcW w:w="2268" w:type="dxa"/>
            <w:vAlign w:val="center"/>
          </w:tcPr>
          <w:p w14:paraId="61D54226">
            <w:pPr>
              <w:pStyle w:val="12"/>
            </w:pPr>
            <w:r>
              <w:t>1648772元</w:t>
            </w:r>
          </w:p>
        </w:tc>
        <w:tc>
          <w:tcPr>
            <w:tcW w:w="1276" w:type="dxa"/>
            <w:vAlign w:val="center"/>
          </w:tcPr>
          <w:p w14:paraId="7DB3E3CD">
            <w:pPr>
              <w:pStyle w:val="12"/>
            </w:pPr>
            <w:r>
              <w:t>项目规划</w:t>
            </w:r>
          </w:p>
        </w:tc>
      </w:tr>
      <w:tr w14:paraId="4C89C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0558A">
            <w:pPr>
              <w:pStyle w:val="13"/>
            </w:pPr>
            <w:r>
              <w:t>效益指标</w:t>
            </w:r>
          </w:p>
        </w:tc>
        <w:tc>
          <w:tcPr>
            <w:tcW w:w="2268" w:type="dxa"/>
            <w:vAlign w:val="center"/>
          </w:tcPr>
          <w:p w14:paraId="58BE9AD5">
            <w:pPr>
              <w:pStyle w:val="12"/>
            </w:pPr>
            <w:r>
              <w:t>经济效益指标</w:t>
            </w:r>
          </w:p>
        </w:tc>
        <w:tc>
          <w:tcPr>
            <w:tcW w:w="2835" w:type="dxa"/>
            <w:vAlign w:val="center"/>
          </w:tcPr>
          <w:p w14:paraId="428E5C37">
            <w:pPr>
              <w:pStyle w:val="12"/>
            </w:pPr>
            <w:r>
              <w:t>学校运转得到提高</w:t>
            </w:r>
          </w:p>
        </w:tc>
        <w:tc>
          <w:tcPr>
            <w:tcW w:w="5386" w:type="dxa"/>
            <w:vAlign w:val="center"/>
          </w:tcPr>
          <w:p w14:paraId="5EF20BAE">
            <w:pPr>
              <w:pStyle w:val="12"/>
            </w:pPr>
            <w:r>
              <w:t>学生受教育年限</w:t>
            </w:r>
          </w:p>
        </w:tc>
        <w:tc>
          <w:tcPr>
            <w:tcW w:w="2268" w:type="dxa"/>
            <w:vAlign w:val="center"/>
          </w:tcPr>
          <w:p w14:paraId="30BEC0CC">
            <w:pPr>
              <w:pStyle w:val="12"/>
            </w:pPr>
            <w:r>
              <w:t>3年</w:t>
            </w:r>
          </w:p>
        </w:tc>
        <w:tc>
          <w:tcPr>
            <w:tcW w:w="1276" w:type="dxa"/>
            <w:vAlign w:val="center"/>
          </w:tcPr>
          <w:p w14:paraId="05CCCE70">
            <w:pPr>
              <w:pStyle w:val="12"/>
            </w:pPr>
            <w:r>
              <w:t>项目规划</w:t>
            </w:r>
          </w:p>
        </w:tc>
      </w:tr>
      <w:tr w14:paraId="6E8B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CB31F">
            <w:pPr>
              <w:pStyle w:val="13"/>
            </w:pPr>
            <w:r>
              <w:t>满意度指标</w:t>
            </w:r>
          </w:p>
        </w:tc>
        <w:tc>
          <w:tcPr>
            <w:tcW w:w="2268" w:type="dxa"/>
            <w:vAlign w:val="center"/>
          </w:tcPr>
          <w:p w14:paraId="31CD2D6C">
            <w:pPr>
              <w:pStyle w:val="12"/>
            </w:pPr>
            <w:r>
              <w:t>服务对象满意度指标</w:t>
            </w:r>
          </w:p>
        </w:tc>
        <w:tc>
          <w:tcPr>
            <w:tcW w:w="2835" w:type="dxa"/>
            <w:vAlign w:val="center"/>
          </w:tcPr>
          <w:p w14:paraId="03C36CA7">
            <w:pPr>
              <w:pStyle w:val="12"/>
            </w:pPr>
            <w:r>
              <w:t>服务对象满意度</w:t>
            </w:r>
          </w:p>
        </w:tc>
        <w:tc>
          <w:tcPr>
            <w:tcW w:w="5386" w:type="dxa"/>
            <w:vAlign w:val="center"/>
          </w:tcPr>
          <w:p w14:paraId="63A98249">
            <w:pPr>
              <w:pStyle w:val="12"/>
            </w:pPr>
            <w:r>
              <w:t>学校学生教师学校工作满意度</w:t>
            </w:r>
          </w:p>
        </w:tc>
        <w:tc>
          <w:tcPr>
            <w:tcW w:w="2268" w:type="dxa"/>
            <w:vAlign w:val="center"/>
          </w:tcPr>
          <w:p w14:paraId="140B6A0B">
            <w:pPr>
              <w:pStyle w:val="12"/>
            </w:pPr>
            <w:r>
              <w:t>≥95%</w:t>
            </w:r>
          </w:p>
        </w:tc>
        <w:tc>
          <w:tcPr>
            <w:tcW w:w="1276" w:type="dxa"/>
            <w:vAlign w:val="center"/>
          </w:tcPr>
          <w:p w14:paraId="6D3F2AF1">
            <w:pPr>
              <w:pStyle w:val="12"/>
            </w:pPr>
            <w:r>
              <w:t>调查问卷</w:t>
            </w:r>
          </w:p>
        </w:tc>
      </w:tr>
    </w:tbl>
    <w:p w14:paraId="006E32D9">
      <w:pPr>
        <w:sectPr>
          <w:pgSz w:w="16840" w:h="11900" w:orient="landscape"/>
          <w:pgMar w:top="1361" w:right="1020" w:bottom="1134" w:left="1020" w:header="720" w:footer="720" w:gutter="0"/>
          <w:cols w:space="720" w:num="1"/>
        </w:sectPr>
      </w:pPr>
    </w:p>
    <w:p w14:paraId="15AA73FA">
      <w:pPr>
        <w:spacing w:before="0" w:after="0"/>
        <w:ind w:firstLine="560"/>
        <w:jc w:val="left"/>
        <w:outlineLvl w:val="9"/>
      </w:pPr>
      <w:r>
        <w:rPr>
          <w:rFonts w:ascii="方正仿宋_GBK" w:hAnsi="方正仿宋_GBK" w:eastAsia="方正仿宋_GBK" w:cs="方正仿宋_GBK"/>
          <w:b/>
          <w:color w:val="000000"/>
          <w:sz w:val="28"/>
        </w:rPr>
        <w:t>2、冀财教[2023]154号/中央/义教经费/校舍安全保障/尧山中学消防工程绩效目标表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9A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EA024">
            <w:pPr>
              <w:pStyle w:val="11"/>
            </w:pPr>
            <w:r>
              <w:t>单位：万元</w:t>
            </w:r>
          </w:p>
        </w:tc>
      </w:tr>
      <w:tr w14:paraId="0C6E7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FF936">
            <w:pPr>
              <w:pStyle w:val="10"/>
            </w:pPr>
            <w:r>
              <w:t>项目编码</w:t>
            </w:r>
          </w:p>
        </w:tc>
        <w:tc>
          <w:tcPr>
            <w:tcW w:w="5103" w:type="dxa"/>
            <w:gridSpan w:val="2"/>
            <w:vAlign w:val="center"/>
          </w:tcPr>
          <w:p w14:paraId="6CD5F7AE">
            <w:pPr>
              <w:pStyle w:val="12"/>
            </w:pPr>
            <w:r>
              <w:t>13052526P008762101139</w:t>
            </w:r>
          </w:p>
        </w:tc>
        <w:tc>
          <w:tcPr>
            <w:tcW w:w="2835" w:type="dxa"/>
            <w:vAlign w:val="center"/>
          </w:tcPr>
          <w:p w14:paraId="6443EE54">
            <w:pPr>
              <w:pStyle w:val="10"/>
            </w:pPr>
            <w:r>
              <w:t>项目名称</w:t>
            </w:r>
          </w:p>
        </w:tc>
        <w:tc>
          <w:tcPr>
            <w:tcW w:w="6095" w:type="dxa"/>
            <w:gridSpan w:val="3"/>
            <w:vAlign w:val="center"/>
          </w:tcPr>
          <w:p w14:paraId="2C23FA92">
            <w:pPr>
              <w:pStyle w:val="12"/>
            </w:pPr>
            <w:r>
              <w:t>冀财教[2023]154号/中央/义教经费/校舍安全保障/尧山中学消防工程</w:t>
            </w:r>
          </w:p>
        </w:tc>
      </w:tr>
      <w:tr w14:paraId="00B45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4F040">
            <w:pPr>
              <w:pStyle w:val="10"/>
            </w:pPr>
            <w:r>
              <w:t>预算规模及资金用途</w:t>
            </w:r>
          </w:p>
        </w:tc>
        <w:tc>
          <w:tcPr>
            <w:tcW w:w="2268" w:type="dxa"/>
            <w:vAlign w:val="center"/>
          </w:tcPr>
          <w:p w14:paraId="3492B6EA">
            <w:pPr>
              <w:pStyle w:val="10"/>
            </w:pPr>
            <w:r>
              <w:t>预算数</w:t>
            </w:r>
          </w:p>
        </w:tc>
        <w:tc>
          <w:tcPr>
            <w:tcW w:w="2835" w:type="dxa"/>
            <w:vAlign w:val="center"/>
          </w:tcPr>
          <w:p w14:paraId="0AEA5AE0">
            <w:pPr>
              <w:pStyle w:val="12"/>
            </w:pPr>
            <w:r>
              <w:t>47.01</w:t>
            </w:r>
          </w:p>
        </w:tc>
        <w:tc>
          <w:tcPr>
            <w:tcW w:w="2835" w:type="dxa"/>
            <w:vAlign w:val="center"/>
          </w:tcPr>
          <w:p w14:paraId="1EF1D4C5">
            <w:pPr>
              <w:pStyle w:val="10"/>
            </w:pPr>
            <w:r>
              <w:t>其中：财政    资金</w:t>
            </w:r>
          </w:p>
        </w:tc>
        <w:tc>
          <w:tcPr>
            <w:tcW w:w="2551" w:type="dxa"/>
            <w:vAlign w:val="center"/>
          </w:tcPr>
          <w:p w14:paraId="5A5FACAE">
            <w:pPr>
              <w:pStyle w:val="12"/>
            </w:pPr>
            <w:r>
              <w:t>47.01</w:t>
            </w:r>
          </w:p>
        </w:tc>
        <w:tc>
          <w:tcPr>
            <w:tcW w:w="2268" w:type="dxa"/>
            <w:vAlign w:val="center"/>
          </w:tcPr>
          <w:p w14:paraId="4F684B79">
            <w:pPr>
              <w:pStyle w:val="10"/>
            </w:pPr>
            <w:r>
              <w:t>其他资金</w:t>
            </w:r>
          </w:p>
        </w:tc>
        <w:tc>
          <w:tcPr>
            <w:tcW w:w="1276" w:type="dxa"/>
            <w:vAlign w:val="center"/>
          </w:tcPr>
          <w:p w14:paraId="2CB33724">
            <w:pPr>
              <w:pStyle w:val="12"/>
            </w:pPr>
            <w:r>
              <w:t xml:space="preserve"> </w:t>
            </w:r>
          </w:p>
        </w:tc>
      </w:tr>
      <w:tr w14:paraId="4E114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2945E"/>
        </w:tc>
        <w:tc>
          <w:tcPr>
            <w:tcW w:w="14033" w:type="dxa"/>
            <w:gridSpan w:val="6"/>
            <w:vAlign w:val="center"/>
          </w:tcPr>
          <w:p w14:paraId="48B6A20E">
            <w:pPr>
              <w:pStyle w:val="12"/>
            </w:pPr>
            <w:r>
              <w:t>改善就学条件，提升学校形象，保障义务教育阶段教学安全，改善师生教学环境，创造良好的校园环境。</w:t>
            </w:r>
          </w:p>
        </w:tc>
      </w:tr>
      <w:tr w14:paraId="5D06B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D39C3">
            <w:pPr>
              <w:pStyle w:val="10"/>
            </w:pPr>
            <w:r>
              <w:t>资金支出计划（%）</w:t>
            </w:r>
          </w:p>
        </w:tc>
        <w:tc>
          <w:tcPr>
            <w:tcW w:w="5103" w:type="dxa"/>
            <w:gridSpan w:val="2"/>
            <w:vAlign w:val="center"/>
          </w:tcPr>
          <w:p w14:paraId="1BCB4A64">
            <w:pPr>
              <w:pStyle w:val="10"/>
            </w:pPr>
            <w:r>
              <w:t>3月底</w:t>
            </w:r>
          </w:p>
        </w:tc>
        <w:tc>
          <w:tcPr>
            <w:tcW w:w="2835" w:type="dxa"/>
            <w:vAlign w:val="center"/>
          </w:tcPr>
          <w:p w14:paraId="67AC9E6C">
            <w:pPr>
              <w:pStyle w:val="10"/>
            </w:pPr>
            <w:r>
              <w:t>6月底</w:t>
            </w:r>
          </w:p>
        </w:tc>
        <w:tc>
          <w:tcPr>
            <w:tcW w:w="2551" w:type="dxa"/>
            <w:vAlign w:val="center"/>
          </w:tcPr>
          <w:p w14:paraId="4412BF8F">
            <w:pPr>
              <w:pStyle w:val="10"/>
            </w:pPr>
            <w:r>
              <w:t>10月底</w:t>
            </w:r>
          </w:p>
        </w:tc>
        <w:tc>
          <w:tcPr>
            <w:tcW w:w="3544" w:type="dxa"/>
            <w:gridSpan w:val="2"/>
            <w:vAlign w:val="center"/>
          </w:tcPr>
          <w:p w14:paraId="572F3A38">
            <w:pPr>
              <w:pStyle w:val="10"/>
            </w:pPr>
            <w:r>
              <w:t>12月底</w:t>
            </w:r>
          </w:p>
        </w:tc>
      </w:tr>
      <w:tr w14:paraId="27713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B5584"/>
        </w:tc>
        <w:tc>
          <w:tcPr>
            <w:tcW w:w="5103" w:type="dxa"/>
            <w:gridSpan w:val="2"/>
            <w:vAlign w:val="center"/>
          </w:tcPr>
          <w:p w14:paraId="50F97710">
            <w:pPr>
              <w:pStyle w:val="13"/>
            </w:pPr>
            <w:r>
              <w:t xml:space="preserve"> </w:t>
            </w:r>
          </w:p>
        </w:tc>
        <w:tc>
          <w:tcPr>
            <w:tcW w:w="2835" w:type="dxa"/>
            <w:vAlign w:val="center"/>
          </w:tcPr>
          <w:p w14:paraId="1AF7CAAE">
            <w:pPr>
              <w:pStyle w:val="13"/>
            </w:pPr>
            <w:r>
              <w:t>100%</w:t>
            </w:r>
          </w:p>
        </w:tc>
        <w:tc>
          <w:tcPr>
            <w:tcW w:w="2551" w:type="dxa"/>
            <w:vAlign w:val="center"/>
          </w:tcPr>
          <w:p w14:paraId="14FEF6C1">
            <w:pPr>
              <w:pStyle w:val="13"/>
            </w:pPr>
            <w:r>
              <w:t>100%</w:t>
            </w:r>
          </w:p>
        </w:tc>
        <w:tc>
          <w:tcPr>
            <w:tcW w:w="3544" w:type="dxa"/>
            <w:gridSpan w:val="2"/>
            <w:vAlign w:val="center"/>
          </w:tcPr>
          <w:p w14:paraId="18EB1A4A">
            <w:pPr>
              <w:pStyle w:val="13"/>
            </w:pPr>
            <w:r>
              <w:t>100%</w:t>
            </w:r>
          </w:p>
        </w:tc>
      </w:tr>
      <w:tr w14:paraId="7F11E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D3D1A">
            <w:pPr>
              <w:pStyle w:val="10"/>
            </w:pPr>
            <w:r>
              <w:t>绩效目标</w:t>
            </w:r>
          </w:p>
        </w:tc>
        <w:tc>
          <w:tcPr>
            <w:tcW w:w="14033" w:type="dxa"/>
            <w:gridSpan w:val="6"/>
            <w:vAlign w:val="center"/>
          </w:tcPr>
          <w:p w14:paraId="2BE25A78">
            <w:pPr>
              <w:pStyle w:val="12"/>
            </w:pPr>
            <w:r>
              <w:t>1.改善就学条件，提升学校形象，保障义务教育阶段教学安全，改善师生教学环境，创造良好的校园环境。</w:t>
            </w:r>
          </w:p>
          <w:p w14:paraId="5B1A5553">
            <w:pPr>
              <w:pStyle w:val="12"/>
            </w:pPr>
            <w:r>
              <w:t>2.项目需资金47.006万元，资金拨付率达到100%。</w:t>
            </w:r>
            <w:r>
              <w:tab/>
            </w:r>
          </w:p>
          <w:p w14:paraId="71F3B1EA">
            <w:pPr>
              <w:pStyle w:val="12"/>
            </w:pPr>
          </w:p>
        </w:tc>
      </w:tr>
    </w:tbl>
    <w:p w14:paraId="1CD1C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3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141AD">
            <w:pPr>
              <w:pStyle w:val="10"/>
            </w:pPr>
            <w:r>
              <w:t>一级指标</w:t>
            </w:r>
          </w:p>
        </w:tc>
        <w:tc>
          <w:tcPr>
            <w:tcW w:w="2268" w:type="dxa"/>
            <w:vAlign w:val="center"/>
          </w:tcPr>
          <w:p w14:paraId="5B32C441">
            <w:pPr>
              <w:pStyle w:val="10"/>
            </w:pPr>
            <w:r>
              <w:t>二级指标</w:t>
            </w:r>
          </w:p>
        </w:tc>
        <w:tc>
          <w:tcPr>
            <w:tcW w:w="2835" w:type="dxa"/>
            <w:vAlign w:val="center"/>
          </w:tcPr>
          <w:p w14:paraId="6E28404E">
            <w:pPr>
              <w:pStyle w:val="10"/>
            </w:pPr>
            <w:r>
              <w:t>三级指标</w:t>
            </w:r>
          </w:p>
        </w:tc>
        <w:tc>
          <w:tcPr>
            <w:tcW w:w="5386" w:type="dxa"/>
            <w:vAlign w:val="center"/>
          </w:tcPr>
          <w:p w14:paraId="201472B2">
            <w:pPr>
              <w:pStyle w:val="10"/>
            </w:pPr>
            <w:r>
              <w:t>绩效指标描述</w:t>
            </w:r>
          </w:p>
        </w:tc>
        <w:tc>
          <w:tcPr>
            <w:tcW w:w="2268" w:type="dxa"/>
            <w:vAlign w:val="center"/>
          </w:tcPr>
          <w:p w14:paraId="2BDB9665">
            <w:pPr>
              <w:pStyle w:val="10"/>
            </w:pPr>
            <w:r>
              <w:t>指标值</w:t>
            </w:r>
          </w:p>
        </w:tc>
        <w:tc>
          <w:tcPr>
            <w:tcW w:w="1276" w:type="dxa"/>
            <w:vAlign w:val="center"/>
          </w:tcPr>
          <w:p w14:paraId="4CC847FC">
            <w:pPr>
              <w:pStyle w:val="10"/>
            </w:pPr>
            <w:r>
              <w:t>指标值确定依据</w:t>
            </w:r>
          </w:p>
        </w:tc>
      </w:tr>
      <w:tr w14:paraId="71FE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F4D77">
            <w:pPr>
              <w:pStyle w:val="13"/>
            </w:pPr>
            <w:r>
              <w:t>产出指标</w:t>
            </w:r>
          </w:p>
        </w:tc>
        <w:tc>
          <w:tcPr>
            <w:tcW w:w="2268" w:type="dxa"/>
            <w:vAlign w:val="center"/>
          </w:tcPr>
          <w:p w14:paraId="4CB433F9">
            <w:pPr>
              <w:pStyle w:val="12"/>
            </w:pPr>
            <w:r>
              <w:t>数量指标</w:t>
            </w:r>
          </w:p>
        </w:tc>
        <w:tc>
          <w:tcPr>
            <w:tcW w:w="2835" w:type="dxa"/>
            <w:vAlign w:val="center"/>
          </w:tcPr>
          <w:p w14:paraId="73EC2A1B">
            <w:pPr>
              <w:pStyle w:val="12"/>
            </w:pPr>
            <w:r>
              <w:t>尧山中学消防工程</w:t>
            </w:r>
          </w:p>
        </w:tc>
        <w:tc>
          <w:tcPr>
            <w:tcW w:w="5386" w:type="dxa"/>
            <w:vAlign w:val="center"/>
          </w:tcPr>
          <w:p w14:paraId="74D15AEC">
            <w:pPr>
              <w:pStyle w:val="12"/>
            </w:pPr>
            <w:r>
              <w:t>消防工程安装消防泵房、蓄水池、室外网管、消防设备设施等面积</w:t>
            </w:r>
          </w:p>
        </w:tc>
        <w:tc>
          <w:tcPr>
            <w:tcW w:w="2268" w:type="dxa"/>
            <w:vAlign w:val="center"/>
          </w:tcPr>
          <w:p w14:paraId="1B72B919">
            <w:pPr>
              <w:pStyle w:val="12"/>
            </w:pPr>
            <w:r>
              <w:t>131.72平方米</w:t>
            </w:r>
          </w:p>
        </w:tc>
        <w:tc>
          <w:tcPr>
            <w:tcW w:w="1276" w:type="dxa"/>
            <w:vAlign w:val="center"/>
          </w:tcPr>
          <w:p w14:paraId="1F0E13BA">
            <w:pPr>
              <w:pStyle w:val="12"/>
            </w:pPr>
            <w:r>
              <w:t>项目规划</w:t>
            </w:r>
          </w:p>
        </w:tc>
      </w:tr>
      <w:tr w14:paraId="3873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940AF"/>
        </w:tc>
        <w:tc>
          <w:tcPr>
            <w:tcW w:w="2268" w:type="dxa"/>
            <w:vAlign w:val="center"/>
          </w:tcPr>
          <w:p w14:paraId="48418926">
            <w:pPr>
              <w:pStyle w:val="12"/>
            </w:pPr>
            <w:r>
              <w:t>质量指标</w:t>
            </w:r>
          </w:p>
        </w:tc>
        <w:tc>
          <w:tcPr>
            <w:tcW w:w="2835" w:type="dxa"/>
            <w:vAlign w:val="center"/>
          </w:tcPr>
          <w:p w14:paraId="3FA4C2EC">
            <w:pPr>
              <w:pStyle w:val="12"/>
            </w:pPr>
            <w:r>
              <w:t>工程实施验收合格率</w:t>
            </w:r>
          </w:p>
        </w:tc>
        <w:tc>
          <w:tcPr>
            <w:tcW w:w="5386" w:type="dxa"/>
            <w:vAlign w:val="center"/>
          </w:tcPr>
          <w:p w14:paraId="2601243D">
            <w:pPr>
              <w:pStyle w:val="12"/>
            </w:pPr>
            <w:r>
              <w:t>申报程序的合规，项目实施及资金使用符合项目规划</w:t>
            </w:r>
          </w:p>
        </w:tc>
        <w:tc>
          <w:tcPr>
            <w:tcW w:w="2268" w:type="dxa"/>
            <w:vAlign w:val="center"/>
          </w:tcPr>
          <w:p w14:paraId="416226ED">
            <w:pPr>
              <w:pStyle w:val="12"/>
            </w:pPr>
            <w:r>
              <w:t>100%</w:t>
            </w:r>
          </w:p>
        </w:tc>
        <w:tc>
          <w:tcPr>
            <w:tcW w:w="1276" w:type="dxa"/>
            <w:vAlign w:val="center"/>
          </w:tcPr>
          <w:p w14:paraId="33C22D3C">
            <w:pPr>
              <w:pStyle w:val="12"/>
            </w:pPr>
            <w:r>
              <w:t>项目规划</w:t>
            </w:r>
          </w:p>
        </w:tc>
      </w:tr>
      <w:tr w14:paraId="213B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4BB51"/>
        </w:tc>
        <w:tc>
          <w:tcPr>
            <w:tcW w:w="2268" w:type="dxa"/>
            <w:vAlign w:val="center"/>
          </w:tcPr>
          <w:p w14:paraId="7CE86246">
            <w:pPr>
              <w:pStyle w:val="12"/>
            </w:pPr>
            <w:r>
              <w:t>时效指标</w:t>
            </w:r>
          </w:p>
        </w:tc>
        <w:tc>
          <w:tcPr>
            <w:tcW w:w="2835" w:type="dxa"/>
            <w:vAlign w:val="center"/>
          </w:tcPr>
          <w:p w14:paraId="7FA51799">
            <w:pPr>
              <w:pStyle w:val="12"/>
            </w:pPr>
            <w:r>
              <w:t>资金支付率</w:t>
            </w:r>
          </w:p>
        </w:tc>
        <w:tc>
          <w:tcPr>
            <w:tcW w:w="5386" w:type="dxa"/>
            <w:vAlign w:val="center"/>
          </w:tcPr>
          <w:p w14:paraId="79D973E8">
            <w:pPr>
              <w:pStyle w:val="12"/>
            </w:pPr>
            <w:r>
              <w:t>按照序时进度完成资金支付</w:t>
            </w:r>
          </w:p>
        </w:tc>
        <w:tc>
          <w:tcPr>
            <w:tcW w:w="2268" w:type="dxa"/>
            <w:vAlign w:val="center"/>
          </w:tcPr>
          <w:p w14:paraId="3B52ECC6">
            <w:pPr>
              <w:pStyle w:val="12"/>
            </w:pPr>
            <w:r>
              <w:t>100%</w:t>
            </w:r>
          </w:p>
        </w:tc>
        <w:tc>
          <w:tcPr>
            <w:tcW w:w="1276" w:type="dxa"/>
            <w:vAlign w:val="center"/>
          </w:tcPr>
          <w:p w14:paraId="6F8B1D2C">
            <w:pPr>
              <w:pStyle w:val="12"/>
            </w:pPr>
            <w:r>
              <w:t>项目规划</w:t>
            </w:r>
          </w:p>
        </w:tc>
      </w:tr>
      <w:tr w14:paraId="52D6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1E6B"/>
        </w:tc>
        <w:tc>
          <w:tcPr>
            <w:tcW w:w="2268" w:type="dxa"/>
            <w:vAlign w:val="center"/>
          </w:tcPr>
          <w:p w14:paraId="27088422">
            <w:pPr>
              <w:pStyle w:val="12"/>
            </w:pPr>
            <w:r>
              <w:t>成本指标</w:t>
            </w:r>
          </w:p>
        </w:tc>
        <w:tc>
          <w:tcPr>
            <w:tcW w:w="2835" w:type="dxa"/>
            <w:vAlign w:val="center"/>
          </w:tcPr>
          <w:p w14:paraId="1E9D2D0B">
            <w:pPr>
              <w:pStyle w:val="12"/>
            </w:pPr>
            <w:r>
              <w:t>项目成本控制情况</w:t>
            </w:r>
          </w:p>
        </w:tc>
        <w:tc>
          <w:tcPr>
            <w:tcW w:w="5386" w:type="dxa"/>
            <w:vAlign w:val="center"/>
          </w:tcPr>
          <w:p w14:paraId="3A4E1553">
            <w:pPr>
              <w:pStyle w:val="12"/>
            </w:pPr>
            <w:r>
              <w:t>严格按照招标价格及审计额进行</w:t>
            </w:r>
          </w:p>
        </w:tc>
        <w:tc>
          <w:tcPr>
            <w:tcW w:w="2268" w:type="dxa"/>
            <w:vAlign w:val="center"/>
          </w:tcPr>
          <w:p w14:paraId="53D4D0A3">
            <w:pPr>
              <w:pStyle w:val="12"/>
            </w:pPr>
            <w:r>
              <w:t>470060元</w:t>
            </w:r>
          </w:p>
        </w:tc>
        <w:tc>
          <w:tcPr>
            <w:tcW w:w="1276" w:type="dxa"/>
            <w:vAlign w:val="center"/>
          </w:tcPr>
          <w:p w14:paraId="76920B37">
            <w:pPr>
              <w:pStyle w:val="12"/>
            </w:pPr>
            <w:r>
              <w:t>项目规划</w:t>
            </w:r>
          </w:p>
        </w:tc>
      </w:tr>
      <w:tr w14:paraId="161A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F83BC">
            <w:pPr>
              <w:pStyle w:val="13"/>
            </w:pPr>
            <w:r>
              <w:t>效益指标</w:t>
            </w:r>
          </w:p>
        </w:tc>
        <w:tc>
          <w:tcPr>
            <w:tcW w:w="2268" w:type="dxa"/>
            <w:vAlign w:val="center"/>
          </w:tcPr>
          <w:p w14:paraId="609A2056">
            <w:pPr>
              <w:pStyle w:val="12"/>
            </w:pPr>
            <w:r>
              <w:t>经济效益指标</w:t>
            </w:r>
          </w:p>
        </w:tc>
        <w:tc>
          <w:tcPr>
            <w:tcW w:w="2835" w:type="dxa"/>
            <w:vAlign w:val="center"/>
          </w:tcPr>
          <w:p w14:paraId="4F5DAF11">
            <w:pPr>
              <w:pStyle w:val="12"/>
            </w:pPr>
            <w:r>
              <w:t>学校运转得到提高</w:t>
            </w:r>
          </w:p>
        </w:tc>
        <w:tc>
          <w:tcPr>
            <w:tcW w:w="5386" w:type="dxa"/>
            <w:vAlign w:val="center"/>
          </w:tcPr>
          <w:p w14:paraId="2C3EA19F">
            <w:pPr>
              <w:pStyle w:val="12"/>
            </w:pPr>
            <w:r>
              <w:t>学生受教育年限</w:t>
            </w:r>
          </w:p>
        </w:tc>
        <w:tc>
          <w:tcPr>
            <w:tcW w:w="2268" w:type="dxa"/>
            <w:vAlign w:val="center"/>
          </w:tcPr>
          <w:p w14:paraId="47E6838C">
            <w:pPr>
              <w:pStyle w:val="12"/>
            </w:pPr>
            <w:r>
              <w:t>3年</w:t>
            </w:r>
          </w:p>
        </w:tc>
        <w:tc>
          <w:tcPr>
            <w:tcW w:w="1276" w:type="dxa"/>
            <w:vAlign w:val="center"/>
          </w:tcPr>
          <w:p w14:paraId="07A228B1">
            <w:pPr>
              <w:pStyle w:val="12"/>
            </w:pPr>
            <w:r>
              <w:t>项目规划</w:t>
            </w:r>
          </w:p>
        </w:tc>
      </w:tr>
      <w:tr w14:paraId="1799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03041">
            <w:pPr>
              <w:pStyle w:val="13"/>
            </w:pPr>
            <w:r>
              <w:t>满意度指标</w:t>
            </w:r>
          </w:p>
        </w:tc>
        <w:tc>
          <w:tcPr>
            <w:tcW w:w="2268" w:type="dxa"/>
            <w:vAlign w:val="center"/>
          </w:tcPr>
          <w:p w14:paraId="07608C66">
            <w:pPr>
              <w:pStyle w:val="12"/>
            </w:pPr>
            <w:r>
              <w:t>服务对象满意度指标</w:t>
            </w:r>
          </w:p>
        </w:tc>
        <w:tc>
          <w:tcPr>
            <w:tcW w:w="2835" w:type="dxa"/>
            <w:vAlign w:val="center"/>
          </w:tcPr>
          <w:p w14:paraId="5A490404">
            <w:pPr>
              <w:pStyle w:val="12"/>
            </w:pPr>
            <w:r>
              <w:t>服务对象满意度</w:t>
            </w:r>
          </w:p>
        </w:tc>
        <w:tc>
          <w:tcPr>
            <w:tcW w:w="5386" w:type="dxa"/>
            <w:vAlign w:val="center"/>
          </w:tcPr>
          <w:p w14:paraId="661AFD77">
            <w:pPr>
              <w:pStyle w:val="12"/>
            </w:pPr>
            <w:r>
              <w:t>学校学生教师学校工作满意度</w:t>
            </w:r>
          </w:p>
        </w:tc>
        <w:tc>
          <w:tcPr>
            <w:tcW w:w="2268" w:type="dxa"/>
            <w:vAlign w:val="center"/>
          </w:tcPr>
          <w:p w14:paraId="1663520B">
            <w:pPr>
              <w:pStyle w:val="12"/>
            </w:pPr>
            <w:r>
              <w:t>≥95%</w:t>
            </w:r>
          </w:p>
        </w:tc>
        <w:tc>
          <w:tcPr>
            <w:tcW w:w="1276" w:type="dxa"/>
            <w:vAlign w:val="center"/>
          </w:tcPr>
          <w:p w14:paraId="539E714D">
            <w:pPr>
              <w:pStyle w:val="12"/>
            </w:pPr>
            <w:r>
              <w:t>调查问卷</w:t>
            </w:r>
          </w:p>
        </w:tc>
      </w:tr>
    </w:tbl>
    <w:p w14:paraId="03137852">
      <w:pPr>
        <w:sectPr>
          <w:pgSz w:w="16840" w:h="11900" w:orient="landscape"/>
          <w:pgMar w:top="1361" w:right="1020" w:bottom="1134" w:left="1020" w:header="720" w:footer="720" w:gutter="0"/>
          <w:cols w:space="720" w:num="1"/>
        </w:sectPr>
      </w:pPr>
    </w:p>
    <w:p w14:paraId="68B2A536">
      <w:pPr>
        <w:spacing w:before="0" w:after="0"/>
        <w:ind w:firstLine="560"/>
        <w:jc w:val="left"/>
        <w:outlineLvl w:val="9"/>
      </w:pPr>
      <w:r>
        <w:rPr>
          <w:rFonts w:ascii="方正仿宋_GBK" w:hAnsi="方正仿宋_GBK" w:eastAsia="方正仿宋_GBK" w:cs="方正仿宋_GBK"/>
          <w:b/>
          <w:color w:val="000000"/>
          <w:sz w:val="28"/>
        </w:rPr>
        <w:t>3、冀财教[2025]119号/中央/2026年薄弱学校改造/尧山中学宿舍楼改扩建项目绩效目标表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56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C9BDD">
            <w:pPr>
              <w:pStyle w:val="11"/>
            </w:pPr>
            <w:r>
              <w:t>单位：万元</w:t>
            </w:r>
          </w:p>
        </w:tc>
      </w:tr>
      <w:tr w14:paraId="19706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0A3A5">
            <w:pPr>
              <w:pStyle w:val="10"/>
            </w:pPr>
            <w:r>
              <w:t>项目编码</w:t>
            </w:r>
          </w:p>
        </w:tc>
        <w:tc>
          <w:tcPr>
            <w:tcW w:w="5103" w:type="dxa"/>
            <w:gridSpan w:val="2"/>
            <w:vAlign w:val="center"/>
          </w:tcPr>
          <w:p w14:paraId="481BCB5D">
            <w:pPr>
              <w:pStyle w:val="12"/>
            </w:pPr>
            <w:r>
              <w:t>13052526P00877010019H</w:t>
            </w:r>
          </w:p>
        </w:tc>
        <w:tc>
          <w:tcPr>
            <w:tcW w:w="2835" w:type="dxa"/>
            <w:vAlign w:val="center"/>
          </w:tcPr>
          <w:p w14:paraId="3072AC80">
            <w:pPr>
              <w:pStyle w:val="10"/>
            </w:pPr>
            <w:r>
              <w:t>项目名称</w:t>
            </w:r>
          </w:p>
        </w:tc>
        <w:tc>
          <w:tcPr>
            <w:tcW w:w="6095" w:type="dxa"/>
            <w:gridSpan w:val="3"/>
            <w:vAlign w:val="center"/>
          </w:tcPr>
          <w:p w14:paraId="348FA8B4">
            <w:pPr>
              <w:pStyle w:val="12"/>
            </w:pPr>
            <w:r>
              <w:t>冀财教[2025]119号/中央/2026年薄弱学校改造/尧山中学宿舍楼改扩建项目</w:t>
            </w:r>
          </w:p>
        </w:tc>
      </w:tr>
      <w:tr w14:paraId="28436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55190">
            <w:pPr>
              <w:pStyle w:val="10"/>
            </w:pPr>
            <w:r>
              <w:t>预算规模及资金用途</w:t>
            </w:r>
          </w:p>
        </w:tc>
        <w:tc>
          <w:tcPr>
            <w:tcW w:w="2268" w:type="dxa"/>
            <w:vAlign w:val="center"/>
          </w:tcPr>
          <w:p w14:paraId="498F4144">
            <w:pPr>
              <w:pStyle w:val="10"/>
            </w:pPr>
            <w:r>
              <w:t>预算数</w:t>
            </w:r>
          </w:p>
        </w:tc>
        <w:tc>
          <w:tcPr>
            <w:tcW w:w="2835" w:type="dxa"/>
            <w:vAlign w:val="center"/>
          </w:tcPr>
          <w:p w14:paraId="69DD8776">
            <w:pPr>
              <w:pStyle w:val="12"/>
            </w:pPr>
            <w:r>
              <w:t>761.00</w:t>
            </w:r>
          </w:p>
        </w:tc>
        <w:tc>
          <w:tcPr>
            <w:tcW w:w="2835" w:type="dxa"/>
            <w:vAlign w:val="center"/>
          </w:tcPr>
          <w:p w14:paraId="6CD0724D">
            <w:pPr>
              <w:pStyle w:val="10"/>
            </w:pPr>
            <w:r>
              <w:t>其中：财政    资金</w:t>
            </w:r>
          </w:p>
        </w:tc>
        <w:tc>
          <w:tcPr>
            <w:tcW w:w="2551" w:type="dxa"/>
            <w:vAlign w:val="center"/>
          </w:tcPr>
          <w:p w14:paraId="623F2110">
            <w:pPr>
              <w:pStyle w:val="12"/>
            </w:pPr>
            <w:r>
              <w:t>761.00</w:t>
            </w:r>
          </w:p>
        </w:tc>
        <w:tc>
          <w:tcPr>
            <w:tcW w:w="2268" w:type="dxa"/>
            <w:vAlign w:val="center"/>
          </w:tcPr>
          <w:p w14:paraId="78287F2E">
            <w:pPr>
              <w:pStyle w:val="10"/>
            </w:pPr>
            <w:r>
              <w:t>其他资金</w:t>
            </w:r>
          </w:p>
        </w:tc>
        <w:tc>
          <w:tcPr>
            <w:tcW w:w="1276" w:type="dxa"/>
            <w:vAlign w:val="center"/>
          </w:tcPr>
          <w:p w14:paraId="57055E05">
            <w:pPr>
              <w:pStyle w:val="12"/>
            </w:pPr>
            <w:r>
              <w:t xml:space="preserve"> </w:t>
            </w:r>
          </w:p>
        </w:tc>
      </w:tr>
      <w:tr w14:paraId="2776F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FE553"/>
        </w:tc>
        <w:tc>
          <w:tcPr>
            <w:tcW w:w="14033" w:type="dxa"/>
            <w:gridSpan w:val="6"/>
            <w:vAlign w:val="center"/>
          </w:tcPr>
          <w:p w14:paraId="580B6136">
            <w:pPr>
              <w:pStyle w:val="12"/>
            </w:pPr>
            <w:r>
              <w:t>缓解学校床位紧张，提升学校形象，保障义务教育阶段良好就学条件，改善师生教学环境，创造良好的校园环境。</w:t>
            </w:r>
          </w:p>
        </w:tc>
      </w:tr>
      <w:tr w14:paraId="5465F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43CC9">
            <w:pPr>
              <w:pStyle w:val="10"/>
            </w:pPr>
            <w:r>
              <w:t>资金支出计划（%）</w:t>
            </w:r>
          </w:p>
        </w:tc>
        <w:tc>
          <w:tcPr>
            <w:tcW w:w="5103" w:type="dxa"/>
            <w:gridSpan w:val="2"/>
            <w:vAlign w:val="center"/>
          </w:tcPr>
          <w:p w14:paraId="0D6FBDCE">
            <w:pPr>
              <w:pStyle w:val="10"/>
            </w:pPr>
            <w:r>
              <w:t>3月底</w:t>
            </w:r>
          </w:p>
        </w:tc>
        <w:tc>
          <w:tcPr>
            <w:tcW w:w="2835" w:type="dxa"/>
            <w:vAlign w:val="center"/>
          </w:tcPr>
          <w:p w14:paraId="0B0DBD02">
            <w:pPr>
              <w:pStyle w:val="10"/>
            </w:pPr>
            <w:r>
              <w:t>6月底</w:t>
            </w:r>
          </w:p>
        </w:tc>
        <w:tc>
          <w:tcPr>
            <w:tcW w:w="2551" w:type="dxa"/>
            <w:vAlign w:val="center"/>
          </w:tcPr>
          <w:p w14:paraId="31A18A16">
            <w:pPr>
              <w:pStyle w:val="10"/>
            </w:pPr>
            <w:r>
              <w:t>10月底</w:t>
            </w:r>
          </w:p>
        </w:tc>
        <w:tc>
          <w:tcPr>
            <w:tcW w:w="3544" w:type="dxa"/>
            <w:gridSpan w:val="2"/>
            <w:vAlign w:val="center"/>
          </w:tcPr>
          <w:p w14:paraId="63BDEC76">
            <w:pPr>
              <w:pStyle w:val="10"/>
            </w:pPr>
            <w:r>
              <w:t>12月底</w:t>
            </w:r>
          </w:p>
        </w:tc>
      </w:tr>
      <w:tr w14:paraId="331B4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B5417"/>
        </w:tc>
        <w:tc>
          <w:tcPr>
            <w:tcW w:w="5103" w:type="dxa"/>
            <w:gridSpan w:val="2"/>
            <w:vAlign w:val="center"/>
          </w:tcPr>
          <w:p w14:paraId="05CA9F93">
            <w:pPr>
              <w:pStyle w:val="13"/>
            </w:pPr>
            <w:r>
              <w:t>25%</w:t>
            </w:r>
          </w:p>
        </w:tc>
        <w:tc>
          <w:tcPr>
            <w:tcW w:w="2835" w:type="dxa"/>
            <w:vAlign w:val="center"/>
          </w:tcPr>
          <w:p w14:paraId="278AC58E">
            <w:pPr>
              <w:pStyle w:val="13"/>
            </w:pPr>
            <w:r>
              <w:t>50%</w:t>
            </w:r>
          </w:p>
        </w:tc>
        <w:tc>
          <w:tcPr>
            <w:tcW w:w="2551" w:type="dxa"/>
            <w:vAlign w:val="center"/>
          </w:tcPr>
          <w:p w14:paraId="32B9CB16">
            <w:pPr>
              <w:pStyle w:val="13"/>
            </w:pPr>
            <w:r>
              <w:t>75%</w:t>
            </w:r>
          </w:p>
        </w:tc>
        <w:tc>
          <w:tcPr>
            <w:tcW w:w="3544" w:type="dxa"/>
            <w:gridSpan w:val="2"/>
            <w:vAlign w:val="center"/>
          </w:tcPr>
          <w:p w14:paraId="572BAD4F">
            <w:pPr>
              <w:pStyle w:val="13"/>
            </w:pPr>
            <w:r>
              <w:t>100%</w:t>
            </w:r>
          </w:p>
        </w:tc>
      </w:tr>
      <w:tr w14:paraId="150FC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CF6C6">
            <w:pPr>
              <w:pStyle w:val="10"/>
            </w:pPr>
            <w:r>
              <w:t>绩效目标</w:t>
            </w:r>
          </w:p>
        </w:tc>
        <w:tc>
          <w:tcPr>
            <w:tcW w:w="14033" w:type="dxa"/>
            <w:gridSpan w:val="6"/>
            <w:vAlign w:val="center"/>
          </w:tcPr>
          <w:p w14:paraId="57DA4569">
            <w:pPr>
              <w:pStyle w:val="12"/>
            </w:pPr>
            <w:r>
              <w:t>1.缓解学校床位紧张，提升学校形象，保障义务教育阶段良好就学条件，改善师生教学环境，创造良好的校园环境。</w:t>
            </w:r>
          </w:p>
          <w:p w14:paraId="47D61AE6">
            <w:pPr>
              <w:pStyle w:val="12"/>
            </w:pPr>
          </w:p>
          <w:p w14:paraId="0A8EB741">
            <w:pPr>
              <w:pStyle w:val="12"/>
            </w:pPr>
            <w:r>
              <w:t>2.项目需资金761万元，资金拨付率达到100%。</w:t>
            </w:r>
          </w:p>
        </w:tc>
      </w:tr>
    </w:tbl>
    <w:p w14:paraId="00BA5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4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89ABF">
            <w:pPr>
              <w:pStyle w:val="10"/>
            </w:pPr>
            <w:r>
              <w:t>一级指标</w:t>
            </w:r>
          </w:p>
        </w:tc>
        <w:tc>
          <w:tcPr>
            <w:tcW w:w="2268" w:type="dxa"/>
            <w:vAlign w:val="center"/>
          </w:tcPr>
          <w:p w14:paraId="6FA2AAA9">
            <w:pPr>
              <w:pStyle w:val="10"/>
            </w:pPr>
            <w:r>
              <w:t>二级指标</w:t>
            </w:r>
          </w:p>
        </w:tc>
        <w:tc>
          <w:tcPr>
            <w:tcW w:w="2835" w:type="dxa"/>
            <w:vAlign w:val="center"/>
          </w:tcPr>
          <w:p w14:paraId="09E56305">
            <w:pPr>
              <w:pStyle w:val="10"/>
            </w:pPr>
            <w:r>
              <w:t>三级指标</w:t>
            </w:r>
          </w:p>
        </w:tc>
        <w:tc>
          <w:tcPr>
            <w:tcW w:w="5386" w:type="dxa"/>
            <w:vAlign w:val="center"/>
          </w:tcPr>
          <w:p w14:paraId="61FF1C49">
            <w:pPr>
              <w:pStyle w:val="10"/>
            </w:pPr>
            <w:r>
              <w:t>绩效指标描述</w:t>
            </w:r>
          </w:p>
        </w:tc>
        <w:tc>
          <w:tcPr>
            <w:tcW w:w="2268" w:type="dxa"/>
            <w:vAlign w:val="center"/>
          </w:tcPr>
          <w:p w14:paraId="69DF997D">
            <w:pPr>
              <w:pStyle w:val="10"/>
            </w:pPr>
            <w:r>
              <w:t>指标值</w:t>
            </w:r>
          </w:p>
        </w:tc>
        <w:tc>
          <w:tcPr>
            <w:tcW w:w="1276" w:type="dxa"/>
            <w:vAlign w:val="center"/>
          </w:tcPr>
          <w:p w14:paraId="10A3B6B2">
            <w:pPr>
              <w:pStyle w:val="10"/>
            </w:pPr>
            <w:r>
              <w:t>指标值确定依据</w:t>
            </w:r>
          </w:p>
        </w:tc>
      </w:tr>
      <w:tr w14:paraId="3957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2BBD2">
            <w:pPr>
              <w:pStyle w:val="13"/>
            </w:pPr>
            <w:r>
              <w:t>产出指标</w:t>
            </w:r>
          </w:p>
        </w:tc>
        <w:tc>
          <w:tcPr>
            <w:tcW w:w="2268" w:type="dxa"/>
            <w:vAlign w:val="center"/>
          </w:tcPr>
          <w:p w14:paraId="7AE7380C">
            <w:pPr>
              <w:pStyle w:val="12"/>
            </w:pPr>
            <w:r>
              <w:t>数量指标</w:t>
            </w:r>
          </w:p>
        </w:tc>
        <w:tc>
          <w:tcPr>
            <w:tcW w:w="2835" w:type="dxa"/>
            <w:vAlign w:val="center"/>
          </w:tcPr>
          <w:p w14:paraId="4786A598">
            <w:pPr>
              <w:pStyle w:val="12"/>
            </w:pPr>
            <w:r>
              <w:t>尧山中学改扩建宿舍楼</w:t>
            </w:r>
          </w:p>
        </w:tc>
        <w:tc>
          <w:tcPr>
            <w:tcW w:w="5386" w:type="dxa"/>
            <w:vAlign w:val="center"/>
          </w:tcPr>
          <w:p w14:paraId="208DF1BC">
            <w:pPr>
              <w:pStyle w:val="12"/>
            </w:pPr>
            <w:r>
              <w:t>改扩建宿舍楼建筑面积</w:t>
            </w:r>
          </w:p>
        </w:tc>
        <w:tc>
          <w:tcPr>
            <w:tcW w:w="2268" w:type="dxa"/>
            <w:vAlign w:val="center"/>
          </w:tcPr>
          <w:p w14:paraId="7127DC1E">
            <w:pPr>
              <w:pStyle w:val="12"/>
            </w:pPr>
            <w:r>
              <w:t>2056.44平方米</w:t>
            </w:r>
          </w:p>
        </w:tc>
        <w:tc>
          <w:tcPr>
            <w:tcW w:w="1276" w:type="dxa"/>
            <w:vAlign w:val="center"/>
          </w:tcPr>
          <w:p w14:paraId="1D0621C4">
            <w:pPr>
              <w:pStyle w:val="12"/>
            </w:pPr>
            <w:r>
              <w:t>项目规划</w:t>
            </w:r>
          </w:p>
        </w:tc>
      </w:tr>
      <w:tr w14:paraId="1A26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0BA86"/>
        </w:tc>
        <w:tc>
          <w:tcPr>
            <w:tcW w:w="2268" w:type="dxa"/>
            <w:vAlign w:val="center"/>
          </w:tcPr>
          <w:p w14:paraId="245FF842">
            <w:pPr>
              <w:pStyle w:val="12"/>
            </w:pPr>
            <w:r>
              <w:t>质量指标</w:t>
            </w:r>
          </w:p>
        </w:tc>
        <w:tc>
          <w:tcPr>
            <w:tcW w:w="2835" w:type="dxa"/>
            <w:vAlign w:val="center"/>
          </w:tcPr>
          <w:p w14:paraId="747216E2">
            <w:pPr>
              <w:pStyle w:val="12"/>
            </w:pPr>
            <w:r>
              <w:t>工程实施验收合格率</w:t>
            </w:r>
          </w:p>
        </w:tc>
        <w:tc>
          <w:tcPr>
            <w:tcW w:w="5386" w:type="dxa"/>
            <w:vAlign w:val="center"/>
          </w:tcPr>
          <w:p w14:paraId="268056DD">
            <w:pPr>
              <w:pStyle w:val="12"/>
            </w:pPr>
            <w:r>
              <w:t>申报程序的合规，项目实施及资金使用符合项目规划</w:t>
            </w:r>
          </w:p>
        </w:tc>
        <w:tc>
          <w:tcPr>
            <w:tcW w:w="2268" w:type="dxa"/>
            <w:vAlign w:val="center"/>
          </w:tcPr>
          <w:p w14:paraId="315F4211">
            <w:pPr>
              <w:pStyle w:val="12"/>
            </w:pPr>
            <w:r>
              <w:t>100%</w:t>
            </w:r>
          </w:p>
        </w:tc>
        <w:tc>
          <w:tcPr>
            <w:tcW w:w="1276" w:type="dxa"/>
            <w:vAlign w:val="center"/>
          </w:tcPr>
          <w:p w14:paraId="04E9630D">
            <w:pPr>
              <w:pStyle w:val="12"/>
            </w:pPr>
            <w:r>
              <w:t>项目规划</w:t>
            </w:r>
          </w:p>
        </w:tc>
      </w:tr>
      <w:tr w14:paraId="2F39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BE548"/>
        </w:tc>
        <w:tc>
          <w:tcPr>
            <w:tcW w:w="2268" w:type="dxa"/>
            <w:vAlign w:val="center"/>
          </w:tcPr>
          <w:p w14:paraId="7B2124D5">
            <w:pPr>
              <w:pStyle w:val="12"/>
            </w:pPr>
            <w:r>
              <w:t>时效指标</w:t>
            </w:r>
          </w:p>
        </w:tc>
        <w:tc>
          <w:tcPr>
            <w:tcW w:w="2835" w:type="dxa"/>
            <w:vAlign w:val="center"/>
          </w:tcPr>
          <w:p w14:paraId="5643B4D6">
            <w:pPr>
              <w:pStyle w:val="12"/>
            </w:pPr>
            <w:r>
              <w:t>资金支付率</w:t>
            </w:r>
          </w:p>
        </w:tc>
        <w:tc>
          <w:tcPr>
            <w:tcW w:w="5386" w:type="dxa"/>
            <w:vAlign w:val="center"/>
          </w:tcPr>
          <w:p w14:paraId="70132BEC">
            <w:pPr>
              <w:pStyle w:val="12"/>
            </w:pPr>
            <w:r>
              <w:t>按照序时进度完成资金支付</w:t>
            </w:r>
          </w:p>
        </w:tc>
        <w:tc>
          <w:tcPr>
            <w:tcW w:w="2268" w:type="dxa"/>
            <w:vAlign w:val="center"/>
          </w:tcPr>
          <w:p w14:paraId="374BBFF8">
            <w:pPr>
              <w:pStyle w:val="12"/>
            </w:pPr>
            <w:r>
              <w:t>100%</w:t>
            </w:r>
          </w:p>
        </w:tc>
        <w:tc>
          <w:tcPr>
            <w:tcW w:w="1276" w:type="dxa"/>
            <w:vAlign w:val="center"/>
          </w:tcPr>
          <w:p w14:paraId="0AC02310">
            <w:pPr>
              <w:pStyle w:val="12"/>
            </w:pPr>
            <w:r>
              <w:t>项目规划</w:t>
            </w:r>
          </w:p>
        </w:tc>
      </w:tr>
      <w:tr w14:paraId="2EEF3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65D53"/>
        </w:tc>
        <w:tc>
          <w:tcPr>
            <w:tcW w:w="2268" w:type="dxa"/>
            <w:vAlign w:val="center"/>
          </w:tcPr>
          <w:p w14:paraId="177CF16A">
            <w:pPr>
              <w:pStyle w:val="12"/>
            </w:pPr>
            <w:r>
              <w:t>成本指标</w:t>
            </w:r>
          </w:p>
        </w:tc>
        <w:tc>
          <w:tcPr>
            <w:tcW w:w="2835" w:type="dxa"/>
            <w:vAlign w:val="center"/>
          </w:tcPr>
          <w:p w14:paraId="78A8C25D">
            <w:pPr>
              <w:pStyle w:val="12"/>
            </w:pPr>
            <w:r>
              <w:t>项目成本控制情况</w:t>
            </w:r>
          </w:p>
        </w:tc>
        <w:tc>
          <w:tcPr>
            <w:tcW w:w="5386" w:type="dxa"/>
            <w:vAlign w:val="center"/>
          </w:tcPr>
          <w:p w14:paraId="16320871">
            <w:pPr>
              <w:pStyle w:val="12"/>
            </w:pPr>
            <w:r>
              <w:t>严格按照招标价格及审计额进行</w:t>
            </w:r>
          </w:p>
        </w:tc>
        <w:tc>
          <w:tcPr>
            <w:tcW w:w="2268" w:type="dxa"/>
            <w:vAlign w:val="center"/>
          </w:tcPr>
          <w:p w14:paraId="1C796A24">
            <w:pPr>
              <w:pStyle w:val="12"/>
            </w:pPr>
            <w:r>
              <w:t>761万元</w:t>
            </w:r>
          </w:p>
        </w:tc>
        <w:tc>
          <w:tcPr>
            <w:tcW w:w="1276" w:type="dxa"/>
            <w:vAlign w:val="center"/>
          </w:tcPr>
          <w:p w14:paraId="2F2FE262">
            <w:pPr>
              <w:pStyle w:val="12"/>
            </w:pPr>
            <w:r>
              <w:t>项目规划</w:t>
            </w:r>
          </w:p>
        </w:tc>
      </w:tr>
      <w:tr w14:paraId="1C7D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960D0">
            <w:pPr>
              <w:pStyle w:val="13"/>
            </w:pPr>
            <w:r>
              <w:t>效益指标</w:t>
            </w:r>
          </w:p>
        </w:tc>
        <w:tc>
          <w:tcPr>
            <w:tcW w:w="2268" w:type="dxa"/>
            <w:vAlign w:val="center"/>
          </w:tcPr>
          <w:p w14:paraId="7652508D">
            <w:pPr>
              <w:pStyle w:val="12"/>
            </w:pPr>
            <w:r>
              <w:t>可持续影响指标</w:t>
            </w:r>
          </w:p>
        </w:tc>
        <w:tc>
          <w:tcPr>
            <w:tcW w:w="2835" w:type="dxa"/>
            <w:vAlign w:val="center"/>
          </w:tcPr>
          <w:p w14:paraId="322A78DC">
            <w:pPr>
              <w:pStyle w:val="12"/>
            </w:pPr>
            <w:r>
              <w:t>学校运转得到提高</w:t>
            </w:r>
          </w:p>
        </w:tc>
        <w:tc>
          <w:tcPr>
            <w:tcW w:w="5386" w:type="dxa"/>
            <w:vAlign w:val="center"/>
          </w:tcPr>
          <w:p w14:paraId="4F7477FE">
            <w:pPr>
              <w:pStyle w:val="12"/>
            </w:pPr>
            <w:r>
              <w:t>学生受教育年限</w:t>
            </w:r>
          </w:p>
        </w:tc>
        <w:tc>
          <w:tcPr>
            <w:tcW w:w="2268" w:type="dxa"/>
            <w:vAlign w:val="center"/>
          </w:tcPr>
          <w:p w14:paraId="05C36626">
            <w:pPr>
              <w:pStyle w:val="12"/>
            </w:pPr>
            <w:r>
              <w:t>3年</w:t>
            </w:r>
          </w:p>
        </w:tc>
        <w:tc>
          <w:tcPr>
            <w:tcW w:w="1276" w:type="dxa"/>
            <w:vAlign w:val="center"/>
          </w:tcPr>
          <w:p w14:paraId="0AE6631B">
            <w:pPr>
              <w:pStyle w:val="12"/>
            </w:pPr>
            <w:r>
              <w:t>项目规划</w:t>
            </w:r>
          </w:p>
        </w:tc>
      </w:tr>
      <w:tr w14:paraId="2297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C9DEA">
            <w:pPr>
              <w:pStyle w:val="13"/>
            </w:pPr>
            <w:r>
              <w:t>满意度指标</w:t>
            </w:r>
          </w:p>
        </w:tc>
        <w:tc>
          <w:tcPr>
            <w:tcW w:w="2268" w:type="dxa"/>
            <w:vAlign w:val="center"/>
          </w:tcPr>
          <w:p w14:paraId="258632E2">
            <w:pPr>
              <w:pStyle w:val="12"/>
            </w:pPr>
            <w:r>
              <w:t>服务对象满意度指标</w:t>
            </w:r>
          </w:p>
        </w:tc>
        <w:tc>
          <w:tcPr>
            <w:tcW w:w="2835" w:type="dxa"/>
            <w:vAlign w:val="center"/>
          </w:tcPr>
          <w:p w14:paraId="566A88FC">
            <w:pPr>
              <w:pStyle w:val="12"/>
            </w:pPr>
            <w:r>
              <w:t>服务对象满意度</w:t>
            </w:r>
          </w:p>
        </w:tc>
        <w:tc>
          <w:tcPr>
            <w:tcW w:w="5386" w:type="dxa"/>
            <w:vAlign w:val="center"/>
          </w:tcPr>
          <w:p w14:paraId="6EABEB72">
            <w:pPr>
              <w:pStyle w:val="12"/>
            </w:pPr>
            <w:r>
              <w:t>学校学生教师学校工作满意度</w:t>
            </w:r>
          </w:p>
        </w:tc>
        <w:tc>
          <w:tcPr>
            <w:tcW w:w="2268" w:type="dxa"/>
            <w:vAlign w:val="center"/>
          </w:tcPr>
          <w:p w14:paraId="437A8884">
            <w:pPr>
              <w:pStyle w:val="12"/>
            </w:pPr>
            <w:r>
              <w:t>≥95%</w:t>
            </w:r>
          </w:p>
        </w:tc>
        <w:tc>
          <w:tcPr>
            <w:tcW w:w="1276" w:type="dxa"/>
            <w:vAlign w:val="center"/>
          </w:tcPr>
          <w:p w14:paraId="62C528FA">
            <w:pPr>
              <w:pStyle w:val="12"/>
            </w:pPr>
            <w:r>
              <w:t>问卷调查</w:t>
            </w:r>
          </w:p>
        </w:tc>
      </w:tr>
    </w:tbl>
    <w:p w14:paraId="1949E409">
      <w:pPr>
        <w:sectPr>
          <w:pgSz w:w="16840" w:h="11900" w:orient="landscape"/>
          <w:pgMar w:top="1361" w:right="1020" w:bottom="1134" w:left="1020" w:header="720" w:footer="720" w:gutter="0"/>
          <w:cols w:space="720" w:num="1"/>
        </w:sectPr>
      </w:pPr>
    </w:p>
    <w:p w14:paraId="23FC9D87">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4、冀财教[2025]121号/中央/2026年义教补助经费/尧山中学公用经费绩效目标表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A6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91948">
            <w:pPr>
              <w:pStyle w:val="11"/>
            </w:pPr>
            <w:r>
              <w:t>单位：万元</w:t>
            </w:r>
          </w:p>
        </w:tc>
      </w:tr>
      <w:tr w14:paraId="3B370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A4115">
            <w:pPr>
              <w:pStyle w:val="10"/>
            </w:pPr>
            <w:r>
              <w:t>项目编码</w:t>
            </w:r>
          </w:p>
        </w:tc>
        <w:tc>
          <w:tcPr>
            <w:tcW w:w="5103" w:type="dxa"/>
            <w:gridSpan w:val="2"/>
            <w:vAlign w:val="center"/>
          </w:tcPr>
          <w:p w14:paraId="36338C86">
            <w:pPr>
              <w:pStyle w:val="12"/>
            </w:pPr>
            <w:r>
              <w:t>13052526P00000410245J</w:t>
            </w:r>
          </w:p>
        </w:tc>
        <w:tc>
          <w:tcPr>
            <w:tcW w:w="2835" w:type="dxa"/>
            <w:vAlign w:val="center"/>
          </w:tcPr>
          <w:p w14:paraId="33B59BFA">
            <w:pPr>
              <w:pStyle w:val="10"/>
            </w:pPr>
            <w:r>
              <w:t>项目名称</w:t>
            </w:r>
          </w:p>
        </w:tc>
        <w:tc>
          <w:tcPr>
            <w:tcW w:w="6095" w:type="dxa"/>
            <w:gridSpan w:val="3"/>
            <w:vAlign w:val="center"/>
          </w:tcPr>
          <w:p w14:paraId="0ECBB878">
            <w:pPr>
              <w:pStyle w:val="12"/>
            </w:pPr>
            <w:r>
              <w:t>冀财教[2025]121号/中央/2026年义教补助经费/尧山中学公用经费</w:t>
            </w:r>
          </w:p>
        </w:tc>
      </w:tr>
      <w:tr w14:paraId="798B4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B9F2B">
            <w:pPr>
              <w:pStyle w:val="10"/>
            </w:pPr>
            <w:r>
              <w:t>预算规模及资金用途</w:t>
            </w:r>
          </w:p>
        </w:tc>
        <w:tc>
          <w:tcPr>
            <w:tcW w:w="2268" w:type="dxa"/>
            <w:vAlign w:val="center"/>
          </w:tcPr>
          <w:p w14:paraId="4ADBF908">
            <w:pPr>
              <w:pStyle w:val="10"/>
            </w:pPr>
            <w:r>
              <w:t>预算数</w:t>
            </w:r>
          </w:p>
        </w:tc>
        <w:tc>
          <w:tcPr>
            <w:tcW w:w="2835" w:type="dxa"/>
            <w:vAlign w:val="center"/>
          </w:tcPr>
          <w:p w14:paraId="2F867F9E">
            <w:pPr>
              <w:pStyle w:val="12"/>
            </w:pPr>
            <w:r>
              <w:t>311.44</w:t>
            </w:r>
          </w:p>
        </w:tc>
        <w:tc>
          <w:tcPr>
            <w:tcW w:w="2835" w:type="dxa"/>
            <w:vAlign w:val="center"/>
          </w:tcPr>
          <w:p w14:paraId="5F2CA0DC">
            <w:pPr>
              <w:pStyle w:val="10"/>
            </w:pPr>
            <w:r>
              <w:t>其中：财政    资金</w:t>
            </w:r>
          </w:p>
        </w:tc>
        <w:tc>
          <w:tcPr>
            <w:tcW w:w="2551" w:type="dxa"/>
            <w:vAlign w:val="center"/>
          </w:tcPr>
          <w:p w14:paraId="36058156">
            <w:pPr>
              <w:pStyle w:val="12"/>
            </w:pPr>
            <w:r>
              <w:t>311.44</w:t>
            </w:r>
          </w:p>
        </w:tc>
        <w:tc>
          <w:tcPr>
            <w:tcW w:w="2268" w:type="dxa"/>
            <w:vAlign w:val="center"/>
          </w:tcPr>
          <w:p w14:paraId="14A0D93A">
            <w:pPr>
              <w:pStyle w:val="10"/>
            </w:pPr>
            <w:r>
              <w:t>其他资金</w:t>
            </w:r>
          </w:p>
        </w:tc>
        <w:tc>
          <w:tcPr>
            <w:tcW w:w="1276" w:type="dxa"/>
            <w:vAlign w:val="center"/>
          </w:tcPr>
          <w:p w14:paraId="307A64DE">
            <w:pPr>
              <w:pStyle w:val="12"/>
            </w:pPr>
            <w:r>
              <w:t xml:space="preserve"> </w:t>
            </w:r>
          </w:p>
        </w:tc>
      </w:tr>
      <w:tr w14:paraId="6E7A6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0A488"/>
        </w:tc>
        <w:tc>
          <w:tcPr>
            <w:tcW w:w="14033" w:type="dxa"/>
            <w:gridSpan w:val="6"/>
            <w:vAlign w:val="center"/>
          </w:tcPr>
          <w:p w14:paraId="32F49425">
            <w:pPr>
              <w:pStyle w:val="12"/>
            </w:pPr>
            <w:r>
              <w:t>保障义务教育阶段教学秩序的正常运转，</w:t>
            </w:r>
            <w:r>
              <w:rPr>
                <w:rFonts w:hint="eastAsia"/>
                <w:lang w:eastAsia="zh-CN"/>
              </w:rPr>
              <w:t>保障</w:t>
            </w:r>
            <w:r>
              <w:t>教学经费正常支出。</w:t>
            </w:r>
          </w:p>
        </w:tc>
      </w:tr>
      <w:tr w14:paraId="0223F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DAE49">
            <w:pPr>
              <w:pStyle w:val="10"/>
            </w:pPr>
            <w:r>
              <w:t>资金支出计划（%）</w:t>
            </w:r>
          </w:p>
        </w:tc>
        <w:tc>
          <w:tcPr>
            <w:tcW w:w="5103" w:type="dxa"/>
            <w:gridSpan w:val="2"/>
            <w:vAlign w:val="center"/>
          </w:tcPr>
          <w:p w14:paraId="5F411066">
            <w:pPr>
              <w:pStyle w:val="10"/>
            </w:pPr>
            <w:r>
              <w:t>3月底</w:t>
            </w:r>
          </w:p>
        </w:tc>
        <w:tc>
          <w:tcPr>
            <w:tcW w:w="2835" w:type="dxa"/>
            <w:vAlign w:val="center"/>
          </w:tcPr>
          <w:p w14:paraId="34223A03">
            <w:pPr>
              <w:pStyle w:val="10"/>
            </w:pPr>
            <w:r>
              <w:t>6月底</w:t>
            </w:r>
          </w:p>
        </w:tc>
        <w:tc>
          <w:tcPr>
            <w:tcW w:w="2551" w:type="dxa"/>
            <w:vAlign w:val="center"/>
          </w:tcPr>
          <w:p w14:paraId="2A59BEDE">
            <w:pPr>
              <w:pStyle w:val="10"/>
            </w:pPr>
            <w:r>
              <w:t>10月底</w:t>
            </w:r>
          </w:p>
        </w:tc>
        <w:tc>
          <w:tcPr>
            <w:tcW w:w="3544" w:type="dxa"/>
            <w:gridSpan w:val="2"/>
            <w:vAlign w:val="center"/>
          </w:tcPr>
          <w:p w14:paraId="327E6BB6">
            <w:pPr>
              <w:pStyle w:val="10"/>
            </w:pPr>
            <w:r>
              <w:t>12月底</w:t>
            </w:r>
          </w:p>
        </w:tc>
      </w:tr>
      <w:tr w14:paraId="025C3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1FF6B"/>
        </w:tc>
        <w:tc>
          <w:tcPr>
            <w:tcW w:w="5103" w:type="dxa"/>
            <w:gridSpan w:val="2"/>
            <w:vAlign w:val="center"/>
          </w:tcPr>
          <w:p w14:paraId="22E1F594">
            <w:pPr>
              <w:pStyle w:val="13"/>
            </w:pPr>
            <w:r>
              <w:t>25%</w:t>
            </w:r>
          </w:p>
        </w:tc>
        <w:tc>
          <w:tcPr>
            <w:tcW w:w="2835" w:type="dxa"/>
            <w:vAlign w:val="center"/>
          </w:tcPr>
          <w:p w14:paraId="5CFF5353">
            <w:pPr>
              <w:pStyle w:val="13"/>
            </w:pPr>
            <w:r>
              <w:t>50%</w:t>
            </w:r>
          </w:p>
        </w:tc>
        <w:tc>
          <w:tcPr>
            <w:tcW w:w="2551" w:type="dxa"/>
            <w:vAlign w:val="center"/>
          </w:tcPr>
          <w:p w14:paraId="3935C63C">
            <w:pPr>
              <w:pStyle w:val="13"/>
            </w:pPr>
            <w:r>
              <w:t>75%</w:t>
            </w:r>
          </w:p>
        </w:tc>
        <w:tc>
          <w:tcPr>
            <w:tcW w:w="3544" w:type="dxa"/>
            <w:gridSpan w:val="2"/>
            <w:vAlign w:val="center"/>
          </w:tcPr>
          <w:p w14:paraId="07D95E9E">
            <w:pPr>
              <w:pStyle w:val="13"/>
            </w:pPr>
            <w:r>
              <w:t>100%</w:t>
            </w:r>
          </w:p>
        </w:tc>
      </w:tr>
      <w:tr w14:paraId="24116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F9C83">
            <w:pPr>
              <w:pStyle w:val="10"/>
            </w:pPr>
            <w:r>
              <w:t>绩效目标</w:t>
            </w:r>
          </w:p>
        </w:tc>
        <w:tc>
          <w:tcPr>
            <w:tcW w:w="14033" w:type="dxa"/>
            <w:gridSpan w:val="6"/>
            <w:vAlign w:val="center"/>
          </w:tcPr>
          <w:p w14:paraId="6D921956">
            <w:pPr>
              <w:pStyle w:val="12"/>
            </w:pPr>
            <w:r>
              <w:t>1.保障义务教育阶段教学秩序的正常运转，</w:t>
            </w:r>
            <w:r>
              <w:rPr>
                <w:rFonts w:hint="eastAsia"/>
                <w:lang w:eastAsia="zh-CN"/>
              </w:rPr>
              <w:t>保障</w:t>
            </w:r>
            <w:r>
              <w:t>教学经费正常支出。</w:t>
            </w:r>
            <w:r>
              <w:tab/>
            </w:r>
            <w:r>
              <w:tab/>
            </w:r>
            <w:r>
              <w:tab/>
            </w:r>
          </w:p>
          <w:p w14:paraId="571F6E52">
            <w:pPr>
              <w:pStyle w:val="12"/>
            </w:pPr>
          </w:p>
          <w:p w14:paraId="10510115">
            <w:pPr>
              <w:pStyle w:val="12"/>
            </w:pPr>
            <w:r>
              <w:t>2.按季度分批次拨付公用经费资金3114400元，资金拨付率达到100%。</w:t>
            </w:r>
          </w:p>
        </w:tc>
      </w:tr>
    </w:tbl>
    <w:p w14:paraId="04732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B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53277">
            <w:pPr>
              <w:pStyle w:val="10"/>
            </w:pPr>
            <w:r>
              <w:t>一级指标</w:t>
            </w:r>
          </w:p>
        </w:tc>
        <w:tc>
          <w:tcPr>
            <w:tcW w:w="2268" w:type="dxa"/>
            <w:vAlign w:val="center"/>
          </w:tcPr>
          <w:p w14:paraId="168FAD4F">
            <w:pPr>
              <w:pStyle w:val="10"/>
            </w:pPr>
            <w:r>
              <w:t>二级指标</w:t>
            </w:r>
          </w:p>
        </w:tc>
        <w:tc>
          <w:tcPr>
            <w:tcW w:w="2835" w:type="dxa"/>
            <w:vAlign w:val="center"/>
          </w:tcPr>
          <w:p w14:paraId="38968863">
            <w:pPr>
              <w:pStyle w:val="10"/>
            </w:pPr>
            <w:r>
              <w:t>三级指标</w:t>
            </w:r>
          </w:p>
        </w:tc>
        <w:tc>
          <w:tcPr>
            <w:tcW w:w="5386" w:type="dxa"/>
            <w:vAlign w:val="center"/>
          </w:tcPr>
          <w:p w14:paraId="66AF4BEF">
            <w:pPr>
              <w:pStyle w:val="10"/>
            </w:pPr>
            <w:r>
              <w:t>绩效指标描述</w:t>
            </w:r>
          </w:p>
        </w:tc>
        <w:tc>
          <w:tcPr>
            <w:tcW w:w="2268" w:type="dxa"/>
            <w:vAlign w:val="center"/>
          </w:tcPr>
          <w:p w14:paraId="03860E71">
            <w:pPr>
              <w:pStyle w:val="10"/>
            </w:pPr>
            <w:r>
              <w:t>指标值</w:t>
            </w:r>
          </w:p>
        </w:tc>
        <w:tc>
          <w:tcPr>
            <w:tcW w:w="1276" w:type="dxa"/>
            <w:vAlign w:val="center"/>
          </w:tcPr>
          <w:p w14:paraId="2015A4BF">
            <w:pPr>
              <w:pStyle w:val="10"/>
            </w:pPr>
            <w:r>
              <w:t>指标值确定依据</w:t>
            </w:r>
          </w:p>
        </w:tc>
      </w:tr>
      <w:tr w14:paraId="2256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55C80">
            <w:pPr>
              <w:pStyle w:val="13"/>
            </w:pPr>
            <w:r>
              <w:t>产出指标</w:t>
            </w:r>
          </w:p>
        </w:tc>
        <w:tc>
          <w:tcPr>
            <w:tcW w:w="2268" w:type="dxa"/>
            <w:vAlign w:val="center"/>
          </w:tcPr>
          <w:p w14:paraId="59120BD9">
            <w:pPr>
              <w:pStyle w:val="12"/>
            </w:pPr>
            <w:r>
              <w:t>数量指标</w:t>
            </w:r>
          </w:p>
        </w:tc>
        <w:tc>
          <w:tcPr>
            <w:tcW w:w="2835" w:type="dxa"/>
            <w:vAlign w:val="center"/>
          </w:tcPr>
          <w:p w14:paraId="0DF2C8C5">
            <w:pPr>
              <w:pStyle w:val="12"/>
            </w:pPr>
            <w:r>
              <w:t>就读学生数</w:t>
            </w:r>
          </w:p>
        </w:tc>
        <w:tc>
          <w:tcPr>
            <w:tcW w:w="5386" w:type="dxa"/>
            <w:vAlign w:val="center"/>
          </w:tcPr>
          <w:p w14:paraId="60C735DF">
            <w:pPr>
              <w:pStyle w:val="12"/>
            </w:pPr>
            <w:r>
              <w:t>辐射区域内适龄学生人数</w:t>
            </w:r>
          </w:p>
        </w:tc>
        <w:tc>
          <w:tcPr>
            <w:tcW w:w="2268" w:type="dxa"/>
            <w:vAlign w:val="center"/>
          </w:tcPr>
          <w:p w14:paraId="46A3518E">
            <w:pPr>
              <w:pStyle w:val="12"/>
            </w:pPr>
            <w:r>
              <w:t>3737人</w:t>
            </w:r>
          </w:p>
        </w:tc>
        <w:tc>
          <w:tcPr>
            <w:tcW w:w="1276" w:type="dxa"/>
            <w:vAlign w:val="center"/>
          </w:tcPr>
          <w:p w14:paraId="39E807FB">
            <w:pPr>
              <w:pStyle w:val="12"/>
            </w:pPr>
            <w:r>
              <w:t>城乡义务教育公用经费管理办法</w:t>
            </w:r>
          </w:p>
        </w:tc>
      </w:tr>
      <w:tr w14:paraId="0F90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3D265"/>
        </w:tc>
        <w:tc>
          <w:tcPr>
            <w:tcW w:w="2268" w:type="dxa"/>
            <w:vAlign w:val="center"/>
          </w:tcPr>
          <w:p w14:paraId="3DEB52DD">
            <w:pPr>
              <w:pStyle w:val="12"/>
            </w:pPr>
            <w:r>
              <w:t>质量指标</w:t>
            </w:r>
          </w:p>
        </w:tc>
        <w:tc>
          <w:tcPr>
            <w:tcW w:w="2835" w:type="dxa"/>
            <w:vAlign w:val="center"/>
          </w:tcPr>
          <w:p w14:paraId="75EDCF7C">
            <w:pPr>
              <w:pStyle w:val="12"/>
            </w:pPr>
            <w:r>
              <w:t>预算控制率</w:t>
            </w:r>
          </w:p>
          <w:p w14:paraId="7ED01145">
            <w:pPr>
              <w:pStyle w:val="12"/>
            </w:pPr>
          </w:p>
        </w:tc>
        <w:tc>
          <w:tcPr>
            <w:tcW w:w="5386" w:type="dxa"/>
            <w:vAlign w:val="center"/>
          </w:tcPr>
          <w:p w14:paraId="693CD9BA">
            <w:pPr>
              <w:pStyle w:val="12"/>
            </w:pPr>
            <w:r>
              <w:t>预算执行率</w:t>
            </w:r>
          </w:p>
        </w:tc>
        <w:tc>
          <w:tcPr>
            <w:tcW w:w="2268" w:type="dxa"/>
            <w:vAlign w:val="center"/>
          </w:tcPr>
          <w:p w14:paraId="129BBF72">
            <w:pPr>
              <w:pStyle w:val="12"/>
            </w:pPr>
            <w:r>
              <w:t>≥95%</w:t>
            </w:r>
          </w:p>
        </w:tc>
        <w:tc>
          <w:tcPr>
            <w:tcW w:w="1276" w:type="dxa"/>
            <w:vAlign w:val="center"/>
          </w:tcPr>
          <w:p w14:paraId="415A719A">
            <w:pPr>
              <w:pStyle w:val="12"/>
            </w:pPr>
            <w:r>
              <w:t>城乡义务教育公用经费管理办法</w:t>
            </w:r>
          </w:p>
        </w:tc>
      </w:tr>
      <w:tr w14:paraId="063F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C2488"/>
        </w:tc>
        <w:tc>
          <w:tcPr>
            <w:tcW w:w="2268" w:type="dxa"/>
            <w:vAlign w:val="center"/>
          </w:tcPr>
          <w:p w14:paraId="5A2DC7A1">
            <w:pPr>
              <w:pStyle w:val="12"/>
            </w:pPr>
            <w:r>
              <w:t>时效指标</w:t>
            </w:r>
          </w:p>
        </w:tc>
        <w:tc>
          <w:tcPr>
            <w:tcW w:w="2835" w:type="dxa"/>
            <w:vAlign w:val="center"/>
          </w:tcPr>
          <w:p w14:paraId="01FBCC85">
            <w:pPr>
              <w:pStyle w:val="12"/>
            </w:pPr>
            <w:r>
              <w:t>支付及时率</w:t>
            </w:r>
          </w:p>
        </w:tc>
        <w:tc>
          <w:tcPr>
            <w:tcW w:w="5386" w:type="dxa"/>
            <w:vAlign w:val="center"/>
          </w:tcPr>
          <w:p w14:paraId="7A39C4AD">
            <w:pPr>
              <w:pStyle w:val="12"/>
            </w:pPr>
            <w:r>
              <w:t>按照实际支出完成支付</w:t>
            </w:r>
          </w:p>
        </w:tc>
        <w:tc>
          <w:tcPr>
            <w:tcW w:w="2268" w:type="dxa"/>
            <w:vAlign w:val="center"/>
          </w:tcPr>
          <w:p w14:paraId="7B8F3EB8">
            <w:pPr>
              <w:pStyle w:val="12"/>
            </w:pPr>
            <w:r>
              <w:t>100%</w:t>
            </w:r>
          </w:p>
        </w:tc>
        <w:tc>
          <w:tcPr>
            <w:tcW w:w="1276" w:type="dxa"/>
            <w:vAlign w:val="center"/>
          </w:tcPr>
          <w:p w14:paraId="61EC1E67">
            <w:pPr>
              <w:pStyle w:val="12"/>
            </w:pPr>
            <w:r>
              <w:t>城乡义务教育公用经费管理办法</w:t>
            </w:r>
          </w:p>
        </w:tc>
      </w:tr>
      <w:tr w14:paraId="3948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42F7C"/>
        </w:tc>
        <w:tc>
          <w:tcPr>
            <w:tcW w:w="2268" w:type="dxa"/>
            <w:vAlign w:val="center"/>
          </w:tcPr>
          <w:p w14:paraId="3EEF1848">
            <w:pPr>
              <w:pStyle w:val="12"/>
            </w:pPr>
            <w:r>
              <w:t>成本指标</w:t>
            </w:r>
          </w:p>
        </w:tc>
        <w:tc>
          <w:tcPr>
            <w:tcW w:w="2835" w:type="dxa"/>
            <w:vAlign w:val="center"/>
          </w:tcPr>
          <w:p w14:paraId="53B58ADC">
            <w:pPr>
              <w:pStyle w:val="12"/>
            </w:pPr>
            <w:r>
              <w:t>支出标准</w:t>
            </w:r>
          </w:p>
        </w:tc>
        <w:tc>
          <w:tcPr>
            <w:tcW w:w="5386" w:type="dxa"/>
            <w:vAlign w:val="center"/>
          </w:tcPr>
          <w:p w14:paraId="764C5005">
            <w:pPr>
              <w:pStyle w:val="12"/>
            </w:pPr>
            <w:r>
              <w:t>初中生公用经费基准额为1060元/年/生，住宿生补助300元/年/生的标准。</w:t>
            </w:r>
          </w:p>
        </w:tc>
        <w:tc>
          <w:tcPr>
            <w:tcW w:w="2268" w:type="dxa"/>
            <w:vAlign w:val="center"/>
          </w:tcPr>
          <w:p w14:paraId="3B640FBC">
            <w:pPr>
              <w:pStyle w:val="12"/>
            </w:pPr>
            <w:r>
              <w:t>1360元/人</w:t>
            </w:r>
          </w:p>
        </w:tc>
        <w:tc>
          <w:tcPr>
            <w:tcW w:w="1276" w:type="dxa"/>
            <w:vAlign w:val="center"/>
          </w:tcPr>
          <w:p w14:paraId="1AB8A479">
            <w:pPr>
              <w:pStyle w:val="12"/>
            </w:pPr>
            <w:r>
              <w:t>城乡义务教育公用经费管理办法</w:t>
            </w:r>
          </w:p>
        </w:tc>
      </w:tr>
      <w:tr w14:paraId="6C9E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0BCB5"/>
        </w:tc>
        <w:tc>
          <w:tcPr>
            <w:tcW w:w="2268" w:type="dxa"/>
            <w:vAlign w:val="center"/>
          </w:tcPr>
          <w:p w14:paraId="776F9969">
            <w:pPr>
              <w:pStyle w:val="12"/>
            </w:pPr>
            <w:r>
              <w:t>成本指标</w:t>
            </w:r>
          </w:p>
        </w:tc>
        <w:tc>
          <w:tcPr>
            <w:tcW w:w="2835" w:type="dxa"/>
            <w:vAlign w:val="center"/>
          </w:tcPr>
          <w:p w14:paraId="258D22AB">
            <w:pPr>
              <w:pStyle w:val="12"/>
            </w:pPr>
            <w:r>
              <w:t>生均拨款标准</w:t>
            </w:r>
          </w:p>
        </w:tc>
        <w:tc>
          <w:tcPr>
            <w:tcW w:w="5386" w:type="dxa"/>
            <w:vAlign w:val="center"/>
          </w:tcPr>
          <w:p w14:paraId="1B7CBE63">
            <w:pPr>
              <w:pStyle w:val="12"/>
            </w:pPr>
            <w:r>
              <w:t>初中生随班就读学生补助标准为7000元/年/生。</w:t>
            </w:r>
          </w:p>
        </w:tc>
        <w:tc>
          <w:tcPr>
            <w:tcW w:w="2268" w:type="dxa"/>
            <w:vAlign w:val="center"/>
          </w:tcPr>
          <w:p w14:paraId="769CEEB1">
            <w:pPr>
              <w:pStyle w:val="12"/>
            </w:pPr>
            <w:r>
              <w:t>7000元</w:t>
            </w:r>
          </w:p>
        </w:tc>
        <w:tc>
          <w:tcPr>
            <w:tcW w:w="1276" w:type="dxa"/>
            <w:vAlign w:val="center"/>
          </w:tcPr>
          <w:p w14:paraId="1CDB1D68">
            <w:pPr>
              <w:pStyle w:val="12"/>
            </w:pPr>
            <w:r>
              <w:t>城乡义务教育公用经费管理办法</w:t>
            </w:r>
          </w:p>
        </w:tc>
      </w:tr>
      <w:tr w14:paraId="43BE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B7120">
            <w:pPr>
              <w:pStyle w:val="13"/>
            </w:pPr>
            <w:r>
              <w:t>效益指标</w:t>
            </w:r>
          </w:p>
        </w:tc>
        <w:tc>
          <w:tcPr>
            <w:tcW w:w="2268" w:type="dxa"/>
            <w:vAlign w:val="center"/>
          </w:tcPr>
          <w:p w14:paraId="1FDD3830">
            <w:pPr>
              <w:pStyle w:val="12"/>
            </w:pPr>
            <w:r>
              <w:t>可持续影响指标</w:t>
            </w:r>
          </w:p>
        </w:tc>
        <w:tc>
          <w:tcPr>
            <w:tcW w:w="2835" w:type="dxa"/>
            <w:vAlign w:val="center"/>
          </w:tcPr>
          <w:p w14:paraId="7FC3BE57">
            <w:pPr>
              <w:pStyle w:val="12"/>
            </w:pPr>
            <w:r>
              <w:t>学校日常运转正常</w:t>
            </w:r>
          </w:p>
        </w:tc>
        <w:tc>
          <w:tcPr>
            <w:tcW w:w="5386" w:type="dxa"/>
            <w:vAlign w:val="center"/>
          </w:tcPr>
          <w:p w14:paraId="16D2F221">
            <w:pPr>
              <w:pStyle w:val="12"/>
            </w:pPr>
            <w:r>
              <w:t>学生受教育年限</w:t>
            </w:r>
          </w:p>
        </w:tc>
        <w:tc>
          <w:tcPr>
            <w:tcW w:w="2268" w:type="dxa"/>
            <w:vAlign w:val="center"/>
          </w:tcPr>
          <w:p w14:paraId="1E7BA815">
            <w:pPr>
              <w:pStyle w:val="12"/>
            </w:pPr>
            <w:r>
              <w:t>3年</w:t>
            </w:r>
          </w:p>
        </w:tc>
        <w:tc>
          <w:tcPr>
            <w:tcW w:w="1276" w:type="dxa"/>
            <w:vAlign w:val="center"/>
          </w:tcPr>
          <w:p w14:paraId="003B15F9">
            <w:pPr>
              <w:pStyle w:val="12"/>
            </w:pPr>
            <w:r>
              <w:t>城乡义务教育公用经费管理办法</w:t>
            </w:r>
          </w:p>
        </w:tc>
      </w:tr>
      <w:tr w14:paraId="37A6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5A668">
            <w:pPr>
              <w:pStyle w:val="13"/>
            </w:pPr>
            <w:r>
              <w:t>满意度指标</w:t>
            </w:r>
          </w:p>
        </w:tc>
        <w:tc>
          <w:tcPr>
            <w:tcW w:w="2268" w:type="dxa"/>
            <w:vAlign w:val="center"/>
          </w:tcPr>
          <w:p w14:paraId="144901BA">
            <w:pPr>
              <w:pStyle w:val="12"/>
            </w:pPr>
            <w:r>
              <w:t>服务对象满意度指标</w:t>
            </w:r>
          </w:p>
        </w:tc>
        <w:tc>
          <w:tcPr>
            <w:tcW w:w="2835" w:type="dxa"/>
            <w:vAlign w:val="center"/>
          </w:tcPr>
          <w:p w14:paraId="3B1E26B2">
            <w:pPr>
              <w:pStyle w:val="12"/>
            </w:pPr>
            <w:r>
              <w:t>群众满意度</w:t>
            </w:r>
          </w:p>
        </w:tc>
        <w:tc>
          <w:tcPr>
            <w:tcW w:w="5386" w:type="dxa"/>
            <w:vAlign w:val="center"/>
          </w:tcPr>
          <w:p w14:paraId="7D6C14BB">
            <w:pPr>
              <w:pStyle w:val="12"/>
            </w:pPr>
            <w:r>
              <w:t>群众对教育的满意度</w:t>
            </w:r>
          </w:p>
        </w:tc>
        <w:tc>
          <w:tcPr>
            <w:tcW w:w="2268" w:type="dxa"/>
            <w:vAlign w:val="center"/>
          </w:tcPr>
          <w:p w14:paraId="1CA3C1F3">
            <w:pPr>
              <w:pStyle w:val="12"/>
            </w:pPr>
            <w:r>
              <w:t>≥98%</w:t>
            </w:r>
          </w:p>
        </w:tc>
        <w:tc>
          <w:tcPr>
            <w:tcW w:w="1276" w:type="dxa"/>
            <w:vAlign w:val="center"/>
          </w:tcPr>
          <w:p w14:paraId="59CBC291">
            <w:pPr>
              <w:pStyle w:val="12"/>
            </w:pPr>
            <w:r>
              <w:t>调查问卷</w:t>
            </w:r>
          </w:p>
        </w:tc>
      </w:tr>
    </w:tbl>
    <w:p w14:paraId="7C8690EF">
      <w:pPr>
        <w:sectPr>
          <w:pgSz w:w="16840" w:h="11900" w:orient="landscape"/>
          <w:pgMar w:top="1361" w:right="1020" w:bottom="1134" w:left="1020" w:header="720" w:footer="720" w:gutter="0"/>
          <w:cols w:space="720" w:num="1"/>
        </w:sectPr>
      </w:pPr>
    </w:p>
    <w:p w14:paraId="36CC7A5E">
      <w:pPr>
        <w:spacing w:before="0" w:after="0"/>
        <w:ind w:firstLine="560"/>
        <w:jc w:val="left"/>
        <w:outlineLvl w:val="9"/>
      </w:pPr>
      <w:r>
        <w:rPr>
          <w:rFonts w:ascii="方正仿宋_GBK" w:hAnsi="方正仿宋_GBK" w:eastAsia="方正仿宋_GBK" w:cs="方正仿宋_GBK"/>
          <w:b/>
          <w:color w:val="000000"/>
          <w:sz w:val="28"/>
        </w:rPr>
        <w:t>5、冀财教[2025]147号/省级/2026年义教补助经费/尧山中学公用经费绩效目标表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EC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291FB">
            <w:pPr>
              <w:pStyle w:val="11"/>
            </w:pPr>
            <w:r>
              <w:t>单位：万元</w:t>
            </w:r>
          </w:p>
        </w:tc>
      </w:tr>
      <w:tr w14:paraId="6ED01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DC545">
            <w:pPr>
              <w:pStyle w:val="10"/>
            </w:pPr>
            <w:r>
              <w:t>项目编码</w:t>
            </w:r>
          </w:p>
        </w:tc>
        <w:tc>
          <w:tcPr>
            <w:tcW w:w="5103" w:type="dxa"/>
            <w:gridSpan w:val="2"/>
            <w:vAlign w:val="center"/>
          </w:tcPr>
          <w:p w14:paraId="641EB7B2">
            <w:pPr>
              <w:pStyle w:val="12"/>
            </w:pPr>
            <w:r>
              <w:t>13052526P000004103202</w:t>
            </w:r>
          </w:p>
        </w:tc>
        <w:tc>
          <w:tcPr>
            <w:tcW w:w="2835" w:type="dxa"/>
            <w:vAlign w:val="center"/>
          </w:tcPr>
          <w:p w14:paraId="3E0FC84B">
            <w:pPr>
              <w:pStyle w:val="10"/>
            </w:pPr>
            <w:r>
              <w:t>项目名称</w:t>
            </w:r>
          </w:p>
        </w:tc>
        <w:tc>
          <w:tcPr>
            <w:tcW w:w="6095" w:type="dxa"/>
            <w:gridSpan w:val="3"/>
            <w:vAlign w:val="center"/>
          </w:tcPr>
          <w:p w14:paraId="2C916A90">
            <w:pPr>
              <w:pStyle w:val="12"/>
            </w:pPr>
            <w:r>
              <w:t>冀财教[2025]147号/省级/2026年义教补助经费/尧山中学公用经费</w:t>
            </w:r>
          </w:p>
        </w:tc>
      </w:tr>
      <w:tr w14:paraId="7BDD6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ABD57">
            <w:pPr>
              <w:pStyle w:val="10"/>
            </w:pPr>
            <w:r>
              <w:t>预算规模及资金用途</w:t>
            </w:r>
          </w:p>
        </w:tc>
        <w:tc>
          <w:tcPr>
            <w:tcW w:w="2268" w:type="dxa"/>
            <w:vAlign w:val="center"/>
          </w:tcPr>
          <w:p w14:paraId="3A48C110">
            <w:pPr>
              <w:pStyle w:val="10"/>
            </w:pPr>
            <w:r>
              <w:t>预算数</w:t>
            </w:r>
          </w:p>
        </w:tc>
        <w:tc>
          <w:tcPr>
            <w:tcW w:w="2835" w:type="dxa"/>
            <w:vAlign w:val="center"/>
          </w:tcPr>
          <w:p w14:paraId="7C9AC40E">
            <w:pPr>
              <w:pStyle w:val="12"/>
            </w:pPr>
            <w:r>
              <w:t>165.26</w:t>
            </w:r>
          </w:p>
        </w:tc>
        <w:tc>
          <w:tcPr>
            <w:tcW w:w="2835" w:type="dxa"/>
            <w:vAlign w:val="center"/>
          </w:tcPr>
          <w:p w14:paraId="5142FB3B">
            <w:pPr>
              <w:pStyle w:val="10"/>
            </w:pPr>
            <w:r>
              <w:t>其中：财政    资金</w:t>
            </w:r>
          </w:p>
        </w:tc>
        <w:tc>
          <w:tcPr>
            <w:tcW w:w="2551" w:type="dxa"/>
            <w:vAlign w:val="center"/>
          </w:tcPr>
          <w:p w14:paraId="3880C1DD">
            <w:pPr>
              <w:pStyle w:val="12"/>
            </w:pPr>
            <w:r>
              <w:t>165.26</w:t>
            </w:r>
          </w:p>
        </w:tc>
        <w:tc>
          <w:tcPr>
            <w:tcW w:w="2268" w:type="dxa"/>
            <w:vAlign w:val="center"/>
          </w:tcPr>
          <w:p w14:paraId="3A7D2E1A">
            <w:pPr>
              <w:pStyle w:val="10"/>
            </w:pPr>
            <w:r>
              <w:t>其他资金</w:t>
            </w:r>
          </w:p>
        </w:tc>
        <w:tc>
          <w:tcPr>
            <w:tcW w:w="1276" w:type="dxa"/>
            <w:vAlign w:val="center"/>
          </w:tcPr>
          <w:p w14:paraId="0933F02B">
            <w:pPr>
              <w:pStyle w:val="12"/>
            </w:pPr>
            <w:r>
              <w:t xml:space="preserve"> </w:t>
            </w:r>
          </w:p>
        </w:tc>
      </w:tr>
      <w:tr w14:paraId="3D3DF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B6650"/>
        </w:tc>
        <w:tc>
          <w:tcPr>
            <w:tcW w:w="14033" w:type="dxa"/>
            <w:gridSpan w:val="6"/>
            <w:vAlign w:val="center"/>
          </w:tcPr>
          <w:p w14:paraId="60AD8E5C">
            <w:pPr>
              <w:pStyle w:val="12"/>
            </w:pPr>
            <w:r>
              <w:t>保障义务教育阶段教学秩序的正常运转，</w:t>
            </w:r>
            <w:r>
              <w:rPr>
                <w:rFonts w:hint="eastAsia"/>
                <w:lang w:eastAsia="zh-CN"/>
              </w:rPr>
              <w:t>保障</w:t>
            </w:r>
            <w:r>
              <w:t>教学经费正常支出。</w:t>
            </w:r>
            <w:r>
              <w:tab/>
            </w:r>
          </w:p>
          <w:p w14:paraId="1139A178">
            <w:pPr>
              <w:pStyle w:val="12"/>
            </w:pPr>
          </w:p>
        </w:tc>
      </w:tr>
      <w:tr w14:paraId="277F9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9E888">
            <w:pPr>
              <w:pStyle w:val="10"/>
            </w:pPr>
            <w:r>
              <w:t>资金支出计划（%）</w:t>
            </w:r>
          </w:p>
        </w:tc>
        <w:tc>
          <w:tcPr>
            <w:tcW w:w="5103" w:type="dxa"/>
            <w:gridSpan w:val="2"/>
            <w:vAlign w:val="center"/>
          </w:tcPr>
          <w:p w14:paraId="5525BD85">
            <w:pPr>
              <w:pStyle w:val="10"/>
            </w:pPr>
            <w:r>
              <w:t>3月底</w:t>
            </w:r>
          </w:p>
        </w:tc>
        <w:tc>
          <w:tcPr>
            <w:tcW w:w="2835" w:type="dxa"/>
            <w:vAlign w:val="center"/>
          </w:tcPr>
          <w:p w14:paraId="7CD16A3B">
            <w:pPr>
              <w:pStyle w:val="10"/>
            </w:pPr>
            <w:r>
              <w:t>6月底</w:t>
            </w:r>
          </w:p>
        </w:tc>
        <w:tc>
          <w:tcPr>
            <w:tcW w:w="2551" w:type="dxa"/>
            <w:vAlign w:val="center"/>
          </w:tcPr>
          <w:p w14:paraId="19B159FA">
            <w:pPr>
              <w:pStyle w:val="10"/>
            </w:pPr>
            <w:r>
              <w:t>10月底</w:t>
            </w:r>
          </w:p>
        </w:tc>
        <w:tc>
          <w:tcPr>
            <w:tcW w:w="3544" w:type="dxa"/>
            <w:gridSpan w:val="2"/>
            <w:vAlign w:val="center"/>
          </w:tcPr>
          <w:p w14:paraId="214A6F32">
            <w:pPr>
              <w:pStyle w:val="10"/>
            </w:pPr>
            <w:r>
              <w:t>12月底</w:t>
            </w:r>
          </w:p>
        </w:tc>
      </w:tr>
      <w:tr w14:paraId="2F9DB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EE40F"/>
        </w:tc>
        <w:tc>
          <w:tcPr>
            <w:tcW w:w="5103" w:type="dxa"/>
            <w:gridSpan w:val="2"/>
            <w:vAlign w:val="center"/>
          </w:tcPr>
          <w:p w14:paraId="461F5D3E">
            <w:pPr>
              <w:pStyle w:val="13"/>
            </w:pPr>
            <w:r>
              <w:t>25%</w:t>
            </w:r>
          </w:p>
        </w:tc>
        <w:tc>
          <w:tcPr>
            <w:tcW w:w="2835" w:type="dxa"/>
            <w:vAlign w:val="center"/>
          </w:tcPr>
          <w:p w14:paraId="391058A3">
            <w:pPr>
              <w:pStyle w:val="13"/>
            </w:pPr>
            <w:r>
              <w:t>50%</w:t>
            </w:r>
          </w:p>
        </w:tc>
        <w:tc>
          <w:tcPr>
            <w:tcW w:w="2551" w:type="dxa"/>
            <w:vAlign w:val="center"/>
          </w:tcPr>
          <w:p w14:paraId="5E9DF39F">
            <w:pPr>
              <w:pStyle w:val="13"/>
            </w:pPr>
            <w:r>
              <w:t>75%</w:t>
            </w:r>
          </w:p>
        </w:tc>
        <w:tc>
          <w:tcPr>
            <w:tcW w:w="3544" w:type="dxa"/>
            <w:gridSpan w:val="2"/>
            <w:vAlign w:val="center"/>
          </w:tcPr>
          <w:p w14:paraId="6FD83783">
            <w:pPr>
              <w:pStyle w:val="13"/>
            </w:pPr>
            <w:r>
              <w:t>100%</w:t>
            </w:r>
          </w:p>
        </w:tc>
      </w:tr>
      <w:tr w14:paraId="48C90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5F43F">
            <w:pPr>
              <w:pStyle w:val="10"/>
            </w:pPr>
            <w:r>
              <w:t>绩效目标</w:t>
            </w:r>
          </w:p>
        </w:tc>
        <w:tc>
          <w:tcPr>
            <w:tcW w:w="14033" w:type="dxa"/>
            <w:gridSpan w:val="6"/>
            <w:vAlign w:val="center"/>
          </w:tcPr>
          <w:p w14:paraId="5C0F46DD">
            <w:pPr>
              <w:pStyle w:val="12"/>
            </w:pPr>
            <w:r>
              <w:t>1.按季度分批次拨付公用经费资金1652600元，资金拨付率达到100%。</w:t>
            </w:r>
          </w:p>
          <w:p w14:paraId="6F89C973">
            <w:pPr>
              <w:pStyle w:val="12"/>
            </w:pPr>
            <w:r>
              <w:t>2.保障义务教育阶段教学秩序的正常运转，</w:t>
            </w:r>
            <w:r>
              <w:rPr>
                <w:rFonts w:hint="eastAsia"/>
                <w:lang w:eastAsia="zh-CN"/>
              </w:rPr>
              <w:t>保障</w:t>
            </w:r>
            <w:r>
              <w:t>教学经费正常支出。</w:t>
            </w:r>
            <w:r>
              <w:tab/>
            </w:r>
          </w:p>
          <w:p w14:paraId="2EFF9604">
            <w:pPr>
              <w:pStyle w:val="12"/>
            </w:pPr>
          </w:p>
        </w:tc>
      </w:tr>
    </w:tbl>
    <w:p w14:paraId="57A7D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E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7EB91">
            <w:pPr>
              <w:pStyle w:val="10"/>
            </w:pPr>
            <w:r>
              <w:t>一级指标</w:t>
            </w:r>
          </w:p>
        </w:tc>
        <w:tc>
          <w:tcPr>
            <w:tcW w:w="2268" w:type="dxa"/>
            <w:vAlign w:val="center"/>
          </w:tcPr>
          <w:p w14:paraId="1AF25E25">
            <w:pPr>
              <w:pStyle w:val="10"/>
            </w:pPr>
            <w:r>
              <w:t>二级指标</w:t>
            </w:r>
          </w:p>
        </w:tc>
        <w:tc>
          <w:tcPr>
            <w:tcW w:w="2835" w:type="dxa"/>
            <w:vAlign w:val="center"/>
          </w:tcPr>
          <w:p w14:paraId="017C50CF">
            <w:pPr>
              <w:pStyle w:val="10"/>
            </w:pPr>
            <w:r>
              <w:t>三级指标</w:t>
            </w:r>
          </w:p>
        </w:tc>
        <w:tc>
          <w:tcPr>
            <w:tcW w:w="5386" w:type="dxa"/>
            <w:vAlign w:val="center"/>
          </w:tcPr>
          <w:p w14:paraId="7E9C3FA6">
            <w:pPr>
              <w:pStyle w:val="10"/>
            </w:pPr>
            <w:r>
              <w:t>绩效指标描述</w:t>
            </w:r>
          </w:p>
        </w:tc>
        <w:tc>
          <w:tcPr>
            <w:tcW w:w="2268" w:type="dxa"/>
            <w:vAlign w:val="center"/>
          </w:tcPr>
          <w:p w14:paraId="7CD95DBE">
            <w:pPr>
              <w:pStyle w:val="10"/>
            </w:pPr>
            <w:r>
              <w:t>指标值</w:t>
            </w:r>
          </w:p>
        </w:tc>
        <w:tc>
          <w:tcPr>
            <w:tcW w:w="1276" w:type="dxa"/>
            <w:vAlign w:val="center"/>
          </w:tcPr>
          <w:p w14:paraId="7B4D832D">
            <w:pPr>
              <w:pStyle w:val="10"/>
            </w:pPr>
            <w:r>
              <w:t>指标值确定依据</w:t>
            </w:r>
          </w:p>
        </w:tc>
      </w:tr>
      <w:tr w14:paraId="454F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61524">
            <w:pPr>
              <w:pStyle w:val="13"/>
            </w:pPr>
            <w:r>
              <w:t>产出指标</w:t>
            </w:r>
          </w:p>
        </w:tc>
        <w:tc>
          <w:tcPr>
            <w:tcW w:w="2268" w:type="dxa"/>
            <w:vAlign w:val="center"/>
          </w:tcPr>
          <w:p w14:paraId="72FEDAEE">
            <w:pPr>
              <w:pStyle w:val="12"/>
            </w:pPr>
            <w:r>
              <w:t>数量指标</w:t>
            </w:r>
          </w:p>
        </w:tc>
        <w:tc>
          <w:tcPr>
            <w:tcW w:w="2835" w:type="dxa"/>
            <w:vAlign w:val="center"/>
          </w:tcPr>
          <w:p w14:paraId="10EE0F60">
            <w:pPr>
              <w:pStyle w:val="12"/>
            </w:pPr>
            <w:r>
              <w:t>保障学校每一名学生完成义务教育阶段学习</w:t>
            </w:r>
          </w:p>
        </w:tc>
        <w:tc>
          <w:tcPr>
            <w:tcW w:w="5386" w:type="dxa"/>
            <w:vAlign w:val="center"/>
          </w:tcPr>
          <w:p w14:paraId="7A2DCE18">
            <w:pPr>
              <w:pStyle w:val="12"/>
            </w:pPr>
            <w:r>
              <w:t>数量覆盖全部学生</w:t>
            </w:r>
          </w:p>
        </w:tc>
        <w:tc>
          <w:tcPr>
            <w:tcW w:w="2268" w:type="dxa"/>
            <w:vAlign w:val="center"/>
          </w:tcPr>
          <w:p w14:paraId="1E85689E">
            <w:pPr>
              <w:pStyle w:val="12"/>
            </w:pPr>
            <w:r>
              <w:t>3737人</w:t>
            </w:r>
          </w:p>
        </w:tc>
        <w:tc>
          <w:tcPr>
            <w:tcW w:w="1276" w:type="dxa"/>
            <w:vAlign w:val="center"/>
          </w:tcPr>
          <w:p w14:paraId="0170CA22">
            <w:pPr>
              <w:pStyle w:val="12"/>
            </w:pPr>
            <w:r>
              <w:t>城乡义务教育公用经费管理办法</w:t>
            </w:r>
          </w:p>
        </w:tc>
      </w:tr>
      <w:tr w14:paraId="1161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B2F40"/>
        </w:tc>
        <w:tc>
          <w:tcPr>
            <w:tcW w:w="2268" w:type="dxa"/>
            <w:vAlign w:val="center"/>
          </w:tcPr>
          <w:p w14:paraId="1E800077">
            <w:pPr>
              <w:pStyle w:val="12"/>
            </w:pPr>
            <w:r>
              <w:t>质量指标</w:t>
            </w:r>
          </w:p>
        </w:tc>
        <w:tc>
          <w:tcPr>
            <w:tcW w:w="2835" w:type="dxa"/>
            <w:vAlign w:val="center"/>
          </w:tcPr>
          <w:p w14:paraId="62286F7B">
            <w:pPr>
              <w:pStyle w:val="12"/>
            </w:pPr>
            <w:r>
              <w:t>预算控制率</w:t>
            </w:r>
          </w:p>
          <w:p w14:paraId="5C037D3B">
            <w:pPr>
              <w:pStyle w:val="12"/>
            </w:pPr>
          </w:p>
        </w:tc>
        <w:tc>
          <w:tcPr>
            <w:tcW w:w="5386" w:type="dxa"/>
            <w:vAlign w:val="center"/>
          </w:tcPr>
          <w:p w14:paraId="65D90EEE">
            <w:pPr>
              <w:pStyle w:val="12"/>
            </w:pPr>
            <w:r>
              <w:t>预算执行率</w:t>
            </w:r>
          </w:p>
        </w:tc>
        <w:tc>
          <w:tcPr>
            <w:tcW w:w="2268" w:type="dxa"/>
            <w:vAlign w:val="center"/>
          </w:tcPr>
          <w:p w14:paraId="32142660">
            <w:pPr>
              <w:pStyle w:val="12"/>
            </w:pPr>
            <w:r>
              <w:t>≥95%</w:t>
            </w:r>
          </w:p>
        </w:tc>
        <w:tc>
          <w:tcPr>
            <w:tcW w:w="1276" w:type="dxa"/>
            <w:vAlign w:val="center"/>
          </w:tcPr>
          <w:p w14:paraId="37CF790F">
            <w:pPr>
              <w:pStyle w:val="12"/>
            </w:pPr>
            <w:r>
              <w:t>城乡义务教育公用经费管理办法</w:t>
            </w:r>
          </w:p>
        </w:tc>
      </w:tr>
      <w:tr w14:paraId="10A7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45B7A"/>
        </w:tc>
        <w:tc>
          <w:tcPr>
            <w:tcW w:w="2268" w:type="dxa"/>
            <w:vAlign w:val="center"/>
          </w:tcPr>
          <w:p w14:paraId="17623863">
            <w:pPr>
              <w:pStyle w:val="12"/>
            </w:pPr>
            <w:r>
              <w:t>时效指标</w:t>
            </w:r>
          </w:p>
        </w:tc>
        <w:tc>
          <w:tcPr>
            <w:tcW w:w="2835" w:type="dxa"/>
            <w:vAlign w:val="center"/>
          </w:tcPr>
          <w:p w14:paraId="36063D00">
            <w:pPr>
              <w:pStyle w:val="12"/>
            </w:pPr>
            <w:r>
              <w:t>支付及时率</w:t>
            </w:r>
          </w:p>
        </w:tc>
        <w:tc>
          <w:tcPr>
            <w:tcW w:w="5386" w:type="dxa"/>
            <w:vAlign w:val="center"/>
          </w:tcPr>
          <w:p w14:paraId="0C16CB6A">
            <w:pPr>
              <w:pStyle w:val="12"/>
            </w:pPr>
            <w:r>
              <w:t>按照实际支出完成支付</w:t>
            </w:r>
          </w:p>
        </w:tc>
        <w:tc>
          <w:tcPr>
            <w:tcW w:w="2268" w:type="dxa"/>
            <w:vAlign w:val="center"/>
          </w:tcPr>
          <w:p w14:paraId="3242CA2A">
            <w:pPr>
              <w:pStyle w:val="12"/>
            </w:pPr>
            <w:r>
              <w:t>100%</w:t>
            </w:r>
          </w:p>
        </w:tc>
        <w:tc>
          <w:tcPr>
            <w:tcW w:w="1276" w:type="dxa"/>
            <w:vAlign w:val="center"/>
          </w:tcPr>
          <w:p w14:paraId="6C723F65">
            <w:pPr>
              <w:pStyle w:val="12"/>
            </w:pPr>
            <w:r>
              <w:t>城乡义务教育公用经费管理办法</w:t>
            </w:r>
          </w:p>
        </w:tc>
      </w:tr>
      <w:tr w14:paraId="60F0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00F4D"/>
        </w:tc>
        <w:tc>
          <w:tcPr>
            <w:tcW w:w="2268" w:type="dxa"/>
            <w:vAlign w:val="center"/>
          </w:tcPr>
          <w:p w14:paraId="3CF2F0EA">
            <w:pPr>
              <w:pStyle w:val="12"/>
            </w:pPr>
            <w:r>
              <w:t>成本指标</w:t>
            </w:r>
          </w:p>
        </w:tc>
        <w:tc>
          <w:tcPr>
            <w:tcW w:w="2835" w:type="dxa"/>
            <w:vAlign w:val="center"/>
          </w:tcPr>
          <w:p w14:paraId="4B2F613A">
            <w:pPr>
              <w:pStyle w:val="12"/>
            </w:pPr>
            <w:r>
              <w:t>支出标准</w:t>
            </w:r>
          </w:p>
        </w:tc>
        <w:tc>
          <w:tcPr>
            <w:tcW w:w="5386" w:type="dxa"/>
            <w:vAlign w:val="center"/>
          </w:tcPr>
          <w:p w14:paraId="10B46B2F">
            <w:pPr>
              <w:pStyle w:val="12"/>
            </w:pPr>
            <w:r>
              <w:t>初中生公用经费基准额为1060元/年/生，住宿生补助300元/年/生的标准。</w:t>
            </w:r>
          </w:p>
        </w:tc>
        <w:tc>
          <w:tcPr>
            <w:tcW w:w="2268" w:type="dxa"/>
            <w:vAlign w:val="center"/>
          </w:tcPr>
          <w:p w14:paraId="6CC7A008">
            <w:pPr>
              <w:pStyle w:val="12"/>
            </w:pPr>
            <w:r>
              <w:t>1360元/人</w:t>
            </w:r>
          </w:p>
        </w:tc>
        <w:tc>
          <w:tcPr>
            <w:tcW w:w="1276" w:type="dxa"/>
            <w:vAlign w:val="center"/>
          </w:tcPr>
          <w:p w14:paraId="7C6518E8">
            <w:pPr>
              <w:pStyle w:val="12"/>
            </w:pPr>
            <w:r>
              <w:t>城乡义务教育公用经费管理办法</w:t>
            </w:r>
          </w:p>
        </w:tc>
      </w:tr>
      <w:tr w14:paraId="5CCA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58BEA"/>
        </w:tc>
        <w:tc>
          <w:tcPr>
            <w:tcW w:w="2268" w:type="dxa"/>
            <w:vAlign w:val="center"/>
          </w:tcPr>
          <w:p w14:paraId="44A75848">
            <w:pPr>
              <w:pStyle w:val="12"/>
            </w:pPr>
            <w:r>
              <w:t>成本指标</w:t>
            </w:r>
          </w:p>
        </w:tc>
        <w:tc>
          <w:tcPr>
            <w:tcW w:w="2835" w:type="dxa"/>
            <w:vAlign w:val="center"/>
          </w:tcPr>
          <w:p w14:paraId="76931B5F">
            <w:pPr>
              <w:pStyle w:val="12"/>
            </w:pPr>
            <w:r>
              <w:t>生均拨款标准</w:t>
            </w:r>
          </w:p>
        </w:tc>
        <w:tc>
          <w:tcPr>
            <w:tcW w:w="5386" w:type="dxa"/>
            <w:vAlign w:val="center"/>
          </w:tcPr>
          <w:p w14:paraId="3CE93D1E">
            <w:pPr>
              <w:pStyle w:val="12"/>
            </w:pPr>
            <w:r>
              <w:t>初中生随班就读学生补助标准为7000元/年/生。</w:t>
            </w:r>
          </w:p>
        </w:tc>
        <w:tc>
          <w:tcPr>
            <w:tcW w:w="2268" w:type="dxa"/>
            <w:vAlign w:val="center"/>
          </w:tcPr>
          <w:p w14:paraId="15138C43">
            <w:pPr>
              <w:pStyle w:val="12"/>
            </w:pPr>
            <w:r>
              <w:t>7000元</w:t>
            </w:r>
          </w:p>
        </w:tc>
        <w:tc>
          <w:tcPr>
            <w:tcW w:w="1276" w:type="dxa"/>
            <w:vAlign w:val="center"/>
          </w:tcPr>
          <w:p w14:paraId="6230A2D7">
            <w:pPr>
              <w:pStyle w:val="12"/>
            </w:pPr>
            <w:r>
              <w:t>城乡义务教育公用经费管理办法</w:t>
            </w:r>
          </w:p>
        </w:tc>
      </w:tr>
      <w:tr w14:paraId="6644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99175">
            <w:pPr>
              <w:pStyle w:val="13"/>
            </w:pPr>
            <w:r>
              <w:t>效益指标</w:t>
            </w:r>
          </w:p>
        </w:tc>
        <w:tc>
          <w:tcPr>
            <w:tcW w:w="2268" w:type="dxa"/>
            <w:vAlign w:val="center"/>
          </w:tcPr>
          <w:p w14:paraId="61211643">
            <w:pPr>
              <w:pStyle w:val="12"/>
            </w:pPr>
            <w:r>
              <w:t>可持续影响指标</w:t>
            </w:r>
          </w:p>
        </w:tc>
        <w:tc>
          <w:tcPr>
            <w:tcW w:w="2835" w:type="dxa"/>
            <w:vAlign w:val="center"/>
          </w:tcPr>
          <w:p w14:paraId="569B5B67">
            <w:pPr>
              <w:pStyle w:val="12"/>
            </w:pPr>
            <w:r>
              <w:t>学校日常运转正常</w:t>
            </w:r>
          </w:p>
        </w:tc>
        <w:tc>
          <w:tcPr>
            <w:tcW w:w="5386" w:type="dxa"/>
            <w:vAlign w:val="center"/>
          </w:tcPr>
          <w:p w14:paraId="5ED1BBB5">
            <w:pPr>
              <w:pStyle w:val="12"/>
            </w:pPr>
            <w:r>
              <w:t>学生受教育年限</w:t>
            </w:r>
          </w:p>
        </w:tc>
        <w:tc>
          <w:tcPr>
            <w:tcW w:w="2268" w:type="dxa"/>
            <w:vAlign w:val="center"/>
          </w:tcPr>
          <w:p w14:paraId="6F06F6F0">
            <w:pPr>
              <w:pStyle w:val="12"/>
            </w:pPr>
            <w:r>
              <w:t>3年</w:t>
            </w:r>
          </w:p>
        </w:tc>
        <w:tc>
          <w:tcPr>
            <w:tcW w:w="1276" w:type="dxa"/>
            <w:vAlign w:val="center"/>
          </w:tcPr>
          <w:p w14:paraId="58A284F8">
            <w:pPr>
              <w:pStyle w:val="12"/>
            </w:pPr>
            <w:r>
              <w:t>城乡义务教育公用经费管理办法</w:t>
            </w:r>
          </w:p>
        </w:tc>
      </w:tr>
      <w:tr w14:paraId="3789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534DE">
            <w:pPr>
              <w:pStyle w:val="13"/>
            </w:pPr>
            <w:r>
              <w:t>满意度指标</w:t>
            </w:r>
          </w:p>
        </w:tc>
        <w:tc>
          <w:tcPr>
            <w:tcW w:w="2268" w:type="dxa"/>
            <w:vAlign w:val="center"/>
          </w:tcPr>
          <w:p w14:paraId="39189B47">
            <w:pPr>
              <w:pStyle w:val="12"/>
            </w:pPr>
            <w:r>
              <w:t>服务对象满意度指标</w:t>
            </w:r>
          </w:p>
        </w:tc>
        <w:tc>
          <w:tcPr>
            <w:tcW w:w="2835" w:type="dxa"/>
            <w:vAlign w:val="center"/>
          </w:tcPr>
          <w:p w14:paraId="0DB113E1">
            <w:pPr>
              <w:pStyle w:val="12"/>
            </w:pPr>
            <w:r>
              <w:t>群众满意度</w:t>
            </w:r>
          </w:p>
        </w:tc>
        <w:tc>
          <w:tcPr>
            <w:tcW w:w="5386" w:type="dxa"/>
            <w:vAlign w:val="center"/>
          </w:tcPr>
          <w:p w14:paraId="2B9053BC">
            <w:pPr>
              <w:pStyle w:val="12"/>
            </w:pPr>
            <w:r>
              <w:t>群众对教育的满意度</w:t>
            </w:r>
          </w:p>
        </w:tc>
        <w:tc>
          <w:tcPr>
            <w:tcW w:w="2268" w:type="dxa"/>
            <w:vAlign w:val="center"/>
          </w:tcPr>
          <w:p w14:paraId="01C84444">
            <w:pPr>
              <w:pStyle w:val="12"/>
            </w:pPr>
            <w:r>
              <w:t>≥98%</w:t>
            </w:r>
          </w:p>
        </w:tc>
        <w:tc>
          <w:tcPr>
            <w:tcW w:w="1276" w:type="dxa"/>
            <w:vAlign w:val="center"/>
          </w:tcPr>
          <w:p w14:paraId="490B25E0">
            <w:pPr>
              <w:pStyle w:val="12"/>
            </w:pPr>
            <w:r>
              <w:t>调查问卷</w:t>
            </w:r>
          </w:p>
        </w:tc>
      </w:tr>
    </w:tbl>
    <w:p w14:paraId="33447C25">
      <w:pPr>
        <w:sectPr>
          <w:pgSz w:w="16840" w:h="11900" w:orient="landscape"/>
          <w:pgMar w:top="1361" w:right="1020" w:bottom="1134" w:left="1020" w:header="720" w:footer="720" w:gutter="0"/>
          <w:cols w:space="720" w:num="1"/>
        </w:sectPr>
      </w:pPr>
    </w:p>
    <w:p w14:paraId="53F172AF">
      <w:pPr>
        <w:spacing w:before="0" w:after="0"/>
        <w:ind w:firstLine="560"/>
        <w:jc w:val="left"/>
        <w:outlineLvl w:val="9"/>
      </w:pPr>
      <w:r>
        <w:rPr>
          <w:rFonts w:ascii="方正仿宋_GBK" w:hAnsi="方正仿宋_GBK" w:eastAsia="方正仿宋_GBK" w:cs="方正仿宋_GBK"/>
          <w:b/>
          <w:color w:val="000000"/>
          <w:sz w:val="28"/>
        </w:rPr>
        <w:t>6、冀财教[2025]147号/省级/义教/2026年校舍安全/尧山中学防水工程绩效目标表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66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19FA6">
            <w:pPr>
              <w:pStyle w:val="11"/>
            </w:pPr>
            <w:r>
              <w:t>单位：万元</w:t>
            </w:r>
          </w:p>
        </w:tc>
      </w:tr>
      <w:tr w14:paraId="1D351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94A5A">
            <w:pPr>
              <w:pStyle w:val="10"/>
            </w:pPr>
            <w:r>
              <w:t>项目编码</w:t>
            </w:r>
          </w:p>
        </w:tc>
        <w:tc>
          <w:tcPr>
            <w:tcW w:w="5103" w:type="dxa"/>
            <w:gridSpan w:val="2"/>
            <w:vAlign w:val="center"/>
          </w:tcPr>
          <w:p w14:paraId="766BB450">
            <w:pPr>
              <w:pStyle w:val="12"/>
            </w:pPr>
            <w:r>
              <w:t>13052526P00876210096R</w:t>
            </w:r>
          </w:p>
        </w:tc>
        <w:tc>
          <w:tcPr>
            <w:tcW w:w="2835" w:type="dxa"/>
            <w:vAlign w:val="center"/>
          </w:tcPr>
          <w:p w14:paraId="302CAA9A">
            <w:pPr>
              <w:pStyle w:val="10"/>
            </w:pPr>
            <w:r>
              <w:t>项目名称</w:t>
            </w:r>
          </w:p>
        </w:tc>
        <w:tc>
          <w:tcPr>
            <w:tcW w:w="6095" w:type="dxa"/>
            <w:gridSpan w:val="3"/>
            <w:vAlign w:val="center"/>
          </w:tcPr>
          <w:p w14:paraId="7327D8D1">
            <w:pPr>
              <w:pStyle w:val="12"/>
            </w:pPr>
            <w:r>
              <w:t>冀财教[2025]147号/省级/义教/2026年校舍安全/尧山中学防水工程</w:t>
            </w:r>
          </w:p>
        </w:tc>
      </w:tr>
      <w:tr w14:paraId="7D819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DC953">
            <w:pPr>
              <w:pStyle w:val="10"/>
            </w:pPr>
            <w:r>
              <w:t>预算规模及资金用途</w:t>
            </w:r>
          </w:p>
        </w:tc>
        <w:tc>
          <w:tcPr>
            <w:tcW w:w="2268" w:type="dxa"/>
            <w:vAlign w:val="center"/>
          </w:tcPr>
          <w:p w14:paraId="415A7D86">
            <w:pPr>
              <w:pStyle w:val="10"/>
            </w:pPr>
            <w:r>
              <w:t>预算数</w:t>
            </w:r>
          </w:p>
        </w:tc>
        <w:tc>
          <w:tcPr>
            <w:tcW w:w="2835" w:type="dxa"/>
            <w:vAlign w:val="center"/>
          </w:tcPr>
          <w:p w14:paraId="1BF75E4B">
            <w:pPr>
              <w:pStyle w:val="12"/>
            </w:pPr>
            <w:r>
              <w:t>13.70</w:t>
            </w:r>
          </w:p>
        </w:tc>
        <w:tc>
          <w:tcPr>
            <w:tcW w:w="2835" w:type="dxa"/>
            <w:vAlign w:val="center"/>
          </w:tcPr>
          <w:p w14:paraId="5722952C">
            <w:pPr>
              <w:pStyle w:val="10"/>
            </w:pPr>
            <w:r>
              <w:t>其中：财政    资金</w:t>
            </w:r>
          </w:p>
        </w:tc>
        <w:tc>
          <w:tcPr>
            <w:tcW w:w="2551" w:type="dxa"/>
            <w:vAlign w:val="center"/>
          </w:tcPr>
          <w:p w14:paraId="6D7CAE86">
            <w:pPr>
              <w:pStyle w:val="12"/>
            </w:pPr>
            <w:r>
              <w:t>13.70</w:t>
            </w:r>
          </w:p>
        </w:tc>
        <w:tc>
          <w:tcPr>
            <w:tcW w:w="2268" w:type="dxa"/>
            <w:vAlign w:val="center"/>
          </w:tcPr>
          <w:p w14:paraId="1FA4F3FC">
            <w:pPr>
              <w:pStyle w:val="10"/>
            </w:pPr>
            <w:r>
              <w:t>其他资金</w:t>
            </w:r>
          </w:p>
        </w:tc>
        <w:tc>
          <w:tcPr>
            <w:tcW w:w="1276" w:type="dxa"/>
            <w:vAlign w:val="center"/>
          </w:tcPr>
          <w:p w14:paraId="59E951E9">
            <w:pPr>
              <w:pStyle w:val="12"/>
            </w:pPr>
            <w:r>
              <w:t xml:space="preserve"> </w:t>
            </w:r>
          </w:p>
        </w:tc>
      </w:tr>
      <w:tr w14:paraId="4E14E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AFC1F"/>
        </w:tc>
        <w:tc>
          <w:tcPr>
            <w:tcW w:w="14033" w:type="dxa"/>
            <w:gridSpan w:val="6"/>
            <w:vAlign w:val="center"/>
          </w:tcPr>
          <w:p w14:paraId="549C7CB7">
            <w:pPr>
              <w:pStyle w:val="12"/>
            </w:pPr>
            <w:r>
              <w:t>加大公办学校建设投资力度，提升学校形象，改善义务教育阶段办学条件，创造良好的校园环境。</w:t>
            </w:r>
          </w:p>
        </w:tc>
      </w:tr>
      <w:tr w14:paraId="5E5CD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D8442">
            <w:pPr>
              <w:pStyle w:val="10"/>
            </w:pPr>
            <w:r>
              <w:t>资金支出计划（%）</w:t>
            </w:r>
          </w:p>
        </w:tc>
        <w:tc>
          <w:tcPr>
            <w:tcW w:w="5103" w:type="dxa"/>
            <w:gridSpan w:val="2"/>
            <w:vAlign w:val="center"/>
          </w:tcPr>
          <w:p w14:paraId="6B370AC2">
            <w:pPr>
              <w:pStyle w:val="10"/>
            </w:pPr>
            <w:r>
              <w:t>3月底</w:t>
            </w:r>
          </w:p>
        </w:tc>
        <w:tc>
          <w:tcPr>
            <w:tcW w:w="2835" w:type="dxa"/>
            <w:vAlign w:val="center"/>
          </w:tcPr>
          <w:p w14:paraId="5BA34647">
            <w:pPr>
              <w:pStyle w:val="10"/>
            </w:pPr>
            <w:r>
              <w:t>6月底</w:t>
            </w:r>
          </w:p>
        </w:tc>
        <w:tc>
          <w:tcPr>
            <w:tcW w:w="2551" w:type="dxa"/>
            <w:vAlign w:val="center"/>
          </w:tcPr>
          <w:p w14:paraId="31DA6ADF">
            <w:pPr>
              <w:pStyle w:val="10"/>
            </w:pPr>
            <w:r>
              <w:t>10月底</w:t>
            </w:r>
          </w:p>
        </w:tc>
        <w:tc>
          <w:tcPr>
            <w:tcW w:w="3544" w:type="dxa"/>
            <w:gridSpan w:val="2"/>
            <w:vAlign w:val="center"/>
          </w:tcPr>
          <w:p w14:paraId="23F4D3C7">
            <w:pPr>
              <w:pStyle w:val="10"/>
            </w:pPr>
            <w:r>
              <w:t>12月底</w:t>
            </w:r>
          </w:p>
        </w:tc>
      </w:tr>
      <w:tr w14:paraId="16917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8C451"/>
        </w:tc>
        <w:tc>
          <w:tcPr>
            <w:tcW w:w="5103" w:type="dxa"/>
            <w:gridSpan w:val="2"/>
            <w:vAlign w:val="center"/>
          </w:tcPr>
          <w:p w14:paraId="1D89F9DA">
            <w:pPr>
              <w:pStyle w:val="13"/>
            </w:pPr>
            <w:r>
              <w:t>25%</w:t>
            </w:r>
          </w:p>
        </w:tc>
        <w:tc>
          <w:tcPr>
            <w:tcW w:w="2835" w:type="dxa"/>
            <w:vAlign w:val="center"/>
          </w:tcPr>
          <w:p w14:paraId="60BFF3C5">
            <w:pPr>
              <w:pStyle w:val="13"/>
            </w:pPr>
            <w:r>
              <w:t>50%</w:t>
            </w:r>
          </w:p>
        </w:tc>
        <w:tc>
          <w:tcPr>
            <w:tcW w:w="2551" w:type="dxa"/>
            <w:vAlign w:val="center"/>
          </w:tcPr>
          <w:p w14:paraId="7BC8CBB5">
            <w:pPr>
              <w:pStyle w:val="13"/>
            </w:pPr>
            <w:r>
              <w:t>75%</w:t>
            </w:r>
          </w:p>
        </w:tc>
        <w:tc>
          <w:tcPr>
            <w:tcW w:w="3544" w:type="dxa"/>
            <w:gridSpan w:val="2"/>
            <w:vAlign w:val="center"/>
          </w:tcPr>
          <w:p w14:paraId="780B8041">
            <w:pPr>
              <w:pStyle w:val="13"/>
            </w:pPr>
            <w:r>
              <w:t>100%</w:t>
            </w:r>
          </w:p>
        </w:tc>
      </w:tr>
      <w:tr w14:paraId="5389B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AAB6E">
            <w:pPr>
              <w:pStyle w:val="10"/>
            </w:pPr>
            <w:r>
              <w:t>绩效目标</w:t>
            </w:r>
          </w:p>
        </w:tc>
        <w:tc>
          <w:tcPr>
            <w:tcW w:w="14033" w:type="dxa"/>
            <w:gridSpan w:val="6"/>
            <w:vAlign w:val="center"/>
          </w:tcPr>
          <w:p w14:paraId="32BF867E">
            <w:pPr>
              <w:pStyle w:val="12"/>
            </w:pPr>
            <w:r>
              <w:t>1.项目需资金137000元，资金拨付率达到100%。</w:t>
            </w:r>
          </w:p>
          <w:p w14:paraId="192A468E">
            <w:pPr>
              <w:pStyle w:val="12"/>
            </w:pPr>
            <w:r>
              <w:t>2.加大公办学校建设投资力度，提升学校形象，改善义务教育阶段办学条件，创造良好的校园环境。</w:t>
            </w:r>
          </w:p>
        </w:tc>
      </w:tr>
    </w:tbl>
    <w:p w14:paraId="63435D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E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83A7D">
            <w:pPr>
              <w:pStyle w:val="10"/>
            </w:pPr>
            <w:r>
              <w:t>一级指标</w:t>
            </w:r>
          </w:p>
        </w:tc>
        <w:tc>
          <w:tcPr>
            <w:tcW w:w="2268" w:type="dxa"/>
            <w:vAlign w:val="center"/>
          </w:tcPr>
          <w:p w14:paraId="4D928E63">
            <w:pPr>
              <w:pStyle w:val="10"/>
            </w:pPr>
            <w:r>
              <w:t>二级指标</w:t>
            </w:r>
          </w:p>
        </w:tc>
        <w:tc>
          <w:tcPr>
            <w:tcW w:w="2835" w:type="dxa"/>
            <w:vAlign w:val="center"/>
          </w:tcPr>
          <w:p w14:paraId="60C8C01A">
            <w:pPr>
              <w:pStyle w:val="10"/>
            </w:pPr>
            <w:r>
              <w:t>三级指标</w:t>
            </w:r>
          </w:p>
        </w:tc>
        <w:tc>
          <w:tcPr>
            <w:tcW w:w="5386" w:type="dxa"/>
            <w:vAlign w:val="center"/>
          </w:tcPr>
          <w:p w14:paraId="13698B9D">
            <w:pPr>
              <w:pStyle w:val="10"/>
            </w:pPr>
            <w:r>
              <w:t>绩效指标描述</w:t>
            </w:r>
          </w:p>
        </w:tc>
        <w:tc>
          <w:tcPr>
            <w:tcW w:w="2268" w:type="dxa"/>
            <w:vAlign w:val="center"/>
          </w:tcPr>
          <w:p w14:paraId="19F9301E">
            <w:pPr>
              <w:pStyle w:val="10"/>
            </w:pPr>
            <w:r>
              <w:t>指标值</w:t>
            </w:r>
          </w:p>
        </w:tc>
        <w:tc>
          <w:tcPr>
            <w:tcW w:w="1276" w:type="dxa"/>
            <w:vAlign w:val="center"/>
          </w:tcPr>
          <w:p w14:paraId="0BAE28D9">
            <w:pPr>
              <w:pStyle w:val="10"/>
            </w:pPr>
            <w:r>
              <w:t>指标值确定依据</w:t>
            </w:r>
          </w:p>
        </w:tc>
      </w:tr>
      <w:tr w14:paraId="7779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8B4B0">
            <w:pPr>
              <w:pStyle w:val="13"/>
            </w:pPr>
            <w:r>
              <w:t>产出指标</w:t>
            </w:r>
          </w:p>
        </w:tc>
        <w:tc>
          <w:tcPr>
            <w:tcW w:w="2268" w:type="dxa"/>
            <w:vAlign w:val="center"/>
          </w:tcPr>
          <w:p w14:paraId="5CB32797">
            <w:pPr>
              <w:pStyle w:val="12"/>
            </w:pPr>
            <w:r>
              <w:t>数量指标</w:t>
            </w:r>
          </w:p>
        </w:tc>
        <w:tc>
          <w:tcPr>
            <w:tcW w:w="2835" w:type="dxa"/>
            <w:vAlign w:val="center"/>
          </w:tcPr>
          <w:p w14:paraId="65A9EEC0">
            <w:pPr>
              <w:pStyle w:val="12"/>
            </w:pPr>
            <w:r>
              <w:t>学生餐厅、学生宿舍楼房顶防水</w:t>
            </w:r>
          </w:p>
        </w:tc>
        <w:tc>
          <w:tcPr>
            <w:tcW w:w="5386" w:type="dxa"/>
            <w:vAlign w:val="center"/>
          </w:tcPr>
          <w:p w14:paraId="6F36AD28">
            <w:pPr>
              <w:pStyle w:val="12"/>
            </w:pPr>
            <w:r>
              <w:t>学生餐厅、学生宿舍楼房顶防水扣瓦面积</w:t>
            </w:r>
          </w:p>
        </w:tc>
        <w:tc>
          <w:tcPr>
            <w:tcW w:w="2268" w:type="dxa"/>
            <w:vAlign w:val="center"/>
          </w:tcPr>
          <w:p w14:paraId="077480FD">
            <w:pPr>
              <w:pStyle w:val="12"/>
            </w:pPr>
            <w:r>
              <w:t>2884.2平方米</w:t>
            </w:r>
          </w:p>
        </w:tc>
        <w:tc>
          <w:tcPr>
            <w:tcW w:w="1276" w:type="dxa"/>
            <w:vAlign w:val="center"/>
          </w:tcPr>
          <w:p w14:paraId="1B8F585C">
            <w:pPr>
              <w:pStyle w:val="12"/>
            </w:pPr>
            <w:r>
              <w:t>项目规划</w:t>
            </w:r>
          </w:p>
        </w:tc>
      </w:tr>
      <w:tr w14:paraId="590E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5DC16"/>
        </w:tc>
        <w:tc>
          <w:tcPr>
            <w:tcW w:w="2268" w:type="dxa"/>
            <w:vAlign w:val="center"/>
          </w:tcPr>
          <w:p w14:paraId="56828F36">
            <w:pPr>
              <w:pStyle w:val="12"/>
            </w:pPr>
            <w:r>
              <w:t>质量指标</w:t>
            </w:r>
          </w:p>
        </w:tc>
        <w:tc>
          <w:tcPr>
            <w:tcW w:w="2835" w:type="dxa"/>
            <w:vAlign w:val="center"/>
          </w:tcPr>
          <w:p w14:paraId="06F89229">
            <w:pPr>
              <w:pStyle w:val="12"/>
            </w:pPr>
            <w:r>
              <w:t>工程实施验收合格率</w:t>
            </w:r>
          </w:p>
        </w:tc>
        <w:tc>
          <w:tcPr>
            <w:tcW w:w="5386" w:type="dxa"/>
            <w:vAlign w:val="center"/>
          </w:tcPr>
          <w:p w14:paraId="2537A9F5">
            <w:pPr>
              <w:pStyle w:val="12"/>
            </w:pPr>
            <w:r>
              <w:t>申报程序的合规，项目实施及资金使用符合项目规划</w:t>
            </w:r>
          </w:p>
        </w:tc>
        <w:tc>
          <w:tcPr>
            <w:tcW w:w="2268" w:type="dxa"/>
            <w:vAlign w:val="center"/>
          </w:tcPr>
          <w:p w14:paraId="584A9271">
            <w:pPr>
              <w:pStyle w:val="12"/>
            </w:pPr>
            <w:r>
              <w:t>100%</w:t>
            </w:r>
          </w:p>
        </w:tc>
        <w:tc>
          <w:tcPr>
            <w:tcW w:w="1276" w:type="dxa"/>
            <w:vAlign w:val="center"/>
          </w:tcPr>
          <w:p w14:paraId="47AC0602">
            <w:pPr>
              <w:pStyle w:val="12"/>
            </w:pPr>
            <w:r>
              <w:t>项目规划</w:t>
            </w:r>
          </w:p>
        </w:tc>
      </w:tr>
      <w:tr w14:paraId="4B92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DC517"/>
        </w:tc>
        <w:tc>
          <w:tcPr>
            <w:tcW w:w="2268" w:type="dxa"/>
            <w:vAlign w:val="center"/>
          </w:tcPr>
          <w:p w14:paraId="106777EB">
            <w:pPr>
              <w:pStyle w:val="12"/>
            </w:pPr>
            <w:r>
              <w:t>时效指标</w:t>
            </w:r>
          </w:p>
        </w:tc>
        <w:tc>
          <w:tcPr>
            <w:tcW w:w="2835" w:type="dxa"/>
            <w:vAlign w:val="center"/>
          </w:tcPr>
          <w:p w14:paraId="7388782D">
            <w:pPr>
              <w:pStyle w:val="12"/>
            </w:pPr>
            <w:r>
              <w:t>资金支付率</w:t>
            </w:r>
          </w:p>
        </w:tc>
        <w:tc>
          <w:tcPr>
            <w:tcW w:w="5386" w:type="dxa"/>
            <w:vAlign w:val="center"/>
          </w:tcPr>
          <w:p w14:paraId="231B2771">
            <w:pPr>
              <w:pStyle w:val="12"/>
            </w:pPr>
            <w:r>
              <w:t>按照序时进度完成资金支付</w:t>
            </w:r>
          </w:p>
        </w:tc>
        <w:tc>
          <w:tcPr>
            <w:tcW w:w="2268" w:type="dxa"/>
            <w:vAlign w:val="center"/>
          </w:tcPr>
          <w:p w14:paraId="13EFCB32">
            <w:pPr>
              <w:pStyle w:val="12"/>
            </w:pPr>
            <w:r>
              <w:t>100%</w:t>
            </w:r>
          </w:p>
        </w:tc>
        <w:tc>
          <w:tcPr>
            <w:tcW w:w="1276" w:type="dxa"/>
            <w:vAlign w:val="center"/>
          </w:tcPr>
          <w:p w14:paraId="5FEBEE55">
            <w:pPr>
              <w:pStyle w:val="12"/>
            </w:pPr>
            <w:r>
              <w:t>项目规划</w:t>
            </w:r>
          </w:p>
        </w:tc>
      </w:tr>
      <w:tr w14:paraId="4110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9AA2F"/>
        </w:tc>
        <w:tc>
          <w:tcPr>
            <w:tcW w:w="2268" w:type="dxa"/>
            <w:vAlign w:val="center"/>
          </w:tcPr>
          <w:p w14:paraId="4409911F">
            <w:pPr>
              <w:pStyle w:val="12"/>
            </w:pPr>
            <w:r>
              <w:t>成本指标</w:t>
            </w:r>
          </w:p>
        </w:tc>
        <w:tc>
          <w:tcPr>
            <w:tcW w:w="2835" w:type="dxa"/>
            <w:vAlign w:val="center"/>
          </w:tcPr>
          <w:p w14:paraId="279BB7F7">
            <w:pPr>
              <w:pStyle w:val="12"/>
            </w:pPr>
            <w:r>
              <w:t>项目成本控制情况</w:t>
            </w:r>
          </w:p>
        </w:tc>
        <w:tc>
          <w:tcPr>
            <w:tcW w:w="5386" w:type="dxa"/>
            <w:vAlign w:val="center"/>
          </w:tcPr>
          <w:p w14:paraId="618F21DD">
            <w:pPr>
              <w:pStyle w:val="12"/>
            </w:pPr>
            <w:r>
              <w:t>严格按照招标价格及审计额进行</w:t>
            </w:r>
          </w:p>
        </w:tc>
        <w:tc>
          <w:tcPr>
            <w:tcW w:w="2268" w:type="dxa"/>
            <w:vAlign w:val="center"/>
          </w:tcPr>
          <w:p w14:paraId="7619EBC6">
            <w:pPr>
              <w:pStyle w:val="12"/>
            </w:pPr>
            <w:r>
              <w:t>100%</w:t>
            </w:r>
          </w:p>
        </w:tc>
        <w:tc>
          <w:tcPr>
            <w:tcW w:w="1276" w:type="dxa"/>
            <w:vAlign w:val="center"/>
          </w:tcPr>
          <w:p w14:paraId="6318B900">
            <w:pPr>
              <w:pStyle w:val="12"/>
            </w:pPr>
            <w:r>
              <w:t>项目规划</w:t>
            </w:r>
          </w:p>
        </w:tc>
      </w:tr>
      <w:tr w14:paraId="6C39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CB2E3">
            <w:pPr>
              <w:pStyle w:val="13"/>
            </w:pPr>
            <w:r>
              <w:t>效益指标</w:t>
            </w:r>
          </w:p>
        </w:tc>
        <w:tc>
          <w:tcPr>
            <w:tcW w:w="2268" w:type="dxa"/>
            <w:vAlign w:val="center"/>
          </w:tcPr>
          <w:p w14:paraId="32409B34">
            <w:pPr>
              <w:pStyle w:val="12"/>
            </w:pPr>
            <w:r>
              <w:t>可持续影响指标</w:t>
            </w:r>
          </w:p>
        </w:tc>
        <w:tc>
          <w:tcPr>
            <w:tcW w:w="2835" w:type="dxa"/>
            <w:vAlign w:val="center"/>
          </w:tcPr>
          <w:p w14:paraId="08CBB4E0">
            <w:pPr>
              <w:pStyle w:val="12"/>
            </w:pPr>
            <w:r>
              <w:t>学校运转得到提高</w:t>
            </w:r>
          </w:p>
        </w:tc>
        <w:tc>
          <w:tcPr>
            <w:tcW w:w="5386" w:type="dxa"/>
            <w:vAlign w:val="center"/>
          </w:tcPr>
          <w:p w14:paraId="57FBDB4B">
            <w:pPr>
              <w:pStyle w:val="12"/>
            </w:pPr>
            <w:r>
              <w:t>学生受教育年限</w:t>
            </w:r>
          </w:p>
        </w:tc>
        <w:tc>
          <w:tcPr>
            <w:tcW w:w="2268" w:type="dxa"/>
            <w:vAlign w:val="center"/>
          </w:tcPr>
          <w:p w14:paraId="1AAE6157">
            <w:pPr>
              <w:pStyle w:val="12"/>
            </w:pPr>
            <w:r>
              <w:t>3年</w:t>
            </w:r>
          </w:p>
        </w:tc>
        <w:tc>
          <w:tcPr>
            <w:tcW w:w="1276" w:type="dxa"/>
            <w:vAlign w:val="center"/>
          </w:tcPr>
          <w:p w14:paraId="3778BD09">
            <w:pPr>
              <w:pStyle w:val="12"/>
            </w:pPr>
            <w:r>
              <w:t>项目规划</w:t>
            </w:r>
          </w:p>
        </w:tc>
      </w:tr>
      <w:tr w14:paraId="3AC2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55523">
            <w:pPr>
              <w:pStyle w:val="13"/>
            </w:pPr>
            <w:r>
              <w:t>满意度指标</w:t>
            </w:r>
          </w:p>
        </w:tc>
        <w:tc>
          <w:tcPr>
            <w:tcW w:w="2268" w:type="dxa"/>
            <w:vAlign w:val="center"/>
          </w:tcPr>
          <w:p w14:paraId="2DE9848A">
            <w:pPr>
              <w:pStyle w:val="12"/>
            </w:pPr>
            <w:r>
              <w:t>服务对象满意度指标</w:t>
            </w:r>
          </w:p>
        </w:tc>
        <w:tc>
          <w:tcPr>
            <w:tcW w:w="2835" w:type="dxa"/>
            <w:vAlign w:val="center"/>
          </w:tcPr>
          <w:p w14:paraId="370D4062">
            <w:pPr>
              <w:pStyle w:val="12"/>
            </w:pPr>
            <w:r>
              <w:t>服务对象满意度</w:t>
            </w:r>
          </w:p>
        </w:tc>
        <w:tc>
          <w:tcPr>
            <w:tcW w:w="5386" w:type="dxa"/>
            <w:vAlign w:val="center"/>
          </w:tcPr>
          <w:p w14:paraId="50E637F6">
            <w:pPr>
              <w:pStyle w:val="12"/>
            </w:pPr>
            <w:r>
              <w:t>学校老师和学生对学校教育教学工作满意度</w:t>
            </w:r>
          </w:p>
        </w:tc>
        <w:tc>
          <w:tcPr>
            <w:tcW w:w="2268" w:type="dxa"/>
            <w:vAlign w:val="center"/>
          </w:tcPr>
          <w:p w14:paraId="3FCF25C7">
            <w:pPr>
              <w:pStyle w:val="12"/>
            </w:pPr>
            <w:r>
              <w:t>≥95%</w:t>
            </w:r>
          </w:p>
        </w:tc>
        <w:tc>
          <w:tcPr>
            <w:tcW w:w="1276" w:type="dxa"/>
            <w:vAlign w:val="center"/>
          </w:tcPr>
          <w:p w14:paraId="441FCBE0">
            <w:pPr>
              <w:pStyle w:val="12"/>
            </w:pPr>
            <w:r>
              <w:t>调查问卷</w:t>
            </w:r>
          </w:p>
        </w:tc>
      </w:tr>
    </w:tbl>
    <w:p w14:paraId="67925B43">
      <w:pPr>
        <w:sectPr>
          <w:pgSz w:w="16840" w:h="11900" w:orient="landscape"/>
          <w:pgMar w:top="1361" w:right="1020" w:bottom="1134" w:left="1020" w:header="720" w:footer="720" w:gutter="0"/>
          <w:cols w:space="720" w:num="1"/>
        </w:sectPr>
      </w:pPr>
    </w:p>
    <w:p w14:paraId="074381D0">
      <w:pPr>
        <w:spacing w:before="0" w:after="0"/>
        <w:ind w:firstLine="560"/>
        <w:jc w:val="left"/>
        <w:outlineLvl w:val="9"/>
      </w:pPr>
      <w:r>
        <w:rPr>
          <w:rFonts w:ascii="方正仿宋_GBK" w:hAnsi="方正仿宋_GBK" w:eastAsia="方正仿宋_GBK" w:cs="方正仿宋_GBK"/>
          <w:b/>
          <w:color w:val="000000"/>
          <w:sz w:val="28"/>
        </w:rPr>
        <w:t>7、冀财教[2025]148号/支持义务教育发展/尧山中学AI防欺凌报警系统项目绩效目标表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27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258E6">
            <w:pPr>
              <w:pStyle w:val="11"/>
            </w:pPr>
            <w:r>
              <w:t>单位：万元</w:t>
            </w:r>
          </w:p>
        </w:tc>
      </w:tr>
      <w:tr w14:paraId="5A728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5A908">
            <w:pPr>
              <w:pStyle w:val="10"/>
            </w:pPr>
            <w:r>
              <w:t>项目编码</w:t>
            </w:r>
          </w:p>
        </w:tc>
        <w:tc>
          <w:tcPr>
            <w:tcW w:w="5103" w:type="dxa"/>
            <w:gridSpan w:val="2"/>
            <w:vAlign w:val="center"/>
          </w:tcPr>
          <w:p w14:paraId="577D4A2B">
            <w:pPr>
              <w:pStyle w:val="12"/>
            </w:pPr>
            <w:r>
              <w:t>13052526P000002101062</w:t>
            </w:r>
          </w:p>
        </w:tc>
        <w:tc>
          <w:tcPr>
            <w:tcW w:w="2835" w:type="dxa"/>
            <w:vAlign w:val="center"/>
          </w:tcPr>
          <w:p w14:paraId="71257697">
            <w:pPr>
              <w:pStyle w:val="10"/>
            </w:pPr>
            <w:r>
              <w:t>项目名称</w:t>
            </w:r>
          </w:p>
        </w:tc>
        <w:tc>
          <w:tcPr>
            <w:tcW w:w="6095" w:type="dxa"/>
            <w:gridSpan w:val="3"/>
            <w:vAlign w:val="center"/>
          </w:tcPr>
          <w:p w14:paraId="6B3102C9">
            <w:pPr>
              <w:pStyle w:val="12"/>
            </w:pPr>
            <w:r>
              <w:t>冀财教[2025]148号/支持义务教育发展/尧山中学AI防欺凌报警系统项目</w:t>
            </w:r>
          </w:p>
        </w:tc>
      </w:tr>
      <w:tr w14:paraId="70DAA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064F6">
            <w:pPr>
              <w:pStyle w:val="10"/>
            </w:pPr>
            <w:r>
              <w:t>预算规模及资金用途</w:t>
            </w:r>
          </w:p>
        </w:tc>
        <w:tc>
          <w:tcPr>
            <w:tcW w:w="2268" w:type="dxa"/>
            <w:vAlign w:val="center"/>
          </w:tcPr>
          <w:p w14:paraId="2A30989C">
            <w:pPr>
              <w:pStyle w:val="10"/>
            </w:pPr>
            <w:r>
              <w:t>预算数</w:t>
            </w:r>
          </w:p>
        </w:tc>
        <w:tc>
          <w:tcPr>
            <w:tcW w:w="2835" w:type="dxa"/>
            <w:vAlign w:val="center"/>
          </w:tcPr>
          <w:p w14:paraId="1A9C2B3C">
            <w:pPr>
              <w:pStyle w:val="12"/>
            </w:pPr>
            <w:r>
              <w:t>28.20</w:t>
            </w:r>
          </w:p>
        </w:tc>
        <w:tc>
          <w:tcPr>
            <w:tcW w:w="2835" w:type="dxa"/>
            <w:vAlign w:val="center"/>
          </w:tcPr>
          <w:p w14:paraId="5F28E6CA">
            <w:pPr>
              <w:pStyle w:val="10"/>
            </w:pPr>
            <w:r>
              <w:t>其中：财政    资金</w:t>
            </w:r>
          </w:p>
        </w:tc>
        <w:tc>
          <w:tcPr>
            <w:tcW w:w="2551" w:type="dxa"/>
            <w:vAlign w:val="center"/>
          </w:tcPr>
          <w:p w14:paraId="580A44C6">
            <w:pPr>
              <w:pStyle w:val="12"/>
            </w:pPr>
            <w:r>
              <w:t>28.20</w:t>
            </w:r>
          </w:p>
        </w:tc>
        <w:tc>
          <w:tcPr>
            <w:tcW w:w="2268" w:type="dxa"/>
            <w:vAlign w:val="center"/>
          </w:tcPr>
          <w:p w14:paraId="7D110BD4">
            <w:pPr>
              <w:pStyle w:val="10"/>
            </w:pPr>
            <w:r>
              <w:t>其他资金</w:t>
            </w:r>
          </w:p>
        </w:tc>
        <w:tc>
          <w:tcPr>
            <w:tcW w:w="1276" w:type="dxa"/>
            <w:vAlign w:val="center"/>
          </w:tcPr>
          <w:p w14:paraId="364CAFD2">
            <w:pPr>
              <w:pStyle w:val="12"/>
            </w:pPr>
            <w:r>
              <w:t xml:space="preserve"> </w:t>
            </w:r>
          </w:p>
        </w:tc>
      </w:tr>
      <w:tr w14:paraId="03092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882D9"/>
        </w:tc>
        <w:tc>
          <w:tcPr>
            <w:tcW w:w="14033" w:type="dxa"/>
            <w:gridSpan w:val="6"/>
            <w:vAlign w:val="center"/>
          </w:tcPr>
          <w:p w14:paraId="48343781">
            <w:pPr>
              <w:pStyle w:val="12"/>
            </w:pPr>
            <w:r>
              <w:t>加大公办学校建设投资力度，提升学校形象，保障学生安全，改善义务教育阶段办学条件，创造良好的校园环境。</w:t>
            </w:r>
          </w:p>
        </w:tc>
      </w:tr>
      <w:tr w14:paraId="68292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FDB96">
            <w:pPr>
              <w:pStyle w:val="10"/>
            </w:pPr>
            <w:r>
              <w:t>资金支出计划（%）</w:t>
            </w:r>
          </w:p>
        </w:tc>
        <w:tc>
          <w:tcPr>
            <w:tcW w:w="5103" w:type="dxa"/>
            <w:gridSpan w:val="2"/>
            <w:vAlign w:val="center"/>
          </w:tcPr>
          <w:p w14:paraId="3CCA2311">
            <w:pPr>
              <w:pStyle w:val="10"/>
            </w:pPr>
            <w:r>
              <w:t>3月底</w:t>
            </w:r>
          </w:p>
        </w:tc>
        <w:tc>
          <w:tcPr>
            <w:tcW w:w="2835" w:type="dxa"/>
            <w:vAlign w:val="center"/>
          </w:tcPr>
          <w:p w14:paraId="5058FD58">
            <w:pPr>
              <w:pStyle w:val="10"/>
            </w:pPr>
            <w:r>
              <w:t>6月底</w:t>
            </w:r>
          </w:p>
        </w:tc>
        <w:tc>
          <w:tcPr>
            <w:tcW w:w="2551" w:type="dxa"/>
            <w:vAlign w:val="center"/>
          </w:tcPr>
          <w:p w14:paraId="54D8A95A">
            <w:pPr>
              <w:pStyle w:val="10"/>
            </w:pPr>
            <w:r>
              <w:t>10月底</w:t>
            </w:r>
          </w:p>
        </w:tc>
        <w:tc>
          <w:tcPr>
            <w:tcW w:w="3544" w:type="dxa"/>
            <w:gridSpan w:val="2"/>
            <w:vAlign w:val="center"/>
          </w:tcPr>
          <w:p w14:paraId="44EE8F8F">
            <w:pPr>
              <w:pStyle w:val="10"/>
            </w:pPr>
            <w:r>
              <w:t>12月底</w:t>
            </w:r>
          </w:p>
        </w:tc>
      </w:tr>
      <w:tr w14:paraId="3D41B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E328F"/>
        </w:tc>
        <w:tc>
          <w:tcPr>
            <w:tcW w:w="5103" w:type="dxa"/>
            <w:gridSpan w:val="2"/>
            <w:vAlign w:val="center"/>
          </w:tcPr>
          <w:p w14:paraId="4694510D">
            <w:pPr>
              <w:pStyle w:val="13"/>
            </w:pPr>
            <w:r>
              <w:t xml:space="preserve"> </w:t>
            </w:r>
          </w:p>
        </w:tc>
        <w:tc>
          <w:tcPr>
            <w:tcW w:w="2835" w:type="dxa"/>
            <w:vAlign w:val="center"/>
          </w:tcPr>
          <w:p w14:paraId="7E1678FE">
            <w:pPr>
              <w:pStyle w:val="13"/>
            </w:pPr>
            <w:r>
              <w:t>100%</w:t>
            </w:r>
          </w:p>
        </w:tc>
        <w:tc>
          <w:tcPr>
            <w:tcW w:w="2551" w:type="dxa"/>
            <w:vAlign w:val="center"/>
          </w:tcPr>
          <w:p w14:paraId="3DC72366">
            <w:pPr>
              <w:pStyle w:val="13"/>
            </w:pPr>
            <w:r>
              <w:t>100%</w:t>
            </w:r>
          </w:p>
        </w:tc>
        <w:tc>
          <w:tcPr>
            <w:tcW w:w="3544" w:type="dxa"/>
            <w:gridSpan w:val="2"/>
            <w:vAlign w:val="center"/>
          </w:tcPr>
          <w:p w14:paraId="44F56DAA">
            <w:pPr>
              <w:pStyle w:val="13"/>
            </w:pPr>
            <w:r>
              <w:t>100%</w:t>
            </w:r>
          </w:p>
        </w:tc>
      </w:tr>
      <w:tr w14:paraId="5CD68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C36CE">
            <w:pPr>
              <w:pStyle w:val="10"/>
            </w:pPr>
            <w:r>
              <w:t>绩效目标</w:t>
            </w:r>
          </w:p>
        </w:tc>
        <w:tc>
          <w:tcPr>
            <w:tcW w:w="14033" w:type="dxa"/>
            <w:gridSpan w:val="6"/>
            <w:vAlign w:val="center"/>
          </w:tcPr>
          <w:p w14:paraId="2E8DBFA8">
            <w:pPr>
              <w:pStyle w:val="12"/>
            </w:pPr>
            <w:r>
              <w:t>1.加大公办学校建设投资力度，提升学校形象，保障学生安全，改善义务教育阶段办学条件，创造良好的校园环境。</w:t>
            </w:r>
          </w:p>
          <w:p w14:paraId="1303C7A4">
            <w:pPr>
              <w:pStyle w:val="12"/>
            </w:pPr>
            <w:r>
              <w:t>2.项目需资金282000元，资金拨付率达到100%。</w:t>
            </w:r>
          </w:p>
        </w:tc>
      </w:tr>
    </w:tbl>
    <w:p w14:paraId="2D3B1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2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AC838">
            <w:pPr>
              <w:pStyle w:val="10"/>
            </w:pPr>
            <w:r>
              <w:t>一级指标</w:t>
            </w:r>
          </w:p>
        </w:tc>
        <w:tc>
          <w:tcPr>
            <w:tcW w:w="2268" w:type="dxa"/>
            <w:vAlign w:val="center"/>
          </w:tcPr>
          <w:p w14:paraId="34D9258D">
            <w:pPr>
              <w:pStyle w:val="10"/>
            </w:pPr>
            <w:r>
              <w:t>二级指标</w:t>
            </w:r>
          </w:p>
        </w:tc>
        <w:tc>
          <w:tcPr>
            <w:tcW w:w="2835" w:type="dxa"/>
            <w:vAlign w:val="center"/>
          </w:tcPr>
          <w:p w14:paraId="5B20C683">
            <w:pPr>
              <w:pStyle w:val="10"/>
            </w:pPr>
            <w:r>
              <w:t>三级指标</w:t>
            </w:r>
          </w:p>
        </w:tc>
        <w:tc>
          <w:tcPr>
            <w:tcW w:w="5386" w:type="dxa"/>
            <w:vAlign w:val="center"/>
          </w:tcPr>
          <w:p w14:paraId="3175D568">
            <w:pPr>
              <w:pStyle w:val="10"/>
            </w:pPr>
            <w:r>
              <w:t>绩效指标描述</w:t>
            </w:r>
          </w:p>
        </w:tc>
        <w:tc>
          <w:tcPr>
            <w:tcW w:w="2268" w:type="dxa"/>
            <w:vAlign w:val="center"/>
          </w:tcPr>
          <w:p w14:paraId="6608394D">
            <w:pPr>
              <w:pStyle w:val="10"/>
            </w:pPr>
            <w:r>
              <w:t>指标值</w:t>
            </w:r>
          </w:p>
        </w:tc>
        <w:tc>
          <w:tcPr>
            <w:tcW w:w="1276" w:type="dxa"/>
            <w:vAlign w:val="center"/>
          </w:tcPr>
          <w:p w14:paraId="4333FEDC">
            <w:pPr>
              <w:pStyle w:val="10"/>
            </w:pPr>
            <w:r>
              <w:t>指标值确定依据</w:t>
            </w:r>
          </w:p>
        </w:tc>
      </w:tr>
      <w:tr w14:paraId="6FCE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B1AAE">
            <w:pPr>
              <w:pStyle w:val="13"/>
            </w:pPr>
            <w:r>
              <w:t>产出指标</w:t>
            </w:r>
          </w:p>
        </w:tc>
        <w:tc>
          <w:tcPr>
            <w:tcW w:w="2268" w:type="dxa"/>
            <w:vAlign w:val="center"/>
          </w:tcPr>
          <w:p w14:paraId="7A59BA08">
            <w:pPr>
              <w:pStyle w:val="12"/>
            </w:pPr>
            <w:r>
              <w:t>数量指标</w:t>
            </w:r>
          </w:p>
        </w:tc>
        <w:tc>
          <w:tcPr>
            <w:tcW w:w="2835" w:type="dxa"/>
            <w:vAlign w:val="center"/>
          </w:tcPr>
          <w:p w14:paraId="54227AF7">
            <w:pPr>
              <w:pStyle w:val="12"/>
            </w:pPr>
            <w:r>
              <w:t>购置AI防欺凌报警系统</w:t>
            </w:r>
          </w:p>
        </w:tc>
        <w:tc>
          <w:tcPr>
            <w:tcW w:w="5386" w:type="dxa"/>
            <w:vAlign w:val="center"/>
          </w:tcPr>
          <w:p w14:paraId="1F1F6097">
            <w:pPr>
              <w:pStyle w:val="12"/>
            </w:pPr>
            <w:r>
              <w:t>防欺凌报警系统套数</w:t>
            </w:r>
          </w:p>
        </w:tc>
        <w:tc>
          <w:tcPr>
            <w:tcW w:w="2268" w:type="dxa"/>
            <w:vAlign w:val="center"/>
          </w:tcPr>
          <w:p w14:paraId="76BB15A0">
            <w:pPr>
              <w:pStyle w:val="12"/>
            </w:pPr>
            <w:r>
              <w:t>1套</w:t>
            </w:r>
          </w:p>
        </w:tc>
        <w:tc>
          <w:tcPr>
            <w:tcW w:w="1276" w:type="dxa"/>
            <w:vAlign w:val="center"/>
          </w:tcPr>
          <w:p w14:paraId="3F577649">
            <w:pPr>
              <w:pStyle w:val="12"/>
            </w:pPr>
            <w:r>
              <w:t>项目规划</w:t>
            </w:r>
          </w:p>
        </w:tc>
      </w:tr>
      <w:tr w14:paraId="2955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2C0C3"/>
        </w:tc>
        <w:tc>
          <w:tcPr>
            <w:tcW w:w="2268" w:type="dxa"/>
            <w:vAlign w:val="center"/>
          </w:tcPr>
          <w:p w14:paraId="1D532B15">
            <w:pPr>
              <w:pStyle w:val="12"/>
            </w:pPr>
            <w:r>
              <w:t>质量指标</w:t>
            </w:r>
          </w:p>
        </w:tc>
        <w:tc>
          <w:tcPr>
            <w:tcW w:w="2835" w:type="dxa"/>
            <w:vAlign w:val="center"/>
          </w:tcPr>
          <w:p w14:paraId="0D9B9622">
            <w:pPr>
              <w:pStyle w:val="12"/>
            </w:pPr>
            <w:r>
              <w:t>工程实施验收合格率</w:t>
            </w:r>
          </w:p>
        </w:tc>
        <w:tc>
          <w:tcPr>
            <w:tcW w:w="5386" w:type="dxa"/>
            <w:vAlign w:val="center"/>
          </w:tcPr>
          <w:p w14:paraId="49300765">
            <w:pPr>
              <w:pStyle w:val="12"/>
            </w:pPr>
            <w:r>
              <w:t>申报程序的合规，项目实施及资金使用符合项目规划</w:t>
            </w:r>
          </w:p>
        </w:tc>
        <w:tc>
          <w:tcPr>
            <w:tcW w:w="2268" w:type="dxa"/>
            <w:vAlign w:val="center"/>
          </w:tcPr>
          <w:p w14:paraId="31AF4060">
            <w:pPr>
              <w:pStyle w:val="12"/>
            </w:pPr>
            <w:r>
              <w:t>100%</w:t>
            </w:r>
          </w:p>
        </w:tc>
        <w:tc>
          <w:tcPr>
            <w:tcW w:w="1276" w:type="dxa"/>
            <w:vAlign w:val="center"/>
          </w:tcPr>
          <w:p w14:paraId="5CA47F74">
            <w:pPr>
              <w:pStyle w:val="12"/>
            </w:pPr>
            <w:r>
              <w:t>项目规划</w:t>
            </w:r>
          </w:p>
        </w:tc>
      </w:tr>
      <w:tr w14:paraId="6C85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751F7"/>
        </w:tc>
        <w:tc>
          <w:tcPr>
            <w:tcW w:w="2268" w:type="dxa"/>
            <w:vAlign w:val="center"/>
          </w:tcPr>
          <w:p w14:paraId="09C48E3C">
            <w:pPr>
              <w:pStyle w:val="12"/>
            </w:pPr>
            <w:r>
              <w:t>时效指标</w:t>
            </w:r>
          </w:p>
        </w:tc>
        <w:tc>
          <w:tcPr>
            <w:tcW w:w="2835" w:type="dxa"/>
            <w:vAlign w:val="center"/>
          </w:tcPr>
          <w:p w14:paraId="2A6852C3">
            <w:pPr>
              <w:pStyle w:val="12"/>
            </w:pPr>
            <w:r>
              <w:t>资金支付率</w:t>
            </w:r>
          </w:p>
        </w:tc>
        <w:tc>
          <w:tcPr>
            <w:tcW w:w="5386" w:type="dxa"/>
            <w:vAlign w:val="center"/>
          </w:tcPr>
          <w:p w14:paraId="344DE1DA">
            <w:pPr>
              <w:pStyle w:val="12"/>
            </w:pPr>
            <w:r>
              <w:t>按照序时进度完成资金支付</w:t>
            </w:r>
          </w:p>
        </w:tc>
        <w:tc>
          <w:tcPr>
            <w:tcW w:w="2268" w:type="dxa"/>
            <w:vAlign w:val="center"/>
          </w:tcPr>
          <w:p w14:paraId="08F0512E">
            <w:pPr>
              <w:pStyle w:val="12"/>
            </w:pPr>
            <w:r>
              <w:t>100%</w:t>
            </w:r>
          </w:p>
        </w:tc>
        <w:tc>
          <w:tcPr>
            <w:tcW w:w="1276" w:type="dxa"/>
            <w:vAlign w:val="center"/>
          </w:tcPr>
          <w:p w14:paraId="7B82D94D">
            <w:pPr>
              <w:pStyle w:val="12"/>
            </w:pPr>
            <w:r>
              <w:t>项目规划</w:t>
            </w:r>
          </w:p>
        </w:tc>
      </w:tr>
      <w:tr w14:paraId="4197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8A63C"/>
        </w:tc>
        <w:tc>
          <w:tcPr>
            <w:tcW w:w="2268" w:type="dxa"/>
            <w:vAlign w:val="center"/>
          </w:tcPr>
          <w:p w14:paraId="500FAEC6">
            <w:pPr>
              <w:pStyle w:val="12"/>
            </w:pPr>
            <w:r>
              <w:t>成本指标</w:t>
            </w:r>
          </w:p>
        </w:tc>
        <w:tc>
          <w:tcPr>
            <w:tcW w:w="2835" w:type="dxa"/>
            <w:vAlign w:val="center"/>
          </w:tcPr>
          <w:p w14:paraId="0A529E4D">
            <w:pPr>
              <w:pStyle w:val="12"/>
            </w:pPr>
            <w:r>
              <w:t>项目成本控制情况</w:t>
            </w:r>
          </w:p>
        </w:tc>
        <w:tc>
          <w:tcPr>
            <w:tcW w:w="5386" w:type="dxa"/>
            <w:vAlign w:val="center"/>
          </w:tcPr>
          <w:p w14:paraId="06243C09">
            <w:pPr>
              <w:pStyle w:val="12"/>
            </w:pPr>
            <w:r>
              <w:t>严格按照招标价格及审计额进行</w:t>
            </w:r>
          </w:p>
        </w:tc>
        <w:tc>
          <w:tcPr>
            <w:tcW w:w="2268" w:type="dxa"/>
            <w:vAlign w:val="center"/>
          </w:tcPr>
          <w:p w14:paraId="0F9879B8">
            <w:pPr>
              <w:pStyle w:val="12"/>
            </w:pPr>
            <w:r>
              <w:t>100%</w:t>
            </w:r>
          </w:p>
        </w:tc>
        <w:tc>
          <w:tcPr>
            <w:tcW w:w="1276" w:type="dxa"/>
            <w:vAlign w:val="center"/>
          </w:tcPr>
          <w:p w14:paraId="4251EFF3">
            <w:pPr>
              <w:pStyle w:val="12"/>
            </w:pPr>
            <w:r>
              <w:t>项目规划</w:t>
            </w:r>
          </w:p>
        </w:tc>
      </w:tr>
      <w:tr w14:paraId="09FA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9CEBE">
            <w:pPr>
              <w:pStyle w:val="13"/>
            </w:pPr>
            <w:r>
              <w:t>效益指标</w:t>
            </w:r>
          </w:p>
        </w:tc>
        <w:tc>
          <w:tcPr>
            <w:tcW w:w="2268" w:type="dxa"/>
            <w:vAlign w:val="center"/>
          </w:tcPr>
          <w:p w14:paraId="3D96B60C">
            <w:pPr>
              <w:pStyle w:val="12"/>
            </w:pPr>
            <w:r>
              <w:t>可持续影响指标</w:t>
            </w:r>
          </w:p>
        </w:tc>
        <w:tc>
          <w:tcPr>
            <w:tcW w:w="2835" w:type="dxa"/>
            <w:vAlign w:val="center"/>
          </w:tcPr>
          <w:p w14:paraId="207A2565">
            <w:pPr>
              <w:pStyle w:val="12"/>
            </w:pPr>
            <w:r>
              <w:t>学生受教育年限</w:t>
            </w:r>
          </w:p>
        </w:tc>
        <w:tc>
          <w:tcPr>
            <w:tcW w:w="5386" w:type="dxa"/>
            <w:vAlign w:val="center"/>
          </w:tcPr>
          <w:p w14:paraId="1595D956">
            <w:pPr>
              <w:pStyle w:val="12"/>
            </w:pPr>
            <w:r>
              <w:t>学生受教育年限</w:t>
            </w:r>
          </w:p>
        </w:tc>
        <w:tc>
          <w:tcPr>
            <w:tcW w:w="2268" w:type="dxa"/>
            <w:vAlign w:val="center"/>
          </w:tcPr>
          <w:p w14:paraId="0BCDEC46">
            <w:pPr>
              <w:pStyle w:val="12"/>
            </w:pPr>
            <w:r>
              <w:t>3年</w:t>
            </w:r>
          </w:p>
        </w:tc>
        <w:tc>
          <w:tcPr>
            <w:tcW w:w="1276" w:type="dxa"/>
            <w:vAlign w:val="center"/>
          </w:tcPr>
          <w:p w14:paraId="13BF9429">
            <w:pPr>
              <w:pStyle w:val="12"/>
            </w:pPr>
            <w:r>
              <w:t>项目规划</w:t>
            </w:r>
          </w:p>
        </w:tc>
      </w:tr>
      <w:tr w14:paraId="0B89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7D794">
            <w:pPr>
              <w:pStyle w:val="13"/>
            </w:pPr>
            <w:r>
              <w:t>满意度指标</w:t>
            </w:r>
          </w:p>
        </w:tc>
        <w:tc>
          <w:tcPr>
            <w:tcW w:w="2268" w:type="dxa"/>
            <w:vAlign w:val="center"/>
          </w:tcPr>
          <w:p w14:paraId="4849DCAE">
            <w:pPr>
              <w:pStyle w:val="12"/>
            </w:pPr>
            <w:r>
              <w:t>服务对象满意度指标</w:t>
            </w:r>
          </w:p>
        </w:tc>
        <w:tc>
          <w:tcPr>
            <w:tcW w:w="2835" w:type="dxa"/>
            <w:vAlign w:val="center"/>
          </w:tcPr>
          <w:p w14:paraId="3305F437">
            <w:pPr>
              <w:pStyle w:val="12"/>
            </w:pPr>
            <w:r>
              <w:t>受益学生家长及调查满意度</w:t>
            </w:r>
          </w:p>
        </w:tc>
        <w:tc>
          <w:tcPr>
            <w:tcW w:w="5386" w:type="dxa"/>
            <w:vAlign w:val="center"/>
          </w:tcPr>
          <w:p w14:paraId="2BBA4C9B">
            <w:pPr>
              <w:pStyle w:val="12"/>
            </w:pPr>
            <w:r>
              <w:t>学生、教师及家长对学校教学环境满意度情况</w:t>
            </w:r>
          </w:p>
        </w:tc>
        <w:tc>
          <w:tcPr>
            <w:tcW w:w="2268" w:type="dxa"/>
            <w:vAlign w:val="center"/>
          </w:tcPr>
          <w:p w14:paraId="4C916953">
            <w:pPr>
              <w:pStyle w:val="12"/>
            </w:pPr>
            <w:r>
              <w:t>≥95%</w:t>
            </w:r>
          </w:p>
        </w:tc>
        <w:tc>
          <w:tcPr>
            <w:tcW w:w="1276" w:type="dxa"/>
            <w:vAlign w:val="center"/>
          </w:tcPr>
          <w:p w14:paraId="12F17A06">
            <w:pPr>
              <w:pStyle w:val="12"/>
            </w:pPr>
            <w:r>
              <w:t>调查问卷</w:t>
            </w:r>
          </w:p>
        </w:tc>
      </w:tr>
    </w:tbl>
    <w:p w14:paraId="2710A3A8">
      <w:pPr>
        <w:sectPr>
          <w:pgSz w:w="16840" w:h="11900" w:orient="landscape"/>
          <w:pgMar w:top="1361" w:right="1020" w:bottom="1134" w:left="1020" w:header="720" w:footer="720" w:gutter="0"/>
          <w:cols w:space="720" w:num="1"/>
        </w:sectPr>
      </w:pPr>
    </w:p>
    <w:p w14:paraId="284CFE2A">
      <w:pPr>
        <w:spacing w:before="0" w:after="0"/>
        <w:ind w:firstLine="560"/>
        <w:jc w:val="left"/>
        <w:outlineLvl w:val="9"/>
      </w:pPr>
      <w:r>
        <w:rPr>
          <w:rFonts w:ascii="方正仿宋_GBK" w:hAnsi="方正仿宋_GBK" w:eastAsia="方正仿宋_GBK" w:cs="方正仿宋_GBK"/>
          <w:b/>
          <w:color w:val="000000"/>
          <w:sz w:val="28"/>
        </w:rPr>
        <w:t>8、冀财教[2025]148号/支持义务教育发展/尧山中学学生桌凳购置绩效目标表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13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859E7">
            <w:pPr>
              <w:pStyle w:val="11"/>
            </w:pPr>
            <w:r>
              <w:t>单位：万元</w:t>
            </w:r>
          </w:p>
        </w:tc>
      </w:tr>
      <w:tr w14:paraId="3A16F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5C830">
            <w:pPr>
              <w:pStyle w:val="10"/>
            </w:pPr>
            <w:r>
              <w:t>项目编码</w:t>
            </w:r>
          </w:p>
        </w:tc>
        <w:tc>
          <w:tcPr>
            <w:tcW w:w="5103" w:type="dxa"/>
            <w:gridSpan w:val="2"/>
            <w:vAlign w:val="center"/>
          </w:tcPr>
          <w:p w14:paraId="2BFE08CB">
            <w:pPr>
              <w:pStyle w:val="12"/>
            </w:pPr>
            <w:r>
              <w:t>13052526P00000210107M</w:t>
            </w:r>
          </w:p>
        </w:tc>
        <w:tc>
          <w:tcPr>
            <w:tcW w:w="2835" w:type="dxa"/>
            <w:vAlign w:val="center"/>
          </w:tcPr>
          <w:p w14:paraId="3F3AD091">
            <w:pPr>
              <w:pStyle w:val="10"/>
            </w:pPr>
            <w:r>
              <w:t>项目名称</w:t>
            </w:r>
          </w:p>
        </w:tc>
        <w:tc>
          <w:tcPr>
            <w:tcW w:w="6095" w:type="dxa"/>
            <w:gridSpan w:val="3"/>
            <w:vAlign w:val="center"/>
          </w:tcPr>
          <w:p w14:paraId="51546F08">
            <w:pPr>
              <w:pStyle w:val="12"/>
            </w:pPr>
            <w:r>
              <w:t>冀财教[2025]148号/支持义务教育发展/尧山中学学生桌凳购置</w:t>
            </w:r>
          </w:p>
        </w:tc>
      </w:tr>
      <w:tr w14:paraId="6E115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DDADF">
            <w:pPr>
              <w:pStyle w:val="10"/>
            </w:pPr>
            <w:r>
              <w:t>预算规模及资金用途</w:t>
            </w:r>
          </w:p>
        </w:tc>
        <w:tc>
          <w:tcPr>
            <w:tcW w:w="2268" w:type="dxa"/>
            <w:vAlign w:val="center"/>
          </w:tcPr>
          <w:p w14:paraId="2C28B7F7">
            <w:pPr>
              <w:pStyle w:val="10"/>
            </w:pPr>
            <w:r>
              <w:t>预算数</w:t>
            </w:r>
          </w:p>
        </w:tc>
        <w:tc>
          <w:tcPr>
            <w:tcW w:w="2835" w:type="dxa"/>
            <w:vAlign w:val="center"/>
          </w:tcPr>
          <w:p w14:paraId="45B9E451">
            <w:pPr>
              <w:pStyle w:val="12"/>
            </w:pPr>
            <w:r>
              <w:t>28.00</w:t>
            </w:r>
          </w:p>
        </w:tc>
        <w:tc>
          <w:tcPr>
            <w:tcW w:w="2835" w:type="dxa"/>
            <w:vAlign w:val="center"/>
          </w:tcPr>
          <w:p w14:paraId="262E535D">
            <w:pPr>
              <w:pStyle w:val="10"/>
            </w:pPr>
            <w:r>
              <w:t>其中：财政    资金</w:t>
            </w:r>
          </w:p>
        </w:tc>
        <w:tc>
          <w:tcPr>
            <w:tcW w:w="2551" w:type="dxa"/>
            <w:vAlign w:val="center"/>
          </w:tcPr>
          <w:p w14:paraId="350F7E76">
            <w:pPr>
              <w:pStyle w:val="12"/>
            </w:pPr>
            <w:r>
              <w:t>28.00</w:t>
            </w:r>
          </w:p>
        </w:tc>
        <w:tc>
          <w:tcPr>
            <w:tcW w:w="2268" w:type="dxa"/>
            <w:vAlign w:val="center"/>
          </w:tcPr>
          <w:p w14:paraId="74F7EB1E">
            <w:pPr>
              <w:pStyle w:val="10"/>
            </w:pPr>
            <w:r>
              <w:t>其他资金</w:t>
            </w:r>
          </w:p>
        </w:tc>
        <w:tc>
          <w:tcPr>
            <w:tcW w:w="1276" w:type="dxa"/>
            <w:vAlign w:val="center"/>
          </w:tcPr>
          <w:p w14:paraId="0961980D">
            <w:pPr>
              <w:pStyle w:val="12"/>
            </w:pPr>
            <w:r>
              <w:t xml:space="preserve"> </w:t>
            </w:r>
          </w:p>
        </w:tc>
      </w:tr>
      <w:tr w14:paraId="5EA4D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68D15"/>
        </w:tc>
        <w:tc>
          <w:tcPr>
            <w:tcW w:w="14033" w:type="dxa"/>
            <w:gridSpan w:val="6"/>
            <w:vAlign w:val="center"/>
          </w:tcPr>
          <w:p w14:paraId="3E52F8CF">
            <w:pPr>
              <w:pStyle w:val="12"/>
            </w:pPr>
            <w:r>
              <w:t>加大公办学校建设投资力度，提升学校形象，改善义务教育阶段办学条件，创造良好的校园环境。</w:t>
            </w:r>
          </w:p>
        </w:tc>
      </w:tr>
      <w:tr w14:paraId="5FC9E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0A6F4">
            <w:pPr>
              <w:pStyle w:val="10"/>
            </w:pPr>
            <w:r>
              <w:t>资金支出计划（%）</w:t>
            </w:r>
          </w:p>
        </w:tc>
        <w:tc>
          <w:tcPr>
            <w:tcW w:w="5103" w:type="dxa"/>
            <w:gridSpan w:val="2"/>
            <w:vAlign w:val="center"/>
          </w:tcPr>
          <w:p w14:paraId="52988A65">
            <w:pPr>
              <w:pStyle w:val="10"/>
            </w:pPr>
            <w:r>
              <w:t>3月底</w:t>
            </w:r>
          </w:p>
        </w:tc>
        <w:tc>
          <w:tcPr>
            <w:tcW w:w="2835" w:type="dxa"/>
            <w:vAlign w:val="center"/>
          </w:tcPr>
          <w:p w14:paraId="4342894D">
            <w:pPr>
              <w:pStyle w:val="10"/>
            </w:pPr>
            <w:r>
              <w:t>6月底</w:t>
            </w:r>
          </w:p>
        </w:tc>
        <w:tc>
          <w:tcPr>
            <w:tcW w:w="2551" w:type="dxa"/>
            <w:vAlign w:val="center"/>
          </w:tcPr>
          <w:p w14:paraId="69562B1A">
            <w:pPr>
              <w:pStyle w:val="10"/>
            </w:pPr>
            <w:r>
              <w:t>10月底</w:t>
            </w:r>
          </w:p>
        </w:tc>
        <w:tc>
          <w:tcPr>
            <w:tcW w:w="3544" w:type="dxa"/>
            <w:gridSpan w:val="2"/>
            <w:vAlign w:val="center"/>
          </w:tcPr>
          <w:p w14:paraId="02B75C7E">
            <w:pPr>
              <w:pStyle w:val="10"/>
            </w:pPr>
            <w:r>
              <w:t>12月底</w:t>
            </w:r>
          </w:p>
        </w:tc>
      </w:tr>
      <w:tr w14:paraId="1C7B0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2910A"/>
        </w:tc>
        <w:tc>
          <w:tcPr>
            <w:tcW w:w="5103" w:type="dxa"/>
            <w:gridSpan w:val="2"/>
            <w:vAlign w:val="center"/>
          </w:tcPr>
          <w:p w14:paraId="4FB14FF8">
            <w:pPr>
              <w:pStyle w:val="13"/>
            </w:pPr>
            <w:r>
              <w:t xml:space="preserve"> </w:t>
            </w:r>
          </w:p>
        </w:tc>
        <w:tc>
          <w:tcPr>
            <w:tcW w:w="2835" w:type="dxa"/>
            <w:vAlign w:val="center"/>
          </w:tcPr>
          <w:p w14:paraId="208B3C04">
            <w:pPr>
              <w:pStyle w:val="13"/>
            </w:pPr>
            <w:r>
              <w:t xml:space="preserve"> </w:t>
            </w:r>
          </w:p>
        </w:tc>
        <w:tc>
          <w:tcPr>
            <w:tcW w:w="2551" w:type="dxa"/>
            <w:vAlign w:val="center"/>
          </w:tcPr>
          <w:p w14:paraId="159F63E1">
            <w:pPr>
              <w:pStyle w:val="13"/>
            </w:pPr>
            <w:r>
              <w:t>100%</w:t>
            </w:r>
          </w:p>
        </w:tc>
        <w:tc>
          <w:tcPr>
            <w:tcW w:w="3544" w:type="dxa"/>
            <w:gridSpan w:val="2"/>
            <w:vAlign w:val="center"/>
          </w:tcPr>
          <w:p w14:paraId="7ED5606F">
            <w:pPr>
              <w:pStyle w:val="13"/>
            </w:pPr>
            <w:r>
              <w:t>100%</w:t>
            </w:r>
          </w:p>
        </w:tc>
      </w:tr>
      <w:tr w14:paraId="7A312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7CBC4">
            <w:pPr>
              <w:pStyle w:val="10"/>
            </w:pPr>
            <w:r>
              <w:t>绩效目标</w:t>
            </w:r>
          </w:p>
        </w:tc>
        <w:tc>
          <w:tcPr>
            <w:tcW w:w="14033" w:type="dxa"/>
            <w:gridSpan w:val="6"/>
            <w:vAlign w:val="center"/>
          </w:tcPr>
          <w:p w14:paraId="44A7DEAA">
            <w:pPr>
              <w:pStyle w:val="12"/>
            </w:pPr>
            <w:r>
              <w:t>1.加大公办学校建设投资力度，提升学校形象，改善义务教育阶段办学条件，创造良好的校园环境。</w:t>
            </w:r>
          </w:p>
          <w:p w14:paraId="5064E324">
            <w:pPr>
              <w:pStyle w:val="12"/>
            </w:pPr>
            <w:r>
              <w:t>2.项目需资金280000元，资金拨付率达到100%。</w:t>
            </w:r>
          </w:p>
        </w:tc>
      </w:tr>
    </w:tbl>
    <w:p w14:paraId="582A9C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2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357B8">
            <w:pPr>
              <w:pStyle w:val="10"/>
            </w:pPr>
            <w:r>
              <w:t>一级指标</w:t>
            </w:r>
          </w:p>
        </w:tc>
        <w:tc>
          <w:tcPr>
            <w:tcW w:w="2268" w:type="dxa"/>
            <w:vAlign w:val="center"/>
          </w:tcPr>
          <w:p w14:paraId="69872ABF">
            <w:pPr>
              <w:pStyle w:val="10"/>
            </w:pPr>
            <w:r>
              <w:t>二级指标</w:t>
            </w:r>
          </w:p>
        </w:tc>
        <w:tc>
          <w:tcPr>
            <w:tcW w:w="2835" w:type="dxa"/>
            <w:vAlign w:val="center"/>
          </w:tcPr>
          <w:p w14:paraId="1175473A">
            <w:pPr>
              <w:pStyle w:val="10"/>
            </w:pPr>
            <w:r>
              <w:t>三级指标</w:t>
            </w:r>
          </w:p>
        </w:tc>
        <w:tc>
          <w:tcPr>
            <w:tcW w:w="5386" w:type="dxa"/>
            <w:vAlign w:val="center"/>
          </w:tcPr>
          <w:p w14:paraId="216DE8A0">
            <w:pPr>
              <w:pStyle w:val="10"/>
            </w:pPr>
            <w:r>
              <w:t>绩效指标描述</w:t>
            </w:r>
          </w:p>
        </w:tc>
        <w:tc>
          <w:tcPr>
            <w:tcW w:w="2268" w:type="dxa"/>
            <w:vAlign w:val="center"/>
          </w:tcPr>
          <w:p w14:paraId="7246F832">
            <w:pPr>
              <w:pStyle w:val="10"/>
            </w:pPr>
            <w:r>
              <w:t>指标值</w:t>
            </w:r>
          </w:p>
        </w:tc>
        <w:tc>
          <w:tcPr>
            <w:tcW w:w="1276" w:type="dxa"/>
            <w:vAlign w:val="center"/>
          </w:tcPr>
          <w:p w14:paraId="226118C8">
            <w:pPr>
              <w:pStyle w:val="10"/>
            </w:pPr>
            <w:r>
              <w:t>指标值确定依据</w:t>
            </w:r>
          </w:p>
        </w:tc>
      </w:tr>
      <w:tr w14:paraId="6A08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94F3A">
            <w:pPr>
              <w:pStyle w:val="13"/>
            </w:pPr>
            <w:r>
              <w:t>产出指标</w:t>
            </w:r>
          </w:p>
        </w:tc>
        <w:tc>
          <w:tcPr>
            <w:tcW w:w="2268" w:type="dxa"/>
            <w:vAlign w:val="center"/>
          </w:tcPr>
          <w:p w14:paraId="1005DF35">
            <w:pPr>
              <w:pStyle w:val="12"/>
            </w:pPr>
            <w:r>
              <w:t>数量指标</w:t>
            </w:r>
          </w:p>
        </w:tc>
        <w:tc>
          <w:tcPr>
            <w:tcW w:w="2835" w:type="dxa"/>
            <w:vAlign w:val="center"/>
          </w:tcPr>
          <w:p w14:paraId="36FB0DC3">
            <w:pPr>
              <w:pStyle w:val="12"/>
            </w:pPr>
            <w:r>
              <w:t>购置学生桌凳</w:t>
            </w:r>
          </w:p>
        </w:tc>
        <w:tc>
          <w:tcPr>
            <w:tcW w:w="5386" w:type="dxa"/>
            <w:vAlign w:val="center"/>
          </w:tcPr>
          <w:p w14:paraId="153593C0">
            <w:pPr>
              <w:pStyle w:val="12"/>
            </w:pPr>
            <w:r>
              <w:t>学生桌凳套数</w:t>
            </w:r>
          </w:p>
        </w:tc>
        <w:tc>
          <w:tcPr>
            <w:tcW w:w="2268" w:type="dxa"/>
            <w:vAlign w:val="center"/>
          </w:tcPr>
          <w:p w14:paraId="39CE9F47">
            <w:pPr>
              <w:pStyle w:val="12"/>
            </w:pPr>
            <w:r>
              <w:t>1000套</w:t>
            </w:r>
          </w:p>
        </w:tc>
        <w:tc>
          <w:tcPr>
            <w:tcW w:w="1276" w:type="dxa"/>
            <w:vAlign w:val="center"/>
          </w:tcPr>
          <w:p w14:paraId="65C4EA3A">
            <w:pPr>
              <w:pStyle w:val="12"/>
            </w:pPr>
            <w:r>
              <w:t>项目规划</w:t>
            </w:r>
          </w:p>
        </w:tc>
      </w:tr>
      <w:tr w14:paraId="5FE6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ECC59"/>
        </w:tc>
        <w:tc>
          <w:tcPr>
            <w:tcW w:w="2268" w:type="dxa"/>
            <w:vAlign w:val="center"/>
          </w:tcPr>
          <w:p w14:paraId="00B8A964">
            <w:pPr>
              <w:pStyle w:val="12"/>
            </w:pPr>
            <w:r>
              <w:t>质量指标</w:t>
            </w:r>
          </w:p>
        </w:tc>
        <w:tc>
          <w:tcPr>
            <w:tcW w:w="2835" w:type="dxa"/>
            <w:vAlign w:val="center"/>
          </w:tcPr>
          <w:p w14:paraId="6BD293F4">
            <w:pPr>
              <w:pStyle w:val="12"/>
            </w:pPr>
            <w:r>
              <w:t>工程实施验收合格率</w:t>
            </w:r>
          </w:p>
        </w:tc>
        <w:tc>
          <w:tcPr>
            <w:tcW w:w="5386" w:type="dxa"/>
            <w:vAlign w:val="center"/>
          </w:tcPr>
          <w:p w14:paraId="580979E4">
            <w:pPr>
              <w:pStyle w:val="12"/>
            </w:pPr>
            <w:r>
              <w:t>申报程序的合规，项目实施及资金使用符合项目规划</w:t>
            </w:r>
          </w:p>
        </w:tc>
        <w:tc>
          <w:tcPr>
            <w:tcW w:w="2268" w:type="dxa"/>
            <w:vAlign w:val="center"/>
          </w:tcPr>
          <w:p w14:paraId="0EC642DB">
            <w:pPr>
              <w:pStyle w:val="12"/>
            </w:pPr>
            <w:r>
              <w:t>100%</w:t>
            </w:r>
          </w:p>
        </w:tc>
        <w:tc>
          <w:tcPr>
            <w:tcW w:w="1276" w:type="dxa"/>
            <w:vAlign w:val="center"/>
          </w:tcPr>
          <w:p w14:paraId="130CB3BE">
            <w:pPr>
              <w:pStyle w:val="12"/>
            </w:pPr>
            <w:r>
              <w:t>项目规划</w:t>
            </w:r>
          </w:p>
        </w:tc>
      </w:tr>
      <w:tr w14:paraId="27ED6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535EE"/>
        </w:tc>
        <w:tc>
          <w:tcPr>
            <w:tcW w:w="2268" w:type="dxa"/>
            <w:vAlign w:val="center"/>
          </w:tcPr>
          <w:p w14:paraId="0B07E946">
            <w:pPr>
              <w:pStyle w:val="12"/>
            </w:pPr>
            <w:r>
              <w:t>时效指标</w:t>
            </w:r>
          </w:p>
        </w:tc>
        <w:tc>
          <w:tcPr>
            <w:tcW w:w="2835" w:type="dxa"/>
            <w:vAlign w:val="center"/>
          </w:tcPr>
          <w:p w14:paraId="3D11A405">
            <w:pPr>
              <w:pStyle w:val="12"/>
            </w:pPr>
            <w:r>
              <w:t>资金支付率</w:t>
            </w:r>
          </w:p>
        </w:tc>
        <w:tc>
          <w:tcPr>
            <w:tcW w:w="5386" w:type="dxa"/>
            <w:vAlign w:val="center"/>
          </w:tcPr>
          <w:p w14:paraId="32DABFB3">
            <w:pPr>
              <w:pStyle w:val="12"/>
            </w:pPr>
            <w:r>
              <w:t>按照序时进度完成资金支付</w:t>
            </w:r>
          </w:p>
        </w:tc>
        <w:tc>
          <w:tcPr>
            <w:tcW w:w="2268" w:type="dxa"/>
            <w:vAlign w:val="center"/>
          </w:tcPr>
          <w:p w14:paraId="749A6760">
            <w:pPr>
              <w:pStyle w:val="12"/>
            </w:pPr>
            <w:r>
              <w:t>100%</w:t>
            </w:r>
          </w:p>
        </w:tc>
        <w:tc>
          <w:tcPr>
            <w:tcW w:w="1276" w:type="dxa"/>
            <w:vAlign w:val="center"/>
          </w:tcPr>
          <w:p w14:paraId="06826B74">
            <w:pPr>
              <w:pStyle w:val="12"/>
            </w:pPr>
            <w:r>
              <w:t>项目规划</w:t>
            </w:r>
          </w:p>
        </w:tc>
      </w:tr>
      <w:tr w14:paraId="1FB6F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C7885"/>
        </w:tc>
        <w:tc>
          <w:tcPr>
            <w:tcW w:w="2268" w:type="dxa"/>
            <w:vAlign w:val="center"/>
          </w:tcPr>
          <w:p w14:paraId="18B43F1E">
            <w:pPr>
              <w:pStyle w:val="12"/>
            </w:pPr>
            <w:r>
              <w:t>成本指标</w:t>
            </w:r>
          </w:p>
        </w:tc>
        <w:tc>
          <w:tcPr>
            <w:tcW w:w="2835" w:type="dxa"/>
            <w:vAlign w:val="center"/>
          </w:tcPr>
          <w:p w14:paraId="6FF73B7E">
            <w:pPr>
              <w:pStyle w:val="12"/>
            </w:pPr>
            <w:r>
              <w:t>项目成本控制情况</w:t>
            </w:r>
          </w:p>
        </w:tc>
        <w:tc>
          <w:tcPr>
            <w:tcW w:w="5386" w:type="dxa"/>
            <w:vAlign w:val="center"/>
          </w:tcPr>
          <w:p w14:paraId="5284BE20">
            <w:pPr>
              <w:pStyle w:val="12"/>
            </w:pPr>
            <w:r>
              <w:t>严格按照招标价格及审计额进行</w:t>
            </w:r>
          </w:p>
        </w:tc>
        <w:tc>
          <w:tcPr>
            <w:tcW w:w="2268" w:type="dxa"/>
            <w:vAlign w:val="center"/>
          </w:tcPr>
          <w:p w14:paraId="33614874">
            <w:pPr>
              <w:pStyle w:val="12"/>
            </w:pPr>
            <w:r>
              <w:t>100%</w:t>
            </w:r>
          </w:p>
        </w:tc>
        <w:tc>
          <w:tcPr>
            <w:tcW w:w="1276" w:type="dxa"/>
            <w:vAlign w:val="center"/>
          </w:tcPr>
          <w:p w14:paraId="62F29AC0">
            <w:pPr>
              <w:pStyle w:val="12"/>
            </w:pPr>
            <w:r>
              <w:t>项目规划</w:t>
            </w:r>
          </w:p>
        </w:tc>
      </w:tr>
      <w:tr w14:paraId="12FF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658D2">
            <w:pPr>
              <w:pStyle w:val="13"/>
            </w:pPr>
            <w:r>
              <w:t>效益指标</w:t>
            </w:r>
          </w:p>
        </w:tc>
        <w:tc>
          <w:tcPr>
            <w:tcW w:w="2268" w:type="dxa"/>
            <w:vAlign w:val="center"/>
          </w:tcPr>
          <w:p w14:paraId="2CC144FA">
            <w:pPr>
              <w:pStyle w:val="12"/>
            </w:pPr>
            <w:r>
              <w:t>可持续影响指标</w:t>
            </w:r>
          </w:p>
        </w:tc>
        <w:tc>
          <w:tcPr>
            <w:tcW w:w="2835" w:type="dxa"/>
            <w:vAlign w:val="center"/>
          </w:tcPr>
          <w:p w14:paraId="550571CA">
            <w:pPr>
              <w:pStyle w:val="12"/>
            </w:pPr>
            <w:r>
              <w:t>学生受教育年限</w:t>
            </w:r>
          </w:p>
        </w:tc>
        <w:tc>
          <w:tcPr>
            <w:tcW w:w="5386" w:type="dxa"/>
            <w:vAlign w:val="center"/>
          </w:tcPr>
          <w:p w14:paraId="70F25AEF">
            <w:pPr>
              <w:pStyle w:val="12"/>
            </w:pPr>
            <w:r>
              <w:t>学生受教育年限</w:t>
            </w:r>
          </w:p>
        </w:tc>
        <w:tc>
          <w:tcPr>
            <w:tcW w:w="2268" w:type="dxa"/>
            <w:vAlign w:val="center"/>
          </w:tcPr>
          <w:p w14:paraId="378085C9">
            <w:pPr>
              <w:pStyle w:val="12"/>
            </w:pPr>
            <w:r>
              <w:t>3年</w:t>
            </w:r>
          </w:p>
        </w:tc>
        <w:tc>
          <w:tcPr>
            <w:tcW w:w="1276" w:type="dxa"/>
            <w:vAlign w:val="center"/>
          </w:tcPr>
          <w:p w14:paraId="1E42AFF7">
            <w:pPr>
              <w:pStyle w:val="12"/>
            </w:pPr>
            <w:r>
              <w:t>项目规划</w:t>
            </w:r>
          </w:p>
        </w:tc>
      </w:tr>
      <w:tr w14:paraId="0152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7D224">
            <w:pPr>
              <w:pStyle w:val="13"/>
            </w:pPr>
            <w:r>
              <w:t>满意度指标</w:t>
            </w:r>
          </w:p>
        </w:tc>
        <w:tc>
          <w:tcPr>
            <w:tcW w:w="2268" w:type="dxa"/>
            <w:vAlign w:val="center"/>
          </w:tcPr>
          <w:p w14:paraId="4055EC21">
            <w:pPr>
              <w:pStyle w:val="12"/>
            </w:pPr>
            <w:r>
              <w:t>服务对象满意度指标</w:t>
            </w:r>
          </w:p>
        </w:tc>
        <w:tc>
          <w:tcPr>
            <w:tcW w:w="2835" w:type="dxa"/>
            <w:vAlign w:val="center"/>
          </w:tcPr>
          <w:p w14:paraId="6730B0C5">
            <w:pPr>
              <w:pStyle w:val="12"/>
            </w:pPr>
            <w:r>
              <w:t>受益学生家长及调查满意度</w:t>
            </w:r>
          </w:p>
        </w:tc>
        <w:tc>
          <w:tcPr>
            <w:tcW w:w="5386" w:type="dxa"/>
            <w:vAlign w:val="center"/>
          </w:tcPr>
          <w:p w14:paraId="322CEDD6">
            <w:pPr>
              <w:pStyle w:val="12"/>
            </w:pPr>
            <w:r>
              <w:t>学生、教师及家长对学校教学环境满意度情况</w:t>
            </w:r>
          </w:p>
        </w:tc>
        <w:tc>
          <w:tcPr>
            <w:tcW w:w="2268" w:type="dxa"/>
            <w:vAlign w:val="center"/>
          </w:tcPr>
          <w:p w14:paraId="0104F686">
            <w:pPr>
              <w:pStyle w:val="12"/>
            </w:pPr>
            <w:r>
              <w:t>≥95%</w:t>
            </w:r>
          </w:p>
        </w:tc>
        <w:tc>
          <w:tcPr>
            <w:tcW w:w="1276" w:type="dxa"/>
            <w:vAlign w:val="center"/>
          </w:tcPr>
          <w:p w14:paraId="32CDCFF6">
            <w:pPr>
              <w:pStyle w:val="12"/>
            </w:pPr>
            <w:r>
              <w:t>调查问卷</w:t>
            </w:r>
          </w:p>
        </w:tc>
      </w:tr>
    </w:tbl>
    <w:p w14:paraId="50F9F41E">
      <w:pPr>
        <w:sectPr>
          <w:pgSz w:w="16840" w:h="11900" w:orient="landscape"/>
          <w:pgMar w:top="1361" w:right="1020" w:bottom="1134" w:left="1020" w:header="720" w:footer="720" w:gutter="0"/>
          <w:cols w:space="720" w:num="1"/>
        </w:sectPr>
      </w:pPr>
    </w:p>
    <w:p w14:paraId="02B35ECD">
      <w:pPr>
        <w:spacing w:before="0" w:after="0"/>
        <w:ind w:firstLine="560"/>
        <w:jc w:val="left"/>
        <w:outlineLvl w:val="9"/>
      </w:pPr>
      <w:r>
        <w:rPr>
          <w:rFonts w:ascii="方正仿宋_GBK" w:hAnsi="方正仿宋_GBK" w:eastAsia="方正仿宋_GBK" w:cs="方正仿宋_GBK"/>
          <w:b/>
          <w:color w:val="000000"/>
          <w:sz w:val="28"/>
        </w:rPr>
        <w:t>9、退役军人公益岗（尧山中学）绩效目标表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A0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4E73D">
            <w:pPr>
              <w:pStyle w:val="11"/>
            </w:pPr>
            <w:r>
              <w:t>单位：万元</w:t>
            </w:r>
          </w:p>
        </w:tc>
      </w:tr>
      <w:tr w14:paraId="78D4B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CD4BF">
            <w:pPr>
              <w:pStyle w:val="10"/>
            </w:pPr>
            <w:r>
              <w:t>项目编码</w:t>
            </w:r>
          </w:p>
        </w:tc>
        <w:tc>
          <w:tcPr>
            <w:tcW w:w="5103" w:type="dxa"/>
            <w:gridSpan w:val="2"/>
            <w:vAlign w:val="center"/>
          </w:tcPr>
          <w:p w14:paraId="6D711AE5">
            <w:pPr>
              <w:pStyle w:val="12"/>
            </w:pPr>
            <w:r>
              <w:t>13052526P008707100158</w:t>
            </w:r>
          </w:p>
        </w:tc>
        <w:tc>
          <w:tcPr>
            <w:tcW w:w="2835" w:type="dxa"/>
            <w:vAlign w:val="center"/>
          </w:tcPr>
          <w:p w14:paraId="5F778537">
            <w:pPr>
              <w:pStyle w:val="10"/>
            </w:pPr>
            <w:r>
              <w:t>项目名称</w:t>
            </w:r>
          </w:p>
        </w:tc>
        <w:tc>
          <w:tcPr>
            <w:tcW w:w="6095" w:type="dxa"/>
            <w:gridSpan w:val="3"/>
            <w:vAlign w:val="center"/>
          </w:tcPr>
          <w:p w14:paraId="1AEAD2FE">
            <w:pPr>
              <w:pStyle w:val="12"/>
            </w:pPr>
            <w:r>
              <w:t>退役军人公益岗（尧山中学）</w:t>
            </w:r>
          </w:p>
        </w:tc>
      </w:tr>
      <w:tr w14:paraId="64C28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21DF0">
            <w:pPr>
              <w:pStyle w:val="10"/>
            </w:pPr>
            <w:r>
              <w:t>预算规模及资金用途</w:t>
            </w:r>
          </w:p>
        </w:tc>
        <w:tc>
          <w:tcPr>
            <w:tcW w:w="2268" w:type="dxa"/>
            <w:vAlign w:val="center"/>
          </w:tcPr>
          <w:p w14:paraId="7B807072">
            <w:pPr>
              <w:pStyle w:val="10"/>
            </w:pPr>
            <w:r>
              <w:t>预算数</w:t>
            </w:r>
          </w:p>
        </w:tc>
        <w:tc>
          <w:tcPr>
            <w:tcW w:w="2835" w:type="dxa"/>
            <w:vAlign w:val="center"/>
          </w:tcPr>
          <w:p w14:paraId="066A9EE2">
            <w:pPr>
              <w:pStyle w:val="12"/>
            </w:pPr>
            <w:r>
              <w:t>4.04</w:t>
            </w:r>
          </w:p>
        </w:tc>
        <w:tc>
          <w:tcPr>
            <w:tcW w:w="2835" w:type="dxa"/>
            <w:vAlign w:val="center"/>
          </w:tcPr>
          <w:p w14:paraId="6D6FB10D">
            <w:pPr>
              <w:pStyle w:val="10"/>
            </w:pPr>
            <w:r>
              <w:t>其中：财政    资金</w:t>
            </w:r>
          </w:p>
        </w:tc>
        <w:tc>
          <w:tcPr>
            <w:tcW w:w="2551" w:type="dxa"/>
            <w:vAlign w:val="center"/>
          </w:tcPr>
          <w:p w14:paraId="7B6414A4">
            <w:pPr>
              <w:pStyle w:val="12"/>
            </w:pPr>
            <w:r>
              <w:t>4.04</w:t>
            </w:r>
          </w:p>
        </w:tc>
        <w:tc>
          <w:tcPr>
            <w:tcW w:w="2268" w:type="dxa"/>
            <w:vAlign w:val="center"/>
          </w:tcPr>
          <w:p w14:paraId="22276BC9">
            <w:pPr>
              <w:pStyle w:val="10"/>
            </w:pPr>
            <w:r>
              <w:t>其他资金</w:t>
            </w:r>
          </w:p>
        </w:tc>
        <w:tc>
          <w:tcPr>
            <w:tcW w:w="1276" w:type="dxa"/>
            <w:vAlign w:val="center"/>
          </w:tcPr>
          <w:p w14:paraId="702C1FE0">
            <w:pPr>
              <w:pStyle w:val="12"/>
            </w:pPr>
            <w:r>
              <w:t xml:space="preserve"> </w:t>
            </w:r>
          </w:p>
        </w:tc>
      </w:tr>
      <w:tr w14:paraId="32E51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ABB21"/>
        </w:tc>
        <w:tc>
          <w:tcPr>
            <w:tcW w:w="14033" w:type="dxa"/>
            <w:gridSpan w:val="6"/>
            <w:vAlign w:val="center"/>
          </w:tcPr>
          <w:p w14:paraId="642F2B2F">
            <w:pPr>
              <w:pStyle w:val="12"/>
            </w:pPr>
            <w:r>
              <w:t>保障退役军人能更好</w:t>
            </w:r>
            <w:r>
              <w:rPr>
                <w:rFonts w:hint="eastAsia"/>
                <w:lang w:eastAsia="zh-CN"/>
              </w:rPr>
              <w:t>地</w:t>
            </w:r>
            <w:r>
              <w:t>为学校教育服务</w:t>
            </w:r>
          </w:p>
        </w:tc>
      </w:tr>
      <w:tr w14:paraId="5C8FD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4A31E">
            <w:pPr>
              <w:pStyle w:val="10"/>
            </w:pPr>
            <w:r>
              <w:t>资金支出计划（%）</w:t>
            </w:r>
          </w:p>
        </w:tc>
        <w:tc>
          <w:tcPr>
            <w:tcW w:w="5103" w:type="dxa"/>
            <w:gridSpan w:val="2"/>
            <w:vAlign w:val="center"/>
          </w:tcPr>
          <w:p w14:paraId="00EB2D56">
            <w:pPr>
              <w:pStyle w:val="10"/>
            </w:pPr>
            <w:r>
              <w:t>3月底</w:t>
            </w:r>
          </w:p>
        </w:tc>
        <w:tc>
          <w:tcPr>
            <w:tcW w:w="2835" w:type="dxa"/>
            <w:vAlign w:val="center"/>
          </w:tcPr>
          <w:p w14:paraId="105BA519">
            <w:pPr>
              <w:pStyle w:val="10"/>
            </w:pPr>
            <w:r>
              <w:t>6月底</w:t>
            </w:r>
          </w:p>
        </w:tc>
        <w:tc>
          <w:tcPr>
            <w:tcW w:w="2551" w:type="dxa"/>
            <w:vAlign w:val="center"/>
          </w:tcPr>
          <w:p w14:paraId="2292D432">
            <w:pPr>
              <w:pStyle w:val="10"/>
            </w:pPr>
            <w:r>
              <w:t>10月底</w:t>
            </w:r>
          </w:p>
        </w:tc>
        <w:tc>
          <w:tcPr>
            <w:tcW w:w="3544" w:type="dxa"/>
            <w:gridSpan w:val="2"/>
            <w:vAlign w:val="center"/>
          </w:tcPr>
          <w:p w14:paraId="3FE8EE1E">
            <w:pPr>
              <w:pStyle w:val="10"/>
            </w:pPr>
            <w:r>
              <w:t>12月底</w:t>
            </w:r>
          </w:p>
        </w:tc>
      </w:tr>
      <w:tr w14:paraId="57130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AE81B"/>
        </w:tc>
        <w:tc>
          <w:tcPr>
            <w:tcW w:w="5103" w:type="dxa"/>
            <w:gridSpan w:val="2"/>
            <w:vAlign w:val="center"/>
          </w:tcPr>
          <w:p w14:paraId="511C6AD5">
            <w:pPr>
              <w:pStyle w:val="13"/>
            </w:pPr>
            <w:r>
              <w:t>25%</w:t>
            </w:r>
          </w:p>
        </w:tc>
        <w:tc>
          <w:tcPr>
            <w:tcW w:w="2835" w:type="dxa"/>
            <w:vAlign w:val="center"/>
          </w:tcPr>
          <w:p w14:paraId="6ADA44FD">
            <w:pPr>
              <w:pStyle w:val="13"/>
            </w:pPr>
            <w:r>
              <w:t>50%</w:t>
            </w:r>
          </w:p>
        </w:tc>
        <w:tc>
          <w:tcPr>
            <w:tcW w:w="2551" w:type="dxa"/>
            <w:vAlign w:val="center"/>
          </w:tcPr>
          <w:p w14:paraId="7C3483B2">
            <w:pPr>
              <w:pStyle w:val="13"/>
            </w:pPr>
            <w:r>
              <w:t>75%</w:t>
            </w:r>
          </w:p>
        </w:tc>
        <w:tc>
          <w:tcPr>
            <w:tcW w:w="3544" w:type="dxa"/>
            <w:gridSpan w:val="2"/>
            <w:vAlign w:val="center"/>
          </w:tcPr>
          <w:p w14:paraId="011D472C">
            <w:pPr>
              <w:pStyle w:val="13"/>
            </w:pPr>
            <w:r>
              <w:t>100%</w:t>
            </w:r>
          </w:p>
        </w:tc>
      </w:tr>
      <w:tr w14:paraId="4D0E8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DBCEC">
            <w:pPr>
              <w:pStyle w:val="10"/>
            </w:pPr>
            <w:r>
              <w:t>绩效目标</w:t>
            </w:r>
          </w:p>
        </w:tc>
        <w:tc>
          <w:tcPr>
            <w:tcW w:w="14033" w:type="dxa"/>
            <w:gridSpan w:val="6"/>
            <w:vAlign w:val="center"/>
          </w:tcPr>
          <w:p w14:paraId="3ABC0DE4">
            <w:pPr>
              <w:pStyle w:val="12"/>
            </w:pPr>
            <w:r>
              <w:t>1.保障退役军人能更好</w:t>
            </w:r>
            <w:r>
              <w:rPr>
                <w:rFonts w:hint="eastAsia"/>
                <w:lang w:eastAsia="zh-CN"/>
              </w:rPr>
              <w:t>地</w:t>
            </w:r>
            <w:r>
              <w:t>为学校教育服务</w:t>
            </w:r>
          </w:p>
          <w:p w14:paraId="78791DB4">
            <w:pPr>
              <w:pStyle w:val="12"/>
            </w:pPr>
            <w:r>
              <w:t>2.按规定拨付退役军人专岗工资40407.44元，资金拨付率达到100%</w:t>
            </w:r>
          </w:p>
          <w:p w14:paraId="13998457">
            <w:pPr>
              <w:pStyle w:val="12"/>
            </w:pPr>
            <w:r>
              <w:t>3.有效减轻退役军人生活负担，保障退役军人能更好</w:t>
            </w:r>
            <w:r>
              <w:rPr>
                <w:rFonts w:hint="eastAsia"/>
                <w:lang w:eastAsia="zh-CN"/>
              </w:rPr>
              <w:t>地</w:t>
            </w:r>
            <w:r>
              <w:t>为教育事业服务</w:t>
            </w:r>
          </w:p>
        </w:tc>
      </w:tr>
    </w:tbl>
    <w:p w14:paraId="4E3044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30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4DFDF">
            <w:pPr>
              <w:pStyle w:val="10"/>
            </w:pPr>
            <w:r>
              <w:t>一级指标</w:t>
            </w:r>
          </w:p>
        </w:tc>
        <w:tc>
          <w:tcPr>
            <w:tcW w:w="2268" w:type="dxa"/>
            <w:vAlign w:val="center"/>
          </w:tcPr>
          <w:p w14:paraId="13B64844">
            <w:pPr>
              <w:pStyle w:val="10"/>
            </w:pPr>
            <w:r>
              <w:t>二级指标</w:t>
            </w:r>
          </w:p>
        </w:tc>
        <w:tc>
          <w:tcPr>
            <w:tcW w:w="2835" w:type="dxa"/>
            <w:vAlign w:val="center"/>
          </w:tcPr>
          <w:p w14:paraId="097CFC25">
            <w:pPr>
              <w:pStyle w:val="10"/>
            </w:pPr>
            <w:r>
              <w:t>三级指标</w:t>
            </w:r>
          </w:p>
        </w:tc>
        <w:tc>
          <w:tcPr>
            <w:tcW w:w="5386" w:type="dxa"/>
            <w:vAlign w:val="center"/>
          </w:tcPr>
          <w:p w14:paraId="3281F8E0">
            <w:pPr>
              <w:pStyle w:val="10"/>
            </w:pPr>
            <w:r>
              <w:t>绩效指标描述</w:t>
            </w:r>
          </w:p>
        </w:tc>
        <w:tc>
          <w:tcPr>
            <w:tcW w:w="2268" w:type="dxa"/>
            <w:vAlign w:val="center"/>
          </w:tcPr>
          <w:p w14:paraId="477BC2A5">
            <w:pPr>
              <w:pStyle w:val="10"/>
            </w:pPr>
            <w:r>
              <w:t>指标值</w:t>
            </w:r>
          </w:p>
        </w:tc>
        <w:tc>
          <w:tcPr>
            <w:tcW w:w="1276" w:type="dxa"/>
            <w:vAlign w:val="center"/>
          </w:tcPr>
          <w:p w14:paraId="1AD0D877">
            <w:pPr>
              <w:pStyle w:val="10"/>
            </w:pPr>
            <w:r>
              <w:t>指标值确定依据</w:t>
            </w:r>
          </w:p>
        </w:tc>
      </w:tr>
      <w:tr w14:paraId="6513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EE87B">
            <w:pPr>
              <w:pStyle w:val="13"/>
            </w:pPr>
            <w:r>
              <w:t>产出指标</w:t>
            </w:r>
          </w:p>
        </w:tc>
        <w:tc>
          <w:tcPr>
            <w:tcW w:w="2268" w:type="dxa"/>
            <w:vAlign w:val="center"/>
          </w:tcPr>
          <w:p w14:paraId="1C68CA45">
            <w:pPr>
              <w:pStyle w:val="12"/>
            </w:pPr>
            <w:r>
              <w:t>数量指标</w:t>
            </w:r>
          </w:p>
        </w:tc>
        <w:tc>
          <w:tcPr>
            <w:tcW w:w="2835" w:type="dxa"/>
            <w:vAlign w:val="center"/>
          </w:tcPr>
          <w:p w14:paraId="4E52A3A6">
            <w:pPr>
              <w:pStyle w:val="12"/>
            </w:pPr>
            <w:r>
              <w:t>退役军人人数</w:t>
            </w:r>
          </w:p>
        </w:tc>
        <w:tc>
          <w:tcPr>
            <w:tcW w:w="5386" w:type="dxa"/>
            <w:vAlign w:val="center"/>
          </w:tcPr>
          <w:p w14:paraId="5F865417">
            <w:pPr>
              <w:pStyle w:val="12"/>
            </w:pPr>
            <w:r>
              <w:t>学校退役军人数量</w:t>
            </w:r>
          </w:p>
        </w:tc>
        <w:tc>
          <w:tcPr>
            <w:tcW w:w="2268" w:type="dxa"/>
            <w:vAlign w:val="center"/>
          </w:tcPr>
          <w:p w14:paraId="151EB1FE">
            <w:pPr>
              <w:pStyle w:val="12"/>
            </w:pPr>
            <w:r>
              <w:t>1人</w:t>
            </w:r>
          </w:p>
        </w:tc>
        <w:tc>
          <w:tcPr>
            <w:tcW w:w="1276" w:type="dxa"/>
            <w:vAlign w:val="center"/>
          </w:tcPr>
          <w:p w14:paraId="201DF9F0">
            <w:pPr>
              <w:pStyle w:val="12"/>
            </w:pPr>
            <w:r>
              <w:t>《隆尧县人民政府专题会议纪要》</w:t>
            </w:r>
          </w:p>
        </w:tc>
      </w:tr>
      <w:tr w14:paraId="0DB7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078C6"/>
        </w:tc>
        <w:tc>
          <w:tcPr>
            <w:tcW w:w="2268" w:type="dxa"/>
            <w:vAlign w:val="center"/>
          </w:tcPr>
          <w:p w14:paraId="3ECEF0CB">
            <w:pPr>
              <w:pStyle w:val="12"/>
            </w:pPr>
            <w:r>
              <w:t>质量指标</w:t>
            </w:r>
          </w:p>
        </w:tc>
        <w:tc>
          <w:tcPr>
            <w:tcW w:w="2835" w:type="dxa"/>
            <w:vAlign w:val="center"/>
          </w:tcPr>
          <w:p w14:paraId="73CED170">
            <w:pPr>
              <w:pStyle w:val="12"/>
            </w:pPr>
            <w:r>
              <w:t>退役军人专岗补贴拨付完成率</w:t>
            </w:r>
          </w:p>
        </w:tc>
        <w:tc>
          <w:tcPr>
            <w:tcW w:w="5386" w:type="dxa"/>
            <w:vAlign w:val="center"/>
          </w:tcPr>
          <w:p w14:paraId="4EEEFFF9">
            <w:pPr>
              <w:pStyle w:val="12"/>
            </w:pPr>
            <w:r>
              <w:t>保障退役军人专岗福利待遇</w:t>
            </w:r>
          </w:p>
        </w:tc>
        <w:tc>
          <w:tcPr>
            <w:tcW w:w="2268" w:type="dxa"/>
            <w:vAlign w:val="center"/>
          </w:tcPr>
          <w:p w14:paraId="5069B9C5">
            <w:pPr>
              <w:pStyle w:val="12"/>
            </w:pPr>
            <w:r>
              <w:t>100%</w:t>
            </w:r>
          </w:p>
        </w:tc>
        <w:tc>
          <w:tcPr>
            <w:tcW w:w="1276" w:type="dxa"/>
            <w:vAlign w:val="center"/>
          </w:tcPr>
          <w:p w14:paraId="2FF1B1EA">
            <w:pPr>
              <w:pStyle w:val="12"/>
            </w:pPr>
            <w:r>
              <w:t>《隆尧县人民政府专题会议纪要》</w:t>
            </w:r>
          </w:p>
        </w:tc>
      </w:tr>
      <w:tr w14:paraId="1065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7ABDD"/>
        </w:tc>
        <w:tc>
          <w:tcPr>
            <w:tcW w:w="2268" w:type="dxa"/>
            <w:vAlign w:val="center"/>
          </w:tcPr>
          <w:p w14:paraId="01D07E11">
            <w:pPr>
              <w:pStyle w:val="12"/>
            </w:pPr>
            <w:r>
              <w:t>时效指标</w:t>
            </w:r>
          </w:p>
        </w:tc>
        <w:tc>
          <w:tcPr>
            <w:tcW w:w="2835" w:type="dxa"/>
            <w:vAlign w:val="center"/>
          </w:tcPr>
          <w:p w14:paraId="5C097130">
            <w:pPr>
              <w:pStyle w:val="12"/>
            </w:pPr>
            <w:r>
              <w:t>退役军人专岗补贴支付完成率</w:t>
            </w:r>
          </w:p>
        </w:tc>
        <w:tc>
          <w:tcPr>
            <w:tcW w:w="5386" w:type="dxa"/>
            <w:vAlign w:val="center"/>
          </w:tcPr>
          <w:p w14:paraId="0643B5FA">
            <w:pPr>
              <w:pStyle w:val="12"/>
            </w:pPr>
            <w:r>
              <w:t>按序时进度完成资金支付</w:t>
            </w:r>
          </w:p>
        </w:tc>
        <w:tc>
          <w:tcPr>
            <w:tcW w:w="2268" w:type="dxa"/>
            <w:vAlign w:val="center"/>
          </w:tcPr>
          <w:p w14:paraId="7F775D19">
            <w:pPr>
              <w:pStyle w:val="12"/>
            </w:pPr>
            <w:r>
              <w:t>100%</w:t>
            </w:r>
          </w:p>
        </w:tc>
        <w:tc>
          <w:tcPr>
            <w:tcW w:w="1276" w:type="dxa"/>
            <w:vAlign w:val="center"/>
          </w:tcPr>
          <w:p w14:paraId="1F06E477">
            <w:pPr>
              <w:pStyle w:val="12"/>
            </w:pPr>
            <w:r>
              <w:t>《隆尧县人民政府专题会议纪要》</w:t>
            </w:r>
          </w:p>
        </w:tc>
      </w:tr>
      <w:tr w14:paraId="64C6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D2FB1"/>
        </w:tc>
        <w:tc>
          <w:tcPr>
            <w:tcW w:w="2268" w:type="dxa"/>
            <w:vAlign w:val="center"/>
          </w:tcPr>
          <w:p w14:paraId="4051DF25">
            <w:pPr>
              <w:pStyle w:val="12"/>
            </w:pPr>
            <w:r>
              <w:t>成本指标</w:t>
            </w:r>
          </w:p>
        </w:tc>
        <w:tc>
          <w:tcPr>
            <w:tcW w:w="2835" w:type="dxa"/>
            <w:vAlign w:val="center"/>
          </w:tcPr>
          <w:p w14:paraId="1FBEEECC">
            <w:pPr>
              <w:pStyle w:val="12"/>
            </w:pPr>
            <w:r>
              <w:t>退役军人专岗补贴</w:t>
            </w:r>
          </w:p>
        </w:tc>
        <w:tc>
          <w:tcPr>
            <w:tcW w:w="5386" w:type="dxa"/>
            <w:vAlign w:val="center"/>
          </w:tcPr>
          <w:p w14:paraId="65D038C0">
            <w:pPr>
              <w:pStyle w:val="12"/>
            </w:pPr>
            <w:r>
              <w:t>退役军人专岗补贴数额</w:t>
            </w:r>
          </w:p>
        </w:tc>
        <w:tc>
          <w:tcPr>
            <w:tcW w:w="2268" w:type="dxa"/>
            <w:vAlign w:val="center"/>
          </w:tcPr>
          <w:p w14:paraId="786C59DE">
            <w:pPr>
              <w:pStyle w:val="12"/>
            </w:pPr>
            <w:r>
              <w:t>≥3367.28元/月</w:t>
            </w:r>
          </w:p>
        </w:tc>
        <w:tc>
          <w:tcPr>
            <w:tcW w:w="1276" w:type="dxa"/>
            <w:vAlign w:val="center"/>
          </w:tcPr>
          <w:p w14:paraId="6DD69970">
            <w:pPr>
              <w:pStyle w:val="12"/>
            </w:pPr>
            <w:r>
              <w:t>《隆尧县人民政府专题会议纪要》</w:t>
            </w:r>
          </w:p>
        </w:tc>
      </w:tr>
      <w:tr w14:paraId="04D9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F4B19">
            <w:pPr>
              <w:pStyle w:val="13"/>
            </w:pPr>
            <w:r>
              <w:t>效益指标</w:t>
            </w:r>
          </w:p>
        </w:tc>
        <w:tc>
          <w:tcPr>
            <w:tcW w:w="2268" w:type="dxa"/>
            <w:vAlign w:val="center"/>
          </w:tcPr>
          <w:p w14:paraId="2301DC99">
            <w:pPr>
              <w:pStyle w:val="12"/>
            </w:pPr>
            <w:r>
              <w:t>经济效益指标</w:t>
            </w:r>
          </w:p>
        </w:tc>
        <w:tc>
          <w:tcPr>
            <w:tcW w:w="2835" w:type="dxa"/>
            <w:vAlign w:val="center"/>
          </w:tcPr>
          <w:p w14:paraId="655BBA00">
            <w:pPr>
              <w:pStyle w:val="12"/>
            </w:pPr>
            <w:r>
              <w:t>提高工作效率</w:t>
            </w:r>
          </w:p>
        </w:tc>
        <w:tc>
          <w:tcPr>
            <w:tcW w:w="5386" w:type="dxa"/>
            <w:vAlign w:val="center"/>
          </w:tcPr>
          <w:p w14:paraId="11CD648D">
            <w:pPr>
              <w:pStyle w:val="12"/>
            </w:pPr>
            <w:r>
              <w:t>提高退役军人工作效率</w:t>
            </w:r>
          </w:p>
        </w:tc>
        <w:tc>
          <w:tcPr>
            <w:tcW w:w="2268" w:type="dxa"/>
            <w:vAlign w:val="center"/>
          </w:tcPr>
          <w:p w14:paraId="2472BE63">
            <w:pPr>
              <w:pStyle w:val="12"/>
            </w:pPr>
            <w:r>
              <w:t>≥95%</w:t>
            </w:r>
          </w:p>
        </w:tc>
        <w:tc>
          <w:tcPr>
            <w:tcW w:w="1276" w:type="dxa"/>
            <w:vAlign w:val="center"/>
          </w:tcPr>
          <w:p w14:paraId="1D23AECC">
            <w:pPr>
              <w:pStyle w:val="12"/>
            </w:pPr>
            <w:r>
              <w:t>《隆尧县人民政府专题会议纪要》</w:t>
            </w:r>
          </w:p>
        </w:tc>
      </w:tr>
      <w:tr w14:paraId="78D7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2C7C9">
            <w:pPr>
              <w:pStyle w:val="13"/>
            </w:pPr>
            <w:r>
              <w:t>满意度指标</w:t>
            </w:r>
          </w:p>
        </w:tc>
        <w:tc>
          <w:tcPr>
            <w:tcW w:w="2268" w:type="dxa"/>
            <w:vAlign w:val="center"/>
          </w:tcPr>
          <w:p w14:paraId="2DC36C9C">
            <w:pPr>
              <w:pStyle w:val="12"/>
            </w:pPr>
            <w:r>
              <w:t>服务对象满意度指标</w:t>
            </w:r>
          </w:p>
        </w:tc>
        <w:tc>
          <w:tcPr>
            <w:tcW w:w="2835" w:type="dxa"/>
            <w:vAlign w:val="center"/>
          </w:tcPr>
          <w:p w14:paraId="34E3E830">
            <w:pPr>
              <w:pStyle w:val="12"/>
            </w:pPr>
            <w:r>
              <w:t>退役军人满意度</w:t>
            </w:r>
          </w:p>
        </w:tc>
        <w:tc>
          <w:tcPr>
            <w:tcW w:w="5386" w:type="dxa"/>
            <w:vAlign w:val="center"/>
          </w:tcPr>
          <w:p w14:paraId="1725B7CE">
            <w:pPr>
              <w:pStyle w:val="12"/>
            </w:pPr>
            <w:r>
              <w:t>提升退役军人满意度</w:t>
            </w:r>
          </w:p>
        </w:tc>
        <w:tc>
          <w:tcPr>
            <w:tcW w:w="2268" w:type="dxa"/>
            <w:vAlign w:val="center"/>
          </w:tcPr>
          <w:p w14:paraId="56B26E2B">
            <w:pPr>
              <w:pStyle w:val="12"/>
            </w:pPr>
            <w:r>
              <w:t>≥95%</w:t>
            </w:r>
          </w:p>
        </w:tc>
        <w:tc>
          <w:tcPr>
            <w:tcW w:w="1276" w:type="dxa"/>
            <w:vAlign w:val="center"/>
          </w:tcPr>
          <w:p w14:paraId="483CA2C4">
            <w:pPr>
              <w:pStyle w:val="12"/>
            </w:pPr>
            <w:r>
              <w:t>调查问卷</w:t>
            </w:r>
          </w:p>
        </w:tc>
      </w:tr>
    </w:tbl>
    <w:p w14:paraId="71466EC8">
      <w:pPr>
        <w:sectPr>
          <w:pgSz w:w="16840" w:h="11900" w:orient="landscape"/>
          <w:pgMar w:top="1361" w:right="1020" w:bottom="1134" w:left="1020" w:header="720" w:footer="720" w:gutter="0"/>
          <w:cols w:space="720" w:num="1"/>
        </w:sectPr>
      </w:pPr>
    </w:p>
    <w:p w14:paraId="660BC3B4">
      <w:pPr>
        <w:spacing w:before="0" w:after="0"/>
        <w:ind w:firstLine="560"/>
        <w:jc w:val="left"/>
        <w:outlineLvl w:val="9"/>
      </w:pPr>
      <w:r>
        <w:rPr>
          <w:rFonts w:ascii="方正仿宋_GBK" w:hAnsi="方正仿宋_GBK" w:eastAsia="方正仿宋_GBK" w:cs="方正仿宋_GBK"/>
          <w:b/>
          <w:color w:val="000000"/>
          <w:sz w:val="28"/>
        </w:rPr>
        <w:t>10、县级配套/尧山中学公用经费绩效目标表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17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44127">
            <w:pPr>
              <w:pStyle w:val="11"/>
            </w:pPr>
            <w:r>
              <w:t>单位：万元</w:t>
            </w:r>
          </w:p>
        </w:tc>
      </w:tr>
      <w:tr w14:paraId="1DE76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F8DB1">
            <w:pPr>
              <w:pStyle w:val="10"/>
            </w:pPr>
            <w:r>
              <w:t>项目编码</w:t>
            </w:r>
          </w:p>
        </w:tc>
        <w:tc>
          <w:tcPr>
            <w:tcW w:w="5103" w:type="dxa"/>
            <w:gridSpan w:val="2"/>
            <w:vAlign w:val="center"/>
          </w:tcPr>
          <w:p w14:paraId="7FD531C7">
            <w:pPr>
              <w:pStyle w:val="12"/>
            </w:pPr>
            <w:r>
              <w:t>13052526P00000410405M</w:t>
            </w:r>
          </w:p>
        </w:tc>
        <w:tc>
          <w:tcPr>
            <w:tcW w:w="2835" w:type="dxa"/>
            <w:vAlign w:val="center"/>
          </w:tcPr>
          <w:p w14:paraId="41B931BE">
            <w:pPr>
              <w:pStyle w:val="10"/>
            </w:pPr>
            <w:r>
              <w:t>项目名称</w:t>
            </w:r>
          </w:p>
        </w:tc>
        <w:tc>
          <w:tcPr>
            <w:tcW w:w="6095" w:type="dxa"/>
            <w:gridSpan w:val="3"/>
            <w:vAlign w:val="center"/>
          </w:tcPr>
          <w:p w14:paraId="7A333FF3">
            <w:pPr>
              <w:pStyle w:val="12"/>
            </w:pPr>
            <w:r>
              <w:t>县级配套/尧山中学公用经费</w:t>
            </w:r>
          </w:p>
        </w:tc>
      </w:tr>
      <w:tr w14:paraId="13683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E1EA7">
            <w:pPr>
              <w:pStyle w:val="10"/>
            </w:pPr>
            <w:r>
              <w:t>预算规模及资金用途</w:t>
            </w:r>
          </w:p>
        </w:tc>
        <w:tc>
          <w:tcPr>
            <w:tcW w:w="2268" w:type="dxa"/>
            <w:vAlign w:val="center"/>
          </w:tcPr>
          <w:p w14:paraId="33026BEB">
            <w:pPr>
              <w:pStyle w:val="10"/>
            </w:pPr>
            <w:r>
              <w:t>预算数</w:t>
            </w:r>
          </w:p>
        </w:tc>
        <w:tc>
          <w:tcPr>
            <w:tcW w:w="2835" w:type="dxa"/>
            <w:vAlign w:val="center"/>
          </w:tcPr>
          <w:p w14:paraId="0E54EE84">
            <w:pPr>
              <w:pStyle w:val="12"/>
            </w:pPr>
            <w:r>
              <w:t>52.02</w:t>
            </w:r>
          </w:p>
        </w:tc>
        <w:tc>
          <w:tcPr>
            <w:tcW w:w="2835" w:type="dxa"/>
            <w:vAlign w:val="center"/>
          </w:tcPr>
          <w:p w14:paraId="06C21581">
            <w:pPr>
              <w:pStyle w:val="10"/>
            </w:pPr>
            <w:r>
              <w:t>其中：财政    资金</w:t>
            </w:r>
          </w:p>
        </w:tc>
        <w:tc>
          <w:tcPr>
            <w:tcW w:w="2551" w:type="dxa"/>
            <w:vAlign w:val="center"/>
          </w:tcPr>
          <w:p w14:paraId="5DC022CC">
            <w:pPr>
              <w:pStyle w:val="12"/>
            </w:pPr>
            <w:r>
              <w:t>52.02</w:t>
            </w:r>
          </w:p>
        </w:tc>
        <w:tc>
          <w:tcPr>
            <w:tcW w:w="2268" w:type="dxa"/>
            <w:vAlign w:val="center"/>
          </w:tcPr>
          <w:p w14:paraId="2CDD5AC5">
            <w:pPr>
              <w:pStyle w:val="10"/>
            </w:pPr>
            <w:r>
              <w:t>其他资金</w:t>
            </w:r>
          </w:p>
        </w:tc>
        <w:tc>
          <w:tcPr>
            <w:tcW w:w="1276" w:type="dxa"/>
            <w:vAlign w:val="center"/>
          </w:tcPr>
          <w:p w14:paraId="30F79BF5">
            <w:pPr>
              <w:pStyle w:val="12"/>
            </w:pPr>
            <w:r>
              <w:t xml:space="preserve"> </w:t>
            </w:r>
          </w:p>
        </w:tc>
      </w:tr>
      <w:tr w14:paraId="3BDA6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D3F8A"/>
        </w:tc>
        <w:tc>
          <w:tcPr>
            <w:tcW w:w="14033" w:type="dxa"/>
            <w:gridSpan w:val="6"/>
            <w:vAlign w:val="center"/>
          </w:tcPr>
          <w:p w14:paraId="180592F6">
            <w:pPr>
              <w:pStyle w:val="12"/>
            </w:pPr>
            <w:r>
              <w:t>保障义务教育阶段教学秩序的正常运转，</w:t>
            </w:r>
            <w:r>
              <w:rPr>
                <w:rFonts w:hint="eastAsia"/>
                <w:lang w:eastAsia="zh-CN"/>
              </w:rPr>
              <w:t>保障</w:t>
            </w:r>
            <w:r>
              <w:t>教学经费正常支出。</w:t>
            </w:r>
          </w:p>
        </w:tc>
      </w:tr>
      <w:tr w14:paraId="1E678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40628">
            <w:pPr>
              <w:pStyle w:val="10"/>
            </w:pPr>
            <w:r>
              <w:t>资金支出计划（%）</w:t>
            </w:r>
          </w:p>
        </w:tc>
        <w:tc>
          <w:tcPr>
            <w:tcW w:w="5103" w:type="dxa"/>
            <w:gridSpan w:val="2"/>
            <w:vAlign w:val="center"/>
          </w:tcPr>
          <w:p w14:paraId="47C68FCC">
            <w:pPr>
              <w:pStyle w:val="10"/>
            </w:pPr>
            <w:r>
              <w:t>3月底</w:t>
            </w:r>
          </w:p>
        </w:tc>
        <w:tc>
          <w:tcPr>
            <w:tcW w:w="2835" w:type="dxa"/>
            <w:vAlign w:val="center"/>
          </w:tcPr>
          <w:p w14:paraId="7AD70416">
            <w:pPr>
              <w:pStyle w:val="10"/>
            </w:pPr>
            <w:r>
              <w:t>6月底</w:t>
            </w:r>
          </w:p>
        </w:tc>
        <w:tc>
          <w:tcPr>
            <w:tcW w:w="2551" w:type="dxa"/>
            <w:vAlign w:val="center"/>
          </w:tcPr>
          <w:p w14:paraId="17914CE6">
            <w:pPr>
              <w:pStyle w:val="10"/>
            </w:pPr>
            <w:r>
              <w:t>10月底</w:t>
            </w:r>
          </w:p>
        </w:tc>
        <w:tc>
          <w:tcPr>
            <w:tcW w:w="3544" w:type="dxa"/>
            <w:gridSpan w:val="2"/>
            <w:vAlign w:val="center"/>
          </w:tcPr>
          <w:p w14:paraId="414CB770">
            <w:pPr>
              <w:pStyle w:val="10"/>
            </w:pPr>
            <w:r>
              <w:t>12月底</w:t>
            </w:r>
          </w:p>
        </w:tc>
      </w:tr>
      <w:tr w14:paraId="48933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DA7A7"/>
        </w:tc>
        <w:tc>
          <w:tcPr>
            <w:tcW w:w="5103" w:type="dxa"/>
            <w:gridSpan w:val="2"/>
            <w:vAlign w:val="center"/>
          </w:tcPr>
          <w:p w14:paraId="674BCC9E">
            <w:pPr>
              <w:pStyle w:val="13"/>
            </w:pPr>
            <w:r>
              <w:t>25%</w:t>
            </w:r>
          </w:p>
        </w:tc>
        <w:tc>
          <w:tcPr>
            <w:tcW w:w="2835" w:type="dxa"/>
            <w:vAlign w:val="center"/>
          </w:tcPr>
          <w:p w14:paraId="1BE6554F">
            <w:pPr>
              <w:pStyle w:val="13"/>
            </w:pPr>
            <w:r>
              <w:t>50%</w:t>
            </w:r>
          </w:p>
        </w:tc>
        <w:tc>
          <w:tcPr>
            <w:tcW w:w="2551" w:type="dxa"/>
            <w:vAlign w:val="center"/>
          </w:tcPr>
          <w:p w14:paraId="78957D81">
            <w:pPr>
              <w:pStyle w:val="13"/>
            </w:pPr>
            <w:r>
              <w:t>75%</w:t>
            </w:r>
          </w:p>
        </w:tc>
        <w:tc>
          <w:tcPr>
            <w:tcW w:w="3544" w:type="dxa"/>
            <w:gridSpan w:val="2"/>
            <w:vAlign w:val="center"/>
          </w:tcPr>
          <w:p w14:paraId="437AEBA0">
            <w:pPr>
              <w:pStyle w:val="13"/>
            </w:pPr>
            <w:r>
              <w:t>100%</w:t>
            </w:r>
          </w:p>
        </w:tc>
      </w:tr>
      <w:tr w14:paraId="75B5C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B754A">
            <w:pPr>
              <w:pStyle w:val="10"/>
            </w:pPr>
            <w:r>
              <w:t>绩效目标</w:t>
            </w:r>
          </w:p>
        </w:tc>
        <w:tc>
          <w:tcPr>
            <w:tcW w:w="14033" w:type="dxa"/>
            <w:gridSpan w:val="6"/>
            <w:vAlign w:val="center"/>
          </w:tcPr>
          <w:p w14:paraId="1318D107">
            <w:pPr>
              <w:pStyle w:val="12"/>
            </w:pPr>
            <w:r>
              <w:t>1.保障义务教育阶段教学秩序的正常运转，</w:t>
            </w:r>
            <w:r>
              <w:rPr>
                <w:rFonts w:hint="eastAsia"/>
                <w:lang w:eastAsia="zh-CN"/>
              </w:rPr>
              <w:t>保障</w:t>
            </w:r>
            <w:r>
              <w:t>教学经费正常支出。</w:t>
            </w:r>
          </w:p>
          <w:p w14:paraId="033C7DD7">
            <w:pPr>
              <w:pStyle w:val="12"/>
            </w:pPr>
          </w:p>
          <w:p w14:paraId="431AB24A">
            <w:pPr>
              <w:pStyle w:val="12"/>
            </w:pPr>
            <w:r>
              <w:t>2.按季度分批次拨付公用经费资金520240元，资金拨付率达到100%。</w:t>
            </w:r>
          </w:p>
        </w:tc>
      </w:tr>
    </w:tbl>
    <w:p w14:paraId="4DAFB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C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DD916">
            <w:pPr>
              <w:pStyle w:val="10"/>
            </w:pPr>
            <w:r>
              <w:t>一级指标</w:t>
            </w:r>
          </w:p>
        </w:tc>
        <w:tc>
          <w:tcPr>
            <w:tcW w:w="2268" w:type="dxa"/>
            <w:vAlign w:val="center"/>
          </w:tcPr>
          <w:p w14:paraId="552AC8C8">
            <w:pPr>
              <w:pStyle w:val="10"/>
            </w:pPr>
            <w:r>
              <w:t>二级指标</w:t>
            </w:r>
          </w:p>
        </w:tc>
        <w:tc>
          <w:tcPr>
            <w:tcW w:w="2835" w:type="dxa"/>
            <w:vAlign w:val="center"/>
          </w:tcPr>
          <w:p w14:paraId="416C5D87">
            <w:pPr>
              <w:pStyle w:val="10"/>
            </w:pPr>
            <w:r>
              <w:t>三级指标</w:t>
            </w:r>
          </w:p>
        </w:tc>
        <w:tc>
          <w:tcPr>
            <w:tcW w:w="5386" w:type="dxa"/>
            <w:vAlign w:val="center"/>
          </w:tcPr>
          <w:p w14:paraId="67D6B81D">
            <w:pPr>
              <w:pStyle w:val="10"/>
            </w:pPr>
            <w:r>
              <w:t>绩效指标描述</w:t>
            </w:r>
          </w:p>
        </w:tc>
        <w:tc>
          <w:tcPr>
            <w:tcW w:w="2268" w:type="dxa"/>
            <w:vAlign w:val="center"/>
          </w:tcPr>
          <w:p w14:paraId="19AFD477">
            <w:pPr>
              <w:pStyle w:val="10"/>
            </w:pPr>
            <w:r>
              <w:t>指标值</w:t>
            </w:r>
          </w:p>
        </w:tc>
        <w:tc>
          <w:tcPr>
            <w:tcW w:w="1276" w:type="dxa"/>
            <w:vAlign w:val="center"/>
          </w:tcPr>
          <w:p w14:paraId="0C65822A">
            <w:pPr>
              <w:pStyle w:val="10"/>
            </w:pPr>
            <w:r>
              <w:t>指标值确定依据</w:t>
            </w:r>
          </w:p>
        </w:tc>
      </w:tr>
      <w:tr w14:paraId="01A4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0275E">
            <w:pPr>
              <w:pStyle w:val="13"/>
            </w:pPr>
            <w:r>
              <w:t>产出指标</w:t>
            </w:r>
          </w:p>
        </w:tc>
        <w:tc>
          <w:tcPr>
            <w:tcW w:w="2268" w:type="dxa"/>
            <w:vAlign w:val="center"/>
          </w:tcPr>
          <w:p w14:paraId="432C6EC7">
            <w:pPr>
              <w:pStyle w:val="12"/>
            </w:pPr>
            <w:r>
              <w:t>数量指标</w:t>
            </w:r>
          </w:p>
        </w:tc>
        <w:tc>
          <w:tcPr>
            <w:tcW w:w="2835" w:type="dxa"/>
            <w:vAlign w:val="center"/>
          </w:tcPr>
          <w:p w14:paraId="2C1C5189">
            <w:pPr>
              <w:pStyle w:val="12"/>
            </w:pPr>
            <w:r>
              <w:t>就读学生数</w:t>
            </w:r>
          </w:p>
        </w:tc>
        <w:tc>
          <w:tcPr>
            <w:tcW w:w="5386" w:type="dxa"/>
            <w:vAlign w:val="center"/>
          </w:tcPr>
          <w:p w14:paraId="4113AFA3">
            <w:pPr>
              <w:pStyle w:val="12"/>
            </w:pPr>
            <w:r>
              <w:t>辐射区域内适龄学生人数</w:t>
            </w:r>
          </w:p>
        </w:tc>
        <w:tc>
          <w:tcPr>
            <w:tcW w:w="2268" w:type="dxa"/>
            <w:vAlign w:val="center"/>
          </w:tcPr>
          <w:p w14:paraId="5362F952">
            <w:pPr>
              <w:pStyle w:val="12"/>
            </w:pPr>
            <w:r>
              <w:t>3737人</w:t>
            </w:r>
          </w:p>
        </w:tc>
        <w:tc>
          <w:tcPr>
            <w:tcW w:w="1276" w:type="dxa"/>
            <w:vAlign w:val="center"/>
          </w:tcPr>
          <w:p w14:paraId="47BFBA2D">
            <w:pPr>
              <w:pStyle w:val="12"/>
            </w:pPr>
            <w:r>
              <w:t>城乡义务教育公用经费管理办法</w:t>
            </w:r>
          </w:p>
        </w:tc>
      </w:tr>
      <w:tr w14:paraId="349A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8D833"/>
        </w:tc>
        <w:tc>
          <w:tcPr>
            <w:tcW w:w="2268" w:type="dxa"/>
            <w:vAlign w:val="center"/>
          </w:tcPr>
          <w:p w14:paraId="4F3238CA">
            <w:pPr>
              <w:pStyle w:val="12"/>
            </w:pPr>
            <w:r>
              <w:t>质量指标</w:t>
            </w:r>
          </w:p>
        </w:tc>
        <w:tc>
          <w:tcPr>
            <w:tcW w:w="2835" w:type="dxa"/>
            <w:vAlign w:val="center"/>
          </w:tcPr>
          <w:p w14:paraId="0B6AE1F5">
            <w:pPr>
              <w:pStyle w:val="12"/>
            </w:pPr>
            <w:r>
              <w:t>预算控制率</w:t>
            </w:r>
          </w:p>
          <w:p w14:paraId="0A67AE7D">
            <w:pPr>
              <w:pStyle w:val="12"/>
            </w:pPr>
          </w:p>
        </w:tc>
        <w:tc>
          <w:tcPr>
            <w:tcW w:w="5386" w:type="dxa"/>
            <w:vAlign w:val="center"/>
          </w:tcPr>
          <w:p w14:paraId="2CE04A7C">
            <w:pPr>
              <w:pStyle w:val="12"/>
            </w:pPr>
            <w:r>
              <w:t>预算执行率</w:t>
            </w:r>
          </w:p>
        </w:tc>
        <w:tc>
          <w:tcPr>
            <w:tcW w:w="2268" w:type="dxa"/>
            <w:vAlign w:val="center"/>
          </w:tcPr>
          <w:p w14:paraId="70AB862F">
            <w:pPr>
              <w:pStyle w:val="12"/>
            </w:pPr>
            <w:r>
              <w:t>≥95%</w:t>
            </w:r>
          </w:p>
        </w:tc>
        <w:tc>
          <w:tcPr>
            <w:tcW w:w="1276" w:type="dxa"/>
            <w:vAlign w:val="center"/>
          </w:tcPr>
          <w:p w14:paraId="1FE1392A">
            <w:pPr>
              <w:pStyle w:val="12"/>
            </w:pPr>
            <w:r>
              <w:t>城乡义务教育公用经费管理办法</w:t>
            </w:r>
          </w:p>
        </w:tc>
      </w:tr>
      <w:tr w14:paraId="14C06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751A6"/>
        </w:tc>
        <w:tc>
          <w:tcPr>
            <w:tcW w:w="2268" w:type="dxa"/>
            <w:vAlign w:val="center"/>
          </w:tcPr>
          <w:p w14:paraId="0616C8BE">
            <w:pPr>
              <w:pStyle w:val="12"/>
            </w:pPr>
            <w:r>
              <w:t>时效指标</w:t>
            </w:r>
          </w:p>
        </w:tc>
        <w:tc>
          <w:tcPr>
            <w:tcW w:w="2835" w:type="dxa"/>
            <w:vAlign w:val="center"/>
          </w:tcPr>
          <w:p w14:paraId="004E5F72">
            <w:pPr>
              <w:pStyle w:val="12"/>
            </w:pPr>
            <w:r>
              <w:t>支付及时率</w:t>
            </w:r>
          </w:p>
        </w:tc>
        <w:tc>
          <w:tcPr>
            <w:tcW w:w="5386" w:type="dxa"/>
            <w:vAlign w:val="center"/>
          </w:tcPr>
          <w:p w14:paraId="31111B48">
            <w:pPr>
              <w:pStyle w:val="12"/>
            </w:pPr>
            <w:r>
              <w:t>按照实际支出完成支付</w:t>
            </w:r>
          </w:p>
        </w:tc>
        <w:tc>
          <w:tcPr>
            <w:tcW w:w="2268" w:type="dxa"/>
            <w:vAlign w:val="center"/>
          </w:tcPr>
          <w:p w14:paraId="4365E203">
            <w:pPr>
              <w:pStyle w:val="12"/>
            </w:pPr>
            <w:r>
              <w:t>100%</w:t>
            </w:r>
          </w:p>
        </w:tc>
        <w:tc>
          <w:tcPr>
            <w:tcW w:w="1276" w:type="dxa"/>
            <w:vAlign w:val="center"/>
          </w:tcPr>
          <w:p w14:paraId="0E7B9B89">
            <w:pPr>
              <w:pStyle w:val="12"/>
            </w:pPr>
            <w:r>
              <w:t>城乡义务教育公用经费管理办法</w:t>
            </w:r>
          </w:p>
        </w:tc>
      </w:tr>
      <w:tr w14:paraId="1497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43951"/>
        </w:tc>
        <w:tc>
          <w:tcPr>
            <w:tcW w:w="2268" w:type="dxa"/>
            <w:vAlign w:val="center"/>
          </w:tcPr>
          <w:p w14:paraId="241A7B7A">
            <w:pPr>
              <w:pStyle w:val="12"/>
            </w:pPr>
            <w:r>
              <w:t>成本指标</w:t>
            </w:r>
          </w:p>
        </w:tc>
        <w:tc>
          <w:tcPr>
            <w:tcW w:w="2835" w:type="dxa"/>
            <w:vAlign w:val="center"/>
          </w:tcPr>
          <w:p w14:paraId="14335D46">
            <w:pPr>
              <w:pStyle w:val="12"/>
            </w:pPr>
            <w:r>
              <w:t>支出标准</w:t>
            </w:r>
          </w:p>
        </w:tc>
        <w:tc>
          <w:tcPr>
            <w:tcW w:w="5386" w:type="dxa"/>
            <w:vAlign w:val="center"/>
          </w:tcPr>
          <w:p w14:paraId="5EB5D085">
            <w:pPr>
              <w:pStyle w:val="12"/>
            </w:pPr>
            <w:r>
              <w:t>初中生公用经费基准额为1060元/年/生，住宿生补助300元/年/生的标准。</w:t>
            </w:r>
          </w:p>
        </w:tc>
        <w:tc>
          <w:tcPr>
            <w:tcW w:w="2268" w:type="dxa"/>
            <w:vAlign w:val="center"/>
          </w:tcPr>
          <w:p w14:paraId="5D8A74E0">
            <w:pPr>
              <w:pStyle w:val="12"/>
            </w:pPr>
            <w:r>
              <w:t>1360元/人</w:t>
            </w:r>
          </w:p>
        </w:tc>
        <w:tc>
          <w:tcPr>
            <w:tcW w:w="1276" w:type="dxa"/>
            <w:vAlign w:val="center"/>
          </w:tcPr>
          <w:p w14:paraId="3DA32D66">
            <w:pPr>
              <w:pStyle w:val="12"/>
            </w:pPr>
            <w:r>
              <w:t>城乡义务教育公用经费管理办法</w:t>
            </w:r>
          </w:p>
        </w:tc>
      </w:tr>
      <w:tr w14:paraId="2199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22A28"/>
        </w:tc>
        <w:tc>
          <w:tcPr>
            <w:tcW w:w="2268" w:type="dxa"/>
            <w:vAlign w:val="center"/>
          </w:tcPr>
          <w:p w14:paraId="5E307CDF">
            <w:pPr>
              <w:pStyle w:val="12"/>
            </w:pPr>
            <w:r>
              <w:t>成本指标</w:t>
            </w:r>
          </w:p>
        </w:tc>
        <w:tc>
          <w:tcPr>
            <w:tcW w:w="2835" w:type="dxa"/>
            <w:vAlign w:val="center"/>
          </w:tcPr>
          <w:p w14:paraId="1A73848E">
            <w:pPr>
              <w:pStyle w:val="12"/>
            </w:pPr>
            <w:r>
              <w:t>生均拨款标准</w:t>
            </w:r>
          </w:p>
        </w:tc>
        <w:tc>
          <w:tcPr>
            <w:tcW w:w="5386" w:type="dxa"/>
            <w:vAlign w:val="center"/>
          </w:tcPr>
          <w:p w14:paraId="124747EE">
            <w:pPr>
              <w:pStyle w:val="12"/>
            </w:pPr>
            <w:r>
              <w:t>初中生随班就读学生补助标准为7000元/年/生。</w:t>
            </w:r>
          </w:p>
        </w:tc>
        <w:tc>
          <w:tcPr>
            <w:tcW w:w="2268" w:type="dxa"/>
            <w:vAlign w:val="center"/>
          </w:tcPr>
          <w:p w14:paraId="0A7AA44E">
            <w:pPr>
              <w:pStyle w:val="12"/>
            </w:pPr>
            <w:r>
              <w:t>7000元</w:t>
            </w:r>
          </w:p>
        </w:tc>
        <w:tc>
          <w:tcPr>
            <w:tcW w:w="1276" w:type="dxa"/>
            <w:vAlign w:val="center"/>
          </w:tcPr>
          <w:p w14:paraId="6A8AEB1D">
            <w:pPr>
              <w:pStyle w:val="12"/>
            </w:pPr>
            <w:r>
              <w:t>城乡义务教育公用经费管理办法</w:t>
            </w:r>
          </w:p>
        </w:tc>
      </w:tr>
      <w:tr w14:paraId="381B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78D81">
            <w:pPr>
              <w:pStyle w:val="13"/>
            </w:pPr>
            <w:r>
              <w:t>效益指标</w:t>
            </w:r>
          </w:p>
        </w:tc>
        <w:tc>
          <w:tcPr>
            <w:tcW w:w="2268" w:type="dxa"/>
            <w:vAlign w:val="center"/>
          </w:tcPr>
          <w:p w14:paraId="293FE460">
            <w:pPr>
              <w:pStyle w:val="12"/>
            </w:pPr>
            <w:r>
              <w:t>可持续影响指标</w:t>
            </w:r>
          </w:p>
        </w:tc>
        <w:tc>
          <w:tcPr>
            <w:tcW w:w="2835" w:type="dxa"/>
            <w:vAlign w:val="center"/>
          </w:tcPr>
          <w:p w14:paraId="77E86960">
            <w:pPr>
              <w:pStyle w:val="12"/>
            </w:pPr>
            <w:r>
              <w:t>学校日常运转正常</w:t>
            </w:r>
          </w:p>
        </w:tc>
        <w:tc>
          <w:tcPr>
            <w:tcW w:w="5386" w:type="dxa"/>
            <w:vAlign w:val="center"/>
          </w:tcPr>
          <w:p w14:paraId="19B8E8D3">
            <w:pPr>
              <w:pStyle w:val="12"/>
            </w:pPr>
            <w:r>
              <w:t>学生受教育年限</w:t>
            </w:r>
          </w:p>
        </w:tc>
        <w:tc>
          <w:tcPr>
            <w:tcW w:w="2268" w:type="dxa"/>
            <w:vAlign w:val="center"/>
          </w:tcPr>
          <w:p w14:paraId="17447D35">
            <w:pPr>
              <w:pStyle w:val="12"/>
            </w:pPr>
            <w:r>
              <w:t>3年</w:t>
            </w:r>
          </w:p>
        </w:tc>
        <w:tc>
          <w:tcPr>
            <w:tcW w:w="1276" w:type="dxa"/>
            <w:vAlign w:val="center"/>
          </w:tcPr>
          <w:p w14:paraId="0E58F2FA">
            <w:pPr>
              <w:pStyle w:val="12"/>
            </w:pPr>
            <w:r>
              <w:t>城乡义务教育公用经费管理办法</w:t>
            </w:r>
          </w:p>
        </w:tc>
      </w:tr>
      <w:tr w14:paraId="5731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78F70">
            <w:pPr>
              <w:pStyle w:val="13"/>
            </w:pPr>
            <w:r>
              <w:t>满意度指标</w:t>
            </w:r>
          </w:p>
        </w:tc>
        <w:tc>
          <w:tcPr>
            <w:tcW w:w="2268" w:type="dxa"/>
            <w:vAlign w:val="center"/>
          </w:tcPr>
          <w:p w14:paraId="20B10ACC">
            <w:pPr>
              <w:pStyle w:val="12"/>
            </w:pPr>
            <w:r>
              <w:t>服务对象满意度指标</w:t>
            </w:r>
          </w:p>
        </w:tc>
        <w:tc>
          <w:tcPr>
            <w:tcW w:w="2835" w:type="dxa"/>
            <w:vAlign w:val="center"/>
          </w:tcPr>
          <w:p w14:paraId="0BDD7677">
            <w:pPr>
              <w:pStyle w:val="12"/>
            </w:pPr>
            <w:r>
              <w:t>群众满意度</w:t>
            </w:r>
          </w:p>
        </w:tc>
        <w:tc>
          <w:tcPr>
            <w:tcW w:w="5386" w:type="dxa"/>
            <w:vAlign w:val="center"/>
          </w:tcPr>
          <w:p w14:paraId="5A382DC6">
            <w:pPr>
              <w:pStyle w:val="12"/>
            </w:pPr>
            <w:r>
              <w:t>群众对教育的满意度</w:t>
            </w:r>
          </w:p>
        </w:tc>
        <w:tc>
          <w:tcPr>
            <w:tcW w:w="2268" w:type="dxa"/>
            <w:vAlign w:val="center"/>
          </w:tcPr>
          <w:p w14:paraId="059A3971">
            <w:pPr>
              <w:pStyle w:val="12"/>
            </w:pPr>
            <w:r>
              <w:t>≥98%</w:t>
            </w:r>
          </w:p>
        </w:tc>
        <w:tc>
          <w:tcPr>
            <w:tcW w:w="1276" w:type="dxa"/>
            <w:vAlign w:val="center"/>
          </w:tcPr>
          <w:p w14:paraId="48B4DE06">
            <w:pPr>
              <w:pStyle w:val="12"/>
            </w:pPr>
            <w:r>
              <w:t>调查问卷</w:t>
            </w:r>
          </w:p>
        </w:tc>
      </w:tr>
    </w:tbl>
    <w:p w14:paraId="04B09728">
      <w:pPr>
        <w:sectPr>
          <w:pgSz w:w="16840" w:h="11900" w:orient="landscape"/>
          <w:pgMar w:top="1361" w:right="1020" w:bottom="1134" w:left="1020" w:header="720" w:footer="720" w:gutter="0"/>
          <w:cols w:space="720" w:num="1"/>
        </w:sectPr>
      </w:pPr>
    </w:p>
    <w:p w14:paraId="71663441">
      <w:pPr>
        <w:spacing w:before="10" w:after="10" w:line="240" w:lineRule="auto"/>
        <w:ind w:firstLine="640"/>
        <w:jc w:val="left"/>
        <w:outlineLvl w:val="5"/>
      </w:pPr>
      <w:r>
        <w:rPr>
          <w:rFonts w:ascii="黑体" w:hAnsi="黑体" w:eastAsia="黑体" w:cs="黑体"/>
          <w:color w:val="000000"/>
          <w:sz w:val="32"/>
        </w:rPr>
        <w:t>六、政府采购预算情况</w:t>
      </w:r>
    </w:p>
    <w:p w14:paraId="5B9B944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2FA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BFB356">
            <w:pPr>
              <w:pStyle w:val="9"/>
            </w:pPr>
            <w:r>
              <w:t>360004隆尧县尧山中学</w:t>
            </w:r>
          </w:p>
        </w:tc>
        <w:tc>
          <w:tcPr>
            <w:tcW w:w="8676" w:type="dxa"/>
            <w:gridSpan w:val="9"/>
            <w:tcBorders>
              <w:top w:val="single" w:color="FFFFFF" w:sz="6" w:space="0"/>
              <w:left w:val="single" w:color="FFFFFF" w:sz="6" w:space="0"/>
              <w:right w:val="single" w:color="FFFFFF" w:sz="6" w:space="0"/>
            </w:tcBorders>
            <w:vAlign w:val="center"/>
          </w:tcPr>
          <w:p w14:paraId="4051F96C">
            <w:pPr>
              <w:pStyle w:val="21"/>
            </w:pPr>
            <w:r>
              <w:t>单位：万元</w:t>
            </w:r>
          </w:p>
        </w:tc>
      </w:tr>
      <w:tr w14:paraId="532B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A8D4CE">
            <w:pPr>
              <w:pStyle w:val="10"/>
            </w:pPr>
            <w:r>
              <w:t>政府采购项目来源</w:t>
            </w:r>
          </w:p>
        </w:tc>
        <w:tc>
          <w:tcPr>
            <w:tcW w:w="1134" w:type="dxa"/>
            <w:vMerge w:val="restart"/>
            <w:vAlign w:val="center"/>
          </w:tcPr>
          <w:p w14:paraId="6AB0C5A0">
            <w:pPr>
              <w:pStyle w:val="10"/>
            </w:pPr>
            <w:r>
              <w:t>采购物品名称</w:t>
            </w:r>
          </w:p>
        </w:tc>
        <w:tc>
          <w:tcPr>
            <w:tcW w:w="1134" w:type="dxa"/>
            <w:vMerge w:val="restart"/>
            <w:vAlign w:val="center"/>
          </w:tcPr>
          <w:p w14:paraId="717F101A">
            <w:pPr>
              <w:pStyle w:val="10"/>
            </w:pPr>
            <w:r>
              <w:t>政府采购目录序号</w:t>
            </w:r>
          </w:p>
        </w:tc>
        <w:tc>
          <w:tcPr>
            <w:tcW w:w="709" w:type="dxa"/>
            <w:vMerge w:val="restart"/>
            <w:vAlign w:val="center"/>
          </w:tcPr>
          <w:p w14:paraId="643D8C6B">
            <w:pPr>
              <w:pStyle w:val="10"/>
            </w:pPr>
            <w:r>
              <w:t>计量  单位</w:t>
            </w:r>
          </w:p>
        </w:tc>
        <w:tc>
          <w:tcPr>
            <w:tcW w:w="850" w:type="dxa"/>
            <w:vMerge w:val="restart"/>
            <w:vAlign w:val="center"/>
          </w:tcPr>
          <w:p w14:paraId="6670D1B5">
            <w:pPr>
              <w:pStyle w:val="10"/>
            </w:pPr>
            <w:r>
              <w:t>数量</w:t>
            </w:r>
          </w:p>
        </w:tc>
        <w:tc>
          <w:tcPr>
            <w:tcW w:w="850" w:type="dxa"/>
            <w:vMerge w:val="restart"/>
            <w:vAlign w:val="center"/>
          </w:tcPr>
          <w:p w14:paraId="3ECE1263">
            <w:pPr>
              <w:pStyle w:val="10"/>
            </w:pPr>
            <w:r>
              <w:t>单价</w:t>
            </w:r>
          </w:p>
        </w:tc>
        <w:tc>
          <w:tcPr>
            <w:tcW w:w="7712" w:type="dxa"/>
            <w:gridSpan w:val="8"/>
            <w:vAlign w:val="center"/>
          </w:tcPr>
          <w:p w14:paraId="2A6590CE">
            <w:pPr>
              <w:pStyle w:val="10"/>
            </w:pPr>
            <w:r>
              <w:t>政府采购金额（当年部门预算安排资金）</w:t>
            </w:r>
          </w:p>
        </w:tc>
        <w:tc>
          <w:tcPr>
            <w:tcW w:w="964" w:type="dxa"/>
            <w:vMerge w:val="restart"/>
            <w:vAlign w:val="center"/>
          </w:tcPr>
          <w:p w14:paraId="02BB69EC">
            <w:pPr>
              <w:pStyle w:val="10"/>
            </w:pPr>
            <w:r>
              <w:t>2026年  预留中  小微企  业份额</w:t>
            </w:r>
          </w:p>
        </w:tc>
      </w:tr>
      <w:tr w14:paraId="6A6B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9467D8">
            <w:pPr>
              <w:pStyle w:val="10"/>
            </w:pPr>
            <w:r>
              <w:t>项目名称</w:t>
            </w:r>
          </w:p>
        </w:tc>
        <w:tc>
          <w:tcPr>
            <w:tcW w:w="964" w:type="dxa"/>
            <w:vAlign w:val="center"/>
          </w:tcPr>
          <w:p w14:paraId="2913083B">
            <w:pPr>
              <w:pStyle w:val="10"/>
            </w:pPr>
            <w:r>
              <w:t>预算    资金</w:t>
            </w:r>
          </w:p>
        </w:tc>
        <w:tc>
          <w:tcPr>
            <w:tcW w:w="1134" w:type="dxa"/>
            <w:vMerge w:val="continue"/>
          </w:tcPr>
          <w:p w14:paraId="674C91F3"/>
        </w:tc>
        <w:tc>
          <w:tcPr>
            <w:tcW w:w="1134" w:type="dxa"/>
            <w:vMerge w:val="continue"/>
          </w:tcPr>
          <w:p w14:paraId="25FC047D"/>
        </w:tc>
        <w:tc>
          <w:tcPr>
            <w:tcW w:w="709" w:type="dxa"/>
            <w:vMerge w:val="continue"/>
          </w:tcPr>
          <w:p w14:paraId="166EA4E7"/>
        </w:tc>
        <w:tc>
          <w:tcPr>
            <w:tcW w:w="850" w:type="dxa"/>
            <w:vMerge w:val="continue"/>
          </w:tcPr>
          <w:p w14:paraId="0E7AC452"/>
        </w:tc>
        <w:tc>
          <w:tcPr>
            <w:tcW w:w="850" w:type="dxa"/>
            <w:vMerge w:val="continue"/>
          </w:tcPr>
          <w:p w14:paraId="4538CCCD"/>
        </w:tc>
        <w:tc>
          <w:tcPr>
            <w:tcW w:w="964" w:type="dxa"/>
            <w:vAlign w:val="center"/>
          </w:tcPr>
          <w:p w14:paraId="6C68629E">
            <w:pPr>
              <w:pStyle w:val="10"/>
            </w:pPr>
            <w:r>
              <w:t>合计</w:t>
            </w:r>
          </w:p>
        </w:tc>
        <w:tc>
          <w:tcPr>
            <w:tcW w:w="964" w:type="dxa"/>
            <w:vAlign w:val="center"/>
          </w:tcPr>
          <w:p w14:paraId="7DF8718B">
            <w:pPr>
              <w:pStyle w:val="10"/>
            </w:pPr>
            <w:r>
              <w:t>一般公共预算拨款</w:t>
            </w:r>
          </w:p>
        </w:tc>
        <w:tc>
          <w:tcPr>
            <w:tcW w:w="964" w:type="dxa"/>
            <w:vAlign w:val="center"/>
          </w:tcPr>
          <w:p w14:paraId="1F4EA706">
            <w:pPr>
              <w:pStyle w:val="10"/>
            </w:pPr>
            <w:r>
              <w:t>基金预算拨款</w:t>
            </w:r>
          </w:p>
        </w:tc>
        <w:tc>
          <w:tcPr>
            <w:tcW w:w="964" w:type="dxa"/>
            <w:vAlign w:val="center"/>
          </w:tcPr>
          <w:p w14:paraId="54099735">
            <w:pPr>
              <w:pStyle w:val="10"/>
            </w:pPr>
            <w:r>
              <w:t>国有资本经营预算拨款</w:t>
            </w:r>
          </w:p>
        </w:tc>
        <w:tc>
          <w:tcPr>
            <w:tcW w:w="964" w:type="dxa"/>
            <w:vAlign w:val="center"/>
          </w:tcPr>
          <w:p w14:paraId="29FF74EA">
            <w:pPr>
              <w:pStyle w:val="10"/>
            </w:pPr>
            <w:r>
              <w:t>财政专户核拨</w:t>
            </w:r>
          </w:p>
        </w:tc>
        <w:tc>
          <w:tcPr>
            <w:tcW w:w="964" w:type="dxa"/>
            <w:vAlign w:val="center"/>
          </w:tcPr>
          <w:p w14:paraId="61A715D8">
            <w:pPr>
              <w:pStyle w:val="10"/>
            </w:pPr>
            <w:r>
              <w:t>单位    资金</w:t>
            </w:r>
          </w:p>
        </w:tc>
        <w:tc>
          <w:tcPr>
            <w:tcW w:w="964" w:type="dxa"/>
            <w:vAlign w:val="center"/>
          </w:tcPr>
          <w:p w14:paraId="58FA590D">
            <w:pPr>
              <w:pStyle w:val="10"/>
            </w:pPr>
            <w:r>
              <w:t>财政拨款结转</w:t>
            </w:r>
          </w:p>
        </w:tc>
        <w:tc>
          <w:tcPr>
            <w:tcW w:w="964" w:type="dxa"/>
            <w:vAlign w:val="center"/>
          </w:tcPr>
          <w:p w14:paraId="37BDD131">
            <w:pPr>
              <w:pStyle w:val="10"/>
            </w:pPr>
            <w:r>
              <w:t>非财政拨款结余</w:t>
            </w:r>
          </w:p>
        </w:tc>
        <w:tc>
          <w:tcPr>
            <w:tcW w:w="964" w:type="dxa"/>
            <w:vMerge w:val="continue"/>
          </w:tcPr>
          <w:p w14:paraId="797A3B76"/>
        </w:tc>
      </w:tr>
      <w:tr w14:paraId="3B16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154744">
            <w:pPr>
              <w:pStyle w:val="14"/>
            </w:pPr>
            <w:r>
              <w:t>合  计</w:t>
            </w:r>
          </w:p>
        </w:tc>
        <w:tc>
          <w:tcPr>
            <w:tcW w:w="964" w:type="dxa"/>
            <w:vAlign w:val="center"/>
          </w:tcPr>
          <w:p w14:paraId="09297451">
            <w:pPr>
              <w:pStyle w:val="15"/>
            </w:pPr>
          </w:p>
        </w:tc>
        <w:tc>
          <w:tcPr>
            <w:tcW w:w="1134" w:type="dxa"/>
            <w:vAlign w:val="center"/>
          </w:tcPr>
          <w:p w14:paraId="3B56A858">
            <w:pPr>
              <w:pStyle w:val="16"/>
            </w:pPr>
          </w:p>
        </w:tc>
        <w:tc>
          <w:tcPr>
            <w:tcW w:w="1134" w:type="dxa"/>
            <w:vAlign w:val="center"/>
          </w:tcPr>
          <w:p w14:paraId="41A01625">
            <w:pPr>
              <w:pStyle w:val="16"/>
            </w:pPr>
          </w:p>
        </w:tc>
        <w:tc>
          <w:tcPr>
            <w:tcW w:w="709" w:type="dxa"/>
            <w:vAlign w:val="center"/>
          </w:tcPr>
          <w:p w14:paraId="78E4FDFA">
            <w:pPr>
              <w:pStyle w:val="14"/>
            </w:pPr>
          </w:p>
        </w:tc>
        <w:tc>
          <w:tcPr>
            <w:tcW w:w="850" w:type="dxa"/>
            <w:vAlign w:val="center"/>
          </w:tcPr>
          <w:p w14:paraId="1ECC9E84">
            <w:pPr>
              <w:pStyle w:val="15"/>
            </w:pPr>
          </w:p>
        </w:tc>
        <w:tc>
          <w:tcPr>
            <w:tcW w:w="850" w:type="dxa"/>
            <w:vAlign w:val="center"/>
          </w:tcPr>
          <w:p w14:paraId="3B3548CA">
            <w:pPr>
              <w:pStyle w:val="15"/>
            </w:pPr>
          </w:p>
        </w:tc>
        <w:tc>
          <w:tcPr>
            <w:tcW w:w="964" w:type="dxa"/>
            <w:vAlign w:val="center"/>
          </w:tcPr>
          <w:p w14:paraId="54F68AFD">
            <w:pPr>
              <w:pStyle w:val="15"/>
            </w:pPr>
            <w:r>
              <w:t>765.32</w:t>
            </w:r>
          </w:p>
        </w:tc>
        <w:tc>
          <w:tcPr>
            <w:tcW w:w="964" w:type="dxa"/>
            <w:vAlign w:val="center"/>
          </w:tcPr>
          <w:p w14:paraId="06AB23A4">
            <w:pPr>
              <w:pStyle w:val="15"/>
            </w:pPr>
            <w:r>
              <w:t>765.32</w:t>
            </w:r>
          </w:p>
        </w:tc>
        <w:tc>
          <w:tcPr>
            <w:tcW w:w="964" w:type="dxa"/>
            <w:vAlign w:val="center"/>
          </w:tcPr>
          <w:p w14:paraId="709669FF">
            <w:pPr>
              <w:pStyle w:val="15"/>
            </w:pPr>
          </w:p>
        </w:tc>
        <w:tc>
          <w:tcPr>
            <w:tcW w:w="964" w:type="dxa"/>
            <w:vAlign w:val="center"/>
          </w:tcPr>
          <w:p w14:paraId="775605EA">
            <w:pPr>
              <w:pStyle w:val="15"/>
            </w:pPr>
          </w:p>
        </w:tc>
        <w:tc>
          <w:tcPr>
            <w:tcW w:w="964" w:type="dxa"/>
            <w:vAlign w:val="center"/>
          </w:tcPr>
          <w:p w14:paraId="6A2AE6F5">
            <w:pPr>
              <w:pStyle w:val="15"/>
            </w:pPr>
          </w:p>
        </w:tc>
        <w:tc>
          <w:tcPr>
            <w:tcW w:w="964" w:type="dxa"/>
            <w:vAlign w:val="center"/>
          </w:tcPr>
          <w:p w14:paraId="51A73616">
            <w:pPr>
              <w:pStyle w:val="15"/>
            </w:pPr>
          </w:p>
        </w:tc>
        <w:tc>
          <w:tcPr>
            <w:tcW w:w="964" w:type="dxa"/>
            <w:vAlign w:val="center"/>
          </w:tcPr>
          <w:p w14:paraId="5F93A02C">
            <w:pPr>
              <w:pStyle w:val="15"/>
            </w:pPr>
          </w:p>
        </w:tc>
        <w:tc>
          <w:tcPr>
            <w:tcW w:w="964" w:type="dxa"/>
            <w:vAlign w:val="center"/>
          </w:tcPr>
          <w:p w14:paraId="56D9B272">
            <w:pPr>
              <w:pStyle w:val="15"/>
            </w:pPr>
          </w:p>
        </w:tc>
        <w:tc>
          <w:tcPr>
            <w:tcW w:w="964" w:type="dxa"/>
            <w:vAlign w:val="center"/>
          </w:tcPr>
          <w:p w14:paraId="7E96039B">
            <w:pPr>
              <w:pStyle w:val="15"/>
            </w:pPr>
            <w:r>
              <w:t>765.32</w:t>
            </w:r>
          </w:p>
        </w:tc>
      </w:tr>
      <w:tr w14:paraId="5AB4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A4D984">
            <w:pPr>
              <w:pStyle w:val="14"/>
            </w:pPr>
            <w:r>
              <w:t>隆尧县尧山中学小计</w:t>
            </w:r>
          </w:p>
        </w:tc>
        <w:tc>
          <w:tcPr>
            <w:tcW w:w="964" w:type="dxa"/>
            <w:vAlign w:val="center"/>
          </w:tcPr>
          <w:p w14:paraId="69EC92A6">
            <w:pPr>
              <w:pStyle w:val="15"/>
            </w:pPr>
          </w:p>
        </w:tc>
        <w:tc>
          <w:tcPr>
            <w:tcW w:w="1134" w:type="dxa"/>
            <w:vAlign w:val="center"/>
          </w:tcPr>
          <w:p w14:paraId="3ED985FA">
            <w:pPr>
              <w:pStyle w:val="16"/>
            </w:pPr>
          </w:p>
        </w:tc>
        <w:tc>
          <w:tcPr>
            <w:tcW w:w="1134" w:type="dxa"/>
            <w:vAlign w:val="center"/>
          </w:tcPr>
          <w:p w14:paraId="61A5C778">
            <w:pPr>
              <w:pStyle w:val="16"/>
            </w:pPr>
          </w:p>
        </w:tc>
        <w:tc>
          <w:tcPr>
            <w:tcW w:w="709" w:type="dxa"/>
            <w:vAlign w:val="center"/>
          </w:tcPr>
          <w:p w14:paraId="12FCB5A8">
            <w:pPr>
              <w:pStyle w:val="14"/>
            </w:pPr>
          </w:p>
        </w:tc>
        <w:tc>
          <w:tcPr>
            <w:tcW w:w="850" w:type="dxa"/>
            <w:vAlign w:val="center"/>
          </w:tcPr>
          <w:p w14:paraId="6A6AC3B7">
            <w:pPr>
              <w:pStyle w:val="15"/>
            </w:pPr>
          </w:p>
        </w:tc>
        <w:tc>
          <w:tcPr>
            <w:tcW w:w="850" w:type="dxa"/>
            <w:vAlign w:val="center"/>
          </w:tcPr>
          <w:p w14:paraId="44DD54DB">
            <w:pPr>
              <w:pStyle w:val="15"/>
            </w:pPr>
          </w:p>
        </w:tc>
        <w:tc>
          <w:tcPr>
            <w:tcW w:w="964" w:type="dxa"/>
            <w:vAlign w:val="center"/>
          </w:tcPr>
          <w:p w14:paraId="27A886CC">
            <w:pPr>
              <w:pStyle w:val="15"/>
            </w:pPr>
            <w:r>
              <w:t>765.32</w:t>
            </w:r>
          </w:p>
        </w:tc>
        <w:tc>
          <w:tcPr>
            <w:tcW w:w="964" w:type="dxa"/>
            <w:vAlign w:val="center"/>
          </w:tcPr>
          <w:p w14:paraId="0C95CE0E">
            <w:pPr>
              <w:pStyle w:val="15"/>
            </w:pPr>
            <w:r>
              <w:t>765.32</w:t>
            </w:r>
          </w:p>
        </w:tc>
        <w:tc>
          <w:tcPr>
            <w:tcW w:w="964" w:type="dxa"/>
            <w:vAlign w:val="center"/>
          </w:tcPr>
          <w:p w14:paraId="11591BAC">
            <w:pPr>
              <w:pStyle w:val="15"/>
            </w:pPr>
          </w:p>
        </w:tc>
        <w:tc>
          <w:tcPr>
            <w:tcW w:w="964" w:type="dxa"/>
            <w:vAlign w:val="center"/>
          </w:tcPr>
          <w:p w14:paraId="7B73C9A1">
            <w:pPr>
              <w:pStyle w:val="15"/>
            </w:pPr>
          </w:p>
        </w:tc>
        <w:tc>
          <w:tcPr>
            <w:tcW w:w="964" w:type="dxa"/>
            <w:vAlign w:val="center"/>
          </w:tcPr>
          <w:p w14:paraId="58FFE428">
            <w:pPr>
              <w:pStyle w:val="15"/>
            </w:pPr>
          </w:p>
        </w:tc>
        <w:tc>
          <w:tcPr>
            <w:tcW w:w="964" w:type="dxa"/>
            <w:vAlign w:val="center"/>
          </w:tcPr>
          <w:p w14:paraId="3BD304E7">
            <w:pPr>
              <w:pStyle w:val="15"/>
            </w:pPr>
          </w:p>
        </w:tc>
        <w:tc>
          <w:tcPr>
            <w:tcW w:w="964" w:type="dxa"/>
            <w:vAlign w:val="center"/>
          </w:tcPr>
          <w:p w14:paraId="22AF07DB">
            <w:pPr>
              <w:pStyle w:val="15"/>
            </w:pPr>
          </w:p>
        </w:tc>
        <w:tc>
          <w:tcPr>
            <w:tcW w:w="964" w:type="dxa"/>
            <w:vAlign w:val="center"/>
          </w:tcPr>
          <w:p w14:paraId="7E365C6D">
            <w:pPr>
              <w:pStyle w:val="15"/>
            </w:pPr>
          </w:p>
        </w:tc>
        <w:tc>
          <w:tcPr>
            <w:tcW w:w="964" w:type="dxa"/>
            <w:vAlign w:val="center"/>
          </w:tcPr>
          <w:p w14:paraId="46CD6EB3">
            <w:pPr>
              <w:pStyle w:val="15"/>
            </w:pPr>
            <w:r>
              <w:t>765.32</w:t>
            </w:r>
          </w:p>
        </w:tc>
      </w:tr>
      <w:tr w14:paraId="2863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E1D1B3">
            <w:pPr>
              <w:pStyle w:val="12"/>
            </w:pPr>
            <w:r>
              <w:t>冀财教[2025]119号/中央/2026年薄弱学校改造/尧山中学宿舍楼改扩建项目</w:t>
            </w:r>
          </w:p>
        </w:tc>
        <w:tc>
          <w:tcPr>
            <w:tcW w:w="964" w:type="dxa"/>
            <w:vAlign w:val="center"/>
          </w:tcPr>
          <w:p w14:paraId="36161F9A">
            <w:pPr>
              <w:pStyle w:val="11"/>
            </w:pPr>
            <w:r>
              <w:t>761.00</w:t>
            </w:r>
          </w:p>
        </w:tc>
        <w:tc>
          <w:tcPr>
            <w:tcW w:w="1134" w:type="dxa"/>
            <w:vAlign w:val="center"/>
          </w:tcPr>
          <w:p w14:paraId="06A994A1">
            <w:pPr>
              <w:pStyle w:val="12"/>
            </w:pPr>
            <w:r>
              <w:t>教育用房施工</w:t>
            </w:r>
          </w:p>
        </w:tc>
        <w:tc>
          <w:tcPr>
            <w:tcW w:w="1134" w:type="dxa"/>
            <w:vAlign w:val="center"/>
          </w:tcPr>
          <w:p w14:paraId="14273B00">
            <w:pPr>
              <w:pStyle w:val="12"/>
            </w:pPr>
            <w:r>
              <w:t>B01021100</w:t>
            </w:r>
          </w:p>
        </w:tc>
        <w:tc>
          <w:tcPr>
            <w:tcW w:w="709" w:type="dxa"/>
            <w:vAlign w:val="center"/>
          </w:tcPr>
          <w:p w14:paraId="57BDD1B3">
            <w:pPr>
              <w:pStyle w:val="13"/>
            </w:pPr>
            <w:r>
              <w:t>栋</w:t>
            </w:r>
          </w:p>
        </w:tc>
        <w:tc>
          <w:tcPr>
            <w:tcW w:w="850" w:type="dxa"/>
            <w:vAlign w:val="center"/>
          </w:tcPr>
          <w:p w14:paraId="76E9C3C4">
            <w:pPr>
              <w:pStyle w:val="11"/>
            </w:pPr>
            <w:r>
              <w:t>1</w:t>
            </w:r>
          </w:p>
        </w:tc>
        <w:tc>
          <w:tcPr>
            <w:tcW w:w="850" w:type="dxa"/>
            <w:vAlign w:val="center"/>
          </w:tcPr>
          <w:p w14:paraId="09A2C1B7">
            <w:pPr>
              <w:pStyle w:val="11"/>
            </w:pPr>
            <w:r>
              <w:t>761.00</w:t>
            </w:r>
          </w:p>
        </w:tc>
        <w:tc>
          <w:tcPr>
            <w:tcW w:w="964" w:type="dxa"/>
            <w:vAlign w:val="center"/>
          </w:tcPr>
          <w:p w14:paraId="040C3AC2">
            <w:pPr>
              <w:pStyle w:val="11"/>
            </w:pPr>
            <w:r>
              <w:t>761.00</w:t>
            </w:r>
          </w:p>
        </w:tc>
        <w:tc>
          <w:tcPr>
            <w:tcW w:w="964" w:type="dxa"/>
            <w:vAlign w:val="center"/>
          </w:tcPr>
          <w:p w14:paraId="664BAB34">
            <w:pPr>
              <w:pStyle w:val="11"/>
            </w:pPr>
            <w:r>
              <w:t>761.00</w:t>
            </w:r>
          </w:p>
        </w:tc>
        <w:tc>
          <w:tcPr>
            <w:tcW w:w="964" w:type="dxa"/>
            <w:vAlign w:val="center"/>
          </w:tcPr>
          <w:p w14:paraId="5BAAE027">
            <w:pPr>
              <w:pStyle w:val="11"/>
            </w:pPr>
          </w:p>
        </w:tc>
        <w:tc>
          <w:tcPr>
            <w:tcW w:w="964" w:type="dxa"/>
            <w:vAlign w:val="center"/>
          </w:tcPr>
          <w:p w14:paraId="63C654A8">
            <w:pPr>
              <w:pStyle w:val="11"/>
            </w:pPr>
          </w:p>
        </w:tc>
        <w:tc>
          <w:tcPr>
            <w:tcW w:w="964" w:type="dxa"/>
            <w:vAlign w:val="center"/>
          </w:tcPr>
          <w:p w14:paraId="2B5178D5">
            <w:pPr>
              <w:pStyle w:val="11"/>
            </w:pPr>
          </w:p>
        </w:tc>
        <w:tc>
          <w:tcPr>
            <w:tcW w:w="964" w:type="dxa"/>
            <w:vAlign w:val="center"/>
          </w:tcPr>
          <w:p w14:paraId="0492CCC0">
            <w:pPr>
              <w:pStyle w:val="11"/>
            </w:pPr>
          </w:p>
        </w:tc>
        <w:tc>
          <w:tcPr>
            <w:tcW w:w="964" w:type="dxa"/>
            <w:vAlign w:val="center"/>
          </w:tcPr>
          <w:p w14:paraId="451137C1">
            <w:pPr>
              <w:pStyle w:val="11"/>
            </w:pPr>
          </w:p>
        </w:tc>
        <w:tc>
          <w:tcPr>
            <w:tcW w:w="964" w:type="dxa"/>
            <w:vAlign w:val="center"/>
          </w:tcPr>
          <w:p w14:paraId="239870E7">
            <w:pPr>
              <w:pStyle w:val="11"/>
            </w:pPr>
          </w:p>
        </w:tc>
        <w:tc>
          <w:tcPr>
            <w:tcW w:w="964" w:type="dxa"/>
            <w:vAlign w:val="center"/>
          </w:tcPr>
          <w:p w14:paraId="27EE26BB">
            <w:pPr>
              <w:pStyle w:val="11"/>
            </w:pPr>
            <w:r>
              <w:t>761.00</w:t>
            </w:r>
          </w:p>
        </w:tc>
      </w:tr>
      <w:tr w14:paraId="191A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D2CE21">
            <w:pPr>
              <w:pStyle w:val="12"/>
            </w:pPr>
            <w:r>
              <w:t>冀财教[2025]147号/省级/2026年义教补助经费/尧山中学公用经费</w:t>
            </w:r>
          </w:p>
        </w:tc>
        <w:tc>
          <w:tcPr>
            <w:tcW w:w="964" w:type="dxa"/>
            <w:vAlign w:val="center"/>
          </w:tcPr>
          <w:p w14:paraId="5A8AFE02">
            <w:pPr>
              <w:pStyle w:val="11"/>
            </w:pPr>
            <w:r>
              <w:t>165.26</w:t>
            </w:r>
          </w:p>
        </w:tc>
        <w:tc>
          <w:tcPr>
            <w:tcW w:w="1134" w:type="dxa"/>
            <w:vAlign w:val="center"/>
          </w:tcPr>
          <w:p w14:paraId="56E6A574">
            <w:pPr>
              <w:pStyle w:val="12"/>
            </w:pPr>
            <w:r>
              <w:t>办公桌</w:t>
            </w:r>
          </w:p>
        </w:tc>
        <w:tc>
          <w:tcPr>
            <w:tcW w:w="1134" w:type="dxa"/>
            <w:vAlign w:val="center"/>
          </w:tcPr>
          <w:p w14:paraId="13E3B13E">
            <w:pPr>
              <w:pStyle w:val="12"/>
            </w:pPr>
            <w:r>
              <w:t>A05010201</w:t>
            </w:r>
          </w:p>
        </w:tc>
        <w:tc>
          <w:tcPr>
            <w:tcW w:w="709" w:type="dxa"/>
            <w:vAlign w:val="center"/>
          </w:tcPr>
          <w:p w14:paraId="2CA9577E">
            <w:pPr>
              <w:pStyle w:val="13"/>
            </w:pPr>
            <w:r>
              <w:t>套</w:t>
            </w:r>
          </w:p>
        </w:tc>
        <w:tc>
          <w:tcPr>
            <w:tcW w:w="850" w:type="dxa"/>
            <w:vAlign w:val="center"/>
          </w:tcPr>
          <w:p w14:paraId="15386C92">
            <w:pPr>
              <w:pStyle w:val="11"/>
            </w:pPr>
            <w:r>
              <w:t>36</w:t>
            </w:r>
          </w:p>
        </w:tc>
        <w:tc>
          <w:tcPr>
            <w:tcW w:w="850" w:type="dxa"/>
            <w:vAlign w:val="center"/>
          </w:tcPr>
          <w:p w14:paraId="4A9F3AF8">
            <w:pPr>
              <w:pStyle w:val="11"/>
            </w:pPr>
            <w:r>
              <w:t>0.12</w:t>
            </w:r>
          </w:p>
        </w:tc>
        <w:tc>
          <w:tcPr>
            <w:tcW w:w="964" w:type="dxa"/>
            <w:vAlign w:val="center"/>
          </w:tcPr>
          <w:p w14:paraId="2F7774A6">
            <w:pPr>
              <w:pStyle w:val="11"/>
            </w:pPr>
            <w:r>
              <w:t>4.32</w:t>
            </w:r>
          </w:p>
        </w:tc>
        <w:tc>
          <w:tcPr>
            <w:tcW w:w="964" w:type="dxa"/>
            <w:vAlign w:val="center"/>
          </w:tcPr>
          <w:p w14:paraId="2DBA393B">
            <w:pPr>
              <w:pStyle w:val="11"/>
            </w:pPr>
            <w:r>
              <w:t>4.32</w:t>
            </w:r>
          </w:p>
        </w:tc>
        <w:tc>
          <w:tcPr>
            <w:tcW w:w="964" w:type="dxa"/>
            <w:vAlign w:val="center"/>
          </w:tcPr>
          <w:p w14:paraId="31F6D638">
            <w:pPr>
              <w:pStyle w:val="11"/>
            </w:pPr>
          </w:p>
        </w:tc>
        <w:tc>
          <w:tcPr>
            <w:tcW w:w="964" w:type="dxa"/>
            <w:vAlign w:val="center"/>
          </w:tcPr>
          <w:p w14:paraId="078A30C4">
            <w:pPr>
              <w:pStyle w:val="11"/>
            </w:pPr>
          </w:p>
        </w:tc>
        <w:tc>
          <w:tcPr>
            <w:tcW w:w="964" w:type="dxa"/>
            <w:vAlign w:val="center"/>
          </w:tcPr>
          <w:p w14:paraId="6C5F2D7D">
            <w:pPr>
              <w:pStyle w:val="11"/>
            </w:pPr>
          </w:p>
        </w:tc>
        <w:tc>
          <w:tcPr>
            <w:tcW w:w="964" w:type="dxa"/>
            <w:vAlign w:val="center"/>
          </w:tcPr>
          <w:p w14:paraId="70642D5D">
            <w:pPr>
              <w:pStyle w:val="11"/>
            </w:pPr>
          </w:p>
        </w:tc>
        <w:tc>
          <w:tcPr>
            <w:tcW w:w="964" w:type="dxa"/>
            <w:vAlign w:val="center"/>
          </w:tcPr>
          <w:p w14:paraId="4C49017B">
            <w:pPr>
              <w:pStyle w:val="11"/>
            </w:pPr>
          </w:p>
        </w:tc>
        <w:tc>
          <w:tcPr>
            <w:tcW w:w="964" w:type="dxa"/>
            <w:vAlign w:val="center"/>
          </w:tcPr>
          <w:p w14:paraId="49EE7005">
            <w:pPr>
              <w:pStyle w:val="11"/>
            </w:pPr>
          </w:p>
        </w:tc>
        <w:tc>
          <w:tcPr>
            <w:tcW w:w="964" w:type="dxa"/>
            <w:vAlign w:val="center"/>
          </w:tcPr>
          <w:p w14:paraId="3CA09ABB">
            <w:pPr>
              <w:pStyle w:val="11"/>
            </w:pPr>
            <w:r>
              <w:t>4.32</w:t>
            </w:r>
          </w:p>
        </w:tc>
      </w:tr>
    </w:tbl>
    <w:p w14:paraId="6647D95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D2BEDC">
      <w:pPr>
        <w:spacing w:before="0" w:after="0"/>
        <w:ind w:firstLine="640"/>
        <w:jc w:val="left"/>
        <w:outlineLvl w:val="9"/>
      </w:pPr>
      <w:r>
        <w:rPr>
          <w:rFonts w:ascii="Times New Roman" w:hAnsi="Times New Roman" w:eastAsia="方正仿宋_GBK" w:cs="Times New Roman"/>
          <w:color w:val="000000"/>
          <w:sz w:val="32"/>
        </w:rPr>
        <w:t xml:space="preserve"> </w:t>
      </w:r>
    </w:p>
    <w:p w14:paraId="49E18EF7">
      <w:pPr>
        <w:spacing w:before="10" w:after="10" w:line="240" w:lineRule="auto"/>
        <w:ind w:firstLine="640"/>
        <w:jc w:val="left"/>
        <w:outlineLvl w:val="5"/>
      </w:pPr>
      <w:r>
        <w:rPr>
          <w:rFonts w:ascii="黑体" w:hAnsi="黑体" w:eastAsia="黑体" w:cs="黑体"/>
          <w:color w:val="000000"/>
          <w:sz w:val="32"/>
        </w:rPr>
        <w:t>七、国有资产信息</w:t>
      </w:r>
    </w:p>
    <w:p w14:paraId="64EE0620">
      <w:pPr>
        <w:spacing w:before="0" w:after="0" w:line="500" w:lineRule="exact"/>
        <w:ind w:firstLine="560"/>
        <w:jc w:val="left"/>
        <w:outlineLvl w:val="9"/>
      </w:pPr>
      <w:r>
        <w:rPr>
          <w:rFonts w:ascii="Times New Roman" w:hAnsi="Times New Roman" w:eastAsia="方正仿宋_GBK" w:cs="Times New Roman"/>
          <w:b w:val="0"/>
          <w:color w:val="000000"/>
          <w:sz w:val="28"/>
        </w:rPr>
        <w:t>隆尧县尧山中学上年末固定资产金额为2971.55万元（详见下表）。本年度拟购置固定资产总额为64.27万元，已按要求列入政府采购预算，详见政府采购预算表。</w:t>
      </w:r>
    </w:p>
    <w:p w14:paraId="20C28A2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8C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F18480">
            <w:pPr>
              <w:pStyle w:val="9"/>
            </w:pPr>
            <w:r>
              <w:t>360004隆尧县尧山中学</w:t>
            </w:r>
          </w:p>
        </w:tc>
        <w:tc>
          <w:tcPr>
            <w:tcW w:w="5670" w:type="dxa"/>
            <w:gridSpan w:val="2"/>
            <w:tcBorders>
              <w:top w:val="single" w:color="FFFFFF" w:sz="6" w:space="0"/>
              <w:left w:val="single" w:color="FFFFFF" w:sz="6" w:space="0"/>
              <w:right w:val="single" w:color="FFFFFF" w:sz="6" w:space="0"/>
            </w:tcBorders>
            <w:vAlign w:val="center"/>
          </w:tcPr>
          <w:p w14:paraId="2395EA64">
            <w:pPr>
              <w:pStyle w:val="7"/>
            </w:pPr>
            <w:r>
              <w:t>截止时间：2025-12-31</w:t>
            </w:r>
          </w:p>
        </w:tc>
      </w:tr>
      <w:tr w14:paraId="5D73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0D8A90">
            <w:pPr>
              <w:pStyle w:val="10"/>
            </w:pPr>
            <w:r>
              <w:t>项   目</w:t>
            </w:r>
          </w:p>
        </w:tc>
        <w:tc>
          <w:tcPr>
            <w:tcW w:w="2835" w:type="dxa"/>
            <w:vAlign w:val="center"/>
          </w:tcPr>
          <w:p w14:paraId="529C70C2">
            <w:pPr>
              <w:pStyle w:val="10"/>
            </w:pPr>
            <w:r>
              <w:t>数量</w:t>
            </w:r>
          </w:p>
        </w:tc>
        <w:tc>
          <w:tcPr>
            <w:tcW w:w="2835" w:type="dxa"/>
            <w:vAlign w:val="center"/>
          </w:tcPr>
          <w:p w14:paraId="74235CFD">
            <w:pPr>
              <w:pStyle w:val="10"/>
            </w:pPr>
            <w:r>
              <w:t>价值（金额单位：万元）</w:t>
            </w:r>
          </w:p>
        </w:tc>
      </w:tr>
      <w:tr w14:paraId="1D27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4EA5C">
            <w:pPr>
              <w:pStyle w:val="12"/>
            </w:pPr>
            <w:r>
              <w:t>资产总额</w:t>
            </w:r>
          </w:p>
        </w:tc>
        <w:tc>
          <w:tcPr>
            <w:tcW w:w="2835" w:type="dxa"/>
            <w:vAlign w:val="center"/>
          </w:tcPr>
          <w:p w14:paraId="7A3FEA11">
            <w:pPr>
              <w:pStyle w:val="13"/>
            </w:pPr>
          </w:p>
        </w:tc>
        <w:tc>
          <w:tcPr>
            <w:tcW w:w="2835" w:type="dxa"/>
            <w:vAlign w:val="center"/>
          </w:tcPr>
          <w:p w14:paraId="73F7748F">
            <w:pPr>
              <w:pStyle w:val="11"/>
            </w:pPr>
            <w:r>
              <w:t>2971.55</w:t>
            </w:r>
          </w:p>
        </w:tc>
      </w:tr>
      <w:tr w14:paraId="1D00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6733F0">
            <w:pPr>
              <w:pStyle w:val="12"/>
            </w:pPr>
            <w:r>
              <w:t>1、房屋（平方米）</w:t>
            </w:r>
          </w:p>
        </w:tc>
        <w:tc>
          <w:tcPr>
            <w:tcW w:w="2835" w:type="dxa"/>
            <w:vAlign w:val="center"/>
          </w:tcPr>
          <w:p w14:paraId="311CF03E">
            <w:pPr>
              <w:pStyle w:val="13"/>
            </w:pPr>
            <w:r>
              <w:t>22868.39</w:t>
            </w:r>
          </w:p>
        </w:tc>
        <w:tc>
          <w:tcPr>
            <w:tcW w:w="2835" w:type="dxa"/>
            <w:vAlign w:val="center"/>
          </w:tcPr>
          <w:p w14:paraId="6A144D93">
            <w:pPr>
              <w:pStyle w:val="11"/>
            </w:pPr>
            <w:r>
              <w:t>1706.38</w:t>
            </w:r>
          </w:p>
        </w:tc>
      </w:tr>
      <w:tr w14:paraId="21B3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903CB3">
            <w:pPr>
              <w:pStyle w:val="12"/>
            </w:pPr>
            <w:r>
              <w:t>　　其中：办公用房（平方米）</w:t>
            </w:r>
          </w:p>
        </w:tc>
        <w:tc>
          <w:tcPr>
            <w:tcW w:w="2835" w:type="dxa"/>
            <w:vAlign w:val="center"/>
          </w:tcPr>
          <w:p w14:paraId="75F9A40D">
            <w:pPr>
              <w:pStyle w:val="13"/>
            </w:pPr>
            <w:r>
              <w:t>9994.75</w:t>
            </w:r>
          </w:p>
        </w:tc>
        <w:tc>
          <w:tcPr>
            <w:tcW w:w="2835" w:type="dxa"/>
            <w:vAlign w:val="center"/>
          </w:tcPr>
          <w:p w14:paraId="60021F20">
            <w:pPr>
              <w:pStyle w:val="11"/>
            </w:pPr>
            <w:r>
              <w:t>738.40</w:t>
            </w:r>
          </w:p>
        </w:tc>
      </w:tr>
      <w:tr w14:paraId="09C7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5DA6C5">
            <w:pPr>
              <w:pStyle w:val="12"/>
            </w:pPr>
            <w:r>
              <w:t>2、车辆（台、辆）</w:t>
            </w:r>
          </w:p>
        </w:tc>
        <w:tc>
          <w:tcPr>
            <w:tcW w:w="2835" w:type="dxa"/>
            <w:vAlign w:val="center"/>
          </w:tcPr>
          <w:p w14:paraId="57227697">
            <w:pPr>
              <w:pStyle w:val="13"/>
            </w:pPr>
          </w:p>
        </w:tc>
        <w:tc>
          <w:tcPr>
            <w:tcW w:w="2835" w:type="dxa"/>
            <w:vAlign w:val="center"/>
          </w:tcPr>
          <w:p w14:paraId="5C115199">
            <w:pPr>
              <w:pStyle w:val="11"/>
            </w:pPr>
          </w:p>
        </w:tc>
      </w:tr>
      <w:tr w14:paraId="183E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0D214C">
            <w:pPr>
              <w:pStyle w:val="12"/>
            </w:pPr>
            <w:r>
              <w:t>3、单价在20万元以上的设备</w:t>
            </w:r>
          </w:p>
        </w:tc>
        <w:tc>
          <w:tcPr>
            <w:tcW w:w="2835" w:type="dxa"/>
            <w:vAlign w:val="center"/>
          </w:tcPr>
          <w:p w14:paraId="0028B235">
            <w:pPr>
              <w:pStyle w:val="13"/>
            </w:pPr>
            <w:r>
              <w:t>4</w:t>
            </w:r>
          </w:p>
        </w:tc>
        <w:tc>
          <w:tcPr>
            <w:tcW w:w="2835" w:type="dxa"/>
            <w:vAlign w:val="center"/>
          </w:tcPr>
          <w:p w14:paraId="6E9BF32D">
            <w:pPr>
              <w:pStyle w:val="11"/>
            </w:pPr>
            <w:r>
              <w:t>315.63</w:t>
            </w:r>
          </w:p>
        </w:tc>
      </w:tr>
      <w:tr w14:paraId="1EBB0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EC9117">
            <w:pPr>
              <w:pStyle w:val="12"/>
            </w:pPr>
            <w:r>
              <w:t>4、其他固定资产</w:t>
            </w:r>
          </w:p>
        </w:tc>
        <w:tc>
          <w:tcPr>
            <w:tcW w:w="2835" w:type="dxa"/>
            <w:vAlign w:val="center"/>
          </w:tcPr>
          <w:p w14:paraId="64217843">
            <w:pPr>
              <w:pStyle w:val="13"/>
            </w:pPr>
            <w:r>
              <w:t>43438</w:t>
            </w:r>
          </w:p>
        </w:tc>
        <w:tc>
          <w:tcPr>
            <w:tcW w:w="2835" w:type="dxa"/>
            <w:vAlign w:val="center"/>
          </w:tcPr>
          <w:p w14:paraId="4CA11F19">
            <w:pPr>
              <w:pStyle w:val="11"/>
            </w:pPr>
            <w:r>
              <w:t>949.55</w:t>
            </w:r>
          </w:p>
        </w:tc>
      </w:tr>
    </w:tbl>
    <w:p w14:paraId="479CB10D">
      <w:pPr>
        <w:spacing w:before="0" w:after="0"/>
        <w:ind w:firstLine="640"/>
        <w:jc w:val="left"/>
        <w:outlineLvl w:val="9"/>
      </w:pPr>
      <w:r>
        <w:rPr>
          <w:rFonts w:ascii="Times New Roman" w:hAnsi="Times New Roman" w:eastAsia="方正仿宋_GBK" w:cs="Times New Roman"/>
          <w:color w:val="000000"/>
          <w:sz w:val="32"/>
        </w:rPr>
        <w:t xml:space="preserve"> </w:t>
      </w:r>
    </w:p>
    <w:p w14:paraId="52C865A6">
      <w:pPr>
        <w:spacing w:before="10" w:after="10" w:line="240" w:lineRule="auto"/>
        <w:ind w:firstLine="640"/>
        <w:jc w:val="left"/>
        <w:outlineLvl w:val="5"/>
      </w:pPr>
      <w:r>
        <w:rPr>
          <w:rFonts w:ascii="黑体" w:hAnsi="黑体" w:eastAsia="黑体" w:cs="黑体"/>
          <w:color w:val="000000"/>
          <w:sz w:val="32"/>
        </w:rPr>
        <w:t>八、名词解释</w:t>
      </w:r>
    </w:p>
    <w:p w14:paraId="272ED9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EA033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FB81C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AA3E9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A862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32823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68DA7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6BAF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39CA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A6D6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DF4C4C">
      <w:pPr>
        <w:spacing w:before="10" w:after="10" w:line="240" w:lineRule="auto"/>
        <w:ind w:firstLine="640"/>
        <w:jc w:val="left"/>
        <w:outlineLvl w:val="5"/>
      </w:pPr>
      <w:r>
        <w:rPr>
          <w:rFonts w:ascii="黑体" w:hAnsi="黑体" w:eastAsia="黑体" w:cs="黑体"/>
          <w:color w:val="000000"/>
          <w:sz w:val="32"/>
        </w:rPr>
        <w:t>九、其他需要说明的事项</w:t>
      </w:r>
    </w:p>
    <w:p w14:paraId="427D487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A837FA">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四、隆尧县尹村中学收支预算</w:t>
      </w:r>
      <w:bookmarkEnd w:id="3"/>
    </w:p>
    <w:p w14:paraId="1E4513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9F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3031DF">
            <w:pPr>
              <w:pStyle w:val="9"/>
            </w:pPr>
            <w:r>
              <w:t>360005隆尧县尹村中学</w:t>
            </w:r>
          </w:p>
        </w:tc>
        <w:tc>
          <w:tcPr>
            <w:tcW w:w="2126" w:type="dxa"/>
            <w:tcBorders>
              <w:top w:val="single" w:color="FFFFFF" w:sz="6" w:space="0"/>
              <w:left w:val="single" w:color="FFFFFF" w:sz="6" w:space="0"/>
              <w:right w:val="single" w:color="FFFFFF" w:sz="6" w:space="0"/>
            </w:tcBorders>
            <w:vAlign w:val="center"/>
          </w:tcPr>
          <w:p w14:paraId="33DCD2C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CBB918">
            <w:pPr>
              <w:pStyle w:val="7"/>
            </w:pPr>
            <w:r>
              <w:t>单位：万元</w:t>
            </w:r>
          </w:p>
        </w:tc>
      </w:tr>
      <w:tr w14:paraId="09213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8CB99">
            <w:pPr>
              <w:pStyle w:val="10"/>
            </w:pPr>
            <w:r>
              <w:t>序号</w:t>
            </w:r>
          </w:p>
        </w:tc>
        <w:tc>
          <w:tcPr>
            <w:tcW w:w="6661" w:type="dxa"/>
            <w:gridSpan w:val="2"/>
            <w:vAlign w:val="center"/>
          </w:tcPr>
          <w:p w14:paraId="540E145D">
            <w:pPr>
              <w:pStyle w:val="10"/>
            </w:pPr>
            <w:r>
              <w:t>收入</w:t>
            </w:r>
          </w:p>
        </w:tc>
        <w:tc>
          <w:tcPr>
            <w:tcW w:w="6661" w:type="dxa"/>
            <w:gridSpan w:val="2"/>
            <w:vAlign w:val="center"/>
          </w:tcPr>
          <w:p w14:paraId="3CDFC79B">
            <w:pPr>
              <w:pStyle w:val="10"/>
            </w:pPr>
            <w:r>
              <w:t>支出</w:t>
            </w:r>
          </w:p>
        </w:tc>
      </w:tr>
      <w:tr w14:paraId="0033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54AABA"/>
        </w:tc>
        <w:tc>
          <w:tcPr>
            <w:tcW w:w="4535" w:type="dxa"/>
            <w:vAlign w:val="center"/>
          </w:tcPr>
          <w:p w14:paraId="1C4E38E9">
            <w:pPr>
              <w:pStyle w:val="10"/>
            </w:pPr>
            <w:r>
              <w:t>项  目</w:t>
            </w:r>
          </w:p>
        </w:tc>
        <w:tc>
          <w:tcPr>
            <w:tcW w:w="2126" w:type="dxa"/>
            <w:vAlign w:val="center"/>
          </w:tcPr>
          <w:p w14:paraId="6A61F329">
            <w:pPr>
              <w:pStyle w:val="10"/>
            </w:pPr>
            <w:r>
              <w:t>预算数</w:t>
            </w:r>
          </w:p>
        </w:tc>
        <w:tc>
          <w:tcPr>
            <w:tcW w:w="4535" w:type="dxa"/>
            <w:vAlign w:val="center"/>
          </w:tcPr>
          <w:p w14:paraId="140C75E5">
            <w:pPr>
              <w:pStyle w:val="10"/>
            </w:pPr>
            <w:r>
              <w:t>项  目</w:t>
            </w:r>
          </w:p>
        </w:tc>
        <w:tc>
          <w:tcPr>
            <w:tcW w:w="2126" w:type="dxa"/>
            <w:vAlign w:val="center"/>
          </w:tcPr>
          <w:p w14:paraId="56540CF9">
            <w:pPr>
              <w:pStyle w:val="10"/>
            </w:pPr>
            <w:r>
              <w:t>预算数</w:t>
            </w:r>
          </w:p>
        </w:tc>
      </w:tr>
      <w:tr w14:paraId="5C10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A0FCA">
            <w:pPr>
              <w:pStyle w:val="10"/>
            </w:pPr>
            <w:r>
              <w:t>栏次</w:t>
            </w:r>
          </w:p>
        </w:tc>
        <w:tc>
          <w:tcPr>
            <w:tcW w:w="4535" w:type="dxa"/>
            <w:vAlign w:val="center"/>
          </w:tcPr>
          <w:p w14:paraId="21E695F7">
            <w:pPr>
              <w:pStyle w:val="10"/>
            </w:pPr>
            <w:r>
              <w:t>1</w:t>
            </w:r>
          </w:p>
        </w:tc>
        <w:tc>
          <w:tcPr>
            <w:tcW w:w="2126" w:type="dxa"/>
            <w:vAlign w:val="center"/>
          </w:tcPr>
          <w:p w14:paraId="3E2E4E81">
            <w:pPr>
              <w:pStyle w:val="10"/>
            </w:pPr>
            <w:r>
              <w:t>2</w:t>
            </w:r>
          </w:p>
        </w:tc>
        <w:tc>
          <w:tcPr>
            <w:tcW w:w="4535" w:type="dxa"/>
            <w:vAlign w:val="center"/>
          </w:tcPr>
          <w:p w14:paraId="06CEDA5F">
            <w:pPr>
              <w:pStyle w:val="10"/>
            </w:pPr>
            <w:r>
              <w:t>3</w:t>
            </w:r>
          </w:p>
        </w:tc>
        <w:tc>
          <w:tcPr>
            <w:tcW w:w="2126" w:type="dxa"/>
            <w:vAlign w:val="center"/>
          </w:tcPr>
          <w:p w14:paraId="5BE315DB">
            <w:pPr>
              <w:pStyle w:val="10"/>
            </w:pPr>
            <w:r>
              <w:t>4</w:t>
            </w:r>
          </w:p>
        </w:tc>
      </w:tr>
      <w:tr w14:paraId="0A4C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66DAB">
            <w:pPr>
              <w:pStyle w:val="13"/>
            </w:pPr>
            <w:r>
              <w:t>1</w:t>
            </w:r>
          </w:p>
        </w:tc>
        <w:tc>
          <w:tcPr>
            <w:tcW w:w="4535" w:type="dxa"/>
            <w:vAlign w:val="center"/>
          </w:tcPr>
          <w:p w14:paraId="4ED649F0">
            <w:pPr>
              <w:pStyle w:val="12"/>
            </w:pPr>
            <w:r>
              <w:t>一、一般公共预算拨款收入</w:t>
            </w:r>
          </w:p>
        </w:tc>
        <w:tc>
          <w:tcPr>
            <w:tcW w:w="2126" w:type="dxa"/>
            <w:vAlign w:val="center"/>
          </w:tcPr>
          <w:p w14:paraId="7741A30E">
            <w:pPr>
              <w:pStyle w:val="11"/>
            </w:pPr>
            <w:r>
              <w:t>841.50</w:t>
            </w:r>
          </w:p>
        </w:tc>
        <w:tc>
          <w:tcPr>
            <w:tcW w:w="4535" w:type="dxa"/>
            <w:vAlign w:val="center"/>
          </w:tcPr>
          <w:p w14:paraId="1D442145">
            <w:pPr>
              <w:pStyle w:val="12"/>
            </w:pPr>
            <w:r>
              <w:t>一、一般公共服务支出</w:t>
            </w:r>
          </w:p>
        </w:tc>
        <w:tc>
          <w:tcPr>
            <w:tcW w:w="2126" w:type="dxa"/>
            <w:vAlign w:val="center"/>
          </w:tcPr>
          <w:p w14:paraId="5515BFA0">
            <w:pPr>
              <w:pStyle w:val="11"/>
            </w:pPr>
          </w:p>
        </w:tc>
      </w:tr>
      <w:tr w14:paraId="5996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60F6">
            <w:pPr>
              <w:pStyle w:val="13"/>
            </w:pPr>
            <w:r>
              <w:t>2</w:t>
            </w:r>
          </w:p>
        </w:tc>
        <w:tc>
          <w:tcPr>
            <w:tcW w:w="4535" w:type="dxa"/>
            <w:vAlign w:val="center"/>
          </w:tcPr>
          <w:p w14:paraId="0D9F0B5C">
            <w:pPr>
              <w:pStyle w:val="12"/>
            </w:pPr>
            <w:r>
              <w:t>二、政府性基金预算拨款收入</w:t>
            </w:r>
          </w:p>
        </w:tc>
        <w:tc>
          <w:tcPr>
            <w:tcW w:w="2126" w:type="dxa"/>
            <w:vAlign w:val="center"/>
          </w:tcPr>
          <w:p w14:paraId="575D640C">
            <w:pPr>
              <w:pStyle w:val="11"/>
            </w:pPr>
          </w:p>
        </w:tc>
        <w:tc>
          <w:tcPr>
            <w:tcW w:w="4535" w:type="dxa"/>
            <w:vAlign w:val="center"/>
          </w:tcPr>
          <w:p w14:paraId="3DDBACF6">
            <w:pPr>
              <w:pStyle w:val="12"/>
            </w:pPr>
            <w:r>
              <w:t>二、外交支出</w:t>
            </w:r>
          </w:p>
        </w:tc>
        <w:tc>
          <w:tcPr>
            <w:tcW w:w="2126" w:type="dxa"/>
            <w:vAlign w:val="center"/>
          </w:tcPr>
          <w:p w14:paraId="6663F941">
            <w:pPr>
              <w:pStyle w:val="11"/>
            </w:pPr>
          </w:p>
        </w:tc>
      </w:tr>
      <w:tr w14:paraId="1088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04B4">
            <w:pPr>
              <w:pStyle w:val="13"/>
            </w:pPr>
            <w:r>
              <w:t>3</w:t>
            </w:r>
          </w:p>
        </w:tc>
        <w:tc>
          <w:tcPr>
            <w:tcW w:w="4535" w:type="dxa"/>
            <w:vAlign w:val="center"/>
          </w:tcPr>
          <w:p w14:paraId="0C2EDC3E">
            <w:pPr>
              <w:pStyle w:val="12"/>
            </w:pPr>
            <w:r>
              <w:t>三、国有资本经营预算拨款收入</w:t>
            </w:r>
          </w:p>
        </w:tc>
        <w:tc>
          <w:tcPr>
            <w:tcW w:w="2126" w:type="dxa"/>
            <w:vAlign w:val="center"/>
          </w:tcPr>
          <w:p w14:paraId="36BA518A">
            <w:pPr>
              <w:pStyle w:val="11"/>
            </w:pPr>
          </w:p>
        </w:tc>
        <w:tc>
          <w:tcPr>
            <w:tcW w:w="4535" w:type="dxa"/>
            <w:vAlign w:val="center"/>
          </w:tcPr>
          <w:p w14:paraId="2009A988">
            <w:pPr>
              <w:pStyle w:val="12"/>
            </w:pPr>
            <w:r>
              <w:t>三、国防支出</w:t>
            </w:r>
          </w:p>
        </w:tc>
        <w:tc>
          <w:tcPr>
            <w:tcW w:w="2126" w:type="dxa"/>
            <w:vAlign w:val="center"/>
          </w:tcPr>
          <w:p w14:paraId="3521D482">
            <w:pPr>
              <w:pStyle w:val="11"/>
            </w:pPr>
          </w:p>
        </w:tc>
      </w:tr>
      <w:tr w14:paraId="318E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ED5D9">
            <w:pPr>
              <w:pStyle w:val="13"/>
            </w:pPr>
            <w:r>
              <w:t>4</w:t>
            </w:r>
          </w:p>
        </w:tc>
        <w:tc>
          <w:tcPr>
            <w:tcW w:w="4535" w:type="dxa"/>
            <w:vAlign w:val="center"/>
          </w:tcPr>
          <w:p w14:paraId="2D48BFF9">
            <w:pPr>
              <w:pStyle w:val="12"/>
            </w:pPr>
            <w:r>
              <w:t>四、财政专户管理资金收入</w:t>
            </w:r>
          </w:p>
        </w:tc>
        <w:tc>
          <w:tcPr>
            <w:tcW w:w="2126" w:type="dxa"/>
            <w:vAlign w:val="center"/>
          </w:tcPr>
          <w:p w14:paraId="6852FEB9">
            <w:pPr>
              <w:pStyle w:val="11"/>
            </w:pPr>
          </w:p>
        </w:tc>
        <w:tc>
          <w:tcPr>
            <w:tcW w:w="4535" w:type="dxa"/>
            <w:vAlign w:val="center"/>
          </w:tcPr>
          <w:p w14:paraId="1EEBB173">
            <w:pPr>
              <w:pStyle w:val="12"/>
            </w:pPr>
            <w:r>
              <w:t>四、公共安全支出</w:t>
            </w:r>
          </w:p>
        </w:tc>
        <w:tc>
          <w:tcPr>
            <w:tcW w:w="2126" w:type="dxa"/>
            <w:vAlign w:val="center"/>
          </w:tcPr>
          <w:p w14:paraId="520B783D">
            <w:pPr>
              <w:pStyle w:val="11"/>
            </w:pPr>
          </w:p>
        </w:tc>
      </w:tr>
      <w:tr w14:paraId="5853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9B934">
            <w:pPr>
              <w:pStyle w:val="13"/>
            </w:pPr>
            <w:r>
              <w:t>5</w:t>
            </w:r>
          </w:p>
        </w:tc>
        <w:tc>
          <w:tcPr>
            <w:tcW w:w="4535" w:type="dxa"/>
            <w:vAlign w:val="center"/>
          </w:tcPr>
          <w:p w14:paraId="35043C3F">
            <w:pPr>
              <w:pStyle w:val="12"/>
            </w:pPr>
            <w:r>
              <w:t>五、单位资金</w:t>
            </w:r>
          </w:p>
        </w:tc>
        <w:tc>
          <w:tcPr>
            <w:tcW w:w="2126" w:type="dxa"/>
            <w:vAlign w:val="center"/>
          </w:tcPr>
          <w:p w14:paraId="003F7E1E">
            <w:pPr>
              <w:pStyle w:val="11"/>
            </w:pPr>
          </w:p>
        </w:tc>
        <w:tc>
          <w:tcPr>
            <w:tcW w:w="4535" w:type="dxa"/>
            <w:vAlign w:val="center"/>
          </w:tcPr>
          <w:p w14:paraId="7AF13206">
            <w:pPr>
              <w:pStyle w:val="12"/>
            </w:pPr>
            <w:r>
              <w:t>五、教育支出</w:t>
            </w:r>
          </w:p>
        </w:tc>
        <w:tc>
          <w:tcPr>
            <w:tcW w:w="2126" w:type="dxa"/>
            <w:vAlign w:val="center"/>
          </w:tcPr>
          <w:p w14:paraId="409507B8">
            <w:pPr>
              <w:pStyle w:val="11"/>
            </w:pPr>
            <w:r>
              <w:t>841.50</w:t>
            </w:r>
          </w:p>
        </w:tc>
      </w:tr>
      <w:tr w14:paraId="069AA743">
        <w:tblPrEx>
          <w:tblCellMar>
            <w:top w:w="0" w:type="dxa"/>
            <w:left w:w="108" w:type="dxa"/>
            <w:bottom w:w="0" w:type="dxa"/>
            <w:right w:w="108" w:type="dxa"/>
          </w:tblCellMar>
        </w:tblPrEx>
        <w:trPr>
          <w:trHeight w:val="369" w:hRule="atLeast"/>
          <w:jc w:val="center"/>
        </w:trPr>
        <w:tc>
          <w:tcPr>
            <w:tcW w:w="850" w:type="dxa"/>
            <w:vAlign w:val="center"/>
          </w:tcPr>
          <w:p w14:paraId="7DC6E086">
            <w:pPr>
              <w:pStyle w:val="13"/>
            </w:pPr>
            <w:r>
              <w:t>6</w:t>
            </w:r>
          </w:p>
        </w:tc>
        <w:tc>
          <w:tcPr>
            <w:tcW w:w="4535" w:type="dxa"/>
            <w:vAlign w:val="center"/>
          </w:tcPr>
          <w:p w14:paraId="4F5E22BD">
            <w:pPr>
              <w:pStyle w:val="12"/>
            </w:pPr>
          </w:p>
        </w:tc>
        <w:tc>
          <w:tcPr>
            <w:tcW w:w="2126" w:type="dxa"/>
            <w:vAlign w:val="center"/>
          </w:tcPr>
          <w:p w14:paraId="1A36DD9D">
            <w:pPr>
              <w:pStyle w:val="11"/>
            </w:pPr>
          </w:p>
        </w:tc>
        <w:tc>
          <w:tcPr>
            <w:tcW w:w="4535" w:type="dxa"/>
            <w:vAlign w:val="center"/>
          </w:tcPr>
          <w:p w14:paraId="4DCFE3DF">
            <w:pPr>
              <w:pStyle w:val="12"/>
            </w:pPr>
            <w:r>
              <w:t>六、科学技术支出</w:t>
            </w:r>
          </w:p>
        </w:tc>
        <w:tc>
          <w:tcPr>
            <w:tcW w:w="2126" w:type="dxa"/>
            <w:vAlign w:val="center"/>
          </w:tcPr>
          <w:p w14:paraId="185F4B1D">
            <w:pPr>
              <w:pStyle w:val="11"/>
            </w:pPr>
          </w:p>
        </w:tc>
      </w:tr>
      <w:tr w14:paraId="061D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EADE">
            <w:pPr>
              <w:pStyle w:val="13"/>
            </w:pPr>
            <w:r>
              <w:t>7</w:t>
            </w:r>
          </w:p>
        </w:tc>
        <w:tc>
          <w:tcPr>
            <w:tcW w:w="4535" w:type="dxa"/>
            <w:vAlign w:val="center"/>
          </w:tcPr>
          <w:p w14:paraId="1037AEAE">
            <w:pPr>
              <w:pStyle w:val="12"/>
            </w:pPr>
          </w:p>
        </w:tc>
        <w:tc>
          <w:tcPr>
            <w:tcW w:w="2126" w:type="dxa"/>
            <w:vAlign w:val="center"/>
          </w:tcPr>
          <w:p w14:paraId="46366A50">
            <w:pPr>
              <w:pStyle w:val="11"/>
            </w:pPr>
          </w:p>
        </w:tc>
        <w:tc>
          <w:tcPr>
            <w:tcW w:w="4535" w:type="dxa"/>
            <w:vAlign w:val="center"/>
          </w:tcPr>
          <w:p w14:paraId="6D125C0A">
            <w:pPr>
              <w:pStyle w:val="12"/>
            </w:pPr>
            <w:r>
              <w:t>七、文化旅游体育与传媒支出</w:t>
            </w:r>
          </w:p>
        </w:tc>
        <w:tc>
          <w:tcPr>
            <w:tcW w:w="2126" w:type="dxa"/>
            <w:vAlign w:val="center"/>
          </w:tcPr>
          <w:p w14:paraId="4604F45E">
            <w:pPr>
              <w:pStyle w:val="11"/>
            </w:pPr>
          </w:p>
        </w:tc>
      </w:tr>
      <w:tr w14:paraId="5BC89868">
        <w:tblPrEx>
          <w:tblCellMar>
            <w:top w:w="0" w:type="dxa"/>
            <w:left w:w="108" w:type="dxa"/>
            <w:bottom w:w="0" w:type="dxa"/>
            <w:right w:w="108" w:type="dxa"/>
          </w:tblCellMar>
        </w:tblPrEx>
        <w:trPr>
          <w:trHeight w:val="369" w:hRule="atLeast"/>
          <w:jc w:val="center"/>
        </w:trPr>
        <w:tc>
          <w:tcPr>
            <w:tcW w:w="850" w:type="dxa"/>
            <w:vAlign w:val="center"/>
          </w:tcPr>
          <w:p w14:paraId="34EA6C1F">
            <w:pPr>
              <w:pStyle w:val="13"/>
            </w:pPr>
            <w:r>
              <w:t>8</w:t>
            </w:r>
          </w:p>
        </w:tc>
        <w:tc>
          <w:tcPr>
            <w:tcW w:w="4535" w:type="dxa"/>
            <w:vAlign w:val="center"/>
          </w:tcPr>
          <w:p w14:paraId="79612764">
            <w:pPr>
              <w:pStyle w:val="12"/>
            </w:pPr>
          </w:p>
        </w:tc>
        <w:tc>
          <w:tcPr>
            <w:tcW w:w="2126" w:type="dxa"/>
            <w:vAlign w:val="center"/>
          </w:tcPr>
          <w:p w14:paraId="3EA17FAA">
            <w:pPr>
              <w:pStyle w:val="11"/>
            </w:pPr>
          </w:p>
        </w:tc>
        <w:tc>
          <w:tcPr>
            <w:tcW w:w="4535" w:type="dxa"/>
            <w:vAlign w:val="center"/>
          </w:tcPr>
          <w:p w14:paraId="07679675">
            <w:pPr>
              <w:pStyle w:val="12"/>
            </w:pPr>
            <w:r>
              <w:t>八、社会保障和就业支出</w:t>
            </w:r>
          </w:p>
        </w:tc>
        <w:tc>
          <w:tcPr>
            <w:tcW w:w="2126" w:type="dxa"/>
            <w:vAlign w:val="center"/>
          </w:tcPr>
          <w:p w14:paraId="2719D473">
            <w:pPr>
              <w:pStyle w:val="11"/>
            </w:pPr>
          </w:p>
        </w:tc>
      </w:tr>
      <w:tr w14:paraId="6AB2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8492F">
            <w:pPr>
              <w:pStyle w:val="13"/>
            </w:pPr>
            <w:r>
              <w:t>9</w:t>
            </w:r>
          </w:p>
        </w:tc>
        <w:tc>
          <w:tcPr>
            <w:tcW w:w="4535" w:type="dxa"/>
            <w:vAlign w:val="center"/>
          </w:tcPr>
          <w:p w14:paraId="14B4168C">
            <w:pPr>
              <w:pStyle w:val="12"/>
            </w:pPr>
          </w:p>
        </w:tc>
        <w:tc>
          <w:tcPr>
            <w:tcW w:w="2126" w:type="dxa"/>
            <w:vAlign w:val="center"/>
          </w:tcPr>
          <w:p w14:paraId="0012B918">
            <w:pPr>
              <w:pStyle w:val="11"/>
            </w:pPr>
          </w:p>
        </w:tc>
        <w:tc>
          <w:tcPr>
            <w:tcW w:w="4535" w:type="dxa"/>
            <w:vAlign w:val="center"/>
          </w:tcPr>
          <w:p w14:paraId="6FF04768">
            <w:pPr>
              <w:pStyle w:val="12"/>
            </w:pPr>
            <w:r>
              <w:t>九、社会保险基金支出</w:t>
            </w:r>
          </w:p>
        </w:tc>
        <w:tc>
          <w:tcPr>
            <w:tcW w:w="2126" w:type="dxa"/>
            <w:vAlign w:val="center"/>
          </w:tcPr>
          <w:p w14:paraId="04A81536">
            <w:pPr>
              <w:pStyle w:val="11"/>
            </w:pPr>
          </w:p>
        </w:tc>
      </w:tr>
      <w:tr w14:paraId="694E7ABC">
        <w:tblPrEx>
          <w:tblCellMar>
            <w:top w:w="0" w:type="dxa"/>
            <w:left w:w="108" w:type="dxa"/>
            <w:bottom w:w="0" w:type="dxa"/>
            <w:right w:w="108" w:type="dxa"/>
          </w:tblCellMar>
        </w:tblPrEx>
        <w:trPr>
          <w:trHeight w:val="369" w:hRule="atLeast"/>
          <w:jc w:val="center"/>
        </w:trPr>
        <w:tc>
          <w:tcPr>
            <w:tcW w:w="850" w:type="dxa"/>
            <w:vAlign w:val="center"/>
          </w:tcPr>
          <w:p w14:paraId="3F3496D4">
            <w:pPr>
              <w:pStyle w:val="13"/>
            </w:pPr>
            <w:r>
              <w:t>10</w:t>
            </w:r>
          </w:p>
        </w:tc>
        <w:tc>
          <w:tcPr>
            <w:tcW w:w="4535" w:type="dxa"/>
            <w:vAlign w:val="center"/>
          </w:tcPr>
          <w:p w14:paraId="527941F8">
            <w:pPr>
              <w:pStyle w:val="12"/>
            </w:pPr>
          </w:p>
        </w:tc>
        <w:tc>
          <w:tcPr>
            <w:tcW w:w="2126" w:type="dxa"/>
            <w:vAlign w:val="center"/>
          </w:tcPr>
          <w:p w14:paraId="40991469">
            <w:pPr>
              <w:pStyle w:val="11"/>
            </w:pPr>
          </w:p>
        </w:tc>
        <w:tc>
          <w:tcPr>
            <w:tcW w:w="4535" w:type="dxa"/>
            <w:vAlign w:val="center"/>
          </w:tcPr>
          <w:p w14:paraId="11631B7E">
            <w:pPr>
              <w:pStyle w:val="12"/>
            </w:pPr>
            <w:r>
              <w:t>十、卫生健康支出</w:t>
            </w:r>
          </w:p>
        </w:tc>
        <w:tc>
          <w:tcPr>
            <w:tcW w:w="2126" w:type="dxa"/>
            <w:vAlign w:val="center"/>
          </w:tcPr>
          <w:p w14:paraId="2A757552">
            <w:pPr>
              <w:pStyle w:val="11"/>
            </w:pPr>
          </w:p>
        </w:tc>
      </w:tr>
      <w:tr w14:paraId="37307976">
        <w:tblPrEx>
          <w:tblCellMar>
            <w:top w:w="0" w:type="dxa"/>
            <w:left w:w="108" w:type="dxa"/>
            <w:bottom w:w="0" w:type="dxa"/>
            <w:right w:w="108" w:type="dxa"/>
          </w:tblCellMar>
        </w:tblPrEx>
        <w:trPr>
          <w:trHeight w:val="369" w:hRule="atLeast"/>
          <w:jc w:val="center"/>
        </w:trPr>
        <w:tc>
          <w:tcPr>
            <w:tcW w:w="850" w:type="dxa"/>
            <w:vAlign w:val="center"/>
          </w:tcPr>
          <w:p w14:paraId="6FEF4BAA">
            <w:pPr>
              <w:pStyle w:val="13"/>
            </w:pPr>
            <w:r>
              <w:t>11</w:t>
            </w:r>
          </w:p>
        </w:tc>
        <w:tc>
          <w:tcPr>
            <w:tcW w:w="4535" w:type="dxa"/>
            <w:vAlign w:val="center"/>
          </w:tcPr>
          <w:p w14:paraId="3A20583C">
            <w:pPr>
              <w:pStyle w:val="12"/>
            </w:pPr>
          </w:p>
        </w:tc>
        <w:tc>
          <w:tcPr>
            <w:tcW w:w="2126" w:type="dxa"/>
            <w:vAlign w:val="center"/>
          </w:tcPr>
          <w:p w14:paraId="0BF6BB3F">
            <w:pPr>
              <w:pStyle w:val="11"/>
            </w:pPr>
          </w:p>
        </w:tc>
        <w:tc>
          <w:tcPr>
            <w:tcW w:w="4535" w:type="dxa"/>
            <w:vAlign w:val="center"/>
          </w:tcPr>
          <w:p w14:paraId="21FA063D">
            <w:pPr>
              <w:pStyle w:val="12"/>
            </w:pPr>
            <w:r>
              <w:t>十一、节能环保支出</w:t>
            </w:r>
          </w:p>
        </w:tc>
        <w:tc>
          <w:tcPr>
            <w:tcW w:w="2126" w:type="dxa"/>
            <w:vAlign w:val="center"/>
          </w:tcPr>
          <w:p w14:paraId="04F80353">
            <w:pPr>
              <w:pStyle w:val="11"/>
            </w:pPr>
          </w:p>
        </w:tc>
      </w:tr>
      <w:tr w14:paraId="13AF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B3527">
            <w:pPr>
              <w:pStyle w:val="13"/>
            </w:pPr>
            <w:r>
              <w:t>12</w:t>
            </w:r>
          </w:p>
        </w:tc>
        <w:tc>
          <w:tcPr>
            <w:tcW w:w="4535" w:type="dxa"/>
            <w:vAlign w:val="center"/>
          </w:tcPr>
          <w:p w14:paraId="0A17D115">
            <w:pPr>
              <w:pStyle w:val="12"/>
            </w:pPr>
          </w:p>
        </w:tc>
        <w:tc>
          <w:tcPr>
            <w:tcW w:w="2126" w:type="dxa"/>
            <w:vAlign w:val="center"/>
          </w:tcPr>
          <w:p w14:paraId="7457C960">
            <w:pPr>
              <w:pStyle w:val="11"/>
            </w:pPr>
          </w:p>
        </w:tc>
        <w:tc>
          <w:tcPr>
            <w:tcW w:w="4535" w:type="dxa"/>
            <w:vAlign w:val="center"/>
          </w:tcPr>
          <w:p w14:paraId="468253E7">
            <w:pPr>
              <w:pStyle w:val="12"/>
            </w:pPr>
            <w:r>
              <w:t>十二、城乡社区支出</w:t>
            </w:r>
          </w:p>
        </w:tc>
        <w:tc>
          <w:tcPr>
            <w:tcW w:w="2126" w:type="dxa"/>
            <w:vAlign w:val="center"/>
          </w:tcPr>
          <w:p w14:paraId="0F05F1B0">
            <w:pPr>
              <w:pStyle w:val="11"/>
            </w:pPr>
          </w:p>
        </w:tc>
      </w:tr>
      <w:tr w14:paraId="2DB0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EE40">
            <w:pPr>
              <w:pStyle w:val="13"/>
            </w:pPr>
            <w:r>
              <w:t>13</w:t>
            </w:r>
          </w:p>
        </w:tc>
        <w:tc>
          <w:tcPr>
            <w:tcW w:w="4535" w:type="dxa"/>
            <w:vAlign w:val="center"/>
          </w:tcPr>
          <w:p w14:paraId="136DDE80">
            <w:pPr>
              <w:pStyle w:val="12"/>
            </w:pPr>
          </w:p>
        </w:tc>
        <w:tc>
          <w:tcPr>
            <w:tcW w:w="2126" w:type="dxa"/>
            <w:vAlign w:val="center"/>
          </w:tcPr>
          <w:p w14:paraId="2283184F">
            <w:pPr>
              <w:pStyle w:val="11"/>
            </w:pPr>
          </w:p>
        </w:tc>
        <w:tc>
          <w:tcPr>
            <w:tcW w:w="4535" w:type="dxa"/>
            <w:vAlign w:val="center"/>
          </w:tcPr>
          <w:p w14:paraId="7939047A">
            <w:pPr>
              <w:pStyle w:val="12"/>
            </w:pPr>
            <w:r>
              <w:t>十三、农林水支出</w:t>
            </w:r>
          </w:p>
        </w:tc>
        <w:tc>
          <w:tcPr>
            <w:tcW w:w="2126" w:type="dxa"/>
            <w:vAlign w:val="center"/>
          </w:tcPr>
          <w:p w14:paraId="3746F267">
            <w:pPr>
              <w:pStyle w:val="11"/>
            </w:pPr>
          </w:p>
        </w:tc>
      </w:tr>
      <w:tr w14:paraId="6A52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7D99">
            <w:pPr>
              <w:pStyle w:val="13"/>
            </w:pPr>
            <w:r>
              <w:t>14</w:t>
            </w:r>
          </w:p>
        </w:tc>
        <w:tc>
          <w:tcPr>
            <w:tcW w:w="4535" w:type="dxa"/>
            <w:vAlign w:val="center"/>
          </w:tcPr>
          <w:p w14:paraId="1BE367E1">
            <w:pPr>
              <w:pStyle w:val="12"/>
            </w:pPr>
          </w:p>
        </w:tc>
        <w:tc>
          <w:tcPr>
            <w:tcW w:w="2126" w:type="dxa"/>
            <w:vAlign w:val="center"/>
          </w:tcPr>
          <w:p w14:paraId="6E191A76">
            <w:pPr>
              <w:pStyle w:val="11"/>
            </w:pPr>
          </w:p>
        </w:tc>
        <w:tc>
          <w:tcPr>
            <w:tcW w:w="4535" w:type="dxa"/>
            <w:vAlign w:val="center"/>
          </w:tcPr>
          <w:p w14:paraId="455AEF52">
            <w:pPr>
              <w:pStyle w:val="12"/>
            </w:pPr>
            <w:r>
              <w:t>十四、交通运输支出</w:t>
            </w:r>
          </w:p>
        </w:tc>
        <w:tc>
          <w:tcPr>
            <w:tcW w:w="2126" w:type="dxa"/>
            <w:vAlign w:val="center"/>
          </w:tcPr>
          <w:p w14:paraId="3C5BC7E9">
            <w:pPr>
              <w:pStyle w:val="11"/>
            </w:pPr>
          </w:p>
        </w:tc>
      </w:tr>
      <w:tr w14:paraId="64F6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2C65">
            <w:pPr>
              <w:pStyle w:val="13"/>
            </w:pPr>
            <w:r>
              <w:t>15</w:t>
            </w:r>
          </w:p>
        </w:tc>
        <w:tc>
          <w:tcPr>
            <w:tcW w:w="4535" w:type="dxa"/>
            <w:vAlign w:val="center"/>
          </w:tcPr>
          <w:p w14:paraId="65EDE345">
            <w:pPr>
              <w:pStyle w:val="12"/>
            </w:pPr>
          </w:p>
        </w:tc>
        <w:tc>
          <w:tcPr>
            <w:tcW w:w="2126" w:type="dxa"/>
            <w:vAlign w:val="center"/>
          </w:tcPr>
          <w:p w14:paraId="263A86E0">
            <w:pPr>
              <w:pStyle w:val="11"/>
            </w:pPr>
          </w:p>
        </w:tc>
        <w:tc>
          <w:tcPr>
            <w:tcW w:w="4535" w:type="dxa"/>
            <w:vAlign w:val="center"/>
          </w:tcPr>
          <w:p w14:paraId="590885B1">
            <w:pPr>
              <w:pStyle w:val="12"/>
            </w:pPr>
            <w:r>
              <w:t>十五、资源勘探工业信息等支出</w:t>
            </w:r>
          </w:p>
        </w:tc>
        <w:tc>
          <w:tcPr>
            <w:tcW w:w="2126" w:type="dxa"/>
            <w:vAlign w:val="center"/>
          </w:tcPr>
          <w:p w14:paraId="51338516">
            <w:pPr>
              <w:pStyle w:val="11"/>
            </w:pPr>
          </w:p>
        </w:tc>
      </w:tr>
      <w:tr w14:paraId="6778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A4CD5">
            <w:pPr>
              <w:pStyle w:val="13"/>
            </w:pPr>
            <w:r>
              <w:t>16</w:t>
            </w:r>
          </w:p>
        </w:tc>
        <w:tc>
          <w:tcPr>
            <w:tcW w:w="4535" w:type="dxa"/>
            <w:vAlign w:val="center"/>
          </w:tcPr>
          <w:p w14:paraId="7B527F7A">
            <w:pPr>
              <w:pStyle w:val="12"/>
            </w:pPr>
          </w:p>
        </w:tc>
        <w:tc>
          <w:tcPr>
            <w:tcW w:w="2126" w:type="dxa"/>
            <w:vAlign w:val="center"/>
          </w:tcPr>
          <w:p w14:paraId="09C24C80">
            <w:pPr>
              <w:pStyle w:val="11"/>
            </w:pPr>
          </w:p>
        </w:tc>
        <w:tc>
          <w:tcPr>
            <w:tcW w:w="4535" w:type="dxa"/>
            <w:vAlign w:val="center"/>
          </w:tcPr>
          <w:p w14:paraId="78AE4C15">
            <w:pPr>
              <w:pStyle w:val="12"/>
            </w:pPr>
            <w:r>
              <w:t>十六、商业服务业等支出</w:t>
            </w:r>
          </w:p>
        </w:tc>
        <w:tc>
          <w:tcPr>
            <w:tcW w:w="2126" w:type="dxa"/>
            <w:vAlign w:val="center"/>
          </w:tcPr>
          <w:p w14:paraId="168A5200">
            <w:pPr>
              <w:pStyle w:val="11"/>
            </w:pPr>
          </w:p>
        </w:tc>
      </w:tr>
      <w:tr w14:paraId="4C39D84B">
        <w:tblPrEx>
          <w:tblCellMar>
            <w:top w:w="0" w:type="dxa"/>
            <w:left w:w="108" w:type="dxa"/>
            <w:bottom w:w="0" w:type="dxa"/>
            <w:right w:w="108" w:type="dxa"/>
          </w:tblCellMar>
        </w:tblPrEx>
        <w:trPr>
          <w:trHeight w:val="369" w:hRule="atLeast"/>
          <w:jc w:val="center"/>
        </w:trPr>
        <w:tc>
          <w:tcPr>
            <w:tcW w:w="850" w:type="dxa"/>
            <w:vAlign w:val="center"/>
          </w:tcPr>
          <w:p w14:paraId="37998383">
            <w:pPr>
              <w:pStyle w:val="13"/>
            </w:pPr>
            <w:r>
              <w:t>17</w:t>
            </w:r>
          </w:p>
        </w:tc>
        <w:tc>
          <w:tcPr>
            <w:tcW w:w="4535" w:type="dxa"/>
            <w:vAlign w:val="center"/>
          </w:tcPr>
          <w:p w14:paraId="367FB4CE">
            <w:pPr>
              <w:pStyle w:val="12"/>
            </w:pPr>
          </w:p>
        </w:tc>
        <w:tc>
          <w:tcPr>
            <w:tcW w:w="2126" w:type="dxa"/>
            <w:vAlign w:val="center"/>
          </w:tcPr>
          <w:p w14:paraId="0AE7F63D">
            <w:pPr>
              <w:pStyle w:val="11"/>
            </w:pPr>
          </w:p>
        </w:tc>
        <w:tc>
          <w:tcPr>
            <w:tcW w:w="4535" w:type="dxa"/>
            <w:vAlign w:val="center"/>
          </w:tcPr>
          <w:p w14:paraId="59096640">
            <w:pPr>
              <w:pStyle w:val="12"/>
            </w:pPr>
            <w:r>
              <w:t>十七、金融支出</w:t>
            </w:r>
          </w:p>
        </w:tc>
        <w:tc>
          <w:tcPr>
            <w:tcW w:w="2126" w:type="dxa"/>
            <w:vAlign w:val="center"/>
          </w:tcPr>
          <w:p w14:paraId="2AE7F4D4">
            <w:pPr>
              <w:pStyle w:val="11"/>
            </w:pPr>
          </w:p>
        </w:tc>
      </w:tr>
      <w:tr w14:paraId="550B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B91D">
            <w:pPr>
              <w:pStyle w:val="13"/>
            </w:pPr>
            <w:r>
              <w:t>18</w:t>
            </w:r>
          </w:p>
        </w:tc>
        <w:tc>
          <w:tcPr>
            <w:tcW w:w="4535" w:type="dxa"/>
            <w:vAlign w:val="center"/>
          </w:tcPr>
          <w:p w14:paraId="11FACAFB">
            <w:pPr>
              <w:pStyle w:val="12"/>
            </w:pPr>
          </w:p>
        </w:tc>
        <w:tc>
          <w:tcPr>
            <w:tcW w:w="2126" w:type="dxa"/>
            <w:vAlign w:val="center"/>
          </w:tcPr>
          <w:p w14:paraId="3584EB26">
            <w:pPr>
              <w:pStyle w:val="11"/>
            </w:pPr>
          </w:p>
        </w:tc>
        <w:tc>
          <w:tcPr>
            <w:tcW w:w="4535" w:type="dxa"/>
            <w:vAlign w:val="center"/>
          </w:tcPr>
          <w:p w14:paraId="3FDCF7A2">
            <w:pPr>
              <w:pStyle w:val="12"/>
            </w:pPr>
            <w:r>
              <w:t>十八、援助其他地区支出</w:t>
            </w:r>
          </w:p>
        </w:tc>
        <w:tc>
          <w:tcPr>
            <w:tcW w:w="2126" w:type="dxa"/>
            <w:vAlign w:val="center"/>
          </w:tcPr>
          <w:p w14:paraId="05F50DAA">
            <w:pPr>
              <w:pStyle w:val="11"/>
            </w:pPr>
          </w:p>
        </w:tc>
      </w:tr>
      <w:tr w14:paraId="1E17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567BF">
            <w:pPr>
              <w:pStyle w:val="13"/>
            </w:pPr>
            <w:r>
              <w:t>19</w:t>
            </w:r>
          </w:p>
        </w:tc>
        <w:tc>
          <w:tcPr>
            <w:tcW w:w="4535" w:type="dxa"/>
            <w:vAlign w:val="center"/>
          </w:tcPr>
          <w:p w14:paraId="3E3E9853">
            <w:pPr>
              <w:pStyle w:val="12"/>
            </w:pPr>
          </w:p>
        </w:tc>
        <w:tc>
          <w:tcPr>
            <w:tcW w:w="2126" w:type="dxa"/>
            <w:vAlign w:val="center"/>
          </w:tcPr>
          <w:p w14:paraId="5B666EA6">
            <w:pPr>
              <w:pStyle w:val="11"/>
            </w:pPr>
          </w:p>
        </w:tc>
        <w:tc>
          <w:tcPr>
            <w:tcW w:w="4535" w:type="dxa"/>
            <w:vAlign w:val="center"/>
          </w:tcPr>
          <w:p w14:paraId="3DA8D79B">
            <w:pPr>
              <w:pStyle w:val="12"/>
            </w:pPr>
            <w:r>
              <w:t>十九、自然资源海洋气象等支出</w:t>
            </w:r>
          </w:p>
        </w:tc>
        <w:tc>
          <w:tcPr>
            <w:tcW w:w="2126" w:type="dxa"/>
            <w:vAlign w:val="center"/>
          </w:tcPr>
          <w:p w14:paraId="7311B8FC">
            <w:pPr>
              <w:pStyle w:val="11"/>
            </w:pPr>
          </w:p>
        </w:tc>
      </w:tr>
      <w:tr w14:paraId="5BE5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42C42">
            <w:pPr>
              <w:pStyle w:val="13"/>
            </w:pPr>
            <w:r>
              <w:t>20</w:t>
            </w:r>
          </w:p>
        </w:tc>
        <w:tc>
          <w:tcPr>
            <w:tcW w:w="4535" w:type="dxa"/>
            <w:vAlign w:val="center"/>
          </w:tcPr>
          <w:p w14:paraId="07E3316A">
            <w:pPr>
              <w:pStyle w:val="12"/>
            </w:pPr>
          </w:p>
        </w:tc>
        <w:tc>
          <w:tcPr>
            <w:tcW w:w="2126" w:type="dxa"/>
            <w:vAlign w:val="center"/>
          </w:tcPr>
          <w:p w14:paraId="5904237A">
            <w:pPr>
              <w:pStyle w:val="11"/>
            </w:pPr>
          </w:p>
        </w:tc>
        <w:tc>
          <w:tcPr>
            <w:tcW w:w="4535" w:type="dxa"/>
            <w:vAlign w:val="center"/>
          </w:tcPr>
          <w:p w14:paraId="7D9CDF3C">
            <w:pPr>
              <w:pStyle w:val="12"/>
            </w:pPr>
            <w:r>
              <w:t>二十、住房保障支出</w:t>
            </w:r>
          </w:p>
        </w:tc>
        <w:tc>
          <w:tcPr>
            <w:tcW w:w="2126" w:type="dxa"/>
            <w:vAlign w:val="center"/>
          </w:tcPr>
          <w:p w14:paraId="393FB87C">
            <w:pPr>
              <w:pStyle w:val="11"/>
            </w:pPr>
          </w:p>
        </w:tc>
      </w:tr>
      <w:tr w14:paraId="2DFD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2B7DC">
            <w:pPr>
              <w:pStyle w:val="13"/>
            </w:pPr>
            <w:r>
              <w:t>21</w:t>
            </w:r>
          </w:p>
        </w:tc>
        <w:tc>
          <w:tcPr>
            <w:tcW w:w="4535" w:type="dxa"/>
            <w:vAlign w:val="center"/>
          </w:tcPr>
          <w:p w14:paraId="249B3879">
            <w:pPr>
              <w:pStyle w:val="12"/>
            </w:pPr>
          </w:p>
        </w:tc>
        <w:tc>
          <w:tcPr>
            <w:tcW w:w="2126" w:type="dxa"/>
            <w:vAlign w:val="center"/>
          </w:tcPr>
          <w:p w14:paraId="44AE01B2">
            <w:pPr>
              <w:pStyle w:val="11"/>
            </w:pPr>
          </w:p>
        </w:tc>
        <w:tc>
          <w:tcPr>
            <w:tcW w:w="4535" w:type="dxa"/>
            <w:vAlign w:val="center"/>
          </w:tcPr>
          <w:p w14:paraId="6D14A86F">
            <w:pPr>
              <w:pStyle w:val="12"/>
            </w:pPr>
            <w:r>
              <w:t>二十一、粮油物资储备支出</w:t>
            </w:r>
          </w:p>
        </w:tc>
        <w:tc>
          <w:tcPr>
            <w:tcW w:w="2126" w:type="dxa"/>
            <w:vAlign w:val="center"/>
          </w:tcPr>
          <w:p w14:paraId="41971A0B">
            <w:pPr>
              <w:pStyle w:val="11"/>
            </w:pPr>
          </w:p>
        </w:tc>
      </w:tr>
      <w:tr w14:paraId="72A323C6">
        <w:tblPrEx>
          <w:tblCellMar>
            <w:top w:w="0" w:type="dxa"/>
            <w:left w:w="108" w:type="dxa"/>
            <w:bottom w:w="0" w:type="dxa"/>
            <w:right w:w="108" w:type="dxa"/>
          </w:tblCellMar>
        </w:tblPrEx>
        <w:trPr>
          <w:trHeight w:val="369" w:hRule="atLeast"/>
          <w:jc w:val="center"/>
        </w:trPr>
        <w:tc>
          <w:tcPr>
            <w:tcW w:w="850" w:type="dxa"/>
            <w:vAlign w:val="center"/>
          </w:tcPr>
          <w:p w14:paraId="7D251538">
            <w:pPr>
              <w:pStyle w:val="13"/>
            </w:pPr>
            <w:r>
              <w:t>22</w:t>
            </w:r>
          </w:p>
        </w:tc>
        <w:tc>
          <w:tcPr>
            <w:tcW w:w="4535" w:type="dxa"/>
            <w:vAlign w:val="center"/>
          </w:tcPr>
          <w:p w14:paraId="49741454">
            <w:pPr>
              <w:pStyle w:val="12"/>
            </w:pPr>
          </w:p>
        </w:tc>
        <w:tc>
          <w:tcPr>
            <w:tcW w:w="2126" w:type="dxa"/>
            <w:vAlign w:val="center"/>
          </w:tcPr>
          <w:p w14:paraId="003B048E">
            <w:pPr>
              <w:pStyle w:val="11"/>
            </w:pPr>
          </w:p>
        </w:tc>
        <w:tc>
          <w:tcPr>
            <w:tcW w:w="4535" w:type="dxa"/>
            <w:vAlign w:val="center"/>
          </w:tcPr>
          <w:p w14:paraId="3B9D425A">
            <w:pPr>
              <w:pStyle w:val="12"/>
            </w:pPr>
            <w:r>
              <w:t>二十二、国有资本经营预算支出</w:t>
            </w:r>
          </w:p>
        </w:tc>
        <w:tc>
          <w:tcPr>
            <w:tcW w:w="2126" w:type="dxa"/>
            <w:vAlign w:val="center"/>
          </w:tcPr>
          <w:p w14:paraId="08C2B3D4">
            <w:pPr>
              <w:pStyle w:val="11"/>
            </w:pPr>
          </w:p>
        </w:tc>
      </w:tr>
      <w:tr w14:paraId="0D9D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CDDEF">
            <w:pPr>
              <w:pStyle w:val="13"/>
            </w:pPr>
            <w:r>
              <w:t>23</w:t>
            </w:r>
          </w:p>
        </w:tc>
        <w:tc>
          <w:tcPr>
            <w:tcW w:w="4535" w:type="dxa"/>
            <w:vAlign w:val="center"/>
          </w:tcPr>
          <w:p w14:paraId="46A7F672">
            <w:pPr>
              <w:pStyle w:val="12"/>
            </w:pPr>
          </w:p>
        </w:tc>
        <w:tc>
          <w:tcPr>
            <w:tcW w:w="2126" w:type="dxa"/>
            <w:vAlign w:val="center"/>
          </w:tcPr>
          <w:p w14:paraId="54A3DD02">
            <w:pPr>
              <w:pStyle w:val="11"/>
            </w:pPr>
          </w:p>
        </w:tc>
        <w:tc>
          <w:tcPr>
            <w:tcW w:w="4535" w:type="dxa"/>
            <w:vAlign w:val="center"/>
          </w:tcPr>
          <w:p w14:paraId="2E2D68C8">
            <w:pPr>
              <w:pStyle w:val="12"/>
            </w:pPr>
            <w:r>
              <w:t>二十三、灾害防治及应急管理支出</w:t>
            </w:r>
          </w:p>
        </w:tc>
        <w:tc>
          <w:tcPr>
            <w:tcW w:w="2126" w:type="dxa"/>
            <w:vAlign w:val="center"/>
          </w:tcPr>
          <w:p w14:paraId="3C7F8BBA">
            <w:pPr>
              <w:pStyle w:val="11"/>
            </w:pPr>
          </w:p>
        </w:tc>
      </w:tr>
      <w:tr w14:paraId="1022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32855">
            <w:pPr>
              <w:pStyle w:val="13"/>
            </w:pPr>
            <w:r>
              <w:t>24</w:t>
            </w:r>
          </w:p>
        </w:tc>
        <w:tc>
          <w:tcPr>
            <w:tcW w:w="4535" w:type="dxa"/>
            <w:vAlign w:val="center"/>
          </w:tcPr>
          <w:p w14:paraId="2DE0A86B">
            <w:pPr>
              <w:pStyle w:val="12"/>
            </w:pPr>
          </w:p>
        </w:tc>
        <w:tc>
          <w:tcPr>
            <w:tcW w:w="2126" w:type="dxa"/>
            <w:vAlign w:val="center"/>
          </w:tcPr>
          <w:p w14:paraId="54DF8AC8">
            <w:pPr>
              <w:pStyle w:val="11"/>
            </w:pPr>
          </w:p>
        </w:tc>
        <w:tc>
          <w:tcPr>
            <w:tcW w:w="4535" w:type="dxa"/>
            <w:vAlign w:val="center"/>
          </w:tcPr>
          <w:p w14:paraId="6591E73A">
            <w:pPr>
              <w:pStyle w:val="12"/>
            </w:pPr>
            <w:r>
              <w:t>二十四、预备费</w:t>
            </w:r>
          </w:p>
        </w:tc>
        <w:tc>
          <w:tcPr>
            <w:tcW w:w="2126" w:type="dxa"/>
            <w:vAlign w:val="center"/>
          </w:tcPr>
          <w:p w14:paraId="223400C5">
            <w:pPr>
              <w:pStyle w:val="11"/>
            </w:pPr>
          </w:p>
        </w:tc>
      </w:tr>
      <w:tr w14:paraId="706D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4C0CC">
            <w:pPr>
              <w:pStyle w:val="13"/>
            </w:pPr>
            <w:r>
              <w:t>25</w:t>
            </w:r>
          </w:p>
        </w:tc>
        <w:tc>
          <w:tcPr>
            <w:tcW w:w="4535" w:type="dxa"/>
            <w:vAlign w:val="center"/>
          </w:tcPr>
          <w:p w14:paraId="3F743164">
            <w:pPr>
              <w:pStyle w:val="12"/>
            </w:pPr>
          </w:p>
        </w:tc>
        <w:tc>
          <w:tcPr>
            <w:tcW w:w="2126" w:type="dxa"/>
            <w:vAlign w:val="center"/>
          </w:tcPr>
          <w:p w14:paraId="5E183EFB">
            <w:pPr>
              <w:pStyle w:val="11"/>
            </w:pPr>
          </w:p>
        </w:tc>
        <w:tc>
          <w:tcPr>
            <w:tcW w:w="4535" w:type="dxa"/>
            <w:vAlign w:val="center"/>
          </w:tcPr>
          <w:p w14:paraId="2BD90B61">
            <w:pPr>
              <w:pStyle w:val="12"/>
            </w:pPr>
            <w:r>
              <w:t>二十五、其他支出</w:t>
            </w:r>
          </w:p>
        </w:tc>
        <w:tc>
          <w:tcPr>
            <w:tcW w:w="2126" w:type="dxa"/>
            <w:vAlign w:val="center"/>
          </w:tcPr>
          <w:p w14:paraId="2847C4F6">
            <w:pPr>
              <w:pStyle w:val="11"/>
            </w:pPr>
          </w:p>
        </w:tc>
      </w:tr>
      <w:tr w14:paraId="4C1133BF">
        <w:tblPrEx>
          <w:tblCellMar>
            <w:top w:w="0" w:type="dxa"/>
            <w:left w:w="108" w:type="dxa"/>
            <w:bottom w:w="0" w:type="dxa"/>
            <w:right w:w="108" w:type="dxa"/>
          </w:tblCellMar>
        </w:tblPrEx>
        <w:trPr>
          <w:trHeight w:val="369" w:hRule="atLeast"/>
          <w:jc w:val="center"/>
        </w:trPr>
        <w:tc>
          <w:tcPr>
            <w:tcW w:w="850" w:type="dxa"/>
            <w:vAlign w:val="center"/>
          </w:tcPr>
          <w:p w14:paraId="1B8A4123">
            <w:pPr>
              <w:pStyle w:val="13"/>
            </w:pPr>
            <w:r>
              <w:t>26</w:t>
            </w:r>
          </w:p>
        </w:tc>
        <w:tc>
          <w:tcPr>
            <w:tcW w:w="4535" w:type="dxa"/>
            <w:vAlign w:val="center"/>
          </w:tcPr>
          <w:p w14:paraId="30189448">
            <w:pPr>
              <w:pStyle w:val="12"/>
            </w:pPr>
          </w:p>
        </w:tc>
        <w:tc>
          <w:tcPr>
            <w:tcW w:w="2126" w:type="dxa"/>
            <w:vAlign w:val="center"/>
          </w:tcPr>
          <w:p w14:paraId="043E1FDA">
            <w:pPr>
              <w:pStyle w:val="11"/>
            </w:pPr>
          </w:p>
        </w:tc>
        <w:tc>
          <w:tcPr>
            <w:tcW w:w="4535" w:type="dxa"/>
            <w:vAlign w:val="center"/>
          </w:tcPr>
          <w:p w14:paraId="1800A655">
            <w:pPr>
              <w:pStyle w:val="12"/>
            </w:pPr>
            <w:r>
              <w:t>二十六、转移性支出</w:t>
            </w:r>
          </w:p>
        </w:tc>
        <w:tc>
          <w:tcPr>
            <w:tcW w:w="2126" w:type="dxa"/>
            <w:vAlign w:val="center"/>
          </w:tcPr>
          <w:p w14:paraId="7C1CBB7C">
            <w:pPr>
              <w:pStyle w:val="11"/>
            </w:pPr>
          </w:p>
        </w:tc>
      </w:tr>
      <w:tr w14:paraId="737F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39DFA">
            <w:pPr>
              <w:pStyle w:val="13"/>
            </w:pPr>
            <w:r>
              <w:t>27</w:t>
            </w:r>
          </w:p>
        </w:tc>
        <w:tc>
          <w:tcPr>
            <w:tcW w:w="4535" w:type="dxa"/>
            <w:vAlign w:val="center"/>
          </w:tcPr>
          <w:p w14:paraId="669BB1BD">
            <w:pPr>
              <w:pStyle w:val="12"/>
            </w:pPr>
          </w:p>
        </w:tc>
        <w:tc>
          <w:tcPr>
            <w:tcW w:w="2126" w:type="dxa"/>
            <w:vAlign w:val="center"/>
          </w:tcPr>
          <w:p w14:paraId="1ABEDEA5">
            <w:pPr>
              <w:pStyle w:val="11"/>
            </w:pPr>
          </w:p>
        </w:tc>
        <w:tc>
          <w:tcPr>
            <w:tcW w:w="4535" w:type="dxa"/>
            <w:vAlign w:val="center"/>
          </w:tcPr>
          <w:p w14:paraId="59C04D22">
            <w:pPr>
              <w:pStyle w:val="12"/>
            </w:pPr>
            <w:r>
              <w:t>二十七、债务还本支出</w:t>
            </w:r>
          </w:p>
        </w:tc>
        <w:tc>
          <w:tcPr>
            <w:tcW w:w="2126" w:type="dxa"/>
            <w:vAlign w:val="center"/>
          </w:tcPr>
          <w:p w14:paraId="18C1ABA2">
            <w:pPr>
              <w:pStyle w:val="11"/>
            </w:pPr>
          </w:p>
        </w:tc>
      </w:tr>
      <w:tr w14:paraId="0C624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9251">
            <w:pPr>
              <w:pStyle w:val="13"/>
            </w:pPr>
            <w:r>
              <w:t>28</w:t>
            </w:r>
          </w:p>
        </w:tc>
        <w:tc>
          <w:tcPr>
            <w:tcW w:w="4535" w:type="dxa"/>
            <w:vAlign w:val="center"/>
          </w:tcPr>
          <w:p w14:paraId="6A627DAF">
            <w:pPr>
              <w:pStyle w:val="12"/>
            </w:pPr>
          </w:p>
        </w:tc>
        <w:tc>
          <w:tcPr>
            <w:tcW w:w="2126" w:type="dxa"/>
            <w:vAlign w:val="center"/>
          </w:tcPr>
          <w:p w14:paraId="3365D781">
            <w:pPr>
              <w:pStyle w:val="11"/>
            </w:pPr>
          </w:p>
        </w:tc>
        <w:tc>
          <w:tcPr>
            <w:tcW w:w="4535" w:type="dxa"/>
            <w:vAlign w:val="center"/>
          </w:tcPr>
          <w:p w14:paraId="42E414C0">
            <w:pPr>
              <w:pStyle w:val="12"/>
            </w:pPr>
            <w:r>
              <w:t>二十八、债务付息支出</w:t>
            </w:r>
          </w:p>
        </w:tc>
        <w:tc>
          <w:tcPr>
            <w:tcW w:w="2126" w:type="dxa"/>
            <w:vAlign w:val="center"/>
          </w:tcPr>
          <w:p w14:paraId="025837E2">
            <w:pPr>
              <w:pStyle w:val="11"/>
            </w:pPr>
          </w:p>
        </w:tc>
      </w:tr>
      <w:tr w14:paraId="4D4E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21747">
            <w:pPr>
              <w:pStyle w:val="13"/>
            </w:pPr>
            <w:r>
              <w:t>29</w:t>
            </w:r>
          </w:p>
        </w:tc>
        <w:tc>
          <w:tcPr>
            <w:tcW w:w="4535" w:type="dxa"/>
            <w:vAlign w:val="center"/>
          </w:tcPr>
          <w:p w14:paraId="244AD617">
            <w:pPr>
              <w:pStyle w:val="12"/>
            </w:pPr>
          </w:p>
        </w:tc>
        <w:tc>
          <w:tcPr>
            <w:tcW w:w="2126" w:type="dxa"/>
            <w:vAlign w:val="center"/>
          </w:tcPr>
          <w:p w14:paraId="6BE0E254">
            <w:pPr>
              <w:pStyle w:val="11"/>
            </w:pPr>
          </w:p>
        </w:tc>
        <w:tc>
          <w:tcPr>
            <w:tcW w:w="4535" w:type="dxa"/>
            <w:vAlign w:val="center"/>
          </w:tcPr>
          <w:p w14:paraId="69AD674B">
            <w:pPr>
              <w:pStyle w:val="12"/>
            </w:pPr>
            <w:r>
              <w:t>二十九、债务发行费用支出</w:t>
            </w:r>
          </w:p>
        </w:tc>
        <w:tc>
          <w:tcPr>
            <w:tcW w:w="2126" w:type="dxa"/>
            <w:vAlign w:val="center"/>
          </w:tcPr>
          <w:p w14:paraId="689DCCF7">
            <w:pPr>
              <w:pStyle w:val="11"/>
            </w:pPr>
          </w:p>
        </w:tc>
      </w:tr>
      <w:tr w14:paraId="07A2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66A55">
            <w:pPr>
              <w:pStyle w:val="13"/>
            </w:pPr>
            <w:r>
              <w:t>30</w:t>
            </w:r>
          </w:p>
        </w:tc>
        <w:tc>
          <w:tcPr>
            <w:tcW w:w="4535" w:type="dxa"/>
            <w:vAlign w:val="center"/>
          </w:tcPr>
          <w:p w14:paraId="74810A16">
            <w:pPr>
              <w:pStyle w:val="12"/>
            </w:pPr>
          </w:p>
        </w:tc>
        <w:tc>
          <w:tcPr>
            <w:tcW w:w="2126" w:type="dxa"/>
            <w:vAlign w:val="center"/>
          </w:tcPr>
          <w:p w14:paraId="45634217">
            <w:pPr>
              <w:pStyle w:val="11"/>
            </w:pPr>
          </w:p>
        </w:tc>
        <w:tc>
          <w:tcPr>
            <w:tcW w:w="4535" w:type="dxa"/>
            <w:vAlign w:val="center"/>
          </w:tcPr>
          <w:p w14:paraId="4ECC01B9">
            <w:pPr>
              <w:pStyle w:val="12"/>
            </w:pPr>
            <w:r>
              <w:t>三十、抗疫特别国债安排的支出</w:t>
            </w:r>
          </w:p>
        </w:tc>
        <w:tc>
          <w:tcPr>
            <w:tcW w:w="2126" w:type="dxa"/>
            <w:vAlign w:val="center"/>
          </w:tcPr>
          <w:p w14:paraId="284E411B">
            <w:pPr>
              <w:pStyle w:val="11"/>
            </w:pPr>
          </w:p>
        </w:tc>
      </w:tr>
      <w:tr w14:paraId="0CD1A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9B733">
            <w:pPr>
              <w:pStyle w:val="13"/>
            </w:pPr>
            <w:r>
              <w:t>31</w:t>
            </w:r>
          </w:p>
        </w:tc>
        <w:tc>
          <w:tcPr>
            <w:tcW w:w="4535" w:type="dxa"/>
            <w:vAlign w:val="center"/>
          </w:tcPr>
          <w:p w14:paraId="15766C25">
            <w:pPr>
              <w:pStyle w:val="14"/>
            </w:pPr>
            <w:r>
              <w:t>本年收入合计</w:t>
            </w:r>
          </w:p>
        </w:tc>
        <w:tc>
          <w:tcPr>
            <w:tcW w:w="2126" w:type="dxa"/>
            <w:vAlign w:val="center"/>
          </w:tcPr>
          <w:p w14:paraId="710DEA69">
            <w:pPr>
              <w:pStyle w:val="15"/>
            </w:pPr>
            <w:r>
              <w:t>841.50</w:t>
            </w:r>
          </w:p>
        </w:tc>
        <w:tc>
          <w:tcPr>
            <w:tcW w:w="4535" w:type="dxa"/>
            <w:vAlign w:val="center"/>
          </w:tcPr>
          <w:p w14:paraId="63B32443">
            <w:pPr>
              <w:pStyle w:val="14"/>
            </w:pPr>
            <w:r>
              <w:t>本年支出合计</w:t>
            </w:r>
          </w:p>
        </w:tc>
        <w:tc>
          <w:tcPr>
            <w:tcW w:w="2126" w:type="dxa"/>
            <w:vAlign w:val="center"/>
          </w:tcPr>
          <w:p w14:paraId="12836189">
            <w:pPr>
              <w:pStyle w:val="15"/>
            </w:pPr>
            <w:r>
              <w:t>841.50</w:t>
            </w:r>
          </w:p>
        </w:tc>
      </w:tr>
      <w:tr w14:paraId="1E2A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A2983">
            <w:pPr>
              <w:pStyle w:val="13"/>
            </w:pPr>
            <w:r>
              <w:t>32</w:t>
            </w:r>
          </w:p>
        </w:tc>
        <w:tc>
          <w:tcPr>
            <w:tcW w:w="4535" w:type="dxa"/>
            <w:vAlign w:val="center"/>
          </w:tcPr>
          <w:p w14:paraId="40888C34">
            <w:pPr>
              <w:pStyle w:val="12"/>
            </w:pPr>
            <w:r>
              <w:t>上年结转结余</w:t>
            </w:r>
          </w:p>
        </w:tc>
        <w:tc>
          <w:tcPr>
            <w:tcW w:w="2126" w:type="dxa"/>
            <w:vAlign w:val="center"/>
          </w:tcPr>
          <w:p w14:paraId="73E2573E">
            <w:pPr>
              <w:pStyle w:val="11"/>
            </w:pPr>
          </w:p>
        </w:tc>
        <w:tc>
          <w:tcPr>
            <w:tcW w:w="4535" w:type="dxa"/>
            <w:vAlign w:val="center"/>
          </w:tcPr>
          <w:p w14:paraId="2346E90D">
            <w:pPr>
              <w:pStyle w:val="12"/>
            </w:pPr>
            <w:r>
              <w:t>年终结转结余</w:t>
            </w:r>
          </w:p>
        </w:tc>
        <w:tc>
          <w:tcPr>
            <w:tcW w:w="2126" w:type="dxa"/>
            <w:vAlign w:val="center"/>
          </w:tcPr>
          <w:p w14:paraId="0FEB2D17">
            <w:pPr>
              <w:pStyle w:val="11"/>
            </w:pPr>
          </w:p>
        </w:tc>
      </w:tr>
      <w:tr w14:paraId="62EA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237AC">
            <w:pPr>
              <w:pStyle w:val="13"/>
            </w:pPr>
            <w:r>
              <w:t>33</w:t>
            </w:r>
          </w:p>
        </w:tc>
        <w:tc>
          <w:tcPr>
            <w:tcW w:w="4535" w:type="dxa"/>
            <w:vAlign w:val="center"/>
          </w:tcPr>
          <w:p w14:paraId="4D7D0289">
            <w:pPr>
              <w:pStyle w:val="14"/>
            </w:pPr>
            <w:r>
              <w:t>收入总计</w:t>
            </w:r>
          </w:p>
        </w:tc>
        <w:tc>
          <w:tcPr>
            <w:tcW w:w="2126" w:type="dxa"/>
            <w:vAlign w:val="center"/>
          </w:tcPr>
          <w:p w14:paraId="2ECF22BD">
            <w:pPr>
              <w:pStyle w:val="15"/>
            </w:pPr>
            <w:r>
              <w:t>841.50</w:t>
            </w:r>
          </w:p>
        </w:tc>
        <w:tc>
          <w:tcPr>
            <w:tcW w:w="4535" w:type="dxa"/>
            <w:vAlign w:val="center"/>
          </w:tcPr>
          <w:p w14:paraId="2D7845E8">
            <w:pPr>
              <w:pStyle w:val="14"/>
            </w:pPr>
            <w:r>
              <w:t>支出总计</w:t>
            </w:r>
          </w:p>
        </w:tc>
        <w:tc>
          <w:tcPr>
            <w:tcW w:w="2126" w:type="dxa"/>
            <w:vAlign w:val="center"/>
          </w:tcPr>
          <w:p w14:paraId="197AB302">
            <w:pPr>
              <w:pStyle w:val="15"/>
            </w:pPr>
            <w:r>
              <w:t>841.50</w:t>
            </w:r>
          </w:p>
        </w:tc>
      </w:tr>
    </w:tbl>
    <w:p w14:paraId="1B325AE8">
      <w:pPr>
        <w:sectPr>
          <w:pgSz w:w="16840" w:h="11900" w:orient="landscape"/>
          <w:pgMar w:top="1361" w:right="1020" w:bottom="1134" w:left="1020" w:header="720" w:footer="720" w:gutter="0"/>
          <w:cols w:space="720" w:num="1"/>
        </w:sectPr>
      </w:pPr>
    </w:p>
    <w:p w14:paraId="51A444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85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8ADE2D">
            <w:pPr>
              <w:pStyle w:val="9"/>
            </w:pPr>
            <w:r>
              <w:t>360005隆尧县尹村中学</w:t>
            </w:r>
          </w:p>
        </w:tc>
        <w:tc>
          <w:tcPr>
            <w:tcW w:w="3402" w:type="dxa"/>
            <w:gridSpan w:val="3"/>
            <w:tcBorders>
              <w:top w:val="single" w:color="FFFFFF" w:sz="6" w:space="0"/>
              <w:left w:val="single" w:color="FFFFFF" w:sz="6" w:space="0"/>
              <w:right w:val="single" w:color="FFFFFF" w:sz="6" w:space="0"/>
            </w:tcBorders>
            <w:vAlign w:val="center"/>
          </w:tcPr>
          <w:p w14:paraId="39B078B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F742342">
            <w:pPr>
              <w:pStyle w:val="7"/>
            </w:pPr>
            <w:r>
              <w:t>单位：万元</w:t>
            </w:r>
          </w:p>
        </w:tc>
      </w:tr>
      <w:tr w14:paraId="3543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AFD8D6">
            <w:pPr>
              <w:pStyle w:val="10"/>
            </w:pPr>
            <w:r>
              <w:t>序号</w:t>
            </w:r>
          </w:p>
        </w:tc>
        <w:tc>
          <w:tcPr>
            <w:tcW w:w="2551" w:type="dxa"/>
            <w:gridSpan w:val="2"/>
            <w:vAlign w:val="center"/>
          </w:tcPr>
          <w:p w14:paraId="1470D8A1">
            <w:pPr>
              <w:pStyle w:val="10"/>
            </w:pPr>
            <w:r>
              <w:t>功能分类科目</w:t>
            </w:r>
          </w:p>
        </w:tc>
        <w:tc>
          <w:tcPr>
            <w:tcW w:w="1134" w:type="dxa"/>
            <w:vMerge w:val="restart"/>
            <w:vAlign w:val="center"/>
          </w:tcPr>
          <w:p w14:paraId="0EEBD191">
            <w:pPr>
              <w:pStyle w:val="10"/>
            </w:pPr>
            <w:r>
              <w:t>合计</w:t>
            </w:r>
          </w:p>
        </w:tc>
        <w:tc>
          <w:tcPr>
            <w:tcW w:w="9072" w:type="dxa"/>
            <w:gridSpan w:val="8"/>
            <w:vAlign w:val="center"/>
          </w:tcPr>
          <w:p w14:paraId="6F2B2BCC">
            <w:pPr>
              <w:pStyle w:val="10"/>
            </w:pPr>
            <w:r>
              <w:t>本年收入</w:t>
            </w:r>
          </w:p>
        </w:tc>
        <w:tc>
          <w:tcPr>
            <w:tcW w:w="1134" w:type="dxa"/>
            <w:vMerge w:val="restart"/>
            <w:vAlign w:val="center"/>
          </w:tcPr>
          <w:p w14:paraId="373D7F5F">
            <w:pPr>
              <w:pStyle w:val="10"/>
            </w:pPr>
            <w:r>
              <w:t>上年结转</w:t>
            </w:r>
          </w:p>
        </w:tc>
      </w:tr>
      <w:tr w14:paraId="6C1B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64FC97"/>
        </w:tc>
        <w:tc>
          <w:tcPr>
            <w:tcW w:w="992" w:type="dxa"/>
            <w:vAlign w:val="center"/>
          </w:tcPr>
          <w:p w14:paraId="1578C47A">
            <w:pPr>
              <w:pStyle w:val="10"/>
            </w:pPr>
            <w:r>
              <w:t>科目    编码</w:t>
            </w:r>
          </w:p>
        </w:tc>
        <w:tc>
          <w:tcPr>
            <w:tcW w:w="1559" w:type="dxa"/>
            <w:vAlign w:val="center"/>
          </w:tcPr>
          <w:p w14:paraId="28F1C77A">
            <w:pPr>
              <w:pStyle w:val="10"/>
            </w:pPr>
            <w:r>
              <w:t>科目名称</w:t>
            </w:r>
          </w:p>
        </w:tc>
        <w:tc>
          <w:tcPr>
            <w:tcW w:w="1134" w:type="dxa"/>
            <w:vMerge w:val="continue"/>
          </w:tcPr>
          <w:p w14:paraId="6A55E2A3"/>
        </w:tc>
        <w:tc>
          <w:tcPr>
            <w:tcW w:w="1134" w:type="dxa"/>
            <w:vAlign w:val="center"/>
          </w:tcPr>
          <w:p w14:paraId="58A2B2F6">
            <w:pPr>
              <w:pStyle w:val="10"/>
            </w:pPr>
            <w:r>
              <w:t>小计</w:t>
            </w:r>
          </w:p>
        </w:tc>
        <w:tc>
          <w:tcPr>
            <w:tcW w:w="1134" w:type="dxa"/>
            <w:vAlign w:val="center"/>
          </w:tcPr>
          <w:p w14:paraId="32896B9B">
            <w:pPr>
              <w:pStyle w:val="10"/>
            </w:pPr>
            <w:r>
              <w:t>财政拨款 收入</w:t>
            </w:r>
          </w:p>
        </w:tc>
        <w:tc>
          <w:tcPr>
            <w:tcW w:w="1134" w:type="dxa"/>
            <w:vAlign w:val="center"/>
          </w:tcPr>
          <w:p w14:paraId="2E9D3857">
            <w:pPr>
              <w:pStyle w:val="10"/>
            </w:pPr>
            <w:r>
              <w:t>财政专户 收入</w:t>
            </w:r>
          </w:p>
        </w:tc>
        <w:tc>
          <w:tcPr>
            <w:tcW w:w="1134" w:type="dxa"/>
            <w:vAlign w:val="center"/>
          </w:tcPr>
          <w:p w14:paraId="77F0E700">
            <w:pPr>
              <w:pStyle w:val="10"/>
            </w:pPr>
            <w:r>
              <w:t>事业收入</w:t>
            </w:r>
          </w:p>
        </w:tc>
        <w:tc>
          <w:tcPr>
            <w:tcW w:w="1134" w:type="dxa"/>
            <w:vAlign w:val="center"/>
          </w:tcPr>
          <w:p w14:paraId="1A6CFCA6">
            <w:pPr>
              <w:pStyle w:val="10"/>
            </w:pPr>
            <w:r>
              <w:t>经营收入</w:t>
            </w:r>
          </w:p>
        </w:tc>
        <w:tc>
          <w:tcPr>
            <w:tcW w:w="1134" w:type="dxa"/>
            <w:vAlign w:val="center"/>
          </w:tcPr>
          <w:p w14:paraId="1313BA5C">
            <w:pPr>
              <w:pStyle w:val="10"/>
            </w:pPr>
            <w:r>
              <w:t>上级补助收入</w:t>
            </w:r>
          </w:p>
        </w:tc>
        <w:tc>
          <w:tcPr>
            <w:tcW w:w="1134" w:type="dxa"/>
            <w:vAlign w:val="center"/>
          </w:tcPr>
          <w:p w14:paraId="760C7A1D">
            <w:pPr>
              <w:pStyle w:val="10"/>
            </w:pPr>
            <w:r>
              <w:t>附属单位上缴收入</w:t>
            </w:r>
          </w:p>
        </w:tc>
        <w:tc>
          <w:tcPr>
            <w:tcW w:w="1134" w:type="dxa"/>
            <w:vAlign w:val="center"/>
          </w:tcPr>
          <w:p w14:paraId="3680B8A9">
            <w:pPr>
              <w:pStyle w:val="10"/>
            </w:pPr>
            <w:r>
              <w:t>其他收入</w:t>
            </w:r>
          </w:p>
        </w:tc>
        <w:tc>
          <w:tcPr>
            <w:tcW w:w="1134" w:type="dxa"/>
            <w:vMerge w:val="continue"/>
          </w:tcPr>
          <w:p w14:paraId="547087E6"/>
        </w:tc>
      </w:tr>
      <w:tr w14:paraId="38C4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6B2691">
            <w:pPr>
              <w:pStyle w:val="10"/>
            </w:pPr>
            <w:r>
              <w:t>栏次</w:t>
            </w:r>
          </w:p>
        </w:tc>
        <w:tc>
          <w:tcPr>
            <w:tcW w:w="992" w:type="dxa"/>
            <w:vAlign w:val="center"/>
          </w:tcPr>
          <w:p w14:paraId="5E9B2F1F">
            <w:pPr>
              <w:pStyle w:val="10"/>
            </w:pPr>
            <w:r>
              <w:t>1</w:t>
            </w:r>
          </w:p>
        </w:tc>
        <w:tc>
          <w:tcPr>
            <w:tcW w:w="1559" w:type="dxa"/>
            <w:vAlign w:val="center"/>
          </w:tcPr>
          <w:p w14:paraId="6E84A2AA">
            <w:pPr>
              <w:pStyle w:val="10"/>
            </w:pPr>
            <w:r>
              <w:t>2</w:t>
            </w:r>
          </w:p>
        </w:tc>
        <w:tc>
          <w:tcPr>
            <w:tcW w:w="1134" w:type="dxa"/>
            <w:vAlign w:val="center"/>
          </w:tcPr>
          <w:p w14:paraId="52E8D209">
            <w:pPr>
              <w:pStyle w:val="10"/>
            </w:pPr>
            <w:r>
              <w:t>3</w:t>
            </w:r>
          </w:p>
        </w:tc>
        <w:tc>
          <w:tcPr>
            <w:tcW w:w="1134" w:type="dxa"/>
            <w:vAlign w:val="center"/>
          </w:tcPr>
          <w:p w14:paraId="641B2CAB">
            <w:pPr>
              <w:pStyle w:val="10"/>
            </w:pPr>
            <w:r>
              <w:t>4</w:t>
            </w:r>
          </w:p>
        </w:tc>
        <w:tc>
          <w:tcPr>
            <w:tcW w:w="1134" w:type="dxa"/>
            <w:vAlign w:val="center"/>
          </w:tcPr>
          <w:p w14:paraId="63D7EA92">
            <w:pPr>
              <w:pStyle w:val="10"/>
            </w:pPr>
            <w:r>
              <w:t>5</w:t>
            </w:r>
          </w:p>
        </w:tc>
        <w:tc>
          <w:tcPr>
            <w:tcW w:w="1134" w:type="dxa"/>
            <w:vAlign w:val="center"/>
          </w:tcPr>
          <w:p w14:paraId="43BDF1E5">
            <w:pPr>
              <w:pStyle w:val="10"/>
            </w:pPr>
            <w:r>
              <w:t>6</w:t>
            </w:r>
          </w:p>
        </w:tc>
        <w:tc>
          <w:tcPr>
            <w:tcW w:w="1134" w:type="dxa"/>
            <w:vAlign w:val="center"/>
          </w:tcPr>
          <w:p w14:paraId="712E82AB">
            <w:pPr>
              <w:pStyle w:val="10"/>
            </w:pPr>
            <w:r>
              <w:t>7</w:t>
            </w:r>
          </w:p>
        </w:tc>
        <w:tc>
          <w:tcPr>
            <w:tcW w:w="1134" w:type="dxa"/>
            <w:vAlign w:val="center"/>
          </w:tcPr>
          <w:p w14:paraId="405851C0">
            <w:pPr>
              <w:pStyle w:val="10"/>
            </w:pPr>
            <w:r>
              <w:t>8</w:t>
            </w:r>
          </w:p>
        </w:tc>
        <w:tc>
          <w:tcPr>
            <w:tcW w:w="1134" w:type="dxa"/>
            <w:vAlign w:val="center"/>
          </w:tcPr>
          <w:p w14:paraId="0B31D5E7">
            <w:pPr>
              <w:pStyle w:val="10"/>
            </w:pPr>
            <w:r>
              <w:t>9</w:t>
            </w:r>
          </w:p>
        </w:tc>
        <w:tc>
          <w:tcPr>
            <w:tcW w:w="1134" w:type="dxa"/>
            <w:vAlign w:val="center"/>
          </w:tcPr>
          <w:p w14:paraId="1DC78DB7">
            <w:pPr>
              <w:pStyle w:val="10"/>
            </w:pPr>
            <w:r>
              <w:t>10</w:t>
            </w:r>
          </w:p>
        </w:tc>
        <w:tc>
          <w:tcPr>
            <w:tcW w:w="1134" w:type="dxa"/>
            <w:vAlign w:val="center"/>
          </w:tcPr>
          <w:p w14:paraId="225D119F">
            <w:pPr>
              <w:pStyle w:val="10"/>
            </w:pPr>
            <w:r>
              <w:t>11</w:t>
            </w:r>
          </w:p>
        </w:tc>
        <w:tc>
          <w:tcPr>
            <w:tcW w:w="1134" w:type="dxa"/>
            <w:vAlign w:val="center"/>
          </w:tcPr>
          <w:p w14:paraId="324A8E91">
            <w:pPr>
              <w:pStyle w:val="10"/>
            </w:pPr>
            <w:r>
              <w:t>12</w:t>
            </w:r>
          </w:p>
        </w:tc>
      </w:tr>
      <w:tr w14:paraId="75AB831F">
        <w:tblPrEx>
          <w:tblCellMar>
            <w:top w:w="0" w:type="dxa"/>
            <w:left w:w="108" w:type="dxa"/>
            <w:bottom w:w="0" w:type="dxa"/>
            <w:right w:w="108" w:type="dxa"/>
          </w:tblCellMar>
        </w:tblPrEx>
        <w:trPr>
          <w:trHeight w:val="369" w:hRule="atLeast"/>
          <w:jc w:val="center"/>
        </w:trPr>
        <w:tc>
          <w:tcPr>
            <w:tcW w:w="680" w:type="dxa"/>
            <w:vAlign w:val="center"/>
          </w:tcPr>
          <w:p w14:paraId="5D63EC1D">
            <w:pPr>
              <w:pStyle w:val="13"/>
            </w:pPr>
            <w:r>
              <w:t>1</w:t>
            </w:r>
          </w:p>
        </w:tc>
        <w:tc>
          <w:tcPr>
            <w:tcW w:w="992" w:type="dxa"/>
            <w:vAlign w:val="center"/>
          </w:tcPr>
          <w:p w14:paraId="29ADC116">
            <w:pPr>
              <w:pStyle w:val="16"/>
            </w:pPr>
          </w:p>
        </w:tc>
        <w:tc>
          <w:tcPr>
            <w:tcW w:w="1559" w:type="dxa"/>
            <w:vAlign w:val="center"/>
          </w:tcPr>
          <w:p w14:paraId="7E0D2C57">
            <w:pPr>
              <w:pStyle w:val="14"/>
            </w:pPr>
            <w:r>
              <w:t>合计</w:t>
            </w:r>
          </w:p>
        </w:tc>
        <w:tc>
          <w:tcPr>
            <w:tcW w:w="1134" w:type="dxa"/>
            <w:vAlign w:val="center"/>
          </w:tcPr>
          <w:p w14:paraId="24CBB63F">
            <w:pPr>
              <w:pStyle w:val="15"/>
            </w:pPr>
            <w:r>
              <w:t>841.50</w:t>
            </w:r>
          </w:p>
        </w:tc>
        <w:tc>
          <w:tcPr>
            <w:tcW w:w="1134" w:type="dxa"/>
            <w:vAlign w:val="center"/>
          </w:tcPr>
          <w:p w14:paraId="40AF9B63">
            <w:pPr>
              <w:pStyle w:val="15"/>
            </w:pPr>
            <w:r>
              <w:t>841.50</w:t>
            </w:r>
          </w:p>
        </w:tc>
        <w:tc>
          <w:tcPr>
            <w:tcW w:w="1134" w:type="dxa"/>
            <w:vAlign w:val="center"/>
          </w:tcPr>
          <w:p w14:paraId="2B589266">
            <w:pPr>
              <w:pStyle w:val="15"/>
            </w:pPr>
            <w:r>
              <w:t>841.50</w:t>
            </w:r>
          </w:p>
        </w:tc>
        <w:tc>
          <w:tcPr>
            <w:tcW w:w="1134" w:type="dxa"/>
            <w:vAlign w:val="center"/>
          </w:tcPr>
          <w:p w14:paraId="5D082B51">
            <w:pPr>
              <w:pStyle w:val="15"/>
            </w:pPr>
          </w:p>
        </w:tc>
        <w:tc>
          <w:tcPr>
            <w:tcW w:w="1134" w:type="dxa"/>
            <w:vAlign w:val="center"/>
          </w:tcPr>
          <w:p w14:paraId="15213780">
            <w:pPr>
              <w:pStyle w:val="15"/>
            </w:pPr>
          </w:p>
        </w:tc>
        <w:tc>
          <w:tcPr>
            <w:tcW w:w="1134" w:type="dxa"/>
            <w:vAlign w:val="center"/>
          </w:tcPr>
          <w:p w14:paraId="1EAB5A6F">
            <w:pPr>
              <w:pStyle w:val="15"/>
            </w:pPr>
          </w:p>
        </w:tc>
        <w:tc>
          <w:tcPr>
            <w:tcW w:w="1134" w:type="dxa"/>
            <w:vAlign w:val="center"/>
          </w:tcPr>
          <w:p w14:paraId="69C4216E">
            <w:pPr>
              <w:pStyle w:val="15"/>
            </w:pPr>
          </w:p>
        </w:tc>
        <w:tc>
          <w:tcPr>
            <w:tcW w:w="1134" w:type="dxa"/>
            <w:vAlign w:val="center"/>
          </w:tcPr>
          <w:p w14:paraId="5AD1BC29">
            <w:pPr>
              <w:pStyle w:val="15"/>
            </w:pPr>
          </w:p>
        </w:tc>
        <w:tc>
          <w:tcPr>
            <w:tcW w:w="1134" w:type="dxa"/>
            <w:vAlign w:val="center"/>
          </w:tcPr>
          <w:p w14:paraId="62967902">
            <w:pPr>
              <w:pStyle w:val="15"/>
            </w:pPr>
          </w:p>
        </w:tc>
        <w:tc>
          <w:tcPr>
            <w:tcW w:w="1134" w:type="dxa"/>
            <w:vAlign w:val="center"/>
          </w:tcPr>
          <w:p w14:paraId="3340DA31">
            <w:pPr>
              <w:pStyle w:val="15"/>
            </w:pPr>
          </w:p>
        </w:tc>
      </w:tr>
      <w:tr w14:paraId="72D0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B97F7">
            <w:pPr>
              <w:pStyle w:val="13"/>
            </w:pPr>
            <w:r>
              <w:t>2</w:t>
            </w:r>
          </w:p>
        </w:tc>
        <w:tc>
          <w:tcPr>
            <w:tcW w:w="992" w:type="dxa"/>
            <w:vAlign w:val="center"/>
          </w:tcPr>
          <w:p w14:paraId="71543FD5">
            <w:pPr>
              <w:pStyle w:val="12"/>
            </w:pPr>
            <w:r>
              <w:t>205</w:t>
            </w:r>
          </w:p>
        </w:tc>
        <w:tc>
          <w:tcPr>
            <w:tcW w:w="1559" w:type="dxa"/>
            <w:vAlign w:val="center"/>
          </w:tcPr>
          <w:p w14:paraId="3174C9E8">
            <w:pPr>
              <w:pStyle w:val="12"/>
            </w:pPr>
            <w:r>
              <w:t>教育支出</w:t>
            </w:r>
          </w:p>
        </w:tc>
        <w:tc>
          <w:tcPr>
            <w:tcW w:w="1134" w:type="dxa"/>
            <w:vAlign w:val="center"/>
          </w:tcPr>
          <w:p w14:paraId="78E922A6">
            <w:pPr>
              <w:pStyle w:val="11"/>
            </w:pPr>
            <w:r>
              <w:t>841.50</w:t>
            </w:r>
          </w:p>
        </w:tc>
        <w:tc>
          <w:tcPr>
            <w:tcW w:w="1134" w:type="dxa"/>
            <w:vAlign w:val="center"/>
          </w:tcPr>
          <w:p w14:paraId="698CBF3F">
            <w:pPr>
              <w:pStyle w:val="11"/>
            </w:pPr>
            <w:r>
              <w:t>841.50</w:t>
            </w:r>
          </w:p>
        </w:tc>
        <w:tc>
          <w:tcPr>
            <w:tcW w:w="1134" w:type="dxa"/>
            <w:vAlign w:val="center"/>
          </w:tcPr>
          <w:p w14:paraId="5B202048">
            <w:pPr>
              <w:pStyle w:val="11"/>
            </w:pPr>
            <w:r>
              <w:t>841.50</w:t>
            </w:r>
          </w:p>
        </w:tc>
        <w:tc>
          <w:tcPr>
            <w:tcW w:w="1134" w:type="dxa"/>
            <w:vAlign w:val="center"/>
          </w:tcPr>
          <w:p w14:paraId="3F47C617">
            <w:pPr>
              <w:pStyle w:val="11"/>
            </w:pPr>
          </w:p>
        </w:tc>
        <w:tc>
          <w:tcPr>
            <w:tcW w:w="1134" w:type="dxa"/>
            <w:vAlign w:val="center"/>
          </w:tcPr>
          <w:p w14:paraId="698E22FC">
            <w:pPr>
              <w:pStyle w:val="11"/>
            </w:pPr>
          </w:p>
        </w:tc>
        <w:tc>
          <w:tcPr>
            <w:tcW w:w="1134" w:type="dxa"/>
            <w:vAlign w:val="center"/>
          </w:tcPr>
          <w:p w14:paraId="0005E632">
            <w:pPr>
              <w:pStyle w:val="11"/>
            </w:pPr>
          </w:p>
        </w:tc>
        <w:tc>
          <w:tcPr>
            <w:tcW w:w="1134" w:type="dxa"/>
            <w:vAlign w:val="center"/>
          </w:tcPr>
          <w:p w14:paraId="53893521">
            <w:pPr>
              <w:pStyle w:val="11"/>
            </w:pPr>
          </w:p>
        </w:tc>
        <w:tc>
          <w:tcPr>
            <w:tcW w:w="1134" w:type="dxa"/>
            <w:vAlign w:val="center"/>
          </w:tcPr>
          <w:p w14:paraId="58528F5F">
            <w:pPr>
              <w:pStyle w:val="11"/>
            </w:pPr>
          </w:p>
        </w:tc>
        <w:tc>
          <w:tcPr>
            <w:tcW w:w="1134" w:type="dxa"/>
            <w:vAlign w:val="center"/>
          </w:tcPr>
          <w:p w14:paraId="7E19BC62">
            <w:pPr>
              <w:pStyle w:val="11"/>
            </w:pPr>
          </w:p>
        </w:tc>
        <w:tc>
          <w:tcPr>
            <w:tcW w:w="1134" w:type="dxa"/>
            <w:vAlign w:val="center"/>
          </w:tcPr>
          <w:p w14:paraId="3A7F961B">
            <w:pPr>
              <w:pStyle w:val="11"/>
            </w:pPr>
          </w:p>
        </w:tc>
      </w:tr>
      <w:tr w14:paraId="58258F83">
        <w:tblPrEx>
          <w:tblCellMar>
            <w:top w:w="0" w:type="dxa"/>
            <w:left w:w="108" w:type="dxa"/>
            <w:bottom w:w="0" w:type="dxa"/>
            <w:right w:w="108" w:type="dxa"/>
          </w:tblCellMar>
        </w:tblPrEx>
        <w:trPr>
          <w:trHeight w:val="369" w:hRule="atLeast"/>
          <w:jc w:val="center"/>
        </w:trPr>
        <w:tc>
          <w:tcPr>
            <w:tcW w:w="680" w:type="dxa"/>
            <w:vAlign w:val="center"/>
          </w:tcPr>
          <w:p w14:paraId="0B2B64D6">
            <w:pPr>
              <w:pStyle w:val="13"/>
            </w:pPr>
            <w:r>
              <w:t>3</w:t>
            </w:r>
          </w:p>
        </w:tc>
        <w:tc>
          <w:tcPr>
            <w:tcW w:w="992" w:type="dxa"/>
            <w:vAlign w:val="center"/>
          </w:tcPr>
          <w:p w14:paraId="61E108C6">
            <w:pPr>
              <w:pStyle w:val="12"/>
            </w:pPr>
            <w:r>
              <w:t>20502</w:t>
            </w:r>
          </w:p>
        </w:tc>
        <w:tc>
          <w:tcPr>
            <w:tcW w:w="1559" w:type="dxa"/>
            <w:vAlign w:val="center"/>
          </w:tcPr>
          <w:p w14:paraId="455C3661">
            <w:pPr>
              <w:pStyle w:val="12"/>
            </w:pPr>
            <w:r>
              <w:t>普通教育</w:t>
            </w:r>
          </w:p>
        </w:tc>
        <w:tc>
          <w:tcPr>
            <w:tcW w:w="1134" w:type="dxa"/>
            <w:vAlign w:val="center"/>
          </w:tcPr>
          <w:p w14:paraId="5D5EFB6B">
            <w:pPr>
              <w:pStyle w:val="11"/>
            </w:pPr>
            <w:r>
              <w:t>841.50</w:t>
            </w:r>
          </w:p>
        </w:tc>
        <w:tc>
          <w:tcPr>
            <w:tcW w:w="1134" w:type="dxa"/>
            <w:vAlign w:val="center"/>
          </w:tcPr>
          <w:p w14:paraId="148EDD7F">
            <w:pPr>
              <w:pStyle w:val="11"/>
            </w:pPr>
            <w:r>
              <w:t>841.50</w:t>
            </w:r>
          </w:p>
        </w:tc>
        <w:tc>
          <w:tcPr>
            <w:tcW w:w="1134" w:type="dxa"/>
            <w:vAlign w:val="center"/>
          </w:tcPr>
          <w:p w14:paraId="4DCE9AC3">
            <w:pPr>
              <w:pStyle w:val="11"/>
            </w:pPr>
            <w:r>
              <w:t>841.50</w:t>
            </w:r>
          </w:p>
        </w:tc>
        <w:tc>
          <w:tcPr>
            <w:tcW w:w="1134" w:type="dxa"/>
            <w:vAlign w:val="center"/>
          </w:tcPr>
          <w:p w14:paraId="66A6D7A1">
            <w:pPr>
              <w:pStyle w:val="11"/>
            </w:pPr>
          </w:p>
        </w:tc>
        <w:tc>
          <w:tcPr>
            <w:tcW w:w="1134" w:type="dxa"/>
            <w:vAlign w:val="center"/>
          </w:tcPr>
          <w:p w14:paraId="56FCE53A">
            <w:pPr>
              <w:pStyle w:val="11"/>
            </w:pPr>
          </w:p>
        </w:tc>
        <w:tc>
          <w:tcPr>
            <w:tcW w:w="1134" w:type="dxa"/>
            <w:vAlign w:val="center"/>
          </w:tcPr>
          <w:p w14:paraId="4F80853A">
            <w:pPr>
              <w:pStyle w:val="11"/>
            </w:pPr>
          </w:p>
        </w:tc>
        <w:tc>
          <w:tcPr>
            <w:tcW w:w="1134" w:type="dxa"/>
            <w:vAlign w:val="center"/>
          </w:tcPr>
          <w:p w14:paraId="4F8B4234">
            <w:pPr>
              <w:pStyle w:val="11"/>
            </w:pPr>
          </w:p>
        </w:tc>
        <w:tc>
          <w:tcPr>
            <w:tcW w:w="1134" w:type="dxa"/>
            <w:vAlign w:val="center"/>
          </w:tcPr>
          <w:p w14:paraId="3B64106C">
            <w:pPr>
              <w:pStyle w:val="11"/>
            </w:pPr>
          </w:p>
        </w:tc>
        <w:tc>
          <w:tcPr>
            <w:tcW w:w="1134" w:type="dxa"/>
            <w:vAlign w:val="center"/>
          </w:tcPr>
          <w:p w14:paraId="5161FCB3">
            <w:pPr>
              <w:pStyle w:val="11"/>
            </w:pPr>
          </w:p>
        </w:tc>
        <w:tc>
          <w:tcPr>
            <w:tcW w:w="1134" w:type="dxa"/>
            <w:vAlign w:val="center"/>
          </w:tcPr>
          <w:p w14:paraId="5674DBBA">
            <w:pPr>
              <w:pStyle w:val="11"/>
            </w:pPr>
          </w:p>
        </w:tc>
      </w:tr>
      <w:tr w14:paraId="66EC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17C65">
            <w:pPr>
              <w:pStyle w:val="13"/>
            </w:pPr>
            <w:r>
              <w:t>4</w:t>
            </w:r>
          </w:p>
        </w:tc>
        <w:tc>
          <w:tcPr>
            <w:tcW w:w="992" w:type="dxa"/>
            <w:vAlign w:val="center"/>
          </w:tcPr>
          <w:p w14:paraId="78AA912B">
            <w:pPr>
              <w:pStyle w:val="12"/>
            </w:pPr>
            <w:r>
              <w:t>2050203</w:t>
            </w:r>
          </w:p>
        </w:tc>
        <w:tc>
          <w:tcPr>
            <w:tcW w:w="1559" w:type="dxa"/>
            <w:vAlign w:val="center"/>
          </w:tcPr>
          <w:p w14:paraId="54EDB4A0">
            <w:pPr>
              <w:pStyle w:val="12"/>
            </w:pPr>
            <w:r>
              <w:t>初中教育</w:t>
            </w:r>
          </w:p>
        </w:tc>
        <w:tc>
          <w:tcPr>
            <w:tcW w:w="1134" w:type="dxa"/>
            <w:vAlign w:val="center"/>
          </w:tcPr>
          <w:p w14:paraId="59797D5F">
            <w:pPr>
              <w:pStyle w:val="11"/>
            </w:pPr>
            <w:r>
              <w:t>841.50</w:t>
            </w:r>
          </w:p>
        </w:tc>
        <w:tc>
          <w:tcPr>
            <w:tcW w:w="1134" w:type="dxa"/>
            <w:vAlign w:val="center"/>
          </w:tcPr>
          <w:p w14:paraId="6D071130">
            <w:pPr>
              <w:pStyle w:val="11"/>
            </w:pPr>
            <w:r>
              <w:t>841.50</w:t>
            </w:r>
          </w:p>
        </w:tc>
        <w:tc>
          <w:tcPr>
            <w:tcW w:w="1134" w:type="dxa"/>
            <w:vAlign w:val="center"/>
          </w:tcPr>
          <w:p w14:paraId="34BBE7E9">
            <w:pPr>
              <w:pStyle w:val="11"/>
            </w:pPr>
            <w:r>
              <w:t>841.50</w:t>
            </w:r>
          </w:p>
        </w:tc>
        <w:tc>
          <w:tcPr>
            <w:tcW w:w="1134" w:type="dxa"/>
            <w:vAlign w:val="center"/>
          </w:tcPr>
          <w:p w14:paraId="332B1073">
            <w:pPr>
              <w:pStyle w:val="11"/>
            </w:pPr>
          </w:p>
        </w:tc>
        <w:tc>
          <w:tcPr>
            <w:tcW w:w="1134" w:type="dxa"/>
            <w:vAlign w:val="center"/>
          </w:tcPr>
          <w:p w14:paraId="10FA3BB0">
            <w:pPr>
              <w:pStyle w:val="11"/>
            </w:pPr>
          </w:p>
        </w:tc>
        <w:tc>
          <w:tcPr>
            <w:tcW w:w="1134" w:type="dxa"/>
            <w:vAlign w:val="center"/>
          </w:tcPr>
          <w:p w14:paraId="0CDE8C4D">
            <w:pPr>
              <w:pStyle w:val="11"/>
            </w:pPr>
          </w:p>
        </w:tc>
        <w:tc>
          <w:tcPr>
            <w:tcW w:w="1134" w:type="dxa"/>
            <w:vAlign w:val="center"/>
          </w:tcPr>
          <w:p w14:paraId="565CF330">
            <w:pPr>
              <w:pStyle w:val="11"/>
            </w:pPr>
          </w:p>
        </w:tc>
        <w:tc>
          <w:tcPr>
            <w:tcW w:w="1134" w:type="dxa"/>
            <w:vAlign w:val="center"/>
          </w:tcPr>
          <w:p w14:paraId="617E0828">
            <w:pPr>
              <w:pStyle w:val="11"/>
            </w:pPr>
          </w:p>
        </w:tc>
        <w:tc>
          <w:tcPr>
            <w:tcW w:w="1134" w:type="dxa"/>
            <w:vAlign w:val="center"/>
          </w:tcPr>
          <w:p w14:paraId="3522A0EC">
            <w:pPr>
              <w:pStyle w:val="11"/>
            </w:pPr>
          </w:p>
        </w:tc>
        <w:tc>
          <w:tcPr>
            <w:tcW w:w="1134" w:type="dxa"/>
            <w:vAlign w:val="center"/>
          </w:tcPr>
          <w:p w14:paraId="57F5690A">
            <w:pPr>
              <w:pStyle w:val="11"/>
            </w:pPr>
          </w:p>
        </w:tc>
      </w:tr>
    </w:tbl>
    <w:p w14:paraId="49CCBE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486A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35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5DF21B">
            <w:pPr>
              <w:pStyle w:val="9"/>
            </w:pPr>
            <w:r>
              <w:t>360005隆尧县尹村中学</w:t>
            </w:r>
          </w:p>
        </w:tc>
        <w:tc>
          <w:tcPr>
            <w:tcW w:w="2722" w:type="dxa"/>
            <w:gridSpan w:val="2"/>
            <w:tcBorders>
              <w:top w:val="single" w:color="FFFFFF" w:sz="6" w:space="0"/>
              <w:left w:val="single" w:color="FFFFFF" w:sz="6" w:space="0"/>
              <w:right w:val="single" w:color="FFFFFF" w:sz="6" w:space="0"/>
            </w:tcBorders>
            <w:vAlign w:val="center"/>
          </w:tcPr>
          <w:p w14:paraId="60DBD9F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D4A3CDB">
            <w:pPr>
              <w:pStyle w:val="7"/>
            </w:pPr>
            <w:r>
              <w:t>单位：万元</w:t>
            </w:r>
          </w:p>
        </w:tc>
      </w:tr>
      <w:tr w14:paraId="6D2E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034F6F">
            <w:pPr>
              <w:pStyle w:val="10"/>
            </w:pPr>
            <w:r>
              <w:t>序号</w:t>
            </w:r>
          </w:p>
        </w:tc>
        <w:tc>
          <w:tcPr>
            <w:tcW w:w="5527" w:type="dxa"/>
            <w:gridSpan w:val="2"/>
            <w:vAlign w:val="center"/>
          </w:tcPr>
          <w:p w14:paraId="63EE5D4B">
            <w:pPr>
              <w:pStyle w:val="10"/>
            </w:pPr>
            <w:r>
              <w:t>功能分类科目</w:t>
            </w:r>
          </w:p>
        </w:tc>
        <w:tc>
          <w:tcPr>
            <w:tcW w:w="1361" w:type="dxa"/>
            <w:vMerge w:val="restart"/>
            <w:vAlign w:val="center"/>
          </w:tcPr>
          <w:p w14:paraId="0C8A222E">
            <w:pPr>
              <w:pStyle w:val="10"/>
            </w:pPr>
            <w:r>
              <w:t>合计</w:t>
            </w:r>
          </w:p>
        </w:tc>
        <w:tc>
          <w:tcPr>
            <w:tcW w:w="1361" w:type="dxa"/>
            <w:vMerge w:val="restart"/>
            <w:vAlign w:val="center"/>
          </w:tcPr>
          <w:p w14:paraId="0A5CAAF8">
            <w:pPr>
              <w:pStyle w:val="10"/>
            </w:pPr>
            <w:r>
              <w:t>基本支出</w:t>
            </w:r>
          </w:p>
        </w:tc>
        <w:tc>
          <w:tcPr>
            <w:tcW w:w="1361" w:type="dxa"/>
            <w:vMerge w:val="restart"/>
            <w:vAlign w:val="center"/>
          </w:tcPr>
          <w:p w14:paraId="108EE785">
            <w:pPr>
              <w:pStyle w:val="10"/>
            </w:pPr>
            <w:r>
              <w:t>项目支出</w:t>
            </w:r>
          </w:p>
        </w:tc>
        <w:tc>
          <w:tcPr>
            <w:tcW w:w="1361" w:type="dxa"/>
            <w:vMerge w:val="restart"/>
            <w:vAlign w:val="center"/>
          </w:tcPr>
          <w:p w14:paraId="57D0DE8E">
            <w:pPr>
              <w:pStyle w:val="10"/>
            </w:pPr>
            <w:r>
              <w:t>经营支出</w:t>
            </w:r>
          </w:p>
        </w:tc>
        <w:tc>
          <w:tcPr>
            <w:tcW w:w="1361" w:type="dxa"/>
            <w:vMerge w:val="restart"/>
            <w:vAlign w:val="center"/>
          </w:tcPr>
          <w:p w14:paraId="6EF63DCD">
            <w:pPr>
              <w:pStyle w:val="10"/>
            </w:pPr>
            <w:r>
              <w:t>上解上级     支出</w:t>
            </w:r>
          </w:p>
        </w:tc>
        <w:tc>
          <w:tcPr>
            <w:tcW w:w="1361" w:type="dxa"/>
            <w:vMerge w:val="restart"/>
            <w:vAlign w:val="center"/>
          </w:tcPr>
          <w:p w14:paraId="3A9ECC4F">
            <w:pPr>
              <w:pStyle w:val="10"/>
            </w:pPr>
            <w:r>
              <w:t>对附属单位补助支出</w:t>
            </w:r>
          </w:p>
        </w:tc>
      </w:tr>
      <w:tr w14:paraId="58DB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D73A6"/>
        </w:tc>
        <w:tc>
          <w:tcPr>
            <w:tcW w:w="992" w:type="dxa"/>
            <w:vAlign w:val="center"/>
          </w:tcPr>
          <w:p w14:paraId="59E079FD">
            <w:pPr>
              <w:pStyle w:val="10"/>
            </w:pPr>
            <w:r>
              <w:t>科目    编码</w:t>
            </w:r>
          </w:p>
        </w:tc>
        <w:tc>
          <w:tcPr>
            <w:tcW w:w="4535" w:type="dxa"/>
            <w:vAlign w:val="center"/>
          </w:tcPr>
          <w:p w14:paraId="7F7441E2">
            <w:pPr>
              <w:pStyle w:val="10"/>
            </w:pPr>
            <w:r>
              <w:t>科目名称</w:t>
            </w:r>
          </w:p>
        </w:tc>
        <w:tc>
          <w:tcPr>
            <w:tcW w:w="1361" w:type="dxa"/>
            <w:vMerge w:val="continue"/>
          </w:tcPr>
          <w:p w14:paraId="3C1811DE"/>
        </w:tc>
        <w:tc>
          <w:tcPr>
            <w:tcW w:w="1361" w:type="dxa"/>
            <w:vMerge w:val="continue"/>
          </w:tcPr>
          <w:p w14:paraId="108CA57A"/>
        </w:tc>
        <w:tc>
          <w:tcPr>
            <w:tcW w:w="1361" w:type="dxa"/>
            <w:vMerge w:val="continue"/>
          </w:tcPr>
          <w:p w14:paraId="0CF6E1BC"/>
        </w:tc>
        <w:tc>
          <w:tcPr>
            <w:tcW w:w="1361" w:type="dxa"/>
            <w:vMerge w:val="continue"/>
          </w:tcPr>
          <w:p w14:paraId="0B416666"/>
        </w:tc>
        <w:tc>
          <w:tcPr>
            <w:tcW w:w="1361" w:type="dxa"/>
            <w:vMerge w:val="continue"/>
          </w:tcPr>
          <w:p w14:paraId="1E014E60"/>
        </w:tc>
        <w:tc>
          <w:tcPr>
            <w:tcW w:w="1361" w:type="dxa"/>
            <w:vMerge w:val="continue"/>
          </w:tcPr>
          <w:p w14:paraId="363A2203"/>
        </w:tc>
      </w:tr>
      <w:tr w14:paraId="2A1F1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47FA2">
            <w:pPr>
              <w:pStyle w:val="10"/>
            </w:pPr>
            <w:r>
              <w:t>栏次</w:t>
            </w:r>
          </w:p>
        </w:tc>
        <w:tc>
          <w:tcPr>
            <w:tcW w:w="992" w:type="dxa"/>
            <w:vAlign w:val="center"/>
          </w:tcPr>
          <w:p w14:paraId="687128A1">
            <w:pPr>
              <w:pStyle w:val="10"/>
            </w:pPr>
            <w:r>
              <w:t>1</w:t>
            </w:r>
          </w:p>
        </w:tc>
        <w:tc>
          <w:tcPr>
            <w:tcW w:w="4535" w:type="dxa"/>
            <w:vAlign w:val="center"/>
          </w:tcPr>
          <w:p w14:paraId="63251149">
            <w:pPr>
              <w:pStyle w:val="10"/>
            </w:pPr>
            <w:r>
              <w:t>2</w:t>
            </w:r>
          </w:p>
        </w:tc>
        <w:tc>
          <w:tcPr>
            <w:tcW w:w="1361" w:type="dxa"/>
            <w:vAlign w:val="center"/>
          </w:tcPr>
          <w:p w14:paraId="73320D7A">
            <w:pPr>
              <w:pStyle w:val="10"/>
            </w:pPr>
            <w:r>
              <w:t>3</w:t>
            </w:r>
          </w:p>
        </w:tc>
        <w:tc>
          <w:tcPr>
            <w:tcW w:w="1361" w:type="dxa"/>
            <w:vAlign w:val="center"/>
          </w:tcPr>
          <w:p w14:paraId="06B727D6">
            <w:pPr>
              <w:pStyle w:val="10"/>
            </w:pPr>
            <w:r>
              <w:t>4</w:t>
            </w:r>
          </w:p>
        </w:tc>
        <w:tc>
          <w:tcPr>
            <w:tcW w:w="1361" w:type="dxa"/>
            <w:vAlign w:val="center"/>
          </w:tcPr>
          <w:p w14:paraId="056B2252">
            <w:pPr>
              <w:pStyle w:val="10"/>
            </w:pPr>
            <w:r>
              <w:t>5</w:t>
            </w:r>
          </w:p>
        </w:tc>
        <w:tc>
          <w:tcPr>
            <w:tcW w:w="1361" w:type="dxa"/>
            <w:vAlign w:val="center"/>
          </w:tcPr>
          <w:p w14:paraId="6002E21D">
            <w:pPr>
              <w:pStyle w:val="10"/>
            </w:pPr>
            <w:r>
              <w:t>6</w:t>
            </w:r>
          </w:p>
        </w:tc>
        <w:tc>
          <w:tcPr>
            <w:tcW w:w="1361" w:type="dxa"/>
            <w:vAlign w:val="center"/>
          </w:tcPr>
          <w:p w14:paraId="2E2D2B36">
            <w:pPr>
              <w:pStyle w:val="10"/>
            </w:pPr>
            <w:r>
              <w:t>7</w:t>
            </w:r>
          </w:p>
        </w:tc>
        <w:tc>
          <w:tcPr>
            <w:tcW w:w="1361" w:type="dxa"/>
            <w:vAlign w:val="center"/>
          </w:tcPr>
          <w:p w14:paraId="2B8890F5">
            <w:pPr>
              <w:pStyle w:val="10"/>
            </w:pPr>
            <w:r>
              <w:t>8</w:t>
            </w:r>
          </w:p>
        </w:tc>
      </w:tr>
      <w:tr w14:paraId="15A6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1748">
            <w:pPr>
              <w:pStyle w:val="13"/>
            </w:pPr>
            <w:r>
              <w:t>1</w:t>
            </w:r>
          </w:p>
        </w:tc>
        <w:tc>
          <w:tcPr>
            <w:tcW w:w="992" w:type="dxa"/>
            <w:vAlign w:val="center"/>
          </w:tcPr>
          <w:p w14:paraId="53F5498E">
            <w:pPr>
              <w:pStyle w:val="16"/>
            </w:pPr>
          </w:p>
        </w:tc>
        <w:tc>
          <w:tcPr>
            <w:tcW w:w="4535" w:type="dxa"/>
            <w:vAlign w:val="center"/>
          </w:tcPr>
          <w:p w14:paraId="74E94C0E">
            <w:pPr>
              <w:pStyle w:val="14"/>
            </w:pPr>
            <w:r>
              <w:t>合计</w:t>
            </w:r>
          </w:p>
        </w:tc>
        <w:tc>
          <w:tcPr>
            <w:tcW w:w="1361" w:type="dxa"/>
            <w:vAlign w:val="center"/>
          </w:tcPr>
          <w:p w14:paraId="06A5B530">
            <w:pPr>
              <w:pStyle w:val="15"/>
            </w:pPr>
            <w:r>
              <w:t>841.50</w:t>
            </w:r>
          </w:p>
        </w:tc>
        <w:tc>
          <w:tcPr>
            <w:tcW w:w="1361" w:type="dxa"/>
            <w:vAlign w:val="center"/>
          </w:tcPr>
          <w:p w14:paraId="5AA8737A">
            <w:pPr>
              <w:pStyle w:val="15"/>
            </w:pPr>
            <w:r>
              <w:t>687.18</w:t>
            </w:r>
          </w:p>
        </w:tc>
        <w:tc>
          <w:tcPr>
            <w:tcW w:w="1361" w:type="dxa"/>
            <w:vAlign w:val="center"/>
          </w:tcPr>
          <w:p w14:paraId="2686E0AE">
            <w:pPr>
              <w:pStyle w:val="15"/>
            </w:pPr>
            <w:r>
              <w:t>154.33</w:t>
            </w:r>
          </w:p>
        </w:tc>
        <w:tc>
          <w:tcPr>
            <w:tcW w:w="1361" w:type="dxa"/>
            <w:vAlign w:val="center"/>
          </w:tcPr>
          <w:p w14:paraId="031D07BB">
            <w:pPr>
              <w:pStyle w:val="15"/>
            </w:pPr>
          </w:p>
        </w:tc>
        <w:tc>
          <w:tcPr>
            <w:tcW w:w="1361" w:type="dxa"/>
            <w:vAlign w:val="center"/>
          </w:tcPr>
          <w:p w14:paraId="42A543F1">
            <w:pPr>
              <w:pStyle w:val="15"/>
            </w:pPr>
          </w:p>
        </w:tc>
        <w:tc>
          <w:tcPr>
            <w:tcW w:w="1361" w:type="dxa"/>
            <w:vAlign w:val="center"/>
          </w:tcPr>
          <w:p w14:paraId="7E5A6CBD">
            <w:pPr>
              <w:pStyle w:val="15"/>
            </w:pPr>
          </w:p>
        </w:tc>
      </w:tr>
      <w:tr w14:paraId="4F58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3B2B">
            <w:pPr>
              <w:pStyle w:val="13"/>
            </w:pPr>
            <w:r>
              <w:t>2</w:t>
            </w:r>
          </w:p>
        </w:tc>
        <w:tc>
          <w:tcPr>
            <w:tcW w:w="992" w:type="dxa"/>
            <w:vAlign w:val="center"/>
          </w:tcPr>
          <w:p w14:paraId="1A029620">
            <w:pPr>
              <w:pStyle w:val="12"/>
            </w:pPr>
            <w:r>
              <w:t>205</w:t>
            </w:r>
          </w:p>
        </w:tc>
        <w:tc>
          <w:tcPr>
            <w:tcW w:w="4535" w:type="dxa"/>
            <w:vAlign w:val="center"/>
          </w:tcPr>
          <w:p w14:paraId="110FF612">
            <w:pPr>
              <w:pStyle w:val="12"/>
            </w:pPr>
            <w:r>
              <w:t>教育支出</w:t>
            </w:r>
          </w:p>
        </w:tc>
        <w:tc>
          <w:tcPr>
            <w:tcW w:w="1361" w:type="dxa"/>
            <w:vAlign w:val="center"/>
          </w:tcPr>
          <w:p w14:paraId="1655FF4E">
            <w:pPr>
              <w:pStyle w:val="11"/>
            </w:pPr>
            <w:r>
              <w:t>841.50</w:t>
            </w:r>
          </w:p>
        </w:tc>
        <w:tc>
          <w:tcPr>
            <w:tcW w:w="1361" w:type="dxa"/>
            <w:vAlign w:val="center"/>
          </w:tcPr>
          <w:p w14:paraId="4090B1B5">
            <w:pPr>
              <w:pStyle w:val="11"/>
            </w:pPr>
            <w:r>
              <w:t>687.18</w:t>
            </w:r>
          </w:p>
        </w:tc>
        <w:tc>
          <w:tcPr>
            <w:tcW w:w="1361" w:type="dxa"/>
            <w:vAlign w:val="center"/>
          </w:tcPr>
          <w:p w14:paraId="7E40649C">
            <w:pPr>
              <w:pStyle w:val="11"/>
            </w:pPr>
            <w:r>
              <w:t>154.33</w:t>
            </w:r>
          </w:p>
        </w:tc>
        <w:tc>
          <w:tcPr>
            <w:tcW w:w="1361" w:type="dxa"/>
            <w:vAlign w:val="center"/>
          </w:tcPr>
          <w:p w14:paraId="6BE38FD0">
            <w:pPr>
              <w:pStyle w:val="11"/>
            </w:pPr>
          </w:p>
        </w:tc>
        <w:tc>
          <w:tcPr>
            <w:tcW w:w="1361" w:type="dxa"/>
            <w:vAlign w:val="center"/>
          </w:tcPr>
          <w:p w14:paraId="4417697D">
            <w:pPr>
              <w:pStyle w:val="11"/>
            </w:pPr>
          </w:p>
        </w:tc>
        <w:tc>
          <w:tcPr>
            <w:tcW w:w="1361" w:type="dxa"/>
            <w:vAlign w:val="center"/>
          </w:tcPr>
          <w:p w14:paraId="1956BD6E">
            <w:pPr>
              <w:pStyle w:val="11"/>
            </w:pPr>
          </w:p>
        </w:tc>
      </w:tr>
      <w:tr w14:paraId="3EDE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6CEB">
            <w:pPr>
              <w:pStyle w:val="13"/>
            </w:pPr>
            <w:r>
              <w:t>3</w:t>
            </w:r>
          </w:p>
        </w:tc>
        <w:tc>
          <w:tcPr>
            <w:tcW w:w="992" w:type="dxa"/>
            <w:vAlign w:val="center"/>
          </w:tcPr>
          <w:p w14:paraId="19106D7F">
            <w:pPr>
              <w:pStyle w:val="12"/>
            </w:pPr>
            <w:r>
              <w:t>20502</w:t>
            </w:r>
          </w:p>
        </w:tc>
        <w:tc>
          <w:tcPr>
            <w:tcW w:w="4535" w:type="dxa"/>
            <w:vAlign w:val="center"/>
          </w:tcPr>
          <w:p w14:paraId="5AC5D8D3">
            <w:pPr>
              <w:pStyle w:val="12"/>
            </w:pPr>
            <w:r>
              <w:t>普通教育</w:t>
            </w:r>
          </w:p>
        </w:tc>
        <w:tc>
          <w:tcPr>
            <w:tcW w:w="1361" w:type="dxa"/>
            <w:vAlign w:val="center"/>
          </w:tcPr>
          <w:p w14:paraId="295914D6">
            <w:pPr>
              <w:pStyle w:val="11"/>
            </w:pPr>
            <w:r>
              <w:t>841.50</w:t>
            </w:r>
          </w:p>
        </w:tc>
        <w:tc>
          <w:tcPr>
            <w:tcW w:w="1361" w:type="dxa"/>
            <w:vAlign w:val="center"/>
          </w:tcPr>
          <w:p w14:paraId="16CD4FD4">
            <w:pPr>
              <w:pStyle w:val="11"/>
            </w:pPr>
            <w:r>
              <w:t>687.18</w:t>
            </w:r>
          </w:p>
        </w:tc>
        <w:tc>
          <w:tcPr>
            <w:tcW w:w="1361" w:type="dxa"/>
            <w:vAlign w:val="center"/>
          </w:tcPr>
          <w:p w14:paraId="0F56AB75">
            <w:pPr>
              <w:pStyle w:val="11"/>
            </w:pPr>
            <w:r>
              <w:t>154.33</w:t>
            </w:r>
          </w:p>
        </w:tc>
        <w:tc>
          <w:tcPr>
            <w:tcW w:w="1361" w:type="dxa"/>
            <w:vAlign w:val="center"/>
          </w:tcPr>
          <w:p w14:paraId="014CFA9F">
            <w:pPr>
              <w:pStyle w:val="11"/>
            </w:pPr>
          </w:p>
        </w:tc>
        <w:tc>
          <w:tcPr>
            <w:tcW w:w="1361" w:type="dxa"/>
            <w:vAlign w:val="center"/>
          </w:tcPr>
          <w:p w14:paraId="0A8991E1">
            <w:pPr>
              <w:pStyle w:val="11"/>
            </w:pPr>
          </w:p>
        </w:tc>
        <w:tc>
          <w:tcPr>
            <w:tcW w:w="1361" w:type="dxa"/>
            <w:vAlign w:val="center"/>
          </w:tcPr>
          <w:p w14:paraId="784735DF">
            <w:pPr>
              <w:pStyle w:val="11"/>
            </w:pPr>
          </w:p>
        </w:tc>
      </w:tr>
      <w:tr w14:paraId="631E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DF71">
            <w:pPr>
              <w:pStyle w:val="13"/>
            </w:pPr>
            <w:r>
              <w:t>4</w:t>
            </w:r>
          </w:p>
        </w:tc>
        <w:tc>
          <w:tcPr>
            <w:tcW w:w="992" w:type="dxa"/>
            <w:vAlign w:val="center"/>
          </w:tcPr>
          <w:p w14:paraId="7F92FCA5">
            <w:pPr>
              <w:pStyle w:val="12"/>
            </w:pPr>
            <w:r>
              <w:t>2050203</w:t>
            </w:r>
          </w:p>
        </w:tc>
        <w:tc>
          <w:tcPr>
            <w:tcW w:w="4535" w:type="dxa"/>
            <w:vAlign w:val="center"/>
          </w:tcPr>
          <w:p w14:paraId="306A12CF">
            <w:pPr>
              <w:pStyle w:val="12"/>
            </w:pPr>
            <w:r>
              <w:t>初中教育</w:t>
            </w:r>
          </w:p>
        </w:tc>
        <w:tc>
          <w:tcPr>
            <w:tcW w:w="1361" w:type="dxa"/>
            <w:vAlign w:val="center"/>
          </w:tcPr>
          <w:p w14:paraId="1AE8B1E1">
            <w:pPr>
              <w:pStyle w:val="11"/>
            </w:pPr>
            <w:r>
              <w:t>841.50</w:t>
            </w:r>
          </w:p>
        </w:tc>
        <w:tc>
          <w:tcPr>
            <w:tcW w:w="1361" w:type="dxa"/>
            <w:vAlign w:val="center"/>
          </w:tcPr>
          <w:p w14:paraId="66E43D33">
            <w:pPr>
              <w:pStyle w:val="11"/>
            </w:pPr>
            <w:r>
              <w:t>687.18</w:t>
            </w:r>
          </w:p>
        </w:tc>
        <w:tc>
          <w:tcPr>
            <w:tcW w:w="1361" w:type="dxa"/>
            <w:vAlign w:val="center"/>
          </w:tcPr>
          <w:p w14:paraId="2BDD69BC">
            <w:pPr>
              <w:pStyle w:val="11"/>
            </w:pPr>
            <w:r>
              <w:t>154.33</w:t>
            </w:r>
          </w:p>
        </w:tc>
        <w:tc>
          <w:tcPr>
            <w:tcW w:w="1361" w:type="dxa"/>
            <w:vAlign w:val="center"/>
          </w:tcPr>
          <w:p w14:paraId="38A5171E">
            <w:pPr>
              <w:pStyle w:val="11"/>
            </w:pPr>
          </w:p>
        </w:tc>
        <w:tc>
          <w:tcPr>
            <w:tcW w:w="1361" w:type="dxa"/>
            <w:vAlign w:val="center"/>
          </w:tcPr>
          <w:p w14:paraId="3B9FD27E">
            <w:pPr>
              <w:pStyle w:val="11"/>
            </w:pPr>
          </w:p>
        </w:tc>
        <w:tc>
          <w:tcPr>
            <w:tcW w:w="1361" w:type="dxa"/>
            <w:vAlign w:val="center"/>
          </w:tcPr>
          <w:p w14:paraId="07E5F3D6">
            <w:pPr>
              <w:pStyle w:val="11"/>
            </w:pPr>
          </w:p>
        </w:tc>
      </w:tr>
    </w:tbl>
    <w:p w14:paraId="2C35E0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0668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72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A886D4">
            <w:pPr>
              <w:pStyle w:val="9"/>
            </w:pPr>
            <w:r>
              <w:t>360005隆尧县尹村中学</w:t>
            </w:r>
          </w:p>
        </w:tc>
        <w:tc>
          <w:tcPr>
            <w:tcW w:w="3402" w:type="dxa"/>
            <w:tcBorders>
              <w:top w:val="single" w:color="FFFFFF" w:sz="6" w:space="0"/>
              <w:left w:val="single" w:color="FFFFFF" w:sz="6" w:space="0"/>
              <w:right w:val="single" w:color="FFFFFF" w:sz="6" w:space="0"/>
            </w:tcBorders>
            <w:vAlign w:val="center"/>
          </w:tcPr>
          <w:p w14:paraId="6F1BFD5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80E8DC9">
            <w:pPr>
              <w:pStyle w:val="7"/>
            </w:pPr>
            <w:r>
              <w:t>单位：万元</w:t>
            </w:r>
          </w:p>
        </w:tc>
      </w:tr>
      <w:tr w14:paraId="1425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E767A">
            <w:pPr>
              <w:pStyle w:val="10"/>
            </w:pPr>
            <w:r>
              <w:t>序号</w:t>
            </w:r>
          </w:p>
        </w:tc>
        <w:tc>
          <w:tcPr>
            <w:tcW w:w="4876" w:type="dxa"/>
            <w:gridSpan w:val="2"/>
            <w:vAlign w:val="center"/>
          </w:tcPr>
          <w:p w14:paraId="32F24C37">
            <w:pPr>
              <w:pStyle w:val="10"/>
            </w:pPr>
            <w:r>
              <w:t>收入</w:t>
            </w:r>
          </w:p>
        </w:tc>
        <w:tc>
          <w:tcPr>
            <w:tcW w:w="9298" w:type="dxa"/>
            <w:gridSpan w:val="5"/>
            <w:vAlign w:val="center"/>
          </w:tcPr>
          <w:p w14:paraId="0DEDA0F5">
            <w:pPr>
              <w:pStyle w:val="10"/>
            </w:pPr>
            <w:r>
              <w:t>支出</w:t>
            </w:r>
          </w:p>
        </w:tc>
      </w:tr>
      <w:tr w14:paraId="68CC7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BE91C"/>
        </w:tc>
        <w:tc>
          <w:tcPr>
            <w:tcW w:w="3402" w:type="dxa"/>
            <w:vAlign w:val="center"/>
          </w:tcPr>
          <w:p w14:paraId="4A9F2DB0">
            <w:pPr>
              <w:pStyle w:val="10"/>
            </w:pPr>
            <w:r>
              <w:t>项  目</w:t>
            </w:r>
          </w:p>
        </w:tc>
        <w:tc>
          <w:tcPr>
            <w:tcW w:w="1474" w:type="dxa"/>
            <w:vAlign w:val="center"/>
          </w:tcPr>
          <w:p w14:paraId="30EE9515">
            <w:pPr>
              <w:pStyle w:val="10"/>
            </w:pPr>
            <w:r>
              <w:t>金额</w:t>
            </w:r>
          </w:p>
        </w:tc>
        <w:tc>
          <w:tcPr>
            <w:tcW w:w="3402" w:type="dxa"/>
            <w:vAlign w:val="center"/>
          </w:tcPr>
          <w:p w14:paraId="09EB47D4">
            <w:pPr>
              <w:pStyle w:val="10"/>
            </w:pPr>
            <w:r>
              <w:t>项  目</w:t>
            </w:r>
          </w:p>
        </w:tc>
        <w:tc>
          <w:tcPr>
            <w:tcW w:w="1474" w:type="dxa"/>
            <w:vAlign w:val="center"/>
          </w:tcPr>
          <w:p w14:paraId="16856D1D">
            <w:pPr>
              <w:pStyle w:val="10"/>
            </w:pPr>
            <w:r>
              <w:t>合计</w:t>
            </w:r>
          </w:p>
        </w:tc>
        <w:tc>
          <w:tcPr>
            <w:tcW w:w="1474" w:type="dxa"/>
            <w:vAlign w:val="center"/>
          </w:tcPr>
          <w:p w14:paraId="550D7DA9">
            <w:pPr>
              <w:pStyle w:val="10"/>
            </w:pPr>
            <w:r>
              <w:t>一般公共预算财政拨款</w:t>
            </w:r>
          </w:p>
        </w:tc>
        <w:tc>
          <w:tcPr>
            <w:tcW w:w="1474" w:type="dxa"/>
            <w:vAlign w:val="center"/>
          </w:tcPr>
          <w:p w14:paraId="52FCCDEE">
            <w:pPr>
              <w:pStyle w:val="10"/>
            </w:pPr>
            <w:r>
              <w:t>政府性基金预算财政    拨款</w:t>
            </w:r>
          </w:p>
        </w:tc>
        <w:tc>
          <w:tcPr>
            <w:tcW w:w="1474" w:type="dxa"/>
            <w:vAlign w:val="center"/>
          </w:tcPr>
          <w:p w14:paraId="6B57D654">
            <w:pPr>
              <w:pStyle w:val="10"/>
            </w:pPr>
            <w:r>
              <w:t>国有资本经营预算财政拨款</w:t>
            </w:r>
          </w:p>
        </w:tc>
      </w:tr>
      <w:tr w14:paraId="11AC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AC540E">
            <w:pPr>
              <w:pStyle w:val="10"/>
            </w:pPr>
            <w:r>
              <w:t>栏次</w:t>
            </w:r>
          </w:p>
        </w:tc>
        <w:tc>
          <w:tcPr>
            <w:tcW w:w="3402" w:type="dxa"/>
            <w:vAlign w:val="center"/>
          </w:tcPr>
          <w:p w14:paraId="565EC6AF">
            <w:pPr>
              <w:pStyle w:val="10"/>
            </w:pPr>
            <w:r>
              <w:t>1</w:t>
            </w:r>
          </w:p>
        </w:tc>
        <w:tc>
          <w:tcPr>
            <w:tcW w:w="1474" w:type="dxa"/>
            <w:vAlign w:val="center"/>
          </w:tcPr>
          <w:p w14:paraId="2FEB808D">
            <w:pPr>
              <w:pStyle w:val="10"/>
            </w:pPr>
            <w:r>
              <w:t>2</w:t>
            </w:r>
          </w:p>
        </w:tc>
        <w:tc>
          <w:tcPr>
            <w:tcW w:w="3402" w:type="dxa"/>
            <w:vAlign w:val="center"/>
          </w:tcPr>
          <w:p w14:paraId="014EE552">
            <w:pPr>
              <w:pStyle w:val="10"/>
            </w:pPr>
            <w:r>
              <w:t>3</w:t>
            </w:r>
          </w:p>
        </w:tc>
        <w:tc>
          <w:tcPr>
            <w:tcW w:w="1474" w:type="dxa"/>
            <w:vAlign w:val="center"/>
          </w:tcPr>
          <w:p w14:paraId="7725834E">
            <w:pPr>
              <w:pStyle w:val="10"/>
            </w:pPr>
            <w:r>
              <w:t>4</w:t>
            </w:r>
          </w:p>
        </w:tc>
        <w:tc>
          <w:tcPr>
            <w:tcW w:w="1474" w:type="dxa"/>
            <w:vAlign w:val="center"/>
          </w:tcPr>
          <w:p w14:paraId="23F76535">
            <w:pPr>
              <w:pStyle w:val="10"/>
            </w:pPr>
            <w:r>
              <w:t>5</w:t>
            </w:r>
          </w:p>
        </w:tc>
        <w:tc>
          <w:tcPr>
            <w:tcW w:w="1474" w:type="dxa"/>
            <w:vAlign w:val="center"/>
          </w:tcPr>
          <w:p w14:paraId="6AC71DCA">
            <w:pPr>
              <w:pStyle w:val="10"/>
            </w:pPr>
            <w:r>
              <w:t>6</w:t>
            </w:r>
          </w:p>
        </w:tc>
        <w:tc>
          <w:tcPr>
            <w:tcW w:w="1474" w:type="dxa"/>
            <w:vAlign w:val="center"/>
          </w:tcPr>
          <w:p w14:paraId="0B82F446">
            <w:pPr>
              <w:pStyle w:val="10"/>
            </w:pPr>
            <w:r>
              <w:t>7</w:t>
            </w:r>
          </w:p>
        </w:tc>
      </w:tr>
      <w:tr w14:paraId="1F870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465C">
            <w:pPr>
              <w:pStyle w:val="13"/>
            </w:pPr>
            <w:r>
              <w:t>1</w:t>
            </w:r>
          </w:p>
        </w:tc>
        <w:tc>
          <w:tcPr>
            <w:tcW w:w="3402" w:type="dxa"/>
            <w:vAlign w:val="center"/>
          </w:tcPr>
          <w:p w14:paraId="5B2FD70B">
            <w:pPr>
              <w:pStyle w:val="12"/>
            </w:pPr>
            <w:r>
              <w:t>一、一般公共预算拨款</w:t>
            </w:r>
          </w:p>
        </w:tc>
        <w:tc>
          <w:tcPr>
            <w:tcW w:w="1474" w:type="dxa"/>
            <w:vAlign w:val="center"/>
          </w:tcPr>
          <w:p w14:paraId="34AA8C40">
            <w:pPr>
              <w:pStyle w:val="11"/>
            </w:pPr>
            <w:r>
              <w:t>841.50</w:t>
            </w:r>
          </w:p>
        </w:tc>
        <w:tc>
          <w:tcPr>
            <w:tcW w:w="3402" w:type="dxa"/>
            <w:vAlign w:val="center"/>
          </w:tcPr>
          <w:p w14:paraId="76CAED1D">
            <w:pPr>
              <w:pStyle w:val="12"/>
            </w:pPr>
            <w:r>
              <w:t>一、一般公共服务支出</w:t>
            </w:r>
          </w:p>
        </w:tc>
        <w:tc>
          <w:tcPr>
            <w:tcW w:w="1474" w:type="dxa"/>
            <w:vAlign w:val="center"/>
          </w:tcPr>
          <w:p w14:paraId="16563870">
            <w:pPr>
              <w:pStyle w:val="11"/>
            </w:pPr>
          </w:p>
        </w:tc>
        <w:tc>
          <w:tcPr>
            <w:tcW w:w="1474" w:type="dxa"/>
            <w:vAlign w:val="center"/>
          </w:tcPr>
          <w:p w14:paraId="063F3FEA">
            <w:pPr>
              <w:pStyle w:val="11"/>
            </w:pPr>
          </w:p>
        </w:tc>
        <w:tc>
          <w:tcPr>
            <w:tcW w:w="1474" w:type="dxa"/>
            <w:vAlign w:val="center"/>
          </w:tcPr>
          <w:p w14:paraId="717A331C">
            <w:pPr>
              <w:pStyle w:val="11"/>
            </w:pPr>
          </w:p>
        </w:tc>
        <w:tc>
          <w:tcPr>
            <w:tcW w:w="1474" w:type="dxa"/>
            <w:vAlign w:val="center"/>
          </w:tcPr>
          <w:p w14:paraId="39815555">
            <w:pPr>
              <w:pStyle w:val="11"/>
            </w:pPr>
          </w:p>
        </w:tc>
      </w:tr>
      <w:tr w14:paraId="4DED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B353A">
            <w:pPr>
              <w:pStyle w:val="13"/>
            </w:pPr>
            <w:r>
              <w:t>2</w:t>
            </w:r>
          </w:p>
        </w:tc>
        <w:tc>
          <w:tcPr>
            <w:tcW w:w="3402" w:type="dxa"/>
            <w:vAlign w:val="center"/>
          </w:tcPr>
          <w:p w14:paraId="0337B96C">
            <w:pPr>
              <w:pStyle w:val="12"/>
            </w:pPr>
            <w:r>
              <w:t>二、政府性基金预算拨款</w:t>
            </w:r>
          </w:p>
        </w:tc>
        <w:tc>
          <w:tcPr>
            <w:tcW w:w="1474" w:type="dxa"/>
            <w:vAlign w:val="center"/>
          </w:tcPr>
          <w:p w14:paraId="40F9064D">
            <w:pPr>
              <w:pStyle w:val="11"/>
            </w:pPr>
          </w:p>
        </w:tc>
        <w:tc>
          <w:tcPr>
            <w:tcW w:w="3402" w:type="dxa"/>
            <w:vAlign w:val="center"/>
          </w:tcPr>
          <w:p w14:paraId="12698D94">
            <w:pPr>
              <w:pStyle w:val="12"/>
            </w:pPr>
            <w:r>
              <w:t>二、外交支出</w:t>
            </w:r>
          </w:p>
        </w:tc>
        <w:tc>
          <w:tcPr>
            <w:tcW w:w="1474" w:type="dxa"/>
            <w:vAlign w:val="center"/>
          </w:tcPr>
          <w:p w14:paraId="395DAFC7">
            <w:pPr>
              <w:pStyle w:val="11"/>
            </w:pPr>
          </w:p>
        </w:tc>
        <w:tc>
          <w:tcPr>
            <w:tcW w:w="1474" w:type="dxa"/>
            <w:vAlign w:val="center"/>
          </w:tcPr>
          <w:p w14:paraId="1D8AF540">
            <w:pPr>
              <w:pStyle w:val="11"/>
            </w:pPr>
          </w:p>
        </w:tc>
        <w:tc>
          <w:tcPr>
            <w:tcW w:w="1474" w:type="dxa"/>
            <w:vAlign w:val="center"/>
          </w:tcPr>
          <w:p w14:paraId="2C3F7CFB">
            <w:pPr>
              <w:pStyle w:val="11"/>
            </w:pPr>
          </w:p>
        </w:tc>
        <w:tc>
          <w:tcPr>
            <w:tcW w:w="1474" w:type="dxa"/>
            <w:vAlign w:val="center"/>
          </w:tcPr>
          <w:p w14:paraId="301C4B5C">
            <w:pPr>
              <w:pStyle w:val="11"/>
            </w:pPr>
          </w:p>
        </w:tc>
      </w:tr>
      <w:tr w14:paraId="62A112BA">
        <w:tblPrEx>
          <w:tblCellMar>
            <w:top w:w="0" w:type="dxa"/>
            <w:left w:w="108" w:type="dxa"/>
            <w:bottom w:w="0" w:type="dxa"/>
            <w:right w:w="108" w:type="dxa"/>
          </w:tblCellMar>
        </w:tblPrEx>
        <w:trPr>
          <w:trHeight w:val="369" w:hRule="atLeast"/>
          <w:jc w:val="center"/>
        </w:trPr>
        <w:tc>
          <w:tcPr>
            <w:tcW w:w="850" w:type="dxa"/>
            <w:vAlign w:val="center"/>
          </w:tcPr>
          <w:p w14:paraId="3FC991FF">
            <w:pPr>
              <w:pStyle w:val="13"/>
            </w:pPr>
            <w:r>
              <w:t>3</w:t>
            </w:r>
          </w:p>
        </w:tc>
        <w:tc>
          <w:tcPr>
            <w:tcW w:w="3402" w:type="dxa"/>
            <w:vAlign w:val="center"/>
          </w:tcPr>
          <w:p w14:paraId="3224CD16">
            <w:pPr>
              <w:pStyle w:val="12"/>
            </w:pPr>
            <w:r>
              <w:t>三、国有资本经营预算拨款</w:t>
            </w:r>
          </w:p>
        </w:tc>
        <w:tc>
          <w:tcPr>
            <w:tcW w:w="1474" w:type="dxa"/>
            <w:vAlign w:val="center"/>
          </w:tcPr>
          <w:p w14:paraId="1289D626">
            <w:pPr>
              <w:pStyle w:val="11"/>
            </w:pPr>
          </w:p>
        </w:tc>
        <w:tc>
          <w:tcPr>
            <w:tcW w:w="3402" w:type="dxa"/>
            <w:vAlign w:val="center"/>
          </w:tcPr>
          <w:p w14:paraId="5348E19A">
            <w:pPr>
              <w:pStyle w:val="12"/>
            </w:pPr>
            <w:r>
              <w:t>三、国防支出</w:t>
            </w:r>
          </w:p>
        </w:tc>
        <w:tc>
          <w:tcPr>
            <w:tcW w:w="1474" w:type="dxa"/>
            <w:vAlign w:val="center"/>
          </w:tcPr>
          <w:p w14:paraId="2B884040">
            <w:pPr>
              <w:pStyle w:val="11"/>
            </w:pPr>
          </w:p>
        </w:tc>
        <w:tc>
          <w:tcPr>
            <w:tcW w:w="1474" w:type="dxa"/>
            <w:vAlign w:val="center"/>
          </w:tcPr>
          <w:p w14:paraId="2E50436D">
            <w:pPr>
              <w:pStyle w:val="11"/>
            </w:pPr>
          </w:p>
        </w:tc>
        <w:tc>
          <w:tcPr>
            <w:tcW w:w="1474" w:type="dxa"/>
            <w:vAlign w:val="center"/>
          </w:tcPr>
          <w:p w14:paraId="1E7ADC9D">
            <w:pPr>
              <w:pStyle w:val="11"/>
            </w:pPr>
          </w:p>
        </w:tc>
        <w:tc>
          <w:tcPr>
            <w:tcW w:w="1474" w:type="dxa"/>
            <w:vAlign w:val="center"/>
          </w:tcPr>
          <w:p w14:paraId="6D787D52">
            <w:pPr>
              <w:pStyle w:val="11"/>
            </w:pPr>
          </w:p>
        </w:tc>
      </w:tr>
      <w:tr w14:paraId="702D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2E053">
            <w:pPr>
              <w:pStyle w:val="13"/>
            </w:pPr>
            <w:r>
              <w:t>4</w:t>
            </w:r>
          </w:p>
        </w:tc>
        <w:tc>
          <w:tcPr>
            <w:tcW w:w="3402" w:type="dxa"/>
            <w:vAlign w:val="center"/>
          </w:tcPr>
          <w:p w14:paraId="27D718BF">
            <w:pPr>
              <w:pStyle w:val="12"/>
            </w:pPr>
          </w:p>
        </w:tc>
        <w:tc>
          <w:tcPr>
            <w:tcW w:w="1474" w:type="dxa"/>
            <w:vAlign w:val="center"/>
          </w:tcPr>
          <w:p w14:paraId="2AA4FDDE">
            <w:pPr>
              <w:pStyle w:val="11"/>
            </w:pPr>
          </w:p>
        </w:tc>
        <w:tc>
          <w:tcPr>
            <w:tcW w:w="3402" w:type="dxa"/>
            <w:vAlign w:val="center"/>
          </w:tcPr>
          <w:p w14:paraId="3FCB5DF6">
            <w:pPr>
              <w:pStyle w:val="12"/>
            </w:pPr>
            <w:r>
              <w:t>四、公共安全支出</w:t>
            </w:r>
          </w:p>
        </w:tc>
        <w:tc>
          <w:tcPr>
            <w:tcW w:w="1474" w:type="dxa"/>
            <w:vAlign w:val="center"/>
          </w:tcPr>
          <w:p w14:paraId="2968FEDF">
            <w:pPr>
              <w:pStyle w:val="11"/>
            </w:pPr>
          </w:p>
        </w:tc>
        <w:tc>
          <w:tcPr>
            <w:tcW w:w="1474" w:type="dxa"/>
            <w:vAlign w:val="center"/>
          </w:tcPr>
          <w:p w14:paraId="4F8FEC35">
            <w:pPr>
              <w:pStyle w:val="11"/>
            </w:pPr>
          </w:p>
        </w:tc>
        <w:tc>
          <w:tcPr>
            <w:tcW w:w="1474" w:type="dxa"/>
            <w:vAlign w:val="center"/>
          </w:tcPr>
          <w:p w14:paraId="33AD38E6">
            <w:pPr>
              <w:pStyle w:val="11"/>
            </w:pPr>
          </w:p>
        </w:tc>
        <w:tc>
          <w:tcPr>
            <w:tcW w:w="1474" w:type="dxa"/>
            <w:vAlign w:val="center"/>
          </w:tcPr>
          <w:p w14:paraId="4A2BA02D">
            <w:pPr>
              <w:pStyle w:val="11"/>
            </w:pPr>
          </w:p>
        </w:tc>
      </w:tr>
      <w:tr w14:paraId="211D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5047A">
            <w:pPr>
              <w:pStyle w:val="13"/>
            </w:pPr>
            <w:r>
              <w:t>5</w:t>
            </w:r>
          </w:p>
        </w:tc>
        <w:tc>
          <w:tcPr>
            <w:tcW w:w="3402" w:type="dxa"/>
            <w:vAlign w:val="center"/>
          </w:tcPr>
          <w:p w14:paraId="06BD073D">
            <w:pPr>
              <w:pStyle w:val="12"/>
            </w:pPr>
          </w:p>
        </w:tc>
        <w:tc>
          <w:tcPr>
            <w:tcW w:w="1474" w:type="dxa"/>
            <w:vAlign w:val="center"/>
          </w:tcPr>
          <w:p w14:paraId="174BF55B">
            <w:pPr>
              <w:pStyle w:val="11"/>
            </w:pPr>
          </w:p>
        </w:tc>
        <w:tc>
          <w:tcPr>
            <w:tcW w:w="3402" w:type="dxa"/>
            <w:vAlign w:val="center"/>
          </w:tcPr>
          <w:p w14:paraId="2FB642A6">
            <w:pPr>
              <w:pStyle w:val="12"/>
            </w:pPr>
            <w:r>
              <w:t>五、教育支出</w:t>
            </w:r>
          </w:p>
        </w:tc>
        <w:tc>
          <w:tcPr>
            <w:tcW w:w="1474" w:type="dxa"/>
            <w:vAlign w:val="center"/>
          </w:tcPr>
          <w:p w14:paraId="3333D63F">
            <w:pPr>
              <w:pStyle w:val="11"/>
            </w:pPr>
            <w:r>
              <w:t>841.50</w:t>
            </w:r>
          </w:p>
        </w:tc>
        <w:tc>
          <w:tcPr>
            <w:tcW w:w="1474" w:type="dxa"/>
            <w:vAlign w:val="center"/>
          </w:tcPr>
          <w:p w14:paraId="4A1A0DB6">
            <w:pPr>
              <w:pStyle w:val="11"/>
            </w:pPr>
            <w:r>
              <w:t>841.50</w:t>
            </w:r>
          </w:p>
        </w:tc>
        <w:tc>
          <w:tcPr>
            <w:tcW w:w="1474" w:type="dxa"/>
            <w:vAlign w:val="center"/>
          </w:tcPr>
          <w:p w14:paraId="21D99991">
            <w:pPr>
              <w:pStyle w:val="11"/>
            </w:pPr>
          </w:p>
        </w:tc>
        <w:tc>
          <w:tcPr>
            <w:tcW w:w="1474" w:type="dxa"/>
            <w:vAlign w:val="center"/>
          </w:tcPr>
          <w:p w14:paraId="2830B609">
            <w:pPr>
              <w:pStyle w:val="11"/>
            </w:pPr>
          </w:p>
        </w:tc>
      </w:tr>
      <w:tr w14:paraId="2C948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D20BD">
            <w:pPr>
              <w:pStyle w:val="13"/>
            </w:pPr>
            <w:r>
              <w:t>6</w:t>
            </w:r>
          </w:p>
        </w:tc>
        <w:tc>
          <w:tcPr>
            <w:tcW w:w="3402" w:type="dxa"/>
            <w:vAlign w:val="center"/>
          </w:tcPr>
          <w:p w14:paraId="1EA0F3FB">
            <w:pPr>
              <w:pStyle w:val="12"/>
            </w:pPr>
          </w:p>
        </w:tc>
        <w:tc>
          <w:tcPr>
            <w:tcW w:w="1474" w:type="dxa"/>
            <w:vAlign w:val="center"/>
          </w:tcPr>
          <w:p w14:paraId="0C53F564">
            <w:pPr>
              <w:pStyle w:val="11"/>
            </w:pPr>
          </w:p>
        </w:tc>
        <w:tc>
          <w:tcPr>
            <w:tcW w:w="3402" w:type="dxa"/>
            <w:vAlign w:val="center"/>
          </w:tcPr>
          <w:p w14:paraId="3A266968">
            <w:pPr>
              <w:pStyle w:val="12"/>
            </w:pPr>
            <w:r>
              <w:t>六、科学技术支出</w:t>
            </w:r>
          </w:p>
        </w:tc>
        <w:tc>
          <w:tcPr>
            <w:tcW w:w="1474" w:type="dxa"/>
            <w:vAlign w:val="center"/>
          </w:tcPr>
          <w:p w14:paraId="60213768">
            <w:pPr>
              <w:pStyle w:val="11"/>
            </w:pPr>
          </w:p>
        </w:tc>
        <w:tc>
          <w:tcPr>
            <w:tcW w:w="1474" w:type="dxa"/>
            <w:vAlign w:val="center"/>
          </w:tcPr>
          <w:p w14:paraId="68752737">
            <w:pPr>
              <w:pStyle w:val="11"/>
            </w:pPr>
          </w:p>
        </w:tc>
        <w:tc>
          <w:tcPr>
            <w:tcW w:w="1474" w:type="dxa"/>
            <w:vAlign w:val="center"/>
          </w:tcPr>
          <w:p w14:paraId="4C13AC83">
            <w:pPr>
              <w:pStyle w:val="11"/>
            </w:pPr>
          </w:p>
        </w:tc>
        <w:tc>
          <w:tcPr>
            <w:tcW w:w="1474" w:type="dxa"/>
            <w:vAlign w:val="center"/>
          </w:tcPr>
          <w:p w14:paraId="5E34EFB9">
            <w:pPr>
              <w:pStyle w:val="11"/>
            </w:pPr>
          </w:p>
        </w:tc>
      </w:tr>
      <w:tr w14:paraId="48F8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12E9">
            <w:pPr>
              <w:pStyle w:val="13"/>
            </w:pPr>
            <w:r>
              <w:t>7</w:t>
            </w:r>
          </w:p>
        </w:tc>
        <w:tc>
          <w:tcPr>
            <w:tcW w:w="3402" w:type="dxa"/>
            <w:vAlign w:val="center"/>
          </w:tcPr>
          <w:p w14:paraId="3504F28D">
            <w:pPr>
              <w:pStyle w:val="12"/>
            </w:pPr>
          </w:p>
        </w:tc>
        <w:tc>
          <w:tcPr>
            <w:tcW w:w="1474" w:type="dxa"/>
            <w:vAlign w:val="center"/>
          </w:tcPr>
          <w:p w14:paraId="5F13F1C9">
            <w:pPr>
              <w:pStyle w:val="11"/>
            </w:pPr>
          </w:p>
        </w:tc>
        <w:tc>
          <w:tcPr>
            <w:tcW w:w="3402" w:type="dxa"/>
            <w:vAlign w:val="center"/>
          </w:tcPr>
          <w:p w14:paraId="5D5EFFA2">
            <w:pPr>
              <w:pStyle w:val="12"/>
            </w:pPr>
            <w:r>
              <w:t>七、文化旅游体育与传媒支出</w:t>
            </w:r>
          </w:p>
        </w:tc>
        <w:tc>
          <w:tcPr>
            <w:tcW w:w="1474" w:type="dxa"/>
            <w:vAlign w:val="center"/>
          </w:tcPr>
          <w:p w14:paraId="3E365C17">
            <w:pPr>
              <w:pStyle w:val="11"/>
            </w:pPr>
          </w:p>
        </w:tc>
        <w:tc>
          <w:tcPr>
            <w:tcW w:w="1474" w:type="dxa"/>
            <w:vAlign w:val="center"/>
          </w:tcPr>
          <w:p w14:paraId="4C065D72">
            <w:pPr>
              <w:pStyle w:val="11"/>
            </w:pPr>
          </w:p>
        </w:tc>
        <w:tc>
          <w:tcPr>
            <w:tcW w:w="1474" w:type="dxa"/>
            <w:vAlign w:val="center"/>
          </w:tcPr>
          <w:p w14:paraId="62F05D0E">
            <w:pPr>
              <w:pStyle w:val="11"/>
            </w:pPr>
          </w:p>
        </w:tc>
        <w:tc>
          <w:tcPr>
            <w:tcW w:w="1474" w:type="dxa"/>
            <w:vAlign w:val="center"/>
          </w:tcPr>
          <w:p w14:paraId="6795718F">
            <w:pPr>
              <w:pStyle w:val="11"/>
            </w:pPr>
          </w:p>
        </w:tc>
      </w:tr>
      <w:tr w14:paraId="52F5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EA866">
            <w:pPr>
              <w:pStyle w:val="13"/>
            </w:pPr>
            <w:r>
              <w:t>8</w:t>
            </w:r>
          </w:p>
        </w:tc>
        <w:tc>
          <w:tcPr>
            <w:tcW w:w="3402" w:type="dxa"/>
            <w:vAlign w:val="center"/>
          </w:tcPr>
          <w:p w14:paraId="20F545DB">
            <w:pPr>
              <w:pStyle w:val="12"/>
            </w:pPr>
          </w:p>
        </w:tc>
        <w:tc>
          <w:tcPr>
            <w:tcW w:w="1474" w:type="dxa"/>
            <w:vAlign w:val="center"/>
          </w:tcPr>
          <w:p w14:paraId="28833622">
            <w:pPr>
              <w:pStyle w:val="11"/>
            </w:pPr>
          </w:p>
        </w:tc>
        <w:tc>
          <w:tcPr>
            <w:tcW w:w="3402" w:type="dxa"/>
            <w:vAlign w:val="center"/>
          </w:tcPr>
          <w:p w14:paraId="56DF06C5">
            <w:pPr>
              <w:pStyle w:val="12"/>
            </w:pPr>
            <w:r>
              <w:t>八、社会保障和就业支出</w:t>
            </w:r>
          </w:p>
        </w:tc>
        <w:tc>
          <w:tcPr>
            <w:tcW w:w="1474" w:type="dxa"/>
            <w:vAlign w:val="center"/>
          </w:tcPr>
          <w:p w14:paraId="485578C9">
            <w:pPr>
              <w:pStyle w:val="11"/>
            </w:pPr>
          </w:p>
        </w:tc>
        <w:tc>
          <w:tcPr>
            <w:tcW w:w="1474" w:type="dxa"/>
            <w:vAlign w:val="center"/>
          </w:tcPr>
          <w:p w14:paraId="63D44C30">
            <w:pPr>
              <w:pStyle w:val="11"/>
            </w:pPr>
          </w:p>
        </w:tc>
        <w:tc>
          <w:tcPr>
            <w:tcW w:w="1474" w:type="dxa"/>
            <w:vAlign w:val="center"/>
          </w:tcPr>
          <w:p w14:paraId="23AE2372">
            <w:pPr>
              <w:pStyle w:val="11"/>
            </w:pPr>
          </w:p>
        </w:tc>
        <w:tc>
          <w:tcPr>
            <w:tcW w:w="1474" w:type="dxa"/>
            <w:vAlign w:val="center"/>
          </w:tcPr>
          <w:p w14:paraId="5BEBB6DE">
            <w:pPr>
              <w:pStyle w:val="11"/>
            </w:pPr>
          </w:p>
        </w:tc>
      </w:tr>
      <w:tr w14:paraId="4CBA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0E45">
            <w:pPr>
              <w:pStyle w:val="13"/>
            </w:pPr>
            <w:r>
              <w:t>9</w:t>
            </w:r>
          </w:p>
        </w:tc>
        <w:tc>
          <w:tcPr>
            <w:tcW w:w="3402" w:type="dxa"/>
            <w:vAlign w:val="center"/>
          </w:tcPr>
          <w:p w14:paraId="33ACDA5A">
            <w:pPr>
              <w:pStyle w:val="12"/>
            </w:pPr>
          </w:p>
        </w:tc>
        <w:tc>
          <w:tcPr>
            <w:tcW w:w="1474" w:type="dxa"/>
            <w:vAlign w:val="center"/>
          </w:tcPr>
          <w:p w14:paraId="08258AB7">
            <w:pPr>
              <w:pStyle w:val="11"/>
            </w:pPr>
          </w:p>
        </w:tc>
        <w:tc>
          <w:tcPr>
            <w:tcW w:w="3402" w:type="dxa"/>
            <w:vAlign w:val="center"/>
          </w:tcPr>
          <w:p w14:paraId="775C2079">
            <w:pPr>
              <w:pStyle w:val="12"/>
            </w:pPr>
            <w:r>
              <w:t>九、社会保险基金支出</w:t>
            </w:r>
          </w:p>
        </w:tc>
        <w:tc>
          <w:tcPr>
            <w:tcW w:w="1474" w:type="dxa"/>
            <w:vAlign w:val="center"/>
          </w:tcPr>
          <w:p w14:paraId="35EFC375">
            <w:pPr>
              <w:pStyle w:val="11"/>
            </w:pPr>
          </w:p>
        </w:tc>
        <w:tc>
          <w:tcPr>
            <w:tcW w:w="1474" w:type="dxa"/>
            <w:vAlign w:val="center"/>
          </w:tcPr>
          <w:p w14:paraId="7FD00F89">
            <w:pPr>
              <w:pStyle w:val="11"/>
            </w:pPr>
          </w:p>
        </w:tc>
        <w:tc>
          <w:tcPr>
            <w:tcW w:w="1474" w:type="dxa"/>
            <w:vAlign w:val="center"/>
          </w:tcPr>
          <w:p w14:paraId="183CED3F">
            <w:pPr>
              <w:pStyle w:val="11"/>
            </w:pPr>
          </w:p>
        </w:tc>
        <w:tc>
          <w:tcPr>
            <w:tcW w:w="1474" w:type="dxa"/>
            <w:vAlign w:val="center"/>
          </w:tcPr>
          <w:p w14:paraId="47FC367C">
            <w:pPr>
              <w:pStyle w:val="11"/>
            </w:pPr>
          </w:p>
        </w:tc>
      </w:tr>
      <w:tr w14:paraId="2E810606">
        <w:tblPrEx>
          <w:tblCellMar>
            <w:top w:w="0" w:type="dxa"/>
            <w:left w:w="108" w:type="dxa"/>
            <w:bottom w:w="0" w:type="dxa"/>
            <w:right w:w="108" w:type="dxa"/>
          </w:tblCellMar>
        </w:tblPrEx>
        <w:trPr>
          <w:trHeight w:val="369" w:hRule="atLeast"/>
          <w:jc w:val="center"/>
        </w:trPr>
        <w:tc>
          <w:tcPr>
            <w:tcW w:w="850" w:type="dxa"/>
            <w:vAlign w:val="center"/>
          </w:tcPr>
          <w:p w14:paraId="18052828">
            <w:pPr>
              <w:pStyle w:val="13"/>
            </w:pPr>
            <w:r>
              <w:t>10</w:t>
            </w:r>
          </w:p>
        </w:tc>
        <w:tc>
          <w:tcPr>
            <w:tcW w:w="3402" w:type="dxa"/>
            <w:vAlign w:val="center"/>
          </w:tcPr>
          <w:p w14:paraId="70927D30">
            <w:pPr>
              <w:pStyle w:val="12"/>
            </w:pPr>
          </w:p>
        </w:tc>
        <w:tc>
          <w:tcPr>
            <w:tcW w:w="1474" w:type="dxa"/>
            <w:vAlign w:val="center"/>
          </w:tcPr>
          <w:p w14:paraId="4431F243">
            <w:pPr>
              <w:pStyle w:val="11"/>
            </w:pPr>
          </w:p>
        </w:tc>
        <w:tc>
          <w:tcPr>
            <w:tcW w:w="3402" w:type="dxa"/>
            <w:vAlign w:val="center"/>
          </w:tcPr>
          <w:p w14:paraId="33D9599E">
            <w:pPr>
              <w:pStyle w:val="12"/>
            </w:pPr>
            <w:r>
              <w:t>十、卫生健康支出</w:t>
            </w:r>
          </w:p>
        </w:tc>
        <w:tc>
          <w:tcPr>
            <w:tcW w:w="1474" w:type="dxa"/>
            <w:vAlign w:val="center"/>
          </w:tcPr>
          <w:p w14:paraId="27EF3033">
            <w:pPr>
              <w:pStyle w:val="11"/>
            </w:pPr>
          </w:p>
        </w:tc>
        <w:tc>
          <w:tcPr>
            <w:tcW w:w="1474" w:type="dxa"/>
            <w:vAlign w:val="center"/>
          </w:tcPr>
          <w:p w14:paraId="01E20003">
            <w:pPr>
              <w:pStyle w:val="11"/>
            </w:pPr>
          </w:p>
        </w:tc>
        <w:tc>
          <w:tcPr>
            <w:tcW w:w="1474" w:type="dxa"/>
            <w:vAlign w:val="center"/>
          </w:tcPr>
          <w:p w14:paraId="02F28A0B">
            <w:pPr>
              <w:pStyle w:val="11"/>
            </w:pPr>
          </w:p>
        </w:tc>
        <w:tc>
          <w:tcPr>
            <w:tcW w:w="1474" w:type="dxa"/>
            <w:vAlign w:val="center"/>
          </w:tcPr>
          <w:p w14:paraId="619C3D43">
            <w:pPr>
              <w:pStyle w:val="11"/>
            </w:pPr>
          </w:p>
        </w:tc>
      </w:tr>
      <w:tr w14:paraId="70C7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E04B7">
            <w:pPr>
              <w:pStyle w:val="13"/>
            </w:pPr>
            <w:r>
              <w:t>11</w:t>
            </w:r>
          </w:p>
        </w:tc>
        <w:tc>
          <w:tcPr>
            <w:tcW w:w="3402" w:type="dxa"/>
            <w:vAlign w:val="center"/>
          </w:tcPr>
          <w:p w14:paraId="7761B24F">
            <w:pPr>
              <w:pStyle w:val="12"/>
            </w:pPr>
          </w:p>
        </w:tc>
        <w:tc>
          <w:tcPr>
            <w:tcW w:w="1474" w:type="dxa"/>
            <w:vAlign w:val="center"/>
          </w:tcPr>
          <w:p w14:paraId="2B3FBC93">
            <w:pPr>
              <w:pStyle w:val="11"/>
            </w:pPr>
          </w:p>
        </w:tc>
        <w:tc>
          <w:tcPr>
            <w:tcW w:w="3402" w:type="dxa"/>
            <w:vAlign w:val="center"/>
          </w:tcPr>
          <w:p w14:paraId="069958F4">
            <w:pPr>
              <w:pStyle w:val="12"/>
            </w:pPr>
            <w:r>
              <w:t>十一、节能环保支出</w:t>
            </w:r>
          </w:p>
        </w:tc>
        <w:tc>
          <w:tcPr>
            <w:tcW w:w="1474" w:type="dxa"/>
            <w:vAlign w:val="center"/>
          </w:tcPr>
          <w:p w14:paraId="0FF3910E">
            <w:pPr>
              <w:pStyle w:val="11"/>
            </w:pPr>
          </w:p>
        </w:tc>
        <w:tc>
          <w:tcPr>
            <w:tcW w:w="1474" w:type="dxa"/>
            <w:vAlign w:val="center"/>
          </w:tcPr>
          <w:p w14:paraId="7431D913">
            <w:pPr>
              <w:pStyle w:val="11"/>
            </w:pPr>
          </w:p>
        </w:tc>
        <w:tc>
          <w:tcPr>
            <w:tcW w:w="1474" w:type="dxa"/>
            <w:vAlign w:val="center"/>
          </w:tcPr>
          <w:p w14:paraId="58A35D21">
            <w:pPr>
              <w:pStyle w:val="11"/>
            </w:pPr>
          </w:p>
        </w:tc>
        <w:tc>
          <w:tcPr>
            <w:tcW w:w="1474" w:type="dxa"/>
            <w:vAlign w:val="center"/>
          </w:tcPr>
          <w:p w14:paraId="32335018">
            <w:pPr>
              <w:pStyle w:val="11"/>
            </w:pPr>
          </w:p>
        </w:tc>
      </w:tr>
      <w:tr w14:paraId="0E196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2B0F">
            <w:pPr>
              <w:pStyle w:val="13"/>
            </w:pPr>
            <w:r>
              <w:t>12</w:t>
            </w:r>
          </w:p>
        </w:tc>
        <w:tc>
          <w:tcPr>
            <w:tcW w:w="3402" w:type="dxa"/>
            <w:vAlign w:val="center"/>
          </w:tcPr>
          <w:p w14:paraId="2344A5CE">
            <w:pPr>
              <w:pStyle w:val="12"/>
            </w:pPr>
          </w:p>
        </w:tc>
        <w:tc>
          <w:tcPr>
            <w:tcW w:w="1474" w:type="dxa"/>
            <w:vAlign w:val="center"/>
          </w:tcPr>
          <w:p w14:paraId="6E66ABD2">
            <w:pPr>
              <w:pStyle w:val="11"/>
            </w:pPr>
          </w:p>
        </w:tc>
        <w:tc>
          <w:tcPr>
            <w:tcW w:w="3402" w:type="dxa"/>
            <w:vAlign w:val="center"/>
          </w:tcPr>
          <w:p w14:paraId="39F06B91">
            <w:pPr>
              <w:pStyle w:val="12"/>
            </w:pPr>
            <w:r>
              <w:t>十二、城乡社区支出</w:t>
            </w:r>
          </w:p>
        </w:tc>
        <w:tc>
          <w:tcPr>
            <w:tcW w:w="1474" w:type="dxa"/>
            <w:vAlign w:val="center"/>
          </w:tcPr>
          <w:p w14:paraId="02AEFF0B">
            <w:pPr>
              <w:pStyle w:val="11"/>
            </w:pPr>
          </w:p>
        </w:tc>
        <w:tc>
          <w:tcPr>
            <w:tcW w:w="1474" w:type="dxa"/>
            <w:vAlign w:val="center"/>
          </w:tcPr>
          <w:p w14:paraId="6931BF7F">
            <w:pPr>
              <w:pStyle w:val="11"/>
            </w:pPr>
          </w:p>
        </w:tc>
        <w:tc>
          <w:tcPr>
            <w:tcW w:w="1474" w:type="dxa"/>
            <w:vAlign w:val="center"/>
          </w:tcPr>
          <w:p w14:paraId="5AC6EEF9">
            <w:pPr>
              <w:pStyle w:val="11"/>
            </w:pPr>
          </w:p>
        </w:tc>
        <w:tc>
          <w:tcPr>
            <w:tcW w:w="1474" w:type="dxa"/>
            <w:vAlign w:val="center"/>
          </w:tcPr>
          <w:p w14:paraId="57334071">
            <w:pPr>
              <w:pStyle w:val="11"/>
            </w:pPr>
          </w:p>
        </w:tc>
      </w:tr>
      <w:tr w14:paraId="4BCB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3FE9">
            <w:pPr>
              <w:pStyle w:val="13"/>
            </w:pPr>
            <w:r>
              <w:t>13</w:t>
            </w:r>
          </w:p>
        </w:tc>
        <w:tc>
          <w:tcPr>
            <w:tcW w:w="3402" w:type="dxa"/>
            <w:vAlign w:val="center"/>
          </w:tcPr>
          <w:p w14:paraId="506231DD">
            <w:pPr>
              <w:pStyle w:val="12"/>
            </w:pPr>
          </w:p>
        </w:tc>
        <w:tc>
          <w:tcPr>
            <w:tcW w:w="1474" w:type="dxa"/>
            <w:vAlign w:val="center"/>
          </w:tcPr>
          <w:p w14:paraId="4FBDCAB7">
            <w:pPr>
              <w:pStyle w:val="11"/>
            </w:pPr>
          </w:p>
        </w:tc>
        <w:tc>
          <w:tcPr>
            <w:tcW w:w="3402" w:type="dxa"/>
            <w:vAlign w:val="center"/>
          </w:tcPr>
          <w:p w14:paraId="6084170E">
            <w:pPr>
              <w:pStyle w:val="12"/>
            </w:pPr>
            <w:r>
              <w:t>十三、农林水支出</w:t>
            </w:r>
          </w:p>
        </w:tc>
        <w:tc>
          <w:tcPr>
            <w:tcW w:w="1474" w:type="dxa"/>
            <w:vAlign w:val="center"/>
          </w:tcPr>
          <w:p w14:paraId="0BAE9DE5">
            <w:pPr>
              <w:pStyle w:val="11"/>
            </w:pPr>
          </w:p>
        </w:tc>
        <w:tc>
          <w:tcPr>
            <w:tcW w:w="1474" w:type="dxa"/>
            <w:vAlign w:val="center"/>
          </w:tcPr>
          <w:p w14:paraId="0E84A74B">
            <w:pPr>
              <w:pStyle w:val="11"/>
            </w:pPr>
          </w:p>
        </w:tc>
        <w:tc>
          <w:tcPr>
            <w:tcW w:w="1474" w:type="dxa"/>
            <w:vAlign w:val="center"/>
          </w:tcPr>
          <w:p w14:paraId="2DDCF289">
            <w:pPr>
              <w:pStyle w:val="11"/>
            </w:pPr>
          </w:p>
        </w:tc>
        <w:tc>
          <w:tcPr>
            <w:tcW w:w="1474" w:type="dxa"/>
            <w:vAlign w:val="center"/>
          </w:tcPr>
          <w:p w14:paraId="0978D025">
            <w:pPr>
              <w:pStyle w:val="11"/>
            </w:pPr>
          </w:p>
        </w:tc>
      </w:tr>
      <w:tr w14:paraId="707F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0D461">
            <w:pPr>
              <w:pStyle w:val="13"/>
            </w:pPr>
            <w:r>
              <w:t>14</w:t>
            </w:r>
          </w:p>
        </w:tc>
        <w:tc>
          <w:tcPr>
            <w:tcW w:w="3402" w:type="dxa"/>
            <w:vAlign w:val="center"/>
          </w:tcPr>
          <w:p w14:paraId="3F22BA97">
            <w:pPr>
              <w:pStyle w:val="12"/>
            </w:pPr>
          </w:p>
        </w:tc>
        <w:tc>
          <w:tcPr>
            <w:tcW w:w="1474" w:type="dxa"/>
            <w:vAlign w:val="center"/>
          </w:tcPr>
          <w:p w14:paraId="161040FA">
            <w:pPr>
              <w:pStyle w:val="11"/>
            </w:pPr>
          </w:p>
        </w:tc>
        <w:tc>
          <w:tcPr>
            <w:tcW w:w="3402" w:type="dxa"/>
            <w:vAlign w:val="center"/>
          </w:tcPr>
          <w:p w14:paraId="7DC113FB">
            <w:pPr>
              <w:pStyle w:val="12"/>
            </w:pPr>
            <w:r>
              <w:t>十四、交通运输支出</w:t>
            </w:r>
          </w:p>
        </w:tc>
        <w:tc>
          <w:tcPr>
            <w:tcW w:w="1474" w:type="dxa"/>
            <w:vAlign w:val="center"/>
          </w:tcPr>
          <w:p w14:paraId="6EEC411C">
            <w:pPr>
              <w:pStyle w:val="11"/>
            </w:pPr>
          </w:p>
        </w:tc>
        <w:tc>
          <w:tcPr>
            <w:tcW w:w="1474" w:type="dxa"/>
            <w:vAlign w:val="center"/>
          </w:tcPr>
          <w:p w14:paraId="7195BD1F">
            <w:pPr>
              <w:pStyle w:val="11"/>
            </w:pPr>
          </w:p>
        </w:tc>
        <w:tc>
          <w:tcPr>
            <w:tcW w:w="1474" w:type="dxa"/>
            <w:vAlign w:val="center"/>
          </w:tcPr>
          <w:p w14:paraId="269669BC">
            <w:pPr>
              <w:pStyle w:val="11"/>
            </w:pPr>
          </w:p>
        </w:tc>
        <w:tc>
          <w:tcPr>
            <w:tcW w:w="1474" w:type="dxa"/>
            <w:vAlign w:val="center"/>
          </w:tcPr>
          <w:p w14:paraId="1CA78ECA">
            <w:pPr>
              <w:pStyle w:val="11"/>
            </w:pPr>
          </w:p>
        </w:tc>
      </w:tr>
      <w:tr w14:paraId="2A9F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C5BB2">
            <w:pPr>
              <w:pStyle w:val="13"/>
            </w:pPr>
            <w:r>
              <w:t>15</w:t>
            </w:r>
          </w:p>
        </w:tc>
        <w:tc>
          <w:tcPr>
            <w:tcW w:w="3402" w:type="dxa"/>
            <w:vAlign w:val="center"/>
          </w:tcPr>
          <w:p w14:paraId="75E3B7E1">
            <w:pPr>
              <w:pStyle w:val="12"/>
            </w:pPr>
          </w:p>
        </w:tc>
        <w:tc>
          <w:tcPr>
            <w:tcW w:w="1474" w:type="dxa"/>
            <w:vAlign w:val="center"/>
          </w:tcPr>
          <w:p w14:paraId="4F2663FD">
            <w:pPr>
              <w:pStyle w:val="11"/>
            </w:pPr>
          </w:p>
        </w:tc>
        <w:tc>
          <w:tcPr>
            <w:tcW w:w="3402" w:type="dxa"/>
            <w:vAlign w:val="center"/>
          </w:tcPr>
          <w:p w14:paraId="42FC5568">
            <w:pPr>
              <w:pStyle w:val="12"/>
            </w:pPr>
            <w:r>
              <w:t>十五、资源勘探工业信息等支出</w:t>
            </w:r>
          </w:p>
        </w:tc>
        <w:tc>
          <w:tcPr>
            <w:tcW w:w="1474" w:type="dxa"/>
            <w:vAlign w:val="center"/>
          </w:tcPr>
          <w:p w14:paraId="246466FA">
            <w:pPr>
              <w:pStyle w:val="11"/>
            </w:pPr>
          </w:p>
        </w:tc>
        <w:tc>
          <w:tcPr>
            <w:tcW w:w="1474" w:type="dxa"/>
            <w:vAlign w:val="center"/>
          </w:tcPr>
          <w:p w14:paraId="23D7F1EB">
            <w:pPr>
              <w:pStyle w:val="11"/>
            </w:pPr>
          </w:p>
        </w:tc>
        <w:tc>
          <w:tcPr>
            <w:tcW w:w="1474" w:type="dxa"/>
            <w:vAlign w:val="center"/>
          </w:tcPr>
          <w:p w14:paraId="44AF2DE5">
            <w:pPr>
              <w:pStyle w:val="11"/>
            </w:pPr>
          </w:p>
        </w:tc>
        <w:tc>
          <w:tcPr>
            <w:tcW w:w="1474" w:type="dxa"/>
            <w:vAlign w:val="center"/>
          </w:tcPr>
          <w:p w14:paraId="196DFCD2">
            <w:pPr>
              <w:pStyle w:val="11"/>
            </w:pPr>
          </w:p>
        </w:tc>
      </w:tr>
      <w:tr w14:paraId="59399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0E8C0">
            <w:pPr>
              <w:pStyle w:val="13"/>
            </w:pPr>
            <w:r>
              <w:t>16</w:t>
            </w:r>
          </w:p>
        </w:tc>
        <w:tc>
          <w:tcPr>
            <w:tcW w:w="3402" w:type="dxa"/>
            <w:vAlign w:val="center"/>
          </w:tcPr>
          <w:p w14:paraId="0841DED0">
            <w:pPr>
              <w:pStyle w:val="12"/>
            </w:pPr>
          </w:p>
        </w:tc>
        <w:tc>
          <w:tcPr>
            <w:tcW w:w="1474" w:type="dxa"/>
            <w:vAlign w:val="center"/>
          </w:tcPr>
          <w:p w14:paraId="44E2CCE0">
            <w:pPr>
              <w:pStyle w:val="11"/>
            </w:pPr>
          </w:p>
        </w:tc>
        <w:tc>
          <w:tcPr>
            <w:tcW w:w="3402" w:type="dxa"/>
            <w:vAlign w:val="center"/>
          </w:tcPr>
          <w:p w14:paraId="39169703">
            <w:pPr>
              <w:pStyle w:val="12"/>
            </w:pPr>
            <w:r>
              <w:t>十六、商业服务业等支出</w:t>
            </w:r>
          </w:p>
        </w:tc>
        <w:tc>
          <w:tcPr>
            <w:tcW w:w="1474" w:type="dxa"/>
            <w:vAlign w:val="center"/>
          </w:tcPr>
          <w:p w14:paraId="6DE0EAAD">
            <w:pPr>
              <w:pStyle w:val="11"/>
            </w:pPr>
          </w:p>
        </w:tc>
        <w:tc>
          <w:tcPr>
            <w:tcW w:w="1474" w:type="dxa"/>
            <w:vAlign w:val="center"/>
          </w:tcPr>
          <w:p w14:paraId="7383918D">
            <w:pPr>
              <w:pStyle w:val="11"/>
            </w:pPr>
          </w:p>
        </w:tc>
        <w:tc>
          <w:tcPr>
            <w:tcW w:w="1474" w:type="dxa"/>
            <w:vAlign w:val="center"/>
          </w:tcPr>
          <w:p w14:paraId="327D9CFA">
            <w:pPr>
              <w:pStyle w:val="11"/>
            </w:pPr>
          </w:p>
        </w:tc>
        <w:tc>
          <w:tcPr>
            <w:tcW w:w="1474" w:type="dxa"/>
            <w:vAlign w:val="center"/>
          </w:tcPr>
          <w:p w14:paraId="05270A57">
            <w:pPr>
              <w:pStyle w:val="11"/>
            </w:pPr>
          </w:p>
        </w:tc>
      </w:tr>
      <w:tr w14:paraId="2F4D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E9F34">
            <w:pPr>
              <w:pStyle w:val="13"/>
            </w:pPr>
            <w:r>
              <w:t>17</w:t>
            </w:r>
          </w:p>
        </w:tc>
        <w:tc>
          <w:tcPr>
            <w:tcW w:w="3402" w:type="dxa"/>
            <w:vAlign w:val="center"/>
          </w:tcPr>
          <w:p w14:paraId="40D14BA2">
            <w:pPr>
              <w:pStyle w:val="12"/>
            </w:pPr>
          </w:p>
        </w:tc>
        <w:tc>
          <w:tcPr>
            <w:tcW w:w="1474" w:type="dxa"/>
            <w:vAlign w:val="center"/>
          </w:tcPr>
          <w:p w14:paraId="17938A0D">
            <w:pPr>
              <w:pStyle w:val="11"/>
            </w:pPr>
          </w:p>
        </w:tc>
        <w:tc>
          <w:tcPr>
            <w:tcW w:w="3402" w:type="dxa"/>
            <w:vAlign w:val="center"/>
          </w:tcPr>
          <w:p w14:paraId="0D566081">
            <w:pPr>
              <w:pStyle w:val="12"/>
            </w:pPr>
            <w:r>
              <w:t>十七、金融支出</w:t>
            </w:r>
          </w:p>
        </w:tc>
        <w:tc>
          <w:tcPr>
            <w:tcW w:w="1474" w:type="dxa"/>
            <w:vAlign w:val="center"/>
          </w:tcPr>
          <w:p w14:paraId="4064EBBC">
            <w:pPr>
              <w:pStyle w:val="11"/>
            </w:pPr>
          </w:p>
        </w:tc>
        <w:tc>
          <w:tcPr>
            <w:tcW w:w="1474" w:type="dxa"/>
            <w:vAlign w:val="center"/>
          </w:tcPr>
          <w:p w14:paraId="2564D03D">
            <w:pPr>
              <w:pStyle w:val="11"/>
            </w:pPr>
          </w:p>
        </w:tc>
        <w:tc>
          <w:tcPr>
            <w:tcW w:w="1474" w:type="dxa"/>
            <w:vAlign w:val="center"/>
          </w:tcPr>
          <w:p w14:paraId="3A4B3F76">
            <w:pPr>
              <w:pStyle w:val="11"/>
            </w:pPr>
          </w:p>
        </w:tc>
        <w:tc>
          <w:tcPr>
            <w:tcW w:w="1474" w:type="dxa"/>
            <w:vAlign w:val="center"/>
          </w:tcPr>
          <w:p w14:paraId="7B2CA536">
            <w:pPr>
              <w:pStyle w:val="11"/>
            </w:pPr>
          </w:p>
        </w:tc>
      </w:tr>
      <w:tr w14:paraId="4AA75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D6932">
            <w:pPr>
              <w:pStyle w:val="13"/>
            </w:pPr>
            <w:r>
              <w:t>18</w:t>
            </w:r>
          </w:p>
        </w:tc>
        <w:tc>
          <w:tcPr>
            <w:tcW w:w="3402" w:type="dxa"/>
            <w:vAlign w:val="center"/>
          </w:tcPr>
          <w:p w14:paraId="17A19EEA">
            <w:pPr>
              <w:pStyle w:val="12"/>
            </w:pPr>
          </w:p>
        </w:tc>
        <w:tc>
          <w:tcPr>
            <w:tcW w:w="1474" w:type="dxa"/>
            <w:vAlign w:val="center"/>
          </w:tcPr>
          <w:p w14:paraId="126BAF06">
            <w:pPr>
              <w:pStyle w:val="11"/>
            </w:pPr>
          </w:p>
        </w:tc>
        <w:tc>
          <w:tcPr>
            <w:tcW w:w="3402" w:type="dxa"/>
            <w:vAlign w:val="center"/>
          </w:tcPr>
          <w:p w14:paraId="2D202750">
            <w:pPr>
              <w:pStyle w:val="12"/>
            </w:pPr>
            <w:r>
              <w:t>十八、援助其他地区支出</w:t>
            </w:r>
          </w:p>
        </w:tc>
        <w:tc>
          <w:tcPr>
            <w:tcW w:w="1474" w:type="dxa"/>
            <w:vAlign w:val="center"/>
          </w:tcPr>
          <w:p w14:paraId="46484430">
            <w:pPr>
              <w:pStyle w:val="11"/>
            </w:pPr>
          </w:p>
        </w:tc>
        <w:tc>
          <w:tcPr>
            <w:tcW w:w="1474" w:type="dxa"/>
            <w:vAlign w:val="center"/>
          </w:tcPr>
          <w:p w14:paraId="411B6C38">
            <w:pPr>
              <w:pStyle w:val="11"/>
            </w:pPr>
          </w:p>
        </w:tc>
        <w:tc>
          <w:tcPr>
            <w:tcW w:w="1474" w:type="dxa"/>
            <w:vAlign w:val="center"/>
          </w:tcPr>
          <w:p w14:paraId="1713C6D4">
            <w:pPr>
              <w:pStyle w:val="11"/>
            </w:pPr>
          </w:p>
        </w:tc>
        <w:tc>
          <w:tcPr>
            <w:tcW w:w="1474" w:type="dxa"/>
            <w:vAlign w:val="center"/>
          </w:tcPr>
          <w:p w14:paraId="6F0A37F0">
            <w:pPr>
              <w:pStyle w:val="11"/>
            </w:pPr>
          </w:p>
        </w:tc>
      </w:tr>
      <w:tr w14:paraId="1A39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115E">
            <w:pPr>
              <w:pStyle w:val="13"/>
            </w:pPr>
            <w:r>
              <w:t>19</w:t>
            </w:r>
          </w:p>
        </w:tc>
        <w:tc>
          <w:tcPr>
            <w:tcW w:w="3402" w:type="dxa"/>
            <w:vAlign w:val="center"/>
          </w:tcPr>
          <w:p w14:paraId="34C0FA5F">
            <w:pPr>
              <w:pStyle w:val="12"/>
            </w:pPr>
          </w:p>
        </w:tc>
        <w:tc>
          <w:tcPr>
            <w:tcW w:w="1474" w:type="dxa"/>
            <w:vAlign w:val="center"/>
          </w:tcPr>
          <w:p w14:paraId="16B67059">
            <w:pPr>
              <w:pStyle w:val="11"/>
            </w:pPr>
          </w:p>
        </w:tc>
        <w:tc>
          <w:tcPr>
            <w:tcW w:w="3402" w:type="dxa"/>
            <w:vAlign w:val="center"/>
          </w:tcPr>
          <w:p w14:paraId="52013C96">
            <w:pPr>
              <w:pStyle w:val="12"/>
            </w:pPr>
            <w:r>
              <w:t>十九、自然资源海洋气象等支出</w:t>
            </w:r>
          </w:p>
        </w:tc>
        <w:tc>
          <w:tcPr>
            <w:tcW w:w="1474" w:type="dxa"/>
            <w:vAlign w:val="center"/>
          </w:tcPr>
          <w:p w14:paraId="18CACCB2">
            <w:pPr>
              <w:pStyle w:val="11"/>
            </w:pPr>
          </w:p>
        </w:tc>
        <w:tc>
          <w:tcPr>
            <w:tcW w:w="1474" w:type="dxa"/>
            <w:vAlign w:val="center"/>
          </w:tcPr>
          <w:p w14:paraId="3FD81E3A">
            <w:pPr>
              <w:pStyle w:val="11"/>
            </w:pPr>
          </w:p>
        </w:tc>
        <w:tc>
          <w:tcPr>
            <w:tcW w:w="1474" w:type="dxa"/>
            <w:vAlign w:val="center"/>
          </w:tcPr>
          <w:p w14:paraId="307BFAC3">
            <w:pPr>
              <w:pStyle w:val="11"/>
            </w:pPr>
          </w:p>
        </w:tc>
        <w:tc>
          <w:tcPr>
            <w:tcW w:w="1474" w:type="dxa"/>
            <w:vAlign w:val="center"/>
          </w:tcPr>
          <w:p w14:paraId="13E1EA24">
            <w:pPr>
              <w:pStyle w:val="11"/>
            </w:pPr>
          </w:p>
        </w:tc>
      </w:tr>
      <w:tr w14:paraId="6242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6B71">
            <w:pPr>
              <w:pStyle w:val="13"/>
            </w:pPr>
            <w:r>
              <w:t>20</w:t>
            </w:r>
          </w:p>
        </w:tc>
        <w:tc>
          <w:tcPr>
            <w:tcW w:w="3402" w:type="dxa"/>
            <w:vAlign w:val="center"/>
          </w:tcPr>
          <w:p w14:paraId="4163DC65">
            <w:pPr>
              <w:pStyle w:val="12"/>
            </w:pPr>
          </w:p>
        </w:tc>
        <w:tc>
          <w:tcPr>
            <w:tcW w:w="1474" w:type="dxa"/>
            <w:vAlign w:val="center"/>
          </w:tcPr>
          <w:p w14:paraId="3F4FCF48">
            <w:pPr>
              <w:pStyle w:val="11"/>
            </w:pPr>
          </w:p>
        </w:tc>
        <w:tc>
          <w:tcPr>
            <w:tcW w:w="3402" w:type="dxa"/>
            <w:vAlign w:val="center"/>
          </w:tcPr>
          <w:p w14:paraId="610D6826">
            <w:pPr>
              <w:pStyle w:val="12"/>
            </w:pPr>
            <w:r>
              <w:t>二十、住房保障支出</w:t>
            </w:r>
          </w:p>
        </w:tc>
        <w:tc>
          <w:tcPr>
            <w:tcW w:w="1474" w:type="dxa"/>
            <w:vAlign w:val="center"/>
          </w:tcPr>
          <w:p w14:paraId="5CAAFB89">
            <w:pPr>
              <w:pStyle w:val="11"/>
            </w:pPr>
          </w:p>
        </w:tc>
        <w:tc>
          <w:tcPr>
            <w:tcW w:w="1474" w:type="dxa"/>
            <w:vAlign w:val="center"/>
          </w:tcPr>
          <w:p w14:paraId="550A5A65">
            <w:pPr>
              <w:pStyle w:val="11"/>
            </w:pPr>
          </w:p>
        </w:tc>
        <w:tc>
          <w:tcPr>
            <w:tcW w:w="1474" w:type="dxa"/>
            <w:vAlign w:val="center"/>
          </w:tcPr>
          <w:p w14:paraId="6DDAFD14">
            <w:pPr>
              <w:pStyle w:val="11"/>
            </w:pPr>
          </w:p>
        </w:tc>
        <w:tc>
          <w:tcPr>
            <w:tcW w:w="1474" w:type="dxa"/>
            <w:vAlign w:val="center"/>
          </w:tcPr>
          <w:p w14:paraId="7075555A">
            <w:pPr>
              <w:pStyle w:val="11"/>
            </w:pPr>
          </w:p>
        </w:tc>
      </w:tr>
      <w:tr w14:paraId="50E5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4EE0">
            <w:pPr>
              <w:pStyle w:val="13"/>
            </w:pPr>
            <w:r>
              <w:t>21</w:t>
            </w:r>
          </w:p>
        </w:tc>
        <w:tc>
          <w:tcPr>
            <w:tcW w:w="3402" w:type="dxa"/>
            <w:vAlign w:val="center"/>
          </w:tcPr>
          <w:p w14:paraId="5A9D98EC">
            <w:pPr>
              <w:pStyle w:val="12"/>
            </w:pPr>
          </w:p>
        </w:tc>
        <w:tc>
          <w:tcPr>
            <w:tcW w:w="1474" w:type="dxa"/>
            <w:vAlign w:val="center"/>
          </w:tcPr>
          <w:p w14:paraId="4360D8D6">
            <w:pPr>
              <w:pStyle w:val="11"/>
            </w:pPr>
          </w:p>
        </w:tc>
        <w:tc>
          <w:tcPr>
            <w:tcW w:w="3402" w:type="dxa"/>
            <w:vAlign w:val="center"/>
          </w:tcPr>
          <w:p w14:paraId="74A8B1FA">
            <w:pPr>
              <w:pStyle w:val="12"/>
            </w:pPr>
            <w:r>
              <w:t>二十一、粮油物资储备支出</w:t>
            </w:r>
          </w:p>
        </w:tc>
        <w:tc>
          <w:tcPr>
            <w:tcW w:w="1474" w:type="dxa"/>
            <w:vAlign w:val="center"/>
          </w:tcPr>
          <w:p w14:paraId="3C677535">
            <w:pPr>
              <w:pStyle w:val="11"/>
            </w:pPr>
          </w:p>
        </w:tc>
        <w:tc>
          <w:tcPr>
            <w:tcW w:w="1474" w:type="dxa"/>
            <w:vAlign w:val="center"/>
          </w:tcPr>
          <w:p w14:paraId="60D1A018">
            <w:pPr>
              <w:pStyle w:val="11"/>
            </w:pPr>
          </w:p>
        </w:tc>
        <w:tc>
          <w:tcPr>
            <w:tcW w:w="1474" w:type="dxa"/>
            <w:vAlign w:val="center"/>
          </w:tcPr>
          <w:p w14:paraId="5AAD2215">
            <w:pPr>
              <w:pStyle w:val="11"/>
            </w:pPr>
          </w:p>
        </w:tc>
        <w:tc>
          <w:tcPr>
            <w:tcW w:w="1474" w:type="dxa"/>
            <w:vAlign w:val="center"/>
          </w:tcPr>
          <w:p w14:paraId="439CBA27">
            <w:pPr>
              <w:pStyle w:val="11"/>
            </w:pPr>
          </w:p>
        </w:tc>
      </w:tr>
      <w:tr w14:paraId="67E3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DDEF">
            <w:pPr>
              <w:pStyle w:val="13"/>
            </w:pPr>
            <w:r>
              <w:t>22</w:t>
            </w:r>
          </w:p>
        </w:tc>
        <w:tc>
          <w:tcPr>
            <w:tcW w:w="3402" w:type="dxa"/>
            <w:vAlign w:val="center"/>
          </w:tcPr>
          <w:p w14:paraId="2EFE217A">
            <w:pPr>
              <w:pStyle w:val="12"/>
            </w:pPr>
          </w:p>
        </w:tc>
        <w:tc>
          <w:tcPr>
            <w:tcW w:w="1474" w:type="dxa"/>
            <w:vAlign w:val="center"/>
          </w:tcPr>
          <w:p w14:paraId="6F645D21">
            <w:pPr>
              <w:pStyle w:val="11"/>
            </w:pPr>
          </w:p>
        </w:tc>
        <w:tc>
          <w:tcPr>
            <w:tcW w:w="3402" w:type="dxa"/>
            <w:vAlign w:val="center"/>
          </w:tcPr>
          <w:p w14:paraId="4F2F2876">
            <w:pPr>
              <w:pStyle w:val="12"/>
            </w:pPr>
            <w:r>
              <w:t>二十二、国有资本经营预算支出</w:t>
            </w:r>
          </w:p>
        </w:tc>
        <w:tc>
          <w:tcPr>
            <w:tcW w:w="1474" w:type="dxa"/>
            <w:vAlign w:val="center"/>
          </w:tcPr>
          <w:p w14:paraId="6271CE52">
            <w:pPr>
              <w:pStyle w:val="11"/>
            </w:pPr>
          </w:p>
        </w:tc>
        <w:tc>
          <w:tcPr>
            <w:tcW w:w="1474" w:type="dxa"/>
            <w:vAlign w:val="center"/>
          </w:tcPr>
          <w:p w14:paraId="7027CDD2">
            <w:pPr>
              <w:pStyle w:val="11"/>
            </w:pPr>
          </w:p>
        </w:tc>
        <w:tc>
          <w:tcPr>
            <w:tcW w:w="1474" w:type="dxa"/>
            <w:vAlign w:val="center"/>
          </w:tcPr>
          <w:p w14:paraId="75B60F6C">
            <w:pPr>
              <w:pStyle w:val="11"/>
            </w:pPr>
          </w:p>
        </w:tc>
        <w:tc>
          <w:tcPr>
            <w:tcW w:w="1474" w:type="dxa"/>
            <w:vAlign w:val="center"/>
          </w:tcPr>
          <w:p w14:paraId="4AA8C6B0">
            <w:pPr>
              <w:pStyle w:val="11"/>
            </w:pPr>
          </w:p>
        </w:tc>
      </w:tr>
      <w:tr w14:paraId="3A7BDA6B">
        <w:tblPrEx>
          <w:tblCellMar>
            <w:top w:w="0" w:type="dxa"/>
            <w:left w:w="108" w:type="dxa"/>
            <w:bottom w:w="0" w:type="dxa"/>
            <w:right w:w="108" w:type="dxa"/>
          </w:tblCellMar>
        </w:tblPrEx>
        <w:trPr>
          <w:trHeight w:val="369" w:hRule="atLeast"/>
          <w:jc w:val="center"/>
        </w:trPr>
        <w:tc>
          <w:tcPr>
            <w:tcW w:w="850" w:type="dxa"/>
            <w:vAlign w:val="center"/>
          </w:tcPr>
          <w:p w14:paraId="56ACE9DF">
            <w:pPr>
              <w:pStyle w:val="13"/>
            </w:pPr>
            <w:r>
              <w:t>23</w:t>
            </w:r>
          </w:p>
        </w:tc>
        <w:tc>
          <w:tcPr>
            <w:tcW w:w="3402" w:type="dxa"/>
            <w:vAlign w:val="center"/>
          </w:tcPr>
          <w:p w14:paraId="3F53C607">
            <w:pPr>
              <w:pStyle w:val="12"/>
            </w:pPr>
          </w:p>
        </w:tc>
        <w:tc>
          <w:tcPr>
            <w:tcW w:w="1474" w:type="dxa"/>
            <w:vAlign w:val="center"/>
          </w:tcPr>
          <w:p w14:paraId="3E9FE414">
            <w:pPr>
              <w:pStyle w:val="11"/>
            </w:pPr>
          </w:p>
        </w:tc>
        <w:tc>
          <w:tcPr>
            <w:tcW w:w="3402" w:type="dxa"/>
            <w:vAlign w:val="center"/>
          </w:tcPr>
          <w:p w14:paraId="6FAE5704">
            <w:pPr>
              <w:pStyle w:val="12"/>
            </w:pPr>
            <w:r>
              <w:t>二十三、灾害防治及应急管理支出</w:t>
            </w:r>
          </w:p>
        </w:tc>
        <w:tc>
          <w:tcPr>
            <w:tcW w:w="1474" w:type="dxa"/>
            <w:vAlign w:val="center"/>
          </w:tcPr>
          <w:p w14:paraId="14A463CE">
            <w:pPr>
              <w:pStyle w:val="11"/>
            </w:pPr>
          </w:p>
        </w:tc>
        <w:tc>
          <w:tcPr>
            <w:tcW w:w="1474" w:type="dxa"/>
            <w:vAlign w:val="center"/>
          </w:tcPr>
          <w:p w14:paraId="13D3D1AB">
            <w:pPr>
              <w:pStyle w:val="11"/>
            </w:pPr>
          </w:p>
        </w:tc>
        <w:tc>
          <w:tcPr>
            <w:tcW w:w="1474" w:type="dxa"/>
            <w:vAlign w:val="center"/>
          </w:tcPr>
          <w:p w14:paraId="59376A1A">
            <w:pPr>
              <w:pStyle w:val="11"/>
            </w:pPr>
          </w:p>
        </w:tc>
        <w:tc>
          <w:tcPr>
            <w:tcW w:w="1474" w:type="dxa"/>
            <w:vAlign w:val="center"/>
          </w:tcPr>
          <w:p w14:paraId="1ADA8CE2">
            <w:pPr>
              <w:pStyle w:val="11"/>
            </w:pPr>
          </w:p>
        </w:tc>
      </w:tr>
      <w:tr w14:paraId="58DD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8987">
            <w:pPr>
              <w:pStyle w:val="13"/>
            </w:pPr>
            <w:r>
              <w:t>24</w:t>
            </w:r>
          </w:p>
        </w:tc>
        <w:tc>
          <w:tcPr>
            <w:tcW w:w="3402" w:type="dxa"/>
            <w:vAlign w:val="center"/>
          </w:tcPr>
          <w:p w14:paraId="13BC6566">
            <w:pPr>
              <w:pStyle w:val="12"/>
            </w:pPr>
          </w:p>
        </w:tc>
        <w:tc>
          <w:tcPr>
            <w:tcW w:w="1474" w:type="dxa"/>
            <w:vAlign w:val="center"/>
          </w:tcPr>
          <w:p w14:paraId="3D410E91">
            <w:pPr>
              <w:pStyle w:val="11"/>
            </w:pPr>
          </w:p>
        </w:tc>
        <w:tc>
          <w:tcPr>
            <w:tcW w:w="3402" w:type="dxa"/>
            <w:vAlign w:val="center"/>
          </w:tcPr>
          <w:p w14:paraId="59B5D811">
            <w:pPr>
              <w:pStyle w:val="12"/>
            </w:pPr>
            <w:r>
              <w:t>二十四、预备费</w:t>
            </w:r>
          </w:p>
        </w:tc>
        <w:tc>
          <w:tcPr>
            <w:tcW w:w="1474" w:type="dxa"/>
            <w:vAlign w:val="center"/>
          </w:tcPr>
          <w:p w14:paraId="341B653D">
            <w:pPr>
              <w:pStyle w:val="11"/>
            </w:pPr>
          </w:p>
        </w:tc>
        <w:tc>
          <w:tcPr>
            <w:tcW w:w="1474" w:type="dxa"/>
            <w:vAlign w:val="center"/>
          </w:tcPr>
          <w:p w14:paraId="2CF85F1F">
            <w:pPr>
              <w:pStyle w:val="11"/>
            </w:pPr>
          </w:p>
        </w:tc>
        <w:tc>
          <w:tcPr>
            <w:tcW w:w="1474" w:type="dxa"/>
            <w:vAlign w:val="center"/>
          </w:tcPr>
          <w:p w14:paraId="006BEF59">
            <w:pPr>
              <w:pStyle w:val="11"/>
            </w:pPr>
          </w:p>
        </w:tc>
        <w:tc>
          <w:tcPr>
            <w:tcW w:w="1474" w:type="dxa"/>
            <w:vAlign w:val="center"/>
          </w:tcPr>
          <w:p w14:paraId="6CB44051">
            <w:pPr>
              <w:pStyle w:val="11"/>
            </w:pPr>
          </w:p>
        </w:tc>
      </w:tr>
      <w:tr w14:paraId="7C677B43">
        <w:tblPrEx>
          <w:tblCellMar>
            <w:top w:w="0" w:type="dxa"/>
            <w:left w:w="108" w:type="dxa"/>
            <w:bottom w:w="0" w:type="dxa"/>
            <w:right w:w="108" w:type="dxa"/>
          </w:tblCellMar>
        </w:tblPrEx>
        <w:trPr>
          <w:trHeight w:val="369" w:hRule="atLeast"/>
          <w:jc w:val="center"/>
        </w:trPr>
        <w:tc>
          <w:tcPr>
            <w:tcW w:w="850" w:type="dxa"/>
            <w:vAlign w:val="center"/>
          </w:tcPr>
          <w:p w14:paraId="396C77B5">
            <w:pPr>
              <w:pStyle w:val="13"/>
            </w:pPr>
            <w:r>
              <w:t>25</w:t>
            </w:r>
          </w:p>
        </w:tc>
        <w:tc>
          <w:tcPr>
            <w:tcW w:w="3402" w:type="dxa"/>
            <w:vAlign w:val="center"/>
          </w:tcPr>
          <w:p w14:paraId="36650A9E">
            <w:pPr>
              <w:pStyle w:val="12"/>
            </w:pPr>
          </w:p>
        </w:tc>
        <w:tc>
          <w:tcPr>
            <w:tcW w:w="1474" w:type="dxa"/>
            <w:vAlign w:val="center"/>
          </w:tcPr>
          <w:p w14:paraId="13791976">
            <w:pPr>
              <w:pStyle w:val="11"/>
            </w:pPr>
          </w:p>
        </w:tc>
        <w:tc>
          <w:tcPr>
            <w:tcW w:w="3402" w:type="dxa"/>
            <w:vAlign w:val="center"/>
          </w:tcPr>
          <w:p w14:paraId="40E44F53">
            <w:pPr>
              <w:pStyle w:val="12"/>
            </w:pPr>
            <w:r>
              <w:t>二十五、其他支出</w:t>
            </w:r>
          </w:p>
        </w:tc>
        <w:tc>
          <w:tcPr>
            <w:tcW w:w="1474" w:type="dxa"/>
            <w:vAlign w:val="center"/>
          </w:tcPr>
          <w:p w14:paraId="0DBF8ED2">
            <w:pPr>
              <w:pStyle w:val="11"/>
            </w:pPr>
          </w:p>
        </w:tc>
        <w:tc>
          <w:tcPr>
            <w:tcW w:w="1474" w:type="dxa"/>
            <w:vAlign w:val="center"/>
          </w:tcPr>
          <w:p w14:paraId="38D9AA62">
            <w:pPr>
              <w:pStyle w:val="11"/>
            </w:pPr>
          </w:p>
        </w:tc>
        <w:tc>
          <w:tcPr>
            <w:tcW w:w="1474" w:type="dxa"/>
            <w:vAlign w:val="center"/>
          </w:tcPr>
          <w:p w14:paraId="024504F6">
            <w:pPr>
              <w:pStyle w:val="11"/>
            </w:pPr>
          </w:p>
        </w:tc>
        <w:tc>
          <w:tcPr>
            <w:tcW w:w="1474" w:type="dxa"/>
            <w:vAlign w:val="center"/>
          </w:tcPr>
          <w:p w14:paraId="752E784D">
            <w:pPr>
              <w:pStyle w:val="11"/>
            </w:pPr>
          </w:p>
        </w:tc>
      </w:tr>
      <w:tr w14:paraId="721099D6">
        <w:tblPrEx>
          <w:tblCellMar>
            <w:top w:w="0" w:type="dxa"/>
            <w:left w:w="108" w:type="dxa"/>
            <w:bottom w:w="0" w:type="dxa"/>
            <w:right w:w="108" w:type="dxa"/>
          </w:tblCellMar>
        </w:tblPrEx>
        <w:trPr>
          <w:trHeight w:val="369" w:hRule="atLeast"/>
          <w:jc w:val="center"/>
        </w:trPr>
        <w:tc>
          <w:tcPr>
            <w:tcW w:w="850" w:type="dxa"/>
            <w:vAlign w:val="center"/>
          </w:tcPr>
          <w:p w14:paraId="70D5DFAE">
            <w:pPr>
              <w:pStyle w:val="13"/>
            </w:pPr>
            <w:r>
              <w:t>26</w:t>
            </w:r>
          </w:p>
        </w:tc>
        <w:tc>
          <w:tcPr>
            <w:tcW w:w="3402" w:type="dxa"/>
            <w:vAlign w:val="center"/>
          </w:tcPr>
          <w:p w14:paraId="751D7BE9">
            <w:pPr>
              <w:pStyle w:val="12"/>
            </w:pPr>
          </w:p>
        </w:tc>
        <w:tc>
          <w:tcPr>
            <w:tcW w:w="1474" w:type="dxa"/>
            <w:vAlign w:val="center"/>
          </w:tcPr>
          <w:p w14:paraId="5DCD6740">
            <w:pPr>
              <w:pStyle w:val="11"/>
            </w:pPr>
          </w:p>
        </w:tc>
        <w:tc>
          <w:tcPr>
            <w:tcW w:w="3402" w:type="dxa"/>
            <w:vAlign w:val="center"/>
          </w:tcPr>
          <w:p w14:paraId="2C517648">
            <w:pPr>
              <w:pStyle w:val="12"/>
            </w:pPr>
            <w:r>
              <w:t>二十六、转移性支出</w:t>
            </w:r>
          </w:p>
        </w:tc>
        <w:tc>
          <w:tcPr>
            <w:tcW w:w="1474" w:type="dxa"/>
            <w:vAlign w:val="center"/>
          </w:tcPr>
          <w:p w14:paraId="78AE086F">
            <w:pPr>
              <w:pStyle w:val="11"/>
            </w:pPr>
          </w:p>
        </w:tc>
        <w:tc>
          <w:tcPr>
            <w:tcW w:w="1474" w:type="dxa"/>
            <w:vAlign w:val="center"/>
          </w:tcPr>
          <w:p w14:paraId="20ECE7BE">
            <w:pPr>
              <w:pStyle w:val="11"/>
            </w:pPr>
          </w:p>
        </w:tc>
        <w:tc>
          <w:tcPr>
            <w:tcW w:w="1474" w:type="dxa"/>
            <w:vAlign w:val="center"/>
          </w:tcPr>
          <w:p w14:paraId="365B086F">
            <w:pPr>
              <w:pStyle w:val="11"/>
            </w:pPr>
          </w:p>
        </w:tc>
        <w:tc>
          <w:tcPr>
            <w:tcW w:w="1474" w:type="dxa"/>
            <w:vAlign w:val="center"/>
          </w:tcPr>
          <w:p w14:paraId="15777EA0">
            <w:pPr>
              <w:pStyle w:val="11"/>
            </w:pPr>
          </w:p>
        </w:tc>
      </w:tr>
      <w:tr w14:paraId="7189D02B">
        <w:tblPrEx>
          <w:tblCellMar>
            <w:top w:w="0" w:type="dxa"/>
            <w:left w:w="108" w:type="dxa"/>
            <w:bottom w:w="0" w:type="dxa"/>
            <w:right w:w="108" w:type="dxa"/>
          </w:tblCellMar>
        </w:tblPrEx>
        <w:trPr>
          <w:trHeight w:val="369" w:hRule="atLeast"/>
          <w:jc w:val="center"/>
        </w:trPr>
        <w:tc>
          <w:tcPr>
            <w:tcW w:w="850" w:type="dxa"/>
            <w:vAlign w:val="center"/>
          </w:tcPr>
          <w:p w14:paraId="6A6138C1">
            <w:pPr>
              <w:pStyle w:val="13"/>
            </w:pPr>
            <w:r>
              <w:t>27</w:t>
            </w:r>
          </w:p>
        </w:tc>
        <w:tc>
          <w:tcPr>
            <w:tcW w:w="3402" w:type="dxa"/>
            <w:vAlign w:val="center"/>
          </w:tcPr>
          <w:p w14:paraId="7D2BF696">
            <w:pPr>
              <w:pStyle w:val="12"/>
            </w:pPr>
          </w:p>
        </w:tc>
        <w:tc>
          <w:tcPr>
            <w:tcW w:w="1474" w:type="dxa"/>
            <w:vAlign w:val="center"/>
          </w:tcPr>
          <w:p w14:paraId="0EA899CB">
            <w:pPr>
              <w:pStyle w:val="11"/>
            </w:pPr>
          </w:p>
        </w:tc>
        <w:tc>
          <w:tcPr>
            <w:tcW w:w="3402" w:type="dxa"/>
            <w:vAlign w:val="center"/>
          </w:tcPr>
          <w:p w14:paraId="36CC2517">
            <w:pPr>
              <w:pStyle w:val="12"/>
            </w:pPr>
            <w:r>
              <w:t>二十七、债务还本支出</w:t>
            </w:r>
          </w:p>
        </w:tc>
        <w:tc>
          <w:tcPr>
            <w:tcW w:w="1474" w:type="dxa"/>
            <w:vAlign w:val="center"/>
          </w:tcPr>
          <w:p w14:paraId="633D061D">
            <w:pPr>
              <w:pStyle w:val="11"/>
            </w:pPr>
          </w:p>
        </w:tc>
        <w:tc>
          <w:tcPr>
            <w:tcW w:w="1474" w:type="dxa"/>
            <w:vAlign w:val="center"/>
          </w:tcPr>
          <w:p w14:paraId="7F888724">
            <w:pPr>
              <w:pStyle w:val="11"/>
            </w:pPr>
          </w:p>
        </w:tc>
        <w:tc>
          <w:tcPr>
            <w:tcW w:w="1474" w:type="dxa"/>
            <w:vAlign w:val="center"/>
          </w:tcPr>
          <w:p w14:paraId="1122748D">
            <w:pPr>
              <w:pStyle w:val="11"/>
            </w:pPr>
          </w:p>
        </w:tc>
        <w:tc>
          <w:tcPr>
            <w:tcW w:w="1474" w:type="dxa"/>
            <w:vAlign w:val="center"/>
          </w:tcPr>
          <w:p w14:paraId="515F8369">
            <w:pPr>
              <w:pStyle w:val="11"/>
            </w:pPr>
          </w:p>
        </w:tc>
      </w:tr>
      <w:tr w14:paraId="38460233">
        <w:tblPrEx>
          <w:tblCellMar>
            <w:top w:w="0" w:type="dxa"/>
            <w:left w:w="108" w:type="dxa"/>
            <w:bottom w:w="0" w:type="dxa"/>
            <w:right w:w="108" w:type="dxa"/>
          </w:tblCellMar>
        </w:tblPrEx>
        <w:trPr>
          <w:trHeight w:val="369" w:hRule="atLeast"/>
          <w:jc w:val="center"/>
        </w:trPr>
        <w:tc>
          <w:tcPr>
            <w:tcW w:w="850" w:type="dxa"/>
            <w:vAlign w:val="center"/>
          </w:tcPr>
          <w:p w14:paraId="33D10F6C">
            <w:pPr>
              <w:pStyle w:val="13"/>
            </w:pPr>
            <w:r>
              <w:t>28</w:t>
            </w:r>
          </w:p>
        </w:tc>
        <w:tc>
          <w:tcPr>
            <w:tcW w:w="3402" w:type="dxa"/>
            <w:vAlign w:val="center"/>
          </w:tcPr>
          <w:p w14:paraId="4AB605AC">
            <w:pPr>
              <w:pStyle w:val="12"/>
            </w:pPr>
          </w:p>
        </w:tc>
        <w:tc>
          <w:tcPr>
            <w:tcW w:w="1474" w:type="dxa"/>
            <w:vAlign w:val="center"/>
          </w:tcPr>
          <w:p w14:paraId="702E25E8">
            <w:pPr>
              <w:pStyle w:val="11"/>
            </w:pPr>
          </w:p>
        </w:tc>
        <w:tc>
          <w:tcPr>
            <w:tcW w:w="3402" w:type="dxa"/>
            <w:vAlign w:val="center"/>
          </w:tcPr>
          <w:p w14:paraId="1629C5D3">
            <w:pPr>
              <w:pStyle w:val="12"/>
            </w:pPr>
            <w:r>
              <w:t>二十八、债务付息支出</w:t>
            </w:r>
          </w:p>
        </w:tc>
        <w:tc>
          <w:tcPr>
            <w:tcW w:w="1474" w:type="dxa"/>
            <w:vAlign w:val="center"/>
          </w:tcPr>
          <w:p w14:paraId="4C500687">
            <w:pPr>
              <w:pStyle w:val="11"/>
            </w:pPr>
          </w:p>
        </w:tc>
        <w:tc>
          <w:tcPr>
            <w:tcW w:w="1474" w:type="dxa"/>
            <w:vAlign w:val="center"/>
          </w:tcPr>
          <w:p w14:paraId="0CA600B0">
            <w:pPr>
              <w:pStyle w:val="11"/>
            </w:pPr>
          </w:p>
        </w:tc>
        <w:tc>
          <w:tcPr>
            <w:tcW w:w="1474" w:type="dxa"/>
            <w:vAlign w:val="center"/>
          </w:tcPr>
          <w:p w14:paraId="546CFF5B">
            <w:pPr>
              <w:pStyle w:val="11"/>
            </w:pPr>
          </w:p>
        </w:tc>
        <w:tc>
          <w:tcPr>
            <w:tcW w:w="1474" w:type="dxa"/>
            <w:vAlign w:val="center"/>
          </w:tcPr>
          <w:p w14:paraId="36B7B876">
            <w:pPr>
              <w:pStyle w:val="11"/>
            </w:pPr>
          </w:p>
        </w:tc>
      </w:tr>
      <w:tr w14:paraId="0B48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91C20">
            <w:pPr>
              <w:pStyle w:val="13"/>
            </w:pPr>
            <w:r>
              <w:t>29</w:t>
            </w:r>
          </w:p>
        </w:tc>
        <w:tc>
          <w:tcPr>
            <w:tcW w:w="3402" w:type="dxa"/>
            <w:vAlign w:val="center"/>
          </w:tcPr>
          <w:p w14:paraId="176CF572">
            <w:pPr>
              <w:pStyle w:val="12"/>
            </w:pPr>
          </w:p>
        </w:tc>
        <w:tc>
          <w:tcPr>
            <w:tcW w:w="1474" w:type="dxa"/>
            <w:vAlign w:val="center"/>
          </w:tcPr>
          <w:p w14:paraId="60001065">
            <w:pPr>
              <w:pStyle w:val="11"/>
            </w:pPr>
          </w:p>
        </w:tc>
        <w:tc>
          <w:tcPr>
            <w:tcW w:w="3402" w:type="dxa"/>
            <w:vAlign w:val="center"/>
          </w:tcPr>
          <w:p w14:paraId="3243F560">
            <w:pPr>
              <w:pStyle w:val="12"/>
            </w:pPr>
            <w:r>
              <w:t>二十九、债务发行费用支出</w:t>
            </w:r>
          </w:p>
        </w:tc>
        <w:tc>
          <w:tcPr>
            <w:tcW w:w="1474" w:type="dxa"/>
            <w:vAlign w:val="center"/>
          </w:tcPr>
          <w:p w14:paraId="430BDC90">
            <w:pPr>
              <w:pStyle w:val="11"/>
            </w:pPr>
          </w:p>
        </w:tc>
        <w:tc>
          <w:tcPr>
            <w:tcW w:w="1474" w:type="dxa"/>
            <w:vAlign w:val="center"/>
          </w:tcPr>
          <w:p w14:paraId="6818897A">
            <w:pPr>
              <w:pStyle w:val="11"/>
            </w:pPr>
          </w:p>
        </w:tc>
        <w:tc>
          <w:tcPr>
            <w:tcW w:w="1474" w:type="dxa"/>
            <w:vAlign w:val="center"/>
          </w:tcPr>
          <w:p w14:paraId="0F46FB58">
            <w:pPr>
              <w:pStyle w:val="11"/>
            </w:pPr>
          </w:p>
        </w:tc>
        <w:tc>
          <w:tcPr>
            <w:tcW w:w="1474" w:type="dxa"/>
            <w:vAlign w:val="center"/>
          </w:tcPr>
          <w:p w14:paraId="0661867B">
            <w:pPr>
              <w:pStyle w:val="11"/>
            </w:pPr>
          </w:p>
        </w:tc>
      </w:tr>
      <w:tr w14:paraId="2AA3A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62BB">
            <w:pPr>
              <w:pStyle w:val="13"/>
            </w:pPr>
            <w:r>
              <w:t>30</w:t>
            </w:r>
          </w:p>
        </w:tc>
        <w:tc>
          <w:tcPr>
            <w:tcW w:w="3402" w:type="dxa"/>
            <w:vAlign w:val="center"/>
          </w:tcPr>
          <w:p w14:paraId="477B5802">
            <w:pPr>
              <w:pStyle w:val="12"/>
            </w:pPr>
          </w:p>
        </w:tc>
        <w:tc>
          <w:tcPr>
            <w:tcW w:w="1474" w:type="dxa"/>
            <w:vAlign w:val="center"/>
          </w:tcPr>
          <w:p w14:paraId="5D2FDC7C">
            <w:pPr>
              <w:pStyle w:val="11"/>
            </w:pPr>
          </w:p>
        </w:tc>
        <w:tc>
          <w:tcPr>
            <w:tcW w:w="3402" w:type="dxa"/>
            <w:vAlign w:val="center"/>
          </w:tcPr>
          <w:p w14:paraId="0891B3F1">
            <w:pPr>
              <w:pStyle w:val="12"/>
            </w:pPr>
            <w:r>
              <w:t>三十、抗疫特别国债安排的支出</w:t>
            </w:r>
          </w:p>
        </w:tc>
        <w:tc>
          <w:tcPr>
            <w:tcW w:w="1474" w:type="dxa"/>
            <w:vAlign w:val="center"/>
          </w:tcPr>
          <w:p w14:paraId="060B6A70">
            <w:pPr>
              <w:pStyle w:val="11"/>
            </w:pPr>
          </w:p>
        </w:tc>
        <w:tc>
          <w:tcPr>
            <w:tcW w:w="1474" w:type="dxa"/>
            <w:vAlign w:val="center"/>
          </w:tcPr>
          <w:p w14:paraId="4A703029">
            <w:pPr>
              <w:pStyle w:val="11"/>
            </w:pPr>
          </w:p>
        </w:tc>
        <w:tc>
          <w:tcPr>
            <w:tcW w:w="1474" w:type="dxa"/>
            <w:vAlign w:val="center"/>
          </w:tcPr>
          <w:p w14:paraId="426C6966">
            <w:pPr>
              <w:pStyle w:val="11"/>
            </w:pPr>
          </w:p>
        </w:tc>
        <w:tc>
          <w:tcPr>
            <w:tcW w:w="1474" w:type="dxa"/>
            <w:vAlign w:val="center"/>
          </w:tcPr>
          <w:p w14:paraId="5AC090F9">
            <w:pPr>
              <w:pStyle w:val="11"/>
            </w:pPr>
          </w:p>
        </w:tc>
      </w:tr>
      <w:tr w14:paraId="1BF0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5D2D9">
            <w:pPr>
              <w:pStyle w:val="13"/>
            </w:pPr>
            <w:r>
              <w:t>31</w:t>
            </w:r>
          </w:p>
        </w:tc>
        <w:tc>
          <w:tcPr>
            <w:tcW w:w="3402" w:type="dxa"/>
            <w:vAlign w:val="center"/>
          </w:tcPr>
          <w:p w14:paraId="775FF673">
            <w:pPr>
              <w:pStyle w:val="12"/>
            </w:pPr>
          </w:p>
        </w:tc>
        <w:tc>
          <w:tcPr>
            <w:tcW w:w="1474" w:type="dxa"/>
            <w:vAlign w:val="center"/>
          </w:tcPr>
          <w:p w14:paraId="11241541">
            <w:pPr>
              <w:pStyle w:val="11"/>
            </w:pPr>
          </w:p>
        </w:tc>
        <w:tc>
          <w:tcPr>
            <w:tcW w:w="3402" w:type="dxa"/>
            <w:vAlign w:val="center"/>
          </w:tcPr>
          <w:p w14:paraId="4C3C48C0">
            <w:pPr>
              <w:pStyle w:val="12"/>
            </w:pPr>
            <w:r>
              <w:t>三十一、人行科目</w:t>
            </w:r>
          </w:p>
        </w:tc>
        <w:tc>
          <w:tcPr>
            <w:tcW w:w="1474" w:type="dxa"/>
            <w:vAlign w:val="center"/>
          </w:tcPr>
          <w:p w14:paraId="09607BAE">
            <w:pPr>
              <w:pStyle w:val="11"/>
            </w:pPr>
          </w:p>
        </w:tc>
        <w:tc>
          <w:tcPr>
            <w:tcW w:w="1474" w:type="dxa"/>
            <w:vAlign w:val="center"/>
          </w:tcPr>
          <w:p w14:paraId="5578958F">
            <w:pPr>
              <w:pStyle w:val="11"/>
            </w:pPr>
          </w:p>
        </w:tc>
        <w:tc>
          <w:tcPr>
            <w:tcW w:w="1474" w:type="dxa"/>
            <w:vAlign w:val="center"/>
          </w:tcPr>
          <w:p w14:paraId="1A1AC6D5">
            <w:pPr>
              <w:pStyle w:val="11"/>
            </w:pPr>
          </w:p>
        </w:tc>
        <w:tc>
          <w:tcPr>
            <w:tcW w:w="1474" w:type="dxa"/>
            <w:vAlign w:val="center"/>
          </w:tcPr>
          <w:p w14:paraId="4A5C87E0">
            <w:pPr>
              <w:pStyle w:val="11"/>
            </w:pPr>
          </w:p>
        </w:tc>
      </w:tr>
      <w:tr w14:paraId="018B7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5999">
            <w:pPr>
              <w:pStyle w:val="13"/>
            </w:pPr>
            <w:r>
              <w:t>32</w:t>
            </w:r>
          </w:p>
        </w:tc>
        <w:tc>
          <w:tcPr>
            <w:tcW w:w="3402" w:type="dxa"/>
            <w:vAlign w:val="center"/>
          </w:tcPr>
          <w:p w14:paraId="14A2102F">
            <w:pPr>
              <w:pStyle w:val="14"/>
            </w:pPr>
            <w:r>
              <w:t>本年收入合计</w:t>
            </w:r>
          </w:p>
        </w:tc>
        <w:tc>
          <w:tcPr>
            <w:tcW w:w="1474" w:type="dxa"/>
            <w:vAlign w:val="center"/>
          </w:tcPr>
          <w:p w14:paraId="475CB2E9">
            <w:pPr>
              <w:pStyle w:val="15"/>
            </w:pPr>
            <w:r>
              <w:t>841.50</w:t>
            </w:r>
          </w:p>
        </w:tc>
        <w:tc>
          <w:tcPr>
            <w:tcW w:w="3402" w:type="dxa"/>
            <w:vAlign w:val="center"/>
          </w:tcPr>
          <w:p w14:paraId="606F2E7B">
            <w:pPr>
              <w:pStyle w:val="14"/>
            </w:pPr>
            <w:r>
              <w:t>本年支出合计</w:t>
            </w:r>
          </w:p>
        </w:tc>
        <w:tc>
          <w:tcPr>
            <w:tcW w:w="1474" w:type="dxa"/>
            <w:vAlign w:val="center"/>
          </w:tcPr>
          <w:p w14:paraId="33821D25">
            <w:pPr>
              <w:pStyle w:val="15"/>
            </w:pPr>
            <w:r>
              <w:t>841.50</w:t>
            </w:r>
          </w:p>
        </w:tc>
        <w:tc>
          <w:tcPr>
            <w:tcW w:w="1474" w:type="dxa"/>
            <w:vAlign w:val="center"/>
          </w:tcPr>
          <w:p w14:paraId="36C5E808">
            <w:pPr>
              <w:pStyle w:val="15"/>
            </w:pPr>
            <w:r>
              <w:t>841.50</w:t>
            </w:r>
          </w:p>
        </w:tc>
        <w:tc>
          <w:tcPr>
            <w:tcW w:w="1474" w:type="dxa"/>
            <w:vAlign w:val="center"/>
          </w:tcPr>
          <w:p w14:paraId="58CE7191">
            <w:pPr>
              <w:pStyle w:val="15"/>
            </w:pPr>
          </w:p>
        </w:tc>
        <w:tc>
          <w:tcPr>
            <w:tcW w:w="1474" w:type="dxa"/>
            <w:vAlign w:val="center"/>
          </w:tcPr>
          <w:p w14:paraId="7E3D0337">
            <w:pPr>
              <w:pStyle w:val="15"/>
            </w:pPr>
          </w:p>
        </w:tc>
      </w:tr>
      <w:tr w14:paraId="0B6E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D15D">
            <w:pPr>
              <w:pStyle w:val="13"/>
            </w:pPr>
            <w:r>
              <w:t>33</w:t>
            </w:r>
          </w:p>
        </w:tc>
        <w:tc>
          <w:tcPr>
            <w:tcW w:w="3402" w:type="dxa"/>
            <w:vAlign w:val="center"/>
          </w:tcPr>
          <w:p w14:paraId="4BFE6B65">
            <w:pPr>
              <w:pStyle w:val="12"/>
            </w:pPr>
            <w:r>
              <w:t>年初财政拨款结转和结余</w:t>
            </w:r>
          </w:p>
        </w:tc>
        <w:tc>
          <w:tcPr>
            <w:tcW w:w="1474" w:type="dxa"/>
            <w:vAlign w:val="center"/>
          </w:tcPr>
          <w:p w14:paraId="48FD139C">
            <w:pPr>
              <w:pStyle w:val="11"/>
            </w:pPr>
          </w:p>
        </w:tc>
        <w:tc>
          <w:tcPr>
            <w:tcW w:w="3402" w:type="dxa"/>
            <w:vAlign w:val="center"/>
          </w:tcPr>
          <w:p w14:paraId="48104770">
            <w:pPr>
              <w:pStyle w:val="12"/>
            </w:pPr>
            <w:r>
              <w:t>年末财政拨款结转和结余</w:t>
            </w:r>
          </w:p>
        </w:tc>
        <w:tc>
          <w:tcPr>
            <w:tcW w:w="1474" w:type="dxa"/>
            <w:vAlign w:val="center"/>
          </w:tcPr>
          <w:p w14:paraId="21950837">
            <w:pPr>
              <w:pStyle w:val="11"/>
            </w:pPr>
          </w:p>
        </w:tc>
        <w:tc>
          <w:tcPr>
            <w:tcW w:w="1474" w:type="dxa"/>
            <w:vAlign w:val="center"/>
          </w:tcPr>
          <w:p w14:paraId="30C61896">
            <w:pPr>
              <w:pStyle w:val="11"/>
            </w:pPr>
          </w:p>
        </w:tc>
        <w:tc>
          <w:tcPr>
            <w:tcW w:w="1474" w:type="dxa"/>
            <w:vAlign w:val="center"/>
          </w:tcPr>
          <w:p w14:paraId="44C4CD16">
            <w:pPr>
              <w:pStyle w:val="11"/>
            </w:pPr>
          </w:p>
        </w:tc>
        <w:tc>
          <w:tcPr>
            <w:tcW w:w="1474" w:type="dxa"/>
            <w:vAlign w:val="center"/>
          </w:tcPr>
          <w:p w14:paraId="4BFC94A2">
            <w:pPr>
              <w:pStyle w:val="11"/>
            </w:pPr>
          </w:p>
        </w:tc>
      </w:tr>
      <w:tr w14:paraId="4B79F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D4F2F">
            <w:pPr>
              <w:pStyle w:val="13"/>
            </w:pPr>
            <w:r>
              <w:t>34</w:t>
            </w:r>
          </w:p>
        </w:tc>
        <w:tc>
          <w:tcPr>
            <w:tcW w:w="3402" w:type="dxa"/>
            <w:vAlign w:val="center"/>
          </w:tcPr>
          <w:p w14:paraId="4F76F68A">
            <w:pPr>
              <w:pStyle w:val="12"/>
            </w:pPr>
            <w:r>
              <w:t>一、一般公共预算拨款</w:t>
            </w:r>
          </w:p>
        </w:tc>
        <w:tc>
          <w:tcPr>
            <w:tcW w:w="1474" w:type="dxa"/>
            <w:vAlign w:val="center"/>
          </w:tcPr>
          <w:p w14:paraId="5201950D">
            <w:pPr>
              <w:pStyle w:val="11"/>
            </w:pPr>
          </w:p>
        </w:tc>
        <w:tc>
          <w:tcPr>
            <w:tcW w:w="3402" w:type="dxa"/>
            <w:vAlign w:val="center"/>
          </w:tcPr>
          <w:p w14:paraId="399B91C5">
            <w:pPr>
              <w:pStyle w:val="12"/>
            </w:pPr>
          </w:p>
        </w:tc>
        <w:tc>
          <w:tcPr>
            <w:tcW w:w="1474" w:type="dxa"/>
            <w:vAlign w:val="center"/>
          </w:tcPr>
          <w:p w14:paraId="19BAE97B">
            <w:pPr>
              <w:pStyle w:val="11"/>
            </w:pPr>
          </w:p>
        </w:tc>
        <w:tc>
          <w:tcPr>
            <w:tcW w:w="1474" w:type="dxa"/>
            <w:vAlign w:val="center"/>
          </w:tcPr>
          <w:p w14:paraId="647557A3">
            <w:pPr>
              <w:pStyle w:val="11"/>
            </w:pPr>
          </w:p>
        </w:tc>
        <w:tc>
          <w:tcPr>
            <w:tcW w:w="1474" w:type="dxa"/>
            <w:vAlign w:val="center"/>
          </w:tcPr>
          <w:p w14:paraId="59A6E058">
            <w:pPr>
              <w:pStyle w:val="11"/>
            </w:pPr>
          </w:p>
        </w:tc>
        <w:tc>
          <w:tcPr>
            <w:tcW w:w="1474" w:type="dxa"/>
            <w:vAlign w:val="center"/>
          </w:tcPr>
          <w:p w14:paraId="3C884991">
            <w:pPr>
              <w:pStyle w:val="11"/>
            </w:pPr>
          </w:p>
        </w:tc>
      </w:tr>
      <w:tr w14:paraId="35E67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D8E9F">
            <w:pPr>
              <w:pStyle w:val="13"/>
            </w:pPr>
            <w:r>
              <w:t>35</w:t>
            </w:r>
          </w:p>
        </w:tc>
        <w:tc>
          <w:tcPr>
            <w:tcW w:w="3402" w:type="dxa"/>
            <w:vAlign w:val="center"/>
          </w:tcPr>
          <w:p w14:paraId="55A4A843">
            <w:pPr>
              <w:pStyle w:val="12"/>
            </w:pPr>
            <w:r>
              <w:t>二、政府性基金预算拨款</w:t>
            </w:r>
          </w:p>
        </w:tc>
        <w:tc>
          <w:tcPr>
            <w:tcW w:w="1474" w:type="dxa"/>
            <w:vAlign w:val="center"/>
          </w:tcPr>
          <w:p w14:paraId="6A2F2707">
            <w:pPr>
              <w:pStyle w:val="11"/>
            </w:pPr>
          </w:p>
        </w:tc>
        <w:tc>
          <w:tcPr>
            <w:tcW w:w="3402" w:type="dxa"/>
            <w:vAlign w:val="center"/>
          </w:tcPr>
          <w:p w14:paraId="7B8858F2">
            <w:pPr>
              <w:pStyle w:val="12"/>
            </w:pPr>
          </w:p>
        </w:tc>
        <w:tc>
          <w:tcPr>
            <w:tcW w:w="1474" w:type="dxa"/>
            <w:vAlign w:val="center"/>
          </w:tcPr>
          <w:p w14:paraId="7662EF96">
            <w:pPr>
              <w:pStyle w:val="11"/>
            </w:pPr>
          </w:p>
        </w:tc>
        <w:tc>
          <w:tcPr>
            <w:tcW w:w="1474" w:type="dxa"/>
            <w:vAlign w:val="center"/>
          </w:tcPr>
          <w:p w14:paraId="230FA537">
            <w:pPr>
              <w:pStyle w:val="11"/>
            </w:pPr>
          </w:p>
        </w:tc>
        <w:tc>
          <w:tcPr>
            <w:tcW w:w="1474" w:type="dxa"/>
            <w:vAlign w:val="center"/>
          </w:tcPr>
          <w:p w14:paraId="5799A415">
            <w:pPr>
              <w:pStyle w:val="11"/>
            </w:pPr>
          </w:p>
        </w:tc>
        <w:tc>
          <w:tcPr>
            <w:tcW w:w="1474" w:type="dxa"/>
            <w:vAlign w:val="center"/>
          </w:tcPr>
          <w:p w14:paraId="227A3D55">
            <w:pPr>
              <w:pStyle w:val="11"/>
            </w:pPr>
          </w:p>
        </w:tc>
      </w:tr>
      <w:tr w14:paraId="7ADD3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3DDF">
            <w:pPr>
              <w:pStyle w:val="13"/>
            </w:pPr>
            <w:r>
              <w:t>36</w:t>
            </w:r>
          </w:p>
        </w:tc>
        <w:tc>
          <w:tcPr>
            <w:tcW w:w="3402" w:type="dxa"/>
            <w:vAlign w:val="center"/>
          </w:tcPr>
          <w:p w14:paraId="740A6AC8">
            <w:pPr>
              <w:pStyle w:val="12"/>
            </w:pPr>
            <w:r>
              <w:t>三、国有资本经营预算拨款</w:t>
            </w:r>
          </w:p>
        </w:tc>
        <w:tc>
          <w:tcPr>
            <w:tcW w:w="1474" w:type="dxa"/>
            <w:vAlign w:val="center"/>
          </w:tcPr>
          <w:p w14:paraId="066C3942">
            <w:pPr>
              <w:pStyle w:val="11"/>
            </w:pPr>
          </w:p>
        </w:tc>
        <w:tc>
          <w:tcPr>
            <w:tcW w:w="3402" w:type="dxa"/>
            <w:vAlign w:val="center"/>
          </w:tcPr>
          <w:p w14:paraId="439013D7">
            <w:pPr>
              <w:pStyle w:val="12"/>
            </w:pPr>
          </w:p>
        </w:tc>
        <w:tc>
          <w:tcPr>
            <w:tcW w:w="1474" w:type="dxa"/>
            <w:vAlign w:val="center"/>
          </w:tcPr>
          <w:p w14:paraId="3C6CD673">
            <w:pPr>
              <w:pStyle w:val="11"/>
            </w:pPr>
          </w:p>
        </w:tc>
        <w:tc>
          <w:tcPr>
            <w:tcW w:w="1474" w:type="dxa"/>
            <w:vAlign w:val="center"/>
          </w:tcPr>
          <w:p w14:paraId="2B3F49D4">
            <w:pPr>
              <w:pStyle w:val="11"/>
            </w:pPr>
          </w:p>
        </w:tc>
        <w:tc>
          <w:tcPr>
            <w:tcW w:w="1474" w:type="dxa"/>
            <w:vAlign w:val="center"/>
          </w:tcPr>
          <w:p w14:paraId="5AB46BEA">
            <w:pPr>
              <w:pStyle w:val="11"/>
            </w:pPr>
          </w:p>
        </w:tc>
        <w:tc>
          <w:tcPr>
            <w:tcW w:w="1474" w:type="dxa"/>
            <w:vAlign w:val="center"/>
          </w:tcPr>
          <w:p w14:paraId="03FB999D">
            <w:pPr>
              <w:pStyle w:val="11"/>
            </w:pPr>
          </w:p>
        </w:tc>
      </w:tr>
      <w:tr w14:paraId="6538EFAC">
        <w:tblPrEx>
          <w:tblCellMar>
            <w:top w:w="0" w:type="dxa"/>
            <w:left w:w="108" w:type="dxa"/>
            <w:bottom w:w="0" w:type="dxa"/>
            <w:right w:w="108" w:type="dxa"/>
          </w:tblCellMar>
        </w:tblPrEx>
        <w:trPr>
          <w:trHeight w:val="369" w:hRule="atLeast"/>
          <w:jc w:val="center"/>
        </w:trPr>
        <w:tc>
          <w:tcPr>
            <w:tcW w:w="850" w:type="dxa"/>
            <w:vAlign w:val="center"/>
          </w:tcPr>
          <w:p w14:paraId="3F5C35E5">
            <w:pPr>
              <w:pStyle w:val="13"/>
            </w:pPr>
            <w:r>
              <w:t>37</w:t>
            </w:r>
          </w:p>
        </w:tc>
        <w:tc>
          <w:tcPr>
            <w:tcW w:w="3402" w:type="dxa"/>
            <w:vAlign w:val="center"/>
          </w:tcPr>
          <w:p w14:paraId="24C4D22A">
            <w:pPr>
              <w:pStyle w:val="14"/>
            </w:pPr>
            <w:r>
              <w:t>收入总计</w:t>
            </w:r>
          </w:p>
        </w:tc>
        <w:tc>
          <w:tcPr>
            <w:tcW w:w="1474" w:type="dxa"/>
            <w:vAlign w:val="center"/>
          </w:tcPr>
          <w:p w14:paraId="29F9E9CD">
            <w:pPr>
              <w:pStyle w:val="15"/>
            </w:pPr>
            <w:r>
              <w:t>841.50</w:t>
            </w:r>
          </w:p>
        </w:tc>
        <w:tc>
          <w:tcPr>
            <w:tcW w:w="3402" w:type="dxa"/>
            <w:vAlign w:val="center"/>
          </w:tcPr>
          <w:p w14:paraId="33F1CE91">
            <w:pPr>
              <w:pStyle w:val="14"/>
            </w:pPr>
            <w:r>
              <w:t>支出总计</w:t>
            </w:r>
          </w:p>
        </w:tc>
        <w:tc>
          <w:tcPr>
            <w:tcW w:w="1474" w:type="dxa"/>
            <w:vAlign w:val="center"/>
          </w:tcPr>
          <w:p w14:paraId="59F70820">
            <w:pPr>
              <w:pStyle w:val="15"/>
            </w:pPr>
            <w:r>
              <w:t>841.50</w:t>
            </w:r>
          </w:p>
        </w:tc>
        <w:tc>
          <w:tcPr>
            <w:tcW w:w="1474" w:type="dxa"/>
            <w:vAlign w:val="center"/>
          </w:tcPr>
          <w:p w14:paraId="1C6D03FF">
            <w:pPr>
              <w:pStyle w:val="15"/>
            </w:pPr>
            <w:r>
              <w:t>841.50</w:t>
            </w:r>
          </w:p>
        </w:tc>
        <w:tc>
          <w:tcPr>
            <w:tcW w:w="1474" w:type="dxa"/>
            <w:vAlign w:val="center"/>
          </w:tcPr>
          <w:p w14:paraId="521E9F39">
            <w:pPr>
              <w:pStyle w:val="15"/>
            </w:pPr>
          </w:p>
        </w:tc>
        <w:tc>
          <w:tcPr>
            <w:tcW w:w="1474" w:type="dxa"/>
            <w:vAlign w:val="center"/>
          </w:tcPr>
          <w:p w14:paraId="5FB41EBF">
            <w:pPr>
              <w:pStyle w:val="15"/>
            </w:pPr>
          </w:p>
        </w:tc>
      </w:tr>
    </w:tbl>
    <w:p w14:paraId="19392B84">
      <w:pPr>
        <w:sectPr>
          <w:pgSz w:w="16840" w:h="11900" w:orient="landscape"/>
          <w:pgMar w:top="1361" w:right="1020" w:bottom="1134" w:left="1020" w:header="720" w:footer="720" w:gutter="0"/>
          <w:cols w:space="720" w:num="1"/>
        </w:sectPr>
      </w:pPr>
    </w:p>
    <w:p w14:paraId="56921F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16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331EDD">
            <w:pPr>
              <w:pStyle w:val="9"/>
            </w:pPr>
            <w:r>
              <w:t>360005隆尧县尹村中学</w:t>
            </w:r>
          </w:p>
        </w:tc>
        <w:tc>
          <w:tcPr>
            <w:tcW w:w="2551" w:type="dxa"/>
            <w:tcBorders>
              <w:top w:val="single" w:color="FFFFFF" w:sz="6" w:space="0"/>
              <w:left w:val="single" w:color="FFFFFF" w:sz="6" w:space="0"/>
              <w:right w:val="single" w:color="FFFFFF" w:sz="6" w:space="0"/>
            </w:tcBorders>
            <w:vAlign w:val="center"/>
          </w:tcPr>
          <w:p w14:paraId="565E87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8F1C7B">
            <w:pPr>
              <w:pStyle w:val="7"/>
            </w:pPr>
            <w:r>
              <w:t>单位：万元</w:t>
            </w:r>
          </w:p>
        </w:tc>
      </w:tr>
      <w:tr w14:paraId="3613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D3F6BB">
            <w:pPr>
              <w:pStyle w:val="10"/>
            </w:pPr>
            <w:r>
              <w:t>序号</w:t>
            </w:r>
          </w:p>
        </w:tc>
        <w:tc>
          <w:tcPr>
            <w:tcW w:w="5726" w:type="dxa"/>
            <w:gridSpan w:val="2"/>
            <w:vAlign w:val="center"/>
          </w:tcPr>
          <w:p w14:paraId="5F45D06C">
            <w:pPr>
              <w:pStyle w:val="10"/>
            </w:pPr>
            <w:r>
              <w:t>功能分类科目</w:t>
            </w:r>
          </w:p>
        </w:tc>
        <w:tc>
          <w:tcPr>
            <w:tcW w:w="2551" w:type="dxa"/>
            <w:vMerge w:val="restart"/>
            <w:vAlign w:val="center"/>
          </w:tcPr>
          <w:p w14:paraId="05831BAD">
            <w:pPr>
              <w:pStyle w:val="10"/>
            </w:pPr>
            <w:r>
              <w:t>合计</w:t>
            </w:r>
          </w:p>
        </w:tc>
        <w:tc>
          <w:tcPr>
            <w:tcW w:w="2551" w:type="dxa"/>
            <w:vMerge w:val="restart"/>
            <w:vAlign w:val="center"/>
          </w:tcPr>
          <w:p w14:paraId="595389BE">
            <w:pPr>
              <w:pStyle w:val="10"/>
            </w:pPr>
            <w:r>
              <w:t>基本支出</w:t>
            </w:r>
          </w:p>
        </w:tc>
        <w:tc>
          <w:tcPr>
            <w:tcW w:w="2551" w:type="dxa"/>
            <w:vMerge w:val="restart"/>
            <w:vAlign w:val="center"/>
          </w:tcPr>
          <w:p w14:paraId="7E2D935B">
            <w:pPr>
              <w:pStyle w:val="10"/>
            </w:pPr>
            <w:r>
              <w:t>项目支出</w:t>
            </w:r>
          </w:p>
        </w:tc>
      </w:tr>
      <w:tr w14:paraId="0A43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CEE95"/>
        </w:tc>
        <w:tc>
          <w:tcPr>
            <w:tcW w:w="1191" w:type="dxa"/>
            <w:vAlign w:val="center"/>
          </w:tcPr>
          <w:p w14:paraId="5F6BAB35">
            <w:pPr>
              <w:pStyle w:val="10"/>
            </w:pPr>
            <w:r>
              <w:t>科目编码</w:t>
            </w:r>
          </w:p>
        </w:tc>
        <w:tc>
          <w:tcPr>
            <w:tcW w:w="4535" w:type="dxa"/>
            <w:vAlign w:val="center"/>
          </w:tcPr>
          <w:p w14:paraId="1341DFCB">
            <w:pPr>
              <w:pStyle w:val="10"/>
            </w:pPr>
            <w:r>
              <w:t>科目名称</w:t>
            </w:r>
          </w:p>
        </w:tc>
        <w:tc>
          <w:tcPr>
            <w:tcW w:w="2551" w:type="dxa"/>
            <w:vMerge w:val="continue"/>
          </w:tcPr>
          <w:p w14:paraId="0A089F03"/>
        </w:tc>
        <w:tc>
          <w:tcPr>
            <w:tcW w:w="2551" w:type="dxa"/>
            <w:vMerge w:val="continue"/>
          </w:tcPr>
          <w:p w14:paraId="22AD3E0C"/>
        </w:tc>
        <w:tc>
          <w:tcPr>
            <w:tcW w:w="2551" w:type="dxa"/>
            <w:vMerge w:val="continue"/>
          </w:tcPr>
          <w:p w14:paraId="4583D305"/>
        </w:tc>
      </w:tr>
      <w:tr w14:paraId="62A2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0FF376">
            <w:pPr>
              <w:pStyle w:val="10"/>
            </w:pPr>
            <w:r>
              <w:t>栏次</w:t>
            </w:r>
          </w:p>
        </w:tc>
        <w:tc>
          <w:tcPr>
            <w:tcW w:w="1191" w:type="dxa"/>
            <w:vAlign w:val="center"/>
          </w:tcPr>
          <w:p w14:paraId="0240B0D5">
            <w:pPr>
              <w:pStyle w:val="10"/>
            </w:pPr>
            <w:r>
              <w:t>1</w:t>
            </w:r>
          </w:p>
        </w:tc>
        <w:tc>
          <w:tcPr>
            <w:tcW w:w="4535" w:type="dxa"/>
            <w:vAlign w:val="center"/>
          </w:tcPr>
          <w:p w14:paraId="31E7E1D4">
            <w:pPr>
              <w:pStyle w:val="10"/>
            </w:pPr>
            <w:r>
              <w:t>2</w:t>
            </w:r>
          </w:p>
        </w:tc>
        <w:tc>
          <w:tcPr>
            <w:tcW w:w="2551" w:type="dxa"/>
            <w:vAlign w:val="center"/>
          </w:tcPr>
          <w:p w14:paraId="311D7C8D">
            <w:pPr>
              <w:pStyle w:val="10"/>
            </w:pPr>
            <w:r>
              <w:t>3</w:t>
            </w:r>
          </w:p>
        </w:tc>
        <w:tc>
          <w:tcPr>
            <w:tcW w:w="2551" w:type="dxa"/>
            <w:vAlign w:val="center"/>
          </w:tcPr>
          <w:p w14:paraId="3E5A6419">
            <w:pPr>
              <w:pStyle w:val="10"/>
            </w:pPr>
            <w:r>
              <w:t>4</w:t>
            </w:r>
          </w:p>
        </w:tc>
        <w:tc>
          <w:tcPr>
            <w:tcW w:w="2551" w:type="dxa"/>
            <w:vAlign w:val="center"/>
          </w:tcPr>
          <w:p w14:paraId="11E25DC3">
            <w:pPr>
              <w:pStyle w:val="10"/>
            </w:pPr>
            <w:r>
              <w:t>5</w:t>
            </w:r>
          </w:p>
        </w:tc>
      </w:tr>
      <w:tr w14:paraId="6CA7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24C00">
            <w:pPr>
              <w:pStyle w:val="13"/>
            </w:pPr>
            <w:r>
              <w:t>1</w:t>
            </w:r>
          </w:p>
        </w:tc>
        <w:tc>
          <w:tcPr>
            <w:tcW w:w="1191" w:type="dxa"/>
            <w:vAlign w:val="center"/>
          </w:tcPr>
          <w:p w14:paraId="57FF63C5">
            <w:pPr>
              <w:pStyle w:val="16"/>
            </w:pPr>
          </w:p>
        </w:tc>
        <w:tc>
          <w:tcPr>
            <w:tcW w:w="4535" w:type="dxa"/>
            <w:vAlign w:val="center"/>
          </w:tcPr>
          <w:p w14:paraId="4EE10568">
            <w:pPr>
              <w:pStyle w:val="14"/>
            </w:pPr>
            <w:r>
              <w:t>合计</w:t>
            </w:r>
          </w:p>
        </w:tc>
        <w:tc>
          <w:tcPr>
            <w:tcW w:w="2551" w:type="dxa"/>
            <w:vAlign w:val="center"/>
          </w:tcPr>
          <w:p w14:paraId="0E2066E1">
            <w:pPr>
              <w:pStyle w:val="15"/>
            </w:pPr>
            <w:r>
              <w:t>841.50</w:t>
            </w:r>
          </w:p>
        </w:tc>
        <w:tc>
          <w:tcPr>
            <w:tcW w:w="2551" w:type="dxa"/>
            <w:vAlign w:val="center"/>
          </w:tcPr>
          <w:p w14:paraId="34F0633C">
            <w:pPr>
              <w:pStyle w:val="15"/>
            </w:pPr>
            <w:r>
              <w:t>687.18</w:t>
            </w:r>
          </w:p>
        </w:tc>
        <w:tc>
          <w:tcPr>
            <w:tcW w:w="2551" w:type="dxa"/>
            <w:vAlign w:val="center"/>
          </w:tcPr>
          <w:p w14:paraId="0F14CBE4">
            <w:pPr>
              <w:pStyle w:val="15"/>
            </w:pPr>
            <w:r>
              <w:t>154.33</w:t>
            </w:r>
          </w:p>
        </w:tc>
      </w:tr>
      <w:tr w14:paraId="1BF68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C0108">
            <w:pPr>
              <w:pStyle w:val="13"/>
            </w:pPr>
            <w:r>
              <w:t>2</w:t>
            </w:r>
          </w:p>
        </w:tc>
        <w:tc>
          <w:tcPr>
            <w:tcW w:w="1191" w:type="dxa"/>
            <w:vAlign w:val="center"/>
          </w:tcPr>
          <w:p w14:paraId="23AA10D0">
            <w:pPr>
              <w:pStyle w:val="12"/>
            </w:pPr>
            <w:r>
              <w:t>205</w:t>
            </w:r>
          </w:p>
        </w:tc>
        <w:tc>
          <w:tcPr>
            <w:tcW w:w="4535" w:type="dxa"/>
            <w:vAlign w:val="center"/>
          </w:tcPr>
          <w:p w14:paraId="6F193C9A">
            <w:pPr>
              <w:pStyle w:val="12"/>
            </w:pPr>
            <w:r>
              <w:t>教育支出</w:t>
            </w:r>
          </w:p>
        </w:tc>
        <w:tc>
          <w:tcPr>
            <w:tcW w:w="2551" w:type="dxa"/>
            <w:vAlign w:val="center"/>
          </w:tcPr>
          <w:p w14:paraId="521E85E1">
            <w:pPr>
              <w:pStyle w:val="11"/>
            </w:pPr>
            <w:r>
              <w:t>841.50</w:t>
            </w:r>
          </w:p>
        </w:tc>
        <w:tc>
          <w:tcPr>
            <w:tcW w:w="2551" w:type="dxa"/>
            <w:vAlign w:val="center"/>
          </w:tcPr>
          <w:p w14:paraId="61AA0EFF">
            <w:pPr>
              <w:pStyle w:val="11"/>
            </w:pPr>
            <w:r>
              <w:t>687.18</w:t>
            </w:r>
          </w:p>
        </w:tc>
        <w:tc>
          <w:tcPr>
            <w:tcW w:w="2551" w:type="dxa"/>
            <w:vAlign w:val="center"/>
          </w:tcPr>
          <w:p w14:paraId="7B201C31">
            <w:pPr>
              <w:pStyle w:val="11"/>
            </w:pPr>
            <w:r>
              <w:t>154.33</w:t>
            </w:r>
          </w:p>
        </w:tc>
      </w:tr>
      <w:tr w14:paraId="1CD6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5B15">
            <w:pPr>
              <w:pStyle w:val="13"/>
            </w:pPr>
            <w:r>
              <w:t>3</w:t>
            </w:r>
          </w:p>
        </w:tc>
        <w:tc>
          <w:tcPr>
            <w:tcW w:w="1191" w:type="dxa"/>
            <w:vAlign w:val="center"/>
          </w:tcPr>
          <w:p w14:paraId="037390A2">
            <w:pPr>
              <w:pStyle w:val="12"/>
            </w:pPr>
            <w:r>
              <w:t>20502</w:t>
            </w:r>
          </w:p>
        </w:tc>
        <w:tc>
          <w:tcPr>
            <w:tcW w:w="4535" w:type="dxa"/>
            <w:vAlign w:val="center"/>
          </w:tcPr>
          <w:p w14:paraId="214A30BE">
            <w:pPr>
              <w:pStyle w:val="12"/>
            </w:pPr>
            <w:r>
              <w:t>普通教育</w:t>
            </w:r>
          </w:p>
        </w:tc>
        <w:tc>
          <w:tcPr>
            <w:tcW w:w="2551" w:type="dxa"/>
            <w:vAlign w:val="center"/>
          </w:tcPr>
          <w:p w14:paraId="19F41470">
            <w:pPr>
              <w:pStyle w:val="11"/>
            </w:pPr>
            <w:r>
              <w:t>841.50</w:t>
            </w:r>
          </w:p>
        </w:tc>
        <w:tc>
          <w:tcPr>
            <w:tcW w:w="2551" w:type="dxa"/>
            <w:vAlign w:val="center"/>
          </w:tcPr>
          <w:p w14:paraId="17FCF149">
            <w:pPr>
              <w:pStyle w:val="11"/>
            </w:pPr>
            <w:r>
              <w:t>687.18</w:t>
            </w:r>
          </w:p>
        </w:tc>
        <w:tc>
          <w:tcPr>
            <w:tcW w:w="2551" w:type="dxa"/>
            <w:vAlign w:val="center"/>
          </w:tcPr>
          <w:p w14:paraId="69012495">
            <w:pPr>
              <w:pStyle w:val="11"/>
            </w:pPr>
            <w:r>
              <w:t>154.33</w:t>
            </w:r>
          </w:p>
        </w:tc>
      </w:tr>
      <w:tr w14:paraId="6B6F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18DA">
            <w:pPr>
              <w:pStyle w:val="13"/>
            </w:pPr>
            <w:r>
              <w:t>4</w:t>
            </w:r>
          </w:p>
        </w:tc>
        <w:tc>
          <w:tcPr>
            <w:tcW w:w="1191" w:type="dxa"/>
            <w:vAlign w:val="center"/>
          </w:tcPr>
          <w:p w14:paraId="3190A86E">
            <w:pPr>
              <w:pStyle w:val="12"/>
            </w:pPr>
            <w:r>
              <w:t>2050203</w:t>
            </w:r>
          </w:p>
        </w:tc>
        <w:tc>
          <w:tcPr>
            <w:tcW w:w="4535" w:type="dxa"/>
            <w:vAlign w:val="center"/>
          </w:tcPr>
          <w:p w14:paraId="3DD5476A">
            <w:pPr>
              <w:pStyle w:val="12"/>
            </w:pPr>
            <w:r>
              <w:t>初中教育</w:t>
            </w:r>
          </w:p>
        </w:tc>
        <w:tc>
          <w:tcPr>
            <w:tcW w:w="2551" w:type="dxa"/>
            <w:vAlign w:val="center"/>
          </w:tcPr>
          <w:p w14:paraId="12FDA78E">
            <w:pPr>
              <w:pStyle w:val="11"/>
            </w:pPr>
            <w:r>
              <w:t>841.50</w:t>
            </w:r>
          </w:p>
        </w:tc>
        <w:tc>
          <w:tcPr>
            <w:tcW w:w="2551" w:type="dxa"/>
            <w:vAlign w:val="center"/>
          </w:tcPr>
          <w:p w14:paraId="3B3AF819">
            <w:pPr>
              <w:pStyle w:val="11"/>
            </w:pPr>
            <w:r>
              <w:t>687.18</w:t>
            </w:r>
          </w:p>
        </w:tc>
        <w:tc>
          <w:tcPr>
            <w:tcW w:w="2551" w:type="dxa"/>
            <w:vAlign w:val="center"/>
          </w:tcPr>
          <w:p w14:paraId="3641BD80">
            <w:pPr>
              <w:pStyle w:val="11"/>
            </w:pPr>
            <w:r>
              <w:t>154.33</w:t>
            </w:r>
          </w:p>
        </w:tc>
      </w:tr>
    </w:tbl>
    <w:p w14:paraId="51055628">
      <w:pPr>
        <w:sectPr>
          <w:pgSz w:w="16840" w:h="11900" w:orient="landscape"/>
          <w:pgMar w:top="1361" w:right="1020" w:bottom="1134" w:left="1020" w:header="720" w:footer="720" w:gutter="0"/>
          <w:cols w:space="720" w:num="1"/>
        </w:sectPr>
      </w:pPr>
    </w:p>
    <w:p w14:paraId="02017A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A0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7D8539">
            <w:pPr>
              <w:pStyle w:val="9"/>
            </w:pPr>
            <w:r>
              <w:t>360005隆尧县尹村中学</w:t>
            </w:r>
          </w:p>
        </w:tc>
        <w:tc>
          <w:tcPr>
            <w:tcW w:w="2551" w:type="dxa"/>
            <w:tcBorders>
              <w:top w:val="single" w:color="FFFFFF" w:sz="6" w:space="0"/>
              <w:left w:val="single" w:color="FFFFFF" w:sz="6" w:space="0"/>
              <w:right w:val="single" w:color="FFFFFF" w:sz="6" w:space="0"/>
            </w:tcBorders>
            <w:vAlign w:val="center"/>
          </w:tcPr>
          <w:p w14:paraId="6FFB5E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7386F8">
            <w:pPr>
              <w:pStyle w:val="7"/>
            </w:pPr>
            <w:r>
              <w:t>单位：万元</w:t>
            </w:r>
          </w:p>
        </w:tc>
      </w:tr>
      <w:tr w14:paraId="2C5B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636BB">
            <w:pPr>
              <w:pStyle w:val="10"/>
            </w:pPr>
            <w:r>
              <w:t>序号</w:t>
            </w:r>
          </w:p>
        </w:tc>
        <w:tc>
          <w:tcPr>
            <w:tcW w:w="5726" w:type="dxa"/>
            <w:gridSpan w:val="2"/>
            <w:vAlign w:val="center"/>
          </w:tcPr>
          <w:p w14:paraId="187229E8">
            <w:pPr>
              <w:pStyle w:val="10"/>
            </w:pPr>
            <w:r>
              <w:t>支出部门经济分类科目</w:t>
            </w:r>
          </w:p>
        </w:tc>
        <w:tc>
          <w:tcPr>
            <w:tcW w:w="7653" w:type="dxa"/>
            <w:gridSpan w:val="3"/>
            <w:vAlign w:val="center"/>
          </w:tcPr>
          <w:p w14:paraId="6F4DE5A8">
            <w:pPr>
              <w:pStyle w:val="10"/>
            </w:pPr>
            <w:r>
              <w:t>一般公共预算基本支出</w:t>
            </w:r>
          </w:p>
        </w:tc>
      </w:tr>
      <w:tr w14:paraId="2A876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F8F86"/>
        </w:tc>
        <w:tc>
          <w:tcPr>
            <w:tcW w:w="1191" w:type="dxa"/>
            <w:vAlign w:val="center"/>
          </w:tcPr>
          <w:p w14:paraId="5DEF7B44">
            <w:pPr>
              <w:pStyle w:val="10"/>
            </w:pPr>
            <w:r>
              <w:t>科目编码</w:t>
            </w:r>
          </w:p>
        </w:tc>
        <w:tc>
          <w:tcPr>
            <w:tcW w:w="4535" w:type="dxa"/>
            <w:vAlign w:val="center"/>
          </w:tcPr>
          <w:p w14:paraId="7EC4DB31">
            <w:pPr>
              <w:pStyle w:val="10"/>
            </w:pPr>
            <w:r>
              <w:t>科目名称</w:t>
            </w:r>
          </w:p>
        </w:tc>
        <w:tc>
          <w:tcPr>
            <w:tcW w:w="2551" w:type="dxa"/>
            <w:vAlign w:val="center"/>
          </w:tcPr>
          <w:p w14:paraId="2A5AC914">
            <w:pPr>
              <w:pStyle w:val="10"/>
            </w:pPr>
            <w:r>
              <w:t>合计</w:t>
            </w:r>
          </w:p>
        </w:tc>
        <w:tc>
          <w:tcPr>
            <w:tcW w:w="2551" w:type="dxa"/>
            <w:vAlign w:val="center"/>
          </w:tcPr>
          <w:p w14:paraId="1AC22CF7">
            <w:pPr>
              <w:pStyle w:val="10"/>
            </w:pPr>
            <w:r>
              <w:t>人员经费</w:t>
            </w:r>
          </w:p>
        </w:tc>
        <w:tc>
          <w:tcPr>
            <w:tcW w:w="2551" w:type="dxa"/>
            <w:vAlign w:val="center"/>
          </w:tcPr>
          <w:p w14:paraId="28BEA298">
            <w:pPr>
              <w:pStyle w:val="10"/>
            </w:pPr>
            <w:r>
              <w:t>公用经费</w:t>
            </w:r>
          </w:p>
        </w:tc>
      </w:tr>
      <w:tr w14:paraId="6247F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EBA20F">
            <w:pPr>
              <w:pStyle w:val="10"/>
            </w:pPr>
            <w:r>
              <w:t>栏次</w:t>
            </w:r>
          </w:p>
        </w:tc>
        <w:tc>
          <w:tcPr>
            <w:tcW w:w="1191" w:type="dxa"/>
            <w:vAlign w:val="center"/>
          </w:tcPr>
          <w:p w14:paraId="175DD388">
            <w:pPr>
              <w:pStyle w:val="10"/>
            </w:pPr>
            <w:r>
              <w:t>1</w:t>
            </w:r>
          </w:p>
        </w:tc>
        <w:tc>
          <w:tcPr>
            <w:tcW w:w="4535" w:type="dxa"/>
            <w:vAlign w:val="center"/>
          </w:tcPr>
          <w:p w14:paraId="4FA00EAA">
            <w:pPr>
              <w:pStyle w:val="10"/>
            </w:pPr>
            <w:r>
              <w:t>2</w:t>
            </w:r>
          </w:p>
        </w:tc>
        <w:tc>
          <w:tcPr>
            <w:tcW w:w="2551" w:type="dxa"/>
            <w:vAlign w:val="center"/>
          </w:tcPr>
          <w:p w14:paraId="39C52F36">
            <w:pPr>
              <w:pStyle w:val="10"/>
            </w:pPr>
            <w:r>
              <w:t>3</w:t>
            </w:r>
          </w:p>
        </w:tc>
        <w:tc>
          <w:tcPr>
            <w:tcW w:w="2551" w:type="dxa"/>
            <w:vAlign w:val="center"/>
          </w:tcPr>
          <w:p w14:paraId="06A441F4">
            <w:pPr>
              <w:pStyle w:val="10"/>
            </w:pPr>
            <w:r>
              <w:t>4</w:t>
            </w:r>
          </w:p>
        </w:tc>
        <w:tc>
          <w:tcPr>
            <w:tcW w:w="2551" w:type="dxa"/>
            <w:vAlign w:val="center"/>
          </w:tcPr>
          <w:p w14:paraId="0E486554">
            <w:pPr>
              <w:pStyle w:val="10"/>
            </w:pPr>
            <w:r>
              <w:t>5</w:t>
            </w:r>
          </w:p>
        </w:tc>
      </w:tr>
      <w:tr w14:paraId="0FBF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98F8">
            <w:pPr>
              <w:pStyle w:val="13"/>
            </w:pPr>
            <w:r>
              <w:t>1</w:t>
            </w:r>
          </w:p>
        </w:tc>
        <w:tc>
          <w:tcPr>
            <w:tcW w:w="1191" w:type="dxa"/>
            <w:vAlign w:val="center"/>
          </w:tcPr>
          <w:p w14:paraId="739166DF">
            <w:pPr>
              <w:pStyle w:val="16"/>
            </w:pPr>
          </w:p>
        </w:tc>
        <w:tc>
          <w:tcPr>
            <w:tcW w:w="4535" w:type="dxa"/>
            <w:vAlign w:val="center"/>
          </w:tcPr>
          <w:p w14:paraId="65105B3E">
            <w:pPr>
              <w:pStyle w:val="14"/>
            </w:pPr>
            <w:r>
              <w:t>合计</w:t>
            </w:r>
          </w:p>
        </w:tc>
        <w:tc>
          <w:tcPr>
            <w:tcW w:w="2551" w:type="dxa"/>
            <w:vAlign w:val="center"/>
          </w:tcPr>
          <w:p w14:paraId="524F767C">
            <w:pPr>
              <w:pStyle w:val="15"/>
            </w:pPr>
            <w:r>
              <w:t>687.18</w:t>
            </w:r>
          </w:p>
        </w:tc>
        <w:tc>
          <w:tcPr>
            <w:tcW w:w="2551" w:type="dxa"/>
            <w:vAlign w:val="center"/>
          </w:tcPr>
          <w:p w14:paraId="2D1D7B99">
            <w:pPr>
              <w:pStyle w:val="15"/>
            </w:pPr>
            <w:r>
              <w:t>687.18</w:t>
            </w:r>
          </w:p>
        </w:tc>
        <w:tc>
          <w:tcPr>
            <w:tcW w:w="2551" w:type="dxa"/>
            <w:vAlign w:val="center"/>
          </w:tcPr>
          <w:p w14:paraId="0B6CD836">
            <w:pPr>
              <w:pStyle w:val="15"/>
            </w:pPr>
          </w:p>
        </w:tc>
      </w:tr>
      <w:tr w14:paraId="21D2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729F">
            <w:pPr>
              <w:pStyle w:val="13"/>
            </w:pPr>
            <w:r>
              <w:t>2</w:t>
            </w:r>
          </w:p>
        </w:tc>
        <w:tc>
          <w:tcPr>
            <w:tcW w:w="1191" w:type="dxa"/>
            <w:vAlign w:val="center"/>
          </w:tcPr>
          <w:p w14:paraId="099D65CC">
            <w:pPr>
              <w:pStyle w:val="12"/>
            </w:pPr>
            <w:r>
              <w:t>301</w:t>
            </w:r>
          </w:p>
        </w:tc>
        <w:tc>
          <w:tcPr>
            <w:tcW w:w="4535" w:type="dxa"/>
            <w:vAlign w:val="center"/>
          </w:tcPr>
          <w:p w14:paraId="024442AA">
            <w:pPr>
              <w:pStyle w:val="12"/>
            </w:pPr>
            <w:r>
              <w:t>工资福利支出</w:t>
            </w:r>
          </w:p>
        </w:tc>
        <w:tc>
          <w:tcPr>
            <w:tcW w:w="2551" w:type="dxa"/>
            <w:vAlign w:val="center"/>
          </w:tcPr>
          <w:p w14:paraId="28ACB36A">
            <w:pPr>
              <w:pStyle w:val="11"/>
            </w:pPr>
            <w:r>
              <w:t>674.18</w:t>
            </w:r>
          </w:p>
        </w:tc>
        <w:tc>
          <w:tcPr>
            <w:tcW w:w="2551" w:type="dxa"/>
            <w:vAlign w:val="center"/>
          </w:tcPr>
          <w:p w14:paraId="54EB5842">
            <w:pPr>
              <w:pStyle w:val="11"/>
            </w:pPr>
            <w:r>
              <w:t>674.18</w:t>
            </w:r>
          </w:p>
        </w:tc>
        <w:tc>
          <w:tcPr>
            <w:tcW w:w="2551" w:type="dxa"/>
            <w:vAlign w:val="center"/>
          </w:tcPr>
          <w:p w14:paraId="608E2D09">
            <w:pPr>
              <w:pStyle w:val="11"/>
            </w:pPr>
          </w:p>
        </w:tc>
      </w:tr>
      <w:tr w14:paraId="160A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A1BD">
            <w:pPr>
              <w:pStyle w:val="13"/>
            </w:pPr>
            <w:r>
              <w:t>3</w:t>
            </w:r>
          </w:p>
        </w:tc>
        <w:tc>
          <w:tcPr>
            <w:tcW w:w="1191" w:type="dxa"/>
            <w:vAlign w:val="center"/>
          </w:tcPr>
          <w:p w14:paraId="7A7315DB">
            <w:pPr>
              <w:pStyle w:val="12"/>
            </w:pPr>
            <w:r>
              <w:t>30101</w:t>
            </w:r>
          </w:p>
        </w:tc>
        <w:tc>
          <w:tcPr>
            <w:tcW w:w="4535" w:type="dxa"/>
            <w:vAlign w:val="center"/>
          </w:tcPr>
          <w:p w14:paraId="66EE581C">
            <w:pPr>
              <w:pStyle w:val="12"/>
            </w:pPr>
            <w:r>
              <w:t>基本工资</w:t>
            </w:r>
          </w:p>
        </w:tc>
        <w:tc>
          <w:tcPr>
            <w:tcW w:w="2551" w:type="dxa"/>
            <w:vAlign w:val="center"/>
          </w:tcPr>
          <w:p w14:paraId="7712A5FF">
            <w:pPr>
              <w:pStyle w:val="11"/>
            </w:pPr>
            <w:r>
              <w:t>316.38</w:t>
            </w:r>
          </w:p>
        </w:tc>
        <w:tc>
          <w:tcPr>
            <w:tcW w:w="2551" w:type="dxa"/>
            <w:vAlign w:val="center"/>
          </w:tcPr>
          <w:p w14:paraId="007F00B9">
            <w:pPr>
              <w:pStyle w:val="11"/>
            </w:pPr>
            <w:r>
              <w:t>316.38</w:t>
            </w:r>
          </w:p>
        </w:tc>
        <w:tc>
          <w:tcPr>
            <w:tcW w:w="2551" w:type="dxa"/>
            <w:vAlign w:val="center"/>
          </w:tcPr>
          <w:p w14:paraId="3C93F8E5">
            <w:pPr>
              <w:pStyle w:val="11"/>
            </w:pPr>
          </w:p>
        </w:tc>
      </w:tr>
      <w:tr w14:paraId="5F97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0FDA4">
            <w:pPr>
              <w:pStyle w:val="13"/>
            </w:pPr>
            <w:r>
              <w:t>4</w:t>
            </w:r>
          </w:p>
        </w:tc>
        <w:tc>
          <w:tcPr>
            <w:tcW w:w="1191" w:type="dxa"/>
            <w:vAlign w:val="center"/>
          </w:tcPr>
          <w:p w14:paraId="0C2398BF">
            <w:pPr>
              <w:pStyle w:val="12"/>
            </w:pPr>
            <w:r>
              <w:t>30102</w:t>
            </w:r>
          </w:p>
        </w:tc>
        <w:tc>
          <w:tcPr>
            <w:tcW w:w="4535" w:type="dxa"/>
            <w:vAlign w:val="center"/>
          </w:tcPr>
          <w:p w14:paraId="31AE1715">
            <w:pPr>
              <w:pStyle w:val="12"/>
            </w:pPr>
            <w:r>
              <w:t>津贴补贴</w:t>
            </w:r>
          </w:p>
        </w:tc>
        <w:tc>
          <w:tcPr>
            <w:tcW w:w="2551" w:type="dxa"/>
            <w:vAlign w:val="center"/>
          </w:tcPr>
          <w:p w14:paraId="70C2AE09">
            <w:pPr>
              <w:pStyle w:val="11"/>
            </w:pPr>
            <w:r>
              <w:t>30.08</w:t>
            </w:r>
          </w:p>
        </w:tc>
        <w:tc>
          <w:tcPr>
            <w:tcW w:w="2551" w:type="dxa"/>
            <w:vAlign w:val="center"/>
          </w:tcPr>
          <w:p w14:paraId="343843E4">
            <w:pPr>
              <w:pStyle w:val="11"/>
            </w:pPr>
            <w:r>
              <w:t>30.08</w:t>
            </w:r>
          </w:p>
        </w:tc>
        <w:tc>
          <w:tcPr>
            <w:tcW w:w="2551" w:type="dxa"/>
            <w:vAlign w:val="center"/>
          </w:tcPr>
          <w:p w14:paraId="7BF4F01A">
            <w:pPr>
              <w:pStyle w:val="11"/>
            </w:pPr>
          </w:p>
        </w:tc>
      </w:tr>
      <w:tr w14:paraId="44ED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30ED3">
            <w:pPr>
              <w:pStyle w:val="13"/>
            </w:pPr>
            <w:r>
              <w:t>5</w:t>
            </w:r>
          </w:p>
        </w:tc>
        <w:tc>
          <w:tcPr>
            <w:tcW w:w="1191" w:type="dxa"/>
            <w:vAlign w:val="center"/>
          </w:tcPr>
          <w:p w14:paraId="26F00958">
            <w:pPr>
              <w:pStyle w:val="12"/>
            </w:pPr>
            <w:r>
              <w:t>30107</w:t>
            </w:r>
          </w:p>
        </w:tc>
        <w:tc>
          <w:tcPr>
            <w:tcW w:w="4535" w:type="dxa"/>
            <w:vAlign w:val="center"/>
          </w:tcPr>
          <w:p w14:paraId="01C0B39A">
            <w:pPr>
              <w:pStyle w:val="12"/>
            </w:pPr>
            <w:r>
              <w:t>绩效工资</w:t>
            </w:r>
          </w:p>
        </w:tc>
        <w:tc>
          <w:tcPr>
            <w:tcW w:w="2551" w:type="dxa"/>
            <w:vAlign w:val="center"/>
          </w:tcPr>
          <w:p w14:paraId="54370F73">
            <w:pPr>
              <w:pStyle w:val="11"/>
            </w:pPr>
            <w:r>
              <w:t>172.84</w:t>
            </w:r>
          </w:p>
        </w:tc>
        <w:tc>
          <w:tcPr>
            <w:tcW w:w="2551" w:type="dxa"/>
            <w:vAlign w:val="center"/>
          </w:tcPr>
          <w:p w14:paraId="4F0BC10F">
            <w:pPr>
              <w:pStyle w:val="11"/>
            </w:pPr>
            <w:r>
              <w:t>172.84</w:t>
            </w:r>
          </w:p>
        </w:tc>
        <w:tc>
          <w:tcPr>
            <w:tcW w:w="2551" w:type="dxa"/>
            <w:vAlign w:val="center"/>
          </w:tcPr>
          <w:p w14:paraId="5DF1640B">
            <w:pPr>
              <w:pStyle w:val="11"/>
            </w:pPr>
          </w:p>
        </w:tc>
      </w:tr>
      <w:tr w14:paraId="7170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5F77E">
            <w:pPr>
              <w:pStyle w:val="13"/>
            </w:pPr>
            <w:r>
              <w:t>6</w:t>
            </w:r>
          </w:p>
        </w:tc>
        <w:tc>
          <w:tcPr>
            <w:tcW w:w="1191" w:type="dxa"/>
            <w:vAlign w:val="center"/>
          </w:tcPr>
          <w:p w14:paraId="3A05F3E8">
            <w:pPr>
              <w:pStyle w:val="12"/>
            </w:pPr>
            <w:r>
              <w:t>30108</w:t>
            </w:r>
          </w:p>
        </w:tc>
        <w:tc>
          <w:tcPr>
            <w:tcW w:w="4535" w:type="dxa"/>
            <w:vAlign w:val="center"/>
          </w:tcPr>
          <w:p w14:paraId="37443BD6">
            <w:pPr>
              <w:pStyle w:val="12"/>
            </w:pPr>
            <w:r>
              <w:t>机关事业单位基本养老保险缴费</w:t>
            </w:r>
          </w:p>
        </w:tc>
        <w:tc>
          <w:tcPr>
            <w:tcW w:w="2551" w:type="dxa"/>
            <w:vAlign w:val="center"/>
          </w:tcPr>
          <w:p w14:paraId="19FE8995">
            <w:pPr>
              <w:pStyle w:val="11"/>
            </w:pPr>
            <w:r>
              <w:t>69.06</w:t>
            </w:r>
          </w:p>
        </w:tc>
        <w:tc>
          <w:tcPr>
            <w:tcW w:w="2551" w:type="dxa"/>
            <w:vAlign w:val="center"/>
          </w:tcPr>
          <w:p w14:paraId="0C29FCDB">
            <w:pPr>
              <w:pStyle w:val="11"/>
            </w:pPr>
            <w:r>
              <w:t>69.06</w:t>
            </w:r>
          </w:p>
        </w:tc>
        <w:tc>
          <w:tcPr>
            <w:tcW w:w="2551" w:type="dxa"/>
            <w:vAlign w:val="center"/>
          </w:tcPr>
          <w:p w14:paraId="0556C294">
            <w:pPr>
              <w:pStyle w:val="11"/>
            </w:pPr>
          </w:p>
        </w:tc>
      </w:tr>
      <w:tr w14:paraId="363B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FA39D">
            <w:pPr>
              <w:pStyle w:val="13"/>
            </w:pPr>
            <w:r>
              <w:t>7</w:t>
            </w:r>
          </w:p>
        </w:tc>
        <w:tc>
          <w:tcPr>
            <w:tcW w:w="1191" w:type="dxa"/>
            <w:vAlign w:val="center"/>
          </w:tcPr>
          <w:p w14:paraId="4DCCD667">
            <w:pPr>
              <w:pStyle w:val="12"/>
            </w:pPr>
            <w:r>
              <w:t>30110</w:t>
            </w:r>
          </w:p>
        </w:tc>
        <w:tc>
          <w:tcPr>
            <w:tcW w:w="4535" w:type="dxa"/>
            <w:vAlign w:val="center"/>
          </w:tcPr>
          <w:p w14:paraId="5CBA42CC">
            <w:pPr>
              <w:pStyle w:val="12"/>
            </w:pPr>
            <w:r>
              <w:t>职工基本医疗保险缴费</w:t>
            </w:r>
          </w:p>
        </w:tc>
        <w:tc>
          <w:tcPr>
            <w:tcW w:w="2551" w:type="dxa"/>
            <w:vAlign w:val="center"/>
          </w:tcPr>
          <w:p w14:paraId="2DE9974D">
            <w:pPr>
              <w:pStyle w:val="11"/>
            </w:pPr>
            <w:r>
              <w:t>32.02</w:t>
            </w:r>
          </w:p>
        </w:tc>
        <w:tc>
          <w:tcPr>
            <w:tcW w:w="2551" w:type="dxa"/>
            <w:vAlign w:val="center"/>
          </w:tcPr>
          <w:p w14:paraId="46CBFC15">
            <w:pPr>
              <w:pStyle w:val="11"/>
            </w:pPr>
            <w:r>
              <w:t>32.02</w:t>
            </w:r>
          </w:p>
        </w:tc>
        <w:tc>
          <w:tcPr>
            <w:tcW w:w="2551" w:type="dxa"/>
            <w:vAlign w:val="center"/>
          </w:tcPr>
          <w:p w14:paraId="5E99E22A">
            <w:pPr>
              <w:pStyle w:val="11"/>
            </w:pPr>
          </w:p>
        </w:tc>
      </w:tr>
      <w:tr w14:paraId="7CF5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6FF90">
            <w:pPr>
              <w:pStyle w:val="13"/>
            </w:pPr>
            <w:r>
              <w:t>8</w:t>
            </w:r>
          </w:p>
        </w:tc>
        <w:tc>
          <w:tcPr>
            <w:tcW w:w="1191" w:type="dxa"/>
            <w:vAlign w:val="center"/>
          </w:tcPr>
          <w:p w14:paraId="3C01986F">
            <w:pPr>
              <w:pStyle w:val="12"/>
            </w:pPr>
            <w:r>
              <w:t>30112</w:t>
            </w:r>
          </w:p>
        </w:tc>
        <w:tc>
          <w:tcPr>
            <w:tcW w:w="4535" w:type="dxa"/>
            <w:vAlign w:val="center"/>
          </w:tcPr>
          <w:p w14:paraId="4A06B50C">
            <w:pPr>
              <w:pStyle w:val="12"/>
            </w:pPr>
            <w:r>
              <w:t>其他社会保障缴费</w:t>
            </w:r>
          </w:p>
        </w:tc>
        <w:tc>
          <w:tcPr>
            <w:tcW w:w="2551" w:type="dxa"/>
            <w:vAlign w:val="center"/>
          </w:tcPr>
          <w:p w14:paraId="712485C5">
            <w:pPr>
              <w:pStyle w:val="11"/>
            </w:pPr>
            <w:r>
              <w:t>2.33</w:t>
            </w:r>
          </w:p>
        </w:tc>
        <w:tc>
          <w:tcPr>
            <w:tcW w:w="2551" w:type="dxa"/>
            <w:vAlign w:val="center"/>
          </w:tcPr>
          <w:p w14:paraId="24C329EC">
            <w:pPr>
              <w:pStyle w:val="11"/>
            </w:pPr>
            <w:r>
              <w:t>2.33</w:t>
            </w:r>
          </w:p>
        </w:tc>
        <w:tc>
          <w:tcPr>
            <w:tcW w:w="2551" w:type="dxa"/>
            <w:vAlign w:val="center"/>
          </w:tcPr>
          <w:p w14:paraId="28E729CE">
            <w:pPr>
              <w:pStyle w:val="11"/>
            </w:pPr>
          </w:p>
        </w:tc>
      </w:tr>
      <w:tr w14:paraId="4DB9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E0B38">
            <w:pPr>
              <w:pStyle w:val="13"/>
            </w:pPr>
            <w:r>
              <w:t>9</w:t>
            </w:r>
          </w:p>
        </w:tc>
        <w:tc>
          <w:tcPr>
            <w:tcW w:w="1191" w:type="dxa"/>
            <w:vAlign w:val="center"/>
          </w:tcPr>
          <w:p w14:paraId="5AFC7164">
            <w:pPr>
              <w:pStyle w:val="12"/>
            </w:pPr>
            <w:r>
              <w:t>30113</w:t>
            </w:r>
          </w:p>
        </w:tc>
        <w:tc>
          <w:tcPr>
            <w:tcW w:w="4535" w:type="dxa"/>
            <w:vAlign w:val="center"/>
          </w:tcPr>
          <w:p w14:paraId="660C2C07">
            <w:pPr>
              <w:pStyle w:val="12"/>
            </w:pPr>
            <w:r>
              <w:t>住房公积金</w:t>
            </w:r>
          </w:p>
        </w:tc>
        <w:tc>
          <w:tcPr>
            <w:tcW w:w="2551" w:type="dxa"/>
            <w:vAlign w:val="center"/>
          </w:tcPr>
          <w:p w14:paraId="044D4FBB">
            <w:pPr>
              <w:pStyle w:val="11"/>
            </w:pPr>
            <w:r>
              <w:t>51.47</w:t>
            </w:r>
          </w:p>
        </w:tc>
        <w:tc>
          <w:tcPr>
            <w:tcW w:w="2551" w:type="dxa"/>
            <w:vAlign w:val="center"/>
          </w:tcPr>
          <w:p w14:paraId="249E83EF">
            <w:pPr>
              <w:pStyle w:val="11"/>
            </w:pPr>
            <w:r>
              <w:t>51.47</w:t>
            </w:r>
          </w:p>
        </w:tc>
        <w:tc>
          <w:tcPr>
            <w:tcW w:w="2551" w:type="dxa"/>
            <w:vAlign w:val="center"/>
          </w:tcPr>
          <w:p w14:paraId="0646D997">
            <w:pPr>
              <w:pStyle w:val="11"/>
            </w:pPr>
          </w:p>
        </w:tc>
      </w:tr>
      <w:tr w14:paraId="7BF6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6E97">
            <w:pPr>
              <w:pStyle w:val="13"/>
            </w:pPr>
            <w:r>
              <w:t>10</w:t>
            </w:r>
          </w:p>
        </w:tc>
        <w:tc>
          <w:tcPr>
            <w:tcW w:w="1191" w:type="dxa"/>
            <w:vAlign w:val="center"/>
          </w:tcPr>
          <w:p w14:paraId="20F751A3">
            <w:pPr>
              <w:pStyle w:val="12"/>
            </w:pPr>
            <w:r>
              <w:t>303</w:t>
            </w:r>
          </w:p>
        </w:tc>
        <w:tc>
          <w:tcPr>
            <w:tcW w:w="4535" w:type="dxa"/>
            <w:vAlign w:val="center"/>
          </w:tcPr>
          <w:p w14:paraId="32894E26">
            <w:pPr>
              <w:pStyle w:val="12"/>
            </w:pPr>
            <w:r>
              <w:t>对个人和家庭的补助</w:t>
            </w:r>
          </w:p>
        </w:tc>
        <w:tc>
          <w:tcPr>
            <w:tcW w:w="2551" w:type="dxa"/>
            <w:vAlign w:val="center"/>
          </w:tcPr>
          <w:p w14:paraId="0A73E92B">
            <w:pPr>
              <w:pStyle w:val="11"/>
            </w:pPr>
            <w:r>
              <w:t>12.99</w:t>
            </w:r>
          </w:p>
        </w:tc>
        <w:tc>
          <w:tcPr>
            <w:tcW w:w="2551" w:type="dxa"/>
            <w:vAlign w:val="center"/>
          </w:tcPr>
          <w:p w14:paraId="0596788C">
            <w:pPr>
              <w:pStyle w:val="11"/>
            </w:pPr>
            <w:r>
              <w:t>12.99</w:t>
            </w:r>
          </w:p>
        </w:tc>
        <w:tc>
          <w:tcPr>
            <w:tcW w:w="2551" w:type="dxa"/>
            <w:vAlign w:val="center"/>
          </w:tcPr>
          <w:p w14:paraId="5ADCAF96">
            <w:pPr>
              <w:pStyle w:val="11"/>
            </w:pPr>
          </w:p>
        </w:tc>
      </w:tr>
      <w:tr w14:paraId="32D9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B3B9">
            <w:pPr>
              <w:pStyle w:val="13"/>
            </w:pPr>
            <w:r>
              <w:t>11</w:t>
            </w:r>
          </w:p>
        </w:tc>
        <w:tc>
          <w:tcPr>
            <w:tcW w:w="1191" w:type="dxa"/>
            <w:vAlign w:val="center"/>
          </w:tcPr>
          <w:p w14:paraId="2F46174E">
            <w:pPr>
              <w:pStyle w:val="12"/>
            </w:pPr>
            <w:r>
              <w:t>30302</w:t>
            </w:r>
          </w:p>
        </w:tc>
        <w:tc>
          <w:tcPr>
            <w:tcW w:w="4535" w:type="dxa"/>
            <w:vAlign w:val="center"/>
          </w:tcPr>
          <w:p w14:paraId="4578E11C">
            <w:pPr>
              <w:pStyle w:val="12"/>
            </w:pPr>
            <w:r>
              <w:t>退休费</w:t>
            </w:r>
          </w:p>
        </w:tc>
        <w:tc>
          <w:tcPr>
            <w:tcW w:w="2551" w:type="dxa"/>
            <w:vAlign w:val="center"/>
          </w:tcPr>
          <w:p w14:paraId="1C510FA3">
            <w:pPr>
              <w:pStyle w:val="11"/>
            </w:pPr>
            <w:r>
              <w:t>9.75</w:t>
            </w:r>
          </w:p>
        </w:tc>
        <w:tc>
          <w:tcPr>
            <w:tcW w:w="2551" w:type="dxa"/>
            <w:vAlign w:val="center"/>
          </w:tcPr>
          <w:p w14:paraId="472B57C6">
            <w:pPr>
              <w:pStyle w:val="11"/>
            </w:pPr>
            <w:r>
              <w:t>9.75</w:t>
            </w:r>
          </w:p>
        </w:tc>
        <w:tc>
          <w:tcPr>
            <w:tcW w:w="2551" w:type="dxa"/>
            <w:vAlign w:val="center"/>
          </w:tcPr>
          <w:p w14:paraId="3DA9AED8">
            <w:pPr>
              <w:pStyle w:val="11"/>
            </w:pPr>
          </w:p>
        </w:tc>
      </w:tr>
      <w:tr w14:paraId="24ED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D5BB5">
            <w:pPr>
              <w:pStyle w:val="13"/>
            </w:pPr>
            <w:r>
              <w:t>12</w:t>
            </w:r>
          </w:p>
        </w:tc>
        <w:tc>
          <w:tcPr>
            <w:tcW w:w="1191" w:type="dxa"/>
            <w:vAlign w:val="center"/>
          </w:tcPr>
          <w:p w14:paraId="7C13AF7F">
            <w:pPr>
              <w:pStyle w:val="12"/>
            </w:pPr>
            <w:r>
              <w:t>30305</w:t>
            </w:r>
          </w:p>
        </w:tc>
        <w:tc>
          <w:tcPr>
            <w:tcW w:w="4535" w:type="dxa"/>
            <w:vAlign w:val="center"/>
          </w:tcPr>
          <w:p w14:paraId="55565AB4">
            <w:pPr>
              <w:pStyle w:val="12"/>
            </w:pPr>
            <w:r>
              <w:t>生活补助</w:t>
            </w:r>
          </w:p>
        </w:tc>
        <w:tc>
          <w:tcPr>
            <w:tcW w:w="2551" w:type="dxa"/>
            <w:vAlign w:val="center"/>
          </w:tcPr>
          <w:p w14:paraId="72266DDB">
            <w:pPr>
              <w:pStyle w:val="11"/>
            </w:pPr>
            <w:r>
              <w:t>3.24</w:t>
            </w:r>
          </w:p>
        </w:tc>
        <w:tc>
          <w:tcPr>
            <w:tcW w:w="2551" w:type="dxa"/>
            <w:vAlign w:val="center"/>
          </w:tcPr>
          <w:p w14:paraId="2325A213">
            <w:pPr>
              <w:pStyle w:val="11"/>
            </w:pPr>
            <w:r>
              <w:t>3.24</w:t>
            </w:r>
          </w:p>
        </w:tc>
        <w:tc>
          <w:tcPr>
            <w:tcW w:w="2551" w:type="dxa"/>
            <w:vAlign w:val="center"/>
          </w:tcPr>
          <w:p w14:paraId="68CC9766">
            <w:pPr>
              <w:pStyle w:val="11"/>
            </w:pPr>
          </w:p>
        </w:tc>
      </w:tr>
    </w:tbl>
    <w:p w14:paraId="7A1F7FE6">
      <w:pPr>
        <w:sectPr>
          <w:pgSz w:w="16840" w:h="11900" w:orient="landscape"/>
          <w:pgMar w:top="1361" w:right="1020" w:bottom="1134" w:left="1020" w:header="720" w:footer="720" w:gutter="0"/>
          <w:cols w:space="720" w:num="1"/>
        </w:sectPr>
      </w:pPr>
    </w:p>
    <w:p w14:paraId="278341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F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8F5787">
            <w:pPr>
              <w:pStyle w:val="9"/>
            </w:pPr>
            <w:r>
              <w:t>360005隆尧县尹村中学</w:t>
            </w:r>
          </w:p>
        </w:tc>
        <w:tc>
          <w:tcPr>
            <w:tcW w:w="2551" w:type="dxa"/>
            <w:tcBorders>
              <w:top w:val="single" w:color="FFFFFF" w:sz="6" w:space="0"/>
              <w:left w:val="single" w:color="FFFFFF" w:sz="6" w:space="0"/>
              <w:right w:val="single" w:color="FFFFFF" w:sz="6" w:space="0"/>
            </w:tcBorders>
            <w:vAlign w:val="center"/>
          </w:tcPr>
          <w:p w14:paraId="083DB1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E525A7">
            <w:pPr>
              <w:pStyle w:val="7"/>
            </w:pPr>
            <w:r>
              <w:t>单位：万元</w:t>
            </w:r>
          </w:p>
        </w:tc>
      </w:tr>
      <w:tr w14:paraId="599C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F9047">
            <w:pPr>
              <w:pStyle w:val="10"/>
            </w:pPr>
            <w:r>
              <w:t>序号</w:t>
            </w:r>
          </w:p>
        </w:tc>
        <w:tc>
          <w:tcPr>
            <w:tcW w:w="5726" w:type="dxa"/>
            <w:gridSpan w:val="2"/>
            <w:vAlign w:val="center"/>
          </w:tcPr>
          <w:p w14:paraId="518EECB4">
            <w:pPr>
              <w:pStyle w:val="10"/>
            </w:pPr>
            <w:r>
              <w:t>功能分类科目</w:t>
            </w:r>
          </w:p>
        </w:tc>
        <w:tc>
          <w:tcPr>
            <w:tcW w:w="2551" w:type="dxa"/>
            <w:vMerge w:val="restart"/>
            <w:vAlign w:val="center"/>
          </w:tcPr>
          <w:p w14:paraId="17F6F3A1">
            <w:pPr>
              <w:pStyle w:val="10"/>
            </w:pPr>
            <w:r>
              <w:t>合计</w:t>
            </w:r>
          </w:p>
        </w:tc>
        <w:tc>
          <w:tcPr>
            <w:tcW w:w="2551" w:type="dxa"/>
            <w:vMerge w:val="restart"/>
            <w:vAlign w:val="center"/>
          </w:tcPr>
          <w:p w14:paraId="0A5AABB3">
            <w:pPr>
              <w:pStyle w:val="10"/>
            </w:pPr>
            <w:r>
              <w:t>基本支出</w:t>
            </w:r>
          </w:p>
        </w:tc>
        <w:tc>
          <w:tcPr>
            <w:tcW w:w="2551" w:type="dxa"/>
            <w:vMerge w:val="restart"/>
            <w:vAlign w:val="center"/>
          </w:tcPr>
          <w:p w14:paraId="162B7972">
            <w:pPr>
              <w:pStyle w:val="10"/>
            </w:pPr>
            <w:r>
              <w:t>项目支出</w:t>
            </w:r>
          </w:p>
        </w:tc>
      </w:tr>
      <w:tr w14:paraId="3608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1660B"/>
        </w:tc>
        <w:tc>
          <w:tcPr>
            <w:tcW w:w="1191" w:type="dxa"/>
            <w:vAlign w:val="center"/>
          </w:tcPr>
          <w:p w14:paraId="533CE149">
            <w:pPr>
              <w:pStyle w:val="10"/>
            </w:pPr>
            <w:r>
              <w:t>科目编码</w:t>
            </w:r>
          </w:p>
        </w:tc>
        <w:tc>
          <w:tcPr>
            <w:tcW w:w="4535" w:type="dxa"/>
            <w:vAlign w:val="center"/>
          </w:tcPr>
          <w:p w14:paraId="5D3620A1">
            <w:pPr>
              <w:pStyle w:val="10"/>
            </w:pPr>
            <w:r>
              <w:t>科目名称</w:t>
            </w:r>
          </w:p>
        </w:tc>
        <w:tc>
          <w:tcPr>
            <w:tcW w:w="2551" w:type="dxa"/>
            <w:vMerge w:val="continue"/>
          </w:tcPr>
          <w:p w14:paraId="531FA0AB"/>
        </w:tc>
        <w:tc>
          <w:tcPr>
            <w:tcW w:w="2551" w:type="dxa"/>
            <w:vMerge w:val="continue"/>
          </w:tcPr>
          <w:p w14:paraId="56FA7B09"/>
        </w:tc>
        <w:tc>
          <w:tcPr>
            <w:tcW w:w="2551" w:type="dxa"/>
            <w:vMerge w:val="continue"/>
          </w:tcPr>
          <w:p w14:paraId="171B0857"/>
        </w:tc>
      </w:tr>
      <w:tr w14:paraId="2D75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178D5E">
            <w:pPr>
              <w:pStyle w:val="10"/>
            </w:pPr>
            <w:r>
              <w:t>栏次</w:t>
            </w:r>
          </w:p>
        </w:tc>
        <w:tc>
          <w:tcPr>
            <w:tcW w:w="1191" w:type="dxa"/>
            <w:vAlign w:val="center"/>
          </w:tcPr>
          <w:p w14:paraId="44AC5BFF">
            <w:pPr>
              <w:pStyle w:val="10"/>
            </w:pPr>
            <w:r>
              <w:t>1</w:t>
            </w:r>
          </w:p>
        </w:tc>
        <w:tc>
          <w:tcPr>
            <w:tcW w:w="4535" w:type="dxa"/>
            <w:vAlign w:val="center"/>
          </w:tcPr>
          <w:p w14:paraId="0DDE7A4C">
            <w:pPr>
              <w:pStyle w:val="10"/>
            </w:pPr>
            <w:r>
              <w:t>2</w:t>
            </w:r>
          </w:p>
        </w:tc>
        <w:tc>
          <w:tcPr>
            <w:tcW w:w="2551" w:type="dxa"/>
            <w:vAlign w:val="center"/>
          </w:tcPr>
          <w:p w14:paraId="24DC530F">
            <w:pPr>
              <w:pStyle w:val="10"/>
            </w:pPr>
            <w:r>
              <w:t>3</w:t>
            </w:r>
          </w:p>
        </w:tc>
        <w:tc>
          <w:tcPr>
            <w:tcW w:w="2551" w:type="dxa"/>
            <w:vAlign w:val="center"/>
          </w:tcPr>
          <w:p w14:paraId="5E450CEF">
            <w:pPr>
              <w:pStyle w:val="10"/>
            </w:pPr>
            <w:r>
              <w:t>4</w:t>
            </w:r>
          </w:p>
        </w:tc>
        <w:tc>
          <w:tcPr>
            <w:tcW w:w="2551" w:type="dxa"/>
            <w:vAlign w:val="center"/>
          </w:tcPr>
          <w:p w14:paraId="7A99CF37">
            <w:pPr>
              <w:pStyle w:val="10"/>
            </w:pPr>
            <w:r>
              <w:t>5</w:t>
            </w:r>
          </w:p>
        </w:tc>
      </w:tr>
      <w:tr w14:paraId="01364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406F">
            <w:pPr>
              <w:pStyle w:val="13"/>
            </w:pPr>
          </w:p>
        </w:tc>
        <w:tc>
          <w:tcPr>
            <w:tcW w:w="1191" w:type="dxa"/>
            <w:vAlign w:val="center"/>
          </w:tcPr>
          <w:p w14:paraId="6C4FF42D">
            <w:pPr>
              <w:pStyle w:val="12"/>
            </w:pPr>
          </w:p>
        </w:tc>
        <w:tc>
          <w:tcPr>
            <w:tcW w:w="4535" w:type="dxa"/>
            <w:vAlign w:val="center"/>
          </w:tcPr>
          <w:p w14:paraId="4FBE1695">
            <w:pPr>
              <w:pStyle w:val="12"/>
            </w:pPr>
          </w:p>
        </w:tc>
        <w:tc>
          <w:tcPr>
            <w:tcW w:w="2551" w:type="dxa"/>
            <w:vAlign w:val="center"/>
          </w:tcPr>
          <w:p w14:paraId="58DACD09">
            <w:pPr>
              <w:pStyle w:val="11"/>
            </w:pPr>
          </w:p>
        </w:tc>
        <w:tc>
          <w:tcPr>
            <w:tcW w:w="2551" w:type="dxa"/>
            <w:vAlign w:val="center"/>
          </w:tcPr>
          <w:p w14:paraId="64DECA09">
            <w:pPr>
              <w:pStyle w:val="11"/>
            </w:pPr>
          </w:p>
        </w:tc>
        <w:tc>
          <w:tcPr>
            <w:tcW w:w="2551" w:type="dxa"/>
            <w:vAlign w:val="center"/>
          </w:tcPr>
          <w:p w14:paraId="720264C0">
            <w:pPr>
              <w:pStyle w:val="11"/>
            </w:pPr>
          </w:p>
        </w:tc>
      </w:tr>
    </w:tbl>
    <w:p w14:paraId="4C0A65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61E2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97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5AFBCB">
            <w:pPr>
              <w:pStyle w:val="9"/>
            </w:pPr>
            <w:r>
              <w:t>360005隆尧县尹村中学</w:t>
            </w:r>
          </w:p>
        </w:tc>
        <w:tc>
          <w:tcPr>
            <w:tcW w:w="2551" w:type="dxa"/>
            <w:tcBorders>
              <w:top w:val="single" w:color="FFFFFF" w:sz="6" w:space="0"/>
              <w:left w:val="single" w:color="FFFFFF" w:sz="6" w:space="0"/>
              <w:right w:val="single" w:color="FFFFFF" w:sz="6" w:space="0"/>
            </w:tcBorders>
            <w:vAlign w:val="center"/>
          </w:tcPr>
          <w:p w14:paraId="3A74C72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8F5D88">
            <w:pPr>
              <w:pStyle w:val="7"/>
            </w:pPr>
            <w:r>
              <w:t>单位：万元</w:t>
            </w:r>
          </w:p>
        </w:tc>
      </w:tr>
      <w:tr w14:paraId="07FC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8C06F">
            <w:pPr>
              <w:pStyle w:val="10"/>
            </w:pPr>
            <w:r>
              <w:t>序号</w:t>
            </w:r>
          </w:p>
        </w:tc>
        <w:tc>
          <w:tcPr>
            <w:tcW w:w="5726" w:type="dxa"/>
            <w:gridSpan w:val="2"/>
            <w:vAlign w:val="center"/>
          </w:tcPr>
          <w:p w14:paraId="1F31D220">
            <w:pPr>
              <w:pStyle w:val="10"/>
            </w:pPr>
            <w:r>
              <w:t>功能分类科目</w:t>
            </w:r>
          </w:p>
        </w:tc>
        <w:tc>
          <w:tcPr>
            <w:tcW w:w="2551" w:type="dxa"/>
            <w:vMerge w:val="restart"/>
            <w:vAlign w:val="center"/>
          </w:tcPr>
          <w:p w14:paraId="6C7FA797">
            <w:pPr>
              <w:pStyle w:val="10"/>
            </w:pPr>
            <w:r>
              <w:t>合计</w:t>
            </w:r>
          </w:p>
        </w:tc>
        <w:tc>
          <w:tcPr>
            <w:tcW w:w="2551" w:type="dxa"/>
            <w:vMerge w:val="restart"/>
            <w:vAlign w:val="center"/>
          </w:tcPr>
          <w:p w14:paraId="30ACAB20">
            <w:pPr>
              <w:pStyle w:val="10"/>
            </w:pPr>
            <w:r>
              <w:t>基本支出</w:t>
            </w:r>
          </w:p>
        </w:tc>
        <w:tc>
          <w:tcPr>
            <w:tcW w:w="2551" w:type="dxa"/>
            <w:vMerge w:val="restart"/>
            <w:vAlign w:val="center"/>
          </w:tcPr>
          <w:p w14:paraId="06030120">
            <w:pPr>
              <w:pStyle w:val="10"/>
            </w:pPr>
            <w:r>
              <w:t>项目支出</w:t>
            </w:r>
          </w:p>
        </w:tc>
      </w:tr>
      <w:tr w14:paraId="612F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02828B"/>
        </w:tc>
        <w:tc>
          <w:tcPr>
            <w:tcW w:w="1191" w:type="dxa"/>
            <w:vAlign w:val="center"/>
          </w:tcPr>
          <w:p w14:paraId="05A527EA">
            <w:pPr>
              <w:pStyle w:val="10"/>
            </w:pPr>
            <w:r>
              <w:t>科目编码</w:t>
            </w:r>
          </w:p>
        </w:tc>
        <w:tc>
          <w:tcPr>
            <w:tcW w:w="4535" w:type="dxa"/>
            <w:vAlign w:val="center"/>
          </w:tcPr>
          <w:p w14:paraId="6537A4DD">
            <w:pPr>
              <w:pStyle w:val="10"/>
            </w:pPr>
            <w:r>
              <w:t>科目名称</w:t>
            </w:r>
          </w:p>
        </w:tc>
        <w:tc>
          <w:tcPr>
            <w:tcW w:w="2551" w:type="dxa"/>
            <w:vMerge w:val="continue"/>
          </w:tcPr>
          <w:p w14:paraId="5DDBE180"/>
        </w:tc>
        <w:tc>
          <w:tcPr>
            <w:tcW w:w="2551" w:type="dxa"/>
            <w:vMerge w:val="continue"/>
          </w:tcPr>
          <w:p w14:paraId="6749C94D"/>
        </w:tc>
        <w:tc>
          <w:tcPr>
            <w:tcW w:w="2551" w:type="dxa"/>
            <w:vMerge w:val="continue"/>
          </w:tcPr>
          <w:p w14:paraId="327B9E66"/>
        </w:tc>
      </w:tr>
      <w:tr w14:paraId="2D1E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E51DF">
            <w:pPr>
              <w:pStyle w:val="10"/>
            </w:pPr>
            <w:r>
              <w:t>栏次</w:t>
            </w:r>
          </w:p>
        </w:tc>
        <w:tc>
          <w:tcPr>
            <w:tcW w:w="1191" w:type="dxa"/>
            <w:vAlign w:val="center"/>
          </w:tcPr>
          <w:p w14:paraId="0A6C21F2">
            <w:pPr>
              <w:pStyle w:val="10"/>
            </w:pPr>
            <w:r>
              <w:t>1</w:t>
            </w:r>
          </w:p>
        </w:tc>
        <w:tc>
          <w:tcPr>
            <w:tcW w:w="4535" w:type="dxa"/>
            <w:vAlign w:val="center"/>
          </w:tcPr>
          <w:p w14:paraId="0970AD36">
            <w:pPr>
              <w:pStyle w:val="10"/>
            </w:pPr>
            <w:r>
              <w:t>2</w:t>
            </w:r>
          </w:p>
        </w:tc>
        <w:tc>
          <w:tcPr>
            <w:tcW w:w="2551" w:type="dxa"/>
            <w:vAlign w:val="center"/>
          </w:tcPr>
          <w:p w14:paraId="66CDD774">
            <w:pPr>
              <w:pStyle w:val="10"/>
            </w:pPr>
            <w:r>
              <w:t>3</w:t>
            </w:r>
          </w:p>
        </w:tc>
        <w:tc>
          <w:tcPr>
            <w:tcW w:w="2551" w:type="dxa"/>
            <w:vAlign w:val="center"/>
          </w:tcPr>
          <w:p w14:paraId="433267EB">
            <w:pPr>
              <w:pStyle w:val="10"/>
            </w:pPr>
            <w:r>
              <w:t>4</w:t>
            </w:r>
          </w:p>
        </w:tc>
        <w:tc>
          <w:tcPr>
            <w:tcW w:w="2551" w:type="dxa"/>
            <w:vAlign w:val="center"/>
          </w:tcPr>
          <w:p w14:paraId="72BCDD42">
            <w:pPr>
              <w:pStyle w:val="10"/>
            </w:pPr>
            <w:r>
              <w:t>5</w:t>
            </w:r>
          </w:p>
        </w:tc>
      </w:tr>
      <w:tr w14:paraId="0ADAD8E5">
        <w:tblPrEx>
          <w:tblCellMar>
            <w:top w:w="0" w:type="dxa"/>
            <w:left w:w="108" w:type="dxa"/>
            <w:bottom w:w="0" w:type="dxa"/>
            <w:right w:w="108" w:type="dxa"/>
          </w:tblCellMar>
        </w:tblPrEx>
        <w:trPr>
          <w:trHeight w:val="369" w:hRule="atLeast"/>
          <w:jc w:val="center"/>
        </w:trPr>
        <w:tc>
          <w:tcPr>
            <w:tcW w:w="850" w:type="dxa"/>
            <w:vAlign w:val="center"/>
          </w:tcPr>
          <w:p w14:paraId="2D4F978A">
            <w:pPr>
              <w:pStyle w:val="13"/>
            </w:pPr>
          </w:p>
        </w:tc>
        <w:tc>
          <w:tcPr>
            <w:tcW w:w="1191" w:type="dxa"/>
            <w:vAlign w:val="center"/>
          </w:tcPr>
          <w:p w14:paraId="0DD7FEC2">
            <w:pPr>
              <w:pStyle w:val="12"/>
            </w:pPr>
          </w:p>
        </w:tc>
        <w:tc>
          <w:tcPr>
            <w:tcW w:w="4535" w:type="dxa"/>
            <w:vAlign w:val="center"/>
          </w:tcPr>
          <w:p w14:paraId="41D69ABF">
            <w:pPr>
              <w:pStyle w:val="12"/>
            </w:pPr>
          </w:p>
        </w:tc>
        <w:tc>
          <w:tcPr>
            <w:tcW w:w="2551" w:type="dxa"/>
            <w:vAlign w:val="center"/>
          </w:tcPr>
          <w:p w14:paraId="344396E8">
            <w:pPr>
              <w:pStyle w:val="11"/>
            </w:pPr>
          </w:p>
        </w:tc>
        <w:tc>
          <w:tcPr>
            <w:tcW w:w="2551" w:type="dxa"/>
            <w:vAlign w:val="center"/>
          </w:tcPr>
          <w:p w14:paraId="15F14AD6">
            <w:pPr>
              <w:pStyle w:val="11"/>
            </w:pPr>
          </w:p>
        </w:tc>
        <w:tc>
          <w:tcPr>
            <w:tcW w:w="2551" w:type="dxa"/>
            <w:vAlign w:val="center"/>
          </w:tcPr>
          <w:p w14:paraId="5F3D5F25">
            <w:pPr>
              <w:pStyle w:val="11"/>
            </w:pPr>
          </w:p>
        </w:tc>
      </w:tr>
    </w:tbl>
    <w:p w14:paraId="5AD352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3912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FD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BC136B">
            <w:pPr>
              <w:pStyle w:val="9"/>
            </w:pPr>
            <w:r>
              <w:t>360005隆尧县尹村中学</w:t>
            </w:r>
          </w:p>
        </w:tc>
        <w:tc>
          <w:tcPr>
            <w:tcW w:w="2381" w:type="dxa"/>
            <w:tcBorders>
              <w:top w:val="single" w:color="FFFFFF" w:sz="6" w:space="0"/>
              <w:left w:val="single" w:color="FFFFFF" w:sz="6" w:space="0"/>
              <w:right w:val="single" w:color="FFFFFF" w:sz="6" w:space="0"/>
            </w:tcBorders>
            <w:vAlign w:val="center"/>
          </w:tcPr>
          <w:p w14:paraId="71E7E0B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5307844">
            <w:pPr>
              <w:pStyle w:val="7"/>
            </w:pPr>
            <w:r>
              <w:t>单位：万元</w:t>
            </w:r>
          </w:p>
        </w:tc>
      </w:tr>
      <w:tr w14:paraId="428D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7C0B2">
            <w:pPr>
              <w:pStyle w:val="10"/>
            </w:pPr>
            <w:r>
              <w:t>序号</w:t>
            </w:r>
          </w:p>
        </w:tc>
        <w:tc>
          <w:tcPr>
            <w:tcW w:w="3798" w:type="dxa"/>
            <w:vMerge w:val="restart"/>
            <w:vAlign w:val="center"/>
          </w:tcPr>
          <w:p w14:paraId="08C4604E">
            <w:pPr>
              <w:pStyle w:val="10"/>
            </w:pPr>
            <w:r>
              <w:t>项  目</w:t>
            </w:r>
          </w:p>
        </w:tc>
        <w:tc>
          <w:tcPr>
            <w:tcW w:w="9524" w:type="dxa"/>
            <w:gridSpan w:val="4"/>
            <w:vAlign w:val="center"/>
          </w:tcPr>
          <w:p w14:paraId="77ECD088">
            <w:pPr>
              <w:pStyle w:val="10"/>
            </w:pPr>
            <w:r>
              <w:t>资 金 性 质</w:t>
            </w:r>
          </w:p>
        </w:tc>
      </w:tr>
      <w:tr w14:paraId="4A76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1BD82E"/>
        </w:tc>
        <w:tc>
          <w:tcPr>
            <w:tcW w:w="3798" w:type="dxa"/>
            <w:vMerge w:val="continue"/>
          </w:tcPr>
          <w:p w14:paraId="700EA459"/>
        </w:tc>
        <w:tc>
          <w:tcPr>
            <w:tcW w:w="2381" w:type="dxa"/>
            <w:vAlign w:val="center"/>
          </w:tcPr>
          <w:p w14:paraId="6CFE8D08">
            <w:pPr>
              <w:pStyle w:val="10"/>
            </w:pPr>
            <w:r>
              <w:t>合计</w:t>
            </w:r>
          </w:p>
        </w:tc>
        <w:tc>
          <w:tcPr>
            <w:tcW w:w="2381" w:type="dxa"/>
            <w:vAlign w:val="center"/>
          </w:tcPr>
          <w:p w14:paraId="777E35FF">
            <w:pPr>
              <w:pStyle w:val="10"/>
            </w:pPr>
            <w:r>
              <w:t>一般公共预算              财政拨款</w:t>
            </w:r>
          </w:p>
        </w:tc>
        <w:tc>
          <w:tcPr>
            <w:tcW w:w="2381" w:type="dxa"/>
            <w:vAlign w:val="center"/>
          </w:tcPr>
          <w:p w14:paraId="4E0BDFBA">
            <w:pPr>
              <w:pStyle w:val="10"/>
            </w:pPr>
            <w:r>
              <w:t>政府性基金                  预算拨款</w:t>
            </w:r>
          </w:p>
        </w:tc>
        <w:tc>
          <w:tcPr>
            <w:tcW w:w="2381" w:type="dxa"/>
            <w:vAlign w:val="center"/>
          </w:tcPr>
          <w:p w14:paraId="46195B4D">
            <w:pPr>
              <w:pStyle w:val="10"/>
            </w:pPr>
            <w:r>
              <w:t>国有资本经营              预算财政拨款</w:t>
            </w:r>
          </w:p>
        </w:tc>
      </w:tr>
      <w:tr w14:paraId="7A845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287C8B">
            <w:pPr>
              <w:pStyle w:val="10"/>
            </w:pPr>
            <w:r>
              <w:t>栏次</w:t>
            </w:r>
          </w:p>
        </w:tc>
        <w:tc>
          <w:tcPr>
            <w:tcW w:w="3798" w:type="dxa"/>
            <w:vAlign w:val="center"/>
          </w:tcPr>
          <w:p w14:paraId="1D98EC69">
            <w:pPr>
              <w:pStyle w:val="10"/>
            </w:pPr>
            <w:r>
              <w:t>1</w:t>
            </w:r>
          </w:p>
        </w:tc>
        <w:tc>
          <w:tcPr>
            <w:tcW w:w="2381" w:type="dxa"/>
            <w:vAlign w:val="center"/>
          </w:tcPr>
          <w:p w14:paraId="517B5E01">
            <w:pPr>
              <w:pStyle w:val="10"/>
            </w:pPr>
            <w:r>
              <w:t>2</w:t>
            </w:r>
          </w:p>
        </w:tc>
        <w:tc>
          <w:tcPr>
            <w:tcW w:w="2381" w:type="dxa"/>
            <w:vAlign w:val="center"/>
          </w:tcPr>
          <w:p w14:paraId="3B6E90D1">
            <w:pPr>
              <w:pStyle w:val="10"/>
            </w:pPr>
            <w:r>
              <w:t>3</w:t>
            </w:r>
          </w:p>
        </w:tc>
        <w:tc>
          <w:tcPr>
            <w:tcW w:w="2381" w:type="dxa"/>
            <w:vAlign w:val="center"/>
          </w:tcPr>
          <w:p w14:paraId="56DECAA1">
            <w:pPr>
              <w:pStyle w:val="10"/>
            </w:pPr>
            <w:r>
              <w:t>4</w:t>
            </w:r>
          </w:p>
        </w:tc>
        <w:tc>
          <w:tcPr>
            <w:tcW w:w="2381" w:type="dxa"/>
            <w:vAlign w:val="center"/>
          </w:tcPr>
          <w:p w14:paraId="6701B2B8">
            <w:pPr>
              <w:pStyle w:val="10"/>
            </w:pPr>
            <w:r>
              <w:t>5</w:t>
            </w:r>
          </w:p>
        </w:tc>
      </w:tr>
      <w:tr w14:paraId="355C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B639F2">
            <w:pPr>
              <w:pStyle w:val="13"/>
            </w:pPr>
          </w:p>
        </w:tc>
        <w:tc>
          <w:tcPr>
            <w:tcW w:w="3798" w:type="dxa"/>
            <w:vAlign w:val="center"/>
          </w:tcPr>
          <w:p w14:paraId="397DA53B">
            <w:pPr>
              <w:pStyle w:val="12"/>
            </w:pPr>
          </w:p>
        </w:tc>
        <w:tc>
          <w:tcPr>
            <w:tcW w:w="2381" w:type="dxa"/>
            <w:vAlign w:val="center"/>
          </w:tcPr>
          <w:p w14:paraId="67CE411C">
            <w:pPr>
              <w:pStyle w:val="11"/>
            </w:pPr>
          </w:p>
        </w:tc>
        <w:tc>
          <w:tcPr>
            <w:tcW w:w="2381" w:type="dxa"/>
            <w:vAlign w:val="center"/>
          </w:tcPr>
          <w:p w14:paraId="78690F1F">
            <w:pPr>
              <w:pStyle w:val="11"/>
            </w:pPr>
          </w:p>
        </w:tc>
        <w:tc>
          <w:tcPr>
            <w:tcW w:w="2381" w:type="dxa"/>
            <w:vAlign w:val="center"/>
          </w:tcPr>
          <w:p w14:paraId="6D4100C9">
            <w:pPr>
              <w:pStyle w:val="11"/>
            </w:pPr>
          </w:p>
        </w:tc>
        <w:tc>
          <w:tcPr>
            <w:tcW w:w="2381" w:type="dxa"/>
            <w:vAlign w:val="center"/>
          </w:tcPr>
          <w:p w14:paraId="318771D5">
            <w:pPr>
              <w:pStyle w:val="11"/>
            </w:pPr>
          </w:p>
        </w:tc>
      </w:tr>
    </w:tbl>
    <w:p w14:paraId="1AE8BE7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016BED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隆尧县尹村中学2026年单位预算信息公开情况说明</w:t>
      </w:r>
    </w:p>
    <w:p w14:paraId="60F96A7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地方预决算公开操作规程》和《关于进一步推进预算公开工作的实施意见》规定，现将隆尧县尹村中学2026年单位预算公开如下：</w:t>
      </w:r>
    </w:p>
    <w:p w14:paraId="409DC08A">
      <w:pPr>
        <w:spacing w:before="10" w:after="10" w:line="240" w:lineRule="auto"/>
        <w:ind w:firstLine="640"/>
        <w:jc w:val="left"/>
        <w:outlineLvl w:val="5"/>
      </w:pPr>
      <w:r>
        <w:rPr>
          <w:rFonts w:ascii="黑体" w:hAnsi="黑体" w:eastAsia="黑体" w:cs="黑体"/>
          <w:color w:val="000000"/>
          <w:sz w:val="32"/>
        </w:rPr>
        <w:t>一、单位职责及机构设置情况</w:t>
      </w:r>
    </w:p>
    <w:p w14:paraId="5E90290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6AE18A">
      <w:pPr>
        <w:pStyle w:val="18"/>
        <w:rPr>
          <w:rFonts w:hint="eastAsia" w:ascii="Times New Roman" w:hAnsi="Times New Roman" w:cs="Times New Roman"/>
          <w:lang w:val="en-US" w:eastAsia="zh-CN"/>
        </w:rPr>
      </w:pPr>
      <w:r>
        <w:rPr>
          <w:rFonts w:hint="eastAsia" w:ascii="Times New Roman" w:hAnsi="Times New Roman" w:cs="Times New Roman"/>
          <w:lang w:val="en-US" w:eastAsia="zh-CN"/>
        </w:rPr>
        <w:t>贯彻落实基础教育的方针、政策，开展初中阶段教育教学工作，促进学生德、智、体、美、劳全面发展；负责学生安全教育和管理，确保学生身心健康；加强教师队伍建设和管理，为教育教学工作提供保障。</w:t>
      </w:r>
    </w:p>
    <w:p w14:paraId="5A45BEBF">
      <w:pPr>
        <w:pStyle w:val="18"/>
      </w:pPr>
      <w:r>
        <w:rPr>
          <w:rFonts w:hint="eastAsia" w:ascii="Times New Roman" w:hAnsi="Times New Roman" w:cs="Times New Roman"/>
          <w:lang w:val="en-US" w:eastAsia="zh-CN"/>
        </w:rPr>
        <w:t>隆尧县尹村中学事业编制55名，校长1名（正股级），副校长4名（副股级）；经费形式为财政性资金基本保证。</w:t>
      </w:r>
    </w:p>
    <w:p w14:paraId="6C0326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D1702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14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FB1C73">
            <w:pPr>
              <w:pStyle w:val="10"/>
            </w:pPr>
            <w:r>
              <w:t>单位名称</w:t>
            </w:r>
          </w:p>
        </w:tc>
        <w:tc>
          <w:tcPr>
            <w:tcW w:w="1843" w:type="dxa"/>
            <w:vAlign w:val="center"/>
          </w:tcPr>
          <w:p w14:paraId="31665443">
            <w:pPr>
              <w:pStyle w:val="10"/>
            </w:pPr>
            <w:r>
              <w:t>单位性质</w:t>
            </w:r>
          </w:p>
        </w:tc>
        <w:tc>
          <w:tcPr>
            <w:tcW w:w="2126" w:type="dxa"/>
            <w:vAlign w:val="center"/>
          </w:tcPr>
          <w:p w14:paraId="5C47E4F7">
            <w:pPr>
              <w:pStyle w:val="10"/>
            </w:pPr>
            <w:r>
              <w:t>单位规格</w:t>
            </w:r>
          </w:p>
        </w:tc>
        <w:tc>
          <w:tcPr>
            <w:tcW w:w="3827" w:type="dxa"/>
            <w:vAlign w:val="center"/>
          </w:tcPr>
          <w:p w14:paraId="3F50DA40">
            <w:pPr>
              <w:pStyle w:val="10"/>
            </w:pPr>
            <w:r>
              <w:t>经费保障形式</w:t>
            </w:r>
          </w:p>
        </w:tc>
      </w:tr>
      <w:tr w14:paraId="39859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7F0F38">
            <w:pPr>
              <w:pStyle w:val="12"/>
            </w:pPr>
            <w:r>
              <w:t>隆尧县尹村中学</w:t>
            </w:r>
          </w:p>
        </w:tc>
        <w:tc>
          <w:tcPr>
            <w:tcW w:w="1843" w:type="dxa"/>
            <w:vAlign w:val="center"/>
          </w:tcPr>
          <w:p w14:paraId="6B334E3F">
            <w:pPr>
              <w:pStyle w:val="13"/>
            </w:pPr>
            <w:r>
              <w:t>事业</w:t>
            </w:r>
          </w:p>
        </w:tc>
        <w:tc>
          <w:tcPr>
            <w:tcW w:w="2126" w:type="dxa"/>
            <w:vAlign w:val="center"/>
          </w:tcPr>
          <w:p w14:paraId="66B1F630">
            <w:pPr>
              <w:pStyle w:val="13"/>
            </w:pPr>
            <w:r>
              <w:t>股级</w:t>
            </w:r>
          </w:p>
        </w:tc>
        <w:tc>
          <w:tcPr>
            <w:tcW w:w="3827" w:type="dxa"/>
            <w:vAlign w:val="center"/>
          </w:tcPr>
          <w:p w14:paraId="15105F8D">
            <w:pPr>
              <w:pStyle w:val="13"/>
            </w:pPr>
            <w:r>
              <w:t>财政性资金基本保证</w:t>
            </w:r>
          </w:p>
        </w:tc>
      </w:tr>
    </w:tbl>
    <w:p w14:paraId="076226E9">
      <w:pPr>
        <w:spacing w:before="10" w:after="10" w:line="240" w:lineRule="auto"/>
        <w:ind w:firstLine="640"/>
        <w:jc w:val="left"/>
        <w:outlineLvl w:val="5"/>
      </w:pPr>
      <w:r>
        <w:rPr>
          <w:rFonts w:ascii="黑体" w:hAnsi="黑体" w:eastAsia="黑体" w:cs="黑体"/>
          <w:color w:val="000000"/>
          <w:sz w:val="32"/>
        </w:rPr>
        <w:t>二、单位预算安排的总体情况</w:t>
      </w:r>
    </w:p>
    <w:p w14:paraId="53456AE5">
      <w:pPr>
        <w:pStyle w:val="18"/>
      </w:pPr>
      <w:r>
        <w:t>按照预算管理有关规定，目前我校单位预算的编制实行综合预算管理，即全部收入和支出都反映的预算中。隆尧县尹村中学收支包含在单位预算中。</w:t>
      </w:r>
    </w:p>
    <w:p w14:paraId="193F13EF">
      <w:pPr>
        <w:pStyle w:val="18"/>
      </w:pPr>
      <w:r>
        <w:t>1、收入说明</w:t>
      </w:r>
    </w:p>
    <w:p w14:paraId="3B32F1A1">
      <w:pPr>
        <w:pStyle w:val="18"/>
      </w:pPr>
      <w:r>
        <w:t>反映本单位当年全部收入。2026年预算收入841.5万元，其中：一般公共预算收入841.5万元，基金预算收入0万元，财政专户管理资金收入0万元，单位资金收入0万元，上年结转结余0万元。</w:t>
      </w:r>
    </w:p>
    <w:p w14:paraId="0EBB65C4">
      <w:pPr>
        <w:pStyle w:val="18"/>
      </w:pPr>
      <w:r>
        <w:t>2、支出说明</w:t>
      </w:r>
    </w:p>
    <w:p w14:paraId="2FB14048">
      <w:pPr>
        <w:pStyle w:val="18"/>
      </w:pPr>
      <w:r>
        <w:t>收支预算总表支出栏、基本支出表、项目支出表按经济分类和支出功能分类科目编制，反映隆尧县尹村中学年度单位预算中支出预算的总体情况。2026年单位支出预算为841.5万元，其中基本支出687.18万元、项目支出154.33万元。主要为初中教育841.5万元。</w:t>
      </w:r>
    </w:p>
    <w:p w14:paraId="74B44B13">
      <w:pPr>
        <w:pStyle w:val="18"/>
      </w:pPr>
      <w:r>
        <w:t>3、比上年增减情况</w:t>
      </w:r>
    </w:p>
    <w:p w14:paraId="5CE7CC91">
      <w:pPr>
        <w:pStyle w:val="18"/>
      </w:pPr>
      <w:r>
        <w:t>2026年部门预算收支安排841.5万元，比2025年预算减少32.43万元。</w:t>
      </w:r>
    </w:p>
    <w:p w14:paraId="5B6E4CAE">
      <w:pPr>
        <w:pStyle w:val="18"/>
      </w:pPr>
    </w:p>
    <w:p w14:paraId="24C8FF90">
      <w:pPr>
        <w:spacing w:before="10" w:after="10" w:line="240" w:lineRule="auto"/>
        <w:ind w:firstLine="640"/>
        <w:jc w:val="left"/>
        <w:outlineLvl w:val="5"/>
      </w:pPr>
      <w:r>
        <w:rPr>
          <w:rFonts w:ascii="黑体" w:hAnsi="黑体" w:eastAsia="黑体" w:cs="黑体"/>
          <w:color w:val="000000"/>
          <w:sz w:val="32"/>
        </w:rPr>
        <w:t>三、机关运行经费安排情况</w:t>
      </w:r>
    </w:p>
    <w:p w14:paraId="0CD59055">
      <w:pPr>
        <w:pStyle w:val="19"/>
      </w:pPr>
      <w:r>
        <w:t>2026年，我单位按学生安排公用经费，无机关运行经费。</w:t>
      </w:r>
    </w:p>
    <w:p w14:paraId="6CAF8C2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0C8DCB3">
      <w:pPr>
        <w:pStyle w:val="20"/>
      </w:pPr>
      <w:r>
        <w:t>2026年，我单位未安排</w:t>
      </w:r>
      <w:r>
        <w:rPr>
          <w:rFonts w:hint="eastAsia"/>
          <w:lang w:eastAsia="zh-CN"/>
        </w:rPr>
        <w:t>“三公”经费</w:t>
      </w:r>
      <w:r>
        <w:t>。</w:t>
      </w:r>
    </w:p>
    <w:p w14:paraId="5C9D8BC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8C76B4">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1、冀财教[2025]121号/中央/2026年义教补助经费/尹村中学公用经费绩效目标表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63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A3624">
            <w:pPr>
              <w:pStyle w:val="11"/>
            </w:pPr>
            <w:r>
              <w:t>单位：万元</w:t>
            </w:r>
          </w:p>
        </w:tc>
      </w:tr>
      <w:tr w14:paraId="713C7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2CCC3">
            <w:pPr>
              <w:pStyle w:val="10"/>
            </w:pPr>
            <w:r>
              <w:t>项目编码</w:t>
            </w:r>
          </w:p>
        </w:tc>
        <w:tc>
          <w:tcPr>
            <w:tcW w:w="5103" w:type="dxa"/>
            <w:gridSpan w:val="2"/>
            <w:vAlign w:val="center"/>
          </w:tcPr>
          <w:p w14:paraId="67A84541">
            <w:pPr>
              <w:pStyle w:val="12"/>
            </w:pPr>
            <w:r>
              <w:t>13052526P000004102466</w:t>
            </w:r>
          </w:p>
        </w:tc>
        <w:tc>
          <w:tcPr>
            <w:tcW w:w="2835" w:type="dxa"/>
            <w:vAlign w:val="center"/>
          </w:tcPr>
          <w:p w14:paraId="447C7FEA">
            <w:pPr>
              <w:pStyle w:val="10"/>
            </w:pPr>
            <w:r>
              <w:t>项目名称</w:t>
            </w:r>
          </w:p>
        </w:tc>
        <w:tc>
          <w:tcPr>
            <w:tcW w:w="6095" w:type="dxa"/>
            <w:gridSpan w:val="3"/>
            <w:vAlign w:val="center"/>
          </w:tcPr>
          <w:p w14:paraId="3D32DB15">
            <w:pPr>
              <w:pStyle w:val="12"/>
            </w:pPr>
            <w:r>
              <w:t>冀财教[2025]121号/中央/2026年义教补助经费/尹村中学公用经费</w:t>
            </w:r>
          </w:p>
        </w:tc>
      </w:tr>
      <w:tr w14:paraId="0D47D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96E7C">
            <w:pPr>
              <w:pStyle w:val="10"/>
            </w:pPr>
            <w:r>
              <w:t>预算规模及资金用途</w:t>
            </w:r>
          </w:p>
        </w:tc>
        <w:tc>
          <w:tcPr>
            <w:tcW w:w="2268" w:type="dxa"/>
            <w:vAlign w:val="center"/>
          </w:tcPr>
          <w:p w14:paraId="5D71CFA8">
            <w:pPr>
              <w:pStyle w:val="10"/>
            </w:pPr>
            <w:r>
              <w:t>预算数</w:t>
            </w:r>
          </w:p>
        </w:tc>
        <w:tc>
          <w:tcPr>
            <w:tcW w:w="2835" w:type="dxa"/>
            <w:vAlign w:val="center"/>
          </w:tcPr>
          <w:p w14:paraId="314AE476">
            <w:pPr>
              <w:pStyle w:val="12"/>
            </w:pPr>
            <w:r>
              <w:t>58.17</w:t>
            </w:r>
          </w:p>
        </w:tc>
        <w:tc>
          <w:tcPr>
            <w:tcW w:w="2835" w:type="dxa"/>
            <w:vAlign w:val="center"/>
          </w:tcPr>
          <w:p w14:paraId="698DDEE3">
            <w:pPr>
              <w:pStyle w:val="10"/>
            </w:pPr>
            <w:r>
              <w:t>其中：财政    资金</w:t>
            </w:r>
          </w:p>
        </w:tc>
        <w:tc>
          <w:tcPr>
            <w:tcW w:w="2551" w:type="dxa"/>
            <w:vAlign w:val="center"/>
          </w:tcPr>
          <w:p w14:paraId="6D844320">
            <w:pPr>
              <w:pStyle w:val="12"/>
            </w:pPr>
            <w:r>
              <w:t>58.17</w:t>
            </w:r>
          </w:p>
        </w:tc>
        <w:tc>
          <w:tcPr>
            <w:tcW w:w="2268" w:type="dxa"/>
            <w:vAlign w:val="center"/>
          </w:tcPr>
          <w:p w14:paraId="16329E02">
            <w:pPr>
              <w:pStyle w:val="10"/>
            </w:pPr>
            <w:r>
              <w:t>其他资金</w:t>
            </w:r>
          </w:p>
        </w:tc>
        <w:tc>
          <w:tcPr>
            <w:tcW w:w="1276" w:type="dxa"/>
            <w:vAlign w:val="center"/>
          </w:tcPr>
          <w:p w14:paraId="20874A56">
            <w:pPr>
              <w:pStyle w:val="12"/>
            </w:pPr>
            <w:r>
              <w:t xml:space="preserve"> </w:t>
            </w:r>
          </w:p>
        </w:tc>
      </w:tr>
      <w:tr w14:paraId="7F72B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68FB1"/>
        </w:tc>
        <w:tc>
          <w:tcPr>
            <w:tcW w:w="14033" w:type="dxa"/>
            <w:gridSpan w:val="6"/>
            <w:vAlign w:val="center"/>
          </w:tcPr>
          <w:p w14:paraId="13C33AE6">
            <w:pPr>
              <w:pStyle w:val="12"/>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5E0F6609">
            <w:pPr>
              <w:pStyle w:val="12"/>
            </w:pPr>
          </w:p>
        </w:tc>
      </w:tr>
      <w:tr w14:paraId="09177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D56FE">
            <w:pPr>
              <w:pStyle w:val="10"/>
            </w:pPr>
            <w:r>
              <w:t>资金支出计划（%）</w:t>
            </w:r>
          </w:p>
        </w:tc>
        <w:tc>
          <w:tcPr>
            <w:tcW w:w="5103" w:type="dxa"/>
            <w:gridSpan w:val="2"/>
            <w:vAlign w:val="center"/>
          </w:tcPr>
          <w:p w14:paraId="1DAD39F6">
            <w:pPr>
              <w:pStyle w:val="10"/>
            </w:pPr>
            <w:r>
              <w:t>3月底</w:t>
            </w:r>
          </w:p>
        </w:tc>
        <w:tc>
          <w:tcPr>
            <w:tcW w:w="2835" w:type="dxa"/>
            <w:vAlign w:val="center"/>
          </w:tcPr>
          <w:p w14:paraId="3EDC1B0C">
            <w:pPr>
              <w:pStyle w:val="10"/>
            </w:pPr>
            <w:r>
              <w:t>6月底</w:t>
            </w:r>
          </w:p>
        </w:tc>
        <w:tc>
          <w:tcPr>
            <w:tcW w:w="2551" w:type="dxa"/>
            <w:vAlign w:val="center"/>
          </w:tcPr>
          <w:p w14:paraId="74A25269">
            <w:pPr>
              <w:pStyle w:val="10"/>
            </w:pPr>
            <w:r>
              <w:t>10月底</w:t>
            </w:r>
          </w:p>
        </w:tc>
        <w:tc>
          <w:tcPr>
            <w:tcW w:w="3544" w:type="dxa"/>
            <w:gridSpan w:val="2"/>
            <w:vAlign w:val="center"/>
          </w:tcPr>
          <w:p w14:paraId="2A84D8CF">
            <w:pPr>
              <w:pStyle w:val="10"/>
            </w:pPr>
            <w:r>
              <w:t>12月底</w:t>
            </w:r>
          </w:p>
        </w:tc>
      </w:tr>
      <w:tr w14:paraId="4F171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FCD6E"/>
        </w:tc>
        <w:tc>
          <w:tcPr>
            <w:tcW w:w="5103" w:type="dxa"/>
            <w:gridSpan w:val="2"/>
            <w:vAlign w:val="center"/>
          </w:tcPr>
          <w:p w14:paraId="2021BF0F">
            <w:pPr>
              <w:pStyle w:val="13"/>
            </w:pPr>
            <w:r>
              <w:t>25%</w:t>
            </w:r>
          </w:p>
        </w:tc>
        <w:tc>
          <w:tcPr>
            <w:tcW w:w="2835" w:type="dxa"/>
            <w:vAlign w:val="center"/>
          </w:tcPr>
          <w:p w14:paraId="317A94A4">
            <w:pPr>
              <w:pStyle w:val="13"/>
            </w:pPr>
            <w:r>
              <w:t>50%</w:t>
            </w:r>
          </w:p>
        </w:tc>
        <w:tc>
          <w:tcPr>
            <w:tcW w:w="2551" w:type="dxa"/>
            <w:vAlign w:val="center"/>
          </w:tcPr>
          <w:p w14:paraId="38C70F6E">
            <w:pPr>
              <w:pStyle w:val="13"/>
            </w:pPr>
            <w:r>
              <w:t>75%</w:t>
            </w:r>
          </w:p>
        </w:tc>
        <w:tc>
          <w:tcPr>
            <w:tcW w:w="3544" w:type="dxa"/>
            <w:gridSpan w:val="2"/>
            <w:vAlign w:val="center"/>
          </w:tcPr>
          <w:p w14:paraId="6ACA8C31">
            <w:pPr>
              <w:pStyle w:val="13"/>
            </w:pPr>
            <w:r>
              <w:t>100%</w:t>
            </w:r>
          </w:p>
        </w:tc>
      </w:tr>
      <w:tr w14:paraId="3162E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E20EB">
            <w:pPr>
              <w:pStyle w:val="10"/>
            </w:pPr>
            <w:r>
              <w:t>绩效目标</w:t>
            </w:r>
          </w:p>
        </w:tc>
        <w:tc>
          <w:tcPr>
            <w:tcW w:w="14033" w:type="dxa"/>
            <w:gridSpan w:val="6"/>
            <w:vAlign w:val="center"/>
          </w:tcPr>
          <w:p w14:paraId="09C46E27">
            <w:pPr>
              <w:pStyle w:val="12"/>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57598979">
            <w:pPr>
              <w:pStyle w:val="12"/>
            </w:pPr>
            <w:r>
              <w:t>2.按规定拨付公用经费资金581700元，资金拨付率达到100%。</w:t>
            </w:r>
          </w:p>
        </w:tc>
      </w:tr>
    </w:tbl>
    <w:p w14:paraId="1792D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E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BC081">
            <w:pPr>
              <w:pStyle w:val="10"/>
            </w:pPr>
            <w:r>
              <w:t>一级指标</w:t>
            </w:r>
          </w:p>
        </w:tc>
        <w:tc>
          <w:tcPr>
            <w:tcW w:w="2268" w:type="dxa"/>
            <w:vAlign w:val="center"/>
          </w:tcPr>
          <w:p w14:paraId="5E5C7E03">
            <w:pPr>
              <w:pStyle w:val="10"/>
            </w:pPr>
            <w:r>
              <w:t>二级指标</w:t>
            </w:r>
          </w:p>
        </w:tc>
        <w:tc>
          <w:tcPr>
            <w:tcW w:w="2835" w:type="dxa"/>
            <w:vAlign w:val="center"/>
          </w:tcPr>
          <w:p w14:paraId="0733236D">
            <w:pPr>
              <w:pStyle w:val="10"/>
            </w:pPr>
            <w:r>
              <w:t>三级指标</w:t>
            </w:r>
          </w:p>
        </w:tc>
        <w:tc>
          <w:tcPr>
            <w:tcW w:w="5386" w:type="dxa"/>
            <w:vAlign w:val="center"/>
          </w:tcPr>
          <w:p w14:paraId="3E18D4A6">
            <w:pPr>
              <w:pStyle w:val="10"/>
            </w:pPr>
            <w:r>
              <w:t>绩效指标描述</w:t>
            </w:r>
          </w:p>
        </w:tc>
        <w:tc>
          <w:tcPr>
            <w:tcW w:w="2268" w:type="dxa"/>
            <w:vAlign w:val="center"/>
          </w:tcPr>
          <w:p w14:paraId="2797CA64">
            <w:pPr>
              <w:pStyle w:val="10"/>
            </w:pPr>
            <w:r>
              <w:t>指标值</w:t>
            </w:r>
          </w:p>
        </w:tc>
        <w:tc>
          <w:tcPr>
            <w:tcW w:w="1276" w:type="dxa"/>
            <w:vAlign w:val="center"/>
          </w:tcPr>
          <w:p w14:paraId="31693DF6">
            <w:pPr>
              <w:pStyle w:val="10"/>
            </w:pPr>
            <w:r>
              <w:t>指标值确定依据</w:t>
            </w:r>
          </w:p>
        </w:tc>
      </w:tr>
      <w:tr w14:paraId="0950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B608B">
            <w:pPr>
              <w:pStyle w:val="13"/>
            </w:pPr>
            <w:r>
              <w:t>产出指标</w:t>
            </w:r>
          </w:p>
        </w:tc>
        <w:tc>
          <w:tcPr>
            <w:tcW w:w="2268" w:type="dxa"/>
            <w:vAlign w:val="center"/>
          </w:tcPr>
          <w:p w14:paraId="1F8DB12F">
            <w:pPr>
              <w:pStyle w:val="12"/>
            </w:pPr>
            <w:r>
              <w:t>数量指标</w:t>
            </w:r>
          </w:p>
        </w:tc>
        <w:tc>
          <w:tcPr>
            <w:tcW w:w="2835" w:type="dxa"/>
            <w:vAlign w:val="center"/>
          </w:tcPr>
          <w:p w14:paraId="34F8E9DB">
            <w:pPr>
              <w:pStyle w:val="12"/>
            </w:pPr>
            <w:r>
              <w:t>适龄在校生</w:t>
            </w:r>
          </w:p>
        </w:tc>
        <w:tc>
          <w:tcPr>
            <w:tcW w:w="5386" w:type="dxa"/>
            <w:vAlign w:val="center"/>
          </w:tcPr>
          <w:p w14:paraId="55150843">
            <w:pPr>
              <w:pStyle w:val="12"/>
            </w:pPr>
            <w:r>
              <w:t>适龄在校就读学生人数</w:t>
            </w:r>
          </w:p>
        </w:tc>
        <w:tc>
          <w:tcPr>
            <w:tcW w:w="2268" w:type="dxa"/>
            <w:vAlign w:val="center"/>
          </w:tcPr>
          <w:p w14:paraId="627EECC8">
            <w:pPr>
              <w:pStyle w:val="12"/>
            </w:pPr>
            <w:r>
              <w:t>587人</w:t>
            </w:r>
          </w:p>
        </w:tc>
        <w:tc>
          <w:tcPr>
            <w:tcW w:w="1276" w:type="dxa"/>
            <w:vAlign w:val="center"/>
          </w:tcPr>
          <w:p w14:paraId="4B6B495D">
            <w:pPr>
              <w:pStyle w:val="12"/>
            </w:pPr>
            <w:r>
              <w:t>城乡义务教育公用经费管理办法</w:t>
            </w:r>
          </w:p>
        </w:tc>
      </w:tr>
      <w:tr w14:paraId="3636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16661"/>
        </w:tc>
        <w:tc>
          <w:tcPr>
            <w:tcW w:w="2268" w:type="dxa"/>
            <w:vAlign w:val="center"/>
          </w:tcPr>
          <w:p w14:paraId="57ABB4FE">
            <w:pPr>
              <w:pStyle w:val="12"/>
            </w:pPr>
            <w:r>
              <w:t>质量指标</w:t>
            </w:r>
          </w:p>
        </w:tc>
        <w:tc>
          <w:tcPr>
            <w:tcW w:w="2835" w:type="dxa"/>
            <w:vAlign w:val="center"/>
          </w:tcPr>
          <w:p w14:paraId="39316AA3">
            <w:pPr>
              <w:pStyle w:val="12"/>
            </w:pPr>
            <w:r>
              <w:t>预算控制率</w:t>
            </w:r>
          </w:p>
        </w:tc>
        <w:tc>
          <w:tcPr>
            <w:tcW w:w="5386" w:type="dxa"/>
            <w:vAlign w:val="center"/>
          </w:tcPr>
          <w:p w14:paraId="6718909E">
            <w:pPr>
              <w:pStyle w:val="12"/>
            </w:pPr>
            <w:r>
              <w:t>预算执行率</w:t>
            </w:r>
          </w:p>
        </w:tc>
        <w:tc>
          <w:tcPr>
            <w:tcW w:w="2268" w:type="dxa"/>
            <w:vAlign w:val="center"/>
          </w:tcPr>
          <w:p w14:paraId="2F6BE516">
            <w:pPr>
              <w:pStyle w:val="12"/>
            </w:pPr>
            <w:r>
              <w:t>≥95%</w:t>
            </w:r>
          </w:p>
        </w:tc>
        <w:tc>
          <w:tcPr>
            <w:tcW w:w="1276" w:type="dxa"/>
            <w:vAlign w:val="center"/>
          </w:tcPr>
          <w:p w14:paraId="78327E40">
            <w:pPr>
              <w:pStyle w:val="12"/>
            </w:pPr>
            <w:r>
              <w:t>城乡义务教育公用经费管理办法</w:t>
            </w:r>
          </w:p>
        </w:tc>
      </w:tr>
      <w:tr w14:paraId="0903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C126C"/>
        </w:tc>
        <w:tc>
          <w:tcPr>
            <w:tcW w:w="2268" w:type="dxa"/>
            <w:vAlign w:val="center"/>
          </w:tcPr>
          <w:p w14:paraId="3F49013A">
            <w:pPr>
              <w:pStyle w:val="12"/>
            </w:pPr>
            <w:r>
              <w:t>时效指标</w:t>
            </w:r>
          </w:p>
        </w:tc>
        <w:tc>
          <w:tcPr>
            <w:tcW w:w="2835" w:type="dxa"/>
            <w:vAlign w:val="center"/>
          </w:tcPr>
          <w:p w14:paraId="6A59DB5D">
            <w:pPr>
              <w:pStyle w:val="12"/>
            </w:pPr>
            <w:r>
              <w:t>资金支付率</w:t>
            </w:r>
          </w:p>
        </w:tc>
        <w:tc>
          <w:tcPr>
            <w:tcW w:w="5386" w:type="dxa"/>
            <w:vAlign w:val="center"/>
          </w:tcPr>
          <w:p w14:paraId="17AB4236">
            <w:pPr>
              <w:pStyle w:val="12"/>
            </w:pPr>
            <w:r>
              <w:t>按照序时进度完成资金支付</w:t>
            </w:r>
          </w:p>
        </w:tc>
        <w:tc>
          <w:tcPr>
            <w:tcW w:w="2268" w:type="dxa"/>
            <w:vAlign w:val="center"/>
          </w:tcPr>
          <w:p w14:paraId="450A7A95">
            <w:pPr>
              <w:pStyle w:val="12"/>
            </w:pPr>
            <w:r>
              <w:t>100%</w:t>
            </w:r>
          </w:p>
        </w:tc>
        <w:tc>
          <w:tcPr>
            <w:tcW w:w="1276" w:type="dxa"/>
            <w:vAlign w:val="center"/>
          </w:tcPr>
          <w:p w14:paraId="68C7DE9E">
            <w:pPr>
              <w:pStyle w:val="12"/>
            </w:pPr>
            <w:r>
              <w:t>城乡义务教育公用经费管理办法</w:t>
            </w:r>
          </w:p>
        </w:tc>
      </w:tr>
      <w:tr w14:paraId="6535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D866E"/>
        </w:tc>
        <w:tc>
          <w:tcPr>
            <w:tcW w:w="2268" w:type="dxa"/>
            <w:vAlign w:val="center"/>
          </w:tcPr>
          <w:p w14:paraId="30443AB5">
            <w:pPr>
              <w:pStyle w:val="12"/>
            </w:pPr>
            <w:r>
              <w:t>成本指标</w:t>
            </w:r>
          </w:p>
        </w:tc>
        <w:tc>
          <w:tcPr>
            <w:tcW w:w="2835" w:type="dxa"/>
            <w:vAlign w:val="center"/>
          </w:tcPr>
          <w:p w14:paraId="0F8B3E13">
            <w:pPr>
              <w:pStyle w:val="12"/>
            </w:pPr>
            <w:r>
              <w:t>生均拨款标准</w:t>
            </w:r>
          </w:p>
        </w:tc>
        <w:tc>
          <w:tcPr>
            <w:tcW w:w="5386" w:type="dxa"/>
            <w:vAlign w:val="center"/>
          </w:tcPr>
          <w:p w14:paraId="045BDCB6">
            <w:pPr>
              <w:pStyle w:val="12"/>
            </w:pPr>
            <w:r>
              <w:t>初中：（基本标准940元、寄宿生300元、取暖费120元）/生/学年；随班就读学生：标准7000元/生/学年）</w:t>
            </w:r>
          </w:p>
        </w:tc>
        <w:tc>
          <w:tcPr>
            <w:tcW w:w="2268" w:type="dxa"/>
            <w:vAlign w:val="center"/>
          </w:tcPr>
          <w:p w14:paraId="058083D5">
            <w:pPr>
              <w:pStyle w:val="12"/>
            </w:pPr>
            <w:r>
              <w:t>1360元</w:t>
            </w:r>
          </w:p>
        </w:tc>
        <w:tc>
          <w:tcPr>
            <w:tcW w:w="1276" w:type="dxa"/>
            <w:vAlign w:val="center"/>
          </w:tcPr>
          <w:p w14:paraId="6D13C96E">
            <w:pPr>
              <w:pStyle w:val="12"/>
            </w:pPr>
            <w:r>
              <w:t>城乡义务教育公用经费管理办法</w:t>
            </w:r>
          </w:p>
        </w:tc>
      </w:tr>
      <w:tr w14:paraId="44CB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1AF9E">
            <w:pPr>
              <w:pStyle w:val="13"/>
            </w:pPr>
            <w:r>
              <w:t>效益指标</w:t>
            </w:r>
          </w:p>
        </w:tc>
        <w:tc>
          <w:tcPr>
            <w:tcW w:w="2268" w:type="dxa"/>
            <w:vAlign w:val="center"/>
          </w:tcPr>
          <w:p w14:paraId="373E6B57">
            <w:pPr>
              <w:pStyle w:val="12"/>
            </w:pPr>
            <w:r>
              <w:t>可持续影响指标</w:t>
            </w:r>
          </w:p>
        </w:tc>
        <w:tc>
          <w:tcPr>
            <w:tcW w:w="2835" w:type="dxa"/>
            <w:vAlign w:val="center"/>
          </w:tcPr>
          <w:p w14:paraId="2172295E">
            <w:pPr>
              <w:pStyle w:val="12"/>
            </w:pPr>
            <w:r>
              <w:t>学校日常运转正常</w:t>
            </w:r>
          </w:p>
        </w:tc>
        <w:tc>
          <w:tcPr>
            <w:tcW w:w="5386" w:type="dxa"/>
            <w:vAlign w:val="center"/>
          </w:tcPr>
          <w:p w14:paraId="1532A47F">
            <w:pPr>
              <w:pStyle w:val="12"/>
            </w:pPr>
            <w:r>
              <w:t>学生受教育年限</w:t>
            </w:r>
          </w:p>
        </w:tc>
        <w:tc>
          <w:tcPr>
            <w:tcW w:w="2268" w:type="dxa"/>
            <w:vAlign w:val="center"/>
          </w:tcPr>
          <w:p w14:paraId="108CF5AD">
            <w:pPr>
              <w:pStyle w:val="12"/>
            </w:pPr>
            <w:r>
              <w:t>3年</w:t>
            </w:r>
          </w:p>
        </w:tc>
        <w:tc>
          <w:tcPr>
            <w:tcW w:w="1276" w:type="dxa"/>
            <w:vAlign w:val="center"/>
          </w:tcPr>
          <w:p w14:paraId="59931760">
            <w:pPr>
              <w:pStyle w:val="12"/>
            </w:pPr>
            <w:r>
              <w:t>城乡义务教育公用经费管理办法</w:t>
            </w:r>
          </w:p>
        </w:tc>
      </w:tr>
      <w:tr w14:paraId="5EE4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847EB">
            <w:pPr>
              <w:pStyle w:val="13"/>
            </w:pPr>
            <w:r>
              <w:t>满意度指标</w:t>
            </w:r>
          </w:p>
        </w:tc>
        <w:tc>
          <w:tcPr>
            <w:tcW w:w="2268" w:type="dxa"/>
            <w:vAlign w:val="center"/>
          </w:tcPr>
          <w:p w14:paraId="6A9AC365">
            <w:pPr>
              <w:pStyle w:val="12"/>
            </w:pPr>
            <w:r>
              <w:t>服务对象满意度指标</w:t>
            </w:r>
          </w:p>
        </w:tc>
        <w:tc>
          <w:tcPr>
            <w:tcW w:w="2835" w:type="dxa"/>
            <w:vAlign w:val="center"/>
          </w:tcPr>
          <w:p w14:paraId="59480171">
            <w:pPr>
              <w:pStyle w:val="12"/>
            </w:pPr>
            <w:r>
              <w:t>受益学生家长及调查满意度</w:t>
            </w:r>
          </w:p>
        </w:tc>
        <w:tc>
          <w:tcPr>
            <w:tcW w:w="5386" w:type="dxa"/>
            <w:vAlign w:val="center"/>
          </w:tcPr>
          <w:p w14:paraId="1E38C19B">
            <w:pPr>
              <w:pStyle w:val="12"/>
            </w:pPr>
            <w:r>
              <w:t>学生、教师及家长对学校教育教学工作满意度情况</w:t>
            </w:r>
          </w:p>
        </w:tc>
        <w:tc>
          <w:tcPr>
            <w:tcW w:w="2268" w:type="dxa"/>
            <w:vAlign w:val="center"/>
          </w:tcPr>
          <w:p w14:paraId="38FE4855">
            <w:pPr>
              <w:pStyle w:val="12"/>
            </w:pPr>
            <w:r>
              <w:t>≥95%</w:t>
            </w:r>
          </w:p>
        </w:tc>
        <w:tc>
          <w:tcPr>
            <w:tcW w:w="1276" w:type="dxa"/>
            <w:vAlign w:val="center"/>
          </w:tcPr>
          <w:p w14:paraId="51AE993B">
            <w:pPr>
              <w:pStyle w:val="12"/>
            </w:pPr>
            <w:r>
              <w:t>问卷调查</w:t>
            </w:r>
          </w:p>
        </w:tc>
      </w:tr>
    </w:tbl>
    <w:p w14:paraId="7CD79A10">
      <w:pPr>
        <w:sectPr>
          <w:pgSz w:w="16840" w:h="11900" w:orient="landscape"/>
          <w:pgMar w:top="1361" w:right="1020" w:bottom="1134" w:left="1020" w:header="720" w:footer="720" w:gutter="0"/>
          <w:cols w:space="720" w:num="1"/>
        </w:sectPr>
      </w:pPr>
    </w:p>
    <w:p w14:paraId="48AAC7EE">
      <w:pPr>
        <w:spacing w:before="0" w:after="0"/>
        <w:ind w:firstLine="560"/>
        <w:jc w:val="left"/>
        <w:outlineLvl w:val="9"/>
      </w:pPr>
      <w:r>
        <w:rPr>
          <w:rFonts w:ascii="方正仿宋_GBK" w:hAnsi="方正仿宋_GBK" w:eastAsia="方正仿宋_GBK" w:cs="方正仿宋_GBK"/>
          <w:b/>
          <w:color w:val="000000"/>
          <w:sz w:val="28"/>
        </w:rPr>
        <w:t>2、冀财教[2025]121号/中央/义教/2026年校舍安全/尹村中学校舍维修改造绩效目标表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3E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2018B">
            <w:pPr>
              <w:pStyle w:val="11"/>
            </w:pPr>
            <w:r>
              <w:t>单位：万元</w:t>
            </w:r>
          </w:p>
        </w:tc>
      </w:tr>
      <w:tr w14:paraId="0E38B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9D1F2">
            <w:pPr>
              <w:pStyle w:val="10"/>
            </w:pPr>
            <w:r>
              <w:t>项目编码</w:t>
            </w:r>
          </w:p>
        </w:tc>
        <w:tc>
          <w:tcPr>
            <w:tcW w:w="5103" w:type="dxa"/>
            <w:gridSpan w:val="2"/>
            <w:vAlign w:val="center"/>
          </w:tcPr>
          <w:p w14:paraId="7161B814">
            <w:pPr>
              <w:pStyle w:val="12"/>
            </w:pPr>
            <w:r>
              <w:t>13052526P008762100691</w:t>
            </w:r>
          </w:p>
        </w:tc>
        <w:tc>
          <w:tcPr>
            <w:tcW w:w="2835" w:type="dxa"/>
            <w:vAlign w:val="center"/>
          </w:tcPr>
          <w:p w14:paraId="0F5FF454">
            <w:pPr>
              <w:pStyle w:val="10"/>
            </w:pPr>
            <w:r>
              <w:t>项目名称</w:t>
            </w:r>
          </w:p>
        </w:tc>
        <w:tc>
          <w:tcPr>
            <w:tcW w:w="6095" w:type="dxa"/>
            <w:gridSpan w:val="3"/>
            <w:vAlign w:val="center"/>
          </w:tcPr>
          <w:p w14:paraId="7E9D3C2E">
            <w:pPr>
              <w:pStyle w:val="12"/>
            </w:pPr>
            <w:r>
              <w:t>冀财教[2025]121号/中央/义教/2026年校舍安全/尹村中学校舍维修改造</w:t>
            </w:r>
          </w:p>
        </w:tc>
      </w:tr>
      <w:tr w14:paraId="1B028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86BE7">
            <w:pPr>
              <w:pStyle w:val="10"/>
            </w:pPr>
            <w:r>
              <w:t>预算规模及资金用途</w:t>
            </w:r>
          </w:p>
        </w:tc>
        <w:tc>
          <w:tcPr>
            <w:tcW w:w="2268" w:type="dxa"/>
            <w:vAlign w:val="center"/>
          </w:tcPr>
          <w:p w14:paraId="41D86115">
            <w:pPr>
              <w:pStyle w:val="10"/>
            </w:pPr>
            <w:r>
              <w:t>预算数</w:t>
            </w:r>
          </w:p>
        </w:tc>
        <w:tc>
          <w:tcPr>
            <w:tcW w:w="2835" w:type="dxa"/>
            <w:vAlign w:val="center"/>
          </w:tcPr>
          <w:p w14:paraId="5D3A82E1">
            <w:pPr>
              <w:pStyle w:val="12"/>
            </w:pPr>
            <w:r>
              <w:t>46.10</w:t>
            </w:r>
          </w:p>
        </w:tc>
        <w:tc>
          <w:tcPr>
            <w:tcW w:w="2835" w:type="dxa"/>
            <w:vAlign w:val="center"/>
          </w:tcPr>
          <w:p w14:paraId="5452332B">
            <w:pPr>
              <w:pStyle w:val="10"/>
            </w:pPr>
            <w:r>
              <w:t>其中：财政    资金</w:t>
            </w:r>
          </w:p>
        </w:tc>
        <w:tc>
          <w:tcPr>
            <w:tcW w:w="2551" w:type="dxa"/>
            <w:vAlign w:val="center"/>
          </w:tcPr>
          <w:p w14:paraId="6009B620">
            <w:pPr>
              <w:pStyle w:val="12"/>
            </w:pPr>
            <w:r>
              <w:t>46.10</w:t>
            </w:r>
          </w:p>
        </w:tc>
        <w:tc>
          <w:tcPr>
            <w:tcW w:w="2268" w:type="dxa"/>
            <w:vAlign w:val="center"/>
          </w:tcPr>
          <w:p w14:paraId="193AD4AE">
            <w:pPr>
              <w:pStyle w:val="10"/>
            </w:pPr>
            <w:r>
              <w:t>其他资金</w:t>
            </w:r>
          </w:p>
        </w:tc>
        <w:tc>
          <w:tcPr>
            <w:tcW w:w="1276" w:type="dxa"/>
            <w:vAlign w:val="center"/>
          </w:tcPr>
          <w:p w14:paraId="1E6D6E5F">
            <w:pPr>
              <w:pStyle w:val="12"/>
            </w:pPr>
            <w:r>
              <w:t xml:space="preserve"> </w:t>
            </w:r>
          </w:p>
        </w:tc>
      </w:tr>
      <w:tr w14:paraId="5B8FB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F2638"/>
        </w:tc>
        <w:tc>
          <w:tcPr>
            <w:tcW w:w="14033" w:type="dxa"/>
            <w:gridSpan w:val="6"/>
            <w:vAlign w:val="center"/>
          </w:tcPr>
          <w:p w14:paraId="52A45308">
            <w:pPr>
              <w:pStyle w:val="12"/>
            </w:pPr>
            <w:r>
              <w:t>改善就学条件，提升学校形象，保障义务教育阶段教学安全，改善师生教学环境，创造良好的校园环境。</w:t>
            </w:r>
            <w:r>
              <w:tab/>
            </w:r>
          </w:p>
          <w:p w14:paraId="17F9DA43">
            <w:pPr>
              <w:pStyle w:val="12"/>
            </w:pPr>
            <w:r>
              <w:tab/>
            </w:r>
            <w:r>
              <w:tab/>
            </w:r>
            <w:r>
              <w:tab/>
            </w:r>
            <w:r>
              <w:tab/>
            </w:r>
            <w:r>
              <w:tab/>
            </w:r>
            <w:r>
              <w:tab/>
            </w:r>
          </w:p>
          <w:p w14:paraId="6B199BFF">
            <w:pPr>
              <w:pStyle w:val="12"/>
            </w:pPr>
          </w:p>
        </w:tc>
      </w:tr>
      <w:tr w14:paraId="68174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4E177">
            <w:pPr>
              <w:pStyle w:val="10"/>
            </w:pPr>
            <w:r>
              <w:t>资金支出计划（%）</w:t>
            </w:r>
          </w:p>
        </w:tc>
        <w:tc>
          <w:tcPr>
            <w:tcW w:w="5103" w:type="dxa"/>
            <w:gridSpan w:val="2"/>
            <w:vAlign w:val="center"/>
          </w:tcPr>
          <w:p w14:paraId="1B34D9EF">
            <w:pPr>
              <w:pStyle w:val="10"/>
            </w:pPr>
            <w:r>
              <w:t>3月底</w:t>
            </w:r>
          </w:p>
        </w:tc>
        <w:tc>
          <w:tcPr>
            <w:tcW w:w="2835" w:type="dxa"/>
            <w:vAlign w:val="center"/>
          </w:tcPr>
          <w:p w14:paraId="723EFBF4">
            <w:pPr>
              <w:pStyle w:val="10"/>
            </w:pPr>
            <w:r>
              <w:t>6月底</w:t>
            </w:r>
          </w:p>
        </w:tc>
        <w:tc>
          <w:tcPr>
            <w:tcW w:w="2551" w:type="dxa"/>
            <w:vAlign w:val="center"/>
          </w:tcPr>
          <w:p w14:paraId="43E5206E">
            <w:pPr>
              <w:pStyle w:val="10"/>
            </w:pPr>
            <w:r>
              <w:t>10月底</w:t>
            </w:r>
          </w:p>
        </w:tc>
        <w:tc>
          <w:tcPr>
            <w:tcW w:w="3544" w:type="dxa"/>
            <w:gridSpan w:val="2"/>
            <w:vAlign w:val="center"/>
          </w:tcPr>
          <w:p w14:paraId="15058218">
            <w:pPr>
              <w:pStyle w:val="10"/>
            </w:pPr>
            <w:r>
              <w:t>12月底</w:t>
            </w:r>
          </w:p>
        </w:tc>
      </w:tr>
      <w:tr w14:paraId="3C3F5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0214B"/>
        </w:tc>
        <w:tc>
          <w:tcPr>
            <w:tcW w:w="5103" w:type="dxa"/>
            <w:gridSpan w:val="2"/>
            <w:vAlign w:val="center"/>
          </w:tcPr>
          <w:p w14:paraId="067E7ED7">
            <w:pPr>
              <w:pStyle w:val="13"/>
            </w:pPr>
            <w:r>
              <w:t xml:space="preserve"> </w:t>
            </w:r>
          </w:p>
        </w:tc>
        <w:tc>
          <w:tcPr>
            <w:tcW w:w="2835" w:type="dxa"/>
            <w:vAlign w:val="center"/>
          </w:tcPr>
          <w:p w14:paraId="7F21C2D3">
            <w:pPr>
              <w:pStyle w:val="13"/>
            </w:pPr>
            <w:r>
              <w:t xml:space="preserve"> </w:t>
            </w:r>
          </w:p>
        </w:tc>
        <w:tc>
          <w:tcPr>
            <w:tcW w:w="2551" w:type="dxa"/>
            <w:vAlign w:val="center"/>
          </w:tcPr>
          <w:p w14:paraId="07B222FF">
            <w:pPr>
              <w:pStyle w:val="13"/>
            </w:pPr>
            <w:r>
              <w:t>100%</w:t>
            </w:r>
          </w:p>
        </w:tc>
        <w:tc>
          <w:tcPr>
            <w:tcW w:w="3544" w:type="dxa"/>
            <w:gridSpan w:val="2"/>
            <w:vAlign w:val="center"/>
          </w:tcPr>
          <w:p w14:paraId="61AA0CA0">
            <w:pPr>
              <w:pStyle w:val="13"/>
            </w:pPr>
            <w:r>
              <w:t xml:space="preserve"> </w:t>
            </w:r>
          </w:p>
        </w:tc>
      </w:tr>
      <w:tr w14:paraId="623B6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F6D78">
            <w:pPr>
              <w:pStyle w:val="10"/>
            </w:pPr>
            <w:r>
              <w:t>绩效目标</w:t>
            </w:r>
          </w:p>
        </w:tc>
        <w:tc>
          <w:tcPr>
            <w:tcW w:w="14033" w:type="dxa"/>
            <w:gridSpan w:val="6"/>
            <w:vAlign w:val="center"/>
          </w:tcPr>
          <w:p w14:paraId="0ABECD5F">
            <w:pPr>
              <w:pStyle w:val="12"/>
            </w:pPr>
            <w:r>
              <w:t>1.改善就学条件，提升学校形象，保障义务教育阶段教学安全，改善师生教学环境，创造良好的校园环境。</w:t>
            </w:r>
            <w:r>
              <w:tab/>
            </w:r>
          </w:p>
          <w:p w14:paraId="5805BE69">
            <w:pPr>
              <w:pStyle w:val="12"/>
            </w:pPr>
          </w:p>
          <w:p w14:paraId="30BBFB5B">
            <w:pPr>
              <w:pStyle w:val="12"/>
            </w:pPr>
            <w:r>
              <w:t>2.项目需资金46.1万元，资金拨付率达到100%。</w:t>
            </w:r>
          </w:p>
        </w:tc>
      </w:tr>
    </w:tbl>
    <w:p w14:paraId="77F4A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B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B3071">
            <w:pPr>
              <w:pStyle w:val="10"/>
            </w:pPr>
            <w:r>
              <w:t>一级指标</w:t>
            </w:r>
          </w:p>
        </w:tc>
        <w:tc>
          <w:tcPr>
            <w:tcW w:w="2268" w:type="dxa"/>
            <w:vAlign w:val="center"/>
          </w:tcPr>
          <w:p w14:paraId="2CF384A8">
            <w:pPr>
              <w:pStyle w:val="10"/>
            </w:pPr>
            <w:r>
              <w:t>二级指标</w:t>
            </w:r>
          </w:p>
        </w:tc>
        <w:tc>
          <w:tcPr>
            <w:tcW w:w="2835" w:type="dxa"/>
            <w:vAlign w:val="center"/>
          </w:tcPr>
          <w:p w14:paraId="04D0C8F7">
            <w:pPr>
              <w:pStyle w:val="10"/>
            </w:pPr>
            <w:r>
              <w:t>三级指标</w:t>
            </w:r>
          </w:p>
        </w:tc>
        <w:tc>
          <w:tcPr>
            <w:tcW w:w="5386" w:type="dxa"/>
            <w:vAlign w:val="center"/>
          </w:tcPr>
          <w:p w14:paraId="5893205C">
            <w:pPr>
              <w:pStyle w:val="10"/>
            </w:pPr>
            <w:r>
              <w:t>绩效指标描述</w:t>
            </w:r>
          </w:p>
        </w:tc>
        <w:tc>
          <w:tcPr>
            <w:tcW w:w="2268" w:type="dxa"/>
            <w:vAlign w:val="center"/>
          </w:tcPr>
          <w:p w14:paraId="10EB7EE4">
            <w:pPr>
              <w:pStyle w:val="10"/>
            </w:pPr>
            <w:r>
              <w:t>指标值</w:t>
            </w:r>
          </w:p>
        </w:tc>
        <w:tc>
          <w:tcPr>
            <w:tcW w:w="1276" w:type="dxa"/>
            <w:vAlign w:val="center"/>
          </w:tcPr>
          <w:p w14:paraId="5F6B2E87">
            <w:pPr>
              <w:pStyle w:val="10"/>
            </w:pPr>
            <w:r>
              <w:t>指标值确定依据</w:t>
            </w:r>
          </w:p>
        </w:tc>
      </w:tr>
      <w:tr w14:paraId="7DD39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08EDE">
            <w:pPr>
              <w:pStyle w:val="13"/>
            </w:pPr>
            <w:r>
              <w:t>产出指标</w:t>
            </w:r>
          </w:p>
        </w:tc>
        <w:tc>
          <w:tcPr>
            <w:tcW w:w="2268" w:type="dxa"/>
            <w:vAlign w:val="center"/>
          </w:tcPr>
          <w:p w14:paraId="42CE11F9">
            <w:pPr>
              <w:pStyle w:val="12"/>
            </w:pPr>
            <w:r>
              <w:t>数量指标</w:t>
            </w:r>
          </w:p>
        </w:tc>
        <w:tc>
          <w:tcPr>
            <w:tcW w:w="2835" w:type="dxa"/>
            <w:vAlign w:val="center"/>
          </w:tcPr>
          <w:p w14:paraId="46128B7F">
            <w:pPr>
              <w:pStyle w:val="12"/>
            </w:pPr>
            <w:r>
              <w:t>维修改造宿舍楼数量</w:t>
            </w:r>
          </w:p>
        </w:tc>
        <w:tc>
          <w:tcPr>
            <w:tcW w:w="5386" w:type="dxa"/>
            <w:vAlign w:val="center"/>
          </w:tcPr>
          <w:p w14:paraId="223347F7">
            <w:pPr>
              <w:pStyle w:val="12"/>
            </w:pPr>
            <w:r>
              <w:tab/>
            </w:r>
            <w:r>
              <w:tab/>
            </w:r>
            <w:r>
              <w:tab/>
            </w:r>
            <w:r>
              <w:t>维修改造宿舍楼数量</w:t>
            </w:r>
            <w:r>
              <w:tab/>
            </w:r>
            <w:r>
              <w:tab/>
            </w:r>
          </w:p>
          <w:p w14:paraId="2CFC3822">
            <w:pPr>
              <w:pStyle w:val="12"/>
            </w:pPr>
            <w:r>
              <w:tab/>
            </w:r>
            <w:r>
              <w:tab/>
            </w:r>
            <w:r>
              <w:tab/>
            </w:r>
            <w:r>
              <w:tab/>
            </w:r>
          </w:p>
          <w:p w14:paraId="6E0113C2">
            <w:pPr>
              <w:pStyle w:val="12"/>
            </w:pPr>
          </w:p>
        </w:tc>
        <w:tc>
          <w:tcPr>
            <w:tcW w:w="2268" w:type="dxa"/>
            <w:vAlign w:val="center"/>
          </w:tcPr>
          <w:p w14:paraId="628D9B27">
            <w:pPr>
              <w:pStyle w:val="12"/>
            </w:pPr>
            <w:r>
              <w:t>3栋</w:t>
            </w:r>
          </w:p>
        </w:tc>
        <w:tc>
          <w:tcPr>
            <w:tcW w:w="1276" w:type="dxa"/>
            <w:vAlign w:val="center"/>
          </w:tcPr>
          <w:p w14:paraId="71B3891C">
            <w:pPr>
              <w:pStyle w:val="12"/>
            </w:pPr>
            <w:r>
              <w:t>城乡义务教育公用经费</w:t>
            </w:r>
          </w:p>
        </w:tc>
      </w:tr>
      <w:tr w14:paraId="0EE1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C1A37"/>
        </w:tc>
        <w:tc>
          <w:tcPr>
            <w:tcW w:w="2268" w:type="dxa"/>
            <w:vAlign w:val="center"/>
          </w:tcPr>
          <w:p w14:paraId="3C955CA1">
            <w:pPr>
              <w:pStyle w:val="12"/>
            </w:pPr>
            <w:r>
              <w:t>质量指标</w:t>
            </w:r>
          </w:p>
        </w:tc>
        <w:tc>
          <w:tcPr>
            <w:tcW w:w="2835" w:type="dxa"/>
            <w:vAlign w:val="center"/>
          </w:tcPr>
          <w:p w14:paraId="376602A5">
            <w:pPr>
              <w:pStyle w:val="12"/>
            </w:pPr>
            <w:r>
              <w:t>工程实施验收合格率</w:t>
            </w:r>
          </w:p>
        </w:tc>
        <w:tc>
          <w:tcPr>
            <w:tcW w:w="5386" w:type="dxa"/>
            <w:vAlign w:val="center"/>
          </w:tcPr>
          <w:p w14:paraId="4A4BA813">
            <w:pPr>
              <w:pStyle w:val="12"/>
            </w:pPr>
            <w:r>
              <w:t>申报程序的合规，项目实施及资金使用符合项目规划</w:t>
            </w:r>
          </w:p>
        </w:tc>
        <w:tc>
          <w:tcPr>
            <w:tcW w:w="2268" w:type="dxa"/>
            <w:vAlign w:val="center"/>
          </w:tcPr>
          <w:p w14:paraId="7EF8E427">
            <w:pPr>
              <w:pStyle w:val="12"/>
            </w:pPr>
            <w:r>
              <w:t>100%</w:t>
            </w:r>
          </w:p>
        </w:tc>
        <w:tc>
          <w:tcPr>
            <w:tcW w:w="1276" w:type="dxa"/>
            <w:vAlign w:val="center"/>
          </w:tcPr>
          <w:p w14:paraId="6283CF0D">
            <w:pPr>
              <w:pStyle w:val="12"/>
            </w:pPr>
            <w:r>
              <w:t>城乡义务教育公用经费</w:t>
            </w:r>
          </w:p>
        </w:tc>
      </w:tr>
      <w:tr w14:paraId="1DCA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66852"/>
        </w:tc>
        <w:tc>
          <w:tcPr>
            <w:tcW w:w="2268" w:type="dxa"/>
            <w:vAlign w:val="center"/>
          </w:tcPr>
          <w:p w14:paraId="535B5C6A">
            <w:pPr>
              <w:pStyle w:val="12"/>
            </w:pPr>
            <w:r>
              <w:t>时效指标</w:t>
            </w:r>
          </w:p>
        </w:tc>
        <w:tc>
          <w:tcPr>
            <w:tcW w:w="2835" w:type="dxa"/>
            <w:vAlign w:val="center"/>
          </w:tcPr>
          <w:p w14:paraId="662A4041">
            <w:pPr>
              <w:pStyle w:val="12"/>
            </w:pPr>
            <w:r>
              <w:t>资金支付率</w:t>
            </w:r>
          </w:p>
        </w:tc>
        <w:tc>
          <w:tcPr>
            <w:tcW w:w="5386" w:type="dxa"/>
            <w:vAlign w:val="center"/>
          </w:tcPr>
          <w:p w14:paraId="54B0AD62">
            <w:pPr>
              <w:pStyle w:val="12"/>
            </w:pPr>
            <w:r>
              <w:t>按照序时进度完成资金支付</w:t>
            </w:r>
          </w:p>
        </w:tc>
        <w:tc>
          <w:tcPr>
            <w:tcW w:w="2268" w:type="dxa"/>
            <w:vAlign w:val="center"/>
          </w:tcPr>
          <w:p w14:paraId="70254BE2">
            <w:pPr>
              <w:pStyle w:val="12"/>
            </w:pPr>
            <w:r>
              <w:t>100%</w:t>
            </w:r>
          </w:p>
        </w:tc>
        <w:tc>
          <w:tcPr>
            <w:tcW w:w="1276" w:type="dxa"/>
            <w:vAlign w:val="center"/>
          </w:tcPr>
          <w:p w14:paraId="3ABB19DE">
            <w:pPr>
              <w:pStyle w:val="12"/>
            </w:pPr>
            <w:r>
              <w:t>城乡义务教育公用经费</w:t>
            </w:r>
          </w:p>
        </w:tc>
      </w:tr>
      <w:tr w14:paraId="0B99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C8A0E"/>
        </w:tc>
        <w:tc>
          <w:tcPr>
            <w:tcW w:w="2268" w:type="dxa"/>
            <w:vAlign w:val="center"/>
          </w:tcPr>
          <w:p w14:paraId="19FDDBFC">
            <w:pPr>
              <w:pStyle w:val="12"/>
            </w:pPr>
            <w:r>
              <w:t>成本指标</w:t>
            </w:r>
          </w:p>
        </w:tc>
        <w:tc>
          <w:tcPr>
            <w:tcW w:w="2835" w:type="dxa"/>
            <w:vAlign w:val="center"/>
          </w:tcPr>
          <w:p w14:paraId="4CADB432">
            <w:pPr>
              <w:pStyle w:val="12"/>
            </w:pPr>
            <w:r>
              <w:t>项目成本控制情况</w:t>
            </w:r>
          </w:p>
        </w:tc>
        <w:tc>
          <w:tcPr>
            <w:tcW w:w="5386" w:type="dxa"/>
            <w:vAlign w:val="center"/>
          </w:tcPr>
          <w:p w14:paraId="7FB7FA1C">
            <w:pPr>
              <w:pStyle w:val="12"/>
            </w:pPr>
            <w:r>
              <w:t>严格按照招标价格及验收额进行</w:t>
            </w:r>
          </w:p>
        </w:tc>
        <w:tc>
          <w:tcPr>
            <w:tcW w:w="2268" w:type="dxa"/>
            <w:vAlign w:val="center"/>
          </w:tcPr>
          <w:p w14:paraId="6750E0D4">
            <w:pPr>
              <w:pStyle w:val="12"/>
            </w:pPr>
            <w:r>
              <w:t>≤46.1万元</w:t>
            </w:r>
          </w:p>
        </w:tc>
        <w:tc>
          <w:tcPr>
            <w:tcW w:w="1276" w:type="dxa"/>
            <w:vAlign w:val="center"/>
          </w:tcPr>
          <w:p w14:paraId="30BC3E20">
            <w:pPr>
              <w:pStyle w:val="12"/>
            </w:pPr>
            <w:r>
              <w:t>城乡义务教育公用经费</w:t>
            </w:r>
          </w:p>
        </w:tc>
      </w:tr>
      <w:tr w14:paraId="647D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F5D9D">
            <w:pPr>
              <w:pStyle w:val="13"/>
            </w:pPr>
            <w:r>
              <w:t>效益指标</w:t>
            </w:r>
          </w:p>
        </w:tc>
        <w:tc>
          <w:tcPr>
            <w:tcW w:w="2268" w:type="dxa"/>
            <w:vAlign w:val="center"/>
          </w:tcPr>
          <w:p w14:paraId="7DF5B032">
            <w:pPr>
              <w:pStyle w:val="12"/>
            </w:pPr>
            <w:r>
              <w:t>可持续影响指标</w:t>
            </w:r>
          </w:p>
        </w:tc>
        <w:tc>
          <w:tcPr>
            <w:tcW w:w="2835" w:type="dxa"/>
            <w:vAlign w:val="center"/>
          </w:tcPr>
          <w:p w14:paraId="39C8BF7F">
            <w:pPr>
              <w:pStyle w:val="12"/>
            </w:pPr>
            <w:r>
              <w:t>学校运转得到提高</w:t>
            </w:r>
          </w:p>
        </w:tc>
        <w:tc>
          <w:tcPr>
            <w:tcW w:w="5386" w:type="dxa"/>
            <w:vAlign w:val="center"/>
          </w:tcPr>
          <w:p w14:paraId="61B90E12">
            <w:pPr>
              <w:pStyle w:val="12"/>
            </w:pPr>
            <w:r>
              <w:t>学生受教育年限</w:t>
            </w:r>
          </w:p>
        </w:tc>
        <w:tc>
          <w:tcPr>
            <w:tcW w:w="2268" w:type="dxa"/>
            <w:vAlign w:val="center"/>
          </w:tcPr>
          <w:p w14:paraId="5F8ECD1A">
            <w:pPr>
              <w:pStyle w:val="12"/>
            </w:pPr>
            <w:r>
              <w:t>3年</w:t>
            </w:r>
          </w:p>
        </w:tc>
        <w:tc>
          <w:tcPr>
            <w:tcW w:w="1276" w:type="dxa"/>
            <w:vAlign w:val="center"/>
          </w:tcPr>
          <w:p w14:paraId="7326D980">
            <w:pPr>
              <w:pStyle w:val="12"/>
            </w:pPr>
            <w:r>
              <w:t>城乡义务教育公用经费</w:t>
            </w:r>
          </w:p>
        </w:tc>
      </w:tr>
      <w:tr w14:paraId="5E3E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B7E55">
            <w:pPr>
              <w:pStyle w:val="13"/>
            </w:pPr>
            <w:r>
              <w:t>满意度指标</w:t>
            </w:r>
          </w:p>
        </w:tc>
        <w:tc>
          <w:tcPr>
            <w:tcW w:w="2268" w:type="dxa"/>
            <w:vAlign w:val="center"/>
          </w:tcPr>
          <w:p w14:paraId="1972A0A9">
            <w:pPr>
              <w:pStyle w:val="12"/>
            </w:pPr>
            <w:r>
              <w:t>服务对象满意度指标</w:t>
            </w:r>
          </w:p>
        </w:tc>
        <w:tc>
          <w:tcPr>
            <w:tcW w:w="2835" w:type="dxa"/>
            <w:vAlign w:val="center"/>
          </w:tcPr>
          <w:p w14:paraId="1AB22B1F">
            <w:pPr>
              <w:pStyle w:val="12"/>
            </w:pPr>
            <w:r>
              <w:t>受益学生家长及调查满意度</w:t>
            </w:r>
          </w:p>
        </w:tc>
        <w:tc>
          <w:tcPr>
            <w:tcW w:w="5386" w:type="dxa"/>
            <w:vAlign w:val="center"/>
          </w:tcPr>
          <w:p w14:paraId="4EBB0D07">
            <w:pPr>
              <w:pStyle w:val="12"/>
            </w:pPr>
            <w:r>
              <w:t>学生、教师及家长对学校教学环境满意度情况</w:t>
            </w:r>
          </w:p>
        </w:tc>
        <w:tc>
          <w:tcPr>
            <w:tcW w:w="2268" w:type="dxa"/>
            <w:vAlign w:val="center"/>
          </w:tcPr>
          <w:p w14:paraId="22B2005E">
            <w:pPr>
              <w:pStyle w:val="12"/>
            </w:pPr>
            <w:r>
              <w:t>≥98%</w:t>
            </w:r>
          </w:p>
        </w:tc>
        <w:tc>
          <w:tcPr>
            <w:tcW w:w="1276" w:type="dxa"/>
            <w:vAlign w:val="center"/>
          </w:tcPr>
          <w:p w14:paraId="7DB2D1D6">
            <w:pPr>
              <w:pStyle w:val="12"/>
            </w:pPr>
            <w:r>
              <w:t>问卷调查</w:t>
            </w:r>
          </w:p>
        </w:tc>
      </w:tr>
    </w:tbl>
    <w:p w14:paraId="458B99D1">
      <w:pPr>
        <w:sectPr>
          <w:pgSz w:w="16840" w:h="11900" w:orient="landscape"/>
          <w:pgMar w:top="1361" w:right="1020" w:bottom="1134" w:left="1020" w:header="720" w:footer="720" w:gutter="0"/>
          <w:cols w:space="720" w:num="1"/>
        </w:sectPr>
      </w:pPr>
    </w:p>
    <w:p w14:paraId="6AC92015">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3、冀财教[2025]147号/省级/2026年义教补助经费/尹村中学公用经费绩效目标表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80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8B6B2">
            <w:pPr>
              <w:pStyle w:val="11"/>
            </w:pPr>
            <w:r>
              <w:t>单位：万元</w:t>
            </w:r>
          </w:p>
        </w:tc>
      </w:tr>
      <w:tr w14:paraId="1C202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548EE">
            <w:pPr>
              <w:pStyle w:val="10"/>
            </w:pPr>
            <w:r>
              <w:t>项目编码</w:t>
            </w:r>
          </w:p>
        </w:tc>
        <w:tc>
          <w:tcPr>
            <w:tcW w:w="5103" w:type="dxa"/>
            <w:gridSpan w:val="2"/>
            <w:vAlign w:val="center"/>
          </w:tcPr>
          <w:p w14:paraId="2B3FDB75">
            <w:pPr>
              <w:pStyle w:val="12"/>
            </w:pPr>
            <w:r>
              <w:t>13052526P00000410321M</w:t>
            </w:r>
          </w:p>
        </w:tc>
        <w:tc>
          <w:tcPr>
            <w:tcW w:w="2835" w:type="dxa"/>
            <w:vAlign w:val="center"/>
          </w:tcPr>
          <w:p w14:paraId="0FADA698">
            <w:pPr>
              <w:pStyle w:val="10"/>
            </w:pPr>
            <w:r>
              <w:t>项目名称</w:t>
            </w:r>
          </w:p>
        </w:tc>
        <w:tc>
          <w:tcPr>
            <w:tcW w:w="6095" w:type="dxa"/>
            <w:gridSpan w:val="3"/>
            <w:vAlign w:val="center"/>
          </w:tcPr>
          <w:p w14:paraId="57F0F1F6">
            <w:pPr>
              <w:pStyle w:val="12"/>
            </w:pPr>
            <w:r>
              <w:t>冀财教[2025]147号/省级/2026年义教补助经费/尹村中学公用经费</w:t>
            </w:r>
          </w:p>
        </w:tc>
      </w:tr>
      <w:tr w14:paraId="1483E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CF50C">
            <w:pPr>
              <w:pStyle w:val="10"/>
            </w:pPr>
            <w:r>
              <w:t>预算规模及资金用途</w:t>
            </w:r>
          </w:p>
        </w:tc>
        <w:tc>
          <w:tcPr>
            <w:tcW w:w="2268" w:type="dxa"/>
            <w:vAlign w:val="center"/>
          </w:tcPr>
          <w:p w14:paraId="04809A34">
            <w:pPr>
              <w:pStyle w:val="10"/>
            </w:pPr>
            <w:r>
              <w:t>预算数</w:t>
            </w:r>
          </w:p>
        </w:tc>
        <w:tc>
          <w:tcPr>
            <w:tcW w:w="2835" w:type="dxa"/>
            <w:vAlign w:val="center"/>
          </w:tcPr>
          <w:p w14:paraId="6C9B9C55">
            <w:pPr>
              <w:pStyle w:val="12"/>
            </w:pPr>
            <w:r>
              <w:t>30.57</w:t>
            </w:r>
          </w:p>
        </w:tc>
        <w:tc>
          <w:tcPr>
            <w:tcW w:w="2835" w:type="dxa"/>
            <w:vAlign w:val="center"/>
          </w:tcPr>
          <w:p w14:paraId="58273166">
            <w:pPr>
              <w:pStyle w:val="10"/>
            </w:pPr>
            <w:r>
              <w:t>其中：财政    资金</w:t>
            </w:r>
          </w:p>
        </w:tc>
        <w:tc>
          <w:tcPr>
            <w:tcW w:w="2551" w:type="dxa"/>
            <w:vAlign w:val="center"/>
          </w:tcPr>
          <w:p w14:paraId="77F6EF2B">
            <w:pPr>
              <w:pStyle w:val="12"/>
            </w:pPr>
            <w:r>
              <w:t>30.57</w:t>
            </w:r>
          </w:p>
        </w:tc>
        <w:tc>
          <w:tcPr>
            <w:tcW w:w="2268" w:type="dxa"/>
            <w:vAlign w:val="center"/>
          </w:tcPr>
          <w:p w14:paraId="60550901">
            <w:pPr>
              <w:pStyle w:val="10"/>
            </w:pPr>
            <w:r>
              <w:t>其他资金</w:t>
            </w:r>
          </w:p>
        </w:tc>
        <w:tc>
          <w:tcPr>
            <w:tcW w:w="1276" w:type="dxa"/>
            <w:vAlign w:val="center"/>
          </w:tcPr>
          <w:p w14:paraId="283A6BA6">
            <w:pPr>
              <w:pStyle w:val="12"/>
            </w:pPr>
            <w:r>
              <w:t xml:space="preserve"> </w:t>
            </w:r>
          </w:p>
        </w:tc>
      </w:tr>
      <w:tr w14:paraId="43CCD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75FB1"/>
        </w:tc>
        <w:tc>
          <w:tcPr>
            <w:tcW w:w="14033" w:type="dxa"/>
            <w:gridSpan w:val="6"/>
            <w:vAlign w:val="center"/>
          </w:tcPr>
          <w:p w14:paraId="78AD302C">
            <w:pPr>
              <w:pStyle w:val="12"/>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1534177E">
            <w:pPr>
              <w:pStyle w:val="12"/>
            </w:pPr>
          </w:p>
        </w:tc>
      </w:tr>
      <w:tr w14:paraId="037D0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E2231">
            <w:pPr>
              <w:pStyle w:val="10"/>
            </w:pPr>
            <w:r>
              <w:t>资金支出计划（%）</w:t>
            </w:r>
          </w:p>
        </w:tc>
        <w:tc>
          <w:tcPr>
            <w:tcW w:w="5103" w:type="dxa"/>
            <w:gridSpan w:val="2"/>
            <w:vAlign w:val="center"/>
          </w:tcPr>
          <w:p w14:paraId="518B5300">
            <w:pPr>
              <w:pStyle w:val="10"/>
            </w:pPr>
            <w:r>
              <w:t>3月底</w:t>
            </w:r>
          </w:p>
        </w:tc>
        <w:tc>
          <w:tcPr>
            <w:tcW w:w="2835" w:type="dxa"/>
            <w:vAlign w:val="center"/>
          </w:tcPr>
          <w:p w14:paraId="6E6C2F64">
            <w:pPr>
              <w:pStyle w:val="10"/>
            </w:pPr>
            <w:r>
              <w:t>6月底</w:t>
            </w:r>
          </w:p>
        </w:tc>
        <w:tc>
          <w:tcPr>
            <w:tcW w:w="2551" w:type="dxa"/>
            <w:vAlign w:val="center"/>
          </w:tcPr>
          <w:p w14:paraId="686F8A40">
            <w:pPr>
              <w:pStyle w:val="10"/>
            </w:pPr>
            <w:r>
              <w:t>10月底</w:t>
            </w:r>
          </w:p>
        </w:tc>
        <w:tc>
          <w:tcPr>
            <w:tcW w:w="3544" w:type="dxa"/>
            <w:gridSpan w:val="2"/>
            <w:vAlign w:val="center"/>
          </w:tcPr>
          <w:p w14:paraId="0910093A">
            <w:pPr>
              <w:pStyle w:val="10"/>
            </w:pPr>
            <w:r>
              <w:t>12月底</w:t>
            </w:r>
          </w:p>
        </w:tc>
      </w:tr>
      <w:tr w14:paraId="4A582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25AD3"/>
        </w:tc>
        <w:tc>
          <w:tcPr>
            <w:tcW w:w="5103" w:type="dxa"/>
            <w:gridSpan w:val="2"/>
            <w:vAlign w:val="center"/>
          </w:tcPr>
          <w:p w14:paraId="21EAA2BD">
            <w:pPr>
              <w:pStyle w:val="13"/>
            </w:pPr>
            <w:r>
              <w:t>25%</w:t>
            </w:r>
          </w:p>
        </w:tc>
        <w:tc>
          <w:tcPr>
            <w:tcW w:w="2835" w:type="dxa"/>
            <w:vAlign w:val="center"/>
          </w:tcPr>
          <w:p w14:paraId="533FFD63">
            <w:pPr>
              <w:pStyle w:val="13"/>
            </w:pPr>
            <w:r>
              <w:t>50%</w:t>
            </w:r>
          </w:p>
        </w:tc>
        <w:tc>
          <w:tcPr>
            <w:tcW w:w="2551" w:type="dxa"/>
            <w:vAlign w:val="center"/>
          </w:tcPr>
          <w:p w14:paraId="703A2776">
            <w:pPr>
              <w:pStyle w:val="13"/>
            </w:pPr>
            <w:r>
              <w:t>75%</w:t>
            </w:r>
          </w:p>
        </w:tc>
        <w:tc>
          <w:tcPr>
            <w:tcW w:w="3544" w:type="dxa"/>
            <w:gridSpan w:val="2"/>
            <w:vAlign w:val="center"/>
          </w:tcPr>
          <w:p w14:paraId="0E7E377E">
            <w:pPr>
              <w:pStyle w:val="13"/>
            </w:pPr>
            <w:r>
              <w:t>100%</w:t>
            </w:r>
          </w:p>
        </w:tc>
      </w:tr>
      <w:tr w14:paraId="57208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BCD27">
            <w:pPr>
              <w:pStyle w:val="10"/>
            </w:pPr>
            <w:r>
              <w:t>绩效目标</w:t>
            </w:r>
          </w:p>
        </w:tc>
        <w:tc>
          <w:tcPr>
            <w:tcW w:w="14033" w:type="dxa"/>
            <w:gridSpan w:val="6"/>
            <w:vAlign w:val="center"/>
          </w:tcPr>
          <w:p w14:paraId="0C2162FA">
            <w:pPr>
              <w:pStyle w:val="12"/>
            </w:pPr>
            <w:r>
              <w:t>1.按规定拨付公用经费资金305700元，资金拨付率达到100%。</w:t>
            </w:r>
          </w:p>
          <w:p w14:paraId="113D280F">
            <w:pPr>
              <w:pStyle w:val="12"/>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3465AF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D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12CC1">
            <w:pPr>
              <w:pStyle w:val="10"/>
            </w:pPr>
            <w:r>
              <w:t>一级指标</w:t>
            </w:r>
          </w:p>
        </w:tc>
        <w:tc>
          <w:tcPr>
            <w:tcW w:w="2268" w:type="dxa"/>
            <w:vAlign w:val="center"/>
          </w:tcPr>
          <w:p w14:paraId="577608F8">
            <w:pPr>
              <w:pStyle w:val="10"/>
            </w:pPr>
            <w:r>
              <w:t>二级指标</w:t>
            </w:r>
          </w:p>
        </w:tc>
        <w:tc>
          <w:tcPr>
            <w:tcW w:w="2835" w:type="dxa"/>
            <w:vAlign w:val="center"/>
          </w:tcPr>
          <w:p w14:paraId="26049AF6">
            <w:pPr>
              <w:pStyle w:val="10"/>
            </w:pPr>
            <w:r>
              <w:t>三级指标</w:t>
            </w:r>
          </w:p>
        </w:tc>
        <w:tc>
          <w:tcPr>
            <w:tcW w:w="5386" w:type="dxa"/>
            <w:vAlign w:val="center"/>
          </w:tcPr>
          <w:p w14:paraId="7968F3BA">
            <w:pPr>
              <w:pStyle w:val="10"/>
            </w:pPr>
            <w:r>
              <w:t>绩效指标描述</w:t>
            </w:r>
          </w:p>
        </w:tc>
        <w:tc>
          <w:tcPr>
            <w:tcW w:w="2268" w:type="dxa"/>
            <w:vAlign w:val="center"/>
          </w:tcPr>
          <w:p w14:paraId="4ADED50E">
            <w:pPr>
              <w:pStyle w:val="10"/>
            </w:pPr>
            <w:r>
              <w:t>指标值</w:t>
            </w:r>
          </w:p>
        </w:tc>
        <w:tc>
          <w:tcPr>
            <w:tcW w:w="1276" w:type="dxa"/>
            <w:vAlign w:val="center"/>
          </w:tcPr>
          <w:p w14:paraId="35266548">
            <w:pPr>
              <w:pStyle w:val="10"/>
            </w:pPr>
            <w:r>
              <w:t>指标值确定依据</w:t>
            </w:r>
          </w:p>
        </w:tc>
      </w:tr>
      <w:tr w14:paraId="56DA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8ECF9">
            <w:pPr>
              <w:pStyle w:val="13"/>
            </w:pPr>
            <w:r>
              <w:t>产出指标</w:t>
            </w:r>
          </w:p>
        </w:tc>
        <w:tc>
          <w:tcPr>
            <w:tcW w:w="2268" w:type="dxa"/>
            <w:vAlign w:val="center"/>
          </w:tcPr>
          <w:p w14:paraId="30FC3BA8">
            <w:pPr>
              <w:pStyle w:val="12"/>
            </w:pPr>
            <w:r>
              <w:t>数量指标</w:t>
            </w:r>
          </w:p>
        </w:tc>
        <w:tc>
          <w:tcPr>
            <w:tcW w:w="2835" w:type="dxa"/>
            <w:vAlign w:val="center"/>
          </w:tcPr>
          <w:p w14:paraId="7BF14D04">
            <w:pPr>
              <w:pStyle w:val="12"/>
            </w:pPr>
            <w:r>
              <w:t>适龄在校生</w:t>
            </w:r>
          </w:p>
        </w:tc>
        <w:tc>
          <w:tcPr>
            <w:tcW w:w="5386" w:type="dxa"/>
            <w:vAlign w:val="center"/>
          </w:tcPr>
          <w:p w14:paraId="3F78FA1C">
            <w:pPr>
              <w:pStyle w:val="12"/>
            </w:pPr>
            <w:r>
              <w:t>适龄在校就读学生人数</w:t>
            </w:r>
          </w:p>
        </w:tc>
        <w:tc>
          <w:tcPr>
            <w:tcW w:w="2268" w:type="dxa"/>
            <w:vAlign w:val="center"/>
          </w:tcPr>
          <w:p w14:paraId="41286E66">
            <w:pPr>
              <w:pStyle w:val="12"/>
            </w:pPr>
            <w:r>
              <w:t>587人</w:t>
            </w:r>
          </w:p>
        </w:tc>
        <w:tc>
          <w:tcPr>
            <w:tcW w:w="1276" w:type="dxa"/>
            <w:vAlign w:val="center"/>
          </w:tcPr>
          <w:p w14:paraId="0A79B3C1">
            <w:pPr>
              <w:pStyle w:val="12"/>
            </w:pPr>
            <w:r>
              <w:t>城乡义务教育公用经费管理办法</w:t>
            </w:r>
          </w:p>
        </w:tc>
      </w:tr>
      <w:tr w14:paraId="5945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1D503"/>
        </w:tc>
        <w:tc>
          <w:tcPr>
            <w:tcW w:w="2268" w:type="dxa"/>
            <w:vAlign w:val="center"/>
          </w:tcPr>
          <w:p w14:paraId="3D22665B">
            <w:pPr>
              <w:pStyle w:val="12"/>
            </w:pPr>
            <w:r>
              <w:t>质量指标</w:t>
            </w:r>
          </w:p>
        </w:tc>
        <w:tc>
          <w:tcPr>
            <w:tcW w:w="2835" w:type="dxa"/>
            <w:vAlign w:val="center"/>
          </w:tcPr>
          <w:p w14:paraId="18B1EDC5">
            <w:pPr>
              <w:pStyle w:val="12"/>
            </w:pPr>
            <w:r>
              <w:t>预算控制率</w:t>
            </w:r>
          </w:p>
        </w:tc>
        <w:tc>
          <w:tcPr>
            <w:tcW w:w="5386" w:type="dxa"/>
            <w:vAlign w:val="center"/>
          </w:tcPr>
          <w:p w14:paraId="683EB804">
            <w:pPr>
              <w:pStyle w:val="12"/>
            </w:pPr>
            <w:r>
              <w:t>预算执行率</w:t>
            </w:r>
          </w:p>
        </w:tc>
        <w:tc>
          <w:tcPr>
            <w:tcW w:w="2268" w:type="dxa"/>
            <w:vAlign w:val="center"/>
          </w:tcPr>
          <w:p w14:paraId="0012BFF1">
            <w:pPr>
              <w:pStyle w:val="12"/>
            </w:pPr>
            <w:r>
              <w:t>≥95%</w:t>
            </w:r>
          </w:p>
        </w:tc>
        <w:tc>
          <w:tcPr>
            <w:tcW w:w="1276" w:type="dxa"/>
            <w:vAlign w:val="center"/>
          </w:tcPr>
          <w:p w14:paraId="6B6D30DA">
            <w:pPr>
              <w:pStyle w:val="12"/>
            </w:pPr>
            <w:r>
              <w:t>城乡义务教育公用经费管理办法</w:t>
            </w:r>
          </w:p>
        </w:tc>
      </w:tr>
      <w:tr w14:paraId="5C81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418EB"/>
        </w:tc>
        <w:tc>
          <w:tcPr>
            <w:tcW w:w="2268" w:type="dxa"/>
            <w:vAlign w:val="center"/>
          </w:tcPr>
          <w:p w14:paraId="14F3FB94">
            <w:pPr>
              <w:pStyle w:val="12"/>
            </w:pPr>
            <w:r>
              <w:t>时效指标</w:t>
            </w:r>
          </w:p>
        </w:tc>
        <w:tc>
          <w:tcPr>
            <w:tcW w:w="2835" w:type="dxa"/>
            <w:vAlign w:val="center"/>
          </w:tcPr>
          <w:p w14:paraId="006E1DC9">
            <w:pPr>
              <w:pStyle w:val="12"/>
            </w:pPr>
            <w:r>
              <w:t>资金支付率</w:t>
            </w:r>
          </w:p>
        </w:tc>
        <w:tc>
          <w:tcPr>
            <w:tcW w:w="5386" w:type="dxa"/>
            <w:vAlign w:val="center"/>
          </w:tcPr>
          <w:p w14:paraId="2E999EA7">
            <w:pPr>
              <w:pStyle w:val="12"/>
            </w:pPr>
            <w:r>
              <w:t>按照序时进度完成资金支付</w:t>
            </w:r>
          </w:p>
        </w:tc>
        <w:tc>
          <w:tcPr>
            <w:tcW w:w="2268" w:type="dxa"/>
            <w:vAlign w:val="center"/>
          </w:tcPr>
          <w:p w14:paraId="10F5DE6C">
            <w:pPr>
              <w:pStyle w:val="12"/>
            </w:pPr>
            <w:r>
              <w:t>100%</w:t>
            </w:r>
          </w:p>
        </w:tc>
        <w:tc>
          <w:tcPr>
            <w:tcW w:w="1276" w:type="dxa"/>
            <w:vAlign w:val="center"/>
          </w:tcPr>
          <w:p w14:paraId="51F5C045">
            <w:pPr>
              <w:pStyle w:val="12"/>
            </w:pPr>
            <w:r>
              <w:t>城乡义务教育公用经费管理办法</w:t>
            </w:r>
          </w:p>
        </w:tc>
      </w:tr>
      <w:tr w14:paraId="19F3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42AE3"/>
        </w:tc>
        <w:tc>
          <w:tcPr>
            <w:tcW w:w="2268" w:type="dxa"/>
            <w:vAlign w:val="center"/>
          </w:tcPr>
          <w:p w14:paraId="3A4C1E86">
            <w:pPr>
              <w:pStyle w:val="12"/>
            </w:pPr>
            <w:r>
              <w:t>成本指标</w:t>
            </w:r>
          </w:p>
        </w:tc>
        <w:tc>
          <w:tcPr>
            <w:tcW w:w="2835" w:type="dxa"/>
            <w:vAlign w:val="center"/>
          </w:tcPr>
          <w:p w14:paraId="206E294C">
            <w:pPr>
              <w:pStyle w:val="12"/>
            </w:pPr>
            <w:r>
              <w:t>生均拨款标准</w:t>
            </w:r>
          </w:p>
        </w:tc>
        <w:tc>
          <w:tcPr>
            <w:tcW w:w="5386" w:type="dxa"/>
            <w:vAlign w:val="center"/>
          </w:tcPr>
          <w:p w14:paraId="1F85FF84">
            <w:pPr>
              <w:pStyle w:val="12"/>
            </w:pPr>
            <w:r>
              <w:t>初中：（基本标准940元、寄宿生300元、取暖费120元）/生/学年；随班就读学生：标准7000元/生/学年）</w:t>
            </w:r>
          </w:p>
        </w:tc>
        <w:tc>
          <w:tcPr>
            <w:tcW w:w="2268" w:type="dxa"/>
            <w:vAlign w:val="center"/>
          </w:tcPr>
          <w:p w14:paraId="1C5ED8E5">
            <w:pPr>
              <w:pStyle w:val="12"/>
            </w:pPr>
            <w:r>
              <w:t>1360元</w:t>
            </w:r>
          </w:p>
        </w:tc>
        <w:tc>
          <w:tcPr>
            <w:tcW w:w="1276" w:type="dxa"/>
            <w:vAlign w:val="center"/>
          </w:tcPr>
          <w:p w14:paraId="3EB724DF">
            <w:pPr>
              <w:pStyle w:val="12"/>
            </w:pPr>
            <w:r>
              <w:t>城乡义务教育公用经费管理办法</w:t>
            </w:r>
          </w:p>
        </w:tc>
      </w:tr>
      <w:tr w14:paraId="6AF9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C6860">
            <w:pPr>
              <w:pStyle w:val="13"/>
            </w:pPr>
            <w:r>
              <w:t>效益指标</w:t>
            </w:r>
          </w:p>
        </w:tc>
        <w:tc>
          <w:tcPr>
            <w:tcW w:w="2268" w:type="dxa"/>
            <w:vAlign w:val="center"/>
          </w:tcPr>
          <w:p w14:paraId="25E21E4C">
            <w:pPr>
              <w:pStyle w:val="12"/>
            </w:pPr>
            <w:r>
              <w:t>可持续影响指标</w:t>
            </w:r>
          </w:p>
        </w:tc>
        <w:tc>
          <w:tcPr>
            <w:tcW w:w="2835" w:type="dxa"/>
            <w:vAlign w:val="center"/>
          </w:tcPr>
          <w:p w14:paraId="159E5FA1">
            <w:pPr>
              <w:pStyle w:val="12"/>
            </w:pPr>
            <w:r>
              <w:t>学校日常运转正常</w:t>
            </w:r>
          </w:p>
        </w:tc>
        <w:tc>
          <w:tcPr>
            <w:tcW w:w="5386" w:type="dxa"/>
            <w:vAlign w:val="center"/>
          </w:tcPr>
          <w:p w14:paraId="18901742">
            <w:pPr>
              <w:pStyle w:val="12"/>
            </w:pPr>
            <w:r>
              <w:t>学生受教育年限</w:t>
            </w:r>
          </w:p>
        </w:tc>
        <w:tc>
          <w:tcPr>
            <w:tcW w:w="2268" w:type="dxa"/>
            <w:vAlign w:val="center"/>
          </w:tcPr>
          <w:p w14:paraId="2C175402">
            <w:pPr>
              <w:pStyle w:val="12"/>
            </w:pPr>
            <w:r>
              <w:t>3年</w:t>
            </w:r>
          </w:p>
        </w:tc>
        <w:tc>
          <w:tcPr>
            <w:tcW w:w="1276" w:type="dxa"/>
            <w:vAlign w:val="center"/>
          </w:tcPr>
          <w:p w14:paraId="00CA4F9D">
            <w:pPr>
              <w:pStyle w:val="12"/>
            </w:pPr>
            <w:r>
              <w:t>城乡义务教育公用经费管理办法</w:t>
            </w:r>
          </w:p>
        </w:tc>
      </w:tr>
      <w:tr w14:paraId="7913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C215F">
            <w:pPr>
              <w:pStyle w:val="13"/>
            </w:pPr>
            <w:r>
              <w:t>满意度指标</w:t>
            </w:r>
          </w:p>
        </w:tc>
        <w:tc>
          <w:tcPr>
            <w:tcW w:w="2268" w:type="dxa"/>
            <w:vAlign w:val="center"/>
          </w:tcPr>
          <w:p w14:paraId="46E2AD13">
            <w:pPr>
              <w:pStyle w:val="12"/>
            </w:pPr>
            <w:r>
              <w:t>服务对象满意度指标</w:t>
            </w:r>
          </w:p>
        </w:tc>
        <w:tc>
          <w:tcPr>
            <w:tcW w:w="2835" w:type="dxa"/>
            <w:vAlign w:val="center"/>
          </w:tcPr>
          <w:p w14:paraId="06C4980A">
            <w:pPr>
              <w:pStyle w:val="12"/>
            </w:pPr>
            <w:r>
              <w:t>受益学生家长及调查满意度</w:t>
            </w:r>
          </w:p>
        </w:tc>
        <w:tc>
          <w:tcPr>
            <w:tcW w:w="5386" w:type="dxa"/>
            <w:vAlign w:val="center"/>
          </w:tcPr>
          <w:p w14:paraId="6BF5EB73">
            <w:pPr>
              <w:pStyle w:val="12"/>
            </w:pPr>
            <w:r>
              <w:t>学生、教师及家长对学校教育教学工作满意度情况</w:t>
            </w:r>
          </w:p>
        </w:tc>
        <w:tc>
          <w:tcPr>
            <w:tcW w:w="2268" w:type="dxa"/>
            <w:vAlign w:val="center"/>
          </w:tcPr>
          <w:p w14:paraId="52257952">
            <w:pPr>
              <w:pStyle w:val="12"/>
            </w:pPr>
            <w:r>
              <w:t>≥95%</w:t>
            </w:r>
          </w:p>
        </w:tc>
        <w:tc>
          <w:tcPr>
            <w:tcW w:w="1276" w:type="dxa"/>
            <w:vAlign w:val="center"/>
          </w:tcPr>
          <w:p w14:paraId="03FCD286">
            <w:pPr>
              <w:pStyle w:val="12"/>
            </w:pPr>
            <w:r>
              <w:t>问卷调查</w:t>
            </w:r>
          </w:p>
        </w:tc>
      </w:tr>
    </w:tbl>
    <w:p w14:paraId="5EE691F0">
      <w:pPr>
        <w:sectPr>
          <w:pgSz w:w="16840" w:h="11900" w:orient="landscape"/>
          <w:pgMar w:top="1361" w:right="1020" w:bottom="1134" w:left="1020" w:header="720" w:footer="720" w:gutter="0"/>
          <w:cols w:space="720" w:num="1"/>
        </w:sectPr>
      </w:pPr>
    </w:p>
    <w:p w14:paraId="72464D89">
      <w:pPr>
        <w:spacing w:before="0" w:after="0"/>
        <w:ind w:firstLine="560"/>
        <w:jc w:val="left"/>
        <w:outlineLvl w:val="9"/>
      </w:pPr>
      <w:r>
        <w:rPr>
          <w:rFonts w:ascii="方正仿宋_GBK" w:hAnsi="方正仿宋_GBK" w:eastAsia="方正仿宋_GBK" w:cs="方正仿宋_GBK"/>
          <w:b/>
          <w:color w:val="000000"/>
          <w:sz w:val="28"/>
        </w:rPr>
        <w:t>4、冀财教[2025]148号/支持义务教育发展/尹村中学公用经费绩效目标表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5C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1F76D">
            <w:pPr>
              <w:pStyle w:val="11"/>
            </w:pPr>
            <w:r>
              <w:t>单位：万元</w:t>
            </w:r>
          </w:p>
        </w:tc>
      </w:tr>
      <w:tr w14:paraId="12FBA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9C520">
            <w:pPr>
              <w:pStyle w:val="10"/>
            </w:pPr>
            <w:r>
              <w:t>项目编码</w:t>
            </w:r>
          </w:p>
        </w:tc>
        <w:tc>
          <w:tcPr>
            <w:tcW w:w="5103" w:type="dxa"/>
            <w:gridSpan w:val="2"/>
            <w:vAlign w:val="center"/>
          </w:tcPr>
          <w:p w14:paraId="45537946">
            <w:pPr>
              <w:pStyle w:val="12"/>
            </w:pPr>
            <w:r>
              <w:t>13052526P000002101089</w:t>
            </w:r>
          </w:p>
        </w:tc>
        <w:tc>
          <w:tcPr>
            <w:tcW w:w="2835" w:type="dxa"/>
            <w:vAlign w:val="center"/>
          </w:tcPr>
          <w:p w14:paraId="7DA05EC4">
            <w:pPr>
              <w:pStyle w:val="10"/>
            </w:pPr>
            <w:r>
              <w:t>项目名称</w:t>
            </w:r>
          </w:p>
        </w:tc>
        <w:tc>
          <w:tcPr>
            <w:tcW w:w="6095" w:type="dxa"/>
            <w:gridSpan w:val="3"/>
            <w:vAlign w:val="center"/>
          </w:tcPr>
          <w:p w14:paraId="50DBF168">
            <w:pPr>
              <w:pStyle w:val="12"/>
            </w:pPr>
            <w:r>
              <w:t>冀财教[2025]148号/支持义务教育发展/尹村中学公用经费</w:t>
            </w:r>
          </w:p>
        </w:tc>
      </w:tr>
      <w:tr w14:paraId="14F62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BB9ED">
            <w:pPr>
              <w:pStyle w:val="10"/>
            </w:pPr>
            <w:r>
              <w:t>预算规模及资金用途</w:t>
            </w:r>
          </w:p>
        </w:tc>
        <w:tc>
          <w:tcPr>
            <w:tcW w:w="2268" w:type="dxa"/>
            <w:vAlign w:val="center"/>
          </w:tcPr>
          <w:p w14:paraId="71BFBC61">
            <w:pPr>
              <w:pStyle w:val="10"/>
            </w:pPr>
            <w:r>
              <w:t>预算数</w:t>
            </w:r>
          </w:p>
        </w:tc>
        <w:tc>
          <w:tcPr>
            <w:tcW w:w="2835" w:type="dxa"/>
            <w:vAlign w:val="center"/>
          </w:tcPr>
          <w:p w14:paraId="6AC25781">
            <w:pPr>
              <w:pStyle w:val="12"/>
            </w:pPr>
            <w:r>
              <w:t>9.80</w:t>
            </w:r>
          </w:p>
        </w:tc>
        <w:tc>
          <w:tcPr>
            <w:tcW w:w="2835" w:type="dxa"/>
            <w:vAlign w:val="center"/>
          </w:tcPr>
          <w:p w14:paraId="001D27E1">
            <w:pPr>
              <w:pStyle w:val="10"/>
            </w:pPr>
            <w:r>
              <w:t>其中：财政    资金</w:t>
            </w:r>
          </w:p>
        </w:tc>
        <w:tc>
          <w:tcPr>
            <w:tcW w:w="2551" w:type="dxa"/>
            <w:vAlign w:val="center"/>
          </w:tcPr>
          <w:p w14:paraId="26799C95">
            <w:pPr>
              <w:pStyle w:val="12"/>
            </w:pPr>
            <w:r>
              <w:t>9.80</w:t>
            </w:r>
          </w:p>
        </w:tc>
        <w:tc>
          <w:tcPr>
            <w:tcW w:w="2268" w:type="dxa"/>
            <w:vAlign w:val="center"/>
          </w:tcPr>
          <w:p w14:paraId="52E95FED">
            <w:pPr>
              <w:pStyle w:val="10"/>
            </w:pPr>
            <w:r>
              <w:t>其他资金</w:t>
            </w:r>
          </w:p>
        </w:tc>
        <w:tc>
          <w:tcPr>
            <w:tcW w:w="1276" w:type="dxa"/>
            <w:vAlign w:val="center"/>
          </w:tcPr>
          <w:p w14:paraId="6C59AD4F">
            <w:pPr>
              <w:pStyle w:val="12"/>
            </w:pPr>
            <w:r>
              <w:t xml:space="preserve"> </w:t>
            </w:r>
          </w:p>
        </w:tc>
      </w:tr>
      <w:tr w14:paraId="1DA0B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FD224"/>
        </w:tc>
        <w:tc>
          <w:tcPr>
            <w:tcW w:w="14033" w:type="dxa"/>
            <w:gridSpan w:val="6"/>
            <w:vAlign w:val="center"/>
          </w:tcPr>
          <w:p w14:paraId="6DB7C947">
            <w:pPr>
              <w:pStyle w:val="12"/>
            </w:pPr>
            <w:r>
              <w:t>改善就学条件，提升学校形象，保障义务教育阶段教学安全，改善师生教学环境，创造良好的校园环境。</w:t>
            </w:r>
          </w:p>
        </w:tc>
      </w:tr>
      <w:tr w14:paraId="54EF7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AF018">
            <w:pPr>
              <w:pStyle w:val="10"/>
            </w:pPr>
            <w:r>
              <w:t>资金支出计划（%）</w:t>
            </w:r>
          </w:p>
        </w:tc>
        <w:tc>
          <w:tcPr>
            <w:tcW w:w="5103" w:type="dxa"/>
            <w:gridSpan w:val="2"/>
            <w:vAlign w:val="center"/>
          </w:tcPr>
          <w:p w14:paraId="384DBF4E">
            <w:pPr>
              <w:pStyle w:val="10"/>
            </w:pPr>
            <w:r>
              <w:t>3月底</w:t>
            </w:r>
          </w:p>
        </w:tc>
        <w:tc>
          <w:tcPr>
            <w:tcW w:w="2835" w:type="dxa"/>
            <w:vAlign w:val="center"/>
          </w:tcPr>
          <w:p w14:paraId="60E3587A">
            <w:pPr>
              <w:pStyle w:val="10"/>
            </w:pPr>
            <w:r>
              <w:t>6月底</w:t>
            </w:r>
          </w:p>
        </w:tc>
        <w:tc>
          <w:tcPr>
            <w:tcW w:w="2551" w:type="dxa"/>
            <w:vAlign w:val="center"/>
          </w:tcPr>
          <w:p w14:paraId="3DED1AC7">
            <w:pPr>
              <w:pStyle w:val="10"/>
            </w:pPr>
            <w:r>
              <w:t>10月底</w:t>
            </w:r>
          </w:p>
        </w:tc>
        <w:tc>
          <w:tcPr>
            <w:tcW w:w="3544" w:type="dxa"/>
            <w:gridSpan w:val="2"/>
            <w:vAlign w:val="center"/>
          </w:tcPr>
          <w:p w14:paraId="32BE2069">
            <w:pPr>
              <w:pStyle w:val="10"/>
            </w:pPr>
            <w:r>
              <w:t>12月底</w:t>
            </w:r>
          </w:p>
        </w:tc>
      </w:tr>
      <w:tr w14:paraId="4ACC1270">
        <w:tblPrEx>
          <w:tblCellMar>
            <w:top w:w="0" w:type="dxa"/>
            <w:left w:w="108" w:type="dxa"/>
            <w:bottom w:w="0" w:type="dxa"/>
            <w:right w:w="108" w:type="dxa"/>
          </w:tblCellMar>
        </w:tblPrEx>
        <w:trPr>
          <w:trHeight w:val="369" w:hRule="atLeast"/>
          <w:jc w:val="center"/>
        </w:trPr>
        <w:tc>
          <w:tcPr>
            <w:tcW w:w="1276" w:type="dxa"/>
            <w:vMerge w:val="continue"/>
          </w:tcPr>
          <w:p w14:paraId="6F9C7732"/>
        </w:tc>
        <w:tc>
          <w:tcPr>
            <w:tcW w:w="5103" w:type="dxa"/>
            <w:gridSpan w:val="2"/>
            <w:vAlign w:val="center"/>
          </w:tcPr>
          <w:p w14:paraId="67DF43AE">
            <w:pPr>
              <w:pStyle w:val="13"/>
            </w:pPr>
            <w:r>
              <w:t xml:space="preserve"> </w:t>
            </w:r>
          </w:p>
        </w:tc>
        <w:tc>
          <w:tcPr>
            <w:tcW w:w="2835" w:type="dxa"/>
            <w:vAlign w:val="center"/>
          </w:tcPr>
          <w:p w14:paraId="7F9AB1F3">
            <w:pPr>
              <w:pStyle w:val="13"/>
            </w:pPr>
            <w:r>
              <w:t xml:space="preserve"> </w:t>
            </w:r>
          </w:p>
        </w:tc>
        <w:tc>
          <w:tcPr>
            <w:tcW w:w="2551" w:type="dxa"/>
            <w:vAlign w:val="center"/>
          </w:tcPr>
          <w:p w14:paraId="7F315352">
            <w:pPr>
              <w:pStyle w:val="13"/>
            </w:pPr>
            <w:r>
              <w:t>100%</w:t>
            </w:r>
          </w:p>
        </w:tc>
        <w:tc>
          <w:tcPr>
            <w:tcW w:w="3544" w:type="dxa"/>
            <w:gridSpan w:val="2"/>
            <w:vAlign w:val="center"/>
          </w:tcPr>
          <w:p w14:paraId="6EB92519">
            <w:pPr>
              <w:pStyle w:val="13"/>
            </w:pPr>
            <w:r>
              <w:t>100%</w:t>
            </w:r>
          </w:p>
        </w:tc>
      </w:tr>
      <w:tr w14:paraId="25ECBB46">
        <w:tblPrEx>
          <w:tblCellMar>
            <w:top w:w="0" w:type="dxa"/>
            <w:left w:w="108" w:type="dxa"/>
            <w:bottom w:w="0" w:type="dxa"/>
            <w:right w:w="108" w:type="dxa"/>
          </w:tblCellMar>
        </w:tblPrEx>
        <w:trPr>
          <w:trHeight w:val="369" w:hRule="atLeast"/>
          <w:jc w:val="center"/>
        </w:trPr>
        <w:tc>
          <w:tcPr>
            <w:tcW w:w="1276" w:type="dxa"/>
            <w:vAlign w:val="center"/>
          </w:tcPr>
          <w:p w14:paraId="7DFBE944">
            <w:pPr>
              <w:pStyle w:val="10"/>
            </w:pPr>
            <w:r>
              <w:t>绩效目标</w:t>
            </w:r>
          </w:p>
        </w:tc>
        <w:tc>
          <w:tcPr>
            <w:tcW w:w="14033" w:type="dxa"/>
            <w:gridSpan w:val="6"/>
            <w:vAlign w:val="center"/>
          </w:tcPr>
          <w:p w14:paraId="01EB234B">
            <w:pPr>
              <w:pStyle w:val="12"/>
            </w:pPr>
            <w:r>
              <w:t>1.项目需资金9.8万元，资金拨付率达到100%。</w:t>
            </w:r>
          </w:p>
          <w:p w14:paraId="357F47EE">
            <w:pPr>
              <w:pStyle w:val="12"/>
            </w:pPr>
            <w:r>
              <w:t>2.改善就学条件，提升学校形象，保障义务教育阶段教学安全，改善师生教学环境，创造良好的校园环境。</w:t>
            </w:r>
          </w:p>
          <w:p w14:paraId="2FE4A154">
            <w:pPr>
              <w:pStyle w:val="12"/>
            </w:pPr>
          </w:p>
        </w:tc>
      </w:tr>
    </w:tbl>
    <w:p w14:paraId="01C50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7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4423D">
            <w:pPr>
              <w:pStyle w:val="10"/>
            </w:pPr>
            <w:r>
              <w:t>一级指标</w:t>
            </w:r>
          </w:p>
        </w:tc>
        <w:tc>
          <w:tcPr>
            <w:tcW w:w="2268" w:type="dxa"/>
            <w:vAlign w:val="center"/>
          </w:tcPr>
          <w:p w14:paraId="33D34AF1">
            <w:pPr>
              <w:pStyle w:val="10"/>
            </w:pPr>
            <w:r>
              <w:t>二级指标</w:t>
            </w:r>
          </w:p>
        </w:tc>
        <w:tc>
          <w:tcPr>
            <w:tcW w:w="2835" w:type="dxa"/>
            <w:vAlign w:val="center"/>
          </w:tcPr>
          <w:p w14:paraId="01422BB4">
            <w:pPr>
              <w:pStyle w:val="10"/>
            </w:pPr>
            <w:r>
              <w:t>三级指标</w:t>
            </w:r>
          </w:p>
        </w:tc>
        <w:tc>
          <w:tcPr>
            <w:tcW w:w="5386" w:type="dxa"/>
            <w:vAlign w:val="center"/>
          </w:tcPr>
          <w:p w14:paraId="60DE84F3">
            <w:pPr>
              <w:pStyle w:val="10"/>
            </w:pPr>
            <w:r>
              <w:t>绩效指标描述</w:t>
            </w:r>
          </w:p>
        </w:tc>
        <w:tc>
          <w:tcPr>
            <w:tcW w:w="2268" w:type="dxa"/>
            <w:vAlign w:val="center"/>
          </w:tcPr>
          <w:p w14:paraId="218ACEF7">
            <w:pPr>
              <w:pStyle w:val="10"/>
            </w:pPr>
            <w:r>
              <w:t>指标值</w:t>
            </w:r>
          </w:p>
        </w:tc>
        <w:tc>
          <w:tcPr>
            <w:tcW w:w="1276" w:type="dxa"/>
            <w:vAlign w:val="center"/>
          </w:tcPr>
          <w:p w14:paraId="3898960B">
            <w:pPr>
              <w:pStyle w:val="10"/>
            </w:pPr>
            <w:r>
              <w:t>指标值确定依据</w:t>
            </w:r>
          </w:p>
        </w:tc>
      </w:tr>
      <w:tr w14:paraId="3396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D2324">
            <w:pPr>
              <w:pStyle w:val="13"/>
            </w:pPr>
            <w:r>
              <w:t>产出指标</w:t>
            </w:r>
          </w:p>
        </w:tc>
        <w:tc>
          <w:tcPr>
            <w:tcW w:w="2268" w:type="dxa"/>
            <w:vAlign w:val="center"/>
          </w:tcPr>
          <w:p w14:paraId="50D8CFFC">
            <w:pPr>
              <w:pStyle w:val="12"/>
            </w:pPr>
            <w:r>
              <w:t>数量指标</w:t>
            </w:r>
          </w:p>
        </w:tc>
        <w:tc>
          <w:tcPr>
            <w:tcW w:w="2835" w:type="dxa"/>
            <w:vAlign w:val="center"/>
          </w:tcPr>
          <w:p w14:paraId="5A31A437">
            <w:pPr>
              <w:pStyle w:val="12"/>
            </w:pPr>
            <w:r>
              <w:t>餐厅空调</w:t>
            </w:r>
          </w:p>
        </w:tc>
        <w:tc>
          <w:tcPr>
            <w:tcW w:w="5386" w:type="dxa"/>
            <w:vAlign w:val="center"/>
          </w:tcPr>
          <w:p w14:paraId="6F78AA64">
            <w:pPr>
              <w:pStyle w:val="12"/>
            </w:pPr>
            <w:r>
              <w:t>餐厅空调数量</w:t>
            </w:r>
          </w:p>
        </w:tc>
        <w:tc>
          <w:tcPr>
            <w:tcW w:w="2268" w:type="dxa"/>
            <w:vAlign w:val="center"/>
          </w:tcPr>
          <w:p w14:paraId="486A2B0B">
            <w:pPr>
              <w:pStyle w:val="12"/>
            </w:pPr>
            <w:r>
              <w:t>6台</w:t>
            </w:r>
          </w:p>
        </w:tc>
        <w:tc>
          <w:tcPr>
            <w:tcW w:w="1276" w:type="dxa"/>
            <w:vAlign w:val="center"/>
          </w:tcPr>
          <w:p w14:paraId="6A9CCD29">
            <w:pPr>
              <w:pStyle w:val="12"/>
            </w:pPr>
            <w:r>
              <w:t>城乡义务教育公共经费</w:t>
            </w:r>
          </w:p>
        </w:tc>
      </w:tr>
      <w:tr w14:paraId="4BA8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E5C66"/>
        </w:tc>
        <w:tc>
          <w:tcPr>
            <w:tcW w:w="2268" w:type="dxa"/>
            <w:vAlign w:val="center"/>
          </w:tcPr>
          <w:p w14:paraId="118B0DE4">
            <w:pPr>
              <w:pStyle w:val="12"/>
            </w:pPr>
            <w:r>
              <w:t>质量指标</w:t>
            </w:r>
          </w:p>
        </w:tc>
        <w:tc>
          <w:tcPr>
            <w:tcW w:w="2835" w:type="dxa"/>
            <w:vAlign w:val="center"/>
          </w:tcPr>
          <w:p w14:paraId="49042EF5">
            <w:pPr>
              <w:pStyle w:val="12"/>
            </w:pPr>
            <w:r>
              <w:t>设备合格率</w:t>
            </w:r>
          </w:p>
        </w:tc>
        <w:tc>
          <w:tcPr>
            <w:tcW w:w="5386" w:type="dxa"/>
            <w:vAlign w:val="center"/>
          </w:tcPr>
          <w:p w14:paraId="2A347CCD">
            <w:pPr>
              <w:pStyle w:val="12"/>
            </w:pPr>
            <w:r>
              <w:t>设备合格率</w:t>
            </w:r>
          </w:p>
        </w:tc>
        <w:tc>
          <w:tcPr>
            <w:tcW w:w="2268" w:type="dxa"/>
            <w:vAlign w:val="center"/>
          </w:tcPr>
          <w:p w14:paraId="33667BA0">
            <w:pPr>
              <w:pStyle w:val="12"/>
            </w:pPr>
            <w:r>
              <w:t>100%</w:t>
            </w:r>
          </w:p>
        </w:tc>
        <w:tc>
          <w:tcPr>
            <w:tcW w:w="1276" w:type="dxa"/>
            <w:vAlign w:val="center"/>
          </w:tcPr>
          <w:p w14:paraId="391F1353">
            <w:pPr>
              <w:pStyle w:val="12"/>
            </w:pPr>
            <w:r>
              <w:t>城乡义务教育公共经费</w:t>
            </w:r>
          </w:p>
        </w:tc>
      </w:tr>
      <w:tr w14:paraId="02A6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B344F"/>
        </w:tc>
        <w:tc>
          <w:tcPr>
            <w:tcW w:w="2268" w:type="dxa"/>
            <w:vAlign w:val="center"/>
          </w:tcPr>
          <w:p w14:paraId="206FEC75">
            <w:pPr>
              <w:pStyle w:val="12"/>
            </w:pPr>
            <w:r>
              <w:t>时效指标</w:t>
            </w:r>
          </w:p>
        </w:tc>
        <w:tc>
          <w:tcPr>
            <w:tcW w:w="2835" w:type="dxa"/>
            <w:vAlign w:val="center"/>
          </w:tcPr>
          <w:p w14:paraId="35A4ECAF">
            <w:pPr>
              <w:pStyle w:val="12"/>
            </w:pPr>
            <w:r>
              <w:t>资金支付率</w:t>
            </w:r>
          </w:p>
        </w:tc>
        <w:tc>
          <w:tcPr>
            <w:tcW w:w="5386" w:type="dxa"/>
            <w:vAlign w:val="center"/>
          </w:tcPr>
          <w:p w14:paraId="21FF0D24">
            <w:pPr>
              <w:pStyle w:val="12"/>
            </w:pPr>
            <w:r>
              <w:t>按照序时进度完成资金支付</w:t>
            </w:r>
          </w:p>
        </w:tc>
        <w:tc>
          <w:tcPr>
            <w:tcW w:w="2268" w:type="dxa"/>
            <w:vAlign w:val="center"/>
          </w:tcPr>
          <w:p w14:paraId="2F77445A">
            <w:pPr>
              <w:pStyle w:val="12"/>
            </w:pPr>
            <w:r>
              <w:t>100%</w:t>
            </w:r>
          </w:p>
        </w:tc>
        <w:tc>
          <w:tcPr>
            <w:tcW w:w="1276" w:type="dxa"/>
            <w:vAlign w:val="center"/>
          </w:tcPr>
          <w:p w14:paraId="14FA5C68">
            <w:pPr>
              <w:pStyle w:val="12"/>
            </w:pPr>
            <w:r>
              <w:t>城乡义务教育公共经费</w:t>
            </w:r>
          </w:p>
        </w:tc>
      </w:tr>
      <w:tr w14:paraId="7405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08477"/>
        </w:tc>
        <w:tc>
          <w:tcPr>
            <w:tcW w:w="2268" w:type="dxa"/>
            <w:vAlign w:val="center"/>
          </w:tcPr>
          <w:p w14:paraId="20F95194">
            <w:pPr>
              <w:pStyle w:val="12"/>
            </w:pPr>
            <w:r>
              <w:t>成本指标</w:t>
            </w:r>
          </w:p>
        </w:tc>
        <w:tc>
          <w:tcPr>
            <w:tcW w:w="2835" w:type="dxa"/>
            <w:vAlign w:val="center"/>
          </w:tcPr>
          <w:p w14:paraId="712B8DCF">
            <w:pPr>
              <w:pStyle w:val="12"/>
            </w:pPr>
            <w:r>
              <w:t>项目成本控制情况</w:t>
            </w:r>
          </w:p>
        </w:tc>
        <w:tc>
          <w:tcPr>
            <w:tcW w:w="5386" w:type="dxa"/>
            <w:vAlign w:val="center"/>
          </w:tcPr>
          <w:p w14:paraId="0DF68923">
            <w:pPr>
              <w:pStyle w:val="12"/>
            </w:pPr>
            <w:r>
              <w:t>严格按照招标价格及审计额进行</w:t>
            </w:r>
          </w:p>
        </w:tc>
        <w:tc>
          <w:tcPr>
            <w:tcW w:w="2268" w:type="dxa"/>
            <w:vAlign w:val="center"/>
          </w:tcPr>
          <w:p w14:paraId="48DE0702">
            <w:pPr>
              <w:pStyle w:val="12"/>
            </w:pPr>
            <w:r>
              <w:t>≤9.8万元</w:t>
            </w:r>
          </w:p>
        </w:tc>
        <w:tc>
          <w:tcPr>
            <w:tcW w:w="1276" w:type="dxa"/>
            <w:vAlign w:val="center"/>
          </w:tcPr>
          <w:p w14:paraId="332DD215">
            <w:pPr>
              <w:pStyle w:val="12"/>
            </w:pPr>
            <w:r>
              <w:t>城乡义务教育公共经费</w:t>
            </w:r>
          </w:p>
        </w:tc>
      </w:tr>
      <w:tr w14:paraId="32D4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ABC96">
            <w:pPr>
              <w:pStyle w:val="13"/>
            </w:pPr>
            <w:r>
              <w:t>效益指标</w:t>
            </w:r>
          </w:p>
        </w:tc>
        <w:tc>
          <w:tcPr>
            <w:tcW w:w="2268" w:type="dxa"/>
            <w:vAlign w:val="center"/>
          </w:tcPr>
          <w:p w14:paraId="7B8CE285">
            <w:pPr>
              <w:pStyle w:val="12"/>
            </w:pPr>
            <w:r>
              <w:t>可持续影响指标</w:t>
            </w:r>
          </w:p>
        </w:tc>
        <w:tc>
          <w:tcPr>
            <w:tcW w:w="2835" w:type="dxa"/>
            <w:vAlign w:val="center"/>
          </w:tcPr>
          <w:p w14:paraId="65650D5A">
            <w:pPr>
              <w:pStyle w:val="12"/>
            </w:pPr>
            <w:r>
              <w:t>学校运转得到提高</w:t>
            </w:r>
          </w:p>
        </w:tc>
        <w:tc>
          <w:tcPr>
            <w:tcW w:w="5386" w:type="dxa"/>
            <w:vAlign w:val="center"/>
          </w:tcPr>
          <w:p w14:paraId="6047C71B">
            <w:pPr>
              <w:pStyle w:val="12"/>
            </w:pPr>
            <w:r>
              <w:t>学生受教育年限</w:t>
            </w:r>
          </w:p>
        </w:tc>
        <w:tc>
          <w:tcPr>
            <w:tcW w:w="2268" w:type="dxa"/>
            <w:vAlign w:val="center"/>
          </w:tcPr>
          <w:p w14:paraId="1F285DCA">
            <w:pPr>
              <w:pStyle w:val="12"/>
            </w:pPr>
            <w:r>
              <w:t>3年</w:t>
            </w:r>
          </w:p>
        </w:tc>
        <w:tc>
          <w:tcPr>
            <w:tcW w:w="1276" w:type="dxa"/>
            <w:vAlign w:val="center"/>
          </w:tcPr>
          <w:p w14:paraId="2A29259C">
            <w:pPr>
              <w:pStyle w:val="12"/>
            </w:pPr>
            <w:r>
              <w:t>城乡义务教育公共经费</w:t>
            </w:r>
          </w:p>
        </w:tc>
      </w:tr>
      <w:tr w14:paraId="34D8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BD45D">
            <w:pPr>
              <w:pStyle w:val="13"/>
            </w:pPr>
            <w:r>
              <w:t>满意度指标</w:t>
            </w:r>
          </w:p>
        </w:tc>
        <w:tc>
          <w:tcPr>
            <w:tcW w:w="2268" w:type="dxa"/>
            <w:vAlign w:val="center"/>
          </w:tcPr>
          <w:p w14:paraId="677CB2DE">
            <w:pPr>
              <w:pStyle w:val="12"/>
            </w:pPr>
            <w:r>
              <w:t>服务对象满意度指标</w:t>
            </w:r>
          </w:p>
        </w:tc>
        <w:tc>
          <w:tcPr>
            <w:tcW w:w="2835" w:type="dxa"/>
            <w:vAlign w:val="center"/>
          </w:tcPr>
          <w:p w14:paraId="7DCDB7A1">
            <w:pPr>
              <w:pStyle w:val="12"/>
            </w:pPr>
            <w:r>
              <w:t>受益学生家长及调查满意度</w:t>
            </w:r>
          </w:p>
        </w:tc>
        <w:tc>
          <w:tcPr>
            <w:tcW w:w="5386" w:type="dxa"/>
            <w:vAlign w:val="center"/>
          </w:tcPr>
          <w:p w14:paraId="5C1567B0">
            <w:pPr>
              <w:pStyle w:val="12"/>
            </w:pPr>
            <w:r>
              <w:t>学生、教师及家长对学校教学环境满意度情况</w:t>
            </w:r>
          </w:p>
        </w:tc>
        <w:tc>
          <w:tcPr>
            <w:tcW w:w="2268" w:type="dxa"/>
            <w:vAlign w:val="center"/>
          </w:tcPr>
          <w:p w14:paraId="24C0E8A2">
            <w:pPr>
              <w:pStyle w:val="12"/>
            </w:pPr>
            <w:r>
              <w:t>≥98%</w:t>
            </w:r>
          </w:p>
        </w:tc>
        <w:tc>
          <w:tcPr>
            <w:tcW w:w="1276" w:type="dxa"/>
            <w:vAlign w:val="center"/>
          </w:tcPr>
          <w:p w14:paraId="118F5FB7">
            <w:pPr>
              <w:pStyle w:val="12"/>
            </w:pPr>
            <w:r>
              <w:t>问卷调查</w:t>
            </w:r>
          </w:p>
        </w:tc>
      </w:tr>
    </w:tbl>
    <w:p w14:paraId="59D936E3">
      <w:pPr>
        <w:sectPr>
          <w:pgSz w:w="16840" w:h="11900" w:orient="landscape"/>
          <w:pgMar w:top="1361" w:right="1020" w:bottom="1134" w:left="1020" w:header="720" w:footer="720" w:gutter="0"/>
          <w:cols w:space="720" w:num="1"/>
        </w:sectPr>
      </w:pPr>
    </w:p>
    <w:p w14:paraId="23D25A63">
      <w:pPr>
        <w:spacing w:before="0" w:after="0"/>
        <w:ind w:firstLine="560"/>
        <w:jc w:val="left"/>
        <w:outlineLvl w:val="9"/>
      </w:pPr>
      <w:r>
        <w:rPr>
          <w:rFonts w:ascii="方正仿宋_GBK" w:hAnsi="方正仿宋_GBK" w:eastAsia="方正仿宋_GBK" w:cs="方正仿宋_GBK"/>
          <w:b/>
          <w:color w:val="000000"/>
          <w:sz w:val="28"/>
        </w:rPr>
        <w:t>5、县级配套/尹村中学公用经费绩效目标表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33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31D0C">
            <w:pPr>
              <w:pStyle w:val="11"/>
            </w:pPr>
            <w:r>
              <w:t>单位：万元</w:t>
            </w:r>
          </w:p>
        </w:tc>
      </w:tr>
      <w:tr w14:paraId="1D50A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3A7DC">
            <w:pPr>
              <w:pStyle w:val="10"/>
            </w:pPr>
            <w:r>
              <w:t>项目编码</w:t>
            </w:r>
          </w:p>
        </w:tc>
        <w:tc>
          <w:tcPr>
            <w:tcW w:w="5103" w:type="dxa"/>
            <w:gridSpan w:val="2"/>
            <w:vAlign w:val="center"/>
          </w:tcPr>
          <w:p w14:paraId="39FA0D48">
            <w:pPr>
              <w:pStyle w:val="12"/>
            </w:pPr>
            <w:r>
              <w:t>13052526P000004104069</w:t>
            </w:r>
          </w:p>
        </w:tc>
        <w:tc>
          <w:tcPr>
            <w:tcW w:w="2835" w:type="dxa"/>
            <w:vAlign w:val="center"/>
          </w:tcPr>
          <w:p w14:paraId="02CAB3AA">
            <w:pPr>
              <w:pStyle w:val="10"/>
            </w:pPr>
            <w:r>
              <w:t>项目名称</w:t>
            </w:r>
          </w:p>
        </w:tc>
        <w:tc>
          <w:tcPr>
            <w:tcW w:w="6095" w:type="dxa"/>
            <w:gridSpan w:val="3"/>
            <w:vAlign w:val="center"/>
          </w:tcPr>
          <w:p w14:paraId="261C5AD4">
            <w:pPr>
              <w:pStyle w:val="12"/>
            </w:pPr>
            <w:r>
              <w:t>县级配套/尹村中学公用经费</w:t>
            </w:r>
          </w:p>
        </w:tc>
      </w:tr>
      <w:tr w14:paraId="5CCDA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2A778">
            <w:pPr>
              <w:pStyle w:val="10"/>
            </w:pPr>
            <w:r>
              <w:t>预算规模及资金用途</w:t>
            </w:r>
          </w:p>
        </w:tc>
        <w:tc>
          <w:tcPr>
            <w:tcW w:w="2268" w:type="dxa"/>
            <w:vAlign w:val="center"/>
          </w:tcPr>
          <w:p w14:paraId="10FA6D5B">
            <w:pPr>
              <w:pStyle w:val="10"/>
            </w:pPr>
            <w:r>
              <w:t>预算数</w:t>
            </w:r>
          </w:p>
        </w:tc>
        <w:tc>
          <w:tcPr>
            <w:tcW w:w="2835" w:type="dxa"/>
            <w:vAlign w:val="center"/>
          </w:tcPr>
          <w:p w14:paraId="63792A3E">
            <w:pPr>
              <w:pStyle w:val="12"/>
            </w:pPr>
            <w:r>
              <w:t>9.69</w:t>
            </w:r>
          </w:p>
        </w:tc>
        <w:tc>
          <w:tcPr>
            <w:tcW w:w="2835" w:type="dxa"/>
            <w:vAlign w:val="center"/>
          </w:tcPr>
          <w:p w14:paraId="280E5DFF">
            <w:pPr>
              <w:pStyle w:val="10"/>
            </w:pPr>
            <w:r>
              <w:t>其中：财政    资金</w:t>
            </w:r>
          </w:p>
        </w:tc>
        <w:tc>
          <w:tcPr>
            <w:tcW w:w="2551" w:type="dxa"/>
            <w:vAlign w:val="center"/>
          </w:tcPr>
          <w:p w14:paraId="77DE7DC3">
            <w:pPr>
              <w:pStyle w:val="12"/>
            </w:pPr>
            <w:r>
              <w:t>9.69</w:t>
            </w:r>
          </w:p>
        </w:tc>
        <w:tc>
          <w:tcPr>
            <w:tcW w:w="2268" w:type="dxa"/>
            <w:vAlign w:val="center"/>
          </w:tcPr>
          <w:p w14:paraId="66DE2E50">
            <w:pPr>
              <w:pStyle w:val="10"/>
            </w:pPr>
            <w:r>
              <w:t>其他资金</w:t>
            </w:r>
          </w:p>
        </w:tc>
        <w:tc>
          <w:tcPr>
            <w:tcW w:w="1276" w:type="dxa"/>
            <w:vAlign w:val="center"/>
          </w:tcPr>
          <w:p w14:paraId="35A6D4F0">
            <w:pPr>
              <w:pStyle w:val="12"/>
            </w:pPr>
            <w:r>
              <w:t xml:space="preserve"> </w:t>
            </w:r>
          </w:p>
        </w:tc>
      </w:tr>
      <w:tr w14:paraId="04E53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FC5E2"/>
        </w:tc>
        <w:tc>
          <w:tcPr>
            <w:tcW w:w="14033" w:type="dxa"/>
            <w:gridSpan w:val="6"/>
            <w:vAlign w:val="center"/>
          </w:tcPr>
          <w:p w14:paraId="30AFD588">
            <w:pPr>
              <w:pStyle w:val="12"/>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363F3876">
            <w:pPr>
              <w:pStyle w:val="12"/>
            </w:pPr>
          </w:p>
        </w:tc>
      </w:tr>
      <w:tr w14:paraId="1DA44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F7538">
            <w:pPr>
              <w:pStyle w:val="10"/>
            </w:pPr>
            <w:r>
              <w:t>资金支出计划（%）</w:t>
            </w:r>
          </w:p>
        </w:tc>
        <w:tc>
          <w:tcPr>
            <w:tcW w:w="5103" w:type="dxa"/>
            <w:gridSpan w:val="2"/>
            <w:vAlign w:val="center"/>
          </w:tcPr>
          <w:p w14:paraId="16CAC202">
            <w:pPr>
              <w:pStyle w:val="10"/>
            </w:pPr>
            <w:r>
              <w:t>3月底</w:t>
            </w:r>
          </w:p>
        </w:tc>
        <w:tc>
          <w:tcPr>
            <w:tcW w:w="2835" w:type="dxa"/>
            <w:vAlign w:val="center"/>
          </w:tcPr>
          <w:p w14:paraId="0FE6AD2D">
            <w:pPr>
              <w:pStyle w:val="10"/>
            </w:pPr>
            <w:r>
              <w:t>6月底</w:t>
            </w:r>
          </w:p>
        </w:tc>
        <w:tc>
          <w:tcPr>
            <w:tcW w:w="2551" w:type="dxa"/>
            <w:vAlign w:val="center"/>
          </w:tcPr>
          <w:p w14:paraId="213D8E78">
            <w:pPr>
              <w:pStyle w:val="10"/>
            </w:pPr>
            <w:r>
              <w:t>10月底</w:t>
            </w:r>
          </w:p>
        </w:tc>
        <w:tc>
          <w:tcPr>
            <w:tcW w:w="3544" w:type="dxa"/>
            <w:gridSpan w:val="2"/>
            <w:vAlign w:val="center"/>
          </w:tcPr>
          <w:p w14:paraId="7D691F6B">
            <w:pPr>
              <w:pStyle w:val="10"/>
            </w:pPr>
            <w:r>
              <w:t>12月底</w:t>
            </w:r>
          </w:p>
        </w:tc>
      </w:tr>
      <w:tr w14:paraId="70A63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26172"/>
        </w:tc>
        <w:tc>
          <w:tcPr>
            <w:tcW w:w="5103" w:type="dxa"/>
            <w:gridSpan w:val="2"/>
            <w:vAlign w:val="center"/>
          </w:tcPr>
          <w:p w14:paraId="3AD94F3F">
            <w:pPr>
              <w:pStyle w:val="13"/>
            </w:pPr>
            <w:r>
              <w:t>25%</w:t>
            </w:r>
          </w:p>
        </w:tc>
        <w:tc>
          <w:tcPr>
            <w:tcW w:w="2835" w:type="dxa"/>
            <w:vAlign w:val="center"/>
          </w:tcPr>
          <w:p w14:paraId="2F92BB84">
            <w:pPr>
              <w:pStyle w:val="13"/>
            </w:pPr>
            <w:r>
              <w:t>50%</w:t>
            </w:r>
          </w:p>
        </w:tc>
        <w:tc>
          <w:tcPr>
            <w:tcW w:w="2551" w:type="dxa"/>
            <w:vAlign w:val="center"/>
          </w:tcPr>
          <w:p w14:paraId="7D2769EF">
            <w:pPr>
              <w:pStyle w:val="13"/>
            </w:pPr>
            <w:r>
              <w:t>75%</w:t>
            </w:r>
          </w:p>
        </w:tc>
        <w:tc>
          <w:tcPr>
            <w:tcW w:w="3544" w:type="dxa"/>
            <w:gridSpan w:val="2"/>
            <w:vAlign w:val="center"/>
          </w:tcPr>
          <w:p w14:paraId="4367F02A">
            <w:pPr>
              <w:pStyle w:val="13"/>
            </w:pPr>
            <w:r>
              <w:t>100%</w:t>
            </w:r>
          </w:p>
        </w:tc>
      </w:tr>
      <w:tr w14:paraId="79FFB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BE3CE">
            <w:pPr>
              <w:pStyle w:val="10"/>
            </w:pPr>
            <w:r>
              <w:t>绩效目标</w:t>
            </w:r>
          </w:p>
        </w:tc>
        <w:tc>
          <w:tcPr>
            <w:tcW w:w="14033" w:type="dxa"/>
            <w:gridSpan w:val="6"/>
            <w:vAlign w:val="center"/>
          </w:tcPr>
          <w:p w14:paraId="4FC7BCB2">
            <w:pPr>
              <w:pStyle w:val="12"/>
            </w:pPr>
            <w:r>
              <w:t>1.按规定拨付公用经费资金96880元，资金拨付率达到100%。</w:t>
            </w:r>
          </w:p>
          <w:p w14:paraId="5035ABF0">
            <w:pPr>
              <w:pStyle w:val="12"/>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30117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0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12640">
            <w:pPr>
              <w:pStyle w:val="10"/>
            </w:pPr>
            <w:r>
              <w:t>一级指标</w:t>
            </w:r>
          </w:p>
        </w:tc>
        <w:tc>
          <w:tcPr>
            <w:tcW w:w="2268" w:type="dxa"/>
            <w:vAlign w:val="center"/>
          </w:tcPr>
          <w:p w14:paraId="3D061F11">
            <w:pPr>
              <w:pStyle w:val="10"/>
            </w:pPr>
            <w:r>
              <w:t>二级指标</w:t>
            </w:r>
          </w:p>
        </w:tc>
        <w:tc>
          <w:tcPr>
            <w:tcW w:w="2835" w:type="dxa"/>
            <w:vAlign w:val="center"/>
          </w:tcPr>
          <w:p w14:paraId="153C438D">
            <w:pPr>
              <w:pStyle w:val="10"/>
            </w:pPr>
            <w:r>
              <w:t>三级指标</w:t>
            </w:r>
          </w:p>
        </w:tc>
        <w:tc>
          <w:tcPr>
            <w:tcW w:w="5386" w:type="dxa"/>
            <w:vAlign w:val="center"/>
          </w:tcPr>
          <w:p w14:paraId="687B8DD3">
            <w:pPr>
              <w:pStyle w:val="10"/>
            </w:pPr>
            <w:r>
              <w:t>绩效指标描述</w:t>
            </w:r>
          </w:p>
        </w:tc>
        <w:tc>
          <w:tcPr>
            <w:tcW w:w="2268" w:type="dxa"/>
            <w:vAlign w:val="center"/>
          </w:tcPr>
          <w:p w14:paraId="73A361B4">
            <w:pPr>
              <w:pStyle w:val="10"/>
            </w:pPr>
            <w:r>
              <w:t>指标值</w:t>
            </w:r>
          </w:p>
        </w:tc>
        <w:tc>
          <w:tcPr>
            <w:tcW w:w="1276" w:type="dxa"/>
            <w:vAlign w:val="center"/>
          </w:tcPr>
          <w:p w14:paraId="237533F9">
            <w:pPr>
              <w:pStyle w:val="10"/>
            </w:pPr>
            <w:r>
              <w:t>指标值确定依据</w:t>
            </w:r>
          </w:p>
        </w:tc>
      </w:tr>
      <w:tr w14:paraId="17382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1BA00">
            <w:pPr>
              <w:pStyle w:val="13"/>
            </w:pPr>
            <w:r>
              <w:t>产出指标</w:t>
            </w:r>
          </w:p>
        </w:tc>
        <w:tc>
          <w:tcPr>
            <w:tcW w:w="2268" w:type="dxa"/>
            <w:vAlign w:val="center"/>
          </w:tcPr>
          <w:p w14:paraId="24DDD68A">
            <w:pPr>
              <w:pStyle w:val="12"/>
            </w:pPr>
            <w:r>
              <w:t>数量指标</w:t>
            </w:r>
          </w:p>
        </w:tc>
        <w:tc>
          <w:tcPr>
            <w:tcW w:w="2835" w:type="dxa"/>
            <w:vAlign w:val="center"/>
          </w:tcPr>
          <w:p w14:paraId="280EE0A2">
            <w:pPr>
              <w:pStyle w:val="12"/>
            </w:pPr>
            <w:r>
              <w:t>适龄在校生</w:t>
            </w:r>
          </w:p>
        </w:tc>
        <w:tc>
          <w:tcPr>
            <w:tcW w:w="5386" w:type="dxa"/>
            <w:vAlign w:val="center"/>
          </w:tcPr>
          <w:p w14:paraId="75EA16F7">
            <w:pPr>
              <w:pStyle w:val="12"/>
            </w:pPr>
            <w:r>
              <w:t>适龄在校就读学生人数</w:t>
            </w:r>
          </w:p>
        </w:tc>
        <w:tc>
          <w:tcPr>
            <w:tcW w:w="2268" w:type="dxa"/>
            <w:vAlign w:val="center"/>
          </w:tcPr>
          <w:p w14:paraId="325FBDEC">
            <w:pPr>
              <w:pStyle w:val="12"/>
            </w:pPr>
            <w:r>
              <w:t>587人</w:t>
            </w:r>
          </w:p>
        </w:tc>
        <w:tc>
          <w:tcPr>
            <w:tcW w:w="1276" w:type="dxa"/>
            <w:vAlign w:val="center"/>
          </w:tcPr>
          <w:p w14:paraId="44F406BA">
            <w:pPr>
              <w:pStyle w:val="12"/>
            </w:pPr>
            <w:r>
              <w:t>城乡义务教育公用经费管理办法</w:t>
            </w:r>
          </w:p>
        </w:tc>
      </w:tr>
      <w:tr w14:paraId="737E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D55C"/>
        </w:tc>
        <w:tc>
          <w:tcPr>
            <w:tcW w:w="2268" w:type="dxa"/>
            <w:vAlign w:val="center"/>
          </w:tcPr>
          <w:p w14:paraId="11F093DF">
            <w:pPr>
              <w:pStyle w:val="12"/>
            </w:pPr>
            <w:r>
              <w:t>质量指标</w:t>
            </w:r>
          </w:p>
        </w:tc>
        <w:tc>
          <w:tcPr>
            <w:tcW w:w="2835" w:type="dxa"/>
            <w:vAlign w:val="center"/>
          </w:tcPr>
          <w:p w14:paraId="51575AF0">
            <w:pPr>
              <w:pStyle w:val="12"/>
            </w:pPr>
            <w:r>
              <w:t>预算控制率</w:t>
            </w:r>
          </w:p>
        </w:tc>
        <w:tc>
          <w:tcPr>
            <w:tcW w:w="5386" w:type="dxa"/>
            <w:vAlign w:val="center"/>
          </w:tcPr>
          <w:p w14:paraId="0D044F0E">
            <w:pPr>
              <w:pStyle w:val="12"/>
            </w:pPr>
            <w:r>
              <w:t>预算执行率</w:t>
            </w:r>
          </w:p>
        </w:tc>
        <w:tc>
          <w:tcPr>
            <w:tcW w:w="2268" w:type="dxa"/>
            <w:vAlign w:val="center"/>
          </w:tcPr>
          <w:p w14:paraId="1EFC6B86">
            <w:pPr>
              <w:pStyle w:val="12"/>
            </w:pPr>
            <w:r>
              <w:t>≥95%</w:t>
            </w:r>
          </w:p>
        </w:tc>
        <w:tc>
          <w:tcPr>
            <w:tcW w:w="1276" w:type="dxa"/>
            <w:vAlign w:val="center"/>
          </w:tcPr>
          <w:p w14:paraId="3A2780AA">
            <w:pPr>
              <w:pStyle w:val="12"/>
            </w:pPr>
            <w:r>
              <w:t>城乡义务教育公用经费管理办法</w:t>
            </w:r>
          </w:p>
        </w:tc>
      </w:tr>
      <w:tr w14:paraId="06DF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F513"/>
        </w:tc>
        <w:tc>
          <w:tcPr>
            <w:tcW w:w="2268" w:type="dxa"/>
            <w:vAlign w:val="center"/>
          </w:tcPr>
          <w:p w14:paraId="7FCA2003">
            <w:pPr>
              <w:pStyle w:val="12"/>
            </w:pPr>
            <w:r>
              <w:t>时效指标</w:t>
            </w:r>
          </w:p>
        </w:tc>
        <w:tc>
          <w:tcPr>
            <w:tcW w:w="2835" w:type="dxa"/>
            <w:vAlign w:val="center"/>
          </w:tcPr>
          <w:p w14:paraId="6DB8E143">
            <w:pPr>
              <w:pStyle w:val="12"/>
            </w:pPr>
            <w:r>
              <w:t>资金支付率</w:t>
            </w:r>
          </w:p>
        </w:tc>
        <w:tc>
          <w:tcPr>
            <w:tcW w:w="5386" w:type="dxa"/>
            <w:vAlign w:val="center"/>
          </w:tcPr>
          <w:p w14:paraId="113D3793">
            <w:pPr>
              <w:pStyle w:val="12"/>
            </w:pPr>
            <w:r>
              <w:t>按照序时进度完成资金支付</w:t>
            </w:r>
          </w:p>
        </w:tc>
        <w:tc>
          <w:tcPr>
            <w:tcW w:w="2268" w:type="dxa"/>
            <w:vAlign w:val="center"/>
          </w:tcPr>
          <w:p w14:paraId="1CD8D00A">
            <w:pPr>
              <w:pStyle w:val="12"/>
            </w:pPr>
            <w:r>
              <w:t>100%</w:t>
            </w:r>
          </w:p>
        </w:tc>
        <w:tc>
          <w:tcPr>
            <w:tcW w:w="1276" w:type="dxa"/>
            <w:vAlign w:val="center"/>
          </w:tcPr>
          <w:p w14:paraId="7483B553">
            <w:pPr>
              <w:pStyle w:val="12"/>
            </w:pPr>
            <w:r>
              <w:t>城乡义务教育公用经费管理办法</w:t>
            </w:r>
          </w:p>
        </w:tc>
      </w:tr>
      <w:tr w14:paraId="2FF9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7146"/>
        </w:tc>
        <w:tc>
          <w:tcPr>
            <w:tcW w:w="2268" w:type="dxa"/>
            <w:vAlign w:val="center"/>
          </w:tcPr>
          <w:p w14:paraId="643B955A">
            <w:pPr>
              <w:pStyle w:val="12"/>
            </w:pPr>
            <w:r>
              <w:t>成本指标</w:t>
            </w:r>
          </w:p>
        </w:tc>
        <w:tc>
          <w:tcPr>
            <w:tcW w:w="2835" w:type="dxa"/>
            <w:vAlign w:val="center"/>
          </w:tcPr>
          <w:p w14:paraId="70E10EDA">
            <w:pPr>
              <w:pStyle w:val="12"/>
            </w:pPr>
            <w:r>
              <w:t>生均拨款标准</w:t>
            </w:r>
          </w:p>
        </w:tc>
        <w:tc>
          <w:tcPr>
            <w:tcW w:w="5386" w:type="dxa"/>
            <w:vAlign w:val="center"/>
          </w:tcPr>
          <w:p w14:paraId="3C4BB191">
            <w:pPr>
              <w:pStyle w:val="12"/>
            </w:pPr>
            <w:r>
              <w:t>初中：（基本标准940元、寄宿生300元、取暖费120元）/生/学年；随班就读学生：标准7000元/生/学年）</w:t>
            </w:r>
          </w:p>
        </w:tc>
        <w:tc>
          <w:tcPr>
            <w:tcW w:w="2268" w:type="dxa"/>
            <w:vAlign w:val="center"/>
          </w:tcPr>
          <w:p w14:paraId="1087D210">
            <w:pPr>
              <w:pStyle w:val="12"/>
            </w:pPr>
            <w:r>
              <w:t>1360元</w:t>
            </w:r>
          </w:p>
        </w:tc>
        <w:tc>
          <w:tcPr>
            <w:tcW w:w="1276" w:type="dxa"/>
            <w:vAlign w:val="center"/>
          </w:tcPr>
          <w:p w14:paraId="219B7B69">
            <w:pPr>
              <w:pStyle w:val="12"/>
            </w:pPr>
            <w:r>
              <w:t>城乡义务教育公用经费管理办法</w:t>
            </w:r>
          </w:p>
        </w:tc>
      </w:tr>
      <w:tr w14:paraId="1C9A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8E9AE">
            <w:pPr>
              <w:pStyle w:val="13"/>
            </w:pPr>
            <w:r>
              <w:t>效益指标</w:t>
            </w:r>
          </w:p>
        </w:tc>
        <w:tc>
          <w:tcPr>
            <w:tcW w:w="2268" w:type="dxa"/>
            <w:vAlign w:val="center"/>
          </w:tcPr>
          <w:p w14:paraId="4BC866C5">
            <w:pPr>
              <w:pStyle w:val="12"/>
            </w:pPr>
            <w:r>
              <w:t>可持续影响指标</w:t>
            </w:r>
          </w:p>
        </w:tc>
        <w:tc>
          <w:tcPr>
            <w:tcW w:w="2835" w:type="dxa"/>
            <w:vAlign w:val="center"/>
          </w:tcPr>
          <w:p w14:paraId="79D24922">
            <w:pPr>
              <w:pStyle w:val="12"/>
            </w:pPr>
            <w:r>
              <w:t>学校日常运转正常</w:t>
            </w:r>
          </w:p>
        </w:tc>
        <w:tc>
          <w:tcPr>
            <w:tcW w:w="5386" w:type="dxa"/>
            <w:vAlign w:val="center"/>
          </w:tcPr>
          <w:p w14:paraId="76F7AD96">
            <w:pPr>
              <w:pStyle w:val="12"/>
            </w:pPr>
            <w:r>
              <w:t>学生受教育年限</w:t>
            </w:r>
          </w:p>
        </w:tc>
        <w:tc>
          <w:tcPr>
            <w:tcW w:w="2268" w:type="dxa"/>
            <w:vAlign w:val="center"/>
          </w:tcPr>
          <w:p w14:paraId="75E77B69">
            <w:pPr>
              <w:pStyle w:val="12"/>
            </w:pPr>
            <w:r>
              <w:t>3年</w:t>
            </w:r>
          </w:p>
        </w:tc>
        <w:tc>
          <w:tcPr>
            <w:tcW w:w="1276" w:type="dxa"/>
            <w:vAlign w:val="center"/>
          </w:tcPr>
          <w:p w14:paraId="117B5ECD">
            <w:pPr>
              <w:pStyle w:val="12"/>
            </w:pPr>
            <w:r>
              <w:t>城乡义务教育公用经费管理办法</w:t>
            </w:r>
          </w:p>
        </w:tc>
      </w:tr>
      <w:tr w14:paraId="4CCE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0D0F6">
            <w:pPr>
              <w:pStyle w:val="13"/>
            </w:pPr>
            <w:r>
              <w:t>满意度指标</w:t>
            </w:r>
          </w:p>
        </w:tc>
        <w:tc>
          <w:tcPr>
            <w:tcW w:w="2268" w:type="dxa"/>
            <w:vAlign w:val="center"/>
          </w:tcPr>
          <w:p w14:paraId="493060F9">
            <w:pPr>
              <w:pStyle w:val="12"/>
            </w:pPr>
            <w:r>
              <w:t>服务对象满意度指标</w:t>
            </w:r>
          </w:p>
        </w:tc>
        <w:tc>
          <w:tcPr>
            <w:tcW w:w="2835" w:type="dxa"/>
            <w:vAlign w:val="center"/>
          </w:tcPr>
          <w:p w14:paraId="29EA8061">
            <w:pPr>
              <w:pStyle w:val="12"/>
            </w:pPr>
            <w:r>
              <w:t>受益学生家长及调查满意度</w:t>
            </w:r>
          </w:p>
        </w:tc>
        <w:tc>
          <w:tcPr>
            <w:tcW w:w="5386" w:type="dxa"/>
            <w:vAlign w:val="center"/>
          </w:tcPr>
          <w:p w14:paraId="55EF75C1">
            <w:pPr>
              <w:pStyle w:val="12"/>
            </w:pPr>
            <w:r>
              <w:t>学生、教师及家长对学校教育教学工作满意度情况</w:t>
            </w:r>
          </w:p>
        </w:tc>
        <w:tc>
          <w:tcPr>
            <w:tcW w:w="2268" w:type="dxa"/>
            <w:vAlign w:val="center"/>
          </w:tcPr>
          <w:p w14:paraId="33EC0B40">
            <w:pPr>
              <w:pStyle w:val="12"/>
            </w:pPr>
            <w:r>
              <w:t>≥95%</w:t>
            </w:r>
          </w:p>
        </w:tc>
        <w:tc>
          <w:tcPr>
            <w:tcW w:w="1276" w:type="dxa"/>
            <w:vAlign w:val="center"/>
          </w:tcPr>
          <w:p w14:paraId="365A2723">
            <w:pPr>
              <w:pStyle w:val="12"/>
            </w:pPr>
            <w:r>
              <w:t>问卷调查</w:t>
            </w:r>
          </w:p>
        </w:tc>
      </w:tr>
    </w:tbl>
    <w:p w14:paraId="6BBA67A2">
      <w:pPr>
        <w:sectPr>
          <w:pgSz w:w="16840" w:h="11900" w:orient="landscape"/>
          <w:pgMar w:top="1361" w:right="1020" w:bottom="1134" w:left="1020" w:header="720" w:footer="720" w:gutter="0"/>
          <w:cols w:space="720" w:num="1"/>
        </w:sectPr>
      </w:pPr>
    </w:p>
    <w:p w14:paraId="06ED6E87">
      <w:pPr>
        <w:spacing w:before="10" w:after="10" w:line="240" w:lineRule="auto"/>
        <w:ind w:firstLine="640"/>
        <w:jc w:val="left"/>
        <w:outlineLvl w:val="5"/>
      </w:pPr>
      <w:r>
        <w:rPr>
          <w:rFonts w:ascii="黑体" w:hAnsi="黑体" w:eastAsia="黑体" w:cs="黑体"/>
          <w:color w:val="000000"/>
          <w:sz w:val="32"/>
        </w:rPr>
        <w:t>六、政府采购预算情况</w:t>
      </w:r>
    </w:p>
    <w:p w14:paraId="456554F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BE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A1201F">
            <w:pPr>
              <w:pStyle w:val="9"/>
            </w:pPr>
            <w:r>
              <w:t>360005隆尧县尹村中学</w:t>
            </w:r>
          </w:p>
        </w:tc>
        <w:tc>
          <w:tcPr>
            <w:tcW w:w="8676" w:type="dxa"/>
            <w:gridSpan w:val="9"/>
            <w:tcBorders>
              <w:top w:val="single" w:color="FFFFFF" w:sz="6" w:space="0"/>
              <w:left w:val="single" w:color="FFFFFF" w:sz="6" w:space="0"/>
              <w:right w:val="single" w:color="FFFFFF" w:sz="6" w:space="0"/>
            </w:tcBorders>
            <w:vAlign w:val="center"/>
          </w:tcPr>
          <w:p w14:paraId="448EDB2A">
            <w:pPr>
              <w:pStyle w:val="21"/>
            </w:pPr>
            <w:r>
              <w:t>单位：万元</w:t>
            </w:r>
          </w:p>
        </w:tc>
      </w:tr>
      <w:tr w14:paraId="4A10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3E0ADA">
            <w:pPr>
              <w:pStyle w:val="10"/>
            </w:pPr>
            <w:r>
              <w:t>政府采购项目来源</w:t>
            </w:r>
          </w:p>
        </w:tc>
        <w:tc>
          <w:tcPr>
            <w:tcW w:w="1134" w:type="dxa"/>
            <w:vMerge w:val="restart"/>
            <w:vAlign w:val="center"/>
          </w:tcPr>
          <w:p w14:paraId="634E05F8">
            <w:pPr>
              <w:pStyle w:val="10"/>
            </w:pPr>
            <w:r>
              <w:t>采购物品名称</w:t>
            </w:r>
          </w:p>
        </w:tc>
        <w:tc>
          <w:tcPr>
            <w:tcW w:w="1134" w:type="dxa"/>
            <w:vMerge w:val="restart"/>
            <w:vAlign w:val="center"/>
          </w:tcPr>
          <w:p w14:paraId="3B76C965">
            <w:pPr>
              <w:pStyle w:val="10"/>
            </w:pPr>
            <w:r>
              <w:t>政府采购目录序号</w:t>
            </w:r>
          </w:p>
        </w:tc>
        <w:tc>
          <w:tcPr>
            <w:tcW w:w="709" w:type="dxa"/>
            <w:vMerge w:val="restart"/>
            <w:vAlign w:val="center"/>
          </w:tcPr>
          <w:p w14:paraId="3FE88FBF">
            <w:pPr>
              <w:pStyle w:val="10"/>
            </w:pPr>
            <w:r>
              <w:t>计量  单位</w:t>
            </w:r>
          </w:p>
        </w:tc>
        <w:tc>
          <w:tcPr>
            <w:tcW w:w="850" w:type="dxa"/>
            <w:vMerge w:val="restart"/>
            <w:vAlign w:val="center"/>
          </w:tcPr>
          <w:p w14:paraId="346AF89B">
            <w:pPr>
              <w:pStyle w:val="10"/>
            </w:pPr>
            <w:r>
              <w:t>数量</w:t>
            </w:r>
          </w:p>
        </w:tc>
        <w:tc>
          <w:tcPr>
            <w:tcW w:w="850" w:type="dxa"/>
            <w:vMerge w:val="restart"/>
            <w:vAlign w:val="center"/>
          </w:tcPr>
          <w:p w14:paraId="7417AA7C">
            <w:pPr>
              <w:pStyle w:val="10"/>
            </w:pPr>
            <w:r>
              <w:t>单价</w:t>
            </w:r>
          </w:p>
        </w:tc>
        <w:tc>
          <w:tcPr>
            <w:tcW w:w="7712" w:type="dxa"/>
            <w:gridSpan w:val="8"/>
            <w:vAlign w:val="center"/>
          </w:tcPr>
          <w:p w14:paraId="52B8BCD8">
            <w:pPr>
              <w:pStyle w:val="10"/>
            </w:pPr>
            <w:r>
              <w:t>政府采购金额（当年部门预算安排资金）</w:t>
            </w:r>
          </w:p>
        </w:tc>
        <w:tc>
          <w:tcPr>
            <w:tcW w:w="964" w:type="dxa"/>
            <w:vMerge w:val="restart"/>
            <w:vAlign w:val="center"/>
          </w:tcPr>
          <w:p w14:paraId="07599B83">
            <w:pPr>
              <w:pStyle w:val="10"/>
            </w:pPr>
            <w:r>
              <w:t>2026年  预留中  小微企  业份额</w:t>
            </w:r>
          </w:p>
        </w:tc>
      </w:tr>
      <w:tr w14:paraId="25CA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BF0118">
            <w:pPr>
              <w:pStyle w:val="10"/>
            </w:pPr>
            <w:r>
              <w:t>项目名称</w:t>
            </w:r>
          </w:p>
        </w:tc>
        <w:tc>
          <w:tcPr>
            <w:tcW w:w="964" w:type="dxa"/>
            <w:vAlign w:val="center"/>
          </w:tcPr>
          <w:p w14:paraId="5A1194B4">
            <w:pPr>
              <w:pStyle w:val="10"/>
            </w:pPr>
            <w:r>
              <w:t>预算    资金</w:t>
            </w:r>
          </w:p>
        </w:tc>
        <w:tc>
          <w:tcPr>
            <w:tcW w:w="1134" w:type="dxa"/>
            <w:vMerge w:val="continue"/>
          </w:tcPr>
          <w:p w14:paraId="3B5996B7"/>
        </w:tc>
        <w:tc>
          <w:tcPr>
            <w:tcW w:w="1134" w:type="dxa"/>
            <w:vMerge w:val="continue"/>
          </w:tcPr>
          <w:p w14:paraId="67E2A387"/>
        </w:tc>
        <w:tc>
          <w:tcPr>
            <w:tcW w:w="709" w:type="dxa"/>
            <w:vMerge w:val="continue"/>
          </w:tcPr>
          <w:p w14:paraId="7CDE7984"/>
        </w:tc>
        <w:tc>
          <w:tcPr>
            <w:tcW w:w="850" w:type="dxa"/>
            <w:vMerge w:val="continue"/>
          </w:tcPr>
          <w:p w14:paraId="5CAEF3CA"/>
        </w:tc>
        <w:tc>
          <w:tcPr>
            <w:tcW w:w="850" w:type="dxa"/>
            <w:vMerge w:val="continue"/>
          </w:tcPr>
          <w:p w14:paraId="0F765501"/>
        </w:tc>
        <w:tc>
          <w:tcPr>
            <w:tcW w:w="964" w:type="dxa"/>
            <w:vAlign w:val="center"/>
          </w:tcPr>
          <w:p w14:paraId="263B6A7F">
            <w:pPr>
              <w:pStyle w:val="10"/>
            </w:pPr>
            <w:r>
              <w:t>合计</w:t>
            </w:r>
          </w:p>
        </w:tc>
        <w:tc>
          <w:tcPr>
            <w:tcW w:w="964" w:type="dxa"/>
            <w:vAlign w:val="center"/>
          </w:tcPr>
          <w:p w14:paraId="1CA7E632">
            <w:pPr>
              <w:pStyle w:val="10"/>
            </w:pPr>
            <w:r>
              <w:t>一般公共预算拨款</w:t>
            </w:r>
          </w:p>
        </w:tc>
        <w:tc>
          <w:tcPr>
            <w:tcW w:w="964" w:type="dxa"/>
            <w:vAlign w:val="center"/>
          </w:tcPr>
          <w:p w14:paraId="58CF6686">
            <w:pPr>
              <w:pStyle w:val="10"/>
            </w:pPr>
            <w:r>
              <w:t>基金预算拨款</w:t>
            </w:r>
          </w:p>
        </w:tc>
        <w:tc>
          <w:tcPr>
            <w:tcW w:w="964" w:type="dxa"/>
            <w:vAlign w:val="center"/>
          </w:tcPr>
          <w:p w14:paraId="344BB0E3">
            <w:pPr>
              <w:pStyle w:val="10"/>
            </w:pPr>
            <w:r>
              <w:t>国有资本经营预算拨款</w:t>
            </w:r>
          </w:p>
        </w:tc>
        <w:tc>
          <w:tcPr>
            <w:tcW w:w="964" w:type="dxa"/>
            <w:vAlign w:val="center"/>
          </w:tcPr>
          <w:p w14:paraId="03A23E57">
            <w:pPr>
              <w:pStyle w:val="10"/>
            </w:pPr>
            <w:r>
              <w:t>财政专户核拨</w:t>
            </w:r>
          </w:p>
        </w:tc>
        <w:tc>
          <w:tcPr>
            <w:tcW w:w="964" w:type="dxa"/>
            <w:vAlign w:val="center"/>
          </w:tcPr>
          <w:p w14:paraId="70926E31">
            <w:pPr>
              <w:pStyle w:val="10"/>
            </w:pPr>
            <w:r>
              <w:t>单位    资金</w:t>
            </w:r>
          </w:p>
        </w:tc>
        <w:tc>
          <w:tcPr>
            <w:tcW w:w="964" w:type="dxa"/>
            <w:vAlign w:val="center"/>
          </w:tcPr>
          <w:p w14:paraId="0BAC40FD">
            <w:pPr>
              <w:pStyle w:val="10"/>
            </w:pPr>
            <w:r>
              <w:t>财政拨款结转</w:t>
            </w:r>
          </w:p>
        </w:tc>
        <w:tc>
          <w:tcPr>
            <w:tcW w:w="964" w:type="dxa"/>
            <w:vAlign w:val="center"/>
          </w:tcPr>
          <w:p w14:paraId="5593D36B">
            <w:pPr>
              <w:pStyle w:val="10"/>
            </w:pPr>
            <w:r>
              <w:t>非财政拨款结余</w:t>
            </w:r>
          </w:p>
        </w:tc>
        <w:tc>
          <w:tcPr>
            <w:tcW w:w="964" w:type="dxa"/>
            <w:vMerge w:val="continue"/>
          </w:tcPr>
          <w:p w14:paraId="145E62D4"/>
        </w:tc>
      </w:tr>
      <w:tr w14:paraId="243C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F490C6">
            <w:pPr>
              <w:pStyle w:val="14"/>
            </w:pPr>
            <w:r>
              <w:t>合  计</w:t>
            </w:r>
          </w:p>
        </w:tc>
        <w:tc>
          <w:tcPr>
            <w:tcW w:w="964" w:type="dxa"/>
            <w:vAlign w:val="center"/>
          </w:tcPr>
          <w:p w14:paraId="6D87181E">
            <w:pPr>
              <w:pStyle w:val="15"/>
            </w:pPr>
          </w:p>
        </w:tc>
        <w:tc>
          <w:tcPr>
            <w:tcW w:w="1134" w:type="dxa"/>
            <w:vAlign w:val="center"/>
          </w:tcPr>
          <w:p w14:paraId="0354031E">
            <w:pPr>
              <w:pStyle w:val="16"/>
            </w:pPr>
          </w:p>
        </w:tc>
        <w:tc>
          <w:tcPr>
            <w:tcW w:w="1134" w:type="dxa"/>
            <w:vAlign w:val="center"/>
          </w:tcPr>
          <w:p w14:paraId="10FB8C82">
            <w:pPr>
              <w:pStyle w:val="16"/>
            </w:pPr>
          </w:p>
        </w:tc>
        <w:tc>
          <w:tcPr>
            <w:tcW w:w="709" w:type="dxa"/>
            <w:vAlign w:val="center"/>
          </w:tcPr>
          <w:p w14:paraId="4A512624">
            <w:pPr>
              <w:pStyle w:val="14"/>
            </w:pPr>
          </w:p>
        </w:tc>
        <w:tc>
          <w:tcPr>
            <w:tcW w:w="850" w:type="dxa"/>
            <w:vAlign w:val="center"/>
          </w:tcPr>
          <w:p w14:paraId="26C8247E">
            <w:pPr>
              <w:pStyle w:val="15"/>
            </w:pPr>
          </w:p>
        </w:tc>
        <w:tc>
          <w:tcPr>
            <w:tcW w:w="850" w:type="dxa"/>
            <w:vAlign w:val="center"/>
          </w:tcPr>
          <w:p w14:paraId="272D3F9A">
            <w:pPr>
              <w:pStyle w:val="15"/>
            </w:pPr>
          </w:p>
        </w:tc>
        <w:tc>
          <w:tcPr>
            <w:tcW w:w="964" w:type="dxa"/>
            <w:vAlign w:val="center"/>
          </w:tcPr>
          <w:p w14:paraId="7FE3EE3E">
            <w:pPr>
              <w:pStyle w:val="15"/>
            </w:pPr>
            <w:r>
              <w:t>9.80</w:t>
            </w:r>
          </w:p>
        </w:tc>
        <w:tc>
          <w:tcPr>
            <w:tcW w:w="964" w:type="dxa"/>
            <w:vAlign w:val="center"/>
          </w:tcPr>
          <w:p w14:paraId="5DC73067">
            <w:pPr>
              <w:pStyle w:val="15"/>
            </w:pPr>
            <w:r>
              <w:t>9.80</w:t>
            </w:r>
          </w:p>
        </w:tc>
        <w:tc>
          <w:tcPr>
            <w:tcW w:w="964" w:type="dxa"/>
            <w:vAlign w:val="center"/>
          </w:tcPr>
          <w:p w14:paraId="7FA88E70">
            <w:pPr>
              <w:pStyle w:val="15"/>
            </w:pPr>
          </w:p>
        </w:tc>
        <w:tc>
          <w:tcPr>
            <w:tcW w:w="964" w:type="dxa"/>
            <w:vAlign w:val="center"/>
          </w:tcPr>
          <w:p w14:paraId="5BD67665">
            <w:pPr>
              <w:pStyle w:val="15"/>
            </w:pPr>
          </w:p>
        </w:tc>
        <w:tc>
          <w:tcPr>
            <w:tcW w:w="964" w:type="dxa"/>
            <w:vAlign w:val="center"/>
          </w:tcPr>
          <w:p w14:paraId="3FD06572">
            <w:pPr>
              <w:pStyle w:val="15"/>
            </w:pPr>
          </w:p>
        </w:tc>
        <w:tc>
          <w:tcPr>
            <w:tcW w:w="964" w:type="dxa"/>
            <w:vAlign w:val="center"/>
          </w:tcPr>
          <w:p w14:paraId="34B1A97E">
            <w:pPr>
              <w:pStyle w:val="15"/>
            </w:pPr>
          </w:p>
        </w:tc>
        <w:tc>
          <w:tcPr>
            <w:tcW w:w="964" w:type="dxa"/>
            <w:vAlign w:val="center"/>
          </w:tcPr>
          <w:p w14:paraId="76D5E624">
            <w:pPr>
              <w:pStyle w:val="15"/>
            </w:pPr>
          </w:p>
        </w:tc>
        <w:tc>
          <w:tcPr>
            <w:tcW w:w="964" w:type="dxa"/>
            <w:vAlign w:val="center"/>
          </w:tcPr>
          <w:p w14:paraId="5E1E6CCC">
            <w:pPr>
              <w:pStyle w:val="15"/>
            </w:pPr>
          </w:p>
        </w:tc>
        <w:tc>
          <w:tcPr>
            <w:tcW w:w="964" w:type="dxa"/>
            <w:vAlign w:val="center"/>
          </w:tcPr>
          <w:p w14:paraId="5BA9F2EA">
            <w:pPr>
              <w:pStyle w:val="15"/>
            </w:pPr>
            <w:r>
              <w:t>9.80</w:t>
            </w:r>
          </w:p>
        </w:tc>
      </w:tr>
      <w:tr w14:paraId="5E90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0B13CB">
            <w:pPr>
              <w:pStyle w:val="14"/>
            </w:pPr>
            <w:r>
              <w:t>隆尧县尹村中学小计</w:t>
            </w:r>
          </w:p>
        </w:tc>
        <w:tc>
          <w:tcPr>
            <w:tcW w:w="964" w:type="dxa"/>
            <w:vAlign w:val="center"/>
          </w:tcPr>
          <w:p w14:paraId="3B66741B">
            <w:pPr>
              <w:pStyle w:val="15"/>
            </w:pPr>
          </w:p>
        </w:tc>
        <w:tc>
          <w:tcPr>
            <w:tcW w:w="1134" w:type="dxa"/>
            <w:vAlign w:val="center"/>
          </w:tcPr>
          <w:p w14:paraId="542094F3">
            <w:pPr>
              <w:pStyle w:val="16"/>
            </w:pPr>
          </w:p>
        </w:tc>
        <w:tc>
          <w:tcPr>
            <w:tcW w:w="1134" w:type="dxa"/>
            <w:vAlign w:val="center"/>
          </w:tcPr>
          <w:p w14:paraId="18EC2063">
            <w:pPr>
              <w:pStyle w:val="16"/>
            </w:pPr>
          </w:p>
        </w:tc>
        <w:tc>
          <w:tcPr>
            <w:tcW w:w="709" w:type="dxa"/>
            <w:vAlign w:val="center"/>
          </w:tcPr>
          <w:p w14:paraId="1C9A8E0E">
            <w:pPr>
              <w:pStyle w:val="14"/>
            </w:pPr>
          </w:p>
        </w:tc>
        <w:tc>
          <w:tcPr>
            <w:tcW w:w="850" w:type="dxa"/>
            <w:vAlign w:val="center"/>
          </w:tcPr>
          <w:p w14:paraId="536D3AE1">
            <w:pPr>
              <w:pStyle w:val="15"/>
            </w:pPr>
          </w:p>
        </w:tc>
        <w:tc>
          <w:tcPr>
            <w:tcW w:w="850" w:type="dxa"/>
            <w:vAlign w:val="center"/>
          </w:tcPr>
          <w:p w14:paraId="2B6920FB">
            <w:pPr>
              <w:pStyle w:val="15"/>
            </w:pPr>
          </w:p>
        </w:tc>
        <w:tc>
          <w:tcPr>
            <w:tcW w:w="964" w:type="dxa"/>
            <w:vAlign w:val="center"/>
          </w:tcPr>
          <w:p w14:paraId="0369DC18">
            <w:pPr>
              <w:pStyle w:val="15"/>
            </w:pPr>
            <w:r>
              <w:t>9.80</w:t>
            </w:r>
          </w:p>
        </w:tc>
        <w:tc>
          <w:tcPr>
            <w:tcW w:w="964" w:type="dxa"/>
            <w:vAlign w:val="center"/>
          </w:tcPr>
          <w:p w14:paraId="34BF552D">
            <w:pPr>
              <w:pStyle w:val="15"/>
            </w:pPr>
            <w:r>
              <w:t>9.80</w:t>
            </w:r>
          </w:p>
        </w:tc>
        <w:tc>
          <w:tcPr>
            <w:tcW w:w="964" w:type="dxa"/>
            <w:vAlign w:val="center"/>
          </w:tcPr>
          <w:p w14:paraId="0A0C6F29">
            <w:pPr>
              <w:pStyle w:val="15"/>
            </w:pPr>
          </w:p>
        </w:tc>
        <w:tc>
          <w:tcPr>
            <w:tcW w:w="964" w:type="dxa"/>
            <w:vAlign w:val="center"/>
          </w:tcPr>
          <w:p w14:paraId="2DCB5E35">
            <w:pPr>
              <w:pStyle w:val="15"/>
            </w:pPr>
          </w:p>
        </w:tc>
        <w:tc>
          <w:tcPr>
            <w:tcW w:w="964" w:type="dxa"/>
            <w:vAlign w:val="center"/>
          </w:tcPr>
          <w:p w14:paraId="050A06EB">
            <w:pPr>
              <w:pStyle w:val="15"/>
            </w:pPr>
          </w:p>
        </w:tc>
        <w:tc>
          <w:tcPr>
            <w:tcW w:w="964" w:type="dxa"/>
            <w:vAlign w:val="center"/>
          </w:tcPr>
          <w:p w14:paraId="1755E2AC">
            <w:pPr>
              <w:pStyle w:val="15"/>
            </w:pPr>
          </w:p>
        </w:tc>
        <w:tc>
          <w:tcPr>
            <w:tcW w:w="964" w:type="dxa"/>
            <w:vAlign w:val="center"/>
          </w:tcPr>
          <w:p w14:paraId="29E378C7">
            <w:pPr>
              <w:pStyle w:val="15"/>
            </w:pPr>
          </w:p>
        </w:tc>
        <w:tc>
          <w:tcPr>
            <w:tcW w:w="964" w:type="dxa"/>
            <w:vAlign w:val="center"/>
          </w:tcPr>
          <w:p w14:paraId="4932211F">
            <w:pPr>
              <w:pStyle w:val="15"/>
            </w:pPr>
          </w:p>
        </w:tc>
        <w:tc>
          <w:tcPr>
            <w:tcW w:w="964" w:type="dxa"/>
            <w:vAlign w:val="center"/>
          </w:tcPr>
          <w:p w14:paraId="7D149856">
            <w:pPr>
              <w:pStyle w:val="15"/>
            </w:pPr>
            <w:r>
              <w:t>9.80</w:t>
            </w:r>
          </w:p>
        </w:tc>
      </w:tr>
      <w:tr w14:paraId="6653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ADA3C6">
            <w:pPr>
              <w:pStyle w:val="12"/>
            </w:pPr>
            <w:r>
              <w:t>冀财教[2025]148号/支持义务教育发展/尹村中学公用经费</w:t>
            </w:r>
          </w:p>
        </w:tc>
        <w:tc>
          <w:tcPr>
            <w:tcW w:w="964" w:type="dxa"/>
            <w:vAlign w:val="center"/>
          </w:tcPr>
          <w:p w14:paraId="41DCE7D3">
            <w:pPr>
              <w:pStyle w:val="11"/>
            </w:pPr>
            <w:r>
              <w:t>9.80</w:t>
            </w:r>
          </w:p>
        </w:tc>
        <w:tc>
          <w:tcPr>
            <w:tcW w:w="1134" w:type="dxa"/>
            <w:vAlign w:val="center"/>
          </w:tcPr>
          <w:p w14:paraId="73833855">
            <w:pPr>
              <w:pStyle w:val="12"/>
            </w:pPr>
            <w:r>
              <w:t>空调机</w:t>
            </w:r>
          </w:p>
        </w:tc>
        <w:tc>
          <w:tcPr>
            <w:tcW w:w="1134" w:type="dxa"/>
            <w:vAlign w:val="center"/>
          </w:tcPr>
          <w:p w14:paraId="7E734646">
            <w:pPr>
              <w:pStyle w:val="12"/>
            </w:pPr>
            <w:r>
              <w:t>A02061804</w:t>
            </w:r>
          </w:p>
        </w:tc>
        <w:tc>
          <w:tcPr>
            <w:tcW w:w="709" w:type="dxa"/>
            <w:vAlign w:val="center"/>
          </w:tcPr>
          <w:p w14:paraId="71A9F11F">
            <w:pPr>
              <w:pStyle w:val="13"/>
            </w:pPr>
            <w:r>
              <w:t>台</w:t>
            </w:r>
          </w:p>
        </w:tc>
        <w:tc>
          <w:tcPr>
            <w:tcW w:w="850" w:type="dxa"/>
            <w:vAlign w:val="center"/>
          </w:tcPr>
          <w:p w14:paraId="314D1E80">
            <w:pPr>
              <w:pStyle w:val="11"/>
            </w:pPr>
            <w:r>
              <w:t>5</w:t>
            </w:r>
          </w:p>
        </w:tc>
        <w:tc>
          <w:tcPr>
            <w:tcW w:w="850" w:type="dxa"/>
            <w:vAlign w:val="center"/>
          </w:tcPr>
          <w:p w14:paraId="1B786CB9">
            <w:pPr>
              <w:pStyle w:val="11"/>
            </w:pPr>
            <w:r>
              <w:t>1.80</w:t>
            </w:r>
          </w:p>
        </w:tc>
        <w:tc>
          <w:tcPr>
            <w:tcW w:w="964" w:type="dxa"/>
            <w:vAlign w:val="center"/>
          </w:tcPr>
          <w:p w14:paraId="416FF213">
            <w:pPr>
              <w:pStyle w:val="11"/>
            </w:pPr>
            <w:r>
              <w:t>9.00</w:t>
            </w:r>
          </w:p>
        </w:tc>
        <w:tc>
          <w:tcPr>
            <w:tcW w:w="964" w:type="dxa"/>
            <w:vAlign w:val="center"/>
          </w:tcPr>
          <w:p w14:paraId="217E275D">
            <w:pPr>
              <w:pStyle w:val="11"/>
            </w:pPr>
            <w:r>
              <w:t>9.00</w:t>
            </w:r>
          </w:p>
        </w:tc>
        <w:tc>
          <w:tcPr>
            <w:tcW w:w="964" w:type="dxa"/>
            <w:vAlign w:val="center"/>
          </w:tcPr>
          <w:p w14:paraId="2CF42694">
            <w:pPr>
              <w:pStyle w:val="11"/>
            </w:pPr>
          </w:p>
        </w:tc>
        <w:tc>
          <w:tcPr>
            <w:tcW w:w="964" w:type="dxa"/>
            <w:vAlign w:val="center"/>
          </w:tcPr>
          <w:p w14:paraId="0BB62831">
            <w:pPr>
              <w:pStyle w:val="11"/>
            </w:pPr>
          </w:p>
        </w:tc>
        <w:tc>
          <w:tcPr>
            <w:tcW w:w="964" w:type="dxa"/>
            <w:vAlign w:val="center"/>
          </w:tcPr>
          <w:p w14:paraId="2E0427F3">
            <w:pPr>
              <w:pStyle w:val="11"/>
            </w:pPr>
          </w:p>
        </w:tc>
        <w:tc>
          <w:tcPr>
            <w:tcW w:w="964" w:type="dxa"/>
            <w:vAlign w:val="center"/>
          </w:tcPr>
          <w:p w14:paraId="613CF670">
            <w:pPr>
              <w:pStyle w:val="11"/>
            </w:pPr>
          </w:p>
        </w:tc>
        <w:tc>
          <w:tcPr>
            <w:tcW w:w="964" w:type="dxa"/>
            <w:vAlign w:val="center"/>
          </w:tcPr>
          <w:p w14:paraId="7CFA6EAC">
            <w:pPr>
              <w:pStyle w:val="11"/>
            </w:pPr>
          </w:p>
        </w:tc>
        <w:tc>
          <w:tcPr>
            <w:tcW w:w="964" w:type="dxa"/>
            <w:vAlign w:val="center"/>
          </w:tcPr>
          <w:p w14:paraId="4A4AAC56">
            <w:pPr>
              <w:pStyle w:val="11"/>
            </w:pPr>
          </w:p>
        </w:tc>
        <w:tc>
          <w:tcPr>
            <w:tcW w:w="964" w:type="dxa"/>
            <w:vAlign w:val="center"/>
          </w:tcPr>
          <w:p w14:paraId="103DD33B">
            <w:pPr>
              <w:pStyle w:val="11"/>
            </w:pPr>
            <w:r>
              <w:t>9.00</w:t>
            </w:r>
          </w:p>
        </w:tc>
      </w:tr>
      <w:tr w14:paraId="1ED57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0A6D1C">
            <w:pPr>
              <w:pStyle w:val="12"/>
            </w:pPr>
            <w:r>
              <w:t>冀财教[2025]148号/支持义务教育发展/尹村中学公用经费</w:t>
            </w:r>
          </w:p>
        </w:tc>
        <w:tc>
          <w:tcPr>
            <w:tcW w:w="964" w:type="dxa"/>
            <w:vAlign w:val="center"/>
          </w:tcPr>
          <w:p w14:paraId="22456DAC">
            <w:pPr>
              <w:pStyle w:val="11"/>
            </w:pPr>
            <w:r>
              <w:t>9.80</w:t>
            </w:r>
          </w:p>
        </w:tc>
        <w:tc>
          <w:tcPr>
            <w:tcW w:w="1134" w:type="dxa"/>
            <w:vAlign w:val="center"/>
          </w:tcPr>
          <w:p w14:paraId="449A0B9B">
            <w:pPr>
              <w:pStyle w:val="12"/>
            </w:pPr>
            <w:r>
              <w:t>空调机</w:t>
            </w:r>
          </w:p>
        </w:tc>
        <w:tc>
          <w:tcPr>
            <w:tcW w:w="1134" w:type="dxa"/>
            <w:vAlign w:val="center"/>
          </w:tcPr>
          <w:p w14:paraId="44ABE7C3">
            <w:pPr>
              <w:pStyle w:val="12"/>
            </w:pPr>
            <w:r>
              <w:t>A02061804</w:t>
            </w:r>
          </w:p>
        </w:tc>
        <w:tc>
          <w:tcPr>
            <w:tcW w:w="709" w:type="dxa"/>
            <w:vAlign w:val="center"/>
          </w:tcPr>
          <w:p w14:paraId="74EACB61">
            <w:pPr>
              <w:pStyle w:val="13"/>
            </w:pPr>
            <w:r>
              <w:t>台</w:t>
            </w:r>
          </w:p>
        </w:tc>
        <w:tc>
          <w:tcPr>
            <w:tcW w:w="850" w:type="dxa"/>
            <w:vAlign w:val="center"/>
          </w:tcPr>
          <w:p w14:paraId="06F85C0D">
            <w:pPr>
              <w:pStyle w:val="11"/>
            </w:pPr>
            <w:r>
              <w:t>1</w:t>
            </w:r>
          </w:p>
        </w:tc>
        <w:tc>
          <w:tcPr>
            <w:tcW w:w="850" w:type="dxa"/>
            <w:vAlign w:val="center"/>
          </w:tcPr>
          <w:p w14:paraId="59CBFAB6">
            <w:pPr>
              <w:pStyle w:val="11"/>
            </w:pPr>
            <w:r>
              <w:t>0.80</w:t>
            </w:r>
          </w:p>
        </w:tc>
        <w:tc>
          <w:tcPr>
            <w:tcW w:w="964" w:type="dxa"/>
            <w:vAlign w:val="center"/>
          </w:tcPr>
          <w:p w14:paraId="37C7B869">
            <w:pPr>
              <w:pStyle w:val="11"/>
            </w:pPr>
            <w:r>
              <w:t>0.80</w:t>
            </w:r>
          </w:p>
        </w:tc>
        <w:tc>
          <w:tcPr>
            <w:tcW w:w="964" w:type="dxa"/>
            <w:vAlign w:val="center"/>
          </w:tcPr>
          <w:p w14:paraId="7A0916E1">
            <w:pPr>
              <w:pStyle w:val="11"/>
            </w:pPr>
            <w:r>
              <w:t>0.80</w:t>
            </w:r>
          </w:p>
        </w:tc>
        <w:tc>
          <w:tcPr>
            <w:tcW w:w="964" w:type="dxa"/>
            <w:vAlign w:val="center"/>
          </w:tcPr>
          <w:p w14:paraId="200CC1E8">
            <w:pPr>
              <w:pStyle w:val="11"/>
            </w:pPr>
          </w:p>
        </w:tc>
        <w:tc>
          <w:tcPr>
            <w:tcW w:w="964" w:type="dxa"/>
            <w:vAlign w:val="center"/>
          </w:tcPr>
          <w:p w14:paraId="513F2E76">
            <w:pPr>
              <w:pStyle w:val="11"/>
            </w:pPr>
          </w:p>
        </w:tc>
        <w:tc>
          <w:tcPr>
            <w:tcW w:w="964" w:type="dxa"/>
            <w:vAlign w:val="center"/>
          </w:tcPr>
          <w:p w14:paraId="4C8A5051">
            <w:pPr>
              <w:pStyle w:val="11"/>
            </w:pPr>
          </w:p>
        </w:tc>
        <w:tc>
          <w:tcPr>
            <w:tcW w:w="964" w:type="dxa"/>
            <w:vAlign w:val="center"/>
          </w:tcPr>
          <w:p w14:paraId="5820E128">
            <w:pPr>
              <w:pStyle w:val="11"/>
            </w:pPr>
          </w:p>
        </w:tc>
        <w:tc>
          <w:tcPr>
            <w:tcW w:w="964" w:type="dxa"/>
            <w:vAlign w:val="center"/>
          </w:tcPr>
          <w:p w14:paraId="39B8C945">
            <w:pPr>
              <w:pStyle w:val="11"/>
            </w:pPr>
          </w:p>
        </w:tc>
        <w:tc>
          <w:tcPr>
            <w:tcW w:w="964" w:type="dxa"/>
            <w:vAlign w:val="center"/>
          </w:tcPr>
          <w:p w14:paraId="49168AC5">
            <w:pPr>
              <w:pStyle w:val="11"/>
            </w:pPr>
          </w:p>
        </w:tc>
        <w:tc>
          <w:tcPr>
            <w:tcW w:w="964" w:type="dxa"/>
            <w:vAlign w:val="center"/>
          </w:tcPr>
          <w:p w14:paraId="1AC80F08">
            <w:pPr>
              <w:pStyle w:val="11"/>
            </w:pPr>
            <w:r>
              <w:t>0.80</w:t>
            </w:r>
          </w:p>
        </w:tc>
      </w:tr>
    </w:tbl>
    <w:p w14:paraId="68EDD76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3BA466">
      <w:pPr>
        <w:spacing w:before="0" w:after="0"/>
        <w:ind w:firstLine="640"/>
        <w:jc w:val="left"/>
        <w:outlineLvl w:val="9"/>
      </w:pPr>
      <w:r>
        <w:rPr>
          <w:rFonts w:ascii="Times New Roman" w:hAnsi="Times New Roman" w:eastAsia="方正仿宋_GBK" w:cs="Times New Roman"/>
          <w:color w:val="000000"/>
          <w:sz w:val="32"/>
        </w:rPr>
        <w:t xml:space="preserve"> </w:t>
      </w:r>
    </w:p>
    <w:p w14:paraId="07FA9D9E">
      <w:pPr>
        <w:spacing w:before="10" w:after="10" w:line="240" w:lineRule="auto"/>
        <w:ind w:firstLine="640"/>
        <w:jc w:val="left"/>
        <w:outlineLvl w:val="5"/>
      </w:pPr>
      <w:r>
        <w:rPr>
          <w:rFonts w:ascii="黑体" w:hAnsi="黑体" w:eastAsia="黑体" w:cs="黑体"/>
          <w:color w:val="000000"/>
          <w:sz w:val="32"/>
        </w:rPr>
        <w:t>七、国有资产信息</w:t>
      </w:r>
    </w:p>
    <w:p w14:paraId="65A35AC1">
      <w:pPr>
        <w:spacing w:before="0" w:after="0" w:line="500" w:lineRule="exact"/>
        <w:ind w:firstLine="560"/>
        <w:jc w:val="left"/>
        <w:outlineLvl w:val="9"/>
      </w:pPr>
      <w:r>
        <w:rPr>
          <w:rFonts w:ascii="Times New Roman" w:hAnsi="Times New Roman" w:eastAsia="方正仿宋_GBK" w:cs="Times New Roman"/>
          <w:b w:val="0"/>
          <w:color w:val="000000"/>
          <w:sz w:val="28"/>
        </w:rPr>
        <w:t>隆尧县尹村中学上年末固定资产金额为2133.79万元（详见下表）。本年度拟购置固定资产总额为16.70万元，已按要求列入政府采购预算，详见政府采购预算表。</w:t>
      </w:r>
    </w:p>
    <w:p w14:paraId="00D3B66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6F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A41E12">
            <w:pPr>
              <w:pStyle w:val="9"/>
            </w:pPr>
            <w:r>
              <w:t>360005隆尧县尹村中学</w:t>
            </w:r>
          </w:p>
        </w:tc>
        <w:tc>
          <w:tcPr>
            <w:tcW w:w="5670" w:type="dxa"/>
            <w:gridSpan w:val="2"/>
            <w:tcBorders>
              <w:top w:val="single" w:color="FFFFFF" w:sz="6" w:space="0"/>
              <w:left w:val="single" w:color="FFFFFF" w:sz="6" w:space="0"/>
              <w:right w:val="single" w:color="FFFFFF" w:sz="6" w:space="0"/>
            </w:tcBorders>
            <w:vAlign w:val="center"/>
          </w:tcPr>
          <w:p w14:paraId="0D6CB51C">
            <w:pPr>
              <w:pStyle w:val="7"/>
            </w:pPr>
            <w:r>
              <w:t>截止时间：2025-12-31</w:t>
            </w:r>
          </w:p>
        </w:tc>
      </w:tr>
      <w:tr w14:paraId="651D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FBA190">
            <w:pPr>
              <w:pStyle w:val="10"/>
            </w:pPr>
            <w:r>
              <w:t>项   目</w:t>
            </w:r>
          </w:p>
        </w:tc>
        <w:tc>
          <w:tcPr>
            <w:tcW w:w="2835" w:type="dxa"/>
            <w:vAlign w:val="center"/>
          </w:tcPr>
          <w:p w14:paraId="21E049C8">
            <w:pPr>
              <w:pStyle w:val="10"/>
            </w:pPr>
            <w:r>
              <w:t>数量</w:t>
            </w:r>
          </w:p>
        </w:tc>
        <w:tc>
          <w:tcPr>
            <w:tcW w:w="2835" w:type="dxa"/>
            <w:vAlign w:val="center"/>
          </w:tcPr>
          <w:p w14:paraId="57A68A15">
            <w:pPr>
              <w:pStyle w:val="10"/>
            </w:pPr>
            <w:r>
              <w:t>价值（金额单位：万元）</w:t>
            </w:r>
          </w:p>
        </w:tc>
      </w:tr>
      <w:tr w14:paraId="0360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B08035">
            <w:pPr>
              <w:pStyle w:val="12"/>
            </w:pPr>
            <w:r>
              <w:t>资产总额</w:t>
            </w:r>
          </w:p>
        </w:tc>
        <w:tc>
          <w:tcPr>
            <w:tcW w:w="2835" w:type="dxa"/>
            <w:vAlign w:val="center"/>
          </w:tcPr>
          <w:p w14:paraId="02BAD277">
            <w:pPr>
              <w:pStyle w:val="13"/>
            </w:pPr>
          </w:p>
        </w:tc>
        <w:tc>
          <w:tcPr>
            <w:tcW w:w="2835" w:type="dxa"/>
            <w:vAlign w:val="center"/>
          </w:tcPr>
          <w:p w14:paraId="27744B58">
            <w:pPr>
              <w:pStyle w:val="11"/>
            </w:pPr>
            <w:r>
              <w:t>2133.79</w:t>
            </w:r>
          </w:p>
        </w:tc>
      </w:tr>
      <w:tr w14:paraId="6B16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DC8414">
            <w:pPr>
              <w:pStyle w:val="12"/>
            </w:pPr>
            <w:r>
              <w:t>1、房屋（平方米）</w:t>
            </w:r>
          </w:p>
        </w:tc>
        <w:tc>
          <w:tcPr>
            <w:tcW w:w="2835" w:type="dxa"/>
            <w:vAlign w:val="center"/>
          </w:tcPr>
          <w:p w14:paraId="26C72C16">
            <w:pPr>
              <w:pStyle w:val="13"/>
            </w:pPr>
            <w:r>
              <w:t>16331.18</w:t>
            </w:r>
          </w:p>
        </w:tc>
        <w:tc>
          <w:tcPr>
            <w:tcW w:w="2835" w:type="dxa"/>
            <w:vAlign w:val="center"/>
          </w:tcPr>
          <w:p w14:paraId="6F367597">
            <w:pPr>
              <w:pStyle w:val="11"/>
            </w:pPr>
            <w:r>
              <w:t>1657.42</w:t>
            </w:r>
          </w:p>
        </w:tc>
      </w:tr>
      <w:tr w14:paraId="0EF4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1CFF7D">
            <w:pPr>
              <w:pStyle w:val="12"/>
            </w:pPr>
            <w:r>
              <w:t>　　其中：办公用房（平方米）</w:t>
            </w:r>
          </w:p>
        </w:tc>
        <w:tc>
          <w:tcPr>
            <w:tcW w:w="2835" w:type="dxa"/>
            <w:vAlign w:val="center"/>
          </w:tcPr>
          <w:p w14:paraId="0C07751C">
            <w:pPr>
              <w:pStyle w:val="13"/>
            </w:pPr>
            <w:r>
              <w:t>300</w:t>
            </w:r>
          </w:p>
        </w:tc>
        <w:tc>
          <w:tcPr>
            <w:tcW w:w="2835" w:type="dxa"/>
            <w:vAlign w:val="center"/>
          </w:tcPr>
          <w:p w14:paraId="65518428">
            <w:pPr>
              <w:pStyle w:val="11"/>
            </w:pPr>
            <w:r>
              <w:t>5.00</w:t>
            </w:r>
          </w:p>
        </w:tc>
      </w:tr>
      <w:tr w14:paraId="5DA6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BAD79C">
            <w:pPr>
              <w:pStyle w:val="12"/>
            </w:pPr>
            <w:r>
              <w:t>2、车辆（台、辆）</w:t>
            </w:r>
          </w:p>
        </w:tc>
        <w:tc>
          <w:tcPr>
            <w:tcW w:w="2835" w:type="dxa"/>
            <w:vAlign w:val="center"/>
          </w:tcPr>
          <w:p w14:paraId="08A33E71">
            <w:pPr>
              <w:pStyle w:val="13"/>
            </w:pPr>
          </w:p>
        </w:tc>
        <w:tc>
          <w:tcPr>
            <w:tcW w:w="2835" w:type="dxa"/>
            <w:vAlign w:val="center"/>
          </w:tcPr>
          <w:p w14:paraId="542A7E9B">
            <w:pPr>
              <w:pStyle w:val="11"/>
            </w:pPr>
          </w:p>
        </w:tc>
      </w:tr>
      <w:tr w14:paraId="053A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97C4E6">
            <w:pPr>
              <w:pStyle w:val="12"/>
            </w:pPr>
            <w:r>
              <w:t>3、单价在20万元以上的设备</w:t>
            </w:r>
          </w:p>
        </w:tc>
        <w:tc>
          <w:tcPr>
            <w:tcW w:w="2835" w:type="dxa"/>
            <w:vAlign w:val="center"/>
          </w:tcPr>
          <w:p w14:paraId="7A0E5DBA">
            <w:pPr>
              <w:pStyle w:val="13"/>
            </w:pPr>
          </w:p>
        </w:tc>
        <w:tc>
          <w:tcPr>
            <w:tcW w:w="2835" w:type="dxa"/>
            <w:vAlign w:val="center"/>
          </w:tcPr>
          <w:p w14:paraId="3E394792">
            <w:pPr>
              <w:pStyle w:val="11"/>
            </w:pPr>
          </w:p>
        </w:tc>
      </w:tr>
      <w:tr w14:paraId="5E32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874FE4">
            <w:pPr>
              <w:pStyle w:val="12"/>
            </w:pPr>
            <w:r>
              <w:t>4、其他固定资产</w:t>
            </w:r>
          </w:p>
        </w:tc>
        <w:tc>
          <w:tcPr>
            <w:tcW w:w="2835" w:type="dxa"/>
            <w:vAlign w:val="center"/>
          </w:tcPr>
          <w:p w14:paraId="33106B3B">
            <w:pPr>
              <w:pStyle w:val="13"/>
            </w:pPr>
            <w:r>
              <w:t>13273</w:t>
            </w:r>
          </w:p>
        </w:tc>
        <w:tc>
          <w:tcPr>
            <w:tcW w:w="2835" w:type="dxa"/>
            <w:vAlign w:val="center"/>
          </w:tcPr>
          <w:p w14:paraId="6F54C678">
            <w:pPr>
              <w:pStyle w:val="11"/>
            </w:pPr>
            <w:r>
              <w:t>476.37</w:t>
            </w:r>
          </w:p>
        </w:tc>
      </w:tr>
    </w:tbl>
    <w:p w14:paraId="4A289F1E">
      <w:pPr>
        <w:spacing w:before="0" w:after="0"/>
        <w:ind w:firstLine="640"/>
        <w:jc w:val="left"/>
        <w:outlineLvl w:val="9"/>
      </w:pPr>
      <w:r>
        <w:rPr>
          <w:rFonts w:ascii="Times New Roman" w:hAnsi="Times New Roman" w:eastAsia="方正仿宋_GBK" w:cs="Times New Roman"/>
          <w:color w:val="000000"/>
          <w:sz w:val="32"/>
        </w:rPr>
        <w:t xml:space="preserve"> </w:t>
      </w:r>
    </w:p>
    <w:p w14:paraId="78282BA1">
      <w:pPr>
        <w:spacing w:before="10" w:after="10" w:line="240" w:lineRule="auto"/>
        <w:ind w:firstLine="640"/>
        <w:jc w:val="left"/>
        <w:outlineLvl w:val="5"/>
      </w:pPr>
      <w:r>
        <w:rPr>
          <w:rFonts w:ascii="黑体" w:hAnsi="黑体" w:eastAsia="黑体" w:cs="黑体"/>
          <w:color w:val="000000"/>
          <w:sz w:val="32"/>
        </w:rPr>
        <w:t>八、名词解释</w:t>
      </w:r>
    </w:p>
    <w:p w14:paraId="3ACA2B7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A8A4B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F9D3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BB8A6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32F1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1898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97BF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CA7F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014C5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300DD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D94002">
      <w:pPr>
        <w:spacing w:before="10" w:after="10" w:line="240" w:lineRule="auto"/>
        <w:ind w:firstLine="640"/>
        <w:jc w:val="left"/>
        <w:outlineLvl w:val="5"/>
      </w:pPr>
      <w:r>
        <w:rPr>
          <w:rFonts w:ascii="黑体" w:hAnsi="黑体" w:eastAsia="黑体" w:cs="黑体"/>
          <w:color w:val="000000"/>
          <w:sz w:val="32"/>
        </w:rPr>
        <w:t>九、其他需要说明的事项</w:t>
      </w:r>
    </w:p>
    <w:p w14:paraId="741FD66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D2A7CF0">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五、隆尧县东良中学收支预算</w:t>
      </w:r>
      <w:bookmarkEnd w:id="4"/>
    </w:p>
    <w:p w14:paraId="123ABE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25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3338AC">
            <w:pPr>
              <w:pStyle w:val="9"/>
            </w:pPr>
            <w:r>
              <w:t>360006隆尧县东良中学</w:t>
            </w:r>
          </w:p>
        </w:tc>
        <w:tc>
          <w:tcPr>
            <w:tcW w:w="2126" w:type="dxa"/>
            <w:tcBorders>
              <w:top w:val="single" w:color="FFFFFF" w:sz="6" w:space="0"/>
              <w:left w:val="single" w:color="FFFFFF" w:sz="6" w:space="0"/>
              <w:right w:val="single" w:color="FFFFFF" w:sz="6" w:space="0"/>
            </w:tcBorders>
            <w:vAlign w:val="center"/>
          </w:tcPr>
          <w:p w14:paraId="5B50597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0808C1">
            <w:pPr>
              <w:pStyle w:val="7"/>
            </w:pPr>
            <w:r>
              <w:t>单位：万元</w:t>
            </w:r>
          </w:p>
        </w:tc>
      </w:tr>
      <w:tr w14:paraId="39CF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7747BA">
            <w:pPr>
              <w:pStyle w:val="10"/>
            </w:pPr>
            <w:r>
              <w:t>序号</w:t>
            </w:r>
          </w:p>
        </w:tc>
        <w:tc>
          <w:tcPr>
            <w:tcW w:w="6661" w:type="dxa"/>
            <w:gridSpan w:val="2"/>
            <w:vAlign w:val="center"/>
          </w:tcPr>
          <w:p w14:paraId="7F2271F5">
            <w:pPr>
              <w:pStyle w:val="10"/>
            </w:pPr>
            <w:r>
              <w:t>收入</w:t>
            </w:r>
          </w:p>
        </w:tc>
        <w:tc>
          <w:tcPr>
            <w:tcW w:w="6661" w:type="dxa"/>
            <w:gridSpan w:val="2"/>
            <w:vAlign w:val="center"/>
          </w:tcPr>
          <w:p w14:paraId="72182790">
            <w:pPr>
              <w:pStyle w:val="10"/>
            </w:pPr>
            <w:r>
              <w:t>支出</w:t>
            </w:r>
          </w:p>
        </w:tc>
      </w:tr>
      <w:tr w14:paraId="755E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03DE5D"/>
        </w:tc>
        <w:tc>
          <w:tcPr>
            <w:tcW w:w="4535" w:type="dxa"/>
            <w:vAlign w:val="center"/>
          </w:tcPr>
          <w:p w14:paraId="1721114E">
            <w:pPr>
              <w:pStyle w:val="10"/>
            </w:pPr>
            <w:r>
              <w:t>项  目</w:t>
            </w:r>
          </w:p>
        </w:tc>
        <w:tc>
          <w:tcPr>
            <w:tcW w:w="2126" w:type="dxa"/>
            <w:vAlign w:val="center"/>
          </w:tcPr>
          <w:p w14:paraId="433E5A96">
            <w:pPr>
              <w:pStyle w:val="10"/>
            </w:pPr>
            <w:r>
              <w:t>预算数</w:t>
            </w:r>
          </w:p>
        </w:tc>
        <w:tc>
          <w:tcPr>
            <w:tcW w:w="4535" w:type="dxa"/>
            <w:vAlign w:val="center"/>
          </w:tcPr>
          <w:p w14:paraId="2408FAFA">
            <w:pPr>
              <w:pStyle w:val="10"/>
            </w:pPr>
            <w:r>
              <w:t>项  目</w:t>
            </w:r>
          </w:p>
        </w:tc>
        <w:tc>
          <w:tcPr>
            <w:tcW w:w="2126" w:type="dxa"/>
            <w:vAlign w:val="center"/>
          </w:tcPr>
          <w:p w14:paraId="6C54EB75">
            <w:pPr>
              <w:pStyle w:val="10"/>
            </w:pPr>
            <w:r>
              <w:t>预算数</w:t>
            </w:r>
          </w:p>
        </w:tc>
      </w:tr>
      <w:tr w14:paraId="3462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D325A6">
            <w:pPr>
              <w:pStyle w:val="10"/>
            </w:pPr>
            <w:r>
              <w:t>栏次</w:t>
            </w:r>
          </w:p>
        </w:tc>
        <w:tc>
          <w:tcPr>
            <w:tcW w:w="4535" w:type="dxa"/>
            <w:vAlign w:val="center"/>
          </w:tcPr>
          <w:p w14:paraId="0DD6174D">
            <w:pPr>
              <w:pStyle w:val="10"/>
            </w:pPr>
            <w:r>
              <w:t>1</w:t>
            </w:r>
          </w:p>
        </w:tc>
        <w:tc>
          <w:tcPr>
            <w:tcW w:w="2126" w:type="dxa"/>
            <w:vAlign w:val="center"/>
          </w:tcPr>
          <w:p w14:paraId="5BC2C478">
            <w:pPr>
              <w:pStyle w:val="10"/>
            </w:pPr>
            <w:r>
              <w:t>2</w:t>
            </w:r>
          </w:p>
        </w:tc>
        <w:tc>
          <w:tcPr>
            <w:tcW w:w="4535" w:type="dxa"/>
            <w:vAlign w:val="center"/>
          </w:tcPr>
          <w:p w14:paraId="07C51FE0">
            <w:pPr>
              <w:pStyle w:val="10"/>
            </w:pPr>
            <w:r>
              <w:t>3</w:t>
            </w:r>
          </w:p>
        </w:tc>
        <w:tc>
          <w:tcPr>
            <w:tcW w:w="2126" w:type="dxa"/>
            <w:vAlign w:val="center"/>
          </w:tcPr>
          <w:p w14:paraId="05948CAC">
            <w:pPr>
              <w:pStyle w:val="10"/>
            </w:pPr>
            <w:r>
              <w:t>4</w:t>
            </w:r>
          </w:p>
        </w:tc>
      </w:tr>
      <w:tr w14:paraId="1224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DD299">
            <w:pPr>
              <w:pStyle w:val="13"/>
            </w:pPr>
            <w:r>
              <w:t>1</w:t>
            </w:r>
          </w:p>
        </w:tc>
        <w:tc>
          <w:tcPr>
            <w:tcW w:w="4535" w:type="dxa"/>
            <w:vAlign w:val="center"/>
          </w:tcPr>
          <w:p w14:paraId="03E62C72">
            <w:pPr>
              <w:pStyle w:val="12"/>
            </w:pPr>
            <w:r>
              <w:t>一、一般公共预算拨款收入</w:t>
            </w:r>
          </w:p>
        </w:tc>
        <w:tc>
          <w:tcPr>
            <w:tcW w:w="2126" w:type="dxa"/>
            <w:vAlign w:val="center"/>
          </w:tcPr>
          <w:p w14:paraId="727E7768">
            <w:pPr>
              <w:pStyle w:val="11"/>
            </w:pPr>
            <w:r>
              <w:t>1146.78</w:t>
            </w:r>
          </w:p>
        </w:tc>
        <w:tc>
          <w:tcPr>
            <w:tcW w:w="4535" w:type="dxa"/>
            <w:vAlign w:val="center"/>
          </w:tcPr>
          <w:p w14:paraId="45A3681D">
            <w:pPr>
              <w:pStyle w:val="12"/>
            </w:pPr>
            <w:r>
              <w:t>一、一般公共服务支出</w:t>
            </w:r>
          </w:p>
        </w:tc>
        <w:tc>
          <w:tcPr>
            <w:tcW w:w="2126" w:type="dxa"/>
            <w:vAlign w:val="center"/>
          </w:tcPr>
          <w:p w14:paraId="6403EEA7">
            <w:pPr>
              <w:pStyle w:val="11"/>
            </w:pPr>
          </w:p>
        </w:tc>
      </w:tr>
      <w:tr w14:paraId="706F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05D67">
            <w:pPr>
              <w:pStyle w:val="13"/>
            </w:pPr>
            <w:r>
              <w:t>2</w:t>
            </w:r>
          </w:p>
        </w:tc>
        <w:tc>
          <w:tcPr>
            <w:tcW w:w="4535" w:type="dxa"/>
            <w:vAlign w:val="center"/>
          </w:tcPr>
          <w:p w14:paraId="3019E636">
            <w:pPr>
              <w:pStyle w:val="12"/>
            </w:pPr>
            <w:r>
              <w:t>二、政府性基金预算拨款收入</w:t>
            </w:r>
          </w:p>
        </w:tc>
        <w:tc>
          <w:tcPr>
            <w:tcW w:w="2126" w:type="dxa"/>
            <w:vAlign w:val="center"/>
          </w:tcPr>
          <w:p w14:paraId="03ABB509">
            <w:pPr>
              <w:pStyle w:val="11"/>
            </w:pPr>
          </w:p>
        </w:tc>
        <w:tc>
          <w:tcPr>
            <w:tcW w:w="4535" w:type="dxa"/>
            <w:vAlign w:val="center"/>
          </w:tcPr>
          <w:p w14:paraId="0226C9F5">
            <w:pPr>
              <w:pStyle w:val="12"/>
            </w:pPr>
            <w:r>
              <w:t>二、外交支出</w:t>
            </w:r>
          </w:p>
        </w:tc>
        <w:tc>
          <w:tcPr>
            <w:tcW w:w="2126" w:type="dxa"/>
            <w:vAlign w:val="center"/>
          </w:tcPr>
          <w:p w14:paraId="6D0F8D1F">
            <w:pPr>
              <w:pStyle w:val="11"/>
            </w:pPr>
          </w:p>
        </w:tc>
      </w:tr>
      <w:tr w14:paraId="56B7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37243">
            <w:pPr>
              <w:pStyle w:val="13"/>
            </w:pPr>
            <w:r>
              <w:t>3</w:t>
            </w:r>
          </w:p>
        </w:tc>
        <w:tc>
          <w:tcPr>
            <w:tcW w:w="4535" w:type="dxa"/>
            <w:vAlign w:val="center"/>
          </w:tcPr>
          <w:p w14:paraId="7965DA96">
            <w:pPr>
              <w:pStyle w:val="12"/>
            </w:pPr>
            <w:r>
              <w:t>三、国有资本经营预算拨款收入</w:t>
            </w:r>
          </w:p>
        </w:tc>
        <w:tc>
          <w:tcPr>
            <w:tcW w:w="2126" w:type="dxa"/>
            <w:vAlign w:val="center"/>
          </w:tcPr>
          <w:p w14:paraId="2AB62036">
            <w:pPr>
              <w:pStyle w:val="11"/>
            </w:pPr>
          </w:p>
        </w:tc>
        <w:tc>
          <w:tcPr>
            <w:tcW w:w="4535" w:type="dxa"/>
            <w:vAlign w:val="center"/>
          </w:tcPr>
          <w:p w14:paraId="73F3CDC7">
            <w:pPr>
              <w:pStyle w:val="12"/>
            </w:pPr>
            <w:r>
              <w:t>三、国防支出</w:t>
            </w:r>
          </w:p>
        </w:tc>
        <w:tc>
          <w:tcPr>
            <w:tcW w:w="2126" w:type="dxa"/>
            <w:vAlign w:val="center"/>
          </w:tcPr>
          <w:p w14:paraId="4759B278">
            <w:pPr>
              <w:pStyle w:val="11"/>
            </w:pPr>
          </w:p>
        </w:tc>
      </w:tr>
      <w:tr w14:paraId="35B2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BFE79">
            <w:pPr>
              <w:pStyle w:val="13"/>
            </w:pPr>
            <w:r>
              <w:t>4</w:t>
            </w:r>
          </w:p>
        </w:tc>
        <w:tc>
          <w:tcPr>
            <w:tcW w:w="4535" w:type="dxa"/>
            <w:vAlign w:val="center"/>
          </w:tcPr>
          <w:p w14:paraId="5A108F91">
            <w:pPr>
              <w:pStyle w:val="12"/>
            </w:pPr>
            <w:r>
              <w:t>四、财政专户管理资金收入</w:t>
            </w:r>
          </w:p>
        </w:tc>
        <w:tc>
          <w:tcPr>
            <w:tcW w:w="2126" w:type="dxa"/>
            <w:vAlign w:val="center"/>
          </w:tcPr>
          <w:p w14:paraId="20BFFDE9">
            <w:pPr>
              <w:pStyle w:val="11"/>
            </w:pPr>
          </w:p>
        </w:tc>
        <w:tc>
          <w:tcPr>
            <w:tcW w:w="4535" w:type="dxa"/>
            <w:vAlign w:val="center"/>
          </w:tcPr>
          <w:p w14:paraId="14B2A049">
            <w:pPr>
              <w:pStyle w:val="12"/>
            </w:pPr>
            <w:r>
              <w:t>四、公共安全支出</w:t>
            </w:r>
          </w:p>
        </w:tc>
        <w:tc>
          <w:tcPr>
            <w:tcW w:w="2126" w:type="dxa"/>
            <w:vAlign w:val="center"/>
          </w:tcPr>
          <w:p w14:paraId="03194A3A">
            <w:pPr>
              <w:pStyle w:val="11"/>
            </w:pPr>
          </w:p>
        </w:tc>
      </w:tr>
      <w:tr w14:paraId="0291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7EF2">
            <w:pPr>
              <w:pStyle w:val="13"/>
            </w:pPr>
            <w:r>
              <w:t>5</w:t>
            </w:r>
          </w:p>
        </w:tc>
        <w:tc>
          <w:tcPr>
            <w:tcW w:w="4535" w:type="dxa"/>
            <w:vAlign w:val="center"/>
          </w:tcPr>
          <w:p w14:paraId="361B4788">
            <w:pPr>
              <w:pStyle w:val="12"/>
            </w:pPr>
            <w:r>
              <w:t>五、单位资金</w:t>
            </w:r>
          </w:p>
        </w:tc>
        <w:tc>
          <w:tcPr>
            <w:tcW w:w="2126" w:type="dxa"/>
            <w:vAlign w:val="center"/>
          </w:tcPr>
          <w:p w14:paraId="17A3C1C7">
            <w:pPr>
              <w:pStyle w:val="11"/>
            </w:pPr>
          </w:p>
        </w:tc>
        <w:tc>
          <w:tcPr>
            <w:tcW w:w="4535" w:type="dxa"/>
            <w:vAlign w:val="center"/>
          </w:tcPr>
          <w:p w14:paraId="3D99FDE7">
            <w:pPr>
              <w:pStyle w:val="12"/>
            </w:pPr>
            <w:r>
              <w:t>五、教育支出</w:t>
            </w:r>
          </w:p>
        </w:tc>
        <w:tc>
          <w:tcPr>
            <w:tcW w:w="2126" w:type="dxa"/>
            <w:vAlign w:val="center"/>
          </w:tcPr>
          <w:p w14:paraId="2CF40F5A">
            <w:pPr>
              <w:pStyle w:val="11"/>
            </w:pPr>
            <w:r>
              <w:t>1146.78</w:t>
            </w:r>
          </w:p>
        </w:tc>
      </w:tr>
      <w:tr w14:paraId="6493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DE274">
            <w:pPr>
              <w:pStyle w:val="13"/>
            </w:pPr>
            <w:r>
              <w:t>6</w:t>
            </w:r>
          </w:p>
        </w:tc>
        <w:tc>
          <w:tcPr>
            <w:tcW w:w="4535" w:type="dxa"/>
            <w:vAlign w:val="center"/>
          </w:tcPr>
          <w:p w14:paraId="29D34EA8">
            <w:pPr>
              <w:pStyle w:val="12"/>
            </w:pPr>
          </w:p>
        </w:tc>
        <w:tc>
          <w:tcPr>
            <w:tcW w:w="2126" w:type="dxa"/>
            <w:vAlign w:val="center"/>
          </w:tcPr>
          <w:p w14:paraId="603B000D">
            <w:pPr>
              <w:pStyle w:val="11"/>
            </w:pPr>
          </w:p>
        </w:tc>
        <w:tc>
          <w:tcPr>
            <w:tcW w:w="4535" w:type="dxa"/>
            <w:vAlign w:val="center"/>
          </w:tcPr>
          <w:p w14:paraId="7844CC98">
            <w:pPr>
              <w:pStyle w:val="12"/>
            </w:pPr>
            <w:r>
              <w:t>六、科学技术支出</w:t>
            </w:r>
          </w:p>
        </w:tc>
        <w:tc>
          <w:tcPr>
            <w:tcW w:w="2126" w:type="dxa"/>
            <w:vAlign w:val="center"/>
          </w:tcPr>
          <w:p w14:paraId="02554BAB">
            <w:pPr>
              <w:pStyle w:val="11"/>
            </w:pPr>
          </w:p>
        </w:tc>
      </w:tr>
      <w:tr w14:paraId="59B2AF48">
        <w:tblPrEx>
          <w:tblCellMar>
            <w:top w:w="0" w:type="dxa"/>
            <w:left w:w="108" w:type="dxa"/>
            <w:bottom w:w="0" w:type="dxa"/>
            <w:right w:w="108" w:type="dxa"/>
          </w:tblCellMar>
        </w:tblPrEx>
        <w:trPr>
          <w:trHeight w:val="369" w:hRule="atLeast"/>
          <w:jc w:val="center"/>
        </w:trPr>
        <w:tc>
          <w:tcPr>
            <w:tcW w:w="850" w:type="dxa"/>
            <w:vAlign w:val="center"/>
          </w:tcPr>
          <w:p w14:paraId="3FACCE9C">
            <w:pPr>
              <w:pStyle w:val="13"/>
            </w:pPr>
            <w:r>
              <w:t>7</w:t>
            </w:r>
          </w:p>
        </w:tc>
        <w:tc>
          <w:tcPr>
            <w:tcW w:w="4535" w:type="dxa"/>
            <w:vAlign w:val="center"/>
          </w:tcPr>
          <w:p w14:paraId="0CA78745">
            <w:pPr>
              <w:pStyle w:val="12"/>
            </w:pPr>
          </w:p>
        </w:tc>
        <w:tc>
          <w:tcPr>
            <w:tcW w:w="2126" w:type="dxa"/>
            <w:vAlign w:val="center"/>
          </w:tcPr>
          <w:p w14:paraId="27F57BE3">
            <w:pPr>
              <w:pStyle w:val="11"/>
            </w:pPr>
          </w:p>
        </w:tc>
        <w:tc>
          <w:tcPr>
            <w:tcW w:w="4535" w:type="dxa"/>
            <w:vAlign w:val="center"/>
          </w:tcPr>
          <w:p w14:paraId="0F174D8B">
            <w:pPr>
              <w:pStyle w:val="12"/>
            </w:pPr>
            <w:r>
              <w:t>七、文化旅游体育与传媒支出</w:t>
            </w:r>
          </w:p>
        </w:tc>
        <w:tc>
          <w:tcPr>
            <w:tcW w:w="2126" w:type="dxa"/>
            <w:vAlign w:val="center"/>
          </w:tcPr>
          <w:p w14:paraId="2E0F393D">
            <w:pPr>
              <w:pStyle w:val="11"/>
            </w:pPr>
          </w:p>
        </w:tc>
      </w:tr>
      <w:tr w14:paraId="3739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279A">
            <w:pPr>
              <w:pStyle w:val="13"/>
            </w:pPr>
            <w:r>
              <w:t>8</w:t>
            </w:r>
          </w:p>
        </w:tc>
        <w:tc>
          <w:tcPr>
            <w:tcW w:w="4535" w:type="dxa"/>
            <w:vAlign w:val="center"/>
          </w:tcPr>
          <w:p w14:paraId="60A56352">
            <w:pPr>
              <w:pStyle w:val="12"/>
            </w:pPr>
          </w:p>
        </w:tc>
        <w:tc>
          <w:tcPr>
            <w:tcW w:w="2126" w:type="dxa"/>
            <w:vAlign w:val="center"/>
          </w:tcPr>
          <w:p w14:paraId="1D8C9BF2">
            <w:pPr>
              <w:pStyle w:val="11"/>
            </w:pPr>
          </w:p>
        </w:tc>
        <w:tc>
          <w:tcPr>
            <w:tcW w:w="4535" w:type="dxa"/>
            <w:vAlign w:val="center"/>
          </w:tcPr>
          <w:p w14:paraId="53DC33C8">
            <w:pPr>
              <w:pStyle w:val="12"/>
            </w:pPr>
            <w:r>
              <w:t>八、社会保障和就业支出</w:t>
            </w:r>
          </w:p>
        </w:tc>
        <w:tc>
          <w:tcPr>
            <w:tcW w:w="2126" w:type="dxa"/>
            <w:vAlign w:val="center"/>
          </w:tcPr>
          <w:p w14:paraId="410AAB26">
            <w:pPr>
              <w:pStyle w:val="11"/>
            </w:pPr>
          </w:p>
        </w:tc>
      </w:tr>
      <w:tr w14:paraId="0DCC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D68A1">
            <w:pPr>
              <w:pStyle w:val="13"/>
            </w:pPr>
            <w:r>
              <w:t>9</w:t>
            </w:r>
          </w:p>
        </w:tc>
        <w:tc>
          <w:tcPr>
            <w:tcW w:w="4535" w:type="dxa"/>
            <w:vAlign w:val="center"/>
          </w:tcPr>
          <w:p w14:paraId="77D72BBD">
            <w:pPr>
              <w:pStyle w:val="12"/>
            </w:pPr>
          </w:p>
        </w:tc>
        <w:tc>
          <w:tcPr>
            <w:tcW w:w="2126" w:type="dxa"/>
            <w:vAlign w:val="center"/>
          </w:tcPr>
          <w:p w14:paraId="261F5C83">
            <w:pPr>
              <w:pStyle w:val="11"/>
            </w:pPr>
          </w:p>
        </w:tc>
        <w:tc>
          <w:tcPr>
            <w:tcW w:w="4535" w:type="dxa"/>
            <w:vAlign w:val="center"/>
          </w:tcPr>
          <w:p w14:paraId="5C3AA07A">
            <w:pPr>
              <w:pStyle w:val="12"/>
            </w:pPr>
            <w:r>
              <w:t>九、社会保险基金支出</w:t>
            </w:r>
          </w:p>
        </w:tc>
        <w:tc>
          <w:tcPr>
            <w:tcW w:w="2126" w:type="dxa"/>
            <w:vAlign w:val="center"/>
          </w:tcPr>
          <w:p w14:paraId="77D7CC50">
            <w:pPr>
              <w:pStyle w:val="11"/>
            </w:pPr>
          </w:p>
        </w:tc>
      </w:tr>
      <w:tr w14:paraId="2C51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AFCC">
            <w:pPr>
              <w:pStyle w:val="13"/>
            </w:pPr>
            <w:r>
              <w:t>10</w:t>
            </w:r>
          </w:p>
        </w:tc>
        <w:tc>
          <w:tcPr>
            <w:tcW w:w="4535" w:type="dxa"/>
            <w:vAlign w:val="center"/>
          </w:tcPr>
          <w:p w14:paraId="4184E182">
            <w:pPr>
              <w:pStyle w:val="12"/>
            </w:pPr>
          </w:p>
        </w:tc>
        <w:tc>
          <w:tcPr>
            <w:tcW w:w="2126" w:type="dxa"/>
            <w:vAlign w:val="center"/>
          </w:tcPr>
          <w:p w14:paraId="17A71CFB">
            <w:pPr>
              <w:pStyle w:val="11"/>
            </w:pPr>
          </w:p>
        </w:tc>
        <w:tc>
          <w:tcPr>
            <w:tcW w:w="4535" w:type="dxa"/>
            <w:vAlign w:val="center"/>
          </w:tcPr>
          <w:p w14:paraId="09076F4B">
            <w:pPr>
              <w:pStyle w:val="12"/>
            </w:pPr>
            <w:r>
              <w:t>十、卫生健康支出</w:t>
            </w:r>
          </w:p>
        </w:tc>
        <w:tc>
          <w:tcPr>
            <w:tcW w:w="2126" w:type="dxa"/>
            <w:vAlign w:val="center"/>
          </w:tcPr>
          <w:p w14:paraId="2824A7DC">
            <w:pPr>
              <w:pStyle w:val="11"/>
            </w:pPr>
          </w:p>
        </w:tc>
      </w:tr>
      <w:tr w14:paraId="1CE4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F3CEB">
            <w:pPr>
              <w:pStyle w:val="13"/>
            </w:pPr>
            <w:r>
              <w:t>11</w:t>
            </w:r>
          </w:p>
        </w:tc>
        <w:tc>
          <w:tcPr>
            <w:tcW w:w="4535" w:type="dxa"/>
            <w:vAlign w:val="center"/>
          </w:tcPr>
          <w:p w14:paraId="1837C9CC">
            <w:pPr>
              <w:pStyle w:val="12"/>
            </w:pPr>
          </w:p>
        </w:tc>
        <w:tc>
          <w:tcPr>
            <w:tcW w:w="2126" w:type="dxa"/>
            <w:vAlign w:val="center"/>
          </w:tcPr>
          <w:p w14:paraId="31E1748A">
            <w:pPr>
              <w:pStyle w:val="11"/>
            </w:pPr>
          </w:p>
        </w:tc>
        <w:tc>
          <w:tcPr>
            <w:tcW w:w="4535" w:type="dxa"/>
            <w:vAlign w:val="center"/>
          </w:tcPr>
          <w:p w14:paraId="174B177E">
            <w:pPr>
              <w:pStyle w:val="12"/>
            </w:pPr>
            <w:r>
              <w:t>十一、节能环保支出</w:t>
            </w:r>
          </w:p>
        </w:tc>
        <w:tc>
          <w:tcPr>
            <w:tcW w:w="2126" w:type="dxa"/>
            <w:vAlign w:val="center"/>
          </w:tcPr>
          <w:p w14:paraId="7EA530AF">
            <w:pPr>
              <w:pStyle w:val="11"/>
            </w:pPr>
          </w:p>
        </w:tc>
      </w:tr>
      <w:tr w14:paraId="26EEDF48">
        <w:tblPrEx>
          <w:tblCellMar>
            <w:top w:w="0" w:type="dxa"/>
            <w:left w:w="108" w:type="dxa"/>
            <w:bottom w:w="0" w:type="dxa"/>
            <w:right w:w="108" w:type="dxa"/>
          </w:tblCellMar>
        </w:tblPrEx>
        <w:trPr>
          <w:trHeight w:val="369" w:hRule="atLeast"/>
          <w:jc w:val="center"/>
        </w:trPr>
        <w:tc>
          <w:tcPr>
            <w:tcW w:w="850" w:type="dxa"/>
            <w:vAlign w:val="center"/>
          </w:tcPr>
          <w:p w14:paraId="549A7485">
            <w:pPr>
              <w:pStyle w:val="13"/>
            </w:pPr>
            <w:r>
              <w:t>12</w:t>
            </w:r>
          </w:p>
        </w:tc>
        <w:tc>
          <w:tcPr>
            <w:tcW w:w="4535" w:type="dxa"/>
            <w:vAlign w:val="center"/>
          </w:tcPr>
          <w:p w14:paraId="0FC1B5CC">
            <w:pPr>
              <w:pStyle w:val="12"/>
            </w:pPr>
          </w:p>
        </w:tc>
        <w:tc>
          <w:tcPr>
            <w:tcW w:w="2126" w:type="dxa"/>
            <w:vAlign w:val="center"/>
          </w:tcPr>
          <w:p w14:paraId="34504000">
            <w:pPr>
              <w:pStyle w:val="11"/>
            </w:pPr>
          </w:p>
        </w:tc>
        <w:tc>
          <w:tcPr>
            <w:tcW w:w="4535" w:type="dxa"/>
            <w:vAlign w:val="center"/>
          </w:tcPr>
          <w:p w14:paraId="55350DFD">
            <w:pPr>
              <w:pStyle w:val="12"/>
            </w:pPr>
            <w:r>
              <w:t>十二、城乡社区支出</w:t>
            </w:r>
          </w:p>
        </w:tc>
        <w:tc>
          <w:tcPr>
            <w:tcW w:w="2126" w:type="dxa"/>
            <w:vAlign w:val="center"/>
          </w:tcPr>
          <w:p w14:paraId="513659B2">
            <w:pPr>
              <w:pStyle w:val="11"/>
            </w:pPr>
          </w:p>
        </w:tc>
      </w:tr>
      <w:tr w14:paraId="7EA4868A">
        <w:tblPrEx>
          <w:tblCellMar>
            <w:top w:w="0" w:type="dxa"/>
            <w:left w:w="108" w:type="dxa"/>
            <w:bottom w:w="0" w:type="dxa"/>
            <w:right w:w="108" w:type="dxa"/>
          </w:tblCellMar>
        </w:tblPrEx>
        <w:trPr>
          <w:trHeight w:val="369" w:hRule="atLeast"/>
          <w:jc w:val="center"/>
        </w:trPr>
        <w:tc>
          <w:tcPr>
            <w:tcW w:w="850" w:type="dxa"/>
            <w:vAlign w:val="center"/>
          </w:tcPr>
          <w:p w14:paraId="0845706B">
            <w:pPr>
              <w:pStyle w:val="13"/>
            </w:pPr>
            <w:r>
              <w:t>13</w:t>
            </w:r>
          </w:p>
        </w:tc>
        <w:tc>
          <w:tcPr>
            <w:tcW w:w="4535" w:type="dxa"/>
            <w:vAlign w:val="center"/>
          </w:tcPr>
          <w:p w14:paraId="327DB1B5">
            <w:pPr>
              <w:pStyle w:val="12"/>
            </w:pPr>
          </w:p>
        </w:tc>
        <w:tc>
          <w:tcPr>
            <w:tcW w:w="2126" w:type="dxa"/>
            <w:vAlign w:val="center"/>
          </w:tcPr>
          <w:p w14:paraId="109876D3">
            <w:pPr>
              <w:pStyle w:val="11"/>
            </w:pPr>
          </w:p>
        </w:tc>
        <w:tc>
          <w:tcPr>
            <w:tcW w:w="4535" w:type="dxa"/>
            <w:vAlign w:val="center"/>
          </w:tcPr>
          <w:p w14:paraId="0E7397DD">
            <w:pPr>
              <w:pStyle w:val="12"/>
            </w:pPr>
            <w:r>
              <w:t>十三、农林水支出</w:t>
            </w:r>
          </w:p>
        </w:tc>
        <w:tc>
          <w:tcPr>
            <w:tcW w:w="2126" w:type="dxa"/>
            <w:vAlign w:val="center"/>
          </w:tcPr>
          <w:p w14:paraId="435CD267">
            <w:pPr>
              <w:pStyle w:val="11"/>
            </w:pPr>
          </w:p>
        </w:tc>
      </w:tr>
      <w:tr w14:paraId="504A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AE195">
            <w:pPr>
              <w:pStyle w:val="13"/>
            </w:pPr>
            <w:r>
              <w:t>14</w:t>
            </w:r>
          </w:p>
        </w:tc>
        <w:tc>
          <w:tcPr>
            <w:tcW w:w="4535" w:type="dxa"/>
            <w:vAlign w:val="center"/>
          </w:tcPr>
          <w:p w14:paraId="59BF56E7">
            <w:pPr>
              <w:pStyle w:val="12"/>
            </w:pPr>
          </w:p>
        </w:tc>
        <w:tc>
          <w:tcPr>
            <w:tcW w:w="2126" w:type="dxa"/>
            <w:vAlign w:val="center"/>
          </w:tcPr>
          <w:p w14:paraId="101499F6">
            <w:pPr>
              <w:pStyle w:val="11"/>
            </w:pPr>
          </w:p>
        </w:tc>
        <w:tc>
          <w:tcPr>
            <w:tcW w:w="4535" w:type="dxa"/>
            <w:vAlign w:val="center"/>
          </w:tcPr>
          <w:p w14:paraId="459AABC6">
            <w:pPr>
              <w:pStyle w:val="12"/>
            </w:pPr>
            <w:r>
              <w:t>十四、交通运输支出</w:t>
            </w:r>
          </w:p>
        </w:tc>
        <w:tc>
          <w:tcPr>
            <w:tcW w:w="2126" w:type="dxa"/>
            <w:vAlign w:val="center"/>
          </w:tcPr>
          <w:p w14:paraId="38B28E20">
            <w:pPr>
              <w:pStyle w:val="11"/>
            </w:pPr>
          </w:p>
        </w:tc>
      </w:tr>
      <w:tr w14:paraId="7CC27BC5">
        <w:tblPrEx>
          <w:tblCellMar>
            <w:top w:w="0" w:type="dxa"/>
            <w:left w:w="108" w:type="dxa"/>
            <w:bottom w:w="0" w:type="dxa"/>
            <w:right w:w="108" w:type="dxa"/>
          </w:tblCellMar>
        </w:tblPrEx>
        <w:trPr>
          <w:trHeight w:val="369" w:hRule="atLeast"/>
          <w:jc w:val="center"/>
        </w:trPr>
        <w:tc>
          <w:tcPr>
            <w:tcW w:w="850" w:type="dxa"/>
            <w:vAlign w:val="center"/>
          </w:tcPr>
          <w:p w14:paraId="61913CCB">
            <w:pPr>
              <w:pStyle w:val="13"/>
            </w:pPr>
            <w:r>
              <w:t>15</w:t>
            </w:r>
          </w:p>
        </w:tc>
        <w:tc>
          <w:tcPr>
            <w:tcW w:w="4535" w:type="dxa"/>
            <w:vAlign w:val="center"/>
          </w:tcPr>
          <w:p w14:paraId="5001B076">
            <w:pPr>
              <w:pStyle w:val="12"/>
            </w:pPr>
          </w:p>
        </w:tc>
        <w:tc>
          <w:tcPr>
            <w:tcW w:w="2126" w:type="dxa"/>
            <w:vAlign w:val="center"/>
          </w:tcPr>
          <w:p w14:paraId="6487F2D7">
            <w:pPr>
              <w:pStyle w:val="11"/>
            </w:pPr>
          </w:p>
        </w:tc>
        <w:tc>
          <w:tcPr>
            <w:tcW w:w="4535" w:type="dxa"/>
            <w:vAlign w:val="center"/>
          </w:tcPr>
          <w:p w14:paraId="13A9E781">
            <w:pPr>
              <w:pStyle w:val="12"/>
            </w:pPr>
            <w:r>
              <w:t>十五、资源勘探工业信息等支出</w:t>
            </w:r>
          </w:p>
        </w:tc>
        <w:tc>
          <w:tcPr>
            <w:tcW w:w="2126" w:type="dxa"/>
            <w:vAlign w:val="center"/>
          </w:tcPr>
          <w:p w14:paraId="1200509B">
            <w:pPr>
              <w:pStyle w:val="11"/>
            </w:pPr>
          </w:p>
        </w:tc>
      </w:tr>
      <w:tr w14:paraId="541D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83690">
            <w:pPr>
              <w:pStyle w:val="13"/>
            </w:pPr>
            <w:r>
              <w:t>16</w:t>
            </w:r>
          </w:p>
        </w:tc>
        <w:tc>
          <w:tcPr>
            <w:tcW w:w="4535" w:type="dxa"/>
            <w:vAlign w:val="center"/>
          </w:tcPr>
          <w:p w14:paraId="6132E215">
            <w:pPr>
              <w:pStyle w:val="12"/>
            </w:pPr>
          </w:p>
        </w:tc>
        <w:tc>
          <w:tcPr>
            <w:tcW w:w="2126" w:type="dxa"/>
            <w:vAlign w:val="center"/>
          </w:tcPr>
          <w:p w14:paraId="003E2371">
            <w:pPr>
              <w:pStyle w:val="11"/>
            </w:pPr>
          </w:p>
        </w:tc>
        <w:tc>
          <w:tcPr>
            <w:tcW w:w="4535" w:type="dxa"/>
            <w:vAlign w:val="center"/>
          </w:tcPr>
          <w:p w14:paraId="4BC9BD3D">
            <w:pPr>
              <w:pStyle w:val="12"/>
            </w:pPr>
            <w:r>
              <w:t>十六、商业服务业等支出</w:t>
            </w:r>
          </w:p>
        </w:tc>
        <w:tc>
          <w:tcPr>
            <w:tcW w:w="2126" w:type="dxa"/>
            <w:vAlign w:val="center"/>
          </w:tcPr>
          <w:p w14:paraId="214958C8">
            <w:pPr>
              <w:pStyle w:val="11"/>
            </w:pPr>
          </w:p>
        </w:tc>
      </w:tr>
      <w:tr w14:paraId="0B66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DCEC2">
            <w:pPr>
              <w:pStyle w:val="13"/>
            </w:pPr>
            <w:r>
              <w:t>17</w:t>
            </w:r>
          </w:p>
        </w:tc>
        <w:tc>
          <w:tcPr>
            <w:tcW w:w="4535" w:type="dxa"/>
            <w:vAlign w:val="center"/>
          </w:tcPr>
          <w:p w14:paraId="572AE08D">
            <w:pPr>
              <w:pStyle w:val="12"/>
            </w:pPr>
          </w:p>
        </w:tc>
        <w:tc>
          <w:tcPr>
            <w:tcW w:w="2126" w:type="dxa"/>
            <w:vAlign w:val="center"/>
          </w:tcPr>
          <w:p w14:paraId="056FDA9F">
            <w:pPr>
              <w:pStyle w:val="11"/>
            </w:pPr>
          </w:p>
        </w:tc>
        <w:tc>
          <w:tcPr>
            <w:tcW w:w="4535" w:type="dxa"/>
            <w:vAlign w:val="center"/>
          </w:tcPr>
          <w:p w14:paraId="2434A3AA">
            <w:pPr>
              <w:pStyle w:val="12"/>
            </w:pPr>
            <w:r>
              <w:t>十七、金融支出</w:t>
            </w:r>
          </w:p>
        </w:tc>
        <w:tc>
          <w:tcPr>
            <w:tcW w:w="2126" w:type="dxa"/>
            <w:vAlign w:val="center"/>
          </w:tcPr>
          <w:p w14:paraId="3A849A08">
            <w:pPr>
              <w:pStyle w:val="11"/>
            </w:pPr>
          </w:p>
        </w:tc>
      </w:tr>
      <w:tr w14:paraId="5DE0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CA4B3">
            <w:pPr>
              <w:pStyle w:val="13"/>
            </w:pPr>
            <w:r>
              <w:t>18</w:t>
            </w:r>
          </w:p>
        </w:tc>
        <w:tc>
          <w:tcPr>
            <w:tcW w:w="4535" w:type="dxa"/>
            <w:vAlign w:val="center"/>
          </w:tcPr>
          <w:p w14:paraId="4103F1F7">
            <w:pPr>
              <w:pStyle w:val="12"/>
            </w:pPr>
          </w:p>
        </w:tc>
        <w:tc>
          <w:tcPr>
            <w:tcW w:w="2126" w:type="dxa"/>
            <w:vAlign w:val="center"/>
          </w:tcPr>
          <w:p w14:paraId="1FBBE2C9">
            <w:pPr>
              <w:pStyle w:val="11"/>
            </w:pPr>
          </w:p>
        </w:tc>
        <w:tc>
          <w:tcPr>
            <w:tcW w:w="4535" w:type="dxa"/>
            <w:vAlign w:val="center"/>
          </w:tcPr>
          <w:p w14:paraId="0594F3F8">
            <w:pPr>
              <w:pStyle w:val="12"/>
            </w:pPr>
            <w:r>
              <w:t>十八、援助其他地区支出</w:t>
            </w:r>
          </w:p>
        </w:tc>
        <w:tc>
          <w:tcPr>
            <w:tcW w:w="2126" w:type="dxa"/>
            <w:vAlign w:val="center"/>
          </w:tcPr>
          <w:p w14:paraId="77088779">
            <w:pPr>
              <w:pStyle w:val="11"/>
            </w:pPr>
          </w:p>
        </w:tc>
      </w:tr>
      <w:tr w14:paraId="11CEC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73614">
            <w:pPr>
              <w:pStyle w:val="13"/>
            </w:pPr>
            <w:r>
              <w:t>19</w:t>
            </w:r>
          </w:p>
        </w:tc>
        <w:tc>
          <w:tcPr>
            <w:tcW w:w="4535" w:type="dxa"/>
            <w:vAlign w:val="center"/>
          </w:tcPr>
          <w:p w14:paraId="657ADDB1">
            <w:pPr>
              <w:pStyle w:val="12"/>
            </w:pPr>
          </w:p>
        </w:tc>
        <w:tc>
          <w:tcPr>
            <w:tcW w:w="2126" w:type="dxa"/>
            <w:vAlign w:val="center"/>
          </w:tcPr>
          <w:p w14:paraId="202CC14F">
            <w:pPr>
              <w:pStyle w:val="11"/>
            </w:pPr>
          </w:p>
        </w:tc>
        <w:tc>
          <w:tcPr>
            <w:tcW w:w="4535" w:type="dxa"/>
            <w:vAlign w:val="center"/>
          </w:tcPr>
          <w:p w14:paraId="004452F8">
            <w:pPr>
              <w:pStyle w:val="12"/>
            </w:pPr>
            <w:r>
              <w:t>十九、自然资源海洋气象等支出</w:t>
            </w:r>
          </w:p>
        </w:tc>
        <w:tc>
          <w:tcPr>
            <w:tcW w:w="2126" w:type="dxa"/>
            <w:vAlign w:val="center"/>
          </w:tcPr>
          <w:p w14:paraId="311C89C5">
            <w:pPr>
              <w:pStyle w:val="11"/>
            </w:pPr>
          </w:p>
        </w:tc>
      </w:tr>
      <w:tr w14:paraId="32AF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CC5ED">
            <w:pPr>
              <w:pStyle w:val="13"/>
            </w:pPr>
            <w:r>
              <w:t>20</w:t>
            </w:r>
          </w:p>
        </w:tc>
        <w:tc>
          <w:tcPr>
            <w:tcW w:w="4535" w:type="dxa"/>
            <w:vAlign w:val="center"/>
          </w:tcPr>
          <w:p w14:paraId="2E05A6F6">
            <w:pPr>
              <w:pStyle w:val="12"/>
            </w:pPr>
          </w:p>
        </w:tc>
        <w:tc>
          <w:tcPr>
            <w:tcW w:w="2126" w:type="dxa"/>
            <w:vAlign w:val="center"/>
          </w:tcPr>
          <w:p w14:paraId="13BD19A1">
            <w:pPr>
              <w:pStyle w:val="11"/>
            </w:pPr>
          </w:p>
        </w:tc>
        <w:tc>
          <w:tcPr>
            <w:tcW w:w="4535" w:type="dxa"/>
            <w:vAlign w:val="center"/>
          </w:tcPr>
          <w:p w14:paraId="0C3F15BD">
            <w:pPr>
              <w:pStyle w:val="12"/>
            </w:pPr>
            <w:r>
              <w:t>二十、住房保障支出</w:t>
            </w:r>
          </w:p>
        </w:tc>
        <w:tc>
          <w:tcPr>
            <w:tcW w:w="2126" w:type="dxa"/>
            <w:vAlign w:val="center"/>
          </w:tcPr>
          <w:p w14:paraId="0421FAAD">
            <w:pPr>
              <w:pStyle w:val="11"/>
            </w:pPr>
          </w:p>
        </w:tc>
      </w:tr>
      <w:tr w14:paraId="1059609E">
        <w:tblPrEx>
          <w:tblCellMar>
            <w:top w:w="0" w:type="dxa"/>
            <w:left w:w="108" w:type="dxa"/>
            <w:bottom w:w="0" w:type="dxa"/>
            <w:right w:w="108" w:type="dxa"/>
          </w:tblCellMar>
        </w:tblPrEx>
        <w:trPr>
          <w:trHeight w:val="369" w:hRule="atLeast"/>
          <w:jc w:val="center"/>
        </w:trPr>
        <w:tc>
          <w:tcPr>
            <w:tcW w:w="850" w:type="dxa"/>
            <w:vAlign w:val="center"/>
          </w:tcPr>
          <w:p w14:paraId="3375B616">
            <w:pPr>
              <w:pStyle w:val="13"/>
            </w:pPr>
            <w:r>
              <w:t>21</w:t>
            </w:r>
          </w:p>
        </w:tc>
        <w:tc>
          <w:tcPr>
            <w:tcW w:w="4535" w:type="dxa"/>
            <w:vAlign w:val="center"/>
          </w:tcPr>
          <w:p w14:paraId="63CD536B">
            <w:pPr>
              <w:pStyle w:val="12"/>
            </w:pPr>
          </w:p>
        </w:tc>
        <w:tc>
          <w:tcPr>
            <w:tcW w:w="2126" w:type="dxa"/>
            <w:vAlign w:val="center"/>
          </w:tcPr>
          <w:p w14:paraId="399F4041">
            <w:pPr>
              <w:pStyle w:val="11"/>
            </w:pPr>
          </w:p>
        </w:tc>
        <w:tc>
          <w:tcPr>
            <w:tcW w:w="4535" w:type="dxa"/>
            <w:vAlign w:val="center"/>
          </w:tcPr>
          <w:p w14:paraId="083E5DE2">
            <w:pPr>
              <w:pStyle w:val="12"/>
            </w:pPr>
            <w:r>
              <w:t>二十一、粮油物资储备支出</w:t>
            </w:r>
          </w:p>
        </w:tc>
        <w:tc>
          <w:tcPr>
            <w:tcW w:w="2126" w:type="dxa"/>
            <w:vAlign w:val="center"/>
          </w:tcPr>
          <w:p w14:paraId="62C4B232">
            <w:pPr>
              <w:pStyle w:val="11"/>
            </w:pPr>
          </w:p>
        </w:tc>
      </w:tr>
      <w:tr w14:paraId="6139F05B">
        <w:tblPrEx>
          <w:tblCellMar>
            <w:top w:w="0" w:type="dxa"/>
            <w:left w:w="108" w:type="dxa"/>
            <w:bottom w:w="0" w:type="dxa"/>
            <w:right w:w="108" w:type="dxa"/>
          </w:tblCellMar>
        </w:tblPrEx>
        <w:trPr>
          <w:trHeight w:val="369" w:hRule="atLeast"/>
          <w:jc w:val="center"/>
        </w:trPr>
        <w:tc>
          <w:tcPr>
            <w:tcW w:w="850" w:type="dxa"/>
            <w:vAlign w:val="center"/>
          </w:tcPr>
          <w:p w14:paraId="070A3BB9">
            <w:pPr>
              <w:pStyle w:val="13"/>
            </w:pPr>
            <w:r>
              <w:t>22</w:t>
            </w:r>
          </w:p>
        </w:tc>
        <w:tc>
          <w:tcPr>
            <w:tcW w:w="4535" w:type="dxa"/>
            <w:vAlign w:val="center"/>
          </w:tcPr>
          <w:p w14:paraId="56140EA1">
            <w:pPr>
              <w:pStyle w:val="12"/>
            </w:pPr>
          </w:p>
        </w:tc>
        <w:tc>
          <w:tcPr>
            <w:tcW w:w="2126" w:type="dxa"/>
            <w:vAlign w:val="center"/>
          </w:tcPr>
          <w:p w14:paraId="58978CDB">
            <w:pPr>
              <w:pStyle w:val="11"/>
            </w:pPr>
          </w:p>
        </w:tc>
        <w:tc>
          <w:tcPr>
            <w:tcW w:w="4535" w:type="dxa"/>
            <w:vAlign w:val="center"/>
          </w:tcPr>
          <w:p w14:paraId="6CDE40ED">
            <w:pPr>
              <w:pStyle w:val="12"/>
            </w:pPr>
            <w:r>
              <w:t>二十二、国有资本经营预算支出</w:t>
            </w:r>
          </w:p>
        </w:tc>
        <w:tc>
          <w:tcPr>
            <w:tcW w:w="2126" w:type="dxa"/>
            <w:vAlign w:val="center"/>
          </w:tcPr>
          <w:p w14:paraId="5C2CBAEA">
            <w:pPr>
              <w:pStyle w:val="11"/>
            </w:pPr>
          </w:p>
        </w:tc>
      </w:tr>
      <w:tr w14:paraId="1640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2EB89">
            <w:pPr>
              <w:pStyle w:val="13"/>
            </w:pPr>
            <w:r>
              <w:t>23</w:t>
            </w:r>
          </w:p>
        </w:tc>
        <w:tc>
          <w:tcPr>
            <w:tcW w:w="4535" w:type="dxa"/>
            <w:vAlign w:val="center"/>
          </w:tcPr>
          <w:p w14:paraId="585DD280">
            <w:pPr>
              <w:pStyle w:val="12"/>
            </w:pPr>
          </w:p>
        </w:tc>
        <w:tc>
          <w:tcPr>
            <w:tcW w:w="2126" w:type="dxa"/>
            <w:vAlign w:val="center"/>
          </w:tcPr>
          <w:p w14:paraId="2228E321">
            <w:pPr>
              <w:pStyle w:val="11"/>
            </w:pPr>
          </w:p>
        </w:tc>
        <w:tc>
          <w:tcPr>
            <w:tcW w:w="4535" w:type="dxa"/>
            <w:vAlign w:val="center"/>
          </w:tcPr>
          <w:p w14:paraId="52B73F40">
            <w:pPr>
              <w:pStyle w:val="12"/>
            </w:pPr>
            <w:r>
              <w:t>二十三、灾害防治及应急管理支出</w:t>
            </w:r>
          </w:p>
        </w:tc>
        <w:tc>
          <w:tcPr>
            <w:tcW w:w="2126" w:type="dxa"/>
            <w:vAlign w:val="center"/>
          </w:tcPr>
          <w:p w14:paraId="0A264246">
            <w:pPr>
              <w:pStyle w:val="11"/>
            </w:pPr>
          </w:p>
        </w:tc>
      </w:tr>
      <w:tr w14:paraId="2571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30A79">
            <w:pPr>
              <w:pStyle w:val="13"/>
            </w:pPr>
            <w:r>
              <w:t>24</w:t>
            </w:r>
          </w:p>
        </w:tc>
        <w:tc>
          <w:tcPr>
            <w:tcW w:w="4535" w:type="dxa"/>
            <w:vAlign w:val="center"/>
          </w:tcPr>
          <w:p w14:paraId="647CB254">
            <w:pPr>
              <w:pStyle w:val="12"/>
            </w:pPr>
          </w:p>
        </w:tc>
        <w:tc>
          <w:tcPr>
            <w:tcW w:w="2126" w:type="dxa"/>
            <w:vAlign w:val="center"/>
          </w:tcPr>
          <w:p w14:paraId="4C97B035">
            <w:pPr>
              <w:pStyle w:val="11"/>
            </w:pPr>
          </w:p>
        </w:tc>
        <w:tc>
          <w:tcPr>
            <w:tcW w:w="4535" w:type="dxa"/>
            <w:vAlign w:val="center"/>
          </w:tcPr>
          <w:p w14:paraId="466F8804">
            <w:pPr>
              <w:pStyle w:val="12"/>
            </w:pPr>
            <w:r>
              <w:t>二十四、预备费</w:t>
            </w:r>
          </w:p>
        </w:tc>
        <w:tc>
          <w:tcPr>
            <w:tcW w:w="2126" w:type="dxa"/>
            <w:vAlign w:val="center"/>
          </w:tcPr>
          <w:p w14:paraId="10DA77B3">
            <w:pPr>
              <w:pStyle w:val="11"/>
            </w:pPr>
          </w:p>
        </w:tc>
      </w:tr>
      <w:tr w14:paraId="284E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C4BE7">
            <w:pPr>
              <w:pStyle w:val="13"/>
            </w:pPr>
            <w:r>
              <w:t>25</w:t>
            </w:r>
          </w:p>
        </w:tc>
        <w:tc>
          <w:tcPr>
            <w:tcW w:w="4535" w:type="dxa"/>
            <w:vAlign w:val="center"/>
          </w:tcPr>
          <w:p w14:paraId="1A3EC5FA">
            <w:pPr>
              <w:pStyle w:val="12"/>
            </w:pPr>
          </w:p>
        </w:tc>
        <w:tc>
          <w:tcPr>
            <w:tcW w:w="2126" w:type="dxa"/>
            <w:vAlign w:val="center"/>
          </w:tcPr>
          <w:p w14:paraId="05476460">
            <w:pPr>
              <w:pStyle w:val="11"/>
            </w:pPr>
          </w:p>
        </w:tc>
        <w:tc>
          <w:tcPr>
            <w:tcW w:w="4535" w:type="dxa"/>
            <w:vAlign w:val="center"/>
          </w:tcPr>
          <w:p w14:paraId="4E54D66E">
            <w:pPr>
              <w:pStyle w:val="12"/>
            </w:pPr>
            <w:r>
              <w:t>二十五、其他支出</w:t>
            </w:r>
          </w:p>
        </w:tc>
        <w:tc>
          <w:tcPr>
            <w:tcW w:w="2126" w:type="dxa"/>
            <w:vAlign w:val="center"/>
          </w:tcPr>
          <w:p w14:paraId="1E346ECB">
            <w:pPr>
              <w:pStyle w:val="11"/>
            </w:pPr>
          </w:p>
        </w:tc>
      </w:tr>
      <w:tr w14:paraId="1214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DC18">
            <w:pPr>
              <w:pStyle w:val="13"/>
            </w:pPr>
            <w:r>
              <w:t>26</w:t>
            </w:r>
          </w:p>
        </w:tc>
        <w:tc>
          <w:tcPr>
            <w:tcW w:w="4535" w:type="dxa"/>
            <w:vAlign w:val="center"/>
          </w:tcPr>
          <w:p w14:paraId="461434E4">
            <w:pPr>
              <w:pStyle w:val="12"/>
            </w:pPr>
          </w:p>
        </w:tc>
        <w:tc>
          <w:tcPr>
            <w:tcW w:w="2126" w:type="dxa"/>
            <w:vAlign w:val="center"/>
          </w:tcPr>
          <w:p w14:paraId="44BE9055">
            <w:pPr>
              <w:pStyle w:val="11"/>
            </w:pPr>
          </w:p>
        </w:tc>
        <w:tc>
          <w:tcPr>
            <w:tcW w:w="4535" w:type="dxa"/>
            <w:vAlign w:val="center"/>
          </w:tcPr>
          <w:p w14:paraId="459249B6">
            <w:pPr>
              <w:pStyle w:val="12"/>
            </w:pPr>
            <w:r>
              <w:t>二十六、转移性支出</w:t>
            </w:r>
          </w:p>
        </w:tc>
        <w:tc>
          <w:tcPr>
            <w:tcW w:w="2126" w:type="dxa"/>
            <w:vAlign w:val="center"/>
          </w:tcPr>
          <w:p w14:paraId="0783ECF7">
            <w:pPr>
              <w:pStyle w:val="11"/>
            </w:pPr>
          </w:p>
        </w:tc>
      </w:tr>
      <w:tr w14:paraId="6755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E72FA">
            <w:pPr>
              <w:pStyle w:val="13"/>
            </w:pPr>
            <w:r>
              <w:t>27</w:t>
            </w:r>
          </w:p>
        </w:tc>
        <w:tc>
          <w:tcPr>
            <w:tcW w:w="4535" w:type="dxa"/>
            <w:vAlign w:val="center"/>
          </w:tcPr>
          <w:p w14:paraId="653C1D23">
            <w:pPr>
              <w:pStyle w:val="12"/>
            </w:pPr>
          </w:p>
        </w:tc>
        <w:tc>
          <w:tcPr>
            <w:tcW w:w="2126" w:type="dxa"/>
            <w:vAlign w:val="center"/>
          </w:tcPr>
          <w:p w14:paraId="5E731725">
            <w:pPr>
              <w:pStyle w:val="11"/>
            </w:pPr>
          </w:p>
        </w:tc>
        <w:tc>
          <w:tcPr>
            <w:tcW w:w="4535" w:type="dxa"/>
            <w:vAlign w:val="center"/>
          </w:tcPr>
          <w:p w14:paraId="2B972051">
            <w:pPr>
              <w:pStyle w:val="12"/>
            </w:pPr>
            <w:r>
              <w:t>二十七、债务还本支出</w:t>
            </w:r>
          </w:p>
        </w:tc>
        <w:tc>
          <w:tcPr>
            <w:tcW w:w="2126" w:type="dxa"/>
            <w:vAlign w:val="center"/>
          </w:tcPr>
          <w:p w14:paraId="3C4EF5CA">
            <w:pPr>
              <w:pStyle w:val="11"/>
            </w:pPr>
          </w:p>
        </w:tc>
      </w:tr>
      <w:tr w14:paraId="75DF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4B9F1">
            <w:pPr>
              <w:pStyle w:val="13"/>
            </w:pPr>
            <w:r>
              <w:t>28</w:t>
            </w:r>
          </w:p>
        </w:tc>
        <w:tc>
          <w:tcPr>
            <w:tcW w:w="4535" w:type="dxa"/>
            <w:vAlign w:val="center"/>
          </w:tcPr>
          <w:p w14:paraId="0B8C5C36">
            <w:pPr>
              <w:pStyle w:val="12"/>
            </w:pPr>
          </w:p>
        </w:tc>
        <w:tc>
          <w:tcPr>
            <w:tcW w:w="2126" w:type="dxa"/>
            <w:vAlign w:val="center"/>
          </w:tcPr>
          <w:p w14:paraId="21E1832C">
            <w:pPr>
              <w:pStyle w:val="11"/>
            </w:pPr>
          </w:p>
        </w:tc>
        <w:tc>
          <w:tcPr>
            <w:tcW w:w="4535" w:type="dxa"/>
            <w:vAlign w:val="center"/>
          </w:tcPr>
          <w:p w14:paraId="6D5A61D2">
            <w:pPr>
              <w:pStyle w:val="12"/>
            </w:pPr>
            <w:r>
              <w:t>二十八、债务付息支出</w:t>
            </w:r>
          </w:p>
        </w:tc>
        <w:tc>
          <w:tcPr>
            <w:tcW w:w="2126" w:type="dxa"/>
            <w:vAlign w:val="center"/>
          </w:tcPr>
          <w:p w14:paraId="6CDFE98D">
            <w:pPr>
              <w:pStyle w:val="11"/>
            </w:pPr>
          </w:p>
        </w:tc>
      </w:tr>
      <w:tr w14:paraId="113E341D">
        <w:tblPrEx>
          <w:tblCellMar>
            <w:top w:w="0" w:type="dxa"/>
            <w:left w:w="108" w:type="dxa"/>
            <w:bottom w:w="0" w:type="dxa"/>
            <w:right w:w="108" w:type="dxa"/>
          </w:tblCellMar>
        </w:tblPrEx>
        <w:trPr>
          <w:trHeight w:val="369" w:hRule="atLeast"/>
          <w:jc w:val="center"/>
        </w:trPr>
        <w:tc>
          <w:tcPr>
            <w:tcW w:w="850" w:type="dxa"/>
            <w:vAlign w:val="center"/>
          </w:tcPr>
          <w:p w14:paraId="35A59AF1">
            <w:pPr>
              <w:pStyle w:val="13"/>
            </w:pPr>
            <w:r>
              <w:t>29</w:t>
            </w:r>
          </w:p>
        </w:tc>
        <w:tc>
          <w:tcPr>
            <w:tcW w:w="4535" w:type="dxa"/>
            <w:vAlign w:val="center"/>
          </w:tcPr>
          <w:p w14:paraId="72303EAC">
            <w:pPr>
              <w:pStyle w:val="12"/>
            </w:pPr>
          </w:p>
        </w:tc>
        <w:tc>
          <w:tcPr>
            <w:tcW w:w="2126" w:type="dxa"/>
            <w:vAlign w:val="center"/>
          </w:tcPr>
          <w:p w14:paraId="667ACF01">
            <w:pPr>
              <w:pStyle w:val="11"/>
            </w:pPr>
          </w:p>
        </w:tc>
        <w:tc>
          <w:tcPr>
            <w:tcW w:w="4535" w:type="dxa"/>
            <w:vAlign w:val="center"/>
          </w:tcPr>
          <w:p w14:paraId="59E57C0E">
            <w:pPr>
              <w:pStyle w:val="12"/>
            </w:pPr>
            <w:r>
              <w:t>二十九、债务发行费用支出</w:t>
            </w:r>
          </w:p>
        </w:tc>
        <w:tc>
          <w:tcPr>
            <w:tcW w:w="2126" w:type="dxa"/>
            <w:vAlign w:val="center"/>
          </w:tcPr>
          <w:p w14:paraId="2BF5B855">
            <w:pPr>
              <w:pStyle w:val="11"/>
            </w:pPr>
          </w:p>
        </w:tc>
      </w:tr>
      <w:tr w14:paraId="080E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E833">
            <w:pPr>
              <w:pStyle w:val="13"/>
            </w:pPr>
            <w:r>
              <w:t>30</w:t>
            </w:r>
          </w:p>
        </w:tc>
        <w:tc>
          <w:tcPr>
            <w:tcW w:w="4535" w:type="dxa"/>
            <w:vAlign w:val="center"/>
          </w:tcPr>
          <w:p w14:paraId="2249146E">
            <w:pPr>
              <w:pStyle w:val="12"/>
            </w:pPr>
          </w:p>
        </w:tc>
        <w:tc>
          <w:tcPr>
            <w:tcW w:w="2126" w:type="dxa"/>
            <w:vAlign w:val="center"/>
          </w:tcPr>
          <w:p w14:paraId="5EAE8CCF">
            <w:pPr>
              <w:pStyle w:val="11"/>
            </w:pPr>
          </w:p>
        </w:tc>
        <w:tc>
          <w:tcPr>
            <w:tcW w:w="4535" w:type="dxa"/>
            <w:vAlign w:val="center"/>
          </w:tcPr>
          <w:p w14:paraId="53DBDC24">
            <w:pPr>
              <w:pStyle w:val="12"/>
            </w:pPr>
            <w:r>
              <w:t>三十、抗疫特别国债安排的支出</w:t>
            </w:r>
          </w:p>
        </w:tc>
        <w:tc>
          <w:tcPr>
            <w:tcW w:w="2126" w:type="dxa"/>
            <w:vAlign w:val="center"/>
          </w:tcPr>
          <w:p w14:paraId="07BD4736">
            <w:pPr>
              <w:pStyle w:val="11"/>
            </w:pPr>
          </w:p>
        </w:tc>
      </w:tr>
      <w:tr w14:paraId="02B3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E5976">
            <w:pPr>
              <w:pStyle w:val="13"/>
            </w:pPr>
            <w:r>
              <w:t>31</w:t>
            </w:r>
          </w:p>
        </w:tc>
        <w:tc>
          <w:tcPr>
            <w:tcW w:w="4535" w:type="dxa"/>
            <w:vAlign w:val="center"/>
          </w:tcPr>
          <w:p w14:paraId="4108A9A4">
            <w:pPr>
              <w:pStyle w:val="14"/>
            </w:pPr>
            <w:r>
              <w:t>本年收入合计</w:t>
            </w:r>
          </w:p>
        </w:tc>
        <w:tc>
          <w:tcPr>
            <w:tcW w:w="2126" w:type="dxa"/>
            <w:vAlign w:val="center"/>
          </w:tcPr>
          <w:p w14:paraId="76DA1089">
            <w:pPr>
              <w:pStyle w:val="15"/>
            </w:pPr>
            <w:r>
              <w:t>1146.78</w:t>
            </w:r>
          </w:p>
        </w:tc>
        <w:tc>
          <w:tcPr>
            <w:tcW w:w="4535" w:type="dxa"/>
            <w:vAlign w:val="center"/>
          </w:tcPr>
          <w:p w14:paraId="372C1B50">
            <w:pPr>
              <w:pStyle w:val="14"/>
            </w:pPr>
            <w:r>
              <w:t>本年支出合计</w:t>
            </w:r>
          </w:p>
        </w:tc>
        <w:tc>
          <w:tcPr>
            <w:tcW w:w="2126" w:type="dxa"/>
            <w:vAlign w:val="center"/>
          </w:tcPr>
          <w:p w14:paraId="626B9CCF">
            <w:pPr>
              <w:pStyle w:val="15"/>
            </w:pPr>
            <w:r>
              <w:t>1146.78</w:t>
            </w:r>
          </w:p>
        </w:tc>
      </w:tr>
      <w:tr w14:paraId="5EA0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71F83">
            <w:pPr>
              <w:pStyle w:val="13"/>
            </w:pPr>
            <w:r>
              <w:t>32</w:t>
            </w:r>
          </w:p>
        </w:tc>
        <w:tc>
          <w:tcPr>
            <w:tcW w:w="4535" w:type="dxa"/>
            <w:vAlign w:val="center"/>
          </w:tcPr>
          <w:p w14:paraId="4A184C33">
            <w:pPr>
              <w:pStyle w:val="12"/>
            </w:pPr>
            <w:r>
              <w:t>上年结转结余</w:t>
            </w:r>
          </w:p>
        </w:tc>
        <w:tc>
          <w:tcPr>
            <w:tcW w:w="2126" w:type="dxa"/>
            <w:vAlign w:val="center"/>
          </w:tcPr>
          <w:p w14:paraId="52A2C79A">
            <w:pPr>
              <w:pStyle w:val="11"/>
            </w:pPr>
          </w:p>
        </w:tc>
        <w:tc>
          <w:tcPr>
            <w:tcW w:w="4535" w:type="dxa"/>
            <w:vAlign w:val="center"/>
          </w:tcPr>
          <w:p w14:paraId="77127C05">
            <w:pPr>
              <w:pStyle w:val="12"/>
            </w:pPr>
            <w:r>
              <w:t>年终结转结余</w:t>
            </w:r>
          </w:p>
        </w:tc>
        <w:tc>
          <w:tcPr>
            <w:tcW w:w="2126" w:type="dxa"/>
            <w:vAlign w:val="center"/>
          </w:tcPr>
          <w:p w14:paraId="57602E0C">
            <w:pPr>
              <w:pStyle w:val="11"/>
            </w:pPr>
          </w:p>
        </w:tc>
      </w:tr>
      <w:tr w14:paraId="1DE5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FD49">
            <w:pPr>
              <w:pStyle w:val="13"/>
            </w:pPr>
            <w:r>
              <w:t>33</w:t>
            </w:r>
          </w:p>
        </w:tc>
        <w:tc>
          <w:tcPr>
            <w:tcW w:w="4535" w:type="dxa"/>
            <w:vAlign w:val="center"/>
          </w:tcPr>
          <w:p w14:paraId="0728D783">
            <w:pPr>
              <w:pStyle w:val="14"/>
            </w:pPr>
            <w:r>
              <w:t>收入总计</w:t>
            </w:r>
          </w:p>
        </w:tc>
        <w:tc>
          <w:tcPr>
            <w:tcW w:w="2126" w:type="dxa"/>
            <w:vAlign w:val="center"/>
          </w:tcPr>
          <w:p w14:paraId="3B7824A4">
            <w:pPr>
              <w:pStyle w:val="15"/>
            </w:pPr>
            <w:r>
              <w:t>1146.78</w:t>
            </w:r>
          </w:p>
        </w:tc>
        <w:tc>
          <w:tcPr>
            <w:tcW w:w="4535" w:type="dxa"/>
            <w:vAlign w:val="center"/>
          </w:tcPr>
          <w:p w14:paraId="1A401662">
            <w:pPr>
              <w:pStyle w:val="14"/>
            </w:pPr>
            <w:r>
              <w:t>支出总计</w:t>
            </w:r>
          </w:p>
        </w:tc>
        <w:tc>
          <w:tcPr>
            <w:tcW w:w="2126" w:type="dxa"/>
            <w:vAlign w:val="center"/>
          </w:tcPr>
          <w:p w14:paraId="2DE75307">
            <w:pPr>
              <w:pStyle w:val="15"/>
            </w:pPr>
            <w:r>
              <w:t>1146.78</w:t>
            </w:r>
          </w:p>
        </w:tc>
      </w:tr>
    </w:tbl>
    <w:p w14:paraId="78979602">
      <w:pPr>
        <w:sectPr>
          <w:pgSz w:w="16840" w:h="11900" w:orient="landscape"/>
          <w:pgMar w:top="1361" w:right="1020" w:bottom="1134" w:left="1020" w:header="720" w:footer="720" w:gutter="0"/>
          <w:cols w:space="720" w:num="1"/>
        </w:sectPr>
      </w:pPr>
    </w:p>
    <w:p w14:paraId="528E87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AF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C408CA">
            <w:pPr>
              <w:pStyle w:val="9"/>
            </w:pPr>
            <w:r>
              <w:t>360006隆尧县东良中学</w:t>
            </w:r>
          </w:p>
        </w:tc>
        <w:tc>
          <w:tcPr>
            <w:tcW w:w="3402" w:type="dxa"/>
            <w:gridSpan w:val="3"/>
            <w:tcBorders>
              <w:top w:val="single" w:color="FFFFFF" w:sz="6" w:space="0"/>
              <w:left w:val="single" w:color="FFFFFF" w:sz="6" w:space="0"/>
              <w:right w:val="single" w:color="FFFFFF" w:sz="6" w:space="0"/>
            </w:tcBorders>
            <w:vAlign w:val="center"/>
          </w:tcPr>
          <w:p w14:paraId="69F1A25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D829AA7">
            <w:pPr>
              <w:pStyle w:val="7"/>
            </w:pPr>
            <w:r>
              <w:t>单位：万元</w:t>
            </w:r>
          </w:p>
        </w:tc>
      </w:tr>
      <w:tr w14:paraId="03F0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2797E5">
            <w:pPr>
              <w:pStyle w:val="10"/>
            </w:pPr>
            <w:r>
              <w:t>序号</w:t>
            </w:r>
          </w:p>
        </w:tc>
        <w:tc>
          <w:tcPr>
            <w:tcW w:w="2551" w:type="dxa"/>
            <w:gridSpan w:val="2"/>
            <w:vAlign w:val="center"/>
          </w:tcPr>
          <w:p w14:paraId="0260BA5B">
            <w:pPr>
              <w:pStyle w:val="10"/>
            </w:pPr>
            <w:r>
              <w:t>功能分类科目</w:t>
            </w:r>
          </w:p>
        </w:tc>
        <w:tc>
          <w:tcPr>
            <w:tcW w:w="1134" w:type="dxa"/>
            <w:vMerge w:val="restart"/>
            <w:vAlign w:val="center"/>
          </w:tcPr>
          <w:p w14:paraId="78F36104">
            <w:pPr>
              <w:pStyle w:val="10"/>
            </w:pPr>
            <w:r>
              <w:t>合计</w:t>
            </w:r>
          </w:p>
        </w:tc>
        <w:tc>
          <w:tcPr>
            <w:tcW w:w="9072" w:type="dxa"/>
            <w:gridSpan w:val="8"/>
            <w:vAlign w:val="center"/>
          </w:tcPr>
          <w:p w14:paraId="287AA15C">
            <w:pPr>
              <w:pStyle w:val="10"/>
            </w:pPr>
            <w:r>
              <w:t>本年收入</w:t>
            </w:r>
          </w:p>
        </w:tc>
        <w:tc>
          <w:tcPr>
            <w:tcW w:w="1134" w:type="dxa"/>
            <w:vMerge w:val="restart"/>
            <w:vAlign w:val="center"/>
          </w:tcPr>
          <w:p w14:paraId="77DE61C0">
            <w:pPr>
              <w:pStyle w:val="10"/>
            </w:pPr>
            <w:r>
              <w:t>上年结转</w:t>
            </w:r>
          </w:p>
        </w:tc>
      </w:tr>
      <w:tr w14:paraId="4562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0CE8FA"/>
        </w:tc>
        <w:tc>
          <w:tcPr>
            <w:tcW w:w="992" w:type="dxa"/>
            <w:vAlign w:val="center"/>
          </w:tcPr>
          <w:p w14:paraId="35BFCE36">
            <w:pPr>
              <w:pStyle w:val="10"/>
            </w:pPr>
            <w:r>
              <w:t>科目    编码</w:t>
            </w:r>
          </w:p>
        </w:tc>
        <w:tc>
          <w:tcPr>
            <w:tcW w:w="1559" w:type="dxa"/>
            <w:vAlign w:val="center"/>
          </w:tcPr>
          <w:p w14:paraId="0B66D47E">
            <w:pPr>
              <w:pStyle w:val="10"/>
            </w:pPr>
            <w:r>
              <w:t>科目名称</w:t>
            </w:r>
          </w:p>
        </w:tc>
        <w:tc>
          <w:tcPr>
            <w:tcW w:w="1134" w:type="dxa"/>
            <w:vMerge w:val="continue"/>
          </w:tcPr>
          <w:p w14:paraId="50F7E85C"/>
        </w:tc>
        <w:tc>
          <w:tcPr>
            <w:tcW w:w="1134" w:type="dxa"/>
            <w:vAlign w:val="center"/>
          </w:tcPr>
          <w:p w14:paraId="042DA4B2">
            <w:pPr>
              <w:pStyle w:val="10"/>
            </w:pPr>
            <w:r>
              <w:t>小计</w:t>
            </w:r>
          </w:p>
        </w:tc>
        <w:tc>
          <w:tcPr>
            <w:tcW w:w="1134" w:type="dxa"/>
            <w:vAlign w:val="center"/>
          </w:tcPr>
          <w:p w14:paraId="1D9F3E97">
            <w:pPr>
              <w:pStyle w:val="10"/>
            </w:pPr>
            <w:r>
              <w:t>财政拨款 收入</w:t>
            </w:r>
          </w:p>
        </w:tc>
        <w:tc>
          <w:tcPr>
            <w:tcW w:w="1134" w:type="dxa"/>
            <w:vAlign w:val="center"/>
          </w:tcPr>
          <w:p w14:paraId="586CFEDE">
            <w:pPr>
              <w:pStyle w:val="10"/>
            </w:pPr>
            <w:r>
              <w:t>财政专户 收入</w:t>
            </w:r>
          </w:p>
        </w:tc>
        <w:tc>
          <w:tcPr>
            <w:tcW w:w="1134" w:type="dxa"/>
            <w:vAlign w:val="center"/>
          </w:tcPr>
          <w:p w14:paraId="28B85DD1">
            <w:pPr>
              <w:pStyle w:val="10"/>
            </w:pPr>
            <w:r>
              <w:t>事业收入</w:t>
            </w:r>
          </w:p>
        </w:tc>
        <w:tc>
          <w:tcPr>
            <w:tcW w:w="1134" w:type="dxa"/>
            <w:vAlign w:val="center"/>
          </w:tcPr>
          <w:p w14:paraId="349FC9E0">
            <w:pPr>
              <w:pStyle w:val="10"/>
            </w:pPr>
            <w:r>
              <w:t>经营收入</w:t>
            </w:r>
          </w:p>
        </w:tc>
        <w:tc>
          <w:tcPr>
            <w:tcW w:w="1134" w:type="dxa"/>
            <w:vAlign w:val="center"/>
          </w:tcPr>
          <w:p w14:paraId="5818ADD5">
            <w:pPr>
              <w:pStyle w:val="10"/>
            </w:pPr>
            <w:r>
              <w:t>上级补助收入</w:t>
            </w:r>
          </w:p>
        </w:tc>
        <w:tc>
          <w:tcPr>
            <w:tcW w:w="1134" w:type="dxa"/>
            <w:vAlign w:val="center"/>
          </w:tcPr>
          <w:p w14:paraId="40CABAA0">
            <w:pPr>
              <w:pStyle w:val="10"/>
            </w:pPr>
            <w:r>
              <w:t>附属单位上缴收入</w:t>
            </w:r>
          </w:p>
        </w:tc>
        <w:tc>
          <w:tcPr>
            <w:tcW w:w="1134" w:type="dxa"/>
            <w:vAlign w:val="center"/>
          </w:tcPr>
          <w:p w14:paraId="0F4F90A7">
            <w:pPr>
              <w:pStyle w:val="10"/>
            </w:pPr>
            <w:r>
              <w:t>其他收入</w:t>
            </w:r>
          </w:p>
        </w:tc>
        <w:tc>
          <w:tcPr>
            <w:tcW w:w="1134" w:type="dxa"/>
            <w:vMerge w:val="continue"/>
          </w:tcPr>
          <w:p w14:paraId="0CE3DBB8"/>
        </w:tc>
      </w:tr>
      <w:tr w14:paraId="5DEE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644101">
            <w:pPr>
              <w:pStyle w:val="10"/>
            </w:pPr>
            <w:r>
              <w:t>栏次</w:t>
            </w:r>
          </w:p>
        </w:tc>
        <w:tc>
          <w:tcPr>
            <w:tcW w:w="992" w:type="dxa"/>
            <w:vAlign w:val="center"/>
          </w:tcPr>
          <w:p w14:paraId="1E252913">
            <w:pPr>
              <w:pStyle w:val="10"/>
            </w:pPr>
            <w:r>
              <w:t>1</w:t>
            </w:r>
          </w:p>
        </w:tc>
        <w:tc>
          <w:tcPr>
            <w:tcW w:w="1559" w:type="dxa"/>
            <w:vAlign w:val="center"/>
          </w:tcPr>
          <w:p w14:paraId="7B4474D9">
            <w:pPr>
              <w:pStyle w:val="10"/>
            </w:pPr>
            <w:r>
              <w:t>2</w:t>
            </w:r>
          </w:p>
        </w:tc>
        <w:tc>
          <w:tcPr>
            <w:tcW w:w="1134" w:type="dxa"/>
            <w:vAlign w:val="center"/>
          </w:tcPr>
          <w:p w14:paraId="1F1F7C50">
            <w:pPr>
              <w:pStyle w:val="10"/>
            </w:pPr>
            <w:r>
              <w:t>3</w:t>
            </w:r>
          </w:p>
        </w:tc>
        <w:tc>
          <w:tcPr>
            <w:tcW w:w="1134" w:type="dxa"/>
            <w:vAlign w:val="center"/>
          </w:tcPr>
          <w:p w14:paraId="100BFBA8">
            <w:pPr>
              <w:pStyle w:val="10"/>
            </w:pPr>
            <w:r>
              <w:t>4</w:t>
            </w:r>
          </w:p>
        </w:tc>
        <w:tc>
          <w:tcPr>
            <w:tcW w:w="1134" w:type="dxa"/>
            <w:vAlign w:val="center"/>
          </w:tcPr>
          <w:p w14:paraId="30B88CE1">
            <w:pPr>
              <w:pStyle w:val="10"/>
            </w:pPr>
            <w:r>
              <w:t>5</w:t>
            </w:r>
          </w:p>
        </w:tc>
        <w:tc>
          <w:tcPr>
            <w:tcW w:w="1134" w:type="dxa"/>
            <w:vAlign w:val="center"/>
          </w:tcPr>
          <w:p w14:paraId="624D6AE1">
            <w:pPr>
              <w:pStyle w:val="10"/>
            </w:pPr>
            <w:r>
              <w:t>6</w:t>
            </w:r>
          </w:p>
        </w:tc>
        <w:tc>
          <w:tcPr>
            <w:tcW w:w="1134" w:type="dxa"/>
            <w:vAlign w:val="center"/>
          </w:tcPr>
          <w:p w14:paraId="21E49BBE">
            <w:pPr>
              <w:pStyle w:val="10"/>
            </w:pPr>
            <w:r>
              <w:t>7</w:t>
            </w:r>
          </w:p>
        </w:tc>
        <w:tc>
          <w:tcPr>
            <w:tcW w:w="1134" w:type="dxa"/>
            <w:vAlign w:val="center"/>
          </w:tcPr>
          <w:p w14:paraId="7BB2D725">
            <w:pPr>
              <w:pStyle w:val="10"/>
            </w:pPr>
            <w:r>
              <w:t>8</w:t>
            </w:r>
          </w:p>
        </w:tc>
        <w:tc>
          <w:tcPr>
            <w:tcW w:w="1134" w:type="dxa"/>
            <w:vAlign w:val="center"/>
          </w:tcPr>
          <w:p w14:paraId="7B901665">
            <w:pPr>
              <w:pStyle w:val="10"/>
            </w:pPr>
            <w:r>
              <w:t>9</w:t>
            </w:r>
          </w:p>
        </w:tc>
        <w:tc>
          <w:tcPr>
            <w:tcW w:w="1134" w:type="dxa"/>
            <w:vAlign w:val="center"/>
          </w:tcPr>
          <w:p w14:paraId="42F0231F">
            <w:pPr>
              <w:pStyle w:val="10"/>
            </w:pPr>
            <w:r>
              <w:t>10</w:t>
            </w:r>
          </w:p>
        </w:tc>
        <w:tc>
          <w:tcPr>
            <w:tcW w:w="1134" w:type="dxa"/>
            <w:vAlign w:val="center"/>
          </w:tcPr>
          <w:p w14:paraId="229E9670">
            <w:pPr>
              <w:pStyle w:val="10"/>
            </w:pPr>
            <w:r>
              <w:t>11</w:t>
            </w:r>
          </w:p>
        </w:tc>
        <w:tc>
          <w:tcPr>
            <w:tcW w:w="1134" w:type="dxa"/>
            <w:vAlign w:val="center"/>
          </w:tcPr>
          <w:p w14:paraId="31AEFE24">
            <w:pPr>
              <w:pStyle w:val="10"/>
            </w:pPr>
            <w:r>
              <w:t>12</w:t>
            </w:r>
          </w:p>
        </w:tc>
      </w:tr>
      <w:tr w14:paraId="2BCF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4F429">
            <w:pPr>
              <w:pStyle w:val="13"/>
            </w:pPr>
            <w:r>
              <w:t>1</w:t>
            </w:r>
          </w:p>
        </w:tc>
        <w:tc>
          <w:tcPr>
            <w:tcW w:w="992" w:type="dxa"/>
            <w:vAlign w:val="center"/>
          </w:tcPr>
          <w:p w14:paraId="1D0D2F9C">
            <w:pPr>
              <w:pStyle w:val="16"/>
            </w:pPr>
          </w:p>
        </w:tc>
        <w:tc>
          <w:tcPr>
            <w:tcW w:w="1559" w:type="dxa"/>
            <w:vAlign w:val="center"/>
          </w:tcPr>
          <w:p w14:paraId="142EF3BC">
            <w:pPr>
              <w:pStyle w:val="14"/>
            </w:pPr>
            <w:r>
              <w:t>合计</w:t>
            </w:r>
          </w:p>
        </w:tc>
        <w:tc>
          <w:tcPr>
            <w:tcW w:w="1134" w:type="dxa"/>
            <w:vAlign w:val="center"/>
          </w:tcPr>
          <w:p w14:paraId="79DC74A2">
            <w:pPr>
              <w:pStyle w:val="15"/>
            </w:pPr>
            <w:r>
              <w:t>1146.78</w:t>
            </w:r>
          </w:p>
        </w:tc>
        <w:tc>
          <w:tcPr>
            <w:tcW w:w="1134" w:type="dxa"/>
            <w:vAlign w:val="center"/>
          </w:tcPr>
          <w:p w14:paraId="2C8D08F0">
            <w:pPr>
              <w:pStyle w:val="15"/>
            </w:pPr>
            <w:r>
              <w:t>1146.78</w:t>
            </w:r>
          </w:p>
        </w:tc>
        <w:tc>
          <w:tcPr>
            <w:tcW w:w="1134" w:type="dxa"/>
            <w:vAlign w:val="center"/>
          </w:tcPr>
          <w:p w14:paraId="4184CAD7">
            <w:pPr>
              <w:pStyle w:val="15"/>
            </w:pPr>
            <w:r>
              <w:t>1146.78</w:t>
            </w:r>
          </w:p>
        </w:tc>
        <w:tc>
          <w:tcPr>
            <w:tcW w:w="1134" w:type="dxa"/>
            <w:vAlign w:val="center"/>
          </w:tcPr>
          <w:p w14:paraId="39F04E95">
            <w:pPr>
              <w:pStyle w:val="15"/>
            </w:pPr>
          </w:p>
        </w:tc>
        <w:tc>
          <w:tcPr>
            <w:tcW w:w="1134" w:type="dxa"/>
            <w:vAlign w:val="center"/>
          </w:tcPr>
          <w:p w14:paraId="46A23D1D">
            <w:pPr>
              <w:pStyle w:val="15"/>
            </w:pPr>
          </w:p>
        </w:tc>
        <w:tc>
          <w:tcPr>
            <w:tcW w:w="1134" w:type="dxa"/>
            <w:vAlign w:val="center"/>
          </w:tcPr>
          <w:p w14:paraId="0E66793D">
            <w:pPr>
              <w:pStyle w:val="15"/>
            </w:pPr>
          </w:p>
        </w:tc>
        <w:tc>
          <w:tcPr>
            <w:tcW w:w="1134" w:type="dxa"/>
            <w:vAlign w:val="center"/>
          </w:tcPr>
          <w:p w14:paraId="1DFD57A7">
            <w:pPr>
              <w:pStyle w:val="15"/>
            </w:pPr>
          </w:p>
        </w:tc>
        <w:tc>
          <w:tcPr>
            <w:tcW w:w="1134" w:type="dxa"/>
            <w:vAlign w:val="center"/>
          </w:tcPr>
          <w:p w14:paraId="226685EB">
            <w:pPr>
              <w:pStyle w:val="15"/>
            </w:pPr>
          </w:p>
        </w:tc>
        <w:tc>
          <w:tcPr>
            <w:tcW w:w="1134" w:type="dxa"/>
            <w:vAlign w:val="center"/>
          </w:tcPr>
          <w:p w14:paraId="49C30D3F">
            <w:pPr>
              <w:pStyle w:val="15"/>
            </w:pPr>
          </w:p>
        </w:tc>
        <w:tc>
          <w:tcPr>
            <w:tcW w:w="1134" w:type="dxa"/>
            <w:vAlign w:val="center"/>
          </w:tcPr>
          <w:p w14:paraId="2C093022">
            <w:pPr>
              <w:pStyle w:val="15"/>
            </w:pPr>
          </w:p>
        </w:tc>
      </w:tr>
      <w:tr w14:paraId="4F14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9F4BC">
            <w:pPr>
              <w:pStyle w:val="13"/>
            </w:pPr>
            <w:r>
              <w:t>2</w:t>
            </w:r>
          </w:p>
        </w:tc>
        <w:tc>
          <w:tcPr>
            <w:tcW w:w="992" w:type="dxa"/>
            <w:vAlign w:val="center"/>
          </w:tcPr>
          <w:p w14:paraId="221B8B37">
            <w:pPr>
              <w:pStyle w:val="12"/>
            </w:pPr>
            <w:r>
              <w:t>205</w:t>
            </w:r>
          </w:p>
        </w:tc>
        <w:tc>
          <w:tcPr>
            <w:tcW w:w="1559" w:type="dxa"/>
            <w:vAlign w:val="center"/>
          </w:tcPr>
          <w:p w14:paraId="08713068">
            <w:pPr>
              <w:pStyle w:val="12"/>
            </w:pPr>
            <w:r>
              <w:t>教育支出</w:t>
            </w:r>
          </w:p>
        </w:tc>
        <w:tc>
          <w:tcPr>
            <w:tcW w:w="1134" w:type="dxa"/>
            <w:vAlign w:val="center"/>
          </w:tcPr>
          <w:p w14:paraId="05C810E6">
            <w:pPr>
              <w:pStyle w:val="11"/>
            </w:pPr>
            <w:r>
              <w:t>1146.78</w:t>
            </w:r>
          </w:p>
        </w:tc>
        <w:tc>
          <w:tcPr>
            <w:tcW w:w="1134" w:type="dxa"/>
            <w:vAlign w:val="center"/>
          </w:tcPr>
          <w:p w14:paraId="3646A3C2">
            <w:pPr>
              <w:pStyle w:val="11"/>
            </w:pPr>
            <w:r>
              <w:t>1146.78</w:t>
            </w:r>
          </w:p>
        </w:tc>
        <w:tc>
          <w:tcPr>
            <w:tcW w:w="1134" w:type="dxa"/>
            <w:vAlign w:val="center"/>
          </w:tcPr>
          <w:p w14:paraId="79EF902B">
            <w:pPr>
              <w:pStyle w:val="11"/>
            </w:pPr>
            <w:r>
              <w:t>1146.78</w:t>
            </w:r>
          </w:p>
        </w:tc>
        <w:tc>
          <w:tcPr>
            <w:tcW w:w="1134" w:type="dxa"/>
            <w:vAlign w:val="center"/>
          </w:tcPr>
          <w:p w14:paraId="01582D1A">
            <w:pPr>
              <w:pStyle w:val="11"/>
            </w:pPr>
          </w:p>
        </w:tc>
        <w:tc>
          <w:tcPr>
            <w:tcW w:w="1134" w:type="dxa"/>
            <w:vAlign w:val="center"/>
          </w:tcPr>
          <w:p w14:paraId="1B860DF4">
            <w:pPr>
              <w:pStyle w:val="11"/>
            </w:pPr>
          </w:p>
        </w:tc>
        <w:tc>
          <w:tcPr>
            <w:tcW w:w="1134" w:type="dxa"/>
            <w:vAlign w:val="center"/>
          </w:tcPr>
          <w:p w14:paraId="1CD7841B">
            <w:pPr>
              <w:pStyle w:val="11"/>
            </w:pPr>
          </w:p>
        </w:tc>
        <w:tc>
          <w:tcPr>
            <w:tcW w:w="1134" w:type="dxa"/>
            <w:vAlign w:val="center"/>
          </w:tcPr>
          <w:p w14:paraId="4EBA0094">
            <w:pPr>
              <w:pStyle w:val="11"/>
            </w:pPr>
          </w:p>
        </w:tc>
        <w:tc>
          <w:tcPr>
            <w:tcW w:w="1134" w:type="dxa"/>
            <w:vAlign w:val="center"/>
          </w:tcPr>
          <w:p w14:paraId="5E64D01F">
            <w:pPr>
              <w:pStyle w:val="11"/>
            </w:pPr>
          </w:p>
        </w:tc>
        <w:tc>
          <w:tcPr>
            <w:tcW w:w="1134" w:type="dxa"/>
            <w:vAlign w:val="center"/>
          </w:tcPr>
          <w:p w14:paraId="6A0CE40C">
            <w:pPr>
              <w:pStyle w:val="11"/>
            </w:pPr>
          </w:p>
        </w:tc>
        <w:tc>
          <w:tcPr>
            <w:tcW w:w="1134" w:type="dxa"/>
            <w:vAlign w:val="center"/>
          </w:tcPr>
          <w:p w14:paraId="5419EE86">
            <w:pPr>
              <w:pStyle w:val="11"/>
            </w:pPr>
          </w:p>
        </w:tc>
      </w:tr>
      <w:tr w14:paraId="3A99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01CFA">
            <w:pPr>
              <w:pStyle w:val="13"/>
            </w:pPr>
            <w:r>
              <w:t>3</w:t>
            </w:r>
          </w:p>
        </w:tc>
        <w:tc>
          <w:tcPr>
            <w:tcW w:w="992" w:type="dxa"/>
            <w:vAlign w:val="center"/>
          </w:tcPr>
          <w:p w14:paraId="51B3E3A8">
            <w:pPr>
              <w:pStyle w:val="12"/>
            </w:pPr>
            <w:r>
              <w:t>20502</w:t>
            </w:r>
          </w:p>
        </w:tc>
        <w:tc>
          <w:tcPr>
            <w:tcW w:w="1559" w:type="dxa"/>
            <w:vAlign w:val="center"/>
          </w:tcPr>
          <w:p w14:paraId="64A12CE7">
            <w:pPr>
              <w:pStyle w:val="12"/>
            </w:pPr>
            <w:r>
              <w:t>普通教育</w:t>
            </w:r>
          </w:p>
        </w:tc>
        <w:tc>
          <w:tcPr>
            <w:tcW w:w="1134" w:type="dxa"/>
            <w:vAlign w:val="center"/>
          </w:tcPr>
          <w:p w14:paraId="4F9F4A8A">
            <w:pPr>
              <w:pStyle w:val="11"/>
            </w:pPr>
            <w:r>
              <w:t>1146.78</w:t>
            </w:r>
          </w:p>
        </w:tc>
        <w:tc>
          <w:tcPr>
            <w:tcW w:w="1134" w:type="dxa"/>
            <w:vAlign w:val="center"/>
          </w:tcPr>
          <w:p w14:paraId="5FD3A924">
            <w:pPr>
              <w:pStyle w:val="11"/>
            </w:pPr>
            <w:r>
              <w:t>1146.78</w:t>
            </w:r>
          </w:p>
        </w:tc>
        <w:tc>
          <w:tcPr>
            <w:tcW w:w="1134" w:type="dxa"/>
            <w:vAlign w:val="center"/>
          </w:tcPr>
          <w:p w14:paraId="3B79CB11">
            <w:pPr>
              <w:pStyle w:val="11"/>
            </w:pPr>
            <w:r>
              <w:t>1146.78</w:t>
            </w:r>
          </w:p>
        </w:tc>
        <w:tc>
          <w:tcPr>
            <w:tcW w:w="1134" w:type="dxa"/>
            <w:vAlign w:val="center"/>
          </w:tcPr>
          <w:p w14:paraId="7D7296E1">
            <w:pPr>
              <w:pStyle w:val="11"/>
            </w:pPr>
          </w:p>
        </w:tc>
        <w:tc>
          <w:tcPr>
            <w:tcW w:w="1134" w:type="dxa"/>
            <w:vAlign w:val="center"/>
          </w:tcPr>
          <w:p w14:paraId="6CE38C60">
            <w:pPr>
              <w:pStyle w:val="11"/>
            </w:pPr>
          </w:p>
        </w:tc>
        <w:tc>
          <w:tcPr>
            <w:tcW w:w="1134" w:type="dxa"/>
            <w:vAlign w:val="center"/>
          </w:tcPr>
          <w:p w14:paraId="13A17CB9">
            <w:pPr>
              <w:pStyle w:val="11"/>
            </w:pPr>
          </w:p>
        </w:tc>
        <w:tc>
          <w:tcPr>
            <w:tcW w:w="1134" w:type="dxa"/>
            <w:vAlign w:val="center"/>
          </w:tcPr>
          <w:p w14:paraId="78F13749">
            <w:pPr>
              <w:pStyle w:val="11"/>
            </w:pPr>
          </w:p>
        </w:tc>
        <w:tc>
          <w:tcPr>
            <w:tcW w:w="1134" w:type="dxa"/>
            <w:vAlign w:val="center"/>
          </w:tcPr>
          <w:p w14:paraId="612192B6">
            <w:pPr>
              <w:pStyle w:val="11"/>
            </w:pPr>
          </w:p>
        </w:tc>
        <w:tc>
          <w:tcPr>
            <w:tcW w:w="1134" w:type="dxa"/>
            <w:vAlign w:val="center"/>
          </w:tcPr>
          <w:p w14:paraId="34BC5E01">
            <w:pPr>
              <w:pStyle w:val="11"/>
            </w:pPr>
          </w:p>
        </w:tc>
        <w:tc>
          <w:tcPr>
            <w:tcW w:w="1134" w:type="dxa"/>
            <w:vAlign w:val="center"/>
          </w:tcPr>
          <w:p w14:paraId="738BE0C1">
            <w:pPr>
              <w:pStyle w:val="11"/>
            </w:pPr>
          </w:p>
        </w:tc>
      </w:tr>
      <w:tr w14:paraId="73A3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4D898C">
            <w:pPr>
              <w:pStyle w:val="13"/>
            </w:pPr>
            <w:r>
              <w:t>4</w:t>
            </w:r>
          </w:p>
        </w:tc>
        <w:tc>
          <w:tcPr>
            <w:tcW w:w="992" w:type="dxa"/>
            <w:vAlign w:val="center"/>
          </w:tcPr>
          <w:p w14:paraId="20EB4C67">
            <w:pPr>
              <w:pStyle w:val="12"/>
            </w:pPr>
            <w:r>
              <w:t>2050203</w:t>
            </w:r>
          </w:p>
        </w:tc>
        <w:tc>
          <w:tcPr>
            <w:tcW w:w="1559" w:type="dxa"/>
            <w:vAlign w:val="center"/>
          </w:tcPr>
          <w:p w14:paraId="2B4CEA75">
            <w:pPr>
              <w:pStyle w:val="12"/>
            </w:pPr>
            <w:r>
              <w:t>初中教育</w:t>
            </w:r>
          </w:p>
        </w:tc>
        <w:tc>
          <w:tcPr>
            <w:tcW w:w="1134" w:type="dxa"/>
            <w:vAlign w:val="center"/>
          </w:tcPr>
          <w:p w14:paraId="2FEDA7B8">
            <w:pPr>
              <w:pStyle w:val="11"/>
            </w:pPr>
            <w:r>
              <w:t>1146.78</w:t>
            </w:r>
          </w:p>
        </w:tc>
        <w:tc>
          <w:tcPr>
            <w:tcW w:w="1134" w:type="dxa"/>
            <w:vAlign w:val="center"/>
          </w:tcPr>
          <w:p w14:paraId="64F944E1">
            <w:pPr>
              <w:pStyle w:val="11"/>
            </w:pPr>
            <w:r>
              <w:t>1146.78</w:t>
            </w:r>
          </w:p>
        </w:tc>
        <w:tc>
          <w:tcPr>
            <w:tcW w:w="1134" w:type="dxa"/>
            <w:vAlign w:val="center"/>
          </w:tcPr>
          <w:p w14:paraId="346C82BC">
            <w:pPr>
              <w:pStyle w:val="11"/>
            </w:pPr>
            <w:r>
              <w:t>1146.78</w:t>
            </w:r>
          </w:p>
        </w:tc>
        <w:tc>
          <w:tcPr>
            <w:tcW w:w="1134" w:type="dxa"/>
            <w:vAlign w:val="center"/>
          </w:tcPr>
          <w:p w14:paraId="732B6233">
            <w:pPr>
              <w:pStyle w:val="11"/>
            </w:pPr>
          </w:p>
        </w:tc>
        <w:tc>
          <w:tcPr>
            <w:tcW w:w="1134" w:type="dxa"/>
            <w:vAlign w:val="center"/>
          </w:tcPr>
          <w:p w14:paraId="460AFDCC">
            <w:pPr>
              <w:pStyle w:val="11"/>
            </w:pPr>
          </w:p>
        </w:tc>
        <w:tc>
          <w:tcPr>
            <w:tcW w:w="1134" w:type="dxa"/>
            <w:vAlign w:val="center"/>
          </w:tcPr>
          <w:p w14:paraId="31752F51">
            <w:pPr>
              <w:pStyle w:val="11"/>
            </w:pPr>
          </w:p>
        </w:tc>
        <w:tc>
          <w:tcPr>
            <w:tcW w:w="1134" w:type="dxa"/>
            <w:vAlign w:val="center"/>
          </w:tcPr>
          <w:p w14:paraId="4BAB26D0">
            <w:pPr>
              <w:pStyle w:val="11"/>
            </w:pPr>
          </w:p>
        </w:tc>
        <w:tc>
          <w:tcPr>
            <w:tcW w:w="1134" w:type="dxa"/>
            <w:vAlign w:val="center"/>
          </w:tcPr>
          <w:p w14:paraId="1991FD14">
            <w:pPr>
              <w:pStyle w:val="11"/>
            </w:pPr>
          </w:p>
        </w:tc>
        <w:tc>
          <w:tcPr>
            <w:tcW w:w="1134" w:type="dxa"/>
            <w:vAlign w:val="center"/>
          </w:tcPr>
          <w:p w14:paraId="6CEE4A98">
            <w:pPr>
              <w:pStyle w:val="11"/>
            </w:pPr>
          </w:p>
        </w:tc>
        <w:tc>
          <w:tcPr>
            <w:tcW w:w="1134" w:type="dxa"/>
            <w:vAlign w:val="center"/>
          </w:tcPr>
          <w:p w14:paraId="16273589">
            <w:pPr>
              <w:pStyle w:val="11"/>
            </w:pPr>
          </w:p>
        </w:tc>
      </w:tr>
    </w:tbl>
    <w:p w14:paraId="293EDA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89FB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57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6AFCD1">
            <w:pPr>
              <w:pStyle w:val="9"/>
            </w:pPr>
            <w:r>
              <w:t>360006隆尧县东良中学</w:t>
            </w:r>
          </w:p>
        </w:tc>
        <w:tc>
          <w:tcPr>
            <w:tcW w:w="2722" w:type="dxa"/>
            <w:gridSpan w:val="2"/>
            <w:tcBorders>
              <w:top w:val="single" w:color="FFFFFF" w:sz="6" w:space="0"/>
              <w:left w:val="single" w:color="FFFFFF" w:sz="6" w:space="0"/>
              <w:right w:val="single" w:color="FFFFFF" w:sz="6" w:space="0"/>
            </w:tcBorders>
            <w:vAlign w:val="center"/>
          </w:tcPr>
          <w:p w14:paraId="599D710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46DB678">
            <w:pPr>
              <w:pStyle w:val="7"/>
            </w:pPr>
            <w:r>
              <w:t>单位：万元</w:t>
            </w:r>
          </w:p>
        </w:tc>
      </w:tr>
      <w:tr w14:paraId="14F3C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7338ED">
            <w:pPr>
              <w:pStyle w:val="10"/>
            </w:pPr>
            <w:r>
              <w:t>序号</w:t>
            </w:r>
          </w:p>
        </w:tc>
        <w:tc>
          <w:tcPr>
            <w:tcW w:w="5527" w:type="dxa"/>
            <w:gridSpan w:val="2"/>
            <w:vAlign w:val="center"/>
          </w:tcPr>
          <w:p w14:paraId="795A24FD">
            <w:pPr>
              <w:pStyle w:val="10"/>
            </w:pPr>
            <w:r>
              <w:t>功能分类科目</w:t>
            </w:r>
          </w:p>
        </w:tc>
        <w:tc>
          <w:tcPr>
            <w:tcW w:w="1361" w:type="dxa"/>
            <w:vMerge w:val="restart"/>
            <w:vAlign w:val="center"/>
          </w:tcPr>
          <w:p w14:paraId="32A09B97">
            <w:pPr>
              <w:pStyle w:val="10"/>
            </w:pPr>
            <w:r>
              <w:t>合计</w:t>
            </w:r>
          </w:p>
        </w:tc>
        <w:tc>
          <w:tcPr>
            <w:tcW w:w="1361" w:type="dxa"/>
            <w:vMerge w:val="restart"/>
            <w:vAlign w:val="center"/>
          </w:tcPr>
          <w:p w14:paraId="2C010C77">
            <w:pPr>
              <w:pStyle w:val="10"/>
            </w:pPr>
            <w:r>
              <w:t>基本支出</w:t>
            </w:r>
          </w:p>
        </w:tc>
        <w:tc>
          <w:tcPr>
            <w:tcW w:w="1361" w:type="dxa"/>
            <w:vMerge w:val="restart"/>
            <w:vAlign w:val="center"/>
          </w:tcPr>
          <w:p w14:paraId="74AF41D4">
            <w:pPr>
              <w:pStyle w:val="10"/>
            </w:pPr>
            <w:r>
              <w:t>项目支出</w:t>
            </w:r>
          </w:p>
        </w:tc>
        <w:tc>
          <w:tcPr>
            <w:tcW w:w="1361" w:type="dxa"/>
            <w:vMerge w:val="restart"/>
            <w:vAlign w:val="center"/>
          </w:tcPr>
          <w:p w14:paraId="3B212AFD">
            <w:pPr>
              <w:pStyle w:val="10"/>
            </w:pPr>
            <w:r>
              <w:t>经营支出</w:t>
            </w:r>
          </w:p>
        </w:tc>
        <w:tc>
          <w:tcPr>
            <w:tcW w:w="1361" w:type="dxa"/>
            <w:vMerge w:val="restart"/>
            <w:vAlign w:val="center"/>
          </w:tcPr>
          <w:p w14:paraId="208ADA3B">
            <w:pPr>
              <w:pStyle w:val="10"/>
            </w:pPr>
            <w:r>
              <w:t>上解上级     支出</w:t>
            </w:r>
          </w:p>
        </w:tc>
        <w:tc>
          <w:tcPr>
            <w:tcW w:w="1361" w:type="dxa"/>
            <w:vMerge w:val="restart"/>
            <w:vAlign w:val="center"/>
          </w:tcPr>
          <w:p w14:paraId="63B305B2">
            <w:pPr>
              <w:pStyle w:val="10"/>
            </w:pPr>
            <w:r>
              <w:t>对附属单位补助支出</w:t>
            </w:r>
          </w:p>
        </w:tc>
      </w:tr>
      <w:tr w14:paraId="7A37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39B07"/>
        </w:tc>
        <w:tc>
          <w:tcPr>
            <w:tcW w:w="992" w:type="dxa"/>
            <w:vAlign w:val="center"/>
          </w:tcPr>
          <w:p w14:paraId="10B33981">
            <w:pPr>
              <w:pStyle w:val="10"/>
            </w:pPr>
            <w:r>
              <w:t>科目    编码</w:t>
            </w:r>
          </w:p>
        </w:tc>
        <w:tc>
          <w:tcPr>
            <w:tcW w:w="4535" w:type="dxa"/>
            <w:vAlign w:val="center"/>
          </w:tcPr>
          <w:p w14:paraId="33A33548">
            <w:pPr>
              <w:pStyle w:val="10"/>
            </w:pPr>
            <w:r>
              <w:t>科目名称</w:t>
            </w:r>
          </w:p>
        </w:tc>
        <w:tc>
          <w:tcPr>
            <w:tcW w:w="1361" w:type="dxa"/>
            <w:vMerge w:val="continue"/>
          </w:tcPr>
          <w:p w14:paraId="7FD7040D"/>
        </w:tc>
        <w:tc>
          <w:tcPr>
            <w:tcW w:w="1361" w:type="dxa"/>
            <w:vMerge w:val="continue"/>
          </w:tcPr>
          <w:p w14:paraId="5FE2B3FE"/>
        </w:tc>
        <w:tc>
          <w:tcPr>
            <w:tcW w:w="1361" w:type="dxa"/>
            <w:vMerge w:val="continue"/>
          </w:tcPr>
          <w:p w14:paraId="472F7B56"/>
        </w:tc>
        <w:tc>
          <w:tcPr>
            <w:tcW w:w="1361" w:type="dxa"/>
            <w:vMerge w:val="continue"/>
          </w:tcPr>
          <w:p w14:paraId="52987EF4"/>
        </w:tc>
        <w:tc>
          <w:tcPr>
            <w:tcW w:w="1361" w:type="dxa"/>
            <w:vMerge w:val="continue"/>
          </w:tcPr>
          <w:p w14:paraId="46AA7B6A"/>
        </w:tc>
        <w:tc>
          <w:tcPr>
            <w:tcW w:w="1361" w:type="dxa"/>
            <w:vMerge w:val="continue"/>
          </w:tcPr>
          <w:p w14:paraId="1C447D81"/>
        </w:tc>
      </w:tr>
      <w:tr w14:paraId="6853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9AB52">
            <w:pPr>
              <w:pStyle w:val="10"/>
            </w:pPr>
            <w:r>
              <w:t>栏次</w:t>
            </w:r>
          </w:p>
        </w:tc>
        <w:tc>
          <w:tcPr>
            <w:tcW w:w="992" w:type="dxa"/>
            <w:vAlign w:val="center"/>
          </w:tcPr>
          <w:p w14:paraId="4768DA2B">
            <w:pPr>
              <w:pStyle w:val="10"/>
            </w:pPr>
            <w:r>
              <w:t>1</w:t>
            </w:r>
          </w:p>
        </w:tc>
        <w:tc>
          <w:tcPr>
            <w:tcW w:w="4535" w:type="dxa"/>
            <w:vAlign w:val="center"/>
          </w:tcPr>
          <w:p w14:paraId="0DC2EFB2">
            <w:pPr>
              <w:pStyle w:val="10"/>
            </w:pPr>
            <w:r>
              <w:t>2</w:t>
            </w:r>
          </w:p>
        </w:tc>
        <w:tc>
          <w:tcPr>
            <w:tcW w:w="1361" w:type="dxa"/>
            <w:vAlign w:val="center"/>
          </w:tcPr>
          <w:p w14:paraId="06EA8BA5">
            <w:pPr>
              <w:pStyle w:val="10"/>
            </w:pPr>
            <w:r>
              <w:t>3</w:t>
            </w:r>
          </w:p>
        </w:tc>
        <w:tc>
          <w:tcPr>
            <w:tcW w:w="1361" w:type="dxa"/>
            <w:vAlign w:val="center"/>
          </w:tcPr>
          <w:p w14:paraId="1A300A3F">
            <w:pPr>
              <w:pStyle w:val="10"/>
            </w:pPr>
            <w:r>
              <w:t>4</w:t>
            </w:r>
          </w:p>
        </w:tc>
        <w:tc>
          <w:tcPr>
            <w:tcW w:w="1361" w:type="dxa"/>
            <w:vAlign w:val="center"/>
          </w:tcPr>
          <w:p w14:paraId="5AB76F14">
            <w:pPr>
              <w:pStyle w:val="10"/>
            </w:pPr>
            <w:r>
              <w:t>5</w:t>
            </w:r>
          </w:p>
        </w:tc>
        <w:tc>
          <w:tcPr>
            <w:tcW w:w="1361" w:type="dxa"/>
            <w:vAlign w:val="center"/>
          </w:tcPr>
          <w:p w14:paraId="3861DD59">
            <w:pPr>
              <w:pStyle w:val="10"/>
            </w:pPr>
            <w:r>
              <w:t>6</w:t>
            </w:r>
          </w:p>
        </w:tc>
        <w:tc>
          <w:tcPr>
            <w:tcW w:w="1361" w:type="dxa"/>
            <w:vAlign w:val="center"/>
          </w:tcPr>
          <w:p w14:paraId="11061A8B">
            <w:pPr>
              <w:pStyle w:val="10"/>
            </w:pPr>
            <w:r>
              <w:t>7</w:t>
            </w:r>
          </w:p>
        </w:tc>
        <w:tc>
          <w:tcPr>
            <w:tcW w:w="1361" w:type="dxa"/>
            <w:vAlign w:val="center"/>
          </w:tcPr>
          <w:p w14:paraId="654FF599">
            <w:pPr>
              <w:pStyle w:val="10"/>
            </w:pPr>
            <w:r>
              <w:t>8</w:t>
            </w:r>
          </w:p>
        </w:tc>
      </w:tr>
      <w:tr w14:paraId="796AD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25426">
            <w:pPr>
              <w:pStyle w:val="13"/>
            </w:pPr>
            <w:r>
              <w:t>1</w:t>
            </w:r>
          </w:p>
        </w:tc>
        <w:tc>
          <w:tcPr>
            <w:tcW w:w="992" w:type="dxa"/>
            <w:vAlign w:val="center"/>
          </w:tcPr>
          <w:p w14:paraId="75D7FDA4">
            <w:pPr>
              <w:pStyle w:val="16"/>
            </w:pPr>
          </w:p>
        </w:tc>
        <w:tc>
          <w:tcPr>
            <w:tcW w:w="4535" w:type="dxa"/>
            <w:vAlign w:val="center"/>
          </w:tcPr>
          <w:p w14:paraId="1AB312DE">
            <w:pPr>
              <w:pStyle w:val="14"/>
            </w:pPr>
            <w:r>
              <w:t>合计</w:t>
            </w:r>
          </w:p>
        </w:tc>
        <w:tc>
          <w:tcPr>
            <w:tcW w:w="1361" w:type="dxa"/>
            <w:vAlign w:val="center"/>
          </w:tcPr>
          <w:p w14:paraId="40798AC1">
            <w:pPr>
              <w:pStyle w:val="15"/>
            </w:pPr>
            <w:r>
              <w:t>1146.78</w:t>
            </w:r>
          </w:p>
        </w:tc>
        <w:tc>
          <w:tcPr>
            <w:tcW w:w="1361" w:type="dxa"/>
            <w:vAlign w:val="center"/>
          </w:tcPr>
          <w:p w14:paraId="05E46114">
            <w:pPr>
              <w:pStyle w:val="15"/>
            </w:pPr>
            <w:r>
              <w:t>936.04</w:t>
            </w:r>
          </w:p>
        </w:tc>
        <w:tc>
          <w:tcPr>
            <w:tcW w:w="1361" w:type="dxa"/>
            <w:vAlign w:val="center"/>
          </w:tcPr>
          <w:p w14:paraId="5F1C06B5">
            <w:pPr>
              <w:pStyle w:val="15"/>
            </w:pPr>
            <w:r>
              <w:t>210.74</w:t>
            </w:r>
          </w:p>
        </w:tc>
        <w:tc>
          <w:tcPr>
            <w:tcW w:w="1361" w:type="dxa"/>
            <w:vAlign w:val="center"/>
          </w:tcPr>
          <w:p w14:paraId="7BFD117E">
            <w:pPr>
              <w:pStyle w:val="15"/>
            </w:pPr>
          </w:p>
        </w:tc>
        <w:tc>
          <w:tcPr>
            <w:tcW w:w="1361" w:type="dxa"/>
            <w:vAlign w:val="center"/>
          </w:tcPr>
          <w:p w14:paraId="53ED826A">
            <w:pPr>
              <w:pStyle w:val="15"/>
            </w:pPr>
          </w:p>
        </w:tc>
        <w:tc>
          <w:tcPr>
            <w:tcW w:w="1361" w:type="dxa"/>
            <w:vAlign w:val="center"/>
          </w:tcPr>
          <w:p w14:paraId="072485D8">
            <w:pPr>
              <w:pStyle w:val="15"/>
            </w:pPr>
          </w:p>
        </w:tc>
      </w:tr>
      <w:tr w14:paraId="6175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54761">
            <w:pPr>
              <w:pStyle w:val="13"/>
            </w:pPr>
            <w:r>
              <w:t>2</w:t>
            </w:r>
          </w:p>
        </w:tc>
        <w:tc>
          <w:tcPr>
            <w:tcW w:w="992" w:type="dxa"/>
            <w:vAlign w:val="center"/>
          </w:tcPr>
          <w:p w14:paraId="4F75A4A5">
            <w:pPr>
              <w:pStyle w:val="12"/>
            </w:pPr>
            <w:r>
              <w:t>205</w:t>
            </w:r>
          </w:p>
        </w:tc>
        <w:tc>
          <w:tcPr>
            <w:tcW w:w="4535" w:type="dxa"/>
            <w:vAlign w:val="center"/>
          </w:tcPr>
          <w:p w14:paraId="36CB29DB">
            <w:pPr>
              <w:pStyle w:val="12"/>
            </w:pPr>
            <w:r>
              <w:t>教育支出</w:t>
            </w:r>
          </w:p>
        </w:tc>
        <w:tc>
          <w:tcPr>
            <w:tcW w:w="1361" w:type="dxa"/>
            <w:vAlign w:val="center"/>
          </w:tcPr>
          <w:p w14:paraId="7566BA49">
            <w:pPr>
              <w:pStyle w:val="11"/>
            </w:pPr>
            <w:r>
              <w:t>1146.78</w:t>
            </w:r>
          </w:p>
        </w:tc>
        <w:tc>
          <w:tcPr>
            <w:tcW w:w="1361" w:type="dxa"/>
            <w:vAlign w:val="center"/>
          </w:tcPr>
          <w:p w14:paraId="7394F254">
            <w:pPr>
              <w:pStyle w:val="11"/>
            </w:pPr>
            <w:r>
              <w:t>936.04</w:t>
            </w:r>
          </w:p>
        </w:tc>
        <w:tc>
          <w:tcPr>
            <w:tcW w:w="1361" w:type="dxa"/>
            <w:vAlign w:val="center"/>
          </w:tcPr>
          <w:p w14:paraId="6F92AD29">
            <w:pPr>
              <w:pStyle w:val="11"/>
            </w:pPr>
            <w:r>
              <w:t>210.74</w:t>
            </w:r>
          </w:p>
        </w:tc>
        <w:tc>
          <w:tcPr>
            <w:tcW w:w="1361" w:type="dxa"/>
            <w:vAlign w:val="center"/>
          </w:tcPr>
          <w:p w14:paraId="6617FED7">
            <w:pPr>
              <w:pStyle w:val="11"/>
            </w:pPr>
          </w:p>
        </w:tc>
        <w:tc>
          <w:tcPr>
            <w:tcW w:w="1361" w:type="dxa"/>
            <w:vAlign w:val="center"/>
          </w:tcPr>
          <w:p w14:paraId="6942C8F7">
            <w:pPr>
              <w:pStyle w:val="11"/>
            </w:pPr>
          </w:p>
        </w:tc>
        <w:tc>
          <w:tcPr>
            <w:tcW w:w="1361" w:type="dxa"/>
            <w:vAlign w:val="center"/>
          </w:tcPr>
          <w:p w14:paraId="6471C75F">
            <w:pPr>
              <w:pStyle w:val="11"/>
            </w:pPr>
          </w:p>
        </w:tc>
      </w:tr>
      <w:tr w14:paraId="1C26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BF77">
            <w:pPr>
              <w:pStyle w:val="13"/>
            </w:pPr>
            <w:r>
              <w:t>3</w:t>
            </w:r>
          </w:p>
        </w:tc>
        <w:tc>
          <w:tcPr>
            <w:tcW w:w="992" w:type="dxa"/>
            <w:vAlign w:val="center"/>
          </w:tcPr>
          <w:p w14:paraId="224FF11D">
            <w:pPr>
              <w:pStyle w:val="12"/>
            </w:pPr>
            <w:r>
              <w:t>20502</w:t>
            </w:r>
          </w:p>
        </w:tc>
        <w:tc>
          <w:tcPr>
            <w:tcW w:w="4535" w:type="dxa"/>
            <w:vAlign w:val="center"/>
          </w:tcPr>
          <w:p w14:paraId="743A4B52">
            <w:pPr>
              <w:pStyle w:val="12"/>
            </w:pPr>
            <w:r>
              <w:t>普通教育</w:t>
            </w:r>
          </w:p>
        </w:tc>
        <w:tc>
          <w:tcPr>
            <w:tcW w:w="1361" w:type="dxa"/>
            <w:vAlign w:val="center"/>
          </w:tcPr>
          <w:p w14:paraId="5CC03271">
            <w:pPr>
              <w:pStyle w:val="11"/>
            </w:pPr>
            <w:r>
              <w:t>1146.78</w:t>
            </w:r>
          </w:p>
        </w:tc>
        <w:tc>
          <w:tcPr>
            <w:tcW w:w="1361" w:type="dxa"/>
            <w:vAlign w:val="center"/>
          </w:tcPr>
          <w:p w14:paraId="588E6295">
            <w:pPr>
              <w:pStyle w:val="11"/>
            </w:pPr>
            <w:r>
              <w:t>936.04</w:t>
            </w:r>
          </w:p>
        </w:tc>
        <w:tc>
          <w:tcPr>
            <w:tcW w:w="1361" w:type="dxa"/>
            <w:vAlign w:val="center"/>
          </w:tcPr>
          <w:p w14:paraId="6E1AE3CE">
            <w:pPr>
              <w:pStyle w:val="11"/>
            </w:pPr>
            <w:r>
              <w:t>210.74</w:t>
            </w:r>
          </w:p>
        </w:tc>
        <w:tc>
          <w:tcPr>
            <w:tcW w:w="1361" w:type="dxa"/>
            <w:vAlign w:val="center"/>
          </w:tcPr>
          <w:p w14:paraId="77D0BA2E">
            <w:pPr>
              <w:pStyle w:val="11"/>
            </w:pPr>
          </w:p>
        </w:tc>
        <w:tc>
          <w:tcPr>
            <w:tcW w:w="1361" w:type="dxa"/>
            <w:vAlign w:val="center"/>
          </w:tcPr>
          <w:p w14:paraId="3AAEF22C">
            <w:pPr>
              <w:pStyle w:val="11"/>
            </w:pPr>
          </w:p>
        </w:tc>
        <w:tc>
          <w:tcPr>
            <w:tcW w:w="1361" w:type="dxa"/>
            <w:vAlign w:val="center"/>
          </w:tcPr>
          <w:p w14:paraId="7B902E4F">
            <w:pPr>
              <w:pStyle w:val="11"/>
            </w:pPr>
          </w:p>
        </w:tc>
      </w:tr>
      <w:tr w14:paraId="5A46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0132A">
            <w:pPr>
              <w:pStyle w:val="13"/>
            </w:pPr>
            <w:r>
              <w:t>4</w:t>
            </w:r>
          </w:p>
        </w:tc>
        <w:tc>
          <w:tcPr>
            <w:tcW w:w="992" w:type="dxa"/>
            <w:vAlign w:val="center"/>
          </w:tcPr>
          <w:p w14:paraId="0199E7D5">
            <w:pPr>
              <w:pStyle w:val="12"/>
            </w:pPr>
            <w:r>
              <w:t>2050203</w:t>
            </w:r>
          </w:p>
        </w:tc>
        <w:tc>
          <w:tcPr>
            <w:tcW w:w="4535" w:type="dxa"/>
            <w:vAlign w:val="center"/>
          </w:tcPr>
          <w:p w14:paraId="63248F44">
            <w:pPr>
              <w:pStyle w:val="12"/>
            </w:pPr>
            <w:r>
              <w:t>初中教育</w:t>
            </w:r>
          </w:p>
        </w:tc>
        <w:tc>
          <w:tcPr>
            <w:tcW w:w="1361" w:type="dxa"/>
            <w:vAlign w:val="center"/>
          </w:tcPr>
          <w:p w14:paraId="40886878">
            <w:pPr>
              <w:pStyle w:val="11"/>
            </w:pPr>
            <w:r>
              <w:t>1146.78</w:t>
            </w:r>
          </w:p>
        </w:tc>
        <w:tc>
          <w:tcPr>
            <w:tcW w:w="1361" w:type="dxa"/>
            <w:vAlign w:val="center"/>
          </w:tcPr>
          <w:p w14:paraId="27992C03">
            <w:pPr>
              <w:pStyle w:val="11"/>
            </w:pPr>
            <w:r>
              <w:t>936.04</w:t>
            </w:r>
          </w:p>
        </w:tc>
        <w:tc>
          <w:tcPr>
            <w:tcW w:w="1361" w:type="dxa"/>
            <w:vAlign w:val="center"/>
          </w:tcPr>
          <w:p w14:paraId="3F26DAA3">
            <w:pPr>
              <w:pStyle w:val="11"/>
            </w:pPr>
            <w:r>
              <w:t>210.74</w:t>
            </w:r>
          </w:p>
        </w:tc>
        <w:tc>
          <w:tcPr>
            <w:tcW w:w="1361" w:type="dxa"/>
            <w:vAlign w:val="center"/>
          </w:tcPr>
          <w:p w14:paraId="49F9203E">
            <w:pPr>
              <w:pStyle w:val="11"/>
            </w:pPr>
          </w:p>
        </w:tc>
        <w:tc>
          <w:tcPr>
            <w:tcW w:w="1361" w:type="dxa"/>
            <w:vAlign w:val="center"/>
          </w:tcPr>
          <w:p w14:paraId="2E99882E">
            <w:pPr>
              <w:pStyle w:val="11"/>
            </w:pPr>
          </w:p>
        </w:tc>
        <w:tc>
          <w:tcPr>
            <w:tcW w:w="1361" w:type="dxa"/>
            <w:vAlign w:val="center"/>
          </w:tcPr>
          <w:p w14:paraId="31F39569">
            <w:pPr>
              <w:pStyle w:val="11"/>
            </w:pPr>
          </w:p>
        </w:tc>
      </w:tr>
    </w:tbl>
    <w:p w14:paraId="76C9D9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D3F2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9E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90D3EB">
            <w:pPr>
              <w:pStyle w:val="9"/>
            </w:pPr>
            <w:r>
              <w:t>360006隆尧县东良中学</w:t>
            </w:r>
          </w:p>
        </w:tc>
        <w:tc>
          <w:tcPr>
            <w:tcW w:w="3402" w:type="dxa"/>
            <w:tcBorders>
              <w:top w:val="single" w:color="FFFFFF" w:sz="6" w:space="0"/>
              <w:left w:val="single" w:color="FFFFFF" w:sz="6" w:space="0"/>
              <w:right w:val="single" w:color="FFFFFF" w:sz="6" w:space="0"/>
            </w:tcBorders>
            <w:vAlign w:val="center"/>
          </w:tcPr>
          <w:p w14:paraId="579C5E9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4228700">
            <w:pPr>
              <w:pStyle w:val="7"/>
            </w:pPr>
            <w:r>
              <w:t>单位：万元</w:t>
            </w:r>
          </w:p>
        </w:tc>
      </w:tr>
      <w:tr w14:paraId="30CB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EA0FC">
            <w:pPr>
              <w:pStyle w:val="10"/>
            </w:pPr>
            <w:r>
              <w:t>序号</w:t>
            </w:r>
          </w:p>
        </w:tc>
        <w:tc>
          <w:tcPr>
            <w:tcW w:w="4876" w:type="dxa"/>
            <w:gridSpan w:val="2"/>
            <w:vAlign w:val="center"/>
          </w:tcPr>
          <w:p w14:paraId="13159E2B">
            <w:pPr>
              <w:pStyle w:val="10"/>
            </w:pPr>
            <w:r>
              <w:t>收入</w:t>
            </w:r>
          </w:p>
        </w:tc>
        <w:tc>
          <w:tcPr>
            <w:tcW w:w="9298" w:type="dxa"/>
            <w:gridSpan w:val="5"/>
            <w:vAlign w:val="center"/>
          </w:tcPr>
          <w:p w14:paraId="20839E44">
            <w:pPr>
              <w:pStyle w:val="10"/>
            </w:pPr>
            <w:r>
              <w:t>支出</w:t>
            </w:r>
          </w:p>
        </w:tc>
      </w:tr>
      <w:tr w14:paraId="5161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06E937"/>
        </w:tc>
        <w:tc>
          <w:tcPr>
            <w:tcW w:w="3402" w:type="dxa"/>
            <w:vAlign w:val="center"/>
          </w:tcPr>
          <w:p w14:paraId="6961C159">
            <w:pPr>
              <w:pStyle w:val="10"/>
            </w:pPr>
            <w:r>
              <w:t>项  目</w:t>
            </w:r>
          </w:p>
        </w:tc>
        <w:tc>
          <w:tcPr>
            <w:tcW w:w="1474" w:type="dxa"/>
            <w:vAlign w:val="center"/>
          </w:tcPr>
          <w:p w14:paraId="48125E4B">
            <w:pPr>
              <w:pStyle w:val="10"/>
            </w:pPr>
            <w:r>
              <w:t>金额</w:t>
            </w:r>
          </w:p>
        </w:tc>
        <w:tc>
          <w:tcPr>
            <w:tcW w:w="3402" w:type="dxa"/>
            <w:vAlign w:val="center"/>
          </w:tcPr>
          <w:p w14:paraId="0BA6A62B">
            <w:pPr>
              <w:pStyle w:val="10"/>
            </w:pPr>
            <w:r>
              <w:t>项  目</w:t>
            </w:r>
          </w:p>
        </w:tc>
        <w:tc>
          <w:tcPr>
            <w:tcW w:w="1474" w:type="dxa"/>
            <w:vAlign w:val="center"/>
          </w:tcPr>
          <w:p w14:paraId="5CAF8BDD">
            <w:pPr>
              <w:pStyle w:val="10"/>
            </w:pPr>
            <w:r>
              <w:t>合计</w:t>
            </w:r>
          </w:p>
        </w:tc>
        <w:tc>
          <w:tcPr>
            <w:tcW w:w="1474" w:type="dxa"/>
            <w:vAlign w:val="center"/>
          </w:tcPr>
          <w:p w14:paraId="73E5F9F5">
            <w:pPr>
              <w:pStyle w:val="10"/>
            </w:pPr>
            <w:r>
              <w:t>一般公共预算财政拨款</w:t>
            </w:r>
          </w:p>
        </w:tc>
        <w:tc>
          <w:tcPr>
            <w:tcW w:w="1474" w:type="dxa"/>
            <w:vAlign w:val="center"/>
          </w:tcPr>
          <w:p w14:paraId="670AE438">
            <w:pPr>
              <w:pStyle w:val="10"/>
            </w:pPr>
            <w:r>
              <w:t>政府性基金预算财政    拨款</w:t>
            </w:r>
          </w:p>
        </w:tc>
        <w:tc>
          <w:tcPr>
            <w:tcW w:w="1474" w:type="dxa"/>
            <w:vAlign w:val="center"/>
          </w:tcPr>
          <w:p w14:paraId="390B65DB">
            <w:pPr>
              <w:pStyle w:val="10"/>
            </w:pPr>
            <w:r>
              <w:t>国有资本经营预算财政拨款</w:t>
            </w:r>
          </w:p>
        </w:tc>
      </w:tr>
      <w:tr w14:paraId="6E82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668F74">
            <w:pPr>
              <w:pStyle w:val="10"/>
            </w:pPr>
            <w:r>
              <w:t>栏次</w:t>
            </w:r>
          </w:p>
        </w:tc>
        <w:tc>
          <w:tcPr>
            <w:tcW w:w="3402" w:type="dxa"/>
            <w:vAlign w:val="center"/>
          </w:tcPr>
          <w:p w14:paraId="666448B6">
            <w:pPr>
              <w:pStyle w:val="10"/>
            </w:pPr>
            <w:r>
              <w:t>1</w:t>
            </w:r>
          </w:p>
        </w:tc>
        <w:tc>
          <w:tcPr>
            <w:tcW w:w="1474" w:type="dxa"/>
            <w:vAlign w:val="center"/>
          </w:tcPr>
          <w:p w14:paraId="4AF5E32F">
            <w:pPr>
              <w:pStyle w:val="10"/>
            </w:pPr>
            <w:r>
              <w:t>2</w:t>
            </w:r>
          </w:p>
        </w:tc>
        <w:tc>
          <w:tcPr>
            <w:tcW w:w="3402" w:type="dxa"/>
            <w:vAlign w:val="center"/>
          </w:tcPr>
          <w:p w14:paraId="04978FBD">
            <w:pPr>
              <w:pStyle w:val="10"/>
            </w:pPr>
            <w:r>
              <w:t>3</w:t>
            </w:r>
          </w:p>
        </w:tc>
        <w:tc>
          <w:tcPr>
            <w:tcW w:w="1474" w:type="dxa"/>
            <w:vAlign w:val="center"/>
          </w:tcPr>
          <w:p w14:paraId="39411A7E">
            <w:pPr>
              <w:pStyle w:val="10"/>
            </w:pPr>
            <w:r>
              <w:t>4</w:t>
            </w:r>
          </w:p>
        </w:tc>
        <w:tc>
          <w:tcPr>
            <w:tcW w:w="1474" w:type="dxa"/>
            <w:vAlign w:val="center"/>
          </w:tcPr>
          <w:p w14:paraId="029CBAE4">
            <w:pPr>
              <w:pStyle w:val="10"/>
            </w:pPr>
            <w:r>
              <w:t>5</w:t>
            </w:r>
          </w:p>
        </w:tc>
        <w:tc>
          <w:tcPr>
            <w:tcW w:w="1474" w:type="dxa"/>
            <w:vAlign w:val="center"/>
          </w:tcPr>
          <w:p w14:paraId="6B36710E">
            <w:pPr>
              <w:pStyle w:val="10"/>
            </w:pPr>
            <w:r>
              <w:t>6</w:t>
            </w:r>
          </w:p>
        </w:tc>
        <w:tc>
          <w:tcPr>
            <w:tcW w:w="1474" w:type="dxa"/>
            <w:vAlign w:val="center"/>
          </w:tcPr>
          <w:p w14:paraId="25FA6B8A">
            <w:pPr>
              <w:pStyle w:val="10"/>
            </w:pPr>
            <w:r>
              <w:t>7</w:t>
            </w:r>
          </w:p>
        </w:tc>
      </w:tr>
      <w:tr w14:paraId="4122D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D0305">
            <w:pPr>
              <w:pStyle w:val="13"/>
            </w:pPr>
            <w:r>
              <w:t>1</w:t>
            </w:r>
          </w:p>
        </w:tc>
        <w:tc>
          <w:tcPr>
            <w:tcW w:w="3402" w:type="dxa"/>
            <w:vAlign w:val="center"/>
          </w:tcPr>
          <w:p w14:paraId="3D3AA39F">
            <w:pPr>
              <w:pStyle w:val="12"/>
            </w:pPr>
            <w:r>
              <w:t>一、一般公共预算拨款</w:t>
            </w:r>
          </w:p>
        </w:tc>
        <w:tc>
          <w:tcPr>
            <w:tcW w:w="1474" w:type="dxa"/>
            <w:vAlign w:val="center"/>
          </w:tcPr>
          <w:p w14:paraId="5C4887B9">
            <w:pPr>
              <w:pStyle w:val="11"/>
            </w:pPr>
            <w:r>
              <w:t>1146.78</w:t>
            </w:r>
          </w:p>
        </w:tc>
        <w:tc>
          <w:tcPr>
            <w:tcW w:w="3402" w:type="dxa"/>
            <w:vAlign w:val="center"/>
          </w:tcPr>
          <w:p w14:paraId="34B38B59">
            <w:pPr>
              <w:pStyle w:val="12"/>
            </w:pPr>
            <w:r>
              <w:t>一、一般公共服务支出</w:t>
            </w:r>
          </w:p>
        </w:tc>
        <w:tc>
          <w:tcPr>
            <w:tcW w:w="1474" w:type="dxa"/>
            <w:vAlign w:val="center"/>
          </w:tcPr>
          <w:p w14:paraId="18485B69">
            <w:pPr>
              <w:pStyle w:val="11"/>
            </w:pPr>
          </w:p>
        </w:tc>
        <w:tc>
          <w:tcPr>
            <w:tcW w:w="1474" w:type="dxa"/>
            <w:vAlign w:val="center"/>
          </w:tcPr>
          <w:p w14:paraId="2D6B70B1">
            <w:pPr>
              <w:pStyle w:val="11"/>
            </w:pPr>
          </w:p>
        </w:tc>
        <w:tc>
          <w:tcPr>
            <w:tcW w:w="1474" w:type="dxa"/>
            <w:vAlign w:val="center"/>
          </w:tcPr>
          <w:p w14:paraId="175A7475">
            <w:pPr>
              <w:pStyle w:val="11"/>
            </w:pPr>
          </w:p>
        </w:tc>
        <w:tc>
          <w:tcPr>
            <w:tcW w:w="1474" w:type="dxa"/>
            <w:vAlign w:val="center"/>
          </w:tcPr>
          <w:p w14:paraId="561C464B">
            <w:pPr>
              <w:pStyle w:val="11"/>
            </w:pPr>
          </w:p>
        </w:tc>
      </w:tr>
      <w:tr w14:paraId="7413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08B0">
            <w:pPr>
              <w:pStyle w:val="13"/>
            </w:pPr>
            <w:r>
              <w:t>2</w:t>
            </w:r>
          </w:p>
        </w:tc>
        <w:tc>
          <w:tcPr>
            <w:tcW w:w="3402" w:type="dxa"/>
            <w:vAlign w:val="center"/>
          </w:tcPr>
          <w:p w14:paraId="7954AD17">
            <w:pPr>
              <w:pStyle w:val="12"/>
            </w:pPr>
            <w:r>
              <w:t>二、政府性基金预算拨款</w:t>
            </w:r>
          </w:p>
        </w:tc>
        <w:tc>
          <w:tcPr>
            <w:tcW w:w="1474" w:type="dxa"/>
            <w:vAlign w:val="center"/>
          </w:tcPr>
          <w:p w14:paraId="5A7699F9">
            <w:pPr>
              <w:pStyle w:val="11"/>
            </w:pPr>
          </w:p>
        </w:tc>
        <w:tc>
          <w:tcPr>
            <w:tcW w:w="3402" w:type="dxa"/>
            <w:vAlign w:val="center"/>
          </w:tcPr>
          <w:p w14:paraId="438650B6">
            <w:pPr>
              <w:pStyle w:val="12"/>
            </w:pPr>
            <w:r>
              <w:t>二、外交支出</w:t>
            </w:r>
          </w:p>
        </w:tc>
        <w:tc>
          <w:tcPr>
            <w:tcW w:w="1474" w:type="dxa"/>
            <w:vAlign w:val="center"/>
          </w:tcPr>
          <w:p w14:paraId="5913A6B3">
            <w:pPr>
              <w:pStyle w:val="11"/>
            </w:pPr>
          </w:p>
        </w:tc>
        <w:tc>
          <w:tcPr>
            <w:tcW w:w="1474" w:type="dxa"/>
            <w:vAlign w:val="center"/>
          </w:tcPr>
          <w:p w14:paraId="129AD770">
            <w:pPr>
              <w:pStyle w:val="11"/>
            </w:pPr>
          </w:p>
        </w:tc>
        <w:tc>
          <w:tcPr>
            <w:tcW w:w="1474" w:type="dxa"/>
            <w:vAlign w:val="center"/>
          </w:tcPr>
          <w:p w14:paraId="61C58FB9">
            <w:pPr>
              <w:pStyle w:val="11"/>
            </w:pPr>
          </w:p>
        </w:tc>
        <w:tc>
          <w:tcPr>
            <w:tcW w:w="1474" w:type="dxa"/>
            <w:vAlign w:val="center"/>
          </w:tcPr>
          <w:p w14:paraId="71CC57A6">
            <w:pPr>
              <w:pStyle w:val="11"/>
            </w:pPr>
          </w:p>
        </w:tc>
      </w:tr>
      <w:tr w14:paraId="7902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A03A4">
            <w:pPr>
              <w:pStyle w:val="13"/>
            </w:pPr>
            <w:r>
              <w:t>3</w:t>
            </w:r>
          </w:p>
        </w:tc>
        <w:tc>
          <w:tcPr>
            <w:tcW w:w="3402" w:type="dxa"/>
            <w:vAlign w:val="center"/>
          </w:tcPr>
          <w:p w14:paraId="6C5ECA2E">
            <w:pPr>
              <w:pStyle w:val="12"/>
            </w:pPr>
            <w:r>
              <w:t>三、国有资本经营预算拨款</w:t>
            </w:r>
          </w:p>
        </w:tc>
        <w:tc>
          <w:tcPr>
            <w:tcW w:w="1474" w:type="dxa"/>
            <w:vAlign w:val="center"/>
          </w:tcPr>
          <w:p w14:paraId="3D4BBA86">
            <w:pPr>
              <w:pStyle w:val="11"/>
            </w:pPr>
          </w:p>
        </w:tc>
        <w:tc>
          <w:tcPr>
            <w:tcW w:w="3402" w:type="dxa"/>
            <w:vAlign w:val="center"/>
          </w:tcPr>
          <w:p w14:paraId="377C54A7">
            <w:pPr>
              <w:pStyle w:val="12"/>
            </w:pPr>
            <w:r>
              <w:t>三、国防支出</w:t>
            </w:r>
          </w:p>
        </w:tc>
        <w:tc>
          <w:tcPr>
            <w:tcW w:w="1474" w:type="dxa"/>
            <w:vAlign w:val="center"/>
          </w:tcPr>
          <w:p w14:paraId="66F17806">
            <w:pPr>
              <w:pStyle w:val="11"/>
            </w:pPr>
          </w:p>
        </w:tc>
        <w:tc>
          <w:tcPr>
            <w:tcW w:w="1474" w:type="dxa"/>
            <w:vAlign w:val="center"/>
          </w:tcPr>
          <w:p w14:paraId="3A5A64FD">
            <w:pPr>
              <w:pStyle w:val="11"/>
            </w:pPr>
          </w:p>
        </w:tc>
        <w:tc>
          <w:tcPr>
            <w:tcW w:w="1474" w:type="dxa"/>
            <w:vAlign w:val="center"/>
          </w:tcPr>
          <w:p w14:paraId="62D4E57D">
            <w:pPr>
              <w:pStyle w:val="11"/>
            </w:pPr>
          </w:p>
        </w:tc>
        <w:tc>
          <w:tcPr>
            <w:tcW w:w="1474" w:type="dxa"/>
            <w:vAlign w:val="center"/>
          </w:tcPr>
          <w:p w14:paraId="0560B0AC">
            <w:pPr>
              <w:pStyle w:val="11"/>
            </w:pPr>
          </w:p>
        </w:tc>
      </w:tr>
      <w:tr w14:paraId="48C2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AD57A">
            <w:pPr>
              <w:pStyle w:val="13"/>
            </w:pPr>
            <w:r>
              <w:t>4</w:t>
            </w:r>
          </w:p>
        </w:tc>
        <w:tc>
          <w:tcPr>
            <w:tcW w:w="3402" w:type="dxa"/>
            <w:vAlign w:val="center"/>
          </w:tcPr>
          <w:p w14:paraId="00EA4C8B">
            <w:pPr>
              <w:pStyle w:val="12"/>
            </w:pPr>
          </w:p>
        </w:tc>
        <w:tc>
          <w:tcPr>
            <w:tcW w:w="1474" w:type="dxa"/>
            <w:vAlign w:val="center"/>
          </w:tcPr>
          <w:p w14:paraId="1D0C886B">
            <w:pPr>
              <w:pStyle w:val="11"/>
            </w:pPr>
          </w:p>
        </w:tc>
        <w:tc>
          <w:tcPr>
            <w:tcW w:w="3402" w:type="dxa"/>
            <w:vAlign w:val="center"/>
          </w:tcPr>
          <w:p w14:paraId="378A8AA2">
            <w:pPr>
              <w:pStyle w:val="12"/>
            </w:pPr>
            <w:r>
              <w:t>四、公共安全支出</w:t>
            </w:r>
          </w:p>
        </w:tc>
        <w:tc>
          <w:tcPr>
            <w:tcW w:w="1474" w:type="dxa"/>
            <w:vAlign w:val="center"/>
          </w:tcPr>
          <w:p w14:paraId="1FA471A8">
            <w:pPr>
              <w:pStyle w:val="11"/>
            </w:pPr>
          </w:p>
        </w:tc>
        <w:tc>
          <w:tcPr>
            <w:tcW w:w="1474" w:type="dxa"/>
            <w:vAlign w:val="center"/>
          </w:tcPr>
          <w:p w14:paraId="19D29E1E">
            <w:pPr>
              <w:pStyle w:val="11"/>
            </w:pPr>
          </w:p>
        </w:tc>
        <w:tc>
          <w:tcPr>
            <w:tcW w:w="1474" w:type="dxa"/>
            <w:vAlign w:val="center"/>
          </w:tcPr>
          <w:p w14:paraId="44847B13">
            <w:pPr>
              <w:pStyle w:val="11"/>
            </w:pPr>
          </w:p>
        </w:tc>
        <w:tc>
          <w:tcPr>
            <w:tcW w:w="1474" w:type="dxa"/>
            <w:vAlign w:val="center"/>
          </w:tcPr>
          <w:p w14:paraId="2E9B0C14">
            <w:pPr>
              <w:pStyle w:val="11"/>
            </w:pPr>
          </w:p>
        </w:tc>
      </w:tr>
      <w:tr w14:paraId="1C1C9C86">
        <w:tblPrEx>
          <w:tblCellMar>
            <w:top w:w="0" w:type="dxa"/>
            <w:left w:w="108" w:type="dxa"/>
            <w:bottom w:w="0" w:type="dxa"/>
            <w:right w:w="108" w:type="dxa"/>
          </w:tblCellMar>
        </w:tblPrEx>
        <w:trPr>
          <w:trHeight w:val="369" w:hRule="atLeast"/>
          <w:jc w:val="center"/>
        </w:trPr>
        <w:tc>
          <w:tcPr>
            <w:tcW w:w="850" w:type="dxa"/>
            <w:vAlign w:val="center"/>
          </w:tcPr>
          <w:p w14:paraId="0421561D">
            <w:pPr>
              <w:pStyle w:val="13"/>
            </w:pPr>
            <w:r>
              <w:t>5</w:t>
            </w:r>
          </w:p>
        </w:tc>
        <w:tc>
          <w:tcPr>
            <w:tcW w:w="3402" w:type="dxa"/>
            <w:vAlign w:val="center"/>
          </w:tcPr>
          <w:p w14:paraId="1CBFD1DC">
            <w:pPr>
              <w:pStyle w:val="12"/>
            </w:pPr>
          </w:p>
        </w:tc>
        <w:tc>
          <w:tcPr>
            <w:tcW w:w="1474" w:type="dxa"/>
            <w:vAlign w:val="center"/>
          </w:tcPr>
          <w:p w14:paraId="74832BBA">
            <w:pPr>
              <w:pStyle w:val="11"/>
            </w:pPr>
          </w:p>
        </w:tc>
        <w:tc>
          <w:tcPr>
            <w:tcW w:w="3402" w:type="dxa"/>
            <w:vAlign w:val="center"/>
          </w:tcPr>
          <w:p w14:paraId="300EBEEC">
            <w:pPr>
              <w:pStyle w:val="12"/>
            </w:pPr>
            <w:r>
              <w:t>五、教育支出</w:t>
            </w:r>
          </w:p>
        </w:tc>
        <w:tc>
          <w:tcPr>
            <w:tcW w:w="1474" w:type="dxa"/>
            <w:vAlign w:val="center"/>
          </w:tcPr>
          <w:p w14:paraId="7BBDADB8">
            <w:pPr>
              <w:pStyle w:val="11"/>
            </w:pPr>
            <w:r>
              <w:t>1146.78</w:t>
            </w:r>
          </w:p>
        </w:tc>
        <w:tc>
          <w:tcPr>
            <w:tcW w:w="1474" w:type="dxa"/>
            <w:vAlign w:val="center"/>
          </w:tcPr>
          <w:p w14:paraId="19B8BD87">
            <w:pPr>
              <w:pStyle w:val="11"/>
            </w:pPr>
            <w:r>
              <w:t>1146.78</w:t>
            </w:r>
          </w:p>
        </w:tc>
        <w:tc>
          <w:tcPr>
            <w:tcW w:w="1474" w:type="dxa"/>
            <w:vAlign w:val="center"/>
          </w:tcPr>
          <w:p w14:paraId="3247F7CE">
            <w:pPr>
              <w:pStyle w:val="11"/>
            </w:pPr>
          </w:p>
        </w:tc>
        <w:tc>
          <w:tcPr>
            <w:tcW w:w="1474" w:type="dxa"/>
            <w:vAlign w:val="center"/>
          </w:tcPr>
          <w:p w14:paraId="5D01D4C6">
            <w:pPr>
              <w:pStyle w:val="11"/>
            </w:pPr>
          </w:p>
        </w:tc>
      </w:tr>
      <w:tr w14:paraId="571F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52A6B">
            <w:pPr>
              <w:pStyle w:val="13"/>
            </w:pPr>
            <w:r>
              <w:t>6</w:t>
            </w:r>
          </w:p>
        </w:tc>
        <w:tc>
          <w:tcPr>
            <w:tcW w:w="3402" w:type="dxa"/>
            <w:vAlign w:val="center"/>
          </w:tcPr>
          <w:p w14:paraId="0D58189C">
            <w:pPr>
              <w:pStyle w:val="12"/>
            </w:pPr>
          </w:p>
        </w:tc>
        <w:tc>
          <w:tcPr>
            <w:tcW w:w="1474" w:type="dxa"/>
            <w:vAlign w:val="center"/>
          </w:tcPr>
          <w:p w14:paraId="3364F8F2">
            <w:pPr>
              <w:pStyle w:val="11"/>
            </w:pPr>
          </w:p>
        </w:tc>
        <w:tc>
          <w:tcPr>
            <w:tcW w:w="3402" w:type="dxa"/>
            <w:vAlign w:val="center"/>
          </w:tcPr>
          <w:p w14:paraId="324D1429">
            <w:pPr>
              <w:pStyle w:val="12"/>
            </w:pPr>
            <w:r>
              <w:t>六、科学技术支出</w:t>
            </w:r>
          </w:p>
        </w:tc>
        <w:tc>
          <w:tcPr>
            <w:tcW w:w="1474" w:type="dxa"/>
            <w:vAlign w:val="center"/>
          </w:tcPr>
          <w:p w14:paraId="5DDF3F0D">
            <w:pPr>
              <w:pStyle w:val="11"/>
            </w:pPr>
          </w:p>
        </w:tc>
        <w:tc>
          <w:tcPr>
            <w:tcW w:w="1474" w:type="dxa"/>
            <w:vAlign w:val="center"/>
          </w:tcPr>
          <w:p w14:paraId="2AE42C62">
            <w:pPr>
              <w:pStyle w:val="11"/>
            </w:pPr>
          </w:p>
        </w:tc>
        <w:tc>
          <w:tcPr>
            <w:tcW w:w="1474" w:type="dxa"/>
            <w:vAlign w:val="center"/>
          </w:tcPr>
          <w:p w14:paraId="5D519134">
            <w:pPr>
              <w:pStyle w:val="11"/>
            </w:pPr>
          </w:p>
        </w:tc>
        <w:tc>
          <w:tcPr>
            <w:tcW w:w="1474" w:type="dxa"/>
            <w:vAlign w:val="center"/>
          </w:tcPr>
          <w:p w14:paraId="2B9AC8D2">
            <w:pPr>
              <w:pStyle w:val="11"/>
            </w:pPr>
          </w:p>
        </w:tc>
      </w:tr>
      <w:tr w14:paraId="2C57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6D502">
            <w:pPr>
              <w:pStyle w:val="13"/>
            </w:pPr>
            <w:r>
              <w:t>7</w:t>
            </w:r>
          </w:p>
        </w:tc>
        <w:tc>
          <w:tcPr>
            <w:tcW w:w="3402" w:type="dxa"/>
            <w:vAlign w:val="center"/>
          </w:tcPr>
          <w:p w14:paraId="28706633">
            <w:pPr>
              <w:pStyle w:val="12"/>
            </w:pPr>
          </w:p>
        </w:tc>
        <w:tc>
          <w:tcPr>
            <w:tcW w:w="1474" w:type="dxa"/>
            <w:vAlign w:val="center"/>
          </w:tcPr>
          <w:p w14:paraId="4CAF4F03">
            <w:pPr>
              <w:pStyle w:val="11"/>
            </w:pPr>
          </w:p>
        </w:tc>
        <w:tc>
          <w:tcPr>
            <w:tcW w:w="3402" w:type="dxa"/>
            <w:vAlign w:val="center"/>
          </w:tcPr>
          <w:p w14:paraId="6B6BA414">
            <w:pPr>
              <w:pStyle w:val="12"/>
            </w:pPr>
            <w:r>
              <w:t>七、文化旅游体育与传媒支出</w:t>
            </w:r>
          </w:p>
        </w:tc>
        <w:tc>
          <w:tcPr>
            <w:tcW w:w="1474" w:type="dxa"/>
            <w:vAlign w:val="center"/>
          </w:tcPr>
          <w:p w14:paraId="3F68F8E6">
            <w:pPr>
              <w:pStyle w:val="11"/>
            </w:pPr>
          </w:p>
        </w:tc>
        <w:tc>
          <w:tcPr>
            <w:tcW w:w="1474" w:type="dxa"/>
            <w:vAlign w:val="center"/>
          </w:tcPr>
          <w:p w14:paraId="639F044C">
            <w:pPr>
              <w:pStyle w:val="11"/>
            </w:pPr>
          </w:p>
        </w:tc>
        <w:tc>
          <w:tcPr>
            <w:tcW w:w="1474" w:type="dxa"/>
            <w:vAlign w:val="center"/>
          </w:tcPr>
          <w:p w14:paraId="176D8080">
            <w:pPr>
              <w:pStyle w:val="11"/>
            </w:pPr>
          </w:p>
        </w:tc>
        <w:tc>
          <w:tcPr>
            <w:tcW w:w="1474" w:type="dxa"/>
            <w:vAlign w:val="center"/>
          </w:tcPr>
          <w:p w14:paraId="6BBF4974">
            <w:pPr>
              <w:pStyle w:val="11"/>
            </w:pPr>
          </w:p>
        </w:tc>
      </w:tr>
      <w:tr w14:paraId="13728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7F39">
            <w:pPr>
              <w:pStyle w:val="13"/>
            </w:pPr>
            <w:r>
              <w:t>8</w:t>
            </w:r>
          </w:p>
        </w:tc>
        <w:tc>
          <w:tcPr>
            <w:tcW w:w="3402" w:type="dxa"/>
            <w:vAlign w:val="center"/>
          </w:tcPr>
          <w:p w14:paraId="4F47C5C9">
            <w:pPr>
              <w:pStyle w:val="12"/>
            </w:pPr>
          </w:p>
        </w:tc>
        <w:tc>
          <w:tcPr>
            <w:tcW w:w="1474" w:type="dxa"/>
            <w:vAlign w:val="center"/>
          </w:tcPr>
          <w:p w14:paraId="54175C2B">
            <w:pPr>
              <w:pStyle w:val="11"/>
            </w:pPr>
          </w:p>
        </w:tc>
        <w:tc>
          <w:tcPr>
            <w:tcW w:w="3402" w:type="dxa"/>
            <w:vAlign w:val="center"/>
          </w:tcPr>
          <w:p w14:paraId="550174AA">
            <w:pPr>
              <w:pStyle w:val="12"/>
            </w:pPr>
            <w:r>
              <w:t>八、社会保障和就业支出</w:t>
            </w:r>
          </w:p>
        </w:tc>
        <w:tc>
          <w:tcPr>
            <w:tcW w:w="1474" w:type="dxa"/>
            <w:vAlign w:val="center"/>
          </w:tcPr>
          <w:p w14:paraId="6F01687C">
            <w:pPr>
              <w:pStyle w:val="11"/>
            </w:pPr>
          </w:p>
        </w:tc>
        <w:tc>
          <w:tcPr>
            <w:tcW w:w="1474" w:type="dxa"/>
            <w:vAlign w:val="center"/>
          </w:tcPr>
          <w:p w14:paraId="5DF1087E">
            <w:pPr>
              <w:pStyle w:val="11"/>
            </w:pPr>
          </w:p>
        </w:tc>
        <w:tc>
          <w:tcPr>
            <w:tcW w:w="1474" w:type="dxa"/>
            <w:vAlign w:val="center"/>
          </w:tcPr>
          <w:p w14:paraId="681BD015">
            <w:pPr>
              <w:pStyle w:val="11"/>
            </w:pPr>
          </w:p>
        </w:tc>
        <w:tc>
          <w:tcPr>
            <w:tcW w:w="1474" w:type="dxa"/>
            <w:vAlign w:val="center"/>
          </w:tcPr>
          <w:p w14:paraId="02D5C58A">
            <w:pPr>
              <w:pStyle w:val="11"/>
            </w:pPr>
          </w:p>
        </w:tc>
      </w:tr>
      <w:tr w14:paraId="6BD5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1919D">
            <w:pPr>
              <w:pStyle w:val="13"/>
            </w:pPr>
            <w:r>
              <w:t>9</w:t>
            </w:r>
          </w:p>
        </w:tc>
        <w:tc>
          <w:tcPr>
            <w:tcW w:w="3402" w:type="dxa"/>
            <w:vAlign w:val="center"/>
          </w:tcPr>
          <w:p w14:paraId="4A79E5BC">
            <w:pPr>
              <w:pStyle w:val="12"/>
            </w:pPr>
          </w:p>
        </w:tc>
        <w:tc>
          <w:tcPr>
            <w:tcW w:w="1474" w:type="dxa"/>
            <w:vAlign w:val="center"/>
          </w:tcPr>
          <w:p w14:paraId="7AF698EF">
            <w:pPr>
              <w:pStyle w:val="11"/>
            </w:pPr>
          </w:p>
        </w:tc>
        <w:tc>
          <w:tcPr>
            <w:tcW w:w="3402" w:type="dxa"/>
            <w:vAlign w:val="center"/>
          </w:tcPr>
          <w:p w14:paraId="1F1E7D9B">
            <w:pPr>
              <w:pStyle w:val="12"/>
            </w:pPr>
            <w:r>
              <w:t>九、社会保险基金支出</w:t>
            </w:r>
          </w:p>
        </w:tc>
        <w:tc>
          <w:tcPr>
            <w:tcW w:w="1474" w:type="dxa"/>
            <w:vAlign w:val="center"/>
          </w:tcPr>
          <w:p w14:paraId="49796F79">
            <w:pPr>
              <w:pStyle w:val="11"/>
            </w:pPr>
          </w:p>
        </w:tc>
        <w:tc>
          <w:tcPr>
            <w:tcW w:w="1474" w:type="dxa"/>
            <w:vAlign w:val="center"/>
          </w:tcPr>
          <w:p w14:paraId="68793A9F">
            <w:pPr>
              <w:pStyle w:val="11"/>
            </w:pPr>
          </w:p>
        </w:tc>
        <w:tc>
          <w:tcPr>
            <w:tcW w:w="1474" w:type="dxa"/>
            <w:vAlign w:val="center"/>
          </w:tcPr>
          <w:p w14:paraId="5F8B4E0B">
            <w:pPr>
              <w:pStyle w:val="11"/>
            </w:pPr>
          </w:p>
        </w:tc>
        <w:tc>
          <w:tcPr>
            <w:tcW w:w="1474" w:type="dxa"/>
            <w:vAlign w:val="center"/>
          </w:tcPr>
          <w:p w14:paraId="08EAC401">
            <w:pPr>
              <w:pStyle w:val="11"/>
            </w:pPr>
          </w:p>
        </w:tc>
      </w:tr>
      <w:tr w14:paraId="0D13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036B1">
            <w:pPr>
              <w:pStyle w:val="13"/>
            </w:pPr>
            <w:r>
              <w:t>10</w:t>
            </w:r>
          </w:p>
        </w:tc>
        <w:tc>
          <w:tcPr>
            <w:tcW w:w="3402" w:type="dxa"/>
            <w:vAlign w:val="center"/>
          </w:tcPr>
          <w:p w14:paraId="505DAC60">
            <w:pPr>
              <w:pStyle w:val="12"/>
            </w:pPr>
          </w:p>
        </w:tc>
        <w:tc>
          <w:tcPr>
            <w:tcW w:w="1474" w:type="dxa"/>
            <w:vAlign w:val="center"/>
          </w:tcPr>
          <w:p w14:paraId="4CFDB87D">
            <w:pPr>
              <w:pStyle w:val="11"/>
            </w:pPr>
          </w:p>
        </w:tc>
        <w:tc>
          <w:tcPr>
            <w:tcW w:w="3402" w:type="dxa"/>
            <w:vAlign w:val="center"/>
          </w:tcPr>
          <w:p w14:paraId="40F5A1AC">
            <w:pPr>
              <w:pStyle w:val="12"/>
            </w:pPr>
            <w:r>
              <w:t>十、卫生健康支出</w:t>
            </w:r>
          </w:p>
        </w:tc>
        <w:tc>
          <w:tcPr>
            <w:tcW w:w="1474" w:type="dxa"/>
            <w:vAlign w:val="center"/>
          </w:tcPr>
          <w:p w14:paraId="7750E3D5">
            <w:pPr>
              <w:pStyle w:val="11"/>
            </w:pPr>
          </w:p>
        </w:tc>
        <w:tc>
          <w:tcPr>
            <w:tcW w:w="1474" w:type="dxa"/>
            <w:vAlign w:val="center"/>
          </w:tcPr>
          <w:p w14:paraId="7C400C38">
            <w:pPr>
              <w:pStyle w:val="11"/>
            </w:pPr>
          </w:p>
        </w:tc>
        <w:tc>
          <w:tcPr>
            <w:tcW w:w="1474" w:type="dxa"/>
            <w:vAlign w:val="center"/>
          </w:tcPr>
          <w:p w14:paraId="025C39AC">
            <w:pPr>
              <w:pStyle w:val="11"/>
            </w:pPr>
          </w:p>
        </w:tc>
        <w:tc>
          <w:tcPr>
            <w:tcW w:w="1474" w:type="dxa"/>
            <w:vAlign w:val="center"/>
          </w:tcPr>
          <w:p w14:paraId="32C1FF6B">
            <w:pPr>
              <w:pStyle w:val="11"/>
            </w:pPr>
          </w:p>
        </w:tc>
      </w:tr>
      <w:tr w14:paraId="6CA5104E">
        <w:tblPrEx>
          <w:tblCellMar>
            <w:top w:w="0" w:type="dxa"/>
            <w:left w:w="108" w:type="dxa"/>
            <w:bottom w:w="0" w:type="dxa"/>
            <w:right w:w="108" w:type="dxa"/>
          </w:tblCellMar>
        </w:tblPrEx>
        <w:trPr>
          <w:trHeight w:val="369" w:hRule="atLeast"/>
          <w:jc w:val="center"/>
        </w:trPr>
        <w:tc>
          <w:tcPr>
            <w:tcW w:w="850" w:type="dxa"/>
            <w:vAlign w:val="center"/>
          </w:tcPr>
          <w:p w14:paraId="5D5506D1">
            <w:pPr>
              <w:pStyle w:val="13"/>
            </w:pPr>
            <w:r>
              <w:t>11</w:t>
            </w:r>
          </w:p>
        </w:tc>
        <w:tc>
          <w:tcPr>
            <w:tcW w:w="3402" w:type="dxa"/>
            <w:vAlign w:val="center"/>
          </w:tcPr>
          <w:p w14:paraId="6886DBCE">
            <w:pPr>
              <w:pStyle w:val="12"/>
            </w:pPr>
          </w:p>
        </w:tc>
        <w:tc>
          <w:tcPr>
            <w:tcW w:w="1474" w:type="dxa"/>
            <w:vAlign w:val="center"/>
          </w:tcPr>
          <w:p w14:paraId="507EEB4B">
            <w:pPr>
              <w:pStyle w:val="11"/>
            </w:pPr>
          </w:p>
        </w:tc>
        <w:tc>
          <w:tcPr>
            <w:tcW w:w="3402" w:type="dxa"/>
            <w:vAlign w:val="center"/>
          </w:tcPr>
          <w:p w14:paraId="3DABC1AA">
            <w:pPr>
              <w:pStyle w:val="12"/>
            </w:pPr>
            <w:r>
              <w:t>十一、节能环保支出</w:t>
            </w:r>
          </w:p>
        </w:tc>
        <w:tc>
          <w:tcPr>
            <w:tcW w:w="1474" w:type="dxa"/>
            <w:vAlign w:val="center"/>
          </w:tcPr>
          <w:p w14:paraId="050DA9BF">
            <w:pPr>
              <w:pStyle w:val="11"/>
            </w:pPr>
          </w:p>
        </w:tc>
        <w:tc>
          <w:tcPr>
            <w:tcW w:w="1474" w:type="dxa"/>
            <w:vAlign w:val="center"/>
          </w:tcPr>
          <w:p w14:paraId="72BBBC09">
            <w:pPr>
              <w:pStyle w:val="11"/>
            </w:pPr>
          </w:p>
        </w:tc>
        <w:tc>
          <w:tcPr>
            <w:tcW w:w="1474" w:type="dxa"/>
            <w:vAlign w:val="center"/>
          </w:tcPr>
          <w:p w14:paraId="1B247196">
            <w:pPr>
              <w:pStyle w:val="11"/>
            </w:pPr>
          </w:p>
        </w:tc>
        <w:tc>
          <w:tcPr>
            <w:tcW w:w="1474" w:type="dxa"/>
            <w:vAlign w:val="center"/>
          </w:tcPr>
          <w:p w14:paraId="6C39B6C0">
            <w:pPr>
              <w:pStyle w:val="11"/>
            </w:pPr>
          </w:p>
        </w:tc>
      </w:tr>
      <w:tr w14:paraId="5C15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C44A">
            <w:pPr>
              <w:pStyle w:val="13"/>
            </w:pPr>
            <w:r>
              <w:t>12</w:t>
            </w:r>
          </w:p>
        </w:tc>
        <w:tc>
          <w:tcPr>
            <w:tcW w:w="3402" w:type="dxa"/>
            <w:vAlign w:val="center"/>
          </w:tcPr>
          <w:p w14:paraId="16F5D601">
            <w:pPr>
              <w:pStyle w:val="12"/>
            </w:pPr>
          </w:p>
        </w:tc>
        <w:tc>
          <w:tcPr>
            <w:tcW w:w="1474" w:type="dxa"/>
            <w:vAlign w:val="center"/>
          </w:tcPr>
          <w:p w14:paraId="113B53BF">
            <w:pPr>
              <w:pStyle w:val="11"/>
            </w:pPr>
          </w:p>
        </w:tc>
        <w:tc>
          <w:tcPr>
            <w:tcW w:w="3402" w:type="dxa"/>
            <w:vAlign w:val="center"/>
          </w:tcPr>
          <w:p w14:paraId="54DBFBD3">
            <w:pPr>
              <w:pStyle w:val="12"/>
            </w:pPr>
            <w:r>
              <w:t>十二、城乡社区支出</w:t>
            </w:r>
          </w:p>
        </w:tc>
        <w:tc>
          <w:tcPr>
            <w:tcW w:w="1474" w:type="dxa"/>
            <w:vAlign w:val="center"/>
          </w:tcPr>
          <w:p w14:paraId="185AA3D5">
            <w:pPr>
              <w:pStyle w:val="11"/>
            </w:pPr>
          </w:p>
        </w:tc>
        <w:tc>
          <w:tcPr>
            <w:tcW w:w="1474" w:type="dxa"/>
            <w:vAlign w:val="center"/>
          </w:tcPr>
          <w:p w14:paraId="3EB000F9">
            <w:pPr>
              <w:pStyle w:val="11"/>
            </w:pPr>
          </w:p>
        </w:tc>
        <w:tc>
          <w:tcPr>
            <w:tcW w:w="1474" w:type="dxa"/>
            <w:vAlign w:val="center"/>
          </w:tcPr>
          <w:p w14:paraId="6DBE1729">
            <w:pPr>
              <w:pStyle w:val="11"/>
            </w:pPr>
          </w:p>
        </w:tc>
        <w:tc>
          <w:tcPr>
            <w:tcW w:w="1474" w:type="dxa"/>
            <w:vAlign w:val="center"/>
          </w:tcPr>
          <w:p w14:paraId="4016CD82">
            <w:pPr>
              <w:pStyle w:val="11"/>
            </w:pPr>
          </w:p>
        </w:tc>
      </w:tr>
      <w:tr w14:paraId="7390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5B034">
            <w:pPr>
              <w:pStyle w:val="13"/>
            </w:pPr>
            <w:r>
              <w:t>13</w:t>
            </w:r>
          </w:p>
        </w:tc>
        <w:tc>
          <w:tcPr>
            <w:tcW w:w="3402" w:type="dxa"/>
            <w:vAlign w:val="center"/>
          </w:tcPr>
          <w:p w14:paraId="12D373DB">
            <w:pPr>
              <w:pStyle w:val="12"/>
            </w:pPr>
          </w:p>
        </w:tc>
        <w:tc>
          <w:tcPr>
            <w:tcW w:w="1474" w:type="dxa"/>
            <w:vAlign w:val="center"/>
          </w:tcPr>
          <w:p w14:paraId="61F4AD18">
            <w:pPr>
              <w:pStyle w:val="11"/>
            </w:pPr>
          </w:p>
        </w:tc>
        <w:tc>
          <w:tcPr>
            <w:tcW w:w="3402" w:type="dxa"/>
            <w:vAlign w:val="center"/>
          </w:tcPr>
          <w:p w14:paraId="23AFFEE7">
            <w:pPr>
              <w:pStyle w:val="12"/>
            </w:pPr>
            <w:r>
              <w:t>十三、农林水支出</w:t>
            </w:r>
          </w:p>
        </w:tc>
        <w:tc>
          <w:tcPr>
            <w:tcW w:w="1474" w:type="dxa"/>
            <w:vAlign w:val="center"/>
          </w:tcPr>
          <w:p w14:paraId="207F93E7">
            <w:pPr>
              <w:pStyle w:val="11"/>
            </w:pPr>
          </w:p>
        </w:tc>
        <w:tc>
          <w:tcPr>
            <w:tcW w:w="1474" w:type="dxa"/>
            <w:vAlign w:val="center"/>
          </w:tcPr>
          <w:p w14:paraId="568C45A3">
            <w:pPr>
              <w:pStyle w:val="11"/>
            </w:pPr>
          </w:p>
        </w:tc>
        <w:tc>
          <w:tcPr>
            <w:tcW w:w="1474" w:type="dxa"/>
            <w:vAlign w:val="center"/>
          </w:tcPr>
          <w:p w14:paraId="60755BCA">
            <w:pPr>
              <w:pStyle w:val="11"/>
            </w:pPr>
          </w:p>
        </w:tc>
        <w:tc>
          <w:tcPr>
            <w:tcW w:w="1474" w:type="dxa"/>
            <w:vAlign w:val="center"/>
          </w:tcPr>
          <w:p w14:paraId="6C188FC1">
            <w:pPr>
              <w:pStyle w:val="11"/>
            </w:pPr>
          </w:p>
        </w:tc>
      </w:tr>
      <w:tr w14:paraId="1E604E96">
        <w:tblPrEx>
          <w:tblCellMar>
            <w:top w:w="0" w:type="dxa"/>
            <w:left w:w="108" w:type="dxa"/>
            <w:bottom w:w="0" w:type="dxa"/>
            <w:right w:w="108" w:type="dxa"/>
          </w:tblCellMar>
        </w:tblPrEx>
        <w:trPr>
          <w:trHeight w:val="369" w:hRule="atLeast"/>
          <w:jc w:val="center"/>
        </w:trPr>
        <w:tc>
          <w:tcPr>
            <w:tcW w:w="850" w:type="dxa"/>
            <w:vAlign w:val="center"/>
          </w:tcPr>
          <w:p w14:paraId="42227097">
            <w:pPr>
              <w:pStyle w:val="13"/>
            </w:pPr>
            <w:r>
              <w:t>14</w:t>
            </w:r>
          </w:p>
        </w:tc>
        <w:tc>
          <w:tcPr>
            <w:tcW w:w="3402" w:type="dxa"/>
            <w:vAlign w:val="center"/>
          </w:tcPr>
          <w:p w14:paraId="2E175BD5">
            <w:pPr>
              <w:pStyle w:val="12"/>
            </w:pPr>
          </w:p>
        </w:tc>
        <w:tc>
          <w:tcPr>
            <w:tcW w:w="1474" w:type="dxa"/>
            <w:vAlign w:val="center"/>
          </w:tcPr>
          <w:p w14:paraId="2134E4C1">
            <w:pPr>
              <w:pStyle w:val="11"/>
            </w:pPr>
          </w:p>
        </w:tc>
        <w:tc>
          <w:tcPr>
            <w:tcW w:w="3402" w:type="dxa"/>
            <w:vAlign w:val="center"/>
          </w:tcPr>
          <w:p w14:paraId="0410EAEC">
            <w:pPr>
              <w:pStyle w:val="12"/>
            </w:pPr>
            <w:r>
              <w:t>十四、交通运输支出</w:t>
            </w:r>
          </w:p>
        </w:tc>
        <w:tc>
          <w:tcPr>
            <w:tcW w:w="1474" w:type="dxa"/>
            <w:vAlign w:val="center"/>
          </w:tcPr>
          <w:p w14:paraId="3DD9D8D0">
            <w:pPr>
              <w:pStyle w:val="11"/>
            </w:pPr>
          </w:p>
        </w:tc>
        <w:tc>
          <w:tcPr>
            <w:tcW w:w="1474" w:type="dxa"/>
            <w:vAlign w:val="center"/>
          </w:tcPr>
          <w:p w14:paraId="521E5081">
            <w:pPr>
              <w:pStyle w:val="11"/>
            </w:pPr>
          </w:p>
        </w:tc>
        <w:tc>
          <w:tcPr>
            <w:tcW w:w="1474" w:type="dxa"/>
            <w:vAlign w:val="center"/>
          </w:tcPr>
          <w:p w14:paraId="07B8130C">
            <w:pPr>
              <w:pStyle w:val="11"/>
            </w:pPr>
          </w:p>
        </w:tc>
        <w:tc>
          <w:tcPr>
            <w:tcW w:w="1474" w:type="dxa"/>
            <w:vAlign w:val="center"/>
          </w:tcPr>
          <w:p w14:paraId="2CA7DD7D">
            <w:pPr>
              <w:pStyle w:val="11"/>
            </w:pPr>
          </w:p>
        </w:tc>
      </w:tr>
      <w:tr w14:paraId="1291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6EA7F">
            <w:pPr>
              <w:pStyle w:val="13"/>
            </w:pPr>
            <w:r>
              <w:t>15</w:t>
            </w:r>
          </w:p>
        </w:tc>
        <w:tc>
          <w:tcPr>
            <w:tcW w:w="3402" w:type="dxa"/>
            <w:vAlign w:val="center"/>
          </w:tcPr>
          <w:p w14:paraId="01D316FD">
            <w:pPr>
              <w:pStyle w:val="12"/>
            </w:pPr>
          </w:p>
        </w:tc>
        <w:tc>
          <w:tcPr>
            <w:tcW w:w="1474" w:type="dxa"/>
            <w:vAlign w:val="center"/>
          </w:tcPr>
          <w:p w14:paraId="70EC0882">
            <w:pPr>
              <w:pStyle w:val="11"/>
            </w:pPr>
          </w:p>
        </w:tc>
        <w:tc>
          <w:tcPr>
            <w:tcW w:w="3402" w:type="dxa"/>
            <w:vAlign w:val="center"/>
          </w:tcPr>
          <w:p w14:paraId="1FBD18FA">
            <w:pPr>
              <w:pStyle w:val="12"/>
            </w:pPr>
            <w:r>
              <w:t>十五、资源勘探工业信息等支出</w:t>
            </w:r>
          </w:p>
        </w:tc>
        <w:tc>
          <w:tcPr>
            <w:tcW w:w="1474" w:type="dxa"/>
            <w:vAlign w:val="center"/>
          </w:tcPr>
          <w:p w14:paraId="31C26281">
            <w:pPr>
              <w:pStyle w:val="11"/>
            </w:pPr>
          </w:p>
        </w:tc>
        <w:tc>
          <w:tcPr>
            <w:tcW w:w="1474" w:type="dxa"/>
            <w:vAlign w:val="center"/>
          </w:tcPr>
          <w:p w14:paraId="4A2C2AC0">
            <w:pPr>
              <w:pStyle w:val="11"/>
            </w:pPr>
          </w:p>
        </w:tc>
        <w:tc>
          <w:tcPr>
            <w:tcW w:w="1474" w:type="dxa"/>
            <w:vAlign w:val="center"/>
          </w:tcPr>
          <w:p w14:paraId="0D72941D">
            <w:pPr>
              <w:pStyle w:val="11"/>
            </w:pPr>
          </w:p>
        </w:tc>
        <w:tc>
          <w:tcPr>
            <w:tcW w:w="1474" w:type="dxa"/>
            <w:vAlign w:val="center"/>
          </w:tcPr>
          <w:p w14:paraId="06EC2295">
            <w:pPr>
              <w:pStyle w:val="11"/>
            </w:pPr>
          </w:p>
        </w:tc>
      </w:tr>
      <w:tr w14:paraId="5562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72455">
            <w:pPr>
              <w:pStyle w:val="13"/>
            </w:pPr>
            <w:r>
              <w:t>16</w:t>
            </w:r>
          </w:p>
        </w:tc>
        <w:tc>
          <w:tcPr>
            <w:tcW w:w="3402" w:type="dxa"/>
            <w:vAlign w:val="center"/>
          </w:tcPr>
          <w:p w14:paraId="70DD6DFD">
            <w:pPr>
              <w:pStyle w:val="12"/>
            </w:pPr>
          </w:p>
        </w:tc>
        <w:tc>
          <w:tcPr>
            <w:tcW w:w="1474" w:type="dxa"/>
            <w:vAlign w:val="center"/>
          </w:tcPr>
          <w:p w14:paraId="7E97F556">
            <w:pPr>
              <w:pStyle w:val="11"/>
            </w:pPr>
          </w:p>
        </w:tc>
        <w:tc>
          <w:tcPr>
            <w:tcW w:w="3402" w:type="dxa"/>
            <w:vAlign w:val="center"/>
          </w:tcPr>
          <w:p w14:paraId="6D2E345B">
            <w:pPr>
              <w:pStyle w:val="12"/>
            </w:pPr>
            <w:r>
              <w:t>十六、商业服务业等支出</w:t>
            </w:r>
          </w:p>
        </w:tc>
        <w:tc>
          <w:tcPr>
            <w:tcW w:w="1474" w:type="dxa"/>
            <w:vAlign w:val="center"/>
          </w:tcPr>
          <w:p w14:paraId="27CBF5EC">
            <w:pPr>
              <w:pStyle w:val="11"/>
            </w:pPr>
          </w:p>
        </w:tc>
        <w:tc>
          <w:tcPr>
            <w:tcW w:w="1474" w:type="dxa"/>
            <w:vAlign w:val="center"/>
          </w:tcPr>
          <w:p w14:paraId="17FAA8D8">
            <w:pPr>
              <w:pStyle w:val="11"/>
            </w:pPr>
          </w:p>
        </w:tc>
        <w:tc>
          <w:tcPr>
            <w:tcW w:w="1474" w:type="dxa"/>
            <w:vAlign w:val="center"/>
          </w:tcPr>
          <w:p w14:paraId="7E4D746E">
            <w:pPr>
              <w:pStyle w:val="11"/>
            </w:pPr>
          </w:p>
        </w:tc>
        <w:tc>
          <w:tcPr>
            <w:tcW w:w="1474" w:type="dxa"/>
            <w:vAlign w:val="center"/>
          </w:tcPr>
          <w:p w14:paraId="096EECD8">
            <w:pPr>
              <w:pStyle w:val="11"/>
            </w:pPr>
          </w:p>
        </w:tc>
      </w:tr>
      <w:tr w14:paraId="254D4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625D8">
            <w:pPr>
              <w:pStyle w:val="13"/>
            </w:pPr>
            <w:r>
              <w:t>17</w:t>
            </w:r>
          </w:p>
        </w:tc>
        <w:tc>
          <w:tcPr>
            <w:tcW w:w="3402" w:type="dxa"/>
            <w:vAlign w:val="center"/>
          </w:tcPr>
          <w:p w14:paraId="73921C77">
            <w:pPr>
              <w:pStyle w:val="12"/>
            </w:pPr>
          </w:p>
        </w:tc>
        <w:tc>
          <w:tcPr>
            <w:tcW w:w="1474" w:type="dxa"/>
            <w:vAlign w:val="center"/>
          </w:tcPr>
          <w:p w14:paraId="32F12855">
            <w:pPr>
              <w:pStyle w:val="11"/>
            </w:pPr>
          </w:p>
        </w:tc>
        <w:tc>
          <w:tcPr>
            <w:tcW w:w="3402" w:type="dxa"/>
            <w:vAlign w:val="center"/>
          </w:tcPr>
          <w:p w14:paraId="3F0042AB">
            <w:pPr>
              <w:pStyle w:val="12"/>
            </w:pPr>
            <w:r>
              <w:t>十七、金融支出</w:t>
            </w:r>
          </w:p>
        </w:tc>
        <w:tc>
          <w:tcPr>
            <w:tcW w:w="1474" w:type="dxa"/>
            <w:vAlign w:val="center"/>
          </w:tcPr>
          <w:p w14:paraId="5CE0E318">
            <w:pPr>
              <w:pStyle w:val="11"/>
            </w:pPr>
          </w:p>
        </w:tc>
        <w:tc>
          <w:tcPr>
            <w:tcW w:w="1474" w:type="dxa"/>
            <w:vAlign w:val="center"/>
          </w:tcPr>
          <w:p w14:paraId="54194D07">
            <w:pPr>
              <w:pStyle w:val="11"/>
            </w:pPr>
          </w:p>
        </w:tc>
        <w:tc>
          <w:tcPr>
            <w:tcW w:w="1474" w:type="dxa"/>
            <w:vAlign w:val="center"/>
          </w:tcPr>
          <w:p w14:paraId="5E9936E7">
            <w:pPr>
              <w:pStyle w:val="11"/>
            </w:pPr>
          </w:p>
        </w:tc>
        <w:tc>
          <w:tcPr>
            <w:tcW w:w="1474" w:type="dxa"/>
            <w:vAlign w:val="center"/>
          </w:tcPr>
          <w:p w14:paraId="00EDC8E6">
            <w:pPr>
              <w:pStyle w:val="11"/>
            </w:pPr>
          </w:p>
        </w:tc>
      </w:tr>
      <w:tr w14:paraId="6976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11EC">
            <w:pPr>
              <w:pStyle w:val="13"/>
            </w:pPr>
            <w:r>
              <w:t>18</w:t>
            </w:r>
          </w:p>
        </w:tc>
        <w:tc>
          <w:tcPr>
            <w:tcW w:w="3402" w:type="dxa"/>
            <w:vAlign w:val="center"/>
          </w:tcPr>
          <w:p w14:paraId="33C68B6E">
            <w:pPr>
              <w:pStyle w:val="12"/>
            </w:pPr>
          </w:p>
        </w:tc>
        <w:tc>
          <w:tcPr>
            <w:tcW w:w="1474" w:type="dxa"/>
            <w:vAlign w:val="center"/>
          </w:tcPr>
          <w:p w14:paraId="31F9C97E">
            <w:pPr>
              <w:pStyle w:val="11"/>
            </w:pPr>
          </w:p>
        </w:tc>
        <w:tc>
          <w:tcPr>
            <w:tcW w:w="3402" w:type="dxa"/>
            <w:vAlign w:val="center"/>
          </w:tcPr>
          <w:p w14:paraId="58800E0C">
            <w:pPr>
              <w:pStyle w:val="12"/>
            </w:pPr>
            <w:r>
              <w:t>十八、援助其他地区支出</w:t>
            </w:r>
          </w:p>
        </w:tc>
        <w:tc>
          <w:tcPr>
            <w:tcW w:w="1474" w:type="dxa"/>
            <w:vAlign w:val="center"/>
          </w:tcPr>
          <w:p w14:paraId="0A9BEB8C">
            <w:pPr>
              <w:pStyle w:val="11"/>
            </w:pPr>
          </w:p>
        </w:tc>
        <w:tc>
          <w:tcPr>
            <w:tcW w:w="1474" w:type="dxa"/>
            <w:vAlign w:val="center"/>
          </w:tcPr>
          <w:p w14:paraId="4C266B1C">
            <w:pPr>
              <w:pStyle w:val="11"/>
            </w:pPr>
          </w:p>
        </w:tc>
        <w:tc>
          <w:tcPr>
            <w:tcW w:w="1474" w:type="dxa"/>
            <w:vAlign w:val="center"/>
          </w:tcPr>
          <w:p w14:paraId="49E94BDA">
            <w:pPr>
              <w:pStyle w:val="11"/>
            </w:pPr>
          </w:p>
        </w:tc>
        <w:tc>
          <w:tcPr>
            <w:tcW w:w="1474" w:type="dxa"/>
            <w:vAlign w:val="center"/>
          </w:tcPr>
          <w:p w14:paraId="6F216811">
            <w:pPr>
              <w:pStyle w:val="11"/>
            </w:pPr>
          </w:p>
        </w:tc>
      </w:tr>
      <w:tr w14:paraId="16F12602">
        <w:tblPrEx>
          <w:tblCellMar>
            <w:top w:w="0" w:type="dxa"/>
            <w:left w:w="108" w:type="dxa"/>
            <w:bottom w:w="0" w:type="dxa"/>
            <w:right w:w="108" w:type="dxa"/>
          </w:tblCellMar>
        </w:tblPrEx>
        <w:trPr>
          <w:trHeight w:val="369" w:hRule="atLeast"/>
          <w:jc w:val="center"/>
        </w:trPr>
        <w:tc>
          <w:tcPr>
            <w:tcW w:w="850" w:type="dxa"/>
            <w:vAlign w:val="center"/>
          </w:tcPr>
          <w:p w14:paraId="60887746">
            <w:pPr>
              <w:pStyle w:val="13"/>
            </w:pPr>
            <w:r>
              <w:t>19</w:t>
            </w:r>
          </w:p>
        </w:tc>
        <w:tc>
          <w:tcPr>
            <w:tcW w:w="3402" w:type="dxa"/>
            <w:vAlign w:val="center"/>
          </w:tcPr>
          <w:p w14:paraId="6304F5A5">
            <w:pPr>
              <w:pStyle w:val="12"/>
            </w:pPr>
          </w:p>
        </w:tc>
        <w:tc>
          <w:tcPr>
            <w:tcW w:w="1474" w:type="dxa"/>
            <w:vAlign w:val="center"/>
          </w:tcPr>
          <w:p w14:paraId="68574710">
            <w:pPr>
              <w:pStyle w:val="11"/>
            </w:pPr>
          </w:p>
        </w:tc>
        <w:tc>
          <w:tcPr>
            <w:tcW w:w="3402" w:type="dxa"/>
            <w:vAlign w:val="center"/>
          </w:tcPr>
          <w:p w14:paraId="0D98C1CB">
            <w:pPr>
              <w:pStyle w:val="12"/>
            </w:pPr>
            <w:r>
              <w:t>十九、自然资源海洋气象等支出</w:t>
            </w:r>
          </w:p>
        </w:tc>
        <w:tc>
          <w:tcPr>
            <w:tcW w:w="1474" w:type="dxa"/>
            <w:vAlign w:val="center"/>
          </w:tcPr>
          <w:p w14:paraId="4B4E0E6C">
            <w:pPr>
              <w:pStyle w:val="11"/>
            </w:pPr>
          </w:p>
        </w:tc>
        <w:tc>
          <w:tcPr>
            <w:tcW w:w="1474" w:type="dxa"/>
            <w:vAlign w:val="center"/>
          </w:tcPr>
          <w:p w14:paraId="68CCAC55">
            <w:pPr>
              <w:pStyle w:val="11"/>
            </w:pPr>
          </w:p>
        </w:tc>
        <w:tc>
          <w:tcPr>
            <w:tcW w:w="1474" w:type="dxa"/>
            <w:vAlign w:val="center"/>
          </w:tcPr>
          <w:p w14:paraId="14F022E3">
            <w:pPr>
              <w:pStyle w:val="11"/>
            </w:pPr>
          </w:p>
        </w:tc>
        <w:tc>
          <w:tcPr>
            <w:tcW w:w="1474" w:type="dxa"/>
            <w:vAlign w:val="center"/>
          </w:tcPr>
          <w:p w14:paraId="72301F90">
            <w:pPr>
              <w:pStyle w:val="11"/>
            </w:pPr>
          </w:p>
        </w:tc>
      </w:tr>
      <w:tr w14:paraId="5BBE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2809D">
            <w:pPr>
              <w:pStyle w:val="13"/>
            </w:pPr>
            <w:r>
              <w:t>20</w:t>
            </w:r>
          </w:p>
        </w:tc>
        <w:tc>
          <w:tcPr>
            <w:tcW w:w="3402" w:type="dxa"/>
            <w:vAlign w:val="center"/>
          </w:tcPr>
          <w:p w14:paraId="3CEEBAB1">
            <w:pPr>
              <w:pStyle w:val="12"/>
            </w:pPr>
          </w:p>
        </w:tc>
        <w:tc>
          <w:tcPr>
            <w:tcW w:w="1474" w:type="dxa"/>
            <w:vAlign w:val="center"/>
          </w:tcPr>
          <w:p w14:paraId="72D39D5D">
            <w:pPr>
              <w:pStyle w:val="11"/>
            </w:pPr>
          </w:p>
        </w:tc>
        <w:tc>
          <w:tcPr>
            <w:tcW w:w="3402" w:type="dxa"/>
            <w:vAlign w:val="center"/>
          </w:tcPr>
          <w:p w14:paraId="618E4CDD">
            <w:pPr>
              <w:pStyle w:val="12"/>
            </w:pPr>
            <w:r>
              <w:t>二十、住房保障支出</w:t>
            </w:r>
          </w:p>
        </w:tc>
        <w:tc>
          <w:tcPr>
            <w:tcW w:w="1474" w:type="dxa"/>
            <w:vAlign w:val="center"/>
          </w:tcPr>
          <w:p w14:paraId="46B282D1">
            <w:pPr>
              <w:pStyle w:val="11"/>
            </w:pPr>
          </w:p>
        </w:tc>
        <w:tc>
          <w:tcPr>
            <w:tcW w:w="1474" w:type="dxa"/>
            <w:vAlign w:val="center"/>
          </w:tcPr>
          <w:p w14:paraId="4528E5DA">
            <w:pPr>
              <w:pStyle w:val="11"/>
            </w:pPr>
          </w:p>
        </w:tc>
        <w:tc>
          <w:tcPr>
            <w:tcW w:w="1474" w:type="dxa"/>
            <w:vAlign w:val="center"/>
          </w:tcPr>
          <w:p w14:paraId="24BEFB46">
            <w:pPr>
              <w:pStyle w:val="11"/>
            </w:pPr>
          </w:p>
        </w:tc>
        <w:tc>
          <w:tcPr>
            <w:tcW w:w="1474" w:type="dxa"/>
            <w:vAlign w:val="center"/>
          </w:tcPr>
          <w:p w14:paraId="503DFD9A">
            <w:pPr>
              <w:pStyle w:val="11"/>
            </w:pPr>
          </w:p>
        </w:tc>
      </w:tr>
      <w:tr w14:paraId="16B7C355">
        <w:tblPrEx>
          <w:tblCellMar>
            <w:top w:w="0" w:type="dxa"/>
            <w:left w:w="108" w:type="dxa"/>
            <w:bottom w:w="0" w:type="dxa"/>
            <w:right w:w="108" w:type="dxa"/>
          </w:tblCellMar>
        </w:tblPrEx>
        <w:trPr>
          <w:trHeight w:val="369" w:hRule="atLeast"/>
          <w:jc w:val="center"/>
        </w:trPr>
        <w:tc>
          <w:tcPr>
            <w:tcW w:w="850" w:type="dxa"/>
            <w:vAlign w:val="center"/>
          </w:tcPr>
          <w:p w14:paraId="4E766804">
            <w:pPr>
              <w:pStyle w:val="13"/>
            </w:pPr>
            <w:r>
              <w:t>21</w:t>
            </w:r>
          </w:p>
        </w:tc>
        <w:tc>
          <w:tcPr>
            <w:tcW w:w="3402" w:type="dxa"/>
            <w:vAlign w:val="center"/>
          </w:tcPr>
          <w:p w14:paraId="2B26AA38">
            <w:pPr>
              <w:pStyle w:val="12"/>
            </w:pPr>
          </w:p>
        </w:tc>
        <w:tc>
          <w:tcPr>
            <w:tcW w:w="1474" w:type="dxa"/>
            <w:vAlign w:val="center"/>
          </w:tcPr>
          <w:p w14:paraId="24514FA7">
            <w:pPr>
              <w:pStyle w:val="11"/>
            </w:pPr>
          </w:p>
        </w:tc>
        <w:tc>
          <w:tcPr>
            <w:tcW w:w="3402" w:type="dxa"/>
            <w:vAlign w:val="center"/>
          </w:tcPr>
          <w:p w14:paraId="039CA977">
            <w:pPr>
              <w:pStyle w:val="12"/>
            </w:pPr>
            <w:r>
              <w:t>二十一、粮油物资储备支出</w:t>
            </w:r>
          </w:p>
        </w:tc>
        <w:tc>
          <w:tcPr>
            <w:tcW w:w="1474" w:type="dxa"/>
            <w:vAlign w:val="center"/>
          </w:tcPr>
          <w:p w14:paraId="6A968741">
            <w:pPr>
              <w:pStyle w:val="11"/>
            </w:pPr>
          </w:p>
        </w:tc>
        <w:tc>
          <w:tcPr>
            <w:tcW w:w="1474" w:type="dxa"/>
            <w:vAlign w:val="center"/>
          </w:tcPr>
          <w:p w14:paraId="2110EAF4">
            <w:pPr>
              <w:pStyle w:val="11"/>
            </w:pPr>
          </w:p>
        </w:tc>
        <w:tc>
          <w:tcPr>
            <w:tcW w:w="1474" w:type="dxa"/>
            <w:vAlign w:val="center"/>
          </w:tcPr>
          <w:p w14:paraId="491ED993">
            <w:pPr>
              <w:pStyle w:val="11"/>
            </w:pPr>
          </w:p>
        </w:tc>
        <w:tc>
          <w:tcPr>
            <w:tcW w:w="1474" w:type="dxa"/>
            <w:vAlign w:val="center"/>
          </w:tcPr>
          <w:p w14:paraId="64B7BE4F">
            <w:pPr>
              <w:pStyle w:val="11"/>
            </w:pPr>
          </w:p>
        </w:tc>
      </w:tr>
      <w:tr w14:paraId="335D1CB3">
        <w:tblPrEx>
          <w:tblCellMar>
            <w:top w:w="0" w:type="dxa"/>
            <w:left w:w="108" w:type="dxa"/>
            <w:bottom w:w="0" w:type="dxa"/>
            <w:right w:w="108" w:type="dxa"/>
          </w:tblCellMar>
        </w:tblPrEx>
        <w:trPr>
          <w:trHeight w:val="369" w:hRule="atLeast"/>
          <w:jc w:val="center"/>
        </w:trPr>
        <w:tc>
          <w:tcPr>
            <w:tcW w:w="850" w:type="dxa"/>
            <w:vAlign w:val="center"/>
          </w:tcPr>
          <w:p w14:paraId="5459A8B9">
            <w:pPr>
              <w:pStyle w:val="13"/>
            </w:pPr>
            <w:r>
              <w:t>22</w:t>
            </w:r>
          </w:p>
        </w:tc>
        <w:tc>
          <w:tcPr>
            <w:tcW w:w="3402" w:type="dxa"/>
            <w:vAlign w:val="center"/>
          </w:tcPr>
          <w:p w14:paraId="07A0C25F">
            <w:pPr>
              <w:pStyle w:val="12"/>
            </w:pPr>
          </w:p>
        </w:tc>
        <w:tc>
          <w:tcPr>
            <w:tcW w:w="1474" w:type="dxa"/>
            <w:vAlign w:val="center"/>
          </w:tcPr>
          <w:p w14:paraId="288EA212">
            <w:pPr>
              <w:pStyle w:val="11"/>
            </w:pPr>
          </w:p>
        </w:tc>
        <w:tc>
          <w:tcPr>
            <w:tcW w:w="3402" w:type="dxa"/>
            <w:vAlign w:val="center"/>
          </w:tcPr>
          <w:p w14:paraId="66177407">
            <w:pPr>
              <w:pStyle w:val="12"/>
            </w:pPr>
            <w:r>
              <w:t>二十二、国有资本经营预算支出</w:t>
            </w:r>
          </w:p>
        </w:tc>
        <w:tc>
          <w:tcPr>
            <w:tcW w:w="1474" w:type="dxa"/>
            <w:vAlign w:val="center"/>
          </w:tcPr>
          <w:p w14:paraId="2FBC1F18">
            <w:pPr>
              <w:pStyle w:val="11"/>
            </w:pPr>
          </w:p>
        </w:tc>
        <w:tc>
          <w:tcPr>
            <w:tcW w:w="1474" w:type="dxa"/>
            <w:vAlign w:val="center"/>
          </w:tcPr>
          <w:p w14:paraId="2A979F59">
            <w:pPr>
              <w:pStyle w:val="11"/>
            </w:pPr>
          </w:p>
        </w:tc>
        <w:tc>
          <w:tcPr>
            <w:tcW w:w="1474" w:type="dxa"/>
            <w:vAlign w:val="center"/>
          </w:tcPr>
          <w:p w14:paraId="71CFA9F6">
            <w:pPr>
              <w:pStyle w:val="11"/>
            </w:pPr>
          </w:p>
        </w:tc>
        <w:tc>
          <w:tcPr>
            <w:tcW w:w="1474" w:type="dxa"/>
            <w:vAlign w:val="center"/>
          </w:tcPr>
          <w:p w14:paraId="0EB44F49">
            <w:pPr>
              <w:pStyle w:val="11"/>
            </w:pPr>
          </w:p>
        </w:tc>
      </w:tr>
      <w:tr w14:paraId="598C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4EDB">
            <w:pPr>
              <w:pStyle w:val="13"/>
            </w:pPr>
            <w:r>
              <w:t>23</w:t>
            </w:r>
          </w:p>
        </w:tc>
        <w:tc>
          <w:tcPr>
            <w:tcW w:w="3402" w:type="dxa"/>
            <w:vAlign w:val="center"/>
          </w:tcPr>
          <w:p w14:paraId="136DC38B">
            <w:pPr>
              <w:pStyle w:val="12"/>
            </w:pPr>
          </w:p>
        </w:tc>
        <w:tc>
          <w:tcPr>
            <w:tcW w:w="1474" w:type="dxa"/>
            <w:vAlign w:val="center"/>
          </w:tcPr>
          <w:p w14:paraId="391FF482">
            <w:pPr>
              <w:pStyle w:val="11"/>
            </w:pPr>
          </w:p>
        </w:tc>
        <w:tc>
          <w:tcPr>
            <w:tcW w:w="3402" w:type="dxa"/>
            <w:vAlign w:val="center"/>
          </w:tcPr>
          <w:p w14:paraId="25A27CAB">
            <w:pPr>
              <w:pStyle w:val="12"/>
            </w:pPr>
            <w:r>
              <w:t>二十三、灾害防治及应急管理支出</w:t>
            </w:r>
          </w:p>
        </w:tc>
        <w:tc>
          <w:tcPr>
            <w:tcW w:w="1474" w:type="dxa"/>
            <w:vAlign w:val="center"/>
          </w:tcPr>
          <w:p w14:paraId="6F7CC588">
            <w:pPr>
              <w:pStyle w:val="11"/>
            </w:pPr>
          </w:p>
        </w:tc>
        <w:tc>
          <w:tcPr>
            <w:tcW w:w="1474" w:type="dxa"/>
            <w:vAlign w:val="center"/>
          </w:tcPr>
          <w:p w14:paraId="15C398C3">
            <w:pPr>
              <w:pStyle w:val="11"/>
            </w:pPr>
          </w:p>
        </w:tc>
        <w:tc>
          <w:tcPr>
            <w:tcW w:w="1474" w:type="dxa"/>
            <w:vAlign w:val="center"/>
          </w:tcPr>
          <w:p w14:paraId="6B818642">
            <w:pPr>
              <w:pStyle w:val="11"/>
            </w:pPr>
          </w:p>
        </w:tc>
        <w:tc>
          <w:tcPr>
            <w:tcW w:w="1474" w:type="dxa"/>
            <w:vAlign w:val="center"/>
          </w:tcPr>
          <w:p w14:paraId="2E5842DC">
            <w:pPr>
              <w:pStyle w:val="11"/>
            </w:pPr>
          </w:p>
        </w:tc>
      </w:tr>
      <w:tr w14:paraId="3597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F2C0">
            <w:pPr>
              <w:pStyle w:val="13"/>
            </w:pPr>
            <w:r>
              <w:t>24</w:t>
            </w:r>
          </w:p>
        </w:tc>
        <w:tc>
          <w:tcPr>
            <w:tcW w:w="3402" w:type="dxa"/>
            <w:vAlign w:val="center"/>
          </w:tcPr>
          <w:p w14:paraId="133FBD1F">
            <w:pPr>
              <w:pStyle w:val="12"/>
            </w:pPr>
          </w:p>
        </w:tc>
        <w:tc>
          <w:tcPr>
            <w:tcW w:w="1474" w:type="dxa"/>
            <w:vAlign w:val="center"/>
          </w:tcPr>
          <w:p w14:paraId="24011E87">
            <w:pPr>
              <w:pStyle w:val="11"/>
            </w:pPr>
          </w:p>
        </w:tc>
        <w:tc>
          <w:tcPr>
            <w:tcW w:w="3402" w:type="dxa"/>
            <w:vAlign w:val="center"/>
          </w:tcPr>
          <w:p w14:paraId="64C926CF">
            <w:pPr>
              <w:pStyle w:val="12"/>
            </w:pPr>
            <w:r>
              <w:t>二十四、预备费</w:t>
            </w:r>
          </w:p>
        </w:tc>
        <w:tc>
          <w:tcPr>
            <w:tcW w:w="1474" w:type="dxa"/>
            <w:vAlign w:val="center"/>
          </w:tcPr>
          <w:p w14:paraId="376E2FA4">
            <w:pPr>
              <w:pStyle w:val="11"/>
            </w:pPr>
          </w:p>
        </w:tc>
        <w:tc>
          <w:tcPr>
            <w:tcW w:w="1474" w:type="dxa"/>
            <w:vAlign w:val="center"/>
          </w:tcPr>
          <w:p w14:paraId="096C202C">
            <w:pPr>
              <w:pStyle w:val="11"/>
            </w:pPr>
          </w:p>
        </w:tc>
        <w:tc>
          <w:tcPr>
            <w:tcW w:w="1474" w:type="dxa"/>
            <w:vAlign w:val="center"/>
          </w:tcPr>
          <w:p w14:paraId="03BFFDAE">
            <w:pPr>
              <w:pStyle w:val="11"/>
            </w:pPr>
          </w:p>
        </w:tc>
        <w:tc>
          <w:tcPr>
            <w:tcW w:w="1474" w:type="dxa"/>
            <w:vAlign w:val="center"/>
          </w:tcPr>
          <w:p w14:paraId="6D213EB8">
            <w:pPr>
              <w:pStyle w:val="11"/>
            </w:pPr>
          </w:p>
        </w:tc>
      </w:tr>
      <w:tr w14:paraId="5D9B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80E8">
            <w:pPr>
              <w:pStyle w:val="13"/>
            </w:pPr>
            <w:r>
              <w:t>25</w:t>
            </w:r>
          </w:p>
        </w:tc>
        <w:tc>
          <w:tcPr>
            <w:tcW w:w="3402" w:type="dxa"/>
            <w:vAlign w:val="center"/>
          </w:tcPr>
          <w:p w14:paraId="1C2FEB49">
            <w:pPr>
              <w:pStyle w:val="12"/>
            </w:pPr>
          </w:p>
        </w:tc>
        <w:tc>
          <w:tcPr>
            <w:tcW w:w="1474" w:type="dxa"/>
            <w:vAlign w:val="center"/>
          </w:tcPr>
          <w:p w14:paraId="626FC7E4">
            <w:pPr>
              <w:pStyle w:val="11"/>
            </w:pPr>
          </w:p>
        </w:tc>
        <w:tc>
          <w:tcPr>
            <w:tcW w:w="3402" w:type="dxa"/>
            <w:vAlign w:val="center"/>
          </w:tcPr>
          <w:p w14:paraId="13319BCB">
            <w:pPr>
              <w:pStyle w:val="12"/>
            </w:pPr>
            <w:r>
              <w:t>二十五、其他支出</w:t>
            </w:r>
          </w:p>
        </w:tc>
        <w:tc>
          <w:tcPr>
            <w:tcW w:w="1474" w:type="dxa"/>
            <w:vAlign w:val="center"/>
          </w:tcPr>
          <w:p w14:paraId="18CB79E6">
            <w:pPr>
              <w:pStyle w:val="11"/>
            </w:pPr>
          </w:p>
        </w:tc>
        <w:tc>
          <w:tcPr>
            <w:tcW w:w="1474" w:type="dxa"/>
            <w:vAlign w:val="center"/>
          </w:tcPr>
          <w:p w14:paraId="55EE5C72">
            <w:pPr>
              <w:pStyle w:val="11"/>
            </w:pPr>
          </w:p>
        </w:tc>
        <w:tc>
          <w:tcPr>
            <w:tcW w:w="1474" w:type="dxa"/>
            <w:vAlign w:val="center"/>
          </w:tcPr>
          <w:p w14:paraId="19CFFEFD">
            <w:pPr>
              <w:pStyle w:val="11"/>
            </w:pPr>
          </w:p>
        </w:tc>
        <w:tc>
          <w:tcPr>
            <w:tcW w:w="1474" w:type="dxa"/>
            <w:vAlign w:val="center"/>
          </w:tcPr>
          <w:p w14:paraId="67A0755A">
            <w:pPr>
              <w:pStyle w:val="11"/>
            </w:pPr>
          </w:p>
        </w:tc>
      </w:tr>
      <w:tr w14:paraId="1B55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7676">
            <w:pPr>
              <w:pStyle w:val="13"/>
            </w:pPr>
            <w:r>
              <w:t>26</w:t>
            </w:r>
          </w:p>
        </w:tc>
        <w:tc>
          <w:tcPr>
            <w:tcW w:w="3402" w:type="dxa"/>
            <w:vAlign w:val="center"/>
          </w:tcPr>
          <w:p w14:paraId="42E1AF1A">
            <w:pPr>
              <w:pStyle w:val="12"/>
            </w:pPr>
          </w:p>
        </w:tc>
        <w:tc>
          <w:tcPr>
            <w:tcW w:w="1474" w:type="dxa"/>
            <w:vAlign w:val="center"/>
          </w:tcPr>
          <w:p w14:paraId="013DDAC6">
            <w:pPr>
              <w:pStyle w:val="11"/>
            </w:pPr>
          </w:p>
        </w:tc>
        <w:tc>
          <w:tcPr>
            <w:tcW w:w="3402" w:type="dxa"/>
            <w:vAlign w:val="center"/>
          </w:tcPr>
          <w:p w14:paraId="142CA081">
            <w:pPr>
              <w:pStyle w:val="12"/>
            </w:pPr>
            <w:r>
              <w:t>二十六、转移性支出</w:t>
            </w:r>
          </w:p>
        </w:tc>
        <w:tc>
          <w:tcPr>
            <w:tcW w:w="1474" w:type="dxa"/>
            <w:vAlign w:val="center"/>
          </w:tcPr>
          <w:p w14:paraId="46B5DFEE">
            <w:pPr>
              <w:pStyle w:val="11"/>
            </w:pPr>
          </w:p>
        </w:tc>
        <w:tc>
          <w:tcPr>
            <w:tcW w:w="1474" w:type="dxa"/>
            <w:vAlign w:val="center"/>
          </w:tcPr>
          <w:p w14:paraId="6354B5F5">
            <w:pPr>
              <w:pStyle w:val="11"/>
            </w:pPr>
          </w:p>
        </w:tc>
        <w:tc>
          <w:tcPr>
            <w:tcW w:w="1474" w:type="dxa"/>
            <w:vAlign w:val="center"/>
          </w:tcPr>
          <w:p w14:paraId="276945EA">
            <w:pPr>
              <w:pStyle w:val="11"/>
            </w:pPr>
          </w:p>
        </w:tc>
        <w:tc>
          <w:tcPr>
            <w:tcW w:w="1474" w:type="dxa"/>
            <w:vAlign w:val="center"/>
          </w:tcPr>
          <w:p w14:paraId="1960240C">
            <w:pPr>
              <w:pStyle w:val="11"/>
            </w:pPr>
          </w:p>
        </w:tc>
      </w:tr>
      <w:tr w14:paraId="189D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5845">
            <w:pPr>
              <w:pStyle w:val="13"/>
            </w:pPr>
            <w:r>
              <w:t>27</w:t>
            </w:r>
          </w:p>
        </w:tc>
        <w:tc>
          <w:tcPr>
            <w:tcW w:w="3402" w:type="dxa"/>
            <w:vAlign w:val="center"/>
          </w:tcPr>
          <w:p w14:paraId="5E127ED4">
            <w:pPr>
              <w:pStyle w:val="12"/>
            </w:pPr>
          </w:p>
        </w:tc>
        <w:tc>
          <w:tcPr>
            <w:tcW w:w="1474" w:type="dxa"/>
            <w:vAlign w:val="center"/>
          </w:tcPr>
          <w:p w14:paraId="085DBD43">
            <w:pPr>
              <w:pStyle w:val="11"/>
            </w:pPr>
          </w:p>
        </w:tc>
        <w:tc>
          <w:tcPr>
            <w:tcW w:w="3402" w:type="dxa"/>
            <w:vAlign w:val="center"/>
          </w:tcPr>
          <w:p w14:paraId="17ABA745">
            <w:pPr>
              <w:pStyle w:val="12"/>
            </w:pPr>
            <w:r>
              <w:t>二十七、债务还本支出</w:t>
            </w:r>
          </w:p>
        </w:tc>
        <w:tc>
          <w:tcPr>
            <w:tcW w:w="1474" w:type="dxa"/>
            <w:vAlign w:val="center"/>
          </w:tcPr>
          <w:p w14:paraId="776F903D">
            <w:pPr>
              <w:pStyle w:val="11"/>
            </w:pPr>
          </w:p>
        </w:tc>
        <w:tc>
          <w:tcPr>
            <w:tcW w:w="1474" w:type="dxa"/>
            <w:vAlign w:val="center"/>
          </w:tcPr>
          <w:p w14:paraId="486BAD2C">
            <w:pPr>
              <w:pStyle w:val="11"/>
            </w:pPr>
          </w:p>
        </w:tc>
        <w:tc>
          <w:tcPr>
            <w:tcW w:w="1474" w:type="dxa"/>
            <w:vAlign w:val="center"/>
          </w:tcPr>
          <w:p w14:paraId="7666F64F">
            <w:pPr>
              <w:pStyle w:val="11"/>
            </w:pPr>
          </w:p>
        </w:tc>
        <w:tc>
          <w:tcPr>
            <w:tcW w:w="1474" w:type="dxa"/>
            <w:vAlign w:val="center"/>
          </w:tcPr>
          <w:p w14:paraId="79B8480C">
            <w:pPr>
              <w:pStyle w:val="11"/>
            </w:pPr>
          </w:p>
        </w:tc>
      </w:tr>
      <w:tr w14:paraId="2126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CFF1">
            <w:pPr>
              <w:pStyle w:val="13"/>
            </w:pPr>
            <w:r>
              <w:t>28</w:t>
            </w:r>
          </w:p>
        </w:tc>
        <w:tc>
          <w:tcPr>
            <w:tcW w:w="3402" w:type="dxa"/>
            <w:vAlign w:val="center"/>
          </w:tcPr>
          <w:p w14:paraId="0239DB68">
            <w:pPr>
              <w:pStyle w:val="12"/>
            </w:pPr>
          </w:p>
        </w:tc>
        <w:tc>
          <w:tcPr>
            <w:tcW w:w="1474" w:type="dxa"/>
            <w:vAlign w:val="center"/>
          </w:tcPr>
          <w:p w14:paraId="33ED7256">
            <w:pPr>
              <w:pStyle w:val="11"/>
            </w:pPr>
          </w:p>
        </w:tc>
        <w:tc>
          <w:tcPr>
            <w:tcW w:w="3402" w:type="dxa"/>
            <w:vAlign w:val="center"/>
          </w:tcPr>
          <w:p w14:paraId="2FBD06ED">
            <w:pPr>
              <w:pStyle w:val="12"/>
            </w:pPr>
            <w:r>
              <w:t>二十八、债务付息支出</w:t>
            </w:r>
          </w:p>
        </w:tc>
        <w:tc>
          <w:tcPr>
            <w:tcW w:w="1474" w:type="dxa"/>
            <w:vAlign w:val="center"/>
          </w:tcPr>
          <w:p w14:paraId="60D72181">
            <w:pPr>
              <w:pStyle w:val="11"/>
            </w:pPr>
          </w:p>
        </w:tc>
        <w:tc>
          <w:tcPr>
            <w:tcW w:w="1474" w:type="dxa"/>
            <w:vAlign w:val="center"/>
          </w:tcPr>
          <w:p w14:paraId="31E438A2">
            <w:pPr>
              <w:pStyle w:val="11"/>
            </w:pPr>
          </w:p>
        </w:tc>
        <w:tc>
          <w:tcPr>
            <w:tcW w:w="1474" w:type="dxa"/>
            <w:vAlign w:val="center"/>
          </w:tcPr>
          <w:p w14:paraId="26CE1014">
            <w:pPr>
              <w:pStyle w:val="11"/>
            </w:pPr>
          </w:p>
        </w:tc>
        <w:tc>
          <w:tcPr>
            <w:tcW w:w="1474" w:type="dxa"/>
            <w:vAlign w:val="center"/>
          </w:tcPr>
          <w:p w14:paraId="4533AA9A">
            <w:pPr>
              <w:pStyle w:val="11"/>
            </w:pPr>
          </w:p>
        </w:tc>
      </w:tr>
      <w:tr w14:paraId="2DD4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21E5">
            <w:pPr>
              <w:pStyle w:val="13"/>
            </w:pPr>
            <w:r>
              <w:t>29</w:t>
            </w:r>
          </w:p>
        </w:tc>
        <w:tc>
          <w:tcPr>
            <w:tcW w:w="3402" w:type="dxa"/>
            <w:vAlign w:val="center"/>
          </w:tcPr>
          <w:p w14:paraId="632B1155">
            <w:pPr>
              <w:pStyle w:val="12"/>
            </w:pPr>
          </w:p>
        </w:tc>
        <w:tc>
          <w:tcPr>
            <w:tcW w:w="1474" w:type="dxa"/>
            <w:vAlign w:val="center"/>
          </w:tcPr>
          <w:p w14:paraId="59D39F9D">
            <w:pPr>
              <w:pStyle w:val="11"/>
            </w:pPr>
          </w:p>
        </w:tc>
        <w:tc>
          <w:tcPr>
            <w:tcW w:w="3402" w:type="dxa"/>
            <w:vAlign w:val="center"/>
          </w:tcPr>
          <w:p w14:paraId="64583886">
            <w:pPr>
              <w:pStyle w:val="12"/>
            </w:pPr>
            <w:r>
              <w:t>二十九、债务发行费用支出</w:t>
            </w:r>
          </w:p>
        </w:tc>
        <w:tc>
          <w:tcPr>
            <w:tcW w:w="1474" w:type="dxa"/>
            <w:vAlign w:val="center"/>
          </w:tcPr>
          <w:p w14:paraId="3EBBAAB2">
            <w:pPr>
              <w:pStyle w:val="11"/>
            </w:pPr>
          </w:p>
        </w:tc>
        <w:tc>
          <w:tcPr>
            <w:tcW w:w="1474" w:type="dxa"/>
            <w:vAlign w:val="center"/>
          </w:tcPr>
          <w:p w14:paraId="3D304721">
            <w:pPr>
              <w:pStyle w:val="11"/>
            </w:pPr>
          </w:p>
        </w:tc>
        <w:tc>
          <w:tcPr>
            <w:tcW w:w="1474" w:type="dxa"/>
            <w:vAlign w:val="center"/>
          </w:tcPr>
          <w:p w14:paraId="161A41CC">
            <w:pPr>
              <w:pStyle w:val="11"/>
            </w:pPr>
          </w:p>
        </w:tc>
        <w:tc>
          <w:tcPr>
            <w:tcW w:w="1474" w:type="dxa"/>
            <w:vAlign w:val="center"/>
          </w:tcPr>
          <w:p w14:paraId="5CAF5A01">
            <w:pPr>
              <w:pStyle w:val="11"/>
            </w:pPr>
          </w:p>
        </w:tc>
      </w:tr>
      <w:tr w14:paraId="112003D5">
        <w:tblPrEx>
          <w:tblCellMar>
            <w:top w:w="0" w:type="dxa"/>
            <w:left w:w="108" w:type="dxa"/>
            <w:bottom w:w="0" w:type="dxa"/>
            <w:right w:w="108" w:type="dxa"/>
          </w:tblCellMar>
        </w:tblPrEx>
        <w:trPr>
          <w:trHeight w:val="369" w:hRule="atLeast"/>
          <w:jc w:val="center"/>
        </w:trPr>
        <w:tc>
          <w:tcPr>
            <w:tcW w:w="850" w:type="dxa"/>
            <w:vAlign w:val="center"/>
          </w:tcPr>
          <w:p w14:paraId="6B83CC3B">
            <w:pPr>
              <w:pStyle w:val="13"/>
            </w:pPr>
            <w:r>
              <w:t>30</w:t>
            </w:r>
          </w:p>
        </w:tc>
        <w:tc>
          <w:tcPr>
            <w:tcW w:w="3402" w:type="dxa"/>
            <w:vAlign w:val="center"/>
          </w:tcPr>
          <w:p w14:paraId="1D0AE8D5">
            <w:pPr>
              <w:pStyle w:val="12"/>
            </w:pPr>
          </w:p>
        </w:tc>
        <w:tc>
          <w:tcPr>
            <w:tcW w:w="1474" w:type="dxa"/>
            <w:vAlign w:val="center"/>
          </w:tcPr>
          <w:p w14:paraId="3E63D019">
            <w:pPr>
              <w:pStyle w:val="11"/>
            </w:pPr>
          </w:p>
        </w:tc>
        <w:tc>
          <w:tcPr>
            <w:tcW w:w="3402" w:type="dxa"/>
            <w:vAlign w:val="center"/>
          </w:tcPr>
          <w:p w14:paraId="129458D4">
            <w:pPr>
              <w:pStyle w:val="12"/>
            </w:pPr>
            <w:r>
              <w:t>三十、抗疫特别国债安排的支出</w:t>
            </w:r>
          </w:p>
        </w:tc>
        <w:tc>
          <w:tcPr>
            <w:tcW w:w="1474" w:type="dxa"/>
            <w:vAlign w:val="center"/>
          </w:tcPr>
          <w:p w14:paraId="38D38A6D">
            <w:pPr>
              <w:pStyle w:val="11"/>
            </w:pPr>
          </w:p>
        </w:tc>
        <w:tc>
          <w:tcPr>
            <w:tcW w:w="1474" w:type="dxa"/>
            <w:vAlign w:val="center"/>
          </w:tcPr>
          <w:p w14:paraId="65D21528">
            <w:pPr>
              <w:pStyle w:val="11"/>
            </w:pPr>
          </w:p>
        </w:tc>
        <w:tc>
          <w:tcPr>
            <w:tcW w:w="1474" w:type="dxa"/>
            <w:vAlign w:val="center"/>
          </w:tcPr>
          <w:p w14:paraId="6CE1CB83">
            <w:pPr>
              <w:pStyle w:val="11"/>
            </w:pPr>
          </w:p>
        </w:tc>
        <w:tc>
          <w:tcPr>
            <w:tcW w:w="1474" w:type="dxa"/>
            <w:vAlign w:val="center"/>
          </w:tcPr>
          <w:p w14:paraId="548490EF">
            <w:pPr>
              <w:pStyle w:val="11"/>
            </w:pPr>
          </w:p>
        </w:tc>
      </w:tr>
      <w:tr w14:paraId="3D1D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CF4A2">
            <w:pPr>
              <w:pStyle w:val="13"/>
            </w:pPr>
            <w:r>
              <w:t>31</w:t>
            </w:r>
          </w:p>
        </w:tc>
        <w:tc>
          <w:tcPr>
            <w:tcW w:w="3402" w:type="dxa"/>
            <w:vAlign w:val="center"/>
          </w:tcPr>
          <w:p w14:paraId="5A18120B">
            <w:pPr>
              <w:pStyle w:val="12"/>
            </w:pPr>
          </w:p>
        </w:tc>
        <w:tc>
          <w:tcPr>
            <w:tcW w:w="1474" w:type="dxa"/>
            <w:vAlign w:val="center"/>
          </w:tcPr>
          <w:p w14:paraId="19A938A5">
            <w:pPr>
              <w:pStyle w:val="11"/>
            </w:pPr>
          </w:p>
        </w:tc>
        <w:tc>
          <w:tcPr>
            <w:tcW w:w="3402" w:type="dxa"/>
            <w:vAlign w:val="center"/>
          </w:tcPr>
          <w:p w14:paraId="380E0EA8">
            <w:pPr>
              <w:pStyle w:val="12"/>
            </w:pPr>
            <w:r>
              <w:t>三十一、人行科目</w:t>
            </w:r>
          </w:p>
        </w:tc>
        <w:tc>
          <w:tcPr>
            <w:tcW w:w="1474" w:type="dxa"/>
            <w:vAlign w:val="center"/>
          </w:tcPr>
          <w:p w14:paraId="5D86A1E5">
            <w:pPr>
              <w:pStyle w:val="11"/>
            </w:pPr>
          </w:p>
        </w:tc>
        <w:tc>
          <w:tcPr>
            <w:tcW w:w="1474" w:type="dxa"/>
            <w:vAlign w:val="center"/>
          </w:tcPr>
          <w:p w14:paraId="16D56475">
            <w:pPr>
              <w:pStyle w:val="11"/>
            </w:pPr>
          </w:p>
        </w:tc>
        <w:tc>
          <w:tcPr>
            <w:tcW w:w="1474" w:type="dxa"/>
            <w:vAlign w:val="center"/>
          </w:tcPr>
          <w:p w14:paraId="28897D3F">
            <w:pPr>
              <w:pStyle w:val="11"/>
            </w:pPr>
          </w:p>
        </w:tc>
        <w:tc>
          <w:tcPr>
            <w:tcW w:w="1474" w:type="dxa"/>
            <w:vAlign w:val="center"/>
          </w:tcPr>
          <w:p w14:paraId="12CA0320">
            <w:pPr>
              <w:pStyle w:val="11"/>
            </w:pPr>
          </w:p>
        </w:tc>
      </w:tr>
      <w:tr w14:paraId="0CF6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365E">
            <w:pPr>
              <w:pStyle w:val="13"/>
            </w:pPr>
            <w:r>
              <w:t>32</w:t>
            </w:r>
          </w:p>
        </w:tc>
        <w:tc>
          <w:tcPr>
            <w:tcW w:w="3402" w:type="dxa"/>
            <w:vAlign w:val="center"/>
          </w:tcPr>
          <w:p w14:paraId="12CEBAAB">
            <w:pPr>
              <w:pStyle w:val="14"/>
            </w:pPr>
            <w:r>
              <w:t>本年收入合计</w:t>
            </w:r>
          </w:p>
        </w:tc>
        <w:tc>
          <w:tcPr>
            <w:tcW w:w="1474" w:type="dxa"/>
            <w:vAlign w:val="center"/>
          </w:tcPr>
          <w:p w14:paraId="3DFCBE6D">
            <w:pPr>
              <w:pStyle w:val="15"/>
            </w:pPr>
            <w:r>
              <w:t>1146.78</w:t>
            </w:r>
          </w:p>
        </w:tc>
        <w:tc>
          <w:tcPr>
            <w:tcW w:w="3402" w:type="dxa"/>
            <w:vAlign w:val="center"/>
          </w:tcPr>
          <w:p w14:paraId="191B5955">
            <w:pPr>
              <w:pStyle w:val="14"/>
            </w:pPr>
            <w:r>
              <w:t>本年支出合计</w:t>
            </w:r>
          </w:p>
        </w:tc>
        <w:tc>
          <w:tcPr>
            <w:tcW w:w="1474" w:type="dxa"/>
            <w:vAlign w:val="center"/>
          </w:tcPr>
          <w:p w14:paraId="1A2EF3CE">
            <w:pPr>
              <w:pStyle w:val="15"/>
            </w:pPr>
            <w:r>
              <w:t>1146.78</w:t>
            </w:r>
          </w:p>
        </w:tc>
        <w:tc>
          <w:tcPr>
            <w:tcW w:w="1474" w:type="dxa"/>
            <w:vAlign w:val="center"/>
          </w:tcPr>
          <w:p w14:paraId="08248F35">
            <w:pPr>
              <w:pStyle w:val="15"/>
            </w:pPr>
            <w:r>
              <w:t>1146.78</w:t>
            </w:r>
          </w:p>
        </w:tc>
        <w:tc>
          <w:tcPr>
            <w:tcW w:w="1474" w:type="dxa"/>
            <w:vAlign w:val="center"/>
          </w:tcPr>
          <w:p w14:paraId="56283524">
            <w:pPr>
              <w:pStyle w:val="15"/>
            </w:pPr>
          </w:p>
        </w:tc>
        <w:tc>
          <w:tcPr>
            <w:tcW w:w="1474" w:type="dxa"/>
            <w:vAlign w:val="center"/>
          </w:tcPr>
          <w:p w14:paraId="65777C80">
            <w:pPr>
              <w:pStyle w:val="15"/>
            </w:pPr>
          </w:p>
        </w:tc>
      </w:tr>
      <w:tr w14:paraId="35B6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498FC">
            <w:pPr>
              <w:pStyle w:val="13"/>
            </w:pPr>
            <w:r>
              <w:t>33</w:t>
            </w:r>
          </w:p>
        </w:tc>
        <w:tc>
          <w:tcPr>
            <w:tcW w:w="3402" w:type="dxa"/>
            <w:vAlign w:val="center"/>
          </w:tcPr>
          <w:p w14:paraId="5BE47D0B">
            <w:pPr>
              <w:pStyle w:val="12"/>
            </w:pPr>
            <w:r>
              <w:t>年初财政拨款结转和结余</w:t>
            </w:r>
          </w:p>
        </w:tc>
        <w:tc>
          <w:tcPr>
            <w:tcW w:w="1474" w:type="dxa"/>
            <w:vAlign w:val="center"/>
          </w:tcPr>
          <w:p w14:paraId="686AD1B2">
            <w:pPr>
              <w:pStyle w:val="11"/>
            </w:pPr>
          </w:p>
        </w:tc>
        <w:tc>
          <w:tcPr>
            <w:tcW w:w="3402" w:type="dxa"/>
            <w:vAlign w:val="center"/>
          </w:tcPr>
          <w:p w14:paraId="4D7348AE">
            <w:pPr>
              <w:pStyle w:val="12"/>
            </w:pPr>
            <w:r>
              <w:t>年末财政拨款结转和结余</w:t>
            </w:r>
          </w:p>
        </w:tc>
        <w:tc>
          <w:tcPr>
            <w:tcW w:w="1474" w:type="dxa"/>
            <w:vAlign w:val="center"/>
          </w:tcPr>
          <w:p w14:paraId="06B4F51C">
            <w:pPr>
              <w:pStyle w:val="11"/>
            </w:pPr>
          </w:p>
        </w:tc>
        <w:tc>
          <w:tcPr>
            <w:tcW w:w="1474" w:type="dxa"/>
            <w:vAlign w:val="center"/>
          </w:tcPr>
          <w:p w14:paraId="67E37A66">
            <w:pPr>
              <w:pStyle w:val="11"/>
            </w:pPr>
          </w:p>
        </w:tc>
        <w:tc>
          <w:tcPr>
            <w:tcW w:w="1474" w:type="dxa"/>
            <w:vAlign w:val="center"/>
          </w:tcPr>
          <w:p w14:paraId="23C97E20">
            <w:pPr>
              <w:pStyle w:val="11"/>
            </w:pPr>
          </w:p>
        </w:tc>
        <w:tc>
          <w:tcPr>
            <w:tcW w:w="1474" w:type="dxa"/>
            <w:vAlign w:val="center"/>
          </w:tcPr>
          <w:p w14:paraId="760474A6">
            <w:pPr>
              <w:pStyle w:val="11"/>
            </w:pPr>
          </w:p>
        </w:tc>
      </w:tr>
      <w:tr w14:paraId="21927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0831">
            <w:pPr>
              <w:pStyle w:val="13"/>
            </w:pPr>
            <w:r>
              <w:t>34</w:t>
            </w:r>
          </w:p>
        </w:tc>
        <w:tc>
          <w:tcPr>
            <w:tcW w:w="3402" w:type="dxa"/>
            <w:vAlign w:val="center"/>
          </w:tcPr>
          <w:p w14:paraId="7FF1F0E4">
            <w:pPr>
              <w:pStyle w:val="12"/>
            </w:pPr>
            <w:r>
              <w:t>一、一般公共预算拨款</w:t>
            </w:r>
          </w:p>
        </w:tc>
        <w:tc>
          <w:tcPr>
            <w:tcW w:w="1474" w:type="dxa"/>
            <w:vAlign w:val="center"/>
          </w:tcPr>
          <w:p w14:paraId="289C2A61">
            <w:pPr>
              <w:pStyle w:val="11"/>
            </w:pPr>
          </w:p>
        </w:tc>
        <w:tc>
          <w:tcPr>
            <w:tcW w:w="3402" w:type="dxa"/>
            <w:vAlign w:val="center"/>
          </w:tcPr>
          <w:p w14:paraId="40DCEE80">
            <w:pPr>
              <w:pStyle w:val="12"/>
            </w:pPr>
          </w:p>
        </w:tc>
        <w:tc>
          <w:tcPr>
            <w:tcW w:w="1474" w:type="dxa"/>
            <w:vAlign w:val="center"/>
          </w:tcPr>
          <w:p w14:paraId="747867AE">
            <w:pPr>
              <w:pStyle w:val="11"/>
            </w:pPr>
          </w:p>
        </w:tc>
        <w:tc>
          <w:tcPr>
            <w:tcW w:w="1474" w:type="dxa"/>
            <w:vAlign w:val="center"/>
          </w:tcPr>
          <w:p w14:paraId="17CD70DF">
            <w:pPr>
              <w:pStyle w:val="11"/>
            </w:pPr>
          </w:p>
        </w:tc>
        <w:tc>
          <w:tcPr>
            <w:tcW w:w="1474" w:type="dxa"/>
            <w:vAlign w:val="center"/>
          </w:tcPr>
          <w:p w14:paraId="6CFF556F">
            <w:pPr>
              <w:pStyle w:val="11"/>
            </w:pPr>
          </w:p>
        </w:tc>
        <w:tc>
          <w:tcPr>
            <w:tcW w:w="1474" w:type="dxa"/>
            <w:vAlign w:val="center"/>
          </w:tcPr>
          <w:p w14:paraId="5E7EDBC9">
            <w:pPr>
              <w:pStyle w:val="11"/>
            </w:pPr>
          </w:p>
        </w:tc>
      </w:tr>
      <w:tr w14:paraId="1C81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8B1CA">
            <w:pPr>
              <w:pStyle w:val="13"/>
            </w:pPr>
            <w:r>
              <w:t>35</w:t>
            </w:r>
          </w:p>
        </w:tc>
        <w:tc>
          <w:tcPr>
            <w:tcW w:w="3402" w:type="dxa"/>
            <w:vAlign w:val="center"/>
          </w:tcPr>
          <w:p w14:paraId="4869B093">
            <w:pPr>
              <w:pStyle w:val="12"/>
            </w:pPr>
            <w:r>
              <w:t>二、政府性基金预算拨款</w:t>
            </w:r>
          </w:p>
        </w:tc>
        <w:tc>
          <w:tcPr>
            <w:tcW w:w="1474" w:type="dxa"/>
            <w:vAlign w:val="center"/>
          </w:tcPr>
          <w:p w14:paraId="716EC5A3">
            <w:pPr>
              <w:pStyle w:val="11"/>
            </w:pPr>
          </w:p>
        </w:tc>
        <w:tc>
          <w:tcPr>
            <w:tcW w:w="3402" w:type="dxa"/>
            <w:vAlign w:val="center"/>
          </w:tcPr>
          <w:p w14:paraId="646638AF">
            <w:pPr>
              <w:pStyle w:val="12"/>
            </w:pPr>
          </w:p>
        </w:tc>
        <w:tc>
          <w:tcPr>
            <w:tcW w:w="1474" w:type="dxa"/>
            <w:vAlign w:val="center"/>
          </w:tcPr>
          <w:p w14:paraId="1B3BBE03">
            <w:pPr>
              <w:pStyle w:val="11"/>
            </w:pPr>
          </w:p>
        </w:tc>
        <w:tc>
          <w:tcPr>
            <w:tcW w:w="1474" w:type="dxa"/>
            <w:vAlign w:val="center"/>
          </w:tcPr>
          <w:p w14:paraId="05B9944D">
            <w:pPr>
              <w:pStyle w:val="11"/>
            </w:pPr>
          </w:p>
        </w:tc>
        <w:tc>
          <w:tcPr>
            <w:tcW w:w="1474" w:type="dxa"/>
            <w:vAlign w:val="center"/>
          </w:tcPr>
          <w:p w14:paraId="39855FAA">
            <w:pPr>
              <w:pStyle w:val="11"/>
            </w:pPr>
          </w:p>
        </w:tc>
        <w:tc>
          <w:tcPr>
            <w:tcW w:w="1474" w:type="dxa"/>
            <w:vAlign w:val="center"/>
          </w:tcPr>
          <w:p w14:paraId="25EDCF2D">
            <w:pPr>
              <w:pStyle w:val="11"/>
            </w:pPr>
          </w:p>
        </w:tc>
      </w:tr>
      <w:tr w14:paraId="1148864E">
        <w:tblPrEx>
          <w:tblCellMar>
            <w:top w:w="0" w:type="dxa"/>
            <w:left w:w="108" w:type="dxa"/>
            <w:bottom w:w="0" w:type="dxa"/>
            <w:right w:w="108" w:type="dxa"/>
          </w:tblCellMar>
        </w:tblPrEx>
        <w:trPr>
          <w:trHeight w:val="369" w:hRule="atLeast"/>
          <w:jc w:val="center"/>
        </w:trPr>
        <w:tc>
          <w:tcPr>
            <w:tcW w:w="850" w:type="dxa"/>
            <w:vAlign w:val="center"/>
          </w:tcPr>
          <w:p w14:paraId="2403FAFA">
            <w:pPr>
              <w:pStyle w:val="13"/>
            </w:pPr>
            <w:r>
              <w:t>36</w:t>
            </w:r>
          </w:p>
        </w:tc>
        <w:tc>
          <w:tcPr>
            <w:tcW w:w="3402" w:type="dxa"/>
            <w:vAlign w:val="center"/>
          </w:tcPr>
          <w:p w14:paraId="356A51BA">
            <w:pPr>
              <w:pStyle w:val="12"/>
            </w:pPr>
            <w:r>
              <w:t>三、国有资本经营预算拨款</w:t>
            </w:r>
          </w:p>
        </w:tc>
        <w:tc>
          <w:tcPr>
            <w:tcW w:w="1474" w:type="dxa"/>
            <w:vAlign w:val="center"/>
          </w:tcPr>
          <w:p w14:paraId="41968631">
            <w:pPr>
              <w:pStyle w:val="11"/>
            </w:pPr>
          </w:p>
        </w:tc>
        <w:tc>
          <w:tcPr>
            <w:tcW w:w="3402" w:type="dxa"/>
            <w:vAlign w:val="center"/>
          </w:tcPr>
          <w:p w14:paraId="3A51D895">
            <w:pPr>
              <w:pStyle w:val="12"/>
            </w:pPr>
          </w:p>
        </w:tc>
        <w:tc>
          <w:tcPr>
            <w:tcW w:w="1474" w:type="dxa"/>
            <w:vAlign w:val="center"/>
          </w:tcPr>
          <w:p w14:paraId="56FB3003">
            <w:pPr>
              <w:pStyle w:val="11"/>
            </w:pPr>
          </w:p>
        </w:tc>
        <w:tc>
          <w:tcPr>
            <w:tcW w:w="1474" w:type="dxa"/>
            <w:vAlign w:val="center"/>
          </w:tcPr>
          <w:p w14:paraId="2FD50437">
            <w:pPr>
              <w:pStyle w:val="11"/>
            </w:pPr>
          </w:p>
        </w:tc>
        <w:tc>
          <w:tcPr>
            <w:tcW w:w="1474" w:type="dxa"/>
            <w:vAlign w:val="center"/>
          </w:tcPr>
          <w:p w14:paraId="38AA6F74">
            <w:pPr>
              <w:pStyle w:val="11"/>
            </w:pPr>
          </w:p>
        </w:tc>
        <w:tc>
          <w:tcPr>
            <w:tcW w:w="1474" w:type="dxa"/>
            <w:vAlign w:val="center"/>
          </w:tcPr>
          <w:p w14:paraId="741E025D">
            <w:pPr>
              <w:pStyle w:val="11"/>
            </w:pPr>
          </w:p>
        </w:tc>
      </w:tr>
      <w:tr w14:paraId="612374D6">
        <w:tblPrEx>
          <w:tblCellMar>
            <w:top w:w="0" w:type="dxa"/>
            <w:left w:w="108" w:type="dxa"/>
            <w:bottom w:w="0" w:type="dxa"/>
            <w:right w:w="108" w:type="dxa"/>
          </w:tblCellMar>
        </w:tblPrEx>
        <w:trPr>
          <w:trHeight w:val="369" w:hRule="atLeast"/>
          <w:jc w:val="center"/>
        </w:trPr>
        <w:tc>
          <w:tcPr>
            <w:tcW w:w="850" w:type="dxa"/>
            <w:vAlign w:val="center"/>
          </w:tcPr>
          <w:p w14:paraId="326ED096">
            <w:pPr>
              <w:pStyle w:val="13"/>
            </w:pPr>
            <w:r>
              <w:t>37</w:t>
            </w:r>
          </w:p>
        </w:tc>
        <w:tc>
          <w:tcPr>
            <w:tcW w:w="3402" w:type="dxa"/>
            <w:vAlign w:val="center"/>
          </w:tcPr>
          <w:p w14:paraId="0FC70310">
            <w:pPr>
              <w:pStyle w:val="14"/>
            </w:pPr>
            <w:r>
              <w:t>收入总计</w:t>
            </w:r>
          </w:p>
        </w:tc>
        <w:tc>
          <w:tcPr>
            <w:tcW w:w="1474" w:type="dxa"/>
            <w:vAlign w:val="center"/>
          </w:tcPr>
          <w:p w14:paraId="01A59470">
            <w:pPr>
              <w:pStyle w:val="15"/>
            </w:pPr>
            <w:r>
              <w:t>1146.78</w:t>
            </w:r>
          </w:p>
        </w:tc>
        <w:tc>
          <w:tcPr>
            <w:tcW w:w="3402" w:type="dxa"/>
            <w:vAlign w:val="center"/>
          </w:tcPr>
          <w:p w14:paraId="6148CD56">
            <w:pPr>
              <w:pStyle w:val="14"/>
            </w:pPr>
            <w:r>
              <w:t>支出总计</w:t>
            </w:r>
          </w:p>
        </w:tc>
        <w:tc>
          <w:tcPr>
            <w:tcW w:w="1474" w:type="dxa"/>
            <w:vAlign w:val="center"/>
          </w:tcPr>
          <w:p w14:paraId="4BA1B79B">
            <w:pPr>
              <w:pStyle w:val="15"/>
            </w:pPr>
            <w:r>
              <w:t>1146.78</w:t>
            </w:r>
          </w:p>
        </w:tc>
        <w:tc>
          <w:tcPr>
            <w:tcW w:w="1474" w:type="dxa"/>
            <w:vAlign w:val="center"/>
          </w:tcPr>
          <w:p w14:paraId="0598088D">
            <w:pPr>
              <w:pStyle w:val="15"/>
            </w:pPr>
            <w:r>
              <w:t>1146.78</w:t>
            </w:r>
          </w:p>
        </w:tc>
        <w:tc>
          <w:tcPr>
            <w:tcW w:w="1474" w:type="dxa"/>
            <w:vAlign w:val="center"/>
          </w:tcPr>
          <w:p w14:paraId="52D61F1E">
            <w:pPr>
              <w:pStyle w:val="15"/>
            </w:pPr>
          </w:p>
        </w:tc>
        <w:tc>
          <w:tcPr>
            <w:tcW w:w="1474" w:type="dxa"/>
            <w:vAlign w:val="center"/>
          </w:tcPr>
          <w:p w14:paraId="48159145">
            <w:pPr>
              <w:pStyle w:val="15"/>
            </w:pPr>
          </w:p>
        </w:tc>
      </w:tr>
    </w:tbl>
    <w:p w14:paraId="6FDD7FC7">
      <w:pPr>
        <w:sectPr>
          <w:pgSz w:w="16840" w:h="11900" w:orient="landscape"/>
          <w:pgMar w:top="1361" w:right="1020" w:bottom="1134" w:left="1020" w:header="720" w:footer="720" w:gutter="0"/>
          <w:cols w:space="720" w:num="1"/>
        </w:sectPr>
      </w:pPr>
    </w:p>
    <w:p w14:paraId="69E2DC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D3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465C13">
            <w:pPr>
              <w:pStyle w:val="9"/>
            </w:pPr>
            <w:r>
              <w:t>360006隆尧县东良中学</w:t>
            </w:r>
          </w:p>
        </w:tc>
        <w:tc>
          <w:tcPr>
            <w:tcW w:w="2551" w:type="dxa"/>
            <w:tcBorders>
              <w:top w:val="single" w:color="FFFFFF" w:sz="6" w:space="0"/>
              <w:left w:val="single" w:color="FFFFFF" w:sz="6" w:space="0"/>
              <w:right w:val="single" w:color="FFFFFF" w:sz="6" w:space="0"/>
            </w:tcBorders>
            <w:vAlign w:val="center"/>
          </w:tcPr>
          <w:p w14:paraId="59C13B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0F3008">
            <w:pPr>
              <w:pStyle w:val="7"/>
            </w:pPr>
            <w:r>
              <w:t>单位：万元</w:t>
            </w:r>
          </w:p>
        </w:tc>
      </w:tr>
      <w:tr w14:paraId="23E3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5B98F">
            <w:pPr>
              <w:pStyle w:val="10"/>
            </w:pPr>
            <w:r>
              <w:t>序号</w:t>
            </w:r>
          </w:p>
        </w:tc>
        <w:tc>
          <w:tcPr>
            <w:tcW w:w="5726" w:type="dxa"/>
            <w:gridSpan w:val="2"/>
            <w:vAlign w:val="center"/>
          </w:tcPr>
          <w:p w14:paraId="491E38A4">
            <w:pPr>
              <w:pStyle w:val="10"/>
            </w:pPr>
            <w:r>
              <w:t>功能分类科目</w:t>
            </w:r>
          </w:p>
        </w:tc>
        <w:tc>
          <w:tcPr>
            <w:tcW w:w="2551" w:type="dxa"/>
            <w:vMerge w:val="restart"/>
            <w:vAlign w:val="center"/>
          </w:tcPr>
          <w:p w14:paraId="46C4686E">
            <w:pPr>
              <w:pStyle w:val="10"/>
            </w:pPr>
            <w:r>
              <w:t>合计</w:t>
            </w:r>
          </w:p>
        </w:tc>
        <w:tc>
          <w:tcPr>
            <w:tcW w:w="2551" w:type="dxa"/>
            <w:vMerge w:val="restart"/>
            <w:vAlign w:val="center"/>
          </w:tcPr>
          <w:p w14:paraId="109A1CA3">
            <w:pPr>
              <w:pStyle w:val="10"/>
            </w:pPr>
            <w:r>
              <w:t>基本支出</w:t>
            </w:r>
          </w:p>
        </w:tc>
        <w:tc>
          <w:tcPr>
            <w:tcW w:w="2551" w:type="dxa"/>
            <w:vMerge w:val="restart"/>
            <w:vAlign w:val="center"/>
          </w:tcPr>
          <w:p w14:paraId="527B5932">
            <w:pPr>
              <w:pStyle w:val="10"/>
            </w:pPr>
            <w:r>
              <w:t>项目支出</w:t>
            </w:r>
          </w:p>
        </w:tc>
      </w:tr>
      <w:tr w14:paraId="26A6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67F375"/>
        </w:tc>
        <w:tc>
          <w:tcPr>
            <w:tcW w:w="1191" w:type="dxa"/>
            <w:vAlign w:val="center"/>
          </w:tcPr>
          <w:p w14:paraId="27359C49">
            <w:pPr>
              <w:pStyle w:val="10"/>
            </w:pPr>
            <w:r>
              <w:t>科目编码</w:t>
            </w:r>
          </w:p>
        </w:tc>
        <w:tc>
          <w:tcPr>
            <w:tcW w:w="4535" w:type="dxa"/>
            <w:vAlign w:val="center"/>
          </w:tcPr>
          <w:p w14:paraId="2C7F2B77">
            <w:pPr>
              <w:pStyle w:val="10"/>
            </w:pPr>
            <w:r>
              <w:t>科目名称</w:t>
            </w:r>
          </w:p>
        </w:tc>
        <w:tc>
          <w:tcPr>
            <w:tcW w:w="2551" w:type="dxa"/>
            <w:vMerge w:val="continue"/>
          </w:tcPr>
          <w:p w14:paraId="78C083FD"/>
        </w:tc>
        <w:tc>
          <w:tcPr>
            <w:tcW w:w="2551" w:type="dxa"/>
            <w:vMerge w:val="continue"/>
          </w:tcPr>
          <w:p w14:paraId="78FDDD58"/>
        </w:tc>
        <w:tc>
          <w:tcPr>
            <w:tcW w:w="2551" w:type="dxa"/>
            <w:vMerge w:val="continue"/>
          </w:tcPr>
          <w:p w14:paraId="04939324"/>
        </w:tc>
      </w:tr>
      <w:tr w14:paraId="176D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357966">
            <w:pPr>
              <w:pStyle w:val="10"/>
            </w:pPr>
            <w:r>
              <w:t>栏次</w:t>
            </w:r>
          </w:p>
        </w:tc>
        <w:tc>
          <w:tcPr>
            <w:tcW w:w="1191" w:type="dxa"/>
            <w:vAlign w:val="center"/>
          </w:tcPr>
          <w:p w14:paraId="177C8938">
            <w:pPr>
              <w:pStyle w:val="10"/>
            </w:pPr>
            <w:r>
              <w:t>1</w:t>
            </w:r>
          </w:p>
        </w:tc>
        <w:tc>
          <w:tcPr>
            <w:tcW w:w="4535" w:type="dxa"/>
            <w:vAlign w:val="center"/>
          </w:tcPr>
          <w:p w14:paraId="3E4C3D80">
            <w:pPr>
              <w:pStyle w:val="10"/>
            </w:pPr>
            <w:r>
              <w:t>2</w:t>
            </w:r>
          </w:p>
        </w:tc>
        <w:tc>
          <w:tcPr>
            <w:tcW w:w="2551" w:type="dxa"/>
            <w:vAlign w:val="center"/>
          </w:tcPr>
          <w:p w14:paraId="6074EA0C">
            <w:pPr>
              <w:pStyle w:val="10"/>
            </w:pPr>
            <w:r>
              <w:t>3</w:t>
            </w:r>
          </w:p>
        </w:tc>
        <w:tc>
          <w:tcPr>
            <w:tcW w:w="2551" w:type="dxa"/>
            <w:vAlign w:val="center"/>
          </w:tcPr>
          <w:p w14:paraId="1E47A2AB">
            <w:pPr>
              <w:pStyle w:val="10"/>
            </w:pPr>
            <w:r>
              <w:t>4</w:t>
            </w:r>
          </w:p>
        </w:tc>
        <w:tc>
          <w:tcPr>
            <w:tcW w:w="2551" w:type="dxa"/>
            <w:vAlign w:val="center"/>
          </w:tcPr>
          <w:p w14:paraId="304C0859">
            <w:pPr>
              <w:pStyle w:val="10"/>
            </w:pPr>
            <w:r>
              <w:t>5</w:t>
            </w:r>
          </w:p>
        </w:tc>
      </w:tr>
      <w:tr w14:paraId="51E7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B9411">
            <w:pPr>
              <w:pStyle w:val="13"/>
            </w:pPr>
            <w:r>
              <w:t>1</w:t>
            </w:r>
          </w:p>
        </w:tc>
        <w:tc>
          <w:tcPr>
            <w:tcW w:w="1191" w:type="dxa"/>
            <w:vAlign w:val="center"/>
          </w:tcPr>
          <w:p w14:paraId="3BE90DB0">
            <w:pPr>
              <w:pStyle w:val="16"/>
            </w:pPr>
          </w:p>
        </w:tc>
        <w:tc>
          <w:tcPr>
            <w:tcW w:w="4535" w:type="dxa"/>
            <w:vAlign w:val="center"/>
          </w:tcPr>
          <w:p w14:paraId="7830005C">
            <w:pPr>
              <w:pStyle w:val="14"/>
            </w:pPr>
            <w:r>
              <w:t>合计</w:t>
            </w:r>
          </w:p>
        </w:tc>
        <w:tc>
          <w:tcPr>
            <w:tcW w:w="2551" w:type="dxa"/>
            <w:vAlign w:val="center"/>
          </w:tcPr>
          <w:p w14:paraId="1D30F4C8">
            <w:pPr>
              <w:pStyle w:val="15"/>
            </w:pPr>
            <w:r>
              <w:t>1146.78</w:t>
            </w:r>
          </w:p>
        </w:tc>
        <w:tc>
          <w:tcPr>
            <w:tcW w:w="2551" w:type="dxa"/>
            <w:vAlign w:val="center"/>
          </w:tcPr>
          <w:p w14:paraId="1766E623">
            <w:pPr>
              <w:pStyle w:val="15"/>
            </w:pPr>
            <w:r>
              <w:t>936.04</w:t>
            </w:r>
          </w:p>
        </w:tc>
        <w:tc>
          <w:tcPr>
            <w:tcW w:w="2551" w:type="dxa"/>
            <w:vAlign w:val="center"/>
          </w:tcPr>
          <w:p w14:paraId="60CA3FBF">
            <w:pPr>
              <w:pStyle w:val="15"/>
            </w:pPr>
            <w:r>
              <w:t>210.74</w:t>
            </w:r>
          </w:p>
        </w:tc>
      </w:tr>
      <w:tr w14:paraId="65F0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97621">
            <w:pPr>
              <w:pStyle w:val="13"/>
            </w:pPr>
            <w:r>
              <w:t>2</w:t>
            </w:r>
          </w:p>
        </w:tc>
        <w:tc>
          <w:tcPr>
            <w:tcW w:w="1191" w:type="dxa"/>
            <w:vAlign w:val="center"/>
          </w:tcPr>
          <w:p w14:paraId="38870219">
            <w:pPr>
              <w:pStyle w:val="12"/>
            </w:pPr>
            <w:r>
              <w:t>205</w:t>
            </w:r>
          </w:p>
        </w:tc>
        <w:tc>
          <w:tcPr>
            <w:tcW w:w="4535" w:type="dxa"/>
            <w:vAlign w:val="center"/>
          </w:tcPr>
          <w:p w14:paraId="2AEFBFDA">
            <w:pPr>
              <w:pStyle w:val="12"/>
            </w:pPr>
            <w:r>
              <w:t>教育支出</w:t>
            </w:r>
          </w:p>
        </w:tc>
        <w:tc>
          <w:tcPr>
            <w:tcW w:w="2551" w:type="dxa"/>
            <w:vAlign w:val="center"/>
          </w:tcPr>
          <w:p w14:paraId="773A5A13">
            <w:pPr>
              <w:pStyle w:val="11"/>
            </w:pPr>
            <w:r>
              <w:t>1146.78</w:t>
            </w:r>
          </w:p>
        </w:tc>
        <w:tc>
          <w:tcPr>
            <w:tcW w:w="2551" w:type="dxa"/>
            <w:vAlign w:val="center"/>
          </w:tcPr>
          <w:p w14:paraId="07542D55">
            <w:pPr>
              <w:pStyle w:val="11"/>
            </w:pPr>
            <w:r>
              <w:t>936.04</w:t>
            </w:r>
          </w:p>
        </w:tc>
        <w:tc>
          <w:tcPr>
            <w:tcW w:w="2551" w:type="dxa"/>
            <w:vAlign w:val="center"/>
          </w:tcPr>
          <w:p w14:paraId="7A3ED1EE">
            <w:pPr>
              <w:pStyle w:val="11"/>
            </w:pPr>
            <w:r>
              <w:t>210.74</w:t>
            </w:r>
          </w:p>
        </w:tc>
      </w:tr>
      <w:tr w14:paraId="5CEB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B587">
            <w:pPr>
              <w:pStyle w:val="13"/>
            </w:pPr>
            <w:r>
              <w:t>3</w:t>
            </w:r>
          </w:p>
        </w:tc>
        <w:tc>
          <w:tcPr>
            <w:tcW w:w="1191" w:type="dxa"/>
            <w:vAlign w:val="center"/>
          </w:tcPr>
          <w:p w14:paraId="6C735508">
            <w:pPr>
              <w:pStyle w:val="12"/>
            </w:pPr>
            <w:r>
              <w:t>20502</w:t>
            </w:r>
          </w:p>
        </w:tc>
        <w:tc>
          <w:tcPr>
            <w:tcW w:w="4535" w:type="dxa"/>
            <w:vAlign w:val="center"/>
          </w:tcPr>
          <w:p w14:paraId="3479CC42">
            <w:pPr>
              <w:pStyle w:val="12"/>
            </w:pPr>
            <w:r>
              <w:t>普通教育</w:t>
            </w:r>
          </w:p>
        </w:tc>
        <w:tc>
          <w:tcPr>
            <w:tcW w:w="2551" w:type="dxa"/>
            <w:vAlign w:val="center"/>
          </w:tcPr>
          <w:p w14:paraId="7AD3518D">
            <w:pPr>
              <w:pStyle w:val="11"/>
            </w:pPr>
            <w:r>
              <w:t>1146.78</w:t>
            </w:r>
          </w:p>
        </w:tc>
        <w:tc>
          <w:tcPr>
            <w:tcW w:w="2551" w:type="dxa"/>
            <w:vAlign w:val="center"/>
          </w:tcPr>
          <w:p w14:paraId="1C4A6EF9">
            <w:pPr>
              <w:pStyle w:val="11"/>
            </w:pPr>
            <w:r>
              <w:t>936.04</w:t>
            </w:r>
          </w:p>
        </w:tc>
        <w:tc>
          <w:tcPr>
            <w:tcW w:w="2551" w:type="dxa"/>
            <w:vAlign w:val="center"/>
          </w:tcPr>
          <w:p w14:paraId="12664F1D">
            <w:pPr>
              <w:pStyle w:val="11"/>
            </w:pPr>
            <w:r>
              <w:t>210.74</w:t>
            </w:r>
          </w:p>
        </w:tc>
      </w:tr>
      <w:tr w14:paraId="2B0B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9056">
            <w:pPr>
              <w:pStyle w:val="13"/>
            </w:pPr>
            <w:r>
              <w:t>4</w:t>
            </w:r>
          </w:p>
        </w:tc>
        <w:tc>
          <w:tcPr>
            <w:tcW w:w="1191" w:type="dxa"/>
            <w:vAlign w:val="center"/>
          </w:tcPr>
          <w:p w14:paraId="548B9DEB">
            <w:pPr>
              <w:pStyle w:val="12"/>
            </w:pPr>
            <w:r>
              <w:t>2050203</w:t>
            </w:r>
          </w:p>
        </w:tc>
        <w:tc>
          <w:tcPr>
            <w:tcW w:w="4535" w:type="dxa"/>
            <w:vAlign w:val="center"/>
          </w:tcPr>
          <w:p w14:paraId="60FE95D7">
            <w:pPr>
              <w:pStyle w:val="12"/>
            </w:pPr>
            <w:r>
              <w:t>初中教育</w:t>
            </w:r>
          </w:p>
        </w:tc>
        <w:tc>
          <w:tcPr>
            <w:tcW w:w="2551" w:type="dxa"/>
            <w:vAlign w:val="center"/>
          </w:tcPr>
          <w:p w14:paraId="4C928738">
            <w:pPr>
              <w:pStyle w:val="11"/>
            </w:pPr>
            <w:r>
              <w:t>1146.78</w:t>
            </w:r>
          </w:p>
        </w:tc>
        <w:tc>
          <w:tcPr>
            <w:tcW w:w="2551" w:type="dxa"/>
            <w:vAlign w:val="center"/>
          </w:tcPr>
          <w:p w14:paraId="1AF12AC4">
            <w:pPr>
              <w:pStyle w:val="11"/>
            </w:pPr>
            <w:r>
              <w:t>936.04</w:t>
            </w:r>
          </w:p>
        </w:tc>
        <w:tc>
          <w:tcPr>
            <w:tcW w:w="2551" w:type="dxa"/>
            <w:vAlign w:val="center"/>
          </w:tcPr>
          <w:p w14:paraId="7CAF2BBF">
            <w:pPr>
              <w:pStyle w:val="11"/>
            </w:pPr>
            <w:r>
              <w:t>210.74</w:t>
            </w:r>
          </w:p>
        </w:tc>
      </w:tr>
    </w:tbl>
    <w:p w14:paraId="05B71A41">
      <w:pPr>
        <w:sectPr>
          <w:pgSz w:w="16840" w:h="11900" w:orient="landscape"/>
          <w:pgMar w:top="1361" w:right="1020" w:bottom="1134" w:left="1020" w:header="720" w:footer="720" w:gutter="0"/>
          <w:cols w:space="720" w:num="1"/>
        </w:sectPr>
      </w:pPr>
    </w:p>
    <w:p w14:paraId="10BC64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0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25812F">
            <w:pPr>
              <w:pStyle w:val="9"/>
            </w:pPr>
            <w:r>
              <w:t>360006隆尧县东良中学</w:t>
            </w:r>
          </w:p>
        </w:tc>
        <w:tc>
          <w:tcPr>
            <w:tcW w:w="2551" w:type="dxa"/>
            <w:tcBorders>
              <w:top w:val="single" w:color="FFFFFF" w:sz="6" w:space="0"/>
              <w:left w:val="single" w:color="FFFFFF" w:sz="6" w:space="0"/>
              <w:right w:val="single" w:color="FFFFFF" w:sz="6" w:space="0"/>
            </w:tcBorders>
            <w:vAlign w:val="center"/>
          </w:tcPr>
          <w:p w14:paraId="6E3062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ABFAB9">
            <w:pPr>
              <w:pStyle w:val="7"/>
            </w:pPr>
            <w:r>
              <w:t>单位：万元</w:t>
            </w:r>
          </w:p>
        </w:tc>
      </w:tr>
      <w:tr w14:paraId="1F66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3322E">
            <w:pPr>
              <w:pStyle w:val="10"/>
            </w:pPr>
            <w:r>
              <w:t>序号</w:t>
            </w:r>
          </w:p>
        </w:tc>
        <w:tc>
          <w:tcPr>
            <w:tcW w:w="5726" w:type="dxa"/>
            <w:gridSpan w:val="2"/>
            <w:vAlign w:val="center"/>
          </w:tcPr>
          <w:p w14:paraId="011909A2">
            <w:pPr>
              <w:pStyle w:val="10"/>
            </w:pPr>
            <w:r>
              <w:t>支出部门经济分类科目</w:t>
            </w:r>
          </w:p>
        </w:tc>
        <w:tc>
          <w:tcPr>
            <w:tcW w:w="7653" w:type="dxa"/>
            <w:gridSpan w:val="3"/>
            <w:vAlign w:val="center"/>
          </w:tcPr>
          <w:p w14:paraId="49A0E895">
            <w:pPr>
              <w:pStyle w:val="10"/>
            </w:pPr>
            <w:r>
              <w:t>一般公共预算基本支出</w:t>
            </w:r>
          </w:p>
        </w:tc>
      </w:tr>
      <w:tr w14:paraId="50060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F001E"/>
        </w:tc>
        <w:tc>
          <w:tcPr>
            <w:tcW w:w="1191" w:type="dxa"/>
            <w:vAlign w:val="center"/>
          </w:tcPr>
          <w:p w14:paraId="72987348">
            <w:pPr>
              <w:pStyle w:val="10"/>
            </w:pPr>
            <w:r>
              <w:t>科目编码</w:t>
            </w:r>
          </w:p>
        </w:tc>
        <w:tc>
          <w:tcPr>
            <w:tcW w:w="4535" w:type="dxa"/>
            <w:vAlign w:val="center"/>
          </w:tcPr>
          <w:p w14:paraId="24E64DA9">
            <w:pPr>
              <w:pStyle w:val="10"/>
            </w:pPr>
            <w:r>
              <w:t>科目名称</w:t>
            </w:r>
          </w:p>
        </w:tc>
        <w:tc>
          <w:tcPr>
            <w:tcW w:w="2551" w:type="dxa"/>
            <w:vAlign w:val="center"/>
          </w:tcPr>
          <w:p w14:paraId="54E7E518">
            <w:pPr>
              <w:pStyle w:val="10"/>
            </w:pPr>
            <w:r>
              <w:t>合计</w:t>
            </w:r>
          </w:p>
        </w:tc>
        <w:tc>
          <w:tcPr>
            <w:tcW w:w="2551" w:type="dxa"/>
            <w:vAlign w:val="center"/>
          </w:tcPr>
          <w:p w14:paraId="73157D35">
            <w:pPr>
              <w:pStyle w:val="10"/>
            </w:pPr>
            <w:r>
              <w:t>人员经费</w:t>
            </w:r>
          </w:p>
        </w:tc>
        <w:tc>
          <w:tcPr>
            <w:tcW w:w="2551" w:type="dxa"/>
            <w:vAlign w:val="center"/>
          </w:tcPr>
          <w:p w14:paraId="1161A502">
            <w:pPr>
              <w:pStyle w:val="10"/>
            </w:pPr>
            <w:r>
              <w:t>公用经费</w:t>
            </w:r>
          </w:p>
        </w:tc>
      </w:tr>
      <w:tr w14:paraId="5A67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19C69">
            <w:pPr>
              <w:pStyle w:val="10"/>
            </w:pPr>
            <w:r>
              <w:t>栏次</w:t>
            </w:r>
          </w:p>
        </w:tc>
        <w:tc>
          <w:tcPr>
            <w:tcW w:w="1191" w:type="dxa"/>
            <w:vAlign w:val="center"/>
          </w:tcPr>
          <w:p w14:paraId="773C720D">
            <w:pPr>
              <w:pStyle w:val="10"/>
            </w:pPr>
            <w:r>
              <w:t>1</w:t>
            </w:r>
          </w:p>
        </w:tc>
        <w:tc>
          <w:tcPr>
            <w:tcW w:w="4535" w:type="dxa"/>
            <w:vAlign w:val="center"/>
          </w:tcPr>
          <w:p w14:paraId="0354B10A">
            <w:pPr>
              <w:pStyle w:val="10"/>
            </w:pPr>
            <w:r>
              <w:t>2</w:t>
            </w:r>
          </w:p>
        </w:tc>
        <w:tc>
          <w:tcPr>
            <w:tcW w:w="2551" w:type="dxa"/>
            <w:vAlign w:val="center"/>
          </w:tcPr>
          <w:p w14:paraId="735DAB6D">
            <w:pPr>
              <w:pStyle w:val="10"/>
            </w:pPr>
            <w:r>
              <w:t>3</w:t>
            </w:r>
          </w:p>
        </w:tc>
        <w:tc>
          <w:tcPr>
            <w:tcW w:w="2551" w:type="dxa"/>
            <w:vAlign w:val="center"/>
          </w:tcPr>
          <w:p w14:paraId="39638653">
            <w:pPr>
              <w:pStyle w:val="10"/>
            </w:pPr>
            <w:r>
              <w:t>4</w:t>
            </w:r>
          </w:p>
        </w:tc>
        <w:tc>
          <w:tcPr>
            <w:tcW w:w="2551" w:type="dxa"/>
            <w:vAlign w:val="center"/>
          </w:tcPr>
          <w:p w14:paraId="6E96DBA3">
            <w:pPr>
              <w:pStyle w:val="10"/>
            </w:pPr>
            <w:r>
              <w:t>5</w:t>
            </w:r>
          </w:p>
        </w:tc>
      </w:tr>
      <w:tr w14:paraId="11DA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BE16">
            <w:pPr>
              <w:pStyle w:val="13"/>
            </w:pPr>
            <w:r>
              <w:t>1</w:t>
            </w:r>
          </w:p>
        </w:tc>
        <w:tc>
          <w:tcPr>
            <w:tcW w:w="1191" w:type="dxa"/>
            <w:vAlign w:val="center"/>
          </w:tcPr>
          <w:p w14:paraId="08C6E4B0">
            <w:pPr>
              <w:pStyle w:val="16"/>
            </w:pPr>
          </w:p>
        </w:tc>
        <w:tc>
          <w:tcPr>
            <w:tcW w:w="4535" w:type="dxa"/>
            <w:vAlign w:val="center"/>
          </w:tcPr>
          <w:p w14:paraId="5AB6AE59">
            <w:pPr>
              <w:pStyle w:val="14"/>
            </w:pPr>
            <w:r>
              <w:t>合计</w:t>
            </w:r>
          </w:p>
        </w:tc>
        <w:tc>
          <w:tcPr>
            <w:tcW w:w="2551" w:type="dxa"/>
            <w:vAlign w:val="center"/>
          </w:tcPr>
          <w:p w14:paraId="486C59B3">
            <w:pPr>
              <w:pStyle w:val="15"/>
            </w:pPr>
            <w:r>
              <w:t>936.04</w:t>
            </w:r>
          </w:p>
        </w:tc>
        <w:tc>
          <w:tcPr>
            <w:tcW w:w="2551" w:type="dxa"/>
            <w:vAlign w:val="center"/>
          </w:tcPr>
          <w:p w14:paraId="6D7D6B42">
            <w:pPr>
              <w:pStyle w:val="15"/>
            </w:pPr>
            <w:r>
              <w:t>936.04</w:t>
            </w:r>
          </w:p>
        </w:tc>
        <w:tc>
          <w:tcPr>
            <w:tcW w:w="2551" w:type="dxa"/>
            <w:vAlign w:val="center"/>
          </w:tcPr>
          <w:p w14:paraId="65A9AF35">
            <w:pPr>
              <w:pStyle w:val="15"/>
            </w:pPr>
          </w:p>
        </w:tc>
      </w:tr>
      <w:tr w14:paraId="201C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1C36A">
            <w:pPr>
              <w:pStyle w:val="13"/>
            </w:pPr>
            <w:r>
              <w:t>2</w:t>
            </w:r>
          </w:p>
        </w:tc>
        <w:tc>
          <w:tcPr>
            <w:tcW w:w="1191" w:type="dxa"/>
            <w:vAlign w:val="center"/>
          </w:tcPr>
          <w:p w14:paraId="49404102">
            <w:pPr>
              <w:pStyle w:val="12"/>
            </w:pPr>
            <w:r>
              <w:t>301</w:t>
            </w:r>
          </w:p>
        </w:tc>
        <w:tc>
          <w:tcPr>
            <w:tcW w:w="4535" w:type="dxa"/>
            <w:vAlign w:val="center"/>
          </w:tcPr>
          <w:p w14:paraId="59A04288">
            <w:pPr>
              <w:pStyle w:val="12"/>
            </w:pPr>
            <w:r>
              <w:t>工资福利支出</w:t>
            </w:r>
          </w:p>
        </w:tc>
        <w:tc>
          <w:tcPr>
            <w:tcW w:w="2551" w:type="dxa"/>
            <w:vAlign w:val="center"/>
          </w:tcPr>
          <w:p w14:paraId="3026B80A">
            <w:pPr>
              <w:pStyle w:val="11"/>
            </w:pPr>
            <w:r>
              <w:t>906.26</w:t>
            </w:r>
          </w:p>
        </w:tc>
        <w:tc>
          <w:tcPr>
            <w:tcW w:w="2551" w:type="dxa"/>
            <w:vAlign w:val="center"/>
          </w:tcPr>
          <w:p w14:paraId="0191FFE6">
            <w:pPr>
              <w:pStyle w:val="11"/>
            </w:pPr>
            <w:r>
              <w:t>906.26</w:t>
            </w:r>
          </w:p>
        </w:tc>
        <w:tc>
          <w:tcPr>
            <w:tcW w:w="2551" w:type="dxa"/>
            <w:vAlign w:val="center"/>
          </w:tcPr>
          <w:p w14:paraId="4CDDA66A">
            <w:pPr>
              <w:pStyle w:val="11"/>
            </w:pPr>
          </w:p>
        </w:tc>
      </w:tr>
      <w:tr w14:paraId="51DD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10629">
            <w:pPr>
              <w:pStyle w:val="13"/>
            </w:pPr>
            <w:r>
              <w:t>3</w:t>
            </w:r>
          </w:p>
        </w:tc>
        <w:tc>
          <w:tcPr>
            <w:tcW w:w="1191" w:type="dxa"/>
            <w:vAlign w:val="center"/>
          </w:tcPr>
          <w:p w14:paraId="73C81131">
            <w:pPr>
              <w:pStyle w:val="12"/>
            </w:pPr>
            <w:r>
              <w:t>30101</w:t>
            </w:r>
          </w:p>
        </w:tc>
        <w:tc>
          <w:tcPr>
            <w:tcW w:w="4535" w:type="dxa"/>
            <w:vAlign w:val="center"/>
          </w:tcPr>
          <w:p w14:paraId="1BD98B58">
            <w:pPr>
              <w:pStyle w:val="12"/>
            </w:pPr>
            <w:r>
              <w:t>基本工资</w:t>
            </w:r>
          </w:p>
        </w:tc>
        <w:tc>
          <w:tcPr>
            <w:tcW w:w="2551" w:type="dxa"/>
            <w:vAlign w:val="center"/>
          </w:tcPr>
          <w:p w14:paraId="69F00DD4">
            <w:pPr>
              <w:pStyle w:val="11"/>
            </w:pPr>
            <w:r>
              <w:t>437.50</w:t>
            </w:r>
          </w:p>
        </w:tc>
        <w:tc>
          <w:tcPr>
            <w:tcW w:w="2551" w:type="dxa"/>
            <w:vAlign w:val="center"/>
          </w:tcPr>
          <w:p w14:paraId="767B378C">
            <w:pPr>
              <w:pStyle w:val="11"/>
            </w:pPr>
            <w:r>
              <w:t>437.50</w:t>
            </w:r>
          </w:p>
        </w:tc>
        <w:tc>
          <w:tcPr>
            <w:tcW w:w="2551" w:type="dxa"/>
            <w:vAlign w:val="center"/>
          </w:tcPr>
          <w:p w14:paraId="1DFB09E7">
            <w:pPr>
              <w:pStyle w:val="11"/>
            </w:pPr>
          </w:p>
        </w:tc>
      </w:tr>
      <w:tr w14:paraId="3926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BB64">
            <w:pPr>
              <w:pStyle w:val="13"/>
            </w:pPr>
            <w:r>
              <w:t>4</w:t>
            </w:r>
          </w:p>
        </w:tc>
        <w:tc>
          <w:tcPr>
            <w:tcW w:w="1191" w:type="dxa"/>
            <w:vAlign w:val="center"/>
          </w:tcPr>
          <w:p w14:paraId="62E7A1DF">
            <w:pPr>
              <w:pStyle w:val="12"/>
            </w:pPr>
            <w:r>
              <w:t>30102</w:t>
            </w:r>
          </w:p>
        </w:tc>
        <w:tc>
          <w:tcPr>
            <w:tcW w:w="4535" w:type="dxa"/>
            <w:vAlign w:val="center"/>
          </w:tcPr>
          <w:p w14:paraId="4C3063B2">
            <w:pPr>
              <w:pStyle w:val="12"/>
            </w:pPr>
            <w:r>
              <w:t>津贴补贴</w:t>
            </w:r>
          </w:p>
        </w:tc>
        <w:tc>
          <w:tcPr>
            <w:tcW w:w="2551" w:type="dxa"/>
            <w:vAlign w:val="center"/>
          </w:tcPr>
          <w:p w14:paraId="5E42B7B4">
            <w:pPr>
              <w:pStyle w:val="11"/>
            </w:pPr>
            <w:r>
              <w:t>40.45</w:t>
            </w:r>
          </w:p>
        </w:tc>
        <w:tc>
          <w:tcPr>
            <w:tcW w:w="2551" w:type="dxa"/>
            <w:vAlign w:val="center"/>
          </w:tcPr>
          <w:p w14:paraId="4C13CB32">
            <w:pPr>
              <w:pStyle w:val="11"/>
            </w:pPr>
            <w:r>
              <w:t>40.45</w:t>
            </w:r>
          </w:p>
        </w:tc>
        <w:tc>
          <w:tcPr>
            <w:tcW w:w="2551" w:type="dxa"/>
            <w:vAlign w:val="center"/>
          </w:tcPr>
          <w:p w14:paraId="27D1D1C6">
            <w:pPr>
              <w:pStyle w:val="11"/>
            </w:pPr>
          </w:p>
        </w:tc>
      </w:tr>
      <w:tr w14:paraId="6898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2EB7B">
            <w:pPr>
              <w:pStyle w:val="13"/>
            </w:pPr>
            <w:r>
              <w:t>5</w:t>
            </w:r>
          </w:p>
        </w:tc>
        <w:tc>
          <w:tcPr>
            <w:tcW w:w="1191" w:type="dxa"/>
            <w:vAlign w:val="center"/>
          </w:tcPr>
          <w:p w14:paraId="44861DA5">
            <w:pPr>
              <w:pStyle w:val="12"/>
            </w:pPr>
            <w:r>
              <w:t>30107</w:t>
            </w:r>
          </w:p>
        </w:tc>
        <w:tc>
          <w:tcPr>
            <w:tcW w:w="4535" w:type="dxa"/>
            <w:vAlign w:val="center"/>
          </w:tcPr>
          <w:p w14:paraId="430DC89D">
            <w:pPr>
              <w:pStyle w:val="12"/>
            </w:pPr>
            <w:r>
              <w:t>绩效工资</w:t>
            </w:r>
          </w:p>
        </w:tc>
        <w:tc>
          <w:tcPr>
            <w:tcW w:w="2551" w:type="dxa"/>
            <w:vAlign w:val="center"/>
          </w:tcPr>
          <w:p w14:paraId="2B401655">
            <w:pPr>
              <w:pStyle w:val="11"/>
            </w:pPr>
            <w:r>
              <w:t>224.95</w:t>
            </w:r>
          </w:p>
        </w:tc>
        <w:tc>
          <w:tcPr>
            <w:tcW w:w="2551" w:type="dxa"/>
            <w:vAlign w:val="center"/>
          </w:tcPr>
          <w:p w14:paraId="308BCBF3">
            <w:pPr>
              <w:pStyle w:val="11"/>
            </w:pPr>
            <w:r>
              <w:t>224.95</w:t>
            </w:r>
          </w:p>
        </w:tc>
        <w:tc>
          <w:tcPr>
            <w:tcW w:w="2551" w:type="dxa"/>
            <w:vAlign w:val="center"/>
          </w:tcPr>
          <w:p w14:paraId="66CFDAE1">
            <w:pPr>
              <w:pStyle w:val="11"/>
            </w:pPr>
          </w:p>
        </w:tc>
      </w:tr>
      <w:tr w14:paraId="1B6B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A2D84">
            <w:pPr>
              <w:pStyle w:val="13"/>
            </w:pPr>
            <w:r>
              <w:t>6</w:t>
            </w:r>
          </w:p>
        </w:tc>
        <w:tc>
          <w:tcPr>
            <w:tcW w:w="1191" w:type="dxa"/>
            <w:vAlign w:val="center"/>
          </w:tcPr>
          <w:p w14:paraId="2F577751">
            <w:pPr>
              <w:pStyle w:val="12"/>
            </w:pPr>
            <w:r>
              <w:t>30108</w:t>
            </w:r>
          </w:p>
        </w:tc>
        <w:tc>
          <w:tcPr>
            <w:tcW w:w="4535" w:type="dxa"/>
            <w:vAlign w:val="center"/>
          </w:tcPr>
          <w:p w14:paraId="4E12AA38">
            <w:pPr>
              <w:pStyle w:val="12"/>
            </w:pPr>
            <w:r>
              <w:t>机关事业单位基本养老保险缴费</w:t>
            </w:r>
          </w:p>
        </w:tc>
        <w:tc>
          <w:tcPr>
            <w:tcW w:w="2551" w:type="dxa"/>
            <w:vAlign w:val="center"/>
          </w:tcPr>
          <w:p w14:paraId="4E2FB70D">
            <w:pPr>
              <w:pStyle w:val="11"/>
            </w:pPr>
            <w:r>
              <w:t>89.94</w:t>
            </w:r>
          </w:p>
        </w:tc>
        <w:tc>
          <w:tcPr>
            <w:tcW w:w="2551" w:type="dxa"/>
            <w:vAlign w:val="center"/>
          </w:tcPr>
          <w:p w14:paraId="4D154781">
            <w:pPr>
              <w:pStyle w:val="11"/>
            </w:pPr>
            <w:r>
              <w:t>89.94</w:t>
            </w:r>
          </w:p>
        </w:tc>
        <w:tc>
          <w:tcPr>
            <w:tcW w:w="2551" w:type="dxa"/>
            <w:vAlign w:val="center"/>
          </w:tcPr>
          <w:p w14:paraId="20720253">
            <w:pPr>
              <w:pStyle w:val="11"/>
            </w:pPr>
          </w:p>
        </w:tc>
      </w:tr>
      <w:tr w14:paraId="6873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8E15">
            <w:pPr>
              <w:pStyle w:val="13"/>
            </w:pPr>
            <w:r>
              <w:t>7</w:t>
            </w:r>
          </w:p>
        </w:tc>
        <w:tc>
          <w:tcPr>
            <w:tcW w:w="1191" w:type="dxa"/>
            <w:vAlign w:val="center"/>
          </w:tcPr>
          <w:p w14:paraId="2892F8B0">
            <w:pPr>
              <w:pStyle w:val="12"/>
            </w:pPr>
            <w:r>
              <w:t>30110</w:t>
            </w:r>
          </w:p>
        </w:tc>
        <w:tc>
          <w:tcPr>
            <w:tcW w:w="4535" w:type="dxa"/>
            <w:vAlign w:val="center"/>
          </w:tcPr>
          <w:p w14:paraId="7FFCBE83">
            <w:pPr>
              <w:pStyle w:val="12"/>
            </w:pPr>
            <w:r>
              <w:t>职工基本医疗保险缴费</w:t>
            </w:r>
          </w:p>
        </w:tc>
        <w:tc>
          <w:tcPr>
            <w:tcW w:w="2551" w:type="dxa"/>
            <w:vAlign w:val="center"/>
          </w:tcPr>
          <w:p w14:paraId="7A43B7FC">
            <w:pPr>
              <w:pStyle w:val="11"/>
            </w:pPr>
            <w:r>
              <w:t>41.33</w:t>
            </w:r>
          </w:p>
        </w:tc>
        <w:tc>
          <w:tcPr>
            <w:tcW w:w="2551" w:type="dxa"/>
            <w:vAlign w:val="center"/>
          </w:tcPr>
          <w:p w14:paraId="6788D074">
            <w:pPr>
              <w:pStyle w:val="11"/>
            </w:pPr>
            <w:r>
              <w:t>41.33</w:t>
            </w:r>
          </w:p>
        </w:tc>
        <w:tc>
          <w:tcPr>
            <w:tcW w:w="2551" w:type="dxa"/>
            <w:vAlign w:val="center"/>
          </w:tcPr>
          <w:p w14:paraId="6369AFBA">
            <w:pPr>
              <w:pStyle w:val="11"/>
            </w:pPr>
          </w:p>
        </w:tc>
      </w:tr>
      <w:tr w14:paraId="3CD2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F7B2A">
            <w:pPr>
              <w:pStyle w:val="13"/>
            </w:pPr>
            <w:r>
              <w:t>8</w:t>
            </w:r>
          </w:p>
        </w:tc>
        <w:tc>
          <w:tcPr>
            <w:tcW w:w="1191" w:type="dxa"/>
            <w:vAlign w:val="center"/>
          </w:tcPr>
          <w:p w14:paraId="1C2D7000">
            <w:pPr>
              <w:pStyle w:val="12"/>
            </w:pPr>
            <w:r>
              <w:t>30112</w:t>
            </w:r>
          </w:p>
        </w:tc>
        <w:tc>
          <w:tcPr>
            <w:tcW w:w="4535" w:type="dxa"/>
            <w:vAlign w:val="center"/>
          </w:tcPr>
          <w:p w14:paraId="1A5874A3">
            <w:pPr>
              <w:pStyle w:val="12"/>
            </w:pPr>
            <w:r>
              <w:t>其他社会保障缴费</w:t>
            </w:r>
          </w:p>
        </w:tc>
        <w:tc>
          <w:tcPr>
            <w:tcW w:w="2551" w:type="dxa"/>
            <w:vAlign w:val="center"/>
          </w:tcPr>
          <w:p w14:paraId="3E930B06">
            <w:pPr>
              <w:pStyle w:val="11"/>
            </w:pPr>
            <w:r>
              <w:t>2.65</w:t>
            </w:r>
          </w:p>
        </w:tc>
        <w:tc>
          <w:tcPr>
            <w:tcW w:w="2551" w:type="dxa"/>
            <w:vAlign w:val="center"/>
          </w:tcPr>
          <w:p w14:paraId="19537AE5">
            <w:pPr>
              <w:pStyle w:val="11"/>
            </w:pPr>
            <w:r>
              <w:t>2.65</w:t>
            </w:r>
          </w:p>
        </w:tc>
        <w:tc>
          <w:tcPr>
            <w:tcW w:w="2551" w:type="dxa"/>
            <w:vAlign w:val="center"/>
          </w:tcPr>
          <w:p w14:paraId="32111A58">
            <w:pPr>
              <w:pStyle w:val="11"/>
            </w:pPr>
          </w:p>
        </w:tc>
      </w:tr>
      <w:tr w14:paraId="75B6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CAFBD">
            <w:pPr>
              <w:pStyle w:val="13"/>
            </w:pPr>
            <w:r>
              <w:t>9</w:t>
            </w:r>
          </w:p>
        </w:tc>
        <w:tc>
          <w:tcPr>
            <w:tcW w:w="1191" w:type="dxa"/>
            <w:vAlign w:val="center"/>
          </w:tcPr>
          <w:p w14:paraId="3546519E">
            <w:pPr>
              <w:pStyle w:val="12"/>
            </w:pPr>
            <w:r>
              <w:t>30113</w:t>
            </w:r>
          </w:p>
        </w:tc>
        <w:tc>
          <w:tcPr>
            <w:tcW w:w="4535" w:type="dxa"/>
            <w:vAlign w:val="center"/>
          </w:tcPr>
          <w:p w14:paraId="70CA9229">
            <w:pPr>
              <w:pStyle w:val="12"/>
            </w:pPr>
            <w:r>
              <w:t>住房公积金</w:t>
            </w:r>
          </w:p>
        </w:tc>
        <w:tc>
          <w:tcPr>
            <w:tcW w:w="2551" w:type="dxa"/>
            <w:vAlign w:val="center"/>
          </w:tcPr>
          <w:p w14:paraId="6BA8C169">
            <w:pPr>
              <w:pStyle w:val="11"/>
            </w:pPr>
            <w:r>
              <w:t>69.44</w:t>
            </w:r>
          </w:p>
        </w:tc>
        <w:tc>
          <w:tcPr>
            <w:tcW w:w="2551" w:type="dxa"/>
            <w:vAlign w:val="center"/>
          </w:tcPr>
          <w:p w14:paraId="3476842E">
            <w:pPr>
              <w:pStyle w:val="11"/>
            </w:pPr>
            <w:r>
              <w:t>69.44</w:t>
            </w:r>
          </w:p>
        </w:tc>
        <w:tc>
          <w:tcPr>
            <w:tcW w:w="2551" w:type="dxa"/>
            <w:vAlign w:val="center"/>
          </w:tcPr>
          <w:p w14:paraId="265C98EF">
            <w:pPr>
              <w:pStyle w:val="11"/>
            </w:pPr>
          </w:p>
        </w:tc>
      </w:tr>
      <w:tr w14:paraId="2DFB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C181E">
            <w:pPr>
              <w:pStyle w:val="13"/>
            </w:pPr>
            <w:r>
              <w:t>10</w:t>
            </w:r>
          </w:p>
        </w:tc>
        <w:tc>
          <w:tcPr>
            <w:tcW w:w="1191" w:type="dxa"/>
            <w:vAlign w:val="center"/>
          </w:tcPr>
          <w:p w14:paraId="40C42B84">
            <w:pPr>
              <w:pStyle w:val="12"/>
            </w:pPr>
            <w:r>
              <w:t>303</w:t>
            </w:r>
          </w:p>
        </w:tc>
        <w:tc>
          <w:tcPr>
            <w:tcW w:w="4535" w:type="dxa"/>
            <w:vAlign w:val="center"/>
          </w:tcPr>
          <w:p w14:paraId="799F0454">
            <w:pPr>
              <w:pStyle w:val="12"/>
            </w:pPr>
            <w:r>
              <w:t>对个人和家庭的补助</w:t>
            </w:r>
          </w:p>
        </w:tc>
        <w:tc>
          <w:tcPr>
            <w:tcW w:w="2551" w:type="dxa"/>
            <w:vAlign w:val="center"/>
          </w:tcPr>
          <w:p w14:paraId="2AE9D15B">
            <w:pPr>
              <w:pStyle w:val="11"/>
            </w:pPr>
            <w:r>
              <w:t>29.77</w:t>
            </w:r>
          </w:p>
        </w:tc>
        <w:tc>
          <w:tcPr>
            <w:tcW w:w="2551" w:type="dxa"/>
            <w:vAlign w:val="center"/>
          </w:tcPr>
          <w:p w14:paraId="2CE65F01">
            <w:pPr>
              <w:pStyle w:val="11"/>
            </w:pPr>
            <w:r>
              <w:t>29.77</w:t>
            </w:r>
          </w:p>
        </w:tc>
        <w:tc>
          <w:tcPr>
            <w:tcW w:w="2551" w:type="dxa"/>
            <w:vAlign w:val="center"/>
          </w:tcPr>
          <w:p w14:paraId="53E0B964">
            <w:pPr>
              <w:pStyle w:val="11"/>
            </w:pPr>
          </w:p>
        </w:tc>
      </w:tr>
      <w:tr w14:paraId="7E72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BB78C">
            <w:pPr>
              <w:pStyle w:val="13"/>
            </w:pPr>
            <w:r>
              <w:t>11</w:t>
            </w:r>
          </w:p>
        </w:tc>
        <w:tc>
          <w:tcPr>
            <w:tcW w:w="1191" w:type="dxa"/>
            <w:vAlign w:val="center"/>
          </w:tcPr>
          <w:p w14:paraId="09B2709D">
            <w:pPr>
              <w:pStyle w:val="12"/>
            </w:pPr>
            <w:r>
              <w:t>30302</w:t>
            </w:r>
          </w:p>
        </w:tc>
        <w:tc>
          <w:tcPr>
            <w:tcW w:w="4535" w:type="dxa"/>
            <w:vAlign w:val="center"/>
          </w:tcPr>
          <w:p w14:paraId="3765E60E">
            <w:pPr>
              <w:pStyle w:val="12"/>
            </w:pPr>
            <w:r>
              <w:t>退休费</w:t>
            </w:r>
          </w:p>
        </w:tc>
        <w:tc>
          <w:tcPr>
            <w:tcW w:w="2551" w:type="dxa"/>
            <w:vAlign w:val="center"/>
          </w:tcPr>
          <w:p w14:paraId="1C0A9D5A">
            <w:pPr>
              <w:pStyle w:val="11"/>
            </w:pPr>
            <w:r>
              <w:t>26.17</w:t>
            </w:r>
          </w:p>
        </w:tc>
        <w:tc>
          <w:tcPr>
            <w:tcW w:w="2551" w:type="dxa"/>
            <w:vAlign w:val="center"/>
          </w:tcPr>
          <w:p w14:paraId="098455EA">
            <w:pPr>
              <w:pStyle w:val="11"/>
            </w:pPr>
            <w:r>
              <w:t>26.17</w:t>
            </w:r>
          </w:p>
        </w:tc>
        <w:tc>
          <w:tcPr>
            <w:tcW w:w="2551" w:type="dxa"/>
            <w:vAlign w:val="center"/>
          </w:tcPr>
          <w:p w14:paraId="782EFEF8">
            <w:pPr>
              <w:pStyle w:val="11"/>
            </w:pPr>
          </w:p>
        </w:tc>
      </w:tr>
      <w:tr w14:paraId="145E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F27D">
            <w:pPr>
              <w:pStyle w:val="13"/>
            </w:pPr>
            <w:r>
              <w:t>12</w:t>
            </w:r>
          </w:p>
        </w:tc>
        <w:tc>
          <w:tcPr>
            <w:tcW w:w="1191" w:type="dxa"/>
            <w:vAlign w:val="center"/>
          </w:tcPr>
          <w:p w14:paraId="7FA2D721">
            <w:pPr>
              <w:pStyle w:val="12"/>
            </w:pPr>
            <w:r>
              <w:t>30305</w:t>
            </w:r>
          </w:p>
        </w:tc>
        <w:tc>
          <w:tcPr>
            <w:tcW w:w="4535" w:type="dxa"/>
            <w:vAlign w:val="center"/>
          </w:tcPr>
          <w:p w14:paraId="75EC54F1">
            <w:pPr>
              <w:pStyle w:val="12"/>
            </w:pPr>
            <w:r>
              <w:t>生活补助</w:t>
            </w:r>
          </w:p>
        </w:tc>
        <w:tc>
          <w:tcPr>
            <w:tcW w:w="2551" w:type="dxa"/>
            <w:vAlign w:val="center"/>
          </w:tcPr>
          <w:p w14:paraId="308C6A30">
            <w:pPr>
              <w:pStyle w:val="11"/>
            </w:pPr>
            <w:r>
              <w:t>3.60</w:t>
            </w:r>
          </w:p>
        </w:tc>
        <w:tc>
          <w:tcPr>
            <w:tcW w:w="2551" w:type="dxa"/>
            <w:vAlign w:val="center"/>
          </w:tcPr>
          <w:p w14:paraId="03C93C30">
            <w:pPr>
              <w:pStyle w:val="11"/>
            </w:pPr>
            <w:r>
              <w:t>3.60</w:t>
            </w:r>
          </w:p>
        </w:tc>
        <w:tc>
          <w:tcPr>
            <w:tcW w:w="2551" w:type="dxa"/>
            <w:vAlign w:val="center"/>
          </w:tcPr>
          <w:p w14:paraId="0414B032">
            <w:pPr>
              <w:pStyle w:val="11"/>
            </w:pPr>
          </w:p>
        </w:tc>
      </w:tr>
    </w:tbl>
    <w:p w14:paraId="658A7D17">
      <w:pPr>
        <w:sectPr>
          <w:pgSz w:w="16840" w:h="11900" w:orient="landscape"/>
          <w:pgMar w:top="1361" w:right="1020" w:bottom="1134" w:left="1020" w:header="720" w:footer="720" w:gutter="0"/>
          <w:cols w:space="720" w:num="1"/>
        </w:sectPr>
      </w:pPr>
    </w:p>
    <w:p w14:paraId="288C2D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75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461903">
            <w:pPr>
              <w:pStyle w:val="9"/>
            </w:pPr>
            <w:r>
              <w:t>360006隆尧县东良中学</w:t>
            </w:r>
          </w:p>
        </w:tc>
        <w:tc>
          <w:tcPr>
            <w:tcW w:w="2551" w:type="dxa"/>
            <w:tcBorders>
              <w:top w:val="single" w:color="FFFFFF" w:sz="6" w:space="0"/>
              <w:left w:val="single" w:color="FFFFFF" w:sz="6" w:space="0"/>
              <w:right w:val="single" w:color="FFFFFF" w:sz="6" w:space="0"/>
            </w:tcBorders>
            <w:vAlign w:val="center"/>
          </w:tcPr>
          <w:p w14:paraId="1225102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CB7CE1">
            <w:pPr>
              <w:pStyle w:val="7"/>
            </w:pPr>
            <w:r>
              <w:t>单位：万元</w:t>
            </w:r>
          </w:p>
        </w:tc>
      </w:tr>
      <w:tr w14:paraId="12ABC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144E68">
            <w:pPr>
              <w:pStyle w:val="10"/>
            </w:pPr>
            <w:r>
              <w:t>序号</w:t>
            </w:r>
          </w:p>
        </w:tc>
        <w:tc>
          <w:tcPr>
            <w:tcW w:w="5726" w:type="dxa"/>
            <w:gridSpan w:val="2"/>
            <w:vAlign w:val="center"/>
          </w:tcPr>
          <w:p w14:paraId="65E86D17">
            <w:pPr>
              <w:pStyle w:val="10"/>
            </w:pPr>
            <w:r>
              <w:t>功能分类科目</w:t>
            </w:r>
          </w:p>
        </w:tc>
        <w:tc>
          <w:tcPr>
            <w:tcW w:w="2551" w:type="dxa"/>
            <w:vMerge w:val="restart"/>
            <w:vAlign w:val="center"/>
          </w:tcPr>
          <w:p w14:paraId="20C16F08">
            <w:pPr>
              <w:pStyle w:val="10"/>
            </w:pPr>
            <w:r>
              <w:t>合计</w:t>
            </w:r>
          </w:p>
        </w:tc>
        <w:tc>
          <w:tcPr>
            <w:tcW w:w="2551" w:type="dxa"/>
            <w:vMerge w:val="restart"/>
            <w:vAlign w:val="center"/>
          </w:tcPr>
          <w:p w14:paraId="6406194B">
            <w:pPr>
              <w:pStyle w:val="10"/>
            </w:pPr>
            <w:r>
              <w:t>基本支出</w:t>
            </w:r>
          </w:p>
        </w:tc>
        <w:tc>
          <w:tcPr>
            <w:tcW w:w="2551" w:type="dxa"/>
            <w:vMerge w:val="restart"/>
            <w:vAlign w:val="center"/>
          </w:tcPr>
          <w:p w14:paraId="34799B9B">
            <w:pPr>
              <w:pStyle w:val="10"/>
            </w:pPr>
            <w:r>
              <w:t>项目支出</w:t>
            </w:r>
          </w:p>
        </w:tc>
      </w:tr>
      <w:tr w14:paraId="5FD0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F3C652"/>
        </w:tc>
        <w:tc>
          <w:tcPr>
            <w:tcW w:w="1191" w:type="dxa"/>
            <w:vAlign w:val="center"/>
          </w:tcPr>
          <w:p w14:paraId="2D2B7C21">
            <w:pPr>
              <w:pStyle w:val="10"/>
            </w:pPr>
            <w:r>
              <w:t>科目编码</w:t>
            </w:r>
          </w:p>
        </w:tc>
        <w:tc>
          <w:tcPr>
            <w:tcW w:w="4535" w:type="dxa"/>
            <w:vAlign w:val="center"/>
          </w:tcPr>
          <w:p w14:paraId="366DC3FF">
            <w:pPr>
              <w:pStyle w:val="10"/>
            </w:pPr>
            <w:r>
              <w:t>科目名称</w:t>
            </w:r>
          </w:p>
        </w:tc>
        <w:tc>
          <w:tcPr>
            <w:tcW w:w="2551" w:type="dxa"/>
            <w:vMerge w:val="continue"/>
          </w:tcPr>
          <w:p w14:paraId="79551CCA"/>
        </w:tc>
        <w:tc>
          <w:tcPr>
            <w:tcW w:w="2551" w:type="dxa"/>
            <w:vMerge w:val="continue"/>
          </w:tcPr>
          <w:p w14:paraId="26D62DA4"/>
        </w:tc>
        <w:tc>
          <w:tcPr>
            <w:tcW w:w="2551" w:type="dxa"/>
            <w:vMerge w:val="continue"/>
          </w:tcPr>
          <w:p w14:paraId="54EAD9D3"/>
        </w:tc>
      </w:tr>
      <w:tr w14:paraId="129F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3C953">
            <w:pPr>
              <w:pStyle w:val="10"/>
            </w:pPr>
            <w:r>
              <w:t>栏次</w:t>
            </w:r>
          </w:p>
        </w:tc>
        <w:tc>
          <w:tcPr>
            <w:tcW w:w="1191" w:type="dxa"/>
            <w:vAlign w:val="center"/>
          </w:tcPr>
          <w:p w14:paraId="4325E636">
            <w:pPr>
              <w:pStyle w:val="10"/>
            </w:pPr>
            <w:r>
              <w:t>1</w:t>
            </w:r>
          </w:p>
        </w:tc>
        <w:tc>
          <w:tcPr>
            <w:tcW w:w="4535" w:type="dxa"/>
            <w:vAlign w:val="center"/>
          </w:tcPr>
          <w:p w14:paraId="3324799E">
            <w:pPr>
              <w:pStyle w:val="10"/>
            </w:pPr>
            <w:r>
              <w:t>2</w:t>
            </w:r>
          </w:p>
        </w:tc>
        <w:tc>
          <w:tcPr>
            <w:tcW w:w="2551" w:type="dxa"/>
            <w:vAlign w:val="center"/>
          </w:tcPr>
          <w:p w14:paraId="51A995E0">
            <w:pPr>
              <w:pStyle w:val="10"/>
            </w:pPr>
            <w:r>
              <w:t>3</w:t>
            </w:r>
          </w:p>
        </w:tc>
        <w:tc>
          <w:tcPr>
            <w:tcW w:w="2551" w:type="dxa"/>
            <w:vAlign w:val="center"/>
          </w:tcPr>
          <w:p w14:paraId="37E4EA51">
            <w:pPr>
              <w:pStyle w:val="10"/>
            </w:pPr>
            <w:r>
              <w:t>4</w:t>
            </w:r>
          </w:p>
        </w:tc>
        <w:tc>
          <w:tcPr>
            <w:tcW w:w="2551" w:type="dxa"/>
            <w:vAlign w:val="center"/>
          </w:tcPr>
          <w:p w14:paraId="1B950226">
            <w:pPr>
              <w:pStyle w:val="10"/>
            </w:pPr>
            <w:r>
              <w:t>5</w:t>
            </w:r>
          </w:p>
        </w:tc>
      </w:tr>
      <w:tr w14:paraId="4D4F7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8581">
            <w:pPr>
              <w:pStyle w:val="13"/>
            </w:pPr>
          </w:p>
        </w:tc>
        <w:tc>
          <w:tcPr>
            <w:tcW w:w="1191" w:type="dxa"/>
            <w:vAlign w:val="center"/>
          </w:tcPr>
          <w:p w14:paraId="44DAF329">
            <w:pPr>
              <w:pStyle w:val="12"/>
            </w:pPr>
          </w:p>
        </w:tc>
        <w:tc>
          <w:tcPr>
            <w:tcW w:w="4535" w:type="dxa"/>
            <w:vAlign w:val="center"/>
          </w:tcPr>
          <w:p w14:paraId="6EAABD40">
            <w:pPr>
              <w:pStyle w:val="12"/>
            </w:pPr>
          </w:p>
        </w:tc>
        <w:tc>
          <w:tcPr>
            <w:tcW w:w="2551" w:type="dxa"/>
            <w:vAlign w:val="center"/>
          </w:tcPr>
          <w:p w14:paraId="69AE1E12">
            <w:pPr>
              <w:pStyle w:val="11"/>
            </w:pPr>
          </w:p>
        </w:tc>
        <w:tc>
          <w:tcPr>
            <w:tcW w:w="2551" w:type="dxa"/>
            <w:vAlign w:val="center"/>
          </w:tcPr>
          <w:p w14:paraId="13F0B7A1">
            <w:pPr>
              <w:pStyle w:val="11"/>
            </w:pPr>
          </w:p>
        </w:tc>
        <w:tc>
          <w:tcPr>
            <w:tcW w:w="2551" w:type="dxa"/>
            <w:vAlign w:val="center"/>
          </w:tcPr>
          <w:p w14:paraId="771927F5">
            <w:pPr>
              <w:pStyle w:val="11"/>
            </w:pPr>
          </w:p>
        </w:tc>
      </w:tr>
    </w:tbl>
    <w:p w14:paraId="7E1AA1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D966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40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65F532">
            <w:pPr>
              <w:pStyle w:val="9"/>
            </w:pPr>
            <w:r>
              <w:t>360006隆尧县东良中学</w:t>
            </w:r>
          </w:p>
        </w:tc>
        <w:tc>
          <w:tcPr>
            <w:tcW w:w="2551" w:type="dxa"/>
            <w:tcBorders>
              <w:top w:val="single" w:color="FFFFFF" w:sz="6" w:space="0"/>
              <w:left w:val="single" w:color="FFFFFF" w:sz="6" w:space="0"/>
              <w:right w:val="single" w:color="FFFFFF" w:sz="6" w:space="0"/>
            </w:tcBorders>
            <w:vAlign w:val="center"/>
          </w:tcPr>
          <w:p w14:paraId="5E6236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A61B33">
            <w:pPr>
              <w:pStyle w:val="7"/>
            </w:pPr>
            <w:r>
              <w:t>单位：万元</w:t>
            </w:r>
          </w:p>
        </w:tc>
      </w:tr>
      <w:tr w14:paraId="59F4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43B0AE">
            <w:pPr>
              <w:pStyle w:val="10"/>
            </w:pPr>
            <w:r>
              <w:t>序号</w:t>
            </w:r>
          </w:p>
        </w:tc>
        <w:tc>
          <w:tcPr>
            <w:tcW w:w="5726" w:type="dxa"/>
            <w:gridSpan w:val="2"/>
            <w:vAlign w:val="center"/>
          </w:tcPr>
          <w:p w14:paraId="4E044DB7">
            <w:pPr>
              <w:pStyle w:val="10"/>
            </w:pPr>
            <w:r>
              <w:t>功能分类科目</w:t>
            </w:r>
          </w:p>
        </w:tc>
        <w:tc>
          <w:tcPr>
            <w:tcW w:w="2551" w:type="dxa"/>
            <w:vMerge w:val="restart"/>
            <w:vAlign w:val="center"/>
          </w:tcPr>
          <w:p w14:paraId="6243D10E">
            <w:pPr>
              <w:pStyle w:val="10"/>
            </w:pPr>
            <w:r>
              <w:t>合计</w:t>
            </w:r>
          </w:p>
        </w:tc>
        <w:tc>
          <w:tcPr>
            <w:tcW w:w="2551" w:type="dxa"/>
            <w:vMerge w:val="restart"/>
            <w:vAlign w:val="center"/>
          </w:tcPr>
          <w:p w14:paraId="5DDD0BE6">
            <w:pPr>
              <w:pStyle w:val="10"/>
            </w:pPr>
            <w:r>
              <w:t>基本支出</w:t>
            </w:r>
          </w:p>
        </w:tc>
        <w:tc>
          <w:tcPr>
            <w:tcW w:w="2551" w:type="dxa"/>
            <w:vMerge w:val="restart"/>
            <w:vAlign w:val="center"/>
          </w:tcPr>
          <w:p w14:paraId="085F1B90">
            <w:pPr>
              <w:pStyle w:val="10"/>
            </w:pPr>
            <w:r>
              <w:t>项目支出</w:t>
            </w:r>
          </w:p>
        </w:tc>
      </w:tr>
      <w:tr w14:paraId="0C8C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07ED1"/>
        </w:tc>
        <w:tc>
          <w:tcPr>
            <w:tcW w:w="1191" w:type="dxa"/>
            <w:vAlign w:val="center"/>
          </w:tcPr>
          <w:p w14:paraId="1D44EDC5">
            <w:pPr>
              <w:pStyle w:val="10"/>
            </w:pPr>
            <w:r>
              <w:t>科目编码</w:t>
            </w:r>
          </w:p>
        </w:tc>
        <w:tc>
          <w:tcPr>
            <w:tcW w:w="4535" w:type="dxa"/>
            <w:vAlign w:val="center"/>
          </w:tcPr>
          <w:p w14:paraId="307F9CB6">
            <w:pPr>
              <w:pStyle w:val="10"/>
            </w:pPr>
            <w:r>
              <w:t>科目名称</w:t>
            </w:r>
          </w:p>
        </w:tc>
        <w:tc>
          <w:tcPr>
            <w:tcW w:w="2551" w:type="dxa"/>
            <w:vMerge w:val="continue"/>
          </w:tcPr>
          <w:p w14:paraId="47A7D952"/>
        </w:tc>
        <w:tc>
          <w:tcPr>
            <w:tcW w:w="2551" w:type="dxa"/>
            <w:vMerge w:val="continue"/>
          </w:tcPr>
          <w:p w14:paraId="234E1235"/>
        </w:tc>
        <w:tc>
          <w:tcPr>
            <w:tcW w:w="2551" w:type="dxa"/>
            <w:vMerge w:val="continue"/>
          </w:tcPr>
          <w:p w14:paraId="508EA822"/>
        </w:tc>
      </w:tr>
      <w:tr w14:paraId="626F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06E41">
            <w:pPr>
              <w:pStyle w:val="10"/>
            </w:pPr>
            <w:r>
              <w:t>栏次</w:t>
            </w:r>
          </w:p>
        </w:tc>
        <w:tc>
          <w:tcPr>
            <w:tcW w:w="1191" w:type="dxa"/>
            <w:vAlign w:val="center"/>
          </w:tcPr>
          <w:p w14:paraId="47C356D6">
            <w:pPr>
              <w:pStyle w:val="10"/>
            </w:pPr>
            <w:r>
              <w:t>1</w:t>
            </w:r>
          </w:p>
        </w:tc>
        <w:tc>
          <w:tcPr>
            <w:tcW w:w="4535" w:type="dxa"/>
            <w:vAlign w:val="center"/>
          </w:tcPr>
          <w:p w14:paraId="6F6F1772">
            <w:pPr>
              <w:pStyle w:val="10"/>
            </w:pPr>
            <w:r>
              <w:t>2</w:t>
            </w:r>
          </w:p>
        </w:tc>
        <w:tc>
          <w:tcPr>
            <w:tcW w:w="2551" w:type="dxa"/>
            <w:vAlign w:val="center"/>
          </w:tcPr>
          <w:p w14:paraId="732F7BDB">
            <w:pPr>
              <w:pStyle w:val="10"/>
            </w:pPr>
            <w:r>
              <w:t>3</w:t>
            </w:r>
          </w:p>
        </w:tc>
        <w:tc>
          <w:tcPr>
            <w:tcW w:w="2551" w:type="dxa"/>
            <w:vAlign w:val="center"/>
          </w:tcPr>
          <w:p w14:paraId="1037BAAF">
            <w:pPr>
              <w:pStyle w:val="10"/>
            </w:pPr>
            <w:r>
              <w:t>4</w:t>
            </w:r>
          </w:p>
        </w:tc>
        <w:tc>
          <w:tcPr>
            <w:tcW w:w="2551" w:type="dxa"/>
            <w:vAlign w:val="center"/>
          </w:tcPr>
          <w:p w14:paraId="01EA5C15">
            <w:pPr>
              <w:pStyle w:val="10"/>
            </w:pPr>
            <w:r>
              <w:t>5</w:t>
            </w:r>
          </w:p>
        </w:tc>
      </w:tr>
      <w:tr w14:paraId="6FFA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899AF">
            <w:pPr>
              <w:pStyle w:val="13"/>
            </w:pPr>
          </w:p>
        </w:tc>
        <w:tc>
          <w:tcPr>
            <w:tcW w:w="1191" w:type="dxa"/>
            <w:vAlign w:val="center"/>
          </w:tcPr>
          <w:p w14:paraId="0AD4FBC2">
            <w:pPr>
              <w:pStyle w:val="12"/>
            </w:pPr>
          </w:p>
        </w:tc>
        <w:tc>
          <w:tcPr>
            <w:tcW w:w="4535" w:type="dxa"/>
            <w:vAlign w:val="center"/>
          </w:tcPr>
          <w:p w14:paraId="5336A15B">
            <w:pPr>
              <w:pStyle w:val="12"/>
            </w:pPr>
          </w:p>
        </w:tc>
        <w:tc>
          <w:tcPr>
            <w:tcW w:w="2551" w:type="dxa"/>
            <w:vAlign w:val="center"/>
          </w:tcPr>
          <w:p w14:paraId="1994109A">
            <w:pPr>
              <w:pStyle w:val="11"/>
            </w:pPr>
          </w:p>
        </w:tc>
        <w:tc>
          <w:tcPr>
            <w:tcW w:w="2551" w:type="dxa"/>
            <w:vAlign w:val="center"/>
          </w:tcPr>
          <w:p w14:paraId="6F5278E5">
            <w:pPr>
              <w:pStyle w:val="11"/>
            </w:pPr>
          </w:p>
        </w:tc>
        <w:tc>
          <w:tcPr>
            <w:tcW w:w="2551" w:type="dxa"/>
            <w:vAlign w:val="center"/>
          </w:tcPr>
          <w:p w14:paraId="5DA9ADDA">
            <w:pPr>
              <w:pStyle w:val="11"/>
            </w:pPr>
          </w:p>
        </w:tc>
      </w:tr>
    </w:tbl>
    <w:p w14:paraId="0F2B08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F60C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26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AAC963">
            <w:pPr>
              <w:pStyle w:val="9"/>
            </w:pPr>
            <w:r>
              <w:t>360006隆尧县东良中学</w:t>
            </w:r>
          </w:p>
        </w:tc>
        <w:tc>
          <w:tcPr>
            <w:tcW w:w="2381" w:type="dxa"/>
            <w:tcBorders>
              <w:top w:val="single" w:color="FFFFFF" w:sz="6" w:space="0"/>
              <w:left w:val="single" w:color="FFFFFF" w:sz="6" w:space="0"/>
              <w:right w:val="single" w:color="FFFFFF" w:sz="6" w:space="0"/>
            </w:tcBorders>
            <w:vAlign w:val="center"/>
          </w:tcPr>
          <w:p w14:paraId="5683C80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0961731">
            <w:pPr>
              <w:pStyle w:val="7"/>
            </w:pPr>
            <w:r>
              <w:t>单位：万元</w:t>
            </w:r>
          </w:p>
        </w:tc>
      </w:tr>
      <w:tr w14:paraId="3BB50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D4441">
            <w:pPr>
              <w:pStyle w:val="10"/>
            </w:pPr>
            <w:r>
              <w:t>序号</w:t>
            </w:r>
          </w:p>
        </w:tc>
        <w:tc>
          <w:tcPr>
            <w:tcW w:w="3798" w:type="dxa"/>
            <w:vMerge w:val="restart"/>
            <w:vAlign w:val="center"/>
          </w:tcPr>
          <w:p w14:paraId="5F835555">
            <w:pPr>
              <w:pStyle w:val="10"/>
            </w:pPr>
            <w:r>
              <w:t>项  目</w:t>
            </w:r>
          </w:p>
        </w:tc>
        <w:tc>
          <w:tcPr>
            <w:tcW w:w="9524" w:type="dxa"/>
            <w:gridSpan w:val="4"/>
            <w:vAlign w:val="center"/>
          </w:tcPr>
          <w:p w14:paraId="1FB92AE8">
            <w:pPr>
              <w:pStyle w:val="10"/>
            </w:pPr>
            <w:r>
              <w:t>资 金 性 质</w:t>
            </w:r>
          </w:p>
        </w:tc>
      </w:tr>
      <w:tr w14:paraId="4740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806055"/>
        </w:tc>
        <w:tc>
          <w:tcPr>
            <w:tcW w:w="3798" w:type="dxa"/>
            <w:vMerge w:val="continue"/>
          </w:tcPr>
          <w:p w14:paraId="1B0FA506"/>
        </w:tc>
        <w:tc>
          <w:tcPr>
            <w:tcW w:w="2381" w:type="dxa"/>
            <w:vAlign w:val="center"/>
          </w:tcPr>
          <w:p w14:paraId="0EBB3E0C">
            <w:pPr>
              <w:pStyle w:val="10"/>
            </w:pPr>
            <w:r>
              <w:t>合计</w:t>
            </w:r>
          </w:p>
        </w:tc>
        <w:tc>
          <w:tcPr>
            <w:tcW w:w="2381" w:type="dxa"/>
            <w:vAlign w:val="center"/>
          </w:tcPr>
          <w:p w14:paraId="3CF6B8BB">
            <w:pPr>
              <w:pStyle w:val="10"/>
            </w:pPr>
            <w:r>
              <w:t>一般公共预算              财政拨款</w:t>
            </w:r>
          </w:p>
        </w:tc>
        <w:tc>
          <w:tcPr>
            <w:tcW w:w="2381" w:type="dxa"/>
            <w:vAlign w:val="center"/>
          </w:tcPr>
          <w:p w14:paraId="666DAC0B">
            <w:pPr>
              <w:pStyle w:val="10"/>
            </w:pPr>
            <w:r>
              <w:t>政府性基金                  预算拨款</w:t>
            </w:r>
          </w:p>
        </w:tc>
        <w:tc>
          <w:tcPr>
            <w:tcW w:w="2381" w:type="dxa"/>
            <w:vAlign w:val="center"/>
          </w:tcPr>
          <w:p w14:paraId="3FF30CA1">
            <w:pPr>
              <w:pStyle w:val="10"/>
            </w:pPr>
            <w:r>
              <w:t>国有资本经营              预算财政拨款</w:t>
            </w:r>
          </w:p>
        </w:tc>
      </w:tr>
      <w:tr w14:paraId="4357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A524E7">
            <w:pPr>
              <w:pStyle w:val="10"/>
            </w:pPr>
            <w:r>
              <w:t>栏次</w:t>
            </w:r>
          </w:p>
        </w:tc>
        <w:tc>
          <w:tcPr>
            <w:tcW w:w="3798" w:type="dxa"/>
            <w:vAlign w:val="center"/>
          </w:tcPr>
          <w:p w14:paraId="0F8E869A">
            <w:pPr>
              <w:pStyle w:val="10"/>
            </w:pPr>
            <w:r>
              <w:t>1</w:t>
            </w:r>
          </w:p>
        </w:tc>
        <w:tc>
          <w:tcPr>
            <w:tcW w:w="2381" w:type="dxa"/>
            <w:vAlign w:val="center"/>
          </w:tcPr>
          <w:p w14:paraId="6C62CF91">
            <w:pPr>
              <w:pStyle w:val="10"/>
            </w:pPr>
            <w:r>
              <w:t>2</w:t>
            </w:r>
          </w:p>
        </w:tc>
        <w:tc>
          <w:tcPr>
            <w:tcW w:w="2381" w:type="dxa"/>
            <w:vAlign w:val="center"/>
          </w:tcPr>
          <w:p w14:paraId="29595964">
            <w:pPr>
              <w:pStyle w:val="10"/>
            </w:pPr>
            <w:r>
              <w:t>3</w:t>
            </w:r>
          </w:p>
        </w:tc>
        <w:tc>
          <w:tcPr>
            <w:tcW w:w="2381" w:type="dxa"/>
            <w:vAlign w:val="center"/>
          </w:tcPr>
          <w:p w14:paraId="2A4A345E">
            <w:pPr>
              <w:pStyle w:val="10"/>
            </w:pPr>
            <w:r>
              <w:t>4</w:t>
            </w:r>
          </w:p>
        </w:tc>
        <w:tc>
          <w:tcPr>
            <w:tcW w:w="2381" w:type="dxa"/>
            <w:vAlign w:val="center"/>
          </w:tcPr>
          <w:p w14:paraId="228EE71D">
            <w:pPr>
              <w:pStyle w:val="10"/>
            </w:pPr>
            <w:r>
              <w:t>5</w:t>
            </w:r>
          </w:p>
        </w:tc>
      </w:tr>
      <w:tr w14:paraId="1826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1103BE">
            <w:pPr>
              <w:pStyle w:val="13"/>
            </w:pPr>
          </w:p>
        </w:tc>
        <w:tc>
          <w:tcPr>
            <w:tcW w:w="3798" w:type="dxa"/>
            <w:vAlign w:val="center"/>
          </w:tcPr>
          <w:p w14:paraId="7D70608B">
            <w:pPr>
              <w:pStyle w:val="12"/>
            </w:pPr>
          </w:p>
        </w:tc>
        <w:tc>
          <w:tcPr>
            <w:tcW w:w="2381" w:type="dxa"/>
            <w:vAlign w:val="center"/>
          </w:tcPr>
          <w:p w14:paraId="17B9AF79">
            <w:pPr>
              <w:pStyle w:val="11"/>
            </w:pPr>
          </w:p>
        </w:tc>
        <w:tc>
          <w:tcPr>
            <w:tcW w:w="2381" w:type="dxa"/>
            <w:vAlign w:val="center"/>
          </w:tcPr>
          <w:p w14:paraId="5F823799">
            <w:pPr>
              <w:pStyle w:val="11"/>
            </w:pPr>
          </w:p>
        </w:tc>
        <w:tc>
          <w:tcPr>
            <w:tcW w:w="2381" w:type="dxa"/>
            <w:vAlign w:val="center"/>
          </w:tcPr>
          <w:p w14:paraId="2FDEEEBA">
            <w:pPr>
              <w:pStyle w:val="11"/>
            </w:pPr>
          </w:p>
        </w:tc>
        <w:tc>
          <w:tcPr>
            <w:tcW w:w="2381" w:type="dxa"/>
            <w:vAlign w:val="center"/>
          </w:tcPr>
          <w:p w14:paraId="20DB2872">
            <w:pPr>
              <w:pStyle w:val="11"/>
            </w:pPr>
          </w:p>
        </w:tc>
      </w:tr>
    </w:tbl>
    <w:p w14:paraId="1A2A69B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F0E3703">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隆尧县东良中学2026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60CAC86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地方预决算公开操作规程》和《关于进一步推进预算公开工作的实施意见》规定，现将隆尧县东良中学2026年单位预算公开如下：</w:t>
      </w:r>
    </w:p>
    <w:p w14:paraId="56ECAB67">
      <w:pPr>
        <w:spacing w:before="10" w:after="10" w:line="240" w:lineRule="auto"/>
        <w:ind w:firstLine="640"/>
        <w:jc w:val="left"/>
        <w:outlineLvl w:val="5"/>
      </w:pPr>
      <w:r>
        <w:rPr>
          <w:rFonts w:ascii="黑体" w:hAnsi="黑体" w:eastAsia="黑体" w:cs="黑体"/>
          <w:color w:val="000000"/>
          <w:sz w:val="32"/>
        </w:rPr>
        <w:t>一、单位职责及机构设置情况</w:t>
      </w:r>
    </w:p>
    <w:p w14:paraId="291CFE1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CCF33D7">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贯彻落实基础教育的方针、政策，开展初中阶段教育教学工作，促进学生德、智、体、美、劳全面发展；负责学生安全教育和管理，确保学生身心健康；加强教师队伍建设和管理，为教育教学工作提供保障。</w:t>
      </w:r>
    </w:p>
    <w:p w14:paraId="6CEA2402">
      <w:pPr>
        <w:spacing w:before="0" w:after="0" w:line="500" w:lineRule="exact"/>
        <w:ind w:firstLine="560"/>
        <w:jc w:val="left"/>
        <w:outlineLvl w:val="9"/>
      </w:pPr>
      <w:r>
        <w:rPr>
          <w:rFonts w:hint="eastAsia" w:ascii="Times New Roman" w:hAnsi="Times New Roman" w:eastAsia="方正仿宋_GBK" w:cs="Times New Roman"/>
          <w:b w:val="0"/>
          <w:color w:val="000000"/>
          <w:sz w:val="28"/>
          <w:lang w:val="en-US" w:eastAsia="zh-CN"/>
        </w:rPr>
        <w:t>隆尧县东良中学事业编制69名，校长1名（正股级），副校长3名（副股级）；经费形式为财政性资金基本保证。</w:t>
      </w:r>
    </w:p>
    <w:p w14:paraId="76BD89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1E85F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47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2BEE53">
            <w:pPr>
              <w:pStyle w:val="10"/>
            </w:pPr>
            <w:r>
              <w:t>单位名称</w:t>
            </w:r>
          </w:p>
        </w:tc>
        <w:tc>
          <w:tcPr>
            <w:tcW w:w="1843" w:type="dxa"/>
            <w:vAlign w:val="center"/>
          </w:tcPr>
          <w:p w14:paraId="6418969B">
            <w:pPr>
              <w:pStyle w:val="10"/>
            </w:pPr>
            <w:r>
              <w:t>单位性质</w:t>
            </w:r>
          </w:p>
        </w:tc>
        <w:tc>
          <w:tcPr>
            <w:tcW w:w="2126" w:type="dxa"/>
            <w:vAlign w:val="center"/>
          </w:tcPr>
          <w:p w14:paraId="65BD71E3">
            <w:pPr>
              <w:pStyle w:val="10"/>
            </w:pPr>
            <w:r>
              <w:t>单位规格</w:t>
            </w:r>
          </w:p>
        </w:tc>
        <w:tc>
          <w:tcPr>
            <w:tcW w:w="3827" w:type="dxa"/>
            <w:vAlign w:val="center"/>
          </w:tcPr>
          <w:p w14:paraId="2342F877">
            <w:pPr>
              <w:pStyle w:val="10"/>
            </w:pPr>
            <w:r>
              <w:t>经费保障形式</w:t>
            </w:r>
          </w:p>
        </w:tc>
      </w:tr>
      <w:tr w14:paraId="0584E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D02830">
            <w:pPr>
              <w:pStyle w:val="12"/>
            </w:pPr>
            <w:r>
              <w:t>隆尧县东良中学</w:t>
            </w:r>
          </w:p>
        </w:tc>
        <w:tc>
          <w:tcPr>
            <w:tcW w:w="1843" w:type="dxa"/>
            <w:vAlign w:val="center"/>
          </w:tcPr>
          <w:p w14:paraId="3A05370F">
            <w:pPr>
              <w:pStyle w:val="13"/>
            </w:pPr>
            <w:r>
              <w:t>事业</w:t>
            </w:r>
          </w:p>
        </w:tc>
        <w:tc>
          <w:tcPr>
            <w:tcW w:w="2126" w:type="dxa"/>
            <w:vAlign w:val="center"/>
          </w:tcPr>
          <w:p w14:paraId="3E92EC9A">
            <w:pPr>
              <w:pStyle w:val="13"/>
            </w:pPr>
            <w:r>
              <w:t>股级</w:t>
            </w:r>
          </w:p>
        </w:tc>
        <w:tc>
          <w:tcPr>
            <w:tcW w:w="3827" w:type="dxa"/>
            <w:vAlign w:val="center"/>
          </w:tcPr>
          <w:p w14:paraId="66A542A2">
            <w:pPr>
              <w:pStyle w:val="13"/>
            </w:pPr>
            <w:r>
              <w:t>财政性资金基本保证</w:t>
            </w:r>
          </w:p>
        </w:tc>
      </w:tr>
    </w:tbl>
    <w:p w14:paraId="4F2CADA7">
      <w:pPr>
        <w:spacing w:before="10" w:after="10" w:line="240" w:lineRule="auto"/>
        <w:ind w:firstLine="640"/>
        <w:jc w:val="left"/>
        <w:outlineLvl w:val="5"/>
      </w:pPr>
      <w:r>
        <w:rPr>
          <w:rFonts w:ascii="黑体" w:hAnsi="黑体" w:eastAsia="黑体" w:cs="黑体"/>
          <w:color w:val="000000"/>
          <w:sz w:val="32"/>
        </w:rPr>
        <w:t>二、单位预算安排的总体情况</w:t>
      </w:r>
    </w:p>
    <w:p w14:paraId="16388713">
      <w:pPr>
        <w:pStyle w:val="18"/>
      </w:pPr>
      <w:r>
        <w:t>按照预算管理有关规定，目前我校单位预算的编制实行综合预算管理，即全部收入和支出都反映的预算中。隆尧县东良中学收支包含在单位预算中。</w:t>
      </w:r>
    </w:p>
    <w:p w14:paraId="6DEB44F8">
      <w:pPr>
        <w:pStyle w:val="18"/>
      </w:pPr>
      <w:r>
        <w:t>1、收入说明</w:t>
      </w:r>
    </w:p>
    <w:p w14:paraId="4FA740A0">
      <w:pPr>
        <w:pStyle w:val="18"/>
      </w:pPr>
      <w:r>
        <w:t>反映本单位当年全部收入。2026年预算收入1146.78万元，其中：一般公共预算收入1146.78万元，基金预算收入0万元，财政专户管理资金收入0万元，单位资金收入0万元，上年结转结余0万元。</w:t>
      </w:r>
    </w:p>
    <w:p w14:paraId="732F55FC">
      <w:pPr>
        <w:pStyle w:val="18"/>
      </w:pPr>
      <w:r>
        <w:t>2、支出说明</w:t>
      </w:r>
    </w:p>
    <w:p w14:paraId="71E54F11">
      <w:pPr>
        <w:pStyle w:val="18"/>
      </w:pPr>
      <w:r>
        <w:t>收支预算总表支出栏、基本支出表、项目支出表按经济分类和支出功能分类科目编制，反映隆尧县东良中学年度单位预算中支出预算的总体情况。2026年单位支出预算为1146.78万元，其中基本支出936.04万元、项目支出210.74万元。主要为初中教育936.04万元。</w:t>
      </w:r>
    </w:p>
    <w:p w14:paraId="29DBD67F">
      <w:pPr>
        <w:pStyle w:val="18"/>
      </w:pPr>
      <w:r>
        <w:t>3、比上年增减情况</w:t>
      </w:r>
    </w:p>
    <w:p w14:paraId="7FCAB01B">
      <w:pPr>
        <w:pStyle w:val="18"/>
      </w:pPr>
      <w:r>
        <w:t>2026年部门预算收支安排1146.78万元，比上年减少185.73万元。</w:t>
      </w:r>
    </w:p>
    <w:p w14:paraId="6B6A5A63">
      <w:pPr>
        <w:spacing w:before="10" w:after="10" w:line="240" w:lineRule="auto"/>
        <w:ind w:firstLine="640"/>
        <w:jc w:val="left"/>
        <w:outlineLvl w:val="5"/>
      </w:pPr>
      <w:r>
        <w:rPr>
          <w:rFonts w:ascii="黑体" w:hAnsi="黑体" w:eastAsia="黑体" w:cs="黑体"/>
          <w:color w:val="000000"/>
          <w:sz w:val="32"/>
        </w:rPr>
        <w:t>三、机关运行经费安排情况</w:t>
      </w:r>
    </w:p>
    <w:p w14:paraId="47B2410A">
      <w:pPr>
        <w:pStyle w:val="19"/>
      </w:pPr>
      <w:r>
        <w:t>2026年，我单位按学生安排公用经费，无机关运行经费</w:t>
      </w:r>
    </w:p>
    <w:p w14:paraId="31D7BFF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988603">
      <w:pPr>
        <w:pStyle w:val="20"/>
      </w:pPr>
      <w:r>
        <w:t>2026年，未安排</w:t>
      </w:r>
      <w:r>
        <w:rPr>
          <w:rFonts w:hint="eastAsia"/>
          <w:lang w:eastAsia="zh-CN"/>
        </w:rPr>
        <w:t>“三公”经费</w:t>
      </w:r>
      <w:r>
        <w:t>。</w:t>
      </w:r>
    </w:p>
    <w:p w14:paraId="34C7519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1771DE">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1、冀财教[2025]121号/中央/2026年义教补助经费/东良中学公用经费绩效目标表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A4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C71FA">
            <w:pPr>
              <w:pStyle w:val="11"/>
            </w:pPr>
            <w:r>
              <w:t>单位：万元</w:t>
            </w:r>
          </w:p>
        </w:tc>
      </w:tr>
      <w:tr w14:paraId="6D45F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188ED">
            <w:pPr>
              <w:pStyle w:val="10"/>
            </w:pPr>
            <w:r>
              <w:t>项目编码</w:t>
            </w:r>
          </w:p>
        </w:tc>
        <w:tc>
          <w:tcPr>
            <w:tcW w:w="5103" w:type="dxa"/>
            <w:gridSpan w:val="2"/>
            <w:vAlign w:val="center"/>
          </w:tcPr>
          <w:p w14:paraId="35BD6E86">
            <w:pPr>
              <w:pStyle w:val="12"/>
            </w:pPr>
            <w:r>
              <w:t>13052526P00000410247R</w:t>
            </w:r>
          </w:p>
        </w:tc>
        <w:tc>
          <w:tcPr>
            <w:tcW w:w="2835" w:type="dxa"/>
            <w:vAlign w:val="center"/>
          </w:tcPr>
          <w:p w14:paraId="126378D6">
            <w:pPr>
              <w:pStyle w:val="10"/>
            </w:pPr>
            <w:r>
              <w:t>项目名称</w:t>
            </w:r>
          </w:p>
        </w:tc>
        <w:tc>
          <w:tcPr>
            <w:tcW w:w="6095" w:type="dxa"/>
            <w:gridSpan w:val="3"/>
            <w:vAlign w:val="center"/>
          </w:tcPr>
          <w:p w14:paraId="286E395F">
            <w:pPr>
              <w:pStyle w:val="12"/>
            </w:pPr>
            <w:r>
              <w:t>冀财教[2025]121号/中央/2026年义教补助经费/东良中学公用经费</w:t>
            </w:r>
          </w:p>
        </w:tc>
      </w:tr>
      <w:tr w14:paraId="335E2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B3788">
            <w:pPr>
              <w:pStyle w:val="10"/>
            </w:pPr>
            <w:r>
              <w:t>预算规模及资金用途</w:t>
            </w:r>
          </w:p>
        </w:tc>
        <w:tc>
          <w:tcPr>
            <w:tcW w:w="2268" w:type="dxa"/>
            <w:vAlign w:val="center"/>
          </w:tcPr>
          <w:p w14:paraId="294C0711">
            <w:pPr>
              <w:pStyle w:val="10"/>
            </w:pPr>
            <w:r>
              <w:t>预算数</w:t>
            </w:r>
          </w:p>
        </w:tc>
        <w:tc>
          <w:tcPr>
            <w:tcW w:w="2835" w:type="dxa"/>
            <w:vAlign w:val="center"/>
          </w:tcPr>
          <w:p w14:paraId="0C453022">
            <w:pPr>
              <w:pStyle w:val="12"/>
            </w:pPr>
            <w:r>
              <w:t>89.21</w:t>
            </w:r>
          </w:p>
        </w:tc>
        <w:tc>
          <w:tcPr>
            <w:tcW w:w="2835" w:type="dxa"/>
            <w:vAlign w:val="center"/>
          </w:tcPr>
          <w:p w14:paraId="1533FA95">
            <w:pPr>
              <w:pStyle w:val="10"/>
            </w:pPr>
            <w:r>
              <w:t>其中：财政    资金</w:t>
            </w:r>
          </w:p>
        </w:tc>
        <w:tc>
          <w:tcPr>
            <w:tcW w:w="2551" w:type="dxa"/>
            <w:vAlign w:val="center"/>
          </w:tcPr>
          <w:p w14:paraId="23B517F6">
            <w:pPr>
              <w:pStyle w:val="12"/>
            </w:pPr>
            <w:r>
              <w:t>89.21</w:t>
            </w:r>
          </w:p>
        </w:tc>
        <w:tc>
          <w:tcPr>
            <w:tcW w:w="2268" w:type="dxa"/>
            <w:vAlign w:val="center"/>
          </w:tcPr>
          <w:p w14:paraId="1DA1435E">
            <w:pPr>
              <w:pStyle w:val="10"/>
            </w:pPr>
            <w:r>
              <w:t>其他资金</w:t>
            </w:r>
          </w:p>
        </w:tc>
        <w:tc>
          <w:tcPr>
            <w:tcW w:w="1276" w:type="dxa"/>
            <w:vAlign w:val="center"/>
          </w:tcPr>
          <w:p w14:paraId="2586ECA4">
            <w:pPr>
              <w:pStyle w:val="12"/>
            </w:pPr>
            <w:r>
              <w:t xml:space="preserve"> </w:t>
            </w:r>
          </w:p>
        </w:tc>
      </w:tr>
      <w:tr w14:paraId="2FD17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60FB3"/>
        </w:tc>
        <w:tc>
          <w:tcPr>
            <w:tcW w:w="14033" w:type="dxa"/>
            <w:gridSpan w:val="6"/>
            <w:vAlign w:val="center"/>
          </w:tcPr>
          <w:p w14:paraId="71D08092">
            <w:pPr>
              <w:pStyle w:val="12"/>
            </w:pPr>
            <w:r>
              <w:t xml:space="preserve"> 保障义务教育学校正常运转，完成教育教学活动和其他日常工作任务等方面的费用支出。</w:t>
            </w:r>
            <w:r>
              <w:tab/>
            </w:r>
            <w:r>
              <w:tab/>
            </w:r>
            <w:r>
              <w:tab/>
            </w:r>
            <w:r>
              <w:tab/>
            </w:r>
            <w:r>
              <w:tab/>
            </w:r>
            <w:r>
              <w:tab/>
            </w:r>
          </w:p>
          <w:p w14:paraId="641AF558">
            <w:pPr>
              <w:pStyle w:val="12"/>
            </w:pPr>
          </w:p>
        </w:tc>
      </w:tr>
      <w:tr w14:paraId="5D225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4BCEB">
            <w:pPr>
              <w:pStyle w:val="10"/>
            </w:pPr>
            <w:r>
              <w:t>资金支出计划（%）</w:t>
            </w:r>
          </w:p>
        </w:tc>
        <w:tc>
          <w:tcPr>
            <w:tcW w:w="5103" w:type="dxa"/>
            <w:gridSpan w:val="2"/>
            <w:vAlign w:val="center"/>
          </w:tcPr>
          <w:p w14:paraId="5E0B94C2">
            <w:pPr>
              <w:pStyle w:val="10"/>
            </w:pPr>
            <w:r>
              <w:t>3月底</w:t>
            </w:r>
          </w:p>
        </w:tc>
        <w:tc>
          <w:tcPr>
            <w:tcW w:w="2835" w:type="dxa"/>
            <w:vAlign w:val="center"/>
          </w:tcPr>
          <w:p w14:paraId="324B3732">
            <w:pPr>
              <w:pStyle w:val="10"/>
            </w:pPr>
            <w:r>
              <w:t>6月底</w:t>
            </w:r>
          </w:p>
        </w:tc>
        <w:tc>
          <w:tcPr>
            <w:tcW w:w="2551" w:type="dxa"/>
            <w:vAlign w:val="center"/>
          </w:tcPr>
          <w:p w14:paraId="4D967D3F">
            <w:pPr>
              <w:pStyle w:val="10"/>
            </w:pPr>
            <w:r>
              <w:t>10月底</w:t>
            </w:r>
          </w:p>
        </w:tc>
        <w:tc>
          <w:tcPr>
            <w:tcW w:w="3544" w:type="dxa"/>
            <w:gridSpan w:val="2"/>
            <w:vAlign w:val="center"/>
          </w:tcPr>
          <w:p w14:paraId="4FF93B17">
            <w:pPr>
              <w:pStyle w:val="10"/>
            </w:pPr>
            <w:r>
              <w:t>12月底</w:t>
            </w:r>
          </w:p>
        </w:tc>
      </w:tr>
      <w:tr w14:paraId="2A2D7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0F206"/>
        </w:tc>
        <w:tc>
          <w:tcPr>
            <w:tcW w:w="5103" w:type="dxa"/>
            <w:gridSpan w:val="2"/>
            <w:vAlign w:val="center"/>
          </w:tcPr>
          <w:p w14:paraId="47DA7CAB">
            <w:pPr>
              <w:pStyle w:val="13"/>
            </w:pPr>
            <w:r>
              <w:t>25%</w:t>
            </w:r>
          </w:p>
        </w:tc>
        <w:tc>
          <w:tcPr>
            <w:tcW w:w="2835" w:type="dxa"/>
            <w:vAlign w:val="center"/>
          </w:tcPr>
          <w:p w14:paraId="5AE4833F">
            <w:pPr>
              <w:pStyle w:val="13"/>
            </w:pPr>
            <w:r>
              <w:t>50%</w:t>
            </w:r>
          </w:p>
        </w:tc>
        <w:tc>
          <w:tcPr>
            <w:tcW w:w="2551" w:type="dxa"/>
            <w:vAlign w:val="center"/>
          </w:tcPr>
          <w:p w14:paraId="2F7B9B6A">
            <w:pPr>
              <w:pStyle w:val="13"/>
            </w:pPr>
            <w:r>
              <w:t>75%</w:t>
            </w:r>
          </w:p>
        </w:tc>
        <w:tc>
          <w:tcPr>
            <w:tcW w:w="3544" w:type="dxa"/>
            <w:gridSpan w:val="2"/>
            <w:vAlign w:val="center"/>
          </w:tcPr>
          <w:p w14:paraId="2D373A76">
            <w:pPr>
              <w:pStyle w:val="13"/>
            </w:pPr>
            <w:r>
              <w:t>100%</w:t>
            </w:r>
          </w:p>
        </w:tc>
      </w:tr>
      <w:tr w14:paraId="02C53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84597">
            <w:pPr>
              <w:pStyle w:val="10"/>
            </w:pPr>
            <w:r>
              <w:t>绩效目标</w:t>
            </w:r>
          </w:p>
        </w:tc>
        <w:tc>
          <w:tcPr>
            <w:tcW w:w="14033" w:type="dxa"/>
            <w:gridSpan w:val="6"/>
            <w:vAlign w:val="center"/>
          </w:tcPr>
          <w:p w14:paraId="489F9641">
            <w:pPr>
              <w:pStyle w:val="12"/>
            </w:pPr>
            <w:r>
              <w:t>1. 保障义务教育学校正常运转，完成教育教学活动和其他日常工作任务等方面的费用支出。</w:t>
            </w:r>
          </w:p>
          <w:p w14:paraId="4A849F2A">
            <w:pPr>
              <w:pStyle w:val="12"/>
            </w:pPr>
            <w:r>
              <w:t>2.按规定拨付公用经费资金892100元，资金拨付率达到100%。</w:t>
            </w:r>
          </w:p>
        </w:tc>
      </w:tr>
    </w:tbl>
    <w:p w14:paraId="18B08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1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4715A">
            <w:pPr>
              <w:pStyle w:val="10"/>
            </w:pPr>
            <w:r>
              <w:t>一级指标</w:t>
            </w:r>
          </w:p>
        </w:tc>
        <w:tc>
          <w:tcPr>
            <w:tcW w:w="2268" w:type="dxa"/>
            <w:vAlign w:val="center"/>
          </w:tcPr>
          <w:p w14:paraId="198C411A">
            <w:pPr>
              <w:pStyle w:val="10"/>
            </w:pPr>
            <w:r>
              <w:t>二级指标</w:t>
            </w:r>
          </w:p>
        </w:tc>
        <w:tc>
          <w:tcPr>
            <w:tcW w:w="2835" w:type="dxa"/>
            <w:vAlign w:val="center"/>
          </w:tcPr>
          <w:p w14:paraId="537E252B">
            <w:pPr>
              <w:pStyle w:val="10"/>
            </w:pPr>
            <w:r>
              <w:t>三级指标</w:t>
            </w:r>
          </w:p>
        </w:tc>
        <w:tc>
          <w:tcPr>
            <w:tcW w:w="5386" w:type="dxa"/>
            <w:vAlign w:val="center"/>
          </w:tcPr>
          <w:p w14:paraId="469C5319">
            <w:pPr>
              <w:pStyle w:val="10"/>
            </w:pPr>
            <w:r>
              <w:t>绩效指标描述</w:t>
            </w:r>
          </w:p>
        </w:tc>
        <w:tc>
          <w:tcPr>
            <w:tcW w:w="2268" w:type="dxa"/>
            <w:vAlign w:val="center"/>
          </w:tcPr>
          <w:p w14:paraId="7B2D3C32">
            <w:pPr>
              <w:pStyle w:val="10"/>
            </w:pPr>
            <w:r>
              <w:t>指标值</w:t>
            </w:r>
          </w:p>
        </w:tc>
        <w:tc>
          <w:tcPr>
            <w:tcW w:w="1276" w:type="dxa"/>
            <w:vAlign w:val="center"/>
          </w:tcPr>
          <w:p w14:paraId="6B4F22E7">
            <w:pPr>
              <w:pStyle w:val="10"/>
            </w:pPr>
            <w:r>
              <w:t>指标值确定依据</w:t>
            </w:r>
          </w:p>
        </w:tc>
      </w:tr>
      <w:tr w14:paraId="293C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3397D">
            <w:pPr>
              <w:pStyle w:val="13"/>
            </w:pPr>
            <w:r>
              <w:t>产出指标</w:t>
            </w:r>
          </w:p>
        </w:tc>
        <w:tc>
          <w:tcPr>
            <w:tcW w:w="2268" w:type="dxa"/>
            <w:vAlign w:val="center"/>
          </w:tcPr>
          <w:p w14:paraId="7FAAB0AD">
            <w:pPr>
              <w:pStyle w:val="12"/>
            </w:pPr>
            <w:r>
              <w:t>数量指标</w:t>
            </w:r>
          </w:p>
        </w:tc>
        <w:tc>
          <w:tcPr>
            <w:tcW w:w="2835" w:type="dxa"/>
            <w:vAlign w:val="center"/>
          </w:tcPr>
          <w:p w14:paraId="2B3BAFBD">
            <w:pPr>
              <w:pStyle w:val="12"/>
            </w:pPr>
            <w:r>
              <w:t>适龄在校生</w:t>
            </w:r>
          </w:p>
        </w:tc>
        <w:tc>
          <w:tcPr>
            <w:tcW w:w="5386" w:type="dxa"/>
            <w:vAlign w:val="center"/>
          </w:tcPr>
          <w:p w14:paraId="39093ED8">
            <w:pPr>
              <w:pStyle w:val="12"/>
            </w:pPr>
            <w:r>
              <w:t>适龄在校就读学生人数</w:t>
            </w:r>
          </w:p>
        </w:tc>
        <w:tc>
          <w:tcPr>
            <w:tcW w:w="2268" w:type="dxa"/>
            <w:vAlign w:val="center"/>
          </w:tcPr>
          <w:p w14:paraId="612067DD">
            <w:pPr>
              <w:pStyle w:val="12"/>
            </w:pPr>
            <w:r>
              <w:t>1085人</w:t>
            </w:r>
          </w:p>
        </w:tc>
        <w:tc>
          <w:tcPr>
            <w:tcW w:w="1276" w:type="dxa"/>
            <w:vAlign w:val="center"/>
          </w:tcPr>
          <w:p w14:paraId="5D0AC5D8">
            <w:pPr>
              <w:pStyle w:val="12"/>
            </w:pPr>
            <w:r>
              <w:t>城乡义务教育公用经费管理办法</w:t>
            </w:r>
          </w:p>
        </w:tc>
      </w:tr>
      <w:tr w14:paraId="2FE3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71468"/>
        </w:tc>
        <w:tc>
          <w:tcPr>
            <w:tcW w:w="2268" w:type="dxa"/>
            <w:vAlign w:val="center"/>
          </w:tcPr>
          <w:p w14:paraId="784D1CF7">
            <w:pPr>
              <w:pStyle w:val="12"/>
            </w:pPr>
            <w:r>
              <w:t>质量指标</w:t>
            </w:r>
          </w:p>
        </w:tc>
        <w:tc>
          <w:tcPr>
            <w:tcW w:w="2835" w:type="dxa"/>
            <w:vAlign w:val="center"/>
          </w:tcPr>
          <w:p w14:paraId="4533D4E0">
            <w:pPr>
              <w:pStyle w:val="12"/>
            </w:pPr>
            <w:r>
              <w:t>预算控制率</w:t>
            </w:r>
          </w:p>
        </w:tc>
        <w:tc>
          <w:tcPr>
            <w:tcW w:w="5386" w:type="dxa"/>
            <w:vAlign w:val="center"/>
          </w:tcPr>
          <w:p w14:paraId="5456A02F">
            <w:pPr>
              <w:pStyle w:val="12"/>
            </w:pPr>
            <w:r>
              <w:t>预算执行率</w:t>
            </w:r>
          </w:p>
        </w:tc>
        <w:tc>
          <w:tcPr>
            <w:tcW w:w="2268" w:type="dxa"/>
            <w:vAlign w:val="center"/>
          </w:tcPr>
          <w:p w14:paraId="777F9970">
            <w:pPr>
              <w:pStyle w:val="12"/>
            </w:pPr>
            <w:r>
              <w:t>≥95%</w:t>
            </w:r>
          </w:p>
        </w:tc>
        <w:tc>
          <w:tcPr>
            <w:tcW w:w="1276" w:type="dxa"/>
            <w:vAlign w:val="center"/>
          </w:tcPr>
          <w:p w14:paraId="78560393">
            <w:pPr>
              <w:pStyle w:val="12"/>
            </w:pPr>
            <w:r>
              <w:t>城乡义务教育公用经费管理办法</w:t>
            </w:r>
          </w:p>
        </w:tc>
      </w:tr>
      <w:tr w14:paraId="144C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5A418"/>
        </w:tc>
        <w:tc>
          <w:tcPr>
            <w:tcW w:w="2268" w:type="dxa"/>
            <w:vAlign w:val="center"/>
          </w:tcPr>
          <w:p w14:paraId="07F13D51">
            <w:pPr>
              <w:pStyle w:val="12"/>
            </w:pPr>
            <w:r>
              <w:t>时效指标</w:t>
            </w:r>
          </w:p>
        </w:tc>
        <w:tc>
          <w:tcPr>
            <w:tcW w:w="2835" w:type="dxa"/>
            <w:vAlign w:val="center"/>
          </w:tcPr>
          <w:p w14:paraId="51A06DDD">
            <w:pPr>
              <w:pStyle w:val="12"/>
            </w:pPr>
            <w:r>
              <w:t>资金支付率</w:t>
            </w:r>
          </w:p>
        </w:tc>
        <w:tc>
          <w:tcPr>
            <w:tcW w:w="5386" w:type="dxa"/>
            <w:vAlign w:val="center"/>
          </w:tcPr>
          <w:p w14:paraId="493659EC">
            <w:pPr>
              <w:pStyle w:val="12"/>
            </w:pPr>
            <w:r>
              <w:t>按照序时进度完成资金支付</w:t>
            </w:r>
          </w:p>
        </w:tc>
        <w:tc>
          <w:tcPr>
            <w:tcW w:w="2268" w:type="dxa"/>
            <w:vAlign w:val="center"/>
          </w:tcPr>
          <w:p w14:paraId="0FB44FC7">
            <w:pPr>
              <w:pStyle w:val="12"/>
            </w:pPr>
            <w:r>
              <w:t>100%</w:t>
            </w:r>
          </w:p>
        </w:tc>
        <w:tc>
          <w:tcPr>
            <w:tcW w:w="1276" w:type="dxa"/>
            <w:vAlign w:val="center"/>
          </w:tcPr>
          <w:p w14:paraId="731576A7">
            <w:pPr>
              <w:pStyle w:val="12"/>
            </w:pPr>
            <w:r>
              <w:t>城乡义务教育公用经费管理办法</w:t>
            </w:r>
          </w:p>
        </w:tc>
      </w:tr>
      <w:tr w14:paraId="762F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BA26F"/>
        </w:tc>
        <w:tc>
          <w:tcPr>
            <w:tcW w:w="2268" w:type="dxa"/>
            <w:vAlign w:val="center"/>
          </w:tcPr>
          <w:p w14:paraId="31A8E188">
            <w:pPr>
              <w:pStyle w:val="12"/>
            </w:pPr>
            <w:r>
              <w:t>成本指标</w:t>
            </w:r>
          </w:p>
        </w:tc>
        <w:tc>
          <w:tcPr>
            <w:tcW w:w="2835" w:type="dxa"/>
            <w:vAlign w:val="center"/>
          </w:tcPr>
          <w:p w14:paraId="254B9987">
            <w:pPr>
              <w:pStyle w:val="12"/>
            </w:pPr>
            <w:r>
              <w:t>生均拨款标准</w:t>
            </w:r>
          </w:p>
        </w:tc>
        <w:tc>
          <w:tcPr>
            <w:tcW w:w="5386" w:type="dxa"/>
            <w:vAlign w:val="center"/>
          </w:tcPr>
          <w:p w14:paraId="3624B373">
            <w:pPr>
              <w:pStyle w:val="12"/>
            </w:pPr>
            <w:r>
              <w:t>初中：（基本标准940元、寄宿生300元、取暖费120元）/生/学年；随班就读学生：标准7000元/生/学年）</w:t>
            </w:r>
          </w:p>
        </w:tc>
        <w:tc>
          <w:tcPr>
            <w:tcW w:w="2268" w:type="dxa"/>
            <w:vAlign w:val="center"/>
          </w:tcPr>
          <w:p w14:paraId="41ABE2AA">
            <w:pPr>
              <w:pStyle w:val="12"/>
            </w:pPr>
            <w:r>
              <w:t>1360元</w:t>
            </w:r>
          </w:p>
        </w:tc>
        <w:tc>
          <w:tcPr>
            <w:tcW w:w="1276" w:type="dxa"/>
            <w:vAlign w:val="center"/>
          </w:tcPr>
          <w:p w14:paraId="7E62F8EB">
            <w:pPr>
              <w:pStyle w:val="12"/>
            </w:pPr>
            <w:r>
              <w:t>城乡义务教育公用经费管理办法</w:t>
            </w:r>
          </w:p>
        </w:tc>
      </w:tr>
      <w:tr w14:paraId="365D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00A88">
            <w:pPr>
              <w:pStyle w:val="13"/>
            </w:pPr>
            <w:r>
              <w:t>效益指标</w:t>
            </w:r>
          </w:p>
        </w:tc>
        <w:tc>
          <w:tcPr>
            <w:tcW w:w="2268" w:type="dxa"/>
            <w:vAlign w:val="center"/>
          </w:tcPr>
          <w:p w14:paraId="3D0D436F">
            <w:pPr>
              <w:pStyle w:val="12"/>
            </w:pPr>
            <w:r>
              <w:t>可持续影响指标</w:t>
            </w:r>
          </w:p>
        </w:tc>
        <w:tc>
          <w:tcPr>
            <w:tcW w:w="2835" w:type="dxa"/>
            <w:vAlign w:val="center"/>
          </w:tcPr>
          <w:p w14:paraId="394D79D2">
            <w:pPr>
              <w:pStyle w:val="12"/>
            </w:pPr>
            <w:r>
              <w:t>学校日常运转正常</w:t>
            </w:r>
          </w:p>
        </w:tc>
        <w:tc>
          <w:tcPr>
            <w:tcW w:w="5386" w:type="dxa"/>
            <w:vAlign w:val="center"/>
          </w:tcPr>
          <w:p w14:paraId="6A43DEDA">
            <w:pPr>
              <w:pStyle w:val="12"/>
            </w:pPr>
            <w:r>
              <w:t>学生受教育年限</w:t>
            </w:r>
          </w:p>
        </w:tc>
        <w:tc>
          <w:tcPr>
            <w:tcW w:w="2268" w:type="dxa"/>
            <w:vAlign w:val="center"/>
          </w:tcPr>
          <w:p w14:paraId="45FC8783">
            <w:pPr>
              <w:pStyle w:val="12"/>
            </w:pPr>
            <w:r>
              <w:t>3年</w:t>
            </w:r>
          </w:p>
        </w:tc>
        <w:tc>
          <w:tcPr>
            <w:tcW w:w="1276" w:type="dxa"/>
            <w:vAlign w:val="center"/>
          </w:tcPr>
          <w:p w14:paraId="6DAEDA1B">
            <w:pPr>
              <w:pStyle w:val="12"/>
            </w:pPr>
            <w:r>
              <w:t>城乡义务教育公用经费管理办法</w:t>
            </w:r>
          </w:p>
        </w:tc>
      </w:tr>
      <w:tr w14:paraId="3F27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696E1">
            <w:pPr>
              <w:pStyle w:val="13"/>
            </w:pPr>
            <w:r>
              <w:t>满意度指标</w:t>
            </w:r>
          </w:p>
        </w:tc>
        <w:tc>
          <w:tcPr>
            <w:tcW w:w="2268" w:type="dxa"/>
            <w:vAlign w:val="center"/>
          </w:tcPr>
          <w:p w14:paraId="20832538">
            <w:pPr>
              <w:pStyle w:val="12"/>
            </w:pPr>
            <w:r>
              <w:t>服务对象满意度指标</w:t>
            </w:r>
          </w:p>
        </w:tc>
        <w:tc>
          <w:tcPr>
            <w:tcW w:w="2835" w:type="dxa"/>
            <w:vAlign w:val="center"/>
          </w:tcPr>
          <w:p w14:paraId="4F0D0384">
            <w:pPr>
              <w:pStyle w:val="12"/>
            </w:pPr>
            <w:r>
              <w:t>服务对象满意度</w:t>
            </w:r>
          </w:p>
        </w:tc>
        <w:tc>
          <w:tcPr>
            <w:tcW w:w="5386" w:type="dxa"/>
            <w:vAlign w:val="center"/>
          </w:tcPr>
          <w:p w14:paraId="5A1ABF7D">
            <w:pPr>
              <w:pStyle w:val="12"/>
            </w:pPr>
            <w:r>
              <w:t>学校老师和学生满意度</w:t>
            </w:r>
          </w:p>
        </w:tc>
        <w:tc>
          <w:tcPr>
            <w:tcW w:w="2268" w:type="dxa"/>
            <w:vAlign w:val="center"/>
          </w:tcPr>
          <w:p w14:paraId="444ADCB1">
            <w:pPr>
              <w:pStyle w:val="12"/>
            </w:pPr>
            <w:r>
              <w:t>≥95%</w:t>
            </w:r>
          </w:p>
        </w:tc>
        <w:tc>
          <w:tcPr>
            <w:tcW w:w="1276" w:type="dxa"/>
            <w:vAlign w:val="center"/>
          </w:tcPr>
          <w:p w14:paraId="2B1D96DC">
            <w:pPr>
              <w:pStyle w:val="12"/>
            </w:pPr>
            <w:r>
              <w:t>调查问卷</w:t>
            </w:r>
          </w:p>
        </w:tc>
      </w:tr>
    </w:tbl>
    <w:p w14:paraId="17A27EAC">
      <w:pPr>
        <w:sectPr>
          <w:pgSz w:w="16840" w:h="11900" w:orient="landscape"/>
          <w:pgMar w:top="1361" w:right="1020" w:bottom="1134" w:left="1020" w:header="720" w:footer="720" w:gutter="0"/>
          <w:cols w:space="720" w:num="1"/>
        </w:sectPr>
      </w:pPr>
    </w:p>
    <w:p w14:paraId="02E6B511">
      <w:pPr>
        <w:spacing w:before="0" w:after="0"/>
        <w:ind w:firstLine="560"/>
        <w:jc w:val="left"/>
        <w:outlineLvl w:val="9"/>
      </w:pPr>
      <w:r>
        <w:rPr>
          <w:rFonts w:ascii="方正仿宋_GBK" w:hAnsi="方正仿宋_GBK" w:eastAsia="方正仿宋_GBK" w:cs="方正仿宋_GBK"/>
          <w:b/>
          <w:color w:val="000000"/>
          <w:sz w:val="28"/>
        </w:rPr>
        <w:t>2、冀财教[2025]121号/中央/义教/2026年校舍安全/东良中学校舍维修改造绩效目标表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0C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8B37D">
            <w:pPr>
              <w:pStyle w:val="11"/>
            </w:pPr>
            <w:r>
              <w:t>单位：万元</w:t>
            </w:r>
          </w:p>
        </w:tc>
      </w:tr>
      <w:tr w14:paraId="46FEB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D5969">
            <w:pPr>
              <w:pStyle w:val="10"/>
            </w:pPr>
            <w:r>
              <w:t>项目编码</w:t>
            </w:r>
          </w:p>
        </w:tc>
        <w:tc>
          <w:tcPr>
            <w:tcW w:w="5103" w:type="dxa"/>
            <w:gridSpan w:val="2"/>
            <w:vAlign w:val="center"/>
          </w:tcPr>
          <w:p w14:paraId="5CA2EC0A">
            <w:pPr>
              <w:pStyle w:val="12"/>
            </w:pPr>
            <w:r>
              <w:t>13052526P00876210070C</w:t>
            </w:r>
          </w:p>
        </w:tc>
        <w:tc>
          <w:tcPr>
            <w:tcW w:w="2835" w:type="dxa"/>
            <w:vAlign w:val="center"/>
          </w:tcPr>
          <w:p w14:paraId="2A6E6934">
            <w:pPr>
              <w:pStyle w:val="10"/>
            </w:pPr>
            <w:r>
              <w:t>项目名称</w:t>
            </w:r>
          </w:p>
        </w:tc>
        <w:tc>
          <w:tcPr>
            <w:tcW w:w="6095" w:type="dxa"/>
            <w:gridSpan w:val="3"/>
            <w:vAlign w:val="center"/>
          </w:tcPr>
          <w:p w14:paraId="58C0F27C">
            <w:pPr>
              <w:pStyle w:val="12"/>
            </w:pPr>
            <w:r>
              <w:t>冀财教[2025]121号/中央/义教/2026年校舍安全/东良中学校舍维修改造</w:t>
            </w:r>
          </w:p>
        </w:tc>
      </w:tr>
      <w:tr w14:paraId="79098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543C0">
            <w:pPr>
              <w:pStyle w:val="10"/>
            </w:pPr>
            <w:r>
              <w:t>预算规模及资金用途</w:t>
            </w:r>
          </w:p>
        </w:tc>
        <w:tc>
          <w:tcPr>
            <w:tcW w:w="2268" w:type="dxa"/>
            <w:vAlign w:val="center"/>
          </w:tcPr>
          <w:p w14:paraId="0B48D141">
            <w:pPr>
              <w:pStyle w:val="10"/>
            </w:pPr>
            <w:r>
              <w:t>预算数</w:t>
            </w:r>
          </w:p>
        </w:tc>
        <w:tc>
          <w:tcPr>
            <w:tcW w:w="2835" w:type="dxa"/>
            <w:vAlign w:val="center"/>
          </w:tcPr>
          <w:p w14:paraId="6A37C96A">
            <w:pPr>
              <w:pStyle w:val="12"/>
            </w:pPr>
            <w:r>
              <w:t>49.80</w:t>
            </w:r>
          </w:p>
        </w:tc>
        <w:tc>
          <w:tcPr>
            <w:tcW w:w="2835" w:type="dxa"/>
            <w:vAlign w:val="center"/>
          </w:tcPr>
          <w:p w14:paraId="68E193E8">
            <w:pPr>
              <w:pStyle w:val="10"/>
            </w:pPr>
            <w:r>
              <w:t>其中：财政    资金</w:t>
            </w:r>
          </w:p>
        </w:tc>
        <w:tc>
          <w:tcPr>
            <w:tcW w:w="2551" w:type="dxa"/>
            <w:vAlign w:val="center"/>
          </w:tcPr>
          <w:p w14:paraId="7BD19B25">
            <w:pPr>
              <w:pStyle w:val="12"/>
            </w:pPr>
            <w:r>
              <w:t>49.80</w:t>
            </w:r>
          </w:p>
        </w:tc>
        <w:tc>
          <w:tcPr>
            <w:tcW w:w="2268" w:type="dxa"/>
            <w:vAlign w:val="center"/>
          </w:tcPr>
          <w:p w14:paraId="4BAB1BC1">
            <w:pPr>
              <w:pStyle w:val="10"/>
            </w:pPr>
            <w:r>
              <w:t>其他资金</w:t>
            </w:r>
          </w:p>
        </w:tc>
        <w:tc>
          <w:tcPr>
            <w:tcW w:w="1276" w:type="dxa"/>
            <w:vAlign w:val="center"/>
          </w:tcPr>
          <w:p w14:paraId="760D7787">
            <w:pPr>
              <w:pStyle w:val="12"/>
            </w:pPr>
            <w:r>
              <w:t xml:space="preserve"> </w:t>
            </w:r>
          </w:p>
        </w:tc>
      </w:tr>
      <w:tr w14:paraId="1D54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DB9B5"/>
        </w:tc>
        <w:tc>
          <w:tcPr>
            <w:tcW w:w="14033" w:type="dxa"/>
            <w:gridSpan w:val="6"/>
            <w:vAlign w:val="center"/>
          </w:tcPr>
          <w:p w14:paraId="0D8AB20A">
            <w:pPr>
              <w:pStyle w:val="12"/>
            </w:pPr>
            <w:r>
              <w:t>"改善就学条件，提升学校形象，保障义务教育阶段教学安全，改善师生教学环境，创造良好的校园环境。</w:t>
            </w:r>
            <w:r>
              <w:tab/>
            </w:r>
            <w:r>
              <w:tab/>
            </w:r>
            <w:r>
              <w:tab/>
            </w:r>
          </w:p>
          <w:p w14:paraId="5A702285">
            <w:pPr>
              <w:pStyle w:val="12"/>
            </w:pPr>
            <w:r>
              <w:t>"</w:t>
            </w:r>
            <w:r>
              <w:tab/>
            </w:r>
            <w:r>
              <w:tab/>
            </w:r>
            <w:r>
              <w:tab/>
            </w:r>
            <w:r>
              <w:tab/>
            </w:r>
            <w:r>
              <w:tab/>
            </w:r>
            <w:r>
              <w:tab/>
            </w:r>
          </w:p>
          <w:p w14:paraId="3741D5BF">
            <w:pPr>
              <w:pStyle w:val="12"/>
            </w:pPr>
          </w:p>
        </w:tc>
      </w:tr>
      <w:tr w14:paraId="75CBB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BCC91">
            <w:pPr>
              <w:pStyle w:val="10"/>
            </w:pPr>
            <w:r>
              <w:t>资金支出计划（%）</w:t>
            </w:r>
          </w:p>
        </w:tc>
        <w:tc>
          <w:tcPr>
            <w:tcW w:w="5103" w:type="dxa"/>
            <w:gridSpan w:val="2"/>
            <w:vAlign w:val="center"/>
          </w:tcPr>
          <w:p w14:paraId="5925E43D">
            <w:pPr>
              <w:pStyle w:val="10"/>
            </w:pPr>
            <w:r>
              <w:t>3月底</w:t>
            </w:r>
          </w:p>
        </w:tc>
        <w:tc>
          <w:tcPr>
            <w:tcW w:w="2835" w:type="dxa"/>
            <w:vAlign w:val="center"/>
          </w:tcPr>
          <w:p w14:paraId="2F0DE919">
            <w:pPr>
              <w:pStyle w:val="10"/>
            </w:pPr>
            <w:r>
              <w:t>6月底</w:t>
            </w:r>
          </w:p>
        </w:tc>
        <w:tc>
          <w:tcPr>
            <w:tcW w:w="2551" w:type="dxa"/>
            <w:vAlign w:val="center"/>
          </w:tcPr>
          <w:p w14:paraId="66C012A1">
            <w:pPr>
              <w:pStyle w:val="10"/>
            </w:pPr>
            <w:r>
              <w:t>10月底</w:t>
            </w:r>
          </w:p>
        </w:tc>
        <w:tc>
          <w:tcPr>
            <w:tcW w:w="3544" w:type="dxa"/>
            <w:gridSpan w:val="2"/>
            <w:vAlign w:val="center"/>
          </w:tcPr>
          <w:p w14:paraId="553AAFA6">
            <w:pPr>
              <w:pStyle w:val="10"/>
            </w:pPr>
            <w:r>
              <w:t>12月底</w:t>
            </w:r>
          </w:p>
        </w:tc>
      </w:tr>
      <w:tr w14:paraId="18470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78D26"/>
        </w:tc>
        <w:tc>
          <w:tcPr>
            <w:tcW w:w="5103" w:type="dxa"/>
            <w:gridSpan w:val="2"/>
            <w:vAlign w:val="center"/>
          </w:tcPr>
          <w:p w14:paraId="02550441">
            <w:pPr>
              <w:pStyle w:val="13"/>
            </w:pPr>
            <w:r>
              <w:t>25%</w:t>
            </w:r>
          </w:p>
        </w:tc>
        <w:tc>
          <w:tcPr>
            <w:tcW w:w="2835" w:type="dxa"/>
            <w:vAlign w:val="center"/>
          </w:tcPr>
          <w:p w14:paraId="598EDBEB">
            <w:pPr>
              <w:pStyle w:val="13"/>
            </w:pPr>
            <w:r>
              <w:t>50%</w:t>
            </w:r>
          </w:p>
        </w:tc>
        <w:tc>
          <w:tcPr>
            <w:tcW w:w="2551" w:type="dxa"/>
            <w:vAlign w:val="center"/>
          </w:tcPr>
          <w:p w14:paraId="25129809">
            <w:pPr>
              <w:pStyle w:val="13"/>
            </w:pPr>
            <w:r>
              <w:t>75%</w:t>
            </w:r>
          </w:p>
        </w:tc>
        <w:tc>
          <w:tcPr>
            <w:tcW w:w="3544" w:type="dxa"/>
            <w:gridSpan w:val="2"/>
            <w:vAlign w:val="center"/>
          </w:tcPr>
          <w:p w14:paraId="076915DB">
            <w:pPr>
              <w:pStyle w:val="13"/>
            </w:pPr>
            <w:r>
              <w:t>100%</w:t>
            </w:r>
          </w:p>
        </w:tc>
      </w:tr>
      <w:tr w14:paraId="713FB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67006">
            <w:pPr>
              <w:pStyle w:val="10"/>
            </w:pPr>
            <w:r>
              <w:t>绩效目标</w:t>
            </w:r>
          </w:p>
        </w:tc>
        <w:tc>
          <w:tcPr>
            <w:tcW w:w="14033" w:type="dxa"/>
            <w:gridSpan w:val="6"/>
            <w:vAlign w:val="center"/>
          </w:tcPr>
          <w:p w14:paraId="59F51E23">
            <w:pPr>
              <w:pStyle w:val="12"/>
            </w:pPr>
            <w:r>
              <w:t>1.项目需资金49.8万元，资金拨付率达到100%。</w:t>
            </w:r>
          </w:p>
          <w:p w14:paraId="2CBDA6BD">
            <w:pPr>
              <w:pStyle w:val="12"/>
            </w:pPr>
            <w:r>
              <w:t>2.改善就学条件，提升学校形象，保障义务教育阶段教学安全，改善师生教学环境，创造良好的校园环境。</w:t>
            </w:r>
            <w:r>
              <w:tab/>
            </w:r>
            <w:r>
              <w:tab/>
            </w:r>
            <w:r>
              <w:tab/>
            </w:r>
          </w:p>
          <w:p w14:paraId="5B09DD95">
            <w:pPr>
              <w:pStyle w:val="12"/>
            </w:pPr>
          </w:p>
        </w:tc>
      </w:tr>
    </w:tbl>
    <w:p w14:paraId="7BF18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1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06086">
            <w:pPr>
              <w:pStyle w:val="10"/>
            </w:pPr>
            <w:r>
              <w:t>一级指标</w:t>
            </w:r>
          </w:p>
        </w:tc>
        <w:tc>
          <w:tcPr>
            <w:tcW w:w="2268" w:type="dxa"/>
            <w:vAlign w:val="center"/>
          </w:tcPr>
          <w:p w14:paraId="5519A0D4">
            <w:pPr>
              <w:pStyle w:val="10"/>
            </w:pPr>
            <w:r>
              <w:t>二级指标</w:t>
            </w:r>
          </w:p>
        </w:tc>
        <w:tc>
          <w:tcPr>
            <w:tcW w:w="2835" w:type="dxa"/>
            <w:vAlign w:val="center"/>
          </w:tcPr>
          <w:p w14:paraId="43185811">
            <w:pPr>
              <w:pStyle w:val="10"/>
            </w:pPr>
            <w:r>
              <w:t>三级指标</w:t>
            </w:r>
          </w:p>
        </w:tc>
        <w:tc>
          <w:tcPr>
            <w:tcW w:w="5386" w:type="dxa"/>
            <w:vAlign w:val="center"/>
          </w:tcPr>
          <w:p w14:paraId="3830CCDA">
            <w:pPr>
              <w:pStyle w:val="10"/>
            </w:pPr>
            <w:r>
              <w:t>绩效指标描述</w:t>
            </w:r>
          </w:p>
        </w:tc>
        <w:tc>
          <w:tcPr>
            <w:tcW w:w="2268" w:type="dxa"/>
            <w:vAlign w:val="center"/>
          </w:tcPr>
          <w:p w14:paraId="4D6D2B55">
            <w:pPr>
              <w:pStyle w:val="10"/>
            </w:pPr>
            <w:r>
              <w:t>指标值</w:t>
            </w:r>
          </w:p>
        </w:tc>
        <w:tc>
          <w:tcPr>
            <w:tcW w:w="1276" w:type="dxa"/>
            <w:vAlign w:val="center"/>
          </w:tcPr>
          <w:p w14:paraId="22B7008F">
            <w:pPr>
              <w:pStyle w:val="10"/>
            </w:pPr>
            <w:r>
              <w:t>指标值确定依据</w:t>
            </w:r>
          </w:p>
        </w:tc>
      </w:tr>
      <w:tr w14:paraId="1445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05F7B">
            <w:pPr>
              <w:pStyle w:val="13"/>
            </w:pPr>
            <w:r>
              <w:t>产出指标</w:t>
            </w:r>
          </w:p>
        </w:tc>
        <w:tc>
          <w:tcPr>
            <w:tcW w:w="2268" w:type="dxa"/>
            <w:vAlign w:val="center"/>
          </w:tcPr>
          <w:p w14:paraId="21541083">
            <w:pPr>
              <w:pStyle w:val="12"/>
            </w:pPr>
            <w:r>
              <w:t>数量指标</w:t>
            </w:r>
          </w:p>
        </w:tc>
        <w:tc>
          <w:tcPr>
            <w:tcW w:w="2835" w:type="dxa"/>
            <w:vAlign w:val="center"/>
          </w:tcPr>
          <w:p w14:paraId="144B62DB">
            <w:pPr>
              <w:pStyle w:val="12"/>
            </w:pPr>
            <w:r>
              <w:t>校舍维修改造数量</w:t>
            </w:r>
          </w:p>
        </w:tc>
        <w:tc>
          <w:tcPr>
            <w:tcW w:w="5386" w:type="dxa"/>
            <w:vAlign w:val="center"/>
          </w:tcPr>
          <w:p w14:paraId="0DB4F016">
            <w:pPr>
              <w:pStyle w:val="12"/>
            </w:pPr>
            <w:r>
              <w:t>校舍维修改造数量</w:t>
            </w:r>
          </w:p>
        </w:tc>
        <w:tc>
          <w:tcPr>
            <w:tcW w:w="2268" w:type="dxa"/>
            <w:vAlign w:val="center"/>
          </w:tcPr>
          <w:p w14:paraId="3B26ADD7">
            <w:pPr>
              <w:pStyle w:val="12"/>
            </w:pPr>
            <w:r>
              <w:t>1项</w:t>
            </w:r>
          </w:p>
        </w:tc>
        <w:tc>
          <w:tcPr>
            <w:tcW w:w="1276" w:type="dxa"/>
            <w:vAlign w:val="center"/>
          </w:tcPr>
          <w:p w14:paraId="5BF85D51">
            <w:pPr>
              <w:pStyle w:val="12"/>
            </w:pPr>
            <w:r>
              <w:t>城乡义务教育公用经费</w:t>
            </w:r>
          </w:p>
        </w:tc>
      </w:tr>
      <w:tr w14:paraId="740A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6083"/>
        </w:tc>
        <w:tc>
          <w:tcPr>
            <w:tcW w:w="2268" w:type="dxa"/>
            <w:vAlign w:val="center"/>
          </w:tcPr>
          <w:p w14:paraId="7570CBB4">
            <w:pPr>
              <w:pStyle w:val="12"/>
            </w:pPr>
            <w:r>
              <w:t>质量指标</w:t>
            </w:r>
          </w:p>
        </w:tc>
        <w:tc>
          <w:tcPr>
            <w:tcW w:w="2835" w:type="dxa"/>
            <w:vAlign w:val="center"/>
          </w:tcPr>
          <w:p w14:paraId="005E92FE">
            <w:pPr>
              <w:pStyle w:val="12"/>
            </w:pPr>
            <w:r>
              <w:t>工程实施验收合格率</w:t>
            </w:r>
          </w:p>
        </w:tc>
        <w:tc>
          <w:tcPr>
            <w:tcW w:w="5386" w:type="dxa"/>
            <w:vAlign w:val="center"/>
          </w:tcPr>
          <w:p w14:paraId="24A42553">
            <w:pPr>
              <w:pStyle w:val="12"/>
            </w:pPr>
            <w:r>
              <w:t>申报程序的合规，项目实施及资金使用符合项目规划</w:t>
            </w:r>
          </w:p>
        </w:tc>
        <w:tc>
          <w:tcPr>
            <w:tcW w:w="2268" w:type="dxa"/>
            <w:vAlign w:val="center"/>
          </w:tcPr>
          <w:p w14:paraId="07C72A4B">
            <w:pPr>
              <w:pStyle w:val="12"/>
            </w:pPr>
            <w:r>
              <w:t>100%</w:t>
            </w:r>
          </w:p>
        </w:tc>
        <w:tc>
          <w:tcPr>
            <w:tcW w:w="1276" w:type="dxa"/>
            <w:vAlign w:val="center"/>
          </w:tcPr>
          <w:p w14:paraId="6915D4B2">
            <w:pPr>
              <w:pStyle w:val="12"/>
            </w:pPr>
            <w:r>
              <w:t>城乡义务教育公用经费</w:t>
            </w:r>
          </w:p>
        </w:tc>
      </w:tr>
      <w:tr w14:paraId="09A1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F1BFD"/>
        </w:tc>
        <w:tc>
          <w:tcPr>
            <w:tcW w:w="2268" w:type="dxa"/>
            <w:vAlign w:val="center"/>
          </w:tcPr>
          <w:p w14:paraId="5A7FE19F">
            <w:pPr>
              <w:pStyle w:val="12"/>
            </w:pPr>
            <w:r>
              <w:t>时效指标</w:t>
            </w:r>
          </w:p>
        </w:tc>
        <w:tc>
          <w:tcPr>
            <w:tcW w:w="2835" w:type="dxa"/>
            <w:vAlign w:val="center"/>
          </w:tcPr>
          <w:p w14:paraId="4E34BDEF">
            <w:pPr>
              <w:pStyle w:val="12"/>
            </w:pPr>
            <w:r>
              <w:t>资金支付率</w:t>
            </w:r>
          </w:p>
        </w:tc>
        <w:tc>
          <w:tcPr>
            <w:tcW w:w="5386" w:type="dxa"/>
            <w:vAlign w:val="center"/>
          </w:tcPr>
          <w:p w14:paraId="311A9BEA">
            <w:pPr>
              <w:pStyle w:val="12"/>
            </w:pPr>
            <w:r>
              <w:t>按照序时进度完成资金支付</w:t>
            </w:r>
          </w:p>
        </w:tc>
        <w:tc>
          <w:tcPr>
            <w:tcW w:w="2268" w:type="dxa"/>
            <w:vAlign w:val="center"/>
          </w:tcPr>
          <w:p w14:paraId="63F62E04">
            <w:pPr>
              <w:pStyle w:val="12"/>
            </w:pPr>
            <w:r>
              <w:t>100%</w:t>
            </w:r>
          </w:p>
        </w:tc>
        <w:tc>
          <w:tcPr>
            <w:tcW w:w="1276" w:type="dxa"/>
            <w:vAlign w:val="center"/>
          </w:tcPr>
          <w:p w14:paraId="4FB85E5C">
            <w:pPr>
              <w:pStyle w:val="12"/>
            </w:pPr>
            <w:r>
              <w:t>城乡义务教育公用经费</w:t>
            </w:r>
          </w:p>
        </w:tc>
      </w:tr>
      <w:tr w14:paraId="3207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3BEF1"/>
        </w:tc>
        <w:tc>
          <w:tcPr>
            <w:tcW w:w="2268" w:type="dxa"/>
            <w:vAlign w:val="center"/>
          </w:tcPr>
          <w:p w14:paraId="16D63A9E">
            <w:pPr>
              <w:pStyle w:val="12"/>
            </w:pPr>
            <w:r>
              <w:t>成本指标</w:t>
            </w:r>
          </w:p>
        </w:tc>
        <w:tc>
          <w:tcPr>
            <w:tcW w:w="2835" w:type="dxa"/>
            <w:vAlign w:val="center"/>
          </w:tcPr>
          <w:p w14:paraId="74E5D45B">
            <w:pPr>
              <w:pStyle w:val="12"/>
            </w:pPr>
            <w:r>
              <w:t>项目成本控制情况</w:t>
            </w:r>
          </w:p>
        </w:tc>
        <w:tc>
          <w:tcPr>
            <w:tcW w:w="5386" w:type="dxa"/>
            <w:vAlign w:val="center"/>
          </w:tcPr>
          <w:p w14:paraId="2BFA0B71">
            <w:pPr>
              <w:pStyle w:val="12"/>
            </w:pPr>
            <w:r>
              <w:t>严格按照招标价格及审计额进行</w:t>
            </w:r>
          </w:p>
        </w:tc>
        <w:tc>
          <w:tcPr>
            <w:tcW w:w="2268" w:type="dxa"/>
            <w:vAlign w:val="center"/>
          </w:tcPr>
          <w:p w14:paraId="61AAEE45">
            <w:pPr>
              <w:pStyle w:val="12"/>
            </w:pPr>
            <w:r>
              <w:t>≤49.8万元</w:t>
            </w:r>
          </w:p>
        </w:tc>
        <w:tc>
          <w:tcPr>
            <w:tcW w:w="1276" w:type="dxa"/>
            <w:vAlign w:val="center"/>
          </w:tcPr>
          <w:p w14:paraId="4B8684BA">
            <w:pPr>
              <w:pStyle w:val="12"/>
            </w:pPr>
            <w:r>
              <w:t>城乡义务教育公用经费</w:t>
            </w:r>
          </w:p>
        </w:tc>
      </w:tr>
      <w:tr w14:paraId="69C4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828D5">
            <w:pPr>
              <w:pStyle w:val="13"/>
            </w:pPr>
            <w:r>
              <w:t>效益指标</w:t>
            </w:r>
          </w:p>
        </w:tc>
        <w:tc>
          <w:tcPr>
            <w:tcW w:w="2268" w:type="dxa"/>
            <w:vAlign w:val="center"/>
          </w:tcPr>
          <w:p w14:paraId="4749006F">
            <w:pPr>
              <w:pStyle w:val="12"/>
            </w:pPr>
            <w:r>
              <w:t>可持续影响指标</w:t>
            </w:r>
          </w:p>
        </w:tc>
        <w:tc>
          <w:tcPr>
            <w:tcW w:w="2835" w:type="dxa"/>
            <w:vAlign w:val="center"/>
          </w:tcPr>
          <w:p w14:paraId="2C3D55D2">
            <w:pPr>
              <w:pStyle w:val="12"/>
            </w:pPr>
            <w:r>
              <w:t>学校运转得到提高</w:t>
            </w:r>
          </w:p>
        </w:tc>
        <w:tc>
          <w:tcPr>
            <w:tcW w:w="5386" w:type="dxa"/>
            <w:vAlign w:val="center"/>
          </w:tcPr>
          <w:p w14:paraId="4EC9B161">
            <w:pPr>
              <w:pStyle w:val="12"/>
            </w:pPr>
            <w:r>
              <w:t>学生受教育年限</w:t>
            </w:r>
          </w:p>
        </w:tc>
        <w:tc>
          <w:tcPr>
            <w:tcW w:w="2268" w:type="dxa"/>
            <w:vAlign w:val="center"/>
          </w:tcPr>
          <w:p w14:paraId="53802038">
            <w:pPr>
              <w:pStyle w:val="12"/>
            </w:pPr>
            <w:r>
              <w:t>3年</w:t>
            </w:r>
          </w:p>
        </w:tc>
        <w:tc>
          <w:tcPr>
            <w:tcW w:w="1276" w:type="dxa"/>
            <w:vAlign w:val="center"/>
          </w:tcPr>
          <w:p w14:paraId="5AA37677">
            <w:pPr>
              <w:pStyle w:val="12"/>
            </w:pPr>
            <w:r>
              <w:t>城乡义务教育公用经费</w:t>
            </w:r>
          </w:p>
        </w:tc>
      </w:tr>
      <w:tr w14:paraId="35FF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1C0FD">
            <w:pPr>
              <w:pStyle w:val="13"/>
            </w:pPr>
            <w:r>
              <w:t>满意度指标</w:t>
            </w:r>
          </w:p>
        </w:tc>
        <w:tc>
          <w:tcPr>
            <w:tcW w:w="2268" w:type="dxa"/>
            <w:vAlign w:val="center"/>
          </w:tcPr>
          <w:p w14:paraId="081EF7B0">
            <w:pPr>
              <w:pStyle w:val="12"/>
            </w:pPr>
            <w:r>
              <w:t>服务对象满意度指标</w:t>
            </w:r>
          </w:p>
        </w:tc>
        <w:tc>
          <w:tcPr>
            <w:tcW w:w="2835" w:type="dxa"/>
            <w:vAlign w:val="center"/>
          </w:tcPr>
          <w:p w14:paraId="77F29E26">
            <w:pPr>
              <w:pStyle w:val="12"/>
            </w:pPr>
            <w:r>
              <w:t>受益学生家长及调查满意度</w:t>
            </w:r>
          </w:p>
        </w:tc>
        <w:tc>
          <w:tcPr>
            <w:tcW w:w="5386" w:type="dxa"/>
            <w:vAlign w:val="center"/>
          </w:tcPr>
          <w:p w14:paraId="0A4CB8FE">
            <w:pPr>
              <w:pStyle w:val="12"/>
            </w:pPr>
            <w:r>
              <w:t>学生、教师及家长对学校教学环境满意度情况</w:t>
            </w:r>
          </w:p>
        </w:tc>
        <w:tc>
          <w:tcPr>
            <w:tcW w:w="2268" w:type="dxa"/>
            <w:vAlign w:val="center"/>
          </w:tcPr>
          <w:p w14:paraId="18B8793C">
            <w:pPr>
              <w:pStyle w:val="12"/>
            </w:pPr>
            <w:r>
              <w:t>≥98%</w:t>
            </w:r>
          </w:p>
        </w:tc>
        <w:tc>
          <w:tcPr>
            <w:tcW w:w="1276" w:type="dxa"/>
            <w:vAlign w:val="center"/>
          </w:tcPr>
          <w:p w14:paraId="7A2B3E9E">
            <w:pPr>
              <w:pStyle w:val="12"/>
            </w:pPr>
            <w:r>
              <w:t>问卷调查</w:t>
            </w:r>
          </w:p>
        </w:tc>
      </w:tr>
    </w:tbl>
    <w:p w14:paraId="2F0DE141">
      <w:pPr>
        <w:sectPr>
          <w:pgSz w:w="16840" w:h="11900" w:orient="landscape"/>
          <w:pgMar w:top="1361" w:right="1020" w:bottom="1134" w:left="1020" w:header="720" w:footer="720" w:gutter="0"/>
          <w:cols w:space="720" w:num="1"/>
        </w:sectPr>
      </w:pPr>
    </w:p>
    <w:p w14:paraId="65F8E6FF">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3、冀财教[2025]147号/省级/2026年义教补助经费/东良中学公用经费绩效目标表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11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FA9F7">
            <w:pPr>
              <w:pStyle w:val="11"/>
            </w:pPr>
            <w:r>
              <w:t>单位：万元</w:t>
            </w:r>
          </w:p>
        </w:tc>
      </w:tr>
      <w:tr w14:paraId="26289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3BB85">
            <w:pPr>
              <w:pStyle w:val="10"/>
            </w:pPr>
            <w:r>
              <w:t>项目编码</w:t>
            </w:r>
          </w:p>
        </w:tc>
        <w:tc>
          <w:tcPr>
            <w:tcW w:w="5103" w:type="dxa"/>
            <w:gridSpan w:val="2"/>
            <w:vAlign w:val="center"/>
          </w:tcPr>
          <w:p w14:paraId="7CF5DE86">
            <w:pPr>
              <w:pStyle w:val="12"/>
            </w:pPr>
            <w:r>
              <w:t>13052526P000004103229</w:t>
            </w:r>
          </w:p>
        </w:tc>
        <w:tc>
          <w:tcPr>
            <w:tcW w:w="2835" w:type="dxa"/>
            <w:vAlign w:val="center"/>
          </w:tcPr>
          <w:p w14:paraId="376EAF4B">
            <w:pPr>
              <w:pStyle w:val="10"/>
            </w:pPr>
            <w:r>
              <w:t>项目名称</w:t>
            </w:r>
          </w:p>
        </w:tc>
        <w:tc>
          <w:tcPr>
            <w:tcW w:w="6095" w:type="dxa"/>
            <w:gridSpan w:val="3"/>
            <w:vAlign w:val="center"/>
          </w:tcPr>
          <w:p w14:paraId="41817BA0">
            <w:pPr>
              <w:pStyle w:val="12"/>
            </w:pPr>
            <w:r>
              <w:t>冀财教[2025]147号/省级/2026年义教补助经费/东良中学公用经费</w:t>
            </w:r>
          </w:p>
        </w:tc>
      </w:tr>
      <w:tr w14:paraId="0F650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D6FE0">
            <w:pPr>
              <w:pStyle w:val="10"/>
            </w:pPr>
            <w:r>
              <w:t>预算规模及资金用途</w:t>
            </w:r>
          </w:p>
        </w:tc>
        <w:tc>
          <w:tcPr>
            <w:tcW w:w="2268" w:type="dxa"/>
            <w:vAlign w:val="center"/>
          </w:tcPr>
          <w:p w14:paraId="73830551">
            <w:pPr>
              <w:pStyle w:val="10"/>
            </w:pPr>
            <w:r>
              <w:t>预算数</w:t>
            </w:r>
          </w:p>
        </w:tc>
        <w:tc>
          <w:tcPr>
            <w:tcW w:w="2835" w:type="dxa"/>
            <w:vAlign w:val="center"/>
          </w:tcPr>
          <w:p w14:paraId="1B318703">
            <w:pPr>
              <w:pStyle w:val="12"/>
            </w:pPr>
            <w:r>
              <w:t>46.88</w:t>
            </w:r>
          </w:p>
        </w:tc>
        <w:tc>
          <w:tcPr>
            <w:tcW w:w="2835" w:type="dxa"/>
            <w:vAlign w:val="center"/>
          </w:tcPr>
          <w:p w14:paraId="1D707F18">
            <w:pPr>
              <w:pStyle w:val="10"/>
            </w:pPr>
            <w:r>
              <w:t>其中：财政    资金</w:t>
            </w:r>
          </w:p>
        </w:tc>
        <w:tc>
          <w:tcPr>
            <w:tcW w:w="2551" w:type="dxa"/>
            <w:vAlign w:val="center"/>
          </w:tcPr>
          <w:p w14:paraId="54924614">
            <w:pPr>
              <w:pStyle w:val="12"/>
            </w:pPr>
            <w:r>
              <w:t>46.88</w:t>
            </w:r>
          </w:p>
        </w:tc>
        <w:tc>
          <w:tcPr>
            <w:tcW w:w="2268" w:type="dxa"/>
            <w:vAlign w:val="center"/>
          </w:tcPr>
          <w:p w14:paraId="463C9631">
            <w:pPr>
              <w:pStyle w:val="10"/>
            </w:pPr>
            <w:r>
              <w:t>其他资金</w:t>
            </w:r>
          </w:p>
        </w:tc>
        <w:tc>
          <w:tcPr>
            <w:tcW w:w="1276" w:type="dxa"/>
            <w:vAlign w:val="center"/>
          </w:tcPr>
          <w:p w14:paraId="3D05A733">
            <w:pPr>
              <w:pStyle w:val="12"/>
            </w:pPr>
            <w:r>
              <w:t xml:space="preserve"> </w:t>
            </w:r>
          </w:p>
        </w:tc>
      </w:tr>
      <w:tr w14:paraId="282C5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13383"/>
        </w:tc>
        <w:tc>
          <w:tcPr>
            <w:tcW w:w="14033" w:type="dxa"/>
            <w:gridSpan w:val="6"/>
            <w:vAlign w:val="center"/>
          </w:tcPr>
          <w:p w14:paraId="05EFC968">
            <w:pPr>
              <w:pStyle w:val="12"/>
            </w:pPr>
            <w:r>
              <w:t>保障义务教育学校正常运转，完成教育教学活动和其他日常工作任务等方面的费用支出。</w:t>
            </w:r>
            <w:r>
              <w:tab/>
            </w:r>
            <w:r>
              <w:tab/>
            </w:r>
            <w:r>
              <w:tab/>
            </w:r>
            <w:r>
              <w:tab/>
            </w:r>
            <w:r>
              <w:tab/>
            </w:r>
            <w:r>
              <w:tab/>
            </w:r>
          </w:p>
          <w:p w14:paraId="5D52F12F">
            <w:pPr>
              <w:pStyle w:val="12"/>
            </w:pPr>
          </w:p>
        </w:tc>
      </w:tr>
      <w:tr w14:paraId="6EE8D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CAD10">
            <w:pPr>
              <w:pStyle w:val="10"/>
            </w:pPr>
            <w:r>
              <w:t>资金支出计划（%）</w:t>
            </w:r>
          </w:p>
        </w:tc>
        <w:tc>
          <w:tcPr>
            <w:tcW w:w="5103" w:type="dxa"/>
            <w:gridSpan w:val="2"/>
            <w:vAlign w:val="center"/>
          </w:tcPr>
          <w:p w14:paraId="368FD491">
            <w:pPr>
              <w:pStyle w:val="10"/>
            </w:pPr>
            <w:r>
              <w:t>3月底</w:t>
            </w:r>
          </w:p>
        </w:tc>
        <w:tc>
          <w:tcPr>
            <w:tcW w:w="2835" w:type="dxa"/>
            <w:vAlign w:val="center"/>
          </w:tcPr>
          <w:p w14:paraId="7F9A03F1">
            <w:pPr>
              <w:pStyle w:val="10"/>
            </w:pPr>
            <w:r>
              <w:t>6月底</w:t>
            </w:r>
          </w:p>
        </w:tc>
        <w:tc>
          <w:tcPr>
            <w:tcW w:w="2551" w:type="dxa"/>
            <w:vAlign w:val="center"/>
          </w:tcPr>
          <w:p w14:paraId="4AEEC317">
            <w:pPr>
              <w:pStyle w:val="10"/>
            </w:pPr>
            <w:r>
              <w:t>10月底</w:t>
            </w:r>
          </w:p>
        </w:tc>
        <w:tc>
          <w:tcPr>
            <w:tcW w:w="3544" w:type="dxa"/>
            <w:gridSpan w:val="2"/>
            <w:vAlign w:val="center"/>
          </w:tcPr>
          <w:p w14:paraId="2CE52785">
            <w:pPr>
              <w:pStyle w:val="10"/>
            </w:pPr>
            <w:r>
              <w:t>12月底</w:t>
            </w:r>
          </w:p>
        </w:tc>
      </w:tr>
      <w:tr w14:paraId="70016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58F8C"/>
        </w:tc>
        <w:tc>
          <w:tcPr>
            <w:tcW w:w="5103" w:type="dxa"/>
            <w:gridSpan w:val="2"/>
            <w:vAlign w:val="center"/>
          </w:tcPr>
          <w:p w14:paraId="7DE5503A">
            <w:pPr>
              <w:pStyle w:val="13"/>
            </w:pPr>
            <w:r>
              <w:t>25%</w:t>
            </w:r>
          </w:p>
        </w:tc>
        <w:tc>
          <w:tcPr>
            <w:tcW w:w="2835" w:type="dxa"/>
            <w:vAlign w:val="center"/>
          </w:tcPr>
          <w:p w14:paraId="1C28B2BD">
            <w:pPr>
              <w:pStyle w:val="13"/>
            </w:pPr>
            <w:r>
              <w:t>50%</w:t>
            </w:r>
          </w:p>
        </w:tc>
        <w:tc>
          <w:tcPr>
            <w:tcW w:w="2551" w:type="dxa"/>
            <w:vAlign w:val="center"/>
          </w:tcPr>
          <w:p w14:paraId="30B64506">
            <w:pPr>
              <w:pStyle w:val="13"/>
            </w:pPr>
            <w:r>
              <w:t>75%</w:t>
            </w:r>
          </w:p>
        </w:tc>
        <w:tc>
          <w:tcPr>
            <w:tcW w:w="3544" w:type="dxa"/>
            <w:gridSpan w:val="2"/>
            <w:vAlign w:val="center"/>
          </w:tcPr>
          <w:p w14:paraId="7894B03A">
            <w:pPr>
              <w:pStyle w:val="13"/>
            </w:pPr>
            <w:r>
              <w:t>100%</w:t>
            </w:r>
          </w:p>
        </w:tc>
      </w:tr>
      <w:tr w14:paraId="7A3BA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DA4A3">
            <w:pPr>
              <w:pStyle w:val="10"/>
            </w:pPr>
            <w:r>
              <w:t>绩效目标</w:t>
            </w:r>
          </w:p>
        </w:tc>
        <w:tc>
          <w:tcPr>
            <w:tcW w:w="14033" w:type="dxa"/>
            <w:gridSpan w:val="6"/>
            <w:vAlign w:val="center"/>
          </w:tcPr>
          <w:p w14:paraId="59E23EA1">
            <w:pPr>
              <w:pStyle w:val="12"/>
            </w:pPr>
            <w:r>
              <w:t>1.保障义务教育学校正常运转，完成教育教学活动和其他日常工作任务等方面的费用支出。</w:t>
            </w:r>
          </w:p>
          <w:p w14:paraId="736D4F40">
            <w:pPr>
              <w:pStyle w:val="12"/>
            </w:pPr>
            <w:r>
              <w:t>2.按规定拨付公用经费资金468800元，资金拨付率达到100%。</w:t>
            </w:r>
          </w:p>
        </w:tc>
      </w:tr>
    </w:tbl>
    <w:p w14:paraId="3854A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F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E89DC">
            <w:pPr>
              <w:pStyle w:val="10"/>
            </w:pPr>
            <w:r>
              <w:t>一级指标</w:t>
            </w:r>
          </w:p>
        </w:tc>
        <w:tc>
          <w:tcPr>
            <w:tcW w:w="2268" w:type="dxa"/>
            <w:vAlign w:val="center"/>
          </w:tcPr>
          <w:p w14:paraId="032B2372">
            <w:pPr>
              <w:pStyle w:val="10"/>
            </w:pPr>
            <w:r>
              <w:t>二级指标</w:t>
            </w:r>
          </w:p>
        </w:tc>
        <w:tc>
          <w:tcPr>
            <w:tcW w:w="2835" w:type="dxa"/>
            <w:vAlign w:val="center"/>
          </w:tcPr>
          <w:p w14:paraId="19ED782D">
            <w:pPr>
              <w:pStyle w:val="10"/>
            </w:pPr>
            <w:r>
              <w:t>三级指标</w:t>
            </w:r>
          </w:p>
        </w:tc>
        <w:tc>
          <w:tcPr>
            <w:tcW w:w="5386" w:type="dxa"/>
            <w:vAlign w:val="center"/>
          </w:tcPr>
          <w:p w14:paraId="5423719E">
            <w:pPr>
              <w:pStyle w:val="10"/>
            </w:pPr>
            <w:r>
              <w:t>绩效指标描述</w:t>
            </w:r>
          </w:p>
        </w:tc>
        <w:tc>
          <w:tcPr>
            <w:tcW w:w="2268" w:type="dxa"/>
            <w:vAlign w:val="center"/>
          </w:tcPr>
          <w:p w14:paraId="09306A0B">
            <w:pPr>
              <w:pStyle w:val="10"/>
            </w:pPr>
            <w:r>
              <w:t>指标值</w:t>
            </w:r>
          </w:p>
        </w:tc>
        <w:tc>
          <w:tcPr>
            <w:tcW w:w="1276" w:type="dxa"/>
            <w:vAlign w:val="center"/>
          </w:tcPr>
          <w:p w14:paraId="0BA26148">
            <w:pPr>
              <w:pStyle w:val="10"/>
            </w:pPr>
            <w:r>
              <w:t>指标值确定依据</w:t>
            </w:r>
          </w:p>
        </w:tc>
      </w:tr>
      <w:tr w14:paraId="1E5F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ADBD1">
            <w:pPr>
              <w:pStyle w:val="13"/>
            </w:pPr>
            <w:r>
              <w:t>产出指标</w:t>
            </w:r>
          </w:p>
        </w:tc>
        <w:tc>
          <w:tcPr>
            <w:tcW w:w="2268" w:type="dxa"/>
            <w:vAlign w:val="center"/>
          </w:tcPr>
          <w:p w14:paraId="56D80CE5">
            <w:pPr>
              <w:pStyle w:val="12"/>
            </w:pPr>
            <w:r>
              <w:t>数量指标</w:t>
            </w:r>
          </w:p>
        </w:tc>
        <w:tc>
          <w:tcPr>
            <w:tcW w:w="2835" w:type="dxa"/>
            <w:vAlign w:val="center"/>
          </w:tcPr>
          <w:p w14:paraId="61CCE643">
            <w:pPr>
              <w:pStyle w:val="12"/>
            </w:pPr>
            <w:r>
              <w:t>适龄在校生</w:t>
            </w:r>
          </w:p>
        </w:tc>
        <w:tc>
          <w:tcPr>
            <w:tcW w:w="5386" w:type="dxa"/>
            <w:vAlign w:val="center"/>
          </w:tcPr>
          <w:p w14:paraId="3F608317">
            <w:pPr>
              <w:pStyle w:val="12"/>
            </w:pPr>
            <w:r>
              <w:t>适龄在校就读学生人数</w:t>
            </w:r>
          </w:p>
        </w:tc>
        <w:tc>
          <w:tcPr>
            <w:tcW w:w="2268" w:type="dxa"/>
            <w:vAlign w:val="center"/>
          </w:tcPr>
          <w:p w14:paraId="20E6B594">
            <w:pPr>
              <w:pStyle w:val="12"/>
            </w:pPr>
            <w:r>
              <w:t>1085人</w:t>
            </w:r>
          </w:p>
        </w:tc>
        <w:tc>
          <w:tcPr>
            <w:tcW w:w="1276" w:type="dxa"/>
            <w:vAlign w:val="center"/>
          </w:tcPr>
          <w:p w14:paraId="53E8475D">
            <w:pPr>
              <w:pStyle w:val="12"/>
            </w:pPr>
            <w:r>
              <w:t>城乡义务教育公用经费管理办法</w:t>
            </w:r>
          </w:p>
        </w:tc>
      </w:tr>
      <w:tr w14:paraId="038A5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B5F8E"/>
        </w:tc>
        <w:tc>
          <w:tcPr>
            <w:tcW w:w="2268" w:type="dxa"/>
            <w:vAlign w:val="center"/>
          </w:tcPr>
          <w:p w14:paraId="51F5FBAC">
            <w:pPr>
              <w:pStyle w:val="12"/>
            </w:pPr>
            <w:r>
              <w:t>质量指标</w:t>
            </w:r>
          </w:p>
        </w:tc>
        <w:tc>
          <w:tcPr>
            <w:tcW w:w="2835" w:type="dxa"/>
            <w:vAlign w:val="center"/>
          </w:tcPr>
          <w:p w14:paraId="0A9F31C7">
            <w:pPr>
              <w:pStyle w:val="12"/>
            </w:pPr>
            <w:r>
              <w:t>预算控制率</w:t>
            </w:r>
          </w:p>
        </w:tc>
        <w:tc>
          <w:tcPr>
            <w:tcW w:w="5386" w:type="dxa"/>
            <w:vAlign w:val="center"/>
          </w:tcPr>
          <w:p w14:paraId="410C715F">
            <w:pPr>
              <w:pStyle w:val="12"/>
            </w:pPr>
            <w:r>
              <w:t>预算执行率</w:t>
            </w:r>
          </w:p>
        </w:tc>
        <w:tc>
          <w:tcPr>
            <w:tcW w:w="2268" w:type="dxa"/>
            <w:vAlign w:val="center"/>
          </w:tcPr>
          <w:p w14:paraId="74721DE0">
            <w:pPr>
              <w:pStyle w:val="12"/>
            </w:pPr>
            <w:r>
              <w:t>≥95%</w:t>
            </w:r>
          </w:p>
        </w:tc>
        <w:tc>
          <w:tcPr>
            <w:tcW w:w="1276" w:type="dxa"/>
            <w:vAlign w:val="center"/>
          </w:tcPr>
          <w:p w14:paraId="09A799B0">
            <w:pPr>
              <w:pStyle w:val="12"/>
            </w:pPr>
            <w:r>
              <w:t>城乡义务教育公用经费管理办法</w:t>
            </w:r>
          </w:p>
        </w:tc>
      </w:tr>
      <w:tr w14:paraId="0517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E42A9"/>
        </w:tc>
        <w:tc>
          <w:tcPr>
            <w:tcW w:w="2268" w:type="dxa"/>
            <w:vAlign w:val="center"/>
          </w:tcPr>
          <w:p w14:paraId="3E972D7B">
            <w:pPr>
              <w:pStyle w:val="12"/>
            </w:pPr>
            <w:r>
              <w:t>时效指标</w:t>
            </w:r>
          </w:p>
        </w:tc>
        <w:tc>
          <w:tcPr>
            <w:tcW w:w="2835" w:type="dxa"/>
            <w:vAlign w:val="center"/>
          </w:tcPr>
          <w:p w14:paraId="528A4E7F">
            <w:pPr>
              <w:pStyle w:val="12"/>
            </w:pPr>
            <w:r>
              <w:t>资金支付率</w:t>
            </w:r>
          </w:p>
        </w:tc>
        <w:tc>
          <w:tcPr>
            <w:tcW w:w="5386" w:type="dxa"/>
            <w:vAlign w:val="center"/>
          </w:tcPr>
          <w:p w14:paraId="63AA7BAF">
            <w:pPr>
              <w:pStyle w:val="12"/>
            </w:pPr>
            <w:r>
              <w:t>按照序时进度完成资金支付</w:t>
            </w:r>
          </w:p>
        </w:tc>
        <w:tc>
          <w:tcPr>
            <w:tcW w:w="2268" w:type="dxa"/>
            <w:vAlign w:val="center"/>
          </w:tcPr>
          <w:p w14:paraId="63DACD80">
            <w:pPr>
              <w:pStyle w:val="12"/>
            </w:pPr>
            <w:r>
              <w:t>100%</w:t>
            </w:r>
          </w:p>
        </w:tc>
        <w:tc>
          <w:tcPr>
            <w:tcW w:w="1276" w:type="dxa"/>
            <w:vAlign w:val="center"/>
          </w:tcPr>
          <w:p w14:paraId="62A015DB">
            <w:pPr>
              <w:pStyle w:val="12"/>
            </w:pPr>
            <w:r>
              <w:t>城乡义务教育公用经费管理办法</w:t>
            </w:r>
          </w:p>
        </w:tc>
      </w:tr>
      <w:tr w14:paraId="056E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0C440"/>
        </w:tc>
        <w:tc>
          <w:tcPr>
            <w:tcW w:w="2268" w:type="dxa"/>
            <w:vAlign w:val="center"/>
          </w:tcPr>
          <w:p w14:paraId="29EDA16C">
            <w:pPr>
              <w:pStyle w:val="12"/>
            </w:pPr>
            <w:r>
              <w:t>成本指标</w:t>
            </w:r>
          </w:p>
        </w:tc>
        <w:tc>
          <w:tcPr>
            <w:tcW w:w="2835" w:type="dxa"/>
            <w:vAlign w:val="center"/>
          </w:tcPr>
          <w:p w14:paraId="76CFCBF8">
            <w:pPr>
              <w:pStyle w:val="12"/>
            </w:pPr>
            <w:r>
              <w:t>生均拨款标准</w:t>
            </w:r>
          </w:p>
        </w:tc>
        <w:tc>
          <w:tcPr>
            <w:tcW w:w="5386" w:type="dxa"/>
            <w:vAlign w:val="center"/>
          </w:tcPr>
          <w:p w14:paraId="035C8B1E">
            <w:pPr>
              <w:pStyle w:val="12"/>
            </w:pPr>
            <w:r>
              <w:t>初中：（基本标准940元、寄宿生300元、取暖费120元）/生/学年；随班就读学生：标准7000元/生/学年）</w:t>
            </w:r>
          </w:p>
        </w:tc>
        <w:tc>
          <w:tcPr>
            <w:tcW w:w="2268" w:type="dxa"/>
            <w:vAlign w:val="center"/>
          </w:tcPr>
          <w:p w14:paraId="1682F937">
            <w:pPr>
              <w:pStyle w:val="12"/>
            </w:pPr>
            <w:r>
              <w:t>1360元</w:t>
            </w:r>
          </w:p>
        </w:tc>
        <w:tc>
          <w:tcPr>
            <w:tcW w:w="1276" w:type="dxa"/>
            <w:vAlign w:val="center"/>
          </w:tcPr>
          <w:p w14:paraId="4408F5BA">
            <w:pPr>
              <w:pStyle w:val="12"/>
            </w:pPr>
            <w:r>
              <w:t>城乡义务教育公用经费管理办法</w:t>
            </w:r>
          </w:p>
        </w:tc>
      </w:tr>
      <w:tr w14:paraId="603F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4A2E9">
            <w:pPr>
              <w:pStyle w:val="13"/>
            </w:pPr>
            <w:r>
              <w:t>效益指标</w:t>
            </w:r>
          </w:p>
        </w:tc>
        <w:tc>
          <w:tcPr>
            <w:tcW w:w="2268" w:type="dxa"/>
            <w:vAlign w:val="center"/>
          </w:tcPr>
          <w:p w14:paraId="2AA3BD17">
            <w:pPr>
              <w:pStyle w:val="12"/>
            </w:pPr>
            <w:r>
              <w:t>可持续影响指标</w:t>
            </w:r>
          </w:p>
        </w:tc>
        <w:tc>
          <w:tcPr>
            <w:tcW w:w="2835" w:type="dxa"/>
            <w:vAlign w:val="center"/>
          </w:tcPr>
          <w:p w14:paraId="5F2C3E3A">
            <w:pPr>
              <w:pStyle w:val="12"/>
            </w:pPr>
            <w:r>
              <w:t>学校日常运转正常</w:t>
            </w:r>
          </w:p>
        </w:tc>
        <w:tc>
          <w:tcPr>
            <w:tcW w:w="5386" w:type="dxa"/>
            <w:vAlign w:val="center"/>
          </w:tcPr>
          <w:p w14:paraId="113F1B86">
            <w:pPr>
              <w:pStyle w:val="12"/>
            </w:pPr>
            <w:r>
              <w:t>学生受教育年限</w:t>
            </w:r>
          </w:p>
        </w:tc>
        <w:tc>
          <w:tcPr>
            <w:tcW w:w="2268" w:type="dxa"/>
            <w:vAlign w:val="center"/>
          </w:tcPr>
          <w:p w14:paraId="4654BDD9">
            <w:pPr>
              <w:pStyle w:val="12"/>
            </w:pPr>
            <w:r>
              <w:t>3年</w:t>
            </w:r>
          </w:p>
        </w:tc>
        <w:tc>
          <w:tcPr>
            <w:tcW w:w="1276" w:type="dxa"/>
            <w:vAlign w:val="center"/>
          </w:tcPr>
          <w:p w14:paraId="33F95EA7">
            <w:pPr>
              <w:pStyle w:val="12"/>
            </w:pPr>
            <w:r>
              <w:t>城乡义务教育公用经费管理办法</w:t>
            </w:r>
          </w:p>
        </w:tc>
      </w:tr>
      <w:tr w14:paraId="4A50C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DE25A">
            <w:pPr>
              <w:pStyle w:val="13"/>
            </w:pPr>
            <w:r>
              <w:t>满意度指标</w:t>
            </w:r>
          </w:p>
        </w:tc>
        <w:tc>
          <w:tcPr>
            <w:tcW w:w="2268" w:type="dxa"/>
            <w:vAlign w:val="center"/>
          </w:tcPr>
          <w:p w14:paraId="2039463B">
            <w:pPr>
              <w:pStyle w:val="12"/>
            </w:pPr>
            <w:r>
              <w:t>服务对象满意度指标</w:t>
            </w:r>
          </w:p>
        </w:tc>
        <w:tc>
          <w:tcPr>
            <w:tcW w:w="2835" w:type="dxa"/>
            <w:vAlign w:val="center"/>
          </w:tcPr>
          <w:p w14:paraId="054B1B32">
            <w:pPr>
              <w:pStyle w:val="12"/>
            </w:pPr>
            <w:r>
              <w:t>服务对象满意度</w:t>
            </w:r>
          </w:p>
        </w:tc>
        <w:tc>
          <w:tcPr>
            <w:tcW w:w="5386" w:type="dxa"/>
            <w:vAlign w:val="center"/>
          </w:tcPr>
          <w:p w14:paraId="161F024A">
            <w:pPr>
              <w:pStyle w:val="12"/>
            </w:pPr>
            <w:r>
              <w:t>学校老师和学生满意度</w:t>
            </w:r>
          </w:p>
        </w:tc>
        <w:tc>
          <w:tcPr>
            <w:tcW w:w="2268" w:type="dxa"/>
            <w:vAlign w:val="center"/>
          </w:tcPr>
          <w:p w14:paraId="39354B3B">
            <w:pPr>
              <w:pStyle w:val="12"/>
            </w:pPr>
            <w:r>
              <w:t>≥95%</w:t>
            </w:r>
          </w:p>
        </w:tc>
        <w:tc>
          <w:tcPr>
            <w:tcW w:w="1276" w:type="dxa"/>
            <w:vAlign w:val="center"/>
          </w:tcPr>
          <w:p w14:paraId="6508B59B">
            <w:pPr>
              <w:pStyle w:val="12"/>
            </w:pPr>
            <w:r>
              <w:t>调查问卷</w:t>
            </w:r>
            <w:r>
              <w:tab/>
            </w:r>
          </w:p>
          <w:p w14:paraId="4E1E13F4">
            <w:pPr>
              <w:pStyle w:val="12"/>
            </w:pPr>
          </w:p>
        </w:tc>
      </w:tr>
    </w:tbl>
    <w:p w14:paraId="43860A56">
      <w:pPr>
        <w:sectPr>
          <w:pgSz w:w="16840" w:h="11900" w:orient="landscape"/>
          <w:pgMar w:top="1361" w:right="1020" w:bottom="1134" w:left="1020" w:header="720" w:footer="720" w:gutter="0"/>
          <w:cols w:space="720" w:num="1"/>
        </w:sectPr>
      </w:pPr>
    </w:p>
    <w:p w14:paraId="106B8BD7">
      <w:pPr>
        <w:spacing w:before="0" w:after="0"/>
        <w:ind w:firstLine="560"/>
        <w:jc w:val="left"/>
        <w:outlineLvl w:val="9"/>
      </w:pPr>
      <w:r>
        <w:rPr>
          <w:rFonts w:ascii="方正仿宋_GBK" w:hAnsi="方正仿宋_GBK" w:eastAsia="方正仿宋_GBK" w:cs="方正仿宋_GBK"/>
          <w:b/>
          <w:color w:val="000000"/>
          <w:sz w:val="28"/>
        </w:rPr>
        <w:t>4、冀财教[2025]148号/支持义务教育发展/东良中学公用经费绩效目标表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15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B568D">
            <w:pPr>
              <w:pStyle w:val="11"/>
            </w:pPr>
            <w:r>
              <w:t>单位：万元</w:t>
            </w:r>
          </w:p>
        </w:tc>
      </w:tr>
      <w:tr w14:paraId="031A9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E75E3">
            <w:pPr>
              <w:pStyle w:val="10"/>
            </w:pPr>
            <w:r>
              <w:t>项目编码</w:t>
            </w:r>
          </w:p>
        </w:tc>
        <w:tc>
          <w:tcPr>
            <w:tcW w:w="5103" w:type="dxa"/>
            <w:gridSpan w:val="2"/>
            <w:vAlign w:val="center"/>
          </w:tcPr>
          <w:p w14:paraId="33521D52">
            <w:pPr>
              <w:pStyle w:val="12"/>
            </w:pPr>
            <w:r>
              <w:t>13052526P00000210109W</w:t>
            </w:r>
          </w:p>
        </w:tc>
        <w:tc>
          <w:tcPr>
            <w:tcW w:w="2835" w:type="dxa"/>
            <w:vAlign w:val="center"/>
          </w:tcPr>
          <w:p w14:paraId="4321D413">
            <w:pPr>
              <w:pStyle w:val="10"/>
            </w:pPr>
            <w:r>
              <w:t>项目名称</w:t>
            </w:r>
          </w:p>
        </w:tc>
        <w:tc>
          <w:tcPr>
            <w:tcW w:w="6095" w:type="dxa"/>
            <w:gridSpan w:val="3"/>
            <w:vAlign w:val="center"/>
          </w:tcPr>
          <w:p w14:paraId="1152304B">
            <w:pPr>
              <w:pStyle w:val="12"/>
            </w:pPr>
            <w:r>
              <w:t>冀财教[2025]148号/支持义务教育发展/东良中学公用经费</w:t>
            </w:r>
          </w:p>
        </w:tc>
      </w:tr>
      <w:tr w14:paraId="515DA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701DC">
            <w:pPr>
              <w:pStyle w:val="10"/>
            </w:pPr>
            <w:r>
              <w:t>预算规模及资金用途</w:t>
            </w:r>
          </w:p>
        </w:tc>
        <w:tc>
          <w:tcPr>
            <w:tcW w:w="2268" w:type="dxa"/>
            <w:vAlign w:val="center"/>
          </w:tcPr>
          <w:p w14:paraId="02B2C8D5">
            <w:pPr>
              <w:pStyle w:val="10"/>
            </w:pPr>
            <w:r>
              <w:t>预算数</w:t>
            </w:r>
          </w:p>
        </w:tc>
        <w:tc>
          <w:tcPr>
            <w:tcW w:w="2835" w:type="dxa"/>
            <w:vAlign w:val="center"/>
          </w:tcPr>
          <w:p w14:paraId="1C98672E">
            <w:pPr>
              <w:pStyle w:val="12"/>
            </w:pPr>
            <w:r>
              <w:t>10.00</w:t>
            </w:r>
          </w:p>
        </w:tc>
        <w:tc>
          <w:tcPr>
            <w:tcW w:w="2835" w:type="dxa"/>
            <w:vAlign w:val="center"/>
          </w:tcPr>
          <w:p w14:paraId="6986A32F">
            <w:pPr>
              <w:pStyle w:val="10"/>
            </w:pPr>
            <w:r>
              <w:t>其中：财政    资金</w:t>
            </w:r>
          </w:p>
        </w:tc>
        <w:tc>
          <w:tcPr>
            <w:tcW w:w="2551" w:type="dxa"/>
            <w:vAlign w:val="center"/>
          </w:tcPr>
          <w:p w14:paraId="2E37050B">
            <w:pPr>
              <w:pStyle w:val="12"/>
            </w:pPr>
            <w:r>
              <w:t>10.00</w:t>
            </w:r>
          </w:p>
        </w:tc>
        <w:tc>
          <w:tcPr>
            <w:tcW w:w="2268" w:type="dxa"/>
            <w:vAlign w:val="center"/>
          </w:tcPr>
          <w:p w14:paraId="6B1C5950">
            <w:pPr>
              <w:pStyle w:val="10"/>
            </w:pPr>
            <w:r>
              <w:t>其他资金</w:t>
            </w:r>
          </w:p>
        </w:tc>
        <w:tc>
          <w:tcPr>
            <w:tcW w:w="1276" w:type="dxa"/>
            <w:vAlign w:val="center"/>
          </w:tcPr>
          <w:p w14:paraId="4E9A4DC1">
            <w:pPr>
              <w:pStyle w:val="12"/>
            </w:pPr>
            <w:r>
              <w:t xml:space="preserve"> </w:t>
            </w:r>
          </w:p>
        </w:tc>
      </w:tr>
      <w:tr w14:paraId="66A16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A9819"/>
        </w:tc>
        <w:tc>
          <w:tcPr>
            <w:tcW w:w="14033" w:type="dxa"/>
            <w:gridSpan w:val="6"/>
            <w:vAlign w:val="center"/>
          </w:tcPr>
          <w:p w14:paraId="02AADA85">
            <w:pPr>
              <w:pStyle w:val="12"/>
            </w:pPr>
            <w:r>
              <w:t>"改善就学条件，提升学校形象，保障义务教育阶段教学安全，改善师生教学环境，创造良好的校园环境。</w:t>
            </w:r>
          </w:p>
          <w:p w14:paraId="62902FC7">
            <w:pPr>
              <w:pStyle w:val="12"/>
            </w:pPr>
            <w:r>
              <w:t>"</w:t>
            </w:r>
            <w:r>
              <w:tab/>
            </w:r>
            <w:r>
              <w:tab/>
            </w:r>
            <w:r>
              <w:tab/>
            </w:r>
            <w:r>
              <w:tab/>
            </w:r>
            <w:r>
              <w:tab/>
            </w:r>
            <w:r>
              <w:tab/>
            </w:r>
          </w:p>
          <w:p w14:paraId="337D696E">
            <w:pPr>
              <w:pStyle w:val="12"/>
            </w:pPr>
          </w:p>
        </w:tc>
      </w:tr>
      <w:tr w14:paraId="2428C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A10E5">
            <w:pPr>
              <w:pStyle w:val="10"/>
            </w:pPr>
            <w:r>
              <w:t>资金支出计划（%）</w:t>
            </w:r>
          </w:p>
        </w:tc>
        <w:tc>
          <w:tcPr>
            <w:tcW w:w="5103" w:type="dxa"/>
            <w:gridSpan w:val="2"/>
            <w:vAlign w:val="center"/>
          </w:tcPr>
          <w:p w14:paraId="7C6D38FD">
            <w:pPr>
              <w:pStyle w:val="10"/>
            </w:pPr>
            <w:r>
              <w:t>3月底</w:t>
            </w:r>
          </w:p>
        </w:tc>
        <w:tc>
          <w:tcPr>
            <w:tcW w:w="2835" w:type="dxa"/>
            <w:vAlign w:val="center"/>
          </w:tcPr>
          <w:p w14:paraId="0F9FE154">
            <w:pPr>
              <w:pStyle w:val="10"/>
            </w:pPr>
            <w:r>
              <w:t>6月底</w:t>
            </w:r>
          </w:p>
        </w:tc>
        <w:tc>
          <w:tcPr>
            <w:tcW w:w="2551" w:type="dxa"/>
            <w:vAlign w:val="center"/>
          </w:tcPr>
          <w:p w14:paraId="7F905AD5">
            <w:pPr>
              <w:pStyle w:val="10"/>
            </w:pPr>
            <w:r>
              <w:t>10月底</w:t>
            </w:r>
          </w:p>
        </w:tc>
        <w:tc>
          <w:tcPr>
            <w:tcW w:w="3544" w:type="dxa"/>
            <w:gridSpan w:val="2"/>
            <w:vAlign w:val="center"/>
          </w:tcPr>
          <w:p w14:paraId="23865C75">
            <w:pPr>
              <w:pStyle w:val="10"/>
            </w:pPr>
            <w:r>
              <w:t>12月底</w:t>
            </w:r>
          </w:p>
        </w:tc>
      </w:tr>
      <w:tr w14:paraId="74FC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743F9"/>
        </w:tc>
        <w:tc>
          <w:tcPr>
            <w:tcW w:w="5103" w:type="dxa"/>
            <w:gridSpan w:val="2"/>
            <w:vAlign w:val="center"/>
          </w:tcPr>
          <w:p w14:paraId="7A67E017">
            <w:pPr>
              <w:pStyle w:val="13"/>
            </w:pPr>
            <w:r>
              <w:t xml:space="preserve"> </w:t>
            </w:r>
          </w:p>
        </w:tc>
        <w:tc>
          <w:tcPr>
            <w:tcW w:w="2835" w:type="dxa"/>
            <w:vAlign w:val="center"/>
          </w:tcPr>
          <w:p w14:paraId="7B1870C8">
            <w:pPr>
              <w:pStyle w:val="13"/>
            </w:pPr>
            <w:r>
              <w:t>100%</w:t>
            </w:r>
          </w:p>
        </w:tc>
        <w:tc>
          <w:tcPr>
            <w:tcW w:w="2551" w:type="dxa"/>
            <w:vAlign w:val="center"/>
          </w:tcPr>
          <w:p w14:paraId="30010CF0">
            <w:pPr>
              <w:pStyle w:val="13"/>
            </w:pPr>
            <w:r>
              <w:t>100%</w:t>
            </w:r>
          </w:p>
        </w:tc>
        <w:tc>
          <w:tcPr>
            <w:tcW w:w="3544" w:type="dxa"/>
            <w:gridSpan w:val="2"/>
            <w:vAlign w:val="center"/>
          </w:tcPr>
          <w:p w14:paraId="5A97B443">
            <w:pPr>
              <w:pStyle w:val="13"/>
            </w:pPr>
            <w:r>
              <w:t>100%</w:t>
            </w:r>
          </w:p>
        </w:tc>
      </w:tr>
      <w:tr w14:paraId="40501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31C65">
            <w:pPr>
              <w:pStyle w:val="10"/>
            </w:pPr>
            <w:r>
              <w:t>绩效目标</w:t>
            </w:r>
          </w:p>
        </w:tc>
        <w:tc>
          <w:tcPr>
            <w:tcW w:w="14033" w:type="dxa"/>
            <w:gridSpan w:val="6"/>
            <w:vAlign w:val="center"/>
          </w:tcPr>
          <w:p w14:paraId="633102E2">
            <w:pPr>
              <w:pStyle w:val="12"/>
            </w:pPr>
            <w:r>
              <w:t>1.项目需资金10万元，资金拨付率达到100%。</w:t>
            </w:r>
          </w:p>
          <w:p w14:paraId="17818A0F">
            <w:pPr>
              <w:pStyle w:val="12"/>
            </w:pPr>
            <w:r>
              <w:t>2.改善就学条件，提升学校形象，保障义务教育阶段教学安全，改善师生教学环境，创造良好的校园环境。</w:t>
            </w:r>
          </w:p>
          <w:p w14:paraId="660AE500">
            <w:pPr>
              <w:pStyle w:val="12"/>
            </w:pPr>
          </w:p>
        </w:tc>
      </w:tr>
    </w:tbl>
    <w:p w14:paraId="0D946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3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415AF">
            <w:pPr>
              <w:pStyle w:val="10"/>
            </w:pPr>
            <w:r>
              <w:t>一级指标</w:t>
            </w:r>
          </w:p>
        </w:tc>
        <w:tc>
          <w:tcPr>
            <w:tcW w:w="2268" w:type="dxa"/>
            <w:vAlign w:val="center"/>
          </w:tcPr>
          <w:p w14:paraId="6FA14B44">
            <w:pPr>
              <w:pStyle w:val="10"/>
            </w:pPr>
            <w:r>
              <w:t>二级指标</w:t>
            </w:r>
          </w:p>
        </w:tc>
        <w:tc>
          <w:tcPr>
            <w:tcW w:w="2835" w:type="dxa"/>
            <w:vAlign w:val="center"/>
          </w:tcPr>
          <w:p w14:paraId="52AFA5FE">
            <w:pPr>
              <w:pStyle w:val="10"/>
            </w:pPr>
            <w:r>
              <w:t>三级指标</w:t>
            </w:r>
          </w:p>
        </w:tc>
        <w:tc>
          <w:tcPr>
            <w:tcW w:w="5386" w:type="dxa"/>
            <w:vAlign w:val="center"/>
          </w:tcPr>
          <w:p w14:paraId="716D38C2">
            <w:pPr>
              <w:pStyle w:val="10"/>
            </w:pPr>
            <w:r>
              <w:t>绩效指标描述</w:t>
            </w:r>
          </w:p>
        </w:tc>
        <w:tc>
          <w:tcPr>
            <w:tcW w:w="2268" w:type="dxa"/>
            <w:vAlign w:val="center"/>
          </w:tcPr>
          <w:p w14:paraId="7B9403D3">
            <w:pPr>
              <w:pStyle w:val="10"/>
            </w:pPr>
            <w:r>
              <w:t>指标值</w:t>
            </w:r>
          </w:p>
        </w:tc>
        <w:tc>
          <w:tcPr>
            <w:tcW w:w="1276" w:type="dxa"/>
            <w:vAlign w:val="center"/>
          </w:tcPr>
          <w:p w14:paraId="2E72A20E">
            <w:pPr>
              <w:pStyle w:val="10"/>
            </w:pPr>
            <w:r>
              <w:t>指标值确定依据</w:t>
            </w:r>
          </w:p>
        </w:tc>
      </w:tr>
      <w:tr w14:paraId="514A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72583">
            <w:pPr>
              <w:pStyle w:val="13"/>
            </w:pPr>
            <w:r>
              <w:t>产出指标</w:t>
            </w:r>
          </w:p>
        </w:tc>
        <w:tc>
          <w:tcPr>
            <w:tcW w:w="2268" w:type="dxa"/>
            <w:vAlign w:val="center"/>
          </w:tcPr>
          <w:p w14:paraId="597F10E7">
            <w:pPr>
              <w:pStyle w:val="12"/>
            </w:pPr>
            <w:r>
              <w:t>数量指标</w:t>
            </w:r>
          </w:p>
        </w:tc>
        <w:tc>
          <w:tcPr>
            <w:tcW w:w="2835" w:type="dxa"/>
            <w:vAlign w:val="center"/>
          </w:tcPr>
          <w:p w14:paraId="4CBCD391">
            <w:pPr>
              <w:pStyle w:val="12"/>
            </w:pPr>
            <w:r>
              <w:t>防欺凌系统</w:t>
            </w:r>
          </w:p>
        </w:tc>
        <w:tc>
          <w:tcPr>
            <w:tcW w:w="5386" w:type="dxa"/>
            <w:vAlign w:val="center"/>
          </w:tcPr>
          <w:p w14:paraId="445A1C73">
            <w:pPr>
              <w:pStyle w:val="12"/>
            </w:pPr>
            <w:r>
              <w:t>防欺凌系统套数</w:t>
            </w:r>
          </w:p>
        </w:tc>
        <w:tc>
          <w:tcPr>
            <w:tcW w:w="2268" w:type="dxa"/>
            <w:vAlign w:val="center"/>
          </w:tcPr>
          <w:p w14:paraId="347CEC9C">
            <w:pPr>
              <w:pStyle w:val="12"/>
            </w:pPr>
            <w:r>
              <w:t>1套</w:t>
            </w:r>
          </w:p>
        </w:tc>
        <w:tc>
          <w:tcPr>
            <w:tcW w:w="1276" w:type="dxa"/>
            <w:vAlign w:val="center"/>
          </w:tcPr>
          <w:p w14:paraId="5B252BFA">
            <w:pPr>
              <w:pStyle w:val="12"/>
            </w:pPr>
            <w:r>
              <w:t>城乡义务教育公共经费</w:t>
            </w:r>
          </w:p>
        </w:tc>
      </w:tr>
      <w:tr w14:paraId="0C09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4EA66"/>
        </w:tc>
        <w:tc>
          <w:tcPr>
            <w:tcW w:w="2268" w:type="dxa"/>
            <w:vAlign w:val="center"/>
          </w:tcPr>
          <w:p w14:paraId="648489A6">
            <w:pPr>
              <w:pStyle w:val="12"/>
            </w:pPr>
            <w:r>
              <w:t>质量指标</w:t>
            </w:r>
          </w:p>
        </w:tc>
        <w:tc>
          <w:tcPr>
            <w:tcW w:w="2835" w:type="dxa"/>
            <w:vAlign w:val="center"/>
          </w:tcPr>
          <w:p w14:paraId="6291B48F">
            <w:pPr>
              <w:pStyle w:val="12"/>
            </w:pPr>
            <w:r>
              <w:t>设备合格率</w:t>
            </w:r>
          </w:p>
        </w:tc>
        <w:tc>
          <w:tcPr>
            <w:tcW w:w="5386" w:type="dxa"/>
            <w:vAlign w:val="center"/>
          </w:tcPr>
          <w:p w14:paraId="19F56449">
            <w:pPr>
              <w:pStyle w:val="12"/>
            </w:pPr>
            <w:r>
              <w:t>设备合格率</w:t>
            </w:r>
          </w:p>
        </w:tc>
        <w:tc>
          <w:tcPr>
            <w:tcW w:w="2268" w:type="dxa"/>
            <w:vAlign w:val="center"/>
          </w:tcPr>
          <w:p w14:paraId="4A979299">
            <w:pPr>
              <w:pStyle w:val="12"/>
            </w:pPr>
            <w:r>
              <w:t>100%</w:t>
            </w:r>
          </w:p>
        </w:tc>
        <w:tc>
          <w:tcPr>
            <w:tcW w:w="1276" w:type="dxa"/>
            <w:vAlign w:val="center"/>
          </w:tcPr>
          <w:p w14:paraId="7061A1BA">
            <w:pPr>
              <w:pStyle w:val="12"/>
            </w:pPr>
            <w:r>
              <w:t>城乡义务教育公共经费</w:t>
            </w:r>
          </w:p>
        </w:tc>
      </w:tr>
      <w:tr w14:paraId="7D1B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0062B"/>
        </w:tc>
        <w:tc>
          <w:tcPr>
            <w:tcW w:w="2268" w:type="dxa"/>
            <w:vAlign w:val="center"/>
          </w:tcPr>
          <w:p w14:paraId="6A959B0C">
            <w:pPr>
              <w:pStyle w:val="12"/>
            </w:pPr>
            <w:r>
              <w:t>时效指标</w:t>
            </w:r>
          </w:p>
        </w:tc>
        <w:tc>
          <w:tcPr>
            <w:tcW w:w="2835" w:type="dxa"/>
            <w:vAlign w:val="center"/>
          </w:tcPr>
          <w:p w14:paraId="63FEDBC3">
            <w:pPr>
              <w:pStyle w:val="12"/>
            </w:pPr>
            <w:r>
              <w:t>资金支付率</w:t>
            </w:r>
          </w:p>
        </w:tc>
        <w:tc>
          <w:tcPr>
            <w:tcW w:w="5386" w:type="dxa"/>
            <w:vAlign w:val="center"/>
          </w:tcPr>
          <w:p w14:paraId="0516A49C">
            <w:pPr>
              <w:pStyle w:val="12"/>
            </w:pPr>
            <w:r>
              <w:t>按照序时进度完成资金支付</w:t>
            </w:r>
          </w:p>
        </w:tc>
        <w:tc>
          <w:tcPr>
            <w:tcW w:w="2268" w:type="dxa"/>
            <w:vAlign w:val="center"/>
          </w:tcPr>
          <w:p w14:paraId="15355EE8">
            <w:pPr>
              <w:pStyle w:val="12"/>
            </w:pPr>
            <w:r>
              <w:t>100%</w:t>
            </w:r>
          </w:p>
        </w:tc>
        <w:tc>
          <w:tcPr>
            <w:tcW w:w="1276" w:type="dxa"/>
            <w:vAlign w:val="center"/>
          </w:tcPr>
          <w:p w14:paraId="4BDF512A">
            <w:pPr>
              <w:pStyle w:val="12"/>
            </w:pPr>
            <w:r>
              <w:t>城乡义务教育公共经费</w:t>
            </w:r>
          </w:p>
        </w:tc>
      </w:tr>
      <w:tr w14:paraId="33CA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BC4D8"/>
        </w:tc>
        <w:tc>
          <w:tcPr>
            <w:tcW w:w="2268" w:type="dxa"/>
            <w:vAlign w:val="center"/>
          </w:tcPr>
          <w:p w14:paraId="4146D0B0">
            <w:pPr>
              <w:pStyle w:val="12"/>
            </w:pPr>
            <w:r>
              <w:t>成本指标</w:t>
            </w:r>
          </w:p>
        </w:tc>
        <w:tc>
          <w:tcPr>
            <w:tcW w:w="2835" w:type="dxa"/>
            <w:vAlign w:val="center"/>
          </w:tcPr>
          <w:p w14:paraId="4AA57AAA">
            <w:pPr>
              <w:pStyle w:val="12"/>
            </w:pPr>
            <w:r>
              <w:t>项目成本控制情况</w:t>
            </w:r>
          </w:p>
        </w:tc>
        <w:tc>
          <w:tcPr>
            <w:tcW w:w="5386" w:type="dxa"/>
            <w:vAlign w:val="center"/>
          </w:tcPr>
          <w:p w14:paraId="267027C6">
            <w:pPr>
              <w:pStyle w:val="12"/>
            </w:pPr>
            <w:r>
              <w:t>严格按照招标价格及审计额进行</w:t>
            </w:r>
          </w:p>
        </w:tc>
        <w:tc>
          <w:tcPr>
            <w:tcW w:w="2268" w:type="dxa"/>
            <w:vAlign w:val="center"/>
          </w:tcPr>
          <w:p w14:paraId="2EF9EAB8">
            <w:pPr>
              <w:pStyle w:val="12"/>
            </w:pPr>
            <w:r>
              <w:t>≤10万元</w:t>
            </w:r>
          </w:p>
        </w:tc>
        <w:tc>
          <w:tcPr>
            <w:tcW w:w="1276" w:type="dxa"/>
            <w:vAlign w:val="center"/>
          </w:tcPr>
          <w:p w14:paraId="5B175171">
            <w:pPr>
              <w:pStyle w:val="12"/>
            </w:pPr>
            <w:r>
              <w:t>城乡义务教育公共经费</w:t>
            </w:r>
          </w:p>
        </w:tc>
      </w:tr>
      <w:tr w14:paraId="39A5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7D935">
            <w:pPr>
              <w:pStyle w:val="13"/>
            </w:pPr>
            <w:r>
              <w:t>效益指标</w:t>
            </w:r>
          </w:p>
        </w:tc>
        <w:tc>
          <w:tcPr>
            <w:tcW w:w="2268" w:type="dxa"/>
            <w:vAlign w:val="center"/>
          </w:tcPr>
          <w:p w14:paraId="7170F187">
            <w:pPr>
              <w:pStyle w:val="12"/>
            </w:pPr>
            <w:r>
              <w:t>可持续影响指标</w:t>
            </w:r>
          </w:p>
        </w:tc>
        <w:tc>
          <w:tcPr>
            <w:tcW w:w="2835" w:type="dxa"/>
            <w:vAlign w:val="center"/>
          </w:tcPr>
          <w:p w14:paraId="1659B0FF">
            <w:pPr>
              <w:pStyle w:val="12"/>
            </w:pPr>
            <w:r>
              <w:t>学校运转得到提高</w:t>
            </w:r>
          </w:p>
        </w:tc>
        <w:tc>
          <w:tcPr>
            <w:tcW w:w="5386" w:type="dxa"/>
            <w:vAlign w:val="center"/>
          </w:tcPr>
          <w:p w14:paraId="0EA814C0">
            <w:pPr>
              <w:pStyle w:val="12"/>
            </w:pPr>
            <w:r>
              <w:t>学生受教育年限</w:t>
            </w:r>
          </w:p>
        </w:tc>
        <w:tc>
          <w:tcPr>
            <w:tcW w:w="2268" w:type="dxa"/>
            <w:vAlign w:val="center"/>
          </w:tcPr>
          <w:p w14:paraId="3F639193">
            <w:pPr>
              <w:pStyle w:val="12"/>
            </w:pPr>
            <w:r>
              <w:t>3年</w:t>
            </w:r>
          </w:p>
        </w:tc>
        <w:tc>
          <w:tcPr>
            <w:tcW w:w="1276" w:type="dxa"/>
            <w:vAlign w:val="center"/>
          </w:tcPr>
          <w:p w14:paraId="3CB52177">
            <w:pPr>
              <w:pStyle w:val="12"/>
            </w:pPr>
            <w:r>
              <w:t>城乡义务教育公共经费</w:t>
            </w:r>
          </w:p>
        </w:tc>
      </w:tr>
      <w:tr w14:paraId="2C5B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F00DC">
            <w:pPr>
              <w:pStyle w:val="13"/>
            </w:pPr>
            <w:r>
              <w:t>满意度指标</w:t>
            </w:r>
          </w:p>
        </w:tc>
        <w:tc>
          <w:tcPr>
            <w:tcW w:w="2268" w:type="dxa"/>
            <w:vAlign w:val="center"/>
          </w:tcPr>
          <w:p w14:paraId="4D213790">
            <w:pPr>
              <w:pStyle w:val="12"/>
            </w:pPr>
            <w:r>
              <w:t>服务对象满意度指标</w:t>
            </w:r>
          </w:p>
        </w:tc>
        <w:tc>
          <w:tcPr>
            <w:tcW w:w="2835" w:type="dxa"/>
            <w:vAlign w:val="center"/>
          </w:tcPr>
          <w:p w14:paraId="576145F8">
            <w:pPr>
              <w:pStyle w:val="12"/>
            </w:pPr>
            <w:r>
              <w:t>受益学生家长及调查满意度</w:t>
            </w:r>
          </w:p>
        </w:tc>
        <w:tc>
          <w:tcPr>
            <w:tcW w:w="5386" w:type="dxa"/>
            <w:vAlign w:val="center"/>
          </w:tcPr>
          <w:p w14:paraId="4B5798DC">
            <w:pPr>
              <w:pStyle w:val="12"/>
            </w:pPr>
            <w:r>
              <w:t>学生、教师及家长对学校教学环境满意度情况</w:t>
            </w:r>
          </w:p>
        </w:tc>
        <w:tc>
          <w:tcPr>
            <w:tcW w:w="2268" w:type="dxa"/>
            <w:vAlign w:val="center"/>
          </w:tcPr>
          <w:p w14:paraId="5E628A71">
            <w:pPr>
              <w:pStyle w:val="12"/>
            </w:pPr>
            <w:r>
              <w:t>≥98%</w:t>
            </w:r>
          </w:p>
        </w:tc>
        <w:tc>
          <w:tcPr>
            <w:tcW w:w="1276" w:type="dxa"/>
            <w:vAlign w:val="center"/>
          </w:tcPr>
          <w:p w14:paraId="66C7E931">
            <w:pPr>
              <w:pStyle w:val="12"/>
            </w:pPr>
            <w:r>
              <w:t>问卷调查</w:t>
            </w:r>
          </w:p>
        </w:tc>
      </w:tr>
    </w:tbl>
    <w:p w14:paraId="139AF816">
      <w:pPr>
        <w:sectPr>
          <w:pgSz w:w="16840" w:h="11900" w:orient="landscape"/>
          <w:pgMar w:top="1361" w:right="1020" w:bottom="1134" w:left="1020" w:header="720" w:footer="720" w:gutter="0"/>
          <w:cols w:space="720" w:num="1"/>
        </w:sectPr>
      </w:pPr>
    </w:p>
    <w:p w14:paraId="4D3DABDE">
      <w:pPr>
        <w:spacing w:before="0" w:after="0"/>
        <w:ind w:firstLine="560"/>
        <w:jc w:val="left"/>
        <w:outlineLvl w:val="9"/>
      </w:pPr>
      <w:r>
        <w:rPr>
          <w:rFonts w:ascii="方正仿宋_GBK" w:hAnsi="方正仿宋_GBK" w:eastAsia="方正仿宋_GBK" w:cs="方正仿宋_GBK"/>
          <w:b/>
          <w:color w:val="000000"/>
          <w:sz w:val="28"/>
        </w:rPr>
        <w:t>5、县级配套/东良中学公用经费绩效目标表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17B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4E93C">
            <w:pPr>
              <w:pStyle w:val="11"/>
            </w:pPr>
            <w:r>
              <w:t>单位：万元</w:t>
            </w:r>
          </w:p>
        </w:tc>
      </w:tr>
      <w:tr w14:paraId="7B13E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024D8">
            <w:pPr>
              <w:pStyle w:val="10"/>
            </w:pPr>
            <w:r>
              <w:t>项目编码</w:t>
            </w:r>
          </w:p>
        </w:tc>
        <w:tc>
          <w:tcPr>
            <w:tcW w:w="5103" w:type="dxa"/>
            <w:gridSpan w:val="2"/>
            <w:vAlign w:val="center"/>
          </w:tcPr>
          <w:p w14:paraId="3F53BB55">
            <w:pPr>
              <w:pStyle w:val="12"/>
            </w:pPr>
            <w:r>
              <w:t>13052526P00000410407W</w:t>
            </w:r>
          </w:p>
        </w:tc>
        <w:tc>
          <w:tcPr>
            <w:tcW w:w="2835" w:type="dxa"/>
            <w:vAlign w:val="center"/>
          </w:tcPr>
          <w:p w14:paraId="0EFDF3F6">
            <w:pPr>
              <w:pStyle w:val="10"/>
            </w:pPr>
            <w:r>
              <w:t>项目名称</w:t>
            </w:r>
          </w:p>
        </w:tc>
        <w:tc>
          <w:tcPr>
            <w:tcW w:w="6095" w:type="dxa"/>
            <w:gridSpan w:val="3"/>
            <w:vAlign w:val="center"/>
          </w:tcPr>
          <w:p w14:paraId="4A95069F">
            <w:pPr>
              <w:pStyle w:val="12"/>
            </w:pPr>
            <w:r>
              <w:t>县级配套/东良中学公用经费</w:t>
            </w:r>
          </w:p>
        </w:tc>
      </w:tr>
      <w:tr w14:paraId="58038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FA845">
            <w:pPr>
              <w:pStyle w:val="10"/>
            </w:pPr>
            <w:r>
              <w:t>预算规模及资金用途</w:t>
            </w:r>
          </w:p>
        </w:tc>
        <w:tc>
          <w:tcPr>
            <w:tcW w:w="2268" w:type="dxa"/>
            <w:vAlign w:val="center"/>
          </w:tcPr>
          <w:p w14:paraId="75B2BDC8">
            <w:pPr>
              <w:pStyle w:val="10"/>
            </w:pPr>
            <w:r>
              <w:t>预算数</w:t>
            </w:r>
          </w:p>
        </w:tc>
        <w:tc>
          <w:tcPr>
            <w:tcW w:w="2835" w:type="dxa"/>
            <w:vAlign w:val="center"/>
          </w:tcPr>
          <w:p w14:paraId="660DCAA8">
            <w:pPr>
              <w:pStyle w:val="12"/>
            </w:pPr>
            <w:r>
              <w:t>14.85</w:t>
            </w:r>
          </w:p>
        </w:tc>
        <w:tc>
          <w:tcPr>
            <w:tcW w:w="2835" w:type="dxa"/>
            <w:vAlign w:val="center"/>
          </w:tcPr>
          <w:p w14:paraId="7ECA5C6B">
            <w:pPr>
              <w:pStyle w:val="10"/>
            </w:pPr>
            <w:r>
              <w:t>其中：财政    资金</w:t>
            </w:r>
          </w:p>
        </w:tc>
        <w:tc>
          <w:tcPr>
            <w:tcW w:w="2551" w:type="dxa"/>
            <w:vAlign w:val="center"/>
          </w:tcPr>
          <w:p w14:paraId="1FF1F0D3">
            <w:pPr>
              <w:pStyle w:val="12"/>
            </w:pPr>
            <w:r>
              <w:t>14.85</w:t>
            </w:r>
          </w:p>
        </w:tc>
        <w:tc>
          <w:tcPr>
            <w:tcW w:w="2268" w:type="dxa"/>
            <w:vAlign w:val="center"/>
          </w:tcPr>
          <w:p w14:paraId="36CEC37D">
            <w:pPr>
              <w:pStyle w:val="10"/>
            </w:pPr>
            <w:r>
              <w:t>其他资金</w:t>
            </w:r>
          </w:p>
        </w:tc>
        <w:tc>
          <w:tcPr>
            <w:tcW w:w="1276" w:type="dxa"/>
            <w:vAlign w:val="center"/>
          </w:tcPr>
          <w:p w14:paraId="0F1EF66E">
            <w:pPr>
              <w:pStyle w:val="12"/>
            </w:pPr>
            <w:r>
              <w:t xml:space="preserve"> </w:t>
            </w:r>
          </w:p>
        </w:tc>
      </w:tr>
      <w:tr w14:paraId="4ECEE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31CBD"/>
        </w:tc>
        <w:tc>
          <w:tcPr>
            <w:tcW w:w="14033" w:type="dxa"/>
            <w:gridSpan w:val="6"/>
            <w:vAlign w:val="center"/>
          </w:tcPr>
          <w:p w14:paraId="28A2088B">
            <w:pPr>
              <w:pStyle w:val="12"/>
            </w:pPr>
            <w:r>
              <w:t>保障义务教育学校正常运转，完成教育教学活动和其他日常工作任务等方面的费用支出。</w:t>
            </w:r>
            <w:r>
              <w:tab/>
            </w:r>
            <w:r>
              <w:tab/>
            </w:r>
            <w:r>
              <w:tab/>
            </w:r>
            <w:r>
              <w:tab/>
            </w:r>
            <w:r>
              <w:tab/>
            </w:r>
            <w:r>
              <w:tab/>
            </w:r>
          </w:p>
          <w:p w14:paraId="376E749A">
            <w:pPr>
              <w:pStyle w:val="12"/>
            </w:pPr>
          </w:p>
        </w:tc>
      </w:tr>
      <w:tr w14:paraId="23B10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FFC18">
            <w:pPr>
              <w:pStyle w:val="10"/>
            </w:pPr>
            <w:r>
              <w:t>资金支出计划（%）</w:t>
            </w:r>
          </w:p>
        </w:tc>
        <w:tc>
          <w:tcPr>
            <w:tcW w:w="5103" w:type="dxa"/>
            <w:gridSpan w:val="2"/>
            <w:vAlign w:val="center"/>
          </w:tcPr>
          <w:p w14:paraId="0A375C0F">
            <w:pPr>
              <w:pStyle w:val="10"/>
            </w:pPr>
            <w:r>
              <w:t>3月底</w:t>
            </w:r>
          </w:p>
        </w:tc>
        <w:tc>
          <w:tcPr>
            <w:tcW w:w="2835" w:type="dxa"/>
            <w:vAlign w:val="center"/>
          </w:tcPr>
          <w:p w14:paraId="54120070">
            <w:pPr>
              <w:pStyle w:val="10"/>
            </w:pPr>
            <w:r>
              <w:t>6月底</w:t>
            </w:r>
          </w:p>
        </w:tc>
        <w:tc>
          <w:tcPr>
            <w:tcW w:w="2551" w:type="dxa"/>
            <w:vAlign w:val="center"/>
          </w:tcPr>
          <w:p w14:paraId="21164C27">
            <w:pPr>
              <w:pStyle w:val="10"/>
            </w:pPr>
            <w:r>
              <w:t>10月底</w:t>
            </w:r>
          </w:p>
        </w:tc>
        <w:tc>
          <w:tcPr>
            <w:tcW w:w="3544" w:type="dxa"/>
            <w:gridSpan w:val="2"/>
            <w:vAlign w:val="center"/>
          </w:tcPr>
          <w:p w14:paraId="628D8AE7">
            <w:pPr>
              <w:pStyle w:val="10"/>
            </w:pPr>
            <w:r>
              <w:t>12月底</w:t>
            </w:r>
          </w:p>
        </w:tc>
      </w:tr>
      <w:tr w14:paraId="62EEF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BF32E"/>
        </w:tc>
        <w:tc>
          <w:tcPr>
            <w:tcW w:w="5103" w:type="dxa"/>
            <w:gridSpan w:val="2"/>
            <w:vAlign w:val="center"/>
          </w:tcPr>
          <w:p w14:paraId="7F6EF801">
            <w:pPr>
              <w:pStyle w:val="13"/>
            </w:pPr>
            <w:r>
              <w:t>25%</w:t>
            </w:r>
          </w:p>
        </w:tc>
        <w:tc>
          <w:tcPr>
            <w:tcW w:w="2835" w:type="dxa"/>
            <w:vAlign w:val="center"/>
          </w:tcPr>
          <w:p w14:paraId="1A94F7FC">
            <w:pPr>
              <w:pStyle w:val="13"/>
            </w:pPr>
            <w:r>
              <w:t>50%</w:t>
            </w:r>
          </w:p>
        </w:tc>
        <w:tc>
          <w:tcPr>
            <w:tcW w:w="2551" w:type="dxa"/>
            <w:vAlign w:val="center"/>
          </w:tcPr>
          <w:p w14:paraId="3E8187BB">
            <w:pPr>
              <w:pStyle w:val="13"/>
            </w:pPr>
            <w:r>
              <w:t>75%</w:t>
            </w:r>
          </w:p>
        </w:tc>
        <w:tc>
          <w:tcPr>
            <w:tcW w:w="3544" w:type="dxa"/>
            <w:gridSpan w:val="2"/>
            <w:vAlign w:val="center"/>
          </w:tcPr>
          <w:p w14:paraId="0CB5D952">
            <w:pPr>
              <w:pStyle w:val="13"/>
            </w:pPr>
            <w:r>
              <w:t>100%</w:t>
            </w:r>
          </w:p>
        </w:tc>
      </w:tr>
      <w:tr w14:paraId="31352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5CD24">
            <w:pPr>
              <w:pStyle w:val="10"/>
            </w:pPr>
            <w:r>
              <w:t>绩效目标</w:t>
            </w:r>
          </w:p>
        </w:tc>
        <w:tc>
          <w:tcPr>
            <w:tcW w:w="14033" w:type="dxa"/>
            <w:gridSpan w:val="6"/>
            <w:vAlign w:val="center"/>
          </w:tcPr>
          <w:p w14:paraId="74143461">
            <w:pPr>
              <w:pStyle w:val="12"/>
            </w:pPr>
            <w:r>
              <w:t>1.保障义务教育学校正常运转，完成教育教学活动和其他日常工作任务等方面的费用支出。</w:t>
            </w:r>
          </w:p>
          <w:p w14:paraId="0072EC4D">
            <w:pPr>
              <w:pStyle w:val="12"/>
            </w:pPr>
            <w:r>
              <w:t>2. 按规定拨付公用经费资金148540元，资金拨付率达到100%。</w:t>
            </w:r>
          </w:p>
        </w:tc>
      </w:tr>
    </w:tbl>
    <w:p w14:paraId="1B9423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6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552AD">
            <w:pPr>
              <w:pStyle w:val="10"/>
            </w:pPr>
            <w:r>
              <w:t>一级指标</w:t>
            </w:r>
          </w:p>
        </w:tc>
        <w:tc>
          <w:tcPr>
            <w:tcW w:w="2268" w:type="dxa"/>
            <w:vAlign w:val="center"/>
          </w:tcPr>
          <w:p w14:paraId="5591FE5A">
            <w:pPr>
              <w:pStyle w:val="10"/>
            </w:pPr>
            <w:r>
              <w:t>二级指标</w:t>
            </w:r>
          </w:p>
        </w:tc>
        <w:tc>
          <w:tcPr>
            <w:tcW w:w="2835" w:type="dxa"/>
            <w:vAlign w:val="center"/>
          </w:tcPr>
          <w:p w14:paraId="163AAE49">
            <w:pPr>
              <w:pStyle w:val="10"/>
            </w:pPr>
            <w:r>
              <w:t>三级指标</w:t>
            </w:r>
          </w:p>
        </w:tc>
        <w:tc>
          <w:tcPr>
            <w:tcW w:w="5386" w:type="dxa"/>
            <w:vAlign w:val="center"/>
          </w:tcPr>
          <w:p w14:paraId="0ED30711">
            <w:pPr>
              <w:pStyle w:val="10"/>
            </w:pPr>
            <w:r>
              <w:t>绩效指标描述</w:t>
            </w:r>
          </w:p>
        </w:tc>
        <w:tc>
          <w:tcPr>
            <w:tcW w:w="2268" w:type="dxa"/>
            <w:vAlign w:val="center"/>
          </w:tcPr>
          <w:p w14:paraId="10293504">
            <w:pPr>
              <w:pStyle w:val="10"/>
            </w:pPr>
            <w:r>
              <w:t>指标值</w:t>
            </w:r>
          </w:p>
        </w:tc>
        <w:tc>
          <w:tcPr>
            <w:tcW w:w="1276" w:type="dxa"/>
            <w:vAlign w:val="center"/>
          </w:tcPr>
          <w:p w14:paraId="2C68A0B2">
            <w:pPr>
              <w:pStyle w:val="10"/>
            </w:pPr>
            <w:r>
              <w:t>指标值确定依据</w:t>
            </w:r>
          </w:p>
        </w:tc>
      </w:tr>
      <w:tr w14:paraId="6B85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1F50C">
            <w:pPr>
              <w:pStyle w:val="13"/>
            </w:pPr>
            <w:r>
              <w:t>产出指标</w:t>
            </w:r>
          </w:p>
        </w:tc>
        <w:tc>
          <w:tcPr>
            <w:tcW w:w="2268" w:type="dxa"/>
            <w:vAlign w:val="center"/>
          </w:tcPr>
          <w:p w14:paraId="5C6DFE12">
            <w:pPr>
              <w:pStyle w:val="12"/>
            </w:pPr>
            <w:r>
              <w:t>数量指标</w:t>
            </w:r>
          </w:p>
        </w:tc>
        <w:tc>
          <w:tcPr>
            <w:tcW w:w="2835" w:type="dxa"/>
            <w:vAlign w:val="center"/>
          </w:tcPr>
          <w:p w14:paraId="3EB0E7FC">
            <w:pPr>
              <w:pStyle w:val="12"/>
            </w:pPr>
            <w:r>
              <w:t>适龄在校生</w:t>
            </w:r>
          </w:p>
        </w:tc>
        <w:tc>
          <w:tcPr>
            <w:tcW w:w="5386" w:type="dxa"/>
            <w:vAlign w:val="center"/>
          </w:tcPr>
          <w:p w14:paraId="673A8FAD">
            <w:pPr>
              <w:pStyle w:val="12"/>
            </w:pPr>
            <w:r>
              <w:t>适龄在校就读学生人数</w:t>
            </w:r>
          </w:p>
        </w:tc>
        <w:tc>
          <w:tcPr>
            <w:tcW w:w="2268" w:type="dxa"/>
            <w:vAlign w:val="center"/>
          </w:tcPr>
          <w:p w14:paraId="65882931">
            <w:pPr>
              <w:pStyle w:val="12"/>
            </w:pPr>
            <w:r>
              <w:t>1085人</w:t>
            </w:r>
          </w:p>
        </w:tc>
        <w:tc>
          <w:tcPr>
            <w:tcW w:w="1276" w:type="dxa"/>
            <w:vAlign w:val="center"/>
          </w:tcPr>
          <w:p w14:paraId="7C196371">
            <w:pPr>
              <w:pStyle w:val="12"/>
            </w:pPr>
            <w:r>
              <w:t>城乡义务教育公用经费管理办法</w:t>
            </w:r>
          </w:p>
        </w:tc>
      </w:tr>
      <w:tr w14:paraId="1D5B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A1BCD"/>
        </w:tc>
        <w:tc>
          <w:tcPr>
            <w:tcW w:w="2268" w:type="dxa"/>
            <w:vAlign w:val="center"/>
          </w:tcPr>
          <w:p w14:paraId="631CBA30">
            <w:pPr>
              <w:pStyle w:val="12"/>
            </w:pPr>
            <w:r>
              <w:t>质量指标</w:t>
            </w:r>
          </w:p>
        </w:tc>
        <w:tc>
          <w:tcPr>
            <w:tcW w:w="2835" w:type="dxa"/>
            <w:vAlign w:val="center"/>
          </w:tcPr>
          <w:p w14:paraId="013E8CCD">
            <w:pPr>
              <w:pStyle w:val="12"/>
            </w:pPr>
            <w:r>
              <w:t>预算控制率</w:t>
            </w:r>
          </w:p>
        </w:tc>
        <w:tc>
          <w:tcPr>
            <w:tcW w:w="5386" w:type="dxa"/>
            <w:vAlign w:val="center"/>
          </w:tcPr>
          <w:p w14:paraId="008378DE">
            <w:pPr>
              <w:pStyle w:val="12"/>
            </w:pPr>
            <w:r>
              <w:t>预算执行率</w:t>
            </w:r>
          </w:p>
        </w:tc>
        <w:tc>
          <w:tcPr>
            <w:tcW w:w="2268" w:type="dxa"/>
            <w:vAlign w:val="center"/>
          </w:tcPr>
          <w:p w14:paraId="3A3AC7A6">
            <w:pPr>
              <w:pStyle w:val="12"/>
            </w:pPr>
            <w:r>
              <w:t>≥95%</w:t>
            </w:r>
          </w:p>
        </w:tc>
        <w:tc>
          <w:tcPr>
            <w:tcW w:w="1276" w:type="dxa"/>
            <w:vAlign w:val="center"/>
          </w:tcPr>
          <w:p w14:paraId="685B5A76">
            <w:pPr>
              <w:pStyle w:val="12"/>
            </w:pPr>
            <w:r>
              <w:t>城乡义务教育公用经费管理办法</w:t>
            </w:r>
          </w:p>
        </w:tc>
      </w:tr>
      <w:tr w14:paraId="218D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11FB4"/>
        </w:tc>
        <w:tc>
          <w:tcPr>
            <w:tcW w:w="2268" w:type="dxa"/>
            <w:vAlign w:val="center"/>
          </w:tcPr>
          <w:p w14:paraId="1A3A4DD6">
            <w:pPr>
              <w:pStyle w:val="12"/>
            </w:pPr>
            <w:r>
              <w:t>时效指标</w:t>
            </w:r>
          </w:p>
        </w:tc>
        <w:tc>
          <w:tcPr>
            <w:tcW w:w="2835" w:type="dxa"/>
            <w:vAlign w:val="center"/>
          </w:tcPr>
          <w:p w14:paraId="1DB2DBA1">
            <w:pPr>
              <w:pStyle w:val="12"/>
            </w:pPr>
            <w:r>
              <w:t>资金支付率</w:t>
            </w:r>
          </w:p>
        </w:tc>
        <w:tc>
          <w:tcPr>
            <w:tcW w:w="5386" w:type="dxa"/>
            <w:vAlign w:val="center"/>
          </w:tcPr>
          <w:p w14:paraId="03CB70AC">
            <w:pPr>
              <w:pStyle w:val="12"/>
            </w:pPr>
            <w:r>
              <w:t>按照序时进度完成资金支付</w:t>
            </w:r>
          </w:p>
        </w:tc>
        <w:tc>
          <w:tcPr>
            <w:tcW w:w="2268" w:type="dxa"/>
            <w:vAlign w:val="center"/>
          </w:tcPr>
          <w:p w14:paraId="6E67E313">
            <w:pPr>
              <w:pStyle w:val="12"/>
            </w:pPr>
            <w:r>
              <w:t>100%</w:t>
            </w:r>
          </w:p>
        </w:tc>
        <w:tc>
          <w:tcPr>
            <w:tcW w:w="1276" w:type="dxa"/>
            <w:vAlign w:val="center"/>
          </w:tcPr>
          <w:p w14:paraId="545B0D0B">
            <w:pPr>
              <w:pStyle w:val="12"/>
            </w:pPr>
            <w:r>
              <w:t>城乡义务教育公用经费管理办法</w:t>
            </w:r>
          </w:p>
        </w:tc>
      </w:tr>
      <w:tr w14:paraId="2125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57A8A"/>
        </w:tc>
        <w:tc>
          <w:tcPr>
            <w:tcW w:w="2268" w:type="dxa"/>
            <w:vAlign w:val="center"/>
          </w:tcPr>
          <w:p w14:paraId="0CF5B854">
            <w:pPr>
              <w:pStyle w:val="12"/>
            </w:pPr>
            <w:r>
              <w:t>成本指标</w:t>
            </w:r>
          </w:p>
        </w:tc>
        <w:tc>
          <w:tcPr>
            <w:tcW w:w="2835" w:type="dxa"/>
            <w:vAlign w:val="center"/>
          </w:tcPr>
          <w:p w14:paraId="09934F05">
            <w:pPr>
              <w:pStyle w:val="12"/>
            </w:pPr>
            <w:r>
              <w:t>生均拨款标准</w:t>
            </w:r>
          </w:p>
        </w:tc>
        <w:tc>
          <w:tcPr>
            <w:tcW w:w="5386" w:type="dxa"/>
            <w:vAlign w:val="center"/>
          </w:tcPr>
          <w:p w14:paraId="68201A11">
            <w:pPr>
              <w:pStyle w:val="12"/>
            </w:pPr>
            <w:r>
              <w:t>初中：（基本标准940元、寄宿生300元、取暖费120元）/生/学年；随班就读学生：标准7000元/生/学年）</w:t>
            </w:r>
          </w:p>
        </w:tc>
        <w:tc>
          <w:tcPr>
            <w:tcW w:w="2268" w:type="dxa"/>
            <w:vAlign w:val="center"/>
          </w:tcPr>
          <w:p w14:paraId="4A5DE490">
            <w:pPr>
              <w:pStyle w:val="12"/>
            </w:pPr>
            <w:r>
              <w:t>1360元</w:t>
            </w:r>
          </w:p>
        </w:tc>
        <w:tc>
          <w:tcPr>
            <w:tcW w:w="1276" w:type="dxa"/>
            <w:vAlign w:val="center"/>
          </w:tcPr>
          <w:p w14:paraId="40BCA25F">
            <w:pPr>
              <w:pStyle w:val="12"/>
            </w:pPr>
            <w:r>
              <w:t>城乡义务教育公用经费管理办法</w:t>
            </w:r>
          </w:p>
        </w:tc>
      </w:tr>
      <w:tr w14:paraId="760B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B55E4">
            <w:pPr>
              <w:pStyle w:val="13"/>
            </w:pPr>
            <w:r>
              <w:t>效益指标</w:t>
            </w:r>
          </w:p>
        </w:tc>
        <w:tc>
          <w:tcPr>
            <w:tcW w:w="2268" w:type="dxa"/>
            <w:vAlign w:val="center"/>
          </w:tcPr>
          <w:p w14:paraId="6E23AF7E">
            <w:pPr>
              <w:pStyle w:val="12"/>
            </w:pPr>
            <w:r>
              <w:t>可持续影响指标</w:t>
            </w:r>
          </w:p>
        </w:tc>
        <w:tc>
          <w:tcPr>
            <w:tcW w:w="2835" w:type="dxa"/>
            <w:vAlign w:val="center"/>
          </w:tcPr>
          <w:p w14:paraId="73F975D5">
            <w:pPr>
              <w:pStyle w:val="12"/>
            </w:pPr>
            <w:r>
              <w:t>学校日常运转正常</w:t>
            </w:r>
          </w:p>
        </w:tc>
        <w:tc>
          <w:tcPr>
            <w:tcW w:w="5386" w:type="dxa"/>
            <w:vAlign w:val="center"/>
          </w:tcPr>
          <w:p w14:paraId="08D65E23">
            <w:pPr>
              <w:pStyle w:val="12"/>
            </w:pPr>
            <w:r>
              <w:t>学生受教育年限</w:t>
            </w:r>
          </w:p>
        </w:tc>
        <w:tc>
          <w:tcPr>
            <w:tcW w:w="2268" w:type="dxa"/>
            <w:vAlign w:val="center"/>
          </w:tcPr>
          <w:p w14:paraId="4FF76D2C">
            <w:pPr>
              <w:pStyle w:val="12"/>
            </w:pPr>
            <w:r>
              <w:t>3年</w:t>
            </w:r>
          </w:p>
        </w:tc>
        <w:tc>
          <w:tcPr>
            <w:tcW w:w="1276" w:type="dxa"/>
            <w:vAlign w:val="center"/>
          </w:tcPr>
          <w:p w14:paraId="0A15AFAF">
            <w:pPr>
              <w:pStyle w:val="12"/>
            </w:pPr>
            <w:r>
              <w:t>城乡义务教育公用经费管理办法</w:t>
            </w:r>
          </w:p>
        </w:tc>
      </w:tr>
      <w:tr w14:paraId="4151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A97DB">
            <w:pPr>
              <w:pStyle w:val="13"/>
            </w:pPr>
            <w:r>
              <w:t>满意度指标</w:t>
            </w:r>
          </w:p>
        </w:tc>
        <w:tc>
          <w:tcPr>
            <w:tcW w:w="2268" w:type="dxa"/>
            <w:vAlign w:val="center"/>
          </w:tcPr>
          <w:p w14:paraId="666341E4">
            <w:pPr>
              <w:pStyle w:val="12"/>
            </w:pPr>
            <w:r>
              <w:t>服务对象满意度指标</w:t>
            </w:r>
          </w:p>
        </w:tc>
        <w:tc>
          <w:tcPr>
            <w:tcW w:w="2835" w:type="dxa"/>
            <w:vAlign w:val="center"/>
          </w:tcPr>
          <w:p w14:paraId="697B465E">
            <w:pPr>
              <w:pStyle w:val="12"/>
            </w:pPr>
            <w:r>
              <w:t>服务对象满意度</w:t>
            </w:r>
          </w:p>
        </w:tc>
        <w:tc>
          <w:tcPr>
            <w:tcW w:w="5386" w:type="dxa"/>
            <w:vAlign w:val="center"/>
          </w:tcPr>
          <w:p w14:paraId="7D754B56">
            <w:pPr>
              <w:pStyle w:val="12"/>
            </w:pPr>
            <w:r>
              <w:t>学校老师和学生满意度</w:t>
            </w:r>
          </w:p>
        </w:tc>
        <w:tc>
          <w:tcPr>
            <w:tcW w:w="2268" w:type="dxa"/>
            <w:vAlign w:val="center"/>
          </w:tcPr>
          <w:p w14:paraId="7B30DC09">
            <w:pPr>
              <w:pStyle w:val="12"/>
            </w:pPr>
            <w:r>
              <w:t>≥95%</w:t>
            </w:r>
          </w:p>
        </w:tc>
        <w:tc>
          <w:tcPr>
            <w:tcW w:w="1276" w:type="dxa"/>
            <w:vAlign w:val="center"/>
          </w:tcPr>
          <w:p w14:paraId="779857A5">
            <w:pPr>
              <w:pStyle w:val="12"/>
            </w:pPr>
            <w:r>
              <w:t>调查问卷</w:t>
            </w:r>
          </w:p>
        </w:tc>
      </w:tr>
    </w:tbl>
    <w:p w14:paraId="4C8A8935">
      <w:pPr>
        <w:sectPr>
          <w:pgSz w:w="16840" w:h="11900" w:orient="landscape"/>
          <w:pgMar w:top="1361" w:right="1020" w:bottom="1134" w:left="1020" w:header="720" w:footer="720" w:gutter="0"/>
          <w:cols w:space="720" w:num="1"/>
        </w:sectPr>
      </w:pPr>
    </w:p>
    <w:p w14:paraId="53BC450F">
      <w:pPr>
        <w:spacing w:before="10" w:after="10" w:line="240" w:lineRule="auto"/>
        <w:ind w:firstLine="640"/>
        <w:jc w:val="left"/>
        <w:outlineLvl w:val="5"/>
      </w:pPr>
      <w:r>
        <w:rPr>
          <w:rFonts w:ascii="黑体" w:hAnsi="黑体" w:eastAsia="黑体" w:cs="黑体"/>
          <w:color w:val="000000"/>
          <w:sz w:val="32"/>
        </w:rPr>
        <w:t>六、政府采购预算情况</w:t>
      </w:r>
    </w:p>
    <w:p w14:paraId="019E8BB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DE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2C2BC2">
            <w:pPr>
              <w:pStyle w:val="9"/>
            </w:pPr>
            <w:r>
              <w:t>360006隆尧县东良中学</w:t>
            </w:r>
          </w:p>
        </w:tc>
        <w:tc>
          <w:tcPr>
            <w:tcW w:w="8676" w:type="dxa"/>
            <w:gridSpan w:val="9"/>
            <w:tcBorders>
              <w:top w:val="single" w:color="FFFFFF" w:sz="6" w:space="0"/>
              <w:left w:val="single" w:color="FFFFFF" w:sz="6" w:space="0"/>
              <w:right w:val="single" w:color="FFFFFF" w:sz="6" w:space="0"/>
            </w:tcBorders>
            <w:vAlign w:val="center"/>
          </w:tcPr>
          <w:p w14:paraId="4DEE8270">
            <w:pPr>
              <w:pStyle w:val="21"/>
            </w:pPr>
            <w:r>
              <w:t>单位：万元</w:t>
            </w:r>
          </w:p>
        </w:tc>
      </w:tr>
      <w:tr w14:paraId="7026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991E24">
            <w:pPr>
              <w:pStyle w:val="10"/>
            </w:pPr>
            <w:r>
              <w:t>政府采购项目来源</w:t>
            </w:r>
          </w:p>
        </w:tc>
        <w:tc>
          <w:tcPr>
            <w:tcW w:w="1134" w:type="dxa"/>
            <w:vMerge w:val="restart"/>
            <w:vAlign w:val="center"/>
          </w:tcPr>
          <w:p w14:paraId="2DAE3722">
            <w:pPr>
              <w:pStyle w:val="10"/>
            </w:pPr>
            <w:r>
              <w:t>采购物品名称</w:t>
            </w:r>
          </w:p>
        </w:tc>
        <w:tc>
          <w:tcPr>
            <w:tcW w:w="1134" w:type="dxa"/>
            <w:vMerge w:val="restart"/>
            <w:vAlign w:val="center"/>
          </w:tcPr>
          <w:p w14:paraId="1E265991">
            <w:pPr>
              <w:pStyle w:val="10"/>
            </w:pPr>
            <w:r>
              <w:t>政府采购目录序号</w:t>
            </w:r>
          </w:p>
        </w:tc>
        <w:tc>
          <w:tcPr>
            <w:tcW w:w="709" w:type="dxa"/>
            <w:vMerge w:val="restart"/>
            <w:vAlign w:val="center"/>
          </w:tcPr>
          <w:p w14:paraId="6646745B">
            <w:pPr>
              <w:pStyle w:val="10"/>
            </w:pPr>
            <w:r>
              <w:t>计量  单位</w:t>
            </w:r>
          </w:p>
        </w:tc>
        <w:tc>
          <w:tcPr>
            <w:tcW w:w="850" w:type="dxa"/>
            <w:vMerge w:val="restart"/>
            <w:vAlign w:val="center"/>
          </w:tcPr>
          <w:p w14:paraId="3C7F29F8">
            <w:pPr>
              <w:pStyle w:val="10"/>
            </w:pPr>
            <w:r>
              <w:t>数量</w:t>
            </w:r>
          </w:p>
        </w:tc>
        <w:tc>
          <w:tcPr>
            <w:tcW w:w="850" w:type="dxa"/>
            <w:vMerge w:val="restart"/>
            <w:vAlign w:val="center"/>
          </w:tcPr>
          <w:p w14:paraId="15DFAD04">
            <w:pPr>
              <w:pStyle w:val="10"/>
            </w:pPr>
            <w:r>
              <w:t>单价</w:t>
            </w:r>
          </w:p>
        </w:tc>
        <w:tc>
          <w:tcPr>
            <w:tcW w:w="7712" w:type="dxa"/>
            <w:gridSpan w:val="8"/>
            <w:vAlign w:val="center"/>
          </w:tcPr>
          <w:p w14:paraId="646658E0">
            <w:pPr>
              <w:pStyle w:val="10"/>
            </w:pPr>
            <w:r>
              <w:t>政府采购金额（当年部门预算安排资金）</w:t>
            </w:r>
          </w:p>
        </w:tc>
        <w:tc>
          <w:tcPr>
            <w:tcW w:w="964" w:type="dxa"/>
            <w:vMerge w:val="restart"/>
            <w:vAlign w:val="center"/>
          </w:tcPr>
          <w:p w14:paraId="7228713C">
            <w:pPr>
              <w:pStyle w:val="10"/>
            </w:pPr>
            <w:r>
              <w:t>2026年  预留中  小微企  业份额</w:t>
            </w:r>
          </w:p>
        </w:tc>
      </w:tr>
      <w:tr w14:paraId="6A44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A4EDC35">
            <w:pPr>
              <w:pStyle w:val="10"/>
            </w:pPr>
            <w:r>
              <w:t>项目名称</w:t>
            </w:r>
          </w:p>
        </w:tc>
        <w:tc>
          <w:tcPr>
            <w:tcW w:w="964" w:type="dxa"/>
            <w:vAlign w:val="center"/>
          </w:tcPr>
          <w:p w14:paraId="69A61404">
            <w:pPr>
              <w:pStyle w:val="10"/>
            </w:pPr>
            <w:r>
              <w:t>预算    资金</w:t>
            </w:r>
          </w:p>
        </w:tc>
        <w:tc>
          <w:tcPr>
            <w:tcW w:w="1134" w:type="dxa"/>
            <w:vMerge w:val="continue"/>
          </w:tcPr>
          <w:p w14:paraId="7D31F3AB"/>
        </w:tc>
        <w:tc>
          <w:tcPr>
            <w:tcW w:w="1134" w:type="dxa"/>
            <w:vMerge w:val="continue"/>
          </w:tcPr>
          <w:p w14:paraId="3BBA19E1"/>
        </w:tc>
        <w:tc>
          <w:tcPr>
            <w:tcW w:w="709" w:type="dxa"/>
            <w:vMerge w:val="continue"/>
          </w:tcPr>
          <w:p w14:paraId="3D4F55F9"/>
        </w:tc>
        <w:tc>
          <w:tcPr>
            <w:tcW w:w="850" w:type="dxa"/>
            <w:vMerge w:val="continue"/>
          </w:tcPr>
          <w:p w14:paraId="280C434D"/>
        </w:tc>
        <w:tc>
          <w:tcPr>
            <w:tcW w:w="850" w:type="dxa"/>
            <w:vMerge w:val="continue"/>
          </w:tcPr>
          <w:p w14:paraId="182384F9"/>
        </w:tc>
        <w:tc>
          <w:tcPr>
            <w:tcW w:w="964" w:type="dxa"/>
            <w:vAlign w:val="center"/>
          </w:tcPr>
          <w:p w14:paraId="40F79010">
            <w:pPr>
              <w:pStyle w:val="10"/>
            </w:pPr>
            <w:r>
              <w:t>合计</w:t>
            </w:r>
          </w:p>
        </w:tc>
        <w:tc>
          <w:tcPr>
            <w:tcW w:w="964" w:type="dxa"/>
            <w:vAlign w:val="center"/>
          </w:tcPr>
          <w:p w14:paraId="51C25226">
            <w:pPr>
              <w:pStyle w:val="10"/>
            </w:pPr>
            <w:r>
              <w:t>一般公共预算拨款</w:t>
            </w:r>
          </w:p>
        </w:tc>
        <w:tc>
          <w:tcPr>
            <w:tcW w:w="964" w:type="dxa"/>
            <w:vAlign w:val="center"/>
          </w:tcPr>
          <w:p w14:paraId="2F1F5BAB">
            <w:pPr>
              <w:pStyle w:val="10"/>
            </w:pPr>
            <w:r>
              <w:t>基金预算拨款</w:t>
            </w:r>
          </w:p>
        </w:tc>
        <w:tc>
          <w:tcPr>
            <w:tcW w:w="964" w:type="dxa"/>
            <w:vAlign w:val="center"/>
          </w:tcPr>
          <w:p w14:paraId="1BEF5BE9">
            <w:pPr>
              <w:pStyle w:val="10"/>
            </w:pPr>
            <w:r>
              <w:t>国有资本经营预算拨款</w:t>
            </w:r>
          </w:p>
        </w:tc>
        <w:tc>
          <w:tcPr>
            <w:tcW w:w="964" w:type="dxa"/>
            <w:vAlign w:val="center"/>
          </w:tcPr>
          <w:p w14:paraId="3A6564A1">
            <w:pPr>
              <w:pStyle w:val="10"/>
            </w:pPr>
            <w:r>
              <w:t>财政专户核拨</w:t>
            </w:r>
          </w:p>
        </w:tc>
        <w:tc>
          <w:tcPr>
            <w:tcW w:w="964" w:type="dxa"/>
            <w:vAlign w:val="center"/>
          </w:tcPr>
          <w:p w14:paraId="528A1FC4">
            <w:pPr>
              <w:pStyle w:val="10"/>
            </w:pPr>
            <w:r>
              <w:t>单位    资金</w:t>
            </w:r>
          </w:p>
        </w:tc>
        <w:tc>
          <w:tcPr>
            <w:tcW w:w="964" w:type="dxa"/>
            <w:vAlign w:val="center"/>
          </w:tcPr>
          <w:p w14:paraId="24364D23">
            <w:pPr>
              <w:pStyle w:val="10"/>
            </w:pPr>
            <w:r>
              <w:t>财政拨款结转</w:t>
            </w:r>
          </w:p>
        </w:tc>
        <w:tc>
          <w:tcPr>
            <w:tcW w:w="964" w:type="dxa"/>
            <w:vAlign w:val="center"/>
          </w:tcPr>
          <w:p w14:paraId="57276A02">
            <w:pPr>
              <w:pStyle w:val="10"/>
            </w:pPr>
            <w:r>
              <w:t>非财政拨款结余</w:t>
            </w:r>
          </w:p>
        </w:tc>
        <w:tc>
          <w:tcPr>
            <w:tcW w:w="964" w:type="dxa"/>
            <w:vMerge w:val="continue"/>
          </w:tcPr>
          <w:p w14:paraId="5E27C7E1"/>
        </w:tc>
      </w:tr>
      <w:tr w14:paraId="3B1F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380D99">
            <w:pPr>
              <w:pStyle w:val="14"/>
            </w:pPr>
            <w:r>
              <w:t>合  计</w:t>
            </w:r>
          </w:p>
        </w:tc>
        <w:tc>
          <w:tcPr>
            <w:tcW w:w="964" w:type="dxa"/>
            <w:vAlign w:val="center"/>
          </w:tcPr>
          <w:p w14:paraId="222D703F">
            <w:pPr>
              <w:pStyle w:val="15"/>
            </w:pPr>
          </w:p>
        </w:tc>
        <w:tc>
          <w:tcPr>
            <w:tcW w:w="1134" w:type="dxa"/>
            <w:vAlign w:val="center"/>
          </w:tcPr>
          <w:p w14:paraId="3C334F6E">
            <w:pPr>
              <w:pStyle w:val="16"/>
            </w:pPr>
          </w:p>
        </w:tc>
        <w:tc>
          <w:tcPr>
            <w:tcW w:w="1134" w:type="dxa"/>
            <w:vAlign w:val="center"/>
          </w:tcPr>
          <w:p w14:paraId="1A38EB49">
            <w:pPr>
              <w:pStyle w:val="16"/>
            </w:pPr>
          </w:p>
        </w:tc>
        <w:tc>
          <w:tcPr>
            <w:tcW w:w="709" w:type="dxa"/>
            <w:vAlign w:val="center"/>
          </w:tcPr>
          <w:p w14:paraId="53951859">
            <w:pPr>
              <w:pStyle w:val="14"/>
            </w:pPr>
          </w:p>
        </w:tc>
        <w:tc>
          <w:tcPr>
            <w:tcW w:w="850" w:type="dxa"/>
            <w:vAlign w:val="center"/>
          </w:tcPr>
          <w:p w14:paraId="68624347">
            <w:pPr>
              <w:pStyle w:val="15"/>
            </w:pPr>
          </w:p>
        </w:tc>
        <w:tc>
          <w:tcPr>
            <w:tcW w:w="850" w:type="dxa"/>
            <w:vAlign w:val="center"/>
          </w:tcPr>
          <w:p w14:paraId="2C621FE3">
            <w:pPr>
              <w:pStyle w:val="15"/>
            </w:pPr>
          </w:p>
        </w:tc>
        <w:tc>
          <w:tcPr>
            <w:tcW w:w="964" w:type="dxa"/>
            <w:vAlign w:val="center"/>
          </w:tcPr>
          <w:p w14:paraId="5B8D0547">
            <w:pPr>
              <w:pStyle w:val="15"/>
            </w:pPr>
            <w:r>
              <w:t>1.89</w:t>
            </w:r>
          </w:p>
        </w:tc>
        <w:tc>
          <w:tcPr>
            <w:tcW w:w="964" w:type="dxa"/>
            <w:vAlign w:val="center"/>
          </w:tcPr>
          <w:p w14:paraId="60E5615B">
            <w:pPr>
              <w:pStyle w:val="15"/>
            </w:pPr>
            <w:r>
              <w:t>1.89</w:t>
            </w:r>
          </w:p>
        </w:tc>
        <w:tc>
          <w:tcPr>
            <w:tcW w:w="964" w:type="dxa"/>
            <w:vAlign w:val="center"/>
          </w:tcPr>
          <w:p w14:paraId="24ADF655">
            <w:pPr>
              <w:pStyle w:val="15"/>
            </w:pPr>
          </w:p>
        </w:tc>
        <w:tc>
          <w:tcPr>
            <w:tcW w:w="964" w:type="dxa"/>
            <w:vAlign w:val="center"/>
          </w:tcPr>
          <w:p w14:paraId="3316ABD6">
            <w:pPr>
              <w:pStyle w:val="15"/>
            </w:pPr>
          </w:p>
        </w:tc>
        <w:tc>
          <w:tcPr>
            <w:tcW w:w="964" w:type="dxa"/>
            <w:vAlign w:val="center"/>
          </w:tcPr>
          <w:p w14:paraId="64F10DC8">
            <w:pPr>
              <w:pStyle w:val="15"/>
            </w:pPr>
          </w:p>
        </w:tc>
        <w:tc>
          <w:tcPr>
            <w:tcW w:w="964" w:type="dxa"/>
            <w:vAlign w:val="center"/>
          </w:tcPr>
          <w:p w14:paraId="790006B6">
            <w:pPr>
              <w:pStyle w:val="15"/>
            </w:pPr>
          </w:p>
        </w:tc>
        <w:tc>
          <w:tcPr>
            <w:tcW w:w="964" w:type="dxa"/>
            <w:vAlign w:val="center"/>
          </w:tcPr>
          <w:p w14:paraId="36EDD464">
            <w:pPr>
              <w:pStyle w:val="15"/>
            </w:pPr>
          </w:p>
        </w:tc>
        <w:tc>
          <w:tcPr>
            <w:tcW w:w="964" w:type="dxa"/>
            <w:vAlign w:val="center"/>
          </w:tcPr>
          <w:p w14:paraId="5FCD50AA">
            <w:pPr>
              <w:pStyle w:val="15"/>
            </w:pPr>
          </w:p>
        </w:tc>
        <w:tc>
          <w:tcPr>
            <w:tcW w:w="964" w:type="dxa"/>
            <w:vAlign w:val="center"/>
          </w:tcPr>
          <w:p w14:paraId="65492924">
            <w:pPr>
              <w:pStyle w:val="15"/>
            </w:pPr>
            <w:r>
              <w:t>1.89</w:t>
            </w:r>
          </w:p>
        </w:tc>
      </w:tr>
      <w:tr w14:paraId="237A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77743C">
            <w:pPr>
              <w:pStyle w:val="14"/>
            </w:pPr>
            <w:r>
              <w:t>隆尧县东良中学小计</w:t>
            </w:r>
          </w:p>
        </w:tc>
        <w:tc>
          <w:tcPr>
            <w:tcW w:w="964" w:type="dxa"/>
            <w:vAlign w:val="center"/>
          </w:tcPr>
          <w:p w14:paraId="4E47E6A5">
            <w:pPr>
              <w:pStyle w:val="15"/>
            </w:pPr>
          </w:p>
        </w:tc>
        <w:tc>
          <w:tcPr>
            <w:tcW w:w="1134" w:type="dxa"/>
            <w:vAlign w:val="center"/>
          </w:tcPr>
          <w:p w14:paraId="5B2F6A3D">
            <w:pPr>
              <w:pStyle w:val="16"/>
            </w:pPr>
          </w:p>
        </w:tc>
        <w:tc>
          <w:tcPr>
            <w:tcW w:w="1134" w:type="dxa"/>
            <w:vAlign w:val="center"/>
          </w:tcPr>
          <w:p w14:paraId="0886C56D">
            <w:pPr>
              <w:pStyle w:val="16"/>
            </w:pPr>
          </w:p>
        </w:tc>
        <w:tc>
          <w:tcPr>
            <w:tcW w:w="709" w:type="dxa"/>
            <w:vAlign w:val="center"/>
          </w:tcPr>
          <w:p w14:paraId="17E34706">
            <w:pPr>
              <w:pStyle w:val="14"/>
            </w:pPr>
          </w:p>
        </w:tc>
        <w:tc>
          <w:tcPr>
            <w:tcW w:w="850" w:type="dxa"/>
            <w:vAlign w:val="center"/>
          </w:tcPr>
          <w:p w14:paraId="44A84812">
            <w:pPr>
              <w:pStyle w:val="15"/>
            </w:pPr>
          </w:p>
        </w:tc>
        <w:tc>
          <w:tcPr>
            <w:tcW w:w="850" w:type="dxa"/>
            <w:vAlign w:val="center"/>
          </w:tcPr>
          <w:p w14:paraId="4F5FF003">
            <w:pPr>
              <w:pStyle w:val="15"/>
            </w:pPr>
          </w:p>
        </w:tc>
        <w:tc>
          <w:tcPr>
            <w:tcW w:w="964" w:type="dxa"/>
            <w:vAlign w:val="center"/>
          </w:tcPr>
          <w:p w14:paraId="5C64AB00">
            <w:pPr>
              <w:pStyle w:val="15"/>
            </w:pPr>
            <w:r>
              <w:t>1.89</w:t>
            </w:r>
          </w:p>
        </w:tc>
        <w:tc>
          <w:tcPr>
            <w:tcW w:w="964" w:type="dxa"/>
            <w:vAlign w:val="center"/>
          </w:tcPr>
          <w:p w14:paraId="52DB2D5B">
            <w:pPr>
              <w:pStyle w:val="15"/>
            </w:pPr>
            <w:r>
              <w:t>1.89</w:t>
            </w:r>
          </w:p>
        </w:tc>
        <w:tc>
          <w:tcPr>
            <w:tcW w:w="964" w:type="dxa"/>
            <w:vAlign w:val="center"/>
          </w:tcPr>
          <w:p w14:paraId="0CD13F21">
            <w:pPr>
              <w:pStyle w:val="15"/>
            </w:pPr>
          </w:p>
        </w:tc>
        <w:tc>
          <w:tcPr>
            <w:tcW w:w="964" w:type="dxa"/>
            <w:vAlign w:val="center"/>
          </w:tcPr>
          <w:p w14:paraId="43D936AF">
            <w:pPr>
              <w:pStyle w:val="15"/>
            </w:pPr>
          </w:p>
        </w:tc>
        <w:tc>
          <w:tcPr>
            <w:tcW w:w="964" w:type="dxa"/>
            <w:vAlign w:val="center"/>
          </w:tcPr>
          <w:p w14:paraId="240F3267">
            <w:pPr>
              <w:pStyle w:val="15"/>
            </w:pPr>
          </w:p>
        </w:tc>
        <w:tc>
          <w:tcPr>
            <w:tcW w:w="964" w:type="dxa"/>
            <w:vAlign w:val="center"/>
          </w:tcPr>
          <w:p w14:paraId="5A59BF1E">
            <w:pPr>
              <w:pStyle w:val="15"/>
            </w:pPr>
          </w:p>
        </w:tc>
        <w:tc>
          <w:tcPr>
            <w:tcW w:w="964" w:type="dxa"/>
            <w:vAlign w:val="center"/>
          </w:tcPr>
          <w:p w14:paraId="28691395">
            <w:pPr>
              <w:pStyle w:val="15"/>
            </w:pPr>
          </w:p>
        </w:tc>
        <w:tc>
          <w:tcPr>
            <w:tcW w:w="964" w:type="dxa"/>
            <w:vAlign w:val="center"/>
          </w:tcPr>
          <w:p w14:paraId="584A5AAB">
            <w:pPr>
              <w:pStyle w:val="15"/>
            </w:pPr>
          </w:p>
        </w:tc>
        <w:tc>
          <w:tcPr>
            <w:tcW w:w="964" w:type="dxa"/>
            <w:vAlign w:val="center"/>
          </w:tcPr>
          <w:p w14:paraId="4D373B6F">
            <w:pPr>
              <w:pStyle w:val="15"/>
            </w:pPr>
            <w:r>
              <w:t>1.89</w:t>
            </w:r>
          </w:p>
        </w:tc>
      </w:tr>
      <w:tr w14:paraId="632A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35390A">
            <w:pPr>
              <w:pStyle w:val="12"/>
            </w:pPr>
            <w:r>
              <w:t>冀财教[2025]147号/省级/2026年义教补助经费/东良中学公用经费</w:t>
            </w:r>
          </w:p>
        </w:tc>
        <w:tc>
          <w:tcPr>
            <w:tcW w:w="964" w:type="dxa"/>
            <w:vAlign w:val="center"/>
          </w:tcPr>
          <w:p w14:paraId="3E5E6A3E">
            <w:pPr>
              <w:pStyle w:val="11"/>
            </w:pPr>
            <w:r>
              <w:t>46.88</w:t>
            </w:r>
          </w:p>
        </w:tc>
        <w:tc>
          <w:tcPr>
            <w:tcW w:w="1134" w:type="dxa"/>
            <w:vAlign w:val="center"/>
          </w:tcPr>
          <w:p w14:paraId="44CCC87B">
            <w:pPr>
              <w:pStyle w:val="12"/>
            </w:pPr>
            <w:r>
              <w:t>便携式计算机</w:t>
            </w:r>
          </w:p>
        </w:tc>
        <w:tc>
          <w:tcPr>
            <w:tcW w:w="1134" w:type="dxa"/>
            <w:vAlign w:val="center"/>
          </w:tcPr>
          <w:p w14:paraId="15E2791B">
            <w:pPr>
              <w:pStyle w:val="12"/>
            </w:pPr>
            <w:r>
              <w:t>A02010108</w:t>
            </w:r>
          </w:p>
        </w:tc>
        <w:tc>
          <w:tcPr>
            <w:tcW w:w="709" w:type="dxa"/>
            <w:vAlign w:val="center"/>
          </w:tcPr>
          <w:p w14:paraId="4B744ED8">
            <w:pPr>
              <w:pStyle w:val="13"/>
            </w:pPr>
            <w:r>
              <w:t>台</w:t>
            </w:r>
          </w:p>
        </w:tc>
        <w:tc>
          <w:tcPr>
            <w:tcW w:w="850" w:type="dxa"/>
            <w:vAlign w:val="center"/>
          </w:tcPr>
          <w:p w14:paraId="5C1EBA86">
            <w:pPr>
              <w:pStyle w:val="11"/>
            </w:pPr>
            <w:r>
              <w:t>1</w:t>
            </w:r>
          </w:p>
        </w:tc>
        <w:tc>
          <w:tcPr>
            <w:tcW w:w="850" w:type="dxa"/>
            <w:vAlign w:val="center"/>
          </w:tcPr>
          <w:p w14:paraId="14B5750E">
            <w:pPr>
              <w:pStyle w:val="11"/>
            </w:pPr>
            <w:r>
              <w:t>0.53</w:t>
            </w:r>
          </w:p>
        </w:tc>
        <w:tc>
          <w:tcPr>
            <w:tcW w:w="964" w:type="dxa"/>
            <w:vAlign w:val="center"/>
          </w:tcPr>
          <w:p w14:paraId="22985A23">
            <w:pPr>
              <w:pStyle w:val="11"/>
            </w:pPr>
            <w:r>
              <w:t>0.53</w:t>
            </w:r>
          </w:p>
        </w:tc>
        <w:tc>
          <w:tcPr>
            <w:tcW w:w="964" w:type="dxa"/>
            <w:vAlign w:val="center"/>
          </w:tcPr>
          <w:p w14:paraId="3A960767">
            <w:pPr>
              <w:pStyle w:val="11"/>
            </w:pPr>
            <w:r>
              <w:t>0.53</w:t>
            </w:r>
          </w:p>
        </w:tc>
        <w:tc>
          <w:tcPr>
            <w:tcW w:w="964" w:type="dxa"/>
            <w:vAlign w:val="center"/>
          </w:tcPr>
          <w:p w14:paraId="72617A2F">
            <w:pPr>
              <w:pStyle w:val="11"/>
            </w:pPr>
          </w:p>
        </w:tc>
        <w:tc>
          <w:tcPr>
            <w:tcW w:w="964" w:type="dxa"/>
            <w:vAlign w:val="center"/>
          </w:tcPr>
          <w:p w14:paraId="0DB37D56">
            <w:pPr>
              <w:pStyle w:val="11"/>
            </w:pPr>
          </w:p>
        </w:tc>
        <w:tc>
          <w:tcPr>
            <w:tcW w:w="964" w:type="dxa"/>
            <w:vAlign w:val="center"/>
          </w:tcPr>
          <w:p w14:paraId="255F452E">
            <w:pPr>
              <w:pStyle w:val="11"/>
            </w:pPr>
          </w:p>
        </w:tc>
        <w:tc>
          <w:tcPr>
            <w:tcW w:w="964" w:type="dxa"/>
            <w:vAlign w:val="center"/>
          </w:tcPr>
          <w:p w14:paraId="61EAAD64">
            <w:pPr>
              <w:pStyle w:val="11"/>
            </w:pPr>
          </w:p>
        </w:tc>
        <w:tc>
          <w:tcPr>
            <w:tcW w:w="964" w:type="dxa"/>
            <w:vAlign w:val="center"/>
          </w:tcPr>
          <w:p w14:paraId="3D008522">
            <w:pPr>
              <w:pStyle w:val="11"/>
            </w:pPr>
          </w:p>
        </w:tc>
        <w:tc>
          <w:tcPr>
            <w:tcW w:w="964" w:type="dxa"/>
            <w:vAlign w:val="center"/>
          </w:tcPr>
          <w:p w14:paraId="2273339C">
            <w:pPr>
              <w:pStyle w:val="11"/>
            </w:pPr>
          </w:p>
        </w:tc>
        <w:tc>
          <w:tcPr>
            <w:tcW w:w="964" w:type="dxa"/>
            <w:vAlign w:val="center"/>
          </w:tcPr>
          <w:p w14:paraId="1F15666C">
            <w:pPr>
              <w:pStyle w:val="11"/>
            </w:pPr>
            <w:r>
              <w:t>0.53</w:t>
            </w:r>
          </w:p>
        </w:tc>
      </w:tr>
      <w:tr w14:paraId="730E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9BF256">
            <w:pPr>
              <w:pStyle w:val="12"/>
            </w:pPr>
            <w:r>
              <w:t>冀财教[2025]147号/省级/2026年义教补助经费/东良中学公用经费</w:t>
            </w:r>
          </w:p>
        </w:tc>
        <w:tc>
          <w:tcPr>
            <w:tcW w:w="964" w:type="dxa"/>
            <w:vAlign w:val="center"/>
          </w:tcPr>
          <w:p w14:paraId="5AD177E5">
            <w:pPr>
              <w:pStyle w:val="11"/>
            </w:pPr>
            <w:r>
              <w:t>46.88</w:t>
            </w:r>
          </w:p>
        </w:tc>
        <w:tc>
          <w:tcPr>
            <w:tcW w:w="1134" w:type="dxa"/>
            <w:vAlign w:val="center"/>
          </w:tcPr>
          <w:p w14:paraId="7BF6DC46">
            <w:pPr>
              <w:pStyle w:val="12"/>
            </w:pPr>
            <w:r>
              <w:t>复印机</w:t>
            </w:r>
          </w:p>
        </w:tc>
        <w:tc>
          <w:tcPr>
            <w:tcW w:w="1134" w:type="dxa"/>
            <w:vAlign w:val="center"/>
          </w:tcPr>
          <w:p w14:paraId="3626096B">
            <w:pPr>
              <w:pStyle w:val="12"/>
            </w:pPr>
            <w:r>
              <w:t>A02020100</w:t>
            </w:r>
          </w:p>
        </w:tc>
        <w:tc>
          <w:tcPr>
            <w:tcW w:w="709" w:type="dxa"/>
            <w:vAlign w:val="center"/>
          </w:tcPr>
          <w:p w14:paraId="6C208EBA">
            <w:pPr>
              <w:pStyle w:val="13"/>
            </w:pPr>
            <w:r>
              <w:t>台</w:t>
            </w:r>
          </w:p>
        </w:tc>
        <w:tc>
          <w:tcPr>
            <w:tcW w:w="850" w:type="dxa"/>
            <w:vAlign w:val="center"/>
          </w:tcPr>
          <w:p w14:paraId="220294D6">
            <w:pPr>
              <w:pStyle w:val="11"/>
            </w:pPr>
            <w:r>
              <w:t>1</w:t>
            </w:r>
          </w:p>
        </w:tc>
        <w:tc>
          <w:tcPr>
            <w:tcW w:w="850" w:type="dxa"/>
            <w:vAlign w:val="center"/>
          </w:tcPr>
          <w:p w14:paraId="027BB8E9">
            <w:pPr>
              <w:pStyle w:val="11"/>
            </w:pPr>
            <w:r>
              <w:t>1.20</w:t>
            </w:r>
          </w:p>
        </w:tc>
        <w:tc>
          <w:tcPr>
            <w:tcW w:w="964" w:type="dxa"/>
            <w:vAlign w:val="center"/>
          </w:tcPr>
          <w:p w14:paraId="3D41D3F7">
            <w:pPr>
              <w:pStyle w:val="11"/>
            </w:pPr>
            <w:r>
              <w:t>1.20</w:t>
            </w:r>
          </w:p>
        </w:tc>
        <w:tc>
          <w:tcPr>
            <w:tcW w:w="964" w:type="dxa"/>
            <w:vAlign w:val="center"/>
          </w:tcPr>
          <w:p w14:paraId="56750FEF">
            <w:pPr>
              <w:pStyle w:val="11"/>
            </w:pPr>
            <w:r>
              <w:t>1.20</w:t>
            </w:r>
          </w:p>
        </w:tc>
        <w:tc>
          <w:tcPr>
            <w:tcW w:w="964" w:type="dxa"/>
            <w:vAlign w:val="center"/>
          </w:tcPr>
          <w:p w14:paraId="772B5E6B">
            <w:pPr>
              <w:pStyle w:val="11"/>
            </w:pPr>
          </w:p>
        </w:tc>
        <w:tc>
          <w:tcPr>
            <w:tcW w:w="964" w:type="dxa"/>
            <w:vAlign w:val="center"/>
          </w:tcPr>
          <w:p w14:paraId="2E6EA122">
            <w:pPr>
              <w:pStyle w:val="11"/>
            </w:pPr>
          </w:p>
        </w:tc>
        <w:tc>
          <w:tcPr>
            <w:tcW w:w="964" w:type="dxa"/>
            <w:vAlign w:val="center"/>
          </w:tcPr>
          <w:p w14:paraId="2C865ED7">
            <w:pPr>
              <w:pStyle w:val="11"/>
            </w:pPr>
          </w:p>
        </w:tc>
        <w:tc>
          <w:tcPr>
            <w:tcW w:w="964" w:type="dxa"/>
            <w:vAlign w:val="center"/>
          </w:tcPr>
          <w:p w14:paraId="18CE3E0B">
            <w:pPr>
              <w:pStyle w:val="11"/>
            </w:pPr>
          </w:p>
        </w:tc>
        <w:tc>
          <w:tcPr>
            <w:tcW w:w="964" w:type="dxa"/>
            <w:vAlign w:val="center"/>
          </w:tcPr>
          <w:p w14:paraId="22BA59F8">
            <w:pPr>
              <w:pStyle w:val="11"/>
            </w:pPr>
          </w:p>
        </w:tc>
        <w:tc>
          <w:tcPr>
            <w:tcW w:w="964" w:type="dxa"/>
            <w:vAlign w:val="center"/>
          </w:tcPr>
          <w:p w14:paraId="58A57B4C">
            <w:pPr>
              <w:pStyle w:val="11"/>
            </w:pPr>
          </w:p>
        </w:tc>
        <w:tc>
          <w:tcPr>
            <w:tcW w:w="964" w:type="dxa"/>
            <w:vAlign w:val="center"/>
          </w:tcPr>
          <w:p w14:paraId="038C981C">
            <w:pPr>
              <w:pStyle w:val="11"/>
            </w:pPr>
            <w:r>
              <w:t>1.20</w:t>
            </w:r>
          </w:p>
        </w:tc>
      </w:tr>
      <w:tr w14:paraId="1073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E73078">
            <w:pPr>
              <w:pStyle w:val="12"/>
            </w:pPr>
            <w:r>
              <w:t>冀财教[2025]147号/省级/2026年义教补助经费/东良中学公用经费</w:t>
            </w:r>
          </w:p>
        </w:tc>
        <w:tc>
          <w:tcPr>
            <w:tcW w:w="964" w:type="dxa"/>
            <w:vAlign w:val="center"/>
          </w:tcPr>
          <w:p w14:paraId="6C366B76">
            <w:pPr>
              <w:pStyle w:val="11"/>
            </w:pPr>
            <w:r>
              <w:t>46.88</w:t>
            </w:r>
          </w:p>
        </w:tc>
        <w:tc>
          <w:tcPr>
            <w:tcW w:w="1134" w:type="dxa"/>
            <w:vAlign w:val="center"/>
          </w:tcPr>
          <w:p w14:paraId="081CB92F">
            <w:pPr>
              <w:pStyle w:val="12"/>
            </w:pPr>
            <w:r>
              <w:t>A4 彩色打印机</w:t>
            </w:r>
          </w:p>
        </w:tc>
        <w:tc>
          <w:tcPr>
            <w:tcW w:w="1134" w:type="dxa"/>
            <w:vAlign w:val="center"/>
          </w:tcPr>
          <w:p w14:paraId="3E6F116B">
            <w:pPr>
              <w:pStyle w:val="12"/>
            </w:pPr>
            <w:r>
              <w:t>A02021004</w:t>
            </w:r>
          </w:p>
        </w:tc>
        <w:tc>
          <w:tcPr>
            <w:tcW w:w="709" w:type="dxa"/>
            <w:vAlign w:val="center"/>
          </w:tcPr>
          <w:p w14:paraId="558E1E93">
            <w:pPr>
              <w:pStyle w:val="13"/>
            </w:pPr>
            <w:r>
              <w:t>台</w:t>
            </w:r>
          </w:p>
        </w:tc>
        <w:tc>
          <w:tcPr>
            <w:tcW w:w="850" w:type="dxa"/>
            <w:vAlign w:val="center"/>
          </w:tcPr>
          <w:p w14:paraId="22BB72E8">
            <w:pPr>
              <w:pStyle w:val="11"/>
            </w:pPr>
            <w:r>
              <w:t>1</w:t>
            </w:r>
          </w:p>
        </w:tc>
        <w:tc>
          <w:tcPr>
            <w:tcW w:w="850" w:type="dxa"/>
            <w:vAlign w:val="center"/>
          </w:tcPr>
          <w:p w14:paraId="36303BA6">
            <w:pPr>
              <w:pStyle w:val="11"/>
            </w:pPr>
            <w:r>
              <w:t>0.16</w:t>
            </w:r>
          </w:p>
        </w:tc>
        <w:tc>
          <w:tcPr>
            <w:tcW w:w="964" w:type="dxa"/>
            <w:vAlign w:val="center"/>
          </w:tcPr>
          <w:p w14:paraId="4495B03B">
            <w:pPr>
              <w:pStyle w:val="11"/>
            </w:pPr>
            <w:r>
              <w:t>0.16</w:t>
            </w:r>
          </w:p>
        </w:tc>
        <w:tc>
          <w:tcPr>
            <w:tcW w:w="964" w:type="dxa"/>
            <w:vAlign w:val="center"/>
          </w:tcPr>
          <w:p w14:paraId="6D5EC046">
            <w:pPr>
              <w:pStyle w:val="11"/>
            </w:pPr>
            <w:r>
              <w:t>0.16</w:t>
            </w:r>
          </w:p>
        </w:tc>
        <w:tc>
          <w:tcPr>
            <w:tcW w:w="964" w:type="dxa"/>
            <w:vAlign w:val="center"/>
          </w:tcPr>
          <w:p w14:paraId="651C1502">
            <w:pPr>
              <w:pStyle w:val="11"/>
            </w:pPr>
          </w:p>
        </w:tc>
        <w:tc>
          <w:tcPr>
            <w:tcW w:w="964" w:type="dxa"/>
            <w:vAlign w:val="center"/>
          </w:tcPr>
          <w:p w14:paraId="627B71D8">
            <w:pPr>
              <w:pStyle w:val="11"/>
            </w:pPr>
          </w:p>
        </w:tc>
        <w:tc>
          <w:tcPr>
            <w:tcW w:w="964" w:type="dxa"/>
            <w:vAlign w:val="center"/>
          </w:tcPr>
          <w:p w14:paraId="7A20D04F">
            <w:pPr>
              <w:pStyle w:val="11"/>
            </w:pPr>
          </w:p>
        </w:tc>
        <w:tc>
          <w:tcPr>
            <w:tcW w:w="964" w:type="dxa"/>
            <w:vAlign w:val="center"/>
          </w:tcPr>
          <w:p w14:paraId="069F9A4E">
            <w:pPr>
              <w:pStyle w:val="11"/>
            </w:pPr>
          </w:p>
        </w:tc>
        <w:tc>
          <w:tcPr>
            <w:tcW w:w="964" w:type="dxa"/>
            <w:vAlign w:val="center"/>
          </w:tcPr>
          <w:p w14:paraId="7D44B1FB">
            <w:pPr>
              <w:pStyle w:val="11"/>
            </w:pPr>
          </w:p>
        </w:tc>
        <w:tc>
          <w:tcPr>
            <w:tcW w:w="964" w:type="dxa"/>
            <w:vAlign w:val="center"/>
          </w:tcPr>
          <w:p w14:paraId="20EE7B10">
            <w:pPr>
              <w:pStyle w:val="11"/>
            </w:pPr>
          </w:p>
        </w:tc>
        <w:tc>
          <w:tcPr>
            <w:tcW w:w="964" w:type="dxa"/>
            <w:vAlign w:val="center"/>
          </w:tcPr>
          <w:p w14:paraId="4C895425">
            <w:pPr>
              <w:pStyle w:val="11"/>
            </w:pPr>
            <w:r>
              <w:t>0.16</w:t>
            </w:r>
          </w:p>
        </w:tc>
      </w:tr>
    </w:tbl>
    <w:p w14:paraId="7C7B4C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2D5697">
      <w:pPr>
        <w:spacing w:before="0" w:after="0"/>
        <w:ind w:firstLine="640"/>
        <w:jc w:val="left"/>
        <w:outlineLvl w:val="9"/>
      </w:pPr>
      <w:r>
        <w:rPr>
          <w:rFonts w:ascii="Times New Roman" w:hAnsi="Times New Roman" w:eastAsia="方正仿宋_GBK" w:cs="Times New Roman"/>
          <w:color w:val="000000"/>
          <w:sz w:val="32"/>
        </w:rPr>
        <w:t xml:space="preserve"> </w:t>
      </w:r>
    </w:p>
    <w:p w14:paraId="75D4CD7E">
      <w:pPr>
        <w:spacing w:before="10" w:after="10" w:line="240" w:lineRule="auto"/>
        <w:ind w:firstLine="640"/>
        <w:jc w:val="left"/>
        <w:outlineLvl w:val="5"/>
      </w:pPr>
      <w:r>
        <w:rPr>
          <w:rFonts w:ascii="黑体" w:hAnsi="黑体" w:eastAsia="黑体" w:cs="黑体"/>
          <w:color w:val="000000"/>
          <w:sz w:val="32"/>
        </w:rPr>
        <w:t>七、国有资产信息</w:t>
      </w:r>
    </w:p>
    <w:p w14:paraId="1487589B">
      <w:pPr>
        <w:spacing w:before="0" w:after="0" w:line="500" w:lineRule="exact"/>
        <w:ind w:firstLine="560"/>
        <w:jc w:val="left"/>
        <w:outlineLvl w:val="9"/>
      </w:pPr>
      <w:r>
        <w:rPr>
          <w:rFonts w:ascii="Times New Roman" w:hAnsi="Times New Roman" w:eastAsia="方正仿宋_GBK" w:cs="Times New Roman"/>
          <w:b w:val="0"/>
          <w:color w:val="000000"/>
          <w:sz w:val="28"/>
        </w:rPr>
        <w:t>隆尧县东良中学上年末固定资产金额为1507.63万元（详见下表）。本年度拟购置固定资产总额为13.39万元，已按要求列入政府采购预算，详见政府采购预算表。</w:t>
      </w:r>
    </w:p>
    <w:p w14:paraId="3E35C9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F4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CB8116">
            <w:pPr>
              <w:pStyle w:val="9"/>
            </w:pPr>
            <w:r>
              <w:t>360006隆尧县东良中学</w:t>
            </w:r>
          </w:p>
        </w:tc>
        <w:tc>
          <w:tcPr>
            <w:tcW w:w="5670" w:type="dxa"/>
            <w:gridSpan w:val="2"/>
            <w:tcBorders>
              <w:top w:val="single" w:color="FFFFFF" w:sz="6" w:space="0"/>
              <w:left w:val="single" w:color="FFFFFF" w:sz="6" w:space="0"/>
              <w:right w:val="single" w:color="FFFFFF" w:sz="6" w:space="0"/>
            </w:tcBorders>
            <w:vAlign w:val="center"/>
          </w:tcPr>
          <w:p w14:paraId="3D754AAA">
            <w:pPr>
              <w:pStyle w:val="7"/>
            </w:pPr>
            <w:r>
              <w:t>截止时间：2025-12-31</w:t>
            </w:r>
          </w:p>
        </w:tc>
      </w:tr>
      <w:tr w14:paraId="774F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D990DD">
            <w:pPr>
              <w:pStyle w:val="10"/>
            </w:pPr>
            <w:r>
              <w:t>项   目</w:t>
            </w:r>
          </w:p>
        </w:tc>
        <w:tc>
          <w:tcPr>
            <w:tcW w:w="2835" w:type="dxa"/>
            <w:vAlign w:val="center"/>
          </w:tcPr>
          <w:p w14:paraId="1AE4344D">
            <w:pPr>
              <w:pStyle w:val="10"/>
            </w:pPr>
            <w:r>
              <w:t>数量</w:t>
            </w:r>
          </w:p>
        </w:tc>
        <w:tc>
          <w:tcPr>
            <w:tcW w:w="2835" w:type="dxa"/>
            <w:vAlign w:val="center"/>
          </w:tcPr>
          <w:p w14:paraId="693984FE">
            <w:pPr>
              <w:pStyle w:val="10"/>
            </w:pPr>
            <w:r>
              <w:t>价值（金额单位：万元）</w:t>
            </w:r>
          </w:p>
        </w:tc>
      </w:tr>
      <w:tr w14:paraId="1040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418946">
            <w:pPr>
              <w:pStyle w:val="12"/>
            </w:pPr>
            <w:r>
              <w:t>资产总额</w:t>
            </w:r>
          </w:p>
        </w:tc>
        <w:tc>
          <w:tcPr>
            <w:tcW w:w="2835" w:type="dxa"/>
            <w:vAlign w:val="center"/>
          </w:tcPr>
          <w:p w14:paraId="6E863940">
            <w:pPr>
              <w:pStyle w:val="13"/>
            </w:pPr>
          </w:p>
        </w:tc>
        <w:tc>
          <w:tcPr>
            <w:tcW w:w="2835" w:type="dxa"/>
            <w:vAlign w:val="center"/>
          </w:tcPr>
          <w:p w14:paraId="68A24D0A">
            <w:pPr>
              <w:pStyle w:val="11"/>
            </w:pPr>
            <w:r>
              <w:t>1507.63</w:t>
            </w:r>
          </w:p>
        </w:tc>
      </w:tr>
      <w:tr w14:paraId="238F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339D20">
            <w:pPr>
              <w:pStyle w:val="12"/>
            </w:pPr>
            <w:r>
              <w:t>1、房屋（平方米）</w:t>
            </w:r>
          </w:p>
        </w:tc>
        <w:tc>
          <w:tcPr>
            <w:tcW w:w="2835" w:type="dxa"/>
            <w:vAlign w:val="center"/>
          </w:tcPr>
          <w:p w14:paraId="71CA9769">
            <w:pPr>
              <w:pStyle w:val="13"/>
            </w:pPr>
            <w:r>
              <w:t>13474.46</w:t>
            </w:r>
          </w:p>
        </w:tc>
        <w:tc>
          <w:tcPr>
            <w:tcW w:w="2835" w:type="dxa"/>
            <w:vAlign w:val="center"/>
          </w:tcPr>
          <w:p w14:paraId="368564A1">
            <w:pPr>
              <w:pStyle w:val="11"/>
            </w:pPr>
            <w:r>
              <w:t>1127.98</w:t>
            </w:r>
          </w:p>
        </w:tc>
      </w:tr>
      <w:tr w14:paraId="4E978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BC6DEB">
            <w:pPr>
              <w:pStyle w:val="12"/>
            </w:pPr>
            <w:r>
              <w:t>　　其中：办公用房（平方米）</w:t>
            </w:r>
          </w:p>
        </w:tc>
        <w:tc>
          <w:tcPr>
            <w:tcW w:w="2835" w:type="dxa"/>
            <w:vAlign w:val="center"/>
          </w:tcPr>
          <w:p w14:paraId="2807A514">
            <w:pPr>
              <w:pStyle w:val="13"/>
            </w:pPr>
            <w:r>
              <w:t>1505</w:t>
            </w:r>
          </w:p>
        </w:tc>
        <w:tc>
          <w:tcPr>
            <w:tcW w:w="2835" w:type="dxa"/>
            <w:vAlign w:val="center"/>
          </w:tcPr>
          <w:p w14:paraId="03565316">
            <w:pPr>
              <w:pStyle w:val="11"/>
            </w:pPr>
            <w:r>
              <w:t>124.80</w:t>
            </w:r>
          </w:p>
        </w:tc>
      </w:tr>
      <w:tr w14:paraId="7154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7841BB">
            <w:pPr>
              <w:pStyle w:val="12"/>
            </w:pPr>
            <w:r>
              <w:t>2、车辆（台、辆）</w:t>
            </w:r>
          </w:p>
        </w:tc>
        <w:tc>
          <w:tcPr>
            <w:tcW w:w="2835" w:type="dxa"/>
            <w:vAlign w:val="center"/>
          </w:tcPr>
          <w:p w14:paraId="56128964">
            <w:pPr>
              <w:pStyle w:val="13"/>
            </w:pPr>
          </w:p>
        </w:tc>
        <w:tc>
          <w:tcPr>
            <w:tcW w:w="2835" w:type="dxa"/>
            <w:vAlign w:val="center"/>
          </w:tcPr>
          <w:p w14:paraId="17BF2E27">
            <w:pPr>
              <w:pStyle w:val="11"/>
            </w:pPr>
          </w:p>
        </w:tc>
      </w:tr>
      <w:tr w14:paraId="1E03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FF8CA0">
            <w:pPr>
              <w:pStyle w:val="12"/>
            </w:pPr>
            <w:r>
              <w:t>3、单价在20万元以上的设备</w:t>
            </w:r>
          </w:p>
        </w:tc>
        <w:tc>
          <w:tcPr>
            <w:tcW w:w="2835" w:type="dxa"/>
            <w:vAlign w:val="center"/>
          </w:tcPr>
          <w:p w14:paraId="63242496">
            <w:pPr>
              <w:pStyle w:val="13"/>
            </w:pPr>
          </w:p>
        </w:tc>
        <w:tc>
          <w:tcPr>
            <w:tcW w:w="2835" w:type="dxa"/>
            <w:vAlign w:val="center"/>
          </w:tcPr>
          <w:p w14:paraId="7182CF4D">
            <w:pPr>
              <w:pStyle w:val="11"/>
            </w:pPr>
          </w:p>
        </w:tc>
      </w:tr>
      <w:tr w14:paraId="2C64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91EBBE">
            <w:pPr>
              <w:pStyle w:val="12"/>
            </w:pPr>
            <w:r>
              <w:t>4、其他固定资产</w:t>
            </w:r>
          </w:p>
        </w:tc>
        <w:tc>
          <w:tcPr>
            <w:tcW w:w="2835" w:type="dxa"/>
            <w:vAlign w:val="center"/>
          </w:tcPr>
          <w:p w14:paraId="3B541D4C">
            <w:pPr>
              <w:pStyle w:val="13"/>
            </w:pPr>
            <w:r>
              <w:t>41076</w:t>
            </w:r>
          </w:p>
        </w:tc>
        <w:tc>
          <w:tcPr>
            <w:tcW w:w="2835" w:type="dxa"/>
            <w:vAlign w:val="center"/>
          </w:tcPr>
          <w:p w14:paraId="33A7ED34">
            <w:pPr>
              <w:pStyle w:val="11"/>
            </w:pPr>
            <w:r>
              <w:t>379.65</w:t>
            </w:r>
          </w:p>
        </w:tc>
      </w:tr>
    </w:tbl>
    <w:p w14:paraId="0409EEDB">
      <w:pPr>
        <w:spacing w:before="0" w:after="0"/>
        <w:ind w:firstLine="640"/>
        <w:jc w:val="left"/>
        <w:outlineLvl w:val="9"/>
      </w:pPr>
      <w:r>
        <w:rPr>
          <w:rFonts w:ascii="Times New Roman" w:hAnsi="Times New Roman" w:eastAsia="方正仿宋_GBK" w:cs="Times New Roman"/>
          <w:color w:val="000000"/>
          <w:sz w:val="32"/>
        </w:rPr>
        <w:t xml:space="preserve"> </w:t>
      </w:r>
    </w:p>
    <w:p w14:paraId="72193CA0">
      <w:pPr>
        <w:spacing w:before="10" w:after="10" w:line="240" w:lineRule="auto"/>
        <w:ind w:firstLine="640"/>
        <w:jc w:val="left"/>
        <w:outlineLvl w:val="5"/>
      </w:pPr>
      <w:r>
        <w:rPr>
          <w:rFonts w:ascii="黑体" w:hAnsi="黑体" w:eastAsia="黑体" w:cs="黑体"/>
          <w:color w:val="000000"/>
          <w:sz w:val="32"/>
        </w:rPr>
        <w:t>八、名词解释</w:t>
      </w:r>
    </w:p>
    <w:p w14:paraId="410C08D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7595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85DA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C6C10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D9B35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92F0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652CB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4B010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C9B7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0A9D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52668B">
      <w:pPr>
        <w:spacing w:before="10" w:after="10" w:line="240" w:lineRule="auto"/>
        <w:ind w:firstLine="640"/>
        <w:jc w:val="left"/>
        <w:outlineLvl w:val="5"/>
      </w:pPr>
      <w:r>
        <w:rPr>
          <w:rFonts w:ascii="黑体" w:hAnsi="黑体" w:eastAsia="黑体" w:cs="黑体"/>
          <w:color w:val="000000"/>
          <w:sz w:val="32"/>
        </w:rPr>
        <w:t>九、其他需要说明的事项</w:t>
      </w:r>
    </w:p>
    <w:p w14:paraId="7E69614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90FAC12">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六、隆尧县魏家庄中学收支预算</w:t>
      </w:r>
      <w:bookmarkEnd w:id="5"/>
    </w:p>
    <w:p w14:paraId="146549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14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BE8493">
            <w:pPr>
              <w:pStyle w:val="9"/>
            </w:pPr>
            <w:r>
              <w:t>360007隆尧县魏家庄中学</w:t>
            </w:r>
          </w:p>
        </w:tc>
        <w:tc>
          <w:tcPr>
            <w:tcW w:w="2126" w:type="dxa"/>
            <w:tcBorders>
              <w:top w:val="single" w:color="FFFFFF" w:sz="6" w:space="0"/>
              <w:left w:val="single" w:color="FFFFFF" w:sz="6" w:space="0"/>
              <w:right w:val="single" w:color="FFFFFF" w:sz="6" w:space="0"/>
            </w:tcBorders>
            <w:vAlign w:val="center"/>
          </w:tcPr>
          <w:p w14:paraId="7F61034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349F52D">
            <w:pPr>
              <w:pStyle w:val="7"/>
            </w:pPr>
            <w:r>
              <w:t>单位：万元</w:t>
            </w:r>
          </w:p>
        </w:tc>
      </w:tr>
      <w:tr w14:paraId="56E4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7EBC9">
            <w:pPr>
              <w:pStyle w:val="10"/>
            </w:pPr>
            <w:r>
              <w:t>序号</w:t>
            </w:r>
          </w:p>
        </w:tc>
        <w:tc>
          <w:tcPr>
            <w:tcW w:w="6661" w:type="dxa"/>
            <w:gridSpan w:val="2"/>
            <w:vAlign w:val="center"/>
          </w:tcPr>
          <w:p w14:paraId="41410210">
            <w:pPr>
              <w:pStyle w:val="10"/>
            </w:pPr>
            <w:r>
              <w:t>收入</w:t>
            </w:r>
          </w:p>
        </w:tc>
        <w:tc>
          <w:tcPr>
            <w:tcW w:w="6661" w:type="dxa"/>
            <w:gridSpan w:val="2"/>
            <w:vAlign w:val="center"/>
          </w:tcPr>
          <w:p w14:paraId="145696C7">
            <w:pPr>
              <w:pStyle w:val="10"/>
            </w:pPr>
            <w:r>
              <w:t>支出</w:t>
            </w:r>
          </w:p>
        </w:tc>
      </w:tr>
      <w:tr w14:paraId="738B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4B9F3B"/>
        </w:tc>
        <w:tc>
          <w:tcPr>
            <w:tcW w:w="4535" w:type="dxa"/>
            <w:vAlign w:val="center"/>
          </w:tcPr>
          <w:p w14:paraId="13AFEFF1">
            <w:pPr>
              <w:pStyle w:val="10"/>
            </w:pPr>
            <w:r>
              <w:t>项  目</w:t>
            </w:r>
          </w:p>
        </w:tc>
        <w:tc>
          <w:tcPr>
            <w:tcW w:w="2126" w:type="dxa"/>
            <w:vAlign w:val="center"/>
          </w:tcPr>
          <w:p w14:paraId="0994A9A1">
            <w:pPr>
              <w:pStyle w:val="10"/>
            </w:pPr>
            <w:r>
              <w:t>预算数</w:t>
            </w:r>
          </w:p>
        </w:tc>
        <w:tc>
          <w:tcPr>
            <w:tcW w:w="4535" w:type="dxa"/>
            <w:vAlign w:val="center"/>
          </w:tcPr>
          <w:p w14:paraId="6EACC139">
            <w:pPr>
              <w:pStyle w:val="10"/>
            </w:pPr>
            <w:r>
              <w:t>项  目</w:t>
            </w:r>
          </w:p>
        </w:tc>
        <w:tc>
          <w:tcPr>
            <w:tcW w:w="2126" w:type="dxa"/>
            <w:vAlign w:val="center"/>
          </w:tcPr>
          <w:p w14:paraId="33FBFC2F">
            <w:pPr>
              <w:pStyle w:val="10"/>
            </w:pPr>
            <w:r>
              <w:t>预算数</w:t>
            </w:r>
          </w:p>
        </w:tc>
      </w:tr>
      <w:tr w14:paraId="2042CD2E">
        <w:tblPrEx>
          <w:tblCellMar>
            <w:top w:w="0" w:type="dxa"/>
            <w:left w:w="108" w:type="dxa"/>
            <w:bottom w:w="0" w:type="dxa"/>
            <w:right w:w="108" w:type="dxa"/>
          </w:tblCellMar>
        </w:tblPrEx>
        <w:trPr>
          <w:trHeight w:val="369" w:hRule="atLeast"/>
          <w:tblHeader/>
          <w:jc w:val="center"/>
        </w:trPr>
        <w:tc>
          <w:tcPr>
            <w:tcW w:w="850" w:type="dxa"/>
            <w:vAlign w:val="center"/>
          </w:tcPr>
          <w:p w14:paraId="0A4896FC">
            <w:pPr>
              <w:pStyle w:val="10"/>
            </w:pPr>
            <w:r>
              <w:t>栏次</w:t>
            </w:r>
          </w:p>
        </w:tc>
        <w:tc>
          <w:tcPr>
            <w:tcW w:w="4535" w:type="dxa"/>
            <w:vAlign w:val="center"/>
          </w:tcPr>
          <w:p w14:paraId="6398008C">
            <w:pPr>
              <w:pStyle w:val="10"/>
            </w:pPr>
            <w:r>
              <w:t>1</w:t>
            </w:r>
          </w:p>
        </w:tc>
        <w:tc>
          <w:tcPr>
            <w:tcW w:w="2126" w:type="dxa"/>
            <w:vAlign w:val="center"/>
          </w:tcPr>
          <w:p w14:paraId="50809C05">
            <w:pPr>
              <w:pStyle w:val="10"/>
            </w:pPr>
            <w:r>
              <w:t>2</w:t>
            </w:r>
          </w:p>
        </w:tc>
        <w:tc>
          <w:tcPr>
            <w:tcW w:w="4535" w:type="dxa"/>
            <w:vAlign w:val="center"/>
          </w:tcPr>
          <w:p w14:paraId="57602790">
            <w:pPr>
              <w:pStyle w:val="10"/>
            </w:pPr>
            <w:r>
              <w:t>3</w:t>
            </w:r>
          </w:p>
        </w:tc>
        <w:tc>
          <w:tcPr>
            <w:tcW w:w="2126" w:type="dxa"/>
            <w:vAlign w:val="center"/>
          </w:tcPr>
          <w:p w14:paraId="6D627F73">
            <w:pPr>
              <w:pStyle w:val="10"/>
            </w:pPr>
            <w:r>
              <w:t>4</w:t>
            </w:r>
          </w:p>
        </w:tc>
      </w:tr>
      <w:tr w14:paraId="4A16D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D6171">
            <w:pPr>
              <w:pStyle w:val="13"/>
            </w:pPr>
            <w:r>
              <w:t>1</w:t>
            </w:r>
          </w:p>
        </w:tc>
        <w:tc>
          <w:tcPr>
            <w:tcW w:w="4535" w:type="dxa"/>
            <w:vAlign w:val="center"/>
          </w:tcPr>
          <w:p w14:paraId="5F23443C">
            <w:pPr>
              <w:pStyle w:val="12"/>
            </w:pPr>
            <w:r>
              <w:t>一、一般公共预算拨款收入</w:t>
            </w:r>
          </w:p>
        </w:tc>
        <w:tc>
          <w:tcPr>
            <w:tcW w:w="2126" w:type="dxa"/>
            <w:vAlign w:val="center"/>
          </w:tcPr>
          <w:p w14:paraId="249D316E">
            <w:pPr>
              <w:pStyle w:val="11"/>
            </w:pPr>
            <w:r>
              <w:t>990.66</w:t>
            </w:r>
          </w:p>
        </w:tc>
        <w:tc>
          <w:tcPr>
            <w:tcW w:w="4535" w:type="dxa"/>
            <w:vAlign w:val="center"/>
          </w:tcPr>
          <w:p w14:paraId="5D7C9BFA">
            <w:pPr>
              <w:pStyle w:val="12"/>
            </w:pPr>
            <w:r>
              <w:t>一、一般公共服务支出</w:t>
            </w:r>
          </w:p>
        </w:tc>
        <w:tc>
          <w:tcPr>
            <w:tcW w:w="2126" w:type="dxa"/>
            <w:vAlign w:val="center"/>
          </w:tcPr>
          <w:p w14:paraId="55B1127A">
            <w:pPr>
              <w:pStyle w:val="11"/>
            </w:pPr>
          </w:p>
        </w:tc>
      </w:tr>
      <w:tr w14:paraId="5810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815B">
            <w:pPr>
              <w:pStyle w:val="13"/>
            </w:pPr>
            <w:r>
              <w:t>2</w:t>
            </w:r>
          </w:p>
        </w:tc>
        <w:tc>
          <w:tcPr>
            <w:tcW w:w="4535" w:type="dxa"/>
            <w:vAlign w:val="center"/>
          </w:tcPr>
          <w:p w14:paraId="62856652">
            <w:pPr>
              <w:pStyle w:val="12"/>
            </w:pPr>
            <w:r>
              <w:t>二、政府性基金预算拨款收入</w:t>
            </w:r>
          </w:p>
        </w:tc>
        <w:tc>
          <w:tcPr>
            <w:tcW w:w="2126" w:type="dxa"/>
            <w:vAlign w:val="center"/>
          </w:tcPr>
          <w:p w14:paraId="53FC6E28">
            <w:pPr>
              <w:pStyle w:val="11"/>
            </w:pPr>
          </w:p>
        </w:tc>
        <w:tc>
          <w:tcPr>
            <w:tcW w:w="4535" w:type="dxa"/>
            <w:vAlign w:val="center"/>
          </w:tcPr>
          <w:p w14:paraId="707AEDFF">
            <w:pPr>
              <w:pStyle w:val="12"/>
            </w:pPr>
            <w:r>
              <w:t>二、外交支出</w:t>
            </w:r>
          </w:p>
        </w:tc>
        <w:tc>
          <w:tcPr>
            <w:tcW w:w="2126" w:type="dxa"/>
            <w:vAlign w:val="center"/>
          </w:tcPr>
          <w:p w14:paraId="28DF41B0">
            <w:pPr>
              <w:pStyle w:val="11"/>
            </w:pPr>
          </w:p>
        </w:tc>
      </w:tr>
      <w:tr w14:paraId="25141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84790">
            <w:pPr>
              <w:pStyle w:val="13"/>
            </w:pPr>
            <w:r>
              <w:t>3</w:t>
            </w:r>
          </w:p>
        </w:tc>
        <w:tc>
          <w:tcPr>
            <w:tcW w:w="4535" w:type="dxa"/>
            <w:vAlign w:val="center"/>
          </w:tcPr>
          <w:p w14:paraId="5E7D1245">
            <w:pPr>
              <w:pStyle w:val="12"/>
            </w:pPr>
            <w:r>
              <w:t>三、国有资本经营预算拨款收入</w:t>
            </w:r>
          </w:p>
        </w:tc>
        <w:tc>
          <w:tcPr>
            <w:tcW w:w="2126" w:type="dxa"/>
            <w:vAlign w:val="center"/>
          </w:tcPr>
          <w:p w14:paraId="4AB39BD1">
            <w:pPr>
              <w:pStyle w:val="11"/>
            </w:pPr>
          </w:p>
        </w:tc>
        <w:tc>
          <w:tcPr>
            <w:tcW w:w="4535" w:type="dxa"/>
            <w:vAlign w:val="center"/>
          </w:tcPr>
          <w:p w14:paraId="60887ECB">
            <w:pPr>
              <w:pStyle w:val="12"/>
            </w:pPr>
            <w:r>
              <w:t>三、国防支出</w:t>
            </w:r>
          </w:p>
        </w:tc>
        <w:tc>
          <w:tcPr>
            <w:tcW w:w="2126" w:type="dxa"/>
            <w:vAlign w:val="center"/>
          </w:tcPr>
          <w:p w14:paraId="62D1E3F4">
            <w:pPr>
              <w:pStyle w:val="11"/>
            </w:pPr>
          </w:p>
        </w:tc>
      </w:tr>
      <w:tr w14:paraId="1F1EF2D0">
        <w:tblPrEx>
          <w:tblCellMar>
            <w:top w:w="0" w:type="dxa"/>
            <w:left w:w="108" w:type="dxa"/>
            <w:bottom w:w="0" w:type="dxa"/>
            <w:right w:w="108" w:type="dxa"/>
          </w:tblCellMar>
        </w:tblPrEx>
        <w:trPr>
          <w:trHeight w:val="369" w:hRule="atLeast"/>
          <w:jc w:val="center"/>
        </w:trPr>
        <w:tc>
          <w:tcPr>
            <w:tcW w:w="850" w:type="dxa"/>
            <w:vAlign w:val="center"/>
          </w:tcPr>
          <w:p w14:paraId="0479A95B">
            <w:pPr>
              <w:pStyle w:val="13"/>
            </w:pPr>
            <w:r>
              <w:t>4</w:t>
            </w:r>
          </w:p>
        </w:tc>
        <w:tc>
          <w:tcPr>
            <w:tcW w:w="4535" w:type="dxa"/>
            <w:vAlign w:val="center"/>
          </w:tcPr>
          <w:p w14:paraId="6274D0B6">
            <w:pPr>
              <w:pStyle w:val="12"/>
            </w:pPr>
            <w:r>
              <w:t>四、财政专户管理资金收入</w:t>
            </w:r>
          </w:p>
        </w:tc>
        <w:tc>
          <w:tcPr>
            <w:tcW w:w="2126" w:type="dxa"/>
            <w:vAlign w:val="center"/>
          </w:tcPr>
          <w:p w14:paraId="5353F172">
            <w:pPr>
              <w:pStyle w:val="11"/>
            </w:pPr>
          </w:p>
        </w:tc>
        <w:tc>
          <w:tcPr>
            <w:tcW w:w="4535" w:type="dxa"/>
            <w:vAlign w:val="center"/>
          </w:tcPr>
          <w:p w14:paraId="4AEA133C">
            <w:pPr>
              <w:pStyle w:val="12"/>
            </w:pPr>
            <w:r>
              <w:t>四、公共安全支出</w:t>
            </w:r>
          </w:p>
        </w:tc>
        <w:tc>
          <w:tcPr>
            <w:tcW w:w="2126" w:type="dxa"/>
            <w:vAlign w:val="center"/>
          </w:tcPr>
          <w:p w14:paraId="5A95D53D">
            <w:pPr>
              <w:pStyle w:val="11"/>
            </w:pPr>
          </w:p>
        </w:tc>
      </w:tr>
      <w:tr w14:paraId="63A375DF">
        <w:tblPrEx>
          <w:tblCellMar>
            <w:top w:w="0" w:type="dxa"/>
            <w:left w:w="108" w:type="dxa"/>
            <w:bottom w:w="0" w:type="dxa"/>
            <w:right w:w="108" w:type="dxa"/>
          </w:tblCellMar>
        </w:tblPrEx>
        <w:trPr>
          <w:trHeight w:val="369" w:hRule="atLeast"/>
          <w:jc w:val="center"/>
        </w:trPr>
        <w:tc>
          <w:tcPr>
            <w:tcW w:w="850" w:type="dxa"/>
            <w:vAlign w:val="center"/>
          </w:tcPr>
          <w:p w14:paraId="275CBCFE">
            <w:pPr>
              <w:pStyle w:val="13"/>
            </w:pPr>
            <w:r>
              <w:t>5</w:t>
            </w:r>
          </w:p>
        </w:tc>
        <w:tc>
          <w:tcPr>
            <w:tcW w:w="4535" w:type="dxa"/>
            <w:vAlign w:val="center"/>
          </w:tcPr>
          <w:p w14:paraId="4E12C8FF">
            <w:pPr>
              <w:pStyle w:val="12"/>
            </w:pPr>
            <w:r>
              <w:t>五、单位资金</w:t>
            </w:r>
          </w:p>
        </w:tc>
        <w:tc>
          <w:tcPr>
            <w:tcW w:w="2126" w:type="dxa"/>
            <w:vAlign w:val="center"/>
          </w:tcPr>
          <w:p w14:paraId="7F7E2334">
            <w:pPr>
              <w:pStyle w:val="11"/>
            </w:pPr>
          </w:p>
        </w:tc>
        <w:tc>
          <w:tcPr>
            <w:tcW w:w="4535" w:type="dxa"/>
            <w:vAlign w:val="center"/>
          </w:tcPr>
          <w:p w14:paraId="2ED2CCF0">
            <w:pPr>
              <w:pStyle w:val="12"/>
            </w:pPr>
            <w:r>
              <w:t>五、教育支出</w:t>
            </w:r>
          </w:p>
        </w:tc>
        <w:tc>
          <w:tcPr>
            <w:tcW w:w="2126" w:type="dxa"/>
            <w:vAlign w:val="center"/>
          </w:tcPr>
          <w:p w14:paraId="5A7CF9AF">
            <w:pPr>
              <w:pStyle w:val="11"/>
            </w:pPr>
            <w:r>
              <w:t>990.66</w:t>
            </w:r>
          </w:p>
        </w:tc>
      </w:tr>
      <w:tr w14:paraId="5EF2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37AD">
            <w:pPr>
              <w:pStyle w:val="13"/>
            </w:pPr>
            <w:r>
              <w:t>6</w:t>
            </w:r>
          </w:p>
        </w:tc>
        <w:tc>
          <w:tcPr>
            <w:tcW w:w="4535" w:type="dxa"/>
            <w:vAlign w:val="center"/>
          </w:tcPr>
          <w:p w14:paraId="64082505">
            <w:pPr>
              <w:pStyle w:val="12"/>
            </w:pPr>
          </w:p>
        </w:tc>
        <w:tc>
          <w:tcPr>
            <w:tcW w:w="2126" w:type="dxa"/>
            <w:vAlign w:val="center"/>
          </w:tcPr>
          <w:p w14:paraId="3BF6CD5F">
            <w:pPr>
              <w:pStyle w:val="11"/>
            </w:pPr>
          </w:p>
        </w:tc>
        <w:tc>
          <w:tcPr>
            <w:tcW w:w="4535" w:type="dxa"/>
            <w:vAlign w:val="center"/>
          </w:tcPr>
          <w:p w14:paraId="2C4B96E0">
            <w:pPr>
              <w:pStyle w:val="12"/>
            </w:pPr>
            <w:r>
              <w:t>六、科学技术支出</w:t>
            </w:r>
          </w:p>
        </w:tc>
        <w:tc>
          <w:tcPr>
            <w:tcW w:w="2126" w:type="dxa"/>
            <w:vAlign w:val="center"/>
          </w:tcPr>
          <w:p w14:paraId="58ACF8E6">
            <w:pPr>
              <w:pStyle w:val="11"/>
            </w:pPr>
          </w:p>
        </w:tc>
      </w:tr>
      <w:tr w14:paraId="2825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AC0B">
            <w:pPr>
              <w:pStyle w:val="13"/>
            </w:pPr>
            <w:r>
              <w:t>7</w:t>
            </w:r>
          </w:p>
        </w:tc>
        <w:tc>
          <w:tcPr>
            <w:tcW w:w="4535" w:type="dxa"/>
            <w:vAlign w:val="center"/>
          </w:tcPr>
          <w:p w14:paraId="5D7D93B9">
            <w:pPr>
              <w:pStyle w:val="12"/>
            </w:pPr>
          </w:p>
        </w:tc>
        <w:tc>
          <w:tcPr>
            <w:tcW w:w="2126" w:type="dxa"/>
            <w:vAlign w:val="center"/>
          </w:tcPr>
          <w:p w14:paraId="4A70BF25">
            <w:pPr>
              <w:pStyle w:val="11"/>
            </w:pPr>
          </w:p>
        </w:tc>
        <w:tc>
          <w:tcPr>
            <w:tcW w:w="4535" w:type="dxa"/>
            <w:vAlign w:val="center"/>
          </w:tcPr>
          <w:p w14:paraId="0461EA6B">
            <w:pPr>
              <w:pStyle w:val="12"/>
            </w:pPr>
            <w:r>
              <w:t>七、文化旅游体育与传媒支出</w:t>
            </w:r>
          </w:p>
        </w:tc>
        <w:tc>
          <w:tcPr>
            <w:tcW w:w="2126" w:type="dxa"/>
            <w:vAlign w:val="center"/>
          </w:tcPr>
          <w:p w14:paraId="1E5454BF">
            <w:pPr>
              <w:pStyle w:val="11"/>
            </w:pPr>
          </w:p>
        </w:tc>
      </w:tr>
      <w:tr w14:paraId="5553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6BB5A">
            <w:pPr>
              <w:pStyle w:val="13"/>
            </w:pPr>
            <w:r>
              <w:t>8</w:t>
            </w:r>
          </w:p>
        </w:tc>
        <w:tc>
          <w:tcPr>
            <w:tcW w:w="4535" w:type="dxa"/>
            <w:vAlign w:val="center"/>
          </w:tcPr>
          <w:p w14:paraId="04DB074A">
            <w:pPr>
              <w:pStyle w:val="12"/>
            </w:pPr>
          </w:p>
        </w:tc>
        <w:tc>
          <w:tcPr>
            <w:tcW w:w="2126" w:type="dxa"/>
            <w:vAlign w:val="center"/>
          </w:tcPr>
          <w:p w14:paraId="1BB4F3FB">
            <w:pPr>
              <w:pStyle w:val="11"/>
            </w:pPr>
          </w:p>
        </w:tc>
        <w:tc>
          <w:tcPr>
            <w:tcW w:w="4535" w:type="dxa"/>
            <w:vAlign w:val="center"/>
          </w:tcPr>
          <w:p w14:paraId="06F6304C">
            <w:pPr>
              <w:pStyle w:val="12"/>
            </w:pPr>
            <w:r>
              <w:t>八、社会保障和就业支出</w:t>
            </w:r>
          </w:p>
        </w:tc>
        <w:tc>
          <w:tcPr>
            <w:tcW w:w="2126" w:type="dxa"/>
            <w:vAlign w:val="center"/>
          </w:tcPr>
          <w:p w14:paraId="69B63E7C">
            <w:pPr>
              <w:pStyle w:val="11"/>
            </w:pPr>
          </w:p>
        </w:tc>
      </w:tr>
      <w:tr w14:paraId="7629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93DAC">
            <w:pPr>
              <w:pStyle w:val="13"/>
            </w:pPr>
            <w:r>
              <w:t>9</w:t>
            </w:r>
          </w:p>
        </w:tc>
        <w:tc>
          <w:tcPr>
            <w:tcW w:w="4535" w:type="dxa"/>
            <w:vAlign w:val="center"/>
          </w:tcPr>
          <w:p w14:paraId="33098089">
            <w:pPr>
              <w:pStyle w:val="12"/>
            </w:pPr>
          </w:p>
        </w:tc>
        <w:tc>
          <w:tcPr>
            <w:tcW w:w="2126" w:type="dxa"/>
            <w:vAlign w:val="center"/>
          </w:tcPr>
          <w:p w14:paraId="13997EFA">
            <w:pPr>
              <w:pStyle w:val="11"/>
            </w:pPr>
          </w:p>
        </w:tc>
        <w:tc>
          <w:tcPr>
            <w:tcW w:w="4535" w:type="dxa"/>
            <w:vAlign w:val="center"/>
          </w:tcPr>
          <w:p w14:paraId="14B48F46">
            <w:pPr>
              <w:pStyle w:val="12"/>
            </w:pPr>
            <w:r>
              <w:t>九、社会保险基金支出</w:t>
            </w:r>
          </w:p>
        </w:tc>
        <w:tc>
          <w:tcPr>
            <w:tcW w:w="2126" w:type="dxa"/>
            <w:vAlign w:val="center"/>
          </w:tcPr>
          <w:p w14:paraId="266FFEAE">
            <w:pPr>
              <w:pStyle w:val="11"/>
            </w:pPr>
          </w:p>
        </w:tc>
      </w:tr>
      <w:tr w14:paraId="0FB9E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4C0AD">
            <w:pPr>
              <w:pStyle w:val="13"/>
            </w:pPr>
            <w:r>
              <w:t>10</w:t>
            </w:r>
          </w:p>
        </w:tc>
        <w:tc>
          <w:tcPr>
            <w:tcW w:w="4535" w:type="dxa"/>
            <w:vAlign w:val="center"/>
          </w:tcPr>
          <w:p w14:paraId="7284304C">
            <w:pPr>
              <w:pStyle w:val="12"/>
            </w:pPr>
          </w:p>
        </w:tc>
        <w:tc>
          <w:tcPr>
            <w:tcW w:w="2126" w:type="dxa"/>
            <w:vAlign w:val="center"/>
          </w:tcPr>
          <w:p w14:paraId="0A36E7C2">
            <w:pPr>
              <w:pStyle w:val="11"/>
            </w:pPr>
          </w:p>
        </w:tc>
        <w:tc>
          <w:tcPr>
            <w:tcW w:w="4535" w:type="dxa"/>
            <w:vAlign w:val="center"/>
          </w:tcPr>
          <w:p w14:paraId="34AEE98A">
            <w:pPr>
              <w:pStyle w:val="12"/>
            </w:pPr>
            <w:r>
              <w:t>十、卫生健康支出</w:t>
            </w:r>
          </w:p>
        </w:tc>
        <w:tc>
          <w:tcPr>
            <w:tcW w:w="2126" w:type="dxa"/>
            <w:vAlign w:val="center"/>
          </w:tcPr>
          <w:p w14:paraId="4B6A3EDD">
            <w:pPr>
              <w:pStyle w:val="11"/>
            </w:pPr>
          </w:p>
        </w:tc>
      </w:tr>
      <w:tr w14:paraId="161E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A741A">
            <w:pPr>
              <w:pStyle w:val="13"/>
            </w:pPr>
            <w:r>
              <w:t>11</w:t>
            </w:r>
          </w:p>
        </w:tc>
        <w:tc>
          <w:tcPr>
            <w:tcW w:w="4535" w:type="dxa"/>
            <w:vAlign w:val="center"/>
          </w:tcPr>
          <w:p w14:paraId="3FF4ACB5">
            <w:pPr>
              <w:pStyle w:val="12"/>
            </w:pPr>
          </w:p>
        </w:tc>
        <w:tc>
          <w:tcPr>
            <w:tcW w:w="2126" w:type="dxa"/>
            <w:vAlign w:val="center"/>
          </w:tcPr>
          <w:p w14:paraId="06B50B37">
            <w:pPr>
              <w:pStyle w:val="11"/>
            </w:pPr>
          </w:p>
        </w:tc>
        <w:tc>
          <w:tcPr>
            <w:tcW w:w="4535" w:type="dxa"/>
            <w:vAlign w:val="center"/>
          </w:tcPr>
          <w:p w14:paraId="7317E38D">
            <w:pPr>
              <w:pStyle w:val="12"/>
            </w:pPr>
            <w:r>
              <w:t>十一、节能环保支出</w:t>
            </w:r>
          </w:p>
        </w:tc>
        <w:tc>
          <w:tcPr>
            <w:tcW w:w="2126" w:type="dxa"/>
            <w:vAlign w:val="center"/>
          </w:tcPr>
          <w:p w14:paraId="7B839082">
            <w:pPr>
              <w:pStyle w:val="11"/>
            </w:pPr>
          </w:p>
        </w:tc>
      </w:tr>
      <w:tr w14:paraId="635C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C224">
            <w:pPr>
              <w:pStyle w:val="13"/>
            </w:pPr>
            <w:r>
              <w:t>12</w:t>
            </w:r>
          </w:p>
        </w:tc>
        <w:tc>
          <w:tcPr>
            <w:tcW w:w="4535" w:type="dxa"/>
            <w:vAlign w:val="center"/>
          </w:tcPr>
          <w:p w14:paraId="276EDC0C">
            <w:pPr>
              <w:pStyle w:val="12"/>
            </w:pPr>
          </w:p>
        </w:tc>
        <w:tc>
          <w:tcPr>
            <w:tcW w:w="2126" w:type="dxa"/>
            <w:vAlign w:val="center"/>
          </w:tcPr>
          <w:p w14:paraId="7167AA83">
            <w:pPr>
              <w:pStyle w:val="11"/>
            </w:pPr>
          </w:p>
        </w:tc>
        <w:tc>
          <w:tcPr>
            <w:tcW w:w="4535" w:type="dxa"/>
            <w:vAlign w:val="center"/>
          </w:tcPr>
          <w:p w14:paraId="57C7CEBA">
            <w:pPr>
              <w:pStyle w:val="12"/>
            </w:pPr>
            <w:r>
              <w:t>十二、城乡社区支出</w:t>
            </w:r>
          </w:p>
        </w:tc>
        <w:tc>
          <w:tcPr>
            <w:tcW w:w="2126" w:type="dxa"/>
            <w:vAlign w:val="center"/>
          </w:tcPr>
          <w:p w14:paraId="556CC007">
            <w:pPr>
              <w:pStyle w:val="11"/>
            </w:pPr>
          </w:p>
        </w:tc>
      </w:tr>
      <w:tr w14:paraId="422BB085">
        <w:tblPrEx>
          <w:tblCellMar>
            <w:top w:w="0" w:type="dxa"/>
            <w:left w:w="108" w:type="dxa"/>
            <w:bottom w:w="0" w:type="dxa"/>
            <w:right w:w="108" w:type="dxa"/>
          </w:tblCellMar>
        </w:tblPrEx>
        <w:trPr>
          <w:trHeight w:val="369" w:hRule="atLeast"/>
          <w:jc w:val="center"/>
        </w:trPr>
        <w:tc>
          <w:tcPr>
            <w:tcW w:w="850" w:type="dxa"/>
            <w:vAlign w:val="center"/>
          </w:tcPr>
          <w:p w14:paraId="20D35DED">
            <w:pPr>
              <w:pStyle w:val="13"/>
            </w:pPr>
            <w:r>
              <w:t>13</w:t>
            </w:r>
          </w:p>
        </w:tc>
        <w:tc>
          <w:tcPr>
            <w:tcW w:w="4535" w:type="dxa"/>
            <w:vAlign w:val="center"/>
          </w:tcPr>
          <w:p w14:paraId="0DA871DF">
            <w:pPr>
              <w:pStyle w:val="12"/>
            </w:pPr>
          </w:p>
        </w:tc>
        <w:tc>
          <w:tcPr>
            <w:tcW w:w="2126" w:type="dxa"/>
            <w:vAlign w:val="center"/>
          </w:tcPr>
          <w:p w14:paraId="5896A248">
            <w:pPr>
              <w:pStyle w:val="11"/>
            </w:pPr>
          </w:p>
        </w:tc>
        <w:tc>
          <w:tcPr>
            <w:tcW w:w="4535" w:type="dxa"/>
            <w:vAlign w:val="center"/>
          </w:tcPr>
          <w:p w14:paraId="654ED9FC">
            <w:pPr>
              <w:pStyle w:val="12"/>
            </w:pPr>
            <w:r>
              <w:t>十三、农林水支出</w:t>
            </w:r>
          </w:p>
        </w:tc>
        <w:tc>
          <w:tcPr>
            <w:tcW w:w="2126" w:type="dxa"/>
            <w:vAlign w:val="center"/>
          </w:tcPr>
          <w:p w14:paraId="38F02356">
            <w:pPr>
              <w:pStyle w:val="11"/>
            </w:pPr>
          </w:p>
        </w:tc>
      </w:tr>
      <w:tr w14:paraId="137D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492E">
            <w:pPr>
              <w:pStyle w:val="13"/>
            </w:pPr>
            <w:r>
              <w:t>14</w:t>
            </w:r>
          </w:p>
        </w:tc>
        <w:tc>
          <w:tcPr>
            <w:tcW w:w="4535" w:type="dxa"/>
            <w:vAlign w:val="center"/>
          </w:tcPr>
          <w:p w14:paraId="5F544F78">
            <w:pPr>
              <w:pStyle w:val="12"/>
            </w:pPr>
          </w:p>
        </w:tc>
        <w:tc>
          <w:tcPr>
            <w:tcW w:w="2126" w:type="dxa"/>
            <w:vAlign w:val="center"/>
          </w:tcPr>
          <w:p w14:paraId="7B404755">
            <w:pPr>
              <w:pStyle w:val="11"/>
            </w:pPr>
          </w:p>
        </w:tc>
        <w:tc>
          <w:tcPr>
            <w:tcW w:w="4535" w:type="dxa"/>
            <w:vAlign w:val="center"/>
          </w:tcPr>
          <w:p w14:paraId="1A2A03CE">
            <w:pPr>
              <w:pStyle w:val="12"/>
            </w:pPr>
            <w:r>
              <w:t>十四、交通运输支出</w:t>
            </w:r>
          </w:p>
        </w:tc>
        <w:tc>
          <w:tcPr>
            <w:tcW w:w="2126" w:type="dxa"/>
            <w:vAlign w:val="center"/>
          </w:tcPr>
          <w:p w14:paraId="2A4DD367">
            <w:pPr>
              <w:pStyle w:val="11"/>
            </w:pPr>
          </w:p>
        </w:tc>
      </w:tr>
      <w:tr w14:paraId="1FB4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E5035">
            <w:pPr>
              <w:pStyle w:val="13"/>
            </w:pPr>
            <w:r>
              <w:t>15</w:t>
            </w:r>
          </w:p>
        </w:tc>
        <w:tc>
          <w:tcPr>
            <w:tcW w:w="4535" w:type="dxa"/>
            <w:vAlign w:val="center"/>
          </w:tcPr>
          <w:p w14:paraId="2DEFEA01">
            <w:pPr>
              <w:pStyle w:val="12"/>
            </w:pPr>
          </w:p>
        </w:tc>
        <w:tc>
          <w:tcPr>
            <w:tcW w:w="2126" w:type="dxa"/>
            <w:vAlign w:val="center"/>
          </w:tcPr>
          <w:p w14:paraId="23E8565F">
            <w:pPr>
              <w:pStyle w:val="11"/>
            </w:pPr>
          </w:p>
        </w:tc>
        <w:tc>
          <w:tcPr>
            <w:tcW w:w="4535" w:type="dxa"/>
            <w:vAlign w:val="center"/>
          </w:tcPr>
          <w:p w14:paraId="4586C74B">
            <w:pPr>
              <w:pStyle w:val="12"/>
            </w:pPr>
            <w:r>
              <w:t>十五、资源勘探工业信息等支出</w:t>
            </w:r>
          </w:p>
        </w:tc>
        <w:tc>
          <w:tcPr>
            <w:tcW w:w="2126" w:type="dxa"/>
            <w:vAlign w:val="center"/>
          </w:tcPr>
          <w:p w14:paraId="3A0B27D6">
            <w:pPr>
              <w:pStyle w:val="11"/>
            </w:pPr>
          </w:p>
        </w:tc>
      </w:tr>
      <w:tr w14:paraId="7D9A2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E0D00">
            <w:pPr>
              <w:pStyle w:val="13"/>
            </w:pPr>
            <w:r>
              <w:t>16</w:t>
            </w:r>
          </w:p>
        </w:tc>
        <w:tc>
          <w:tcPr>
            <w:tcW w:w="4535" w:type="dxa"/>
            <w:vAlign w:val="center"/>
          </w:tcPr>
          <w:p w14:paraId="4057AF61">
            <w:pPr>
              <w:pStyle w:val="12"/>
            </w:pPr>
          </w:p>
        </w:tc>
        <w:tc>
          <w:tcPr>
            <w:tcW w:w="2126" w:type="dxa"/>
            <w:vAlign w:val="center"/>
          </w:tcPr>
          <w:p w14:paraId="2C68DE9E">
            <w:pPr>
              <w:pStyle w:val="11"/>
            </w:pPr>
          </w:p>
        </w:tc>
        <w:tc>
          <w:tcPr>
            <w:tcW w:w="4535" w:type="dxa"/>
            <w:vAlign w:val="center"/>
          </w:tcPr>
          <w:p w14:paraId="386A1C86">
            <w:pPr>
              <w:pStyle w:val="12"/>
            </w:pPr>
            <w:r>
              <w:t>十六、商业服务业等支出</w:t>
            </w:r>
          </w:p>
        </w:tc>
        <w:tc>
          <w:tcPr>
            <w:tcW w:w="2126" w:type="dxa"/>
            <w:vAlign w:val="center"/>
          </w:tcPr>
          <w:p w14:paraId="6198B084">
            <w:pPr>
              <w:pStyle w:val="11"/>
            </w:pPr>
          </w:p>
        </w:tc>
      </w:tr>
      <w:tr w14:paraId="439A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FB2B">
            <w:pPr>
              <w:pStyle w:val="13"/>
            </w:pPr>
            <w:r>
              <w:t>17</w:t>
            </w:r>
          </w:p>
        </w:tc>
        <w:tc>
          <w:tcPr>
            <w:tcW w:w="4535" w:type="dxa"/>
            <w:vAlign w:val="center"/>
          </w:tcPr>
          <w:p w14:paraId="5E7E881D">
            <w:pPr>
              <w:pStyle w:val="12"/>
            </w:pPr>
          </w:p>
        </w:tc>
        <w:tc>
          <w:tcPr>
            <w:tcW w:w="2126" w:type="dxa"/>
            <w:vAlign w:val="center"/>
          </w:tcPr>
          <w:p w14:paraId="0DBE4AB0">
            <w:pPr>
              <w:pStyle w:val="11"/>
            </w:pPr>
          </w:p>
        </w:tc>
        <w:tc>
          <w:tcPr>
            <w:tcW w:w="4535" w:type="dxa"/>
            <w:vAlign w:val="center"/>
          </w:tcPr>
          <w:p w14:paraId="2F63561B">
            <w:pPr>
              <w:pStyle w:val="12"/>
            </w:pPr>
            <w:r>
              <w:t>十七、金融支出</w:t>
            </w:r>
          </w:p>
        </w:tc>
        <w:tc>
          <w:tcPr>
            <w:tcW w:w="2126" w:type="dxa"/>
            <w:vAlign w:val="center"/>
          </w:tcPr>
          <w:p w14:paraId="490DD719">
            <w:pPr>
              <w:pStyle w:val="11"/>
            </w:pPr>
          </w:p>
        </w:tc>
      </w:tr>
      <w:tr w14:paraId="3D9C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F8BC9">
            <w:pPr>
              <w:pStyle w:val="13"/>
            </w:pPr>
            <w:r>
              <w:t>18</w:t>
            </w:r>
          </w:p>
        </w:tc>
        <w:tc>
          <w:tcPr>
            <w:tcW w:w="4535" w:type="dxa"/>
            <w:vAlign w:val="center"/>
          </w:tcPr>
          <w:p w14:paraId="4E85FE1E">
            <w:pPr>
              <w:pStyle w:val="12"/>
            </w:pPr>
          </w:p>
        </w:tc>
        <w:tc>
          <w:tcPr>
            <w:tcW w:w="2126" w:type="dxa"/>
            <w:vAlign w:val="center"/>
          </w:tcPr>
          <w:p w14:paraId="35B1DED9">
            <w:pPr>
              <w:pStyle w:val="11"/>
            </w:pPr>
          </w:p>
        </w:tc>
        <w:tc>
          <w:tcPr>
            <w:tcW w:w="4535" w:type="dxa"/>
            <w:vAlign w:val="center"/>
          </w:tcPr>
          <w:p w14:paraId="2C5C7215">
            <w:pPr>
              <w:pStyle w:val="12"/>
            </w:pPr>
            <w:r>
              <w:t>十八、援助其他地区支出</w:t>
            </w:r>
          </w:p>
        </w:tc>
        <w:tc>
          <w:tcPr>
            <w:tcW w:w="2126" w:type="dxa"/>
            <w:vAlign w:val="center"/>
          </w:tcPr>
          <w:p w14:paraId="2D69E237">
            <w:pPr>
              <w:pStyle w:val="11"/>
            </w:pPr>
          </w:p>
        </w:tc>
      </w:tr>
      <w:tr w14:paraId="5D7E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6DBD">
            <w:pPr>
              <w:pStyle w:val="13"/>
            </w:pPr>
            <w:r>
              <w:t>19</w:t>
            </w:r>
          </w:p>
        </w:tc>
        <w:tc>
          <w:tcPr>
            <w:tcW w:w="4535" w:type="dxa"/>
            <w:vAlign w:val="center"/>
          </w:tcPr>
          <w:p w14:paraId="07AF2100">
            <w:pPr>
              <w:pStyle w:val="12"/>
            </w:pPr>
          </w:p>
        </w:tc>
        <w:tc>
          <w:tcPr>
            <w:tcW w:w="2126" w:type="dxa"/>
            <w:vAlign w:val="center"/>
          </w:tcPr>
          <w:p w14:paraId="7BEF77B5">
            <w:pPr>
              <w:pStyle w:val="11"/>
            </w:pPr>
          </w:p>
        </w:tc>
        <w:tc>
          <w:tcPr>
            <w:tcW w:w="4535" w:type="dxa"/>
            <w:vAlign w:val="center"/>
          </w:tcPr>
          <w:p w14:paraId="4E5D3285">
            <w:pPr>
              <w:pStyle w:val="12"/>
            </w:pPr>
            <w:r>
              <w:t>十九、自然资源海洋气象等支出</w:t>
            </w:r>
          </w:p>
        </w:tc>
        <w:tc>
          <w:tcPr>
            <w:tcW w:w="2126" w:type="dxa"/>
            <w:vAlign w:val="center"/>
          </w:tcPr>
          <w:p w14:paraId="7C294905">
            <w:pPr>
              <w:pStyle w:val="11"/>
            </w:pPr>
          </w:p>
        </w:tc>
      </w:tr>
      <w:tr w14:paraId="5822A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5C40">
            <w:pPr>
              <w:pStyle w:val="13"/>
            </w:pPr>
            <w:r>
              <w:t>20</w:t>
            </w:r>
          </w:p>
        </w:tc>
        <w:tc>
          <w:tcPr>
            <w:tcW w:w="4535" w:type="dxa"/>
            <w:vAlign w:val="center"/>
          </w:tcPr>
          <w:p w14:paraId="27F9C33A">
            <w:pPr>
              <w:pStyle w:val="12"/>
            </w:pPr>
          </w:p>
        </w:tc>
        <w:tc>
          <w:tcPr>
            <w:tcW w:w="2126" w:type="dxa"/>
            <w:vAlign w:val="center"/>
          </w:tcPr>
          <w:p w14:paraId="076C6E65">
            <w:pPr>
              <w:pStyle w:val="11"/>
            </w:pPr>
          </w:p>
        </w:tc>
        <w:tc>
          <w:tcPr>
            <w:tcW w:w="4535" w:type="dxa"/>
            <w:vAlign w:val="center"/>
          </w:tcPr>
          <w:p w14:paraId="48154185">
            <w:pPr>
              <w:pStyle w:val="12"/>
            </w:pPr>
            <w:r>
              <w:t>二十、住房保障支出</w:t>
            </w:r>
          </w:p>
        </w:tc>
        <w:tc>
          <w:tcPr>
            <w:tcW w:w="2126" w:type="dxa"/>
            <w:vAlign w:val="center"/>
          </w:tcPr>
          <w:p w14:paraId="2E70FD52">
            <w:pPr>
              <w:pStyle w:val="11"/>
            </w:pPr>
          </w:p>
        </w:tc>
      </w:tr>
      <w:tr w14:paraId="0B2F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2ED35">
            <w:pPr>
              <w:pStyle w:val="13"/>
            </w:pPr>
            <w:r>
              <w:t>21</w:t>
            </w:r>
          </w:p>
        </w:tc>
        <w:tc>
          <w:tcPr>
            <w:tcW w:w="4535" w:type="dxa"/>
            <w:vAlign w:val="center"/>
          </w:tcPr>
          <w:p w14:paraId="5FB7D7B1">
            <w:pPr>
              <w:pStyle w:val="12"/>
            </w:pPr>
          </w:p>
        </w:tc>
        <w:tc>
          <w:tcPr>
            <w:tcW w:w="2126" w:type="dxa"/>
            <w:vAlign w:val="center"/>
          </w:tcPr>
          <w:p w14:paraId="5428328C">
            <w:pPr>
              <w:pStyle w:val="11"/>
            </w:pPr>
          </w:p>
        </w:tc>
        <w:tc>
          <w:tcPr>
            <w:tcW w:w="4535" w:type="dxa"/>
            <w:vAlign w:val="center"/>
          </w:tcPr>
          <w:p w14:paraId="1F92CD8D">
            <w:pPr>
              <w:pStyle w:val="12"/>
            </w:pPr>
            <w:r>
              <w:t>二十一、粮油物资储备支出</w:t>
            </w:r>
          </w:p>
        </w:tc>
        <w:tc>
          <w:tcPr>
            <w:tcW w:w="2126" w:type="dxa"/>
            <w:vAlign w:val="center"/>
          </w:tcPr>
          <w:p w14:paraId="330BAC01">
            <w:pPr>
              <w:pStyle w:val="11"/>
            </w:pPr>
          </w:p>
        </w:tc>
      </w:tr>
      <w:tr w14:paraId="56C5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1E2C2">
            <w:pPr>
              <w:pStyle w:val="13"/>
            </w:pPr>
            <w:r>
              <w:t>22</w:t>
            </w:r>
          </w:p>
        </w:tc>
        <w:tc>
          <w:tcPr>
            <w:tcW w:w="4535" w:type="dxa"/>
            <w:vAlign w:val="center"/>
          </w:tcPr>
          <w:p w14:paraId="0CC9D5A3">
            <w:pPr>
              <w:pStyle w:val="12"/>
            </w:pPr>
          </w:p>
        </w:tc>
        <w:tc>
          <w:tcPr>
            <w:tcW w:w="2126" w:type="dxa"/>
            <w:vAlign w:val="center"/>
          </w:tcPr>
          <w:p w14:paraId="7568293F">
            <w:pPr>
              <w:pStyle w:val="11"/>
            </w:pPr>
          </w:p>
        </w:tc>
        <w:tc>
          <w:tcPr>
            <w:tcW w:w="4535" w:type="dxa"/>
            <w:vAlign w:val="center"/>
          </w:tcPr>
          <w:p w14:paraId="160AF84B">
            <w:pPr>
              <w:pStyle w:val="12"/>
            </w:pPr>
            <w:r>
              <w:t>二十二、国有资本经营预算支出</w:t>
            </w:r>
          </w:p>
        </w:tc>
        <w:tc>
          <w:tcPr>
            <w:tcW w:w="2126" w:type="dxa"/>
            <w:vAlign w:val="center"/>
          </w:tcPr>
          <w:p w14:paraId="71ABE727">
            <w:pPr>
              <w:pStyle w:val="11"/>
            </w:pPr>
          </w:p>
        </w:tc>
      </w:tr>
      <w:tr w14:paraId="3AA0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13C4C">
            <w:pPr>
              <w:pStyle w:val="13"/>
            </w:pPr>
            <w:r>
              <w:t>23</w:t>
            </w:r>
          </w:p>
        </w:tc>
        <w:tc>
          <w:tcPr>
            <w:tcW w:w="4535" w:type="dxa"/>
            <w:vAlign w:val="center"/>
          </w:tcPr>
          <w:p w14:paraId="4C66641C">
            <w:pPr>
              <w:pStyle w:val="12"/>
            </w:pPr>
          </w:p>
        </w:tc>
        <w:tc>
          <w:tcPr>
            <w:tcW w:w="2126" w:type="dxa"/>
            <w:vAlign w:val="center"/>
          </w:tcPr>
          <w:p w14:paraId="4819BED6">
            <w:pPr>
              <w:pStyle w:val="11"/>
            </w:pPr>
          </w:p>
        </w:tc>
        <w:tc>
          <w:tcPr>
            <w:tcW w:w="4535" w:type="dxa"/>
            <w:vAlign w:val="center"/>
          </w:tcPr>
          <w:p w14:paraId="77996647">
            <w:pPr>
              <w:pStyle w:val="12"/>
            </w:pPr>
            <w:r>
              <w:t>二十三、灾害防治及应急管理支出</w:t>
            </w:r>
          </w:p>
        </w:tc>
        <w:tc>
          <w:tcPr>
            <w:tcW w:w="2126" w:type="dxa"/>
            <w:vAlign w:val="center"/>
          </w:tcPr>
          <w:p w14:paraId="3DBCFB1C">
            <w:pPr>
              <w:pStyle w:val="11"/>
            </w:pPr>
          </w:p>
        </w:tc>
      </w:tr>
      <w:tr w14:paraId="6332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52E8">
            <w:pPr>
              <w:pStyle w:val="13"/>
            </w:pPr>
            <w:r>
              <w:t>24</w:t>
            </w:r>
          </w:p>
        </w:tc>
        <w:tc>
          <w:tcPr>
            <w:tcW w:w="4535" w:type="dxa"/>
            <w:vAlign w:val="center"/>
          </w:tcPr>
          <w:p w14:paraId="4D3B05D1">
            <w:pPr>
              <w:pStyle w:val="12"/>
            </w:pPr>
          </w:p>
        </w:tc>
        <w:tc>
          <w:tcPr>
            <w:tcW w:w="2126" w:type="dxa"/>
            <w:vAlign w:val="center"/>
          </w:tcPr>
          <w:p w14:paraId="05EDD85F">
            <w:pPr>
              <w:pStyle w:val="11"/>
            </w:pPr>
          </w:p>
        </w:tc>
        <w:tc>
          <w:tcPr>
            <w:tcW w:w="4535" w:type="dxa"/>
            <w:vAlign w:val="center"/>
          </w:tcPr>
          <w:p w14:paraId="19627626">
            <w:pPr>
              <w:pStyle w:val="12"/>
            </w:pPr>
            <w:r>
              <w:t>二十四、预备费</w:t>
            </w:r>
          </w:p>
        </w:tc>
        <w:tc>
          <w:tcPr>
            <w:tcW w:w="2126" w:type="dxa"/>
            <w:vAlign w:val="center"/>
          </w:tcPr>
          <w:p w14:paraId="5A62EB43">
            <w:pPr>
              <w:pStyle w:val="11"/>
            </w:pPr>
          </w:p>
        </w:tc>
      </w:tr>
      <w:tr w14:paraId="2CA3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537B">
            <w:pPr>
              <w:pStyle w:val="13"/>
            </w:pPr>
            <w:r>
              <w:t>25</w:t>
            </w:r>
          </w:p>
        </w:tc>
        <w:tc>
          <w:tcPr>
            <w:tcW w:w="4535" w:type="dxa"/>
            <w:vAlign w:val="center"/>
          </w:tcPr>
          <w:p w14:paraId="5BDF2C3C">
            <w:pPr>
              <w:pStyle w:val="12"/>
            </w:pPr>
          </w:p>
        </w:tc>
        <w:tc>
          <w:tcPr>
            <w:tcW w:w="2126" w:type="dxa"/>
            <w:vAlign w:val="center"/>
          </w:tcPr>
          <w:p w14:paraId="23A97642">
            <w:pPr>
              <w:pStyle w:val="11"/>
            </w:pPr>
          </w:p>
        </w:tc>
        <w:tc>
          <w:tcPr>
            <w:tcW w:w="4535" w:type="dxa"/>
            <w:vAlign w:val="center"/>
          </w:tcPr>
          <w:p w14:paraId="345A8AE7">
            <w:pPr>
              <w:pStyle w:val="12"/>
            </w:pPr>
            <w:r>
              <w:t>二十五、其他支出</w:t>
            </w:r>
          </w:p>
        </w:tc>
        <w:tc>
          <w:tcPr>
            <w:tcW w:w="2126" w:type="dxa"/>
            <w:vAlign w:val="center"/>
          </w:tcPr>
          <w:p w14:paraId="4AD0B6B5">
            <w:pPr>
              <w:pStyle w:val="11"/>
            </w:pPr>
          </w:p>
        </w:tc>
      </w:tr>
      <w:tr w14:paraId="4D27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E293A">
            <w:pPr>
              <w:pStyle w:val="13"/>
            </w:pPr>
            <w:r>
              <w:t>26</w:t>
            </w:r>
          </w:p>
        </w:tc>
        <w:tc>
          <w:tcPr>
            <w:tcW w:w="4535" w:type="dxa"/>
            <w:vAlign w:val="center"/>
          </w:tcPr>
          <w:p w14:paraId="04030002">
            <w:pPr>
              <w:pStyle w:val="12"/>
            </w:pPr>
          </w:p>
        </w:tc>
        <w:tc>
          <w:tcPr>
            <w:tcW w:w="2126" w:type="dxa"/>
            <w:vAlign w:val="center"/>
          </w:tcPr>
          <w:p w14:paraId="5DA400D9">
            <w:pPr>
              <w:pStyle w:val="11"/>
            </w:pPr>
          </w:p>
        </w:tc>
        <w:tc>
          <w:tcPr>
            <w:tcW w:w="4535" w:type="dxa"/>
            <w:vAlign w:val="center"/>
          </w:tcPr>
          <w:p w14:paraId="55F2E1DF">
            <w:pPr>
              <w:pStyle w:val="12"/>
            </w:pPr>
            <w:r>
              <w:t>二十六、转移性支出</w:t>
            </w:r>
          </w:p>
        </w:tc>
        <w:tc>
          <w:tcPr>
            <w:tcW w:w="2126" w:type="dxa"/>
            <w:vAlign w:val="center"/>
          </w:tcPr>
          <w:p w14:paraId="3F4A8641">
            <w:pPr>
              <w:pStyle w:val="11"/>
            </w:pPr>
          </w:p>
        </w:tc>
      </w:tr>
      <w:tr w14:paraId="727CF803">
        <w:tblPrEx>
          <w:tblCellMar>
            <w:top w:w="0" w:type="dxa"/>
            <w:left w:w="108" w:type="dxa"/>
            <w:bottom w:w="0" w:type="dxa"/>
            <w:right w:w="108" w:type="dxa"/>
          </w:tblCellMar>
        </w:tblPrEx>
        <w:trPr>
          <w:trHeight w:val="369" w:hRule="atLeast"/>
          <w:jc w:val="center"/>
        </w:trPr>
        <w:tc>
          <w:tcPr>
            <w:tcW w:w="850" w:type="dxa"/>
            <w:vAlign w:val="center"/>
          </w:tcPr>
          <w:p w14:paraId="6D60B308">
            <w:pPr>
              <w:pStyle w:val="13"/>
            </w:pPr>
            <w:r>
              <w:t>27</w:t>
            </w:r>
          </w:p>
        </w:tc>
        <w:tc>
          <w:tcPr>
            <w:tcW w:w="4535" w:type="dxa"/>
            <w:vAlign w:val="center"/>
          </w:tcPr>
          <w:p w14:paraId="205BD4D5">
            <w:pPr>
              <w:pStyle w:val="12"/>
            </w:pPr>
          </w:p>
        </w:tc>
        <w:tc>
          <w:tcPr>
            <w:tcW w:w="2126" w:type="dxa"/>
            <w:vAlign w:val="center"/>
          </w:tcPr>
          <w:p w14:paraId="5416C1FD">
            <w:pPr>
              <w:pStyle w:val="11"/>
            </w:pPr>
          </w:p>
        </w:tc>
        <w:tc>
          <w:tcPr>
            <w:tcW w:w="4535" w:type="dxa"/>
            <w:vAlign w:val="center"/>
          </w:tcPr>
          <w:p w14:paraId="3AD4DE16">
            <w:pPr>
              <w:pStyle w:val="12"/>
            </w:pPr>
            <w:r>
              <w:t>二十七、债务还本支出</w:t>
            </w:r>
          </w:p>
        </w:tc>
        <w:tc>
          <w:tcPr>
            <w:tcW w:w="2126" w:type="dxa"/>
            <w:vAlign w:val="center"/>
          </w:tcPr>
          <w:p w14:paraId="0E2AA360">
            <w:pPr>
              <w:pStyle w:val="11"/>
            </w:pPr>
          </w:p>
        </w:tc>
      </w:tr>
      <w:tr w14:paraId="74B4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FF886">
            <w:pPr>
              <w:pStyle w:val="13"/>
            </w:pPr>
            <w:r>
              <w:t>28</w:t>
            </w:r>
          </w:p>
        </w:tc>
        <w:tc>
          <w:tcPr>
            <w:tcW w:w="4535" w:type="dxa"/>
            <w:vAlign w:val="center"/>
          </w:tcPr>
          <w:p w14:paraId="05ADFA47">
            <w:pPr>
              <w:pStyle w:val="12"/>
            </w:pPr>
          </w:p>
        </w:tc>
        <w:tc>
          <w:tcPr>
            <w:tcW w:w="2126" w:type="dxa"/>
            <w:vAlign w:val="center"/>
          </w:tcPr>
          <w:p w14:paraId="46DA4F33">
            <w:pPr>
              <w:pStyle w:val="11"/>
            </w:pPr>
          </w:p>
        </w:tc>
        <w:tc>
          <w:tcPr>
            <w:tcW w:w="4535" w:type="dxa"/>
            <w:vAlign w:val="center"/>
          </w:tcPr>
          <w:p w14:paraId="0E23F862">
            <w:pPr>
              <w:pStyle w:val="12"/>
            </w:pPr>
            <w:r>
              <w:t>二十八、债务付息支出</w:t>
            </w:r>
          </w:p>
        </w:tc>
        <w:tc>
          <w:tcPr>
            <w:tcW w:w="2126" w:type="dxa"/>
            <w:vAlign w:val="center"/>
          </w:tcPr>
          <w:p w14:paraId="2A7EE051">
            <w:pPr>
              <w:pStyle w:val="11"/>
            </w:pPr>
          </w:p>
        </w:tc>
      </w:tr>
      <w:tr w14:paraId="387C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FC26">
            <w:pPr>
              <w:pStyle w:val="13"/>
            </w:pPr>
            <w:r>
              <w:t>29</w:t>
            </w:r>
          </w:p>
        </w:tc>
        <w:tc>
          <w:tcPr>
            <w:tcW w:w="4535" w:type="dxa"/>
            <w:vAlign w:val="center"/>
          </w:tcPr>
          <w:p w14:paraId="1C174092">
            <w:pPr>
              <w:pStyle w:val="12"/>
            </w:pPr>
          </w:p>
        </w:tc>
        <w:tc>
          <w:tcPr>
            <w:tcW w:w="2126" w:type="dxa"/>
            <w:vAlign w:val="center"/>
          </w:tcPr>
          <w:p w14:paraId="4EA23656">
            <w:pPr>
              <w:pStyle w:val="11"/>
            </w:pPr>
          </w:p>
        </w:tc>
        <w:tc>
          <w:tcPr>
            <w:tcW w:w="4535" w:type="dxa"/>
            <w:vAlign w:val="center"/>
          </w:tcPr>
          <w:p w14:paraId="2D87511F">
            <w:pPr>
              <w:pStyle w:val="12"/>
            </w:pPr>
            <w:r>
              <w:t>二十九、债务发行费用支出</w:t>
            </w:r>
          </w:p>
        </w:tc>
        <w:tc>
          <w:tcPr>
            <w:tcW w:w="2126" w:type="dxa"/>
            <w:vAlign w:val="center"/>
          </w:tcPr>
          <w:p w14:paraId="559C9A12">
            <w:pPr>
              <w:pStyle w:val="11"/>
            </w:pPr>
          </w:p>
        </w:tc>
      </w:tr>
      <w:tr w14:paraId="63BCFA15">
        <w:tblPrEx>
          <w:tblCellMar>
            <w:top w:w="0" w:type="dxa"/>
            <w:left w:w="108" w:type="dxa"/>
            <w:bottom w:w="0" w:type="dxa"/>
            <w:right w:w="108" w:type="dxa"/>
          </w:tblCellMar>
        </w:tblPrEx>
        <w:trPr>
          <w:trHeight w:val="369" w:hRule="atLeast"/>
          <w:jc w:val="center"/>
        </w:trPr>
        <w:tc>
          <w:tcPr>
            <w:tcW w:w="850" w:type="dxa"/>
            <w:vAlign w:val="center"/>
          </w:tcPr>
          <w:p w14:paraId="000277A1">
            <w:pPr>
              <w:pStyle w:val="13"/>
            </w:pPr>
            <w:r>
              <w:t>30</w:t>
            </w:r>
          </w:p>
        </w:tc>
        <w:tc>
          <w:tcPr>
            <w:tcW w:w="4535" w:type="dxa"/>
            <w:vAlign w:val="center"/>
          </w:tcPr>
          <w:p w14:paraId="11B1ADB3">
            <w:pPr>
              <w:pStyle w:val="12"/>
            </w:pPr>
          </w:p>
        </w:tc>
        <w:tc>
          <w:tcPr>
            <w:tcW w:w="2126" w:type="dxa"/>
            <w:vAlign w:val="center"/>
          </w:tcPr>
          <w:p w14:paraId="713BF61A">
            <w:pPr>
              <w:pStyle w:val="11"/>
            </w:pPr>
          </w:p>
        </w:tc>
        <w:tc>
          <w:tcPr>
            <w:tcW w:w="4535" w:type="dxa"/>
            <w:vAlign w:val="center"/>
          </w:tcPr>
          <w:p w14:paraId="142AE8B9">
            <w:pPr>
              <w:pStyle w:val="12"/>
            </w:pPr>
            <w:r>
              <w:t>三十、抗疫特别国债安排的支出</w:t>
            </w:r>
          </w:p>
        </w:tc>
        <w:tc>
          <w:tcPr>
            <w:tcW w:w="2126" w:type="dxa"/>
            <w:vAlign w:val="center"/>
          </w:tcPr>
          <w:p w14:paraId="4273A42A">
            <w:pPr>
              <w:pStyle w:val="11"/>
            </w:pPr>
          </w:p>
        </w:tc>
      </w:tr>
      <w:tr w14:paraId="63B3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2BC60">
            <w:pPr>
              <w:pStyle w:val="13"/>
            </w:pPr>
            <w:r>
              <w:t>31</w:t>
            </w:r>
          </w:p>
        </w:tc>
        <w:tc>
          <w:tcPr>
            <w:tcW w:w="4535" w:type="dxa"/>
            <w:vAlign w:val="center"/>
          </w:tcPr>
          <w:p w14:paraId="38B483B1">
            <w:pPr>
              <w:pStyle w:val="14"/>
            </w:pPr>
            <w:r>
              <w:t>本年收入合计</w:t>
            </w:r>
          </w:p>
        </w:tc>
        <w:tc>
          <w:tcPr>
            <w:tcW w:w="2126" w:type="dxa"/>
            <w:vAlign w:val="center"/>
          </w:tcPr>
          <w:p w14:paraId="118FE8AC">
            <w:pPr>
              <w:pStyle w:val="15"/>
            </w:pPr>
            <w:r>
              <w:t>990.66</w:t>
            </w:r>
          </w:p>
        </w:tc>
        <w:tc>
          <w:tcPr>
            <w:tcW w:w="4535" w:type="dxa"/>
            <w:vAlign w:val="center"/>
          </w:tcPr>
          <w:p w14:paraId="2E128C9E">
            <w:pPr>
              <w:pStyle w:val="14"/>
            </w:pPr>
            <w:r>
              <w:t>本年支出合计</w:t>
            </w:r>
          </w:p>
        </w:tc>
        <w:tc>
          <w:tcPr>
            <w:tcW w:w="2126" w:type="dxa"/>
            <w:vAlign w:val="center"/>
          </w:tcPr>
          <w:p w14:paraId="0A44780F">
            <w:pPr>
              <w:pStyle w:val="15"/>
            </w:pPr>
            <w:r>
              <w:t>990.66</w:t>
            </w:r>
          </w:p>
        </w:tc>
      </w:tr>
      <w:tr w14:paraId="28237979">
        <w:tblPrEx>
          <w:tblCellMar>
            <w:top w:w="0" w:type="dxa"/>
            <w:left w:w="108" w:type="dxa"/>
            <w:bottom w:w="0" w:type="dxa"/>
            <w:right w:w="108" w:type="dxa"/>
          </w:tblCellMar>
        </w:tblPrEx>
        <w:trPr>
          <w:trHeight w:val="369" w:hRule="atLeast"/>
          <w:jc w:val="center"/>
        </w:trPr>
        <w:tc>
          <w:tcPr>
            <w:tcW w:w="850" w:type="dxa"/>
            <w:vAlign w:val="center"/>
          </w:tcPr>
          <w:p w14:paraId="411190C2">
            <w:pPr>
              <w:pStyle w:val="13"/>
            </w:pPr>
            <w:r>
              <w:t>32</w:t>
            </w:r>
          </w:p>
        </w:tc>
        <w:tc>
          <w:tcPr>
            <w:tcW w:w="4535" w:type="dxa"/>
            <w:vAlign w:val="center"/>
          </w:tcPr>
          <w:p w14:paraId="2D9CA28F">
            <w:pPr>
              <w:pStyle w:val="12"/>
            </w:pPr>
            <w:r>
              <w:t>上年结转结余</w:t>
            </w:r>
          </w:p>
        </w:tc>
        <w:tc>
          <w:tcPr>
            <w:tcW w:w="2126" w:type="dxa"/>
            <w:vAlign w:val="center"/>
          </w:tcPr>
          <w:p w14:paraId="79DE848A">
            <w:pPr>
              <w:pStyle w:val="11"/>
            </w:pPr>
          </w:p>
        </w:tc>
        <w:tc>
          <w:tcPr>
            <w:tcW w:w="4535" w:type="dxa"/>
            <w:vAlign w:val="center"/>
          </w:tcPr>
          <w:p w14:paraId="47BA97AD">
            <w:pPr>
              <w:pStyle w:val="12"/>
            </w:pPr>
            <w:r>
              <w:t>年终结转结余</w:t>
            </w:r>
          </w:p>
        </w:tc>
        <w:tc>
          <w:tcPr>
            <w:tcW w:w="2126" w:type="dxa"/>
            <w:vAlign w:val="center"/>
          </w:tcPr>
          <w:p w14:paraId="75016A3A">
            <w:pPr>
              <w:pStyle w:val="11"/>
            </w:pPr>
          </w:p>
        </w:tc>
      </w:tr>
      <w:tr w14:paraId="05EE85CF">
        <w:tblPrEx>
          <w:tblCellMar>
            <w:top w:w="0" w:type="dxa"/>
            <w:left w:w="108" w:type="dxa"/>
            <w:bottom w:w="0" w:type="dxa"/>
            <w:right w:w="108" w:type="dxa"/>
          </w:tblCellMar>
        </w:tblPrEx>
        <w:trPr>
          <w:trHeight w:val="369" w:hRule="atLeast"/>
          <w:jc w:val="center"/>
        </w:trPr>
        <w:tc>
          <w:tcPr>
            <w:tcW w:w="850" w:type="dxa"/>
            <w:vAlign w:val="center"/>
          </w:tcPr>
          <w:p w14:paraId="06104E80">
            <w:pPr>
              <w:pStyle w:val="13"/>
            </w:pPr>
            <w:r>
              <w:t>33</w:t>
            </w:r>
          </w:p>
        </w:tc>
        <w:tc>
          <w:tcPr>
            <w:tcW w:w="4535" w:type="dxa"/>
            <w:vAlign w:val="center"/>
          </w:tcPr>
          <w:p w14:paraId="5B3B2EE8">
            <w:pPr>
              <w:pStyle w:val="14"/>
            </w:pPr>
            <w:r>
              <w:t>收入总计</w:t>
            </w:r>
          </w:p>
        </w:tc>
        <w:tc>
          <w:tcPr>
            <w:tcW w:w="2126" w:type="dxa"/>
            <w:vAlign w:val="center"/>
          </w:tcPr>
          <w:p w14:paraId="06AEED4B">
            <w:pPr>
              <w:pStyle w:val="15"/>
            </w:pPr>
            <w:r>
              <w:t>990.66</w:t>
            </w:r>
          </w:p>
        </w:tc>
        <w:tc>
          <w:tcPr>
            <w:tcW w:w="4535" w:type="dxa"/>
            <w:vAlign w:val="center"/>
          </w:tcPr>
          <w:p w14:paraId="541D2595">
            <w:pPr>
              <w:pStyle w:val="14"/>
            </w:pPr>
            <w:r>
              <w:t>支出总计</w:t>
            </w:r>
          </w:p>
        </w:tc>
        <w:tc>
          <w:tcPr>
            <w:tcW w:w="2126" w:type="dxa"/>
            <w:vAlign w:val="center"/>
          </w:tcPr>
          <w:p w14:paraId="217535EF">
            <w:pPr>
              <w:pStyle w:val="15"/>
            </w:pPr>
            <w:r>
              <w:t>990.66</w:t>
            </w:r>
          </w:p>
        </w:tc>
      </w:tr>
    </w:tbl>
    <w:p w14:paraId="15573C20">
      <w:pPr>
        <w:sectPr>
          <w:pgSz w:w="16840" w:h="11900" w:orient="landscape"/>
          <w:pgMar w:top="1361" w:right="1020" w:bottom="1134" w:left="1020" w:header="720" w:footer="720" w:gutter="0"/>
          <w:cols w:space="720" w:num="1"/>
        </w:sectPr>
      </w:pPr>
    </w:p>
    <w:p w14:paraId="3F062C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0F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B5346B">
            <w:pPr>
              <w:pStyle w:val="9"/>
            </w:pPr>
            <w:r>
              <w:t>360007隆尧县魏家庄中学</w:t>
            </w:r>
          </w:p>
        </w:tc>
        <w:tc>
          <w:tcPr>
            <w:tcW w:w="3402" w:type="dxa"/>
            <w:gridSpan w:val="3"/>
            <w:tcBorders>
              <w:top w:val="single" w:color="FFFFFF" w:sz="6" w:space="0"/>
              <w:left w:val="single" w:color="FFFFFF" w:sz="6" w:space="0"/>
              <w:right w:val="single" w:color="FFFFFF" w:sz="6" w:space="0"/>
            </w:tcBorders>
            <w:vAlign w:val="center"/>
          </w:tcPr>
          <w:p w14:paraId="6D33DAD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972B9A9">
            <w:pPr>
              <w:pStyle w:val="7"/>
            </w:pPr>
            <w:r>
              <w:t>单位：万元</w:t>
            </w:r>
          </w:p>
        </w:tc>
      </w:tr>
      <w:tr w14:paraId="5B65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AC9E12">
            <w:pPr>
              <w:pStyle w:val="10"/>
            </w:pPr>
            <w:r>
              <w:t>序号</w:t>
            </w:r>
          </w:p>
        </w:tc>
        <w:tc>
          <w:tcPr>
            <w:tcW w:w="2551" w:type="dxa"/>
            <w:gridSpan w:val="2"/>
            <w:vAlign w:val="center"/>
          </w:tcPr>
          <w:p w14:paraId="1E37A0A1">
            <w:pPr>
              <w:pStyle w:val="10"/>
            </w:pPr>
            <w:r>
              <w:t>功能分类科目</w:t>
            </w:r>
          </w:p>
        </w:tc>
        <w:tc>
          <w:tcPr>
            <w:tcW w:w="1134" w:type="dxa"/>
            <w:vMerge w:val="restart"/>
            <w:vAlign w:val="center"/>
          </w:tcPr>
          <w:p w14:paraId="63CEF472">
            <w:pPr>
              <w:pStyle w:val="10"/>
            </w:pPr>
            <w:r>
              <w:t>合计</w:t>
            </w:r>
          </w:p>
        </w:tc>
        <w:tc>
          <w:tcPr>
            <w:tcW w:w="9072" w:type="dxa"/>
            <w:gridSpan w:val="8"/>
            <w:vAlign w:val="center"/>
          </w:tcPr>
          <w:p w14:paraId="4D7CCCCC">
            <w:pPr>
              <w:pStyle w:val="10"/>
            </w:pPr>
            <w:r>
              <w:t>本年收入</w:t>
            </w:r>
          </w:p>
        </w:tc>
        <w:tc>
          <w:tcPr>
            <w:tcW w:w="1134" w:type="dxa"/>
            <w:vMerge w:val="restart"/>
            <w:vAlign w:val="center"/>
          </w:tcPr>
          <w:p w14:paraId="104319CC">
            <w:pPr>
              <w:pStyle w:val="10"/>
            </w:pPr>
            <w:r>
              <w:t>上年结转</w:t>
            </w:r>
          </w:p>
        </w:tc>
      </w:tr>
      <w:tr w14:paraId="0FA5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719C1A"/>
        </w:tc>
        <w:tc>
          <w:tcPr>
            <w:tcW w:w="992" w:type="dxa"/>
            <w:vAlign w:val="center"/>
          </w:tcPr>
          <w:p w14:paraId="4AA85E35">
            <w:pPr>
              <w:pStyle w:val="10"/>
            </w:pPr>
            <w:r>
              <w:t>科目    编码</w:t>
            </w:r>
          </w:p>
        </w:tc>
        <w:tc>
          <w:tcPr>
            <w:tcW w:w="1559" w:type="dxa"/>
            <w:vAlign w:val="center"/>
          </w:tcPr>
          <w:p w14:paraId="2730D724">
            <w:pPr>
              <w:pStyle w:val="10"/>
            </w:pPr>
            <w:r>
              <w:t>科目名称</w:t>
            </w:r>
          </w:p>
        </w:tc>
        <w:tc>
          <w:tcPr>
            <w:tcW w:w="1134" w:type="dxa"/>
            <w:vMerge w:val="continue"/>
          </w:tcPr>
          <w:p w14:paraId="1A88C13A"/>
        </w:tc>
        <w:tc>
          <w:tcPr>
            <w:tcW w:w="1134" w:type="dxa"/>
            <w:vAlign w:val="center"/>
          </w:tcPr>
          <w:p w14:paraId="079AFD8B">
            <w:pPr>
              <w:pStyle w:val="10"/>
            </w:pPr>
            <w:r>
              <w:t>小计</w:t>
            </w:r>
          </w:p>
        </w:tc>
        <w:tc>
          <w:tcPr>
            <w:tcW w:w="1134" w:type="dxa"/>
            <w:vAlign w:val="center"/>
          </w:tcPr>
          <w:p w14:paraId="5884701D">
            <w:pPr>
              <w:pStyle w:val="10"/>
            </w:pPr>
            <w:r>
              <w:t>财政拨款 收入</w:t>
            </w:r>
          </w:p>
        </w:tc>
        <w:tc>
          <w:tcPr>
            <w:tcW w:w="1134" w:type="dxa"/>
            <w:vAlign w:val="center"/>
          </w:tcPr>
          <w:p w14:paraId="2A393C7C">
            <w:pPr>
              <w:pStyle w:val="10"/>
            </w:pPr>
            <w:r>
              <w:t>财政专户 收入</w:t>
            </w:r>
          </w:p>
        </w:tc>
        <w:tc>
          <w:tcPr>
            <w:tcW w:w="1134" w:type="dxa"/>
            <w:vAlign w:val="center"/>
          </w:tcPr>
          <w:p w14:paraId="0A44ED61">
            <w:pPr>
              <w:pStyle w:val="10"/>
            </w:pPr>
            <w:r>
              <w:t>事业收入</w:t>
            </w:r>
          </w:p>
        </w:tc>
        <w:tc>
          <w:tcPr>
            <w:tcW w:w="1134" w:type="dxa"/>
            <w:vAlign w:val="center"/>
          </w:tcPr>
          <w:p w14:paraId="1892F964">
            <w:pPr>
              <w:pStyle w:val="10"/>
            </w:pPr>
            <w:r>
              <w:t>经营收入</w:t>
            </w:r>
          </w:p>
        </w:tc>
        <w:tc>
          <w:tcPr>
            <w:tcW w:w="1134" w:type="dxa"/>
            <w:vAlign w:val="center"/>
          </w:tcPr>
          <w:p w14:paraId="213A10E7">
            <w:pPr>
              <w:pStyle w:val="10"/>
            </w:pPr>
            <w:r>
              <w:t>上级补助收入</w:t>
            </w:r>
          </w:p>
        </w:tc>
        <w:tc>
          <w:tcPr>
            <w:tcW w:w="1134" w:type="dxa"/>
            <w:vAlign w:val="center"/>
          </w:tcPr>
          <w:p w14:paraId="1CFEDFDF">
            <w:pPr>
              <w:pStyle w:val="10"/>
            </w:pPr>
            <w:r>
              <w:t>附属单位上缴收入</w:t>
            </w:r>
          </w:p>
        </w:tc>
        <w:tc>
          <w:tcPr>
            <w:tcW w:w="1134" w:type="dxa"/>
            <w:vAlign w:val="center"/>
          </w:tcPr>
          <w:p w14:paraId="61F8C598">
            <w:pPr>
              <w:pStyle w:val="10"/>
            </w:pPr>
            <w:r>
              <w:t>其他收入</w:t>
            </w:r>
          </w:p>
        </w:tc>
        <w:tc>
          <w:tcPr>
            <w:tcW w:w="1134" w:type="dxa"/>
            <w:vMerge w:val="continue"/>
          </w:tcPr>
          <w:p w14:paraId="03CADB5A"/>
        </w:tc>
      </w:tr>
      <w:tr w14:paraId="3AE2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65EDC0">
            <w:pPr>
              <w:pStyle w:val="10"/>
            </w:pPr>
            <w:r>
              <w:t>栏次</w:t>
            </w:r>
          </w:p>
        </w:tc>
        <w:tc>
          <w:tcPr>
            <w:tcW w:w="992" w:type="dxa"/>
            <w:vAlign w:val="center"/>
          </w:tcPr>
          <w:p w14:paraId="4A5E993F">
            <w:pPr>
              <w:pStyle w:val="10"/>
            </w:pPr>
            <w:r>
              <w:t>1</w:t>
            </w:r>
          </w:p>
        </w:tc>
        <w:tc>
          <w:tcPr>
            <w:tcW w:w="1559" w:type="dxa"/>
            <w:vAlign w:val="center"/>
          </w:tcPr>
          <w:p w14:paraId="26E7FF78">
            <w:pPr>
              <w:pStyle w:val="10"/>
            </w:pPr>
            <w:r>
              <w:t>2</w:t>
            </w:r>
          </w:p>
        </w:tc>
        <w:tc>
          <w:tcPr>
            <w:tcW w:w="1134" w:type="dxa"/>
            <w:vAlign w:val="center"/>
          </w:tcPr>
          <w:p w14:paraId="2CD37322">
            <w:pPr>
              <w:pStyle w:val="10"/>
            </w:pPr>
            <w:r>
              <w:t>3</w:t>
            </w:r>
          </w:p>
        </w:tc>
        <w:tc>
          <w:tcPr>
            <w:tcW w:w="1134" w:type="dxa"/>
            <w:vAlign w:val="center"/>
          </w:tcPr>
          <w:p w14:paraId="00FFBBB7">
            <w:pPr>
              <w:pStyle w:val="10"/>
            </w:pPr>
            <w:r>
              <w:t>4</w:t>
            </w:r>
          </w:p>
        </w:tc>
        <w:tc>
          <w:tcPr>
            <w:tcW w:w="1134" w:type="dxa"/>
            <w:vAlign w:val="center"/>
          </w:tcPr>
          <w:p w14:paraId="676D2394">
            <w:pPr>
              <w:pStyle w:val="10"/>
            </w:pPr>
            <w:r>
              <w:t>5</w:t>
            </w:r>
          </w:p>
        </w:tc>
        <w:tc>
          <w:tcPr>
            <w:tcW w:w="1134" w:type="dxa"/>
            <w:vAlign w:val="center"/>
          </w:tcPr>
          <w:p w14:paraId="69A745A8">
            <w:pPr>
              <w:pStyle w:val="10"/>
            </w:pPr>
            <w:r>
              <w:t>6</w:t>
            </w:r>
          </w:p>
        </w:tc>
        <w:tc>
          <w:tcPr>
            <w:tcW w:w="1134" w:type="dxa"/>
            <w:vAlign w:val="center"/>
          </w:tcPr>
          <w:p w14:paraId="4D3ED96D">
            <w:pPr>
              <w:pStyle w:val="10"/>
            </w:pPr>
            <w:r>
              <w:t>7</w:t>
            </w:r>
          </w:p>
        </w:tc>
        <w:tc>
          <w:tcPr>
            <w:tcW w:w="1134" w:type="dxa"/>
            <w:vAlign w:val="center"/>
          </w:tcPr>
          <w:p w14:paraId="20F95B61">
            <w:pPr>
              <w:pStyle w:val="10"/>
            </w:pPr>
            <w:r>
              <w:t>8</w:t>
            </w:r>
          </w:p>
        </w:tc>
        <w:tc>
          <w:tcPr>
            <w:tcW w:w="1134" w:type="dxa"/>
            <w:vAlign w:val="center"/>
          </w:tcPr>
          <w:p w14:paraId="0C59C026">
            <w:pPr>
              <w:pStyle w:val="10"/>
            </w:pPr>
            <w:r>
              <w:t>9</w:t>
            </w:r>
          </w:p>
        </w:tc>
        <w:tc>
          <w:tcPr>
            <w:tcW w:w="1134" w:type="dxa"/>
            <w:vAlign w:val="center"/>
          </w:tcPr>
          <w:p w14:paraId="1115E418">
            <w:pPr>
              <w:pStyle w:val="10"/>
            </w:pPr>
            <w:r>
              <w:t>10</w:t>
            </w:r>
          </w:p>
        </w:tc>
        <w:tc>
          <w:tcPr>
            <w:tcW w:w="1134" w:type="dxa"/>
            <w:vAlign w:val="center"/>
          </w:tcPr>
          <w:p w14:paraId="4DA18408">
            <w:pPr>
              <w:pStyle w:val="10"/>
            </w:pPr>
            <w:r>
              <w:t>11</w:t>
            </w:r>
          </w:p>
        </w:tc>
        <w:tc>
          <w:tcPr>
            <w:tcW w:w="1134" w:type="dxa"/>
            <w:vAlign w:val="center"/>
          </w:tcPr>
          <w:p w14:paraId="468063CB">
            <w:pPr>
              <w:pStyle w:val="10"/>
            </w:pPr>
            <w:r>
              <w:t>12</w:t>
            </w:r>
          </w:p>
        </w:tc>
      </w:tr>
      <w:tr w14:paraId="588DD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57903">
            <w:pPr>
              <w:pStyle w:val="13"/>
            </w:pPr>
            <w:r>
              <w:t>1</w:t>
            </w:r>
          </w:p>
        </w:tc>
        <w:tc>
          <w:tcPr>
            <w:tcW w:w="992" w:type="dxa"/>
            <w:vAlign w:val="center"/>
          </w:tcPr>
          <w:p w14:paraId="02203AB1">
            <w:pPr>
              <w:pStyle w:val="16"/>
            </w:pPr>
          </w:p>
        </w:tc>
        <w:tc>
          <w:tcPr>
            <w:tcW w:w="1559" w:type="dxa"/>
            <w:vAlign w:val="center"/>
          </w:tcPr>
          <w:p w14:paraId="136EA178">
            <w:pPr>
              <w:pStyle w:val="14"/>
            </w:pPr>
            <w:r>
              <w:t>合计</w:t>
            </w:r>
          </w:p>
        </w:tc>
        <w:tc>
          <w:tcPr>
            <w:tcW w:w="1134" w:type="dxa"/>
            <w:vAlign w:val="center"/>
          </w:tcPr>
          <w:p w14:paraId="66D381E8">
            <w:pPr>
              <w:pStyle w:val="15"/>
            </w:pPr>
            <w:r>
              <w:t>990.66</w:t>
            </w:r>
          </w:p>
        </w:tc>
        <w:tc>
          <w:tcPr>
            <w:tcW w:w="1134" w:type="dxa"/>
            <w:vAlign w:val="center"/>
          </w:tcPr>
          <w:p w14:paraId="3DF14D20">
            <w:pPr>
              <w:pStyle w:val="15"/>
            </w:pPr>
            <w:r>
              <w:t>990.66</w:t>
            </w:r>
          </w:p>
        </w:tc>
        <w:tc>
          <w:tcPr>
            <w:tcW w:w="1134" w:type="dxa"/>
            <w:vAlign w:val="center"/>
          </w:tcPr>
          <w:p w14:paraId="2A88C795">
            <w:pPr>
              <w:pStyle w:val="15"/>
            </w:pPr>
            <w:r>
              <w:t>990.66</w:t>
            </w:r>
          </w:p>
        </w:tc>
        <w:tc>
          <w:tcPr>
            <w:tcW w:w="1134" w:type="dxa"/>
            <w:vAlign w:val="center"/>
          </w:tcPr>
          <w:p w14:paraId="2F62DD76">
            <w:pPr>
              <w:pStyle w:val="15"/>
            </w:pPr>
          </w:p>
        </w:tc>
        <w:tc>
          <w:tcPr>
            <w:tcW w:w="1134" w:type="dxa"/>
            <w:vAlign w:val="center"/>
          </w:tcPr>
          <w:p w14:paraId="4D882E31">
            <w:pPr>
              <w:pStyle w:val="15"/>
            </w:pPr>
          </w:p>
        </w:tc>
        <w:tc>
          <w:tcPr>
            <w:tcW w:w="1134" w:type="dxa"/>
            <w:vAlign w:val="center"/>
          </w:tcPr>
          <w:p w14:paraId="40EC5874">
            <w:pPr>
              <w:pStyle w:val="15"/>
            </w:pPr>
          </w:p>
        </w:tc>
        <w:tc>
          <w:tcPr>
            <w:tcW w:w="1134" w:type="dxa"/>
            <w:vAlign w:val="center"/>
          </w:tcPr>
          <w:p w14:paraId="40964D9B">
            <w:pPr>
              <w:pStyle w:val="15"/>
            </w:pPr>
          </w:p>
        </w:tc>
        <w:tc>
          <w:tcPr>
            <w:tcW w:w="1134" w:type="dxa"/>
            <w:vAlign w:val="center"/>
          </w:tcPr>
          <w:p w14:paraId="1FB7A143">
            <w:pPr>
              <w:pStyle w:val="15"/>
            </w:pPr>
          </w:p>
        </w:tc>
        <w:tc>
          <w:tcPr>
            <w:tcW w:w="1134" w:type="dxa"/>
            <w:vAlign w:val="center"/>
          </w:tcPr>
          <w:p w14:paraId="2CED63A3">
            <w:pPr>
              <w:pStyle w:val="15"/>
            </w:pPr>
          </w:p>
        </w:tc>
        <w:tc>
          <w:tcPr>
            <w:tcW w:w="1134" w:type="dxa"/>
            <w:vAlign w:val="center"/>
          </w:tcPr>
          <w:p w14:paraId="3EA1E48C">
            <w:pPr>
              <w:pStyle w:val="15"/>
            </w:pPr>
          </w:p>
        </w:tc>
      </w:tr>
      <w:tr w14:paraId="2025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F62E1">
            <w:pPr>
              <w:pStyle w:val="13"/>
            </w:pPr>
            <w:r>
              <w:t>2</w:t>
            </w:r>
          </w:p>
        </w:tc>
        <w:tc>
          <w:tcPr>
            <w:tcW w:w="992" w:type="dxa"/>
            <w:vAlign w:val="center"/>
          </w:tcPr>
          <w:p w14:paraId="4280C802">
            <w:pPr>
              <w:pStyle w:val="12"/>
            </w:pPr>
            <w:r>
              <w:t>205</w:t>
            </w:r>
          </w:p>
        </w:tc>
        <w:tc>
          <w:tcPr>
            <w:tcW w:w="1559" w:type="dxa"/>
            <w:vAlign w:val="center"/>
          </w:tcPr>
          <w:p w14:paraId="114EA0A7">
            <w:pPr>
              <w:pStyle w:val="12"/>
            </w:pPr>
            <w:r>
              <w:t>教育支出</w:t>
            </w:r>
          </w:p>
        </w:tc>
        <w:tc>
          <w:tcPr>
            <w:tcW w:w="1134" w:type="dxa"/>
            <w:vAlign w:val="center"/>
          </w:tcPr>
          <w:p w14:paraId="267212E5">
            <w:pPr>
              <w:pStyle w:val="11"/>
            </w:pPr>
            <w:r>
              <w:t>990.66</w:t>
            </w:r>
          </w:p>
        </w:tc>
        <w:tc>
          <w:tcPr>
            <w:tcW w:w="1134" w:type="dxa"/>
            <w:vAlign w:val="center"/>
          </w:tcPr>
          <w:p w14:paraId="6146CC44">
            <w:pPr>
              <w:pStyle w:val="11"/>
            </w:pPr>
            <w:r>
              <w:t>990.66</w:t>
            </w:r>
          </w:p>
        </w:tc>
        <w:tc>
          <w:tcPr>
            <w:tcW w:w="1134" w:type="dxa"/>
            <w:vAlign w:val="center"/>
          </w:tcPr>
          <w:p w14:paraId="57B1E84F">
            <w:pPr>
              <w:pStyle w:val="11"/>
            </w:pPr>
            <w:r>
              <w:t>990.66</w:t>
            </w:r>
          </w:p>
        </w:tc>
        <w:tc>
          <w:tcPr>
            <w:tcW w:w="1134" w:type="dxa"/>
            <w:vAlign w:val="center"/>
          </w:tcPr>
          <w:p w14:paraId="77DDF5CB">
            <w:pPr>
              <w:pStyle w:val="11"/>
            </w:pPr>
          </w:p>
        </w:tc>
        <w:tc>
          <w:tcPr>
            <w:tcW w:w="1134" w:type="dxa"/>
            <w:vAlign w:val="center"/>
          </w:tcPr>
          <w:p w14:paraId="3BBBB60D">
            <w:pPr>
              <w:pStyle w:val="11"/>
            </w:pPr>
          </w:p>
        </w:tc>
        <w:tc>
          <w:tcPr>
            <w:tcW w:w="1134" w:type="dxa"/>
            <w:vAlign w:val="center"/>
          </w:tcPr>
          <w:p w14:paraId="1EC32378">
            <w:pPr>
              <w:pStyle w:val="11"/>
            </w:pPr>
          </w:p>
        </w:tc>
        <w:tc>
          <w:tcPr>
            <w:tcW w:w="1134" w:type="dxa"/>
            <w:vAlign w:val="center"/>
          </w:tcPr>
          <w:p w14:paraId="5CA65392">
            <w:pPr>
              <w:pStyle w:val="11"/>
            </w:pPr>
          </w:p>
        </w:tc>
        <w:tc>
          <w:tcPr>
            <w:tcW w:w="1134" w:type="dxa"/>
            <w:vAlign w:val="center"/>
          </w:tcPr>
          <w:p w14:paraId="5A63FCFC">
            <w:pPr>
              <w:pStyle w:val="11"/>
            </w:pPr>
          </w:p>
        </w:tc>
        <w:tc>
          <w:tcPr>
            <w:tcW w:w="1134" w:type="dxa"/>
            <w:vAlign w:val="center"/>
          </w:tcPr>
          <w:p w14:paraId="74035C08">
            <w:pPr>
              <w:pStyle w:val="11"/>
            </w:pPr>
          </w:p>
        </w:tc>
        <w:tc>
          <w:tcPr>
            <w:tcW w:w="1134" w:type="dxa"/>
            <w:vAlign w:val="center"/>
          </w:tcPr>
          <w:p w14:paraId="352297D4">
            <w:pPr>
              <w:pStyle w:val="11"/>
            </w:pPr>
          </w:p>
        </w:tc>
      </w:tr>
      <w:tr w14:paraId="6011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61710">
            <w:pPr>
              <w:pStyle w:val="13"/>
            </w:pPr>
            <w:r>
              <w:t>3</w:t>
            </w:r>
          </w:p>
        </w:tc>
        <w:tc>
          <w:tcPr>
            <w:tcW w:w="992" w:type="dxa"/>
            <w:vAlign w:val="center"/>
          </w:tcPr>
          <w:p w14:paraId="2B418C22">
            <w:pPr>
              <w:pStyle w:val="12"/>
            </w:pPr>
            <w:r>
              <w:t>20502</w:t>
            </w:r>
          </w:p>
        </w:tc>
        <w:tc>
          <w:tcPr>
            <w:tcW w:w="1559" w:type="dxa"/>
            <w:vAlign w:val="center"/>
          </w:tcPr>
          <w:p w14:paraId="5EE8A6B7">
            <w:pPr>
              <w:pStyle w:val="12"/>
            </w:pPr>
            <w:r>
              <w:t>普通教育</w:t>
            </w:r>
          </w:p>
        </w:tc>
        <w:tc>
          <w:tcPr>
            <w:tcW w:w="1134" w:type="dxa"/>
            <w:vAlign w:val="center"/>
          </w:tcPr>
          <w:p w14:paraId="2B3E59E1">
            <w:pPr>
              <w:pStyle w:val="11"/>
            </w:pPr>
            <w:r>
              <w:t>990.66</w:t>
            </w:r>
          </w:p>
        </w:tc>
        <w:tc>
          <w:tcPr>
            <w:tcW w:w="1134" w:type="dxa"/>
            <w:vAlign w:val="center"/>
          </w:tcPr>
          <w:p w14:paraId="3BADFCE3">
            <w:pPr>
              <w:pStyle w:val="11"/>
            </w:pPr>
            <w:r>
              <w:t>990.66</w:t>
            </w:r>
          </w:p>
        </w:tc>
        <w:tc>
          <w:tcPr>
            <w:tcW w:w="1134" w:type="dxa"/>
            <w:vAlign w:val="center"/>
          </w:tcPr>
          <w:p w14:paraId="3503BD2F">
            <w:pPr>
              <w:pStyle w:val="11"/>
            </w:pPr>
            <w:r>
              <w:t>990.66</w:t>
            </w:r>
          </w:p>
        </w:tc>
        <w:tc>
          <w:tcPr>
            <w:tcW w:w="1134" w:type="dxa"/>
            <w:vAlign w:val="center"/>
          </w:tcPr>
          <w:p w14:paraId="78801218">
            <w:pPr>
              <w:pStyle w:val="11"/>
            </w:pPr>
          </w:p>
        </w:tc>
        <w:tc>
          <w:tcPr>
            <w:tcW w:w="1134" w:type="dxa"/>
            <w:vAlign w:val="center"/>
          </w:tcPr>
          <w:p w14:paraId="579C9DD1">
            <w:pPr>
              <w:pStyle w:val="11"/>
            </w:pPr>
          </w:p>
        </w:tc>
        <w:tc>
          <w:tcPr>
            <w:tcW w:w="1134" w:type="dxa"/>
            <w:vAlign w:val="center"/>
          </w:tcPr>
          <w:p w14:paraId="0475514E">
            <w:pPr>
              <w:pStyle w:val="11"/>
            </w:pPr>
          </w:p>
        </w:tc>
        <w:tc>
          <w:tcPr>
            <w:tcW w:w="1134" w:type="dxa"/>
            <w:vAlign w:val="center"/>
          </w:tcPr>
          <w:p w14:paraId="45DE6B9D">
            <w:pPr>
              <w:pStyle w:val="11"/>
            </w:pPr>
          </w:p>
        </w:tc>
        <w:tc>
          <w:tcPr>
            <w:tcW w:w="1134" w:type="dxa"/>
            <w:vAlign w:val="center"/>
          </w:tcPr>
          <w:p w14:paraId="7ADCB49A">
            <w:pPr>
              <w:pStyle w:val="11"/>
            </w:pPr>
          </w:p>
        </w:tc>
        <w:tc>
          <w:tcPr>
            <w:tcW w:w="1134" w:type="dxa"/>
            <w:vAlign w:val="center"/>
          </w:tcPr>
          <w:p w14:paraId="406ACB6A">
            <w:pPr>
              <w:pStyle w:val="11"/>
            </w:pPr>
          </w:p>
        </w:tc>
        <w:tc>
          <w:tcPr>
            <w:tcW w:w="1134" w:type="dxa"/>
            <w:vAlign w:val="center"/>
          </w:tcPr>
          <w:p w14:paraId="12B05FAD">
            <w:pPr>
              <w:pStyle w:val="11"/>
            </w:pPr>
          </w:p>
        </w:tc>
      </w:tr>
      <w:tr w14:paraId="0B52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23465">
            <w:pPr>
              <w:pStyle w:val="13"/>
            </w:pPr>
            <w:r>
              <w:t>4</w:t>
            </w:r>
          </w:p>
        </w:tc>
        <w:tc>
          <w:tcPr>
            <w:tcW w:w="992" w:type="dxa"/>
            <w:vAlign w:val="center"/>
          </w:tcPr>
          <w:p w14:paraId="40F8B2E8">
            <w:pPr>
              <w:pStyle w:val="12"/>
            </w:pPr>
            <w:r>
              <w:t>2050203</w:t>
            </w:r>
          </w:p>
        </w:tc>
        <w:tc>
          <w:tcPr>
            <w:tcW w:w="1559" w:type="dxa"/>
            <w:vAlign w:val="center"/>
          </w:tcPr>
          <w:p w14:paraId="3BFA4FBB">
            <w:pPr>
              <w:pStyle w:val="12"/>
            </w:pPr>
            <w:r>
              <w:t>初中教育</w:t>
            </w:r>
          </w:p>
        </w:tc>
        <w:tc>
          <w:tcPr>
            <w:tcW w:w="1134" w:type="dxa"/>
            <w:vAlign w:val="center"/>
          </w:tcPr>
          <w:p w14:paraId="1037F1DD">
            <w:pPr>
              <w:pStyle w:val="11"/>
            </w:pPr>
            <w:r>
              <w:t>990.66</w:t>
            </w:r>
          </w:p>
        </w:tc>
        <w:tc>
          <w:tcPr>
            <w:tcW w:w="1134" w:type="dxa"/>
            <w:vAlign w:val="center"/>
          </w:tcPr>
          <w:p w14:paraId="345C4311">
            <w:pPr>
              <w:pStyle w:val="11"/>
            </w:pPr>
            <w:r>
              <w:t>990.66</w:t>
            </w:r>
          </w:p>
        </w:tc>
        <w:tc>
          <w:tcPr>
            <w:tcW w:w="1134" w:type="dxa"/>
            <w:vAlign w:val="center"/>
          </w:tcPr>
          <w:p w14:paraId="3AD88E1C">
            <w:pPr>
              <w:pStyle w:val="11"/>
            </w:pPr>
            <w:r>
              <w:t>990.66</w:t>
            </w:r>
          </w:p>
        </w:tc>
        <w:tc>
          <w:tcPr>
            <w:tcW w:w="1134" w:type="dxa"/>
            <w:vAlign w:val="center"/>
          </w:tcPr>
          <w:p w14:paraId="1F598920">
            <w:pPr>
              <w:pStyle w:val="11"/>
            </w:pPr>
          </w:p>
        </w:tc>
        <w:tc>
          <w:tcPr>
            <w:tcW w:w="1134" w:type="dxa"/>
            <w:vAlign w:val="center"/>
          </w:tcPr>
          <w:p w14:paraId="587669DA">
            <w:pPr>
              <w:pStyle w:val="11"/>
            </w:pPr>
          </w:p>
        </w:tc>
        <w:tc>
          <w:tcPr>
            <w:tcW w:w="1134" w:type="dxa"/>
            <w:vAlign w:val="center"/>
          </w:tcPr>
          <w:p w14:paraId="465FDE5E">
            <w:pPr>
              <w:pStyle w:val="11"/>
            </w:pPr>
          </w:p>
        </w:tc>
        <w:tc>
          <w:tcPr>
            <w:tcW w:w="1134" w:type="dxa"/>
            <w:vAlign w:val="center"/>
          </w:tcPr>
          <w:p w14:paraId="6307D158">
            <w:pPr>
              <w:pStyle w:val="11"/>
            </w:pPr>
          </w:p>
        </w:tc>
        <w:tc>
          <w:tcPr>
            <w:tcW w:w="1134" w:type="dxa"/>
            <w:vAlign w:val="center"/>
          </w:tcPr>
          <w:p w14:paraId="60D19B84">
            <w:pPr>
              <w:pStyle w:val="11"/>
            </w:pPr>
          </w:p>
        </w:tc>
        <w:tc>
          <w:tcPr>
            <w:tcW w:w="1134" w:type="dxa"/>
            <w:vAlign w:val="center"/>
          </w:tcPr>
          <w:p w14:paraId="0ABC79FE">
            <w:pPr>
              <w:pStyle w:val="11"/>
            </w:pPr>
          </w:p>
        </w:tc>
        <w:tc>
          <w:tcPr>
            <w:tcW w:w="1134" w:type="dxa"/>
            <w:vAlign w:val="center"/>
          </w:tcPr>
          <w:p w14:paraId="7618BB4C">
            <w:pPr>
              <w:pStyle w:val="11"/>
            </w:pPr>
          </w:p>
        </w:tc>
      </w:tr>
    </w:tbl>
    <w:p w14:paraId="434E61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B66C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CD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D03AB4">
            <w:pPr>
              <w:pStyle w:val="9"/>
            </w:pPr>
            <w:r>
              <w:t>360007隆尧县魏家庄中学</w:t>
            </w:r>
          </w:p>
        </w:tc>
        <w:tc>
          <w:tcPr>
            <w:tcW w:w="2722" w:type="dxa"/>
            <w:gridSpan w:val="2"/>
            <w:tcBorders>
              <w:top w:val="single" w:color="FFFFFF" w:sz="6" w:space="0"/>
              <w:left w:val="single" w:color="FFFFFF" w:sz="6" w:space="0"/>
              <w:right w:val="single" w:color="FFFFFF" w:sz="6" w:space="0"/>
            </w:tcBorders>
            <w:vAlign w:val="center"/>
          </w:tcPr>
          <w:p w14:paraId="7AA434C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FDDFC6">
            <w:pPr>
              <w:pStyle w:val="7"/>
            </w:pPr>
            <w:r>
              <w:t>单位：万元</w:t>
            </w:r>
          </w:p>
        </w:tc>
      </w:tr>
      <w:tr w14:paraId="53E3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AE7E4A">
            <w:pPr>
              <w:pStyle w:val="10"/>
            </w:pPr>
            <w:r>
              <w:t>序号</w:t>
            </w:r>
          </w:p>
        </w:tc>
        <w:tc>
          <w:tcPr>
            <w:tcW w:w="5527" w:type="dxa"/>
            <w:gridSpan w:val="2"/>
            <w:vAlign w:val="center"/>
          </w:tcPr>
          <w:p w14:paraId="1C90AD64">
            <w:pPr>
              <w:pStyle w:val="10"/>
            </w:pPr>
            <w:r>
              <w:t>功能分类科目</w:t>
            </w:r>
          </w:p>
        </w:tc>
        <w:tc>
          <w:tcPr>
            <w:tcW w:w="1361" w:type="dxa"/>
            <w:vMerge w:val="restart"/>
            <w:vAlign w:val="center"/>
          </w:tcPr>
          <w:p w14:paraId="180A56B0">
            <w:pPr>
              <w:pStyle w:val="10"/>
            </w:pPr>
            <w:r>
              <w:t>合计</w:t>
            </w:r>
          </w:p>
        </w:tc>
        <w:tc>
          <w:tcPr>
            <w:tcW w:w="1361" w:type="dxa"/>
            <w:vMerge w:val="restart"/>
            <w:vAlign w:val="center"/>
          </w:tcPr>
          <w:p w14:paraId="4BDC3330">
            <w:pPr>
              <w:pStyle w:val="10"/>
            </w:pPr>
            <w:r>
              <w:t>基本支出</w:t>
            </w:r>
          </w:p>
        </w:tc>
        <w:tc>
          <w:tcPr>
            <w:tcW w:w="1361" w:type="dxa"/>
            <w:vMerge w:val="restart"/>
            <w:vAlign w:val="center"/>
          </w:tcPr>
          <w:p w14:paraId="03B0521B">
            <w:pPr>
              <w:pStyle w:val="10"/>
            </w:pPr>
            <w:r>
              <w:t>项目支出</w:t>
            </w:r>
          </w:p>
        </w:tc>
        <w:tc>
          <w:tcPr>
            <w:tcW w:w="1361" w:type="dxa"/>
            <w:vMerge w:val="restart"/>
            <w:vAlign w:val="center"/>
          </w:tcPr>
          <w:p w14:paraId="774082F1">
            <w:pPr>
              <w:pStyle w:val="10"/>
            </w:pPr>
            <w:r>
              <w:t>经营支出</w:t>
            </w:r>
          </w:p>
        </w:tc>
        <w:tc>
          <w:tcPr>
            <w:tcW w:w="1361" w:type="dxa"/>
            <w:vMerge w:val="restart"/>
            <w:vAlign w:val="center"/>
          </w:tcPr>
          <w:p w14:paraId="28BF06A2">
            <w:pPr>
              <w:pStyle w:val="10"/>
            </w:pPr>
            <w:r>
              <w:t>上解上级     支出</w:t>
            </w:r>
          </w:p>
        </w:tc>
        <w:tc>
          <w:tcPr>
            <w:tcW w:w="1361" w:type="dxa"/>
            <w:vMerge w:val="restart"/>
            <w:vAlign w:val="center"/>
          </w:tcPr>
          <w:p w14:paraId="335AD116">
            <w:pPr>
              <w:pStyle w:val="10"/>
            </w:pPr>
            <w:r>
              <w:t>对附属单位补助支出</w:t>
            </w:r>
          </w:p>
        </w:tc>
      </w:tr>
      <w:tr w14:paraId="3257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0B78A5"/>
        </w:tc>
        <w:tc>
          <w:tcPr>
            <w:tcW w:w="992" w:type="dxa"/>
            <w:vAlign w:val="center"/>
          </w:tcPr>
          <w:p w14:paraId="78D9F6BA">
            <w:pPr>
              <w:pStyle w:val="10"/>
            </w:pPr>
            <w:r>
              <w:t>科目    编码</w:t>
            </w:r>
          </w:p>
        </w:tc>
        <w:tc>
          <w:tcPr>
            <w:tcW w:w="4535" w:type="dxa"/>
            <w:vAlign w:val="center"/>
          </w:tcPr>
          <w:p w14:paraId="55CD77EB">
            <w:pPr>
              <w:pStyle w:val="10"/>
            </w:pPr>
            <w:r>
              <w:t>科目名称</w:t>
            </w:r>
          </w:p>
        </w:tc>
        <w:tc>
          <w:tcPr>
            <w:tcW w:w="1361" w:type="dxa"/>
            <w:vMerge w:val="continue"/>
          </w:tcPr>
          <w:p w14:paraId="5DF895DB"/>
        </w:tc>
        <w:tc>
          <w:tcPr>
            <w:tcW w:w="1361" w:type="dxa"/>
            <w:vMerge w:val="continue"/>
          </w:tcPr>
          <w:p w14:paraId="4E2A1B41"/>
        </w:tc>
        <w:tc>
          <w:tcPr>
            <w:tcW w:w="1361" w:type="dxa"/>
            <w:vMerge w:val="continue"/>
          </w:tcPr>
          <w:p w14:paraId="5312B1C5"/>
        </w:tc>
        <w:tc>
          <w:tcPr>
            <w:tcW w:w="1361" w:type="dxa"/>
            <w:vMerge w:val="continue"/>
          </w:tcPr>
          <w:p w14:paraId="2819A1D1"/>
        </w:tc>
        <w:tc>
          <w:tcPr>
            <w:tcW w:w="1361" w:type="dxa"/>
            <w:vMerge w:val="continue"/>
          </w:tcPr>
          <w:p w14:paraId="2098181C"/>
        </w:tc>
        <w:tc>
          <w:tcPr>
            <w:tcW w:w="1361" w:type="dxa"/>
            <w:vMerge w:val="continue"/>
          </w:tcPr>
          <w:p w14:paraId="2376E38B"/>
        </w:tc>
      </w:tr>
      <w:tr w14:paraId="3EC40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2AB1B6">
            <w:pPr>
              <w:pStyle w:val="10"/>
            </w:pPr>
            <w:r>
              <w:t>栏次</w:t>
            </w:r>
          </w:p>
        </w:tc>
        <w:tc>
          <w:tcPr>
            <w:tcW w:w="992" w:type="dxa"/>
            <w:vAlign w:val="center"/>
          </w:tcPr>
          <w:p w14:paraId="2F036C67">
            <w:pPr>
              <w:pStyle w:val="10"/>
            </w:pPr>
            <w:r>
              <w:t>1</w:t>
            </w:r>
          </w:p>
        </w:tc>
        <w:tc>
          <w:tcPr>
            <w:tcW w:w="4535" w:type="dxa"/>
            <w:vAlign w:val="center"/>
          </w:tcPr>
          <w:p w14:paraId="47FF1A57">
            <w:pPr>
              <w:pStyle w:val="10"/>
            </w:pPr>
            <w:r>
              <w:t>2</w:t>
            </w:r>
          </w:p>
        </w:tc>
        <w:tc>
          <w:tcPr>
            <w:tcW w:w="1361" w:type="dxa"/>
            <w:vAlign w:val="center"/>
          </w:tcPr>
          <w:p w14:paraId="0A858B84">
            <w:pPr>
              <w:pStyle w:val="10"/>
            </w:pPr>
            <w:r>
              <w:t>3</w:t>
            </w:r>
          </w:p>
        </w:tc>
        <w:tc>
          <w:tcPr>
            <w:tcW w:w="1361" w:type="dxa"/>
            <w:vAlign w:val="center"/>
          </w:tcPr>
          <w:p w14:paraId="19C3C605">
            <w:pPr>
              <w:pStyle w:val="10"/>
            </w:pPr>
            <w:r>
              <w:t>4</w:t>
            </w:r>
          </w:p>
        </w:tc>
        <w:tc>
          <w:tcPr>
            <w:tcW w:w="1361" w:type="dxa"/>
            <w:vAlign w:val="center"/>
          </w:tcPr>
          <w:p w14:paraId="4653FE48">
            <w:pPr>
              <w:pStyle w:val="10"/>
            </w:pPr>
            <w:r>
              <w:t>5</w:t>
            </w:r>
          </w:p>
        </w:tc>
        <w:tc>
          <w:tcPr>
            <w:tcW w:w="1361" w:type="dxa"/>
            <w:vAlign w:val="center"/>
          </w:tcPr>
          <w:p w14:paraId="1CC5D8D7">
            <w:pPr>
              <w:pStyle w:val="10"/>
            </w:pPr>
            <w:r>
              <w:t>6</w:t>
            </w:r>
          </w:p>
        </w:tc>
        <w:tc>
          <w:tcPr>
            <w:tcW w:w="1361" w:type="dxa"/>
            <w:vAlign w:val="center"/>
          </w:tcPr>
          <w:p w14:paraId="587C9BA0">
            <w:pPr>
              <w:pStyle w:val="10"/>
            </w:pPr>
            <w:r>
              <w:t>7</w:t>
            </w:r>
          </w:p>
        </w:tc>
        <w:tc>
          <w:tcPr>
            <w:tcW w:w="1361" w:type="dxa"/>
            <w:vAlign w:val="center"/>
          </w:tcPr>
          <w:p w14:paraId="427CB05D">
            <w:pPr>
              <w:pStyle w:val="10"/>
            </w:pPr>
            <w:r>
              <w:t>8</w:t>
            </w:r>
          </w:p>
        </w:tc>
      </w:tr>
      <w:tr w14:paraId="319C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011D">
            <w:pPr>
              <w:pStyle w:val="13"/>
            </w:pPr>
            <w:r>
              <w:t>1</w:t>
            </w:r>
          </w:p>
        </w:tc>
        <w:tc>
          <w:tcPr>
            <w:tcW w:w="992" w:type="dxa"/>
            <w:vAlign w:val="center"/>
          </w:tcPr>
          <w:p w14:paraId="40737746">
            <w:pPr>
              <w:pStyle w:val="16"/>
            </w:pPr>
          </w:p>
        </w:tc>
        <w:tc>
          <w:tcPr>
            <w:tcW w:w="4535" w:type="dxa"/>
            <w:vAlign w:val="center"/>
          </w:tcPr>
          <w:p w14:paraId="2066E405">
            <w:pPr>
              <w:pStyle w:val="14"/>
            </w:pPr>
            <w:r>
              <w:t>合计</w:t>
            </w:r>
          </w:p>
        </w:tc>
        <w:tc>
          <w:tcPr>
            <w:tcW w:w="1361" w:type="dxa"/>
            <w:vAlign w:val="center"/>
          </w:tcPr>
          <w:p w14:paraId="37E6BCE0">
            <w:pPr>
              <w:pStyle w:val="15"/>
            </w:pPr>
            <w:r>
              <w:t>990.66</w:t>
            </w:r>
          </w:p>
        </w:tc>
        <w:tc>
          <w:tcPr>
            <w:tcW w:w="1361" w:type="dxa"/>
            <w:vAlign w:val="center"/>
          </w:tcPr>
          <w:p w14:paraId="727784B6">
            <w:pPr>
              <w:pStyle w:val="15"/>
            </w:pPr>
            <w:r>
              <w:t>852.35</w:t>
            </w:r>
          </w:p>
        </w:tc>
        <w:tc>
          <w:tcPr>
            <w:tcW w:w="1361" w:type="dxa"/>
            <w:vAlign w:val="center"/>
          </w:tcPr>
          <w:p w14:paraId="30F0BCDB">
            <w:pPr>
              <w:pStyle w:val="15"/>
            </w:pPr>
            <w:r>
              <w:t>138.31</w:t>
            </w:r>
          </w:p>
        </w:tc>
        <w:tc>
          <w:tcPr>
            <w:tcW w:w="1361" w:type="dxa"/>
            <w:vAlign w:val="center"/>
          </w:tcPr>
          <w:p w14:paraId="39C4DE89">
            <w:pPr>
              <w:pStyle w:val="15"/>
            </w:pPr>
          </w:p>
        </w:tc>
        <w:tc>
          <w:tcPr>
            <w:tcW w:w="1361" w:type="dxa"/>
            <w:vAlign w:val="center"/>
          </w:tcPr>
          <w:p w14:paraId="797C3670">
            <w:pPr>
              <w:pStyle w:val="15"/>
            </w:pPr>
          </w:p>
        </w:tc>
        <w:tc>
          <w:tcPr>
            <w:tcW w:w="1361" w:type="dxa"/>
            <w:vAlign w:val="center"/>
          </w:tcPr>
          <w:p w14:paraId="19AAA201">
            <w:pPr>
              <w:pStyle w:val="15"/>
            </w:pPr>
          </w:p>
        </w:tc>
      </w:tr>
      <w:tr w14:paraId="617B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F3740">
            <w:pPr>
              <w:pStyle w:val="13"/>
            </w:pPr>
            <w:r>
              <w:t>2</w:t>
            </w:r>
          </w:p>
        </w:tc>
        <w:tc>
          <w:tcPr>
            <w:tcW w:w="992" w:type="dxa"/>
            <w:vAlign w:val="center"/>
          </w:tcPr>
          <w:p w14:paraId="298AAB3F">
            <w:pPr>
              <w:pStyle w:val="12"/>
            </w:pPr>
            <w:r>
              <w:t>205</w:t>
            </w:r>
          </w:p>
        </w:tc>
        <w:tc>
          <w:tcPr>
            <w:tcW w:w="4535" w:type="dxa"/>
            <w:vAlign w:val="center"/>
          </w:tcPr>
          <w:p w14:paraId="276A3253">
            <w:pPr>
              <w:pStyle w:val="12"/>
            </w:pPr>
            <w:r>
              <w:t>教育支出</w:t>
            </w:r>
          </w:p>
        </w:tc>
        <w:tc>
          <w:tcPr>
            <w:tcW w:w="1361" w:type="dxa"/>
            <w:vAlign w:val="center"/>
          </w:tcPr>
          <w:p w14:paraId="4B39AC34">
            <w:pPr>
              <w:pStyle w:val="11"/>
            </w:pPr>
            <w:r>
              <w:t>990.66</w:t>
            </w:r>
          </w:p>
        </w:tc>
        <w:tc>
          <w:tcPr>
            <w:tcW w:w="1361" w:type="dxa"/>
            <w:vAlign w:val="center"/>
          </w:tcPr>
          <w:p w14:paraId="01076AD6">
            <w:pPr>
              <w:pStyle w:val="11"/>
            </w:pPr>
            <w:r>
              <w:t>852.35</w:t>
            </w:r>
          </w:p>
        </w:tc>
        <w:tc>
          <w:tcPr>
            <w:tcW w:w="1361" w:type="dxa"/>
            <w:vAlign w:val="center"/>
          </w:tcPr>
          <w:p w14:paraId="1001E473">
            <w:pPr>
              <w:pStyle w:val="11"/>
            </w:pPr>
            <w:r>
              <w:t>138.31</w:t>
            </w:r>
          </w:p>
        </w:tc>
        <w:tc>
          <w:tcPr>
            <w:tcW w:w="1361" w:type="dxa"/>
            <w:vAlign w:val="center"/>
          </w:tcPr>
          <w:p w14:paraId="2FBD4DF3">
            <w:pPr>
              <w:pStyle w:val="11"/>
            </w:pPr>
          </w:p>
        </w:tc>
        <w:tc>
          <w:tcPr>
            <w:tcW w:w="1361" w:type="dxa"/>
            <w:vAlign w:val="center"/>
          </w:tcPr>
          <w:p w14:paraId="15D15BBE">
            <w:pPr>
              <w:pStyle w:val="11"/>
            </w:pPr>
          </w:p>
        </w:tc>
        <w:tc>
          <w:tcPr>
            <w:tcW w:w="1361" w:type="dxa"/>
            <w:vAlign w:val="center"/>
          </w:tcPr>
          <w:p w14:paraId="38E695CD">
            <w:pPr>
              <w:pStyle w:val="11"/>
            </w:pPr>
          </w:p>
        </w:tc>
      </w:tr>
      <w:tr w14:paraId="245E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4A99">
            <w:pPr>
              <w:pStyle w:val="13"/>
            </w:pPr>
            <w:r>
              <w:t>3</w:t>
            </w:r>
          </w:p>
        </w:tc>
        <w:tc>
          <w:tcPr>
            <w:tcW w:w="992" w:type="dxa"/>
            <w:vAlign w:val="center"/>
          </w:tcPr>
          <w:p w14:paraId="651B89CF">
            <w:pPr>
              <w:pStyle w:val="12"/>
            </w:pPr>
            <w:r>
              <w:t>20502</w:t>
            </w:r>
          </w:p>
        </w:tc>
        <w:tc>
          <w:tcPr>
            <w:tcW w:w="4535" w:type="dxa"/>
            <w:vAlign w:val="center"/>
          </w:tcPr>
          <w:p w14:paraId="42E9AF99">
            <w:pPr>
              <w:pStyle w:val="12"/>
            </w:pPr>
            <w:r>
              <w:t>普通教育</w:t>
            </w:r>
          </w:p>
        </w:tc>
        <w:tc>
          <w:tcPr>
            <w:tcW w:w="1361" w:type="dxa"/>
            <w:vAlign w:val="center"/>
          </w:tcPr>
          <w:p w14:paraId="51DFBC08">
            <w:pPr>
              <w:pStyle w:val="11"/>
            </w:pPr>
            <w:r>
              <w:t>990.66</w:t>
            </w:r>
          </w:p>
        </w:tc>
        <w:tc>
          <w:tcPr>
            <w:tcW w:w="1361" w:type="dxa"/>
            <w:vAlign w:val="center"/>
          </w:tcPr>
          <w:p w14:paraId="380F8E78">
            <w:pPr>
              <w:pStyle w:val="11"/>
            </w:pPr>
            <w:r>
              <w:t>852.35</w:t>
            </w:r>
          </w:p>
        </w:tc>
        <w:tc>
          <w:tcPr>
            <w:tcW w:w="1361" w:type="dxa"/>
            <w:vAlign w:val="center"/>
          </w:tcPr>
          <w:p w14:paraId="6C5F11CA">
            <w:pPr>
              <w:pStyle w:val="11"/>
            </w:pPr>
            <w:r>
              <w:t>138.31</w:t>
            </w:r>
          </w:p>
        </w:tc>
        <w:tc>
          <w:tcPr>
            <w:tcW w:w="1361" w:type="dxa"/>
            <w:vAlign w:val="center"/>
          </w:tcPr>
          <w:p w14:paraId="53DC797F">
            <w:pPr>
              <w:pStyle w:val="11"/>
            </w:pPr>
          </w:p>
        </w:tc>
        <w:tc>
          <w:tcPr>
            <w:tcW w:w="1361" w:type="dxa"/>
            <w:vAlign w:val="center"/>
          </w:tcPr>
          <w:p w14:paraId="0E6E5E88">
            <w:pPr>
              <w:pStyle w:val="11"/>
            </w:pPr>
          </w:p>
        </w:tc>
        <w:tc>
          <w:tcPr>
            <w:tcW w:w="1361" w:type="dxa"/>
            <w:vAlign w:val="center"/>
          </w:tcPr>
          <w:p w14:paraId="4C0A5A07">
            <w:pPr>
              <w:pStyle w:val="11"/>
            </w:pPr>
          </w:p>
        </w:tc>
      </w:tr>
      <w:tr w14:paraId="2393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5B84C">
            <w:pPr>
              <w:pStyle w:val="13"/>
            </w:pPr>
            <w:r>
              <w:t>4</w:t>
            </w:r>
          </w:p>
        </w:tc>
        <w:tc>
          <w:tcPr>
            <w:tcW w:w="992" w:type="dxa"/>
            <w:vAlign w:val="center"/>
          </w:tcPr>
          <w:p w14:paraId="78FBBC81">
            <w:pPr>
              <w:pStyle w:val="12"/>
            </w:pPr>
            <w:r>
              <w:t>2050203</w:t>
            </w:r>
          </w:p>
        </w:tc>
        <w:tc>
          <w:tcPr>
            <w:tcW w:w="4535" w:type="dxa"/>
            <w:vAlign w:val="center"/>
          </w:tcPr>
          <w:p w14:paraId="64570D8E">
            <w:pPr>
              <w:pStyle w:val="12"/>
            </w:pPr>
            <w:r>
              <w:t>初中教育</w:t>
            </w:r>
          </w:p>
        </w:tc>
        <w:tc>
          <w:tcPr>
            <w:tcW w:w="1361" w:type="dxa"/>
            <w:vAlign w:val="center"/>
          </w:tcPr>
          <w:p w14:paraId="0C624B2F">
            <w:pPr>
              <w:pStyle w:val="11"/>
            </w:pPr>
            <w:r>
              <w:t>990.66</w:t>
            </w:r>
          </w:p>
        </w:tc>
        <w:tc>
          <w:tcPr>
            <w:tcW w:w="1361" w:type="dxa"/>
            <w:vAlign w:val="center"/>
          </w:tcPr>
          <w:p w14:paraId="5292EEE1">
            <w:pPr>
              <w:pStyle w:val="11"/>
            </w:pPr>
            <w:r>
              <w:t>852.35</w:t>
            </w:r>
          </w:p>
        </w:tc>
        <w:tc>
          <w:tcPr>
            <w:tcW w:w="1361" w:type="dxa"/>
            <w:vAlign w:val="center"/>
          </w:tcPr>
          <w:p w14:paraId="18890E8A">
            <w:pPr>
              <w:pStyle w:val="11"/>
            </w:pPr>
            <w:r>
              <w:t>138.31</w:t>
            </w:r>
          </w:p>
        </w:tc>
        <w:tc>
          <w:tcPr>
            <w:tcW w:w="1361" w:type="dxa"/>
            <w:vAlign w:val="center"/>
          </w:tcPr>
          <w:p w14:paraId="32F557C7">
            <w:pPr>
              <w:pStyle w:val="11"/>
            </w:pPr>
          </w:p>
        </w:tc>
        <w:tc>
          <w:tcPr>
            <w:tcW w:w="1361" w:type="dxa"/>
            <w:vAlign w:val="center"/>
          </w:tcPr>
          <w:p w14:paraId="7E8B653C">
            <w:pPr>
              <w:pStyle w:val="11"/>
            </w:pPr>
          </w:p>
        </w:tc>
        <w:tc>
          <w:tcPr>
            <w:tcW w:w="1361" w:type="dxa"/>
            <w:vAlign w:val="center"/>
          </w:tcPr>
          <w:p w14:paraId="724D5EF6">
            <w:pPr>
              <w:pStyle w:val="11"/>
            </w:pPr>
          </w:p>
        </w:tc>
      </w:tr>
    </w:tbl>
    <w:p w14:paraId="373704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2104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59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9268F7">
            <w:pPr>
              <w:pStyle w:val="9"/>
            </w:pPr>
            <w:r>
              <w:t>360007隆尧县魏家庄中学</w:t>
            </w:r>
          </w:p>
        </w:tc>
        <w:tc>
          <w:tcPr>
            <w:tcW w:w="3402" w:type="dxa"/>
            <w:tcBorders>
              <w:top w:val="single" w:color="FFFFFF" w:sz="6" w:space="0"/>
              <w:left w:val="single" w:color="FFFFFF" w:sz="6" w:space="0"/>
              <w:right w:val="single" w:color="FFFFFF" w:sz="6" w:space="0"/>
            </w:tcBorders>
            <w:vAlign w:val="center"/>
          </w:tcPr>
          <w:p w14:paraId="2473FB7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8073D8C">
            <w:pPr>
              <w:pStyle w:val="7"/>
            </w:pPr>
            <w:r>
              <w:t>单位：万元</w:t>
            </w:r>
          </w:p>
        </w:tc>
      </w:tr>
      <w:tr w14:paraId="66D5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F32E72">
            <w:pPr>
              <w:pStyle w:val="10"/>
            </w:pPr>
            <w:r>
              <w:t>序号</w:t>
            </w:r>
          </w:p>
        </w:tc>
        <w:tc>
          <w:tcPr>
            <w:tcW w:w="4876" w:type="dxa"/>
            <w:gridSpan w:val="2"/>
            <w:vAlign w:val="center"/>
          </w:tcPr>
          <w:p w14:paraId="4A9B0100">
            <w:pPr>
              <w:pStyle w:val="10"/>
            </w:pPr>
            <w:r>
              <w:t>收入</w:t>
            </w:r>
          </w:p>
        </w:tc>
        <w:tc>
          <w:tcPr>
            <w:tcW w:w="9298" w:type="dxa"/>
            <w:gridSpan w:val="5"/>
            <w:vAlign w:val="center"/>
          </w:tcPr>
          <w:p w14:paraId="2B47098A">
            <w:pPr>
              <w:pStyle w:val="10"/>
            </w:pPr>
            <w:r>
              <w:t>支出</w:t>
            </w:r>
          </w:p>
        </w:tc>
      </w:tr>
      <w:tr w14:paraId="1080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072D93"/>
        </w:tc>
        <w:tc>
          <w:tcPr>
            <w:tcW w:w="3402" w:type="dxa"/>
            <w:vAlign w:val="center"/>
          </w:tcPr>
          <w:p w14:paraId="411525BD">
            <w:pPr>
              <w:pStyle w:val="10"/>
            </w:pPr>
            <w:r>
              <w:t>项  目</w:t>
            </w:r>
          </w:p>
        </w:tc>
        <w:tc>
          <w:tcPr>
            <w:tcW w:w="1474" w:type="dxa"/>
            <w:vAlign w:val="center"/>
          </w:tcPr>
          <w:p w14:paraId="2EAF7725">
            <w:pPr>
              <w:pStyle w:val="10"/>
            </w:pPr>
            <w:r>
              <w:t>金额</w:t>
            </w:r>
          </w:p>
        </w:tc>
        <w:tc>
          <w:tcPr>
            <w:tcW w:w="3402" w:type="dxa"/>
            <w:vAlign w:val="center"/>
          </w:tcPr>
          <w:p w14:paraId="2399580E">
            <w:pPr>
              <w:pStyle w:val="10"/>
            </w:pPr>
            <w:r>
              <w:t>项  目</w:t>
            </w:r>
          </w:p>
        </w:tc>
        <w:tc>
          <w:tcPr>
            <w:tcW w:w="1474" w:type="dxa"/>
            <w:vAlign w:val="center"/>
          </w:tcPr>
          <w:p w14:paraId="5F43FC7A">
            <w:pPr>
              <w:pStyle w:val="10"/>
            </w:pPr>
            <w:r>
              <w:t>合计</w:t>
            </w:r>
          </w:p>
        </w:tc>
        <w:tc>
          <w:tcPr>
            <w:tcW w:w="1474" w:type="dxa"/>
            <w:vAlign w:val="center"/>
          </w:tcPr>
          <w:p w14:paraId="6AA0CDC1">
            <w:pPr>
              <w:pStyle w:val="10"/>
            </w:pPr>
            <w:r>
              <w:t>一般公共预算财政拨款</w:t>
            </w:r>
          </w:p>
        </w:tc>
        <w:tc>
          <w:tcPr>
            <w:tcW w:w="1474" w:type="dxa"/>
            <w:vAlign w:val="center"/>
          </w:tcPr>
          <w:p w14:paraId="69E96072">
            <w:pPr>
              <w:pStyle w:val="10"/>
            </w:pPr>
            <w:r>
              <w:t>政府性基金预算财政    拨款</w:t>
            </w:r>
          </w:p>
        </w:tc>
        <w:tc>
          <w:tcPr>
            <w:tcW w:w="1474" w:type="dxa"/>
            <w:vAlign w:val="center"/>
          </w:tcPr>
          <w:p w14:paraId="6DDA0EE9">
            <w:pPr>
              <w:pStyle w:val="10"/>
            </w:pPr>
            <w:r>
              <w:t>国有资本经营预算财政拨款</w:t>
            </w:r>
          </w:p>
        </w:tc>
      </w:tr>
      <w:tr w14:paraId="36EE5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E33F5">
            <w:pPr>
              <w:pStyle w:val="10"/>
            </w:pPr>
            <w:r>
              <w:t>栏次</w:t>
            </w:r>
          </w:p>
        </w:tc>
        <w:tc>
          <w:tcPr>
            <w:tcW w:w="3402" w:type="dxa"/>
            <w:vAlign w:val="center"/>
          </w:tcPr>
          <w:p w14:paraId="222F6DFB">
            <w:pPr>
              <w:pStyle w:val="10"/>
            </w:pPr>
            <w:r>
              <w:t>1</w:t>
            </w:r>
          </w:p>
        </w:tc>
        <w:tc>
          <w:tcPr>
            <w:tcW w:w="1474" w:type="dxa"/>
            <w:vAlign w:val="center"/>
          </w:tcPr>
          <w:p w14:paraId="1AF2F0BC">
            <w:pPr>
              <w:pStyle w:val="10"/>
            </w:pPr>
            <w:r>
              <w:t>2</w:t>
            </w:r>
          </w:p>
        </w:tc>
        <w:tc>
          <w:tcPr>
            <w:tcW w:w="3402" w:type="dxa"/>
            <w:vAlign w:val="center"/>
          </w:tcPr>
          <w:p w14:paraId="0E358556">
            <w:pPr>
              <w:pStyle w:val="10"/>
            </w:pPr>
            <w:r>
              <w:t>3</w:t>
            </w:r>
          </w:p>
        </w:tc>
        <w:tc>
          <w:tcPr>
            <w:tcW w:w="1474" w:type="dxa"/>
            <w:vAlign w:val="center"/>
          </w:tcPr>
          <w:p w14:paraId="4FC54C6D">
            <w:pPr>
              <w:pStyle w:val="10"/>
            </w:pPr>
            <w:r>
              <w:t>4</w:t>
            </w:r>
          </w:p>
        </w:tc>
        <w:tc>
          <w:tcPr>
            <w:tcW w:w="1474" w:type="dxa"/>
            <w:vAlign w:val="center"/>
          </w:tcPr>
          <w:p w14:paraId="7B3D2F64">
            <w:pPr>
              <w:pStyle w:val="10"/>
            </w:pPr>
            <w:r>
              <w:t>5</w:t>
            </w:r>
          </w:p>
        </w:tc>
        <w:tc>
          <w:tcPr>
            <w:tcW w:w="1474" w:type="dxa"/>
            <w:vAlign w:val="center"/>
          </w:tcPr>
          <w:p w14:paraId="06B45ACB">
            <w:pPr>
              <w:pStyle w:val="10"/>
            </w:pPr>
            <w:r>
              <w:t>6</w:t>
            </w:r>
          </w:p>
        </w:tc>
        <w:tc>
          <w:tcPr>
            <w:tcW w:w="1474" w:type="dxa"/>
            <w:vAlign w:val="center"/>
          </w:tcPr>
          <w:p w14:paraId="7BFACFC3">
            <w:pPr>
              <w:pStyle w:val="10"/>
            </w:pPr>
            <w:r>
              <w:t>7</w:t>
            </w:r>
          </w:p>
        </w:tc>
      </w:tr>
      <w:tr w14:paraId="5AC2D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1E399">
            <w:pPr>
              <w:pStyle w:val="13"/>
            </w:pPr>
            <w:r>
              <w:t>1</w:t>
            </w:r>
          </w:p>
        </w:tc>
        <w:tc>
          <w:tcPr>
            <w:tcW w:w="3402" w:type="dxa"/>
            <w:vAlign w:val="center"/>
          </w:tcPr>
          <w:p w14:paraId="28056003">
            <w:pPr>
              <w:pStyle w:val="12"/>
            </w:pPr>
            <w:r>
              <w:t>一、一般公共预算拨款</w:t>
            </w:r>
          </w:p>
        </w:tc>
        <w:tc>
          <w:tcPr>
            <w:tcW w:w="1474" w:type="dxa"/>
            <w:vAlign w:val="center"/>
          </w:tcPr>
          <w:p w14:paraId="0A926CC9">
            <w:pPr>
              <w:pStyle w:val="11"/>
            </w:pPr>
            <w:r>
              <w:t>990.66</w:t>
            </w:r>
          </w:p>
        </w:tc>
        <w:tc>
          <w:tcPr>
            <w:tcW w:w="3402" w:type="dxa"/>
            <w:vAlign w:val="center"/>
          </w:tcPr>
          <w:p w14:paraId="798A33EA">
            <w:pPr>
              <w:pStyle w:val="12"/>
            </w:pPr>
            <w:r>
              <w:t>一、一般公共服务支出</w:t>
            </w:r>
          </w:p>
        </w:tc>
        <w:tc>
          <w:tcPr>
            <w:tcW w:w="1474" w:type="dxa"/>
            <w:vAlign w:val="center"/>
          </w:tcPr>
          <w:p w14:paraId="48F63A8A">
            <w:pPr>
              <w:pStyle w:val="11"/>
            </w:pPr>
          </w:p>
        </w:tc>
        <w:tc>
          <w:tcPr>
            <w:tcW w:w="1474" w:type="dxa"/>
            <w:vAlign w:val="center"/>
          </w:tcPr>
          <w:p w14:paraId="0B478842">
            <w:pPr>
              <w:pStyle w:val="11"/>
            </w:pPr>
          </w:p>
        </w:tc>
        <w:tc>
          <w:tcPr>
            <w:tcW w:w="1474" w:type="dxa"/>
            <w:vAlign w:val="center"/>
          </w:tcPr>
          <w:p w14:paraId="12663E0A">
            <w:pPr>
              <w:pStyle w:val="11"/>
            </w:pPr>
          </w:p>
        </w:tc>
        <w:tc>
          <w:tcPr>
            <w:tcW w:w="1474" w:type="dxa"/>
            <w:vAlign w:val="center"/>
          </w:tcPr>
          <w:p w14:paraId="621FD40B">
            <w:pPr>
              <w:pStyle w:val="11"/>
            </w:pPr>
          </w:p>
        </w:tc>
      </w:tr>
      <w:tr w14:paraId="544D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2F1E">
            <w:pPr>
              <w:pStyle w:val="13"/>
            </w:pPr>
            <w:r>
              <w:t>2</w:t>
            </w:r>
          </w:p>
        </w:tc>
        <w:tc>
          <w:tcPr>
            <w:tcW w:w="3402" w:type="dxa"/>
            <w:vAlign w:val="center"/>
          </w:tcPr>
          <w:p w14:paraId="513BA2A8">
            <w:pPr>
              <w:pStyle w:val="12"/>
            </w:pPr>
            <w:r>
              <w:t>二、政府性基金预算拨款</w:t>
            </w:r>
          </w:p>
        </w:tc>
        <w:tc>
          <w:tcPr>
            <w:tcW w:w="1474" w:type="dxa"/>
            <w:vAlign w:val="center"/>
          </w:tcPr>
          <w:p w14:paraId="2A4AFA3C">
            <w:pPr>
              <w:pStyle w:val="11"/>
            </w:pPr>
          </w:p>
        </w:tc>
        <w:tc>
          <w:tcPr>
            <w:tcW w:w="3402" w:type="dxa"/>
            <w:vAlign w:val="center"/>
          </w:tcPr>
          <w:p w14:paraId="33E9765C">
            <w:pPr>
              <w:pStyle w:val="12"/>
            </w:pPr>
            <w:r>
              <w:t>二、外交支出</w:t>
            </w:r>
          </w:p>
        </w:tc>
        <w:tc>
          <w:tcPr>
            <w:tcW w:w="1474" w:type="dxa"/>
            <w:vAlign w:val="center"/>
          </w:tcPr>
          <w:p w14:paraId="33B10B93">
            <w:pPr>
              <w:pStyle w:val="11"/>
            </w:pPr>
          </w:p>
        </w:tc>
        <w:tc>
          <w:tcPr>
            <w:tcW w:w="1474" w:type="dxa"/>
            <w:vAlign w:val="center"/>
          </w:tcPr>
          <w:p w14:paraId="58BF8B01">
            <w:pPr>
              <w:pStyle w:val="11"/>
            </w:pPr>
          </w:p>
        </w:tc>
        <w:tc>
          <w:tcPr>
            <w:tcW w:w="1474" w:type="dxa"/>
            <w:vAlign w:val="center"/>
          </w:tcPr>
          <w:p w14:paraId="5A57A1C7">
            <w:pPr>
              <w:pStyle w:val="11"/>
            </w:pPr>
          </w:p>
        </w:tc>
        <w:tc>
          <w:tcPr>
            <w:tcW w:w="1474" w:type="dxa"/>
            <w:vAlign w:val="center"/>
          </w:tcPr>
          <w:p w14:paraId="53365670">
            <w:pPr>
              <w:pStyle w:val="11"/>
            </w:pPr>
          </w:p>
        </w:tc>
      </w:tr>
      <w:tr w14:paraId="1D57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7A67">
            <w:pPr>
              <w:pStyle w:val="13"/>
            </w:pPr>
            <w:r>
              <w:t>3</w:t>
            </w:r>
          </w:p>
        </w:tc>
        <w:tc>
          <w:tcPr>
            <w:tcW w:w="3402" w:type="dxa"/>
            <w:vAlign w:val="center"/>
          </w:tcPr>
          <w:p w14:paraId="7F0AAB20">
            <w:pPr>
              <w:pStyle w:val="12"/>
            </w:pPr>
            <w:r>
              <w:t>三、国有资本经营预算拨款</w:t>
            </w:r>
          </w:p>
        </w:tc>
        <w:tc>
          <w:tcPr>
            <w:tcW w:w="1474" w:type="dxa"/>
            <w:vAlign w:val="center"/>
          </w:tcPr>
          <w:p w14:paraId="049019D7">
            <w:pPr>
              <w:pStyle w:val="11"/>
            </w:pPr>
          </w:p>
        </w:tc>
        <w:tc>
          <w:tcPr>
            <w:tcW w:w="3402" w:type="dxa"/>
            <w:vAlign w:val="center"/>
          </w:tcPr>
          <w:p w14:paraId="12858013">
            <w:pPr>
              <w:pStyle w:val="12"/>
            </w:pPr>
            <w:r>
              <w:t>三、国防支出</w:t>
            </w:r>
          </w:p>
        </w:tc>
        <w:tc>
          <w:tcPr>
            <w:tcW w:w="1474" w:type="dxa"/>
            <w:vAlign w:val="center"/>
          </w:tcPr>
          <w:p w14:paraId="34CB8E6C">
            <w:pPr>
              <w:pStyle w:val="11"/>
            </w:pPr>
          </w:p>
        </w:tc>
        <w:tc>
          <w:tcPr>
            <w:tcW w:w="1474" w:type="dxa"/>
            <w:vAlign w:val="center"/>
          </w:tcPr>
          <w:p w14:paraId="3E07213A">
            <w:pPr>
              <w:pStyle w:val="11"/>
            </w:pPr>
          </w:p>
        </w:tc>
        <w:tc>
          <w:tcPr>
            <w:tcW w:w="1474" w:type="dxa"/>
            <w:vAlign w:val="center"/>
          </w:tcPr>
          <w:p w14:paraId="62FC69F0">
            <w:pPr>
              <w:pStyle w:val="11"/>
            </w:pPr>
          </w:p>
        </w:tc>
        <w:tc>
          <w:tcPr>
            <w:tcW w:w="1474" w:type="dxa"/>
            <w:vAlign w:val="center"/>
          </w:tcPr>
          <w:p w14:paraId="6BCDA45D">
            <w:pPr>
              <w:pStyle w:val="11"/>
            </w:pPr>
          </w:p>
        </w:tc>
      </w:tr>
      <w:tr w14:paraId="115F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3269">
            <w:pPr>
              <w:pStyle w:val="13"/>
            </w:pPr>
            <w:r>
              <w:t>4</w:t>
            </w:r>
          </w:p>
        </w:tc>
        <w:tc>
          <w:tcPr>
            <w:tcW w:w="3402" w:type="dxa"/>
            <w:vAlign w:val="center"/>
          </w:tcPr>
          <w:p w14:paraId="5A613810">
            <w:pPr>
              <w:pStyle w:val="12"/>
            </w:pPr>
          </w:p>
        </w:tc>
        <w:tc>
          <w:tcPr>
            <w:tcW w:w="1474" w:type="dxa"/>
            <w:vAlign w:val="center"/>
          </w:tcPr>
          <w:p w14:paraId="35401D2A">
            <w:pPr>
              <w:pStyle w:val="11"/>
            </w:pPr>
          </w:p>
        </w:tc>
        <w:tc>
          <w:tcPr>
            <w:tcW w:w="3402" w:type="dxa"/>
            <w:vAlign w:val="center"/>
          </w:tcPr>
          <w:p w14:paraId="5A5F3981">
            <w:pPr>
              <w:pStyle w:val="12"/>
            </w:pPr>
            <w:r>
              <w:t>四、公共安全支出</w:t>
            </w:r>
          </w:p>
        </w:tc>
        <w:tc>
          <w:tcPr>
            <w:tcW w:w="1474" w:type="dxa"/>
            <w:vAlign w:val="center"/>
          </w:tcPr>
          <w:p w14:paraId="647CE92C">
            <w:pPr>
              <w:pStyle w:val="11"/>
            </w:pPr>
          </w:p>
        </w:tc>
        <w:tc>
          <w:tcPr>
            <w:tcW w:w="1474" w:type="dxa"/>
            <w:vAlign w:val="center"/>
          </w:tcPr>
          <w:p w14:paraId="3B41BFFB">
            <w:pPr>
              <w:pStyle w:val="11"/>
            </w:pPr>
          </w:p>
        </w:tc>
        <w:tc>
          <w:tcPr>
            <w:tcW w:w="1474" w:type="dxa"/>
            <w:vAlign w:val="center"/>
          </w:tcPr>
          <w:p w14:paraId="5EC064A8">
            <w:pPr>
              <w:pStyle w:val="11"/>
            </w:pPr>
          </w:p>
        </w:tc>
        <w:tc>
          <w:tcPr>
            <w:tcW w:w="1474" w:type="dxa"/>
            <w:vAlign w:val="center"/>
          </w:tcPr>
          <w:p w14:paraId="65F34758">
            <w:pPr>
              <w:pStyle w:val="11"/>
            </w:pPr>
          </w:p>
        </w:tc>
      </w:tr>
      <w:tr w14:paraId="77A2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1693">
            <w:pPr>
              <w:pStyle w:val="13"/>
            </w:pPr>
            <w:r>
              <w:t>5</w:t>
            </w:r>
          </w:p>
        </w:tc>
        <w:tc>
          <w:tcPr>
            <w:tcW w:w="3402" w:type="dxa"/>
            <w:vAlign w:val="center"/>
          </w:tcPr>
          <w:p w14:paraId="01C1726E">
            <w:pPr>
              <w:pStyle w:val="12"/>
            </w:pPr>
          </w:p>
        </w:tc>
        <w:tc>
          <w:tcPr>
            <w:tcW w:w="1474" w:type="dxa"/>
            <w:vAlign w:val="center"/>
          </w:tcPr>
          <w:p w14:paraId="62CC951D">
            <w:pPr>
              <w:pStyle w:val="11"/>
            </w:pPr>
          </w:p>
        </w:tc>
        <w:tc>
          <w:tcPr>
            <w:tcW w:w="3402" w:type="dxa"/>
            <w:vAlign w:val="center"/>
          </w:tcPr>
          <w:p w14:paraId="58081DE9">
            <w:pPr>
              <w:pStyle w:val="12"/>
            </w:pPr>
            <w:r>
              <w:t>五、教育支出</w:t>
            </w:r>
          </w:p>
        </w:tc>
        <w:tc>
          <w:tcPr>
            <w:tcW w:w="1474" w:type="dxa"/>
            <w:vAlign w:val="center"/>
          </w:tcPr>
          <w:p w14:paraId="5DB15E6C">
            <w:pPr>
              <w:pStyle w:val="11"/>
            </w:pPr>
            <w:r>
              <w:t>990.66</w:t>
            </w:r>
          </w:p>
        </w:tc>
        <w:tc>
          <w:tcPr>
            <w:tcW w:w="1474" w:type="dxa"/>
            <w:vAlign w:val="center"/>
          </w:tcPr>
          <w:p w14:paraId="09A0C726">
            <w:pPr>
              <w:pStyle w:val="11"/>
            </w:pPr>
            <w:r>
              <w:t>990.66</w:t>
            </w:r>
          </w:p>
        </w:tc>
        <w:tc>
          <w:tcPr>
            <w:tcW w:w="1474" w:type="dxa"/>
            <w:vAlign w:val="center"/>
          </w:tcPr>
          <w:p w14:paraId="5B425F54">
            <w:pPr>
              <w:pStyle w:val="11"/>
            </w:pPr>
          </w:p>
        </w:tc>
        <w:tc>
          <w:tcPr>
            <w:tcW w:w="1474" w:type="dxa"/>
            <w:vAlign w:val="center"/>
          </w:tcPr>
          <w:p w14:paraId="325BDF71">
            <w:pPr>
              <w:pStyle w:val="11"/>
            </w:pPr>
          </w:p>
        </w:tc>
      </w:tr>
      <w:tr w14:paraId="4952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E06C6">
            <w:pPr>
              <w:pStyle w:val="13"/>
            </w:pPr>
            <w:r>
              <w:t>6</w:t>
            </w:r>
          </w:p>
        </w:tc>
        <w:tc>
          <w:tcPr>
            <w:tcW w:w="3402" w:type="dxa"/>
            <w:vAlign w:val="center"/>
          </w:tcPr>
          <w:p w14:paraId="34608733">
            <w:pPr>
              <w:pStyle w:val="12"/>
            </w:pPr>
          </w:p>
        </w:tc>
        <w:tc>
          <w:tcPr>
            <w:tcW w:w="1474" w:type="dxa"/>
            <w:vAlign w:val="center"/>
          </w:tcPr>
          <w:p w14:paraId="7D6098A6">
            <w:pPr>
              <w:pStyle w:val="11"/>
            </w:pPr>
          </w:p>
        </w:tc>
        <w:tc>
          <w:tcPr>
            <w:tcW w:w="3402" w:type="dxa"/>
            <w:vAlign w:val="center"/>
          </w:tcPr>
          <w:p w14:paraId="5E647076">
            <w:pPr>
              <w:pStyle w:val="12"/>
            </w:pPr>
            <w:r>
              <w:t>六、科学技术支出</w:t>
            </w:r>
          </w:p>
        </w:tc>
        <w:tc>
          <w:tcPr>
            <w:tcW w:w="1474" w:type="dxa"/>
            <w:vAlign w:val="center"/>
          </w:tcPr>
          <w:p w14:paraId="1A85C999">
            <w:pPr>
              <w:pStyle w:val="11"/>
            </w:pPr>
          </w:p>
        </w:tc>
        <w:tc>
          <w:tcPr>
            <w:tcW w:w="1474" w:type="dxa"/>
            <w:vAlign w:val="center"/>
          </w:tcPr>
          <w:p w14:paraId="45C837B2">
            <w:pPr>
              <w:pStyle w:val="11"/>
            </w:pPr>
          </w:p>
        </w:tc>
        <w:tc>
          <w:tcPr>
            <w:tcW w:w="1474" w:type="dxa"/>
            <w:vAlign w:val="center"/>
          </w:tcPr>
          <w:p w14:paraId="0E718BAB">
            <w:pPr>
              <w:pStyle w:val="11"/>
            </w:pPr>
          </w:p>
        </w:tc>
        <w:tc>
          <w:tcPr>
            <w:tcW w:w="1474" w:type="dxa"/>
            <w:vAlign w:val="center"/>
          </w:tcPr>
          <w:p w14:paraId="4D520DF1">
            <w:pPr>
              <w:pStyle w:val="11"/>
            </w:pPr>
          </w:p>
        </w:tc>
      </w:tr>
      <w:tr w14:paraId="3F29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750DD">
            <w:pPr>
              <w:pStyle w:val="13"/>
            </w:pPr>
            <w:r>
              <w:t>7</w:t>
            </w:r>
          </w:p>
        </w:tc>
        <w:tc>
          <w:tcPr>
            <w:tcW w:w="3402" w:type="dxa"/>
            <w:vAlign w:val="center"/>
          </w:tcPr>
          <w:p w14:paraId="4774C798">
            <w:pPr>
              <w:pStyle w:val="12"/>
            </w:pPr>
          </w:p>
        </w:tc>
        <w:tc>
          <w:tcPr>
            <w:tcW w:w="1474" w:type="dxa"/>
            <w:vAlign w:val="center"/>
          </w:tcPr>
          <w:p w14:paraId="6244A1F2">
            <w:pPr>
              <w:pStyle w:val="11"/>
            </w:pPr>
          </w:p>
        </w:tc>
        <w:tc>
          <w:tcPr>
            <w:tcW w:w="3402" w:type="dxa"/>
            <w:vAlign w:val="center"/>
          </w:tcPr>
          <w:p w14:paraId="538E6C5F">
            <w:pPr>
              <w:pStyle w:val="12"/>
            </w:pPr>
            <w:r>
              <w:t>七、文化旅游体育与传媒支出</w:t>
            </w:r>
          </w:p>
        </w:tc>
        <w:tc>
          <w:tcPr>
            <w:tcW w:w="1474" w:type="dxa"/>
            <w:vAlign w:val="center"/>
          </w:tcPr>
          <w:p w14:paraId="4AF90C69">
            <w:pPr>
              <w:pStyle w:val="11"/>
            </w:pPr>
          </w:p>
        </w:tc>
        <w:tc>
          <w:tcPr>
            <w:tcW w:w="1474" w:type="dxa"/>
            <w:vAlign w:val="center"/>
          </w:tcPr>
          <w:p w14:paraId="0D9BB462">
            <w:pPr>
              <w:pStyle w:val="11"/>
            </w:pPr>
          </w:p>
        </w:tc>
        <w:tc>
          <w:tcPr>
            <w:tcW w:w="1474" w:type="dxa"/>
            <w:vAlign w:val="center"/>
          </w:tcPr>
          <w:p w14:paraId="6529D2A1">
            <w:pPr>
              <w:pStyle w:val="11"/>
            </w:pPr>
          </w:p>
        </w:tc>
        <w:tc>
          <w:tcPr>
            <w:tcW w:w="1474" w:type="dxa"/>
            <w:vAlign w:val="center"/>
          </w:tcPr>
          <w:p w14:paraId="4DEF18A5">
            <w:pPr>
              <w:pStyle w:val="11"/>
            </w:pPr>
          </w:p>
        </w:tc>
      </w:tr>
      <w:tr w14:paraId="02C9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4DE0">
            <w:pPr>
              <w:pStyle w:val="13"/>
            </w:pPr>
            <w:r>
              <w:t>8</w:t>
            </w:r>
          </w:p>
        </w:tc>
        <w:tc>
          <w:tcPr>
            <w:tcW w:w="3402" w:type="dxa"/>
            <w:vAlign w:val="center"/>
          </w:tcPr>
          <w:p w14:paraId="05B22E92">
            <w:pPr>
              <w:pStyle w:val="12"/>
            </w:pPr>
          </w:p>
        </w:tc>
        <w:tc>
          <w:tcPr>
            <w:tcW w:w="1474" w:type="dxa"/>
            <w:vAlign w:val="center"/>
          </w:tcPr>
          <w:p w14:paraId="67AF038F">
            <w:pPr>
              <w:pStyle w:val="11"/>
            </w:pPr>
          </w:p>
        </w:tc>
        <w:tc>
          <w:tcPr>
            <w:tcW w:w="3402" w:type="dxa"/>
            <w:vAlign w:val="center"/>
          </w:tcPr>
          <w:p w14:paraId="32849A09">
            <w:pPr>
              <w:pStyle w:val="12"/>
            </w:pPr>
            <w:r>
              <w:t>八、社会保障和就业支出</w:t>
            </w:r>
          </w:p>
        </w:tc>
        <w:tc>
          <w:tcPr>
            <w:tcW w:w="1474" w:type="dxa"/>
            <w:vAlign w:val="center"/>
          </w:tcPr>
          <w:p w14:paraId="031D4104">
            <w:pPr>
              <w:pStyle w:val="11"/>
            </w:pPr>
          </w:p>
        </w:tc>
        <w:tc>
          <w:tcPr>
            <w:tcW w:w="1474" w:type="dxa"/>
            <w:vAlign w:val="center"/>
          </w:tcPr>
          <w:p w14:paraId="30C10B4C">
            <w:pPr>
              <w:pStyle w:val="11"/>
            </w:pPr>
          </w:p>
        </w:tc>
        <w:tc>
          <w:tcPr>
            <w:tcW w:w="1474" w:type="dxa"/>
            <w:vAlign w:val="center"/>
          </w:tcPr>
          <w:p w14:paraId="7AF462A6">
            <w:pPr>
              <w:pStyle w:val="11"/>
            </w:pPr>
          </w:p>
        </w:tc>
        <w:tc>
          <w:tcPr>
            <w:tcW w:w="1474" w:type="dxa"/>
            <w:vAlign w:val="center"/>
          </w:tcPr>
          <w:p w14:paraId="2D0A8D42">
            <w:pPr>
              <w:pStyle w:val="11"/>
            </w:pPr>
          </w:p>
        </w:tc>
      </w:tr>
      <w:tr w14:paraId="26EE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E306">
            <w:pPr>
              <w:pStyle w:val="13"/>
            </w:pPr>
            <w:r>
              <w:t>9</w:t>
            </w:r>
          </w:p>
        </w:tc>
        <w:tc>
          <w:tcPr>
            <w:tcW w:w="3402" w:type="dxa"/>
            <w:vAlign w:val="center"/>
          </w:tcPr>
          <w:p w14:paraId="1502446F">
            <w:pPr>
              <w:pStyle w:val="12"/>
            </w:pPr>
          </w:p>
        </w:tc>
        <w:tc>
          <w:tcPr>
            <w:tcW w:w="1474" w:type="dxa"/>
            <w:vAlign w:val="center"/>
          </w:tcPr>
          <w:p w14:paraId="1A0EE12D">
            <w:pPr>
              <w:pStyle w:val="11"/>
            </w:pPr>
          </w:p>
        </w:tc>
        <w:tc>
          <w:tcPr>
            <w:tcW w:w="3402" w:type="dxa"/>
            <w:vAlign w:val="center"/>
          </w:tcPr>
          <w:p w14:paraId="19F28E66">
            <w:pPr>
              <w:pStyle w:val="12"/>
            </w:pPr>
            <w:r>
              <w:t>九、社会保险基金支出</w:t>
            </w:r>
          </w:p>
        </w:tc>
        <w:tc>
          <w:tcPr>
            <w:tcW w:w="1474" w:type="dxa"/>
            <w:vAlign w:val="center"/>
          </w:tcPr>
          <w:p w14:paraId="0DCDEBC7">
            <w:pPr>
              <w:pStyle w:val="11"/>
            </w:pPr>
          </w:p>
        </w:tc>
        <w:tc>
          <w:tcPr>
            <w:tcW w:w="1474" w:type="dxa"/>
            <w:vAlign w:val="center"/>
          </w:tcPr>
          <w:p w14:paraId="0EA36C29">
            <w:pPr>
              <w:pStyle w:val="11"/>
            </w:pPr>
          </w:p>
        </w:tc>
        <w:tc>
          <w:tcPr>
            <w:tcW w:w="1474" w:type="dxa"/>
            <w:vAlign w:val="center"/>
          </w:tcPr>
          <w:p w14:paraId="6F320786">
            <w:pPr>
              <w:pStyle w:val="11"/>
            </w:pPr>
          </w:p>
        </w:tc>
        <w:tc>
          <w:tcPr>
            <w:tcW w:w="1474" w:type="dxa"/>
            <w:vAlign w:val="center"/>
          </w:tcPr>
          <w:p w14:paraId="66A38BAF">
            <w:pPr>
              <w:pStyle w:val="11"/>
            </w:pPr>
          </w:p>
        </w:tc>
      </w:tr>
      <w:tr w14:paraId="3985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7DF4A">
            <w:pPr>
              <w:pStyle w:val="13"/>
            </w:pPr>
            <w:r>
              <w:t>10</w:t>
            </w:r>
          </w:p>
        </w:tc>
        <w:tc>
          <w:tcPr>
            <w:tcW w:w="3402" w:type="dxa"/>
            <w:vAlign w:val="center"/>
          </w:tcPr>
          <w:p w14:paraId="19D41DDF">
            <w:pPr>
              <w:pStyle w:val="12"/>
            </w:pPr>
          </w:p>
        </w:tc>
        <w:tc>
          <w:tcPr>
            <w:tcW w:w="1474" w:type="dxa"/>
            <w:vAlign w:val="center"/>
          </w:tcPr>
          <w:p w14:paraId="4DF62013">
            <w:pPr>
              <w:pStyle w:val="11"/>
            </w:pPr>
          </w:p>
        </w:tc>
        <w:tc>
          <w:tcPr>
            <w:tcW w:w="3402" w:type="dxa"/>
            <w:vAlign w:val="center"/>
          </w:tcPr>
          <w:p w14:paraId="67D1D041">
            <w:pPr>
              <w:pStyle w:val="12"/>
            </w:pPr>
            <w:r>
              <w:t>十、卫生健康支出</w:t>
            </w:r>
          </w:p>
        </w:tc>
        <w:tc>
          <w:tcPr>
            <w:tcW w:w="1474" w:type="dxa"/>
            <w:vAlign w:val="center"/>
          </w:tcPr>
          <w:p w14:paraId="5A20758B">
            <w:pPr>
              <w:pStyle w:val="11"/>
            </w:pPr>
          </w:p>
        </w:tc>
        <w:tc>
          <w:tcPr>
            <w:tcW w:w="1474" w:type="dxa"/>
            <w:vAlign w:val="center"/>
          </w:tcPr>
          <w:p w14:paraId="318F9878">
            <w:pPr>
              <w:pStyle w:val="11"/>
            </w:pPr>
          </w:p>
        </w:tc>
        <w:tc>
          <w:tcPr>
            <w:tcW w:w="1474" w:type="dxa"/>
            <w:vAlign w:val="center"/>
          </w:tcPr>
          <w:p w14:paraId="3FD9C865">
            <w:pPr>
              <w:pStyle w:val="11"/>
            </w:pPr>
          </w:p>
        </w:tc>
        <w:tc>
          <w:tcPr>
            <w:tcW w:w="1474" w:type="dxa"/>
            <w:vAlign w:val="center"/>
          </w:tcPr>
          <w:p w14:paraId="21688483">
            <w:pPr>
              <w:pStyle w:val="11"/>
            </w:pPr>
          </w:p>
        </w:tc>
      </w:tr>
      <w:tr w14:paraId="0D00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75FC6">
            <w:pPr>
              <w:pStyle w:val="13"/>
            </w:pPr>
            <w:r>
              <w:t>11</w:t>
            </w:r>
          </w:p>
        </w:tc>
        <w:tc>
          <w:tcPr>
            <w:tcW w:w="3402" w:type="dxa"/>
            <w:vAlign w:val="center"/>
          </w:tcPr>
          <w:p w14:paraId="36B3D615">
            <w:pPr>
              <w:pStyle w:val="12"/>
            </w:pPr>
          </w:p>
        </w:tc>
        <w:tc>
          <w:tcPr>
            <w:tcW w:w="1474" w:type="dxa"/>
            <w:vAlign w:val="center"/>
          </w:tcPr>
          <w:p w14:paraId="478700AD">
            <w:pPr>
              <w:pStyle w:val="11"/>
            </w:pPr>
          </w:p>
        </w:tc>
        <w:tc>
          <w:tcPr>
            <w:tcW w:w="3402" w:type="dxa"/>
            <w:vAlign w:val="center"/>
          </w:tcPr>
          <w:p w14:paraId="60184BE3">
            <w:pPr>
              <w:pStyle w:val="12"/>
            </w:pPr>
            <w:r>
              <w:t>十一、节能环保支出</w:t>
            </w:r>
          </w:p>
        </w:tc>
        <w:tc>
          <w:tcPr>
            <w:tcW w:w="1474" w:type="dxa"/>
            <w:vAlign w:val="center"/>
          </w:tcPr>
          <w:p w14:paraId="101E6939">
            <w:pPr>
              <w:pStyle w:val="11"/>
            </w:pPr>
          </w:p>
        </w:tc>
        <w:tc>
          <w:tcPr>
            <w:tcW w:w="1474" w:type="dxa"/>
            <w:vAlign w:val="center"/>
          </w:tcPr>
          <w:p w14:paraId="2B5A18B7">
            <w:pPr>
              <w:pStyle w:val="11"/>
            </w:pPr>
          </w:p>
        </w:tc>
        <w:tc>
          <w:tcPr>
            <w:tcW w:w="1474" w:type="dxa"/>
            <w:vAlign w:val="center"/>
          </w:tcPr>
          <w:p w14:paraId="260B25C2">
            <w:pPr>
              <w:pStyle w:val="11"/>
            </w:pPr>
          </w:p>
        </w:tc>
        <w:tc>
          <w:tcPr>
            <w:tcW w:w="1474" w:type="dxa"/>
            <w:vAlign w:val="center"/>
          </w:tcPr>
          <w:p w14:paraId="52AD320B">
            <w:pPr>
              <w:pStyle w:val="11"/>
            </w:pPr>
          </w:p>
        </w:tc>
      </w:tr>
      <w:tr w14:paraId="6B6A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4BB9">
            <w:pPr>
              <w:pStyle w:val="13"/>
            </w:pPr>
            <w:r>
              <w:t>12</w:t>
            </w:r>
          </w:p>
        </w:tc>
        <w:tc>
          <w:tcPr>
            <w:tcW w:w="3402" w:type="dxa"/>
            <w:vAlign w:val="center"/>
          </w:tcPr>
          <w:p w14:paraId="51F9B1C0">
            <w:pPr>
              <w:pStyle w:val="12"/>
            </w:pPr>
          </w:p>
        </w:tc>
        <w:tc>
          <w:tcPr>
            <w:tcW w:w="1474" w:type="dxa"/>
            <w:vAlign w:val="center"/>
          </w:tcPr>
          <w:p w14:paraId="5BFDC655">
            <w:pPr>
              <w:pStyle w:val="11"/>
            </w:pPr>
          </w:p>
        </w:tc>
        <w:tc>
          <w:tcPr>
            <w:tcW w:w="3402" w:type="dxa"/>
            <w:vAlign w:val="center"/>
          </w:tcPr>
          <w:p w14:paraId="4E2B3511">
            <w:pPr>
              <w:pStyle w:val="12"/>
            </w:pPr>
            <w:r>
              <w:t>十二、城乡社区支出</w:t>
            </w:r>
          </w:p>
        </w:tc>
        <w:tc>
          <w:tcPr>
            <w:tcW w:w="1474" w:type="dxa"/>
            <w:vAlign w:val="center"/>
          </w:tcPr>
          <w:p w14:paraId="3D095C7B">
            <w:pPr>
              <w:pStyle w:val="11"/>
            </w:pPr>
          </w:p>
        </w:tc>
        <w:tc>
          <w:tcPr>
            <w:tcW w:w="1474" w:type="dxa"/>
            <w:vAlign w:val="center"/>
          </w:tcPr>
          <w:p w14:paraId="40044FD7">
            <w:pPr>
              <w:pStyle w:val="11"/>
            </w:pPr>
          </w:p>
        </w:tc>
        <w:tc>
          <w:tcPr>
            <w:tcW w:w="1474" w:type="dxa"/>
            <w:vAlign w:val="center"/>
          </w:tcPr>
          <w:p w14:paraId="0D69D2C8">
            <w:pPr>
              <w:pStyle w:val="11"/>
            </w:pPr>
          </w:p>
        </w:tc>
        <w:tc>
          <w:tcPr>
            <w:tcW w:w="1474" w:type="dxa"/>
            <w:vAlign w:val="center"/>
          </w:tcPr>
          <w:p w14:paraId="17D79451">
            <w:pPr>
              <w:pStyle w:val="11"/>
            </w:pPr>
          </w:p>
        </w:tc>
      </w:tr>
      <w:tr w14:paraId="25BF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75EB1">
            <w:pPr>
              <w:pStyle w:val="13"/>
            </w:pPr>
            <w:r>
              <w:t>13</w:t>
            </w:r>
          </w:p>
        </w:tc>
        <w:tc>
          <w:tcPr>
            <w:tcW w:w="3402" w:type="dxa"/>
            <w:vAlign w:val="center"/>
          </w:tcPr>
          <w:p w14:paraId="10AF14F2">
            <w:pPr>
              <w:pStyle w:val="12"/>
            </w:pPr>
          </w:p>
        </w:tc>
        <w:tc>
          <w:tcPr>
            <w:tcW w:w="1474" w:type="dxa"/>
            <w:vAlign w:val="center"/>
          </w:tcPr>
          <w:p w14:paraId="70BABC2B">
            <w:pPr>
              <w:pStyle w:val="11"/>
            </w:pPr>
          </w:p>
        </w:tc>
        <w:tc>
          <w:tcPr>
            <w:tcW w:w="3402" w:type="dxa"/>
            <w:vAlign w:val="center"/>
          </w:tcPr>
          <w:p w14:paraId="3314A3C8">
            <w:pPr>
              <w:pStyle w:val="12"/>
            </w:pPr>
            <w:r>
              <w:t>十三、农林水支出</w:t>
            </w:r>
          </w:p>
        </w:tc>
        <w:tc>
          <w:tcPr>
            <w:tcW w:w="1474" w:type="dxa"/>
            <w:vAlign w:val="center"/>
          </w:tcPr>
          <w:p w14:paraId="7C631CF0">
            <w:pPr>
              <w:pStyle w:val="11"/>
            </w:pPr>
          </w:p>
        </w:tc>
        <w:tc>
          <w:tcPr>
            <w:tcW w:w="1474" w:type="dxa"/>
            <w:vAlign w:val="center"/>
          </w:tcPr>
          <w:p w14:paraId="71D32BED">
            <w:pPr>
              <w:pStyle w:val="11"/>
            </w:pPr>
          </w:p>
        </w:tc>
        <w:tc>
          <w:tcPr>
            <w:tcW w:w="1474" w:type="dxa"/>
            <w:vAlign w:val="center"/>
          </w:tcPr>
          <w:p w14:paraId="308EC731">
            <w:pPr>
              <w:pStyle w:val="11"/>
            </w:pPr>
          </w:p>
        </w:tc>
        <w:tc>
          <w:tcPr>
            <w:tcW w:w="1474" w:type="dxa"/>
            <w:vAlign w:val="center"/>
          </w:tcPr>
          <w:p w14:paraId="73E3CD80">
            <w:pPr>
              <w:pStyle w:val="11"/>
            </w:pPr>
          </w:p>
        </w:tc>
      </w:tr>
      <w:tr w14:paraId="4DB4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B68E">
            <w:pPr>
              <w:pStyle w:val="13"/>
            </w:pPr>
            <w:r>
              <w:t>14</w:t>
            </w:r>
          </w:p>
        </w:tc>
        <w:tc>
          <w:tcPr>
            <w:tcW w:w="3402" w:type="dxa"/>
            <w:vAlign w:val="center"/>
          </w:tcPr>
          <w:p w14:paraId="7B065D12">
            <w:pPr>
              <w:pStyle w:val="12"/>
            </w:pPr>
          </w:p>
        </w:tc>
        <w:tc>
          <w:tcPr>
            <w:tcW w:w="1474" w:type="dxa"/>
            <w:vAlign w:val="center"/>
          </w:tcPr>
          <w:p w14:paraId="3E4E645B">
            <w:pPr>
              <w:pStyle w:val="11"/>
            </w:pPr>
          </w:p>
        </w:tc>
        <w:tc>
          <w:tcPr>
            <w:tcW w:w="3402" w:type="dxa"/>
            <w:vAlign w:val="center"/>
          </w:tcPr>
          <w:p w14:paraId="6D0DC7CD">
            <w:pPr>
              <w:pStyle w:val="12"/>
            </w:pPr>
            <w:r>
              <w:t>十四、交通运输支出</w:t>
            </w:r>
          </w:p>
        </w:tc>
        <w:tc>
          <w:tcPr>
            <w:tcW w:w="1474" w:type="dxa"/>
            <w:vAlign w:val="center"/>
          </w:tcPr>
          <w:p w14:paraId="3981CD0D">
            <w:pPr>
              <w:pStyle w:val="11"/>
            </w:pPr>
          </w:p>
        </w:tc>
        <w:tc>
          <w:tcPr>
            <w:tcW w:w="1474" w:type="dxa"/>
            <w:vAlign w:val="center"/>
          </w:tcPr>
          <w:p w14:paraId="4883EFED">
            <w:pPr>
              <w:pStyle w:val="11"/>
            </w:pPr>
          </w:p>
        </w:tc>
        <w:tc>
          <w:tcPr>
            <w:tcW w:w="1474" w:type="dxa"/>
            <w:vAlign w:val="center"/>
          </w:tcPr>
          <w:p w14:paraId="5F5B4B2B">
            <w:pPr>
              <w:pStyle w:val="11"/>
            </w:pPr>
          </w:p>
        </w:tc>
        <w:tc>
          <w:tcPr>
            <w:tcW w:w="1474" w:type="dxa"/>
            <w:vAlign w:val="center"/>
          </w:tcPr>
          <w:p w14:paraId="332B6014">
            <w:pPr>
              <w:pStyle w:val="11"/>
            </w:pPr>
          </w:p>
        </w:tc>
      </w:tr>
      <w:tr w14:paraId="2529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E584F">
            <w:pPr>
              <w:pStyle w:val="13"/>
            </w:pPr>
            <w:r>
              <w:t>15</w:t>
            </w:r>
          </w:p>
        </w:tc>
        <w:tc>
          <w:tcPr>
            <w:tcW w:w="3402" w:type="dxa"/>
            <w:vAlign w:val="center"/>
          </w:tcPr>
          <w:p w14:paraId="73EBA77B">
            <w:pPr>
              <w:pStyle w:val="12"/>
            </w:pPr>
          </w:p>
        </w:tc>
        <w:tc>
          <w:tcPr>
            <w:tcW w:w="1474" w:type="dxa"/>
            <w:vAlign w:val="center"/>
          </w:tcPr>
          <w:p w14:paraId="3F65BA5E">
            <w:pPr>
              <w:pStyle w:val="11"/>
            </w:pPr>
          </w:p>
        </w:tc>
        <w:tc>
          <w:tcPr>
            <w:tcW w:w="3402" w:type="dxa"/>
            <w:vAlign w:val="center"/>
          </w:tcPr>
          <w:p w14:paraId="3AF816DA">
            <w:pPr>
              <w:pStyle w:val="12"/>
            </w:pPr>
            <w:r>
              <w:t>十五、资源勘探工业信息等支出</w:t>
            </w:r>
          </w:p>
        </w:tc>
        <w:tc>
          <w:tcPr>
            <w:tcW w:w="1474" w:type="dxa"/>
            <w:vAlign w:val="center"/>
          </w:tcPr>
          <w:p w14:paraId="1A8E8404">
            <w:pPr>
              <w:pStyle w:val="11"/>
            </w:pPr>
          </w:p>
        </w:tc>
        <w:tc>
          <w:tcPr>
            <w:tcW w:w="1474" w:type="dxa"/>
            <w:vAlign w:val="center"/>
          </w:tcPr>
          <w:p w14:paraId="4C9C8370">
            <w:pPr>
              <w:pStyle w:val="11"/>
            </w:pPr>
          </w:p>
        </w:tc>
        <w:tc>
          <w:tcPr>
            <w:tcW w:w="1474" w:type="dxa"/>
            <w:vAlign w:val="center"/>
          </w:tcPr>
          <w:p w14:paraId="6EF1D2CE">
            <w:pPr>
              <w:pStyle w:val="11"/>
            </w:pPr>
          </w:p>
        </w:tc>
        <w:tc>
          <w:tcPr>
            <w:tcW w:w="1474" w:type="dxa"/>
            <w:vAlign w:val="center"/>
          </w:tcPr>
          <w:p w14:paraId="33AFC37F">
            <w:pPr>
              <w:pStyle w:val="11"/>
            </w:pPr>
          </w:p>
        </w:tc>
      </w:tr>
      <w:tr w14:paraId="76AA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C142">
            <w:pPr>
              <w:pStyle w:val="13"/>
            </w:pPr>
            <w:r>
              <w:t>16</w:t>
            </w:r>
          </w:p>
        </w:tc>
        <w:tc>
          <w:tcPr>
            <w:tcW w:w="3402" w:type="dxa"/>
            <w:vAlign w:val="center"/>
          </w:tcPr>
          <w:p w14:paraId="55ED0FE1">
            <w:pPr>
              <w:pStyle w:val="12"/>
            </w:pPr>
          </w:p>
        </w:tc>
        <w:tc>
          <w:tcPr>
            <w:tcW w:w="1474" w:type="dxa"/>
            <w:vAlign w:val="center"/>
          </w:tcPr>
          <w:p w14:paraId="13D432B0">
            <w:pPr>
              <w:pStyle w:val="11"/>
            </w:pPr>
          </w:p>
        </w:tc>
        <w:tc>
          <w:tcPr>
            <w:tcW w:w="3402" w:type="dxa"/>
            <w:vAlign w:val="center"/>
          </w:tcPr>
          <w:p w14:paraId="367FC098">
            <w:pPr>
              <w:pStyle w:val="12"/>
            </w:pPr>
            <w:r>
              <w:t>十六、商业服务业等支出</w:t>
            </w:r>
          </w:p>
        </w:tc>
        <w:tc>
          <w:tcPr>
            <w:tcW w:w="1474" w:type="dxa"/>
            <w:vAlign w:val="center"/>
          </w:tcPr>
          <w:p w14:paraId="6020F5CE">
            <w:pPr>
              <w:pStyle w:val="11"/>
            </w:pPr>
          </w:p>
        </w:tc>
        <w:tc>
          <w:tcPr>
            <w:tcW w:w="1474" w:type="dxa"/>
            <w:vAlign w:val="center"/>
          </w:tcPr>
          <w:p w14:paraId="7043AB33">
            <w:pPr>
              <w:pStyle w:val="11"/>
            </w:pPr>
          </w:p>
        </w:tc>
        <w:tc>
          <w:tcPr>
            <w:tcW w:w="1474" w:type="dxa"/>
            <w:vAlign w:val="center"/>
          </w:tcPr>
          <w:p w14:paraId="52932B27">
            <w:pPr>
              <w:pStyle w:val="11"/>
            </w:pPr>
          </w:p>
        </w:tc>
        <w:tc>
          <w:tcPr>
            <w:tcW w:w="1474" w:type="dxa"/>
            <w:vAlign w:val="center"/>
          </w:tcPr>
          <w:p w14:paraId="32BA2962">
            <w:pPr>
              <w:pStyle w:val="11"/>
            </w:pPr>
          </w:p>
        </w:tc>
      </w:tr>
      <w:tr w14:paraId="21F6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CBE51">
            <w:pPr>
              <w:pStyle w:val="13"/>
            </w:pPr>
            <w:r>
              <w:t>17</w:t>
            </w:r>
          </w:p>
        </w:tc>
        <w:tc>
          <w:tcPr>
            <w:tcW w:w="3402" w:type="dxa"/>
            <w:vAlign w:val="center"/>
          </w:tcPr>
          <w:p w14:paraId="49812EBE">
            <w:pPr>
              <w:pStyle w:val="12"/>
            </w:pPr>
          </w:p>
        </w:tc>
        <w:tc>
          <w:tcPr>
            <w:tcW w:w="1474" w:type="dxa"/>
            <w:vAlign w:val="center"/>
          </w:tcPr>
          <w:p w14:paraId="7B0E4763">
            <w:pPr>
              <w:pStyle w:val="11"/>
            </w:pPr>
          </w:p>
        </w:tc>
        <w:tc>
          <w:tcPr>
            <w:tcW w:w="3402" w:type="dxa"/>
            <w:vAlign w:val="center"/>
          </w:tcPr>
          <w:p w14:paraId="3D029E87">
            <w:pPr>
              <w:pStyle w:val="12"/>
            </w:pPr>
            <w:r>
              <w:t>十七、金融支出</w:t>
            </w:r>
          </w:p>
        </w:tc>
        <w:tc>
          <w:tcPr>
            <w:tcW w:w="1474" w:type="dxa"/>
            <w:vAlign w:val="center"/>
          </w:tcPr>
          <w:p w14:paraId="05BAE444">
            <w:pPr>
              <w:pStyle w:val="11"/>
            </w:pPr>
          </w:p>
        </w:tc>
        <w:tc>
          <w:tcPr>
            <w:tcW w:w="1474" w:type="dxa"/>
            <w:vAlign w:val="center"/>
          </w:tcPr>
          <w:p w14:paraId="179AB785">
            <w:pPr>
              <w:pStyle w:val="11"/>
            </w:pPr>
          </w:p>
        </w:tc>
        <w:tc>
          <w:tcPr>
            <w:tcW w:w="1474" w:type="dxa"/>
            <w:vAlign w:val="center"/>
          </w:tcPr>
          <w:p w14:paraId="48708A8E">
            <w:pPr>
              <w:pStyle w:val="11"/>
            </w:pPr>
          </w:p>
        </w:tc>
        <w:tc>
          <w:tcPr>
            <w:tcW w:w="1474" w:type="dxa"/>
            <w:vAlign w:val="center"/>
          </w:tcPr>
          <w:p w14:paraId="668C136A">
            <w:pPr>
              <w:pStyle w:val="11"/>
            </w:pPr>
          </w:p>
        </w:tc>
      </w:tr>
      <w:tr w14:paraId="44D3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2F092">
            <w:pPr>
              <w:pStyle w:val="13"/>
            </w:pPr>
            <w:r>
              <w:t>18</w:t>
            </w:r>
          </w:p>
        </w:tc>
        <w:tc>
          <w:tcPr>
            <w:tcW w:w="3402" w:type="dxa"/>
            <w:vAlign w:val="center"/>
          </w:tcPr>
          <w:p w14:paraId="05BC612B">
            <w:pPr>
              <w:pStyle w:val="12"/>
            </w:pPr>
          </w:p>
        </w:tc>
        <w:tc>
          <w:tcPr>
            <w:tcW w:w="1474" w:type="dxa"/>
            <w:vAlign w:val="center"/>
          </w:tcPr>
          <w:p w14:paraId="38374649">
            <w:pPr>
              <w:pStyle w:val="11"/>
            </w:pPr>
          </w:p>
        </w:tc>
        <w:tc>
          <w:tcPr>
            <w:tcW w:w="3402" w:type="dxa"/>
            <w:vAlign w:val="center"/>
          </w:tcPr>
          <w:p w14:paraId="2D42C81D">
            <w:pPr>
              <w:pStyle w:val="12"/>
            </w:pPr>
            <w:r>
              <w:t>十八、援助其他地区支出</w:t>
            </w:r>
          </w:p>
        </w:tc>
        <w:tc>
          <w:tcPr>
            <w:tcW w:w="1474" w:type="dxa"/>
            <w:vAlign w:val="center"/>
          </w:tcPr>
          <w:p w14:paraId="6B845030">
            <w:pPr>
              <w:pStyle w:val="11"/>
            </w:pPr>
          </w:p>
        </w:tc>
        <w:tc>
          <w:tcPr>
            <w:tcW w:w="1474" w:type="dxa"/>
            <w:vAlign w:val="center"/>
          </w:tcPr>
          <w:p w14:paraId="777E82D1">
            <w:pPr>
              <w:pStyle w:val="11"/>
            </w:pPr>
          </w:p>
        </w:tc>
        <w:tc>
          <w:tcPr>
            <w:tcW w:w="1474" w:type="dxa"/>
            <w:vAlign w:val="center"/>
          </w:tcPr>
          <w:p w14:paraId="3F0807E8">
            <w:pPr>
              <w:pStyle w:val="11"/>
            </w:pPr>
          </w:p>
        </w:tc>
        <w:tc>
          <w:tcPr>
            <w:tcW w:w="1474" w:type="dxa"/>
            <w:vAlign w:val="center"/>
          </w:tcPr>
          <w:p w14:paraId="7317531A">
            <w:pPr>
              <w:pStyle w:val="11"/>
            </w:pPr>
          </w:p>
        </w:tc>
      </w:tr>
      <w:tr w14:paraId="59F9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B7CF7">
            <w:pPr>
              <w:pStyle w:val="13"/>
            </w:pPr>
            <w:r>
              <w:t>19</w:t>
            </w:r>
          </w:p>
        </w:tc>
        <w:tc>
          <w:tcPr>
            <w:tcW w:w="3402" w:type="dxa"/>
            <w:vAlign w:val="center"/>
          </w:tcPr>
          <w:p w14:paraId="2C952008">
            <w:pPr>
              <w:pStyle w:val="12"/>
            </w:pPr>
          </w:p>
        </w:tc>
        <w:tc>
          <w:tcPr>
            <w:tcW w:w="1474" w:type="dxa"/>
            <w:vAlign w:val="center"/>
          </w:tcPr>
          <w:p w14:paraId="1DD454DF">
            <w:pPr>
              <w:pStyle w:val="11"/>
            </w:pPr>
          </w:p>
        </w:tc>
        <w:tc>
          <w:tcPr>
            <w:tcW w:w="3402" w:type="dxa"/>
            <w:vAlign w:val="center"/>
          </w:tcPr>
          <w:p w14:paraId="3620ACED">
            <w:pPr>
              <w:pStyle w:val="12"/>
            </w:pPr>
            <w:r>
              <w:t>十九、自然资源海洋气象等支出</w:t>
            </w:r>
          </w:p>
        </w:tc>
        <w:tc>
          <w:tcPr>
            <w:tcW w:w="1474" w:type="dxa"/>
            <w:vAlign w:val="center"/>
          </w:tcPr>
          <w:p w14:paraId="1E22611B">
            <w:pPr>
              <w:pStyle w:val="11"/>
            </w:pPr>
          </w:p>
        </w:tc>
        <w:tc>
          <w:tcPr>
            <w:tcW w:w="1474" w:type="dxa"/>
            <w:vAlign w:val="center"/>
          </w:tcPr>
          <w:p w14:paraId="23DBC6E6">
            <w:pPr>
              <w:pStyle w:val="11"/>
            </w:pPr>
          </w:p>
        </w:tc>
        <w:tc>
          <w:tcPr>
            <w:tcW w:w="1474" w:type="dxa"/>
            <w:vAlign w:val="center"/>
          </w:tcPr>
          <w:p w14:paraId="253A5CB4">
            <w:pPr>
              <w:pStyle w:val="11"/>
            </w:pPr>
          </w:p>
        </w:tc>
        <w:tc>
          <w:tcPr>
            <w:tcW w:w="1474" w:type="dxa"/>
            <w:vAlign w:val="center"/>
          </w:tcPr>
          <w:p w14:paraId="22CC9D5B">
            <w:pPr>
              <w:pStyle w:val="11"/>
            </w:pPr>
          </w:p>
        </w:tc>
      </w:tr>
      <w:tr w14:paraId="0A4A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78CC3">
            <w:pPr>
              <w:pStyle w:val="13"/>
            </w:pPr>
            <w:r>
              <w:t>20</w:t>
            </w:r>
          </w:p>
        </w:tc>
        <w:tc>
          <w:tcPr>
            <w:tcW w:w="3402" w:type="dxa"/>
            <w:vAlign w:val="center"/>
          </w:tcPr>
          <w:p w14:paraId="0D9204D2">
            <w:pPr>
              <w:pStyle w:val="12"/>
            </w:pPr>
          </w:p>
        </w:tc>
        <w:tc>
          <w:tcPr>
            <w:tcW w:w="1474" w:type="dxa"/>
            <w:vAlign w:val="center"/>
          </w:tcPr>
          <w:p w14:paraId="466CE9EB">
            <w:pPr>
              <w:pStyle w:val="11"/>
            </w:pPr>
          </w:p>
        </w:tc>
        <w:tc>
          <w:tcPr>
            <w:tcW w:w="3402" w:type="dxa"/>
            <w:vAlign w:val="center"/>
          </w:tcPr>
          <w:p w14:paraId="1BE2B037">
            <w:pPr>
              <w:pStyle w:val="12"/>
            </w:pPr>
            <w:r>
              <w:t>二十、住房保障支出</w:t>
            </w:r>
          </w:p>
        </w:tc>
        <w:tc>
          <w:tcPr>
            <w:tcW w:w="1474" w:type="dxa"/>
            <w:vAlign w:val="center"/>
          </w:tcPr>
          <w:p w14:paraId="086821F6">
            <w:pPr>
              <w:pStyle w:val="11"/>
            </w:pPr>
          </w:p>
        </w:tc>
        <w:tc>
          <w:tcPr>
            <w:tcW w:w="1474" w:type="dxa"/>
            <w:vAlign w:val="center"/>
          </w:tcPr>
          <w:p w14:paraId="14E50C5F">
            <w:pPr>
              <w:pStyle w:val="11"/>
            </w:pPr>
          </w:p>
        </w:tc>
        <w:tc>
          <w:tcPr>
            <w:tcW w:w="1474" w:type="dxa"/>
            <w:vAlign w:val="center"/>
          </w:tcPr>
          <w:p w14:paraId="661FE7D6">
            <w:pPr>
              <w:pStyle w:val="11"/>
            </w:pPr>
          </w:p>
        </w:tc>
        <w:tc>
          <w:tcPr>
            <w:tcW w:w="1474" w:type="dxa"/>
            <w:vAlign w:val="center"/>
          </w:tcPr>
          <w:p w14:paraId="6A0FBF86">
            <w:pPr>
              <w:pStyle w:val="11"/>
            </w:pPr>
          </w:p>
        </w:tc>
      </w:tr>
      <w:tr w14:paraId="3611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047F">
            <w:pPr>
              <w:pStyle w:val="13"/>
            </w:pPr>
            <w:r>
              <w:t>21</w:t>
            </w:r>
          </w:p>
        </w:tc>
        <w:tc>
          <w:tcPr>
            <w:tcW w:w="3402" w:type="dxa"/>
            <w:vAlign w:val="center"/>
          </w:tcPr>
          <w:p w14:paraId="58263FA1">
            <w:pPr>
              <w:pStyle w:val="12"/>
            </w:pPr>
          </w:p>
        </w:tc>
        <w:tc>
          <w:tcPr>
            <w:tcW w:w="1474" w:type="dxa"/>
            <w:vAlign w:val="center"/>
          </w:tcPr>
          <w:p w14:paraId="2E56DABA">
            <w:pPr>
              <w:pStyle w:val="11"/>
            </w:pPr>
          </w:p>
        </w:tc>
        <w:tc>
          <w:tcPr>
            <w:tcW w:w="3402" w:type="dxa"/>
            <w:vAlign w:val="center"/>
          </w:tcPr>
          <w:p w14:paraId="1B670969">
            <w:pPr>
              <w:pStyle w:val="12"/>
            </w:pPr>
            <w:r>
              <w:t>二十一、粮油物资储备支出</w:t>
            </w:r>
          </w:p>
        </w:tc>
        <w:tc>
          <w:tcPr>
            <w:tcW w:w="1474" w:type="dxa"/>
            <w:vAlign w:val="center"/>
          </w:tcPr>
          <w:p w14:paraId="19AAD994">
            <w:pPr>
              <w:pStyle w:val="11"/>
            </w:pPr>
          </w:p>
        </w:tc>
        <w:tc>
          <w:tcPr>
            <w:tcW w:w="1474" w:type="dxa"/>
            <w:vAlign w:val="center"/>
          </w:tcPr>
          <w:p w14:paraId="13096014">
            <w:pPr>
              <w:pStyle w:val="11"/>
            </w:pPr>
          </w:p>
        </w:tc>
        <w:tc>
          <w:tcPr>
            <w:tcW w:w="1474" w:type="dxa"/>
            <w:vAlign w:val="center"/>
          </w:tcPr>
          <w:p w14:paraId="1C97E389">
            <w:pPr>
              <w:pStyle w:val="11"/>
            </w:pPr>
          </w:p>
        </w:tc>
        <w:tc>
          <w:tcPr>
            <w:tcW w:w="1474" w:type="dxa"/>
            <w:vAlign w:val="center"/>
          </w:tcPr>
          <w:p w14:paraId="47A43FF9">
            <w:pPr>
              <w:pStyle w:val="11"/>
            </w:pPr>
          </w:p>
        </w:tc>
      </w:tr>
      <w:tr w14:paraId="5A25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927CA">
            <w:pPr>
              <w:pStyle w:val="13"/>
            </w:pPr>
            <w:r>
              <w:t>22</w:t>
            </w:r>
          </w:p>
        </w:tc>
        <w:tc>
          <w:tcPr>
            <w:tcW w:w="3402" w:type="dxa"/>
            <w:vAlign w:val="center"/>
          </w:tcPr>
          <w:p w14:paraId="3E37B0C0">
            <w:pPr>
              <w:pStyle w:val="12"/>
            </w:pPr>
          </w:p>
        </w:tc>
        <w:tc>
          <w:tcPr>
            <w:tcW w:w="1474" w:type="dxa"/>
            <w:vAlign w:val="center"/>
          </w:tcPr>
          <w:p w14:paraId="61A1DD20">
            <w:pPr>
              <w:pStyle w:val="11"/>
            </w:pPr>
          </w:p>
        </w:tc>
        <w:tc>
          <w:tcPr>
            <w:tcW w:w="3402" w:type="dxa"/>
            <w:vAlign w:val="center"/>
          </w:tcPr>
          <w:p w14:paraId="0F721647">
            <w:pPr>
              <w:pStyle w:val="12"/>
            </w:pPr>
            <w:r>
              <w:t>二十二、国有资本经营预算支出</w:t>
            </w:r>
          </w:p>
        </w:tc>
        <w:tc>
          <w:tcPr>
            <w:tcW w:w="1474" w:type="dxa"/>
            <w:vAlign w:val="center"/>
          </w:tcPr>
          <w:p w14:paraId="30891132">
            <w:pPr>
              <w:pStyle w:val="11"/>
            </w:pPr>
          </w:p>
        </w:tc>
        <w:tc>
          <w:tcPr>
            <w:tcW w:w="1474" w:type="dxa"/>
            <w:vAlign w:val="center"/>
          </w:tcPr>
          <w:p w14:paraId="72A4A676">
            <w:pPr>
              <w:pStyle w:val="11"/>
            </w:pPr>
          </w:p>
        </w:tc>
        <w:tc>
          <w:tcPr>
            <w:tcW w:w="1474" w:type="dxa"/>
            <w:vAlign w:val="center"/>
          </w:tcPr>
          <w:p w14:paraId="3A0F39F4">
            <w:pPr>
              <w:pStyle w:val="11"/>
            </w:pPr>
          </w:p>
        </w:tc>
        <w:tc>
          <w:tcPr>
            <w:tcW w:w="1474" w:type="dxa"/>
            <w:vAlign w:val="center"/>
          </w:tcPr>
          <w:p w14:paraId="37F017AA">
            <w:pPr>
              <w:pStyle w:val="11"/>
            </w:pPr>
          </w:p>
        </w:tc>
      </w:tr>
      <w:tr w14:paraId="7AFA5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B85E">
            <w:pPr>
              <w:pStyle w:val="13"/>
            </w:pPr>
            <w:r>
              <w:t>23</w:t>
            </w:r>
          </w:p>
        </w:tc>
        <w:tc>
          <w:tcPr>
            <w:tcW w:w="3402" w:type="dxa"/>
            <w:vAlign w:val="center"/>
          </w:tcPr>
          <w:p w14:paraId="0ADDE09F">
            <w:pPr>
              <w:pStyle w:val="12"/>
            </w:pPr>
          </w:p>
        </w:tc>
        <w:tc>
          <w:tcPr>
            <w:tcW w:w="1474" w:type="dxa"/>
            <w:vAlign w:val="center"/>
          </w:tcPr>
          <w:p w14:paraId="0A3A399F">
            <w:pPr>
              <w:pStyle w:val="11"/>
            </w:pPr>
          </w:p>
        </w:tc>
        <w:tc>
          <w:tcPr>
            <w:tcW w:w="3402" w:type="dxa"/>
            <w:vAlign w:val="center"/>
          </w:tcPr>
          <w:p w14:paraId="45E2B037">
            <w:pPr>
              <w:pStyle w:val="12"/>
            </w:pPr>
            <w:r>
              <w:t>二十三、灾害防治及应急管理支出</w:t>
            </w:r>
          </w:p>
        </w:tc>
        <w:tc>
          <w:tcPr>
            <w:tcW w:w="1474" w:type="dxa"/>
            <w:vAlign w:val="center"/>
          </w:tcPr>
          <w:p w14:paraId="5D0F9FDE">
            <w:pPr>
              <w:pStyle w:val="11"/>
            </w:pPr>
          </w:p>
        </w:tc>
        <w:tc>
          <w:tcPr>
            <w:tcW w:w="1474" w:type="dxa"/>
            <w:vAlign w:val="center"/>
          </w:tcPr>
          <w:p w14:paraId="67DDBC9D">
            <w:pPr>
              <w:pStyle w:val="11"/>
            </w:pPr>
          </w:p>
        </w:tc>
        <w:tc>
          <w:tcPr>
            <w:tcW w:w="1474" w:type="dxa"/>
            <w:vAlign w:val="center"/>
          </w:tcPr>
          <w:p w14:paraId="6D9E12FB">
            <w:pPr>
              <w:pStyle w:val="11"/>
            </w:pPr>
          </w:p>
        </w:tc>
        <w:tc>
          <w:tcPr>
            <w:tcW w:w="1474" w:type="dxa"/>
            <w:vAlign w:val="center"/>
          </w:tcPr>
          <w:p w14:paraId="64E84841">
            <w:pPr>
              <w:pStyle w:val="11"/>
            </w:pPr>
          </w:p>
        </w:tc>
      </w:tr>
      <w:tr w14:paraId="6C2A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FCFE1">
            <w:pPr>
              <w:pStyle w:val="13"/>
            </w:pPr>
            <w:r>
              <w:t>24</w:t>
            </w:r>
          </w:p>
        </w:tc>
        <w:tc>
          <w:tcPr>
            <w:tcW w:w="3402" w:type="dxa"/>
            <w:vAlign w:val="center"/>
          </w:tcPr>
          <w:p w14:paraId="21F60FD4">
            <w:pPr>
              <w:pStyle w:val="12"/>
            </w:pPr>
          </w:p>
        </w:tc>
        <w:tc>
          <w:tcPr>
            <w:tcW w:w="1474" w:type="dxa"/>
            <w:vAlign w:val="center"/>
          </w:tcPr>
          <w:p w14:paraId="21B58B10">
            <w:pPr>
              <w:pStyle w:val="11"/>
            </w:pPr>
          </w:p>
        </w:tc>
        <w:tc>
          <w:tcPr>
            <w:tcW w:w="3402" w:type="dxa"/>
            <w:vAlign w:val="center"/>
          </w:tcPr>
          <w:p w14:paraId="01F6F9FF">
            <w:pPr>
              <w:pStyle w:val="12"/>
            </w:pPr>
            <w:r>
              <w:t>二十四、预备费</w:t>
            </w:r>
          </w:p>
        </w:tc>
        <w:tc>
          <w:tcPr>
            <w:tcW w:w="1474" w:type="dxa"/>
            <w:vAlign w:val="center"/>
          </w:tcPr>
          <w:p w14:paraId="6E2139A8">
            <w:pPr>
              <w:pStyle w:val="11"/>
            </w:pPr>
          </w:p>
        </w:tc>
        <w:tc>
          <w:tcPr>
            <w:tcW w:w="1474" w:type="dxa"/>
            <w:vAlign w:val="center"/>
          </w:tcPr>
          <w:p w14:paraId="5510D5B8">
            <w:pPr>
              <w:pStyle w:val="11"/>
            </w:pPr>
          </w:p>
        </w:tc>
        <w:tc>
          <w:tcPr>
            <w:tcW w:w="1474" w:type="dxa"/>
            <w:vAlign w:val="center"/>
          </w:tcPr>
          <w:p w14:paraId="42A47D30">
            <w:pPr>
              <w:pStyle w:val="11"/>
            </w:pPr>
          </w:p>
        </w:tc>
        <w:tc>
          <w:tcPr>
            <w:tcW w:w="1474" w:type="dxa"/>
            <w:vAlign w:val="center"/>
          </w:tcPr>
          <w:p w14:paraId="1A81218E">
            <w:pPr>
              <w:pStyle w:val="11"/>
            </w:pPr>
          </w:p>
        </w:tc>
      </w:tr>
      <w:tr w14:paraId="5C4B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04B33">
            <w:pPr>
              <w:pStyle w:val="13"/>
            </w:pPr>
            <w:r>
              <w:t>25</w:t>
            </w:r>
          </w:p>
        </w:tc>
        <w:tc>
          <w:tcPr>
            <w:tcW w:w="3402" w:type="dxa"/>
            <w:vAlign w:val="center"/>
          </w:tcPr>
          <w:p w14:paraId="19AD3BDD">
            <w:pPr>
              <w:pStyle w:val="12"/>
            </w:pPr>
          </w:p>
        </w:tc>
        <w:tc>
          <w:tcPr>
            <w:tcW w:w="1474" w:type="dxa"/>
            <w:vAlign w:val="center"/>
          </w:tcPr>
          <w:p w14:paraId="31AC4340">
            <w:pPr>
              <w:pStyle w:val="11"/>
            </w:pPr>
          </w:p>
        </w:tc>
        <w:tc>
          <w:tcPr>
            <w:tcW w:w="3402" w:type="dxa"/>
            <w:vAlign w:val="center"/>
          </w:tcPr>
          <w:p w14:paraId="5D42427A">
            <w:pPr>
              <w:pStyle w:val="12"/>
            </w:pPr>
            <w:r>
              <w:t>二十五、其他支出</w:t>
            </w:r>
          </w:p>
        </w:tc>
        <w:tc>
          <w:tcPr>
            <w:tcW w:w="1474" w:type="dxa"/>
            <w:vAlign w:val="center"/>
          </w:tcPr>
          <w:p w14:paraId="32846F35">
            <w:pPr>
              <w:pStyle w:val="11"/>
            </w:pPr>
          </w:p>
        </w:tc>
        <w:tc>
          <w:tcPr>
            <w:tcW w:w="1474" w:type="dxa"/>
            <w:vAlign w:val="center"/>
          </w:tcPr>
          <w:p w14:paraId="283EDB90">
            <w:pPr>
              <w:pStyle w:val="11"/>
            </w:pPr>
          </w:p>
        </w:tc>
        <w:tc>
          <w:tcPr>
            <w:tcW w:w="1474" w:type="dxa"/>
            <w:vAlign w:val="center"/>
          </w:tcPr>
          <w:p w14:paraId="3DC3D18E">
            <w:pPr>
              <w:pStyle w:val="11"/>
            </w:pPr>
          </w:p>
        </w:tc>
        <w:tc>
          <w:tcPr>
            <w:tcW w:w="1474" w:type="dxa"/>
            <w:vAlign w:val="center"/>
          </w:tcPr>
          <w:p w14:paraId="22258C12">
            <w:pPr>
              <w:pStyle w:val="11"/>
            </w:pPr>
          </w:p>
        </w:tc>
      </w:tr>
      <w:tr w14:paraId="1EAF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65901">
            <w:pPr>
              <w:pStyle w:val="13"/>
            </w:pPr>
            <w:r>
              <w:t>26</w:t>
            </w:r>
          </w:p>
        </w:tc>
        <w:tc>
          <w:tcPr>
            <w:tcW w:w="3402" w:type="dxa"/>
            <w:vAlign w:val="center"/>
          </w:tcPr>
          <w:p w14:paraId="466C736E">
            <w:pPr>
              <w:pStyle w:val="12"/>
            </w:pPr>
          </w:p>
        </w:tc>
        <w:tc>
          <w:tcPr>
            <w:tcW w:w="1474" w:type="dxa"/>
            <w:vAlign w:val="center"/>
          </w:tcPr>
          <w:p w14:paraId="061E91B7">
            <w:pPr>
              <w:pStyle w:val="11"/>
            </w:pPr>
          </w:p>
        </w:tc>
        <w:tc>
          <w:tcPr>
            <w:tcW w:w="3402" w:type="dxa"/>
            <w:vAlign w:val="center"/>
          </w:tcPr>
          <w:p w14:paraId="58C9D34B">
            <w:pPr>
              <w:pStyle w:val="12"/>
            </w:pPr>
            <w:r>
              <w:t>二十六、转移性支出</w:t>
            </w:r>
          </w:p>
        </w:tc>
        <w:tc>
          <w:tcPr>
            <w:tcW w:w="1474" w:type="dxa"/>
            <w:vAlign w:val="center"/>
          </w:tcPr>
          <w:p w14:paraId="35B24B12">
            <w:pPr>
              <w:pStyle w:val="11"/>
            </w:pPr>
          </w:p>
        </w:tc>
        <w:tc>
          <w:tcPr>
            <w:tcW w:w="1474" w:type="dxa"/>
            <w:vAlign w:val="center"/>
          </w:tcPr>
          <w:p w14:paraId="2250A50E">
            <w:pPr>
              <w:pStyle w:val="11"/>
            </w:pPr>
          </w:p>
        </w:tc>
        <w:tc>
          <w:tcPr>
            <w:tcW w:w="1474" w:type="dxa"/>
            <w:vAlign w:val="center"/>
          </w:tcPr>
          <w:p w14:paraId="41AAEE44">
            <w:pPr>
              <w:pStyle w:val="11"/>
            </w:pPr>
          </w:p>
        </w:tc>
        <w:tc>
          <w:tcPr>
            <w:tcW w:w="1474" w:type="dxa"/>
            <w:vAlign w:val="center"/>
          </w:tcPr>
          <w:p w14:paraId="15690F72">
            <w:pPr>
              <w:pStyle w:val="11"/>
            </w:pPr>
          </w:p>
        </w:tc>
      </w:tr>
      <w:tr w14:paraId="7172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7C05F">
            <w:pPr>
              <w:pStyle w:val="13"/>
            </w:pPr>
            <w:r>
              <w:t>27</w:t>
            </w:r>
          </w:p>
        </w:tc>
        <w:tc>
          <w:tcPr>
            <w:tcW w:w="3402" w:type="dxa"/>
            <w:vAlign w:val="center"/>
          </w:tcPr>
          <w:p w14:paraId="6A0B1E96">
            <w:pPr>
              <w:pStyle w:val="12"/>
            </w:pPr>
          </w:p>
        </w:tc>
        <w:tc>
          <w:tcPr>
            <w:tcW w:w="1474" w:type="dxa"/>
            <w:vAlign w:val="center"/>
          </w:tcPr>
          <w:p w14:paraId="02806885">
            <w:pPr>
              <w:pStyle w:val="11"/>
            </w:pPr>
          </w:p>
        </w:tc>
        <w:tc>
          <w:tcPr>
            <w:tcW w:w="3402" w:type="dxa"/>
            <w:vAlign w:val="center"/>
          </w:tcPr>
          <w:p w14:paraId="1BB709C8">
            <w:pPr>
              <w:pStyle w:val="12"/>
            </w:pPr>
            <w:r>
              <w:t>二十七、债务还本支出</w:t>
            </w:r>
          </w:p>
        </w:tc>
        <w:tc>
          <w:tcPr>
            <w:tcW w:w="1474" w:type="dxa"/>
            <w:vAlign w:val="center"/>
          </w:tcPr>
          <w:p w14:paraId="0C1DC905">
            <w:pPr>
              <w:pStyle w:val="11"/>
            </w:pPr>
          </w:p>
        </w:tc>
        <w:tc>
          <w:tcPr>
            <w:tcW w:w="1474" w:type="dxa"/>
            <w:vAlign w:val="center"/>
          </w:tcPr>
          <w:p w14:paraId="434994C0">
            <w:pPr>
              <w:pStyle w:val="11"/>
            </w:pPr>
          </w:p>
        </w:tc>
        <w:tc>
          <w:tcPr>
            <w:tcW w:w="1474" w:type="dxa"/>
            <w:vAlign w:val="center"/>
          </w:tcPr>
          <w:p w14:paraId="798CF596">
            <w:pPr>
              <w:pStyle w:val="11"/>
            </w:pPr>
          </w:p>
        </w:tc>
        <w:tc>
          <w:tcPr>
            <w:tcW w:w="1474" w:type="dxa"/>
            <w:vAlign w:val="center"/>
          </w:tcPr>
          <w:p w14:paraId="39546409">
            <w:pPr>
              <w:pStyle w:val="11"/>
            </w:pPr>
          </w:p>
        </w:tc>
      </w:tr>
      <w:tr w14:paraId="0231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27A3">
            <w:pPr>
              <w:pStyle w:val="13"/>
            </w:pPr>
            <w:r>
              <w:t>28</w:t>
            </w:r>
          </w:p>
        </w:tc>
        <w:tc>
          <w:tcPr>
            <w:tcW w:w="3402" w:type="dxa"/>
            <w:vAlign w:val="center"/>
          </w:tcPr>
          <w:p w14:paraId="141B56C3">
            <w:pPr>
              <w:pStyle w:val="12"/>
            </w:pPr>
          </w:p>
        </w:tc>
        <w:tc>
          <w:tcPr>
            <w:tcW w:w="1474" w:type="dxa"/>
            <w:vAlign w:val="center"/>
          </w:tcPr>
          <w:p w14:paraId="5548E301">
            <w:pPr>
              <w:pStyle w:val="11"/>
            </w:pPr>
          </w:p>
        </w:tc>
        <w:tc>
          <w:tcPr>
            <w:tcW w:w="3402" w:type="dxa"/>
            <w:vAlign w:val="center"/>
          </w:tcPr>
          <w:p w14:paraId="449C45AB">
            <w:pPr>
              <w:pStyle w:val="12"/>
            </w:pPr>
            <w:r>
              <w:t>二十八、债务付息支出</w:t>
            </w:r>
          </w:p>
        </w:tc>
        <w:tc>
          <w:tcPr>
            <w:tcW w:w="1474" w:type="dxa"/>
            <w:vAlign w:val="center"/>
          </w:tcPr>
          <w:p w14:paraId="399D6D80">
            <w:pPr>
              <w:pStyle w:val="11"/>
            </w:pPr>
          </w:p>
        </w:tc>
        <w:tc>
          <w:tcPr>
            <w:tcW w:w="1474" w:type="dxa"/>
            <w:vAlign w:val="center"/>
          </w:tcPr>
          <w:p w14:paraId="6573B287">
            <w:pPr>
              <w:pStyle w:val="11"/>
            </w:pPr>
          </w:p>
        </w:tc>
        <w:tc>
          <w:tcPr>
            <w:tcW w:w="1474" w:type="dxa"/>
            <w:vAlign w:val="center"/>
          </w:tcPr>
          <w:p w14:paraId="554DFF02">
            <w:pPr>
              <w:pStyle w:val="11"/>
            </w:pPr>
          </w:p>
        </w:tc>
        <w:tc>
          <w:tcPr>
            <w:tcW w:w="1474" w:type="dxa"/>
            <w:vAlign w:val="center"/>
          </w:tcPr>
          <w:p w14:paraId="0DC1D0BB">
            <w:pPr>
              <w:pStyle w:val="11"/>
            </w:pPr>
          </w:p>
        </w:tc>
      </w:tr>
      <w:tr w14:paraId="7A936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EDA4">
            <w:pPr>
              <w:pStyle w:val="13"/>
            </w:pPr>
            <w:r>
              <w:t>29</w:t>
            </w:r>
          </w:p>
        </w:tc>
        <w:tc>
          <w:tcPr>
            <w:tcW w:w="3402" w:type="dxa"/>
            <w:vAlign w:val="center"/>
          </w:tcPr>
          <w:p w14:paraId="021CCF49">
            <w:pPr>
              <w:pStyle w:val="12"/>
            </w:pPr>
          </w:p>
        </w:tc>
        <w:tc>
          <w:tcPr>
            <w:tcW w:w="1474" w:type="dxa"/>
            <w:vAlign w:val="center"/>
          </w:tcPr>
          <w:p w14:paraId="64E8BF8F">
            <w:pPr>
              <w:pStyle w:val="11"/>
            </w:pPr>
          </w:p>
        </w:tc>
        <w:tc>
          <w:tcPr>
            <w:tcW w:w="3402" w:type="dxa"/>
            <w:vAlign w:val="center"/>
          </w:tcPr>
          <w:p w14:paraId="3A51A447">
            <w:pPr>
              <w:pStyle w:val="12"/>
            </w:pPr>
            <w:r>
              <w:t>二十九、债务发行费用支出</w:t>
            </w:r>
          </w:p>
        </w:tc>
        <w:tc>
          <w:tcPr>
            <w:tcW w:w="1474" w:type="dxa"/>
            <w:vAlign w:val="center"/>
          </w:tcPr>
          <w:p w14:paraId="3796CC07">
            <w:pPr>
              <w:pStyle w:val="11"/>
            </w:pPr>
          </w:p>
        </w:tc>
        <w:tc>
          <w:tcPr>
            <w:tcW w:w="1474" w:type="dxa"/>
            <w:vAlign w:val="center"/>
          </w:tcPr>
          <w:p w14:paraId="46788816">
            <w:pPr>
              <w:pStyle w:val="11"/>
            </w:pPr>
          </w:p>
        </w:tc>
        <w:tc>
          <w:tcPr>
            <w:tcW w:w="1474" w:type="dxa"/>
            <w:vAlign w:val="center"/>
          </w:tcPr>
          <w:p w14:paraId="6F3EDFB4">
            <w:pPr>
              <w:pStyle w:val="11"/>
            </w:pPr>
          </w:p>
        </w:tc>
        <w:tc>
          <w:tcPr>
            <w:tcW w:w="1474" w:type="dxa"/>
            <w:vAlign w:val="center"/>
          </w:tcPr>
          <w:p w14:paraId="3F1B1BEC">
            <w:pPr>
              <w:pStyle w:val="11"/>
            </w:pPr>
          </w:p>
        </w:tc>
      </w:tr>
      <w:tr w14:paraId="3A03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8F25">
            <w:pPr>
              <w:pStyle w:val="13"/>
            </w:pPr>
            <w:r>
              <w:t>30</w:t>
            </w:r>
          </w:p>
        </w:tc>
        <w:tc>
          <w:tcPr>
            <w:tcW w:w="3402" w:type="dxa"/>
            <w:vAlign w:val="center"/>
          </w:tcPr>
          <w:p w14:paraId="6FC3D634">
            <w:pPr>
              <w:pStyle w:val="12"/>
            </w:pPr>
          </w:p>
        </w:tc>
        <w:tc>
          <w:tcPr>
            <w:tcW w:w="1474" w:type="dxa"/>
            <w:vAlign w:val="center"/>
          </w:tcPr>
          <w:p w14:paraId="3318584F">
            <w:pPr>
              <w:pStyle w:val="11"/>
            </w:pPr>
          </w:p>
        </w:tc>
        <w:tc>
          <w:tcPr>
            <w:tcW w:w="3402" w:type="dxa"/>
            <w:vAlign w:val="center"/>
          </w:tcPr>
          <w:p w14:paraId="4803E964">
            <w:pPr>
              <w:pStyle w:val="12"/>
            </w:pPr>
            <w:r>
              <w:t>三十、抗疫特别国债安排的支出</w:t>
            </w:r>
          </w:p>
        </w:tc>
        <w:tc>
          <w:tcPr>
            <w:tcW w:w="1474" w:type="dxa"/>
            <w:vAlign w:val="center"/>
          </w:tcPr>
          <w:p w14:paraId="767E9159">
            <w:pPr>
              <w:pStyle w:val="11"/>
            </w:pPr>
          </w:p>
        </w:tc>
        <w:tc>
          <w:tcPr>
            <w:tcW w:w="1474" w:type="dxa"/>
            <w:vAlign w:val="center"/>
          </w:tcPr>
          <w:p w14:paraId="4A7060E3">
            <w:pPr>
              <w:pStyle w:val="11"/>
            </w:pPr>
          </w:p>
        </w:tc>
        <w:tc>
          <w:tcPr>
            <w:tcW w:w="1474" w:type="dxa"/>
            <w:vAlign w:val="center"/>
          </w:tcPr>
          <w:p w14:paraId="6512D441">
            <w:pPr>
              <w:pStyle w:val="11"/>
            </w:pPr>
          </w:p>
        </w:tc>
        <w:tc>
          <w:tcPr>
            <w:tcW w:w="1474" w:type="dxa"/>
            <w:vAlign w:val="center"/>
          </w:tcPr>
          <w:p w14:paraId="685F94EF">
            <w:pPr>
              <w:pStyle w:val="11"/>
            </w:pPr>
          </w:p>
        </w:tc>
      </w:tr>
      <w:tr w14:paraId="3B02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21EA">
            <w:pPr>
              <w:pStyle w:val="13"/>
            </w:pPr>
            <w:r>
              <w:t>31</w:t>
            </w:r>
          </w:p>
        </w:tc>
        <w:tc>
          <w:tcPr>
            <w:tcW w:w="3402" w:type="dxa"/>
            <w:vAlign w:val="center"/>
          </w:tcPr>
          <w:p w14:paraId="5641AB96">
            <w:pPr>
              <w:pStyle w:val="12"/>
            </w:pPr>
          </w:p>
        </w:tc>
        <w:tc>
          <w:tcPr>
            <w:tcW w:w="1474" w:type="dxa"/>
            <w:vAlign w:val="center"/>
          </w:tcPr>
          <w:p w14:paraId="782955B0">
            <w:pPr>
              <w:pStyle w:val="11"/>
            </w:pPr>
          </w:p>
        </w:tc>
        <w:tc>
          <w:tcPr>
            <w:tcW w:w="3402" w:type="dxa"/>
            <w:vAlign w:val="center"/>
          </w:tcPr>
          <w:p w14:paraId="65B7A2CC">
            <w:pPr>
              <w:pStyle w:val="12"/>
            </w:pPr>
            <w:r>
              <w:t>三十一、人行科目</w:t>
            </w:r>
          </w:p>
        </w:tc>
        <w:tc>
          <w:tcPr>
            <w:tcW w:w="1474" w:type="dxa"/>
            <w:vAlign w:val="center"/>
          </w:tcPr>
          <w:p w14:paraId="4C9C681B">
            <w:pPr>
              <w:pStyle w:val="11"/>
            </w:pPr>
          </w:p>
        </w:tc>
        <w:tc>
          <w:tcPr>
            <w:tcW w:w="1474" w:type="dxa"/>
            <w:vAlign w:val="center"/>
          </w:tcPr>
          <w:p w14:paraId="77A7A06A">
            <w:pPr>
              <w:pStyle w:val="11"/>
            </w:pPr>
          </w:p>
        </w:tc>
        <w:tc>
          <w:tcPr>
            <w:tcW w:w="1474" w:type="dxa"/>
            <w:vAlign w:val="center"/>
          </w:tcPr>
          <w:p w14:paraId="0E23F475">
            <w:pPr>
              <w:pStyle w:val="11"/>
            </w:pPr>
          </w:p>
        </w:tc>
        <w:tc>
          <w:tcPr>
            <w:tcW w:w="1474" w:type="dxa"/>
            <w:vAlign w:val="center"/>
          </w:tcPr>
          <w:p w14:paraId="39108AFA">
            <w:pPr>
              <w:pStyle w:val="11"/>
            </w:pPr>
          </w:p>
        </w:tc>
      </w:tr>
      <w:tr w14:paraId="227F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8DB5A">
            <w:pPr>
              <w:pStyle w:val="13"/>
            </w:pPr>
            <w:r>
              <w:t>32</w:t>
            </w:r>
          </w:p>
        </w:tc>
        <w:tc>
          <w:tcPr>
            <w:tcW w:w="3402" w:type="dxa"/>
            <w:vAlign w:val="center"/>
          </w:tcPr>
          <w:p w14:paraId="4461E327">
            <w:pPr>
              <w:pStyle w:val="14"/>
            </w:pPr>
            <w:r>
              <w:t>本年收入合计</w:t>
            </w:r>
          </w:p>
        </w:tc>
        <w:tc>
          <w:tcPr>
            <w:tcW w:w="1474" w:type="dxa"/>
            <w:vAlign w:val="center"/>
          </w:tcPr>
          <w:p w14:paraId="79D3B13B">
            <w:pPr>
              <w:pStyle w:val="15"/>
            </w:pPr>
            <w:r>
              <w:t>990.66</w:t>
            </w:r>
          </w:p>
        </w:tc>
        <w:tc>
          <w:tcPr>
            <w:tcW w:w="3402" w:type="dxa"/>
            <w:vAlign w:val="center"/>
          </w:tcPr>
          <w:p w14:paraId="629C10D6">
            <w:pPr>
              <w:pStyle w:val="14"/>
            </w:pPr>
            <w:r>
              <w:t>本年支出合计</w:t>
            </w:r>
          </w:p>
        </w:tc>
        <w:tc>
          <w:tcPr>
            <w:tcW w:w="1474" w:type="dxa"/>
            <w:vAlign w:val="center"/>
          </w:tcPr>
          <w:p w14:paraId="621287E2">
            <w:pPr>
              <w:pStyle w:val="15"/>
            </w:pPr>
            <w:r>
              <w:t>990.66</w:t>
            </w:r>
          </w:p>
        </w:tc>
        <w:tc>
          <w:tcPr>
            <w:tcW w:w="1474" w:type="dxa"/>
            <w:vAlign w:val="center"/>
          </w:tcPr>
          <w:p w14:paraId="471E8911">
            <w:pPr>
              <w:pStyle w:val="15"/>
            </w:pPr>
            <w:r>
              <w:t>990.66</w:t>
            </w:r>
          </w:p>
        </w:tc>
        <w:tc>
          <w:tcPr>
            <w:tcW w:w="1474" w:type="dxa"/>
            <w:vAlign w:val="center"/>
          </w:tcPr>
          <w:p w14:paraId="4E74482C">
            <w:pPr>
              <w:pStyle w:val="15"/>
            </w:pPr>
          </w:p>
        </w:tc>
        <w:tc>
          <w:tcPr>
            <w:tcW w:w="1474" w:type="dxa"/>
            <w:vAlign w:val="center"/>
          </w:tcPr>
          <w:p w14:paraId="06D64DFB">
            <w:pPr>
              <w:pStyle w:val="15"/>
            </w:pPr>
          </w:p>
        </w:tc>
      </w:tr>
      <w:tr w14:paraId="697A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9791">
            <w:pPr>
              <w:pStyle w:val="13"/>
            </w:pPr>
            <w:r>
              <w:t>33</w:t>
            </w:r>
          </w:p>
        </w:tc>
        <w:tc>
          <w:tcPr>
            <w:tcW w:w="3402" w:type="dxa"/>
            <w:vAlign w:val="center"/>
          </w:tcPr>
          <w:p w14:paraId="11CE45B8">
            <w:pPr>
              <w:pStyle w:val="12"/>
            </w:pPr>
            <w:r>
              <w:t>年初财政拨款结转和结余</w:t>
            </w:r>
          </w:p>
        </w:tc>
        <w:tc>
          <w:tcPr>
            <w:tcW w:w="1474" w:type="dxa"/>
            <w:vAlign w:val="center"/>
          </w:tcPr>
          <w:p w14:paraId="2B60F803">
            <w:pPr>
              <w:pStyle w:val="11"/>
            </w:pPr>
          </w:p>
        </w:tc>
        <w:tc>
          <w:tcPr>
            <w:tcW w:w="3402" w:type="dxa"/>
            <w:vAlign w:val="center"/>
          </w:tcPr>
          <w:p w14:paraId="72628BBA">
            <w:pPr>
              <w:pStyle w:val="12"/>
            </w:pPr>
            <w:r>
              <w:t>年末财政拨款结转和结余</w:t>
            </w:r>
          </w:p>
        </w:tc>
        <w:tc>
          <w:tcPr>
            <w:tcW w:w="1474" w:type="dxa"/>
            <w:vAlign w:val="center"/>
          </w:tcPr>
          <w:p w14:paraId="0BC2BC7B">
            <w:pPr>
              <w:pStyle w:val="11"/>
            </w:pPr>
          </w:p>
        </w:tc>
        <w:tc>
          <w:tcPr>
            <w:tcW w:w="1474" w:type="dxa"/>
            <w:vAlign w:val="center"/>
          </w:tcPr>
          <w:p w14:paraId="7C109AEC">
            <w:pPr>
              <w:pStyle w:val="11"/>
            </w:pPr>
          </w:p>
        </w:tc>
        <w:tc>
          <w:tcPr>
            <w:tcW w:w="1474" w:type="dxa"/>
            <w:vAlign w:val="center"/>
          </w:tcPr>
          <w:p w14:paraId="5C3793B5">
            <w:pPr>
              <w:pStyle w:val="11"/>
            </w:pPr>
          </w:p>
        </w:tc>
        <w:tc>
          <w:tcPr>
            <w:tcW w:w="1474" w:type="dxa"/>
            <w:vAlign w:val="center"/>
          </w:tcPr>
          <w:p w14:paraId="1487B24C">
            <w:pPr>
              <w:pStyle w:val="11"/>
            </w:pPr>
          </w:p>
        </w:tc>
      </w:tr>
      <w:tr w14:paraId="2718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C98B4">
            <w:pPr>
              <w:pStyle w:val="13"/>
            </w:pPr>
            <w:r>
              <w:t>34</w:t>
            </w:r>
          </w:p>
        </w:tc>
        <w:tc>
          <w:tcPr>
            <w:tcW w:w="3402" w:type="dxa"/>
            <w:vAlign w:val="center"/>
          </w:tcPr>
          <w:p w14:paraId="6B93D887">
            <w:pPr>
              <w:pStyle w:val="12"/>
            </w:pPr>
            <w:r>
              <w:t>一、一般公共预算拨款</w:t>
            </w:r>
          </w:p>
        </w:tc>
        <w:tc>
          <w:tcPr>
            <w:tcW w:w="1474" w:type="dxa"/>
            <w:vAlign w:val="center"/>
          </w:tcPr>
          <w:p w14:paraId="07D3F5B5">
            <w:pPr>
              <w:pStyle w:val="11"/>
            </w:pPr>
          </w:p>
        </w:tc>
        <w:tc>
          <w:tcPr>
            <w:tcW w:w="3402" w:type="dxa"/>
            <w:vAlign w:val="center"/>
          </w:tcPr>
          <w:p w14:paraId="0B103DEE">
            <w:pPr>
              <w:pStyle w:val="12"/>
            </w:pPr>
          </w:p>
        </w:tc>
        <w:tc>
          <w:tcPr>
            <w:tcW w:w="1474" w:type="dxa"/>
            <w:vAlign w:val="center"/>
          </w:tcPr>
          <w:p w14:paraId="28BC63B8">
            <w:pPr>
              <w:pStyle w:val="11"/>
            </w:pPr>
          </w:p>
        </w:tc>
        <w:tc>
          <w:tcPr>
            <w:tcW w:w="1474" w:type="dxa"/>
            <w:vAlign w:val="center"/>
          </w:tcPr>
          <w:p w14:paraId="61145F5D">
            <w:pPr>
              <w:pStyle w:val="11"/>
            </w:pPr>
          </w:p>
        </w:tc>
        <w:tc>
          <w:tcPr>
            <w:tcW w:w="1474" w:type="dxa"/>
            <w:vAlign w:val="center"/>
          </w:tcPr>
          <w:p w14:paraId="1733D30F">
            <w:pPr>
              <w:pStyle w:val="11"/>
            </w:pPr>
          </w:p>
        </w:tc>
        <w:tc>
          <w:tcPr>
            <w:tcW w:w="1474" w:type="dxa"/>
            <w:vAlign w:val="center"/>
          </w:tcPr>
          <w:p w14:paraId="1B7C223E">
            <w:pPr>
              <w:pStyle w:val="11"/>
            </w:pPr>
          </w:p>
        </w:tc>
      </w:tr>
      <w:tr w14:paraId="5115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0DD61">
            <w:pPr>
              <w:pStyle w:val="13"/>
            </w:pPr>
            <w:r>
              <w:t>35</w:t>
            </w:r>
          </w:p>
        </w:tc>
        <w:tc>
          <w:tcPr>
            <w:tcW w:w="3402" w:type="dxa"/>
            <w:vAlign w:val="center"/>
          </w:tcPr>
          <w:p w14:paraId="604504F5">
            <w:pPr>
              <w:pStyle w:val="12"/>
            </w:pPr>
            <w:r>
              <w:t>二、政府性基金预算拨款</w:t>
            </w:r>
          </w:p>
        </w:tc>
        <w:tc>
          <w:tcPr>
            <w:tcW w:w="1474" w:type="dxa"/>
            <w:vAlign w:val="center"/>
          </w:tcPr>
          <w:p w14:paraId="28422199">
            <w:pPr>
              <w:pStyle w:val="11"/>
            </w:pPr>
          </w:p>
        </w:tc>
        <w:tc>
          <w:tcPr>
            <w:tcW w:w="3402" w:type="dxa"/>
            <w:vAlign w:val="center"/>
          </w:tcPr>
          <w:p w14:paraId="32BCC0FC">
            <w:pPr>
              <w:pStyle w:val="12"/>
            </w:pPr>
          </w:p>
        </w:tc>
        <w:tc>
          <w:tcPr>
            <w:tcW w:w="1474" w:type="dxa"/>
            <w:vAlign w:val="center"/>
          </w:tcPr>
          <w:p w14:paraId="2E690CA7">
            <w:pPr>
              <w:pStyle w:val="11"/>
            </w:pPr>
          </w:p>
        </w:tc>
        <w:tc>
          <w:tcPr>
            <w:tcW w:w="1474" w:type="dxa"/>
            <w:vAlign w:val="center"/>
          </w:tcPr>
          <w:p w14:paraId="3E055881">
            <w:pPr>
              <w:pStyle w:val="11"/>
            </w:pPr>
          </w:p>
        </w:tc>
        <w:tc>
          <w:tcPr>
            <w:tcW w:w="1474" w:type="dxa"/>
            <w:vAlign w:val="center"/>
          </w:tcPr>
          <w:p w14:paraId="46EE737F">
            <w:pPr>
              <w:pStyle w:val="11"/>
            </w:pPr>
          </w:p>
        </w:tc>
        <w:tc>
          <w:tcPr>
            <w:tcW w:w="1474" w:type="dxa"/>
            <w:vAlign w:val="center"/>
          </w:tcPr>
          <w:p w14:paraId="0419E387">
            <w:pPr>
              <w:pStyle w:val="11"/>
            </w:pPr>
          </w:p>
        </w:tc>
      </w:tr>
      <w:tr w14:paraId="14EF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FB056">
            <w:pPr>
              <w:pStyle w:val="13"/>
            </w:pPr>
            <w:r>
              <w:t>36</w:t>
            </w:r>
          </w:p>
        </w:tc>
        <w:tc>
          <w:tcPr>
            <w:tcW w:w="3402" w:type="dxa"/>
            <w:vAlign w:val="center"/>
          </w:tcPr>
          <w:p w14:paraId="6CD04495">
            <w:pPr>
              <w:pStyle w:val="12"/>
            </w:pPr>
            <w:r>
              <w:t>三、国有资本经营预算拨款</w:t>
            </w:r>
          </w:p>
        </w:tc>
        <w:tc>
          <w:tcPr>
            <w:tcW w:w="1474" w:type="dxa"/>
            <w:vAlign w:val="center"/>
          </w:tcPr>
          <w:p w14:paraId="11B9203C">
            <w:pPr>
              <w:pStyle w:val="11"/>
            </w:pPr>
          </w:p>
        </w:tc>
        <w:tc>
          <w:tcPr>
            <w:tcW w:w="3402" w:type="dxa"/>
            <w:vAlign w:val="center"/>
          </w:tcPr>
          <w:p w14:paraId="4C3FBE52">
            <w:pPr>
              <w:pStyle w:val="12"/>
            </w:pPr>
          </w:p>
        </w:tc>
        <w:tc>
          <w:tcPr>
            <w:tcW w:w="1474" w:type="dxa"/>
            <w:vAlign w:val="center"/>
          </w:tcPr>
          <w:p w14:paraId="1DFBE799">
            <w:pPr>
              <w:pStyle w:val="11"/>
            </w:pPr>
          </w:p>
        </w:tc>
        <w:tc>
          <w:tcPr>
            <w:tcW w:w="1474" w:type="dxa"/>
            <w:vAlign w:val="center"/>
          </w:tcPr>
          <w:p w14:paraId="4E642E93">
            <w:pPr>
              <w:pStyle w:val="11"/>
            </w:pPr>
          </w:p>
        </w:tc>
        <w:tc>
          <w:tcPr>
            <w:tcW w:w="1474" w:type="dxa"/>
            <w:vAlign w:val="center"/>
          </w:tcPr>
          <w:p w14:paraId="4EDC1C78">
            <w:pPr>
              <w:pStyle w:val="11"/>
            </w:pPr>
          </w:p>
        </w:tc>
        <w:tc>
          <w:tcPr>
            <w:tcW w:w="1474" w:type="dxa"/>
            <w:vAlign w:val="center"/>
          </w:tcPr>
          <w:p w14:paraId="152686D3">
            <w:pPr>
              <w:pStyle w:val="11"/>
            </w:pPr>
          </w:p>
        </w:tc>
      </w:tr>
      <w:tr w14:paraId="4986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39ADC">
            <w:pPr>
              <w:pStyle w:val="13"/>
            </w:pPr>
            <w:r>
              <w:t>37</w:t>
            </w:r>
          </w:p>
        </w:tc>
        <w:tc>
          <w:tcPr>
            <w:tcW w:w="3402" w:type="dxa"/>
            <w:vAlign w:val="center"/>
          </w:tcPr>
          <w:p w14:paraId="6A50E8F6">
            <w:pPr>
              <w:pStyle w:val="14"/>
            </w:pPr>
            <w:r>
              <w:t>收入总计</w:t>
            </w:r>
          </w:p>
        </w:tc>
        <w:tc>
          <w:tcPr>
            <w:tcW w:w="1474" w:type="dxa"/>
            <w:vAlign w:val="center"/>
          </w:tcPr>
          <w:p w14:paraId="7DBD848F">
            <w:pPr>
              <w:pStyle w:val="15"/>
            </w:pPr>
            <w:r>
              <w:t>990.66</w:t>
            </w:r>
          </w:p>
        </w:tc>
        <w:tc>
          <w:tcPr>
            <w:tcW w:w="3402" w:type="dxa"/>
            <w:vAlign w:val="center"/>
          </w:tcPr>
          <w:p w14:paraId="7C825D23">
            <w:pPr>
              <w:pStyle w:val="14"/>
            </w:pPr>
            <w:r>
              <w:t>支出总计</w:t>
            </w:r>
          </w:p>
        </w:tc>
        <w:tc>
          <w:tcPr>
            <w:tcW w:w="1474" w:type="dxa"/>
            <w:vAlign w:val="center"/>
          </w:tcPr>
          <w:p w14:paraId="76397BDD">
            <w:pPr>
              <w:pStyle w:val="15"/>
            </w:pPr>
            <w:r>
              <w:t>990.66</w:t>
            </w:r>
          </w:p>
        </w:tc>
        <w:tc>
          <w:tcPr>
            <w:tcW w:w="1474" w:type="dxa"/>
            <w:vAlign w:val="center"/>
          </w:tcPr>
          <w:p w14:paraId="60F23FAA">
            <w:pPr>
              <w:pStyle w:val="15"/>
            </w:pPr>
            <w:r>
              <w:t>990.66</w:t>
            </w:r>
          </w:p>
        </w:tc>
        <w:tc>
          <w:tcPr>
            <w:tcW w:w="1474" w:type="dxa"/>
            <w:vAlign w:val="center"/>
          </w:tcPr>
          <w:p w14:paraId="6BD03216">
            <w:pPr>
              <w:pStyle w:val="15"/>
            </w:pPr>
          </w:p>
        </w:tc>
        <w:tc>
          <w:tcPr>
            <w:tcW w:w="1474" w:type="dxa"/>
            <w:vAlign w:val="center"/>
          </w:tcPr>
          <w:p w14:paraId="5D218C83">
            <w:pPr>
              <w:pStyle w:val="15"/>
            </w:pPr>
          </w:p>
        </w:tc>
      </w:tr>
    </w:tbl>
    <w:p w14:paraId="5117B2BE">
      <w:pPr>
        <w:sectPr>
          <w:pgSz w:w="16840" w:h="11900" w:orient="landscape"/>
          <w:pgMar w:top="1361" w:right="1020" w:bottom="1134" w:left="1020" w:header="720" w:footer="720" w:gutter="0"/>
          <w:cols w:space="720" w:num="1"/>
        </w:sectPr>
      </w:pPr>
    </w:p>
    <w:p w14:paraId="66D592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1F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118B23">
            <w:pPr>
              <w:pStyle w:val="9"/>
            </w:pPr>
            <w:r>
              <w:t>360007隆尧县魏家庄中学</w:t>
            </w:r>
          </w:p>
        </w:tc>
        <w:tc>
          <w:tcPr>
            <w:tcW w:w="2551" w:type="dxa"/>
            <w:tcBorders>
              <w:top w:val="single" w:color="FFFFFF" w:sz="6" w:space="0"/>
              <w:left w:val="single" w:color="FFFFFF" w:sz="6" w:space="0"/>
              <w:right w:val="single" w:color="FFFFFF" w:sz="6" w:space="0"/>
            </w:tcBorders>
            <w:vAlign w:val="center"/>
          </w:tcPr>
          <w:p w14:paraId="61F929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273503">
            <w:pPr>
              <w:pStyle w:val="7"/>
            </w:pPr>
            <w:r>
              <w:t>单位：万元</w:t>
            </w:r>
          </w:p>
        </w:tc>
      </w:tr>
      <w:tr w14:paraId="75F7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D3E039">
            <w:pPr>
              <w:pStyle w:val="10"/>
            </w:pPr>
            <w:r>
              <w:t>序号</w:t>
            </w:r>
          </w:p>
        </w:tc>
        <w:tc>
          <w:tcPr>
            <w:tcW w:w="5726" w:type="dxa"/>
            <w:gridSpan w:val="2"/>
            <w:vAlign w:val="center"/>
          </w:tcPr>
          <w:p w14:paraId="1605F8CE">
            <w:pPr>
              <w:pStyle w:val="10"/>
            </w:pPr>
            <w:r>
              <w:t>功能分类科目</w:t>
            </w:r>
          </w:p>
        </w:tc>
        <w:tc>
          <w:tcPr>
            <w:tcW w:w="2551" w:type="dxa"/>
            <w:vMerge w:val="restart"/>
            <w:vAlign w:val="center"/>
          </w:tcPr>
          <w:p w14:paraId="243E1888">
            <w:pPr>
              <w:pStyle w:val="10"/>
            </w:pPr>
            <w:r>
              <w:t>合计</w:t>
            </w:r>
          </w:p>
        </w:tc>
        <w:tc>
          <w:tcPr>
            <w:tcW w:w="2551" w:type="dxa"/>
            <w:vMerge w:val="restart"/>
            <w:vAlign w:val="center"/>
          </w:tcPr>
          <w:p w14:paraId="1C7291C4">
            <w:pPr>
              <w:pStyle w:val="10"/>
            </w:pPr>
            <w:r>
              <w:t>基本支出</w:t>
            </w:r>
          </w:p>
        </w:tc>
        <w:tc>
          <w:tcPr>
            <w:tcW w:w="2551" w:type="dxa"/>
            <w:vMerge w:val="restart"/>
            <w:vAlign w:val="center"/>
          </w:tcPr>
          <w:p w14:paraId="6E4A616E">
            <w:pPr>
              <w:pStyle w:val="10"/>
            </w:pPr>
            <w:r>
              <w:t>项目支出</w:t>
            </w:r>
          </w:p>
        </w:tc>
      </w:tr>
      <w:tr w14:paraId="758F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307EB9"/>
        </w:tc>
        <w:tc>
          <w:tcPr>
            <w:tcW w:w="1191" w:type="dxa"/>
            <w:vAlign w:val="center"/>
          </w:tcPr>
          <w:p w14:paraId="6DDAA299">
            <w:pPr>
              <w:pStyle w:val="10"/>
            </w:pPr>
            <w:r>
              <w:t>科目编码</w:t>
            </w:r>
          </w:p>
        </w:tc>
        <w:tc>
          <w:tcPr>
            <w:tcW w:w="4535" w:type="dxa"/>
            <w:vAlign w:val="center"/>
          </w:tcPr>
          <w:p w14:paraId="1A96C49E">
            <w:pPr>
              <w:pStyle w:val="10"/>
            </w:pPr>
            <w:r>
              <w:t>科目名称</w:t>
            </w:r>
          </w:p>
        </w:tc>
        <w:tc>
          <w:tcPr>
            <w:tcW w:w="2551" w:type="dxa"/>
            <w:vMerge w:val="continue"/>
          </w:tcPr>
          <w:p w14:paraId="64D19629"/>
        </w:tc>
        <w:tc>
          <w:tcPr>
            <w:tcW w:w="2551" w:type="dxa"/>
            <w:vMerge w:val="continue"/>
          </w:tcPr>
          <w:p w14:paraId="383E1854"/>
        </w:tc>
        <w:tc>
          <w:tcPr>
            <w:tcW w:w="2551" w:type="dxa"/>
            <w:vMerge w:val="continue"/>
          </w:tcPr>
          <w:p w14:paraId="2ACBD35B"/>
        </w:tc>
      </w:tr>
      <w:tr w14:paraId="3D4B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90E898">
            <w:pPr>
              <w:pStyle w:val="10"/>
            </w:pPr>
            <w:r>
              <w:t>栏次</w:t>
            </w:r>
          </w:p>
        </w:tc>
        <w:tc>
          <w:tcPr>
            <w:tcW w:w="1191" w:type="dxa"/>
            <w:vAlign w:val="center"/>
          </w:tcPr>
          <w:p w14:paraId="365B6DD3">
            <w:pPr>
              <w:pStyle w:val="10"/>
            </w:pPr>
            <w:r>
              <w:t>1</w:t>
            </w:r>
          </w:p>
        </w:tc>
        <w:tc>
          <w:tcPr>
            <w:tcW w:w="4535" w:type="dxa"/>
            <w:vAlign w:val="center"/>
          </w:tcPr>
          <w:p w14:paraId="6420B42C">
            <w:pPr>
              <w:pStyle w:val="10"/>
            </w:pPr>
            <w:r>
              <w:t>2</w:t>
            </w:r>
          </w:p>
        </w:tc>
        <w:tc>
          <w:tcPr>
            <w:tcW w:w="2551" w:type="dxa"/>
            <w:vAlign w:val="center"/>
          </w:tcPr>
          <w:p w14:paraId="63A89355">
            <w:pPr>
              <w:pStyle w:val="10"/>
            </w:pPr>
            <w:r>
              <w:t>3</w:t>
            </w:r>
          </w:p>
        </w:tc>
        <w:tc>
          <w:tcPr>
            <w:tcW w:w="2551" w:type="dxa"/>
            <w:vAlign w:val="center"/>
          </w:tcPr>
          <w:p w14:paraId="29142099">
            <w:pPr>
              <w:pStyle w:val="10"/>
            </w:pPr>
            <w:r>
              <w:t>4</w:t>
            </w:r>
          </w:p>
        </w:tc>
        <w:tc>
          <w:tcPr>
            <w:tcW w:w="2551" w:type="dxa"/>
            <w:vAlign w:val="center"/>
          </w:tcPr>
          <w:p w14:paraId="1C45DA0A">
            <w:pPr>
              <w:pStyle w:val="10"/>
            </w:pPr>
            <w:r>
              <w:t>5</w:t>
            </w:r>
          </w:p>
        </w:tc>
      </w:tr>
      <w:tr w14:paraId="4A0B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1506">
            <w:pPr>
              <w:pStyle w:val="13"/>
            </w:pPr>
            <w:r>
              <w:t>1</w:t>
            </w:r>
          </w:p>
        </w:tc>
        <w:tc>
          <w:tcPr>
            <w:tcW w:w="1191" w:type="dxa"/>
            <w:vAlign w:val="center"/>
          </w:tcPr>
          <w:p w14:paraId="4FF87721">
            <w:pPr>
              <w:pStyle w:val="16"/>
            </w:pPr>
          </w:p>
        </w:tc>
        <w:tc>
          <w:tcPr>
            <w:tcW w:w="4535" w:type="dxa"/>
            <w:vAlign w:val="center"/>
          </w:tcPr>
          <w:p w14:paraId="1FA46717">
            <w:pPr>
              <w:pStyle w:val="14"/>
            </w:pPr>
            <w:r>
              <w:t>合计</w:t>
            </w:r>
          </w:p>
        </w:tc>
        <w:tc>
          <w:tcPr>
            <w:tcW w:w="2551" w:type="dxa"/>
            <w:vAlign w:val="center"/>
          </w:tcPr>
          <w:p w14:paraId="4A93FF69">
            <w:pPr>
              <w:pStyle w:val="15"/>
            </w:pPr>
            <w:r>
              <w:t>990.66</w:t>
            </w:r>
          </w:p>
        </w:tc>
        <w:tc>
          <w:tcPr>
            <w:tcW w:w="2551" w:type="dxa"/>
            <w:vAlign w:val="center"/>
          </w:tcPr>
          <w:p w14:paraId="75EAC24C">
            <w:pPr>
              <w:pStyle w:val="15"/>
            </w:pPr>
            <w:r>
              <w:t>852.35</w:t>
            </w:r>
          </w:p>
        </w:tc>
        <w:tc>
          <w:tcPr>
            <w:tcW w:w="2551" w:type="dxa"/>
            <w:vAlign w:val="center"/>
          </w:tcPr>
          <w:p w14:paraId="2BC66991">
            <w:pPr>
              <w:pStyle w:val="15"/>
            </w:pPr>
            <w:r>
              <w:t>138.31</w:t>
            </w:r>
          </w:p>
        </w:tc>
      </w:tr>
      <w:tr w14:paraId="34A7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58814">
            <w:pPr>
              <w:pStyle w:val="13"/>
            </w:pPr>
            <w:r>
              <w:t>2</w:t>
            </w:r>
          </w:p>
        </w:tc>
        <w:tc>
          <w:tcPr>
            <w:tcW w:w="1191" w:type="dxa"/>
            <w:vAlign w:val="center"/>
          </w:tcPr>
          <w:p w14:paraId="160222BB">
            <w:pPr>
              <w:pStyle w:val="12"/>
            </w:pPr>
            <w:r>
              <w:t>205</w:t>
            </w:r>
          </w:p>
        </w:tc>
        <w:tc>
          <w:tcPr>
            <w:tcW w:w="4535" w:type="dxa"/>
            <w:vAlign w:val="center"/>
          </w:tcPr>
          <w:p w14:paraId="1836B593">
            <w:pPr>
              <w:pStyle w:val="12"/>
            </w:pPr>
            <w:r>
              <w:t>教育支出</w:t>
            </w:r>
          </w:p>
        </w:tc>
        <w:tc>
          <w:tcPr>
            <w:tcW w:w="2551" w:type="dxa"/>
            <w:vAlign w:val="center"/>
          </w:tcPr>
          <w:p w14:paraId="36BB7B06">
            <w:pPr>
              <w:pStyle w:val="11"/>
            </w:pPr>
            <w:r>
              <w:t>990.66</w:t>
            </w:r>
          </w:p>
        </w:tc>
        <w:tc>
          <w:tcPr>
            <w:tcW w:w="2551" w:type="dxa"/>
            <w:vAlign w:val="center"/>
          </w:tcPr>
          <w:p w14:paraId="3293D9F5">
            <w:pPr>
              <w:pStyle w:val="11"/>
            </w:pPr>
            <w:r>
              <w:t>852.35</w:t>
            </w:r>
          </w:p>
        </w:tc>
        <w:tc>
          <w:tcPr>
            <w:tcW w:w="2551" w:type="dxa"/>
            <w:vAlign w:val="center"/>
          </w:tcPr>
          <w:p w14:paraId="343712CB">
            <w:pPr>
              <w:pStyle w:val="11"/>
            </w:pPr>
            <w:r>
              <w:t>138.31</w:t>
            </w:r>
          </w:p>
        </w:tc>
      </w:tr>
      <w:tr w14:paraId="3D7D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9B81">
            <w:pPr>
              <w:pStyle w:val="13"/>
            </w:pPr>
            <w:r>
              <w:t>3</w:t>
            </w:r>
          </w:p>
        </w:tc>
        <w:tc>
          <w:tcPr>
            <w:tcW w:w="1191" w:type="dxa"/>
            <w:vAlign w:val="center"/>
          </w:tcPr>
          <w:p w14:paraId="3C7B8642">
            <w:pPr>
              <w:pStyle w:val="12"/>
            </w:pPr>
            <w:r>
              <w:t>20502</w:t>
            </w:r>
          </w:p>
        </w:tc>
        <w:tc>
          <w:tcPr>
            <w:tcW w:w="4535" w:type="dxa"/>
            <w:vAlign w:val="center"/>
          </w:tcPr>
          <w:p w14:paraId="3A30589A">
            <w:pPr>
              <w:pStyle w:val="12"/>
            </w:pPr>
            <w:r>
              <w:t>普通教育</w:t>
            </w:r>
          </w:p>
        </w:tc>
        <w:tc>
          <w:tcPr>
            <w:tcW w:w="2551" w:type="dxa"/>
            <w:vAlign w:val="center"/>
          </w:tcPr>
          <w:p w14:paraId="1987A0D7">
            <w:pPr>
              <w:pStyle w:val="11"/>
            </w:pPr>
            <w:r>
              <w:t>990.66</w:t>
            </w:r>
          </w:p>
        </w:tc>
        <w:tc>
          <w:tcPr>
            <w:tcW w:w="2551" w:type="dxa"/>
            <w:vAlign w:val="center"/>
          </w:tcPr>
          <w:p w14:paraId="303C10EE">
            <w:pPr>
              <w:pStyle w:val="11"/>
            </w:pPr>
            <w:r>
              <w:t>852.35</w:t>
            </w:r>
          </w:p>
        </w:tc>
        <w:tc>
          <w:tcPr>
            <w:tcW w:w="2551" w:type="dxa"/>
            <w:vAlign w:val="center"/>
          </w:tcPr>
          <w:p w14:paraId="7B7A7872">
            <w:pPr>
              <w:pStyle w:val="11"/>
            </w:pPr>
            <w:r>
              <w:t>138.31</w:t>
            </w:r>
          </w:p>
        </w:tc>
      </w:tr>
      <w:tr w14:paraId="1B47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7D4D0">
            <w:pPr>
              <w:pStyle w:val="13"/>
            </w:pPr>
            <w:r>
              <w:t>4</w:t>
            </w:r>
          </w:p>
        </w:tc>
        <w:tc>
          <w:tcPr>
            <w:tcW w:w="1191" w:type="dxa"/>
            <w:vAlign w:val="center"/>
          </w:tcPr>
          <w:p w14:paraId="00B67197">
            <w:pPr>
              <w:pStyle w:val="12"/>
            </w:pPr>
            <w:r>
              <w:t>2050203</w:t>
            </w:r>
          </w:p>
        </w:tc>
        <w:tc>
          <w:tcPr>
            <w:tcW w:w="4535" w:type="dxa"/>
            <w:vAlign w:val="center"/>
          </w:tcPr>
          <w:p w14:paraId="775AAAB7">
            <w:pPr>
              <w:pStyle w:val="12"/>
            </w:pPr>
            <w:r>
              <w:t>初中教育</w:t>
            </w:r>
          </w:p>
        </w:tc>
        <w:tc>
          <w:tcPr>
            <w:tcW w:w="2551" w:type="dxa"/>
            <w:vAlign w:val="center"/>
          </w:tcPr>
          <w:p w14:paraId="0B5686E4">
            <w:pPr>
              <w:pStyle w:val="11"/>
            </w:pPr>
            <w:r>
              <w:t>990.66</w:t>
            </w:r>
          </w:p>
        </w:tc>
        <w:tc>
          <w:tcPr>
            <w:tcW w:w="2551" w:type="dxa"/>
            <w:vAlign w:val="center"/>
          </w:tcPr>
          <w:p w14:paraId="1ABEDF43">
            <w:pPr>
              <w:pStyle w:val="11"/>
            </w:pPr>
            <w:r>
              <w:t>852.35</w:t>
            </w:r>
          </w:p>
        </w:tc>
        <w:tc>
          <w:tcPr>
            <w:tcW w:w="2551" w:type="dxa"/>
            <w:vAlign w:val="center"/>
          </w:tcPr>
          <w:p w14:paraId="5BE5952B">
            <w:pPr>
              <w:pStyle w:val="11"/>
            </w:pPr>
            <w:r>
              <w:t>138.31</w:t>
            </w:r>
          </w:p>
        </w:tc>
      </w:tr>
    </w:tbl>
    <w:p w14:paraId="535CC82D">
      <w:pPr>
        <w:sectPr>
          <w:pgSz w:w="16840" w:h="11900" w:orient="landscape"/>
          <w:pgMar w:top="1361" w:right="1020" w:bottom="1134" w:left="1020" w:header="720" w:footer="720" w:gutter="0"/>
          <w:cols w:space="720" w:num="1"/>
        </w:sectPr>
      </w:pPr>
    </w:p>
    <w:p w14:paraId="67E432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A8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C1FDF6">
            <w:pPr>
              <w:pStyle w:val="9"/>
            </w:pPr>
            <w:r>
              <w:t>360007隆尧县魏家庄中学</w:t>
            </w:r>
          </w:p>
        </w:tc>
        <w:tc>
          <w:tcPr>
            <w:tcW w:w="2551" w:type="dxa"/>
            <w:tcBorders>
              <w:top w:val="single" w:color="FFFFFF" w:sz="6" w:space="0"/>
              <w:left w:val="single" w:color="FFFFFF" w:sz="6" w:space="0"/>
              <w:right w:val="single" w:color="FFFFFF" w:sz="6" w:space="0"/>
            </w:tcBorders>
            <w:vAlign w:val="center"/>
          </w:tcPr>
          <w:p w14:paraId="22214A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68E95A">
            <w:pPr>
              <w:pStyle w:val="7"/>
            </w:pPr>
            <w:r>
              <w:t>单位：万元</w:t>
            </w:r>
          </w:p>
        </w:tc>
      </w:tr>
      <w:tr w14:paraId="648A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1E9C8">
            <w:pPr>
              <w:pStyle w:val="10"/>
            </w:pPr>
            <w:r>
              <w:t>序号</w:t>
            </w:r>
          </w:p>
        </w:tc>
        <w:tc>
          <w:tcPr>
            <w:tcW w:w="5726" w:type="dxa"/>
            <w:gridSpan w:val="2"/>
            <w:vAlign w:val="center"/>
          </w:tcPr>
          <w:p w14:paraId="39053B2B">
            <w:pPr>
              <w:pStyle w:val="10"/>
            </w:pPr>
            <w:r>
              <w:t>支出部门经济分类科目</w:t>
            </w:r>
          </w:p>
        </w:tc>
        <w:tc>
          <w:tcPr>
            <w:tcW w:w="7653" w:type="dxa"/>
            <w:gridSpan w:val="3"/>
            <w:vAlign w:val="center"/>
          </w:tcPr>
          <w:p w14:paraId="60C8B2C6">
            <w:pPr>
              <w:pStyle w:val="10"/>
            </w:pPr>
            <w:r>
              <w:t>一般公共预算基本支出</w:t>
            </w:r>
          </w:p>
        </w:tc>
      </w:tr>
      <w:tr w14:paraId="447B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84471"/>
        </w:tc>
        <w:tc>
          <w:tcPr>
            <w:tcW w:w="1191" w:type="dxa"/>
            <w:vAlign w:val="center"/>
          </w:tcPr>
          <w:p w14:paraId="73F23257">
            <w:pPr>
              <w:pStyle w:val="10"/>
            </w:pPr>
            <w:r>
              <w:t>科目编码</w:t>
            </w:r>
          </w:p>
        </w:tc>
        <w:tc>
          <w:tcPr>
            <w:tcW w:w="4535" w:type="dxa"/>
            <w:vAlign w:val="center"/>
          </w:tcPr>
          <w:p w14:paraId="1F353A51">
            <w:pPr>
              <w:pStyle w:val="10"/>
            </w:pPr>
            <w:r>
              <w:t>科目名称</w:t>
            </w:r>
          </w:p>
        </w:tc>
        <w:tc>
          <w:tcPr>
            <w:tcW w:w="2551" w:type="dxa"/>
            <w:vAlign w:val="center"/>
          </w:tcPr>
          <w:p w14:paraId="695E9D46">
            <w:pPr>
              <w:pStyle w:val="10"/>
            </w:pPr>
            <w:r>
              <w:t>合计</w:t>
            </w:r>
          </w:p>
        </w:tc>
        <w:tc>
          <w:tcPr>
            <w:tcW w:w="2551" w:type="dxa"/>
            <w:vAlign w:val="center"/>
          </w:tcPr>
          <w:p w14:paraId="583124D1">
            <w:pPr>
              <w:pStyle w:val="10"/>
            </w:pPr>
            <w:r>
              <w:t>人员经费</w:t>
            </w:r>
          </w:p>
        </w:tc>
        <w:tc>
          <w:tcPr>
            <w:tcW w:w="2551" w:type="dxa"/>
            <w:vAlign w:val="center"/>
          </w:tcPr>
          <w:p w14:paraId="6C36AA09">
            <w:pPr>
              <w:pStyle w:val="10"/>
            </w:pPr>
            <w:r>
              <w:t>公用经费</w:t>
            </w:r>
          </w:p>
        </w:tc>
      </w:tr>
      <w:tr w14:paraId="294A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C23FD">
            <w:pPr>
              <w:pStyle w:val="10"/>
            </w:pPr>
            <w:r>
              <w:t>栏次</w:t>
            </w:r>
          </w:p>
        </w:tc>
        <w:tc>
          <w:tcPr>
            <w:tcW w:w="1191" w:type="dxa"/>
            <w:vAlign w:val="center"/>
          </w:tcPr>
          <w:p w14:paraId="2AE74333">
            <w:pPr>
              <w:pStyle w:val="10"/>
            </w:pPr>
            <w:r>
              <w:t>1</w:t>
            </w:r>
          </w:p>
        </w:tc>
        <w:tc>
          <w:tcPr>
            <w:tcW w:w="4535" w:type="dxa"/>
            <w:vAlign w:val="center"/>
          </w:tcPr>
          <w:p w14:paraId="01D93B11">
            <w:pPr>
              <w:pStyle w:val="10"/>
            </w:pPr>
            <w:r>
              <w:t>2</w:t>
            </w:r>
          </w:p>
        </w:tc>
        <w:tc>
          <w:tcPr>
            <w:tcW w:w="2551" w:type="dxa"/>
            <w:vAlign w:val="center"/>
          </w:tcPr>
          <w:p w14:paraId="6667D6E6">
            <w:pPr>
              <w:pStyle w:val="10"/>
            </w:pPr>
            <w:r>
              <w:t>3</w:t>
            </w:r>
          </w:p>
        </w:tc>
        <w:tc>
          <w:tcPr>
            <w:tcW w:w="2551" w:type="dxa"/>
            <w:vAlign w:val="center"/>
          </w:tcPr>
          <w:p w14:paraId="3A48C74A">
            <w:pPr>
              <w:pStyle w:val="10"/>
            </w:pPr>
            <w:r>
              <w:t>4</w:t>
            </w:r>
          </w:p>
        </w:tc>
        <w:tc>
          <w:tcPr>
            <w:tcW w:w="2551" w:type="dxa"/>
            <w:vAlign w:val="center"/>
          </w:tcPr>
          <w:p w14:paraId="0BB2B85C">
            <w:pPr>
              <w:pStyle w:val="10"/>
            </w:pPr>
            <w:r>
              <w:t>5</w:t>
            </w:r>
          </w:p>
        </w:tc>
      </w:tr>
      <w:tr w14:paraId="58DE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04239">
            <w:pPr>
              <w:pStyle w:val="13"/>
            </w:pPr>
            <w:r>
              <w:t>1</w:t>
            </w:r>
          </w:p>
        </w:tc>
        <w:tc>
          <w:tcPr>
            <w:tcW w:w="1191" w:type="dxa"/>
            <w:vAlign w:val="center"/>
          </w:tcPr>
          <w:p w14:paraId="3C18DA84">
            <w:pPr>
              <w:pStyle w:val="16"/>
            </w:pPr>
          </w:p>
        </w:tc>
        <w:tc>
          <w:tcPr>
            <w:tcW w:w="4535" w:type="dxa"/>
            <w:vAlign w:val="center"/>
          </w:tcPr>
          <w:p w14:paraId="30512553">
            <w:pPr>
              <w:pStyle w:val="14"/>
            </w:pPr>
            <w:r>
              <w:t>合计</w:t>
            </w:r>
          </w:p>
        </w:tc>
        <w:tc>
          <w:tcPr>
            <w:tcW w:w="2551" w:type="dxa"/>
            <w:vAlign w:val="center"/>
          </w:tcPr>
          <w:p w14:paraId="0B905426">
            <w:pPr>
              <w:pStyle w:val="15"/>
            </w:pPr>
            <w:r>
              <w:t>852.35</w:t>
            </w:r>
          </w:p>
        </w:tc>
        <w:tc>
          <w:tcPr>
            <w:tcW w:w="2551" w:type="dxa"/>
            <w:vAlign w:val="center"/>
          </w:tcPr>
          <w:p w14:paraId="6FA7EEB5">
            <w:pPr>
              <w:pStyle w:val="15"/>
            </w:pPr>
            <w:r>
              <w:t>852.35</w:t>
            </w:r>
          </w:p>
        </w:tc>
        <w:tc>
          <w:tcPr>
            <w:tcW w:w="2551" w:type="dxa"/>
            <w:vAlign w:val="center"/>
          </w:tcPr>
          <w:p w14:paraId="3BE18A6C">
            <w:pPr>
              <w:pStyle w:val="15"/>
            </w:pPr>
          </w:p>
        </w:tc>
      </w:tr>
      <w:tr w14:paraId="70AD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B00C8">
            <w:pPr>
              <w:pStyle w:val="13"/>
            </w:pPr>
            <w:r>
              <w:t>2</w:t>
            </w:r>
          </w:p>
        </w:tc>
        <w:tc>
          <w:tcPr>
            <w:tcW w:w="1191" w:type="dxa"/>
            <w:vAlign w:val="center"/>
          </w:tcPr>
          <w:p w14:paraId="2741D15E">
            <w:pPr>
              <w:pStyle w:val="12"/>
            </w:pPr>
            <w:r>
              <w:t>301</w:t>
            </w:r>
          </w:p>
        </w:tc>
        <w:tc>
          <w:tcPr>
            <w:tcW w:w="4535" w:type="dxa"/>
            <w:vAlign w:val="center"/>
          </w:tcPr>
          <w:p w14:paraId="4526894D">
            <w:pPr>
              <w:pStyle w:val="12"/>
            </w:pPr>
            <w:r>
              <w:t>工资福利支出</w:t>
            </w:r>
          </w:p>
        </w:tc>
        <w:tc>
          <w:tcPr>
            <w:tcW w:w="2551" w:type="dxa"/>
            <w:vAlign w:val="center"/>
          </w:tcPr>
          <w:p w14:paraId="08412971">
            <w:pPr>
              <w:pStyle w:val="11"/>
            </w:pPr>
            <w:r>
              <w:t>825.01</w:t>
            </w:r>
          </w:p>
        </w:tc>
        <w:tc>
          <w:tcPr>
            <w:tcW w:w="2551" w:type="dxa"/>
            <w:vAlign w:val="center"/>
          </w:tcPr>
          <w:p w14:paraId="4E2B66AA">
            <w:pPr>
              <w:pStyle w:val="11"/>
            </w:pPr>
            <w:r>
              <w:t>825.01</w:t>
            </w:r>
          </w:p>
        </w:tc>
        <w:tc>
          <w:tcPr>
            <w:tcW w:w="2551" w:type="dxa"/>
            <w:vAlign w:val="center"/>
          </w:tcPr>
          <w:p w14:paraId="28A09408">
            <w:pPr>
              <w:pStyle w:val="11"/>
            </w:pPr>
          </w:p>
        </w:tc>
      </w:tr>
      <w:tr w14:paraId="205D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A334">
            <w:pPr>
              <w:pStyle w:val="13"/>
            </w:pPr>
            <w:r>
              <w:t>3</w:t>
            </w:r>
          </w:p>
        </w:tc>
        <w:tc>
          <w:tcPr>
            <w:tcW w:w="1191" w:type="dxa"/>
            <w:vAlign w:val="center"/>
          </w:tcPr>
          <w:p w14:paraId="7F0E6FD7">
            <w:pPr>
              <w:pStyle w:val="12"/>
            </w:pPr>
            <w:r>
              <w:t>30101</w:t>
            </w:r>
          </w:p>
        </w:tc>
        <w:tc>
          <w:tcPr>
            <w:tcW w:w="4535" w:type="dxa"/>
            <w:vAlign w:val="center"/>
          </w:tcPr>
          <w:p w14:paraId="626C54AB">
            <w:pPr>
              <w:pStyle w:val="12"/>
            </w:pPr>
            <w:r>
              <w:t>基本工资</w:t>
            </w:r>
          </w:p>
        </w:tc>
        <w:tc>
          <w:tcPr>
            <w:tcW w:w="2551" w:type="dxa"/>
            <w:vAlign w:val="center"/>
          </w:tcPr>
          <w:p w14:paraId="761DE2B5">
            <w:pPr>
              <w:pStyle w:val="11"/>
            </w:pPr>
            <w:r>
              <w:t>398.03</w:t>
            </w:r>
          </w:p>
        </w:tc>
        <w:tc>
          <w:tcPr>
            <w:tcW w:w="2551" w:type="dxa"/>
            <w:vAlign w:val="center"/>
          </w:tcPr>
          <w:p w14:paraId="382FA359">
            <w:pPr>
              <w:pStyle w:val="11"/>
            </w:pPr>
            <w:r>
              <w:t>398.03</w:t>
            </w:r>
          </w:p>
        </w:tc>
        <w:tc>
          <w:tcPr>
            <w:tcW w:w="2551" w:type="dxa"/>
            <w:vAlign w:val="center"/>
          </w:tcPr>
          <w:p w14:paraId="25B31FFC">
            <w:pPr>
              <w:pStyle w:val="11"/>
            </w:pPr>
          </w:p>
        </w:tc>
      </w:tr>
      <w:tr w14:paraId="4EC5D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1AEB">
            <w:pPr>
              <w:pStyle w:val="13"/>
            </w:pPr>
            <w:r>
              <w:t>4</w:t>
            </w:r>
          </w:p>
        </w:tc>
        <w:tc>
          <w:tcPr>
            <w:tcW w:w="1191" w:type="dxa"/>
            <w:vAlign w:val="center"/>
          </w:tcPr>
          <w:p w14:paraId="587CD555">
            <w:pPr>
              <w:pStyle w:val="12"/>
            </w:pPr>
            <w:r>
              <w:t>30102</w:t>
            </w:r>
          </w:p>
        </w:tc>
        <w:tc>
          <w:tcPr>
            <w:tcW w:w="4535" w:type="dxa"/>
            <w:vAlign w:val="center"/>
          </w:tcPr>
          <w:p w14:paraId="2F8CD058">
            <w:pPr>
              <w:pStyle w:val="12"/>
            </w:pPr>
            <w:r>
              <w:t>津贴补贴</w:t>
            </w:r>
          </w:p>
        </w:tc>
        <w:tc>
          <w:tcPr>
            <w:tcW w:w="2551" w:type="dxa"/>
            <w:vAlign w:val="center"/>
          </w:tcPr>
          <w:p w14:paraId="7ABFE2F4">
            <w:pPr>
              <w:pStyle w:val="11"/>
            </w:pPr>
            <w:r>
              <w:t>33.95</w:t>
            </w:r>
          </w:p>
        </w:tc>
        <w:tc>
          <w:tcPr>
            <w:tcW w:w="2551" w:type="dxa"/>
            <w:vAlign w:val="center"/>
          </w:tcPr>
          <w:p w14:paraId="059EB6BD">
            <w:pPr>
              <w:pStyle w:val="11"/>
            </w:pPr>
            <w:r>
              <w:t>33.95</w:t>
            </w:r>
          </w:p>
        </w:tc>
        <w:tc>
          <w:tcPr>
            <w:tcW w:w="2551" w:type="dxa"/>
            <w:vAlign w:val="center"/>
          </w:tcPr>
          <w:p w14:paraId="3BABA07B">
            <w:pPr>
              <w:pStyle w:val="11"/>
            </w:pPr>
          </w:p>
        </w:tc>
      </w:tr>
      <w:tr w14:paraId="4FE7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DF69D">
            <w:pPr>
              <w:pStyle w:val="13"/>
            </w:pPr>
            <w:r>
              <w:t>5</w:t>
            </w:r>
          </w:p>
        </w:tc>
        <w:tc>
          <w:tcPr>
            <w:tcW w:w="1191" w:type="dxa"/>
            <w:vAlign w:val="center"/>
          </w:tcPr>
          <w:p w14:paraId="14E5DE26">
            <w:pPr>
              <w:pStyle w:val="12"/>
            </w:pPr>
            <w:r>
              <w:t>30107</w:t>
            </w:r>
          </w:p>
        </w:tc>
        <w:tc>
          <w:tcPr>
            <w:tcW w:w="4535" w:type="dxa"/>
            <w:vAlign w:val="center"/>
          </w:tcPr>
          <w:p w14:paraId="45F0A257">
            <w:pPr>
              <w:pStyle w:val="12"/>
            </w:pPr>
            <w:r>
              <w:t>绩效工资</w:t>
            </w:r>
          </w:p>
        </w:tc>
        <w:tc>
          <w:tcPr>
            <w:tcW w:w="2551" w:type="dxa"/>
            <w:vAlign w:val="center"/>
          </w:tcPr>
          <w:p w14:paraId="65E84A83">
            <w:pPr>
              <w:pStyle w:val="11"/>
            </w:pPr>
            <w:r>
              <w:t>200.47</w:t>
            </w:r>
          </w:p>
        </w:tc>
        <w:tc>
          <w:tcPr>
            <w:tcW w:w="2551" w:type="dxa"/>
            <w:vAlign w:val="center"/>
          </w:tcPr>
          <w:p w14:paraId="7A4777DD">
            <w:pPr>
              <w:pStyle w:val="11"/>
            </w:pPr>
            <w:r>
              <w:t>200.47</w:t>
            </w:r>
          </w:p>
        </w:tc>
        <w:tc>
          <w:tcPr>
            <w:tcW w:w="2551" w:type="dxa"/>
            <w:vAlign w:val="center"/>
          </w:tcPr>
          <w:p w14:paraId="79805170">
            <w:pPr>
              <w:pStyle w:val="11"/>
            </w:pPr>
          </w:p>
        </w:tc>
      </w:tr>
      <w:tr w14:paraId="7514F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0A5FD">
            <w:pPr>
              <w:pStyle w:val="13"/>
            </w:pPr>
            <w:r>
              <w:t>6</w:t>
            </w:r>
          </w:p>
        </w:tc>
        <w:tc>
          <w:tcPr>
            <w:tcW w:w="1191" w:type="dxa"/>
            <w:vAlign w:val="center"/>
          </w:tcPr>
          <w:p w14:paraId="482E13D5">
            <w:pPr>
              <w:pStyle w:val="12"/>
            </w:pPr>
            <w:r>
              <w:t>30108</w:t>
            </w:r>
          </w:p>
        </w:tc>
        <w:tc>
          <w:tcPr>
            <w:tcW w:w="4535" w:type="dxa"/>
            <w:vAlign w:val="center"/>
          </w:tcPr>
          <w:p w14:paraId="48FAB44A">
            <w:pPr>
              <w:pStyle w:val="12"/>
            </w:pPr>
            <w:r>
              <w:t>机关事业单位基本养老保险缴费</w:t>
            </w:r>
          </w:p>
        </w:tc>
        <w:tc>
          <w:tcPr>
            <w:tcW w:w="2551" w:type="dxa"/>
            <w:vAlign w:val="center"/>
          </w:tcPr>
          <w:p w14:paraId="7AB6FF19">
            <w:pPr>
              <w:pStyle w:val="11"/>
            </w:pPr>
            <w:r>
              <w:t>85.37</w:t>
            </w:r>
          </w:p>
        </w:tc>
        <w:tc>
          <w:tcPr>
            <w:tcW w:w="2551" w:type="dxa"/>
            <w:vAlign w:val="center"/>
          </w:tcPr>
          <w:p w14:paraId="08213237">
            <w:pPr>
              <w:pStyle w:val="11"/>
            </w:pPr>
            <w:r>
              <w:t>85.37</w:t>
            </w:r>
          </w:p>
        </w:tc>
        <w:tc>
          <w:tcPr>
            <w:tcW w:w="2551" w:type="dxa"/>
            <w:vAlign w:val="center"/>
          </w:tcPr>
          <w:p w14:paraId="50427933">
            <w:pPr>
              <w:pStyle w:val="11"/>
            </w:pPr>
          </w:p>
        </w:tc>
      </w:tr>
      <w:tr w14:paraId="381A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CC831">
            <w:pPr>
              <w:pStyle w:val="13"/>
            </w:pPr>
            <w:r>
              <w:t>7</w:t>
            </w:r>
          </w:p>
        </w:tc>
        <w:tc>
          <w:tcPr>
            <w:tcW w:w="1191" w:type="dxa"/>
            <w:vAlign w:val="center"/>
          </w:tcPr>
          <w:p w14:paraId="1CD22995">
            <w:pPr>
              <w:pStyle w:val="12"/>
            </w:pPr>
            <w:r>
              <w:t>30110</w:t>
            </w:r>
          </w:p>
        </w:tc>
        <w:tc>
          <w:tcPr>
            <w:tcW w:w="4535" w:type="dxa"/>
            <w:vAlign w:val="center"/>
          </w:tcPr>
          <w:p w14:paraId="76BEFD6A">
            <w:pPr>
              <w:pStyle w:val="12"/>
            </w:pPr>
            <w:r>
              <w:t>职工基本医疗保险缴费</w:t>
            </w:r>
          </w:p>
        </w:tc>
        <w:tc>
          <w:tcPr>
            <w:tcW w:w="2551" w:type="dxa"/>
            <w:vAlign w:val="center"/>
          </w:tcPr>
          <w:p w14:paraId="7BF20F8D">
            <w:pPr>
              <w:pStyle w:val="11"/>
            </w:pPr>
            <w:r>
              <w:t>38.42</w:t>
            </w:r>
          </w:p>
        </w:tc>
        <w:tc>
          <w:tcPr>
            <w:tcW w:w="2551" w:type="dxa"/>
            <w:vAlign w:val="center"/>
          </w:tcPr>
          <w:p w14:paraId="1A4C2447">
            <w:pPr>
              <w:pStyle w:val="11"/>
            </w:pPr>
            <w:r>
              <w:t>38.42</w:t>
            </w:r>
          </w:p>
        </w:tc>
        <w:tc>
          <w:tcPr>
            <w:tcW w:w="2551" w:type="dxa"/>
            <w:vAlign w:val="center"/>
          </w:tcPr>
          <w:p w14:paraId="32E46020">
            <w:pPr>
              <w:pStyle w:val="11"/>
            </w:pPr>
          </w:p>
        </w:tc>
      </w:tr>
      <w:tr w14:paraId="0A46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73685">
            <w:pPr>
              <w:pStyle w:val="13"/>
            </w:pPr>
            <w:r>
              <w:t>8</w:t>
            </w:r>
          </w:p>
        </w:tc>
        <w:tc>
          <w:tcPr>
            <w:tcW w:w="1191" w:type="dxa"/>
            <w:vAlign w:val="center"/>
          </w:tcPr>
          <w:p w14:paraId="779D715C">
            <w:pPr>
              <w:pStyle w:val="12"/>
            </w:pPr>
            <w:r>
              <w:t>30112</w:t>
            </w:r>
          </w:p>
        </w:tc>
        <w:tc>
          <w:tcPr>
            <w:tcW w:w="4535" w:type="dxa"/>
            <w:vAlign w:val="center"/>
          </w:tcPr>
          <w:p w14:paraId="3644156F">
            <w:pPr>
              <w:pStyle w:val="12"/>
            </w:pPr>
            <w:r>
              <w:t>其他社会保障缴费</w:t>
            </w:r>
          </w:p>
        </w:tc>
        <w:tc>
          <w:tcPr>
            <w:tcW w:w="2551" w:type="dxa"/>
            <w:vAlign w:val="center"/>
          </w:tcPr>
          <w:p w14:paraId="62DBAE0C">
            <w:pPr>
              <w:pStyle w:val="11"/>
            </w:pPr>
            <w:r>
              <w:t>5.91</w:t>
            </w:r>
          </w:p>
        </w:tc>
        <w:tc>
          <w:tcPr>
            <w:tcW w:w="2551" w:type="dxa"/>
            <w:vAlign w:val="center"/>
          </w:tcPr>
          <w:p w14:paraId="37E4335D">
            <w:pPr>
              <w:pStyle w:val="11"/>
            </w:pPr>
            <w:r>
              <w:t>5.91</w:t>
            </w:r>
          </w:p>
        </w:tc>
        <w:tc>
          <w:tcPr>
            <w:tcW w:w="2551" w:type="dxa"/>
            <w:vAlign w:val="center"/>
          </w:tcPr>
          <w:p w14:paraId="19B835E8">
            <w:pPr>
              <w:pStyle w:val="11"/>
            </w:pPr>
          </w:p>
        </w:tc>
      </w:tr>
      <w:tr w14:paraId="45B0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518E3">
            <w:pPr>
              <w:pStyle w:val="13"/>
            </w:pPr>
            <w:r>
              <w:t>9</w:t>
            </w:r>
          </w:p>
        </w:tc>
        <w:tc>
          <w:tcPr>
            <w:tcW w:w="1191" w:type="dxa"/>
            <w:vAlign w:val="center"/>
          </w:tcPr>
          <w:p w14:paraId="7B060EE5">
            <w:pPr>
              <w:pStyle w:val="12"/>
            </w:pPr>
            <w:r>
              <w:t>30113</w:t>
            </w:r>
          </w:p>
        </w:tc>
        <w:tc>
          <w:tcPr>
            <w:tcW w:w="4535" w:type="dxa"/>
            <w:vAlign w:val="center"/>
          </w:tcPr>
          <w:p w14:paraId="5E25FCBE">
            <w:pPr>
              <w:pStyle w:val="12"/>
            </w:pPr>
            <w:r>
              <w:t>住房公积金</w:t>
            </w:r>
          </w:p>
        </w:tc>
        <w:tc>
          <w:tcPr>
            <w:tcW w:w="2551" w:type="dxa"/>
            <w:vAlign w:val="center"/>
          </w:tcPr>
          <w:p w14:paraId="4C25F891">
            <w:pPr>
              <w:pStyle w:val="11"/>
            </w:pPr>
            <w:r>
              <w:t>62.87</w:t>
            </w:r>
          </w:p>
        </w:tc>
        <w:tc>
          <w:tcPr>
            <w:tcW w:w="2551" w:type="dxa"/>
            <w:vAlign w:val="center"/>
          </w:tcPr>
          <w:p w14:paraId="7BD379AF">
            <w:pPr>
              <w:pStyle w:val="11"/>
            </w:pPr>
            <w:r>
              <w:t>62.87</w:t>
            </w:r>
          </w:p>
        </w:tc>
        <w:tc>
          <w:tcPr>
            <w:tcW w:w="2551" w:type="dxa"/>
            <w:vAlign w:val="center"/>
          </w:tcPr>
          <w:p w14:paraId="09AE4E8D">
            <w:pPr>
              <w:pStyle w:val="11"/>
            </w:pPr>
          </w:p>
        </w:tc>
      </w:tr>
      <w:tr w14:paraId="041A7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7F98">
            <w:pPr>
              <w:pStyle w:val="13"/>
            </w:pPr>
            <w:r>
              <w:t>10</w:t>
            </w:r>
          </w:p>
        </w:tc>
        <w:tc>
          <w:tcPr>
            <w:tcW w:w="1191" w:type="dxa"/>
            <w:vAlign w:val="center"/>
          </w:tcPr>
          <w:p w14:paraId="6F6EF6E7">
            <w:pPr>
              <w:pStyle w:val="12"/>
            </w:pPr>
            <w:r>
              <w:t>303</w:t>
            </w:r>
          </w:p>
        </w:tc>
        <w:tc>
          <w:tcPr>
            <w:tcW w:w="4535" w:type="dxa"/>
            <w:vAlign w:val="center"/>
          </w:tcPr>
          <w:p w14:paraId="2E33117F">
            <w:pPr>
              <w:pStyle w:val="12"/>
            </w:pPr>
            <w:r>
              <w:t>对个人和家庭的补助</w:t>
            </w:r>
          </w:p>
        </w:tc>
        <w:tc>
          <w:tcPr>
            <w:tcW w:w="2551" w:type="dxa"/>
            <w:vAlign w:val="center"/>
          </w:tcPr>
          <w:p w14:paraId="5C289CAE">
            <w:pPr>
              <w:pStyle w:val="11"/>
            </w:pPr>
            <w:r>
              <w:t>27.34</w:t>
            </w:r>
          </w:p>
        </w:tc>
        <w:tc>
          <w:tcPr>
            <w:tcW w:w="2551" w:type="dxa"/>
            <w:vAlign w:val="center"/>
          </w:tcPr>
          <w:p w14:paraId="1BD86BA4">
            <w:pPr>
              <w:pStyle w:val="11"/>
            </w:pPr>
            <w:r>
              <w:t>27.34</w:t>
            </w:r>
          </w:p>
        </w:tc>
        <w:tc>
          <w:tcPr>
            <w:tcW w:w="2551" w:type="dxa"/>
            <w:vAlign w:val="center"/>
          </w:tcPr>
          <w:p w14:paraId="77818BAB">
            <w:pPr>
              <w:pStyle w:val="11"/>
            </w:pPr>
          </w:p>
        </w:tc>
      </w:tr>
      <w:tr w14:paraId="7DBA4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93FC">
            <w:pPr>
              <w:pStyle w:val="13"/>
            </w:pPr>
            <w:r>
              <w:t>11</w:t>
            </w:r>
          </w:p>
        </w:tc>
        <w:tc>
          <w:tcPr>
            <w:tcW w:w="1191" w:type="dxa"/>
            <w:vAlign w:val="center"/>
          </w:tcPr>
          <w:p w14:paraId="3DB5C7C6">
            <w:pPr>
              <w:pStyle w:val="12"/>
            </w:pPr>
            <w:r>
              <w:t>30302</w:t>
            </w:r>
          </w:p>
        </w:tc>
        <w:tc>
          <w:tcPr>
            <w:tcW w:w="4535" w:type="dxa"/>
            <w:vAlign w:val="center"/>
          </w:tcPr>
          <w:p w14:paraId="3571BA01">
            <w:pPr>
              <w:pStyle w:val="12"/>
            </w:pPr>
            <w:r>
              <w:t>退休费</w:t>
            </w:r>
          </w:p>
        </w:tc>
        <w:tc>
          <w:tcPr>
            <w:tcW w:w="2551" w:type="dxa"/>
            <w:vAlign w:val="center"/>
          </w:tcPr>
          <w:p w14:paraId="55210B7C">
            <w:pPr>
              <w:pStyle w:val="11"/>
            </w:pPr>
            <w:r>
              <w:t>27.34</w:t>
            </w:r>
          </w:p>
        </w:tc>
        <w:tc>
          <w:tcPr>
            <w:tcW w:w="2551" w:type="dxa"/>
            <w:vAlign w:val="center"/>
          </w:tcPr>
          <w:p w14:paraId="3806413B">
            <w:pPr>
              <w:pStyle w:val="11"/>
            </w:pPr>
            <w:r>
              <w:t>27.34</w:t>
            </w:r>
          </w:p>
        </w:tc>
        <w:tc>
          <w:tcPr>
            <w:tcW w:w="2551" w:type="dxa"/>
            <w:vAlign w:val="center"/>
          </w:tcPr>
          <w:p w14:paraId="29AFFB33">
            <w:pPr>
              <w:pStyle w:val="11"/>
            </w:pPr>
          </w:p>
        </w:tc>
      </w:tr>
    </w:tbl>
    <w:p w14:paraId="40B324D6">
      <w:pPr>
        <w:sectPr>
          <w:pgSz w:w="16840" w:h="11900" w:orient="landscape"/>
          <w:pgMar w:top="1361" w:right="1020" w:bottom="1134" w:left="1020" w:header="720" w:footer="720" w:gutter="0"/>
          <w:cols w:space="720" w:num="1"/>
        </w:sectPr>
      </w:pPr>
    </w:p>
    <w:p w14:paraId="3D1D50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63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7B628B">
            <w:pPr>
              <w:pStyle w:val="9"/>
            </w:pPr>
            <w:r>
              <w:t>360007隆尧县魏家庄中学</w:t>
            </w:r>
          </w:p>
        </w:tc>
        <w:tc>
          <w:tcPr>
            <w:tcW w:w="2551" w:type="dxa"/>
            <w:tcBorders>
              <w:top w:val="single" w:color="FFFFFF" w:sz="6" w:space="0"/>
              <w:left w:val="single" w:color="FFFFFF" w:sz="6" w:space="0"/>
              <w:right w:val="single" w:color="FFFFFF" w:sz="6" w:space="0"/>
            </w:tcBorders>
            <w:vAlign w:val="center"/>
          </w:tcPr>
          <w:p w14:paraId="3A01F1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4C44EE">
            <w:pPr>
              <w:pStyle w:val="7"/>
            </w:pPr>
            <w:r>
              <w:t>单位：万元</w:t>
            </w:r>
          </w:p>
        </w:tc>
      </w:tr>
      <w:tr w14:paraId="7433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7EE46">
            <w:pPr>
              <w:pStyle w:val="10"/>
            </w:pPr>
            <w:r>
              <w:t>序号</w:t>
            </w:r>
          </w:p>
        </w:tc>
        <w:tc>
          <w:tcPr>
            <w:tcW w:w="5726" w:type="dxa"/>
            <w:gridSpan w:val="2"/>
            <w:vAlign w:val="center"/>
          </w:tcPr>
          <w:p w14:paraId="2D2695B4">
            <w:pPr>
              <w:pStyle w:val="10"/>
            </w:pPr>
            <w:r>
              <w:t>功能分类科目</w:t>
            </w:r>
          </w:p>
        </w:tc>
        <w:tc>
          <w:tcPr>
            <w:tcW w:w="2551" w:type="dxa"/>
            <w:vMerge w:val="restart"/>
            <w:vAlign w:val="center"/>
          </w:tcPr>
          <w:p w14:paraId="709FB735">
            <w:pPr>
              <w:pStyle w:val="10"/>
            </w:pPr>
            <w:r>
              <w:t>合计</w:t>
            </w:r>
          </w:p>
        </w:tc>
        <w:tc>
          <w:tcPr>
            <w:tcW w:w="2551" w:type="dxa"/>
            <w:vMerge w:val="restart"/>
            <w:vAlign w:val="center"/>
          </w:tcPr>
          <w:p w14:paraId="0987AD02">
            <w:pPr>
              <w:pStyle w:val="10"/>
            </w:pPr>
            <w:r>
              <w:t>基本支出</w:t>
            </w:r>
          </w:p>
        </w:tc>
        <w:tc>
          <w:tcPr>
            <w:tcW w:w="2551" w:type="dxa"/>
            <w:vMerge w:val="restart"/>
            <w:vAlign w:val="center"/>
          </w:tcPr>
          <w:p w14:paraId="3C5D95E7">
            <w:pPr>
              <w:pStyle w:val="10"/>
            </w:pPr>
            <w:r>
              <w:t>项目支出</w:t>
            </w:r>
          </w:p>
        </w:tc>
      </w:tr>
      <w:tr w14:paraId="3A17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F08E1E"/>
        </w:tc>
        <w:tc>
          <w:tcPr>
            <w:tcW w:w="1191" w:type="dxa"/>
            <w:vAlign w:val="center"/>
          </w:tcPr>
          <w:p w14:paraId="280E007D">
            <w:pPr>
              <w:pStyle w:val="10"/>
            </w:pPr>
            <w:r>
              <w:t>科目编码</w:t>
            </w:r>
          </w:p>
        </w:tc>
        <w:tc>
          <w:tcPr>
            <w:tcW w:w="4535" w:type="dxa"/>
            <w:vAlign w:val="center"/>
          </w:tcPr>
          <w:p w14:paraId="2D06870D">
            <w:pPr>
              <w:pStyle w:val="10"/>
            </w:pPr>
            <w:r>
              <w:t>科目名称</w:t>
            </w:r>
          </w:p>
        </w:tc>
        <w:tc>
          <w:tcPr>
            <w:tcW w:w="2551" w:type="dxa"/>
            <w:vMerge w:val="continue"/>
          </w:tcPr>
          <w:p w14:paraId="115754D9"/>
        </w:tc>
        <w:tc>
          <w:tcPr>
            <w:tcW w:w="2551" w:type="dxa"/>
            <w:vMerge w:val="continue"/>
          </w:tcPr>
          <w:p w14:paraId="7017D394"/>
        </w:tc>
        <w:tc>
          <w:tcPr>
            <w:tcW w:w="2551" w:type="dxa"/>
            <w:vMerge w:val="continue"/>
          </w:tcPr>
          <w:p w14:paraId="08A82D8D"/>
        </w:tc>
      </w:tr>
      <w:tr w14:paraId="12CD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92E8DB">
            <w:pPr>
              <w:pStyle w:val="10"/>
            </w:pPr>
            <w:r>
              <w:t>栏次</w:t>
            </w:r>
          </w:p>
        </w:tc>
        <w:tc>
          <w:tcPr>
            <w:tcW w:w="1191" w:type="dxa"/>
            <w:vAlign w:val="center"/>
          </w:tcPr>
          <w:p w14:paraId="75DEA23A">
            <w:pPr>
              <w:pStyle w:val="10"/>
            </w:pPr>
            <w:r>
              <w:t>1</w:t>
            </w:r>
          </w:p>
        </w:tc>
        <w:tc>
          <w:tcPr>
            <w:tcW w:w="4535" w:type="dxa"/>
            <w:vAlign w:val="center"/>
          </w:tcPr>
          <w:p w14:paraId="53C5A191">
            <w:pPr>
              <w:pStyle w:val="10"/>
            </w:pPr>
            <w:r>
              <w:t>2</w:t>
            </w:r>
          </w:p>
        </w:tc>
        <w:tc>
          <w:tcPr>
            <w:tcW w:w="2551" w:type="dxa"/>
            <w:vAlign w:val="center"/>
          </w:tcPr>
          <w:p w14:paraId="1DCA8B93">
            <w:pPr>
              <w:pStyle w:val="10"/>
            </w:pPr>
            <w:r>
              <w:t>3</w:t>
            </w:r>
          </w:p>
        </w:tc>
        <w:tc>
          <w:tcPr>
            <w:tcW w:w="2551" w:type="dxa"/>
            <w:vAlign w:val="center"/>
          </w:tcPr>
          <w:p w14:paraId="4D347409">
            <w:pPr>
              <w:pStyle w:val="10"/>
            </w:pPr>
            <w:r>
              <w:t>4</w:t>
            </w:r>
          </w:p>
        </w:tc>
        <w:tc>
          <w:tcPr>
            <w:tcW w:w="2551" w:type="dxa"/>
            <w:vAlign w:val="center"/>
          </w:tcPr>
          <w:p w14:paraId="54CD49AA">
            <w:pPr>
              <w:pStyle w:val="10"/>
            </w:pPr>
            <w:r>
              <w:t>5</w:t>
            </w:r>
          </w:p>
        </w:tc>
      </w:tr>
      <w:tr w14:paraId="45D7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0449">
            <w:pPr>
              <w:pStyle w:val="13"/>
            </w:pPr>
          </w:p>
        </w:tc>
        <w:tc>
          <w:tcPr>
            <w:tcW w:w="1191" w:type="dxa"/>
            <w:vAlign w:val="center"/>
          </w:tcPr>
          <w:p w14:paraId="2258871F">
            <w:pPr>
              <w:pStyle w:val="12"/>
            </w:pPr>
          </w:p>
        </w:tc>
        <w:tc>
          <w:tcPr>
            <w:tcW w:w="4535" w:type="dxa"/>
            <w:vAlign w:val="center"/>
          </w:tcPr>
          <w:p w14:paraId="41510A44">
            <w:pPr>
              <w:pStyle w:val="12"/>
            </w:pPr>
          </w:p>
        </w:tc>
        <w:tc>
          <w:tcPr>
            <w:tcW w:w="2551" w:type="dxa"/>
            <w:vAlign w:val="center"/>
          </w:tcPr>
          <w:p w14:paraId="31047E7B">
            <w:pPr>
              <w:pStyle w:val="11"/>
            </w:pPr>
          </w:p>
        </w:tc>
        <w:tc>
          <w:tcPr>
            <w:tcW w:w="2551" w:type="dxa"/>
            <w:vAlign w:val="center"/>
          </w:tcPr>
          <w:p w14:paraId="241996DA">
            <w:pPr>
              <w:pStyle w:val="11"/>
            </w:pPr>
          </w:p>
        </w:tc>
        <w:tc>
          <w:tcPr>
            <w:tcW w:w="2551" w:type="dxa"/>
            <w:vAlign w:val="center"/>
          </w:tcPr>
          <w:p w14:paraId="11A39698">
            <w:pPr>
              <w:pStyle w:val="11"/>
            </w:pPr>
          </w:p>
        </w:tc>
      </w:tr>
    </w:tbl>
    <w:p w14:paraId="1C1FF3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3A47F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E9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95F044">
            <w:pPr>
              <w:pStyle w:val="9"/>
            </w:pPr>
            <w:r>
              <w:t>360007隆尧县魏家庄中学</w:t>
            </w:r>
          </w:p>
        </w:tc>
        <w:tc>
          <w:tcPr>
            <w:tcW w:w="2551" w:type="dxa"/>
            <w:tcBorders>
              <w:top w:val="single" w:color="FFFFFF" w:sz="6" w:space="0"/>
              <w:left w:val="single" w:color="FFFFFF" w:sz="6" w:space="0"/>
              <w:right w:val="single" w:color="FFFFFF" w:sz="6" w:space="0"/>
            </w:tcBorders>
            <w:vAlign w:val="center"/>
          </w:tcPr>
          <w:p w14:paraId="52BAEB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DA3678">
            <w:pPr>
              <w:pStyle w:val="7"/>
            </w:pPr>
            <w:r>
              <w:t>单位：万元</w:t>
            </w:r>
          </w:p>
        </w:tc>
      </w:tr>
      <w:tr w14:paraId="76B1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0A314">
            <w:pPr>
              <w:pStyle w:val="10"/>
            </w:pPr>
            <w:r>
              <w:t>序号</w:t>
            </w:r>
          </w:p>
        </w:tc>
        <w:tc>
          <w:tcPr>
            <w:tcW w:w="5726" w:type="dxa"/>
            <w:gridSpan w:val="2"/>
            <w:vAlign w:val="center"/>
          </w:tcPr>
          <w:p w14:paraId="2D71F59C">
            <w:pPr>
              <w:pStyle w:val="10"/>
            </w:pPr>
            <w:r>
              <w:t>功能分类科目</w:t>
            </w:r>
          </w:p>
        </w:tc>
        <w:tc>
          <w:tcPr>
            <w:tcW w:w="2551" w:type="dxa"/>
            <w:vMerge w:val="restart"/>
            <w:vAlign w:val="center"/>
          </w:tcPr>
          <w:p w14:paraId="02C08025">
            <w:pPr>
              <w:pStyle w:val="10"/>
            </w:pPr>
            <w:r>
              <w:t>合计</w:t>
            </w:r>
          </w:p>
        </w:tc>
        <w:tc>
          <w:tcPr>
            <w:tcW w:w="2551" w:type="dxa"/>
            <w:vMerge w:val="restart"/>
            <w:vAlign w:val="center"/>
          </w:tcPr>
          <w:p w14:paraId="5319C66B">
            <w:pPr>
              <w:pStyle w:val="10"/>
            </w:pPr>
            <w:r>
              <w:t>基本支出</w:t>
            </w:r>
          </w:p>
        </w:tc>
        <w:tc>
          <w:tcPr>
            <w:tcW w:w="2551" w:type="dxa"/>
            <w:vMerge w:val="restart"/>
            <w:vAlign w:val="center"/>
          </w:tcPr>
          <w:p w14:paraId="064F771B">
            <w:pPr>
              <w:pStyle w:val="10"/>
            </w:pPr>
            <w:r>
              <w:t>项目支出</w:t>
            </w:r>
          </w:p>
        </w:tc>
      </w:tr>
      <w:tr w14:paraId="67D5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9B2F4"/>
        </w:tc>
        <w:tc>
          <w:tcPr>
            <w:tcW w:w="1191" w:type="dxa"/>
            <w:vAlign w:val="center"/>
          </w:tcPr>
          <w:p w14:paraId="4E8EBA42">
            <w:pPr>
              <w:pStyle w:val="10"/>
            </w:pPr>
            <w:r>
              <w:t>科目编码</w:t>
            </w:r>
          </w:p>
        </w:tc>
        <w:tc>
          <w:tcPr>
            <w:tcW w:w="4535" w:type="dxa"/>
            <w:vAlign w:val="center"/>
          </w:tcPr>
          <w:p w14:paraId="51CCBC3E">
            <w:pPr>
              <w:pStyle w:val="10"/>
            </w:pPr>
            <w:r>
              <w:t>科目名称</w:t>
            </w:r>
          </w:p>
        </w:tc>
        <w:tc>
          <w:tcPr>
            <w:tcW w:w="2551" w:type="dxa"/>
            <w:vMerge w:val="continue"/>
          </w:tcPr>
          <w:p w14:paraId="6C6D91A4"/>
        </w:tc>
        <w:tc>
          <w:tcPr>
            <w:tcW w:w="2551" w:type="dxa"/>
            <w:vMerge w:val="continue"/>
          </w:tcPr>
          <w:p w14:paraId="73B8501D"/>
        </w:tc>
        <w:tc>
          <w:tcPr>
            <w:tcW w:w="2551" w:type="dxa"/>
            <w:vMerge w:val="continue"/>
          </w:tcPr>
          <w:p w14:paraId="4D3A93AD"/>
        </w:tc>
      </w:tr>
      <w:tr w14:paraId="5ADE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CB74B">
            <w:pPr>
              <w:pStyle w:val="10"/>
            </w:pPr>
            <w:r>
              <w:t>栏次</w:t>
            </w:r>
          </w:p>
        </w:tc>
        <w:tc>
          <w:tcPr>
            <w:tcW w:w="1191" w:type="dxa"/>
            <w:vAlign w:val="center"/>
          </w:tcPr>
          <w:p w14:paraId="5997B8FF">
            <w:pPr>
              <w:pStyle w:val="10"/>
            </w:pPr>
            <w:r>
              <w:t>1</w:t>
            </w:r>
          </w:p>
        </w:tc>
        <w:tc>
          <w:tcPr>
            <w:tcW w:w="4535" w:type="dxa"/>
            <w:vAlign w:val="center"/>
          </w:tcPr>
          <w:p w14:paraId="1DCA5554">
            <w:pPr>
              <w:pStyle w:val="10"/>
            </w:pPr>
            <w:r>
              <w:t>2</w:t>
            </w:r>
          </w:p>
        </w:tc>
        <w:tc>
          <w:tcPr>
            <w:tcW w:w="2551" w:type="dxa"/>
            <w:vAlign w:val="center"/>
          </w:tcPr>
          <w:p w14:paraId="0F38ADD9">
            <w:pPr>
              <w:pStyle w:val="10"/>
            </w:pPr>
            <w:r>
              <w:t>3</w:t>
            </w:r>
          </w:p>
        </w:tc>
        <w:tc>
          <w:tcPr>
            <w:tcW w:w="2551" w:type="dxa"/>
            <w:vAlign w:val="center"/>
          </w:tcPr>
          <w:p w14:paraId="0BC8A18A">
            <w:pPr>
              <w:pStyle w:val="10"/>
            </w:pPr>
            <w:r>
              <w:t>4</w:t>
            </w:r>
          </w:p>
        </w:tc>
        <w:tc>
          <w:tcPr>
            <w:tcW w:w="2551" w:type="dxa"/>
            <w:vAlign w:val="center"/>
          </w:tcPr>
          <w:p w14:paraId="37264AA0">
            <w:pPr>
              <w:pStyle w:val="10"/>
            </w:pPr>
            <w:r>
              <w:t>5</w:t>
            </w:r>
          </w:p>
        </w:tc>
      </w:tr>
      <w:tr w14:paraId="1B90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3C24">
            <w:pPr>
              <w:pStyle w:val="13"/>
            </w:pPr>
          </w:p>
        </w:tc>
        <w:tc>
          <w:tcPr>
            <w:tcW w:w="1191" w:type="dxa"/>
            <w:vAlign w:val="center"/>
          </w:tcPr>
          <w:p w14:paraId="43F6DFFC">
            <w:pPr>
              <w:pStyle w:val="12"/>
            </w:pPr>
          </w:p>
        </w:tc>
        <w:tc>
          <w:tcPr>
            <w:tcW w:w="4535" w:type="dxa"/>
            <w:vAlign w:val="center"/>
          </w:tcPr>
          <w:p w14:paraId="2E1C8141">
            <w:pPr>
              <w:pStyle w:val="12"/>
            </w:pPr>
          </w:p>
        </w:tc>
        <w:tc>
          <w:tcPr>
            <w:tcW w:w="2551" w:type="dxa"/>
            <w:vAlign w:val="center"/>
          </w:tcPr>
          <w:p w14:paraId="2CD61D5F">
            <w:pPr>
              <w:pStyle w:val="11"/>
            </w:pPr>
          </w:p>
        </w:tc>
        <w:tc>
          <w:tcPr>
            <w:tcW w:w="2551" w:type="dxa"/>
            <w:vAlign w:val="center"/>
          </w:tcPr>
          <w:p w14:paraId="6344EAEB">
            <w:pPr>
              <w:pStyle w:val="11"/>
            </w:pPr>
          </w:p>
        </w:tc>
        <w:tc>
          <w:tcPr>
            <w:tcW w:w="2551" w:type="dxa"/>
            <w:vAlign w:val="center"/>
          </w:tcPr>
          <w:p w14:paraId="2AE96DEB">
            <w:pPr>
              <w:pStyle w:val="11"/>
            </w:pPr>
          </w:p>
        </w:tc>
      </w:tr>
    </w:tbl>
    <w:p w14:paraId="6BF917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2CBE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41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7AF9ED">
            <w:pPr>
              <w:pStyle w:val="9"/>
            </w:pPr>
            <w:r>
              <w:t>360007隆尧县魏家庄中学</w:t>
            </w:r>
          </w:p>
        </w:tc>
        <w:tc>
          <w:tcPr>
            <w:tcW w:w="2381" w:type="dxa"/>
            <w:tcBorders>
              <w:top w:val="single" w:color="FFFFFF" w:sz="6" w:space="0"/>
              <w:left w:val="single" w:color="FFFFFF" w:sz="6" w:space="0"/>
              <w:right w:val="single" w:color="FFFFFF" w:sz="6" w:space="0"/>
            </w:tcBorders>
            <w:vAlign w:val="center"/>
          </w:tcPr>
          <w:p w14:paraId="6FCB503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7F5DF39">
            <w:pPr>
              <w:pStyle w:val="7"/>
            </w:pPr>
            <w:r>
              <w:t>单位：万元</w:t>
            </w:r>
          </w:p>
        </w:tc>
      </w:tr>
      <w:tr w14:paraId="3A640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2084F8">
            <w:pPr>
              <w:pStyle w:val="10"/>
            </w:pPr>
            <w:r>
              <w:t>序号</w:t>
            </w:r>
          </w:p>
        </w:tc>
        <w:tc>
          <w:tcPr>
            <w:tcW w:w="3798" w:type="dxa"/>
            <w:vMerge w:val="restart"/>
            <w:vAlign w:val="center"/>
          </w:tcPr>
          <w:p w14:paraId="7DDF02E5">
            <w:pPr>
              <w:pStyle w:val="10"/>
            </w:pPr>
            <w:r>
              <w:t>项  目</w:t>
            </w:r>
          </w:p>
        </w:tc>
        <w:tc>
          <w:tcPr>
            <w:tcW w:w="9524" w:type="dxa"/>
            <w:gridSpan w:val="4"/>
            <w:vAlign w:val="center"/>
          </w:tcPr>
          <w:p w14:paraId="2FFE524B">
            <w:pPr>
              <w:pStyle w:val="10"/>
            </w:pPr>
            <w:r>
              <w:t>资 金 性 质</w:t>
            </w:r>
          </w:p>
        </w:tc>
      </w:tr>
      <w:tr w14:paraId="35655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8A7574"/>
        </w:tc>
        <w:tc>
          <w:tcPr>
            <w:tcW w:w="3798" w:type="dxa"/>
            <w:vMerge w:val="continue"/>
          </w:tcPr>
          <w:p w14:paraId="2CBE5C80"/>
        </w:tc>
        <w:tc>
          <w:tcPr>
            <w:tcW w:w="2381" w:type="dxa"/>
            <w:vAlign w:val="center"/>
          </w:tcPr>
          <w:p w14:paraId="25DD8E65">
            <w:pPr>
              <w:pStyle w:val="10"/>
            </w:pPr>
            <w:r>
              <w:t>合计</w:t>
            </w:r>
          </w:p>
        </w:tc>
        <w:tc>
          <w:tcPr>
            <w:tcW w:w="2381" w:type="dxa"/>
            <w:vAlign w:val="center"/>
          </w:tcPr>
          <w:p w14:paraId="02BA5EA3">
            <w:pPr>
              <w:pStyle w:val="10"/>
            </w:pPr>
            <w:r>
              <w:t>一般公共预算              财政拨款</w:t>
            </w:r>
          </w:p>
        </w:tc>
        <w:tc>
          <w:tcPr>
            <w:tcW w:w="2381" w:type="dxa"/>
            <w:vAlign w:val="center"/>
          </w:tcPr>
          <w:p w14:paraId="2B200450">
            <w:pPr>
              <w:pStyle w:val="10"/>
            </w:pPr>
            <w:r>
              <w:t>政府性基金                  预算拨款</w:t>
            </w:r>
          </w:p>
        </w:tc>
        <w:tc>
          <w:tcPr>
            <w:tcW w:w="2381" w:type="dxa"/>
            <w:vAlign w:val="center"/>
          </w:tcPr>
          <w:p w14:paraId="6AB75370">
            <w:pPr>
              <w:pStyle w:val="10"/>
            </w:pPr>
            <w:r>
              <w:t>国有资本经营              预算财政拨款</w:t>
            </w:r>
          </w:p>
        </w:tc>
      </w:tr>
      <w:tr w14:paraId="56DC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F903F6">
            <w:pPr>
              <w:pStyle w:val="10"/>
            </w:pPr>
            <w:r>
              <w:t>栏次</w:t>
            </w:r>
          </w:p>
        </w:tc>
        <w:tc>
          <w:tcPr>
            <w:tcW w:w="3798" w:type="dxa"/>
            <w:vAlign w:val="center"/>
          </w:tcPr>
          <w:p w14:paraId="632F18E3">
            <w:pPr>
              <w:pStyle w:val="10"/>
            </w:pPr>
            <w:r>
              <w:t>1</w:t>
            </w:r>
          </w:p>
        </w:tc>
        <w:tc>
          <w:tcPr>
            <w:tcW w:w="2381" w:type="dxa"/>
            <w:vAlign w:val="center"/>
          </w:tcPr>
          <w:p w14:paraId="06D517EA">
            <w:pPr>
              <w:pStyle w:val="10"/>
            </w:pPr>
            <w:r>
              <w:t>2</w:t>
            </w:r>
          </w:p>
        </w:tc>
        <w:tc>
          <w:tcPr>
            <w:tcW w:w="2381" w:type="dxa"/>
            <w:vAlign w:val="center"/>
          </w:tcPr>
          <w:p w14:paraId="5BCC479D">
            <w:pPr>
              <w:pStyle w:val="10"/>
            </w:pPr>
            <w:r>
              <w:t>3</w:t>
            </w:r>
          </w:p>
        </w:tc>
        <w:tc>
          <w:tcPr>
            <w:tcW w:w="2381" w:type="dxa"/>
            <w:vAlign w:val="center"/>
          </w:tcPr>
          <w:p w14:paraId="5A137C07">
            <w:pPr>
              <w:pStyle w:val="10"/>
            </w:pPr>
            <w:r>
              <w:t>4</w:t>
            </w:r>
          </w:p>
        </w:tc>
        <w:tc>
          <w:tcPr>
            <w:tcW w:w="2381" w:type="dxa"/>
            <w:vAlign w:val="center"/>
          </w:tcPr>
          <w:p w14:paraId="236A5145">
            <w:pPr>
              <w:pStyle w:val="10"/>
            </w:pPr>
            <w:r>
              <w:t>5</w:t>
            </w:r>
          </w:p>
        </w:tc>
      </w:tr>
      <w:tr w14:paraId="3E18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B43CC0">
            <w:pPr>
              <w:pStyle w:val="13"/>
            </w:pPr>
          </w:p>
        </w:tc>
        <w:tc>
          <w:tcPr>
            <w:tcW w:w="3798" w:type="dxa"/>
            <w:vAlign w:val="center"/>
          </w:tcPr>
          <w:p w14:paraId="59670732">
            <w:pPr>
              <w:pStyle w:val="12"/>
            </w:pPr>
          </w:p>
        </w:tc>
        <w:tc>
          <w:tcPr>
            <w:tcW w:w="2381" w:type="dxa"/>
            <w:vAlign w:val="center"/>
          </w:tcPr>
          <w:p w14:paraId="76BE9BF4">
            <w:pPr>
              <w:pStyle w:val="11"/>
            </w:pPr>
          </w:p>
        </w:tc>
        <w:tc>
          <w:tcPr>
            <w:tcW w:w="2381" w:type="dxa"/>
            <w:vAlign w:val="center"/>
          </w:tcPr>
          <w:p w14:paraId="6AED1539">
            <w:pPr>
              <w:pStyle w:val="11"/>
            </w:pPr>
          </w:p>
        </w:tc>
        <w:tc>
          <w:tcPr>
            <w:tcW w:w="2381" w:type="dxa"/>
            <w:vAlign w:val="center"/>
          </w:tcPr>
          <w:p w14:paraId="1E4A24B2">
            <w:pPr>
              <w:pStyle w:val="11"/>
            </w:pPr>
          </w:p>
        </w:tc>
        <w:tc>
          <w:tcPr>
            <w:tcW w:w="2381" w:type="dxa"/>
            <w:vAlign w:val="center"/>
          </w:tcPr>
          <w:p w14:paraId="43EEEC18">
            <w:pPr>
              <w:pStyle w:val="11"/>
            </w:pPr>
          </w:p>
        </w:tc>
      </w:tr>
    </w:tbl>
    <w:p w14:paraId="29DB257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B8ED10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隆尧县魏家庄中学2026年单位预算信息公开情况说明</w:t>
      </w:r>
    </w:p>
    <w:p w14:paraId="37A2864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地方预决算公开操作规程》和《关于进一步推进预算公开工作的实施意见》规定，现将隆尧县魏家庄中学2026年单位预算公开如下：</w:t>
      </w:r>
    </w:p>
    <w:p w14:paraId="012A6C4F">
      <w:pPr>
        <w:spacing w:before="10" w:after="10" w:line="240" w:lineRule="auto"/>
        <w:ind w:firstLine="640"/>
        <w:jc w:val="left"/>
        <w:outlineLvl w:val="5"/>
      </w:pPr>
      <w:r>
        <w:rPr>
          <w:rFonts w:ascii="黑体" w:hAnsi="黑体" w:eastAsia="黑体" w:cs="黑体"/>
          <w:color w:val="000000"/>
          <w:sz w:val="32"/>
        </w:rPr>
        <w:t>一、单位职责及机构设置情况</w:t>
      </w:r>
    </w:p>
    <w:p w14:paraId="1695F9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62666FA">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贯彻落实基础教育的方针、政策，开展初中阶段教育教学工作，促进学生德、智、体、美、劳全面发展；负责学生安全教育和管理，确保学生身心健康；加强教师队伍建设和管理，为教育教学工作提供保障。</w:t>
      </w:r>
    </w:p>
    <w:p w14:paraId="0E162C22">
      <w:pPr>
        <w:spacing w:before="0" w:after="0" w:line="500" w:lineRule="exact"/>
        <w:ind w:firstLine="560"/>
        <w:jc w:val="left"/>
        <w:outlineLvl w:val="9"/>
      </w:pPr>
      <w:r>
        <w:rPr>
          <w:rFonts w:hint="eastAsia" w:ascii="Times New Roman" w:hAnsi="Times New Roman" w:eastAsia="方正仿宋_GBK" w:cs="Times New Roman"/>
          <w:b w:val="0"/>
          <w:color w:val="000000"/>
          <w:sz w:val="28"/>
          <w:lang w:val="en-US" w:eastAsia="zh-CN"/>
        </w:rPr>
        <w:t>隆尧县魏家庄中学事业编制55名，校长1名（正股级），副校长3名（副股级）；经费形式为财政性资金基本保证。</w:t>
      </w:r>
    </w:p>
    <w:p w14:paraId="4B8E8A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854DE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82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DD169A">
            <w:pPr>
              <w:pStyle w:val="10"/>
            </w:pPr>
            <w:r>
              <w:t>单位名称</w:t>
            </w:r>
          </w:p>
        </w:tc>
        <w:tc>
          <w:tcPr>
            <w:tcW w:w="1843" w:type="dxa"/>
            <w:vAlign w:val="center"/>
          </w:tcPr>
          <w:p w14:paraId="5B9FE832">
            <w:pPr>
              <w:pStyle w:val="10"/>
            </w:pPr>
            <w:r>
              <w:t>单位性质</w:t>
            </w:r>
          </w:p>
        </w:tc>
        <w:tc>
          <w:tcPr>
            <w:tcW w:w="2126" w:type="dxa"/>
            <w:vAlign w:val="center"/>
          </w:tcPr>
          <w:p w14:paraId="0D68F1D7">
            <w:pPr>
              <w:pStyle w:val="10"/>
            </w:pPr>
            <w:r>
              <w:t>单位规格</w:t>
            </w:r>
          </w:p>
        </w:tc>
        <w:tc>
          <w:tcPr>
            <w:tcW w:w="3827" w:type="dxa"/>
            <w:vAlign w:val="center"/>
          </w:tcPr>
          <w:p w14:paraId="3AF2FAFC">
            <w:pPr>
              <w:pStyle w:val="10"/>
            </w:pPr>
            <w:r>
              <w:t>经费保障形式</w:t>
            </w:r>
          </w:p>
        </w:tc>
      </w:tr>
      <w:tr w14:paraId="36B1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06110F">
            <w:pPr>
              <w:pStyle w:val="12"/>
            </w:pPr>
            <w:r>
              <w:t>隆尧县魏家庄中学</w:t>
            </w:r>
          </w:p>
        </w:tc>
        <w:tc>
          <w:tcPr>
            <w:tcW w:w="1843" w:type="dxa"/>
            <w:vAlign w:val="center"/>
          </w:tcPr>
          <w:p w14:paraId="57E24BCE">
            <w:pPr>
              <w:pStyle w:val="13"/>
            </w:pPr>
            <w:r>
              <w:t>事业</w:t>
            </w:r>
          </w:p>
        </w:tc>
        <w:tc>
          <w:tcPr>
            <w:tcW w:w="2126" w:type="dxa"/>
            <w:vAlign w:val="center"/>
          </w:tcPr>
          <w:p w14:paraId="39C07CF0">
            <w:pPr>
              <w:pStyle w:val="13"/>
            </w:pPr>
            <w:r>
              <w:t>股级</w:t>
            </w:r>
          </w:p>
        </w:tc>
        <w:tc>
          <w:tcPr>
            <w:tcW w:w="3827" w:type="dxa"/>
            <w:vAlign w:val="center"/>
          </w:tcPr>
          <w:p w14:paraId="61D4D8B0">
            <w:pPr>
              <w:pStyle w:val="13"/>
            </w:pPr>
            <w:r>
              <w:t>财政性资金基本保证</w:t>
            </w:r>
          </w:p>
        </w:tc>
      </w:tr>
    </w:tbl>
    <w:p w14:paraId="196E1F4A">
      <w:pPr>
        <w:spacing w:before="10" w:after="10" w:line="240" w:lineRule="auto"/>
        <w:ind w:firstLine="640"/>
        <w:jc w:val="left"/>
        <w:outlineLvl w:val="5"/>
      </w:pPr>
      <w:r>
        <w:rPr>
          <w:rFonts w:ascii="黑体" w:hAnsi="黑体" w:eastAsia="黑体" w:cs="黑体"/>
          <w:color w:val="000000"/>
          <w:sz w:val="32"/>
        </w:rPr>
        <w:t>二、单位预算安排的总体情况</w:t>
      </w:r>
    </w:p>
    <w:p w14:paraId="4767560B">
      <w:pPr>
        <w:pStyle w:val="18"/>
      </w:pPr>
      <w:r>
        <w:t>按照预算管理有关规定，目前我校单位预算的编制实行综合预算管理，即全部收入和支出都反映的预算中。隆尧县魏家庄中学收支包含在单位预算中。</w:t>
      </w:r>
    </w:p>
    <w:p w14:paraId="4B88140F">
      <w:pPr>
        <w:pStyle w:val="18"/>
      </w:pPr>
      <w:r>
        <w:t>1、收入说明</w:t>
      </w:r>
    </w:p>
    <w:p w14:paraId="2F477E7C">
      <w:pPr>
        <w:pStyle w:val="18"/>
      </w:pPr>
      <w:r>
        <w:t>反映本单位当年全部收入。2026年预算收入990.66万元，其中：一般公共预算收入990.66万元，基金预算收入0万元，财政专户管理资金收入0万元，单位资金收入0万元，上年结转结余0万元。</w:t>
      </w:r>
    </w:p>
    <w:p w14:paraId="1A7DAFAB">
      <w:pPr>
        <w:pStyle w:val="18"/>
      </w:pPr>
      <w:r>
        <w:t>2、支出说明</w:t>
      </w:r>
    </w:p>
    <w:p w14:paraId="67F69D1B">
      <w:pPr>
        <w:pStyle w:val="18"/>
      </w:pPr>
      <w:r>
        <w:t>收支预算总表支出栏、基本支出表、项目支出表按经济分类和支出功能分类科目编制，反映隆尧县魏家庄中学年度单位预算中支出预算的总体情况。2026年单位支出预算为990.66万元，其中基本支出852.35万元、项目支出138.31万元。主要为初中教育990.66万元。</w:t>
      </w:r>
    </w:p>
    <w:p w14:paraId="7AFEBA9F">
      <w:pPr>
        <w:pStyle w:val="18"/>
      </w:pPr>
      <w:r>
        <w:t>3、比上年增减情况</w:t>
      </w:r>
    </w:p>
    <w:p w14:paraId="66ADF48F">
      <w:pPr>
        <w:pStyle w:val="18"/>
      </w:pPr>
      <w:r>
        <w:t>2026年部门预算收支安排990.66万元，比上年减少47.16万元。</w:t>
      </w:r>
    </w:p>
    <w:p w14:paraId="4E5B8BC0">
      <w:pPr>
        <w:spacing w:before="10" w:after="10" w:line="240" w:lineRule="auto"/>
        <w:ind w:firstLine="640"/>
        <w:jc w:val="left"/>
        <w:outlineLvl w:val="5"/>
      </w:pPr>
      <w:r>
        <w:rPr>
          <w:rFonts w:ascii="黑体" w:hAnsi="黑体" w:eastAsia="黑体" w:cs="黑体"/>
          <w:color w:val="000000"/>
          <w:sz w:val="32"/>
        </w:rPr>
        <w:t>三、机关运行经费安排情况</w:t>
      </w:r>
    </w:p>
    <w:p w14:paraId="3FD911E6">
      <w:pPr>
        <w:pStyle w:val="19"/>
      </w:pPr>
      <w:r>
        <w:t>2026年我单位无机关运行费用。</w:t>
      </w:r>
    </w:p>
    <w:p w14:paraId="4AD761A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3A71EB6">
      <w:pPr>
        <w:pStyle w:val="20"/>
      </w:pPr>
      <w:r>
        <w:t>2026年，我单位未安排</w:t>
      </w:r>
      <w:r>
        <w:rPr>
          <w:rFonts w:hint="eastAsia"/>
          <w:lang w:eastAsia="zh-CN"/>
        </w:rPr>
        <w:t>“三公”经费</w:t>
      </w:r>
      <w:r>
        <w:t>。</w:t>
      </w:r>
    </w:p>
    <w:p w14:paraId="77FF256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2CCE789">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1、冀财教[2025]121号/中央/2026年义教补助经费/魏家庄中学公用经费绩效目标表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7A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A2509">
            <w:pPr>
              <w:pStyle w:val="11"/>
            </w:pPr>
            <w:r>
              <w:t>单位：万元</w:t>
            </w:r>
          </w:p>
        </w:tc>
      </w:tr>
      <w:tr w14:paraId="06309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6B1F1">
            <w:pPr>
              <w:pStyle w:val="10"/>
            </w:pPr>
            <w:r>
              <w:t>项目编码</w:t>
            </w:r>
          </w:p>
        </w:tc>
        <w:tc>
          <w:tcPr>
            <w:tcW w:w="5103" w:type="dxa"/>
            <w:gridSpan w:val="2"/>
            <w:vAlign w:val="center"/>
          </w:tcPr>
          <w:p w14:paraId="64DCD827">
            <w:pPr>
              <w:pStyle w:val="12"/>
            </w:pPr>
            <w:r>
              <w:t>13052526P00000410248D</w:t>
            </w:r>
          </w:p>
        </w:tc>
        <w:tc>
          <w:tcPr>
            <w:tcW w:w="2835" w:type="dxa"/>
            <w:vAlign w:val="center"/>
          </w:tcPr>
          <w:p w14:paraId="12EE8A7C">
            <w:pPr>
              <w:pStyle w:val="10"/>
            </w:pPr>
            <w:r>
              <w:t>项目名称</w:t>
            </w:r>
          </w:p>
        </w:tc>
        <w:tc>
          <w:tcPr>
            <w:tcW w:w="6095" w:type="dxa"/>
            <w:gridSpan w:val="3"/>
            <w:vAlign w:val="center"/>
          </w:tcPr>
          <w:p w14:paraId="0ADF383C">
            <w:pPr>
              <w:pStyle w:val="12"/>
            </w:pPr>
            <w:r>
              <w:t>冀财教[2025]121号/中央/2026年义教补助经费/魏家庄中学公用经费</w:t>
            </w:r>
          </w:p>
        </w:tc>
      </w:tr>
      <w:tr w14:paraId="1BD5C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1F86A">
            <w:pPr>
              <w:pStyle w:val="10"/>
            </w:pPr>
            <w:r>
              <w:t>预算规模及资金用途</w:t>
            </w:r>
          </w:p>
        </w:tc>
        <w:tc>
          <w:tcPr>
            <w:tcW w:w="2268" w:type="dxa"/>
            <w:vAlign w:val="center"/>
          </w:tcPr>
          <w:p w14:paraId="6E573060">
            <w:pPr>
              <w:pStyle w:val="10"/>
            </w:pPr>
            <w:r>
              <w:t>预算数</w:t>
            </w:r>
          </w:p>
        </w:tc>
        <w:tc>
          <w:tcPr>
            <w:tcW w:w="2835" w:type="dxa"/>
            <w:vAlign w:val="center"/>
          </w:tcPr>
          <w:p w14:paraId="0389871A">
            <w:pPr>
              <w:pStyle w:val="12"/>
            </w:pPr>
            <w:r>
              <w:t>52.43</w:t>
            </w:r>
          </w:p>
        </w:tc>
        <w:tc>
          <w:tcPr>
            <w:tcW w:w="2835" w:type="dxa"/>
            <w:vAlign w:val="center"/>
          </w:tcPr>
          <w:p w14:paraId="2DFEA4D0">
            <w:pPr>
              <w:pStyle w:val="10"/>
            </w:pPr>
            <w:r>
              <w:t>其中：财政    资金</w:t>
            </w:r>
          </w:p>
        </w:tc>
        <w:tc>
          <w:tcPr>
            <w:tcW w:w="2551" w:type="dxa"/>
            <w:vAlign w:val="center"/>
          </w:tcPr>
          <w:p w14:paraId="027ADFFE">
            <w:pPr>
              <w:pStyle w:val="12"/>
            </w:pPr>
            <w:r>
              <w:t>52.43</w:t>
            </w:r>
          </w:p>
        </w:tc>
        <w:tc>
          <w:tcPr>
            <w:tcW w:w="2268" w:type="dxa"/>
            <w:vAlign w:val="center"/>
          </w:tcPr>
          <w:p w14:paraId="0B27A30A">
            <w:pPr>
              <w:pStyle w:val="10"/>
            </w:pPr>
            <w:r>
              <w:t>其他资金</w:t>
            </w:r>
          </w:p>
        </w:tc>
        <w:tc>
          <w:tcPr>
            <w:tcW w:w="1276" w:type="dxa"/>
            <w:vAlign w:val="center"/>
          </w:tcPr>
          <w:p w14:paraId="28F7B557">
            <w:pPr>
              <w:pStyle w:val="12"/>
            </w:pPr>
            <w:r>
              <w:t xml:space="preserve"> </w:t>
            </w:r>
          </w:p>
        </w:tc>
      </w:tr>
      <w:tr w14:paraId="65976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F86DD"/>
        </w:tc>
        <w:tc>
          <w:tcPr>
            <w:tcW w:w="14033" w:type="dxa"/>
            <w:gridSpan w:val="6"/>
            <w:vAlign w:val="center"/>
          </w:tcPr>
          <w:p w14:paraId="2AE08F93">
            <w:pPr>
              <w:pStyle w:val="12"/>
            </w:pPr>
            <w:r>
              <w:t>保障义务教育学校正常运转，完成教育教学活动和其他日常工作任务等方面的费用支出。</w:t>
            </w:r>
          </w:p>
        </w:tc>
      </w:tr>
      <w:tr w14:paraId="33584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B7A6D">
            <w:pPr>
              <w:pStyle w:val="10"/>
            </w:pPr>
            <w:r>
              <w:t>资金支出计划（%）</w:t>
            </w:r>
          </w:p>
        </w:tc>
        <w:tc>
          <w:tcPr>
            <w:tcW w:w="5103" w:type="dxa"/>
            <w:gridSpan w:val="2"/>
            <w:vAlign w:val="center"/>
          </w:tcPr>
          <w:p w14:paraId="0A141337">
            <w:pPr>
              <w:pStyle w:val="10"/>
            </w:pPr>
            <w:r>
              <w:t>3月底</w:t>
            </w:r>
          </w:p>
        </w:tc>
        <w:tc>
          <w:tcPr>
            <w:tcW w:w="2835" w:type="dxa"/>
            <w:vAlign w:val="center"/>
          </w:tcPr>
          <w:p w14:paraId="41658177">
            <w:pPr>
              <w:pStyle w:val="10"/>
            </w:pPr>
            <w:r>
              <w:t>6月底</w:t>
            </w:r>
          </w:p>
        </w:tc>
        <w:tc>
          <w:tcPr>
            <w:tcW w:w="2551" w:type="dxa"/>
            <w:vAlign w:val="center"/>
          </w:tcPr>
          <w:p w14:paraId="61FD4F62">
            <w:pPr>
              <w:pStyle w:val="10"/>
            </w:pPr>
            <w:r>
              <w:t>10月底</w:t>
            </w:r>
          </w:p>
        </w:tc>
        <w:tc>
          <w:tcPr>
            <w:tcW w:w="3544" w:type="dxa"/>
            <w:gridSpan w:val="2"/>
            <w:vAlign w:val="center"/>
          </w:tcPr>
          <w:p w14:paraId="3845AAD6">
            <w:pPr>
              <w:pStyle w:val="10"/>
            </w:pPr>
            <w:r>
              <w:t>12月底</w:t>
            </w:r>
          </w:p>
        </w:tc>
      </w:tr>
      <w:tr w14:paraId="5C5EA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6B813"/>
        </w:tc>
        <w:tc>
          <w:tcPr>
            <w:tcW w:w="5103" w:type="dxa"/>
            <w:gridSpan w:val="2"/>
            <w:vAlign w:val="center"/>
          </w:tcPr>
          <w:p w14:paraId="64B167A1">
            <w:pPr>
              <w:pStyle w:val="13"/>
            </w:pPr>
            <w:r>
              <w:t>25%</w:t>
            </w:r>
          </w:p>
        </w:tc>
        <w:tc>
          <w:tcPr>
            <w:tcW w:w="2835" w:type="dxa"/>
            <w:vAlign w:val="center"/>
          </w:tcPr>
          <w:p w14:paraId="6E7C244B">
            <w:pPr>
              <w:pStyle w:val="13"/>
            </w:pPr>
            <w:r>
              <w:t>50%</w:t>
            </w:r>
          </w:p>
        </w:tc>
        <w:tc>
          <w:tcPr>
            <w:tcW w:w="2551" w:type="dxa"/>
            <w:vAlign w:val="center"/>
          </w:tcPr>
          <w:p w14:paraId="331CA1FD">
            <w:pPr>
              <w:pStyle w:val="13"/>
            </w:pPr>
            <w:r>
              <w:t>75%</w:t>
            </w:r>
          </w:p>
        </w:tc>
        <w:tc>
          <w:tcPr>
            <w:tcW w:w="3544" w:type="dxa"/>
            <w:gridSpan w:val="2"/>
            <w:vAlign w:val="center"/>
          </w:tcPr>
          <w:p w14:paraId="06C5F687">
            <w:pPr>
              <w:pStyle w:val="13"/>
            </w:pPr>
            <w:r>
              <w:t>100%</w:t>
            </w:r>
          </w:p>
        </w:tc>
      </w:tr>
      <w:tr w14:paraId="28100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CAE83">
            <w:pPr>
              <w:pStyle w:val="10"/>
            </w:pPr>
            <w:r>
              <w:t>绩效目标</w:t>
            </w:r>
          </w:p>
        </w:tc>
        <w:tc>
          <w:tcPr>
            <w:tcW w:w="14033" w:type="dxa"/>
            <w:gridSpan w:val="6"/>
            <w:vAlign w:val="center"/>
          </w:tcPr>
          <w:p w14:paraId="1AF7BD32">
            <w:pPr>
              <w:pStyle w:val="12"/>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54068D6E">
            <w:pPr>
              <w:pStyle w:val="12"/>
            </w:pPr>
            <w:r>
              <w:t>2.按规定拨付公用经费资金524300元，资金拨付率达到100%。</w:t>
            </w:r>
          </w:p>
        </w:tc>
      </w:tr>
    </w:tbl>
    <w:p w14:paraId="56783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6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BE34D">
            <w:pPr>
              <w:pStyle w:val="10"/>
            </w:pPr>
            <w:r>
              <w:t>一级指标</w:t>
            </w:r>
          </w:p>
        </w:tc>
        <w:tc>
          <w:tcPr>
            <w:tcW w:w="2268" w:type="dxa"/>
            <w:vAlign w:val="center"/>
          </w:tcPr>
          <w:p w14:paraId="452514C4">
            <w:pPr>
              <w:pStyle w:val="10"/>
            </w:pPr>
            <w:r>
              <w:t>二级指标</w:t>
            </w:r>
          </w:p>
        </w:tc>
        <w:tc>
          <w:tcPr>
            <w:tcW w:w="2835" w:type="dxa"/>
            <w:vAlign w:val="center"/>
          </w:tcPr>
          <w:p w14:paraId="48554CD1">
            <w:pPr>
              <w:pStyle w:val="10"/>
            </w:pPr>
            <w:r>
              <w:t>三级指标</w:t>
            </w:r>
          </w:p>
        </w:tc>
        <w:tc>
          <w:tcPr>
            <w:tcW w:w="5386" w:type="dxa"/>
            <w:vAlign w:val="center"/>
          </w:tcPr>
          <w:p w14:paraId="2FA51700">
            <w:pPr>
              <w:pStyle w:val="10"/>
            </w:pPr>
            <w:r>
              <w:t>绩效指标描述</w:t>
            </w:r>
          </w:p>
        </w:tc>
        <w:tc>
          <w:tcPr>
            <w:tcW w:w="2268" w:type="dxa"/>
            <w:vAlign w:val="center"/>
          </w:tcPr>
          <w:p w14:paraId="247B7BD7">
            <w:pPr>
              <w:pStyle w:val="10"/>
            </w:pPr>
            <w:r>
              <w:t>指标值</w:t>
            </w:r>
          </w:p>
        </w:tc>
        <w:tc>
          <w:tcPr>
            <w:tcW w:w="1276" w:type="dxa"/>
            <w:vAlign w:val="center"/>
          </w:tcPr>
          <w:p w14:paraId="1EA4AC6B">
            <w:pPr>
              <w:pStyle w:val="10"/>
            </w:pPr>
            <w:r>
              <w:t>指标值确定依据</w:t>
            </w:r>
          </w:p>
        </w:tc>
      </w:tr>
      <w:tr w14:paraId="50A5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E125A">
            <w:pPr>
              <w:pStyle w:val="13"/>
            </w:pPr>
            <w:r>
              <w:t>产出指标</w:t>
            </w:r>
          </w:p>
        </w:tc>
        <w:tc>
          <w:tcPr>
            <w:tcW w:w="2268" w:type="dxa"/>
            <w:vAlign w:val="center"/>
          </w:tcPr>
          <w:p w14:paraId="2D566A4F">
            <w:pPr>
              <w:pStyle w:val="12"/>
            </w:pPr>
            <w:r>
              <w:t>数量指标</w:t>
            </w:r>
          </w:p>
        </w:tc>
        <w:tc>
          <w:tcPr>
            <w:tcW w:w="2835" w:type="dxa"/>
            <w:vAlign w:val="center"/>
          </w:tcPr>
          <w:p w14:paraId="13DDF6D8">
            <w:pPr>
              <w:pStyle w:val="12"/>
            </w:pPr>
            <w:r>
              <w:t>适龄在校生</w:t>
            </w:r>
          </w:p>
        </w:tc>
        <w:tc>
          <w:tcPr>
            <w:tcW w:w="5386" w:type="dxa"/>
            <w:vAlign w:val="center"/>
          </w:tcPr>
          <w:p w14:paraId="523F3065">
            <w:pPr>
              <w:pStyle w:val="12"/>
            </w:pPr>
            <w:r>
              <w:t>适龄在校就读学生人数</w:t>
            </w:r>
          </w:p>
        </w:tc>
        <w:tc>
          <w:tcPr>
            <w:tcW w:w="2268" w:type="dxa"/>
            <w:vAlign w:val="center"/>
          </w:tcPr>
          <w:p w14:paraId="32BCBEE8">
            <w:pPr>
              <w:pStyle w:val="12"/>
            </w:pPr>
            <w:r>
              <w:t>542人</w:t>
            </w:r>
          </w:p>
        </w:tc>
        <w:tc>
          <w:tcPr>
            <w:tcW w:w="1276" w:type="dxa"/>
            <w:vAlign w:val="center"/>
          </w:tcPr>
          <w:p w14:paraId="403F8F87">
            <w:pPr>
              <w:pStyle w:val="12"/>
            </w:pPr>
            <w:r>
              <w:t>年度工作计划</w:t>
            </w:r>
          </w:p>
        </w:tc>
      </w:tr>
      <w:tr w14:paraId="5540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C5B2D"/>
        </w:tc>
        <w:tc>
          <w:tcPr>
            <w:tcW w:w="2268" w:type="dxa"/>
            <w:vAlign w:val="center"/>
          </w:tcPr>
          <w:p w14:paraId="51C6A1DE">
            <w:pPr>
              <w:pStyle w:val="12"/>
            </w:pPr>
            <w:r>
              <w:t>质量指标</w:t>
            </w:r>
          </w:p>
        </w:tc>
        <w:tc>
          <w:tcPr>
            <w:tcW w:w="2835" w:type="dxa"/>
            <w:vAlign w:val="center"/>
          </w:tcPr>
          <w:p w14:paraId="659EDFC2">
            <w:pPr>
              <w:pStyle w:val="12"/>
            </w:pPr>
            <w:r>
              <w:t>公用经费拨付完成率</w:t>
            </w:r>
          </w:p>
        </w:tc>
        <w:tc>
          <w:tcPr>
            <w:tcW w:w="5386" w:type="dxa"/>
            <w:vAlign w:val="center"/>
          </w:tcPr>
          <w:p w14:paraId="728B6B36">
            <w:pPr>
              <w:pStyle w:val="12"/>
            </w:pPr>
            <w:r>
              <w:t>公用经费拨付完成率达到需时进度</w:t>
            </w:r>
          </w:p>
        </w:tc>
        <w:tc>
          <w:tcPr>
            <w:tcW w:w="2268" w:type="dxa"/>
            <w:vAlign w:val="center"/>
          </w:tcPr>
          <w:p w14:paraId="1965A4FB">
            <w:pPr>
              <w:pStyle w:val="12"/>
            </w:pPr>
            <w:r>
              <w:t>100%</w:t>
            </w:r>
          </w:p>
        </w:tc>
        <w:tc>
          <w:tcPr>
            <w:tcW w:w="1276" w:type="dxa"/>
            <w:vAlign w:val="center"/>
          </w:tcPr>
          <w:p w14:paraId="70B88CF7">
            <w:pPr>
              <w:pStyle w:val="12"/>
            </w:pPr>
            <w:r>
              <w:t>年度工作计划</w:t>
            </w:r>
          </w:p>
        </w:tc>
      </w:tr>
      <w:tr w14:paraId="4266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FE9FD"/>
        </w:tc>
        <w:tc>
          <w:tcPr>
            <w:tcW w:w="2268" w:type="dxa"/>
            <w:vAlign w:val="center"/>
          </w:tcPr>
          <w:p w14:paraId="5346684E">
            <w:pPr>
              <w:pStyle w:val="12"/>
            </w:pPr>
            <w:r>
              <w:t>时效指标</w:t>
            </w:r>
          </w:p>
        </w:tc>
        <w:tc>
          <w:tcPr>
            <w:tcW w:w="2835" w:type="dxa"/>
            <w:vAlign w:val="center"/>
          </w:tcPr>
          <w:p w14:paraId="38DC122A">
            <w:pPr>
              <w:pStyle w:val="12"/>
            </w:pPr>
            <w:r>
              <w:t>义教经费支付完成率</w:t>
            </w:r>
          </w:p>
        </w:tc>
        <w:tc>
          <w:tcPr>
            <w:tcW w:w="5386" w:type="dxa"/>
            <w:vAlign w:val="center"/>
          </w:tcPr>
          <w:p w14:paraId="0046C77B">
            <w:pPr>
              <w:pStyle w:val="12"/>
            </w:pPr>
            <w:r>
              <w:t>按照序时进度完成资金支付</w:t>
            </w:r>
          </w:p>
        </w:tc>
        <w:tc>
          <w:tcPr>
            <w:tcW w:w="2268" w:type="dxa"/>
            <w:vAlign w:val="center"/>
          </w:tcPr>
          <w:p w14:paraId="5193E51E">
            <w:pPr>
              <w:pStyle w:val="12"/>
            </w:pPr>
            <w:r>
              <w:t>100%</w:t>
            </w:r>
          </w:p>
        </w:tc>
        <w:tc>
          <w:tcPr>
            <w:tcW w:w="1276" w:type="dxa"/>
            <w:vAlign w:val="center"/>
          </w:tcPr>
          <w:p w14:paraId="6058D03E">
            <w:pPr>
              <w:pStyle w:val="12"/>
            </w:pPr>
            <w:r>
              <w:t>年度工作计划</w:t>
            </w:r>
          </w:p>
        </w:tc>
      </w:tr>
      <w:tr w14:paraId="4E92E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A8FF2"/>
        </w:tc>
        <w:tc>
          <w:tcPr>
            <w:tcW w:w="2268" w:type="dxa"/>
            <w:vAlign w:val="center"/>
          </w:tcPr>
          <w:p w14:paraId="651BE00A">
            <w:pPr>
              <w:pStyle w:val="12"/>
            </w:pPr>
            <w:r>
              <w:t>成本指标</w:t>
            </w:r>
          </w:p>
        </w:tc>
        <w:tc>
          <w:tcPr>
            <w:tcW w:w="2835" w:type="dxa"/>
            <w:vAlign w:val="center"/>
          </w:tcPr>
          <w:p w14:paraId="61824B03">
            <w:pPr>
              <w:pStyle w:val="12"/>
            </w:pPr>
            <w:r>
              <w:t>生均拨款标准</w:t>
            </w:r>
          </w:p>
        </w:tc>
        <w:tc>
          <w:tcPr>
            <w:tcW w:w="5386" w:type="dxa"/>
            <w:vAlign w:val="center"/>
          </w:tcPr>
          <w:p w14:paraId="02F21B50">
            <w:pPr>
              <w:pStyle w:val="12"/>
            </w:pPr>
            <w:r>
              <w:t>初中：（基本标准940元、寄宿生300元、取暖费120元）/生/学年；随班就读学生：标准7000元/生/学年）</w:t>
            </w:r>
          </w:p>
        </w:tc>
        <w:tc>
          <w:tcPr>
            <w:tcW w:w="2268" w:type="dxa"/>
            <w:vAlign w:val="center"/>
          </w:tcPr>
          <w:p w14:paraId="417017CC">
            <w:pPr>
              <w:pStyle w:val="12"/>
            </w:pPr>
            <w:r>
              <w:t>1360元</w:t>
            </w:r>
          </w:p>
        </w:tc>
        <w:tc>
          <w:tcPr>
            <w:tcW w:w="1276" w:type="dxa"/>
            <w:vAlign w:val="center"/>
          </w:tcPr>
          <w:p w14:paraId="0FD9FF3F">
            <w:pPr>
              <w:pStyle w:val="12"/>
            </w:pPr>
            <w:r>
              <w:t>年度工作计划</w:t>
            </w:r>
          </w:p>
        </w:tc>
      </w:tr>
      <w:tr w14:paraId="3013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3CEAF">
            <w:pPr>
              <w:pStyle w:val="13"/>
            </w:pPr>
            <w:r>
              <w:t>效益指标</w:t>
            </w:r>
          </w:p>
        </w:tc>
        <w:tc>
          <w:tcPr>
            <w:tcW w:w="2268" w:type="dxa"/>
            <w:vAlign w:val="center"/>
          </w:tcPr>
          <w:p w14:paraId="7FD99B9F">
            <w:pPr>
              <w:pStyle w:val="12"/>
            </w:pPr>
            <w:r>
              <w:t>社会效益指标</w:t>
            </w:r>
          </w:p>
        </w:tc>
        <w:tc>
          <w:tcPr>
            <w:tcW w:w="2835" w:type="dxa"/>
            <w:vAlign w:val="center"/>
          </w:tcPr>
          <w:p w14:paraId="1B92339C">
            <w:pPr>
              <w:pStyle w:val="12"/>
            </w:pPr>
            <w:r>
              <w:t>学校稳定率</w:t>
            </w:r>
          </w:p>
        </w:tc>
        <w:tc>
          <w:tcPr>
            <w:tcW w:w="5386" w:type="dxa"/>
            <w:vAlign w:val="center"/>
          </w:tcPr>
          <w:p w14:paraId="4C197A17">
            <w:pPr>
              <w:pStyle w:val="12"/>
            </w:pPr>
            <w:r>
              <w:t>维护学校稳定，保障学生就读巩固率</w:t>
            </w:r>
          </w:p>
        </w:tc>
        <w:tc>
          <w:tcPr>
            <w:tcW w:w="2268" w:type="dxa"/>
            <w:vAlign w:val="center"/>
          </w:tcPr>
          <w:p w14:paraId="0A6DAE47">
            <w:pPr>
              <w:pStyle w:val="12"/>
            </w:pPr>
            <w:r>
              <w:t>100%</w:t>
            </w:r>
          </w:p>
        </w:tc>
        <w:tc>
          <w:tcPr>
            <w:tcW w:w="1276" w:type="dxa"/>
            <w:vAlign w:val="center"/>
          </w:tcPr>
          <w:p w14:paraId="1EB0FAD1">
            <w:pPr>
              <w:pStyle w:val="12"/>
            </w:pPr>
            <w:r>
              <w:t>年度工作计划</w:t>
            </w:r>
          </w:p>
        </w:tc>
      </w:tr>
      <w:tr w14:paraId="7F34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EA39D"/>
        </w:tc>
        <w:tc>
          <w:tcPr>
            <w:tcW w:w="2268" w:type="dxa"/>
            <w:vAlign w:val="center"/>
          </w:tcPr>
          <w:p w14:paraId="533D0E21">
            <w:pPr>
              <w:pStyle w:val="12"/>
            </w:pPr>
            <w:r>
              <w:t>可持续影响指标</w:t>
            </w:r>
          </w:p>
        </w:tc>
        <w:tc>
          <w:tcPr>
            <w:tcW w:w="2835" w:type="dxa"/>
            <w:vAlign w:val="center"/>
          </w:tcPr>
          <w:p w14:paraId="01401FBA">
            <w:pPr>
              <w:pStyle w:val="12"/>
            </w:pPr>
            <w:r>
              <w:t>学校日常运转正常</w:t>
            </w:r>
          </w:p>
        </w:tc>
        <w:tc>
          <w:tcPr>
            <w:tcW w:w="5386" w:type="dxa"/>
            <w:vAlign w:val="center"/>
          </w:tcPr>
          <w:p w14:paraId="4CB0E0CA">
            <w:pPr>
              <w:pStyle w:val="12"/>
            </w:pPr>
            <w:r>
              <w:t>学生受教育年限</w:t>
            </w:r>
          </w:p>
        </w:tc>
        <w:tc>
          <w:tcPr>
            <w:tcW w:w="2268" w:type="dxa"/>
            <w:vAlign w:val="center"/>
          </w:tcPr>
          <w:p w14:paraId="70DEE90F">
            <w:pPr>
              <w:pStyle w:val="12"/>
            </w:pPr>
            <w:r>
              <w:t>3年</w:t>
            </w:r>
          </w:p>
        </w:tc>
        <w:tc>
          <w:tcPr>
            <w:tcW w:w="1276" w:type="dxa"/>
            <w:vAlign w:val="center"/>
          </w:tcPr>
          <w:p w14:paraId="6D9D985F">
            <w:pPr>
              <w:pStyle w:val="12"/>
            </w:pPr>
            <w:r>
              <w:t>年度工作计划</w:t>
            </w:r>
          </w:p>
        </w:tc>
      </w:tr>
      <w:tr w14:paraId="506FC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10A2D">
            <w:pPr>
              <w:pStyle w:val="13"/>
            </w:pPr>
            <w:r>
              <w:t>满意度指标</w:t>
            </w:r>
          </w:p>
        </w:tc>
        <w:tc>
          <w:tcPr>
            <w:tcW w:w="2268" w:type="dxa"/>
            <w:vAlign w:val="center"/>
          </w:tcPr>
          <w:p w14:paraId="4787E29D">
            <w:pPr>
              <w:pStyle w:val="12"/>
            </w:pPr>
            <w:r>
              <w:t>服务对象满意度指标</w:t>
            </w:r>
          </w:p>
        </w:tc>
        <w:tc>
          <w:tcPr>
            <w:tcW w:w="2835" w:type="dxa"/>
            <w:vAlign w:val="center"/>
          </w:tcPr>
          <w:p w14:paraId="60D487C2">
            <w:pPr>
              <w:pStyle w:val="12"/>
            </w:pPr>
            <w:r>
              <w:t>服务对象满意度</w:t>
            </w:r>
          </w:p>
        </w:tc>
        <w:tc>
          <w:tcPr>
            <w:tcW w:w="5386" w:type="dxa"/>
            <w:vAlign w:val="center"/>
          </w:tcPr>
          <w:p w14:paraId="381E09A5">
            <w:pPr>
              <w:pStyle w:val="12"/>
            </w:pPr>
            <w:r>
              <w:t>学校老师和学生满意度</w:t>
            </w:r>
          </w:p>
        </w:tc>
        <w:tc>
          <w:tcPr>
            <w:tcW w:w="2268" w:type="dxa"/>
            <w:vAlign w:val="center"/>
          </w:tcPr>
          <w:p w14:paraId="25505E62">
            <w:pPr>
              <w:pStyle w:val="12"/>
            </w:pPr>
            <w:r>
              <w:t>≥98%</w:t>
            </w:r>
          </w:p>
        </w:tc>
        <w:tc>
          <w:tcPr>
            <w:tcW w:w="1276" w:type="dxa"/>
            <w:vAlign w:val="center"/>
          </w:tcPr>
          <w:p w14:paraId="611C1510">
            <w:pPr>
              <w:pStyle w:val="12"/>
            </w:pPr>
            <w:r>
              <w:t>调查问卷</w:t>
            </w:r>
          </w:p>
        </w:tc>
      </w:tr>
    </w:tbl>
    <w:p w14:paraId="10984220">
      <w:pPr>
        <w:sectPr>
          <w:pgSz w:w="16840" w:h="11900" w:orient="landscape"/>
          <w:pgMar w:top="1361" w:right="1020" w:bottom="1134" w:left="1020" w:header="720" w:footer="720" w:gutter="0"/>
          <w:cols w:space="720" w:num="1"/>
        </w:sectPr>
      </w:pPr>
    </w:p>
    <w:p w14:paraId="381931E3">
      <w:pPr>
        <w:spacing w:before="0" w:after="0"/>
        <w:ind w:firstLine="560"/>
        <w:jc w:val="left"/>
        <w:outlineLvl w:val="9"/>
      </w:pPr>
      <w:r>
        <w:rPr>
          <w:rFonts w:ascii="方正仿宋_GBK" w:hAnsi="方正仿宋_GBK" w:eastAsia="方正仿宋_GBK" w:cs="方正仿宋_GBK"/>
          <w:b/>
          <w:color w:val="000000"/>
          <w:sz w:val="28"/>
        </w:rPr>
        <w:t>2、冀财教[2025]121号/中央/义教/2026年校舍安全/魏家庄中学校舍维修改造绩效目标表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3D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85D75">
            <w:pPr>
              <w:pStyle w:val="11"/>
            </w:pPr>
            <w:r>
              <w:t>单位：万元</w:t>
            </w:r>
          </w:p>
        </w:tc>
      </w:tr>
      <w:tr w14:paraId="1B70C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C5F59">
            <w:pPr>
              <w:pStyle w:val="10"/>
            </w:pPr>
            <w:r>
              <w:t>项目编码</w:t>
            </w:r>
          </w:p>
        </w:tc>
        <w:tc>
          <w:tcPr>
            <w:tcW w:w="5103" w:type="dxa"/>
            <w:gridSpan w:val="2"/>
            <w:vAlign w:val="center"/>
          </w:tcPr>
          <w:p w14:paraId="6B37E760">
            <w:pPr>
              <w:pStyle w:val="12"/>
            </w:pPr>
            <w:r>
              <w:t>13052526P008762100710</w:t>
            </w:r>
          </w:p>
        </w:tc>
        <w:tc>
          <w:tcPr>
            <w:tcW w:w="2835" w:type="dxa"/>
            <w:vAlign w:val="center"/>
          </w:tcPr>
          <w:p w14:paraId="5D0A0D70">
            <w:pPr>
              <w:pStyle w:val="10"/>
            </w:pPr>
            <w:r>
              <w:t>项目名称</w:t>
            </w:r>
          </w:p>
        </w:tc>
        <w:tc>
          <w:tcPr>
            <w:tcW w:w="6095" w:type="dxa"/>
            <w:gridSpan w:val="3"/>
            <w:vAlign w:val="center"/>
          </w:tcPr>
          <w:p w14:paraId="48E102DE">
            <w:pPr>
              <w:pStyle w:val="12"/>
            </w:pPr>
            <w:r>
              <w:t>冀财教[2025]121号/中央/义教/2026年校舍安全/魏家庄中学校舍维修改造</w:t>
            </w:r>
          </w:p>
        </w:tc>
      </w:tr>
      <w:tr w14:paraId="06E3E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52237">
            <w:pPr>
              <w:pStyle w:val="10"/>
            </w:pPr>
            <w:r>
              <w:t>预算规模及资金用途</w:t>
            </w:r>
          </w:p>
        </w:tc>
        <w:tc>
          <w:tcPr>
            <w:tcW w:w="2268" w:type="dxa"/>
            <w:vAlign w:val="center"/>
          </w:tcPr>
          <w:p w14:paraId="2662BAD8">
            <w:pPr>
              <w:pStyle w:val="10"/>
            </w:pPr>
            <w:r>
              <w:t>预算数</w:t>
            </w:r>
          </w:p>
        </w:tc>
        <w:tc>
          <w:tcPr>
            <w:tcW w:w="2835" w:type="dxa"/>
            <w:vAlign w:val="center"/>
          </w:tcPr>
          <w:p w14:paraId="532A6CF0">
            <w:pPr>
              <w:pStyle w:val="12"/>
            </w:pPr>
            <w:r>
              <w:t>41.60</w:t>
            </w:r>
          </w:p>
        </w:tc>
        <w:tc>
          <w:tcPr>
            <w:tcW w:w="2835" w:type="dxa"/>
            <w:vAlign w:val="center"/>
          </w:tcPr>
          <w:p w14:paraId="430D8002">
            <w:pPr>
              <w:pStyle w:val="10"/>
            </w:pPr>
            <w:r>
              <w:t>其中：财政    资金</w:t>
            </w:r>
          </w:p>
        </w:tc>
        <w:tc>
          <w:tcPr>
            <w:tcW w:w="2551" w:type="dxa"/>
            <w:vAlign w:val="center"/>
          </w:tcPr>
          <w:p w14:paraId="1ECC6BD9">
            <w:pPr>
              <w:pStyle w:val="12"/>
            </w:pPr>
            <w:r>
              <w:t>41.60</w:t>
            </w:r>
          </w:p>
        </w:tc>
        <w:tc>
          <w:tcPr>
            <w:tcW w:w="2268" w:type="dxa"/>
            <w:vAlign w:val="center"/>
          </w:tcPr>
          <w:p w14:paraId="2741AB37">
            <w:pPr>
              <w:pStyle w:val="10"/>
            </w:pPr>
            <w:r>
              <w:t>其他资金</w:t>
            </w:r>
          </w:p>
        </w:tc>
        <w:tc>
          <w:tcPr>
            <w:tcW w:w="1276" w:type="dxa"/>
            <w:vAlign w:val="center"/>
          </w:tcPr>
          <w:p w14:paraId="13BA5996">
            <w:pPr>
              <w:pStyle w:val="12"/>
            </w:pPr>
            <w:r>
              <w:t xml:space="preserve"> </w:t>
            </w:r>
          </w:p>
        </w:tc>
      </w:tr>
      <w:tr w14:paraId="647C6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49F22"/>
        </w:tc>
        <w:tc>
          <w:tcPr>
            <w:tcW w:w="14033" w:type="dxa"/>
            <w:gridSpan w:val="6"/>
            <w:vAlign w:val="center"/>
          </w:tcPr>
          <w:p w14:paraId="73D54D68">
            <w:pPr>
              <w:pStyle w:val="12"/>
            </w:pPr>
            <w:r>
              <w:t>改善就学条件，提升学校形象，保障义务教育阶段教学安全，改善师生教学环境，创造良好的校园环境。</w:t>
            </w:r>
            <w:r>
              <w:tab/>
            </w:r>
          </w:p>
        </w:tc>
      </w:tr>
      <w:tr w14:paraId="19BE6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BF7CE">
            <w:pPr>
              <w:pStyle w:val="10"/>
            </w:pPr>
            <w:r>
              <w:t>资金支出计划（%）</w:t>
            </w:r>
          </w:p>
        </w:tc>
        <w:tc>
          <w:tcPr>
            <w:tcW w:w="5103" w:type="dxa"/>
            <w:gridSpan w:val="2"/>
            <w:vAlign w:val="center"/>
          </w:tcPr>
          <w:p w14:paraId="6C4ECB2B">
            <w:pPr>
              <w:pStyle w:val="10"/>
            </w:pPr>
            <w:r>
              <w:t>3月底</w:t>
            </w:r>
          </w:p>
        </w:tc>
        <w:tc>
          <w:tcPr>
            <w:tcW w:w="2835" w:type="dxa"/>
            <w:vAlign w:val="center"/>
          </w:tcPr>
          <w:p w14:paraId="3935218B">
            <w:pPr>
              <w:pStyle w:val="10"/>
            </w:pPr>
            <w:r>
              <w:t>6月底</w:t>
            </w:r>
          </w:p>
        </w:tc>
        <w:tc>
          <w:tcPr>
            <w:tcW w:w="2551" w:type="dxa"/>
            <w:vAlign w:val="center"/>
          </w:tcPr>
          <w:p w14:paraId="43C7C419">
            <w:pPr>
              <w:pStyle w:val="10"/>
            </w:pPr>
            <w:r>
              <w:t>10月底</w:t>
            </w:r>
          </w:p>
        </w:tc>
        <w:tc>
          <w:tcPr>
            <w:tcW w:w="3544" w:type="dxa"/>
            <w:gridSpan w:val="2"/>
            <w:vAlign w:val="center"/>
          </w:tcPr>
          <w:p w14:paraId="1127FDB6">
            <w:pPr>
              <w:pStyle w:val="10"/>
            </w:pPr>
            <w:r>
              <w:t>12月底</w:t>
            </w:r>
          </w:p>
        </w:tc>
      </w:tr>
      <w:tr w14:paraId="2CB5A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63A60"/>
        </w:tc>
        <w:tc>
          <w:tcPr>
            <w:tcW w:w="5103" w:type="dxa"/>
            <w:gridSpan w:val="2"/>
            <w:vAlign w:val="center"/>
          </w:tcPr>
          <w:p w14:paraId="4E0475F3">
            <w:pPr>
              <w:pStyle w:val="13"/>
            </w:pPr>
            <w:r>
              <w:t>25%</w:t>
            </w:r>
          </w:p>
        </w:tc>
        <w:tc>
          <w:tcPr>
            <w:tcW w:w="2835" w:type="dxa"/>
            <w:vAlign w:val="center"/>
          </w:tcPr>
          <w:p w14:paraId="7C8419DE">
            <w:pPr>
              <w:pStyle w:val="13"/>
            </w:pPr>
            <w:r>
              <w:t>50%</w:t>
            </w:r>
          </w:p>
        </w:tc>
        <w:tc>
          <w:tcPr>
            <w:tcW w:w="2551" w:type="dxa"/>
            <w:vAlign w:val="center"/>
          </w:tcPr>
          <w:p w14:paraId="0815BCB4">
            <w:pPr>
              <w:pStyle w:val="13"/>
            </w:pPr>
            <w:r>
              <w:t>75%</w:t>
            </w:r>
          </w:p>
        </w:tc>
        <w:tc>
          <w:tcPr>
            <w:tcW w:w="3544" w:type="dxa"/>
            <w:gridSpan w:val="2"/>
            <w:vAlign w:val="center"/>
          </w:tcPr>
          <w:p w14:paraId="00367675">
            <w:pPr>
              <w:pStyle w:val="13"/>
            </w:pPr>
            <w:r>
              <w:t>100%</w:t>
            </w:r>
          </w:p>
        </w:tc>
      </w:tr>
      <w:tr w14:paraId="75081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42BF9">
            <w:pPr>
              <w:pStyle w:val="10"/>
            </w:pPr>
            <w:r>
              <w:t>绩效目标</w:t>
            </w:r>
          </w:p>
        </w:tc>
        <w:tc>
          <w:tcPr>
            <w:tcW w:w="14033" w:type="dxa"/>
            <w:gridSpan w:val="6"/>
            <w:vAlign w:val="center"/>
          </w:tcPr>
          <w:p w14:paraId="3D4D876E">
            <w:pPr>
              <w:pStyle w:val="12"/>
            </w:pPr>
            <w:r>
              <w:t>1.改善就学条件，提升学校形象，保障义务教育阶段教学安全，改善师生教学环境，创造良好的校园环境。</w:t>
            </w:r>
            <w:r>
              <w:tab/>
            </w:r>
            <w:r>
              <w:tab/>
            </w:r>
            <w:r>
              <w:tab/>
            </w:r>
          </w:p>
          <w:p w14:paraId="678E97CC">
            <w:pPr>
              <w:pStyle w:val="12"/>
            </w:pPr>
          </w:p>
          <w:p w14:paraId="5FDCD863">
            <w:pPr>
              <w:pStyle w:val="12"/>
            </w:pPr>
            <w:r>
              <w:t>2.项目需资金41.6万元，资金拨付率达到100%。</w:t>
            </w:r>
          </w:p>
        </w:tc>
      </w:tr>
    </w:tbl>
    <w:p w14:paraId="7E4D7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2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E1F50">
            <w:pPr>
              <w:pStyle w:val="10"/>
            </w:pPr>
            <w:r>
              <w:t>一级指标</w:t>
            </w:r>
          </w:p>
        </w:tc>
        <w:tc>
          <w:tcPr>
            <w:tcW w:w="2268" w:type="dxa"/>
            <w:vAlign w:val="center"/>
          </w:tcPr>
          <w:p w14:paraId="405AC22F">
            <w:pPr>
              <w:pStyle w:val="10"/>
            </w:pPr>
            <w:r>
              <w:t>二级指标</w:t>
            </w:r>
          </w:p>
        </w:tc>
        <w:tc>
          <w:tcPr>
            <w:tcW w:w="2835" w:type="dxa"/>
            <w:vAlign w:val="center"/>
          </w:tcPr>
          <w:p w14:paraId="71FCB1BD">
            <w:pPr>
              <w:pStyle w:val="10"/>
            </w:pPr>
            <w:r>
              <w:t>三级指标</w:t>
            </w:r>
          </w:p>
        </w:tc>
        <w:tc>
          <w:tcPr>
            <w:tcW w:w="5386" w:type="dxa"/>
            <w:vAlign w:val="center"/>
          </w:tcPr>
          <w:p w14:paraId="42F2E36F">
            <w:pPr>
              <w:pStyle w:val="10"/>
            </w:pPr>
            <w:r>
              <w:t>绩效指标描述</w:t>
            </w:r>
          </w:p>
        </w:tc>
        <w:tc>
          <w:tcPr>
            <w:tcW w:w="2268" w:type="dxa"/>
            <w:vAlign w:val="center"/>
          </w:tcPr>
          <w:p w14:paraId="76EFEBDE">
            <w:pPr>
              <w:pStyle w:val="10"/>
            </w:pPr>
            <w:r>
              <w:t>指标值</w:t>
            </w:r>
          </w:p>
        </w:tc>
        <w:tc>
          <w:tcPr>
            <w:tcW w:w="1276" w:type="dxa"/>
            <w:vAlign w:val="center"/>
          </w:tcPr>
          <w:p w14:paraId="4494C746">
            <w:pPr>
              <w:pStyle w:val="10"/>
            </w:pPr>
            <w:r>
              <w:t>指标值确定依据</w:t>
            </w:r>
          </w:p>
        </w:tc>
      </w:tr>
      <w:tr w14:paraId="0A56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515C1">
            <w:pPr>
              <w:pStyle w:val="13"/>
            </w:pPr>
            <w:r>
              <w:t>产出指标</w:t>
            </w:r>
          </w:p>
        </w:tc>
        <w:tc>
          <w:tcPr>
            <w:tcW w:w="2268" w:type="dxa"/>
            <w:vAlign w:val="center"/>
          </w:tcPr>
          <w:p w14:paraId="282B2548">
            <w:pPr>
              <w:pStyle w:val="12"/>
            </w:pPr>
            <w:r>
              <w:t>数量指标</w:t>
            </w:r>
          </w:p>
        </w:tc>
        <w:tc>
          <w:tcPr>
            <w:tcW w:w="2835" w:type="dxa"/>
            <w:vAlign w:val="center"/>
          </w:tcPr>
          <w:p w14:paraId="791F80F9">
            <w:pPr>
              <w:pStyle w:val="12"/>
            </w:pPr>
            <w:r>
              <w:t>改造校舍数量</w:t>
            </w:r>
          </w:p>
        </w:tc>
        <w:tc>
          <w:tcPr>
            <w:tcW w:w="5386" w:type="dxa"/>
            <w:vAlign w:val="center"/>
          </w:tcPr>
          <w:p w14:paraId="04A189CE">
            <w:pPr>
              <w:pStyle w:val="12"/>
            </w:pPr>
            <w:r>
              <w:t>改造校舍数量</w:t>
            </w:r>
          </w:p>
        </w:tc>
        <w:tc>
          <w:tcPr>
            <w:tcW w:w="2268" w:type="dxa"/>
            <w:vAlign w:val="center"/>
          </w:tcPr>
          <w:p w14:paraId="5D53D75C">
            <w:pPr>
              <w:pStyle w:val="12"/>
            </w:pPr>
            <w:r>
              <w:t>1项</w:t>
            </w:r>
          </w:p>
        </w:tc>
        <w:tc>
          <w:tcPr>
            <w:tcW w:w="1276" w:type="dxa"/>
            <w:vAlign w:val="center"/>
          </w:tcPr>
          <w:p w14:paraId="0D544E0A">
            <w:pPr>
              <w:pStyle w:val="12"/>
            </w:pPr>
            <w:r>
              <w:t>城乡义务教育公共经费</w:t>
            </w:r>
          </w:p>
        </w:tc>
      </w:tr>
      <w:tr w14:paraId="75E2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3409F"/>
        </w:tc>
        <w:tc>
          <w:tcPr>
            <w:tcW w:w="2268" w:type="dxa"/>
            <w:vAlign w:val="center"/>
          </w:tcPr>
          <w:p w14:paraId="5254DF21">
            <w:pPr>
              <w:pStyle w:val="12"/>
            </w:pPr>
            <w:r>
              <w:t>质量指标</w:t>
            </w:r>
          </w:p>
        </w:tc>
        <w:tc>
          <w:tcPr>
            <w:tcW w:w="2835" w:type="dxa"/>
            <w:vAlign w:val="center"/>
          </w:tcPr>
          <w:p w14:paraId="13A89046">
            <w:pPr>
              <w:pStyle w:val="12"/>
            </w:pPr>
            <w:r>
              <w:t>工程实施验收合格率</w:t>
            </w:r>
          </w:p>
        </w:tc>
        <w:tc>
          <w:tcPr>
            <w:tcW w:w="5386" w:type="dxa"/>
            <w:vAlign w:val="center"/>
          </w:tcPr>
          <w:p w14:paraId="1F596DDD">
            <w:pPr>
              <w:pStyle w:val="12"/>
            </w:pPr>
            <w:r>
              <w:t>申报程序的合规，项目实施及资金使用符合项目规划</w:t>
            </w:r>
          </w:p>
        </w:tc>
        <w:tc>
          <w:tcPr>
            <w:tcW w:w="2268" w:type="dxa"/>
            <w:vAlign w:val="center"/>
          </w:tcPr>
          <w:p w14:paraId="6F3AE6A6">
            <w:pPr>
              <w:pStyle w:val="12"/>
            </w:pPr>
            <w:r>
              <w:t>100%</w:t>
            </w:r>
          </w:p>
        </w:tc>
        <w:tc>
          <w:tcPr>
            <w:tcW w:w="1276" w:type="dxa"/>
            <w:vAlign w:val="center"/>
          </w:tcPr>
          <w:p w14:paraId="16EDA27A">
            <w:pPr>
              <w:pStyle w:val="12"/>
            </w:pPr>
            <w:r>
              <w:t>城乡义务教育公共经费</w:t>
            </w:r>
          </w:p>
        </w:tc>
      </w:tr>
      <w:tr w14:paraId="4667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78094"/>
        </w:tc>
        <w:tc>
          <w:tcPr>
            <w:tcW w:w="2268" w:type="dxa"/>
            <w:vAlign w:val="center"/>
          </w:tcPr>
          <w:p w14:paraId="6C1D7794">
            <w:pPr>
              <w:pStyle w:val="12"/>
            </w:pPr>
            <w:r>
              <w:t>时效指标</w:t>
            </w:r>
          </w:p>
        </w:tc>
        <w:tc>
          <w:tcPr>
            <w:tcW w:w="2835" w:type="dxa"/>
            <w:vAlign w:val="center"/>
          </w:tcPr>
          <w:p w14:paraId="14985883">
            <w:pPr>
              <w:pStyle w:val="12"/>
            </w:pPr>
            <w:r>
              <w:t>资金支付率</w:t>
            </w:r>
          </w:p>
        </w:tc>
        <w:tc>
          <w:tcPr>
            <w:tcW w:w="5386" w:type="dxa"/>
            <w:vAlign w:val="center"/>
          </w:tcPr>
          <w:p w14:paraId="6B48A0FD">
            <w:pPr>
              <w:pStyle w:val="12"/>
            </w:pPr>
            <w:r>
              <w:t>按照序时进度完成资金支付</w:t>
            </w:r>
          </w:p>
        </w:tc>
        <w:tc>
          <w:tcPr>
            <w:tcW w:w="2268" w:type="dxa"/>
            <w:vAlign w:val="center"/>
          </w:tcPr>
          <w:p w14:paraId="2C9456DE">
            <w:pPr>
              <w:pStyle w:val="12"/>
            </w:pPr>
            <w:r>
              <w:t>100%</w:t>
            </w:r>
          </w:p>
        </w:tc>
        <w:tc>
          <w:tcPr>
            <w:tcW w:w="1276" w:type="dxa"/>
            <w:vAlign w:val="center"/>
          </w:tcPr>
          <w:p w14:paraId="52CC97C5">
            <w:pPr>
              <w:pStyle w:val="12"/>
            </w:pPr>
            <w:r>
              <w:t>城乡义务教育公共经费</w:t>
            </w:r>
          </w:p>
        </w:tc>
      </w:tr>
      <w:tr w14:paraId="1AC1AB56">
        <w:tblPrEx>
          <w:tblCellMar>
            <w:top w:w="0" w:type="dxa"/>
            <w:left w:w="108" w:type="dxa"/>
            <w:bottom w:w="0" w:type="dxa"/>
            <w:right w:w="108" w:type="dxa"/>
          </w:tblCellMar>
        </w:tblPrEx>
        <w:trPr>
          <w:trHeight w:val="397" w:hRule="atLeast"/>
          <w:jc w:val="center"/>
        </w:trPr>
        <w:tc>
          <w:tcPr>
            <w:tcW w:w="1276" w:type="dxa"/>
            <w:vMerge w:val="continue"/>
            <w:vAlign w:val="center"/>
          </w:tcPr>
          <w:p w14:paraId="1DBE47AE"/>
        </w:tc>
        <w:tc>
          <w:tcPr>
            <w:tcW w:w="2268" w:type="dxa"/>
            <w:vAlign w:val="center"/>
          </w:tcPr>
          <w:p w14:paraId="7BF454A8">
            <w:pPr>
              <w:pStyle w:val="12"/>
            </w:pPr>
            <w:r>
              <w:t>成本指标</w:t>
            </w:r>
          </w:p>
        </w:tc>
        <w:tc>
          <w:tcPr>
            <w:tcW w:w="2835" w:type="dxa"/>
            <w:vAlign w:val="center"/>
          </w:tcPr>
          <w:p w14:paraId="53E9E5B3">
            <w:pPr>
              <w:pStyle w:val="12"/>
            </w:pPr>
            <w:r>
              <w:t>项目成本控制情况</w:t>
            </w:r>
          </w:p>
        </w:tc>
        <w:tc>
          <w:tcPr>
            <w:tcW w:w="5386" w:type="dxa"/>
            <w:vAlign w:val="center"/>
          </w:tcPr>
          <w:p w14:paraId="5AE572B3">
            <w:pPr>
              <w:pStyle w:val="12"/>
            </w:pPr>
            <w:r>
              <w:t>严格按照招标价格及审计额进行</w:t>
            </w:r>
          </w:p>
        </w:tc>
        <w:tc>
          <w:tcPr>
            <w:tcW w:w="2268" w:type="dxa"/>
            <w:vAlign w:val="center"/>
          </w:tcPr>
          <w:p w14:paraId="07F8071F">
            <w:pPr>
              <w:pStyle w:val="12"/>
            </w:pPr>
            <w:r>
              <w:t>≤41.6万元</w:t>
            </w:r>
          </w:p>
        </w:tc>
        <w:tc>
          <w:tcPr>
            <w:tcW w:w="1276" w:type="dxa"/>
            <w:vAlign w:val="center"/>
          </w:tcPr>
          <w:p w14:paraId="16F06B51">
            <w:pPr>
              <w:pStyle w:val="12"/>
            </w:pPr>
            <w:r>
              <w:t>城乡义务教育公共经费</w:t>
            </w:r>
          </w:p>
        </w:tc>
      </w:tr>
      <w:tr w14:paraId="750CA118">
        <w:tblPrEx>
          <w:tblCellMar>
            <w:top w:w="0" w:type="dxa"/>
            <w:left w:w="108" w:type="dxa"/>
            <w:bottom w:w="0" w:type="dxa"/>
            <w:right w:w="108" w:type="dxa"/>
          </w:tblCellMar>
        </w:tblPrEx>
        <w:trPr>
          <w:trHeight w:val="397" w:hRule="atLeast"/>
          <w:jc w:val="center"/>
        </w:trPr>
        <w:tc>
          <w:tcPr>
            <w:tcW w:w="1276" w:type="dxa"/>
            <w:vAlign w:val="center"/>
          </w:tcPr>
          <w:p w14:paraId="3441CB8C">
            <w:pPr>
              <w:pStyle w:val="13"/>
            </w:pPr>
            <w:r>
              <w:t>效益指标</w:t>
            </w:r>
          </w:p>
        </w:tc>
        <w:tc>
          <w:tcPr>
            <w:tcW w:w="2268" w:type="dxa"/>
            <w:vAlign w:val="center"/>
          </w:tcPr>
          <w:p w14:paraId="451A0679">
            <w:pPr>
              <w:pStyle w:val="12"/>
            </w:pPr>
            <w:r>
              <w:t>可持续影响指标</w:t>
            </w:r>
          </w:p>
        </w:tc>
        <w:tc>
          <w:tcPr>
            <w:tcW w:w="2835" w:type="dxa"/>
            <w:vAlign w:val="center"/>
          </w:tcPr>
          <w:p w14:paraId="60CC9BE9">
            <w:pPr>
              <w:pStyle w:val="12"/>
            </w:pPr>
            <w:r>
              <w:t>学校运转得到提高</w:t>
            </w:r>
          </w:p>
        </w:tc>
        <w:tc>
          <w:tcPr>
            <w:tcW w:w="5386" w:type="dxa"/>
            <w:vAlign w:val="center"/>
          </w:tcPr>
          <w:p w14:paraId="1D9B5CAA">
            <w:pPr>
              <w:pStyle w:val="12"/>
            </w:pPr>
            <w:r>
              <w:t>学生受教育年限</w:t>
            </w:r>
          </w:p>
        </w:tc>
        <w:tc>
          <w:tcPr>
            <w:tcW w:w="2268" w:type="dxa"/>
            <w:vAlign w:val="center"/>
          </w:tcPr>
          <w:p w14:paraId="7D95CE55">
            <w:pPr>
              <w:pStyle w:val="12"/>
            </w:pPr>
            <w:r>
              <w:t>3年</w:t>
            </w:r>
          </w:p>
        </w:tc>
        <w:tc>
          <w:tcPr>
            <w:tcW w:w="1276" w:type="dxa"/>
            <w:vAlign w:val="center"/>
          </w:tcPr>
          <w:p w14:paraId="181A677F">
            <w:pPr>
              <w:pStyle w:val="12"/>
            </w:pPr>
            <w:r>
              <w:t>城乡义务教育公共经费</w:t>
            </w:r>
          </w:p>
        </w:tc>
      </w:tr>
      <w:tr w14:paraId="566C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138D9">
            <w:pPr>
              <w:pStyle w:val="13"/>
            </w:pPr>
            <w:r>
              <w:t>满意度指标</w:t>
            </w:r>
          </w:p>
        </w:tc>
        <w:tc>
          <w:tcPr>
            <w:tcW w:w="2268" w:type="dxa"/>
            <w:vAlign w:val="center"/>
          </w:tcPr>
          <w:p w14:paraId="0A598702">
            <w:pPr>
              <w:pStyle w:val="12"/>
            </w:pPr>
            <w:r>
              <w:t>服务对象满意度指标</w:t>
            </w:r>
          </w:p>
        </w:tc>
        <w:tc>
          <w:tcPr>
            <w:tcW w:w="2835" w:type="dxa"/>
            <w:vAlign w:val="center"/>
          </w:tcPr>
          <w:p w14:paraId="7DE0A8EB">
            <w:pPr>
              <w:pStyle w:val="12"/>
            </w:pPr>
            <w:r>
              <w:t>受益学生家长及调查满意度</w:t>
            </w:r>
          </w:p>
        </w:tc>
        <w:tc>
          <w:tcPr>
            <w:tcW w:w="5386" w:type="dxa"/>
            <w:vAlign w:val="center"/>
          </w:tcPr>
          <w:p w14:paraId="29B251A5">
            <w:pPr>
              <w:pStyle w:val="12"/>
            </w:pPr>
            <w:r>
              <w:t>学生、教师及家长对学校教学环境满意度情况</w:t>
            </w:r>
          </w:p>
        </w:tc>
        <w:tc>
          <w:tcPr>
            <w:tcW w:w="2268" w:type="dxa"/>
            <w:vAlign w:val="center"/>
          </w:tcPr>
          <w:p w14:paraId="55FC500D">
            <w:pPr>
              <w:pStyle w:val="12"/>
            </w:pPr>
            <w:r>
              <w:t>≥98%</w:t>
            </w:r>
          </w:p>
        </w:tc>
        <w:tc>
          <w:tcPr>
            <w:tcW w:w="1276" w:type="dxa"/>
            <w:vAlign w:val="center"/>
          </w:tcPr>
          <w:p w14:paraId="11579FC7">
            <w:pPr>
              <w:pStyle w:val="12"/>
            </w:pPr>
            <w:r>
              <w:t>问卷调查</w:t>
            </w:r>
          </w:p>
        </w:tc>
      </w:tr>
    </w:tbl>
    <w:p w14:paraId="669468D1">
      <w:pPr>
        <w:sectPr>
          <w:pgSz w:w="16840" w:h="11900" w:orient="landscape"/>
          <w:pgMar w:top="1361" w:right="1020" w:bottom="1134" w:left="1020" w:header="720" w:footer="720" w:gutter="0"/>
          <w:cols w:space="720" w:num="1"/>
        </w:sectPr>
      </w:pPr>
    </w:p>
    <w:p w14:paraId="1A273A12">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3、冀财教[2025]147号/省级/2026年义教补助经费/魏家庄中学公用经费绩效目标表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AB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9A737">
            <w:pPr>
              <w:pStyle w:val="11"/>
            </w:pPr>
            <w:r>
              <w:t>单位：万元</w:t>
            </w:r>
          </w:p>
        </w:tc>
      </w:tr>
      <w:tr w14:paraId="756B6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0126E">
            <w:pPr>
              <w:pStyle w:val="10"/>
            </w:pPr>
            <w:r>
              <w:t>项目编码</w:t>
            </w:r>
          </w:p>
        </w:tc>
        <w:tc>
          <w:tcPr>
            <w:tcW w:w="5103" w:type="dxa"/>
            <w:gridSpan w:val="2"/>
            <w:vAlign w:val="center"/>
          </w:tcPr>
          <w:p w14:paraId="701FD695">
            <w:pPr>
              <w:pStyle w:val="12"/>
            </w:pPr>
            <w:r>
              <w:t>13052526P00000410323W</w:t>
            </w:r>
          </w:p>
        </w:tc>
        <w:tc>
          <w:tcPr>
            <w:tcW w:w="2835" w:type="dxa"/>
            <w:vAlign w:val="center"/>
          </w:tcPr>
          <w:p w14:paraId="087419EA">
            <w:pPr>
              <w:pStyle w:val="10"/>
            </w:pPr>
            <w:r>
              <w:t>项目名称</w:t>
            </w:r>
          </w:p>
        </w:tc>
        <w:tc>
          <w:tcPr>
            <w:tcW w:w="6095" w:type="dxa"/>
            <w:gridSpan w:val="3"/>
            <w:vAlign w:val="center"/>
          </w:tcPr>
          <w:p w14:paraId="61E0C1DE">
            <w:pPr>
              <w:pStyle w:val="12"/>
            </w:pPr>
            <w:r>
              <w:t>冀财教[2025]147号/省级/2026年义教补助经费/魏家庄中学公用经费</w:t>
            </w:r>
          </w:p>
        </w:tc>
      </w:tr>
      <w:tr w14:paraId="435DD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A3E09">
            <w:pPr>
              <w:pStyle w:val="10"/>
            </w:pPr>
            <w:r>
              <w:t>预算规模及资金用途</w:t>
            </w:r>
          </w:p>
        </w:tc>
        <w:tc>
          <w:tcPr>
            <w:tcW w:w="2268" w:type="dxa"/>
            <w:vAlign w:val="center"/>
          </w:tcPr>
          <w:p w14:paraId="1F26D03F">
            <w:pPr>
              <w:pStyle w:val="10"/>
            </w:pPr>
            <w:r>
              <w:t>预算数</w:t>
            </w:r>
          </w:p>
        </w:tc>
        <w:tc>
          <w:tcPr>
            <w:tcW w:w="2835" w:type="dxa"/>
            <w:vAlign w:val="center"/>
          </w:tcPr>
          <w:p w14:paraId="58C95773">
            <w:pPr>
              <w:pStyle w:val="12"/>
            </w:pPr>
            <w:r>
              <w:t>27.55</w:t>
            </w:r>
          </w:p>
        </w:tc>
        <w:tc>
          <w:tcPr>
            <w:tcW w:w="2835" w:type="dxa"/>
            <w:vAlign w:val="center"/>
          </w:tcPr>
          <w:p w14:paraId="23C58C10">
            <w:pPr>
              <w:pStyle w:val="10"/>
            </w:pPr>
            <w:r>
              <w:t>其中：财政    资金</w:t>
            </w:r>
          </w:p>
        </w:tc>
        <w:tc>
          <w:tcPr>
            <w:tcW w:w="2551" w:type="dxa"/>
            <w:vAlign w:val="center"/>
          </w:tcPr>
          <w:p w14:paraId="299874A7">
            <w:pPr>
              <w:pStyle w:val="12"/>
            </w:pPr>
            <w:r>
              <w:t>27.55</w:t>
            </w:r>
          </w:p>
        </w:tc>
        <w:tc>
          <w:tcPr>
            <w:tcW w:w="2268" w:type="dxa"/>
            <w:vAlign w:val="center"/>
          </w:tcPr>
          <w:p w14:paraId="322FC38B">
            <w:pPr>
              <w:pStyle w:val="10"/>
            </w:pPr>
            <w:r>
              <w:t>其他资金</w:t>
            </w:r>
          </w:p>
        </w:tc>
        <w:tc>
          <w:tcPr>
            <w:tcW w:w="1276" w:type="dxa"/>
            <w:vAlign w:val="center"/>
          </w:tcPr>
          <w:p w14:paraId="13BDDCC0">
            <w:pPr>
              <w:pStyle w:val="12"/>
            </w:pPr>
            <w:r>
              <w:t xml:space="preserve"> </w:t>
            </w:r>
          </w:p>
        </w:tc>
      </w:tr>
      <w:tr w14:paraId="34650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13BD2"/>
        </w:tc>
        <w:tc>
          <w:tcPr>
            <w:tcW w:w="14033" w:type="dxa"/>
            <w:gridSpan w:val="6"/>
            <w:vAlign w:val="center"/>
          </w:tcPr>
          <w:p w14:paraId="555AE3B9">
            <w:pPr>
              <w:pStyle w:val="12"/>
            </w:pPr>
            <w:r>
              <w:t>保障义务教育学校正常运转，完成教育教学活动和其他日常工作任务等方面的费用支出。</w:t>
            </w:r>
          </w:p>
        </w:tc>
      </w:tr>
      <w:tr w14:paraId="36C10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1182D">
            <w:pPr>
              <w:pStyle w:val="10"/>
            </w:pPr>
            <w:r>
              <w:t>资金支出计划（%）</w:t>
            </w:r>
          </w:p>
        </w:tc>
        <w:tc>
          <w:tcPr>
            <w:tcW w:w="5103" w:type="dxa"/>
            <w:gridSpan w:val="2"/>
            <w:vAlign w:val="center"/>
          </w:tcPr>
          <w:p w14:paraId="0EBAF99E">
            <w:pPr>
              <w:pStyle w:val="10"/>
            </w:pPr>
            <w:r>
              <w:t>3月底</w:t>
            </w:r>
          </w:p>
        </w:tc>
        <w:tc>
          <w:tcPr>
            <w:tcW w:w="2835" w:type="dxa"/>
            <w:vAlign w:val="center"/>
          </w:tcPr>
          <w:p w14:paraId="5ACA554D">
            <w:pPr>
              <w:pStyle w:val="10"/>
            </w:pPr>
            <w:r>
              <w:t>6月底</w:t>
            </w:r>
          </w:p>
        </w:tc>
        <w:tc>
          <w:tcPr>
            <w:tcW w:w="2551" w:type="dxa"/>
            <w:vAlign w:val="center"/>
          </w:tcPr>
          <w:p w14:paraId="26067C9B">
            <w:pPr>
              <w:pStyle w:val="10"/>
            </w:pPr>
            <w:r>
              <w:t>10月底</w:t>
            </w:r>
          </w:p>
        </w:tc>
        <w:tc>
          <w:tcPr>
            <w:tcW w:w="3544" w:type="dxa"/>
            <w:gridSpan w:val="2"/>
            <w:vAlign w:val="center"/>
          </w:tcPr>
          <w:p w14:paraId="1CBFAB64">
            <w:pPr>
              <w:pStyle w:val="10"/>
            </w:pPr>
            <w:r>
              <w:t>12月底</w:t>
            </w:r>
          </w:p>
        </w:tc>
      </w:tr>
      <w:tr w14:paraId="7B8D2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E8070"/>
        </w:tc>
        <w:tc>
          <w:tcPr>
            <w:tcW w:w="5103" w:type="dxa"/>
            <w:gridSpan w:val="2"/>
            <w:vAlign w:val="center"/>
          </w:tcPr>
          <w:p w14:paraId="745E528B">
            <w:pPr>
              <w:pStyle w:val="13"/>
            </w:pPr>
            <w:r>
              <w:t>25%</w:t>
            </w:r>
          </w:p>
        </w:tc>
        <w:tc>
          <w:tcPr>
            <w:tcW w:w="2835" w:type="dxa"/>
            <w:vAlign w:val="center"/>
          </w:tcPr>
          <w:p w14:paraId="42E41DD4">
            <w:pPr>
              <w:pStyle w:val="13"/>
            </w:pPr>
            <w:r>
              <w:t>50%</w:t>
            </w:r>
          </w:p>
        </w:tc>
        <w:tc>
          <w:tcPr>
            <w:tcW w:w="2551" w:type="dxa"/>
            <w:vAlign w:val="center"/>
          </w:tcPr>
          <w:p w14:paraId="06054C7A">
            <w:pPr>
              <w:pStyle w:val="13"/>
            </w:pPr>
            <w:r>
              <w:t>75%</w:t>
            </w:r>
          </w:p>
        </w:tc>
        <w:tc>
          <w:tcPr>
            <w:tcW w:w="3544" w:type="dxa"/>
            <w:gridSpan w:val="2"/>
            <w:vAlign w:val="center"/>
          </w:tcPr>
          <w:p w14:paraId="54621FB5">
            <w:pPr>
              <w:pStyle w:val="13"/>
            </w:pPr>
            <w:r>
              <w:t>100%</w:t>
            </w:r>
          </w:p>
        </w:tc>
      </w:tr>
      <w:tr w14:paraId="15BA1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07E33">
            <w:pPr>
              <w:pStyle w:val="10"/>
            </w:pPr>
            <w:r>
              <w:t>绩效目标</w:t>
            </w:r>
          </w:p>
        </w:tc>
        <w:tc>
          <w:tcPr>
            <w:tcW w:w="14033" w:type="dxa"/>
            <w:gridSpan w:val="6"/>
            <w:vAlign w:val="center"/>
          </w:tcPr>
          <w:p w14:paraId="583DED8B">
            <w:pPr>
              <w:pStyle w:val="12"/>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6942ECDB">
            <w:pPr>
              <w:pStyle w:val="12"/>
            </w:pPr>
            <w:r>
              <w:t>2.按规定拨付公用经费资金275500元，资金拨付率达到100%。</w:t>
            </w:r>
          </w:p>
        </w:tc>
      </w:tr>
    </w:tbl>
    <w:p w14:paraId="5553B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42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7AB65">
            <w:pPr>
              <w:pStyle w:val="10"/>
            </w:pPr>
            <w:r>
              <w:t>一级指标</w:t>
            </w:r>
          </w:p>
        </w:tc>
        <w:tc>
          <w:tcPr>
            <w:tcW w:w="2268" w:type="dxa"/>
            <w:vAlign w:val="center"/>
          </w:tcPr>
          <w:p w14:paraId="0AAAB866">
            <w:pPr>
              <w:pStyle w:val="10"/>
            </w:pPr>
            <w:r>
              <w:t>二级指标</w:t>
            </w:r>
          </w:p>
        </w:tc>
        <w:tc>
          <w:tcPr>
            <w:tcW w:w="2835" w:type="dxa"/>
            <w:vAlign w:val="center"/>
          </w:tcPr>
          <w:p w14:paraId="30C66B9A">
            <w:pPr>
              <w:pStyle w:val="10"/>
            </w:pPr>
            <w:r>
              <w:t>三级指标</w:t>
            </w:r>
          </w:p>
        </w:tc>
        <w:tc>
          <w:tcPr>
            <w:tcW w:w="5386" w:type="dxa"/>
            <w:vAlign w:val="center"/>
          </w:tcPr>
          <w:p w14:paraId="26D8241B">
            <w:pPr>
              <w:pStyle w:val="10"/>
            </w:pPr>
            <w:r>
              <w:t>绩效指标描述</w:t>
            </w:r>
          </w:p>
        </w:tc>
        <w:tc>
          <w:tcPr>
            <w:tcW w:w="2268" w:type="dxa"/>
            <w:vAlign w:val="center"/>
          </w:tcPr>
          <w:p w14:paraId="3D58D6D3">
            <w:pPr>
              <w:pStyle w:val="10"/>
            </w:pPr>
            <w:r>
              <w:t>指标值</w:t>
            </w:r>
          </w:p>
        </w:tc>
        <w:tc>
          <w:tcPr>
            <w:tcW w:w="1276" w:type="dxa"/>
            <w:vAlign w:val="center"/>
          </w:tcPr>
          <w:p w14:paraId="44A6E38F">
            <w:pPr>
              <w:pStyle w:val="10"/>
            </w:pPr>
            <w:r>
              <w:t>指标值确定依据</w:t>
            </w:r>
          </w:p>
        </w:tc>
      </w:tr>
      <w:tr w14:paraId="4D71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C6613">
            <w:pPr>
              <w:pStyle w:val="13"/>
            </w:pPr>
            <w:r>
              <w:t>产出指标</w:t>
            </w:r>
          </w:p>
        </w:tc>
        <w:tc>
          <w:tcPr>
            <w:tcW w:w="2268" w:type="dxa"/>
            <w:vAlign w:val="center"/>
          </w:tcPr>
          <w:p w14:paraId="5B6B6608">
            <w:pPr>
              <w:pStyle w:val="12"/>
            </w:pPr>
            <w:r>
              <w:t>数量指标</w:t>
            </w:r>
          </w:p>
        </w:tc>
        <w:tc>
          <w:tcPr>
            <w:tcW w:w="2835" w:type="dxa"/>
            <w:vAlign w:val="center"/>
          </w:tcPr>
          <w:p w14:paraId="70BEBC08">
            <w:pPr>
              <w:pStyle w:val="12"/>
            </w:pPr>
            <w:r>
              <w:t>适龄在校生</w:t>
            </w:r>
          </w:p>
        </w:tc>
        <w:tc>
          <w:tcPr>
            <w:tcW w:w="5386" w:type="dxa"/>
            <w:vAlign w:val="center"/>
          </w:tcPr>
          <w:p w14:paraId="7EAF547E">
            <w:pPr>
              <w:pStyle w:val="12"/>
            </w:pPr>
            <w:r>
              <w:t>适龄在校就读学生人数</w:t>
            </w:r>
          </w:p>
        </w:tc>
        <w:tc>
          <w:tcPr>
            <w:tcW w:w="2268" w:type="dxa"/>
            <w:vAlign w:val="center"/>
          </w:tcPr>
          <w:p w14:paraId="5251448C">
            <w:pPr>
              <w:pStyle w:val="12"/>
            </w:pPr>
            <w:r>
              <w:t>542人</w:t>
            </w:r>
          </w:p>
        </w:tc>
        <w:tc>
          <w:tcPr>
            <w:tcW w:w="1276" w:type="dxa"/>
            <w:vAlign w:val="center"/>
          </w:tcPr>
          <w:p w14:paraId="057017DA">
            <w:pPr>
              <w:pStyle w:val="12"/>
            </w:pPr>
            <w:r>
              <w:t>年度工作计划</w:t>
            </w:r>
          </w:p>
        </w:tc>
      </w:tr>
      <w:tr w14:paraId="0096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5B111"/>
        </w:tc>
        <w:tc>
          <w:tcPr>
            <w:tcW w:w="2268" w:type="dxa"/>
            <w:vAlign w:val="center"/>
          </w:tcPr>
          <w:p w14:paraId="1785A010">
            <w:pPr>
              <w:pStyle w:val="12"/>
            </w:pPr>
            <w:r>
              <w:t>质量指标</w:t>
            </w:r>
          </w:p>
        </w:tc>
        <w:tc>
          <w:tcPr>
            <w:tcW w:w="2835" w:type="dxa"/>
            <w:vAlign w:val="center"/>
          </w:tcPr>
          <w:p w14:paraId="049E0557">
            <w:pPr>
              <w:pStyle w:val="12"/>
            </w:pPr>
            <w:r>
              <w:t>公用经费拨付完成率</w:t>
            </w:r>
          </w:p>
        </w:tc>
        <w:tc>
          <w:tcPr>
            <w:tcW w:w="5386" w:type="dxa"/>
            <w:vAlign w:val="center"/>
          </w:tcPr>
          <w:p w14:paraId="4A547AC8">
            <w:pPr>
              <w:pStyle w:val="12"/>
            </w:pPr>
            <w:r>
              <w:t>公用经费拨付完成率达到需时进度</w:t>
            </w:r>
          </w:p>
        </w:tc>
        <w:tc>
          <w:tcPr>
            <w:tcW w:w="2268" w:type="dxa"/>
            <w:vAlign w:val="center"/>
          </w:tcPr>
          <w:p w14:paraId="5ADA82D3">
            <w:pPr>
              <w:pStyle w:val="12"/>
            </w:pPr>
            <w:r>
              <w:t>100%</w:t>
            </w:r>
          </w:p>
        </w:tc>
        <w:tc>
          <w:tcPr>
            <w:tcW w:w="1276" w:type="dxa"/>
            <w:vAlign w:val="center"/>
          </w:tcPr>
          <w:p w14:paraId="7A6CA593">
            <w:pPr>
              <w:pStyle w:val="12"/>
            </w:pPr>
            <w:r>
              <w:t>年度工作计划</w:t>
            </w:r>
          </w:p>
        </w:tc>
      </w:tr>
      <w:tr w14:paraId="7A71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E4379"/>
        </w:tc>
        <w:tc>
          <w:tcPr>
            <w:tcW w:w="2268" w:type="dxa"/>
            <w:vAlign w:val="center"/>
          </w:tcPr>
          <w:p w14:paraId="1CF3B2D0">
            <w:pPr>
              <w:pStyle w:val="12"/>
            </w:pPr>
            <w:r>
              <w:t>成本指标</w:t>
            </w:r>
          </w:p>
        </w:tc>
        <w:tc>
          <w:tcPr>
            <w:tcW w:w="2835" w:type="dxa"/>
            <w:vAlign w:val="center"/>
          </w:tcPr>
          <w:p w14:paraId="743B1B5C">
            <w:pPr>
              <w:pStyle w:val="12"/>
            </w:pPr>
            <w:r>
              <w:t>义教经费支付完成率</w:t>
            </w:r>
          </w:p>
        </w:tc>
        <w:tc>
          <w:tcPr>
            <w:tcW w:w="5386" w:type="dxa"/>
            <w:vAlign w:val="center"/>
          </w:tcPr>
          <w:p w14:paraId="6DA6A2B0">
            <w:pPr>
              <w:pStyle w:val="12"/>
            </w:pPr>
            <w:r>
              <w:t>按照序时进度完成资金支付</w:t>
            </w:r>
          </w:p>
        </w:tc>
        <w:tc>
          <w:tcPr>
            <w:tcW w:w="2268" w:type="dxa"/>
            <w:vAlign w:val="center"/>
          </w:tcPr>
          <w:p w14:paraId="2E275185">
            <w:pPr>
              <w:pStyle w:val="12"/>
            </w:pPr>
            <w:r>
              <w:t>100%</w:t>
            </w:r>
          </w:p>
        </w:tc>
        <w:tc>
          <w:tcPr>
            <w:tcW w:w="1276" w:type="dxa"/>
            <w:vAlign w:val="center"/>
          </w:tcPr>
          <w:p w14:paraId="5079A8EB">
            <w:pPr>
              <w:pStyle w:val="12"/>
            </w:pPr>
            <w:r>
              <w:t>年度工作计划</w:t>
            </w:r>
          </w:p>
        </w:tc>
      </w:tr>
      <w:tr w14:paraId="6C55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FA8E"/>
        </w:tc>
        <w:tc>
          <w:tcPr>
            <w:tcW w:w="2268" w:type="dxa"/>
            <w:vAlign w:val="center"/>
          </w:tcPr>
          <w:p w14:paraId="0206B045">
            <w:pPr>
              <w:pStyle w:val="12"/>
            </w:pPr>
            <w:r>
              <w:t>时效指标</w:t>
            </w:r>
          </w:p>
        </w:tc>
        <w:tc>
          <w:tcPr>
            <w:tcW w:w="2835" w:type="dxa"/>
            <w:vAlign w:val="center"/>
          </w:tcPr>
          <w:p w14:paraId="654D0486">
            <w:pPr>
              <w:pStyle w:val="12"/>
            </w:pPr>
            <w:r>
              <w:t>生均拨款标准</w:t>
            </w:r>
          </w:p>
        </w:tc>
        <w:tc>
          <w:tcPr>
            <w:tcW w:w="5386" w:type="dxa"/>
            <w:vAlign w:val="center"/>
          </w:tcPr>
          <w:p w14:paraId="5388B70D">
            <w:pPr>
              <w:pStyle w:val="12"/>
            </w:pPr>
            <w:r>
              <w:t>根据冀财教[2025]121号文通知精神，按照基准定额940元/生/年，取暖费120元/生/年</w:t>
            </w:r>
            <w:r>
              <w:rPr>
                <w:rFonts w:hint="eastAsia"/>
                <w:lang w:eastAsia="zh-CN"/>
              </w:rPr>
              <w:t>，</w:t>
            </w:r>
            <w:r>
              <w:t>住宿生补助300元/生/年，随班就读残疾学生7000元/生/年的标准，</w:t>
            </w:r>
          </w:p>
        </w:tc>
        <w:tc>
          <w:tcPr>
            <w:tcW w:w="2268" w:type="dxa"/>
            <w:vAlign w:val="center"/>
          </w:tcPr>
          <w:p w14:paraId="2B97EEEC">
            <w:pPr>
              <w:pStyle w:val="12"/>
            </w:pPr>
            <w:r>
              <w:t>1360元/人</w:t>
            </w:r>
          </w:p>
        </w:tc>
        <w:tc>
          <w:tcPr>
            <w:tcW w:w="1276" w:type="dxa"/>
            <w:vAlign w:val="center"/>
          </w:tcPr>
          <w:p w14:paraId="04E4E56B">
            <w:pPr>
              <w:pStyle w:val="12"/>
            </w:pPr>
            <w:r>
              <w:t>年度工作计划</w:t>
            </w:r>
          </w:p>
        </w:tc>
      </w:tr>
      <w:tr w14:paraId="4DC0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705BA">
            <w:pPr>
              <w:pStyle w:val="13"/>
            </w:pPr>
            <w:r>
              <w:t>效益指标</w:t>
            </w:r>
          </w:p>
        </w:tc>
        <w:tc>
          <w:tcPr>
            <w:tcW w:w="2268" w:type="dxa"/>
            <w:vAlign w:val="center"/>
          </w:tcPr>
          <w:p w14:paraId="7D22C880">
            <w:pPr>
              <w:pStyle w:val="12"/>
            </w:pPr>
            <w:r>
              <w:t>社会效益指标</w:t>
            </w:r>
          </w:p>
        </w:tc>
        <w:tc>
          <w:tcPr>
            <w:tcW w:w="2835" w:type="dxa"/>
            <w:vAlign w:val="center"/>
          </w:tcPr>
          <w:p w14:paraId="7C02B4A3">
            <w:pPr>
              <w:pStyle w:val="12"/>
            </w:pPr>
            <w:r>
              <w:t>学校稳定率</w:t>
            </w:r>
          </w:p>
        </w:tc>
        <w:tc>
          <w:tcPr>
            <w:tcW w:w="5386" w:type="dxa"/>
            <w:vAlign w:val="center"/>
          </w:tcPr>
          <w:p w14:paraId="163B04DC">
            <w:pPr>
              <w:pStyle w:val="12"/>
            </w:pPr>
            <w:r>
              <w:t>维护学校稳定，保障学生就读巩固率</w:t>
            </w:r>
          </w:p>
        </w:tc>
        <w:tc>
          <w:tcPr>
            <w:tcW w:w="2268" w:type="dxa"/>
            <w:vAlign w:val="center"/>
          </w:tcPr>
          <w:p w14:paraId="45F70D45">
            <w:pPr>
              <w:pStyle w:val="12"/>
            </w:pPr>
            <w:r>
              <w:t>100%</w:t>
            </w:r>
          </w:p>
        </w:tc>
        <w:tc>
          <w:tcPr>
            <w:tcW w:w="1276" w:type="dxa"/>
            <w:vAlign w:val="center"/>
          </w:tcPr>
          <w:p w14:paraId="29A91486">
            <w:pPr>
              <w:pStyle w:val="12"/>
            </w:pPr>
            <w:r>
              <w:t>年度工作计划</w:t>
            </w:r>
          </w:p>
        </w:tc>
      </w:tr>
      <w:tr w14:paraId="50A6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33E3C"/>
        </w:tc>
        <w:tc>
          <w:tcPr>
            <w:tcW w:w="2268" w:type="dxa"/>
            <w:vAlign w:val="center"/>
          </w:tcPr>
          <w:p w14:paraId="4CACBCDD">
            <w:pPr>
              <w:pStyle w:val="12"/>
            </w:pPr>
            <w:r>
              <w:t>可持续影响指标</w:t>
            </w:r>
          </w:p>
        </w:tc>
        <w:tc>
          <w:tcPr>
            <w:tcW w:w="2835" w:type="dxa"/>
            <w:vAlign w:val="center"/>
          </w:tcPr>
          <w:p w14:paraId="1570B462">
            <w:pPr>
              <w:pStyle w:val="12"/>
            </w:pPr>
            <w:r>
              <w:t>学校日常运转正常</w:t>
            </w:r>
          </w:p>
        </w:tc>
        <w:tc>
          <w:tcPr>
            <w:tcW w:w="5386" w:type="dxa"/>
            <w:vAlign w:val="center"/>
          </w:tcPr>
          <w:p w14:paraId="5A1522FE">
            <w:pPr>
              <w:pStyle w:val="12"/>
            </w:pPr>
            <w:r>
              <w:t>学生受教育年限</w:t>
            </w:r>
          </w:p>
        </w:tc>
        <w:tc>
          <w:tcPr>
            <w:tcW w:w="2268" w:type="dxa"/>
            <w:vAlign w:val="center"/>
          </w:tcPr>
          <w:p w14:paraId="49A9DC5F">
            <w:pPr>
              <w:pStyle w:val="12"/>
            </w:pPr>
            <w:r>
              <w:t>3年</w:t>
            </w:r>
          </w:p>
        </w:tc>
        <w:tc>
          <w:tcPr>
            <w:tcW w:w="1276" w:type="dxa"/>
            <w:vAlign w:val="center"/>
          </w:tcPr>
          <w:p w14:paraId="73E14A64">
            <w:pPr>
              <w:pStyle w:val="12"/>
            </w:pPr>
            <w:r>
              <w:t>年度工作计划</w:t>
            </w:r>
          </w:p>
        </w:tc>
      </w:tr>
      <w:tr w14:paraId="3127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40FC0">
            <w:pPr>
              <w:pStyle w:val="13"/>
            </w:pPr>
            <w:r>
              <w:t>满意度指标</w:t>
            </w:r>
          </w:p>
        </w:tc>
        <w:tc>
          <w:tcPr>
            <w:tcW w:w="2268" w:type="dxa"/>
            <w:vAlign w:val="center"/>
          </w:tcPr>
          <w:p w14:paraId="198058CA">
            <w:pPr>
              <w:pStyle w:val="12"/>
            </w:pPr>
            <w:r>
              <w:t>服务对象满意度指标</w:t>
            </w:r>
          </w:p>
        </w:tc>
        <w:tc>
          <w:tcPr>
            <w:tcW w:w="2835" w:type="dxa"/>
            <w:vAlign w:val="center"/>
          </w:tcPr>
          <w:p w14:paraId="21B54E43">
            <w:pPr>
              <w:pStyle w:val="12"/>
            </w:pPr>
            <w:r>
              <w:t>服务对象满意度</w:t>
            </w:r>
          </w:p>
        </w:tc>
        <w:tc>
          <w:tcPr>
            <w:tcW w:w="5386" w:type="dxa"/>
            <w:vAlign w:val="center"/>
          </w:tcPr>
          <w:p w14:paraId="767C5920">
            <w:pPr>
              <w:pStyle w:val="12"/>
            </w:pPr>
            <w:r>
              <w:t>学校老师和学生满意度</w:t>
            </w:r>
          </w:p>
        </w:tc>
        <w:tc>
          <w:tcPr>
            <w:tcW w:w="2268" w:type="dxa"/>
            <w:vAlign w:val="center"/>
          </w:tcPr>
          <w:p w14:paraId="457A3C21">
            <w:pPr>
              <w:pStyle w:val="12"/>
            </w:pPr>
            <w:r>
              <w:t>≥98%</w:t>
            </w:r>
          </w:p>
        </w:tc>
        <w:tc>
          <w:tcPr>
            <w:tcW w:w="1276" w:type="dxa"/>
            <w:vAlign w:val="center"/>
          </w:tcPr>
          <w:p w14:paraId="7C24E02F">
            <w:pPr>
              <w:pStyle w:val="12"/>
            </w:pPr>
            <w:r>
              <w:t>调查问卷</w:t>
            </w:r>
          </w:p>
        </w:tc>
      </w:tr>
    </w:tbl>
    <w:p w14:paraId="6C9FAA6C">
      <w:pPr>
        <w:sectPr>
          <w:pgSz w:w="16840" w:h="11900" w:orient="landscape"/>
          <w:pgMar w:top="1361" w:right="1020" w:bottom="1134" w:left="1020" w:header="720" w:footer="720" w:gutter="0"/>
          <w:cols w:space="720" w:num="1"/>
        </w:sectPr>
      </w:pPr>
    </w:p>
    <w:p w14:paraId="5517E6D4">
      <w:pPr>
        <w:spacing w:before="0" w:after="0"/>
        <w:ind w:firstLine="560"/>
        <w:jc w:val="left"/>
        <w:outlineLvl w:val="9"/>
      </w:pPr>
      <w:r>
        <w:rPr>
          <w:rFonts w:ascii="方正仿宋_GBK" w:hAnsi="方正仿宋_GBK" w:eastAsia="方正仿宋_GBK" w:cs="方正仿宋_GBK"/>
          <w:b/>
          <w:color w:val="000000"/>
          <w:sz w:val="28"/>
        </w:rPr>
        <w:t>4、冀财教[2025]148号/支持义务教育发展/魏家庄中学公用经费绩效目标表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FD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E7EDA">
            <w:pPr>
              <w:pStyle w:val="11"/>
            </w:pPr>
            <w:r>
              <w:t>单位：万元</w:t>
            </w:r>
          </w:p>
        </w:tc>
      </w:tr>
      <w:tr w14:paraId="3CA9A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9FB0C">
            <w:pPr>
              <w:pStyle w:val="10"/>
            </w:pPr>
            <w:r>
              <w:t>项目编码</w:t>
            </w:r>
          </w:p>
        </w:tc>
        <w:tc>
          <w:tcPr>
            <w:tcW w:w="5103" w:type="dxa"/>
            <w:gridSpan w:val="2"/>
            <w:vAlign w:val="center"/>
          </w:tcPr>
          <w:p w14:paraId="6313744A">
            <w:pPr>
              <w:pStyle w:val="12"/>
            </w:pPr>
            <w:r>
              <w:t>13052526P000002101108</w:t>
            </w:r>
          </w:p>
        </w:tc>
        <w:tc>
          <w:tcPr>
            <w:tcW w:w="2835" w:type="dxa"/>
            <w:vAlign w:val="center"/>
          </w:tcPr>
          <w:p w14:paraId="616F08C6">
            <w:pPr>
              <w:pStyle w:val="10"/>
            </w:pPr>
            <w:r>
              <w:t>项目名称</w:t>
            </w:r>
          </w:p>
        </w:tc>
        <w:tc>
          <w:tcPr>
            <w:tcW w:w="6095" w:type="dxa"/>
            <w:gridSpan w:val="3"/>
            <w:vAlign w:val="center"/>
          </w:tcPr>
          <w:p w14:paraId="299BDD8E">
            <w:pPr>
              <w:pStyle w:val="12"/>
            </w:pPr>
            <w:r>
              <w:t>冀财教[2025]148号/支持义务教育发展/魏家庄中学公用经费</w:t>
            </w:r>
          </w:p>
        </w:tc>
      </w:tr>
      <w:tr w14:paraId="7A102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D7224">
            <w:pPr>
              <w:pStyle w:val="10"/>
            </w:pPr>
            <w:r>
              <w:t>预算规模及资金用途</w:t>
            </w:r>
          </w:p>
        </w:tc>
        <w:tc>
          <w:tcPr>
            <w:tcW w:w="2268" w:type="dxa"/>
            <w:vAlign w:val="center"/>
          </w:tcPr>
          <w:p w14:paraId="2C90553E">
            <w:pPr>
              <w:pStyle w:val="10"/>
            </w:pPr>
            <w:r>
              <w:t>预算数</w:t>
            </w:r>
          </w:p>
        </w:tc>
        <w:tc>
          <w:tcPr>
            <w:tcW w:w="2835" w:type="dxa"/>
            <w:vAlign w:val="center"/>
          </w:tcPr>
          <w:p w14:paraId="3B325F48">
            <w:pPr>
              <w:pStyle w:val="12"/>
            </w:pPr>
            <w:r>
              <w:t>8.00</w:t>
            </w:r>
          </w:p>
        </w:tc>
        <w:tc>
          <w:tcPr>
            <w:tcW w:w="2835" w:type="dxa"/>
            <w:vAlign w:val="center"/>
          </w:tcPr>
          <w:p w14:paraId="282E3140">
            <w:pPr>
              <w:pStyle w:val="10"/>
            </w:pPr>
            <w:r>
              <w:t>其中：财政    资金</w:t>
            </w:r>
          </w:p>
        </w:tc>
        <w:tc>
          <w:tcPr>
            <w:tcW w:w="2551" w:type="dxa"/>
            <w:vAlign w:val="center"/>
          </w:tcPr>
          <w:p w14:paraId="00872C90">
            <w:pPr>
              <w:pStyle w:val="12"/>
            </w:pPr>
            <w:r>
              <w:t>8.00</w:t>
            </w:r>
          </w:p>
        </w:tc>
        <w:tc>
          <w:tcPr>
            <w:tcW w:w="2268" w:type="dxa"/>
            <w:vAlign w:val="center"/>
          </w:tcPr>
          <w:p w14:paraId="7B3612AD">
            <w:pPr>
              <w:pStyle w:val="10"/>
            </w:pPr>
            <w:r>
              <w:t>其他资金</w:t>
            </w:r>
          </w:p>
        </w:tc>
        <w:tc>
          <w:tcPr>
            <w:tcW w:w="1276" w:type="dxa"/>
            <w:vAlign w:val="center"/>
          </w:tcPr>
          <w:p w14:paraId="3DBCB86F">
            <w:pPr>
              <w:pStyle w:val="12"/>
            </w:pPr>
            <w:r>
              <w:t xml:space="preserve"> </w:t>
            </w:r>
          </w:p>
        </w:tc>
      </w:tr>
      <w:tr w14:paraId="67956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74A97"/>
        </w:tc>
        <w:tc>
          <w:tcPr>
            <w:tcW w:w="14033" w:type="dxa"/>
            <w:gridSpan w:val="6"/>
            <w:vAlign w:val="center"/>
          </w:tcPr>
          <w:p w14:paraId="461120AB">
            <w:pPr>
              <w:pStyle w:val="12"/>
            </w:pPr>
            <w:r>
              <w:t>保障义务教育学校正常运转，全面贯彻党的教育方针，</w:t>
            </w:r>
            <w:r>
              <w:rPr>
                <w:rFonts w:hint="eastAsia"/>
                <w:lang w:eastAsia="zh-CN"/>
              </w:rPr>
              <w:t>办好人民满意的教育</w:t>
            </w:r>
            <w:r>
              <w:t>，高质量、高标准完成教育教学活动和其他日常工作任务等方面的费用支出。</w:t>
            </w:r>
          </w:p>
        </w:tc>
      </w:tr>
      <w:tr w14:paraId="0F2CC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0A135">
            <w:pPr>
              <w:pStyle w:val="10"/>
            </w:pPr>
            <w:r>
              <w:t>资金支出计划（%）</w:t>
            </w:r>
          </w:p>
        </w:tc>
        <w:tc>
          <w:tcPr>
            <w:tcW w:w="5103" w:type="dxa"/>
            <w:gridSpan w:val="2"/>
            <w:vAlign w:val="center"/>
          </w:tcPr>
          <w:p w14:paraId="10B01293">
            <w:pPr>
              <w:pStyle w:val="10"/>
            </w:pPr>
            <w:r>
              <w:t>3月底</w:t>
            </w:r>
          </w:p>
        </w:tc>
        <w:tc>
          <w:tcPr>
            <w:tcW w:w="2835" w:type="dxa"/>
            <w:vAlign w:val="center"/>
          </w:tcPr>
          <w:p w14:paraId="68019CB1">
            <w:pPr>
              <w:pStyle w:val="10"/>
            </w:pPr>
            <w:r>
              <w:t>6月底</w:t>
            </w:r>
          </w:p>
        </w:tc>
        <w:tc>
          <w:tcPr>
            <w:tcW w:w="2551" w:type="dxa"/>
            <w:vAlign w:val="center"/>
          </w:tcPr>
          <w:p w14:paraId="59786EF3">
            <w:pPr>
              <w:pStyle w:val="10"/>
            </w:pPr>
            <w:r>
              <w:t>10月底</w:t>
            </w:r>
          </w:p>
        </w:tc>
        <w:tc>
          <w:tcPr>
            <w:tcW w:w="3544" w:type="dxa"/>
            <w:gridSpan w:val="2"/>
            <w:vAlign w:val="center"/>
          </w:tcPr>
          <w:p w14:paraId="0445440C">
            <w:pPr>
              <w:pStyle w:val="10"/>
            </w:pPr>
            <w:r>
              <w:t>12月底</w:t>
            </w:r>
          </w:p>
        </w:tc>
      </w:tr>
      <w:tr w14:paraId="17403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B42F7"/>
        </w:tc>
        <w:tc>
          <w:tcPr>
            <w:tcW w:w="5103" w:type="dxa"/>
            <w:gridSpan w:val="2"/>
            <w:vAlign w:val="center"/>
          </w:tcPr>
          <w:p w14:paraId="2CEFE65B">
            <w:pPr>
              <w:pStyle w:val="13"/>
            </w:pPr>
            <w:r>
              <w:t xml:space="preserve"> </w:t>
            </w:r>
          </w:p>
        </w:tc>
        <w:tc>
          <w:tcPr>
            <w:tcW w:w="2835" w:type="dxa"/>
            <w:vAlign w:val="center"/>
          </w:tcPr>
          <w:p w14:paraId="7AEA0BAF">
            <w:pPr>
              <w:pStyle w:val="13"/>
            </w:pPr>
            <w:r>
              <w:t xml:space="preserve"> </w:t>
            </w:r>
          </w:p>
        </w:tc>
        <w:tc>
          <w:tcPr>
            <w:tcW w:w="2551" w:type="dxa"/>
            <w:vAlign w:val="center"/>
          </w:tcPr>
          <w:p w14:paraId="2CD4A7F9">
            <w:pPr>
              <w:pStyle w:val="13"/>
            </w:pPr>
            <w:r>
              <w:t>100%</w:t>
            </w:r>
          </w:p>
        </w:tc>
        <w:tc>
          <w:tcPr>
            <w:tcW w:w="3544" w:type="dxa"/>
            <w:gridSpan w:val="2"/>
            <w:vAlign w:val="center"/>
          </w:tcPr>
          <w:p w14:paraId="4A3477EF">
            <w:pPr>
              <w:pStyle w:val="13"/>
            </w:pPr>
            <w:r>
              <w:t>100%</w:t>
            </w:r>
          </w:p>
        </w:tc>
      </w:tr>
      <w:tr w14:paraId="34188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33980">
            <w:pPr>
              <w:pStyle w:val="10"/>
            </w:pPr>
            <w:r>
              <w:t>绩效目标</w:t>
            </w:r>
          </w:p>
        </w:tc>
        <w:tc>
          <w:tcPr>
            <w:tcW w:w="14033" w:type="dxa"/>
            <w:gridSpan w:val="6"/>
            <w:vAlign w:val="center"/>
          </w:tcPr>
          <w:p w14:paraId="6AFC57EA">
            <w:pPr>
              <w:pStyle w:val="12"/>
            </w:pPr>
            <w:r>
              <w:t>1.按规定拨付公用经费资金80000元，资金拨付率达到100%。</w:t>
            </w:r>
          </w:p>
          <w:p w14:paraId="64EC2355">
            <w:pPr>
              <w:pStyle w:val="12"/>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4665D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6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69240">
            <w:pPr>
              <w:pStyle w:val="10"/>
            </w:pPr>
            <w:r>
              <w:t>一级指标</w:t>
            </w:r>
          </w:p>
        </w:tc>
        <w:tc>
          <w:tcPr>
            <w:tcW w:w="2268" w:type="dxa"/>
            <w:vAlign w:val="center"/>
          </w:tcPr>
          <w:p w14:paraId="4D9874F1">
            <w:pPr>
              <w:pStyle w:val="10"/>
            </w:pPr>
            <w:r>
              <w:t>二级指标</w:t>
            </w:r>
          </w:p>
        </w:tc>
        <w:tc>
          <w:tcPr>
            <w:tcW w:w="2835" w:type="dxa"/>
            <w:vAlign w:val="center"/>
          </w:tcPr>
          <w:p w14:paraId="22FAE7B1">
            <w:pPr>
              <w:pStyle w:val="10"/>
            </w:pPr>
            <w:r>
              <w:t>三级指标</w:t>
            </w:r>
          </w:p>
        </w:tc>
        <w:tc>
          <w:tcPr>
            <w:tcW w:w="5386" w:type="dxa"/>
            <w:vAlign w:val="center"/>
          </w:tcPr>
          <w:p w14:paraId="1E0F308F">
            <w:pPr>
              <w:pStyle w:val="10"/>
            </w:pPr>
            <w:r>
              <w:t>绩效指标描述</w:t>
            </w:r>
          </w:p>
        </w:tc>
        <w:tc>
          <w:tcPr>
            <w:tcW w:w="2268" w:type="dxa"/>
            <w:vAlign w:val="center"/>
          </w:tcPr>
          <w:p w14:paraId="7749BCD8">
            <w:pPr>
              <w:pStyle w:val="10"/>
            </w:pPr>
            <w:r>
              <w:t>指标值</w:t>
            </w:r>
          </w:p>
        </w:tc>
        <w:tc>
          <w:tcPr>
            <w:tcW w:w="1276" w:type="dxa"/>
            <w:vAlign w:val="center"/>
          </w:tcPr>
          <w:p w14:paraId="7414852A">
            <w:pPr>
              <w:pStyle w:val="10"/>
            </w:pPr>
            <w:r>
              <w:t>指标值确定依据</w:t>
            </w:r>
          </w:p>
        </w:tc>
      </w:tr>
      <w:tr w14:paraId="345B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5A6A6">
            <w:pPr>
              <w:pStyle w:val="13"/>
            </w:pPr>
            <w:r>
              <w:t>产出指标</w:t>
            </w:r>
          </w:p>
        </w:tc>
        <w:tc>
          <w:tcPr>
            <w:tcW w:w="2268" w:type="dxa"/>
            <w:vAlign w:val="center"/>
          </w:tcPr>
          <w:p w14:paraId="3B764671">
            <w:pPr>
              <w:pStyle w:val="12"/>
            </w:pPr>
            <w:r>
              <w:t>数量指标</w:t>
            </w:r>
          </w:p>
        </w:tc>
        <w:tc>
          <w:tcPr>
            <w:tcW w:w="2835" w:type="dxa"/>
            <w:vAlign w:val="center"/>
          </w:tcPr>
          <w:p w14:paraId="0CC4BD5F">
            <w:pPr>
              <w:pStyle w:val="12"/>
            </w:pPr>
            <w:r>
              <w:t>适龄在校生</w:t>
            </w:r>
          </w:p>
        </w:tc>
        <w:tc>
          <w:tcPr>
            <w:tcW w:w="5386" w:type="dxa"/>
            <w:vAlign w:val="center"/>
          </w:tcPr>
          <w:p w14:paraId="013DF85C">
            <w:pPr>
              <w:pStyle w:val="12"/>
            </w:pPr>
            <w:r>
              <w:t>适龄在校就读学生人数</w:t>
            </w:r>
          </w:p>
        </w:tc>
        <w:tc>
          <w:tcPr>
            <w:tcW w:w="2268" w:type="dxa"/>
            <w:vAlign w:val="center"/>
          </w:tcPr>
          <w:p w14:paraId="3B72E266">
            <w:pPr>
              <w:pStyle w:val="12"/>
            </w:pPr>
            <w:r>
              <w:t>542人</w:t>
            </w:r>
          </w:p>
        </w:tc>
        <w:tc>
          <w:tcPr>
            <w:tcW w:w="1276" w:type="dxa"/>
            <w:vAlign w:val="center"/>
          </w:tcPr>
          <w:p w14:paraId="7DB119CC">
            <w:pPr>
              <w:pStyle w:val="12"/>
            </w:pPr>
            <w:r>
              <w:t>城乡义务教育指导办法</w:t>
            </w:r>
          </w:p>
        </w:tc>
      </w:tr>
      <w:tr w14:paraId="1531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69FB4"/>
        </w:tc>
        <w:tc>
          <w:tcPr>
            <w:tcW w:w="2268" w:type="dxa"/>
            <w:vAlign w:val="center"/>
          </w:tcPr>
          <w:p w14:paraId="5CDE2A4D">
            <w:pPr>
              <w:pStyle w:val="12"/>
            </w:pPr>
            <w:r>
              <w:t>质量指标</w:t>
            </w:r>
          </w:p>
        </w:tc>
        <w:tc>
          <w:tcPr>
            <w:tcW w:w="2835" w:type="dxa"/>
            <w:vAlign w:val="center"/>
          </w:tcPr>
          <w:p w14:paraId="53208C40">
            <w:pPr>
              <w:pStyle w:val="12"/>
            </w:pPr>
            <w:r>
              <w:t>公用经费拨付完成率</w:t>
            </w:r>
          </w:p>
        </w:tc>
        <w:tc>
          <w:tcPr>
            <w:tcW w:w="5386" w:type="dxa"/>
            <w:vAlign w:val="center"/>
          </w:tcPr>
          <w:p w14:paraId="65C54123">
            <w:pPr>
              <w:pStyle w:val="12"/>
            </w:pPr>
            <w:r>
              <w:t>公用经费拨付完成率达到需时进度</w:t>
            </w:r>
          </w:p>
        </w:tc>
        <w:tc>
          <w:tcPr>
            <w:tcW w:w="2268" w:type="dxa"/>
            <w:vAlign w:val="center"/>
          </w:tcPr>
          <w:p w14:paraId="09134AFE">
            <w:pPr>
              <w:pStyle w:val="12"/>
            </w:pPr>
            <w:r>
              <w:t>100%</w:t>
            </w:r>
          </w:p>
        </w:tc>
        <w:tc>
          <w:tcPr>
            <w:tcW w:w="1276" w:type="dxa"/>
            <w:vAlign w:val="center"/>
          </w:tcPr>
          <w:p w14:paraId="7084FC9D">
            <w:pPr>
              <w:pStyle w:val="12"/>
            </w:pPr>
            <w:r>
              <w:t>城乡义务教育指导办法</w:t>
            </w:r>
          </w:p>
        </w:tc>
      </w:tr>
      <w:tr w14:paraId="114B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33F64"/>
        </w:tc>
        <w:tc>
          <w:tcPr>
            <w:tcW w:w="2268" w:type="dxa"/>
            <w:vAlign w:val="center"/>
          </w:tcPr>
          <w:p w14:paraId="381D7BDC">
            <w:pPr>
              <w:pStyle w:val="12"/>
            </w:pPr>
            <w:r>
              <w:t>时效指标</w:t>
            </w:r>
          </w:p>
        </w:tc>
        <w:tc>
          <w:tcPr>
            <w:tcW w:w="2835" w:type="dxa"/>
            <w:vAlign w:val="center"/>
          </w:tcPr>
          <w:p w14:paraId="679674A9">
            <w:pPr>
              <w:pStyle w:val="12"/>
            </w:pPr>
            <w:r>
              <w:t>义教经费支付完成率</w:t>
            </w:r>
          </w:p>
        </w:tc>
        <w:tc>
          <w:tcPr>
            <w:tcW w:w="5386" w:type="dxa"/>
            <w:vAlign w:val="center"/>
          </w:tcPr>
          <w:p w14:paraId="51E6C32B">
            <w:pPr>
              <w:pStyle w:val="12"/>
            </w:pPr>
            <w:r>
              <w:t>按照序时进度完成资金支付</w:t>
            </w:r>
          </w:p>
        </w:tc>
        <w:tc>
          <w:tcPr>
            <w:tcW w:w="2268" w:type="dxa"/>
            <w:vAlign w:val="center"/>
          </w:tcPr>
          <w:p w14:paraId="6D5701A3">
            <w:pPr>
              <w:pStyle w:val="12"/>
            </w:pPr>
            <w:r>
              <w:t>100%</w:t>
            </w:r>
          </w:p>
        </w:tc>
        <w:tc>
          <w:tcPr>
            <w:tcW w:w="1276" w:type="dxa"/>
            <w:vAlign w:val="center"/>
          </w:tcPr>
          <w:p w14:paraId="545520EA">
            <w:pPr>
              <w:pStyle w:val="12"/>
            </w:pPr>
            <w:r>
              <w:t>城乡义务教育指导办法</w:t>
            </w:r>
          </w:p>
        </w:tc>
      </w:tr>
      <w:tr w14:paraId="0320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4951A"/>
        </w:tc>
        <w:tc>
          <w:tcPr>
            <w:tcW w:w="2268" w:type="dxa"/>
            <w:vAlign w:val="center"/>
          </w:tcPr>
          <w:p w14:paraId="27548375">
            <w:pPr>
              <w:pStyle w:val="12"/>
            </w:pPr>
            <w:r>
              <w:t>成本指标</w:t>
            </w:r>
          </w:p>
        </w:tc>
        <w:tc>
          <w:tcPr>
            <w:tcW w:w="2835" w:type="dxa"/>
            <w:vAlign w:val="center"/>
          </w:tcPr>
          <w:p w14:paraId="4988EA35">
            <w:pPr>
              <w:pStyle w:val="12"/>
            </w:pPr>
            <w:r>
              <w:t>生均拨款标准</w:t>
            </w:r>
          </w:p>
        </w:tc>
        <w:tc>
          <w:tcPr>
            <w:tcW w:w="5386" w:type="dxa"/>
            <w:vAlign w:val="center"/>
          </w:tcPr>
          <w:p w14:paraId="05DB9D9A">
            <w:pPr>
              <w:pStyle w:val="12"/>
            </w:pPr>
            <w:r>
              <w:t>初中：（基本标准940元、寄宿生300元、取暖费120元）/生/学年；随班就读学生：标准7000元/生/学年）</w:t>
            </w:r>
          </w:p>
        </w:tc>
        <w:tc>
          <w:tcPr>
            <w:tcW w:w="2268" w:type="dxa"/>
            <w:vAlign w:val="center"/>
          </w:tcPr>
          <w:p w14:paraId="05AA1C43">
            <w:pPr>
              <w:pStyle w:val="12"/>
            </w:pPr>
            <w:r>
              <w:t>1360元</w:t>
            </w:r>
          </w:p>
        </w:tc>
        <w:tc>
          <w:tcPr>
            <w:tcW w:w="1276" w:type="dxa"/>
            <w:vAlign w:val="center"/>
          </w:tcPr>
          <w:p w14:paraId="6538725D">
            <w:pPr>
              <w:pStyle w:val="12"/>
            </w:pPr>
            <w:r>
              <w:t>城乡义务教育指导办法</w:t>
            </w:r>
          </w:p>
        </w:tc>
      </w:tr>
      <w:tr w14:paraId="7863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AD673">
            <w:pPr>
              <w:pStyle w:val="13"/>
            </w:pPr>
            <w:r>
              <w:t>效益指标</w:t>
            </w:r>
          </w:p>
        </w:tc>
        <w:tc>
          <w:tcPr>
            <w:tcW w:w="2268" w:type="dxa"/>
            <w:vAlign w:val="center"/>
          </w:tcPr>
          <w:p w14:paraId="612E6546">
            <w:pPr>
              <w:pStyle w:val="12"/>
            </w:pPr>
            <w:r>
              <w:t>社会效益指标</w:t>
            </w:r>
          </w:p>
        </w:tc>
        <w:tc>
          <w:tcPr>
            <w:tcW w:w="2835" w:type="dxa"/>
            <w:vAlign w:val="center"/>
          </w:tcPr>
          <w:p w14:paraId="181F2A3A">
            <w:pPr>
              <w:pStyle w:val="12"/>
            </w:pPr>
            <w:r>
              <w:t>学校稳定率</w:t>
            </w:r>
          </w:p>
        </w:tc>
        <w:tc>
          <w:tcPr>
            <w:tcW w:w="5386" w:type="dxa"/>
            <w:vAlign w:val="center"/>
          </w:tcPr>
          <w:p w14:paraId="1764E3B1">
            <w:pPr>
              <w:pStyle w:val="12"/>
            </w:pPr>
            <w:r>
              <w:t>维护学校稳定，保障学生就读巩固率</w:t>
            </w:r>
          </w:p>
        </w:tc>
        <w:tc>
          <w:tcPr>
            <w:tcW w:w="2268" w:type="dxa"/>
            <w:vAlign w:val="center"/>
          </w:tcPr>
          <w:p w14:paraId="1A777325">
            <w:pPr>
              <w:pStyle w:val="12"/>
            </w:pPr>
            <w:r>
              <w:t>100%</w:t>
            </w:r>
          </w:p>
        </w:tc>
        <w:tc>
          <w:tcPr>
            <w:tcW w:w="1276" w:type="dxa"/>
            <w:vAlign w:val="center"/>
          </w:tcPr>
          <w:p w14:paraId="2DFAFF54">
            <w:pPr>
              <w:pStyle w:val="12"/>
            </w:pPr>
            <w:r>
              <w:t>城乡义务教育指导办法</w:t>
            </w:r>
          </w:p>
        </w:tc>
      </w:tr>
      <w:tr w14:paraId="7397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FF9B5"/>
        </w:tc>
        <w:tc>
          <w:tcPr>
            <w:tcW w:w="2268" w:type="dxa"/>
            <w:vAlign w:val="center"/>
          </w:tcPr>
          <w:p w14:paraId="3A33FF9C">
            <w:pPr>
              <w:pStyle w:val="12"/>
            </w:pPr>
            <w:r>
              <w:t>可持续影响指标</w:t>
            </w:r>
          </w:p>
        </w:tc>
        <w:tc>
          <w:tcPr>
            <w:tcW w:w="2835" w:type="dxa"/>
            <w:vAlign w:val="center"/>
          </w:tcPr>
          <w:p w14:paraId="2CBC7046">
            <w:pPr>
              <w:pStyle w:val="12"/>
            </w:pPr>
            <w:r>
              <w:t>学校日常运转正常</w:t>
            </w:r>
          </w:p>
        </w:tc>
        <w:tc>
          <w:tcPr>
            <w:tcW w:w="5386" w:type="dxa"/>
            <w:vAlign w:val="center"/>
          </w:tcPr>
          <w:p w14:paraId="386FDFFF">
            <w:pPr>
              <w:pStyle w:val="12"/>
            </w:pPr>
            <w:r>
              <w:t>学生受教育年限</w:t>
            </w:r>
          </w:p>
        </w:tc>
        <w:tc>
          <w:tcPr>
            <w:tcW w:w="2268" w:type="dxa"/>
            <w:vAlign w:val="center"/>
          </w:tcPr>
          <w:p w14:paraId="34B1F1E8">
            <w:pPr>
              <w:pStyle w:val="12"/>
            </w:pPr>
            <w:r>
              <w:t>3年</w:t>
            </w:r>
          </w:p>
        </w:tc>
        <w:tc>
          <w:tcPr>
            <w:tcW w:w="1276" w:type="dxa"/>
            <w:vAlign w:val="center"/>
          </w:tcPr>
          <w:p w14:paraId="4D6726B4">
            <w:pPr>
              <w:pStyle w:val="12"/>
            </w:pPr>
            <w:r>
              <w:t>城乡义务教育指导办法</w:t>
            </w:r>
          </w:p>
        </w:tc>
      </w:tr>
      <w:tr w14:paraId="20D4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08C63">
            <w:pPr>
              <w:pStyle w:val="13"/>
            </w:pPr>
            <w:r>
              <w:t>满意度指标</w:t>
            </w:r>
          </w:p>
        </w:tc>
        <w:tc>
          <w:tcPr>
            <w:tcW w:w="2268" w:type="dxa"/>
            <w:vAlign w:val="center"/>
          </w:tcPr>
          <w:p w14:paraId="546B1091">
            <w:pPr>
              <w:pStyle w:val="12"/>
            </w:pPr>
            <w:r>
              <w:t>服务对象满意度指标</w:t>
            </w:r>
          </w:p>
        </w:tc>
        <w:tc>
          <w:tcPr>
            <w:tcW w:w="2835" w:type="dxa"/>
            <w:vAlign w:val="center"/>
          </w:tcPr>
          <w:p w14:paraId="4569A8BD">
            <w:pPr>
              <w:pStyle w:val="12"/>
            </w:pPr>
            <w:r>
              <w:t>服务对象满意度</w:t>
            </w:r>
          </w:p>
        </w:tc>
        <w:tc>
          <w:tcPr>
            <w:tcW w:w="5386" w:type="dxa"/>
            <w:vAlign w:val="center"/>
          </w:tcPr>
          <w:p w14:paraId="030F6A60">
            <w:pPr>
              <w:pStyle w:val="12"/>
            </w:pPr>
            <w:r>
              <w:t>学校老师和学生满意度</w:t>
            </w:r>
          </w:p>
        </w:tc>
        <w:tc>
          <w:tcPr>
            <w:tcW w:w="2268" w:type="dxa"/>
            <w:vAlign w:val="center"/>
          </w:tcPr>
          <w:p w14:paraId="46931EB6">
            <w:pPr>
              <w:pStyle w:val="12"/>
            </w:pPr>
            <w:r>
              <w:t>≥98%</w:t>
            </w:r>
          </w:p>
        </w:tc>
        <w:tc>
          <w:tcPr>
            <w:tcW w:w="1276" w:type="dxa"/>
            <w:vAlign w:val="center"/>
          </w:tcPr>
          <w:p w14:paraId="2B2A452F">
            <w:pPr>
              <w:pStyle w:val="12"/>
            </w:pPr>
            <w:r>
              <w:t>调查问卷</w:t>
            </w:r>
          </w:p>
        </w:tc>
      </w:tr>
    </w:tbl>
    <w:p w14:paraId="0A1E1F5B">
      <w:pPr>
        <w:sectPr>
          <w:pgSz w:w="16840" w:h="11900" w:orient="landscape"/>
          <w:pgMar w:top="1361" w:right="1020" w:bottom="1134" w:left="1020" w:header="720" w:footer="720" w:gutter="0"/>
          <w:cols w:space="720" w:num="1"/>
        </w:sectPr>
      </w:pPr>
    </w:p>
    <w:p w14:paraId="7BA27529">
      <w:pPr>
        <w:spacing w:before="0" w:after="0"/>
        <w:ind w:firstLine="560"/>
        <w:jc w:val="left"/>
        <w:outlineLvl w:val="9"/>
      </w:pPr>
      <w:r>
        <w:rPr>
          <w:rFonts w:ascii="方正仿宋_GBK" w:hAnsi="方正仿宋_GBK" w:eastAsia="方正仿宋_GBK" w:cs="方正仿宋_GBK"/>
          <w:b/>
          <w:color w:val="000000"/>
          <w:sz w:val="28"/>
        </w:rPr>
        <w:t>5、县级配套/魏家庄中学公用经费绩效目标表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F4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97BFD">
            <w:pPr>
              <w:pStyle w:val="11"/>
            </w:pPr>
            <w:r>
              <w:t>单位：万元</w:t>
            </w:r>
          </w:p>
        </w:tc>
      </w:tr>
      <w:tr w14:paraId="37386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5A051">
            <w:pPr>
              <w:pStyle w:val="10"/>
            </w:pPr>
            <w:r>
              <w:t>项目编码</w:t>
            </w:r>
          </w:p>
        </w:tc>
        <w:tc>
          <w:tcPr>
            <w:tcW w:w="5103" w:type="dxa"/>
            <w:gridSpan w:val="2"/>
            <w:vAlign w:val="center"/>
          </w:tcPr>
          <w:p w14:paraId="425D1888">
            <w:pPr>
              <w:pStyle w:val="12"/>
            </w:pPr>
            <w:r>
              <w:t>13052526P00000410408G</w:t>
            </w:r>
          </w:p>
        </w:tc>
        <w:tc>
          <w:tcPr>
            <w:tcW w:w="2835" w:type="dxa"/>
            <w:vAlign w:val="center"/>
          </w:tcPr>
          <w:p w14:paraId="16E474CE">
            <w:pPr>
              <w:pStyle w:val="10"/>
            </w:pPr>
            <w:r>
              <w:t>项目名称</w:t>
            </w:r>
          </w:p>
        </w:tc>
        <w:tc>
          <w:tcPr>
            <w:tcW w:w="6095" w:type="dxa"/>
            <w:gridSpan w:val="3"/>
            <w:vAlign w:val="center"/>
          </w:tcPr>
          <w:p w14:paraId="29D1802C">
            <w:pPr>
              <w:pStyle w:val="12"/>
            </w:pPr>
            <w:r>
              <w:t>县级配套/魏家庄中学公用经费</w:t>
            </w:r>
          </w:p>
        </w:tc>
      </w:tr>
      <w:tr w14:paraId="4669F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A0D15">
            <w:pPr>
              <w:pStyle w:val="10"/>
            </w:pPr>
            <w:r>
              <w:t>预算规模及资金用途</w:t>
            </w:r>
          </w:p>
        </w:tc>
        <w:tc>
          <w:tcPr>
            <w:tcW w:w="2268" w:type="dxa"/>
            <w:vAlign w:val="center"/>
          </w:tcPr>
          <w:p w14:paraId="1937430E">
            <w:pPr>
              <w:pStyle w:val="10"/>
            </w:pPr>
            <w:r>
              <w:t>预算数</w:t>
            </w:r>
          </w:p>
        </w:tc>
        <w:tc>
          <w:tcPr>
            <w:tcW w:w="2835" w:type="dxa"/>
            <w:vAlign w:val="center"/>
          </w:tcPr>
          <w:p w14:paraId="18041F95">
            <w:pPr>
              <w:pStyle w:val="12"/>
            </w:pPr>
            <w:r>
              <w:t>8.73</w:t>
            </w:r>
          </w:p>
        </w:tc>
        <w:tc>
          <w:tcPr>
            <w:tcW w:w="2835" w:type="dxa"/>
            <w:vAlign w:val="center"/>
          </w:tcPr>
          <w:p w14:paraId="5C0A8EE6">
            <w:pPr>
              <w:pStyle w:val="10"/>
            </w:pPr>
            <w:r>
              <w:t>其中：财政    资金</w:t>
            </w:r>
          </w:p>
        </w:tc>
        <w:tc>
          <w:tcPr>
            <w:tcW w:w="2551" w:type="dxa"/>
            <w:vAlign w:val="center"/>
          </w:tcPr>
          <w:p w14:paraId="55EAA6F9">
            <w:pPr>
              <w:pStyle w:val="12"/>
            </w:pPr>
            <w:r>
              <w:t>8.73</w:t>
            </w:r>
          </w:p>
        </w:tc>
        <w:tc>
          <w:tcPr>
            <w:tcW w:w="2268" w:type="dxa"/>
            <w:vAlign w:val="center"/>
          </w:tcPr>
          <w:p w14:paraId="0E885E22">
            <w:pPr>
              <w:pStyle w:val="10"/>
            </w:pPr>
            <w:r>
              <w:t>其他资金</w:t>
            </w:r>
          </w:p>
        </w:tc>
        <w:tc>
          <w:tcPr>
            <w:tcW w:w="1276" w:type="dxa"/>
            <w:vAlign w:val="center"/>
          </w:tcPr>
          <w:p w14:paraId="59CC37DF">
            <w:pPr>
              <w:pStyle w:val="12"/>
            </w:pPr>
            <w:r>
              <w:t xml:space="preserve"> </w:t>
            </w:r>
          </w:p>
        </w:tc>
      </w:tr>
      <w:tr w14:paraId="71CB6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F05B6"/>
        </w:tc>
        <w:tc>
          <w:tcPr>
            <w:tcW w:w="14033" w:type="dxa"/>
            <w:gridSpan w:val="6"/>
            <w:vAlign w:val="center"/>
          </w:tcPr>
          <w:p w14:paraId="6C18F984">
            <w:pPr>
              <w:pStyle w:val="12"/>
            </w:pPr>
            <w:r>
              <w:t>保障义务教育学校正常运转，完成教育教学活动和其他日常工作任务等方面的费用支出。</w:t>
            </w:r>
          </w:p>
        </w:tc>
      </w:tr>
      <w:tr w14:paraId="12D65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D064F">
            <w:pPr>
              <w:pStyle w:val="10"/>
            </w:pPr>
            <w:r>
              <w:t>资金支出计划（%）</w:t>
            </w:r>
          </w:p>
        </w:tc>
        <w:tc>
          <w:tcPr>
            <w:tcW w:w="5103" w:type="dxa"/>
            <w:gridSpan w:val="2"/>
            <w:vAlign w:val="center"/>
          </w:tcPr>
          <w:p w14:paraId="00880F07">
            <w:pPr>
              <w:pStyle w:val="10"/>
            </w:pPr>
            <w:r>
              <w:t>3月底</w:t>
            </w:r>
          </w:p>
        </w:tc>
        <w:tc>
          <w:tcPr>
            <w:tcW w:w="2835" w:type="dxa"/>
            <w:vAlign w:val="center"/>
          </w:tcPr>
          <w:p w14:paraId="09A3E85B">
            <w:pPr>
              <w:pStyle w:val="10"/>
            </w:pPr>
            <w:r>
              <w:t>6月底</w:t>
            </w:r>
          </w:p>
        </w:tc>
        <w:tc>
          <w:tcPr>
            <w:tcW w:w="2551" w:type="dxa"/>
            <w:vAlign w:val="center"/>
          </w:tcPr>
          <w:p w14:paraId="5ACE742E">
            <w:pPr>
              <w:pStyle w:val="10"/>
            </w:pPr>
            <w:r>
              <w:t>10月底</w:t>
            </w:r>
          </w:p>
        </w:tc>
        <w:tc>
          <w:tcPr>
            <w:tcW w:w="3544" w:type="dxa"/>
            <w:gridSpan w:val="2"/>
            <w:vAlign w:val="center"/>
          </w:tcPr>
          <w:p w14:paraId="4337EC9D">
            <w:pPr>
              <w:pStyle w:val="10"/>
            </w:pPr>
            <w:r>
              <w:t>12月底</w:t>
            </w:r>
          </w:p>
        </w:tc>
      </w:tr>
      <w:tr w14:paraId="23DC5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B121D"/>
        </w:tc>
        <w:tc>
          <w:tcPr>
            <w:tcW w:w="5103" w:type="dxa"/>
            <w:gridSpan w:val="2"/>
            <w:vAlign w:val="center"/>
          </w:tcPr>
          <w:p w14:paraId="2C49E8CB">
            <w:pPr>
              <w:pStyle w:val="13"/>
            </w:pPr>
            <w:r>
              <w:t>25%</w:t>
            </w:r>
          </w:p>
        </w:tc>
        <w:tc>
          <w:tcPr>
            <w:tcW w:w="2835" w:type="dxa"/>
            <w:vAlign w:val="center"/>
          </w:tcPr>
          <w:p w14:paraId="377B96A2">
            <w:pPr>
              <w:pStyle w:val="13"/>
            </w:pPr>
            <w:r>
              <w:t>50%</w:t>
            </w:r>
          </w:p>
        </w:tc>
        <w:tc>
          <w:tcPr>
            <w:tcW w:w="2551" w:type="dxa"/>
            <w:vAlign w:val="center"/>
          </w:tcPr>
          <w:p w14:paraId="67F85E73">
            <w:pPr>
              <w:pStyle w:val="13"/>
            </w:pPr>
            <w:r>
              <w:t>75%</w:t>
            </w:r>
          </w:p>
        </w:tc>
        <w:tc>
          <w:tcPr>
            <w:tcW w:w="3544" w:type="dxa"/>
            <w:gridSpan w:val="2"/>
            <w:vAlign w:val="center"/>
          </w:tcPr>
          <w:p w14:paraId="60DFCD1B">
            <w:pPr>
              <w:pStyle w:val="13"/>
            </w:pPr>
            <w:r>
              <w:t>100%</w:t>
            </w:r>
          </w:p>
        </w:tc>
      </w:tr>
      <w:tr w14:paraId="59101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DC773">
            <w:pPr>
              <w:pStyle w:val="10"/>
            </w:pPr>
            <w:r>
              <w:t>绩效目标</w:t>
            </w:r>
          </w:p>
        </w:tc>
        <w:tc>
          <w:tcPr>
            <w:tcW w:w="14033" w:type="dxa"/>
            <w:gridSpan w:val="6"/>
            <w:vAlign w:val="center"/>
          </w:tcPr>
          <w:p w14:paraId="0BC7A816">
            <w:pPr>
              <w:pStyle w:val="12"/>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570CA49C">
            <w:pPr>
              <w:pStyle w:val="12"/>
            </w:pPr>
            <w:r>
              <w:t>2.按规定拨付公用经费资金87320元，资金拨付率达到100%。</w:t>
            </w:r>
          </w:p>
        </w:tc>
      </w:tr>
    </w:tbl>
    <w:p w14:paraId="5F079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D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22469">
            <w:pPr>
              <w:pStyle w:val="10"/>
            </w:pPr>
            <w:r>
              <w:t>一级指标</w:t>
            </w:r>
          </w:p>
        </w:tc>
        <w:tc>
          <w:tcPr>
            <w:tcW w:w="2268" w:type="dxa"/>
            <w:vAlign w:val="center"/>
          </w:tcPr>
          <w:p w14:paraId="244787FF">
            <w:pPr>
              <w:pStyle w:val="10"/>
            </w:pPr>
            <w:r>
              <w:t>二级指标</w:t>
            </w:r>
          </w:p>
        </w:tc>
        <w:tc>
          <w:tcPr>
            <w:tcW w:w="2835" w:type="dxa"/>
            <w:vAlign w:val="center"/>
          </w:tcPr>
          <w:p w14:paraId="54362853">
            <w:pPr>
              <w:pStyle w:val="10"/>
            </w:pPr>
            <w:r>
              <w:t>三级指标</w:t>
            </w:r>
          </w:p>
        </w:tc>
        <w:tc>
          <w:tcPr>
            <w:tcW w:w="5386" w:type="dxa"/>
            <w:vAlign w:val="center"/>
          </w:tcPr>
          <w:p w14:paraId="2178F85C">
            <w:pPr>
              <w:pStyle w:val="10"/>
            </w:pPr>
            <w:r>
              <w:t>绩效指标描述</w:t>
            </w:r>
          </w:p>
        </w:tc>
        <w:tc>
          <w:tcPr>
            <w:tcW w:w="2268" w:type="dxa"/>
            <w:vAlign w:val="center"/>
          </w:tcPr>
          <w:p w14:paraId="2B2382C8">
            <w:pPr>
              <w:pStyle w:val="10"/>
            </w:pPr>
            <w:r>
              <w:t>指标值</w:t>
            </w:r>
          </w:p>
        </w:tc>
        <w:tc>
          <w:tcPr>
            <w:tcW w:w="1276" w:type="dxa"/>
            <w:vAlign w:val="center"/>
          </w:tcPr>
          <w:p w14:paraId="2B994690">
            <w:pPr>
              <w:pStyle w:val="10"/>
            </w:pPr>
            <w:r>
              <w:t>指标值确定依据</w:t>
            </w:r>
          </w:p>
        </w:tc>
      </w:tr>
      <w:tr w14:paraId="62981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60E99">
            <w:pPr>
              <w:pStyle w:val="13"/>
            </w:pPr>
            <w:r>
              <w:t>产出指标</w:t>
            </w:r>
          </w:p>
        </w:tc>
        <w:tc>
          <w:tcPr>
            <w:tcW w:w="2268" w:type="dxa"/>
            <w:vAlign w:val="center"/>
          </w:tcPr>
          <w:p w14:paraId="42503115">
            <w:pPr>
              <w:pStyle w:val="12"/>
            </w:pPr>
            <w:r>
              <w:t>数量指标</w:t>
            </w:r>
          </w:p>
        </w:tc>
        <w:tc>
          <w:tcPr>
            <w:tcW w:w="2835" w:type="dxa"/>
            <w:vAlign w:val="center"/>
          </w:tcPr>
          <w:p w14:paraId="1E2CA380">
            <w:pPr>
              <w:pStyle w:val="12"/>
            </w:pPr>
            <w:r>
              <w:t>适龄在校生</w:t>
            </w:r>
          </w:p>
        </w:tc>
        <w:tc>
          <w:tcPr>
            <w:tcW w:w="5386" w:type="dxa"/>
            <w:vAlign w:val="center"/>
          </w:tcPr>
          <w:p w14:paraId="0D4F6250">
            <w:pPr>
              <w:pStyle w:val="12"/>
            </w:pPr>
            <w:r>
              <w:t>适龄在校就读学生人数</w:t>
            </w:r>
          </w:p>
        </w:tc>
        <w:tc>
          <w:tcPr>
            <w:tcW w:w="2268" w:type="dxa"/>
            <w:vAlign w:val="center"/>
          </w:tcPr>
          <w:p w14:paraId="0C6E6854">
            <w:pPr>
              <w:pStyle w:val="12"/>
            </w:pPr>
            <w:r>
              <w:t>542人</w:t>
            </w:r>
          </w:p>
        </w:tc>
        <w:tc>
          <w:tcPr>
            <w:tcW w:w="1276" w:type="dxa"/>
            <w:vAlign w:val="center"/>
          </w:tcPr>
          <w:p w14:paraId="5C002D2D">
            <w:pPr>
              <w:pStyle w:val="12"/>
            </w:pPr>
            <w:r>
              <w:t>城乡义务教育公用经费管理办法</w:t>
            </w:r>
          </w:p>
        </w:tc>
      </w:tr>
      <w:tr w14:paraId="5BCD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9B2D7"/>
        </w:tc>
        <w:tc>
          <w:tcPr>
            <w:tcW w:w="2268" w:type="dxa"/>
            <w:vAlign w:val="center"/>
          </w:tcPr>
          <w:p w14:paraId="6D2204B9">
            <w:pPr>
              <w:pStyle w:val="12"/>
            </w:pPr>
            <w:r>
              <w:t>质量指标</w:t>
            </w:r>
          </w:p>
        </w:tc>
        <w:tc>
          <w:tcPr>
            <w:tcW w:w="2835" w:type="dxa"/>
            <w:vAlign w:val="center"/>
          </w:tcPr>
          <w:p w14:paraId="4114CC26">
            <w:pPr>
              <w:pStyle w:val="12"/>
            </w:pPr>
            <w:r>
              <w:t>预算控制率</w:t>
            </w:r>
          </w:p>
        </w:tc>
        <w:tc>
          <w:tcPr>
            <w:tcW w:w="5386" w:type="dxa"/>
            <w:vAlign w:val="center"/>
          </w:tcPr>
          <w:p w14:paraId="0B62ED43">
            <w:pPr>
              <w:pStyle w:val="12"/>
            </w:pPr>
            <w:r>
              <w:t>预算执行率</w:t>
            </w:r>
          </w:p>
        </w:tc>
        <w:tc>
          <w:tcPr>
            <w:tcW w:w="2268" w:type="dxa"/>
            <w:vAlign w:val="center"/>
          </w:tcPr>
          <w:p w14:paraId="22DC2090">
            <w:pPr>
              <w:pStyle w:val="12"/>
            </w:pPr>
            <w:r>
              <w:t>≥95%</w:t>
            </w:r>
          </w:p>
        </w:tc>
        <w:tc>
          <w:tcPr>
            <w:tcW w:w="1276" w:type="dxa"/>
            <w:vAlign w:val="center"/>
          </w:tcPr>
          <w:p w14:paraId="2F62E66C">
            <w:pPr>
              <w:pStyle w:val="12"/>
            </w:pPr>
            <w:r>
              <w:t>城乡义务教育公用经费管理办法</w:t>
            </w:r>
          </w:p>
        </w:tc>
      </w:tr>
      <w:tr w14:paraId="567B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65598"/>
        </w:tc>
        <w:tc>
          <w:tcPr>
            <w:tcW w:w="2268" w:type="dxa"/>
            <w:vAlign w:val="center"/>
          </w:tcPr>
          <w:p w14:paraId="44F37B04">
            <w:pPr>
              <w:pStyle w:val="12"/>
            </w:pPr>
            <w:r>
              <w:t>时效指标</w:t>
            </w:r>
          </w:p>
        </w:tc>
        <w:tc>
          <w:tcPr>
            <w:tcW w:w="2835" w:type="dxa"/>
            <w:vAlign w:val="center"/>
          </w:tcPr>
          <w:p w14:paraId="03C18C35">
            <w:pPr>
              <w:pStyle w:val="12"/>
            </w:pPr>
            <w:r>
              <w:t>资金支付率</w:t>
            </w:r>
          </w:p>
        </w:tc>
        <w:tc>
          <w:tcPr>
            <w:tcW w:w="5386" w:type="dxa"/>
            <w:vAlign w:val="center"/>
          </w:tcPr>
          <w:p w14:paraId="1B1F22AA">
            <w:pPr>
              <w:pStyle w:val="12"/>
            </w:pPr>
            <w:r>
              <w:t>按照序时进度完成资金支付</w:t>
            </w:r>
          </w:p>
        </w:tc>
        <w:tc>
          <w:tcPr>
            <w:tcW w:w="2268" w:type="dxa"/>
            <w:vAlign w:val="center"/>
          </w:tcPr>
          <w:p w14:paraId="4050FEDC">
            <w:pPr>
              <w:pStyle w:val="12"/>
            </w:pPr>
            <w:r>
              <w:t>100%</w:t>
            </w:r>
          </w:p>
        </w:tc>
        <w:tc>
          <w:tcPr>
            <w:tcW w:w="1276" w:type="dxa"/>
            <w:vAlign w:val="center"/>
          </w:tcPr>
          <w:p w14:paraId="7D6126C8">
            <w:pPr>
              <w:pStyle w:val="12"/>
            </w:pPr>
            <w:r>
              <w:t>城乡义务教育公用经费管理办法</w:t>
            </w:r>
          </w:p>
        </w:tc>
      </w:tr>
      <w:tr w14:paraId="163D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9F2E0"/>
        </w:tc>
        <w:tc>
          <w:tcPr>
            <w:tcW w:w="2268" w:type="dxa"/>
            <w:vAlign w:val="center"/>
          </w:tcPr>
          <w:p w14:paraId="157F98A8">
            <w:pPr>
              <w:pStyle w:val="12"/>
            </w:pPr>
            <w:r>
              <w:t>成本指标</w:t>
            </w:r>
          </w:p>
        </w:tc>
        <w:tc>
          <w:tcPr>
            <w:tcW w:w="2835" w:type="dxa"/>
            <w:vAlign w:val="center"/>
          </w:tcPr>
          <w:p w14:paraId="64ECBFAB">
            <w:pPr>
              <w:pStyle w:val="12"/>
            </w:pPr>
            <w:r>
              <w:t>生均拨款标准</w:t>
            </w:r>
          </w:p>
        </w:tc>
        <w:tc>
          <w:tcPr>
            <w:tcW w:w="5386" w:type="dxa"/>
            <w:vAlign w:val="center"/>
          </w:tcPr>
          <w:p w14:paraId="4BA026DA">
            <w:pPr>
              <w:pStyle w:val="12"/>
            </w:pPr>
            <w:r>
              <w:t>初中：（基本标准940元、寄宿生300元、取暖费120元）/生/学年；随班就读学生：标准7000元/生/学年）</w:t>
            </w:r>
          </w:p>
        </w:tc>
        <w:tc>
          <w:tcPr>
            <w:tcW w:w="2268" w:type="dxa"/>
            <w:vAlign w:val="center"/>
          </w:tcPr>
          <w:p w14:paraId="680279FB">
            <w:pPr>
              <w:pStyle w:val="12"/>
            </w:pPr>
            <w:r>
              <w:t>1360元</w:t>
            </w:r>
          </w:p>
        </w:tc>
        <w:tc>
          <w:tcPr>
            <w:tcW w:w="1276" w:type="dxa"/>
            <w:vAlign w:val="center"/>
          </w:tcPr>
          <w:p w14:paraId="666F4FB3">
            <w:pPr>
              <w:pStyle w:val="12"/>
            </w:pPr>
            <w:r>
              <w:t>城乡义务教育公用经费管理办法</w:t>
            </w:r>
          </w:p>
        </w:tc>
      </w:tr>
      <w:tr w14:paraId="2841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1DFE5">
            <w:pPr>
              <w:pStyle w:val="13"/>
            </w:pPr>
            <w:r>
              <w:t>效益指标</w:t>
            </w:r>
          </w:p>
        </w:tc>
        <w:tc>
          <w:tcPr>
            <w:tcW w:w="2268" w:type="dxa"/>
            <w:vAlign w:val="center"/>
          </w:tcPr>
          <w:p w14:paraId="34CEED4F">
            <w:pPr>
              <w:pStyle w:val="12"/>
            </w:pPr>
            <w:r>
              <w:t>可持续影响指标</w:t>
            </w:r>
          </w:p>
        </w:tc>
        <w:tc>
          <w:tcPr>
            <w:tcW w:w="2835" w:type="dxa"/>
            <w:vAlign w:val="center"/>
          </w:tcPr>
          <w:p w14:paraId="51DC4595">
            <w:pPr>
              <w:pStyle w:val="12"/>
            </w:pPr>
            <w:r>
              <w:t>学校日常运转正常</w:t>
            </w:r>
          </w:p>
        </w:tc>
        <w:tc>
          <w:tcPr>
            <w:tcW w:w="5386" w:type="dxa"/>
            <w:vAlign w:val="center"/>
          </w:tcPr>
          <w:p w14:paraId="5E72A202">
            <w:pPr>
              <w:pStyle w:val="12"/>
            </w:pPr>
            <w:r>
              <w:t>学生受教育年限</w:t>
            </w:r>
          </w:p>
        </w:tc>
        <w:tc>
          <w:tcPr>
            <w:tcW w:w="2268" w:type="dxa"/>
            <w:vAlign w:val="center"/>
          </w:tcPr>
          <w:p w14:paraId="21DC770B">
            <w:pPr>
              <w:pStyle w:val="12"/>
            </w:pPr>
            <w:r>
              <w:t>3年</w:t>
            </w:r>
          </w:p>
        </w:tc>
        <w:tc>
          <w:tcPr>
            <w:tcW w:w="1276" w:type="dxa"/>
            <w:vAlign w:val="center"/>
          </w:tcPr>
          <w:p w14:paraId="5EAAE3C8">
            <w:pPr>
              <w:pStyle w:val="12"/>
            </w:pPr>
            <w:r>
              <w:t>年度工作计划</w:t>
            </w:r>
          </w:p>
        </w:tc>
      </w:tr>
      <w:tr w14:paraId="0CB4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906CE">
            <w:pPr>
              <w:pStyle w:val="13"/>
            </w:pPr>
            <w:r>
              <w:t>满意度指标</w:t>
            </w:r>
          </w:p>
        </w:tc>
        <w:tc>
          <w:tcPr>
            <w:tcW w:w="2268" w:type="dxa"/>
            <w:vAlign w:val="center"/>
          </w:tcPr>
          <w:p w14:paraId="5FEDA570">
            <w:pPr>
              <w:pStyle w:val="12"/>
            </w:pPr>
            <w:r>
              <w:t>服务对象满意度指标</w:t>
            </w:r>
          </w:p>
        </w:tc>
        <w:tc>
          <w:tcPr>
            <w:tcW w:w="2835" w:type="dxa"/>
            <w:vAlign w:val="center"/>
          </w:tcPr>
          <w:p w14:paraId="321B1DF5">
            <w:pPr>
              <w:pStyle w:val="12"/>
            </w:pPr>
            <w:r>
              <w:t>群众满意度</w:t>
            </w:r>
          </w:p>
        </w:tc>
        <w:tc>
          <w:tcPr>
            <w:tcW w:w="5386" w:type="dxa"/>
            <w:vAlign w:val="center"/>
          </w:tcPr>
          <w:p w14:paraId="7F18243D">
            <w:pPr>
              <w:pStyle w:val="12"/>
            </w:pPr>
            <w:r>
              <w:t>群众对教育的满意度</w:t>
            </w:r>
          </w:p>
        </w:tc>
        <w:tc>
          <w:tcPr>
            <w:tcW w:w="2268" w:type="dxa"/>
            <w:vAlign w:val="center"/>
          </w:tcPr>
          <w:p w14:paraId="7E37BFAD">
            <w:pPr>
              <w:pStyle w:val="12"/>
            </w:pPr>
            <w:r>
              <w:t>≥98%</w:t>
            </w:r>
          </w:p>
        </w:tc>
        <w:tc>
          <w:tcPr>
            <w:tcW w:w="1276" w:type="dxa"/>
            <w:vAlign w:val="center"/>
          </w:tcPr>
          <w:p w14:paraId="39B433D0">
            <w:pPr>
              <w:pStyle w:val="12"/>
            </w:pPr>
            <w:r>
              <w:t>问卷调查</w:t>
            </w:r>
          </w:p>
        </w:tc>
      </w:tr>
    </w:tbl>
    <w:p w14:paraId="7B38EBE0">
      <w:pPr>
        <w:sectPr>
          <w:pgSz w:w="16840" w:h="11900" w:orient="landscape"/>
          <w:pgMar w:top="1361" w:right="1020" w:bottom="1134" w:left="1020" w:header="720" w:footer="720" w:gutter="0"/>
          <w:cols w:space="720" w:num="1"/>
        </w:sectPr>
      </w:pPr>
    </w:p>
    <w:p w14:paraId="31A2E3EB">
      <w:pPr>
        <w:spacing w:before="10" w:after="10" w:line="240" w:lineRule="auto"/>
        <w:ind w:firstLine="640"/>
        <w:jc w:val="left"/>
        <w:outlineLvl w:val="5"/>
      </w:pPr>
      <w:r>
        <w:rPr>
          <w:rFonts w:ascii="黑体" w:hAnsi="黑体" w:eastAsia="黑体" w:cs="黑体"/>
          <w:color w:val="000000"/>
          <w:sz w:val="32"/>
        </w:rPr>
        <w:t>六、政府采购预算情况</w:t>
      </w:r>
    </w:p>
    <w:p w14:paraId="6780992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49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833639">
            <w:pPr>
              <w:pStyle w:val="9"/>
            </w:pPr>
            <w:r>
              <w:t>360007隆尧县魏家庄中学</w:t>
            </w:r>
          </w:p>
        </w:tc>
        <w:tc>
          <w:tcPr>
            <w:tcW w:w="8676" w:type="dxa"/>
            <w:gridSpan w:val="9"/>
            <w:tcBorders>
              <w:top w:val="single" w:color="FFFFFF" w:sz="6" w:space="0"/>
              <w:left w:val="single" w:color="FFFFFF" w:sz="6" w:space="0"/>
              <w:right w:val="single" w:color="FFFFFF" w:sz="6" w:space="0"/>
            </w:tcBorders>
            <w:vAlign w:val="center"/>
          </w:tcPr>
          <w:p w14:paraId="05E77A55">
            <w:pPr>
              <w:pStyle w:val="21"/>
            </w:pPr>
            <w:r>
              <w:t>单位：万元</w:t>
            </w:r>
          </w:p>
        </w:tc>
      </w:tr>
      <w:tr w14:paraId="67D08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30BD19">
            <w:pPr>
              <w:pStyle w:val="10"/>
            </w:pPr>
            <w:r>
              <w:t>政府采购项目来源</w:t>
            </w:r>
          </w:p>
        </w:tc>
        <w:tc>
          <w:tcPr>
            <w:tcW w:w="1134" w:type="dxa"/>
            <w:vMerge w:val="restart"/>
            <w:vAlign w:val="center"/>
          </w:tcPr>
          <w:p w14:paraId="0BE008E9">
            <w:pPr>
              <w:pStyle w:val="10"/>
            </w:pPr>
            <w:r>
              <w:t>采购物品名称</w:t>
            </w:r>
          </w:p>
        </w:tc>
        <w:tc>
          <w:tcPr>
            <w:tcW w:w="1134" w:type="dxa"/>
            <w:vMerge w:val="restart"/>
            <w:vAlign w:val="center"/>
          </w:tcPr>
          <w:p w14:paraId="718FC0E0">
            <w:pPr>
              <w:pStyle w:val="10"/>
            </w:pPr>
            <w:r>
              <w:t>政府采购目录序号</w:t>
            </w:r>
          </w:p>
        </w:tc>
        <w:tc>
          <w:tcPr>
            <w:tcW w:w="709" w:type="dxa"/>
            <w:vMerge w:val="restart"/>
            <w:vAlign w:val="center"/>
          </w:tcPr>
          <w:p w14:paraId="3373F297">
            <w:pPr>
              <w:pStyle w:val="10"/>
            </w:pPr>
            <w:r>
              <w:t>计量  单位</w:t>
            </w:r>
          </w:p>
        </w:tc>
        <w:tc>
          <w:tcPr>
            <w:tcW w:w="850" w:type="dxa"/>
            <w:vMerge w:val="restart"/>
            <w:vAlign w:val="center"/>
          </w:tcPr>
          <w:p w14:paraId="7576B3D4">
            <w:pPr>
              <w:pStyle w:val="10"/>
            </w:pPr>
            <w:r>
              <w:t>数量</w:t>
            </w:r>
          </w:p>
        </w:tc>
        <w:tc>
          <w:tcPr>
            <w:tcW w:w="850" w:type="dxa"/>
            <w:vMerge w:val="restart"/>
            <w:vAlign w:val="center"/>
          </w:tcPr>
          <w:p w14:paraId="3F58C9BB">
            <w:pPr>
              <w:pStyle w:val="10"/>
            </w:pPr>
            <w:r>
              <w:t>单价</w:t>
            </w:r>
          </w:p>
        </w:tc>
        <w:tc>
          <w:tcPr>
            <w:tcW w:w="7712" w:type="dxa"/>
            <w:gridSpan w:val="8"/>
            <w:vAlign w:val="center"/>
          </w:tcPr>
          <w:p w14:paraId="07D2F717">
            <w:pPr>
              <w:pStyle w:val="10"/>
            </w:pPr>
            <w:r>
              <w:t>政府采购金额（当年部门预算安排资金）</w:t>
            </w:r>
          </w:p>
        </w:tc>
        <w:tc>
          <w:tcPr>
            <w:tcW w:w="964" w:type="dxa"/>
            <w:vMerge w:val="restart"/>
            <w:vAlign w:val="center"/>
          </w:tcPr>
          <w:p w14:paraId="3569A47E">
            <w:pPr>
              <w:pStyle w:val="10"/>
            </w:pPr>
            <w:r>
              <w:t>2026年  预留中  小微企  业份额</w:t>
            </w:r>
          </w:p>
        </w:tc>
      </w:tr>
      <w:tr w14:paraId="1EAF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95D46C">
            <w:pPr>
              <w:pStyle w:val="10"/>
            </w:pPr>
            <w:r>
              <w:t>项目名称</w:t>
            </w:r>
          </w:p>
        </w:tc>
        <w:tc>
          <w:tcPr>
            <w:tcW w:w="964" w:type="dxa"/>
            <w:vAlign w:val="center"/>
          </w:tcPr>
          <w:p w14:paraId="6CCCCB03">
            <w:pPr>
              <w:pStyle w:val="10"/>
            </w:pPr>
            <w:r>
              <w:t>预算    资金</w:t>
            </w:r>
          </w:p>
        </w:tc>
        <w:tc>
          <w:tcPr>
            <w:tcW w:w="1134" w:type="dxa"/>
            <w:vMerge w:val="continue"/>
          </w:tcPr>
          <w:p w14:paraId="636187AB"/>
        </w:tc>
        <w:tc>
          <w:tcPr>
            <w:tcW w:w="1134" w:type="dxa"/>
            <w:vMerge w:val="continue"/>
          </w:tcPr>
          <w:p w14:paraId="096CC608"/>
        </w:tc>
        <w:tc>
          <w:tcPr>
            <w:tcW w:w="709" w:type="dxa"/>
            <w:vMerge w:val="continue"/>
          </w:tcPr>
          <w:p w14:paraId="61F78A11"/>
        </w:tc>
        <w:tc>
          <w:tcPr>
            <w:tcW w:w="850" w:type="dxa"/>
            <w:vMerge w:val="continue"/>
          </w:tcPr>
          <w:p w14:paraId="6D1725C5"/>
        </w:tc>
        <w:tc>
          <w:tcPr>
            <w:tcW w:w="850" w:type="dxa"/>
            <w:vMerge w:val="continue"/>
          </w:tcPr>
          <w:p w14:paraId="780E8677"/>
        </w:tc>
        <w:tc>
          <w:tcPr>
            <w:tcW w:w="964" w:type="dxa"/>
            <w:vAlign w:val="center"/>
          </w:tcPr>
          <w:p w14:paraId="42B77DFC">
            <w:pPr>
              <w:pStyle w:val="10"/>
            </w:pPr>
            <w:r>
              <w:t>合计</w:t>
            </w:r>
          </w:p>
        </w:tc>
        <w:tc>
          <w:tcPr>
            <w:tcW w:w="964" w:type="dxa"/>
            <w:vAlign w:val="center"/>
          </w:tcPr>
          <w:p w14:paraId="54F3F372">
            <w:pPr>
              <w:pStyle w:val="10"/>
            </w:pPr>
            <w:r>
              <w:t>一般公共预算拨款</w:t>
            </w:r>
          </w:p>
        </w:tc>
        <w:tc>
          <w:tcPr>
            <w:tcW w:w="964" w:type="dxa"/>
            <w:vAlign w:val="center"/>
          </w:tcPr>
          <w:p w14:paraId="30DAB681">
            <w:pPr>
              <w:pStyle w:val="10"/>
            </w:pPr>
            <w:r>
              <w:t>基金预算拨款</w:t>
            </w:r>
          </w:p>
        </w:tc>
        <w:tc>
          <w:tcPr>
            <w:tcW w:w="964" w:type="dxa"/>
            <w:vAlign w:val="center"/>
          </w:tcPr>
          <w:p w14:paraId="25A1B364">
            <w:pPr>
              <w:pStyle w:val="10"/>
            </w:pPr>
            <w:r>
              <w:t>国有资本经营预算拨款</w:t>
            </w:r>
          </w:p>
        </w:tc>
        <w:tc>
          <w:tcPr>
            <w:tcW w:w="964" w:type="dxa"/>
            <w:vAlign w:val="center"/>
          </w:tcPr>
          <w:p w14:paraId="135ECFCE">
            <w:pPr>
              <w:pStyle w:val="10"/>
            </w:pPr>
            <w:r>
              <w:t>财政专户核拨</w:t>
            </w:r>
          </w:p>
        </w:tc>
        <w:tc>
          <w:tcPr>
            <w:tcW w:w="964" w:type="dxa"/>
            <w:vAlign w:val="center"/>
          </w:tcPr>
          <w:p w14:paraId="566F59F2">
            <w:pPr>
              <w:pStyle w:val="10"/>
            </w:pPr>
            <w:r>
              <w:t>单位    资金</w:t>
            </w:r>
          </w:p>
        </w:tc>
        <w:tc>
          <w:tcPr>
            <w:tcW w:w="964" w:type="dxa"/>
            <w:vAlign w:val="center"/>
          </w:tcPr>
          <w:p w14:paraId="3556F977">
            <w:pPr>
              <w:pStyle w:val="10"/>
            </w:pPr>
            <w:r>
              <w:t>财政拨款结转</w:t>
            </w:r>
          </w:p>
        </w:tc>
        <w:tc>
          <w:tcPr>
            <w:tcW w:w="964" w:type="dxa"/>
            <w:vAlign w:val="center"/>
          </w:tcPr>
          <w:p w14:paraId="40A08A17">
            <w:pPr>
              <w:pStyle w:val="10"/>
            </w:pPr>
            <w:r>
              <w:t>非财政拨款结余</w:t>
            </w:r>
          </w:p>
        </w:tc>
        <w:tc>
          <w:tcPr>
            <w:tcW w:w="964" w:type="dxa"/>
            <w:vMerge w:val="continue"/>
          </w:tcPr>
          <w:p w14:paraId="528DAC09"/>
        </w:tc>
      </w:tr>
      <w:tr w14:paraId="1209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49ECD2">
            <w:pPr>
              <w:pStyle w:val="14"/>
            </w:pPr>
            <w:r>
              <w:t>合  计</w:t>
            </w:r>
          </w:p>
        </w:tc>
        <w:tc>
          <w:tcPr>
            <w:tcW w:w="964" w:type="dxa"/>
            <w:vAlign w:val="center"/>
          </w:tcPr>
          <w:p w14:paraId="25EC64F5">
            <w:pPr>
              <w:pStyle w:val="15"/>
            </w:pPr>
          </w:p>
        </w:tc>
        <w:tc>
          <w:tcPr>
            <w:tcW w:w="1134" w:type="dxa"/>
            <w:vAlign w:val="center"/>
          </w:tcPr>
          <w:p w14:paraId="3465542F">
            <w:pPr>
              <w:pStyle w:val="16"/>
            </w:pPr>
          </w:p>
        </w:tc>
        <w:tc>
          <w:tcPr>
            <w:tcW w:w="1134" w:type="dxa"/>
            <w:vAlign w:val="center"/>
          </w:tcPr>
          <w:p w14:paraId="702B5322">
            <w:pPr>
              <w:pStyle w:val="16"/>
            </w:pPr>
          </w:p>
        </w:tc>
        <w:tc>
          <w:tcPr>
            <w:tcW w:w="709" w:type="dxa"/>
            <w:vAlign w:val="center"/>
          </w:tcPr>
          <w:p w14:paraId="6E139CFA">
            <w:pPr>
              <w:pStyle w:val="14"/>
            </w:pPr>
          </w:p>
        </w:tc>
        <w:tc>
          <w:tcPr>
            <w:tcW w:w="850" w:type="dxa"/>
            <w:vAlign w:val="center"/>
          </w:tcPr>
          <w:p w14:paraId="1ADE9FF5">
            <w:pPr>
              <w:pStyle w:val="15"/>
            </w:pPr>
          </w:p>
        </w:tc>
        <w:tc>
          <w:tcPr>
            <w:tcW w:w="850" w:type="dxa"/>
            <w:vAlign w:val="center"/>
          </w:tcPr>
          <w:p w14:paraId="540BC887">
            <w:pPr>
              <w:pStyle w:val="15"/>
            </w:pPr>
          </w:p>
        </w:tc>
        <w:tc>
          <w:tcPr>
            <w:tcW w:w="964" w:type="dxa"/>
            <w:vAlign w:val="center"/>
          </w:tcPr>
          <w:p w14:paraId="44254744">
            <w:pPr>
              <w:pStyle w:val="15"/>
            </w:pPr>
            <w:r>
              <w:t>5.00</w:t>
            </w:r>
          </w:p>
        </w:tc>
        <w:tc>
          <w:tcPr>
            <w:tcW w:w="964" w:type="dxa"/>
            <w:vAlign w:val="center"/>
          </w:tcPr>
          <w:p w14:paraId="75819599">
            <w:pPr>
              <w:pStyle w:val="15"/>
            </w:pPr>
            <w:r>
              <w:t>5.00</w:t>
            </w:r>
          </w:p>
        </w:tc>
        <w:tc>
          <w:tcPr>
            <w:tcW w:w="964" w:type="dxa"/>
            <w:vAlign w:val="center"/>
          </w:tcPr>
          <w:p w14:paraId="20CD938C">
            <w:pPr>
              <w:pStyle w:val="15"/>
            </w:pPr>
          </w:p>
        </w:tc>
        <w:tc>
          <w:tcPr>
            <w:tcW w:w="964" w:type="dxa"/>
            <w:vAlign w:val="center"/>
          </w:tcPr>
          <w:p w14:paraId="391BF3CA">
            <w:pPr>
              <w:pStyle w:val="15"/>
            </w:pPr>
          </w:p>
        </w:tc>
        <w:tc>
          <w:tcPr>
            <w:tcW w:w="964" w:type="dxa"/>
            <w:vAlign w:val="center"/>
          </w:tcPr>
          <w:p w14:paraId="5F05D2F1">
            <w:pPr>
              <w:pStyle w:val="15"/>
            </w:pPr>
          </w:p>
        </w:tc>
        <w:tc>
          <w:tcPr>
            <w:tcW w:w="964" w:type="dxa"/>
            <w:vAlign w:val="center"/>
          </w:tcPr>
          <w:p w14:paraId="171B8024">
            <w:pPr>
              <w:pStyle w:val="15"/>
            </w:pPr>
          </w:p>
        </w:tc>
        <w:tc>
          <w:tcPr>
            <w:tcW w:w="964" w:type="dxa"/>
            <w:vAlign w:val="center"/>
          </w:tcPr>
          <w:p w14:paraId="5B9C0A5F">
            <w:pPr>
              <w:pStyle w:val="15"/>
            </w:pPr>
          </w:p>
        </w:tc>
        <w:tc>
          <w:tcPr>
            <w:tcW w:w="964" w:type="dxa"/>
            <w:vAlign w:val="center"/>
          </w:tcPr>
          <w:p w14:paraId="37BCC626">
            <w:pPr>
              <w:pStyle w:val="15"/>
            </w:pPr>
          </w:p>
        </w:tc>
        <w:tc>
          <w:tcPr>
            <w:tcW w:w="964" w:type="dxa"/>
            <w:vAlign w:val="center"/>
          </w:tcPr>
          <w:p w14:paraId="0179A4D1">
            <w:pPr>
              <w:pStyle w:val="15"/>
            </w:pPr>
            <w:r>
              <w:t>5.00</w:t>
            </w:r>
          </w:p>
        </w:tc>
      </w:tr>
      <w:tr w14:paraId="3209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32486E">
            <w:pPr>
              <w:pStyle w:val="14"/>
            </w:pPr>
            <w:r>
              <w:t>隆尧县魏家庄中学小计</w:t>
            </w:r>
          </w:p>
        </w:tc>
        <w:tc>
          <w:tcPr>
            <w:tcW w:w="964" w:type="dxa"/>
            <w:vAlign w:val="center"/>
          </w:tcPr>
          <w:p w14:paraId="7BE385DC">
            <w:pPr>
              <w:pStyle w:val="15"/>
            </w:pPr>
          </w:p>
        </w:tc>
        <w:tc>
          <w:tcPr>
            <w:tcW w:w="1134" w:type="dxa"/>
            <w:vAlign w:val="center"/>
          </w:tcPr>
          <w:p w14:paraId="3AD7047F">
            <w:pPr>
              <w:pStyle w:val="16"/>
            </w:pPr>
          </w:p>
        </w:tc>
        <w:tc>
          <w:tcPr>
            <w:tcW w:w="1134" w:type="dxa"/>
            <w:vAlign w:val="center"/>
          </w:tcPr>
          <w:p w14:paraId="4EC50EE0">
            <w:pPr>
              <w:pStyle w:val="16"/>
            </w:pPr>
          </w:p>
        </w:tc>
        <w:tc>
          <w:tcPr>
            <w:tcW w:w="709" w:type="dxa"/>
            <w:vAlign w:val="center"/>
          </w:tcPr>
          <w:p w14:paraId="168664A7">
            <w:pPr>
              <w:pStyle w:val="14"/>
            </w:pPr>
          </w:p>
        </w:tc>
        <w:tc>
          <w:tcPr>
            <w:tcW w:w="850" w:type="dxa"/>
            <w:vAlign w:val="center"/>
          </w:tcPr>
          <w:p w14:paraId="14A45BF3">
            <w:pPr>
              <w:pStyle w:val="15"/>
            </w:pPr>
          </w:p>
        </w:tc>
        <w:tc>
          <w:tcPr>
            <w:tcW w:w="850" w:type="dxa"/>
            <w:vAlign w:val="center"/>
          </w:tcPr>
          <w:p w14:paraId="481A28C8">
            <w:pPr>
              <w:pStyle w:val="15"/>
            </w:pPr>
          </w:p>
        </w:tc>
        <w:tc>
          <w:tcPr>
            <w:tcW w:w="964" w:type="dxa"/>
            <w:vAlign w:val="center"/>
          </w:tcPr>
          <w:p w14:paraId="1BE34594">
            <w:pPr>
              <w:pStyle w:val="15"/>
            </w:pPr>
            <w:r>
              <w:t>5.00</w:t>
            </w:r>
          </w:p>
        </w:tc>
        <w:tc>
          <w:tcPr>
            <w:tcW w:w="964" w:type="dxa"/>
            <w:vAlign w:val="center"/>
          </w:tcPr>
          <w:p w14:paraId="76AB6DE9">
            <w:pPr>
              <w:pStyle w:val="15"/>
            </w:pPr>
            <w:r>
              <w:t>5.00</w:t>
            </w:r>
          </w:p>
        </w:tc>
        <w:tc>
          <w:tcPr>
            <w:tcW w:w="964" w:type="dxa"/>
            <w:vAlign w:val="center"/>
          </w:tcPr>
          <w:p w14:paraId="474E2C0C">
            <w:pPr>
              <w:pStyle w:val="15"/>
            </w:pPr>
          </w:p>
        </w:tc>
        <w:tc>
          <w:tcPr>
            <w:tcW w:w="964" w:type="dxa"/>
            <w:vAlign w:val="center"/>
          </w:tcPr>
          <w:p w14:paraId="2C8D0563">
            <w:pPr>
              <w:pStyle w:val="15"/>
            </w:pPr>
          </w:p>
        </w:tc>
        <w:tc>
          <w:tcPr>
            <w:tcW w:w="964" w:type="dxa"/>
            <w:vAlign w:val="center"/>
          </w:tcPr>
          <w:p w14:paraId="6C01FAB1">
            <w:pPr>
              <w:pStyle w:val="15"/>
            </w:pPr>
          </w:p>
        </w:tc>
        <w:tc>
          <w:tcPr>
            <w:tcW w:w="964" w:type="dxa"/>
            <w:vAlign w:val="center"/>
          </w:tcPr>
          <w:p w14:paraId="7C0A420D">
            <w:pPr>
              <w:pStyle w:val="15"/>
            </w:pPr>
          </w:p>
        </w:tc>
        <w:tc>
          <w:tcPr>
            <w:tcW w:w="964" w:type="dxa"/>
            <w:vAlign w:val="center"/>
          </w:tcPr>
          <w:p w14:paraId="1AADB407">
            <w:pPr>
              <w:pStyle w:val="15"/>
            </w:pPr>
          </w:p>
        </w:tc>
        <w:tc>
          <w:tcPr>
            <w:tcW w:w="964" w:type="dxa"/>
            <w:vAlign w:val="center"/>
          </w:tcPr>
          <w:p w14:paraId="6FA17C9C">
            <w:pPr>
              <w:pStyle w:val="15"/>
            </w:pPr>
          </w:p>
        </w:tc>
        <w:tc>
          <w:tcPr>
            <w:tcW w:w="964" w:type="dxa"/>
            <w:vAlign w:val="center"/>
          </w:tcPr>
          <w:p w14:paraId="3FD664DF">
            <w:pPr>
              <w:pStyle w:val="15"/>
            </w:pPr>
            <w:r>
              <w:t>5.00</w:t>
            </w:r>
          </w:p>
        </w:tc>
      </w:tr>
      <w:tr w14:paraId="65E3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51C331">
            <w:pPr>
              <w:pStyle w:val="12"/>
            </w:pPr>
            <w:r>
              <w:t>冀财教[2025]148号/支持义务教育发展/魏家庄中学公用经费</w:t>
            </w:r>
          </w:p>
        </w:tc>
        <w:tc>
          <w:tcPr>
            <w:tcW w:w="964" w:type="dxa"/>
            <w:vAlign w:val="center"/>
          </w:tcPr>
          <w:p w14:paraId="791617E8">
            <w:pPr>
              <w:pStyle w:val="11"/>
            </w:pPr>
            <w:r>
              <w:t>8.00</w:t>
            </w:r>
          </w:p>
        </w:tc>
        <w:tc>
          <w:tcPr>
            <w:tcW w:w="1134" w:type="dxa"/>
            <w:vAlign w:val="center"/>
          </w:tcPr>
          <w:p w14:paraId="36BF0CEF">
            <w:pPr>
              <w:pStyle w:val="12"/>
            </w:pPr>
            <w:r>
              <w:t>空调机</w:t>
            </w:r>
          </w:p>
        </w:tc>
        <w:tc>
          <w:tcPr>
            <w:tcW w:w="1134" w:type="dxa"/>
            <w:vAlign w:val="center"/>
          </w:tcPr>
          <w:p w14:paraId="3ED56FA2">
            <w:pPr>
              <w:pStyle w:val="12"/>
            </w:pPr>
            <w:r>
              <w:t>A02061804</w:t>
            </w:r>
          </w:p>
        </w:tc>
        <w:tc>
          <w:tcPr>
            <w:tcW w:w="709" w:type="dxa"/>
            <w:vAlign w:val="center"/>
          </w:tcPr>
          <w:p w14:paraId="526DE26D">
            <w:pPr>
              <w:pStyle w:val="13"/>
            </w:pPr>
            <w:r>
              <w:t>台</w:t>
            </w:r>
          </w:p>
        </w:tc>
        <w:tc>
          <w:tcPr>
            <w:tcW w:w="850" w:type="dxa"/>
            <w:vAlign w:val="center"/>
          </w:tcPr>
          <w:p w14:paraId="577CB4DD">
            <w:pPr>
              <w:pStyle w:val="11"/>
            </w:pPr>
            <w:r>
              <w:t>8</w:t>
            </w:r>
          </w:p>
        </w:tc>
        <w:tc>
          <w:tcPr>
            <w:tcW w:w="850" w:type="dxa"/>
            <w:vAlign w:val="center"/>
          </w:tcPr>
          <w:p w14:paraId="50B9EAA5">
            <w:pPr>
              <w:pStyle w:val="11"/>
            </w:pPr>
            <w:r>
              <w:t>0.56</w:t>
            </w:r>
          </w:p>
        </w:tc>
        <w:tc>
          <w:tcPr>
            <w:tcW w:w="964" w:type="dxa"/>
            <w:vAlign w:val="center"/>
          </w:tcPr>
          <w:p w14:paraId="2AA701B5">
            <w:pPr>
              <w:pStyle w:val="11"/>
            </w:pPr>
            <w:r>
              <w:t>4.44</w:t>
            </w:r>
          </w:p>
        </w:tc>
        <w:tc>
          <w:tcPr>
            <w:tcW w:w="964" w:type="dxa"/>
            <w:vAlign w:val="center"/>
          </w:tcPr>
          <w:p w14:paraId="5E2128ED">
            <w:pPr>
              <w:pStyle w:val="11"/>
            </w:pPr>
            <w:r>
              <w:t>4.44</w:t>
            </w:r>
          </w:p>
        </w:tc>
        <w:tc>
          <w:tcPr>
            <w:tcW w:w="964" w:type="dxa"/>
            <w:vAlign w:val="center"/>
          </w:tcPr>
          <w:p w14:paraId="4480CB27">
            <w:pPr>
              <w:pStyle w:val="11"/>
            </w:pPr>
          </w:p>
        </w:tc>
        <w:tc>
          <w:tcPr>
            <w:tcW w:w="964" w:type="dxa"/>
            <w:vAlign w:val="center"/>
          </w:tcPr>
          <w:p w14:paraId="7A0E610A">
            <w:pPr>
              <w:pStyle w:val="11"/>
            </w:pPr>
          </w:p>
        </w:tc>
        <w:tc>
          <w:tcPr>
            <w:tcW w:w="964" w:type="dxa"/>
            <w:vAlign w:val="center"/>
          </w:tcPr>
          <w:p w14:paraId="2BE90C23">
            <w:pPr>
              <w:pStyle w:val="11"/>
            </w:pPr>
          </w:p>
        </w:tc>
        <w:tc>
          <w:tcPr>
            <w:tcW w:w="964" w:type="dxa"/>
            <w:vAlign w:val="center"/>
          </w:tcPr>
          <w:p w14:paraId="13D31026">
            <w:pPr>
              <w:pStyle w:val="11"/>
            </w:pPr>
          </w:p>
        </w:tc>
        <w:tc>
          <w:tcPr>
            <w:tcW w:w="964" w:type="dxa"/>
            <w:vAlign w:val="center"/>
          </w:tcPr>
          <w:p w14:paraId="383C37C9">
            <w:pPr>
              <w:pStyle w:val="11"/>
            </w:pPr>
          </w:p>
        </w:tc>
        <w:tc>
          <w:tcPr>
            <w:tcW w:w="964" w:type="dxa"/>
            <w:vAlign w:val="center"/>
          </w:tcPr>
          <w:p w14:paraId="3051AAB0">
            <w:pPr>
              <w:pStyle w:val="11"/>
            </w:pPr>
          </w:p>
        </w:tc>
        <w:tc>
          <w:tcPr>
            <w:tcW w:w="964" w:type="dxa"/>
            <w:vAlign w:val="center"/>
          </w:tcPr>
          <w:p w14:paraId="1A11AB15">
            <w:pPr>
              <w:pStyle w:val="11"/>
            </w:pPr>
            <w:r>
              <w:t>4.44</w:t>
            </w:r>
          </w:p>
        </w:tc>
      </w:tr>
      <w:tr w14:paraId="2F73B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6A4C4">
            <w:pPr>
              <w:pStyle w:val="12"/>
            </w:pPr>
            <w:r>
              <w:t>冀财教[2025]148号/支持义务教育发展/魏家庄中学公用经费</w:t>
            </w:r>
          </w:p>
        </w:tc>
        <w:tc>
          <w:tcPr>
            <w:tcW w:w="964" w:type="dxa"/>
            <w:vAlign w:val="center"/>
          </w:tcPr>
          <w:p w14:paraId="0CA2EADD">
            <w:pPr>
              <w:pStyle w:val="11"/>
            </w:pPr>
            <w:r>
              <w:t>8.00</w:t>
            </w:r>
          </w:p>
        </w:tc>
        <w:tc>
          <w:tcPr>
            <w:tcW w:w="1134" w:type="dxa"/>
            <w:vAlign w:val="center"/>
          </w:tcPr>
          <w:p w14:paraId="2FB4C96B">
            <w:pPr>
              <w:pStyle w:val="12"/>
            </w:pPr>
            <w:r>
              <w:t>空调机</w:t>
            </w:r>
          </w:p>
        </w:tc>
        <w:tc>
          <w:tcPr>
            <w:tcW w:w="1134" w:type="dxa"/>
            <w:vAlign w:val="center"/>
          </w:tcPr>
          <w:p w14:paraId="696620D9">
            <w:pPr>
              <w:pStyle w:val="12"/>
            </w:pPr>
            <w:r>
              <w:t>A02061804</w:t>
            </w:r>
          </w:p>
        </w:tc>
        <w:tc>
          <w:tcPr>
            <w:tcW w:w="709" w:type="dxa"/>
            <w:vAlign w:val="center"/>
          </w:tcPr>
          <w:p w14:paraId="4B7BB0CE">
            <w:pPr>
              <w:pStyle w:val="13"/>
            </w:pPr>
            <w:r>
              <w:t>台</w:t>
            </w:r>
          </w:p>
        </w:tc>
        <w:tc>
          <w:tcPr>
            <w:tcW w:w="850" w:type="dxa"/>
            <w:vAlign w:val="center"/>
          </w:tcPr>
          <w:p w14:paraId="66419D22">
            <w:pPr>
              <w:pStyle w:val="11"/>
            </w:pPr>
            <w:r>
              <w:t>1</w:t>
            </w:r>
          </w:p>
        </w:tc>
        <w:tc>
          <w:tcPr>
            <w:tcW w:w="850" w:type="dxa"/>
            <w:vAlign w:val="center"/>
          </w:tcPr>
          <w:p w14:paraId="6289ACD9">
            <w:pPr>
              <w:pStyle w:val="11"/>
            </w:pPr>
            <w:r>
              <w:t>0.56</w:t>
            </w:r>
          </w:p>
        </w:tc>
        <w:tc>
          <w:tcPr>
            <w:tcW w:w="964" w:type="dxa"/>
            <w:vAlign w:val="center"/>
          </w:tcPr>
          <w:p w14:paraId="2A4DD936">
            <w:pPr>
              <w:pStyle w:val="11"/>
            </w:pPr>
            <w:r>
              <w:t>0.56</w:t>
            </w:r>
          </w:p>
        </w:tc>
        <w:tc>
          <w:tcPr>
            <w:tcW w:w="964" w:type="dxa"/>
            <w:vAlign w:val="center"/>
          </w:tcPr>
          <w:p w14:paraId="2A10A32B">
            <w:pPr>
              <w:pStyle w:val="11"/>
            </w:pPr>
            <w:r>
              <w:t>0.56</w:t>
            </w:r>
          </w:p>
        </w:tc>
        <w:tc>
          <w:tcPr>
            <w:tcW w:w="964" w:type="dxa"/>
            <w:vAlign w:val="center"/>
          </w:tcPr>
          <w:p w14:paraId="5C316D2D">
            <w:pPr>
              <w:pStyle w:val="11"/>
            </w:pPr>
          </w:p>
        </w:tc>
        <w:tc>
          <w:tcPr>
            <w:tcW w:w="964" w:type="dxa"/>
            <w:vAlign w:val="center"/>
          </w:tcPr>
          <w:p w14:paraId="0A9D2B71">
            <w:pPr>
              <w:pStyle w:val="11"/>
            </w:pPr>
          </w:p>
        </w:tc>
        <w:tc>
          <w:tcPr>
            <w:tcW w:w="964" w:type="dxa"/>
            <w:vAlign w:val="center"/>
          </w:tcPr>
          <w:p w14:paraId="44F87F1B">
            <w:pPr>
              <w:pStyle w:val="11"/>
            </w:pPr>
          </w:p>
        </w:tc>
        <w:tc>
          <w:tcPr>
            <w:tcW w:w="964" w:type="dxa"/>
            <w:vAlign w:val="center"/>
          </w:tcPr>
          <w:p w14:paraId="2B37239B">
            <w:pPr>
              <w:pStyle w:val="11"/>
            </w:pPr>
          </w:p>
        </w:tc>
        <w:tc>
          <w:tcPr>
            <w:tcW w:w="964" w:type="dxa"/>
            <w:vAlign w:val="center"/>
          </w:tcPr>
          <w:p w14:paraId="15E24DD4">
            <w:pPr>
              <w:pStyle w:val="11"/>
            </w:pPr>
          </w:p>
        </w:tc>
        <w:tc>
          <w:tcPr>
            <w:tcW w:w="964" w:type="dxa"/>
            <w:vAlign w:val="center"/>
          </w:tcPr>
          <w:p w14:paraId="14902B21">
            <w:pPr>
              <w:pStyle w:val="11"/>
            </w:pPr>
          </w:p>
        </w:tc>
        <w:tc>
          <w:tcPr>
            <w:tcW w:w="964" w:type="dxa"/>
            <w:vAlign w:val="center"/>
          </w:tcPr>
          <w:p w14:paraId="530A9E6C">
            <w:pPr>
              <w:pStyle w:val="11"/>
            </w:pPr>
            <w:r>
              <w:t>0.56</w:t>
            </w:r>
          </w:p>
        </w:tc>
      </w:tr>
    </w:tbl>
    <w:p w14:paraId="7CB0529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ECBD66">
      <w:pPr>
        <w:spacing w:before="0" w:after="0"/>
        <w:ind w:firstLine="640"/>
        <w:jc w:val="left"/>
        <w:outlineLvl w:val="9"/>
      </w:pPr>
      <w:r>
        <w:rPr>
          <w:rFonts w:ascii="Times New Roman" w:hAnsi="Times New Roman" w:eastAsia="方正仿宋_GBK" w:cs="Times New Roman"/>
          <w:color w:val="000000"/>
          <w:sz w:val="32"/>
        </w:rPr>
        <w:t xml:space="preserve"> </w:t>
      </w:r>
    </w:p>
    <w:p w14:paraId="3ECC5443">
      <w:pPr>
        <w:spacing w:before="10" w:after="10" w:line="240" w:lineRule="auto"/>
        <w:ind w:firstLine="640"/>
        <w:jc w:val="left"/>
        <w:outlineLvl w:val="5"/>
      </w:pPr>
      <w:r>
        <w:rPr>
          <w:rFonts w:ascii="黑体" w:hAnsi="黑体" w:eastAsia="黑体" w:cs="黑体"/>
          <w:color w:val="000000"/>
          <w:sz w:val="32"/>
        </w:rPr>
        <w:t>七、国有资产信息</w:t>
      </w:r>
    </w:p>
    <w:p w14:paraId="7A89889E">
      <w:pPr>
        <w:spacing w:before="0" w:after="0" w:line="500" w:lineRule="exact"/>
        <w:ind w:firstLine="560"/>
        <w:jc w:val="left"/>
        <w:outlineLvl w:val="9"/>
      </w:pPr>
      <w:r>
        <w:rPr>
          <w:rFonts w:ascii="Times New Roman" w:hAnsi="Times New Roman" w:eastAsia="方正仿宋_GBK" w:cs="Times New Roman"/>
          <w:b w:val="0"/>
          <w:color w:val="000000"/>
          <w:sz w:val="28"/>
        </w:rPr>
        <w:t>隆尧县魏家庄中学上年末固定资产金额为1693.91万元（详见下表）。本年度拟购置固定资产总额为15.00万元，已按要求列入政府采购预算，详见政府采购预算表。</w:t>
      </w:r>
    </w:p>
    <w:p w14:paraId="3D52F87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9C5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DC20AF">
            <w:pPr>
              <w:pStyle w:val="9"/>
            </w:pPr>
            <w:r>
              <w:t>360007隆尧县魏家庄中学</w:t>
            </w:r>
          </w:p>
        </w:tc>
        <w:tc>
          <w:tcPr>
            <w:tcW w:w="5670" w:type="dxa"/>
            <w:gridSpan w:val="2"/>
            <w:tcBorders>
              <w:top w:val="single" w:color="FFFFFF" w:sz="6" w:space="0"/>
              <w:left w:val="single" w:color="FFFFFF" w:sz="6" w:space="0"/>
              <w:right w:val="single" w:color="FFFFFF" w:sz="6" w:space="0"/>
            </w:tcBorders>
            <w:vAlign w:val="center"/>
          </w:tcPr>
          <w:p w14:paraId="57F6BF57">
            <w:pPr>
              <w:pStyle w:val="7"/>
            </w:pPr>
            <w:r>
              <w:t>截止时间：2025-12-31</w:t>
            </w:r>
          </w:p>
        </w:tc>
      </w:tr>
      <w:tr w14:paraId="66489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DE5CA80">
            <w:pPr>
              <w:pStyle w:val="10"/>
            </w:pPr>
            <w:r>
              <w:t>项   目</w:t>
            </w:r>
          </w:p>
        </w:tc>
        <w:tc>
          <w:tcPr>
            <w:tcW w:w="2835" w:type="dxa"/>
            <w:vAlign w:val="center"/>
          </w:tcPr>
          <w:p w14:paraId="2B78EE3B">
            <w:pPr>
              <w:pStyle w:val="10"/>
            </w:pPr>
            <w:r>
              <w:t>数量</w:t>
            </w:r>
          </w:p>
        </w:tc>
        <w:tc>
          <w:tcPr>
            <w:tcW w:w="2835" w:type="dxa"/>
            <w:vAlign w:val="center"/>
          </w:tcPr>
          <w:p w14:paraId="3F6F5A66">
            <w:pPr>
              <w:pStyle w:val="10"/>
            </w:pPr>
            <w:r>
              <w:t>价值（金额单位：万元）</w:t>
            </w:r>
          </w:p>
        </w:tc>
      </w:tr>
      <w:tr w14:paraId="75DE2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8FB8C5">
            <w:pPr>
              <w:pStyle w:val="12"/>
            </w:pPr>
            <w:r>
              <w:t>资产总额</w:t>
            </w:r>
          </w:p>
        </w:tc>
        <w:tc>
          <w:tcPr>
            <w:tcW w:w="2835" w:type="dxa"/>
            <w:vAlign w:val="center"/>
          </w:tcPr>
          <w:p w14:paraId="0B0A1A6E">
            <w:pPr>
              <w:pStyle w:val="13"/>
            </w:pPr>
          </w:p>
        </w:tc>
        <w:tc>
          <w:tcPr>
            <w:tcW w:w="2835" w:type="dxa"/>
            <w:vAlign w:val="center"/>
          </w:tcPr>
          <w:p w14:paraId="6FB6EE72">
            <w:pPr>
              <w:pStyle w:val="11"/>
            </w:pPr>
            <w:r>
              <w:t>1693.91</w:t>
            </w:r>
          </w:p>
        </w:tc>
      </w:tr>
      <w:tr w14:paraId="28651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43AA25">
            <w:pPr>
              <w:pStyle w:val="12"/>
            </w:pPr>
            <w:r>
              <w:t>1、房屋（平方米）</w:t>
            </w:r>
          </w:p>
        </w:tc>
        <w:tc>
          <w:tcPr>
            <w:tcW w:w="2835" w:type="dxa"/>
            <w:vAlign w:val="center"/>
          </w:tcPr>
          <w:p w14:paraId="746C6A3F">
            <w:pPr>
              <w:pStyle w:val="13"/>
            </w:pPr>
            <w:r>
              <w:t>11583</w:t>
            </w:r>
          </w:p>
        </w:tc>
        <w:tc>
          <w:tcPr>
            <w:tcW w:w="2835" w:type="dxa"/>
            <w:vAlign w:val="center"/>
          </w:tcPr>
          <w:p w14:paraId="0E8F0C65">
            <w:pPr>
              <w:pStyle w:val="11"/>
            </w:pPr>
            <w:r>
              <w:t>1067.77</w:t>
            </w:r>
          </w:p>
        </w:tc>
      </w:tr>
      <w:tr w14:paraId="2970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914659">
            <w:pPr>
              <w:pStyle w:val="12"/>
            </w:pPr>
            <w:r>
              <w:t>　　其中：办公用房（平方米）</w:t>
            </w:r>
          </w:p>
        </w:tc>
        <w:tc>
          <w:tcPr>
            <w:tcW w:w="2835" w:type="dxa"/>
            <w:vAlign w:val="center"/>
          </w:tcPr>
          <w:p w14:paraId="4108F031">
            <w:pPr>
              <w:pStyle w:val="13"/>
            </w:pPr>
            <w:r>
              <w:t>600</w:t>
            </w:r>
          </w:p>
        </w:tc>
        <w:tc>
          <w:tcPr>
            <w:tcW w:w="2835" w:type="dxa"/>
            <w:vAlign w:val="center"/>
          </w:tcPr>
          <w:p w14:paraId="0E091000">
            <w:pPr>
              <w:pStyle w:val="11"/>
            </w:pPr>
            <w:r>
              <w:t>55.00</w:t>
            </w:r>
          </w:p>
        </w:tc>
      </w:tr>
      <w:tr w14:paraId="0C9E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665E71">
            <w:pPr>
              <w:pStyle w:val="12"/>
            </w:pPr>
            <w:r>
              <w:t>2、车辆（台、辆）</w:t>
            </w:r>
          </w:p>
        </w:tc>
        <w:tc>
          <w:tcPr>
            <w:tcW w:w="2835" w:type="dxa"/>
            <w:vAlign w:val="center"/>
          </w:tcPr>
          <w:p w14:paraId="2B310E66">
            <w:pPr>
              <w:pStyle w:val="13"/>
            </w:pPr>
          </w:p>
        </w:tc>
        <w:tc>
          <w:tcPr>
            <w:tcW w:w="2835" w:type="dxa"/>
            <w:vAlign w:val="center"/>
          </w:tcPr>
          <w:p w14:paraId="26757B4C">
            <w:pPr>
              <w:pStyle w:val="11"/>
            </w:pPr>
          </w:p>
        </w:tc>
      </w:tr>
      <w:tr w14:paraId="13C83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0A74B4">
            <w:pPr>
              <w:pStyle w:val="12"/>
            </w:pPr>
            <w:r>
              <w:t>3、单价在20万元以上的设备</w:t>
            </w:r>
          </w:p>
        </w:tc>
        <w:tc>
          <w:tcPr>
            <w:tcW w:w="2835" w:type="dxa"/>
            <w:vAlign w:val="center"/>
          </w:tcPr>
          <w:p w14:paraId="34463796">
            <w:pPr>
              <w:pStyle w:val="13"/>
            </w:pPr>
          </w:p>
        </w:tc>
        <w:tc>
          <w:tcPr>
            <w:tcW w:w="2835" w:type="dxa"/>
            <w:vAlign w:val="center"/>
          </w:tcPr>
          <w:p w14:paraId="41BE669F">
            <w:pPr>
              <w:pStyle w:val="11"/>
            </w:pPr>
          </w:p>
        </w:tc>
      </w:tr>
      <w:tr w14:paraId="59E8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4BDF7">
            <w:pPr>
              <w:pStyle w:val="12"/>
            </w:pPr>
            <w:r>
              <w:t>4、其他固定资产</w:t>
            </w:r>
          </w:p>
        </w:tc>
        <w:tc>
          <w:tcPr>
            <w:tcW w:w="2835" w:type="dxa"/>
            <w:vAlign w:val="center"/>
          </w:tcPr>
          <w:p w14:paraId="79014845">
            <w:pPr>
              <w:pStyle w:val="13"/>
            </w:pPr>
            <w:r>
              <w:t>15556</w:t>
            </w:r>
          </w:p>
        </w:tc>
        <w:tc>
          <w:tcPr>
            <w:tcW w:w="2835" w:type="dxa"/>
            <w:vAlign w:val="center"/>
          </w:tcPr>
          <w:p w14:paraId="5ED80FAC">
            <w:pPr>
              <w:pStyle w:val="11"/>
            </w:pPr>
            <w:r>
              <w:t>626.14</w:t>
            </w:r>
          </w:p>
        </w:tc>
      </w:tr>
    </w:tbl>
    <w:p w14:paraId="358F4606">
      <w:pPr>
        <w:spacing w:before="0" w:after="0"/>
        <w:ind w:firstLine="640"/>
        <w:jc w:val="left"/>
        <w:outlineLvl w:val="9"/>
      </w:pPr>
      <w:r>
        <w:rPr>
          <w:rFonts w:ascii="Times New Roman" w:hAnsi="Times New Roman" w:eastAsia="方正仿宋_GBK" w:cs="Times New Roman"/>
          <w:color w:val="000000"/>
          <w:sz w:val="32"/>
        </w:rPr>
        <w:t xml:space="preserve"> </w:t>
      </w:r>
    </w:p>
    <w:p w14:paraId="589E3737">
      <w:pPr>
        <w:spacing w:before="10" w:after="10" w:line="240" w:lineRule="auto"/>
        <w:ind w:firstLine="640"/>
        <w:jc w:val="left"/>
        <w:outlineLvl w:val="5"/>
      </w:pPr>
      <w:r>
        <w:rPr>
          <w:rFonts w:ascii="黑体" w:hAnsi="黑体" w:eastAsia="黑体" w:cs="黑体"/>
          <w:color w:val="000000"/>
          <w:sz w:val="32"/>
        </w:rPr>
        <w:t>八、名词解释</w:t>
      </w:r>
    </w:p>
    <w:p w14:paraId="5BB9866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E95218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8BCB5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EE15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F760F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2373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9FCF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851C3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9416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33AE7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2A2578">
      <w:pPr>
        <w:spacing w:before="10" w:after="10" w:line="240" w:lineRule="auto"/>
        <w:ind w:firstLine="640"/>
        <w:jc w:val="left"/>
        <w:outlineLvl w:val="5"/>
      </w:pPr>
      <w:r>
        <w:rPr>
          <w:rFonts w:ascii="黑体" w:hAnsi="黑体" w:eastAsia="黑体" w:cs="黑体"/>
          <w:color w:val="000000"/>
          <w:sz w:val="32"/>
        </w:rPr>
        <w:t>九、其他需要说明的事项</w:t>
      </w:r>
    </w:p>
    <w:p w14:paraId="4B0A961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C07C202">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七、隆尧县牛家桥中学收支预算</w:t>
      </w:r>
      <w:bookmarkEnd w:id="6"/>
    </w:p>
    <w:p w14:paraId="22895E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DD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B6B79C">
            <w:pPr>
              <w:pStyle w:val="9"/>
            </w:pPr>
            <w:r>
              <w:t>360008隆尧县牛家桥中学</w:t>
            </w:r>
          </w:p>
        </w:tc>
        <w:tc>
          <w:tcPr>
            <w:tcW w:w="2126" w:type="dxa"/>
            <w:tcBorders>
              <w:top w:val="single" w:color="FFFFFF" w:sz="6" w:space="0"/>
              <w:left w:val="single" w:color="FFFFFF" w:sz="6" w:space="0"/>
              <w:right w:val="single" w:color="FFFFFF" w:sz="6" w:space="0"/>
            </w:tcBorders>
            <w:vAlign w:val="center"/>
          </w:tcPr>
          <w:p w14:paraId="66F6D41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67F173">
            <w:pPr>
              <w:pStyle w:val="7"/>
            </w:pPr>
            <w:r>
              <w:t>单位：万元</w:t>
            </w:r>
          </w:p>
        </w:tc>
      </w:tr>
      <w:tr w14:paraId="2D76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215A5">
            <w:pPr>
              <w:pStyle w:val="10"/>
            </w:pPr>
            <w:r>
              <w:t>序号</w:t>
            </w:r>
          </w:p>
        </w:tc>
        <w:tc>
          <w:tcPr>
            <w:tcW w:w="6661" w:type="dxa"/>
            <w:gridSpan w:val="2"/>
            <w:vAlign w:val="center"/>
          </w:tcPr>
          <w:p w14:paraId="768D1E11">
            <w:pPr>
              <w:pStyle w:val="10"/>
            </w:pPr>
            <w:r>
              <w:t>收入</w:t>
            </w:r>
          </w:p>
        </w:tc>
        <w:tc>
          <w:tcPr>
            <w:tcW w:w="6661" w:type="dxa"/>
            <w:gridSpan w:val="2"/>
            <w:vAlign w:val="center"/>
          </w:tcPr>
          <w:p w14:paraId="0D73EA26">
            <w:pPr>
              <w:pStyle w:val="10"/>
            </w:pPr>
            <w:r>
              <w:t>支出</w:t>
            </w:r>
          </w:p>
        </w:tc>
      </w:tr>
      <w:tr w14:paraId="403B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6F7DC"/>
        </w:tc>
        <w:tc>
          <w:tcPr>
            <w:tcW w:w="4535" w:type="dxa"/>
            <w:vAlign w:val="center"/>
          </w:tcPr>
          <w:p w14:paraId="3AC894AB">
            <w:pPr>
              <w:pStyle w:val="10"/>
            </w:pPr>
            <w:r>
              <w:t>项  目</w:t>
            </w:r>
          </w:p>
        </w:tc>
        <w:tc>
          <w:tcPr>
            <w:tcW w:w="2126" w:type="dxa"/>
            <w:vAlign w:val="center"/>
          </w:tcPr>
          <w:p w14:paraId="05B6F905">
            <w:pPr>
              <w:pStyle w:val="10"/>
            </w:pPr>
            <w:r>
              <w:t>预算数</w:t>
            </w:r>
          </w:p>
        </w:tc>
        <w:tc>
          <w:tcPr>
            <w:tcW w:w="4535" w:type="dxa"/>
            <w:vAlign w:val="center"/>
          </w:tcPr>
          <w:p w14:paraId="5BAC9F99">
            <w:pPr>
              <w:pStyle w:val="10"/>
            </w:pPr>
            <w:r>
              <w:t>项  目</w:t>
            </w:r>
          </w:p>
        </w:tc>
        <w:tc>
          <w:tcPr>
            <w:tcW w:w="2126" w:type="dxa"/>
            <w:vAlign w:val="center"/>
          </w:tcPr>
          <w:p w14:paraId="4D9B0C5A">
            <w:pPr>
              <w:pStyle w:val="10"/>
            </w:pPr>
            <w:r>
              <w:t>预算数</w:t>
            </w:r>
          </w:p>
        </w:tc>
      </w:tr>
      <w:tr w14:paraId="6491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3821EE">
            <w:pPr>
              <w:pStyle w:val="10"/>
            </w:pPr>
            <w:r>
              <w:t>栏次</w:t>
            </w:r>
          </w:p>
        </w:tc>
        <w:tc>
          <w:tcPr>
            <w:tcW w:w="4535" w:type="dxa"/>
            <w:vAlign w:val="center"/>
          </w:tcPr>
          <w:p w14:paraId="4CE65BCE">
            <w:pPr>
              <w:pStyle w:val="10"/>
            </w:pPr>
            <w:r>
              <w:t>1</w:t>
            </w:r>
          </w:p>
        </w:tc>
        <w:tc>
          <w:tcPr>
            <w:tcW w:w="2126" w:type="dxa"/>
            <w:vAlign w:val="center"/>
          </w:tcPr>
          <w:p w14:paraId="0DFBEB07">
            <w:pPr>
              <w:pStyle w:val="10"/>
            </w:pPr>
            <w:r>
              <w:t>2</w:t>
            </w:r>
          </w:p>
        </w:tc>
        <w:tc>
          <w:tcPr>
            <w:tcW w:w="4535" w:type="dxa"/>
            <w:vAlign w:val="center"/>
          </w:tcPr>
          <w:p w14:paraId="16F1BAB9">
            <w:pPr>
              <w:pStyle w:val="10"/>
            </w:pPr>
            <w:r>
              <w:t>3</w:t>
            </w:r>
          </w:p>
        </w:tc>
        <w:tc>
          <w:tcPr>
            <w:tcW w:w="2126" w:type="dxa"/>
            <w:vAlign w:val="center"/>
          </w:tcPr>
          <w:p w14:paraId="4C622578">
            <w:pPr>
              <w:pStyle w:val="10"/>
            </w:pPr>
            <w:r>
              <w:t>4</w:t>
            </w:r>
          </w:p>
        </w:tc>
      </w:tr>
      <w:tr w14:paraId="055E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BF02">
            <w:pPr>
              <w:pStyle w:val="13"/>
            </w:pPr>
            <w:r>
              <w:t>1</w:t>
            </w:r>
          </w:p>
        </w:tc>
        <w:tc>
          <w:tcPr>
            <w:tcW w:w="4535" w:type="dxa"/>
            <w:vAlign w:val="center"/>
          </w:tcPr>
          <w:p w14:paraId="1763AF34">
            <w:pPr>
              <w:pStyle w:val="12"/>
            </w:pPr>
            <w:r>
              <w:t>一、一般公共预算拨款收入</w:t>
            </w:r>
          </w:p>
        </w:tc>
        <w:tc>
          <w:tcPr>
            <w:tcW w:w="2126" w:type="dxa"/>
            <w:vAlign w:val="center"/>
          </w:tcPr>
          <w:p w14:paraId="7D4B3469">
            <w:pPr>
              <w:pStyle w:val="11"/>
            </w:pPr>
            <w:r>
              <w:t>714.80</w:t>
            </w:r>
          </w:p>
        </w:tc>
        <w:tc>
          <w:tcPr>
            <w:tcW w:w="4535" w:type="dxa"/>
            <w:vAlign w:val="center"/>
          </w:tcPr>
          <w:p w14:paraId="1F0CAAC0">
            <w:pPr>
              <w:pStyle w:val="12"/>
            </w:pPr>
            <w:r>
              <w:t>一、一般公共服务支出</w:t>
            </w:r>
          </w:p>
        </w:tc>
        <w:tc>
          <w:tcPr>
            <w:tcW w:w="2126" w:type="dxa"/>
            <w:vAlign w:val="center"/>
          </w:tcPr>
          <w:p w14:paraId="5C24B3E1">
            <w:pPr>
              <w:pStyle w:val="11"/>
            </w:pPr>
          </w:p>
        </w:tc>
      </w:tr>
      <w:tr w14:paraId="0A13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8FC01">
            <w:pPr>
              <w:pStyle w:val="13"/>
            </w:pPr>
            <w:r>
              <w:t>2</w:t>
            </w:r>
          </w:p>
        </w:tc>
        <w:tc>
          <w:tcPr>
            <w:tcW w:w="4535" w:type="dxa"/>
            <w:vAlign w:val="center"/>
          </w:tcPr>
          <w:p w14:paraId="32B880DA">
            <w:pPr>
              <w:pStyle w:val="12"/>
            </w:pPr>
            <w:r>
              <w:t>二、政府性基金预算拨款收入</w:t>
            </w:r>
          </w:p>
        </w:tc>
        <w:tc>
          <w:tcPr>
            <w:tcW w:w="2126" w:type="dxa"/>
            <w:vAlign w:val="center"/>
          </w:tcPr>
          <w:p w14:paraId="32B8F0D5">
            <w:pPr>
              <w:pStyle w:val="11"/>
            </w:pPr>
          </w:p>
        </w:tc>
        <w:tc>
          <w:tcPr>
            <w:tcW w:w="4535" w:type="dxa"/>
            <w:vAlign w:val="center"/>
          </w:tcPr>
          <w:p w14:paraId="3D4FE39E">
            <w:pPr>
              <w:pStyle w:val="12"/>
            </w:pPr>
            <w:r>
              <w:t>二、外交支出</w:t>
            </w:r>
          </w:p>
        </w:tc>
        <w:tc>
          <w:tcPr>
            <w:tcW w:w="2126" w:type="dxa"/>
            <w:vAlign w:val="center"/>
          </w:tcPr>
          <w:p w14:paraId="20B41D23">
            <w:pPr>
              <w:pStyle w:val="11"/>
            </w:pPr>
          </w:p>
        </w:tc>
      </w:tr>
      <w:tr w14:paraId="090C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093FA">
            <w:pPr>
              <w:pStyle w:val="13"/>
            </w:pPr>
            <w:r>
              <w:t>3</w:t>
            </w:r>
          </w:p>
        </w:tc>
        <w:tc>
          <w:tcPr>
            <w:tcW w:w="4535" w:type="dxa"/>
            <w:vAlign w:val="center"/>
          </w:tcPr>
          <w:p w14:paraId="77087623">
            <w:pPr>
              <w:pStyle w:val="12"/>
            </w:pPr>
            <w:r>
              <w:t>三、国有资本经营预算拨款收入</w:t>
            </w:r>
          </w:p>
        </w:tc>
        <w:tc>
          <w:tcPr>
            <w:tcW w:w="2126" w:type="dxa"/>
            <w:vAlign w:val="center"/>
          </w:tcPr>
          <w:p w14:paraId="391727B3">
            <w:pPr>
              <w:pStyle w:val="11"/>
            </w:pPr>
          </w:p>
        </w:tc>
        <w:tc>
          <w:tcPr>
            <w:tcW w:w="4535" w:type="dxa"/>
            <w:vAlign w:val="center"/>
          </w:tcPr>
          <w:p w14:paraId="770AF6AB">
            <w:pPr>
              <w:pStyle w:val="12"/>
            </w:pPr>
            <w:r>
              <w:t>三、国防支出</w:t>
            </w:r>
          </w:p>
        </w:tc>
        <w:tc>
          <w:tcPr>
            <w:tcW w:w="2126" w:type="dxa"/>
            <w:vAlign w:val="center"/>
          </w:tcPr>
          <w:p w14:paraId="5F6C1137">
            <w:pPr>
              <w:pStyle w:val="11"/>
            </w:pPr>
          </w:p>
        </w:tc>
      </w:tr>
      <w:tr w14:paraId="3897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9FDBD">
            <w:pPr>
              <w:pStyle w:val="13"/>
            </w:pPr>
            <w:r>
              <w:t>4</w:t>
            </w:r>
          </w:p>
        </w:tc>
        <w:tc>
          <w:tcPr>
            <w:tcW w:w="4535" w:type="dxa"/>
            <w:vAlign w:val="center"/>
          </w:tcPr>
          <w:p w14:paraId="23DD5C89">
            <w:pPr>
              <w:pStyle w:val="12"/>
            </w:pPr>
            <w:r>
              <w:t>四、财政专户管理资金收入</w:t>
            </w:r>
          </w:p>
        </w:tc>
        <w:tc>
          <w:tcPr>
            <w:tcW w:w="2126" w:type="dxa"/>
            <w:vAlign w:val="center"/>
          </w:tcPr>
          <w:p w14:paraId="4975075D">
            <w:pPr>
              <w:pStyle w:val="11"/>
            </w:pPr>
          </w:p>
        </w:tc>
        <w:tc>
          <w:tcPr>
            <w:tcW w:w="4535" w:type="dxa"/>
            <w:vAlign w:val="center"/>
          </w:tcPr>
          <w:p w14:paraId="14A67965">
            <w:pPr>
              <w:pStyle w:val="12"/>
            </w:pPr>
            <w:r>
              <w:t>四、公共安全支出</w:t>
            </w:r>
          </w:p>
        </w:tc>
        <w:tc>
          <w:tcPr>
            <w:tcW w:w="2126" w:type="dxa"/>
            <w:vAlign w:val="center"/>
          </w:tcPr>
          <w:p w14:paraId="7916EFEA">
            <w:pPr>
              <w:pStyle w:val="11"/>
            </w:pPr>
          </w:p>
        </w:tc>
      </w:tr>
      <w:tr w14:paraId="541BE75C">
        <w:tblPrEx>
          <w:tblCellMar>
            <w:top w:w="0" w:type="dxa"/>
            <w:left w:w="108" w:type="dxa"/>
            <w:bottom w:w="0" w:type="dxa"/>
            <w:right w:w="108" w:type="dxa"/>
          </w:tblCellMar>
        </w:tblPrEx>
        <w:trPr>
          <w:trHeight w:val="369" w:hRule="atLeast"/>
          <w:jc w:val="center"/>
        </w:trPr>
        <w:tc>
          <w:tcPr>
            <w:tcW w:w="850" w:type="dxa"/>
            <w:vAlign w:val="center"/>
          </w:tcPr>
          <w:p w14:paraId="5E784C5B">
            <w:pPr>
              <w:pStyle w:val="13"/>
            </w:pPr>
            <w:r>
              <w:t>5</w:t>
            </w:r>
          </w:p>
        </w:tc>
        <w:tc>
          <w:tcPr>
            <w:tcW w:w="4535" w:type="dxa"/>
            <w:vAlign w:val="center"/>
          </w:tcPr>
          <w:p w14:paraId="3D10C314">
            <w:pPr>
              <w:pStyle w:val="12"/>
            </w:pPr>
            <w:r>
              <w:t>五、单位资金</w:t>
            </w:r>
          </w:p>
        </w:tc>
        <w:tc>
          <w:tcPr>
            <w:tcW w:w="2126" w:type="dxa"/>
            <w:vAlign w:val="center"/>
          </w:tcPr>
          <w:p w14:paraId="11C2D80B">
            <w:pPr>
              <w:pStyle w:val="11"/>
            </w:pPr>
          </w:p>
        </w:tc>
        <w:tc>
          <w:tcPr>
            <w:tcW w:w="4535" w:type="dxa"/>
            <w:vAlign w:val="center"/>
          </w:tcPr>
          <w:p w14:paraId="19DA3625">
            <w:pPr>
              <w:pStyle w:val="12"/>
            </w:pPr>
            <w:r>
              <w:t>五、教育支出</w:t>
            </w:r>
          </w:p>
        </w:tc>
        <w:tc>
          <w:tcPr>
            <w:tcW w:w="2126" w:type="dxa"/>
            <w:vAlign w:val="center"/>
          </w:tcPr>
          <w:p w14:paraId="405B044D">
            <w:pPr>
              <w:pStyle w:val="11"/>
            </w:pPr>
            <w:r>
              <w:t>714.80</w:t>
            </w:r>
          </w:p>
        </w:tc>
      </w:tr>
      <w:tr w14:paraId="3FA9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2E605">
            <w:pPr>
              <w:pStyle w:val="13"/>
            </w:pPr>
            <w:r>
              <w:t>6</w:t>
            </w:r>
          </w:p>
        </w:tc>
        <w:tc>
          <w:tcPr>
            <w:tcW w:w="4535" w:type="dxa"/>
            <w:vAlign w:val="center"/>
          </w:tcPr>
          <w:p w14:paraId="0AF6633C">
            <w:pPr>
              <w:pStyle w:val="12"/>
            </w:pPr>
          </w:p>
        </w:tc>
        <w:tc>
          <w:tcPr>
            <w:tcW w:w="2126" w:type="dxa"/>
            <w:vAlign w:val="center"/>
          </w:tcPr>
          <w:p w14:paraId="3B65C7C2">
            <w:pPr>
              <w:pStyle w:val="11"/>
            </w:pPr>
          </w:p>
        </w:tc>
        <w:tc>
          <w:tcPr>
            <w:tcW w:w="4535" w:type="dxa"/>
            <w:vAlign w:val="center"/>
          </w:tcPr>
          <w:p w14:paraId="4C782FA9">
            <w:pPr>
              <w:pStyle w:val="12"/>
            </w:pPr>
            <w:r>
              <w:t>六、科学技术支出</w:t>
            </w:r>
          </w:p>
        </w:tc>
        <w:tc>
          <w:tcPr>
            <w:tcW w:w="2126" w:type="dxa"/>
            <w:vAlign w:val="center"/>
          </w:tcPr>
          <w:p w14:paraId="0C8F7B2C">
            <w:pPr>
              <w:pStyle w:val="11"/>
            </w:pPr>
          </w:p>
        </w:tc>
      </w:tr>
      <w:tr w14:paraId="021C1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EBC3">
            <w:pPr>
              <w:pStyle w:val="13"/>
            </w:pPr>
            <w:r>
              <w:t>7</w:t>
            </w:r>
          </w:p>
        </w:tc>
        <w:tc>
          <w:tcPr>
            <w:tcW w:w="4535" w:type="dxa"/>
            <w:vAlign w:val="center"/>
          </w:tcPr>
          <w:p w14:paraId="7649B4A0">
            <w:pPr>
              <w:pStyle w:val="12"/>
            </w:pPr>
          </w:p>
        </w:tc>
        <w:tc>
          <w:tcPr>
            <w:tcW w:w="2126" w:type="dxa"/>
            <w:vAlign w:val="center"/>
          </w:tcPr>
          <w:p w14:paraId="5FEC928B">
            <w:pPr>
              <w:pStyle w:val="11"/>
            </w:pPr>
          </w:p>
        </w:tc>
        <w:tc>
          <w:tcPr>
            <w:tcW w:w="4535" w:type="dxa"/>
            <w:vAlign w:val="center"/>
          </w:tcPr>
          <w:p w14:paraId="4DE14DC2">
            <w:pPr>
              <w:pStyle w:val="12"/>
            </w:pPr>
            <w:r>
              <w:t>七、文化旅游体育与传媒支出</w:t>
            </w:r>
          </w:p>
        </w:tc>
        <w:tc>
          <w:tcPr>
            <w:tcW w:w="2126" w:type="dxa"/>
            <w:vAlign w:val="center"/>
          </w:tcPr>
          <w:p w14:paraId="6A819B7C">
            <w:pPr>
              <w:pStyle w:val="11"/>
            </w:pPr>
          </w:p>
        </w:tc>
      </w:tr>
      <w:tr w14:paraId="0FAA6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B2FE">
            <w:pPr>
              <w:pStyle w:val="13"/>
            </w:pPr>
            <w:r>
              <w:t>8</w:t>
            </w:r>
          </w:p>
        </w:tc>
        <w:tc>
          <w:tcPr>
            <w:tcW w:w="4535" w:type="dxa"/>
            <w:vAlign w:val="center"/>
          </w:tcPr>
          <w:p w14:paraId="57E92036">
            <w:pPr>
              <w:pStyle w:val="12"/>
            </w:pPr>
          </w:p>
        </w:tc>
        <w:tc>
          <w:tcPr>
            <w:tcW w:w="2126" w:type="dxa"/>
            <w:vAlign w:val="center"/>
          </w:tcPr>
          <w:p w14:paraId="331E9D5F">
            <w:pPr>
              <w:pStyle w:val="11"/>
            </w:pPr>
          </w:p>
        </w:tc>
        <w:tc>
          <w:tcPr>
            <w:tcW w:w="4535" w:type="dxa"/>
            <w:vAlign w:val="center"/>
          </w:tcPr>
          <w:p w14:paraId="3B456108">
            <w:pPr>
              <w:pStyle w:val="12"/>
            </w:pPr>
            <w:r>
              <w:t>八、社会保障和就业支出</w:t>
            </w:r>
          </w:p>
        </w:tc>
        <w:tc>
          <w:tcPr>
            <w:tcW w:w="2126" w:type="dxa"/>
            <w:vAlign w:val="center"/>
          </w:tcPr>
          <w:p w14:paraId="41496FEB">
            <w:pPr>
              <w:pStyle w:val="11"/>
            </w:pPr>
          </w:p>
        </w:tc>
      </w:tr>
      <w:tr w14:paraId="0214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06ED">
            <w:pPr>
              <w:pStyle w:val="13"/>
            </w:pPr>
            <w:r>
              <w:t>9</w:t>
            </w:r>
          </w:p>
        </w:tc>
        <w:tc>
          <w:tcPr>
            <w:tcW w:w="4535" w:type="dxa"/>
            <w:vAlign w:val="center"/>
          </w:tcPr>
          <w:p w14:paraId="0768248E">
            <w:pPr>
              <w:pStyle w:val="12"/>
            </w:pPr>
          </w:p>
        </w:tc>
        <w:tc>
          <w:tcPr>
            <w:tcW w:w="2126" w:type="dxa"/>
            <w:vAlign w:val="center"/>
          </w:tcPr>
          <w:p w14:paraId="377B6874">
            <w:pPr>
              <w:pStyle w:val="11"/>
            </w:pPr>
          </w:p>
        </w:tc>
        <w:tc>
          <w:tcPr>
            <w:tcW w:w="4535" w:type="dxa"/>
            <w:vAlign w:val="center"/>
          </w:tcPr>
          <w:p w14:paraId="69D5FA45">
            <w:pPr>
              <w:pStyle w:val="12"/>
            </w:pPr>
            <w:r>
              <w:t>九、社会保险基金支出</w:t>
            </w:r>
          </w:p>
        </w:tc>
        <w:tc>
          <w:tcPr>
            <w:tcW w:w="2126" w:type="dxa"/>
            <w:vAlign w:val="center"/>
          </w:tcPr>
          <w:p w14:paraId="7F4E502B">
            <w:pPr>
              <w:pStyle w:val="11"/>
            </w:pPr>
          </w:p>
        </w:tc>
      </w:tr>
      <w:tr w14:paraId="6642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89FBB">
            <w:pPr>
              <w:pStyle w:val="13"/>
            </w:pPr>
            <w:r>
              <w:t>10</w:t>
            </w:r>
          </w:p>
        </w:tc>
        <w:tc>
          <w:tcPr>
            <w:tcW w:w="4535" w:type="dxa"/>
            <w:vAlign w:val="center"/>
          </w:tcPr>
          <w:p w14:paraId="13EBF9C7">
            <w:pPr>
              <w:pStyle w:val="12"/>
            </w:pPr>
          </w:p>
        </w:tc>
        <w:tc>
          <w:tcPr>
            <w:tcW w:w="2126" w:type="dxa"/>
            <w:vAlign w:val="center"/>
          </w:tcPr>
          <w:p w14:paraId="58371D32">
            <w:pPr>
              <w:pStyle w:val="11"/>
            </w:pPr>
          </w:p>
        </w:tc>
        <w:tc>
          <w:tcPr>
            <w:tcW w:w="4535" w:type="dxa"/>
            <w:vAlign w:val="center"/>
          </w:tcPr>
          <w:p w14:paraId="29936D5C">
            <w:pPr>
              <w:pStyle w:val="12"/>
            </w:pPr>
            <w:r>
              <w:t>十、卫生健康支出</w:t>
            </w:r>
          </w:p>
        </w:tc>
        <w:tc>
          <w:tcPr>
            <w:tcW w:w="2126" w:type="dxa"/>
            <w:vAlign w:val="center"/>
          </w:tcPr>
          <w:p w14:paraId="6C9B8DAE">
            <w:pPr>
              <w:pStyle w:val="11"/>
            </w:pPr>
          </w:p>
        </w:tc>
      </w:tr>
      <w:tr w14:paraId="41A3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E001D">
            <w:pPr>
              <w:pStyle w:val="13"/>
            </w:pPr>
            <w:r>
              <w:t>11</w:t>
            </w:r>
          </w:p>
        </w:tc>
        <w:tc>
          <w:tcPr>
            <w:tcW w:w="4535" w:type="dxa"/>
            <w:vAlign w:val="center"/>
          </w:tcPr>
          <w:p w14:paraId="5A9CFEB0">
            <w:pPr>
              <w:pStyle w:val="12"/>
            </w:pPr>
          </w:p>
        </w:tc>
        <w:tc>
          <w:tcPr>
            <w:tcW w:w="2126" w:type="dxa"/>
            <w:vAlign w:val="center"/>
          </w:tcPr>
          <w:p w14:paraId="46D84578">
            <w:pPr>
              <w:pStyle w:val="11"/>
            </w:pPr>
          </w:p>
        </w:tc>
        <w:tc>
          <w:tcPr>
            <w:tcW w:w="4535" w:type="dxa"/>
            <w:vAlign w:val="center"/>
          </w:tcPr>
          <w:p w14:paraId="3B4E593D">
            <w:pPr>
              <w:pStyle w:val="12"/>
            </w:pPr>
            <w:r>
              <w:t>十一、节能环保支出</w:t>
            </w:r>
          </w:p>
        </w:tc>
        <w:tc>
          <w:tcPr>
            <w:tcW w:w="2126" w:type="dxa"/>
            <w:vAlign w:val="center"/>
          </w:tcPr>
          <w:p w14:paraId="30282004">
            <w:pPr>
              <w:pStyle w:val="11"/>
            </w:pPr>
          </w:p>
        </w:tc>
      </w:tr>
      <w:tr w14:paraId="2E54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D7FA2">
            <w:pPr>
              <w:pStyle w:val="13"/>
            </w:pPr>
            <w:r>
              <w:t>12</w:t>
            </w:r>
          </w:p>
        </w:tc>
        <w:tc>
          <w:tcPr>
            <w:tcW w:w="4535" w:type="dxa"/>
            <w:vAlign w:val="center"/>
          </w:tcPr>
          <w:p w14:paraId="2C2C94CA">
            <w:pPr>
              <w:pStyle w:val="12"/>
            </w:pPr>
          </w:p>
        </w:tc>
        <w:tc>
          <w:tcPr>
            <w:tcW w:w="2126" w:type="dxa"/>
            <w:vAlign w:val="center"/>
          </w:tcPr>
          <w:p w14:paraId="2E7374FD">
            <w:pPr>
              <w:pStyle w:val="11"/>
            </w:pPr>
          </w:p>
        </w:tc>
        <w:tc>
          <w:tcPr>
            <w:tcW w:w="4535" w:type="dxa"/>
            <w:vAlign w:val="center"/>
          </w:tcPr>
          <w:p w14:paraId="2694D347">
            <w:pPr>
              <w:pStyle w:val="12"/>
            </w:pPr>
            <w:r>
              <w:t>十二、城乡社区支出</w:t>
            </w:r>
          </w:p>
        </w:tc>
        <w:tc>
          <w:tcPr>
            <w:tcW w:w="2126" w:type="dxa"/>
            <w:vAlign w:val="center"/>
          </w:tcPr>
          <w:p w14:paraId="0BBF5CF2">
            <w:pPr>
              <w:pStyle w:val="11"/>
            </w:pPr>
          </w:p>
        </w:tc>
      </w:tr>
      <w:tr w14:paraId="5A75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6B201">
            <w:pPr>
              <w:pStyle w:val="13"/>
            </w:pPr>
            <w:r>
              <w:t>13</w:t>
            </w:r>
          </w:p>
        </w:tc>
        <w:tc>
          <w:tcPr>
            <w:tcW w:w="4535" w:type="dxa"/>
            <w:vAlign w:val="center"/>
          </w:tcPr>
          <w:p w14:paraId="5D68DBD0">
            <w:pPr>
              <w:pStyle w:val="12"/>
            </w:pPr>
          </w:p>
        </w:tc>
        <w:tc>
          <w:tcPr>
            <w:tcW w:w="2126" w:type="dxa"/>
            <w:vAlign w:val="center"/>
          </w:tcPr>
          <w:p w14:paraId="73D6F907">
            <w:pPr>
              <w:pStyle w:val="11"/>
            </w:pPr>
          </w:p>
        </w:tc>
        <w:tc>
          <w:tcPr>
            <w:tcW w:w="4535" w:type="dxa"/>
            <w:vAlign w:val="center"/>
          </w:tcPr>
          <w:p w14:paraId="543FAF83">
            <w:pPr>
              <w:pStyle w:val="12"/>
            </w:pPr>
            <w:r>
              <w:t>十三、农林水支出</w:t>
            </w:r>
          </w:p>
        </w:tc>
        <w:tc>
          <w:tcPr>
            <w:tcW w:w="2126" w:type="dxa"/>
            <w:vAlign w:val="center"/>
          </w:tcPr>
          <w:p w14:paraId="28EB4B90">
            <w:pPr>
              <w:pStyle w:val="11"/>
            </w:pPr>
          </w:p>
        </w:tc>
      </w:tr>
      <w:tr w14:paraId="25BF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42F9D">
            <w:pPr>
              <w:pStyle w:val="13"/>
            </w:pPr>
            <w:r>
              <w:t>14</w:t>
            </w:r>
          </w:p>
        </w:tc>
        <w:tc>
          <w:tcPr>
            <w:tcW w:w="4535" w:type="dxa"/>
            <w:vAlign w:val="center"/>
          </w:tcPr>
          <w:p w14:paraId="266C9E47">
            <w:pPr>
              <w:pStyle w:val="12"/>
            </w:pPr>
          </w:p>
        </w:tc>
        <w:tc>
          <w:tcPr>
            <w:tcW w:w="2126" w:type="dxa"/>
            <w:vAlign w:val="center"/>
          </w:tcPr>
          <w:p w14:paraId="19228F05">
            <w:pPr>
              <w:pStyle w:val="11"/>
            </w:pPr>
          </w:p>
        </w:tc>
        <w:tc>
          <w:tcPr>
            <w:tcW w:w="4535" w:type="dxa"/>
            <w:vAlign w:val="center"/>
          </w:tcPr>
          <w:p w14:paraId="5C5C86FA">
            <w:pPr>
              <w:pStyle w:val="12"/>
            </w:pPr>
            <w:r>
              <w:t>十四、交通运输支出</w:t>
            </w:r>
          </w:p>
        </w:tc>
        <w:tc>
          <w:tcPr>
            <w:tcW w:w="2126" w:type="dxa"/>
            <w:vAlign w:val="center"/>
          </w:tcPr>
          <w:p w14:paraId="618F8308">
            <w:pPr>
              <w:pStyle w:val="11"/>
            </w:pPr>
          </w:p>
        </w:tc>
      </w:tr>
      <w:tr w14:paraId="028E7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BF2A1">
            <w:pPr>
              <w:pStyle w:val="13"/>
            </w:pPr>
            <w:r>
              <w:t>15</w:t>
            </w:r>
          </w:p>
        </w:tc>
        <w:tc>
          <w:tcPr>
            <w:tcW w:w="4535" w:type="dxa"/>
            <w:vAlign w:val="center"/>
          </w:tcPr>
          <w:p w14:paraId="360822E8">
            <w:pPr>
              <w:pStyle w:val="12"/>
            </w:pPr>
          </w:p>
        </w:tc>
        <w:tc>
          <w:tcPr>
            <w:tcW w:w="2126" w:type="dxa"/>
            <w:vAlign w:val="center"/>
          </w:tcPr>
          <w:p w14:paraId="71568FC7">
            <w:pPr>
              <w:pStyle w:val="11"/>
            </w:pPr>
          </w:p>
        </w:tc>
        <w:tc>
          <w:tcPr>
            <w:tcW w:w="4535" w:type="dxa"/>
            <w:vAlign w:val="center"/>
          </w:tcPr>
          <w:p w14:paraId="7D9FB845">
            <w:pPr>
              <w:pStyle w:val="12"/>
            </w:pPr>
            <w:r>
              <w:t>十五、资源勘探工业信息等支出</w:t>
            </w:r>
          </w:p>
        </w:tc>
        <w:tc>
          <w:tcPr>
            <w:tcW w:w="2126" w:type="dxa"/>
            <w:vAlign w:val="center"/>
          </w:tcPr>
          <w:p w14:paraId="59DC9DF8">
            <w:pPr>
              <w:pStyle w:val="11"/>
            </w:pPr>
          </w:p>
        </w:tc>
      </w:tr>
      <w:tr w14:paraId="601D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5048">
            <w:pPr>
              <w:pStyle w:val="13"/>
            </w:pPr>
            <w:r>
              <w:t>16</w:t>
            </w:r>
          </w:p>
        </w:tc>
        <w:tc>
          <w:tcPr>
            <w:tcW w:w="4535" w:type="dxa"/>
            <w:vAlign w:val="center"/>
          </w:tcPr>
          <w:p w14:paraId="381DA6A8">
            <w:pPr>
              <w:pStyle w:val="12"/>
            </w:pPr>
          </w:p>
        </w:tc>
        <w:tc>
          <w:tcPr>
            <w:tcW w:w="2126" w:type="dxa"/>
            <w:vAlign w:val="center"/>
          </w:tcPr>
          <w:p w14:paraId="0FF5F47D">
            <w:pPr>
              <w:pStyle w:val="11"/>
            </w:pPr>
          </w:p>
        </w:tc>
        <w:tc>
          <w:tcPr>
            <w:tcW w:w="4535" w:type="dxa"/>
            <w:vAlign w:val="center"/>
          </w:tcPr>
          <w:p w14:paraId="25A4BA72">
            <w:pPr>
              <w:pStyle w:val="12"/>
            </w:pPr>
            <w:r>
              <w:t>十六、商业服务业等支出</w:t>
            </w:r>
          </w:p>
        </w:tc>
        <w:tc>
          <w:tcPr>
            <w:tcW w:w="2126" w:type="dxa"/>
            <w:vAlign w:val="center"/>
          </w:tcPr>
          <w:p w14:paraId="2A8FAB94">
            <w:pPr>
              <w:pStyle w:val="11"/>
            </w:pPr>
          </w:p>
        </w:tc>
      </w:tr>
      <w:tr w14:paraId="1AFEFDA2">
        <w:tblPrEx>
          <w:tblCellMar>
            <w:top w:w="0" w:type="dxa"/>
            <w:left w:w="108" w:type="dxa"/>
            <w:bottom w:w="0" w:type="dxa"/>
            <w:right w:w="108" w:type="dxa"/>
          </w:tblCellMar>
        </w:tblPrEx>
        <w:trPr>
          <w:trHeight w:val="369" w:hRule="atLeast"/>
          <w:jc w:val="center"/>
        </w:trPr>
        <w:tc>
          <w:tcPr>
            <w:tcW w:w="850" w:type="dxa"/>
            <w:vAlign w:val="center"/>
          </w:tcPr>
          <w:p w14:paraId="03AEFBF3">
            <w:pPr>
              <w:pStyle w:val="13"/>
            </w:pPr>
            <w:r>
              <w:t>17</w:t>
            </w:r>
          </w:p>
        </w:tc>
        <w:tc>
          <w:tcPr>
            <w:tcW w:w="4535" w:type="dxa"/>
            <w:vAlign w:val="center"/>
          </w:tcPr>
          <w:p w14:paraId="64D86326">
            <w:pPr>
              <w:pStyle w:val="12"/>
            </w:pPr>
          </w:p>
        </w:tc>
        <w:tc>
          <w:tcPr>
            <w:tcW w:w="2126" w:type="dxa"/>
            <w:vAlign w:val="center"/>
          </w:tcPr>
          <w:p w14:paraId="44DAEFB7">
            <w:pPr>
              <w:pStyle w:val="11"/>
            </w:pPr>
          </w:p>
        </w:tc>
        <w:tc>
          <w:tcPr>
            <w:tcW w:w="4535" w:type="dxa"/>
            <w:vAlign w:val="center"/>
          </w:tcPr>
          <w:p w14:paraId="291CA93E">
            <w:pPr>
              <w:pStyle w:val="12"/>
            </w:pPr>
            <w:r>
              <w:t>十七、金融支出</w:t>
            </w:r>
          </w:p>
        </w:tc>
        <w:tc>
          <w:tcPr>
            <w:tcW w:w="2126" w:type="dxa"/>
            <w:vAlign w:val="center"/>
          </w:tcPr>
          <w:p w14:paraId="695BDDD4">
            <w:pPr>
              <w:pStyle w:val="11"/>
            </w:pPr>
          </w:p>
        </w:tc>
      </w:tr>
      <w:tr w14:paraId="7D80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E68BE">
            <w:pPr>
              <w:pStyle w:val="13"/>
            </w:pPr>
            <w:r>
              <w:t>18</w:t>
            </w:r>
          </w:p>
        </w:tc>
        <w:tc>
          <w:tcPr>
            <w:tcW w:w="4535" w:type="dxa"/>
            <w:vAlign w:val="center"/>
          </w:tcPr>
          <w:p w14:paraId="064881BA">
            <w:pPr>
              <w:pStyle w:val="12"/>
            </w:pPr>
          </w:p>
        </w:tc>
        <w:tc>
          <w:tcPr>
            <w:tcW w:w="2126" w:type="dxa"/>
            <w:vAlign w:val="center"/>
          </w:tcPr>
          <w:p w14:paraId="3A87CD1B">
            <w:pPr>
              <w:pStyle w:val="11"/>
            </w:pPr>
          </w:p>
        </w:tc>
        <w:tc>
          <w:tcPr>
            <w:tcW w:w="4535" w:type="dxa"/>
            <w:vAlign w:val="center"/>
          </w:tcPr>
          <w:p w14:paraId="313708FF">
            <w:pPr>
              <w:pStyle w:val="12"/>
            </w:pPr>
            <w:r>
              <w:t>十八、援助其他地区支出</w:t>
            </w:r>
          </w:p>
        </w:tc>
        <w:tc>
          <w:tcPr>
            <w:tcW w:w="2126" w:type="dxa"/>
            <w:vAlign w:val="center"/>
          </w:tcPr>
          <w:p w14:paraId="60615180">
            <w:pPr>
              <w:pStyle w:val="11"/>
            </w:pPr>
          </w:p>
        </w:tc>
      </w:tr>
      <w:tr w14:paraId="0D20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67F0">
            <w:pPr>
              <w:pStyle w:val="13"/>
            </w:pPr>
            <w:r>
              <w:t>19</w:t>
            </w:r>
          </w:p>
        </w:tc>
        <w:tc>
          <w:tcPr>
            <w:tcW w:w="4535" w:type="dxa"/>
            <w:vAlign w:val="center"/>
          </w:tcPr>
          <w:p w14:paraId="2A8A804F">
            <w:pPr>
              <w:pStyle w:val="12"/>
            </w:pPr>
          </w:p>
        </w:tc>
        <w:tc>
          <w:tcPr>
            <w:tcW w:w="2126" w:type="dxa"/>
            <w:vAlign w:val="center"/>
          </w:tcPr>
          <w:p w14:paraId="78CC3DE4">
            <w:pPr>
              <w:pStyle w:val="11"/>
            </w:pPr>
          </w:p>
        </w:tc>
        <w:tc>
          <w:tcPr>
            <w:tcW w:w="4535" w:type="dxa"/>
            <w:vAlign w:val="center"/>
          </w:tcPr>
          <w:p w14:paraId="2F54624E">
            <w:pPr>
              <w:pStyle w:val="12"/>
            </w:pPr>
            <w:r>
              <w:t>十九、自然资源海洋气象等支出</w:t>
            </w:r>
          </w:p>
        </w:tc>
        <w:tc>
          <w:tcPr>
            <w:tcW w:w="2126" w:type="dxa"/>
            <w:vAlign w:val="center"/>
          </w:tcPr>
          <w:p w14:paraId="43DBBF62">
            <w:pPr>
              <w:pStyle w:val="11"/>
            </w:pPr>
          </w:p>
        </w:tc>
      </w:tr>
      <w:tr w14:paraId="1265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9A1A">
            <w:pPr>
              <w:pStyle w:val="13"/>
            </w:pPr>
            <w:r>
              <w:t>20</w:t>
            </w:r>
          </w:p>
        </w:tc>
        <w:tc>
          <w:tcPr>
            <w:tcW w:w="4535" w:type="dxa"/>
            <w:vAlign w:val="center"/>
          </w:tcPr>
          <w:p w14:paraId="2E16828F">
            <w:pPr>
              <w:pStyle w:val="12"/>
            </w:pPr>
          </w:p>
        </w:tc>
        <w:tc>
          <w:tcPr>
            <w:tcW w:w="2126" w:type="dxa"/>
            <w:vAlign w:val="center"/>
          </w:tcPr>
          <w:p w14:paraId="254EF197">
            <w:pPr>
              <w:pStyle w:val="11"/>
            </w:pPr>
          </w:p>
        </w:tc>
        <w:tc>
          <w:tcPr>
            <w:tcW w:w="4535" w:type="dxa"/>
            <w:vAlign w:val="center"/>
          </w:tcPr>
          <w:p w14:paraId="28F06988">
            <w:pPr>
              <w:pStyle w:val="12"/>
            </w:pPr>
            <w:r>
              <w:t>二十、住房保障支出</w:t>
            </w:r>
          </w:p>
        </w:tc>
        <w:tc>
          <w:tcPr>
            <w:tcW w:w="2126" w:type="dxa"/>
            <w:vAlign w:val="center"/>
          </w:tcPr>
          <w:p w14:paraId="5A0CFC38">
            <w:pPr>
              <w:pStyle w:val="11"/>
            </w:pPr>
          </w:p>
        </w:tc>
      </w:tr>
      <w:tr w14:paraId="2137F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E7FB7">
            <w:pPr>
              <w:pStyle w:val="13"/>
            </w:pPr>
            <w:r>
              <w:t>21</w:t>
            </w:r>
          </w:p>
        </w:tc>
        <w:tc>
          <w:tcPr>
            <w:tcW w:w="4535" w:type="dxa"/>
            <w:vAlign w:val="center"/>
          </w:tcPr>
          <w:p w14:paraId="0C402F24">
            <w:pPr>
              <w:pStyle w:val="12"/>
            </w:pPr>
          </w:p>
        </w:tc>
        <w:tc>
          <w:tcPr>
            <w:tcW w:w="2126" w:type="dxa"/>
            <w:vAlign w:val="center"/>
          </w:tcPr>
          <w:p w14:paraId="459F7CDA">
            <w:pPr>
              <w:pStyle w:val="11"/>
            </w:pPr>
          </w:p>
        </w:tc>
        <w:tc>
          <w:tcPr>
            <w:tcW w:w="4535" w:type="dxa"/>
            <w:vAlign w:val="center"/>
          </w:tcPr>
          <w:p w14:paraId="7C07A2BE">
            <w:pPr>
              <w:pStyle w:val="12"/>
            </w:pPr>
            <w:r>
              <w:t>二十一、粮油物资储备支出</w:t>
            </w:r>
          </w:p>
        </w:tc>
        <w:tc>
          <w:tcPr>
            <w:tcW w:w="2126" w:type="dxa"/>
            <w:vAlign w:val="center"/>
          </w:tcPr>
          <w:p w14:paraId="40E975AA">
            <w:pPr>
              <w:pStyle w:val="11"/>
            </w:pPr>
          </w:p>
        </w:tc>
      </w:tr>
      <w:tr w14:paraId="4D7E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4FD5">
            <w:pPr>
              <w:pStyle w:val="13"/>
            </w:pPr>
            <w:r>
              <w:t>22</w:t>
            </w:r>
          </w:p>
        </w:tc>
        <w:tc>
          <w:tcPr>
            <w:tcW w:w="4535" w:type="dxa"/>
            <w:vAlign w:val="center"/>
          </w:tcPr>
          <w:p w14:paraId="17C4BE72">
            <w:pPr>
              <w:pStyle w:val="12"/>
            </w:pPr>
          </w:p>
        </w:tc>
        <w:tc>
          <w:tcPr>
            <w:tcW w:w="2126" w:type="dxa"/>
            <w:vAlign w:val="center"/>
          </w:tcPr>
          <w:p w14:paraId="4A10950D">
            <w:pPr>
              <w:pStyle w:val="11"/>
            </w:pPr>
          </w:p>
        </w:tc>
        <w:tc>
          <w:tcPr>
            <w:tcW w:w="4535" w:type="dxa"/>
            <w:vAlign w:val="center"/>
          </w:tcPr>
          <w:p w14:paraId="675FEDB5">
            <w:pPr>
              <w:pStyle w:val="12"/>
            </w:pPr>
            <w:r>
              <w:t>二十二、国有资本经营预算支出</w:t>
            </w:r>
          </w:p>
        </w:tc>
        <w:tc>
          <w:tcPr>
            <w:tcW w:w="2126" w:type="dxa"/>
            <w:vAlign w:val="center"/>
          </w:tcPr>
          <w:p w14:paraId="58919357">
            <w:pPr>
              <w:pStyle w:val="11"/>
            </w:pPr>
          </w:p>
        </w:tc>
      </w:tr>
      <w:tr w14:paraId="0D97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A11AD">
            <w:pPr>
              <w:pStyle w:val="13"/>
            </w:pPr>
            <w:r>
              <w:t>23</w:t>
            </w:r>
          </w:p>
        </w:tc>
        <w:tc>
          <w:tcPr>
            <w:tcW w:w="4535" w:type="dxa"/>
            <w:vAlign w:val="center"/>
          </w:tcPr>
          <w:p w14:paraId="5F149C7D">
            <w:pPr>
              <w:pStyle w:val="12"/>
            </w:pPr>
          </w:p>
        </w:tc>
        <w:tc>
          <w:tcPr>
            <w:tcW w:w="2126" w:type="dxa"/>
            <w:vAlign w:val="center"/>
          </w:tcPr>
          <w:p w14:paraId="4B0B973D">
            <w:pPr>
              <w:pStyle w:val="11"/>
            </w:pPr>
          </w:p>
        </w:tc>
        <w:tc>
          <w:tcPr>
            <w:tcW w:w="4535" w:type="dxa"/>
            <w:vAlign w:val="center"/>
          </w:tcPr>
          <w:p w14:paraId="3AB1F6D0">
            <w:pPr>
              <w:pStyle w:val="12"/>
            </w:pPr>
            <w:r>
              <w:t>二十三、灾害防治及应急管理支出</w:t>
            </w:r>
          </w:p>
        </w:tc>
        <w:tc>
          <w:tcPr>
            <w:tcW w:w="2126" w:type="dxa"/>
            <w:vAlign w:val="center"/>
          </w:tcPr>
          <w:p w14:paraId="26117F9C">
            <w:pPr>
              <w:pStyle w:val="11"/>
            </w:pPr>
          </w:p>
        </w:tc>
      </w:tr>
      <w:tr w14:paraId="21F2B50F">
        <w:tblPrEx>
          <w:tblCellMar>
            <w:top w:w="0" w:type="dxa"/>
            <w:left w:w="108" w:type="dxa"/>
            <w:bottom w:w="0" w:type="dxa"/>
            <w:right w:w="108" w:type="dxa"/>
          </w:tblCellMar>
        </w:tblPrEx>
        <w:trPr>
          <w:trHeight w:val="369" w:hRule="atLeast"/>
          <w:jc w:val="center"/>
        </w:trPr>
        <w:tc>
          <w:tcPr>
            <w:tcW w:w="850" w:type="dxa"/>
            <w:vAlign w:val="center"/>
          </w:tcPr>
          <w:p w14:paraId="11813E0D">
            <w:pPr>
              <w:pStyle w:val="13"/>
            </w:pPr>
            <w:r>
              <w:t>24</w:t>
            </w:r>
          </w:p>
        </w:tc>
        <w:tc>
          <w:tcPr>
            <w:tcW w:w="4535" w:type="dxa"/>
            <w:vAlign w:val="center"/>
          </w:tcPr>
          <w:p w14:paraId="0474AE31">
            <w:pPr>
              <w:pStyle w:val="12"/>
            </w:pPr>
          </w:p>
        </w:tc>
        <w:tc>
          <w:tcPr>
            <w:tcW w:w="2126" w:type="dxa"/>
            <w:vAlign w:val="center"/>
          </w:tcPr>
          <w:p w14:paraId="5FD69BFC">
            <w:pPr>
              <w:pStyle w:val="11"/>
            </w:pPr>
          </w:p>
        </w:tc>
        <w:tc>
          <w:tcPr>
            <w:tcW w:w="4535" w:type="dxa"/>
            <w:vAlign w:val="center"/>
          </w:tcPr>
          <w:p w14:paraId="60F9D0A0">
            <w:pPr>
              <w:pStyle w:val="12"/>
            </w:pPr>
            <w:r>
              <w:t>二十四、预备费</w:t>
            </w:r>
          </w:p>
        </w:tc>
        <w:tc>
          <w:tcPr>
            <w:tcW w:w="2126" w:type="dxa"/>
            <w:vAlign w:val="center"/>
          </w:tcPr>
          <w:p w14:paraId="51EFDCF1">
            <w:pPr>
              <w:pStyle w:val="11"/>
            </w:pPr>
          </w:p>
        </w:tc>
      </w:tr>
      <w:tr w14:paraId="2674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46DE7">
            <w:pPr>
              <w:pStyle w:val="13"/>
            </w:pPr>
            <w:r>
              <w:t>25</w:t>
            </w:r>
          </w:p>
        </w:tc>
        <w:tc>
          <w:tcPr>
            <w:tcW w:w="4535" w:type="dxa"/>
            <w:vAlign w:val="center"/>
          </w:tcPr>
          <w:p w14:paraId="4848F6DB">
            <w:pPr>
              <w:pStyle w:val="12"/>
            </w:pPr>
          </w:p>
        </w:tc>
        <w:tc>
          <w:tcPr>
            <w:tcW w:w="2126" w:type="dxa"/>
            <w:vAlign w:val="center"/>
          </w:tcPr>
          <w:p w14:paraId="4A7EE74E">
            <w:pPr>
              <w:pStyle w:val="11"/>
            </w:pPr>
          </w:p>
        </w:tc>
        <w:tc>
          <w:tcPr>
            <w:tcW w:w="4535" w:type="dxa"/>
            <w:vAlign w:val="center"/>
          </w:tcPr>
          <w:p w14:paraId="545B1B43">
            <w:pPr>
              <w:pStyle w:val="12"/>
            </w:pPr>
            <w:r>
              <w:t>二十五、其他支出</w:t>
            </w:r>
          </w:p>
        </w:tc>
        <w:tc>
          <w:tcPr>
            <w:tcW w:w="2126" w:type="dxa"/>
            <w:vAlign w:val="center"/>
          </w:tcPr>
          <w:p w14:paraId="13D0B0DC">
            <w:pPr>
              <w:pStyle w:val="11"/>
            </w:pPr>
          </w:p>
        </w:tc>
      </w:tr>
      <w:tr w14:paraId="42C4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E662">
            <w:pPr>
              <w:pStyle w:val="13"/>
            </w:pPr>
            <w:r>
              <w:t>26</w:t>
            </w:r>
          </w:p>
        </w:tc>
        <w:tc>
          <w:tcPr>
            <w:tcW w:w="4535" w:type="dxa"/>
            <w:vAlign w:val="center"/>
          </w:tcPr>
          <w:p w14:paraId="6EAB85AB">
            <w:pPr>
              <w:pStyle w:val="12"/>
            </w:pPr>
          </w:p>
        </w:tc>
        <w:tc>
          <w:tcPr>
            <w:tcW w:w="2126" w:type="dxa"/>
            <w:vAlign w:val="center"/>
          </w:tcPr>
          <w:p w14:paraId="011A2A10">
            <w:pPr>
              <w:pStyle w:val="11"/>
            </w:pPr>
          </w:p>
        </w:tc>
        <w:tc>
          <w:tcPr>
            <w:tcW w:w="4535" w:type="dxa"/>
            <w:vAlign w:val="center"/>
          </w:tcPr>
          <w:p w14:paraId="43BBDE5D">
            <w:pPr>
              <w:pStyle w:val="12"/>
            </w:pPr>
            <w:r>
              <w:t>二十六、转移性支出</w:t>
            </w:r>
          </w:p>
        </w:tc>
        <w:tc>
          <w:tcPr>
            <w:tcW w:w="2126" w:type="dxa"/>
            <w:vAlign w:val="center"/>
          </w:tcPr>
          <w:p w14:paraId="1F14AA99">
            <w:pPr>
              <w:pStyle w:val="11"/>
            </w:pPr>
          </w:p>
        </w:tc>
      </w:tr>
      <w:tr w14:paraId="6151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BB149">
            <w:pPr>
              <w:pStyle w:val="13"/>
            </w:pPr>
            <w:r>
              <w:t>27</w:t>
            </w:r>
          </w:p>
        </w:tc>
        <w:tc>
          <w:tcPr>
            <w:tcW w:w="4535" w:type="dxa"/>
            <w:vAlign w:val="center"/>
          </w:tcPr>
          <w:p w14:paraId="1101316A">
            <w:pPr>
              <w:pStyle w:val="12"/>
            </w:pPr>
          </w:p>
        </w:tc>
        <w:tc>
          <w:tcPr>
            <w:tcW w:w="2126" w:type="dxa"/>
            <w:vAlign w:val="center"/>
          </w:tcPr>
          <w:p w14:paraId="5B02B63F">
            <w:pPr>
              <w:pStyle w:val="11"/>
            </w:pPr>
          </w:p>
        </w:tc>
        <w:tc>
          <w:tcPr>
            <w:tcW w:w="4535" w:type="dxa"/>
            <w:vAlign w:val="center"/>
          </w:tcPr>
          <w:p w14:paraId="355D100C">
            <w:pPr>
              <w:pStyle w:val="12"/>
            </w:pPr>
            <w:r>
              <w:t>二十七、债务还本支出</w:t>
            </w:r>
          </w:p>
        </w:tc>
        <w:tc>
          <w:tcPr>
            <w:tcW w:w="2126" w:type="dxa"/>
            <w:vAlign w:val="center"/>
          </w:tcPr>
          <w:p w14:paraId="10A32F6F">
            <w:pPr>
              <w:pStyle w:val="11"/>
            </w:pPr>
          </w:p>
        </w:tc>
      </w:tr>
      <w:tr w14:paraId="365D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0221">
            <w:pPr>
              <w:pStyle w:val="13"/>
            </w:pPr>
            <w:r>
              <w:t>28</w:t>
            </w:r>
          </w:p>
        </w:tc>
        <w:tc>
          <w:tcPr>
            <w:tcW w:w="4535" w:type="dxa"/>
            <w:vAlign w:val="center"/>
          </w:tcPr>
          <w:p w14:paraId="0248B58C">
            <w:pPr>
              <w:pStyle w:val="12"/>
            </w:pPr>
          </w:p>
        </w:tc>
        <w:tc>
          <w:tcPr>
            <w:tcW w:w="2126" w:type="dxa"/>
            <w:vAlign w:val="center"/>
          </w:tcPr>
          <w:p w14:paraId="443D256D">
            <w:pPr>
              <w:pStyle w:val="11"/>
            </w:pPr>
          </w:p>
        </w:tc>
        <w:tc>
          <w:tcPr>
            <w:tcW w:w="4535" w:type="dxa"/>
            <w:vAlign w:val="center"/>
          </w:tcPr>
          <w:p w14:paraId="6B4A84EB">
            <w:pPr>
              <w:pStyle w:val="12"/>
            </w:pPr>
            <w:r>
              <w:t>二十八、债务付息支出</w:t>
            </w:r>
          </w:p>
        </w:tc>
        <w:tc>
          <w:tcPr>
            <w:tcW w:w="2126" w:type="dxa"/>
            <w:vAlign w:val="center"/>
          </w:tcPr>
          <w:p w14:paraId="06C894B5">
            <w:pPr>
              <w:pStyle w:val="11"/>
            </w:pPr>
          </w:p>
        </w:tc>
      </w:tr>
      <w:tr w14:paraId="6678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0B034">
            <w:pPr>
              <w:pStyle w:val="13"/>
            </w:pPr>
            <w:r>
              <w:t>29</w:t>
            </w:r>
          </w:p>
        </w:tc>
        <w:tc>
          <w:tcPr>
            <w:tcW w:w="4535" w:type="dxa"/>
            <w:vAlign w:val="center"/>
          </w:tcPr>
          <w:p w14:paraId="6A6B6636">
            <w:pPr>
              <w:pStyle w:val="12"/>
            </w:pPr>
          </w:p>
        </w:tc>
        <w:tc>
          <w:tcPr>
            <w:tcW w:w="2126" w:type="dxa"/>
            <w:vAlign w:val="center"/>
          </w:tcPr>
          <w:p w14:paraId="037CF3B3">
            <w:pPr>
              <w:pStyle w:val="11"/>
            </w:pPr>
          </w:p>
        </w:tc>
        <w:tc>
          <w:tcPr>
            <w:tcW w:w="4535" w:type="dxa"/>
            <w:vAlign w:val="center"/>
          </w:tcPr>
          <w:p w14:paraId="1A0302E5">
            <w:pPr>
              <w:pStyle w:val="12"/>
            </w:pPr>
            <w:r>
              <w:t>二十九、债务发行费用支出</w:t>
            </w:r>
          </w:p>
        </w:tc>
        <w:tc>
          <w:tcPr>
            <w:tcW w:w="2126" w:type="dxa"/>
            <w:vAlign w:val="center"/>
          </w:tcPr>
          <w:p w14:paraId="1E0A2FC6">
            <w:pPr>
              <w:pStyle w:val="11"/>
            </w:pPr>
          </w:p>
        </w:tc>
      </w:tr>
      <w:tr w14:paraId="417D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DD12">
            <w:pPr>
              <w:pStyle w:val="13"/>
            </w:pPr>
            <w:r>
              <w:t>30</w:t>
            </w:r>
          </w:p>
        </w:tc>
        <w:tc>
          <w:tcPr>
            <w:tcW w:w="4535" w:type="dxa"/>
            <w:vAlign w:val="center"/>
          </w:tcPr>
          <w:p w14:paraId="39A0DD41">
            <w:pPr>
              <w:pStyle w:val="12"/>
            </w:pPr>
          </w:p>
        </w:tc>
        <w:tc>
          <w:tcPr>
            <w:tcW w:w="2126" w:type="dxa"/>
            <w:vAlign w:val="center"/>
          </w:tcPr>
          <w:p w14:paraId="4FA9E2ED">
            <w:pPr>
              <w:pStyle w:val="11"/>
            </w:pPr>
          </w:p>
        </w:tc>
        <w:tc>
          <w:tcPr>
            <w:tcW w:w="4535" w:type="dxa"/>
            <w:vAlign w:val="center"/>
          </w:tcPr>
          <w:p w14:paraId="0553FD9A">
            <w:pPr>
              <w:pStyle w:val="12"/>
            </w:pPr>
            <w:r>
              <w:t>三十、抗疫特别国债安排的支出</w:t>
            </w:r>
          </w:p>
        </w:tc>
        <w:tc>
          <w:tcPr>
            <w:tcW w:w="2126" w:type="dxa"/>
            <w:vAlign w:val="center"/>
          </w:tcPr>
          <w:p w14:paraId="072062F5">
            <w:pPr>
              <w:pStyle w:val="11"/>
            </w:pPr>
          </w:p>
        </w:tc>
      </w:tr>
      <w:tr w14:paraId="527A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74D3E">
            <w:pPr>
              <w:pStyle w:val="13"/>
            </w:pPr>
            <w:r>
              <w:t>31</w:t>
            </w:r>
          </w:p>
        </w:tc>
        <w:tc>
          <w:tcPr>
            <w:tcW w:w="4535" w:type="dxa"/>
            <w:vAlign w:val="center"/>
          </w:tcPr>
          <w:p w14:paraId="55430F4A">
            <w:pPr>
              <w:pStyle w:val="14"/>
            </w:pPr>
            <w:r>
              <w:t>本年收入合计</w:t>
            </w:r>
          </w:p>
        </w:tc>
        <w:tc>
          <w:tcPr>
            <w:tcW w:w="2126" w:type="dxa"/>
            <w:vAlign w:val="center"/>
          </w:tcPr>
          <w:p w14:paraId="23C612E3">
            <w:pPr>
              <w:pStyle w:val="15"/>
            </w:pPr>
            <w:r>
              <w:t>714.80</w:t>
            </w:r>
          </w:p>
        </w:tc>
        <w:tc>
          <w:tcPr>
            <w:tcW w:w="4535" w:type="dxa"/>
            <w:vAlign w:val="center"/>
          </w:tcPr>
          <w:p w14:paraId="6AF0E8F2">
            <w:pPr>
              <w:pStyle w:val="14"/>
            </w:pPr>
            <w:r>
              <w:t>本年支出合计</w:t>
            </w:r>
          </w:p>
        </w:tc>
        <w:tc>
          <w:tcPr>
            <w:tcW w:w="2126" w:type="dxa"/>
            <w:vAlign w:val="center"/>
          </w:tcPr>
          <w:p w14:paraId="5C8B219B">
            <w:pPr>
              <w:pStyle w:val="15"/>
            </w:pPr>
            <w:r>
              <w:t>714.80</w:t>
            </w:r>
          </w:p>
        </w:tc>
      </w:tr>
      <w:tr w14:paraId="7749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33519">
            <w:pPr>
              <w:pStyle w:val="13"/>
            </w:pPr>
            <w:r>
              <w:t>32</w:t>
            </w:r>
          </w:p>
        </w:tc>
        <w:tc>
          <w:tcPr>
            <w:tcW w:w="4535" w:type="dxa"/>
            <w:vAlign w:val="center"/>
          </w:tcPr>
          <w:p w14:paraId="2E39B17C">
            <w:pPr>
              <w:pStyle w:val="12"/>
            </w:pPr>
            <w:r>
              <w:t>上年结转结余</w:t>
            </w:r>
          </w:p>
        </w:tc>
        <w:tc>
          <w:tcPr>
            <w:tcW w:w="2126" w:type="dxa"/>
            <w:vAlign w:val="center"/>
          </w:tcPr>
          <w:p w14:paraId="0894DCDE">
            <w:pPr>
              <w:pStyle w:val="11"/>
            </w:pPr>
          </w:p>
        </w:tc>
        <w:tc>
          <w:tcPr>
            <w:tcW w:w="4535" w:type="dxa"/>
            <w:vAlign w:val="center"/>
          </w:tcPr>
          <w:p w14:paraId="681C15F2">
            <w:pPr>
              <w:pStyle w:val="12"/>
            </w:pPr>
            <w:r>
              <w:t>年终结转结余</w:t>
            </w:r>
          </w:p>
        </w:tc>
        <w:tc>
          <w:tcPr>
            <w:tcW w:w="2126" w:type="dxa"/>
            <w:vAlign w:val="center"/>
          </w:tcPr>
          <w:p w14:paraId="502D598E">
            <w:pPr>
              <w:pStyle w:val="11"/>
            </w:pPr>
          </w:p>
        </w:tc>
      </w:tr>
      <w:tr w14:paraId="1EFD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48F47">
            <w:pPr>
              <w:pStyle w:val="13"/>
            </w:pPr>
            <w:r>
              <w:t>33</w:t>
            </w:r>
          </w:p>
        </w:tc>
        <w:tc>
          <w:tcPr>
            <w:tcW w:w="4535" w:type="dxa"/>
            <w:vAlign w:val="center"/>
          </w:tcPr>
          <w:p w14:paraId="7B67EB6A">
            <w:pPr>
              <w:pStyle w:val="14"/>
            </w:pPr>
            <w:r>
              <w:t>收入总计</w:t>
            </w:r>
          </w:p>
        </w:tc>
        <w:tc>
          <w:tcPr>
            <w:tcW w:w="2126" w:type="dxa"/>
            <w:vAlign w:val="center"/>
          </w:tcPr>
          <w:p w14:paraId="6C33BA78">
            <w:pPr>
              <w:pStyle w:val="15"/>
            </w:pPr>
            <w:r>
              <w:t>714.80</w:t>
            </w:r>
          </w:p>
        </w:tc>
        <w:tc>
          <w:tcPr>
            <w:tcW w:w="4535" w:type="dxa"/>
            <w:vAlign w:val="center"/>
          </w:tcPr>
          <w:p w14:paraId="396DE2C1">
            <w:pPr>
              <w:pStyle w:val="14"/>
            </w:pPr>
            <w:r>
              <w:t>支出总计</w:t>
            </w:r>
          </w:p>
        </w:tc>
        <w:tc>
          <w:tcPr>
            <w:tcW w:w="2126" w:type="dxa"/>
            <w:vAlign w:val="center"/>
          </w:tcPr>
          <w:p w14:paraId="45B5FD1B">
            <w:pPr>
              <w:pStyle w:val="15"/>
            </w:pPr>
            <w:r>
              <w:t>714.80</w:t>
            </w:r>
          </w:p>
        </w:tc>
      </w:tr>
    </w:tbl>
    <w:p w14:paraId="1E49C19A">
      <w:pPr>
        <w:sectPr>
          <w:pgSz w:w="16840" w:h="11900" w:orient="landscape"/>
          <w:pgMar w:top="1361" w:right="1020" w:bottom="1134" w:left="1020" w:header="720" w:footer="720" w:gutter="0"/>
          <w:cols w:space="720" w:num="1"/>
        </w:sectPr>
      </w:pPr>
    </w:p>
    <w:p w14:paraId="506646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0A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C948C8">
            <w:pPr>
              <w:pStyle w:val="9"/>
            </w:pPr>
            <w:r>
              <w:t>360008隆尧县牛家桥中学</w:t>
            </w:r>
          </w:p>
        </w:tc>
        <w:tc>
          <w:tcPr>
            <w:tcW w:w="3402" w:type="dxa"/>
            <w:gridSpan w:val="3"/>
            <w:tcBorders>
              <w:top w:val="single" w:color="FFFFFF" w:sz="6" w:space="0"/>
              <w:left w:val="single" w:color="FFFFFF" w:sz="6" w:space="0"/>
              <w:right w:val="single" w:color="FFFFFF" w:sz="6" w:space="0"/>
            </w:tcBorders>
            <w:vAlign w:val="center"/>
          </w:tcPr>
          <w:p w14:paraId="57B5B27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E864443">
            <w:pPr>
              <w:pStyle w:val="7"/>
            </w:pPr>
            <w:r>
              <w:t>单位：万元</w:t>
            </w:r>
          </w:p>
        </w:tc>
      </w:tr>
      <w:tr w14:paraId="06F4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77F382">
            <w:pPr>
              <w:pStyle w:val="10"/>
            </w:pPr>
            <w:r>
              <w:t>序号</w:t>
            </w:r>
          </w:p>
        </w:tc>
        <w:tc>
          <w:tcPr>
            <w:tcW w:w="2551" w:type="dxa"/>
            <w:gridSpan w:val="2"/>
            <w:vAlign w:val="center"/>
          </w:tcPr>
          <w:p w14:paraId="62FB93BC">
            <w:pPr>
              <w:pStyle w:val="10"/>
            </w:pPr>
            <w:r>
              <w:t>功能分类科目</w:t>
            </w:r>
          </w:p>
        </w:tc>
        <w:tc>
          <w:tcPr>
            <w:tcW w:w="1134" w:type="dxa"/>
            <w:vMerge w:val="restart"/>
            <w:vAlign w:val="center"/>
          </w:tcPr>
          <w:p w14:paraId="72CC3E58">
            <w:pPr>
              <w:pStyle w:val="10"/>
            </w:pPr>
            <w:r>
              <w:t>合计</w:t>
            </w:r>
          </w:p>
        </w:tc>
        <w:tc>
          <w:tcPr>
            <w:tcW w:w="9072" w:type="dxa"/>
            <w:gridSpan w:val="8"/>
            <w:vAlign w:val="center"/>
          </w:tcPr>
          <w:p w14:paraId="2499CE83">
            <w:pPr>
              <w:pStyle w:val="10"/>
            </w:pPr>
            <w:r>
              <w:t>本年收入</w:t>
            </w:r>
          </w:p>
        </w:tc>
        <w:tc>
          <w:tcPr>
            <w:tcW w:w="1134" w:type="dxa"/>
            <w:vMerge w:val="restart"/>
            <w:vAlign w:val="center"/>
          </w:tcPr>
          <w:p w14:paraId="5F507F29">
            <w:pPr>
              <w:pStyle w:val="10"/>
            </w:pPr>
            <w:r>
              <w:t>上年结转</w:t>
            </w:r>
          </w:p>
        </w:tc>
      </w:tr>
      <w:tr w14:paraId="15F0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5F9A5A"/>
        </w:tc>
        <w:tc>
          <w:tcPr>
            <w:tcW w:w="992" w:type="dxa"/>
            <w:vAlign w:val="center"/>
          </w:tcPr>
          <w:p w14:paraId="51A34DD6">
            <w:pPr>
              <w:pStyle w:val="10"/>
            </w:pPr>
            <w:r>
              <w:t>科目    编码</w:t>
            </w:r>
          </w:p>
        </w:tc>
        <w:tc>
          <w:tcPr>
            <w:tcW w:w="1559" w:type="dxa"/>
            <w:vAlign w:val="center"/>
          </w:tcPr>
          <w:p w14:paraId="2147E00B">
            <w:pPr>
              <w:pStyle w:val="10"/>
            </w:pPr>
            <w:r>
              <w:t>科目名称</w:t>
            </w:r>
          </w:p>
        </w:tc>
        <w:tc>
          <w:tcPr>
            <w:tcW w:w="1134" w:type="dxa"/>
            <w:vMerge w:val="continue"/>
          </w:tcPr>
          <w:p w14:paraId="11A12F29"/>
        </w:tc>
        <w:tc>
          <w:tcPr>
            <w:tcW w:w="1134" w:type="dxa"/>
            <w:vAlign w:val="center"/>
          </w:tcPr>
          <w:p w14:paraId="7DD1E43F">
            <w:pPr>
              <w:pStyle w:val="10"/>
            </w:pPr>
            <w:r>
              <w:t>小计</w:t>
            </w:r>
          </w:p>
        </w:tc>
        <w:tc>
          <w:tcPr>
            <w:tcW w:w="1134" w:type="dxa"/>
            <w:vAlign w:val="center"/>
          </w:tcPr>
          <w:p w14:paraId="09DD4054">
            <w:pPr>
              <w:pStyle w:val="10"/>
            </w:pPr>
            <w:r>
              <w:t>财政拨款 收入</w:t>
            </w:r>
          </w:p>
        </w:tc>
        <w:tc>
          <w:tcPr>
            <w:tcW w:w="1134" w:type="dxa"/>
            <w:vAlign w:val="center"/>
          </w:tcPr>
          <w:p w14:paraId="52E40772">
            <w:pPr>
              <w:pStyle w:val="10"/>
            </w:pPr>
            <w:r>
              <w:t>财政专户 收入</w:t>
            </w:r>
          </w:p>
        </w:tc>
        <w:tc>
          <w:tcPr>
            <w:tcW w:w="1134" w:type="dxa"/>
            <w:vAlign w:val="center"/>
          </w:tcPr>
          <w:p w14:paraId="30AA3ED6">
            <w:pPr>
              <w:pStyle w:val="10"/>
            </w:pPr>
            <w:r>
              <w:t>事业收入</w:t>
            </w:r>
          </w:p>
        </w:tc>
        <w:tc>
          <w:tcPr>
            <w:tcW w:w="1134" w:type="dxa"/>
            <w:vAlign w:val="center"/>
          </w:tcPr>
          <w:p w14:paraId="073B20E7">
            <w:pPr>
              <w:pStyle w:val="10"/>
            </w:pPr>
            <w:r>
              <w:t>经营收入</w:t>
            </w:r>
          </w:p>
        </w:tc>
        <w:tc>
          <w:tcPr>
            <w:tcW w:w="1134" w:type="dxa"/>
            <w:vAlign w:val="center"/>
          </w:tcPr>
          <w:p w14:paraId="092C90EF">
            <w:pPr>
              <w:pStyle w:val="10"/>
            </w:pPr>
            <w:r>
              <w:t>上级补助收入</w:t>
            </w:r>
          </w:p>
        </w:tc>
        <w:tc>
          <w:tcPr>
            <w:tcW w:w="1134" w:type="dxa"/>
            <w:vAlign w:val="center"/>
          </w:tcPr>
          <w:p w14:paraId="4B078922">
            <w:pPr>
              <w:pStyle w:val="10"/>
            </w:pPr>
            <w:r>
              <w:t>附属单位上缴收入</w:t>
            </w:r>
          </w:p>
        </w:tc>
        <w:tc>
          <w:tcPr>
            <w:tcW w:w="1134" w:type="dxa"/>
            <w:vAlign w:val="center"/>
          </w:tcPr>
          <w:p w14:paraId="7B0817B8">
            <w:pPr>
              <w:pStyle w:val="10"/>
            </w:pPr>
            <w:r>
              <w:t>其他收入</w:t>
            </w:r>
          </w:p>
        </w:tc>
        <w:tc>
          <w:tcPr>
            <w:tcW w:w="1134" w:type="dxa"/>
            <w:vMerge w:val="continue"/>
          </w:tcPr>
          <w:p w14:paraId="61D67F77"/>
        </w:tc>
      </w:tr>
      <w:tr w14:paraId="2EB3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DA6CC7">
            <w:pPr>
              <w:pStyle w:val="10"/>
            </w:pPr>
            <w:r>
              <w:t>栏次</w:t>
            </w:r>
          </w:p>
        </w:tc>
        <w:tc>
          <w:tcPr>
            <w:tcW w:w="992" w:type="dxa"/>
            <w:vAlign w:val="center"/>
          </w:tcPr>
          <w:p w14:paraId="26965CD0">
            <w:pPr>
              <w:pStyle w:val="10"/>
            </w:pPr>
            <w:r>
              <w:t>1</w:t>
            </w:r>
          </w:p>
        </w:tc>
        <w:tc>
          <w:tcPr>
            <w:tcW w:w="1559" w:type="dxa"/>
            <w:vAlign w:val="center"/>
          </w:tcPr>
          <w:p w14:paraId="71AA4789">
            <w:pPr>
              <w:pStyle w:val="10"/>
            </w:pPr>
            <w:r>
              <w:t>2</w:t>
            </w:r>
          </w:p>
        </w:tc>
        <w:tc>
          <w:tcPr>
            <w:tcW w:w="1134" w:type="dxa"/>
            <w:vAlign w:val="center"/>
          </w:tcPr>
          <w:p w14:paraId="74A7B842">
            <w:pPr>
              <w:pStyle w:val="10"/>
            </w:pPr>
            <w:r>
              <w:t>3</w:t>
            </w:r>
          </w:p>
        </w:tc>
        <w:tc>
          <w:tcPr>
            <w:tcW w:w="1134" w:type="dxa"/>
            <w:vAlign w:val="center"/>
          </w:tcPr>
          <w:p w14:paraId="2561110A">
            <w:pPr>
              <w:pStyle w:val="10"/>
            </w:pPr>
            <w:r>
              <w:t>4</w:t>
            </w:r>
          </w:p>
        </w:tc>
        <w:tc>
          <w:tcPr>
            <w:tcW w:w="1134" w:type="dxa"/>
            <w:vAlign w:val="center"/>
          </w:tcPr>
          <w:p w14:paraId="0A7B7EAE">
            <w:pPr>
              <w:pStyle w:val="10"/>
            </w:pPr>
            <w:r>
              <w:t>5</w:t>
            </w:r>
          </w:p>
        </w:tc>
        <w:tc>
          <w:tcPr>
            <w:tcW w:w="1134" w:type="dxa"/>
            <w:vAlign w:val="center"/>
          </w:tcPr>
          <w:p w14:paraId="167C869E">
            <w:pPr>
              <w:pStyle w:val="10"/>
            </w:pPr>
            <w:r>
              <w:t>6</w:t>
            </w:r>
          </w:p>
        </w:tc>
        <w:tc>
          <w:tcPr>
            <w:tcW w:w="1134" w:type="dxa"/>
            <w:vAlign w:val="center"/>
          </w:tcPr>
          <w:p w14:paraId="3CD7E1AD">
            <w:pPr>
              <w:pStyle w:val="10"/>
            </w:pPr>
            <w:r>
              <w:t>7</w:t>
            </w:r>
          </w:p>
        </w:tc>
        <w:tc>
          <w:tcPr>
            <w:tcW w:w="1134" w:type="dxa"/>
            <w:vAlign w:val="center"/>
          </w:tcPr>
          <w:p w14:paraId="679AD656">
            <w:pPr>
              <w:pStyle w:val="10"/>
            </w:pPr>
            <w:r>
              <w:t>8</w:t>
            </w:r>
          </w:p>
        </w:tc>
        <w:tc>
          <w:tcPr>
            <w:tcW w:w="1134" w:type="dxa"/>
            <w:vAlign w:val="center"/>
          </w:tcPr>
          <w:p w14:paraId="2F1F5F98">
            <w:pPr>
              <w:pStyle w:val="10"/>
            </w:pPr>
            <w:r>
              <w:t>9</w:t>
            </w:r>
          </w:p>
        </w:tc>
        <w:tc>
          <w:tcPr>
            <w:tcW w:w="1134" w:type="dxa"/>
            <w:vAlign w:val="center"/>
          </w:tcPr>
          <w:p w14:paraId="588B369B">
            <w:pPr>
              <w:pStyle w:val="10"/>
            </w:pPr>
            <w:r>
              <w:t>10</w:t>
            </w:r>
          </w:p>
        </w:tc>
        <w:tc>
          <w:tcPr>
            <w:tcW w:w="1134" w:type="dxa"/>
            <w:vAlign w:val="center"/>
          </w:tcPr>
          <w:p w14:paraId="23D60C8E">
            <w:pPr>
              <w:pStyle w:val="10"/>
            </w:pPr>
            <w:r>
              <w:t>11</w:t>
            </w:r>
          </w:p>
        </w:tc>
        <w:tc>
          <w:tcPr>
            <w:tcW w:w="1134" w:type="dxa"/>
            <w:vAlign w:val="center"/>
          </w:tcPr>
          <w:p w14:paraId="6730BED8">
            <w:pPr>
              <w:pStyle w:val="10"/>
            </w:pPr>
            <w:r>
              <w:t>12</w:t>
            </w:r>
          </w:p>
        </w:tc>
      </w:tr>
      <w:tr w14:paraId="6AA0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20C11">
            <w:pPr>
              <w:pStyle w:val="13"/>
            </w:pPr>
            <w:r>
              <w:t>1</w:t>
            </w:r>
          </w:p>
        </w:tc>
        <w:tc>
          <w:tcPr>
            <w:tcW w:w="992" w:type="dxa"/>
            <w:vAlign w:val="center"/>
          </w:tcPr>
          <w:p w14:paraId="42DB42D0">
            <w:pPr>
              <w:pStyle w:val="16"/>
            </w:pPr>
          </w:p>
        </w:tc>
        <w:tc>
          <w:tcPr>
            <w:tcW w:w="1559" w:type="dxa"/>
            <w:vAlign w:val="center"/>
          </w:tcPr>
          <w:p w14:paraId="47BDE0E5">
            <w:pPr>
              <w:pStyle w:val="14"/>
            </w:pPr>
            <w:r>
              <w:t>合计</w:t>
            </w:r>
          </w:p>
        </w:tc>
        <w:tc>
          <w:tcPr>
            <w:tcW w:w="1134" w:type="dxa"/>
            <w:vAlign w:val="center"/>
          </w:tcPr>
          <w:p w14:paraId="3D89F0BF">
            <w:pPr>
              <w:pStyle w:val="15"/>
            </w:pPr>
            <w:r>
              <w:t>714.80</w:t>
            </w:r>
          </w:p>
        </w:tc>
        <w:tc>
          <w:tcPr>
            <w:tcW w:w="1134" w:type="dxa"/>
            <w:vAlign w:val="center"/>
          </w:tcPr>
          <w:p w14:paraId="0E456058">
            <w:pPr>
              <w:pStyle w:val="15"/>
            </w:pPr>
            <w:r>
              <w:t>714.80</w:t>
            </w:r>
          </w:p>
        </w:tc>
        <w:tc>
          <w:tcPr>
            <w:tcW w:w="1134" w:type="dxa"/>
            <w:vAlign w:val="center"/>
          </w:tcPr>
          <w:p w14:paraId="19D2180D">
            <w:pPr>
              <w:pStyle w:val="15"/>
            </w:pPr>
            <w:r>
              <w:t>714.80</w:t>
            </w:r>
          </w:p>
        </w:tc>
        <w:tc>
          <w:tcPr>
            <w:tcW w:w="1134" w:type="dxa"/>
            <w:vAlign w:val="center"/>
          </w:tcPr>
          <w:p w14:paraId="291A6BF7">
            <w:pPr>
              <w:pStyle w:val="15"/>
            </w:pPr>
          </w:p>
        </w:tc>
        <w:tc>
          <w:tcPr>
            <w:tcW w:w="1134" w:type="dxa"/>
            <w:vAlign w:val="center"/>
          </w:tcPr>
          <w:p w14:paraId="6B4EF8B1">
            <w:pPr>
              <w:pStyle w:val="15"/>
            </w:pPr>
          </w:p>
        </w:tc>
        <w:tc>
          <w:tcPr>
            <w:tcW w:w="1134" w:type="dxa"/>
            <w:vAlign w:val="center"/>
          </w:tcPr>
          <w:p w14:paraId="3EDC62BD">
            <w:pPr>
              <w:pStyle w:val="15"/>
            </w:pPr>
          </w:p>
        </w:tc>
        <w:tc>
          <w:tcPr>
            <w:tcW w:w="1134" w:type="dxa"/>
            <w:vAlign w:val="center"/>
          </w:tcPr>
          <w:p w14:paraId="0F6F478B">
            <w:pPr>
              <w:pStyle w:val="15"/>
            </w:pPr>
          </w:p>
        </w:tc>
        <w:tc>
          <w:tcPr>
            <w:tcW w:w="1134" w:type="dxa"/>
            <w:vAlign w:val="center"/>
          </w:tcPr>
          <w:p w14:paraId="6C58ABB6">
            <w:pPr>
              <w:pStyle w:val="15"/>
            </w:pPr>
          </w:p>
        </w:tc>
        <w:tc>
          <w:tcPr>
            <w:tcW w:w="1134" w:type="dxa"/>
            <w:vAlign w:val="center"/>
          </w:tcPr>
          <w:p w14:paraId="6C2B85F9">
            <w:pPr>
              <w:pStyle w:val="15"/>
            </w:pPr>
          </w:p>
        </w:tc>
        <w:tc>
          <w:tcPr>
            <w:tcW w:w="1134" w:type="dxa"/>
            <w:vAlign w:val="center"/>
          </w:tcPr>
          <w:p w14:paraId="588F6ED6">
            <w:pPr>
              <w:pStyle w:val="15"/>
            </w:pPr>
          </w:p>
        </w:tc>
      </w:tr>
      <w:tr w14:paraId="13EB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33EAD">
            <w:pPr>
              <w:pStyle w:val="13"/>
            </w:pPr>
            <w:r>
              <w:t>2</w:t>
            </w:r>
          </w:p>
        </w:tc>
        <w:tc>
          <w:tcPr>
            <w:tcW w:w="992" w:type="dxa"/>
            <w:vAlign w:val="center"/>
          </w:tcPr>
          <w:p w14:paraId="5AB4329C">
            <w:pPr>
              <w:pStyle w:val="12"/>
            </w:pPr>
            <w:r>
              <w:t>205</w:t>
            </w:r>
          </w:p>
        </w:tc>
        <w:tc>
          <w:tcPr>
            <w:tcW w:w="1559" w:type="dxa"/>
            <w:vAlign w:val="center"/>
          </w:tcPr>
          <w:p w14:paraId="56D787ED">
            <w:pPr>
              <w:pStyle w:val="12"/>
            </w:pPr>
            <w:r>
              <w:t>教育支出</w:t>
            </w:r>
          </w:p>
        </w:tc>
        <w:tc>
          <w:tcPr>
            <w:tcW w:w="1134" w:type="dxa"/>
            <w:vAlign w:val="center"/>
          </w:tcPr>
          <w:p w14:paraId="7B48E67D">
            <w:pPr>
              <w:pStyle w:val="11"/>
            </w:pPr>
            <w:r>
              <w:t>714.80</w:t>
            </w:r>
          </w:p>
        </w:tc>
        <w:tc>
          <w:tcPr>
            <w:tcW w:w="1134" w:type="dxa"/>
            <w:vAlign w:val="center"/>
          </w:tcPr>
          <w:p w14:paraId="685DE60F">
            <w:pPr>
              <w:pStyle w:val="11"/>
            </w:pPr>
            <w:r>
              <w:t>714.80</w:t>
            </w:r>
          </w:p>
        </w:tc>
        <w:tc>
          <w:tcPr>
            <w:tcW w:w="1134" w:type="dxa"/>
            <w:vAlign w:val="center"/>
          </w:tcPr>
          <w:p w14:paraId="1EC1DDB1">
            <w:pPr>
              <w:pStyle w:val="11"/>
            </w:pPr>
            <w:r>
              <w:t>714.80</w:t>
            </w:r>
          </w:p>
        </w:tc>
        <w:tc>
          <w:tcPr>
            <w:tcW w:w="1134" w:type="dxa"/>
            <w:vAlign w:val="center"/>
          </w:tcPr>
          <w:p w14:paraId="7B5FB952">
            <w:pPr>
              <w:pStyle w:val="11"/>
            </w:pPr>
          </w:p>
        </w:tc>
        <w:tc>
          <w:tcPr>
            <w:tcW w:w="1134" w:type="dxa"/>
            <w:vAlign w:val="center"/>
          </w:tcPr>
          <w:p w14:paraId="64FDAA97">
            <w:pPr>
              <w:pStyle w:val="11"/>
            </w:pPr>
          </w:p>
        </w:tc>
        <w:tc>
          <w:tcPr>
            <w:tcW w:w="1134" w:type="dxa"/>
            <w:vAlign w:val="center"/>
          </w:tcPr>
          <w:p w14:paraId="5E0BEFD9">
            <w:pPr>
              <w:pStyle w:val="11"/>
            </w:pPr>
          </w:p>
        </w:tc>
        <w:tc>
          <w:tcPr>
            <w:tcW w:w="1134" w:type="dxa"/>
            <w:vAlign w:val="center"/>
          </w:tcPr>
          <w:p w14:paraId="7C109C40">
            <w:pPr>
              <w:pStyle w:val="11"/>
            </w:pPr>
          </w:p>
        </w:tc>
        <w:tc>
          <w:tcPr>
            <w:tcW w:w="1134" w:type="dxa"/>
            <w:vAlign w:val="center"/>
          </w:tcPr>
          <w:p w14:paraId="0F2A962F">
            <w:pPr>
              <w:pStyle w:val="11"/>
            </w:pPr>
          </w:p>
        </w:tc>
        <w:tc>
          <w:tcPr>
            <w:tcW w:w="1134" w:type="dxa"/>
            <w:vAlign w:val="center"/>
          </w:tcPr>
          <w:p w14:paraId="7095A485">
            <w:pPr>
              <w:pStyle w:val="11"/>
            </w:pPr>
          </w:p>
        </w:tc>
        <w:tc>
          <w:tcPr>
            <w:tcW w:w="1134" w:type="dxa"/>
            <w:vAlign w:val="center"/>
          </w:tcPr>
          <w:p w14:paraId="15F0A352">
            <w:pPr>
              <w:pStyle w:val="11"/>
            </w:pPr>
          </w:p>
        </w:tc>
      </w:tr>
      <w:tr w14:paraId="3B15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F909C">
            <w:pPr>
              <w:pStyle w:val="13"/>
            </w:pPr>
            <w:r>
              <w:t>3</w:t>
            </w:r>
          </w:p>
        </w:tc>
        <w:tc>
          <w:tcPr>
            <w:tcW w:w="992" w:type="dxa"/>
            <w:vAlign w:val="center"/>
          </w:tcPr>
          <w:p w14:paraId="76C73D7A">
            <w:pPr>
              <w:pStyle w:val="12"/>
            </w:pPr>
            <w:r>
              <w:t>20502</w:t>
            </w:r>
          </w:p>
        </w:tc>
        <w:tc>
          <w:tcPr>
            <w:tcW w:w="1559" w:type="dxa"/>
            <w:vAlign w:val="center"/>
          </w:tcPr>
          <w:p w14:paraId="5E8E1D6C">
            <w:pPr>
              <w:pStyle w:val="12"/>
            </w:pPr>
            <w:r>
              <w:t>普通教育</w:t>
            </w:r>
          </w:p>
        </w:tc>
        <w:tc>
          <w:tcPr>
            <w:tcW w:w="1134" w:type="dxa"/>
            <w:vAlign w:val="center"/>
          </w:tcPr>
          <w:p w14:paraId="3D5FBD15">
            <w:pPr>
              <w:pStyle w:val="11"/>
            </w:pPr>
            <w:r>
              <w:t>714.80</w:t>
            </w:r>
          </w:p>
        </w:tc>
        <w:tc>
          <w:tcPr>
            <w:tcW w:w="1134" w:type="dxa"/>
            <w:vAlign w:val="center"/>
          </w:tcPr>
          <w:p w14:paraId="028E85B5">
            <w:pPr>
              <w:pStyle w:val="11"/>
            </w:pPr>
            <w:r>
              <w:t>714.80</w:t>
            </w:r>
          </w:p>
        </w:tc>
        <w:tc>
          <w:tcPr>
            <w:tcW w:w="1134" w:type="dxa"/>
            <w:vAlign w:val="center"/>
          </w:tcPr>
          <w:p w14:paraId="085DBCF4">
            <w:pPr>
              <w:pStyle w:val="11"/>
            </w:pPr>
            <w:r>
              <w:t>714.80</w:t>
            </w:r>
          </w:p>
        </w:tc>
        <w:tc>
          <w:tcPr>
            <w:tcW w:w="1134" w:type="dxa"/>
            <w:vAlign w:val="center"/>
          </w:tcPr>
          <w:p w14:paraId="1A63BEB3">
            <w:pPr>
              <w:pStyle w:val="11"/>
            </w:pPr>
          </w:p>
        </w:tc>
        <w:tc>
          <w:tcPr>
            <w:tcW w:w="1134" w:type="dxa"/>
            <w:vAlign w:val="center"/>
          </w:tcPr>
          <w:p w14:paraId="2D683897">
            <w:pPr>
              <w:pStyle w:val="11"/>
            </w:pPr>
          </w:p>
        </w:tc>
        <w:tc>
          <w:tcPr>
            <w:tcW w:w="1134" w:type="dxa"/>
            <w:vAlign w:val="center"/>
          </w:tcPr>
          <w:p w14:paraId="2A679294">
            <w:pPr>
              <w:pStyle w:val="11"/>
            </w:pPr>
          </w:p>
        </w:tc>
        <w:tc>
          <w:tcPr>
            <w:tcW w:w="1134" w:type="dxa"/>
            <w:vAlign w:val="center"/>
          </w:tcPr>
          <w:p w14:paraId="1676404A">
            <w:pPr>
              <w:pStyle w:val="11"/>
            </w:pPr>
          </w:p>
        </w:tc>
        <w:tc>
          <w:tcPr>
            <w:tcW w:w="1134" w:type="dxa"/>
            <w:vAlign w:val="center"/>
          </w:tcPr>
          <w:p w14:paraId="0F3E8058">
            <w:pPr>
              <w:pStyle w:val="11"/>
            </w:pPr>
          </w:p>
        </w:tc>
        <w:tc>
          <w:tcPr>
            <w:tcW w:w="1134" w:type="dxa"/>
            <w:vAlign w:val="center"/>
          </w:tcPr>
          <w:p w14:paraId="7B0468AE">
            <w:pPr>
              <w:pStyle w:val="11"/>
            </w:pPr>
          </w:p>
        </w:tc>
        <w:tc>
          <w:tcPr>
            <w:tcW w:w="1134" w:type="dxa"/>
            <w:vAlign w:val="center"/>
          </w:tcPr>
          <w:p w14:paraId="5CCC5AE9">
            <w:pPr>
              <w:pStyle w:val="11"/>
            </w:pPr>
          </w:p>
        </w:tc>
      </w:tr>
      <w:tr w14:paraId="2DA9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58AC7">
            <w:pPr>
              <w:pStyle w:val="13"/>
            </w:pPr>
            <w:r>
              <w:t>4</w:t>
            </w:r>
          </w:p>
        </w:tc>
        <w:tc>
          <w:tcPr>
            <w:tcW w:w="992" w:type="dxa"/>
            <w:vAlign w:val="center"/>
          </w:tcPr>
          <w:p w14:paraId="06F41533">
            <w:pPr>
              <w:pStyle w:val="12"/>
            </w:pPr>
            <w:r>
              <w:t>2050203</w:t>
            </w:r>
          </w:p>
        </w:tc>
        <w:tc>
          <w:tcPr>
            <w:tcW w:w="1559" w:type="dxa"/>
            <w:vAlign w:val="center"/>
          </w:tcPr>
          <w:p w14:paraId="498941B2">
            <w:pPr>
              <w:pStyle w:val="12"/>
            </w:pPr>
            <w:r>
              <w:t>初中教育</w:t>
            </w:r>
          </w:p>
        </w:tc>
        <w:tc>
          <w:tcPr>
            <w:tcW w:w="1134" w:type="dxa"/>
            <w:vAlign w:val="center"/>
          </w:tcPr>
          <w:p w14:paraId="1A30810A">
            <w:pPr>
              <w:pStyle w:val="11"/>
            </w:pPr>
            <w:r>
              <w:t>714.80</w:t>
            </w:r>
          </w:p>
        </w:tc>
        <w:tc>
          <w:tcPr>
            <w:tcW w:w="1134" w:type="dxa"/>
            <w:vAlign w:val="center"/>
          </w:tcPr>
          <w:p w14:paraId="4CACAF63">
            <w:pPr>
              <w:pStyle w:val="11"/>
            </w:pPr>
            <w:r>
              <w:t>714.80</w:t>
            </w:r>
          </w:p>
        </w:tc>
        <w:tc>
          <w:tcPr>
            <w:tcW w:w="1134" w:type="dxa"/>
            <w:vAlign w:val="center"/>
          </w:tcPr>
          <w:p w14:paraId="722BA135">
            <w:pPr>
              <w:pStyle w:val="11"/>
            </w:pPr>
            <w:r>
              <w:t>714.80</w:t>
            </w:r>
          </w:p>
        </w:tc>
        <w:tc>
          <w:tcPr>
            <w:tcW w:w="1134" w:type="dxa"/>
            <w:vAlign w:val="center"/>
          </w:tcPr>
          <w:p w14:paraId="3AAB024E">
            <w:pPr>
              <w:pStyle w:val="11"/>
            </w:pPr>
          </w:p>
        </w:tc>
        <w:tc>
          <w:tcPr>
            <w:tcW w:w="1134" w:type="dxa"/>
            <w:vAlign w:val="center"/>
          </w:tcPr>
          <w:p w14:paraId="4372ADCF">
            <w:pPr>
              <w:pStyle w:val="11"/>
            </w:pPr>
          </w:p>
        </w:tc>
        <w:tc>
          <w:tcPr>
            <w:tcW w:w="1134" w:type="dxa"/>
            <w:vAlign w:val="center"/>
          </w:tcPr>
          <w:p w14:paraId="77313816">
            <w:pPr>
              <w:pStyle w:val="11"/>
            </w:pPr>
          </w:p>
        </w:tc>
        <w:tc>
          <w:tcPr>
            <w:tcW w:w="1134" w:type="dxa"/>
            <w:vAlign w:val="center"/>
          </w:tcPr>
          <w:p w14:paraId="2233C480">
            <w:pPr>
              <w:pStyle w:val="11"/>
            </w:pPr>
          </w:p>
        </w:tc>
        <w:tc>
          <w:tcPr>
            <w:tcW w:w="1134" w:type="dxa"/>
            <w:vAlign w:val="center"/>
          </w:tcPr>
          <w:p w14:paraId="21ED7D87">
            <w:pPr>
              <w:pStyle w:val="11"/>
            </w:pPr>
          </w:p>
        </w:tc>
        <w:tc>
          <w:tcPr>
            <w:tcW w:w="1134" w:type="dxa"/>
            <w:vAlign w:val="center"/>
          </w:tcPr>
          <w:p w14:paraId="3E7D88A1">
            <w:pPr>
              <w:pStyle w:val="11"/>
            </w:pPr>
          </w:p>
        </w:tc>
        <w:tc>
          <w:tcPr>
            <w:tcW w:w="1134" w:type="dxa"/>
            <w:vAlign w:val="center"/>
          </w:tcPr>
          <w:p w14:paraId="5D6AD275">
            <w:pPr>
              <w:pStyle w:val="11"/>
            </w:pPr>
          </w:p>
        </w:tc>
      </w:tr>
    </w:tbl>
    <w:p w14:paraId="1D95D6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459A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1B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79A699E">
            <w:pPr>
              <w:pStyle w:val="9"/>
            </w:pPr>
            <w:r>
              <w:t>360008隆尧县牛家桥中学</w:t>
            </w:r>
          </w:p>
        </w:tc>
        <w:tc>
          <w:tcPr>
            <w:tcW w:w="2722" w:type="dxa"/>
            <w:gridSpan w:val="2"/>
            <w:tcBorders>
              <w:top w:val="single" w:color="FFFFFF" w:sz="6" w:space="0"/>
              <w:left w:val="single" w:color="FFFFFF" w:sz="6" w:space="0"/>
              <w:right w:val="single" w:color="FFFFFF" w:sz="6" w:space="0"/>
            </w:tcBorders>
            <w:vAlign w:val="center"/>
          </w:tcPr>
          <w:p w14:paraId="4DA697D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7BC95DC">
            <w:pPr>
              <w:pStyle w:val="7"/>
            </w:pPr>
            <w:r>
              <w:t>单位：万元</w:t>
            </w:r>
          </w:p>
        </w:tc>
      </w:tr>
      <w:tr w14:paraId="4C9C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D297C2">
            <w:pPr>
              <w:pStyle w:val="10"/>
            </w:pPr>
            <w:r>
              <w:t>序号</w:t>
            </w:r>
          </w:p>
        </w:tc>
        <w:tc>
          <w:tcPr>
            <w:tcW w:w="5527" w:type="dxa"/>
            <w:gridSpan w:val="2"/>
            <w:vAlign w:val="center"/>
          </w:tcPr>
          <w:p w14:paraId="7C670551">
            <w:pPr>
              <w:pStyle w:val="10"/>
            </w:pPr>
            <w:r>
              <w:t>功能分类科目</w:t>
            </w:r>
          </w:p>
        </w:tc>
        <w:tc>
          <w:tcPr>
            <w:tcW w:w="1361" w:type="dxa"/>
            <w:vMerge w:val="restart"/>
            <w:vAlign w:val="center"/>
          </w:tcPr>
          <w:p w14:paraId="15290534">
            <w:pPr>
              <w:pStyle w:val="10"/>
            </w:pPr>
            <w:r>
              <w:t>合计</w:t>
            </w:r>
          </w:p>
        </w:tc>
        <w:tc>
          <w:tcPr>
            <w:tcW w:w="1361" w:type="dxa"/>
            <w:vMerge w:val="restart"/>
            <w:vAlign w:val="center"/>
          </w:tcPr>
          <w:p w14:paraId="36F8BC0C">
            <w:pPr>
              <w:pStyle w:val="10"/>
            </w:pPr>
            <w:r>
              <w:t>基本支出</w:t>
            </w:r>
          </w:p>
        </w:tc>
        <w:tc>
          <w:tcPr>
            <w:tcW w:w="1361" w:type="dxa"/>
            <w:vMerge w:val="restart"/>
            <w:vAlign w:val="center"/>
          </w:tcPr>
          <w:p w14:paraId="72770366">
            <w:pPr>
              <w:pStyle w:val="10"/>
            </w:pPr>
            <w:r>
              <w:t>项目支出</w:t>
            </w:r>
          </w:p>
        </w:tc>
        <w:tc>
          <w:tcPr>
            <w:tcW w:w="1361" w:type="dxa"/>
            <w:vMerge w:val="restart"/>
            <w:vAlign w:val="center"/>
          </w:tcPr>
          <w:p w14:paraId="4B592A07">
            <w:pPr>
              <w:pStyle w:val="10"/>
            </w:pPr>
            <w:r>
              <w:t>经营支出</w:t>
            </w:r>
          </w:p>
        </w:tc>
        <w:tc>
          <w:tcPr>
            <w:tcW w:w="1361" w:type="dxa"/>
            <w:vMerge w:val="restart"/>
            <w:vAlign w:val="center"/>
          </w:tcPr>
          <w:p w14:paraId="17F81A6B">
            <w:pPr>
              <w:pStyle w:val="10"/>
            </w:pPr>
            <w:r>
              <w:t>上解上级     支出</w:t>
            </w:r>
          </w:p>
        </w:tc>
        <w:tc>
          <w:tcPr>
            <w:tcW w:w="1361" w:type="dxa"/>
            <w:vMerge w:val="restart"/>
            <w:vAlign w:val="center"/>
          </w:tcPr>
          <w:p w14:paraId="0C13009C">
            <w:pPr>
              <w:pStyle w:val="10"/>
            </w:pPr>
            <w:r>
              <w:t>对附属单位补助支出</w:t>
            </w:r>
          </w:p>
        </w:tc>
      </w:tr>
      <w:tr w14:paraId="13A4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2893EA"/>
        </w:tc>
        <w:tc>
          <w:tcPr>
            <w:tcW w:w="992" w:type="dxa"/>
            <w:vAlign w:val="center"/>
          </w:tcPr>
          <w:p w14:paraId="3034074C">
            <w:pPr>
              <w:pStyle w:val="10"/>
            </w:pPr>
            <w:r>
              <w:t>科目    编码</w:t>
            </w:r>
          </w:p>
        </w:tc>
        <w:tc>
          <w:tcPr>
            <w:tcW w:w="4535" w:type="dxa"/>
            <w:vAlign w:val="center"/>
          </w:tcPr>
          <w:p w14:paraId="5E0E5809">
            <w:pPr>
              <w:pStyle w:val="10"/>
            </w:pPr>
            <w:r>
              <w:t>科目名称</w:t>
            </w:r>
          </w:p>
        </w:tc>
        <w:tc>
          <w:tcPr>
            <w:tcW w:w="1361" w:type="dxa"/>
            <w:vMerge w:val="continue"/>
          </w:tcPr>
          <w:p w14:paraId="7141D322"/>
        </w:tc>
        <w:tc>
          <w:tcPr>
            <w:tcW w:w="1361" w:type="dxa"/>
            <w:vMerge w:val="continue"/>
          </w:tcPr>
          <w:p w14:paraId="0AB27A84"/>
        </w:tc>
        <w:tc>
          <w:tcPr>
            <w:tcW w:w="1361" w:type="dxa"/>
            <w:vMerge w:val="continue"/>
          </w:tcPr>
          <w:p w14:paraId="7BBC0049"/>
        </w:tc>
        <w:tc>
          <w:tcPr>
            <w:tcW w:w="1361" w:type="dxa"/>
            <w:vMerge w:val="continue"/>
          </w:tcPr>
          <w:p w14:paraId="4880BC1F"/>
        </w:tc>
        <w:tc>
          <w:tcPr>
            <w:tcW w:w="1361" w:type="dxa"/>
            <w:vMerge w:val="continue"/>
          </w:tcPr>
          <w:p w14:paraId="003AC1C5"/>
        </w:tc>
        <w:tc>
          <w:tcPr>
            <w:tcW w:w="1361" w:type="dxa"/>
            <w:vMerge w:val="continue"/>
          </w:tcPr>
          <w:p w14:paraId="3978F7F9"/>
        </w:tc>
      </w:tr>
      <w:tr w14:paraId="56AE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AD22D7">
            <w:pPr>
              <w:pStyle w:val="10"/>
            </w:pPr>
            <w:r>
              <w:t>栏次</w:t>
            </w:r>
          </w:p>
        </w:tc>
        <w:tc>
          <w:tcPr>
            <w:tcW w:w="992" w:type="dxa"/>
            <w:vAlign w:val="center"/>
          </w:tcPr>
          <w:p w14:paraId="69F79737">
            <w:pPr>
              <w:pStyle w:val="10"/>
            </w:pPr>
            <w:r>
              <w:t>1</w:t>
            </w:r>
          </w:p>
        </w:tc>
        <w:tc>
          <w:tcPr>
            <w:tcW w:w="4535" w:type="dxa"/>
            <w:vAlign w:val="center"/>
          </w:tcPr>
          <w:p w14:paraId="77313773">
            <w:pPr>
              <w:pStyle w:val="10"/>
            </w:pPr>
            <w:r>
              <w:t>2</w:t>
            </w:r>
          </w:p>
        </w:tc>
        <w:tc>
          <w:tcPr>
            <w:tcW w:w="1361" w:type="dxa"/>
            <w:vAlign w:val="center"/>
          </w:tcPr>
          <w:p w14:paraId="3DA54B7E">
            <w:pPr>
              <w:pStyle w:val="10"/>
            </w:pPr>
            <w:r>
              <w:t>3</w:t>
            </w:r>
          </w:p>
        </w:tc>
        <w:tc>
          <w:tcPr>
            <w:tcW w:w="1361" w:type="dxa"/>
            <w:vAlign w:val="center"/>
          </w:tcPr>
          <w:p w14:paraId="2B647544">
            <w:pPr>
              <w:pStyle w:val="10"/>
            </w:pPr>
            <w:r>
              <w:t>4</w:t>
            </w:r>
          </w:p>
        </w:tc>
        <w:tc>
          <w:tcPr>
            <w:tcW w:w="1361" w:type="dxa"/>
            <w:vAlign w:val="center"/>
          </w:tcPr>
          <w:p w14:paraId="593B757B">
            <w:pPr>
              <w:pStyle w:val="10"/>
            </w:pPr>
            <w:r>
              <w:t>5</w:t>
            </w:r>
          </w:p>
        </w:tc>
        <w:tc>
          <w:tcPr>
            <w:tcW w:w="1361" w:type="dxa"/>
            <w:vAlign w:val="center"/>
          </w:tcPr>
          <w:p w14:paraId="6CA512FB">
            <w:pPr>
              <w:pStyle w:val="10"/>
            </w:pPr>
            <w:r>
              <w:t>6</w:t>
            </w:r>
          </w:p>
        </w:tc>
        <w:tc>
          <w:tcPr>
            <w:tcW w:w="1361" w:type="dxa"/>
            <w:vAlign w:val="center"/>
          </w:tcPr>
          <w:p w14:paraId="7B7111D2">
            <w:pPr>
              <w:pStyle w:val="10"/>
            </w:pPr>
            <w:r>
              <w:t>7</w:t>
            </w:r>
          </w:p>
        </w:tc>
        <w:tc>
          <w:tcPr>
            <w:tcW w:w="1361" w:type="dxa"/>
            <w:vAlign w:val="center"/>
          </w:tcPr>
          <w:p w14:paraId="0A6E02B6">
            <w:pPr>
              <w:pStyle w:val="10"/>
            </w:pPr>
            <w:r>
              <w:t>8</w:t>
            </w:r>
          </w:p>
        </w:tc>
      </w:tr>
      <w:tr w14:paraId="38D4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69E70">
            <w:pPr>
              <w:pStyle w:val="13"/>
            </w:pPr>
            <w:r>
              <w:t>1</w:t>
            </w:r>
          </w:p>
        </w:tc>
        <w:tc>
          <w:tcPr>
            <w:tcW w:w="992" w:type="dxa"/>
            <w:vAlign w:val="center"/>
          </w:tcPr>
          <w:p w14:paraId="48C27285">
            <w:pPr>
              <w:pStyle w:val="16"/>
            </w:pPr>
          </w:p>
        </w:tc>
        <w:tc>
          <w:tcPr>
            <w:tcW w:w="4535" w:type="dxa"/>
            <w:vAlign w:val="center"/>
          </w:tcPr>
          <w:p w14:paraId="028C4539">
            <w:pPr>
              <w:pStyle w:val="14"/>
            </w:pPr>
            <w:r>
              <w:t>合计</w:t>
            </w:r>
          </w:p>
        </w:tc>
        <w:tc>
          <w:tcPr>
            <w:tcW w:w="1361" w:type="dxa"/>
            <w:vAlign w:val="center"/>
          </w:tcPr>
          <w:p w14:paraId="71561CBF">
            <w:pPr>
              <w:pStyle w:val="15"/>
            </w:pPr>
            <w:r>
              <w:t>714.80</w:t>
            </w:r>
          </w:p>
        </w:tc>
        <w:tc>
          <w:tcPr>
            <w:tcW w:w="1361" w:type="dxa"/>
            <w:vAlign w:val="center"/>
          </w:tcPr>
          <w:p w14:paraId="6063020F">
            <w:pPr>
              <w:pStyle w:val="15"/>
            </w:pPr>
            <w:r>
              <w:t>602.27</w:t>
            </w:r>
          </w:p>
        </w:tc>
        <w:tc>
          <w:tcPr>
            <w:tcW w:w="1361" w:type="dxa"/>
            <w:vAlign w:val="center"/>
          </w:tcPr>
          <w:p w14:paraId="1711D346">
            <w:pPr>
              <w:pStyle w:val="15"/>
            </w:pPr>
            <w:r>
              <w:t>112.53</w:t>
            </w:r>
          </w:p>
        </w:tc>
        <w:tc>
          <w:tcPr>
            <w:tcW w:w="1361" w:type="dxa"/>
            <w:vAlign w:val="center"/>
          </w:tcPr>
          <w:p w14:paraId="3002109A">
            <w:pPr>
              <w:pStyle w:val="15"/>
            </w:pPr>
          </w:p>
        </w:tc>
        <w:tc>
          <w:tcPr>
            <w:tcW w:w="1361" w:type="dxa"/>
            <w:vAlign w:val="center"/>
          </w:tcPr>
          <w:p w14:paraId="5B195791">
            <w:pPr>
              <w:pStyle w:val="15"/>
            </w:pPr>
          </w:p>
        </w:tc>
        <w:tc>
          <w:tcPr>
            <w:tcW w:w="1361" w:type="dxa"/>
            <w:vAlign w:val="center"/>
          </w:tcPr>
          <w:p w14:paraId="2437E4CD">
            <w:pPr>
              <w:pStyle w:val="15"/>
            </w:pPr>
          </w:p>
        </w:tc>
      </w:tr>
      <w:tr w14:paraId="2C8D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D35F4">
            <w:pPr>
              <w:pStyle w:val="13"/>
            </w:pPr>
            <w:r>
              <w:t>2</w:t>
            </w:r>
          </w:p>
        </w:tc>
        <w:tc>
          <w:tcPr>
            <w:tcW w:w="992" w:type="dxa"/>
            <w:vAlign w:val="center"/>
          </w:tcPr>
          <w:p w14:paraId="12618223">
            <w:pPr>
              <w:pStyle w:val="12"/>
            </w:pPr>
            <w:r>
              <w:t>205</w:t>
            </w:r>
          </w:p>
        </w:tc>
        <w:tc>
          <w:tcPr>
            <w:tcW w:w="4535" w:type="dxa"/>
            <w:vAlign w:val="center"/>
          </w:tcPr>
          <w:p w14:paraId="27160B54">
            <w:pPr>
              <w:pStyle w:val="12"/>
            </w:pPr>
            <w:r>
              <w:t>教育支出</w:t>
            </w:r>
          </w:p>
        </w:tc>
        <w:tc>
          <w:tcPr>
            <w:tcW w:w="1361" w:type="dxa"/>
            <w:vAlign w:val="center"/>
          </w:tcPr>
          <w:p w14:paraId="651D7C87">
            <w:pPr>
              <w:pStyle w:val="11"/>
            </w:pPr>
            <w:r>
              <w:t>714.80</w:t>
            </w:r>
          </w:p>
        </w:tc>
        <w:tc>
          <w:tcPr>
            <w:tcW w:w="1361" w:type="dxa"/>
            <w:vAlign w:val="center"/>
          </w:tcPr>
          <w:p w14:paraId="4CF549E9">
            <w:pPr>
              <w:pStyle w:val="11"/>
            </w:pPr>
            <w:r>
              <w:t>602.27</w:t>
            </w:r>
          </w:p>
        </w:tc>
        <w:tc>
          <w:tcPr>
            <w:tcW w:w="1361" w:type="dxa"/>
            <w:vAlign w:val="center"/>
          </w:tcPr>
          <w:p w14:paraId="01A9AE72">
            <w:pPr>
              <w:pStyle w:val="11"/>
            </w:pPr>
            <w:r>
              <w:t>112.53</w:t>
            </w:r>
          </w:p>
        </w:tc>
        <w:tc>
          <w:tcPr>
            <w:tcW w:w="1361" w:type="dxa"/>
            <w:vAlign w:val="center"/>
          </w:tcPr>
          <w:p w14:paraId="13C7CA82">
            <w:pPr>
              <w:pStyle w:val="11"/>
            </w:pPr>
          </w:p>
        </w:tc>
        <w:tc>
          <w:tcPr>
            <w:tcW w:w="1361" w:type="dxa"/>
            <w:vAlign w:val="center"/>
          </w:tcPr>
          <w:p w14:paraId="71CB3E6A">
            <w:pPr>
              <w:pStyle w:val="11"/>
            </w:pPr>
          </w:p>
        </w:tc>
        <w:tc>
          <w:tcPr>
            <w:tcW w:w="1361" w:type="dxa"/>
            <w:vAlign w:val="center"/>
          </w:tcPr>
          <w:p w14:paraId="7BEB3D47">
            <w:pPr>
              <w:pStyle w:val="11"/>
            </w:pPr>
          </w:p>
        </w:tc>
      </w:tr>
      <w:tr w14:paraId="7DE9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4355">
            <w:pPr>
              <w:pStyle w:val="13"/>
            </w:pPr>
            <w:r>
              <w:t>3</w:t>
            </w:r>
          </w:p>
        </w:tc>
        <w:tc>
          <w:tcPr>
            <w:tcW w:w="992" w:type="dxa"/>
            <w:vAlign w:val="center"/>
          </w:tcPr>
          <w:p w14:paraId="59778AC7">
            <w:pPr>
              <w:pStyle w:val="12"/>
            </w:pPr>
            <w:r>
              <w:t>20502</w:t>
            </w:r>
          </w:p>
        </w:tc>
        <w:tc>
          <w:tcPr>
            <w:tcW w:w="4535" w:type="dxa"/>
            <w:vAlign w:val="center"/>
          </w:tcPr>
          <w:p w14:paraId="413B11E8">
            <w:pPr>
              <w:pStyle w:val="12"/>
            </w:pPr>
            <w:r>
              <w:t>普通教育</w:t>
            </w:r>
          </w:p>
        </w:tc>
        <w:tc>
          <w:tcPr>
            <w:tcW w:w="1361" w:type="dxa"/>
            <w:vAlign w:val="center"/>
          </w:tcPr>
          <w:p w14:paraId="0109E6BA">
            <w:pPr>
              <w:pStyle w:val="11"/>
            </w:pPr>
            <w:r>
              <w:t>714.80</w:t>
            </w:r>
          </w:p>
        </w:tc>
        <w:tc>
          <w:tcPr>
            <w:tcW w:w="1361" w:type="dxa"/>
            <w:vAlign w:val="center"/>
          </w:tcPr>
          <w:p w14:paraId="665213A2">
            <w:pPr>
              <w:pStyle w:val="11"/>
            </w:pPr>
            <w:r>
              <w:t>602.27</w:t>
            </w:r>
          </w:p>
        </w:tc>
        <w:tc>
          <w:tcPr>
            <w:tcW w:w="1361" w:type="dxa"/>
            <w:vAlign w:val="center"/>
          </w:tcPr>
          <w:p w14:paraId="682123BC">
            <w:pPr>
              <w:pStyle w:val="11"/>
            </w:pPr>
            <w:r>
              <w:t>112.53</w:t>
            </w:r>
          </w:p>
        </w:tc>
        <w:tc>
          <w:tcPr>
            <w:tcW w:w="1361" w:type="dxa"/>
            <w:vAlign w:val="center"/>
          </w:tcPr>
          <w:p w14:paraId="4C15775E">
            <w:pPr>
              <w:pStyle w:val="11"/>
            </w:pPr>
          </w:p>
        </w:tc>
        <w:tc>
          <w:tcPr>
            <w:tcW w:w="1361" w:type="dxa"/>
            <w:vAlign w:val="center"/>
          </w:tcPr>
          <w:p w14:paraId="28A0C61A">
            <w:pPr>
              <w:pStyle w:val="11"/>
            </w:pPr>
          </w:p>
        </w:tc>
        <w:tc>
          <w:tcPr>
            <w:tcW w:w="1361" w:type="dxa"/>
            <w:vAlign w:val="center"/>
          </w:tcPr>
          <w:p w14:paraId="67828E74">
            <w:pPr>
              <w:pStyle w:val="11"/>
            </w:pPr>
          </w:p>
        </w:tc>
      </w:tr>
      <w:tr w14:paraId="0925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6218D">
            <w:pPr>
              <w:pStyle w:val="13"/>
            </w:pPr>
            <w:r>
              <w:t>4</w:t>
            </w:r>
          </w:p>
        </w:tc>
        <w:tc>
          <w:tcPr>
            <w:tcW w:w="992" w:type="dxa"/>
            <w:vAlign w:val="center"/>
          </w:tcPr>
          <w:p w14:paraId="5F5A842B">
            <w:pPr>
              <w:pStyle w:val="12"/>
            </w:pPr>
            <w:r>
              <w:t>2050203</w:t>
            </w:r>
          </w:p>
        </w:tc>
        <w:tc>
          <w:tcPr>
            <w:tcW w:w="4535" w:type="dxa"/>
            <w:vAlign w:val="center"/>
          </w:tcPr>
          <w:p w14:paraId="2155E1E0">
            <w:pPr>
              <w:pStyle w:val="12"/>
            </w:pPr>
            <w:r>
              <w:t>初中教育</w:t>
            </w:r>
          </w:p>
        </w:tc>
        <w:tc>
          <w:tcPr>
            <w:tcW w:w="1361" w:type="dxa"/>
            <w:vAlign w:val="center"/>
          </w:tcPr>
          <w:p w14:paraId="1921A9DC">
            <w:pPr>
              <w:pStyle w:val="11"/>
            </w:pPr>
            <w:r>
              <w:t>714.80</w:t>
            </w:r>
          </w:p>
        </w:tc>
        <w:tc>
          <w:tcPr>
            <w:tcW w:w="1361" w:type="dxa"/>
            <w:vAlign w:val="center"/>
          </w:tcPr>
          <w:p w14:paraId="431D040F">
            <w:pPr>
              <w:pStyle w:val="11"/>
            </w:pPr>
            <w:r>
              <w:t>602.27</w:t>
            </w:r>
          </w:p>
        </w:tc>
        <w:tc>
          <w:tcPr>
            <w:tcW w:w="1361" w:type="dxa"/>
            <w:vAlign w:val="center"/>
          </w:tcPr>
          <w:p w14:paraId="3C5339C4">
            <w:pPr>
              <w:pStyle w:val="11"/>
            </w:pPr>
            <w:r>
              <w:t>112.53</w:t>
            </w:r>
          </w:p>
        </w:tc>
        <w:tc>
          <w:tcPr>
            <w:tcW w:w="1361" w:type="dxa"/>
            <w:vAlign w:val="center"/>
          </w:tcPr>
          <w:p w14:paraId="0DAB6D54">
            <w:pPr>
              <w:pStyle w:val="11"/>
            </w:pPr>
          </w:p>
        </w:tc>
        <w:tc>
          <w:tcPr>
            <w:tcW w:w="1361" w:type="dxa"/>
            <w:vAlign w:val="center"/>
          </w:tcPr>
          <w:p w14:paraId="65AA966A">
            <w:pPr>
              <w:pStyle w:val="11"/>
            </w:pPr>
          </w:p>
        </w:tc>
        <w:tc>
          <w:tcPr>
            <w:tcW w:w="1361" w:type="dxa"/>
            <w:vAlign w:val="center"/>
          </w:tcPr>
          <w:p w14:paraId="07B7E4DF">
            <w:pPr>
              <w:pStyle w:val="11"/>
            </w:pPr>
          </w:p>
        </w:tc>
      </w:tr>
    </w:tbl>
    <w:p w14:paraId="22ADC5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AAAE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61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35D055">
            <w:pPr>
              <w:pStyle w:val="9"/>
            </w:pPr>
            <w:r>
              <w:t>360008隆尧县牛家桥中学</w:t>
            </w:r>
          </w:p>
        </w:tc>
        <w:tc>
          <w:tcPr>
            <w:tcW w:w="3402" w:type="dxa"/>
            <w:tcBorders>
              <w:top w:val="single" w:color="FFFFFF" w:sz="6" w:space="0"/>
              <w:left w:val="single" w:color="FFFFFF" w:sz="6" w:space="0"/>
              <w:right w:val="single" w:color="FFFFFF" w:sz="6" w:space="0"/>
            </w:tcBorders>
            <w:vAlign w:val="center"/>
          </w:tcPr>
          <w:p w14:paraId="10F8040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4FBD357">
            <w:pPr>
              <w:pStyle w:val="7"/>
            </w:pPr>
            <w:r>
              <w:t>单位：万元</w:t>
            </w:r>
          </w:p>
        </w:tc>
      </w:tr>
      <w:tr w14:paraId="3353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4178E">
            <w:pPr>
              <w:pStyle w:val="10"/>
            </w:pPr>
            <w:r>
              <w:t>序号</w:t>
            </w:r>
          </w:p>
        </w:tc>
        <w:tc>
          <w:tcPr>
            <w:tcW w:w="4876" w:type="dxa"/>
            <w:gridSpan w:val="2"/>
            <w:vAlign w:val="center"/>
          </w:tcPr>
          <w:p w14:paraId="5B992CA2">
            <w:pPr>
              <w:pStyle w:val="10"/>
            </w:pPr>
            <w:r>
              <w:t>收入</w:t>
            </w:r>
          </w:p>
        </w:tc>
        <w:tc>
          <w:tcPr>
            <w:tcW w:w="9298" w:type="dxa"/>
            <w:gridSpan w:val="5"/>
            <w:vAlign w:val="center"/>
          </w:tcPr>
          <w:p w14:paraId="422F381F">
            <w:pPr>
              <w:pStyle w:val="10"/>
            </w:pPr>
            <w:r>
              <w:t>支出</w:t>
            </w:r>
          </w:p>
        </w:tc>
      </w:tr>
      <w:tr w14:paraId="45FCFDCF">
        <w:tblPrEx>
          <w:tblCellMar>
            <w:top w:w="0" w:type="dxa"/>
            <w:left w:w="108" w:type="dxa"/>
            <w:bottom w:w="0" w:type="dxa"/>
            <w:right w:w="108" w:type="dxa"/>
          </w:tblCellMar>
        </w:tblPrEx>
        <w:trPr>
          <w:trHeight w:val="369" w:hRule="atLeast"/>
          <w:tblHeader/>
          <w:jc w:val="center"/>
        </w:trPr>
        <w:tc>
          <w:tcPr>
            <w:tcW w:w="850" w:type="dxa"/>
            <w:vMerge w:val="continue"/>
          </w:tcPr>
          <w:p w14:paraId="5D45B92E"/>
        </w:tc>
        <w:tc>
          <w:tcPr>
            <w:tcW w:w="3402" w:type="dxa"/>
            <w:vAlign w:val="center"/>
          </w:tcPr>
          <w:p w14:paraId="26C1970A">
            <w:pPr>
              <w:pStyle w:val="10"/>
            </w:pPr>
            <w:r>
              <w:t>项  目</w:t>
            </w:r>
          </w:p>
        </w:tc>
        <w:tc>
          <w:tcPr>
            <w:tcW w:w="1474" w:type="dxa"/>
            <w:vAlign w:val="center"/>
          </w:tcPr>
          <w:p w14:paraId="1A209055">
            <w:pPr>
              <w:pStyle w:val="10"/>
            </w:pPr>
            <w:r>
              <w:t>金额</w:t>
            </w:r>
          </w:p>
        </w:tc>
        <w:tc>
          <w:tcPr>
            <w:tcW w:w="3402" w:type="dxa"/>
            <w:vAlign w:val="center"/>
          </w:tcPr>
          <w:p w14:paraId="0B83D009">
            <w:pPr>
              <w:pStyle w:val="10"/>
            </w:pPr>
            <w:r>
              <w:t>项  目</w:t>
            </w:r>
          </w:p>
        </w:tc>
        <w:tc>
          <w:tcPr>
            <w:tcW w:w="1474" w:type="dxa"/>
            <w:vAlign w:val="center"/>
          </w:tcPr>
          <w:p w14:paraId="2A25B59D">
            <w:pPr>
              <w:pStyle w:val="10"/>
            </w:pPr>
            <w:r>
              <w:t>合计</w:t>
            </w:r>
          </w:p>
        </w:tc>
        <w:tc>
          <w:tcPr>
            <w:tcW w:w="1474" w:type="dxa"/>
            <w:vAlign w:val="center"/>
          </w:tcPr>
          <w:p w14:paraId="4200C852">
            <w:pPr>
              <w:pStyle w:val="10"/>
            </w:pPr>
            <w:r>
              <w:t>一般公共预算财政拨款</w:t>
            </w:r>
          </w:p>
        </w:tc>
        <w:tc>
          <w:tcPr>
            <w:tcW w:w="1474" w:type="dxa"/>
            <w:vAlign w:val="center"/>
          </w:tcPr>
          <w:p w14:paraId="03F8B917">
            <w:pPr>
              <w:pStyle w:val="10"/>
            </w:pPr>
            <w:r>
              <w:t>政府性基金预算财政    拨款</w:t>
            </w:r>
          </w:p>
        </w:tc>
        <w:tc>
          <w:tcPr>
            <w:tcW w:w="1474" w:type="dxa"/>
            <w:vAlign w:val="center"/>
          </w:tcPr>
          <w:p w14:paraId="403EDCBF">
            <w:pPr>
              <w:pStyle w:val="10"/>
            </w:pPr>
            <w:r>
              <w:t>国有资本经营预算财政拨款</w:t>
            </w:r>
          </w:p>
        </w:tc>
      </w:tr>
      <w:tr w14:paraId="713C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771B1">
            <w:pPr>
              <w:pStyle w:val="10"/>
            </w:pPr>
            <w:r>
              <w:t>栏次</w:t>
            </w:r>
          </w:p>
        </w:tc>
        <w:tc>
          <w:tcPr>
            <w:tcW w:w="3402" w:type="dxa"/>
            <w:vAlign w:val="center"/>
          </w:tcPr>
          <w:p w14:paraId="1995554E">
            <w:pPr>
              <w:pStyle w:val="10"/>
            </w:pPr>
            <w:r>
              <w:t>1</w:t>
            </w:r>
          </w:p>
        </w:tc>
        <w:tc>
          <w:tcPr>
            <w:tcW w:w="1474" w:type="dxa"/>
            <w:vAlign w:val="center"/>
          </w:tcPr>
          <w:p w14:paraId="15B59DD6">
            <w:pPr>
              <w:pStyle w:val="10"/>
            </w:pPr>
            <w:r>
              <w:t>2</w:t>
            </w:r>
          </w:p>
        </w:tc>
        <w:tc>
          <w:tcPr>
            <w:tcW w:w="3402" w:type="dxa"/>
            <w:vAlign w:val="center"/>
          </w:tcPr>
          <w:p w14:paraId="3899B1CD">
            <w:pPr>
              <w:pStyle w:val="10"/>
            </w:pPr>
            <w:r>
              <w:t>3</w:t>
            </w:r>
          </w:p>
        </w:tc>
        <w:tc>
          <w:tcPr>
            <w:tcW w:w="1474" w:type="dxa"/>
            <w:vAlign w:val="center"/>
          </w:tcPr>
          <w:p w14:paraId="165EA6E3">
            <w:pPr>
              <w:pStyle w:val="10"/>
            </w:pPr>
            <w:r>
              <w:t>4</w:t>
            </w:r>
          </w:p>
        </w:tc>
        <w:tc>
          <w:tcPr>
            <w:tcW w:w="1474" w:type="dxa"/>
            <w:vAlign w:val="center"/>
          </w:tcPr>
          <w:p w14:paraId="74972FF7">
            <w:pPr>
              <w:pStyle w:val="10"/>
            </w:pPr>
            <w:r>
              <w:t>5</w:t>
            </w:r>
          </w:p>
        </w:tc>
        <w:tc>
          <w:tcPr>
            <w:tcW w:w="1474" w:type="dxa"/>
            <w:vAlign w:val="center"/>
          </w:tcPr>
          <w:p w14:paraId="119EEF38">
            <w:pPr>
              <w:pStyle w:val="10"/>
            </w:pPr>
            <w:r>
              <w:t>6</w:t>
            </w:r>
          </w:p>
        </w:tc>
        <w:tc>
          <w:tcPr>
            <w:tcW w:w="1474" w:type="dxa"/>
            <w:vAlign w:val="center"/>
          </w:tcPr>
          <w:p w14:paraId="3EABD91F">
            <w:pPr>
              <w:pStyle w:val="10"/>
            </w:pPr>
            <w:r>
              <w:t>7</w:t>
            </w:r>
          </w:p>
        </w:tc>
      </w:tr>
      <w:tr w14:paraId="171E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9EEE7">
            <w:pPr>
              <w:pStyle w:val="13"/>
            </w:pPr>
            <w:r>
              <w:t>1</w:t>
            </w:r>
          </w:p>
        </w:tc>
        <w:tc>
          <w:tcPr>
            <w:tcW w:w="3402" w:type="dxa"/>
            <w:vAlign w:val="center"/>
          </w:tcPr>
          <w:p w14:paraId="71D0C083">
            <w:pPr>
              <w:pStyle w:val="12"/>
            </w:pPr>
            <w:r>
              <w:t>一、一般公共预算拨款</w:t>
            </w:r>
          </w:p>
        </w:tc>
        <w:tc>
          <w:tcPr>
            <w:tcW w:w="1474" w:type="dxa"/>
            <w:vAlign w:val="center"/>
          </w:tcPr>
          <w:p w14:paraId="384280FA">
            <w:pPr>
              <w:pStyle w:val="11"/>
            </w:pPr>
            <w:r>
              <w:t>714.80</w:t>
            </w:r>
          </w:p>
        </w:tc>
        <w:tc>
          <w:tcPr>
            <w:tcW w:w="3402" w:type="dxa"/>
            <w:vAlign w:val="center"/>
          </w:tcPr>
          <w:p w14:paraId="2D0C8666">
            <w:pPr>
              <w:pStyle w:val="12"/>
            </w:pPr>
            <w:r>
              <w:t>一、一般公共服务支出</w:t>
            </w:r>
          </w:p>
        </w:tc>
        <w:tc>
          <w:tcPr>
            <w:tcW w:w="1474" w:type="dxa"/>
            <w:vAlign w:val="center"/>
          </w:tcPr>
          <w:p w14:paraId="577D7C0A">
            <w:pPr>
              <w:pStyle w:val="11"/>
            </w:pPr>
          </w:p>
        </w:tc>
        <w:tc>
          <w:tcPr>
            <w:tcW w:w="1474" w:type="dxa"/>
            <w:vAlign w:val="center"/>
          </w:tcPr>
          <w:p w14:paraId="52104FC0">
            <w:pPr>
              <w:pStyle w:val="11"/>
            </w:pPr>
          </w:p>
        </w:tc>
        <w:tc>
          <w:tcPr>
            <w:tcW w:w="1474" w:type="dxa"/>
            <w:vAlign w:val="center"/>
          </w:tcPr>
          <w:p w14:paraId="0A9FE173">
            <w:pPr>
              <w:pStyle w:val="11"/>
            </w:pPr>
          </w:p>
        </w:tc>
        <w:tc>
          <w:tcPr>
            <w:tcW w:w="1474" w:type="dxa"/>
            <w:vAlign w:val="center"/>
          </w:tcPr>
          <w:p w14:paraId="02760563">
            <w:pPr>
              <w:pStyle w:val="11"/>
            </w:pPr>
          </w:p>
        </w:tc>
      </w:tr>
      <w:tr w14:paraId="1C71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BEE48">
            <w:pPr>
              <w:pStyle w:val="13"/>
            </w:pPr>
            <w:r>
              <w:t>2</w:t>
            </w:r>
          </w:p>
        </w:tc>
        <w:tc>
          <w:tcPr>
            <w:tcW w:w="3402" w:type="dxa"/>
            <w:vAlign w:val="center"/>
          </w:tcPr>
          <w:p w14:paraId="57F31070">
            <w:pPr>
              <w:pStyle w:val="12"/>
            </w:pPr>
            <w:r>
              <w:t>二、政府性基金预算拨款</w:t>
            </w:r>
          </w:p>
        </w:tc>
        <w:tc>
          <w:tcPr>
            <w:tcW w:w="1474" w:type="dxa"/>
            <w:vAlign w:val="center"/>
          </w:tcPr>
          <w:p w14:paraId="00F2EE38">
            <w:pPr>
              <w:pStyle w:val="11"/>
            </w:pPr>
          </w:p>
        </w:tc>
        <w:tc>
          <w:tcPr>
            <w:tcW w:w="3402" w:type="dxa"/>
            <w:vAlign w:val="center"/>
          </w:tcPr>
          <w:p w14:paraId="5884DE82">
            <w:pPr>
              <w:pStyle w:val="12"/>
            </w:pPr>
            <w:r>
              <w:t>二、外交支出</w:t>
            </w:r>
          </w:p>
        </w:tc>
        <w:tc>
          <w:tcPr>
            <w:tcW w:w="1474" w:type="dxa"/>
            <w:vAlign w:val="center"/>
          </w:tcPr>
          <w:p w14:paraId="636CB0D6">
            <w:pPr>
              <w:pStyle w:val="11"/>
            </w:pPr>
          </w:p>
        </w:tc>
        <w:tc>
          <w:tcPr>
            <w:tcW w:w="1474" w:type="dxa"/>
            <w:vAlign w:val="center"/>
          </w:tcPr>
          <w:p w14:paraId="6479F137">
            <w:pPr>
              <w:pStyle w:val="11"/>
            </w:pPr>
          </w:p>
        </w:tc>
        <w:tc>
          <w:tcPr>
            <w:tcW w:w="1474" w:type="dxa"/>
            <w:vAlign w:val="center"/>
          </w:tcPr>
          <w:p w14:paraId="3416ACCB">
            <w:pPr>
              <w:pStyle w:val="11"/>
            </w:pPr>
          </w:p>
        </w:tc>
        <w:tc>
          <w:tcPr>
            <w:tcW w:w="1474" w:type="dxa"/>
            <w:vAlign w:val="center"/>
          </w:tcPr>
          <w:p w14:paraId="0C193341">
            <w:pPr>
              <w:pStyle w:val="11"/>
            </w:pPr>
          </w:p>
        </w:tc>
      </w:tr>
      <w:tr w14:paraId="6184C3E5">
        <w:tblPrEx>
          <w:tblCellMar>
            <w:top w:w="0" w:type="dxa"/>
            <w:left w:w="108" w:type="dxa"/>
            <w:bottom w:w="0" w:type="dxa"/>
            <w:right w:w="108" w:type="dxa"/>
          </w:tblCellMar>
        </w:tblPrEx>
        <w:trPr>
          <w:trHeight w:val="369" w:hRule="atLeast"/>
          <w:jc w:val="center"/>
        </w:trPr>
        <w:tc>
          <w:tcPr>
            <w:tcW w:w="850" w:type="dxa"/>
            <w:vAlign w:val="center"/>
          </w:tcPr>
          <w:p w14:paraId="2A9784AF">
            <w:pPr>
              <w:pStyle w:val="13"/>
            </w:pPr>
            <w:r>
              <w:t>3</w:t>
            </w:r>
          </w:p>
        </w:tc>
        <w:tc>
          <w:tcPr>
            <w:tcW w:w="3402" w:type="dxa"/>
            <w:vAlign w:val="center"/>
          </w:tcPr>
          <w:p w14:paraId="42C3E1ED">
            <w:pPr>
              <w:pStyle w:val="12"/>
            </w:pPr>
            <w:r>
              <w:t>三、国有资本经营预算拨款</w:t>
            </w:r>
          </w:p>
        </w:tc>
        <w:tc>
          <w:tcPr>
            <w:tcW w:w="1474" w:type="dxa"/>
            <w:vAlign w:val="center"/>
          </w:tcPr>
          <w:p w14:paraId="151E79A7">
            <w:pPr>
              <w:pStyle w:val="11"/>
            </w:pPr>
          </w:p>
        </w:tc>
        <w:tc>
          <w:tcPr>
            <w:tcW w:w="3402" w:type="dxa"/>
            <w:vAlign w:val="center"/>
          </w:tcPr>
          <w:p w14:paraId="4F788FC4">
            <w:pPr>
              <w:pStyle w:val="12"/>
            </w:pPr>
            <w:r>
              <w:t>三、国防支出</w:t>
            </w:r>
          </w:p>
        </w:tc>
        <w:tc>
          <w:tcPr>
            <w:tcW w:w="1474" w:type="dxa"/>
            <w:vAlign w:val="center"/>
          </w:tcPr>
          <w:p w14:paraId="7112DD73">
            <w:pPr>
              <w:pStyle w:val="11"/>
            </w:pPr>
          </w:p>
        </w:tc>
        <w:tc>
          <w:tcPr>
            <w:tcW w:w="1474" w:type="dxa"/>
            <w:vAlign w:val="center"/>
          </w:tcPr>
          <w:p w14:paraId="05C3344F">
            <w:pPr>
              <w:pStyle w:val="11"/>
            </w:pPr>
          </w:p>
        </w:tc>
        <w:tc>
          <w:tcPr>
            <w:tcW w:w="1474" w:type="dxa"/>
            <w:vAlign w:val="center"/>
          </w:tcPr>
          <w:p w14:paraId="08F2A4CE">
            <w:pPr>
              <w:pStyle w:val="11"/>
            </w:pPr>
          </w:p>
        </w:tc>
        <w:tc>
          <w:tcPr>
            <w:tcW w:w="1474" w:type="dxa"/>
            <w:vAlign w:val="center"/>
          </w:tcPr>
          <w:p w14:paraId="576B717B">
            <w:pPr>
              <w:pStyle w:val="11"/>
            </w:pPr>
          </w:p>
        </w:tc>
      </w:tr>
      <w:tr w14:paraId="49D2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17F53">
            <w:pPr>
              <w:pStyle w:val="13"/>
            </w:pPr>
            <w:r>
              <w:t>4</w:t>
            </w:r>
          </w:p>
        </w:tc>
        <w:tc>
          <w:tcPr>
            <w:tcW w:w="3402" w:type="dxa"/>
            <w:vAlign w:val="center"/>
          </w:tcPr>
          <w:p w14:paraId="76317DFC">
            <w:pPr>
              <w:pStyle w:val="12"/>
            </w:pPr>
          </w:p>
        </w:tc>
        <w:tc>
          <w:tcPr>
            <w:tcW w:w="1474" w:type="dxa"/>
            <w:vAlign w:val="center"/>
          </w:tcPr>
          <w:p w14:paraId="7656F53D">
            <w:pPr>
              <w:pStyle w:val="11"/>
            </w:pPr>
          </w:p>
        </w:tc>
        <w:tc>
          <w:tcPr>
            <w:tcW w:w="3402" w:type="dxa"/>
            <w:vAlign w:val="center"/>
          </w:tcPr>
          <w:p w14:paraId="15402F6A">
            <w:pPr>
              <w:pStyle w:val="12"/>
            </w:pPr>
            <w:r>
              <w:t>四、公共安全支出</w:t>
            </w:r>
          </w:p>
        </w:tc>
        <w:tc>
          <w:tcPr>
            <w:tcW w:w="1474" w:type="dxa"/>
            <w:vAlign w:val="center"/>
          </w:tcPr>
          <w:p w14:paraId="5BBF2E84">
            <w:pPr>
              <w:pStyle w:val="11"/>
            </w:pPr>
          </w:p>
        </w:tc>
        <w:tc>
          <w:tcPr>
            <w:tcW w:w="1474" w:type="dxa"/>
            <w:vAlign w:val="center"/>
          </w:tcPr>
          <w:p w14:paraId="4F35A027">
            <w:pPr>
              <w:pStyle w:val="11"/>
            </w:pPr>
          </w:p>
        </w:tc>
        <w:tc>
          <w:tcPr>
            <w:tcW w:w="1474" w:type="dxa"/>
            <w:vAlign w:val="center"/>
          </w:tcPr>
          <w:p w14:paraId="58CF21D7">
            <w:pPr>
              <w:pStyle w:val="11"/>
            </w:pPr>
          </w:p>
        </w:tc>
        <w:tc>
          <w:tcPr>
            <w:tcW w:w="1474" w:type="dxa"/>
            <w:vAlign w:val="center"/>
          </w:tcPr>
          <w:p w14:paraId="6E1DC0BE">
            <w:pPr>
              <w:pStyle w:val="11"/>
            </w:pPr>
          </w:p>
        </w:tc>
      </w:tr>
      <w:tr w14:paraId="0A5C4862">
        <w:tblPrEx>
          <w:tblCellMar>
            <w:top w:w="0" w:type="dxa"/>
            <w:left w:w="108" w:type="dxa"/>
            <w:bottom w:w="0" w:type="dxa"/>
            <w:right w:w="108" w:type="dxa"/>
          </w:tblCellMar>
        </w:tblPrEx>
        <w:trPr>
          <w:trHeight w:val="369" w:hRule="atLeast"/>
          <w:jc w:val="center"/>
        </w:trPr>
        <w:tc>
          <w:tcPr>
            <w:tcW w:w="850" w:type="dxa"/>
            <w:vAlign w:val="center"/>
          </w:tcPr>
          <w:p w14:paraId="36C503AC">
            <w:pPr>
              <w:pStyle w:val="13"/>
            </w:pPr>
            <w:r>
              <w:t>5</w:t>
            </w:r>
          </w:p>
        </w:tc>
        <w:tc>
          <w:tcPr>
            <w:tcW w:w="3402" w:type="dxa"/>
            <w:vAlign w:val="center"/>
          </w:tcPr>
          <w:p w14:paraId="5C6D9D2E">
            <w:pPr>
              <w:pStyle w:val="12"/>
            </w:pPr>
          </w:p>
        </w:tc>
        <w:tc>
          <w:tcPr>
            <w:tcW w:w="1474" w:type="dxa"/>
            <w:vAlign w:val="center"/>
          </w:tcPr>
          <w:p w14:paraId="23E9BB42">
            <w:pPr>
              <w:pStyle w:val="11"/>
            </w:pPr>
          </w:p>
        </w:tc>
        <w:tc>
          <w:tcPr>
            <w:tcW w:w="3402" w:type="dxa"/>
            <w:vAlign w:val="center"/>
          </w:tcPr>
          <w:p w14:paraId="2CF78FD6">
            <w:pPr>
              <w:pStyle w:val="12"/>
            </w:pPr>
            <w:r>
              <w:t>五、教育支出</w:t>
            </w:r>
          </w:p>
        </w:tc>
        <w:tc>
          <w:tcPr>
            <w:tcW w:w="1474" w:type="dxa"/>
            <w:vAlign w:val="center"/>
          </w:tcPr>
          <w:p w14:paraId="7DAF7176">
            <w:pPr>
              <w:pStyle w:val="11"/>
            </w:pPr>
            <w:r>
              <w:t>714.80</w:t>
            </w:r>
          </w:p>
        </w:tc>
        <w:tc>
          <w:tcPr>
            <w:tcW w:w="1474" w:type="dxa"/>
            <w:vAlign w:val="center"/>
          </w:tcPr>
          <w:p w14:paraId="216F81CB">
            <w:pPr>
              <w:pStyle w:val="11"/>
            </w:pPr>
            <w:r>
              <w:t>714.80</w:t>
            </w:r>
          </w:p>
        </w:tc>
        <w:tc>
          <w:tcPr>
            <w:tcW w:w="1474" w:type="dxa"/>
            <w:vAlign w:val="center"/>
          </w:tcPr>
          <w:p w14:paraId="1DD920D2">
            <w:pPr>
              <w:pStyle w:val="11"/>
            </w:pPr>
          </w:p>
        </w:tc>
        <w:tc>
          <w:tcPr>
            <w:tcW w:w="1474" w:type="dxa"/>
            <w:vAlign w:val="center"/>
          </w:tcPr>
          <w:p w14:paraId="4190988C">
            <w:pPr>
              <w:pStyle w:val="11"/>
            </w:pPr>
          </w:p>
        </w:tc>
      </w:tr>
      <w:tr w14:paraId="1DC03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D67F">
            <w:pPr>
              <w:pStyle w:val="13"/>
            </w:pPr>
            <w:r>
              <w:t>6</w:t>
            </w:r>
          </w:p>
        </w:tc>
        <w:tc>
          <w:tcPr>
            <w:tcW w:w="3402" w:type="dxa"/>
            <w:vAlign w:val="center"/>
          </w:tcPr>
          <w:p w14:paraId="3760BB34">
            <w:pPr>
              <w:pStyle w:val="12"/>
            </w:pPr>
          </w:p>
        </w:tc>
        <w:tc>
          <w:tcPr>
            <w:tcW w:w="1474" w:type="dxa"/>
            <w:vAlign w:val="center"/>
          </w:tcPr>
          <w:p w14:paraId="3D013949">
            <w:pPr>
              <w:pStyle w:val="11"/>
            </w:pPr>
          </w:p>
        </w:tc>
        <w:tc>
          <w:tcPr>
            <w:tcW w:w="3402" w:type="dxa"/>
            <w:vAlign w:val="center"/>
          </w:tcPr>
          <w:p w14:paraId="0A2C4B74">
            <w:pPr>
              <w:pStyle w:val="12"/>
            </w:pPr>
            <w:r>
              <w:t>六、科学技术支出</w:t>
            </w:r>
          </w:p>
        </w:tc>
        <w:tc>
          <w:tcPr>
            <w:tcW w:w="1474" w:type="dxa"/>
            <w:vAlign w:val="center"/>
          </w:tcPr>
          <w:p w14:paraId="28F23EE6">
            <w:pPr>
              <w:pStyle w:val="11"/>
            </w:pPr>
          </w:p>
        </w:tc>
        <w:tc>
          <w:tcPr>
            <w:tcW w:w="1474" w:type="dxa"/>
            <w:vAlign w:val="center"/>
          </w:tcPr>
          <w:p w14:paraId="4A018385">
            <w:pPr>
              <w:pStyle w:val="11"/>
            </w:pPr>
          </w:p>
        </w:tc>
        <w:tc>
          <w:tcPr>
            <w:tcW w:w="1474" w:type="dxa"/>
            <w:vAlign w:val="center"/>
          </w:tcPr>
          <w:p w14:paraId="3403EA41">
            <w:pPr>
              <w:pStyle w:val="11"/>
            </w:pPr>
          </w:p>
        </w:tc>
        <w:tc>
          <w:tcPr>
            <w:tcW w:w="1474" w:type="dxa"/>
            <w:vAlign w:val="center"/>
          </w:tcPr>
          <w:p w14:paraId="11C12B54">
            <w:pPr>
              <w:pStyle w:val="11"/>
            </w:pPr>
          </w:p>
        </w:tc>
      </w:tr>
      <w:tr w14:paraId="6404B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C7F2">
            <w:pPr>
              <w:pStyle w:val="13"/>
            </w:pPr>
            <w:r>
              <w:t>7</w:t>
            </w:r>
          </w:p>
        </w:tc>
        <w:tc>
          <w:tcPr>
            <w:tcW w:w="3402" w:type="dxa"/>
            <w:vAlign w:val="center"/>
          </w:tcPr>
          <w:p w14:paraId="75D86FE7">
            <w:pPr>
              <w:pStyle w:val="12"/>
            </w:pPr>
          </w:p>
        </w:tc>
        <w:tc>
          <w:tcPr>
            <w:tcW w:w="1474" w:type="dxa"/>
            <w:vAlign w:val="center"/>
          </w:tcPr>
          <w:p w14:paraId="0E38986B">
            <w:pPr>
              <w:pStyle w:val="11"/>
            </w:pPr>
          </w:p>
        </w:tc>
        <w:tc>
          <w:tcPr>
            <w:tcW w:w="3402" w:type="dxa"/>
            <w:vAlign w:val="center"/>
          </w:tcPr>
          <w:p w14:paraId="360359A6">
            <w:pPr>
              <w:pStyle w:val="12"/>
            </w:pPr>
            <w:r>
              <w:t>七、文化旅游体育与传媒支出</w:t>
            </w:r>
          </w:p>
        </w:tc>
        <w:tc>
          <w:tcPr>
            <w:tcW w:w="1474" w:type="dxa"/>
            <w:vAlign w:val="center"/>
          </w:tcPr>
          <w:p w14:paraId="79BEB9CB">
            <w:pPr>
              <w:pStyle w:val="11"/>
            </w:pPr>
          </w:p>
        </w:tc>
        <w:tc>
          <w:tcPr>
            <w:tcW w:w="1474" w:type="dxa"/>
            <w:vAlign w:val="center"/>
          </w:tcPr>
          <w:p w14:paraId="64B33858">
            <w:pPr>
              <w:pStyle w:val="11"/>
            </w:pPr>
          </w:p>
        </w:tc>
        <w:tc>
          <w:tcPr>
            <w:tcW w:w="1474" w:type="dxa"/>
            <w:vAlign w:val="center"/>
          </w:tcPr>
          <w:p w14:paraId="109476F5">
            <w:pPr>
              <w:pStyle w:val="11"/>
            </w:pPr>
          </w:p>
        </w:tc>
        <w:tc>
          <w:tcPr>
            <w:tcW w:w="1474" w:type="dxa"/>
            <w:vAlign w:val="center"/>
          </w:tcPr>
          <w:p w14:paraId="2350CFDE">
            <w:pPr>
              <w:pStyle w:val="11"/>
            </w:pPr>
          </w:p>
        </w:tc>
      </w:tr>
      <w:tr w14:paraId="4732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AD91">
            <w:pPr>
              <w:pStyle w:val="13"/>
            </w:pPr>
            <w:r>
              <w:t>8</w:t>
            </w:r>
          </w:p>
        </w:tc>
        <w:tc>
          <w:tcPr>
            <w:tcW w:w="3402" w:type="dxa"/>
            <w:vAlign w:val="center"/>
          </w:tcPr>
          <w:p w14:paraId="5412BF8A">
            <w:pPr>
              <w:pStyle w:val="12"/>
            </w:pPr>
          </w:p>
        </w:tc>
        <w:tc>
          <w:tcPr>
            <w:tcW w:w="1474" w:type="dxa"/>
            <w:vAlign w:val="center"/>
          </w:tcPr>
          <w:p w14:paraId="101E8E92">
            <w:pPr>
              <w:pStyle w:val="11"/>
            </w:pPr>
          </w:p>
        </w:tc>
        <w:tc>
          <w:tcPr>
            <w:tcW w:w="3402" w:type="dxa"/>
            <w:vAlign w:val="center"/>
          </w:tcPr>
          <w:p w14:paraId="390243EC">
            <w:pPr>
              <w:pStyle w:val="12"/>
            </w:pPr>
            <w:r>
              <w:t>八、社会保障和就业支出</w:t>
            </w:r>
          </w:p>
        </w:tc>
        <w:tc>
          <w:tcPr>
            <w:tcW w:w="1474" w:type="dxa"/>
            <w:vAlign w:val="center"/>
          </w:tcPr>
          <w:p w14:paraId="401B0430">
            <w:pPr>
              <w:pStyle w:val="11"/>
            </w:pPr>
          </w:p>
        </w:tc>
        <w:tc>
          <w:tcPr>
            <w:tcW w:w="1474" w:type="dxa"/>
            <w:vAlign w:val="center"/>
          </w:tcPr>
          <w:p w14:paraId="3B802923">
            <w:pPr>
              <w:pStyle w:val="11"/>
            </w:pPr>
          </w:p>
        </w:tc>
        <w:tc>
          <w:tcPr>
            <w:tcW w:w="1474" w:type="dxa"/>
            <w:vAlign w:val="center"/>
          </w:tcPr>
          <w:p w14:paraId="773DAEAC">
            <w:pPr>
              <w:pStyle w:val="11"/>
            </w:pPr>
          </w:p>
        </w:tc>
        <w:tc>
          <w:tcPr>
            <w:tcW w:w="1474" w:type="dxa"/>
            <w:vAlign w:val="center"/>
          </w:tcPr>
          <w:p w14:paraId="1C239825">
            <w:pPr>
              <w:pStyle w:val="11"/>
            </w:pPr>
          </w:p>
        </w:tc>
      </w:tr>
      <w:tr w14:paraId="6F14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95F7">
            <w:pPr>
              <w:pStyle w:val="13"/>
            </w:pPr>
            <w:r>
              <w:t>9</w:t>
            </w:r>
          </w:p>
        </w:tc>
        <w:tc>
          <w:tcPr>
            <w:tcW w:w="3402" w:type="dxa"/>
            <w:vAlign w:val="center"/>
          </w:tcPr>
          <w:p w14:paraId="3E2FB28E">
            <w:pPr>
              <w:pStyle w:val="12"/>
            </w:pPr>
          </w:p>
        </w:tc>
        <w:tc>
          <w:tcPr>
            <w:tcW w:w="1474" w:type="dxa"/>
            <w:vAlign w:val="center"/>
          </w:tcPr>
          <w:p w14:paraId="5883743C">
            <w:pPr>
              <w:pStyle w:val="11"/>
            </w:pPr>
          </w:p>
        </w:tc>
        <w:tc>
          <w:tcPr>
            <w:tcW w:w="3402" w:type="dxa"/>
            <w:vAlign w:val="center"/>
          </w:tcPr>
          <w:p w14:paraId="7D9CC2C3">
            <w:pPr>
              <w:pStyle w:val="12"/>
            </w:pPr>
            <w:r>
              <w:t>九、社会保险基金支出</w:t>
            </w:r>
          </w:p>
        </w:tc>
        <w:tc>
          <w:tcPr>
            <w:tcW w:w="1474" w:type="dxa"/>
            <w:vAlign w:val="center"/>
          </w:tcPr>
          <w:p w14:paraId="02529704">
            <w:pPr>
              <w:pStyle w:val="11"/>
            </w:pPr>
          </w:p>
        </w:tc>
        <w:tc>
          <w:tcPr>
            <w:tcW w:w="1474" w:type="dxa"/>
            <w:vAlign w:val="center"/>
          </w:tcPr>
          <w:p w14:paraId="4ACA2900">
            <w:pPr>
              <w:pStyle w:val="11"/>
            </w:pPr>
          </w:p>
        </w:tc>
        <w:tc>
          <w:tcPr>
            <w:tcW w:w="1474" w:type="dxa"/>
            <w:vAlign w:val="center"/>
          </w:tcPr>
          <w:p w14:paraId="558FE99A">
            <w:pPr>
              <w:pStyle w:val="11"/>
            </w:pPr>
          </w:p>
        </w:tc>
        <w:tc>
          <w:tcPr>
            <w:tcW w:w="1474" w:type="dxa"/>
            <w:vAlign w:val="center"/>
          </w:tcPr>
          <w:p w14:paraId="574F5B14">
            <w:pPr>
              <w:pStyle w:val="11"/>
            </w:pPr>
          </w:p>
        </w:tc>
      </w:tr>
      <w:tr w14:paraId="171D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21E55">
            <w:pPr>
              <w:pStyle w:val="13"/>
            </w:pPr>
            <w:r>
              <w:t>10</w:t>
            </w:r>
          </w:p>
        </w:tc>
        <w:tc>
          <w:tcPr>
            <w:tcW w:w="3402" w:type="dxa"/>
            <w:vAlign w:val="center"/>
          </w:tcPr>
          <w:p w14:paraId="45E601F7">
            <w:pPr>
              <w:pStyle w:val="12"/>
            </w:pPr>
          </w:p>
        </w:tc>
        <w:tc>
          <w:tcPr>
            <w:tcW w:w="1474" w:type="dxa"/>
            <w:vAlign w:val="center"/>
          </w:tcPr>
          <w:p w14:paraId="55BC4D6D">
            <w:pPr>
              <w:pStyle w:val="11"/>
            </w:pPr>
          </w:p>
        </w:tc>
        <w:tc>
          <w:tcPr>
            <w:tcW w:w="3402" w:type="dxa"/>
            <w:vAlign w:val="center"/>
          </w:tcPr>
          <w:p w14:paraId="0B41FF1A">
            <w:pPr>
              <w:pStyle w:val="12"/>
            </w:pPr>
            <w:r>
              <w:t>十、卫生健康支出</w:t>
            </w:r>
          </w:p>
        </w:tc>
        <w:tc>
          <w:tcPr>
            <w:tcW w:w="1474" w:type="dxa"/>
            <w:vAlign w:val="center"/>
          </w:tcPr>
          <w:p w14:paraId="089FA9DF">
            <w:pPr>
              <w:pStyle w:val="11"/>
            </w:pPr>
          </w:p>
        </w:tc>
        <w:tc>
          <w:tcPr>
            <w:tcW w:w="1474" w:type="dxa"/>
            <w:vAlign w:val="center"/>
          </w:tcPr>
          <w:p w14:paraId="53611DEA">
            <w:pPr>
              <w:pStyle w:val="11"/>
            </w:pPr>
          </w:p>
        </w:tc>
        <w:tc>
          <w:tcPr>
            <w:tcW w:w="1474" w:type="dxa"/>
            <w:vAlign w:val="center"/>
          </w:tcPr>
          <w:p w14:paraId="336A0885">
            <w:pPr>
              <w:pStyle w:val="11"/>
            </w:pPr>
          </w:p>
        </w:tc>
        <w:tc>
          <w:tcPr>
            <w:tcW w:w="1474" w:type="dxa"/>
            <w:vAlign w:val="center"/>
          </w:tcPr>
          <w:p w14:paraId="3E47620A">
            <w:pPr>
              <w:pStyle w:val="11"/>
            </w:pPr>
          </w:p>
        </w:tc>
      </w:tr>
      <w:tr w14:paraId="0C5F1829">
        <w:tblPrEx>
          <w:tblCellMar>
            <w:top w:w="0" w:type="dxa"/>
            <w:left w:w="108" w:type="dxa"/>
            <w:bottom w:w="0" w:type="dxa"/>
            <w:right w:w="108" w:type="dxa"/>
          </w:tblCellMar>
        </w:tblPrEx>
        <w:trPr>
          <w:trHeight w:val="369" w:hRule="atLeast"/>
          <w:jc w:val="center"/>
        </w:trPr>
        <w:tc>
          <w:tcPr>
            <w:tcW w:w="850" w:type="dxa"/>
            <w:vAlign w:val="center"/>
          </w:tcPr>
          <w:p w14:paraId="284ABFFB">
            <w:pPr>
              <w:pStyle w:val="13"/>
            </w:pPr>
            <w:r>
              <w:t>11</w:t>
            </w:r>
          </w:p>
        </w:tc>
        <w:tc>
          <w:tcPr>
            <w:tcW w:w="3402" w:type="dxa"/>
            <w:vAlign w:val="center"/>
          </w:tcPr>
          <w:p w14:paraId="18663AE5">
            <w:pPr>
              <w:pStyle w:val="12"/>
            </w:pPr>
          </w:p>
        </w:tc>
        <w:tc>
          <w:tcPr>
            <w:tcW w:w="1474" w:type="dxa"/>
            <w:vAlign w:val="center"/>
          </w:tcPr>
          <w:p w14:paraId="7CCE1ADF">
            <w:pPr>
              <w:pStyle w:val="11"/>
            </w:pPr>
          </w:p>
        </w:tc>
        <w:tc>
          <w:tcPr>
            <w:tcW w:w="3402" w:type="dxa"/>
            <w:vAlign w:val="center"/>
          </w:tcPr>
          <w:p w14:paraId="5C08E7E8">
            <w:pPr>
              <w:pStyle w:val="12"/>
            </w:pPr>
            <w:r>
              <w:t>十一、节能环保支出</w:t>
            </w:r>
          </w:p>
        </w:tc>
        <w:tc>
          <w:tcPr>
            <w:tcW w:w="1474" w:type="dxa"/>
            <w:vAlign w:val="center"/>
          </w:tcPr>
          <w:p w14:paraId="62B6FF71">
            <w:pPr>
              <w:pStyle w:val="11"/>
            </w:pPr>
          </w:p>
        </w:tc>
        <w:tc>
          <w:tcPr>
            <w:tcW w:w="1474" w:type="dxa"/>
            <w:vAlign w:val="center"/>
          </w:tcPr>
          <w:p w14:paraId="31A9838C">
            <w:pPr>
              <w:pStyle w:val="11"/>
            </w:pPr>
          </w:p>
        </w:tc>
        <w:tc>
          <w:tcPr>
            <w:tcW w:w="1474" w:type="dxa"/>
            <w:vAlign w:val="center"/>
          </w:tcPr>
          <w:p w14:paraId="635166A1">
            <w:pPr>
              <w:pStyle w:val="11"/>
            </w:pPr>
          </w:p>
        </w:tc>
        <w:tc>
          <w:tcPr>
            <w:tcW w:w="1474" w:type="dxa"/>
            <w:vAlign w:val="center"/>
          </w:tcPr>
          <w:p w14:paraId="65D577DB">
            <w:pPr>
              <w:pStyle w:val="11"/>
            </w:pPr>
          </w:p>
        </w:tc>
      </w:tr>
      <w:tr w14:paraId="31CBCC79">
        <w:tblPrEx>
          <w:tblCellMar>
            <w:top w:w="0" w:type="dxa"/>
            <w:left w:w="108" w:type="dxa"/>
            <w:bottom w:w="0" w:type="dxa"/>
            <w:right w:w="108" w:type="dxa"/>
          </w:tblCellMar>
        </w:tblPrEx>
        <w:trPr>
          <w:trHeight w:val="369" w:hRule="atLeast"/>
          <w:jc w:val="center"/>
        </w:trPr>
        <w:tc>
          <w:tcPr>
            <w:tcW w:w="850" w:type="dxa"/>
            <w:vAlign w:val="center"/>
          </w:tcPr>
          <w:p w14:paraId="64AE190F">
            <w:pPr>
              <w:pStyle w:val="13"/>
            </w:pPr>
            <w:r>
              <w:t>12</w:t>
            </w:r>
          </w:p>
        </w:tc>
        <w:tc>
          <w:tcPr>
            <w:tcW w:w="3402" w:type="dxa"/>
            <w:vAlign w:val="center"/>
          </w:tcPr>
          <w:p w14:paraId="6A894C0C">
            <w:pPr>
              <w:pStyle w:val="12"/>
            </w:pPr>
          </w:p>
        </w:tc>
        <w:tc>
          <w:tcPr>
            <w:tcW w:w="1474" w:type="dxa"/>
            <w:vAlign w:val="center"/>
          </w:tcPr>
          <w:p w14:paraId="59A6C702">
            <w:pPr>
              <w:pStyle w:val="11"/>
            </w:pPr>
          </w:p>
        </w:tc>
        <w:tc>
          <w:tcPr>
            <w:tcW w:w="3402" w:type="dxa"/>
            <w:vAlign w:val="center"/>
          </w:tcPr>
          <w:p w14:paraId="0CA4B19C">
            <w:pPr>
              <w:pStyle w:val="12"/>
            </w:pPr>
            <w:r>
              <w:t>十二、城乡社区支出</w:t>
            </w:r>
          </w:p>
        </w:tc>
        <w:tc>
          <w:tcPr>
            <w:tcW w:w="1474" w:type="dxa"/>
            <w:vAlign w:val="center"/>
          </w:tcPr>
          <w:p w14:paraId="2CE39C32">
            <w:pPr>
              <w:pStyle w:val="11"/>
            </w:pPr>
          </w:p>
        </w:tc>
        <w:tc>
          <w:tcPr>
            <w:tcW w:w="1474" w:type="dxa"/>
            <w:vAlign w:val="center"/>
          </w:tcPr>
          <w:p w14:paraId="2252A694">
            <w:pPr>
              <w:pStyle w:val="11"/>
            </w:pPr>
          </w:p>
        </w:tc>
        <w:tc>
          <w:tcPr>
            <w:tcW w:w="1474" w:type="dxa"/>
            <w:vAlign w:val="center"/>
          </w:tcPr>
          <w:p w14:paraId="71E3D296">
            <w:pPr>
              <w:pStyle w:val="11"/>
            </w:pPr>
          </w:p>
        </w:tc>
        <w:tc>
          <w:tcPr>
            <w:tcW w:w="1474" w:type="dxa"/>
            <w:vAlign w:val="center"/>
          </w:tcPr>
          <w:p w14:paraId="14F98FA5">
            <w:pPr>
              <w:pStyle w:val="11"/>
            </w:pPr>
          </w:p>
        </w:tc>
      </w:tr>
      <w:tr w14:paraId="3E05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95DD">
            <w:pPr>
              <w:pStyle w:val="13"/>
            </w:pPr>
            <w:r>
              <w:t>13</w:t>
            </w:r>
          </w:p>
        </w:tc>
        <w:tc>
          <w:tcPr>
            <w:tcW w:w="3402" w:type="dxa"/>
            <w:vAlign w:val="center"/>
          </w:tcPr>
          <w:p w14:paraId="10A2F16C">
            <w:pPr>
              <w:pStyle w:val="12"/>
            </w:pPr>
          </w:p>
        </w:tc>
        <w:tc>
          <w:tcPr>
            <w:tcW w:w="1474" w:type="dxa"/>
            <w:vAlign w:val="center"/>
          </w:tcPr>
          <w:p w14:paraId="7D545689">
            <w:pPr>
              <w:pStyle w:val="11"/>
            </w:pPr>
          </w:p>
        </w:tc>
        <w:tc>
          <w:tcPr>
            <w:tcW w:w="3402" w:type="dxa"/>
            <w:vAlign w:val="center"/>
          </w:tcPr>
          <w:p w14:paraId="393DE19A">
            <w:pPr>
              <w:pStyle w:val="12"/>
            </w:pPr>
            <w:r>
              <w:t>十三、农林水支出</w:t>
            </w:r>
          </w:p>
        </w:tc>
        <w:tc>
          <w:tcPr>
            <w:tcW w:w="1474" w:type="dxa"/>
            <w:vAlign w:val="center"/>
          </w:tcPr>
          <w:p w14:paraId="3A8A0740">
            <w:pPr>
              <w:pStyle w:val="11"/>
            </w:pPr>
          </w:p>
        </w:tc>
        <w:tc>
          <w:tcPr>
            <w:tcW w:w="1474" w:type="dxa"/>
            <w:vAlign w:val="center"/>
          </w:tcPr>
          <w:p w14:paraId="6B5515E3">
            <w:pPr>
              <w:pStyle w:val="11"/>
            </w:pPr>
          </w:p>
        </w:tc>
        <w:tc>
          <w:tcPr>
            <w:tcW w:w="1474" w:type="dxa"/>
            <w:vAlign w:val="center"/>
          </w:tcPr>
          <w:p w14:paraId="0B68274A">
            <w:pPr>
              <w:pStyle w:val="11"/>
            </w:pPr>
          </w:p>
        </w:tc>
        <w:tc>
          <w:tcPr>
            <w:tcW w:w="1474" w:type="dxa"/>
            <w:vAlign w:val="center"/>
          </w:tcPr>
          <w:p w14:paraId="62B9D23F">
            <w:pPr>
              <w:pStyle w:val="11"/>
            </w:pPr>
          </w:p>
        </w:tc>
      </w:tr>
      <w:tr w14:paraId="48627FEA">
        <w:tblPrEx>
          <w:tblCellMar>
            <w:top w:w="0" w:type="dxa"/>
            <w:left w:w="108" w:type="dxa"/>
            <w:bottom w:w="0" w:type="dxa"/>
            <w:right w:w="108" w:type="dxa"/>
          </w:tblCellMar>
        </w:tblPrEx>
        <w:trPr>
          <w:trHeight w:val="369" w:hRule="atLeast"/>
          <w:jc w:val="center"/>
        </w:trPr>
        <w:tc>
          <w:tcPr>
            <w:tcW w:w="850" w:type="dxa"/>
            <w:vAlign w:val="center"/>
          </w:tcPr>
          <w:p w14:paraId="36725430">
            <w:pPr>
              <w:pStyle w:val="13"/>
            </w:pPr>
            <w:r>
              <w:t>14</w:t>
            </w:r>
          </w:p>
        </w:tc>
        <w:tc>
          <w:tcPr>
            <w:tcW w:w="3402" w:type="dxa"/>
            <w:vAlign w:val="center"/>
          </w:tcPr>
          <w:p w14:paraId="0B416A34">
            <w:pPr>
              <w:pStyle w:val="12"/>
            </w:pPr>
          </w:p>
        </w:tc>
        <w:tc>
          <w:tcPr>
            <w:tcW w:w="1474" w:type="dxa"/>
            <w:vAlign w:val="center"/>
          </w:tcPr>
          <w:p w14:paraId="2245840A">
            <w:pPr>
              <w:pStyle w:val="11"/>
            </w:pPr>
          </w:p>
        </w:tc>
        <w:tc>
          <w:tcPr>
            <w:tcW w:w="3402" w:type="dxa"/>
            <w:vAlign w:val="center"/>
          </w:tcPr>
          <w:p w14:paraId="721045F1">
            <w:pPr>
              <w:pStyle w:val="12"/>
            </w:pPr>
            <w:r>
              <w:t>十四、交通运输支出</w:t>
            </w:r>
          </w:p>
        </w:tc>
        <w:tc>
          <w:tcPr>
            <w:tcW w:w="1474" w:type="dxa"/>
            <w:vAlign w:val="center"/>
          </w:tcPr>
          <w:p w14:paraId="0B1A1D48">
            <w:pPr>
              <w:pStyle w:val="11"/>
            </w:pPr>
          </w:p>
        </w:tc>
        <w:tc>
          <w:tcPr>
            <w:tcW w:w="1474" w:type="dxa"/>
            <w:vAlign w:val="center"/>
          </w:tcPr>
          <w:p w14:paraId="4E11328D">
            <w:pPr>
              <w:pStyle w:val="11"/>
            </w:pPr>
          </w:p>
        </w:tc>
        <w:tc>
          <w:tcPr>
            <w:tcW w:w="1474" w:type="dxa"/>
            <w:vAlign w:val="center"/>
          </w:tcPr>
          <w:p w14:paraId="7EC1FD8E">
            <w:pPr>
              <w:pStyle w:val="11"/>
            </w:pPr>
          </w:p>
        </w:tc>
        <w:tc>
          <w:tcPr>
            <w:tcW w:w="1474" w:type="dxa"/>
            <w:vAlign w:val="center"/>
          </w:tcPr>
          <w:p w14:paraId="43DCBC27">
            <w:pPr>
              <w:pStyle w:val="11"/>
            </w:pPr>
          </w:p>
        </w:tc>
      </w:tr>
      <w:tr w14:paraId="65F67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5120">
            <w:pPr>
              <w:pStyle w:val="13"/>
            </w:pPr>
            <w:r>
              <w:t>15</w:t>
            </w:r>
          </w:p>
        </w:tc>
        <w:tc>
          <w:tcPr>
            <w:tcW w:w="3402" w:type="dxa"/>
            <w:vAlign w:val="center"/>
          </w:tcPr>
          <w:p w14:paraId="6C97B222">
            <w:pPr>
              <w:pStyle w:val="12"/>
            </w:pPr>
          </w:p>
        </w:tc>
        <w:tc>
          <w:tcPr>
            <w:tcW w:w="1474" w:type="dxa"/>
            <w:vAlign w:val="center"/>
          </w:tcPr>
          <w:p w14:paraId="3AB5BEA3">
            <w:pPr>
              <w:pStyle w:val="11"/>
            </w:pPr>
          </w:p>
        </w:tc>
        <w:tc>
          <w:tcPr>
            <w:tcW w:w="3402" w:type="dxa"/>
            <w:vAlign w:val="center"/>
          </w:tcPr>
          <w:p w14:paraId="1D5557C5">
            <w:pPr>
              <w:pStyle w:val="12"/>
            </w:pPr>
            <w:r>
              <w:t>十五、资源勘探工业信息等支出</w:t>
            </w:r>
          </w:p>
        </w:tc>
        <w:tc>
          <w:tcPr>
            <w:tcW w:w="1474" w:type="dxa"/>
            <w:vAlign w:val="center"/>
          </w:tcPr>
          <w:p w14:paraId="10FC2E89">
            <w:pPr>
              <w:pStyle w:val="11"/>
            </w:pPr>
          </w:p>
        </w:tc>
        <w:tc>
          <w:tcPr>
            <w:tcW w:w="1474" w:type="dxa"/>
            <w:vAlign w:val="center"/>
          </w:tcPr>
          <w:p w14:paraId="1C7FB2D4">
            <w:pPr>
              <w:pStyle w:val="11"/>
            </w:pPr>
          </w:p>
        </w:tc>
        <w:tc>
          <w:tcPr>
            <w:tcW w:w="1474" w:type="dxa"/>
            <w:vAlign w:val="center"/>
          </w:tcPr>
          <w:p w14:paraId="6DD852DA">
            <w:pPr>
              <w:pStyle w:val="11"/>
            </w:pPr>
          </w:p>
        </w:tc>
        <w:tc>
          <w:tcPr>
            <w:tcW w:w="1474" w:type="dxa"/>
            <w:vAlign w:val="center"/>
          </w:tcPr>
          <w:p w14:paraId="3B65DBA7">
            <w:pPr>
              <w:pStyle w:val="11"/>
            </w:pPr>
          </w:p>
        </w:tc>
      </w:tr>
      <w:tr w14:paraId="4F8F26F1">
        <w:tblPrEx>
          <w:tblCellMar>
            <w:top w:w="0" w:type="dxa"/>
            <w:left w:w="108" w:type="dxa"/>
            <w:bottom w:w="0" w:type="dxa"/>
            <w:right w:w="108" w:type="dxa"/>
          </w:tblCellMar>
        </w:tblPrEx>
        <w:trPr>
          <w:trHeight w:val="369" w:hRule="atLeast"/>
          <w:jc w:val="center"/>
        </w:trPr>
        <w:tc>
          <w:tcPr>
            <w:tcW w:w="850" w:type="dxa"/>
            <w:vAlign w:val="center"/>
          </w:tcPr>
          <w:p w14:paraId="082857B1">
            <w:pPr>
              <w:pStyle w:val="13"/>
            </w:pPr>
            <w:r>
              <w:t>16</w:t>
            </w:r>
          </w:p>
        </w:tc>
        <w:tc>
          <w:tcPr>
            <w:tcW w:w="3402" w:type="dxa"/>
            <w:vAlign w:val="center"/>
          </w:tcPr>
          <w:p w14:paraId="4177CB29">
            <w:pPr>
              <w:pStyle w:val="12"/>
            </w:pPr>
          </w:p>
        </w:tc>
        <w:tc>
          <w:tcPr>
            <w:tcW w:w="1474" w:type="dxa"/>
            <w:vAlign w:val="center"/>
          </w:tcPr>
          <w:p w14:paraId="554AA2EB">
            <w:pPr>
              <w:pStyle w:val="11"/>
            </w:pPr>
          </w:p>
        </w:tc>
        <w:tc>
          <w:tcPr>
            <w:tcW w:w="3402" w:type="dxa"/>
            <w:vAlign w:val="center"/>
          </w:tcPr>
          <w:p w14:paraId="5959C10F">
            <w:pPr>
              <w:pStyle w:val="12"/>
            </w:pPr>
            <w:r>
              <w:t>十六、商业服务业等支出</w:t>
            </w:r>
          </w:p>
        </w:tc>
        <w:tc>
          <w:tcPr>
            <w:tcW w:w="1474" w:type="dxa"/>
            <w:vAlign w:val="center"/>
          </w:tcPr>
          <w:p w14:paraId="59C9BE4A">
            <w:pPr>
              <w:pStyle w:val="11"/>
            </w:pPr>
          </w:p>
        </w:tc>
        <w:tc>
          <w:tcPr>
            <w:tcW w:w="1474" w:type="dxa"/>
            <w:vAlign w:val="center"/>
          </w:tcPr>
          <w:p w14:paraId="088423FA">
            <w:pPr>
              <w:pStyle w:val="11"/>
            </w:pPr>
          </w:p>
        </w:tc>
        <w:tc>
          <w:tcPr>
            <w:tcW w:w="1474" w:type="dxa"/>
            <w:vAlign w:val="center"/>
          </w:tcPr>
          <w:p w14:paraId="4D6898C1">
            <w:pPr>
              <w:pStyle w:val="11"/>
            </w:pPr>
          </w:p>
        </w:tc>
        <w:tc>
          <w:tcPr>
            <w:tcW w:w="1474" w:type="dxa"/>
            <w:vAlign w:val="center"/>
          </w:tcPr>
          <w:p w14:paraId="3D993EE2">
            <w:pPr>
              <w:pStyle w:val="11"/>
            </w:pPr>
          </w:p>
        </w:tc>
      </w:tr>
      <w:tr w14:paraId="3BC3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BABBA">
            <w:pPr>
              <w:pStyle w:val="13"/>
            </w:pPr>
            <w:r>
              <w:t>17</w:t>
            </w:r>
          </w:p>
        </w:tc>
        <w:tc>
          <w:tcPr>
            <w:tcW w:w="3402" w:type="dxa"/>
            <w:vAlign w:val="center"/>
          </w:tcPr>
          <w:p w14:paraId="4ABAEF6B">
            <w:pPr>
              <w:pStyle w:val="12"/>
            </w:pPr>
          </w:p>
        </w:tc>
        <w:tc>
          <w:tcPr>
            <w:tcW w:w="1474" w:type="dxa"/>
            <w:vAlign w:val="center"/>
          </w:tcPr>
          <w:p w14:paraId="2291862D">
            <w:pPr>
              <w:pStyle w:val="11"/>
            </w:pPr>
          </w:p>
        </w:tc>
        <w:tc>
          <w:tcPr>
            <w:tcW w:w="3402" w:type="dxa"/>
            <w:vAlign w:val="center"/>
          </w:tcPr>
          <w:p w14:paraId="0D8CB66A">
            <w:pPr>
              <w:pStyle w:val="12"/>
            </w:pPr>
            <w:r>
              <w:t>十七、金融支出</w:t>
            </w:r>
          </w:p>
        </w:tc>
        <w:tc>
          <w:tcPr>
            <w:tcW w:w="1474" w:type="dxa"/>
            <w:vAlign w:val="center"/>
          </w:tcPr>
          <w:p w14:paraId="610C0004">
            <w:pPr>
              <w:pStyle w:val="11"/>
            </w:pPr>
          </w:p>
        </w:tc>
        <w:tc>
          <w:tcPr>
            <w:tcW w:w="1474" w:type="dxa"/>
            <w:vAlign w:val="center"/>
          </w:tcPr>
          <w:p w14:paraId="4A0C46A2">
            <w:pPr>
              <w:pStyle w:val="11"/>
            </w:pPr>
          </w:p>
        </w:tc>
        <w:tc>
          <w:tcPr>
            <w:tcW w:w="1474" w:type="dxa"/>
            <w:vAlign w:val="center"/>
          </w:tcPr>
          <w:p w14:paraId="66FE37E4">
            <w:pPr>
              <w:pStyle w:val="11"/>
            </w:pPr>
          </w:p>
        </w:tc>
        <w:tc>
          <w:tcPr>
            <w:tcW w:w="1474" w:type="dxa"/>
            <w:vAlign w:val="center"/>
          </w:tcPr>
          <w:p w14:paraId="6C29D600">
            <w:pPr>
              <w:pStyle w:val="11"/>
            </w:pPr>
          </w:p>
        </w:tc>
      </w:tr>
      <w:tr w14:paraId="2043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509A">
            <w:pPr>
              <w:pStyle w:val="13"/>
            </w:pPr>
            <w:r>
              <w:t>18</w:t>
            </w:r>
          </w:p>
        </w:tc>
        <w:tc>
          <w:tcPr>
            <w:tcW w:w="3402" w:type="dxa"/>
            <w:vAlign w:val="center"/>
          </w:tcPr>
          <w:p w14:paraId="221CF5F4">
            <w:pPr>
              <w:pStyle w:val="12"/>
            </w:pPr>
          </w:p>
        </w:tc>
        <w:tc>
          <w:tcPr>
            <w:tcW w:w="1474" w:type="dxa"/>
            <w:vAlign w:val="center"/>
          </w:tcPr>
          <w:p w14:paraId="1C872203">
            <w:pPr>
              <w:pStyle w:val="11"/>
            </w:pPr>
          </w:p>
        </w:tc>
        <w:tc>
          <w:tcPr>
            <w:tcW w:w="3402" w:type="dxa"/>
            <w:vAlign w:val="center"/>
          </w:tcPr>
          <w:p w14:paraId="435C3DCB">
            <w:pPr>
              <w:pStyle w:val="12"/>
            </w:pPr>
            <w:r>
              <w:t>十八、援助其他地区支出</w:t>
            </w:r>
          </w:p>
        </w:tc>
        <w:tc>
          <w:tcPr>
            <w:tcW w:w="1474" w:type="dxa"/>
            <w:vAlign w:val="center"/>
          </w:tcPr>
          <w:p w14:paraId="13DAEA70">
            <w:pPr>
              <w:pStyle w:val="11"/>
            </w:pPr>
          </w:p>
        </w:tc>
        <w:tc>
          <w:tcPr>
            <w:tcW w:w="1474" w:type="dxa"/>
            <w:vAlign w:val="center"/>
          </w:tcPr>
          <w:p w14:paraId="1C87E938">
            <w:pPr>
              <w:pStyle w:val="11"/>
            </w:pPr>
          </w:p>
        </w:tc>
        <w:tc>
          <w:tcPr>
            <w:tcW w:w="1474" w:type="dxa"/>
            <w:vAlign w:val="center"/>
          </w:tcPr>
          <w:p w14:paraId="7A54D125">
            <w:pPr>
              <w:pStyle w:val="11"/>
            </w:pPr>
          </w:p>
        </w:tc>
        <w:tc>
          <w:tcPr>
            <w:tcW w:w="1474" w:type="dxa"/>
            <w:vAlign w:val="center"/>
          </w:tcPr>
          <w:p w14:paraId="1CD1DC6A">
            <w:pPr>
              <w:pStyle w:val="11"/>
            </w:pPr>
          </w:p>
        </w:tc>
      </w:tr>
      <w:tr w14:paraId="1723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4DE7">
            <w:pPr>
              <w:pStyle w:val="13"/>
            </w:pPr>
            <w:r>
              <w:t>19</w:t>
            </w:r>
          </w:p>
        </w:tc>
        <w:tc>
          <w:tcPr>
            <w:tcW w:w="3402" w:type="dxa"/>
            <w:vAlign w:val="center"/>
          </w:tcPr>
          <w:p w14:paraId="06EF4655">
            <w:pPr>
              <w:pStyle w:val="12"/>
            </w:pPr>
          </w:p>
        </w:tc>
        <w:tc>
          <w:tcPr>
            <w:tcW w:w="1474" w:type="dxa"/>
            <w:vAlign w:val="center"/>
          </w:tcPr>
          <w:p w14:paraId="3958B1DB">
            <w:pPr>
              <w:pStyle w:val="11"/>
            </w:pPr>
          </w:p>
        </w:tc>
        <w:tc>
          <w:tcPr>
            <w:tcW w:w="3402" w:type="dxa"/>
            <w:vAlign w:val="center"/>
          </w:tcPr>
          <w:p w14:paraId="1BD43304">
            <w:pPr>
              <w:pStyle w:val="12"/>
            </w:pPr>
            <w:r>
              <w:t>十九、自然资源海洋气象等支出</w:t>
            </w:r>
          </w:p>
        </w:tc>
        <w:tc>
          <w:tcPr>
            <w:tcW w:w="1474" w:type="dxa"/>
            <w:vAlign w:val="center"/>
          </w:tcPr>
          <w:p w14:paraId="5C8BFF4A">
            <w:pPr>
              <w:pStyle w:val="11"/>
            </w:pPr>
          </w:p>
        </w:tc>
        <w:tc>
          <w:tcPr>
            <w:tcW w:w="1474" w:type="dxa"/>
            <w:vAlign w:val="center"/>
          </w:tcPr>
          <w:p w14:paraId="30344139">
            <w:pPr>
              <w:pStyle w:val="11"/>
            </w:pPr>
          </w:p>
        </w:tc>
        <w:tc>
          <w:tcPr>
            <w:tcW w:w="1474" w:type="dxa"/>
            <w:vAlign w:val="center"/>
          </w:tcPr>
          <w:p w14:paraId="6836B2D9">
            <w:pPr>
              <w:pStyle w:val="11"/>
            </w:pPr>
          </w:p>
        </w:tc>
        <w:tc>
          <w:tcPr>
            <w:tcW w:w="1474" w:type="dxa"/>
            <w:vAlign w:val="center"/>
          </w:tcPr>
          <w:p w14:paraId="0E6084B4">
            <w:pPr>
              <w:pStyle w:val="11"/>
            </w:pPr>
          </w:p>
        </w:tc>
      </w:tr>
      <w:tr w14:paraId="273E0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BE20">
            <w:pPr>
              <w:pStyle w:val="13"/>
            </w:pPr>
            <w:r>
              <w:t>20</w:t>
            </w:r>
          </w:p>
        </w:tc>
        <w:tc>
          <w:tcPr>
            <w:tcW w:w="3402" w:type="dxa"/>
            <w:vAlign w:val="center"/>
          </w:tcPr>
          <w:p w14:paraId="1E9FB075">
            <w:pPr>
              <w:pStyle w:val="12"/>
            </w:pPr>
          </w:p>
        </w:tc>
        <w:tc>
          <w:tcPr>
            <w:tcW w:w="1474" w:type="dxa"/>
            <w:vAlign w:val="center"/>
          </w:tcPr>
          <w:p w14:paraId="7493EEF7">
            <w:pPr>
              <w:pStyle w:val="11"/>
            </w:pPr>
          </w:p>
        </w:tc>
        <w:tc>
          <w:tcPr>
            <w:tcW w:w="3402" w:type="dxa"/>
            <w:vAlign w:val="center"/>
          </w:tcPr>
          <w:p w14:paraId="5C5CE229">
            <w:pPr>
              <w:pStyle w:val="12"/>
            </w:pPr>
            <w:r>
              <w:t>二十、住房保障支出</w:t>
            </w:r>
          </w:p>
        </w:tc>
        <w:tc>
          <w:tcPr>
            <w:tcW w:w="1474" w:type="dxa"/>
            <w:vAlign w:val="center"/>
          </w:tcPr>
          <w:p w14:paraId="3AB33463">
            <w:pPr>
              <w:pStyle w:val="11"/>
            </w:pPr>
          </w:p>
        </w:tc>
        <w:tc>
          <w:tcPr>
            <w:tcW w:w="1474" w:type="dxa"/>
            <w:vAlign w:val="center"/>
          </w:tcPr>
          <w:p w14:paraId="1F9CA496">
            <w:pPr>
              <w:pStyle w:val="11"/>
            </w:pPr>
          </w:p>
        </w:tc>
        <w:tc>
          <w:tcPr>
            <w:tcW w:w="1474" w:type="dxa"/>
            <w:vAlign w:val="center"/>
          </w:tcPr>
          <w:p w14:paraId="610CE952">
            <w:pPr>
              <w:pStyle w:val="11"/>
            </w:pPr>
          </w:p>
        </w:tc>
        <w:tc>
          <w:tcPr>
            <w:tcW w:w="1474" w:type="dxa"/>
            <w:vAlign w:val="center"/>
          </w:tcPr>
          <w:p w14:paraId="0BCAB14F">
            <w:pPr>
              <w:pStyle w:val="11"/>
            </w:pPr>
          </w:p>
        </w:tc>
      </w:tr>
      <w:tr w14:paraId="6CAE1E10">
        <w:tblPrEx>
          <w:tblCellMar>
            <w:top w:w="0" w:type="dxa"/>
            <w:left w:w="108" w:type="dxa"/>
            <w:bottom w:w="0" w:type="dxa"/>
            <w:right w:w="108" w:type="dxa"/>
          </w:tblCellMar>
        </w:tblPrEx>
        <w:trPr>
          <w:trHeight w:val="369" w:hRule="atLeast"/>
          <w:jc w:val="center"/>
        </w:trPr>
        <w:tc>
          <w:tcPr>
            <w:tcW w:w="850" w:type="dxa"/>
            <w:vAlign w:val="center"/>
          </w:tcPr>
          <w:p w14:paraId="33E4BBDF">
            <w:pPr>
              <w:pStyle w:val="13"/>
            </w:pPr>
            <w:r>
              <w:t>21</w:t>
            </w:r>
          </w:p>
        </w:tc>
        <w:tc>
          <w:tcPr>
            <w:tcW w:w="3402" w:type="dxa"/>
            <w:vAlign w:val="center"/>
          </w:tcPr>
          <w:p w14:paraId="4B227C96">
            <w:pPr>
              <w:pStyle w:val="12"/>
            </w:pPr>
          </w:p>
        </w:tc>
        <w:tc>
          <w:tcPr>
            <w:tcW w:w="1474" w:type="dxa"/>
            <w:vAlign w:val="center"/>
          </w:tcPr>
          <w:p w14:paraId="1A7C844E">
            <w:pPr>
              <w:pStyle w:val="11"/>
            </w:pPr>
          </w:p>
        </w:tc>
        <w:tc>
          <w:tcPr>
            <w:tcW w:w="3402" w:type="dxa"/>
            <w:vAlign w:val="center"/>
          </w:tcPr>
          <w:p w14:paraId="7206DDEA">
            <w:pPr>
              <w:pStyle w:val="12"/>
            </w:pPr>
            <w:r>
              <w:t>二十一、粮油物资储备支出</w:t>
            </w:r>
          </w:p>
        </w:tc>
        <w:tc>
          <w:tcPr>
            <w:tcW w:w="1474" w:type="dxa"/>
            <w:vAlign w:val="center"/>
          </w:tcPr>
          <w:p w14:paraId="78903F68">
            <w:pPr>
              <w:pStyle w:val="11"/>
            </w:pPr>
          </w:p>
        </w:tc>
        <w:tc>
          <w:tcPr>
            <w:tcW w:w="1474" w:type="dxa"/>
            <w:vAlign w:val="center"/>
          </w:tcPr>
          <w:p w14:paraId="50122E70">
            <w:pPr>
              <w:pStyle w:val="11"/>
            </w:pPr>
          </w:p>
        </w:tc>
        <w:tc>
          <w:tcPr>
            <w:tcW w:w="1474" w:type="dxa"/>
            <w:vAlign w:val="center"/>
          </w:tcPr>
          <w:p w14:paraId="0CBEAF24">
            <w:pPr>
              <w:pStyle w:val="11"/>
            </w:pPr>
          </w:p>
        </w:tc>
        <w:tc>
          <w:tcPr>
            <w:tcW w:w="1474" w:type="dxa"/>
            <w:vAlign w:val="center"/>
          </w:tcPr>
          <w:p w14:paraId="13230C29">
            <w:pPr>
              <w:pStyle w:val="11"/>
            </w:pPr>
          </w:p>
        </w:tc>
      </w:tr>
      <w:tr w14:paraId="695A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05EF">
            <w:pPr>
              <w:pStyle w:val="13"/>
            </w:pPr>
            <w:r>
              <w:t>22</w:t>
            </w:r>
          </w:p>
        </w:tc>
        <w:tc>
          <w:tcPr>
            <w:tcW w:w="3402" w:type="dxa"/>
            <w:vAlign w:val="center"/>
          </w:tcPr>
          <w:p w14:paraId="3885EC3A">
            <w:pPr>
              <w:pStyle w:val="12"/>
            </w:pPr>
          </w:p>
        </w:tc>
        <w:tc>
          <w:tcPr>
            <w:tcW w:w="1474" w:type="dxa"/>
            <w:vAlign w:val="center"/>
          </w:tcPr>
          <w:p w14:paraId="011EA6BB">
            <w:pPr>
              <w:pStyle w:val="11"/>
            </w:pPr>
          </w:p>
        </w:tc>
        <w:tc>
          <w:tcPr>
            <w:tcW w:w="3402" w:type="dxa"/>
            <w:vAlign w:val="center"/>
          </w:tcPr>
          <w:p w14:paraId="5CD943D9">
            <w:pPr>
              <w:pStyle w:val="12"/>
            </w:pPr>
            <w:r>
              <w:t>二十二、国有资本经营预算支出</w:t>
            </w:r>
          </w:p>
        </w:tc>
        <w:tc>
          <w:tcPr>
            <w:tcW w:w="1474" w:type="dxa"/>
            <w:vAlign w:val="center"/>
          </w:tcPr>
          <w:p w14:paraId="3666BA59">
            <w:pPr>
              <w:pStyle w:val="11"/>
            </w:pPr>
          </w:p>
        </w:tc>
        <w:tc>
          <w:tcPr>
            <w:tcW w:w="1474" w:type="dxa"/>
            <w:vAlign w:val="center"/>
          </w:tcPr>
          <w:p w14:paraId="07870D89">
            <w:pPr>
              <w:pStyle w:val="11"/>
            </w:pPr>
          </w:p>
        </w:tc>
        <w:tc>
          <w:tcPr>
            <w:tcW w:w="1474" w:type="dxa"/>
            <w:vAlign w:val="center"/>
          </w:tcPr>
          <w:p w14:paraId="1C13ADCF">
            <w:pPr>
              <w:pStyle w:val="11"/>
            </w:pPr>
          </w:p>
        </w:tc>
        <w:tc>
          <w:tcPr>
            <w:tcW w:w="1474" w:type="dxa"/>
            <w:vAlign w:val="center"/>
          </w:tcPr>
          <w:p w14:paraId="5BE34E49">
            <w:pPr>
              <w:pStyle w:val="11"/>
            </w:pPr>
          </w:p>
        </w:tc>
      </w:tr>
      <w:tr w14:paraId="57DB903C">
        <w:tblPrEx>
          <w:tblCellMar>
            <w:top w:w="0" w:type="dxa"/>
            <w:left w:w="108" w:type="dxa"/>
            <w:bottom w:w="0" w:type="dxa"/>
            <w:right w:w="108" w:type="dxa"/>
          </w:tblCellMar>
        </w:tblPrEx>
        <w:trPr>
          <w:trHeight w:val="369" w:hRule="atLeast"/>
          <w:jc w:val="center"/>
        </w:trPr>
        <w:tc>
          <w:tcPr>
            <w:tcW w:w="850" w:type="dxa"/>
            <w:vAlign w:val="center"/>
          </w:tcPr>
          <w:p w14:paraId="22089094">
            <w:pPr>
              <w:pStyle w:val="13"/>
            </w:pPr>
            <w:r>
              <w:t>23</w:t>
            </w:r>
          </w:p>
        </w:tc>
        <w:tc>
          <w:tcPr>
            <w:tcW w:w="3402" w:type="dxa"/>
            <w:vAlign w:val="center"/>
          </w:tcPr>
          <w:p w14:paraId="7A72BF9D">
            <w:pPr>
              <w:pStyle w:val="12"/>
            </w:pPr>
          </w:p>
        </w:tc>
        <w:tc>
          <w:tcPr>
            <w:tcW w:w="1474" w:type="dxa"/>
            <w:vAlign w:val="center"/>
          </w:tcPr>
          <w:p w14:paraId="1DC481DE">
            <w:pPr>
              <w:pStyle w:val="11"/>
            </w:pPr>
          </w:p>
        </w:tc>
        <w:tc>
          <w:tcPr>
            <w:tcW w:w="3402" w:type="dxa"/>
            <w:vAlign w:val="center"/>
          </w:tcPr>
          <w:p w14:paraId="5E27968F">
            <w:pPr>
              <w:pStyle w:val="12"/>
            </w:pPr>
            <w:r>
              <w:t>二十三、灾害防治及应急管理支出</w:t>
            </w:r>
          </w:p>
        </w:tc>
        <w:tc>
          <w:tcPr>
            <w:tcW w:w="1474" w:type="dxa"/>
            <w:vAlign w:val="center"/>
          </w:tcPr>
          <w:p w14:paraId="274CB83D">
            <w:pPr>
              <w:pStyle w:val="11"/>
            </w:pPr>
          </w:p>
        </w:tc>
        <w:tc>
          <w:tcPr>
            <w:tcW w:w="1474" w:type="dxa"/>
            <w:vAlign w:val="center"/>
          </w:tcPr>
          <w:p w14:paraId="01767D6B">
            <w:pPr>
              <w:pStyle w:val="11"/>
            </w:pPr>
          </w:p>
        </w:tc>
        <w:tc>
          <w:tcPr>
            <w:tcW w:w="1474" w:type="dxa"/>
            <w:vAlign w:val="center"/>
          </w:tcPr>
          <w:p w14:paraId="5DAEF52B">
            <w:pPr>
              <w:pStyle w:val="11"/>
            </w:pPr>
          </w:p>
        </w:tc>
        <w:tc>
          <w:tcPr>
            <w:tcW w:w="1474" w:type="dxa"/>
            <w:vAlign w:val="center"/>
          </w:tcPr>
          <w:p w14:paraId="557C9F13">
            <w:pPr>
              <w:pStyle w:val="11"/>
            </w:pPr>
          </w:p>
        </w:tc>
      </w:tr>
      <w:tr w14:paraId="5CD8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3B78A">
            <w:pPr>
              <w:pStyle w:val="13"/>
            </w:pPr>
            <w:r>
              <w:t>24</w:t>
            </w:r>
          </w:p>
        </w:tc>
        <w:tc>
          <w:tcPr>
            <w:tcW w:w="3402" w:type="dxa"/>
            <w:vAlign w:val="center"/>
          </w:tcPr>
          <w:p w14:paraId="64FDAAA7">
            <w:pPr>
              <w:pStyle w:val="12"/>
            </w:pPr>
          </w:p>
        </w:tc>
        <w:tc>
          <w:tcPr>
            <w:tcW w:w="1474" w:type="dxa"/>
            <w:vAlign w:val="center"/>
          </w:tcPr>
          <w:p w14:paraId="1C6AAE06">
            <w:pPr>
              <w:pStyle w:val="11"/>
            </w:pPr>
          </w:p>
        </w:tc>
        <w:tc>
          <w:tcPr>
            <w:tcW w:w="3402" w:type="dxa"/>
            <w:vAlign w:val="center"/>
          </w:tcPr>
          <w:p w14:paraId="68D63F80">
            <w:pPr>
              <w:pStyle w:val="12"/>
            </w:pPr>
            <w:r>
              <w:t>二十四、预备费</w:t>
            </w:r>
          </w:p>
        </w:tc>
        <w:tc>
          <w:tcPr>
            <w:tcW w:w="1474" w:type="dxa"/>
            <w:vAlign w:val="center"/>
          </w:tcPr>
          <w:p w14:paraId="771A7D10">
            <w:pPr>
              <w:pStyle w:val="11"/>
            </w:pPr>
          </w:p>
        </w:tc>
        <w:tc>
          <w:tcPr>
            <w:tcW w:w="1474" w:type="dxa"/>
            <w:vAlign w:val="center"/>
          </w:tcPr>
          <w:p w14:paraId="7C810A68">
            <w:pPr>
              <w:pStyle w:val="11"/>
            </w:pPr>
          </w:p>
        </w:tc>
        <w:tc>
          <w:tcPr>
            <w:tcW w:w="1474" w:type="dxa"/>
            <w:vAlign w:val="center"/>
          </w:tcPr>
          <w:p w14:paraId="7CCEF10B">
            <w:pPr>
              <w:pStyle w:val="11"/>
            </w:pPr>
          </w:p>
        </w:tc>
        <w:tc>
          <w:tcPr>
            <w:tcW w:w="1474" w:type="dxa"/>
            <w:vAlign w:val="center"/>
          </w:tcPr>
          <w:p w14:paraId="55102165">
            <w:pPr>
              <w:pStyle w:val="11"/>
            </w:pPr>
          </w:p>
        </w:tc>
      </w:tr>
      <w:tr w14:paraId="6F3BD46B">
        <w:tblPrEx>
          <w:tblCellMar>
            <w:top w:w="0" w:type="dxa"/>
            <w:left w:w="108" w:type="dxa"/>
            <w:bottom w:w="0" w:type="dxa"/>
            <w:right w:w="108" w:type="dxa"/>
          </w:tblCellMar>
        </w:tblPrEx>
        <w:trPr>
          <w:trHeight w:val="369" w:hRule="atLeast"/>
          <w:jc w:val="center"/>
        </w:trPr>
        <w:tc>
          <w:tcPr>
            <w:tcW w:w="850" w:type="dxa"/>
            <w:vAlign w:val="center"/>
          </w:tcPr>
          <w:p w14:paraId="0F3E0BE8">
            <w:pPr>
              <w:pStyle w:val="13"/>
            </w:pPr>
            <w:r>
              <w:t>25</w:t>
            </w:r>
          </w:p>
        </w:tc>
        <w:tc>
          <w:tcPr>
            <w:tcW w:w="3402" w:type="dxa"/>
            <w:vAlign w:val="center"/>
          </w:tcPr>
          <w:p w14:paraId="04D7C5F5">
            <w:pPr>
              <w:pStyle w:val="12"/>
            </w:pPr>
          </w:p>
        </w:tc>
        <w:tc>
          <w:tcPr>
            <w:tcW w:w="1474" w:type="dxa"/>
            <w:vAlign w:val="center"/>
          </w:tcPr>
          <w:p w14:paraId="302BF2DC">
            <w:pPr>
              <w:pStyle w:val="11"/>
            </w:pPr>
          </w:p>
        </w:tc>
        <w:tc>
          <w:tcPr>
            <w:tcW w:w="3402" w:type="dxa"/>
            <w:vAlign w:val="center"/>
          </w:tcPr>
          <w:p w14:paraId="6C505F5B">
            <w:pPr>
              <w:pStyle w:val="12"/>
            </w:pPr>
            <w:r>
              <w:t>二十五、其他支出</w:t>
            </w:r>
          </w:p>
        </w:tc>
        <w:tc>
          <w:tcPr>
            <w:tcW w:w="1474" w:type="dxa"/>
            <w:vAlign w:val="center"/>
          </w:tcPr>
          <w:p w14:paraId="69858DC4">
            <w:pPr>
              <w:pStyle w:val="11"/>
            </w:pPr>
          </w:p>
        </w:tc>
        <w:tc>
          <w:tcPr>
            <w:tcW w:w="1474" w:type="dxa"/>
            <w:vAlign w:val="center"/>
          </w:tcPr>
          <w:p w14:paraId="165F771D">
            <w:pPr>
              <w:pStyle w:val="11"/>
            </w:pPr>
          </w:p>
        </w:tc>
        <w:tc>
          <w:tcPr>
            <w:tcW w:w="1474" w:type="dxa"/>
            <w:vAlign w:val="center"/>
          </w:tcPr>
          <w:p w14:paraId="34DBD5E0">
            <w:pPr>
              <w:pStyle w:val="11"/>
            </w:pPr>
          </w:p>
        </w:tc>
        <w:tc>
          <w:tcPr>
            <w:tcW w:w="1474" w:type="dxa"/>
            <w:vAlign w:val="center"/>
          </w:tcPr>
          <w:p w14:paraId="545F8631">
            <w:pPr>
              <w:pStyle w:val="11"/>
            </w:pPr>
          </w:p>
        </w:tc>
      </w:tr>
      <w:tr w14:paraId="07DC1E8F">
        <w:tblPrEx>
          <w:tblCellMar>
            <w:top w:w="0" w:type="dxa"/>
            <w:left w:w="108" w:type="dxa"/>
            <w:bottom w:w="0" w:type="dxa"/>
            <w:right w:w="108" w:type="dxa"/>
          </w:tblCellMar>
        </w:tblPrEx>
        <w:trPr>
          <w:trHeight w:val="369" w:hRule="atLeast"/>
          <w:jc w:val="center"/>
        </w:trPr>
        <w:tc>
          <w:tcPr>
            <w:tcW w:w="850" w:type="dxa"/>
            <w:vAlign w:val="center"/>
          </w:tcPr>
          <w:p w14:paraId="2639E0FD">
            <w:pPr>
              <w:pStyle w:val="13"/>
            </w:pPr>
            <w:r>
              <w:t>26</w:t>
            </w:r>
          </w:p>
        </w:tc>
        <w:tc>
          <w:tcPr>
            <w:tcW w:w="3402" w:type="dxa"/>
            <w:vAlign w:val="center"/>
          </w:tcPr>
          <w:p w14:paraId="1D166D4B">
            <w:pPr>
              <w:pStyle w:val="12"/>
            </w:pPr>
          </w:p>
        </w:tc>
        <w:tc>
          <w:tcPr>
            <w:tcW w:w="1474" w:type="dxa"/>
            <w:vAlign w:val="center"/>
          </w:tcPr>
          <w:p w14:paraId="3FC7FF14">
            <w:pPr>
              <w:pStyle w:val="11"/>
            </w:pPr>
          </w:p>
        </w:tc>
        <w:tc>
          <w:tcPr>
            <w:tcW w:w="3402" w:type="dxa"/>
            <w:vAlign w:val="center"/>
          </w:tcPr>
          <w:p w14:paraId="12037399">
            <w:pPr>
              <w:pStyle w:val="12"/>
            </w:pPr>
            <w:r>
              <w:t>二十六、转移性支出</w:t>
            </w:r>
          </w:p>
        </w:tc>
        <w:tc>
          <w:tcPr>
            <w:tcW w:w="1474" w:type="dxa"/>
            <w:vAlign w:val="center"/>
          </w:tcPr>
          <w:p w14:paraId="487279FE">
            <w:pPr>
              <w:pStyle w:val="11"/>
            </w:pPr>
          </w:p>
        </w:tc>
        <w:tc>
          <w:tcPr>
            <w:tcW w:w="1474" w:type="dxa"/>
            <w:vAlign w:val="center"/>
          </w:tcPr>
          <w:p w14:paraId="79A5385C">
            <w:pPr>
              <w:pStyle w:val="11"/>
            </w:pPr>
          </w:p>
        </w:tc>
        <w:tc>
          <w:tcPr>
            <w:tcW w:w="1474" w:type="dxa"/>
            <w:vAlign w:val="center"/>
          </w:tcPr>
          <w:p w14:paraId="2D558B86">
            <w:pPr>
              <w:pStyle w:val="11"/>
            </w:pPr>
          </w:p>
        </w:tc>
        <w:tc>
          <w:tcPr>
            <w:tcW w:w="1474" w:type="dxa"/>
            <w:vAlign w:val="center"/>
          </w:tcPr>
          <w:p w14:paraId="4CBC3C48">
            <w:pPr>
              <w:pStyle w:val="11"/>
            </w:pPr>
          </w:p>
        </w:tc>
      </w:tr>
      <w:tr w14:paraId="3BB2466A">
        <w:tblPrEx>
          <w:tblCellMar>
            <w:top w:w="0" w:type="dxa"/>
            <w:left w:w="108" w:type="dxa"/>
            <w:bottom w:w="0" w:type="dxa"/>
            <w:right w:w="108" w:type="dxa"/>
          </w:tblCellMar>
        </w:tblPrEx>
        <w:trPr>
          <w:trHeight w:val="369" w:hRule="atLeast"/>
          <w:jc w:val="center"/>
        </w:trPr>
        <w:tc>
          <w:tcPr>
            <w:tcW w:w="850" w:type="dxa"/>
            <w:vAlign w:val="center"/>
          </w:tcPr>
          <w:p w14:paraId="3A73F822">
            <w:pPr>
              <w:pStyle w:val="13"/>
            </w:pPr>
            <w:r>
              <w:t>27</w:t>
            </w:r>
          </w:p>
        </w:tc>
        <w:tc>
          <w:tcPr>
            <w:tcW w:w="3402" w:type="dxa"/>
            <w:vAlign w:val="center"/>
          </w:tcPr>
          <w:p w14:paraId="179F313C">
            <w:pPr>
              <w:pStyle w:val="12"/>
            </w:pPr>
          </w:p>
        </w:tc>
        <w:tc>
          <w:tcPr>
            <w:tcW w:w="1474" w:type="dxa"/>
            <w:vAlign w:val="center"/>
          </w:tcPr>
          <w:p w14:paraId="6A3B9A14">
            <w:pPr>
              <w:pStyle w:val="11"/>
            </w:pPr>
          </w:p>
        </w:tc>
        <w:tc>
          <w:tcPr>
            <w:tcW w:w="3402" w:type="dxa"/>
            <w:vAlign w:val="center"/>
          </w:tcPr>
          <w:p w14:paraId="4D07EF3D">
            <w:pPr>
              <w:pStyle w:val="12"/>
            </w:pPr>
            <w:r>
              <w:t>二十七、债务还本支出</w:t>
            </w:r>
          </w:p>
        </w:tc>
        <w:tc>
          <w:tcPr>
            <w:tcW w:w="1474" w:type="dxa"/>
            <w:vAlign w:val="center"/>
          </w:tcPr>
          <w:p w14:paraId="4AB027A5">
            <w:pPr>
              <w:pStyle w:val="11"/>
            </w:pPr>
          </w:p>
        </w:tc>
        <w:tc>
          <w:tcPr>
            <w:tcW w:w="1474" w:type="dxa"/>
            <w:vAlign w:val="center"/>
          </w:tcPr>
          <w:p w14:paraId="69775A59">
            <w:pPr>
              <w:pStyle w:val="11"/>
            </w:pPr>
          </w:p>
        </w:tc>
        <w:tc>
          <w:tcPr>
            <w:tcW w:w="1474" w:type="dxa"/>
            <w:vAlign w:val="center"/>
          </w:tcPr>
          <w:p w14:paraId="1A1CE697">
            <w:pPr>
              <w:pStyle w:val="11"/>
            </w:pPr>
          </w:p>
        </w:tc>
        <w:tc>
          <w:tcPr>
            <w:tcW w:w="1474" w:type="dxa"/>
            <w:vAlign w:val="center"/>
          </w:tcPr>
          <w:p w14:paraId="05234F25">
            <w:pPr>
              <w:pStyle w:val="11"/>
            </w:pPr>
          </w:p>
        </w:tc>
      </w:tr>
      <w:tr w14:paraId="44DD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6EA9">
            <w:pPr>
              <w:pStyle w:val="13"/>
            </w:pPr>
            <w:r>
              <w:t>28</w:t>
            </w:r>
          </w:p>
        </w:tc>
        <w:tc>
          <w:tcPr>
            <w:tcW w:w="3402" w:type="dxa"/>
            <w:vAlign w:val="center"/>
          </w:tcPr>
          <w:p w14:paraId="5EA18598">
            <w:pPr>
              <w:pStyle w:val="12"/>
            </w:pPr>
          </w:p>
        </w:tc>
        <w:tc>
          <w:tcPr>
            <w:tcW w:w="1474" w:type="dxa"/>
            <w:vAlign w:val="center"/>
          </w:tcPr>
          <w:p w14:paraId="13AEEFA9">
            <w:pPr>
              <w:pStyle w:val="11"/>
            </w:pPr>
          </w:p>
        </w:tc>
        <w:tc>
          <w:tcPr>
            <w:tcW w:w="3402" w:type="dxa"/>
            <w:vAlign w:val="center"/>
          </w:tcPr>
          <w:p w14:paraId="406E4BB4">
            <w:pPr>
              <w:pStyle w:val="12"/>
            </w:pPr>
            <w:r>
              <w:t>二十八、债务付息支出</w:t>
            </w:r>
          </w:p>
        </w:tc>
        <w:tc>
          <w:tcPr>
            <w:tcW w:w="1474" w:type="dxa"/>
            <w:vAlign w:val="center"/>
          </w:tcPr>
          <w:p w14:paraId="3AB14229">
            <w:pPr>
              <w:pStyle w:val="11"/>
            </w:pPr>
          </w:p>
        </w:tc>
        <w:tc>
          <w:tcPr>
            <w:tcW w:w="1474" w:type="dxa"/>
            <w:vAlign w:val="center"/>
          </w:tcPr>
          <w:p w14:paraId="17FEC8E7">
            <w:pPr>
              <w:pStyle w:val="11"/>
            </w:pPr>
          </w:p>
        </w:tc>
        <w:tc>
          <w:tcPr>
            <w:tcW w:w="1474" w:type="dxa"/>
            <w:vAlign w:val="center"/>
          </w:tcPr>
          <w:p w14:paraId="7871E212">
            <w:pPr>
              <w:pStyle w:val="11"/>
            </w:pPr>
          </w:p>
        </w:tc>
        <w:tc>
          <w:tcPr>
            <w:tcW w:w="1474" w:type="dxa"/>
            <w:vAlign w:val="center"/>
          </w:tcPr>
          <w:p w14:paraId="2BE43889">
            <w:pPr>
              <w:pStyle w:val="11"/>
            </w:pPr>
          </w:p>
        </w:tc>
      </w:tr>
      <w:tr w14:paraId="7B93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C0B3">
            <w:pPr>
              <w:pStyle w:val="13"/>
            </w:pPr>
            <w:r>
              <w:t>29</w:t>
            </w:r>
          </w:p>
        </w:tc>
        <w:tc>
          <w:tcPr>
            <w:tcW w:w="3402" w:type="dxa"/>
            <w:vAlign w:val="center"/>
          </w:tcPr>
          <w:p w14:paraId="63DEF8E4">
            <w:pPr>
              <w:pStyle w:val="12"/>
            </w:pPr>
          </w:p>
        </w:tc>
        <w:tc>
          <w:tcPr>
            <w:tcW w:w="1474" w:type="dxa"/>
            <w:vAlign w:val="center"/>
          </w:tcPr>
          <w:p w14:paraId="75AC783D">
            <w:pPr>
              <w:pStyle w:val="11"/>
            </w:pPr>
          </w:p>
        </w:tc>
        <w:tc>
          <w:tcPr>
            <w:tcW w:w="3402" w:type="dxa"/>
            <w:vAlign w:val="center"/>
          </w:tcPr>
          <w:p w14:paraId="31777AF9">
            <w:pPr>
              <w:pStyle w:val="12"/>
            </w:pPr>
            <w:r>
              <w:t>二十九、债务发行费用支出</w:t>
            </w:r>
          </w:p>
        </w:tc>
        <w:tc>
          <w:tcPr>
            <w:tcW w:w="1474" w:type="dxa"/>
            <w:vAlign w:val="center"/>
          </w:tcPr>
          <w:p w14:paraId="7744B984">
            <w:pPr>
              <w:pStyle w:val="11"/>
            </w:pPr>
          </w:p>
        </w:tc>
        <w:tc>
          <w:tcPr>
            <w:tcW w:w="1474" w:type="dxa"/>
            <w:vAlign w:val="center"/>
          </w:tcPr>
          <w:p w14:paraId="1DF1D03E">
            <w:pPr>
              <w:pStyle w:val="11"/>
            </w:pPr>
          </w:p>
        </w:tc>
        <w:tc>
          <w:tcPr>
            <w:tcW w:w="1474" w:type="dxa"/>
            <w:vAlign w:val="center"/>
          </w:tcPr>
          <w:p w14:paraId="4C3386E9">
            <w:pPr>
              <w:pStyle w:val="11"/>
            </w:pPr>
          </w:p>
        </w:tc>
        <w:tc>
          <w:tcPr>
            <w:tcW w:w="1474" w:type="dxa"/>
            <w:vAlign w:val="center"/>
          </w:tcPr>
          <w:p w14:paraId="04CE1D46">
            <w:pPr>
              <w:pStyle w:val="11"/>
            </w:pPr>
          </w:p>
        </w:tc>
      </w:tr>
      <w:tr w14:paraId="3197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6EB56">
            <w:pPr>
              <w:pStyle w:val="13"/>
            </w:pPr>
            <w:r>
              <w:t>30</w:t>
            </w:r>
          </w:p>
        </w:tc>
        <w:tc>
          <w:tcPr>
            <w:tcW w:w="3402" w:type="dxa"/>
            <w:vAlign w:val="center"/>
          </w:tcPr>
          <w:p w14:paraId="5E17F2E9">
            <w:pPr>
              <w:pStyle w:val="12"/>
            </w:pPr>
          </w:p>
        </w:tc>
        <w:tc>
          <w:tcPr>
            <w:tcW w:w="1474" w:type="dxa"/>
            <w:vAlign w:val="center"/>
          </w:tcPr>
          <w:p w14:paraId="346099E3">
            <w:pPr>
              <w:pStyle w:val="11"/>
            </w:pPr>
          </w:p>
        </w:tc>
        <w:tc>
          <w:tcPr>
            <w:tcW w:w="3402" w:type="dxa"/>
            <w:vAlign w:val="center"/>
          </w:tcPr>
          <w:p w14:paraId="69D6B9D0">
            <w:pPr>
              <w:pStyle w:val="12"/>
            </w:pPr>
            <w:r>
              <w:t>三十、抗疫特别国债安排的支出</w:t>
            </w:r>
          </w:p>
        </w:tc>
        <w:tc>
          <w:tcPr>
            <w:tcW w:w="1474" w:type="dxa"/>
            <w:vAlign w:val="center"/>
          </w:tcPr>
          <w:p w14:paraId="3ACFF5F4">
            <w:pPr>
              <w:pStyle w:val="11"/>
            </w:pPr>
          </w:p>
        </w:tc>
        <w:tc>
          <w:tcPr>
            <w:tcW w:w="1474" w:type="dxa"/>
            <w:vAlign w:val="center"/>
          </w:tcPr>
          <w:p w14:paraId="400BB78A">
            <w:pPr>
              <w:pStyle w:val="11"/>
            </w:pPr>
          </w:p>
        </w:tc>
        <w:tc>
          <w:tcPr>
            <w:tcW w:w="1474" w:type="dxa"/>
            <w:vAlign w:val="center"/>
          </w:tcPr>
          <w:p w14:paraId="3D12D8D1">
            <w:pPr>
              <w:pStyle w:val="11"/>
            </w:pPr>
          </w:p>
        </w:tc>
        <w:tc>
          <w:tcPr>
            <w:tcW w:w="1474" w:type="dxa"/>
            <w:vAlign w:val="center"/>
          </w:tcPr>
          <w:p w14:paraId="3BBA69F9">
            <w:pPr>
              <w:pStyle w:val="11"/>
            </w:pPr>
          </w:p>
        </w:tc>
      </w:tr>
      <w:tr w14:paraId="4525B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F5E4">
            <w:pPr>
              <w:pStyle w:val="13"/>
            </w:pPr>
            <w:r>
              <w:t>31</w:t>
            </w:r>
          </w:p>
        </w:tc>
        <w:tc>
          <w:tcPr>
            <w:tcW w:w="3402" w:type="dxa"/>
            <w:vAlign w:val="center"/>
          </w:tcPr>
          <w:p w14:paraId="6788D2B1">
            <w:pPr>
              <w:pStyle w:val="12"/>
            </w:pPr>
          </w:p>
        </w:tc>
        <w:tc>
          <w:tcPr>
            <w:tcW w:w="1474" w:type="dxa"/>
            <w:vAlign w:val="center"/>
          </w:tcPr>
          <w:p w14:paraId="15125A8A">
            <w:pPr>
              <w:pStyle w:val="11"/>
            </w:pPr>
          </w:p>
        </w:tc>
        <w:tc>
          <w:tcPr>
            <w:tcW w:w="3402" w:type="dxa"/>
            <w:vAlign w:val="center"/>
          </w:tcPr>
          <w:p w14:paraId="740E3C95">
            <w:pPr>
              <w:pStyle w:val="12"/>
            </w:pPr>
            <w:r>
              <w:t>三十一、人行科目</w:t>
            </w:r>
          </w:p>
        </w:tc>
        <w:tc>
          <w:tcPr>
            <w:tcW w:w="1474" w:type="dxa"/>
            <w:vAlign w:val="center"/>
          </w:tcPr>
          <w:p w14:paraId="1089B60A">
            <w:pPr>
              <w:pStyle w:val="11"/>
            </w:pPr>
          </w:p>
        </w:tc>
        <w:tc>
          <w:tcPr>
            <w:tcW w:w="1474" w:type="dxa"/>
            <w:vAlign w:val="center"/>
          </w:tcPr>
          <w:p w14:paraId="707FD998">
            <w:pPr>
              <w:pStyle w:val="11"/>
            </w:pPr>
          </w:p>
        </w:tc>
        <w:tc>
          <w:tcPr>
            <w:tcW w:w="1474" w:type="dxa"/>
            <w:vAlign w:val="center"/>
          </w:tcPr>
          <w:p w14:paraId="60E4D248">
            <w:pPr>
              <w:pStyle w:val="11"/>
            </w:pPr>
          </w:p>
        </w:tc>
        <w:tc>
          <w:tcPr>
            <w:tcW w:w="1474" w:type="dxa"/>
            <w:vAlign w:val="center"/>
          </w:tcPr>
          <w:p w14:paraId="4C4CCF9B">
            <w:pPr>
              <w:pStyle w:val="11"/>
            </w:pPr>
          </w:p>
        </w:tc>
      </w:tr>
      <w:tr w14:paraId="4224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BD8BE">
            <w:pPr>
              <w:pStyle w:val="13"/>
            </w:pPr>
            <w:r>
              <w:t>32</w:t>
            </w:r>
          </w:p>
        </w:tc>
        <w:tc>
          <w:tcPr>
            <w:tcW w:w="3402" w:type="dxa"/>
            <w:vAlign w:val="center"/>
          </w:tcPr>
          <w:p w14:paraId="0095D482">
            <w:pPr>
              <w:pStyle w:val="14"/>
            </w:pPr>
            <w:r>
              <w:t>本年收入合计</w:t>
            </w:r>
          </w:p>
        </w:tc>
        <w:tc>
          <w:tcPr>
            <w:tcW w:w="1474" w:type="dxa"/>
            <w:vAlign w:val="center"/>
          </w:tcPr>
          <w:p w14:paraId="0B051F7D">
            <w:pPr>
              <w:pStyle w:val="15"/>
            </w:pPr>
            <w:r>
              <w:t>714.80</w:t>
            </w:r>
          </w:p>
        </w:tc>
        <w:tc>
          <w:tcPr>
            <w:tcW w:w="3402" w:type="dxa"/>
            <w:vAlign w:val="center"/>
          </w:tcPr>
          <w:p w14:paraId="755CF719">
            <w:pPr>
              <w:pStyle w:val="14"/>
            </w:pPr>
            <w:r>
              <w:t>本年支出合计</w:t>
            </w:r>
          </w:p>
        </w:tc>
        <w:tc>
          <w:tcPr>
            <w:tcW w:w="1474" w:type="dxa"/>
            <w:vAlign w:val="center"/>
          </w:tcPr>
          <w:p w14:paraId="73C638B3">
            <w:pPr>
              <w:pStyle w:val="15"/>
            </w:pPr>
            <w:r>
              <w:t>714.80</w:t>
            </w:r>
          </w:p>
        </w:tc>
        <w:tc>
          <w:tcPr>
            <w:tcW w:w="1474" w:type="dxa"/>
            <w:vAlign w:val="center"/>
          </w:tcPr>
          <w:p w14:paraId="4646DEDA">
            <w:pPr>
              <w:pStyle w:val="15"/>
            </w:pPr>
            <w:r>
              <w:t>714.80</w:t>
            </w:r>
          </w:p>
        </w:tc>
        <w:tc>
          <w:tcPr>
            <w:tcW w:w="1474" w:type="dxa"/>
            <w:vAlign w:val="center"/>
          </w:tcPr>
          <w:p w14:paraId="0400EC4A">
            <w:pPr>
              <w:pStyle w:val="15"/>
            </w:pPr>
          </w:p>
        </w:tc>
        <w:tc>
          <w:tcPr>
            <w:tcW w:w="1474" w:type="dxa"/>
            <w:vAlign w:val="center"/>
          </w:tcPr>
          <w:p w14:paraId="44399900">
            <w:pPr>
              <w:pStyle w:val="15"/>
            </w:pPr>
          </w:p>
        </w:tc>
      </w:tr>
      <w:tr w14:paraId="7D64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29F8">
            <w:pPr>
              <w:pStyle w:val="13"/>
            </w:pPr>
            <w:r>
              <w:t>33</w:t>
            </w:r>
          </w:p>
        </w:tc>
        <w:tc>
          <w:tcPr>
            <w:tcW w:w="3402" w:type="dxa"/>
            <w:vAlign w:val="center"/>
          </w:tcPr>
          <w:p w14:paraId="4BDB472B">
            <w:pPr>
              <w:pStyle w:val="12"/>
            </w:pPr>
            <w:r>
              <w:t>年初财政拨款结转和结余</w:t>
            </w:r>
          </w:p>
        </w:tc>
        <w:tc>
          <w:tcPr>
            <w:tcW w:w="1474" w:type="dxa"/>
            <w:vAlign w:val="center"/>
          </w:tcPr>
          <w:p w14:paraId="2FCE2A27">
            <w:pPr>
              <w:pStyle w:val="11"/>
            </w:pPr>
          </w:p>
        </w:tc>
        <w:tc>
          <w:tcPr>
            <w:tcW w:w="3402" w:type="dxa"/>
            <w:vAlign w:val="center"/>
          </w:tcPr>
          <w:p w14:paraId="4772081E">
            <w:pPr>
              <w:pStyle w:val="12"/>
            </w:pPr>
            <w:r>
              <w:t>年末财政拨款结转和结余</w:t>
            </w:r>
          </w:p>
        </w:tc>
        <w:tc>
          <w:tcPr>
            <w:tcW w:w="1474" w:type="dxa"/>
            <w:vAlign w:val="center"/>
          </w:tcPr>
          <w:p w14:paraId="40513299">
            <w:pPr>
              <w:pStyle w:val="11"/>
            </w:pPr>
          </w:p>
        </w:tc>
        <w:tc>
          <w:tcPr>
            <w:tcW w:w="1474" w:type="dxa"/>
            <w:vAlign w:val="center"/>
          </w:tcPr>
          <w:p w14:paraId="62BDAAEC">
            <w:pPr>
              <w:pStyle w:val="11"/>
            </w:pPr>
          </w:p>
        </w:tc>
        <w:tc>
          <w:tcPr>
            <w:tcW w:w="1474" w:type="dxa"/>
            <w:vAlign w:val="center"/>
          </w:tcPr>
          <w:p w14:paraId="05CE92C7">
            <w:pPr>
              <w:pStyle w:val="11"/>
            </w:pPr>
          </w:p>
        </w:tc>
        <w:tc>
          <w:tcPr>
            <w:tcW w:w="1474" w:type="dxa"/>
            <w:vAlign w:val="center"/>
          </w:tcPr>
          <w:p w14:paraId="0864EC4E">
            <w:pPr>
              <w:pStyle w:val="11"/>
            </w:pPr>
          </w:p>
        </w:tc>
      </w:tr>
      <w:tr w14:paraId="4BD1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8E6E">
            <w:pPr>
              <w:pStyle w:val="13"/>
            </w:pPr>
            <w:r>
              <w:t>34</w:t>
            </w:r>
          </w:p>
        </w:tc>
        <w:tc>
          <w:tcPr>
            <w:tcW w:w="3402" w:type="dxa"/>
            <w:vAlign w:val="center"/>
          </w:tcPr>
          <w:p w14:paraId="50F6F64A">
            <w:pPr>
              <w:pStyle w:val="12"/>
            </w:pPr>
            <w:r>
              <w:t>一、一般公共预算拨款</w:t>
            </w:r>
          </w:p>
        </w:tc>
        <w:tc>
          <w:tcPr>
            <w:tcW w:w="1474" w:type="dxa"/>
            <w:vAlign w:val="center"/>
          </w:tcPr>
          <w:p w14:paraId="65B35728">
            <w:pPr>
              <w:pStyle w:val="11"/>
            </w:pPr>
          </w:p>
        </w:tc>
        <w:tc>
          <w:tcPr>
            <w:tcW w:w="3402" w:type="dxa"/>
            <w:vAlign w:val="center"/>
          </w:tcPr>
          <w:p w14:paraId="68B81D68">
            <w:pPr>
              <w:pStyle w:val="12"/>
            </w:pPr>
          </w:p>
        </w:tc>
        <w:tc>
          <w:tcPr>
            <w:tcW w:w="1474" w:type="dxa"/>
            <w:vAlign w:val="center"/>
          </w:tcPr>
          <w:p w14:paraId="45A708B3">
            <w:pPr>
              <w:pStyle w:val="11"/>
            </w:pPr>
          </w:p>
        </w:tc>
        <w:tc>
          <w:tcPr>
            <w:tcW w:w="1474" w:type="dxa"/>
            <w:vAlign w:val="center"/>
          </w:tcPr>
          <w:p w14:paraId="0A5BF26A">
            <w:pPr>
              <w:pStyle w:val="11"/>
            </w:pPr>
          </w:p>
        </w:tc>
        <w:tc>
          <w:tcPr>
            <w:tcW w:w="1474" w:type="dxa"/>
            <w:vAlign w:val="center"/>
          </w:tcPr>
          <w:p w14:paraId="243EDD61">
            <w:pPr>
              <w:pStyle w:val="11"/>
            </w:pPr>
          </w:p>
        </w:tc>
        <w:tc>
          <w:tcPr>
            <w:tcW w:w="1474" w:type="dxa"/>
            <w:vAlign w:val="center"/>
          </w:tcPr>
          <w:p w14:paraId="7310E9CB">
            <w:pPr>
              <w:pStyle w:val="11"/>
            </w:pPr>
          </w:p>
        </w:tc>
      </w:tr>
      <w:tr w14:paraId="6B38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CDB5E">
            <w:pPr>
              <w:pStyle w:val="13"/>
            </w:pPr>
            <w:r>
              <w:t>35</w:t>
            </w:r>
          </w:p>
        </w:tc>
        <w:tc>
          <w:tcPr>
            <w:tcW w:w="3402" w:type="dxa"/>
            <w:vAlign w:val="center"/>
          </w:tcPr>
          <w:p w14:paraId="078836A7">
            <w:pPr>
              <w:pStyle w:val="12"/>
            </w:pPr>
            <w:r>
              <w:t>二、政府性基金预算拨款</w:t>
            </w:r>
          </w:p>
        </w:tc>
        <w:tc>
          <w:tcPr>
            <w:tcW w:w="1474" w:type="dxa"/>
            <w:vAlign w:val="center"/>
          </w:tcPr>
          <w:p w14:paraId="4E446C94">
            <w:pPr>
              <w:pStyle w:val="11"/>
            </w:pPr>
          </w:p>
        </w:tc>
        <w:tc>
          <w:tcPr>
            <w:tcW w:w="3402" w:type="dxa"/>
            <w:vAlign w:val="center"/>
          </w:tcPr>
          <w:p w14:paraId="4DA44123">
            <w:pPr>
              <w:pStyle w:val="12"/>
            </w:pPr>
          </w:p>
        </w:tc>
        <w:tc>
          <w:tcPr>
            <w:tcW w:w="1474" w:type="dxa"/>
            <w:vAlign w:val="center"/>
          </w:tcPr>
          <w:p w14:paraId="0DDBBCB2">
            <w:pPr>
              <w:pStyle w:val="11"/>
            </w:pPr>
          </w:p>
        </w:tc>
        <w:tc>
          <w:tcPr>
            <w:tcW w:w="1474" w:type="dxa"/>
            <w:vAlign w:val="center"/>
          </w:tcPr>
          <w:p w14:paraId="4C6F90FE">
            <w:pPr>
              <w:pStyle w:val="11"/>
            </w:pPr>
          </w:p>
        </w:tc>
        <w:tc>
          <w:tcPr>
            <w:tcW w:w="1474" w:type="dxa"/>
            <w:vAlign w:val="center"/>
          </w:tcPr>
          <w:p w14:paraId="38B3B365">
            <w:pPr>
              <w:pStyle w:val="11"/>
            </w:pPr>
          </w:p>
        </w:tc>
        <w:tc>
          <w:tcPr>
            <w:tcW w:w="1474" w:type="dxa"/>
            <w:vAlign w:val="center"/>
          </w:tcPr>
          <w:p w14:paraId="7DB8611B">
            <w:pPr>
              <w:pStyle w:val="11"/>
            </w:pPr>
          </w:p>
        </w:tc>
      </w:tr>
      <w:tr w14:paraId="242D8143">
        <w:tblPrEx>
          <w:tblCellMar>
            <w:top w:w="0" w:type="dxa"/>
            <w:left w:w="108" w:type="dxa"/>
            <w:bottom w:w="0" w:type="dxa"/>
            <w:right w:w="108" w:type="dxa"/>
          </w:tblCellMar>
        </w:tblPrEx>
        <w:trPr>
          <w:trHeight w:val="369" w:hRule="atLeast"/>
          <w:jc w:val="center"/>
        </w:trPr>
        <w:tc>
          <w:tcPr>
            <w:tcW w:w="850" w:type="dxa"/>
            <w:vAlign w:val="center"/>
          </w:tcPr>
          <w:p w14:paraId="6E4C05FD">
            <w:pPr>
              <w:pStyle w:val="13"/>
            </w:pPr>
            <w:r>
              <w:t>36</w:t>
            </w:r>
          </w:p>
        </w:tc>
        <w:tc>
          <w:tcPr>
            <w:tcW w:w="3402" w:type="dxa"/>
            <w:vAlign w:val="center"/>
          </w:tcPr>
          <w:p w14:paraId="30813876">
            <w:pPr>
              <w:pStyle w:val="12"/>
            </w:pPr>
            <w:r>
              <w:t>三、国有资本经营预算拨款</w:t>
            </w:r>
          </w:p>
        </w:tc>
        <w:tc>
          <w:tcPr>
            <w:tcW w:w="1474" w:type="dxa"/>
            <w:vAlign w:val="center"/>
          </w:tcPr>
          <w:p w14:paraId="1BDDBD94">
            <w:pPr>
              <w:pStyle w:val="11"/>
            </w:pPr>
          </w:p>
        </w:tc>
        <w:tc>
          <w:tcPr>
            <w:tcW w:w="3402" w:type="dxa"/>
            <w:vAlign w:val="center"/>
          </w:tcPr>
          <w:p w14:paraId="169D7DB7">
            <w:pPr>
              <w:pStyle w:val="12"/>
            </w:pPr>
          </w:p>
        </w:tc>
        <w:tc>
          <w:tcPr>
            <w:tcW w:w="1474" w:type="dxa"/>
            <w:vAlign w:val="center"/>
          </w:tcPr>
          <w:p w14:paraId="3F2C7541">
            <w:pPr>
              <w:pStyle w:val="11"/>
            </w:pPr>
          </w:p>
        </w:tc>
        <w:tc>
          <w:tcPr>
            <w:tcW w:w="1474" w:type="dxa"/>
            <w:vAlign w:val="center"/>
          </w:tcPr>
          <w:p w14:paraId="3F7E81C5">
            <w:pPr>
              <w:pStyle w:val="11"/>
            </w:pPr>
          </w:p>
        </w:tc>
        <w:tc>
          <w:tcPr>
            <w:tcW w:w="1474" w:type="dxa"/>
            <w:vAlign w:val="center"/>
          </w:tcPr>
          <w:p w14:paraId="589EF5DF">
            <w:pPr>
              <w:pStyle w:val="11"/>
            </w:pPr>
          </w:p>
        </w:tc>
        <w:tc>
          <w:tcPr>
            <w:tcW w:w="1474" w:type="dxa"/>
            <w:vAlign w:val="center"/>
          </w:tcPr>
          <w:p w14:paraId="43FA772E">
            <w:pPr>
              <w:pStyle w:val="11"/>
            </w:pPr>
          </w:p>
        </w:tc>
      </w:tr>
      <w:tr w14:paraId="0448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FA3F">
            <w:pPr>
              <w:pStyle w:val="13"/>
            </w:pPr>
            <w:r>
              <w:t>37</w:t>
            </w:r>
          </w:p>
        </w:tc>
        <w:tc>
          <w:tcPr>
            <w:tcW w:w="3402" w:type="dxa"/>
            <w:vAlign w:val="center"/>
          </w:tcPr>
          <w:p w14:paraId="1B392C05">
            <w:pPr>
              <w:pStyle w:val="14"/>
            </w:pPr>
            <w:r>
              <w:t>收入总计</w:t>
            </w:r>
          </w:p>
        </w:tc>
        <w:tc>
          <w:tcPr>
            <w:tcW w:w="1474" w:type="dxa"/>
            <w:vAlign w:val="center"/>
          </w:tcPr>
          <w:p w14:paraId="34BDDE46">
            <w:pPr>
              <w:pStyle w:val="15"/>
            </w:pPr>
            <w:r>
              <w:t>714.80</w:t>
            </w:r>
          </w:p>
        </w:tc>
        <w:tc>
          <w:tcPr>
            <w:tcW w:w="3402" w:type="dxa"/>
            <w:vAlign w:val="center"/>
          </w:tcPr>
          <w:p w14:paraId="41AB9302">
            <w:pPr>
              <w:pStyle w:val="14"/>
            </w:pPr>
            <w:r>
              <w:t>支出总计</w:t>
            </w:r>
          </w:p>
        </w:tc>
        <w:tc>
          <w:tcPr>
            <w:tcW w:w="1474" w:type="dxa"/>
            <w:vAlign w:val="center"/>
          </w:tcPr>
          <w:p w14:paraId="7804294D">
            <w:pPr>
              <w:pStyle w:val="15"/>
            </w:pPr>
            <w:r>
              <w:t>714.80</w:t>
            </w:r>
          </w:p>
        </w:tc>
        <w:tc>
          <w:tcPr>
            <w:tcW w:w="1474" w:type="dxa"/>
            <w:vAlign w:val="center"/>
          </w:tcPr>
          <w:p w14:paraId="7B09A289">
            <w:pPr>
              <w:pStyle w:val="15"/>
            </w:pPr>
            <w:r>
              <w:t>714.80</w:t>
            </w:r>
          </w:p>
        </w:tc>
        <w:tc>
          <w:tcPr>
            <w:tcW w:w="1474" w:type="dxa"/>
            <w:vAlign w:val="center"/>
          </w:tcPr>
          <w:p w14:paraId="78405BC4">
            <w:pPr>
              <w:pStyle w:val="15"/>
            </w:pPr>
          </w:p>
        </w:tc>
        <w:tc>
          <w:tcPr>
            <w:tcW w:w="1474" w:type="dxa"/>
            <w:vAlign w:val="center"/>
          </w:tcPr>
          <w:p w14:paraId="664F1DCA">
            <w:pPr>
              <w:pStyle w:val="15"/>
            </w:pPr>
          </w:p>
        </w:tc>
      </w:tr>
    </w:tbl>
    <w:p w14:paraId="0B9AC092">
      <w:pPr>
        <w:sectPr>
          <w:pgSz w:w="16840" w:h="11900" w:orient="landscape"/>
          <w:pgMar w:top="1361" w:right="1020" w:bottom="1134" w:left="1020" w:header="720" w:footer="720" w:gutter="0"/>
          <w:cols w:space="720" w:num="1"/>
        </w:sectPr>
      </w:pPr>
    </w:p>
    <w:p w14:paraId="394EDF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9F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A2C58B">
            <w:pPr>
              <w:pStyle w:val="9"/>
            </w:pPr>
            <w:r>
              <w:t>360008隆尧县牛家桥中学</w:t>
            </w:r>
          </w:p>
        </w:tc>
        <w:tc>
          <w:tcPr>
            <w:tcW w:w="2551" w:type="dxa"/>
            <w:tcBorders>
              <w:top w:val="single" w:color="FFFFFF" w:sz="6" w:space="0"/>
              <w:left w:val="single" w:color="FFFFFF" w:sz="6" w:space="0"/>
              <w:right w:val="single" w:color="FFFFFF" w:sz="6" w:space="0"/>
            </w:tcBorders>
            <w:vAlign w:val="center"/>
          </w:tcPr>
          <w:p w14:paraId="78E8A3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BEBC88">
            <w:pPr>
              <w:pStyle w:val="7"/>
            </w:pPr>
            <w:r>
              <w:t>单位：万元</w:t>
            </w:r>
          </w:p>
        </w:tc>
      </w:tr>
      <w:tr w14:paraId="383E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5D5A3">
            <w:pPr>
              <w:pStyle w:val="10"/>
            </w:pPr>
            <w:r>
              <w:t>序号</w:t>
            </w:r>
          </w:p>
        </w:tc>
        <w:tc>
          <w:tcPr>
            <w:tcW w:w="5726" w:type="dxa"/>
            <w:gridSpan w:val="2"/>
            <w:vAlign w:val="center"/>
          </w:tcPr>
          <w:p w14:paraId="036F03C6">
            <w:pPr>
              <w:pStyle w:val="10"/>
            </w:pPr>
            <w:r>
              <w:t>功能分类科目</w:t>
            </w:r>
          </w:p>
        </w:tc>
        <w:tc>
          <w:tcPr>
            <w:tcW w:w="2551" w:type="dxa"/>
            <w:vMerge w:val="restart"/>
            <w:vAlign w:val="center"/>
          </w:tcPr>
          <w:p w14:paraId="77B3FF31">
            <w:pPr>
              <w:pStyle w:val="10"/>
            </w:pPr>
            <w:r>
              <w:t>合计</w:t>
            </w:r>
          </w:p>
        </w:tc>
        <w:tc>
          <w:tcPr>
            <w:tcW w:w="2551" w:type="dxa"/>
            <w:vMerge w:val="restart"/>
            <w:vAlign w:val="center"/>
          </w:tcPr>
          <w:p w14:paraId="77D6E63C">
            <w:pPr>
              <w:pStyle w:val="10"/>
            </w:pPr>
            <w:r>
              <w:t>基本支出</w:t>
            </w:r>
          </w:p>
        </w:tc>
        <w:tc>
          <w:tcPr>
            <w:tcW w:w="2551" w:type="dxa"/>
            <w:vMerge w:val="restart"/>
            <w:vAlign w:val="center"/>
          </w:tcPr>
          <w:p w14:paraId="3B51D7E9">
            <w:pPr>
              <w:pStyle w:val="10"/>
            </w:pPr>
            <w:r>
              <w:t>项目支出</w:t>
            </w:r>
          </w:p>
        </w:tc>
      </w:tr>
      <w:tr w14:paraId="6D10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59D38"/>
        </w:tc>
        <w:tc>
          <w:tcPr>
            <w:tcW w:w="1191" w:type="dxa"/>
            <w:vAlign w:val="center"/>
          </w:tcPr>
          <w:p w14:paraId="4EF8F77D">
            <w:pPr>
              <w:pStyle w:val="10"/>
            </w:pPr>
            <w:r>
              <w:t>科目编码</w:t>
            </w:r>
          </w:p>
        </w:tc>
        <w:tc>
          <w:tcPr>
            <w:tcW w:w="4535" w:type="dxa"/>
            <w:vAlign w:val="center"/>
          </w:tcPr>
          <w:p w14:paraId="7CD8E93A">
            <w:pPr>
              <w:pStyle w:val="10"/>
            </w:pPr>
            <w:r>
              <w:t>科目名称</w:t>
            </w:r>
          </w:p>
        </w:tc>
        <w:tc>
          <w:tcPr>
            <w:tcW w:w="2551" w:type="dxa"/>
            <w:vMerge w:val="continue"/>
          </w:tcPr>
          <w:p w14:paraId="23EB8220"/>
        </w:tc>
        <w:tc>
          <w:tcPr>
            <w:tcW w:w="2551" w:type="dxa"/>
            <w:vMerge w:val="continue"/>
          </w:tcPr>
          <w:p w14:paraId="1DCEE308"/>
        </w:tc>
        <w:tc>
          <w:tcPr>
            <w:tcW w:w="2551" w:type="dxa"/>
            <w:vMerge w:val="continue"/>
          </w:tcPr>
          <w:p w14:paraId="4ACFDDDC"/>
        </w:tc>
      </w:tr>
      <w:tr w14:paraId="583D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731AC">
            <w:pPr>
              <w:pStyle w:val="10"/>
            </w:pPr>
            <w:r>
              <w:t>栏次</w:t>
            </w:r>
          </w:p>
        </w:tc>
        <w:tc>
          <w:tcPr>
            <w:tcW w:w="1191" w:type="dxa"/>
            <w:vAlign w:val="center"/>
          </w:tcPr>
          <w:p w14:paraId="423A29E4">
            <w:pPr>
              <w:pStyle w:val="10"/>
            </w:pPr>
            <w:r>
              <w:t>1</w:t>
            </w:r>
          </w:p>
        </w:tc>
        <w:tc>
          <w:tcPr>
            <w:tcW w:w="4535" w:type="dxa"/>
            <w:vAlign w:val="center"/>
          </w:tcPr>
          <w:p w14:paraId="1E3ADDFF">
            <w:pPr>
              <w:pStyle w:val="10"/>
            </w:pPr>
            <w:r>
              <w:t>2</w:t>
            </w:r>
          </w:p>
        </w:tc>
        <w:tc>
          <w:tcPr>
            <w:tcW w:w="2551" w:type="dxa"/>
            <w:vAlign w:val="center"/>
          </w:tcPr>
          <w:p w14:paraId="73D7E67F">
            <w:pPr>
              <w:pStyle w:val="10"/>
            </w:pPr>
            <w:r>
              <w:t>3</w:t>
            </w:r>
          </w:p>
        </w:tc>
        <w:tc>
          <w:tcPr>
            <w:tcW w:w="2551" w:type="dxa"/>
            <w:vAlign w:val="center"/>
          </w:tcPr>
          <w:p w14:paraId="7A52C9CA">
            <w:pPr>
              <w:pStyle w:val="10"/>
            </w:pPr>
            <w:r>
              <w:t>4</w:t>
            </w:r>
          </w:p>
        </w:tc>
        <w:tc>
          <w:tcPr>
            <w:tcW w:w="2551" w:type="dxa"/>
            <w:vAlign w:val="center"/>
          </w:tcPr>
          <w:p w14:paraId="7D41573E">
            <w:pPr>
              <w:pStyle w:val="10"/>
            </w:pPr>
            <w:r>
              <w:t>5</w:t>
            </w:r>
          </w:p>
        </w:tc>
      </w:tr>
      <w:tr w14:paraId="70B6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A31CC">
            <w:pPr>
              <w:pStyle w:val="13"/>
            </w:pPr>
            <w:r>
              <w:t>1</w:t>
            </w:r>
          </w:p>
        </w:tc>
        <w:tc>
          <w:tcPr>
            <w:tcW w:w="1191" w:type="dxa"/>
            <w:vAlign w:val="center"/>
          </w:tcPr>
          <w:p w14:paraId="29E8D2C8">
            <w:pPr>
              <w:pStyle w:val="16"/>
            </w:pPr>
          </w:p>
        </w:tc>
        <w:tc>
          <w:tcPr>
            <w:tcW w:w="4535" w:type="dxa"/>
            <w:vAlign w:val="center"/>
          </w:tcPr>
          <w:p w14:paraId="062BB759">
            <w:pPr>
              <w:pStyle w:val="14"/>
            </w:pPr>
            <w:r>
              <w:t>合计</w:t>
            </w:r>
          </w:p>
        </w:tc>
        <w:tc>
          <w:tcPr>
            <w:tcW w:w="2551" w:type="dxa"/>
            <w:vAlign w:val="center"/>
          </w:tcPr>
          <w:p w14:paraId="2053EB76">
            <w:pPr>
              <w:pStyle w:val="15"/>
            </w:pPr>
            <w:r>
              <w:t>714.80</w:t>
            </w:r>
          </w:p>
        </w:tc>
        <w:tc>
          <w:tcPr>
            <w:tcW w:w="2551" w:type="dxa"/>
            <w:vAlign w:val="center"/>
          </w:tcPr>
          <w:p w14:paraId="7238680F">
            <w:pPr>
              <w:pStyle w:val="15"/>
            </w:pPr>
            <w:r>
              <w:t>602.27</w:t>
            </w:r>
          </w:p>
        </w:tc>
        <w:tc>
          <w:tcPr>
            <w:tcW w:w="2551" w:type="dxa"/>
            <w:vAlign w:val="center"/>
          </w:tcPr>
          <w:p w14:paraId="416599B6">
            <w:pPr>
              <w:pStyle w:val="15"/>
            </w:pPr>
            <w:r>
              <w:t>112.53</w:t>
            </w:r>
          </w:p>
        </w:tc>
      </w:tr>
      <w:tr w14:paraId="46E2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43089">
            <w:pPr>
              <w:pStyle w:val="13"/>
            </w:pPr>
            <w:r>
              <w:t>2</w:t>
            </w:r>
          </w:p>
        </w:tc>
        <w:tc>
          <w:tcPr>
            <w:tcW w:w="1191" w:type="dxa"/>
            <w:vAlign w:val="center"/>
          </w:tcPr>
          <w:p w14:paraId="1AF85F08">
            <w:pPr>
              <w:pStyle w:val="12"/>
            </w:pPr>
            <w:r>
              <w:t>205</w:t>
            </w:r>
          </w:p>
        </w:tc>
        <w:tc>
          <w:tcPr>
            <w:tcW w:w="4535" w:type="dxa"/>
            <w:vAlign w:val="center"/>
          </w:tcPr>
          <w:p w14:paraId="2DEFEDFB">
            <w:pPr>
              <w:pStyle w:val="12"/>
            </w:pPr>
            <w:r>
              <w:t>教育支出</w:t>
            </w:r>
          </w:p>
        </w:tc>
        <w:tc>
          <w:tcPr>
            <w:tcW w:w="2551" w:type="dxa"/>
            <w:vAlign w:val="center"/>
          </w:tcPr>
          <w:p w14:paraId="3B8B8156">
            <w:pPr>
              <w:pStyle w:val="11"/>
            </w:pPr>
            <w:r>
              <w:t>714.80</w:t>
            </w:r>
          </w:p>
        </w:tc>
        <w:tc>
          <w:tcPr>
            <w:tcW w:w="2551" w:type="dxa"/>
            <w:vAlign w:val="center"/>
          </w:tcPr>
          <w:p w14:paraId="2269A1E4">
            <w:pPr>
              <w:pStyle w:val="11"/>
            </w:pPr>
            <w:r>
              <w:t>602.27</w:t>
            </w:r>
          </w:p>
        </w:tc>
        <w:tc>
          <w:tcPr>
            <w:tcW w:w="2551" w:type="dxa"/>
            <w:vAlign w:val="center"/>
          </w:tcPr>
          <w:p w14:paraId="64411F0B">
            <w:pPr>
              <w:pStyle w:val="11"/>
            </w:pPr>
            <w:r>
              <w:t>112.53</w:t>
            </w:r>
          </w:p>
        </w:tc>
      </w:tr>
      <w:tr w14:paraId="3ACB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654A">
            <w:pPr>
              <w:pStyle w:val="13"/>
            </w:pPr>
            <w:r>
              <w:t>3</w:t>
            </w:r>
          </w:p>
        </w:tc>
        <w:tc>
          <w:tcPr>
            <w:tcW w:w="1191" w:type="dxa"/>
            <w:vAlign w:val="center"/>
          </w:tcPr>
          <w:p w14:paraId="330CF696">
            <w:pPr>
              <w:pStyle w:val="12"/>
            </w:pPr>
            <w:r>
              <w:t>20502</w:t>
            </w:r>
          </w:p>
        </w:tc>
        <w:tc>
          <w:tcPr>
            <w:tcW w:w="4535" w:type="dxa"/>
            <w:vAlign w:val="center"/>
          </w:tcPr>
          <w:p w14:paraId="7DF5D8F6">
            <w:pPr>
              <w:pStyle w:val="12"/>
            </w:pPr>
            <w:r>
              <w:t>普通教育</w:t>
            </w:r>
          </w:p>
        </w:tc>
        <w:tc>
          <w:tcPr>
            <w:tcW w:w="2551" w:type="dxa"/>
            <w:vAlign w:val="center"/>
          </w:tcPr>
          <w:p w14:paraId="6130D9A5">
            <w:pPr>
              <w:pStyle w:val="11"/>
            </w:pPr>
            <w:r>
              <w:t>714.80</w:t>
            </w:r>
          </w:p>
        </w:tc>
        <w:tc>
          <w:tcPr>
            <w:tcW w:w="2551" w:type="dxa"/>
            <w:vAlign w:val="center"/>
          </w:tcPr>
          <w:p w14:paraId="6395B108">
            <w:pPr>
              <w:pStyle w:val="11"/>
            </w:pPr>
            <w:r>
              <w:t>602.27</w:t>
            </w:r>
          </w:p>
        </w:tc>
        <w:tc>
          <w:tcPr>
            <w:tcW w:w="2551" w:type="dxa"/>
            <w:vAlign w:val="center"/>
          </w:tcPr>
          <w:p w14:paraId="5231E3C2">
            <w:pPr>
              <w:pStyle w:val="11"/>
            </w:pPr>
            <w:r>
              <w:t>112.53</w:t>
            </w:r>
          </w:p>
        </w:tc>
      </w:tr>
      <w:tr w14:paraId="4477E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1981C">
            <w:pPr>
              <w:pStyle w:val="13"/>
            </w:pPr>
            <w:r>
              <w:t>4</w:t>
            </w:r>
          </w:p>
        </w:tc>
        <w:tc>
          <w:tcPr>
            <w:tcW w:w="1191" w:type="dxa"/>
            <w:vAlign w:val="center"/>
          </w:tcPr>
          <w:p w14:paraId="7D4E20AF">
            <w:pPr>
              <w:pStyle w:val="12"/>
            </w:pPr>
            <w:r>
              <w:t>2050203</w:t>
            </w:r>
          </w:p>
        </w:tc>
        <w:tc>
          <w:tcPr>
            <w:tcW w:w="4535" w:type="dxa"/>
            <w:vAlign w:val="center"/>
          </w:tcPr>
          <w:p w14:paraId="401909D5">
            <w:pPr>
              <w:pStyle w:val="12"/>
            </w:pPr>
            <w:r>
              <w:t>初中教育</w:t>
            </w:r>
          </w:p>
        </w:tc>
        <w:tc>
          <w:tcPr>
            <w:tcW w:w="2551" w:type="dxa"/>
            <w:vAlign w:val="center"/>
          </w:tcPr>
          <w:p w14:paraId="08E508FD">
            <w:pPr>
              <w:pStyle w:val="11"/>
            </w:pPr>
            <w:r>
              <w:t>714.80</w:t>
            </w:r>
          </w:p>
        </w:tc>
        <w:tc>
          <w:tcPr>
            <w:tcW w:w="2551" w:type="dxa"/>
            <w:vAlign w:val="center"/>
          </w:tcPr>
          <w:p w14:paraId="42AA249B">
            <w:pPr>
              <w:pStyle w:val="11"/>
            </w:pPr>
            <w:r>
              <w:t>602.27</w:t>
            </w:r>
          </w:p>
        </w:tc>
        <w:tc>
          <w:tcPr>
            <w:tcW w:w="2551" w:type="dxa"/>
            <w:vAlign w:val="center"/>
          </w:tcPr>
          <w:p w14:paraId="7A128050">
            <w:pPr>
              <w:pStyle w:val="11"/>
            </w:pPr>
            <w:r>
              <w:t>112.53</w:t>
            </w:r>
          </w:p>
        </w:tc>
      </w:tr>
    </w:tbl>
    <w:p w14:paraId="1B32DE04">
      <w:pPr>
        <w:sectPr>
          <w:pgSz w:w="16840" w:h="11900" w:orient="landscape"/>
          <w:pgMar w:top="1361" w:right="1020" w:bottom="1134" w:left="1020" w:header="720" w:footer="720" w:gutter="0"/>
          <w:cols w:space="720" w:num="1"/>
        </w:sectPr>
      </w:pPr>
    </w:p>
    <w:p w14:paraId="099A27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CE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AC69C">
            <w:pPr>
              <w:pStyle w:val="9"/>
            </w:pPr>
            <w:r>
              <w:t>360008隆尧县牛家桥中学</w:t>
            </w:r>
          </w:p>
        </w:tc>
        <w:tc>
          <w:tcPr>
            <w:tcW w:w="2551" w:type="dxa"/>
            <w:tcBorders>
              <w:top w:val="single" w:color="FFFFFF" w:sz="6" w:space="0"/>
              <w:left w:val="single" w:color="FFFFFF" w:sz="6" w:space="0"/>
              <w:right w:val="single" w:color="FFFFFF" w:sz="6" w:space="0"/>
            </w:tcBorders>
            <w:vAlign w:val="center"/>
          </w:tcPr>
          <w:p w14:paraId="525C32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BEC31C">
            <w:pPr>
              <w:pStyle w:val="7"/>
            </w:pPr>
            <w:r>
              <w:t>单位：万元</w:t>
            </w:r>
          </w:p>
        </w:tc>
      </w:tr>
      <w:tr w14:paraId="394BD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7D44F">
            <w:pPr>
              <w:pStyle w:val="10"/>
            </w:pPr>
            <w:r>
              <w:t>序号</w:t>
            </w:r>
          </w:p>
        </w:tc>
        <w:tc>
          <w:tcPr>
            <w:tcW w:w="5726" w:type="dxa"/>
            <w:gridSpan w:val="2"/>
            <w:vAlign w:val="center"/>
          </w:tcPr>
          <w:p w14:paraId="05303532">
            <w:pPr>
              <w:pStyle w:val="10"/>
            </w:pPr>
            <w:r>
              <w:t>支出部门经济分类科目</w:t>
            </w:r>
          </w:p>
        </w:tc>
        <w:tc>
          <w:tcPr>
            <w:tcW w:w="7653" w:type="dxa"/>
            <w:gridSpan w:val="3"/>
            <w:vAlign w:val="center"/>
          </w:tcPr>
          <w:p w14:paraId="0A32A1CC">
            <w:pPr>
              <w:pStyle w:val="10"/>
            </w:pPr>
            <w:r>
              <w:t>一般公共预算基本支出</w:t>
            </w:r>
          </w:p>
        </w:tc>
      </w:tr>
      <w:tr w14:paraId="1935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F25A0B"/>
        </w:tc>
        <w:tc>
          <w:tcPr>
            <w:tcW w:w="1191" w:type="dxa"/>
            <w:vAlign w:val="center"/>
          </w:tcPr>
          <w:p w14:paraId="242DC19C">
            <w:pPr>
              <w:pStyle w:val="10"/>
            </w:pPr>
            <w:r>
              <w:t>科目编码</w:t>
            </w:r>
          </w:p>
        </w:tc>
        <w:tc>
          <w:tcPr>
            <w:tcW w:w="4535" w:type="dxa"/>
            <w:vAlign w:val="center"/>
          </w:tcPr>
          <w:p w14:paraId="36FAD2DF">
            <w:pPr>
              <w:pStyle w:val="10"/>
            </w:pPr>
            <w:r>
              <w:t>科目名称</w:t>
            </w:r>
          </w:p>
        </w:tc>
        <w:tc>
          <w:tcPr>
            <w:tcW w:w="2551" w:type="dxa"/>
            <w:vAlign w:val="center"/>
          </w:tcPr>
          <w:p w14:paraId="4B8BCD1E">
            <w:pPr>
              <w:pStyle w:val="10"/>
            </w:pPr>
            <w:r>
              <w:t>合计</w:t>
            </w:r>
          </w:p>
        </w:tc>
        <w:tc>
          <w:tcPr>
            <w:tcW w:w="2551" w:type="dxa"/>
            <w:vAlign w:val="center"/>
          </w:tcPr>
          <w:p w14:paraId="59B722B8">
            <w:pPr>
              <w:pStyle w:val="10"/>
            </w:pPr>
            <w:r>
              <w:t>人员经费</w:t>
            </w:r>
          </w:p>
        </w:tc>
        <w:tc>
          <w:tcPr>
            <w:tcW w:w="2551" w:type="dxa"/>
            <w:vAlign w:val="center"/>
          </w:tcPr>
          <w:p w14:paraId="2E62089D">
            <w:pPr>
              <w:pStyle w:val="10"/>
            </w:pPr>
            <w:r>
              <w:t>公用经费</w:t>
            </w:r>
          </w:p>
        </w:tc>
      </w:tr>
      <w:tr w14:paraId="54DD8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F2003A">
            <w:pPr>
              <w:pStyle w:val="10"/>
            </w:pPr>
            <w:r>
              <w:t>栏次</w:t>
            </w:r>
          </w:p>
        </w:tc>
        <w:tc>
          <w:tcPr>
            <w:tcW w:w="1191" w:type="dxa"/>
            <w:vAlign w:val="center"/>
          </w:tcPr>
          <w:p w14:paraId="2D5681EA">
            <w:pPr>
              <w:pStyle w:val="10"/>
            </w:pPr>
            <w:r>
              <w:t>1</w:t>
            </w:r>
          </w:p>
        </w:tc>
        <w:tc>
          <w:tcPr>
            <w:tcW w:w="4535" w:type="dxa"/>
            <w:vAlign w:val="center"/>
          </w:tcPr>
          <w:p w14:paraId="721576D5">
            <w:pPr>
              <w:pStyle w:val="10"/>
            </w:pPr>
            <w:r>
              <w:t>2</w:t>
            </w:r>
          </w:p>
        </w:tc>
        <w:tc>
          <w:tcPr>
            <w:tcW w:w="2551" w:type="dxa"/>
            <w:vAlign w:val="center"/>
          </w:tcPr>
          <w:p w14:paraId="3E9E19E2">
            <w:pPr>
              <w:pStyle w:val="10"/>
            </w:pPr>
            <w:r>
              <w:t>3</w:t>
            </w:r>
          </w:p>
        </w:tc>
        <w:tc>
          <w:tcPr>
            <w:tcW w:w="2551" w:type="dxa"/>
            <w:vAlign w:val="center"/>
          </w:tcPr>
          <w:p w14:paraId="19C9C252">
            <w:pPr>
              <w:pStyle w:val="10"/>
            </w:pPr>
            <w:r>
              <w:t>4</w:t>
            </w:r>
          </w:p>
        </w:tc>
        <w:tc>
          <w:tcPr>
            <w:tcW w:w="2551" w:type="dxa"/>
            <w:vAlign w:val="center"/>
          </w:tcPr>
          <w:p w14:paraId="7BB7AC78">
            <w:pPr>
              <w:pStyle w:val="10"/>
            </w:pPr>
            <w:r>
              <w:t>5</w:t>
            </w:r>
          </w:p>
        </w:tc>
      </w:tr>
      <w:tr w14:paraId="7327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3C694">
            <w:pPr>
              <w:pStyle w:val="13"/>
            </w:pPr>
            <w:r>
              <w:t>1</w:t>
            </w:r>
          </w:p>
        </w:tc>
        <w:tc>
          <w:tcPr>
            <w:tcW w:w="1191" w:type="dxa"/>
            <w:vAlign w:val="center"/>
          </w:tcPr>
          <w:p w14:paraId="70DA0FC8">
            <w:pPr>
              <w:pStyle w:val="16"/>
            </w:pPr>
          </w:p>
        </w:tc>
        <w:tc>
          <w:tcPr>
            <w:tcW w:w="4535" w:type="dxa"/>
            <w:vAlign w:val="center"/>
          </w:tcPr>
          <w:p w14:paraId="366290A5">
            <w:pPr>
              <w:pStyle w:val="14"/>
            </w:pPr>
            <w:r>
              <w:t>合计</w:t>
            </w:r>
          </w:p>
        </w:tc>
        <w:tc>
          <w:tcPr>
            <w:tcW w:w="2551" w:type="dxa"/>
            <w:vAlign w:val="center"/>
          </w:tcPr>
          <w:p w14:paraId="4A1B6F04">
            <w:pPr>
              <w:pStyle w:val="15"/>
            </w:pPr>
            <w:r>
              <w:t>602.27</w:t>
            </w:r>
          </w:p>
        </w:tc>
        <w:tc>
          <w:tcPr>
            <w:tcW w:w="2551" w:type="dxa"/>
            <w:vAlign w:val="center"/>
          </w:tcPr>
          <w:p w14:paraId="4F068F5F">
            <w:pPr>
              <w:pStyle w:val="15"/>
            </w:pPr>
            <w:r>
              <w:t>602.27</w:t>
            </w:r>
          </w:p>
        </w:tc>
        <w:tc>
          <w:tcPr>
            <w:tcW w:w="2551" w:type="dxa"/>
            <w:vAlign w:val="center"/>
          </w:tcPr>
          <w:p w14:paraId="6E2EE02F">
            <w:pPr>
              <w:pStyle w:val="15"/>
            </w:pPr>
          </w:p>
        </w:tc>
      </w:tr>
      <w:tr w14:paraId="628A5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4B761">
            <w:pPr>
              <w:pStyle w:val="13"/>
            </w:pPr>
            <w:r>
              <w:t>2</w:t>
            </w:r>
          </w:p>
        </w:tc>
        <w:tc>
          <w:tcPr>
            <w:tcW w:w="1191" w:type="dxa"/>
            <w:vAlign w:val="center"/>
          </w:tcPr>
          <w:p w14:paraId="048EBF8B">
            <w:pPr>
              <w:pStyle w:val="12"/>
            </w:pPr>
            <w:r>
              <w:t>301</w:t>
            </w:r>
          </w:p>
        </w:tc>
        <w:tc>
          <w:tcPr>
            <w:tcW w:w="4535" w:type="dxa"/>
            <w:vAlign w:val="center"/>
          </w:tcPr>
          <w:p w14:paraId="0A91F054">
            <w:pPr>
              <w:pStyle w:val="12"/>
            </w:pPr>
            <w:r>
              <w:t>工资福利支出</w:t>
            </w:r>
          </w:p>
        </w:tc>
        <w:tc>
          <w:tcPr>
            <w:tcW w:w="2551" w:type="dxa"/>
            <w:vAlign w:val="center"/>
          </w:tcPr>
          <w:p w14:paraId="2F7121E9">
            <w:pPr>
              <w:pStyle w:val="11"/>
            </w:pPr>
            <w:r>
              <w:t>580.81</w:t>
            </w:r>
          </w:p>
        </w:tc>
        <w:tc>
          <w:tcPr>
            <w:tcW w:w="2551" w:type="dxa"/>
            <w:vAlign w:val="center"/>
          </w:tcPr>
          <w:p w14:paraId="3CCD9EA9">
            <w:pPr>
              <w:pStyle w:val="11"/>
            </w:pPr>
            <w:r>
              <w:t>580.81</w:t>
            </w:r>
          </w:p>
        </w:tc>
        <w:tc>
          <w:tcPr>
            <w:tcW w:w="2551" w:type="dxa"/>
            <w:vAlign w:val="center"/>
          </w:tcPr>
          <w:p w14:paraId="6C94E7B3">
            <w:pPr>
              <w:pStyle w:val="11"/>
            </w:pPr>
          </w:p>
        </w:tc>
      </w:tr>
      <w:tr w14:paraId="52F6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B1B1">
            <w:pPr>
              <w:pStyle w:val="13"/>
            </w:pPr>
            <w:r>
              <w:t>3</w:t>
            </w:r>
          </w:p>
        </w:tc>
        <w:tc>
          <w:tcPr>
            <w:tcW w:w="1191" w:type="dxa"/>
            <w:vAlign w:val="center"/>
          </w:tcPr>
          <w:p w14:paraId="0FC509DB">
            <w:pPr>
              <w:pStyle w:val="12"/>
            </w:pPr>
            <w:r>
              <w:t>30101</w:t>
            </w:r>
          </w:p>
        </w:tc>
        <w:tc>
          <w:tcPr>
            <w:tcW w:w="4535" w:type="dxa"/>
            <w:vAlign w:val="center"/>
          </w:tcPr>
          <w:p w14:paraId="09E37C25">
            <w:pPr>
              <w:pStyle w:val="12"/>
            </w:pPr>
            <w:r>
              <w:t>基本工资</w:t>
            </w:r>
          </w:p>
        </w:tc>
        <w:tc>
          <w:tcPr>
            <w:tcW w:w="2551" w:type="dxa"/>
            <w:vAlign w:val="center"/>
          </w:tcPr>
          <w:p w14:paraId="4D171458">
            <w:pPr>
              <w:pStyle w:val="11"/>
            </w:pPr>
            <w:r>
              <w:t>277.88</w:t>
            </w:r>
          </w:p>
        </w:tc>
        <w:tc>
          <w:tcPr>
            <w:tcW w:w="2551" w:type="dxa"/>
            <w:vAlign w:val="center"/>
          </w:tcPr>
          <w:p w14:paraId="29631967">
            <w:pPr>
              <w:pStyle w:val="11"/>
            </w:pPr>
            <w:r>
              <w:t>277.88</w:t>
            </w:r>
          </w:p>
        </w:tc>
        <w:tc>
          <w:tcPr>
            <w:tcW w:w="2551" w:type="dxa"/>
            <w:vAlign w:val="center"/>
          </w:tcPr>
          <w:p w14:paraId="51E8EB6D">
            <w:pPr>
              <w:pStyle w:val="11"/>
            </w:pPr>
          </w:p>
        </w:tc>
      </w:tr>
      <w:tr w14:paraId="5E33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C6915">
            <w:pPr>
              <w:pStyle w:val="13"/>
            </w:pPr>
            <w:r>
              <w:t>4</w:t>
            </w:r>
          </w:p>
        </w:tc>
        <w:tc>
          <w:tcPr>
            <w:tcW w:w="1191" w:type="dxa"/>
            <w:vAlign w:val="center"/>
          </w:tcPr>
          <w:p w14:paraId="5C3B98C3">
            <w:pPr>
              <w:pStyle w:val="12"/>
            </w:pPr>
            <w:r>
              <w:t>30102</w:t>
            </w:r>
          </w:p>
        </w:tc>
        <w:tc>
          <w:tcPr>
            <w:tcW w:w="4535" w:type="dxa"/>
            <w:vAlign w:val="center"/>
          </w:tcPr>
          <w:p w14:paraId="79DB2DA7">
            <w:pPr>
              <w:pStyle w:val="12"/>
            </w:pPr>
            <w:r>
              <w:t>津贴补贴</w:t>
            </w:r>
          </w:p>
        </w:tc>
        <w:tc>
          <w:tcPr>
            <w:tcW w:w="2551" w:type="dxa"/>
            <w:vAlign w:val="center"/>
          </w:tcPr>
          <w:p w14:paraId="144B77DB">
            <w:pPr>
              <w:pStyle w:val="11"/>
            </w:pPr>
            <w:r>
              <w:t>24.73</w:t>
            </w:r>
          </w:p>
        </w:tc>
        <w:tc>
          <w:tcPr>
            <w:tcW w:w="2551" w:type="dxa"/>
            <w:vAlign w:val="center"/>
          </w:tcPr>
          <w:p w14:paraId="7EE6E1CF">
            <w:pPr>
              <w:pStyle w:val="11"/>
            </w:pPr>
            <w:r>
              <w:t>24.73</w:t>
            </w:r>
          </w:p>
        </w:tc>
        <w:tc>
          <w:tcPr>
            <w:tcW w:w="2551" w:type="dxa"/>
            <w:vAlign w:val="center"/>
          </w:tcPr>
          <w:p w14:paraId="65DDBA7C">
            <w:pPr>
              <w:pStyle w:val="11"/>
            </w:pPr>
          </w:p>
        </w:tc>
      </w:tr>
      <w:tr w14:paraId="2D83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8B11">
            <w:pPr>
              <w:pStyle w:val="13"/>
            </w:pPr>
            <w:r>
              <w:t>5</w:t>
            </w:r>
          </w:p>
        </w:tc>
        <w:tc>
          <w:tcPr>
            <w:tcW w:w="1191" w:type="dxa"/>
            <w:vAlign w:val="center"/>
          </w:tcPr>
          <w:p w14:paraId="2C84DA58">
            <w:pPr>
              <w:pStyle w:val="12"/>
            </w:pPr>
            <w:r>
              <w:t>30107</w:t>
            </w:r>
          </w:p>
        </w:tc>
        <w:tc>
          <w:tcPr>
            <w:tcW w:w="4535" w:type="dxa"/>
            <w:vAlign w:val="center"/>
          </w:tcPr>
          <w:p w14:paraId="0E327561">
            <w:pPr>
              <w:pStyle w:val="12"/>
            </w:pPr>
            <w:r>
              <w:t>绩效工资</w:t>
            </w:r>
          </w:p>
        </w:tc>
        <w:tc>
          <w:tcPr>
            <w:tcW w:w="2551" w:type="dxa"/>
            <w:vAlign w:val="center"/>
          </w:tcPr>
          <w:p w14:paraId="358D4A3C">
            <w:pPr>
              <w:pStyle w:val="11"/>
            </w:pPr>
            <w:r>
              <w:t>145.33</w:t>
            </w:r>
          </w:p>
        </w:tc>
        <w:tc>
          <w:tcPr>
            <w:tcW w:w="2551" w:type="dxa"/>
            <w:vAlign w:val="center"/>
          </w:tcPr>
          <w:p w14:paraId="796EFEC0">
            <w:pPr>
              <w:pStyle w:val="11"/>
            </w:pPr>
            <w:r>
              <w:t>145.33</w:t>
            </w:r>
          </w:p>
        </w:tc>
        <w:tc>
          <w:tcPr>
            <w:tcW w:w="2551" w:type="dxa"/>
            <w:vAlign w:val="center"/>
          </w:tcPr>
          <w:p w14:paraId="345CA58D">
            <w:pPr>
              <w:pStyle w:val="11"/>
            </w:pPr>
          </w:p>
        </w:tc>
      </w:tr>
      <w:tr w14:paraId="36E2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0A667">
            <w:pPr>
              <w:pStyle w:val="13"/>
            </w:pPr>
            <w:r>
              <w:t>6</w:t>
            </w:r>
          </w:p>
        </w:tc>
        <w:tc>
          <w:tcPr>
            <w:tcW w:w="1191" w:type="dxa"/>
            <w:vAlign w:val="center"/>
          </w:tcPr>
          <w:p w14:paraId="6E93093C">
            <w:pPr>
              <w:pStyle w:val="12"/>
            </w:pPr>
            <w:r>
              <w:t>30108</w:t>
            </w:r>
          </w:p>
        </w:tc>
        <w:tc>
          <w:tcPr>
            <w:tcW w:w="4535" w:type="dxa"/>
            <w:vAlign w:val="center"/>
          </w:tcPr>
          <w:p w14:paraId="1FAE1684">
            <w:pPr>
              <w:pStyle w:val="12"/>
            </w:pPr>
            <w:r>
              <w:t>机关事业单位基本养老保险缴费</w:t>
            </w:r>
          </w:p>
        </w:tc>
        <w:tc>
          <w:tcPr>
            <w:tcW w:w="2551" w:type="dxa"/>
            <w:vAlign w:val="center"/>
          </w:tcPr>
          <w:p w14:paraId="2B8B4E06">
            <w:pPr>
              <w:pStyle w:val="11"/>
            </w:pPr>
            <w:r>
              <w:t>59.63</w:t>
            </w:r>
          </w:p>
        </w:tc>
        <w:tc>
          <w:tcPr>
            <w:tcW w:w="2551" w:type="dxa"/>
            <w:vAlign w:val="center"/>
          </w:tcPr>
          <w:p w14:paraId="7DCC59EA">
            <w:pPr>
              <w:pStyle w:val="11"/>
            </w:pPr>
            <w:r>
              <w:t>59.63</w:t>
            </w:r>
          </w:p>
        </w:tc>
        <w:tc>
          <w:tcPr>
            <w:tcW w:w="2551" w:type="dxa"/>
            <w:vAlign w:val="center"/>
          </w:tcPr>
          <w:p w14:paraId="44B0B563">
            <w:pPr>
              <w:pStyle w:val="11"/>
            </w:pPr>
          </w:p>
        </w:tc>
      </w:tr>
      <w:tr w14:paraId="064E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FB12D">
            <w:pPr>
              <w:pStyle w:val="13"/>
            </w:pPr>
            <w:r>
              <w:t>7</w:t>
            </w:r>
          </w:p>
        </w:tc>
        <w:tc>
          <w:tcPr>
            <w:tcW w:w="1191" w:type="dxa"/>
            <w:vAlign w:val="center"/>
          </w:tcPr>
          <w:p w14:paraId="47415DE6">
            <w:pPr>
              <w:pStyle w:val="12"/>
            </w:pPr>
            <w:r>
              <w:t>30110</w:t>
            </w:r>
          </w:p>
        </w:tc>
        <w:tc>
          <w:tcPr>
            <w:tcW w:w="4535" w:type="dxa"/>
            <w:vAlign w:val="center"/>
          </w:tcPr>
          <w:p w14:paraId="2D485D9B">
            <w:pPr>
              <w:pStyle w:val="12"/>
            </w:pPr>
            <w:r>
              <w:t>职工基本医疗保险缴费</w:t>
            </w:r>
          </w:p>
        </w:tc>
        <w:tc>
          <w:tcPr>
            <w:tcW w:w="2551" w:type="dxa"/>
            <w:vAlign w:val="center"/>
          </w:tcPr>
          <w:p w14:paraId="42845282">
            <w:pPr>
              <w:pStyle w:val="11"/>
            </w:pPr>
            <w:r>
              <w:t>27.07</w:t>
            </w:r>
          </w:p>
        </w:tc>
        <w:tc>
          <w:tcPr>
            <w:tcW w:w="2551" w:type="dxa"/>
            <w:vAlign w:val="center"/>
          </w:tcPr>
          <w:p w14:paraId="2CD38271">
            <w:pPr>
              <w:pStyle w:val="11"/>
            </w:pPr>
            <w:r>
              <w:t>27.07</w:t>
            </w:r>
          </w:p>
        </w:tc>
        <w:tc>
          <w:tcPr>
            <w:tcW w:w="2551" w:type="dxa"/>
            <w:vAlign w:val="center"/>
          </w:tcPr>
          <w:p w14:paraId="1D18B24C">
            <w:pPr>
              <w:pStyle w:val="11"/>
            </w:pPr>
          </w:p>
        </w:tc>
      </w:tr>
      <w:tr w14:paraId="786C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B793">
            <w:pPr>
              <w:pStyle w:val="13"/>
            </w:pPr>
            <w:r>
              <w:t>8</w:t>
            </w:r>
          </w:p>
        </w:tc>
        <w:tc>
          <w:tcPr>
            <w:tcW w:w="1191" w:type="dxa"/>
            <w:vAlign w:val="center"/>
          </w:tcPr>
          <w:p w14:paraId="289457B0">
            <w:pPr>
              <w:pStyle w:val="12"/>
            </w:pPr>
            <w:r>
              <w:t>30112</w:t>
            </w:r>
          </w:p>
        </w:tc>
        <w:tc>
          <w:tcPr>
            <w:tcW w:w="4535" w:type="dxa"/>
            <w:vAlign w:val="center"/>
          </w:tcPr>
          <w:p w14:paraId="1DF3E0AB">
            <w:pPr>
              <w:pStyle w:val="12"/>
            </w:pPr>
            <w:r>
              <w:t>其他社会保障缴费</w:t>
            </w:r>
          </w:p>
        </w:tc>
        <w:tc>
          <w:tcPr>
            <w:tcW w:w="2551" w:type="dxa"/>
            <w:vAlign w:val="center"/>
          </w:tcPr>
          <w:p w14:paraId="422119A3">
            <w:pPr>
              <w:pStyle w:val="11"/>
            </w:pPr>
            <w:r>
              <w:t>1.86</w:t>
            </w:r>
          </w:p>
        </w:tc>
        <w:tc>
          <w:tcPr>
            <w:tcW w:w="2551" w:type="dxa"/>
            <w:vAlign w:val="center"/>
          </w:tcPr>
          <w:p w14:paraId="0BE4BDA8">
            <w:pPr>
              <w:pStyle w:val="11"/>
            </w:pPr>
            <w:r>
              <w:t>1.86</w:t>
            </w:r>
          </w:p>
        </w:tc>
        <w:tc>
          <w:tcPr>
            <w:tcW w:w="2551" w:type="dxa"/>
            <w:vAlign w:val="center"/>
          </w:tcPr>
          <w:p w14:paraId="78F67ED2">
            <w:pPr>
              <w:pStyle w:val="11"/>
            </w:pPr>
          </w:p>
        </w:tc>
      </w:tr>
      <w:tr w14:paraId="237A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EA400">
            <w:pPr>
              <w:pStyle w:val="13"/>
            </w:pPr>
            <w:r>
              <w:t>9</w:t>
            </w:r>
          </w:p>
        </w:tc>
        <w:tc>
          <w:tcPr>
            <w:tcW w:w="1191" w:type="dxa"/>
            <w:vAlign w:val="center"/>
          </w:tcPr>
          <w:p w14:paraId="05A63F34">
            <w:pPr>
              <w:pStyle w:val="12"/>
            </w:pPr>
            <w:r>
              <w:t>30113</w:t>
            </w:r>
          </w:p>
        </w:tc>
        <w:tc>
          <w:tcPr>
            <w:tcW w:w="4535" w:type="dxa"/>
            <w:vAlign w:val="center"/>
          </w:tcPr>
          <w:p w14:paraId="0FF68FB2">
            <w:pPr>
              <w:pStyle w:val="12"/>
            </w:pPr>
            <w:r>
              <w:t>住房公积金</w:t>
            </w:r>
          </w:p>
        </w:tc>
        <w:tc>
          <w:tcPr>
            <w:tcW w:w="2551" w:type="dxa"/>
            <w:vAlign w:val="center"/>
          </w:tcPr>
          <w:p w14:paraId="461959DF">
            <w:pPr>
              <w:pStyle w:val="11"/>
            </w:pPr>
            <w:r>
              <w:t>44.30</w:t>
            </w:r>
          </w:p>
        </w:tc>
        <w:tc>
          <w:tcPr>
            <w:tcW w:w="2551" w:type="dxa"/>
            <w:vAlign w:val="center"/>
          </w:tcPr>
          <w:p w14:paraId="5D003DA8">
            <w:pPr>
              <w:pStyle w:val="11"/>
            </w:pPr>
            <w:r>
              <w:t>44.30</w:t>
            </w:r>
          </w:p>
        </w:tc>
        <w:tc>
          <w:tcPr>
            <w:tcW w:w="2551" w:type="dxa"/>
            <w:vAlign w:val="center"/>
          </w:tcPr>
          <w:p w14:paraId="7595D867">
            <w:pPr>
              <w:pStyle w:val="11"/>
            </w:pPr>
          </w:p>
        </w:tc>
      </w:tr>
      <w:tr w14:paraId="059E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98264">
            <w:pPr>
              <w:pStyle w:val="13"/>
            </w:pPr>
            <w:r>
              <w:t>10</w:t>
            </w:r>
          </w:p>
        </w:tc>
        <w:tc>
          <w:tcPr>
            <w:tcW w:w="1191" w:type="dxa"/>
            <w:vAlign w:val="center"/>
          </w:tcPr>
          <w:p w14:paraId="01C60E29">
            <w:pPr>
              <w:pStyle w:val="12"/>
            </w:pPr>
            <w:r>
              <w:t>303</w:t>
            </w:r>
          </w:p>
        </w:tc>
        <w:tc>
          <w:tcPr>
            <w:tcW w:w="4535" w:type="dxa"/>
            <w:vAlign w:val="center"/>
          </w:tcPr>
          <w:p w14:paraId="4F6D5E80">
            <w:pPr>
              <w:pStyle w:val="12"/>
            </w:pPr>
            <w:r>
              <w:t>对个人和家庭的补助</w:t>
            </w:r>
          </w:p>
        </w:tc>
        <w:tc>
          <w:tcPr>
            <w:tcW w:w="2551" w:type="dxa"/>
            <w:vAlign w:val="center"/>
          </w:tcPr>
          <w:p w14:paraId="550ACE09">
            <w:pPr>
              <w:pStyle w:val="11"/>
            </w:pPr>
            <w:r>
              <w:t>21.46</w:t>
            </w:r>
          </w:p>
        </w:tc>
        <w:tc>
          <w:tcPr>
            <w:tcW w:w="2551" w:type="dxa"/>
            <w:vAlign w:val="center"/>
          </w:tcPr>
          <w:p w14:paraId="464BC69B">
            <w:pPr>
              <w:pStyle w:val="11"/>
            </w:pPr>
            <w:r>
              <w:t>21.46</w:t>
            </w:r>
          </w:p>
        </w:tc>
        <w:tc>
          <w:tcPr>
            <w:tcW w:w="2551" w:type="dxa"/>
            <w:vAlign w:val="center"/>
          </w:tcPr>
          <w:p w14:paraId="5B45BEF7">
            <w:pPr>
              <w:pStyle w:val="11"/>
            </w:pPr>
          </w:p>
        </w:tc>
      </w:tr>
      <w:tr w14:paraId="112F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A0CE">
            <w:pPr>
              <w:pStyle w:val="13"/>
            </w:pPr>
            <w:r>
              <w:t>11</w:t>
            </w:r>
          </w:p>
        </w:tc>
        <w:tc>
          <w:tcPr>
            <w:tcW w:w="1191" w:type="dxa"/>
            <w:vAlign w:val="center"/>
          </w:tcPr>
          <w:p w14:paraId="1E4D8E4F">
            <w:pPr>
              <w:pStyle w:val="12"/>
            </w:pPr>
            <w:r>
              <w:t>30302</w:t>
            </w:r>
          </w:p>
        </w:tc>
        <w:tc>
          <w:tcPr>
            <w:tcW w:w="4535" w:type="dxa"/>
            <w:vAlign w:val="center"/>
          </w:tcPr>
          <w:p w14:paraId="62C06127">
            <w:pPr>
              <w:pStyle w:val="12"/>
            </w:pPr>
            <w:r>
              <w:t>退休费</w:t>
            </w:r>
          </w:p>
        </w:tc>
        <w:tc>
          <w:tcPr>
            <w:tcW w:w="2551" w:type="dxa"/>
            <w:vAlign w:val="center"/>
          </w:tcPr>
          <w:p w14:paraId="559CA9F9">
            <w:pPr>
              <w:pStyle w:val="11"/>
            </w:pPr>
            <w:r>
              <w:t>20.02</w:t>
            </w:r>
          </w:p>
        </w:tc>
        <w:tc>
          <w:tcPr>
            <w:tcW w:w="2551" w:type="dxa"/>
            <w:vAlign w:val="center"/>
          </w:tcPr>
          <w:p w14:paraId="50B8736D">
            <w:pPr>
              <w:pStyle w:val="11"/>
            </w:pPr>
            <w:r>
              <w:t>20.02</w:t>
            </w:r>
          </w:p>
        </w:tc>
        <w:tc>
          <w:tcPr>
            <w:tcW w:w="2551" w:type="dxa"/>
            <w:vAlign w:val="center"/>
          </w:tcPr>
          <w:p w14:paraId="03A90851">
            <w:pPr>
              <w:pStyle w:val="11"/>
            </w:pPr>
          </w:p>
        </w:tc>
      </w:tr>
      <w:tr w14:paraId="2465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89F8C">
            <w:pPr>
              <w:pStyle w:val="13"/>
            </w:pPr>
            <w:r>
              <w:t>12</w:t>
            </w:r>
          </w:p>
        </w:tc>
        <w:tc>
          <w:tcPr>
            <w:tcW w:w="1191" w:type="dxa"/>
            <w:vAlign w:val="center"/>
          </w:tcPr>
          <w:p w14:paraId="098EC4E6">
            <w:pPr>
              <w:pStyle w:val="12"/>
            </w:pPr>
            <w:r>
              <w:t>30305</w:t>
            </w:r>
          </w:p>
        </w:tc>
        <w:tc>
          <w:tcPr>
            <w:tcW w:w="4535" w:type="dxa"/>
            <w:vAlign w:val="center"/>
          </w:tcPr>
          <w:p w14:paraId="66636FAC">
            <w:pPr>
              <w:pStyle w:val="12"/>
            </w:pPr>
            <w:r>
              <w:t>生活补助</w:t>
            </w:r>
          </w:p>
        </w:tc>
        <w:tc>
          <w:tcPr>
            <w:tcW w:w="2551" w:type="dxa"/>
            <w:vAlign w:val="center"/>
          </w:tcPr>
          <w:p w14:paraId="6220C1D3">
            <w:pPr>
              <w:pStyle w:val="11"/>
            </w:pPr>
            <w:r>
              <w:t>1.44</w:t>
            </w:r>
          </w:p>
        </w:tc>
        <w:tc>
          <w:tcPr>
            <w:tcW w:w="2551" w:type="dxa"/>
            <w:vAlign w:val="center"/>
          </w:tcPr>
          <w:p w14:paraId="1965CE3D">
            <w:pPr>
              <w:pStyle w:val="11"/>
            </w:pPr>
            <w:r>
              <w:t>1.44</w:t>
            </w:r>
          </w:p>
        </w:tc>
        <w:tc>
          <w:tcPr>
            <w:tcW w:w="2551" w:type="dxa"/>
            <w:vAlign w:val="center"/>
          </w:tcPr>
          <w:p w14:paraId="6E54B8CA">
            <w:pPr>
              <w:pStyle w:val="11"/>
            </w:pPr>
          </w:p>
        </w:tc>
      </w:tr>
    </w:tbl>
    <w:p w14:paraId="72EBE85F">
      <w:pPr>
        <w:sectPr>
          <w:pgSz w:w="16840" w:h="11900" w:orient="landscape"/>
          <w:pgMar w:top="1361" w:right="1020" w:bottom="1134" w:left="1020" w:header="720" w:footer="720" w:gutter="0"/>
          <w:cols w:space="720" w:num="1"/>
        </w:sectPr>
      </w:pPr>
    </w:p>
    <w:p w14:paraId="3090FE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47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860FC">
            <w:pPr>
              <w:pStyle w:val="9"/>
            </w:pPr>
            <w:r>
              <w:t>360008隆尧县牛家桥中学</w:t>
            </w:r>
          </w:p>
        </w:tc>
        <w:tc>
          <w:tcPr>
            <w:tcW w:w="2551" w:type="dxa"/>
            <w:tcBorders>
              <w:top w:val="single" w:color="FFFFFF" w:sz="6" w:space="0"/>
              <w:left w:val="single" w:color="FFFFFF" w:sz="6" w:space="0"/>
              <w:right w:val="single" w:color="FFFFFF" w:sz="6" w:space="0"/>
            </w:tcBorders>
            <w:vAlign w:val="center"/>
          </w:tcPr>
          <w:p w14:paraId="707AFB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CA4E92">
            <w:pPr>
              <w:pStyle w:val="7"/>
            </w:pPr>
            <w:r>
              <w:t>单位：万元</w:t>
            </w:r>
          </w:p>
        </w:tc>
      </w:tr>
      <w:tr w14:paraId="61FB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42A04">
            <w:pPr>
              <w:pStyle w:val="10"/>
            </w:pPr>
            <w:r>
              <w:t>序号</w:t>
            </w:r>
          </w:p>
        </w:tc>
        <w:tc>
          <w:tcPr>
            <w:tcW w:w="5726" w:type="dxa"/>
            <w:gridSpan w:val="2"/>
            <w:vAlign w:val="center"/>
          </w:tcPr>
          <w:p w14:paraId="6AF1F91E">
            <w:pPr>
              <w:pStyle w:val="10"/>
            </w:pPr>
            <w:r>
              <w:t>功能分类科目</w:t>
            </w:r>
          </w:p>
        </w:tc>
        <w:tc>
          <w:tcPr>
            <w:tcW w:w="2551" w:type="dxa"/>
            <w:vMerge w:val="restart"/>
            <w:vAlign w:val="center"/>
          </w:tcPr>
          <w:p w14:paraId="7BE329DD">
            <w:pPr>
              <w:pStyle w:val="10"/>
            </w:pPr>
            <w:r>
              <w:t>合计</w:t>
            </w:r>
          </w:p>
        </w:tc>
        <w:tc>
          <w:tcPr>
            <w:tcW w:w="2551" w:type="dxa"/>
            <w:vMerge w:val="restart"/>
            <w:vAlign w:val="center"/>
          </w:tcPr>
          <w:p w14:paraId="39FDBF4C">
            <w:pPr>
              <w:pStyle w:val="10"/>
            </w:pPr>
            <w:r>
              <w:t>基本支出</w:t>
            </w:r>
          </w:p>
        </w:tc>
        <w:tc>
          <w:tcPr>
            <w:tcW w:w="2551" w:type="dxa"/>
            <w:vMerge w:val="restart"/>
            <w:vAlign w:val="center"/>
          </w:tcPr>
          <w:p w14:paraId="39B1382A">
            <w:pPr>
              <w:pStyle w:val="10"/>
            </w:pPr>
            <w:r>
              <w:t>项目支出</w:t>
            </w:r>
          </w:p>
        </w:tc>
      </w:tr>
      <w:tr w14:paraId="40D5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DBED67"/>
        </w:tc>
        <w:tc>
          <w:tcPr>
            <w:tcW w:w="1191" w:type="dxa"/>
            <w:vAlign w:val="center"/>
          </w:tcPr>
          <w:p w14:paraId="5AC5AA14">
            <w:pPr>
              <w:pStyle w:val="10"/>
            </w:pPr>
            <w:r>
              <w:t>科目编码</w:t>
            </w:r>
          </w:p>
        </w:tc>
        <w:tc>
          <w:tcPr>
            <w:tcW w:w="4535" w:type="dxa"/>
            <w:vAlign w:val="center"/>
          </w:tcPr>
          <w:p w14:paraId="0AA687F8">
            <w:pPr>
              <w:pStyle w:val="10"/>
            </w:pPr>
            <w:r>
              <w:t>科目名称</w:t>
            </w:r>
          </w:p>
        </w:tc>
        <w:tc>
          <w:tcPr>
            <w:tcW w:w="2551" w:type="dxa"/>
            <w:vMerge w:val="continue"/>
          </w:tcPr>
          <w:p w14:paraId="31BF70D5"/>
        </w:tc>
        <w:tc>
          <w:tcPr>
            <w:tcW w:w="2551" w:type="dxa"/>
            <w:vMerge w:val="continue"/>
          </w:tcPr>
          <w:p w14:paraId="04489F25"/>
        </w:tc>
        <w:tc>
          <w:tcPr>
            <w:tcW w:w="2551" w:type="dxa"/>
            <w:vMerge w:val="continue"/>
          </w:tcPr>
          <w:p w14:paraId="4BA9102F"/>
        </w:tc>
      </w:tr>
      <w:tr w14:paraId="3AB7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73661">
            <w:pPr>
              <w:pStyle w:val="10"/>
            </w:pPr>
            <w:r>
              <w:t>栏次</w:t>
            </w:r>
          </w:p>
        </w:tc>
        <w:tc>
          <w:tcPr>
            <w:tcW w:w="1191" w:type="dxa"/>
            <w:vAlign w:val="center"/>
          </w:tcPr>
          <w:p w14:paraId="6A23085A">
            <w:pPr>
              <w:pStyle w:val="10"/>
            </w:pPr>
            <w:r>
              <w:t>1</w:t>
            </w:r>
          </w:p>
        </w:tc>
        <w:tc>
          <w:tcPr>
            <w:tcW w:w="4535" w:type="dxa"/>
            <w:vAlign w:val="center"/>
          </w:tcPr>
          <w:p w14:paraId="5B24DCDA">
            <w:pPr>
              <w:pStyle w:val="10"/>
            </w:pPr>
            <w:r>
              <w:t>2</w:t>
            </w:r>
          </w:p>
        </w:tc>
        <w:tc>
          <w:tcPr>
            <w:tcW w:w="2551" w:type="dxa"/>
            <w:vAlign w:val="center"/>
          </w:tcPr>
          <w:p w14:paraId="1DDEEB7C">
            <w:pPr>
              <w:pStyle w:val="10"/>
            </w:pPr>
            <w:r>
              <w:t>3</w:t>
            </w:r>
          </w:p>
        </w:tc>
        <w:tc>
          <w:tcPr>
            <w:tcW w:w="2551" w:type="dxa"/>
            <w:vAlign w:val="center"/>
          </w:tcPr>
          <w:p w14:paraId="5990CCD0">
            <w:pPr>
              <w:pStyle w:val="10"/>
            </w:pPr>
            <w:r>
              <w:t>4</w:t>
            </w:r>
          </w:p>
        </w:tc>
        <w:tc>
          <w:tcPr>
            <w:tcW w:w="2551" w:type="dxa"/>
            <w:vAlign w:val="center"/>
          </w:tcPr>
          <w:p w14:paraId="6B2CEAF5">
            <w:pPr>
              <w:pStyle w:val="10"/>
            </w:pPr>
            <w:r>
              <w:t>5</w:t>
            </w:r>
          </w:p>
        </w:tc>
      </w:tr>
      <w:tr w14:paraId="2BBE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3138D">
            <w:pPr>
              <w:pStyle w:val="13"/>
            </w:pPr>
          </w:p>
        </w:tc>
        <w:tc>
          <w:tcPr>
            <w:tcW w:w="1191" w:type="dxa"/>
            <w:vAlign w:val="center"/>
          </w:tcPr>
          <w:p w14:paraId="6C5B51D2">
            <w:pPr>
              <w:pStyle w:val="12"/>
            </w:pPr>
          </w:p>
        </w:tc>
        <w:tc>
          <w:tcPr>
            <w:tcW w:w="4535" w:type="dxa"/>
            <w:vAlign w:val="center"/>
          </w:tcPr>
          <w:p w14:paraId="24CDD532">
            <w:pPr>
              <w:pStyle w:val="12"/>
            </w:pPr>
          </w:p>
        </w:tc>
        <w:tc>
          <w:tcPr>
            <w:tcW w:w="2551" w:type="dxa"/>
            <w:vAlign w:val="center"/>
          </w:tcPr>
          <w:p w14:paraId="4DB81184">
            <w:pPr>
              <w:pStyle w:val="11"/>
            </w:pPr>
          </w:p>
        </w:tc>
        <w:tc>
          <w:tcPr>
            <w:tcW w:w="2551" w:type="dxa"/>
            <w:vAlign w:val="center"/>
          </w:tcPr>
          <w:p w14:paraId="0DCA87C9">
            <w:pPr>
              <w:pStyle w:val="11"/>
            </w:pPr>
          </w:p>
        </w:tc>
        <w:tc>
          <w:tcPr>
            <w:tcW w:w="2551" w:type="dxa"/>
            <w:vAlign w:val="center"/>
          </w:tcPr>
          <w:p w14:paraId="319123E1">
            <w:pPr>
              <w:pStyle w:val="11"/>
            </w:pPr>
          </w:p>
        </w:tc>
      </w:tr>
    </w:tbl>
    <w:p w14:paraId="42C71C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17AC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4A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02859A">
            <w:pPr>
              <w:pStyle w:val="9"/>
            </w:pPr>
            <w:r>
              <w:t>360008隆尧县牛家桥中学</w:t>
            </w:r>
          </w:p>
        </w:tc>
        <w:tc>
          <w:tcPr>
            <w:tcW w:w="2551" w:type="dxa"/>
            <w:tcBorders>
              <w:top w:val="single" w:color="FFFFFF" w:sz="6" w:space="0"/>
              <w:left w:val="single" w:color="FFFFFF" w:sz="6" w:space="0"/>
              <w:right w:val="single" w:color="FFFFFF" w:sz="6" w:space="0"/>
            </w:tcBorders>
            <w:vAlign w:val="center"/>
          </w:tcPr>
          <w:p w14:paraId="746B775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7A7CF1">
            <w:pPr>
              <w:pStyle w:val="7"/>
            </w:pPr>
            <w:r>
              <w:t>单位：万元</w:t>
            </w:r>
          </w:p>
        </w:tc>
      </w:tr>
      <w:tr w14:paraId="79E5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6DBA61">
            <w:pPr>
              <w:pStyle w:val="10"/>
            </w:pPr>
            <w:r>
              <w:t>序号</w:t>
            </w:r>
          </w:p>
        </w:tc>
        <w:tc>
          <w:tcPr>
            <w:tcW w:w="5726" w:type="dxa"/>
            <w:gridSpan w:val="2"/>
            <w:vAlign w:val="center"/>
          </w:tcPr>
          <w:p w14:paraId="126CA32B">
            <w:pPr>
              <w:pStyle w:val="10"/>
            </w:pPr>
            <w:r>
              <w:t>功能分类科目</w:t>
            </w:r>
          </w:p>
        </w:tc>
        <w:tc>
          <w:tcPr>
            <w:tcW w:w="2551" w:type="dxa"/>
            <w:vMerge w:val="restart"/>
            <w:vAlign w:val="center"/>
          </w:tcPr>
          <w:p w14:paraId="4A60A143">
            <w:pPr>
              <w:pStyle w:val="10"/>
            </w:pPr>
            <w:r>
              <w:t>合计</w:t>
            </w:r>
          </w:p>
        </w:tc>
        <w:tc>
          <w:tcPr>
            <w:tcW w:w="2551" w:type="dxa"/>
            <w:vMerge w:val="restart"/>
            <w:vAlign w:val="center"/>
          </w:tcPr>
          <w:p w14:paraId="6B691388">
            <w:pPr>
              <w:pStyle w:val="10"/>
            </w:pPr>
            <w:r>
              <w:t>基本支出</w:t>
            </w:r>
          </w:p>
        </w:tc>
        <w:tc>
          <w:tcPr>
            <w:tcW w:w="2551" w:type="dxa"/>
            <w:vMerge w:val="restart"/>
            <w:vAlign w:val="center"/>
          </w:tcPr>
          <w:p w14:paraId="0C2A4BE2">
            <w:pPr>
              <w:pStyle w:val="10"/>
            </w:pPr>
            <w:r>
              <w:t>项目支出</w:t>
            </w:r>
          </w:p>
        </w:tc>
      </w:tr>
      <w:tr w14:paraId="2E36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5977F"/>
        </w:tc>
        <w:tc>
          <w:tcPr>
            <w:tcW w:w="1191" w:type="dxa"/>
            <w:vAlign w:val="center"/>
          </w:tcPr>
          <w:p w14:paraId="090F9D32">
            <w:pPr>
              <w:pStyle w:val="10"/>
            </w:pPr>
            <w:r>
              <w:t>科目编码</w:t>
            </w:r>
          </w:p>
        </w:tc>
        <w:tc>
          <w:tcPr>
            <w:tcW w:w="4535" w:type="dxa"/>
            <w:vAlign w:val="center"/>
          </w:tcPr>
          <w:p w14:paraId="5AEBF6A9">
            <w:pPr>
              <w:pStyle w:val="10"/>
            </w:pPr>
            <w:r>
              <w:t>科目名称</w:t>
            </w:r>
          </w:p>
        </w:tc>
        <w:tc>
          <w:tcPr>
            <w:tcW w:w="2551" w:type="dxa"/>
            <w:vMerge w:val="continue"/>
          </w:tcPr>
          <w:p w14:paraId="6D32B622"/>
        </w:tc>
        <w:tc>
          <w:tcPr>
            <w:tcW w:w="2551" w:type="dxa"/>
            <w:vMerge w:val="continue"/>
          </w:tcPr>
          <w:p w14:paraId="5C09ED57"/>
        </w:tc>
        <w:tc>
          <w:tcPr>
            <w:tcW w:w="2551" w:type="dxa"/>
            <w:vMerge w:val="continue"/>
          </w:tcPr>
          <w:p w14:paraId="4088EA6E"/>
        </w:tc>
      </w:tr>
      <w:tr w14:paraId="075E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8ADE03">
            <w:pPr>
              <w:pStyle w:val="10"/>
            </w:pPr>
            <w:r>
              <w:t>栏次</w:t>
            </w:r>
          </w:p>
        </w:tc>
        <w:tc>
          <w:tcPr>
            <w:tcW w:w="1191" w:type="dxa"/>
            <w:vAlign w:val="center"/>
          </w:tcPr>
          <w:p w14:paraId="467B4A3F">
            <w:pPr>
              <w:pStyle w:val="10"/>
            </w:pPr>
            <w:r>
              <w:t>1</w:t>
            </w:r>
          </w:p>
        </w:tc>
        <w:tc>
          <w:tcPr>
            <w:tcW w:w="4535" w:type="dxa"/>
            <w:vAlign w:val="center"/>
          </w:tcPr>
          <w:p w14:paraId="7E40A491">
            <w:pPr>
              <w:pStyle w:val="10"/>
            </w:pPr>
            <w:r>
              <w:t>2</w:t>
            </w:r>
          </w:p>
        </w:tc>
        <w:tc>
          <w:tcPr>
            <w:tcW w:w="2551" w:type="dxa"/>
            <w:vAlign w:val="center"/>
          </w:tcPr>
          <w:p w14:paraId="19729504">
            <w:pPr>
              <w:pStyle w:val="10"/>
            </w:pPr>
            <w:r>
              <w:t>3</w:t>
            </w:r>
          </w:p>
        </w:tc>
        <w:tc>
          <w:tcPr>
            <w:tcW w:w="2551" w:type="dxa"/>
            <w:vAlign w:val="center"/>
          </w:tcPr>
          <w:p w14:paraId="55F22372">
            <w:pPr>
              <w:pStyle w:val="10"/>
            </w:pPr>
            <w:r>
              <w:t>4</w:t>
            </w:r>
          </w:p>
        </w:tc>
        <w:tc>
          <w:tcPr>
            <w:tcW w:w="2551" w:type="dxa"/>
            <w:vAlign w:val="center"/>
          </w:tcPr>
          <w:p w14:paraId="1A85533E">
            <w:pPr>
              <w:pStyle w:val="10"/>
            </w:pPr>
            <w:r>
              <w:t>5</w:t>
            </w:r>
          </w:p>
        </w:tc>
      </w:tr>
      <w:tr w14:paraId="5608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C0C1B">
            <w:pPr>
              <w:pStyle w:val="13"/>
            </w:pPr>
          </w:p>
        </w:tc>
        <w:tc>
          <w:tcPr>
            <w:tcW w:w="1191" w:type="dxa"/>
            <w:vAlign w:val="center"/>
          </w:tcPr>
          <w:p w14:paraId="5C7AE41A">
            <w:pPr>
              <w:pStyle w:val="12"/>
            </w:pPr>
          </w:p>
        </w:tc>
        <w:tc>
          <w:tcPr>
            <w:tcW w:w="4535" w:type="dxa"/>
            <w:vAlign w:val="center"/>
          </w:tcPr>
          <w:p w14:paraId="459735F9">
            <w:pPr>
              <w:pStyle w:val="12"/>
            </w:pPr>
          </w:p>
        </w:tc>
        <w:tc>
          <w:tcPr>
            <w:tcW w:w="2551" w:type="dxa"/>
            <w:vAlign w:val="center"/>
          </w:tcPr>
          <w:p w14:paraId="2FC960AD">
            <w:pPr>
              <w:pStyle w:val="11"/>
            </w:pPr>
          </w:p>
        </w:tc>
        <w:tc>
          <w:tcPr>
            <w:tcW w:w="2551" w:type="dxa"/>
            <w:vAlign w:val="center"/>
          </w:tcPr>
          <w:p w14:paraId="10C87337">
            <w:pPr>
              <w:pStyle w:val="11"/>
            </w:pPr>
          </w:p>
        </w:tc>
        <w:tc>
          <w:tcPr>
            <w:tcW w:w="2551" w:type="dxa"/>
            <w:vAlign w:val="center"/>
          </w:tcPr>
          <w:p w14:paraId="49B435A3">
            <w:pPr>
              <w:pStyle w:val="11"/>
            </w:pPr>
          </w:p>
        </w:tc>
      </w:tr>
    </w:tbl>
    <w:p w14:paraId="35D1A8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3DED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67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E0DDE8A">
            <w:pPr>
              <w:pStyle w:val="9"/>
            </w:pPr>
            <w:r>
              <w:t>360008隆尧县牛家桥中学</w:t>
            </w:r>
          </w:p>
        </w:tc>
        <w:tc>
          <w:tcPr>
            <w:tcW w:w="2381" w:type="dxa"/>
            <w:tcBorders>
              <w:top w:val="single" w:color="FFFFFF" w:sz="6" w:space="0"/>
              <w:left w:val="single" w:color="FFFFFF" w:sz="6" w:space="0"/>
              <w:right w:val="single" w:color="FFFFFF" w:sz="6" w:space="0"/>
            </w:tcBorders>
            <w:vAlign w:val="center"/>
          </w:tcPr>
          <w:p w14:paraId="2010738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5A9616E">
            <w:pPr>
              <w:pStyle w:val="7"/>
            </w:pPr>
            <w:r>
              <w:t>单位：万元</w:t>
            </w:r>
          </w:p>
        </w:tc>
      </w:tr>
      <w:tr w14:paraId="7990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BC3E6">
            <w:pPr>
              <w:pStyle w:val="10"/>
            </w:pPr>
            <w:r>
              <w:t>序号</w:t>
            </w:r>
          </w:p>
        </w:tc>
        <w:tc>
          <w:tcPr>
            <w:tcW w:w="3798" w:type="dxa"/>
            <w:vMerge w:val="restart"/>
            <w:vAlign w:val="center"/>
          </w:tcPr>
          <w:p w14:paraId="619B6ADA">
            <w:pPr>
              <w:pStyle w:val="10"/>
            </w:pPr>
            <w:r>
              <w:t>项  目</w:t>
            </w:r>
          </w:p>
        </w:tc>
        <w:tc>
          <w:tcPr>
            <w:tcW w:w="9524" w:type="dxa"/>
            <w:gridSpan w:val="4"/>
            <w:vAlign w:val="center"/>
          </w:tcPr>
          <w:p w14:paraId="2461C047">
            <w:pPr>
              <w:pStyle w:val="10"/>
            </w:pPr>
            <w:r>
              <w:t>资 金 性 质</w:t>
            </w:r>
          </w:p>
        </w:tc>
      </w:tr>
      <w:tr w14:paraId="6E0D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25A5C9"/>
        </w:tc>
        <w:tc>
          <w:tcPr>
            <w:tcW w:w="3798" w:type="dxa"/>
            <w:vMerge w:val="continue"/>
          </w:tcPr>
          <w:p w14:paraId="5E20D84A"/>
        </w:tc>
        <w:tc>
          <w:tcPr>
            <w:tcW w:w="2381" w:type="dxa"/>
            <w:vAlign w:val="center"/>
          </w:tcPr>
          <w:p w14:paraId="48EF9184">
            <w:pPr>
              <w:pStyle w:val="10"/>
            </w:pPr>
            <w:r>
              <w:t>合计</w:t>
            </w:r>
          </w:p>
        </w:tc>
        <w:tc>
          <w:tcPr>
            <w:tcW w:w="2381" w:type="dxa"/>
            <w:vAlign w:val="center"/>
          </w:tcPr>
          <w:p w14:paraId="2AA5F93E">
            <w:pPr>
              <w:pStyle w:val="10"/>
            </w:pPr>
            <w:r>
              <w:t>一般公共预算              财政拨款</w:t>
            </w:r>
          </w:p>
        </w:tc>
        <w:tc>
          <w:tcPr>
            <w:tcW w:w="2381" w:type="dxa"/>
            <w:vAlign w:val="center"/>
          </w:tcPr>
          <w:p w14:paraId="536692FF">
            <w:pPr>
              <w:pStyle w:val="10"/>
            </w:pPr>
            <w:r>
              <w:t>政府性基金                  预算拨款</w:t>
            </w:r>
          </w:p>
        </w:tc>
        <w:tc>
          <w:tcPr>
            <w:tcW w:w="2381" w:type="dxa"/>
            <w:vAlign w:val="center"/>
          </w:tcPr>
          <w:p w14:paraId="7BF3DD9C">
            <w:pPr>
              <w:pStyle w:val="10"/>
            </w:pPr>
            <w:r>
              <w:t>国有资本经营              预算财政拨款</w:t>
            </w:r>
          </w:p>
        </w:tc>
      </w:tr>
      <w:tr w14:paraId="05E72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4254B7">
            <w:pPr>
              <w:pStyle w:val="10"/>
            </w:pPr>
            <w:r>
              <w:t>栏次</w:t>
            </w:r>
          </w:p>
        </w:tc>
        <w:tc>
          <w:tcPr>
            <w:tcW w:w="3798" w:type="dxa"/>
            <w:vAlign w:val="center"/>
          </w:tcPr>
          <w:p w14:paraId="2A4DD101">
            <w:pPr>
              <w:pStyle w:val="10"/>
            </w:pPr>
            <w:r>
              <w:t>1</w:t>
            </w:r>
          </w:p>
        </w:tc>
        <w:tc>
          <w:tcPr>
            <w:tcW w:w="2381" w:type="dxa"/>
            <w:vAlign w:val="center"/>
          </w:tcPr>
          <w:p w14:paraId="55C0A955">
            <w:pPr>
              <w:pStyle w:val="10"/>
            </w:pPr>
            <w:r>
              <w:t>2</w:t>
            </w:r>
          </w:p>
        </w:tc>
        <w:tc>
          <w:tcPr>
            <w:tcW w:w="2381" w:type="dxa"/>
            <w:vAlign w:val="center"/>
          </w:tcPr>
          <w:p w14:paraId="536BCBED">
            <w:pPr>
              <w:pStyle w:val="10"/>
            </w:pPr>
            <w:r>
              <w:t>3</w:t>
            </w:r>
          </w:p>
        </w:tc>
        <w:tc>
          <w:tcPr>
            <w:tcW w:w="2381" w:type="dxa"/>
            <w:vAlign w:val="center"/>
          </w:tcPr>
          <w:p w14:paraId="56F013C1">
            <w:pPr>
              <w:pStyle w:val="10"/>
            </w:pPr>
            <w:r>
              <w:t>4</w:t>
            </w:r>
          </w:p>
        </w:tc>
        <w:tc>
          <w:tcPr>
            <w:tcW w:w="2381" w:type="dxa"/>
            <w:vAlign w:val="center"/>
          </w:tcPr>
          <w:p w14:paraId="789813DF">
            <w:pPr>
              <w:pStyle w:val="10"/>
            </w:pPr>
            <w:r>
              <w:t>5</w:t>
            </w:r>
          </w:p>
        </w:tc>
      </w:tr>
      <w:tr w14:paraId="51D2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A76078">
            <w:pPr>
              <w:pStyle w:val="13"/>
            </w:pPr>
          </w:p>
        </w:tc>
        <w:tc>
          <w:tcPr>
            <w:tcW w:w="3798" w:type="dxa"/>
            <w:vAlign w:val="center"/>
          </w:tcPr>
          <w:p w14:paraId="4401C6AE">
            <w:pPr>
              <w:pStyle w:val="12"/>
            </w:pPr>
          </w:p>
        </w:tc>
        <w:tc>
          <w:tcPr>
            <w:tcW w:w="2381" w:type="dxa"/>
            <w:vAlign w:val="center"/>
          </w:tcPr>
          <w:p w14:paraId="6D5A49B6">
            <w:pPr>
              <w:pStyle w:val="11"/>
            </w:pPr>
          </w:p>
        </w:tc>
        <w:tc>
          <w:tcPr>
            <w:tcW w:w="2381" w:type="dxa"/>
            <w:vAlign w:val="center"/>
          </w:tcPr>
          <w:p w14:paraId="36B6E314">
            <w:pPr>
              <w:pStyle w:val="11"/>
            </w:pPr>
          </w:p>
        </w:tc>
        <w:tc>
          <w:tcPr>
            <w:tcW w:w="2381" w:type="dxa"/>
            <w:vAlign w:val="center"/>
          </w:tcPr>
          <w:p w14:paraId="600131A6">
            <w:pPr>
              <w:pStyle w:val="11"/>
            </w:pPr>
          </w:p>
        </w:tc>
        <w:tc>
          <w:tcPr>
            <w:tcW w:w="2381" w:type="dxa"/>
            <w:vAlign w:val="center"/>
          </w:tcPr>
          <w:p w14:paraId="48A8B0BB">
            <w:pPr>
              <w:pStyle w:val="11"/>
            </w:pPr>
          </w:p>
        </w:tc>
      </w:tr>
    </w:tbl>
    <w:p w14:paraId="43474F3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31517D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隆尧县牛家桥中学2026年单位预算信息公开情况说明</w:t>
      </w:r>
    </w:p>
    <w:p w14:paraId="2C45A98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地方预决算公开操作规程》和《关于进一步推进预算公开工作的实施意见》规定，现将隆尧县牛家桥中学2026年单位预算公开如下：</w:t>
      </w:r>
    </w:p>
    <w:p w14:paraId="1F0BB170">
      <w:pPr>
        <w:spacing w:before="10" w:after="10" w:line="240" w:lineRule="auto"/>
        <w:ind w:firstLine="640"/>
        <w:jc w:val="left"/>
        <w:outlineLvl w:val="5"/>
      </w:pPr>
      <w:r>
        <w:rPr>
          <w:rFonts w:ascii="黑体" w:hAnsi="黑体" w:eastAsia="黑体" w:cs="黑体"/>
          <w:color w:val="000000"/>
          <w:sz w:val="32"/>
        </w:rPr>
        <w:t>一、单位职责及机构设置情况</w:t>
      </w:r>
    </w:p>
    <w:p w14:paraId="7834EF9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FB4381">
      <w:pPr>
        <w:pStyle w:val="17"/>
      </w:pPr>
      <w:r>
        <w:rPr>
          <w:rFonts w:hint="eastAsia"/>
        </w:rPr>
        <w:t>贯彻落实基础教育的方针、政策，开展初中阶段教育教学工作，促进学生德、智、体、美、劳全面发展：负责学生安全教育和管理，确保学生身心健康：加强教师队伍建设和管理，为教育教学工作提供保障。隆尧县牛家桥中学事业编制42名，其中，校长1名（正股级），副校长2名（副股级）：经费形式为财政性资金基本保证。</w:t>
      </w:r>
    </w:p>
    <w:p w14:paraId="1B38C2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F0B74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13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E831C7">
            <w:pPr>
              <w:pStyle w:val="10"/>
            </w:pPr>
            <w:r>
              <w:t>单位名称</w:t>
            </w:r>
          </w:p>
        </w:tc>
        <w:tc>
          <w:tcPr>
            <w:tcW w:w="1843" w:type="dxa"/>
            <w:vAlign w:val="center"/>
          </w:tcPr>
          <w:p w14:paraId="104AB9D5">
            <w:pPr>
              <w:pStyle w:val="10"/>
            </w:pPr>
            <w:r>
              <w:t>单位性质</w:t>
            </w:r>
          </w:p>
        </w:tc>
        <w:tc>
          <w:tcPr>
            <w:tcW w:w="2126" w:type="dxa"/>
            <w:vAlign w:val="center"/>
          </w:tcPr>
          <w:p w14:paraId="57415695">
            <w:pPr>
              <w:pStyle w:val="10"/>
            </w:pPr>
            <w:r>
              <w:t>单位规格</w:t>
            </w:r>
          </w:p>
        </w:tc>
        <w:tc>
          <w:tcPr>
            <w:tcW w:w="3827" w:type="dxa"/>
            <w:vAlign w:val="center"/>
          </w:tcPr>
          <w:p w14:paraId="5B4675EC">
            <w:pPr>
              <w:pStyle w:val="10"/>
            </w:pPr>
            <w:r>
              <w:t>经费保障形式</w:t>
            </w:r>
          </w:p>
        </w:tc>
      </w:tr>
      <w:tr w14:paraId="0B6F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868983">
            <w:pPr>
              <w:pStyle w:val="12"/>
            </w:pPr>
            <w:r>
              <w:t>隆尧县牛家桥中学</w:t>
            </w:r>
          </w:p>
        </w:tc>
        <w:tc>
          <w:tcPr>
            <w:tcW w:w="1843" w:type="dxa"/>
            <w:vAlign w:val="center"/>
          </w:tcPr>
          <w:p w14:paraId="72777CBD">
            <w:pPr>
              <w:pStyle w:val="13"/>
            </w:pPr>
            <w:r>
              <w:t>事业</w:t>
            </w:r>
          </w:p>
        </w:tc>
        <w:tc>
          <w:tcPr>
            <w:tcW w:w="2126" w:type="dxa"/>
            <w:vAlign w:val="center"/>
          </w:tcPr>
          <w:p w14:paraId="624448BA">
            <w:pPr>
              <w:pStyle w:val="13"/>
            </w:pPr>
            <w:r>
              <w:t>股级</w:t>
            </w:r>
          </w:p>
        </w:tc>
        <w:tc>
          <w:tcPr>
            <w:tcW w:w="3827" w:type="dxa"/>
            <w:vAlign w:val="center"/>
          </w:tcPr>
          <w:p w14:paraId="3D89FB33">
            <w:pPr>
              <w:pStyle w:val="13"/>
            </w:pPr>
            <w:r>
              <w:t>财政性资金基本保证</w:t>
            </w:r>
          </w:p>
        </w:tc>
      </w:tr>
    </w:tbl>
    <w:p w14:paraId="7080E96D">
      <w:pPr>
        <w:spacing w:before="10" w:after="10" w:line="240" w:lineRule="auto"/>
        <w:ind w:firstLine="640"/>
        <w:jc w:val="left"/>
        <w:outlineLvl w:val="5"/>
      </w:pPr>
      <w:r>
        <w:rPr>
          <w:rFonts w:ascii="黑体" w:hAnsi="黑体" w:eastAsia="黑体" w:cs="黑体"/>
          <w:color w:val="000000"/>
          <w:sz w:val="32"/>
        </w:rPr>
        <w:t>二、单位预算安排的总体情况</w:t>
      </w:r>
    </w:p>
    <w:p w14:paraId="1A8428D4">
      <w:pPr>
        <w:pStyle w:val="18"/>
      </w:pPr>
      <w:r>
        <w:t>按照预算管理有关规定，目前我单位预算的编制实行综合预算管理，即全部收入和支出都反映的预算中。隆尧县牛家桥中学的收支包含在单位预算中。</w:t>
      </w:r>
    </w:p>
    <w:p w14:paraId="531F1412">
      <w:pPr>
        <w:pStyle w:val="18"/>
      </w:pPr>
      <w:r>
        <w:t>1、收入说明</w:t>
      </w:r>
    </w:p>
    <w:p w14:paraId="558F8BF7">
      <w:pPr>
        <w:pStyle w:val="18"/>
      </w:pPr>
      <w:r>
        <w:t>反映本单位当年全部收入。2026年预算收入714.802434万元，其中：一般公共预算收入714.802434万元，基金预算收入0元，财政专户管理资金收入0万元，其他来源收入0元，上年结转0万元。</w:t>
      </w:r>
    </w:p>
    <w:p w14:paraId="005DABD7">
      <w:pPr>
        <w:pStyle w:val="18"/>
      </w:pPr>
      <w:r>
        <w:t>2、支出说明</w:t>
      </w:r>
    </w:p>
    <w:p w14:paraId="1F6EBFE2">
      <w:pPr>
        <w:pStyle w:val="18"/>
      </w:pPr>
      <w:r>
        <w:t>收支预算总表支出栏、基本支出表、项目支出表按经济分类和支出功能分类科目编制，反映隆尧县牛家桥中学年度单位预算中支出预算的总体情况。2026年单位支出预算为714.802434万元，其中基本支出602.274434万元，项目支出112.528万元</w:t>
      </w:r>
    </w:p>
    <w:p w14:paraId="7ED68079">
      <w:pPr>
        <w:pStyle w:val="18"/>
      </w:pPr>
      <w:r>
        <w:t>3、比上年增减情况</w:t>
      </w:r>
    </w:p>
    <w:p w14:paraId="40E82B0F">
      <w:pPr>
        <w:pStyle w:val="18"/>
      </w:pPr>
      <w:r>
        <w:t>2026年预算收支安排714.802434万元，较2025年预算减少24.389017万元，其中：基本支出减少85.187017万元，主要减少人员经费支出；项目支出增加60.798万元。</w:t>
      </w:r>
    </w:p>
    <w:p w14:paraId="63EC155D">
      <w:pPr>
        <w:spacing w:before="10" w:after="10" w:line="240" w:lineRule="auto"/>
        <w:ind w:firstLine="640"/>
        <w:jc w:val="left"/>
        <w:outlineLvl w:val="5"/>
      </w:pPr>
      <w:r>
        <w:rPr>
          <w:rFonts w:ascii="黑体" w:hAnsi="黑体" w:eastAsia="黑体" w:cs="黑体"/>
          <w:color w:val="000000"/>
          <w:sz w:val="32"/>
        </w:rPr>
        <w:t>三、机关运行经费安排情况</w:t>
      </w:r>
    </w:p>
    <w:p w14:paraId="30F042D7">
      <w:pPr>
        <w:pStyle w:val="19"/>
      </w:pPr>
      <w:r>
        <w:t>2026年，我单位按学生安排公用经费，无机关运行经费。</w:t>
      </w:r>
    </w:p>
    <w:p w14:paraId="5EDD839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2A880B">
      <w:pPr>
        <w:pStyle w:val="20"/>
      </w:pPr>
      <w:r>
        <w:t>2026年，我单位财政拨款“三公”经费预算安排0万元，其中因公出国（境）费0万元；公务用车购置及运维费0万元（其中：公务用车购置费为0万元，公务用车运行维护费0万元</w:t>
      </w:r>
      <w:r>
        <w:rPr>
          <w:rFonts w:hint="eastAsia"/>
          <w:lang w:eastAsia="zh-CN"/>
        </w:rPr>
        <w:t>）</w:t>
      </w:r>
      <w:r>
        <w:t>；公务接待费0万元。与2025年相比无变化。</w:t>
      </w:r>
    </w:p>
    <w:p w14:paraId="5C8DC15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77977C">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1、冀财教[2025]121号/中央/2026年义教补助经费/牛家桥中学公用经费绩效目标表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20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8E221">
            <w:pPr>
              <w:pStyle w:val="11"/>
            </w:pPr>
            <w:r>
              <w:t>单位：万元</w:t>
            </w:r>
          </w:p>
        </w:tc>
      </w:tr>
      <w:tr w14:paraId="17F51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D4813">
            <w:pPr>
              <w:pStyle w:val="10"/>
            </w:pPr>
            <w:r>
              <w:t>项目编码</w:t>
            </w:r>
          </w:p>
        </w:tc>
        <w:tc>
          <w:tcPr>
            <w:tcW w:w="5103" w:type="dxa"/>
            <w:gridSpan w:val="2"/>
            <w:vAlign w:val="center"/>
          </w:tcPr>
          <w:p w14:paraId="0DAE861C">
            <w:pPr>
              <w:pStyle w:val="12"/>
            </w:pPr>
            <w:r>
              <w:t>13052526P000004102491</w:t>
            </w:r>
          </w:p>
        </w:tc>
        <w:tc>
          <w:tcPr>
            <w:tcW w:w="2835" w:type="dxa"/>
            <w:vAlign w:val="center"/>
          </w:tcPr>
          <w:p w14:paraId="4993745C">
            <w:pPr>
              <w:pStyle w:val="10"/>
            </w:pPr>
            <w:r>
              <w:t>项目名称</w:t>
            </w:r>
          </w:p>
        </w:tc>
        <w:tc>
          <w:tcPr>
            <w:tcW w:w="6095" w:type="dxa"/>
            <w:gridSpan w:val="3"/>
            <w:vAlign w:val="center"/>
          </w:tcPr>
          <w:p w14:paraId="654E5F63">
            <w:pPr>
              <w:pStyle w:val="12"/>
            </w:pPr>
            <w:r>
              <w:t>冀财教[2025]121号/中央/2026年义教补助经费/牛家桥中学公用经费</w:t>
            </w:r>
          </w:p>
        </w:tc>
      </w:tr>
      <w:tr w14:paraId="2FE55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F8F5E">
            <w:pPr>
              <w:pStyle w:val="10"/>
            </w:pPr>
            <w:r>
              <w:t>预算规模及资金用途</w:t>
            </w:r>
          </w:p>
        </w:tc>
        <w:tc>
          <w:tcPr>
            <w:tcW w:w="2268" w:type="dxa"/>
            <w:vAlign w:val="center"/>
          </w:tcPr>
          <w:p w14:paraId="1CAF27DC">
            <w:pPr>
              <w:pStyle w:val="10"/>
            </w:pPr>
            <w:r>
              <w:t>预算数</w:t>
            </w:r>
          </w:p>
        </w:tc>
        <w:tc>
          <w:tcPr>
            <w:tcW w:w="2835" w:type="dxa"/>
            <w:vAlign w:val="center"/>
          </w:tcPr>
          <w:p w14:paraId="67117F91">
            <w:pPr>
              <w:pStyle w:val="12"/>
            </w:pPr>
            <w:r>
              <w:t>62.66</w:t>
            </w:r>
          </w:p>
        </w:tc>
        <w:tc>
          <w:tcPr>
            <w:tcW w:w="2835" w:type="dxa"/>
            <w:vAlign w:val="center"/>
          </w:tcPr>
          <w:p w14:paraId="2CAD986F">
            <w:pPr>
              <w:pStyle w:val="10"/>
            </w:pPr>
            <w:r>
              <w:t>其中：财政    资金</w:t>
            </w:r>
          </w:p>
        </w:tc>
        <w:tc>
          <w:tcPr>
            <w:tcW w:w="2551" w:type="dxa"/>
            <w:vAlign w:val="center"/>
          </w:tcPr>
          <w:p w14:paraId="18EE2931">
            <w:pPr>
              <w:pStyle w:val="12"/>
            </w:pPr>
            <w:r>
              <w:t>62.66</w:t>
            </w:r>
          </w:p>
        </w:tc>
        <w:tc>
          <w:tcPr>
            <w:tcW w:w="2268" w:type="dxa"/>
            <w:vAlign w:val="center"/>
          </w:tcPr>
          <w:p w14:paraId="51E94B1A">
            <w:pPr>
              <w:pStyle w:val="10"/>
            </w:pPr>
            <w:r>
              <w:t>其他资金</w:t>
            </w:r>
          </w:p>
        </w:tc>
        <w:tc>
          <w:tcPr>
            <w:tcW w:w="1276" w:type="dxa"/>
            <w:vAlign w:val="center"/>
          </w:tcPr>
          <w:p w14:paraId="03D7E5EE">
            <w:pPr>
              <w:pStyle w:val="12"/>
            </w:pPr>
            <w:r>
              <w:t xml:space="preserve"> </w:t>
            </w:r>
          </w:p>
        </w:tc>
      </w:tr>
      <w:tr w14:paraId="2420B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95165"/>
        </w:tc>
        <w:tc>
          <w:tcPr>
            <w:tcW w:w="14033" w:type="dxa"/>
            <w:gridSpan w:val="6"/>
            <w:vAlign w:val="center"/>
          </w:tcPr>
          <w:p w14:paraId="2F53157D">
            <w:pPr>
              <w:pStyle w:val="12"/>
            </w:pPr>
            <w:r>
              <w:t>用于保证教育管理和教育教学顺畅运行的正常支出</w:t>
            </w:r>
          </w:p>
        </w:tc>
      </w:tr>
      <w:tr w14:paraId="353B2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BC725">
            <w:pPr>
              <w:pStyle w:val="10"/>
            </w:pPr>
            <w:r>
              <w:t>资金支出计划（%）</w:t>
            </w:r>
          </w:p>
        </w:tc>
        <w:tc>
          <w:tcPr>
            <w:tcW w:w="5103" w:type="dxa"/>
            <w:gridSpan w:val="2"/>
            <w:vAlign w:val="center"/>
          </w:tcPr>
          <w:p w14:paraId="3536978B">
            <w:pPr>
              <w:pStyle w:val="10"/>
            </w:pPr>
            <w:r>
              <w:t>3月底</w:t>
            </w:r>
          </w:p>
        </w:tc>
        <w:tc>
          <w:tcPr>
            <w:tcW w:w="2835" w:type="dxa"/>
            <w:vAlign w:val="center"/>
          </w:tcPr>
          <w:p w14:paraId="69EB84E0">
            <w:pPr>
              <w:pStyle w:val="10"/>
            </w:pPr>
            <w:r>
              <w:t>6月底</w:t>
            </w:r>
          </w:p>
        </w:tc>
        <w:tc>
          <w:tcPr>
            <w:tcW w:w="2551" w:type="dxa"/>
            <w:vAlign w:val="center"/>
          </w:tcPr>
          <w:p w14:paraId="4C388299">
            <w:pPr>
              <w:pStyle w:val="10"/>
            </w:pPr>
            <w:r>
              <w:t>10月底</w:t>
            </w:r>
          </w:p>
        </w:tc>
        <w:tc>
          <w:tcPr>
            <w:tcW w:w="3544" w:type="dxa"/>
            <w:gridSpan w:val="2"/>
            <w:vAlign w:val="center"/>
          </w:tcPr>
          <w:p w14:paraId="3DB8BE79">
            <w:pPr>
              <w:pStyle w:val="10"/>
            </w:pPr>
            <w:r>
              <w:t>12月底</w:t>
            </w:r>
          </w:p>
        </w:tc>
      </w:tr>
      <w:tr w14:paraId="71D55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95B6C"/>
        </w:tc>
        <w:tc>
          <w:tcPr>
            <w:tcW w:w="5103" w:type="dxa"/>
            <w:gridSpan w:val="2"/>
            <w:vAlign w:val="center"/>
          </w:tcPr>
          <w:p w14:paraId="0402C526">
            <w:pPr>
              <w:pStyle w:val="13"/>
            </w:pPr>
            <w:r>
              <w:t>25%</w:t>
            </w:r>
          </w:p>
        </w:tc>
        <w:tc>
          <w:tcPr>
            <w:tcW w:w="2835" w:type="dxa"/>
            <w:vAlign w:val="center"/>
          </w:tcPr>
          <w:p w14:paraId="4428D3F8">
            <w:pPr>
              <w:pStyle w:val="13"/>
            </w:pPr>
            <w:r>
              <w:t>50%</w:t>
            </w:r>
          </w:p>
        </w:tc>
        <w:tc>
          <w:tcPr>
            <w:tcW w:w="2551" w:type="dxa"/>
            <w:vAlign w:val="center"/>
          </w:tcPr>
          <w:p w14:paraId="1DC58E87">
            <w:pPr>
              <w:pStyle w:val="13"/>
            </w:pPr>
            <w:r>
              <w:t>75%</w:t>
            </w:r>
          </w:p>
        </w:tc>
        <w:tc>
          <w:tcPr>
            <w:tcW w:w="3544" w:type="dxa"/>
            <w:gridSpan w:val="2"/>
            <w:vAlign w:val="center"/>
          </w:tcPr>
          <w:p w14:paraId="378CFEB0">
            <w:pPr>
              <w:pStyle w:val="13"/>
            </w:pPr>
            <w:r>
              <w:t>100%</w:t>
            </w:r>
          </w:p>
        </w:tc>
      </w:tr>
      <w:tr w14:paraId="51827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6F92B">
            <w:pPr>
              <w:pStyle w:val="10"/>
            </w:pPr>
            <w:r>
              <w:t>绩效目标</w:t>
            </w:r>
          </w:p>
        </w:tc>
        <w:tc>
          <w:tcPr>
            <w:tcW w:w="14033" w:type="dxa"/>
            <w:gridSpan w:val="6"/>
            <w:vAlign w:val="center"/>
          </w:tcPr>
          <w:p w14:paraId="49B18EDC">
            <w:pPr>
              <w:pStyle w:val="12"/>
            </w:pPr>
            <w:r>
              <w:t>1.保障义务教育阶段教学秩序的正常运转，</w:t>
            </w:r>
            <w:r>
              <w:rPr>
                <w:rFonts w:hint="eastAsia"/>
                <w:lang w:eastAsia="zh-CN"/>
              </w:rPr>
              <w:t>保障</w:t>
            </w:r>
            <w:r>
              <w:t>教学经费正常支出。</w:t>
            </w:r>
          </w:p>
          <w:p w14:paraId="1AAEA873">
            <w:pPr>
              <w:pStyle w:val="12"/>
            </w:pPr>
            <w:r>
              <w:t>2.按照时间节点及时完成支付</w:t>
            </w:r>
          </w:p>
        </w:tc>
      </w:tr>
    </w:tbl>
    <w:p w14:paraId="609F0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D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3A3EF">
            <w:pPr>
              <w:pStyle w:val="10"/>
            </w:pPr>
            <w:r>
              <w:t>一级指标</w:t>
            </w:r>
          </w:p>
        </w:tc>
        <w:tc>
          <w:tcPr>
            <w:tcW w:w="2268" w:type="dxa"/>
            <w:vAlign w:val="center"/>
          </w:tcPr>
          <w:p w14:paraId="3B14E0D5">
            <w:pPr>
              <w:pStyle w:val="10"/>
            </w:pPr>
            <w:r>
              <w:t>二级指标</w:t>
            </w:r>
          </w:p>
        </w:tc>
        <w:tc>
          <w:tcPr>
            <w:tcW w:w="2835" w:type="dxa"/>
            <w:vAlign w:val="center"/>
          </w:tcPr>
          <w:p w14:paraId="472F36D5">
            <w:pPr>
              <w:pStyle w:val="10"/>
            </w:pPr>
            <w:r>
              <w:t>三级指标</w:t>
            </w:r>
          </w:p>
        </w:tc>
        <w:tc>
          <w:tcPr>
            <w:tcW w:w="5386" w:type="dxa"/>
            <w:vAlign w:val="center"/>
          </w:tcPr>
          <w:p w14:paraId="29F3344B">
            <w:pPr>
              <w:pStyle w:val="10"/>
            </w:pPr>
            <w:r>
              <w:t>绩效指标描述</w:t>
            </w:r>
          </w:p>
        </w:tc>
        <w:tc>
          <w:tcPr>
            <w:tcW w:w="2268" w:type="dxa"/>
            <w:vAlign w:val="center"/>
          </w:tcPr>
          <w:p w14:paraId="514EF58E">
            <w:pPr>
              <w:pStyle w:val="10"/>
            </w:pPr>
            <w:r>
              <w:t>指标值</w:t>
            </w:r>
          </w:p>
        </w:tc>
        <w:tc>
          <w:tcPr>
            <w:tcW w:w="1276" w:type="dxa"/>
            <w:vAlign w:val="center"/>
          </w:tcPr>
          <w:p w14:paraId="212FF9DA">
            <w:pPr>
              <w:pStyle w:val="10"/>
            </w:pPr>
            <w:r>
              <w:t>指标值确定依据</w:t>
            </w:r>
          </w:p>
        </w:tc>
      </w:tr>
      <w:tr w14:paraId="2A79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AC145">
            <w:pPr>
              <w:pStyle w:val="13"/>
            </w:pPr>
            <w:r>
              <w:t>产出指标</w:t>
            </w:r>
          </w:p>
        </w:tc>
        <w:tc>
          <w:tcPr>
            <w:tcW w:w="2268" w:type="dxa"/>
            <w:vAlign w:val="center"/>
          </w:tcPr>
          <w:p w14:paraId="18CB4231">
            <w:pPr>
              <w:pStyle w:val="12"/>
            </w:pPr>
            <w:r>
              <w:t>数量指标</w:t>
            </w:r>
          </w:p>
        </w:tc>
        <w:tc>
          <w:tcPr>
            <w:tcW w:w="2835" w:type="dxa"/>
            <w:vAlign w:val="center"/>
          </w:tcPr>
          <w:p w14:paraId="18FC0044">
            <w:pPr>
              <w:pStyle w:val="12"/>
            </w:pPr>
            <w:r>
              <w:t>保障在校学生完成义务教育阶段学习</w:t>
            </w:r>
          </w:p>
        </w:tc>
        <w:tc>
          <w:tcPr>
            <w:tcW w:w="5386" w:type="dxa"/>
            <w:vAlign w:val="center"/>
          </w:tcPr>
          <w:p w14:paraId="0EF346B5">
            <w:pPr>
              <w:pStyle w:val="12"/>
            </w:pPr>
            <w:r>
              <w:t>数量覆盖全部学生</w:t>
            </w:r>
          </w:p>
        </w:tc>
        <w:tc>
          <w:tcPr>
            <w:tcW w:w="2268" w:type="dxa"/>
            <w:vAlign w:val="center"/>
          </w:tcPr>
          <w:p w14:paraId="0A9A1E82">
            <w:pPr>
              <w:pStyle w:val="12"/>
            </w:pPr>
            <w:r>
              <w:t>698人</w:t>
            </w:r>
          </w:p>
        </w:tc>
        <w:tc>
          <w:tcPr>
            <w:tcW w:w="1276" w:type="dxa"/>
            <w:vAlign w:val="center"/>
          </w:tcPr>
          <w:p w14:paraId="3C7BA66F">
            <w:pPr>
              <w:pStyle w:val="12"/>
            </w:pPr>
            <w:r>
              <w:t>在校生数</w:t>
            </w:r>
          </w:p>
        </w:tc>
      </w:tr>
      <w:tr w14:paraId="4B25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0AA60"/>
        </w:tc>
        <w:tc>
          <w:tcPr>
            <w:tcW w:w="2268" w:type="dxa"/>
            <w:vAlign w:val="center"/>
          </w:tcPr>
          <w:p w14:paraId="6ED33E2D">
            <w:pPr>
              <w:pStyle w:val="12"/>
            </w:pPr>
            <w:r>
              <w:t>质量指标</w:t>
            </w:r>
          </w:p>
        </w:tc>
        <w:tc>
          <w:tcPr>
            <w:tcW w:w="2835" w:type="dxa"/>
            <w:vAlign w:val="center"/>
          </w:tcPr>
          <w:p w14:paraId="67C74629">
            <w:pPr>
              <w:pStyle w:val="12"/>
            </w:pPr>
            <w:r>
              <w:t>保障在校生学年受教育程度达标</w:t>
            </w:r>
          </w:p>
        </w:tc>
        <w:tc>
          <w:tcPr>
            <w:tcW w:w="5386" w:type="dxa"/>
            <w:vAlign w:val="center"/>
          </w:tcPr>
          <w:p w14:paraId="5ABEB9E5">
            <w:pPr>
              <w:pStyle w:val="12"/>
            </w:pPr>
            <w:r>
              <w:t>完成率</w:t>
            </w:r>
          </w:p>
        </w:tc>
        <w:tc>
          <w:tcPr>
            <w:tcW w:w="2268" w:type="dxa"/>
            <w:vAlign w:val="center"/>
          </w:tcPr>
          <w:p w14:paraId="05F0AAE6">
            <w:pPr>
              <w:pStyle w:val="12"/>
            </w:pPr>
            <w:r>
              <w:t>100%</w:t>
            </w:r>
          </w:p>
        </w:tc>
        <w:tc>
          <w:tcPr>
            <w:tcW w:w="1276" w:type="dxa"/>
            <w:vAlign w:val="center"/>
          </w:tcPr>
          <w:p w14:paraId="41C64701">
            <w:pPr>
              <w:pStyle w:val="12"/>
            </w:pPr>
            <w:r>
              <w:t>年度工作计划</w:t>
            </w:r>
          </w:p>
        </w:tc>
      </w:tr>
      <w:tr w14:paraId="08F3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170E2"/>
        </w:tc>
        <w:tc>
          <w:tcPr>
            <w:tcW w:w="2268" w:type="dxa"/>
            <w:vAlign w:val="center"/>
          </w:tcPr>
          <w:p w14:paraId="53739DD4">
            <w:pPr>
              <w:pStyle w:val="12"/>
            </w:pPr>
            <w:r>
              <w:t>时效指标</w:t>
            </w:r>
          </w:p>
        </w:tc>
        <w:tc>
          <w:tcPr>
            <w:tcW w:w="2835" w:type="dxa"/>
            <w:vAlign w:val="center"/>
          </w:tcPr>
          <w:p w14:paraId="27079BB9">
            <w:pPr>
              <w:pStyle w:val="12"/>
            </w:pPr>
            <w:r>
              <w:t>支付及时率</w:t>
            </w:r>
          </w:p>
        </w:tc>
        <w:tc>
          <w:tcPr>
            <w:tcW w:w="5386" w:type="dxa"/>
            <w:vAlign w:val="center"/>
          </w:tcPr>
          <w:p w14:paraId="788C939D">
            <w:pPr>
              <w:pStyle w:val="12"/>
            </w:pPr>
            <w:r>
              <w:t>按照实际支出完成支付</w:t>
            </w:r>
          </w:p>
        </w:tc>
        <w:tc>
          <w:tcPr>
            <w:tcW w:w="2268" w:type="dxa"/>
            <w:vAlign w:val="center"/>
          </w:tcPr>
          <w:p w14:paraId="2A914E1B">
            <w:pPr>
              <w:pStyle w:val="12"/>
            </w:pPr>
            <w:r>
              <w:t>100%</w:t>
            </w:r>
          </w:p>
        </w:tc>
        <w:tc>
          <w:tcPr>
            <w:tcW w:w="1276" w:type="dxa"/>
            <w:vAlign w:val="center"/>
          </w:tcPr>
          <w:p w14:paraId="739DA103">
            <w:pPr>
              <w:pStyle w:val="12"/>
            </w:pPr>
            <w:r>
              <w:t>年度工作计划</w:t>
            </w:r>
          </w:p>
        </w:tc>
      </w:tr>
      <w:tr w14:paraId="19CA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71F4B"/>
        </w:tc>
        <w:tc>
          <w:tcPr>
            <w:tcW w:w="2268" w:type="dxa"/>
            <w:vAlign w:val="center"/>
          </w:tcPr>
          <w:p w14:paraId="50A31E0F">
            <w:pPr>
              <w:pStyle w:val="12"/>
            </w:pPr>
            <w:r>
              <w:t>成本指标</w:t>
            </w:r>
          </w:p>
        </w:tc>
        <w:tc>
          <w:tcPr>
            <w:tcW w:w="2835" w:type="dxa"/>
            <w:vAlign w:val="center"/>
          </w:tcPr>
          <w:p w14:paraId="161669E4">
            <w:pPr>
              <w:pStyle w:val="12"/>
            </w:pPr>
            <w:r>
              <w:t>支出标准</w:t>
            </w:r>
          </w:p>
        </w:tc>
        <w:tc>
          <w:tcPr>
            <w:tcW w:w="5386" w:type="dxa"/>
            <w:vAlign w:val="center"/>
          </w:tcPr>
          <w:p w14:paraId="36AFDD34">
            <w:pPr>
              <w:pStyle w:val="12"/>
            </w:pPr>
            <w:r>
              <w:t>义务教育生均指标</w:t>
            </w:r>
          </w:p>
        </w:tc>
        <w:tc>
          <w:tcPr>
            <w:tcW w:w="2268" w:type="dxa"/>
            <w:vAlign w:val="center"/>
          </w:tcPr>
          <w:p w14:paraId="4F3B578E">
            <w:pPr>
              <w:pStyle w:val="12"/>
            </w:pPr>
            <w:r>
              <w:t>1360元/人</w:t>
            </w:r>
          </w:p>
        </w:tc>
        <w:tc>
          <w:tcPr>
            <w:tcW w:w="1276" w:type="dxa"/>
            <w:vAlign w:val="center"/>
          </w:tcPr>
          <w:p w14:paraId="3B34BA45">
            <w:pPr>
              <w:pStyle w:val="12"/>
            </w:pPr>
            <w:r>
              <w:t>生均公用经费标准</w:t>
            </w:r>
          </w:p>
        </w:tc>
      </w:tr>
      <w:tr w14:paraId="4539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3F802">
            <w:pPr>
              <w:pStyle w:val="13"/>
            </w:pPr>
            <w:r>
              <w:t>效益指标</w:t>
            </w:r>
          </w:p>
        </w:tc>
        <w:tc>
          <w:tcPr>
            <w:tcW w:w="2268" w:type="dxa"/>
            <w:vAlign w:val="center"/>
          </w:tcPr>
          <w:p w14:paraId="7C5BAFFA">
            <w:pPr>
              <w:pStyle w:val="12"/>
            </w:pPr>
            <w:r>
              <w:t>社会效益指标</w:t>
            </w:r>
          </w:p>
        </w:tc>
        <w:tc>
          <w:tcPr>
            <w:tcW w:w="2835" w:type="dxa"/>
            <w:vAlign w:val="center"/>
          </w:tcPr>
          <w:p w14:paraId="51B5CEF9">
            <w:pPr>
              <w:pStyle w:val="12"/>
            </w:pPr>
            <w:r>
              <w:rPr>
                <w:rFonts w:hint="eastAsia"/>
                <w:lang w:eastAsia="zh-CN"/>
              </w:rPr>
              <w:t>受益</w:t>
            </w:r>
            <w:r>
              <w:t>人群</w:t>
            </w:r>
          </w:p>
        </w:tc>
        <w:tc>
          <w:tcPr>
            <w:tcW w:w="5386" w:type="dxa"/>
            <w:vAlign w:val="center"/>
          </w:tcPr>
          <w:p w14:paraId="6B01E1F9">
            <w:pPr>
              <w:pStyle w:val="12"/>
            </w:pPr>
            <w:r>
              <w:t>覆盖周边区域片区</w:t>
            </w:r>
          </w:p>
        </w:tc>
        <w:tc>
          <w:tcPr>
            <w:tcW w:w="2268" w:type="dxa"/>
            <w:vAlign w:val="center"/>
          </w:tcPr>
          <w:p w14:paraId="7A21C629">
            <w:pPr>
              <w:pStyle w:val="12"/>
            </w:pPr>
            <w:r>
              <w:t>100%</w:t>
            </w:r>
          </w:p>
        </w:tc>
        <w:tc>
          <w:tcPr>
            <w:tcW w:w="1276" w:type="dxa"/>
            <w:vAlign w:val="center"/>
          </w:tcPr>
          <w:p w14:paraId="5886B311">
            <w:pPr>
              <w:pStyle w:val="12"/>
            </w:pPr>
            <w:r>
              <w:t>年度工作计划</w:t>
            </w:r>
          </w:p>
        </w:tc>
      </w:tr>
      <w:tr w14:paraId="59A0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A8367"/>
        </w:tc>
        <w:tc>
          <w:tcPr>
            <w:tcW w:w="2268" w:type="dxa"/>
            <w:vAlign w:val="center"/>
          </w:tcPr>
          <w:p w14:paraId="254975B0">
            <w:pPr>
              <w:pStyle w:val="12"/>
            </w:pPr>
            <w:r>
              <w:t>可持续影响指标</w:t>
            </w:r>
          </w:p>
        </w:tc>
        <w:tc>
          <w:tcPr>
            <w:tcW w:w="2835" w:type="dxa"/>
            <w:vAlign w:val="center"/>
          </w:tcPr>
          <w:p w14:paraId="0D5FB300">
            <w:pPr>
              <w:pStyle w:val="12"/>
            </w:pPr>
            <w:r>
              <w:t>效果持续时间</w:t>
            </w:r>
          </w:p>
        </w:tc>
        <w:tc>
          <w:tcPr>
            <w:tcW w:w="5386" w:type="dxa"/>
            <w:vAlign w:val="center"/>
          </w:tcPr>
          <w:p w14:paraId="201F0EAB">
            <w:pPr>
              <w:pStyle w:val="12"/>
            </w:pPr>
            <w:r>
              <w:t>效果持续时间</w:t>
            </w:r>
          </w:p>
        </w:tc>
        <w:tc>
          <w:tcPr>
            <w:tcW w:w="2268" w:type="dxa"/>
            <w:vAlign w:val="center"/>
          </w:tcPr>
          <w:p w14:paraId="51A01FF6">
            <w:pPr>
              <w:pStyle w:val="12"/>
            </w:pPr>
            <w:r>
              <w:t>1年</w:t>
            </w:r>
          </w:p>
        </w:tc>
        <w:tc>
          <w:tcPr>
            <w:tcW w:w="1276" w:type="dxa"/>
            <w:vAlign w:val="center"/>
          </w:tcPr>
          <w:p w14:paraId="1C61DA4B">
            <w:pPr>
              <w:pStyle w:val="12"/>
            </w:pPr>
            <w:r>
              <w:t>年度工作计划</w:t>
            </w:r>
          </w:p>
        </w:tc>
      </w:tr>
      <w:tr w14:paraId="5646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AB150">
            <w:pPr>
              <w:pStyle w:val="13"/>
            </w:pPr>
            <w:r>
              <w:t>满意度指标</w:t>
            </w:r>
          </w:p>
        </w:tc>
        <w:tc>
          <w:tcPr>
            <w:tcW w:w="2268" w:type="dxa"/>
            <w:vAlign w:val="center"/>
          </w:tcPr>
          <w:p w14:paraId="01215C6C">
            <w:pPr>
              <w:pStyle w:val="12"/>
            </w:pPr>
            <w:r>
              <w:t>服务对象满意度指标</w:t>
            </w:r>
          </w:p>
        </w:tc>
        <w:tc>
          <w:tcPr>
            <w:tcW w:w="2835" w:type="dxa"/>
            <w:vAlign w:val="center"/>
          </w:tcPr>
          <w:p w14:paraId="4001B9BD">
            <w:pPr>
              <w:pStyle w:val="12"/>
            </w:pPr>
            <w:r>
              <w:t>群众满意度</w:t>
            </w:r>
          </w:p>
        </w:tc>
        <w:tc>
          <w:tcPr>
            <w:tcW w:w="5386" w:type="dxa"/>
            <w:vAlign w:val="center"/>
          </w:tcPr>
          <w:p w14:paraId="0D83AF33">
            <w:pPr>
              <w:pStyle w:val="12"/>
            </w:pPr>
            <w:r>
              <w:t>群众对教育的满意度</w:t>
            </w:r>
          </w:p>
        </w:tc>
        <w:tc>
          <w:tcPr>
            <w:tcW w:w="2268" w:type="dxa"/>
            <w:vAlign w:val="center"/>
          </w:tcPr>
          <w:p w14:paraId="52892483">
            <w:pPr>
              <w:pStyle w:val="12"/>
            </w:pPr>
            <w:r>
              <w:t>≥98%</w:t>
            </w:r>
          </w:p>
        </w:tc>
        <w:tc>
          <w:tcPr>
            <w:tcW w:w="1276" w:type="dxa"/>
            <w:vAlign w:val="center"/>
          </w:tcPr>
          <w:p w14:paraId="009C1CD4">
            <w:pPr>
              <w:pStyle w:val="12"/>
            </w:pPr>
            <w:r>
              <w:t>年度工作计划</w:t>
            </w:r>
          </w:p>
        </w:tc>
      </w:tr>
    </w:tbl>
    <w:p w14:paraId="08C23650">
      <w:pPr>
        <w:sectPr>
          <w:pgSz w:w="16840" w:h="11900" w:orient="landscape"/>
          <w:pgMar w:top="1361" w:right="1020" w:bottom="1134" w:left="1020" w:header="720" w:footer="720" w:gutter="0"/>
          <w:cols w:space="720" w:num="1"/>
        </w:sectPr>
      </w:pPr>
    </w:p>
    <w:p w14:paraId="6F591011">
      <w:pPr>
        <w:spacing w:before="0" w:after="0"/>
        <w:ind w:firstLine="560"/>
        <w:jc w:val="left"/>
        <w:outlineLvl w:val="9"/>
      </w:pPr>
      <w:r>
        <w:rPr>
          <w:rFonts w:ascii="方正仿宋_GBK" w:hAnsi="方正仿宋_GBK" w:eastAsia="方正仿宋_GBK" w:cs="方正仿宋_GBK"/>
          <w:b/>
          <w:color w:val="000000"/>
          <w:sz w:val="28"/>
        </w:rPr>
        <w:t>2、冀财教[2025]147号/省级/2026年义教补助经费/牛家桥中学公用经费绩效目标表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22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4800C">
            <w:pPr>
              <w:pStyle w:val="11"/>
            </w:pPr>
            <w:r>
              <w:t>单位：万元</w:t>
            </w:r>
          </w:p>
        </w:tc>
      </w:tr>
      <w:tr w14:paraId="2A23D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A7E30">
            <w:pPr>
              <w:pStyle w:val="10"/>
            </w:pPr>
            <w:r>
              <w:t>项目编码</w:t>
            </w:r>
          </w:p>
        </w:tc>
        <w:tc>
          <w:tcPr>
            <w:tcW w:w="5103" w:type="dxa"/>
            <w:gridSpan w:val="2"/>
            <w:vAlign w:val="center"/>
          </w:tcPr>
          <w:p w14:paraId="677EF671">
            <w:pPr>
              <w:pStyle w:val="12"/>
            </w:pPr>
            <w:r>
              <w:t>13052526P00000410324G</w:t>
            </w:r>
          </w:p>
        </w:tc>
        <w:tc>
          <w:tcPr>
            <w:tcW w:w="2835" w:type="dxa"/>
            <w:vAlign w:val="center"/>
          </w:tcPr>
          <w:p w14:paraId="51936F28">
            <w:pPr>
              <w:pStyle w:val="10"/>
            </w:pPr>
            <w:r>
              <w:t>项目名称</w:t>
            </w:r>
          </w:p>
        </w:tc>
        <w:tc>
          <w:tcPr>
            <w:tcW w:w="6095" w:type="dxa"/>
            <w:gridSpan w:val="3"/>
            <w:vAlign w:val="center"/>
          </w:tcPr>
          <w:p w14:paraId="4D1B1879">
            <w:pPr>
              <w:pStyle w:val="12"/>
            </w:pPr>
            <w:r>
              <w:t>冀财教[2025]147号/省级/2026年义教补助经费/牛家桥中学公用经费</w:t>
            </w:r>
          </w:p>
        </w:tc>
      </w:tr>
      <w:tr w14:paraId="3810C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D4883">
            <w:pPr>
              <w:pStyle w:val="10"/>
            </w:pPr>
            <w:r>
              <w:t>预算规模及资金用途</w:t>
            </w:r>
          </w:p>
        </w:tc>
        <w:tc>
          <w:tcPr>
            <w:tcW w:w="2268" w:type="dxa"/>
            <w:vAlign w:val="center"/>
          </w:tcPr>
          <w:p w14:paraId="4E7E63CF">
            <w:pPr>
              <w:pStyle w:val="10"/>
            </w:pPr>
            <w:r>
              <w:t>预算数</w:t>
            </w:r>
          </w:p>
        </w:tc>
        <w:tc>
          <w:tcPr>
            <w:tcW w:w="2835" w:type="dxa"/>
            <w:vAlign w:val="center"/>
          </w:tcPr>
          <w:p w14:paraId="7A9B3977">
            <w:pPr>
              <w:pStyle w:val="12"/>
            </w:pPr>
            <w:r>
              <w:t>32.93</w:t>
            </w:r>
          </w:p>
        </w:tc>
        <w:tc>
          <w:tcPr>
            <w:tcW w:w="2835" w:type="dxa"/>
            <w:vAlign w:val="center"/>
          </w:tcPr>
          <w:p w14:paraId="613F02C7">
            <w:pPr>
              <w:pStyle w:val="10"/>
            </w:pPr>
            <w:r>
              <w:t>其中：财政    资金</w:t>
            </w:r>
          </w:p>
        </w:tc>
        <w:tc>
          <w:tcPr>
            <w:tcW w:w="2551" w:type="dxa"/>
            <w:vAlign w:val="center"/>
          </w:tcPr>
          <w:p w14:paraId="29D91C79">
            <w:pPr>
              <w:pStyle w:val="12"/>
            </w:pPr>
            <w:r>
              <w:t>32.93</w:t>
            </w:r>
          </w:p>
        </w:tc>
        <w:tc>
          <w:tcPr>
            <w:tcW w:w="2268" w:type="dxa"/>
            <w:vAlign w:val="center"/>
          </w:tcPr>
          <w:p w14:paraId="57BD3E8D">
            <w:pPr>
              <w:pStyle w:val="10"/>
            </w:pPr>
            <w:r>
              <w:t>其他资金</w:t>
            </w:r>
          </w:p>
        </w:tc>
        <w:tc>
          <w:tcPr>
            <w:tcW w:w="1276" w:type="dxa"/>
            <w:vAlign w:val="center"/>
          </w:tcPr>
          <w:p w14:paraId="69F28134">
            <w:pPr>
              <w:pStyle w:val="12"/>
            </w:pPr>
            <w:r>
              <w:t xml:space="preserve"> </w:t>
            </w:r>
          </w:p>
        </w:tc>
      </w:tr>
      <w:tr w14:paraId="405F3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3BE8E"/>
        </w:tc>
        <w:tc>
          <w:tcPr>
            <w:tcW w:w="14033" w:type="dxa"/>
            <w:gridSpan w:val="6"/>
            <w:vAlign w:val="center"/>
          </w:tcPr>
          <w:p w14:paraId="65D0EBE9">
            <w:pPr>
              <w:pStyle w:val="12"/>
            </w:pPr>
            <w:r>
              <w:t>保障义务教育阶段教学秩序的正常运转，</w:t>
            </w:r>
            <w:r>
              <w:rPr>
                <w:rFonts w:hint="eastAsia"/>
                <w:lang w:eastAsia="zh-CN"/>
              </w:rPr>
              <w:t>保障</w:t>
            </w:r>
            <w:r>
              <w:t>教学经费正常支出。</w:t>
            </w:r>
          </w:p>
        </w:tc>
      </w:tr>
      <w:tr w14:paraId="0FE68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7F062">
            <w:pPr>
              <w:pStyle w:val="10"/>
            </w:pPr>
            <w:r>
              <w:t>资金支出计划（%）</w:t>
            </w:r>
          </w:p>
        </w:tc>
        <w:tc>
          <w:tcPr>
            <w:tcW w:w="5103" w:type="dxa"/>
            <w:gridSpan w:val="2"/>
            <w:vAlign w:val="center"/>
          </w:tcPr>
          <w:p w14:paraId="25B3A408">
            <w:pPr>
              <w:pStyle w:val="10"/>
            </w:pPr>
            <w:r>
              <w:t>3月底</w:t>
            </w:r>
          </w:p>
        </w:tc>
        <w:tc>
          <w:tcPr>
            <w:tcW w:w="2835" w:type="dxa"/>
            <w:vAlign w:val="center"/>
          </w:tcPr>
          <w:p w14:paraId="396CCAB1">
            <w:pPr>
              <w:pStyle w:val="10"/>
            </w:pPr>
            <w:r>
              <w:t>6月底</w:t>
            </w:r>
          </w:p>
        </w:tc>
        <w:tc>
          <w:tcPr>
            <w:tcW w:w="2551" w:type="dxa"/>
            <w:vAlign w:val="center"/>
          </w:tcPr>
          <w:p w14:paraId="38AABE32">
            <w:pPr>
              <w:pStyle w:val="10"/>
            </w:pPr>
            <w:r>
              <w:t>10月底</w:t>
            </w:r>
          </w:p>
        </w:tc>
        <w:tc>
          <w:tcPr>
            <w:tcW w:w="3544" w:type="dxa"/>
            <w:gridSpan w:val="2"/>
            <w:vAlign w:val="center"/>
          </w:tcPr>
          <w:p w14:paraId="65192108">
            <w:pPr>
              <w:pStyle w:val="10"/>
            </w:pPr>
            <w:r>
              <w:t>12月底</w:t>
            </w:r>
          </w:p>
        </w:tc>
      </w:tr>
      <w:tr w14:paraId="091AA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7A532"/>
        </w:tc>
        <w:tc>
          <w:tcPr>
            <w:tcW w:w="5103" w:type="dxa"/>
            <w:gridSpan w:val="2"/>
            <w:vAlign w:val="center"/>
          </w:tcPr>
          <w:p w14:paraId="774D26B7">
            <w:pPr>
              <w:pStyle w:val="13"/>
            </w:pPr>
            <w:r>
              <w:t>25%</w:t>
            </w:r>
          </w:p>
        </w:tc>
        <w:tc>
          <w:tcPr>
            <w:tcW w:w="2835" w:type="dxa"/>
            <w:vAlign w:val="center"/>
          </w:tcPr>
          <w:p w14:paraId="2175BF7F">
            <w:pPr>
              <w:pStyle w:val="13"/>
            </w:pPr>
            <w:r>
              <w:t>50%</w:t>
            </w:r>
          </w:p>
        </w:tc>
        <w:tc>
          <w:tcPr>
            <w:tcW w:w="2551" w:type="dxa"/>
            <w:vAlign w:val="center"/>
          </w:tcPr>
          <w:p w14:paraId="035A924F">
            <w:pPr>
              <w:pStyle w:val="13"/>
            </w:pPr>
            <w:r>
              <w:t>75%</w:t>
            </w:r>
          </w:p>
        </w:tc>
        <w:tc>
          <w:tcPr>
            <w:tcW w:w="3544" w:type="dxa"/>
            <w:gridSpan w:val="2"/>
            <w:vAlign w:val="center"/>
          </w:tcPr>
          <w:p w14:paraId="6AE5D5C1">
            <w:pPr>
              <w:pStyle w:val="13"/>
            </w:pPr>
            <w:r>
              <w:t>100%</w:t>
            </w:r>
          </w:p>
        </w:tc>
      </w:tr>
      <w:tr w14:paraId="302F5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FBA8F">
            <w:pPr>
              <w:pStyle w:val="10"/>
            </w:pPr>
            <w:r>
              <w:t>绩效目标</w:t>
            </w:r>
          </w:p>
        </w:tc>
        <w:tc>
          <w:tcPr>
            <w:tcW w:w="14033" w:type="dxa"/>
            <w:gridSpan w:val="6"/>
            <w:vAlign w:val="center"/>
          </w:tcPr>
          <w:p w14:paraId="2A63C840">
            <w:pPr>
              <w:pStyle w:val="12"/>
            </w:pPr>
            <w:r>
              <w:t>1.保障义务教育阶段教学秩序的正常运转，</w:t>
            </w:r>
            <w:r>
              <w:rPr>
                <w:rFonts w:hint="eastAsia"/>
                <w:lang w:eastAsia="zh-CN"/>
              </w:rPr>
              <w:t>保障</w:t>
            </w:r>
            <w:r>
              <w:t>教学经费正常支出。</w:t>
            </w:r>
          </w:p>
          <w:p w14:paraId="1767199C">
            <w:pPr>
              <w:pStyle w:val="12"/>
            </w:pPr>
            <w:r>
              <w:t>2.按照时间节点及时完成支付</w:t>
            </w:r>
          </w:p>
        </w:tc>
      </w:tr>
    </w:tbl>
    <w:p w14:paraId="44EBA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F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2A0F4">
            <w:pPr>
              <w:pStyle w:val="10"/>
            </w:pPr>
            <w:r>
              <w:t>一级指标</w:t>
            </w:r>
          </w:p>
        </w:tc>
        <w:tc>
          <w:tcPr>
            <w:tcW w:w="2268" w:type="dxa"/>
            <w:vAlign w:val="center"/>
          </w:tcPr>
          <w:p w14:paraId="242B1411">
            <w:pPr>
              <w:pStyle w:val="10"/>
            </w:pPr>
            <w:r>
              <w:t>二级指标</w:t>
            </w:r>
          </w:p>
        </w:tc>
        <w:tc>
          <w:tcPr>
            <w:tcW w:w="2835" w:type="dxa"/>
            <w:vAlign w:val="center"/>
          </w:tcPr>
          <w:p w14:paraId="106D3BE4">
            <w:pPr>
              <w:pStyle w:val="10"/>
            </w:pPr>
            <w:r>
              <w:t>三级指标</w:t>
            </w:r>
          </w:p>
        </w:tc>
        <w:tc>
          <w:tcPr>
            <w:tcW w:w="5386" w:type="dxa"/>
            <w:vAlign w:val="center"/>
          </w:tcPr>
          <w:p w14:paraId="3AF13329">
            <w:pPr>
              <w:pStyle w:val="10"/>
            </w:pPr>
            <w:r>
              <w:t>绩效指标描述</w:t>
            </w:r>
          </w:p>
        </w:tc>
        <w:tc>
          <w:tcPr>
            <w:tcW w:w="2268" w:type="dxa"/>
            <w:vAlign w:val="center"/>
          </w:tcPr>
          <w:p w14:paraId="428355EC">
            <w:pPr>
              <w:pStyle w:val="10"/>
            </w:pPr>
            <w:r>
              <w:t>指标值</w:t>
            </w:r>
          </w:p>
        </w:tc>
        <w:tc>
          <w:tcPr>
            <w:tcW w:w="1276" w:type="dxa"/>
            <w:vAlign w:val="center"/>
          </w:tcPr>
          <w:p w14:paraId="4C98CEB5">
            <w:pPr>
              <w:pStyle w:val="10"/>
            </w:pPr>
            <w:r>
              <w:t>指标值确定依据</w:t>
            </w:r>
          </w:p>
        </w:tc>
      </w:tr>
      <w:tr w14:paraId="09CF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87913">
            <w:pPr>
              <w:pStyle w:val="13"/>
            </w:pPr>
            <w:r>
              <w:t>产出指标</w:t>
            </w:r>
          </w:p>
        </w:tc>
        <w:tc>
          <w:tcPr>
            <w:tcW w:w="2268" w:type="dxa"/>
            <w:vAlign w:val="center"/>
          </w:tcPr>
          <w:p w14:paraId="02BC0E04">
            <w:pPr>
              <w:pStyle w:val="12"/>
            </w:pPr>
            <w:r>
              <w:t>数量指标</w:t>
            </w:r>
          </w:p>
        </w:tc>
        <w:tc>
          <w:tcPr>
            <w:tcW w:w="2835" w:type="dxa"/>
            <w:vAlign w:val="center"/>
          </w:tcPr>
          <w:p w14:paraId="5D425984">
            <w:pPr>
              <w:pStyle w:val="12"/>
            </w:pPr>
            <w:r>
              <w:t>保障在校生完成义务教育阶段学习</w:t>
            </w:r>
          </w:p>
        </w:tc>
        <w:tc>
          <w:tcPr>
            <w:tcW w:w="5386" w:type="dxa"/>
            <w:vAlign w:val="center"/>
          </w:tcPr>
          <w:p w14:paraId="41F311E2">
            <w:pPr>
              <w:pStyle w:val="12"/>
            </w:pPr>
            <w:r>
              <w:t>数量覆盖全部学生</w:t>
            </w:r>
          </w:p>
        </w:tc>
        <w:tc>
          <w:tcPr>
            <w:tcW w:w="2268" w:type="dxa"/>
            <w:vAlign w:val="center"/>
          </w:tcPr>
          <w:p w14:paraId="72912478">
            <w:pPr>
              <w:pStyle w:val="12"/>
            </w:pPr>
            <w:r>
              <w:t>698人</w:t>
            </w:r>
          </w:p>
        </w:tc>
        <w:tc>
          <w:tcPr>
            <w:tcW w:w="1276" w:type="dxa"/>
            <w:vAlign w:val="center"/>
          </w:tcPr>
          <w:p w14:paraId="38B6E2FE">
            <w:pPr>
              <w:pStyle w:val="12"/>
            </w:pPr>
            <w:r>
              <w:t>在校生数</w:t>
            </w:r>
          </w:p>
        </w:tc>
      </w:tr>
      <w:tr w14:paraId="3744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3FEAD"/>
        </w:tc>
        <w:tc>
          <w:tcPr>
            <w:tcW w:w="2268" w:type="dxa"/>
            <w:vAlign w:val="center"/>
          </w:tcPr>
          <w:p w14:paraId="2FA708D6">
            <w:pPr>
              <w:pStyle w:val="12"/>
            </w:pPr>
            <w:r>
              <w:t>质量指标</w:t>
            </w:r>
          </w:p>
        </w:tc>
        <w:tc>
          <w:tcPr>
            <w:tcW w:w="2835" w:type="dxa"/>
            <w:vAlign w:val="center"/>
          </w:tcPr>
          <w:p w14:paraId="0988DE91">
            <w:pPr>
              <w:pStyle w:val="12"/>
            </w:pPr>
            <w:r>
              <w:t>保障在校生学年受教育程度达标</w:t>
            </w:r>
          </w:p>
        </w:tc>
        <w:tc>
          <w:tcPr>
            <w:tcW w:w="5386" w:type="dxa"/>
            <w:vAlign w:val="center"/>
          </w:tcPr>
          <w:p w14:paraId="7FE250BD">
            <w:pPr>
              <w:pStyle w:val="12"/>
            </w:pPr>
            <w:r>
              <w:t>完成率</w:t>
            </w:r>
          </w:p>
        </w:tc>
        <w:tc>
          <w:tcPr>
            <w:tcW w:w="2268" w:type="dxa"/>
            <w:vAlign w:val="center"/>
          </w:tcPr>
          <w:p w14:paraId="7E96A0AE">
            <w:pPr>
              <w:pStyle w:val="12"/>
            </w:pPr>
            <w:r>
              <w:t>100%</w:t>
            </w:r>
          </w:p>
        </w:tc>
        <w:tc>
          <w:tcPr>
            <w:tcW w:w="1276" w:type="dxa"/>
            <w:vAlign w:val="center"/>
          </w:tcPr>
          <w:p w14:paraId="49DC79E8">
            <w:pPr>
              <w:pStyle w:val="12"/>
            </w:pPr>
            <w:r>
              <w:t>年度工作计划</w:t>
            </w:r>
          </w:p>
        </w:tc>
      </w:tr>
      <w:tr w14:paraId="22C5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3A0C3"/>
        </w:tc>
        <w:tc>
          <w:tcPr>
            <w:tcW w:w="2268" w:type="dxa"/>
            <w:vAlign w:val="center"/>
          </w:tcPr>
          <w:p w14:paraId="6F5EA788">
            <w:pPr>
              <w:pStyle w:val="12"/>
            </w:pPr>
            <w:r>
              <w:t>时效指标</w:t>
            </w:r>
          </w:p>
        </w:tc>
        <w:tc>
          <w:tcPr>
            <w:tcW w:w="2835" w:type="dxa"/>
            <w:vAlign w:val="center"/>
          </w:tcPr>
          <w:p w14:paraId="11385386">
            <w:pPr>
              <w:pStyle w:val="12"/>
            </w:pPr>
            <w:r>
              <w:t>支付及时率</w:t>
            </w:r>
          </w:p>
        </w:tc>
        <w:tc>
          <w:tcPr>
            <w:tcW w:w="5386" w:type="dxa"/>
            <w:vAlign w:val="center"/>
          </w:tcPr>
          <w:p w14:paraId="28AC8F4A">
            <w:pPr>
              <w:pStyle w:val="12"/>
            </w:pPr>
            <w:r>
              <w:t>按照实际支出完成支付</w:t>
            </w:r>
          </w:p>
        </w:tc>
        <w:tc>
          <w:tcPr>
            <w:tcW w:w="2268" w:type="dxa"/>
            <w:vAlign w:val="center"/>
          </w:tcPr>
          <w:p w14:paraId="0CDBB0DD">
            <w:pPr>
              <w:pStyle w:val="12"/>
            </w:pPr>
            <w:r>
              <w:t>100%</w:t>
            </w:r>
          </w:p>
        </w:tc>
        <w:tc>
          <w:tcPr>
            <w:tcW w:w="1276" w:type="dxa"/>
            <w:vAlign w:val="center"/>
          </w:tcPr>
          <w:p w14:paraId="134F683C">
            <w:pPr>
              <w:pStyle w:val="12"/>
            </w:pPr>
            <w:r>
              <w:t>年度工作计划</w:t>
            </w:r>
          </w:p>
        </w:tc>
      </w:tr>
      <w:tr w14:paraId="54BD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1B9E3"/>
        </w:tc>
        <w:tc>
          <w:tcPr>
            <w:tcW w:w="2268" w:type="dxa"/>
            <w:vAlign w:val="center"/>
          </w:tcPr>
          <w:p w14:paraId="08F9BDE9">
            <w:pPr>
              <w:pStyle w:val="12"/>
            </w:pPr>
            <w:r>
              <w:t>成本指标</w:t>
            </w:r>
          </w:p>
        </w:tc>
        <w:tc>
          <w:tcPr>
            <w:tcW w:w="2835" w:type="dxa"/>
            <w:vAlign w:val="center"/>
          </w:tcPr>
          <w:p w14:paraId="0F99A8C9">
            <w:pPr>
              <w:pStyle w:val="12"/>
            </w:pPr>
            <w:r>
              <w:t>支出标准</w:t>
            </w:r>
          </w:p>
        </w:tc>
        <w:tc>
          <w:tcPr>
            <w:tcW w:w="5386" w:type="dxa"/>
            <w:vAlign w:val="center"/>
          </w:tcPr>
          <w:p w14:paraId="6816A06A">
            <w:pPr>
              <w:pStyle w:val="12"/>
            </w:pPr>
            <w:r>
              <w:t>义务教育生均指标</w:t>
            </w:r>
          </w:p>
        </w:tc>
        <w:tc>
          <w:tcPr>
            <w:tcW w:w="2268" w:type="dxa"/>
            <w:vAlign w:val="center"/>
          </w:tcPr>
          <w:p w14:paraId="7F3EC6B7">
            <w:pPr>
              <w:pStyle w:val="12"/>
            </w:pPr>
            <w:r>
              <w:t>1360元/人</w:t>
            </w:r>
          </w:p>
        </w:tc>
        <w:tc>
          <w:tcPr>
            <w:tcW w:w="1276" w:type="dxa"/>
            <w:vAlign w:val="center"/>
          </w:tcPr>
          <w:p w14:paraId="30E6FC6A">
            <w:pPr>
              <w:pStyle w:val="12"/>
            </w:pPr>
            <w:r>
              <w:t>义务教育公用经费标准</w:t>
            </w:r>
          </w:p>
        </w:tc>
      </w:tr>
      <w:tr w14:paraId="1AC59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3D874">
            <w:pPr>
              <w:pStyle w:val="13"/>
            </w:pPr>
            <w:r>
              <w:t>效益指标</w:t>
            </w:r>
          </w:p>
        </w:tc>
        <w:tc>
          <w:tcPr>
            <w:tcW w:w="2268" w:type="dxa"/>
            <w:vAlign w:val="center"/>
          </w:tcPr>
          <w:p w14:paraId="71F659F9">
            <w:pPr>
              <w:pStyle w:val="12"/>
            </w:pPr>
            <w:r>
              <w:t>社会效益指标</w:t>
            </w:r>
          </w:p>
        </w:tc>
        <w:tc>
          <w:tcPr>
            <w:tcW w:w="2835" w:type="dxa"/>
            <w:vAlign w:val="center"/>
          </w:tcPr>
          <w:p w14:paraId="7C4A625D">
            <w:pPr>
              <w:pStyle w:val="12"/>
            </w:pPr>
            <w:r>
              <w:rPr>
                <w:rFonts w:hint="eastAsia"/>
                <w:lang w:eastAsia="zh-CN"/>
              </w:rPr>
              <w:t>受益</w:t>
            </w:r>
            <w:r>
              <w:t>人群</w:t>
            </w:r>
          </w:p>
        </w:tc>
        <w:tc>
          <w:tcPr>
            <w:tcW w:w="5386" w:type="dxa"/>
            <w:vAlign w:val="center"/>
          </w:tcPr>
          <w:p w14:paraId="094E178A">
            <w:pPr>
              <w:pStyle w:val="12"/>
            </w:pPr>
            <w:r>
              <w:t>覆盖周边区域片区</w:t>
            </w:r>
          </w:p>
        </w:tc>
        <w:tc>
          <w:tcPr>
            <w:tcW w:w="2268" w:type="dxa"/>
            <w:vAlign w:val="center"/>
          </w:tcPr>
          <w:p w14:paraId="12D5A6AE">
            <w:pPr>
              <w:pStyle w:val="12"/>
            </w:pPr>
            <w:r>
              <w:t>100%</w:t>
            </w:r>
          </w:p>
        </w:tc>
        <w:tc>
          <w:tcPr>
            <w:tcW w:w="1276" w:type="dxa"/>
            <w:vAlign w:val="center"/>
          </w:tcPr>
          <w:p w14:paraId="5B6BD4D5">
            <w:pPr>
              <w:pStyle w:val="12"/>
            </w:pPr>
            <w:r>
              <w:t>年度工作计划</w:t>
            </w:r>
          </w:p>
        </w:tc>
      </w:tr>
      <w:tr w14:paraId="12C7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7B4D4"/>
        </w:tc>
        <w:tc>
          <w:tcPr>
            <w:tcW w:w="2268" w:type="dxa"/>
            <w:vAlign w:val="center"/>
          </w:tcPr>
          <w:p w14:paraId="22691A43">
            <w:pPr>
              <w:pStyle w:val="12"/>
            </w:pPr>
            <w:r>
              <w:t>可持续影响指标</w:t>
            </w:r>
          </w:p>
        </w:tc>
        <w:tc>
          <w:tcPr>
            <w:tcW w:w="2835" w:type="dxa"/>
            <w:vAlign w:val="center"/>
          </w:tcPr>
          <w:p w14:paraId="6959B0AF">
            <w:pPr>
              <w:pStyle w:val="12"/>
            </w:pPr>
            <w:r>
              <w:t>效果持续时间</w:t>
            </w:r>
          </w:p>
        </w:tc>
        <w:tc>
          <w:tcPr>
            <w:tcW w:w="5386" w:type="dxa"/>
            <w:vAlign w:val="center"/>
          </w:tcPr>
          <w:p w14:paraId="35D81632">
            <w:pPr>
              <w:pStyle w:val="12"/>
            </w:pPr>
            <w:r>
              <w:t>效果持续时间</w:t>
            </w:r>
          </w:p>
        </w:tc>
        <w:tc>
          <w:tcPr>
            <w:tcW w:w="2268" w:type="dxa"/>
            <w:vAlign w:val="center"/>
          </w:tcPr>
          <w:p w14:paraId="60EDD280">
            <w:pPr>
              <w:pStyle w:val="12"/>
            </w:pPr>
            <w:r>
              <w:t>≥1年</w:t>
            </w:r>
          </w:p>
        </w:tc>
        <w:tc>
          <w:tcPr>
            <w:tcW w:w="1276" w:type="dxa"/>
            <w:vAlign w:val="center"/>
          </w:tcPr>
          <w:p w14:paraId="33F55493">
            <w:pPr>
              <w:pStyle w:val="12"/>
            </w:pPr>
            <w:r>
              <w:t>年度工作计划</w:t>
            </w:r>
          </w:p>
        </w:tc>
      </w:tr>
      <w:tr w14:paraId="7EAD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D94B4">
            <w:pPr>
              <w:pStyle w:val="13"/>
            </w:pPr>
            <w:r>
              <w:t>满意度指标</w:t>
            </w:r>
          </w:p>
        </w:tc>
        <w:tc>
          <w:tcPr>
            <w:tcW w:w="2268" w:type="dxa"/>
            <w:vAlign w:val="center"/>
          </w:tcPr>
          <w:p w14:paraId="61A7A50C">
            <w:pPr>
              <w:pStyle w:val="12"/>
            </w:pPr>
            <w:r>
              <w:t>服务对象满意度指标</w:t>
            </w:r>
          </w:p>
        </w:tc>
        <w:tc>
          <w:tcPr>
            <w:tcW w:w="2835" w:type="dxa"/>
            <w:vAlign w:val="center"/>
          </w:tcPr>
          <w:p w14:paraId="23B4BA7C">
            <w:pPr>
              <w:pStyle w:val="12"/>
            </w:pPr>
            <w:r>
              <w:t>群众满意度</w:t>
            </w:r>
          </w:p>
        </w:tc>
        <w:tc>
          <w:tcPr>
            <w:tcW w:w="5386" w:type="dxa"/>
            <w:vAlign w:val="center"/>
          </w:tcPr>
          <w:p w14:paraId="5E14AFD9">
            <w:pPr>
              <w:pStyle w:val="12"/>
            </w:pPr>
            <w:r>
              <w:t>群众对教育的满意度</w:t>
            </w:r>
          </w:p>
        </w:tc>
        <w:tc>
          <w:tcPr>
            <w:tcW w:w="2268" w:type="dxa"/>
            <w:vAlign w:val="center"/>
          </w:tcPr>
          <w:p w14:paraId="605C9237">
            <w:pPr>
              <w:pStyle w:val="12"/>
            </w:pPr>
            <w:r>
              <w:t>≥98%</w:t>
            </w:r>
          </w:p>
        </w:tc>
        <w:tc>
          <w:tcPr>
            <w:tcW w:w="1276" w:type="dxa"/>
            <w:vAlign w:val="center"/>
          </w:tcPr>
          <w:p w14:paraId="09E265ED">
            <w:pPr>
              <w:pStyle w:val="12"/>
            </w:pPr>
            <w:r>
              <w:t>年度工作计划</w:t>
            </w:r>
          </w:p>
        </w:tc>
      </w:tr>
    </w:tbl>
    <w:p w14:paraId="7FF739BF">
      <w:pPr>
        <w:sectPr>
          <w:pgSz w:w="16840" w:h="11900" w:orient="landscape"/>
          <w:pgMar w:top="1361" w:right="1020" w:bottom="1134" w:left="1020" w:header="720" w:footer="720" w:gutter="0"/>
          <w:cols w:space="720" w:num="1"/>
        </w:sectPr>
      </w:pPr>
    </w:p>
    <w:p w14:paraId="0AC19532">
      <w:pPr>
        <w:spacing w:before="0" w:after="0"/>
        <w:ind w:firstLine="560"/>
        <w:jc w:val="left"/>
        <w:outlineLvl w:val="9"/>
      </w:pPr>
      <w:r>
        <w:rPr>
          <w:rFonts w:ascii="方正仿宋_GBK" w:hAnsi="方正仿宋_GBK" w:eastAsia="方正仿宋_GBK" w:cs="方正仿宋_GBK"/>
          <w:b/>
          <w:color w:val="000000"/>
          <w:sz w:val="28"/>
        </w:rPr>
        <w:t>3、冀财教[2025]148号/支持义务教育发展/牛家桥中学公用经费绩效目标表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4B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343BF">
            <w:pPr>
              <w:pStyle w:val="11"/>
            </w:pPr>
            <w:r>
              <w:t>单位：万元</w:t>
            </w:r>
          </w:p>
        </w:tc>
      </w:tr>
      <w:tr w14:paraId="37CB9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CE14C">
            <w:pPr>
              <w:pStyle w:val="10"/>
            </w:pPr>
            <w:r>
              <w:t>项目编码</w:t>
            </w:r>
          </w:p>
        </w:tc>
        <w:tc>
          <w:tcPr>
            <w:tcW w:w="5103" w:type="dxa"/>
            <w:gridSpan w:val="2"/>
            <w:vAlign w:val="center"/>
          </w:tcPr>
          <w:p w14:paraId="6A542241">
            <w:pPr>
              <w:pStyle w:val="12"/>
            </w:pPr>
            <w:r>
              <w:t>13052526P00000210111U</w:t>
            </w:r>
          </w:p>
        </w:tc>
        <w:tc>
          <w:tcPr>
            <w:tcW w:w="2835" w:type="dxa"/>
            <w:vAlign w:val="center"/>
          </w:tcPr>
          <w:p w14:paraId="308E95E6">
            <w:pPr>
              <w:pStyle w:val="10"/>
            </w:pPr>
            <w:r>
              <w:t>项目名称</w:t>
            </w:r>
          </w:p>
        </w:tc>
        <w:tc>
          <w:tcPr>
            <w:tcW w:w="6095" w:type="dxa"/>
            <w:gridSpan w:val="3"/>
            <w:vAlign w:val="center"/>
          </w:tcPr>
          <w:p w14:paraId="5F302F19">
            <w:pPr>
              <w:pStyle w:val="12"/>
            </w:pPr>
            <w:r>
              <w:t>冀财教[2025]148号/支持义务教育发展/牛家桥中学公用经费</w:t>
            </w:r>
          </w:p>
        </w:tc>
      </w:tr>
      <w:tr w14:paraId="1C876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AE28F">
            <w:pPr>
              <w:pStyle w:val="10"/>
            </w:pPr>
            <w:r>
              <w:t>预算规模及资金用途</w:t>
            </w:r>
          </w:p>
        </w:tc>
        <w:tc>
          <w:tcPr>
            <w:tcW w:w="2268" w:type="dxa"/>
            <w:vAlign w:val="center"/>
          </w:tcPr>
          <w:p w14:paraId="5D68A293">
            <w:pPr>
              <w:pStyle w:val="10"/>
            </w:pPr>
            <w:r>
              <w:t>预算数</w:t>
            </w:r>
          </w:p>
        </w:tc>
        <w:tc>
          <w:tcPr>
            <w:tcW w:w="2835" w:type="dxa"/>
            <w:vAlign w:val="center"/>
          </w:tcPr>
          <w:p w14:paraId="0ED294D9">
            <w:pPr>
              <w:pStyle w:val="12"/>
            </w:pPr>
            <w:r>
              <w:t>5.00</w:t>
            </w:r>
          </w:p>
        </w:tc>
        <w:tc>
          <w:tcPr>
            <w:tcW w:w="2835" w:type="dxa"/>
            <w:vAlign w:val="center"/>
          </w:tcPr>
          <w:p w14:paraId="3F6698B3">
            <w:pPr>
              <w:pStyle w:val="10"/>
            </w:pPr>
            <w:r>
              <w:t>其中：财政    资金</w:t>
            </w:r>
          </w:p>
        </w:tc>
        <w:tc>
          <w:tcPr>
            <w:tcW w:w="2551" w:type="dxa"/>
            <w:vAlign w:val="center"/>
          </w:tcPr>
          <w:p w14:paraId="0991D019">
            <w:pPr>
              <w:pStyle w:val="12"/>
            </w:pPr>
            <w:r>
              <w:t>5.00</w:t>
            </w:r>
          </w:p>
        </w:tc>
        <w:tc>
          <w:tcPr>
            <w:tcW w:w="2268" w:type="dxa"/>
            <w:vAlign w:val="center"/>
          </w:tcPr>
          <w:p w14:paraId="5A623D33">
            <w:pPr>
              <w:pStyle w:val="10"/>
            </w:pPr>
            <w:r>
              <w:t>其他资金</w:t>
            </w:r>
          </w:p>
        </w:tc>
        <w:tc>
          <w:tcPr>
            <w:tcW w:w="1276" w:type="dxa"/>
            <w:vAlign w:val="center"/>
          </w:tcPr>
          <w:p w14:paraId="2D16EC2E">
            <w:pPr>
              <w:pStyle w:val="12"/>
            </w:pPr>
            <w:r>
              <w:t xml:space="preserve"> </w:t>
            </w:r>
          </w:p>
        </w:tc>
      </w:tr>
      <w:tr w14:paraId="302EB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6CFEB"/>
        </w:tc>
        <w:tc>
          <w:tcPr>
            <w:tcW w:w="14033" w:type="dxa"/>
            <w:gridSpan w:val="6"/>
            <w:vAlign w:val="center"/>
          </w:tcPr>
          <w:p w14:paraId="214C028A">
            <w:pPr>
              <w:pStyle w:val="12"/>
            </w:pPr>
            <w:r>
              <w:t>用于支持义务教育发展和保障教育教学工作顺利开展。</w:t>
            </w:r>
          </w:p>
        </w:tc>
      </w:tr>
      <w:tr w14:paraId="788A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F2939">
            <w:pPr>
              <w:pStyle w:val="10"/>
            </w:pPr>
            <w:r>
              <w:t>资金支出计划（%）</w:t>
            </w:r>
          </w:p>
        </w:tc>
        <w:tc>
          <w:tcPr>
            <w:tcW w:w="5103" w:type="dxa"/>
            <w:gridSpan w:val="2"/>
            <w:vAlign w:val="center"/>
          </w:tcPr>
          <w:p w14:paraId="7102E742">
            <w:pPr>
              <w:pStyle w:val="10"/>
            </w:pPr>
            <w:r>
              <w:t>3月底</w:t>
            </w:r>
          </w:p>
        </w:tc>
        <w:tc>
          <w:tcPr>
            <w:tcW w:w="2835" w:type="dxa"/>
            <w:vAlign w:val="center"/>
          </w:tcPr>
          <w:p w14:paraId="2810A3CF">
            <w:pPr>
              <w:pStyle w:val="10"/>
            </w:pPr>
            <w:r>
              <w:t>6月底</w:t>
            </w:r>
          </w:p>
        </w:tc>
        <w:tc>
          <w:tcPr>
            <w:tcW w:w="2551" w:type="dxa"/>
            <w:vAlign w:val="center"/>
          </w:tcPr>
          <w:p w14:paraId="6320266B">
            <w:pPr>
              <w:pStyle w:val="10"/>
            </w:pPr>
            <w:r>
              <w:t>10月底</w:t>
            </w:r>
          </w:p>
        </w:tc>
        <w:tc>
          <w:tcPr>
            <w:tcW w:w="3544" w:type="dxa"/>
            <w:gridSpan w:val="2"/>
            <w:vAlign w:val="center"/>
          </w:tcPr>
          <w:p w14:paraId="1F32D37B">
            <w:pPr>
              <w:pStyle w:val="10"/>
            </w:pPr>
            <w:r>
              <w:t>12月底</w:t>
            </w:r>
          </w:p>
        </w:tc>
      </w:tr>
      <w:tr w14:paraId="7D8FC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CFC1F"/>
        </w:tc>
        <w:tc>
          <w:tcPr>
            <w:tcW w:w="5103" w:type="dxa"/>
            <w:gridSpan w:val="2"/>
            <w:vAlign w:val="center"/>
          </w:tcPr>
          <w:p w14:paraId="073CC874">
            <w:pPr>
              <w:pStyle w:val="13"/>
            </w:pPr>
            <w:r>
              <w:t>25%</w:t>
            </w:r>
          </w:p>
        </w:tc>
        <w:tc>
          <w:tcPr>
            <w:tcW w:w="2835" w:type="dxa"/>
            <w:vAlign w:val="center"/>
          </w:tcPr>
          <w:p w14:paraId="25A1D826">
            <w:pPr>
              <w:pStyle w:val="13"/>
            </w:pPr>
            <w:r>
              <w:t>50%</w:t>
            </w:r>
          </w:p>
        </w:tc>
        <w:tc>
          <w:tcPr>
            <w:tcW w:w="2551" w:type="dxa"/>
            <w:vAlign w:val="center"/>
          </w:tcPr>
          <w:p w14:paraId="3326D8F5">
            <w:pPr>
              <w:pStyle w:val="13"/>
            </w:pPr>
            <w:r>
              <w:t>75%</w:t>
            </w:r>
          </w:p>
        </w:tc>
        <w:tc>
          <w:tcPr>
            <w:tcW w:w="3544" w:type="dxa"/>
            <w:gridSpan w:val="2"/>
            <w:vAlign w:val="center"/>
          </w:tcPr>
          <w:p w14:paraId="591ED7AE">
            <w:pPr>
              <w:pStyle w:val="13"/>
            </w:pPr>
            <w:r>
              <w:t>100%</w:t>
            </w:r>
          </w:p>
        </w:tc>
      </w:tr>
      <w:tr w14:paraId="34FA7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64A87">
            <w:pPr>
              <w:pStyle w:val="10"/>
            </w:pPr>
            <w:r>
              <w:t>绩效目标</w:t>
            </w:r>
          </w:p>
        </w:tc>
        <w:tc>
          <w:tcPr>
            <w:tcW w:w="14033" w:type="dxa"/>
            <w:gridSpan w:val="6"/>
            <w:vAlign w:val="center"/>
          </w:tcPr>
          <w:p w14:paraId="320E312E">
            <w:pPr>
              <w:pStyle w:val="12"/>
            </w:pPr>
            <w:r>
              <w:t>1.保障教育教学秩序正常运转。</w:t>
            </w:r>
          </w:p>
          <w:p w14:paraId="60214105">
            <w:pPr>
              <w:pStyle w:val="12"/>
            </w:pPr>
            <w:r>
              <w:t>2.完成心理咨询室维护以及教学楼墙体维护。</w:t>
            </w:r>
          </w:p>
        </w:tc>
      </w:tr>
    </w:tbl>
    <w:p w14:paraId="737B9B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7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3BBBC">
            <w:pPr>
              <w:pStyle w:val="10"/>
            </w:pPr>
            <w:r>
              <w:t>一级指标</w:t>
            </w:r>
          </w:p>
        </w:tc>
        <w:tc>
          <w:tcPr>
            <w:tcW w:w="2268" w:type="dxa"/>
            <w:vAlign w:val="center"/>
          </w:tcPr>
          <w:p w14:paraId="26BAADE6">
            <w:pPr>
              <w:pStyle w:val="10"/>
            </w:pPr>
            <w:r>
              <w:t>二级指标</w:t>
            </w:r>
          </w:p>
        </w:tc>
        <w:tc>
          <w:tcPr>
            <w:tcW w:w="2835" w:type="dxa"/>
            <w:vAlign w:val="center"/>
          </w:tcPr>
          <w:p w14:paraId="0FAD3969">
            <w:pPr>
              <w:pStyle w:val="10"/>
            </w:pPr>
            <w:r>
              <w:t>三级指标</w:t>
            </w:r>
          </w:p>
        </w:tc>
        <w:tc>
          <w:tcPr>
            <w:tcW w:w="5386" w:type="dxa"/>
            <w:vAlign w:val="center"/>
          </w:tcPr>
          <w:p w14:paraId="39C0CE6E">
            <w:pPr>
              <w:pStyle w:val="10"/>
            </w:pPr>
            <w:r>
              <w:t>绩效指标描述</w:t>
            </w:r>
          </w:p>
        </w:tc>
        <w:tc>
          <w:tcPr>
            <w:tcW w:w="2268" w:type="dxa"/>
            <w:vAlign w:val="center"/>
          </w:tcPr>
          <w:p w14:paraId="6FCD0950">
            <w:pPr>
              <w:pStyle w:val="10"/>
            </w:pPr>
            <w:r>
              <w:t>指标值</w:t>
            </w:r>
          </w:p>
        </w:tc>
        <w:tc>
          <w:tcPr>
            <w:tcW w:w="1276" w:type="dxa"/>
            <w:vAlign w:val="center"/>
          </w:tcPr>
          <w:p w14:paraId="3B4ED38A">
            <w:pPr>
              <w:pStyle w:val="10"/>
            </w:pPr>
            <w:r>
              <w:t>指标值确定依据</w:t>
            </w:r>
          </w:p>
        </w:tc>
      </w:tr>
      <w:tr w14:paraId="473D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51465">
            <w:pPr>
              <w:pStyle w:val="13"/>
            </w:pPr>
            <w:r>
              <w:t>产出指标</w:t>
            </w:r>
          </w:p>
        </w:tc>
        <w:tc>
          <w:tcPr>
            <w:tcW w:w="2268" w:type="dxa"/>
            <w:vAlign w:val="center"/>
          </w:tcPr>
          <w:p w14:paraId="3BBFCF19">
            <w:pPr>
              <w:pStyle w:val="12"/>
            </w:pPr>
            <w:r>
              <w:t>数量指标</w:t>
            </w:r>
          </w:p>
        </w:tc>
        <w:tc>
          <w:tcPr>
            <w:tcW w:w="2835" w:type="dxa"/>
            <w:vAlign w:val="center"/>
          </w:tcPr>
          <w:p w14:paraId="127EDFF7">
            <w:pPr>
              <w:pStyle w:val="12"/>
            </w:pPr>
            <w:r>
              <w:t>项目数</w:t>
            </w:r>
          </w:p>
        </w:tc>
        <w:tc>
          <w:tcPr>
            <w:tcW w:w="5386" w:type="dxa"/>
            <w:vAlign w:val="center"/>
          </w:tcPr>
          <w:p w14:paraId="6BBF6746">
            <w:pPr>
              <w:pStyle w:val="12"/>
            </w:pPr>
            <w:r>
              <w:t>心理咨询室维护维修以及教学楼墙体维护、美化</w:t>
            </w:r>
          </w:p>
        </w:tc>
        <w:tc>
          <w:tcPr>
            <w:tcW w:w="2268" w:type="dxa"/>
            <w:vAlign w:val="center"/>
          </w:tcPr>
          <w:p w14:paraId="6FA095F6">
            <w:pPr>
              <w:pStyle w:val="12"/>
            </w:pPr>
            <w:r>
              <w:t>2项</w:t>
            </w:r>
          </w:p>
        </w:tc>
        <w:tc>
          <w:tcPr>
            <w:tcW w:w="1276" w:type="dxa"/>
            <w:vAlign w:val="center"/>
          </w:tcPr>
          <w:p w14:paraId="3C7D97E9">
            <w:pPr>
              <w:pStyle w:val="12"/>
            </w:pPr>
            <w:r>
              <w:t>城乡义务教育指导办法</w:t>
            </w:r>
          </w:p>
        </w:tc>
      </w:tr>
      <w:tr w14:paraId="579D1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BAD83"/>
        </w:tc>
        <w:tc>
          <w:tcPr>
            <w:tcW w:w="2268" w:type="dxa"/>
            <w:vAlign w:val="center"/>
          </w:tcPr>
          <w:p w14:paraId="0FD118D1">
            <w:pPr>
              <w:pStyle w:val="12"/>
            </w:pPr>
            <w:r>
              <w:t>质量指标</w:t>
            </w:r>
          </w:p>
        </w:tc>
        <w:tc>
          <w:tcPr>
            <w:tcW w:w="2835" w:type="dxa"/>
            <w:vAlign w:val="center"/>
          </w:tcPr>
          <w:p w14:paraId="25413481">
            <w:pPr>
              <w:pStyle w:val="12"/>
            </w:pPr>
            <w:r>
              <w:t>项目验收合格率</w:t>
            </w:r>
          </w:p>
        </w:tc>
        <w:tc>
          <w:tcPr>
            <w:tcW w:w="5386" w:type="dxa"/>
            <w:vAlign w:val="center"/>
          </w:tcPr>
          <w:p w14:paraId="250A2CA0">
            <w:pPr>
              <w:pStyle w:val="12"/>
            </w:pPr>
            <w:r>
              <w:t>项目验收合格率</w:t>
            </w:r>
          </w:p>
        </w:tc>
        <w:tc>
          <w:tcPr>
            <w:tcW w:w="2268" w:type="dxa"/>
            <w:vAlign w:val="center"/>
          </w:tcPr>
          <w:p w14:paraId="0B27A4A3">
            <w:pPr>
              <w:pStyle w:val="12"/>
            </w:pPr>
            <w:r>
              <w:t>100%</w:t>
            </w:r>
          </w:p>
        </w:tc>
        <w:tc>
          <w:tcPr>
            <w:tcW w:w="1276" w:type="dxa"/>
            <w:vAlign w:val="center"/>
          </w:tcPr>
          <w:p w14:paraId="7AE61BE3">
            <w:pPr>
              <w:pStyle w:val="12"/>
            </w:pPr>
            <w:r>
              <w:t>城乡义务教育指导办法</w:t>
            </w:r>
          </w:p>
        </w:tc>
      </w:tr>
      <w:tr w14:paraId="0BAC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30CDA"/>
        </w:tc>
        <w:tc>
          <w:tcPr>
            <w:tcW w:w="2268" w:type="dxa"/>
            <w:vAlign w:val="center"/>
          </w:tcPr>
          <w:p w14:paraId="2DB8DD1B">
            <w:pPr>
              <w:pStyle w:val="12"/>
            </w:pPr>
            <w:r>
              <w:t>时效指标</w:t>
            </w:r>
          </w:p>
        </w:tc>
        <w:tc>
          <w:tcPr>
            <w:tcW w:w="2835" w:type="dxa"/>
            <w:vAlign w:val="center"/>
          </w:tcPr>
          <w:p w14:paraId="0220E0AF">
            <w:pPr>
              <w:pStyle w:val="12"/>
            </w:pPr>
            <w:r>
              <w:t>按期完成率</w:t>
            </w:r>
          </w:p>
        </w:tc>
        <w:tc>
          <w:tcPr>
            <w:tcW w:w="5386" w:type="dxa"/>
            <w:vAlign w:val="center"/>
          </w:tcPr>
          <w:p w14:paraId="1DCA1C5A">
            <w:pPr>
              <w:pStyle w:val="12"/>
            </w:pPr>
            <w:r>
              <w:t>期限</w:t>
            </w:r>
          </w:p>
        </w:tc>
        <w:tc>
          <w:tcPr>
            <w:tcW w:w="2268" w:type="dxa"/>
            <w:vAlign w:val="center"/>
          </w:tcPr>
          <w:p w14:paraId="4E139D80">
            <w:pPr>
              <w:pStyle w:val="12"/>
            </w:pPr>
            <w:r>
              <w:t>≤3月</w:t>
            </w:r>
          </w:p>
        </w:tc>
        <w:tc>
          <w:tcPr>
            <w:tcW w:w="1276" w:type="dxa"/>
            <w:vAlign w:val="center"/>
          </w:tcPr>
          <w:p w14:paraId="02B97962">
            <w:pPr>
              <w:pStyle w:val="12"/>
            </w:pPr>
            <w:r>
              <w:t>城乡义务教育指导办法</w:t>
            </w:r>
          </w:p>
        </w:tc>
      </w:tr>
      <w:tr w14:paraId="3F4A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9A024"/>
        </w:tc>
        <w:tc>
          <w:tcPr>
            <w:tcW w:w="2268" w:type="dxa"/>
            <w:vAlign w:val="center"/>
          </w:tcPr>
          <w:p w14:paraId="0A94935F">
            <w:pPr>
              <w:pStyle w:val="12"/>
            </w:pPr>
            <w:r>
              <w:t>成本指标</w:t>
            </w:r>
          </w:p>
        </w:tc>
        <w:tc>
          <w:tcPr>
            <w:tcW w:w="2835" w:type="dxa"/>
            <w:vAlign w:val="center"/>
          </w:tcPr>
          <w:p w14:paraId="667DCDDD">
            <w:pPr>
              <w:pStyle w:val="12"/>
            </w:pPr>
            <w:r>
              <w:t>成本控制率</w:t>
            </w:r>
          </w:p>
        </w:tc>
        <w:tc>
          <w:tcPr>
            <w:tcW w:w="5386" w:type="dxa"/>
            <w:vAlign w:val="center"/>
          </w:tcPr>
          <w:p w14:paraId="2628B70A">
            <w:pPr>
              <w:pStyle w:val="12"/>
            </w:pPr>
            <w:r>
              <w:t>完成项目的成本控制在预算水平</w:t>
            </w:r>
          </w:p>
        </w:tc>
        <w:tc>
          <w:tcPr>
            <w:tcW w:w="2268" w:type="dxa"/>
            <w:vAlign w:val="center"/>
          </w:tcPr>
          <w:p w14:paraId="649296DA">
            <w:pPr>
              <w:pStyle w:val="12"/>
            </w:pPr>
            <w:r>
              <w:t>≤5万元</w:t>
            </w:r>
          </w:p>
        </w:tc>
        <w:tc>
          <w:tcPr>
            <w:tcW w:w="1276" w:type="dxa"/>
            <w:vAlign w:val="center"/>
          </w:tcPr>
          <w:p w14:paraId="1739450B">
            <w:pPr>
              <w:pStyle w:val="12"/>
            </w:pPr>
            <w:r>
              <w:t>城乡义务教育指导办法</w:t>
            </w:r>
          </w:p>
        </w:tc>
      </w:tr>
      <w:tr w14:paraId="7669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C28AB">
            <w:pPr>
              <w:pStyle w:val="13"/>
            </w:pPr>
            <w:r>
              <w:t>效益指标</w:t>
            </w:r>
          </w:p>
        </w:tc>
        <w:tc>
          <w:tcPr>
            <w:tcW w:w="2268" w:type="dxa"/>
            <w:vAlign w:val="center"/>
          </w:tcPr>
          <w:p w14:paraId="2E26D3BB">
            <w:pPr>
              <w:pStyle w:val="12"/>
            </w:pPr>
            <w:r>
              <w:t>社会效益指标</w:t>
            </w:r>
          </w:p>
        </w:tc>
        <w:tc>
          <w:tcPr>
            <w:tcW w:w="2835" w:type="dxa"/>
            <w:vAlign w:val="center"/>
          </w:tcPr>
          <w:p w14:paraId="2A766223">
            <w:pPr>
              <w:pStyle w:val="12"/>
            </w:pPr>
            <w:r>
              <w:rPr>
                <w:rFonts w:hint="eastAsia"/>
                <w:lang w:eastAsia="zh-CN"/>
              </w:rPr>
              <w:t>受益</w:t>
            </w:r>
            <w:r>
              <w:t>学生数</w:t>
            </w:r>
          </w:p>
        </w:tc>
        <w:tc>
          <w:tcPr>
            <w:tcW w:w="5386" w:type="dxa"/>
            <w:vAlign w:val="center"/>
          </w:tcPr>
          <w:p w14:paraId="3EF6D4A2">
            <w:pPr>
              <w:pStyle w:val="12"/>
            </w:pPr>
            <w:r>
              <w:rPr>
                <w:rFonts w:hint="eastAsia"/>
                <w:lang w:eastAsia="zh-CN"/>
              </w:rPr>
              <w:t>受益</w:t>
            </w:r>
            <w:r>
              <w:t>学生数</w:t>
            </w:r>
          </w:p>
        </w:tc>
        <w:tc>
          <w:tcPr>
            <w:tcW w:w="2268" w:type="dxa"/>
            <w:vAlign w:val="center"/>
          </w:tcPr>
          <w:p w14:paraId="1559B2FE">
            <w:pPr>
              <w:pStyle w:val="12"/>
            </w:pPr>
            <w:r>
              <w:t>≥432人</w:t>
            </w:r>
          </w:p>
        </w:tc>
        <w:tc>
          <w:tcPr>
            <w:tcW w:w="1276" w:type="dxa"/>
            <w:vAlign w:val="center"/>
          </w:tcPr>
          <w:p w14:paraId="5A286F07">
            <w:pPr>
              <w:pStyle w:val="12"/>
            </w:pPr>
            <w:r>
              <w:t>城乡义务教育指导办法</w:t>
            </w:r>
          </w:p>
        </w:tc>
      </w:tr>
      <w:tr w14:paraId="7A85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405D1"/>
        </w:tc>
        <w:tc>
          <w:tcPr>
            <w:tcW w:w="2268" w:type="dxa"/>
            <w:vAlign w:val="center"/>
          </w:tcPr>
          <w:p w14:paraId="093F11B5">
            <w:pPr>
              <w:pStyle w:val="12"/>
            </w:pPr>
            <w:r>
              <w:t>可持续影响指标</w:t>
            </w:r>
          </w:p>
        </w:tc>
        <w:tc>
          <w:tcPr>
            <w:tcW w:w="2835" w:type="dxa"/>
            <w:vAlign w:val="center"/>
          </w:tcPr>
          <w:p w14:paraId="2DA8049B">
            <w:pPr>
              <w:pStyle w:val="12"/>
            </w:pPr>
            <w:r>
              <w:t>可持续使用年限</w:t>
            </w:r>
          </w:p>
        </w:tc>
        <w:tc>
          <w:tcPr>
            <w:tcW w:w="5386" w:type="dxa"/>
            <w:vAlign w:val="center"/>
          </w:tcPr>
          <w:p w14:paraId="086D95DB">
            <w:pPr>
              <w:pStyle w:val="12"/>
            </w:pPr>
            <w:r>
              <w:t>可持续使用年限情况</w:t>
            </w:r>
          </w:p>
        </w:tc>
        <w:tc>
          <w:tcPr>
            <w:tcW w:w="2268" w:type="dxa"/>
            <w:vAlign w:val="center"/>
          </w:tcPr>
          <w:p w14:paraId="071C25D4">
            <w:pPr>
              <w:pStyle w:val="12"/>
            </w:pPr>
            <w:r>
              <w:t>≥6年</w:t>
            </w:r>
          </w:p>
        </w:tc>
        <w:tc>
          <w:tcPr>
            <w:tcW w:w="1276" w:type="dxa"/>
            <w:vAlign w:val="center"/>
          </w:tcPr>
          <w:p w14:paraId="498D69C6">
            <w:pPr>
              <w:pStyle w:val="12"/>
            </w:pPr>
            <w:r>
              <w:t>城乡义务教育指导办法</w:t>
            </w:r>
          </w:p>
        </w:tc>
      </w:tr>
      <w:tr w14:paraId="2BB5C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5AED8">
            <w:pPr>
              <w:pStyle w:val="13"/>
            </w:pPr>
            <w:r>
              <w:t>满意度指标</w:t>
            </w:r>
          </w:p>
        </w:tc>
        <w:tc>
          <w:tcPr>
            <w:tcW w:w="2268" w:type="dxa"/>
            <w:vAlign w:val="center"/>
          </w:tcPr>
          <w:p w14:paraId="0A4FDB71">
            <w:pPr>
              <w:pStyle w:val="12"/>
            </w:pPr>
            <w:r>
              <w:t>服务对象满意度指标</w:t>
            </w:r>
          </w:p>
        </w:tc>
        <w:tc>
          <w:tcPr>
            <w:tcW w:w="2835" w:type="dxa"/>
            <w:vAlign w:val="center"/>
          </w:tcPr>
          <w:p w14:paraId="53A6F274">
            <w:pPr>
              <w:pStyle w:val="12"/>
            </w:pPr>
            <w:r>
              <w:t>群众满意度</w:t>
            </w:r>
          </w:p>
        </w:tc>
        <w:tc>
          <w:tcPr>
            <w:tcW w:w="5386" w:type="dxa"/>
            <w:vAlign w:val="center"/>
          </w:tcPr>
          <w:p w14:paraId="01206B56">
            <w:pPr>
              <w:pStyle w:val="12"/>
            </w:pPr>
            <w:r>
              <w:t>群众对办学环境的满意度</w:t>
            </w:r>
          </w:p>
        </w:tc>
        <w:tc>
          <w:tcPr>
            <w:tcW w:w="2268" w:type="dxa"/>
            <w:vAlign w:val="center"/>
          </w:tcPr>
          <w:p w14:paraId="4EA3E2A8">
            <w:pPr>
              <w:pStyle w:val="12"/>
            </w:pPr>
            <w:r>
              <w:t>≥98%</w:t>
            </w:r>
          </w:p>
        </w:tc>
        <w:tc>
          <w:tcPr>
            <w:tcW w:w="1276" w:type="dxa"/>
            <w:vAlign w:val="center"/>
          </w:tcPr>
          <w:p w14:paraId="524EE9A3">
            <w:pPr>
              <w:pStyle w:val="12"/>
            </w:pPr>
            <w:r>
              <w:t>调查问卷</w:t>
            </w:r>
          </w:p>
        </w:tc>
      </w:tr>
    </w:tbl>
    <w:p w14:paraId="6A521D79">
      <w:pPr>
        <w:sectPr>
          <w:pgSz w:w="16840" w:h="11900" w:orient="landscape"/>
          <w:pgMar w:top="1361" w:right="1020" w:bottom="1134" w:left="1020" w:header="720" w:footer="720" w:gutter="0"/>
          <w:cols w:space="720" w:num="1"/>
        </w:sectPr>
      </w:pPr>
    </w:p>
    <w:p w14:paraId="198F9B34">
      <w:pPr>
        <w:spacing w:before="0" w:after="0"/>
        <w:ind w:firstLine="560"/>
        <w:jc w:val="left"/>
        <w:outlineLvl w:val="9"/>
      </w:pPr>
      <w:r>
        <w:rPr>
          <w:rFonts w:ascii="方正仿宋_GBK" w:hAnsi="方正仿宋_GBK" w:eastAsia="方正仿宋_GBK" w:cs="方正仿宋_GBK"/>
          <w:b/>
          <w:color w:val="000000"/>
          <w:sz w:val="28"/>
        </w:rPr>
        <w:t>4、县级配套/牛家桥中学公用经费绩效目标表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45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76EC8">
            <w:pPr>
              <w:pStyle w:val="11"/>
            </w:pPr>
            <w:r>
              <w:t>单位：万元</w:t>
            </w:r>
          </w:p>
        </w:tc>
      </w:tr>
      <w:tr w14:paraId="68D86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C8BEB">
            <w:pPr>
              <w:pStyle w:val="10"/>
            </w:pPr>
            <w:r>
              <w:t>项目编码</w:t>
            </w:r>
          </w:p>
        </w:tc>
        <w:tc>
          <w:tcPr>
            <w:tcW w:w="5103" w:type="dxa"/>
            <w:gridSpan w:val="2"/>
            <w:vAlign w:val="center"/>
          </w:tcPr>
          <w:p w14:paraId="7E2CD780">
            <w:pPr>
              <w:pStyle w:val="12"/>
            </w:pPr>
            <w:r>
              <w:t>13052526P000004104094</w:t>
            </w:r>
          </w:p>
        </w:tc>
        <w:tc>
          <w:tcPr>
            <w:tcW w:w="2835" w:type="dxa"/>
            <w:vAlign w:val="center"/>
          </w:tcPr>
          <w:p w14:paraId="6B25E084">
            <w:pPr>
              <w:pStyle w:val="10"/>
            </w:pPr>
            <w:r>
              <w:t>项目名称</w:t>
            </w:r>
          </w:p>
        </w:tc>
        <w:tc>
          <w:tcPr>
            <w:tcW w:w="6095" w:type="dxa"/>
            <w:gridSpan w:val="3"/>
            <w:vAlign w:val="center"/>
          </w:tcPr>
          <w:p w14:paraId="3D119383">
            <w:pPr>
              <w:pStyle w:val="12"/>
            </w:pPr>
            <w:r>
              <w:t>县级配套/牛家桥中学公用经费</w:t>
            </w:r>
          </w:p>
        </w:tc>
      </w:tr>
      <w:tr w14:paraId="3319C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3875">
            <w:pPr>
              <w:pStyle w:val="10"/>
            </w:pPr>
            <w:r>
              <w:t>预算规模及资金用途</w:t>
            </w:r>
          </w:p>
        </w:tc>
        <w:tc>
          <w:tcPr>
            <w:tcW w:w="2268" w:type="dxa"/>
            <w:vAlign w:val="center"/>
          </w:tcPr>
          <w:p w14:paraId="5E0A095A">
            <w:pPr>
              <w:pStyle w:val="10"/>
            </w:pPr>
            <w:r>
              <w:t>预算数</w:t>
            </w:r>
          </w:p>
        </w:tc>
        <w:tc>
          <w:tcPr>
            <w:tcW w:w="2835" w:type="dxa"/>
            <w:vAlign w:val="center"/>
          </w:tcPr>
          <w:p w14:paraId="7FC43F6B">
            <w:pPr>
              <w:pStyle w:val="12"/>
            </w:pPr>
            <w:r>
              <w:t>11.94</w:t>
            </w:r>
          </w:p>
        </w:tc>
        <w:tc>
          <w:tcPr>
            <w:tcW w:w="2835" w:type="dxa"/>
            <w:vAlign w:val="center"/>
          </w:tcPr>
          <w:p w14:paraId="0AB988D8">
            <w:pPr>
              <w:pStyle w:val="10"/>
            </w:pPr>
            <w:r>
              <w:t>其中：财政    资金</w:t>
            </w:r>
          </w:p>
        </w:tc>
        <w:tc>
          <w:tcPr>
            <w:tcW w:w="2551" w:type="dxa"/>
            <w:vAlign w:val="center"/>
          </w:tcPr>
          <w:p w14:paraId="4D795A49">
            <w:pPr>
              <w:pStyle w:val="12"/>
            </w:pPr>
            <w:r>
              <w:t>11.94</w:t>
            </w:r>
          </w:p>
        </w:tc>
        <w:tc>
          <w:tcPr>
            <w:tcW w:w="2268" w:type="dxa"/>
            <w:vAlign w:val="center"/>
          </w:tcPr>
          <w:p w14:paraId="3975AF8E">
            <w:pPr>
              <w:pStyle w:val="10"/>
            </w:pPr>
            <w:r>
              <w:t>其他资金</w:t>
            </w:r>
          </w:p>
        </w:tc>
        <w:tc>
          <w:tcPr>
            <w:tcW w:w="1276" w:type="dxa"/>
            <w:vAlign w:val="center"/>
          </w:tcPr>
          <w:p w14:paraId="39DDA734">
            <w:pPr>
              <w:pStyle w:val="12"/>
            </w:pPr>
            <w:r>
              <w:t xml:space="preserve"> </w:t>
            </w:r>
          </w:p>
        </w:tc>
      </w:tr>
      <w:tr w14:paraId="5D5A1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17571"/>
        </w:tc>
        <w:tc>
          <w:tcPr>
            <w:tcW w:w="14033" w:type="dxa"/>
            <w:gridSpan w:val="6"/>
            <w:vAlign w:val="center"/>
          </w:tcPr>
          <w:p w14:paraId="53154E56">
            <w:pPr>
              <w:pStyle w:val="12"/>
            </w:pPr>
            <w:r>
              <w:t>保障义务教育阶段正常的教育管理，保障教育教学秩序的正常开展。</w:t>
            </w:r>
          </w:p>
        </w:tc>
      </w:tr>
      <w:tr w14:paraId="6F5F3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A8654">
            <w:pPr>
              <w:pStyle w:val="10"/>
            </w:pPr>
            <w:r>
              <w:t>资金支出计划（%）</w:t>
            </w:r>
          </w:p>
        </w:tc>
        <w:tc>
          <w:tcPr>
            <w:tcW w:w="5103" w:type="dxa"/>
            <w:gridSpan w:val="2"/>
            <w:vAlign w:val="center"/>
          </w:tcPr>
          <w:p w14:paraId="42018EF4">
            <w:pPr>
              <w:pStyle w:val="10"/>
            </w:pPr>
            <w:r>
              <w:t>3月底</w:t>
            </w:r>
          </w:p>
        </w:tc>
        <w:tc>
          <w:tcPr>
            <w:tcW w:w="2835" w:type="dxa"/>
            <w:vAlign w:val="center"/>
          </w:tcPr>
          <w:p w14:paraId="44290DC4">
            <w:pPr>
              <w:pStyle w:val="10"/>
            </w:pPr>
            <w:r>
              <w:t>6月底</w:t>
            </w:r>
          </w:p>
        </w:tc>
        <w:tc>
          <w:tcPr>
            <w:tcW w:w="2551" w:type="dxa"/>
            <w:vAlign w:val="center"/>
          </w:tcPr>
          <w:p w14:paraId="7E5F82CB">
            <w:pPr>
              <w:pStyle w:val="10"/>
            </w:pPr>
            <w:r>
              <w:t>10月底</w:t>
            </w:r>
          </w:p>
        </w:tc>
        <w:tc>
          <w:tcPr>
            <w:tcW w:w="3544" w:type="dxa"/>
            <w:gridSpan w:val="2"/>
            <w:vAlign w:val="center"/>
          </w:tcPr>
          <w:p w14:paraId="19C0FC9D">
            <w:pPr>
              <w:pStyle w:val="10"/>
            </w:pPr>
            <w:r>
              <w:t>12月底</w:t>
            </w:r>
          </w:p>
        </w:tc>
      </w:tr>
      <w:tr w14:paraId="4C5CF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1E0F5"/>
        </w:tc>
        <w:tc>
          <w:tcPr>
            <w:tcW w:w="5103" w:type="dxa"/>
            <w:gridSpan w:val="2"/>
            <w:vAlign w:val="center"/>
          </w:tcPr>
          <w:p w14:paraId="74386D9E">
            <w:pPr>
              <w:pStyle w:val="13"/>
            </w:pPr>
            <w:r>
              <w:t>25%</w:t>
            </w:r>
          </w:p>
        </w:tc>
        <w:tc>
          <w:tcPr>
            <w:tcW w:w="2835" w:type="dxa"/>
            <w:vAlign w:val="center"/>
          </w:tcPr>
          <w:p w14:paraId="30E8FB0C">
            <w:pPr>
              <w:pStyle w:val="13"/>
            </w:pPr>
            <w:r>
              <w:t>50%</w:t>
            </w:r>
          </w:p>
        </w:tc>
        <w:tc>
          <w:tcPr>
            <w:tcW w:w="2551" w:type="dxa"/>
            <w:vAlign w:val="center"/>
          </w:tcPr>
          <w:p w14:paraId="65E7C739">
            <w:pPr>
              <w:pStyle w:val="13"/>
            </w:pPr>
            <w:r>
              <w:t>75%</w:t>
            </w:r>
          </w:p>
        </w:tc>
        <w:tc>
          <w:tcPr>
            <w:tcW w:w="3544" w:type="dxa"/>
            <w:gridSpan w:val="2"/>
            <w:vAlign w:val="center"/>
          </w:tcPr>
          <w:p w14:paraId="52DA2F92">
            <w:pPr>
              <w:pStyle w:val="13"/>
            </w:pPr>
            <w:r>
              <w:t>100%</w:t>
            </w:r>
          </w:p>
        </w:tc>
      </w:tr>
      <w:tr w14:paraId="16B14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ECFC4">
            <w:pPr>
              <w:pStyle w:val="10"/>
            </w:pPr>
            <w:r>
              <w:t>绩效目标</w:t>
            </w:r>
          </w:p>
        </w:tc>
        <w:tc>
          <w:tcPr>
            <w:tcW w:w="14033" w:type="dxa"/>
            <w:gridSpan w:val="6"/>
            <w:vAlign w:val="center"/>
          </w:tcPr>
          <w:p w14:paraId="12454D92">
            <w:pPr>
              <w:pStyle w:val="12"/>
            </w:pPr>
            <w:r>
              <w:t>1.按照时间节点及时完成支付</w:t>
            </w:r>
          </w:p>
          <w:p w14:paraId="7AE92E8D">
            <w:pPr>
              <w:pStyle w:val="12"/>
            </w:pPr>
            <w:r>
              <w:t>2.保障义务教育阶段教学秩序的正常运转，保障教育教学经费正常支出。</w:t>
            </w:r>
          </w:p>
        </w:tc>
      </w:tr>
    </w:tbl>
    <w:p w14:paraId="22A75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B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861FB">
            <w:pPr>
              <w:pStyle w:val="10"/>
            </w:pPr>
            <w:r>
              <w:t>一级指标</w:t>
            </w:r>
          </w:p>
        </w:tc>
        <w:tc>
          <w:tcPr>
            <w:tcW w:w="2268" w:type="dxa"/>
            <w:vAlign w:val="center"/>
          </w:tcPr>
          <w:p w14:paraId="5274A879">
            <w:pPr>
              <w:pStyle w:val="10"/>
            </w:pPr>
            <w:r>
              <w:t>二级指标</w:t>
            </w:r>
          </w:p>
        </w:tc>
        <w:tc>
          <w:tcPr>
            <w:tcW w:w="2835" w:type="dxa"/>
            <w:vAlign w:val="center"/>
          </w:tcPr>
          <w:p w14:paraId="23DA2074">
            <w:pPr>
              <w:pStyle w:val="10"/>
            </w:pPr>
            <w:r>
              <w:t>三级指标</w:t>
            </w:r>
          </w:p>
        </w:tc>
        <w:tc>
          <w:tcPr>
            <w:tcW w:w="5386" w:type="dxa"/>
            <w:vAlign w:val="center"/>
          </w:tcPr>
          <w:p w14:paraId="4534D4CF">
            <w:pPr>
              <w:pStyle w:val="10"/>
            </w:pPr>
            <w:r>
              <w:t>绩效指标描述</w:t>
            </w:r>
          </w:p>
        </w:tc>
        <w:tc>
          <w:tcPr>
            <w:tcW w:w="2268" w:type="dxa"/>
            <w:vAlign w:val="center"/>
          </w:tcPr>
          <w:p w14:paraId="0BA6684C">
            <w:pPr>
              <w:pStyle w:val="10"/>
            </w:pPr>
            <w:r>
              <w:t>指标值</w:t>
            </w:r>
          </w:p>
        </w:tc>
        <w:tc>
          <w:tcPr>
            <w:tcW w:w="1276" w:type="dxa"/>
            <w:vAlign w:val="center"/>
          </w:tcPr>
          <w:p w14:paraId="436388B1">
            <w:pPr>
              <w:pStyle w:val="10"/>
            </w:pPr>
            <w:r>
              <w:t>指标值确定依据</w:t>
            </w:r>
          </w:p>
        </w:tc>
      </w:tr>
      <w:tr w14:paraId="7CAB7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101D7">
            <w:pPr>
              <w:pStyle w:val="13"/>
            </w:pPr>
            <w:r>
              <w:t>产出指标</w:t>
            </w:r>
          </w:p>
        </w:tc>
        <w:tc>
          <w:tcPr>
            <w:tcW w:w="2268" w:type="dxa"/>
            <w:vAlign w:val="center"/>
          </w:tcPr>
          <w:p w14:paraId="228947B6">
            <w:pPr>
              <w:pStyle w:val="12"/>
            </w:pPr>
            <w:r>
              <w:t>数量指标</w:t>
            </w:r>
          </w:p>
        </w:tc>
        <w:tc>
          <w:tcPr>
            <w:tcW w:w="2835" w:type="dxa"/>
            <w:vAlign w:val="center"/>
          </w:tcPr>
          <w:p w14:paraId="3E0AD113">
            <w:pPr>
              <w:pStyle w:val="12"/>
            </w:pPr>
            <w:r>
              <w:t>保障在校生完成义务教育阶段学习</w:t>
            </w:r>
          </w:p>
        </w:tc>
        <w:tc>
          <w:tcPr>
            <w:tcW w:w="5386" w:type="dxa"/>
            <w:vAlign w:val="center"/>
          </w:tcPr>
          <w:p w14:paraId="55001432">
            <w:pPr>
              <w:pStyle w:val="12"/>
            </w:pPr>
            <w:r>
              <w:t>数量覆盖全部学生</w:t>
            </w:r>
          </w:p>
        </w:tc>
        <w:tc>
          <w:tcPr>
            <w:tcW w:w="2268" w:type="dxa"/>
            <w:vAlign w:val="center"/>
          </w:tcPr>
          <w:p w14:paraId="6F639EDA">
            <w:pPr>
              <w:pStyle w:val="12"/>
            </w:pPr>
            <w:r>
              <w:t>698人</w:t>
            </w:r>
          </w:p>
        </w:tc>
        <w:tc>
          <w:tcPr>
            <w:tcW w:w="1276" w:type="dxa"/>
            <w:vAlign w:val="center"/>
          </w:tcPr>
          <w:p w14:paraId="459B24BE">
            <w:pPr>
              <w:pStyle w:val="12"/>
            </w:pPr>
            <w:r>
              <w:t>在校生数</w:t>
            </w:r>
          </w:p>
        </w:tc>
      </w:tr>
      <w:tr w14:paraId="39E7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7AF8A"/>
        </w:tc>
        <w:tc>
          <w:tcPr>
            <w:tcW w:w="2268" w:type="dxa"/>
            <w:vAlign w:val="center"/>
          </w:tcPr>
          <w:p w14:paraId="60577BF5">
            <w:pPr>
              <w:pStyle w:val="12"/>
            </w:pPr>
            <w:r>
              <w:t>质量指标</w:t>
            </w:r>
          </w:p>
        </w:tc>
        <w:tc>
          <w:tcPr>
            <w:tcW w:w="2835" w:type="dxa"/>
            <w:vAlign w:val="center"/>
          </w:tcPr>
          <w:p w14:paraId="1F7CDC6A">
            <w:pPr>
              <w:pStyle w:val="12"/>
            </w:pPr>
            <w:r>
              <w:t>保障在校生受教育程度达标</w:t>
            </w:r>
          </w:p>
        </w:tc>
        <w:tc>
          <w:tcPr>
            <w:tcW w:w="5386" w:type="dxa"/>
            <w:vAlign w:val="center"/>
          </w:tcPr>
          <w:p w14:paraId="1CE536ED">
            <w:pPr>
              <w:pStyle w:val="12"/>
            </w:pPr>
            <w:r>
              <w:t>完成率</w:t>
            </w:r>
          </w:p>
        </w:tc>
        <w:tc>
          <w:tcPr>
            <w:tcW w:w="2268" w:type="dxa"/>
            <w:vAlign w:val="center"/>
          </w:tcPr>
          <w:p w14:paraId="3AF55C72">
            <w:pPr>
              <w:pStyle w:val="12"/>
            </w:pPr>
            <w:r>
              <w:t>100%</w:t>
            </w:r>
          </w:p>
        </w:tc>
        <w:tc>
          <w:tcPr>
            <w:tcW w:w="1276" w:type="dxa"/>
            <w:vAlign w:val="center"/>
          </w:tcPr>
          <w:p w14:paraId="35CF5C12">
            <w:pPr>
              <w:pStyle w:val="12"/>
            </w:pPr>
            <w:r>
              <w:t>年度工作计划</w:t>
            </w:r>
          </w:p>
        </w:tc>
      </w:tr>
      <w:tr w14:paraId="61CA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D6564"/>
        </w:tc>
        <w:tc>
          <w:tcPr>
            <w:tcW w:w="2268" w:type="dxa"/>
            <w:vAlign w:val="center"/>
          </w:tcPr>
          <w:p w14:paraId="37A9DDAF">
            <w:pPr>
              <w:pStyle w:val="12"/>
            </w:pPr>
            <w:r>
              <w:t>时效指标</w:t>
            </w:r>
          </w:p>
        </w:tc>
        <w:tc>
          <w:tcPr>
            <w:tcW w:w="2835" w:type="dxa"/>
            <w:vAlign w:val="center"/>
          </w:tcPr>
          <w:p w14:paraId="0FC8B2C8">
            <w:pPr>
              <w:pStyle w:val="12"/>
            </w:pPr>
            <w:r>
              <w:t>支付及时率</w:t>
            </w:r>
          </w:p>
        </w:tc>
        <w:tc>
          <w:tcPr>
            <w:tcW w:w="5386" w:type="dxa"/>
            <w:vAlign w:val="center"/>
          </w:tcPr>
          <w:p w14:paraId="48F1E2E2">
            <w:pPr>
              <w:pStyle w:val="12"/>
            </w:pPr>
            <w:r>
              <w:t>按照实际支出完成支付</w:t>
            </w:r>
          </w:p>
        </w:tc>
        <w:tc>
          <w:tcPr>
            <w:tcW w:w="2268" w:type="dxa"/>
            <w:vAlign w:val="center"/>
          </w:tcPr>
          <w:p w14:paraId="337EC51B">
            <w:pPr>
              <w:pStyle w:val="12"/>
            </w:pPr>
            <w:r>
              <w:t>100%</w:t>
            </w:r>
          </w:p>
        </w:tc>
        <w:tc>
          <w:tcPr>
            <w:tcW w:w="1276" w:type="dxa"/>
            <w:vAlign w:val="center"/>
          </w:tcPr>
          <w:p w14:paraId="68C5B0C3">
            <w:pPr>
              <w:pStyle w:val="12"/>
            </w:pPr>
            <w:r>
              <w:t>年度工作计划</w:t>
            </w:r>
          </w:p>
        </w:tc>
      </w:tr>
      <w:tr w14:paraId="1596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37787"/>
        </w:tc>
        <w:tc>
          <w:tcPr>
            <w:tcW w:w="2268" w:type="dxa"/>
            <w:vAlign w:val="center"/>
          </w:tcPr>
          <w:p w14:paraId="10D1124C">
            <w:pPr>
              <w:pStyle w:val="12"/>
            </w:pPr>
            <w:r>
              <w:t>成本指标</w:t>
            </w:r>
          </w:p>
        </w:tc>
        <w:tc>
          <w:tcPr>
            <w:tcW w:w="2835" w:type="dxa"/>
            <w:vAlign w:val="center"/>
          </w:tcPr>
          <w:p w14:paraId="05A849B6">
            <w:pPr>
              <w:pStyle w:val="12"/>
            </w:pPr>
            <w:r>
              <w:t>支出标准</w:t>
            </w:r>
          </w:p>
        </w:tc>
        <w:tc>
          <w:tcPr>
            <w:tcW w:w="5386" w:type="dxa"/>
            <w:vAlign w:val="center"/>
          </w:tcPr>
          <w:p w14:paraId="251D35A1">
            <w:pPr>
              <w:pStyle w:val="12"/>
            </w:pPr>
            <w:r>
              <w:t>义务教育生均指标</w:t>
            </w:r>
          </w:p>
        </w:tc>
        <w:tc>
          <w:tcPr>
            <w:tcW w:w="2268" w:type="dxa"/>
            <w:vAlign w:val="center"/>
          </w:tcPr>
          <w:p w14:paraId="571DFE45">
            <w:pPr>
              <w:pStyle w:val="12"/>
            </w:pPr>
            <w:r>
              <w:t>1360元/人</w:t>
            </w:r>
          </w:p>
        </w:tc>
        <w:tc>
          <w:tcPr>
            <w:tcW w:w="1276" w:type="dxa"/>
            <w:vAlign w:val="center"/>
          </w:tcPr>
          <w:p w14:paraId="1619170C">
            <w:pPr>
              <w:pStyle w:val="12"/>
            </w:pPr>
            <w:r>
              <w:t>义务教育公用经费标准</w:t>
            </w:r>
          </w:p>
        </w:tc>
      </w:tr>
      <w:tr w14:paraId="75B5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6A89E">
            <w:pPr>
              <w:pStyle w:val="13"/>
            </w:pPr>
            <w:r>
              <w:t>效益指标</w:t>
            </w:r>
          </w:p>
        </w:tc>
        <w:tc>
          <w:tcPr>
            <w:tcW w:w="2268" w:type="dxa"/>
            <w:vAlign w:val="center"/>
          </w:tcPr>
          <w:p w14:paraId="7F413AA8">
            <w:pPr>
              <w:pStyle w:val="12"/>
            </w:pPr>
            <w:r>
              <w:t>社会效益指标</w:t>
            </w:r>
          </w:p>
        </w:tc>
        <w:tc>
          <w:tcPr>
            <w:tcW w:w="2835" w:type="dxa"/>
            <w:vAlign w:val="center"/>
          </w:tcPr>
          <w:p w14:paraId="530DFE8F">
            <w:pPr>
              <w:pStyle w:val="12"/>
            </w:pPr>
            <w:r>
              <w:rPr>
                <w:rFonts w:hint="eastAsia"/>
                <w:lang w:eastAsia="zh-CN"/>
              </w:rPr>
              <w:t>受益</w:t>
            </w:r>
            <w:r>
              <w:t>人群</w:t>
            </w:r>
          </w:p>
        </w:tc>
        <w:tc>
          <w:tcPr>
            <w:tcW w:w="5386" w:type="dxa"/>
            <w:vAlign w:val="center"/>
          </w:tcPr>
          <w:p w14:paraId="3716F35A">
            <w:pPr>
              <w:pStyle w:val="12"/>
            </w:pPr>
            <w:r>
              <w:t>覆盖周边区域片区</w:t>
            </w:r>
          </w:p>
        </w:tc>
        <w:tc>
          <w:tcPr>
            <w:tcW w:w="2268" w:type="dxa"/>
            <w:vAlign w:val="center"/>
          </w:tcPr>
          <w:p w14:paraId="37DCAE3D">
            <w:pPr>
              <w:pStyle w:val="12"/>
            </w:pPr>
            <w:r>
              <w:t>100%</w:t>
            </w:r>
          </w:p>
        </w:tc>
        <w:tc>
          <w:tcPr>
            <w:tcW w:w="1276" w:type="dxa"/>
            <w:vAlign w:val="center"/>
          </w:tcPr>
          <w:p w14:paraId="71D2E1F7">
            <w:pPr>
              <w:pStyle w:val="12"/>
            </w:pPr>
            <w:r>
              <w:t>年度工作计划</w:t>
            </w:r>
          </w:p>
        </w:tc>
      </w:tr>
      <w:tr w14:paraId="58A2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E34CF"/>
        </w:tc>
        <w:tc>
          <w:tcPr>
            <w:tcW w:w="2268" w:type="dxa"/>
            <w:vAlign w:val="center"/>
          </w:tcPr>
          <w:p w14:paraId="08F84C6E">
            <w:pPr>
              <w:pStyle w:val="12"/>
            </w:pPr>
            <w:r>
              <w:t>可持续影响指标</w:t>
            </w:r>
          </w:p>
        </w:tc>
        <w:tc>
          <w:tcPr>
            <w:tcW w:w="2835" w:type="dxa"/>
            <w:vAlign w:val="center"/>
          </w:tcPr>
          <w:p w14:paraId="3CDF3AAA">
            <w:pPr>
              <w:pStyle w:val="12"/>
            </w:pPr>
            <w:r>
              <w:t>效果持续时间</w:t>
            </w:r>
          </w:p>
        </w:tc>
        <w:tc>
          <w:tcPr>
            <w:tcW w:w="5386" w:type="dxa"/>
            <w:vAlign w:val="center"/>
          </w:tcPr>
          <w:p w14:paraId="3ED8D184">
            <w:pPr>
              <w:pStyle w:val="12"/>
            </w:pPr>
            <w:r>
              <w:t>效果持续时间</w:t>
            </w:r>
          </w:p>
        </w:tc>
        <w:tc>
          <w:tcPr>
            <w:tcW w:w="2268" w:type="dxa"/>
            <w:vAlign w:val="center"/>
          </w:tcPr>
          <w:p w14:paraId="07ABC3AB">
            <w:pPr>
              <w:pStyle w:val="12"/>
            </w:pPr>
            <w:r>
              <w:t>1年</w:t>
            </w:r>
          </w:p>
        </w:tc>
        <w:tc>
          <w:tcPr>
            <w:tcW w:w="1276" w:type="dxa"/>
            <w:vAlign w:val="center"/>
          </w:tcPr>
          <w:p w14:paraId="600DF1C1">
            <w:pPr>
              <w:pStyle w:val="12"/>
            </w:pPr>
            <w:r>
              <w:t>年度工作计划</w:t>
            </w:r>
          </w:p>
        </w:tc>
      </w:tr>
      <w:tr w14:paraId="6D26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C9C84">
            <w:pPr>
              <w:pStyle w:val="13"/>
            </w:pPr>
            <w:r>
              <w:t>满意度指标</w:t>
            </w:r>
          </w:p>
        </w:tc>
        <w:tc>
          <w:tcPr>
            <w:tcW w:w="2268" w:type="dxa"/>
            <w:vAlign w:val="center"/>
          </w:tcPr>
          <w:p w14:paraId="7127C260">
            <w:pPr>
              <w:pStyle w:val="12"/>
            </w:pPr>
            <w:r>
              <w:t>服务对象满意度指标</w:t>
            </w:r>
          </w:p>
        </w:tc>
        <w:tc>
          <w:tcPr>
            <w:tcW w:w="2835" w:type="dxa"/>
            <w:vAlign w:val="center"/>
          </w:tcPr>
          <w:p w14:paraId="2CFD0476">
            <w:pPr>
              <w:pStyle w:val="12"/>
            </w:pPr>
            <w:r>
              <w:t>群众满意度</w:t>
            </w:r>
          </w:p>
        </w:tc>
        <w:tc>
          <w:tcPr>
            <w:tcW w:w="5386" w:type="dxa"/>
            <w:vAlign w:val="center"/>
          </w:tcPr>
          <w:p w14:paraId="771D3AFA">
            <w:pPr>
              <w:pStyle w:val="12"/>
            </w:pPr>
            <w:r>
              <w:t>群众对教育的满意度</w:t>
            </w:r>
          </w:p>
        </w:tc>
        <w:tc>
          <w:tcPr>
            <w:tcW w:w="2268" w:type="dxa"/>
            <w:vAlign w:val="center"/>
          </w:tcPr>
          <w:p w14:paraId="0710FBB6">
            <w:pPr>
              <w:pStyle w:val="12"/>
            </w:pPr>
            <w:r>
              <w:t>≥98%</w:t>
            </w:r>
          </w:p>
        </w:tc>
        <w:tc>
          <w:tcPr>
            <w:tcW w:w="1276" w:type="dxa"/>
            <w:vAlign w:val="center"/>
          </w:tcPr>
          <w:p w14:paraId="231929D3">
            <w:pPr>
              <w:pStyle w:val="12"/>
            </w:pPr>
            <w:r>
              <w:t>年度工作计划</w:t>
            </w:r>
          </w:p>
        </w:tc>
      </w:tr>
    </w:tbl>
    <w:p w14:paraId="53BAD16C">
      <w:pPr>
        <w:sectPr>
          <w:pgSz w:w="16840" w:h="11900" w:orient="landscape"/>
          <w:pgMar w:top="1361" w:right="1020" w:bottom="1134" w:left="1020" w:header="720" w:footer="720" w:gutter="0"/>
          <w:cols w:space="720" w:num="1"/>
        </w:sectPr>
      </w:pPr>
    </w:p>
    <w:p w14:paraId="6AD7634A">
      <w:pPr>
        <w:spacing w:before="10" w:after="10" w:line="240" w:lineRule="auto"/>
        <w:ind w:firstLine="640"/>
        <w:jc w:val="left"/>
        <w:outlineLvl w:val="5"/>
      </w:pPr>
      <w:r>
        <w:rPr>
          <w:rFonts w:ascii="黑体" w:hAnsi="黑体" w:eastAsia="黑体" w:cs="黑体"/>
          <w:color w:val="000000"/>
          <w:sz w:val="32"/>
        </w:rPr>
        <w:t>六、政府采购预算情况</w:t>
      </w:r>
    </w:p>
    <w:p w14:paraId="059E1AB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18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41F008">
            <w:pPr>
              <w:pStyle w:val="9"/>
            </w:pPr>
            <w:r>
              <w:t>360008隆尧县牛家桥中学</w:t>
            </w:r>
          </w:p>
        </w:tc>
        <w:tc>
          <w:tcPr>
            <w:tcW w:w="8676" w:type="dxa"/>
            <w:gridSpan w:val="9"/>
            <w:tcBorders>
              <w:top w:val="single" w:color="FFFFFF" w:sz="6" w:space="0"/>
              <w:left w:val="single" w:color="FFFFFF" w:sz="6" w:space="0"/>
              <w:right w:val="single" w:color="FFFFFF" w:sz="6" w:space="0"/>
            </w:tcBorders>
            <w:vAlign w:val="center"/>
          </w:tcPr>
          <w:p w14:paraId="3B028ADD">
            <w:pPr>
              <w:pStyle w:val="21"/>
            </w:pPr>
            <w:r>
              <w:t>单位：万元</w:t>
            </w:r>
          </w:p>
        </w:tc>
      </w:tr>
      <w:tr w14:paraId="261A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E37AD6">
            <w:pPr>
              <w:pStyle w:val="10"/>
            </w:pPr>
            <w:r>
              <w:t>政府采购项目来源</w:t>
            </w:r>
          </w:p>
        </w:tc>
        <w:tc>
          <w:tcPr>
            <w:tcW w:w="1134" w:type="dxa"/>
            <w:vMerge w:val="restart"/>
            <w:vAlign w:val="center"/>
          </w:tcPr>
          <w:p w14:paraId="33BD6192">
            <w:pPr>
              <w:pStyle w:val="10"/>
            </w:pPr>
            <w:r>
              <w:t>采购物品名称</w:t>
            </w:r>
          </w:p>
        </w:tc>
        <w:tc>
          <w:tcPr>
            <w:tcW w:w="1134" w:type="dxa"/>
            <w:vMerge w:val="restart"/>
            <w:vAlign w:val="center"/>
          </w:tcPr>
          <w:p w14:paraId="64D50733">
            <w:pPr>
              <w:pStyle w:val="10"/>
            </w:pPr>
            <w:r>
              <w:t>政府采购目录序号</w:t>
            </w:r>
          </w:p>
        </w:tc>
        <w:tc>
          <w:tcPr>
            <w:tcW w:w="709" w:type="dxa"/>
            <w:vMerge w:val="restart"/>
            <w:vAlign w:val="center"/>
          </w:tcPr>
          <w:p w14:paraId="20CB10AF">
            <w:pPr>
              <w:pStyle w:val="10"/>
            </w:pPr>
            <w:r>
              <w:t>计量  单位</w:t>
            </w:r>
          </w:p>
        </w:tc>
        <w:tc>
          <w:tcPr>
            <w:tcW w:w="850" w:type="dxa"/>
            <w:vMerge w:val="restart"/>
            <w:vAlign w:val="center"/>
          </w:tcPr>
          <w:p w14:paraId="6A38AECF">
            <w:pPr>
              <w:pStyle w:val="10"/>
            </w:pPr>
            <w:r>
              <w:t>数量</w:t>
            </w:r>
          </w:p>
        </w:tc>
        <w:tc>
          <w:tcPr>
            <w:tcW w:w="850" w:type="dxa"/>
            <w:vMerge w:val="restart"/>
            <w:vAlign w:val="center"/>
          </w:tcPr>
          <w:p w14:paraId="76FB3107">
            <w:pPr>
              <w:pStyle w:val="10"/>
            </w:pPr>
            <w:r>
              <w:t>单价</w:t>
            </w:r>
          </w:p>
        </w:tc>
        <w:tc>
          <w:tcPr>
            <w:tcW w:w="7712" w:type="dxa"/>
            <w:gridSpan w:val="8"/>
            <w:vAlign w:val="center"/>
          </w:tcPr>
          <w:p w14:paraId="1ACFFB5A">
            <w:pPr>
              <w:pStyle w:val="10"/>
            </w:pPr>
            <w:r>
              <w:t>政府采购金额（当年部门预算安排资金）</w:t>
            </w:r>
          </w:p>
        </w:tc>
        <w:tc>
          <w:tcPr>
            <w:tcW w:w="964" w:type="dxa"/>
            <w:vMerge w:val="restart"/>
            <w:vAlign w:val="center"/>
          </w:tcPr>
          <w:p w14:paraId="059E9AD7">
            <w:pPr>
              <w:pStyle w:val="10"/>
            </w:pPr>
            <w:r>
              <w:t>2026年  预留中  小微企  业份额</w:t>
            </w:r>
          </w:p>
        </w:tc>
      </w:tr>
      <w:tr w14:paraId="2642B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4ED3A9">
            <w:pPr>
              <w:pStyle w:val="10"/>
            </w:pPr>
            <w:r>
              <w:t>项目名称</w:t>
            </w:r>
          </w:p>
        </w:tc>
        <w:tc>
          <w:tcPr>
            <w:tcW w:w="964" w:type="dxa"/>
            <w:vAlign w:val="center"/>
          </w:tcPr>
          <w:p w14:paraId="77B177FB">
            <w:pPr>
              <w:pStyle w:val="10"/>
            </w:pPr>
            <w:r>
              <w:t>预算    资金</w:t>
            </w:r>
          </w:p>
        </w:tc>
        <w:tc>
          <w:tcPr>
            <w:tcW w:w="1134" w:type="dxa"/>
            <w:vMerge w:val="continue"/>
          </w:tcPr>
          <w:p w14:paraId="59B1AD7F"/>
        </w:tc>
        <w:tc>
          <w:tcPr>
            <w:tcW w:w="1134" w:type="dxa"/>
            <w:vMerge w:val="continue"/>
          </w:tcPr>
          <w:p w14:paraId="20D14321"/>
        </w:tc>
        <w:tc>
          <w:tcPr>
            <w:tcW w:w="709" w:type="dxa"/>
            <w:vMerge w:val="continue"/>
          </w:tcPr>
          <w:p w14:paraId="696B3DD7"/>
        </w:tc>
        <w:tc>
          <w:tcPr>
            <w:tcW w:w="850" w:type="dxa"/>
            <w:vMerge w:val="continue"/>
          </w:tcPr>
          <w:p w14:paraId="619C5165"/>
        </w:tc>
        <w:tc>
          <w:tcPr>
            <w:tcW w:w="850" w:type="dxa"/>
            <w:vMerge w:val="continue"/>
          </w:tcPr>
          <w:p w14:paraId="09E41154"/>
        </w:tc>
        <w:tc>
          <w:tcPr>
            <w:tcW w:w="964" w:type="dxa"/>
            <w:vAlign w:val="center"/>
          </w:tcPr>
          <w:p w14:paraId="26349DFF">
            <w:pPr>
              <w:pStyle w:val="10"/>
            </w:pPr>
            <w:r>
              <w:t>合计</w:t>
            </w:r>
          </w:p>
        </w:tc>
        <w:tc>
          <w:tcPr>
            <w:tcW w:w="964" w:type="dxa"/>
            <w:vAlign w:val="center"/>
          </w:tcPr>
          <w:p w14:paraId="4401EAED">
            <w:pPr>
              <w:pStyle w:val="10"/>
            </w:pPr>
            <w:r>
              <w:t>一般公共预算拨款</w:t>
            </w:r>
          </w:p>
        </w:tc>
        <w:tc>
          <w:tcPr>
            <w:tcW w:w="964" w:type="dxa"/>
            <w:vAlign w:val="center"/>
          </w:tcPr>
          <w:p w14:paraId="4C718A1C">
            <w:pPr>
              <w:pStyle w:val="10"/>
            </w:pPr>
            <w:r>
              <w:t>基金预算拨款</w:t>
            </w:r>
          </w:p>
        </w:tc>
        <w:tc>
          <w:tcPr>
            <w:tcW w:w="964" w:type="dxa"/>
            <w:vAlign w:val="center"/>
          </w:tcPr>
          <w:p w14:paraId="0C5ACA5B">
            <w:pPr>
              <w:pStyle w:val="10"/>
            </w:pPr>
            <w:r>
              <w:t>国有资本经营预算拨款</w:t>
            </w:r>
          </w:p>
        </w:tc>
        <w:tc>
          <w:tcPr>
            <w:tcW w:w="964" w:type="dxa"/>
            <w:vAlign w:val="center"/>
          </w:tcPr>
          <w:p w14:paraId="36602D32">
            <w:pPr>
              <w:pStyle w:val="10"/>
            </w:pPr>
            <w:r>
              <w:t>财政专户核拨</w:t>
            </w:r>
          </w:p>
        </w:tc>
        <w:tc>
          <w:tcPr>
            <w:tcW w:w="964" w:type="dxa"/>
            <w:vAlign w:val="center"/>
          </w:tcPr>
          <w:p w14:paraId="63DDF4D7">
            <w:pPr>
              <w:pStyle w:val="10"/>
            </w:pPr>
            <w:r>
              <w:t>单位    资金</w:t>
            </w:r>
          </w:p>
        </w:tc>
        <w:tc>
          <w:tcPr>
            <w:tcW w:w="964" w:type="dxa"/>
            <w:vAlign w:val="center"/>
          </w:tcPr>
          <w:p w14:paraId="79D71087">
            <w:pPr>
              <w:pStyle w:val="10"/>
            </w:pPr>
            <w:r>
              <w:t>财政拨款结转</w:t>
            </w:r>
          </w:p>
        </w:tc>
        <w:tc>
          <w:tcPr>
            <w:tcW w:w="964" w:type="dxa"/>
            <w:vAlign w:val="center"/>
          </w:tcPr>
          <w:p w14:paraId="6CAFEE3A">
            <w:pPr>
              <w:pStyle w:val="10"/>
            </w:pPr>
            <w:r>
              <w:t>非财政拨款结余</w:t>
            </w:r>
          </w:p>
        </w:tc>
        <w:tc>
          <w:tcPr>
            <w:tcW w:w="964" w:type="dxa"/>
            <w:vMerge w:val="continue"/>
          </w:tcPr>
          <w:p w14:paraId="638ACD30"/>
        </w:tc>
      </w:tr>
      <w:tr w14:paraId="6BE7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9A260E">
            <w:pPr>
              <w:pStyle w:val="14"/>
            </w:pPr>
            <w:r>
              <w:t>合  计</w:t>
            </w:r>
          </w:p>
        </w:tc>
        <w:tc>
          <w:tcPr>
            <w:tcW w:w="964" w:type="dxa"/>
            <w:vAlign w:val="center"/>
          </w:tcPr>
          <w:p w14:paraId="17D5F245">
            <w:pPr>
              <w:pStyle w:val="15"/>
            </w:pPr>
          </w:p>
        </w:tc>
        <w:tc>
          <w:tcPr>
            <w:tcW w:w="1134" w:type="dxa"/>
            <w:vAlign w:val="center"/>
          </w:tcPr>
          <w:p w14:paraId="3598FDB7">
            <w:pPr>
              <w:pStyle w:val="16"/>
            </w:pPr>
          </w:p>
        </w:tc>
        <w:tc>
          <w:tcPr>
            <w:tcW w:w="1134" w:type="dxa"/>
            <w:vAlign w:val="center"/>
          </w:tcPr>
          <w:p w14:paraId="49B5E614">
            <w:pPr>
              <w:pStyle w:val="16"/>
            </w:pPr>
          </w:p>
        </w:tc>
        <w:tc>
          <w:tcPr>
            <w:tcW w:w="709" w:type="dxa"/>
            <w:vAlign w:val="center"/>
          </w:tcPr>
          <w:p w14:paraId="4CA5CED8">
            <w:pPr>
              <w:pStyle w:val="14"/>
            </w:pPr>
          </w:p>
        </w:tc>
        <w:tc>
          <w:tcPr>
            <w:tcW w:w="850" w:type="dxa"/>
            <w:vAlign w:val="center"/>
          </w:tcPr>
          <w:p w14:paraId="4BDDE704">
            <w:pPr>
              <w:pStyle w:val="15"/>
            </w:pPr>
          </w:p>
        </w:tc>
        <w:tc>
          <w:tcPr>
            <w:tcW w:w="850" w:type="dxa"/>
            <w:vAlign w:val="center"/>
          </w:tcPr>
          <w:p w14:paraId="3810905C">
            <w:pPr>
              <w:pStyle w:val="15"/>
            </w:pPr>
          </w:p>
        </w:tc>
        <w:tc>
          <w:tcPr>
            <w:tcW w:w="964" w:type="dxa"/>
            <w:vAlign w:val="center"/>
          </w:tcPr>
          <w:p w14:paraId="7DD6B6BA">
            <w:pPr>
              <w:pStyle w:val="15"/>
            </w:pPr>
            <w:r>
              <w:t>2.10</w:t>
            </w:r>
          </w:p>
        </w:tc>
        <w:tc>
          <w:tcPr>
            <w:tcW w:w="964" w:type="dxa"/>
            <w:vAlign w:val="center"/>
          </w:tcPr>
          <w:p w14:paraId="440AEA9C">
            <w:pPr>
              <w:pStyle w:val="15"/>
            </w:pPr>
            <w:r>
              <w:t>2.10</w:t>
            </w:r>
          </w:p>
        </w:tc>
        <w:tc>
          <w:tcPr>
            <w:tcW w:w="964" w:type="dxa"/>
            <w:vAlign w:val="center"/>
          </w:tcPr>
          <w:p w14:paraId="6E53ABFD">
            <w:pPr>
              <w:pStyle w:val="15"/>
            </w:pPr>
          </w:p>
        </w:tc>
        <w:tc>
          <w:tcPr>
            <w:tcW w:w="964" w:type="dxa"/>
            <w:vAlign w:val="center"/>
          </w:tcPr>
          <w:p w14:paraId="4B496F98">
            <w:pPr>
              <w:pStyle w:val="15"/>
            </w:pPr>
          </w:p>
        </w:tc>
        <w:tc>
          <w:tcPr>
            <w:tcW w:w="964" w:type="dxa"/>
            <w:vAlign w:val="center"/>
          </w:tcPr>
          <w:p w14:paraId="0F376ABC">
            <w:pPr>
              <w:pStyle w:val="15"/>
            </w:pPr>
          </w:p>
        </w:tc>
        <w:tc>
          <w:tcPr>
            <w:tcW w:w="964" w:type="dxa"/>
            <w:vAlign w:val="center"/>
          </w:tcPr>
          <w:p w14:paraId="59123F6A">
            <w:pPr>
              <w:pStyle w:val="15"/>
            </w:pPr>
          </w:p>
        </w:tc>
        <w:tc>
          <w:tcPr>
            <w:tcW w:w="964" w:type="dxa"/>
            <w:vAlign w:val="center"/>
          </w:tcPr>
          <w:p w14:paraId="1EA65298">
            <w:pPr>
              <w:pStyle w:val="15"/>
            </w:pPr>
          </w:p>
        </w:tc>
        <w:tc>
          <w:tcPr>
            <w:tcW w:w="964" w:type="dxa"/>
            <w:vAlign w:val="center"/>
          </w:tcPr>
          <w:p w14:paraId="715B3CB5">
            <w:pPr>
              <w:pStyle w:val="15"/>
            </w:pPr>
          </w:p>
        </w:tc>
        <w:tc>
          <w:tcPr>
            <w:tcW w:w="964" w:type="dxa"/>
            <w:vAlign w:val="center"/>
          </w:tcPr>
          <w:p w14:paraId="4313C52A">
            <w:pPr>
              <w:pStyle w:val="15"/>
            </w:pPr>
            <w:r>
              <w:t>2.10</w:t>
            </w:r>
          </w:p>
        </w:tc>
      </w:tr>
      <w:tr w14:paraId="1DEE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DD4A2">
            <w:pPr>
              <w:pStyle w:val="14"/>
            </w:pPr>
            <w:r>
              <w:t>隆尧县牛家桥中学小计</w:t>
            </w:r>
          </w:p>
        </w:tc>
        <w:tc>
          <w:tcPr>
            <w:tcW w:w="964" w:type="dxa"/>
            <w:vAlign w:val="center"/>
          </w:tcPr>
          <w:p w14:paraId="0670E6E5">
            <w:pPr>
              <w:pStyle w:val="15"/>
            </w:pPr>
          </w:p>
        </w:tc>
        <w:tc>
          <w:tcPr>
            <w:tcW w:w="1134" w:type="dxa"/>
            <w:vAlign w:val="center"/>
          </w:tcPr>
          <w:p w14:paraId="0533DB2B">
            <w:pPr>
              <w:pStyle w:val="16"/>
            </w:pPr>
          </w:p>
        </w:tc>
        <w:tc>
          <w:tcPr>
            <w:tcW w:w="1134" w:type="dxa"/>
            <w:vAlign w:val="center"/>
          </w:tcPr>
          <w:p w14:paraId="4367510E">
            <w:pPr>
              <w:pStyle w:val="16"/>
            </w:pPr>
          </w:p>
        </w:tc>
        <w:tc>
          <w:tcPr>
            <w:tcW w:w="709" w:type="dxa"/>
            <w:vAlign w:val="center"/>
          </w:tcPr>
          <w:p w14:paraId="0E7B296B">
            <w:pPr>
              <w:pStyle w:val="14"/>
            </w:pPr>
          </w:p>
        </w:tc>
        <w:tc>
          <w:tcPr>
            <w:tcW w:w="850" w:type="dxa"/>
            <w:vAlign w:val="center"/>
          </w:tcPr>
          <w:p w14:paraId="7079D859">
            <w:pPr>
              <w:pStyle w:val="15"/>
            </w:pPr>
          </w:p>
        </w:tc>
        <w:tc>
          <w:tcPr>
            <w:tcW w:w="850" w:type="dxa"/>
            <w:vAlign w:val="center"/>
          </w:tcPr>
          <w:p w14:paraId="1F2B3CFA">
            <w:pPr>
              <w:pStyle w:val="15"/>
            </w:pPr>
          </w:p>
        </w:tc>
        <w:tc>
          <w:tcPr>
            <w:tcW w:w="964" w:type="dxa"/>
            <w:vAlign w:val="center"/>
          </w:tcPr>
          <w:p w14:paraId="46AE2AFA">
            <w:pPr>
              <w:pStyle w:val="15"/>
            </w:pPr>
            <w:r>
              <w:t>2.10</w:t>
            </w:r>
          </w:p>
        </w:tc>
        <w:tc>
          <w:tcPr>
            <w:tcW w:w="964" w:type="dxa"/>
            <w:vAlign w:val="center"/>
          </w:tcPr>
          <w:p w14:paraId="14D0C0ED">
            <w:pPr>
              <w:pStyle w:val="15"/>
            </w:pPr>
            <w:r>
              <w:t>2.10</w:t>
            </w:r>
          </w:p>
        </w:tc>
        <w:tc>
          <w:tcPr>
            <w:tcW w:w="964" w:type="dxa"/>
            <w:vAlign w:val="center"/>
          </w:tcPr>
          <w:p w14:paraId="0E6A93CE">
            <w:pPr>
              <w:pStyle w:val="15"/>
            </w:pPr>
          </w:p>
        </w:tc>
        <w:tc>
          <w:tcPr>
            <w:tcW w:w="964" w:type="dxa"/>
            <w:vAlign w:val="center"/>
          </w:tcPr>
          <w:p w14:paraId="18649CB2">
            <w:pPr>
              <w:pStyle w:val="15"/>
            </w:pPr>
          </w:p>
        </w:tc>
        <w:tc>
          <w:tcPr>
            <w:tcW w:w="964" w:type="dxa"/>
            <w:vAlign w:val="center"/>
          </w:tcPr>
          <w:p w14:paraId="49080104">
            <w:pPr>
              <w:pStyle w:val="15"/>
            </w:pPr>
          </w:p>
        </w:tc>
        <w:tc>
          <w:tcPr>
            <w:tcW w:w="964" w:type="dxa"/>
            <w:vAlign w:val="center"/>
          </w:tcPr>
          <w:p w14:paraId="2F55545A">
            <w:pPr>
              <w:pStyle w:val="15"/>
            </w:pPr>
          </w:p>
        </w:tc>
        <w:tc>
          <w:tcPr>
            <w:tcW w:w="964" w:type="dxa"/>
            <w:vAlign w:val="center"/>
          </w:tcPr>
          <w:p w14:paraId="52EB29BC">
            <w:pPr>
              <w:pStyle w:val="15"/>
            </w:pPr>
          </w:p>
        </w:tc>
        <w:tc>
          <w:tcPr>
            <w:tcW w:w="964" w:type="dxa"/>
            <w:vAlign w:val="center"/>
          </w:tcPr>
          <w:p w14:paraId="546560F5">
            <w:pPr>
              <w:pStyle w:val="15"/>
            </w:pPr>
          </w:p>
        </w:tc>
        <w:tc>
          <w:tcPr>
            <w:tcW w:w="964" w:type="dxa"/>
            <w:vAlign w:val="center"/>
          </w:tcPr>
          <w:p w14:paraId="17F59BE0">
            <w:pPr>
              <w:pStyle w:val="15"/>
            </w:pPr>
            <w:r>
              <w:t>2.10</w:t>
            </w:r>
          </w:p>
        </w:tc>
      </w:tr>
      <w:tr w14:paraId="225A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BDA4D3">
            <w:pPr>
              <w:pStyle w:val="12"/>
            </w:pPr>
            <w:r>
              <w:t>冀财教[2025]147号/省级/2026年义教补助经费/牛家桥中学公用经费</w:t>
            </w:r>
          </w:p>
        </w:tc>
        <w:tc>
          <w:tcPr>
            <w:tcW w:w="964" w:type="dxa"/>
            <w:vAlign w:val="center"/>
          </w:tcPr>
          <w:p w14:paraId="5C242D81">
            <w:pPr>
              <w:pStyle w:val="11"/>
            </w:pPr>
            <w:r>
              <w:t>32.93</w:t>
            </w:r>
          </w:p>
        </w:tc>
        <w:tc>
          <w:tcPr>
            <w:tcW w:w="1134" w:type="dxa"/>
            <w:vAlign w:val="center"/>
          </w:tcPr>
          <w:p w14:paraId="4D1C3BFD">
            <w:pPr>
              <w:pStyle w:val="12"/>
            </w:pPr>
            <w:r>
              <w:t>多功能一体机</w:t>
            </w:r>
          </w:p>
        </w:tc>
        <w:tc>
          <w:tcPr>
            <w:tcW w:w="1134" w:type="dxa"/>
            <w:vAlign w:val="center"/>
          </w:tcPr>
          <w:p w14:paraId="595F59A3">
            <w:pPr>
              <w:pStyle w:val="12"/>
            </w:pPr>
            <w:r>
              <w:t>A02020400</w:t>
            </w:r>
          </w:p>
        </w:tc>
        <w:tc>
          <w:tcPr>
            <w:tcW w:w="709" w:type="dxa"/>
            <w:vAlign w:val="center"/>
          </w:tcPr>
          <w:p w14:paraId="6D5ABD57">
            <w:pPr>
              <w:pStyle w:val="13"/>
            </w:pPr>
            <w:r>
              <w:t>台</w:t>
            </w:r>
          </w:p>
        </w:tc>
        <w:tc>
          <w:tcPr>
            <w:tcW w:w="850" w:type="dxa"/>
            <w:vAlign w:val="center"/>
          </w:tcPr>
          <w:p w14:paraId="3BB3967D">
            <w:pPr>
              <w:pStyle w:val="11"/>
            </w:pPr>
            <w:r>
              <w:t>1</w:t>
            </w:r>
          </w:p>
        </w:tc>
        <w:tc>
          <w:tcPr>
            <w:tcW w:w="850" w:type="dxa"/>
            <w:vAlign w:val="center"/>
          </w:tcPr>
          <w:p w14:paraId="547499B2">
            <w:pPr>
              <w:pStyle w:val="11"/>
            </w:pPr>
            <w:r>
              <w:t>0.52</w:t>
            </w:r>
          </w:p>
        </w:tc>
        <w:tc>
          <w:tcPr>
            <w:tcW w:w="964" w:type="dxa"/>
            <w:vAlign w:val="center"/>
          </w:tcPr>
          <w:p w14:paraId="7F4035DD">
            <w:pPr>
              <w:pStyle w:val="11"/>
            </w:pPr>
            <w:r>
              <w:t>0.52</w:t>
            </w:r>
          </w:p>
        </w:tc>
        <w:tc>
          <w:tcPr>
            <w:tcW w:w="964" w:type="dxa"/>
            <w:vAlign w:val="center"/>
          </w:tcPr>
          <w:p w14:paraId="24348201">
            <w:pPr>
              <w:pStyle w:val="11"/>
            </w:pPr>
            <w:r>
              <w:t>0.52</w:t>
            </w:r>
          </w:p>
        </w:tc>
        <w:tc>
          <w:tcPr>
            <w:tcW w:w="964" w:type="dxa"/>
            <w:vAlign w:val="center"/>
          </w:tcPr>
          <w:p w14:paraId="3655AB45">
            <w:pPr>
              <w:pStyle w:val="11"/>
            </w:pPr>
          </w:p>
        </w:tc>
        <w:tc>
          <w:tcPr>
            <w:tcW w:w="964" w:type="dxa"/>
            <w:vAlign w:val="center"/>
          </w:tcPr>
          <w:p w14:paraId="563C21D6">
            <w:pPr>
              <w:pStyle w:val="11"/>
            </w:pPr>
          </w:p>
        </w:tc>
        <w:tc>
          <w:tcPr>
            <w:tcW w:w="964" w:type="dxa"/>
            <w:vAlign w:val="center"/>
          </w:tcPr>
          <w:p w14:paraId="3E04F25F">
            <w:pPr>
              <w:pStyle w:val="11"/>
            </w:pPr>
          </w:p>
        </w:tc>
        <w:tc>
          <w:tcPr>
            <w:tcW w:w="964" w:type="dxa"/>
            <w:vAlign w:val="center"/>
          </w:tcPr>
          <w:p w14:paraId="10ABF349">
            <w:pPr>
              <w:pStyle w:val="11"/>
            </w:pPr>
          </w:p>
        </w:tc>
        <w:tc>
          <w:tcPr>
            <w:tcW w:w="964" w:type="dxa"/>
            <w:vAlign w:val="center"/>
          </w:tcPr>
          <w:p w14:paraId="4D18F69D">
            <w:pPr>
              <w:pStyle w:val="11"/>
            </w:pPr>
          </w:p>
        </w:tc>
        <w:tc>
          <w:tcPr>
            <w:tcW w:w="964" w:type="dxa"/>
            <w:vAlign w:val="center"/>
          </w:tcPr>
          <w:p w14:paraId="1986C6EA">
            <w:pPr>
              <w:pStyle w:val="11"/>
            </w:pPr>
          </w:p>
        </w:tc>
        <w:tc>
          <w:tcPr>
            <w:tcW w:w="964" w:type="dxa"/>
            <w:vAlign w:val="center"/>
          </w:tcPr>
          <w:p w14:paraId="79213091">
            <w:pPr>
              <w:pStyle w:val="11"/>
            </w:pPr>
            <w:r>
              <w:t>0.52</w:t>
            </w:r>
          </w:p>
        </w:tc>
      </w:tr>
      <w:tr w14:paraId="3FFA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414436">
            <w:pPr>
              <w:pStyle w:val="12"/>
            </w:pPr>
            <w:r>
              <w:t>冀财教[2025]147号/省级/2026年义教补助经费/牛家桥中学公用经费</w:t>
            </w:r>
          </w:p>
        </w:tc>
        <w:tc>
          <w:tcPr>
            <w:tcW w:w="964" w:type="dxa"/>
            <w:vAlign w:val="center"/>
          </w:tcPr>
          <w:p w14:paraId="674698B0">
            <w:pPr>
              <w:pStyle w:val="11"/>
            </w:pPr>
            <w:r>
              <w:t>32.93</w:t>
            </w:r>
          </w:p>
        </w:tc>
        <w:tc>
          <w:tcPr>
            <w:tcW w:w="1134" w:type="dxa"/>
            <w:vAlign w:val="center"/>
          </w:tcPr>
          <w:p w14:paraId="0D600F74">
            <w:pPr>
              <w:pStyle w:val="12"/>
            </w:pPr>
            <w:r>
              <w:t>多功能一体机</w:t>
            </w:r>
          </w:p>
        </w:tc>
        <w:tc>
          <w:tcPr>
            <w:tcW w:w="1134" w:type="dxa"/>
            <w:vAlign w:val="center"/>
          </w:tcPr>
          <w:p w14:paraId="218A7AA2">
            <w:pPr>
              <w:pStyle w:val="12"/>
            </w:pPr>
            <w:r>
              <w:t>A02020400</w:t>
            </w:r>
          </w:p>
        </w:tc>
        <w:tc>
          <w:tcPr>
            <w:tcW w:w="709" w:type="dxa"/>
            <w:vAlign w:val="center"/>
          </w:tcPr>
          <w:p w14:paraId="3108176C">
            <w:pPr>
              <w:pStyle w:val="13"/>
            </w:pPr>
            <w:r>
              <w:t>台</w:t>
            </w:r>
          </w:p>
        </w:tc>
        <w:tc>
          <w:tcPr>
            <w:tcW w:w="850" w:type="dxa"/>
            <w:vAlign w:val="center"/>
          </w:tcPr>
          <w:p w14:paraId="03CAB8B0">
            <w:pPr>
              <w:pStyle w:val="11"/>
            </w:pPr>
            <w:r>
              <w:t>1</w:t>
            </w:r>
          </w:p>
        </w:tc>
        <w:tc>
          <w:tcPr>
            <w:tcW w:w="850" w:type="dxa"/>
            <w:vAlign w:val="center"/>
          </w:tcPr>
          <w:p w14:paraId="40283599">
            <w:pPr>
              <w:pStyle w:val="11"/>
            </w:pPr>
            <w:r>
              <w:t>0.18</w:t>
            </w:r>
          </w:p>
        </w:tc>
        <w:tc>
          <w:tcPr>
            <w:tcW w:w="964" w:type="dxa"/>
            <w:vAlign w:val="center"/>
          </w:tcPr>
          <w:p w14:paraId="6FBB1D1B">
            <w:pPr>
              <w:pStyle w:val="11"/>
            </w:pPr>
            <w:r>
              <w:t>0.18</w:t>
            </w:r>
          </w:p>
        </w:tc>
        <w:tc>
          <w:tcPr>
            <w:tcW w:w="964" w:type="dxa"/>
            <w:vAlign w:val="center"/>
          </w:tcPr>
          <w:p w14:paraId="334F35C4">
            <w:pPr>
              <w:pStyle w:val="11"/>
            </w:pPr>
            <w:r>
              <w:t>0.18</w:t>
            </w:r>
          </w:p>
        </w:tc>
        <w:tc>
          <w:tcPr>
            <w:tcW w:w="964" w:type="dxa"/>
            <w:vAlign w:val="center"/>
          </w:tcPr>
          <w:p w14:paraId="4CA4E831">
            <w:pPr>
              <w:pStyle w:val="11"/>
            </w:pPr>
          </w:p>
        </w:tc>
        <w:tc>
          <w:tcPr>
            <w:tcW w:w="964" w:type="dxa"/>
            <w:vAlign w:val="center"/>
          </w:tcPr>
          <w:p w14:paraId="1817AAEA">
            <w:pPr>
              <w:pStyle w:val="11"/>
            </w:pPr>
          </w:p>
        </w:tc>
        <w:tc>
          <w:tcPr>
            <w:tcW w:w="964" w:type="dxa"/>
            <w:vAlign w:val="center"/>
          </w:tcPr>
          <w:p w14:paraId="7632BFE2">
            <w:pPr>
              <w:pStyle w:val="11"/>
            </w:pPr>
          </w:p>
        </w:tc>
        <w:tc>
          <w:tcPr>
            <w:tcW w:w="964" w:type="dxa"/>
            <w:vAlign w:val="center"/>
          </w:tcPr>
          <w:p w14:paraId="0547C2AC">
            <w:pPr>
              <w:pStyle w:val="11"/>
            </w:pPr>
          </w:p>
        </w:tc>
        <w:tc>
          <w:tcPr>
            <w:tcW w:w="964" w:type="dxa"/>
            <w:vAlign w:val="center"/>
          </w:tcPr>
          <w:p w14:paraId="00DA6DD0">
            <w:pPr>
              <w:pStyle w:val="11"/>
            </w:pPr>
          </w:p>
        </w:tc>
        <w:tc>
          <w:tcPr>
            <w:tcW w:w="964" w:type="dxa"/>
            <w:vAlign w:val="center"/>
          </w:tcPr>
          <w:p w14:paraId="3F80427A">
            <w:pPr>
              <w:pStyle w:val="11"/>
            </w:pPr>
          </w:p>
        </w:tc>
        <w:tc>
          <w:tcPr>
            <w:tcW w:w="964" w:type="dxa"/>
            <w:vAlign w:val="center"/>
          </w:tcPr>
          <w:p w14:paraId="006701C8">
            <w:pPr>
              <w:pStyle w:val="11"/>
            </w:pPr>
            <w:r>
              <w:t>0.18</w:t>
            </w:r>
          </w:p>
        </w:tc>
      </w:tr>
      <w:tr w14:paraId="590E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3DDB07">
            <w:pPr>
              <w:pStyle w:val="12"/>
            </w:pPr>
            <w:r>
              <w:t>冀财教[2025]147号/省级/2026年义教补助经费/牛家桥中学公用经费</w:t>
            </w:r>
          </w:p>
        </w:tc>
        <w:tc>
          <w:tcPr>
            <w:tcW w:w="964" w:type="dxa"/>
            <w:vAlign w:val="center"/>
          </w:tcPr>
          <w:p w14:paraId="07230B90">
            <w:pPr>
              <w:pStyle w:val="11"/>
            </w:pPr>
            <w:r>
              <w:t>32.93</w:t>
            </w:r>
          </w:p>
        </w:tc>
        <w:tc>
          <w:tcPr>
            <w:tcW w:w="1134" w:type="dxa"/>
            <w:vAlign w:val="center"/>
          </w:tcPr>
          <w:p w14:paraId="7E03E94F">
            <w:pPr>
              <w:pStyle w:val="12"/>
            </w:pPr>
            <w:r>
              <w:t>空调机</w:t>
            </w:r>
          </w:p>
        </w:tc>
        <w:tc>
          <w:tcPr>
            <w:tcW w:w="1134" w:type="dxa"/>
            <w:vAlign w:val="center"/>
          </w:tcPr>
          <w:p w14:paraId="21C5BD55">
            <w:pPr>
              <w:pStyle w:val="12"/>
            </w:pPr>
            <w:r>
              <w:t>A02061804</w:t>
            </w:r>
          </w:p>
        </w:tc>
        <w:tc>
          <w:tcPr>
            <w:tcW w:w="709" w:type="dxa"/>
            <w:vAlign w:val="center"/>
          </w:tcPr>
          <w:p w14:paraId="6F4B4669">
            <w:pPr>
              <w:pStyle w:val="13"/>
            </w:pPr>
            <w:r>
              <w:t>台</w:t>
            </w:r>
          </w:p>
        </w:tc>
        <w:tc>
          <w:tcPr>
            <w:tcW w:w="850" w:type="dxa"/>
            <w:vAlign w:val="center"/>
          </w:tcPr>
          <w:p w14:paraId="3033446B">
            <w:pPr>
              <w:pStyle w:val="11"/>
            </w:pPr>
            <w:r>
              <w:t>2</w:t>
            </w:r>
          </w:p>
        </w:tc>
        <w:tc>
          <w:tcPr>
            <w:tcW w:w="850" w:type="dxa"/>
            <w:vAlign w:val="center"/>
          </w:tcPr>
          <w:p w14:paraId="2DE7C631">
            <w:pPr>
              <w:pStyle w:val="11"/>
            </w:pPr>
            <w:r>
              <w:t>0.70</w:t>
            </w:r>
          </w:p>
        </w:tc>
        <w:tc>
          <w:tcPr>
            <w:tcW w:w="964" w:type="dxa"/>
            <w:vAlign w:val="center"/>
          </w:tcPr>
          <w:p w14:paraId="5B673AB1">
            <w:pPr>
              <w:pStyle w:val="11"/>
            </w:pPr>
            <w:r>
              <w:t>1.40</w:t>
            </w:r>
          </w:p>
        </w:tc>
        <w:tc>
          <w:tcPr>
            <w:tcW w:w="964" w:type="dxa"/>
            <w:vAlign w:val="center"/>
          </w:tcPr>
          <w:p w14:paraId="5672E659">
            <w:pPr>
              <w:pStyle w:val="11"/>
            </w:pPr>
            <w:r>
              <w:t>1.40</w:t>
            </w:r>
          </w:p>
        </w:tc>
        <w:tc>
          <w:tcPr>
            <w:tcW w:w="964" w:type="dxa"/>
            <w:vAlign w:val="center"/>
          </w:tcPr>
          <w:p w14:paraId="2306E26B">
            <w:pPr>
              <w:pStyle w:val="11"/>
            </w:pPr>
          </w:p>
        </w:tc>
        <w:tc>
          <w:tcPr>
            <w:tcW w:w="964" w:type="dxa"/>
            <w:vAlign w:val="center"/>
          </w:tcPr>
          <w:p w14:paraId="7CADCB9E">
            <w:pPr>
              <w:pStyle w:val="11"/>
            </w:pPr>
          </w:p>
        </w:tc>
        <w:tc>
          <w:tcPr>
            <w:tcW w:w="964" w:type="dxa"/>
            <w:vAlign w:val="center"/>
          </w:tcPr>
          <w:p w14:paraId="0E51CD9A">
            <w:pPr>
              <w:pStyle w:val="11"/>
            </w:pPr>
          </w:p>
        </w:tc>
        <w:tc>
          <w:tcPr>
            <w:tcW w:w="964" w:type="dxa"/>
            <w:vAlign w:val="center"/>
          </w:tcPr>
          <w:p w14:paraId="70CE13C0">
            <w:pPr>
              <w:pStyle w:val="11"/>
            </w:pPr>
          </w:p>
        </w:tc>
        <w:tc>
          <w:tcPr>
            <w:tcW w:w="964" w:type="dxa"/>
            <w:vAlign w:val="center"/>
          </w:tcPr>
          <w:p w14:paraId="733A5564">
            <w:pPr>
              <w:pStyle w:val="11"/>
            </w:pPr>
          </w:p>
        </w:tc>
        <w:tc>
          <w:tcPr>
            <w:tcW w:w="964" w:type="dxa"/>
            <w:vAlign w:val="center"/>
          </w:tcPr>
          <w:p w14:paraId="38F9DAE0">
            <w:pPr>
              <w:pStyle w:val="11"/>
            </w:pPr>
          </w:p>
        </w:tc>
        <w:tc>
          <w:tcPr>
            <w:tcW w:w="964" w:type="dxa"/>
            <w:vAlign w:val="center"/>
          </w:tcPr>
          <w:p w14:paraId="30E76EB1">
            <w:pPr>
              <w:pStyle w:val="11"/>
            </w:pPr>
            <w:r>
              <w:t>1.40</w:t>
            </w:r>
          </w:p>
        </w:tc>
      </w:tr>
    </w:tbl>
    <w:p w14:paraId="3045C81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9980E3">
      <w:pPr>
        <w:spacing w:before="0" w:after="0"/>
        <w:ind w:firstLine="640"/>
        <w:jc w:val="left"/>
        <w:outlineLvl w:val="9"/>
      </w:pPr>
      <w:r>
        <w:rPr>
          <w:rFonts w:ascii="Times New Roman" w:hAnsi="Times New Roman" w:eastAsia="方正仿宋_GBK" w:cs="Times New Roman"/>
          <w:color w:val="000000"/>
          <w:sz w:val="32"/>
        </w:rPr>
        <w:t xml:space="preserve"> </w:t>
      </w:r>
    </w:p>
    <w:p w14:paraId="01C6A981">
      <w:pPr>
        <w:spacing w:before="10" w:after="10" w:line="240" w:lineRule="auto"/>
        <w:ind w:firstLine="640"/>
        <w:jc w:val="left"/>
        <w:outlineLvl w:val="5"/>
      </w:pPr>
      <w:r>
        <w:rPr>
          <w:rFonts w:ascii="黑体" w:hAnsi="黑体" w:eastAsia="黑体" w:cs="黑体"/>
          <w:color w:val="000000"/>
          <w:sz w:val="32"/>
        </w:rPr>
        <w:t>七、国有资产信息</w:t>
      </w:r>
    </w:p>
    <w:p w14:paraId="18D77FA9">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隆尧县牛家桥中学上年末固定资产金额为1004.87万元（详见下表）。本年度拟购置固定资产总额为12.42万元，已按要求列入政府采购预算，详见政府采购预算表。</w:t>
      </w:r>
    </w:p>
    <w:p w14:paraId="490270E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BE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98446E">
            <w:pPr>
              <w:pStyle w:val="9"/>
            </w:pPr>
            <w:r>
              <w:t>360008隆尧县牛家桥中学</w:t>
            </w:r>
          </w:p>
        </w:tc>
        <w:tc>
          <w:tcPr>
            <w:tcW w:w="5670" w:type="dxa"/>
            <w:gridSpan w:val="2"/>
            <w:tcBorders>
              <w:top w:val="single" w:color="FFFFFF" w:sz="6" w:space="0"/>
              <w:left w:val="single" w:color="FFFFFF" w:sz="6" w:space="0"/>
              <w:right w:val="single" w:color="FFFFFF" w:sz="6" w:space="0"/>
            </w:tcBorders>
            <w:vAlign w:val="center"/>
          </w:tcPr>
          <w:p w14:paraId="15DE4E89">
            <w:pPr>
              <w:pStyle w:val="7"/>
            </w:pPr>
            <w:r>
              <w:t>截止时间：2025-12-31</w:t>
            </w:r>
          </w:p>
        </w:tc>
      </w:tr>
      <w:tr w14:paraId="01BC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3475A1">
            <w:pPr>
              <w:pStyle w:val="10"/>
            </w:pPr>
            <w:r>
              <w:t>项   目</w:t>
            </w:r>
          </w:p>
        </w:tc>
        <w:tc>
          <w:tcPr>
            <w:tcW w:w="2835" w:type="dxa"/>
            <w:vAlign w:val="center"/>
          </w:tcPr>
          <w:p w14:paraId="55C4867C">
            <w:pPr>
              <w:pStyle w:val="10"/>
            </w:pPr>
            <w:r>
              <w:t>数量</w:t>
            </w:r>
          </w:p>
        </w:tc>
        <w:tc>
          <w:tcPr>
            <w:tcW w:w="2835" w:type="dxa"/>
            <w:vAlign w:val="center"/>
          </w:tcPr>
          <w:p w14:paraId="2195EF06">
            <w:pPr>
              <w:pStyle w:val="10"/>
            </w:pPr>
            <w:r>
              <w:t>价值（金额单位：万元）</w:t>
            </w:r>
          </w:p>
        </w:tc>
      </w:tr>
      <w:tr w14:paraId="563E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AAF7A2">
            <w:pPr>
              <w:pStyle w:val="12"/>
            </w:pPr>
            <w:r>
              <w:t>资产总额</w:t>
            </w:r>
          </w:p>
        </w:tc>
        <w:tc>
          <w:tcPr>
            <w:tcW w:w="2835" w:type="dxa"/>
            <w:vAlign w:val="center"/>
          </w:tcPr>
          <w:p w14:paraId="51C87F65">
            <w:pPr>
              <w:pStyle w:val="13"/>
            </w:pPr>
          </w:p>
        </w:tc>
        <w:tc>
          <w:tcPr>
            <w:tcW w:w="2835" w:type="dxa"/>
            <w:vAlign w:val="center"/>
          </w:tcPr>
          <w:p w14:paraId="06B963CA">
            <w:pPr>
              <w:pStyle w:val="11"/>
            </w:pPr>
            <w:r>
              <w:t>1004.87</w:t>
            </w:r>
          </w:p>
        </w:tc>
      </w:tr>
      <w:tr w14:paraId="0F0C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E57B50">
            <w:pPr>
              <w:pStyle w:val="12"/>
            </w:pPr>
            <w:r>
              <w:t>1、房屋（平方米）</w:t>
            </w:r>
          </w:p>
        </w:tc>
        <w:tc>
          <w:tcPr>
            <w:tcW w:w="2835" w:type="dxa"/>
            <w:vAlign w:val="center"/>
          </w:tcPr>
          <w:p w14:paraId="7A4D8E79">
            <w:pPr>
              <w:pStyle w:val="13"/>
            </w:pPr>
            <w:r>
              <w:t>10358</w:t>
            </w:r>
          </w:p>
        </w:tc>
        <w:tc>
          <w:tcPr>
            <w:tcW w:w="2835" w:type="dxa"/>
            <w:vAlign w:val="center"/>
          </w:tcPr>
          <w:p w14:paraId="30736C6B">
            <w:pPr>
              <w:pStyle w:val="11"/>
            </w:pPr>
            <w:r>
              <w:t>706.63</w:t>
            </w:r>
          </w:p>
        </w:tc>
      </w:tr>
      <w:tr w14:paraId="4AF7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F38E66">
            <w:pPr>
              <w:pStyle w:val="12"/>
            </w:pPr>
            <w:r>
              <w:t>　　其中：办公用房（平方米）</w:t>
            </w:r>
          </w:p>
        </w:tc>
        <w:tc>
          <w:tcPr>
            <w:tcW w:w="2835" w:type="dxa"/>
            <w:vAlign w:val="center"/>
          </w:tcPr>
          <w:p w14:paraId="246D98B0">
            <w:pPr>
              <w:pStyle w:val="13"/>
            </w:pPr>
            <w:r>
              <w:t>1300</w:t>
            </w:r>
          </w:p>
        </w:tc>
        <w:tc>
          <w:tcPr>
            <w:tcW w:w="2835" w:type="dxa"/>
            <w:vAlign w:val="center"/>
          </w:tcPr>
          <w:p w14:paraId="7FCA0156">
            <w:pPr>
              <w:pStyle w:val="11"/>
            </w:pPr>
            <w:r>
              <w:t>88.46</w:t>
            </w:r>
          </w:p>
        </w:tc>
      </w:tr>
      <w:tr w14:paraId="5805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2E408C">
            <w:pPr>
              <w:pStyle w:val="12"/>
            </w:pPr>
            <w:r>
              <w:t>2、车辆（台、辆）</w:t>
            </w:r>
          </w:p>
        </w:tc>
        <w:tc>
          <w:tcPr>
            <w:tcW w:w="2835" w:type="dxa"/>
            <w:vAlign w:val="center"/>
          </w:tcPr>
          <w:p w14:paraId="1CCF3E21">
            <w:pPr>
              <w:pStyle w:val="13"/>
            </w:pPr>
          </w:p>
        </w:tc>
        <w:tc>
          <w:tcPr>
            <w:tcW w:w="2835" w:type="dxa"/>
            <w:vAlign w:val="center"/>
          </w:tcPr>
          <w:p w14:paraId="63212E4F">
            <w:pPr>
              <w:pStyle w:val="11"/>
            </w:pPr>
          </w:p>
        </w:tc>
      </w:tr>
      <w:tr w14:paraId="3E2B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1F8797">
            <w:pPr>
              <w:pStyle w:val="12"/>
            </w:pPr>
            <w:r>
              <w:t>3、单价在20万元以上的设备</w:t>
            </w:r>
          </w:p>
        </w:tc>
        <w:tc>
          <w:tcPr>
            <w:tcW w:w="2835" w:type="dxa"/>
            <w:vAlign w:val="center"/>
          </w:tcPr>
          <w:p w14:paraId="7E09D44A">
            <w:pPr>
              <w:pStyle w:val="13"/>
            </w:pPr>
          </w:p>
        </w:tc>
        <w:tc>
          <w:tcPr>
            <w:tcW w:w="2835" w:type="dxa"/>
            <w:vAlign w:val="center"/>
          </w:tcPr>
          <w:p w14:paraId="770A2C25">
            <w:pPr>
              <w:pStyle w:val="11"/>
            </w:pPr>
          </w:p>
        </w:tc>
      </w:tr>
      <w:tr w14:paraId="3CE4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F675A1">
            <w:pPr>
              <w:pStyle w:val="12"/>
            </w:pPr>
            <w:r>
              <w:t>4、其他固定资产</w:t>
            </w:r>
          </w:p>
        </w:tc>
        <w:tc>
          <w:tcPr>
            <w:tcW w:w="2835" w:type="dxa"/>
            <w:vAlign w:val="center"/>
          </w:tcPr>
          <w:p w14:paraId="46A42CD7">
            <w:pPr>
              <w:pStyle w:val="13"/>
            </w:pPr>
            <w:r>
              <w:t>3550</w:t>
            </w:r>
          </w:p>
        </w:tc>
        <w:tc>
          <w:tcPr>
            <w:tcW w:w="2835" w:type="dxa"/>
            <w:vAlign w:val="center"/>
          </w:tcPr>
          <w:p w14:paraId="6EDBF8C0">
            <w:pPr>
              <w:pStyle w:val="11"/>
            </w:pPr>
            <w:r>
              <w:t>298.24</w:t>
            </w:r>
          </w:p>
        </w:tc>
      </w:tr>
    </w:tbl>
    <w:p w14:paraId="19179172">
      <w:pPr>
        <w:spacing w:before="0" w:after="0"/>
        <w:ind w:firstLine="640"/>
        <w:jc w:val="left"/>
        <w:outlineLvl w:val="9"/>
      </w:pPr>
      <w:r>
        <w:rPr>
          <w:rFonts w:ascii="Times New Roman" w:hAnsi="Times New Roman" w:eastAsia="方正仿宋_GBK" w:cs="Times New Roman"/>
          <w:color w:val="000000"/>
          <w:sz w:val="32"/>
        </w:rPr>
        <w:t xml:space="preserve"> </w:t>
      </w:r>
    </w:p>
    <w:p w14:paraId="3E4050CA">
      <w:pPr>
        <w:spacing w:before="10" w:after="10" w:line="240" w:lineRule="auto"/>
        <w:ind w:firstLine="640"/>
        <w:jc w:val="left"/>
        <w:outlineLvl w:val="5"/>
      </w:pPr>
      <w:r>
        <w:rPr>
          <w:rFonts w:ascii="黑体" w:hAnsi="黑体" w:eastAsia="黑体" w:cs="黑体"/>
          <w:color w:val="000000"/>
          <w:sz w:val="32"/>
        </w:rPr>
        <w:t>八、名词解释</w:t>
      </w:r>
    </w:p>
    <w:p w14:paraId="03B85C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9291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6C5CB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3928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2654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9F5B8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3705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515D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87193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D5A6E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CBE8A0">
      <w:pPr>
        <w:spacing w:before="10" w:after="10" w:line="240" w:lineRule="auto"/>
        <w:ind w:firstLine="640"/>
        <w:jc w:val="left"/>
        <w:outlineLvl w:val="5"/>
      </w:pPr>
      <w:r>
        <w:rPr>
          <w:rFonts w:ascii="黑体" w:hAnsi="黑体" w:eastAsia="黑体" w:cs="黑体"/>
          <w:color w:val="000000"/>
          <w:sz w:val="32"/>
        </w:rPr>
        <w:t>九、其他需要说明的事项</w:t>
      </w:r>
    </w:p>
    <w:p w14:paraId="39E2B86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3A17FA">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八、河北省隆尧县滏阳中学收支预算</w:t>
      </w:r>
      <w:bookmarkEnd w:id="7"/>
    </w:p>
    <w:p w14:paraId="381C99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3D0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1E1494">
            <w:pPr>
              <w:pStyle w:val="9"/>
            </w:pPr>
            <w:r>
              <w:t>360009河北省隆尧县滏阳中学</w:t>
            </w:r>
          </w:p>
        </w:tc>
        <w:tc>
          <w:tcPr>
            <w:tcW w:w="2126" w:type="dxa"/>
            <w:tcBorders>
              <w:top w:val="single" w:color="FFFFFF" w:sz="6" w:space="0"/>
              <w:left w:val="single" w:color="FFFFFF" w:sz="6" w:space="0"/>
              <w:right w:val="single" w:color="FFFFFF" w:sz="6" w:space="0"/>
            </w:tcBorders>
            <w:vAlign w:val="center"/>
          </w:tcPr>
          <w:p w14:paraId="4D2130F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2852AAA">
            <w:pPr>
              <w:pStyle w:val="7"/>
            </w:pPr>
            <w:r>
              <w:t>单位：万元</w:t>
            </w:r>
          </w:p>
        </w:tc>
      </w:tr>
      <w:tr w14:paraId="10F9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886C6">
            <w:pPr>
              <w:pStyle w:val="10"/>
            </w:pPr>
            <w:r>
              <w:t>序号</w:t>
            </w:r>
          </w:p>
        </w:tc>
        <w:tc>
          <w:tcPr>
            <w:tcW w:w="6661" w:type="dxa"/>
            <w:gridSpan w:val="2"/>
            <w:vAlign w:val="center"/>
          </w:tcPr>
          <w:p w14:paraId="4CCACC20">
            <w:pPr>
              <w:pStyle w:val="10"/>
            </w:pPr>
            <w:r>
              <w:t>收入</w:t>
            </w:r>
          </w:p>
        </w:tc>
        <w:tc>
          <w:tcPr>
            <w:tcW w:w="6661" w:type="dxa"/>
            <w:gridSpan w:val="2"/>
            <w:vAlign w:val="center"/>
          </w:tcPr>
          <w:p w14:paraId="2AA3794E">
            <w:pPr>
              <w:pStyle w:val="10"/>
            </w:pPr>
            <w:r>
              <w:t>支出</w:t>
            </w:r>
          </w:p>
        </w:tc>
      </w:tr>
      <w:tr w14:paraId="12C5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255CD"/>
        </w:tc>
        <w:tc>
          <w:tcPr>
            <w:tcW w:w="4535" w:type="dxa"/>
            <w:vAlign w:val="center"/>
          </w:tcPr>
          <w:p w14:paraId="4A4876E4">
            <w:pPr>
              <w:pStyle w:val="10"/>
            </w:pPr>
            <w:r>
              <w:t>项  目</w:t>
            </w:r>
          </w:p>
        </w:tc>
        <w:tc>
          <w:tcPr>
            <w:tcW w:w="2126" w:type="dxa"/>
            <w:vAlign w:val="center"/>
          </w:tcPr>
          <w:p w14:paraId="518EE909">
            <w:pPr>
              <w:pStyle w:val="10"/>
            </w:pPr>
            <w:r>
              <w:t>预算数</w:t>
            </w:r>
          </w:p>
        </w:tc>
        <w:tc>
          <w:tcPr>
            <w:tcW w:w="4535" w:type="dxa"/>
            <w:vAlign w:val="center"/>
          </w:tcPr>
          <w:p w14:paraId="08C5878E">
            <w:pPr>
              <w:pStyle w:val="10"/>
            </w:pPr>
            <w:r>
              <w:t>项  目</w:t>
            </w:r>
          </w:p>
        </w:tc>
        <w:tc>
          <w:tcPr>
            <w:tcW w:w="2126" w:type="dxa"/>
            <w:vAlign w:val="center"/>
          </w:tcPr>
          <w:p w14:paraId="65E3C672">
            <w:pPr>
              <w:pStyle w:val="10"/>
            </w:pPr>
            <w:r>
              <w:t>预算数</w:t>
            </w:r>
          </w:p>
        </w:tc>
      </w:tr>
      <w:tr w14:paraId="4650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AD6F2">
            <w:pPr>
              <w:pStyle w:val="10"/>
            </w:pPr>
            <w:r>
              <w:t>栏次</w:t>
            </w:r>
          </w:p>
        </w:tc>
        <w:tc>
          <w:tcPr>
            <w:tcW w:w="4535" w:type="dxa"/>
            <w:vAlign w:val="center"/>
          </w:tcPr>
          <w:p w14:paraId="2D88F86F">
            <w:pPr>
              <w:pStyle w:val="10"/>
            </w:pPr>
            <w:r>
              <w:t>1</w:t>
            </w:r>
          </w:p>
        </w:tc>
        <w:tc>
          <w:tcPr>
            <w:tcW w:w="2126" w:type="dxa"/>
            <w:vAlign w:val="center"/>
          </w:tcPr>
          <w:p w14:paraId="38B1353C">
            <w:pPr>
              <w:pStyle w:val="10"/>
            </w:pPr>
            <w:r>
              <w:t>2</w:t>
            </w:r>
          </w:p>
        </w:tc>
        <w:tc>
          <w:tcPr>
            <w:tcW w:w="4535" w:type="dxa"/>
            <w:vAlign w:val="center"/>
          </w:tcPr>
          <w:p w14:paraId="32C96380">
            <w:pPr>
              <w:pStyle w:val="10"/>
            </w:pPr>
            <w:r>
              <w:t>3</w:t>
            </w:r>
          </w:p>
        </w:tc>
        <w:tc>
          <w:tcPr>
            <w:tcW w:w="2126" w:type="dxa"/>
            <w:vAlign w:val="center"/>
          </w:tcPr>
          <w:p w14:paraId="2F4027CC">
            <w:pPr>
              <w:pStyle w:val="10"/>
            </w:pPr>
            <w:r>
              <w:t>4</w:t>
            </w:r>
          </w:p>
        </w:tc>
      </w:tr>
      <w:tr w14:paraId="1802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9EBD">
            <w:pPr>
              <w:pStyle w:val="13"/>
            </w:pPr>
            <w:r>
              <w:t>1</w:t>
            </w:r>
          </w:p>
        </w:tc>
        <w:tc>
          <w:tcPr>
            <w:tcW w:w="4535" w:type="dxa"/>
            <w:vAlign w:val="center"/>
          </w:tcPr>
          <w:p w14:paraId="48ED6406">
            <w:pPr>
              <w:pStyle w:val="12"/>
            </w:pPr>
            <w:r>
              <w:t>一、一般公共预算拨款收入</w:t>
            </w:r>
          </w:p>
        </w:tc>
        <w:tc>
          <w:tcPr>
            <w:tcW w:w="2126" w:type="dxa"/>
            <w:vAlign w:val="center"/>
          </w:tcPr>
          <w:p w14:paraId="07215AE9">
            <w:pPr>
              <w:pStyle w:val="11"/>
            </w:pPr>
            <w:r>
              <w:t>1251.78</w:t>
            </w:r>
          </w:p>
        </w:tc>
        <w:tc>
          <w:tcPr>
            <w:tcW w:w="4535" w:type="dxa"/>
            <w:vAlign w:val="center"/>
          </w:tcPr>
          <w:p w14:paraId="26C14D24">
            <w:pPr>
              <w:pStyle w:val="12"/>
            </w:pPr>
            <w:r>
              <w:t>一、一般公共服务支出</w:t>
            </w:r>
          </w:p>
        </w:tc>
        <w:tc>
          <w:tcPr>
            <w:tcW w:w="2126" w:type="dxa"/>
            <w:vAlign w:val="center"/>
          </w:tcPr>
          <w:p w14:paraId="0EB1CE1C">
            <w:pPr>
              <w:pStyle w:val="11"/>
            </w:pPr>
          </w:p>
        </w:tc>
      </w:tr>
      <w:tr w14:paraId="5D91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388B4">
            <w:pPr>
              <w:pStyle w:val="13"/>
            </w:pPr>
            <w:r>
              <w:t>2</w:t>
            </w:r>
          </w:p>
        </w:tc>
        <w:tc>
          <w:tcPr>
            <w:tcW w:w="4535" w:type="dxa"/>
            <w:vAlign w:val="center"/>
          </w:tcPr>
          <w:p w14:paraId="73BCF163">
            <w:pPr>
              <w:pStyle w:val="12"/>
            </w:pPr>
            <w:r>
              <w:t>二、政府性基金预算拨款收入</w:t>
            </w:r>
          </w:p>
        </w:tc>
        <w:tc>
          <w:tcPr>
            <w:tcW w:w="2126" w:type="dxa"/>
            <w:vAlign w:val="center"/>
          </w:tcPr>
          <w:p w14:paraId="70CE5087">
            <w:pPr>
              <w:pStyle w:val="11"/>
            </w:pPr>
          </w:p>
        </w:tc>
        <w:tc>
          <w:tcPr>
            <w:tcW w:w="4535" w:type="dxa"/>
            <w:vAlign w:val="center"/>
          </w:tcPr>
          <w:p w14:paraId="6A0673FD">
            <w:pPr>
              <w:pStyle w:val="12"/>
            </w:pPr>
            <w:r>
              <w:t>二、外交支出</w:t>
            </w:r>
          </w:p>
        </w:tc>
        <w:tc>
          <w:tcPr>
            <w:tcW w:w="2126" w:type="dxa"/>
            <w:vAlign w:val="center"/>
          </w:tcPr>
          <w:p w14:paraId="61F086FA">
            <w:pPr>
              <w:pStyle w:val="11"/>
            </w:pPr>
          </w:p>
        </w:tc>
      </w:tr>
      <w:tr w14:paraId="6F88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B0A60">
            <w:pPr>
              <w:pStyle w:val="13"/>
            </w:pPr>
            <w:r>
              <w:t>3</w:t>
            </w:r>
          </w:p>
        </w:tc>
        <w:tc>
          <w:tcPr>
            <w:tcW w:w="4535" w:type="dxa"/>
            <w:vAlign w:val="center"/>
          </w:tcPr>
          <w:p w14:paraId="405DA4C1">
            <w:pPr>
              <w:pStyle w:val="12"/>
            </w:pPr>
            <w:r>
              <w:t>三、国有资本经营预算拨款收入</w:t>
            </w:r>
          </w:p>
        </w:tc>
        <w:tc>
          <w:tcPr>
            <w:tcW w:w="2126" w:type="dxa"/>
            <w:vAlign w:val="center"/>
          </w:tcPr>
          <w:p w14:paraId="582A1292">
            <w:pPr>
              <w:pStyle w:val="11"/>
            </w:pPr>
          </w:p>
        </w:tc>
        <w:tc>
          <w:tcPr>
            <w:tcW w:w="4535" w:type="dxa"/>
            <w:vAlign w:val="center"/>
          </w:tcPr>
          <w:p w14:paraId="2E278040">
            <w:pPr>
              <w:pStyle w:val="12"/>
            </w:pPr>
            <w:r>
              <w:t>三、国防支出</w:t>
            </w:r>
          </w:p>
        </w:tc>
        <w:tc>
          <w:tcPr>
            <w:tcW w:w="2126" w:type="dxa"/>
            <w:vAlign w:val="center"/>
          </w:tcPr>
          <w:p w14:paraId="129BD601">
            <w:pPr>
              <w:pStyle w:val="11"/>
            </w:pPr>
          </w:p>
        </w:tc>
      </w:tr>
      <w:tr w14:paraId="314A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83767">
            <w:pPr>
              <w:pStyle w:val="13"/>
            </w:pPr>
            <w:r>
              <w:t>4</w:t>
            </w:r>
          </w:p>
        </w:tc>
        <w:tc>
          <w:tcPr>
            <w:tcW w:w="4535" w:type="dxa"/>
            <w:vAlign w:val="center"/>
          </w:tcPr>
          <w:p w14:paraId="422DF10A">
            <w:pPr>
              <w:pStyle w:val="12"/>
            </w:pPr>
            <w:r>
              <w:t>四、财政专户管理资金收入</w:t>
            </w:r>
          </w:p>
        </w:tc>
        <w:tc>
          <w:tcPr>
            <w:tcW w:w="2126" w:type="dxa"/>
            <w:vAlign w:val="center"/>
          </w:tcPr>
          <w:p w14:paraId="60E89332">
            <w:pPr>
              <w:pStyle w:val="11"/>
            </w:pPr>
          </w:p>
        </w:tc>
        <w:tc>
          <w:tcPr>
            <w:tcW w:w="4535" w:type="dxa"/>
            <w:vAlign w:val="center"/>
          </w:tcPr>
          <w:p w14:paraId="732F5AA6">
            <w:pPr>
              <w:pStyle w:val="12"/>
            </w:pPr>
            <w:r>
              <w:t>四、公共安全支出</w:t>
            </w:r>
          </w:p>
        </w:tc>
        <w:tc>
          <w:tcPr>
            <w:tcW w:w="2126" w:type="dxa"/>
            <w:vAlign w:val="center"/>
          </w:tcPr>
          <w:p w14:paraId="1ACBCBA1">
            <w:pPr>
              <w:pStyle w:val="11"/>
            </w:pPr>
          </w:p>
        </w:tc>
      </w:tr>
      <w:tr w14:paraId="6DF2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07E4">
            <w:pPr>
              <w:pStyle w:val="13"/>
            </w:pPr>
            <w:r>
              <w:t>5</w:t>
            </w:r>
          </w:p>
        </w:tc>
        <w:tc>
          <w:tcPr>
            <w:tcW w:w="4535" w:type="dxa"/>
            <w:vAlign w:val="center"/>
          </w:tcPr>
          <w:p w14:paraId="28A72CF6">
            <w:pPr>
              <w:pStyle w:val="12"/>
            </w:pPr>
            <w:r>
              <w:t>五、单位资金</w:t>
            </w:r>
          </w:p>
        </w:tc>
        <w:tc>
          <w:tcPr>
            <w:tcW w:w="2126" w:type="dxa"/>
            <w:vAlign w:val="center"/>
          </w:tcPr>
          <w:p w14:paraId="591775D6">
            <w:pPr>
              <w:pStyle w:val="11"/>
            </w:pPr>
          </w:p>
        </w:tc>
        <w:tc>
          <w:tcPr>
            <w:tcW w:w="4535" w:type="dxa"/>
            <w:vAlign w:val="center"/>
          </w:tcPr>
          <w:p w14:paraId="11DC92E1">
            <w:pPr>
              <w:pStyle w:val="12"/>
            </w:pPr>
            <w:r>
              <w:t>五、教育支出</w:t>
            </w:r>
          </w:p>
        </w:tc>
        <w:tc>
          <w:tcPr>
            <w:tcW w:w="2126" w:type="dxa"/>
            <w:vAlign w:val="center"/>
          </w:tcPr>
          <w:p w14:paraId="13AE149A">
            <w:pPr>
              <w:pStyle w:val="11"/>
            </w:pPr>
            <w:r>
              <w:t>1251.78</w:t>
            </w:r>
          </w:p>
        </w:tc>
      </w:tr>
      <w:tr w14:paraId="60CD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F6E6">
            <w:pPr>
              <w:pStyle w:val="13"/>
            </w:pPr>
            <w:r>
              <w:t>6</w:t>
            </w:r>
          </w:p>
        </w:tc>
        <w:tc>
          <w:tcPr>
            <w:tcW w:w="4535" w:type="dxa"/>
            <w:vAlign w:val="center"/>
          </w:tcPr>
          <w:p w14:paraId="331EDE04">
            <w:pPr>
              <w:pStyle w:val="12"/>
            </w:pPr>
          </w:p>
        </w:tc>
        <w:tc>
          <w:tcPr>
            <w:tcW w:w="2126" w:type="dxa"/>
            <w:vAlign w:val="center"/>
          </w:tcPr>
          <w:p w14:paraId="27200F4B">
            <w:pPr>
              <w:pStyle w:val="11"/>
            </w:pPr>
          </w:p>
        </w:tc>
        <w:tc>
          <w:tcPr>
            <w:tcW w:w="4535" w:type="dxa"/>
            <w:vAlign w:val="center"/>
          </w:tcPr>
          <w:p w14:paraId="76CA49D0">
            <w:pPr>
              <w:pStyle w:val="12"/>
            </w:pPr>
            <w:r>
              <w:t>六、科学技术支出</w:t>
            </w:r>
          </w:p>
        </w:tc>
        <w:tc>
          <w:tcPr>
            <w:tcW w:w="2126" w:type="dxa"/>
            <w:vAlign w:val="center"/>
          </w:tcPr>
          <w:p w14:paraId="02628C28">
            <w:pPr>
              <w:pStyle w:val="11"/>
            </w:pPr>
          </w:p>
        </w:tc>
      </w:tr>
      <w:tr w14:paraId="4DBF1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EFC42">
            <w:pPr>
              <w:pStyle w:val="13"/>
            </w:pPr>
            <w:r>
              <w:t>7</w:t>
            </w:r>
          </w:p>
        </w:tc>
        <w:tc>
          <w:tcPr>
            <w:tcW w:w="4535" w:type="dxa"/>
            <w:vAlign w:val="center"/>
          </w:tcPr>
          <w:p w14:paraId="4F6C71AF">
            <w:pPr>
              <w:pStyle w:val="12"/>
            </w:pPr>
          </w:p>
        </w:tc>
        <w:tc>
          <w:tcPr>
            <w:tcW w:w="2126" w:type="dxa"/>
            <w:vAlign w:val="center"/>
          </w:tcPr>
          <w:p w14:paraId="37B6B388">
            <w:pPr>
              <w:pStyle w:val="11"/>
            </w:pPr>
          </w:p>
        </w:tc>
        <w:tc>
          <w:tcPr>
            <w:tcW w:w="4535" w:type="dxa"/>
            <w:vAlign w:val="center"/>
          </w:tcPr>
          <w:p w14:paraId="1D16A6AC">
            <w:pPr>
              <w:pStyle w:val="12"/>
            </w:pPr>
            <w:r>
              <w:t>七、文化旅游体育与传媒支出</w:t>
            </w:r>
          </w:p>
        </w:tc>
        <w:tc>
          <w:tcPr>
            <w:tcW w:w="2126" w:type="dxa"/>
            <w:vAlign w:val="center"/>
          </w:tcPr>
          <w:p w14:paraId="71AF15D3">
            <w:pPr>
              <w:pStyle w:val="11"/>
            </w:pPr>
          </w:p>
        </w:tc>
      </w:tr>
      <w:tr w14:paraId="35C8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AC243">
            <w:pPr>
              <w:pStyle w:val="13"/>
            </w:pPr>
            <w:r>
              <w:t>8</w:t>
            </w:r>
          </w:p>
        </w:tc>
        <w:tc>
          <w:tcPr>
            <w:tcW w:w="4535" w:type="dxa"/>
            <w:vAlign w:val="center"/>
          </w:tcPr>
          <w:p w14:paraId="075023BD">
            <w:pPr>
              <w:pStyle w:val="12"/>
            </w:pPr>
          </w:p>
        </w:tc>
        <w:tc>
          <w:tcPr>
            <w:tcW w:w="2126" w:type="dxa"/>
            <w:vAlign w:val="center"/>
          </w:tcPr>
          <w:p w14:paraId="4DB48007">
            <w:pPr>
              <w:pStyle w:val="11"/>
            </w:pPr>
          </w:p>
        </w:tc>
        <w:tc>
          <w:tcPr>
            <w:tcW w:w="4535" w:type="dxa"/>
            <w:vAlign w:val="center"/>
          </w:tcPr>
          <w:p w14:paraId="737A6133">
            <w:pPr>
              <w:pStyle w:val="12"/>
            </w:pPr>
            <w:r>
              <w:t>八、社会保障和就业支出</w:t>
            </w:r>
          </w:p>
        </w:tc>
        <w:tc>
          <w:tcPr>
            <w:tcW w:w="2126" w:type="dxa"/>
            <w:vAlign w:val="center"/>
          </w:tcPr>
          <w:p w14:paraId="3DA135E3">
            <w:pPr>
              <w:pStyle w:val="11"/>
            </w:pPr>
          </w:p>
        </w:tc>
      </w:tr>
      <w:tr w14:paraId="1D1B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16CB">
            <w:pPr>
              <w:pStyle w:val="13"/>
            </w:pPr>
            <w:r>
              <w:t>9</w:t>
            </w:r>
          </w:p>
        </w:tc>
        <w:tc>
          <w:tcPr>
            <w:tcW w:w="4535" w:type="dxa"/>
            <w:vAlign w:val="center"/>
          </w:tcPr>
          <w:p w14:paraId="53B5760F">
            <w:pPr>
              <w:pStyle w:val="12"/>
            </w:pPr>
          </w:p>
        </w:tc>
        <w:tc>
          <w:tcPr>
            <w:tcW w:w="2126" w:type="dxa"/>
            <w:vAlign w:val="center"/>
          </w:tcPr>
          <w:p w14:paraId="29B68595">
            <w:pPr>
              <w:pStyle w:val="11"/>
            </w:pPr>
          </w:p>
        </w:tc>
        <w:tc>
          <w:tcPr>
            <w:tcW w:w="4535" w:type="dxa"/>
            <w:vAlign w:val="center"/>
          </w:tcPr>
          <w:p w14:paraId="0C16041D">
            <w:pPr>
              <w:pStyle w:val="12"/>
            </w:pPr>
            <w:r>
              <w:t>九、社会保险基金支出</w:t>
            </w:r>
          </w:p>
        </w:tc>
        <w:tc>
          <w:tcPr>
            <w:tcW w:w="2126" w:type="dxa"/>
            <w:vAlign w:val="center"/>
          </w:tcPr>
          <w:p w14:paraId="597B7CE4">
            <w:pPr>
              <w:pStyle w:val="11"/>
            </w:pPr>
          </w:p>
        </w:tc>
      </w:tr>
      <w:tr w14:paraId="1EEB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62754">
            <w:pPr>
              <w:pStyle w:val="13"/>
            </w:pPr>
            <w:r>
              <w:t>10</w:t>
            </w:r>
          </w:p>
        </w:tc>
        <w:tc>
          <w:tcPr>
            <w:tcW w:w="4535" w:type="dxa"/>
            <w:vAlign w:val="center"/>
          </w:tcPr>
          <w:p w14:paraId="22F20D09">
            <w:pPr>
              <w:pStyle w:val="12"/>
            </w:pPr>
          </w:p>
        </w:tc>
        <w:tc>
          <w:tcPr>
            <w:tcW w:w="2126" w:type="dxa"/>
            <w:vAlign w:val="center"/>
          </w:tcPr>
          <w:p w14:paraId="27C09293">
            <w:pPr>
              <w:pStyle w:val="11"/>
            </w:pPr>
          </w:p>
        </w:tc>
        <w:tc>
          <w:tcPr>
            <w:tcW w:w="4535" w:type="dxa"/>
            <w:vAlign w:val="center"/>
          </w:tcPr>
          <w:p w14:paraId="1D922195">
            <w:pPr>
              <w:pStyle w:val="12"/>
            </w:pPr>
            <w:r>
              <w:t>十、卫生健康支出</w:t>
            </w:r>
          </w:p>
        </w:tc>
        <w:tc>
          <w:tcPr>
            <w:tcW w:w="2126" w:type="dxa"/>
            <w:vAlign w:val="center"/>
          </w:tcPr>
          <w:p w14:paraId="043AE658">
            <w:pPr>
              <w:pStyle w:val="11"/>
            </w:pPr>
          </w:p>
        </w:tc>
      </w:tr>
      <w:tr w14:paraId="3536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0F530">
            <w:pPr>
              <w:pStyle w:val="13"/>
            </w:pPr>
            <w:r>
              <w:t>11</w:t>
            </w:r>
          </w:p>
        </w:tc>
        <w:tc>
          <w:tcPr>
            <w:tcW w:w="4535" w:type="dxa"/>
            <w:vAlign w:val="center"/>
          </w:tcPr>
          <w:p w14:paraId="4C85DE28">
            <w:pPr>
              <w:pStyle w:val="12"/>
            </w:pPr>
          </w:p>
        </w:tc>
        <w:tc>
          <w:tcPr>
            <w:tcW w:w="2126" w:type="dxa"/>
            <w:vAlign w:val="center"/>
          </w:tcPr>
          <w:p w14:paraId="2081C1E7">
            <w:pPr>
              <w:pStyle w:val="11"/>
            </w:pPr>
          </w:p>
        </w:tc>
        <w:tc>
          <w:tcPr>
            <w:tcW w:w="4535" w:type="dxa"/>
            <w:vAlign w:val="center"/>
          </w:tcPr>
          <w:p w14:paraId="3DFCE252">
            <w:pPr>
              <w:pStyle w:val="12"/>
            </w:pPr>
            <w:r>
              <w:t>十一、节能环保支出</w:t>
            </w:r>
          </w:p>
        </w:tc>
        <w:tc>
          <w:tcPr>
            <w:tcW w:w="2126" w:type="dxa"/>
            <w:vAlign w:val="center"/>
          </w:tcPr>
          <w:p w14:paraId="668BD2BB">
            <w:pPr>
              <w:pStyle w:val="11"/>
            </w:pPr>
          </w:p>
        </w:tc>
      </w:tr>
      <w:tr w14:paraId="6587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2D5C">
            <w:pPr>
              <w:pStyle w:val="13"/>
            </w:pPr>
            <w:r>
              <w:t>12</w:t>
            </w:r>
          </w:p>
        </w:tc>
        <w:tc>
          <w:tcPr>
            <w:tcW w:w="4535" w:type="dxa"/>
            <w:vAlign w:val="center"/>
          </w:tcPr>
          <w:p w14:paraId="5A140641">
            <w:pPr>
              <w:pStyle w:val="12"/>
            </w:pPr>
          </w:p>
        </w:tc>
        <w:tc>
          <w:tcPr>
            <w:tcW w:w="2126" w:type="dxa"/>
            <w:vAlign w:val="center"/>
          </w:tcPr>
          <w:p w14:paraId="0DB5A836">
            <w:pPr>
              <w:pStyle w:val="11"/>
            </w:pPr>
          </w:p>
        </w:tc>
        <w:tc>
          <w:tcPr>
            <w:tcW w:w="4535" w:type="dxa"/>
            <w:vAlign w:val="center"/>
          </w:tcPr>
          <w:p w14:paraId="5194E832">
            <w:pPr>
              <w:pStyle w:val="12"/>
            </w:pPr>
            <w:r>
              <w:t>十二、城乡社区支出</w:t>
            </w:r>
          </w:p>
        </w:tc>
        <w:tc>
          <w:tcPr>
            <w:tcW w:w="2126" w:type="dxa"/>
            <w:vAlign w:val="center"/>
          </w:tcPr>
          <w:p w14:paraId="5DF7BBDA">
            <w:pPr>
              <w:pStyle w:val="11"/>
            </w:pPr>
          </w:p>
        </w:tc>
      </w:tr>
      <w:tr w14:paraId="0AC3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FB005">
            <w:pPr>
              <w:pStyle w:val="13"/>
            </w:pPr>
            <w:r>
              <w:t>13</w:t>
            </w:r>
          </w:p>
        </w:tc>
        <w:tc>
          <w:tcPr>
            <w:tcW w:w="4535" w:type="dxa"/>
            <w:vAlign w:val="center"/>
          </w:tcPr>
          <w:p w14:paraId="23A57EA3">
            <w:pPr>
              <w:pStyle w:val="12"/>
            </w:pPr>
          </w:p>
        </w:tc>
        <w:tc>
          <w:tcPr>
            <w:tcW w:w="2126" w:type="dxa"/>
            <w:vAlign w:val="center"/>
          </w:tcPr>
          <w:p w14:paraId="66E4DCAB">
            <w:pPr>
              <w:pStyle w:val="11"/>
            </w:pPr>
          </w:p>
        </w:tc>
        <w:tc>
          <w:tcPr>
            <w:tcW w:w="4535" w:type="dxa"/>
            <w:vAlign w:val="center"/>
          </w:tcPr>
          <w:p w14:paraId="062D0C40">
            <w:pPr>
              <w:pStyle w:val="12"/>
            </w:pPr>
            <w:r>
              <w:t>十三、农林水支出</w:t>
            </w:r>
          </w:p>
        </w:tc>
        <w:tc>
          <w:tcPr>
            <w:tcW w:w="2126" w:type="dxa"/>
            <w:vAlign w:val="center"/>
          </w:tcPr>
          <w:p w14:paraId="6F80EAA0">
            <w:pPr>
              <w:pStyle w:val="11"/>
            </w:pPr>
          </w:p>
        </w:tc>
      </w:tr>
      <w:tr w14:paraId="5AE2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49C36">
            <w:pPr>
              <w:pStyle w:val="13"/>
            </w:pPr>
            <w:r>
              <w:t>14</w:t>
            </w:r>
          </w:p>
        </w:tc>
        <w:tc>
          <w:tcPr>
            <w:tcW w:w="4535" w:type="dxa"/>
            <w:vAlign w:val="center"/>
          </w:tcPr>
          <w:p w14:paraId="02ACBCCC">
            <w:pPr>
              <w:pStyle w:val="12"/>
            </w:pPr>
          </w:p>
        </w:tc>
        <w:tc>
          <w:tcPr>
            <w:tcW w:w="2126" w:type="dxa"/>
            <w:vAlign w:val="center"/>
          </w:tcPr>
          <w:p w14:paraId="11362FD6">
            <w:pPr>
              <w:pStyle w:val="11"/>
            </w:pPr>
          </w:p>
        </w:tc>
        <w:tc>
          <w:tcPr>
            <w:tcW w:w="4535" w:type="dxa"/>
            <w:vAlign w:val="center"/>
          </w:tcPr>
          <w:p w14:paraId="7543E127">
            <w:pPr>
              <w:pStyle w:val="12"/>
            </w:pPr>
            <w:r>
              <w:t>十四、交通运输支出</w:t>
            </w:r>
          </w:p>
        </w:tc>
        <w:tc>
          <w:tcPr>
            <w:tcW w:w="2126" w:type="dxa"/>
            <w:vAlign w:val="center"/>
          </w:tcPr>
          <w:p w14:paraId="00AA046F">
            <w:pPr>
              <w:pStyle w:val="11"/>
            </w:pPr>
          </w:p>
        </w:tc>
      </w:tr>
      <w:tr w14:paraId="1D54DAB8">
        <w:tblPrEx>
          <w:tblCellMar>
            <w:top w:w="0" w:type="dxa"/>
            <w:left w:w="108" w:type="dxa"/>
            <w:bottom w:w="0" w:type="dxa"/>
            <w:right w:w="108" w:type="dxa"/>
          </w:tblCellMar>
        </w:tblPrEx>
        <w:trPr>
          <w:trHeight w:val="369" w:hRule="atLeast"/>
          <w:jc w:val="center"/>
        </w:trPr>
        <w:tc>
          <w:tcPr>
            <w:tcW w:w="850" w:type="dxa"/>
            <w:vAlign w:val="center"/>
          </w:tcPr>
          <w:p w14:paraId="3D8827C8">
            <w:pPr>
              <w:pStyle w:val="13"/>
            </w:pPr>
            <w:r>
              <w:t>15</w:t>
            </w:r>
          </w:p>
        </w:tc>
        <w:tc>
          <w:tcPr>
            <w:tcW w:w="4535" w:type="dxa"/>
            <w:vAlign w:val="center"/>
          </w:tcPr>
          <w:p w14:paraId="297BE0F5">
            <w:pPr>
              <w:pStyle w:val="12"/>
            </w:pPr>
          </w:p>
        </w:tc>
        <w:tc>
          <w:tcPr>
            <w:tcW w:w="2126" w:type="dxa"/>
            <w:vAlign w:val="center"/>
          </w:tcPr>
          <w:p w14:paraId="32990EA3">
            <w:pPr>
              <w:pStyle w:val="11"/>
            </w:pPr>
          </w:p>
        </w:tc>
        <w:tc>
          <w:tcPr>
            <w:tcW w:w="4535" w:type="dxa"/>
            <w:vAlign w:val="center"/>
          </w:tcPr>
          <w:p w14:paraId="1393633A">
            <w:pPr>
              <w:pStyle w:val="12"/>
            </w:pPr>
            <w:r>
              <w:t>十五、资源勘探工业信息等支出</w:t>
            </w:r>
          </w:p>
        </w:tc>
        <w:tc>
          <w:tcPr>
            <w:tcW w:w="2126" w:type="dxa"/>
            <w:vAlign w:val="center"/>
          </w:tcPr>
          <w:p w14:paraId="0BF0B184">
            <w:pPr>
              <w:pStyle w:val="11"/>
            </w:pPr>
          </w:p>
        </w:tc>
      </w:tr>
      <w:tr w14:paraId="28059C11">
        <w:tblPrEx>
          <w:tblCellMar>
            <w:top w:w="0" w:type="dxa"/>
            <w:left w:w="108" w:type="dxa"/>
            <w:bottom w:w="0" w:type="dxa"/>
            <w:right w:w="108" w:type="dxa"/>
          </w:tblCellMar>
        </w:tblPrEx>
        <w:trPr>
          <w:trHeight w:val="369" w:hRule="atLeast"/>
          <w:jc w:val="center"/>
        </w:trPr>
        <w:tc>
          <w:tcPr>
            <w:tcW w:w="850" w:type="dxa"/>
            <w:vAlign w:val="center"/>
          </w:tcPr>
          <w:p w14:paraId="0CC9FE87">
            <w:pPr>
              <w:pStyle w:val="13"/>
            </w:pPr>
            <w:r>
              <w:t>16</w:t>
            </w:r>
          </w:p>
        </w:tc>
        <w:tc>
          <w:tcPr>
            <w:tcW w:w="4535" w:type="dxa"/>
            <w:vAlign w:val="center"/>
          </w:tcPr>
          <w:p w14:paraId="7E93902B">
            <w:pPr>
              <w:pStyle w:val="12"/>
            </w:pPr>
          </w:p>
        </w:tc>
        <w:tc>
          <w:tcPr>
            <w:tcW w:w="2126" w:type="dxa"/>
            <w:vAlign w:val="center"/>
          </w:tcPr>
          <w:p w14:paraId="1CE66A40">
            <w:pPr>
              <w:pStyle w:val="11"/>
            </w:pPr>
          </w:p>
        </w:tc>
        <w:tc>
          <w:tcPr>
            <w:tcW w:w="4535" w:type="dxa"/>
            <w:vAlign w:val="center"/>
          </w:tcPr>
          <w:p w14:paraId="617791D9">
            <w:pPr>
              <w:pStyle w:val="12"/>
            </w:pPr>
            <w:r>
              <w:t>十六、商业服务业等支出</w:t>
            </w:r>
          </w:p>
        </w:tc>
        <w:tc>
          <w:tcPr>
            <w:tcW w:w="2126" w:type="dxa"/>
            <w:vAlign w:val="center"/>
          </w:tcPr>
          <w:p w14:paraId="09D5B7D6">
            <w:pPr>
              <w:pStyle w:val="11"/>
            </w:pPr>
          </w:p>
        </w:tc>
      </w:tr>
      <w:tr w14:paraId="497452CC">
        <w:tblPrEx>
          <w:tblCellMar>
            <w:top w:w="0" w:type="dxa"/>
            <w:left w:w="108" w:type="dxa"/>
            <w:bottom w:w="0" w:type="dxa"/>
            <w:right w:w="108" w:type="dxa"/>
          </w:tblCellMar>
        </w:tblPrEx>
        <w:trPr>
          <w:trHeight w:val="369" w:hRule="atLeast"/>
          <w:jc w:val="center"/>
        </w:trPr>
        <w:tc>
          <w:tcPr>
            <w:tcW w:w="850" w:type="dxa"/>
            <w:vAlign w:val="center"/>
          </w:tcPr>
          <w:p w14:paraId="496AAFD9">
            <w:pPr>
              <w:pStyle w:val="13"/>
            </w:pPr>
            <w:r>
              <w:t>17</w:t>
            </w:r>
          </w:p>
        </w:tc>
        <w:tc>
          <w:tcPr>
            <w:tcW w:w="4535" w:type="dxa"/>
            <w:vAlign w:val="center"/>
          </w:tcPr>
          <w:p w14:paraId="280B39E0">
            <w:pPr>
              <w:pStyle w:val="12"/>
            </w:pPr>
          </w:p>
        </w:tc>
        <w:tc>
          <w:tcPr>
            <w:tcW w:w="2126" w:type="dxa"/>
            <w:vAlign w:val="center"/>
          </w:tcPr>
          <w:p w14:paraId="5AC2F5AB">
            <w:pPr>
              <w:pStyle w:val="11"/>
            </w:pPr>
          </w:p>
        </w:tc>
        <w:tc>
          <w:tcPr>
            <w:tcW w:w="4535" w:type="dxa"/>
            <w:vAlign w:val="center"/>
          </w:tcPr>
          <w:p w14:paraId="54655AE5">
            <w:pPr>
              <w:pStyle w:val="12"/>
            </w:pPr>
            <w:r>
              <w:t>十七、金融支出</w:t>
            </w:r>
          </w:p>
        </w:tc>
        <w:tc>
          <w:tcPr>
            <w:tcW w:w="2126" w:type="dxa"/>
            <w:vAlign w:val="center"/>
          </w:tcPr>
          <w:p w14:paraId="1EE43E1F">
            <w:pPr>
              <w:pStyle w:val="11"/>
            </w:pPr>
          </w:p>
        </w:tc>
      </w:tr>
      <w:tr w14:paraId="052D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18B0">
            <w:pPr>
              <w:pStyle w:val="13"/>
            </w:pPr>
            <w:r>
              <w:t>18</w:t>
            </w:r>
          </w:p>
        </w:tc>
        <w:tc>
          <w:tcPr>
            <w:tcW w:w="4535" w:type="dxa"/>
            <w:vAlign w:val="center"/>
          </w:tcPr>
          <w:p w14:paraId="03DBFCBF">
            <w:pPr>
              <w:pStyle w:val="12"/>
            </w:pPr>
          </w:p>
        </w:tc>
        <w:tc>
          <w:tcPr>
            <w:tcW w:w="2126" w:type="dxa"/>
            <w:vAlign w:val="center"/>
          </w:tcPr>
          <w:p w14:paraId="22A352D1">
            <w:pPr>
              <w:pStyle w:val="11"/>
            </w:pPr>
          </w:p>
        </w:tc>
        <w:tc>
          <w:tcPr>
            <w:tcW w:w="4535" w:type="dxa"/>
            <w:vAlign w:val="center"/>
          </w:tcPr>
          <w:p w14:paraId="42012C57">
            <w:pPr>
              <w:pStyle w:val="12"/>
            </w:pPr>
            <w:r>
              <w:t>十八、援助其他地区支出</w:t>
            </w:r>
          </w:p>
        </w:tc>
        <w:tc>
          <w:tcPr>
            <w:tcW w:w="2126" w:type="dxa"/>
            <w:vAlign w:val="center"/>
          </w:tcPr>
          <w:p w14:paraId="44D13DC0">
            <w:pPr>
              <w:pStyle w:val="11"/>
            </w:pPr>
          </w:p>
        </w:tc>
      </w:tr>
      <w:tr w14:paraId="495A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3DD76">
            <w:pPr>
              <w:pStyle w:val="13"/>
            </w:pPr>
            <w:r>
              <w:t>19</w:t>
            </w:r>
          </w:p>
        </w:tc>
        <w:tc>
          <w:tcPr>
            <w:tcW w:w="4535" w:type="dxa"/>
            <w:vAlign w:val="center"/>
          </w:tcPr>
          <w:p w14:paraId="18EB3CFF">
            <w:pPr>
              <w:pStyle w:val="12"/>
            </w:pPr>
          </w:p>
        </w:tc>
        <w:tc>
          <w:tcPr>
            <w:tcW w:w="2126" w:type="dxa"/>
            <w:vAlign w:val="center"/>
          </w:tcPr>
          <w:p w14:paraId="5D5DB25A">
            <w:pPr>
              <w:pStyle w:val="11"/>
            </w:pPr>
          </w:p>
        </w:tc>
        <w:tc>
          <w:tcPr>
            <w:tcW w:w="4535" w:type="dxa"/>
            <w:vAlign w:val="center"/>
          </w:tcPr>
          <w:p w14:paraId="13CD4408">
            <w:pPr>
              <w:pStyle w:val="12"/>
            </w:pPr>
            <w:r>
              <w:t>十九、自然资源海洋气象等支出</w:t>
            </w:r>
          </w:p>
        </w:tc>
        <w:tc>
          <w:tcPr>
            <w:tcW w:w="2126" w:type="dxa"/>
            <w:vAlign w:val="center"/>
          </w:tcPr>
          <w:p w14:paraId="1C8658F7">
            <w:pPr>
              <w:pStyle w:val="11"/>
            </w:pPr>
          </w:p>
        </w:tc>
      </w:tr>
      <w:tr w14:paraId="436D8308">
        <w:tblPrEx>
          <w:tblCellMar>
            <w:top w:w="0" w:type="dxa"/>
            <w:left w:w="108" w:type="dxa"/>
            <w:bottom w:w="0" w:type="dxa"/>
            <w:right w:w="108" w:type="dxa"/>
          </w:tblCellMar>
        </w:tblPrEx>
        <w:trPr>
          <w:trHeight w:val="369" w:hRule="atLeast"/>
          <w:jc w:val="center"/>
        </w:trPr>
        <w:tc>
          <w:tcPr>
            <w:tcW w:w="850" w:type="dxa"/>
            <w:vAlign w:val="center"/>
          </w:tcPr>
          <w:p w14:paraId="519DE1D2">
            <w:pPr>
              <w:pStyle w:val="13"/>
            </w:pPr>
            <w:r>
              <w:t>20</w:t>
            </w:r>
          </w:p>
        </w:tc>
        <w:tc>
          <w:tcPr>
            <w:tcW w:w="4535" w:type="dxa"/>
            <w:vAlign w:val="center"/>
          </w:tcPr>
          <w:p w14:paraId="4633227B">
            <w:pPr>
              <w:pStyle w:val="12"/>
            </w:pPr>
          </w:p>
        </w:tc>
        <w:tc>
          <w:tcPr>
            <w:tcW w:w="2126" w:type="dxa"/>
            <w:vAlign w:val="center"/>
          </w:tcPr>
          <w:p w14:paraId="1DEFE29D">
            <w:pPr>
              <w:pStyle w:val="11"/>
            </w:pPr>
          </w:p>
        </w:tc>
        <w:tc>
          <w:tcPr>
            <w:tcW w:w="4535" w:type="dxa"/>
            <w:vAlign w:val="center"/>
          </w:tcPr>
          <w:p w14:paraId="4227031B">
            <w:pPr>
              <w:pStyle w:val="12"/>
            </w:pPr>
            <w:r>
              <w:t>二十、住房保障支出</w:t>
            </w:r>
          </w:p>
        </w:tc>
        <w:tc>
          <w:tcPr>
            <w:tcW w:w="2126" w:type="dxa"/>
            <w:vAlign w:val="center"/>
          </w:tcPr>
          <w:p w14:paraId="45BFB318">
            <w:pPr>
              <w:pStyle w:val="11"/>
            </w:pPr>
          </w:p>
        </w:tc>
      </w:tr>
      <w:tr w14:paraId="0380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C1DD">
            <w:pPr>
              <w:pStyle w:val="13"/>
            </w:pPr>
            <w:r>
              <w:t>21</w:t>
            </w:r>
          </w:p>
        </w:tc>
        <w:tc>
          <w:tcPr>
            <w:tcW w:w="4535" w:type="dxa"/>
            <w:vAlign w:val="center"/>
          </w:tcPr>
          <w:p w14:paraId="78D58DFA">
            <w:pPr>
              <w:pStyle w:val="12"/>
            </w:pPr>
          </w:p>
        </w:tc>
        <w:tc>
          <w:tcPr>
            <w:tcW w:w="2126" w:type="dxa"/>
            <w:vAlign w:val="center"/>
          </w:tcPr>
          <w:p w14:paraId="2059CA03">
            <w:pPr>
              <w:pStyle w:val="11"/>
            </w:pPr>
          </w:p>
        </w:tc>
        <w:tc>
          <w:tcPr>
            <w:tcW w:w="4535" w:type="dxa"/>
            <w:vAlign w:val="center"/>
          </w:tcPr>
          <w:p w14:paraId="75397C80">
            <w:pPr>
              <w:pStyle w:val="12"/>
            </w:pPr>
            <w:r>
              <w:t>二十一、粮油物资储备支出</w:t>
            </w:r>
          </w:p>
        </w:tc>
        <w:tc>
          <w:tcPr>
            <w:tcW w:w="2126" w:type="dxa"/>
            <w:vAlign w:val="center"/>
          </w:tcPr>
          <w:p w14:paraId="6F63574F">
            <w:pPr>
              <w:pStyle w:val="11"/>
            </w:pPr>
          </w:p>
        </w:tc>
      </w:tr>
      <w:tr w14:paraId="2901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3533">
            <w:pPr>
              <w:pStyle w:val="13"/>
            </w:pPr>
            <w:r>
              <w:t>22</w:t>
            </w:r>
          </w:p>
        </w:tc>
        <w:tc>
          <w:tcPr>
            <w:tcW w:w="4535" w:type="dxa"/>
            <w:vAlign w:val="center"/>
          </w:tcPr>
          <w:p w14:paraId="46CC74BB">
            <w:pPr>
              <w:pStyle w:val="12"/>
            </w:pPr>
          </w:p>
        </w:tc>
        <w:tc>
          <w:tcPr>
            <w:tcW w:w="2126" w:type="dxa"/>
            <w:vAlign w:val="center"/>
          </w:tcPr>
          <w:p w14:paraId="3967C20B">
            <w:pPr>
              <w:pStyle w:val="11"/>
            </w:pPr>
          </w:p>
        </w:tc>
        <w:tc>
          <w:tcPr>
            <w:tcW w:w="4535" w:type="dxa"/>
            <w:vAlign w:val="center"/>
          </w:tcPr>
          <w:p w14:paraId="51839EF1">
            <w:pPr>
              <w:pStyle w:val="12"/>
            </w:pPr>
            <w:r>
              <w:t>二十二、国有资本经营预算支出</w:t>
            </w:r>
          </w:p>
        </w:tc>
        <w:tc>
          <w:tcPr>
            <w:tcW w:w="2126" w:type="dxa"/>
            <w:vAlign w:val="center"/>
          </w:tcPr>
          <w:p w14:paraId="1B74B781">
            <w:pPr>
              <w:pStyle w:val="11"/>
            </w:pPr>
          </w:p>
        </w:tc>
      </w:tr>
      <w:tr w14:paraId="6FE3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CEA1C">
            <w:pPr>
              <w:pStyle w:val="13"/>
            </w:pPr>
            <w:r>
              <w:t>23</w:t>
            </w:r>
          </w:p>
        </w:tc>
        <w:tc>
          <w:tcPr>
            <w:tcW w:w="4535" w:type="dxa"/>
            <w:vAlign w:val="center"/>
          </w:tcPr>
          <w:p w14:paraId="5C3632CE">
            <w:pPr>
              <w:pStyle w:val="12"/>
            </w:pPr>
          </w:p>
        </w:tc>
        <w:tc>
          <w:tcPr>
            <w:tcW w:w="2126" w:type="dxa"/>
            <w:vAlign w:val="center"/>
          </w:tcPr>
          <w:p w14:paraId="57D22896">
            <w:pPr>
              <w:pStyle w:val="11"/>
            </w:pPr>
          </w:p>
        </w:tc>
        <w:tc>
          <w:tcPr>
            <w:tcW w:w="4535" w:type="dxa"/>
            <w:vAlign w:val="center"/>
          </w:tcPr>
          <w:p w14:paraId="2252259B">
            <w:pPr>
              <w:pStyle w:val="12"/>
            </w:pPr>
            <w:r>
              <w:t>二十三、灾害防治及应急管理支出</w:t>
            </w:r>
          </w:p>
        </w:tc>
        <w:tc>
          <w:tcPr>
            <w:tcW w:w="2126" w:type="dxa"/>
            <w:vAlign w:val="center"/>
          </w:tcPr>
          <w:p w14:paraId="03CCE276">
            <w:pPr>
              <w:pStyle w:val="11"/>
            </w:pPr>
          </w:p>
        </w:tc>
      </w:tr>
      <w:tr w14:paraId="310D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5EA58">
            <w:pPr>
              <w:pStyle w:val="13"/>
            </w:pPr>
            <w:r>
              <w:t>24</w:t>
            </w:r>
          </w:p>
        </w:tc>
        <w:tc>
          <w:tcPr>
            <w:tcW w:w="4535" w:type="dxa"/>
            <w:vAlign w:val="center"/>
          </w:tcPr>
          <w:p w14:paraId="56DA29A2">
            <w:pPr>
              <w:pStyle w:val="12"/>
            </w:pPr>
          </w:p>
        </w:tc>
        <w:tc>
          <w:tcPr>
            <w:tcW w:w="2126" w:type="dxa"/>
            <w:vAlign w:val="center"/>
          </w:tcPr>
          <w:p w14:paraId="7734D72C">
            <w:pPr>
              <w:pStyle w:val="11"/>
            </w:pPr>
          </w:p>
        </w:tc>
        <w:tc>
          <w:tcPr>
            <w:tcW w:w="4535" w:type="dxa"/>
            <w:vAlign w:val="center"/>
          </w:tcPr>
          <w:p w14:paraId="482B377E">
            <w:pPr>
              <w:pStyle w:val="12"/>
            </w:pPr>
            <w:r>
              <w:t>二十四、预备费</w:t>
            </w:r>
          </w:p>
        </w:tc>
        <w:tc>
          <w:tcPr>
            <w:tcW w:w="2126" w:type="dxa"/>
            <w:vAlign w:val="center"/>
          </w:tcPr>
          <w:p w14:paraId="50F2729F">
            <w:pPr>
              <w:pStyle w:val="11"/>
            </w:pPr>
          </w:p>
        </w:tc>
      </w:tr>
      <w:tr w14:paraId="0046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A0952">
            <w:pPr>
              <w:pStyle w:val="13"/>
            </w:pPr>
            <w:r>
              <w:t>25</w:t>
            </w:r>
          </w:p>
        </w:tc>
        <w:tc>
          <w:tcPr>
            <w:tcW w:w="4535" w:type="dxa"/>
            <w:vAlign w:val="center"/>
          </w:tcPr>
          <w:p w14:paraId="130AC785">
            <w:pPr>
              <w:pStyle w:val="12"/>
            </w:pPr>
          </w:p>
        </w:tc>
        <w:tc>
          <w:tcPr>
            <w:tcW w:w="2126" w:type="dxa"/>
            <w:vAlign w:val="center"/>
          </w:tcPr>
          <w:p w14:paraId="49C027D3">
            <w:pPr>
              <w:pStyle w:val="11"/>
            </w:pPr>
          </w:p>
        </w:tc>
        <w:tc>
          <w:tcPr>
            <w:tcW w:w="4535" w:type="dxa"/>
            <w:vAlign w:val="center"/>
          </w:tcPr>
          <w:p w14:paraId="319F5D76">
            <w:pPr>
              <w:pStyle w:val="12"/>
            </w:pPr>
            <w:r>
              <w:t>二十五、其他支出</w:t>
            </w:r>
          </w:p>
        </w:tc>
        <w:tc>
          <w:tcPr>
            <w:tcW w:w="2126" w:type="dxa"/>
            <w:vAlign w:val="center"/>
          </w:tcPr>
          <w:p w14:paraId="16A6EBE4">
            <w:pPr>
              <w:pStyle w:val="11"/>
            </w:pPr>
          </w:p>
        </w:tc>
      </w:tr>
      <w:tr w14:paraId="7927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1D52F">
            <w:pPr>
              <w:pStyle w:val="13"/>
            </w:pPr>
            <w:r>
              <w:t>26</w:t>
            </w:r>
          </w:p>
        </w:tc>
        <w:tc>
          <w:tcPr>
            <w:tcW w:w="4535" w:type="dxa"/>
            <w:vAlign w:val="center"/>
          </w:tcPr>
          <w:p w14:paraId="241AD1B0">
            <w:pPr>
              <w:pStyle w:val="12"/>
            </w:pPr>
          </w:p>
        </w:tc>
        <w:tc>
          <w:tcPr>
            <w:tcW w:w="2126" w:type="dxa"/>
            <w:vAlign w:val="center"/>
          </w:tcPr>
          <w:p w14:paraId="2FA1FA6E">
            <w:pPr>
              <w:pStyle w:val="11"/>
            </w:pPr>
          </w:p>
        </w:tc>
        <w:tc>
          <w:tcPr>
            <w:tcW w:w="4535" w:type="dxa"/>
            <w:vAlign w:val="center"/>
          </w:tcPr>
          <w:p w14:paraId="47A88E23">
            <w:pPr>
              <w:pStyle w:val="12"/>
            </w:pPr>
            <w:r>
              <w:t>二十六、转移性支出</w:t>
            </w:r>
          </w:p>
        </w:tc>
        <w:tc>
          <w:tcPr>
            <w:tcW w:w="2126" w:type="dxa"/>
            <w:vAlign w:val="center"/>
          </w:tcPr>
          <w:p w14:paraId="7C14F659">
            <w:pPr>
              <w:pStyle w:val="11"/>
            </w:pPr>
          </w:p>
        </w:tc>
      </w:tr>
      <w:tr w14:paraId="7EF1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60006">
            <w:pPr>
              <w:pStyle w:val="13"/>
            </w:pPr>
            <w:r>
              <w:t>27</w:t>
            </w:r>
          </w:p>
        </w:tc>
        <w:tc>
          <w:tcPr>
            <w:tcW w:w="4535" w:type="dxa"/>
            <w:vAlign w:val="center"/>
          </w:tcPr>
          <w:p w14:paraId="35DD8E52">
            <w:pPr>
              <w:pStyle w:val="12"/>
            </w:pPr>
          </w:p>
        </w:tc>
        <w:tc>
          <w:tcPr>
            <w:tcW w:w="2126" w:type="dxa"/>
            <w:vAlign w:val="center"/>
          </w:tcPr>
          <w:p w14:paraId="4415B666">
            <w:pPr>
              <w:pStyle w:val="11"/>
            </w:pPr>
          </w:p>
        </w:tc>
        <w:tc>
          <w:tcPr>
            <w:tcW w:w="4535" w:type="dxa"/>
            <w:vAlign w:val="center"/>
          </w:tcPr>
          <w:p w14:paraId="546FC124">
            <w:pPr>
              <w:pStyle w:val="12"/>
            </w:pPr>
            <w:r>
              <w:t>二十七、债务还本支出</w:t>
            </w:r>
          </w:p>
        </w:tc>
        <w:tc>
          <w:tcPr>
            <w:tcW w:w="2126" w:type="dxa"/>
            <w:vAlign w:val="center"/>
          </w:tcPr>
          <w:p w14:paraId="00BFF4F7">
            <w:pPr>
              <w:pStyle w:val="11"/>
            </w:pPr>
          </w:p>
        </w:tc>
      </w:tr>
      <w:tr w14:paraId="7AF6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3228">
            <w:pPr>
              <w:pStyle w:val="13"/>
            </w:pPr>
            <w:r>
              <w:t>28</w:t>
            </w:r>
          </w:p>
        </w:tc>
        <w:tc>
          <w:tcPr>
            <w:tcW w:w="4535" w:type="dxa"/>
            <w:vAlign w:val="center"/>
          </w:tcPr>
          <w:p w14:paraId="51D0FC96">
            <w:pPr>
              <w:pStyle w:val="12"/>
            </w:pPr>
          </w:p>
        </w:tc>
        <w:tc>
          <w:tcPr>
            <w:tcW w:w="2126" w:type="dxa"/>
            <w:vAlign w:val="center"/>
          </w:tcPr>
          <w:p w14:paraId="5B0B72CF">
            <w:pPr>
              <w:pStyle w:val="11"/>
            </w:pPr>
          </w:p>
        </w:tc>
        <w:tc>
          <w:tcPr>
            <w:tcW w:w="4535" w:type="dxa"/>
            <w:vAlign w:val="center"/>
          </w:tcPr>
          <w:p w14:paraId="01C742EB">
            <w:pPr>
              <w:pStyle w:val="12"/>
            </w:pPr>
            <w:r>
              <w:t>二十八、债务付息支出</w:t>
            </w:r>
          </w:p>
        </w:tc>
        <w:tc>
          <w:tcPr>
            <w:tcW w:w="2126" w:type="dxa"/>
            <w:vAlign w:val="center"/>
          </w:tcPr>
          <w:p w14:paraId="6000D600">
            <w:pPr>
              <w:pStyle w:val="11"/>
            </w:pPr>
          </w:p>
        </w:tc>
      </w:tr>
      <w:tr w14:paraId="2275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5F34F">
            <w:pPr>
              <w:pStyle w:val="13"/>
            </w:pPr>
            <w:r>
              <w:t>29</w:t>
            </w:r>
          </w:p>
        </w:tc>
        <w:tc>
          <w:tcPr>
            <w:tcW w:w="4535" w:type="dxa"/>
            <w:vAlign w:val="center"/>
          </w:tcPr>
          <w:p w14:paraId="0C175DBB">
            <w:pPr>
              <w:pStyle w:val="12"/>
            </w:pPr>
          </w:p>
        </w:tc>
        <w:tc>
          <w:tcPr>
            <w:tcW w:w="2126" w:type="dxa"/>
            <w:vAlign w:val="center"/>
          </w:tcPr>
          <w:p w14:paraId="5A4C7A9B">
            <w:pPr>
              <w:pStyle w:val="11"/>
            </w:pPr>
          </w:p>
        </w:tc>
        <w:tc>
          <w:tcPr>
            <w:tcW w:w="4535" w:type="dxa"/>
            <w:vAlign w:val="center"/>
          </w:tcPr>
          <w:p w14:paraId="79527F93">
            <w:pPr>
              <w:pStyle w:val="12"/>
            </w:pPr>
            <w:r>
              <w:t>二十九、债务发行费用支出</w:t>
            </w:r>
          </w:p>
        </w:tc>
        <w:tc>
          <w:tcPr>
            <w:tcW w:w="2126" w:type="dxa"/>
            <w:vAlign w:val="center"/>
          </w:tcPr>
          <w:p w14:paraId="47318054">
            <w:pPr>
              <w:pStyle w:val="11"/>
            </w:pPr>
          </w:p>
        </w:tc>
      </w:tr>
      <w:tr w14:paraId="732C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C3EAE">
            <w:pPr>
              <w:pStyle w:val="13"/>
            </w:pPr>
            <w:r>
              <w:t>30</w:t>
            </w:r>
          </w:p>
        </w:tc>
        <w:tc>
          <w:tcPr>
            <w:tcW w:w="4535" w:type="dxa"/>
            <w:vAlign w:val="center"/>
          </w:tcPr>
          <w:p w14:paraId="7EF99B79">
            <w:pPr>
              <w:pStyle w:val="12"/>
            </w:pPr>
          </w:p>
        </w:tc>
        <w:tc>
          <w:tcPr>
            <w:tcW w:w="2126" w:type="dxa"/>
            <w:vAlign w:val="center"/>
          </w:tcPr>
          <w:p w14:paraId="06D700D4">
            <w:pPr>
              <w:pStyle w:val="11"/>
            </w:pPr>
          </w:p>
        </w:tc>
        <w:tc>
          <w:tcPr>
            <w:tcW w:w="4535" w:type="dxa"/>
            <w:vAlign w:val="center"/>
          </w:tcPr>
          <w:p w14:paraId="38044A30">
            <w:pPr>
              <w:pStyle w:val="12"/>
            </w:pPr>
            <w:r>
              <w:t>三十、抗疫特别国债安排的支出</w:t>
            </w:r>
          </w:p>
        </w:tc>
        <w:tc>
          <w:tcPr>
            <w:tcW w:w="2126" w:type="dxa"/>
            <w:vAlign w:val="center"/>
          </w:tcPr>
          <w:p w14:paraId="408EDCED">
            <w:pPr>
              <w:pStyle w:val="11"/>
            </w:pPr>
          </w:p>
        </w:tc>
      </w:tr>
      <w:tr w14:paraId="0B92BD23">
        <w:tblPrEx>
          <w:tblCellMar>
            <w:top w:w="0" w:type="dxa"/>
            <w:left w:w="108" w:type="dxa"/>
            <w:bottom w:w="0" w:type="dxa"/>
            <w:right w:w="108" w:type="dxa"/>
          </w:tblCellMar>
        </w:tblPrEx>
        <w:trPr>
          <w:trHeight w:val="369" w:hRule="atLeast"/>
          <w:jc w:val="center"/>
        </w:trPr>
        <w:tc>
          <w:tcPr>
            <w:tcW w:w="850" w:type="dxa"/>
            <w:vAlign w:val="center"/>
          </w:tcPr>
          <w:p w14:paraId="69BEBF7B">
            <w:pPr>
              <w:pStyle w:val="13"/>
            </w:pPr>
            <w:r>
              <w:t>31</w:t>
            </w:r>
          </w:p>
        </w:tc>
        <w:tc>
          <w:tcPr>
            <w:tcW w:w="4535" w:type="dxa"/>
            <w:vAlign w:val="center"/>
          </w:tcPr>
          <w:p w14:paraId="6E781383">
            <w:pPr>
              <w:pStyle w:val="14"/>
            </w:pPr>
            <w:r>
              <w:t>本年收入合计</w:t>
            </w:r>
          </w:p>
        </w:tc>
        <w:tc>
          <w:tcPr>
            <w:tcW w:w="2126" w:type="dxa"/>
            <w:vAlign w:val="center"/>
          </w:tcPr>
          <w:p w14:paraId="5E9CA6F3">
            <w:pPr>
              <w:pStyle w:val="15"/>
            </w:pPr>
            <w:r>
              <w:t>1251.78</w:t>
            </w:r>
          </w:p>
        </w:tc>
        <w:tc>
          <w:tcPr>
            <w:tcW w:w="4535" w:type="dxa"/>
            <w:vAlign w:val="center"/>
          </w:tcPr>
          <w:p w14:paraId="1BD4564A">
            <w:pPr>
              <w:pStyle w:val="14"/>
            </w:pPr>
            <w:r>
              <w:t>本年支出合计</w:t>
            </w:r>
          </w:p>
        </w:tc>
        <w:tc>
          <w:tcPr>
            <w:tcW w:w="2126" w:type="dxa"/>
            <w:vAlign w:val="center"/>
          </w:tcPr>
          <w:p w14:paraId="4496E9D5">
            <w:pPr>
              <w:pStyle w:val="15"/>
            </w:pPr>
            <w:r>
              <w:t>1251.78</w:t>
            </w:r>
          </w:p>
        </w:tc>
      </w:tr>
      <w:tr w14:paraId="3E01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73D28">
            <w:pPr>
              <w:pStyle w:val="13"/>
            </w:pPr>
            <w:r>
              <w:t>32</w:t>
            </w:r>
          </w:p>
        </w:tc>
        <w:tc>
          <w:tcPr>
            <w:tcW w:w="4535" w:type="dxa"/>
            <w:vAlign w:val="center"/>
          </w:tcPr>
          <w:p w14:paraId="49DDA7CC">
            <w:pPr>
              <w:pStyle w:val="12"/>
            </w:pPr>
            <w:r>
              <w:t>上年结转结余</w:t>
            </w:r>
          </w:p>
        </w:tc>
        <w:tc>
          <w:tcPr>
            <w:tcW w:w="2126" w:type="dxa"/>
            <w:vAlign w:val="center"/>
          </w:tcPr>
          <w:p w14:paraId="47FA130D">
            <w:pPr>
              <w:pStyle w:val="11"/>
            </w:pPr>
          </w:p>
        </w:tc>
        <w:tc>
          <w:tcPr>
            <w:tcW w:w="4535" w:type="dxa"/>
            <w:vAlign w:val="center"/>
          </w:tcPr>
          <w:p w14:paraId="21ABC419">
            <w:pPr>
              <w:pStyle w:val="12"/>
            </w:pPr>
            <w:r>
              <w:t>年终结转结余</w:t>
            </w:r>
          </w:p>
        </w:tc>
        <w:tc>
          <w:tcPr>
            <w:tcW w:w="2126" w:type="dxa"/>
            <w:vAlign w:val="center"/>
          </w:tcPr>
          <w:p w14:paraId="66A060C3">
            <w:pPr>
              <w:pStyle w:val="11"/>
            </w:pPr>
          </w:p>
        </w:tc>
      </w:tr>
      <w:tr w14:paraId="28990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BC19">
            <w:pPr>
              <w:pStyle w:val="13"/>
            </w:pPr>
            <w:r>
              <w:t>33</w:t>
            </w:r>
          </w:p>
        </w:tc>
        <w:tc>
          <w:tcPr>
            <w:tcW w:w="4535" w:type="dxa"/>
            <w:vAlign w:val="center"/>
          </w:tcPr>
          <w:p w14:paraId="2CFE5468">
            <w:pPr>
              <w:pStyle w:val="14"/>
            </w:pPr>
            <w:r>
              <w:t>收入总计</w:t>
            </w:r>
          </w:p>
        </w:tc>
        <w:tc>
          <w:tcPr>
            <w:tcW w:w="2126" w:type="dxa"/>
            <w:vAlign w:val="center"/>
          </w:tcPr>
          <w:p w14:paraId="6C07EE35">
            <w:pPr>
              <w:pStyle w:val="15"/>
            </w:pPr>
            <w:r>
              <w:t>1251.78</w:t>
            </w:r>
          </w:p>
        </w:tc>
        <w:tc>
          <w:tcPr>
            <w:tcW w:w="4535" w:type="dxa"/>
            <w:vAlign w:val="center"/>
          </w:tcPr>
          <w:p w14:paraId="10DBF024">
            <w:pPr>
              <w:pStyle w:val="14"/>
            </w:pPr>
            <w:r>
              <w:t>支出总计</w:t>
            </w:r>
          </w:p>
        </w:tc>
        <w:tc>
          <w:tcPr>
            <w:tcW w:w="2126" w:type="dxa"/>
            <w:vAlign w:val="center"/>
          </w:tcPr>
          <w:p w14:paraId="0DBD03A3">
            <w:pPr>
              <w:pStyle w:val="15"/>
            </w:pPr>
            <w:r>
              <w:t>1251.78</w:t>
            </w:r>
          </w:p>
        </w:tc>
      </w:tr>
    </w:tbl>
    <w:p w14:paraId="3E81D62E">
      <w:pPr>
        <w:sectPr>
          <w:pgSz w:w="16840" w:h="11900" w:orient="landscape"/>
          <w:pgMar w:top="1361" w:right="1020" w:bottom="1134" w:left="1020" w:header="720" w:footer="720" w:gutter="0"/>
          <w:cols w:space="720" w:num="1"/>
        </w:sectPr>
      </w:pPr>
    </w:p>
    <w:p w14:paraId="51784A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41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D88630">
            <w:pPr>
              <w:pStyle w:val="9"/>
            </w:pPr>
            <w:r>
              <w:t>360009河北省隆尧县滏阳中学</w:t>
            </w:r>
          </w:p>
        </w:tc>
        <w:tc>
          <w:tcPr>
            <w:tcW w:w="3402" w:type="dxa"/>
            <w:gridSpan w:val="3"/>
            <w:tcBorders>
              <w:top w:val="single" w:color="FFFFFF" w:sz="6" w:space="0"/>
              <w:left w:val="single" w:color="FFFFFF" w:sz="6" w:space="0"/>
              <w:right w:val="single" w:color="FFFFFF" w:sz="6" w:space="0"/>
            </w:tcBorders>
            <w:vAlign w:val="center"/>
          </w:tcPr>
          <w:p w14:paraId="58CFF8D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DF5275A">
            <w:pPr>
              <w:pStyle w:val="7"/>
            </w:pPr>
            <w:r>
              <w:t>单位：万元</w:t>
            </w:r>
          </w:p>
        </w:tc>
      </w:tr>
      <w:tr w14:paraId="581A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C5CE0A">
            <w:pPr>
              <w:pStyle w:val="10"/>
            </w:pPr>
            <w:r>
              <w:t>序号</w:t>
            </w:r>
          </w:p>
        </w:tc>
        <w:tc>
          <w:tcPr>
            <w:tcW w:w="2551" w:type="dxa"/>
            <w:gridSpan w:val="2"/>
            <w:vAlign w:val="center"/>
          </w:tcPr>
          <w:p w14:paraId="2BDFBFFC">
            <w:pPr>
              <w:pStyle w:val="10"/>
            </w:pPr>
            <w:r>
              <w:t>功能分类科目</w:t>
            </w:r>
          </w:p>
        </w:tc>
        <w:tc>
          <w:tcPr>
            <w:tcW w:w="1134" w:type="dxa"/>
            <w:vMerge w:val="restart"/>
            <w:vAlign w:val="center"/>
          </w:tcPr>
          <w:p w14:paraId="54B599A6">
            <w:pPr>
              <w:pStyle w:val="10"/>
            </w:pPr>
            <w:r>
              <w:t>合计</w:t>
            </w:r>
          </w:p>
        </w:tc>
        <w:tc>
          <w:tcPr>
            <w:tcW w:w="9072" w:type="dxa"/>
            <w:gridSpan w:val="8"/>
            <w:vAlign w:val="center"/>
          </w:tcPr>
          <w:p w14:paraId="10D25920">
            <w:pPr>
              <w:pStyle w:val="10"/>
            </w:pPr>
            <w:r>
              <w:t>本年收入</w:t>
            </w:r>
          </w:p>
        </w:tc>
        <w:tc>
          <w:tcPr>
            <w:tcW w:w="1134" w:type="dxa"/>
            <w:vMerge w:val="restart"/>
            <w:vAlign w:val="center"/>
          </w:tcPr>
          <w:p w14:paraId="47D26F16">
            <w:pPr>
              <w:pStyle w:val="10"/>
            </w:pPr>
            <w:r>
              <w:t>上年结转</w:t>
            </w:r>
          </w:p>
        </w:tc>
      </w:tr>
      <w:tr w14:paraId="5205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A4215B"/>
        </w:tc>
        <w:tc>
          <w:tcPr>
            <w:tcW w:w="992" w:type="dxa"/>
            <w:vAlign w:val="center"/>
          </w:tcPr>
          <w:p w14:paraId="782E88D4">
            <w:pPr>
              <w:pStyle w:val="10"/>
            </w:pPr>
            <w:r>
              <w:t>科目    编码</w:t>
            </w:r>
          </w:p>
        </w:tc>
        <w:tc>
          <w:tcPr>
            <w:tcW w:w="1559" w:type="dxa"/>
            <w:vAlign w:val="center"/>
          </w:tcPr>
          <w:p w14:paraId="7903A851">
            <w:pPr>
              <w:pStyle w:val="10"/>
            </w:pPr>
            <w:r>
              <w:t>科目名称</w:t>
            </w:r>
          </w:p>
        </w:tc>
        <w:tc>
          <w:tcPr>
            <w:tcW w:w="1134" w:type="dxa"/>
            <w:vMerge w:val="continue"/>
          </w:tcPr>
          <w:p w14:paraId="7B60888A"/>
        </w:tc>
        <w:tc>
          <w:tcPr>
            <w:tcW w:w="1134" w:type="dxa"/>
            <w:vAlign w:val="center"/>
          </w:tcPr>
          <w:p w14:paraId="7EAC179B">
            <w:pPr>
              <w:pStyle w:val="10"/>
            </w:pPr>
            <w:r>
              <w:t>小计</w:t>
            </w:r>
          </w:p>
        </w:tc>
        <w:tc>
          <w:tcPr>
            <w:tcW w:w="1134" w:type="dxa"/>
            <w:vAlign w:val="center"/>
          </w:tcPr>
          <w:p w14:paraId="0A315960">
            <w:pPr>
              <w:pStyle w:val="10"/>
            </w:pPr>
            <w:r>
              <w:t>财政拨款 收入</w:t>
            </w:r>
          </w:p>
        </w:tc>
        <w:tc>
          <w:tcPr>
            <w:tcW w:w="1134" w:type="dxa"/>
            <w:vAlign w:val="center"/>
          </w:tcPr>
          <w:p w14:paraId="2B8CC7D1">
            <w:pPr>
              <w:pStyle w:val="10"/>
            </w:pPr>
            <w:r>
              <w:t>财政专户 收入</w:t>
            </w:r>
          </w:p>
        </w:tc>
        <w:tc>
          <w:tcPr>
            <w:tcW w:w="1134" w:type="dxa"/>
            <w:vAlign w:val="center"/>
          </w:tcPr>
          <w:p w14:paraId="38512162">
            <w:pPr>
              <w:pStyle w:val="10"/>
            </w:pPr>
            <w:r>
              <w:t>事业收入</w:t>
            </w:r>
          </w:p>
        </w:tc>
        <w:tc>
          <w:tcPr>
            <w:tcW w:w="1134" w:type="dxa"/>
            <w:vAlign w:val="center"/>
          </w:tcPr>
          <w:p w14:paraId="6B677482">
            <w:pPr>
              <w:pStyle w:val="10"/>
            </w:pPr>
            <w:r>
              <w:t>经营收入</w:t>
            </w:r>
          </w:p>
        </w:tc>
        <w:tc>
          <w:tcPr>
            <w:tcW w:w="1134" w:type="dxa"/>
            <w:vAlign w:val="center"/>
          </w:tcPr>
          <w:p w14:paraId="3BA5B84A">
            <w:pPr>
              <w:pStyle w:val="10"/>
            </w:pPr>
            <w:r>
              <w:t>上级补助收入</w:t>
            </w:r>
          </w:p>
        </w:tc>
        <w:tc>
          <w:tcPr>
            <w:tcW w:w="1134" w:type="dxa"/>
            <w:vAlign w:val="center"/>
          </w:tcPr>
          <w:p w14:paraId="16420880">
            <w:pPr>
              <w:pStyle w:val="10"/>
            </w:pPr>
            <w:r>
              <w:t>附属单位上缴收入</w:t>
            </w:r>
          </w:p>
        </w:tc>
        <w:tc>
          <w:tcPr>
            <w:tcW w:w="1134" w:type="dxa"/>
            <w:vAlign w:val="center"/>
          </w:tcPr>
          <w:p w14:paraId="6E48D1F1">
            <w:pPr>
              <w:pStyle w:val="10"/>
            </w:pPr>
            <w:r>
              <w:t>其他收入</w:t>
            </w:r>
          </w:p>
        </w:tc>
        <w:tc>
          <w:tcPr>
            <w:tcW w:w="1134" w:type="dxa"/>
            <w:vMerge w:val="continue"/>
          </w:tcPr>
          <w:p w14:paraId="0164B276"/>
        </w:tc>
      </w:tr>
      <w:tr w14:paraId="2E3C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7C07FC">
            <w:pPr>
              <w:pStyle w:val="10"/>
            </w:pPr>
            <w:r>
              <w:t>栏次</w:t>
            </w:r>
          </w:p>
        </w:tc>
        <w:tc>
          <w:tcPr>
            <w:tcW w:w="992" w:type="dxa"/>
            <w:vAlign w:val="center"/>
          </w:tcPr>
          <w:p w14:paraId="7F237D33">
            <w:pPr>
              <w:pStyle w:val="10"/>
            </w:pPr>
            <w:r>
              <w:t>1</w:t>
            </w:r>
          </w:p>
        </w:tc>
        <w:tc>
          <w:tcPr>
            <w:tcW w:w="1559" w:type="dxa"/>
            <w:vAlign w:val="center"/>
          </w:tcPr>
          <w:p w14:paraId="6F358F5C">
            <w:pPr>
              <w:pStyle w:val="10"/>
            </w:pPr>
            <w:r>
              <w:t>2</w:t>
            </w:r>
          </w:p>
        </w:tc>
        <w:tc>
          <w:tcPr>
            <w:tcW w:w="1134" w:type="dxa"/>
            <w:vAlign w:val="center"/>
          </w:tcPr>
          <w:p w14:paraId="606B3E7A">
            <w:pPr>
              <w:pStyle w:val="10"/>
            </w:pPr>
            <w:r>
              <w:t>3</w:t>
            </w:r>
          </w:p>
        </w:tc>
        <w:tc>
          <w:tcPr>
            <w:tcW w:w="1134" w:type="dxa"/>
            <w:vAlign w:val="center"/>
          </w:tcPr>
          <w:p w14:paraId="519E9742">
            <w:pPr>
              <w:pStyle w:val="10"/>
            </w:pPr>
            <w:r>
              <w:t>4</w:t>
            </w:r>
          </w:p>
        </w:tc>
        <w:tc>
          <w:tcPr>
            <w:tcW w:w="1134" w:type="dxa"/>
            <w:vAlign w:val="center"/>
          </w:tcPr>
          <w:p w14:paraId="188FEDF2">
            <w:pPr>
              <w:pStyle w:val="10"/>
            </w:pPr>
            <w:r>
              <w:t>5</w:t>
            </w:r>
          </w:p>
        </w:tc>
        <w:tc>
          <w:tcPr>
            <w:tcW w:w="1134" w:type="dxa"/>
            <w:vAlign w:val="center"/>
          </w:tcPr>
          <w:p w14:paraId="28A6B201">
            <w:pPr>
              <w:pStyle w:val="10"/>
            </w:pPr>
            <w:r>
              <w:t>6</w:t>
            </w:r>
          </w:p>
        </w:tc>
        <w:tc>
          <w:tcPr>
            <w:tcW w:w="1134" w:type="dxa"/>
            <w:vAlign w:val="center"/>
          </w:tcPr>
          <w:p w14:paraId="78FA2251">
            <w:pPr>
              <w:pStyle w:val="10"/>
            </w:pPr>
            <w:r>
              <w:t>7</w:t>
            </w:r>
          </w:p>
        </w:tc>
        <w:tc>
          <w:tcPr>
            <w:tcW w:w="1134" w:type="dxa"/>
            <w:vAlign w:val="center"/>
          </w:tcPr>
          <w:p w14:paraId="53CB3A6E">
            <w:pPr>
              <w:pStyle w:val="10"/>
            </w:pPr>
            <w:r>
              <w:t>8</w:t>
            </w:r>
          </w:p>
        </w:tc>
        <w:tc>
          <w:tcPr>
            <w:tcW w:w="1134" w:type="dxa"/>
            <w:vAlign w:val="center"/>
          </w:tcPr>
          <w:p w14:paraId="2ED38364">
            <w:pPr>
              <w:pStyle w:val="10"/>
            </w:pPr>
            <w:r>
              <w:t>9</w:t>
            </w:r>
          </w:p>
        </w:tc>
        <w:tc>
          <w:tcPr>
            <w:tcW w:w="1134" w:type="dxa"/>
            <w:vAlign w:val="center"/>
          </w:tcPr>
          <w:p w14:paraId="36974349">
            <w:pPr>
              <w:pStyle w:val="10"/>
            </w:pPr>
            <w:r>
              <w:t>10</w:t>
            </w:r>
          </w:p>
        </w:tc>
        <w:tc>
          <w:tcPr>
            <w:tcW w:w="1134" w:type="dxa"/>
            <w:vAlign w:val="center"/>
          </w:tcPr>
          <w:p w14:paraId="21749C1C">
            <w:pPr>
              <w:pStyle w:val="10"/>
            </w:pPr>
            <w:r>
              <w:t>11</w:t>
            </w:r>
          </w:p>
        </w:tc>
        <w:tc>
          <w:tcPr>
            <w:tcW w:w="1134" w:type="dxa"/>
            <w:vAlign w:val="center"/>
          </w:tcPr>
          <w:p w14:paraId="3C9F5EBD">
            <w:pPr>
              <w:pStyle w:val="10"/>
            </w:pPr>
            <w:r>
              <w:t>12</w:t>
            </w:r>
          </w:p>
        </w:tc>
      </w:tr>
      <w:tr w14:paraId="4677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C9ECD">
            <w:pPr>
              <w:pStyle w:val="13"/>
            </w:pPr>
            <w:r>
              <w:t>1</w:t>
            </w:r>
          </w:p>
        </w:tc>
        <w:tc>
          <w:tcPr>
            <w:tcW w:w="992" w:type="dxa"/>
            <w:vAlign w:val="center"/>
          </w:tcPr>
          <w:p w14:paraId="1DC005A9">
            <w:pPr>
              <w:pStyle w:val="16"/>
            </w:pPr>
          </w:p>
        </w:tc>
        <w:tc>
          <w:tcPr>
            <w:tcW w:w="1559" w:type="dxa"/>
            <w:vAlign w:val="center"/>
          </w:tcPr>
          <w:p w14:paraId="52AAA5B1">
            <w:pPr>
              <w:pStyle w:val="14"/>
            </w:pPr>
            <w:r>
              <w:t>合计</w:t>
            </w:r>
          </w:p>
        </w:tc>
        <w:tc>
          <w:tcPr>
            <w:tcW w:w="1134" w:type="dxa"/>
            <w:vAlign w:val="center"/>
          </w:tcPr>
          <w:p w14:paraId="34849A8A">
            <w:pPr>
              <w:pStyle w:val="15"/>
            </w:pPr>
            <w:r>
              <w:t>1251.78</w:t>
            </w:r>
          </w:p>
        </w:tc>
        <w:tc>
          <w:tcPr>
            <w:tcW w:w="1134" w:type="dxa"/>
            <w:vAlign w:val="center"/>
          </w:tcPr>
          <w:p w14:paraId="17CC2AA1">
            <w:pPr>
              <w:pStyle w:val="15"/>
            </w:pPr>
            <w:r>
              <w:t>1251.78</w:t>
            </w:r>
          </w:p>
        </w:tc>
        <w:tc>
          <w:tcPr>
            <w:tcW w:w="1134" w:type="dxa"/>
            <w:vAlign w:val="center"/>
          </w:tcPr>
          <w:p w14:paraId="41130E27">
            <w:pPr>
              <w:pStyle w:val="15"/>
            </w:pPr>
            <w:r>
              <w:t>1251.78</w:t>
            </w:r>
          </w:p>
        </w:tc>
        <w:tc>
          <w:tcPr>
            <w:tcW w:w="1134" w:type="dxa"/>
            <w:vAlign w:val="center"/>
          </w:tcPr>
          <w:p w14:paraId="068375ED">
            <w:pPr>
              <w:pStyle w:val="15"/>
            </w:pPr>
          </w:p>
        </w:tc>
        <w:tc>
          <w:tcPr>
            <w:tcW w:w="1134" w:type="dxa"/>
            <w:vAlign w:val="center"/>
          </w:tcPr>
          <w:p w14:paraId="5F65FE43">
            <w:pPr>
              <w:pStyle w:val="15"/>
            </w:pPr>
          </w:p>
        </w:tc>
        <w:tc>
          <w:tcPr>
            <w:tcW w:w="1134" w:type="dxa"/>
            <w:vAlign w:val="center"/>
          </w:tcPr>
          <w:p w14:paraId="066B807A">
            <w:pPr>
              <w:pStyle w:val="15"/>
            </w:pPr>
          </w:p>
        </w:tc>
        <w:tc>
          <w:tcPr>
            <w:tcW w:w="1134" w:type="dxa"/>
            <w:vAlign w:val="center"/>
          </w:tcPr>
          <w:p w14:paraId="11CB3756">
            <w:pPr>
              <w:pStyle w:val="15"/>
            </w:pPr>
          </w:p>
        </w:tc>
        <w:tc>
          <w:tcPr>
            <w:tcW w:w="1134" w:type="dxa"/>
            <w:vAlign w:val="center"/>
          </w:tcPr>
          <w:p w14:paraId="12BBC5EA">
            <w:pPr>
              <w:pStyle w:val="15"/>
            </w:pPr>
          </w:p>
        </w:tc>
        <w:tc>
          <w:tcPr>
            <w:tcW w:w="1134" w:type="dxa"/>
            <w:vAlign w:val="center"/>
          </w:tcPr>
          <w:p w14:paraId="76BF5816">
            <w:pPr>
              <w:pStyle w:val="15"/>
            </w:pPr>
          </w:p>
        </w:tc>
        <w:tc>
          <w:tcPr>
            <w:tcW w:w="1134" w:type="dxa"/>
            <w:vAlign w:val="center"/>
          </w:tcPr>
          <w:p w14:paraId="06A888C6">
            <w:pPr>
              <w:pStyle w:val="15"/>
            </w:pPr>
          </w:p>
        </w:tc>
      </w:tr>
      <w:tr w14:paraId="501F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99D9B">
            <w:pPr>
              <w:pStyle w:val="13"/>
            </w:pPr>
            <w:r>
              <w:t>2</w:t>
            </w:r>
          </w:p>
        </w:tc>
        <w:tc>
          <w:tcPr>
            <w:tcW w:w="992" w:type="dxa"/>
            <w:vAlign w:val="center"/>
          </w:tcPr>
          <w:p w14:paraId="6FAEC8E5">
            <w:pPr>
              <w:pStyle w:val="12"/>
            </w:pPr>
            <w:r>
              <w:t>205</w:t>
            </w:r>
          </w:p>
        </w:tc>
        <w:tc>
          <w:tcPr>
            <w:tcW w:w="1559" w:type="dxa"/>
            <w:vAlign w:val="center"/>
          </w:tcPr>
          <w:p w14:paraId="44A3F69A">
            <w:pPr>
              <w:pStyle w:val="12"/>
            </w:pPr>
            <w:r>
              <w:t>教育支出</w:t>
            </w:r>
          </w:p>
        </w:tc>
        <w:tc>
          <w:tcPr>
            <w:tcW w:w="1134" w:type="dxa"/>
            <w:vAlign w:val="center"/>
          </w:tcPr>
          <w:p w14:paraId="3CD6614C">
            <w:pPr>
              <w:pStyle w:val="11"/>
            </w:pPr>
            <w:r>
              <w:t>1251.78</w:t>
            </w:r>
          </w:p>
        </w:tc>
        <w:tc>
          <w:tcPr>
            <w:tcW w:w="1134" w:type="dxa"/>
            <w:vAlign w:val="center"/>
          </w:tcPr>
          <w:p w14:paraId="12865AEF">
            <w:pPr>
              <w:pStyle w:val="11"/>
            </w:pPr>
            <w:r>
              <w:t>1251.78</w:t>
            </w:r>
          </w:p>
        </w:tc>
        <w:tc>
          <w:tcPr>
            <w:tcW w:w="1134" w:type="dxa"/>
            <w:vAlign w:val="center"/>
          </w:tcPr>
          <w:p w14:paraId="43623C04">
            <w:pPr>
              <w:pStyle w:val="11"/>
            </w:pPr>
            <w:r>
              <w:t>1251.78</w:t>
            </w:r>
          </w:p>
        </w:tc>
        <w:tc>
          <w:tcPr>
            <w:tcW w:w="1134" w:type="dxa"/>
            <w:vAlign w:val="center"/>
          </w:tcPr>
          <w:p w14:paraId="512B41F0">
            <w:pPr>
              <w:pStyle w:val="11"/>
            </w:pPr>
          </w:p>
        </w:tc>
        <w:tc>
          <w:tcPr>
            <w:tcW w:w="1134" w:type="dxa"/>
            <w:vAlign w:val="center"/>
          </w:tcPr>
          <w:p w14:paraId="06727C91">
            <w:pPr>
              <w:pStyle w:val="11"/>
            </w:pPr>
          </w:p>
        </w:tc>
        <w:tc>
          <w:tcPr>
            <w:tcW w:w="1134" w:type="dxa"/>
            <w:vAlign w:val="center"/>
          </w:tcPr>
          <w:p w14:paraId="59665592">
            <w:pPr>
              <w:pStyle w:val="11"/>
            </w:pPr>
          </w:p>
        </w:tc>
        <w:tc>
          <w:tcPr>
            <w:tcW w:w="1134" w:type="dxa"/>
            <w:vAlign w:val="center"/>
          </w:tcPr>
          <w:p w14:paraId="7A700DF4">
            <w:pPr>
              <w:pStyle w:val="11"/>
            </w:pPr>
          </w:p>
        </w:tc>
        <w:tc>
          <w:tcPr>
            <w:tcW w:w="1134" w:type="dxa"/>
            <w:vAlign w:val="center"/>
          </w:tcPr>
          <w:p w14:paraId="0D0DE3A4">
            <w:pPr>
              <w:pStyle w:val="11"/>
            </w:pPr>
          </w:p>
        </w:tc>
        <w:tc>
          <w:tcPr>
            <w:tcW w:w="1134" w:type="dxa"/>
            <w:vAlign w:val="center"/>
          </w:tcPr>
          <w:p w14:paraId="6E32EE5E">
            <w:pPr>
              <w:pStyle w:val="11"/>
            </w:pPr>
          </w:p>
        </w:tc>
        <w:tc>
          <w:tcPr>
            <w:tcW w:w="1134" w:type="dxa"/>
            <w:vAlign w:val="center"/>
          </w:tcPr>
          <w:p w14:paraId="2B80E781">
            <w:pPr>
              <w:pStyle w:val="11"/>
            </w:pPr>
          </w:p>
        </w:tc>
      </w:tr>
      <w:tr w14:paraId="1BE8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55FAF">
            <w:pPr>
              <w:pStyle w:val="13"/>
            </w:pPr>
            <w:r>
              <w:t>3</w:t>
            </w:r>
          </w:p>
        </w:tc>
        <w:tc>
          <w:tcPr>
            <w:tcW w:w="992" w:type="dxa"/>
            <w:vAlign w:val="center"/>
          </w:tcPr>
          <w:p w14:paraId="0186F008">
            <w:pPr>
              <w:pStyle w:val="12"/>
            </w:pPr>
            <w:r>
              <w:t>20502</w:t>
            </w:r>
          </w:p>
        </w:tc>
        <w:tc>
          <w:tcPr>
            <w:tcW w:w="1559" w:type="dxa"/>
            <w:vAlign w:val="center"/>
          </w:tcPr>
          <w:p w14:paraId="34465B02">
            <w:pPr>
              <w:pStyle w:val="12"/>
            </w:pPr>
            <w:r>
              <w:t>普通教育</w:t>
            </w:r>
          </w:p>
        </w:tc>
        <w:tc>
          <w:tcPr>
            <w:tcW w:w="1134" w:type="dxa"/>
            <w:vAlign w:val="center"/>
          </w:tcPr>
          <w:p w14:paraId="3EC9ECAA">
            <w:pPr>
              <w:pStyle w:val="11"/>
            </w:pPr>
            <w:r>
              <w:t>1251.78</w:t>
            </w:r>
          </w:p>
        </w:tc>
        <w:tc>
          <w:tcPr>
            <w:tcW w:w="1134" w:type="dxa"/>
            <w:vAlign w:val="center"/>
          </w:tcPr>
          <w:p w14:paraId="7B1A35A2">
            <w:pPr>
              <w:pStyle w:val="11"/>
            </w:pPr>
            <w:r>
              <w:t>1251.78</w:t>
            </w:r>
          </w:p>
        </w:tc>
        <w:tc>
          <w:tcPr>
            <w:tcW w:w="1134" w:type="dxa"/>
            <w:vAlign w:val="center"/>
          </w:tcPr>
          <w:p w14:paraId="44C65D70">
            <w:pPr>
              <w:pStyle w:val="11"/>
            </w:pPr>
            <w:r>
              <w:t>1251.78</w:t>
            </w:r>
          </w:p>
        </w:tc>
        <w:tc>
          <w:tcPr>
            <w:tcW w:w="1134" w:type="dxa"/>
            <w:vAlign w:val="center"/>
          </w:tcPr>
          <w:p w14:paraId="3346EC16">
            <w:pPr>
              <w:pStyle w:val="11"/>
            </w:pPr>
          </w:p>
        </w:tc>
        <w:tc>
          <w:tcPr>
            <w:tcW w:w="1134" w:type="dxa"/>
            <w:vAlign w:val="center"/>
          </w:tcPr>
          <w:p w14:paraId="7D7CBB25">
            <w:pPr>
              <w:pStyle w:val="11"/>
            </w:pPr>
          </w:p>
        </w:tc>
        <w:tc>
          <w:tcPr>
            <w:tcW w:w="1134" w:type="dxa"/>
            <w:vAlign w:val="center"/>
          </w:tcPr>
          <w:p w14:paraId="1F212CD1">
            <w:pPr>
              <w:pStyle w:val="11"/>
            </w:pPr>
          </w:p>
        </w:tc>
        <w:tc>
          <w:tcPr>
            <w:tcW w:w="1134" w:type="dxa"/>
            <w:vAlign w:val="center"/>
          </w:tcPr>
          <w:p w14:paraId="6DF0C79F">
            <w:pPr>
              <w:pStyle w:val="11"/>
            </w:pPr>
          </w:p>
        </w:tc>
        <w:tc>
          <w:tcPr>
            <w:tcW w:w="1134" w:type="dxa"/>
            <w:vAlign w:val="center"/>
          </w:tcPr>
          <w:p w14:paraId="5C3A100C">
            <w:pPr>
              <w:pStyle w:val="11"/>
            </w:pPr>
          </w:p>
        </w:tc>
        <w:tc>
          <w:tcPr>
            <w:tcW w:w="1134" w:type="dxa"/>
            <w:vAlign w:val="center"/>
          </w:tcPr>
          <w:p w14:paraId="62703250">
            <w:pPr>
              <w:pStyle w:val="11"/>
            </w:pPr>
          </w:p>
        </w:tc>
        <w:tc>
          <w:tcPr>
            <w:tcW w:w="1134" w:type="dxa"/>
            <w:vAlign w:val="center"/>
          </w:tcPr>
          <w:p w14:paraId="2DB5C76F">
            <w:pPr>
              <w:pStyle w:val="11"/>
            </w:pPr>
          </w:p>
        </w:tc>
      </w:tr>
      <w:tr w14:paraId="4199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2B990">
            <w:pPr>
              <w:pStyle w:val="13"/>
            </w:pPr>
            <w:r>
              <w:t>4</w:t>
            </w:r>
          </w:p>
        </w:tc>
        <w:tc>
          <w:tcPr>
            <w:tcW w:w="992" w:type="dxa"/>
            <w:vAlign w:val="center"/>
          </w:tcPr>
          <w:p w14:paraId="27FD5A46">
            <w:pPr>
              <w:pStyle w:val="12"/>
            </w:pPr>
            <w:r>
              <w:t>2050203</w:t>
            </w:r>
          </w:p>
        </w:tc>
        <w:tc>
          <w:tcPr>
            <w:tcW w:w="1559" w:type="dxa"/>
            <w:vAlign w:val="center"/>
          </w:tcPr>
          <w:p w14:paraId="63868FB5">
            <w:pPr>
              <w:pStyle w:val="12"/>
            </w:pPr>
            <w:r>
              <w:t>初中教育</w:t>
            </w:r>
          </w:p>
        </w:tc>
        <w:tc>
          <w:tcPr>
            <w:tcW w:w="1134" w:type="dxa"/>
            <w:vAlign w:val="center"/>
          </w:tcPr>
          <w:p w14:paraId="62CFBAA3">
            <w:pPr>
              <w:pStyle w:val="11"/>
            </w:pPr>
            <w:r>
              <w:t>1251.78</w:t>
            </w:r>
          </w:p>
        </w:tc>
        <w:tc>
          <w:tcPr>
            <w:tcW w:w="1134" w:type="dxa"/>
            <w:vAlign w:val="center"/>
          </w:tcPr>
          <w:p w14:paraId="3D5344AB">
            <w:pPr>
              <w:pStyle w:val="11"/>
            </w:pPr>
            <w:r>
              <w:t>1251.78</w:t>
            </w:r>
          </w:p>
        </w:tc>
        <w:tc>
          <w:tcPr>
            <w:tcW w:w="1134" w:type="dxa"/>
            <w:vAlign w:val="center"/>
          </w:tcPr>
          <w:p w14:paraId="6D02CCB3">
            <w:pPr>
              <w:pStyle w:val="11"/>
            </w:pPr>
            <w:r>
              <w:t>1251.78</w:t>
            </w:r>
          </w:p>
        </w:tc>
        <w:tc>
          <w:tcPr>
            <w:tcW w:w="1134" w:type="dxa"/>
            <w:vAlign w:val="center"/>
          </w:tcPr>
          <w:p w14:paraId="4E7DAAC5">
            <w:pPr>
              <w:pStyle w:val="11"/>
            </w:pPr>
          </w:p>
        </w:tc>
        <w:tc>
          <w:tcPr>
            <w:tcW w:w="1134" w:type="dxa"/>
            <w:vAlign w:val="center"/>
          </w:tcPr>
          <w:p w14:paraId="1108E76A">
            <w:pPr>
              <w:pStyle w:val="11"/>
            </w:pPr>
          </w:p>
        </w:tc>
        <w:tc>
          <w:tcPr>
            <w:tcW w:w="1134" w:type="dxa"/>
            <w:vAlign w:val="center"/>
          </w:tcPr>
          <w:p w14:paraId="14080464">
            <w:pPr>
              <w:pStyle w:val="11"/>
            </w:pPr>
          </w:p>
        </w:tc>
        <w:tc>
          <w:tcPr>
            <w:tcW w:w="1134" w:type="dxa"/>
            <w:vAlign w:val="center"/>
          </w:tcPr>
          <w:p w14:paraId="4589AA01">
            <w:pPr>
              <w:pStyle w:val="11"/>
            </w:pPr>
          </w:p>
        </w:tc>
        <w:tc>
          <w:tcPr>
            <w:tcW w:w="1134" w:type="dxa"/>
            <w:vAlign w:val="center"/>
          </w:tcPr>
          <w:p w14:paraId="30F8CD86">
            <w:pPr>
              <w:pStyle w:val="11"/>
            </w:pPr>
          </w:p>
        </w:tc>
        <w:tc>
          <w:tcPr>
            <w:tcW w:w="1134" w:type="dxa"/>
            <w:vAlign w:val="center"/>
          </w:tcPr>
          <w:p w14:paraId="3FC089E5">
            <w:pPr>
              <w:pStyle w:val="11"/>
            </w:pPr>
          </w:p>
        </w:tc>
        <w:tc>
          <w:tcPr>
            <w:tcW w:w="1134" w:type="dxa"/>
            <w:vAlign w:val="center"/>
          </w:tcPr>
          <w:p w14:paraId="6C803E9A">
            <w:pPr>
              <w:pStyle w:val="11"/>
            </w:pPr>
          </w:p>
        </w:tc>
      </w:tr>
    </w:tbl>
    <w:p w14:paraId="044220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BDF0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074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056E4A">
            <w:pPr>
              <w:pStyle w:val="9"/>
            </w:pPr>
            <w:r>
              <w:t>360009河北省隆尧县滏阳中学</w:t>
            </w:r>
          </w:p>
        </w:tc>
        <w:tc>
          <w:tcPr>
            <w:tcW w:w="2722" w:type="dxa"/>
            <w:gridSpan w:val="2"/>
            <w:tcBorders>
              <w:top w:val="single" w:color="FFFFFF" w:sz="6" w:space="0"/>
              <w:left w:val="single" w:color="FFFFFF" w:sz="6" w:space="0"/>
              <w:right w:val="single" w:color="FFFFFF" w:sz="6" w:space="0"/>
            </w:tcBorders>
            <w:vAlign w:val="center"/>
          </w:tcPr>
          <w:p w14:paraId="28AD65A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CFB5280">
            <w:pPr>
              <w:pStyle w:val="7"/>
            </w:pPr>
            <w:r>
              <w:t>单位：万元</w:t>
            </w:r>
          </w:p>
        </w:tc>
      </w:tr>
      <w:tr w14:paraId="268F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AA93B5">
            <w:pPr>
              <w:pStyle w:val="10"/>
            </w:pPr>
            <w:r>
              <w:t>序号</w:t>
            </w:r>
          </w:p>
        </w:tc>
        <w:tc>
          <w:tcPr>
            <w:tcW w:w="5527" w:type="dxa"/>
            <w:gridSpan w:val="2"/>
            <w:vAlign w:val="center"/>
          </w:tcPr>
          <w:p w14:paraId="60010210">
            <w:pPr>
              <w:pStyle w:val="10"/>
            </w:pPr>
            <w:r>
              <w:t>功能分类科目</w:t>
            </w:r>
          </w:p>
        </w:tc>
        <w:tc>
          <w:tcPr>
            <w:tcW w:w="1361" w:type="dxa"/>
            <w:vMerge w:val="restart"/>
            <w:vAlign w:val="center"/>
          </w:tcPr>
          <w:p w14:paraId="3B33796C">
            <w:pPr>
              <w:pStyle w:val="10"/>
            </w:pPr>
            <w:r>
              <w:t>合计</w:t>
            </w:r>
          </w:p>
        </w:tc>
        <w:tc>
          <w:tcPr>
            <w:tcW w:w="1361" w:type="dxa"/>
            <w:vMerge w:val="restart"/>
            <w:vAlign w:val="center"/>
          </w:tcPr>
          <w:p w14:paraId="3EC2DC6A">
            <w:pPr>
              <w:pStyle w:val="10"/>
            </w:pPr>
            <w:r>
              <w:t>基本支出</w:t>
            </w:r>
          </w:p>
        </w:tc>
        <w:tc>
          <w:tcPr>
            <w:tcW w:w="1361" w:type="dxa"/>
            <w:vMerge w:val="restart"/>
            <w:vAlign w:val="center"/>
          </w:tcPr>
          <w:p w14:paraId="711812BD">
            <w:pPr>
              <w:pStyle w:val="10"/>
            </w:pPr>
            <w:r>
              <w:t>项目支出</w:t>
            </w:r>
          </w:p>
        </w:tc>
        <w:tc>
          <w:tcPr>
            <w:tcW w:w="1361" w:type="dxa"/>
            <w:vMerge w:val="restart"/>
            <w:vAlign w:val="center"/>
          </w:tcPr>
          <w:p w14:paraId="6520DE88">
            <w:pPr>
              <w:pStyle w:val="10"/>
            </w:pPr>
            <w:r>
              <w:t>经营支出</w:t>
            </w:r>
          </w:p>
        </w:tc>
        <w:tc>
          <w:tcPr>
            <w:tcW w:w="1361" w:type="dxa"/>
            <w:vMerge w:val="restart"/>
            <w:vAlign w:val="center"/>
          </w:tcPr>
          <w:p w14:paraId="62E9F176">
            <w:pPr>
              <w:pStyle w:val="10"/>
            </w:pPr>
            <w:r>
              <w:t>上解上级     支出</w:t>
            </w:r>
          </w:p>
        </w:tc>
        <w:tc>
          <w:tcPr>
            <w:tcW w:w="1361" w:type="dxa"/>
            <w:vMerge w:val="restart"/>
            <w:vAlign w:val="center"/>
          </w:tcPr>
          <w:p w14:paraId="0520E098">
            <w:pPr>
              <w:pStyle w:val="10"/>
            </w:pPr>
            <w:r>
              <w:t>对附属单位补助支出</w:t>
            </w:r>
          </w:p>
        </w:tc>
      </w:tr>
      <w:tr w14:paraId="55C9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47EA48"/>
        </w:tc>
        <w:tc>
          <w:tcPr>
            <w:tcW w:w="992" w:type="dxa"/>
            <w:vAlign w:val="center"/>
          </w:tcPr>
          <w:p w14:paraId="32D441E1">
            <w:pPr>
              <w:pStyle w:val="10"/>
            </w:pPr>
            <w:r>
              <w:t>科目    编码</w:t>
            </w:r>
          </w:p>
        </w:tc>
        <w:tc>
          <w:tcPr>
            <w:tcW w:w="4535" w:type="dxa"/>
            <w:vAlign w:val="center"/>
          </w:tcPr>
          <w:p w14:paraId="7FDD51AB">
            <w:pPr>
              <w:pStyle w:val="10"/>
            </w:pPr>
            <w:r>
              <w:t>科目名称</w:t>
            </w:r>
          </w:p>
        </w:tc>
        <w:tc>
          <w:tcPr>
            <w:tcW w:w="1361" w:type="dxa"/>
            <w:vMerge w:val="continue"/>
          </w:tcPr>
          <w:p w14:paraId="6520D51A"/>
        </w:tc>
        <w:tc>
          <w:tcPr>
            <w:tcW w:w="1361" w:type="dxa"/>
            <w:vMerge w:val="continue"/>
          </w:tcPr>
          <w:p w14:paraId="3154077C"/>
        </w:tc>
        <w:tc>
          <w:tcPr>
            <w:tcW w:w="1361" w:type="dxa"/>
            <w:vMerge w:val="continue"/>
          </w:tcPr>
          <w:p w14:paraId="7C992942"/>
        </w:tc>
        <w:tc>
          <w:tcPr>
            <w:tcW w:w="1361" w:type="dxa"/>
            <w:vMerge w:val="continue"/>
          </w:tcPr>
          <w:p w14:paraId="7A32A949"/>
        </w:tc>
        <w:tc>
          <w:tcPr>
            <w:tcW w:w="1361" w:type="dxa"/>
            <w:vMerge w:val="continue"/>
          </w:tcPr>
          <w:p w14:paraId="7E4224D2"/>
        </w:tc>
        <w:tc>
          <w:tcPr>
            <w:tcW w:w="1361" w:type="dxa"/>
            <w:vMerge w:val="continue"/>
          </w:tcPr>
          <w:p w14:paraId="35A53054"/>
        </w:tc>
      </w:tr>
      <w:tr w14:paraId="23B23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B1054A">
            <w:pPr>
              <w:pStyle w:val="10"/>
            </w:pPr>
            <w:r>
              <w:t>栏次</w:t>
            </w:r>
          </w:p>
        </w:tc>
        <w:tc>
          <w:tcPr>
            <w:tcW w:w="992" w:type="dxa"/>
            <w:vAlign w:val="center"/>
          </w:tcPr>
          <w:p w14:paraId="02212A86">
            <w:pPr>
              <w:pStyle w:val="10"/>
            </w:pPr>
            <w:r>
              <w:t>1</w:t>
            </w:r>
          </w:p>
        </w:tc>
        <w:tc>
          <w:tcPr>
            <w:tcW w:w="4535" w:type="dxa"/>
            <w:vAlign w:val="center"/>
          </w:tcPr>
          <w:p w14:paraId="0EE17EC5">
            <w:pPr>
              <w:pStyle w:val="10"/>
            </w:pPr>
            <w:r>
              <w:t>2</w:t>
            </w:r>
          </w:p>
        </w:tc>
        <w:tc>
          <w:tcPr>
            <w:tcW w:w="1361" w:type="dxa"/>
            <w:vAlign w:val="center"/>
          </w:tcPr>
          <w:p w14:paraId="77AD082B">
            <w:pPr>
              <w:pStyle w:val="10"/>
            </w:pPr>
            <w:r>
              <w:t>3</w:t>
            </w:r>
          </w:p>
        </w:tc>
        <w:tc>
          <w:tcPr>
            <w:tcW w:w="1361" w:type="dxa"/>
            <w:vAlign w:val="center"/>
          </w:tcPr>
          <w:p w14:paraId="12BE10CE">
            <w:pPr>
              <w:pStyle w:val="10"/>
            </w:pPr>
            <w:r>
              <w:t>4</w:t>
            </w:r>
          </w:p>
        </w:tc>
        <w:tc>
          <w:tcPr>
            <w:tcW w:w="1361" w:type="dxa"/>
            <w:vAlign w:val="center"/>
          </w:tcPr>
          <w:p w14:paraId="5646B2E2">
            <w:pPr>
              <w:pStyle w:val="10"/>
            </w:pPr>
            <w:r>
              <w:t>5</w:t>
            </w:r>
          </w:p>
        </w:tc>
        <w:tc>
          <w:tcPr>
            <w:tcW w:w="1361" w:type="dxa"/>
            <w:vAlign w:val="center"/>
          </w:tcPr>
          <w:p w14:paraId="305E5877">
            <w:pPr>
              <w:pStyle w:val="10"/>
            </w:pPr>
            <w:r>
              <w:t>6</w:t>
            </w:r>
          </w:p>
        </w:tc>
        <w:tc>
          <w:tcPr>
            <w:tcW w:w="1361" w:type="dxa"/>
            <w:vAlign w:val="center"/>
          </w:tcPr>
          <w:p w14:paraId="4A92A702">
            <w:pPr>
              <w:pStyle w:val="10"/>
            </w:pPr>
            <w:r>
              <w:t>7</w:t>
            </w:r>
          </w:p>
        </w:tc>
        <w:tc>
          <w:tcPr>
            <w:tcW w:w="1361" w:type="dxa"/>
            <w:vAlign w:val="center"/>
          </w:tcPr>
          <w:p w14:paraId="0584C3E4">
            <w:pPr>
              <w:pStyle w:val="10"/>
            </w:pPr>
            <w:r>
              <w:t>8</w:t>
            </w:r>
          </w:p>
        </w:tc>
      </w:tr>
      <w:tr w14:paraId="6BA4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1DA9">
            <w:pPr>
              <w:pStyle w:val="13"/>
            </w:pPr>
            <w:r>
              <w:t>1</w:t>
            </w:r>
          </w:p>
        </w:tc>
        <w:tc>
          <w:tcPr>
            <w:tcW w:w="992" w:type="dxa"/>
            <w:vAlign w:val="center"/>
          </w:tcPr>
          <w:p w14:paraId="7222BCD0">
            <w:pPr>
              <w:pStyle w:val="16"/>
            </w:pPr>
          </w:p>
        </w:tc>
        <w:tc>
          <w:tcPr>
            <w:tcW w:w="4535" w:type="dxa"/>
            <w:vAlign w:val="center"/>
          </w:tcPr>
          <w:p w14:paraId="045BBB06">
            <w:pPr>
              <w:pStyle w:val="14"/>
            </w:pPr>
            <w:r>
              <w:t>合计</w:t>
            </w:r>
          </w:p>
        </w:tc>
        <w:tc>
          <w:tcPr>
            <w:tcW w:w="1361" w:type="dxa"/>
            <w:vAlign w:val="center"/>
          </w:tcPr>
          <w:p w14:paraId="7007BC59">
            <w:pPr>
              <w:pStyle w:val="15"/>
            </w:pPr>
            <w:r>
              <w:t>1251.78</w:t>
            </w:r>
          </w:p>
        </w:tc>
        <w:tc>
          <w:tcPr>
            <w:tcW w:w="1361" w:type="dxa"/>
            <w:vAlign w:val="center"/>
          </w:tcPr>
          <w:p w14:paraId="0538C8EB">
            <w:pPr>
              <w:pStyle w:val="15"/>
            </w:pPr>
            <w:r>
              <w:t>1082.16</w:t>
            </w:r>
          </w:p>
        </w:tc>
        <w:tc>
          <w:tcPr>
            <w:tcW w:w="1361" w:type="dxa"/>
            <w:vAlign w:val="center"/>
          </w:tcPr>
          <w:p w14:paraId="7D70B9CC">
            <w:pPr>
              <w:pStyle w:val="15"/>
            </w:pPr>
            <w:r>
              <w:t>169.62</w:t>
            </w:r>
          </w:p>
        </w:tc>
        <w:tc>
          <w:tcPr>
            <w:tcW w:w="1361" w:type="dxa"/>
            <w:vAlign w:val="center"/>
          </w:tcPr>
          <w:p w14:paraId="00FBDBE5">
            <w:pPr>
              <w:pStyle w:val="15"/>
            </w:pPr>
          </w:p>
        </w:tc>
        <w:tc>
          <w:tcPr>
            <w:tcW w:w="1361" w:type="dxa"/>
            <w:vAlign w:val="center"/>
          </w:tcPr>
          <w:p w14:paraId="705DEEAA">
            <w:pPr>
              <w:pStyle w:val="15"/>
            </w:pPr>
          </w:p>
        </w:tc>
        <w:tc>
          <w:tcPr>
            <w:tcW w:w="1361" w:type="dxa"/>
            <w:vAlign w:val="center"/>
          </w:tcPr>
          <w:p w14:paraId="33EFE945">
            <w:pPr>
              <w:pStyle w:val="15"/>
            </w:pPr>
          </w:p>
        </w:tc>
      </w:tr>
      <w:tr w14:paraId="7B78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C8F64">
            <w:pPr>
              <w:pStyle w:val="13"/>
            </w:pPr>
            <w:r>
              <w:t>2</w:t>
            </w:r>
          </w:p>
        </w:tc>
        <w:tc>
          <w:tcPr>
            <w:tcW w:w="992" w:type="dxa"/>
            <w:vAlign w:val="center"/>
          </w:tcPr>
          <w:p w14:paraId="1CAB1F43">
            <w:pPr>
              <w:pStyle w:val="12"/>
            </w:pPr>
            <w:r>
              <w:t>205</w:t>
            </w:r>
          </w:p>
        </w:tc>
        <w:tc>
          <w:tcPr>
            <w:tcW w:w="4535" w:type="dxa"/>
            <w:vAlign w:val="center"/>
          </w:tcPr>
          <w:p w14:paraId="0BDD0AA3">
            <w:pPr>
              <w:pStyle w:val="12"/>
            </w:pPr>
            <w:r>
              <w:t>教育支出</w:t>
            </w:r>
          </w:p>
        </w:tc>
        <w:tc>
          <w:tcPr>
            <w:tcW w:w="1361" w:type="dxa"/>
            <w:vAlign w:val="center"/>
          </w:tcPr>
          <w:p w14:paraId="77FD4747">
            <w:pPr>
              <w:pStyle w:val="11"/>
            </w:pPr>
            <w:r>
              <w:t>1251.78</w:t>
            </w:r>
          </w:p>
        </w:tc>
        <w:tc>
          <w:tcPr>
            <w:tcW w:w="1361" w:type="dxa"/>
            <w:vAlign w:val="center"/>
          </w:tcPr>
          <w:p w14:paraId="2831DC5B">
            <w:pPr>
              <w:pStyle w:val="11"/>
            </w:pPr>
            <w:r>
              <w:t>1082.16</w:t>
            </w:r>
          </w:p>
        </w:tc>
        <w:tc>
          <w:tcPr>
            <w:tcW w:w="1361" w:type="dxa"/>
            <w:vAlign w:val="center"/>
          </w:tcPr>
          <w:p w14:paraId="61B7BACB">
            <w:pPr>
              <w:pStyle w:val="11"/>
            </w:pPr>
            <w:r>
              <w:t>169.62</w:t>
            </w:r>
          </w:p>
        </w:tc>
        <w:tc>
          <w:tcPr>
            <w:tcW w:w="1361" w:type="dxa"/>
            <w:vAlign w:val="center"/>
          </w:tcPr>
          <w:p w14:paraId="43BA9661">
            <w:pPr>
              <w:pStyle w:val="11"/>
            </w:pPr>
          </w:p>
        </w:tc>
        <w:tc>
          <w:tcPr>
            <w:tcW w:w="1361" w:type="dxa"/>
            <w:vAlign w:val="center"/>
          </w:tcPr>
          <w:p w14:paraId="0AB4366D">
            <w:pPr>
              <w:pStyle w:val="11"/>
            </w:pPr>
          </w:p>
        </w:tc>
        <w:tc>
          <w:tcPr>
            <w:tcW w:w="1361" w:type="dxa"/>
            <w:vAlign w:val="center"/>
          </w:tcPr>
          <w:p w14:paraId="65EE6839">
            <w:pPr>
              <w:pStyle w:val="11"/>
            </w:pPr>
          </w:p>
        </w:tc>
      </w:tr>
      <w:tr w14:paraId="667A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1D34">
            <w:pPr>
              <w:pStyle w:val="13"/>
            </w:pPr>
            <w:r>
              <w:t>3</w:t>
            </w:r>
          </w:p>
        </w:tc>
        <w:tc>
          <w:tcPr>
            <w:tcW w:w="992" w:type="dxa"/>
            <w:vAlign w:val="center"/>
          </w:tcPr>
          <w:p w14:paraId="2E506AFD">
            <w:pPr>
              <w:pStyle w:val="12"/>
            </w:pPr>
            <w:r>
              <w:t>20502</w:t>
            </w:r>
          </w:p>
        </w:tc>
        <w:tc>
          <w:tcPr>
            <w:tcW w:w="4535" w:type="dxa"/>
            <w:vAlign w:val="center"/>
          </w:tcPr>
          <w:p w14:paraId="32DE5621">
            <w:pPr>
              <w:pStyle w:val="12"/>
            </w:pPr>
            <w:r>
              <w:t>普通教育</w:t>
            </w:r>
          </w:p>
        </w:tc>
        <w:tc>
          <w:tcPr>
            <w:tcW w:w="1361" w:type="dxa"/>
            <w:vAlign w:val="center"/>
          </w:tcPr>
          <w:p w14:paraId="0868F0E7">
            <w:pPr>
              <w:pStyle w:val="11"/>
            </w:pPr>
            <w:r>
              <w:t>1251.78</w:t>
            </w:r>
          </w:p>
        </w:tc>
        <w:tc>
          <w:tcPr>
            <w:tcW w:w="1361" w:type="dxa"/>
            <w:vAlign w:val="center"/>
          </w:tcPr>
          <w:p w14:paraId="0140DD74">
            <w:pPr>
              <w:pStyle w:val="11"/>
            </w:pPr>
            <w:r>
              <w:t>1082.16</w:t>
            </w:r>
          </w:p>
        </w:tc>
        <w:tc>
          <w:tcPr>
            <w:tcW w:w="1361" w:type="dxa"/>
            <w:vAlign w:val="center"/>
          </w:tcPr>
          <w:p w14:paraId="3E0EE671">
            <w:pPr>
              <w:pStyle w:val="11"/>
            </w:pPr>
            <w:r>
              <w:t>169.62</w:t>
            </w:r>
          </w:p>
        </w:tc>
        <w:tc>
          <w:tcPr>
            <w:tcW w:w="1361" w:type="dxa"/>
            <w:vAlign w:val="center"/>
          </w:tcPr>
          <w:p w14:paraId="056B392D">
            <w:pPr>
              <w:pStyle w:val="11"/>
            </w:pPr>
          </w:p>
        </w:tc>
        <w:tc>
          <w:tcPr>
            <w:tcW w:w="1361" w:type="dxa"/>
            <w:vAlign w:val="center"/>
          </w:tcPr>
          <w:p w14:paraId="4C71222B">
            <w:pPr>
              <w:pStyle w:val="11"/>
            </w:pPr>
          </w:p>
        </w:tc>
        <w:tc>
          <w:tcPr>
            <w:tcW w:w="1361" w:type="dxa"/>
            <w:vAlign w:val="center"/>
          </w:tcPr>
          <w:p w14:paraId="4D6A9793">
            <w:pPr>
              <w:pStyle w:val="11"/>
            </w:pPr>
          </w:p>
        </w:tc>
      </w:tr>
      <w:tr w14:paraId="5403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737E2">
            <w:pPr>
              <w:pStyle w:val="13"/>
            </w:pPr>
            <w:r>
              <w:t>4</w:t>
            </w:r>
          </w:p>
        </w:tc>
        <w:tc>
          <w:tcPr>
            <w:tcW w:w="992" w:type="dxa"/>
            <w:vAlign w:val="center"/>
          </w:tcPr>
          <w:p w14:paraId="7F8414D0">
            <w:pPr>
              <w:pStyle w:val="12"/>
            </w:pPr>
            <w:r>
              <w:t>2050203</w:t>
            </w:r>
          </w:p>
        </w:tc>
        <w:tc>
          <w:tcPr>
            <w:tcW w:w="4535" w:type="dxa"/>
            <w:vAlign w:val="center"/>
          </w:tcPr>
          <w:p w14:paraId="06BF424C">
            <w:pPr>
              <w:pStyle w:val="12"/>
            </w:pPr>
            <w:r>
              <w:t>初中教育</w:t>
            </w:r>
          </w:p>
        </w:tc>
        <w:tc>
          <w:tcPr>
            <w:tcW w:w="1361" w:type="dxa"/>
            <w:vAlign w:val="center"/>
          </w:tcPr>
          <w:p w14:paraId="01A0B12F">
            <w:pPr>
              <w:pStyle w:val="11"/>
            </w:pPr>
            <w:r>
              <w:t>1251.78</w:t>
            </w:r>
          </w:p>
        </w:tc>
        <w:tc>
          <w:tcPr>
            <w:tcW w:w="1361" w:type="dxa"/>
            <w:vAlign w:val="center"/>
          </w:tcPr>
          <w:p w14:paraId="6A94AF85">
            <w:pPr>
              <w:pStyle w:val="11"/>
            </w:pPr>
            <w:r>
              <w:t>1082.16</w:t>
            </w:r>
          </w:p>
        </w:tc>
        <w:tc>
          <w:tcPr>
            <w:tcW w:w="1361" w:type="dxa"/>
            <w:vAlign w:val="center"/>
          </w:tcPr>
          <w:p w14:paraId="2EC215D1">
            <w:pPr>
              <w:pStyle w:val="11"/>
            </w:pPr>
            <w:r>
              <w:t>169.62</w:t>
            </w:r>
          </w:p>
        </w:tc>
        <w:tc>
          <w:tcPr>
            <w:tcW w:w="1361" w:type="dxa"/>
            <w:vAlign w:val="center"/>
          </w:tcPr>
          <w:p w14:paraId="337C71C5">
            <w:pPr>
              <w:pStyle w:val="11"/>
            </w:pPr>
          </w:p>
        </w:tc>
        <w:tc>
          <w:tcPr>
            <w:tcW w:w="1361" w:type="dxa"/>
            <w:vAlign w:val="center"/>
          </w:tcPr>
          <w:p w14:paraId="79DF2AE9">
            <w:pPr>
              <w:pStyle w:val="11"/>
            </w:pPr>
          </w:p>
        </w:tc>
        <w:tc>
          <w:tcPr>
            <w:tcW w:w="1361" w:type="dxa"/>
            <w:vAlign w:val="center"/>
          </w:tcPr>
          <w:p w14:paraId="3F2DD733">
            <w:pPr>
              <w:pStyle w:val="11"/>
            </w:pPr>
          </w:p>
        </w:tc>
      </w:tr>
    </w:tbl>
    <w:p w14:paraId="26B322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9DC8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68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B623A7">
            <w:pPr>
              <w:pStyle w:val="9"/>
            </w:pPr>
            <w:r>
              <w:t>360009河北省隆尧县滏阳中学</w:t>
            </w:r>
          </w:p>
        </w:tc>
        <w:tc>
          <w:tcPr>
            <w:tcW w:w="3402" w:type="dxa"/>
            <w:tcBorders>
              <w:top w:val="single" w:color="FFFFFF" w:sz="6" w:space="0"/>
              <w:left w:val="single" w:color="FFFFFF" w:sz="6" w:space="0"/>
              <w:right w:val="single" w:color="FFFFFF" w:sz="6" w:space="0"/>
            </w:tcBorders>
            <w:vAlign w:val="center"/>
          </w:tcPr>
          <w:p w14:paraId="433A4C9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BC777F3">
            <w:pPr>
              <w:pStyle w:val="7"/>
            </w:pPr>
            <w:r>
              <w:t>单位：万元</w:t>
            </w:r>
          </w:p>
        </w:tc>
      </w:tr>
      <w:tr w14:paraId="37EB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FA45E">
            <w:pPr>
              <w:pStyle w:val="10"/>
            </w:pPr>
            <w:r>
              <w:t>序号</w:t>
            </w:r>
          </w:p>
        </w:tc>
        <w:tc>
          <w:tcPr>
            <w:tcW w:w="4876" w:type="dxa"/>
            <w:gridSpan w:val="2"/>
            <w:vAlign w:val="center"/>
          </w:tcPr>
          <w:p w14:paraId="1888313A">
            <w:pPr>
              <w:pStyle w:val="10"/>
            </w:pPr>
            <w:r>
              <w:t>收入</w:t>
            </w:r>
          </w:p>
        </w:tc>
        <w:tc>
          <w:tcPr>
            <w:tcW w:w="9298" w:type="dxa"/>
            <w:gridSpan w:val="5"/>
            <w:vAlign w:val="center"/>
          </w:tcPr>
          <w:p w14:paraId="71128F56">
            <w:pPr>
              <w:pStyle w:val="10"/>
            </w:pPr>
            <w:r>
              <w:t>支出</w:t>
            </w:r>
          </w:p>
        </w:tc>
      </w:tr>
      <w:tr w14:paraId="4348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A70A12"/>
        </w:tc>
        <w:tc>
          <w:tcPr>
            <w:tcW w:w="3402" w:type="dxa"/>
            <w:vAlign w:val="center"/>
          </w:tcPr>
          <w:p w14:paraId="2A7B76A6">
            <w:pPr>
              <w:pStyle w:val="10"/>
            </w:pPr>
            <w:r>
              <w:t>项  目</w:t>
            </w:r>
          </w:p>
        </w:tc>
        <w:tc>
          <w:tcPr>
            <w:tcW w:w="1474" w:type="dxa"/>
            <w:vAlign w:val="center"/>
          </w:tcPr>
          <w:p w14:paraId="3356664A">
            <w:pPr>
              <w:pStyle w:val="10"/>
            </w:pPr>
            <w:r>
              <w:t>金额</w:t>
            </w:r>
          </w:p>
        </w:tc>
        <w:tc>
          <w:tcPr>
            <w:tcW w:w="3402" w:type="dxa"/>
            <w:vAlign w:val="center"/>
          </w:tcPr>
          <w:p w14:paraId="29A581DE">
            <w:pPr>
              <w:pStyle w:val="10"/>
            </w:pPr>
            <w:r>
              <w:t>项  目</w:t>
            </w:r>
          </w:p>
        </w:tc>
        <w:tc>
          <w:tcPr>
            <w:tcW w:w="1474" w:type="dxa"/>
            <w:vAlign w:val="center"/>
          </w:tcPr>
          <w:p w14:paraId="15AA15F5">
            <w:pPr>
              <w:pStyle w:val="10"/>
            </w:pPr>
            <w:r>
              <w:t>合计</w:t>
            </w:r>
          </w:p>
        </w:tc>
        <w:tc>
          <w:tcPr>
            <w:tcW w:w="1474" w:type="dxa"/>
            <w:vAlign w:val="center"/>
          </w:tcPr>
          <w:p w14:paraId="4AFBB5AD">
            <w:pPr>
              <w:pStyle w:val="10"/>
            </w:pPr>
            <w:r>
              <w:t>一般公共预算财政拨款</w:t>
            </w:r>
          </w:p>
        </w:tc>
        <w:tc>
          <w:tcPr>
            <w:tcW w:w="1474" w:type="dxa"/>
            <w:vAlign w:val="center"/>
          </w:tcPr>
          <w:p w14:paraId="5B1A14EE">
            <w:pPr>
              <w:pStyle w:val="10"/>
            </w:pPr>
            <w:r>
              <w:t>政府性基金预算财政    拨款</w:t>
            </w:r>
          </w:p>
        </w:tc>
        <w:tc>
          <w:tcPr>
            <w:tcW w:w="1474" w:type="dxa"/>
            <w:vAlign w:val="center"/>
          </w:tcPr>
          <w:p w14:paraId="2AB808F5">
            <w:pPr>
              <w:pStyle w:val="10"/>
            </w:pPr>
            <w:r>
              <w:t>国有资本经营预算财政拨款</w:t>
            </w:r>
          </w:p>
        </w:tc>
      </w:tr>
      <w:tr w14:paraId="08A6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AD0F6D">
            <w:pPr>
              <w:pStyle w:val="10"/>
            </w:pPr>
            <w:r>
              <w:t>栏次</w:t>
            </w:r>
          </w:p>
        </w:tc>
        <w:tc>
          <w:tcPr>
            <w:tcW w:w="3402" w:type="dxa"/>
            <w:vAlign w:val="center"/>
          </w:tcPr>
          <w:p w14:paraId="1B01B6FB">
            <w:pPr>
              <w:pStyle w:val="10"/>
            </w:pPr>
            <w:r>
              <w:t>1</w:t>
            </w:r>
          </w:p>
        </w:tc>
        <w:tc>
          <w:tcPr>
            <w:tcW w:w="1474" w:type="dxa"/>
            <w:vAlign w:val="center"/>
          </w:tcPr>
          <w:p w14:paraId="01DC3143">
            <w:pPr>
              <w:pStyle w:val="10"/>
            </w:pPr>
            <w:r>
              <w:t>2</w:t>
            </w:r>
          </w:p>
        </w:tc>
        <w:tc>
          <w:tcPr>
            <w:tcW w:w="3402" w:type="dxa"/>
            <w:vAlign w:val="center"/>
          </w:tcPr>
          <w:p w14:paraId="22028355">
            <w:pPr>
              <w:pStyle w:val="10"/>
            </w:pPr>
            <w:r>
              <w:t>3</w:t>
            </w:r>
          </w:p>
        </w:tc>
        <w:tc>
          <w:tcPr>
            <w:tcW w:w="1474" w:type="dxa"/>
            <w:vAlign w:val="center"/>
          </w:tcPr>
          <w:p w14:paraId="7E055548">
            <w:pPr>
              <w:pStyle w:val="10"/>
            </w:pPr>
            <w:r>
              <w:t>4</w:t>
            </w:r>
          </w:p>
        </w:tc>
        <w:tc>
          <w:tcPr>
            <w:tcW w:w="1474" w:type="dxa"/>
            <w:vAlign w:val="center"/>
          </w:tcPr>
          <w:p w14:paraId="6B1396E5">
            <w:pPr>
              <w:pStyle w:val="10"/>
            </w:pPr>
            <w:r>
              <w:t>5</w:t>
            </w:r>
          </w:p>
        </w:tc>
        <w:tc>
          <w:tcPr>
            <w:tcW w:w="1474" w:type="dxa"/>
            <w:vAlign w:val="center"/>
          </w:tcPr>
          <w:p w14:paraId="421F1878">
            <w:pPr>
              <w:pStyle w:val="10"/>
            </w:pPr>
            <w:r>
              <w:t>6</w:t>
            </w:r>
          </w:p>
        </w:tc>
        <w:tc>
          <w:tcPr>
            <w:tcW w:w="1474" w:type="dxa"/>
            <w:vAlign w:val="center"/>
          </w:tcPr>
          <w:p w14:paraId="2D1A144F">
            <w:pPr>
              <w:pStyle w:val="10"/>
            </w:pPr>
            <w:r>
              <w:t>7</w:t>
            </w:r>
          </w:p>
        </w:tc>
      </w:tr>
      <w:tr w14:paraId="58FE0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A29A1">
            <w:pPr>
              <w:pStyle w:val="13"/>
            </w:pPr>
            <w:r>
              <w:t>1</w:t>
            </w:r>
          </w:p>
        </w:tc>
        <w:tc>
          <w:tcPr>
            <w:tcW w:w="3402" w:type="dxa"/>
            <w:vAlign w:val="center"/>
          </w:tcPr>
          <w:p w14:paraId="1A6DCF04">
            <w:pPr>
              <w:pStyle w:val="12"/>
            </w:pPr>
            <w:r>
              <w:t>一、一般公共预算拨款</w:t>
            </w:r>
          </w:p>
        </w:tc>
        <w:tc>
          <w:tcPr>
            <w:tcW w:w="1474" w:type="dxa"/>
            <w:vAlign w:val="center"/>
          </w:tcPr>
          <w:p w14:paraId="7E7D5E7E">
            <w:pPr>
              <w:pStyle w:val="11"/>
            </w:pPr>
            <w:r>
              <w:t>1251.78</w:t>
            </w:r>
          </w:p>
        </w:tc>
        <w:tc>
          <w:tcPr>
            <w:tcW w:w="3402" w:type="dxa"/>
            <w:vAlign w:val="center"/>
          </w:tcPr>
          <w:p w14:paraId="202D72C7">
            <w:pPr>
              <w:pStyle w:val="12"/>
            </w:pPr>
            <w:r>
              <w:t>一、一般公共服务支出</w:t>
            </w:r>
          </w:p>
        </w:tc>
        <w:tc>
          <w:tcPr>
            <w:tcW w:w="1474" w:type="dxa"/>
            <w:vAlign w:val="center"/>
          </w:tcPr>
          <w:p w14:paraId="509B19A9">
            <w:pPr>
              <w:pStyle w:val="11"/>
            </w:pPr>
          </w:p>
        </w:tc>
        <w:tc>
          <w:tcPr>
            <w:tcW w:w="1474" w:type="dxa"/>
            <w:vAlign w:val="center"/>
          </w:tcPr>
          <w:p w14:paraId="5A1EC08A">
            <w:pPr>
              <w:pStyle w:val="11"/>
            </w:pPr>
          </w:p>
        </w:tc>
        <w:tc>
          <w:tcPr>
            <w:tcW w:w="1474" w:type="dxa"/>
            <w:vAlign w:val="center"/>
          </w:tcPr>
          <w:p w14:paraId="444F044D">
            <w:pPr>
              <w:pStyle w:val="11"/>
            </w:pPr>
          </w:p>
        </w:tc>
        <w:tc>
          <w:tcPr>
            <w:tcW w:w="1474" w:type="dxa"/>
            <w:vAlign w:val="center"/>
          </w:tcPr>
          <w:p w14:paraId="6A1E1F85">
            <w:pPr>
              <w:pStyle w:val="11"/>
            </w:pPr>
          </w:p>
        </w:tc>
      </w:tr>
      <w:tr w14:paraId="6DB3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39F0">
            <w:pPr>
              <w:pStyle w:val="13"/>
            </w:pPr>
            <w:r>
              <w:t>2</w:t>
            </w:r>
          </w:p>
        </w:tc>
        <w:tc>
          <w:tcPr>
            <w:tcW w:w="3402" w:type="dxa"/>
            <w:vAlign w:val="center"/>
          </w:tcPr>
          <w:p w14:paraId="0959F043">
            <w:pPr>
              <w:pStyle w:val="12"/>
            </w:pPr>
            <w:r>
              <w:t>二、政府性基金预算拨款</w:t>
            </w:r>
          </w:p>
        </w:tc>
        <w:tc>
          <w:tcPr>
            <w:tcW w:w="1474" w:type="dxa"/>
            <w:vAlign w:val="center"/>
          </w:tcPr>
          <w:p w14:paraId="275D35B2">
            <w:pPr>
              <w:pStyle w:val="11"/>
            </w:pPr>
          </w:p>
        </w:tc>
        <w:tc>
          <w:tcPr>
            <w:tcW w:w="3402" w:type="dxa"/>
            <w:vAlign w:val="center"/>
          </w:tcPr>
          <w:p w14:paraId="20C7AA22">
            <w:pPr>
              <w:pStyle w:val="12"/>
            </w:pPr>
            <w:r>
              <w:t>二、外交支出</w:t>
            </w:r>
          </w:p>
        </w:tc>
        <w:tc>
          <w:tcPr>
            <w:tcW w:w="1474" w:type="dxa"/>
            <w:vAlign w:val="center"/>
          </w:tcPr>
          <w:p w14:paraId="27417434">
            <w:pPr>
              <w:pStyle w:val="11"/>
            </w:pPr>
          </w:p>
        </w:tc>
        <w:tc>
          <w:tcPr>
            <w:tcW w:w="1474" w:type="dxa"/>
            <w:vAlign w:val="center"/>
          </w:tcPr>
          <w:p w14:paraId="1F45EA6B">
            <w:pPr>
              <w:pStyle w:val="11"/>
            </w:pPr>
          </w:p>
        </w:tc>
        <w:tc>
          <w:tcPr>
            <w:tcW w:w="1474" w:type="dxa"/>
            <w:vAlign w:val="center"/>
          </w:tcPr>
          <w:p w14:paraId="0C403B22">
            <w:pPr>
              <w:pStyle w:val="11"/>
            </w:pPr>
          </w:p>
        </w:tc>
        <w:tc>
          <w:tcPr>
            <w:tcW w:w="1474" w:type="dxa"/>
            <w:vAlign w:val="center"/>
          </w:tcPr>
          <w:p w14:paraId="59D5DFB7">
            <w:pPr>
              <w:pStyle w:val="11"/>
            </w:pPr>
          </w:p>
        </w:tc>
      </w:tr>
      <w:tr w14:paraId="46A9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42375">
            <w:pPr>
              <w:pStyle w:val="13"/>
            </w:pPr>
            <w:r>
              <w:t>3</w:t>
            </w:r>
          </w:p>
        </w:tc>
        <w:tc>
          <w:tcPr>
            <w:tcW w:w="3402" w:type="dxa"/>
            <w:vAlign w:val="center"/>
          </w:tcPr>
          <w:p w14:paraId="3DB42401">
            <w:pPr>
              <w:pStyle w:val="12"/>
            </w:pPr>
            <w:r>
              <w:t>三、国有资本经营预算拨款</w:t>
            </w:r>
          </w:p>
        </w:tc>
        <w:tc>
          <w:tcPr>
            <w:tcW w:w="1474" w:type="dxa"/>
            <w:vAlign w:val="center"/>
          </w:tcPr>
          <w:p w14:paraId="667B9B85">
            <w:pPr>
              <w:pStyle w:val="11"/>
            </w:pPr>
          </w:p>
        </w:tc>
        <w:tc>
          <w:tcPr>
            <w:tcW w:w="3402" w:type="dxa"/>
            <w:vAlign w:val="center"/>
          </w:tcPr>
          <w:p w14:paraId="0159D6A1">
            <w:pPr>
              <w:pStyle w:val="12"/>
            </w:pPr>
            <w:r>
              <w:t>三、国防支出</w:t>
            </w:r>
          </w:p>
        </w:tc>
        <w:tc>
          <w:tcPr>
            <w:tcW w:w="1474" w:type="dxa"/>
            <w:vAlign w:val="center"/>
          </w:tcPr>
          <w:p w14:paraId="49005320">
            <w:pPr>
              <w:pStyle w:val="11"/>
            </w:pPr>
          </w:p>
        </w:tc>
        <w:tc>
          <w:tcPr>
            <w:tcW w:w="1474" w:type="dxa"/>
            <w:vAlign w:val="center"/>
          </w:tcPr>
          <w:p w14:paraId="094B98BA">
            <w:pPr>
              <w:pStyle w:val="11"/>
            </w:pPr>
          </w:p>
        </w:tc>
        <w:tc>
          <w:tcPr>
            <w:tcW w:w="1474" w:type="dxa"/>
            <w:vAlign w:val="center"/>
          </w:tcPr>
          <w:p w14:paraId="4651A1C3">
            <w:pPr>
              <w:pStyle w:val="11"/>
            </w:pPr>
          </w:p>
        </w:tc>
        <w:tc>
          <w:tcPr>
            <w:tcW w:w="1474" w:type="dxa"/>
            <w:vAlign w:val="center"/>
          </w:tcPr>
          <w:p w14:paraId="5B1EE18B">
            <w:pPr>
              <w:pStyle w:val="11"/>
            </w:pPr>
          </w:p>
        </w:tc>
      </w:tr>
      <w:tr w14:paraId="57B2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6AAD">
            <w:pPr>
              <w:pStyle w:val="13"/>
            </w:pPr>
            <w:r>
              <w:t>4</w:t>
            </w:r>
          </w:p>
        </w:tc>
        <w:tc>
          <w:tcPr>
            <w:tcW w:w="3402" w:type="dxa"/>
            <w:vAlign w:val="center"/>
          </w:tcPr>
          <w:p w14:paraId="27C221D7">
            <w:pPr>
              <w:pStyle w:val="12"/>
            </w:pPr>
          </w:p>
        </w:tc>
        <w:tc>
          <w:tcPr>
            <w:tcW w:w="1474" w:type="dxa"/>
            <w:vAlign w:val="center"/>
          </w:tcPr>
          <w:p w14:paraId="3B714F23">
            <w:pPr>
              <w:pStyle w:val="11"/>
            </w:pPr>
          </w:p>
        </w:tc>
        <w:tc>
          <w:tcPr>
            <w:tcW w:w="3402" w:type="dxa"/>
            <w:vAlign w:val="center"/>
          </w:tcPr>
          <w:p w14:paraId="53481D61">
            <w:pPr>
              <w:pStyle w:val="12"/>
            </w:pPr>
            <w:r>
              <w:t>四、公共安全支出</w:t>
            </w:r>
          </w:p>
        </w:tc>
        <w:tc>
          <w:tcPr>
            <w:tcW w:w="1474" w:type="dxa"/>
            <w:vAlign w:val="center"/>
          </w:tcPr>
          <w:p w14:paraId="78B2D058">
            <w:pPr>
              <w:pStyle w:val="11"/>
            </w:pPr>
          </w:p>
        </w:tc>
        <w:tc>
          <w:tcPr>
            <w:tcW w:w="1474" w:type="dxa"/>
            <w:vAlign w:val="center"/>
          </w:tcPr>
          <w:p w14:paraId="4FF402C4">
            <w:pPr>
              <w:pStyle w:val="11"/>
            </w:pPr>
          </w:p>
        </w:tc>
        <w:tc>
          <w:tcPr>
            <w:tcW w:w="1474" w:type="dxa"/>
            <w:vAlign w:val="center"/>
          </w:tcPr>
          <w:p w14:paraId="1C299EC1">
            <w:pPr>
              <w:pStyle w:val="11"/>
            </w:pPr>
          </w:p>
        </w:tc>
        <w:tc>
          <w:tcPr>
            <w:tcW w:w="1474" w:type="dxa"/>
            <w:vAlign w:val="center"/>
          </w:tcPr>
          <w:p w14:paraId="50838273">
            <w:pPr>
              <w:pStyle w:val="11"/>
            </w:pPr>
          </w:p>
        </w:tc>
      </w:tr>
      <w:tr w14:paraId="69EE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03100">
            <w:pPr>
              <w:pStyle w:val="13"/>
            </w:pPr>
            <w:r>
              <w:t>5</w:t>
            </w:r>
          </w:p>
        </w:tc>
        <w:tc>
          <w:tcPr>
            <w:tcW w:w="3402" w:type="dxa"/>
            <w:vAlign w:val="center"/>
          </w:tcPr>
          <w:p w14:paraId="67F46FAF">
            <w:pPr>
              <w:pStyle w:val="12"/>
            </w:pPr>
          </w:p>
        </w:tc>
        <w:tc>
          <w:tcPr>
            <w:tcW w:w="1474" w:type="dxa"/>
            <w:vAlign w:val="center"/>
          </w:tcPr>
          <w:p w14:paraId="551B27C9">
            <w:pPr>
              <w:pStyle w:val="11"/>
            </w:pPr>
          </w:p>
        </w:tc>
        <w:tc>
          <w:tcPr>
            <w:tcW w:w="3402" w:type="dxa"/>
            <w:vAlign w:val="center"/>
          </w:tcPr>
          <w:p w14:paraId="0937BCA7">
            <w:pPr>
              <w:pStyle w:val="12"/>
            </w:pPr>
            <w:r>
              <w:t>五、教育支出</w:t>
            </w:r>
          </w:p>
        </w:tc>
        <w:tc>
          <w:tcPr>
            <w:tcW w:w="1474" w:type="dxa"/>
            <w:vAlign w:val="center"/>
          </w:tcPr>
          <w:p w14:paraId="33898024">
            <w:pPr>
              <w:pStyle w:val="11"/>
            </w:pPr>
            <w:r>
              <w:t>1251.78</w:t>
            </w:r>
          </w:p>
        </w:tc>
        <w:tc>
          <w:tcPr>
            <w:tcW w:w="1474" w:type="dxa"/>
            <w:vAlign w:val="center"/>
          </w:tcPr>
          <w:p w14:paraId="11566C3B">
            <w:pPr>
              <w:pStyle w:val="11"/>
            </w:pPr>
            <w:r>
              <w:t>1251.78</w:t>
            </w:r>
          </w:p>
        </w:tc>
        <w:tc>
          <w:tcPr>
            <w:tcW w:w="1474" w:type="dxa"/>
            <w:vAlign w:val="center"/>
          </w:tcPr>
          <w:p w14:paraId="6C46DCD9">
            <w:pPr>
              <w:pStyle w:val="11"/>
            </w:pPr>
          </w:p>
        </w:tc>
        <w:tc>
          <w:tcPr>
            <w:tcW w:w="1474" w:type="dxa"/>
            <w:vAlign w:val="center"/>
          </w:tcPr>
          <w:p w14:paraId="49D1F9E2">
            <w:pPr>
              <w:pStyle w:val="11"/>
            </w:pPr>
          </w:p>
        </w:tc>
      </w:tr>
      <w:tr w14:paraId="1D81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9062B">
            <w:pPr>
              <w:pStyle w:val="13"/>
            </w:pPr>
            <w:r>
              <w:t>6</w:t>
            </w:r>
          </w:p>
        </w:tc>
        <w:tc>
          <w:tcPr>
            <w:tcW w:w="3402" w:type="dxa"/>
            <w:vAlign w:val="center"/>
          </w:tcPr>
          <w:p w14:paraId="28F5CB9A">
            <w:pPr>
              <w:pStyle w:val="12"/>
            </w:pPr>
          </w:p>
        </w:tc>
        <w:tc>
          <w:tcPr>
            <w:tcW w:w="1474" w:type="dxa"/>
            <w:vAlign w:val="center"/>
          </w:tcPr>
          <w:p w14:paraId="7CB78549">
            <w:pPr>
              <w:pStyle w:val="11"/>
            </w:pPr>
          </w:p>
        </w:tc>
        <w:tc>
          <w:tcPr>
            <w:tcW w:w="3402" w:type="dxa"/>
            <w:vAlign w:val="center"/>
          </w:tcPr>
          <w:p w14:paraId="4843ED4E">
            <w:pPr>
              <w:pStyle w:val="12"/>
            </w:pPr>
            <w:r>
              <w:t>六、科学技术支出</w:t>
            </w:r>
          </w:p>
        </w:tc>
        <w:tc>
          <w:tcPr>
            <w:tcW w:w="1474" w:type="dxa"/>
            <w:vAlign w:val="center"/>
          </w:tcPr>
          <w:p w14:paraId="4E343D84">
            <w:pPr>
              <w:pStyle w:val="11"/>
            </w:pPr>
          </w:p>
        </w:tc>
        <w:tc>
          <w:tcPr>
            <w:tcW w:w="1474" w:type="dxa"/>
            <w:vAlign w:val="center"/>
          </w:tcPr>
          <w:p w14:paraId="491EC383">
            <w:pPr>
              <w:pStyle w:val="11"/>
            </w:pPr>
          </w:p>
        </w:tc>
        <w:tc>
          <w:tcPr>
            <w:tcW w:w="1474" w:type="dxa"/>
            <w:vAlign w:val="center"/>
          </w:tcPr>
          <w:p w14:paraId="34BFE76E">
            <w:pPr>
              <w:pStyle w:val="11"/>
            </w:pPr>
          </w:p>
        </w:tc>
        <w:tc>
          <w:tcPr>
            <w:tcW w:w="1474" w:type="dxa"/>
            <w:vAlign w:val="center"/>
          </w:tcPr>
          <w:p w14:paraId="329454EF">
            <w:pPr>
              <w:pStyle w:val="11"/>
            </w:pPr>
          </w:p>
        </w:tc>
      </w:tr>
      <w:tr w14:paraId="7808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57802">
            <w:pPr>
              <w:pStyle w:val="13"/>
            </w:pPr>
            <w:r>
              <w:t>7</w:t>
            </w:r>
          </w:p>
        </w:tc>
        <w:tc>
          <w:tcPr>
            <w:tcW w:w="3402" w:type="dxa"/>
            <w:vAlign w:val="center"/>
          </w:tcPr>
          <w:p w14:paraId="7E740681">
            <w:pPr>
              <w:pStyle w:val="12"/>
            </w:pPr>
          </w:p>
        </w:tc>
        <w:tc>
          <w:tcPr>
            <w:tcW w:w="1474" w:type="dxa"/>
            <w:vAlign w:val="center"/>
          </w:tcPr>
          <w:p w14:paraId="215735FB">
            <w:pPr>
              <w:pStyle w:val="11"/>
            </w:pPr>
          </w:p>
        </w:tc>
        <w:tc>
          <w:tcPr>
            <w:tcW w:w="3402" w:type="dxa"/>
            <w:vAlign w:val="center"/>
          </w:tcPr>
          <w:p w14:paraId="0B8B39CF">
            <w:pPr>
              <w:pStyle w:val="12"/>
            </w:pPr>
            <w:r>
              <w:t>七、文化旅游体育与传媒支出</w:t>
            </w:r>
          </w:p>
        </w:tc>
        <w:tc>
          <w:tcPr>
            <w:tcW w:w="1474" w:type="dxa"/>
            <w:vAlign w:val="center"/>
          </w:tcPr>
          <w:p w14:paraId="351E6D02">
            <w:pPr>
              <w:pStyle w:val="11"/>
            </w:pPr>
          </w:p>
        </w:tc>
        <w:tc>
          <w:tcPr>
            <w:tcW w:w="1474" w:type="dxa"/>
            <w:vAlign w:val="center"/>
          </w:tcPr>
          <w:p w14:paraId="68F8E4BE">
            <w:pPr>
              <w:pStyle w:val="11"/>
            </w:pPr>
          </w:p>
        </w:tc>
        <w:tc>
          <w:tcPr>
            <w:tcW w:w="1474" w:type="dxa"/>
            <w:vAlign w:val="center"/>
          </w:tcPr>
          <w:p w14:paraId="680F8150">
            <w:pPr>
              <w:pStyle w:val="11"/>
            </w:pPr>
          </w:p>
        </w:tc>
        <w:tc>
          <w:tcPr>
            <w:tcW w:w="1474" w:type="dxa"/>
            <w:vAlign w:val="center"/>
          </w:tcPr>
          <w:p w14:paraId="6EDF28A0">
            <w:pPr>
              <w:pStyle w:val="11"/>
            </w:pPr>
          </w:p>
        </w:tc>
      </w:tr>
      <w:tr w14:paraId="30B3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E66E">
            <w:pPr>
              <w:pStyle w:val="13"/>
            </w:pPr>
            <w:r>
              <w:t>8</w:t>
            </w:r>
          </w:p>
        </w:tc>
        <w:tc>
          <w:tcPr>
            <w:tcW w:w="3402" w:type="dxa"/>
            <w:vAlign w:val="center"/>
          </w:tcPr>
          <w:p w14:paraId="6DF1537C">
            <w:pPr>
              <w:pStyle w:val="12"/>
            </w:pPr>
          </w:p>
        </w:tc>
        <w:tc>
          <w:tcPr>
            <w:tcW w:w="1474" w:type="dxa"/>
            <w:vAlign w:val="center"/>
          </w:tcPr>
          <w:p w14:paraId="592F615C">
            <w:pPr>
              <w:pStyle w:val="11"/>
            </w:pPr>
          </w:p>
        </w:tc>
        <w:tc>
          <w:tcPr>
            <w:tcW w:w="3402" w:type="dxa"/>
            <w:vAlign w:val="center"/>
          </w:tcPr>
          <w:p w14:paraId="6DFF19C6">
            <w:pPr>
              <w:pStyle w:val="12"/>
            </w:pPr>
            <w:r>
              <w:t>八、社会保障和就业支出</w:t>
            </w:r>
          </w:p>
        </w:tc>
        <w:tc>
          <w:tcPr>
            <w:tcW w:w="1474" w:type="dxa"/>
            <w:vAlign w:val="center"/>
          </w:tcPr>
          <w:p w14:paraId="438349D3">
            <w:pPr>
              <w:pStyle w:val="11"/>
            </w:pPr>
          </w:p>
        </w:tc>
        <w:tc>
          <w:tcPr>
            <w:tcW w:w="1474" w:type="dxa"/>
            <w:vAlign w:val="center"/>
          </w:tcPr>
          <w:p w14:paraId="44E366FC">
            <w:pPr>
              <w:pStyle w:val="11"/>
            </w:pPr>
          </w:p>
        </w:tc>
        <w:tc>
          <w:tcPr>
            <w:tcW w:w="1474" w:type="dxa"/>
            <w:vAlign w:val="center"/>
          </w:tcPr>
          <w:p w14:paraId="22196798">
            <w:pPr>
              <w:pStyle w:val="11"/>
            </w:pPr>
          </w:p>
        </w:tc>
        <w:tc>
          <w:tcPr>
            <w:tcW w:w="1474" w:type="dxa"/>
            <w:vAlign w:val="center"/>
          </w:tcPr>
          <w:p w14:paraId="19CDA5C7">
            <w:pPr>
              <w:pStyle w:val="11"/>
            </w:pPr>
          </w:p>
        </w:tc>
      </w:tr>
      <w:tr w14:paraId="059B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B7A21">
            <w:pPr>
              <w:pStyle w:val="13"/>
            </w:pPr>
            <w:r>
              <w:t>9</w:t>
            </w:r>
          </w:p>
        </w:tc>
        <w:tc>
          <w:tcPr>
            <w:tcW w:w="3402" w:type="dxa"/>
            <w:vAlign w:val="center"/>
          </w:tcPr>
          <w:p w14:paraId="2915D0DB">
            <w:pPr>
              <w:pStyle w:val="12"/>
            </w:pPr>
          </w:p>
        </w:tc>
        <w:tc>
          <w:tcPr>
            <w:tcW w:w="1474" w:type="dxa"/>
            <w:vAlign w:val="center"/>
          </w:tcPr>
          <w:p w14:paraId="44898DCD">
            <w:pPr>
              <w:pStyle w:val="11"/>
            </w:pPr>
          </w:p>
        </w:tc>
        <w:tc>
          <w:tcPr>
            <w:tcW w:w="3402" w:type="dxa"/>
            <w:vAlign w:val="center"/>
          </w:tcPr>
          <w:p w14:paraId="128DCB2B">
            <w:pPr>
              <w:pStyle w:val="12"/>
            </w:pPr>
            <w:r>
              <w:t>九、社会保险基金支出</w:t>
            </w:r>
          </w:p>
        </w:tc>
        <w:tc>
          <w:tcPr>
            <w:tcW w:w="1474" w:type="dxa"/>
            <w:vAlign w:val="center"/>
          </w:tcPr>
          <w:p w14:paraId="4E568E01">
            <w:pPr>
              <w:pStyle w:val="11"/>
            </w:pPr>
          </w:p>
        </w:tc>
        <w:tc>
          <w:tcPr>
            <w:tcW w:w="1474" w:type="dxa"/>
            <w:vAlign w:val="center"/>
          </w:tcPr>
          <w:p w14:paraId="5B9BAE46">
            <w:pPr>
              <w:pStyle w:val="11"/>
            </w:pPr>
          </w:p>
        </w:tc>
        <w:tc>
          <w:tcPr>
            <w:tcW w:w="1474" w:type="dxa"/>
            <w:vAlign w:val="center"/>
          </w:tcPr>
          <w:p w14:paraId="0A846997">
            <w:pPr>
              <w:pStyle w:val="11"/>
            </w:pPr>
          </w:p>
        </w:tc>
        <w:tc>
          <w:tcPr>
            <w:tcW w:w="1474" w:type="dxa"/>
            <w:vAlign w:val="center"/>
          </w:tcPr>
          <w:p w14:paraId="3694FFC3">
            <w:pPr>
              <w:pStyle w:val="11"/>
            </w:pPr>
          </w:p>
        </w:tc>
      </w:tr>
      <w:tr w14:paraId="2030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BE79">
            <w:pPr>
              <w:pStyle w:val="13"/>
            </w:pPr>
            <w:r>
              <w:t>10</w:t>
            </w:r>
          </w:p>
        </w:tc>
        <w:tc>
          <w:tcPr>
            <w:tcW w:w="3402" w:type="dxa"/>
            <w:vAlign w:val="center"/>
          </w:tcPr>
          <w:p w14:paraId="499287B5">
            <w:pPr>
              <w:pStyle w:val="12"/>
            </w:pPr>
          </w:p>
        </w:tc>
        <w:tc>
          <w:tcPr>
            <w:tcW w:w="1474" w:type="dxa"/>
            <w:vAlign w:val="center"/>
          </w:tcPr>
          <w:p w14:paraId="435668FF">
            <w:pPr>
              <w:pStyle w:val="11"/>
            </w:pPr>
          </w:p>
        </w:tc>
        <w:tc>
          <w:tcPr>
            <w:tcW w:w="3402" w:type="dxa"/>
            <w:vAlign w:val="center"/>
          </w:tcPr>
          <w:p w14:paraId="2D8CCAAE">
            <w:pPr>
              <w:pStyle w:val="12"/>
            </w:pPr>
            <w:r>
              <w:t>十、卫生健康支出</w:t>
            </w:r>
          </w:p>
        </w:tc>
        <w:tc>
          <w:tcPr>
            <w:tcW w:w="1474" w:type="dxa"/>
            <w:vAlign w:val="center"/>
          </w:tcPr>
          <w:p w14:paraId="457523EA">
            <w:pPr>
              <w:pStyle w:val="11"/>
            </w:pPr>
          </w:p>
        </w:tc>
        <w:tc>
          <w:tcPr>
            <w:tcW w:w="1474" w:type="dxa"/>
            <w:vAlign w:val="center"/>
          </w:tcPr>
          <w:p w14:paraId="244AD394">
            <w:pPr>
              <w:pStyle w:val="11"/>
            </w:pPr>
          </w:p>
        </w:tc>
        <w:tc>
          <w:tcPr>
            <w:tcW w:w="1474" w:type="dxa"/>
            <w:vAlign w:val="center"/>
          </w:tcPr>
          <w:p w14:paraId="4D9216CA">
            <w:pPr>
              <w:pStyle w:val="11"/>
            </w:pPr>
          </w:p>
        </w:tc>
        <w:tc>
          <w:tcPr>
            <w:tcW w:w="1474" w:type="dxa"/>
            <w:vAlign w:val="center"/>
          </w:tcPr>
          <w:p w14:paraId="707AAC57">
            <w:pPr>
              <w:pStyle w:val="11"/>
            </w:pPr>
          </w:p>
        </w:tc>
      </w:tr>
      <w:tr w14:paraId="5B1E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F5F3">
            <w:pPr>
              <w:pStyle w:val="13"/>
            </w:pPr>
            <w:r>
              <w:t>11</w:t>
            </w:r>
          </w:p>
        </w:tc>
        <w:tc>
          <w:tcPr>
            <w:tcW w:w="3402" w:type="dxa"/>
            <w:vAlign w:val="center"/>
          </w:tcPr>
          <w:p w14:paraId="18A69191">
            <w:pPr>
              <w:pStyle w:val="12"/>
            </w:pPr>
          </w:p>
        </w:tc>
        <w:tc>
          <w:tcPr>
            <w:tcW w:w="1474" w:type="dxa"/>
            <w:vAlign w:val="center"/>
          </w:tcPr>
          <w:p w14:paraId="4F7EE262">
            <w:pPr>
              <w:pStyle w:val="11"/>
            </w:pPr>
          </w:p>
        </w:tc>
        <w:tc>
          <w:tcPr>
            <w:tcW w:w="3402" w:type="dxa"/>
            <w:vAlign w:val="center"/>
          </w:tcPr>
          <w:p w14:paraId="3C6E2BBF">
            <w:pPr>
              <w:pStyle w:val="12"/>
            </w:pPr>
            <w:r>
              <w:t>十一、节能环保支出</w:t>
            </w:r>
          </w:p>
        </w:tc>
        <w:tc>
          <w:tcPr>
            <w:tcW w:w="1474" w:type="dxa"/>
            <w:vAlign w:val="center"/>
          </w:tcPr>
          <w:p w14:paraId="2D3A970C">
            <w:pPr>
              <w:pStyle w:val="11"/>
            </w:pPr>
          </w:p>
        </w:tc>
        <w:tc>
          <w:tcPr>
            <w:tcW w:w="1474" w:type="dxa"/>
            <w:vAlign w:val="center"/>
          </w:tcPr>
          <w:p w14:paraId="50543311">
            <w:pPr>
              <w:pStyle w:val="11"/>
            </w:pPr>
          </w:p>
        </w:tc>
        <w:tc>
          <w:tcPr>
            <w:tcW w:w="1474" w:type="dxa"/>
            <w:vAlign w:val="center"/>
          </w:tcPr>
          <w:p w14:paraId="302E7270">
            <w:pPr>
              <w:pStyle w:val="11"/>
            </w:pPr>
          </w:p>
        </w:tc>
        <w:tc>
          <w:tcPr>
            <w:tcW w:w="1474" w:type="dxa"/>
            <w:vAlign w:val="center"/>
          </w:tcPr>
          <w:p w14:paraId="37696E35">
            <w:pPr>
              <w:pStyle w:val="11"/>
            </w:pPr>
          </w:p>
        </w:tc>
      </w:tr>
      <w:tr w14:paraId="6599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BB765">
            <w:pPr>
              <w:pStyle w:val="13"/>
            </w:pPr>
            <w:r>
              <w:t>12</w:t>
            </w:r>
          </w:p>
        </w:tc>
        <w:tc>
          <w:tcPr>
            <w:tcW w:w="3402" w:type="dxa"/>
            <w:vAlign w:val="center"/>
          </w:tcPr>
          <w:p w14:paraId="2E5B3B86">
            <w:pPr>
              <w:pStyle w:val="12"/>
            </w:pPr>
          </w:p>
        </w:tc>
        <w:tc>
          <w:tcPr>
            <w:tcW w:w="1474" w:type="dxa"/>
            <w:vAlign w:val="center"/>
          </w:tcPr>
          <w:p w14:paraId="388DCD91">
            <w:pPr>
              <w:pStyle w:val="11"/>
            </w:pPr>
          </w:p>
        </w:tc>
        <w:tc>
          <w:tcPr>
            <w:tcW w:w="3402" w:type="dxa"/>
            <w:vAlign w:val="center"/>
          </w:tcPr>
          <w:p w14:paraId="466263E9">
            <w:pPr>
              <w:pStyle w:val="12"/>
            </w:pPr>
            <w:r>
              <w:t>十二、城乡社区支出</w:t>
            </w:r>
          </w:p>
        </w:tc>
        <w:tc>
          <w:tcPr>
            <w:tcW w:w="1474" w:type="dxa"/>
            <w:vAlign w:val="center"/>
          </w:tcPr>
          <w:p w14:paraId="435397A9">
            <w:pPr>
              <w:pStyle w:val="11"/>
            </w:pPr>
          </w:p>
        </w:tc>
        <w:tc>
          <w:tcPr>
            <w:tcW w:w="1474" w:type="dxa"/>
            <w:vAlign w:val="center"/>
          </w:tcPr>
          <w:p w14:paraId="2C189291">
            <w:pPr>
              <w:pStyle w:val="11"/>
            </w:pPr>
          </w:p>
        </w:tc>
        <w:tc>
          <w:tcPr>
            <w:tcW w:w="1474" w:type="dxa"/>
            <w:vAlign w:val="center"/>
          </w:tcPr>
          <w:p w14:paraId="0081F987">
            <w:pPr>
              <w:pStyle w:val="11"/>
            </w:pPr>
          </w:p>
        </w:tc>
        <w:tc>
          <w:tcPr>
            <w:tcW w:w="1474" w:type="dxa"/>
            <w:vAlign w:val="center"/>
          </w:tcPr>
          <w:p w14:paraId="2EBE70F8">
            <w:pPr>
              <w:pStyle w:val="11"/>
            </w:pPr>
          </w:p>
        </w:tc>
      </w:tr>
      <w:tr w14:paraId="6540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3E13">
            <w:pPr>
              <w:pStyle w:val="13"/>
            </w:pPr>
            <w:r>
              <w:t>13</w:t>
            </w:r>
          </w:p>
        </w:tc>
        <w:tc>
          <w:tcPr>
            <w:tcW w:w="3402" w:type="dxa"/>
            <w:vAlign w:val="center"/>
          </w:tcPr>
          <w:p w14:paraId="0769067D">
            <w:pPr>
              <w:pStyle w:val="12"/>
            </w:pPr>
          </w:p>
        </w:tc>
        <w:tc>
          <w:tcPr>
            <w:tcW w:w="1474" w:type="dxa"/>
            <w:vAlign w:val="center"/>
          </w:tcPr>
          <w:p w14:paraId="453B0DCF">
            <w:pPr>
              <w:pStyle w:val="11"/>
            </w:pPr>
          </w:p>
        </w:tc>
        <w:tc>
          <w:tcPr>
            <w:tcW w:w="3402" w:type="dxa"/>
            <w:vAlign w:val="center"/>
          </w:tcPr>
          <w:p w14:paraId="71A5C1F1">
            <w:pPr>
              <w:pStyle w:val="12"/>
            </w:pPr>
            <w:r>
              <w:t>十三、农林水支出</w:t>
            </w:r>
          </w:p>
        </w:tc>
        <w:tc>
          <w:tcPr>
            <w:tcW w:w="1474" w:type="dxa"/>
            <w:vAlign w:val="center"/>
          </w:tcPr>
          <w:p w14:paraId="32308BD7">
            <w:pPr>
              <w:pStyle w:val="11"/>
            </w:pPr>
          </w:p>
        </w:tc>
        <w:tc>
          <w:tcPr>
            <w:tcW w:w="1474" w:type="dxa"/>
            <w:vAlign w:val="center"/>
          </w:tcPr>
          <w:p w14:paraId="2A5525D8">
            <w:pPr>
              <w:pStyle w:val="11"/>
            </w:pPr>
          </w:p>
        </w:tc>
        <w:tc>
          <w:tcPr>
            <w:tcW w:w="1474" w:type="dxa"/>
            <w:vAlign w:val="center"/>
          </w:tcPr>
          <w:p w14:paraId="2203C160">
            <w:pPr>
              <w:pStyle w:val="11"/>
            </w:pPr>
          </w:p>
        </w:tc>
        <w:tc>
          <w:tcPr>
            <w:tcW w:w="1474" w:type="dxa"/>
            <w:vAlign w:val="center"/>
          </w:tcPr>
          <w:p w14:paraId="5D4C9EB4">
            <w:pPr>
              <w:pStyle w:val="11"/>
            </w:pPr>
          </w:p>
        </w:tc>
      </w:tr>
      <w:tr w14:paraId="6648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F17A6">
            <w:pPr>
              <w:pStyle w:val="13"/>
            </w:pPr>
            <w:r>
              <w:t>14</w:t>
            </w:r>
          </w:p>
        </w:tc>
        <w:tc>
          <w:tcPr>
            <w:tcW w:w="3402" w:type="dxa"/>
            <w:vAlign w:val="center"/>
          </w:tcPr>
          <w:p w14:paraId="23C2176A">
            <w:pPr>
              <w:pStyle w:val="12"/>
            </w:pPr>
          </w:p>
        </w:tc>
        <w:tc>
          <w:tcPr>
            <w:tcW w:w="1474" w:type="dxa"/>
            <w:vAlign w:val="center"/>
          </w:tcPr>
          <w:p w14:paraId="1416CC5C">
            <w:pPr>
              <w:pStyle w:val="11"/>
            </w:pPr>
          </w:p>
        </w:tc>
        <w:tc>
          <w:tcPr>
            <w:tcW w:w="3402" w:type="dxa"/>
            <w:vAlign w:val="center"/>
          </w:tcPr>
          <w:p w14:paraId="7E1E2C75">
            <w:pPr>
              <w:pStyle w:val="12"/>
            </w:pPr>
            <w:r>
              <w:t>十四、交通运输支出</w:t>
            </w:r>
          </w:p>
        </w:tc>
        <w:tc>
          <w:tcPr>
            <w:tcW w:w="1474" w:type="dxa"/>
            <w:vAlign w:val="center"/>
          </w:tcPr>
          <w:p w14:paraId="6278ACAC">
            <w:pPr>
              <w:pStyle w:val="11"/>
            </w:pPr>
          </w:p>
        </w:tc>
        <w:tc>
          <w:tcPr>
            <w:tcW w:w="1474" w:type="dxa"/>
            <w:vAlign w:val="center"/>
          </w:tcPr>
          <w:p w14:paraId="3AEB3AD7">
            <w:pPr>
              <w:pStyle w:val="11"/>
            </w:pPr>
          </w:p>
        </w:tc>
        <w:tc>
          <w:tcPr>
            <w:tcW w:w="1474" w:type="dxa"/>
            <w:vAlign w:val="center"/>
          </w:tcPr>
          <w:p w14:paraId="303C61D0">
            <w:pPr>
              <w:pStyle w:val="11"/>
            </w:pPr>
          </w:p>
        </w:tc>
        <w:tc>
          <w:tcPr>
            <w:tcW w:w="1474" w:type="dxa"/>
            <w:vAlign w:val="center"/>
          </w:tcPr>
          <w:p w14:paraId="09744BB3">
            <w:pPr>
              <w:pStyle w:val="11"/>
            </w:pPr>
          </w:p>
        </w:tc>
      </w:tr>
      <w:tr w14:paraId="77F6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75444">
            <w:pPr>
              <w:pStyle w:val="13"/>
            </w:pPr>
            <w:r>
              <w:t>15</w:t>
            </w:r>
          </w:p>
        </w:tc>
        <w:tc>
          <w:tcPr>
            <w:tcW w:w="3402" w:type="dxa"/>
            <w:vAlign w:val="center"/>
          </w:tcPr>
          <w:p w14:paraId="5BF74A1F">
            <w:pPr>
              <w:pStyle w:val="12"/>
            </w:pPr>
          </w:p>
        </w:tc>
        <w:tc>
          <w:tcPr>
            <w:tcW w:w="1474" w:type="dxa"/>
            <w:vAlign w:val="center"/>
          </w:tcPr>
          <w:p w14:paraId="3D978C81">
            <w:pPr>
              <w:pStyle w:val="11"/>
            </w:pPr>
          </w:p>
        </w:tc>
        <w:tc>
          <w:tcPr>
            <w:tcW w:w="3402" w:type="dxa"/>
            <w:vAlign w:val="center"/>
          </w:tcPr>
          <w:p w14:paraId="25C05C8E">
            <w:pPr>
              <w:pStyle w:val="12"/>
            </w:pPr>
            <w:r>
              <w:t>十五、资源勘探工业信息等支出</w:t>
            </w:r>
          </w:p>
        </w:tc>
        <w:tc>
          <w:tcPr>
            <w:tcW w:w="1474" w:type="dxa"/>
            <w:vAlign w:val="center"/>
          </w:tcPr>
          <w:p w14:paraId="2E6EA43A">
            <w:pPr>
              <w:pStyle w:val="11"/>
            </w:pPr>
          </w:p>
        </w:tc>
        <w:tc>
          <w:tcPr>
            <w:tcW w:w="1474" w:type="dxa"/>
            <w:vAlign w:val="center"/>
          </w:tcPr>
          <w:p w14:paraId="4545D1AF">
            <w:pPr>
              <w:pStyle w:val="11"/>
            </w:pPr>
          </w:p>
        </w:tc>
        <w:tc>
          <w:tcPr>
            <w:tcW w:w="1474" w:type="dxa"/>
            <w:vAlign w:val="center"/>
          </w:tcPr>
          <w:p w14:paraId="6CC042C2">
            <w:pPr>
              <w:pStyle w:val="11"/>
            </w:pPr>
          </w:p>
        </w:tc>
        <w:tc>
          <w:tcPr>
            <w:tcW w:w="1474" w:type="dxa"/>
            <w:vAlign w:val="center"/>
          </w:tcPr>
          <w:p w14:paraId="48DBACF0">
            <w:pPr>
              <w:pStyle w:val="11"/>
            </w:pPr>
          </w:p>
        </w:tc>
      </w:tr>
      <w:tr w14:paraId="7163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F6E46">
            <w:pPr>
              <w:pStyle w:val="13"/>
            </w:pPr>
            <w:r>
              <w:t>16</w:t>
            </w:r>
          </w:p>
        </w:tc>
        <w:tc>
          <w:tcPr>
            <w:tcW w:w="3402" w:type="dxa"/>
            <w:vAlign w:val="center"/>
          </w:tcPr>
          <w:p w14:paraId="0FCA2097">
            <w:pPr>
              <w:pStyle w:val="12"/>
            </w:pPr>
          </w:p>
        </w:tc>
        <w:tc>
          <w:tcPr>
            <w:tcW w:w="1474" w:type="dxa"/>
            <w:vAlign w:val="center"/>
          </w:tcPr>
          <w:p w14:paraId="14DF1023">
            <w:pPr>
              <w:pStyle w:val="11"/>
            </w:pPr>
          </w:p>
        </w:tc>
        <w:tc>
          <w:tcPr>
            <w:tcW w:w="3402" w:type="dxa"/>
            <w:vAlign w:val="center"/>
          </w:tcPr>
          <w:p w14:paraId="314809E8">
            <w:pPr>
              <w:pStyle w:val="12"/>
            </w:pPr>
            <w:r>
              <w:t>十六、商业服务业等支出</w:t>
            </w:r>
          </w:p>
        </w:tc>
        <w:tc>
          <w:tcPr>
            <w:tcW w:w="1474" w:type="dxa"/>
            <w:vAlign w:val="center"/>
          </w:tcPr>
          <w:p w14:paraId="343EA150">
            <w:pPr>
              <w:pStyle w:val="11"/>
            </w:pPr>
          </w:p>
        </w:tc>
        <w:tc>
          <w:tcPr>
            <w:tcW w:w="1474" w:type="dxa"/>
            <w:vAlign w:val="center"/>
          </w:tcPr>
          <w:p w14:paraId="0581A5C1">
            <w:pPr>
              <w:pStyle w:val="11"/>
            </w:pPr>
          </w:p>
        </w:tc>
        <w:tc>
          <w:tcPr>
            <w:tcW w:w="1474" w:type="dxa"/>
            <w:vAlign w:val="center"/>
          </w:tcPr>
          <w:p w14:paraId="0D90C4E5">
            <w:pPr>
              <w:pStyle w:val="11"/>
            </w:pPr>
          </w:p>
        </w:tc>
        <w:tc>
          <w:tcPr>
            <w:tcW w:w="1474" w:type="dxa"/>
            <w:vAlign w:val="center"/>
          </w:tcPr>
          <w:p w14:paraId="1F2B12D9">
            <w:pPr>
              <w:pStyle w:val="11"/>
            </w:pPr>
          </w:p>
        </w:tc>
      </w:tr>
      <w:tr w14:paraId="39F0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3D99">
            <w:pPr>
              <w:pStyle w:val="13"/>
            </w:pPr>
            <w:r>
              <w:t>17</w:t>
            </w:r>
          </w:p>
        </w:tc>
        <w:tc>
          <w:tcPr>
            <w:tcW w:w="3402" w:type="dxa"/>
            <w:vAlign w:val="center"/>
          </w:tcPr>
          <w:p w14:paraId="03D857E5">
            <w:pPr>
              <w:pStyle w:val="12"/>
            </w:pPr>
          </w:p>
        </w:tc>
        <w:tc>
          <w:tcPr>
            <w:tcW w:w="1474" w:type="dxa"/>
            <w:vAlign w:val="center"/>
          </w:tcPr>
          <w:p w14:paraId="41F345A9">
            <w:pPr>
              <w:pStyle w:val="11"/>
            </w:pPr>
          </w:p>
        </w:tc>
        <w:tc>
          <w:tcPr>
            <w:tcW w:w="3402" w:type="dxa"/>
            <w:vAlign w:val="center"/>
          </w:tcPr>
          <w:p w14:paraId="3DBCE2E9">
            <w:pPr>
              <w:pStyle w:val="12"/>
            </w:pPr>
            <w:r>
              <w:t>十七、金融支出</w:t>
            </w:r>
          </w:p>
        </w:tc>
        <w:tc>
          <w:tcPr>
            <w:tcW w:w="1474" w:type="dxa"/>
            <w:vAlign w:val="center"/>
          </w:tcPr>
          <w:p w14:paraId="2A39B555">
            <w:pPr>
              <w:pStyle w:val="11"/>
            </w:pPr>
          </w:p>
        </w:tc>
        <w:tc>
          <w:tcPr>
            <w:tcW w:w="1474" w:type="dxa"/>
            <w:vAlign w:val="center"/>
          </w:tcPr>
          <w:p w14:paraId="225A1508">
            <w:pPr>
              <w:pStyle w:val="11"/>
            </w:pPr>
          </w:p>
        </w:tc>
        <w:tc>
          <w:tcPr>
            <w:tcW w:w="1474" w:type="dxa"/>
            <w:vAlign w:val="center"/>
          </w:tcPr>
          <w:p w14:paraId="64C934E5">
            <w:pPr>
              <w:pStyle w:val="11"/>
            </w:pPr>
          </w:p>
        </w:tc>
        <w:tc>
          <w:tcPr>
            <w:tcW w:w="1474" w:type="dxa"/>
            <w:vAlign w:val="center"/>
          </w:tcPr>
          <w:p w14:paraId="0888DF11">
            <w:pPr>
              <w:pStyle w:val="11"/>
            </w:pPr>
          </w:p>
        </w:tc>
      </w:tr>
      <w:tr w14:paraId="0531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57D0">
            <w:pPr>
              <w:pStyle w:val="13"/>
            </w:pPr>
            <w:r>
              <w:t>18</w:t>
            </w:r>
          </w:p>
        </w:tc>
        <w:tc>
          <w:tcPr>
            <w:tcW w:w="3402" w:type="dxa"/>
            <w:vAlign w:val="center"/>
          </w:tcPr>
          <w:p w14:paraId="55597F17">
            <w:pPr>
              <w:pStyle w:val="12"/>
            </w:pPr>
          </w:p>
        </w:tc>
        <w:tc>
          <w:tcPr>
            <w:tcW w:w="1474" w:type="dxa"/>
            <w:vAlign w:val="center"/>
          </w:tcPr>
          <w:p w14:paraId="12C1CB2F">
            <w:pPr>
              <w:pStyle w:val="11"/>
            </w:pPr>
          </w:p>
        </w:tc>
        <w:tc>
          <w:tcPr>
            <w:tcW w:w="3402" w:type="dxa"/>
            <w:vAlign w:val="center"/>
          </w:tcPr>
          <w:p w14:paraId="7E28C89E">
            <w:pPr>
              <w:pStyle w:val="12"/>
            </w:pPr>
            <w:r>
              <w:t>十八、援助其他地区支出</w:t>
            </w:r>
          </w:p>
        </w:tc>
        <w:tc>
          <w:tcPr>
            <w:tcW w:w="1474" w:type="dxa"/>
            <w:vAlign w:val="center"/>
          </w:tcPr>
          <w:p w14:paraId="623ECB62">
            <w:pPr>
              <w:pStyle w:val="11"/>
            </w:pPr>
          </w:p>
        </w:tc>
        <w:tc>
          <w:tcPr>
            <w:tcW w:w="1474" w:type="dxa"/>
            <w:vAlign w:val="center"/>
          </w:tcPr>
          <w:p w14:paraId="4C4FE7E6">
            <w:pPr>
              <w:pStyle w:val="11"/>
            </w:pPr>
          </w:p>
        </w:tc>
        <w:tc>
          <w:tcPr>
            <w:tcW w:w="1474" w:type="dxa"/>
            <w:vAlign w:val="center"/>
          </w:tcPr>
          <w:p w14:paraId="0872C24E">
            <w:pPr>
              <w:pStyle w:val="11"/>
            </w:pPr>
          </w:p>
        </w:tc>
        <w:tc>
          <w:tcPr>
            <w:tcW w:w="1474" w:type="dxa"/>
            <w:vAlign w:val="center"/>
          </w:tcPr>
          <w:p w14:paraId="39373120">
            <w:pPr>
              <w:pStyle w:val="11"/>
            </w:pPr>
          </w:p>
        </w:tc>
      </w:tr>
      <w:tr w14:paraId="4399F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72229">
            <w:pPr>
              <w:pStyle w:val="13"/>
            </w:pPr>
            <w:r>
              <w:t>19</w:t>
            </w:r>
          </w:p>
        </w:tc>
        <w:tc>
          <w:tcPr>
            <w:tcW w:w="3402" w:type="dxa"/>
            <w:vAlign w:val="center"/>
          </w:tcPr>
          <w:p w14:paraId="4BE04491">
            <w:pPr>
              <w:pStyle w:val="12"/>
            </w:pPr>
          </w:p>
        </w:tc>
        <w:tc>
          <w:tcPr>
            <w:tcW w:w="1474" w:type="dxa"/>
            <w:vAlign w:val="center"/>
          </w:tcPr>
          <w:p w14:paraId="0FE78228">
            <w:pPr>
              <w:pStyle w:val="11"/>
            </w:pPr>
          </w:p>
        </w:tc>
        <w:tc>
          <w:tcPr>
            <w:tcW w:w="3402" w:type="dxa"/>
            <w:vAlign w:val="center"/>
          </w:tcPr>
          <w:p w14:paraId="63A73ECF">
            <w:pPr>
              <w:pStyle w:val="12"/>
            </w:pPr>
            <w:r>
              <w:t>十九、自然资源海洋气象等支出</w:t>
            </w:r>
          </w:p>
        </w:tc>
        <w:tc>
          <w:tcPr>
            <w:tcW w:w="1474" w:type="dxa"/>
            <w:vAlign w:val="center"/>
          </w:tcPr>
          <w:p w14:paraId="095D2C5D">
            <w:pPr>
              <w:pStyle w:val="11"/>
            </w:pPr>
          </w:p>
        </w:tc>
        <w:tc>
          <w:tcPr>
            <w:tcW w:w="1474" w:type="dxa"/>
            <w:vAlign w:val="center"/>
          </w:tcPr>
          <w:p w14:paraId="0B816F2E">
            <w:pPr>
              <w:pStyle w:val="11"/>
            </w:pPr>
          </w:p>
        </w:tc>
        <w:tc>
          <w:tcPr>
            <w:tcW w:w="1474" w:type="dxa"/>
            <w:vAlign w:val="center"/>
          </w:tcPr>
          <w:p w14:paraId="355BC0E5">
            <w:pPr>
              <w:pStyle w:val="11"/>
            </w:pPr>
          </w:p>
        </w:tc>
        <w:tc>
          <w:tcPr>
            <w:tcW w:w="1474" w:type="dxa"/>
            <w:vAlign w:val="center"/>
          </w:tcPr>
          <w:p w14:paraId="1E6F267D">
            <w:pPr>
              <w:pStyle w:val="11"/>
            </w:pPr>
          </w:p>
        </w:tc>
      </w:tr>
      <w:tr w14:paraId="2C5C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B8892">
            <w:pPr>
              <w:pStyle w:val="13"/>
            </w:pPr>
            <w:r>
              <w:t>20</w:t>
            </w:r>
          </w:p>
        </w:tc>
        <w:tc>
          <w:tcPr>
            <w:tcW w:w="3402" w:type="dxa"/>
            <w:vAlign w:val="center"/>
          </w:tcPr>
          <w:p w14:paraId="7E97B626">
            <w:pPr>
              <w:pStyle w:val="12"/>
            </w:pPr>
          </w:p>
        </w:tc>
        <w:tc>
          <w:tcPr>
            <w:tcW w:w="1474" w:type="dxa"/>
            <w:vAlign w:val="center"/>
          </w:tcPr>
          <w:p w14:paraId="7DBAEA7A">
            <w:pPr>
              <w:pStyle w:val="11"/>
            </w:pPr>
          </w:p>
        </w:tc>
        <w:tc>
          <w:tcPr>
            <w:tcW w:w="3402" w:type="dxa"/>
            <w:vAlign w:val="center"/>
          </w:tcPr>
          <w:p w14:paraId="40D7DE58">
            <w:pPr>
              <w:pStyle w:val="12"/>
            </w:pPr>
            <w:r>
              <w:t>二十、住房保障支出</w:t>
            </w:r>
          </w:p>
        </w:tc>
        <w:tc>
          <w:tcPr>
            <w:tcW w:w="1474" w:type="dxa"/>
            <w:vAlign w:val="center"/>
          </w:tcPr>
          <w:p w14:paraId="2CACB778">
            <w:pPr>
              <w:pStyle w:val="11"/>
            </w:pPr>
          </w:p>
        </w:tc>
        <w:tc>
          <w:tcPr>
            <w:tcW w:w="1474" w:type="dxa"/>
            <w:vAlign w:val="center"/>
          </w:tcPr>
          <w:p w14:paraId="45ED58F3">
            <w:pPr>
              <w:pStyle w:val="11"/>
            </w:pPr>
          </w:p>
        </w:tc>
        <w:tc>
          <w:tcPr>
            <w:tcW w:w="1474" w:type="dxa"/>
            <w:vAlign w:val="center"/>
          </w:tcPr>
          <w:p w14:paraId="54FA5E45">
            <w:pPr>
              <w:pStyle w:val="11"/>
            </w:pPr>
          </w:p>
        </w:tc>
        <w:tc>
          <w:tcPr>
            <w:tcW w:w="1474" w:type="dxa"/>
            <w:vAlign w:val="center"/>
          </w:tcPr>
          <w:p w14:paraId="44AAD7A1">
            <w:pPr>
              <w:pStyle w:val="11"/>
            </w:pPr>
          </w:p>
        </w:tc>
      </w:tr>
      <w:tr w14:paraId="642F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6F23D">
            <w:pPr>
              <w:pStyle w:val="13"/>
            </w:pPr>
            <w:r>
              <w:t>21</w:t>
            </w:r>
          </w:p>
        </w:tc>
        <w:tc>
          <w:tcPr>
            <w:tcW w:w="3402" w:type="dxa"/>
            <w:vAlign w:val="center"/>
          </w:tcPr>
          <w:p w14:paraId="3920E3E5">
            <w:pPr>
              <w:pStyle w:val="12"/>
            </w:pPr>
          </w:p>
        </w:tc>
        <w:tc>
          <w:tcPr>
            <w:tcW w:w="1474" w:type="dxa"/>
            <w:vAlign w:val="center"/>
          </w:tcPr>
          <w:p w14:paraId="449A21E4">
            <w:pPr>
              <w:pStyle w:val="11"/>
            </w:pPr>
          </w:p>
        </w:tc>
        <w:tc>
          <w:tcPr>
            <w:tcW w:w="3402" w:type="dxa"/>
            <w:vAlign w:val="center"/>
          </w:tcPr>
          <w:p w14:paraId="50405C82">
            <w:pPr>
              <w:pStyle w:val="12"/>
            </w:pPr>
            <w:r>
              <w:t>二十一、粮油物资储备支出</w:t>
            </w:r>
          </w:p>
        </w:tc>
        <w:tc>
          <w:tcPr>
            <w:tcW w:w="1474" w:type="dxa"/>
            <w:vAlign w:val="center"/>
          </w:tcPr>
          <w:p w14:paraId="2AFB95CC">
            <w:pPr>
              <w:pStyle w:val="11"/>
            </w:pPr>
          </w:p>
        </w:tc>
        <w:tc>
          <w:tcPr>
            <w:tcW w:w="1474" w:type="dxa"/>
            <w:vAlign w:val="center"/>
          </w:tcPr>
          <w:p w14:paraId="5551FAB0">
            <w:pPr>
              <w:pStyle w:val="11"/>
            </w:pPr>
          </w:p>
        </w:tc>
        <w:tc>
          <w:tcPr>
            <w:tcW w:w="1474" w:type="dxa"/>
            <w:vAlign w:val="center"/>
          </w:tcPr>
          <w:p w14:paraId="6AC78793">
            <w:pPr>
              <w:pStyle w:val="11"/>
            </w:pPr>
          </w:p>
        </w:tc>
        <w:tc>
          <w:tcPr>
            <w:tcW w:w="1474" w:type="dxa"/>
            <w:vAlign w:val="center"/>
          </w:tcPr>
          <w:p w14:paraId="5817FF9C">
            <w:pPr>
              <w:pStyle w:val="11"/>
            </w:pPr>
          </w:p>
        </w:tc>
      </w:tr>
      <w:tr w14:paraId="2ABB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8486">
            <w:pPr>
              <w:pStyle w:val="13"/>
            </w:pPr>
            <w:r>
              <w:t>22</w:t>
            </w:r>
          </w:p>
        </w:tc>
        <w:tc>
          <w:tcPr>
            <w:tcW w:w="3402" w:type="dxa"/>
            <w:vAlign w:val="center"/>
          </w:tcPr>
          <w:p w14:paraId="5F5FB23A">
            <w:pPr>
              <w:pStyle w:val="12"/>
            </w:pPr>
          </w:p>
        </w:tc>
        <w:tc>
          <w:tcPr>
            <w:tcW w:w="1474" w:type="dxa"/>
            <w:vAlign w:val="center"/>
          </w:tcPr>
          <w:p w14:paraId="3D57194D">
            <w:pPr>
              <w:pStyle w:val="11"/>
            </w:pPr>
          </w:p>
        </w:tc>
        <w:tc>
          <w:tcPr>
            <w:tcW w:w="3402" w:type="dxa"/>
            <w:vAlign w:val="center"/>
          </w:tcPr>
          <w:p w14:paraId="0D547EAD">
            <w:pPr>
              <w:pStyle w:val="12"/>
            </w:pPr>
            <w:r>
              <w:t>二十二、国有资本经营预算支出</w:t>
            </w:r>
          </w:p>
        </w:tc>
        <w:tc>
          <w:tcPr>
            <w:tcW w:w="1474" w:type="dxa"/>
            <w:vAlign w:val="center"/>
          </w:tcPr>
          <w:p w14:paraId="1D56B551">
            <w:pPr>
              <w:pStyle w:val="11"/>
            </w:pPr>
          </w:p>
        </w:tc>
        <w:tc>
          <w:tcPr>
            <w:tcW w:w="1474" w:type="dxa"/>
            <w:vAlign w:val="center"/>
          </w:tcPr>
          <w:p w14:paraId="64520DED">
            <w:pPr>
              <w:pStyle w:val="11"/>
            </w:pPr>
          </w:p>
        </w:tc>
        <w:tc>
          <w:tcPr>
            <w:tcW w:w="1474" w:type="dxa"/>
            <w:vAlign w:val="center"/>
          </w:tcPr>
          <w:p w14:paraId="29FFD5FD">
            <w:pPr>
              <w:pStyle w:val="11"/>
            </w:pPr>
          </w:p>
        </w:tc>
        <w:tc>
          <w:tcPr>
            <w:tcW w:w="1474" w:type="dxa"/>
            <w:vAlign w:val="center"/>
          </w:tcPr>
          <w:p w14:paraId="574F768D">
            <w:pPr>
              <w:pStyle w:val="11"/>
            </w:pPr>
          </w:p>
        </w:tc>
      </w:tr>
      <w:tr w14:paraId="44B1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FB160">
            <w:pPr>
              <w:pStyle w:val="13"/>
            </w:pPr>
            <w:r>
              <w:t>23</w:t>
            </w:r>
          </w:p>
        </w:tc>
        <w:tc>
          <w:tcPr>
            <w:tcW w:w="3402" w:type="dxa"/>
            <w:vAlign w:val="center"/>
          </w:tcPr>
          <w:p w14:paraId="4CD0ED32">
            <w:pPr>
              <w:pStyle w:val="12"/>
            </w:pPr>
          </w:p>
        </w:tc>
        <w:tc>
          <w:tcPr>
            <w:tcW w:w="1474" w:type="dxa"/>
            <w:vAlign w:val="center"/>
          </w:tcPr>
          <w:p w14:paraId="3EAF7B89">
            <w:pPr>
              <w:pStyle w:val="11"/>
            </w:pPr>
          </w:p>
        </w:tc>
        <w:tc>
          <w:tcPr>
            <w:tcW w:w="3402" w:type="dxa"/>
            <w:vAlign w:val="center"/>
          </w:tcPr>
          <w:p w14:paraId="1BF03CC6">
            <w:pPr>
              <w:pStyle w:val="12"/>
            </w:pPr>
            <w:r>
              <w:t>二十三、灾害防治及应急管理支出</w:t>
            </w:r>
          </w:p>
        </w:tc>
        <w:tc>
          <w:tcPr>
            <w:tcW w:w="1474" w:type="dxa"/>
            <w:vAlign w:val="center"/>
          </w:tcPr>
          <w:p w14:paraId="053156A8">
            <w:pPr>
              <w:pStyle w:val="11"/>
            </w:pPr>
          </w:p>
        </w:tc>
        <w:tc>
          <w:tcPr>
            <w:tcW w:w="1474" w:type="dxa"/>
            <w:vAlign w:val="center"/>
          </w:tcPr>
          <w:p w14:paraId="0C44840E">
            <w:pPr>
              <w:pStyle w:val="11"/>
            </w:pPr>
          </w:p>
        </w:tc>
        <w:tc>
          <w:tcPr>
            <w:tcW w:w="1474" w:type="dxa"/>
            <w:vAlign w:val="center"/>
          </w:tcPr>
          <w:p w14:paraId="2643B5C1">
            <w:pPr>
              <w:pStyle w:val="11"/>
            </w:pPr>
          </w:p>
        </w:tc>
        <w:tc>
          <w:tcPr>
            <w:tcW w:w="1474" w:type="dxa"/>
            <w:vAlign w:val="center"/>
          </w:tcPr>
          <w:p w14:paraId="63DAE66F">
            <w:pPr>
              <w:pStyle w:val="11"/>
            </w:pPr>
          </w:p>
        </w:tc>
      </w:tr>
      <w:tr w14:paraId="7555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EB8A">
            <w:pPr>
              <w:pStyle w:val="13"/>
            </w:pPr>
            <w:r>
              <w:t>24</w:t>
            </w:r>
          </w:p>
        </w:tc>
        <w:tc>
          <w:tcPr>
            <w:tcW w:w="3402" w:type="dxa"/>
            <w:vAlign w:val="center"/>
          </w:tcPr>
          <w:p w14:paraId="1845F8A3">
            <w:pPr>
              <w:pStyle w:val="12"/>
            </w:pPr>
          </w:p>
        </w:tc>
        <w:tc>
          <w:tcPr>
            <w:tcW w:w="1474" w:type="dxa"/>
            <w:vAlign w:val="center"/>
          </w:tcPr>
          <w:p w14:paraId="29B3CD25">
            <w:pPr>
              <w:pStyle w:val="11"/>
            </w:pPr>
          </w:p>
        </w:tc>
        <w:tc>
          <w:tcPr>
            <w:tcW w:w="3402" w:type="dxa"/>
            <w:vAlign w:val="center"/>
          </w:tcPr>
          <w:p w14:paraId="411FFEF5">
            <w:pPr>
              <w:pStyle w:val="12"/>
            </w:pPr>
            <w:r>
              <w:t>二十四、预备费</w:t>
            </w:r>
          </w:p>
        </w:tc>
        <w:tc>
          <w:tcPr>
            <w:tcW w:w="1474" w:type="dxa"/>
            <w:vAlign w:val="center"/>
          </w:tcPr>
          <w:p w14:paraId="4D6E0E74">
            <w:pPr>
              <w:pStyle w:val="11"/>
            </w:pPr>
          </w:p>
        </w:tc>
        <w:tc>
          <w:tcPr>
            <w:tcW w:w="1474" w:type="dxa"/>
            <w:vAlign w:val="center"/>
          </w:tcPr>
          <w:p w14:paraId="215C2668">
            <w:pPr>
              <w:pStyle w:val="11"/>
            </w:pPr>
          </w:p>
        </w:tc>
        <w:tc>
          <w:tcPr>
            <w:tcW w:w="1474" w:type="dxa"/>
            <w:vAlign w:val="center"/>
          </w:tcPr>
          <w:p w14:paraId="2047648F">
            <w:pPr>
              <w:pStyle w:val="11"/>
            </w:pPr>
          </w:p>
        </w:tc>
        <w:tc>
          <w:tcPr>
            <w:tcW w:w="1474" w:type="dxa"/>
            <w:vAlign w:val="center"/>
          </w:tcPr>
          <w:p w14:paraId="599DFBAD">
            <w:pPr>
              <w:pStyle w:val="11"/>
            </w:pPr>
          </w:p>
        </w:tc>
      </w:tr>
      <w:tr w14:paraId="78E3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19652">
            <w:pPr>
              <w:pStyle w:val="13"/>
            </w:pPr>
            <w:r>
              <w:t>25</w:t>
            </w:r>
          </w:p>
        </w:tc>
        <w:tc>
          <w:tcPr>
            <w:tcW w:w="3402" w:type="dxa"/>
            <w:vAlign w:val="center"/>
          </w:tcPr>
          <w:p w14:paraId="4A903E9E">
            <w:pPr>
              <w:pStyle w:val="12"/>
            </w:pPr>
          </w:p>
        </w:tc>
        <w:tc>
          <w:tcPr>
            <w:tcW w:w="1474" w:type="dxa"/>
            <w:vAlign w:val="center"/>
          </w:tcPr>
          <w:p w14:paraId="5E32F002">
            <w:pPr>
              <w:pStyle w:val="11"/>
            </w:pPr>
          </w:p>
        </w:tc>
        <w:tc>
          <w:tcPr>
            <w:tcW w:w="3402" w:type="dxa"/>
            <w:vAlign w:val="center"/>
          </w:tcPr>
          <w:p w14:paraId="229E4B10">
            <w:pPr>
              <w:pStyle w:val="12"/>
            </w:pPr>
            <w:r>
              <w:t>二十五、其他支出</w:t>
            </w:r>
          </w:p>
        </w:tc>
        <w:tc>
          <w:tcPr>
            <w:tcW w:w="1474" w:type="dxa"/>
            <w:vAlign w:val="center"/>
          </w:tcPr>
          <w:p w14:paraId="6BC81DC9">
            <w:pPr>
              <w:pStyle w:val="11"/>
            </w:pPr>
          </w:p>
        </w:tc>
        <w:tc>
          <w:tcPr>
            <w:tcW w:w="1474" w:type="dxa"/>
            <w:vAlign w:val="center"/>
          </w:tcPr>
          <w:p w14:paraId="0EE330E8">
            <w:pPr>
              <w:pStyle w:val="11"/>
            </w:pPr>
          </w:p>
        </w:tc>
        <w:tc>
          <w:tcPr>
            <w:tcW w:w="1474" w:type="dxa"/>
            <w:vAlign w:val="center"/>
          </w:tcPr>
          <w:p w14:paraId="61AE631D">
            <w:pPr>
              <w:pStyle w:val="11"/>
            </w:pPr>
          </w:p>
        </w:tc>
        <w:tc>
          <w:tcPr>
            <w:tcW w:w="1474" w:type="dxa"/>
            <w:vAlign w:val="center"/>
          </w:tcPr>
          <w:p w14:paraId="3C50A80C">
            <w:pPr>
              <w:pStyle w:val="11"/>
            </w:pPr>
          </w:p>
        </w:tc>
      </w:tr>
      <w:tr w14:paraId="207C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FEB05">
            <w:pPr>
              <w:pStyle w:val="13"/>
            </w:pPr>
            <w:r>
              <w:t>26</w:t>
            </w:r>
          </w:p>
        </w:tc>
        <w:tc>
          <w:tcPr>
            <w:tcW w:w="3402" w:type="dxa"/>
            <w:vAlign w:val="center"/>
          </w:tcPr>
          <w:p w14:paraId="2868BC8E">
            <w:pPr>
              <w:pStyle w:val="12"/>
            </w:pPr>
          </w:p>
        </w:tc>
        <w:tc>
          <w:tcPr>
            <w:tcW w:w="1474" w:type="dxa"/>
            <w:vAlign w:val="center"/>
          </w:tcPr>
          <w:p w14:paraId="073D5EB3">
            <w:pPr>
              <w:pStyle w:val="11"/>
            </w:pPr>
          </w:p>
        </w:tc>
        <w:tc>
          <w:tcPr>
            <w:tcW w:w="3402" w:type="dxa"/>
            <w:vAlign w:val="center"/>
          </w:tcPr>
          <w:p w14:paraId="42A48963">
            <w:pPr>
              <w:pStyle w:val="12"/>
            </w:pPr>
            <w:r>
              <w:t>二十六、转移性支出</w:t>
            </w:r>
          </w:p>
        </w:tc>
        <w:tc>
          <w:tcPr>
            <w:tcW w:w="1474" w:type="dxa"/>
            <w:vAlign w:val="center"/>
          </w:tcPr>
          <w:p w14:paraId="2F4862C2">
            <w:pPr>
              <w:pStyle w:val="11"/>
            </w:pPr>
          </w:p>
        </w:tc>
        <w:tc>
          <w:tcPr>
            <w:tcW w:w="1474" w:type="dxa"/>
            <w:vAlign w:val="center"/>
          </w:tcPr>
          <w:p w14:paraId="4DD81566">
            <w:pPr>
              <w:pStyle w:val="11"/>
            </w:pPr>
          </w:p>
        </w:tc>
        <w:tc>
          <w:tcPr>
            <w:tcW w:w="1474" w:type="dxa"/>
            <w:vAlign w:val="center"/>
          </w:tcPr>
          <w:p w14:paraId="233BF854">
            <w:pPr>
              <w:pStyle w:val="11"/>
            </w:pPr>
          </w:p>
        </w:tc>
        <w:tc>
          <w:tcPr>
            <w:tcW w:w="1474" w:type="dxa"/>
            <w:vAlign w:val="center"/>
          </w:tcPr>
          <w:p w14:paraId="1B53AB9B">
            <w:pPr>
              <w:pStyle w:val="11"/>
            </w:pPr>
          </w:p>
        </w:tc>
      </w:tr>
      <w:tr w14:paraId="4BAA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FAA34">
            <w:pPr>
              <w:pStyle w:val="13"/>
            </w:pPr>
            <w:r>
              <w:t>27</w:t>
            </w:r>
          </w:p>
        </w:tc>
        <w:tc>
          <w:tcPr>
            <w:tcW w:w="3402" w:type="dxa"/>
            <w:vAlign w:val="center"/>
          </w:tcPr>
          <w:p w14:paraId="0495DE35">
            <w:pPr>
              <w:pStyle w:val="12"/>
            </w:pPr>
          </w:p>
        </w:tc>
        <w:tc>
          <w:tcPr>
            <w:tcW w:w="1474" w:type="dxa"/>
            <w:vAlign w:val="center"/>
          </w:tcPr>
          <w:p w14:paraId="1E4D40D2">
            <w:pPr>
              <w:pStyle w:val="11"/>
            </w:pPr>
          </w:p>
        </w:tc>
        <w:tc>
          <w:tcPr>
            <w:tcW w:w="3402" w:type="dxa"/>
            <w:vAlign w:val="center"/>
          </w:tcPr>
          <w:p w14:paraId="4B61DCAF">
            <w:pPr>
              <w:pStyle w:val="12"/>
            </w:pPr>
            <w:r>
              <w:t>二十七、债务还本支出</w:t>
            </w:r>
          </w:p>
        </w:tc>
        <w:tc>
          <w:tcPr>
            <w:tcW w:w="1474" w:type="dxa"/>
            <w:vAlign w:val="center"/>
          </w:tcPr>
          <w:p w14:paraId="1F35D097">
            <w:pPr>
              <w:pStyle w:val="11"/>
            </w:pPr>
          </w:p>
        </w:tc>
        <w:tc>
          <w:tcPr>
            <w:tcW w:w="1474" w:type="dxa"/>
            <w:vAlign w:val="center"/>
          </w:tcPr>
          <w:p w14:paraId="197E67FE">
            <w:pPr>
              <w:pStyle w:val="11"/>
            </w:pPr>
          </w:p>
        </w:tc>
        <w:tc>
          <w:tcPr>
            <w:tcW w:w="1474" w:type="dxa"/>
            <w:vAlign w:val="center"/>
          </w:tcPr>
          <w:p w14:paraId="31FAD7FB">
            <w:pPr>
              <w:pStyle w:val="11"/>
            </w:pPr>
          </w:p>
        </w:tc>
        <w:tc>
          <w:tcPr>
            <w:tcW w:w="1474" w:type="dxa"/>
            <w:vAlign w:val="center"/>
          </w:tcPr>
          <w:p w14:paraId="4B4852D1">
            <w:pPr>
              <w:pStyle w:val="11"/>
            </w:pPr>
          </w:p>
        </w:tc>
      </w:tr>
      <w:tr w14:paraId="719F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F4CF">
            <w:pPr>
              <w:pStyle w:val="13"/>
            </w:pPr>
            <w:r>
              <w:t>28</w:t>
            </w:r>
          </w:p>
        </w:tc>
        <w:tc>
          <w:tcPr>
            <w:tcW w:w="3402" w:type="dxa"/>
            <w:vAlign w:val="center"/>
          </w:tcPr>
          <w:p w14:paraId="19CB288F">
            <w:pPr>
              <w:pStyle w:val="12"/>
            </w:pPr>
          </w:p>
        </w:tc>
        <w:tc>
          <w:tcPr>
            <w:tcW w:w="1474" w:type="dxa"/>
            <w:vAlign w:val="center"/>
          </w:tcPr>
          <w:p w14:paraId="36E78028">
            <w:pPr>
              <w:pStyle w:val="11"/>
            </w:pPr>
          </w:p>
        </w:tc>
        <w:tc>
          <w:tcPr>
            <w:tcW w:w="3402" w:type="dxa"/>
            <w:vAlign w:val="center"/>
          </w:tcPr>
          <w:p w14:paraId="45037FC3">
            <w:pPr>
              <w:pStyle w:val="12"/>
            </w:pPr>
            <w:r>
              <w:t>二十八、债务付息支出</w:t>
            </w:r>
          </w:p>
        </w:tc>
        <w:tc>
          <w:tcPr>
            <w:tcW w:w="1474" w:type="dxa"/>
            <w:vAlign w:val="center"/>
          </w:tcPr>
          <w:p w14:paraId="719E225B">
            <w:pPr>
              <w:pStyle w:val="11"/>
            </w:pPr>
          </w:p>
        </w:tc>
        <w:tc>
          <w:tcPr>
            <w:tcW w:w="1474" w:type="dxa"/>
            <w:vAlign w:val="center"/>
          </w:tcPr>
          <w:p w14:paraId="50E136F1">
            <w:pPr>
              <w:pStyle w:val="11"/>
            </w:pPr>
          </w:p>
        </w:tc>
        <w:tc>
          <w:tcPr>
            <w:tcW w:w="1474" w:type="dxa"/>
            <w:vAlign w:val="center"/>
          </w:tcPr>
          <w:p w14:paraId="6074FAA2">
            <w:pPr>
              <w:pStyle w:val="11"/>
            </w:pPr>
          </w:p>
        </w:tc>
        <w:tc>
          <w:tcPr>
            <w:tcW w:w="1474" w:type="dxa"/>
            <w:vAlign w:val="center"/>
          </w:tcPr>
          <w:p w14:paraId="4A2B4BFC">
            <w:pPr>
              <w:pStyle w:val="11"/>
            </w:pPr>
          </w:p>
        </w:tc>
      </w:tr>
      <w:tr w14:paraId="70CA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70BB1">
            <w:pPr>
              <w:pStyle w:val="13"/>
            </w:pPr>
            <w:r>
              <w:t>29</w:t>
            </w:r>
          </w:p>
        </w:tc>
        <w:tc>
          <w:tcPr>
            <w:tcW w:w="3402" w:type="dxa"/>
            <w:vAlign w:val="center"/>
          </w:tcPr>
          <w:p w14:paraId="02F93948">
            <w:pPr>
              <w:pStyle w:val="12"/>
            </w:pPr>
          </w:p>
        </w:tc>
        <w:tc>
          <w:tcPr>
            <w:tcW w:w="1474" w:type="dxa"/>
            <w:vAlign w:val="center"/>
          </w:tcPr>
          <w:p w14:paraId="4A77775F">
            <w:pPr>
              <w:pStyle w:val="11"/>
            </w:pPr>
          </w:p>
        </w:tc>
        <w:tc>
          <w:tcPr>
            <w:tcW w:w="3402" w:type="dxa"/>
            <w:vAlign w:val="center"/>
          </w:tcPr>
          <w:p w14:paraId="0D38033C">
            <w:pPr>
              <w:pStyle w:val="12"/>
            </w:pPr>
            <w:r>
              <w:t>二十九、债务发行费用支出</w:t>
            </w:r>
          </w:p>
        </w:tc>
        <w:tc>
          <w:tcPr>
            <w:tcW w:w="1474" w:type="dxa"/>
            <w:vAlign w:val="center"/>
          </w:tcPr>
          <w:p w14:paraId="4B539B74">
            <w:pPr>
              <w:pStyle w:val="11"/>
            </w:pPr>
          </w:p>
        </w:tc>
        <w:tc>
          <w:tcPr>
            <w:tcW w:w="1474" w:type="dxa"/>
            <w:vAlign w:val="center"/>
          </w:tcPr>
          <w:p w14:paraId="53F2BB7A">
            <w:pPr>
              <w:pStyle w:val="11"/>
            </w:pPr>
          </w:p>
        </w:tc>
        <w:tc>
          <w:tcPr>
            <w:tcW w:w="1474" w:type="dxa"/>
            <w:vAlign w:val="center"/>
          </w:tcPr>
          <w:p w14:paraId="5CB78F5F">
            <w:pPr>
              <w:pStyle w:val="11"/>
            </w:pPr>
          </w:p>
        </w:tc>
        <w:tc>
          <w:tcPr>
            <w:tcW w:w="1474" w:type="dxa"/>
            <w:vAlign w:val="center"/>
          </w:tcPr>
          <w:p w14:paraId="6416E391">
            <w:pPr>
              <w:pStyle w:val="11"/>
            </w:pPr>
          </w:p>
        </w:tc>
      </w:tr>
      <w:tr w14:paraId="1596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3127A">
            <w:pPr>
              <w:pStyle w:val="13"/>
            </w:pPr>
            <w:r>
              <w:t>30</w:t>
            </w:r>
          </w:p>
        </w:tc>
        <w:tc>
          <w:tcPr>
            <w:tcW w:w="3402" w:type="dxa"/>
            <w:vAlign w:val="center"/>
          </w:tcPr>
          <w:p w14:paraId="4776E6C7">
            <w:pPr>
              <w:pStyle w:val="12"/>
            </w:pPr>
          </w:p>
        </w:tc>
        <w:tc>
          <w:tcPr>
            <w:tcW w:w="1474" w:type="dxa"/>
            <w:vAlign w:val="center"/>
          </w:tcPr>
          <w:p w14:paraId="33005938">
            <w:pPr>
              <w:pStyle w:val="11"/>
            </w:pPr>
          </w:p>
        </w:tc>
        <w:tc>
          <w:tcPr>
            <w:tcW w:w="3402" w:type="dxa"/>
            <w:vAlign w:val="center"/>
          </w:tcPr>
          <w:p w14:paraId="6C3C5165">
            <w:pPr>
              <w:pStyle w:val="12"/>
            </w:pPr>
            <w:r>
              <w:t>三十、抗疫特别国债安排的支出</w:t>
            </w:r>
          </w:p>
        </w:tc>
        <w:tc>
          <w:tcPr>
            <w:tcW w:w="1474" w:type="dxa"/>
            <w:vAlign w:val="center"/>
          </w:tcPr>
          <w:p w14:paraId="59036146">
            <w:pPr>
              <w:pStyle w:val="11"/>
            </w:pPr>
          </w:p>
        </w:tc>
        <w:tc>
          <w:tcPr>
            <w:tcW w:w="1474" w:type="dxa"/>
            <w:vAlign w:val="center"/>
          </w:tcPr>
          <w:p w14:paraId="06F4BA6D">
            <w:pPr>
              <w:pStyle w:val="11"/>
            </w:pPr>
          </w:p>
        </w:tc>
        <w:tc>
          <w:tcPr>
            <w:tcW w:w="1474" w:type="dxa"/>
            <w:vAlign w:val="center"/>
          </w:tcPr>
          <w:p w14:paraId="724F3BDF">
            <w:pPr>
              <w:pStyle w:val="11"/>
            </w:pPr>
          </w:p>
        </w:tc>
        <w:tc>
          <w:tcPr>
            <w:tcW w:w="1474" w:type="dxa"/>
            <w:vAlign w:val="center"/>
          </w:tcPr>
          <w:p w14:paraId="11149C71">
            <w:pPr>
              <w:pStyle w:val="11"/>
            </w:pPr>
          </w:p>
        </w:tc>
      </w:tr>
      <w:tr w14:paraId="268E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9A6E">
            <w:pPr>
              <w:pStyle w:val="13"/>
            </w:pPr>
            <w:r>
              <w:t>31</w:t>
            </w:r>
          </w:p>
        </w:tc>
        <w:tc>
          <w:tcPr>
            <w:tcW w:w="3402" w:type="dxa"/>
            <w:vAlign w:val="center"/>
          </w:tcPr>
          <w:p w14:paraId="7674194A">
            <w:pPr>
              <w:pStyle w:val="12"/>
            </w:pPr>
          </w:p>
        </w:tc>
        <w:tc>
          <w:tcPr>
            <w:tcW w:w="1474" w:type="dxa"/>
            <w:vAlign w:val="center"/>
          </w:tcPr>
          <w:p w14:paraId="21CCEBA3">
            <w:pPr>
              <w:pStyle w:val="11"/>
            </w:pPr>
          </w:p>
        </w:tc>
        <w:tc>
          <w:tcPr>
            <w:tcW w:w="3402" w:type="dxa"/>
            <w:vAlign w:val="center"/>
          </w:tcPr>
          <w:p w14:paraId="2A864DBD">
            <w:pPr>
              <w:pStyle w:val="12"/>
            </w:pPr>
            <w:r>
              <w:t>三十一、人行科目</w:t>
            </w:r>
          </w:p>
        </w:tc>
        <w:tc>
          <w:tcPr>
            <w:tcW w:w="1474" w:type="dxa"/>
            <w:vAlign w:val="center"/>
          </w:tcPr>
          <w:p w14:paraId="27028275">
            <w:pPr>
              <w:pStyle w:val="11"/>
            </w:pPr>
          </w:p>
        </w:tc>
        <w:tc>
          <w:tcPr>
            <w:tcW w:w="1474" w:type="dxa"/>
            <w:vAlign w:val="center"/>
          </w:tcPr>
          <w:p w14:paraId="3729A7DD">
            <w:pPr>
              <w:pStyle w:val="11"/>
            </w:pPr>
          </w:p>
        </w:tc>
        <w:tc>
          <w:tcPr>
            <w:tcW w:w="1474" w:type="dxa"/>
            <w:vAlign w:val="center"/>
          </w:tcPr>
          <w:p w14:paraId="41DC156A">
            <w:pPr>
              <w:pStyle w:val="11"/>
            </w:pPr>
          </w:p>
        </w:tc>
        <w:tc>
          <w:tcPr>
            <w:tcW w:w="1474" w:type="dxa"/>
            <w:vAlign w:val="center"/>
          </w:tcPr>
          <w:p w14:paraId="4ACDC1D7">
            <w:pPr>
              <w:pStyle w:val="11"/>
            </w:pPr>
          </w:p>
        </w:tc>
      </w:tr>
      <w:tr w14:paraId="4B3D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AA66E">
            <w:pPr>
              <w:pStyle w:val="13"/>
            </w:pPr>
            <w:r>
              <w:t>32</w:t>
            </w:r>
          </w:p>
        </w:tc>
        <w:tc>
          <w:tcPr>
            <w:tcW w:w="3402" w:type="dxa"/>
            <w:vAlign w:val="center"/>
          </w:tcPr>
          <w:p w14:paraId="4E6C5854">
            <w:pPr>
              <w:pStyle w:val="14"/>
            </w:pPr>
            <w:r>
              <w:t>本年收入合计</w:t>
            </w:r>
          </w:p>
        </w:tc>
        <w:tc>
          <w:tcPr>
            <w:tcW w:w="1474" w:type="dxa"/>
            <w:vAlign w:val="center"/>
          </w:tcPr>
          <w:p w14:paraId="292F3CBB">
            <w:pPr>
              <w:pStyle w:val="15"/>
            </w:pPr>
            <w:r>
              <w:t>1251.78</w:t>
            </w:r>
          </w:p>
        </w:tc>
        <w:tc>
          <w:tcPr>
            <w:tcW w:w="3402" w:type="dxa"/>
            <w:vAlign w:val="center"/>
          </w:tcPr>
          <w:p w14:paraId="25EB3A4C">
            <w:pPr>
              <w:pStyle w:val="14"/>
            </w:pPr>
            <w:r>
              <w:t>本年支出合计</w:t>
            </w:r>
          </w:p>
        </w:tc>
        <w:tc>
          <w:tcPr>
            <w:tcW w:w="1474" w:type="dxa"/>
            <w:vAlign w:val="center"/>
          </w:tcPr>
          <w:p w14:paraId="32425EF0">
            <w:pPr>
              <w:pStyle w:val="15"/>
            </w:pPr>
            <w:r>
              <w:t>1251.78</w:t>
            </w:r>
          </w:p>
        </w:tc>
        <w:tc>
          <w:tcPr>
            <w:tcW w:w="1474" w:type="dxa"/>
            <w:vAlign w:val="center"/>
          </w:tcPr>
          <w:p w14:paraId="0DE3FAB7">
            <w:pPr>
              <w:pStyle w:val="15"/>
            </w:pPr>
            <w:r>
              <w:t>1251.78</w:t>
            </w:r>
          </w:p>
        </w:tc>
        <w:tc>
          <w:tcPr>
            <w:tcW w:w="1474" w:type="dxa"/>
            <w:vAlign w:val="center"/>
          </w:tcPr>
          <w:p w14:paraId="262A1889">
            <w:pPr>
              <w:pStyle w:val="15"/>
            </w:pPr>
          </w:p>
        </w:tc>
        <w:tc>
          <w:tcPr>
            <w:tcW w:w="1474" w:type="dxa"/>
            <w:vAlign w:val="center"/>
          </w:tcPr>
          <w:p w14:paraId="49352C22">
            <w:pPr>
              <w:pStyle w:val="15"/>
            </w:pPr>
          </w:p>
        </w:tc>
      </w:tr>
      <w:tr w14:paraId="6A19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409E0">
            <w:pPr>
              <w:pStyle w:val="13"/>
            </w:pPr>
            <w:r>
              <w:t>33</w:t>
            </w:r>
          </w:p>
        </w:tc>
        <w:tc>
          <w:tcPr>
            <w:tcW w:w="3402" w:type="dxa"/>
            <w:vAlign w:val="center"/>
          </w:tcPr>
          <w:p w14:paraId="3E353BDB">
            <w:pPr>
              <w:pStyle w:val="12"/>
            </w:pPr>
            <w:r>
              <w:t>年初财政拨款结转和结余</w:t>
            </w:r>
          </w:p>
        </w:tc>
        <w:tc>
          <w:tcPr>
            <w:tcW w:w="1474" w:type="dxa"/>
            <w:vAlign w:val="center"/>
          </w:tcPr>
          <w:p w14:paraId="0BA1703E">
            <w:pPr>
              <w:pStyle w:val="11"/>
            </w:pPr>
          </w:p>
        </w:tc>
        <w:tc>
          <w:tcPr>
            <w:tcW w:w="3402" w:type="dxa"/>
            <w:vAlign w:val="center"/>
          </w:tcPr>
          <w:p w14:paraId="5888C8B9">
            <w:pPr>
              <w:pStyle w:val="12"/>
            </w:pPr>
            <w:r>
              <w:t>年末财政拨款结转和结余</w:t>
            </w:r>
          </w:p>
        </w:tc>
        <w:tc>
          <w:tcPr>
            <w:tcW w:w="1474" w:type="dxa"/>
            <w:vAlign w:val="center"/>
          </w:tcPr>
          <w:p w14:paraId="01FD50D2">
            <w:pPr>
              <w:pStyle w:val="11"/>
            </w:pPr>
          </w:p>
        </w:tc>
        <w:tc>
          <w:tcPr>
            <w:tcW w:w="1474" w:type="dxa"/>
            <w:vAlign w:val="center"/>
          </w:tcPr>
          <w:p w14:paraId="0FE4C6EF">
            <w:pPr>
              <w:pStyle w:val="11"/>
            </w:pPr>
          </w:p>
        </w:tc>
        <w:tc>
          <w:tcPr>
            <w:tcW w:w="1474" w:type="dxa"/>
            <w:vAlign w:val="center"/>
          </w:tcPr>
          <w:p w14:paraId="1EF6D721">
            <w:pPr>
              <w:pStyle w:val="11"/>
            </w:pPr>
          </w:p>
        </w:tc>
        <w:tc>
          <w:tcPr>
            <w:tcW w:w="1474" w:type="dxa"/>
            <w:vAlign w:val="center"/>
          </w:tcPr>
          <w:p w14:paraId="43AE2D5A">
            <w:pPr>
              <w:pStyle w:val="11"/>
            </w:pPr>
          </w:p>
        </w:tc>
      </w:tr>
      <w:tr w14:paraId="1BA3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EDA9">
            <w:pPr>
              <w:pStyle w:val="13"/>
            </w:pPr>
            <w:r>
              <w:t>34</w:t>
            </w:r>
          </w:p>
        </w:tc>
        <w:tc>
          <w:tcPr>
            <w:tcW w:w="3402" w:type="dxa"/>
            <w:vAlign w:val="center"/>
          </w:tcPr>
          <w:p w14:paraId="0DD3630E">
            <w:pPr>
              <w:pStyle w:val="12"/>
            </w:pPr>
            <w:r>
              <w:t>一、一般公共预算拨款</w:t>
            </w:r>
          </w:p>
        </w:tc>
        <w:tc>
          <w:tcPr>
            <w:tcW w:w="1474" w:type="dxa"/>
            <w:vAlign w:val="center"/>
          </w:tcPr>
          <w:p w14:paraId="55C5364C">
            <w:pPr>
              <w:pStyle w:val="11"/>
            </w:pPr>
          </w:p>
        </w:tc>
        <w:tc>
          <w:tcPr>
            <w:tcW w:w="3402" w:type="dxa"/>
            <w:vAlign w:val="center"/>
          </w:tcPr>
          <w:p w14:paraId="258777D7">
            <w:pPr>
              <w:pStyle w:val="12"/>
            </w:pPr>
          </w:p>
        </w:tc>
        <w:tc>
          <w:tcPr>
            <w:tcW w:w="1474" w:type="dxa"/>
            <w:vAlign w:val="center"/>
          </w:tcPr>
          <w:p w14:paraId="3FDE03D9">
            <w:pPr>
              <w:pStyle w:val="11"/>
            </w:pPr>
          </w:p>
        </w:tc>
        <w:tc>
          <w:tcPr>
            <w:tcW w:w="1474" w:type="dxa"/>
            <w:vAlign w:val="center"/>
          </w:tcPr>
          <w:p w14:paraId="005E0423">
            <w:pPr>
              <w:pStyle w:val="11"/>
            </w:pPr>
          </w:p>
        </w:tc>
        <w:tc>
          <w:tcPr>
            <w:tcW w:w="1474" w:type="dxa"/>
            <w:vAlign w:val="center"/>
          </w:tcPr>
          <w:p w14:paraId="0B80AD8F">
            <w:pPr>
              <w:pStyle w:val="11"/>
            </w:pPr>
          </w:p>
        </w:tc>
        <w:tc>
          <w:tcPr>
            <w:tcW w:w="1474" w:type="dxa"/>
            <w:vAlign w:val="center"/>
          </w:tcPr>
          <w:p w14:paraId="62481CD4">
            <w:pPr>
              <w:pStyle w:val="11"/>
            </w:pPr>
          </w:p>
        </w:tc>
      </w:tr>
      <w:tr w14:paraId="7305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F795">
            <w:pPr>
              <w:pStyle w:val="13"/>
            </w:pPr>
            <w:r>
              <w:t>35</w:t>
            </w:r>
          </w:p>
        </w:tc>
        <w:tc>
          <w:tcPr>
            <w:tcW w:w="3402" w:type="dxa"/>
            <w:vAlign w:val="center"/>
          </w:tcPr>
          <w:p w14:paraId="29FCD80A">
            <w:pPr>
              <w:pStyle w:val="12"/>
            </w:pPr>
            <w:r>
              <w:t>二、政府性基金预算拨款</w:t>
            </w:r>
          </w:p>
        </w:tc>
        <w:tc>
          <w:tcPr>
            <w:tcW w:w="1474" w:type="dxa"/>
            <w:vAlign w:val="center"/>
          </w:tcPr>
          <w:p w14:paraId="74018015">
            <w:pPr>
              <w:pStyle w:val="11"/>
            </w:pPr>
          </w:p>
        </w:tc>
        <w:tc>
          <w:tcPr>
            <w:tcW w:w="3402" w:type="dxa"/>
            <w:vAlign w:val="center"/>
          </w:tcPr>
          <w:p w14:paraId="0511059B">
            <w:pPr>
              <w:pStyle w:val="12"/>
            </w:pPr>
          </w:p>
        </w:tc>
        <w:tc>
          <w:tcPr>
            <w:tcW w:w="1474" w:type="dxa"/>
            <w:vAlign w:val="center"/>
          </w:tcPr>
          <w:p w14:paraId="4538E631">
            <w:pPr>
              <w:pStyle w:val="11"/>
            </w:pPr>
          </w:p>
        </w:tc>
        <w:tc>
          <w:tcPr>
            <w:tcW w:w="1474" w:type="dxa"/>
            <w:vAlign w:val="center"/>
          </w:tcPr>
          <w:p w14:paraId="03733B48">
            <w:pPr>
              <w:pStyle w:val="11"/>
            </w:pPr>
          </w:p>
        </w:tc>
        <w:tc>
          <w:tcPr>
            <w:tcW w:w="1474" w:type="dxa"/>
            <w:vAlign w:val="center"/>
          </w:tcPr>
          <w:p w14:paraId="0A11ED15">
            <w:pPr>
              <w:pStyle w:val="11"/>
            </w:pPr>
          </w:p>
        </w:tc>
        <w:tc>
          <w:tcPr>
            <w:tcW w:w="1474" w:type="dxa"/>
            <w:vAlign w:val="center"/>
          </w:tcPr>
          <w:p w14:paraId="1EEC4077">
            <w:pPr>
              <w:pStyle w:val="11"/>
            </w:pPr>
          </w:p>
        </w:tc>
      </w:tr>
      <w:tr w14:paraId="0990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9D544">
            <w:pPr>
              <w:pStyle w:val="13"/>
            </w:pPr>
            <w:r>
              <w:t>36</w:t>
            </w:r>
          </w:p>
        </w:tc>
        <w:tc>
          <w:tcPr>
            <w:tcW w:w="3402" w:type="dxa"/>
            <w:vAlign w:val="center"/>
          </w:tcPr>
          <w:p w14:paraId="4F87E4E9">
            <w:pPr>
              <w:pStyle w:val="12"/>
            </w:pPr>
            <w:r>
              <w:t>三、国有资本经营预算拨款</w:t>
            </w:r>
          </w:p>
        </w:tc>
        <w:tc>
          <w:tcPr>
            <w:tcW w:w="1474" w:type="dxa"/>
            <w:vAlign w:val="center"/>
          </w:tcPr>
          <w:p w14:paraId="216E851A">
            <w:pPr>
              <w:pStyle w:val="11"/>
            </w:pPr>
          </w:p>
        </w:tc>
        <w:tc>
          <w:tcPr>
            <w:tcW w:w="3402" w:type="dxa"/>
            <w:vAlign w:val="center"/>
          </w:tcPr>
          <w:p w14:paraId="6CBA821F">
            <w:pPr>
              <w:pStyle w:val="12"/>
            </w:pPr>
          </w:p>
        </w:tc>
        <w:tc>
          <w:tcPr>
            <w:tcW w:w="1474" w:type="dxa"/>
            <w:vAlign w:val="center"/>
          </w:tcPr>
          <w:p w14:paraId="0FEC6DF5">
            <w:pPr>
              <w:pStyle w:val="11"/>
            </w:pPr>
          </w:p>
        </w:tc>
        <w:tc>
          <w:tcPr>
            <w:tcW w:w="1474" w:type="dxa"/>
            <w:vAlign w:val="center"/>
          </w:tcPr>
          <w:p w14:paraId="6EC5B052">
            <w:pPr>
              <w:pStyle w:val="11"/>
            </w:pPr>
          </w:p>
        </w:tc>
        <w:tc>
          <w:tcPr>
            <w:tcW w:w="1474" w:type="dxa"/>
            <w:vAlign w:val="center"/>
          </w:tcPr>
          <w:p w14:paraId="519CAD60">
            <w:pPr>
              <w:pStyle w:val="11"/>
            </w:pPr>
          </w:p>
        </w:tc>
        <w:tc>
          <w:tcPr>
            <w:tcW w:w="1474" w:type="dxa"/>
            <w:vAlign w:val="center"/>
          </w:tcPr>
          <w:p w14:paraId="287A7197">
            <w:pPr>
              <w:pStyle w:val="11"/>
            </w:pPr>
          </w:p>
        </w:tc>
      </w:tr>
      <w:tr w14:paraId="04BE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1E1AE">
            <w:pPr>
              <w:pStyle w:val="13"/>
            </w:pPr>
            <w:r>
              <w:t>37</w:t>
            </w:r>
          </w:p>
        </w:tc>
        <w:tc>
          <w:tcPr>
            <w:tcW w:w="3402" w:type="dxa"/>
            <w:vAlign w:val="center"/>
          </w:tcPr>
          <w:p w14:paraId="043E1372">
            <w:pPr>
              <w:pStyle w:val="14"/>
            </w:pPr>
            <w:r>
              <w:t>收入总计</w:t>
            </w:r>
          </w:p>
        </w:tc>
        <w:tc>
          <w:tcPr>
            <w:tcW w:w="1474" w:type="dxa"/>
            <w:vAlign w:val="center"/>
          </w:tcPr>
          <w:p w14:paraId="44FAF1DF">
            <w:pPr>
              <w:pStyle w:val="15"/>
            </w:pPr>
            <w:r>
              <w:t>1251.78</w:t>
            </w:r>
          </w:p>
        </w:tc>
        <w:tc>
          <w:tcPr>
            <w:tcW w:w="3402" w:type="dxa"/>
            <w:vAlign w:val="center"/>
          </w:tcPr>
          <w:p w14:paraId="7B4B4F9E">
            <w:pPr>
              <w:pStyle w:val="14"/>
            </w:pPr>
            <w:r>
              <w:t>支出总计</w:t>
            </w:r>
          </w:p>
        </w:tc>
        <w:tc>
          <w:tcPr>
            <w:tcW w:w="1474" w:type="dxa"/>
            <w:vAlign w:val="center"/>
          </w:tcPr>
          <w:p w14:paraId="7BB73D17">
            <w:pPr>
              <w:pStyle w:val="15"/>
            </w:pPr>
            <w:r>
              <w:t>1251.78</w:t>
            </w:r>
          </w:p>
        </w:tc>
        <w:tc>
          <w:tcPr>
            <w:tcW w:w="1474" w:type="dxa"/>
            <w:vAlign w:val="center"/>
          </w:tcPr>
          <w:p w14:paraId="6F8D7C7F">
            <w:pPr>
              <w:pStyle w:val="15"/>
            </w:pPr>
            <w:r>
              <w:t>1251.78</w:t>
            </w:r>
          </w:p>
        </w:tc>
        <w:tc>
          <w:tcPr>
            <w:tcW w:w="1474" w:type="dxa"/>
            <w:vAlign w:val="center"/>
          </w:tcPr>
          <w:p w14:paraId="7A5A50D6">
            <w:pPr>
              <w:pStyle w:val="15"/>
            </w:pPr>
          </w:p>
        </w:tc>
        <w:tc>
          <w:tcPr>
            <w:tcW w:w="1474" w:type="dxa"/>
            <w:vAlign w:val="center"/>
          </w:tcPr>
          <w:p w14:paraId="7A81FA53">
            <w:pPr>
              <w:pStyle w:val="15"/>
            </w:pPr>
          </w:p>
        </w:tc>
      </w:tr>
    </w:tbl>
    <w:p w14:paraId="15980D04">
      <w:pPr>
        <w:sectPr>
          <w:pgSz w:w="16840" w:h="11900" w:orient="landscape"/>
          <w:pgMar w:top="1361" w:right="1020" w:bottom="1134" w:left="1020" w:header="720" w:footer="720" w:gutter="0"/>
          <w:cols w:space="720" w:num="1"/>
        </w:sectPr>
      </w:pPr>
    </w:p>
    <w:p w14:paraId="55CE68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D6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FCD24C">
            <w:pPr>
              <w:pStyle w:val="9"/>
            </w:pPr>
            <w:r>
              <w:t>360009河北省隆尧县滏阳中学</w:t>
            </w:r>
          </w:p>
        </w:tc>
        <w:tc>
          <w:tcPr>
            <w:tcW w:w="2551" w:type="dxa"/>
            <w:tcBorders>
              <w:top w:val="single" w:color="FFFFFF" w:sz="6" w:space="0"/>
              <w:left w:val="single" w:color="FFFFFF" w:sz="6" w:space="0"/>
              <w:right w:val="single" w:color="FFFFFF" w:sz="6" w:space="0"/>
            </w:tcBorders>
            <w:vAlign w:val="center"/>
          </w:tcPr>
          <w:p w14:paraId="62FF91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5AEA51">
            <w:pPr>
              <w:pStyle w:val="7"/>
            </w:pPr>
            <w:r>
              <w:t>单位：万元</w:t>
            </w:r>
          </w:p>
        </w:tc>
      </w:tr>
      <w:tr w14:paraId="60AB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59014">
            <w:pPr>
              <w:pStyle w:val="10"/>
            </w:pPr>
            <w:r>
              <w:t>序号</w:t>
            </w:r>
          </w:p>
        </w:tc>
        <w:tc>
          <w:tcPr>
            <w:tcW w:w="5726" w:type="dxa"/>
            <w:gridSpan w:val="2"/>
            <w:vAlign w:val="center"/>
          </w:tcPr>
          <w:p w14:paraId="3C28633A">
            <w:pPr>
              <w:pStyle w:val="10"/>
            </w:pPr>
            <w:r>
              <w:t>功能分类科目</w:t>
            </w:r>
          </w:p>
        </w:tc>
        <w:tc>
          <w:tcPr>
            <w:tcW w:w="2551" w:type="dxa"/>
            <w:vMerge w:val="restart"/>
            <w:vAlign w:val="center"/>
          </w:tcPr>
          <w:p w14:paraId="1D427E36">
            <w:pPr>
              <w:pStyle w:val="10"/>
            </w:pPr>
            <w:r>
              <w:t>合计</w:t>
            </w:r>
          </w:p>
        </w:tc>
        <w:tc>
          <w:tcPr>
            <w:tcW w:w="2551" w:type="dxa"/>
            <w:vMerge w:val="restart"/>
            <w:vAlign w:val="center"/>
          </w:tcPr>
          <w:p w14:paraId="37F9D7DC">
            <w:pPr>
              <w:pStyle w:val="10"/>
            </w:pPr>
            <w:r>
              <w:t>基本支出</w:t>
            </w:r>
          </w:p>
        </w:tc>
        <w:tc>
          <w:tcPr>
            <w:tcW w:w="2551" w:type="dxa"/>
            <w:vMerge w:val="restart"/>
            <w:vAlign w:val="center"/>
          </w:tcPr>
          <w:p w14:paraId="0B87989A">
            <w:pPr>
              <w:pStyle w:val="10"/>
            </w:pPr>
            <w:r>
              <w:t>项目支出</w:t>
            </w:r>
          </w:p>
        </w:tc>
      </w:tr>
      <w:tr w14:paraId="064F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D6D24B"/>
        </w:tc>
        <w:tc>
          <w:tcPr>
            <w:tcW w:w="1191" w:type="dxa"/>
            <w:vAlign w:val="center"/>
          </w:tcPr>
          <w:p w14:paraId="57449815">
            <w:pPr>
              <w:pStyle w:val="10"/>
            </w:pPr>
            <w:r>
              <w:t>科目编码</w:t>
            </w:r>
          </w:p>
        </w:tc>
        <w:tc>
          <w:tcPr>
            <w:tcW w:w="4535" w:type="dxa"/>
            <w:vAlign w:val="center"/>
          </w:tcPr>
          <w:p w14:paraId="41826534">
            <w:pPr>
              <w:pStyle w:val="10"/>
            </w:pPr>
            <w:r>
              <w:t>科目名称</w:t>
            </w:r>
          </w:p>
        </w:tc>
        <w:tc>
          <w:tcPr>
            <w:tcW w:w="2551" w:type="dxa"/>
            <w:vMerge w:val="continue"/>
          </w:tcPr>
          <w:p w14:paraId="0480E3CB"/>
        </w:tc>
        <w:tc>
          <w:tcPr>
            <w:tcW w:w="2551" w:type="dxa"/>
            <w:vMerge w:val="continue"/>
          </w:tcPr>
          <w:p w14:paraId="56586714"/>
        </w:tc>
        <w:tc>
          <w:tcPr>
            <w:tcW w:w="2551" w:type="dxa"/>
            <w:vMerge w:val="continue"/>
          </w:tcPr>
          <w:p w14:paraId="2E9545D1"/>
        </w:tc>
      </w:tr>
      <w:tr w14:paraId="3DBB2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67E13E">
            <w:pPr>
              <w:pStyle w:val="10"/>
            </w:pPr>
            <w:r>
              <w:t>栏次</w:t>
            </w:r>
          </w:p>
        </w:tc>
        <w:tc>
          <w:tcPr>
            <w:tcW w:w="1191" w:type="dxa"/>
            <w:vAlign w:val="center"/>
          </w:tcPr>
          <w:p w14:paraId="4C34B3A8">
            <w:pPr>
              <w:pStyle w:val="10"/>
            </w:pPr>
            <w:r>
              <w:t>1</w:t>
            </w:r>
          </w:p>
        </w:tc>
        <w:tc>
          <w:tcPr>
            <w:tcW w:w="4535" w:type="dxa"/>
            <w:vAlign w:val="center"/>
          </w:tcPr>
          <w:p w14:paraId="48DA7AE0">
            <w:pPr>
              <w:pStyle w:val="10"/>
            </w:pPr>
            <w:r>
              <w:t>2</w:t>
            </w:r>
          </w:p>
        </w:tc>
        <w:tc>
          <w:tcPr>
            <w:tcW w:w="2551" w:type="dxa"/>
            <w:vAlign w:val="center"/>
          </w:tcPr>
          <w:p w14:paraId="7FB6CF91">
            <w:pPr>
              <w:pStyle w:val="10"/>
            </w:pPr>
            <w:r>
              <w:t>3</w:t>
            </w:r>
          </w:p>
        </w:tc>
        <w:tc>
          <w:tcPr>
            <w:tcW w:w="2551" w:type="dxa"/>
            <w:vAlign w:val="center"/>
          </w:tcPr>
          <w:p w14:paraId="7DC7B049">
            <w:pPr>
              <w:pStyle w:val="10"/>
            </w:pPr>
            <w:r>
              <w:t>4</w:t>
            </w:r>
          </w:p>
        </w:tc>
        <w:tc>
          <w:tcPr>
            <w:tcW w:w="2551" w:type="dxa"/>
            <w:vAlign w:val="center"/>
          </w:tcPr>
          <w:p w14:paraId="1FF79696">
            <w:pPr>
              <w:pStyle w:val="10"/>
            </w:pPr>
            <w:r>
              <w:t>5</w:t>
            </w:r>
          </w:p>
        </w:tc>
      </w:tr>
      <w:tr w14:paraId="65D8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BF0D6">
            <w:pPr>
              <w:pStyle w:val="13"/>
            </w:pPr>
            <w:r>
              <w:t>1</w:t>
            </w:r>
          </w:p>
        </w:tc>
        <w:tc>
          <w:tcPr>
            <w:tcW w:w="1191" w:type="dxa"/>
            <w:vAlign w:val="center"/>
          </w:tcPr>
          <w:p w14:paraId="48188175">
            <w:pPr>
              <w:pStyle w:val="16"/>
            </w:pPr>
          </w:p>
        </w:tc>
        <w:tc>
          <w:tcPr>
            <w:tcW w:w="4535" w:type="dxa"/>
            <w:vAlign w:val="center"/>
          </w:tcPr>
          <w:p w14:paraId="2A028807">
            <w:pPr>
              <w:pStyle w:val="14"/>
            </w:pPr>
            <w:r>
              <w:t>合计</w:t>
            </w:r>
          </w:p>
        </w:tc>
        <w:tc>
          <w:tcPr>
            <w:tcW w:w="2551" w:type="dxa"/>
            <w:vAlign w:val="center"/>
          </w:tcPr>
          <w:p w14:paraId="55D217BD">
            <w:pPr>
              <w:pStyle w:val="15"/>
            </w:pPr>
            <w:r>
              <w:t>1251.78</w:t>
            </w:r>
          </w:p>
        </w:tc>
        <w:tc>
          <w:tcPr>
            <w:tcW w:w="2551" w:type="dxa"/>
            <w:vAlign w:val="center"/>
          </w:tcPr>
          <w:p w14:paraId="64F5D02C">
            <w:pPr>
              <w:pStyle w:val="15"/>
            </w:pPr>
            <w:r>
              <w:t>1082.16</w:t>
            </w:r>
          </w:p>
        </w:tc>
        <w:tc>
          <w:tcPr>
            <w:tcW w:w="2551" w:type="dxa"/>
            <w:vAlign w:val="center"/>
          </w:tcPr>
          <w:p w14:paraId="5F388261">
            <w:pPr>
              <w:pStyle w:val="15"/>
            </w:pPr>
            <w:r>
              <w:t>169.62</w:t>
            </w:r>
          </w:p>
        </w:tc>
      </w:tr>
      <w:tr w14:paraId="4578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6F05">
            <w:pPr>
              <w:pStyle w:val="13"/>
            </w:pPr>
            <w:r>
              <w:t>2</w:t>
            </w:r>
          </w:p>
        </w:tc>
        <w:tc>
          <w:tcPr>
            <w:tcW w:w="1191" w:type="dxa"/>
            <w:vAlign w:val="center"/>
          </w:tcPr>
          <w:p w14:paraId="0FA71DEA">
            <w:pPr>
              <w:pStyle w:val="12"/>
            </w:pPr>
            <w:r>
              <w:t>205</w:t>
            </w:r>
          </w:p>
        </w:tc>
        <w:tc>
          <w:tcPr>
            <w:tcW w:w="4535" w:type="dxa"/>
            <w:vAlign w:val="center"/>
          </w:tcPr>
          <w:p w14:paraId="231BD74C">
            <w:pPr>
              <w:pStyle w:val="12"/>
            </w:pPr>
            <w:r>
              <w:t>教育支出</w:t>
            </w:r>
          </w:p>
        </w:tc>
        <w:tc>
          <w:tcPr>
            <w:tcW w:w="2551" w:type="dxa"/>
            <w:vAlign w:val="center"/>
          </w:tcPr>
          <w:p w14:paraId="7DDE220F">
            <w:pPr>
              <w:pStyle w:val="11"/>
            </w:pPr>
            <w:r>
              <w:t>1251.78</w:t>
            </w:r>
          </w:p>
        </w:tc>
        <w:tc>
          <w:tcPr>
            <w:tcW w:w="2551" w:type="dxa"/>
            <w:vAlign w:val="center"/>
          </w:tcPr>
          <w:p w14:paraId="4899EE30">
            <w:pPr>
              <w:pStyle w:val="11"/>
            </w:pPr>
            <w:r>
              <w:t>1082.16</w:t>
            </w:r>
          </w:p>
        </w:tc>
        <w:tc>
          <w:tcPr>
            <w:tcW w:w="2551" w:type="dxa"/>
            <w:vAlign w:val="center"/>
          </w:tcPr>
          <w:p w14:paraId="7247AE72">
            <w:pPr>
              <w:pStyle w:val="11"/>
            </w:pPr>
            <w:r>
              <w:t>169.62</w:t>
            </w:r>
          </w:p>
        </w:tc>
      </w:tr>
      <w:tr w14:paraId="640E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042B5">
            <w:pPr>
              <w:pStyle w:val="13"/>
            </w:pPr>
            <w:r>
              <w:t>3</w:t>
            </w:r>
          </w:p>
        </w:tc>
        <w:tc>
          <w:tcPr>
            <w:tcW w:w="1191" w:type="dxa"/>
            <w:vAlign w:val="center"/>
          </w:tcPr>
          <w:p w14:paraId="7599EE6C">
            <w:pPr>
              <w:pStyle w:val="12"/>
            </w:pPr>
            <w:r>
              <w:t>20502</w:t>
            </w:r>
          </w:p>
        </w:tc>
        <w:tc>
          <w:tcPr>
            <w:tcW w:w="4535" w:type="dxa"/>
            <w:vAlign w:val="center"/>
          </w:tcPr>
          <w:p w14:paraId="4156A45C">
            <w:pPr>
              <w:pStyle w:val="12"/>
            </w:pPr>
            <w:r>
              <w:t>普通教育</w:t>
            </w:r>
          </w:p>
        </w:tc>
        <w:tc>
          <w:tcPr>
            <w:tcW w:w="2551" w:type="dxa"/>
            <w:vAlign w:val="center"/>
          </w:tcPr>
          <w:p w14:paraId="76B29298">
            <w:pPr>
              <w:pStyle w:val="11"/>
            </w:pPr>
            <w:r>
              <w:t>1251.78</w:t>
            </w:r>
          </w:p>
        </w:tc>
        <w:tc>
          <w:tcPr>
            <w:tcW w:w="2551" w:type="dxa"/>
            <w:vAlign w:val="center"/>
          </w:tcPr>
          <w:p w14:paraId="73D0C6A1">
            <w:pPr>
              <w:pStyle w:val="11"/>
            </w:pPr>
            <w:r>
              <w:t>1082.16</w:t>
            </w:r>
          </w:p>
        </w:tc>
        <w:tc>
          <w:tcPr>
            <w:tcW w:w="2551" w:type="dxa"/>
            <w:vAlign w:val="center"/>
          </w:tcPr>
          <w:p w14:paraId="6567B011">
            <w:pPr>
              <w:pStyle w:val="11"/>
            </w:pPr>
            <w:r>
              <w:t>169.62</w:t>
            </w:r>
          </w:p>
        </w:tc>
      </w:tr>
      <w:tr w14:paraId="1C352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DA9F">
            <w:pPr>
              <w:pStyle w:val="13"/>
            </w:pPr>
            <w:r>
              <w:t>4</w:t>
            </w:r>
          </w:p>
        </w:tc>
        <w:tc>
          <w:tcPr>
            <w:tcW w:w="1191" w:type="dxa"/>
            <w:vAlign w:val="center"/>
          </w:tcPr>
          <w:p w14:paraId="21F55C80">
            <w:pPr>
              <w:pStyle w:val="12"/>
            </w:pPr>
            <w:r>
              <w:t>2050203</w:t>
            </w:r>
          </w:p>
        </w:tc>
        <w:tc>
          <w:tcPr>
            <w:tcW w:w="4535" w:type="dxa"/>
            <w:vAlign w:val="center"/>
          </w:tcPr>
          <w:p w14:paraId="74F16F0C">
            <w:pPr>
              <w:pStyle w:val="12"/>
            </w:pPr>
            <w:r>
              <w:t>初中教育</w:t>
            </w:r>
          </w:p>
        </w:tc>
        <w:tc>
          <w:tcPr>
            <w:tcW w:w="2551" w:type="dxa"/>
            <w:vAlign w:val="center"/>
          </w:tcPr>
          <w:p w14:paraId="5FD16C22">
            <w:pPr>
              <w:pStyle w:val="11"/>
            </w:pPr>
            <w:r>
              <w:t>1251.78</w:t>
            </w:r>
          </w:p>
        </w:tc>
        <w:tc>
          <w:tcPr>
            <w:tcW w:w="2551" w:type="dxa"/>
            <w:vAlign w:val="center"/>
          </w:tcPr>
          <w:p w14:paraId="5EF6CA08">
            <w:pPr>
              <w:pStyle w:val="11"/>
            </w:pPr>
            <w:r>
              <w:t>1082.16</w:t>
            </w:r>
          </w:p>
        </w:tc>
        <w:tc>
          <w:tcPr>
            <w:tcW w:w="2551" w:type="dxa"/>
            <w:vAlign w:val="center"/>
          </w:tcPr>
          <w:p w14:paraId="5C371D0A">
            <w:pPr>
              <w:pStyle w:val="11"/>
            </w:pPr>
            <w:r>
              <w:t>169.62</w:t>
            </w:r>
          </w:p>
        </w:tc>
      </w:tr>
    </w:tbl>
    <w:p w14:paraId="7649114A">
      <w:pPr>
        <w:sectPr>
          <w:pgSz w:w="16840" w:h="11900" w:orient="landscape"/>
          <w:pgMar w:top="1361" w:right="1020" w:bottom="1134" w:left="1020" w:header="720" w:footer="720" w:gutter="0"/>
          <w:cols w:space="720" w:num="1"/>
        </w:sectPr>
      </w:pPr>
    </w:p>
    <w:p w14:paraId="7DEDF2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D9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9FADA8">
            <w:pPr>
              <w:pStyle w:val="9"/>
            </w:pPr>
            <w:r>
              <w:t>360009河北省隆尧县滏阳中学</w:t>
            </w:r>
          </w:p>
        </w:tc>
        <w:tc>
          <w:tcPr>
            <w:tcW w:w="2551" w:type="dxa"/>
            <w:tcBorders>
              <w:top w:val="single" w:color="FFFFFF" w:sz="6" w:space="0"/>
              <w:left w:val="single" w:color="FFFFFF" w:sz="6" w:space="0"/>
              <w:right w:val="single" w:color="FFFFFF" w:sz="6" w:space="0"/>
            </w:tcBorders>
            <w:vAlign w:val="center"/>
          </w:tcPr>
          <w:p w14:paraId="36F62F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AED620">
            <w:pPr>
              <w:pStyle w:val="7"/>
            </w:pPr>
            <w:r>
              <w:t>单位：万元</w:t>
            </w:r>
          </w:p>
        </w:tc>
      </w:tr>
      <w:tr w14:paraId="7025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4E414">
            <w:pPr>
              <w:pStyle w:val="10"/>
            </w:pPr>
            <w:r>
              <w:t>序号</w:t>
            </w:r>
          </w:p>
        </w:tc>
        <w:tc>
          <w:tcPr>
            <w:tcW w:w="5726" w:type="dxa"/>
            <w:gridSpan w:val="2"/>
            <w:vAlign w:val="center"/>
          </w:tcPr>
          <w:p w14:paraId="24277176">
            <w:pPr>
              <w:pStyle w:val="10"/>
            </w:pPr>
            <w:r>
              <w:t>支出部门经济分类科目</w:t>
            </w:r>
          </w:p>
        </w:tc>
        <w:tc>
          <w:tcPr>
            <w:tcW w:w="7653" w:type="dxa"/>
            <w:gridSpan w:val="3"/>
            <w:vAlign w:val="center"/>
          </w:tcPr>
          <w:p w14:paraId="5298FBFF">
            <w:pPr>
              <w:pStyle w:val="10"/>
            </w:pPr>
            <w:r>
              <w:t>一般公共预算基本支出</w:t>
            </w:r>
          </w:p>
        </w:tc>
      </w:tr>
      <w:tr w14:paraId="7D6B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A7CC2"/>
        </w:tc>
        <w:tc>
          <w:tcPr>
            <w:tcW w:w="1191" w:type="dxa"/>
            <w:vAlign w:val="center"/>
          </w:tcPr>
          <w:p w14:paraId="2B47DDB7">
            <w:pPr>
              <w:pStyle w:val="10"/>
            </w:pPr>
            <w:r>
              <w:t>科目编码</w:t>
            </w:r>
          </w:p>
        </w:tc>
        <w:tc>
          <w:tcPr>
            <w:tcW w:w="4535" w:type="dxa"/>
            <w:vAlign w:val="center"/>
          </w:tcPr>
          <w:p w14:paraId="1F63F9E0">
            <w:pPr>
              <w:pStyle w:val="10"/>
            </w:pPr>
            <w:r>
              <w:t>科目名称</w:t>
            </w:r>
          </w:p>
        </w:tc>
        <w:tc>
          <w:tcPr>
            <w:tcW w:w="2551" w:type="dxa"/>
            <w:vAlign w:val="center"/>
          </w:tcPr>
          <w:p w14:paraId="272E6AE8">
            <w:pPr>
              <w:pStyle w:val="10"/>
            </w:pPr>
            <w:r>
              <w:t>合计</w:t>
            </w:r>
          </w:p>
        </w:tc>
        <w:tc>
          <w:tcPr>
            <w:tcW w:w="2551" w:type="dxa"/>
            <w:vAlign w:val="center"/>
          </w:tcPr>
          <w:p w14:paraId="6DFABDBA">
            <w:pPr>
              <w:pStyle w:val="10"/>
            </w:pPr>
            <w:r>
              <w:t>人员经费</w:t>
            </w:r>
          </w:p>
        </w:tc>
        <w:tc>
          <w:tcPr>
            <w:tcW w:w="2551" w:type="dxa"/>
            <w:vAlign w:val="center"/>
          </w:tcPr>
          <w:p w14:paraId="2A32ED99">
            <w:pPr>
              <w:pStyle w:val="10"/>
            </w:pPr>
            <w:r>
              <w:t>公用经费</w:t>
            </w:r>
          </w:p>
        </w:tc>
      </w:tr>
      <w:tr w14:paraId="1E8D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6174A">
            <w:pPr>
              <w:pStyle w:val="10"/>
            </w:pPr>
            <w:r>
              <w:t>栏次</w:t>
            </w:r>
          </w:p>
        </w:tc>
        <w:tc>
          <w:tcPr>
            <w:tcW w:w="1191" w:type="dxa"/>
            <w:vAlign w:val="center"/>
          </w:tcPr>
          <w:p w14:paraId="32A8D205">
            <w:pPr>
              <w:pStyle w:val="10"/>
            </w:pPr>
            <w:r>
              <w:t>1</w:t>
            </w:r>
          </w:p>
        </w:tc>
        <w:tc>
          <w:tcPr>
            <w:tcW w:w="4535" w:type="dxa"/>
            <w:vAlign w:val="center"/>
          </w:tcPr>
          <w:p w14:paraId="47AAB69A">
            <w:pPr>
              <w:pStyle w:val="10"/>
            </w:pPr>
            <w:r>
              <w:t>2</w:t>
            </w:r>
          </w:p>
        </w:tc>
        <w:tc>
          <w:tcPr>
            <w:tcW w:w="2551" w:type="dxa"/>
            <w:vAlign w:val="center"/>
          </w:tcPr>
          <w:p w14:paraId="7A7BB061">
            <w:pPr>
              <w:pStyle w:val="10"/>
            </w:pPr>
            <w:r>
              <w:t>3</w:t>
            </w:r>
          </w:p>
        </w:tc>
        <w:tc>
          <w:tcPr>
            <w:tcW w:w="2551" w:type="dxa"/>
            <w:vAlign w:val="center"/>
          </w:tcPr>
          <w:p w14:paraId="1355681F">
            <w:pPr>
              <w:pStyle w:val="10"/>
            </w:pPr>
            <w:r>
              <w:t>4</w:t>
            </w:r>
          </w:p>
        </w:tc>
        <w:tc>
          <w:tcPr>
            <w:tcW w:w="2551" w:type="dxa"/>
            <w:vAlign w:val="center"/>
          </w:tcPr>
          <w:p w14:paraId="3C28B42B">
            <w:pPr>
              <w:pStyle w:val="10"/>
            </w:pPr>
            <w:r>
              <w:t>5</w:t>
            </w:r>
          </w:p>
        </w:tc>
      </w:tr>
      <w:tr w14:paraId="0B63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91A8">
            <w:pPr>
              <w:pStyle w:val="13"/>
            </w:pPr>
            <w:r>
              <w:t>1</w:t>
            </w:r>
          </w:p>
        </w:tc>
        <w:tc>
          <w:tcPr>
            <w:tcW w:w="1191" w:type="dxa"/>
            <w:vAlign w:val="center"/>
          </w:tcPr>
          <w:p w14:paraId="4BCD86D6">
            <w:pPr>
              <w:pStyle w:val="16"/>
            </w:pPr>
          </w:p>
        </w:tc>
        <w:tc>
          <w:tcPr>
            <w:tcW w:w="4535" w:type="dxa"/>
            <w:vAlign w:val="center"/>
          </w:tcPr>
          <w:p w14:paraId="0757EC5B">
            <w:pPr>
              <w:pStyle w:val="14"/>
            </w:pPr>
            <w:r>
              <w:t>合计</w:t>
            </w:r>
          </w:p>
        </w:tc>
        <w:tc>
          <w:tcPr>
            <w:tcW w:w="2551" w:type="dxa"/>
            <w:vAlign w:val="center"/>
          </w:tcPr>
          <w:p w14:paraId="5C9749EC">
            <w:pPr>
              <w:pStyle w:val="15"/>
            </w:pPr>
            <w:r>
              <w:t>1082.16</w:t>
            </w:r>
          </w:p>
        </w:tc>
        <w:tc>
          <w:tcPr>
            <w:tcW w:w="2551" w:type="dxa"/>
            <w:vAlign w:val="center"/>
          </w:tcPr>
          <w:p w14:paraId="59D1F67A">
            <w:pPr>
              <w:pStyle w:val="15"/>
            </w:pPr>
            <w:r>
              <w:t>1082.16</w:t>
            </w:r>
          </w:p>
        </w:tc>
        <w:tc>
          <w:tcPr>
            <w:tcW w:w="2551" w:type="dxa"/>
            <w:vAlign w:val="center"/>
          </w:tcPr>
          <w:p w14:paraId="23428451">
            <w:pPr>
              <w:pStyle w:val="15"/>
            </w:pPr>
          </w:p>
        </w:tc>
      </w:tr>
      <w:tr w14:paraId="24B8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21456">
            <w:pPr>
              <w:pStyle w:val="13"/>
            </w:pPr>
            <w:r>
              <w:t>2</w:t>
            </w:r>
          </w:p>
        </w:tc>
        <w:tc>
          <w:tcPr>
            <w:tcW w:w="1191" w:type="dxa"/>
            <w:vAlign w:val="center"/>
          </w:tcPr>
          <w:p w14:paraId="34DAB6B5">
            <w:pPr>
              <w:pStyle w:val="12"/>
            </w:pPr>
            <w:r>
              <w:t>301</w:t>
            </w:r>
          </w:p>
        </w:tc>
        <w:tc>
          <w:tcPr>
            <w:tcW w:w="4535" w:type="dxa"/>
            <w:vAlign w:val="center"/>
          </w:tcPr>
          <w:p w14:paraId="7CF77A0D">
            <w:pPr>
              <w:pStyle w:val="12"/>
            </w:pPr>
            <w:r>
              <w:t>工资福利支出</w:t>
            </w:r>
          </w:p>
        </w:tc>
        <w:tc>
          <w:tcPr>
            <w:tcW w:w="2551" w:type="dxa"/>
            <w:vAlign w:val="center"/>
          </w:tcPr>
          <w:p w14:paraId="3CF686A0">
            <w:pPr>
              <w:pStyle w:val="11"/>
            </w:pPr>
            <w:r>
              <w:t>1059.54</w:t>
            </w:r>
          </w:p>
        </w:tc>
        <w:tc>
          <w:tcPr>
            <w:tcW w:w="2551" w:type="dxa"/>
            <w:vAlign w:val="center"/>
          </w:tcPr>
          <w:p w14:paraId="4F535078">
            <w:pPr>
              <w:pStyle w:val="11"/>
            </w:pPr>
            <w:r>
              <w:t>1059.54</w:t>
            </w:r>
          </w:p>
        </w:tc>
        <w:tc>
          <w:tcPr>
            <w:tcW w:w="2551" w:type="dxa"/>
            <w:vAlign w:val="center"/>
          </w:tcPr>
          <w:p w14:paraId="6678FCCC">
            <w:pPr>
              <w:pStyle w:val="11"/>
            </w:pPr>
          </w:p>
        </w:tc>
      </w:tr>
      <w:tr w14:paraId="23E0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CDD7C">
            <w:pPr>
              <w:pStyle w:val="13"/>
            </w:pPr>
            <w:r>
              <w:t>3</w:t>
            </w:r>
          </w:p>
        </w:tc>
        <w:tc>
          <w:tcPr>
            <w:tcW w:w="1191" w:type="dxa"/>
            <w:vAlign w:val="center"/>
          </w:tcPr>
          <w:p w14:paraId="08C5E5CE">
            <w:pPr>
              <w:pStyle w:val="12"/>
            </w:pPr>
            <w:r>
              <w:t>30101</w:t>
            </w:r>
          </w:p>
        </w:tc>
        <w:tc>
          <w:tcPr>
            <w:tcW w:w="4535" w:type="dxa"/>
            <w:vAlign w:val="center"/>
          </w:tcPr>
          <w:p w14:paraId="2AA9E777">
            <w:pPr>
              <w:pStyle w:val="12"/>
            </w:pPr>
            <w:r>
              <w:t>基本工资</w:t>
            </w:r>
          </w:p>
        </w:tc>
        <w:tc>
          <w:tcPr>
            <w:tcW w:w="2551" w:type="dxa"/>
            <w:vAlign w:val="center"/>
          </w:tcPr>
          <w:p w14:paraId="6A072173">
            <w:pPr>
              <w:pStyle w:val="11"/>
            </w:pPr>
            <w:r>
              <w:t>499.95</w:t>
            </w:r>
          </w:p>
        </w:tc>
        <w:tc>
          <w:tcPr>
            <w:tcW w:w="2551" w:type="dxa"/>
            <w:vAlign w:val="center"/>
          </w:tcPr>
          <w:p w14:paraId="760F2B5D">
            <w:pPr>
              <w:pStyle w:val="11"/>
            </w:pPr>
            <w:r>
              <w:t>499.95</w:t>
            </w:r>
          </w:p>
        </w:tc>
        <w:tc>
          <w:tcPr>
            <w:tcW w:w="2551" w:type="dxa"/>
            <w:vAlign w:val="center"/>
          </w:tcPr>
          <w:p w14:paraId="55FE5E58">
            <w:pPr>
              <w:pStyle w:val="11"/>
            </w:pPr>
          </w:p>
        </w:tc>
      </w:tr>
      <w:tr w14:paraId="7F6C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5608F">
            <w:pPr>
              <w:pStyle w:val="13"/>
            </w:pPr>
            <w:r>
              <w:t>4</w:t>
            </w:r>
          </w:p>
        </w:tc>
        <w:tc>
          <w:tcPr>
            <w:tcW w:w="1191" w:type="dxa"/>
            <w:vAlign w:val="center"/>
          </w:tcPr>
          <w:p w14:paraId="65DBD81B">
            <w:pPr>
              <w:pStyle w:val="12"/>
            </w:pPr>
            <w:r>
              <w:t>30102</w:t>
            </w:r>
          </w:p>
        </w:tc>
        <w:tc>
          <w:tcPr>
            <w:tcW w:w="4535" w:type="dxa"/>
            <w:vAlign w:val="center"/>
          </w:tcPr>
          <w:p w14:paraId="0A6E3F9C">
            <w:pPr>
              <w:pStyle w:val="12"/>
            </w:pPr>
            <w:r>
              <w:t>津贴补贴</w:t>
            </w:r>
          </w:p>
        </w:tc>
        <w:tc>
          <w:tcPr>
            <w:tcW w:w="2551" w:type="dxa"/>
            <w:vAlign w:val="center"/>
          </w:tcPr>
          <w:p w14:paraId="5D0BBBB8">
            <w:pPr>
              <w:pStyle w:val="11"/>
            </w:pPr>
            <w:r>
              <w:t>43.77</w:t>
            </w:r>
          </w:p>
        </w:tc>
        <w:tc>
          <w:tcPr>
            <w:tcW w:w="2551" w:type="dxa"/>
            <w:vAlign w:val="center"/>
          </w:tcPr>
          <w:p w14:paraId="19E64E94">
            <w:pPr>
              <w:pStyle w:val="11"/>
            </w:pPr>
            <w:r>
              <w:t>43.77</w:t>
            </w:r>
          </w:p>
        </w:tc>
        <w:tc>
          <w:tcPr>
            <w:tcW w:w="2551" w:type="dxa"/>
            <w:vAlign w:val="center"/>
          </w:tcPr>
          <w:p w14:paraId="0C26A834">
            <w:pPr>
              <w:pStyle w:val="11"/>
            </w:pPr>
          </w:p>
        </w:tc>
      </w:tr>
      <w:tr w14:paraId="5E86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5B261">
            <w:pPr>
              <w:pStyle w:val="13"/>
            </w:pPr>
            <w:r>
              <w:t>5</w:t>
            </w:r>
          </w:p>
        </w:tc>
        <w:tc>
          <w:tcPr>
            <w:tcW w:w="1191" w:type="dxa"/>
            <w:vAlign w:val="center"/>
          </w:tcPr>
          <w:p w14:paraId="2BFD6CB2">
            <w:pPr>
              <w:pStyle w:val="12"/>
            </w:pPr>
            <w:r>
              <w:t>30107</w:t>
            </w:r>
          </w:p>
        </w:tc>
        <w:tc>
          <w:tcPr>
            <w:tcW w:w="4535" w:type="dxa"/>
            <w:vAlign w:val="center"/>
          </w:tcPr>
          <w:p w14:paraId="03E0E581">
            <w:pPr>
              <w:pStyle w:val="12"/>
            </w:pPr>
            <w:r>
              <w:t>绩效工资</w:t>
            </w:r>
          </w:p>
        </w:tc>
        <w:tc>
          <w:tcPr>
            <w:tcW w:w="2551" w:type="dxa"/>
            <w:vAlign w:val="center"/>
          </w:tcPr>
          <w:p w14:paraId="564FDA62">
            <w:pPr>
              <w:pStyle w:val="11"/>
            </w:pPr>
            <w:r>
              <w:t>269.33</w:t>
            </w:r>
          </w:p>
        </w:tc>
        <w:tc>
          <w:tcPr>
            <w:tcW w:w="2551" w:type="dxa"/>
            <w:vAlign w:val="center"/>
          </w:tcPr>
          <w:p w14:paraId="5F00C45D">
            <w:pPr>
              <w:pStyle w:val="11"/>
            </w:pPr>
            <w:r>
              <w:t>269.33</w:t>
            </w:r>
          </w:p>
        </w:tc>
        <w:tc>
          <w:tcPr>
            <w:tcW w:w="2551" w:type="dxa"/>
            <w:vAlign w:val="center"/>
          </w:tcPr>
          <w:p w14:paraId="07E2F1AC">
            <w:pPr>
              <w:pStyle w:val="11"/>
            </w:pPr>
          </w:p>
        </w:tc>
      </w:tr>
      <w:tr w14:paraId="0764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037B">
            <w:pPr>
              <w:pStyle w:val="13"/>
            </w:pPr>
            <w:r>
              <w:t>6</w:t>
            </w:r>
          </w:p>
        </w:tc>
        <w:tc>
          <w:tcPr>
            <w:tcW w:w="1191" w:type="dxa"/>
            <w:vAlign w:val="center"/>
          </w:tcPr>
          <w:p w14:paraId="4160A1C7">
            <w:pPr>
              <w:pStyle w:val="12"/>
            </w:pPr>
            <w:r>
              <w:t>30108</w:t>
            </w:r>
          </w:p>
        </w:tc>
        <w:tc>
          <w:tcPr>
            <w:tcW w:w="4535" w:type="dxa"/>
            <w:vAlign w:val="center"/>
          </w:tcPr>
          <w:p w14:paraId="65590CCB">
            <w:pPr>
              <w:pStyle w:val="12"/>
            </w:pPr>
            <w:r>
              <w:t>机关事业单位基本养老保险缴费</w:t>
            </w:r>
          </w:p>
        </w:tc>
        <w:tc>
          <w:tcPr>
            <w:tcW w:w="2551" w:type="dxa"/>
            <w:vAlign w:val="center"/>
          </w:tcPr>
          <w:p w14:paraId="26E05F54">
            <w:pPr>
              <w:pStyle w:val="11"/>
            </w:pPr>
            <w:r>
              <w:t>111.57</w:t>
            </w:r>
          </w:p>
        </w:tc>
        <w:tc>
          <w:tcPr>
            <w:tcW w:w="2551" w:type="dxa"/>
            <w:vAlign w:val="center"/>
          </w:tcPr>
          <w:p w14:paraId="12ED04E4">
            <w:pPr>
              <w:pStyle w:val="11"/>
            </w:pPr>
            <w:r>
              <w:t>111.57</w:t>
            </w:r>
          </w:p>
        </w:tc>
        <w:tc>
          <w:tcPr>
            <w:tcW w:w="2551" w:type="dxa"/>
            <w:vAlign w:val="center"/>
          </w:tcPr>
          <w:p w14:paraId="03FA2A1C">
            <w:pPr>
              <w:pStyle w:val="11"/>
            </w:pPr>
          </w:p>
        </w:tc>
      </w:tr>
      <w:tr w14:paraId="6B22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C402E">
            <w:pPr>
              <w:pStyle w:val="13"/>
            </w:pPr>
            <w:r>
              <w:t>7</w:t>
            </w:r>
          </w:p>
        </w:tc>
        <w:tc>
          <w:tcPr>
            <w:tcW w:w="1191" w:type="dxa"/>
            <w:vAlign w:val="center"/>
          </w:tcPr>
          <w:p w14:paraId="580E2EF0">
            <w:pPr>
              <w:pStyle w:val="12"/>
            </w:pPr>
            <w:r>
              <w:t>30110</w:t>
            </w:r>
          </w:p>
        </w:tc>
        <w:tc>
          <w:tcPr>
            <w:tcW w:w="4535" w:type="dxa"/>
            <w:vAlign w:val="center"/>
          </w:tcPr>
          <w:p w14:paraId="406DCA84">
            <w:pPr>
              <w:pStyle w:val="12"/>
            </w:pPr>
            <w:r>
              <w:t>职工基本医疗保险缴费</w:t>
            </w:r>
          </w:p>
        </w:tc>
        <w:tc>
          <w:tcPr>
            <w:tcW w:w="2551" w:type="dxa"/>
            <w:vAlign w:val="center"/>
          </w:tcPr>
          <w:p w14:paraId="0E57EBC9">
            <w:pPr>
              <w:pStyle w:val="11"/>
            </w:pPr>
            <w:r>
              <w:t>50.21</w:t>
            </w:r>
          </w:p>
        </w:tc>
        <w:tc>
          <w:tcPr>
            <w:tcW w:w="2551" w:type="dxa"/>
            <w:vAlign w:val="center"/>
          </w:tcPr>
          <w:p w14:paraId="38DEF1FE">
            <w:pPr>
              <w:pStyle w:val="11"/>
            </w:pPr>
            <w:r>
              <w:t>50.21</w:t>
            </w:r>
          </w:p>
        </w:tc>
        <w:tc>
          <w:tcPr>
            <w:tcW w:w="2551" w:type="dxa"/>
            <w:vAlign w:val="center"/>
          </w:tcPr>
          <w:p w14:paraId="45E7E44B">
            <w:pPr>
              <w:pStyle w:val="11"/>
            </w:pPr>
          </w:p>
        </w:tc>
      </w:tr>
      <w:tr w14:paraId="1134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33694">
            <w:pPr>
              <w:pStyle w:val="13"/>
            </w:pPr>
            <w:r>
              <w:t>8</w:t>
            </w:r>
          </w:p>
        </w:tc>
        <w:tc>
          <w:tcPr>
            <w:tcW w:w="1191" w:type="dxa"/>
            <w:vAlign w:val="center"/>
          </w:tcPr>
          <w:p w14:paraId="280D98F3">
            <w:pPr>
              <w:pStyle w:val="12"/>
            </w:pPr>
            <w:r>
              <w:t>30112</w:t>
            </w:r>
          </w:p>
        </w:tc>
        <w:tc>
          <w:tcPr>
            <w:tcW w:w="4535" w:type="dxa"/>
            <w:vAlign w:val="center"/>
          </w:tcPr>
          <w:p w14:paraId="678C1C91">
            <w:pPr>
              <w:pStyle w:val="12"/>
            </w:pPr>
            <w:r>
              <w:t>其他社会保障缴费</w:t>
            </w:r>
          </w:p>
        </w:tc>
        <w:tc>
          <w:tcPr>
            <w:tcW w:w="2551" w:type="dxa"/>
            <w:vAlign w:val="center"/>
          </w:tcPr>
          <w:p w14:paraId="3F532D41">
            <w:pPr>
              <w:pStyle w:val="11"/>
            </w:pPr>
            <w:r>
              <w:t>3.49</w:t>
            </w:r>
          </w:p>
        </w:tc>
        <w:tc>
          <w:tcPr>
            <w:tcW w:w="2551" w:type="dxa"/>
            <w:vAlign w:val="center"/>
          </w:tcPr>
          <w:p w14:paraId="0E87490F">
            <w:pPr>
              <w:pStyle w:val="11"/>
            </w:pPr>
            <w:r>
              <w:t>3.49</w:t>
            </w:r>
          </w:p>
        </w:tc>
        <w:tc>
          <w:tcPr>
            <w:tcW w:w="2551" w:type="dxa"/>
            <w:vAlign w:val="center"/>
          </w:tcPr>
          <w:p w14:paraId="5AAFCA34">
            <w:pPr>
              <w:pStyle w:val="11"/>
            </w:pPr>
          </w:p>
        </w:tc>
      </w:tr>
      <w:tr w14:paraId="0D62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2F8EE">
            <w:pPr>
              <w:pStyle w:val="13"/>
            </w:pPr>
            <w:r>
              <w:t>9</w:t>
            </w:r>
          </w:p>
        </w:tc>
        <w:tc>
          <w:tcPr>
            <w:tcW w:w="1191" w:type="dxa"/>
            <w:vAlign w:val="center"/>
          </w:tcPr>
          <w:p w14:paraId="66C9519C">
            <w:pPr>
              <w:pStyle w:val="12"/>
            </w:pPr>
            <w:r>
              <w:t>30113</w:t>
            </w:r>
          </w:p>
        </w:tc>
        <w:tc>
          <w:tcPr>
            <w:tcW w:w="4535" w:type="dxa"/>
            <w:vAlign w:val="center"/>
          </w:tcPr>
          <w:p w14:paraId="64FCED2B">
            <w:pPr>
              <w:pStyle w:val="12"/>
            </w:pPr>
            <w:r>
              <w:t>住房公积金</w:t>
            </w:r>
          </w:p>
        </w:tc>
        <w:tc>
          <w:tcPr>
            <w:tcW w:w="2551" w:type="dxa"/>
            <w:vAlign w:val="center"/>
          </w:tcPr>
          <w:p w14:paraId="7FB28D44">
            <w:pPr>
              <w:pStyle w:val="11"/>
            </w:pPr>
            <w:r>
              <w:t>81.22</w:t>
            </w:r>
          </w:p>
        </w:tc>
        <w:tc>
          <w:tcPr>
            <w:tcW w:w="2551" w:type="dxa"/>
            <w:vAlign w:val="center"/>
          </w:tcPr>
          <w:p w14:paraId="34EF1142">
            <w:pPr>
              <w:pStyle w:val="11"/>
            </w:pPr>
            <w:r>
              <w:t>81.22</w:t>
            </w:r>
          </w:p>
        </w:tc>
        <w:tc>
          <w:tcPr>
            <w:tcW w:w="2551" w:type="dxa"/>
            <w:vAlign w:val="center"/>
          </w:tcPr>
          <w:p w14:paraId="7F7E5033">
            <w:pPr>
              <w:pStyle w:val="11"/>
            </w:pPr>
          </w:p>
        </w:tc>
      </w:tr>
      <w:tr w14:paraId="7EA1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5522">
            <w:pPr>
              <w:pStyle w:val="13"/>
            </w:pPr>
            <w:r>
              <w:t>10</w:t>
            </w:r>
          </w:p>
        </w:tc>
        <w:tc>
          <w:tcPr>
            <w:tcW w:w="1191" w:type="dxa"/>
            <w:vAlign w:val="center"/>
          </w:tcPr>
          <w:p w14:paraId="2952673B">
            <w:pPr>
              <w:pStyle w:val="12"/>
            </w:pPr>
            <w:r>
              <w:t>303</w:t>
            </w:r>
          </w:p>
        </w:tc>
        <w:tc>
          <w:tcPr>
            <w:tcW w:w="4535" w:type="dxa"/>
            <w:vAlign w:val="center"/>
          </w:tcPr>
          <w:p w14:paraId="7D713A91">
            <w:pPr>
              <w:pStyle w:val="12"/>
            </w:pPr>
            <w:r>
              <w:t>对个人和家庭的补助</w:t>
            </w:r>
          </w:p>
        </w:tc>
        <w:tc>
          <w:tcPr>
            <w:tcW w:w="2551" w:type="dxa"/>
            <w:vAlign w:val="center"/>
          </w:tcPr>
          <w:p w14:paraId="68F8D622">
            <w:pPr>
              <w:pStyle w:val="11"/>
            </w:pPr>
            <w:r>
              <w:t>22.61</w:t>
            </w:r>
          </w:p>
        </w:tc>
        <w:tc>
          <w:tcPr>
            <w:tcW w:w="2551" w:type="dxa"/>
            <w:vAlign w:val="center"/>
          </w:tcPr>
          <w:p w14:paraId="2FDF47B3">
            <w:pPr>
              <w:pStyle w:val="11"/>
            </w:pPr>
            <w:r>
              <w:t>22.61</w:t>
            </w:r>
          </w:p>
        </w:tc>
        <w:tc>
          <w:tcPr>
            <w:tcW w:w="2551" w:type="dxa"/>
            <w:vAlign w:val="center"/>
          </w:tcPr>
          <w:p w14:paraId="544E7400">
            <w:pPr>
              <w:pStyle w:val="11"/>
            </w:pPr>
          </w:p>
        </w:tc>
      </w:tr>
      <w:tr w14:paraId="2056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5B7E8">
            <w:pPr>
              <w:pStyle w:val="13"/>
            </w:pPr>
            <w:r>
              <w:t>11</w:t>
            </w:r>
          </w:p>
        </w:tc>
        <w:tc>
          <w:tcPr>
            <w:tcW w:w="1191" w:type="dxa"/>
            <w:vAlign w:val="center"/>
          </w:tcPr>
          <w:p w14:paraId="21640151">
            <w:pPr>
              <w:pStyle w:val="12"/>
            </w:pPr>
            <w:r>
              <w:t>30302</w:t>
            </w:r>
          </w:p>
        </w:tc>
        <w:tc>
          <w:tcPr>
            <w:tcW w:w="4535" w:type="dxa"/>
            <w:vAlign w:val="center"/>
          </w:tcPr>
          <w:p w14:paraId="4FD548BA">
            <w:pPr>
              <w:pStyle w:val="12"/>
            </w:pPr>
            <w:r>
              <w:t>退休费</w:t>
            </w:r>
          </w:p>
        </w:tc>
        <w:tc>
          <w:tcPr>
            <w:tcW w:w="2551" w:type="dxa"/>
            <w:vAlign w:val="center"/>
          </w:tcPr>
          <w:p w14:paraId="14C45894">
            <w:pPr>
              <w:pStyle w:val="11"/>
            </w:pPr>
            <w:r>
              <w:t>20.81</w:t>
            </w:r>
          </w:p>
        </w:tc>
        <w:tc>
          <w:tcPr>
            <w:tcW w:w="2551" w:type="dxa"/>
            <w:vAlign w:val="center"/>
          </w:tcPr>
          <w:p w14:paraId="0E8A9EAB">
            <w:pPr>
              <w:pStyle w:val="11"/>
            </w:pPr>
            <w:r>
              <w:t>20.81</w:t>
            </w:r>
          </w:p>
        </w:tc>
        <w:tc>
          <w:tcPr>
            <w:tcW w:w="2551" w:type="dxa"/>
            <w:vAlign w:val="center"/>
          </w:tcPr>
          <w:p w14:paraId="245962CA">
            <w:pPr>
              <w:pStyle w:val="11"/>
            </w:pPr>
          </w:p>
        </w:tc>
      </w:tr>
      <w:tr w14:paraId="31297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B96E1">
            <w:pPr>
              <w:pStyle w:val="13"/>
            </w:pPr>
            <w:r>
              <w:t>12</w:t>
            </w:r>
          </w:p>
        </w:tc>
        <w:tc>
          <w:tcPr>
            <w:tcW w:w="1191" w:type="dxa"/>
            <w:vAlign w:val="center"/>
          </w:tcPr>
          <w:p w14:paraId="4D4CE20F">
            <w:pPr>
              <w:pStyle w:val="12"/>
            </w:pPr>
            <w:r>
              <w:t>30305</w:t>
            </w:r>
          </w:p>
        </w:tc>
        <w:tc>
          <w:tcPr>
            <w:tcW w:w="4535" w:type="dxa"/>
            <w:vAlign w:val="center"/>
          </w:tcPr>
          <w:p w14:paraId="04FAEC91">
            <w:pPr>
              <w:pStyle w:val="12"/>
            </w:pPr>
            <w:r>
              <w:t>生活补助</w:t>
            </w:r>
          </w:p>
        </w:tc>
        <w:tc>
          <w:tcPr>
            <w:tcW w:w="2551" w:type="dxa"/>
            <w:vAlign w:val="center"/>
          </w:tcPr>
          <w:p w14:paraId="0FD07FE2">
            <w:pPr>
              <w:pStyle w:val="11"/>
            </w:pPr>
            <w:r>
              <w:t>1.80</w:t>
            </w:r>
          </w:p>
        </w:tc>
        <w:tc>
          <w:tcPr>
            <w:tcW w:w="2551" w:type="dxa"/>
            <w:vAlign w:val="center"/>
          </w:tcPr>
          <w:p w14:paraId="1223AA95">
            <w:pPr>
              <w:pStyle w:val="11"/>
            </w:pPr>
            <w:r>
              <w:t>1.80</w:t>
            </w:r>
          </w:p>
        </w:tc>
        <w:tc>
          <w:tcPr>
            <w:tcW w:w="2551" w:type="dxa"/>
            <w:vAlign w:val="center"/>
          </w:tcPr>
          <w:p w14:paraId="2FD7E10F">
            <w:pPr>
              <w:pStyle w:val="11"/>
            </w:pPr>
          </w:p>
        </w:tc>
      </w:tr>
    </w:tbl>
    <w:p w14:paraId="06A102D7">
      <w:pPr>
        <w:sectPr>
          <w:pgSz w:w="16840" w:h="11900" w:orient="landscape"/>
          <w:pgMar w:top="1361" w:right="1020" w:bottom="1134" w:left="1020" w:header="720" w:footer="720" w:gutter="0"/>
          <w:cols w:space="720" w:num="1"/>
        </w:sectPr>
      </w:pPr>
    </w:p>
    <w:p w14:paraId="7D182E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86A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940281">
            <w:pPr>
              <w:pStyle w:val="9"/>
            </w:pPr>
            <w:r>
              <w:t>360009河北省隆尧县滏阳中学</w:t>
            </w:r>
          </w:p>
        </w:tc>
        <w:tc>
          <w:tcPr>
            <w:tcW w:w="2551" w:type="dxa"/>
            <w:tcBorders>
              <w:top w:val="single" w:color="FFFFFF" w:sz="6" w:space="0"/>
              <w:left w:val="single" w:color="FFFFFF" w:sz="6" w:space="0"/>
              <w:right w:val="single" w:color="FFFFFF" w:sz="6" w:space="0"/>
            </w:tcBorders>
            <w:vAlign w:val="center"/>
          </w:tcPr>
          <w:p w14:paraId="311859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C22FDD">
            <w:pPr>
              <w:pStyle w:val="7"/>
            </w:pPr>
            <w:r>
              <w:t>单位：万元</w:t>
            </w:r>
          </w:p>
        </w:tc>
      </w:tr>
      <w:tr w14:paraId="55C9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99D5E5">
            <w:pPr>
              <w:pStyle w:val="10"/>
            </w:pPr>
            <w:r>
              <w:t>序号</w:t>
            </w:r>
          </w:p>
        </w:tc>
        <w:tc>
          <w:tcPr>
            <w:tcW w:w="5726" w:type="dxa"/>
            <w:gridSpan w:val="2"/>
            <w:vAlign w:val="center"/>
          </w:tcPr>
          <w:p w14:paraId="791890D6">
            <w:pPr>
              <w:pStyle w:val="10"/>
            </w:pPr>
            <w:r>
              <w:t>功能分类科目</w:t>
            </w:r>
          </w:p>
        </w:tc>
        <w:tc>
          <w:tcPr>
            <w:tcW w:w="2551" w:type="dxa"/>
            <w:vMerge w:val="restart"/>
            <w:vAlign w:val="center"/>
          </w:tcPr>
          <w:p w14:paraId="1D827E70">
            <w:pPr>
              <w:pStyle w:val="10"/>
            </w:pPr>
            <w:r>
              <w:t>合计</w:t>
            </w:r>
          </w:p>
        </w:tc>
        <w:tc>
          <w:tcPr>
            <w:tcW w:w="2551" w:type="dxa"/>
            <w:vMerge w:val="restart"/>
            <w:vAlign w:val="center"/>
          </w:tcPr>
          <w:p w14:paraId="77B9C328">
            <w:pPr>
              <w:pStyle w:val="10"/>
            </w:pPr>
            <w:r>
              <w:t>基本支出</w:t>
            </w:r>
          </w:p>
        </w:tc>
        <w:tc>
          <w:tcPr>
            <w:tcW w:w="2551" w:type="dxa"/>
            <w:vMerge w:val="restart"/>
            <w:vAlign w:val="center"/>
          </w:tcPr>
          <w:p w14:paraId="1530E830">
            <w:pPr>
              <w:pStyle w:val="10"/>
            </w:pPr>
            <w:r>
              <w:t>项目支出</w:t>
            </w:r>
          </w:p>
        </w:tc>
      </w:tr>
      <w:tr w14:paraId="42F49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FF807"/>
        </w:tc>
        <w:tc>
          <w:tcPr>
            <w:tcW w:w="1191" w:type="dxa"/>
            <w:vAlign w:val="center"/>
          </w:tcPr>
          <w:p w14:paraId="44B65E0E">
            <w:pPr>
              <w:pStyle w:val="10"/>
            </w:pPr>
            <w:r>
              <w:t>科目编码</w:t>
            </w:r>
          </w:p>
        </w:tc>
        <w:tc>
          <w:tcPr>
            <w:tcW w:w="4535" w:type="dxa"/>
            <w:vAlign w:val="center"/>
          </w:tcPr>
          <w:p w14:paraId="10A1A5B5">
            <w:pPr>
              <w:pStyle w:val="10"/>
            </w:pPr>
            <w:r>
              <w:t>科目名称</w:t>
            </w:r>
          </w:p>
        </w:tc>
        <w:tc>
          <w:tcPr>
            <w:tcW w:w="2551" w:type="dxa"/>
            <w:vMerge w:val="continue"/>
          </w:tcPr>
          <w:p w14:paraId="03660EE5"/>
        </w:tc>
        <w:tc>
          <w:tcPr>
            <w:tcW w:w="2551" w:type="dxa"/>
            <w:vMerge w:val="continue"/>
          </w:tcPr>
          <w:p w14:paraId="509EB147"/>
        </w:tc>
        <w:tc>
          <w:tcPr>
            <w:tcW w:w="2551" w:type="dxa"/>
            <w:vMerge w:val="continue"/>
          </w:tcPr>
          <w:p w14:paraId="26E914EA"/>
        </w:tc>
      </w:tr>
      <w:tr w14:paraId="44C10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12292">
            <w:pPr>
              <w:pStyle w:val="10"/>
            </w:pPr>
            <w:r>
              <w:t>栏次</w:t>
            </w:r>
          </w:p>
        </w:tc>
        <w:tc>
          <w:tcPr>
            <w:tcW w:w="1191" w:type="dxa"/>
            <w:vAlign w:val="center"/>
          </w:tcPr>
          <w:p w14:paraId="3990C573">
            <w:pPr>
              <w:pStyle w:val="10"/>
            </w:pPr>
            <w:r>
              <w:t>1</w:t>
            </w:r>
          </w:p>
        </w:tc>
        <w:tc>
          <w:tcPr>
            <w:tcW w:w="4535" w:type="dxa"/>
            <w:vAlign w:val="center"/>
          </w:tcPr>
          <w:p w14:paraId="59771BE8">
            <w:pPr>
              <w:pStyle w:val="10"/>
            </w:pPr>
            <w:r>
              <w:t>2</w:t>
            </w:r>
          </w:p>
        </w:tc>
        <w:tc>
          <w:tcPr>
            <w:tcW w:w="2551" w:type="dxa"/>
            <w:vAlign w:val="center"/>
          </w:tcPr>
          <w:p w14:paraId="50239365">
            <w:pPr>
              <w:pStyle w:val="10"/>
            </w:pPr>
            <w:r>
              <w:t>3</w:t>
            </w:r>
          </w:p>
        </w:tc>
        <w:tc>
          <w:tcPr>
            <w:tcW w:w="2551" w:type="dxa"/>
            <w:vAlign w:val="center"/>
          </w:tcPr>
          <w:p w14:paraId="1A0FF405">
            <w:pPr>
              <w:pStyle w:val="10"/>
            </w:pPr>
            <w:r>
              <w:t>4</w:t>
            </w:r>
          </w:p>
        </w:tc>
        <w:tc>
          <w:tcPr>
            <w:tcW w:w="2551" w:type="dxa"/>
            <w:vAlign w:val="center"/>
          </w:tcPr>
          <w:p w14:paraId="6932FA7A">
            <w:pPr>
              <w:pStyle w:val="10"/>
            </w:pPr>
            <w:r>
              <w:t>5</w:t>
            </w:r>
          </w:p>
        </w:tc>
      </w:tr>
      <w:tr w14:paraId="75F3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18E5">
            <w:pPr>
              <w:pStyle w:val="13"/>
            </w:pPr>
          </w:p>
        </w:tc>
        <w:tc>
          <w:tcPr>
            <w:tcW w:w="1191" w:type="dxa"/>
            <w:vAlign w:val="center"/>
          </w:tcPr>
          <w:p w14:paraId="5CB95C45">
            <w:pPr>
              <w:pStyle w:val="12"/>
            </w:pPr>
          </w:p>
        </w:tc>
        <w:tc>
          <w:tcPr>
            <w:tcW w:w="4535" w:type="dxa"/>
            <w:vAlign w:val="center"/>
          </w:tcPr>
          <w:p w14:paraId="08F0397F">
            <w:pPr>
              <w:pStyle w:val="12"/>
            </w:pPr>
          </w:p>
        </w:tc>
        <w:tc>
          <w:tcPr>
            <w:tcW w:w="2551" w:type="dxa"/>
            <w:vAlign w:val="center"/>
          </w:tcPr>
          <w:p w14:paraId="701BA8E2">
            <w:pPr>
              <w:pStyle w:val="11"/>
            </w:pPr>
          </w:p>
        </w:tc>
        <w:tc>
          <w:tcPr>
            <w:tcW w:w="2551" w:type="dxa"/>
            <w:vAlign w:val="center"/>
          </w:tcPr>
          <w:p w14:paraId="68E7629B">
            <w:pPr>
              <w:pStyle w:val="11"/>
            </w:pPr>
          </w:p>
        </w:tc>
        <w:tc>
          <w:tcPr>
            <w:tcW w:w="2551" w:type="dxa"/>
            <w:vAlign w:val="center"/>
          </w:tcPr>
          <w:p w14:paraId="6E38A930">
            <w:pPr>
              <w:pStyle w:val="11"/>
            </w:pPr>
          </w:p>
        </w:tc>
      </w:tr>
    </w:tbl>
    <w:p w14:paraId="654434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2006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A8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C47C7D">
            <w:pPr>
              <w:pStyle w:val="9"/>
            </w:pPr>
            <w:r>
              <w:t>360009河北省隆尧县滏阳中学</w:t>
            </w:r>
          </w:p>
        </w:tc>
        <w:tc>
          <w:tcPr>
            <w:tcW w:w="2551" w:type="dxa"/>
            <w:tcBorders>
              <w:top w:val="single" w:color="FFFFFF" w:sz="6" w:space="0"/>
              <w:left w:val="single" w:color="FFFFFF" w:sz="6" w:space="0"/>
              <w:right w:val="single" w:color="FFFFFF" w:sz="6" w:space="0"/>
            </w:tcBorders>
            <w:vAlign w:val="center"/>
          </w:tcPr>
          <w:p w14:paraId="7076A0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AE17B6">
            <w:pPr>
              <w:pStyle w:val="7"/>
            </w:pPr>
            <w:r>
              <w:t>单位：万元</w:t>
            </w:r>
          </w:p>
        </w:tc>
      </w:tr>
      <w:tr w14:paraId="60046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7FCA7C">
            <w:pPr>
              <w:pStyle w:val="10"/>
            </w:pPr>
            <w:r>
              <w:t>序号</w:t>
            </w:r>
          </w:p>
        </w:tc>
        <w:tc>
          <w:tcPr>
            <w:tcW w:w="5726" w:type="dxa"/>
            <w:gridSpan w:val="2"/>
            <w:vAlign w:val="center"/>
          </w:tcPr>
          <w:p w14:paraId="01661B17">
            <w:pPr>
              <w:pStyle w:val="10"/>
            </w:pPr>
            <w:r>
              <w:t>功能分类科目</w:t>
            </w:r>
          </w:p>
        </w:tc>
        <w:tc>
          <w:tcPr>
            <w:tcW w:w="2551" w:type="dxa"/>
            <w:vMerge w:val="restart"/>
            <w:vAlign w:val="center"/>
          </w:tcPr>
          <w:p w14:paraId="7BBBB2BC">
            <w:pPr>
              <w:pStyle w:val="10"/>
            </w:pPr>
            <w:r>
              <w:t>合计</w:t>
            </w:r>
          </w:p>
        </w:tc>
        <w:tc>
          <w:tcPr>
            <w:tcW w:w="2551" w:type="dxa"/>
            <w:vMerge w:val="restart"/>
            <w:vAlign w:val="center"/>
          </w:tcPr>
          <w:p w14:paraId="04F119C6">
            <w:pPr>
              <w:pStyle w:val="10"/>
            </w:pPr>
            <w:r>
              <w:t>基本支出</w:t>
            </w:r>
          </w:p>
        </w:tc>
        <w:tc>
          <w:tcPr>
            <w:tcW w:w="2551" w:type="dxa"/>
            <w:vMerge w:val="restart"/>
            <w:vAlign w:val="center"/>
          </w:tcPr>
          <w:p w14:paraId="4FF704F6">
            <w:pPr>
              <w:pStyle w:val="10"/>
            </w:pPr>
            <w:r>
              <w:t>项目支出</w:t>
            </w:r>
          </w:p>
        </w:tc>
      </w:tr>
      <w:tr w14:paraId="03F8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B3ABE3"/>
        </w:tc>
        <w:tc>
          <w:tcPr>
            <w:tcW w:w="1191" w:type="dxa"/>
            <w:vAlign w:val="center"/>
          </w:tcPr>
          <w:p w14:paraId="25416EC9">
            <w:pPr>
              <w:pStyle w:val="10"/>
            </w:pPr>
            <w:r>
              <w:t>科目编码</w:t>
            </w:r>
          </w:p>
        </w:tc>
        <w:tc>
          <w:tcPr>
            <w:tcW w:w="4535" w:type="dxa"/>
            <w:vAlign w:val="center"/>
          </w:tcPr>
          <w:p w14:paraId="5B6D4A28">
            <w:pPr>
              <w:pStyle w:val="10"/>
            </w:pPr>
            <w:r>
              <w:t>科目名称</w:t>
            </w:r>
          </w:p>
        </w:tc>
        <w:tc>
          <w:tcPr>
            <w:tcW w:w="2551" w:type="dxa"/>
            <w:vMerge w:val="continue"/>
          </w:tcPr>
          <w:p w14:paraId="6916D026"/>
        </w:tc>
        <w:tc>
          <w:tcPr>
            <w:tcW w:w="2551" w:type="dxa"/>
            <w:vMerge w:val="continue"/>
          </w:tcPr>
          <w:p w14:paraId="0B18A9BE"/>
        </w:tc>
        <w:tc>
          <w:tcPr>
            <w:tcW w:w="2551" w:type="dxa"/>
            <w:vMerge w:val="continue"/>
          </w:tcPr>
          <w:p w14:paraId="740BCE49"/>
        </w:tc>
      </w:tr>
      <w:tr w14:paraId="7290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EC044">
            <w:pPr>
              <w:pStyle w:val="10"/>
            </w:pPr>
            <w:r>
              <w:t>栏次</w:t>
            </w:r>
          </w:p>
        </w:tc>
        <w:tc>
          <w:tcPr>
            <w:tcW w:w="1191" w:type="dxa"/>
            <w:vAlign w:val="center"/>
          </w:tcPr>
          <w:p w14:paraId="1A5BF82D">
            <w:pPr>
              <w:pStyle w:val="10"/>
            </w:pPr>
            <w:r>
              <w:t>1</w:t>
            </w:r>
          </w:p>
        </w:tc>
        <w:tc>
          <w:tcPr>
            <w:tcW w:w="4535" w:type="dxa"/>
            <w:vAlign w:val="center"/>
          </w:tcPr>
          <w:p w14:paraId="668C46E5">
            <w:pPr>
              <w:pStyle w:val="10"/>
            </w:pPr>
            <w:r>
              <w:t>2</w:t>
            </w:r>
          </w:p>
        </w:tc>
        <w:tc>
          <w:tcPr>
            <w:tcW w:w="2551" w:type="dxa"/>
            <w:vAlign w:val="center"/>
          </w:tcPr>
          <w:p w14:paraId="2DEBBD92">
            <w:pPr>
              <w:pStyle w:val="10"/>
            </w:pPr>
            <w:r>
              <w:t>3</w:t>
            </w:r>
          </w:p>
        </w:tc>
        <w:tc>
          <w:tcPr>
            <w:tcW w:w="2551" w:type="dxa"/>
            <w:vAlign w:val="center"/>
          </w:tcPr>
          <w:p w14:paraId="35122D6C">
            <w:pPr>
              <w:pStyle w:val="10"/>
            </w:pPr>
            <w:r>
              <w:t>4</w:t>
            </w:r>
          </w:p>
        </w:tc>
        <w:tc>
          <w:tcPr>
            <w:tcW w:w="2551" w:type="dxa"/>
            <w:vAlign w:val="center"/>
          </w:tcPr>
          <w:p w14:paraId="3257744B">
            <w:pPr>
              <w:pStyle w:val="10"/>
            </w:pPr>
            <w:r>
              <w:t>5</w:t>
            </w:r>
          </w:p>
        </w:tc>
      </w:tr>
      <w:tr w14:paraId="248E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2662">
            <w:pPr>
              <w:pStyle w:val="13"/>
            </w:pPr>
          </w:p>
        </w:tc>
        <w:tc>
          <w:tcPr>
            <w:tcW w:w="1191" w:type="dxa"/>
            <w:vAlign w:val="center"/>
          </w:tcPr>
          <w:p w14:paraId="607EC626">
            <w:pPr>
              <w:pStyle w:val="12"/>
            </w:pPr>
          </w:p>
        </w:tc>
        <w:tc>
          <w:tcPr>
            <w:tcW w:w="4535" w:type="dxa"/>
            <w:vAlign w:val="center"/>
          </w:tcPr>
          <w:p w14:paraId="784FBB0A">
            <w:pPr>
              <w:pStyle w:val="12"/>
            </w:pPr>
          </w:p>
        </w:tc>
        <w:tc>
          <w:tcPr>
            <w:tcW w:w="2551" w:type="dxa"/>
            <w:vAlign w:val="center"/>
          </w:tcPr>
          <w:p w14:paraId="295DA0A2">
            <w:pPr>
              <w:pStyle w:val="11"/>
            </w:pPr>
          </w:p>
        </w:tc>
        <w:tc>
          <w:tcPr>
            <w:tcW w:w="2551" w:type="dxa"/>
            <w:vAlign w:val="center"/>
          </w:tcPr>
          <w:p w14:paraId="3E230648">
            <w:pPr>
              <w:pStyle w:val="11"/>
            </w:pPr>
          </w:p>
        </w:tc>
        <w:tc>
          <w:tcPr>
            <w:tcW w:w="2551" w:type="dxa"/>
            <w:vAlign w:val="center"/>
          </w:tcPr>
          <w:p w14:paraId="52B1741F">
            <w:pPr>
              <w:pStyle w:val="11"/>
            </w:pPr>
          </w:p>
        </w:tc>
      </w:tr>
    </w:tbl>
    <w:p w14:paraId="7034D1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2065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3A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EA63AC">
            <w:pPr>
              <w:pStyle w:val="9"/>
            </w:pPr>
            <w:r>
              <w:t>360009河北省隆尧县滏阳中学</w:t>
            </w:r>
          </w:p>
        </w:tc>
        <w:tc>
          <w:tcPr>
            <w:tcW w:w="2381" w:type="dxa"/>
            <w:tcBorders>
              <w:top w:val="single" w:color="FFFFFF" w:sz="6" w:space="0"/>
              <w:left w:val="single" w:color="FFFFFF" w:sz="6" w:space="0"/>
              <w:right w:val="single" w:color="FFFFFF" w:sz="6" w:space="0"/>
            </w:tcBorders>
            <w:vAlign w:val="center"/>
          </w:tcPr>
          <w:p w14:paraId="65BD775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381D6BD">
            <w:pPr>
              <w:pStyle w:val="7"/>
            </w:pPr>
            <w:r>
              <w:t>单位：万元</w:t>
            </w:r>
          </w:p>
        </w:tc>
      </w:tr>
      <w:tr w14:paraId="6B30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93217">
            <w:pPr>
              <w:pStyle w:val="10"/>
            </w:pPr>
            <w:r>
              <w:t>序号</w:t>
            </w:r>
          </w:p>
        </w:tc>
        <w:tc>
          <w:tcPr>
            <w:tcW w:w="3798" w:type="dxa"/>
            <w:vMerge w:val="restart"/>
            <w:vAlign w:val="center"/>
          </w:tcPr>
          <w:p w14:paraId="05E1B41C">
            <w:pPr>
              <w:pStyle w:val="10"/>
            </w:pPr>
            <w:r>
              <w:t>项  目</w:t>
            </w:r>
          </w:p>
        </w:tc>
        <w:tc>
          <w:tcPr>
            <w:tcW w:w="9524" w:type="dxa"/>
            <w:gridSpan w:val="4"/>
            <w:vAlign w:val="center"/>
          </w:tcPr>
          <w:p w14:paraId="2D052618">
            <w:pPr>
              <w:pStyle w:val="10"/>
            </w:pPr>
            <w:r>
              <w:t>资 金 性 质</w:t>
            </w:r>
          </w:p>
        </w:tc>
      </w:tr>
      <w:tr w14:paraId="3D28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5BEAEA"/>
        </w:tc>
        <w:tc>
          <w:tcPr>
            <w:tcW w:w="3798" w:type="dxa"/>
            <w:vMerge w:val="continue"/>
          </w:tcPr>
          <w:p w14:paraId="5053771B"/>
        </w:tc>
        <w:tc>
          <w:tcPr>
            <w:tcW w:w="2381" w:type="dxa"/>
            <w:vAlign w:val="center"/>
          </w:tcPr>
          <w:p w14:paraId="4AD8DF0C">
            <w:pPr>
              <w:pStyle w:val="10"/>
            </w:pPr>
            <w:r>
              <w:t>合计</w:t>
            </w:r>
          </w:p>
        </w:tc>
        <w:tc>
          <w:tcPr>
            <w:tcW w:w="2381" w:type="dxa"/>
            <w:vAlign w:val="center"/>
          </w:tcPr>
          <w:p w14:paraId="21064260">
            <w:pPr>
              <w:pStyle w:val="10"/>
            </w:pPr>
            <w:r>
              <w:t>一般公共预算              财政拨款</w:t>
            </w:r>
          </w:p>
        </w:tc>
        <w:tc>
          <w:tcPr>
            <w:tcW w:w="2381" w:type="dxa"/>
            <w:vAlign w:val="center"/>
          </w:tcPr>
          <w:p w14:paraId="1BF67D99">
            <w:pPr>
              <w:pStyle w:val="10"/>
            </w:pPr>
            <w:r>
              <w:t>政府性基金                  预算拨款</w:t>
            </w:r>
          </w:p>
        </w:tc>
        <w:tc>
          <w:tcPr>
            <w:tcW w:w="2381" w:type="dxa"/>
            <w:vAlign w:val="center"/>
          </w:tcPr>
          <w:p w14:paraId="3E7D6DAE">
            <w:pPr>
              <w:pStyle w:val="10"/>
            </w:pPr>
            <w:r>
              <w:t>国有资本经营              预算财政拨款</w:t>
            </w:r>
          </w:p>
        </w:tc>
      </w:tr>
      <w:tr w14:paraId="72CB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AB3AC5">
            <w:pPr>
              <w:pStyle w:val="10"/>
            </w:pPr>
            <w:r>
              <w:t>栏次</w:t>
            </w:r>
          </w:p>
        </w:tc>
        <w:tc>
          <w:tcPr>
            <w:tcW w:w="3798" w:type="dxa"/>
            <w:vAlign w:val="center"/>
          </w:tcPr>
          <w:p w14:paraId="261241F4">
            <w:pPr>
              <w:pStyle w:val="10"/>
            </w:pPr>
            <w:r>
              <w:t>1</w:t>
            </w:r>
          </w:p>
        </w:tc>
        <w:tc>
          <w:tcPr>
            <w:tcW w:w="2381" w:type="dxa"/>
            <w:vAlign w:val="center"/>
          </w:tcPr>
          <w:p w14:paraId="60553C7E">
            <w:pPr>
              <w:pStyle w:val="10"/>
            </w:pPr>
            <w:r>
              <w:t>2</w:t>
            </w:r>
          </w:p>
        </w:tc>
        <w:tc>
          <w:tcPr>
            <w:tcW w:w="2381" w:type="dxa"/>
            <w:vAlign w:val="center"/>
          </w:tcPr>
          <w:p w14:paraId="330E9D7F">
            <w:pPr>
              <w:pStyle w:val="10"/>
            </w:pPr>
            <w:r>
              <w:t>3</w:t>
            </w:r>
          </w:p>
        </w:tc>
        <w:tc>
          <w:tcPr>
            <w:tcW w:w="2381" w:type="dxa"/>
            <w:vAlign w:val="center"/>
          </w:tcPr>
          <w:p w14:paraId="556F2833">
            <w:pPr>
              <w:pStyle w:val="10"/>
            </w:pPr>
            <w:r>
              <w:t>4</w:t>
            </w:r>
          </w:p>
        </w:tc>
        <w:tc>
          <w:tcPr>
            <w:tcW w:w="2381" w:type="dxa"/>
            <w:vAlign w:val="center"/>
          </w:tcPr>
          <w:p w14:paraId="2DB6CD82">
            <w:pPr>
              <w:pStyle w:val="10"/>
            </w:pPr>
            <w:r>
              <w:t>5</w:t>
            </w:r>
          </w:p>
        </w:tc>
      </w:tr>
      <w:tr w14:paraId="4C2F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85FDF8">
            <w:pPr>
              <w:pStyle w:val="13"/>
            </w:pPr>
          </w:p>
        </w:tc>
        <w:tc>
          <w:tcPr>
            <w:tcW w:w="3798" w:type="dxa"/>
            <w:vAlign w:val="center"/>
          </w:tcPr>
          <w:p w14:paraId="57CB0564">
            <w:pPr>
              <w:pStyle w:val="12"/>
            </w:pPr>
          </w:p>
        </w:tc>
        <w:tc>
          <w:tcPr>
            <w:tcW w:w="2381" w:type="dxa"/>
            <w:vAlign w:val="center"/>
          </w:tcPr>
          <w:p w14:paraId="48D4C9D1">
            <w:pPr>
              <w:pStyle w:val="11"/>
            </w:pPr>
          </w:p>
        </w:tc>
        <w:tc>
          <w:tcPr>
            <w:tcW w:w="2381" w:type="dxa"/>
            <w:vAlign w:val="center"/>
          </w:tcPr>
          <w:p w14:paraId="1B9A40A3">
            <w:pPr>
              <w:pStyle w:val="11"/>
            </w:pPr>
          </w:p>
        </w:tc>
        <w:tc>
          <w:tcPr>
            <w:tcW w:w="2381" w:type="dxa"/>
            <w:vAlign w:val="center"/>
          </w:tcPr>
          <w:p w14:paraId="2C759A44">
            <w:pPr>
              <w:pStyle w:val="11"/>
            </w:pPr>
          </w:p>
        </w:tc>
        <w:tc>
          <w:tcPr>
            <w:tcW w:w="2381" w:type="dxa"/>
            <w:vAlign w:val="center"/>
          </w:tcPr>
          <w:p w14:paraId="235FCE4E">
            <w:pPr>
              <w:pStyle w:val="11"/>
            </w:pPr>
          </w:p>
        </w:tc>
      </w:tr>
    </w:tbl>
    <w:p w14:paraId="3186E40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5C0E5E0">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河北省隆尧县滏阳中学2026年单位预算信息公开情况说明</w:t>
      </w:r>
    </w:p>
    <w:p w14:paraId="530154E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地方预决算公开操作规程》和《关于进一步推进预算公开工作的实施意见》规定，现将河北省隆尧县滏阳中学2026年单位预算公开如下：</w:t>
      </w:r>
    </w:p>
    <w:p w14:paraId="1AB3ED55">
      <w:pPr>
        <w:spacing w:before="10" w:after="10" w:line="240" w:lineRule="auto"/>
        <w:ind w:firstLine="640"/>
        <w:jc w:val="left"/>
        <w:outlineLvl w:val="5"/>
      </w:pPr>
      <w:r>
        <w:rPr>
          <w:rFonts w:ascii="黑体" w:hAnsi="黑体" w:eastAsia="黑体" w:cs="黑体"/>
          <w:color w:val="000000"/>
          <w:sz w:val="32"/>
        </w:rPr>
        <w:t>一、单位职责及机构设置情况</w:t>
      </w:r>
    </w:p>
    <w:p w14:paraId="7348ABF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8CE571">
      <w:pPr>
        <w:pStyle w:val="17"/>
      </w:pPr>
      <w:r>
        <w:rPr>
          <w:rFonts w:hint="eastAsia"/>
        </w:rPr>
        <w:t>贯彻落实基础教育的方针、政策，开展初中阶段教育教学工作，促进学生德、智、体、美、劳全面发展：负责学生安全教育和管理，确保学生身心健康：加强教师队伍建设和管理，为教育教学工作提供保障。河北省隆尧县滏阳中学事业编制86名，其中，校长1名（正股级），副校长3名（副股级）：专职副书记1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1C5227F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44918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4D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FDF6CE">
            <w:pPr>
              <w:pStyle w:val="10"/>
            </w:pPr>
            <w:r>
              <w:t>单位名称</w:t>
            </w:r>
          </w:p>
        </w:tc>
        <w:tc>
          <w:tcPr>
            <w:tcW w:w="1843" w:type="dxa"/>
            <w:vAlign w:val="center"/>
          </w:tcPr>
          <w:p w14:paraId="4E849A45">
            <w:pPr>
              <w:pStyle w:val="10"/>
            </w:pPr>
            <w:r>
              <w:t>单位性质</w:t>
            </w:r>
          </w:p>
        </w:tc>
        <w:tc>
          <w:tcPr>
            <w:tcW w:w="2126" w:type="dxa"/>
            <w:vAlign w:val="center"/>
          </w:tcPr>
          <w:p w14:paraId="17768F2D">
            <w:pPr>
              <w:pStyle w:val="10"/>
            </w:pPr>
            <w:r>
              <w:t>单位规格</w:t>
            </w:r>
          </w:p>
        </w:tc>
        <w:tc>
          <w:tcPr>
            <w:tcW w:w="3827" w:type="dxa"/>
            <w:vAlign w:val="center"/>
          </w:tcPr>
          <w:p w14:paraId="4914E22B">
            <w:pPr>
              <w:pStyle w:val="10"/>
            </w:pPr>
            <w:r>
              <w:t>经费保障形式</w:t>
            </w:r>
          </w:p>
        </w:tc>
      </w:tr>
      <w:tr w14:paraId="506D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7CD9D9">
            <w:pPr>
              <w:pStyle w:val="12"/>
            </w:pPr>
            <w:r>
              <w:t>河北省隆尧县滏阳中学</w:t>
            </w:r>
          </w:p>
        </w:tc>
        <w:tc>
          <w:tcPr>
            <w:tcW w:w="1843" w:type="dxa"/>
            <w:vAlign w:val="center"/>
          </w:tcPr>
          <w:p w14:paraId="10F9597F">
            <w:pPr>
              <w:pStyle w:val="13"/>
            </w:pPr>
            <w:r>
              <w:t>事业</w:t>
            </w:r>
          </w:p>
        </w:tc>
        <w:tc>
          <w:tcPr>
            <w:tcW w:w="2126" w:type="dxa"/>
            <w:vAlign w:val="center"/>
          </w:tcPr>
          <w:p w14:paraId="2D7963AD">
            <w:pPr>
              <w:pStyle w:val="13"/>
            </w:pPr>
            <w:r>
              <w:t>股级</w:t>
            </w:r>
          </w:p>
        </w:tc>
        <w:tc>
          <w:tcPr>
            <w:tcW w:w="3827" w:type="dxa"/>
            <w:vAlign w:val="center"/>
          </w:tcPr>
          <w:p w14:paraId="49118D27">
            <w:pPr>
              <w:pStyle w:val="13"/>
            </w:pPr>
            <w:r>
              <w:t>财政性资金基本保证</w:t>
            </w:r>
          </w:p>
        </w:tc>
      </w:tr>
    </w:tbl>
    <w:p w14:paraId="49ACB302">
      <w:pPr>
        <w:spacing w:before="10" w:after="10" w:line="240" w:lineRule="auto"/>
        <w:ind w:firstLine="640"/>
        <w:jc w:val="left"/>
        <w:outlineLvl w:val="5"/>
      </w:pPr>
      <w:r>
        <w:rPr>
          <w:rFonts w:ascii="黑体" w:hAnsi="黑体" w:eastAsia="黑体" w:cs="黑体"/>
          <w:color w:val="000000"/>
          <w:sz w:val="32"/>
        </w:rPr>
        <w:t>二、单位预算安排的总体情况</w:t>
      </w:r>
    </w:p>
    <w:p w14:paraId="16F66579">
      <w:pPr>
        <w:pStyle w:val="18"/>
      </w:pPr>
      <w:r>
        <w:t>按照预算管理有关规定，目前我校单位预算的编制实行综合预算管理，即全部收入和支出都反映的预算中。河北省隆尧县滏阳中学的收支包含在单位预算中。</w:t>
      </w:r>
    </w:p>
    <w:p w14:paraId="136CB42A">
      <w:pPr>
        <w:pStyle w:val="18"/>
      </w:pPr>
      <w:r>
        <w:t>1、收入说明</w:t>
      </w:r>
    </w:p>
    <w:p w14:paraId="4657ADFB">
      <w:pPr>
        <w:pStyle w:val="18"/>
      </w:pPr>
      <w:r>
        <w:t>反映本单位当年全部收入。2026年预算收入1251.78万元，其中：一般公共预算收入1251.78万元，基金预算收入0万元，财政专户管理资金收入0万元，单位资金收入0万元，上年结转结余0万元。</w:t>
      </w:r>
    </w:p>
    <w:p w14:paraId="467618DF">
      <w:pPr>
        <w:pStyle w:val="18"/>
      </w:pPr>
      <w:r>
        <w:t>2、支出说明</w:t>
      </w:r>
    </w:p>
    <w:p w14:paraId="3DEF1D61">
      <w:pPr>
        <w:pStyle w:val="18"/>
      </w:pPr>
      <w:r>
        <w:t>收支预算总表支出栏、基本支出表、项目支出表按经济分类和支出功能分类科目编制，反映隆尧县滏阳中学年度单位预算中支出预算的总体情况。2026年单位支出预算为1251.78万元，其中基本支出1082.16万元、项目支出169.62万元。主要为初中教育1251.78万元，教育费附加安排的支出0万元。</w:t>
      </w:r>
    </w:p>
    <w:p w14:paraId="067DB2DC">
      <w:pPr>
        <w:pStyle w:val="18"/>
      </w:pPr>
      <w:r>
        <w:t>3、比上年增减情况</w:t>
      </w:r>
    </w:p>
    <w:p w14:paraId="4C82201B">
      <w:pPr>
        <w:pStyle w:val="18"/>
      </w:pPr>
      <w:r>
        <w:t>2026年部门预算收支安排1251.78万元，较2025年减少196.19万元。主要是2026年我校基本支出减少。</w:t>
      </w:r>
    </w:p>
    <w:p w14:paraId="56F6EC75">
      <w:pPr>
        <w:spacing w:before="10" w:after="10" w:line="240" w:lineRule="auto"/>
        <w:ind w:firstLine="640"/>
        <w:jc w:val="left"/>
        <w:outlineLvl w:val="5"/>
      </w:pPr>
      <w:r>
        <w:rPr>
          <w:rFonts w:ascii="黑体" w:hAnsi="黑体" w:eastAsia="黑体" w:cs="黑体"/>
          <w:color w:val="000000"/>
          <w:sz w:val="32"/>
        </w:rPr>
        <w:t>三、机关运行经费安排情况</w:t>
      </w:r>
    </w:p>
    <w:p w14:paraId="298382D8">
      <w:pPr>
        <w:pStyle w:val="19"/>
      </w:pPr>
      <w:r>
        <w:t>2026年，我单位按学生安排公用经费，无机关运行经费。</w:t>
      </w:r>
    </w:p>
    <w:p w14:paraId="48BA74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F3A3D8">
      <w:pPr>
        <w:pStyle w:val="20"/>
      </w:pPr>
      <w:r>
        <w:t>2026年，我单位未安排</w:t>
      </w:r>
      <w:r>
        <w:rPr>
          <w:rFonts w:hint="eastAsia"/>
          <w:lang w:eastAsia="zh-CN"/>
        </w:rPr>
        <w:t>“三公”经费</w:t>
      </w:r>
      <w:r>
        <w:t>。</w:t>
      </w:r>
    </w:p>
    <w:p w14:paraId="5491030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DA80961">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1、冀财教[2025]121号/中央/2026年义教补助经费/滏阳中学公用经费绩效目标表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DA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D4BE5">
            <w:pPr>
              <w:pStyle w:val="11"/>
            </w:pPr>
            <w:r>
              <w:t>单位：万元</w:t>
            </w:r>
          </w:p>
        </w:tc>
      </w:tr>
      <w:tr w14:paraId="4334C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0A0FA">
            <w:pPr>
              <w:pStyle w:val="10"/>
            </w:pPr>
            <w:r>
              <w:t>项目编码</w:t>
            </w:r>
          </w:p>
        </w:tc>
        <w:tc>
          <w:tcPr>
            <w:tcW w:w="5103" w:type="dxa"/>
            <w:gridSpan w:val="2"/>
            <w:vAlign w:val="center"/>
          </w:tcPr>
          <w:p w14:paraId="4279EA3A">
            <w:pPr>
              <w:pStyle w:val="12"/>
            </w:pPr>
            <w:r>
              <w:t>13052526P00000410250C</w:t>
            </w:r>
          </w:p>
        </w:tc>
        <w:tc>
          <w:tcPr>
            <w:tcW w:w="2835" w:type="dxa"/>
            <w:vAlign w:val="center"/>
          </w:tcPr>
          <w:p w14:paraId="7B64A32D">
            <w:pPr>
              <w:pStyle w:val="10"/>
            </w:pPr>
            <w:r>
              <w:t>项目名称</w:t>
            </w:r>
          </w:p>
        </w:tc>
        <w:tc>
          <w:tcPr>
            <w:tcW w:w="6095" w:type="dxa"/>
            <w:gridSpan w:val="3"/>
            <w:vAlign w:val="center"/>
          </w:tcPr>
          <w:p w14:paraId="02866630">
            <w:pPr>
              <w:pStyle w:val="12"/>
            </w:pPr>
            <w:r>
              <w:t>冀财教[2025]121号/中央/2026年义教补助经费/滏阳中学公用经费</w:t>
            </w:r>
          </w:p>
        </w:tc>
      </w:tr>
      <w:tr w14:paraId="11257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83A10">
            <w:pPr>
              <w:pStyle w:val="10"/>
            </w:pPr>
            <w:r>
              <w:t>预算规模及资金用途</w:t>
            </w:r>
          </w:p>
        </w:tc>
        <w:tc>
          <w:tcPr>
            <w:tcW w:w="2268" w:type="dxa"/>
            <w:vAlign w:val="center"/>
          </w:tcPr>
          <w:p w14:paraId="72860E4F">
            <w:pPr>
              <w:pStyle w:val="10"/>
            </w:pPr>
            <w:r>
              <w:t>预算数</w:t>
            </w:r>
          </w:p>
        </w:tc>
        <w:tc>
          <w:tcPr>
            <w:tcW w:w="2835" w:type="dxa"/>
            <w:vAlign w:val="center"/>
          </w:tcPr>
          <w:p w14:paraId="51180662">
            <w:pPr>
              <w:pStyle w:val="12"/>
            </w:pPr>
            <w:r>
              <w:t>62.72</w:t>
            </w:r>
          </w:p>
        </w:tc>
        <w:tc>
          <w:tcPr>
            <w:tcW w:w="2835" w:type="dxa"/>
            <w:vAlign w:val="center"/>
          </w:tcPr>
          <w:p w14:paraId="5D9EC50D">
            <w:pPr>
              <w:pStyle w:val="10"/>
            </w:pPr>
            <w:r>
              <w:t>其中：财政    资金</w:t>
            </w:r>
          </w:p>
        </w:tc>
        <w:tc>
          <w:tcPr>
            <w:tcW w:w="2551" w:type="dxa"/>
            <w:vAlign w:val="center"/>
          </w:tcPr>
          <w:p w14:paraId="237D1D7C">
            <w:pPr>
              <w:pStyle w:val="12"/>
            </w:pPr>
            <w:r>
              <w:t>62.72</w:t>
            </w:r>
          </w:p>
        </w:tc>
        <w:tc>
          <w:tcPr>
            <w:tcW w:w="2268" w:type="dxa"/>
            <w:vAlign w:val="center"/>
          </w:tcPr>
          <w:p w14:paraId="0174DE6E">
            <w:pPr>
              <w:pStyle w:val="10"/>
            </w:pPr>
            <w:r>
              <w:t>其他资金</w:t>
            </w:r>
          </w:p>
        </w:tc>
        <w:tc>
          <w:tcPr>
            <w:tcW w:w="1276" w:type="dxa"/>
            <w:vAlign w:val="center"/>
          </w:tcPr>
          <w:p w14:paraId="1EE25187">
            <w:pPr>
              <w:pStyle w:val="12"/>
            </w:pPr>
            <w:r>
              <w:t xml:space="preserve"> </w:t>
            </w:r>
          </w:p>
        </w:tc>
      </w:tr>
      <w:tr w14:paraId="00E9E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54048"/>
        </w:tc>
        <w:tc>
          <w:tcPr>
            <w:tcW w:w="14033" w:type="dxa"/>
            <w:gridSpan w:val="6"/>
            <w:vAlign w:val="center"/>
          </w:tcPr>
          <w:p w14:paraId="57BCB68A">
            <w:pPr>
              <w:pStyle w:val="12"/>
            </w:pPr>
            <w:r>
              <w:t>有效完成学校教学安全秩序，保障学校教学任务有效开展，满足学校正常教学需要。</w:t>
            </w:r>
          </w:p>
        </w:tc>
      </w:tr>
      <w:tr w14:paraId="7B6FC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85A1D">
            <w:pPr>
              <w:pStyle w:val="10"/>
            </w:pPr>
            <w:r>
              <w:t>资金支出计划（%）</w:t>
            </w:r>
          </w:p>
        </w:tc>
        <w:tc>
          <w:tcPr>
            <w:tcW w:w="5103" w:type="dxa"/>
            <w:gridSpan w:val="2"/>
            <w:vAlign w:val="center"/>
          </w:tcPr>
          <w:p w14:paraId="4827FBD6">
            <w:pPr>
              <w:pStyle w:val="10"/>
            </w:pPr>
            <w:r>
              <w:t>3月底</w:t>
            </w:r>
          </w:p>
        </w:tc>
        <w:tc>
          <w:tcPr>
            <w:tcW w:w="2835" w:type="dxa"/>
            <w:vAlign w:val="center"/>
          </w:tcPr>
          <w:p w14:paraId="35F0CCDB">
            <w:pPr>
              <w:pStyle w:val="10"/>
            </w:pPr>
            <w:r>
              <w:t>6月底</w:t>
            </w:r>
          </w:p>
        </w:tc>
        <w:tc>
          <w:tcPr>
            <w:tcW w:w="2551" w:type="dxa"/>
            <w:vAlign w:val="center"/>
          </w:tcPr>
          <w:p w14:paraId="55007BF9">
            <w:pPr>
              <w:pStyle w:val="10"/>
            </w:pPr>
            <w:r>
              <w:t>10月底</w:t>
            </w:r>
          </w:p>
        </w:tc>
        <w:tc>
          <w:tcPr>
            <w:tcW w:w="3544" w:type="dxa"/>
            <w:gridSpan w:val="2"/>
            <w:vAlign w:val="center"/>
          </w:tcPr>
          <w:p w14:paraId="32F2B171">
            <w:pPr>
              <w:pStyle w:val="10"/>
            </w:pPr>
            <w:r>
              <w:t>12月底</w:t>
            </w:r>
          </w:p>
        </w:tc>
      </w:tr>
      <w:tr w14:paraId="1544E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C79FF"/>
        </w:tc>
        <w:tc>
          <w:tcPr>
            <w:tcW w:w="5103" w:type="dxa"/>
            <w:gridSpan w:val="2"/>
            <w:vAlign w:val="center"/>
          </w:tcPr>
          <w:p w14:paraId="40D70D11">
            <w:pPr>
              <w:pStyle w:val="13"/>
            </w:pPr>
            <w:r>
              <w:t>25%</w:t>
            </w:r>
          </w:p>
        </w:tc>
        <w:tc>
          <w:tcPr>
            <w:tcW w:w="2835" w:type="dxa"/>
            <w:vAlign w:val="center"/>
          </w:tcPr>
          <w:p w14:paraId="465A127F">
            <w:pPr>
              <w:pStyle w:val="13"/>
            </w:pPr>
            <w:r>
              <w:t>50%</w:t>
            </w:r>
          </w:p>
        </w:tc>
        <w:tc>
          <w:tcPr>
            <w:tcW w:w="2551" w:type="dxa"/>
            <w:vAlign w:val="center"/>
          </w:tcPr>
          <w:p w14:paraId="7867F83D">
            <w:pPr>
              <w:pStyle w:val="13"/>
            </w:pPr>
            <w:r>
              <w:t>75%</w:t>
            </w:r>
          </w:p>
        </w:tc>
        <w:tc>
          <w:tcPr>
            <w:tcW w:w="3544" w:type="dxa"/>
            <w:gridSpan w:val="2"/>
            <w:vAlign w:val="center"/>
          </w:tcPr>
          <w:p w14:paraId="538BB9DF">
            <w:pPr>
              <w:pStyle w:val="13"/>
            </w:pPr>
            <w:r>
              <w:t>100%</w:t>
            </w:r>
          </w:p>
        </w:tc>
      </w:tr>
      <w:tr w14:paraId="33C24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3F64C">
            <w:pPr>
              <w:pStyle w:val="10"/>
            </w:pPr>
            <w:r>
              <w:t>绩效目标</w:t>
            </w:r>
          </w:p>
        </w:tc>
        <w:tc>
          <w:tcPr>
            <w:tcW w:w="14033" w:type="dxa"/>
            <w:gridSpan w:val="6"/>
            <w:vAlign w:val="center"/>
          </w:tcPr>
          <w:p w14:paraId="7E6DC0FD">
            <w:pPr>
              <w:pStyle w:val="12"/>
            </w:pPr>
            <w:r>
              <w:t>1.有效完成学校教学安全秩序，保障学校教学任务有效开展，满足学校正常教学需要。</w:t>
            </w:r>
          </w:p>
          <w:p w14:paraId="416F5F41">
            <w:pPr>
              <w:pStyle w:val="12"/>
            </w:pPr>
            <w:r>
              <w:t>2.按规定拨付公用经费资金，预算执行率≥98%。</w:t>
            </w:r>
          </w:p>
        </w:tc>
      </w:tr>
    </w:tbl>
    <w:p w14:paraId="4A082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D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BAB78">
            <w:pPr>
              <w:pStyle w:val="10"/>
            </w:pPr>
            <w:r>
              <w:t>一级指标</w:t>
            </w:r>
          </w:p>
        </w:tc>
        <w:tc>
          <w:tcPr>
            <w:tcW w:w="2268" w:type="dxa"/>
            <w:vAlign w:val="center"/>
          </w:tcPr>
          <w:p w14:paraId="78C97E8B">
            <w:pPr>
              <w:pStyle w:val="10"/>
            </w:pPr>
            <w:r>
              <w:t>二级指标</w:t>
            </w:r>
          </w:p>
        </w:tc>
        <w:tc>
          <w:tcPr>
            <w:tcW w:w="2835" w:type="dxa"/>
            <w:vAlign w:val="center"/>
          </w:tcPr>
          <w:p w14:paraId="70C3E8DB">
            <w:pPr>
              <w:pStyle w:val="10"/>
            </w:pPr>
            <w:r>
              <w:t>三级指标</w:t>
            </w:r>
          </w:p>
        </w:tc>
        <w:tc>
          <w:tcPr>
            <w:tcW w:w="5386" w:type="dxa"/>
            <w:vAlign w:val="center"/>
          </w:tcPr>
          <w:p w14:paraId="4F8BFA5A">
            <w:pPr>
              <w:pStyle w:val="10"/>
            </w:pPr>
            <w:r>
              <w:t>绩效指标描述</w:t>
            </w:r>
          </w:p>
        </w:tc>
        <w:tc>
          <w:tcPr>
            <w:tcW w:w="2268" w:type="dxa"/>
            <w:vAlign w:val="center"/>
          </w:tcPr>
          <w:p w14:paraId="7F8F6448">
            <w:pPr>
              <w:pStyle w:val="10"/>
            </w:pPr>
            <w:r>
              <w:t>指标值</w:t>
            </w:r>
          </w:p>
        </w:tc>
        <w:tc>
          <w:tcPr>
            <w:tcW w:w="1276" w:type="dxa"/>
            <w:vAlign w:val="center"/>
          </w:tcPr>
          <w:p w14:paraId="7C807C3E">
            <w:pPr>
              <w:pStyle w:val="10"/>
            </w:pPr>
            <w:r>
              <w:t>指标值确定依据</w:t>
            </w:r>
          </w:p>
        </w:tc>
      </w:tr>
      <w:tr w14:paraId="5D16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4F16B">
            <w:pPr>
              <w:pStyle w:val="13"/>
            </w:pPr>
            <w:r>
              <w:t>产出指标</w:t>
            </w:r>
          </w:p>
        </w:tc>
        <w:tc>
          <w:tcPr>
            <w:tcW w:w="2268" w:type="dxa"/>
            <w:vAlign w:val="center"/>
          </w:tcPr>
          <w:p w14:paraId="2F80CCDF">
            <w:pPr>
              <w:pStyle w:val="12"/>
            </w:pPr>
            <w:r>
              <w:t>数量指标</w:t>
            </w:r>
          </w:p>
        </w:tc>
        <w:tc>
          <w:tcPr>
            <w:tcW w:w="2835" w:type="dxa"/>
            <w:vAlign w:val="center"/>
          </w:tcPr>
          <w:p w14:paraId="152F03A0">
            <w:pPr>
              <w:pStyle w:val="12"/>
            </w:pPr>
            <w:r>
              <w:t>就读学生数</w:t>
            </w:r>
          </w:p>
        </w:tc>
        <w:tc>
          <w:tcPr>
            <w:tcW w:w="5386" w:type="dxa"/>
            <w:vAlign w:val="center"/>
          </w:tcPr>
          <w:p w14:paraId="15C063EE">
            <w:pPr>
              <w:pStyle w:val="12"/>
            </w:pPr>
            <w:r>
              <w:t>辐射区域内适龄学生人数</w:t>
            </w:r>
          </w:p>
        </w:tc>
        <w:tc>
          <w:tcPr>
            <w:tcW w:w="2268" w:type="dxa"/>
            <w:vAlign w:val="center"/>
          </w:tcPr>
          <w:p w14:paraId="6DE09796">
            <w:pPr>
              <w:pStyle w:val="12"/>
            </w:pPr>
            <w:r>
              <w:t>772人</w:t>
            </w:r>
          </w:p>
        </w:tc>
        <w:tc>
          <w:tcPr>
            <w:tcW w:w="1276" w:type="dxa"/>
            <w:vAlign w:val="center"/>
          </w:tcPr>
          <w:p w14:paraId="2302E299">
            <w:pPr>
              <w:pStyle w:val="12"/>
            </w:pPr>
            <w:r>
              <w:t>城乡义务教育公用经费管理办法</w:t>
            </w:r>
          </w:p>
        </w:tc>
      </w:tr>
      <w:tr w14:paraId="79E7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FDD0"/>
        </w:tc>
        <w:tc>
          <w:tcPr>
            <w:tcW w:w="2268" w:type="dxa"/>
            <w:vAlign w:val="center"/>
          </w:tcPr>
          <w:p w14:paraId="35181EB5">
            <w:pPr>
              <w:pStyle w:val="12"/>
            </w:pPr>
            <w:r>
              <w:t>质量指标</w:t>
            </w:r>
          </w:p>
        </w:tc>
        <w:tc>
          <w:tcPr>
            <w:tcW w:w="2835" w:type="dxa"/>
            <w:vAlign w:val="center"/>
          </w:tcPr>
          <w:p w14:paraId="4A1EBF47">
            <w:pPr>
              <w:pStyle w:val="12"/>
            </w:pPr>
            <w:r>
              <w:t>预算执行率</w:t>
            </w:r>
          </w:p>
        </w:tc>
        <w:tc>
          <w:tcPr>
            <w:tcW w:w="5386" w:type="dxa"/>
            <w:vAlign w:val="center"/>
          </w:tcPr>
          <w:p w14:paraId="3B6ECD27">
            <w:pPr>
              <w:pStyle w:val="12"/>
            </w:pPr>
            <w:r>
              <w:t>预算执行率</w:t>
            </w:r>
          </w:p>
        </w:tc>
        <w:tc>
          <w:tcPr>
            <w:tcW w:w="2268" w:type="dxa"/>
            <w:vAlign w:val="center"/>
          </w:tcPr>
          <w:p w14:paraId="4EF96110">
            <w:pPr>
              <w:pStyle w:val="12"/>
            </w:pPr>
            <w:r>
              <w:t>≥98%</w:t>
            </w:r>
          </w:p>
        </w:tc>
        <w:tc>
          <w:tcPr>
            <w:tcW w:w="1276" w:type="dxa"/>
            <w:vAlign w:val="center"/>
          </w:tcPr>
          <w:p w14:paraId="05B77622">
            <w:pPr>
              <w:pStyle w:val="12"/>
            </w:pPr>
            <w:r>
              <w:t>城乡义务教育公用经费管理办法</w:t>
            </w:r>
          </w:p>
        </w:tc>
      </w:tr>
      <w:tr w14:paraId="0139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1208B"/>
        </w:tc>
        <w:tc>
          <w:tcPr>
            <w:tcW w:w="2268" w:type="dxa"/>
            <w:vAlign w:val="center"/>
          </w:tcPr>
          <w:p w14:paraId="3E0DF651">
            <w:pPr>
              <w:pStyle w:val="12"/>
            </w:pPr>
            <w:r>
              <w:t>时效指标</w:t>
            </w:r>
          </w:p>
        </w:tc>
        <w:tc>
          <w:tcPr>
            <w:tcW w:w="2835" w:type="dxa"/>
            <w:vAlign w:val="center"/>
          </w:tcPr>
          <w:p w14:paraId="6D6D4A60">
            <w:pPr>
              <w:pStyle w:val="12"/>
            </w:pPr>
            <w:r>
              <w:t>义教经费支付完成率</w:t>
            </w:r>
          </w:p>
        </w:tc>
        <w:tc>
          <w:tcPr>
            <w:tcW w:w="5386" w:type="dxa"/>
            <w:vAlign w:val="center"/>
          </w:tcPr>
          <w:p w14:paraId="6BF9BF19">
            <w:pPr>
              <w:pStyle w:val="12"/>
            </w:pPr>
            <w:r>
              <w:t>按照序时进度完成资金支付</w:t>
            </w:r>
          </w:p>
        </w:tc>
        <w:tc>
          <w:tcPr>
            <w:tcW w:w="2268" w:type="dxa"/>
            <w:vAlign w:val="center"/>
          </w:tcPr>
          <w:p w14:paraId="4330F32B">
            <w:pPr>
              <w:pStyle w:val="12"/>
            </w:pPr>
            <w:r>
              <w:t>62.72万元</w:t>
            </w:r>
          </w:p>
        </w:tc>
        <w:tc>
          <w:tcPr>
            <w:tcW w:w="1276" w:type="dxa"/>
            <w:vAlign w:val="center"/>
          </w:tcPr>
          <w:p w14:paraId="5E3458EE">
            <w:pPr>
              <w:pStyle w:val="12"/>
            </w:pPr>
            <w:r>
              <w:t>城乡义务教育公用经费管理办法</w:t>
            </w:r>
          </w:p>
        </w:tc>
      </w:tr>
      <w:tr w14:paraId="3BD7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17007"/>
        </w:tc>
        <w:tc>
          <w:tcPr>
            <w:tcW w:w="2268" w:type="dxa"/>
            <w:vAlign w:val="center"/>
          </w:tcPr>
          <w:p w14:paraId="41B47C59">
            <w:pPr>
              <w:pStyle w:val="12"/>
            </w:pPr>
            <w:r>
              <w:t>成本指标</w:t>
            </w:r>
          </w:p>
        </w:tc>
        <w:tc>
          <w:tcPr>
            <w:tcW w:w="2835" w:type="dxa"/>
            <w:vAlign w:val="center"/>
          </w:tcPr>
          <w:p w14:paraId="6DC40F6C">
            <w:pPr>
              <w:pStyle w:val="12"/>
            </w:pPr>
            <w:r>
              <w:t>生均拨款标准</w:t>
            </w:r>
          </w:p>
        </w:tc>
        <w:tc>
          <w:tcPr>
            <w:tcW w:w="5386" w:type="dxa"/>
            <w:vAlign w:val="center"/>
          </w:tcPr>
          <w:p w14:paraId="338FC34D">
            <w:pPr>
              <w:pStyle w:val="12"/>
            </w:pPr>
            <w:r>
              <w:t>初中：基本标准1060元（含取暖120元）、寄宿生300元/生/学年；特教、随班就读学生：标准7000元/生/学年</w:t>
            </w:r>
          </w:p>
        </w:tc>
        <w:tc>
          <w:tcPr>
            <w:tcW w:w="2268" w:type="dxa"/>
            <w:vAlign w:val="center"/>
          </w:tcPr>
          <w:p w14:paraId="6DFBD835">
            <w:pPr>
              <w:pStyle w:val="12"/>
            </w:pPr>
            <w:r>
              <w:t>1360元</w:t>
            </w:r>
          </w:p>
        </w:tc>
        <w:tc>
          <w:tcPr>
            <w:tcW w:w="1276" w:type="dxa"/>
            <w:vAlign w:val="center"/>
          </w:tcPr>
          <w:p w14:paraId="5EDA83DE">
            <w:pPr>
              <w:pStyle w:val="12"/>
            </w:pPr>
            <w:r>
              <w:t>城乡义务教育公用经费管理办法</w:t>
            </w:r>
          </w:p>
        </w:tc>
      </w:tr>
      <w:tr w14:paraId="5C71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C4653">
            <w:pPr>
              <w:pStyle w:val="13"/>
            </w:pPr>
            <w:r>
              <w:t>效益指标</w:t>
            </w:r>
          </w:p>
        </w:tc>
        <w:tc>
          <w:tcPr>
            <w:tcW w:w="2268" w:type="dxa"/>
            <w:vAlign w:val="center"/>
          </w:tcPr>
          <w:p w14:paraId="3B8B859F">
            <w:pPr>
              <w:pStyle w:val="12"/>
            </w:pPr>
            <w:r>
              <w:t>经济效益指标</w:t>
            </w:r>
          </w:p>
        </w:tc>
        <w:tc>
          <w:tcPr>
            <w:tcW w:w="2835" w:type="dxa"/>
            <w:vAlign w:val="center"/>
          </w:tcPr>
          <w:p w14:paraId="7DECECE5">
            <w:pPr>
              <w:pStyle w:val="12"/>
            </w:pPr>
            <w:r>
              <w:t>学生就读稳定率</w:t>
            </w:r>
          </w:p>
        </w:tc>
        <w:tc>
          <w:tcPr>
            <w:tcW w:w="5386" w:type="dxa"/>
            <w:vAlign w:val="center"/>
          </w:tcPr>
          <w:p w14:paraId="016CD098">
            <w:pPr>
              <w:pStyle w:val="12"/>
            </w:pPr>
            <w:r>
              <w:t>维护社会稳定，保障学生受教育巩固率</w:t>
            </w:r>
          </w:p>
        </w:tc>
        <w:tc>
          <w:tcPr>
            <w:tcW w:w="2268" w:type="dxa"/>
            <w:vAlign w:val="center"/>
          </w:tcPr>
          <w:p w14:paraId="4F589ABF">
            <w:pPr>
              <w:pStyle w:val="12"/>
            </w:pPr>
            <w:r>
              <w:t>≥98%</w:t>
            </w:r>
          </w:p>
        </w:tc>
        <w:tc>
          <w:tcPr>
            <w:tcW w:w="1276" w:type="dxa"/>
            <w:vAlign w:val="center"/>
          </w:tcPr>
          <w:p w14:paraId="0D2273EF">
            <w:pPr>
              <w:pStyle w:val="12"/>
            </w:pPr>
            <w:r>
              <w:t>城乡义务教育公用经费管理办法</w:t>
            </w:r>
          </w:p>
        </w:tc>
      </w:tr>
      <w:tr w14:paraId="12D7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42845"/>
        </w:tc>
        <w:tc>
          <w:tcPr>
            <w:tcW w:w="2268" w:type="dxa"/>
            <w:vAlign w:val="center"/>
          </w:tcPr>
          <w:p w14:paraId="10C7017A">
            <w:pPr>
              <w:pStyle w:val="12"/>
            </w:pPr>
            <w:r>
              <w:t>可持续影响指标</w:t>
            </w:r>
          </w:p>
        </w:tc>
        <w:tc>
          <w:tcPr>
            <w:tcW w:w="2835" w:type="dxa"/>
            <w:vAlign w:val="center"/>
          </w:tcPr>
          <w:p w14:paraId="170F2485">
            <w:pPr>
              <w:pStyle w:val="12"/>
            </w:pPr>
            <w:r>
              <w:t>效果持续时间</w:t>
            </w:r>
          </w:p>
        </w:tc>
        <w:tc>
          <w:tcPr>
            <w:tcW w:w="5386" w:type="dxa"/>
            <w:vAlign w:val="center"/>
          </w:tcPr>
          <w:p w14:paraId="2EDD0739">
            <w:pPr>
              <w:pStyle w:val="12"/>
            </w:pPr>
            <w:r>
              <w:t>效果持续时间</w:t>
            </w:r>
          </w:p>
        </w:tc>
        <w:tc>
          <w:tcPr>
            <w:tcW w:w="2268" w:type="dxa"/>
            <w:vAlign w:val="center"/>
          </w:tcPr>
          <w:p w14:paraId="42ECDDCB">
            <w:pPr>
              <w:pStyle w:val="12"/>
            </w:pPr>
            <w:r>
              <w:t>1年</w:t>
            </w:r>
          </w:p>
        </w:tc>
        <w:tc>
          <w:tcPr>
            <w:tcW w:w="1276" w:type="dxa"/>
            <w:vAlign w:val="center"/>
          </w:tcPr>
          <w:p w14:paraId="6E5F59BF">
            <w:pPr>
              <w:pStyle w:val="12"/>
            </w:pPr>
            <w:r>
              <w:t>城乡义务教育公用经费管理办法</w:t>
            </w:r>
          </w:p>
        </w:tc>
      </w:tr>
      <w:tr w14:paraId="4A2CD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DA133">
            <w:pPr>
              <w:pStyle w:val="13"/>
            </w:pPr>
            <w:r>
              <w:t>满意度指标</w:t>
            </w:r>
          </w:p>
        </w:tc>
        <w:tc>
          <w:tcPr>
            <w:tcW w:w="2268" w:type="dxa"/>
            <w:vAlign w:val="center"/>
          </w:tcPr>
          <w:p w14:paraId="1EE2FD98">
            <w:pPr>
              <w:pStyle w:val="12"/>
            </w:pPr>
            <w:r>
              <w:t>服务对象满意度指标</w:t>
            </w:r>
          </w:p>
        </w:tc>
        <w:tc>
          <w:tcPr>
            <w:tcW w:w="2835" w:type="dxa"/>
            <w:vAlign w:val="center"/>
          </w:tcPr>
          <w:p w14:paraId="15709327">
            <w:pPr>
              <w:pStyle w:val="12"/>
            </w:pPr>
            <w:r>
              <w:t>家长社会学生满意度</w:t>
            </w:r>
          </w:p>
        </w:tc>
        <w:tc>
          <w:tcPr>
            <w:tcW w:w="5386" w:type="dxa"/>
            <w:vAlign w:val="center"/>
          </w:tcPr>
          <w:p w14:paraId="70EEE494">
            <w:pPr>
              <w:pStyle w:val="12"/>
            </w:pPr>
            <w:r>
              <w:t>家长社会学生满意度</w:t>
            </w:r>
          </w:p>
        </w:tc>
        <w:tc>
          <w:tcPr>
            <w:tcW w:w="2268" w:type="dxa"/>
            <w:vAlign w:val="center"/>
          </w:tcPr>
          <w:p w14:paraId="6A24E6DC">
            <w:pPr>
              <w:pStyle w:val="12"/>
            </w:pPr>
            <w:r>
              <w:t>≥98%</w:t>
            </w:r>
          </w:p>
        </w:tc>
        <w:tc>
          <w:tcPr>
            <w:tcW w:w="1276" w:type="dxa"/>
            <w:vAlign w:val="center"/>
          </w:tcPr>
          <w:p w14:paraId="2BD23649">
            <w:pPr>
              <w:pStyle w:val="12"/>
            </w:pPr>
            <w:r>
              <w:t>调查问卷</w:t>
            </w:r>
          </w:p>
        </w:tc>
      </w:tr>
    </w:tbl>
    <w:p w14:paraId="145C4ED6">
      <w:pPr>
        <w:sectPr>
          <w:pgSz w:w="16840" w:h="11900" w:orient="landscape"/>
          <w:pgMar w:top="1361" w:right="1020" w:bottom="1134" w:left="1020" w:header="720" w:footer="720" w:gutter="0"/>
          <w:cols w:space="720" w:num="1"/>
        </w:sectPr>
      </w:pPr>
    </w:p>
    <w:p w14:paraId="69909339">
      <w:pPr>
        <w:spacing w:before="0" w:after="0"/>
        <w:ind w:firstLine="560"/>
        <w:jc w:val="left"/>
        <w:outlineLvl w:val="9"/>
      </w:pPr>
      <w:r>
        <w:rPr>
          <w:rFonts w:ascii="方正仿宋_GBK" w:hAnsi="方正仿宋_GBK" w:eastAsia="方正仿宋_GBK" w:cs="方正仿宋_GBK"/>
          <w:b/>
          <w:color w:val="000000"/>
          <w:sz w:val="28"/>
        </w:rPr>
        <w:t>2、冀财教[2025]121号/中央/义教/2026年校舍安全/滏阳中学校舍维修改造绩效目标表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60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677B9">
            <w:pPr>
              <w:pStyle w:val="11"/>
            </w:pPr>
            <w:r>
              <w:t>单位：万元</w:t>
            </w:r>
          </w:p>
        </w:tc>
      </w:tr>
      <w:tr w14:paraId="4BB7A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D45BE">
            <w:pPr>
              <w:pStyle w:val="10"/>
            </w:pPr>
            <w:r>
              <w:t>项目编码</w:t>
            </w:r>
          </w:p>
        </w:tc>
        <w:tc>
          <w:tcPr>
            <w:tcW w:w="5103" w:type="dxa"/>
            <w:gridSpan w:val="2"/>
            <w:vAlign w:val="center"/>
          </w:tcPr>
          <w:p w14:paraId="20FBCFD8">
            <w:pPr>
              <w:pStyle w:val="12"/>
            </w:pPr>
            <w:r>
              <w:t>13052526P00876210072K</w:t>
            </w:r>
          </w:p>
        </w:tc>
        <w:tc>
          <w:tcPr>
            <w:tcW w:w="2835" w:type="dxa"/>
            <w:vAlign w:val="center"/>
          </w:tcPr>
          <w:p w14:paraId="3E641237">
            <w:pPr>
              <w:pStyle w:val="10"/>
            </w:pPr>
            <w:r>
              <w:t>项目名称</w:t>
            </w:r>
          </w:p>
        </w:tc>
        <w:tc>
          <w:tcPr>
            <w:tcW w:w="6095" w:type="dxa"/>
            <w:gridSpan w:val="3"/>
            <w:vAlign w:val="center"/>
          </w:tcPr>
          <w:p w14:paraId="6238F072">
            <w:pPr>
              <w:pStyle w:val="12"/>
            </w:pPr>
            <w:r>
              <w:t>冀财教[2025]121号/中央/义教/2026年校舍安全/滏阳中学校舍维修改造</w:t>
            </w:r>
          </w:p>
        </w:tc>
      </w:tr>
      <w:tr w14:paraId="4BFD8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6BE7A">
            <w:pPr>
              <w:pStyle w:val="10"/>
            </w:pPr>
            <w:r>
              <w:t>预算规模及资金用途</w:t>
            </w:r>
          </w:p>
        </w:tc>
        <w:tc>
          <w:tcPr>
            <w:tcW w:w="2268" w:type="dxa"/>
            <w:vAlign w:val="center"/>
          </w:tcPr>
          <w:p w14:paraId="2EC6902F">
            <w:pPr>
              <w:pStyle w:val="10"/>
            </w:pPr>
            <w:r>
              <w:t>预算数</w:t>
            </w:r>
          </w:p>
        </w:tc>
        <w:tc>
          <w:tcPr>
            <w:tcW w:w="2835" w:type="dxa"/>
            <w:vAlign w:val="center"/>
          </w:tcPr>
          <w:p w14:paraId="4C09B2C9">
            <w:pPr>
              <w:pStyle w:val="12"/>
            </w:pPr>
            <w:r>
              <w:t>52.50</w:t>
            </w:r>
          </w:p>
        </w:tc>
        <w:tc>
          <w:tcPr>
            <w:tcW w:w="2835" w:type="dxa"/>
            <w:vAlign w:val="center"/>
          </w:tcPr>
          <w:p w14:paraId="2E42A0E8">
            <w:pPr>
              <w:pStyle w:val="10"/>
            </w:pPr>
            <w:r>
              <w:t>其中：财政    资金</w:t>
            </w:r>
          </w:p>
        </w:tc>
        <w:tc>
          <w:tcPr>
            <w:tcW w:w="2551" w:type="dxa"/>
            <w:vAlign w:val="center"/>
          </w:tcPr>
          <w:p w14:paraId="214BDE89">
            <w:pPr>
              <w:pStyle w:val="12"/>
            </w:pPr>
            <w:r>
              <w:t>52.50</w:t>
            </w:r>
          </w:p>
        </w:tc>
        <w:tc>
          <w:tcPr>
            <w:tcW w:w="2268" w:type="dxa"/>
            <w:vAlign w:val="center"/>
          </w:tcPr>
          <w:p w14:paraId="3F8CBA52">
            <w:pPr>
              <w:pStyle w:val="10"/>
            </w:pPr>
            <w:r>
              <w:t>其他资金</w:t>
            </w:r>
          </w:p>
        </w:tc>
        <w:tc>
          <w:tcPr>
            <w:tcW w:w="1276" w:type="dxa"/>
            <w:vAlign w:val="center"/>
          </w:tcPr>
          <w:p w14:paraId="02D2A47B">
            <w:pPr>
              <w:pStyle w:val="12"/>
            </w:pPr>
            <w:r>
              <w:t xml:space="preserve"> </w:t>
            </w:r>
          </w:p>
        </w:tc>
      </w:tr>
      <w:tr w14:paraId="161BE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4A652"/>
        </w:tc>
        <w:tc>
          <w:tcPr>
            <w:tcW w:w="14033" w:type="dxa"/>
            <w:gridSpan w:val="6"/>
            <w:vAlign w:val="center"/>
          </w:tcPr>
          <w:p w14:paraId="53EBA254">
            <w:pPr>
              <w:pStyle w:val="12"/>
            </w:pPr>
            <w:r>
              <w:t>改善义务教育办学条件，进一步提升教育教学办学质量</w:t>
            </w:r>
            <w:r>
              <w:tab/>
            </w:r>
            <w:r>
              <w:tab/>
            </w:r>
          </w:p>
        </w:tc>
      </w:tr>
      <w:tr w14:paraId="40F04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0BB2D">
            <w:pPr>
              <w:pStyle w:val="10"/>
            </w:pPr>
            <w:r>
              <w:t>资金支出计划（%）</w:t>
            </w:r>
          </w:p>
        </w:tc>
        <w:tc>
          <w:tcPr>
            <w:tcW w:w="5103" w:type="dxa"/>
            <w:gridSpan w:val="2"/>
            <w:vAlign w:val="center"/>
          </w:tcPr>
          <w:p w14:paraId="25CCF084">
            <w:pPr>
              <w:pStyle w:val="10"/>
            </w:pPr>
            <w:r>
              <w:t>3月底</w:t>
            </w:r>
          </w:p>
        </w:tc>
        <w:tc>
          <w:tcPr>
            <w:tcW w:w="2835" w:type="dxa"/>
            <w:vAlign w:val="center"/>
          </w:tcPr>
          <w:p w14:paraId="089AF514">
            <w:pPr>
              <w:pStyle w:val="10"/>
            </w:pPr>
            <w:r>
              <w:t>6月底</w:t>
            </w:r>
          </w:p>
        </w:tc>
        <w:tc>
          <w:tcPr>
            <w:tcW w:w="2551" w:type="dxa"/>
            <w:vAlign w:val="center"/>
          </w:tcPr>
          <w:p w14:paraId="69E3D145">
            <w:pPr>
              <w:pStyle w:val="10"/>
            </w:pPr>
            <w:r>
              <w:t>10月底</w:t>
            </w:r>
          </w:p>
        </w:tc>
        <w:tc>
          <w:tcPr>
            <w:tcW w:w="3544" w:type="dxa"/>
            <w:gridSpan w:val="2"/>
            <w:vAlign w:val="center"/>
          </w:tcPr>
          <w:p w14:paraId="6478081A">
            <w:pPr>
              <w:pStyle w:val="10"/>
            </w:pPr>
            <w:r>
              <w:t>12月底</w:t>
            </w:r>
          </w:p>
        </w:tc>
      </w:tr>
      <w:tr w14:paraId="3090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2205E"/>
        </w:tc>
        <w:tc>
          <w:tcPr>
            <w:tcW w:w="5103" w:type="dxa"/>
            <w:gridSpan w:val="2"/>
            <w:vAlign w:val="center"/>
          </w:tcPr>
          <w:p w14:paraId="3ACFE521">
            <w:pPr>
              <w:pStyle w:val="13"/>
            </w:pPr>
            <w:r>
              <w:t xml:space="preserve"> </w:t>
            </w:r>
          </w:p>
        </w:tc>
        <w:tc>
          <w:tcPr>
            <w:tcW w:w="2835" w:type="dxa"/>
            <w:vAlign w:val="center"/>
          </w:tcPr>
          <w:p w14:paraId="4992539A">
            <w:pPr>
              <w:pStyle w:val="13"/>
            </w:pPr>
            <w:r>
              <w:t>50%</w:t>
            </w:r>
          </w:p>
        </w:tc>
        <w:tc>
          <w:tcPr>
            <w:tcW w:w="2551" w:type="dxa"/>
            <w:vAlign w:val="center"/>
          </w:tcPr>
          <w:p w14:paraId="29479433">
            <w:pPr>
              <w:pStyle w:val="13"/>
            </w:pPr>
            <w:r>
              <w:t>100%</w:t>
            </w:r>
          </w:p>
        </w:tc>
        <w:tc>
          <w:tcPr>
            <w:tcW w:w="3544" w:type="dxa"/>
            <w:gridSpan w:val="2"/>
            <w:vAlign w:val="center"/>
          </w:tcPr>
          <w:p w14:paraId="057D45C0">
            <w:pPr>
              <w:pStyle w:val="13"/>
            </w:pPr>
            <w:r>
              <w:t>100%</w:t>
            </w:r>
          </w:p>
        </w:tc>
      </w:tr>
      <w:tr w14:paraId="7536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BF0AB">
            <w:pPr>
              <w:pStyle w:val="10"/>
            </w:pPr>
            <w:r>
              <w:t>绩效目标</w:t>
            </w:r>
          </w:p>
        </w:tc>
        <w:tc>
          <w:tcPr>
            <w:tcW w:w="14033" w:type="dxa"/>
            <w:gridSpan w:val="6"/>
            <w:vAlign w:val="center"/>
          </w:tcPr>
          <w:p w14:paraId="48C18FBC">
            <w:pPr>
              <w:pStyle w:val="12"/>
            </w:pPr>
            <w:r>
              <w:t>1.改善义务教育办学条件，进一步提升教育教学办学质量</w:t>
            </w:r>
            <w:r>
              <w:tab/>
            </w:r>
            <w:r>
              <w:tab/>
            </w:r>
          </w:p>
        </w:tc>
      </w:tr>
    </w:tbl>
    <w:p w14:paraId="71A87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A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45D9A">
            <w:pPr>
              <w:pStyle w:val="10"/>
            </w:pPr>
            <w:r>
              <w:t>一级指标</w:t>
            </w:r>
          </w:p>
        </w:tc>
        <w:tc>
          <w:tcPr>
            <w:tcW w:w="2268" w:type="dxa"/>
            <w:vAlign w:val="center"/>
          </w:tcPr>
          <w:p w14:paraId="0AA172F0">
            <w:pPr>
              <w:pStyle w:val="10"/>
            </w:pPr>
            <w:r>
              <w:t>二级指标</w:t>
            </w:r>
          </w:p>
        </w:tc>
        <w:tc>
          <w:tcPr>
            <w:tcW w:w="2835" w:type="dxa"/>
            <w:vAlign w:val="center"/>
          </w:tcPr>
          <w:p w14:paraId="5B8D3731">
            <w:pPr>
              <w:pStyle w:val="10"/>
            </w:pPr>
            <w:r>
              <w:t>三级指标</w:t>
            </w:r>
          </w:p>
        </w:tc>
        <w:tc>
          <w:tcPr>
            <w:tcW w:w="5386" w:type="dxa"/>
            <w:vAlign w:val="center"/>
          </w:tcPr>
          <w:p w14:paraId="5899C7CB">
            <w:pPr>
              <w:pStyle w:val="10"/>
            </w:pPr>
            <w:r>
              <w:t>绩效指标描述</w:t>
            </w:r>
          </w:p>
        </w:tc>
        <w:tc>
          <w:tcPr>
            <w:tcW w:w="2268" w:type="dxa"/>
            <w:vAlign w:val="center"/>
          </w:tcPr>
          <w:p w14:paraId="3B0AE9A1">
            <w:pPr>
              <w:pStyle w:val="10"/>
            </w:pPr>
            <w:r>
              <w:t>指标值</w:t>
            </w:r>
          </w:p>
        </w:tc>
        <w:tc>
          <w:tcPr>
            <w:tcW w:w="1276" w:type="dxa"/>
            <w:vAlign w:val="center"/>
          </w:tcPr>
          <w:p w14:paraId="4A4EC2A1">
            <w:pPr>
              <w:pStyle w:val="10"/>
            </w:pPr>
            <w:r>
              <w:t>指标值确定依据</w:t>
            </w:r>
          </w:p>
        </w:tc>
      </w:tr>
      <w:tr w14:paraId="7CD8A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BFF74">
            <w:pPr>
              <w:pStyle w:val="13"/>
            </w:pPr>
            <w:r>
              <w:t>产出指标</w:t>
            </w:r>
          </w:p>
        </w:tc>
        <w:tc>
          <w:tcPr>
            <w:tcW w:w="2268" w:type="dxa"/>
            <w:vAlign w:val="center"/>
          </w:tcPr>
          <w:p w14:paraId="5D548D61">
            <w:pPr>
              <w:pStyle w:val="12"/>
            </w:pPr>
            <w:r>
              <w:t>数量指标</w:t>
            </w:r>
          </w:p>
        </w:tc>
        <w:tc>
          <w:tcPr>
            <w:tcW w:w="2835" w:type="dxa"/>
            <w:vAlign w:val="center"/>
          </w:tcPr>
          <w:p w14:paraId="4B7CBB90">
            <w:pPr>
              <w:pStyle w:val="12"/>
            </w:pPr>
            <w:r>
              <w:t>宿舍楼门窗更换</w:t>
            </w:r>
          </w:p>
        </w:tc>
        <w:tc>
          <w:tcPr>
            <w:tcW w:w="5386" w:type="dxa"/>
            <w:vAlign w:val="center"/>
          </w:tcPr>
          <w:p w14:paraId="290E924C">
            <w:pPr>
              <w:pStyle w:val="12"/>
            </w:pPr>
            <w:r>
              <w:t>宿舍楼门窗更换156个</w:t>
            </w:r>
          </w:p>
        </w:tc>
        <w:tc>
          <w:tcPr>
            <w:tcW w:w="2268" w:type="dxa"/>
            <w:vAlign w:val="center"/>
          </w:tcPr>
          <w:p w14:paraId="0D1AB268">
            <w:pPr>
              <w:pStyle w:val="12"/>
            </w:pPr>
            <w:r>
              <w:t>≥890平方米</w:t>
            </w:r>
          </w:p>
        </w:tc>
        <w:tc>
          <w:tcPr>
            <w:tcW w:w="1276" w:type="dxa"/>
            <w:vAlign w:val="center"/>
          </w:tcPr>
          <w:p w14:paraId="2BB6C85E">
            <w:pPr>
              <w:pStyle w:val="12"/>
            </w:pPr>
            <w:r>
              <w:t>项目规划</w:t>
            </w:r>
          </w:p>
        </w:tc>
      </w:tr>
      <w:tr w14:paraId="70C11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47E72"/>
        </w:tc>
        <w:tc>
          <w:tcPr>
            <w:tcW w:w="2268" w:type="dxa"/>
            <w:vAlign w:val="center"/>
          </w:tcPr>
          <w:p w14:paraId="32F0098E">
            <w:pPr>
              <w:pStyle w:val="12"/>
            </w:pPr>
            <w:r>
              <w:t>数量指标</w:t>
            </w:r>
          </w:p>
        </w:tc>
        <w:tc>
          <w:tcPr>
            <w:tcW w:w="2835" w:type="dxa"/>
            <w:vAlign w:val="center"/>
          </w:tcPr>
          <w:p w14:paraId="0D5C7DB1">
            <w:pPr>
              <w:pStyle w:val="12"/>
            </w:pPr>
            <w:r>
              <w:t>污水管道铺设</w:t>
            </w:r>
          </w:p>
        </w:tc>
        <w:tc>
          <w:tcPr>
            <w:tcW w:w="5386" w:type="dxa"/>
            <w:vAlign w:val="center"/>
          </w:tcPr>
          <w:p w14:paraId="4507753B">
            <w:pPr>
              <w:pStyle w:val="12"/>
            </w:pPr>
            <w:r>
              <w:t>污水管道重新铺设</w:t>
            </w:r>
          </w:p>
        </w:tc>
        <w:tc>
          <w:tcPr>
            <w:tcW w:w="2268" w:type="dxa"/>
            <w:vAlign w:val="center"/>
          </w:tcPr>
          <w:p w14:paraId="77803EFB">
            <w:pPr>
              <w:pStyle w:val="12"/>
            </w:pPr>
            <w:r>
              <w:t>≥260米</w:t>
            </w:r>
          </w:p>
        </w:tc>
        <w:tc>
          <w:tcPr>
            <w:tcW w:w="1276" w:type="dxa"/>
            <w:vAlign w:val="center"/>
          </w:tcPr>
          <w:p w14:paraId="0468670C">
            <w:pPr>
              <w:pStyle w:val="12"/>
            </w:pPr>
            <w:r>
              <w:t>项目规划</w:t>
            </w:r>
          </w:p>
        </w:tc>
      </w:tr>
      <w:tr w14:paraId="2F13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E2B14"/>
        </w:tc>
        <w:tc>
          <w:tcPr>
            <w:tcW w:w="2268" w:type="dxa"/>
            <w:vAlign w:val="center"/>
          </w:tcPr>
          <w:p w14:paraId="05825EF2">
            <w:pPr>
              <w:pStyle w:val="12"/>
            </w:pPr>
            <w:r>
              <w:t>数量指标</w:t>
            </w:r>
          </w:p>
        </w:tc>
        <w:tc>
          <w:tcPr>
            <w:tcW w:w="2835" w:type="dxa"/>
            <w:vAlign w:val="center"/>
          </w:tcPr>
          <w:p w14:paraId="75462D24">
            <w:pPr>
              <w:pStyle w:val="12"/>
            </w:pPr>
            <w:r>
              <w:t>地面硬化</w:t>
            </w:r>
          </w:p>
        </w:tc>
        <w:tc>
          <w:tcPr>
            <w:tcW w:w="5386" w:type="dxa"/>
            <w:vAlign w:val="center"/>
          </w:tcPr>
          <w:p w14:paraId="476F9490">
            <w:pPr>
              <w:pStyle w:val="12"/>
            </w:pPr>
            <w:r>
              <w:t>地面硬化15CM厚</w:t>
            </w:r>
          </w:p>
        </w:tc>
        <w:tc>
          <w:tcPr>
            <w:tcW w:w="2268" w:type="dxa"/>
            <w:vAlign w:val="center"/>
          </w:tcPr>
          <w:p w14:paraId="35FE09C4">
            <w:pPr>
              <w:pStyle w:val="12"/>
            </w:pPr>
            <w:r>
              <w:t>≥1655平方米</w:t>
            </w:r>
          </w:p>
        </w:tc>
        <w:tc>
          <w:tcPr>
            <w:tcW w:w="1276" w:type="dxa"/>
            <w:vAlign w:val="center"/>
          </w:tcPr>
          <w:p w14:paraId="7384C8AA">
            <w:pPr>
              <w:pStyle w:val="12"/>
            </w:pPr>
            <w:r>
              <w:t>项目规划</w:t>
            </w:r>
          </w:p>
        </w:tc>
      </w:tr>
      <w:tr w14:paraId="6781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470DA"/>
        </w:tc>
        <w:tc>
          <w:tcPr>
            <w:tcW w:w="2268" w:type="dxa"/>
            <w:vAlign w:val="center"/>
          </w:tcPr>
          <w:p w14:paraId="281D6F40">
            <w:pPr>
              <w:pStyle w:val="12"/>
            </w:pPr>
            <w:r>
              <w:t>质量指标</w:t>
            </w:r>
          </w:p>
        </w:tc>
        <w:tc>
          <w:tcPr>
            <w:tcW w:w="2835" w:type="dxa"/>
            <w:vAlign w:val="center"/>
          </w:tcPr>
          <w:p w14:paraId="003698BE">
            <w:pPr>
              <w:pStyle w:val="12"/>
            </w:pPr>
            <w:r>
              <w:t>工程实施验收合格</w:t>
            </w:r>
          </w:p>
        </w:tc>
        <w:tc>
          <w:tcPr>
            <w:tcW w:w="5386" w:type="dxa"/>
            <w:vAlign w:val="center"/>
          </w:tcPr>
          <w:p w14:paraId="4B9DFA89">
            <w:pPr>
              <w:pStyle w:val="12"/>
            </w:pPr>
            <w:r>
              <w:t>申报程序的合规，项目实施及资金使用符合项目规划</w:t>
            </w:r>
          </w:p>
        </w:tc>
        <w:tc>
          <w:tcPr>
            <w:tcW w:w="2268" w:type="dxa"/>
            <w:vAlign w:val="center"/>
          </w:tcPr>
          <w:p w14:paraId="06ADABDE">
            <w:pPr>
              <w:pStyle w:val="12"/>
            </w:pPr>
            <w:r>
              <w:t>≥98%</w:t>
            </w:r>
          </w:p>
        </w:tc>
        <w:tc>
          <w:tcPr>
            <w:tcW w:w="1276" w:type="dxa"/>
            <w:vAlign w:val="center"/>
          </w:tcPr>
          <w:p w14:paraId="0444636A">
            <w:pPr>
              <w:pStyle w:val="12"/>
            </w:pPr>
            <w:r>
              <w:t>项目规划</w:t>
            </w:r>
          </w:p>
        </w:tc>
      </w:tr>
      <w:tr w14:paraId="27C9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2FB82"/>
        </w:tc>
        <w:tc>
          <w:tcPr>
            <w:tcW w:w="2268" w:type="dxa"/>
            <w:vAlign w:val="center"/>
          </w:tcPr>
          <w:p w14:paraId="32C246E1">
            <w:pPr>
              <w:pStyle w:val="12"/>
            </w:pPr>
            <w:r>
              <w:t>时效指标</w:t>
            </w:r>
          </w:p>
        </w:tc>
        <w:tc>
          <w:tcPr>
            <w:tcW w:w="2835" w:type="dxa"/>
            <w:vAlign w:val="center"/>
          </w:tcPr>
          <w:p w14:paraId="72073368">
            <w:pPr>
              <w:pStyle w:val="12"/>
            </w:pPr>
            <w:r>
              <w:t>资金支付率</w:t>
            </w:r>
          </w:p>
        </w:tc>
        <w:tc>
          <w:tcPr>
            <w:tcW w:w="5386" w:type="dxa"/>
            <w:vAlign w:val="center"/>
          </w:tcPr>
          <w:p w14:paraId="6C42BBB9">
            <w:pPr>
              <w:pStyle w:val="12"/>
            </w:pPr>
            <w:r>
              <w:t>按照合同进度完成资金支付</w:t>
            </w:r>
          </w:p>
        </w:tc>
        <w:tc>
          <w:tcPr>
            <w:tcW w:w="2268" w:type="dxa"/>
            <w:vAlign w:val="center"/>
          </w:tcPr>
          <w:p w14:paraId="6466DD49">
            <w:pPr>
              <w:pStyle w:val="12"/>
            </w:pPr>
            <w:r>
              <w:t>≥98%</w:t>
            </w:r>
          </w:p>
        </w:tc>
        <w:tc>
          <w:tcPr>
            <w:tcW w:w="1276" w:type="dxa"/>
            <w:vAlign w:val="center"/>
          </w:tcPr>
          <w:p w14:paraId="396D5AD8">
            <w:pPr>
              <w:pStyle w:val="12"/>
            </w:pPr>
            <w:r>
              <w:t>项目规划</w:t>
            </w:r>
          </w:p>
        </w:tc>
      </w:tr>
      <w:tr w14:paraId="7455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5A57F"/>
        </w:tc>
        <w:tc>
          <w:tcPr>
            <w:tcW w:w="2268" w:type="dxa"/>
            <w:vAlign w:val="center"/>
          </w:tcPr>
          <w:p w14:paraId="3D0339F7">
            <w:pPr>
              <w:pStyle w:val="12"/>
            </w:pPr>
            <w:r>
              <w:t>成本指标</w:t>
            </w:r>
          </w:p>
        </w:tc>
        <w:tc>
          <w:tcPr>
            <w:tcW w:w="2835" w:type="dxa"/>
            <w:vAlign w:val="center"/>
          </w:tcPr>
          <w:p w14:paraId="2A30E27F">
            <w:pPr>
              <w:pStyle w:val="12"/>
            </w:pPr>
            <w:r>
              <w:t>项目成本控制情况</w:t>
            </w:r>
          </w:p>
        </w:tc>
        <w:tc>
          <w:tcPr>
            <w:tcW w:w="5386" w:type="dxa"/>
            <w:vAlign w:val="center"/>
          </w:tcPr>
          <w:p w14:paraId="18912022">
            <w:pPr>
              <w:pStyle w:val="12"/>
            </w:pPr>
            <w:r>
              <w:t>严格按照招标价格及审计额进行</w:t>
            </w:r>
          </w:p>
        </w:tc>
        <w:tc>
          <w:tcPr>
            <w:tcW w:w="2268" w:type="dxa"/>
            <w:vAlign w:val="center"/>
          </w:tcPr>
          <w:p w14:paraId="465D2BC0">
            <w:pPr>
              <w:pStyle w:val="12"/>
            </w:pPr>
            <w:r>
              <w:t>≥98%</w:t>
            </w:r>
          </w:p>
        </w:tc>
        <w:tc>
          <w:tcPr>
            <w:tcW w:w="1276" w:type="dxa"/>
            <w:vAlign w:val="center"/>
          </w:tcPr>
          <w:p w14:paraId="3420993D">
            <w:pPr>
              <w:pStyle w:val="12"/>
            </w:pPr>
            <w:r>
              <w:t>项目规划</w:t>
            </w:r>
          </w:p>
        </w:tc>
      </w:tr>
      <w:tr w14:paraId="5C17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6C09E">
            <w:pPr>
              <w:pStyle w:val="13"/>
            </w:pPr>
            <w:r>
              <w:t>效益指标</w:t>
            </w:r>
          </w:p>
        </w:tc>
        <w:tc>
          <w:tcPr>
            <w:tcW w:w="2268" w:type="dxa"/>
            <w:vAlign w:val="center"/>
          </w:tcPr>
          <w:p w14:paraId="7C774B4C">
            <w:pPr>
              <w:pStyle w:val="12"/>
            </w:pPr>
            <w:r>
              <w:t>经济效益指标</w:t>
            </w:r>
          </w:p>
        </w:tc>
        <w:tc>
          <w:tcPr>
            <w:tcW w:w="2835" w:type="dxa"/>
            <w:vAlign w:val="center"/>
          </w:tcPr>
          <w:p w14:paraId="38A1EC35">
            <w:pPr>
              <w:pStyle w:val="12"/>
            </w:pPr>
            <w:r>
              <w:t>项目实施成果</w:t>
            </w:r>
          </w:p>
        </w:tc>
        <w:tc>
          <w:tcPr>
            <w:tcW w:w="5386" w:type="dxa"/>
            <w:vAlign w:val="center"/>
          </w:tcPr>
          <w:p w14:paraId="3E609AAB">
            <w:pPr>
              <w:pStyle w:val="12"/>
            </w:pPr>
            <w:r>
              <w:t>有效提高教学环境，提升教学质量</w:t>
            </w:r>
          </w:p>
        </w:tc>
        <w:tc>
          <w:tcPr>
            <w:tcW w:w="2268" w:type="dxa"/>
            <w:vAlign w:val="center"/>
          </w:tcPr>
          <w:p w14:paraId="5673E5BB">
            <w:pPr>
              <w:pStyle w:val="12"/>
            </w:pPr>
            <w:r>
              <w:t>≥98%</w:t>
            </w:r>
          </w:p>
        </w:tc>
        <w:tc>
          <w:tcPr>
            <w:tcW w:w="1276" w:type="dxa"/>
            <w:vAlign w:val="center"/>
          </w:tcPr>
          <w:p w14:paraId="7529B4CE">
            <w:pPr>
              <w:pStyle w:val="12"/>
            </w:pPr>
            <w:r>
              <w:t>项目规划</w:t>
            </w:r>
          </w:p>
        </w:tc>
      </w:tr>
      <w:tr w14:paraId="5DE1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ABF3C"/>
        </w:tc>
        <w:tc>
          <w:tcPr>
            <w:tcW w:w="2268" w:type="dxa"/>
            <w:vAlign w:val="center"/>
          </w:tcPr>
          <w:p w14:paraId="5BF39888">
            <w:pPr>
              <w:pStyle w:val="12"/>
            </w:pPr>
            <w:r>
              <w:t>社会效益指标</w:t>
            </w:r>
          </w:p>
        </w:tc>
        <w:tc>
          <w:tcPr>
            <w:tcW w:w="2835" w:type="dxa"/>
            <w:vAlign w:val="center"/>
          </w:tcPr>
          <w:p w14:paraId="0451AFA9">
            <w:pPr>
              <w:pStyle w:val="12"/>
            </w:pPr>
            <w:r>
              <w:t>学校办学能力提升</w:t>
            </w:r>
          </w:p>
        </w:tc>
        <w:tc>
          <w:tcPr>
            <w:tcW w:w="5386" w:type="dxa"/>
            <w:vAlign w:val="center"/>
          </w:tcPr>
          <w:p w14:paraId="7D4A29DF">
            <w:pPr>
              <w:pStyle w:val="12"/>
            </w:pPr>
            <w:r>
              <w:t>学校办学能力提升情况及教育教学工作开展情况</w:t>
            </w:r>
          </w:p>
        </w:tc>
        <w:tc>
          <w:tcPr>
            <w:tcW w:w="2268" w:type="dxa"/>
            <w:vAlign w:val="center"/>
          </w:tcPr>
          <w:p w14:paraId="095E994D">
            <w:pPr>
              <w:pStyle w:val="12"/>
            </w:pPr>
            <w:r>
              <w:t>≥98%</w:t>
            </w:r>
          </w:p>
        </w:tc>
        <w:tc>
          <w:tcPr>
            <w:tcW w:w="1276" w:type="dxa"/>
            <w:vAlign w:val="center"/>
          </w:tcPr>
          <w:p w14:paraId="0B8C8441">
            <w:pPr>
              <w:pStyle w:val="12"/>
            </w:pPr>
            <w:r>
              <w:t>项目规划</w:t>
            </w:r>
          </w:p>
        </w:tc>
      </w:tr>
      <w:tr w14:paraId="371C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C3698"/>
        </w:tc>
        <w:tc>
          <w:tcPr>
            <w:tcW w:w="2268" w:type="dxa"/>
            <w:vAlign w:val="center"/>
          </w:tcPr>
          <w:p w14:paraId="6D296903">
            <w:pPr>
              <w:pStyle w:val="12"/>
            </w:pPr>
            <w:r>
              <w:t>可持续影响指标</w:t>
            </w:r>
          </w:p>
        </w:tc>
        <w:tc>
          <w:tcPr>
            <w:tcW w:w="2835" w:type="dxa"/>
            <w:vAlign w:val="center"/>
          </w:tcPr>
          <w:p w14:paraId="376640B8">
            <w:pPr>
              <w:pStyle w:val="12"/>
            </w:pPr>
            <w:r>
              <w:t>教育发展水平</w:t>
            </w:r>
          </w:p>
        </w:tc>
        <w:tc>
          <w:tcPr>
            <w:tcW w:w="5386" w:type="dxa"/>
            <w:vAlign w:val="center"/>
          </w:tcPr>
          <w:p w14:paraId="0D2CF456">
            <w:pPr>
              <w:pStyle w:val="12"/>
            </w:pPr>
            <w:r>
              <w:t>教育环境明显好转</w:t>
            </w:r>
          </w:p>
        </w:tc>
        <w:tc>
          <w:tcPr>
            <w:tcW w:w="2268" w:type="dxa"/>
            <w:vAlign w:val="center"/>
          </w:tcPr>
          <w:p w14:paraId="4FE608B9">
            <w:pPr>
              <w:pStyle w:val="12"/>
            </w:pPr>
            <w:r>
              <w:t>≥98%</w:t>
            </w:r>
          </w:p>
        </w:tc>
        <w:tc>
          <w:tcPr>
            <w:tcW w:w="1276" w:type="dxa"/>
            <w:vAlign w:val="center"/>
          </w:tcPr>
          <w:p w14:paraId="0FE20B03">
            <w:pPr>
              <w:pStyle w:val="12"/>
            </w:pPr>
            <w:r>
              <w:t>项目规划</w:t>
            </w:r>
          </w:p>
        </w:tc>
      </w:tr>
      <w:tr w14:paraId="000A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945B2">
            <w:pPr>
              <w:pStyle w:val="13"/>
            </w:pPr>
            <w:r>
              <w:t>满意度指标</w:t>
            </w:r>
          </w:p>
        </w:tc>
        <w:tc>
          <w:tcPr>
            <w:tcW w:w="2268" w:type="dxa"/>
            <w:vAlign w:val="center"/>
          </w:tcPr>
          <w:p w14:paraId="1A444735">
            <w:pPr>
              <w:pStyle w:val="12"/>
            </w:pPr>
            <w:r>
              <w:t>服务对象满意度指标</w:t>
            </w:r>
          </w:p>
        </w:tc>
        <w:tc>
          <w:tcPr>
            <w:tcW w:w="2835" w:type="dxa"/>
            <w:vAlign w:val="center"/>
          </w:tcPr>
          <w:p w14:paraId="044FE0FD">
            <w:pPr>
              <w:pStyle w:val="12"/>
            </w:pPr>
            <w:r>
              <w:t>学生、教师及家长对学校教学环境满意度情况</w:t>
            </w:r>
          </w:p>
          <w:p w14:paraId="0B4DC04B">
            <w:pPr>
              <w:pStyle w:val="12"/>
            </w:pPr>
          </w:p>
        </w:tc>
        <w:tc>
          <w:tcPr>
            <w:tcW w:w="5386" w:type="dxa"/>
            <w:vAlign w:val="center"/>
          </w:tcPr>
          <w:p w14:paraId="519CBB87">
            <w:pPr>
              <w:pStyle w:val="12"/>
            </w:pPr>
            <w:r>
              <w:t>学生、教师及家长对学校教学环境满意度情况</w:t>
            </w:r>
          </w:p>
        </w:tc>
        <w:tc>
          <w:tcPr>
            <w:tcW w:w="2268" w:type="dxa"/>
            <w:vAlign w:val="center"/>
          </w:tcPr>
          <w:p w14:paraId="2C4F4F1B">
            <w:pPr>
              <w:pStyle w:val="12"/>
            </w:pPr>
            <w:r>
              <w:t>≥95调查问卷</w:t>
            </w:r>
          </w:p>
        </w:tc>
        <w:tc>
          <w:tcPr>
            <w:tcW w:w="1276" w:type="dxa"/>
            <w:vAlign w:val="center"/>
          </w:tcPr>
          <w:p w14:paraId="1075C057">
            <w:pPr>
              <w:pStyle w:val="12"/>
            </w:pPr>
            <w:r>
              <w:t>项目规划</w:t>
            </w:r>
          </w:p>
        </w:tc>
      </w:tr>
    </w:tbl>
    <w:p w14:paraId="46107EC2">
      <w:pPr>
        <w:sectPr>
          <w:pgSz w:w="16840" w:h="11900" w:orient="landscape"/>
          <w:pgMar w:top="1361" w:right="1020" w:bottom="1134" w:left="1020" w:header="720" w:footer="720" w:gutter="0"/>
          <w:cols w:space="720" w:num="1"/>
        </w:sectPr>
      </w:pPr>
    </w:p>
    <w:p w14:paraId="09C48EBD">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3、冀财教[2025]147号/省级/2026年义教补助经费/滏阳中学公用经费绩效目标表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06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9943C">
            <w:pPr>
              <w:pStyle w:val="11"/>
            </w:pPr>
            <w:r>
              <w:t>单位：万元</w:t>
            </w:r>
          </w:p>
        </w:tc>
      </w:tr>
      <w:tr w14:paraId="4A07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0241F">
            <w:pPr>
              <w:pStyle w:val="10"/>
            </w:pPr>
            <w:r>
              <w:t>项目编码</w:t>
            </w:r>
          </w:p>
        </w:tc>
        <w:tc>
          <w:tcPr>
            <w:tcW w:w="5103" w:type="dxa"/>
            <w:gridSpan w:val="2"/>
            <w:vAlign w:val="center"/>
          </w:tcPr>
          <w:p w14:paraId="785A26B9">
            <w:pPr>
              <w:pStyle w:val="12"/>
            </w:pPr>
            <w:r>
              <w:t>13052526P000004103254</w:t>
            </w:r>
          </w:p>
        </w:tc>
        <w:tc>
          <w:tcPr>
            <w:tcW w:w="2835" w:type="dxa"/>
            <w:vAlign w:val="center"/>
          </w:tcPr>
          <w:p w14:paraId="6384934F">
            <w:pPr>
              <w:pStyle w:val="10"/>
            </w:pPr>
            <w:r>
              <w:t>项目名称</w:t>
            </w:r>
          </w:p>
        </w:tc>
        <w:tc>
          <w:tcPr>
            <w:tcW w:w="6095" w:type="dxa"/>
            <w:gridSpan w:val="3"/>
            <w:vAlign w:val="center"/>
          </w:tcPr>
          <w:p w14:paraId="01E2F787">
            <w:pPr>
              <w:pStyle w:val="12"/>
            </w:pPr>
            <w:r>
              <w:t>冀财教[2025]147号/省级/2026年义教补助经费/滏阳中学公用经费</w:t>
            </w:r>
          </w:p>
        </w:tc>
      </w:tr>
      <w:tr w14:paraId="2351D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03AAF">
            <w:pPr>
              <w:pStyle w:val="10"/>
            </w:pPr>
            <w:r>
              <w:t>预算规模及资金用途</w:t>
            </w:r>
          </w:p>
        </w:tc>
        <w:tc>
          <w:tcPr>
            <w:tcW w:w="2268" w:type="dxa"/>
            <w:vAlign w:val="center"/>
          </w:tcPr>
          <w:p w14:paraId="0978E1E1">
            <w:pPr>
              <w:pStyle w:val="10"/>
            </w:pPr>
            <w:r>
              <w:t>预算数</w:t>
            </w:r>
          </w:p>
        </w:tc>
        <w:tc>
          <w:tcPr>
            <w:tcW w:w="2835" w:type="dxa"/>
            <w:vAlign w:val="center"/>
          </w:tcPr>
          <w:p w14:paraId="14BCBB52">
            <w:pPr>
              <w:pStyle w:val="12"/>
            </w:pPr>
            <w:r>
              <w:t>32.96</w:t>
            </w:r>
          </w:p>
        </w:tc>
        <w:tc>
          <w:tcPr>
            <w:tcW w:w="2835" w:type="dxa"/>
            <w:vAlign w:val="center"/>
          </w:tcPr>
          <w:p w14:paraId="49ACEAF7">
            <w:pPr>
              <w:pStyle w:val="10"/>
            </w:pPr>
            <w:r>
              <w:t>其中：财政    资金</w:t>
            </w:r>
          </w:p>
        </w:tc>
        <w:tc>
          <w:tcPr>
            <w:tcW w:w="2551" w:type="dxa"/>
            <w:vAlign w:val="center"/>
          </w:tcPr>
          <w:p w14:paraId="0DC17511">
            <w:pPr>
              <w:pStyle w:val="12"/>
            </w:pPr>
            <w:r>
              <w:t>32.96</w:t>
            </w:r>
          </w:p>
        </w:tc>
        <w:tc>
          <w:tcPr>
            <w:tcW w:w="2268" w:type="dxa"/>
            <w:vAlign w:val="center"/>
          </w:tcPr>
          <w:p w14:paraId="515BF241">
            <w:pPr>
              <w:pStyle w:val="10"/>
            </w:pPr>
            <w:r>
              <w:t>其他资金</w:t>
            </w:r>
          </w:p>
        </w:tc>
        <w:tc>
          <w:tcPr>
            <w:tcW w:w="1276" w:type="dxa"/>
            <w:vAlign w:val="center"/>
          </w:tcPr>
          <w:p w14:paraId="0BBF3961">
            <w:pPr>
              <w:pStyle w:val="12"/>
            </w:pPr>
            <w:r>
              <w:t xml:space="preserve"> </w:t>
            </w:r>
          </w:p>
        </w:tc>
      </w:tr>
      <w:tr w14:paraId="3C01A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555C7"/>
        </w:tc>
        <w:tc>
          <w:tcPr>
            <w:tcW w:w="14033" w:type="dxa"/>
            <w:gridSpan w:val="6"/>
            <w:vAlign w:val="center"/>
          </w:tcPr>
          <w:p w14:paraId="021053E7">
            <w:pPr>
              <w:pStyle w:val="12"/>
            </w:pPr>
            <w:r>
              <w:t>有效完成学校教学安全秩序，保障学校教学任务有效开展，满足学校正常教学需要。</w:t>
            </w:r>
          </w:p>
        </w:tc>
      </w:tr>
      <w:tr w14:paraId="0C428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49DCB">
            <w:pPr>
              <w:pStyle w:val="10"/>
            </w:pPr>
            <w:r>
              <w:t>资金支出计划（%）</w:t>
            </w:r>
          </w:p>
        </w:tc>
        <w:tc>
          <w:tcPr>
            <w:tcW w:w="5103" w:type="dxa"/>
            <w:gridSpan w:val="2"/>
            <w:vAlign w:val="center"/>
          </w:tcPr>
          <w:p w14:paraId="16C34B5E">
            <w:pPr>
              <w:pStyle w:val="10"/>
            </w:pPr>
            <w:r>
              <w:t>3月底</w:t>
            </w:r>
          </w:p>
        </w:tc>
        <w:tc>
          <w:tcPr>
            <w:tcW w:w="2835" w:type="dxa"/>
            <w:vAlign w:val="center"/>
          </w:tcPr>
          <w:p w14:paraId="6628B337">
            <w:pPr>
              <w:pStyle w:val="10"/>
            </w:pPr>
            <w:r>
              <w:t>6月底</w:t>
            </w:r>
          </w:p>
        </w:tc>
        <w:tc>
          <w:tcPr>
            <w:tcW w:w="2551" w:type="dxa"/>
            <w:vAlign w:val="center"/>
          </w:tcPr>
          <w:p w14:paraId="7C10AA06">
            <w:pPr>
              <w:pStyle w:val="10"/>
            </w:pPr>
            <w:r>
              <w:t>10月底</w:t>
            </w:r>
          </w:p>
        </w:tc>
        <w:tc>
          <w:tcPr>
            <w:tcW w:w="3544" w:type="dxa"/>
            <w:gridSpan w:val="2"/>
            <w:vAlign w:val="center"/>
          </w:tcPr>
          <w:p w14:paraId="032CF7BE">
            <w:pPr>
              <w:pStyle w:val="10"/>
            </w:pPr>
            <w:r>
              <w:t>12月底</w:t>
            </w:r>
          </w:p>
        </w:tc>
      </w:tr>
      <w:tr w14:paraId="5F90E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EC640"/>
        </w:tc>
        <w:tc>
          <w:tcPr>
            <w:tcW w:w="5103" w:type="dxa"/>
            <w:gridSpan w:val="2"/>
            <w:vAlign w:val="center"/>
          </w:tcPr>
          <w:p w14:paraId="5C22A37F">
            <w:pPr>
              <w:pStyle w:val="13"/>
            </w:pPr>
            <w:r>
              <w:t>25%</w:t>
            </w:r>
          </w:p>
        </w:tc>
        <w:tc>
          <w:tcPr>
            <w:tcW w:w="2835" w:type="dxa"/>
            <w:vAlign w:val="center"/>
          </w:tcPr>
          <w:p w14:paraId="05139D12">
            <w:pPr>
              <w:pStyle w:val="13"/>
            </w:pPr>
            <w:r>
              <w:t>50%</w:t>
            </w:r>
          </w:p>
        </w:tc>
        <w:tc>
          <w:tcPr>
            <w:tcW w:w="2551" w:type="dxa"/>
            <w:vAlign w:val="center"/>
          </w:tcPr>
          <w:p w14:paraId="6FA3B91D">
            <w:pPr>
              <w:pStyle w:val="13"/>
            </w:pPr>
            <w:r>
              <w:t>75%</w:t>
            </w:r>
          </w:p>
        </w:tc>
        <w:tc>
          <w:tcPr>
            <w:tcW w:w="3544" w:type="dxa"/>
            <w:gridSpan w:val="2"/>
            <w:vAlign w:val="center"/>
          </w:tcPr>
          <w:p w14:paraId="54629366">
            <w:pPr>
              <w:pStyle w:val="13"/>
            </w:pPr>
            <w:r>
              <w:t>100%</w:t>
            </w:r>
          </w:p>
        </w:tc>
      </w:tr>
      <w:tr w14:paraId="45A1C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AB59B">
            <w:pPr>
              <w:pStyle w:val="10"/>
            </w:pPr>
            <w:r>
              <w:t>绩效目标</w:t>
            </w:r>
          </w:p>
        </w:tc>
        <w:tc>
          <w:tcPr>
            <w:tcW w:w="14033" w:type="dxa"/>
            <w:gridSpan w:val="6"/>
            <w:vAlign w:val="center"/>
          </w:tcPr>
          <w:p w14:paraId="1D3B5F21">
            <w:pPr>
              <w:pStyle w:val="12"/>
            </w:pPr>
            <w:r>
              <w:t>1.有效完成学校教学安全秩序，保障学校教学任务有效开展，满足学校正常教学需要。</w:t>
            </w:r>
          </w:p>
          <w:p w14:paraId="0A84CAD1">
            <w:pPr>
              <w:pStyle w:val="12"/>
            </w:pPr>
            <w:r>
              <w:t>2.按规定拨付公用经费资金，预算执行率≥98%。</w:t>
            </w:r>
          </w:p>
        </w:tc>
      </w:tr>
    </w:tbl>
    <w:p w14:paraId="3D382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1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87F68">
            <w:pPr>
              <w:pStyle w:val="10"/>
            </w:pPr>
            <w:r>
              <w:t>一级指标</w:t>
            </w:r>
          </w:p>
        </w:tc>
        <w:tc>
          <w:tcPr>
            <w:tcW w:w="2268" w:type="dxa"/>
            <w:vAlign w:val="center"/>
          </w:tcPr>
          <w:p w14:paraId="3BF6A905">
            <w:pPr>
              <w:pStyle w:val="10"/>
            </w:pPr>
            <w:r>
              <w:t>二级指标</w:t>
            </w:r>
          </w:p>
        </w:tc>
        <w:tc>
          <w:tcPr>
            <w:tcW w:w="2835" w:type="dxa"/>
            <w:vAlign w:val="center"/>
          </w:tcPr>
          <w:p w14:paraId="0BE8BDAC">
            <w:pPr>
              <w:pStyle w:val="10"/>
            </w:pPr>
            <w:r>
              <w:t>三级指标</w:t>
            </w:r>
          </w:p>
        </w:tc>
        <w:tc>
          <w:tcPr>
            <w:tcW w:w="5386" w:type="dxa"/>
            <w:vAlign w:val="center"/>
          </w:tcPr>
          <w:p w14:paraId="41649D76">
            <w:pPr>
              <w:pStyle w:val="10"/>
            </w:pPr>
            <w:r>
              <w:t>绩效指标描述</w:t>
            </w:r>
          </w:p>
        </w:tc>
        <w:tc>
          <w:tcPr>
            <w:tcW w:w="2268" w:type="dxa"/>
            <w:vAlign w:val="center"/>
          </w:tcPr>
          <w:p w14:paraId="38CCB4DD">
            <w:pPr>
              <w:pStyle w:val="10"/>
            </w:pPr>
            <w:r>
              <w:t>指标值</w:t>
            </w:r>
          </w:p>
        </w:tc>
        <w:tc>
          <w:tcPr>
            <w:tcW w:w="1276" w:type="dxa"/>
            <w:vAlign w:val="center"/>
          </w:tcPr>
          <w:p w14:paraId="44689062">
            <w:pPr>
              <w:pStyle w:val="10"/>
            </w:pPr>
            <w:r>
              <w:t>指标值确定依据</w:t>
            </w:r>
          </w:p>
        </w:tc>
      </w:tr>
      <w:tr w14:paraId="4584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692B3">
            <w:pPr>
              <w:pStyle w:val="13"/>
            </w:pPr>
            <w:r>
              <w:t>产出指标</w:t>
            </w:r>
          </w:p>
        </w:tc>
        <w:tc>
          <w:tcPr>
            <w:tcW w:w="2268" w:type="dxa"/>
            <w:vAlign w:val="center"/>
          </w:tcPr>
          <w:p w14:paraId="4271AB6C">
            <w:pPr>
              <w:pStyle w:val="12"/>
            </w:pPr>
            <w:r>
              <w:t>数量指标</w:t>
            </w:r>
          </w:p>
        </w:tc>
        <w:tc>
          <w:tcPr>
            <w:tcW w:w="2835" w:type="dxa"/>
            <w:vAlign w:val="center"/>
          </w:tcPr>
          <w:p w14:paraId="33318AA6">
            <w:pPr>
              <w:pStyle w:val="12"/>
            </w:pPr>
            <w:r>
              <w:t>就读学生数</w:t>
            </w:r>
          </w:p>
        </w:tc>
        <w:tc>
          <w:tcPr>
            <w:tcW w:w="5386" w:type="dxa"/>
            <w:vAlign w:val="center"/>
          </w:tcPr>
          <w:p w14:paraId="1DD5AAC5">
            <w:pPr>
              <w:pStyle w:val="12"/>
            </w:pPr>
            <w:r>
              <w:t>辐射区域内适龄学生人数</w:t>
            </w:r>
          </w:p>
        </w:tc>
        <w:tc>
          <w:tcPr>
            <w:tcW w:w="2268" w:type="dxa"/>
            <w:vAlign w:val="center"/>
          </w:tcPr>
          <w:p w14:paraId="4440A77E">
            <w:pPr>
              <w:pStyle w:val="12"/>
            </w:pPr>
            <w:r>
              <w:t>772人</w:t>
            </w:r>
          </w:p>
        </w:tc>
        <w:tc>
          <w:tcPr>
            <w:tcW w:w="1276" w:type="dxa"/>
            <w:vAlign w:val="center"/>
          </w:tcPr>
          <w:p w14:paraId="699871FE">
            <w:pPr>
              <w:pStyle w:val="12"/>
            </w:pPr>
            <w:r>
              <w:t>城乡义务教育公用经费管理办法</w:t>
            </w:r>
          </w:p>
        </w:tc>
      </w:tr>
      <w:tr w14:paraId="459B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12FF5"/>
        </w:tc>
        <w:tc>
          <w:tcPr>
            <w:tcW w:w="2268" w:type="dxa"/>
            <w:vAlign w:val="center"/>
          </w:tcPr>
          <w:p w14:paraId="71C3D31B">
            <w:pPr>
              <w:pStyle w:val="12"/>
            </w:pPr>
            <w:r>
              <w:t>质量指标</w:t>
            </w:r>
          </w:p>
        </w:tc>
        <w:tc>
          <w:tcPr>
            <w:tcW w:w="2835" w:type="dxa"/>
            <w:vAlign w:val="center"/>
          </w:tcPr>
          <w:p w14:paraId="296ABDB0">
            <w:pPr>
              <w:pStyle w:val="12"/>
            </w:pPr>
            <w:r>
              <w:t>预算执行率</w:t>
            </w:r>
          </w:p>
        </w:tc>
        <w:tc>
          <w:tcPr>
            <w:tcW w:w="5386" w:type="dxa"/>
            <w:vAlign w:val="center"/>
          </w:tcPr>
          <w:p w14:paraId="0EE1521E">
            <w:pPr>
              <w:pStyle w:val="12"/>
            </w:pPr>
            <w:r>
              <w:t>预算执行率</w:t>
            </w:r>
          </w:p>
        </w:tc>
        <w:tc>
          <w:tcPr>
            <w:tcW w:w="2268" w:type="dxa"/>
            <w:vAlign w:val="center"/>
          </w:tcPr>
          <w:p w14:paraId="40DB6EF0">
            <w:pPr>
              <w:pStyle w:val="12"/>
            </w:pPr>
            <w:r>
              <w:t>≥98%</w:t>
            </w:r>
          </w:p>
        </w:tc>
        <w:tc>
          <w:tcPr>
            <w:tcW w:w="1276" w:type="dxa"/>
            <w:vAlign w:val="center"/>
          </w:tcPr>
          <w:p w14:paraId="25E26FE8">
            <w:pPr>
              <w:pStyle w:val="12"/>
            </w:pPr>
            <w:r>
              <w:t>城乡义务教育公用经费管理办法</w:t>
            </w:r>
          </w:p>
        </w:tc>
      </w:tr>
      <w:tr w14:paraId="7505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F3395"/>
        </w:tc>
        <w:tc>
          <w:tcPr>
            <w:tcW w:w="2268" w:type="dxa"/>
            <w:vAlign w:val="center"/>
          </w:tcPr>
          <w:p w14:paraId="294A383F">
            <w:pPr>
              <w:pStyle w:val="12"/>
            </w:pPr>
            <w:r>
              <w:t>时效指标</w:t>
            </w:r>
          </w:p>
        </w:tc>
        <w:tc>
          <w:tcPr>
            <w:tcW w:w="2835" w:type="dxa"/>
            <w:vAlign w:val="center"/>
          </w:tcPr>
          <w:p w14:paraId="79483FF6">
            <w:pPr>
              <w:pStyle w:val="12"/>
            </w:pPr>
            <w:r>
              <w:t>义教经费支付完成率</w:t>
            </w:r>
          </w:p>
        </w:tc>
        <w:tc>
          <w:tcPr>
            <w:tcW w:w="5386" w:type="dxa"/>
            <w:vAlign w:val="center"/>
          </w:tcPr>
          <w:p w14:paraId="0B7ADEB7">
            <w:pPr>
              <w:pStyle w:val="12"/>
            </w:pPr>
            <w:r>
              <w:t>按照序时进度完成资金支付</w:t>
            </w:r>
          </w:p>
        </w:tc>
        <w:tc>
          <w:tcPr>
            <w:tcW w:w="2268" w:type="dxa"/>
            <w:vAlign w:val="center"/>
          </w:tcPr>
          <w:p w14:paraId="22A2E341">
            <w:pPr>
              <w:pStyle w:val="12"/>
            </w:pPr>
            <w:r>
              <w:t>32.96万元</w:t>
            </w:r>
          </w:p>
        </w:tc>
        <w:tc>
          <w:tcPr>
            <w:tcW w:w="1276" w:type="dxa"/>
            <w:vAlign w:val="center"/>
          </w:tcPr>
          <w:p w14:paraId="2F32081C">
            <w:pPr>
              <w:pStyle w:val="12"/>
            </w:pPr>
            <w:r>
              <w:t>城乡义务教育公用经费管理办法</w:t>
            </w:r>
          </w:p>
        </w:tc>
      </w:tr>
      <w:tr w14:paraId="04A4B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6EF50"/>
        </w:tc>
        <w:tc>
          <w:tcPr>
            <w:tcW w:w="2268" w:type="dxa"/>
            <w:vAlign w:val="center"/>
          </w:tcPr>
          <w:p w14:paraId="17F49CE4">
            <w:pPr>
              <w:pStyle w:val="12"/>
            </w:pPr>
            <w:r>
              <w:t>成本指标</w:t>
            </w:r>
          </w:p>
        </w:tc>
        <w:tc>
          <w:tcPr>
            <w:tcW w:w="2835" w:type="dxa"/>
            <w:vAlign w:val="center"/>
          </w:tcPr>
          <w:p w14:paraId="0068ABA0">
            <w:pPr>
              <w:pStyle w:val="12"/>
            </w:pPr>
            <w:r>
              <w:t>生均拨款标准</w:t>
            </w:r>
          </w:p>
        </w:tc>
        <w:tc>
          <w:tcPr>
            <w:tcW w:w="5386" w:type="dxa"/>
            <w:vAlign w:val="center"/>
          </w:tcPr>
          <w:p w14:paraId="736BE9A8">
            <w:pPr>
              <w:pStyle w:val="12"/>
            </w:pPr>
            <w:r>
              <w:t>初中：基本标准1060元（含取暖120元）、寄宿生300元/生/学年；特教、随班就读学生：标准7000元/生/学年</w:t>
            </w:r>
          </w:p>
        </w:tc>
        <w:tc>
          <w:tcPr>
            <w:tcW w:w="2268" w:type="dxa"/>
            <w:vAlign w:val="center"/>
          </w:tcPr>
          <w:p w14:paraId="70CB001C">
            <w:pPr>
              <w:pStyle w:val="12"/>
            </w:pPr>
            <w:r>
              <w:t>1360元</w:t>
            </w:r>
          </w:p>
        </w:tc>
        <w:tc>
          <w:tcPr>
            <w:tcW w:w="1276" w:type="dxa"/>
            <w:vAlign w:val="center"/>
          </w:tcPr>
          <w:p w14:paraId="550BF08F">
            <w:pPr>
              <w:pStyle w:val="12"/>
            </w:pPr>
            <w:r>
              <w:t>城乡义务教育公用经费管理办法</w:t>
            </w:r>
          </w:p>
        </w:tc>
      </w:tr>
      <w:tr w14:paraId="142E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D628B">
            <w:pPr>
              <w:pStyle w:val="13"/>
            </w:pPr>
            <w:r>
              <w:t>效益指标</w:t>
            </w:r>
          </w:p>
        </w:tc>
        <w:tc>
          <w:tcPr>
            <w:tcW w:w="2268" w:type="dxa"/>
            <w:vAlign w:val="center"/>
          </w:tcPr>
          <w:p w14:paraId="12B8D7E7">
            <w:pPr>
              <w:pStyle w:val="12"/>
            </w:pPr>
            <w:r>
              <w:t>社会效益指标</w:t>
            </w:r>
          </w:p>
        </w:tc>
        <w:tc>
          <w:tcPr>
            <w:tcW w:w="2835" w:type="dxa"/>
            <w:vAlign w:val="center"/>
          </w:tcPr>
          <w:p w14:paraId="729636D3">
            <w:pPr>
              <w:pStyle w:val="12"/>
            </w:pPr>
            <w:r>
              <w:t>学生就读稳定率</w:t>
            </w:r>
          </w:p>
        </w:tc>
        <w:tc>
          <w:tcPr>
            <w:tcW w:w="5386" w:type="dxa"/>
            <w:vAlign w:val="center"/>
          </w:tcPr>
          <w:p w14:paraId="2FFC17C7">
            <w:pPr>
              <w:pStyle w:val="12"/>
            </w:pPr>
            <w:r>
              <w:t>维护社会稳定，保障学生受教育巩固率</w:t>
            </w:r>
          </w:p>
        </w:tc>
        <w:tc>
          <w:tcPr>
            <w:tcW w:w="2268" w:type="dxa"/>
            <w:vAlign w:val="center"/>
          </w:tcPr>
          <w:p w14:paraId="091F6E10">
            <w:pPr>
              <w:pStyle w:val="12"/>
            </w:pPr>
            <w:r>
              <w:t>≥98%</w:t>
            </w:r>
          </w:p>
        </w:tc>
        <w:tc>
          <w:tcPr>
            <w:tcW w:w="1276" w:type="dxa"/>
            <w:vAlign w:val="center"/>
          </w:tcPr>
          <w:p w14:paraId="30DBD884">
            <w:pPr>
              <w:pStyle w:val="12"/>
            </w:pPr>
            <w:r>
              <w:t>城乡义务教育公用经费管理办法</w:t>
            </w:r>
          </w:p>
        </w:tc>
      </w:tr>
      <w:tr w14:paraId="1DB2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01833"/>
        </w:tc>
        <w:tc>
          <w:tcPr>
            <w:tcW w:w="2268" w:type="dxa"/>
            <w:vAlign w:val="center"/>
          </w:tcPr>
          <w:p w14:paraId="0DA99201">
            <w:pPr>
              <w:pStyle w:val="12"/>
            </w:pPr>
            <w:r>
              <w:t>可持续影响指标</w:t>
            </w:r>
          </w:p>
        </w:tc>
        <w:tc>
          <w:tcPr>
            <w:tcW w:w="2835" w:type="dxa"/>
            <w:vAlign w:val="center"/>
          </w:tcPr>
          <w:p w14:paraId="35D86A0D">
            <w:pPr>
              <w:pStyle w:val="12"/>
            </w:pPr>
            <w:r>
              <w:t>效果持续时间</w:t>
            </w:r>
          </w:p>
        </w:tc>
        <w:tc>
          <w:tcPr>
            <w:tcW w:w="5386" w:type="dxa"/>
            <w:vAlign w:val="center"/>
          </w:tcPr>
          <w:p w14:paraId="2C52291A">
            <w:pPr>
              <w:pStyle w:val="12"/>
            </w:pPr>
            <w:r>
              <w:t>效果持续时间</w:t>
            </w:r>
          </w:p>
        </w:tc>
        <w:tc>
          <w:tcPr>
            <w:tcW w:w="2268" w:type="dxa"/>
            <w:vAlign w:val="center"/>
          </w:tcPr>
          <w:p w14:paraId="30192AE1">
            <w:pPr>
              <w:pStyle w:val="12"/>
            </w:pPr>
            <w:r>
              <w:t>1年</w:t>
            </w:r>
          </w:p>
        </w:tc>
        <w:tc>
          <w:tcPr>
            <w:tcW w:w="1276" w:type="dxa"/>
            <w:vAlign w:val="center"/>
          </w:tcPr>
          <w:p w14:paraId="73E896AC">
            <w:pPr>
              <w:pStyle w:val="12"/>
            </w:pPr>
            <w:r>
              <w:t>城乡义务教育公用经费管理办法</w:t>
            </w:r>
          </w:p>
        </w:tc>
      </w:tr>
      <w:tr w14:paraId="370B7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A9FA8">
            <w:pPr>
              <w:pStyle w:val="13"/>
            </w:pPr>
            <w:r>
              <w:t>满意度指标</w:t>
            </w:r>
          </w:p>
        </w:tc>
        <w:tc>
          <w:tcPr>
            <w:tcW w:w="2268" w:type="dxa"/>
            <w:vAlign w:val="center"/>
          </w:tcPr>
          <w:p w14:paraId="4F569D6E">
            <w:pPr>
              <w:pStyle w:val="12"/>
            </w:pPr>
            <w:r>
              <w:t>服务对象满意度指标</w:t>
            </w:r>
          </w:p>
        </w:tc>
        <w:tc>
          <w:tcPr>
            <w:tcW w:w="2835" w:type="dxa"/>
            <w:vAlign w:val="center"/>
          </w:tcPr>
          <w:p w14:paraId="6A675EDA">
            <w:pPr>
              <w:pStyle w:val="12"/>
            </w:pPr>
            <w:r>
              <w:t>家长社会学生满意度</w:t>
            </w:r>
          </w:p>
        </w:tc>
        <w:tc>
          <w:tcPr>
            <w:tcW w:w="5386" w:type="dxa"/>
            <w:vAlign w:val="center"/>
          </w:tcPr>
          <w:p w14:paraId="1B24DCDC">
            <w:pPr>
              <w:pStyle w:val="12"/>
            </w:pPr>
            <w:r>
              <w:t>家长社会学生满意度</w:t>
            </w:r>
          </w:p>
        </w:tc>
        <w:tc>
          <w:tcPr>
            <w:tcW w:w="2268" w:type="dxa"/>
            <w:vAlign w:val="center"/>
          </w:tcPr>
          <w:p w14:paraId="26D54323">
            <w:pPr>
              <w:pStyle w:val="12"/>
            </w:pPr>
            <w:r>
              <w:t>≥98%</w:t>
            </w:r>
          </w:p>
        </w:tc>
        <w:tc>
          <w:tcPr>
            <w:tcW w:w="1276" w:type="dxa"/>
            <w:vAlign w:val="center"/>
          </w:tcPr>
          <w:p w14:paraId="04D85244">
            <w:pPr>
              <w:pStyle w:val="12"/>
            </w:pPr>
            <w:r>
              <w:t>调查问卷</w:t>
            </w:r>
          </w:p>
        </w:tc>
      </w:tr>
    </w:tbl>
    <w:p w14:paraId="65E6C097">
      <w:pPr>
        <w:sectPr>
          <w:pgSz w:w="16840" w:h="11900" w:orient="landscape"/>
          <w:pgMar w:top="1361" w:right="1020" w:bottom="1134" w:left="1020" w:header="720" w:footer="720" w:gutter="0"/>
          <w:cols w:space="720" w:num="1"/>
        </w:sectPr>
      </w:pPr>
    </w:p>
    <w:p w14:paraId="35AA72D1">
      <w:pPr>
        <w:spacing w:before="0" w:after="0"/>
        <w:ind w:firstLine="560"/>
        <w:jc w:val="left"/>
        <w:outlineLvl w:val="9"/>
      </w:pPr>
      <w:r>
        <w:rPr>
          <w:rFonts w:ascii="方正仿宋_GBK" w:hAnsi="方正仿宋_GBK" w:eastAsia="方正仿宋_GBK" w:cs="方正仿宋_GBK"/>
          <w:b/>
          <w:color w:val="000000"/>
          <w:sz w:val="28"/>
        </w:rPr>
        <w:t>4、冀财教[2025]148号/支持义务教育发展/滏阳中学公用经费绩效目标表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F6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B34CF">
            <w:pPr>
              <w:pStyle w:val="11"/>
            </w:pPr>
            <w:r>
              <w:t>单位：万元</w:t>
            </w:r>
          </w:p>
        </w:tc>
      </w:tr>
      <w:tr w14:paraId="717CB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870B8">
            <w:pPr>
              <w:pStyle w:val="10"/>
            </w:pPr>
            <w:r>
              <w:t>项目编码</w:t>
            </w:r>
          </w:p>
        </w:tc>
        <w:tc>
          <w:tcPr>
            <w:tcW w:w="5103" w:type="dxa"/>
            <w:gridSpan w:val="2"/>
            <w:vAlign w:val="center"/>
          </w:tcPr>
          <w:p w14:paraId="2037FC2D">
            <w:pPr>
              <w:pStyle w:val="12"/>
            </w:pPr>
            <w:r>
              <w:t>13052526P00000210112F</w:t>
            </w:r>
          </w:p>
        </w:tc>
        <w:tc>
          <w:tcPr>
            <w:tcW w:w="2835" w:type="dxa"/>
            <w:vAlign w:val="center"/>
          </w:tcPr>
          <w:p w14:paraId="62C0ECFB">
            <w:pPr>
              <w:pStyle w:val="10"/>
            </w:pPr>
            <w:r>
              <w:t>项目名称</w:t>
            </w:r>
          </w:p>
        </w:tc>
        <w:tc>
          <w:tcPr>
            <w:tcW w:w="6095" w:type="dxa"/>
            <w:gridSpan w:val="3"/>
            <w:vAlign w:val="center"/>
          </w:tcPr>
          <w:p w14:paraId="156B697D">
            <w:pPr>
              <w:pStyle w:val="12"/>
            </w:pPr>
            <w:r>
              <w:t>冀财教[2025]148号/支持义务教育发展/滏阳中学公用经费</w:t>
            </w:r>
          </w:p>
        </w:tc>
      </w:tr>
      <w:tr w14:paraId="4AB1C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75A51">
            <w:pPr>
              <w:pStyle w:val="10"/>
            </w:pPr>
            <w:r>
              <w:t>预算规模及资金用途</w:t>
            </w:r>
          </w:p>
        </w:tc>
        <w:tc>
          <w:tcPr>
            <w:tcW w:w="2268" w:type="dxa"/>
            <w:vAlign w:val="center"/>
          </w:tcPr>
          <w:p w14:paraId="1B7ECC50">
            <w:pPr>
              <w:pStyle w:val="10"/>
            </w:pPr>
            <w:r>
              <w:t>预算数</w:t>
            </w:r>
          </w:p>
        </w:tc>
        <w:tc>
          <w:tcPr>
            <w:tcW w:w="2835" w:type="dxa"/>
            <w:vAlign w:val="center"/>
          </w:tcPr>
          <w:p w14:paraId="7DEF97A3">
            <w:pPr>
              <w:pStyle w:val="12"/>
            </w:pPr>
            <w:r>
              <w:t>11.00</w:t>
            </w:r>
          </w:p>
        </w:tc>
        <w:tc>
          <w:tcPr>
            <w:tcW w:w="2835" w:type="dxa"/>
            <w:vAlign w:val="center"/>
          </w:tcPr>
          <w:p w14:paraId="52138C6D">
            <w:pPr>
              <w:pStyle w:val="10"/>
            </w:pPr>
            <w:r>
              <w:t>其中：财政    资金</w:t>
            </w:r>
          </w:p>
        </w:tc>
        <w:tc>
          <w:tcPr>
            <w:tcW w:w="2551" w:type="dxa"/>
            <w:vAlign w:val="center"/>
          </w:tcPr>
          <w:p w14:paraId="1C955B75">
            <w:pPr>
              <w:pStyle w:val="12"/>
            </w:pPr>
            <w:r>
              <w:t>11.00</w:t>
            </w:r>
          </w:p>
        </w:tc>
        <w:tc>
          <w:tcPr>
            <w:tcW w:w="2268" w:type="dxa"/>
            <w:vAlign w:val="center"/>
          </w:tcPr>
          <w:p w14:paraId="03B2F262">
            <w:pPr>
              <w:pStyle w:val="10"/>
            </w:pPr>
            <w:r>
              <w:t>其他资金</w:t>
            </w:r>
          </w:p>
        </w:tc>
        <w:tc>
          <w:tcPr>
            <w:tcW w:w="1276" w:type="dxa"/>
            <w:vAlign w:val="center"/>
          </w:tcPr>
          <w:p w14:paraId="29D57D2C">
            <w:pPr>
              <w:pStyle w:val="12"/>
            </w:pPr>
            <w:r>
              <w:t xml:space="preserve"> </w:t>
            </w:r>
          </w:p>
        </w:tc>
      </w:tr>
      <w:tr w14:paraId="38F72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BF441"/>
        </w:tc>
        <w:tc>
          <w:tcPr>
            <w:tcW w:w="14033" w:type="dxa"/>
            <w:gridSpan w:val="6"/>
            <w:vAlign w:val="center"/>
          </w:tcPr>
          <w:p w14:paraId="57731120">
            <w:pPr>
              <w:pStyle w:val="12"/>
            </w:pPr>
            <w:r>
              <w:t>改善学校教学条件，提高学生学习环境，更好</w:t>
            </w:r>
            <w:r>
              <w:rPr>
                <w:rFonts w:hint="eastAsia"/>
                <w:lang w:eastAsia="zh-CN"/>
              </w:rPr>
              <w:t>地</w:t>
            </w:r>
            <w:r>
              <w:t>保障教学效果</w:t>
            </w:r>
          </w:p>
        </w:tc>
      </w:tr>
      <w:tr w14:paraId="477F6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E8B9E">
            <w:pPr>
              <w:pStyle w:val="10"/>
            </w:pPr>
            <w:r>
              <w:t>资金支出计划（%）</w:t>
            </w:r>
          </w:p>
        </w:tc>
        <w:tc>
          <w:tcPr>
            <w:tcW w:w="5103" w:type="dxa"/>
            <w:gridSpan w:val="2"/>
            <w:vAlign w:val="center"/>
          </w:tcPr>
          <w:p w14:paraId="5AF10E9D">
            <w:pPr>
              <w:pStyle w:val="10"/>
            </w:pPr>
            <w:r>
              <w:t>3月底</w:t>
            </w:r>
          </w:p>
        </w:tc>
        <w:tc>
          <w:tcPr>
            <w:tcW w:w="2835" w:type="dxa"/>
            <w:vAlign w:val="center"/>
          </w:tcPr>
          <w:p w14:paraId="38BFB0F8">
            <w:pPr>
              <w:pStyle w:val="10"/>
            </w:pPr>
            <w:r>
              <w:t>6月底</w:t>
            </w:r>
          </w:p>
        </w:tc>
        <w:tc>
          <w:tcPr>
            <w:tcW w:w="2551" w:type="dxa"/>
            <w:vAlign w:val="center"/>
          </w:tcPr>
          <w:p w14:paraId="662BEB0B">
            <w:pPr>
              <w:pStyle w:val="10"/>
            </w:pPr>
            <w:r>
              <w:t>10月底</w:t>
            </w:r>
          </w:p>
        </w:tc>
        <w:tc>
          <w:tcPr>
            <w:tcW w:w="3544" w:type="dxa"/>
            <w:gridSpan w:val="2"/>
            <w:vAlign w:val="center"/>
          </w:tcPr>
          <w:p w14:paraId="29D4B608">
            <w:pPr>
              <w:pStyle w:val="10"/>
            </w:pPr>
            <w:r>
              <w:t>12月底</w:t>
            </w:r>
          </w:p>
        </w:tc>
      </w:tr>
      <w:tr w14:paraId="60D9A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D5171"/>
        </w:tc>
        <w:tc>
          <w:tcPr>
            <w:tcW w:w="5103" w:type="dxa"/>
            <w:gridSpan w:val="2"/>
            <w:vAlign w:val="center"/>
          </w:tcPr>
          <w:p w14:paraId="0B1FD175">
            <w:pPr>
              <w:pStyle w:val="13"/>
            </w:pPr>
            <w:r>
              <w:t xml:space="preserve"> </w:t>
            </w:r>
          </w:p>
        </w:tc>
        <w:tc>
          <w:tcPr>
            <w:tcW w:w="2835" w:type="dxa"/>
            <w:vAlign w:val="center"/>
          </w:tcPr>
          <w:p w14:paraId="51021C6D">
            <w:pPr>
              <w:pStyle w:val="13"/>
            </w:pPr>
            <w:r>
              <w:t>50%</w:t>
            </w:r>
          </w:p>
        </w:tc>
        <w:tc>
          <w:tcPr>
            <w:tcW w:w="2551" w:type="dxa"/>
            <w:vAlign w:val="center"/>
          </w:tcPr>
          <w:p w14:paraId="082CFE11">
            <w:pPr>
              <w:pStyle w:val="13"/>
            </w:pPr>
            <w:r>
              <w:t>100%</w:t>
            </w:r>
          </w:p>
        </w:tc>
        <w:tc>
          <w:tcPr>
            <w:tcW w:w="3544" w:type="dxa"/>
            <w:gridSpan w:val="2"/>
            <w:vAlign w:val="center"/>
          </w:tcPr>
          <w:p w14:paraId="09164B38">
            <w:pPr>
              <w:pStyle w:val="13"/>
            </w:pPr>
            <w:r>
              <w:t>100%</w:t>
            </w:r>
          </w:p>
        </w:tc>
      </w:tr>
      <w:tr w14:paraId="69DB5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4220F">
            <w:pPr>
              <w:pStyle w:val="10"/>
            </w:pPr>
            <w:r>
              <w:t>绩效目标</w:t>
            </w:r>
          </w:p>
        </w:tc>
        <w:tc>
          <w:tcPr>
            <w:tcW w:w="14033" w:type="dxa"/>
            <w:gridSpan w:val="6"/>
            <w:vAlign w:val="center"/>
          </w:tcPr>
          <w:p w14:paraId="5E3C3CA8">
            <w:pPr>
              <w:pStyle w:val="12"/>
            </w:pPr>
            <w:r>
              <w:t>1.改善学校教学条件，提高学生学习环境，更好</w:t>
            </w:r>
            <w:r>
              <w:rPr>
                <w:rFonts w:hint="eastAsia"/>
                <w:lang w:eastAsia="zh-CN"/>
              </w:rPr>
              <w:t>地</w:t>
            </w:r>
            <w:r>
              <w:t>保障教学效果</w:t>
            </w:r>
          </w:p>
          <w:p w14:paraId="63BD68B6">
            <w:pPr>
              <w:pStyle w:val="12"/>
            </w:pPr>
            <w:r>
              <w:t>2.按照序时进度完成支付，支付率达到100%。</w:t>
            </w:r>
          </w:p>
        </w:tc>
      </w:tr>
    </w:tbl>
    <w:p w14:paraId="099EB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A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FB952">
            <w:pPr>
              <w:pStyle w:val="10"/>
            </w:pPr>
            <w:r>
              <w:t>一级指标</w:t>
            </w:r>
          </w:p>
        </w:tc>
        <w:tc>
          <w:tcPr>
            <w:tcW w:w="2268" w:type="dxa"/>
            <w:vAlign w:val="center"/>
          </w:tcPr>
          <w:p w14:paraId="37E15D63">
            <w:pPr>
              <w:pStyle w:val="10"/>
            </w:pPr>
            <w:r>
              <w:t>二级指标</w:t>
            </w:r>
          </w:p>
        </w:tc>
        <w:tc>
          <w:tcPr>
            <w:tcW w:w="2835" w:type="dxa"/>
            <w:vAlign w:val="center"/>
          </w:tcPr>
          <w:p w14:paraId="7E46C7CF">
            <w:pPr>
              <w:pStyle w:val="10"/>
            </w:pPr>
            <w:r>
              <w:t>三级指标</w:t>
            </w:r>
          </w:p>
        </w:tc>
        <w:tc>
          <w:tcPr>
            <w:tcW w:w="5386" w:type="dxa"/>
            <w:vAlign w:val="center"/>
          </w:tcPr>
          <w:p w14:paraId="1FA589A1">
            <w:pPr>
              <w:pStyle w:val="10"/>
            </w:pPr>
            <w:r>
              <w:t>绩效指标描述</w:t>
            </w:r>
          </w:p>
        </w:tc>
        <w:tc>
          <w:tcPr>
            <w:tcW w:w="2268" w:type="dxa"/>
            <w:vAlign w:val="center"/>
          </w:tcPr>
          <w:p w14:paraId="45E2C697">
            <w:pPr>
              <w:pStyle w:val="10"/>
            </w:pPr>
            <w:r>
              <w:t>指标值</w:t>
            </w:r>
          </w:p>
        </w:tc>
        <w:tc>
          <w:tcPr>
            <w:tcW w:w="1276" w:type="dxa"/>
            <w:vAlign w:val="center"/>
          </w:tcPr>
          <w:p w14:paraId="1D7BD093">
            <w:pPr>
              <w:pStyle w:val="10"/>
            </w:pPr>
            <w:r>
              <w:t>指标值确定依据</w:t>
            </w:r>
          </w:p>
        </w:tc>
      </w:tr>
      <w:tr w14:paraId="5D37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73DE0">
            <w:pPr>
              <w:pStyle w:val="13"/>
            </w:pPr>
            <w:r>
              <w:t>产出指标</w:t>
            </w:r>
          </w:p>
        </w:tc>
        <w:tc>
          <w:tcPr>
            <w:tcW w:w="2268" w:type="dxa"/>
            <w:vAlign w:val="center"/>
          </w:tcPr>
          <w:p w14:paraId="40BC9337">
            <w:pPr>
              <w:pStyle w:val="12"/>
            </w:pPr>
            <w:r>
              <w:t>数量指标</w:t>
            </w:r>
          </w:p>
        </w:tc>
        <w:tc>
          <w:tcPr>
            <w:tcW w:w="2835" w:type="dxa"/>
            <w:vAlign w:val="center"/>
          </w:tcPr>
          <w:p w14:paraId="2DB2DBB7">
            <w:pPr>
              <w:pStyle w:val="12"/>
            </w:pPr>
            <w:r>
              <w:t>按照年度工作计划完成购置和安装</w:t>
            </w:r>
          </w:p>
        </w:tc>
        <w:tc>
          <w:tcPr>
            <w:tcW w:w="5386" w:type="dxa"/>
            <w:vAlign w:val="center"/>
          </w:tcPr>
          <w:p w14:paraId="4B1E61A7">
            <w:pPr>
              <w:pStyle w:val="12"/>
            </w:pPr>
            <w:r>
              <w:t>数量达到学校要求</w:t>
            </w:r>
          </w:p>
        </w:tc>
        <w:tc>
          <w:tcPr>
            <w:tcW w:w="2268" w:type="dxa"/>
            <w:vAlign w:val="center"/>
          </w:tcPr>
          <w:p w14:paraId="6C332EC6">
            <w:pPr>
              <w:pStyle w:val="12"/>
            </w:pPr>
            <w:r>
              <w:t>20台</w:t>
            </w:r>
          </w:p>
        </w:tc>
        <w:tc>
          <w:tcPr>
            <w:tcW w:w="1276" w:type="dxa"/>
            <w:vAlign w:val="center"/>
          </w:tcPr>
          <w:p w14:paraId="35B5C069">
            <w:pPr>
              <w:pStyle w:val="12"/>
            </w:pPr>
            <w:r>
              <w:t>城乡义务教育公用经费管理办法</w:t>
            </w:r>
          </w:p>
        </w:tc>
      </w:tr>
      <w:tr w14:paraId="4645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7D8E0"/>
        </w:tc>
        <w:tc>
          <w:tcPr>
            <w:tcW w:w="2268" w:type="dxa"/>
            <w:vAlign w:val="center"/>
          </w:tcPr>
          <w:p w14:paraId="32A45BAE">
            <w:pPr>
              <w:pStyle w:val="12"/>
            </w:pPr>
            <w:r>
              <w:t>质量指标</w:t>
            </w:r>
          </w:p>
        </w:tc>
        <w:tc>
          <w:tcPr>
            <w:tcW w:w="2835" w:type="dxa"/>
            <w:vAlign w:val="center"/>
          </w:tcPr>
          <w:p w14:paraId="1DA9F887">
            <w:pPr>
              <w:pStyle w:val="12"/>
            </w:pPr>
            <w:r>
              <w:t>空调设备采购合格率</w:t>
            </w:r>
          </w:p>
        </w:tc>
        <w:tc>
          <w:tcPr>
            <w:tcW w:w="5386" w:type="dxa"/>
            <w:vAlign w:val="center"/>
          </w:tcPr>
          <w:p w14:paraId="49FB6DBE">
            <w:pPr>
              <w:pStyle w:val="12"/>
            </w:pPr>
            <w:r>
              <w:t>硬件设备采购合格产品</w:t>
            </w:r>
          </w:p>
        </w:tc>
        <w:tc>
          <w:tcPr>
            <w:tcW w:w="2268" w:type="dxa"/>
            <w:vAlign w:val="center"/>
          </w:tcPr>
          <w:p w14:paraId="546B3AF1">
            <w:pPr>
              <w:pStyle w:val="12"/>
            </w:pPr>
            <w:r>
              <w:t>≥98%</w:t>
            </w:r>
          </w:p>
        </w:tc>
        <w:tc>
          <w:tcPr>
            <w:tcW w:w="1276" w:type="dxa"/>
            <w:vAlign w:val="center"/>
          </w:tcPr>
          <w:p w14:paraId="56CF4D4A">
            <w:pPr>
              <w:pStyle w:val="12"/>
            </w:pPr>
            <w:r>
              <w:t>城乡义务教育公用经费管理办法</w:t>
            </w:r>
          </w:p>
        </w:tc>
      </w:tr>
      <w:tr w14:paraId="3062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C2BE"/>
        </w:tc>
        <w:tc>
          <w:tcPr>
            <w:tcW w:w="2268" w:type="dxa"/>
            <w:vAlign w:val="center"/>
          </w:tcPr>
          <w:p w14:paraId="0F0E7169">
            <w:pPr>
              <w:pStyle w:val="12"/>
            </w:pPr>
            <w:r>
              <w:t>时效指标</w:t>
            </w:r>
          </w:p>
        </w:tc>
        <w:tc>
          <w:tcPr>
            <w:tcW w:w="2835" w:type="dxa"/>
            <w:vAlign w:val="center"/>
          </w:tcPr>
          <w:p w14:paraId="522EF745">
            <w:pPr>
              <w:pStyle w:val="12"/>
            </w:pPr>
            <w:r>
              <w:t>支付及时率</w:t>
            </w:r>
          </w:p>
        </w:tc>
        <w:tc>
          <w:tcPr>
            <w:tcW w:w="5386" w:type="dxa"/>
            <w:vAlign w:val="center"/>
          </w:tcPr>
          <w:p w14:paraId="07146CF5">
            <w:pPr>
              <w:pStyle w:val="12"/>
            </w:pPr>
            <w:r>
              <w:t>按合同约定一次性支付</w:t>
            </w:r>
          </w:p>
        </w:tc>
        <w:tc>
          <w:tcPr>
            <w:tcW w:w="2268" w:type="dxa"/>
            <w:vAlign w:val="center"/>
          </w:tcPr>
          <w:p w14:paraId="4F3A66F1">
            <w:pPr>
              <w:pStyle w:val="12"/>
            </w:pPr>
            <w:r>
              <w:t>100%</w:t>
            </w:r>
          </w:p>
        </w:tc>
        <w:tc>
          <w:tcPr>
            <w:tcW w:w="1276" w:type="dxa"/>
            <w:vAlign w:val="center"/>
          </w:tcPr>
          <w:p w14:paraId="2C0A7F7C">
            <w:pPr>
              <w:pStyle w:val="12"/>
            </w:pPr>
            <w:r>
              <w:t>城乡义务教育公用经费管理办法</w:t>
            </w:r>
          </w:p>
        </w:tc>
      </w:tr>
      <w:tr w14:paraId="6140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EDE4B"/>
        </w:tc>
        <w:tc>
          <w:tcPr>
            <w:tcW w:w="2268" w:type="dxa"/>
            <w:vAlign w:val="center"/>
          </w:tcPr>
          <w:p w14:paraId="51BA9249">
            <w:pPr>
              <w:pStyle w:val="12"/>
            </w:pPr>
            <w:r>
              <w:t>成本指标</w:t>
            </w:r>
          </w:p>
        </w:tc>
        <w:tc>
          <w:tcPr>
            <w:tcW w:w="2835" w:type="dxa"/>
            <w:vAlign w:val="center"/>
          </w:tcPr>
          <w:p w14:paraId="7141D9F2">
            <w:pPr>
              <w:pStyle w:val="12"/>
            </w:pPr>
            <w:r>
              <w:t>成本控制率</w:t>
            </w:r>
          </w:p>
        </w:tc>
        <w:tc>
          <w:tcPr>
            <w:tcW w:w="5386" w:type="dxa"/>
            <w:vAlign w:val="center"/>
          </w:tcPr>
          <w:p w14:paraId="0CC633CD">
            <w:pPr>
              <w:pStyle w:val="12"/>
            </w:pPr>
            <w:r>
              <w:t>完成项目的成本控制在预算水平</w:t>
            </w:r>
          </w:p>
        </w:tc>
        <w:tc>
          <w:tcPr>
            <w:tcW w:w="2268" w:type="dxa"/>
            <w:vAlign w:val="center"/>
          </w:tcPr>
          <w:p w14:paraId="0D5094E6">
            <w:pPr>
              <w:pStyle w:val="12"/>
            </w:pPr>
            <w:r>
              <w:t>≤11万</w:t>
            </w:r>
          </w:p>
        </w:tc>
        <w:tc>
          <w:tcPr>
            <w:tcW w:w="1276" w:type="dxa"/>
            <w:vAlign w:val="center"/>
          </w:tcPr>
          <w:p w14:paraId="61F44A0D">
            <w:pPr>
              <w:pStyle w:val="12"/>
            </w:pPr>
            <w:r>
              <w:t>城乡义务教育公用经费管理办法</w:t>
            </w:r>
          </w:p>
        </w:tc>
      </w:tr>
      <w:tr w14:paraId="11FE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365F3">
            <w:pPr>
              <w:pStyle w:val="13"/>
            </w:pPr>
            <w:r>
              <w:t>效益指标</w:t>
            </w:r>
          </w:p>
        </w:tc>
        <w:tc>
          <w:tcPr>
            <w:tcW w:w="2268" w:type="dxa"/>
            <w:vAlign w:val="center"/>
          </w:tcPr>
          <w:p w14:paraId="1D10423B">
            <w:pPr>
              <w:pStyle w:val="12"/>
            </w:pPr>
            <w:r>
              <w:t>生态效益指标</w:t>
            </w:r>
          </w:p>
        </w:tc>
        <w:tc>
          <w:tcPr>
            <w:tcW w:w="2835" w:type="dxa"/>
            <w:vAlign w:val="center"/>
          </w:tcPr>
          <w:p w14:paraId="0EC01F39">
            <w:pPr>
              <w:pStyle w:val="12"/>
            </w:pPr>
            <w:r>
              <w:t>符合国家环保标准</w:t>
            </w:r>
          </w:p>
        </w:tc>
        <w:tc>
          <w:tcPr>
            <w:tcW w:w="5386" w:type="dxa"/>
            <w:vAlign w:val="center"/>
          </w:tcPr>
          <w:p w14:paraId="1ACA4158">
            <w:pPr>
              <w:pStyle w:val="12"/>
            </w:pPr>
            <w:r>
              <w:t>达标率</w:t>
            </w:r>
          </w:p>
        </w:tc>
        <w:tc>
          <w:tcPr>
            <w:tcW w:w="2268" w:type="dxa"/>
            <w:vAlign w:val="center"/>
          </w:tcPr>
          <w:p w14:paraId="4B4E8C94">
            <w:pPr>
              <w:pStyle w:val="12"/>
            </w:pPr>
            <w:r>
              <w:t>≥98%</w:t>
            </w:r>
          </w:p>
        </w:tc>
        <w:tc>
          <w:tcPr>
            <w:tcW w:w="1276" w:type="dxa"/>
            <w:vAlign w:val="center"/>
          </w:tcPr>
          <w:p w14:paraId="689189FD">
            <w:pPr>
              <w:pStyle w:val="12"/>
            </w:pPr>
            <w:r>
              <w:t>城乡义务教育公用经费管理办法</w:t>
            </w:r>
          </w:p>
        </w:tc>
      </w:tr>
      <w:tr w14:paraId="4F4C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FA319"/>
        </w:tc>
        <w:tc>
          <w:tcPr>
            <w:tcW w:w="2268" w:type="dxa"/>
            <w:vAlign w:val="center"/>
          </w:tcPr>
          <w:p w14:paraId="2F0F9ADB">
            <w:pPr>
              <w:pStyle w:val="12"/>
            </w:pPr>
            <w:r>
              <w:t>社会效益指标</w:t>
            </w:r>
          </w:p>
        </w:tc>
        <w:tc>
          <w:tcPr>
            <w:tcW w:w="2835" w:type="dxa"/>
            <w:vAlign w:val="center"/>
          </w:tcPr>
          <w:p w14:paraId="43D35E3A">
            <w:pPr>
              <w:pStyle w:val="12"/>
            </w:pPr>
            <w:r>
              <w:t>对单位教学工作推动效果</w:t>
            </w:r>
          </w:p>
        </w:tc>
        <w:tc>
          <w:tcPr>
            <w:tcW w:w="5386" w:type="dxa"/>
            <w:vAlign w:val="center"/>
          </w:tcPr>
          <w:p w14:paraId="0B5CA7AC">
            <w:pPr>
              <w:pStyle w:val="12"/>
            </w:pPr>
            <w:r>
              <w:t>使用年限</w:t>
            </w:r>
          </w:p>
        </w:tc>
        <w:tc>
          <w:tcPr>
            <w:tcW w:w="2268" w:type="dxa"/>
            <w:vAlign w:val="center"/>
          </w:tcPr>
          <w:p w14:paraId="249DF2F6">
            <w:pPr>
              <w:pStyle w:val="12"/>
            </w:pPr>
            <w:r>
              <w:t>≥10年</w:t>
            </w:r>
          </w:p>
        </w:tc>
        <w:tc>
          <w:tcPr>
            <w:tcW w:w="1276" w:type="dxa"/>
            <w:vAlign w:val="center"/>
          </w:tcPr>
          <w:p w14:paraId="4EEFD20D">
            <w:pPr>
              <w:pStyle w:val="12"/>
            </w:pPr>
            <w:r>
              <w:t>城乡义务教育公用经费管理办法</w:t>
            </w:r>
          </w:p>
        </w:tc>
      </w:tr>
      <w:tr w14:paraId="6F13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222DD">
            <w:pPr>
              <w:pStyle w:val="13"/>
            </w:pPr>
            <w:r>
              <w:t>满意度指标</w:t>
            </w:r>
          </w:p>
        </w:tc>
        <w:tc>
          <w:tcPr>
            <w:tcW w:w="2268" w:type="dxa"/>
            <w:vAlign w:val="center"/>
          </w:tcPr>
          <w:p w14:paraId="20A45399">
            <w:pPr>
              <w:pStyle w:val="12"/>
            </w:pPr>
            <w:r>
              <w:t>服务对象满意度指标</w:t>
            </w:r>
          </w:p>
        </w:tc>
        <w:tc>
          <w:tcPr>
            <w:tcW w:w="2835" w:type="dxa"/>
            <w:vAlign w:val="center"/>
          </w:tcPr>
          <w:p w14:paraId="09876389">
            <w:pPr>
              <w:pStyle w:val="12"/>
            </w:pPr>
            <w:r>
              <w:t>师生满意度调查指标</w:t>
            </w:r>
          </w:p>
        </w:tc>
        <w:tc>
          <w:tcPr>
            <w:tcW w:w="5386" w:type="dxa"/>
            <w:vAlign w:val="center"/>
          </w:tcPr>
          <w:p w14:paraId="06A7A460">
            <w:pPr>
              <w:pStyle w:val="12"/>
            </w:pPr>
            <w:r>
              <w:t>师生满意度调查指标</w:t>
            </w:r>
          </w:p>
        </w:tc>
        <w:tc>
          <w:tcPr>
            <w:tcW w:w="2268" w:type="dxa"/>
            <w:vAlign w:val="center"/>
          </w:tcPr>
          <w:p w14:paraId="19218EFA">
            <w:pPr>
              <w:pStyle w:val="12"/>
            </w:pPr>
            <w:r>
              <w:t>≥98%</w:t>
            </w:r>
          </w:p>
        </w:tc>
        <w:tc>
          <w:tcPr>
            <w:tcW w:w="1276" w:type="dxa"/>
            <w:vAlign w:val="center"/>
          </w:tcPr>
          <w:p w14:paraId="4CF501A4">
            <w:pPr>
              <w:pStyle w:val="12"/>
            </w:pPr>
            <w:r>
              <w:t>师生满意度</w:t>
            </w:r>
            <w:r>
              <w:rPr>
                <w:rFonts w:hint="eastAsia"/>
                <w:lang w:eastAsia="zh-CN"/>
              </w:rPr>
              <w:t>调查</w:t>
            </w:r>
            <w:r>
              <w:t>问卷</w:t>
            </w:r>
          </w:p>
        </w:tc>
      </w:tr>
    </w:tbl>
    <w:p w14:paraId="6D3C8A2B">
      <w:pPr>
        <w:sectPr>
          <w:pgSz w:w="16840" w:h="11900" w:orient="landscape"/>
          <w:pgMar w:top="1361" w:right="1020" w:bottom="1134" w:left="1020" w:header="720" w:footer="720" w:gutter="0"/>
          <w:cols w:space="720" w:num="1"/>
        </w:sectPr>
      </w:pPr>
    </w:p>
    <w:p w14:paraId="2D323499">
      <w:pPr>
        <w:spacing w:before="0" w:after="0"/>
        <w:ind w:firstLine="560"/>
        <w:jc w:val="left"/>
        <w:outlineLvl w:val="9"/>
      </w:pPr>
      <w:r>
        <w:rPr>
          <w:rFonts w:ascii="方正仿宋_GBK" w:hAnsi="方正仿宋_GBK" w:eastAsia="方正仿宋_GBK" w:cs="方正仿宋_GBK"/>
          <w:b/>
          <w:color w:val="000000"/>
          <w:sz w:val="28"/>
        </w:rPr>
        <w:t>5、县级配套/滏阳中学公用经费绩效目标表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24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9B0A4">
            <w:pPr>
              <w:pStyle w:val="11"/>
            </w:pPr>
            <w:r>
              <w:t>单位：万元</w:t>
            </w:r>
          </w:p>
        </w:tc>
      </w:tr>
      <w:tr w14:paraId="5C7B0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92DA1">
            <w:pPr>
              <w:pStyle w:val="10"/>
            </w:pPr>
            <w:r>
              <w:t>项目编码</w:t>
            </w:r>
          </w:p>
        </w:tc>
        <w:tc>
          <w:tcPr>
            <w:tcW w:w="5103" w:type="dxa"/>
            <w:gridSpan w:val="2"/>
            <w:vAlign w:val="center"/>
          </w:tcPr>
          <w:p w14:paraId="7D07E3CB">
            <w:pPr>
              <w:pStyle w:val="12"/>
            </w:pPr>
            <w:r>
              <w:t>13052526P00000410410F</w:t>
            </w:r>
          </w:p>
        </w:tc>
        <w:tc>
          <w:tcPr>
            <w:tcW w:w="2835" w:type="dxa"/>
            <w:vAlign w:val="center"/>
          </w:tcPr>
          <w:p w14:paraId="4BB0E0EF">
            <w:pPr>
              <w:pStyle w:val="10"/>
            </w:pPr>
            <w:r>
              <w:t>项目名称</w:t>
            </w:r>
          </w:p>
        </w:tc>
        <w:tc>
          <w:tcPr>
            <w:tcW w:w="6095" w:type="dxa"/>
            <w:gridSpan w:val="3"/>
            <w:vAlign w:val="center"/>
          </w:tcPr>
          <w:p w14:paraId="7EF9DDED">
            <w:pPr>
              <w:pStyle w:val="12"/>
            </w:pPr>
            <w:r>
              <w:t>县级配套/滏阳中学公用经费</w:t>
            </w:r>
          </w:p>
        </w:tc>
      </w:tr>
      <w:tr w14:paraId="01327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C4695">
            <w:pPr>
              <w:pStyle w:val="10"/>
            </w:pPr>
            <w:r>
              <w:t>预算规模及资金用途</w:t>
            </w:r>
          </w:p>
        </w:tc>
        <w:tc>
          <w:tcPr>
            <w:tcW w:w="2268" w:type="dxa"/>
            <w:vAlign w:val="center"/>
          </w:tcPr>
          <w:p w14:paraId="548FBB39">
            <w:pPr>
              <w:pStyle w:val="10"/>
            </w:pPr>
            <w:r>
              <w:t>预算数</w:t>
            </w:r>
          </w:p>
        </w:tc>
        <w:tc>
          <w:tcPr>
            <w:tcW w:w="2835" w:type="dxa"/>
            <w:vAlign w:val="center"/>
          </w:tcPr>
          <w:p w14:paraId="4EDE39B8">
            <w:pPr>
              <w:pStyle w:val="12"/>
            </w:pPr>
            <w:r>
              <w:t>10.44</w:t>
            </w:r>
          </w:p>
        </w:tc>
        <w:tc>
          <w:tcPr>
            <w:tcW w:w="2835" w:type="dxa"/>
            <w:vAlign w:val="center"/>
          </w:tcPr>
          <w:p w14:paraId="7F267C82">
            <w:pPr>
              <w:pStyle w:val="10"/>
            </w:pPr>
            <w:r>
              <w:t>其中：财政    资金</w:t>
            </w:r>
          </w:p>
        </w:tc>
        <w:tc>
          <w:tcPr>
            <w:tcW w:w="2551" w:type="dxa"/>
            <w:vAlign w:val="center"/>
          </w:tcPr>
          <w:p w14:paraId="0A0CEBE0">
            <w:pPr>
              <w:pStyle w:val="12"/>
            </w:pPr>
            <w:r>
              <w:t>10.44</w:t>
            </w:r>
          </w:p>
        </w:tc>
        <w:tc>
          <w:tcPr>
            <w:tcW w:w="2268" w:type="dxa"/>
            <w:vAlign w:val="center"/>
          </w:tcPr>
          <w:p w14:paraId="3A8E1BDD">
            <w:pPr>
              <w:pStyle w:val="10"/>
            </w:pPr>
            <w:r>
              <w:t>其他资金</w:t>
            </w:r>
          </w:p>
        </w:tc>
        <w:tc>
          <w:tcPr>
            <w:tcW w:w="1276" w:type="dxa"/>
            <w:vAlign w:val="center"/>
          </w:tcPr>
          <w:p w14:paraId="6809E188">
            <w:pPr>
              <w:pStyle w:val="12"/>
            </w:pPr>
            <w:r>
              <w:t xml:space="preserve"> </w:t>
            </w:r>
          </w:p>
        </w:tc>
      </w:tr>
      <w:tr w14:paraId="73DEE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35423"/>
        </w:tc>
        <w:tc>
          <w:tcPr>
            <w:tcW w:w="14033" w:type="dxa"/>
            <w:gridSpan w:val="6"/>
            <w:vAlign w:val="center"/>
          </w:tcPr>
          <w:p w14:paraId="3E6FE59B">
            <w:pPr>
              <w:pStyle w:val="12"/>
            </w:pPr>
            <w:r>
              <w:t>有效完成学校教学安全秩序，保障学校教学任务有效开展，满足学校正常教学需要。</w:t>
            </w:r>
          </w:p>
        </w:tc>
      </w:tr>
      <w:tr w14:paraId="02C53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38C8E">
            <w:pPr>
              <w:pStyle w:val="10"/>
            </w:pPr>
            <w:r>
              <w:t>资金支出计划（%）</w:t>
            </w:r>
          </w:p>
        </w:tc>
        <w:tc>
          <w:tcPr>
            <w:tcW w:w="5103" w:type="dxa"/>
            <w:gridSpan w:val="2"/>
            <w:vAlign w:val="center"/>
          </w:tcPr>
          <w:p w14:paraId="1F04E60E">
            <w:pPr>
              <w:pStyle w:val="10"/>
            </w:pPr>
            <w:r>
              <w:t>3月底</w:t>
            </w:r>
          </w:p>
        </w:tc>
        <w:tc>
          <w:tcPr>
            <w:tcW w:w="2835" w:type="dxa"/>
            <w:vAlign w:val="center"/>
          </w:tcPr>
          <w:p w14:paraId="08F5B5DB">
            <w:pPr>
              <w:pStyle w:val="10"/>
            </w:pPr>
            <w:r>
              <w:t>6月底</w:t>
            </w:r>
          </w:p>
        </w:tc>
        <w:tc>
          <w:tcPr>
            <w:tcW w:w="2551" w:type="dxa"/>
            <w:vAlign w:val="center"/>
          </w:tcPr>
          <w:p w14:paraId="1060EFFC">
            <w:pPr>
              <w:pStyle w:val="10"/>
            </w:pPr>
            <w:r>
              <w:t>10月底</w:t>
            </w:r>
          </w:p>
        </w:tc>
        <w:tc>
          <w:tcPr>
            <w:tcW w:w="3544" w:type="dxa"/>
            <w:gridSpan w:val="2"/>
            <w:vAlign w:val="center"/>
          </w:tcPr>
          <w:p w14:paraId="3D7081A0">
            <w:pPr>
              <w:pStyle w:val="10"/>
            </w:pPr>
            <w:r>
              <w:t>12月底</w:t>
            </w:r>
          </w:p>
        </w:tc>
      </w:tr>
      <w:tr w14:paraId="78E57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C538D"/>
        </w:tc>
        <w:tc>
          <w:tcPr>
            <w:tcW w:w="5103" w:type="dxa"/>
            <w:gridSpan w:val="2"/>
            <w:vAlign w:val="center"/>
          </w:tcPr>
          <w:p w14:paraId="5916FA4C">
            <w:pPr>
              <w:pStyle w:val="13"/>
            </w:pPr>
            <w:r>
              <w:t>25%</w:t>
            </w:r>
          </w:p>
        </w:tc>
        <w:tc>
          <w:tcPr>
            <w:tcW w:w="2835" w:type="dxa"/>
            <w:vAlign w:val="center"/>
          </w:tcPr>
          <w:p w14:paraId="7EA20EC2">
            <w:pPr>
              <w:pStyle w:val="13"/>
            </w:pPr>
            <w:r>
              <w:t>50%</w:t>
            </w:r>
          </w:p>
        </w:tc>
        <w:tc>
          <w:tcPr>
            <w:tcW w:w="2551" w:type="dxa"/>
            <w:vAlign w:val="center"/>
          </w:tcPr>
          <w:p w14:paraId="156D98E1">
            <w:pPr>
              <w:pStyle w:val="13"/>
            </w:pPr>
            <w:r>
              <w:t>75%</w:t>
            </w:r>
          </w:p>
        </w:tc>
        <w:tc>
          <w:tcPr>
            <w:tcW w:w="3544" w:type="dxa"/>
            <w:gridSpan w:val="2"/>
            <w:vAlign w:val="center"/>
          </w:tcPr>
          <w:p w14:paraId="18C56687">
            <w:pPr>
              <w:pStyle w:val="13"/>
            </w:pPr>
            <w:r>
              <w:t>100%</w:t>
            </w:r>
          </w:p>
        </w:tc>
      </w:tr>
      <w:tr w14:paraId="4DCBC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346EC">
            <w:pPr>
              <w:pStyle w:val="10"/>
            </w:pPr>
            <w:r>
              <w:t>绩效目标</w:t>
            </w:r>
          </w:p>
        </w:tc>
        <w:tc>
          <w:tcPr>
            <w:tcW w:w="14033" w:type="dxa"/>
            <w:gridSpan w:val="6"/>
            <w:vAlign w:val="center"/>
          </w:tcPr>
          <w:p w14:paraId="4903E3DC">
            <w:pPr>
              <w:pStyle w:val="12"/>
            </w:pPr>
            <w:r>
              <w:t>1.有效完成学校教学安全秩序，保障学校教学任务有效开展，满足学校正常教学需要。</w:t>
            </w:r>
          </w:p>
          <w:p w14:paraId="52B91666">
            <w:pPr>
              <w:pStyle w:val="12"/>
            </w:pPr>
            <w:r>
              <w:t>2.按规定拨付公用经费资金，预算执行率≥98%。</w:t>
            </w:r>
          </w:p>
        </w:tc>
      </w:tr>
    </w:tbl>
    <w:p w14:paraId="316C1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3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3F587">
            <w:pPr>
              <w:pStyle w:val="10"/>
            </w:pPr>
            <w:r>
              <w:t>一级指标</w:t>
            </w:r>
          </w:p>
        </w:tc>
        <w:tc>
          <w:tcPr>
            <w:tcW w:w="2268" w:type="dxa"/>
            <w:vAlign w:val="center"/>
          </w:tcPr>
          <w:p w14:paraId="4697D150">
            <w:pPr>
              <w:pStyle w:val="10"/>
            </w:pPr>
            <w:r>
              <w:t>二级指标</w:t>
            </w:r>
          </w:p>
        </w:tc>
        <w:tc>
          <w:tcPr>
            <w:tcW w:w="2835" w:type="dxa"/>
            <w:vAlign w:val="center"/>
          </w:tcPr>
          <w:p w14:paraId="5B009874">
            <w:pPr>
              <w:pStyle w:val="10"/>
            </w:pPr>
            <w:r>
              <w:t>三级指标</w:t>
            </w:r>
          </w:p>
        </w:tc>
        <w:tc>
          <w:tcPr>
            <w:tcW w:w="5386" w:type="dxa"/>
            <w:vAlign w:val="center"/>
          </w:tcPr>
          <w:p w14:paraId="79410257">
            <w:pPr>
              <w:pStyle w:val="10"/>
            </w:pPr>
            <w:r>
              <w:t>绩效指标描述</w:t>
            </w:r>
          </w:p>
        </w:tc>
        <w:tc>
          <w:tcPr>
            <w:tcW w:w="2268" w:type="dxa"/>
            <w:vAlign w:val="center"/>
          </w:tcPr>
          <w:p w14:paraId="175C70A5">
            <w:pPr>
              <w:pStyle w:val="10"/>
            </w:pPr>
            <w:r>
              <w:t>指标值</w:t>
            </w:r>
          </w:p>
        </w:tc>
        <w:tc>
          <w:tcPr>
            <w:tcW w:w="1276" w:type="dxa"/>
            <w:vAlign w:val="center"/>
          </w:tcPr>
          <w:p w14:paraId="575F1D48">
            <w:pPr>
              <w:pStyle w:val="10"/>
            </w:pPr>
            <w:r>
              <w:t>指标值确定依据</w:t>
            </w:r>
          </w:p>
        </w:tc>
      </w:tr>
      <w:tr w14:paraId="57C5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08E53">
            <w:pPr>
              <w:pStyle w:val="13"/>
            </w:pPr>
            <w:r>
              <w:t>产出指标</w:t>
            </w:r>
          </w:p>
        </w:tc>
        <w:tc>
          <w:tcPr>
            <w:tcW w:w="2268" w:type="dxa"/>
            <w:vAlign w:val="center"/>
          </w:tcPr>
          <w:p w14:paraId="49A24A1B">
            <w:pPr>
              <w:pStyle w:val="12"/>
            </w:pPr>
            <w:r>
              <w:t>数量指标</w:t>
            </w:r>
          </w:p>
        </w:tc>
        <w:tc>
          <w:tcPr>
            <w:tcW w:w="2835" w:type="dxa"/>
            <w:vAlign w:val="center"/>
          </w:tcPr>
          <w:p w14:paraId="52D524E2">
            <w:pPr>
              <w:pStyle w:val="12"/>
            </w:pPr>
            <w:r>
              <w:t>就读学生数</w:t>
            </w:r>
          </w:p>
        </w:tc>
        <w:tc>
          <w:tcPr>
            <w:tcW w:w="5386" w:type="dxa"/>
            <w:vAlign w:val="center"/>
          </w:tcPr>
          <w:p w14:paraId="36F974C4">
            <w:pPr>
              <w:pStyle w:val="12"/>
            </w:pPr>
            <w:r>
              <w:t>辐射区域内适龄学生人数</w:t>
            </w:r>
          </w:p>
        </w:tc>
        <w:tc>
          <w:tcPr>
            <w:tcW w:w="2268" w:type="dxa"/>
            <w:vAlign w:val="center"/>
          </w:tcPr>
          <w:p w14:paraId="4F167A2C">
            <w:pPr>
              <w:pStyle w:val="12"/>
            </w:pPr>
            <w:r>
              <w:t>772人</w:t>
            </w:r>
          </w:p>
        </w:tc>
        <w:tc>
          <w:tcPr>
            <w:tcW w:w="1276" w:type="dxa"/>
            <w:vAlign w:val="center"/>
          </w:tcPr>
          <w:p w14:paraId="7A63F40C">
            <w:pPr>
              <w:pStyle w:val="12"/>
            </w:pPr>
            <w:r>
              <w:t>城乡义务教育公用经费管理办法</w:t>
            </w:r>
          </w:p>
        </w:tc>
      </w:tr>
      <w:tr w14:paraId="0881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DC3EB"/>
        </w:tc>
        <w:tc>
          <w:tcPr>
            <w:tcW w:w="2268" w:type="dxa"/>
            <w:vAlign w:val="center"/>
          </w:tcPr>
          <w:p w14:paraId="5EEB4C8D">
            <w:pPr>
              <w:pStyle w:val="12"/>
            </w:pPr>
            <w:r>
              <w:t>质量指标</w:t>
            </w:r>
          </w:p>
        </w:tc>
        <w:tc>
          <w:tcPr>
            <w:tcW w:w="2835" w:type="dxa"/>
            <w:vAlign w:val="center"/>
          </w:tcPr>
          <w:p w14:paraId="018329C2">
            <w:pPr>
              <w:pStyle w:val="12"/>
            </w:pPr>
            <w:r>
              <w:t>预算执行率</w:t>
            </w:r>
          </w:p>
        </w:tc>
        <w:tc>
          <w:tcPr>
            <w:tcW w:w="5386" w:type="dxa"/>
            <w:vAlign w:val="center"/>
          </w:tcPr>
          <w:p w14:paraId="72E67D0E">
            <w:pPr>
              <w:pStyle w:val="12"/>
            </w:pPr>
            <w:r>
              <w:t>预算执行率</w:t>
            </w:r>
          </w:p>
        </w:tc>
        <w:tc>
          <w:tcPr>
            <w:tcW w:w="2268" w:type="dxa"/>
            <w:vAlign w:val="center"/>
          </w:tcPr>
          <w:p w14:paraId="08CC2064">
            <w:pPr>
              <w:pStyle w:val="12"/>
            </w:pPr>
            <w:r>
              <w:t>≥98%</w:t>
            </w:r>
          </w:p>
        </w:tc>
        <w:tc>
          <w:tcPr>
            <w:tcW w:w="1276" w:type="dxa"/>
            <w:vAlign w:val="center"/>
          </w:tcPr>
          <w:p w14:paraId="199D5AA0">
            <w:pPr>
              <w:pStyle w:val="12"/>
            </w:pPr>
            <w:r>
              <w:t>城乡义务教育公用经费管理办法</w:t>
            </w:r>
          </w:p>
        </w:tc>
      </w:tr>
      <w:tr w14:paraId="4FD8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A4666"/>
        </w:tc>
        <w:tc>
          <w:tcPr>
            <w:tcW w:w="2268" w:type="dxa"/>
            <w:vAlign w:val="center"/>
          </w:tcPr>
          <w:p w14:paraId="1AC3CB92">
            <w:pPr>
              <w:pStyle w:val="12"/>
            </w:pPr>
            <w:r>
              <w:t>时效指标</w:t>
            </w:r>
          </w:p>
        </w:tc>
        <w:tc>
          <w:tcPr>
            <w:tcW w:w="2835" w:type="dxa"/>
            <w:vAlign w:val="center"/>
          </w:tcPr>
          <w:p w14:paraId="61006A18">
            <w:pPr>
              <w:pStyle w:val="12"/>
            </w:pPr>
            <w:r>
              <w:t>义教经费支付完成率</w:t>
            </w:r>
          </w:p>
        </w:tc>
        <w:tc>
          <w:tcPr>
            <w:tcW w:w="5386" w:type="dxa"/>
            <w:vAlign w:val="center"/>
          </w:tcPr>
          <w:p w14:paraId="5F3B01F2">
            <w:pPr>
              <w:pStyle w:val="12"/>
            </w:pPr>
            <w:r>
              <w:t>按照序时进度完成资金支付</w:t>
            </w:r>
          </w:p>
        </w:tc>
        <w:tc>
          <w:tcPr>
            <w:tcW w:w="2268" w:type="dxa"/>
            <w:vAlign w:val="center"/>
          </w:tcPr>
          <w:p w14:paraId="4A5EADE4">
            <w:pPr>
              <w:pStyle w:val="12"/>
            </w:pPr>
            <w:r>
              <w:t>10.44万元</w:t>
            </w:r>
          </w:p>
        </w:tc>
        <w:tc>
          <w:tcPr>
            <w:tcW w:w="1276" w:type="dxa"/>
            <w:vAlign w:val="center"/>
          </w:tcPr>
          <w:p w14:paraId="31FA759A">
            <w:pPr>
              <w:pStyle w:val="12"/>
            </w:pPr>
            <w:r>
              <w:t>城乡义务教育公用经费管理办法</w:t>
            </w:r>
          </w:p>
        </w:tc>
      </w:tr>
      <w:tr w14:paraId="4868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8F267"/>
        </w:tc>
        <w:tc>
          <w:tcPr>
            <w:tcW w:w="2268" w:type="dxa"/>
            <w:vAlign w:val="center"/>
          </w:tcPr>
          <w:p w14:paraId="333DC794">
            <w:pPr>
              <w:pStyle w:val="12"/>
            </w:pPr>
            <w:r>
              <w:t>成本指标</w:t>
            </w:r>
          </w:p>
        </w:tc>
        <w:tc>
          <w:tcPr>
            <w:tcW w:w="2835" w:type="dxa"/>
            <w:vAlign w:val="center"/>
          </w:tcPr>
          <w:p w14:paraId="30D55EC2">
            <w:pPr>
              <w:pStyle w:val="12"/>
            </w:pPr>
            <w:r>
              <w:t>生均拨款标准</w:t>
            </w:r>
          </w:p>
        </w:tc>
        <w:tc>
          <w:tcPr>
            <w:tcW w:w="5386" w:type="dxa"/>
            <w:vAlign w:val="center"/>
          </w:tcPr>
          <w:p w14:paraId="500456E1">
            <w:pPr>
              <w:pStyle w:val="12"/>
            </w:pPr>
            <w:r>
              <w:t>初中：基本标准1060元（含取暖120元）、寄宿生300元/生/学年；特教、随班就读学生：标准7000元/生/学年</w:t>
            </w:r>
          </w:p>
        </w:tc>
        <w:tc>
          <w:tcPr>
            <w:tcW w:w="2268" w:type="dxa"/>
            <w:vAlign w:val="center"/>
          </w:tcPr>
          <w:p w14:paraId="6A05B437">
            <w:pPr>
              <w:pStyle w:val="12"/>
            </w:pPr>
            <w:r>
              <w:t>≥1360元</w:t>
            </w:r>
          </w:p>
        </w:tc>
        <w:tc>
          <w:tcPr>
            <w:tcW w:w="1276" w:type="dxa"/>
            <w:vAlign w:val="center"/>
          </w:tcPr>
          <w:p w14:paraId="2B60622C">
            <w:pPr>
              <w:pStyle w:val="12"/>
            </w:pPr>
            <w:r>
              <w:t>城乡义务教育公用经费管理办法</w:t>
            </w:r>
          </w:p>
        </w:tc>
      </w:tr>
      <w:tr w14:paraId="4538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55D0A">
            <w:pPr>
              <w:pStyle w:val="13"/>
            </w:pPr>
            <w:r>
              <w:t>效益指标</w:t>
            </w:r>
          </w:p>
        </w:tc>
        <w:tc>
          <w:tcPr>
            <w:tcW w:w="2268" w:type="dxa"/>
            <w:vAlign w:val="center"/>
          </w:tcPr>
          <w:p w14:paraId="2B9EB7A5">
            <w:pPr>
              <w:pStyle w:val="12"/>
            </w:pPr>
            <w:r>
              <w:t>社会效益指标</w:t>
            </w:r>
          </w:p>
        </w:tc>
        <w:tc>
          <w:tcPr>
            <w:tcW w:w="2835" w:type="dxa"/>
            <w:vAlign w:val="center"/>
          </w:tcPr>
          <w:p w14:paraId="4E2FB6DA">
            <w:pPr>
              <w:pStyle w:val="12"/>
            </w:pPr>
            <w:r>
              <w:t>学生就读稳定率</w:t>
            </w:r>
          </w:p>
        </w:tc>
        <w:tc>
          <w:tcPr>
            <w:tcW w:w="5386" w:type="dxa"/>
            <w:vAlign w:val="center"/>
          </w:tcPr>
          <w:p w14:paraId="197DBC1D">
            <w:pPr>
              <w:pStyle w:val="12"/>
            </w:pPr>
            <w:r>
              <w:t>维护社会稳定，保障学生受教育巩固率</w:t>
            </w:r>
          </w:p>
        </w:tc>
        <w:tc>
          <w:tcPr>
            <w:tcW w:w="2268" w:type="dxa"/>
            <w:vAlign w:val="center"/>
          </w:tcPr>
          <w:p w14:paraId="179BB14E">
            <w:pPr>
              <w:pStyle w:val="12"/>
            </w:pPr>
            <w:r>
              <w:t>≥98%</w:t>
            </w:r>
          </w:p>
        </w:tc>
        <w:tc>
          <w:tcPr>
            <w:tcW w:w="1276" w:type="dxa"/>
            <w:vAlign w:val="center"/>
          </w:tcPr>
          <w:p w14:paraId="428A20B6">
            <w:pPr>
              <w:pStyle w:val="12"/>
            </w:pPr>
            <w:r>
              <w:t>城乡义务教育公用经费管理办法</w:t>
            </w:r>
          </w:p>
        </w:tc>
      </w:tr>
      <w:tr w14:paraId="1205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1216C"/>
        </w:tc>
        <w:tc>
          <w:tcPr>
            <w:tcW w:w="2268" w:type="dxa"/>
            <w:vAlign w:val="center"/>
          </w:tcPr>
          <w:p w14:paraId="795F97F7">
            <w:pPr>
              <w:pStyle w:val="12"/>
            </w:pPr>
            <w:r>
              <w:t>可持续影响指标</w:t>
            </w:r>
          </w:p>
        </w:tc>
        <w:tc>
          <w:tcPr>
            <w:tcW w:w="2835" w:type="dxa"/>
            <w:vAlign w:val="center"/>
          </w:tcPr>
          <w:p w14:paraId="71878F98">
            <w:pPr>
              <w:pStyle w:val="12"/>
            </w:pPr>
            <w:r>
              <w:t>效果持续时间</w:t>
            </w:r>
          </w:p>
        </w:tc>
        <w:tc>
          <w:tcPr>
            <w:tcW w:w="5386" w:type="dxa"/>
            <w:vAlign w:val="center"/>
          </w:tcPr>
          <w:p w14:paraId="0D9C0DD3">
            <w:pPr>
              <w:pStyle w:val="12"/>
            </w:pPr>
            <w:r>
              <w:t>效果持续时间</w:t>
            </w:r>
          </w:p>
        </w:tc>
        <w:tc>
          <w:tcPr>
            <w:tcW w:w="2268" w:type="dxa"/>
            <w:vAlign w:val="center"/>
          </w:tcPr>
          <w:p w14:paraId="07B3A9AF">
            <w:pPr>
              <w:pStyle w:val="12"/>
            </w:pPr>
            <w:r>
              <w:t>1年</w:t>
            </w:r>
          </w:p>
        </w:tc>
        <w:tc>
          <w:tcPr>
            <w:tcW w:w="1276" w:type="dxa"/>
            <w:vAlign w:val="center"/>
          </w:tcPr>
          <w:p w14:paraId="4B59CADB">
            <w:pPr>
              <w:pStyle w:val="12"/>
            </w:pPr>
            <w:r>
              <w:t>城乡义务教育公用经费管理办法</w:t>
            </w:r>
          </w:p>
        </w:tc>
      </w:tr>
      <w:tr w14:paraId="2D79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7C729">
            <w:pPr>
              <w:pStyle w:val="13"/>
            </w:pPr>
            <w:r>
              <w:t>满意度指标</w:t>
            </w:r>
          </w:p>
        </w:tc>
        <w:tc>
          <w:tcPr>
            <w:tcW w:w="2268" w:type="dxa"/>
            <w:vAlign w:val="center"/>
          </w:tcPr>
          <w:p w14:paraId="6095425A">
            <w:pPr>
              <w:pStyle w:val="12"/>
            </w:pPr>
            <w:r>
              <w:t>服务对象满意度指标</w:t>
            </w:r>
          </w:p>
        </w:tc>
        <w:tc>
          <w:tcPr>
            <w:tcW w:w="2835" w:type="dxa"/>
            <w:vAlign w:val="center"/>
          </w:tcPr>
          <w:p w14:paraId="1ADD0326">
            <w:pPr>
              <w:pStyle w:val="12"/>
            </w:pPr>
            <w:r>
              <w:t>家长社会学生满意度</w:t>
            </w:r>
          </w:p>
        </w:tc>
        <w:tc>
          <w:tcPr>
            <w:tcW w:w="5386" w:type="dxa"/>
            <w:vAlign w:val="center"/>
          </w:tcPr>
          <w:p w14:paraId="16357281">
            <w:pPr>
              <w:pStyle w:val="12"/>
            </w:pPr>
            <w:r>
              <w:t>家长社会学生满意度</w:t>
            </w:r>
          </w:p>
        </w:tc>
        <w:tc>
          <w:tcPr>
            <w:tcW w:w="2268" w:type="dxa"/>
            <w:vAlign w:val="center"/>
          </w:tcPr>
          <w:p w14:paraId="329F6143">
            <w:pPr>
              <w:pStyle w:val="12"/>
            </w:pPr>
            <w:r>
              <w:t>≥98%</w:t>
            </w:r>
          </w:p>
        </w:tc>
        <w:tc>
          <w:tcPr>
            <w:tcW w:w="1276" w:type="dxa"/>
            <w:vAlign w:val="center"/>
          </w:tcPr>
          <w:p w14:paraId="65345378">
            <w:pPr>
              <w:pStyle w:val="12"/>
            </w:pPr>
            <w:r>
              <w:t>调查问卷</w:t>
            </w:r>
          </w:p>
        </w:tc>
      </w:tr>
    </w:tbl>
    <w:p w14:paraId="52D56714">
      <w:pPr>
        <w:sectPr>
          <w:pgSz w:w="16840" w:h="11900" w:orient="landscape"/>
          <w:pgMar w:top="1361" w:right="1020" w:bottom="1134" w:left="1020" w:header="720" w:footer="720" w:gutter="0"/>
          <w:cols w:space="720" w:num="1"/>
        </w:sectPr>
      </w:pPr>
    </w:p>
    <w:p w14:paraId="16268B61">
      <w:pPr>
        <w:spacing w:before="10" w:after="10" w:line="240" w:lineRule="auto"/>
        <w:ind w:firstLine="640"/>
        <w:jc w:val="left"/>
        <w:outlineLvl w:val="5"/>
      </w:pPr>
      <w:r>
        <w:rPr>
          <w:rFonts w:ascii="黑体" w:hAnsi="黑体" w:eastAsia="黑体" w:cs="黑体"/>
          <w:color w:val="000000"/>
          <w:sz w:val="32"/>
        </w:rPr>
        <w:t>六、政府采购预算情况</w:t>
      </w:r>
    </w:p>
    <w:p w14:paraId="4F85044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A10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E3041F">
            <w:pPr>
              <w:pStyle w:val="9"/>
            </w:pPr>
            <w:r>
              <w:t>360009河北省隆尧县滏阳中学</w:t>
            </w:r>
          </w:p>
        </w:tc>
        <w:tc>
          <w:tcPr>
            <w:tcW w:w="8676" w:type="dxa"/>
            <w:gridSpan w:val="9"/>
            <w:tcBorders>
              <w:top w:val="single" w:color="FFFFFF" w:sz="6" w:space="0"/>
              <w:left w:val="single" w:color="FFFFFF" w:sz="6" w:space="0"/>
              <w:right w:val="single" w:color="FFFFFF" w:sz="6" w:space="0"/>
            </w:tcBorders>
            <w:vAlign w:val="center"/>
          </w:tcPr>
          <w:p w14:paraId="71CE9A5C">
            <w:pPr>
              <w:pStyle w:val="21"/>
            </w:pPr>
            <w:r>
              <w:t>单位：万元</w:t>
            </w:r>
          </w:p>
        </w:tc>
      </w:tr>
      <w:tr w14:paraId="7603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28A9052">
            <w:pPr>
              <w:pStyle w:val="10"/>
            </w:pPr>
            <w:r>
              <w:t>政府采购项目来源</w:t>
            </w:r>
          </w:p>
        </w:tc>
        <w:tc>
          <w:tcPr>
            <w:tcW w:w="1134" w:type="dxa"/>
            <w:vMerge w:val="restart"/>
            <w:vAlign w:val="center"/>
          </w:tcPr>
          <w:p w14:paraId="041A8105">
            <w:pPr>
              <w:pStyle w:val="10"/>
            </w:pPr>
            <w:r>
              <w:t>采购物品名称</w:t>
            </w:r>
          </w:p>
        </w:tc>
        <w:tc>
          <w:tcPr>
            <w:tcW w:w="1134" w:type="dxa"/>
            <w:vMerge w:val="restart"/>
            <w:vAlign w:val="center"/>
          </w:tcPr>
          <w:p w14:paraId="781A36AD">
            <w:pPr>
              <w:pStyle w:val="10"/>
            </w:pPr>
            <w:r>
              <w:t>政府采购目录序号</w:t>
            </w:r>
          </w:p>
        </w:tc>
        <w:tc>
          <w:tcPr>
            <w:tcW w:w="709" w:type="dxa"/>
            <w:vMerge w:val="restart"/>
            <w:vAlign w:val="center"/>
          </w:tcPr>
          <w:p w14:paraId="35CB9D54">
            <w:pPr>
              <w:pStyle w:val="10"/>
            </w:pPr>
            <w:r>
              <w:t>计量  单位</w:t>
            </w:r>
          </w:p>
        </w:tc>
        <w:tc>
          <w:tcPr>
            <w:tcW w:w="850" w:type="dxa"/>
            <w:vMerge w:val="restart"/>
            <w:vAlign w:val="center"/>
          </w:tcPr>
          <w:p w14:paraId="7568D339">
            <w:pPr>
              <w:pStyle w:val="10"/>
            </w:pPr>
            <w:r>
              <w:t>数量</w:t>
            </w:r>
          </w:p>
        </w:tc>
        <w:tc>
          <w:tcPr>
            <w:tcW w:w="850" w:type="dxa"/>
            <w:vMerge w:val="restart"/>
            <w:vAlign w:val="center"/>
          </w:tcPr>
          <w:p w14:paraId="1530D008">
            <w:pPr>
              <w:pStyle w:val="10"/>
            </w:pPr>
            <w:r>
              <w:t>单价</w:t>
            </w:r>
          </w:p>
        </w:tc>
        <w:tc>
          <w:tcPr>
            <w:tcW w:w="7712" w:type="dxa"/>
            <w:gridSpan w:val="8"/>
            <w:vAlign w:val="center"/>
          </w:tcPr>
          <w:p w14:paraId="3273EE65">
            <w:pPr>
              <w:pStyle w:val="10"/>
            </w:pPr>
            <w:r>
              <w:t>政府采购金额（当年部门预算安排资金）</w:t>
            </w:r>
          </w:p>
        </w:tc>
        <w:tc>
          <w:tcPr>
            <w:tcW w:w="964" w:type="dxa"/>
            <w:vMerge w:val="restart"/>
            <w:vAlign w:val="center"/>
          </w:tcPr>
          <w:p w14:paraId="20DCC55B">
            <w:pPr>
              <w:pStyle w:val="10"/>
            </w:pPr>
            <w:r>
              <w:t>2026年  预留中  小微企  业份额</w:t>
            </w:r>
          </w:p>
        </w:tc>
      </w:tr>
      <w:tr w14:paraId="7D11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8F41C3">
            <w:pPr>
              <w:pStyle w:val="10"/>
            </w:pPr>
            <w:r>
              <w:t>项目名称</w:t>
            </w:r>
          </w:p>
        </w:tc>
        <w:tc>
          <w:tcPr>
            <w:tcW w:w="964" w:type="dxa"/>
            <w:vAlign w:val="center"/>
          </w:tcPr>
          <w:p w14:paraId="777B130A">
            <w:pPr>
              <w:pStyle w:val="10"/>
            </w:pPr>
            <w:r>
              <w:t>预算    资金</w:t>
            </w:r>
          </w:p>
        </w:tc>
        <w:tc>
          <w:tcPr>
            <w:tcW w:w="1134" w:type="dxa"/>
            <w:vMerge w:val="continue"/>
          </w:tcPr>
          <w:p w14:paraId="40F48ECD"/>
        </w:tc>
        <w:tc>
          <w:tcPr>
            <w:tcW w:w="1134" w:type="dxa"/>
            <w:vMerge w:val="continue"/>
          </w:tcPr>
          <w:p w14:paraId="0DDEBF99"/>
        </w:tc>
        <w:tc>
          <w:tcPr>
            <w:tcW w:w="709" w:type="dxa"/>
            <w:vMerge w:val="continue"/>
          </w:tcPr>
          <w:p w14:paraId="1CD96D7A"/>
        </w:tc>
        <w:tc>
          <w:tcPr>
            <w:tcW w:w="850" w:type="dxa"/>
            <w:vMerge w:val="continue"/>
          </w:tcPr>
          <w:p w14:paraId="574A2134"/>
        </w:tc>
        <w:tc>
          <w:tcPr>
            <w:tcW w:w="850" w:type="dxa"/>
            <w:vMerge w:val="continue"/>
          </w:tcPr>
          <w:p w14:paraId="4302B5C7"/>
        </w:tc>
        <w:tc>
          <w:tcPr>
            <w:tcW w:w="964" w:type="dxa"/>
            <w:vAlign w:val="center"/>
          </w:tcPr>
          <w:p w14:paraId="7092EBB9">
            <w:pPr>
              <w:pStyle w:val="10"/>
            </w:pPr>
            <w:r>
              <w:t>合计</w:t>
            </w:r>
          </w:p>
        </w:tc>
        <w:tc>
          <w:tcPr>
            <w:tcW w:w="964" w:type="dxa"/>
            <w:vAlign w:val="center"/>
          </w:tcPr>
          <w:p w14:paraId="41469C0D">
            <w:pPr>
              <w:pStyle w:val="10"/>
            </w:pPr>
            <w:r>
              <w:t>一般公共预算拨款</w:t>
            </w:r>
          </w:p>
        </w:tc>
        <w:tc>
          <w:tcPr>
            <w:tcW w:w="964" w:type="dxa"/>
            <w:vAlign w:val="center"/>
          </w:tcPr>
          <w:p w14:paraId="56976ED2">
            <w:pPr>
              <w:pStyle w:val="10"/>
            </w:pPr>
            <w:r>
              <w:t>基金预算拨款</w:t>
            </w:r>
          </w:p>
        </w:tc>
        <w:tc>
          <w:tcPr>
            <w:tcW w:w="964" w:type="dxa"/>
            <w:vAlign w:val="center"/>
          </w:tcPr>
          <w:p w14:paraId="4048517E">
            <w:pPr>
              <w:pStyle w:val="10"/>
            </w:pPr>
            <w:r>
              <w:t>国有资本经营预算拨款</w:t>
            </w:r>
          </w:p>
        </w:tc>
        <w:tc>
          <w:tcPr>
            <w:tcW w:w="964" w:type="dxa"/>
            <w:vAlign w:val="center"/>
          </w:tcPr>
          <w:p w14:paraId="35105D87">
            <w:pPr>
              <w:pStyle w:val="10"/>
            </w:pPr>
            <w:r>
              <w:t>财政专户核拨</w:t>
            </w:r>
          </w:p>
        </w:tc>
        <w:tc>
          <w:tcPr>
            <w:tcW w:w="964" w:type="dxa"/>
            <w:vAlign w:val="center"/>
          </w:tcPr>
          <w:p w14:paraId="0D3CEB80">
            <w:pPr>
              <w:pStyle w:val="10"/>
            </w:pPr>
            <w:r>
              <w:t>单位    资金</w:t>
            </w:r>
          </w:p>
        </w:tc>
        <w:tc>
          <w:tcPr>
            <w:tcW w:w="964" w:type="dxa"/>
            <w:vAlign w:val="center"/>
          </w:tcPr>
          <w:p w14:paraId="70CE0689">
            <w:pPr>
              <w:pStyle w:val="10"/>
            </w:pPr>
            <w:r>
              <w:t>财政拨款结转</w:t>
            </w:r>
          </w:p>
        </w:tc>
        <w:tc>
          <w:tcPr>
            <w:tcW w:w="964" w:type="dxa"/>
            <w:vAlign w:val="center"/>
          </w:tcPr>
          <w:p w14:paraId="30592AE1">
            <w:pPr>
              <w:pStyle w:val="10"/>
            </w:pPr>
            <w:r>
              <w:t>非财政拨款结余</w:t>
            </w:r>
          </w:p>
        </w:tc>
        <w:tc>
          <w:tcPr>
            <w:tcW w:w="964" w:type="dxa"/>
            <w:vMerge w:val="continue"/>
          </w:tcPr>
          <w:p w14:paraId="7F034208"/>
        </w:tc>
      </w:tr>
      <w:tr w14:paraId="2621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03186C">
            <w:pPr>
              <w:pStyle w:val="14"/>
            </w:pPr>
            <w:r>
              <w:t>合  计</w:t>
            </w:r>
          </w:p>
        </w:tc>
        <w:tc>
          <w:tcPr>
            <w:tcW w:w="964" w:type="dxa"/>
            <w:vAlign w:val="center"/>
          </w:tcPr>
          <w:p w14:paraId="4DEC8DE2">
            <w:pPr>
              <w:pStyle w:val="15"/>
            </w:pPr>
          </w:p>
        </w:tc>
        <w:tc>
          <w:tcPr>
            <w:tcW w:w="1134" w:type="dxa"/>
            <w:vAlign w:val="center"/>
          </w:tcPr>
          <w:p w14:paraId="586A417A">
            <w:pPr>
              <w:pStyle w:val="16"/>
            </w:pPr>
          </w:p>
        </w:tc>
        <w:tc>
          <w:tcPr>
            <w:tcW w:w="1134" w:type="dxa"/>
            <w:vAlign w:val="center"/>
          </w:tcPr>
          <w:p w14:paraId="717E0D81">
            <w:pPr>
              <w:pStyle w:val="16"/>
            </w:pPr>
          </w:p>
        </w:tc>
        <w:tc>
          <w:tcPr>
            <w:tcW w:w="709" w:type="dxa"/>
            <w:vAlign w:val="center"/>
          </w:tcPr>
          <w:p w14:paraId="2F2E0AD6">
            <w:pPr>
              <w:pStyle w:val="14"/>
            </w:pPr>
          </w:p>
        </w:tc>
        <w:tc>
          <w:tcPr>
            <w:tcW w:w="850" w:type="dxa"/>
            <w:vAlign w:val="center"/>
          </w:tcPr>
          <w:p w14:paraId="35F08602">
            <w:pPr>
              <w:pStyle w:val="15"/>
            </w:pPr>
          </w:p>
        </w:tc>
        <w:tc>
          <w:tcPr>
            <w:tcW w:w="850" w:type="dxa"/>
            <w:vAlign w:val="center"/>
          </w:tcPr>
          <w:p w14:paraId="2C282E96">
            <w:pPr>
              <w:pStyle w:val="15"/>
            </w:pPr>
          </w:p>
        </w:tc>
        <w:tc>
          <w:tcPr>
            <w:tcW w:w="964" w:type="dxa"/>
            <w:vAlign w:val="center"/>
          </w:tcPr>
          <w:p w14:paraId="7E6DFAEB">
            <w:pPr>
              <w:pStyle w:val="15"/>
            </w:pPr>
            <w:r>
              <w:t>1.62</w:t>
            </w:r>
          </w:p>
        </w:tc>
        <w:tc>
          <w:tcPr>
            <w:tcW w:w="964" w:type="dxa"/>
            <w:vAlign w:val="center"/>
          </w:tcPr>
          <w:p w14:paraId="510144F8">
            <w:pPr>
              <w:pStyle w:val="15"/>
            </w:pPr>
            <w:r>
              <w:t>1.62</w:t>
            </w:r>
          </w:p>
        </w:tc>
        <w:tc>
          <w:tcPr>
            <w:tcW w:w="964" w:type="dxa"/>
            <w:vAlign w:val="center"/>
          </w:tcPr>
          <w:p w14:paraId="6C2D2B33">
            <w:pPr>
              <w:pStyle w:val="15"/>
            </w:pPr>
          </w:p>
        </w:tc>
        <w:tc>
          <w:tcPr>
            <w:tcW w:w="964" w:type="dxa"/>
            <w:vAlign w:val="center"/>
          </w:tcPr>
          <w:p w14:paraId="3EA1F4F2">
            <w:pPr>
              <w:pStyle w:val="15"/>
            </w:pPr>
          </w:p>
        </w:tc>
        <w:tc>
          <w:tcPr>
            <w:tcW w:w="964" w:type="dxa"/>
            <w:vAlign w:val="center"/>
          </w:tcPr>
          <w:p w14:paraId="19F91530">
            <w:pPr>
              <w:pStyle w:val="15"/>
            </w:pPr>
          </w:p>
        </w:tc>
        <w:tc>
          <w:tcPr>
            <w:tcW w:w="964" w:type="dxa"/>
            <w:vAlign w:val="center"/>
          </w:tcPr>
          <w:p w14:paraId="4A89F7CB">
            <w:pPr>
              <w:pStyle w:val="15"/>
            </w:pPr>
          </w:p>
        </w:tc>
        <w:tc>
          <w:tcPr>
            <w:tcW w:w="964" w:type="dxa"/>
            <w:vAlign w:val="center"/>
          </w:tcPr>
          <w:p w14:paraId="7FA05593">
            <w:pPr>
              <w:pStyle w:val="15"/>
            </w:pPr>
          </w:p>
        </w:tc>
        <w:tc>
          <w:tcPr>
            <w:tcW w:w="964" w:type="dxa"/>
            <w:vAlign w:val="center"/>
          </w:tcPr>
          <w:p w14:paraId="0FF8E63D">
            <w:pPr>
              <w:pStyle w:val="15"/>
            </w:pPr>
          </w:p>
        </w:tc>
        <w:tc>
          <w:tcPr>
            <w:tcW w:w="964" w:type="dxa"/>
            <w:vAlign w:val="center"/>
          </w:tcPr>
          <w:p w14:paraId="5529A5C5">
            <w:pPr>
              <w:pStyle w:val="15"/>
            </w:pPr>
            <w:r>
              <w:t>1.62</w:t>
            </w:r>
          </w:p>
        </w:tc>
      </w:tr>
      <w:tr w14:paraId="63BC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D814BB">
            <w:pPr>
              <w:pStyle w:val="14"/>
            </w:pPr>
            <w:r>
              <w:t>河北省隆尧县滏阳中学小计</w:t>
            </w:r>
          </w:p>
        </w:tc>
        <w:tc>
          <w:tcPr>
            <w:tcW w:w="964" w:type="dxa"/>
            <w:vAlign w:val="center"/>
          </w:tcPr>
          <w:p w14:paraId="5814FD12">
            <w:pPr>
              <w:pStyle w:val="15"/>
            </w:pPr>
          </w:p>
        </w:tc>
        <w:tc>
          <w:tcPr>
            <w:tcW w:w="1134" w:type="dxa"/>
            <w:vAlign w:val="center"/>
          </w:tcPr>
          <w:p w14:paraId="5F551D84">
            <w:pPr>
              <w:pStyle w:val="16"/>
            </w:pPr>
          </w:p>
        </w:tc>
        <w:tc>
          <w:tcPr>
            <w:tcW w:w="1134" w:type="dxa"/>
            <w:vAlign w:val="center"/>
          </w:tcPr>
          <w:p w14:paraId="6C2A02EF">
            <w:pPr>
              <w:pStyle w:val="16"/>
            </w:pPr>
          </w:p>
        </w:tc>
        <w:tc>
          <w:tcPr>
            <w:tcW w:w="709" w:type="dxa"/>
            <w:vAlign w:val="center"/>
          </w:tcPr>
          <w:p w14:paraId="0CFC07EA">
            <w:pPr>
              <w:pStyle w:val="14"/>
            </w:pPr>
          </w:p>
        </w:tc>
        <w:tc>
          <w:tcPr>
            <w:tcW w:w="850" w:type="dxa"/>
            <w:vAlign w:val="center"/>
          </w:tcPr>
          <w:p w14:paraId="4059A2C7">
            <w:pPr>
              <w:pStyle w:val="15"/>
            </w:pPr>
          </w:p>
        </w:tc>
        <w:tc>
          <w:tcPr>
            <w:tcW w:w="850" w:type="dxa"/>
            <w:vAlign w:val="center"/>
          </w:tcPr>
          <w:p w14:paraId="73ECE66F">
            <w:pPr>
              <w:pStyle w:val="15"/>
            </w:pPr>
          </w:p>
        </w:tc>
        <w:tc>
          <w:tcPr>
            <w:tcW w:w="964" w:type="dxa"/>
            <w:vAlign w:val="center"/>
          </w:tcPr>
          <w:p w14:paraId="639BEBCC">
            <w:pPr>
              <w:pStyle w:val="15"/>
            </w:pPr>
            <w:r>
              <w:t>1.62</w:t>
            </w:r>
          </w:p>
        </w:tc>
        <w:tc>
          <w:tcPr>
            <w:tcW w:w="964" w:type="dxa"/>
            <w:vAlign w:val="center"/>
          </w:tcPr>
          <w:p w14:paraId="328B93D8">
            <w:pPr>
              <w:pStyle w:val="15"/>
            </w:pPr>
            <w:r>
              <w:t>1.62</w:t>
            </w:r>
          </w:p>
        </w:tc>
        <w:tc>
          <w:tcPr>
            <w:tcW w:w="964" w:type="dxa"/>
            <w:vAlign w:val="center"/>
          </w:tcPr>
          <w:p w14:paraId="05C45E6F">
            <w:pPr>
              <w:pStyle w:val="15"/>
            </w:pPr>
          </w:p>
        </w:tc>
        <w:tc>
          <w:tcPr>
            <w:tcW w:w="964" w:type="dxa"/>
            <w:vAlign w:val="center"/>
          </w:tcPr>
          <w:p w14:paraId="394E557C">
            <w:pPr>
              <w:pStyle w:val="15"/>
            </w:pPr>
          </w:p>
        </w:tc>
        <w:tc>
          <w:tcPr>
            <w:tcW w:w="964" w:type="dxa"/>
            <w:vAlign w:val="center"/>
          </w:tcPr>
          <w:p w14:paraId="06D547F3">
            <w:pPr>
              <w:pStyle w:val="15"/>
            </w:pPr>
          </w:p>
        </w:tc>
        <w:tc>
          <w:tcPr>
            <w:tcW w:w="964" w:type="dxa"/>
            <w:vAlign w:val="center"/>
          </w:tcPr>
          <w:p w14:paraId="1C5381C9">
            <w:pPr>
              <w:pStyle w:val="15"/>
            </w:pPr>
          </w:p>
        </w:tc>
        <w:tc>
          <w:tcPr>
            <w:tcW w:w="964" w:type="dxa"/>
            <w:vAlign w:val="center"/>
          </w:tcPr>
          <w:p w14:paraId="5E33B7FF">
            <w:pPr>
              <w:pStyle w:val="15"/>
            </w:pPr>
          </w:p>
        </w:tc>
        <w:tc>
          <w:tcPr>
            <w:tcW w:w="964" w:type="dxa"/>
            <w:vAlign w:val="center"/>
          </w:tcPr>
          <w:p w14:paraId="1B79ECDD">
            <w:pPr>
              <w:pStyle w:val="15"/>
            </w:pPr>
          </w:p>
        </w:tc>
        <w:tc>
          <w:tcPr>
            <w:tcW w:w="964" w:type="dxa"/>
            <w:vAlign w:val="center"/>
          </w:tcPr>
          <w:p w14:paraId="03778194">
            <w:pPr>
              <w:pStyle w:val="15"/>
            </w:pPr>
            <w:r>
              <w:t>1.62</w:t>
            </w:r>
          </w:p>
        </w:tc>
      </w:tr>
      <w:tr w14:paraId="3D09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8F8C56">
            <w:pPr>
              <w:pStyle w:val="12"/>
            </w:pPr>
            <w:r>
              <w:t>县级配套/滏阳中学公用经费</w:t>
            </w:r>
          </w:p>
        </w:tc>
        <w:tc>
          <w:tcPr>
            <w:tcW w:w="964" w:type="dxa"/>
            <w:vAlign w:val="center"/>
          </w:tcPr>
          <w:p w14:paraId="2CBECBA4">
            <w:pPr>
              <w:pStyle w:val="11"/>
            </w:pPr>
            <w:r>
              <w:t>10.44</w:t>
            </w:r>
          </w:p>
        </w:tc>
        <w:tc>
          <w:tcPr>
            <w:tcW w:w="1134" w:type="dxa"/>
            <w:vAlign w:val="center"/>
          </w:tcPr>
          <w:p w14:paraId="18565E78">
            <w:pPr>
              <w:pStyle w:val="12"/>
            </w:pPr>
            <w:r>
              <w:t>会议椅</w:t>
            </w:r>
          </w:p>
        </w:tc>
        <w:tc>
          <w:tcPr>
            <w:tcW w:w="1134" w:type="dxa"/>
            <w:vAlign w:val="center"/>
          </w:tcPr>
          <w:p w14:paraId="244D2496">
            <w:pPr>
              <w:pStyle w:val="12"/>
            </w:pPr>
            <w:r>
              <w:t>A05010303</w:t>
            </w:r>
          </w:p>
        </w:tc>
        <w:tc>
          <w:tcPr>
            <w:tcW w:w="709" w:type="dxa"/>
            <w:vAlign w:val="center"/>
          </w:tcPr>
          <w:p w14:paraId="28BA07BF">
            <w:pPr>
              <w:pStyle w:val="13"/>
            </w:pPr>
            <w:r>
              <w:t>套</w:t>
            </w:r>
          </w:p>
        </w:tc>
        <w:tc>
          <w:tcPr>
            <w:tcW w:w="850" w:type="dxa"/>
            <w:vAlign w:val="center"/>
          </w:tcPr>
          <w:p w14:paraId="53D304C0">
            <w:pPr>
              <w:pStyle w:val="11"/>
            </w:pPr>
            <w:r>
              <w:t>81</w:t>
            </w:r>
          </w:p>
        </w:tc>
        <w:tc>
          <w:tcPr>
            <w:tcW w:w="850" w:type="dxa"/>
            <w:vAlign w:val="center"/>
          </w:tcPr>
          <w:p w14:paraId="2931DD66">
            <w:pPr>
              <w:pStyle w:val="11"/>
            </w:pPr>
            <w:r>
              <w:t>0.02</w:t>
            </w:r>
          </w:p>
        </w:tc>
        <w:tc>
          <w:tcPr>
            <w:tcW w:w="964" w:type="dxa"/>
            <w:vAlign w:val="center"/>
          </w:tcPr>
          <w:p w14:paraId="2FC0DF31">
            <w:pPr>
              <w:pStyle w:val="11"/>
            </w:pPr>
            <w:r>
              <w:t>1.62</w:t>
            </w:r>
          </w:p>
        </w:tc>
        <w:tc>
          <w:tcPr>
            <w:tcW w:w="964" w:type="dxa"/>
            <w:vAlign w:val="center"/>
          </w:tcPr>
          <w:p w14:paraId="1FDB8012">
            <w:pPr>
              <w:pStyle w:val="11"/>
            </w:pPr>
            <w:r>
              <w:t>1.62</w:t>
            </w:r>
          </w:p>
        </w:tc>
        <w:tc>
          <w:tcPr>
            <w:tcW w:w="964" w:type="dxa"/>
            <w:vAlign w:val="center"/>
          </w:tcPr>
          <w:p w14:paraId="31AE3B05">
            <w:pPr>
              <w:pStyle w:val="11"/>
            </w:pPr>
          </w:p>
        </w:tc>
        <w:tc>
          <w:tcPr>
            <w:tcW w:w="964" w:type="dxa"/>
            <w:vAlign w:val="center"/>
          </w:tcPr>
          <w:p w14:paraId="52DA478F">
            <w:pPr>
              <w:pStyle w:val="11"/>
            </w:pPr>
          </w:p>
        </w:tc>
        <w:tc>
          <w:tcPr>
            <w:tcW w:w="964" w:type="dxa"/>
            <w:vAlign w:val="center"/>
          </w:tcPr>
          <w:p w14:paraId="47CCF5BE">
            <w:pPr>
              <w:pStyle w:val="11"/>
            </w:pPr>
          </w:p>
        </w:tc>
        <w:tc>
          <w:tcPr>
            <w:tcW w:w="964" w:type="dxa"/>
            <w:vAlign w:val="center"/>
          </w:tcPr>
          <w:p w14:paraId="422B75A4">
            <w:pPr>
              <w:pStyle w:val="11"/>
            </w:pPr>
          </w:p>
        </w:tc>
        <w:tc>
          <w:tcPr>
            <w:tcW w:w="964" w:type="dxa"/>
            <w:vAlign w:val="center"/>
          </w:tcPr>
          <w:p w14:paraId="32C84F77">
            <w:pPr>
              <w:pStyle w:val="11"/>
            </w:pPr>
          </w:p>
        </w:tc>
        <w:tc>
          <w:tcPr>
            <w:tcW w:w="964" w:type="dxa"/>
            <w:vAlign w:val="center"/>
          </w:tcPr>
          <w:p w14:paraId="4075537F">
            <w:pPr>
              <w:pStyle w:val="11"/>
            </w:pPr>
          </w:p>
        </w:tc>
        <w:tc>
          <w:tcPr>
            <w:tcW w:w="964" w:type="dxa"/>
            <w:vAlign w:val="center"/>
          </w:tcPr>
          <w:p w14:paraId="2D19BD38">
            <w:pPr>
              <w:pStyle w:val="11"/>
            </w:pPr>
            <w:r>
              <w:t>1.62</w:t>
            </w:r>
          </w:p>
        </w:tc>
      </w:tr>
    </w:tbl>
    <w:p w14:paraId="2EFE10F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F9467E">
      <w:pPr>
        <w:spacing w:before="0" w:after="0"/>
        <w:ind w:firstLine="640"/>
        <w:jc w:val="left"/>
        <w:outlineLvl w:val="9"/>
      </w:pPr>
      <w:r>
        <w:rPr>
          <w:rFonts w:ascii="Times New Roman" w:hAnsi="Times New Roman" w:eastAsia="方正仿宋_GBK" w:cs="Times New Roman"/>
          <w:color w:val="000000"/>
          <w:sz w:val="32"/>
        </w:rPr>
        <w:t xml:space="preserve"> </w:t>
      </w:r>
    </w:p>
    <w:p w14:paraId="79145E76">
      <w:pPr>
        <w:spacing w:before="10" w:after="10" w:line="240" w:lineRule="auto"/>
        <w:ind w:firstLine="640"/>
        <w:jc w:val="left"/>
        <w:outlineLvl w:val="5"/>
      </w:pPr>
      <w:r>
        <w:rPr>
          <w:rFonts w:ascii="黑体" w:hAnsi="黑体" w:eastAsia="黑体" w:cs="黑体"/>
          <w:color w:val="000000"/>
          <w:sz w:val="32"/>
        </w:rPr>
        <w:t>七、国有资产信息</w:t>
      </w:r>
    </w:p>
    <w:p w14:paraId="0FB2E96E">
      <w:pPr>
        <w:spacing w:before="0" w:after="0" w:line="500" w:lineRule="exact"/>
        <w:ind w:firstLine="560"/>
        <w:jc w:val="left"/>
        <w:outlineLvl w:val="9"/>
      </w:pPr>
      <w:r>
        <w:rPr>
          <w:rFonts w:ascii="Times New Roman" w:hAnsi="Times New Roman" w:eastAsia="方正仿宋_GBK" w:cs="Times New Roman"/>
          <w:b w:val="0"/>
          <w:color w:val="000000"/>
          <w:sz w:val="28"/>
        </w:rPr>
        <w:t>河北省隆尧县滏阳中学上年末固定资产金额为1888.97万元（详见下表）。本年度拟购置固定资产总额为16.20万元，已按要求列入政府采购预算，详见政府采购预算表。</w:t>
      </w:r>
    </w:p>
    <w:p w14:paraId="3FE5E66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2E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419DA3">
            <w:pPr>
              <w:pStyle w:val="9"/>
            </w:pPr>
            <w:r>
              <w:t>360009河北省隆尧县滏阳中学</w:t>
            </w:r>
          </w:p>
        </w:tc>
        <w:tc>
          <w:tcPr>
            <w:tcW w:w="5670" w:type="dxa"/>
            <w:gridSpan w:val="2"/>
            <w:tcBorders>
              <w:top w:val="single" w:color="FFFFFF" w:sz="6" w:space="0"/>
              <w:left w:val="single" w:color="FFFFFF" w:sz="6" w:space="0"/>
              <w:right w:val="single" w:color="FFFFFF" w:sz="6" w:space="0"/>
            </w:tcBorders>
            <w:vAlign w:val="center"/>
          </w:tcPr>
          <w:p w14:paraId="3E9A157F">
            <w:pPr>
              <w:pStyle w:val="7"/>
            </w:pPr>
            <w:r>
              <w:t>截止时间：2025-12-31</w:t>
            </w:r>
          </w:p>
        </w:tc>
      </w:tr>
      <w:tr w14:paraId="1838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01EA30">
            <w:pPr>
              <w:pStyle w:val="10"/>
            </w:pPr>
            <w:r>
              <w:t>项   目</w:t>
            </w:r>
          </w:p>
        </w:tc>
        <w:tc>
          <w:tcPr>
            <w:tcW w:w="2835" w:type="dxa"/>
            <w:vAlign w:val="center"/>
          </w:tcPr>
          <w:p w14:paraId="23135810">
            <w:pPr>
              <w:pStyle w:val="10"/>
            </w:pPr>
            <w:r>
              <w:t>数量</w:t>
            </w:r>
          </w:p>
        </w:tc>
        <w:tc>
          <w:tcPr>
            <w:tcW w:w="2835" w:type="dxa"/>
            <w:vAlign w:val="center"/>
          </w:tcPr>
          <w:p w14:paraId="05DFE7E3">
            <w:pPr>
              <w:pStyle w:val="10"/>
            </w:pPr>
            <w:r>
              <w:t>价值（金额单位：万元）</w:t>
            </w:r>
          </w:p>
        </w:tc>
      </w:tr>
      <w:tr w14:paraId="2953C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F22D0A">
            <w:pPr>
              <w:pStyle w:val="12"/>
            </w:pPr>
            <w:r>
              <w:t>资产总额</w:t>
            </w:r>
          </w:p>
        </w:tc>
        <w:tc>
          <w:tcPr>
            <w:tcW w:w="2835" w:type="dxa"/>
            <w:vAlign w:val="center"/>
          </w:tcPr>
          <w:p w14:paraId="57158BD3">
            <w:pPr>
              <w:pStyle w:val="13"/>
            </w:pPr>
          </w:p>
        </w:tc>
        <w:tc>
          <w:tcPr>
            <w:tcW w:w="2835" w:type="dxa"/>
            <w:vAlign w:val="center"/>
          </w:tcPr>
          <w:p w14:paraId="65D43772">
            <w:pPr>
              <w:pStyle w:val="11"/>
            </w:pPr>
            <w:r>
              <w:t>1888.97</w:t>
            </w:r>
          </w:p>
        </w:tc>
      </w:tr>
      <w:tr w14:paraId="77A4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A5F8B9">
            <w:pPr>
              <w:pStyle w:val="12"/>
            </w:pPr>
            <w:r>
              <w:t>1、房屋（平方米）</w:t>
            </w:r>
          </w:p>
        </w:tc>
        <w:tc>
          <w:tcPr>
            <w:tcW w:w="2835" w:type="dxa"/>
            <w:vAlign w:val="center"/>
          </w:tcPr>
          <w:p w14:paraId="4705E6AA">
            <w:pPr>
              <w:pStyle w:val="13"/>
            </w:pPr>
            <w:r>
              <w:t>18418.24</w:t>
            </w:r>
          </w:p>
        </w:tc>
        <w:tc>
          <w:tcPr>
            <w:tcW w:w="2835" w:type="dxa"/>
            <w:vAlign w:val="center"/>
          </w:tcPr>
          <w:p w14:paraId="0EF688A0">
            <w:pPr>
              <w:pStyle w:val="11"/>
            </w:pPr>
            <w:r>
              <w:t>1082.61</w:t>
            </w:r>
          </w:p>
        </w:tc>
      </w:tr>
      <w:tr w14:paraId="6753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18E957">
            <w:pPr>
              <w:pStyle w:val="12"/>
            </w:pPr>
            <w:r>
              <w:t>　　其中：办公用房（平方米）</w:t>
            </w:r>
          </w:p>
        </w:tc>
        <w:tc>
          <w:tcPr>
            <w:tcW w:w="2835" w:type="dxa"/>
            <w:vAlign w:val="center"/>
          </w:tcPr>
          <w:p w14:paraId="572010BD">
            <w:pPr>
              <w:pStyle w:val="13"/>
            </w:pPr>
            <w:r>
              <w:t>648</w:t>
            </w:r>
          </w:p>
        </w:tc>
        <w:tc>
          <w:tcPr>
            <w:tcW w:w="2835" w:type="dxa"/>
            <w:vAlign w:val="center"/>
          </w:tcPr>
          <w:p w14:paraId="1C064DB2">
            <w:pPr>
              <w:pStyle w:val="11"/>
            </w:pPr>
            <w:r>
              <w:t>38.09</w:t>
            </w:r>
          </w:p>
        </w:tc>
      </w:tr>
      <w:tr w14:paraId="5250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B9A719">
            <w:pPr>
              <w:pStyle w:val="12"/>
            </w:pPr>
            <w:r>
              <w:t>2、车辆（台、辆）</w:t>
            </w:r>
          </w:p>
        </w:tc>
        <w:tc>
          <w:tcPr>
            <w:tcW w:w="2835" w:type="dxa"/>
            <w:vAlign w:val="center"/>
          </w:tcPr>
          <w:p w14:paraId="4853013C">
            <w:pPr>
              <w:pStyle w:val="13"/>
            </w:pPr>
          </w:p>
        </w:tc>
        <w:tc>
          <w:tcPr>
            <w:tcW w:w="2835" w:type="dxa"/>
            <w:vAlign w:val="center"/>
          </w:tcPr>
          <w:p w14:paraId="707FA20A">
            <w:pPr>
              <w:pStyle w:val="11"/>
            </w:pPr>
          </w:p>
        </w:tc>
      </w:tr>
      <w:tr w14:paraId="6723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387C0F">
            <w:pPr>
              <w:pStyle w:val="12"/>
            </w:pPr>
            <w:r>
              <w:t>3、单价在20万元以上的设备</w:t>
            </w:r>
          </w:p>
        </w:tc>
        <w:tc>
          <w:tcPr>
            <w:tcW w:w="2835" w:type="dxa"/>
            <w:vAlign w:val="center"/>
          </w:tcPr>
          <w:p w14:paraId="37BE6CE2">
            <w:pPr>
              <w:pStyle w:val="13"/>
            </w:pPr>
            <w:r>
              <w:t>1</w:t>
            </w:r>
          </w:p>
        </w:tc>
        <w:tc>
          <w:tcPr>
            <w:tcW w:w="2835" w:type="dxa"/>
            <w:vAlign w:val="center"/>
          </w:tcPr>
          <w:p w14:paraId="72469FC8">
            <w:pPr>
              <w:pStyle w:val="11"/>
            </w:pPr>
            <w:r>
              <w:t>104.87</w:t>
            </w:r>
          </w:p>
        </w:tc>
      </w:tr>
      <w:tr w14:paraId="0B9D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424846">
            <w:pPr>
              <w:pStyle w:val="12"/>
            </w:pPr>
            <w:r>
              <w:t>4、其他固定资产</w:t>
            </w:r>
          </w:p>
        </w:tc>
        <w:tc>
          <w:tcPr>
            <w:tcW w:w="2835" w:type="dxa"/>
            <w:vAlign w:val="center"/>
          </w:tcPr>
          <w:p w14:paraId="5BE2FD46">
            <w:pPr>
              <w:pStyle w:val="13"/>
            </w:pPr>
            <w:r>
              <w:t>31693</w:t>
            </w:r>
          </w:p>
        </w:tc>
        <w:tc>
          <w:tcPr>
            <w:tcW w:w="2835" w:type="dxa"/>
            <w:vAlign w:val="center"/>
          </w:tcPr>
          <w:p w14:paraId="5A8055F2">
            <w:pPr>
              <w:pStyle w:val="11"/>
            </w:pPr>
            <w:r>
              <w:t>701.48</w:t>
            </w:r>
          </w:p>
        </w:tc>
      </w:tr>
    </w:tbl>
    <w:p w14:paraId="5445F2A8">
      <w:pPr>
        <w:spacing w:before="0" w:after="0"/>
        <w:ind w:firstLine="640"/>
        <w:jc w:val="left"/>
        <w:outlineLvl w:val="9"/>
      </w:pPr>
      <w:r>
        <w:rPr>
          <w:rFonts w:ascii="Times New Roman" w:hAnsi="Times New Roman" w:eastAsia="方正仿宋_GBK" w:cs="Times New Roman"/>
          <w:color w:val="000000"/>
          <w:sz w:val="32"/>
        </w:rPr>
        <w:t xml:space="preserve"> </w:t>
      </w:r>
    </w:p>
    <w:p w14:paraId="11F14FDC">
      <w:pPr>
        <w:spacing w:before="10" w:after="10" w:line="240" w:lineRule="auto"/>
        <w:ind w:firstLine="640"/>
        <w:jc w:val="left"/>
        <w:outlineLvl w:val="5"/>
      </w:pPr>
      <w:r>
        <w:rPr>
          <w:rFonts w:ascii="黑体" w:hAnsi="黑体" w:eastAsia="黑体" w:cs="黑体"/>
          <w:color w:val="000000"/>
          <w:sz w:val="32"/>
        </w:rPr>
        <w:t>八、名词解释</w:t>
      </w:r>
    </w:p>
    <w:p w14:paraId="23CAD4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CC54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7FAD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6E0A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F2064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1966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BA1AD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997A0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E1DB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58965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D5C25B">
      <w:pPr>
        <w:spacing w:before="10" w:after="10" w:line="240" w:lineRule="auto"/>
        <w:ind w:firstLine="640"/>
        <w:jc w:val="left"/>
        <w:outlineLvl w:val="5"/>
      </w:pPr>
      <w:r>
        <w:rPr>
          <w:rFonts w:ascii="黑体" w:hAnsi="黑体" w:eastAsia="黑体" w:cs="黑体"/>
          <w:color w:val="000000"/>
          <w:sz w:val="32"/>
        </w:rPr>
        <w:t>九、其他需要说明的事项</w:t>
      </w:r>
    </w:p>
    <w:p w14:paraId="6A1012A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AC73AC8">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九、隆尧县固城中学收支预算</w:t>
      </w:r>
      <w:bookmarkEnd w:id="8"/>
    </w:p>
    <w:p w14:paraId="486E76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EC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42534E">
            <w:pPr>
              <w:pStyle w:val="9"/>
            </w:pPr>
            <w:r>
              <w:t>360010隆尧县固城中学</w:t>
            </w:r>
          </w:p>
        </w:tc>
        <w:tc>
          <w:tcPr>
            <w:tcW w:w="2126" w:type="dxa"/>
            <w:tcBorders>
              <w:top w:val="single" w:color="FFFFFF" w:sz="6" w:space="0"/>
              <w:left w:val="single" w:color="FFFFFF" w:sz="6" w:space="0"/>
              <w:right w:val="single" w:color="FFFFFF" w:sz="6" w:space="0"/>
            </w:tcBorders>
            <w:vAlign w:val="center"/>
          </w:tcPr>
          <w:p w14:paraId="2885858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7326D09">
            <w:pPr>
              <w:pStyle w:val="7"/>
            </w:pPr>
            <w:r>
              <w:t>单位：万元</w:t>
            </w:r>
          </w:p>
        </w:tc>
      </w:tr>
      <w:tr w14:paraId="139A2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8FF01">
            <w:pPr>
              <w:pStyle w:val="10"/>
            </w:pPr>
            <w:r>
              <w:t>序号</w:t>
            </w:r>
          </w:p>
        </w:tc>
        <w:tc>
          <w:tcPr>
            <w:tcW w:w="6661" w:type="dxa"/>
            <w:gridSpan w:val="2"/>
            <w:vAlign w:val="center"/>
          </w:tcPr>
          <w:p w14:paraId="5DBD6933">
            <w:pPr>
              <w:pStyle w:val="10"/>
            </w:pPr>
            <w:r>
              <w:t>收入</w:t>
            </w:r>
          </w:p>
        </w:tc>
        <w:tc>
          <w:tcPr>
            <w:tcW w:w="6661" w:type="dxa"/>
            <w:gridSpan w:val="2"/>
            <w:vAlign w:val="center"/>
          </w:tcPr>
          <w:p w14:paraId="2F3F2F6A">
            <w:pPr>
              <w:pStyle w:val="10"/>
            </w:pPr>
            <w:r>
              <w:t>支出</w:t>
            </w:r>
          </w:p>
        </w:tc>
      </w:tr>
      <w:tr w14:paraId="5940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97C4D"/>
        </w:tc>
        <w:tc>
          <w:tcPr>
            <w:tcW w:w="4535" w:type="dxa"/>
            <w:vAlign w:val="center"/>
          </w:tcPr>
          <w:p w14:paraId="274B7D75">
            <w:pPr>
              <w:pStyle w:val="10"/>
            </w:pPr>
            <w:r>
              <w:t>项  目</w:t>
            </w:r>
          </w:p>
        </w:tc>
        <w:tc>
          <w:tcPr>
            <w:tcW w:w="2126" w:type="dxa"/>
            <w:vAlign w:val="center"/>
          </w:tcPr>
          <w:p w14:paraId="6FBE6310">
            <w:pPr>
              <w:pStyle w:val="10"/>
            </w:pPr>
            <w:r>
              <w:t>预算数</w:t>
            </w:r>
          </w:p>
        </w:tc>
        <w:tc>
          <w:tcPr>
            <w:tcW w:w="4535" w:type="dxa"/>
            <w:vAlign w:val="center"/>
          </w:tcPr>
          <w:p w14:paraId="02D98272">
            <w:pPr>
              <w:pStyle w:val="10"/>
            </w:pPr>
            <w:r>
              <w:t>项  目</w:t>
            </w:r>
          </w:p>
        </w:tc>
        <w:tc>
          <w:tcPr>
            <w:tcW w:w="2126" w:type="dxa"/>
            <w:vAlign w:val="center"/>
          </w:tcPr>
          <w:p w14:paraId="529177BC">
            <w:pPr>
              <w:pStyle w:val="10"/>
            </w:pPr>
            <w:r>
              <w:t>预算数</w:t>
            </w:r>
          </w:p>
        </w:tc>
      </w:tr>
      <w:tr w14:paraId="5618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299DF9">
            <w:pPr>
              <w:pStyle w:val="10"/>
            </w:pPr>
            <w:r>
              <w:t>栏次</w:t>
            </w:r>
          </w:p>
        </w:tc>
        <w:tc>
          <w:tcPr>
            <w:tcW w:w="4535" w:type="dxa"/>
            <w:vAlign w:val="center"/>
          </w:tcPr>
          <w:p w14:paraId="2BDD56B3">
            <w:pPr>
              <w:pStyle w:val="10"/>
            </w:pPr>
            <w:r>
              <w:t>1</w:t>
            </w:r>
          </w:p>
        </w:tc>
        <w:tc>
          <w:tcPr>
            <w:tcW w:w="2126" w:type="dxa"/>
            <w:vAlign w:val="center"/>
          </w:tcPr>
          <w:p w14:paraId="46624801">
            <w:pPr>
              <w:pStyle w:val="10"/>
            </w:pPr>
            <w:r>
              <w:t>2</w:t>
            </w:r>
          </w:p>
        </w:tc>
        <w:tc>
          <w:tcPr>
            <w:tcW w:w="4535" w:type="dxa"/>
            <w:vAlign w:val="center"/>
          </w:tcPr>
          <w:p w14:paraId="3C764CC3">
            <w:pPr>
              <w:pStyle w:val="10"/>
            </w:pPr>
            <w:r>
              <w:t>3</w:t>
            </w:r>
          </w:p>
        </w:tc>
        <w:tc>
          <w:tcPr>
            <w:tcW w:w="2126" w:type="dxa"/>
            <w:vAlign w:val="center"/>
          </w:tcPr>
          <w:p w14:paraId="1FAA30A3">
            <w:pPr>
              <w:pStyle w:val="10"/>
            </w:pPr>
            <w:r>
              <w:t>4</w:t>
            </w:r>
          </w:p>
        </w:tc>
      </w:tr>
      <w:tr w14:paraId="2F8A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30A61">
            <w:pPr>
              <w:pStyle w:val="13"/>
            </w:pPr>
            <w:r>
              <w:t>1</w:t>
            </w:r>
          </w:p>
        </w:tc>
        <w:tc>
          <w:tcPr>
            <w:tcW w:w="4535" w:type="dxa"/>
            <w:vAlign w:val="center"/>
          </w:tcPr>
          <w:p w14:paraId="7D5826AE">
            <w:pPr>
              <w:pStyle w:val="12"/>
            </w:pPr>
            <w:r>
              <w:t>一、一般公共预算拨款收入</w:t>
            </w:r>
          </w:p>
        </w:tc>
        <w:tc>
          <w:tcPr>
            <w:tcW w:w="2126" w:type="dxa"/>
            <w:vAlign w:val="center"/>
          </w:tcPr>
          <w:p w14:paraId="1895ED0B">
            <w:pPr>
              <w:pStyle w:val="11"/>
            </w:pPr>
            <w:r>
              <w:t>2280.10</w:t>
            </w:r>
          </w:p>
        </w:tc>
        <w:tc>
          <w:tcPr>
            <w:tcW w:w="4535" w:type="dxa"/>
            <w:vAlign w:val="center"/>
          </w:tcPr>
          <w:p w14:paraId="3F9E3DA2">
            <w:pPr>
              <w:pStyle w:val="12"/>
            </w:pPr>
            <w:r>
              <w:t>一、一般公共服务支出</w:t>
            </w:r>
          </w:p>
        </w:tc>
        <w:tc>
          <w:tcPr>
            <w:tcW w:w="2126" w:type="dxa"/>
            <w:vAlign w:val="center"/>
          </w:tcPr>
          <w:p w14:paraId="32BD590F">
            <w:pPr>
              <w:pStyle w:val="11"/>
            </w:pPr>
          </w:p>
        </w:tc>
      </w:tr>
      <w:tr w14:paraId="3EBF8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B6CE">
            <w:pPr>
              <w:pStyle w:val="13"/>
            </w:pPr>
            <w:r>
              <w:t>2</w:t>
            </w:r>
          </w:p>
        </w:tc>
        <w:tc>
          <w:tcPr>
            <w:tcW w:w="4535" w:type="dxa"/>
            <w:vAlign w:val="center"/>
          </w:tcPr>
          <w:p w14:paraId="673C10A7">
            <w:pPr>
              <w:pStyle w:val="12"/>
            </w:pPr>
            <w:r>
              <w:t>二、政府性基金预算拨款收入</w:t>
            </w:r>
          </w:p>
        </w:tc>
        <w:tc>
          <w:tcPr>
            <w:tcW w:w="2126" w:type="dxa"/>
            <w:vAlign w:val="center"/>
          </w:tcPr>
          <w:p w14:paraId="000A53E5">
            <w:pPr>
              <w:pStyle w:val="11"/>
            </w:pPr>
          </w:p>
        </w:tc>
        <w:tc>
          <w:tcPr>
            <w:tcW w:w="4535" w:type="dxa"/>
            <w:vAlign w:val="center"/>
          </w:tcPr>
          <w:p w14:paraId="072E12D4">
            <w:pPr>
              <w:pStyle w:val="12"/>
            </w:pPr>
            <w:r>
              <w:t>二、外交支出</w:t>
            </w:r>
          </w:p>
        </w:tc>
        <w:tc>
          <w:tcPr>
            <w:tcW w:w="2126" w:type="dxa"/>
            <w:vAlign w:val="center"/>
          </w:tcPr>
          <w:p w14:paraId="6AE408CA">
            <w:pPr>
              <w:pStyle w:val="11"/>
            </w:pPr>
          </w:p>
        </w:tc>
      </w:tr>
      <w:tr w14:paraId="663D5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A0A91">
            <w:pPr>
              <w:pStyle w:val="13"/>
            </w:pPr>
            <w:r>
              <w:t>3</w:t>
            </w:r>
          </w:p>
        </w:tc>
        <w:tc>
          <w:tcPr>
            <w:tcW w:w="4535" w:type="dxa"/>
            <w:vAlign w:val="center"/>
          </w:tcPr>
          <w:p w14:paraId="2FE93ADF">
            <w:pPr>
              <w:pStyle w:val="12"/>
            </w:pPr>
            <w:r>
              <w:t>三、国有资本经营预算拨款收入</w:t>
            </w:r>
          </w:p>
        </w:tc>
        <w:tc>
          <w:tcPr>
            <w:tcW w:w="2126" w:type="dxa"/>
            <w:vAlign w:val="center"/>
          </w:tcPr>
          <w:p w14:paraId="12F9CDA3">
            <w:pPr>
              <w:pStyle w:val="11"/>
            </w:pPr>
          </w:p>
        </w:tc>
        <w:tc>
          <w:tcPr>
            <w:tcW w:w="4535" w:type="dxa"/>
            <w:vAlign w:val="center"/>
          </w:tcPr>
          <w:p w14:paraId="728DA1E0">
            <w:pPr>
              <w:pStyle w:val="12"/>
            </w:pPr>
            <w:r>
              <w:t>三、国防支出</w:t>
            </w:r>
          </w:p>
        </w:tc>
        <w:tc>
          <w:tcPr>
            <w:tcW w:w="2126" w:type="dxa"/>
            <w:vAlign w:val="center"/>
          </w:tcPr>
          <w:p w14:paraId="06D625AE">
            <w:pPr>
              <w:pStyle w:val="11"/>
            </w:pPr>
          </w:p>
        </w:tc>
      </w:tr>
      <w:tr w14:paraId="461C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12812">
            <w:pPr>
              <w:pStyle w:val="13"/>
            </w:pPr>
            <w:r>
              <w:t>4</w:t>
            </w:r>
          </w:p>
        </w:tc>
        <w:tc>
          <w:tcPr>
            <w:tcW w:w="4535" w:type="dxa"/>
            <w:vAlign w:val="center"/>
          </w:tcPr>
          <w:p w14:paraId="1B8CAB5C">
            <w:pPr>
              <w:pStyle w:val="12"/>
            </w:pPr>
            <w:r>
              <w:t>四、财政专户管理资金收入</w:t>
            </w:r>
          </w:p>
        </w:tc>
        <w:tc>
          <w:tcPr>
            <w:tcW w:w="2126" w:type="dxa"/>
            <w:vAlign w:val="center"/>
          </w:tcPr>
          <w:p w14:paraId="4B816F81">
            <w:pPr>
              <w:pStyle w:val="11"/>
            </w:pPr>
          </w:p>
        </w:tc>
        <w:tc>
          <w:tcPr>
            <w:tcW w:w="4535" w:type="dxa"/>
            <w:vAlign w:val="center"/>
          </w:tcPr>
          <w:p w14:paraId="16707691">
            <w:pPr>
              <w:pStyle w:val="12"/>
            </w:pPr>
            <w:r>
              <w:t>四、公共安全支出</w:t>
            </w:r>
          </w:p>
        </w:tc>
        <w:tc>
          <w:tcPr>
            <w:tcW w:w="2126" w:type="dxa"/>
            <w:vAlign w:val="center"/>
          </w:tcPr>
          <w:p w14:paraId="5DC185E2">
            <w:pPr>
              <w:pStyle w:val="11"/>
            </w:pPr>
          </w:p>
        </w:tc>
      </w:tr>
      <w:tr w14:paraId="37720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C5678">
            <w:pPr>
              <w:pStyle w:val="13"/>
            </w:pPr>
            <w:r>
              <w:t>5</w:t>
            </w:r>
          </w:p>
        </w:tc>
        <w:tc>
          <w:tcPr>
            <w:tcW w:w="4535" w:type="dxa"/>
            <w:vAlign w:val="center"/>
          </w:tcPr>
          <w:p w14:paraId="6068D447">
            <w:pPr>
              <w:pStyle w:val="12"/>
            </w:pPr>
            <w:r>
              <w:t>五、单位资金</w:t>
            </w:r>
          </w:p>
        </w:tc>
        <w:tc>
          <w:tcPr>
            <w:tcW w:w="2126" w:type="dxa"/>
            <w:vAlign w:val="center"/>
          </w:tcPr>
          <w:p w14:paraId="04355F90">
            <w:pPr>
              <w:pStyle w:val="11"/>
            </w:pPr>
          </w:p>
        </w:tc>
        <w:tc>
          <w:tcPr>
            <w:tcW w:w="4535" w:type="dxa"/>
            <w:vAlign w:val="center"/>
          </w:tcPr>
          <w:p w14:paraId="79CC3D6D">
            <w:pPr>
              <w:pStyle w:val="12"/>
            </w:pPr>
            <w:r>
              <w:t>五、教育支出</w:t>
            </w:r>
          </w:p>
        </w:tc>
        <w:tc>
          <w:tcPr>
            <w:tcW w:w="2126" w:type="dxa"/>
            <w:vAlign w:val="center"/>
          </w:tcPr>
          <w:p w14:paraId="6D48F05A">
            <w:pPr>
              <w:pStyle w:val="11"/>
            </w:pPr>
            <w:r>
              <w:t>2280.10</w:t>
            </w:r>
          </w:p>
        </w:tc>
      </w:tr>
      <w:tr w14:paraId="0DA3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FDA5">
            <w:pPr>
              <w:pStyle w:val="13"/>
            </w:pPr>
            <w:r>
              <w:t>6</w:t>
            </w:r>
          </w:p>
        </w:tc>
        <w:tc>
          <w:tcPr>
            <w:tcW w:w="4535" w:type="dxa"/>
            <w:vAlign w:val="center"/>
          </w:tcPr>
          <w:p w14:paraId="25E0FB41">
            <w:pPr>
              <w:pStyle w:val="12"/>
            </w:pPr>
          </w:p>
        </w:tc>
        <w:tc>
          <w:tcPr>
            <w:tcW w:w="2126" w:type="dxa"/>
            <w:vAlign w:val="center"/>
          </w:tcPr>
          <w:p w14:paraId="70A86F96">
            <w:pPr>
              <w:pStyle w:val="11"/>
            </w:pPr>
          </w:p>
        </w:tc>
        <w:tc>
          <w:tcPr>
            <w:tcW w:w="4535" w:type="dxa"/>
            <w:vAlign w:val="center"/>
          </w:tcPr>
          <w:p w14:paraId="3EBF2F3D">
            <w:pPr>
              <w:pStyle w:val="12"/>
            </w:pPr>
            <w:r>
              <w:t>六、科学技术支出</w:t>
            </w:r>
          </w:p>
        </w:tc>
        <w:tc>
          <w:tcPr>
            <w:tcW w:w="2126" w:type="dxa"/>
            <w:vAlign w:val="center"/>
          </w:tcPr>
          <w:p w14:paraId="3743039B">
            <w:pPr>
              <w:pStyle w:val="11"/>
            </w:pPr>
          </w:p>
        </w:tc>
      </w:tr>
      <w:tr w14:paraId="1E526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847E8">
            <w:pPr>
              <w:pStyle w:val="13"/>
            </w:pPr>
            <w:r>
              <w:t>7</w:t>
            </w:r>
          </w:p>
        </w:tc>
        <w:tc>
          <w:tcPr>
            <w:tcW w:w="4535" w:type="dxa"/>
            <w:vAlign w:val="center"/>
          </w:tcPr>
          <w:p w14:paraId="02207358">
            <w:pPr>
              <w:pStyle w:val="12"/>
            </w:pPr>
          </w:p>
        </w:tc>
        <w:tc>
          <w:tcPr>
            <w:tcW w:w="2126" w:type="dxa"/>
            <w:vAlign w:val="center"/>
          </w:tcPr>
          <w:p w14:paraId="3D295B65">
            <w:pPr>
              <w:pStyle w:val="11"/>
            </w:pPr>
          </w:p>
        </w:tc>
        <w:tc>
          <w:tcPr>
            <w:tcW w:w="4535" w:type="dxa"/>
            <w:vAlign w:val="center"/>
          </w:tcPr>
          <w:p w14:paraId="6C1F89E8">
            <w:pPr>
              <w:pStyle w:val="12"/>
            </w:pPr>
            <w:r>
              <w:t>七、文化旅游体育与传媒支出</w:t>
            </w:r>
          </w:p>
        </w:tc>
        <w:tc>
          <w:tcPr>
            <w:tcW w:w="2126" w:type="dxa"/>
            <w:vAlign w:val="center"/>
          </w:tcPr>
          <w:p w14:paraId="6B0B6600">
            <w:pPr>
              <w:pStyle w:val="11"/>
            </w:pPr>
          </w:p>
        </w:tc>
      </w:tr>
      <w:tr w14:paraId="2FDD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F3CB">
            <w:pPr>
              <w:pStyle w:val="13"/>
            </w:pPr>
            <w:r>
              <w:t>8</w:t>
            </w:r>
          </w:p>
        </w:tc>
        <w:tc>
          <w:tcPr>
            <w:tcW w:w="4535" w:type="dxa"/>
            <w:vAlign w:val="center"/>
          </w:tcPr>
          <w:p w14:paraId="06FFBFC5">
            <w:pPr>
              <w:pStyle w:val="12"/>
            </w:pPr>
          </w:p>
        </w:tc>
        <w:tc>
          <w:tcPr>
            <w:tcW w:w="2126" w:type="dxa"/>
            <w:vAlign w:val="center"/>
          </w:tcPr>
          <w:p w14:paraId="1189B5E6">
            <w:pPr>
              <w:pStyle w:val="11"/>
            </w:pPr>
          </w:p>
        </w:tc>
        <w:tc>
          <w:tcPr>
            <w:tcW w:w="4535" w:type="dxa"/>
            <w:vAlign w:val="center"/>
          </w:tcPr>
          <w:p w14:paraId="6D4EA0F5">
            <w:pPr>
              <w:pStyle w:val="12"/>
            </w:pPr>
            <w:r>
              <w:t>八、社会保障和就业支出</w:t>
            </w:r>
          </w:p>
        </w:tc>
        <w:tc>
          <w:tcPr>
            <w:tcW w:w="2126" w:type="dxa"/>
            <w:vAlign w:val="center"/>
          </w:tcPr>
          <w:p w14:paraId="1E7E051E">
            <w:pPr>
              <w:pStyle w:val="11"/>
            </w:pPr>
          </w:p>
        </w:tc>
      </w:tr>
      <w:tr w14:paraId="1E66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C7936">
            <w:pPr>
              <w:pStyle w:val="13"/>
            </w:pPr>
            <w:r>
              <w:t>9</w:t>
            </w:r>
          </w:p>
        </w:tc>
        <w:tc>
          <w:tcPr>
            <w:tcW w:w="4535" w:type="dxa"/>
            <w:vAlign w:val="center"/>
          </w:tcPr>
          <w:p w14:paraId="6F9FB76E">
            <w:pPr>
              <w:pStyle w:val="12"/>
            </w:pPr>
          </w:p>
        </w:tc>
        <w:tc>
          <w:tcPr>
            <w:tcW w:w="2126" w:type="dxa"/>
            <w:vAlign w:val="center"/>
          </w:tcPr>
          <w:p w14:paraId="24AAA6E3">
            <w:pPr>
              <w:pStyle w:val="11"/>
            </w:pPr>
          </w:p>
        </w:tc>
        <w:tc>
          <w:tcPr>
            <w:tcW w:w="4535" w:type="dxa"/>
            <w:vAlign w:val="center"/>
          </w:tcPr>
          <w:p w14:paraId="2AC7C02C">
            <w:pPr>
              <w:pStyle w:val="12"/>
            </w:pPr>
            <w:r>
              <w:t>九、社会保险基金支出</w:t>
            </w:r>
          </w:p>
        </w:tc>
        <w:tc>
          <w:tcPr>
            <w:tcW w:w="2126" w:type="dxa"/>
            <w:vAlign w:val="center"/>
          </w:tcPr>
          <w:p w14:paraId="360DF2CA">
            <w:pPr>
              <w:pStyle w:val="11"/>
            </w:pPr>
          </w:p>
        </w:tc>
      </w:tr>
      <w:tr w14:paraId="090E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36FC">
            <w:pPr>
              <w:pStyle w:val="13"/>
            </w:pPr>
            <w:r>
              <w:t>10</w:t>
            </w:r>
          </w:p>
        </w:tc>
        <w:tc>
          <w:tcPr>
            <w:tcW w:w="4535" w:type="dxa"/>
            <w:vAlign w:val="center"/>
          </w:tcPr>
          <w:p w14:paraId="79A7F336">
            <w:pPr>
              <w:pStyle w:val="12"/>
            </w:pPr>
          </w:p>
        </w:tc>
        <w:tc>
          <w:tcPr>
            <w:tcW w:w="2126" w:type="dxa"/>
            <w:vAlign w:val="center"/>
          </w:tcPr>
          <w:p w14:paraId="25FB7A3B">
            <w:pPr>
              <w:pStyle w:val="11"/>
            </w:pPr>
          </w:p>
        </w:tc>
        <w:tc>
          <w:tcPr>
            <w:tcW w:w="4535" w:type="dxa"/>
            <w:vAlign w:val="center"/>
          </w:tcPr>
          <w:p w14:paraId="03DDE5C2">
            <w:pPr>
              <w:pStyle w:val="12"/>
            </w:pPr>
            <w:r>
              <w:t>十、卫生健康支出</w:t>
            </w:r>
          </w:p>
        </w:tc>
        <w:tc>
          <w:tcPr>
            <w:tcW w:w="2126" w:type="dxa"/>
            <w:vAlign w:val="center"/>
          </w:tcPr>
          <w:p w14:paraId="78BE2C4A">
            <w:pPr>
              <w:pStyle w:val="11"/>
            </w:pPr>
          </w:p>
        </w:tc>
      </w:tr>
      <w:tr w14:paraId="794C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8D447">
            <w:pPr>
              <w:pStyle w:val="13"/>
            </w:pPr>
            <w:r>
              <w:t>11</w:t>
            </w:r>
          </w:p>
        </w:tc>
        <w:tc>
          <w:tcPr>
            <w:tcW w:w="4535" w:type="dxa"/>
            <w:vAlign w:val="center"/>
          </w:tcPr>
          <w:p w14:paraId="1544B67C">
            <w:pPr>
              <w:pStyle w:val="12"/>
            </w:pPr>
          </w:p>
        </w:tc>
        <w:tc>
          <w:tcPr>
            <w:tcW w:w="2126" w:type="dxa"/>
            <w:vAlign w:val="center"/>
          </w:tcPr>
          <w:p w14:paraId="0657CECD">
            <w:pPr>
              <w:pStyle w:val="11"/>
            </w:pPr>
          </w:p>
        </w:tc>
        <w:tc>
          <w:tcPr>
            <w:tcW w:w="4535" w:type="dxa"/>
            <w:vAlign w:val="center"/>
          </w:tcPr>
          <w:p w14:paraId="0F9F1433">
            <w:pPr>
              <w:pStyle w:val="12"/>
            </w:pPr>
            <w:r>
              <w:t>十一、节能环保支出</w:t>
            </w:r>
          </w:p>
        </w:tc>
        <w:tc>
          <w:tcPr>
            <w:tcW w:w="2126" w:type="dxa"/>
            <w:vAlign w:val="center"/>
          </w:tcPr>
          <w:p w14:paraId="75C125A2">
            <w:pPr>
              <w:pStyle w:val="11"/>
            </w:pPr>
          </w:p>
        </w:tc>
      </w:tr>
      <w:tr w14:paraId="58A9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9A780">
            <w:pPr>
              <w:pStyle w:val="13"/>
            </w:pPr>
            <w:r>
              <w:t>12</w:t>
            </w:r>
          </w:p>
        </w:tc>
        <w:tc>
          <w:tcPr>
            <w:tcW w:w="4535" w:type="dxa"/>
            <w:vAlign w:val="center"/>
          </w:tcPr>
          <w:p w14:paraId="23AC4DB6">
            <w:pPr>
              <w:pStyle w:val="12"/>
            </w:pPr>
          </w:p>
        </w:tc>
        <w:tc>
          <w:tcPr>
            <w:tcW w:w="2126" w:type="dxa"/>
            <w:vAlign w:val="center"/>
          </w:tcPr>
          <w:p w14:paraId="08CB02A6">
            <w:pPr>
              <w:pStyle w:val="11"/>
            </w:pPr>
          </w:p>
        </w:tc>
        <w:tc>
          <w:tcPr>
            <w:tcW w:w="4535" w:type="dxa"/>
            <w:vAlign w:val="center"/>
          </w:tcPr>
          <w:p w14:paraId="1EDADD5F">
            <w:pPr>
              <w:pStyle w:val="12"/>
            </w:pPr>
            <w:r>
              <w:t>十二、城乡社区支出</w:t>
            </w:r>
          </w:p>
        </w:tc>
        <w:tc>
          <w:tcPr>
            <w:tcW w:w="2126" w:type="dxa"/>
            <w:vAlign w:val="center"/>
          </w:tcPr>
          <w:p w14:paraId="6E0F2A5F">
            <w:pPr>
              <w:pStyle w:val="11"/>
            </w:pPr>
          </w:p>
        </w:tc>
      </w:tr>
      <w:tr w14:paraId="7F2C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DA448">
            <w:pPr>
              <w:pStyle w:val="13"/>
            </w:pPr>
            <w:r>
              <w:t>13</w:t>
            </w:r>
          </w:p>
        </w:tc>
        <w:tc>
          <w:tcPr>
            <w:tcW w:w="4535" w:type="dxa"/>
            <w:vAlign w:val="center"/>
          </w:tcPr>
          <w:p w14:paraId="56A8395C">
            <w:pPr>
              <w:pStyle w:val="12"/>
            </w:pPr>
          </w:p>
        </w:tc>
        <w:tc>
          <w:tcPr>
            <w:tcW w:w="2126" w:type="dxa"/>
            <w:vAlign w:val="center"/>
          </w:tcPr>
          <w:p w14:paraId="3AA9F7C0">
            <w:pPr>
              <w:pStyle w:val="11"/>
            </w:pPr>
          </w:p>
        </w:tc>
        <w:tc>
          <w:tcPr>
            <w:tcW w:w="4535" w:type="dxa"/>
            <w:vAlign w:val="center"/>
          </w:tcPr>
          <w:p w14:paraId="507468B3">
            <w:pPr>
              <w:pStyle w:val="12"/>
            </w:pPr>
            <w:r>
              <w:t>十三、农林水支出</w:t>
            </w:r>
          </w:p>
        </w:tc>
        <w:tc>
          <w:tcPr>
            <w:tcW w:w="2126" w:type="dxa"/>
            <w:vAlign w:val="center"/>
          </w:tcPr>
          <w:p w14:paraId="3903973A">
            <w:pPr>
              <w:pStyle w:val="11"/>
            </w:pPr>
          </w:p>
        </w:tc>
      </w:tr>
      <w:tr w14:paraId="44DE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EF149">
            <w:pPr>
              <w:pStyle w:val="13"/>
            </w:pPr>
            <w:r>
              <w:t>14</w:t>
            </w:r>
          </w:p>
        </w:tc>
        <w:tc>
          <w:tcPr>
            <w:tcW w:w="4535" w:type="dxa"/>
            <w:vAlign w:val="center"/>
          </w:tcPr>
          <w:p w14:paraId="77A73698">
            <w:pPr>
              <w:pStyle w:val="12"/>
            </w:pPr>
          </w:p>
        </w:tc>
        <w:tc>
          <w:tcPr>
            <w:tcW w:w="2126" w:type="dxa"/>
            <w:vAlign w:val="center"/>
          </w:tcPr>
          <w:p w14:paraId="15780068">
            <w:pPr>
              <w:pStyle w:val="11"/>
            </w:pPr>
          </w:p>
        </w:tc>
        <w:tc>
          <w:tcPr>
            <w:tcW w:w="4535" w:type="dxa"/>
            <w:vAlign w:val="center"/>
          </w:tcPr>
          <w:p w14:paraId="0B77456C">
            <w:pPr>
              <w:pStyle w:val="12"/>
            </w:pPr>
            <w:r>
              <w:t>十四、交通运输支出</w:t>
            </w:r>
          </w:p>
        </w:tc>
        <w:tc>
          <w:tcPr>
            <w:tcW w:w="2126" w:type="dxa"/>
            <w:vAlign w:val="center"/>
          </w:tcPr>
          <w:p w14:paraId="6FCD0728">
            <w:pPr>
              <w:pStyle w:val="11"/>
            </w:pPr>
          </w:p>
        </w:tc>
      </w:tr>
      <w:tr w14:paraId="0EC2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196B4">
            <w:pPr>
              <w:pStyle w:val="13"/>
            </w:pPr>
            <w:r>
              <w:t>15</w:t>
            </w:r>
          </w:p>
        </w:tc>
        <w:tc>
          <w:tcPr>
            <w:tcW w:w="4535" w:type="dxa"/>
            <w:vAlign w:val="center"/>
          </w:tcPr>
          <w:p w14:paraId="3B711B4E">
            <w:pPr>
              <w:pStyle w:val="12"/>
            </w:pPr>
          </w:p>
        </w:tc>
        <w:tc>
          <w:tcPr>
            <w:tcW w:w="2126" w:type="dxa"/>
            <w:vAlign w:val="center"/>
          </w:tcPr>
          <w:p w14:paraId="3C02275B">
            <w:pPr>
              <w:pStyle w:val="11"/>
            </w:pPr>
          </w:p>
        </w:tc>
        <w:tc>
          <w:tcPr>
            <w:tcW w:w="4535" w:type="dxa"/>
            <w:vAlign w:val="center"/>
          </w:tcPr>
          <w:p w14:paraId="6262143A">
            <w:pPr>
              <w:pStyle w:val="12"/>
            </w:pPr>
            <w:r>
              <w:t>十五、资源勘探工业信息等支出</w:t>
            </w:r>
          </w:p>
        </w:tc>
        <w:tc>
          <w:tcPr>
            <w:tcW w:w="2126" w:type="dxa"/>
            <w:vAlign w:val="center"/>
          </w:tcPr>
          <w:p w14:paraId="30568157">
            <w:pPr>
              <w:pStyle w:val="11"/>
            </w:pPr>
          </w:p>
        </w:tc>
      </w:tr>
      <w:tr w14:paraId="001C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2B30A">
            <w:pPr>
              <w:pStyle w:val="13"/>
            </w:pPr>
            <w:r>
              <w:t>16</w:t>
            </w:r>
          </w:p>
        </w:tc>
        <w:tc>
          <w:tcPr>
            <w:tcW w:w="4535" w:type="dxa"/>
            <w:vAlign w:val="center"/>
          </w:tcPr>
          <w:p w14:paraId="7820C29D">
            <w:pPr>
              <w:pStyle w:val="12"/>
            </w:pPr>
          </w:p>
        </w:tc>
        <w:tc>
          <w:tcPr>
            <w:tcW w:w="2126" w:type="dxa"/>
            <w:vAlign w:val="center"/>
          </w:tcPr>
          <w:p w14:paraId="6B427BC6">
            <w:pPr>
              <w:pStyle w:val="11"/>
            </w:pPr>
          </w:p>
        </w:tc>
        <w:tc>
          <w:tcPr>
            <w:tcW w:w="4535" w:type="dxa"/>
            <w:vAlign w:val="center"/>
          </w:tcPr>
          <w:p w14:paraId="0793449F">
            <w:pPr>
              <w:pStyle w:val="12"/>
            </w:pPr>
            <w:r>
              <w:t>十六、商业服务业等支出</w:t>
            </w:r>
          </w:p>
        </w:tc>
        <w:tc>
          <w:tcPr>
            <w:tcW w:w="2126" w:type="dxa"/>
            <w:vAlign w:val="center"/>
          </w:tcPr>
          <w:p w14:paraId="6A48D33C">
            <w:pPr>
              <w:pStyle w:val="11"/>
            </w:pPr>
          </w:p>
        </w:tc>
      </w:tr>
      <w:tr w14:paraId="51A7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46573">
            <w:pPr>
              <w:pStyle w:val="13"/>
            </w:pPr>
            <w:r>
              <w:t>17</w:t>
            </w:r>
          </w:p>
        </w:tc>
        <w:tc>
          <w:tcPr>
            <w:tcW w:w="4535" w:type="dxa"/>
            <w:vAlign w:val="center"/>
          </w:tcPr>
          <w:p w14:paraId="0F3CE2B8">
            <w:pPr>
              <w:pStyle w:val="12"/>
            </w:pPr>
          </w:p>
        </w:tc>
        <w:tc>
          <w:tcPr>
            <w:tcW w:w="2126" w:type="dxa"/>
            <w:vAlign w:val="center"/>
          </w:tcPr>
          <w:p w14:paraId="07E3EB4C">
            <w:pPr>
              <w:pStyle w:val="11"/>
            </w:pPr>
          </w:p>
        </w:tc>
        <w:tc>
          <w:tcPr>
            <w:tcW w:w="4535" w:type="dxa"/>
            <w:vAlign w:val="center"/>
          </w:tcPr>
          <w:p w14:paraId="15920EEE">
            <w:pPr>
              <w:pStyle w:val="12"/>
            </w:pPr>
            <w:r>
              <w:t>十七、金融支出</w:t>
            </w:r>
          </w:p>
        </w:tc>
        <w:tc>
          <w:tcPr>
            <w:tcW w:w="2126" w:type="dxa"/>
            <w:vAlign w:val="center"/>
          </w:tcPr>
          <w:p w14:paraId="0852F2E7">
            <w:pPr>
              <w:pStyle w:val="11"/>
            </w:pPr>
          </w:p>
        </w:tc>
      </w:tr>
      <w:tr w14:paraId="5308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318B4">
            <w:pPr>
              <w:pStyle w:val="13"/>
            </w:pPr>
            <w:r>
              <w:t>18</w:t>
            </w:r>
          </w:p>
        </w:tc>
        <w:tc>
          <w:tcPr>
            <w:tcW w:w="4535" w:type="dxa"/>
            <w:vAlign w:val="center"/>
          </w:tcPr>
          <w:p w14:paraId="00F39B2C">
            <w:pPr>
              <w:pStyle w:val="12"/>
            </w:pPr>
          </w:p>
        </w:tc>
        <w:tc>
          <w:tcPr>
            <w:tcW w:w="2126" w:type="dxa"/>
            <w:vAlign w:val="center"/>
          </w:tcPr>
          <w:p w14:paraId="2750356B">
            <w:pPr>
              <w:pStyle w:val="11"/>
            </w:pPr>
          </w:p>
        </w:tc>
        <w:tc>
          <w:tcPr>
            <w:tcW w:w="4535" w:type="dxa"/>
            <w:vAlign w:val="center"/>
          </w:tcPr>
          <w:p w14:paraId="0852BD85">
            <w:pPr>
              <w:pStyle w:val="12"/>
            </w:pPr>
            <w:r>
              <w:t>十八、援助其他地区支出</w:t>
            </w:r>
          </w:p>
        </w:tc>
        <w:tc>
          <w:tcPr>
            <w:tcW w:w="2126" w:type="dxa"/>
            <w:vAlign w:val="center"/>
          </w:tcPr>
          <w:p w14:paraId="5A0C525D">
            <w:pPr>
              <w:pStyle w:val="11"/>
            </w:pPr>
          </w:p>
        </w:tc>
      </w:tr>
      <w:tr w14:paraId="7EFF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07604">
            <w:pPr>
              <w:pStyle w:val="13"/>
            </w:pPr>
            <w:r>
              <w:t>19</w:t>
            </w:r>
          </w:p>
        </w:tc>
        <w:tc>
          <w:tcPr>
            <w:tcW w:w="4535" w:type="dxa"/>
            <w:vAlign w:val="center"/>
          </w:tcPr>
          <w:p w14:paraId="0F9CB8F9">
            <w:pPr>
              <w:pStyle w:val="12"/>
            </w:pPr>
          </w:p>
        </w:tc>
        <w:tc>
          <w:tcPr>
            <w:tcW w:w="2126" w:type="dxa"/>
            <w:vAlign w:val="center"/>
          </w:tcPr>
          <w:p w14:paraId="639FA7F4">
            <w:pPr>
              <w:pStyle w:val="11"/>
            </w:pPr>
          </w:p>
        </w:tc>
        <w:tc>
          <w:tcPr>
            <w:tcW w:w="4535" w:type="dxa"/>
            <w:vAlign w:val="center"/>
          </w:tcPr>
          <w:p w14:paraId="1F991107">
            <w:pPr>
              <w:pStyle w:val="12"/>
            </w:pPr>
            <w:r>
              <w:t>十九、自然资源海洋气象等支出</w:t>
            </w:r>
          </w:p>
        </w:tc>
        <w:tc>
          <w:tcPr>
            <w:tcW w:w="2126" w:type="dxa"/>
            <w:vAlign w:val="center"/>
          </w:tcPr>
          <w:p w14:paraId="066B4399">
            <w:pPr>
              <w:pStyle w:val="11"/>
            </w:pPr>
          </w:p>
        </w:tc>
      </w:tr>
      <w:tr w14:paraId="28F1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CBC3">
            <w:pPr>
              <w:pStyle w:val="13"/>
            </w:pPr>
            <w:r>
              <w:t>20</w:t>
            </w:r>
          </w:p>
        </w:tc>
        <w:tc>
          <w:tcPr>
            <w:tcW w:w="4535" w:type="dxa"/>
            <w:vAlign w:val="center"/>
          </w:tcPr>
          <w:p w14:paraId="295E31C8">
            <w:pPr>
              <w:pStyle w:val="12"/>
            </w:pPr>
          </w:p>
        </w:tc>
        <w:tc>
          <w:tcPr>
            <w:tcW w:w="2126" w:type="dxa"/>
            <w:vAlign w:val="center"/>
          </w:tcPr>
          <w:p w14:paraId="2669CE5F">
            <w:pPr>
              <w:pStyle w:val="11"/>
            </w:pPr>
          </w:p>
        </w:tc>
        <w:tc>
          <w:tcPr>
            <w:tcW w:w="4535" w:type="dxa"/>
            <w:vAlign w:val="center"/>
          </w:tcPr>
          <w:p w14:paraId="45F5709A">
            <w:pPr>
              <w:pStyle w:val="12"/>
            </w:pPr>
            <w:r>
              <w:t>二十、住房保障支出</w:t>
            </w:r>
          </w:p>
        </w:tc>
        <w:tc>
          <w:tcPr>
            <w:tcW w:w="2126" w:type="dxa"/>
            <w:vAlign w:val="center"/>
          </w:tcPr>
          <w:p w14:paraId="3E08CEA2">
            <w:pPr>
              <w:pStyle w:val="11"/>
            </w:pPr>
          </w:p>
        </w:tc>
      </w:tr>
      <w:tr w14:paraId="0317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1B22">
            <w:pPr>
              <w:pStyle w:val="13"/>
            </w:pPr>
            <w:r>
              <w:t>21</w:t>
            </w:r>
          </w:p>
        </w:tc>
        <w:tc>
          <w:tcPr>
            <w:tcW w:w="4535" w:type="dxa"/>
            <w:vAlign w:val="center"/>
          </w:tcPr>
          <w:p w14:paraId="23D65C92">
            <w:pPr>
              <w:pStyle w:val="12"/>
            </w:pPr>
          </w:p>
        </w:tc>
        <w:tc>
          <w:tcPr>
            <w:tcW w:w="2126" w:type="dxa"/>
            <w:vAlign w:val="center"/>
          </w:tcPr>
          <w:p w14:paraId="513BEACE">
            <w:pPr>
              <w:pStyle w:val="11"/>
            </w:pPr>
          </w:p>
        </w:tc>
        <w:tc>
          <w:tcPr>
            <w:tcW w:w="4535" w:type="dxa"/>
            <w:vAlign w:val="center"/>
          </w:tcPr>
          <w:p w14:paraId="002D6E2D">
            <w:pPr>
              <w:pStyle w:val="12"/>
            </w:pPr>
            <w:r>
              <w:t>二十一、粮油物资储备支出</w:t>
            </w:r>
          </w:p>
        </w:tc>
        <w:tc>
          <w:tcPr>
            <w:tcW w:w="2126" w:type="dxa"/>
            <w:vAlign w:val="center"/>
          </w:tcPr>
          <w:p w14:paraId="32A5F380">
            <w:pPr>
              <w:pStyle w:val="11"/>
            </w:pPr>
          </w:p>
        </w:tc>
      </w:tr>
      <w:tr w14:paraId="485E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A361C">
            <w:pPr>
              <w:pStyle w:val="13"/>
            </w:pPr>
            <w:r>
              <w:t>22</w:t>
            </w:r>
          </w:p>
        </w:tc>
        <w:tc>
          <w:tcPr>
            <w:tcW w:w="4535" w:type="dxa"/>
            <w:vAlign w:val="center"/>
          </w:tcPr>
          <w:p w14:paraId="53C0A1F0">
            <w:pPr>
              <w:pStyle w:val="12"/>
            </w:pPr>
          </w:p>
        </w:tc>
        <w:tc>
          <w:tcPr>
            <w:tcW w:w="2126" w:type="dxa"/>
            <w:vAlign w:val="center"/>
          </w:tcPr>
          <w:p w14:paraId="4271F6E7">
            <w:pPr>
              <w:pStyle w:val="11"/>
            </w:pPr>
          </w:p>
        </w:tc>
        <w:tc>
          <w:tcPr>
            <w:tcW w:w="4535" w:type="dxa"/>
            <w:vAlign w:val="center"/>
          </w:tcPr>
          <w:p w14:paraId="68F0960E">
            <w:pPr>
              <w:pStyle w:val="12"/>
            </w:pPr>
            <w:r>
              <w:t>二十二、国有资本经营预算支出</w:t>
            </w:r>
          </w:p>
        </w:tc>
        <w:tc>
          <w:tcPr>
            <w:tcW w:w="2126" w:type="dxa"/>
            <w:vAlign w:val="center"/>
          </w:tcPr>
          <w:p w14:paraId="24D8B6FC">
            <w:pPr>
              <w:pStyle w:val="11"/>
            </w:pPr>
          </w:p>
        </w:tc>
      </w:tr>
      <w:tr w14:paraId="2D6EC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AEF1A">
            <w:pPr>
              <w:pStyle w:val="13"/>
            </w:pPr>
            <w:r>
              <w:t>23</w:t>
            </w:r>
          </w:p>
        </w:tc>
        <w:tc>
          <w:tcPr>
            <w:tcW w:w="4535" w:type="dxa"/>
            <w:vAlign w:val="center"/>
          </w:tcPr>
          <w:p w14:paraId="73EFD25E">
            <w:pPr>
              <w:pStyle w:val="12"/>
            </w:pPr>
          </w:p>
        </w:tc>
        <w:tc>
          <w:tcPr>
            <w:tcW w:w="2126" w:type="dxa"/>
            <w:vAlign w:val="center"/>
          </w:tcPr>
          <w:p w14:paraId="2197D8C9">
            <w:pPr>
              <w:pStyle w:val="11"/>
            </w:pPr>
          </w:p>
        </w:tc>
        <w:tc>
          <w:tcPr>
            <w:tcW w:w="4535" w:type="dxa"/>
            <w:vAlign w:val="center"/>
          </w:tcPr>
          <w:p w14:paraId="10507A0B">
            <w:pPr>
              <w:pStyle w:val="12"/>
            </w:pPr>
            <w:r>
              <w:t>二十三、灾害防治及应急管理支出</w:t>
            </w:r>
          </w:p>
        </w:tc>
        <w:tc>
          <w:tcPr>
            <w:tcW w:w="2126" w:type="dxa"/>
            <w:vAlign w:val="center"/>
          </w:tcPr>
          <w:p w14:paraId="43976453">
            <w:pPr>
              <w:pStyle w:val="11"/>
            </w:pPr>
          </w:p>
        </w:tc>
      </w:tr>
      <w:tr w14:paraId="69C9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CF8B">
            <w:pPr>
              <w:pStyle w:val="13"/>
            </w:pPr>
            <w:r>
              <w:t>24</w:t>
            </w:r>
          </w:p>
        </w:tc>
        <w:tc>
          <w:tcPr>
            <w:tcW w:w="4535" w:type="dxa"/>
            <w:vAlign w:val="center"/>
          </w:tcPr>
          <w:p w14:paraId="3E61FF76">
            <w:pPr>
              <w:pStyle w:val="12"/>
            </w:pPr>
          </w:p>
        </w:tc>
        <w:tc>
          <w:tcPr>
            <w:tcW w:w="2126" w:type="dxa"/>
            <w:vAlign w:val="center"/>
          </w:tcPr>
          <w:p w14:paraId="5CAC0E38">
            <w:pPr>
              <w:pStyle w:val="11"/>
            </w:pPr>
          </w:p>
        </w:tc>
        <w:tc>
          <w:tcPr>
            <w:tcW w:w="4535" w:type="dxa"/>
            <w:vAlign w:val="center"/>
          </w:tcPr>
          <w:p w14:paraId="3BCB5399">
            <w:pPr>
              <w:pStyle w:val="12"/>
            </w:pPr>
            <w:r>
              <w:t>二十四、预备费</w:t>
            </w:r>
          </w:p>
        </w:tc>
        <w:tc>
          <w:tcPr>
            <w:tcW w:w="2126" w:type="dxa"/>
            <w:vAlign w:val="center"/>
          </w:tcPr>
          <w:p w14:paraId="2BEAD0C2">
            <w:pPr>
              <w:pStyle w:val="11"/>
            </w:pPr>
          </w:p>
        </w:tc>
      </w:tr>
      <w:tr w14:paraId="307F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B2221">
            <w:pPr>
              <w:pStyle w:val="13"/>
            </w:pPr>
            <w:r>
              <w:t>25</w:t>
            </w:r>
          </w:p>
        </w:tc>
        <w:tc>
          <w:tcPr>
            <w:tcW w:w="4535" w:type="dxa"/>
            <w:vAlign w:val="center"/>
          </w:tcPr>
          <w:p w14:paraId="27524BD9">
            <w:pPr>
              <w:pStyle w:val="12"/>
            </w:pPr>
          </w:p>
        </w:tc>
        <w:tc>
          <w:tcPr>
            <w:tcW w:w="2126" w:type="dxa"/>
            <w:vAlign w:val="center"/>
          </w:tcPr>
          <w:p w14:paraId="443A60F0">
            <w:pPr>
              <w:pStyle w:val="11"/>
            </w:pPr>
          </w:p>
        </w:tc>
        <w:tc>
          <w:tcPr>
            <w:tcW w:w="4535" w:type="dxa"/>
            <w:vAlign w:val="center"/>
          </w:tcPr>
          <w:p w14:paraId="0C89B7BA">
            <w:pPr>
              <w:pStyle w:val="12"/>
            </w:pPr>
            <w:r>
              <w:t>二十五、其他支出</w:t>
            </w:r>
          </w:p>
        </w:tc>
        <w:tc>
          <w:tcPr>
            <w:tcW w:w="2126" w:type="dxa"/>
            <w:vAlign w:val="center"/>
          </w:tcPr>
          <w:p w14:paraId="52529DBE">
            <w:pPr>
              <w:pStyle w:val="11"/>
            </w:pPr>
          </w:p>
        </w:tc>
      </w:tr>
      <w:tr w14:paraId="144E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1430">
            <w:pPr>
              <w:pStyle w:val="13"/>
            </w:pPr>
            <w:r>
              <w:t>26</w:t>
            </w:r>
          </w:p>
        </w:tc>
        <w:tc>
          <w:tcPr>
            <w:tcW w:w="4535" w:type="dxa"/>
            <w:vAlign w:val="center"/>
          </w:tcPr>
          <w:p w14:paraId="60DF0B6F">
            <w:pPr>
              <w:pStyle w:val="12"/>
            </w:pPr>
          </w:p>
        </w:tc>
        <w:tc>
          <w:tcPr>
            <w:tcW w:w="2126" w:type="dxa"/>
            <w:vAlign w:val="center"/>
          </w:tcPr>
          <w:p w14:paraId="7843B683">
            <w:pPr>
              <w:pStyle w:val="11"/>
            </w:pPr>
          </w:p>
        </w:tc>
        <w:tc>
          <w:tcPr>
            <w:tcW w:w="4535" w:type="dxa"/>
            <w:vAlign w:val="center"/>
          </w:tcPr>
          <w:p w14:paraId="5A790A74">
            <w:pPr>
              <w:pStyle w:val="12"/>
            </w:pPr>
            <w:r>
              <w:t>二十六、转移性支出</w:t>
            </w:r>
          </w:p>
        </w:tc>
        <w:tc>
          <w:tcPr>
            <w:tcW w:w="2126" w:type="dxa"/>
            <w:vAlign w:val="center"/>
          </w:tcPr>
          <w:p w14:paraId="379EB405">
            <w:pPr>
              <w:pStyle w:val="11"/>
            </w:pPr>
          </w:p>
        </w:tc>
      </w:tr>
      <w:tr w14:paraId="6447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8F68E">
            <w:pPr>
              <w:pStyle w:val="13"/>
            </w:pPr>
            <w:r>
              <w:t>27</w:t>
            </w:r>
          </w:p>
        </w:tc>
        <w:tc>
          <w:tcPr>
            <w:tcW w:w="4535" w:type="dxa"/>
            <w:vAlign w:val="center"/>
          </w:tcPr>
          <w:p w14:paraId="3690E272">
            <w:pPr>
              <w:pStyle w:val="12"/>
            </w:pPr>
          </w:p>
        </w:tc>
        <w:tc>
          <w:tcPr>
            <w:tcW w:w="2126" w:type="dxa"/>
            <w:vAlign w:val="center"/>
          </w:tcPr>
          <w:p w14:paraId="52AC1D5B">
            <w:pPr>
              <w:pStyle w:val="11"/>
            </w:pPr>
          </w:p>
        </w:tc>
        <w:tc>
          <w:tcPr>
            <w:tcW w:w="4535" w:type="dxa"/>
            <w:vAlign w:val="center"/>
          </w:tcPr>
          <w:p w14:paraId="141BE781">
            <w:pPr>
              <w:pStyle w:val="12"/>
            </w:pPr>
            <w:r>
              <w:t>二十七、债务还本支出</w:t>
            </w:r>
          </w:p>
        </w:tc>
        <w:tc>
          <w:tcPr>
            <w:tcW w:w="2126" w:type="dxa"/>
            <w:vAlign w:val="center"/>
          </w:tcPr>
          <w:p w14:paraId="1B65D9F0">
            <w:pPr>
              <w:pStyle w:val="11"/>
            </w:pPr>
          </w:p>
        </w:tc>
      </w:tr>
      <w:tr w14:paraId="7E39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A51B7">
            <w:pPr>
              <w:pStyle w:val="13"/>
            </w:pPr>
            <w:r>
              <w:t>28</w:t>
            </w:r>
          </w:p>
        </w:tc>
        <w:tc>
          <w:tcPr>
            <w:tcW w:w="4535" w:type="dxa"/>
            <w:vAlign w:val="center"/>
          </w:tcPr>
          <w:p w14:paraId="79CCC3A8">
            <w:pPr>
              <w:pStyle w:val="12"/>
            </w:pPr>
          </w:p>
        </w:tc>
        <w:tc>
          <w:tcPr>
            <w:tcW w:w="2126" w:type="dxa"/>
            <w:vAlign w:val="center"/>
          </w:tcPr>
          <w:p w14:paraId="3CC7724F">
            <w:pPr>
              <w:pStyle w:val="11"/>
            </w:pPr>
          </w:p>
        </w:tc>
        <w:tc>
          <w:tcPr>
            <w:tcW w:w="4535" w:type="dxa"/>
            <w:vAlign w:val="center"/>
          </w:tcPr>
          <w:p w14:paraId="211E06BF">
            <w:pPr>
              <w:pStyle w:val="12"/>
            </w:pPr>
            <w:r>
              <w:t>二十八、债务付息支出</w:t>
            </w:r>
          </w:p>
        </w:tc>
        <w:tc>
          <w:tcPr>
            <w:tcW w:w="2126" w:type="dxa"/>
            <w:vAlign w:val="center"/>
          </w:tcPr>
          <w:p w14:paraId="71B6BC6C">
            <w:pPr>
              <w:pStyle w:val="11"/>
            </w:pPr>
          </w:p>
        </w:tc>
      </w:tr>
      <w:tr w14:paraId="09AD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96247">
            <w:pPr>
              <w:pStyle w:val="13"/>
            </w:pPr>
            <w:r>
              <w:t>29</w:t>
            </w:r>
          </w:p>
        </w:tc>
        <w:tc>
          <w:tcPr>
            <w:tcW w:w="4535" w:type="dxa"/>
            <w:vAlign w:val="center"/>
          </w:tcPr>
          <w:p w14:paraId="5DDB2CB1">
            <w:pPr>
              <w:pStyle w:val="12"/>
            </w:pPr>
          </w:p>
        </w:tc>
        <w:tc>
          <w:tcPr>
            <w:tcW w:w="2126" w:type="dxa"/>
            <w:vAlign w:val="center"/>
          </w:tcPr>
          <w:p w14:paraId="7C21A111">
            <w:pPr>
              <w:pStyle w:val="11"/>
            </w:pPr>
          </w:p>
        </w:tc>
        <w:tc>
          <w:tcPr>
            <w:tcW w:w="4535" w:type="dxa"/>
            <w:vAlign w:val="center"/>
          </w:tcPr>
          <w:p w14:paraId="52C8FACE">
            <w:pPr>
              <w:pStyle w:val="12"/>
            </w:pPr>
            <w:r>
              <w:t>二十九、债务发行费用支出</w:t>
            </w:r>
          </w:p>
        </w:tc>
        <w:tc>
          <w:tcPr>
            <w:tcW w:w="2126" w:type="dxa"/>
            <w:vAlign w:val="center"/>
          </w:tcPr>
          <w:p w14:paraId="722B0541">
            <w:pPr>
              <w:pStyle w:val="11"/>
            </w:pPr>
          </w:p>
        </w:tc>
      </w:tr>
      <w:tr w14:paraId="2FD9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898EC">
            <w:pPr>
              <w:pStyle w:val="13"/>
            </w:pPr>
            <w:r>
              <w:t>30</w:t>
            </w:r>
          </w:p>
        </w:tc>
        <w:tc>
          <w:tcPr>
            <w:tcW w:w="4535" w:type="dxa"/>
            <w:vAlign w:val="center"/>
          </w:tcPr>
          <w:p w14:paraId="305650D6">
            <w:pPr>
              <w:pStyle w:val="12"/>
            </w:pPr>
          </w:p>
        </w:tc>
        <w:tc>
          <w:tcPr>
            <w:tcW w:w="2126" w:type="dxa"/>
            <w:vAlign w:val="center"/>
          </w:tcPr>
          <w:p w14:paraId="1AFBEA17">
            <w:pPr>
              <w:pStyle w:val="11"/>
            </w:pPr>
          </w:p>
        </w:tc>
        <w:tc>
          <w:tcPr>
            <w:tcW w:w="4535" w:type="dxa"/>
            <w:vAlign w:val="center"/>
          </w:tcPr>
          <w:p w14:paraId="60D3C63B">
            <w:pPr>
              <w:pStyle w:val="12"/>
            </w:pPr>
            <w:r>
              <w:t>三十、抗疫特别国债安排的支出</w:t>
            </w:r>
          </w:p>
        </w:tc>
        <w:tc>
          <w:tcPr>
            <w:tcW w:w="2126" w:type="dxa"/>
            <w:vAlign w:val="center"/>
          </w:tcPr>
          <w:p w14:paraId="3CF399F2">
            <w:pPr>
              <w:pStyle w:val="11"/>
            </w:pPr>
          </w:p>
        </w:tc>
      </w:tr>
      <w:tr w14:paraId="2124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5F454">
            <w:pPr>
              <w:pStyle w:val="13"/>
            </w:pPr>
            <w:r>
              <w:t>31</w:t>
            </w:r>
          </w:p>
        </w:tc>
        <w:tc>
          <w:tcPr>
            <w:tcW w:w="4535" w:type="dxa"/>
            <w:vAlign w:val="center"/>
          </w:tcPr>
          <w:p w14:paraId="253A720C">
            <w:pPr>
              <w:pStyle w:val="14"/>
            </w:pPr>
            <w:r>
              <w:t>本年收入合计</w:t>
            </w:r>
          </w:p>
        </w:tc>
        <w:tc>
          <w:tcPr>
            <w:tcW w:w="2126" w:type="dxa"/>
            <w:vAlign w:val="center"/>
          </w:tcPr>
          <w:p w14:paraId="3ACA7346">
            <w:pPr>
              <w:pStyle w:val="15"/>
            </w:pPr>
            <w:r>
              <w:t>2280.10</w:t>
            </w:r>
          </w:p>
        </w:tc>
        <w:tc>
          <w:tcPr>
            <w:tcW w:w="4535" w:type="dxa"/>
            <w:vAlign w:val="center"/>
          </w:tcPr>
          <w:p w14:paraId="0C7E95E4">
            <w:pPr>
              <w:pStyle w:val="14"/>
            </w:pPr>
            <w:r>
              <w:t>本年支出合计</w:t>
            </w:r>
          </w:p>
        </w:tc>
        <w:tc>
          <w:tcPr>
            <w:tcW w:w="2126" w:type="dxa"/>
            <w:vAlign w:val="center"/>
          </w:tcPr>
          <w:p w14:paraId="40A25E36">
            <w:pPr>
              <w:pStyle w:val="15"/>
            </w:pPr>
            <w:r>
              <w:t>2280.10</w:t>
            </w:r>
          </w:p>
        </w:tc>
      </w:tr>
      <w:tr w14:paraId="6D3C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E6749">
            <w:pPr>
              <w:pStyle w:val="13"/>
            </w:pPr>
            <w:r>
              <w:t>32</w:t>
            </w:r>
          </w:p>
        </w:tc>
        <w:tc>
          <w:tcPr>
            <w:tcW w:w="4535" w:type="dxa"/>
            <w:vAlign w:val="center"/>
          </w:tcPr>
          <w:p w14:paraId="56976C92">
            <w:pPr>
              <w:pStyle w:val="12"/>
            </w:pPr>
            <w:r>
              <w:t>上年结转结余</w:t>
            </w:r>
          </w:p>
        </w:tc>
        <w:tc>
          <w:tcPr>
            <w:tcW w:w="2126" w:type="dxa"/>
            <w:vAlign w:val="center"/>
          </w:tcPr>
          <w:p w14:paraId="45E1C109">
            <w:pPr>
              <w:pStyle w:val="11"/>
            </w:pPr>
          </w:p>
        </w:tc>
        <w:tc>
          <w:tcPr>
            <w:tcW w:w="4535" w:type="dxa"/>
            <w:vAlign w:val="center"/>
          </w:tcPr>
          <w:p w14:paraId="6E44D9A2">
            <w:pPr>
              <w:pStyle w:val="12"/>
            </w:pPr>
            <w:r>
              <w:t>年终结转结余</w:t>
            </w:r>
          </w:p>
        </w:tc>
        <w:tc>
          <w:tcPr>
            <w:tcW w:w="2126" w:type="dxa"/>
            <w:vAlign w:val="center"/>
          </w:tcPr>
          <w:p w14:paraId="4FE5A5AC">
            <w:pPr>
              <w:pStyle w:val="11"/>
            </w:pPr>
          </w:p>
        </w:tc>
      </w:tr>
      <w:tr w14:paraId="50FB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B3F33">
            <w:pPr>
              <w:pStyle w:val="13"/>
            </w:pPr>
            <w:r>
              <w:t>33</w:t>
            </w:r>
          </w:p>
        </w:tc>
        <w:tc>
          <w:tcPr>
            <w:tcW w:w="4535" w:type="dxa"/>
            <w:vAlign w:val="center"/>
          </w:tcPr>
          <w:p w14:paraId="13879BCA">
            <w:pPr>
              <w:pStyle w:val="14"/>
            </w:pPr>
            <w:r>
              <w:t>收入总计</w:t>
            </w:r>
          </w:p>
        </w:tc>
        <w:tc>
          <w:tcPr>
            <w:tcW w:w="2126" w:type="dxa"/>
            <w:vAlign w:val="center"/>
          </w:tcPr>
          <w:p w14:paraId="463B32A5">
            <w:pPr>
              <w:pStyle w:val="15"/>
            </w:pPr>
            <w:r>
              <w:t>2280.10</w:t>
            </w:r>
          </w:p>
        </w:tc>
        <w:tc>
          <w:tcPr>
            <w:tcW w:w="4535" w:type="dxa"/>
            <w:vAlign w:val="center"/>
          </w:tcPr>
          <w:p w14:paraId="62A32FE7">
            <w:pPr>
              <w:pStyle w:val="14"/>
            </w:pPr>
            <w:r>
              <w:t>支出总计</w:t>
            </w:r>
          </w:p>
        </w:tc>
        <w:tc>
          <w:tcPr>
            <w:tcW w:w="2126" w:type="dxa"/>
            <w:vAlign w:val="center"/>
          </w:tcPr>
          <w:p w14:paraId="7B0FB759">
            <w:pPr>
              <w:pStyle w:val="15"/>
            </w:pPr>
            <w:r>
              <w:t>2280.10</w:t>
            </w:r>
          </w:p>
        </w:tc>
      </w:tr>
    </w:tbl>
    <w:p w14:paraId="1D2578DE">
      <w:pPr>
        <w:sectPr>
          <w:pgSz w:w="16840" w:h="11900" w:orient="landscape"/>
          <w:pgMar w:top="1361" w:right="1020" w:bottom="1134" w:left="1020" w:header="720" w:footer="720" w:gutter="0"/>
          <w:cols w:space="720" w:num="1"/>
        </w:sectPr>
      </w:pPr>
    </w:p>
    <w:p w14:paraId="175841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D5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46A7B8">
            <w:pPr>
              <w:pStyle w:val="9"/>
            </w:pPr>
            <w:r>
              <w:t>360010隆尧县固城中学</w:t>
            </w:r>
          </w:p>
        </w:tc>
        <w:tc>
          <w:tcPr>
            <w:tcW w:w="3402" w:type="dxa"/>
            <w:gridSpan w:val="3"/>
            <w:tcBorders>
              <w:top w:val="single" w:color="FFFFFF" w:sz="6" w:space="0"/>
              <w:left w:val="single" w:color="FFFFFF" w:sz="6" w:space="0"/>
              <w:right w:val="single" w:color="FFFFFF" w:sz="6" w:space="0"/>
            </w:tcBorders>
            <w:vAlign w:val="center"/>
          </w:tcPr>
          <w:p w14:paraId="16CD739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5DADD83">
            <w:pPr>
              <w:pStyle w:val="7"/>
            </w:pPr>
            <w:r>
              <w:t>单位：万元</w:t>
            </w:r>
          </w:p>
        </w:tc>
      </w:tr>
      <w:tr w14:paraId="55DA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297C92">
            <w:pPr>
              <w:pStyle w:val="10"/>
            </w:pPr>
            <w:r>
              <w:t>序号</w:t>
            </w:r>
          </w:p>
        </w:tc>
        <w:tc>
          <w:tcPr>
            <w:tcW w:w="2551" w:type="dxa"/>
            <w:gridSpan w:val="2"/>
            <w:vAlign w:val="center"/>
          </w:tcPr>
          <w:p w14:paraId="1BDA7B70">
            <w:pPr>
              <w:pStyle w:val="10"/>
            </w:pPr>
            <w:r>
              <w:t>功能分类科目</w:t>
            </w:r>
          </w:p>
        </w:tc>
        <w:tc>
          <w:tcPr>
            <w:tcW w:w="1134" w:type="dxa"/>
            <w:vMerge w:val="restart"/>
            <w:vAlign w:val="center"/>
          </w:tcPr>
          <w:p w14:paraId="7668B21A">
            <w:pPr>
              <w:pStyle w:val="10"/>
            </w:pPr>
            <w:r>
              <w:t>合计</w:t>
            </w:r>
          </w:p>
        </w:tc>
        <w:tc>
          <w:tcPr>
            <w:tcW w:w="9072" w:type="dxa"/>
            <w:gridSpan w:val="8"/>
            <w:vAlign w:val="center"/>
          </w:tcPr>
          <w:p w14:paraId="3E1E151F">
            <w:pPr>
              <w:pStyle w:val="10"/>
            </w:pPr>
            <w:r>
              <w:t>本年收入</w:t>
            </w:r>
          </w:p>
        </w:tc>
        <w:tc>
          <w:tcPr>
            <w:tcW w:w="1134" w:type="dxa"/>
            <w:vMerge w:val="restart"/>
            <w:vAlign w:val="center"/>
          </w:tcPr>
          <w:p w14:paraId="4E45AAA1">
            <w:pPr>
              <w:pStyle w:val="10"/>
            </w:pPr>
            <w:r>
              <w:t>上年结转</w:t>
            </w:r>
          </w:p>
        </w:tc>
      </w:tr>
      <w:tr w14:paraId="0BD5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FB0B57"/>
        </w:tc>
        <w:tc>
          <w:tcPr>
            <w:tcW w:w="992" w:type="dxa"/>
            <w:vAlign w:val="center"/>
          </w:tcPr>
          <w:p w14:paraId="00FA41CD">
            <w:pPr>
              <w:pStyle w:val="10"/>
            </w:pPr>
            <w:r>
              <w:t>科目    编码</w:t>
            </w:r>
          </w:p>
        </w:tc>
        <w:tc>
          <w:tcPr>
            <w:tcW w:w="1559" w:type="dxa"/>
            <w:vAlign w:val="center"/>
          </w:tcPr>
          <w:p w14:paraId="6271B273">
            <w:pPr>
              <w:pStyle w:val="10"/>
            </w:pPr>
            <w:r>
              <w:t>科目名称</w:t>
            </w:r>
          </w:p>
        </w:tc>
        <w:tc>
          <w:tcPr>
            <w:tcW w:w="1134" w:type="dxa"/>
            <w:vMerge w:val="continue"/>
          </w:tcPr>
          <w:p w14:paraId="19389133"/>
        </w:tc>
        <w:tc>
          <w:tcPr>
            <w:tcW w:w="1134" w:type="dxa"/>
            <w:vAlign w:val="center"/>
          </w:tcPr>
          <w:p w14:paraId="0B0CCBD9">
            <w:pPr>
              <w:pStyle w:val="10"/>
            </w:pPr>
            <w:r>
              <w:t>小计</w:t>
            </w:r>
          </w:p>
        </w:tc>
        <w:tc>
          <w:tcPr>
            <w:tcW w:w="1134" w:type="dxa"/>
            <w:vAlign w:val="center"/>
          </w:tcPr>
          <w:p w14:paraId="4BB60FA9">
            <w:pPr>
              <w:pStyle w:val="10"/>
            </w:pPr>
            <w:r>
              <w:t>财政拨款 收入</w:t>
            </w:r>
          </w:p>
        </w:tc>
        <w:tc>
          <w:tcPr>
            <w:tcW w:w="1134" w:type="dxa"/>
            <w:vAlign w:val="center"/>
          </w:tcPr>
          <w:p w14:paraId="146B3970">
            <w:pPr>
              <w:pStyle w:val="10"/>
            </w:pPr>
            <w:r>
              <w:t>财政专户 收入</w:t>
            </w:r>
          </w:p>
        </w:tc>
        <w:tc>
          <w:tcPr>
            <w:tcW w:w="1134" w:type="dxa"/>
            <w:vAlign w:val="center"/>
          </w:tcPr>
          <w:p w14:paraId="05BC22A6">
            <w:pPr>
              <w:pStyle w:val="10"/>
            </w:pPr>
            <w:r>
              <w:t>事业收入</w:t>
            </w:r>
          </w:p>
        </w:tc>
        <w:tc>
          <w:tcPr>
            <w:tcW w:w="1134" w:type="dxa"/>
            <w:vAlign w:val="center"/>
          </w:tcPr>
          <w:p w14:paraId="2ED3800B">
            <w:pPr>
              <w:pStyle w:val="10"/>
            </w:pPr>
            <w:r>
              <w:t>经营收入</w:t>
            </w:r>
          </w:p>
        </w:tc>
        <w:tc>
          <w:tcPr>
            <w:tcW w:w="1134" w:type="dxa"/>
            <w:vAlign w:val="center"/>
          </w:tcPr>
          <w:p w14:paraId="5F9E03A2">
            <w:pPr>
              <w:pStyle w:val="10"/>
            </w:pPr>
            <w:r>
              <w:t>上级补助收入</w:t>
            </w:r>
          </w:p>
        </w:tc>
        <w:tc>
          <w:tcPr>
            <w:tcW w:w="1134" w:type="dxa"/>
            <w:vAlign w:val="center"/>
          </w:tcPr>
          <w:p w14:paraId="4BCB0131">
            <w:pPr>
              <w:pStyle w:val="10"/>
            </w:pPr>
            <w:r>
              <w:t>附属单位上缴收入</w:t>
            </w:r>
          </w:p>
        </w:tc>
        <w:tc>
          <w:tcPr>
            <w:tcW w:w="1134" w:type="dxa"/>
            <w:vAlign w:val="center"/>
          </w:tcPr>
          <w:p w14:paraId="060AF713">
            <w:pPr>
              <w:pStyle w:val="10"/>
            </w:pPr>
            <w:r>
              <w:t>其他收入</w:t>
            </w:r>
          </w:p>
        </w:tc>
        <w:tc>
          <w:tcPr>
            <w:tcW w:w="1134" w:type="dxa"/>
            <w:vMerge w:val="continue"/>
          </w:tcPr>
          <w:p w14:paraId="1B6DA083"/>
        </w:tc>
      </w:tr>
      <w:tr w14:paraId="4272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05EAA4">
            <w:pPr>
              <w:pStyle w:val="10"/>
            </w:pPr>
            <w:r>
              <w:t>栏次</w:t>
            </w:r>
          </w:p>
        </w:tc>
        <w:tc>
          <w:tcPr>
            <w:tcW w:w="992" w:type="dxa"/>
            <w:vAlign w:val="center"/>
          </w:tcPr>
          <w:p w14:paraId="603FB86E">
            <w:pPr>
              <w:pStyle w:val="10"/>
            </w:pPr>
            <w:r>
              <w:t>1</w:t>
            </w:r>
          </w:p>
        </w:tc>
        <w:tc>
          <w:tcPr>
            <w:tcW w:w="1559" w:type="dxa"/>
            <w:vAlign w:val="center"/>
          </w:tcPr>
          <w:p w14:paraId="449B6A8E">
            <w:pPr>
              <w:pStyle w:val="10"/>
            </w:pPr>
            <w:r>
              <w:t>2</w:t>
            </w:r>
          </w:p>
        </w:tc>
        <w:tc>
          <w:tcPr>
            <w:tcW w:w="1134" w:type="dxa"/>
            <w:vAlign w:val="center"/>
          </w:tcPr>
          <w:p w14:paraId="3E7F9192">
            <w:pPr>
              <w:pStyle w:val="10"/>
            </w:pPr>
            <w:r>
              <w:t>3</w:t>
            </w:r>
          </w:p>
        </w:tc>
        <w:tc>
          <w:tcPr>
            <w:tcW w:w="1134" w:type="dxa"/>
            <w:vAlign w:val="center"/>
          </w:tcPr>
          <w:p w14:paraId="77C4874E">
            <w:pPr>
              <w:pStyle w:val="10"/>
            </w:pPr>
            <w:r>
              <w:t>4</w:t>
            </w:r>
          </w:p>
        </w:tc>
        <w:tc>
          <w:tcPr>
            <w:tcW w:w="1134" w:type="dxa"/>
            <w:vAlign w:val="center"/>
          </w:tcPr>
          <w:p w14:paraId="61DA675D">
            <w:pPr>
              <w:pStyle w:val="10"/>
            </w:pPr>
            <w:r>
              <w:t>5</w:t>
            </w:r>
          </w:p>
        </w:tc>
        <w:tc>
          <w:tcPr>
            <w:tcW w:w="1134" w:type="dxa"/>
            <w:vAlign w:val="center"/>
          </w:tcPr>
          <w:p w14:paraId="72002C53">
            <w:pPr>
              <w:pStyle w:val="10"/>
            </w:pPr>
            <w:r>
              <w:t>6</w:t>
            </w:r>
          </w:p>
        </w:tc>
        <w:tc>
          <w:tcPr>
            <w:tcW w:w="1134" w:type="dxa"/>
            <w:vAlign w:val="center"/>
          </w:tcPr>
          <w:p w14:paraId="1A9D510A">
            <w:pPr>
              <w:pStyle w:val="10"/>
            </w:pPr>
            <w:r>
              <w:t>7</w:t>
            </w:r>
          </w:p>
        </w:tc>
        <w:tc>
          <w:tcPr>
            <w:tcW w:w="1134" w:type="dxa"/>
            <w:vAlign w:val="center"/>
          </w:tcPr>
          <w:p w14:paraId="131A252A">
            <w:pPr>
              <w:pStyle w:val="10"/>
            </w:pPr>
            <w:r>
              <w:t>8</w:t>
            </w:r>
          </w:p>
        </w:tc>
        <w:tc>
          <w:tcPr>
            <w:tcW w:w="1134" w:type="dxa"/>
            <w:vAlign w:val="center"/>
          </w:tcPr>
          <w:p w14:paraId="54DD5B09">
            <w:pPr>
              <w:pStyle w:val="10"/>
            </w:pPr>
            <w:r>
              <w:t>9</w:t>
            </w:r>
          </w:p>
        </w:tc>
        <w:tc>
          <w:tcPr>
            <w:tcW w:w="1134" w:type="dxa"/>
            <w:vAlign w:val="center"/>
          </w:tcPr>
          <w:p w14:paraId="728840C0">
            <w:pPr>
              <w:pStyle w:val="10"/>
            </w:pPr>
            <w:r>
              <w:t>10</w:t>
            </w:r>
          </w:p>
        </w:tc>
        <w:tc>
          <w:tcPr>
            <w:tcW w:w="1134" w:type="dxa"/>
            <w:vAlign w:val="center"/>
          </w:tcPr>
          <w:p w14:paraId="05ADD847">
            <w:pPr>
              <w:pStyle w:val="10"/>
            </w:pPr>
            <w:r>
              <w:t>11</w:t>
            </w:r>
          </w:p>
        </w:tc>
        <w:tc>
          <w:tcPr>
            <w:tcW w:w="1134" w:type="dxa"/>
            <w:vAlign w:val="center"/>
          </w:tcPr>
          <w:p w14:paraId="644D66DD">
            <w:pPr>
              <w:pStyle w:val="10"/>
            </w:pPr>
            <w:r>
              <w:t>12</w:t>
            </w:r>
          </w:p>
        </w:tc>
      </w:tr>
      <w:tr w14:paraId="110C3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D7027">
            <w:pPr>
              <w:pStyle w:val="13"/>
            </w:pPr>
            <w:r>
              <w:t>1</w:t>
            </w:r>
          </w:p>
        </w:tc>
        <w:tc>
          <w:tcPr>
            <w:tcW w:w="992" w:type="dxa"/>
            <w:vAlign w:val="center"/>
          </w:tcPr>
          <w:p w14:paraId="59A6576D">
            <w:pPr>
              <w:pStyle w:val="16"/>
            </w:pPr>
          </w:p>
        </w:tc>
        <w:tc>
          <w:tcPr>
            <w:tcW w:w="1559" w:type="dxa"/>
            <w:vAlign w:val="center"/>
          </w:tcPr>
          <w:p w14:paraId="369C7F5A">
            <w:pPr>
              <w:pStyle w:val="14"/>
            </w:pPr>
            <w:r>
              <w:t>合计</w:t>
            </w:r>
          </w:p>
        </w:tc>
        <w:tc>
          <w:tcPr>
            <w:tcW w:w="1134" w:type="dxa"/>
            <w:vAlign w:val="center"/>
          </w:tcPr>
          <w:p w14:paraId="2013676F">
            <w:pPr>
              <w:pStyle w:val="15"/>
            </w:pPr>
            <w:r>
              <w:t>2280.10</w:t>
            </w:r>
          </w:p>
        </w:tc>
        <w:tc>
          <w:tcPr>
            <w:tcW w:w="1134" w:type="dxa"/>
            <w:vAlign w:val="center"/>
          </w:tcPr>
          <w:p w14:paraId="7F084A69">
            <w:pPr>
              <w:pStyle w:val="15"/>
            </w:pPr>
            <w:r>
              <w:t>2280.10</w:t>
            </w:r>
          </w:p>
        </w:tc>
        <w:tc>
          <w:tcPr>
            <w:tcW w:w="1134" w:type="dxa"/>
            <w:vAlign w:val="center"/>
          </w:tcPr>
          <w:p w14:paraId="62EE02D5">
            <w:pPr>
              <w:pStyle w:val="15"/>
            </w:pPr>
            <w:r>
              <w:t>2280.10</w:t>
            </w:r>
          </w:p>
        </w:tc>
        <w:tc>
          <w:tcPr>
            <w:tcW w:w="1134" w:type="dxa"/>
            <w:vAlign w:val="center"/>
          </w:tcPr>
          <w:p w14:paraId="40833067">
            <w:pPr>
              <w:pStyle w:val="15"/>
            </w:pPr>
          </w:p>
        </w:tc>
        <w:tc>
          <w:tcPr>
            <w:tcW w:w="1134" w:type="dxa"/>
            <w:vAlign w:val="center"/>
          </w:tcPr>
          <w:p w14:paraId="4E1727B3">
            <w:pPr>
              <w:pStyle w:val="15"/>
            </w:pPr>
          </w:p>
        </w:tc>
        <w:tc>
          <w:tcPr>
            <w:tcW w:w="1134" w:type="dxa"/>
            <w:vAlign w:val="center"/>
          </w:tcPr>
          <w:p w14:paraId="7677C6C5">
            <w:pPr>
              <w:pStyle w:val="15"/>
            </w:pPr>
          </w:p>
        </w:tc>
        <w:tc>
          <w:tcPr>
            <w:tcW w:w="1134" w:type="dxa"/>
            <w:vAlign w:val="center"/>
          </w:tcPr>
          <w:p w14:paraId="4861C320">
            <w:pPr>
              <w:pStyle w:val="15"/>
            </w:pPr>
          </w:p>
        </w:tc>
        <w:tc>
          <w:tcPr>
            <w:tcW w:w="1134" w:type="dxa"/>
            <w:vAlign w:val="center"/>
          </w:tcPr>
          <w:p w14:paraId="10E6B8E3">
            <w:pPr>
              <w:pStyle w:val="15"/>
            </w:pPr>
          </w:p>
        </w:tc>
        <w:tc>
          <w:tcPr>
            <w:tcW w:w="1134" w:type="dxa"/>
            <w:vAlign w:val="center"/>
          </w:tcPr>
          <w:p w14:paraId="61F01288">
            <w:pPr>
              <w:pStyle w:val="15"/>
            </w:pPr>
          </w:p>
        </w:tc>
        <w:tc>
          <w:tcPr>
            <w:tcW w:w="1134" w:type="dxa"/>
            <w:vAlign w:val="center"/>
          </w:tcPr>
          <w:p w14:paraId="1590E468">
            <w:pPr>
              <w:pStyle w:val="15"/>
            </w:pPr>
          </w:p>
        </w:tc>
      </w:tr>
      <w:tr w14:paraId="770D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47E36">
            <w:pPr>
              <w:pStyle w:val="13"/>
            </w:pPr>
            <w:r>
              <w:t>2</w:t>
            </w:r>
          </w:p>
        </w:tc>
        <w:tc>
          <w:tcPr>
            <w:tcW w:w="992" w:type="dxa"/>
            <w:vAlign w:val="center"/>
          </w:tcPr>
          <w:p w14:paraId="121ACAEA">
            <w:pPr>
              <w:pStyle w:val="12"/>
            </w:pPr>
            <w:r>
              <w:t>205</w:t>
            </w:r>
          </w:p>
        </w:tc>
        <w:tc>
          <w:tcPr>
            <w:tcW w:w="1559" w:type="dxa"/>
            <w:vAlign w:val="center"/>
          </w:tcPr>
          <w:p w14:paraId="6CE82A40">
            <w:pPr>
              <w:pStyle w:val="12"/>
            </w:pPr>
            <w:r>
              <w:t>教育支出</w:t>
            </w:r>
          </w:p>
        </w:tc>
        <w:tc>
          <w:tcPr>
            <w:tcW w:w="1134" w:type="dxa"/>
            <w:vAlign w:val="center"/>
          </w:tcPr>
          <w:p w14:paraId="35F87B79">
            <w:pPr>
              <w:pStyle w:val="11"/>
            </w:pPr>
            <w:r>
              <w:t>2280.10</w:t>
            </w:r>
          </w:p>
        </w:tc>
        <w:tc>
          <w:tcPr>
            <w:tcW w:w="1134" w:type="dxa"/>
            <w:vAlign w:val="center"/>
          </w:tcPr>
          <w:p w14:paraId="7E9331D2">
            <w:pPr>
              <w:pStyle w:val="11"/>
            </w:pPr>
            <w:r>
              <w:t>2280.10</w:t>
            </w:r>
          </w:p>
        </w:tc>
        <w:tc>
          <w:tcPr>
            <w:tcW w:w="1134" w:type="dxa"/>
            <w:vAlign w:val="center"/>
          </w:tcPr>
          <w:p w14:paraId="53CBCF1F">
            <w:pPr>
              <w:pStyle w:val="11"/>
            </w:pPr>
            <w:r>
              <w:t>2280.10</w:t>
            </w:r>
          </w:p>
        </w:tc>
        <w:tc>
          <w:tcPr>
            <w:tcW w:w="1134" w:type="dxa"/>
            <w:vAlign w:val="center"/>
          </w:tcPr>
          <w:p w14:paraId="4C72984C">
            <w:pPr>
              <w:pStyle w:val="11"/>
            </w:pPr>
          </w:p>
        </w:tc>
        <w:tc>
          <w:tcPr>
            <w:tcW w:w="1134" w:type="dxa"/>
            <w:vAlign w:val="center"/>
          </w:tcPr>
          <w:p w14:paraId="3ACA6D00">
            <w:pPr>
              <w:pStyle w:val="11"/>
            </w:pPr>
          </w:p>
        </w:tc>
        <w:tc>
          <w:tcPr>
            <w:tcW w:w="1134" w:type="dxa"/>
            <w:vAlign w:val="center"/>
          </w:tcPr>
          <w:p w14:paraId="380426C1">
            <w:pPr>
              <w:pStyle w:val="11"/>
            </w:pPr>
          </w:p>
        </w:tc>
        <w:tc>
          <w:tcPr>
            <w:tcW w:w="1134" w:type="dxa"/>
            <w:vAlign w:val="center"/>
          </w:tcPr>
          <w:p w14:paraId="53A83A57">
            <w:pPr>
              <w:pStyle w:val="11"/>
            </w:pPr>
          </w:p>
        </w:tc>
        <w:tc>
          <w:tcPr>
            <w:tcW w:w="1134" w:type="dxa"/>
            <w:vAlign w:val="center"/>
          </w:tcPr>
          <w:p w14:paraId="51D2EFB0">
            <w:pPr>
              <w:pStyle w:val="11"/>
            </w:pPr>
          </w:p>
        </w:tc>
        <w:tc>
          <w:tcPr>
            <w:tcW w:w="1134" w:type="dxa"/>
            <w:vAlign w:val="center"/>
          </w:tcPr>
          <w:p w14:paraId="5639E6E8">
            <w:pPr>
              <w:pStyle w:val="11"/>
            </w:pPr>
          </w:p>
        </w:tc>
        <w:tc>
          <w:tcPr>
            <w:tcW w:w="1134" w:type="dxa"/>
            <w:vAlign w:val="center"/>
          </w:tcPr>
          <w:p w14:paraId="52A8B5EA">
            <w:pPr>
              <w:pStyle w:val="11"/>
            </w:pPr>
          </w:p>
        </w:tc>
      </w:tr>
      <w:tr w14:paraId="0CCD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3EE083">
            <w:pPr>
              <w:pStyle w:val="13"/>
            </w:pPr>
            <w:r>
              <w:t>3</w:t>
            </w:r>
          </w:p>
        </w:tc>
        <w:tc>
          <w:tcPr>
            <w:tcW w:w="992" w:type="dxa"/>
            <w:vAlign w:val="center"/>
          </w:tcPr>
          <w:p w14:paraId="45283289">
            <w:pPr>
              <w:pStyle w:val="12"/>
            </w:pPr>
            <w:r>
              <w:t>20502</w:t>
            </w:r>
          </w:p>
        </w:tc>
        <w:tc>
          <w:tcPr>
            <w:tcW w:w="1559" w:type="dxa"/>
            <w:vAlign w:val="center"/>
          </w:tcPr>
          <w:p w14:paraId="4BB66145">
            <w:pPr>
              <w:pStyle w:val="12"/>
            </w:pPr>
            <w:r>
              <w:t>普通教育</w:t>
            </w:r>
          </w:p>
        </w:tc>
        <w:tc>
          <w:tcPr>
            <w:tcW w:w="1134" w:type="dxa"/>
            <w:vAlign w:val="center"/>
          </w:tcPr>
          <w:p w14:paraId="67419B8A">
            <w:pPr>
              <w:pStyle w:val="11"/>
            </w:pPr>
            <w:r>
              <w:t>2280.10</w:t>
            </w:r>
          </w:p>
        </w:tc>
        <w:tc>
          <w:tcPr>
            <w:tcW w:w="1134" w:type="dxa"/>
            <w:vAlign w:val="center"/>
          </w:tcPr>
          <w:p w14:paraId="035FA2D1">
            <w:pPr>
              <w:pStyle w:val="11"/>
            </w:pPr>
            <w:r>
              <w:t>2280.10</w:t>
            </w:r>
          </w:p>
        </w:tc>
        <w:tc>
          <w:tcPr>
            <w:tcW w:w="1134" w:type="dxa"/>
            <w:vAlign w:val="center"/>
          </w:tcPr>
          <w:p w14:paraId="716A643C">
            <w:pPr>
              <w:pStyle w:val="11"/>
            </w:pPr>
            <w:r>
              <w:t>2280.10</w:t>
            </w:r>
          </w:p>
        </w:tc>
        <w:tc>
          <w:tcPr>
            <w:tcW w:w="1134" w:type="dxa"/>
            <w:vAlign w:val="center"/>
          </w:tcPr>
          <w:p w14:paraId="541C0F1F">
            <w:pPr>
              <w:pStyle w:val="11"/>
            </w:pPr>
          </w:p>
        </w:tc>
        <w:tc>
          <w:tcPr>
            <w:tcW w:w="1134" w:type="dxa"/>
            <w:vAlign w:val="center"/>
          </w:tcPr>
          <w:p w14:paraId="79A3B4BD">
            <w:pPr>
              <w:pStyle w:val="11"/>
            </w:pPr>
          </w:p>
        </w:tc>
        <w:tc>
          <w:tcPr>
            <w:tcW w:w="1134" w:type="dxa"/>
            <w:vAlign w:val="center"/>
          </w:tcPr>
          <w:p w14:paraId="6B7B8E5C">
            <w:pPr>
              <w:pStyle w:val="11"/>
            </w:pPr>
          </w:p>
        </w:tc>
        <w:tc>
          <w:tcPr>
            <w:tcW w:w="1134" w:type="dxa"/>
            <w:vAlign w:val="center"/>
          </w:tcPr>
          <w:p w14:paraId="2D907554">
            <w:pPr>
              <w:pStyle w:val="11"/>
            </w:pPr>
          </w:p>
        </w:tc>
        <w:tc>
          <w:tcPr>
            <w:tcW w:w="1134" w:type="dxa"/>
            <w:vAlign w:val="center"/>
          </w:tcPr>
          <w:p w14:paraId="407C273C">
            <w:pPr>
              <w:pStyle w:val="11"/>
            </w:pPr>
          </w:p>
        </w:tc>
        <w:tc>
          <w:tcPr>
            <w:tcW w:w="1134" w:type="dxa"/>
            <w:vAlign w:val="center"/>
          </w:tcPr>
          <w:p w14:paraId="14016505">
            <w:pPr>
              <w:pStyle w:val="11"/>
            </w:pPr>
          </w:p>
        </w:tc>
        <w:tc>
          <w:tcPr>
            <w:tcW w:w="1134" w:type="dxa"/>
            <w:vAlign w:val="center"/>
          </w:tcPr>
          <w:p w14:paraId="07033A30">
            <w:pPr>
              <w:pStyle w:val="11"/>
            </w:pPr>
          </w:p>
        </w:tc>
      </w:tr>
      <w:tr w14:paraId="621E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7027A">
            <w:pPr>
              <w:pStyle w:val="13"/>
            </w:pPr>
            <w:r>
              <w:t>4</w:t>
            </w:r>
          </w:p>
        </w:tc>
        <w:tc>
          <w:tcPr>
            <w:tcW w:w="992" w:type="dxa"/>
            <w:vAlign w:val="center"/>
          </w:tcPr>
          <w:p w14:paraId="37A7FBF8">
            <w:pPr>
              <w:pStyle w:val="12"/>
            </w:pPr>
            <w:r>
              <w:t>2050203</w:t>
            </w:r>
          </w:p>
        </w:tc>
        <w:tc>
          <w:tcPr>
            <w:tcW w:w="1559" w:type="dxa"/>
            <w:vAlign w:val="center"/>
          </w:tcPr>
          <w:p w14:paraId="54E26777">
            <w:pPr>
              <w:pStyle w:val="12"/>
            </w:pPr>
            <w:r>
              <w:t>初中教育</w:t>
            </w:r>
          </w:p>
        </w:tc>
        <w:tc>
          <w:tcPr>
            <w:tcW w:w="1134" w:type="dxa"/>
            <w:vAlign w:val="center"/>
          </w:tcPr>
          <w:p w14:paraId="123A19BE">
            <w:pPr>
              <w:pStyle w:val="11"/>
            </w:pPr>
            <w:r>
              <w:t>2280.10</w:t>
            </w:r>
          </w:p>
        </w:tc>
        <w:tc>
          <w:tcPr>
            <w:tcW w:w="1134" w:type="dxa"/>
            <w:vAlign w:val="center"/>
          </w:tcPr>
          <w:p w14:paraId="7D948ADB">
            <w:pPr>
              <w:pStyle w:val="11"/>
            </w:pPr>
            <w:r>
              <w:t>2280.10</w:t>
            </w:r>
          </w:p>
        </w:tc>
        <w:tc>
          <w:tcPr>
            <w:tcW w:w="1134" w:type="dxa"/>
            <w:vAlign w:val="center"/>
          </w:tcPr>
          <w:p w14:paraId="09DD411E">
            <w:pPr>
              <w:pStyle w:val="11"/>
            </w:pPr>
            <w:r>
              <w:t>2280.10</w:t>
            </w:r>
          </w:p>
        </w:tc>
        <w:tc>
          <w:tcPr>
            <w:tcW w:w="1134" w:type="dxa"/>
            <w:vAlign w:val="center"/>
          </w:tcPr>
          <w:p w14:paraId="4822D5F8">
            <w:pPr>
              <w:pStyle w:val="11"/>
            </w:pPr>
          </w:p>
        </w:tc>
        <w:tc>
          <w:tcPr>
            <w:tcW w:w="1134" w:type="dxa"/>
            <w:vAlign w:val="center"/>
          </w:tcPr>
          <w:p w14:paraId="74F7068D">
            <w:pPr>
              <w:pStyle w:val="11"/>
            </w:pPr>
          </w:p>
        </w:tc>
        <w:tc>
          <w:tcPr>
            <w:tcW w:w="1134" w:type="dxa"/>
            <w:vAlign w:val="center"/>
          </w:tcPr>
          <w:p w14:paraId="1AE2F375">
            <w:pPr>
              <w:pStyle w:val="11"/>
            </w:pPr>
          </w:p>
        </w:tc>
        <w:tc>
          <w:tcPr>
            <w:tcW w:w="1134" w:type="dxa"/>
            <w:vAlign w:val="center"/>
          </w:tcPr>
          <w:p w14:paraId="72FCCC91">
            <w:pPr>
              <w:pStyle w:val="11"/>
            </w:pPr>
          </w:p>
        </w:tc>
        <w:tc>
          <w:tcPr>
            <w:tcW w:w="1134" w:type="dxa"/>
            <w:vAlign w:val="center"/>
          </w:tcPr>
          <w:p w14:paraId="33BFC9A8">
            <w:pPr>
              <w:pStyle w:val="11"/>
            </w:pPr>
          </w:p>
        </w:tc>
        <w:tc>
          <w:tcPr>
            <w:tcW w:w="1134" w:type="dxa"/>
            <w:vAlign w:val="center"/>
          </w:tcPr>
          <w:p w14:paraId="50BADF06">
            <w:pPr>
              <w:pStyle w:val="11"/>
            </w:pPr>
          </w:p>
        </w:tc>
        <w:tc>
          <w:tcPr>
            <w:tcW w:w="1134" w:type="dxa"/>
            <w:vAlign w:val="center"/>
          </w:tcPr>
          <w:p w14:paraId="295BC776">
            <w:pPr>
              <w:pStyle w:val="11"/>
            </w:pPr>
          </w:p>
        </w:tc>
      </w:tr>
    </w:tbl>
    <w:p w14:paraId="1DB944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74A5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71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0DC9AB">
            <w:pPr>
              <w:pStyle w:val="9"/>
            </w:pPr>
            <w:r>
              <w:t>360010隆尧县固城中学</w:t>
            </w:r>
          </w:p>
        </w:tc>
        <w:tc>
          <w:tcPr>
            <w:tcW w:w="2722" w:type="dxa"/>
            <w:gridSpan w:val="2"/>
            <w:tcBorders>
              <w:top w:val="single" w:color="FFFFFF" w:sz="6" w:space="0"/>
              <w:left w:val="single" w:color="FFFFFF" w:sz="6" w:space="0"/>
              <w:right w:val="single" w:color="FFFFFF" w:sz="6" w:space="0"/>
            </w:tcBorders>
            <w:vAlign w:val="center"/>
          </w:tcPr>
          <w:p w14:paraId="424F8F9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8B3E5A3">
            <w:pPr>
              <w:pStyle w:val="7"/>
            </w:pPr>
            <w:r>
              <w:t>单位：万元</w:t>
            </w:r>
          </w:p>
        </w:tc>
      </w:tr>
      <w:tr w14:paraId="7A4C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B0E34">
            <w:pPr>
              <w:pStyle w:val="10"/>
            </w:pPr>
            <w:r>
              <w:t>序号</w:t>
            </w:r>
          </w:p>
        </w:tc>
        <w:tc>
          <w:tcPr>
            <w:tcW w:w="5527" w:type="dxa"/>
            <w:gridSpan w:val="2"/>
            <w:vAlign w:val="center"/>
          </w:tcPr>
          <w:p w14:paraId="6A8E6B69">
            <w:pPr>
              <w:pStyle w:val="10"/>
            </w:pPr>
            <w:r>
              <w:t>功能分类科目</w:t>
            </w:r>
          </w:p>
        </w:tc>
        <w:tc>
          <w:tcPr>
            <w:tcW w:w="1361" w:type="dxa"/>
            <w:vMerge w:val="restart"/>
            <w:vAlign w:val="center"/>
          </w:tcPr>
          <w:p w14:paraId="40FED986">
            <w:pPr>
              <w:pStyle w:val="10"/>
            </w:pPr>
            <w:r>
              <w:t>合计</w:t>
            </w:r>
          </w:p>
        </w:tc>
        <w:tc>
          <w:tcPr>
            <w:tcW w:w="1361" w:type="dxa"/>
            <w:vMerge w:val="restart"/>
            <w:vAlign w:val="center"/>
          </w:tcPr>
          <w:p w14:paraId="4AC68504">
            <w:pPr>
              <w:pStyle w:val="10"/>
            </w:pPr>
            <w:r>
              <w:t>基本支出</w:t>
            </w:r>
          </w:p>
        </w:tc>
        <w:tc>
          <w:tcPr>
            <w:tcW w:w="1361" w:type="dxa"/>
            <w:vMerge w:val="restart"/>
            <w:vAlign w:val="center"/>
          </w:tcPr>
          <w:p w14:paraId="2BF5687B">
            <w:pPr>
              <w:pStyle w:val="10"/>
            </w:pPr>
            <w:r>
              <w:t>项目支出</w:t>
            </w:r>
          </w:p>
        </w:tc>
        <w:tc>
          <w:tcPr>
            <w:tcW w:w="1361" w:type="dxa"/>
            <w:vMerge w:val="restart"/>
            <w:vAlign w:val="center"/>
          </w:tcPr>
          <w:p w14:paraId="08EEA4D4">
            <w:pPr>
              <w:pStyle w:val="10"/>
            </w:pPr>
            <w:r>
              <w:t>经营支出</w:t>
            </w:r>
          </w:p>
        </w:tc>
        <w:tc>
          <w:tcPr>
            <w:tcW w:w="1361" w:type="dxa"/>
            <w:vMerge w:val="restart"/>
            <w:vAlign w:val="center"/>
          </w:tcPr>
          <w:p w14:paraId="39A5C00D">
            <w:pPr>
              <w:pStyle w:val="10"/>
            </w:pPr>
            <w:r>
              <w:t>上解上级     支出</w:t>
            </w:r>
          </w:p>
        </w:tc>
        <w:tc>
          <w:tcPr>
            <w:tcW w:w="1361" w:type="dxa"/>
            <w:vMerge w:val="restart"/>
            <w:vAlign w:val="center"/>
          </w:tcPr>
          <w:p w14:paraId="218D1890">
            <w:pPr>
              <w:pStyle w:val="10"/>
            </w:pPr>
            <w:r>
              <w:t>对附属单位补助支出</w:t>
            </w:r>
          </w:p>
        </w:tc>
      </w:tr>
      <w:tr w14:paraId="085F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02329"/>
        </w:tc>
        <w:tc>
          <w:tcPr>
            <w:tcW w:w="992" w:type="dxa"/>
            <w:vAlign w:val="center"/>
          </w:tcPr>
          <w:p w14:paraId="77215DC8">
            <w:pPr>
              <w:pStyle w:val="10"/>
            </w:pPr>
            <w:r>
              <w:t>科目    编码</w:t>
            </w:r>
          </w:p>
        </w:tc>
        <w:tc>
          <w:tcPr>
            <w:tcW w:w="4535" w:type="dxa"/>
            <w:vAlign w:val="center"/>
          </w:tcPr>
          <w:p w14:paraId="0AFB4CD5">
            <w:pPr>
              <w:pStyle w:val="10"/>
            </w:pPr>
            <w:r>
              <w:t>科目名称</w:t>
            </w:r>
          </w:p>
        </w:tc>
        <w:tc>
          <w:tcPr>
            <w:tcW w:w="1361" w:type="dxa"/>
            <w:vMerge w:val="continue"/>
          </w:tcPr>
          <w:p w14:paraId="28A15102"/>
        </w:tc>
        <w:tc>
          <w:tcPr>
            <w:tcW w:w="1361" w:type="dxa"/>
            <w:vMerge w:val="continue"/>
          </w:tcPr>
          <w:p w14:paraId="5A75365A"/>
        </w:tc>
        <w:tc>
          <w:tcPr>
            <w:tcW w:w="1361" w:type="dxa"/>
            <w:vMerge w:val="continue"/>
          </w:tcPr>
          <w:p w14:paraId="1E77A0DF"/>
        </w:tc>
        <w:tc>
          <w:tcPr>
            <w:tcW w:w="1361" w:type="dxa"/>
            <w:vMerge w:val="continue"/>
          </w:tcPr>
          <w:p w14:paraId="14DF4B20"/>
        </w:tc>
        <w:tc>
          <w:tcPr>
            <w:tcW w:w="1361" w:type="dxa"/>
            <w:vMerge w:val="continue"/>
          </w:tcPr>
          <w:p w14:paraId="22EAD274"/>
        </w:tc>
        <w:tc>
          <w:tcPr>
            <w:tcW w:w="1361" w:type="dxa"/>
            <w:vMerge w:val="continue"/>
          </w:tcPr>
          <w:p w14:paraId="1D17166F"/>
        </w:tc>
      </w:tr>
      <w:tr w14:paraId="69C7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C52EB">
            <w:pPr>
              <w:pStyle w:val="10"/>
            </w:pPr>
            <w:r>
              <w:t>栏次</w:t>
            </w:r>
          </w:p>
        </w:tc>
        <w:tc>
          <w:tcPr>
            <w:tcW w:w="992" w:type="dxa"/>
            <w:vAlign w:val="center"/>
          </w:tcPr>
          <w:p w14:paraId="10120F08">
            <w:pPr>
              <w:pStyle w:val="10"/>
            </w:pPr>
            <w:r>
              <w:t>1</w:t>
            </w:r>
          </w:p>
        </w:tc>
        <w:tc>
          <w:tcPr>
            <w:tcW w:w="4535" w:type="dxa"/>
            <w:vAlign w:val="center"/>
          </w:tcPr>
          <w:p w14:paraId="4E5A377B">
            <w:pPr>
              <w:pStyle w:val="10"/>
            </w:pPr>
            <w:r>
              <w:t>2</w:t>
            </w:r>
          </w:p>
        </w:tc>
        <w:tc>
          <w:tcPr>
            <w:tcW w:w="1361" w:type="dxa"/>
            <w:vAlign w:val="center"/>
          </w:tcPr>
          <w:p w14:paraId="0987B418">
            <w:pPr>
              <w:pStyle w:val="10"/>
            </w:pPr>
            <w:r>
              <w:t>3</w:t>
            </w:r>
          </w:p>
        </w:tc>
        <w:tc>
          <w:tcPr>
            <w:tcW w:w="1361" w:type="dxa"/>
            <w:vAlign w:val="center"/>
          </w:tcPr>
          <w:p w14:paraId="6AA34F9A">
            <w:pPr>
              <w:pStyle w:val="10"/>
            </w:pPr>
            <w:r>
              <w:t>4</w:t>
            </w:r>
          </w:p>
        </w:tc>
        <w:tc>
          <w:tcPr>
            <w:tcW w:w="1361" w:type="dxa"/>
            <w:vAlign w:val="center"/>
          </w:tcPr>
          <w:p w14:paraId="74E2A992">
            <w:pPr>
              <w:pStyle w:val="10"/>
            </w:pPr>
            <w:r>
              <w:t>5</w:t>
            </w:r>
          </w:p>
        </w:tc>
        <w:tc>
          <w:tcPr>
            <w:tcW w:w="1361" w:type="dxa"/>
            <w:vAlign w:val="center"/>
          </w:tcPr>
          <w:p w14:paraId="51A0989A">
            <w:pPr>
              <w:pStyle w:val="10"/>
            </w:pPr>
            <w:r>
              <w:t>6</w:t>
            </w:r>
          </w:p>
        </w:tc>
        <w:tc>
          <w:tcPr>
            <w:tcW w:w="1361" w:type="dxa"/>
            <w:vAlign w:val="center"/>
          </w:tcPr>
          <w:p w14:paraId="6D6B46D7">
            <w:pPr>
              <w:pStyle w:val="10"/>
            </w:pPr>
            <w:r>
              <w:t>7</w:t>
            </w:r>
          </w:p>
        </w:tc>
        <w:tc>
          <w:tcPr>
            <w:tcW w:w="1361" w:type="dxa"/>
            <w:vAlign w:val="center"/>
          </w:tcPr>
          <w:p w14:paraId="45E7A8BC">
            <w:pPr>
              <w:pStyle w:val="10"/>
            </w:pPr>
            <w:r>
              <w:t>8</w:t>
            </w:r>
          </w:p>
        </w:tc>
      </w:tr>
      <w:tr w14:paraId="5C28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733DC">
            <w:pPr>
              <w:pStyle w:val="13"/>
            </w:pPr>
            <w:r>
              <w:t>1</w:t>
            </w:r>
          </w:p>
        </w:tc>
        <w:tc>
          <w:tcPr>
            <w:tcW w:w="992" w:type="dxa"/>
            <w:vAlign w:val="center"/>
          </w:tcPr>
          <w:p w14:paraId="5A7CDE81">
            <w:pPr>
              <w:pStyle w:val="16"/>
            </w:pPr>
          </w:p>
        </w:tc>
        <w:tc>
          <w:tcPr>
            <w:tcW w:w="4535" w:type="dxa"/>
            <w:vAlign w:val="center"/>
          </w:tcPr>
          <w:p w14:paraId="6A70751F">
            <w:pPr>
              <w:pStyle w:val="14"/>
            </w:pPr>
            <w:r>
              <w:t>合计</w:t>
            </w:r>
          </w:p>
        </w:tc>
        <w:tc>
          <w:tcPr>
            <w:tcW w:w="1361" w:type="dxa"/>
            <w:vAlign w:val="center"/>
          </w:tcPr>
          <w:p w14:paraId="0FF8ECF4">
            <w:pPr>
              <w:pStyle w:val="15"/>
            </w:pPr>
            <w:r>
              <w:t>2280.10</w:t>
            </w:r>
          </w:p>
        </w:tc>
        <w:tc>
          <w:tcPr>
            <w:tcW w:w="1361" w:type="dxa"/>
            <w:vAlign w:val="center"/>
          </w:tcPr>
          <w:p w14:paraId="3AC4F89F">
            <w:pPr>
              <w:pStyle w:val="15"/>
            </w:pPr>
            <w:r>
              <w:t>1915.52</w:t>
            </w:r>
          </w:p>
        </w:tc>
        <w:tc>
          <w:tcPr>
            <w:tcW w:w="1361" w:type="dxa"/>
            <w:vAlign w:val="center"/>
          </w:tcPr>
          <w:p w14:paraId="2865F349">
            <w:pPr>
              <w:pStyle w:val="15"/>
            </w:pPr>
            <w:r>
              <w:t>364.58</w:t>
            </w:r>
          </w:p>
        </w:tc>
        <w:tc>
          <w:tcPr>
            <w:tcW w:w="1361" w:type="dxa"/>
            <w:vAlign w:val="center"/>
          </w:tcPr>
          <w:p w14:paraId="5E34A16E">
            <w:pPr>
              <w:pStyle w:val="15"/>
            </w:pPr>
          </w:p>
        </w:tc>
        <w:tc>
          <w:tcPr>
            <w:tcW w:w="1361" w:type="dxa"/>
            <w:vAlign w:val="center"/>
          </w:tcPr>
          <w:p w14:paraId="1B2898A3">
            <w:pPr>
              <w:pStyle w:val="15"/>
            </w:pPr>
          </w:p>
        </w:tc>
        <w:tc>
          <w:tcPr>
            <w:tcW w:w="1361" w:type="dxa"/>
            <w:vAlign w:val="center"/>
          </w:tcPr>
          <w:p w14:paraId="535E9CFA">
            <w:pPr>
              <w:pStyle w:val="15"/>
            </w:pPr>
          </w:p>
        </w:tc>
      </w:tr>
      <w:tr w14:paraId="4AB6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D4151">
            <w:pPr>
              <w:pStyle w:val="13"/>
            </w:pPr>
            <w:r>
              <w:t>2</w:t>
            </w:r>
          </w:p>
        </w:tc>
        <w:tc>
          <w:tcPr>
            <w:tcW w:w="992" w:type="dxa"/>
            <w:vAlign w:val="center"/>
          </w:tcPr>
          <w:p w14:paraId="01FD4663">
            <w:pPr>
              <w:pStyle w:val="12"/>
            </w:pPr>
            <w:r>
              <w:t>205</w:t>
            </w:r>
          </w:p>
        </w:tc>
        <w:tc>
          <w:tcPr>
            <w:tcW w:w="4535" w:type="dxa"/>
            <w:vAlign w:val="center"/>
          </w:tcPr>
          <w:p w14:paraId="0586DD39">
            <w:pPr>
              <w:pStyle w:val="12"/>
            </w:pPr>
            <w:r>
              <w:t>教育支出</w:t>
            </w:r>
          </w:p>
        </w:tc>
        <w:tc>
          <w:tcPr>
            <w:tcW w:w="1361" w:type="dxa"/>
            <w:vAlign w:val="center"/>
          </w:tcPr>
          <w:p w14:paraId="22139A6B">
            <w:pPr>
              <w:pStyle w:val="11"/>
            </w:pPr>
            <w:r>
              <w:t>2280.10</w:t>
            </w:r>
          </w:p>
        </w:tc>
        <w:tc>
          <w:tcPr>
            <w:tcW w:w="1361" w:type="dxa"/>
            <w:vAlign w:val="center"/>
          </w:tcPr>
          <w:p w14:paraId="6E3714B4">
            <w:pPr>
              <w:pStyle w:val="11"/>
            </w:pPr>
            <w:r>
              <w:t>1915.52</w:t>
            </w:r>
          </w:p>
        </w:tc>
        <w:tc>
          <w:tcPr>
            <w:tcW w:w="1361" w:type="dxa"/>
            <w:vAlign w:val="center"/>
          </w:tcPr>
          <w:p w14:paraId="7945FACD">
            <w:pPr>
              <w:pStyle w:val="11"/>
            </w:pPr>
            <w:r>
              <w:t>364.58</w:t>
            </w:r>
          </w:p>
        </w:tc>
        <w:tc>
          <w:tcPr>
            <w:tcW w:w="1361" w:type="dxa"/>
            <w:vAlign w:val="center"/>
          </w:tcPr>
          <w:p w14:paraId="4D4B0832">
            <w:pPr>
              <w:pStyle w:val="11"/>
            </w:pPr>
          </w:p>
        </w:tc>
        <w:tc>
          <w:tcPr>
            <w:tcW w:w="1361" w:type="dxa"/>
            <w:vAlign w:val="center"/>
          </w:tcPr>
          <w:p w14:paraId="2D53AC2F">
            <w:pPr>
              <w:pStyle w:val="11"/>
            </w:pPr>
          </w:p>
        </w:tc>
        <w:tc>
          <w:tcPr>
            <w:tcW w:w="1361" w:type="dxa"/>
            <w:vAlign w:val="center"/>
          </w:tcPr>
          <w:p w14:paraId="6373036D">
            <w:pPr>
              <w:pStyle w:val="11"/>
            </w:pPr>
          </w:p>
        </w:tc>
      </w:tr>
      <w:tr w14:paraId="2A14B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14B6">
            <w:pPr>
              <w:pStyle w:val="13"/>
            </w:pPr>
            <w:r>
              <w:t>3</w:t>
            </w:r>
          </w:p>
        </w:tc>
        <w:tc>
          <w:tcPr>
            <w:tcW w:w="992" w:type="dxa"/>
            <w:vAlign w:val="center"/>
          </w:tcPr>
          <w:p w14:paraId="1A78CC35">
            <w:pPr>
              <w:pStyle w:val="12"/>
            </w:pPr>
            <w:r>
              <w:t>20502</w:t>
            </w:r>
          </w:p>
        </w:tc>
        <w:tc>
          <w:tcPr>
            <w:tcW w:w="4535" w:type="dxa"/>
            <w:vAlign w:val="center"/>
          </w:tcPr>
          <w:p w14:paraId="4DC04785">
            <w:pPr>
              <w:pStyle w:val="12"/>
            </w:pPr>
            <w:r>
              <w:t>普通教育</w:t>
            </w:r>
          </w:p>
        </w:tc>
        <w:tc>
          <w:tcPr>
            <w:tcW w:w="1361" w:type="dxa"/>
            <w:vAlign w:val="center"/>
          </w:tcPr>
          <w:p w14:paraId="617B9A5B">
            <w:pPr>
              <w:pStyle w:val="11"/>
            </w:pPr>
            <w:r>
              <w:t>2280.10</w:t>
            </w:r>
          </w:p>
        </w:tc>
        <w:tc>
          <w:tcPr>
            <w:tcW w:w="1361" w:type="dxa"/>
            <w:vAlign w:val="center"/>
          </w:tcPr>
          <w:p w14:paraId="7E31A989">
            <w:pPr>
              <w:pStyle w:val="11"/>
            </w:pPr>
            <w:r>
              <w:t>1915.52</w:t>
            </w:r>
          </w:p>
        </w:tc>
        <w:tc>
          <w:tcPr>
            <w:tcW w:w="1361" w:type="dxa"/>
            <w:vAlign w:val="center"/>
          </w:tcPr>
          <w:p w14:paraId="11564E5D">
            <w:pPr>
              <w:pStyle w:val="11"/>
            </w:pPr>
            <w:r>
              <w:t>364.58</w:t>
            </w:r>
          </w:p>
        </w:tc>
        <w:tc>
          <w:tcPr>
            <w:tcW w:w="1361" w:type="dxa"/>
            <w:vAlign w:val="center"/>
          </w:tcPr>
          <w:p w14:paraId="3D9ED47F">
            <w:pPr>
              <w:pStyle w:val="11"/>
            </w:pPr>
          </w:p>
        </w:tc>
        <w:tc>
          <w:tcPr>
            <w:tcW w:w="1361" w:type="dxa"/>
            <w:vAlign w:val="center"/>
          </w:tcPr>
          <w:p w14:paraId="76A169C2">
            <w:pPr>
              <w:pStyle w:val="11"/>
            </w:pPr>
          </w:p>
        </w:tc>
        <w:tc>
          <w:tcPr>
            <w:tcW w:w="1361" w:type="dxa"/>
            <w:vAlign w:val="center"/>
          </w:tcPr>
          <w:p w14:paraId="1FAFDA2F">
            <w:pPr>
              <w:pStyle w:val="11"/>
            </w:pPr>
          </w:p>
        </w:tc>
      </w:tr>
      <w:tr w14:paraId="0F22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2EF9A">
            <w:pPr>
              <w:pStyle w:val="13"/>
            </w:pPr>
            <w:r>
              <w:t>4</w:t>
            </w:r>
          </w:p>
        </w:tc>
        <w:tc>
          <w:tcPr>
            <w:tcW w:w="992" w:type="dxa"/>
            <w:vAlign w:val="center"/>
          </w:tcPr>
          <w:p w14:paraId="72923BD2">
            <w:pPr>
              <w:pStyle w:val="12"/>
            </w:pPr>
            <w:r>
              <w:t>2050203</w:t>
            </w:r>
          </w:p>
        </w:tc>
        <w:tc>
          <w:tcPr>
            <w:tcW w:w="4535" w:type="dxa"/>
            <w:vAlign w:val="center"/>
          </w:tcPr>
          <w:p w14:paraId="55BE61AA">
            <w:pPr>
              <w:pStyle w:val="12"/>
            </w:pPr>
            <w:r>
              <w:t>初中教育</w:t>
            </w:r>
          </w:p>
        </w:tc>
        <w:tc>
          <w:tcPr>
            <w:tcW w:w="1361" w:type="dxa"/>
            <w:vAlign w:val="center"/>
          </w:tcPr>
          <w:p w14:paraId="2EC8F814">
            <w:pPr>
              <w:pStyle w:val="11"/>
            </w:pPr>
            <w:r>
              <w:t>2280.10</w:t>
            </w:r>
          </w:p>
        </w:tc>
        <w:tc>
          <w:tcPr>
            <w:tcW w:w="1361" w:type="dxa"/>
            <w:vAlign w:val="center"/>
          </w:tcPr>
          <w:p w14:paraId="06A5262F">
            <w:pPr>
              <w:pStyle w:val="11"/>
            </w:pPr>
            <w:r>
              <w:t>1915.52</w:t>
            </w:r>
          </w:p>
        </w:tc>
        <w:tc>
          <w:tcPr>
            <w:tcW w:w="1361" w:type="dxa"/>
            <w:vAlign w:val="center"/>
          </w:tcPr>
          <w:p w14:paraId="13287855">
            <w:pPr>
              <w:pStyle w:val="11"/>
            </w:pPr>
            <w:r>
              <w:t>364.58</w:t>
            </w:r>
          </w:p>
        </w:tc>
        <w:tc>
          <w:tcPr>
            <w:tcW w:w="1361" w:type="dxa"/>
            <w:vAlign w:val="center"/>
          </w:tcPr>
          <w:p w14:paraId="24613255">
            <w:pPr>
              <w:pStyle w:val="11"/>
            </w:pPr>
          </w:p>
        </w:tc>
        <w:tc>
          <w:tcPr>
            <w:tcW w:w="1361" w:type="dxa"/>
            <w:vAlign w:val="center"/>
          </w:tcPr>
          <w:p w14:paraId="48D606C7">
            <w:pPr>
              <w:pStyle w:val="11"/>
            </w:pPr>
          </w:p>
        </w:tc>
        <w:tc>
          <w:tcPr>
            <w:tcW w:w="1361" w:type="dxa"/>
            <w:vAlign w:val="center"/>
          </w:tcPr>
          <w:p w14:paraId="5B3D0987">
            <w:pPr>
              <w:pStyle w:val="11"/>
            </w:pPr>
          </w:p>
        </w:tc>
      </w:tr>
    </w:tbl>
    <w:p w14:paraId="50272A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5940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5E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268AAD">
            <w:pPr>
              <w:pStyle w:val="9"/>
            </w:pPr>
            <w:r>
              <w:t>360010隆尧县固城中学</w:t>
            </w:r>
          </w:p>
        </w:tc>
        <w:tc>
          <w:tcPr>
            <w:tcW w:w="3402" w:type="dxa"/>
            <w:tcBorders>
              <w:top w:val="single" w:color="FFFFFF" w:sz="6" w:space="0"/>
              <w:left w:val="single" w:color="FFFFFF" w:sz="6" w:space="0"/>
              <w:right w:val="single" w:color="FFFFFF" w:sz="6" w:space="0"/>
            </w:tcBorders>
            <w:vAlign w:val="center"/>
          </w:tcPr>
          <w:p w14:paraId="4C87B6D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27CACB">
            <w:pPr>
              <w:pStyle w:val="7"/>
            </w:pPr>
            <w:r>
              <w:t>单位：万元</w:t>
            </w:r>
          </w:p>
        </w:tc>
      </w:tr>
      <w:tr w14:paraId="6FF8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B7503">
            <w:pPr>
              <w:pStyle w:val="10"/>
            </w:pPr>
            <w:r>
              <w:t>序号</w:t>
            </w:r>
          </w:p>
        </w:tc>
        <w:tc>
          <w:tcPr>
            <w:tcW w:w="4876" w:type="dxa"/>
            <w:gridSpan w:val="2"/>
            <w:vAlign w:val="center"/>
          </w:tcPr>
          <w:p w14:paraId="4DAC3680">
            <w:pPr>
              <w:pStyle w:val="10"/>
            </w:pPr>
            <w:r>
              <w:t>收入</w:t>
            </w:r>
          </w:p>
        </w:tc>
        <w:tc>
          <w:tcPr>
            <w:tcW w:w="9298" w:type="dxa"/>
            <w:gridSpan w:val="5"/>
            <w:vAlign w:val="center"/>
          </w:tcPr>
          <w:p w14:paraId="0685F0CC">
            <w:pPr>
              <w:pStyle w:val="10"/>
            </w:pPr>
            <w:r>
              <w:t>支出</w:t>
            </w:r>
          </w:p>
        </w:tc>
      </w:tr>
      <w:tr w14:paraId="6F5A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E0001"/>
        </w:tc>
        <w:tc>
          <w:tcPr>
            <w:tcW w:w="3402" w:type="dxa"/>
            <w:vAlign w:val="center"/>
          </w:tcPr>
          <w:p w14:paraId="37D6B414">
            <w:pPr>
              <w:pStyle w:val="10"/>
            </w:pPr>
            <w:r>
              <w:t>项  目</w:t>
            </w:r>
          </w:p>
        </w:tc>
        <w:tc>
          <w:tcPr>
            <w:tcW w:w="1474" w:type="dxa"/>
            <w:vAlign w:val="center"/>
          </w:tcPr>
          <w:p w14:paraId="18BCB1CA">
            <w:pPr>
              <w:pStyle w:val="10"/>
            </w:pPr>
            <w:r>
              <w:t>金额</w:t>
            </w:r>
          </w:p>
        </w:tc>
        <w:tc>
          <w:tcPr>
            <w:tcW w:w="3402" w:type="dxa"/>
            <w:vAlign w:val="center"/>
          </w:tcPr>
          <w:p w14:paraId="4F80C0C2">
            <w:pPr>
              <w:pStyle w:val="10"/>
            </w:pPr>
            <w:r>
              <w:t>项  目</w:t>
            </w:r>
          </w:p>
        </w:tc>
        <w:tc>
          <w:tcPr>
            <w:tcW w:w="1474" w:type="dxa"/>
            <w:vAlign w:val="center"/>
          </w:tcPr>
          <w:p w14:paraId="41A20CA4">
            <w:pPr>
              <w:pStyle w:val="10"/>
            </w:pPr>
            <w:r>
              <w:t>合计</w:t>
            </w:r>
          </w:p>
        </w:tc>
        <w:tc>
          <w:tcPr>
            <w:tcW w:w="1474" w:type="dxa"/>
            <w:vAlign w:val="center"/>
          </w:tcPr>
          <w:p w14:paraId="2E32EA02">
            <w:pPr>
              <w:pStyle w:val="10"/>
            </w:pPr>
            <w:r>
              <w:t>一般公共预算财政拨款</w:t>
            </w:r>
          </w:p>
        </w:tc>
        <w:tc>
          <w:tcPr>
            <w:tcW w:w="1474" w:type="dxa"/>
            <w:vAlign w:val="center"/>
          </w:tcPr>
          <w:p w14:paraId="7A6B30F6">
            <w:pPr>
              <w:pStyle w:val="10"/>
            </w:pPr>
            <w:r>
              <w:t>政府性基金预算财政    拨款</w:t>
            </w:r>
          </w:p>
        </w:tc>
        <w:tc>
          <w:tcPr>
            <w:tcW w:w="1474" w:type="dxa"/>
            <w:vAlign w:val="center"/>
          </w:tcPr>
          <w:p w14:paraId="0800F02A">
            <w:pPr>
              <w:pStyle w:val="10"/>
            </w:pPr>
            <w:r>
              <w:t>国有资本经营预算财政拨款</w:t>
            </w:r>
          </w:p>
        </w:tc>
      </w:tr>
      <w:tr w14:paraId="66B6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0EE80">
            <w:pPr>
              <w:pStyle w:val="10"/>
            </w:pPr>
            <w:r>
              <w:t>栏次</w:t>
            </w:r>
          </w:p>
        </w:tc>
        <w:tc>
          <w:tcPr>
            <w:tcW w:w="3402" w:type="dxa"/>
            <w:vAlign w:val="center"/>
          </w:tcPr>
          <w:p w14:paraId="3FF9DBF4">
            <w:pPr>
              <w:pStyle w:val="10"/>
            </w:pPr>
            <w:r>
              <w:t>1</w:t>
            </w:r>
          </w:p>
        </w:tc>
        <w:tc>
          <w:tcPr>
            <w:tcW w:w="1474" w:type="dxa"/>
            <w:vAlign w:val="center"/>
          </w:tcPr>
          <w:p w14:paraId="027D7B82">
            <w:pPr>
              <w:pStyle w:val="10"/>
            </w:pPr>
            <w:r>
              <w:t>2</w:t>
            </w:r>
          </w:p>
        </w:tc>
        <w:tc>
          <w:tcPr>
            <w:tcW w:w="3402" w:type="dxa"/>
            <w:vAlign w:val="center"/>
          </w:tcPr>
          <w:p w14:paraId="676D9C70">
            <w:pPr>
              <w:pStyle w:val="10"/>
            </w:pPr>
            <w:r>
              <w:t>3</w:t>
            </w:r>
          </w:p>
        </w:tc>
        <w:tc>
          <w:tcPr>
            <w:tcW w:w="1474" w:type="dxa"/>
            <w:vAlign w:val="center"/>
          </w:tcPr>
          <w:p w14:paraId="002C6686">
            <w:pPr>
              <w:pStyle w:val="10"/>
            </w:pPr>
            <w:r>
              <w:t>4</w:t>
            </w:r>
          </w:p>
        </w:tc>
        <w:tc>
          <w:tcPr>
            <w:tcW w:w="1474" w:type="dxa"/>
            <w:vAlign w:val="center"/>
          </w:tcPr>
          <w:p w14:paraId="2CD30035">
            <w:pPr>
              <w:pStyle w:val="10"/>
            </w:pPr>
            <w:r>
              <w:t>5</w:t>
            </w:r>
          </w:p>
        </w:tc>
        <w:tc>
          <w:tcPr>
            <w:tcW w:w="1474" w:type="dxa"/>
            <w:vAlign w:val="center"/>
          </w:tcPr>
          <w:p w14:paraId="06DA6C1D">
            <w:pPr>
              <w:pStyle w:val="10"/>
            </w:pPr>
            <w:r>
              <w:t>6</w:t>
            </w:r>
          </w:p>
        </w:tc>
        <w:tc>
          <w:tcPr>
            <w:tcW w:w="1474" w:type="dxa"/>
            <w:vAlign w:val="center"/>
          </w:tcPr>
          <w:p w14:paraId="6BE64E9C">
            <w:pPr>
              <w:pStyle w:val="10"/>
            </w:pPr>
            <w:r>
              <w:t>7</w:t>
            </w:r>
          </w:p>
        </w:tc>
      </w:tr>
      <w:tr w14:paraId="607D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C254">
            <w:pPr>
              <w:pStyle w:val="13"/>
            </w:pPr>
            <w:r>
              <w:t>1</w:t>
            </w:r>
          </w:p>
        </w:tc>
        <w:tc>
          <w:tcPr>
            <w:tcW w:w="3402" w:type="dxa"/>
            <w:vAlign w:val="center"/>
          </w:tcPr>
          <w:p w14:paraId="2A412786">
            <w:pPr>
              <w:pStyle w:val="12"/>
            </w:pPr>
            <w:r>
              <w:t>一、一般公共预算拨款</w:t>
            </w:r>
          </w:p>
        </w:tc>
        <w:tc>
          <w:tcPr>
            <w:tcW w:w="1474" w:type="dxa"/>
            <w:vAlign w:val="center"/>
          </w:tcPr>
          <w:p w14:paraId="44B9BEB2">
            <w:pPr>
              <w:pStyle w:val="11"/>
            </w:pPr>
            <w:r>
              <w:t>2280.10</w:t>
            </w:r>
          </w:p>
        </w:tc>
        <w:tc>
          <w:tcPr>
            <w:tcW w:w="3402" w:type="dxa"/>
            <w:vAlign w:val="center"/>
          </w:tcPr>
          <w:p w14:paraId="2A24FD1E">
            <w:pPr>
              <w:pStyle w:val="12"/>
            </w:pPr>
            <w:r>
              <w:t>一、一般公共服务支出</w:t>
            </w:r>
          </w:p>
        </w:tc>
        <w:tc>
          <w:tcPr>
            <w:tcW w:w="1474" w:type="dxa"/>
            <w:vAlign w:val="center"/>
          </w:tcPr>
          <w:p w14:paraId="44D139AE">
            <w:pPr>
              <w:pStyle w:val="11"/>
            </w:pPr>
          </w:p>
        </w:tc>
        <w:tc>
          <w:tcPr>
            <w:tcW w:w="1474" w:type="dxa"/>
            <w:vAlign w:val="center"/>
          </w:tcPr>
          <w:p w14:paraId="71B80687">
            <w:pPr>
              <w:pStyle w:val="11"/>
            </w:pPr>
          </w:p>
        </w:tc>
        <w:tc>
          <w:tcPr>
            <w:tcW w:w="1474" w:type="dxa"/>
            <w:vAlign w:val="center"/>
          </w:tcPr>
          <w:p w14:paraId="392FCCF7">
            <w:pPr>
              <w:pStyle w:val="11"/>
            </w:pPr>
          </w:p>
        </w:tc>
        <w:tc>
          <w:tcPr>
            <w:tcW w:w="1474" w:type="dxa"/>
            <w:vAlign w:val="center"/>
          </w:tcPr>
          <w:p w14:paraId="2F5BDCF8">
            <w:pPr>
              <w:pStyle w:val="11"/>
            </w:pPr>
          </w:p>
        </w:tc>
      </w:tr>
      <w:tr w14:paraId="68E82737">
        <w:tblPrEx>
          <w:tblCellMar>
            <w:top w:w="0" w:type="dxa"/>
            <w:left w:w="108" w:type="dxa"/>
            <w:bottom w:w="0" w:type="dxa"/>
            <w:right w:w="108" w:type="dxa"/>
          </w:tblCellMar>
        </w:tblPrEx>
        <w:trPr>
          <w:trHeight w:val="369" w:hRule="atLeast"/>
          <w:jc w:val="center"/>
        </w:trPr>
        <w:tc>
          <w:tcPr>
            <w:tcW w:w="850" w:type="dxa"/>
            <w:vAlign w:val="center"/>
          </w:tcPr>
          <w:p w14:paraId="683681E0">
            <w:pPr>
              <w:pStyle w:val="13"/>
            </w:pPr>
            <w:r>
              <w:t>2</w:t>
            </w:r>
          </w:p>
        </w:tc>
        <w:tc>
          <w:tcPr>
            <w:tcW w:w="3402" w:type="dxa"/>
            <w:vAlign w:val="center"/>
          </w:tcPr>
          <w:p w14:paraId="241E64E4">
            <w:pPr>
              <w:pStyle w:val="12"/>
            </w:pPr>
            <w:r>
              <w:t>二、政府性基金预算拨款</w:t>
            </w:r>
          </w:p>
        </w:tc>
        <w:tc>
          <w:tcPr>
            <w:tcW w:w="1474" w:type="dxa"/>
            <w:vAlign w:val="center"/>
          </w:tcPr>
          <w:p w14:paraId="2405E04F">
            <w:pPr>
              <w:pStyle w:val="11"/>
            </w:pPr>
          </w:p>
        </w:tc>
        <w:tc>
          <w:tcPr>
            <w:tcW w:w="3402" w:type="dxa"/>
            <w:vAlign w:val="center"/>
          </w:tcPr>
          <w:p w14:paraId="32EF1035">
            <w:pPr>
              <w:pStyle w:val="12"/>
            </w:pPr>
            <w:r>
              <w:t>二、外交支出</w:t>
            </w:r>
          </w:p>
        </w:tc>
        <w:tc>
          <w:tcPr>
            <w:tcW w:w="1474" w:type="dxa"/>
            <w:vAlign w:val="center"/>
          </w:tcPr>
          <w:p w14:paraId="7691DD48">
            <w:pPr>
              <w:pStyle w:val="11"/>
            </w:pPr>
          </w:p>
        </w:tc>
        <w:tc>
          <w:tcPr>
            <w:tcW w:w="1474" w:type="dxa"/>
            <w:vAlign w:val="center"/>
          </w:tcPr>
          <w:p w14:paraId="2EA98D92">
            <w:pPr>
              <w:pStyle w:val="11"/>
            </w:pPr>
          </w:p>
        </w:tc>
        <w:tc>
          <w:tcPr>
            <w:tcW w:w="1474" w:type="dxa"/>
            <w:vAlign w:val="center"/>
          </w:tcPr>
          <w:p w14:paraId="71415FF7">
            <w:pPr>
              <w:pStyle w:val="11"/>
            </w:pPr>
          </w:p>
        </w:tc>
        <w:tc>
          <w:tcPr>
            <w:tcW w:w="1474" w:type="dxa"/>
            <w:vAlign w:val="center"/>
          </w:tcPr>
          <w:p w14:paraId="0E1BB134">
            <w:pPr>
              <w:pStyle w:val="11"/>
            </w:pPr>
          </w:p>
        </w:tc>
      </w:tr>
      <w:tr w14:paraId="6A9A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8335B">
            <w:pPr>
              <w:pStyle w:val="13"/>
            </w:pPr>
            <w:r>
              <w:t>3</w:t>
            </w:r>
          </w:p>
        </w:tc>
        <w:tc>
          <w:tcPr>
            <w:tcW w:w="3402" w:type="dxa"/>
            <w:vAlign w:val="center"/>
          </w:tcPr>
          <w:p w14:paraId="04912C68">
            <w:pPr>
              <w:pStyle w:val="12"/>
            </w:pPr>
            <w:r>
              <w:t>三、国有资本经营预算拨款</w:t>
            </w:r>
          </w:p>
        </w:tc>
        <w:tc>
          <w:tcPr>
            <w:tcW w:w="1474" w:type="dxa"/>
            <w:vAlign w:val="center"/>
          </w:tcPr>
          <w:p w14:paraId="18E1B80A">
            <w:pPr>
              <w:pStyle w:val="11"/>
            </w:pPr>
          </w:p>
        </w:tc>
        <w:tc>
          <w:tcPr>
            <w:tcW w:w="3402" w:type="dxa"/>
            <w:vAlign w:val="center"/>
          </w:tcPr>
          <w:p w14:paraId="5CE15710">
            <w:pPr>
              <w:pStyle w:val="12"/>
            </w:pPr>
            <w:r>
              <w:t>三、国防支出</w:t>
            </w:r>
          </w:p>
        </w:tc>
        <w:tc>
          <w:tcPr>
            <w:tcW w:w="1474" w:type="dxa"/>
            <w:vAlign w:val="center"/>
          </w:tcPr>
          <w:p w14:paraId="02538F14">
            <w:pPr>
              <w:pStyle w:val="11"/>
            </w:pPr>
          </w:p>
        </w:tc>
        <w:tc>
          <w:tcPr>
            <w:tcW w:w="1474" w:type="dxa"/>
            <w:vAlign w:val="center"/>
          </w:tcPr>
          <w:p w14:paraId="0DF4C5D0">
            <w:pPr>
              <w:pStyle w:val="11"/>
            </w:pPr>
          </w:p>
        </w:tc>
        <w:tc>
          <w:tcPr>
            <w:tcW w:w="1474" w:type="dxa"/>
            <w:vAlign w:val="center"/>
          </w:tcPr>
          <w:p w14:paraId="37BC0903">
            <w:pPr>
              <w:pStyle w:val="11"/>
            </w:pPr>
          </w:p>
        </w:tc>
        <w:tc>
          <w:tcPr>
            <w:tcW w:w="1474" w:type="dxa"/>
            <w:vAlign w:val="center"/>
          </w:tcPr>
          <w:p w14:paraId="5B91FF17">
            <w:pPr>
              <w:pStyle w:val="11"/>
            </w:pPr>
          </w:p>
        </w:tc>
      </w:tr>
      <w:tr w14:paraId="5E147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B8523">
            <w:pPr>
              <w:pStyle w:val="13"/>
            </w:pPr>
            <w:r>
              <w:t>4</w:t>
            </w:r>
          </w:p>
        </w:tc>
        <w:tc>
          <w:tcPr>
            <w:tcW w:w="3402" w:type="dxa"/>
            <w:vAlign w:val="center"/>
          </w:tcPr>
          <w:p w14:paraId="4C9BC380">
            <w:pPr>
              <w:pStyle w:val="12"/>
            </w:pPr>
          </w:p>
        </w:tc>
        <w:tc>
          <w:tcPr>
            <w:tcW w:w="1474" w:type="dxa"/>
            <w:vAlign w:val="center"/>
          </w:tcPr>
          <w:p w14:paraId="60E75992">
            <w:pPr>
              <w:pStyle w:val="11"/>
            </w:pPr>
          </w:p>
        </w:tc>
        <w:tc>
          <w:tcPr>
            <w:tcW w:w="3402" w:type="dxa"/>
            <w:vAlign w:val="center"/>
          </w:tcPr>
          <w:p w14:paraId="07112E68">
            <w:pPr>
              <w:pStyle w:val="12"/>
            </w:pPr>
            <w:r>
              <w:t>四、公共安全支出</w:t>
            </w:r>
          </w:p>
        </w:tc>
        <w:tc>
          <w:tcPr>
            <w:tcW w:w="1474" w:type="dxa"/>
            <w:vAlign w:val="center"/>
          </w:tcPr>
          <w:p w14:paraId="465FA6E9">
            <w:pPr>
              <w:pStyle w:val="11"/>
            </w:pPr>
          </w:p>
        </w:tc>
        <w:tc>
          <w:tcPr>
            <w:tcW w:w="1474" w:type="dxa"/>
            <w:vAlign w:val="center"/>
          </w:tcPr>
          <w:p w14:paraId="07763BB1">
            <w:pPr>
              <w:pStyle w:val="11"/>
            </w:pPr>
          </w:p>
        </w:tc>
        <w:tc>
          <w:tcPr>
            <w:tcW w:w="1474" w:type="dxa"/>
            <w:vAlign w:val="center"/>
          </w:tcPr>
          <w:p w14:paraId="467E7C02">
            <w:pPr>
              <w:pStyle w:val="11"/>
            </w:pPr>
          </w:p>
        </w:tc>
        <w:tc>
          <w:tcPr>
            <w:tcW w:w="1474" w:type="dxa"/>
            <w:vAlign w:val="center"/>
          </w:tcPr>
          <w:p w14:paraId="68E927AF">
            <w:pPr>
              <w:pStyle w:val="11"/>
            </w:pPr>
          </w:p>
        </w:tc>
      </w:tr>
      <w:tr w14:paraId="3402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F6D4">
            <w:pPr>
              <w:pStyle w:val="13"/>
            </w:pPr>
            <w:r>
              <w:t>5</w:t>
            </w:r>
          </w:p>
        </w:tc>
        <w:tc>
          <w:tcPr>
            <w:tcW w:w="3402" w:type="dxa"/>
            <w:vAlign w:val="center"/>
          </w:tcPr>
          <w:p w14:paraId="0EC2BCFA">
            <w:pPr>
              <w:pStyle w:val="12"/>
            </w:pPr>
          </w:p>
        </w:tc>
        <w:tc>
          <w:tcPr>
            <w:tcW w:w="1474" w:type="dxa"/>
            <w:vAlign w:val="center"/>
          </w:tcPr>
          <w:p w14:paraId="03D2CDFC">
            <w:pPr>
              <w:pStyle w:val="11"/>
            </w:pPr>
          </w:p>
        </w:tc>
        <w:tc>
          <w:tcPr>
            <w:tcW w:w="3402" w:type="dxa"/>
            <w:vAlign w:val="center"/>
          </w:tcPr>
          <w:p w14:paraId="5C730FA3">
            <w:pPr>
              <w:pStyle w:val="12"/>
            </w:pPr>
            <w:r>
              <w:t>五、教育支出</w:t>
            </w:r>
          </w:p>
        </w:tc>
        <w:tc>
          <w:tcPr>
            <w:tcW w:w="1474" w:type="dxa"/>
            <w:vAlign w:val="center"/>
          </w:tcPr>
          <w:p w14:paraId="519F169E">
            <w:pPr>
              <w:pStyle w:val="11"/>
            </w:pPr>
            <w:r>
              <w:t>2280.10</w:t>
            </w:r>
          </w:p>
        </w:tc>
        <w:tc>
          <w:tcPr>
            <w:tcW w:w="1474" w:type="dxa"/>
            <w:vAlign w:val="center"/>
          </w:tcPr>
          <w:p w14:paraId="3E2BDACB">
            <w:pPr>
              <w:pStyle w:val="11"/>
            </w:pPr>
            <w:r>
              <w:t>2280.10</w:t>
            </w:r>
          </w:p>
        </w:tc>
        <w:tc>
          <w:tcPr>
            <w:tcW w:w="1474" w:type="dxa"/>
            <w:vAlign w:val="center"/>
          </w:tcPr>
          <w:p w14:paraId="7F451500">
            <w:pPr>
              <w:pStyle w:val="11"/>
            </w:pPr>
          </w:p>
        </w:tc>
        <w:tc>
          <w:tcPr>
            <w:tcW w:w="1474" w:type="dxa"/>
            <w:vAlign w:val="center"/>
          </w:tcPr>
          <w:p w14:paraId="029ED3D3">
            <w:pPr>
              <w:pStyle w:val="11"/>
            </w:pPr>
          </w:p>
        </w:tc>
      </w:tr>
      <w:tr w14:paraId="214C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910E6">
            <w:pPr>
              <w:pStyle w:val="13"/>
            </w:pPr>
            <w:r>
              <w:t>6</w:t>
            </w:r>
          </w:p>
        </w:tc>
        <w:tc>
          <w:tcPr>
            <w:tcW w:w="3402" w:type="dxa"/>
            <w:vAlign w:val="center"/>
          </w:tcPr>
          <w:p w14:paraId="09A9682E">
            <w:pPr>
              <w:pStyle w:val="12"/>
            </w:pPr>
          </w:p>
        </w:tc>
        <w:tc>
          <w:tcPr>
            <w:tcW w:w="1474" w:type="dxa"/>
            <w:vAlign w:val="center"/>
          </w:tcPr>
          <w:p w14:paraId="3F2B6867">
            <w:pPr>
              <w:pStyle w:val="11"/>
            </w:pPr>
          </w:p>
        </w:tc>
        <w:tc>
          <w:tcPr>
            <w:tcW w:w="3402" w:type="dxa"/>
            <w:vAlign w:val="center"/>
          </w:tcPr>
          <w:p w14:paraId="634945CF">
            <w:pPr>
              <w:pStyle w:val="12"/>
            </w:pPr>
            <w:r>
              <w:t>六、科学技术支出</w:t>
            </w:r>
          </w:p>
        </w:tc>
        <w:tc>
          <w:tcPr>
            <w:tcW w:w="1474" w:type="dxa"/>
            <w:vAlign w:val="center"/>
          </w:tcPr>
          <w:p w14:paraId="155EACF2">
            <w:pPr>
              <w:pStyle w:val="11"/>
            </w:pPr>
          </w:p>
        </w:tc>
        <w:tc>
          <w:tcPr>
            <w:tcW w:w="1474" w:type="dxa"/>
            <w:vAlign w:val="center"/>
          </w:tcPr>
          <w:p w14:paraId="1575B5DF">
            <w:pPr>
              <w:pStyle w:val="11"/>
            </w:pPr>
          </w:p>
        </w:tc>
        <w:tc>
          <w:tcPr>
            <w:tcW w:w="1474" w:type="dxa"/>
            <w:vAlign w:val="center"/>
          </w:tcPr>
          <w:p w14:paraId="3845B258">
            <w:pPr>
              <w:pStyle w:val="11"/>
            </w:pPr>
          </w:p>
        </w:tc>
        <w:tc>
          <w:tcPr>
            <w:tcW w:w="1474" w:type="dxa"/>
            <w:vAlign w:val="center"/>
          </w:tcPr>
          <w:p w14:paraId="2921396A">
            <w:pPr>
              <w:pStyle w:val="11"/>
            </w:pPr>
          </w:p>
        </w:tc>
      </w:tr>
      <w:tr w14:paraId="484D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3EE72">
            <w:pPr>
              <w:pStyle w:val="13"/>
            </w:pPr>
            <w:r>
              <w:t>7</w:t>
            </w:r>
          </w:p>
        </w:tc>
        <w:tc>
          <w:tcPr>
            <w:tcW w:w="3402" w:type="dxa"/>
            <w:vAlign w:val="center"/>
          </w:tcPr>
          <w:p w14:paraId="61F06EAB">
            <w:pPr>
              <w:pStyle w:val="12"/>
            </w:pPr>
          </w:p>
        </w:tc>
        <w:tc>
          <w:tcPr>
            <w:tcW w:w="1474" w:type="dxa"/>
            <w:vAlign w:val="center"/>
          </w:tcPr>
          <w:p w14:paraId="2B78E28A">
            <w:pPr>
              <w:pStyle w:val="11"/>
            </w:pPr>
          </w:p>
        </w:tc>
        <w:tc>
          <w:tcPr>
            <w:tcW w:w="3402" w:type="dxa"/>
            <w:vAlign w:val="center"/>
          </w:tcPr>
          <w:p w14:paraId="467452A8">
            <w:pPr>
              <w:pStyle w:val="12"/>
            </w:pPr>
            <w:r>
              <w:t>七、文化旅游体育与传媒支出</w:t>
            </w:r>
          </w:p>
        </w:tc>
        <w:tc>
          <w:tcPr>
            <w:tcW w:w="1474" w:type="dxa"/>
            <w:vAlign w:val="center"/>
          </w:tcPr>
          <w:p w14:paraId="58259DDF">
            <w:pPr>
              <w:pStyle w:val="11"/>
            </w:pPr>
          </w:p>
        </w:tc>
        <w:tc>
          <w:tcPr>
            <w:tcW w:w="1474" w:type="dxa"/>
            <w:vAlign w:val="center"/>
          </w:tcPr>
          <w:p w14:paraId="5FAC8842">
            <w:pPr>
              <w:pStyle w:val="11"/>
            </w:pPr>
          </w:p>
        </w:tc>
        <w:tc>
          <w:tcPr>
            <w:tcW w:w="1474" w:type="dxa"/>
            <w:vAlign w:val="center"/>
          </w:tcPr>
          <w:p w14:paraId="1FA5B830">
            <w:pPr>
              <w:pStyle w:val="11"/>
            </w:pPr>
          </w:p>
        </w:tc>
        <w:tc>
          <w:tcPr>
            <w:tcW w:w="1474" w:type="dxa"/>
            <w:vAlign w:val="center"/>
          </w:tcPr>
          <w:p w14:paraId="138996E8">
            <w:pPr>
              <w:pStyle w:val="11"/>
            </w:pPr>
          </w:p>
        </w:tc>
      </w:tr>
      <w:tr w14:paraId="50E3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3BDBA">
            <w:pPr>
              <w:pStyle w:val="13"/>
            </w:pPr>
            <w:r>
              <w:t>8</w:t>
            </w:r>
          </w:p>
        </w:tc>
        <w:tc>
          <w:tcPr>
            <w:tcW w:w="3402" w:type="dxa"/>
            <w:vAlign w:val="center"/>
          </w:tcPr>
          <w:p w14:paraId="32529575">
            <w:pPr>
              <w:pStyle w:val="12"/>
            </w:pPr>
          </w:p>
        </w:tc>
        <w:tc>
          <w:tcPr>
            <w:tcW w:w="1474" w:type="dxa"/>
            <w:vAlign w:val="center"/>
          </w:tcPr>
          <w:p w14:paraId="4C00060A">
            <w:pPr>
              <w:pStyle w:val="11"/>
            </w:pPr>
          </w:p>
        </w:tc>
        <w:tc>
          <w:tcPr>
            <w:tcW w:w="3402" w:type="dxa"/>
            <w:vAlign w:val="center"/>
          </w:tcPr>
          <w:p w14:paraId="526EF49A">
            <w:pPr>
              <w:pStyle w:val="12"/>
            </w:pPr>
            <w:r>
              <w:t>八、社会保障和就业支出</w:t>
            </w:r>
          </w:p>
        </w:tc>
        <w:tc>
          <w:tcPr>
            <w:tcW w:w="1474" w:type="dxa"/>
            <w:vAlign w:val="center"/>
          </w:tcPr>
          <w:p w14:paraId="37EA0855">
            <w:pPr>
              <w:pStyle w:val="11"/>
            </w:pPr>
          </w:p>
        </w:tc>
        <w:tc>
          <w:tcPr>
            <w:tcW w:w="1474" w:type="dxa"/>
            <w:vAlign w:val="center"/>
          </w:tcPr>
          <w:p w14:paraId="4A97C65B">
            <w:pPr>
              <w:pStyle w:val="11"/>
            </w:pPr>
          </w:p>
        </w:tc>
        <w:tc>
          <w:tcPr>
            <w:tcW w:w="1474" w:type="dxa"/>
            <w:vAlign w:val="center"/>
          </w:tcPr>
          <w:p w14:paraId="73B1C46A">
            <w:pPr>
              <w:pStyle w:val="11"/>
            </w:pPr>
          </w:p>
        </w:tc>
        <w:tc>
          <w:tcPr>
            <w:tcW w:w="1474" w:type="dxa"/>
            <w:vAlign w:val="center"/>
          </w:tcPr>
          <w:p w14:paraId="19687D45">
            <w:pPr>
              <w:pStyle w:val="11"/>
            </w:pPr>
          </w:p>
        </w:tc>
      </w:tr>
      <w:tr w14:paraId="55C5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81594">
            <w:pPr>
              <w:pStyle w:val="13"/>
            </w:pPr>
            <w:r>
              <w:t>9</w:t>
            </w:r>
          </w:p>
        </w:tc>
        <w:tc>
          <w:tcPr>
            <w:tcW w:w="3402" w:type="dxa"/>
            <w:vAlign w:val="center"/>
          </w:tcPr>
          <w:p w14:paraId="043E90FB">
            <w:pPr>
              <w:pStyle w:val="12"/>
            </w:pPr>
          </w:p>
        </w:tc>
        <w:tc>
          <w:tcPr>
            <w:tcW w:w="1474" w:type="dxa"/>
            <w:vAlign w:val="center"/>
          </w:tcPr>
          <w:p w14:paraId="433C9E04">
            <w:pPr>
              <w:pStyle w:val="11"/>
            </w:pPr>
          </w:p>
        </w:tc>
        <w:tc>
          <w:tcPr>
            <w:tcW w:w="3402" w:type="dxa"/>
            <w:vAlign w:val="center"/>
          </w:tcPr>
          <w:p w14:paraId="237CB4D3">
            <w:pPr>
              <w:pStyle w:val="12"/>
            </w:pPr>
            <w:r>
              <w:t>九、社会保险基金支出</w:t>
            </w:r>
          </w:p>
        </w:tc>
        <w:tc>
          <w:tcPr>
            <w:tcW w:w="1474" w:type="dxa"/>
            <w:vAlign w:val="center"/>
          </w:tcPr>
          <w:p w14:paraId="7B585155">
            <w:pPr>
              <w:pStyle w:val="11"/>
            </w:pPr>
          </w:p>
        </w:tc>
        <w:tc>
          <w:tcPr>
            <w:tcW w:w="1474" w:type="dxa"/>
            <w:vAlign w:val="center"/>
          </w:tcPr>
          <w:p w14:paraId="3E696699">
            <w:pPr>
              <w:pStyle w:val="11"/>
            </w:pPr>
          </w:p>
        </w:tc>
        <w:tc>
          <w:tcPr>
            <w:tcW w:w="1474" w:type="dxa"/>
            <w:vAlign w:val="center"/>
          </w:tcPr>
          <w:p w14:paraId="1F61C983">
            <w:pPr>
              <w:pStyle w:val="11"/>
            </w:pPr>
          </w:p>
        </w:tc>
        <w:tc>
          <w:tcPr>
            <w:tcW w:w="1474" w:type="dxa"/>
            <w:vAlign w:val="center"/>
          </w:tcPr>
          <w:p w14:paraId="1C496E83">
            <w:pPr>
              <w:pStyle w:val="11"/>
            </w:pPr>
          </w:p>
        </w:tc>
      </w:tr>
      <w:tr w14:paraId="39452A19">
        <w:tblPrEx>
          <w:tblCellMar>
            <w:top w:w="0" w:type="dxa"/>
            <w:left w:w="108" w:type="dxa"/>
            <w:bottom w:w="0" w:type="dxa"/>
            <w:right w:w="108" w:type="dxa"/>
          </w:tblCellMar>
        </w:tblPrEx>
        <w:trPr>
          <w:trHeight w:val="369" w:hRule="atLeast"/>
          <w:jc w:val="center"/>
        </w:trPr>
        <w:tc>
          <w:tcPr>
            <w:tcW w:w="850" w:type="dxa"/>
            <w:vAlign w:val="center"/>
          </w:tcPr>
          <w:p w14:paraId="53DAEB09">
            <w:pPr>
              <w:pStyle w:val="13"/>
            </w:pPr>
            <w:r>
              <w:t>10</w:t>
            </w:r>
          </w:p>
        </w:tc>
        <w:tc>
          <w:tcPr>
            <w:tcW w:w="3402" w:type="dxa"/>
            <w:vAlign w:val="center"/>
          </w:tcPr>
          <w:p w14:paraId="40071F78">
            <w:pPr>
              <w:pStyle w:val="12"/>
            </w:pPr>
          </w:p>
        </w:tc>
        <w:tc>
          <w:tcPr>
            <w:tcW w:w="1474" w:type="dxa"/>
            <w:vAlign w:val="center"/>
          </w:tcPr>
          <w:p w14:paraId="3B8FC502">
            <w:pPr>
              <w:pStyle w:val="11"/>
            </w:pPr>
          </w:p>
        </w:tc>
        <w:tc>
          <w:tcPr>
            <w:tcW w:w="3402" w:type="dxa"/>
            <w:vAlign w:val="center"/>
          </w:tcPr>
          <w:p w14:paraId="76590D91">
            <w:pPr>
              <w:pStyle w:val="12"/>
            </w:pPr>
            <w:r>
              <w:t>十、卫生健康支出</w:t>
            </w:r>
          </w:p>
        </w:tc>
        <w:tc>
          <w:tcPr>
            <w:tcW w:w="1474" w:type="dxa"/>
            <w:vAlign w:val="center"/>
          </w:tcPr>
          <w:p w14:paraId="3563E1A3">
            <w:pPr>
              <w:pStyle w:val="11"/>
            </w:pPr>
          </w:p>
        </w:tc>
        <w:tc>
          <w:tcPr>
            <w:tcW w:w="1474" w:type="dxa"/>
            <w:vAlign w:val="center"/>
          </w:tcPr>
          <w:p w14:paraId="26242F83">
            <w:pPr>
              <w:pStyle w:val="11"/>
            </w:pPr>
          </w:p>
        </w:tc>
        <w:tc>
          <w:tcPr>
            <w:tcW w:w="1474" w:type="dxa"/>
            <w:vAlign w:val="center"/>
          </w:tcPr>
          <w:p w14:paraId="504BF5F4">
            <w:pPr>
              <w:pStyle w:val="11"/>
            </w:pPr>
          </w:p>
        </w:tc>
        <w:tc>
          <w:tcPr>
            <w:tcW w:w="1474" w:type="dxa"/>
            <w:vAlign w:val="center"/>
          </w:tcPr>
          <w:p w14:paraId="5A2DBB87">
            <w:pPr>
              <w:pStyle w:val="11"/>
            </w:pPr>
          </w:p>
        </w:tc>
      </w:tr>
      <w:tr w14:paraId="3A70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FE89">
            <w:pPr>
              <w:pStyle w:val="13"/>
            </w:pPr>
            <w:r>
              <w:t>11</w:t>
            </w:r>
          </w:p>
        </w:tc>
        <w:tc>
          <w:tcPr>
            <w:tcW w:w="3402" w:type="dxa"/>
            <w:vAlign w:val="center"/>
          </w:tcPr>
          <w:p w14:paraId="2210B794">
            <w:pPr>
              <w:pStyle w:val="12"/>
            </w:pPr>
          </w:p>
        </w:tc>
        <w:tc>
          <w:tcPr>
            <w:tcW w:w="1474" w:type="dxa"/>
            <w:vAlign w:val="center"/>
          </w:tcPr>
          <w:p w14:paraId="1D93D8E2">
            <w:pPr>
              <w:pStyle w:val="11"/>
            </w:pPr>
          </w:p>
        </w:tc>
        <w:tc>
          <w:tcPr>
            <w:tcW w:w="3402" w:type="dxa"/>
            <w:vAlign w:val="center"/>
          </w:tcPr>
          <w:p w14:paraId="75406AAA">
            <w:pPr>
              <w:pStyle w:val="12"/>
            </w:pPr>
            <w:r>
              <w:t>十一、节能环保支出</w:t>
            </w:r>
          </w:p>
        </w:tc>
        <w:tc>
          <w:tcPr>
            <w:tcW w:w="1474" w:type="dxa"/>
            <w:vAlign w:val="center"/>
          </w:tcPr>
          <w:p w14:paraId="29C6E6E9">
            <w:pPr>
              <w:pStyle w:val="11"/>
            </w:pPr>
          </w:p>
        </w:tc>
        <w:tc>
          <w:tcPr>
            <w:tcW w:w="1474" w:type="dxa"/>
            <w:vAlign w:val="center"/>
          </w:tcPr>
          <w:p w14:paraId="4B31F76A">
            <w:pPr>
              <w:pStyle w:val="11"/>
            </w:pPr>
          </w:p>
        </w:tc>
        <w:tc>
          <w:tcPr>
            <w:tcW w:w="1474" w:type="dxa"/>
            <w:vAlign w:val="center"/>
          </w:tcPr>
          <w:p w14:paraId="1DA60C6E">
            <w:pPr>
              <w:pStyle w:val="11"/>
            </w:pPr>
          </w:p>
        </w:tc>
        <w:tc>
          <w:tcPr>
            <w:tcW w:w="1474" w:type="dxa"/>
            <w:vAlign w:val="center"/>
          </w:tcPr>
          <w:p w14:paraId="1E77D183">
            <w:pPr>
              <w:pStyle w:val="11"/>
            </w:pPr>
          </w:p>
        </w:tc>
      </w:tr>
      <w:tr w14:paraId="4FB28AD4">
        <w:tblPrEx>
          <w:tblCellMar>
            <w:top w:w="0" w:type="dxa"/>
            <w:left w:w="108" w:type="dxa"/>
            <w:bottom w:w="0" w:type="dxa"/>
            <w:right w:w="108" w:type="dxa"/>
          </w:tblCellMar>
        </w:tblPrEx>
        <w:trPr>
          <w:trHeight w:val="369" w:hRule="atLeast"/>
          <w:jc w:val="center"/>
        </w:trPr>
        <w:tc>
          <w:tcPr>
            <w:tcW w:w="850" w:type="dxa"/>
            <w:vAlign w:val="center"/>
          </w:tcPr>
          <w:p w14:paraId="48CB2565">
            <w:pPr>
              <w:pStyle w:val="13"/>
            </w:pPr>
            <w:r>
              <w:t>12</w:t>
            </w:r>
          </w:p>
        </w:tc>
        <w:tc>
          <w:tcPr>
            <w:tcW w:w="3402" w:type="dxa"/>
            <w:vAlign w:val="center"/>
          </w:tcPr>
          <w:p w14:paraId="394B801F">
            <w:pPr>
              <w:pStyle w:val="12"/>
            </w:pPr>
          </w:p>
        </w:tc>
        <w:tc>
          <w:tcPr>
            <w:tcW w:w="1474" w:type="dxa"/>
            <w:vAlign w:val="center"/>
          </w:tcPr>
          <w:p w14:paraId="32C8DCC0">
            <w:pPr>
              <w:pStyle w:val="11"/>
            </w:pPr>
          </w:p>
        </w:tc>
        <w:tc>
          <w:tcPr>
            <w:tcW w:w="3402" w:type="dxa"/>
            <w:vAlign w:val="center"/>
          </w:tcPr>
          <w:p w14:paraId="68CD422E">
            <w:pPr>
              <w:pStyle w:val="12"/>
            </w:pPr>
            <w:r>
              <w:t>十二、城乡社区支出</w:t>
            </w:r>
          </w:p>
        </w:tc>
        <w:tc>
          <w:tcPr>
            <w:tcW w:w="1474" w:type="dxa"/>
            <w:vAlign w:val="center"/>
          </w:tcPr>
          <w:p w14:paraId="2A1FA457">
            <w:pPr>
              <w:pStyle w:val="11"/>
            </w:pPr>
          </w:p>
        </w:tc>
        <w:tc>
          <w:tcPr>
            <w:tcW w:w="1474" w:type="dxa"/>
            <w:vAlign w:val="center"/>
          </w:tcPr>
          <w:p w14:paraId="53BCAD1E">
            <w:pPr>
              <w:pStyle w:val="11"/>
            </w:pPr>
          </w:p>
        </w:tc>
        <w:tc>
          <w:tcPr>
            <w:tcW w:w="1474" w:type="dxa"/>
            <w:vAlign w:val="center"/>
          </w:tcPr>
          <w:p w14:paraId="3017F8DD">
            <w:pPr>
              <w:pStyle w:val="11"/>
            </w:pPr>
          </w:p>
        </w:tc>
        <w:tc>
          <w:tcPr>
            <w:tcW w:w="1474" w:type="dxa"/>
            <w:vAlign w:val="center"/>
          </w:tcPr>
          <w:p w14:paraId="2316D449">
            <w:pPr>
              <w:pStyle w:val="11"/>
            </w:pPr>
          </w:p>
        </w:tc>
      </w:tr>
      <w:tr w14:paraId="5FB2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EAE81">
            <w:pPr>
              <w:pStyle w:val="13"/>
            </w:pPr>
            <w:r>
              <w:t>13</w:t>
            </w:r>
          </w:p>
        </w:tc>
        <w:tc>
          <w:tcPr>
            <w:tcW w:w="3402" w:type="dxa"/>
            <w:vAlign w:val="center"/>
          </w:tcPr>
          <w:p w14:paraId="4EBA4BB7">
            <w:pPr>
              <w:pStyle w:val="12"/>
            </w:pPr>
          </w:p>
        </w:tc>
        <w:tc>
          <w:tcPr>
            <w:tcW w:w="1474" w:type="dxa"/>
            <w:vAlign w:val="center"/>
          </w:tcPr>
          <w:p w14:paraId="08D1BFA4">
            <w:pPr>
              <w:pStyle w:val="11"/>
            </w:pPr>
          </w:p>
        </w:tc>
        <w:tc>
          <w:tcPr>
            <w:tcW w:w="3402" w:type="dxa"/>
            <w:vAlign w:val="center"/>
          </w:tcPr>
          <w:p w14:paraId="1674449F">
            <w:pPr>
              <w:pStyle w:val="12"/>
            </w:pPr>
            <w:r>
              <w:t>十三、农林水支出</w:t>
            </w:r>
          </w:p>
        </w:tc>
        <w:tc>
          <w:tcPr>
            <w:tcW w:w="1474" w:type="dxa"/>
            <w:vAlign w:val="center"/>
          </w:tcPr>
          <w:p w14:paraId="22E5B34E">
            <w:pPr>
              <w:pStyle w:val="11"/>
            </w:pPr>
          </w:p>
        </w:tc>
        <w:tc>
          <w:tcPr>
            <w:tcW w:w="1474" w:type="dxa"/>
            <w:vAlign w:val="center"/>
          </w:tcPr>
          <w:p w14:paraId="74390B73">
            <w:pPr>
              <w:pStyle w:val="11"/>
            </w:pPr>
          </w:p>
        </w:tc>
        <w:tc>
          <w:tcPr>
            <w:tcW w:w="1474" w:type="dxa"/>
            <w:vAlign w:val="center"/>
          </w:tcPr>
          <w:p w14:paraId="1E36D3E3">
            <w:pPr>
              <w:pStyle w:val="11"/>
            </w:pPr>
          </w:p>
        </w:tc>
        <w:tc>
          <w:tcPr>
            <w:tcW w:w="1474" w:type="dxa"/>
            <w:vAlign w:val="center"/>
          </w:tcPr>
          <w:p w14:paraId="5B870C6F">
            <w:pPr>
              <w:pStyle w:val="11"/>
            </w:pPr>
          </w:p>
        </w:tc>
      </w:tr>
      <w:tr w14:paraId="2ED6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4DD79">
            <w:pPr>
              <w:pStyle w:val="13"/>
            </w:pPr>
            <w:r>
              <w:t>14</w:t>
            </w:r>
          </w:p>
        </w:tc>
        <w:tc>
          <w:tcPr>
            <w:tcW w:w="3402" w:type="dxa"/>
            <w:vAlign w:val="center"/>
          </w:tcPr>
          <w:p w14:paraId="65ADA24D">
            <w:pPr>
              <w:pStyle w:val="12"/>
            </w:pPr>
          </w:p>
        </w:tc>
        <w:tc>
          <w:tcPr>
            <w:tcW w:w="1474" w:type="dxa"/>
            <w:vAlign w:val="center"/>
          </w:tcPr>
          <w:p w14:paraId="4B5AC48B">
            <w:pPr>
              <w:pStyle w:val="11"/>
            </w:pPr>
          </w:p>
        </w:tc>
        <w:tc>
          <w:tcPr>
            <w:tcW w:w="3402" w:type="dxa"/>
            <w:vAlign w:val="center"/>
          </w:tcPr>
          <w:p w14:paraId="426C1840">
            <w:pPr>
              <w:pStyle w:val="12"/>
            </w:pPr>
            <w:r>
              <w:t>十四、交通运输支出</w:t>
            </w:r>
          </w:p>
        </w:tc>
        <w:tc>
          <w:tcPr>
            <w:tcW w:w="1474" w:type="dxa"/>
            <w:vAlign w:val="center"/>
          </w:tcPr>
          <w:p w14:paraId="03873BCC">
            <w:pPr>
              <w:pStyle w:val="11"/>
            </w:pPr>
          </w:p>
        </w:tc>
        <w:tc>
          <w:tcPr>
            <w:tcW w:w="1474" w:type="dxa"/>
            <w:vAlign w:val="center"/>
          </w:tcPr>
          <w:p w14:paraId="21914874">
            <w:pPr>
              <w:pStyle w:val="11"/>
            </w:pPr>
          </w:p>
        </w:tc>
        <w:tc>
          <w:tcPr>
            <w:tcW w:w="1474" w:type="dxa"/>
            <w:vAlign w:val="center"/>
          </w:tcPr>
          <w:p w14:paraId="2B02CFA3">
            <w:pPr>
              <w:pStyle w:val="11"/>
            </w:pPr>
          </w:p>
        </w:tc>
        <w:tc>
          <w:tcPr>
            <w:tcW w:w="1474" w:type="dxa"/>
            <w:vAlign w:val="center"/>
          </w:tcPr>
          <w:p w14:paraId="68F9B372">
            <w:pPr>
              <w:pStyle w:val="11"/>
            </w:pPr>
          </w:p>
        </w:tc>
      </w:tr>
      <w:tr w14:paraId="33889B21">
        <w:tblPrEx>
          <w:tblCellMar>
            <w:top w:w="0" w:type="dxa"/>
            <w:left w:w="108" w:type="dxa"/>
            <w:bottom w:w="0" w:type="dxa"/>
            <w:right w:w="108" w:type="dxa"/>
          </w:tblCellMar>
        </w:tblPrEx>
        <w:trPr>
          <w:trHeight w:val="369" w:hRule="atLeast"/>
          <w:jc w:val="center"/>
        </w:trPr>
        <w:tc>
          <w:tcPr>
            <w:tcW w:w="850" w:type="dxa"/>
            <w:vAlign w:val="center"/>
          </w:tcPr>
          <w:p w14:paraId="7418D44F">
            <w:pPr>
              <w:pStyle w:val="13"/>
            </w:pPr>
            <w:r>
              <w:t>15</w:t>
            </w:r>
          </w:p>
        </w:tc>
        <w:tc>
          <w:tcPr>
            <w:tcW w:w="3402" w:type="dxa"/>
            <w:vAlign w:val="center"/>
          </w:tcPr>
          <w:p w14:paraId="173DA5D9">
            <w:pPr>
              <w:pStyle w:val="12"/>
            </w:pPr>
          </w:p>
        </w:tc>
        <w:tc>
          <w:tcPr>
            <w:tcW w:w="1474" w:type="dxa"/>
            <w:vAlign w:val="center"/>
          </w:tcPr>
          <w:p w14:paraId="01FBC3CB">
            <w:pPr>
              <w:pStyle w:val="11"/>
            </w:pPr>
          </w:p>
        </w:tc>
        <w:tc>
          <w:tcPr>
            <w:tcW w:w="3402" w:type="dxa"/>
            <w:vAlign w:val="center"/>
          </w:tcPr>
          <w:p w14:paraId="155F4CC0">
            <w:pPr>
              <w:pStyle w:val="12"/>
            </w:pPr>
            <w:r>
              <w:t>十五、资源勘探工业信息等支出</w:t>
            </w:r>
          </w:p>
        </w:tc>
        <w:tc>
          <w:tcPr>
            <w:tcW w:w="1474" w:type="dxa"/>
            <w:vAlign w:val="center"/>
          </w:tcPr>
          <w:p w14:paraId="4F574E4C">
            <w:pPr>
              <w:pStyle w:val="11"/>
            </w:pPr>
          </w:p>
        </w:tc>
        <w:tc>
          <w:tcPr>
            <w:tcW w:w="1474" w:type="dxa"/>
            <w:vAlign w:val="center"/>
          </w:tcPr>
          <w:p w14:paraId="2CAC3783">
            <w:pPr>
              <w:pStyle w:val="11"/>
            </w:pPr>
          </w:p>
        </w:tc>
        <w:tc>
          <w:tcPr>
            <w:tcW w:w="1474" w:type="dxa"/>
            <w:vAlign w:val="center"/>
          </w:tcPr>
          <w:p w14:paraId="18A7642E">
            <w:pPr>
              <w:pStyle w:val="11"/>
            </w:pPr>
          </w:p>
        </w:tc>
        <w:tc>
          <w:tcPr>
            <w:tcW w:w="1474" w:type="dxa"/>
            <w:vAlign w:val="center"/>
          </w:tcPr>
          <w:p w14:paraId="6DA504FE">
            <w:pPr>
              <w:pStyle w:val="11"/>
            </w:pPr>
          </w:p>
        </w:tc>
      </w:tr>
      <w:tr w14:paraId="5AEA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B8BBF">
            <w:pPr>
              <w:pStyle w:val="13"/>
            </w:pPr>
            <w:r>
              <w:t>16</w:t>
            </w:r>
          </w:p>
        </w:tc>
        <w:tc>
          <w:tcPr>
            <w:tcW w:w="3402" w:type="dxa"/>
            <w:vAlign w:val="center"/>
          </w:tcPr>
          <w:p w14:paraId="35B112C6">
            <w:pPr>
              <w:pStyle w:val="12"/>
            </w:pPr>
          </w:p>
        </w:tc>
        <w:tc>
          <w:tcPr>
            <w:tcW w:w="1474" w:type="dxa"/>
            <w:vAlign w:val="center"/>
          </w:tcPr>
          <w:p w14:paraId="2F4D2E0D">
            <w:pPr>
              <w:pStyle w:val="11"/>
            </w:pPr>
          </w:p>
        </w:tc>
        <w:tc>
          <w:tcPr>
            <w:tcW w:w="3402" w:type="dxa"/>
            <w:vAlign w:val="center"/>
          </w:tcPr>
          <w:p w14:paraId="15915475">
            <w:pPr>
              <w:pStyle w:val="12"/>
            </w:pPr>
            <w:r>
              <w:t>十六、商业服务业等支出</w:t>
            </w:r>
          </w:p>
        </w:tc>
        <w:tc>
          <w:tcPr>
            <w:tcW w:w="1474" w:type="dxa"/>
            <w:vAlign w:val="center"/>
          </w:tcPr>
          <w:p w14:paraId="00C6F498">
            <w:pPr>
              <w:pStyle w:val="11"/>
            </w:pPr>
          </w:p>
        </w:tc>
        <w:tc>
          <w:tcPr>
            <w:tcW w:w="1474" w:type="dxa"/>
            <w:vAlign w:val="center"/>
          </w:tcPr>
          <w:p w14:paraId="661A98CE">
            <w:pPr>
              <w:pStyle w:val="11"/>
            </w:pPr>
          </w:p>
        </w:tc>
        <w:tc>
          <w:tcPr>
            <w:tcW w:w="1474" w:type="dxa"/>
            <w:vAlign w:val="center"/>
          </w:tcPr>
          <w:p w14:paraId="6D70AC8C">
            <w:pPr>
              <w:pStyle w:val="11"/>
            </w:pPr>
          </w:p>
        </w:tc>
        <w:tc>
          <w:tcPr>
            <w:tcW w:w="1474" w:type="dxa"/>
            <w:vAlign w:val="center"/>
          </w:tcPr>
          <w:p w14:paraId="13A7FB6B">
            <w:pPr>
              <w:pStyle w:val="11"/>
            </w:pPr>
          </w:p>
        </w:tc>
      </w:tr>
      <w:tr w14:paraId="5AA8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E3570">
            <w:pPr>
              <w:pStyle w:val="13"/>
            </w:pPr>
            <w:r>
              <w:t>17</w:t>
            </w:r>
          </w:p>
        </w:tc>
        <w:tc>
          <w:tcPr>
            <w:tcW w:w="3402" w:type="dxa"/>
            <w:vAlign w:val="center"/>
          </w:tcPr>
          <w:p w14:paraId="575594C4">
            <w:pPr>
              <w:pStyle w:val="12"/>
            </w:pPr>
          </w:p>
        </w:tc>
        <w:tc>
          <w:tcPr>
            <w:tcW w:w="1474" w:type="dxa"/>
            <w:vAlign w:val="center"/>
          </w:tcPr>
          <w:p w14:paraId="76060133">
            <w:pPr>
              <w:pStyle w:val="11"/>
            </w:pPr>
          </w:p>
        </w:tc>
        <w:tc>
          <w:tcPr>
            <w:tcW w:w="3402" w:type="dxa"/>
            <w:vAlign w:val="center"/>
          </w:tcPr>
          <w:p w14:paraId="55B9AFF3">
            <w:pPr>
              <w:pStyle w:val="12"/>
            </w:pPr>
            <w:r>
              <w:t>十七、金融支出</w:t>
            </w:r>
          </w:p>
        </w:tc>
        <w:tc>
          <w:tcPr>
            <w:tcW w:w="1474" w:type="dxa"/>
            <w:vAlign w:val="center"/>
          </w:tcPr>
          <w:p w14:paraId="59FAA200">
            <w:pPr>
              <w:pStyle w:val="11"/>
            </w:pPr>
          </w:p>
        </w:tc>
        <w:tc>
          <w:tcPr>
            <w:tcW w:w="1474" w:type="dxa"/>
            <w:vAlign w:val="center"/>
          </w:tcPr>
          <w:p w14:paraId="4C5953F6">
            <w:pPr>
              <w:pStyle w:val="11"/>
            </w:pPr>
          </w:p>
        </w:tc>
        <w:tc>
          <w:tcPr>
            <w:tcW w:w="1474" w:type="dxa"/>
            <w:vAlign w:val="center"/>
          </w:tcPr>
          <w:p w14:paraId="3F7B91C7">
            <w:pPr>
              <w:pStyle w:val="11"/>
            </w:pPr>
          </w:p>
        </w:tc>
        <w:tc>
          <w:tcPr>
            <w:tcW w:w="1474" w:type="dxa"/>
            <w:vAlign w:val="center"/>
          </w:tcPr>
          <w:p w14:paraId="3E1CD804">
            <w:pPr>
              <w:pStyle w:val="11"/>
            </w:pPr>
          </w:p>
        </w:tc>
      </w:tr>
      <w:tr w14:paraId="4D766C52">
        <w:tblPrEx>
          <w:tblCellMar>
            <w:top w:w="0" w:type="dxa"/>
            <w:left w:w="108" w:type="dxa"/>
            <w:bottom w:w="0" w:type="dxa"/>
            <w:right w:w="108" w:type="dxa"/>
          </w:tblCellMar>
        </w:tblPrEx>
        <w:trPr>
          <w:trHeight w:val="369" w:hRule="atLeast"/>
          <w:jc w:val="center"/>
        </w:trPr>
        <w:tc>
          <w:tcPr>
            <w:tcW w:w="850" w:type="dxa"/>
            <w:vAlign w:val="center"/>
          </w:tcPr>
          <w:p w14:paraId="6E57F8A5">
            <w:pPr>
              <w:pStyle w:val="13"/>
            </w:pPr>
            <w:r>
              <w:t>18</w:t>
            </w:r>
          </w:p>
        </w:tc>
        <w:tc>
          <w:tcPr>
            <w:tcW w:w="3402" w:type="dxa"/>
            <w:vAlign w:val="center"/>
          </w:tcPr>
          <w:p w14:paraId="46C11BC4">
            <w:pPr>
              <w:pStyle w:val="12"/>
            </w:pPr>
          </w:p>
        </w:tc>
        <w:tc>
          <w:tcPr>
            <w:tcW w:w="1474" w:type="dxa"/>
            <w:vAlign w:val="center"/>
          </w:tcPr>
          <w:p w14:paraId="19E8A3FA">
            <w:pPr>
              <w:pStyle w:val="11"/>
            </w:pPr>
          </w:p>
        </w:tc>
        <w:tc>
          <w:tcPr>
            <w:tcW w:w="3402" w:type="dxa"/>
            <w:vAlign w:val="center"/>
          </w:tcPr>
          <w:p w14:paraId="25534A4A">
            <w:pPr>
              <w:pStyle w:val="12"/>
            </w:pPr>
            <w:r>
              <w:t>十八、援助其他地区支出</w:t>
            </w:r>
          </w:p>
        </w:tc>
        <w:tc>
          <w:tcPr>
            <w:tcW w:w="1474" w:type="dxa"/>
            <w:vAlign w:val="center"/>
          </w:tcPr>
          <w:p w14:paraId="47E9E2A7">
            <w:pPr>
              <w:pStyle w:val="11"/>
            </w:pPr>
          </w:p>
        </w:tc>
        <w:tc>
          <w:tcPr>
            <w:tcW w:w="1474" w:type="dxa"/>
            <w:vAlign w:val="center"/>
          </w:tcPr>
          <w:p w14:paraId="65B87E6D">
            <w:pPr>
              <w:pStyle w:val="11"/>
            </w:pPr>
          </w:p>
        </w:tc>
        <w:tc>
          <w:tcPr>
            <w:tcW w:w="1474" w:type="dxa"/>
            <w:vAlign w:val="center"/>
          </w:tcPr>
          <w:p w14:paraId="470F28C6">
            <w:pPr>
              <w:pStyle w:val="11"/>
            </w:pPr>
          </w:p>
        </w:tc>
        <w:tc>
          <w:tcPr>
            <w:tcW w:w="1474" w:type="dxa"/>
            <w:vAlign w:val="center"/>
          </w:tcPr>
          <w:p w14:paraId="2CC8E4A3">
            <w:pPr>
              <w:pStyle w:val="11"/>
            </w:pPr>
          </w:p>
        </w:tc>
      </w:tr>
      <w:tr w14:paraId="306F0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E154">
            <w:pPr>
              <w:pStyle w:val="13"/>
            </w:pPr>
            <w:r>
              <w:t>19</w:t>
            </w:r>
          </w:p>
        </w:tc>
        <w:tc>
          <w:tcPr>
            <w:tcW w:w="3402" w:type="dxa"/>
            <w:vAlign w:val="center"/>
          </w:tcPr>
          <w:p w14:paraId="79EB7ADC">
            <w:pPr>
              <w:pStyle w:val="12"/>
            </w:pPr>
          </w:p>
        </w:tc>
        <w:tc>
          <w:tcPr>
            <w:tcW w:w="1474" w:type="dxa"/>
            <w:vAlign w:val="center"/>
          </w:tcPr>
          <w:p w14:paraId="2FC6C994">
            <w:pPr>
              <w:pStyle w:val="11"/>
            </w:pPr>
          </w:p>
        </w:tc>
        <w:tc>
          <w:tcPr>
            <w:tcW w:w="3402" w:type="dxa"/>
            <w:vAlign w:val="center"/>
          </w:tcPr>
          <w:p w14:paraId="786EC92F">
            <w:pPr>
              <w:pStyle w:val="12"/>
            </w:pPr>
            <w:r>
              <w:t>十九、自然资源海洋气象等支出</w:t>
            </w:r>
          </w:p>
        </w:tc>
        <w:tc>
          <w:tcPr>
            <w:tcW w:w="1474" w:type="dxa"/>
            <w:vAlign w:val="center"/>
          </w:tcPr>
          <w:p w14:paraId="12EA45B5">
            <w:pPr>
              <w:pStyle w:val="11"/>
            </w:pPr>
          </w:p>
        </w:tc>
        <w:tc>
          <w:tcPr>
            <w:tcW w:w="1474" w:type="dxa"/>
            <w:vAlign w:val="center"/>
          </w:tcPr>
          <w:p w14:paraId="02C63F6A">
            <w:pPr>
              <w:pStyle w:val="11"/>
            </w:pPr>
          </w:p>
        </w:tc>
        <w:tc>
          <w:tcPr>
            <w:tcW w:w="1474" w:type="dxa"/>
            <w:vAlign w:val="center"/>
          </w:tcPr>
          <w:p w14:paraId="4FF1183E">
            <w:pPr>
              <w:pStyle w:val="11"/>
            </w:pPr>
          </w:p>
        </w:tc>
        <w:tc>
          <w:tcPr>
            <w:tcW w:w="1474" w:type="dxa"/>
            <w:vAlign w:val="center"/>
          </w:tcPr>
          <w:p w14:paraId="4D5FD32F">
            <w:pPr>
              <w:pStyle w:val="11"/>
            </w:pPr>
          </w:p>
        </w:tc>
      </w:tr>
      <w:tr w14:paraId="7D4D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DCAE9">
            <w:pPr>
              <w:pStyle w:val="13"/>
            </w:pPr>
            <w:r>
              <w:t>20</w:t>
            </w:r>
          </w:p>
        </w:tc>
        <w:tc>
          <w:tcPr>
            <w:tcW w:w="3402" w:type="dxa"/>
            <w:vAlign w:val="center"/>
          </w:tcPr>
          <w:p w14:paraId="14AE2B2D">
            <w:pPr>
              <w:pStyle w:val="12"/>
            </w:pPr>
          </w:p>
        </w:tc>
        <w:tc>
          <w:tcPr>
            <w:tcW w:w="1474" w:type="dxa"/>
            <w:vAlign w:val="center"/>
          </w:tcPr>
          <w:p w14:paraId="040BEA97">
            <w:pPr>
              <w:pStyle w:val="11"/>
            </w:pPr>
          </w:p>
        </w:tc>
        <w:tc>
          <w:tcPr>
            <w:tcW w:w="3402" w:type="dxa"/>
            <w:vAlign w:val="center"/>
          </w:tcPr>
          <w:p w14:paraId="38E37BD1">
            <w:pPr>
              <w:pStyle w:val="12"/>
            </w:pPr>
            <w:r>
              <w:t>二十、住房保障支出</w:t>
            </w:r>
          </w:p>
        </w:tc>
        <w:tc>
          <w:tcPr>
            <w:tcW w:w="1474" w:type="dxa"/>
            <w:vAlign w:val="center"/>
          </w:tcPr>
          <w:p w14:paraId="6345DEAE">
            <w:pPr>
              <w:pStyle w:val="11"/>
            </w:pPr>
          </w:p>
        </w:tc>
        <w:tc>
          <w:tcPr>
            <w:tcW w:w="1474" w:type="dxa"/>
            <w:vAlign w:val="center"/>
          </w:tcPr>
          <w:p w14:paraId="0C2050B4">
            <w:pPr>
              <w:pStyle w:val="11"/>
            </w:pPr>
          </w:p>
        </w:tc>
        <w:tc>
          <w:tcPr>
            <w:tcW w:w="1474" w:type="dxa"/>
            <w:vAlign w:val="center"/>
          </w:tcPr>
          <w:p w14:paraId="11A8BDE1">
            <w:pPr>
              <w:pStyle w:val="11"/>
            </w:pPr>
          </w:p>
        </w:tc>
        <w:tc>
          <w:tcPr>
            <w:tcW w:w="1474" w:type="dxa"/>
            <w:vAlign w:val="center"/>
          </w:tcPr>
          <w:p w14:paraId="33162C6E">
            <w:pPr>
              <w:pStyle w:val="11"/>
            </w:pPr>
          </w:p>
        </w:tc>
      </w:tr>
      <w:tr w14:paraId="55C0201A">
        <w:tblPrEx>
          <w:tblCellMar>
            <w:top w:w="0" w:type="dxa"/>
            <w:left w:w="108" w:type="dxa"/>
            <w:bottom w:w="0" w:type="dxa"/>
            <w:right w:w="108" w:type="dxa"/>
          </w:tblCellMar>
        </w:tblPrEx>
        <w:trPr>
          <w:trHeight w:val="369" w:hRule="atLeast"/>
          <w:jc w:val="center"/>
        </w:trPr>
        <w:tc>
          <w:tcPr>
            <w:tcW w:w="850" w:type="dxa"/>
            <w:vAlign w:val="center"/>
          </w:tcPr>
          <w:p w14:paraId="1DFBB169">
            <w:pPr>
              <w:pStyle w:val="13"/>
            </w:pPr>
            <w:r>
              <w:t>21</w:t>
            </w:r>
          </w:p>
        </w:tc>
        <w:tc>
          <w:tcPr>
            <w:tcW w:w="3402" w:type="dxa"/>
            <w:vAlign w:val="center"/>
          </w:tcPr>
          <w:p w14:paraId="52150BC4">
            <w:pPr>
              <w:pStyle w:val="12"/>
            </w:pPr>
          </w:p>
        </w:tc>
        <w:tc>
          <w:tcPr>
            <w:tcW w:w="1474" w:type="dxa"/>
            <w:vAlign w:val="center"/>
          </w:tcPr>
          <w:p w14:paraId="741D4CF7">
            <w:pPr>
              <w:pStyle w:val="11"/>
            </w:pPr>
          </w:p>
        </w:tc>
        <w:tc>
          <w:tcPr>
            <w:tcW w:w="3402" w:type="dxa"/>
            <w:vAlign w:val="center"/>
          </w:tcPr>
          <w:p w14:paraId="42FFFCA9">
            <w:pPr>
              <w:pStyle w:val="12"/>
            </w:pPr>
            <w:r>
              <w:t>二十一、粮油物资储备支出</w:t>
            </w:r>
          </w:p>
        </w:tc>
        <w:tc>
          <w:tcPr>
            <w:tcW w:w="1474" w:type="dxa"/>
            <w:vAlign w:val="center"/>
          </w:tcPr>
          <w:p w14:paraId="4BAC7FCE">
            <w:pPr>
              <w:pStyle w:val="11"/>
            </w:pPr>
          </w:p>
        </w:tc>
        <w:tc>
          <w:tcPr>
            <w:tcW w:w="1474" w:type="dxa"/>
            <w:vAlign w:val="center"/>
          </w:tcPr>
          <w:p w14:paraId="0736D30A">
            <w:pPr>
              <w:pStyle w:val="11"/>
            </w:pPr>
          </w:p>
        </w:tc>
        <w:tc>
          <w:tcPr>
            <w:tcW w:w="1474" w:type="dxa"/>
            <w:vAlign w:val="center"/>
          </w:tcPr>
          <w:p w14:paraId="12891C10">
            <w:pPr>
              <w:pStyle w:val="11"/>
            </w:pPr>
          </w:p>
        </w:tc>
        <w:tc>
          <w:tcPr>
            <w:tcW w:w="1474" w:type="dxa"/>
            <w:vAlign w:val="center"/>
          </w:tcPr>
          <w:p w14:paraId="5A933E55">
            <w:pPr>
              <w:pStyle w:val="11"/>
            </w:pPr>
          </w:p>
        </w:tc>
      </w:tr>
      <w:tr w14:paraId="31FD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9C51A">
            <w:pPr>
              <w:pStyle w:val="13"/>
            </w:pPr>
            <w:r>
              <w:t>22</w:t>
            </w:r>
          </w:p>
        </w:tc>
        <w:tc>
          <w:tcPr>
            <w:tcW w:w="3402" w:type="dxa"/>
            <w:vAlign w:val="center"/>
          </w:tcPr>
          <w:p w14:paraId="571DA01D">
            <w:pPr>
              <w:pStyle w:val="12"/>
            </w:pPr>
          </w:p>
        </w:tc>
        <w:tc>
          <w:tcPr>
            <w:tcW w:w="1474" w:type="dxa"/>
            <w:vAlign w:val="center"/>
          </w:tcPr>
          <w:p w14:paraId="6330444C">
            <w:pPr>
              <w:pStyle w:val="11"/>
            </w:pPr>
          </w:p>
        </w:tc>
        <w:tc>
          <w:tcPr>
            <w:tcW w:w="3402" w:type="dxa"/>
            <w:vAlign w:val="center"/>
          </w:tcPr>
          <w:p w14:paraId="20A585F8">
            <w:pPr>
              <w:pStyle w:val="12"/>
            </w:pPr>
            <w:r>
              <w:t>二十二、国有资本经营预算支出</w:t>
            </w:r>
          </w:p>
        </w:tc>
        <w:tc>
          <w:tcPr>
            <w:tcW w:w="1474" w:type="dxa"/>
            <w:vAlign w:val="center"/>
          </w:tcPr>
          <w:p w14:paraId="5652DDF6">
            <w:pPr>
              <w:pStyle w:val="11"/>
            </w:pPr>
          </w:p>
        </w:tc>
        <w:tc>
          <w:tcPr>
            <w:tcW w:w="1474" w:type="dxa"/>
            <w:vAlign w:val="center"/>
          </w:tcPr>
          <w:p w14:paraId="69D7FB89">
            <w:pPr>
              <w:pStyle w:val="11"/>
            </w:pPr>
          </w:p>
        </w:tc>
        <w:tc>
          <w:tcPr>
            <w:tcW w:w="1474" w:type="dxa"/>
            <w:vAlign w:val="center"/>
          </w:tcPr>
          <w:p w14:paraId="2687581C">
            <w:pPr>
              <w:pStyle w:val="11"/>
            </w:pPr>
          </w:p>
        </w:tc>
        <w:tc>
          <w:tcPr>
            <w:tcW w:w="1474" w:type="dxa"/>
            <w:vAlign w:val="center"/>
          </w:tcPr>
          <w:p w14:paraId="20E73EF5">
            <w:pPr>
              <w:pStyle w:val="11"/>
            </w:pPr>
          </w:p>
        </w:tc>
      </w:tr>
      <w:tr w14:paraId="0B0B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508B">
            <w:pPr>
              <w:pStyle w:val="13"/>
            </w:pPr>
            <w:r>
              <w:t>23</w:t>
            </w:r>
          </w:p>
        </w:tc>
        <w:tc>
          <w:tcPr>
            <w:tcW w:w="3402" w:type="dxa"/>
            <w:vAlign w:val="center"/>
          </w:tcPr>
          <w:p w14:paraId="305A2DAA">
            <w:pPr>
              <w:pStyle w:val="12"/>
            </w:pPr>
          </w:p>
        </w:tc>
        <w:tc>
          <w:tcPr>
            <w:tcW w:w="1474" w:type="dxa"/>
            <w:vAlign w:val="center"/>
          </w:tcPr>
          <w:p w14:paraId="1015B2E6">
            <w:pPr>
              <w:pStyle w:val="11"/>
            </w:pPr>
          </w:p>
        </w:tc>
        <w:tc>
          <w:tcPr>
            <w:tcW w:w="3402" w:type="dxa"/>
            <w:vAlign w:val="center"/>
          </w:tcPr>
          <w:p w14:paraId="133B5E84">
            <w:pPr>
              <w:pStyle w:val="12"/>
            </w:pPr>
            <w:r>
              <w:t>二十三、灾害防治及应急管理支出</w:t>
            </w:r>
          </w:p>
        </w:tc>
        <w:tc>
          <w:tcPr>
            <w:tcW w:w="1474" w:type="dxa"/>
            <w:vAlign w:val="center"/>
          </w:tcPr>
          <w:p w14:paraId="622B26B4">
            <w:pPr>
              <w:pStyle w:val="11"/>
            </w:pPr>
          </w:p>
        </w:tc>
        <w:tc>
          <w:tcPr>
            <w:tcW w:w="1474" w:type="dxa"/>
            <w:vAlign w:val="center"/>
          </w:tcPr>
          <w:p w14:paraId="771258F3">
            <w:pPr>
              <w:pStyle w:val="11"/>
            </w:pPr>
          </w:p>
        </w:tc>
        <w:tc>
          <w:tcPr>
            <w:tcW w:w="1474" w:type="dxa"/>
            <w:vAlign w:val="center"/>
          </w:tcPr>
          <w:p w14:paraId="00FB9B35">
            <w:pPr>
              <w:pStyle w:val="11"/>
            </w:pPr>
          </w:p>
        </w:tc>
        <w:tc>
          <w:tcPr>
            <w:tcW w:w="1474" w:type="dxa"/>
            <w:vAlign w:val="center"/>
          </w:tcPr>
          <w:p w14:paraId="2199B120">
            <w:pPr>
              <w:pStyle w:val="11"/>
            </w:pPr>
          </w:p>
        </w:tc>
      </w:tr>
      <w:tr w14:paraId="4E08A0D3">
        <w:tblPrEx>
          <w:tblCellMar>
            <w:top w:w="0" w:type="dxa"/>
            <w:left w:w="108" w:type="dxa"/>
            <w:bottom w:w="0" w:type="dxa"/>
            <w:right w:w="108" w:type="dxa"/>
          </w:tblCellMar>
        </w:tblPrEx>
        <w:trPr>
          <w:trHeight w:val="369" w:hRule="atLeast"/>
          <w:jc w:val="center"/>
        </w:trPr>
        <w:tc>
          <w:tcPr>
            <w:tcW w:w="850" w:type="dxa"/>
            <w:vAlign w:val="center"/>
          </w:tcPr>
          <w:p w14:paraId="2DFB0B37">
            <w:pPr>
              <w:pStyle w:val="13"/>
            </w:pPr>
            <w:r>
              <w:t>24</w:t>
            </w:r>
          </w:p>
        </w:tc>
        <w:tc>
          <w:tcPr>
            <w:tcW w:w="3402" w:type="dxa"/>
            <w:vAlign w:val="center"/>
          </w:tcPr>
          <w:p w14:paraId="02EC7F2A">
            <w:pPr>
              <w:pStyle w:val="12"/>
            </w:pPr>
          </w:p>
        </w:tc>
        <w:tc>
          <w:tcPr>
            <w:tcW w:w="1474" w:type="dxa"/>
            <w:vAlign w:val="center"/>
          </w:tcPr>
          <w:p w14:paraId="3F624214">
            <w:pPr>
              <w:pStyle w:val="11"/>
            </w:pPr>
          </w:p>
        </w:tc>
        <w:tc>
          <w:tcPr>
            <w:tcW w:w="3402" w:type="dxa"/>
            <w:vAlign w:val="center"/>
          </w:tcPr>
          <w:p w14:paraId="4F341331">
            <w:pPr>
              <w:pStyle w:val="12"/>
            </w:pPr>
            <w:r>
              <w:t>二十四、预备费</w:t>
            </w:r>
          </w:p>
        </w:tc>
        <w:tc>
          <w:tcPr>
            <w:tcW w:w="1474" w:type="dxa"/>
            <w:vAlign w:val="center"/>
          </w:tcPr>
          <w:p w14:paraId="0729E44F">
            <w:pPr>
              <w:pStyle w:val="11"/>
            </w:pPr>
          </w:p>
        </w:tc>
        <w:tc>
          <w:tcPr>
            <w:tcW w:w="1474" w:type="dxa"/>
            <w:vAlign w:val="center"/>
          </w:tcPr>
          <w:p w14:paraId="72D6E384">
            <w:pPr>
              <w:pStyle w:val="11"/>
            </w:pPr>
          </w:p>
        </w:tc>
        <w:tc>
          <w:tcPr>
            <w:tcW w:w="1474" w:type="dxa"/>
            <w:vAlign w:val="center"/>
          </w:tcPr>
          <w:p w14:paraId="6AFDE539">
            <w:pPr>
              <w:pStyle w:val="11"/>
            </w:pPr>
          </w:p>
        </w:tc>
        <w:tc>
          <w:tcPr>
            <w:tcW w:w="1474" w:type="dxa"/>
            <w:vAlign w:val="center"/>
          </w:tcPr>
          <w:p w14:paraId="25354356">
            <w:pPr>
              <w:pStyle w:val="11"/>
            </w:pPr>
          </w:p>
        </w:tc>
      </w:tr>
      <w:tr w14:paraId="507F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9EC6">
            <w:pPr>
              <w:pStyle w:val="13"/>
            </w:pPr>
            <w:r>
              <w:t>25</w:t>
            </w:r>
          </w:p>
        </w:tc>
        <w:tc>
          <w:tcPr>
            <w:tcW w:w="3402" w:type="dxa"/>
            <w:vAlign w:val="center"/>
          </w:tcPr>
          <w:p w14:paraId="6D4B1098">
            <w:pPr>
              <w:pStyle w:val="12"/>
            </w:pPr>
          </w:p>
        </w:tc>
        <w:tc>
          <w:tcPr>
            <w:tcW w:w="1474" w:type="dxa"/>
            <w:vAlign w:val="center"/>
          </w:tcPr>
          <w:p w14:paraId="4125D421">
            <w:pPr>
              <w:pStyle w:val="11"/>
            </w:pPr>
          </w:p>
        </w:tc>
        <w:tc>
          <w:tcPr>
            <w:tcW w:w="3402" w:type="dxa"/>
            <w:vAlign w:val="center"/>
          </w:tcPr>
          <w:p w14:paraId="2FD3F02B">
            <w:pPr>
              <w:pStyle w:val="12"/>
            </w:pPr>
            <w:r>
              <w:t>二十五、其他支出</w:t>
            </w:r>
          </w:p>
        </w:tc>
        <w:tc>
          <w:tcPr>
            <w:tcW w:w="1474" w:type="dxa"/>
            <w:vAlign w:val="center"/>
          </w:tcPr>
          <w:p w14:paraId="297D90A2">
            <w:pPr>
              <w:pStyle w:val="11"/>
            </w:pPr>
          </w:p>
        </w:tc>
        <w:tc>
          <w:tcPr>
            <w:tcW w:w="1474" w:type="dxa"/>
            <w:vAlign w:val="center"/>
          </w:tcPr>
          <w:p w14:paraId="5BAC74FB">
            <w:pPr>
              <w:pStyle w:val="11"/>
            </w:pPr>
          </w:p>
        </w:tc>
        <w:tc>
          <w:tcPr>
            <w:tcW w:w="1474" w:type="dxa"/>
            <w:vAlign w:val="center"/>
          </w:tcPr>
          <w:p w14:paraId="2024CCFD">
            <w:pPr>
              <w:pStyle w:val="11"/>
            </w:pPr>
          </w:p>
        </w:tc>
        <w:tc>
          <w:tcPr>
            <w:tcW w:w="1474" w:type="dxa"/>
            <w:vAlign w:val="center"/>
          </w:tcPr>
          <w:p w14:paraId="395C4042">
            <w:pPr>
              <w:pStyle w:val="11"/>
            </w:pPr>
          </w:p>
        </w:tc>
      </w:tr>
      <w:tr w14:paraId="45E4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E4F32">
            <w:pPr>
              <w:pStyle w:val="13"/>
            </w:pPr>
            <w:r>
              <w:t>26</w:t>
            </w:r>
          </w:p>
        </w:tc>
        <w:tc>
          <w:tcPr>
            <w:tcW w:w="3402" w:type="dxa"/>
            <w:vAlign w:val="center"/>
          </w:tcPr>
          <w:p w14:paraId="23C2F134">
            <w:pPr>
              <w:pStyle w:val="12"/>
            </w:pPr>
          </w:p>
        </w:tc>
        <w:tc>
          <w:tcPr>
            <w:tcW w:w="1474" w:type="dxa"/>
            <w:vAlign w:val="center"/>
          </w:tcPr>
          <w:p w14:paraId="27B3C76E">
            <w:pPr>
              <w:pStyle w:val="11"/>
            </w:pPr>
          </w:p>
        </w:tc>
        <w:tc>
          <w:tcPr>
            <w:tcW w:w="3402" w:type="dxa"/>
            <w:vAlign w:val="center"/>
          </w:tcPr>
          <w:p w14:paraId="79DB6536">
            <w:pPr>
              <w:pStyle w:val="12"/>
            </w:pPr>
            <w:r>
              <w:t>二十六、转移性支出</w:t>
            </w:r>
          </w:p>
        </w:tc>
        <w:tc>
          <w:tcPr>
            <w:tcW w:w="1474" w:type="dxa"/>
            <w:vAlign w:val="center"/>
          </w:tcPr>
          <w:p w14:paraId="38FF6530">
            <w:pPr>
              <w:pStyle w:val="11"/>
            </w:pPr>
          </w:p>
        </w:tc>
        <w:tc>
          <w:tcPr>
            <w:tcW w:w="1474" w:type="dxa"/>
            <w:vAlign w:val="center"/>
          </w:tcPr>
          <w:p w14:paraId="60DE8AA3">
            <w:pPr>
              <w:pStyle w:val="11"/>
            </w:pPr>
          </w:p>
        </w:tc>
        <w:tc>
          <w:tcPr>
            <w:tcW w:w="1474" w:type="dxa"/>
            <w:vAlign w:val="center"/>
          </w:tcPr>
          <w:p w14:paraId="46D6A585">
            <w:pPr>
              <w:pStyle w:val="11"/>
            </w:pPr>
          </w:p>
        </w:tc>
        <w:tc>
          <w:tcPr>
            <w:tcW w:w="1474" w:type="dxa"/>
            <w:vAlign w:val="center"/>
          </w:tcPr>
          <w:p w14:paraId="368ADDC9">
            <w:pPr>
              <w:pStyle w:val="11"/>
            </w:pPr>
          </w:p>
        </w:tc>
      </w:tr>
      <w:tr w14:paraId="11C58CC2">
        <w:tblPrEx>
          <w:tblCellMar>
            <w:top w:w="0" w:type="dxa"/>
            <w:left w:w="108" w:type="dxa"/>
            <w:bottom w:w="0" w:type="dxa"/>
            <w:right w:w="108" w:type="dxa"/>
          </w:tblCellMar>
        </w:tblPrEx>
        <w:trPr>
          <w:trHeight w:val="369" w:hRule="atLeast"/>
          <w:jc w:val="center"/>
        </w:trPr>
        <w:tc>
          <w:tcPr>
            <w:tcW w:w="850" w:type="dxa"/>
            <w:vAlign w:val="center"/>
          </w:tcPr>
          <w:p w14:paraId="2E9E3DAF">
            <w:pPr>
              <w:pStyle w:val="13"/>
            </w:pPr>
            <w:r>
              <w:t>27</w:t>
            </w:r>
          </w:p>
        </w:tc>
        <w:tc>
          <w:tcPr>
            <w:tcW w:w="3402" w:type="dxa"/>
            <w:vAlign w:val="center"/>
          </w:tcPr>
          <w:p w14:paraId="5E646ACB">
            <w:pPr>
              <w:pStyle w:val="12"/>
            </w:pPr>
          </w:p>
        </w:tc>
        <w:tc>
          <w:tcPr>
            <w:tcW w:w="1474" w:type="dxa"/>
            <w:vAlign w:val="center"/>
          </w:tcPr>
          <w:p w14:paraId="5619518B">
            <w:pPr>
              <w:pStyle w:val="11"/>
            </w:pPr>
          </w:p>
        </w:tc>
        <w:tc>
          <w:tcPr>
            <w:tcW w:w="3402" w:type="dxa"/>
            <w:vAlign w:val="center"/>
          </w:tcPr>
          <w:p w14:paraId="18206CEC">
            <w:pPr>
              <w:pStyle w:val="12"/>
            </w:pPr>
            <w:r>
              <w:t>二十七、债务还本支出</w:t>
            </w:r>
          </w:p>
        </w:tc>
        <w:tc>
          <w:tcPr>
            <w:tcW w:w="1474" w:type="dxa"/>
            <w:vAlign w:val="center"/>
          </w:tcPr>
          <w:p w14:paraId="58946B14">
            <w:pPr>
              <w:pStyle w:val="11"/>
            </w:pPr>
          </w:p>
        </w:tc>
        <w:tc>
          <w:tcPr>
            <w:tcW w:w="1474" w:type="dxa"/>
            <w:vAlign w:val="center"/>
          </w:tcPr>
          <w:p w14:paraId="79EB2093">
            <w:pPr>
              <w:pStyle w:val="11"/>
            </w:pPr>
          </w:p>
        </w:tc>
        <w:tc>
          <w:tcPr>
            <w:tcW w:w="1474" w:type="dxa"/>
            <w:vAlign w:val="center"/>
          </w:tcPr>
          <w:p w14:paraId="738443DC">
            <w:pPr>
              <w:pStyle w:val="11"/>
            </w:pPr>
          </w:p>
        </w:tc>
        <w:tc>
          <w:tcPr>
            <w:tcW w:w="1474" w:type="dxa"/>
            <w:vAlign w:val="center"/>
          </w:tcPr>
          <w:p w14:paraId="7E07D0E7">
            <w:pPr>
              <w:pStyle w:val="11"/>
            </w:pPr>
          </w:p>
        </w:tc>
      </w:tr>
      <w:tr w14:paraId="2F46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5C02D">
            <w:pPr>
              <w:pStyle w:val="13"/>
            </w:pPr>
            <w:r>
              <w:t>28</w:t>
            </w:r>
          </w:p>
        </w:tc>
        <w:tc>
          <w:tcPr>
            <w:tcW w:w="3402" w:type="dxa"/>
            <w:vAlign w:val="center"/>
          </w:tcPr>
          <w:p w14:paraId="0940A84B">
            <w:pPr>
              <w:pStyle w:val="12"/>
            </w:pPr>
          </w:p>
        </w:tc>
        <w:tc>
          <w:tcPr>
            <w:tcW w:w="1474" w:type="dxa"/>
            <w:vAlign w:val="center"/>
          </w:tcPr>
          <w:p w14:paraId="60FE1B7F">
            <w:pPr>
              <w:pStyle w:val="11"/>
            </w:pPr>
          </w:p>
        </w:tc>
        <w:tc>
          <w:tcPr>
            <w:tcW w:w="3402" w:type="dxa"/>
            <w:vAlign w:val="center"/>
          </w:tcPr>
          <w:p w14:paraId="63F3A541">
            <w:pPr>
              <w:pStyle w:val="12"/>
            </w:pPr>
            <w:r>
              <w:t>二十八、债务付息支出</w:t>
            </w:r>
          </w:p>
        </w:tc>
        <w:tc>
          <w:tcPr>
            <w:tcW w:w="1474" w:type="dxa"/>
            <w:vAlign w:val="center"/>
          </w:tcPr>
          <w:p w14:paraId="0A2F940C">
            <w:pPr>
              <w:pStyle w:val="11"/>
            </w:pPr>
          </w:p>
        </w:tc>
        <w:tc>
          <w:tcPr>
            <w:tcW w:w="1474" w:type="dxa"/>
            <w:vAlign w:val="center"/>
          </w:tcPr>
          <w:p w14:paraId="5A7E2E4B">
            <w:pPr>
              <w:pStyle w:val="11"/>
            </w:pPr>
          </w:p>
        </w:tc>
        <w:tc>
          <w:tcPr>
            <w:tcW w:w="1474" w:type="dxa"/>
            <w:vAlign w:val="center"/>
          </w:tcPr>
          <w:p w14:paraId="3D781D6A">
            <w:pPr>
              <w:pStyle w:val="11"/>
            </w:pPr>
          </w:p>
        </w:tc>
        <w:tc>
          <w:tcPr>
            <w:tcW w:w="1474" w:type="dxa"/>
            <w:vAlign w:val="center"/>
          </w:tcPr>
          <w:p w14:paraId="1D03661E">
            <w:pPr>
              <w:pStyle w:val="11"/>
            </w:pPr>
          </w:p>
        </w:tc>
      </w:tr>
      <w:tr w14:paraId="136B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988B">
            <w:pPr>
              <w:pStyle w:val="13"/>
            </w:pPr>
            <w:r>
              <w:t>29</w:t>
            </w:r>
          </w:p>
        </w:tc>
        <w:tc>
          <w:tcPr>
            <w:tcW w:w="3402" w:type="dxa"/>
            <w:vAlign w:val="center"/>
          </w:tcPr>
          <w:p w14:paraId="29A19D32">
            <w:pPr>
              <w:pStyle w:val="12"/>
            </w:pPr>
          </w:p>
        </w:tc>
        <w:tc>
          <w:tcPr>
            <w:tcW w:w="1474" w:type="dxa"/>
            <w:vAlign w:val="center"/>
          </w:tcPr>
          <w:p w14:paraId="727A7EA7">
            <w:pPr>
              <w:pStyle w:val="11"/>
            </w:pPr>
          </w:p>
        </w:tc>
        <w:tc>
          <w:tcPr>
            <w:tcW w:w="3402" w:type="dxa"/>
            <w:vAlign w:val="center"/>
          </w:tcPr>
          <w:p w14:paraId="121F7BB1">
            <w:pPr>
              <w:pStyle w:val="12"/>
            </w:pPr>
            <w:r>
              <w:t>二十九、债务发行费用支出</w:t>
            </w:r>
          </w:p>
        </w:tc>
        <w:tc>
          <w:tcPr>
            <w:tcW w:w="1474" w:type="dxa"/>
            <w:vAlign w:val="center"/>
          </w:tcPr>
          <w:p w14:paraId="20156A34">
            <w:pPr>
              <w:pStyle w:val="11"/>
            </w:pPr>
          </w:p>
        </w:tc>
        <w:tc>
          <w:tcPr>
            <w:tcW w:w="1474" w:type="dxa"/>
            <w:vAlign w:val="center"/>
          </w:tcPr>
          <w:p w14:paraId="77C9BDC7">
            <w:pPr>
              <w:pStyle w:val="11"/>
            </w:pPr>
          </w:p>
        </w:tc>
        <w:tc>
          <w:tcPr>
            <w:tcW w:w="1474" w:type="dxa"/>
            <w:vAlign w:val="center"/>
          </w:tcPr>
          <w:p w14:paraId="4D6E12DF">
            <w:pPr>
              <w:pStyle w:val="11"/>
            </w:pPr>
          </w:p>
        </w:tc>
        <w:tc>
          <w:tcPr>
            <w:tcW w:w="1474" w:type="dxa"/>
            <w:vAlign w:val="center"/>
          </w:tcPr>
          <w:p w14:paraId="1F4A84EC">
            <w:pPr>
              <w:pStyle w:val="11"/>
            </w:pPr>
          </w:p>
        </w:tc>
      </w:tr>
      <w:tr w14:paraId="10F08D91">
        <w:tblPrEx>
          <w:tblCellMar>
            <w:top w:w="0" w:type="dxa"/>
            <w:left w:w="108" w:type="dxa"/>
            <w:bottom w:w="0" w:type="dxa"/>
            <w:right w:w="108" w:type="dxa"/>
          </w:tblCellMar>
        </w:tblPrEx>
        <w:trPr>
          <w:trHeight w:val="369" w:hRule="atLeast"/>
          <w:jc w:val="center"/>
        </w:trPr>
        <w:tc>
          <w:tcPr>
            <w:tcW w:w="850" w:type="dxa"/>
            <w:vAlign w:val="center"/>
          </w:tcPr>
          <w:p w14:paraId="3C763F48">
            <w:pPr>
              <w:pStyle w:val="13"/>
            </w:pPr>
            <w:r>
              <w:t>30</w:t>
            </w:r>
          </w:p>
        </w:tc>
        <w:tc>
          <w:tcPr>
            <w:tcW w:w="3402" w:type="dxa"/>
            <w:vAlign w:val="center"/>
          </w:tcPr>
          <w:p w14:paraId="1800C776">
            <w:pPr>
              <w:pStyle w:val="12"/>
            </w:pPr>
          </w:p>
        </w:tc>
        <w:tc>
          <w:tcPr>
            <w:tcW w:w="1474" w:type="dxa"/>
            <w:vAlign w:val="center"/>
          </w:tcPr>
          <w:p w14:paraId="2C7B140C">
            <w:pPr>
              <w:pStyle w:val="11"/>
            </w:pPr>
          </w:p>
        </w:tc>
        <w:tc>
          <w:tcPr>
            <w:tcW w:w="3402" w:type="dxa"/>
            <w:vAlign w:val="center"/>
          </w:tcPr>
          <w:p w14:paraId="33776769">
            <w:pPr>
              <w:pStyle w:val="12"/>
            </w:pPr>
            <w:r>
              <w:t>三十、抗疫特别国债安排的支出</w:t>
            </w:r>
          </w:p>
        </w:tc>
        <w:tc>
          <w:tcPr>
            <w:tcW w:w="1474" w:type="dxa"/>
            <w:vAlign w:val="center"/>
          </w:tcPr>
          <w:p w14:paraId="52D85F01">
            <w:pPr>
              <w:pStyle w:val="11"/>
            </w:pPr>
          </w:p>
        </w:tc>
        <w:tc>
          <w:tcPr>
            <w:tcW w:w="1474" w:type="dxa"/>
            <w:vAlign w:val="center"/>
          </w:tcPr>
          <w:p w14:paraId="280EE067">
            <w:pPr>
              <w:pStyle w:val="11"/>
            </w:pPr>
          </w:p>
        </w:tc>
        <w:tc>
          <w:tcPr>
            <w:tcW w:w="1474" w:type="dxa"/>
            <w:vAlign w:val="center"/>
          </w:tcPr>
          <w:p w14:paraId="506199F9">
            <w:pPr>
              <w:pStyle w:val="11"/>
            </w:pPr>
          </w:p>
        </w:tc>
        <w:tc>
          <w:tcPr>
            <w:tcW w:w="1474" w:type="dxa"/>
            <w:vAlign w:val="center"/>
          </w:tcPr>
          <w:p w14:paraId="1021D349">
            <w:pPr>
              <w:pStyle w:val="11"/>
            </w:pPr>
          </w:p>
        </w:tc>
      </w:tr>
      <w:tr w14:paraId="744AC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FED2">
            <w:pPr>
              <w:pStyle w:val="13"/>
            </w:pPr>
            <w:r>
              <w:t>31</w:t>
            </w:r>
          </w:p>
        </w:tc>
        <w:tc>
          <w:tcPr>
            <w:tcW w:w="3402" w:type="dxa"/>
            <w:vAlign w:val="center"/>
          </w:tcPr>
          <w:p w14:paraId="49D4EA2C">
            <w:pPr>
              <w:pStyle w:val="12"/>
            </w:pPr>
          </w:p>
        </w:tc>
        <w:tc>
          <w:tcPr>
            <w:tcW w:w="1474" w:type="dxa"/>
            <w:vAlign w:val="center"/>
          </w:tcPr>
          <w:p w14:paraId="6C3E5535">
            <w:pPr>
              <w:pStyle w:val="11"/>
            </w:pPr>
          </w:p>
        </w:tc>
        <w:tc>
          <w:tcPr>
            <w:tcW w:w="3402" w:type="dxa"/>
            <w:vAlign w:val="center"/>
          </w:tcPr>
          <w:p w14:paraId="77DC4164">
            <w:pPr>
              <w:pStyle w:val="12"/>
            </w:pPr>
            <w:r>
              <w:t>三十一、人行科目</w:t>
            </w:r>
          </w:p>
        </w:tc>
        <w:tc>
          <w:tcPr>
            <w:tcW w:w="1474" w:type="dxa"/>
            <w:vAlign w:val="center"/>
          </w:tcPr>
          <w:p w14:paraId="41900F41">
            <w:pPr>
              <w:pStyle w:val="11"/>
            </w:pPr>
          </w:p>
        </w:tc>
        <w:tc>
          <w:tcPr>
            <w:tcW w:w="1474" w:type="dxa"/>
            <w:vAlign w:val="center"/>
          </w:tcPr>
          <w:p w14:paraId="2584FA03">
            <w:pPr>
              <w:pStyle w:val="11"/>
            </w:pPr>
          </w:p>
        </w:tc>
        <w:tc>
          <w:tcPr>
            <w:tcW w:w="1474" w:type="dxa"/>
            <w:vAlign w:val="center"/>
          </w:tcPr>
          <w:p w14:paraId="1CDCEE43">
            <w:pPr>
              <w:pStyle w:val="11"/>
            </w:pPr>
          </w:p>
        </w:tc>
        <w:tc>
          <w:tcPr>
            <w:tcW w:w="1474" w:type="dxa"/>
            <w:vAlign w:val="center"/>
          </w:tcPr>
          <w:p w14:paraId="421F3019">
            <w:pPr>
              <w:pStyle w:val="11"/>
            </w:pPr>
          </w:p>
        </w:tc>
      </w:tr>
      <w:tr w14:paraId="404A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D121">
            <w:pPr>
              <w:pStyle w:val="13"/>
            </w:pPr>
            <w:r>
              <w:t>32</w:t>
            </w:r>
          </w:p>
        </w:tc>
        <w:tc>
          <w:tcPr>
            <w:tcW w:w="3402" w:type="dxa"/>
            <w:vAlign w:val="center"/>
          </w:tcPr>
          <w:p w14:paraId="6469DDC6">
            <w:pPr>
              <w:pStyle w:val="14"/>
            </w:pPr>
            <w:r>
              <w:t>本年收入合计</w:t>
            </w:r>
          </w:p>
        </w:tc>
        <w:tc>
          <w:tcPr>
            <w:tcW w:w="1474" w:type="dxa"/>
            <w:vAlign w:val="center"/>
          </w:tcPr>
          <w:p w14:paraId="0B962483">
            <w:pPr>
              <w:pStyle w:val="15"/>
            </w:pPr>
            <w:r>
              <w:t>2280.10</w:t>
            </w:r>
          </w:p>
        </w:tc>
        <w:tc>
          <w:tcPr>
            <w:tcW w:w="3402" w:type="dxa"/>
            <w:vAlign w:val="center"/>
          </w:tcPr>
          <w:p w14:paraId="0537669E">
            <w:pPr>
              <w:pStyle w:val="14"/>
            </w:pPr>
            <w:r>
              <w:t>本年支出合计</w:t>
            </w:r>
          </w:p>
        </w:tc>
        <w:tc>
          <w:tcPr>
            <w:tcW w:w="1474" w:type="dxa"/>
            <w:vAlign w:val="center"/>
          </w:tcPr>
          <w:p w14:paraId="2977B44F">
            <w:pPr>
              <w:pStyle w:val="15"/>
            </w:pPr>
            <w:r>
              <w:t>2280.10</w:t>
            </w:r>
          </w:p>
        </w:tc>
        <w:tc>
          <w:tcPr>
            <w:tcW w:w="1474" w:type="dxa"/>
            <w:vAlign w:val="center"/>
          </w:tcPr>
          <w:p w14:paraId="2D95F2CC">
            <w:pPr>
              <w:pStyle w:val="15"/>
            </w:pPr>
            <w:r>
              <w:t>2280.10</w:t>
            </w:r>
          </w:p>
        </w:tc>
        <w:tc>
          <w:tcPr>
            <w:tcW w:w="1474" w:type="dxa"/>
            <w:vAlign w:val="center"/>
          </w:tcPr>
          <w:p w14:paraId="52153757">
            <w:pPr>
              <w:pStyle w:val="15"/>
            </w:pPr>
          </w:p>
        </w:tc>
        <w:tc>
          <w:tcPr>
            <w:tcW w:w="1474" w:type="dxa"/>
            <w:vAlign w:val="center"/>
          </w:tcPr>
          <w:p w14:paraId="1B44451C">
            <w:pPr>
              <w:pStyle w:val="15"/>
            </w:pPr>
          </w:p>
        </w:tc>
      </w:tr>
      <w:tr w14:paraId="363A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A6CC6">
            <w:pPr>
              <w:pStyle w:val="13"/>
            </w:pPr>
            <w:r>
              <w:t>33</w:t>
            </w:r>
          </w:p>
        </w:tc>
        <w:tc>
          <w:tcPr>
            <w:tcW w:w="3402" w:type="dxa"/>
            <w:vAlign w:val="center"/>
          </w:tcPr>
          <w:p w14:paraId="24B4751F">
            <w:pPr>
              <w:pStyle w:val="12"/>
            </w:pPr>
            <w:r>
              <w:t>年初财政拨款结转和结余</w:t>
            </w:r>
          </w:p>
        </w:tc>
        <w:tc>
          <w:tcPr>
            <w:tcW w:w="1474" w:type="dxa"/>
            <w:vAlign w:val="center"/>
          </w:tcPr>
          <w:p w14:paraId="1C62B5DE">
            <w:pPr>
              <w:pStyle w:val="11"/>
            </w:pPr>
          </w:p>
        </w:tc>
        <w:tc>
          <w:tcPr>
            <w:tcW w:w="3402" w:type="dxa"/>
            <w:vAlign w:val="center"/>
          </w:tcPr>
          <w:p w14:paraId="676C2EA0">
            <w:pPr>
              <w:pStyle w:val="12"/>
            </w:pPr>
            <w:r>
              <w:t>年末财政拨款结转和结余</w:t>
            </w:r>
          </w:p>
        </w:tc>
        <w:tc>
          <w:tcPr>
            <w:tcW w:w="1474" w:type="dxa"/>
            <w:vAlign w:val="center"/>
          </w:tcPr>
          <w:p w14:paraId="23BD8124">
            <w:pPr>
              <w:pStyle w:val="11"/>
            </w:pPr>
          </w:p>
        </w:tc>
        <w:tc>
          <w:tcPr>
            <w:tcW w:w="1474" w:type="dxa"/>
            <w:vAlign w:val="center"/>
          </w:tcPr>
          <w:p w14:paraId="7F788BB5">
            <w:pPr>
              <w:pStyle w:val="11"/>
            </w:pPr>
          </w:p>
        </w:tc>
        <w:tc>
          <w:tcPr>
            <w:tcW w:w="1474" w:type="dxa"/>
            <w:vAlign w:val="center"/>
          </w:tcPr>
          <w:p w14:paraId="147C4AA4">
            <w:pPr>
              <w:pStyle w:val="11"/>
            </w:pPr>
          </w:p>
        </w:tc>
        <w:tc>
          <w:tcPr>
            <w:tcW w:w="1474" w:type="dxa"/>
            <w:vAlign w:val="center"/>
          </w:tcPr>
          <w:p w14:paraId="320374D5">
            <w:pPr>
              <w:pStyle w:val="11"/>
            </w:pPr>
          </w:p>
        </w:tc>
      </w:tr>
      <w:tr w14:paraId="47782A79">
        <w:tblPrEx>
          <w:tblCellMar>
            <w:top w:w="0" w:type="dxa"/>
            <w:left w:w="108" w:type="dxa"/>
            <w:bottom w:w="0" w:type="dxa"/>
            <w:right w:w="108" w:type="dxa"/>
          </w:tblCellMar>
        </w:tblPrEx>
        <w:trPr>
          <w:trHeight w:val="369" w:hRule="atLeast"/>
          <w:jc w:val="center"/>
        </w:trPr>
        <w:tc>
          <w:tcPr>
            <w:tcW w:w="850" w:type="dxa"/>
            <w:vAlign w:val="center"/>
          </w:tcPr>
          <w:p w14:paraId="524FF6A2">
            <w:pPr>
              <w:pStyle w:val="13"/>
            </w:pPr>
            <w:r>
              <w:t>34</w:t>
            </w:r>
          </w:p>
        </w:tc>
        <w:tc>
          <w:tcPr>
            <w:tcW w:w="3402" w:type="dxa"/>
            <w:vAlign w:val="center"/>
          </w:tcPr>
          <w:p w14:paraId="2ED0779B">
            <w:pPr>
              <w:pStyle w:val="12"/>
            </w:pPr>
            <w:r>
              <w:t>一、一般公共预算拨款</w:t>
            </w:r>
          </w:p>
        </w:tc>
        <w:tc>
          <w:tcPr>
            <w:tcW w:w="1474" w:type="dxa"/>
            <w:vAlign w:val="center"/>
          </w:tcPr>
          <w:p w14:paraId="2E3036EB">
            <w:pPr>
              <w:pStyle w:val="11"/>
            </w:pPr>
          </w:p>
        </w:tc>
        <w:tc>
          <w:tcPr>
            <w:tcW w:w="3402" w:type="dxa"/>
            <w:vAlign w:val="center"/>
          </w:tcPr>
          <w:p w14:paraId="325E8CEC">
            <w:pPr>
              <w:pStyle w:val="12"/>
            </w:pPr>
          </w:p>
        </w:tc>
        <w:tc>
          <w:tcPr>
            <w:tcW w:w="1474" w:type="dxa"/>
            <w:vAlign w:val="center"/>
          </w:tcPr>
          <w:p w14:paraId="6B7EABC3">
            <w:pPr>
              <w:pStyle w:val="11"/>
            </w:pPr>
          </w:p>
        </w:tc>
        <w:tc>
          <w:tcPr>
            <w:tcW w:w="1474" w:type="dxa"/>
            <w:vAlign w:val="center"/>
          </w:tcPr>
          <w:p w14:paraId="5CC23868">
            <w:pPr>
              <w:pStyle w:val="11"/>
            </w:pPr>
          </w:p>
        </w:tc>
        <w:tc>
          <w:tcPr>
            <w:tcW w:w="1474" w:type="dxa"/>
            <w:vAlign w:val="center"/>
          </w:tcPr>
          <w:p w14:paraId="49C155E0">
            <w:pPr>
              <w:pStyle w:val="11"/>
            </w:pPr>
          </w:p>
        </w:tc>
        <w:tc>
          <w:tcPr>
            <w:tcW w:w="1474" w:type="dxa"/>
            <w:vAlign w:val="center"/>
          </w:tcPr>
          <w:p w14:paraId="1441117A">
            <w:pPr>
              <w:pStyle w:val="11"/>
            </w:pPr>
          </w:p>
        </w:tc>
      </w:tr>
      <w:tr w14:paraId="2CA9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41267">
            <w:pPr>
              <w:pStyle w:val="13"/>
            </w:pPr>
            <w:r>
              <w:t>35</w:t>
            </w:r>
          </w:p>
        </w:tc>
        <w:tc>
          <w:tcPr>
            <w:tcW w:w="3402" w:type="dxa"/>
            <w:vAlign w:val="center"/>
          </w:tcPr>
          <w:p w14:paraId="7ABD4C5C">
            <w:pPr>
              <w:pStyle w:val="12"/>
            </w:pPr>
            <w:r>
              <w:t>二、政府性基金预算拨款</w:t>
            </w:r>
          </w:p>
        </w:tc>
        <w:tc>
          <w:tcPr>
            <w:tcW w:w="1474" w:type="dxa"/>
            <w:vAlign w:val="center"/>
          </w:tcPr>
          <w:p w14:paraId="3A7DF014">
            <w:pPr>
              <w:pStyle w:val="11"/>
            </w:pPr>
          </w:p>
        </w:tc>
        <w:tc>
          <w:tcPr>
            <w:tcW w:w="3402" w:type="dxa"/>
            <w:vAlign w:val="center"/>
          </w:tcPr>
          <w:p w14:paraId="14FB2AD1">
            <w:pPr>
              <w:pStyle w:val="12"/>
            </w:pPr>
          </w:p>
        </w:tc>
        <w:tc>
          <w:tcPr>
            <w:tcW w:w="1474" w:type="dxa"/>
            <w:vAlign w:val="center"/>
          </w:tcPr>
          <w:p w14:paraId="78094F4C">
            <w:pPr>
              <w:pStyle w:val="11"/>
            </w:pPr>
          </w:p>
        </w:tc>
        <w:tc>
          <w:tcPr>
            <w:tcW w:w="1474" w:type="dxa"/>
            <w:vAlign w:val="center"/>
          </w:tcPr>
          <w:p w14:paraId="60F81195">
            <w:pPr>
              <w:pStyle w:val="11"/>
            </w:pPr>
          </w:p>
        </w:tc>
        <w:tc>
          <w:tcPr>
            <w:tcW w:w="1474" w:type="dxa"/>
            <w:vAlign w:val="center"/>
          </w:tcPr>
          <w:p w14:paraId="512D5EB3">
            <w:pPr>
              <w:pStyle w:val="11"/>
            </w:pPr>
          </w:p>
        </w:tc>
        <w:tc>
          <w:tcPr>
            <w:tcW w:w="1474" w:type="dxa"/>
            <w:vAlign w:val="center"/>
          </w:tcPr>
          <w:p w14:paraId="2FB4D45A">
            <w:pPr>
              <w:pStyle w:val="11"/>
            </w:pPr>
          </w:p>
        </w:tc>
      </w:tr>
      <w:tr w14:paraId="55280407">
        <w:tblPrEx>
          <w:tblCellMar>
            <w:top w:w="0" w:type="dxa"/>
            <w:left w:w="108" w:type="dxa"/>
            <w:bottom w:w="0" w:type="dxa"/>
            <w:right w:w="108" w:type="dxa"/>
          </w:tblCellMar>
        </w:tblPrEx>
        <w:trPr>
          <w:trHeight w:val="369" w:hRule="atLeast"/>
          <w:jc w:val="center"/>
        </w:trPr>
        <w:tc>
          <w:tcPr>
            <w:tcW w:w="850" w:type="dxa"/>
            <w:vAlign w:val="center"/>
          </w:tcPr>
          <w:p w14:paraId="3B31035D">
            <w:pPr>
              <w:pStyle w:val="13"/>
            </w:pPr>
            <w:r>
              <w:t>36</w:t>
            </w:r>
          </w:p>
        </w:tc>
        <w:tc>
          <w:tcPr>
            <w:tcW w:w="3402" w:type="dxa"/>
            <w:vAlign w:val="center"/>
          </w:tcPr>
          <w:p w14:paraId="5EE2B498">
            <w:pPr>
              <w:pStyle w:val="12"/>
            </w:pPr>
            <w:r>
              <w:t>三、国有资本经营预算拨款</w:t>
            </w:r>
          </w:p>
        </w:tc>
        <w:tc>
          <w:tcPr>
            <w:tcW w:w="1474" w:type="dxa"/>
            <w:vAlign w:val="center"/>
          </w:tcPr>
          <w:p w14:paraId="53611FC1">
            <w:pPr>
              <w:pStyle w:val="11"/>
            </w:pPr>
          </w:p>
        </w:tc>
        <w:tc>
          <w:tcPr>
            <w:tcW w:w="3402" w:type="dxa"/>
            <w:vAlign w:val="center"/>
          </w:tcPr>
          <w:p w14:paraId="0EB309B6">
            <w:pPr>
              <w:pStyle w:val="12"/>
            </w:pPr>
          </w:p>
        </w:tc>
        <w:tc>
          <w:tcPr>
            <w:tcW w:w="1474" w:type="dxa"/>
            <w:vAlign w:val="center"/>
          </w:tcPr>
          <w:p w14:paraId="63597EA3">
            <w:pPr>
              <w:pStyle w:val="11"/>
            </w:pPr>
          </w:p>
        </w:tc>
        <w:tc>
          <w:tcPr>
            <w:tcW w:w="1474" w:type="dxa"/>
            <w:vAlign w:val="center"/>
          </w:tcPr>
          <w:p w14:paraId="299B0AA1">
            <w:pPr>
              <w:pStyle w:val="11"/>
            </w:pPr>
          </w:p>
        </w:tc>
        <w:tc>
          <w:tcPr>
            <w:tcW w:w="1474" w:type="dxa"/>
            <w:vAlign w:val="center"/>
          </w:tcPr>
          <w:p w14:paraId="582966D7">
            <w:pPr>
              <w:pStyle w:val="11"/>
            </w:pPr>
          </w:p>
        </w:tc>
        <w:tc>
          <w:tcPr>
            <w:tcW w:w="1474" w:type="dxa"/>
            <w:vAlign w:val="center"/>
          </w:tcPr>
          <w:p w14:paraId="5E1FB3F7">
            <w:pPr>
              <w:pStyle w:val="11"/>
            </w:pPr>
          </w:p>
        </w:tc>
      </w:tr>
      <w:tr w14:paraId="0A5D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297A">
            <w:pPr>
              <w:pStyle w:val="13"/>
            </w:pPr>
            <w:r>
              <w:t>37</w:t>
            </w:r>
          </w:p>
        </w:tc>
        <w:tc>
          <w:tcPr>
            <w:tcW w:w="3402" w:type="dxa"/>
            <w:vAlign w:val="center"/>
          </w:tcPr>
          <w:p w14:paraId="318FDD57">
            <w:pPr>
              <w:pStyle w:val="14"/>
            </w:pPr>
            <w:r>
              <w:t>收入总计</w:t>
            </w:r>
          </w:p>
        </w:tc>
        <w:tc>
          <w:tcPr>
            <w:tcW w:w="1474" w:type="dxa"/>
            <w:vAlign w:val="center"/>
          </w:tcPr>
          <w:p w14:paraId="4B2663A4">
            <w:pPr>
              <w:pStyle w:val="15"/>
            </w:pPr>
            <w:r>
              <w:t>2280.10</w:t>
            </w:r>
          </w:p>
        </w:tc>
        <w:tc>
          <w:tcPr>
            <w:tcW w:w="3402" w:type="dxa"/>
            <w:vAlign w:val="center"/>
          </w:tcPr>
          <w:p w14:paraId="77967627">
            <w:pPr>
              <w:pStyle w:val="14"/>
            </w:pPr>
            <w:r>
              <w:t>支出总计</w:t>
            </w:r>
          </w:p>
        </w:tc>
        <w:tc>
          <w:tcPr>
            <w:tcW w:w="1474" w:type="dxa"/>
            <w:vAlign w:val="center"/>
          </w:tcPr>
          <w:p w14:paraId="544A1248">
            <w:pPr>
              <w:pStyle w:val="15"/>
            </w:pPr>
            <w:r>
              <w:t>2280.10</w:t>
            </w:r>
          </w:p>
        </w:tc>
        <w:tc>
          <w:tcPr>
            <w:tcW w:w="1474" w:type="dxa"/>
            <w:vAlign w:val="center"/>
          </w:tcPr>
          <w:p w14:paraId="19CD3362">
            <w:pPr>
              <w:pStyle w:val="15"/>
            </w:pPr>
            <w:r>
              <w:t>2280.10</w:t>
            </w:r>
          </w:p>
        </w:tc>
        <w:tc>
          <w:tcPr>
            <w:tcW w:w="1474" w:type="dxa"/>
            <w:vAlign w:val="center"/>
          </w:tcPr>
          <w:p w14:paraId="6DB55E57">
            <w:pPr>
              <w:pStyle w:val="15"/>
            </w:pPr>
          </w:p>
        </w:tc>
        <w:tc>
          <w:tcPr>
            <w:tcW w:w="1474" w:type="dxa"/>
            <w:vAlign w:val="center"/>
          </w:tcPr>
          <w:p w14:paraId="58337FEF">
            <w:pPr>
              <w:pStyle w:val="15"/>
            </w:pPr>
          </w:p>
        </w:tc>
      </w:tr>
    </w:tbl>
    <w:p w14:paraId="058F28DA">
      <w:pPr>
        <w:sectPr>
          <w:pgSz w:w="16840" w:h="11900" w:orient="landscape"/>
          <w:pgMar w:top="1361" w:right="1020" w:bottom="1134" w:left="1020" w:header="720" w:footer="720" w:gutter="0"/>
          <w:cols w:space="720" w:num="1"/>
        </w:sectPr>
      </w:pPr>
    </w:p>
    <w:p w14:paraId="7DD63A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B5E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6AAE1A">
            <w:pPr>
              <w:pStyle w:val="9"/>
            </w:pPr>
            <w:r>
              <w:t>360010隆尧县固城中学</w:t>
            </w:r>
          </w:p>
        </w:tc>
        <w:tc>
          <w:tcPr>
            <w:tcW w:w="2551" w:type="dxa"/>
            <w:tcBorders>
              <w:top w:val="single" w:color="FFFFFF" w:sz="6" w:space="0"/>
              <w:left w:val="single" w:color="FFFFFF" w:sz="6" w:space="0"/>
              <w:right w:val="single" w:color="FFFFFF" w:sz="6" w:space="0"/>
            </w:tcBorders>
            <w:vAlign w:val="center"/>
          </w:tcPr>
          <w:p w14:paraId="45693A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10C67C">
            <w:pPr>
              <w:pStyle w:val="7"/>
            </w:pPr>
            <w:r>
              <w:t>单位：万元</w:t>
            </w:r>
          </w:p>
        </w:tc>
      </w:tr>
      <w:tr w14:paraId="0180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79A77F">
            <w:pPr>
              <w:pStyle w:val="10"/>
            </w:pPr>
            <w:r>
              <w:t>序号</w:t>
            </w:r>
          </w:p>
        </w:tc>
        <w:tc>
          <w:tcPr>
            <w:tcW w:w="5726" w:type="dxa"/>
            <w:gridSpan w:val="2"/>
            <w:vAlign w:val="center"/>
          </w:tcPr>
          <w:p w14:paraId="7424CAD3">
            <w:pPr>
              <w:pStyle w:val="10"/>
            </w:pPr>
            <w:r>
              <w:t>功能分类科目</w:t>
            </w:r>
          </w:p>
        </w:tc>
        <w:tc>
          <w:tcPr>
            <w:tcW w:w="2551" w:type="dxa"/>
            <w:vMerge w:val="restart"/>
            <w:vAlign w:val="center"/>
          </w:tcPr>
          <w:p w14:paraId="6762516B">
            <w:pPr>
              <w:pStyle w:val="10"/>
            </w:pPr>
            <w:r>
              <w:t>合计</w:t>
            </w:r>
          </w:p>
        </w:tc>
        <w:tc>
          <w:tcPr>
            <w:tcW w:w="2551" w:type="dxa"/>
            <w:vMerge w:val="restart"/>
            <w:vAlign w:val="center"/>
          </w:tcPr>
          <w:p w14:paraId="65F84FDB">
            <w:pPr>
              <w:pStyle w:val="10"/>
            </w:pPr>
            <w:r>
              <w:t>基本支出</w:t>
            </w:r>
          </w:p>
        </w:tc>
        <w:tc>
          <w:tcPr>
            <w:tcW w:w="2551" w:type="dxa"/>
            <w:vMerge w:val="restart"/>
            <w:vAlign w:val="center"/>
          </w:tcPr>
          <w:p w14:paraId="58C729FF">
            <w:pPr>
              <w:pStyle w:val="10"/>
            </w:pPr>
            <w:r>
              <w:t>项目支出</w:t>
            </w:r>
          </w:p>
        </w:tc>
      </w:tr>
      <w:tr w14:paraId="2C86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2A432"/>
        </w:tc>
        <w:tc>
          <w:tcPr>
            <w:tcW w:w="1191" w:type="dxa"/>
            <w:vAlign w:val="center"/>
          </w:tcPr>
          <w:p w14:paraId="6C0CD1CC">
            <w:pPr>
              <w:pStyle w:val="10"/>
            </w:pPr>
            <w:r>
              <w:t>科目编码</w:t>
            </w:r>
          </w:p>
        </w:tc>
        <w:tc>
          <w:tcPr>
            <w:tcW w:w="4535" w:type="dxa"/>
            <w:vAlign w:val="center"/>
          </w:tcPr>
          <w:p w14:paraId="7FB874B9">
            <w:pPr>
              <w:pStyle w:val="10"/>
            </w:pPr>
            <w:r>
              <w:t>科目名称</w:t>
            </w:r>
          </w:p>
        </w:tc>
        <w:tc>
          <w:tcPr>
            <w:tcW w:w="2551" w:type="dxa"/>
            <w:vMerge w:val="continue"/>
          </w:tcPr>
          <w:p w14:paraId="77E3D642"/>
        </w:tc>
        <w:tc>
          <w:tcPr>
            <w:tcW w:w="2551" w:type="dxa"/>
            <w:vMerge w:val="continue"/>
          </w:tcPr>
          <w:p w14:paraId="42821037"/>
        </w:tc>
        <w:tc>
          <w:tcPr>
            <w:tcW w:w="2551" w:type="dxa"/>
            <w:vMerge w:val="continue"/>
          </w:tcPr>
          <w:p w14:paraId="40F28F66"/>
        </w:tc>
      </w:tr>
      <w:tr w14:paraId="55F74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1816E">
            <w:pPr>
              <w:pStyle w:val="10"/>
            </w:pPr>
            <w:r>
              <w:t>栏次</w:t>
            </w:r>
          </w:p>
        </w:tc>
        <w:tc>
          <w:tcPr>
            <w:tcW w:w="1191" w:type="dxa"/>
            <w:vAlign w:val="center"/>
          </w:tcPr>
          <w:p w14:paraId="15B3492E">
            <w:pPr>
              <w:pStyle w:val="10"/>
            </w:pPr>
            <w:r>
              <w:t>1</w:t>
            </w:r>
          </w:p>
        </w:tc>
        <w:tc>
          <w:tcPr>
            <w:tcW w:w="4535" w:type="dxa"/>
            <w:vAlign w:val="center"/>
          </w:tcPr>
          <w:p w14:paraId="4DEF5BEC">
            <w:pPr>
              <w:pStyle w:val="10"/>
            </w:pPr>
            <w:r>
              <w:t>2</w:t>
            </w:r>
          </w:p>
        </w:tc>
        <w:tc>
          <w:tcPr>
            <w:tcW w:w="2551" w:type="dxa"/>
            <w:vAlign w:val="center"/>
          </w:tcPr>
          <w:p w14:paraId="087FEDE6">
            <w:pPr>
              <w:pStyle w:val="10"/>
            </w:pPr>
            <w:r>
              <w:t>3</w:t>
            </w:r>
          </w:p>
        </w:tc>
        <w:tc>
          <w:tcPr>
            <w:tcW w:w="2551" w:type="dxa"/>
            <w:vAlign w:val="center"/>
          </w:tcPr>
          <w:p w14:paraId="15776E5F">
            <w:pPr>
              <w:pStyle w:val="10"/>
            </w:pPr>
            <w:r>
              <w:t>4</w:t>
            </w:r>
          </w:p>
        </w:tc>
        <w:tc>
          <w:tcPr>
            <w:tcW w:w="2551" w:type="dxa"/>
            <w:vAlign w:val="center"/>
          </w:tcPr>
          <w:p w14:paraId="00206BB9">
            <w:pPr>
              <w:pStyle w:val="10"/>
            </w:pPr>
            <w:r>
              <w:t>5</w:t>
            </w:r>
          </w:p>
        </w:tc>
      </w:tr>
      <w:tr w14:paraId="1565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05862">
            <w:pPr>
              <w:pStyle w:val="13"/>
            </w:pPr>
            <w:r>
              <w:t>1</w:t>
            </w:r>
          </w:p>
        </w:tc>
        <w:tc>
          <w:tcPr>
            <w:tcW w:w="1191" w:type="dxa"/>
            <w:vAlign w:val="center"/>
          </w:tcPr>
          <w:p w14:paraId="571F3EC3">
            <w:pPr>
              <w:pStyle w:val="16"/>
            </w:pPr>
          </w:p>
        </w:tc>
        <w:tc>
          <w:tcPr>
            <w:tcW w:w="4535" w:type="dxa"/>
            <w:vAlign w:val="center"/>
          </w:tcPr>
          <w:p w14:paraId="02437E8E">
            <w:pPr>
              <w:pStyle w:val="14"/>
            </w:pPr>
            <w:r>
              <w:t>合计</w:t>
            </w:r>
          </w:p>
        </w:tc>
        <w:tc>
          <w:tcPr>
            <w:tcW w:w="2551" w:type="dxa"/>
            <w:vAlign w:val="center"/>
          </w:tcPr>
          <w:p w14:paraId="1B7347FF">
            <w:pPr>
              <w:pStyle w:val="15"/>
            </w:pPr>
            <w:r>
              <w:t>2280.10</w:t>
            </w:r>
          </w:p>
        </w:tc>
        <w:tc>
          <w:tcPr>
            <w:tcW w:w="2551" w:type="dxa"/>
            <w:vAlign w:val="center"/>
          </w:tcPr>
          <w:p w14:paraId="4E01EEF3">
            <w:pPr>
              <w:pStyle w:val="15"/>
            </w:pPr>
            <w:r>
              <w:t>1915.52</w:t>
            </w:r>
          </w:p>
        </w:tc>
        <w:tc>
          <w:tcPr>
            <w:tcW w:w="2551" w:type="dxa"/>
            <w:vAlign w:val="center"/>
          </w:tcPr>
          <w:p w14:paraId="5D3B6114">
            <w:pPr>
              <w:pStyle w:val="15"/>
            </w:pPr>
            <w:r>
              <w:t>364.58</w:t>
            </w:r>
          </w:p>
        </w:tc>
      </w:tr>
      <w:tr w14:paraId="5A5B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E7BB5">
            <w:pPr>
              <w:pStyle w:val="13"/>
            </w:pPr>
            <w:r>
              <w:t>2</w:t>
            </w:r>
          </w:p>
        </w:tc>
        <w:tc>
          <w:tcPr>
            <w:tcW w:w="1191" w:type="dxa"/>
            <w:vAlign w:val="center"/>
          </w:tcPr>
          <w:p w14:paraId="44D66022">
            <w:pPr>
              <w:pStyle w:val="12"/>
            </w:pPr>
            <w:r>
              <w:t>205</w:t>
            </w:r>
          </w:p>
        </w:tc>
        <w:tc>
          <w:tcPr>
            <w:tcW w:w="4535" w:type="dxa"/>
            <w:vAlign w:val="center"/>
          </w:tcPr>
          <w:p w14:paraId="6FBB9D7F">
            <w:pPr>
              <w:pStyle w:val="12"/>
            </w:pPr>
            <w:r>
              <w:t>教育支出</w:t>
            </w:r>
          </w:p>
        </w:tc>
        <w:tc>
          <w:tcPr>
            <w:tcW w:w="2551" w:type="dxa"/>
            <w:vAlign w:val="center"/>
          </w:tcPr>
          <w:p w14:paraId="616F538D">
            <w:pPr>
              <w:pStyle w:val="11"/>
            </w:pPr>
            <w:r>
              <w:t>2280.10</w:t>
            </w:r>
          </w:p>
        </w:tc>
        <w:tc>
          <w:tcPr>
            <w:tcW w:w="2551" w:type="dxa"/>
            <w:vAlign w:val="center"/>
          </w:tcPr>
          <w:p w14:paraId="5D15D05B">
            <w:pPr>
              <w:pStyle w:val="11"/>
            </w:pPr>
            <w:r>
              <w:t>1915.52</w:t>
            </w:r>
          </w:p>
        </w:tc>
        <w:tc>
          <w:tcPr>
            <w:tcW w:w="2551" w:type="dxa"/>
            <w:vAlign w:val="center"/>
          </w:tcPr>
          <w:p w14:paraId="47293EB7">
            <w:pPr>
              <w:pStyle w:val="11"/>
            </w:pPr>
            <w:r>
              <w:t>364.58</w:t>
            </w:r>
          </w:p>
        </w:tc>
      </w:tr>
      <w:tr w14:paraId="0CF9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51338">
            <w:pPr>
              <w:pStyle w:val="13"/>
            </w:pPr>
            <w:r>
              <w:t>3</w:t>
            </w:r>
          </w:p>
        </w:tc>
        <w:tc>
          <w:tcPr>
            <w:tcW w:w="1191" w:type="dxa"/>
            <w:vAlign w:val="center"/>
          </w:tcPr>
          <w:p w14:paraId="6D0ADFDD">
            <w:pPr>
              <w:pStyle w:val="12"/>
            </w:pPr>
            <w:r>
              <w:t>20502</w:t>
            </w:r>
          </w:p>
        </w:tc>
        <w:tc>
          <w:tcPr>
            <w:tcW w:w="4535" w:type="dxa"/>
            <w:vAlign w:val="center"/>
          </w:tcPr>
          <w:p w14:paraId="0F7F3E48">
            <w:pPr>
              <w:pStyle w:val="12"/>
            </w:pPr>
            <w:r>
              <w:t>普通教育</w:t>
            </w:r>
          </w:p>
        </w:tc>
        <w:tc>
          <w:tcPr>
            <w:tcW w:w="2551" w:type="dxa"/>
            <w:vAlign w:val="center"/>
          </w:tcPr>
          <w:p w14:paraId="3AA76E4E">
            <w:pPr>
              <w:pStyle w:val="11"/>
            </w:pPr>
            <w:r>
              <w:t>2280.10</w:t>
            </w:r>
          </w:p>
        </w:tc>
        <w:tc>
          <w:tcPr>
            <w:tcW w:w="2551" w:type="dxa"/>
            <w:vAlign w:val="center"/>
          </w:tcPr>
          <w:p w14:paraId="19876795">
            <w:pPr>
              <w:pStyle w:val="11"/>
            </w:pPr>
            <w:r>
              <w:t>1915.52</w:t>
            </w:r>
          </w:p>
        </w:tc>
        <w:tc>
          <w:tcPr>
            <w:tcW w:w="2551" w:type="dxa"/>
            <w:vAlign w:val="center"/>
          </w:tcPr>
          <w:p w14:paraId="45719B72">
            <w:pPr>
              <w:pStyle w:val="11"/>
            </w:pPr>
            <w:r>
              <w:t>364.58</w:t>
            </w:r>
          </w:p>
        </w:tc>
      </w:tr>
      <w:tr w14:paraId="608D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1F28">
            <w:pPr>
              <w:pStyle w:val="13"/>
            </w:pPr>
            <w:r>
              <w:t>4</w:t>
            </w:r>
          </w:p>
        </w:tc>
        <w:tc>
          <w:tcPr>
            <w:tcW w:w="1191" w:type="dxa"/>
            <w:vAlign w:val="center"/>
          </w:tcPr>
          <w:p w14:paraId="7EEAF49A">
            <w:pPr>
              <w:pStyle w:val="12"/>
            </w:pPr>
            <w:r>
              <w:t>2050203</w:t>
            </w:r>
          </w:p>
        </w:tc>
        <w:tc>
          <w:tcPr>
            <w:tcW w:w="4535" w:type="dxa"/>
            <w:vAlign w:val="center"/>
          </w:tcPr>
          <w:p w14:paraId="3F6396BA">
            <w:pPr>
              <w:pStyle w:val="12"/>
            </w:pPr>
            <w:r>
              <w:t>初中教育</w:t>
            </w:r>
          </w:p>
        </w:tc>
        <w:tc>
          <w:tcPr>
            <w:tcW w:w="2551" w:type="dxa"/>
            <w:vAlign w:val="center"/>
          </w:tcPr>
          <w:p w14:paraId="5A9CB274">
            <w:pPr>
              <w:pStyle w:val="11"/>
            </w:pPr>
            <w:r>
              <w:t>2280.10</w:t>
            </w:r>
          </w:p>
        </w:tc>
        <w:tc>
          <w:tcPr>
            <w:tcW w:w="2551" w:type="dxa"/>
            <w:vAlign w:val="center"/>
          </w:tcPr>
          <w:p w14:paraId="230E6434">
            <w:pPr>
              <w:pStyle w:val="11"/>
            </w:pPr>
            <w:r>
              <w:t>1915.52</w:t>
            </w:r>
          </w:p>
        </w:tc>
        <w:tc>
          <w:tcPr>
            <w:tcW w:w="2551" w:type="dxa"/>
            <w:vAlign w:val="center"/>
          </w:tcPr>
          <w:p w14:paraId="546DD02C">
            <w:pPr>
              <w:pStyle w:val="11"/>
            </w:pPr>
            <w:r>
              <w:t>364.58</w:t>
            </w:r>
          </w:p>
        </w:tc>
      </w:tr>
    </w:tbl>
    <w:p w14:paraId="26E1B64C">
      <w:pPr>
        <w:sectPr>
          <w:pgSz w:w="16840" w:h="11900" w:orient="landscape"/>
          <w:pgMar w:top="1361" w:right="1020" w:bottom="1134" w:left="1020" w:header="720" w:footer="720" w:gutter="0"/>
          <w:cols w:space="720" w:num="1"/>
        </w:sectPr>
      </w:pPr>
    </w:p>
    <w:p w14:paraId="36A3A0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A4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32363">
            <w:pPr>
              <w:pStyle w:val="9"/>
            </w:pPr>
            <w:r>
              <w:t>360010隆尧县固城中学</w:t>
            </w:r>
          </w:p>
        </w:tc>
        <w:tc>
          <w:tcPr>
            <w:tcW w:w="2551" w:type="dxa"/>
            <w:tcBorders>
              <w:top w:val="single" w:color="FFFFFF" w:sz="6" w:space="0"/>
              <w:left w:val="single" w:color="FFFFFF" w:sz="6" w:space="0"/>
              <w:right w:val="single" w:color="FFFFFF" w:sz="6" w:space="0"/>
            </w:tcBorders>
            <w:vAlign w:val="center"/>
          </w:tcPr>
          <w:p w14:paraId="095B8A7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1CD722">
            <w:pPr>
              <w:pStyle w:val="7"/>
            </w:pPr>
            <w:r>
              <w:t>单位：万元</w:t>
            </w:r>
          </w:p>
        </w:tc>
      </w:tr>
      <w:tr w14:paraId="438A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73279">
            <w:pPr>
              <w:pStyle w:val="10"/>
            </w:pPr>
            <w:r>
              <w:t>序号</w:t>
            </w:r>
          </w:p>
        </w:tc>
        <w:tc>
          <w:tcPr>
            <w:tcW w:w="5726" w:type="dxa"/>
            <w:gridSpan w:val="2"/>
            <w:vAlign w:val="center"/>
          </w:tcPr>
          <w:p w14:paraId="4C586188">
            <w:pPr>
              <w:pStyle w:val="10"/>
            </w:pPr>
            <w:r>
              <w:t>支出部门经济分类科目</w:t>
            </w:r>
          </w:p>
        </w:tc>
        <w:tc>
          <w:tcPr>
            <w:tcW w:w="7653" w:type="dxa"/>
            <w:gridSpan w:val="3"/>
            <w:vAlign w:val="center"/>
          </w:tcPr>
          <w:p w14:paraId="13363EE4">
            <w:pPr>
              <w:pStyle w:val="10"/>
            </w:pPr>
            <w:r>
              <w:t>一般公共预算基本支出</w:t>
            </w:r>
          </w:p>
        </w:tc>
      </w:tr>
      <w:tr w14:paraId="3588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B1270D"/>
        </w:tc>
        <w:tc>
          <w:tcPr>
            <w:tcW w:w="1191" w:type="dxa"/>
            <w:vAlign w:val="center"/>
          </w:tcPr>
          <w:p w14:paraId="4F9F412A">
            <w:pPr>
              <w:pStyle w:val="10"/>
            </w:pPr>
            <w:r>
              <w:t>科目编码</w:t>
            </w:r>
          </w:p>
        </w:tc>
        <w:tc>
          <w:tcPr>
            <w:tcW w:w="4535" w:type="dxa"/>
            <w:vAlign w:val="center"/>
          </w:tcPr>
          <w:p w14:paraId="47D82984">
            <w:pPr>
              <w:pStyle w:val="10"/>
            </w:pPr>
            <w:r>
              <w:t>科目名称</w:t>
            </w:r>
          </w:p>
        </w:tc>
        <w:tc>
          <w:tcPr>
            <w:tcW w:w="2551" w:type="dxa"/>
            <w:vAlign w:val="center"/>
          </w:tcPr>
          <w:p w14:paraId="0E83827C">
            <w:pPr>
              <w:pStyle w:val="10"/>
            </w:pPr>
            <w:r>
              <w:t>合计</w:t>
            </w:r>
          </w:p>
        </w:tc>
        <w:tc>
          <w:tcPr>
            <w:tcW w:w="2551" w:type="dxa"/>
            <w:vAlign w:val="center"/>
          </w:tcPr>
          <w:p w14:paraId="779D7A98">
            <w:pPr>
              <w:pStyle w:val="10"/>
            </w:pPr>
            <w:r>
              <w:t>人员经费</w:t>
            </w:r>
          </w:p>
        </w:tc>
        <w:tc>
          <w:tcPr>
            <w:tcW w:w="2551" w:type="dxa"/>
            <w:vAlign w:val="center"/>
          </w:tcPr>
          <w:p w14:paraId="458F74E0">
            <w:pPr>
              <w:pStyle w:val="10"/>
            </w:pPr>
            <w:r>
              <w:t>公用经费</w:t>
            </w:r>
          </w:p>
        </w:tc>
      </w:tr>
      <w:tr w14:paraId="33F6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5896A">
            <w:pPr>
              <w:pStyle w:val="10"/>
            </w:pPr>
            <w:r>
              <w:t>栏次</w:t>
            </w:r>
          </w:p>
        </w:tc>
        <w:tc>
          <w:tcPr>
            <w:tcW w:w="1191" w:type="dxa"/>
            <w:vAlign w:val="center"/>
          </w:tcPr>
          <w:p w14:paraId="4E50F0F2">
            <w:pPr>
              <w:pStyle w:val="10"/>
            </w:pPr>
            <w:r>
              <w:t>1</w:t>
            </w:r>
          </w:p>
        </w:tc>
        <w:tc>
          <w:tcPr>
            <w:tcW w:w="4535" w:type="dxa"/>
            <w:vAlign w:val="center"/>
          </w:tcPr>
          <w:p w14:paraId="0D3F6BBD">
            <w:pPr>
              <w:pStyle w:val="10"/>
            </w:pPr>
            <w:r>
              <w:t>2</w:t>
            </w:r>
          </w:p>
        </w:tc>
        <w:tc>
          <w:tcPr>
            <w:tcW w:w="2551" w:type="dxa"/>
            <w:vAlign w:val="center"/>
          </w:tcPr>
          <w:p w14:paraId="42022E6B">
            <w:pPr>
              <w:pStyle w:val="10"/>
            </w:pPr>
            <w:r>
              <w:t>3</w:t>
            </w:r>
          </w:p>
        </w:tc>
        <w:tc>
          <w:tcPr>
            <w:tcW w:w="2551" w:type="dxa"/>
            <w:vAlign w:val="center"/>
          </w:tcPr>
          <w:p w14:paraId="20EAF869">
            <w:pPr>
              <w:pStyle w:val="10"/>
            </w:pPr>
            <w:r>
              <w:t>4</w:t>
            </w:r>
          </w:p>
        </w:tc>
        <w:tc>
          <w:tcPr>
            <w:tcW w:w="2551" w:type="dxa"/>
            <w:vAlign w:val="center"/>
          </w:tcPr>
          <w:p w14:paraId="0DDE324C">
            <w:pPr>
              <w:pStyle w:val="10"/>
            </w:pPr>
            <w:r>
              <w:t>5</w:t>
            </w:r>
          </w:p>
        </w:tc>
      </w:tr>
      <w:tr w14:paraId="21CD1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14A5">
            <w:pPr>
              <w:pStyle w:val="13"/>
            </w:pPr>
            <w:r>
              <w:t>1</w:t>
            </w:r>
          </w:p>
        </w:tc>
        <w:tc>
          <w:tcPr>
            <w:tcW w:w="1191" w:type="dxa"/>
            <w:vAlign w:val="center"/>
          </w:tcPr>
          <w:p w14:paraId="206F6AE6">
            <w:pPr>
              <w:pStyle w:val="16"/>
            </w:pPr>
          </w:p>
        </w:tc>
        <w:tc>
          <w:tcPr>
            <w:tcW w:w="4535" w:type="dxa"/>
            <w:vAlign w:val="center"/>
          </w:tcPr>
          <w:p w14:paraId="2D69E23C">
            <w:pPr>
              <w:pStyle w:val="14"/>
            </w:pPr>
            <w:r>
              <w:t>合计</w:t>
            </w:r>
          </w:p>
        </w:tc>
        <w:tc>
          <w:tcPr>
            <w:tcW w:w="2551" w:type="dxa"/>
            <w:vAlign w:val="center"/>
          </w:tcPr>
          <w:p w14:paraId="29307F39">
            <w:pPr>
              <w:pStyle w:val="15"/>
            </w:pPr>
            <w:r>
              <w:t>1915.52</w:t>
            </w:r>
          </w:p>
        </w:tc>
        <w:tc>
          <w:tcPr>
            <w:tcW w:w="2551" w:type="dxa"/>
            <w:vAlign w:val="center"/>
          </w:tcPr>
          <w:p w14:paraId="3606C703">
            <w:pPr>
              <w:pStyle w:val="15"/>
            </w:pPr>
            <w:r>
              <w:t>1915.52</w:t>
            </w:r>
          </w:p>
        </w:tc>
        <w:tc>
          <w:tcPr>
            <w:tcW w:w="2551" w:type="dxa"/>
            <w:vAlign w:val="center"/>
          </w:tcPr>
          <w:p w14:paraId="030B0702">
            <w:pPr>
              <w:pStyle w:val="15"/>
            </w:pPr>
          </w:p>
        </w:tc>
      </w:tr>
      <w:tr w14:paraId="7BA6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BC9E">
            <w:pPr>
              <w:pStyle w:val="13"/>
            </w:pPr>
            <w:r>
              <w:t>2</w:t>
            </w:r>
          </w:p>
        </w:tc>
        <w:tc>
          <w:tcPr>
            <w:tcW w:w="1191" w:type="dxa"/>
            <w:vAlign w:val="center"/>
          </w:tcPr>
          <w:p w14:paraId="468B8B88">
            <w:pPr>
              <w:pStyle w:val="12"/>
            </w:pPr>
            <w:r>
              <w:t>301</w:t>
            </w:r>
          </w:p>
        </w:tc>
        <w:tc>
          <w:tcPr>
            <w:tcW w:w="4535" w:type="dxa"/>
            <w:vAlign w:val="center"/>
          </w:tcPr>
          <w:p w14:paraId="0D3B710A">
            <w:pPr>
              <w:pStyle w:val="12"/>
            </w:pPr>
            <w:r>
              <w:t>工资福利支出</w:t>
            </w:r>
          </w:p>
        </w:tc>
        <w:tc>
          <w:tcPr>
            <w:tcW w:w="2551" w:type="dxa"/>
            <w:vAlign w:val="center"/>
          </w:tcPr>
          <w:p w14:paraId="41F9C12E">
            <w:pPr>
              <w:pStyle w:val="11"/>
            </w:pPr>
            <w:r>
              <w:t>1878.31</w:t>
            </w:r>
          </w:p>
        </w:tc>
        <w:tc>
          <w:tcPr>
            <w:tcW w:w="2551" w:type="dxa"/>
            <w:vAlign w:val="center"/>
          </w:tcPr>
          <w:p w14:paraId="3D6CFFAA">
            <w:pPr>
              <w:pStyle w:val="11"/>
            </w:pPr>
            <w:r>
              <w:t>1878.31</w:t>
            </w:r>
          </w:p>
        </w:tc>
        <w:tc>
          <w:tcPr>
            <w:tcW w:w="2551" w:type="dxa"/>
            <w:vAlign w:val="center"/>
          </w:tcPr>
          <w:p w14:paraId="232E8EC9">
            <w:pPr>
              <w:pStyle w:val="11"/>
            </w:pPr>
          </w:p>
        </w:tc>
      </w:tr>
      <w:tr w14:paraId="5964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818A4">
            <w:pPr>
              <w:pStyle w:val="13"/>
            </w:pPr>
            <w:r>
              <w:t>3</w:t>
            </w:r>
          </w:p>
        </w:tc>
        <w:tc>
          <w:tcPr>
            <w:tcW w:w="1191" w:type="dxa"/>
            <w:vAlign w:val="center"/>
          </w:tcPr>
          <w:p w14:paraId="3366E8F2">
            <w:pPr>
              <w:pStyle w:val="12"/>
            </w:pPr>
            <w:r>
              <w:t>30101</w:t>
            </w:r>
          </w:p>
        </w:tc>
        <w:tc>
          <w:tcPr>
            <w:tcW w:w="4535" w:type="dxa"/>
            <w:vAlign w:val="center"/>
          </w:tcPr>
          <w:p w14:paraId="36EE4F53">
            <w:pPr>
              <w:pStyle w:val="12"/>
            </w:pPr>
            <w:r>
              <w:t>基本工资</w:t>
            </w:r>
          </w:p>
        </w:tc>
        <w:tc>
          <w:tcPr>
            <w:tcW w:w="2551" w:type="dxa"/>
            <w:vAlign w:val="center"/>
          </w:tcPr>
          <w:p w14:paraId="00ACB59F">
            <w:pPr>
              <w:pStyle w:val="11"/>
            </w:pPr>
            <w:r>
              <w:t>890.45</w:t>
            </w:r>
          </w:p>
        </w:tc>
        <w:tc>
          <w:tcPr>
            <w:tcW w:w="2551" w:type="dxa"/>
            <w:vAlign w:val="center"/>
          </w:tcPr>
          <w:p w14:paraId="2F43F1AB">
            <w:pPr>
              <w:pStyle w:val="11"/>
            </w:pPr>
            <w:r>
              <w:t>890.45</w:t>
            </w:r>
          </w:p>
        </w:tc>
        <w:tc>
          <w:tcPr>
            <w:tcW w:w="2551" w:type="dxa"/>
            <w:vAlign w:val="center"/>
          </w:tcPr>
          <w:p w14:paraId="5BFA3587">
            <w:pPr>
              <w:pStyle w:val="11"/>
            </w:pPr>
          </w:p>
        </w:tc>
      </w:tr>
      <w:tr w14:paraId="3DCC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53C7">
            <w:pPr>
              <w:pStyle w:val="13"/>
            </w:pPr>
            <w:r>
              <w:t>4</w:t>
            </w:r>
          </w:p>
        </w:tc>
        <w:tc>
          <w:tcPr>
            <w:tcW w:w="1191" w:type="dxa"/>
            <w:vAlign w:val="center"/>
          </w:tcPr>
          <w:p w14:paraId="7DFB1238">
            <w:pPr>
              <w:pStyle w:val="12"/>
            </w:pPr>
            <w:r>
              <w:t>30102</w:t>
            </w:r>
          </w:p>
        </w:tc>
        <w:tc>
          <w:tcPr>
            <w:tcW w:w="4535" w:type="dxa"/>
            <w:vAlign w:val="center"/>
          </w:tcPr>
          <w:p w14:paraId="5B5987DD">
            <w:pPr>
              <w:pStyle w:val="12"/>
            </w:pPr>
            <w:r>
              <w:t>津贴补贴</w:t>
            </w:r>
          </w:p>
        </w:tc>
        <w:tc>
          <w:tcPr>
            <w:tcW w:w="2551" w:type="dxa"/>
            <w:vAlign w:val="center"/>
          </w:tcPr>
          <w:p w14:paraId="0FDE8D7C">
            <w:pPr>
              <w:pStyle w:val="11"/>
            </w:pPr>
            <w:r>
              <w:t>82.37</w:t>
            </w:r>
          </w:p>
        </w:tc>
        <w:tc>
          <w:tcPr>
            <w:tcW w:w="2551" w:type="dxa"/>
            <w:vAlign w:val="center"/>
          </w:tcPr>
          <w:p w14:paraId="75CA2E6A">
            <w:pPr>
              <w:pStyle w:val="11"/>
            </w:pPr>
            <w:r>
              <w:t>82.37</w:t>
            </w:r>
          </w:p>
        </w:tc>
        <w:tc>
          <w:tcPr>
            <w:tcW w:w="2551" w:type="dxa"/>
            <w:vAlign w:val="center"/>
          </w:tcPr>
          <w:p w14:paraId="48F4915E">
            <w:pPr>
              <w:pStyle w:val="11"/>
            </w:pPr>
          </w:p>
        </w:tc>
      </w:tr>
      <w:tr w14:paraId="4CB6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B22F">
            <w:pPr>
              <w:pStyle w:val="13"/>
            </w:pPr>
            <w:r>
              <w:t>5</w:t>
            </w:r>
          </w:p>
        </w:tc>
        <w:tc>
          <w:tcPr>
            <w:tcW w:w="1191" w:type="dxa"/>
            <w:vAlign w:val="center"/>
          </w:tcPr>
          <w:p w14:paraId="2D9B4F08">
            <w:pPr>
              <w:pStyle w:val="12"/>
            </w:pPr>
            <w:r>
              <w:t>30107</w:t>
            </w:r>
          </w:p>
        </w:tc>
        <w:tc>
          <w:tcPr>
            <w:tcW w:w="4535" w:type="dxa"/>
            <w:vAlign w:val="center"/>
          </w:tcPr>
          <w:p w14:paraId="5E2C5C16">
            <w:pPr>
              <w:pStyle w:val="12"/>
            </w:pPr>
            <w:r>
              <w:t>绩效工资</w:t>
            </w:r>
          </w:p>
        </w:tc>
        <w:tc>
          <w:tcPr>
            <w:tcW w:w="2551" w:type="dxa"/>
            <w:vAlign w:val="center"/>
          </w:tcPr>
          <w:p w14:paraId="1C78FFCC">
            <w:pPr>
              <w:pStyle w:val="11"/>
            </w:pPr>
            <w:r>
              <w:t>474.55</w:t>
            </w:r>
          </w:p>
        </w:tc>
        <w:tc>
          <w:tcPr>
            <w:tcW w:w="2551" w:type="dxa"/>
            <w:vAlign w:val="center"/>
          </w:tcPr>
          <w:p w14:paraId="5744D017">
            <w:pPr>
              <w:pStyle w:val="11"/>
            </w:pPr>
            <w:r>
              <w:t>474.55</w:t>
            </w:r>
          </w:p>
        </w:tc>
        <w:tc>
          <w:tcPr>
            <w:tcW w:w="2551" w:type="dxa"/>
            <w:vAlign w:val="center"/>
          </w:tcPr>
          <w:p w14:paraId="02076EB9">
            <w:pPr>
              <w:pStyle w:val="11"/>
            </w:pPr>
          </w:p>
        </w:tc>
      </w:tr>
      <w:tr w14:paraId="7103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4CFC8">
            <w:pPr>
              <w:pStyle w:val="13"/>
            </w:pPr>
            <w:r>
              <w:t>6</w:t>
            </w:r>
          </w:p>
        </w:tc>
        <w:tc>
          <w:tcPr>
            <w:tcW w:w="1191" w:type="dxa"/>
            <w:vAlign w:val="center"/>
          </w:tcPr>
          <w:p w14:paraId="5C362C4D">
            <w:pPr>
              <w:pStyle w:val="12"/>
            </w:pPr>
            <w:r>
              <w:t>30108</w:t>
            </w:r>
          </w:p>
        </w:tc>
        <w:tc>
          <w:tcPr>
            <w:tcW w:w="4535" w:type="dxa"/>
            <w:vAlign w:val="center"/>
          </w:tcPr>
          <w:p w14:paraId="6E24500C">
            <w:pPr>
              <w:pStyle w:val="12"/>
            </w:pPr>
            <w:r>
              <w:t>机关事业单位基本养老保险缴费</w:t>
            </w:r>
          </w:p>
        </w:tc>
        <w:tc>
          <w:tcPr>
            <w:tcW w:w="2551" w:type="dxa"/>
            <w:vAlign w:val="center"/>
          </w:tcPr>
          <w:p w14:paraId="2D3ACDFA">
            <w:pPr>
              <w:pStyle w:val="11"/>
            </w:pPr>
            <w:r>
              <w:t>192.25</w:t>
            </w:r>
          </w:p>
        </w:tc>
        <w:tc>
          <w:tcPr>
            <w:tcW w:w="2551" w:type="dxa"/>
            <w:vAlign w:val="center"/>
          </w:tcPr>
          <w:p w14:paraId="5D3E04AB">
            <w:pPr>
              <w:pStyle w:val="11"/>
            </w:pPr>
            <w:r>
              <w:t>192.25</w:t>
            </w:r>
          </w:p>
        </w:tc>
        <w:tc>
          <w:tcPr>
            <w:tcW w:w="2551" w:type="dxa"/>
            <w:vAlign w:val="center"/>
          </w:tcPr>
          <w:p w14:paraId="01B0D2A4">
            <w:pPr>
              <w:pStyle w:val="11"/>
            </w:pPr>
          </w:p>
        </w:tc>
      </w:tr>
      <w:tr w14:paraId="3E45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E573">
            <w:pPr>
              <w:pStyle w:val="13"/>
            </w:pPr>
            <w:r>
              <w:t>7</w:t>
            </w:r>
          </w:p>
        </w:tc>
        <w:tc>
          <w:tcPr>
            <w:tcW w:w="1191" w:type="dxa"/>
            <w:vAlign w:val="center"/>
          </w:tcPr>
          <w:p w14:paraId="11FD0349">
            <w:pPr>
              <w:pStyle w:val="12"/>
            </w:pPr>
            <w:r>
              <w:t>30110</w:t>
            </w:r>
          </w:p>
        </w:tc>
        <w:tc>
          <w:tcPr>
            <w:tcW w:w="4535" w:type="dxa"/>
            <w:vAlign w:val="center"/>
          </w:tcPr>
          <w:p w14:paraId="21FA7978">
            <w:pPr>
              <w:pStyle w:val="12"/>
            </w:pPr>
            <w:r>
              <w:t>职工基本医疗保险缴费</w:t>
            </w:r>
          </w:p>
        </w:tc>
        <w:tc>
          <w:tcPr>
            <w:tcW w:w="2551" w:type="dxa"/>
            <w:vAlign w:val="center"/>
          </w:tcPr>
          <w:p w14:paraId="17CE5DF2">
            <w:pPr>
              <w:pStyle w:val="11"/>
            </w:pPr>
            <w:r>
              <w:t>88.95</w:t>
            </w:r>
          </w:p>
        </w:tc>
        <w:tc>
          <w:tcPr>
            <w:tcW w:w="2551" w:type="dxa"/>
            <w:vAlign w:val="center"/>
          </w:tcPr>
          <w:p w14:paraId="18AC5417">
            <w:pPr>
              <w:pStyle w:val="11"/>
            </w:pPr>
            <w:r>
              <w:t>88.95</w:t>
            </w:r>
          </w:p>
        </w:tc>
        <w:tc>
          <w:tcPr>
            <w:tcW w:w="2551" w:type="dxa"/>
            <w:vAlign w:val="center"/>
          </w:tcPr>
          <w:p w14:paraId="38107548">
            <w:pPr>
              <w:pStyle w:val="11"/>
            </w:pPr>
          </w:p>
        </w:tc>
      </w:tr>
      <w:tr w14:paraId="45A3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D3614">
            <w:pPr>
              <w:pStyle w:val="13"/>
            </w:pPr>
            <w:r>
              <w:t>8</w:t>
            </w:r>
          </w:p>
        </w:tc>
        <w:tc>
          <w:tcPr>
            <w:tcW w:w="1191" w:type="dxa"/>
            <w:vAlign w:val="center"/>
          </w:tcPr>
          <w:p w14:paraId="0F95B82C">
            <w:pPr>
              <w:pStyle w:val="12"/>
            </w:pPr>
            <w:r>
              <w:t>30112</w:t>
            </w:r>
          </w:p>
        </w:tc>
        <w:tc>
          <w:tcPr>
            <w:tcW w:w="4535" w:type="dxa"/>
            <w:vAlign w:val="center"/>
          </w:tcPr>
          <w:p w14:paraId="203267FA">
            <w:pPr>
              <w:pStyle w:val="12"/>
            </w:pPr>
            <w:r>
              <w:t>其他社会保障缴费</w:t>
            </w:r>
          </w:p>
        </w:tc>
        <w:tc>
          <w:tcPr>
            <w:tcW w:w="2551" w:type="dxa"/>
            <w:vAlign w:val="center"/>
          </w:tcPr>
          <w:p w14:paraId="69579348">
            <w:pPr>
              <w:pStyle w:val="11"/>
            </w:pPr>
            <w:r>
              <w:t>6.10</w:t>
            </w:r>
          </w:p>
        </w:tc>
        <w:tc>
          <w:tcPr>
            <w:tcW w:w="2551" w:type="dxa"/>
            <w:vAlign w:val="center"/>
          </w:tcPr>
          <w:p w14:paraId="32D232DA">
            <w:pPr>
              <w:pStyle w:val="11"/>
            </w:pPr>
            <w:r>
              <w:t>6.10</w:t>
            </w:r>
          </w:p>
        </w:tc>
        <w:tc>
          <w:tcPr>
            <w:tcW w:w="2551" w:type="dxa"/>
            <w:vAlign w:val="center"/>
          </w:tcPr>
          <w:p w14:paraId="17C877DE">
            <w:pPr>
              <w:pStyle w:val="11"/>
            </w:pPr>
          </w:p>
        </w:tc>
      </w:tr>
      <w:tr w14:paraId="49B8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2D2BB">
            <w:pPr>
              <w:pStyle w:val="13"/>
            </w:pPr>
            <w:r>
              <w:t>9</w:t>
            </w:r>
          </w:p>
        </w:tc>
        <w:tc>
          <w:tcPr>
            <w:tcW w:w="1191" w:type="dxa"/>
            <w:vAlign w:val="center"/>
          </w:tcPr>
          <w:p w14:paraId="494AD5D2">
            <w:pPr>
              <w:pStyle w:val="12"/>
            </w:pPr>
            <w:r>
              <w:t>30113</w:t>
            </w:r>
          </w:p>
        </w:tc>
        <w:tc>
          <w:tcPr>
            <w:tcW w:w="4535" w:type="dxa"/>
            <w:vAlign w:val="center"/>
          </w:tcPr>
          <w:p w14:paraId="0B9A871C">
            <w:pPr>
              <w:pStyle w:val="12"/>
            </w:pPr>
            <w:r>
              <w:t>住房公积金</w:t>
            </w:r>
          </w:p>
        </w:tc>
        <w:tc>
          <w:tcPr>
            <w:tcW w:w="2551" w:type="dxa"/>
            <w:vAlign w:val="center"/>
          </w:tcPr>
          <w:p w14:paraId="013F98C1">
            <w:pPr>
              <w:pStyle w:val="11"/>
            </w:pPr>
            <w:r>
              <w:t>143.63</w:t>
            </w:r>
          </w:p>
        </w:tc>
        <w:tc>
          <w:tcPr>
            <w:tcW w:w="2551" w:type="dxa"/>
            <w:vAlign w:val="center"/>
          </w:tcPr>
          <w:p w14:paraId="2E729488">
            <w:pPr>
              <w:pStyle w:val="11"/>
            </w:pPr>
            <w:r>
              <w:t>143.63</w:t>
            </w:r>
          </w:p>
        </w:tc>
        <w:tc>
          <w:tcPr>
            <w:tcW w:w="2551" w:type="dxa"/>
            <w:vAlign w:val="center"/>
          </w:tcPr>
          <w:p w14:paraId="5C5F2217">
            <w:pPr>
              <w:pStyle w:val="11"/>
            </w:pPr>
          </w:p>
        </w:tc>
      </w:tr>
      <w:tr w14:paraId="02F60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83E0">
            <w:pPr>
              <w:pStyle w:val="13"/>
            </w:pPr>
            <w:r>
              <w:t>10</w:t>
            </w:r>
          </w:p>
        </w:tc>
        <w:tc>
          <w:tcPr>
            <w:tcW w:w="1191" w:type="dxa"/>
            <w:vAlign w:val="center"/>
          </w:tcPr>
          <w:p w14:paraId="14896250">
            <w:pPr>
              <w:pStyle w:val="12"/>
            </w:pPr>
            <w:r>
              <w:t>303</w:t>
            </w:r>
          </w:p>
        </w:tc>
        <w:tc>
          <w:tcPr>
            <w:tcW w:w="4535" w:type="dxa"/>
            <w:vAlign w:val="center"/>
          </w:tcPr>
          <w:p w14:paraId="195DAD09">
            <w:pPr>
              <w:pStyle w:val="12"/>
            </w:pPr>
            <w:r>
              <w:t>对个人和家庭的补助</w:t>
            </w:r>
          </w:p>
        </w:tc>
        <w:tc>
          <w:tcPr>
            <w:tcW w:w="2551" w:type="dxa"/>
            <w:vAlign w:val="center"/>
          </w:tcPr>
          <w:p w14:paraId="226204F5">
            <w:pPr>
              <w:pStyle w:val="11"/>
            </w:pPr>
            <w:r>
              <w:t>37.21</w:t>
            </w:r>
          </w:p>
        </w:tc>
        <w:tc>
          <w:tcPr>
            <w:tcW w:w="2551" w:type="dxa"/>
            <w:vAlign w:val="center"/>
          </w:tcPr>
          <w:p w14:paraId="5A84F9A5">
            <w:pPr>
              <w:pStyle w:val="11"/>
            </w:pPr>
            <w:r>
              <w:t>37.21</w:t>
            </w:r>
          </w:p>
        </w:tc>
        <w:tc>
          <w:tcPr>
            <w:tcW w:w="2551" w:type="dxa"/>
            <w:vAlign w:val="center"/>
          </w:tcPr>
          <w:p w14:paraId="2D3C0346">
            <w:pPr>
              <w:pStyle w:val="11"/>
            </w:pPr>
          </w:p>
        </w:tc>
      </w:tr>
      <w:tr w14:paraId="7BE8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2814">
            <w:pPr>
              <w:pStyle w:val="13"/>
            </w:pPr>
            <w:r>
              <w:t>11</w:t>
            </w:r>
          </w:p>
        </w:tc>
        <w:tc>
          <w:tcPr>
            <w:tcW w:w="1191" w:type="dxa"/>
            <w:vAlign w:val="center"/>
          </w:tcPr>
          <w:p w14:paraId="27957634">
            <w:pPr>
              <w:pStyle w:val="12"/>
            </w:pPr>
            <w:r>
              <w:t>30302</w:t>
            </w:r>
          </w:p>
        </w:tc>
        <w:tc>
          <w:tcPr>
            <w:tcW w:w="4535" w:type="dxa"/>
            <w:vAlign w:val="center"/>
          </w:tcPr>
          <w:p w14:paraId="6A33F555">
            <w:pPr>
              <w:pStyle w:val="12"/>
            </w:pPr>
            <w:r>
              <w:t>退休费</w:t>
            </w:r>
          </w:p>
        </w:tc>
        <w:tc>
          <w:tcPr>
            <w:tcW w:w="2551" w:type="dxa"/>
            <w:vAlign w:val="center"/>
          </w:tcPr>
          <w:p w14:paraId="5A6446E7">
            <w:pPr>
              <w:pStyle w:val="11"/>
            </w:pPr>
            <w:r>
              <w:t>35.41</w:t>
            </w:r>
          </w:p>
        </w:tc>
        <w:tc>
          <w:tcPr>
            <w:tcW w:w="2551" w:type="dxa"/>
            <w:vAlign w:val="center"/>
          </w:tcPr>
          <w:p w14:paraId="1607A604">
            <w:pPr>
              <w:pStyle w:val="11"/>
            </w:pPr>
            <w:r>
              <w:t>35.41</w:t>
            </w:r>
          </w:p>
        </w:tc>
        <w:tc>
          <w:tcPr>
            <w:tcW w:w="2551" w:type="dxa"/>
            <w:vAlign w:val="center"/>
          </w:tcPr>
          <w:p w14:paraId="141FFD4D">
            <w:pPr>
              <w:pStyle w:val="11"/>
            </w:pPr>
          </w:p>
        </w:tc>
      </w:tr>
      <w:tr w14:paraId="5FBE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DBE27">
            <w:pPr>
              <w:pStyle w:val="13"/>
            </w:pPr>
            <w:r>
              <w:t>12</w:t>
            </w:r>
          </w:p>
        </w:tc>
        <w:tc>
          <w:tcPr>
            <w:tcW w:w="1191" w:type="dxa"/>
            <w:vAlign w:val="center"/>
          </w:tcPr>
          <w:p w14:paraId="4C5F8D98">
            <w:pPr>
              <w:pStyle w:val="12"/>
            </w:pPr>
            <w:r>
              <w:t>30305</w:t>
            </w:r>
          </w:p>
        </w:tc>
        <w:tc>
          <w:tcPr>
            <w:tcW w:w="4535" w:type="dxa"/>
            <w:vAlign w:val="center"/>
          </w:tcPr>
          <w:p w14:paraId="2080B95F">
            <w:pPr>
              <w:pStyle w:val="12"/>
            </w:pPr>
            <w:r>
              <w:t>生活补助</w:t>
            </w:r>
          </w:p>
        </w:tc>
        <w:tc>
          <w:tcPr>
            <w:tcW w:w="2551" w:type="dxa"/>
            <w:vAlign w:val="center"/>
          </w:tcPr>
          <w:p w14:paraId="17E839D6">
            <w:pPr>
              <w:pStyle w:val="11"/>
            </w:pPr>
            <w:r>
              <w:t>1.80</w:t>
            </w:r>
          </w:p>
        </w:tc>
        <w:tc>
          <w:tcPr>
            <w:tcW w:w="2551" w:type="dxa"/>
            <w:vAlign w:val="center"/>
          </w:tcPr>
          <w:p w14:paraId="25B420CC">
            <w:pPr>
              <w:pStyle w:val="11"/>
            </w:pPr>
            <w:r>
              <w:t>1.80</w:t>
            </w:r>
          </w:p>
        </w:tc>
        <w:tc>
          <w:tcPr>
            <w:tcW w:w="2551" w:type="dxa"/>
            <w:vAlign w:val="center"/>
          </w:tcPr>
          <w:p w14:paraId="101F7603">
            <w:pPr>
              <w:pStyle w:val="11"/>
            </w:pPr>
          </w:p>
        </w:tc>
      </w:tr>
    </w:tbl>
    <w:p w14:paraId="03CFB91E">
      <w:pPr>
        <w:sectPr>
          <w:pgSz w:w="16840" w:h="11900" w:orient="landscape"/>
          <w:pgMar w:top="1361" w:right="1020" w:bottom="1134" w:left="1020" w:header="720" w:footer="720" w:gutter="0"/>
          <w:cols w:space="720" w:num="1"/>
        </w:sectPr>
      </w:pPr>
    </w:p>
    <w:p w14:paraId="5925D8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3D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3FB4CD">
            <w:pPr>
              <w:pStyle w:val="9"/>
            </w:pPr>
            <w:r>
              <w:t>360010隆尧县固城中学</w:t>
            </w:r>
          </w:p>
        </w:tc>
        <w:tc>
          <w:tcPr>
            <w:tcW w:w="2551" w:type="dxa"/>
            <w:tcBorders>
              <w:top w:val="single" w:color="FFFFFF" w:sz="6" w:space="0"/>
              <w:left w:val="single" w:color="FFFFFF" w:sz="6" w:space="0"/>
              <w:right w:val="single" w:color="FFFFFF" w:sz="6" w:space="0"/>
            </w:tcBorders>
            <w:vAlign w:val="center"/>
          </w:tcPr>
          <w:p w14:paraId="7B7AF92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0CDD85">
            <w:pPr>
              <w:pStyle w:val="7"/>
            </w:pPr>
            <w:r>
              <w:t>单位：万元</w:t>
            </w:r>
          </w:p>
        </w:tc>
      </w:tr>
      <w:tr w14:paraId="2138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C6AF30">
            <w:pPr>
              <w:pStyle w:val="10"/>
            </w:pPr>
            <w:r>
              <w:t>序号</w:t>
            </w:r>
          </w:p>
        </w:tc>
        <w:tc>
          <w:tcPr>
            <w:tcW w:w="5726" w:type="dxa"/>
            <w:gridSpan w:val="2"/>
            <w:vAlign w:val="center"/>
          </w:tcPr>
          <w:p w14:paraId="0CC7F75B">
            <w:pPr>
              <w:pStyle w:val="10"/>
            </w:pPr>
            <w:r>
              <w:t>功能分类科目</w:t>
            </w:r>
          </w:p>
        </w:tc>
        <w:tc>
          <w:tcPr>
            <w:tcW w:w="2551" w:type="dxa"/>
            <w:vMerge w:val="restart"/>
            <w:vAlign w:val="center"/>
          </w:tcPr>
          <w:p w14:paraId="512B93C2">
            <w:pPr>
              <w:pStyle w:val="10"/>
            </w:pPr>
            <w:r>
              <w:t>合计</w:t>
            </w:r>
          </w:p>
        </w:tc>
        <w:tc>
          <w:tcPr>
            <w:tcW w:w="2551" w:type="dxa"/>
            <w:vMerge w:val="restart"/>
            <w:vAlign w:val="center"/>
          </w:tcPr>
          <w:p w14:paraId="054898EA">
            <w:pPr>
              <w:pStyle w:val="10"/>
            </w:pPr>
            <w:r>
              <w:t>基本支出</w:t>
            </w:r>
          </w:p>
        </w:tc>
        <w:tc>
          <w:tcPr>
            <w:tcW w:w="2551" w:type="dxa"/>
            <w:vMerge w:val="restart"/>
            <w:vAlign w:val="center"/>
          </w:tcPr>
          <w:p w14:paraId="42593CAA">
            <w:pPr>
              <w:pStyle w:val="10"/>
            </w:pPr>
            <w:r>
              <w:t>项目支出</w:t>
            </w:r>
          </w:p>
        </w:tc>
      </w:tr>
      <w:tr w14:paraId="0A27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73F19"/>
        </w:tc>
        <w:tc>
          <w:tcPr>
            <w:tcW w:w="1191" w:type="dxa"/>
            <w:vAlign w:val="center"/>
          </w:tcPr>
          <w:p w14:paraId="492F1ED1">
            <w:pPr>
              <w:pStyle w:val="10"/>
            </w:pPr>
            <w:r>
              <w:t>科目编码</w:t>
            </w:r>
          </w:p>
        </w:tc>
        <w:tc>
          <w:tcPr>
            <w:tcW w:w="4535" w:type="dxa"/>
            <w:vAlign w:val="center"/>
          </w:tcPr>
          <w:p w14:paraId="5DDE9D33">
            <w:pPr>
              <w:pStyle w:val="10"/>
            </w:pPr>
            <w:r>
              <w:t>科目名称</w:t>
            </w:r>
          </w:p>
        </w:tc>
        <w:tc>
          <w:tcPr>
            <w:tcW w:w="2551" w:type="dxa"/>
            <w:vMerge w:val="continue"/>
          </w:tcPr>
          <w:p w14:paraId="387AABDC"/>
        </w:tc>
        <w:tc>
          <w:tcPr>
            <w:tcW w:w="2551" w:type="dxa"/>
            <w:vMerge w:val="continue"/>
          </w:tcPr>
          <w:p w14:paraId="09110491"/>
        </w:tc>
        <w:tc>
          <w:tcPr>
            <w:tcW w:w="2551" w:type="dxa"/>
            <w:vMerge w:val="continue"/>
          </w:tcPr>
          <w:p w14:paraId="3D4F4F42"/>
        </w:tc>
      </w:tr>
      <w:tr w14:paraId="6DB554FE">
        <w:tblPrEx>
          <w:tblCellMar>
            <w:top w:w="0" w:type="dxa"/>
            <w:left w:w="108" w:type="dxa"/>
            <w:bottom w:w="0" w:type="dxa"/>
            <w:right w:w="108" w:type="dxa"/>
          </w:tblCellMar>
        </w:tblPrEx>
        <w:trPr>
          <w:trHeight w:val="369" w:hRule="atLeast"/>
          <w:tblHeader/>
          <w:jc w:val="center"/>
        </w:trPr>
        <w:tc>
          <w:tcPr>
            <w:tcW w:w="850" w:type="dxa"/>
            <w:vAlign w:val="center"/>
          </w:tcPr>
          <w:p w14:paraId="438F27D1">
            <w:pPr>
              <w:pStyle w:val="10"/>
            </w:pPr>
            <w:r>
              <w:t>栏次</w:t>
            </w:r>
          </w:p>
        </w:tc>
        <w:tc>
          <w:tcPr>
            <w:tcW w:w="1191" w:type="dxa"/>
            <w:vAlign w:val="center"/>
          </w:tcPr>
          <w:p w14:paraId="18D7F01C">
            <w:pPr>
              <w:pStyle w:val="10"/>
            </w:pPr>
            <w:r>
              <w:t>1</w:t>
            </w:r>
          </w:p>
        </w:tc>
        <w:tc>
          <w:tcPr>
            <w:tcW w:w="4535" w:type="dxa"/>
            <w:vAlign w:val="center"/>
          </w:tcPr>
          <w:p w14:paraId="288CFCCF">
            <w:pPr>
              <w:pStyle w:val="10"/>
            </w:pPr>
            <w:r>
              <w:t>2</w:t>
            </w:r>
          </w:p>
        </w:tc>
        <w:tc>
          <w:tcPr>
            <w:tcW w:w="2551" w:type="dxa"/>
            <w:vAlign w:val="center"/>
          </w:tcPr>
          <w:p w14:paraId="4AFF1335">
            <w:pPr>
              <w:pStyle w:val="10"/>
            </w:pPr>
            <w:r>
              <w:t>3</w:t>
            </w:r>
          </w:p>
        </w:tc>
        <w:tc>
          <w:tcPr>
            <w:tcW w:w="2551" w:type="dxa"/>
            <w:vAlign w:val="center"/>
          </w:tcPr>
          <w:p w14:paraId="03DBD1CB">
            <w:pPr>
              <w:pStyle w:val="10"/>
            </w:pPr>
            <w:r>
              <w:t>4</w:t>
            </w:r>
          </w:p>
        </w:tc>
        <w:tc>
          <w:tcPr>
            <w:tcW w:w="2551" w:type="dxa"/>
            <w:vAlign w:val="center"/>
          </w:tcPr>
          <w:p w14:paraId="206719E4">
            <w:pPr>
              <w:pStyle w:val="10"/>
            </w:pPr>
            <w:r>
              <w:t>5</w:t>
            </w:r>
          </w:p>
        </w:tc>
      </w:tr>
      <w:tr w14:paraId="1AA0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7E6C0">
            <w:pPr>
              <w:pStyle w:val="13"/>
            </w:pPr>
          </w:p>
        </w:tc>
        <w:tc>
          <w:tcPr>
            <w:tcW w:w="1191" w:type="dxa"/>
            <w:vAlign w:val="center"/>
          </w:tcPr>
          <w:p w14:paraId="4C618759">
            <w:pPr>
              <w:pStyle w:val="12"/>
            </w:pPr>
          </w:p>
        </w:tc>
        <w:tc>
          <w:tcPr>
            <w:tcW w:w="4535" w:type="dxa"/>
            <w:vAlign w:val="center"/>
          </w:tcPr>
          <w:p w14:paraId="04201331">
            <w:pPr>
              <w:pStyle w:val="12"/>
            </w:pPr>
          </w:p>
        </w:tc>
        <w:tc>
          <w:tcPr>
            <w:tcW w:w="2551" w:type="dxa"/>
            <w:vAlign w:val="center"/>
          </w:tcPr>
          <w:p w14:paraId="788BB1E2">
            <w:pPr>
              <w:pStyle w:val="11"/>
            </w:pPr>
          </w:p>
        </w:tc>
        <w:tc>
          <w:tcPr>
            <w:tcW w:w="2551" w:type="dxa"/>
            <w:vAlign w:val="center"/>
          </w:tcPr>
          <w:p w14:paraId="79396436">
            <w:pPr>
              <w:pStyle w:val="11"/>
            </w:pPr>
          </w:p>
        </w:tc>
        <w:tc>
          <w:tcPr>
            <w:tcW w:w="2551" w:type="dxa"/>
            <w:vAlign w:val="center"/>
          </w:tcPr>
          <w:p w14:paraId="4A2F2911">
            <w:pPr>
              <w:pStyle w:val="11"/>
            </w:pPr>
          </w:p>
        </w:tc>
      </w:tr>
    </w:tbl>
    <w:p w14:paraId="4DE884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6EDBA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54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81BC7B">
            <w:pPr>
              <w:pStyle w:val="9"/>
            </w:pPr>
            <w:r>
              <w:t>360010隆尧县固城中学</w:t>
            </w:r>
          </w:p>
        </w:tc>
        <w:tc>
          <w:tcPr>
            <w:tcW w:w="2551" w:type="dxa"/>
            <w:tcBorders>
              <w:top w:val="single" w:color="FFFFFF" w:sz="6" w:space="0"/>
              <w:left w:val="single" w:color="FFFFFF" w:sz="6" w:space="0"/>
              <w:right w:val="single" w:color="FFFFFF" w:sz="6" w:space="0"/>
            </w:tcBorders>
            <w:vAlign w:val="center"/>
          </w:tcPr>
          <w:p w14:paraId="7911026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9199AD">
            <w:pPr>
              <w:pStyle w:val="7"/>
            </w:pPr>
            <w:r>
              <w:t>单位：万元</w:t>
            </w:r>
          </w:p>
        </w:tc>
      </w:tr>
      <w:tr w14:paraId="50A6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F555F">
            <w:pPr>
              <w:pStyle w:val="10"/>
            </w:pPr>
            <w:r>
              <w:t>序号</w:t>
            </w:r>
          </w:p>
        </w:tc>
        <w:tc>
          <w:tcPr>
            <w:tcW w:w="5726" w:type="dxa"/>
            <w:gridSpan w:val="2"/>
            <w:vAlign w:val="center"/>
          </w:tcPr>
          <w:p w14:paraId="55EF255D">
            <w:pPr>
              <w:pStyle w:val="10"/>
            </w:pPr>
            <w:r>
              <w:t>功能分类科目</w:t>
            </w:r>
          </w:p>
        </w:tc>
        <w:tc>
          <w:tcPr>
            <w:tcW w:w="2551" w:type="dxa"/>
            <w:vMerge w:val="restart"/>
            <w:vAlign w:val="center"/>
          </w:tcPr>
          <w:p w14:paraId="46DA8204">
            <w:pPr>
              <w:pStyle w:val="10"/>
            </w:pPr>
            <w:r>
              <w:t>合计</w:t>
            </w:r>
          </w:p>
        </w:tc>
        <w:tc>
          <w:tcPr>
            <w:tcW w:w="2551" w:type="dxa"/>
            <w:vMerge w:val="restart"/>
            <w:vAlign w:val="center"/>
          </w:tcPr>
          <w:p w14:paraId="52A9EE69">
            <w:pPr>
              <w:pStyle w:val="10"/>
            </w:pPr>
            <w:r>
              <w:t>基本支出</w:t>
            </w:r>
          </w:p>
        </w:tc>
        <w:tc>
          <w:tcPr>
            <w:tcW w:w="2551" w:type="dxa"/>
            <w:vMerge w:val="restart"/>
            <w:vAlign w:val="center"/>
          </w:tcPr>
          <w:p w14:paraId="3BA883CC">
            <w:pPr>
              <w:pStyle w:val="10"/>
            </w:pPr>
            <w:r>
              <w:t>项目支出</w:t>
            </w:r>
          </w:p>
        </w:tc>
      </w:tr>
      <w:tr w14:paraId="5A0CD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381A6"/>
        </w:tc>
        <w:tc>
          <w:tcPr>
            <w:tcW w:w="1191" w:type="dxa"/>
            <w:vAlign w:val="center"/>
          </w:tcPr>
          <w:p w14:paraId="3FC4B505">
            <w:pPr>
              <w:pStyle w:val="10"/>
            </w:pPr>
            <w:r>
              <w:t>科目编码</w:t>
            </w:r>
          </w:p>
        </w:tc>
        <w:tc>
          <w:tcPr>
            <w:tcW w:w="4535" w:type="dxa"/>
            <w:vAlign w:val="center"/>
          </w:tcPr>
          <w:p w14:paraId="01ADF1F3">
            <w:pPr>
              <w:pStyle w:val="10"/>
            </w:pPr>
            <w:r>
              <w:t>科目名称</w:t>
            </w:r>
          </w:p>
        </w:tc>
        <w:tc>
          <w:tcPr>
            <w:tcW w:w="2551" w:type="dxa"/>
            <w:vMerge w:val="continue"/>
          </w:tcPr>
          <w:p w14:paraId="289F1478"/>
        </w:tc>
        <w:tc>
          <w:tcPr>
            <w:tcW w:w="2551" w:type="dxa"/>
            <w:vMerge w:val="continue"/>
          </w:tcPr>
          <w:p w14:paraId="71CFF04F"/>
        </w:tc>
        <w:tc>
          <w:tcPr>
            <w:tcW w:w="2551" w:type="dxa"/>
            <w:vMerge w:val="continue"/>
          </w:tcPr>
          <w:p w14:paraId="6AF5535D"/>
        </w:tc>
      </w:tr>
      <w:tr w14:paraId="768F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99A343">
            <w:pPr>
              <w:pStyle w:val="10"/>
            </w:pPr>
            <w:r>
              <w:t>栏次</w:t>
            </w:r>
          </w:p>
        </w:tc>
        <w:tc>
          <w:tcPr>
            <w:tcW w:w="1191" w:type="dxa"/>
            <w:vAlign w:val="center"/>
          </w:tcPr>
          <w:p w14:paraId="6264F99D">
            <w:pPr>
              <w:pStyle w:val="10"/>
            </w:pPr>
            <w:r>
              <w:t>1</w:t>
            </w:r>
          </w:p>
        </w:tc>
        <w:tc>
          <w:tcPr>
            <w:tcW w:w="4535" w:type="dxa"/>
            <w:vAlign w:val="center"/>
          </w:tcPr>
          <w:p w14:paraId="34C6F30A">
            <w:pPr>
              <w:pStyle w:val="10"/>
            </w:pPr>
            <w:r>
              <w:t>2</w:t>
            </w:r>
          </w:p>
        </w:tc>
        <w:tc>
          <w:tcPr>
            <w:tcW w:w="2551" w:type="dxa"/>
            <w:vAlign w:val="center"/>
          </w:tcPr>
          <w:p w14:paraId="29D950D8">
            <w:pPr>
              <w:pStyle w:val="10"/>
            </w:pPr>
            <w:r>
              <w:t>3</w:t>
            </w:r>
          </w:p>
        </w:tc>
        <w:tc>
          <w:tcPr>
            <w:tcW w:w="2551" w:type="dxa"/>
            <w:vAlign w:val="center"/>
          </w:tcPr>
          <w:p w14:paraId="2DA05F36">
            <w:pPr>
              <w:pStyle w:val="10"/>
            </w:pPr>
            <w:r>
              <w:t>4</w:t>
            </w:r>
          </w:p>
        </w:tc>
        <w:tc>
          <w:tcPr>
            <w:tcW w:w="2551" w:type="dxa"/>
            <w:vAlign w:val="center"/>
          </w:tcPr>
          <w:p w14:paraId="2556600A">
            <w:pPr>
              <w:pStyle w:val="10"/>
            </w:pPr>
            <w:r>
              <w:t>5</w:t>
            </w:r>
          </w:p>
        </w:tc>
      </w:tr>
      <w:tr w14:paraId="3A28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F000">
            <w:pPr>
              <w:pStyle w:val="13"/>
            </w:pPr>
          </w:p>
        </w:tc>
        <w:tc>
          <w:tcPr>
            <w:tcW w:w="1191" w:type="dxa"/>
            <w:vAlign w:val="center"/>
          </w:tcPr>
          <w:p w14:paraId="74333A14">
            <w:pPr>
              <w:pStyle w:val="12"/>
            </w:pPr>
          </w:p>
        </w:tc>
        <w:tc>
          <w:tcPr>
            <w:tcW w:w="4535" w:type="dxa"/>
            <w:vAlign w:val="center"/>
          </w:tcPr>
          <w:p w14:paraId="46E80FD0">
            <w:pPr>
              <w:pStyle w:val="12"/>
            </w:pPr>
          </w:p>
        </w:tc>
        <w:tc>
          <w:tcPr>
            <w:tcW w:w="2551" w:type="dxa"/>
            <w:vAlign w:val="center"/>
          </w:tcPr>
          <w:p w14:paraId="41932122">
            <w:pPr>
              <w:pStyle w:val="11"/>
            </w:pPr>
          </w:p>
        </w:tc>
        <w:tc>
          <w:tcPr>
            <w:tcW w:w="2551" w:type="dxa"/>
            <w:vAlign w:val="center"/>
          </w:tcPr>
          <w:p w14:paraId="1DE6E764">
            <w:pPr>
              <w:pStyle w:val="11"/>
            </w:pPr>
          </w:p>
        </w:tc>
        <w:tc>
          <w:tcPr>
            <w:tcW w:w="2551" w:type="dxa"/>
            <w:vAlign w:val="center"/>
          </w:tcPr>
          <w:p w14:paraId="6524541E">
            <w:pPr>
              <w:pStyle w:val="11"/>
            </w:pPr>
          </w:p>
        </w:tc>
      </w:tr>
    </w:tbl>
    <w:p w14:paraId="735282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3F2A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67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3BA477">
            <w:pPr>
              <w:pStyle w:val="9"/>
            </w:pPr>
            <w:r>
              <w:t>360010隆尧县固城中学</w:t>
            </w:r>
          </w:p>
        </w:tc>
        <w:tc>
          <w:tcPr>
            <w:tcW w:w="2381" w:type="dxa"/>
            <w:tcBorders>
              <w:top w:val="single" w:color="FFFFFF" w:sz="6" w:space="0"/>
              <w:left w:val="single" w:color="FFFFFF" w:sz="6" w:space="0"/>
              <w:right w:val="single" w:color="FFFFFF" w:sz="6" w:space="0"/>
            </w:tcBorders>
            <w:vAlign w:val="center"/>
          </w:tcPr>
          <w:p w14:paraId="0ABDDD1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5B93549">
            <w:pPr>
              <w:pStyle w:val="7"/>
            </w:pPr>
            <w:r>
              <w:t>单位：万元</w:t>
            </w:r>
          </w:p>
        </w:tc>
      </w:tr>
      <w:tr w14:paraId="1608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F2425">
            <w:pPr>
              <w:pStyle w:val="10"/>
            </w:pPr>
            <w:r>
              <w:t>序号</w:t>
            </w:r>
          </w:p>
        </w:tc>
        <w:tc>
          <w:tcPr>
            <w:tcW w:w="3798" w:type="dxa"/>
            <w:vMerge w:val="restart"/>
            <w:vAlign w:val="center"/>
          </w:tcPr>
          <w:p w14:paraId="6E0427B3">
            <w:pPr>
              <w:pStyle w:val="10"/>
            </w:pPr>
            <w:r>
              <w:t>项  目</w:t>
            </w:r>
          </w:p>
        </w:tc>
        <w:tc>
          <w:tcPr>
            <w:tcW w:w="9524" w:type="dxa"/>
            <w:gridSpan w:val="4"/>
            <w:vAlign w:val="center"/>
          </w:tcPr>
          <w:p w14:paraId="3FDEF3A8">
            <w:pPr>
              <w:pStyle w:val="10"/>
            </w:pPr>
            <w:r>
              <w:t>资 金 性 质</w:t>
            </w:r>
          </w:p>
        </w:tc>
      </w:tr>
      <w:tr w14:paraId="44ADE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9C4698"/>
        </w:tc>
        <w:tc>
          <w:tcPr>
            <w:tcW w:w="3798" w:type="dxa"/>
            <w:vMerge w:val="continue"/>
          </w:tcPr>
          <w:p w14:paraId="33F7981B"/>
        </w:tc>
        <w:tc>
          <w:tcPr>
            <w:tcW w:w="2381" w:type="dxa"/>
            <w:vAlign w:val="center"/>
          </w:tcPr>
          <w:p w14:paraId="25D09C33">
            <w:pPr>
              <w:pStyle w:val="10"/>
            </w:pPr>
            <w:r>
              <w:t>合计</w:t>
            </w:r>
          </w:p>
        </w:tc>
        <w:tc>
          <w:tcPr>
            <w:tcW w:w="2381" w:type="dxa"/>
            <w:vAlign w:val="center"/>
          </w:tcPr>
          <w:p w14:paraId="5E659280">
            <w:pPr>
              <w:pStyle w:val="10"/>
            </w:pPr>
            <w:r>
              <w:t>一般公共预算              财政拨款</w:t>
            </w:r>
          </w:p>
        </w:tc>
        <w:tc>
          <w:tcPr>
            <w:tcW w:w="2381" w:type="dxa"/>
            <w:vAlign w:val="center"/>
          </w:tcPr>
          <w:p w14:paraId="2150F283">
            <w:pPr>
              <w:pStyle w:val="10"/>
            </w:pPr>
            <w:r>
              <w:t>政府性基金                  预算拨款</w:t>
            </w:r>
          </w:p>
        </w:tc>
        <w:tc>
          <w:tcPr>
            <w:tcW w:w="2381" w:type="dxa"/>
            <w:vAlign w:val="center"/>
          </w:tcPr>
          <w:p w14:paraId="4D45046B">
            <w:pPr>
              <w:pStyle w:val="10"/>
            </w:pPr>
            <w:r>
              <w:t>国有资本经营              预算财政拨款</w:t>
            </w:r>
          </w:p>
        </w:tc>
      </w:tr>
      <w:tr w14:paraId="0886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379A86">
            <w:pPr>
              <w:pStyle w:val="10"/>
            </w:pPr>
            <w:r>
              <w:t>栏次</w:t>
            </w:r>
          </w:p>
        </w:tc>
        <w:tc>
          <w:tcPr>
            <w:tcW w:w="3798" w:type="dxa"/>
            <w:vAlign w:val="center"/>
          </w:tcPr>
          <w:p w14:paraId="4771D561">
            <w:pPr>
              <w:pStyle w:val="10"/>
            </w:pPr>
            <w:r>
              <w:t>1</w:t>
            </w:r>
          </w:p>
        </w:tc>
        <w:tc>
          <w:tcPr>
            <w:tcW w:w="2381" w:type="dxa"/>
            <w:vAlign w:val="center"/>
          </w:tcPr>
          <w:p w14:paraId="3F8C72FC">
            <w:pPr>
              <w:pStyle w:val="10"/>
            </w:pPr>
            <w:r>
              <w:t>2</w:t>
            </w:r>
          </w:p>
        </w:tc>
        <w:tc>
          <w:tcPr>
            <w:tcW w:w="2381" w:type="dxa"/>
            <w:vAlign w:val="center"/>
          </w:tcPr>
          <w:p w14:paraId="4F8B8299">
            <w:pPr>
              <w:pStyle w:val="10"/>
            </w:pPr>
            <w:r>
              <w:t>3</w:t>
            </w:r>
          </w:p>
        </w:tc>
        <w:tc>
          <w:tcPr>
            <w:tcW w:w="2381" w:type="dxa"/>
            <w:vAlign w:val="center"/>
          </w:tcPr>
          <w:p w14:paraId="295BBBB8">
            <w:pPr>
              <w:pStyle w:val="10"/>
            </w:pPr>
            <w:r>
              <w:t>4</w:t>
            </w:r>
          </w:p>
        </w:tc>
        <w:tc>
          <w:tcPr>
            <w:tcW w:w="2381" w:type="dxa"/>
            <w:vAlign w:val="center"/>
          </w:tcPr>
          <w:p w14:paraId="5FE68273">
            <w:pPr>
              <w:pStyle w:val="10"/>
            </w:pPr>
            <w:r>
              <w:t>5</w:t>
            </w:r>
          </w:p>
        </w:tc>
      </w:tr>
      <w:tr w14:paraId="0B76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9CC3BE">
            <w:pPr>
              <w:pStyle w:val="13"/>
            </w:pPr>
          </w:p>
        </w:tc>
        <w:tc>
          <w:tcPr>
            <w:tcW w:w="3798" w:type="dxa"/>
            <w:vAlign w:val="center"/>
          </w:tcPr>
          <w:p w14:paraId="15FB3B7F">
            <w:pPr>
              <w:pStyle w:val="12"/>
            </w:pPr>
          </w:p>
        </w:tc>
        <w:tc>
          <w:tcPr>
            <w:tcW w:w="2381" w:type="dxa"/>
            <w:vAlign w:val="center"/>
          </w:tcPr>
          <w:p w14:paraId="1DF204D9">
            <w:pPr>
              <w:pStyle w:val="11"/>
            </w:pPr>
          </w:p>
        </w:tc>
        <w:tc>
          <w:tcPr>
            <w:tcW w:w="2381" w:type="dxa"/>
            <w:vAlign w:val="center"/>
          </w:tcPr>
          <w:p w14:paraId="3B992A60">
            <w:pPr>
              <w:pStyle w:val="11"/>
            </w:pPr>
          </w:p>
        </w:tc>
        <w:tc>
          <w:tcPr>
            <w:tcW w:w="2381" w:type="dxa"/>
            <w:vAlign w:val="center"/>
          </w:tcPr>
          <w:p w14:paraId="2AEBFA36">
            <w:pPr>
              <w:pStyle w:val="11"/>
            </w:pPr>
          </w:p>
        </w:tc>
        <w:tc>
          <w:tcPr>
            <w:tcW w:w="2381" w:type="dxa"/>
            <w:vAlign w:val="center"/>
          </w:tcPr>
          <w:p w14:paraId="6ABC78D1">
            <w:pPr>
              <w:pStyle w:val="11"/>
            </w:pPr>
          </w:p>
        </w:tc>
      </w:tr>
    </w:tbl>
    <w:p w14:paraId="3745137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A0BCD5B">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隆尧县固城中学2026年单位预算信息公开情况说明</w:t>
      </w:r>
    </w:p>
    <w:p w14:paraId="7FBE08D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地方预决算公开操作规程》和《关于进一步推进预算公开工作的实施意见》规定，现将隆尧县固城中学2026年单位预算公开如下：</w:t>
      </w:r>
    </w:p>
    <w:p w14:paraId="45A1DEE3">
      <w:pPr>
        <w:spacing w:before="10" w:after="10" w:line="240" w:lineRule="auto"/>
        <w:ind w:firstLine="640"/>
        <w:jc w:val="left"/>
        <w:outlineLvl w:val="5"/>
      </w:pPr>
      <w:r>
        <w:rPr>
          <w:rFonts w:ascii="黑体" w:hAnsi="黑体" w:eastAsia="黑体" w:cs="黑体"/>
          <w:color w:val="000000"/>
          <w:sz w:val="32"/>
        </w:rPr>
        <w:t>一、单位职责及机构设置情况</w:t>
      </w:r>
    </w:p>
    <w:p w14:paraId="42E89D1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6F2C413">
      <w:pPr>
        <w:pStyle w:val="17"/>
        <w:rPr>
          <w:rFonts w:hint="eastAsia"/>
        </w:rPr>
      </w:pPr>
      <w:r>
        <w:rPr>
          <w:rFonts w:hint="eastAsia"/>
        </w:rPr>
        <w:t xml:space="preserve"> 贯彻落实基础教育的方针、政策，开展初中阶段教育教学工作，促进学生德，智，体，美，劳全面发展；负责学生安全教育和管理，确保学生身心健康；加强教师队伍建设和管理，为教育教学工作提供保障。</w:t>
      </w:r>
    </w:p>
    <w:p w14:paraId="50C95AD7">
      <w:pPr>
        <w:pStyle w:val="17"/>
      </w:pPr>
      <w:r>
        <w:rPr>
          <w:rFonts w:hint="eastAsia"/>
        </w:rPr>
        <w:t xml:space="preserve">   隆尧县固城中学事业编制145名，其中，校长1名</w:t>
      </w:r>
      <w:r>
        <w:rPr>
          <w:rFonts w:hint="eastAsia"/>
          <w:lang w:eastAsia="zh-CN"/>
        </w:rPr>
        <w:t>（</w:t>
      </w:r>
      <w:r>
        <w:rPr>
          <w:rFonts w:hint="eastAsia"/>
        </w:rPr>
        <w:t>正股级</w:t>
      </w:r>
      <w:r>
        <w:rPr>
          <w:rFonts w:hint="eastAsia"/>
          <w:lang w:eastAsia="zh-CN"/>
        </w:rPr>
        <w:t>）</w:t>
      </w:r>
      <w:r>
        <w:rPr>
          <w:rFonts w:hint="eastAsia"/>
        </w:rPr>
        <w:t>，副校长4名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41F6426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0EED0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7C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FA2531">
            <w:pPr>
              <w:pStyle w:val="10"/>
            </w:pPr>
            <w:r>
              <w:t>单位名称</w:t>
            </w:r>
          </w:p>
        </w:tc>
        <w:tc>
          <w:tcPr>
            <w:tcW w:w="1843" w:type="dxa"/>
            <w:vAlign w:val="center"/>
          </w:tcPr>
          <w:p w14:paraId="51FE388E">
            <w:pPr>
              <w:pStyle w:val="10"/>
            </w:pPr>
            <w:r>
              <w:t>单位性质</w:t>
            </w:r>
          </w:p>
        </w:tc>
        <w:tc>
          <w:tcPr>
            <w:tcW w:w="2126" w:type="dxa"/>
            <w:vAlign w:val="center"/>
          </w:tcPr>
          <w:p w14:paraId="61308A2E">
            <w:pPr>
              <w:pStyle w:val="10"/>
            </w:pPr>
            <w:r>
              <w:t>单位规格</w:t>
            </w:r>
          </w:p>
        </w:tc>
        <w:tc>
          <w:tcPr>
            <w:tcW w:w="3827" w:type="dxa"/>
            <w:vAlign w:val="center"/>
          </w:tcPr>
          <w:p w14:paraId="59D4EB7B">
            <w:pPr>
              <w:pStyle w:val="10"/>
            </w:pPr>
            <w:r>
              <w:t>经费保障形式</w:t>
            </w:r>
          </w:p>
        </w:tc>
      </w:tr>
      <w:tr w14:paraId="6FD9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758541">
            <w:pPr>
              <w:pStyle w:val="12"/>
            </w:pPr>
            <w:r>
              <w:t>隆尧县固城中学</w:t>
            </w:r>
          </w:p>
        </w:tc>
        <w:tc>
          <w:tcPr>
            <w:tcW w:w="1843" w:type="dxa"/>
            <w:vAlign w:val="center"/>
          </w:tcPr>
          <w:p w14:paraId="7B16B566">
            <w:pPr>
              <w:pStyle w:val="13"/>
            </w:pPr>
            <w:r>
              <w:t>事业</w:t>
            </w:r>
          </w:p>
        </w:tc>
        <w:tc>
          <w:tcPr>
            <w:tcW w:w="2126" w:type="dxa"/>
            <w:vAlign w:val="center"/>
          </w:tcPr>
          <w:p w14:paraId="1A22E282">
            <w:pPr>
              <w:pStyle w:val="13"/>
            </w:pPr>
            <w:r>
              <w:t>股级</w:t>
            </w:r>
          </w:p>
        </w:tc>
        <w:tc>
          <w:tcPr>
            <w:tcW w:w="3827" w:type="dxa"/>
            <w:vAlign w:val="center"/>
          </w:tcPr>
          <w:p w14:paraId="57F5AE58">
            <w:pPr>
              <w:pStyle w:val="13"/>
            </w:pPr>
            <w:r>
              <w:t>财政性资金基本保证</w:t>
            </w:r>
          </w:p>
        </w:tc>
      </w:tr>
    </w:tbl>
    <w:p w14:paraId="4092B47F">
      <w:pPr>
        <w:spacing w:before="10" w:after="10" w:line="240" w:lineRule="auto"/>
        <w:ind w:firstLine="640"/>
        <w:jc w:val="left"/>
        <w:outlineLvl w:val="5"/>
      </w:pPr>
      <w:r>
        <w:rPr>
          <w:rFonts w:ascii="黑体" w:hAnsi="黑体" w:eastAsia="黑体" w:cs="黑体"/>
          <w:color w:val="000000"/>
          <w:sz w:val="32"/>
        </w:rPr>
        <w:t>二、单位预算安排的总体情况</w:t>
      </w:r>
    </w:p>
    <w:p w14:paraId="0D2F7F50">
      <w:pPr>
        <w:pStyle w:val="18"/>
      </w:pPr>
      <w:r>
        <w:t>按照预算管理有关规定，目前我校单位预算的编制实行综合预算管理，即全部收入和支出都反映的预算中。隆尧县固城中学的收支包含在单位预算中。</w:t>
      </w:r>
    </w:p>
    <w:p w14:paraId="6286FAAB">
      <w:pPr>
        <w:pStyle w:val="18"/>
      </w:pPr>
      <w:r>
        <w:t>1、收入说明</w:t>
      </w:r>
    </w:p>
    <w:p w14:paraId="7EF1BAB7">
      <w:pPr>
        <w:pStyle w:val="18"/>
      </w:pPr>
      <w:r>
        <w:t>反映本单位当年全部收入。2026年预算收入2280.1万元，其中：一般公共预算收入2280.1万元，基金预算收入0元，财政专户管理资金收入0元，单位资金收入0元，上年结转结余0万元。</w:t>
      </w:r>
    </w:p>
    <w:p w14:paraId="1E126E96">
      <w:pPr>
        <w:pStyle w:val="18"/>
      </w:pPr>
      <w:r>
        <w:t>2、支出说明</w:t>
      </w:r>
    </w:p>
    <w:p w14:paraId="6F431C84">
      <w:pPr>
        <w:pStyle w:val="18"/>
      </w:pPr>
      <w:r>
        <w:t>收支预算总表支出栏、基本支出表、项目支出表按经济分类和支出功能分类科目编制，反映隆尧县固城中学年度单位预算中支出预算的总体情况。2026年单位支出预算为2280.1万元，其中基本支出1915.52万元、项目支出364.584万元。主要为初中教育2280.1万元</w:t>
      </w:r>
    </w:p>
    <w:p w14:paraId="0C243623">
      <w:pPr>
        <w:pStyle w:val="18"/>
      </w:pPr>
      <w:r>
        <w:t>3、比上年增减情况</w:t>
      </w:r>
    </w:p>
    <w:p w14:paraId="07845E34">
      <w:pPr>
        <w:pStyle w:val="18"/>
      </w:pPr>
      <w:r>
        <w:t>2026年单位预算收支安排2280.1万元，较2025年预算增加18.97万元。其中基本支出减少62.46万元，项目支出增加81.44万元。</w:t>
      </w:r>
    </w:p>
    <w:p w14:paraId="0F476A37">
      <w:pPr>
        <w:spacing w:before="10" w:after="10" w:line="240" w:lineRule="auto"/>
        <w:ind w:firstLine="640"/>
        <w:jc w:val="left"/>
        <w:outlineLvl w:val="5"/>
      </w:pPr>
      <w:r>
        <w:rPr>
          <w:rFonts w:ascii="黑体" w:hAnsi="黑体" w:eastAsia="黑体" w:cs="黑体"/>
          <w:color w:val="000000"/>
          <w:sz w:val="32"/>
        </w:rPr>
        <w:t>三、机关运行经费安排情况</w:t>
      </w:r>
    </w:p>
    <w:p w14:paraId="0DFDF11B">
      <w:pPr>
        <w:pStyle w:val="19"/>
      </w:pPr>
      <w:r>
        <w:t>2026年，我单位按学生安排公用经费，无机关运行经费。</w:t>
      </w:r>
    </w:p>
    <w:p w14:paraId="4C7989C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3F92A83">
      <w:pPr>
        <w:pStyle w:val="20"/>
      </w:pPr>
      <w:r>
        <w:t>2026年，我单位财政拨款“三公”经费预算安排0万元，其中因公出国（境）费0万元；公务用车购置及运维费0万元（其中：公务用车购置费为0万元，公务用车运行维护费0万元</w:t>
      </w:r>
      <w:r>
        <w:rPr>
          <w:rFonts w:hint="eastAsia"/>
          <w:lang w:eastAsia="zh-CN"/>
        </w:rPr>
        <w:t>）</w:t>
      </w:r>
      <w:r>
        <w:t>；公务接待费0万元。与2024年相比无变化。</w:t>
      </w:r>
    </w:p>
    <w:p w14:paraId="268B388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D739FB9">
      <w:pPr>
        <w:spacing w:before="0" w:after="0"/>
        <w:ind w:firstLine="560"/>
        <w:jc w:val="left"/>
        <w:outlineLvl w:val="9"/>
      </w:pPr>
      <w:r>
        <w:rPr>
          <w:rFonts w:ascii="方正仿宋_GBK" w:hAnsi="方正仿宋_GBK" w:eastAsia="方正仿宋_GBK" w:cs="方正仿宋_GBK"/>
          <w:b/>
          <w:color w:val="000000"/>
          <w:sz w:val="28"/>
        </w:rPr>
        <w:t>1、冀财教[2024]67号/中央/义务教育/综合奖补/固城中学空调购置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FE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F9FD7">
            <w:pPr>
              <w:pStyle w:val="11"/>
            </w:pPr>
            <w:r>
              <w:t>单位：万元</w:t>
            </w:r>
          </w:p>
        </w:tc>
      </w:tr>
      <w:tr w14:paraId="59331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D8F53">
            <w:pPr>
              <w:pStyle w:val="10"/>
            </w:pPr>
            <w:r>
              <w:t>项目编码</w:t>
            </w:r>
          </w:p>
        </w:tc>
        <w:tc>
          <w:tcPr>
            <w:tcW w:w="5103" w:type="dxa"/>
            <w:gridSpan w:val="2"/>
            <w:vAlign w:val="center"/>
          </w:tcPr>
          <w:p w14:paraId="2399D4D0">
            <w:pPr>
              <w:pStyle w:val="12"/>
            </w:pPr>
            <w:r>
              <w:t>13052526P00000210244K</w:t>
            </w:r>
          </w:p>
        </w:tc>
        <w:tc>
          <w:tcPr>
            <w:tcW w:w="2835" w:type="dxa"/>
            <w:vAlign w:val="center"/>
          </w:tcPr>
          <w:p w14:paraId="05AB87F0">
            <w:pPr>
              <w:pStyle w:val="10"/>
            </w:pPr>
            <w:r>
              <w:t>项目名称</w:t>
            </w:r>
          </w:p>
        </w:tc>
        <w:tc>
          <w:tcPr>
            <w:tcW w:w="6095" w:type="dxa"/>
            <w:gridSpan w:val="3"/>
            <w:vAlign w:val="center"/>
          </w:tcPr>
          <w:p w14:paraId="344B1BDD">
            <w:pPr>
              <w:pStyle w:val="12"/>
            </w:pPr>
            <w:r>
              <w:t>冀财教[2024]67号/中央/义务教育/综合奖补/固城中学空调购置</w:t>
            </w:r>
            <w:r>
              <w:tab/>
            </w:r>
          </w:p>
        </w:tc>
      </w:tr>
      <w:tr w14:paraId="03A79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5BFAF">
            <w:pPr>
              <w:pStyle w:val="10"/>
            </w:pPr>
            <w:r>
              <w:t>预算规模及资金用途</w:t>
            </w:r>
          </w:p>
        </w:tc>
        <w:tc>
          <w:tcPr>
            <w:tcW w:w="2268" w:type="dxa"/>
            <w:vAlign w:val="center"/>
          </w:tcPr>
          <w:p w14:paraId="3F90885E">
            <w:pPr>
              <w:pStyle w:val="10"/>
            </w:pPr>
            <w:r>
              <w:t>预算数</w:t>
            </w:r>
          </w:p>
        </w:tc>
        <w:tc>
          <w:tcPr>
            <w:tcW w:w="2835" w:type="dxa"/>
            <w:vAlign w:val="center"/>
          </w:tcPr>
          <w:p w14:paraId="425735CB">
            <w:pPr>
              <w:pStyle w:val="12"/>
            </w:pPr>
            <w:r>
              <w:t>25.78</w:t>
            </w:r>
          </w:p>
        </w:tc>
        <w:tc>
          <w:tcPr>
            <w:tcW w:w="2835" w:type="dxa"/>
            <w:vAlign w:val="center"/>
          </w:tcPr>
          <w:p w14:paraId="3CC69217">
            <w:pPr>
              <w:pStyle w:val="10"/>
            </w:pPr>
            <w:r>
              <w:t>其中：财政    资金</w:t>
            </w:r>
          </w:p>
        </w:tc>
        <w:tc>
          <w:tcPr>
            <w:tcW w:w="2551" w:type="dxa"/>
            <w:vAlign w:val="center"/>
          </w:tcPr>
          <w:p w14:paraId="0ADCD17E">
            <w:pPr>
              <w:pStyle w:val="12"/>
            </w:pPr>
            <w:r>
              <w:t>25.78</w:t>
            </w:r>
          </w:p>
        </w:tc>
        <w:tc>
          <w:tcPr>
            <w:tcW w:w="2268" w:type="dxa"/>
            <w:vAlign w:val="center"/>
          </w:tcPr>
          <w:p w14:paraId="1F0CFD1C">
            <w:pPr>
              <w:pStyle w:val="10"/>
            </w:pPr>
            <w:r>
              <w:t>其他资金</w:t>
            </w:r>
          </w:p>
        </w:tc>
        <w:tc>
          <w:tcPr>
            <w:tcW w:w="1276" w:type="dxa"/>
            <w:vAlign w:val="center"/>
          </w:tcPr>
          <w:p w14:paraId="7B89FBDA">
            <w:pPr>
              <w:pStyle w:val="12"/>
            </w:pPr>
            <w:r>
              <w:t xml:space="preserve"> </w:t>
            </w:r>
          </w:p>
        </w:tc>
      </w:tr>
      <w:tr w14:paraId="7755F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89665"/>
        </w:tc>
        <w:tc>
          <w:tcPr>
            <w:tcW w:w="14033" w:type="dxa"/>
            <w:gridSpan w:val="6"/>
            <w:vAlign w:val="center"/>
          </w:tcPr>
          <w:p w14:paraId="23AA5D05">
            <w:pPr>
              <w:pStyle w:val="12"/>
            </w:pPr>
            <w:r>
              <w:t>保证学校正常运转和改善办学条件</w:t>
            </w:r>
          </w:p>
        </w:tc>
      </w:tr>
      <w:tr w14:paraId="12EA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A322C">
            <w:pPr>
              <w:pStyle w:val="10"/>
            </w:pPr>
            <w:r>
              <w:t>资金支出计划（%）</w:t>
            </w:r>
          </w:p>
        </w:tc>
        <w:tc>
          <w:tcPr>
            <w:tcW w:w="5103" w:type="dxa"/>
            <w:gridSpan w:val="2"/>
            <w:vAlign w:val="center"/>
          </w:tcPr>
          <w:p w14:paraId="213BA2E4">
            <w:pPr>
              <w:pStyle w:val="10"/>
            </w:pPr>
            <w:r>
              <w:t>3月底</w:t>
            </w:r>
          </w:p>
        </w:tc>
        <w:tc>
          <w:tcPr>
            <w:tcW w:w="2835" w:type="dxa"/>
            <w:vAlign w:val="center"/>
          </w:tcPr>
          <w:p w14:paraId="71BD6C42">
            <w:pPr>
              <w:pStyle w:val="10"/>
            </w:pPr>
            <w:r>
              <w:t>6月底</w:t>
            </w:r>
          </w:p>
        </w:tc>
        <w:tc>
          <w:tcPr>
            <w:tcW w:w="2551" w:type="dxa"/>
            <w:vAlign w:val="center"/>
          </w:tcPr>
          <w:p w14:paraId="6D9E0F87">
            <w:pPr>
              <w:pStyle w:val="10"/>
            </w:pPr>
            <w:r>
              <w:t>10月底</w:t>
            </w:r>
          </w:p>
        </w:tc>
        <w:tc>
          <w:tcPr>
            <w:tcW w:w="3544" w:type="dxa"/>
            <w:gridSpan w:val="2"/>
            <w:vAlign w:val="center"/>
          </w:tcPr>
          <w:p w14:paraId="020067C6">
            <w:pPr>
              <w:pStyle w:val="10"/>
            </w:pPr>
            <w:r>
              <w:t>12月底</w:t>
            </w:r>
          </w:p>
        </w:tc>
      </w:tr>
      <w:tr w14:paraId="622EC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D1017"/>
        </w:tc>
        <w:tc>
          <w:tcPr>
            <w:tcW w:w="5103" w:type="dxa"/>
            <w:gridSpan w:val="2"/>
            <w:vAlign w:val="center"/>
          </w:tcPr>
          <w:p w14:paraId="5F9BF719">
            <w:pPr>
              <w:pStyle w:val="13"/>
            </w:pPr>
            <w:r>
              <w:t xml:space="preserve"> </w:t>
            </w:r>
          </w:p>
        </w:tc>
        <w:tc>
          <w:tcPr>
            <w:tcW w:w="2835" w:type="dxa"/>
            <w:vAlign w:val="center"/>
          </w:tcPr>
          <w:p w14:paraId="3542D6D2">
            <w:pPr>
              <w:pStyle w:val="13"/>
            </w:pPr>
            <w:r>
              <w:t xml:space="preserve"> </w:t>
            </w:r>
          </w:p>
        </w:tc>
        <w:tc>
          <w:tcPr>
            <w:tcW w:w="2551" w:type="dxa"/>
            <w:vAlign w:val="center"/>
          </w:tcPr>
          <w:p w14:paraId="6776D49A">
            <w:pPr>
              <w:pStyle w:val="13"/>
            </w:pPr>
            <w:r>
              <w:t>100%</w:t>
            </w:r>
          </w:p>
        </w:tc>
        <w:tc>
          <w:tcPr>
            <w:tcW w:w="3544" w:type="dxa"/>
            <w:gridSpan w:val="2"/>
            <w:vAlign w:val="center"/>
          </w:tcPr>
          <w:p w14:paraId="08677308">
            <w:pPr>
              <w:pStyle w:val="13"/>
            </w:pPr>
            <w:r>
              <w:t>100%</w:t>
            </w:r>
          </w:p>
        </w:tc>
      </w:tr>
      <w:tr w14:paraId="24B4F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2C74F">
            <w:pPr>
              <w:pStyle w:val="10"/>
            </w:pPr>
            <w:r>
              <w:t>绩效目标</w:t>
            </w:r>
          </w:p>
        </w:tc>
        <w:tc>
          <w:tcPr>
            <w:tcW w:w="14033" w:type="dxa"/>
            <w:gridSpan w:val="6"/>
            <w:vAlign w:val="center"/>
          </w:tcPr>
          <w:p w14:paraId="42EE8F36">
            <w:pPr>
              <w:pStyle w:val="12"/>
            </w:pPr>
            <w:r>
              <w:t>1.保证学校正常运转和改善办学条件</w:t>
            </w:r>
          </w:p>
          <w:p w14:paraId="5FA27102">
            <w:pPr>
              <w:pStyle w:val="12"/>
            </w:pPr>
            <w:r>
              <w:t>2.按拨款时序进度完成经费拨付和支出</w:t>
            </w:r>
          </w:p>
        </w:tc>
      </w:tr>
    </w:tbl>
    <w:p w14:paraId="12DF01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4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565A3">
            <w:pPr>
              <w:pStyle w:val="10"/>
            </w:pPr>
            <w:r>
              <w:t>一级指标</w:t>
            </w:r>
          </w:p>
        </w:tc>
        <w:tc>
          <w:tcPr>
            <w:tcW w:w="2268" w:type="dxa"/>
            <w:vAlign w:val="center"/>
          </w:tcPr>
          <w:p w14:paraId="58FB5B18">
            <w:pPr>
              <w:pStyle w:val="10"/>
            </w:pPr>
            <w:r>
              <w:t>二级指标</w:t>
            </w:r>
          </w:p>
        </w:tc>
        <w:tc>
          <w:tcPr>
            <w:tcW w:w="2835" w:type="dxa"/>
            <w:vAlign w:val="center"/>
          </w:tcPr>
          <w:p w14:paraId="4225842D">
            <w:pPr>
              <w:pStyle w:val="10"/>
            </w:pPr>
            <w:r>
              <w:t>三级指标</w:t>
            </w:r>
          </w:p>
        </w:tc>
        <w:tc>
          <w:tcPr>
            <w:tcW w:w="5386" w:type="dxa"/>
            <w:vAlign w:val="center"/>
          </w:tcPr>
          <w:p w14:paraId="03740626">
            <w:pPr>
              <w:pStyle w:val="10"/>
            </w:pPr>
            <w:r>
              <w:t>绩效指标描述</w:t>
            </w:r>
          </w:p>
        </w:tc>
        <w:tc>
          <w:tcPr>
            <w:tcW w:w="2268" w:type="dxa"/>
            <w:vAlign w:val="center"/>
          </w:tcPr>
          <w:p w14:paraId="6AB0CE47">
            <w:pPr>
              <w:pStyle w:val="10"/>
            </w:pPr>
            <w:r>
              <w:t>指标值</w:t>
            </w:r>
          </w:p>
        </w:tc>
        <w:tc>
          <w:tcPr>
            <w:tcW w:w="1276" w:type="dxa"/>
            <w:vAlign w:val="center"/>
          </w:tcPr>
          <w:p w14:paraId="21B2EC95">
            <w:pPr>
              <w:pStyle w:val="10"/>
            </w:pPr>
            <w:r>
              <w:t>指标值确定依据</w:t>
            </w:r>
          </w:p>
        </w:tc>
      </w:tr>
      <w:tr w14:paraId="2D78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2DF27">
            <w:pPr>
              <w:pStyle w:val="13"/>
            </w:pPr>
            <w:r>
              <w:t>产出指标</w:t>
            </w:r>
          </w:p>
        </w:tc>
        <w:tc>
          <w:tcPr>
            <w:tcW w:w="2268" w:type="dxa"/>
            <w:vAlign w:val="center"/>
          </w:tcPr>
          <w:p w14:paraId="326009B2">
            <w:pPr>
              <w:pStyle w:val="12"/>
            </w:pPr>
            <w:r>
              <w:t>数量指标</w:t>
            </w:r>
          </w:p>
        </w:tc>
        <w:tc>
          <w:tcPr>
            <w:tcW w:w="2835" w:type="dxa"/>
            <w:vAlign w:val="center"/>
          </w:tcPr>
          <w:p w14:paraId="1C15034D">
            <w:pPr>
              <w:pStyle w:val="12"/>
            </w:pPr>
            <w:r>
              <w:t>购置空调</w:t>
            </w:r>
          </w:p>
        </w:tc>
        <w:tc>
          <w:tcPr>
            <w:tcW w:w="5386" w:type="dxa"/>
            <w:vAlign w:val="center"/>
          </w:tcPr>
          <w:p w14:paraId="3DC36E09">
            <w:pPr>
              <w:pStyle w:val="12"/>
            </w:pPr>
            <w:r>
              <w:t>购买72型号空调、35型号空调</w:t>
            </w:r>
          </w:p>
        </w:tc>
        <w:tc>
          <w:tcPr>
            <w:tcW w:w="2268" w:type="dxa"/>
            <w:vAlign w:val="center"/>
          </w:tcPr>
          <w:p w14:paraId="6127C60B">
            <w:pPr>
              <w:pStyle w:val="12"/>
            </w:pPr>
            <w:r>
              <w:t>100台</w:t>
            </w:r>
          </w:p>
        </w:tc>
        <w:tc>
          <w:tcPr>
            <w:tcW w:w="1276" w:type="dxa"/>
            <w:vAlign w:val="center"/>
          </w:tcPr>
          <w:p w14:paraId="401569BA">
            <w:pPr>
              <w:pStyle w:val="12"/>
            </w:pPr>
            <w:r>
              <w:t>项目规划</w:t>
            </w:r>
          </w:p>
        </w:tc>
      </w:tr>
      <w:tr w14:paraId="3C7DD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DF0F8"/>
        </w:tc>
        <w:tc>
          <w:tcPr>
            <w:tcW w:w="2268" w:type="dxa"/>
            <w:vAlign w:val="center"/>
          </w:tcPr>
          <w:p w14:paraId="1E3E01DE">
            <w:pPr>
              <w:pStyle w:val="12"/>
            </w:pPr>
            <w:r>
              <w:t>质量指标</w:t>
            </w:r>
          </w:p>
        </w:tc>
        <w:tc>
          <w:tcPr>
            <w:tcW w:w="2835" w:type="dxa"/>
            <w:vAlign w:val="center"/>
          </w:tcPr>
          <w:p w14:paraId="63E97298">
            <w:pPr>
              <w:pStyle w:val="12"/>
            </w:pPr>
            <w:r>
              <w:t>工程实施验收合格率</w:t>
            </w:r>
          </w:p>
        </w:tc>
        <w:tc>
          <w:tcPr>
            <w:tcW w:w="5386" w:type="dxa"/>
            <w:vAlign w:val="center"/>
          </w:tcPr>
          <w:p w14:paraId="21A35F04">
            <w:pPr>
              <w:pStyle w:val="12"/>
            </w:pPr>
            <w:r>
              <w:t>申报程序的合规，项目实施及资金使用符合项目规划</w:t>
            </w:r>
          </w:p>
        </w:tc>
        <w:tc>
          <w:tcPr>
            <w:tcW w:w="2268" w:type="dxa"/>
            <w:vAlign w:val="center"/>
          </w:tcPr>
          <w:p w14:paraId="40E709E0">
            <w:pPr>
              <w:pStyle w:val="12"/>
            </w:pPr>
            <w:r>
              <w:t>≥98%</w:t>
            </w:r>
          </w:p>
        </w:tc>
        <w:tc>
          <w:tcPr>
            <w:tcW w:w="1276" w:type="dxa"/>
            <w:vAlign w:val="center"/>
          </w:tcPr>
          <w:p w14:paraId="4B540CFE">
            <w:pPr>
              <w:pStyle w:val="12"/>
            </w:pPr>
            <w:r>
              <w:t>项目规划</w:t>
            </w:r>
          </w:p>
        </w:tc>
      </w:tr>
      <w:tr w14:paraId="00BA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48D07"/>
        </w:tc>
        <w:tc>
          <w:tcPr>
            <w:tcW w:w="2268" w:type="dxa"/>
            <w:vAlign w:val="center"/>
          </w:tcPr>
          <w:p w14:paraId="08C9390F">
            <w:pPr>
              <w:pStyle w:val="12"/>
            </w:pPr>
            <w:r>
              <w:t>时效指标</w:t>
            </w:r>
          </w:p>
        </w:tc>
        <w:tc>
          <w:tcPr>
            <w:tcW w:w="2835" w:type="dxa"/>
            <w:vAlign w:val="center"/>
          </w:tcPr>
          <w:p w14:paraId="245AC39F">
            <w:pPr>
              <w:pStyle w:val="12"/>
            </w:pPr>
            <w:r>
              <w:t>资金支付率</w:t>
            </w:r>
          </w:p>
        </w:tc>
        <w:tc>
          <w:tcPr>
            <w:tcW w:w="5386" w:type="dxa"/>
            <w:vAlign w:val="center"/>
          </w:tcPr>
          <w:p w14:paraId="401A3DD9">
            <w:pPr>
              <w:pStyle w:val="12"/>
            </w:pPr>
            <w:r>
              <w:t>按照序时进度完成资金支付</w:t>
            </w:r>
          </w:p>
        </w:tc>
        <w:tc>
          <w:tcPr>
            <w:tcW w:w="2268" w:type="dxa"/>
            <w:vAlign w:val="center"/>
          </w:tcPr>
          <w:p w14:paraId="3AA4BF30">
            <w:pPr>
              <w:pStyle w:val="12"/>
            </w:pPr>
            <w:r>
              <w:t>100%</w:t>
            </w:r>
          </w:p>
        </w:tc>
        <w:tc>
          <w:tcPr>
            <w:tcW w:w="1276" w:type="dxa"/>
            <w:vAlign w:val="center"/>
          </w:tcPr>
          <w:p w14:paraId="714C1327">
            <w:pPr>
              <w:pStyle w:val="12"/>
            </w:pPr>
            <w:r>
              <w:t>项目规划</w:t>
            </w:r>
          </w:p>
        </w:tc>
      </w:tr>
      <w:tr w14:paraId="0C89A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B92A7"/>
        </w:tc>
        <w:tc>
          <w:tcPr>
            <w:tcW w:w="2268" w:type="dxa"/>
            <w:vAlign w:val="center"/>
          </w:tcPr>
          <w:p w14:paraId="7EF2AA7D">
            <w:pPr>
              <w:pStyle w:val="12"/>
            </w:pPr>
            <w:r>
              <w:t>成本指标</w:t>
            </w:r>
          </w:p>
        </w:tc>
        <w:tc>
          <w:tcPr>
            <w:tcW w:w="2835" w:type="dxa"/>
            <w:vAlign w:val="center"/>
          </w:tcPr>
          <w:p w14:paraId="31FB4ACD">
            <w:pPr>
              <w:pStyle w:val="12"/>
            </w:pPr>
            <w:r>
              <w:t>项目成本控制情况</w:t>
            </w:r>
          </w:p>
        </w:tc>
        <w:tc>
          <w:tcPr>
            <w:tcW w:w="5386" w:type="dxa"/>
            <w:vAlign w:val="center"/>
          </w:tcPr>
          <w:p w14:paraId="30CE28B8">
            <w:pPr>
              <w:pStyle w:val="12"/>
            </w:pPr>
            <w:r>
              <w:t>严格按照招标价格及审计额进行</w:t>
            </w:r>
          </w:p>
        </w:tc>
        <w:tc>
          <w:tcPr>
            <w:tcW w:w="2268" w:type="dxa"/>
            <w:vAlign w:val="center"/>
          </w:tcPr>
          <w:p w14:paraId="2D2C4CC9">
            <w:pPr>
              <w:pStyle w:val="12"/>
            </w:pPr>
            <w:r>
              <w:t>25.78万元</w:t>
            </w:r>
          </w:p>
        </w:tc>
        <w:tc>
          <w:tcPr>
            <w:tcW w:w="1276" w:type="dxa"/>
            <w:vAlign w:val="center"/>
          </w:tcPr>
          <w:p w14:paraId="4BD88325">
            <w:pPr>
              <w:pStyle w:val="12"/>
            </w:pPr>
            <w:r>
              <w:t>项目规划</w:t>
            </w:r>
          </w:p>
        </w:tc>
      </w:tr>
      <w:tr w14:paraId="4C42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34FEE">
            <w:pPr>
              <w:pStyle w:val="13"/>
            </w:pPr>
            <w:r>
              <w:t>效益指标</w:t>
            </w:r>
          </w:p>
        </w:tc>
        <w:tc>
          <w:tcPr>
            <w:tcW w:w="2268" w:type="dxa"/>
            <w:vAlign w:val="center"/>
          </w:tcPr>
          <w:p w14:paraId="4D34CFF4">
            <w:pPr>
              <w:pStyle w:val="12"/>
            </w:pPr>
            <w:r>
              <w:t>社会效益指标</w:t>
            </w:r>
          </w:p>
        </w:tc>
        <w:tc>
          <w:tcPr>
            <w:tcW w:w="2835" w:type="dxa"/>
            <w:vAlign w:val="center"/>
          </w:tcPr>
          <w:p w14:paraId="19B97438">
            <w:pPr>
              <w:pStyle w:val="12"/>
            </w:pPr>
            <w:r>
              <w:t>教育发展水平</w:t>
            </w:r>
          </w:p>
        </w:tc>
        <w:tc>
          <w:tcPr>
            <w:tcW w:w="5386" w:type="dxa"/>
            <w:vAlign w:val="center"/>
          </w:tcPr>
          <w:p w14:paraId="2302B925">
            <w:pPr>
              <w:pStyle w:val="12"/>
            </w:pPr>
            <w:r>
              <w:t>受益人数</w:t>
            </w:r>
          </w:p>
        </w:tc>
        <w:tc>
          <w:tcPr>
            <w:tcW w:w="2268" w:type="dxa"/>
            <w:vAlign w:val="center"/>
          </w:tcPr>
          <w:p w14:paraId="72C05FEE">
            <w:pPr>
              <w:pStyle w:val="12"/>
            </w:pPr>
            <w:r>
              <w:t>1639人</w:t>
            </w:r>
          </w:p>
        </w:tc>
        <w:tc>
          <w:tcPr>
            <w:tcW w:w="1276" w:type="dxa"/>
            <w:vAlign w:val="center"/>
          </w:tcPr>
          <w:p w14:paraId="76979FD9">
            <w:pPr>
              <w:pStyle w:val="12"/>
            </w:pPr>
            <w:r>
              <w:t>项目规划</w:t>
            </w:r>
          </w:p>
        </w:tc>
      </w:tr>
      <w:tr w14:paraId="43FD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944DC">
            <w:pPr>
              <w:pStyle w:val="13"/>
            </w:pPr>
            <w:r>
              <w:t>满意度指标</w:t>
            </w:r>
          </w:p>
        </w:tc>
        <w:tc>
          <w:tcPr>
            <w:tcW w:w="2268" w:type="dxa"/>
            <w:vAlign w:val="center"/>
          </w:tcPr>
          <w:p w14:paraId="6358BD1F">
            <w:pPr>
              <w:pStyle w:val="12"/>
            </w:pPr>
            <w:r>
              <w:t>服务对象满意度指标</w:t>
            </w:r>
          </w:p>
        </w:tc>
        <w:tc>
          <w:tcPr>
            <w:tcW w:w="2835" w:type="dxa"/>
            <w:vAlign w:val="center"/>
          </w:tcPr>
          <w:p w14:paraId="2167491A">
            <w:pPr>
              <w:pStyle w:val="12"/>
            </w:pPr>
            <w:r>
              <w:t>学生、教师及家长对学校教学环境满意度情况</w:t>
            </w:r>
          </w:p>
        </w:tc>
        <w:tc>
          <w:tcPr>
            <w:tcW w:w="5386" w:type="dxa"/>
            <w:vAlign w:val="center"/>
          </w:tcPr>
          <w:p w14:paraId="03A44579">
            <w:pPr>
              <w:pStyle w:val="12"/>
            </w:pPr>
            <w:r>
              <w:t>学生、教师及家长对学校教学环境满意度情况</w:t>
            </w:r>
          </w:p>
        </w:tc>
        <w:tc>
          <w:tcPr>
            <w:tcW w:w="2268" w:type="dxa"/>
            <w:vAlign w:val="center"/>
          </w:tcPr>
          <w:p w14:paraId="61746026">
            <w:pPr>
              <w:pStyle w:val="12"/>
            </w:pPr>
            <w:r>
              <w:t>≥95%</w:t>
            </w:r>
          </w:p>
        </w:tc>
        <w:tc>
          <w:tcPr>
            <w:tcW w:w="1276" w:type="dxa"/>
            <w:vAlign w:val="center"/>
          </w:tcPr>
          <w:p w14:paraId="589064BB">
            <w:pPr>
              <w:pStyle w:val="12"/>
            </w:pPr>
            <w:r>
              <w:t>调查问卷</w:t>
            </w:r>
          </w:p>
        </w:tc>
      </w:tr>
    </w:tbl>
    <w:p w14:paraId="651A8AF4">
      <w:pPr>
        <w:sectPr>
          <w:pgSz w:w="16840" w:h="11900" w:orient="landscape"/>
          <w:pgMar w:top="1361" w:right="1020" w:bottom="1134" w:left="1020" w:header="720" w:footer="720" w:gutter="0"/>
          <w:cols w:space="720" w:num="1"/>
        </w:sectPr>
      </w:pPr>
    </w:p>
    <w:p w14:paraId="1C059E67">
      <w:pPr>
        <w:spacing w:before="0" w:after="0"/>
        <w:ind w:firstLine="560"/>
        <w:jc w:val="left"/>
        <w:outlineLvl w:val="9"/>
      </w:pPr>
      <w:r>
        <w:rPr>
          <w:rFonts w:ascii="方正仿宋_GBK" w:hAnsi="方正仿宋_GBK" w:eastAsia="方正仿宋_GBK" w:cs="方正仿宋_GBK"/>
          <w:b/>
          <w:color w:val="000000"/>
          <w:sz w:val="28"/>
        </w:rPr>
        <w:t>2、冀财教[2025]121号/中央/2026年义教补助经费/固城中学公用经费绩效目标表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AC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0A5BB">
            <w:pPr>
              <w:pStyle w:val="11"/>
            </w:pPr>
            <w:r>
              <w:t>单位：万元</w:t>
            </w:r>
          </w:p>
        </w:tc>
      </w:tr>
      <w:tr w14:paraId="6C3CC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50B8A">
            <w:pPr>
              <w:pStyle w:val="10"/>
            </w:pPr>
            <w:r>
              <w:t>项目编码</w:t>
            </w:r>
          </w:p>
        </w:tc>
        <w:tc>
          <w:tcPr>
            <w:tcW w:w="5103" w:type="dxa"/>
            <w:gridSpan w:val="2"/>
            <w:vAlign w:val="center"/>
          </w:tcPr>
          <w:p w14:paraId="1B6ED8B3">
            <w:pPr>
              <w:pStyle w:val="12"/>
            </w:pPr>
            <w:r>
              <w:t>13052526P000004102510</w:t>
            </w:r>
          </w:p>
        </w:tc>
        <w:tc>
          <w:tcPr>
            <w:tcW w:w="2835" w:type="dxa"/>
            <w:vAlign w:val="center"/>
          </w:tcPr>
          <w:p w14:paraId="2D0E3D78">
            <w:pPr>
              <w:pStyle w:val="10"/>
            </w:pPr>
            <w:r>
              <w:t>项目名称</w:t>
            </w:r>
          </w:p>
        </w:tc>
        <w:tc>
          <w:tcPr>
            <w:tcW w:w="6095" w:type="dxa"/>
            <w:gridSpan w:val="3"/>
            <w:vAlign w:val="center"/>
          </w:tcPr>
          <w:p w14:paraId="61D60BAD">
            <w:pPr>
              <w:pStyle w:val="12"/>
            </w:pPr>
            <w:r>
              <w:t>冀财教[2025]121号/中央/2026年义教补助经费/固城中学公用经费</w:t>
            </w:r>
          </w:p>
        </w:tc>
      </w:tr>
      <w:tr w14:paraId="4BB92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514CE">
            <w:pPr>
              <w:pStyle w:val="10"/>
            </w:pPr>
            <w:r>
              <w:t>预算规模及资金用途</w:t>
            </w:r>
          </w:p>
        </w:tc>
        <w:tc>
          <w:tcPr>
            <w:tcW w:w="2268" w:type="dxa"/>
            <w:vAlign w:val="center"/>
          </w:tcPr>
          <w:p w14:paraId="15A0E0BD">
            <w:pPr>
              <w:pStyle w:val="10"/>
            </w:pPr>
            <w:r>
              <w:t>预算数</w:t>
            </w:r>
          </w:p>
        </w:tc>
        <w:tc>
          <w:tcPr>
            <w:tcW w:w="2835" w:type="dxa"/>
            <w:vAlign w:val="center"/>
          </w:tcPr>
          <w:p w14:paraId="632B1DC6">
            <w:pPr>
              <w:pStyle w:val="12"/>
            </w:pPr>
            <w:r>
              <w:t>168.79</w:t>
            </w:r>
          </w:p>
        </w:tc>
        <w:tc>
          <w:tcPr>
            <w:tcW w:w="2835" w:type="dxa"/>
            <w:vAlign w:val="center"/>
          </w:tcPr>
          <w:p w14:paraId="18CF2E9A">
            <w:pPr>
              <w:pStyle w:val="10"/>
            </w:pPr>
            <w:r>
              <w:t>其中：财政    资金</w:t>
            </w:r>
          </w:p>
        </w:tc>
        <w:tc>
          <w:tcPr>
            <w:tcW w:w="2551" w:type="dxa"/>
            <w:vAlign w:val="center"/>
          </w:tcPr>
          <w:p w14:paraId="6464113A">
            <w:pPr>
              <w:pStyle w:val="12"/>
            </w:pPr>
            <w:r>
              <w:t>168.79</w:t>
            </w:r>
          </w:p>
        </w:tc>
        <w:tc>
          <w:tcPr>
            <w:tcW w:w="2268" w:type="dxa"/>
            <w:vAlign w:val="center"/>
          </w:tcPr>
          <w:p w14:paraId="1CFFF1F5">
            <w:pPr>
              <w:pStyle w:val="10"/>
            </w:pPr>
            <w:r>
              <w:t>其他资金</w:t>
            </w:r>
          </w:p>
        </w:tc>
        <w:tc>
          <w:tcPr>
            <w:tcW w:w="1276" w:type="dxa"/>
            <w:vAlign w:val="center"/>
          </w:tcPr>
          <w:p w14:paraId="42932C74">
            <w:pPr>
              <w:pStyle w:val="12"/>
            </w:pPr>
            <w:r>
              <w:t xml:space="preserve"> </w:t>
            </w:r>
          </w:p>
        </w:tc>
      </w:tr>
      <w:tr w14:paraId="44793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1301F"/>
        </w:tc>
        <w:tc>
          <w:tcPr>
            <w:tcW w:w="14033" w:type="dxa"/>
            <w:gridSpan w:val="6"/>
            <w:vAlign w:val="center"/>
          </w:tcPr>
          <w:p w14:paraId="35CE8131">
            <w:pPr>
              <w:pStyle w:val="12"/>
            </w:pPr>
            <w:r>
              <w:t>保障义务教育学校正常运转，完成教育教学活动和其他日常工作任务等方面的费用支出。</w:t>
            </w:r>
          </w:p>
        </w:tc>
      </w:tr>
      <w:tr w14:paraId="4ED45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CE556">
            <w:pPr>
              <w:pStyle w:val="10"/>
            </w:pPr>
            <w:r>
              <w:t>资金支出计划（%）</w:t>
            </w:r>
          </w:p>
        </w:tc>
        <w:tc>
          <w:tcPr>
            <w:tcW w:w="5103" w:type="dxa"/>
            <w:gridSpan w:val="2"/>
            <w:vAlign w:val="center"/>
          </w:tcPr>
          <w:p w14:paraId="033B1057">
            <w:pPr>
              <w:pStyle w:val="10"/>
            </w:pPr>
            <w:r>
              <w:t>3月底</w:t>
            </w:r>
          </w:p>
        </w:tc>
        <w:tc>
          <w:tcPr>
            <w:tcW w:w="2835" w:type="dxa"/>
            <w:vAlign w:val="center"/>
          </w:tcPr>
          <w:p w14:paraId="3062398F">
            <w:pPr>
              <w:pStyle w:val="10"/>
            </w:pPr>
            <w:r>
              <w:t>6月底</w:t>
            </w:r>
          </w:p>
        </w:tc>
        <w:tc>
          <w:tcPr>
            <w:tcW w:w="2551" w:type="dxa"/>
            <w:vAlign w:val="center"/>
          </w:tcPr>
          <w:p w14:paraId="2D62A96B">
            <w:pPr>
              <w:pStyle w:val="10"/>
            </w:pPr>
            <w:r>
              <w:t>10月底</w:t>
            </w:r>
          </w:p>
        </w:tc>
        <w:tc>
          <w:tcPr>
            <w:tcW w:w="3544" w:type="dxa"/>
            <w:gridSpan w:val="2"/>
            <w:vAlign w:val="center"/>
          </w:tcPr>
          <w:p w14:paraId="0C59B9E8">
            <w:pPr>
              <w:pStyle w:val="10"/>
            </w:pPr>
            <w:r>
              <w:t>12月底</w:t>
            </w:r>
          </w:p>
        </w:tc>
      </w:tr>
      <w:tr w14:paraId="37A89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D871F"/>
        </w:tc>
        <w:tc>
          <w:tcPr>
            <w:tcW w:w="5103" w:type="dxa"/>
            <w:gridSpan w:val="2"/>
            <w:vAlign w:val="center"/>
          </w:tcPr>
          <w:p w14:paraId="3B1387DC">
            <w:pPr>
              <w:pStyle w:val="13"/>
            </w:pPr>
            <w:r>
              <w:t>25%</w:t>
            </w:r>
          </w:p>
        </w:tc>
        <w:tc>
          <w:tcPr>
            <w:tcW w:w="2835" w:type="dxa"/>
            <w:vAlign w:val="center"/>
          </w:tcPr>
          <w:p w14:paraId="4B68154C">
            <w:pPr>
              <w:pStyle w:val="13"/>
            </w:pPr>
            <w:r>
              <w:t>50%</w:t>
            </w:r>
          </w:p>
        </w:tc>
        <w:tc>
          <w:tcPr>
            <w:tcW w:w="2551" w:type="dxa"/>
            <w:vAlign w:val="center"/>
          </w:tcPr>
          <w:p w14:paraId="6DA42F69">
            <w:pPr>
              <w:pStyle w:val="13"/>
            </w:pPr>
            <w:r>
              <w:t>75%</w:t>
            </w:r>
          </w:p>
        </w:tc>
        <w:tc>
          <w:tcPr>
            <w:tcW w:w="3544" w:type="dxa"/>
            <w:gridSpan w:val="2"/>
            <w:vAlign w:val="center"/>
          </w:tcPr>
          <w:p w14:paraId="11B326F8">
            <w:pPr>
              <w:pStyle w:val="13"/>
            </w:pPr>
            <w:r>
              <w:t>100%</w:t>
            </w:r>
          </w:p>
        </w:tc>
      </w:tr>
      <w:tr w14:paraId="26DED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98CF0">
            <w:pPr>
              <w:pStyle w:val="10"/>
            </w:pPr>
            <w:r>
              <w:t>绩效目标</w:t>
            </w:r>
          </w:p>
        </w:tc>
        <w:tc>
          <w:tcPr>
            <w:tcW w:w="14033" w:type="dxa"/>
            <w:gridSpan w:val="6"/>
            <w:vAlign w:val="center"/>
          </w:tcPr>
          <w:p w14:paraId="55DE3529">
            <w:pPr>
              <w:pStyle w:val="12"/>
            </w:pPr>
            <w:r>
              <w:t>1.保障义务教育学校正常运转，完成教育教学活动和其他日常工作任务等方面的费用支出。</w:t>
            </w:r>
          </w:p>
          <w:p w14:paraId="1064AFA3">
            <w:pPr>
              <w:pStyle w:val="12"/>
            </w:pPr>
            <w:r>
              <w:t>2.按规定拨付公用经费资金，资金拨付率达到100%。</w:t>
            </w:r>
          </w:p>
        </w:tc>
      </w:tr>
    </w:tbl>
    <w:p w14:paraId="7A1DE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F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5EE27">
            <w:pPr>
              <w:pStyle w:val="10"/>
            </w:pPr>
            <w:r>
              <w:t>一级指标</w:t>
            </w:r>
          </w:p>
        </w:tc>
        <w:tc>
          <w:tcPr>
            <w:tcW w:w="2268" w:type="dxa"/>
            <w:vAlign w:val="center"/>
          </w:tcPr>
          <w:p w14:paraId="4C5D5A86">
            <w:pPr>
              <w:pStyle w:val="10"/>
            </w:pPr>
            <w:r>
              <w:t>二级指标</w:t>
            </w:r>
          </w:p>
        </w:tc>
        <w:tc>
          <w:tcPr>
            <w:tcW w:w="2835" w:type="dxa"/>
            <w:vAlign w:val="center"/>
          </w:tcPr>
          <w:p w14:paraId="08291508">
            <w:pPr>
              <w:pStyle w:val="10"/>
            </w:pPr>
            <w:r>
              <w:t>三级指标</w:t>
            </w:r>
          </w:p>
        </w:tc>
        <w:tc>
          <w:tcPr>
            <w:tcW w:w="5386" w:type="dxa"/>
            <w:vAlign w:val="center"/>
          </w:tcPr>
          <w:p w14:paraId="54F56E00">
            <w:pPr>
              <w:pStyle w:val="10"/>
            </w:pPr>
            <w:r>
              <w:t>绩效指标描述</w:t>
            </w:r>
          </w:p>
        </w:tc>
        <w:tc>
          <w:tcPr>
            <w:tcW w:w="2268" w:type="dxa"/>
            <w:vAlign w:val="center"/>
          </w:tcPr>
          <w:p w14:paraId="3C2564C4">
            <w:pPr>
              <w:pStyle w:val="10"/>
            </w:pPr>
            <w:r>
              <w:t>指标值</w:t>
            </w:r>
          </w:p>
        </w:tc>
        <w:tc>
          <w:tcPr>
            <w:tcW w:w="1276" w:type="dxa"/>
            <w:vAlign w:val="center"/>
          </w:tcPr>
          <w:p w14:paraId="40FA2280">
            <w:pPr>
              <w:pStyle w:val="10"/>
            </w:pPr>
            <w:r>
              <w:t>指标值确定依据</w:t>
            </w:r>
          </w:p>
        </w:tc>
      </w:tr>
      <w:tr w14:paraId="6AB8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97F64">
            <w:pPr>
              <w:pStyle w:val="13"/>
            </w:pPr>
            <w:r>
              <w:t>产出指标</w:t>
            </w:r>
          </w:p>
        </w:tc>
        <w:tc>
          <w:tcPr>
            <w:tcW w:w="2268" w:type="dxa"/>
            <w:vAlign w:val="center"/>
          </w:tcPr>
          <w:p w14:paraId="0DE697E9">
            <w:pPr>
              <w:pStyle w:val="12"/>
            </w:pPr>
            <w:r>
              <w:t>成本指标</w:t>
            </w:r>
          </w:p>
        </w:tc>
        <w:tc>
          <w:tcPr>
            <w:tcW w:w="2835" w:type="dxa"/>
            <w:vAlign w:val="center"/>
          </w:tcPr>
          <w:p w14:paraId="398D3755">
            <w:pPr>
              <w:pStyle w:val="12"/>
            </w:pPr>
            <w:r>
              <w:t>生均拨款标准</w:t>
            </w:r>
          </w:p>
        </w:tc>
        <w:tc>
          <w:tcPr>
            <w:tcW w:w="5386" w:type="dxa"/>
            <w:vAlign w:val="center"/>
          </w:tcPr>
          <w:p w14:paraId="563783ED">
            <w:pPr>
              <w:pStyle w:val="12"/>
            </w:pPr>
            <w:r>
              <w:t>初中生公用经费年生均初中940元，取暖费120元/生/年，住宿生补助300元/生/年的标准，随班就读学生补助7000元/生，</w:t>
            </w:r>
          </w:p>
        </w:tc>
        <w:tc>
          <w:tcPr>
            <w:tcW w:w="2268" w:type="dxa"/>
            <w:vAlign w:val="center"/>
          </w:tcPr>
          <w:p w14:paraId="0548753F">
            <w:pPr>
              <w:pStyle w:val="12"/>
            </w:pPr>
            <w:r>
              <w:t>1360元</w:t>
            </w:r>
          </w:p>
        </w:tc>
        <w:tc>
          <w:tcPr>
            <w:tcW w:w="1276" w:type="dxa"/>
            <w:vAlign w:val="center"/>
          </w:tcPr>
          <w:p w14:paraId="2E7E51A0">
            <w:pPr>
              <w:pStyle w:val="12"/>
            </w:pPr>
            <w:r>
              <w:t>城乡义务教育公用经费管理办法</w:t>
            </w:r>
          </w:p>
        </w:tc>
      </w:tr>
      <w:tr w14:paraId="440A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C597B"/>
        </w:tc>
        <w:tc>
          <w:tcPr>
            <w:tcW w:w="2268" w:type="dxa"/>
            <w:vAlign w:val="center"/>
          </w:tcPr>
          <w:p w14:paraId="0C339354">
            <w:pPr>
              <w:pStyle w:val="12"/>
            </w:pPr>
            <w:r>
              <w:t>数量指标</w:t>
            </w:r>
          </w:p>
        </w:tc>
        <w:tc>
          <w:tcPr>
            <w:tcW w:w="2835" w:type="dxa"/>
            <w:vAlign w:val="center"/>
          </w:tcPr>
          <w:p w14:paraId="320D3667">
            <w:pPr>
              <w:pStyle w:val="12"/>
            </w:pPr>
            <w:r>
              <w:t>就读学生数</w:t>
            </w:r>
          </w:p>
        </w:tc>
        <w:tc>
          <w:tcPr>
            <w:tcW w:w="5386" w:type="dxa"/>
            <w:vAlign w:val="center"/>
          </w:tcPr>
          <w:p w14:paraId="040A3D6D">
            <w:pPr>
              <w:pStyle w:val="12"/>
            </w:pPr>
            <w:r>
              <w:t>辐射区域内适龄学生人数</w:t>
            </w:r>
          </w:p>
        </w:tc>
        <w:tc>
          <w:tcPr>
            <w:tcW w:w="2268" w:type="dxa"/>
            <w:vAlign w:val="center"/>
          </w:tcPr>
          <w:p w14:paraId="66A828F7">
            <w:pPr>
              <w:pStyle w:val="12"/>
            </w:pPr>
            <w:r>
              <w:t>2100人</w:t>
            </w:r>
          </w:p>
        </w:tc>
        <w:tc>
          <w:tcPr>
            <w:tcW w:w="1276" w:type="dxa"/>
            <w:vAlign w:val="center"/>
          </w:tcPr>
          <w:p w14:paraId="5BB6040E">
            <w:pPr>
              <w:pStyle w:val="12"/>
            </w:pPr>
            <w:r>
              <w:t>城乡义务教育公用经费管理办法</w:t>
            </w:r>
          </w:p>
        </w:tc>
      </w:tr>
      <w:tr w14:paraId="6783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70D11"/>
        </w:tc>
        <w:tc>
          <w:tcPr>
            <w:tcW w:w="2268" w:type="dxa"/>
            <w:vAlign w:val="center"/>
          </w:tcPr>
          <w:p w14:paraId="57A17A3D">
            <w:pPr>
              <w:pStyle w:val="12"/>
            </w:pPr>
            <w:r>
              <w:t>质量指标</w:t>
            </w:r>
          </w:p>
        </w:tc>
        <w:tc>
          <w:tcPr>
            <w:tcW w:w="2835" w:type="dxa"/>
            <w:vAlign w:val="center"/>
          </w:tcPr>
          <w:p w14:paraId="1BA2397C">
            <w:pPr>
              <w:pStyle w:val="12"/>
            </w:pPr>
            <w:r>
              <w:t>预算执行率</w:t>
            </w:r>
          </w:p>
        </w:tc>
        <w:tc>
          <w:tcPr>
            <w:tcW w:w="5386" w:type="dxa"/>
            <w:vAlign w:val="center"/>
          </w:tcPr>
          <w:p w14:paraId="31AB5637">
            <w:pPr>
              <w:pStyle w:val="12"/>
            </w:pPr>
            <w:r>
              <w:t>预算执行率大于等于98%</w:t>
            </w:r>
          </w:p>
        </w:tc>
        <w:tc>
          <w:tcPr>
            <w:tcW w:w="2268" w:type="dxa"/>
            <w:vAlign w:val="center"/>
          </w:tcPr>
          <w:p w14:paraId="12B454B6">
            <w:pPr>
              <w:pStyle w:val="12"/>
            </w:pPr>
            <w:r>
              <w:t>≥98%</w:t>
            </w:r>
          </w:p>
        </w:tc>
        <w:tc>
          <w:tcPr>
            <w:tcW w:w="1276" w:type="dxa"/>
            <w:vAlign w:val="center"/>
          </w:tcPr>
          <w:p w14:paraId="2FF1EEAB">
            <w:pPr>
              <w:pStyle w:val="12"/>
            </w:pPr>
            <w:r>
              <w:t>城乡义务教育公用经费管理办法</w:t>
            </w:r>
          </w:p>
        </w:tc>
      </w:tr>
      <w:tr w14:paraId="3C2A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828CD"/>
        </w:tc>
        <w:tc>
          <w:tcPr>
            <w:tcW w:w="2268" w:type="dxa"/>
            <w:vAlign w:val="center"/>
          </w:tcPr>
          <w:p w14:paraId="0D29C29A">
            <w:pPr>
              <w:pStyle w:val="12"/>
            </w:pPr>
            <w:r>
              <w:t>时效指标</w:t>
            </w:r>
          </w:p>
        </w:tc>
        <w:tc>
          <w:tcPr>
            <w:tcW w:w="2835" w:type="dxa"/>
            <w:vAlign w:val="center"/>
          </w:tcPr>
          <w:p w14:paraId="16F34356">
            <w:pPr>
              <w:pStyle w:val="12"/>
            </w:pPr>
            <w:r>
              <w:t>义教经费支付完成率</w:t>
            </w:r>
          </w:p>
        </w:tc>
        <w:tc>
          <w:tcPr>
            <w:tcW w:w="5386" w:type="dxa"/>
            <w:vAlign w:val="center"/>
          </w:tcPr>
          <w:p w14:paraId="71F2C3CF">
            <w:pPr>
              <w:pStyle w:val="12"/>
            </w:pPr>
            <w:r>
              <w:t>按照序时进度完成资金支付</w:t>
            </w:r>
          </w:p>
        </w:tc>
        <w:tc>
          <w:tcPr>
            <w:tcW w:w="2268" w:type="dxa"/>
            <w:vAlign w:val="center"/>
          </w:tcPr>
          <w:p w14:paraId="47E6EDF5">
            <w:pPr>
              <w:pStyle w:val="12"/>
            </w:pPr>
            <w:r>
              <w:t>100%</w:t>
            </w:r>
          </w:p>
        </w:tc>
        <w:tc>
          <w:tcPr>
            <w:tcW w:w="1276" w:type="dxa"/>
            <w:vAlign w:val="center"/>
          </w:tcPr>
          <w:p w14:paraId="03F90F07">
            <w:pPr>
              <w:pStyle w:val="12"/>
            </w:pPr>
            <w:r>
              <w:t>城乡义务教育公用经费管理办法</w:t>
            </w:r>
          </w:p>
        </w:tc>
      </w:tr>
      <w:tr w14:paraId="38B66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AB318">
            <w:pPr>
              <w:pStyle w:val="13"/>
            </w:pPr>
            <w:r>
              <w:t>效益指标</w:t>
            </w:r>
          </w:p>
        </w:tc>
        <w:tc>
          <w:tcPr>
            <w:tcW w:w="2268" w:type="dxa"/>
            <w:vAlign w:val="center"/>
          </w:tcPr>
          <w:p w14:paraId="5414AD64">
            <w:pPr>
              <w:pStyle w:val="12"/>
            </w:pPr>
            <w:r>
              <w:t>可持续影响指标</w:t>
            </w:r>
          </w:p>
        </w:tc>
        <w:tc>
          <w:tcPr>
            <w:tcW w:w="2835" w:type="dxa"/>
            <w:vAlign w:val="center"/>
          </w:tcPr>
          <w:p w14:paraId="2D6E14DD">
            <w:pPr>
              <w:pStyle w:val="12"/>
            </w:pPr>
            <w:r>
              <w:t>学校运转得到提高</w:t>
            </w:r>
          </w:p>
        </w:tc>
        <w:tc>
          <w:tcPr>
            <w:tcW w:w="5386" w:type="dxa"/>
            <w:vAlign w:val="center"/>
          </w:tcPr>
          <w:p w14:paraId="2568D199">
            <w:pPr>
              <w:pStyle w:val="12"/>
            </w:pPr>
            <w:r>
              <w:t>学生受教育年限</w:t>
            </w:r>
          </w:p>
        </w:tc>
        <w:tc>
          <w:tcPr>
            <w:tcW w:w="2268" w:type="dxa"/>
            <w:vAlign w:val="center"/>
          </w:tcPr>
          <w:p w14:paraId="47DCF5AB">
            <w:pPr>
              <w:pStyle w:val="12"/>
            </w:pPr>
            <w:r>
              <w:t>3年</w:t>
            </w:r>
          </w:p>
        </w:tc>
        <w:tc>
          <w:tcPr>
            <w:tcW w:w="1276" w:type="dxa"/>
            <w:vAlign w:val="center"/>
          </w:tcPr>
          <w:p w14:paraId="7C0E96BC">
            <w:pPr>
              <w:pStyle w:val="12"/>
            </w:pPr>
            <w:r>
              <w:t>城乡义务教育公用经费管理办法</w:t>
            </w:r>
          </w:p>
        </w:tc>
      </w:tr>
      <w:tr w14:paraId="56B1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3D4B4">
            <w:pPr>
              <w:pStyle w:val="13"/>
            </w:pPr>
            <w:r>
              <w:t>满意度指标</w:t>
            </w:r>
          </w:p>
        </w:tc>
        <w:tc>
          <w:tcPr>
            <w:tcW w:w="2268" w:type="dxa"/>
            <w:vAlign w:val="center"/>
          </w:tcPr>
          <w:p w14:paraId="6123C321">
            <w:pPr>
              <w:pStyle w:val="12"/>
            </w:pPr>
            <w:r>
              <w:t>服务对象满意度指标</w:t>
            </w:r>
          </w:p>
        </w:tc>
        <w:tc>
          <w:tcPr>
            <w:tcW w:w="2835" w:type="dxa"/>
            <w:vAlign w:val="center"/>
          </w:tcPr>
          <w:p w14:paraId="5D4C0116">
            <w:pPr>
              <w:pStyle w:val="12"/>
            </w:pPr>
            <w:r>
              <w:t>学校老师和学生及学生家长满意度</w:t>
            </w:r>
          </w:p>
        </w:tc>
        <w:tc>
          <w:tcPr>
            <w:tcW w:w="5386" w:type="dxa"/>
            <w:vAlign w:val="center"/>
          </w:tcPr>
          <w:p w14:paraId="5ADE20D7">
            <w:pPr>
              <w:pStyle w:val="12"/>
            </w:pPr>
            <w:r>
              <w:t>学校老师和学生对学校教育教学工作满意度</w:t>
            </w:r>
          </w:p>
        </w:tc>
        <w:tc>
          <w:tcPr>
            <w:tcW w:w="2268" w:type="dxa"/>
            <w:vAlign w:val="center"/>
          </w:tcPr>
          <w:p w14:paraId="1E73957B">
            <w:pPr>
              <w:pStyle w:val="12"/>
            </w:pPr>
            <w:r>
              <w:t>≥95%</w:t>
            </w:r>
          </w:p>
        </w:tc>
        <w:tc>
          <w:tcPr>
            <w:tcW w:w="1276" w:type="dxa"/>
            <w:vAlign w:val="center"/>
          </w:tcPr>
          <w:p w14:paraId="781B27C5">
            <w:pPr>
              <w:pStyle w:val="12"/>
            </w:pPr>
            <w:r>
              <w:t>问卷调查</w:t>
            </w:r>
          </w:p>
        </w:tc>
      </w:tr>
    </w:tbl>
    <w:p w14:paraId="274837BE">
      <w:pPr>
        <w:sectPr>
          <w:pgSz w:w="16840" w:h="11900" w:orient="landscape"/>
          <w:pgMar w:top="1361" w:right="1020" w:bottom="1134" w:left="1020" w:header="720" w:footer="720" w:gutter="0"/>
          <w:cols w:space="720" w:num="1"/>
        </w:sectPr>
      </w:pPr>
    </w:p>
    <w:p w14:paraId="12E60E8E">
      <w:pPr>
        <w:spacing w:before="0" w:after="0"/>
        <w:ind w:firstLine="560"/>
        <w:jc w:val="left"/>
        <w:outlineLvl w:val="9"/>
      </w:pPr>
      <w:r>
        <w:rPr>
          <w:rFonts w:ascii="方正仿宋_GBK" w:hAnsi="方正仿宋_GBK" w:eastAsia="方正仿宋_GBK" w:cs="方正仿宋_GBK"/>
          <w:b/>
          <w:color w:val="000000"/>
          <w:sz w:val="28"/>
        </w:rPr>
        <w:t>3、冀财教[2025]121号/中央/义教/2026年校舍安全/固城中学防水工程绩效目标表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C2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9625B">
            <w:pPr>
              <w:pStyle w:val="11"/>
            </w:pPr>
            <w:r>
              <w:t>单位：万元</w:t>
            </w:r>
          </w:p>
        </w:tc>
      </w:tr>
      <w:tr w14:paraId="1FA25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9396D">
            <w:pPr>
              <w:pStyle w:val="10"/>
            </w:pPr>
            <w:r>
              <w:t>项目编码</w:t>
            </w:r>
          </w:p>
        </w:tc>
        <w:tc>
          <w:tcPr>
            <w:tcW w:w="5103" w:type="dxa"/>
            <w:gridSpan w:val="2"/>
            <w:vAlign w:val="center"/>
          </w:tcPr>
          <w:p w14:paraId="324C2EA0">
            <w:pPr>
              <w:pStyle w:val="12"/>
            </w:pPr>
            <w:r>
              <w:t>13052526P008762100737</w:t>
            </w:r>
          </w:p>
        </w:tc>
        <w:tc>
          <w:tcPr>
            <w:tcW w:w="2835" w:type="dxa"/>
            <w:vAlign w:val="center"/>
          </w:tcPr>
          <w:p w14:paraId="20D709B8">
            <w:pPr>
              <w:pStyle w:val="10"/>
            </w:pPr>
            <w:r>
              <w:t>项目名称</w:t>
            </w:r>
          </w:p>
        </w:tc>
        <w:tc>
          <w:tcPr>
            <w:tcW w:w="6095" w:type="dxa"/>
            <w:gridSpan w:val="3"/>
            <w:vAlign w:val="center"/>
          </w:tcPr>
          <w:p w14:paraId="51138105">
            <w:pPr>
              <w:pStyle w:val="12"/>
            </w:pPr>
            <w:r>
              <w:t>冀财教[2025]121号/中央/义教/2026年校舍安全/固城中学防水工程</w:t>
            </w:r>
          </w:p>
        </w:tc>
      </w:tr>
      <w:tr w14:paraId="02076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339FE">
            <w:pPr>
              <w:pStyle w:val="10"/>
            </w:pPr>
            <w:r>
              <w:t>预算规模及资金用途</w:t>
            </w:r>
          </w:p>
        </w:tc>
        <w:tc>
          <w:tcPr>
            <w:tcW w:w="2268" w:type="dxa"/>
            <w:vAlign w:val="center"/>
          </w:tcPr>
          <w:p w14:paraId="73B7422B">
            <w:pPr>
              <w:pStyle w:val="10"/>
            </w:pPr>
            <w:r>
              <w:t>预算数</w:t>
            </w:r>
          </w:p>
        </w:tc>
        <w:tc>
          <w:tcPr>
            <w:tcW w:w="2835" w:type="dxa"/>
            <w:vAlign w:val="center"/>
          </w:tcPr>
          <w:p w14:paraId="43FF1382">
            <w:pPr>
              <w:pStyle w:val="12"/>
            </w:pPr>
            <w:r>
              <w:t>25.00</w:t>
            </w:r>
          </w:p>
        </w:tc>
        <w:tc>
          <w:tcPr>
            <w:tcW w:w="2835" w:type="dxa"/>
            <w:vAlign w:val="center"/>
          </w:tcPr>
          <w:p w14:paraId="15FEE93B">
            <w:pPr>
              <w:pStyle w:val="10"/>
            </w:pPr>
            <w:r>
              <w:t>其中：财政    资金</w:t>
            </w:r>
          </w:p>
        </w:tc>
        <w:tc>
          <w:tcPr>
            <w:tcW w:w="2551" w:type="dxa"/>
            <w:vAlign w:val="center"/>
          </w:tcPr>
          <w:p w14:paraId="584BC94F">
            <w:pPr>
              <w:pStyle w:val="12"/>
            </w:pPr>
            <w:r>
              <w:t>25.00</w:t>
            </w:r>
          </w:p>
        </w:tc>
        <w:tc>
          <w:tcPr>
            <w:tcW w:w="2268" w:type="dxa"/>
            <w:vAlign w:val="center"/>
          </w:tcPr>
          <w:p w14:paraId="183FCF3E">
            <w:pPr>
              <w:pStyle w:val="10"/>
            </w:pPr>
            <w:r>
              <w:t>其他资金</w:t>
            </w:r>
          </w:p>
        </w:tc>
        <w:tc>
          <w:tcPr>
            <w:tcW w:w="1276" w:type="dxa"/>
            <w:vAlign w:val="center"/>
          </w:tcPr>
          <w:p w14:paraId="34CEE0B9">
            <w:pPr>
              <w:pStyle w:val="12"/>
            </w:pPr>
            <w:r>
              <w:t xml:space="preserve"> </w:t>
            </w:r>
          </w:p>
        </w:tc>
      </w:tr>
      <w:tr w14:paraId="39229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CD5B8"/>
        </w:tc>
        <w:tc>
          <w:tcPr>
            <w:tcW w:w="14033" w:type="dxa"/>
            <w:gridSpan w:val="6"/>
            <w:vAlign w:val="center"/>
          </w:tcPr>
          <w:p w14:paraId="574E08D4">
            <w:pPr>
              <w:pStyle w:val="12"/>
            </w:pPr>
            <w:r>
              <w:t>改善就学条件，提升学校形象，保障学生安全，创造良好的校园环境。</w:t>
            </w:r>
            <w:r>
              <w:tab/>
            </w:r>
          </w:p>
        </w:tc>
      </w:tr>
      <w:tr w14:paraId="3CEE4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C98A5">
            <w:pPr>
              <w:pStyle w:val="10"/>
            </w:pPr>
            <w:r>
              <w:t>资金支出计划（%）</w:t>
            </w:r>
          </w:p>
        </w:tc>
        <w:tc>
          <w:tcPr>
            <w:tcW w:w="5103" w:type="dxa"/>
            <w:gridSpan w:val="2"/>
            <w:vAlign w:val="center"/>
          </w:tcPr>
          <w:p w14:paraId="12D1B125">
            <w:pPr>
              <w:pStyle w:val="10"/>
            </w:pPr>
            <w:r>
              <w:t>3月底</w:t>
            </w:r>
          </w:p>
        </w:tc>
        <w:tc>
          <w:tcPr>
            <w:tcW w:w="2835" w:type="dxa"/>
            <w:vAlign w:val="center"/>
          </w:tcPr>
          <w:p w14:paraId="2A53EBCF">
            <w:pPr>
              <w:pStyle w:val="10"/>
            </w:pPr>
            <w:r>
              <w:t>6月底</w:t>
            </w:r>
          </w:p>
        </w:tc>
        <w:tc>
          <w:tcPr>
            <w:tcW w:w="2551" w:type="dxa"/>
            <w:vAlign w:val="center"/>
          </w:tcPr>
          <w:p w14:paraId="339536EE">
            <w:pPr>
              <w:pStyle w:val="10"/>
            </w:pPr>
            <w:r>
              <w:t>10月底</w:t>
            </w:r>
          </w:p>
        </w:tc>
        <w:tc>
          <w:tcPr>
            <w:tcW w:w="3544" w:type="dxa"/>
            <w:gridSpan w:val="2"/>
            <w:vAlign w:val="center"/>
          </w:tcPr>
          <w:p w14:paraId="521909E3">
            <w:pPr>
              <w:pStyle w:val="10"/>
            </w:pPr>
            <w:r>
              <w:t>12月底</w:t>
            </w:r>
          </w:p>
        </w:tc>
      </w:tr>
      <w:tr w14:paraId="11958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C5BE4"/>
        </w:tc>
        <w:tc>
          <w:tcPr>
            <w:tcW w:w="5103" w:type="dxa"/>
            <w:gridSpan w:val="2"/>
            <w:vAlign w:val="center"/>
          </w:tcPr>
          <w:p w14:paraId="647BB194">
            <w:pPr>
              <w:pStyle w:val="13"/>
            </w:pPr>
            <w:r>
              <w:t xml:space="preserve"> </w:t>
            </w:r>
          </w:p>
        </w:tc>
        <w:tc>
          <w:tcPr>
            <w:tcW w:w="2835" w:type="dxa"/>
            <w:vAlign w:val="center"/>
          </w:tcPr>
          <w:p w14:paraId="1562D2DF">
            <w:pPr>
              <w:pStyle w:val="13"/>
            </w:pPr>
            <w:r>
              <w:t xml:space="preserve"> </w:t>
            </w:r>
          </w:p>
        </w:tc>
        <w:tc>
          <w:tcPr>
            <w:tcW w:w="2551" w:type="dxa"/>
            <w:vAlign w:val="center"/>
          </w:tcPr>
          <w:p w14:paraId="7D1CB6FA">
            <w:pPr>
              <w:pStyle w:val="13"/>
            </w:pPr>
            <w:r>
              <w:t>100%</w:t>
            </w:r>
          </w:p>
        </w:tc>
        <w:tc>
          <w:tcPr>
            <w:tcW w:w="3544" w:type="dxa"/>
            <w:gridSpan w:val="2"/>
            <w:vAlign w:val="center"/>
          </w:tcPr>
          <w:p w14:paraId="2540C6DB">
            <w:pPr>
              <w:pStyle w:val="13"/>
            </w:pPr>
            <w:r>
              <w:t>100%</w:t>
            </w:r>
          </w:p>
        </w:tc>
      </w:tr>
      <w:tr w14:paraId="30CE0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30E32">
            <w:pPr>
              <w:pStyle w:val="10"/>
            </w:pPr>
            <w:r>
              <w:t>绩效目标</w:t>
            </w:r>
          </w:p>
        </w:tc>
        <w:tc>
          <w:tcPr>
            <w:tcW w:w="14033" w:type="dxa"/>
            <w:gridSpan w:val="6"/>
            <w:vAlign w:val="center"/>
          </w:tcPr>
          <w:p w14:paraId="40C9F277">
            <w:pPr>
              <w:pStyle w:val="12"/>
            </w:pPr>
            <w:r>
              <w:t>1.项目需资金25万元，资金拨付率达到100%。</w:t>
            </w:r>
            <w:r>
              <w:tab/>
            </w:r>
            <w:r>
              <w:tab/>
            </w:r>
            <w:r>
              <w:tab/>
            </w:r>
            <w:r>
              <w:tab/>
            </w:r>
            <w:r>
              <w:tab/>
            </w:r>
            <w:r>
              <w:tab/>
            </w:r>
          </w:p>
          <w:p w14:paraId="6A476ACE">
            <w:pPr>
              <w:pStyle w:val="12"/>
            </w:pPr>
          </w:p>
          <w:p w14:paraId="2DFFB99D">
            <w:pPr>
              <w:pStyle w:val="12"/>
            </w:pPr>
            <w:r>
              <w:t>2.改善就学条件，提升学校形象，保障学生安全，创造良好的校园环境。</w:t>
            </w:r>
            <w:r>
              <w:tab/>
            </w:r>
            <w:r>
              <w:tab/>
            </w:r>
            <w:r>
              <w:tab/>
            </w:r>
            <w:r>
              <w:tab/>
            </w:r>
            <w:r>
              <w:tab/>
            </w:r>
            <w:r>
              <w:tab/>
            </w:r>
          </w:p>
          <w:p w14:paraId="75068DF1">
            <w:pPr>
              <w:pStyle w:val="12"/>
            </w:pPr>
          </w:p>
        </w:tc>
      </w:tr>
    </w:tbl>
    <w:p w14:paraId="40560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D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333F2">
            <w:pPr>
              <w:pStyle w:val="10"/>
            </w:pPr>
            <w:r>
              <w:t>一级指标</w:t>
            </w:r>
          </w:p>
        </w:tc>
        <w:tc>
          <w:tcPr>
            <w:tcW w:w="2268" w:type="dxa"/>
            <w:vAlign w:val="center"/>
          </w:tcPr>
          <w:p w14:paraId="29FBC8EB">
            <w:pPr>
              <w:pStyle w:val="10"/>
            </w:pPr>
            <w:r>
              <w:t>二级指标</w:t>
            </w:r>
          </w:p>
        </w:tc>
        <w:tc>
          <w:tcPr>
            <w:tcW w:w="2835" w:type="dxa"/>
            <w:vAlign w:val="center"/>
          </w:tcPr>
          <w:p w14:paraId="25A3C2EC">
            <w:pPr>
              <w:pStyle w:val="10"/>
            </w:pPr>
            <w:r>
              <w:t>三级指标</w:t>
            </w:r>
          </w:p>
        </w:tc>
        <w:tc>
          <w:tcPr>
            <w:tcW w:w="5386" w:type="dxa"/>
            <w:vAlign w:val="center"/>
          </w:tcPr>
          <w:p w14:paraId="50E130D9">
            <w:pPr>
              <w:pStyle w:val="10"/>
            </w:pPr>
            <w:r>
              <w:t>绩效指标描述</w:t>
            </w:r>
          </w:p>
        </w:tc>
        <w:tc>
          <w:tcPr>
            <w:tcW w:w="2268" w:type="dxa"/>
            <w:vAlign w:val="center"/>
          </w:tcPr>
          <w:p w14:paraId="59F2EEA0">
            <w:pPr>
              <w:pStyle w:val="10"/>
            </w:pPr>
            <w:r>
              <w:t>指标值</w:t>
            </w:r>
          </w:p>
        </w:tc>
        <w:tc>
          <w:tcPr>
            <w:tcW w:w="1276" w:type="dxa"/>
            <w:vAlign w:val="center"/>
          </w:tcPr>
          <w:p w14:paraId="42DAB3B0">
            <w:pPr>
              <w:pStyle w:val="10"/>
            </w:pPr>
            <w:r>
              <w:t>指标值确定依据</w:t>
            </w:r>
          </w:p>
        </w:tc>
      </w:tr>
      <w:tr w14:paraId="25B7F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CE662">
            <w:pPr>
              <w:pStyle w:val="13"/>
            </w:pPr>
            <w:r>
              <w:t>产出指标</w:t>
            </w:r>
          </w:p>
        </w:tc>
        <w:tc>
          <w:tcPr>
            <w:tcW w:w="2268" w:type="dxa"/>
            <w:vAlign w:val="center"/>
          </w:tcPr>
          <w:p w14:paraId="5686C0CD">
            <w:pPr>
              <w:pStyle w:val="12"/>
            </w:pPr>
            <w:r>
              <w:t>数量指标</w:t>
            </w:r>
          </w:p>
        </w:tc>
        <w:tc>
          <w:tcPr>
            <w:tcW w:w="2835" w:type="dxa"/>
            <w:vAlign w:val="center"/>
          </w:tcPr>
          <w:p w14:paraId="1AC8F596">
            <w:pPr>
              <w:pStyle w:val="12"/>
            </w:pPr>
            <w:r>
              <w:t>固城中学防水工程</w:t>
            </w:r>
          </w:p>
        </w:tc>
        <w:tc>
          <w:tcPr>
            <w:tcW w:w="5386" w:type="dxa"/>
            <w:vAlign w:val="center"/>
          </w:tcPr>
          <w:p w14:paraId="5AEBDB8A">
            <w:pPr>
              <w:pStyle w:val="12"/>
            </w:pPr>
            <w:r>
              <w:t>教学楼、女生宿舍楼房顶防水等</w:t>
            </w:r>
          </w:p>
        </w:tc>
        <w:tc>
          <w:tcPr>
            <w:tcW w:w="2268" w:type="dxa"/>
            <w:vAlign w:val="center"/>
          </w:tcPr>
          <w:p w14:paraId="2623DE84">
            <w:pPr>
              <w:pStyle w:val="12"/>
            </w:pPr>
            <w:r>
              <w:t>1项</w:t>
            </w:r>
          </w:p>
        </w:tc>
        <w:tc>
          <w:tcPr>
            <w:tcW w:w="1276" w:type="dxa"/>
            <w:vAlign w:val="center"/>
          </w:tcPr>
          <w:p w14:paraId="35A12815">
            <w:pPr>
              <w:pStyle w:val="12"/>
            </w:pPr>
            <w:r>
              <w:t>项目规划</w:t>
            </w:r>
          </w:p>
        </w:tc>
      </w:tr>
      <w:tr w14:paraId="7806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A0676"/>
        </w:tc>
        <w:tc>
          <w:tcPr>
            <w:tcW w:w="2268" w:type="dxa"/>
            <w:vAlign w:val="center"/>
          </w:tcPr>
          <w:p w14:paraId="24D10605">
            <w:pPr>
              <w:pStyle w:val="12"/>
            </w:pPr>
            <w:r>
              <w:t>质量指标</w:t>
            </w:r>
          </w:p>
        </w:tc>
        <w:tc>
          <w:tcPr>
            <w:tcW w:w="2835" w:type="dxa"/>
            <w:vAlign w:val="center"/>
          </w:tcPr>
          <w:p w14:paraId="13B7840E">
            <w:pPr>
              <w:pStyle w:val="12"/>
            </w:pPr>
            <w:r>
              <w:t>工程实施验收合格率</w:t>
            </w:r>
          </w:p>
        </w:tc>
        <w:tc>
          <w:tcPr>
            <w:tcW w:w="5386" w:type="dxa"/>
            <w:vAlign w:val="center"/>
          </w:tcPr>
          <w:p w14:paraId="6207F45C">
            <w:pPr>
              <w:pStyle w:val="12"/>
            </w:pPr>
            <w:r>
              <w:t>申报程序的合规，项目实施及资金使用符合项目规划</w:t>
            </w:r>
          </w:p>
        </w:tc>
        <w:tc>
          <w:tcPr>
            <w:tcW w:w="2268" w:type="dxa"/>
            <w:vAlign w:val="center"/>
          </w:tcPr>
          <w:p w14:paraId="13C2E0F5">
            <w:pPr>
              <w:pStyle w:val="12"/>
            </w:pPr>
            <w:r>
              <w:t>100%</w:t>
            </w:r>
          </w:p>
        </w:tc>
        <w:tc>
          <w:tcPr>
            <w:tcW w:w="1276" w:type="dxa"/>
            <w:vAlign w:val="center"/>
          </w:tcPr>
          <w:p w14:paraId="773A62C9">
            <w:pPr>
              <w:pStyle w:val="12"/>
            </w:pPr>
            <w:r>
              <w:t>项目规划</w:t>
            </w:r>
          </w:p>
        </w:tc>
      </w:tr>
      <w:tr w14:paraId="5EBE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C557"/>
        </w:tc>
        <w:tc>
          <w:tcPr>
            <w:tcW w:w="2268" w:type="dxa"/>
            <w:vAlign w:val="center"/>
          </w:tcPr>
          <w:p w14:paraId="28D81B0D">
            <w:pPr>
              <w:pStyle w:val="12"/>
            </w:pPr>
            <w:r>
              <w:t>时效指标</w:t>
            </w:r>
          </w:p>
        </w:tc>
        <w:tc>
          <w:tcPr>
            <w:tcW w:w="2835" w:type="dxa"/>
            <w:vAlign w:val="center"/>
          </w:tcPr>
          <w:p w14:paraId="6B0A4551">
            <w:pPr>
              <w:pStyle w:val="12"/>
            </w:pPr>
            <w:r>
              <w:t>资金支付率</w:t>
            </w:r>
          </w:p>
        </w:tc>
        <w:tc>
          <w:tcPr>
            <w:tcW w:w="5386" w:type="dxa"/>
            <w:vAlign w:val="center"/>
          </w:tcPr>
          <w:p w14:paraId="0DEFEBF2">
            <w:pPr>
              <w:pStyle w:val="12"/>
            </w:pPr>
            <w:r>
              <w:t>按照序时进度完成资金支付</w:t>
            </w:r>
          </w:p>
        </w:tc>
        <w:tc>
          <w:tcPr>
            <w:tcW w:w="2268" w:type="dxa"/>
            <w:vAlign w:val="center"/>
          </w:tcPr>
          <w:p w14:paraId="6DF9F733">
            <w:pPr>
              <w:pStyle w:val="12"/>
            </w:pPr>
            <w:r>
              <w:t>100%</w:t>
            </w:r>
          </w:p>
        </w:tc>
        <w:tc>
          <w:tcPr>
            <w:tcW w:w="1276" w:type="dxa"/>
            <w:vAlign w:val="center"/>
          </w:tcPr>
          <w:p w14:paraId="44F1737F">
            <w:pPr>
              <w:pStyle w:val="12"/>
            </w:pPr>
            <w:r>
              <w:t>项目规划</w:t>
            </w:r>
          </w:p>
        </w:tc>
      </w:tr>
      <w:tr w14:paraId="51C0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61A96"/>
        </w:tc>
        <w:tc>
          <w:tcPr>
            <w:tcW w:w="2268" w:type="dxa"/>
            <w:vAlign w:val="center"/>
          </w:tcPr>
          <w:p w14:paraId="7AF5279C">
            <w:pPr>
              <w:pStyle w:val="12"/>
            </w:pPr>
            <w:r>
              <w:t>成本指标</w:t>
            </w:r>
          </w:p>
        </w:tc>
        <w:tc>
          <w:tcPr>
            <w:tcW w:w="2835" w:type="dxa"/>
            <w:vAlign w:val="center"/>
          </w:tcPr>
          <w:p w14:paraId="3C279821">
            <w:pPr>
              <w:pStyle w:val="12"/>
            </w:pPr>
            <w:r>
              <w:t>项目成本控制情况</w:t>
            </w:r>
          </w:p>
        </w:tc>
        <w:tc>
          <w:tcPr>
            <w:tcW w:w="5386" w:type="dxa"/>
            <w:vAlign w:val="center"/>
          </w:tcPr>
          <w:p w14:paraId="1948CD53">
            <w:pPr>
              <w:pStyle w:val="12"/>
            </w:pPr>
            <w:r>
              <w:t>严格按照招标价格及审计额进行</w:t>
            </w:r>
          </w:p>
        </w:tc>
        <w:tc>
          <w:tcPr>
            <w:tcW w:w="2268" w:type="dxa"/>
            <w:vAlign w:val="center"/>
          </w:tcPr>
          <w:p w14:paraId="2DB46B90">
            <w:pPr>
              <w:pStyle w:val="12"/>
            </w:pPr>
            <w:r>
              <w:t>25万元</w:t>
            </w:r>
          </w:p>
        </w:tc>
        <w:tc>
          <w:tcPr>
            <w:tcW w:w="1276" w:type="dxa"/>
            <w:vAlign w:val="center"/>
          </w:tcPr>
          <w:p w14:paraId="2FC0FDD3">
            <w:pPr>
              <w:pStyle w:val="12"/>
            </w:pPr>
            <w:r>
              <w:t>项目规划</w:t>
            </w:r>
          </w:p>
        </w:tc>
      </w:tr>
      <w:tr w14:paraId="1B89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3FFF3">
            <w:pPr>
              <w:pStyle w:val="13"/>
            </w:pPr>
            <w:r>
              <w:t>效益指标</w:t>
            </w:r>
          </w:p>
        </w:tc>
        <w:tc>
          <w:tcPr>
            <w:tcW w:w="2268" w:type="dxa"/>
            <w:vAlign w:val="center"/>
          </w:tcPr>
          <w:p w14:paraId="7522BED1">
            <w:pPr>
              <w:pStyle w:val="12"/>
            </w:pPr>
            <w:r>
              <w:t>社会效益指标</w:t>
            </w:r>
          </w:p>
        </w:tc>
        <w:tc>
          <w:tcPr>
            <w:tcW w:w="2835" w:type="dxa"/>
            <w:vAlign w:val="center"/>
          </w:tcPr>
          <w:p w14:paraId="020DFCAD">
            <w:pPr>
              <w:pStyle w:val="12"/>
            </w:pPr>
            <w:r>
              <w:t>学校办学环境提升</w:t>
            </w:r>
          </w:p>
        </w:tc>
        <w:tc>
          <w:tcPr>
            <w:tcW w:w="5386" w:type="dxa"/>
            <w:vAlign w:val="center"/>
          </w:tcPr>
          <w:p w14:paraId="3433839D">
            <w:pPr>
              <w:pStyle w:val="12"/>
            </w:pPr>
            <w:r>
              <w:t>学校教学环境提升优化率</w:t>
            </w:r>
          </w:p>
        </w:tc>
        <w:tc>
          <w:tcPr>
            <w:tcW w:w="2268" w:type="dxa"/>
            <w:vAlign w:val="center"/>
          </w:tcPr>
          <w:p w14:paraId="3A438BB1">
            <w:pPr>
              <w:pStyle w:val="12"/>
            </w:pPr>
            <w:r>
              <w:t>≥98%</w:t>
            </w:r>
          </w:p>
        </w:tc>
        <w:tc>
          <w:tcPr>
            <w:tcW w:w="1276" w:type="dxa"/>
            <w:vAlign w:val="center"/>
          </w:tcPr>
          <w:p w14:paraId="01A49006">
            <w:pPr>
              <w:pStyle w:val="12"/>
            </w:pPr>
            <w:r>
              <w:t>项目规划</w:t>
            </w:r>
          </w:p>
        </w:tc>
      </w:tr>
      <w:tr w14:paraId="0A27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3AD1A">
            <w:pPr>
              <w:pStyle w:val="13"/>
            </w:pPr>
            <w:r>
              <w:t>满意度指标</w:t>
            </w:r>
          </w:p>
        </w:tc>
        <w:tc>
          <w:tcPr>
            <w:tcW w:w="2268" w:type="dxa"/>
            <w:vAlign w:val="center"/>
          </w:tcPr>
          <w:p w14:paraId="6FE05682">
            <w:pPr>
              <w:pStyle w:val="12"/>
            </w:pPr>
            <w:r>
              <w:t>服务对象满意度指标</w:t>
            </w:r>
          </w:p>
        </w:tc>
        <w:tc>
          <w:tcPr>
            <w:tcW w:w="2835" w:type="dxa"/>
            <w:vAlign w:val="center"/>
          </w:tcPr>
          <w:p w14:paraId="0D8B7BE6">
            <w:pPr>
              <w:pStyle w:val="12"/>
            </w:pPr>
            <w:r>
              <w:t>受益学生家长及调查满意度</w:t>
            </w:r>
          </w:p>
        </w:tc>
        <w:tc>
          <w:tcPr>
            <w:tcW w:w="5386" w:type="dxa"/>
            <w:vAlign w:val="center"/>
          </w:tcPr>
          <w:p w14:paraId="189486E6">
            <w:pPr>
              <w:pStyle w:val="12"/>
            </w:pPr>
            <w:r>
              <w:t>学生、教师及家长对学校教学环境满意度情况</w:t>
            </w:r>
          </w:p>
        </w:tc>
        <w:tc>
          <w:tcPr>
            <w:tcW w:w="2268" w:type="dxa"/>
            <w:vAlign w:val="center"/>
          </w:tcPr>
          <w:p w14:paraId="03EAD3BE">
            <w:pPr>
              <w:pStyle w:val="12"/>
            </w:pPr>
            <w:r>
              <w:t>≥95%</w:t>
            </w:r>
          </w:p>
        </w:tc>
        <w:tc>
          <w:tcPr>
            <w:tcW w:w="1276" w:type="dxa"/>
            <w:vAlign w:val="center"/>
          </w:tcPr>
          <w:p w14:paraId="66D579A4">
            <w:pPr>
              <w:pStyle w:val="12"/>
            </w:pPr>
            <w:r>
              <w:t>项目规划</w:t>
            </w:r>
          </w:p>
        </w:tc>
      </w:tr>
    </w:tbl>
    <w:p w14:paraId="0D57F8B8">
      <w:pPr>
        <w:sectPr>
          <w:pgSz w:w="16840" w:h="11900" w:orient="landscape"/>
          <w:pgMar w:top="1361" w:right="1020" w:bottom="1134" w:left="1020" w:header="720" w:footer="720" w:gutter="0"/>
          <w:cols w:space="720" w:num="1"/>
        </w:sectPr>
      </w:pPr>
    </w:p>
    <w:p w14:paraId="77498DD1">
      <w:pPr>
        <w:spacing w:before="0" w:after="0"/>
        <w:ind w:firstLine="560"/>
        <w:jc w:val="left"/>
        <w:outlineLvl w:val="9"/>
      </w:pPr>
      <w:r>
        <w:rPr>
          <w:rFonts w:ascii="方正仿宋_GBK" w:hAnsi="方正仿宋_GBK" w:eastAsia="方正仿宋_GBK" w:cs="方正仿宋_GBK"/>
          <w:b/>
          <w:color w:val="000000"/>
          <w:sz w:val="28"/>
        </w:rPr>
        <w:t>4、冀财教[2025]147号/省级/2026年义教补助经费/固城中学公用经费绩效目标表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CB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95EC0">
            <w:pPr>
              <w:pStyle w:val="11"/>
            </w:pPr>
            <w:r>
              <w:t>单位：万元</w:t>
            </w:r>
          </w:p>
        </w:tc>
      </w:tr>
      <w:tr w14:paraId="00595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2814B">
            <w:pPr>
              <w:pStyle w:val="10"/>
            </w:pPr>
            <w:r>
              <w:t>项目编码</w:t>
            </w:r>
          </w:p>
        </w:tc>
        <w:tc>
          <w:tcPr>
            <w:tcW w:w="5103" w:type="dxa"/>
            <w:gridSpan w:val="2"/>
            <w:vAlign w:val="center"/>
          </w:tcPr>
          <w:p w14:paraId="524A19AD">
            <w:pPr>
              <w:pStyle w:val="12"/>
            </w:pPr>
            <w:r>
              <w:t>13052526P00000410326P</w:t>
            </w:r>
          </w:p>
        </w:tc>
        <w:tc>
          <w:tcPr>
            <w:tcW w:w="2835" w:type="dxa"/>
            <w:vAlign w:val="center"/>
          </w:tcPr>
          <w:p w14:paraId="7E1C9205">
            <w:pPr>
              <w:pStyle w:val="10"/>
            </w:pPr>
            <w:r>
              <w:t>项目名称</w:t>
            </w:r>
          </w:p>
        </w:tc>
        <w:tc>
          <w:tcPr>
            <w:tcW w:w="6095" w:type="dxa"/>
            <w:gridSpan w:val="3"/>
            <w:vAlign w:val="center"/>
          </w:tcPr>
          <w:p w14:paraId="04C5840F">
            <w:pPr>
              <w:pStyle w:val="12"/>
            </w:pPr>
            <w:r>
              <w:t>冀财教[2025]147号/省级/2026年义教补助经费/固城中学公用经费</w:t>
            </w:r>
          </w:p>
        </w:tc>
      </w:tr>
      <w:tr w14:paraId="66AFE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16944">
            <w:pPr>
              <w:pStyle w:val="10"/>
            </w:pPr>
            <w:r>
              <w:t>预算规模及资金用途</w:t>
            </w:r>
          </w:p>
        </w:tc>
        <w:tc>
          <w:tcPr>
            <w:tcW w:w="2268" w:type="dxa"/>
            <w:vAlign w:val="center"/>
          </w:tcPr>
          <w:p w14:paraId="033C51B0">
            <w:pPr>
              <w:pStyle w:val="10"/>
            </w:pPr>
            <w:r>
              <w:t>预算数</w:t>
            </w:r>
          </w:p>
        </w:tc>
        <w:tc>
          <w:tcPr>
            <w:tcW w:w="2835" w:type="dxa"/>
            <w:vAlign w:val="center"/>
          </w:tcPr>
          <w:p w14:paraId="75FA4927">
            <w:pPr>
              <w:pStyle w:val="12"/>
            </w:pPr>
            <w:r>
              <w:t>88.71</w:t>
            </w:r>
          </w:p>
        </w:tc>
        <w:tc>
          <w:tcPr>
            <w:tcW w:w="2835" w:type="dxa"/>
            <w:vAlign w:val="center"/>
          </w:tcPr>
          <w:p w14:paraId="0791D3BF">
            <w:pPr>
              <w:pStyle w:val="10"/>
            </w:pPr>
            <w:r>
              <w:t>其中：财政    资金</w:t>
            </w:r>
          </w:p>
        </w:tc>
        <w:tc>
          <w:tcPr>
            <w:tcW w:w="2551" w:type="dxa"/>
            <w:vAlign w:val="center"/>
          </w:tcPr>
          <w:p w14:paraId="44B3C6FE">
            <w:pPr>
              <w:pStyle w:val="12"/>
            </w:pPr>
            <w:r>
              <w:t>88.71</w:t>
            </w:r>
          </w:p>
        </w:tc>
        <w:tc>
          <w:tcPr>
            <w:tcW w:w="2268" w:type="dxa"/>
            <w:vAlign w:val="center"/>
          </w:tcPr>
          <w:p w14:paraId="69E1A02B">
            <w:pPr>
              <w:pStyle w:val="10"/>
            </w:pPr>
            <w:r>
              <w:t>其他资金</w:t>
            </w:r>
          </w:p>
        </w:tc>
        <w:tc>
          <w:tcPr>
            <w:tcW w:w="1276" w:type="dxa"/>
            <w:vAlign w:val="center"/>
          </w:tcPr>
          <w:p w14:paraId="18927F82">
            <w:pPr>
              <w:pStyle w:val="12"/>
            </w:pPr>
            <w:r>
              <w:t xml:space="preserve"> </w:t>
            </w:r>
          </w:p>
        </w:tc>
      </w:tr>
      <w:tr w14:paraId="7702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6A0F0"/>
        </w:tc>
        <w:tc>
          <w:tcPr>
            <w:tcW w:w="14033" w:type="dxa"/>
            <w:gridSpan w:val="6"/>
            <w:vAlign w:val="center"/>
          </w:tcPr>
          <w:p w14:paraId="7098B749">
            <w:pPr>
              <w:pStyle w:val="12"/>
            </w:pPr>
            <w:r>
              <w:t>有效完成学校教学安全秩序，保障学校教学任务有效开展，满足学校正常教学需要。</w:t>
            </w:r>
            <w:r>
              <w:tab/>
            </w:r>
          </w:p>
        </w:tc>
      </w:tr>
      <w:tr w14:paraId="6319F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9A8C2">
            <w:pPr>
              <w:pStyle w:val="10"/>
            </w:pPr>
            <w:r>
              <w:t>资金支出计划（%）</w:t>
            </w:r>
          </w:p>
        </w:tc>
        <w:tc>
          <w:tcPr>
            <w:tcW w:w="5103" w:type="dxa"/>
            <w:gridSpan w:val="2"/>
            <w:vAlign w:val="center"/>
          </w:tcPr>
          <w:p w14:paraId="3110E967">
            <w:pPr>
              <w:pStyle w:val="10"/>
            </w:pPr>
            <w:r>
              <w:t>3月底</w:t>
            </w:r>
          </w:p>
        </w:tc>
        <w:tc>
          <w:tcPr>
            <w:tcW w:w="2835" w:type="dxa"/>
            <w:vAlign w:val="center"/>
          </w:tcPr>
          <w:p w14:paraId="266E8622">
            <w:pPr>
              <w:pStyle w:val="10"/>
            </w:pPr>
            <w:r>
              <w:t>6月底</w:t>
            </w:r>
          </w:p>
        </w:tc>
        <w:tc>
          <w:tcPr>
            <w:tcW w:w="2551" w:type="dxa"/>
            <w:vAlign w:val="center"/>
          </w:tcPr>
          <w:p w14:paraId="379A7761">
            <w:pPr>
              <w:pStyle w:val="10"/>
            </w:pPr>
            <w:r>
              <w:t>10月底</w:t>
            </w:r>
          </w:p>
        </w:tc>
        <w:tc>
          <w:tcPr>
            <w:tcW w:w="3544" w:type="dxa"/>
            <w:gridSpan w:val="2"/>
            <w:vAlign w:val="center"/>
          </w:tcPr>
          <w:p w14:paraId="42BC9810">
            <w:pPr>
              <w:pStyle w:val="10"/>
            </w:pPr>
            <w:r>
              <w:t>12月底</w:t>
            </w:r>
          </w:p>
        </w:tc>
      </w:tr>
      <w:tr w14:paraId="7F855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95E97"/>
        </w:tc>
        <w:tc>
          <w:tcPr>
            <w:tcW w:w="5103" w:type="dxa"/>
            <w:gridSpan w:val="2"/>
            <w:vAlign w:val="center"/>
          </w:tcPr>
          <w:p w14:paraId="11393CE0">
            <w:pPr>
              <w:pStyle w:val="13"/>
            </w:pPr>
            <w:r>
              <w:t>25%</w:t>
            </w:r>
          </w:p>
        </w:tc>
        <w:tc>
          <w:tcPr>
            <w:tcW w:w="2835" w:type="dxa"/>
            <w:vAlign w:val="center"/>
          </w:tcPr>
          <w:p w14:paraId="3BB313C4">
            <w:pPr>
              <w:pStyle w:val="13"/>
            </w:pPr>
            <w:r>
              <w:t>50%</w:t>
            </w:r>
          </w:p>
        </w:tc>
        <w:tc>
          <w:tcPr>
            <w:tcW w:w="2551" w:type="dxa"/>
            <w:vAlign w:val="center"/>
          </w:tcPr>
          <w:p w14:paraId="48A7EB6D">
            <w:pPr>
              <w:pStyle w:val="13"/>
            </w:pPr>
            <w:r>
              <w:t>75%</w:t>
            </w:r>
          </w:p>
        </w:tc>
        <w:tc>
          <w:tcPr>
            <w:tcW w:w="3544" w:type="dxa"/>
            <w:gridSpan w:val="2"/>
            <w:vAlign w:val="center"/>
          </w:tcPr>
          <w:p w14:paraId="75726DBD">
            <w:pPr>
              <w:pStyle w:val="13"/>
            </w:pPr>
            <w:r>
              <w:t>100%</w:t>
            </w:r>
          </w:p>
        </w:tc>
      </w:tr>
      <w:tr w14:paraId="4C645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691A6">
            <w:pPr>
              <w:pStyle w:val="10"/>
            </w:pPr>
            <w:r>
              <w:t>绩效目标</w:t>
            </w:r>
          </w:p>
        </w:tc>
        <w:tc>
          <w:tcPr>
            <w:tcW w:w="14033" w:type="dxa"/>
            <w:gridSpan w:val="6"/>
            <w:vAlign w:val="center"/>
          </w:tcPr>
          <w:p w14:paraId="004E6936">
            <w:pPr>
              <w:pStyle w:val="12"/>
            </w:pPr>
            <w:r>
              <w:t>1.有效完成学校教学安全秩序，保障学校教学任务有效开展，满足学校正常教学需要。</w:t>
            </w:r>
            <w:r>
              <w:tab/>
            </w:r>
            <w:r>
              <w:tab/>
            </w:r>
            <w:r>
              <w:tab/>
            </w:r>
            <w:r>
              <w:tab/>
            </w:r>
            <w:r>
              <w:tab/>
            </w:r>
            <w:r>
              <w:tab/>
            </w:r>
          </w:p>
          <w:p w14:paraId="42E878BC">
            <w:pPr>
              <w:pStyle w:val="12"/>
            </w:pPr>
          </w:p>
          <w:p w14:paraId="018D6B01">
            <w:pPr>
              <w:pStyle w:val="12"/>
            </w:pPr>
            <w:r>
              <w:t>2.按规定拨付公用经费资金，预算执行率≥98%。</w:t>
            </w:r>
            <w:r>
              <w:tab/>
            </w:r>
            <w:r>
              <w:tab/>
            </w:r>
            <w:r>
              <w:tab/>
            </w:r>
            <w:r>
              <w:tab/>
            </w:r>
            <w:r>
              <w:tab/>
            </w:r>
            <w:r>
              <w:tab/>
            </w:r>
          </w:p>
          <w:p w14:paraId="4D0A5054">
            <w:pPr>
              <w:pStyle w:val="12"/>
            </w:pPr>
          </w:p>
        </w:tc>
      </w:tr>
    </w:tbl>
    <w:p w14:paraId="13E611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6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3C908">
            <w:pPr>
              <w:pStyle w:val="10"/>
            </w:pPr>
            <w:r>
              <w:t>一级指标</w:t>
            </w:r>
          </w:p>
        </w:tc>
        <w:tc>
          <w:tcPr>
            <w:tcW w:w="2268" w:type="dxa"/>
            <w:vAlign w:val="center"/>
          </w:tcPr>
          <w:p w14:paraId="1777F0B2">
            <w:pPr>
              <w:pStyle w:val="10"/>
            </w:pPr>
            <w:r>
              <w:t>二级指标</w:t>
            </w:r>
          </w:p>
        </w:tc>
        <w:tc>
          <w:tcPr>
            <w:tcW w:w="2835" w:type="dxa"/>
            <w:vAlign w:val="center"/>
          </w:tcPr>
          <w:p w14:paraId="50B3B3A9">
            <w:pPr>
              <w:pStyle w:val="10"/>
            </w:pPr>
            <w:r>
              <w:t>三级指标</w:t>
            </w:r>
          </w:p>
        </w:tc>
        <w:tc>
          <w:tcPr>
            <w:tcW w:w="5386" w:type="dxa"/>
            <w:vAlign w:val="center"/>
          </w:tcPr>
          <w:p w14:paraId="658671FF">
            <w:pPr>
              <w:pStyle w:val="10"/>
            </w:pPr>
            <w:r>
              <w:t>绩效指标描述</w:t>
            </w:r>
          </w:p>
        </w:tc>
        <w:tc>
          <w:tcPr>
            <w:tcW w:w="2268" w:type="dxa"/>
            <w:vAlign w:val="center"/>
          </w:tcPr>
          <w:p w14:paraId="0A2A136F">
            <w:pPr>
              <w:pStyle w:val="10"/>
            </w:pPr>
            <w:r>
              <w:t>指标值</w:t>
            </w:r>
          </w:p>
        </w:tc>
        <w:tc>
          <w:tcPr>
            <w:tcW w:w="1276" w:type="dxa"/>
            <w:vAlign w:val="center"/>
          </w:tcPr>
          <w:p w14:paraId="1BD77CA6">
            <w:pPr>
              <w:pStyle w:val="10"/>
            </w:pPr>
            <w:r>
              <w:t>指标值确定依据</w:t>
            </w:r>
          </w:p>
        </w:tc>
      </w:tr>
      <w:tr w14:paraId="4ADB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73E87">
            <w:pPr>
              <w:pStyle w:val="13"/>
            </w:pPr>
            <w:r>
              <w:t>产出指标</w:t>
            </w:r>
          </w:p>
        </w:tc>
        <w:tc>
          <w:tcPr>
            <w:tcW w:w="2268" w:type="dxa"/>
            <w:vAlign w:val="center"/>
          </w:tcPr>
          <w:p w14:paraId="39945839">
            <w:pPr>
              <w:pStyle w:val="12"/>
            </w:pPr>
            <w:r>
              <w:t>数量指标</w:t>
            </w:r>
          </w:p>
        </w:tc>
        <w:tc>
          <w:tcPr>
            <w:tcW w:w="2835" w:type="dxa"/>
            <w:vAlign w:val="center"/>
          </w:tcPr>
          <w:p w14:paraId="54C8DEB1">
            <w:pPr>
              <w:pStyle w:val="12"/>
            </w:pPr>
            <w:r>
              <w:t>就读学生数</w:t>
            </w:r>
          </w:p>
        </w:tc>
        <w:tc>
          <w:tcPr>
            <w:tcW w:w="5386" w:type="dxa"/>
            <w:vAlign w:val="center"/>
          </w:tcPr>
          <w:p w14:paraId="666233BD">
            <w:pPr>
              <w:pStyle w:val="12"/>
            </w:pPr>
            <w:r>
              <w:t>辐射区域内适龄学生人数</w:t>
            </w:r>
          </w:p>
        </w:tc>
        <w:tc>
          <w:tcPr>
            <w:tcW w:w="2268" w:type="dxa"/>
            <w:vAlign w:val="center"/>
          </w:tcPr>
          <w:p w14:paraId="44E4280B">
            <w:pPr>
              <w:pStyle w:val="12"/>
            </w:pPr>
            <w:r>
              <w:t>2100人</w:t>
            </w:r>
          </w:p>
        </w:tc>
        <w:tc>
          <w:tcPr>
            <w:tcW w:w="1276" w:type="dxa"/>
            <w:vAlign w:val="center"/>
          </w:tcPr>
          <w:p w14:paraId="3FD8C2BA">
            <w:pPr>
              <w:pStyle w:val="12"/>
            </w:pPr>
            <w:r>
              <w:t>城乡义务教育公用经费管理办法</w:t>
            </w:r>
          </w:p>
        </w:tc>
      </w:tr>
      <w:tr w14:paraId="0D8A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885E2"/>
        </w:tc>
        <w:tc>
          <w:tcPr>
            <w:tcW w:w="2268" w:type="dxa"/>
            <w:vAlign w:val="center"/>
          </w:tcPr>
          <w:p w14:paraId="3FCADFBD">
            <w:pPr>
              <w:pStyle w:val="12"/>
            </w:pPr>
            <w:r>
              <w:t>质量指标</w:t>
            </w:r>
          </w:p>
        </w:tc>
        <w:tc>
          <w:tcPr>
            <w:tcW w:w="2835" w:type="dxa"/>
            <w:vAlign w:val="center"/>
          </w:tcPr>
          <w:p w14:paraId="3F3A8564">
            <w:pPr>
              <w:pStyle w:val="12"/>
            </w:pPr>
            <w:r>
              <w:t>预算执行率</w:t>
            </w:r>
          </w:p>
        </w:tc>
        <w:tc>
          <w:tcPr>
            <w:tcW w:w="5386" w:type="dxa"/>
            <w:vAlign w:val="center"/>
          </w:tcPr>
          <w:p w14:paraId="0CE0C831">
            <w:pPr>
              <w:pStyle w:val="12"/>
            </w:pPr>
            <w:r>
              <w:t>预算执行率</w:t>
            </w:r>
          </w:p>
        </w:tc>
        <w:tc>
          <w:tcPr>
            <w:tcW w:w="2268" w:type="dxa"/>
            <w:vAlign w:val="center"/>
          </w:tcPr>
          <w:p w14:paraId="1022BE4A">
            <w:pPr>
              <w:pStyle w:val="12"/>
            </w:pPr>
            <w:r>
              <w:t>≥98%</w:t>
            </w:r>
          </w:p>
        </w:tc>
        <w:tc>
          <w:tcPr>
            <w:tcW w:w="1276" w:type="dxa"/>
            <w:vAlign w:val="center"/>
          </w:tcPr>
          <w:p w14:paraId="2EDD340F">
            <w:pPr>
              <w:pStyle w:val="12"/>
            </w:pPr>
            <w:r>
              <w:t>城乡义务教育公用经费管理办法</w:t>
            </w:r>
          </w:p>
        </w:tc>
      </w:tr>
      <w:tr w14:paraId="26DE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B8429"/>
        </w:tc>
        <w:tc>
          <w:tcPr>
            <w:tcW w:w="2268" w:type="dxa"/>
            <w:vAlign w:val="center"/>
          </w:tcPr>
          <w:p w14:paraId="4C7FAEC8">
            <w:pPr>
              <w:pStyle w:val="12"/>
            </w:pPr>
            <w:r>
              <w:t>时效指标</w:t>
            </w:r>
          </w:p>
        </w:tc>
        <w:tc>
          <w:tcPr>
            <w:tcW w:w="2835" w:type="dxa"/>
            <w:vAlign w:val="center"/>
          </w:tcPr>
          <w:p w14:paraId="6B80C3AE">
            <w:pPr>
              <w:pStyle w:val="12"/>
            </w:pPr>
            <w:r>
              <w:t>义教经费支付完成率</w:t>
            </w:r>
          </w:p>
        </w:tc>
        <w:tc>
          <w:tcPr>
            <w:tcW w:w="5386" w:type="dxa"/>
            <w:vAlign w:val="center"/>
          </w:tcPr>
          <w:p w14:paraId="0B5BB569">
            <w:pPr>
              <w:pStyle w:val="12"/>
            </w:pPr>
            <w:r>
              <w:t>按照序时进度完成资金支付</w:t>
            </w:r>
          </w:p>
        </w:tc>
        <w:tc>
          <w:tcPr>
            <w:tcW w:w="2268" w:type="dxa"/>
            <w:vAlign w:val="center"/>
          </w:tcPr>
          <w:p w14:paraId="0860DC04">
            <w:pPr>
              <w:pStyle w:val="12"/>
            </w:pPr>
            <w:r>
              <w:t>≥100%</w:t>
            </w:r>
          </w:p>
        </w:tc>
        <w:tc>
          <w:tcPr>
            <w:tcW w:w="1276" w:type="dxa"/>
            <w:vAlign w:val="center"/>
          </w:tcPr>
          <w:p w14:paraId="51CFF42C">
            <w:pPr>
              <w:pStyle w:val="12"/>
            </w:pPr>
            <w:r>
              <w:t>城乡义务教育公用经费管理办法</w:t>
            </w:r>
          </w:p>
        </w:tc>
      </w:tr>
      <w:tr w14:paraId="3F47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86226"/>
        </w:tc>
        <w:tc>
          <w:tcPr>
            <w:tcW w:w="2268" w:type="dxa"/>
            <w:vAlign w:val="center"/>
          </w:tcPr>
          <w:p w14:paraId="16E0D716">
            <w:pPr>
              <w:pStyle w:val="12"/>
            </w:pPr>
            <w:r>
              <w:t>成本指标</w:t>
            </w:r>
          </w:p>
        </w:tc>
        <w:tc>
          <w:tcPr>
            <w:tcW w:w="2835" w:type="dxa"/>
            <w:vAlign w:val="center"/>
          </w:tcPr>
          <w:p w14:paraId="795E98F0">
            <w:pPr>
              <w:pStyle w:val="12"/>
            </w:pPr>
            <w:r>
              <w:t>生均拨款标准</w:t>
            </w:r>
          </w:p>
        </w:tc>
        <w:tc>
          <w:tcPr>
            <w:tcW w:w="5386" w:type="dxa"/>
            <w:vAlign w:val="center"/>
          </w:tcPr>
          <w:p w14:paraId="40887AC7">
            <w:pPr>
              <w:pStyle w:val="12"/>
            </w:pPr>
            <w:r>
              <w:t>生均公用经费基准定额为940元/年/生，取暖费120元/年/生，住宿生补助300元/年/生的标准，随班就读学生补助7000元/生/年</w:t>
            </w:r>
          </w:p>
        </w:tc>
        <w:tc>
          <w:tcPr>
            <w:tcW w:w="2268" w:type="dxa"/>
            <w:vAlign w:val="center"/>
          </w:tcPr>
          <w:p w14:paraId="39C0D670">
            <w:pPr>
              <w:pStyle w:val="12"/>
            </w:pPr>
            <w:r>
              <w:t>1360元</w:t>
            </w:r>
          </w:p>
        </w:tc>
        <w:tc>
          <w:tcPr>
            <w:tcW w:w="1276" w:type="dxa"/>
            <w:vAlign w:val="center"/>
          </w:tcPr>
          <w:p w14:paraId="485D70D2">
            <w:pPr>
              <w:pStyle w:val="12"/>
            </w:pPr>
            <w:r>
              <w:t>城乡义务教育公用经费管理办法</w:t>
            </w:r>
          </w:p>
        </w:tc>
      </w:tr>
      <w:tr w14:paraId="06D4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65BB">
            <w:pPr>
              <w:pStyle w:val="13"/>
            </w:pPr>
            <w:r>
              <w:t>效益指标</w:t>
            </w:r>
          </w:p>
        </w:tc>
        <w:tc>
          <w:tcPr>
            <w:tcW w:w="2268" w:type="dxa"/>
            <w:vAlign w:val="center"/>
          </w:tcPr>
          <w:p w14:paraId="2F727F07">
            <w:pPr>
              <w:pStyle w:val="12"/>
            </w:pPr>
            <w:r>
              <w:t>可持续影响指标</w:t>
            </w:r>
          </w:p>
        </w:tc>
        <w:tc>
          <w:tcPr>
            <w:tcW w:w="2835" w:type="dxa"/>
            <w:vAlign w:val="center"/>
          </w:tcPr>
          <w:p w14:paraId="0E473162">
            <w:pPr>
              <w:pStyle w:val="12"/>
            </w:pPr>
            <w:r>
              <w:t>学校日常运转正常</w:t>
            </w:r>
          </w:p>
        </w:tc>
        <w:tc>
          <w:tcPr>
            <w:tcW w:w="5386" w:type="dxa"/>
            <w:vAlign w:val="center"/>
          </w:tcPr>
          <w:p w14:paraId="04D9FCB1">
            <w:pPr>
              <w:pStyle w:val="12"/>
            </w:pPr>
            <w:r>
              <w:t>学生受教育年限</w:t>
            </w:r>
          </w:p>
        </w:tc>
        <w:tc>
          <w:tcPr>
            <w:tcW w:w="2268" w:type="dxa"/>
            <w:vAlign w:val="center"/>
          </w:tcPr>
          <w:p w14:paraId="6D6D6967">
            <w:pPr>
              <w:pStyle w:val="12"/>
            </w:pPr>
            <w:r>
              <w:t>3年</w:t>
            </w:r>
          </w:p>
        </w:tc>
        <w:tc>
          <w:tcPr>
            <w:tcW w:w="1276" w:type="dxa"/>
            <w:vAlign w:val="center"/>
          </w:tcPr>
          <w:p w14:paraId="3851CA67">
            <w:pPr>
              <w:pStyle w:val="12"/>
            </w:pPr>
            <w:r>
              <w:t>城乡义务教育公用经费管理办法</w:t>
            </w:r>
          </w:p>
        </w:tc>
      </w:tr>
      <w:tr w14:paraId="0B61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3479C">
            <w:pPr>
              <w:pStyle w:val="13"/>
            </w:pPr>
            <w:r>
              <w:t>满意度指标</w:t>
            </w:r>
          </w:p>
        </w:tc>
        <w:tc>
          <w:tcPr>
            <w:tcW w:w="2268" w:type="dxa"/>
            <w:vAlign w:val="center"/>
          </w:tcPr>
          <w:p w14:paraId="53DAEC82">
            <w:pPr>
              <w:pStyle w:val="12"/>
            </w:pPr>
            <w:r>
              <w:t>服务对象满意度指标</w:t>
            </w:r>
          </w:p>
        </w:tc>
        <w:tc>
          <w:tcPr>
            <w:tcW w:w="2835" w:type="dxa"/>
            <w:vAlign w:val="center"/>
          </w:tcPr>
          <w:p w14:paraId="371F250F">
            <w:pPr>
              <w:pStyle w:val="12"/>
            </w:pPr>
            <w:r>
              <w:t>家长和学生满意度</w:t>
            </w:r>
          </w:p>
        </w:tc>
        <w:tc>
          <w:tcPr>
            <w:tcW w:w="5386" w:type="dxa"/>
            <w:vAlign w:val="center"/>
          </w:tcPr>
          <w:p w14:paraId="651868B6">
            <w:pPr>
              <w:pStyle w:val="12"/>
            </w:pPr>
            <w:r>
              <w:t>家长和学生满意度</w:t>
            </w:r>
          </w:p>
        </w:tc>
        <w:tc>
          <w:tcPr>
            <w:tcW w:w="2268" w:type="dxa"/>
            <w:vAlign w:val="center"/>
          </w:tcPr>
          <w:p w14:paraId="59DFD1D9">
            <w:pPr>
              <w:pStyle w:val="12"/>
            </w:pPr>
            <w:r>
              <w:t>≥95%</w:t>
            </w:r>
          </w:p>
        </w:tc>
        <w:tc>
          <w:tcPr>
            <w:tcW w:w="1276" w:type="dxa"/>
            <w:vAlign w:val="center"/>
          </w:tcPr>
          <w:p w14:paraId="1A2ECA0F">
            <w:pPr>
              <w:pStyle w:val="12"/>
            </w:pPr>
            <w:r>
              <w:t>问卷调查</w:t>
            </w:r>
          </w:p>
        </w:tc>
      </w:tr>
    </w:tbl>
    <w:p w14:paraId="75D86778">
      <w:pPr>
        <w:sectPr>
          <w:pgSz w:w="16840" w:h="11900" w:orient="landscape"/>
          <w:pgMar w:top="1361" w:right="1020" w:bottom="1134" w:left="1020" w:header="720" w:footer="720" w:gutter="0"/>
          <w:cols w:space="720" w:num="1"/>
        </w:sectPr>
      </w:pPr>
    </w:p>
    <w:p w14:paraId="1DECA8E3">
      <w:pPr>
        <w:spacing w:before="0" w:after="0"/>
        <w:ind w:firstLine="560"/>
        <w:jc w:val="left"/>
        <w:outlineLvl w:val="9"/>
      </w:pPr>
      <w:r>
        <w:rPr>
          <w:rFonts w:ascii="方正仿宋_GBK" w:hAnsi="方正仿宋_GBK" w:eastAsia="方正仿宋_GBK" w:cs="方正仿宋_GBK"/>
          <w:b/>
          <w:color w:val="000000"/>
          <w:sz w:val="28"/>
        </w:rPr>
        <w:t>5、冀财教[2025]148号/支持义务教育发展/固城中学防霸凌报警系统购置绩效目标表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E1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2B178">
            <w:pPr>
              <w:pStyle w:val="11"/>
            </w:pPr>
            <w:r>
              <w:t>单位：万元</w:t>
            </w:r>
          </w:p>
        </w:tc>
      </w:tr>
      <w:tr w14:paraId="26E02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FDC38">
            <w:pPr>
              <w:pStyle w:val="10"/>
            </w:pPr>
            <w:r>
              <w:t>项目编码</w:t>
            </w:r>
          </w:p>
        </w:tc>
        <w:tc>
          <w:tcPr>
            <w:tcW w:w="5103" w:type="dxa"/>
            <w:gridSpan w:val="2"/>
            <w:vAlign w:val="center"/>
          </w:tcPr>
          <w:p w14:paraId="65DCB27E">
            <w:pPr>
              <w:pStyle w:val="12"/>
            </w:pPr>
            <w:r>
              <w:t>13052526P000002101133</w:t>
            </w:r>
          </w:p>
        </w:tc>
        <w:tc>
          <w:tcPr>
            <w:tcW w:w="2835" w:type="dxa"/>
            <w:vAlign w:val="center"/>
          </w:tcPr>
          <w:p w14:paraId="03B55CA0">
            <w:pPr>
              <w:pStyle w:val="10"/>
            </w:pPr>
            <w:r>
              <w:t>项目名称</w:t>
            </w:r>
          </w:p>
        </w:tc>
        <w:tc>
          <w:tcPr>
            <w:tcW w:w="6095" w:type="dxa"/>
            <w:gridSpan w:val="3"/>
            <w:vAlign w:val="center"/>
          </w:tcPr>
          <w:p w14:paraId="60BCCD44">
            <w:pPr>
              <w:pStyle w:val="12"/>
            </w:pPr>
            <w:r>
              <w:t>冀财教[2025]148号/支持义务教育发展/固城中学防霸凌报警系统购置</w:t>
            </w:r>
          </w:p>
        </w:tc>
      </w:tr>
      <w:tr w14:paraId="4E24A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D2B29">
            <w:pPr>
              <w:pStyle w:val="10"/>
            </w:pPr>
            <w:r>
              <w:t>预算规模及资金用途</w:t>
            </w:r>
          </w:p>
        </w:tc>
        <w:tc>
          <w:tcPr>
            <w:tcW w:w="2268" w:type="dxa"/>
            <w:vAlign w:val="center"/>
          </w:tcPr>
          <w:p w14:paraId="38B2241F">
            <w:pPr>
              <w:pStyle w:val="10"/>
            </w:pPr>
            <w:r>
              <w:t>预算数</w:t>
            </w:r>
          </w:p>
        </w:tc>
        <w:tc>
          <w:tcPr>
            <w:tcW w:w="2835" w:type="dxa"/>
            <w:vAlign w:val="center"/>
          </w:tcPr>
          <w:p w14:paraId="44F07E60">
            <w:pPr>
              <w:pStyle w:val="12"/>
            </w:pPr>
            <w:r>
              <w:t>28.20</w:t>
            </w:r>
          </w:p>
        </w:tc>
        <w:tc>
          <w:tcPr>
            <w:tcW w:w="2835" w:type="dxa"/>
            <w:vAlign w:val="center"/>
          </w:tcPr>
          <w:p w14:paraId="464331D3">
            <w:pPr>
              <w:pStyle w:val="10"/>
            </w:pPr>
            <w:r>
              <w:t>其中：财政    资金</w:t>
            </w:r>
          </w:p>
        </w:tc>
        <w:tc>
          <w:tcPr>
            <w:tcW w:w="2551" w:type="dxa"/>
            <w:vAlign w:val="center"/>
          </w:tcPr>
          <w:p w14:paraId="462D3DC6">
            <w:pPr>
              <w:pStyle w:val="12"/>
            </w:pPr>
            <w:r>
              <w:t>28.20</w:t>
            </w:r>
          </w:p>
        </w:tc>
        <w:tc>
          <w:tcPr>
            <w:tcW w:w="2268" w:type="dxa"/>
            <w:vAlign w:val="center"/>
          </w:tcPr>
          <w:p w14:paraId="7EE4A9F0">
            <w:pPr>
              <w:pStyle w:val="10"/>
            </w:pPr>
            <w:r>
              <w:t>其他资金</w:t>
            </w:r>
          </w:p>
        </w:tc>
        <w:tc>
          <w:tcPr>
            <w:tcW w:w="1276" w:type="dxa"/>
            <w:vAlign w:val="center"/>
          </w:tcPr>
          <w:p w14:paraId="2ADF4D6A">
            <w:pPr>
              <w:pStyle w:val="12"/>
            </w:pPr>
            <w:r>
              <w:t xml:space="preserve"> </w:t>
            </w:r>
          </w:p>
        </w:tc>
      </w:tr>
      <w:tr w14:paraId="5033A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FCEB9"/>
        </w:tc>
        <w:tc>
          <w:tcPr>
            <w:tcW w:w="14033" w:type="dxa"/>
            <w:gridSpan w:val="6"/>
            <w:vAlign w:val="center"/>
          </w:tcPr>
          <w:p w14:paraId="1BF48B5B">
            <w:pPr>
              <w:pStyle w:val="12"/>
            </w:pPr>
            <w:r>
              <w:t>改善就学条件，提升学校形象，保障学生安全，创造良好的校园环境。</w:t>
            </w:r>
          </w:p>
        </w:tc>
      </w:tr>
      <w:tr w14:paraId="1C452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20AF2">
            <w:pPr>
              <w:pStyle w:val="10"/>
            </w:pPr>
            <w:r>
              <w:t>资金支出计划（%）</w:t>
            </w:r>
          </w:p>
        </w:tc>
        <w:tc>
          <w:tcPr>
            <w:tcW w:w="5103" w:type="dxa"/>
            <w:gridSpan w:val="2"/>
            <w:vAlign w:val="center"/>
          </w:tcPr>
          <w:p w14:paraId="7EB19682">
            <w:pPr>
              <w:pStyle w:val="10"/>
            </w:pPr>
            <w:r>
              <w:t>3月底</w:t>
            </w:r>
          </w:p>
        </w:tc>
        <w:tc>
          <w:tcPr>
            <w:tcW w:w="2835" w:type="dxa"/>
            <w:vAlign w:val="center"/>
          </w:tcPr>
          <w:p w14:paraId="1C72FE24">
            <w:pPr>
              <w:pStyle w:val="10"/>
            </w:pPr>
            <w:r>
              <w:t>6月底</w:t>
            </w:r>
          </w:p>
        </w:tc>
        <w:tc>
          <w:tcPr>
            <w:tcW w:w="2551" w:type="dxa"/>
            <w:vAlign w:val="center"/>
          </w:tcPr>
          <w:p w14:paraId="4572CBB9">
            <w:pPr>
              <w:pStyle w:val="10"/>
            </w:pPr>
            <w:r>
              <w:t>10月底</w:t>
            </w:r>
          </w:p>
        </w:tc>
        <w:tc>
          <w:tcPr>
            <w:tcW w:w="3544" w:type="dxa"/>
            <w:gridSpan w:val="2"/>
            <w:vAlign w:val="center"/>
          </w:tcPr>
          <w:p w14:paraId="7E4876EA">
            <w:pPr>
              <w:pStyle w:val="10"/>
            </w:pPr>
            <w:r>
              <w:t>12月底</w:t>
            </w:r>
          </w:p>
        </w:tc>
      </w:tr>
      <w:tr w14:paraId="33C7B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0D84D"/>
        </w:tc>
        <w:tc>
          <w:tcPr>
            <w:tcW w:w="5103" w:type="dxa"/>
            <w:gridSpan w:val="2"/>
            <w:vAlign w:val="center"/>
          </w:tcPr>
          <w:p w14:paraId="3E4214F6">
            <w:pPr>
              <w:pStyle w:val="13"/>
            </w:pPr>
            <w:r>
              <w:t xml:space="preserve"> </w:t>
            </w:r>
          </w:p>
        </w:tc>
        <w:tc>
          <w:tcPr>
            <w:tcW w:w="2835" w:type="dxa"/>
            <w:vAlign w:val="center"/>
          </w:tcPr>
          <w:p w14:paraId="33245D97">
            <w:pPr>
              <w:pStyle w:val="13"/>
            </w:pPr>
            <w:r>
              <w:t xml:space="preserve"> </w:t>
            </w:r>
          </w:p>
        </w:tc>
        <w:tc>
          <w:tcPr>
            <w:tcW w:w="2551" w:type="dxa"/>
            <w:vAlign w:val="center"/>
          </w:tcPr>
          <w:p w14:paraId="57DD933B">
            <w:pPr>
              <w:pStyle w:val="13"/>
            </w:pPr>
            <w:r>
              <w:t>100%</w:t>
            </w:r>
          </w:p>
        </w:tc>
        <w:tc>
          <w:tcPr>
            <w:tcW w:w="3544" w:type="dxa"/>
            <w:gridSpan w:val="2"/>
            <w:vAlign w:val="center"/>
          </w:tcPr>
          <w:p w14:paraId="58E6C774">
            <w:pPr>
              <w:pStyle w:val="13"/>
            </w:pPr>
            <w:r>
              <w:t>100%</w:t>
            </w:r>
          </w:p>
        </w:tc>
      </w:tr>
      <w:tr w14:paraId="66640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41EE7">
            <w:pPr>
              <w:pStyle w:val="10"/>
            </w:pPr>
            <w:r>
              <w:t>绩效目标</w:t>
            </w:r>
          </w:p>
        </w:tc>
        <w:tc>
          <w:tcPr>
            <w:tcW w:w="14033" w:type="dxa"/>
            <w:gridSpan w:val="6"/>
            <w:vAlign w:val="center"/>
          </w:tcPr>
          <w:p w14:paraId="42DD9214">
            <w:pPr>
              <w:pStyle w:val="12"/>
            </w:pPr>
            <w:r>
              <w:t>1.项目需资金28.2万元，资金拨付率达到100%。</w:t>
            </w:r>
          </w:p>
          <w:p w14:paraId="22C3F52D">
            <w:pPr>
              <w:pStyle w:val="12"/>
            </w:pPr>
            <w:r>
              <w:t>2.改善就学条件，提升学校形象，保障学生安全，创造良好的校园环境。</w:t>
            </w:r>
          </w:p>
        </w:tc>
      </w:tr>
    </w:tbl>
    <w:p w14:paraId="5E24E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C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584FC">
            <w:pPr>
              <w:pStyle w:val="10"/>
            </w:pPr>
            <w:r>
              <w:t>一级指标</w:t>
            </w:r>
          </w:p>
        </w:tc>
        <w:tc>
          <w:tcPr>
            <w:tcW w:w="2268" w:type="dxa"/>
            <w:vAlign w:val="center"/>
          </w:tcPr>
          <w:p w14:paraId="1F26968A">
            <w:pPr>
              <w:pStyle w:val="10"/>
            </w:pPr>
            <w:r>
              <w:t>二级指标</w:t>
            </w:r>
          </w:p>
        </w:tc>
        <w:tc>
          <w:tcPr>
            <w:tcW w:w="2835" w:type="dxa"/>
            <w:vAlign w:val="center"/>
          </w:tcPr>
          <w:p w14:paraId="25A59C93">
            <w:pPr>
              <w:pStyle w:val="10"/>
            </w:pPr>
            <w:r>
              <w:t>三级指标</w:t>
            </w:r>
          </w:p>
        </w:tc>
        <w:tc>
          <w:tcPr>
            <w:tcW w:w="5386" w:type="dxa"/>
            <w:vAlign w:val="center"/>
          </w:tcPr>
          <w:p w14:paraId="39A09D69">
            <w:pPr>
              <w:pStyle w:val="10"/>
            </w:pPr>
            <w:r>
              <w:t>绩效指标描述</w:t>
            </w:r>
          </w:p>
        </w:tc>
        <w:tc>
          <w:tcPr>
            <w:tcW w:w="2268" w:type="dxa"/>
            <w:vAlign w:val="center"/>
          </w:tcPr>
          <w:p w14:paraId="7B66DD8A">
            <w:pPr>
              <w:pStyle w:val="10"/>
            </w:pPr>
            <w:r>
              <w:t>指标值</w:t>
            </w:r>
          </w:p>
        </w:tc>
        <w:tc>
          <w:tcPr>
            <w:tcW w:w="1276" w:type="dxa"/>
            <w:vAlign w:val="center"/>
          </w:tcPr>
          <w:p w14:paraId="7102DABB">
            <w:pPr>
              <w:pStyle w:val="10"/>
            </w:pPr>
            <w:r>
              <w:t>指标值确定依据</w:t>
            </w:r>
          </w:p>
        </w:tc>
      </w:tr>
      <w:tr w14:paraId="453F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FF195">
            <w:pPr>
              <w:pStyle w:val="13"/>
            </w:pPr>
            <w:r>
              <w:t>产出指标</w:t>
            </w:r>
          </w:p>
        </w:tc>
        <w:tc>
          <w:tcPr>
            <w:tcW w:w="2268" w:type="dxa"/>
            <w:vAlign w:val="center"/>
          </w:tcPr>
          <w:p w14:paraId="22A415B8">
            <w:pPr>
              <w:pStyle w:val="12"/>
            </w:pPr>
            <w:r>
              <w:t>数量指标</w:t>
            </w:r>
          </w:p>
        </w:tc>
        <w:tc>
          <w:tcPr>
            <w:tcW w:w="2835" w:type="dxa"/>
            <w:vAlign w:val="center"/>
          </w:tcPr>
          <w:p w14:paraId="08A29C06">
            <w:pPr>
              <w:pStyle w:val="12"/>
            </w:pPr>
            <w:r>
              <w:t>固城中学防霸凌报警系统</w:t>
            </w:r>
          </w:p>
        </w:tc>
        <w:tc>
          <w:tcPr>
            <w:tcW w:w="5386" w:type="dxa"/>
            <w:vAlign w:val="center"/>
          </w:tcPr>
          <w:p w14:paraId="73881616">
            <w:pPr>
              <w:pStyle w:val="12"/>
            </w:pPr>
            <w:r>
              <w:t>安装防霸凌平台及警报器</w:t>
            </w:r>
          </w:p>
        </w:tc>
        <w:tc>
          <w:tcPr>
            <w:tcW w:w="2268" w:type="dxa"/>
            <w:vAlign w:val="center"/>
          </w:tcPr>
          <w:p w14:paraId="0EC093F9">
            <w:pPr>
              <w:pStyle w:val="12"/>
            </w:pPr>
            <w:r>
              <w:t>1项</w:t>
            </w:r>
          </w:p>
        </w:tc>
        <w:tc>
          <w:tcPr>
            <w:tcW w:w="1276" w:type="dxa"/>
            <w:vAlign w:val="center"/>
          </w:tcPr>
          <w:p w14:paraId="407693BB">
            <w:pPr>
              <w:pStyle w:val="12"/>
            </w:pPr>
            <w:r>
              <w:t>项目规划</w:t>
            </w:r>
          </w:p>
        </w:tc>
      </w:tr>
      <w:tr w14:paraId="522A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7059"/>
        </w:tc>
        <w:tc>
          <w:tcPr>
            <w:tcW w:w="2268" w:type="dxa"/>
            <w:vAlign w:val="center"/>
          </w:tcPr>
          <w:p w14:paraId="34301AAC">
            <w:pPr>
              <w:pStyle w:val="12"/>
            </w:pPr>
            <w:r>
              <w:t>质量指标</w:t>
            </w:r>
          </w:p>
        </w:tc>
        <w:tc>
          <w:tcPr>
            <w:tcW w:w="2835" w:type="dxa"/>
            <w:vAlign w:val="center"/>
          </w:tcPr>
          <w:p w14:paraId="415D3582">
            <w:pPr>
              <w:pStyle w:val="12"/>
            </w:pPr>
            <w:r>
              <w:t>工程实施验收合格率</w:t>
            </w:r>
          </w:p>
        </w:tc>
        <w:tc>
          <w:tcPr>
            <w:tcW w:w="5386" w:type="dxa"/>
            <w:vAlign w:val="center"/>
          </w:tcPr>
          <w:p w14:paraId="12E637B0">
            <w:pPr>
              <w:pStyle w:val="12"/>
            </w:pPr>
            <w:r>
              <w:t>申报程序的合规，项目实施及资金使用符合项目规划</w:t>
            </w:r>
          </w:p>
        </w:tc>
        <w:tc>
          <w:tcPr>
            <w:tcW w:w="2268" w:type="dxa"/>
            <w:vAlign w:val="center"/>
          </w:tcPr>
          <w:p w14:paraId="7A7402E3">
            <w:pPr>
              <w:pStyle w:val="12"/>
            </w:pPr>
            <w:r>
              <w:t>100%</w:t>
            </w:r>
          </w:p>
        </w:tc>
        <w:tc>
          <w:tcPr>
            <w:tcW w:w="1276" w:type="dxa"/>
            <w:vAlign w:val="center"/>
          </w:tcPr>
          <w:p w14:paraId="0E2AEFDE">
            <w:pPr>
              <w:pStyle w:val="12"/>
            </w:pPr>
            <w:r>
              <w:t>项目规划</w:t>
            </w:r>
          </w:p>
        </w:tc>
      </w:tr>
      <w:tr w14:paraId="4F2B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7DE95"/>
        </w:tc>
        <w:tc>
          <w:tcPr>
            <w:tcW w:w="2268" w:type="dxa"/>
            <w:vAlign w:val="center"/>
          </w:tcPr>
          <w:p w14:paraId="305242D7">
            <w:pPr>
              <w:pStyle w:val="12"/>
            </w:pPr>
            <w:r>
              <w:t>时效指标</w:t>
            </w:r>
          </w:p>
        </w:tc>
        <w:tc>
          <w:tcPr>
            <w:tcW w:w="2835" w:type="dxa"/>
            <w:vAlign w:val="center"/>
          </w:tcPr>
          <w:p w14:paraId="3C3AA3E5">
            <w:pPr>
              <w:pStyle w:val="12"/>
            </w:pPr>
            <w:r>
              <w:t>资金支付率</w:t>
            </w:r>
          </w:p>
        </w:tc>
        <w:tc>
          <w:tcPr>
            <w:tcW w:w="5386" w:type="dxa"/>
            <w:vAlign w:val="center"/>
          </w:tcPr>
          <w:p w14:paraId="7EDF1E80">
            <w:pPr>
              <w:pStyle w:val="12"/>
            </w:pPr>
            <w:r>
              <w:t>按照序时进度完成资金支付</w:t>
            </w:r>
          </w:p>
        </w:tc>
        <w:tc>
          <w:tcPr>
            <w:tcW w:w="2268" w:type="dxa"/>
            <w:vAlign w:val="center"/>
          </w:tcPr>
          <w:p w14:paraId="24BDA836">
            <w:pPr>
              <w:pStyle w:val="12"/>
            </w:pPr>
            <w:r>
              <w:t>100%</w:t>
            </w:r>
          </w:p>
        </w:tc>
        <w:tc>
          <w:tcPr>
            <w:tcW w:w="1276" w:type="dxa"/>
            <w:vAlign w:val="center"/>
          </w:tcPr>
          <w:p w14:paraId="7FB0DD90">
            <w:pPr>
              <w:pStyle w:val="12"/>
            </w:pPr>
            <w:r>
              <w:t>项目规划</w:t>
            </w:r>
          </w:p>
        </w:tc>
      </w:tr>
      <w:tr w14:paraId="3B97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2F7C0"/>
        </w:tc>
        <w:tc>
          <w:tcPr>
            <w:tcW w:w="2268" w:type="dxa"/>
            <w:vAlign w:val="center"/>
          </w:tcPr>
          <w:p w14:paraId="30F31C08">
            <w:pPr>
              <w:pStyle w:val="12"/>
            </w:pPr>
            <w:r>
              <w:t>成本指标</w:t>
            </w:r>
          </w:p>
        </w:tc>
        <w:tc>
          <w:tcPr>
            <w:tcW w:w="2835" w:type="dxa"/>
            <w:vAlign w:val="center"/>
          </w:tcPr>
          <w:p w14:paraId="08DFE310">
            <w:pPr>
              <w:pStyle w:val="12"/>
            </w:pPr>
            <w:r>
              <w:t>项目成本控制情况</w:t>
            </w:r>
          </w:p>
        </w:tc>
        <w:tc>
          <w:tcPr>
            <w:tcW w:w="5386" w:type="dxa"/>
            <w:vAlign w:val="center"/>
          </w:tcPr>
          <w:p w14:paraId="5418ED98">
            <w:pPr>
              <w:pStyle w:val="12"/>
            </w:pPr>
            <w:r>
              <w:t>严格按照招标价格及审计额进行</w:t>
            </w:r>
          </w:p>
        </w:tc>
        <w:tc>
          <w:tcPr>
            <w:tcW w:w="2268" w:type="dxa"/>
            <w:vAlign w:val="center"/>
          </w:tcPr>
          <w:p w14:paraId="1B384358">
            <w:pPr>
              <w:pStyle w:val="12"/>
            </w:pPr>
            <w:r>
              <w:t>28.2万元</w:t>
            </w:r>
          </w:p>
        </w:tc>
        <w:tc>
          <w:tcPr>
            <w:tcW w:w="1276" w:type="dxa"/>
            <w:vAlign w:val="center"/>
          </w:tcPr>
          <w:p w14:paraId="502A1CFB">
            <w:pPr>
              <w:pStyle w:val="12"/>
            </w:pPr>
            <w:r>
              <w:t>项目规划</w:t>
            </w:r>
          </w:p>
        </w:tc>
      </w:tr>
      <w:tr w14:paraId="2C92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11532">
            <w:pPr>
              <w:pStyle w:val="13"/>
            </w:pPr>
            <w:r>
              <w:t>效益指标</w:t>
            </w:r>
          </w:p>
        </w:tc>
        <w:tc>
          <w:tcPr>
            <w:tcW w:w="2268" w:type="dxa"/>
            <w:vAlign w:val="center"/>
          </w:tcPr>
          <w:p w14:paraId="62D9BC0F">
            <w:pPr>
              <w:pStyle w:val="12"/>
            </w:pPr>
            <w:r>
              <w:t>社会效益指标</w:t>
            </w:r>
          </w:p>
        </w:tc>
        <w:tc>
          <w:tcPr>
            <w:tcW w:w="2835" w:type="dxa"/>
            <w:vAlign w:val="center"/>
          </w:tcPr>
          <w:p w14:paraId="3350ED28">
            <w:pPr>
              <w:pStyle w:val="12"/>
            </w:pPr>
            <w:r>
              <w:t>学校办学环境提升</w:t>
            </w:r>
          </w:p>
        </w:tc>
        <w:tc>
          <w:tcPr>
            <w:tcW w:w="5386" w:type="dxa"/>
            <w:vAlign w:val="center"/>
          </w:tcPr>
          <w:p w14:paraId="11E74CBA">
            <w:pPr>
              <w:pStyle w:val="12"/>
            </w:pPr>
            <w:r>
              <w:t>学校教学环境提升优化率</w:t>
            </w:r>
          </w:p>
        </w:tc>
        <w:tc>
          <w:tcPr>
            <w:tcW w:w="2268" w:type="dxa"/>
            <w:vAlign w:val="center"/>
          </w:tcPr>
          <w:p w14:paraId="0008FBFD">
            <w:pPr>
              <w:pStyle w:val="12"/>
            </w:pPr>
            <w:r>
              <w:t>≥98%</w:t>
            </w:r>
          </w:p>
        </w:tc>
        <w:tc>
          <w:tcPr>
            <w:tcW w:w="1276" w:type="dxa"/>
            <w:vAlign w:val="center"/>
          </w:tcPr>
          <w:p w14:paraId="39060A84">
            <w:pPr>
              <w:pStyle w:val="12"/>
            </w:pPr>
            <w:r>
              <w:t>项目规划</w:t>
            </w:r>
          </w:p>
        </w:tc>
      </w:tr>
      <w:tr w14:paraId="1BBA7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5A887">
            <w:pPr>
              <w:pStyle w:val="13"/>
            </w:pPr>
            <w:r>
              <w:t>满意度指标</w:t>
            </w:r>
          </w:p>
        </w:tc>
        <w:tc>
          <w:tcPr>
            <w:tcW w:w="2268" w:type="dxa"/>
            <w:vAlign w:val="center"/>
          </w:tcPr>
          <w:p w14:paraId="3E080344">
            <w:pPr>
              <w:pStyle w:val="12"/>
            </w:pPr>
            <w:r>
              <w:t>服务对象满意度指标</w:t>
            </w:r>
          </w:p>
        </w:tc>
        <w:tc>
          <w:tcPr>
            <w:tcW w:w="2835" w:type="dxa"/>
            <w:vAlign w:val="center"/>
          </w:tcPr>
          <w:p w14:paraId="078D437C">
            <w:pPr>
              <w:pStyle w:val="12"/>
            </w:pPr>
            <w:r>
              <w:t>受益学生家长及调查满意度</w:t>
            </w:r>
          </w:p>
        </w:tc>
        <w:tc>
          <w:tcPr>
            <w:tcW w:w="5386" w:type="dxa"/>
            <w:vAlign w:val="center"/>
          </w:tcPr>
          <w:p w14:paraId="7D4BCFD7">
            <w:pPr>
              <w:pStyle w:val="12"/>
            </w:pPr>
            <w:r>
              <w:t>学生、教师及家长对学校教学环境满意度情况</w:t>
            </w:r>
          </w:p>
        </w:tc>
        <w:tc>
          <w:tcPr>
            <w:tcW w:w="2268" w:type="dxa"/>
            <w:vAlign w:val="center"/>
          </w:tcPr>
          <w:p w14:paraId="22014AC6">
            <w:pPr>
              <w:pStyle w:val="12"/>
            </w:pPr>
            <w:r>
              <w:t>≥95%</w:t>
            </w:r>
          </w:p>
        </w:tc>
        <w:tc>
          <w:tcPr>
            <w:tcW w:w="1276" w:type="dxa"/>
            <w:vAlign w:val="center"/>
          </w:tcPr>
          <w:p w14:paraId="2150CE29">
            <w:pPr>
              <w:pStyle w:val="12"/>
            </w:pPr>
            <w:r>
              <w:t>项目规划</w:t>
            </w:r>
          </w:p>
        </w:tc>
      </w:tr>
    </w:tbl>
    <w:p w14:paraId="60C4C260">
      <w:pPr>
        <w:sectPr>
          <w:pgSz w:w="16840" w:h="11900" w:orient="landscape"/>
          <w:pgMar w:top="1361" w:right="1020" w:bottom="1134" w:left="1020" w:header="720" w:footer="720" w:gutter="0"/>
          <w:cols w:space="720" w:num="1"/>
        </w:sectPr>
      </w:pPr>
    </w:p>
    <w:p w14:paraId="38E48400">
      <w:pPr>
        <w:spacing w:before="0" w:after="0"/>
        <w:ind w:firstLine="560"/>
        <w:jc w:val="left"/>
        <w:outlineLvl w:val="9"/>
      </w:pPr>
      <w:r>
        <w:rPr>
          <w:rFonts w:ascii="方正仿宋_GBK" w:hAnsi="方正仿宋_GBK" w:eastAsia="方正仿宋_GBK" w:cs="方正仿宋_GBK"/>
          <w:b/>
          <w:color w:val="000000"/>
          <w:sz w:val="28"/>
        </w:rPr>
        <w:t>6、县级配套/固城中学公用经费绩效目标表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C2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76948">
            <w:pPr>
              <w:pStyle w:val="11"/>
            </w:pPr>
            <w:r>
              <w:t>单位：万元</w:t>
            </w:r>
          </w:p>
        </w:tc>
      </w:tr>
      <w:tr w14:paraId="76C98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C0F40">
            <w:pPr>
              <w:pStyle w:val="10"/>
            </w:pPr>
            <w:r>
              <w:t>项目编码</w:t>
            </w:r>
          </w:p>
        </w:tc>
        <w:tc>
          <w:tcPr>
            <w:tcW w:w="5103" w:type="dxa"/>
            <w:gridSpan w:val="2"/>
            <w:vAlign w:val="center"/>
          </w:tcPr>
          <w:p w14:paraId="6822ACF5">
            <w:pPr>
              <w:pStyle w:val="12"/>
            </w:pPr>
            <w:r>
              <w:t>13052526P000004104113</w:t>
            </w:r>
          </w:p>
        </w:tc>
        <w:tc>
          <w:tcPr>
            <w:tcW w:w="2835" w:type="dxa"/>
            <w:vAlign w:val="center"/>
          </w:tcPr>
          <w:p w14:paraId="22D31C61">
            <w:pPr>
              <w:pStyle w:val="10"/>
            </w:pPr>
            <w:r>
              <w:t>项目名称</w:t>
            </w:r>
          </w:p>
        </w:tc>
        <w:tc>
          <w:tcPr>
            <w:tcW w:w="6095" w:type="dxa"/>
            <w:gridSpan w:val="3"/>
            <w:vAlign w:val="center"/>
          </w:tcPr>
          <w:p w14:paraId="2E7F5294">
            <w:pPr>
              <w:pStyle w:val="12"/>
            </w:pPr>
            <w:r>
              <w:t>县级配套/固城中学公用经费</w:t>
            </w:r>
          </w:p>
        </w:tc>
      </w:tr>
      <w:tr w14:paraId="7F7FE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EDCDF">
            <w:pPr>
              <w:pStyle w:val="10"/>
            </w:pPr>
            <w:r>
              <w:t>预算规模及资金用途</w:t>
            </w:r>
          </w:p>
        </w:tc>
        <w:tc>
          <w:tcPr>
            <w:tcW w:w="2268" w:type="dxa"/>
            <w:vAlign w:val="center"/>
          </w:tcPr>
          <w:p w14:paraId="27D6230C">
            <w:pPr>
              <w:pStyle w:val="10"/>
            </w:pPr>
            <w:r>
              <w:t>预算数</w:t>
            </w:r>
          </w:p>
        </w:tc>
        <w:tc>
          <w:tcPr>
            <w:tcW w:w="2835" w:type="dxa"/>
            <w:vAlign w:val="center"/>
          </w:tcPr>
          <w:p w14:paraId="6A4D90F7">
            <w:pPr>
              <w:pStyle w:val="12"/>
            </w:pPr>
            <w:r>
              <w:t>28.10</w:t>
            </w:r>
          </w:p>
        </w:tc>
        <w:tc>
          <w:tcPr>
            <w:tcW w:w="2835" w:type="dxa"/>
            <w:vAlign w:val="center"/>
          </w:tcPr>
          <w:p w14:paraId="4F2489AC">
            <w:pPr>
              <w:pStyle w:val="10"/>
            </w:pPr>
            <w:r>
              <w:t>其中：财政    资金</w:t>
            </w:r>
          </w:p>
        </w:tc>
        <w:tc>
          <w:tcPr>
            <w:tcW w:w="2551" w:type="dxa"/>
            <w:vAlign w:val="center"/>
          </w:tcPr>
          <w:p w14:paraId="4AC61174">
            <w:pPr>
              <w:pStyle w:val="12"/>
            </w:pPr>
            <w:r>
              <w:t>28.10</w:t>
            </w:r>
          </w:p>
        </w:tc>
        <w:tc>
          <w:tcPr>
            <w:tcW w:w="2268" w:type="dxa"/>
            <w:vAlign w:val="center"/>
          </w:tcPr>
          <w:p w14:paraId="14C34172">
            <w:pPr>
              <w:pStyle w:val="10"/>
            </w:pPr>
            <w:r>
              <w:t>其他资金</w:t>
            </w:r>
          </w:p>
        </w:tc>
        <w:tc>
          <w:tcPr>
            <w:tcW w:w="1276" w:type="dxa"/>
            <w:vAlign w:val="center"/>
          </w:tcPr>
          <w:p w14:paraId="418CA100">
            <w:pPr>
              <w:pStyle w:val="12"/>
            </w:pPr>
            <w:r>
              <w:t xml:space="preserve"> </w:t>
            </w:r>
          </w:p>
        </w:tc>
      </w:tr>
      <w:tr w14:paraId="170CF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EA4AB"/>
        </w:tc>
        <w:tc>
          <w:tcPr>
            <w:tcW w:w="14033" w:type="dxa"/>
            <w:gridSpan w:val="6"/>
            <w:vAlign w:val="center"/>
          </w:tcPr>
          <w:p w14:paraId="0FA20AC7">
            <w:pPr>
              <w:pStyle w:val="12"/>
            </w:pPr>
            <w:r>
              <w:t>按季度分批次拨付公用经费资金281000元，资金拨付率达到100%。</w:t>
            </w:r>
            <w:r>
              <w:tab/>
            </w:r>
          </w:p>
        </w:tc>
      </w:tr>
      <w:tr w14:paraId="57150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5997F">
            <w:pPr>
              <w:pStyle w:val="10"/>
            </w:pPr>
            <w:r>
              <w:t>资金支出计划（%）</w:t>
            </w:r>
          </w:p>
        </w:tc>
        <w:tc>
          <w:tcPr>
            <w:tcW w:w="5103" w:type="dxa"/>
            <w:gridSpan w:val="2"/>
            <w:vAlign w:val="center"/>
          </w:tcPr>
          <w:p w14:paraId="16CCD339">
            <w:pPr>
              <w:pStyle w:val="10"/>
            </w:pPr>
            <w:r>
              <w:t>3月底</w:t>
            </w:r>
          </w:p>
        </w:tc>
        <w:tc>
          <w:tcPr>
            <w:tcW w:w="2835" w:type="dxa"/>
            <w:vAlign w:val="center"/>
          </w:tcPr>
          <w:p w14:paraId="66F7632B">
            <w:pPr>
              <w:pStyle w:val="10"/>
            </w:pPr>
            <w:r>
              <w:t>6月底</w:t>
            </w:r>
          </w:p>
        </w:tc>
        <w:tc>
          <w:tcPr>
            <w:tcW w:w="2551" w:type="dxa"/>
            <w:vAlign w:val="center"/>
          </w:tcPr>
          <w:p w14:paraId="1705234B">
            <w:pPr>
              <w:pStyle w:val="10"/>
            </w:pPr>
            <w:r>
              <w:t>10月底</w:t>
            </w:r>
          </w:p>
        </w:tc>
        <w:tc>
          <w:tcPr>
            <w:tcW w:w="3544" w:type="dxa"/>
            <w:gridSpan w:val="2"/>
            <w:vAlign w:val="center"/>
          </w:tcPr>
          <w:p w14:paraId="47B2296A">
            <w:pPr>
              <w:pStyle w:val="10"/>
            </w:pPr>
            <w:r>
              <w:t>12月底</w:t>
            </w:r>
          </w:p>
        </w:tc>
      </w:tr>
      <w:tr w14:paraId="3DB99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3DC15"/>
        </w:tc>
        <w:tc>
          <w:tcPr>
            <w:tcW w:w="5103" w:type="dxa"/>
            <w:gridSpan w:val="2"/>
            <w:vAlign w:val="center"/>
          </w:tcPr>
          <w:p w14:paraId="324E0711">
            <w:pPr>
              <w:pStyle w:val="13"/>
            </w:pPr>
            <w:r>
              <w:t>25%</w:t>
            </w:r>
          </w:p>
        </w:tc>
        <w:tc>
          <w:tcPr>
            <w:tcW w:w="2835" w:type="dxa"/>
            <w:vAlign w:val="center"/>
          </w:tcPr>
          <w:p w14:paraId="796F97AE">
            <w:pPr>
              <w:pStyle w:val="13"/>
            </w:pPr>
            <w:r>
              <w:t>50%</w:t>
            </w:r>
          </w:p>
        </w:tc>
        <w:tc>
          <w:tcPr>
            <w:tcW w:w="2551" w:type="dxa"/>
            <w:vAlign w:val="center"/>
          </w:tcPr>
          <w:p w14:paraId="7156CEF7">
            <w:pPr>
              <w:pStyle w:val="13"/>
            </w:pPr>
            <w:r>
              <w:t>75%</w:t>
            </w:r>
          </w:p>
        </w:tc>
        <w:tc>
          <w:tcPr>
            <w:tcW w:w="3544" w:type="dxa"/>
            <w:gridSpan w:val="2"/>
            <w:vAlign w:val="center"/>
          </w:tcPr>
          <w:p w14:paraId="715FAECF">
            <w:pPr>
              <w:pStyle w:val="13"/>
            </w:pPr>
            <w:r>
              <w:t>100%</w:t>
            </w:r>
          </w:p>
        </w:tc>
      </w:tr>
      <w:tr w14:paraId="32335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E746B">
            <w:pPr>
              <w:pStyle w:val="10"/>
            </w:pPr>
            <w:r>
              <w:t>绩效目标</w:t>
            </w:r>
          </w:p>
        </w:tc>
        <w:tc>
          <w:tcPr>
            <w:tcW w:w="14033" w:type="dxa"/>
            <w:gridSpan w:val="6"/>
            <w:vAlign w:val="center"/>
          </w:tcPr>
          <w:p w14:paraId="782BC7C6">
            <w:pPr>
              <w:pStyle w:val="12"/>
            </w:pPr>
            <w:r>
              <w:t>1.按季度分批次拨付公用经费资金281000元，资金拨付率达到100%。</w:t>
            </w:r>
            <w:r>
              <w:tab/>
            </w:r>
            <w:r>
              <w:tab/>
            </w:r>
            <w:r>
              <w:tab/>
            </w:r>
            <w:r>
              <w:tab/>
            </w:r>
            <w:r>
              <w:tab/>
            </w:r>
            <w:r>
              <w:tab/>
            </w:r>
          </w:p>
          <w:p w14:paraId="2C4B0CD2">
            <w:pPr>
              <w:pStyle w:val="12"/>
            </w:pPr>
          </w:p>
          <w:p w14:paraId="4CF34662">
            <w:pPr>
              <w:pStyle w:val="12"/>
            </w:pPr>
            <w:r>
              <w:t>2."保障义务教育学校正常运转，完成教育教学活动和其他日常工作任务等方面的费用支出。</w:t>
            </w:r>
            <w:r>
              <w:tab/>
            </w:r>
            <w:r>
              <w:tab/>
            </w:r>
            <w:r>
              <w:tab/>
            </w:r>
          </w:p>
          <w:p w14:paraId="7200C32D">
            <w:pPr>
              <w:pStyle w:val="12"/>
            </w:pPr>
            <w:r>
              <w:t>"</w:t>
            </w:r>
            <w:r>
              <w:tab/>
            </w:r>
            <w:r>
              <w:tab/>
            </w:r>
            <w:r>
              <w:tab/>
            </w:r>
            <w:r>
              <w:tab/>
            </w:r>
            <w:r>
              <w:tab/>
            </w:r>
            <w:r>
              <w:tab/>
            </w:r>
          </w:p>
          <w:p w14:paraId="70C8D983">
            <w:pPr>
              <w:pStyle w:val="12"/>
            </w:pPr>
          </w:p>
        </w:tc>
      </w:tr>
    </w:tbl>
    <w:p w14:paraId="68E1CC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FD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E9A21">
            <w:pPr>
              <w:pStyle w:val="10"/>
            </w:pPr>
            <w:r>
              <w:t>一级指标</w:t>
            </w:r>
          </w:p>
        </w:tc>
        <w:tc>
          <w:tcPr>
            <w:tcW w:w="2268" w:type="dxa"/>
            <w:vAlign w:val="center"/>
          </w:tcPr>
          <w:p w14:paraId="0477EF33">
            <w:pPr>
              <w:pStyle w:val="10"/>
            </w:pPr>
            <w:r>
              <w:t>二级指标</w:t>
            </w:r>
          </w:p>
        </w:tc>
        <w:tc>
          <w:tcPr>
            <w:tcW w:w="2835" w:type="dxa"/>
            <w:vAlign w:val="center"/>
          </w:tcPr>
          <w:p w14:paraId="27A8D65E">
            <w:pPr>
              <w:pStyle w:val="10"/>
            </w:pPr>
            <w:r>
              <w:t>三级指标</w:t>
            </w:r>
          </w:p>
        </w:tc>
        <w:tc>
          <w:tcPr>
            <w:tcW w:w="5386" w:type="dxa"/>
            <w:vAlign w:val="center"/>
          </w:tcPr>
          <w:p w14:paraId="3F9ACF2F">
            <w:pPr>
              <w:pStyle w:val="10"/>
            </w:pPr>
            <w:r>
              <w:t>绩效指标描述</w:t>
            </w:r>
          </w:p>
        </w:tc>
        <w:tc>
          <w:tcPr>
            <w:tcW w:w="2268" w:type="dxa"/>
            <w:vAlign w:val="center"/>
          </w:tcPr>
          <w:p w14:paraId="010E9D02">
            <w:pPr>
              <w:pStyle w:val="10"/>
            </w:pPr>
            <w:r>
              <w:t>指标值</w:t>
            </w:r>
          </w:p>
        </w:tc>
        <w:tc>
          <w:tcPr>
            <w:tcW w:w="1276" w:type="dxa"/>
            <w:vAlign w:val="center"/>
          </w:tcPr>
          <w:p w14:paraId="14C5B703">
            <w:pPr>
              <w:pStyle w:val="10"/>
            </w:pPr>
            <w:r>
              <w:t>指标值确定依据</w:t>
            </w:r>
          </w:p>
        </w:tc>
      </w:tr>
      <w:tr w14:paraId="4D2CF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DE651">
            <w:pPr>
              <w:pStyle w:val="13"/>
            </w:pPr>
            <w:r>
              <w:t>产出指标</w:t>
            </w:r>
          </w:p>
        </w:tc>
        <w:tc>
          <w:tcPr>
            <w:tcW w:w="2268" w:type="dxa"/>
            <w:vAlign w:val="center"/>
          </w:tcPr>
          <w:p w14:paraId="26620A91">
            <w:pPr>
              <w:pStyle w:val="12"/>
            </w:pPr>
            <w:r>
              <w:t>数量指标</w:t>
            </w:r>
          </w:p>
        </w:tc>
        <w:tc>
          <w:tcPr>
            <w:tcW w:w="2835" w:type="dxa"/>
            <w:vAlign w:val="center"/>
          </w:tcPr>
          <w:p w14:paraId="09B7DF5C">
            <w:pPr>
              <w:pStyle w:val="12"/>
            </w:pPr>
            <w:r>
              <w:t>适龄在校生</w:t>
            </w:r>
          </w:p>
        </w:tc>
        <w:tc>
          <w:tcPr>
            <w:tcW w:w="5386" w:type="dxa"/>
            <w:vAlign w:val="center"/>
          </w:tcPr>
          <w:p w14:paraId="4D5CDF34">
            <w:pPr>
              <w:pStyle w:val="12"/>
            </w:pPr>
            <w:r>
              <w:t>适龄在校就读学生人数</w:t>
            </w:r>
          </w:p>
        </w:tc>
        <w:tc>
          <w:tcPr>
            <w:tcW w:w="2268" w:type="dxa"/>
            <w:vAlign w:val="center"/>
          </w:tcPr>
          <w:p w14:paraId="49A5DE80">
            <w:pPr>
              <w:pStyle w:val="12"/>
            </w:pPr>
            <w:r>
              <w:t>2100人</w:t>
            </w:r>
          </w:p>
        </w:tc>
        <w:tc>
          <w:tcPr>
            <w:tcW w:w="1276" w:type="dxa"/>
            <w:vAlign w:val="center"/>
          </w:tcPr>
          <w:p w14:paraId="55C06DC8">
            <w:pPr>
              <w:pStyle w:val="12"/>
            </w:pPr>
            <w:r>
              <w:t>城乡义务教育公用经费管理办法</w:t>
            </w:r>
          </w:p>
        </w:tc>
      </w:tr>
      <w:tr w14:paraId="55DC8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1602C"/>
        </w:tc>
        <w:tc>
          <w:tcPr>
            <w:tcW w:w="2268" w:type="dxa"/>
            <w:vAlign w:val="center"/>
          </w:tcPr>
          <w:p w14:paraId="5ECF37E6">
            <w:pPr>
              <w:pStyle w:val="12"/>
            </w:pPr>
            <w:r>
              <w:t>质量指标</w:t>
            </w:r>
          </w:p>
        </w:tc>
        <w:tc>
          <w:tcPr>
            <w:tcW w:w="2835" w:type="dxa"/>
            <w:vAlign w:val="center"/>
          </w:tcPr>
          <w:p w14:paraId="123B3CCE">
            <w:pPr>
              <w:pStyle w:val="12"/>
            </w:pPr>
            <w:r>
              <w:t>预算控制率</w:t>
            </w:r>
          </w:p>
          <w:p w14:paraId="40B182DA">
            <w:pPr>
              <w:pStyle w:val="12"/>
            </w:pPr>
          </w:p>
        </w:tc>
        <w:tc>
          <w:tcPr>
            <w:tcW w:w="5386" w:type="dxa"/>
            <w:vAlign w:val="center"/>
          </w:tcPr>
          <w:p w14:paraId="26DC34F2">
            <w:pPr>
              <w:pStyle w:val="12"/>
            </w:pPr>
            <w:r>
              <w:t>预算执行率</w:t>
            </w:r>
          </w:p>
        </w:tc>
        <w:tc>
          <w:tcPr>
            <w:tcW w:w="2268" w:type="dxa"/>
            <w:vAlign w:val="center"/>
          </w:tcPr>
          <w:p w14:paraId="3A82C1CB">
            <w:pPr>
              <w:pStyle w:val="12"/>
            </w:pPr>
            <w:r>
              <w:t>≥95%</w:t>
            </w:r>
          </w:p>
        </w:tc>
        <w:tc>
          <w:tcPr>
            <w:tcW w:w="1276" w:type="dxa"/>
            <w:vAlign w:val="center"/>
          </w:tcPr>
          <w:p w14:paraId="1A885B56">
            <w:pPr>
              <w:pStyle w:val="12"/>
            </w:pPr>
            <w:r>
              <w:t>城乡义务教育公用经费管理办法</w:t>
            </w:r>
          </w:p>
        </w:tc>
      </w:tr>
      <w:tr w14:paraId="056B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989E9"/>
        </w:tc>
        <w:tc>
          <w:tcPr>
            <w:tcW w:w="2268" w:type="dxa"/>
            <w:vAlign w:val="center"/>
          </w:tcPr>
          <w:p w14:paraId="7BA7DF53">
            <w:pPr>
              <w:pStyle w:val="12"/>
            </w:pPr>
            <w:r>
              <w:t>时效指标</w:t>
            </w:r>
          </w:p>
        </w:tc>
        <w:tc>
          <w:tcPr>
            <w:tcW w:w="2835" w:type="dxa"/>
            <w:vAlign w:val="center"/>
          </w:tcPr>
          <w:p w14:paraId="295F2419">
            <w:pPr>
              <w:pStyle w:val="12"/>
            </w:pPr>
            <w:r>
              <w:t>资金支付率</w:t>
            </w:r>
          </w:p>
        </w:tc>
        <w:tc>
          <w:tcPr>
            <w:tcW w:w="5386" w:type="dxa"/>
            <w:vAlign w:val="center"/>
          </w:tcPr>
          <w:p w14:paraId="170BFBF4">
            <w:pPr>
              <w:pStyle w:val="12"/>
            </w:pPr>
            <w:r>
              <w:t>按照序时进度完成资金支付</w:t>
            </w:r>
          </w:p>
        </w:tc>
        <w:tc>
          <w:tcPr>
            <w:tcW w:w="2268" w:type="dxa"/>
            <w:vAlign w:val="center"/>
          </w:tcPr>
          <w:p w14:paraId="46EE457A">
            <w:pPr>
              <w:pStyle w:val="12"/>
            </w:pPr>
            <w:r>
              <w:t>100%</w:t>
            </w:r>
          </w:p>
        </w:tc>
        <w:tc>
          <w:tcPr>
            <w:tcW w:w="1276" w:type="dxa"/>
            <w:vAlign w:val="center"/>
          </w:tcPr>
          <w:p w14:paraId="4894B431">
            <w:pPr>
              <w:pStyle w:val="12"/>
            </w:pPr>
            <w:r>
              <w:t>城乡义务教育公用经费管理办法</w:t>
            </w:r>
          </w:p>
        </w:tc>
      </w:tr>
      <w:tr w14:paraId="4E88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87148"/>
        </w:tc>
        <w:tc>
          <w:tcPr>
            <w:tcW w:w="2268" w:type="dxa"/>
            <w:vAlign w:val="center"/>
          </w:tcPr>
          <w:p w14:paraId="6359A636">
            <w:pPr>
              <w:pStyle w:val="12"/>
            </w:pPr>
            <w:r>
              <w:t>成本指标</w:t>
            </w:r>
          </w:p>
        </w:tc>
        <w:tc>
          <w:tcPr>
            <w:tcW w:w="2835" w:type="dxa"/>
            <w:vAlign w:val="center"/>
          </w:tcPr>
          <w:p w14:paraId="1B3F0F9D">
            <w:pPr>
              <w:pStyle w:val="12"/>
            </w:pPr>
            <w:r>
              <w:t>生均拨款标准</w:t>
            </w:r>
          </w:p>
        </w:tc>
        <w:tc>
          <w:tcPr>
            <w:tcW w:w="5386" w:type="dxa"/>
            <w:vAlign w:val="center"/>
          </w:tcPr>
          <w:p w14:paraId="20D5FF8C">
            <w:pPr>
              <w:pStyle w:val="12"/>
            </w:pPr>
            <w:r>
              <w:t>初中补助拨款标准</w:t>
            </w:r>
          </w:p>
        </w:tc>
        <w:tc>
          <w:tcPr>
            <w:tcW w:w="2268" w:type="dxa"/>
            <w:vAlign w:val="center"/>
          </w:tcPr>
          <w:p w14:paraId="52427615">
            <w:pPr>
              <w:pStyle w:val="12"/>
            </w:pPr>
            <w:r>
              <w:t>1360元</w:t>
            </w:r>
          </w:p>
        </w:tc>
        <w:tc>
          <w:tcPr>
            <w:tcW w:w="1276" w:type="dxa"/>
            <w:vAlign w:val="center"/>
          </w:tcPr>
          <w:p w14:paraId="3D1DEB4B">
            <w:pPr>
              <w:pStyle w:val="12"/>
            </w:pPr>
            <w:r>
              <w:t>城乡义务教育公用经费管理办法</w:t>
            </w:r>
          </w:p>
        </w:tc>
      </w:tr>
      <w:tr w14:paraId="321D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4F073"/>
        </w:tc>
        <w:tc>
          <w:tcPr>
            <w:tcW w:w="2268" w:type="dxa"/>
            <w:vAlign w:val="center"/>
          </w:tcPr>
          <w:p w14:paraId="73BBB4C6">
            <w:pPr>
              <w:pStyle w:val="12"/>
            </w:pPr>
            <w:r>
              <w:t>成本指标</w:t>
            </w:r>
          </w:p>
        </w:tc>
        <w:tc>
          <w:tcPr>
            <w:tcW w:w="2835" w:type="dxa"/>
            <w:vAlign w:val="center"/>
          </w:tcPr>
          <w:p w14:paraId="3A656E01">
            <w:pPr>
              <w:pStyle w:val="12"/>
            </w:pPr>
            <w:r>
              <w:t>生均拨款标准</w:t>
            </w:r>
          </w:p>
        </w:tc>
        <w:tc>
          <w:tcPr>
            <w:tcW w:w="5386" w:type="dxa"/>
            <w:vAlign w:val="center"/>
          </w:tcPr>
          <w:p w14:paraId="01861C00">
            <w:pPr>
              <w:pStyle w:val="12"/>
            </w:pPr>
            <w:r>
              <w:t>随班就读学生生均补助年标准</w:t>
            </w:r>
          </w:p>
        </w:tc>
        <w:tc>
          <w:tcPr>
            <w:tcW w:w="2268" w:type="dxa"/>
            <w:vAlign w:val="center"/>
          </w:tcPr>
          <w:p w14:paraId="3946FB26">
            <w:pPr>
              <w:pStyle w:val="12"/>
            </w:pPr>
            <w:r>
              <w:t>7000元</w:t>
            </w:r>
          </w:p>
        </w:tc>
        <w:tc>
          <w:tcPr>
            <w:tcW w:w="1276" w:type="dxa"/>
            <w:vAlign w:val="center"/>
          </w:tcPr>
          <w:p w14:paraId="58E3CDBB">
            <w:pPr>
              <w:pStyle w:val="12"/>
            </w:pPr>
            <w:r>
              <w:t>城乡义务教育公用经费管理办法</w:t>
            </w:r>
          </w:p>
        </w:tc>
      </w:tr>
      <w:tr w14:paraId="1FDC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A6DC5">
            <w:pPr>
              <w:pStyle w:val="13"/>
            </w:pPr>
            <w:r>
              <w:t>效益指标</w:t>
            </w:r>
          </w:p>
        </w:tc>
        <w:tc>
          <w:tcPr>
            <w:tcW w:w="2268" w:type="dxa"/>
            <w:vAlign w:val="center"/>
          </w:tcPr>
          <w:p w14:paraId="53584D9A">
            <w:pPr>
              <w:pStyle w:val="12"/>
            </w:pPr>
            <w:r>
              <w:t>经济效益指标</w:t>
            </w:r>
          </w:p>
        </w:tc>
        <w:tc>
          <w:tcPr>
            <w:tcW w:w="2835" w:type="dxa"/>
            <w:vAlign w:val="center"/>
          </w:tcPr>
          <w:p w14:paraId="7B2B25B4">
            <w:pPr>
              <w:pStyle w:val="12"/>
            </w:pPr>
            <w:r>
              <w:t>项目实施成果</w:t>
            </w:r>
          </w:p>
        </w:tc>
        <w:tc>
          <w:tcPr>
            <w:tcW w:w="5386" w:type="dxa"/>
            <w:vAlign w:val="center"/>
          </w:tcPr>
          <w:p w14:paraId="192165CA">
            <w:pPr>
              <w:pStyle w:val="12"/>
            </w:pPr>
            <w:r>
              <w:t>有效减轻受教育学生家庭经济负担</w:t>
            </w:r>
            <w:r>
              <w:rPr>
                <w:rFonts w:hint="eastAsia"/>
                <w:lang w:eastAsia="zh-CN"/>
              </w:rPr>
              <w:t>，</w:t>
            </w:r>
            <w:r>
              <w:t>提高学生入学人数</w:t>
            </w:r>
          </w:p>
        </w:tc>
        <w:tc>
          <w:tcPr>
            <w:tcW w:w="2268" w:type="dxa"/>
            <w:vAlign w:val="center"/>
          </w:tcPr>
          <w:p w14:paraId="3B2BC8A8">
            <w:pPr>
              <w:pStyle w:val="12"/>
            </w:pPr>
            <w:r>
              <w:t>2100人</w:t>
            </w:r>
          </w:p>
        </w:tc>
        <w:tc>
          <w:tcPr>
            <w:tcW w:w="1276" w:type="dxa"/>
            <w:vAlign w:val="center"/>
          </w:tcPr>
          <w:p w14:paraId="0B14782A">
            <w:pPr>
              <w:pStyle w:val="12"/>
            </w:pPr>
            <w:r>
              <w:t>城乡义务教育公用经费管理办法</w:t>
            </w:r>
          </w:p>
        </w:tc>
      </w:tr>
      <w:tr w14:paraId="507B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AB42C"/>
        </w:tc>
        <w:tc>
          <w:tcPr>
            <w:tcW w:w="2268" w:type="dxa"/>
            <w:vAlign w:val="center"/>
          </w:tcPr>
          <w:p w14:paraId="3B3C1F72">
            <w:pPr>
              <w:pStyle w:val="12"/>
            </w:pPr>
            <w:r>
              <w:t>可持续影响指标</w:t>
            </w:r>
          </w:p>
        </w:tc>
        <w:tc>
          <w:tcPr>
            <w:tcW w:w="2835" w:type="dxa"/>
            <w:vAlign w:val="center"/>
          </w:tcPr>
          <w:p w14:paraId="7B93EF2C">
            <w:pPr>
              <w:pStyle w:val="12"/>
            </w:pPr>
            <w:r>
              <w:t>学校日常运转正常</w:t>
            </w:r>
          </w:p>
        </w:tc>
        <w:tc>
          <w:tcPr>
            <w:tcW w:w="5386" w:type="dxa"/>
            <w:vAlign w:val="center"/>
          </w:tcPr>
          <w:p w14:paraId="2D0B01D0">
            <w:pPr>
              <w:pStyle w:val="12"/>
            </w:pPr>
            <w:r>
              <w:t>学生受教育年限</w:t>
            </w:r>
          </w:p>
        </w:tc>
        <w:tc>
          <w:tcPr>
            <w:tcW w:w="2268" w:type="dxa"/>
            <w:vAlign w:val="center"/>
          </w:tcPr>
          <w:p w14:paraId="0CB09568">
            <w:pPr>
              <w:pStyle w:val="12"/>
            </w:pPr>
            <w:r>
              <w:t>3年</w:t>
            </w:r>
          </w:p>
        </w:tc>
        <w:tc>
          <w:tcPr>
            <w:tcW w:w="1276" w:type="dxa"/>
            <w:vAlign w:val="center"/>
          </w:tcPr>
          <w:p w14:paraId="6D49E313">
            <w:pPr>
              <w:pStyle w:val="12"/>
            </w:pPr>
            <w:r>
              <w:t>城乡义务教育公用经费管理办法</w:t>
            </w:r>
          </w:p>
        </w:tc>
      </w:tr>
      <w:tr w14:paraId="649F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03437">
            <w:pPr>
              <w:pStyle w:val="13"/>
            </w:pPr>
            <w:r>
              <w:t>满意度指标</w:t>
            </w:r>
          </w:p>
        </w:tc>
        <w:tc>
          <w:tcPr>
            <w:tcW w:w="2268" w:type="dxa"/>
            <w:vAlign w:val="center"/>
          </w:tcPr>
          <w:p w14:paraId="21025F63">
            <w:pPr>
              <w:pStyle w:val="12"/>
            </w:pPr>
            <w:r>
              <w:t>服务对象满意度指标</w:t>
            </w:r>
          </w:p>
        </w:tc>
        <w:tc>
          <w:tcPr>
            <w:tcW w:w="2835" w:type="dxa"/>
            <w:vAlign w:val="center"/>
          </w:tcPr>
          <w:p w14:paraId="0FF4A08C">
            <w:pPr>
              <w:pStyle w:val="12"/>
            </w:pPr>
            <w:r>
              <w:t>受益学生家长及调查满意度</w:t>
            </w:r>
          </w:p>
        </w:tc>
        <w:tc>
          <w:tcPr>
            <w:tcW w:w="5386" w:type="dxa"/>
            <w:vAlign w:val="center"/>
          </w:tcPr>
          <w:p w14:paraId="31C2D796">
            <w:pPr>
              <w:pStyle w:val="12"/>
            </w:pPr>
            <w:r>
              <w:t>学生、教师及家长对学校教育教学工作满意度情况</w:t>
            </w:r>
          </w:p>
        </w:tc>
        <w:tc>
          <w:tcPr>
            <w:tcW w:w="2268" w:type="dxa"/>
            <w:vAlign w:val="center"/>
          </w:tcPr>
          <w:p w14:paraId="077C5D40">
            <w:pPr>
              <w:pStyle w:val="12"/>
            </w:pPr>
            <w:r>
              <w:t>≥95%</w:t>
            </w:r>
          </w:p>
        </w:tc>
        <w:tc>
          <w:tcPr>
            <w:tcW w:w="1276" w:type="dxa"/>
            <w:vAlign w:val="center"/>
          </w:tcPr>
          <w:p w14:paraId="77E8BDEA">
            <w:pPr>
              <w:pStyle w:val="12"/>
            </w:pPr>
            <w:r>
              <w:t>城乡义务教育公用经费管理办法</w:t>
            </w:r>
          </w:p>
        </w:tc>
      </w:tr>
    </w:tbl>
    <w:p w14:paraId="3F2CB8F2">
      <w:pPr>
        <w:sectPr>
          <w:pgSz w:w="16840" w:h="11900" w:orient="landscape"/>
          <w:pgMar w:top="1361" w:right="1020" w:bottom="1134" w:left="1020" w:header="720" w:footer="720" w:gutter="0"/>
          <w:cols w:space="720" w:num="1"/>
        </w:sectPr>
      </w:pPr>
    </w:p>
    <w:p w14:paraId="19EEA849">
      <w:pPr>
        <w:spacing w:before="10" w:after="10" w:line="240" w:lineRule="auto"/>
        <w:ind w:firstLine="640"/>
        <w:jc w:val="left"/>
        <w:outlineLvl w:val="5"/>
      </w:pPr>
      <w:r>
        <w:rPr>
          <w:rFonts w:ascii="黑体" w:hAnsi="黑体" w:eastAsia="黑体" w:cs="黑体"/>
          <w:color w:val="000000"/>
          <w:sz w:val="32"/>
        </w:rPr>
        <w:t>六、政府采购预算情况</w:t>
      </w:r>
    </w:p>
    <w:p w14:paraId="3348CBD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91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936F96">
            <w:pPr>
              <w:pStyle w:val="9"/>
            </w:pPr>
            <w:r>
              <w:t>360010隆尧县固城中学</w:t>
            </w:r>
          </w:p>
        </w:tc>
        <w:tc>
          <w:tcPr>
            <w:tcW w:w="8676" w:type="dxa"/>
            <w:gridSpan w:val="9"/>
            <w:tcBorders>
              <w:top w:val="single" w:color="FFFFFF" w:sz="6" w:space="0"/>
              <w:left w:val="single" w:color="FFFFFF" w:sz="6" w:space="0"/>
              <w:right w:val="single" w:color="FFFFFF" w:sz="6" w:space="0"/>
            </w:tcBorders>
            <w:vAlign w:val="center"/>
          </w:tcPr>
          <w:p w14:paraId="06BE1314">
            <w:pPr>
              <w:pStyle w:val="21"/>
            </w:pPr>
            <w:r>
              <w:t>单位：万元</w:t>
            </w:r>
          </w:p>
        </w:tc>
      </w:tr>
      <w:tr w14:paraId="133F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54B7EC">
            <w:pPr>
              <w:pStyle w:val="10"/>
            </w:pPr>
            <w:r>
              <w:t>政府采购项目来源</w:t>
            </w:r>
          </w:p>
        </w:tc>
        <w:tc>
          <w:tcPr>
            <w:tcW w:w="1134" w:type="dxa"/>
            <w:vMerge w:val="restart"/>
            <w:vAlign w:val="center"/>
          </w:tcPr>
          <w:p w14:paraId="62C6E113">
            <w:pPr>
              <w:pStyle w:val="10"/>
            </w:pPr>
            <w:r>
              <w:t>采购物品名称</w:t>
            </w:r>
          </w:p>
        </w:tc>
        <w:tc>
          <w:tcPr>
            <w:tcW w:w="1134" w:type="dxa"/>
            <w:vMerge w:val="restart"/>
            <w:vAlign w:val="center"/>
          </w:tcPr>
          <w:p w14:paraId="06465FE7">
            <w:pPr>
              <w:pStyle w:val="10"/>
            </w:pPr>
            <w:r>
              <w:t>政府采购目录序号</w:t>
            </w:r>
          </w:p>
        </w:tc>
        <w:tc>
          <w:tcPr>
            <w:tcW w:w="709" w:type="dxa"/>
            <w:vMerge w:val="restart"/>
            <w:vAlign w:val="center"/>
          </w:tcPr>
          <w:p w14:paraId="6F68B242">
            <w:pPr>
              <w:pStyle w:val="10"/>
            </w:pPr>
            <w:r>
              <w:t>计量  单位</w:t>
            </w:r>
          </w:p>
        </w:tc>
        <w:tc>
          <w:tcPr>
            <w:tcW w:w="850" w:type="dxa"/>
            <w:vMerge w:val="restart"/>
            <w:vAlign w:val="center"/>
          </w:tcPr>
          <w:p w14:paraId="638E6838">
            <w:pPr>
              <w:pStyle w:val="10"/>
            </w:pPr>
            <w:r>
              <w:t>数量</w:t>
            </w:r>
          </w:p>
        </w:tc>
        <w:tc>
          <w:tcPr>
            <w:tcW w:w="850" w:type="dxa"/>
            <w:vMerge w:val="restart"/>
            <w:vAlign w:val="center"/>
          </w:tcPr>
          <w:p w14:paraId="26D03153">
            <w:pPr>
              <w:pStyle w:val="10"/>
            </w:pPr>
            <w:r>
              <w:t>单价</w:t>
            </w:r>
          </w:p>
        </w:tc>
        <w:tc>
          <w:tcPr>
            <w:tcW w:w="7712" w:type="dxa"/>
            <w:gridSpan w:val="8"/>
            <w:vAlign w:val="center"/>
          </w:tcPr>
          <w:p w14:paraId="28C05B81">
            <w:pPr>
              <w:pStyle w:val="10"/>
            </w:pPr>
            <w:r>
              <w:t>政府采购金额（当年部门预算安排资金）</w:t>
            </w:r>
          </w:p>
        </w:tc>
        <w:tc>
          <w:tcPr>
            <w:tcW w:w="964" w:type="dxa"/>
            <w:vMerge w:val="restart"/>
            <w:vAlign w:val="center"/>
          </w:tcPr>
          <w:p w14:paraId="57CAACFC">
            <w:pPr>
              <w:pStyle w:val="10"/>
            </w:pPr>
            <w:r>
              <w:t>2026年  预留中  小微企  业份额</w:t>
            </w:r>
          </w:p>
        </w:tc>
      </w:tr>
      <w:tr w14:paraId="1A23E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8EE116">
            <w:pPr>
              <w:pStyle w:val="10"/>
            </w:pPr>
            <w:r>
              <w:t>项目名称</w:t>
            </w:r>
          </w:p>
        </w:tc>
        <w:tc>
          <w:tcPr>
            <w:tcW w:w="964" w:type="dxa"/>
            <w:vAlign w:val="center"/>
          </w:tcPr>
          <w:p w14:paraId="47335217">
            <w:pPr>
              <w:pStyle w:val="10"/>
            </w:pPr>
            <w:r>
              <w:t>预算    资金</w:t>
            </w:r>
          </w:p>
        </w:tc>
        <w:tc>
          <w:tcPr>
            <w:tcW w:w="1134" w:type="dxa"/>
            <w:vMerge w:val="continue"/>
          </w:tcPr>
          <w:p w14:paraId="057BD769"/>
        </w:tc>
        <w:tc>
          <w:tcPr>
            <w:tcW w:w="1134" w:type="dxa"/>
            <w:vMerge w:val="continue"/>
          </w:tcPr>
          <w:p w14:paraId="50A41593"/>
        </w:tc>
        <w:tc>
          <w:tcPr>
            <w:tcW w:w="709" w:type="dxa"/>
            <w:vMerge w:val="continue"/>
          </w:tcPr>
          <w:p w14:paraId="3394BED4"/>
        </w:tc>
        <w:tc>
          <w:tcPr>
            <w:tcW w:w="850" w:type="dxa"/>
            <w:vMerge w:val="continue"/>
          </w:tcPr>
          <w:p w14:paraId="43B8B129"/>
        </w:tc>
        <w:tc>
          <w:tcPr>
            <w:tcW w:w="850" w:type="dxa"/>
            <w:vMerge w:val="continue"/>
          </w:tcPr>
          <w:p w14:paraId="5CC5A981"/>
        </w:tc>
        <w:tc>
          <w:tcPr>
            <w:tcW w:w="964" w:type="dxa"/>
            <w:vAlign w:val="center"/>
          </w:tcPr>
          <w:p w14:paraId="3582C4CF">
            <w:pPr>
              <w:pStyle w:val="10"/>
            </w:pPr>
            <w:r>
              <w:t>合计</w:t>
            </w:r>
          </w:p>
        </w:tc>
        <w:tc>
          <w:tcPr>
            <w:tcW w:w="964" w:type="dxa"/>
            <w:vAlign w:val="center"/>
          </w:tcPr>
          <w:p w14:paraId="7BD18FE0">
            <w:pPr>
              <w:pStyle w:val="10"/>
            </w:pPr>
            <w:r>
              <w:t>一般公共预算拨款</w:t>
            </w:r>
          </w:p>
        </w:tc>
        <w:tc>
          <w:tcPr>
            <w:tcW w:w="964" w:type="dxa"/>
            <w:vAlign w:val="center"/>
          </w:tcPr>
          <w:p w14:paraId="35FD9F46">
            <w:pPr>
              <w:pStyle w:val="10"/>
            </w:pPr>
            <w:r>
              <w:t>基金预算拨款</w:t>
            </w:r>
          </w:p>
        </w:tc>
        <w:tc>
          <w:tcPr>
            <w:tcW w:w="964" w:type="dxa"/>
            <w:vAlign w:val="center"/>
          </w:tcPr>
          <w:p w14:paraId="49EF2E1C">
            <w:pPr>
              <w:pStyle w:val="10"/>
            </w:pPr>
            <w:r>
              <w:t>国有资本经营预算拨款</w:t>
            </w:r>
          </w:p>
        </w:tc>
        <w:tc>
          <w:tcPr>
            <w:tcW w:w="964" w:type="dxa"/>
            <w:vAlign w:val="center"/>
          </w:tcPr>
          <w:p w14:paraId="361734B5">
            <w:pPr>
              <w:pStyle w:val="10"/>
            </w:pPr>
            <w:r>
              <w:t>财政专户核拨</w:t>
            </w:r>
          </w:p>
        </w:tc>
        <w:tc>
          <w:tcPr>
            <w:tcW w:w="964" w:type="dxa"/>
            <w:vAlign w:val="center"/>
          </w:tcPr>
          <w:p w14:paraId="6A60C928">
            <w:pPr>
              <w:pStyle w:val="10"/>
            </w:pPr>
            <w:r>
              <w:t>单位    资金</w:t>
            </w:r>
          </w:p>
        </w:tc>
        <w:tc>
          <w:tcPr>
            <w:tcW w:w="964" w:type="dxa"/>
            <w:vAlign w:val="center"/>
          </w:tcPr>
          <w:p w14:paraId="153ED81C">
            <w:pPr>
              <w:pStyle w:val="10"/>
            </w:pPr>
            <w:r>
              <w:t>财政拨款结转</w:t>
            </w:r>
          </w:p>
        </w:tc>
        <w:tc>
          <w:tcPr>
            <w:tcW w:w="964" w:type="dxa"/>
            <w:vAlign w:val="center"/>
          </w:tcPr>
          <w:p w14:paraId="61670123">
            <w:pPr>
              <w:pStyle w:val="10"/>
            </w:pPr>
            <w:r>
              <w:t>非财政拨款结余</w:t>
            </w:r>
          </w:p>
        </w:tc>
        <w:tc>
          <w:tcPr>
            <w:tcW w:w="964" w:type="dxa"/>
            <w:vMerge w:val="continue"/>
          </w:tcPr>
          <w:p w14:paraId="231E9445"/>
        </w:tc>
      </w:tr>
      <w:tr w14:paraId="1C3F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197E67">
            <w:pPr>
              <w:pStyle w:val="14"/>
            </w:pPr>
            <w:r>
              <w:t>合  计</w:t>
            </w:r>
          </w:p>
        </w:tc>
        <w:tc>
          <w:tcPr>
            <w:tcW w:w="964" w:type="dxa"/>
            <w:vAlign w:val="center"/>
          </w:tcPr>
          <w:p w14:paraId="145FF7F8">
            <w:pPr>
              <w:pStyle w:val="15"/>
            </w:pPr>
          </w:p>
        </w:tc>
        <w:tc>
          <w:tcPr>
            <w:tcW w:w="1134" w:type="dxa"/>
            <w:vAlign w:val="center"/>
          </w:tcPr>
          <w:p w14:paraId="15CB042C">
            <w:pPr>
              <w:pStyle w:val="16"/>
            </w:pPr>
          </w:p>
        </w:tc>
        <w:tc>
          <w:tcPr>
            <w:tcW w:w="1134" w:type="dxa"/>
            <w:vAlign w:val="center"/>
          </w:tcPr>
          <w:p w14:paraId="649DCB07">
            <w:pPr>
              <w:pStyle w:val="16"/>
            </w:pPr>
          </w:p>
        </w:tc>
        <w:tc>
          <w:tcPr>
            <w:tcW w:w="709" w:type="dxa"/>
            <w:vAlign w:val="center"/>
          </w:tcPr>
          <w:p w14:paraId="750E2278">
            <w:pPr>
              <w:pStyle w:val="14"/>
            </w:pPr>
          </w:p>
        </w:tc>
        <w:tc>
          <w:tcPr>
            <w:tcW w:w="850" w:type="dxa"/>
            <w:vAlign w:val="center"/>
          </w:tcPr>
          <w:p w14:paraId="69FBD1A0">
            <w:pPr>
              <w:pStyle w:val="15"/>
            </w:pPr>
          </w:p>
        </w:tc>
        <w:tc>
          <w:tcPr>
            <w:tcW w:w="850" w:type="dxa"/>
            <w:vAlign w:val="center"/>
          </w:tcPr>
          <w:p w14:paraId="6858C084">
            <w:pPr>
              <w:pStyle w:val="15"/>
            </w:pPr>
          </w:p>
        </w:tc>
        <w:tc>
          <w:tcPr>
            <w:tcW w:w="964" w:type="dxa"/>
            <w:vAlign w:val="center"/>
          </w:tcPr>
          <w:p w14:paraId="0F792630">
            <w:pPr>
              <w:pStyle w:val="15"/>
            </w:pPr>
            <w:r>
              <w:t>12.00</w:t>
            </w:r>
          </w:p>
        </w:tc>
        <w:tc>
          <w:tcPr>
            <w:tcW w:w="964" w:type="dxa"/>
            <w:vAlign w:val="center"/>
          </w:tcPr>
          <w:p w14:paraId="4D99CC46">
            <w:pPr>
              <w:pStyle w:val="15"/>
            </w:pPr>
            <w:r>
              <w:t>12.00</w:t>
            </w:r>
          </w:p>
        </w:tc>
        <w:tc>
          <w:tcPr>
            <w:tcW w:w="964" w:type="dxa"/>
            <w:vAlign w:val="center"/>
          </w:tcPr>
          <w:p w14:paraId="798F5EDA">
            <w:pPr>
              <w:pStyle w:val="15"/>
            </w:pPr>
          </w:p>
        </w:tc>
        <w:tc>
          <w:tcPr>
            <w:tcW w:w="964" w:type="dxa"/>
            <w:vAlign w:val="center"/>
          </w:tcPr>
          <w:p w14:paraId="0C2FC308">
            <w:pPr>
              <w:pStyle w:val="15"/>
            </w:pPr>
          </w:p>
        </w:tc>
        <w:tc>
          <w:tcPr>
            <w:tcW w:w="964" w:type="dxa"/>
            <w:vAlign w:val="center"/>
          </w:tcPr>
          <w:p w14:paraId="76AF3B67">
            <w:pPr>
              <w:pStyle w:val="15"/>
            </w:pPr>
          </w:p>
        </w:tc>
        <w:tc>
          <w:tcPr>
            <w:tcW w:w="964" w:type="dxa"/>
            <w:vAlign w:val="center"/>
          </w:tcPr>
          <w:p w14:paraId="519456E7">
            <w:pPr>
              <w:pStyle w:val="15"/>
            </w:pPr>
          </w:p>
        </w:tc>
        <w:tc>
          <w:tcPr>
            <w:tcW w:w="964" w:type="dxa"/>
            <w:vAlign w:val="center"/>
          </w:tcPr>
          <w:p w14:paraId="2280F290">
            <w:pPr>
              <w:pStyle w:val="15"/>
            </w:pPr>
          </w:p>
        </w:tc>
        <w:tc>
          <w:tcPr>
            <w:tcW w:w="964" w:type="dxa"/>
            <w:vAlign w:val="center"/>
          </w:tcPr>
          <w:p w14:paraId="22B37D9E">
            <w:pPr>
              <w:pStyle w:val="15"/>
            </w:pPr>
          </w:p>
        </w:tc>
        <w:tc>
          <w:tcPr>
            <w:tcW w:w="964" w:type="dxa"/>
            <w:vAlign w:val="center"/>
          </w:tcPr>
          <w:p w14:paraId="01B8801C">
            <w:pPr>
              <w:pStyle w:val="15"/>
            </w:pPr>
            <w:r>
              <w:t>12.00</w:t>
            </w:r>
          </w:p>
        </w:tc>
      </w:tr>
      <w:tr w14:paraId="5721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9DFDB6">
            <w:pPr>
              <w:pStyle w:val="14"/>
            </w:pPr>
            <w:r>
              <w:t>隆尧县固城中学小计</w:t>
            </w:r>
          </w:p>
        </w:tc>
        <w:tc>
          <w:tcPr>
            <w:tcW w:w="964" w:type="dxa"/>
            <w:vAlign w:val="center"/>
          </w:tcPr>
          <w:p w14:paraId="69C83AD8">
            <w:pPr>
              <w:pStyle w:val="15"/>
            </w:pPr>
          </w:p>
        </w:tc>
        <w:tc>
          <w:tcPr>
            <w:tcW w:w="1134" w:type="dxa"/>
            <w:vAlign w:val="center"/>
          </w:tcPr>
          <w:p w14:paraId="723DC497">
            <w:pPr>
              <w:pStyle w:val="16"/>
            </w:pPr>
          </w:p>
        </w:tc>
        <w:tc>
          <w:tcPr>
            <w:tcW w:w="1134" w:type="dxa"/>
            <w:vAlign w:val="center"/>
          </w:tcPr>
          <w:p w14:paraId="03ECFFEE">
            <w:pPr>
              <w:pStyle w:val="16"/>
            </w:pPr>
          </w:p>
        </w:tc>
        <w:tc>
          <w:tcPr>
            <w:tcW w:w="709" w:type="dxa"/>
            <w:vAlign w:val="center"/>
          </w:tcPr>
          <w:p w14:paraId="5BD851AF">
            <w:pPr>
              <w:pStyle w:val="14"/>
            </w:pPr>
          </w:p>
        </w:tc>
        <w:tc>
          <w:tcPr>
            <w:tcW w:w="850" w:type="dxa"/>
            <w:vAlign w:val="center"/>
          </w:tcPr>
          <w:p w14:paraId="199C9753">
            <w:pPr>
              <w:pStyle w:val="15"/>
            </w:pPr>
          </w:p>
        </w:tc>
        <w:tc>
          <w:tcPr>
            <w:tcW w:w="850" w:type="dxa"/>
            <w:vAlign w:val="center"/>
          </w:tcPr>
          <w:p w14:paraId="2A266192">
            <w:pPr>
              <w:pStyle w:val="15"/>
            </w:pPr>
          </w:p>
        </w:tc>
        <w:tc>
          <w:tcPr>
            <w:tcW w:w="964" w:type="dxa"/>
            <w:vAlign w:val="center"/>
          </w:tcPr>
          <w:p w14:paraId="63515820">
            <w:pPr>
              <w:pStyle w:val="15"/>
            </w:pPr>
            <w:r>
              <w:t>12.00</w:t>
            </w:r>
          </w:p>
        </w:tc>
        <w:tc>
          <w:tcPr>
            <w:tcW w:w="964" w:type="dxa"/>
            <w:vAlign w:val="center"/>
          </w:tcPr>
          <w:p w14:paraId="1B6AAAF4">
            <w:pPr>
              <w:pStyle w:val="15"/>
            </w:pPr>
            <w:r>
              <w:t>12.00</w:t>
            </w:r>
          </w:p>
        </w:tc>
        <w:tc>
          <w:tcPr>
            <w:tcW w:w="964" w:type="dxa"/>
            <w:vAlign w:val="center"/>
          </w:tcPr>
          <w:p w14:paraId="5476F7C5">
            <w:pPr>
              <w:pStyle w:val="15"/>
            </w:pPr>
          </w:p>
        </w:tc>
        <w:tc>
          <w:tcPr>
            <w:tcW w:w="964" w:type="dxa"/>
            <w:vAlign w:val="center"/>
          </w:tcPr>
          <w:p w14:paraId="0A8B122F">
            <w:pPr>
              <w:pStyle w:val="15"/>
            </w:pPr>
          </w:p>
        </w:tc>
        <w:tc>
          <w:tcPr>
            <w:tcW w:w="964" w:type="dxa"/>
            <w:vAlign w:val="center"/>
          </w:tcPr>
          <w:p w14:paraId="6D17518C">
            <w:pPr>
              <w:pStyle w:val="15"/>
            </w:pPr>
          </w:p>
        </w:tc>
        <w:tc>
          <w:tcPr>
            <w:tcW w:w="964" w:type="dxa"/>
            <w:vAlign w:val="center"/>
          </w:tcPr>
          <w:p w14:paraId="450C5867">
            <w:pPr>
              <w:pStyle w:val="15"/>
            </w:pPr>
          </w:p>
        </w:tc>
        <w:tc>
          <w:tcPr>
            <w:tcW w:w="964" w:type="dxa"/>
            <w:vAlign w:val="center"/>
          </w:tcPr>
          <w:p w14:paraId="6D24A910">
            <w:pPr>
              <w:pStyle w:val="15"/>
            </w:pPr>
          </w:p>
        </w:tc>
        <w:tc>
          <w:tcPr>
            <w:tcW w:w="964" w:type="dxa"/>
            <w:vAlign w:val="center"/>
          </w:tcPr>
          <w:p w14:paraId="4EA4A94A">
            <w:pPr>
              <w:pStyle w:val="15"/>
            </w:pPr>
          </w:p>
        </w:tc>
        <w:tc>
          <w:tcPr>
            <w:tcW w:w="964" w:type="dxa"/>
            <w:vAlign w:val="center"/>
          </w:tcPr>
          <w:p w14:paraId="0A71044A">
            <w:pPr>
              <w:pStyle w:val="15"/>
            </w:pPr>
            <w:r>
              <w:t>12.00</w:t>
            </w:r>
          </w:p>
        </w:tc>
      </w:tr>
      <w:tr w14:paraId="2363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732CB9">
            <w:pPr>
              <w:pStyle w:val="12"/>
            </w:pPr>
            <w:r>
              <w:t>冀财教[2025]121号/中央/2026年义教补助经费/固城中学公用经费</w:t>
            </w:r>
          </w:p>
        </w:tc>
        <w:tc>
          <w:tcPr>
            <w:tcW w:w="964" w:type="dxa"/>
            <w:vAlign w:val="center"/>
          </w:tcPr>
          <w:p w14:paraId="28460B24">
            <w:pPr>
              <w:pStyle w:val="11"/>
            </w:pPr>
            <w:r>
              <w:t>168.79</w:t>
            </w:r>
          </w:p>
        </w:tc>
        <w:tc>
          <w:tcPr>
            <w:tcW w:w="1134" w:type="dxa"/>
            <w:vAlign w:val="center"/>
          </w:tcPr>
          <w:p w14:paraId="49E71AB9">
            <w:pPr>
              <w:pStyle w:val="12"/>
            </w:pPr>
            <w:r>
              <w:t>LED 显示屏</w:t>
            </w:r>
          </w:p>
        </w:tc>
        <w:tc>
          <w:tcPr>
            <w:tcW w:w="1134" w:type="dxa"/>
            <w:vAlign w:val="center"/>
          </w:tcPr>
          <w:p w14:paraId="34D2A8B0">
            <w:pPr>
              <w:pStyle w:val="12"/>
            </w:pPr>
            <w:r>
              <w:t>A02021103</w:t>
            </w:r>
          </w:p>
        </w:tc>
        <w:tc>
          <w:tcPr>
            <w:tcW w:w="709" w:type="dxa"/>
            <w:vAlign w:val="center"/>
          </w:tcPr>
          <w:p w14:paraId="5E17C6E7">
            <w:pPr>
              <w:pStyle w:val="13"/>
            </w:pPr>
            <w:r>
              <w:t>套</w:t>
            </w:r>
          </w:p>
        </w:tc>
        <w:tc>
          <w:tcPr>
            <w:tcW w:w="850" w:type="dxa"/>
            <w:vAlign w:val="center"/>
          </w:tcPr>
          <w:p w14:paraId="5F6A5009">
            <w:pPr>
              <w:pStyle w:val="11"/>
            </w:pPr>
            <w:r>
              <w:t>1</w:t>
            </w:r>
          </w:p>
        </w:tc>
        <w:tc>
          <w:tcPr>
            <w:tcW w:w="850" w:type="dxa"/>
            <w:vAlign w:val="center"/>
          </w:tcPr>
          <w:p w14:paraId="4B063B34">
            <w:pPr>
              <w:pStyle w:val="11"/>
            </w:pPr>
            <w:r>
              <w:t>1.93</w:t>
            </w:r>
          </w:p>
        </w:tc>
        <w:tc>
          <w:tcPr>
            <w:tcW w:w="964" w:type="dxa"/>
            <w:vAlign w:val="center"/>
          </w:tcPr>
          <w:p w14:paraId="00FA6034">
            <w:pPr>
              <w:pStyle w:val="11"/>
            </w:pPr>
            <w:r>
              <w:t>1.93</w:t>
            </w:r>
          </w:p>
        </w:tc>
        <w:tc>
          <w:tcPr>
            <w:tcW w:w="964" w:type="dxa"/>
            <w:vAlign w:val="center"/>
          </w:tcPr>
          <w:p w14:paraId="1D816A1F">
            <w:pPr>
              <w:pStyle w:val="11"/>
            </w:pPr>
            <w:r>
              <w:t>1.93</w:t>
            </w:r>
          </w:p>
        </w:tc>
        <w:tc>
          <w:tcPr>
            <w:tcW w:w="964" w:type="dxa"/>
            <w:vAlign w:val="center"/>
          </w:tcPr>
          <w:p w14:paraId="54ED4E13">
            <w:pPr>
              <w:pStyle w:val="11"/>
            </w:pPr>
          </w:p>
        </w:tc>
        <w:tc>
          <w:tcPr>
            <w:tcW w:w="964" w:type="dxa"/>
            <w:vAlign w:val="center"/>
          </w:tcPr>
          <w:p w14:paraId="778B3971">
            <w:pPr>
              <w:pStyle w:val="11"/>
            </w:pPr>
          </w:p>
        </w:tc>
        <w:tc>
          <w:tcPr>
            <w:tcW w:w="964" w:type="dxa"/>
            <w:vAlign w:val="center"/>
          </w:tcPr>
          <w:p w14:paraId="09ADD54B">
            <w:pPr>
              <w:pStyle w:val="11"/>
            </w:pPr>
          </w:p>
        </w:tc>
        <w:tc>
          <w:tcPr>
            <w:tcW w:w="964" w:type="dxa"/>
            <w:vAlign w:val="center"/>
          </w:tcPr>
          <w:p w14:paraId="32C13207">
            <w:pPr>
              <w:pStyle w:val="11"/>
            </w:pPr>
          </w:p>
        </w:tc>
        <w:tc>
          <w:tcPr>
            <w:tcW w:w="964" w:type="dxa"/>
            <w:vAlign w:val="center"/>
          </w:tcPr>
          <w:p w14:paraId="5BE96AAE">
            <w:pPr>
              <w:pStyle w:val="11"/>
            </w:pPr>
          </w:p>
        </w:tc>
        <w:tc>
          <w:tcPr>
            <w:tcW w:w="964" w:type="dxa"/>
            <w:vAlign w:val="center"/>
          </w:tcPr>
          <w:p w14:paraId="2BC8E492">
            <w:pPr>
              <w:pStyle w:val="11"/>
            </w:pPr>
          </w:p>
        </w:tc>
        <w:tc>
          <w:tcPr>
            <w:tcW w:w="964" w:type="dxa"/>
            <w:vAlign w:val="center"/>
          </w:tcPr>
          <w:p w14:paraId="0D958852">
            <w:pPr>
              <w:pStyle w:val="11"/>
            </w:pPr>
            <w:r>
              <w:t>1.93</w:t>
            </w:r>
          </w:p>
        </w:tc>
      </w:tr>
      <w:tr w14:paraId="7972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FF67D4">
            <w:pPr>
              <w:pStyle w:val="12"/>
            </w:pPr>
            <w:r>
              <w:t>冀财教[2025]121号/中央/2026年义教补助经费/固城中学公用经费</w:t>
            </w:r>
          </w:p>
        </w:tc>
        <w:tc>
          <w:tcPr>
            <w:tcW w:w="964" w:type="dxa"/>
            <w:vAlign w:val="center"/>
          </w:tcPr>
          <w:p w14:paraId="3AB600A2">
            <w:pPr>
              <w:pStyle w:val="11"/>
            </w:pPr>
            <w:r>
              <w:t>168.79</w:t>
            </w:r>
          </w:p>
        </w:tc>
        <w:tc>
          <w:tcPr>
            <w:tcW w:w="1134" w:type="dxa"/>
            <w:vAlign w:val="center"/>
          </w:tcPr>
          <w:p w14:paraId="656D41CF">
            <w:pPr>
              <w:pStyle w:val="12"/>
            </w:pPr>
            <w:r>
              <w:t>办公桌</w:t>
            </w:r>
          </w:p>
        </w:tc>
        <w:tc>
          <w:tcPr>
            <w:tcW w:w="1134" w:type="dxa"/>
            <w:vAlign w:val="center"/>
          </w:tcPr>
          <w:p w14:paraId="6C0F85B7">
            <w:pPr>
              <w:pStyle w:val="12"/>
            </w:pPr>
            <w:r>
              <w:t>A05010201</w:t>
            </w:r>
          </w:p>
        </w:tc>
        <w:tc>
          <w:tcPr>
            <w:tcW w:w="709" w:type="dxa"/>
            <w:vAlign w:val="center"/>
          </w:tcPr>
          <w:p w14:paraId="0F9164D1">
            <w:pPr>
              <w:pStyle w:val="13"/>
            </w:pPr>
            <w:r>
              <w:t>张</w:t>
            </w:r>
          </w:p>
        </w:tc>
        <w:tc>
          <w:tcPr>
            <w:tcW w:w="850" w:type="dxa"/>
            <w:vAlign w:val="center"/>
          </w:tcPr>
          <w:p w14:paraId="4E646777">
            <w:pPr>
              <w:pStyle w:val="11"/>
            </w:pPr>
            <w:r>
              <w:t>12</w:t>
            </w:r>
          </w:p>
        </w:tc>
        <w:tc>
          <w:tcPr>
            <w:tcW w:w="850" w:type="dxa"/>
            <w:vAlign w:val="center"/>
          </w:tcPr>
          <w:p w14:paraId="7CD1226B">
            <w:pPr>
              <w:pStyle w:val="11"/>
            </w:pPr>
            <w:r>
              <w:t>0.08</w:t>
            </w:r>
          </w:p>
        </w:tc>
        <w:tc>
          <w:tcPr>
            <w:tcW w:w="964" w:type="dxa"/>
            <w:vAlign w:val="center"/>
          </w:tcPr>
          <w:p w14:paraId="0278ECB7">
            <w:pPr>
              <w:pStyle w:val="11"/>
            </w:pPr>
            <w:r>
              <w:t>0.96</w:t>
            </w:r>
          </w:p>
        </w:tc>
        <w:tc>
          <w:tcPr>
            <w:tcW w:w="964" w:type="dxa"/>
            <w:vAlign w:val="center"/>
          </w:tcPr>
          <w:p w14:paraId="0EF28DBE">
            <w:pPr>
              <w:pStyle w:val="11"/>
            </w:pPr>
            <w:r>
              <w:t>0.96</w:t>
            </w:r>
          </w:p>
        </w:tc>
        <w:tc>
          <w:tcPr>
            <w:tcW w:w="964" w:type="dxa"/>
            <w:vAlign w:val="center"/>
          </w:tcPr>
          <w:p w14:paraId="6906672C">
            <w:pPr>
              <w:pStyle w:val="11"/>
            </w:pPr>
          </w:p>
        </w:tc>
        <w:tc>
          <w:tcPr>
            <w:tcW w:w="964" w:type="dxa"/>
            <w:vAlign w:val="center"/>
          </w:tcPr>
          <w:p w14:paraId="30D95C17">
            <w:pPr>
              <w:pStyle w:val="11"/>
            </w:pPr>
          </w:p>
        </w:tc>
        <w:tc>
          <w:tcPr>
            <w:tcW w:w="964" w:type="dxa"/>
            <w:vAlign w:val="center"/>
          </w:tcPr>
          <w:p w14:paraId="6AB19C06">
            <w:pPr>
              <w:pStyle w:val="11"/>
            </w:pPr>
          </w:p>
        </w:tc>
        <w:tc>
          <w:tcPr>
            <w:tcW w:w="964" w:type="dxa"/>
            <w:vAlign w:val="center"/>
          </w:tcPr>
          <w:p w14:paraId="481F4264">
            <w:pPr>
              <w:pStyle w:val="11"/>
            </w:pPr>
          </w:p>
        </w:tc>
        <w:tc>
          <w:tcPr>
            <w:tcW w:w="964" w:type="dxa"/>
            <w:vAlign w:val="center"/>
          </w:tcPr>
          <w:p w14:paraId="2C9E49D1">
            <w:pPr>
              <w:pStyle w:val="11"/>
            </w:pPr>
          </w:p>
        </w:tc>
        <w:tc>
          <w:tcPr>
            <w:tcW w:w="964" w:type="dxa"/>
            <w:vAlign w:val="center"/>
          </w:tcPr>
          <w:p w14:paraId="7B2CCBBA">
            <w:pPr>
              <w:pStyle w:val="11"/>
            </w:pPr>
          </w:p>
        </w:tc>
        <w:tc>
          <w:tcPr>
            <w:tcW w:w="964" w:type="dxa"/>
            <w:vAlign w:val="center"/>
          </w:tcPr>
          <w:p w14:paraId="3701AF32">
            <w:pPr>
              <w:pStyle w:val="11"/>
            </w:pPr>
            <w:r>
              <w:t>0.96</w:t>
            </w:r>
          </w:p>
        </w:tc>
      </w:tr>
      <w:tr w14:paraId="31A2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31F38E">
            <w:pPr>
              <w:pStyle w:val="12"/>
            </w:pPr>
            <w:r>
              <w:t>冀财教[2025]121号/中央/2026年义教补助经费/固城中学公用经费</w:t>
            </w:r>
          </w:p>
        </w:tc>
        <w:tc>
          <w:tcPr>
            <w:tcW w:w="964" w:type="dxa"/>
            <w:vAlign w:val="center"/>
          </w:tcPr>
          <w:p w14:paraId="4B3AC941">
            <w:pPr>
              <w:pStyle w:val="11"/>
            </w:pPr>
            <w:r>
              <w:t>168.79</w:t>
            </w:r>
          </w:p>
        </w:tc>
        <w:tc>
          <w:tcPr>
            <w:tcW w:w="1134" w:type="dxa"/>
            <w:vAlign w:val="center"/>
          </w:tcPr>
          <w:p w14:paraId="3C133202">
            <w:pPr>
              <w:pStyle w:val="12"/>
            </w:pPr>
            <w:r>
              <w:t>办公桌</w:t>
            </w:r>
          </w:p>
        </w:tc>
        <w:tc>
          <w:tcPr>
            <w:tcW w:w="1134" w:type="dxa"/>
            <w:vAlign w:val="center"/>
          </w:tcPr>
          <w:p w14:paraId="4941763F">
            <w:pPr>
              <w:pStyle w:val="12"/>
            </w:pPr>
            <w:r>
              <w:t>A05010201</w:t>
            </w:r>
          </w:p>
        </w:tc>
        <w:tc>
          <w:tcPr>
            <w:tcW w:w="709" w:type="dxa"/>
            <w:vAlign w:val="center"/>
          </w:tcPr>
          <w:p w14:paraId="357DE20D">
            <w:pPr>
              <w:pStyle w:val="13"/>
            </w:pPr>
            <w:r>
              <w:t>套</w:t>
            </w:r>
          </w:p>
        </w:tc>
        <w:tc>
          <w:tcPr>
            <w:tcW w:w="850" w:type="dxa"/>
            <w:vAlign w:val="center"/>
          </w:tcPr>
          <w:p w14:paraId="2B624BB4">
            <w:pPr>
              <w:pStyle w:val="11"/>
            </w:pPr>
            <w:r>
              <w:t>30</w:t>
            </w:r>
          </w:p>
        </w:tc>
        <w:tc>
          <w:tcPr>
            <w:tcW w:w="850" w:type="dxa"/>
            <w:vAlign w:val="center"/>
          </w:tcPr>
          <w:p w14:paraId="46EB8757">
            <w:pPr>
              <w:pStyle w:val="11"/>
            </w:pPr>
            <w:r>
              <w:t>0.09</w:t>
            </w:r>
          </w:p>
        </w:tc>
        <w:tc>
          <w:tcPr>
            <w:tcW w:w="964" w:type="dxa"/>
            <w:vAlign w:val="center"/>
          </w:tcPr>
          <w:p w14:paraId="5D656139">
            <w:pPr>
              <w:pStyle w:val="11"/>
            </w:pPr>
            <w:r>
              <w:t>2.61</w:t>
            </w:r>
          </w:p>
        </w:tc>
        <w:tc>
          <w:tcPr>
            <w:tcW w:w="964" w:type="dxa"/>
            <w:vAlign w:val="center"/>
          </w:tcPr>
          <w:p w14:paraId="1A09D636">
            <w:pPr>
              <w:pStyle w:val="11"/>
            </w:pPr>
            <w:r>
              <w:t>2.61</w:t>
            </w:r>
          </w:p>
        </w:tc>
        <w:tc>
          <w:tcPr>
            <w:tcW w:w="964" w:type="dxa"/>
            <w:vAlign w:val="center"/>
          </w:tcPr>
          <w:p w14:paraId="057127DE">
            <w:pPr>
              <w:pStyle w:val="11"/>
            </w:pPr>
          </w:p>
        </w:tc>
        <w:tc>
          <w:tcPr>
            <w:tcW w:w="964" w:type="dxa"/>
            <w:vAlign w:val="center"/>
          </w:tcPr>
          <w:p w14:paraId="1B1A2262">
            <w:pPr>
              <w:pStyle w:val="11"/>
            </w:pPr>
          </w:p>
        </w:tc>
        <w:tc>
          <w:tcPr>
            <w:tcW w:w="964" w:type="dxa"/>
            <w:vAlign w:val="center"/>
          </w:tcPr>
          <w:p w14:paraId="628378C8">
            <w:pPr>
              <w:pStyle w:val="11"/>
            </w:pPr>
          </w:p>
        </w:tc>
        <w:tc>
          <w:tcPr>
            <w:tcW w:w="964" w:type="dxa"/>
            <w:vAlign w:val="center"/>
          </w:tcPr>
          <w:p w14:paraId="1C777315">
            <w:pPr>
              <w:pStyle w:val="11"/>
            </w:pPr>
          </w:p>
        </w:tc>
        <w:tc>
          <w:tcPr>
            <w:tcW w:w="964" w:type="dxa"/>
            <w:vAlign w:val="center"/>
          </w:tcPr>
          <w:p w14:paraId="559E173E">
            <w:pPr>
              <w:pStyle w:val="11"/>
            </w:pPr>
          </w:p>
        </w:tc>
        <w:tc>
          <w:tcPr>
            <w:tcW w:w="964" w:type="dxa"/>
            <w:vAlign w:val="center"/>
          </w:tcPr>
          <w:p w14:paraId="69BAB294">
            <w:pPr>
              <w:pStyle w:val="11"/>
            </w:pPr>
          </w:p>
        </w:tc>
        <w:tc>
          <w:tcPr>
            <w:tcW w:w="964" w:type="dxa"/>
            <w:vAlign w:val="center"/>
          </w:tcPr>
          <w:p w14:paraId="7E975D8F">
            <w:pPr>
              <w:pStyle w:val="11"/>
            </w:pPr>
            <w:r>
              <w:t>2.61</w:t>
            </w:r>
          </w:p>
        </w:tc>
      </w:tr>
      <w:tr w14:paraId="3765B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3324F">
            <w:pPr>
              <w:pStyle w:val="12"/>
            </w:pPr>
            <w:r>
              <w:t>冀财教[2025]121号/中央/2026年义教补助经费/固城中学公用经费</w:t>
            </w:r>
          </w:p>
        </w:tc>
        <w:tc>
          <w:tcPr>
            <w:tcW w:w="964" w:type="dxa"/>
            <w:vAlign w:val="center"/>
          </w:tcPr>
          <w:p w14:paraId="01FA9598">
            <w:pPr>
              <w:pStyle w:val="11"/>
            </w:pPr>
            <w:r>
              <w:t>168.79</w:t>
            </w:r>
          </w:p>
        </w:tc>
        <w:tc>
          <w:tcPr>
            <w:tcW w:w="1134" w:type="dxa"/>
            <w:vAlign w:val="center"/>
          </w:tcPr>
          <w:p w14:paraId="06EEA60B">
            <w:pPr>
              <w:pStyle w:val="12"/>
            </w:pPr>
            <w:r>
              <w:t>会议桌</w:t>
            </w:r>
          </w:p>
        </w:tc>
        <w:tc>
          <w:tcPr>
            <w:tcW w:w="1134" w:type="dxa"/>
            <w:vAlign w:val="center"/>
          </w:tcPr>
          <w:p w14:paraId="532BC768">
            <w:pPr>
              <w:pStyle w:val="12"/>
            </w:pPr>
            <w:r>
              <w:t>A05010202</w:t>
            </w:r>
          </w:p>
        </w:tc>
        <w:tc>
          <w:tcPr>
            <w:tcW w:w="709" w:type="dxa"/>
            <w:vAlign w:val="center"/>
          </w:tcPr>
          <w:p w14:paraId="01896D45">
            <w:pPr>
              <w:pStyle w:val="13"/>
            </w:pPr>
            <w:r>
              <w:t>米</w:t>
            </w:r>
          </w:p>
        </w:tc>
        <w:tc>
          <w:tcPr>
            <w:tcW w:w="850" w:type="dxa"/>
            <w:vAlign w:val="center"/>
          </w:tcPr>
          <w:p w14:paraId="44D752F5">
            <w:pPr>
              <w:pStyle w:val="11"/>
            </w:pPr>
            <w:r>
              <w:t>6</w:t>
            </w:r>
          </w:p>
        </w:tc>
        <w:tc>
          <w:tcPr>
            <w:tcW w:w="850" w:type="dxa"/>
            <w:vAlign w:val="center"/>
          </w:tcPr>
          <w:p w14:paraId="74560C0F">
            <w:pPr>
              <w:pStyle w:val="11"/>
            </w:pPr>
            <w:r>
              <w:t>0.20</w:t>
            </w:r>
          </w:p>
        </w:tc>
        <w:tc>
          <w:tcPr>
            <w:tcW w:w="964" w:type="dxa"/>
            <w:vAlign w:val="center"/>
          </w:tcPr>
          <w:p w14:paraId="03A6625B">
            <w:pPr>
              <w:pStyle w:val="11"/>
            </w:pPr>
            <w:r>
              <w:t>1.20</w:t>
            </w:r>
          </w:p>
        </w:tc>
        <w:tc>
          <w:tcPr>
            <w:tcW w:w="964" w:type="dxa"/>
            <w:vAlign w:val="center"/>
          </w:tcPr>
          <w:p w14:paraId="4F2A6C39">
            <w:pPr>
              <w:pStyle w:val="11"/>
            </w:pPr>
            <w:r>
              <w:t>1.20</w:t>
            </w:r>
          </w:p>
        </w:tc>
        <w:tc>
          <w:tcPr>
            <w:tcW w:w="964" w:type="dxa"/>
            <w:vAlign w:val="center"/>
          </w:tcPr>
          <w:p w14:paraId="20721D0D">
            <w:pPr>
              <w:pStyle w:val="11"/>
            </w:pPr>
          </w:p>
        </w:tc>
        <w:tc>
          <w:tcPr>
            <w:tcW w:w="964" w:type="dxa"/>
            <w:vAlign w:val="center"/>
          </w:tcPr>
          <w:p w14:paraId="6BFB9A57">
            <w:pPr>
              <w:pStyle w:val="11"/>
            </w:pPr>
          </w:p>
        </w:tc>
        <w:tc>
          <w:tcPr>
            <w:tcW w:w="964" w:type="dxa"/>
            <w:vAlign w:val="center"/>
          </w:tcPr>
          <w:p w14:paraId="313A85C3">
            <w:pPr>
              <w:pStyle w:val="11"/>
            </w:pPr>
          </w:p>
        </w:tc>
        <w:tc>
          <w:tcPr>
            <w:tcW w:w="964" w:type="dxa"/>
            <w:vAlign w:val="center"/>
          </w:tcPr>
          <w:p w14:paraId="776144F4">
            <w:pPr>
              <w:pStyle w:val="11"/>
            </w:pPr>
          </w:p>
        </w:tc>
        <w:tc>
          <w:tcPr>
            <w:tcW w:w="964" w:type="dxa"/>
            <w:vAlign w:val="center"/>
          </w:tcPr>
          <w:p w14:paraId="52010F31">
            <w:pPr>
              <w:pStyle w:val="11"/>
            </w:pPr>
          </w:p>
        </w:tc>
        <w:tc>
          <w:tcPr>
            <w:tcW w:w="964" w:type="dxa"/>
            <w:vAlign w:val="center"/>
          </w:tcPr>
          <w:p w14:paraId="26E7A9C5">
            <w:pPr>
              <w:pStyle w:val="11"/>
            </w:pPr>
          </w:p>
        </w:tc>
        <w:tc>
          <w:tcPr>
            <w:tcW w:w="964" w:type="dxa"/>
            <w:vAlign w:val="center"/>
          </w:tcPr>
          <w:p w14:paraId="51A3BD0A">
            <w:pPr>
              <w:pStyle w:val="11"/>
            </w:pPr>
            <w:r>
              <w:t>1.20</w:t>
            </w:r>
          </w:p>
        </w:tc>
      </w:tr>
      <w:tr w14:paraId="1D0C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210373">
            <w:pPr>
              <w:pStyle w:val="12"/>
            </w:pPr>
            <w:r>
              <w:t>冀财教[2025]121号/中央/2026年义教补助经费/固城中学公用经费</w:t>
            </w:r>
          </w:p>
        </w:tc>
        <w:tc>
          <w:tcPr>
            <w:tcW w:w="964" w:type="dxa"/>
            <w:vAlign w:val="center"/>
          </w:tcPr>
          <w:p w14:paraId="3973C6AF">
            <w:pPr>
              <w:pStyle w:val="11"/>
            </w:pPr>
            <w:r>
              <w:t>168.79</w:t>
            </w:r>
          </w:p>
        </w:tc>
        <w:tc>
          <w:tcPr>
            <w:tcW w:w="1134" w:type="dxa"/>
            <w:vAlign w:val="center"/>
          </w:tcPr>
          <w:p w14:paraId="710D0317">
            <w:pPr>
              <w:pStyle w:val="12"/>
            </w:pPr>
            <w:r>
              <w:t>办公椅</w:t>
            </w:r>
          </w:p>
        </w:tc>
        <w:tc>
          <w:tcPr>
            <w:tcW w:w="1134" w:type="dxa"/>
            <w:vAlign w:val="center"/>
          </w:tcPr>
          <w:p w14:paraId="4BE5EF64">
            <w:pPr>
              <w:pStyle w:val="12"/>
            </w:pPr>
            <w:r>
              <w:t>A05010301</w:t>
            </w:r>
          </w:p>
        </w:tc>
        <w:tc>
          <w:tcPr>
            <w:tcW w:w="709" w:type="dxa"/>
            <w:vAlign w:val="center"/>
          </w:tcPr>
          <w:p w14:paraId="68A025EA">
            <w:pPr>
              <w:pStyle w:val="13"/>
            </w:pPr>
            <w:r>
              <w:t>把</w:t>
            </w:r>
          </w:p>
        </w:tc>
        <w:tc>
          <w:tcPr>
            <w:tcW w:w="850" w:type="dxa"/>
            <w:vAlign w:val="center"/>
          </w:tcPr>
          <w:p w14:paraId="7EA13E7E">
            <w:pPr>
              <w:pStyle w:val="11"/>
            </w:pPr>
            <w:r>
              <w:t>100</w:t>
            </w:r>
          </w:p>
        </w:tc>
        <w:tc>
          <w:tcPr>
            <w:tcW w:w="850" w:type="dxa"/>
            <w:vAlign w:val="center"/>
          </w:tcPr>
          <w:p w14:paraId="69A00717">
            <w:pPr>
              <w:pStyle w:val="11"/>
            </w:pPr>
            <w:r>
              <w:t>0.03</w:t>
            </w:r>
          </w:p>
        </w:tc>
        <w:tc>
          <w:tcPr>
            <w:tcW w:w="964" w:type="dxa"/>
            <w:vAlign w:val="center"/>
          </w:tcPr>
          <w:p w14:paraId="58571C5D">
            <w:pPr>
              <w:pStyle w:val="11"/>
            </w:pPr>
            <w:r>
              <w:t>2.80</w:t>
            </w:r>
          </w:p>
        </w:tc>
        <w:tc>
          <w:tcPr>
            <w:tcW w:w="964" w:type="dxa"/>
            <w:vAlign w:val="center"/>
          </w:tcPr>
          <w:p w14:paraId="481D1521">
            <w:pPr>
              <w:pStyle w:val="11"/>
            </w:pPr>
            <w:r>
              <w:t>2.80</w:t>
            </w:r>
          </w:p>
        </w:tc>
        <w:tc>
          <w:tcPr>
            <w:tcW w:w="964" w:type="dxa"/>
            <w:vAlign w:val="center"/>
          </w:tcPr>
          <w:p w14:paraId="4444D007">
            <w:pPr>
              <w:pStyle w:val="11"/>
            </w:pPr>
          </w:p>
        </w:tc>
        <w:tc>
          <w:tcPr>
            <w:tcW w:w="964" w:type="dxa"/>
            <w:vAlign w:val="center"/>
          </w:tcPr>
          <w:p w14:paraId="299F9E89">
            <w:pPr>
              <w:pStyle w:val="11"/>
            </w:pPr>
          </w:p>
        </w:tc>
        <w:tc>
          <w:tcPr>
            <w:tcW w:w="964" w:type="dxa"/>
            <w:vAlign w:val="center"/>
          </w:tcPr>
          <w:p w14:paraId="2D621197">
            <w:pPr>
              <w:pStyle w:val="11"/>
            </w:pPr>
          </w:p>
        </w:tc>
        <w:tc>
          <w:tcPr>
            <w:tcW w:w="964" w:type="dxa"/>
            <w:vAlign w:val="center"/>
          </w:tcPr>
          <w:p w14:paraId="63DAD3E1">
            <w:pPr>
              <w:pStyle w:val="11"/>
            </w:pPr>
          </w:p>
        </w:tc>
        <w:tc>
          <w:tcPr>
            <w:tcW w:w="964" w:type="dxa"/>
            <w:vAlign w:val="center"/>
          </w:tcPr>
          <w:p w14:paraId="754F6405">
            <w:pPr>
              <w:pStyle w:val="11"/>
            </w:pPr>
          </w:p>
        </w:tc>
        <w:tc>
          <w:tcPr>
            <w:tcW w:w="964" w:type="dxa"/>
            <w:vAlign w:val="center"/>
          </w:tcPr>
          <w:p w14:paraId="50919650">
            <w:pPr>
              <w:pStyle w:val="11"/>
            </w:pPr>
          </w:p>
        </w:tc>
        <w:tc>
          <w:tcPr>
            <w:tcW w:w="964" w:type="dxa"/>
            <w:vAlign w:val="center"/>
          </w:tcPr>
          <w:p w14:paraId="2146B1BE">
            <w:pPr>
              <w:pStyle w:val="11"/>
            </w:pPr>
            <w:r>
              <w:t>2.80</w:t>
            </w:r>
          </w:p>
        </w:tc>
      </w:tr>
      <w:tr w14:paraId="7685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B8A51">
            <w:pPr>
              <w:pStyle w:val="12"/>
            </w:pPr>
            <w:r>
              <w:t>冀财教[2025]121号/中央/2026年义教补助经费/固城中学公用经费</w:t>
            </w:r>
          </w:p>
        </w:tc>
        <w:tc>
          <w:tcPr>
            <w:tcW w:w="964" w:type="dxa"/>
            <w:vAlign w:val="center"/>
          </w:tcPr>
          <w:p w14:paraId="6E117B1A">
            <w:pPr>
              <w:pStyle w:val="11"/>
            </w:pPr>
            <w:r>
              <w:t>168.79</w:t>
            </w:r>
          </w:p>
        </w:tc>
        <w:tc>
          <w:tcPr>
            <w:tcW w:w="1134" w:type="dxa"/>
            <w:vAlign w:val="center"/>
          </w:tcPr>
          <w:p w14:paraId="7C8B786F">
            <w:pPr>
              <w:pStyle w:val="12"/>
            </w:pPr>
            <w:r>
              <w:t>办公椅</w:t>
            </w:r>
          </w:p>
        </w:tc>
        <w:tc>
          <w:tcPr>
            <w:tcW w:w="1134" w:type="dxa"/>
            <w:vAlign w:val="center"/>
          </w:tcPr>
          <w:p w14:paraId="07E0CB97">
            <w:pPr>
              <w:pStyle w:val="12"/>
            </w:pPr>
            <w:r>
              <w:t>A05010301</w:t>
            </w:r>
          </w:p>
        </w:tc>
        <w:tc>
          <w:tcPr>
            <w:tcW w:w="709" w:type="dxa"/>
            <w:vAlign w:val="center"/>
          </w:tcPr>
          <w:p w14:paraId="54113D9B">
            <w:pPr>
              <w:pStyle w:val="13"/>
            </w:pPr>
            <w:r>
              <w:t>把</w:t>
            </w:r>
          </w:p>
        </w:tc>
        <w:tc>
          <w:tcPr>
            <w:tcW w:w="850" w:type="dxa"/>
            <w:vAlign w:val="center"/>
          </w:tcPr>
          <w:p w14:paraId="25D8ED9B">
            <w:pPr>
              <w:pStyle w:val="11"/>
            </w:pPr>
            <w:r>
              <w:t>24</w:t>
            </w:r>
          </w:p>
        </w:tc>
        <w:tc>
          <w:tcPr>
            <w:tcW w:w="850" w:type="dxa"/>
            <w:vAlign w:val="center"/>
          </w:tcPr>
          <w:p w14:paraId="4306BC7B">
            <w:pPr>
              <w:pStyle w:val="11"/>
            </w:pPr>
            <w:r>
              <w:t>0.02</w:t>
            </w:r>
          </w:p>
        </w:tc>
        <w:tc>
          <w:tcPr>
            <w:tcW w:w="964" w:type="dxa"/>
            <w:vAlign w:val="center"/>
          </w:tcPr>
          <w:p w14:paraId="41DF650C">
            <w:pPr>
              <w:pStyle w:val="11"/>
            </w:pPr>
            <w:r>
              <w:t>0.48</w:t>
            </w:r>
          </w:p>
        </w:tc>
        <w:tc>
          <w:tcPr>
            <w:tcW w:w="964" w:type="dxa"/>
            <w:vAlign w:val="center"/>
          </w:tcPr>
          <w:p w14:paraId="62184068">
            <w:pPr>
              <w:pStyle w:val="11"/>
            </w:pPr>
            <w:r>
              <w:t>0.48</w:t>
            </w:r>
          </w:p>
        </w:tc>
        <w:tc>
          <w:tcPr>
            <w:tcW w:w="964" w:type="dxa"/>
            <w:vAlign w:val="center"/>
          </w:tcPr>
          <w:p w14:paraId="1859296A">
            <w:pPr>
              <w:pStyle w:val="11"/>
            </w:pPr>
          </w:p>
        </w:tc>
        <w:tc>
          <w:tcPr>
            <w:tcW w:w="964" w:type="dxa"/>
            <w:vAlign w:val="center"/>
          </w:tcPr>
          <w:p w14:paraId="155BAF46">
            <w:pPr>
              <w:pStyle w:val="11"/>
            </w:pPr>
          </w:p>
        </w:tc>
        <w:tc>
          <w:tcPr>
            <w:tcW w:w="964" w:type="dxa"/>
            <w:vAlign w:val="center"/>
          </w:tcPr>
          <w:p w14:paraId="4EAF6F41">
            <w:pPr>
              <w:pStyle w:val="11"/>
            </w:pPr>
          </w:p>
        </w:tc>
        <w:tc>
          <w:tcPr>
            <w:tcW w:w="964" w:type="dxa"/>
            <w:vAlign w:val="center"/>
          </w:tcPr>
          <w:p w14:paraId="5964B294">
            <w:pPr>
              <w:pStyle w:val="11"/>
            </w:pPr>
          </w:p>
        </w:tc>
        <w:tc>
          <w:tcPr>
            <w:tcW w:w="964" w:type="dxa"/>
            <w:vAlign w:val="center"/>
          </w:tcPr>
          <w:p w14:paraId="0EF7BC91">
            <w:pPr>
              <w:pStyle w:val="11"/>
            </w:pPr>
          </w:p>
        </w:tc>
        <w:tc>
          <w:tcPr>
            <w:tcW w:w="964" w:type="dxa"/>
            <w:vAlign w:val="center"/>
          </w:tcPr>
          <w:p w14:paraId="2EB88A00">
            <w:pPr>
              <w:pStyle w:val="11"/>
            </w:pPr>
          </w:p>
        </w:tc>
        <w:tc>
          <w:tcPr>
            <w:tcW w:w="964" w:type="dxa"/>
            <w:vAlign w:val="center"/>
          </w:tcPr>
          <w:p w14:paraId="39D9E799">
            <w:pPr>
              <w:pStyle w:val="11"/>
            </w:pPr>
            <w:r>
              <w:t>0.48</w:t>
            </w:r>
          </w:p>
        </w:tc>
      </w:tr>
      <w:tr w14:paraId="54CD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54DB97">
            <w:pPr>
              <w:pStyle w:val="12"/>
            </w:pPr>
            <w:r>
              <w:t>冀财教[2025]121号/中央/2026年义教补助经费/固城中学公用经费</w:t>
            </w:r>
          </w:p>
        </w:tc>
        <w:tc>
          <w:tcPr>
            <w:tcW w:w="964" w:type="dxa"/>
            <w:vAlign w:val="center"/>
          </w:tcPr>
          <w:p w14:paraId="280ED7DF">
            <w:pPr>
              <w:pStyle w:val="11"/>
            </w:pPr>
            <w:r>
              <w:t>168.79</w:t>
            </w:r>
          </w:p>
        </w:tc>
        <w:tc>
          <w:tcPr>
            <w:tcW w:w="1134" w:type="dxa"/>
            <w:vAlign w:val="center"/>
          </w:tcPr>
          <w:p w14:paraId="6E6AA005">
            <w:pPr>
              <w:pStyle w:val="12"/>
            </w:pPr>
            <w:r>
              <w:t>会议椅</w:t>
            </w:r>
          </w:p>
        </w:tc>
        <w:tc>
          <w:tcPr>
            <w:tcW w:w="1134" w:type="dxa"/>
            <w:vAlign w:val="center"/>
          </w:tcPr>
          <w:p w14:paraId="39E65E90">
            <w:pPr>
              <w:pStyle w:val="12"/>
            </w:pPr>
            <w:r>
              <w:t>A05010303</w:t>
            </w:r>
          </w:p>
        </w:tc>
        <w:tc>
          <w:tcPr>
            <w:tcW w:w="709" w:type="dxa"/>
            <w:vAlign w:val="center"/>
          </w:tcPr>
          <w:p w14:paraId="2C55EB30">
            <w:pPr>
              <w:pStyle w:val="13"/>
            </w:pPr>
            <w:r>
              <w:t>把</w:t>
            </w:r>
          </w:p>
        </w:tc>
        <w:tc>
          <w:tcPr>
            <w:tcW w:w="850" w:type="dxa"/>
            <w:vAlign w:val="center"/>
          </w:tcPr>
          <w:p w14:paraId="7DB6B37B">
            <w:pPr>
              <w:pStyle w:val="11"/>
            </w:pPr>
            <w:r>
              <w:t>40</w:t>
            </w:r>
          </w:p>
        </w:tc>
        <w:tc>
          <w:tcPr>
            <w:tcW w:w="850" w:type="dxa"/>
            <w:vAlign w:val="center"/>
          </w:tcPr>
          <w:p w14:paraId="6E6C1AE4">
            <w:pPr>
              <w:pStyle w:val="11"/>
            </w:pPr>
            <w:r>
              <w:t>0.03</w:t>
            </w:r>
          </w:p>
        </w:tc>
        <w:tc>
          <w:tcPr>
            <w:tcW w:w="964" w:type="dxa"/>
            <w:vAlign w:val="center"/>
          </w:tcPr>
          <w:p w14:paraId="34C38338">
            <w:pPr>
              <w:pStyle w:val="11"/>
            </w:pPr>
            <w:r>
              <w:t>1.12</w:t>
            </w:r>
          </w:p>
        </w:tc>
        <w:tc>
          <w:tcPr>
            <w:tcW w:w="964" w:type="dxa"/>
            <w:vAlign w:val="center"/>
          </w:tcPr>
          <w:p w14:paraId="4F577437">
            <w:pPr>
              <w:pStyle w:val="11"/>
            </w:pPr>
            <w:r>
              <w:t>1.12</w:t>
            </w:r>
          </w:p>
        </w:tc>
        <w:tc>
          <w:tcPr>
            <w:tcW w:w="964" w:type="dxa"/>
            <w:vAlign w:val="center"/>
          </w:tcPr>
          <w:p w14:paraId="1AF649C0">
            <w:pPr>
              <w:pStyle w:val="11"/>
            </w:pPr>
          </w:p>
        </w:tc>
        <w:tc>
          <w:tcPr>
            <w:tcW w:w="964" w:type="dxa"/>
            <w:vAlign w:val="center"/>
          </w:tcPr>
          <w:p w14:paraId="52040628">
            <w:pPr>
              <w:pStyle w:val="11"/>
            </w:pPr>
          </w:p>
        </w:tc>
        <w:tc>
          <w:tcPr>
            <w:tcW w:w="964" w:type="dxa"/>
            <w:vAlign w:val="center"/>
          </w:tcPr>
          <w:p w14:paraId="2BFF43B8">
            <w:pPr>
              <w:pStyle w:val="11"/>
            </w:pPr>
          </w:p>
        </w:tc>
        <w:tc>
          <w:tcPr>
            <w:tcW w:w="964" w:type="dxa"/>
            <w:vAlign w:val="center"/>
          </w:tcPr>
          <w:p w14:paraId="6A03FA4E">
            <w:pPr>
              <w:pStyle w:val="11"/>
            </w:pPr>
          </w:p>
        </w:tc>
        <w:tc>
          <w:tcPr>
            <w:tcW w:w="964" w:type="dxa"/>
            <w:vAlign w:val="center"/>
          </w:tcPr>
          <w:p w14:paraId="23158E07">
            <w:pPr>
              <w:pStyle w:val="11"/>
            </w:pPr>
          </w:p>
        </w:tc>
        <w:tc>
          <w:tcPr>
            <w:tcW w:w="964" w:type="dxa"/>
            <w:vAlign w:val="center"/>
          </w:tcPr>
          <w:p w14:paraId="693DECF0">
            <w:pPr>
              <w:pStyle w:val="11"/>
            </w:pPr>
          </w:p>
        </w:tc>
        <w:tc>
          <w:tcPr>
            <w:tcW w:w="964" w:type="dxa"/>
            <w:vAlign w:val="center"/>
          </w:tcPr>
          <w:p w14:paraId="3B70289E">
            <w:pPr>
              <w:pStyle w:val="11"/>
            </w:pPr>
            <w:r>
              <w:t>1.12</w:t>
            </w:r>
          </w:p>
        </w:tc>
      </w:tr>
      <w:tr w14:paraId="360C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30F9A9">
            <w:pPr>
              <w:pStyle w:val="12"/>
            </w:pPr>
            <w:r>
              <w:t>冀财教[2025]121号/中央/2026年义教补助经费/固城中学公用经费</w:t>
            </w:r>
          </w:p>
        </w:tc>
        <w:tc>
          <w:tcPr>
            <w:tcW w:w="964" w:type="dxa"/>
            <w:vAlign w:val="center"/>
          </w:tcPr>
          <w:p w14:paraId="03F54A43">
            <w:pPr>
              <w:pStyle w:val="11"/>
            </w:pPr>
            <w:r>
              <w:t>168.79</w:t>
            </w:r>
          </w:p>
        </w:tc>
        <w:tc>
          <w:tcPr>
            <w:tcW w:w="1134" w:type="dxa"/>
            <w:vAlign w:val="center"/>
          </w:tcPr>
          <w:p w14:paraId="19C85A77">
            <w:pPr>
              <w:pStyle w:val="12"/>
            </w:pPr>
            <w:r>
              <w:t>文件柜</w:t>
            </w:r>
          </w:p>
        </w:tc>
        <w:tc>
          <w:tcPr>
            <w:tcW w:w="1134" w:type="dxa"/>
            <w:vAlign w:val="center"/>
          </w:tcPr>
          <w:p w14:paraId="6F2C1B65">
            <w:pPr>
              <w:pStyle w:val="12"/>
            </w:pPr>
            <w:r>
              <w:t>A05010502</w:t>
            </w:r>
          </w:p>
        </w:tc>
        <w:tc>
          <w:tcPr>
            <w:tcW w:w="709" w:type="dxa"/>
            <w:vAlign w:val="center"/>
          </w:tcPr>
          <w:p w14:paraId="1BC33549">
            <w:pPr>
              <w:pStyle w:val="13"/>
            </w:pPr>
            <w:r>
              <w:t>组</w:t>
            </w:r>
          </w:p>
        </w:tc>
        <w:tc>
          <w:tcPr>
            <w:tcW w:w="850" w:type="dxa"/>
            <w:vAlign w:val="center"/>
          </w:tcPr>
          <w:p w14:paraId="0317BB02">
            <w:pPr>
              <w:pStyle w:val="11"/>
            </w:pPr>
            <w:r>
              <w:t>15</w:t>
            </w:r>
          </w:p>
        </w:tc>
        <w:tc>
          <w:tcPr>
            <w:tcW w:w="850" w:type="dxa"/>
            <w:vAlign w:val="center"/>
          </w:tcPr>
          <w:p w14:paraId="66ABD8D5">
            <w:pPr>
              <w:pStyle w:val="11"/>
            </w:pPr>
            <w:r>
              <w:t>0.06</w:t>
            </w:r>
          </w:p>
        </w:tc>
        <w:tc>
          <w:tcPr>
            <w:tcW w:w="964" w:type="dxa"/>
            <w:vAlign w:val="center"/>
          </w:tcPr>
          <w:p w14:paraId="30B86266">
            <w:pPr>
              <w:pStyle w:val="11"/>
            </w:pPr>
            <w:r>
              <w:t>0.90</w:t>
            </w:r>
          </w:p>
        </w:tc>
        <w:tc>
          <w:tcPr>
            <w:tcW w:w="964" w:type="dxa"/>
            <w:vAlign w:val="center"/>
          </w:tcPr>
          <w:p w14:paraId="734E2935">
            <w:pPr>
              <w:pStyle w:val="11"/>
            </w:pPr>
            <w:r>
              <w:t>0.90</w:t>
            </w:r>
          </w:p>
        </w:tc>
        <w:tc>
          <w:tcPr>
            <w:tcW w:w="964" w:type="dxa"/>
            <w:vAlign w:val="center"/>
          </w:tcPr>
          <w:p w14:paraId="7F895244">
            <w:pPr>
              <w:pStyle w:val="11"/>
            </w:pPr>
          </w:p>
        </w:tc>
        <w:tc>
          <w:tcPr>
            <w:tcW w:w="964" w:type="dxa"/>
            <w:vAlign w:val="center"/>
          </w:tcPr>
          <w:p w14:paraId="3EAE054A">
            <w:pPr>
              <w:pStyle w:val="11"/>
            </w:pPr>
          </w:p>
        </w:tc>
        <w:tc>
          <w:tcPr>
            <w:tcW w:w="964" w:type="dxa"/>
            <w:vAlign w:val="center"/>
          </w:tcPr>
          <w:p w14:paraId="20EA880B">
            <w:pPr>
              <w:pStyle w:val="11"/>
            </w:pPr>
          </w:p>
        </w:tc>
        <w:tc>
          <w:tcPr>
            <w:tcW w:w="964" w:type="dxa"/>
            <w:vAlign w:val="center"/>
          </w:tcPr>
          <w:p w14:paraId="58D4DC1B">
            <w:pPr>
              <w:pStyle w:val="11"/>
            </w:pPr>
          </w:p>
        </w:tc>
        <w:tc>
          <w:tcPr>
            <w:tcW w:w="964" w:type="dxa"/>
            <w:vAlign w:val="center"/>
          </w:tcPr>
          <w:p w14:paraId="0EE78D19">
            <w:pPr>
              <w:pStyle w:val="11"/>
            </w:pPr>
          </w:p>
        </w:tc>
        <w:tc>
          <w:tcPr>
            <w:tcW w:w="964" w:type="dxa"/>
            <w:vAlign w:val="center"/>
          </w:tcPr>
          <w:p w14:paraId="7FE3E7B1">
            <w:pPr>
              <w:pStyle w:val="11"/>
            </w:pPr>
          </w:p>
        </w:tc>
        <w:tc>
          <w:tcPr>
            <w:tcW w:w="964" w:type="dxa"/>
            <w:vAlign w:val="center"/>
          </w:tcPr>
          <w:p w14:paraId="6880461D">
            <w:pPr>
              <w:pStyle w:val="11"/>
            </w:pPr>
            <w:r>
              <w:t>0.90</w:t>
            </w:r>
          </w:p>
        </w:tc>
      </w:tr>
    </w:tbl>
    <w:p w14:paraId="758B3D9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42E179">
      <w:pPr>
        <w:spacing w:before="0" w:after="0"/>
        <w:ind w:firstLine="640"/>
        <w:jc w:val="left"/>
        <w:outlineLvl w:val="9"/>
      </w:pPr>
      <w:r>
        <w:rPr>
          <w:rFonts w:ascii="Times New Roman" w:hAnsi="Times New Roman" w:eastAsia="方正仿宋_GBK" w:cs="Times New Roman"/>
          <w:color w:val="000000"/>
          <w:sz w:val="32"/>
        </w:rPr>
        <w:t xml:space="preserve"> </w:t>
      </w:r>
    </w:p>
    <w:p w14:paraId="2936D4E8">
      <w:pPr>
        <w:spacing w:before="10" w:after="10" w:line="240" w:lineRule="auto"/>
        <w:ind w:firstLine="640"/>
        <w:jc w:val="left"/>
        <w:outlineLvl w:val="5"/>
      </w:pPr>
      <w:r>
        <w:rPr>
          <w:rFonts w:ascii="黑体" w:hAnsi="黑体" w:eastAsia="黑体" w:cs="黑体"/>
          <w:color w:val="000000"/>
          <w:sz w:val="32"/>
        </w:rPr>
        <w:t>七、国有资产信息</w:t>
      </w:r>
    </w:p>
    <w:p w14:paraId="0265F24F">
      <w:pPr>
        <w:spacing w:before="0" w:after="0" w:line="500" w:lineRule="exact"/>
        <w:ind w:firstLine="560"/>
        <w:jc w:val="left"/>
        <w:outlineLvl w:val="9"/>
      </w:pPr>
      <w:r>
        <w:rPr>
          <w:rFonts w:ascii="Times New Roman" w:hAnsi="Times New Roman" w:eastAsia="方正仿宋_GBK" w:cs="Times New Roman"/>
          <w:b w:val="0"/>
          <w:color w:val="000000"/>
          <w:sz w:val="28"/>
        </w:rPr>
        <w:t>隆尧县固城中学上年末固定资产金额为2830.63万元（详见下表）。本年度拟购置固定资产总额为53.00万元，已按要求列入政府采购预算，详见政府采购预算表。</w:t>
      </w:r>
    </w:p>
    <w:p w14:paraId="1ED6819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9C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8BC18D">
            <w:pPr>
              <w:pStyle w:val="9"/>
            </w:pPr>
            <w:r>
              <w:t>360010隆尧县固城中学</w:t>
            </w:r>
          </w:p>
        </w:tc>
        <w:tc>
          <w:tcPr>
            <w:tcW w:w="5670" w:type="dxa"/>
            <w:gridSpan w:val="2"/>
            <w:tcBorders>
              <w:top w:val="single" w:color="FFFFFF" w:sz="6" w:space="0"/>
              <w:left w:val="single" w:color="FFFFFF" w:sz="6" w:space="0"/>
              <w:right w:val="single" w:color="FFFFFF" w:sz="6" w:space="0"/>
            </w:tcBorders>
            <w:vAlign w:val="center"/>
          </w:tcPr>
          <w:p w14:paraId="7D8AF122">
            <w:pPr>
              <w:pStyle w:val="7"/>
            </w:pPr>
            <w:r>
              <w:t>截止时间：2025-12-31</w:t>
            </w:r>
          </w:p>
        </w:tc>
      </w:tr>
      <w:tr w14:paraId="0A89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082C97">
            <w:pPr>
              <w:pStyle w:val="10"/>
            </w:pPr>
            <w:r>
              <w:t>项   目</w:t>
            </w:r>
          </w:p>
        </w:tc>
        <w:tc>
          <w:tcPr>
            <w:tcW w:w="2835" w:type="dxa"/>
            <w:vAlign w:val="center"/>
          </w:tcPr>
          <w:p w14:paraId="36FD345E">
            <w:pPr>
              <w:pStyle w:val="10"/>
            </w:pPr>
            <w:r>
              <w:t>数量</w:t>
            </w:r>
          </w:p>
        </w:tc>
        <w:tc>
          <w:tcPr>
            <w:tcW w:w="2835" w:type="dxa"/>
            <w:vAlign w:val="center"/>
          </w:tcPr>
          <w:p w14:paraId="0FFBB4DA">
            <w:pPr>
              <w:pStyle w:val="10"/>
            </w:pPr>
            <w:r>
              <w:t>价值（金额单位：万元）</w:t>
            </w:r>
          </w:p>
        </w:tc>
      </w:tr>
      <w:tr w14:paraId="6937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5AA67B">
            <w:pPr>
              <w:pStyle w:val="12"/>
            </w:pPr>
            <w:r>
              <w:t>资产总额</w:t>
            </w:r>
          </w:p>
        </w:tc>
        <w:tc>
          <w:tcPr>
            <w:tcW w:w="2835" w:type="dxa"/>
            <w:vAlign w:val="center"/>
          </w:tcPr>
          <w:p w14:paraId="6A2AD032">
            <w:pPr>
              <w:pStyle w:val="13"/>
            </w:pPr>
          </w:p>
        </w:tc>
        <w:tc>
          <w:tcPr>
            <w:tcW w:w="2835" w:type="dxa"/>
            <w:vAlign w:val="center"/>
          </w:tcPr>
          <w:p w14:paraId="4431DB43">
            <w:pPr>
              <w:pStyle w:val="11"/>
            </w:pPr>
            <w:r>
              <w:t>2830.63</w:t>
            </w:r>
          </w:p>
        </w:tc>
      </w:tr>
      <w:tr w14:paraId="4DDE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B986B6">
            <w:pPr>
              <w:pStyle w:val="12"/>
            </w:pPr>
            <w:r>
              <w:t>1、房屋（平方米）</w:t>
            </w:r>
          </w:p>
        </w:tc>
        <w:tc>
          <w:tcPr>
            <w:tcW w:w="2835" w:type="dxa"/>
            <w:vAlign w:val="center"/>
          </w:tcPr>
          <w:p w14:paraId="2D4994BF">
            <w:pPr>
              <w:pStyle w:val="13"/>
            </w:pPr>
            <w:r>
              <w:t>21730.73</w:t>
            </w:r>
          </w:p>
        </w:tc>
        <w:tc>
          <w:tcPr>
            <w:tcW w:w="2835" w:type="dxa"/>
            <w:vAlign w:val="center"/>
          </w:tcPr>
          <w:p w14:paraId="4EAD6F0D">
            <w:pPr>
              <w:pStyle w:val="11"/>
            </w:pPr>
            <w:r>
              <w:t>1623.20</w:t>
            </w:r>
          </w:p>
        </w:tc>
      </w:tr>
      <w:tr w14:paraId="6792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E3468C">
            <w:pPr>
              <w:pStyle w:val="12"/>
            </w:pPr>
            <w:r>
              <w:t>　　其中：办公用房（平方米）</w:t>
            </w:r>
          </w:p>
        </w:tc>
        <w:tc>
          <w:tcPr>
            <w:tcW w:w="2835" w:type="dxa"/>
            <w:vAlign w:val="center"/>
          </w:tcPr>
          <w:p w14:paraId="2DD7ED05">
            <w:pPr>
              <w:pStyle w:val="13"/>
            </w:pPr>
            <w:r>
              <w:t>1161</w:t>
            </w:r>
          </w:p>
        </w:tc>
        <w:tc>
          <w:tcPr>
            <w:tcW w:w="2835" w:type="dxa"/>
            <w:vAlign w:val="center"/>
          </w:tcPr>
          <w:p w14:paraId="7238D5BD">
            <w:pPr>
              <w:pStyle w:val="11"/>
            </w:pPr>
            <w:r>
              <w:t>84.82</w:t>
            </w:r>
          </w:p>
        </w:tc>
      </w:tr>
      <w:tr w14:paraId="4E4B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83D4D9">
            <w:pPr>
              <w:pStyle w:val="12"/>
            </w:pPr>
            <w:r>
              <w:t>2、车辆（台、辆）</w:t>
            </w:r>
          </w:p>
        </w:tc>
        <w:tc>
          <w:tcPr>
            <w:tcW w:w="2835" w:type="dxa"/>
            <w:vAlign w:val="center"/>
          </w:tcPr>
          <w:p w14:paraId="5AA41284">
            <w:pPr>
              <w:pStyle w:val="13"/>
            </w:pPr>
          </w:p>
        </w:tc>
        <w:tc>
          <w:tcPr>
            <w:tcW w:w="2835" w:type="dxa"/>
            <w:vAlign w:val="center"/>
          </w:tcPr>
          <w:p w14:paraId="605CDC76">
            <w:pPr>
              <w:pStyle w:val="11"/>
            </w:pPr>
          </w:p>
        </w:tc>
      </w:tr>
      <w:tr w14:paraId="01DE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04D31A">
            <w:pPr>
              <w:pStyle w:val="12"/>
            </w:pPr>
            <w:r>
              <w:t>3、单价在20万元以上的设备</w:t>
            </w:r>
          </w:p>
        </w:tc>
        <w:tc>
          <w:tcPr>
            <w:tcW w:w="2835" w:type="dxa"/>
            <w:vAlign w:val="center"/>
          </w:tcPr>
          <w:p w14:paraId="22F1726D">
            <w:pPr>
              <w:pStyle w:val="13"/>
            </w:pPr>
          </w:p>
        </w:tc>
        <w:tc>
          <w:tcPr>
            <w:tcW w:w="2835" w:type="dxa"/>
            <w:vAlign w:val="center"/>
          </w:tcPr>
          <w:p w14:paraId="70DAECE0">
            <w:pPr>
              <w:pStyle w:val="11"/>
            </w:pPr>
          </w:p>
        </w:tc>
      </w:tr>
      <w:tr w14:paraId="180D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176E9F">
            <w:pPr>
              <w:pStyle w:val="12"/>
            </w:pPr>
            <w:r>
              <w:t>4、其他固定资产</w:t>
            </w:r>
          </w:p>
        </w:tc>
        <w:tc>
          <w:tcPr>
            <w:tcW w:w="2835" w:type="dxa"/>
            <w:vAlign w:val="center"/>
          </w:tcPr>
          <w:p w14:paraId="1F51E17A">
            <w:pPr>
              <w:pStyle w:val="13"/>
            </w:pPr>
            <w:r>
              <w:t>188833</w:t>
            </w:r>
          </w:p>
        </w:tc>
        <w:tc>
          <w:tcPr>
            <w:tcW w:w="2835" w:type="dxa"/>
            <w:vAlign w:val="center"/>
          </w:tcPr>
          <w:p w14:paraId="41F5B6A3">
            <w:pPr>
              <w:pStyle w:val="11"/>
            </w:pPr>
            <w:r>
              <w:t>1207.43</w:t>
            </w:r>
          </w:p>
        </w:tc>
      </w:tr>
    </w:tbl>
    <w:p w14:paraId="2D93EDF6">
      <w:pPr>
        <w:spacing w:before="0" w:after="0"/>
        <w:ind w:firstLine="640"/>
        <w:jc w:val="left"/>
        <w:outlineLvl w:val="9"/>
      </w:pPr>
      <w:r>
        <w:rPr>
          <w:rFonts w:ascii="Times New Roman" w:hAnsi="Times New Roman" w:eastAsia="方正仿宋_GBK" w:cs="Times New Roman"/>
          <w:color w:val="000000"/>
          <w:sz w:val="32"/>
        </w:rPr>
        <w:t xml:space="preserve"> </w:t>
      </w:r>
    </w:p>
    <w:p w14:paraId="10C8F790">
      <w:pPr>
        <w:spacing w:before="10" w:after="10" w:line="240" w:lineRule="auto"/>
        <w:ind w:firstLine="640"/>
        <w:jc w:val="left"/>
        <w:outlineLvl w:val="5"/>
      </w:pPr>
      <w:r>
        <w:rPr>
          <w:rFonts w:ascii="黑体" w:hAnsi="黑体" w:eastAsia="黑体" w:cs="黑体"/>
          <w:color w:val="000000"/>
          <w:sz w:val="32"/>
        </w:rPr>
        <w:t>八、名词解释</w:t>
      </w:r>
    </w:p>
    <w:p w14:paraId="005AA43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7DD9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638A8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53547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41B20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C4F50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869E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BBB42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6762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DF8DB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759351">
      <w:pPr>
        <w:spacing w:before="10" w:after="10" w:line="240" w:lineRule="auto"/>
        <w:ind w:firstLine="640"/>
        <w:jc w:val="left"/>
        <w:outlineLvl w:val="5"/>
      </w:pPr>
      <w:r>
        <w:rPr>
          <w:rFonts w:ascii="黑体" w:hAnsi="黑体" w:eastAsia="黑体" w:cs="黑体"/>
          <w:color w:val="000000"/>
          <w:sz w:val="32"/>
        </w:rPr>
        <w:t>九、其他需要说明的事项</w:t>
      </w:r>
    </w:p>
    <w:p w14:paraId="42C1742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8D978B">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十、河北省隆尧县实验中学收支预算</w:t>
      </w:r>
      <w:bookmarkEnd w:id="9"/>
    </w:p>
    <w:p w14:paraId="24F6E9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E02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D8B389">
            <w:pPr>
              <w:pStyle w:val="9"/>
            </w:pPr>
            <w:r>
              <w:t>360011河北省隆尧县实验中学</w:t>
            </w:r>
          </w:p>
        </w:tc>
        <w:tc>
          <w:tcPr>
            <w:tcW w:w="2126" w:type="dxa"/>
            <w:tcBorders>
              <w:top w:val="single" w:color="FFFFFF" w:sz="6" w:space="0"/>
              <w:left w:val="single" w:color="FFFFFF" w:sz="6" w:space="0"/>
              <w:right w:val="single" w:color="FFFFFF" w:sz="6" w:space="0"/>
            </w:tcBorders>
            <w:vAlign w:val="center"/>
          </w:tcPr>
          <w:p w14:paraId="66DFE00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2A8F037">
            <w:pPr>
              <w:pStyle w:val="7"/>
            </w:pPr>
            <w:r>
              <w:t>单位：万元</w:t>
            </w:r>
          </w:p>
        </w:tc>
      </w:tr>
      <w:tr w14:paraId="3A93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8E4F39">
            <w:pPr>
              <w:pStyle w:val="10"/>
            </w:pPr>
            <w:r>
              <w:t>序号</w:t>
            </w:r>
          </w:p>
        </w:tc>
        <w:tc>
          <w:tcPr>
            <w:tcW w:w="6661" w:type="dxa"/>
            <w:gridSpan w:val="2"/>
            <w:vAlign w:val="center"/>
          </w:tcPr>
          <w:p w14:paraId="3202B9FF">
            <w:pPr>
              <w:pStyle w:val="10"/>
            </w:pPr>
            <w:r>
              <w:t>收入</w:t>
            </w:r>
          </w:p>
        </w:tc>
        <w:tc>
          <w:tcPr>
            <w:tcW w:w="6661" w:type="dxa"/>
            <w:gridSpan w:val="2"/>
            <w:vAlign w:val="center"/>
          </w:tcPr>
          <w:p w14:paraId="3728B9C9">
            <w:pPr>
              <w:pStyle w:val="10"/>
            </w:pPr>
            <w:r>
              <w:t>支出</w:t>
            </w:r>
          </w:p>
        </w:tc>
      </w:tr>
      <w:tr w14:paraId="1862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5211B9"/>
        </w:tc>
        <w:tc>
          <w:tcPr>
            <w:tcW w:w="4535" w:type="dxa"/>
            <w:vAlign w:val="center"/>
          </w:tcPr>
          <w:p w14:paraId="3009A139">
            <w:pPr>
              <w:pStyle w:val="10"/>
            </w:pPr>
            <w:r>
              <w:t>项  目</w:t>
            </w:r>
          </w:p>
        </w:tc>
        <w:tc>
          <w:tcPr>
            <w:tcW w:w="2126" w:type="dxa"/>
            <w:vAlign w:val="center"/>
          </w:tcPr>
          <w:p w14:paraId="72EC1C57">
            <w:pPr>
              <w:pStyle w:val="10"/>
            </w:pPr>
            <w:r>
              <w:t>预算数</w:t>
            </w:r>
          </w:p>
        </w:tc>
        <w:tc>
          <w:tcPr>
            <w:tcW w:w="4535" w:type="dxa"/>
            <w:vAlign w:val="center"/>
          </w:tcPr>
          <w:p w14:paraId="07F25DA5">
            <w:pPr>
              <w:pStyle w:val="10"/>
            </w:pPr>
            <w:r>
              <w:t>项  目</w:t>
            </w:r>
          </w:p>
        </w:tc>
        <w:tc>
          <w:tcPr>
            <w:tcW w:w="2126" w:type="dxa"/>
            <w:vAlign w:val="center"/>
          </w:tcPr>
          <w:p w14:paraId="328FB599">
            <w:pPr>
              <w:pStyle w:val="10"/>
            </w:pPr>
            <w:r>
              <w:t>预算数</w:t>
            </w:r>
          </w:p>
        </w:tc>
      </w:tr>
      <w:tr w14:paraId="7F85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E4B25">
            <w:pPr>
              <w:pStyle w:val="10"/>
            </w:pPr>
            <w:r>
              <w:t>栏次</w:t>
            </w:r>
          </w:p>
        </w:tc>
        <w:tc>
          <w:tcPr>
            <w:tcW w:w="4535" w:type="dxa"/>
            <w:vAlign w:val="center"/>
          </w:tcPr>
          <w:p w14:paraId="1D090687">
            <w:pPr>
              <w:pStyle w:val="10"/>
            </w:pPr>
            <w:r>
              <w:t>1</w:t>
            </w:r>
          </w:p>
        </w:tc>
        <w:tc>
          <w:tcPr>
            <w:tcW w:w="2126" w:type="dxa"/>
            <w:vAlign w:val="center"/>
          </w:tcPr>
          <w:p w14:paraId="0BF2FACB">
            <w:pPr>
              <w:pStyle w:val="10"/>
            </w:pPr>
            <w:r>
              <w:t>2</w:t>
            </w:r>
          </w:p>
        </w:tc>
        <w:tc>
          <w:tcPr>
            <w:tcW w:w="4535" w:type="dxa"/>
            <w:vAlign w:val="center"/>
          </w:tcPr>
          <w:p w14:paraId="60CE252E">
            <w:pPr>
              <w:pStyle w:val="10"/>
            </w:pPr>
            <w:r>
              <w:t>3</w:t>
            </w:r>
          </w:p>
        </w:tc>
        <w:tc>
          <w:tcPr>
            <w:tcW w:w="2126" w:type="dxa"/>
            <w:vAlign w:val="center"/>
          </w:tcPr>
          <w:p w14:paraId="0B4B4581">
            <w:pPr>
              <w:pStyle w:val="10"/>
            </w:pPr>
            <w:r>
              <w:t>4</w:t>
            </w:r>
          </w:p>
        </w:tc>
      </w:tr>
      <w:tr w14:paraId="0891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0FB56">
            <w:pPr>
              <w:pStyle w:val="13"/>
            </w:pPr>
            <w:r>
              <w:t>1</w:t>
            </w:r>
          </w:p>
        </w:tc>
        <w:tc>
          <w:tcPr>
            <w:tcW w:w="4535" w:type="dxa"/>
            <w:vAlign w:val="center"/>
          </w:tcPr>
          <w:p w14:paraId="23DF59C8">
            <w:pPr>
              <w:pStyle w:val="12"/>
            </w:pPr>
            <w:r>
              <w:t>一、一般公共预算拨款收入</w:t>
            </w:r>
          </w:p>
        </w:tc>
        <w:tc>
          <w:tcPr>
            <w:tcW w:w="2126" w:type="dxa"/>
            <w:vAlign w:val="center"/>
          </w:tcPr>
          <w:p w14:paraId="32F85FF7">
            <w:pPr>
              <w:pStyle w:val="11"/>
            </w:pPr>
            <w:r>
              <w:t>3537.38</w:t>
            </w:r>
          </w:p>
        </w:tc>
        <w:tc>
          <w:tcPr>
            <w:tcW w:w="4535" w:type="dxa"/>
            <w:vAlign w:val="center"/>
          </w:tcPr>
          <w:p w14:paraId="3C2149B6">
            <w:pPr>
              <w:pStyle w:val="12"/>
            </w:pPr>
            <w:r>
              <w:t>一、一般公共服务支出</w:t>
            </w:r>
          </w:p>
        </w:tc>
        <w:tc>
          <w:tcPr>
            <w:tcW w:w="2126" w:type="dxa"/>
            <w:vAlign w:val="center"/>
          </w:tcPr>
          <w:p w14:paraId="697F0015">
            <w:pPr>
              <w:pStyle w:val="11"/>
            </w:pPr>
          </w:p>
        </w:tc>
      </w:tr>
      <w:tr w14:paraId="1E2F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AB53">
            <w:pPr>
              <w:pStyle w:val="13"/>
            </w:pPr>
            <w:r>
              <w:t>2</w:t>
            </w:r>
          </w:p>
        </w:tc>
        <w:tc>
          <w:tcPr>
            <w:tcW w:w="4535" w:type="dxa"/>
            <w:vAlign w:val="center"/>
          </w:tcPr>
          <w:p w14:paraId="50141078">
            <w:pPr>
              <w:pStyle w:val="12"/>
            </w:pPr>
            <w:r>
              <w:t>二、政府性基金预算拨款收入</w:t>
            </w:r>
          </w:p>
        </w:tc>
        <w:tc>
          <w:tcPr>
            <w:tcW w:w="2126" w:type="dxa"/>
            <w:vAlign w:val="center"/>
          </w:tcPr>
          <w:p w14:paraId="05BFEBF6">
            <w:pPr>
              <w:pStyle w:val="11"/>
            </w:pPr>
          </w:p>
        </w:tc>
        <w:tc>
          <w:tcPr>
            <w:tcW w:w="4535" w:type="dxa"/>
            <w:vAlign w:val="center"/>
          </w:tcPr>
          <w:p w14:paraId="20E233DF">
            <w:pPr>
              <w:pStyle w:val="12"/>
            </w:pPr>
            <w:r>
              <w:t>二、外交支出</w:t>
            </w:r>
          </w:p>
        </w:tc>
        <w:tc>
          <w:tcPr>
            <w:tcW w:w="2126" w:type="dxa"/>
            <w:vAlign w:val="center"/>
          </w:tcPr>
          <w:p w14:paraId="4942FF4B">
            <w:pPr>
              <w:pStyle w:val="11"/>
            </w:pPr>
          </w:p>
        </w:tc>
      </w:tr>
      <w:tr w14:paraId="1671B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0895C">
            <w:pPr>
              <w:pStyle w:val="13"/>
            </w:pPr>
            <w:r>
              <w:t>3</w:t>
            </w:r>
          </w:p>
        </w:tc>
        <w:tc>
          <w:tcPr>
            <w:tcW w:w="4535" w:type="dxa"/>
            <w:vAlign w:val="center"/>
          </w:tcPr>
          <w:p w14:paraId="142EEE62">
            <w:pPr>
              <w:pStyle w:val="12"/>
            </w:pPr>
            <w:r>
              <w:t>三、国有资本经营预算拨款收入</w:t>
            </w:r>
          </w:p>
        </w:tc>
        <w:tc>
          <w:tcPr>
            <w:tcW w:w="2126" w:type="dxa"/>
            <w:vAlign w:val="center"/>
          </w:tcPr>
          <w:p w14:paraId="76964CBF">
            <w:pPr>
              <w:pStyle w:val="11"/>
            </w:pPr>
          </w:p>
        </w:tc>
        <w:tc>
          <w:tcPr>
            <w:tcW w:w="4535" w:type="dxa"/>
            <w:vAlign w:val="center"/>
          </w:tcPr>
          <w:p w14:paraId="7A190206">
            <w:pPr>
              <w:pStyle w:val="12"/>
            </w:pPr>
            <w:r>
              <w:t>三、国防支出</w:t>
            </w:r>
          </w:p>
        </w:tc>
        <w:tc>
          <w:tcPr>
            <w:tcW w:w="2126" w:type="dxa"/>
            <w:vAlign w:val="center"/>
          </w:tcPr>
          <w:p w14:paraId="3CAEDBC3">
            <w:pPr>
              <w:pStyle w:val="11"/>
            </w:pPr>
          </w:p>
        </w:tc>
      </w:tr>
      <w:tr w14:paraId="0364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1C36">
            <w:pPr>
              <w:pStyle w:val="13"/>
            </w:pPr>
            <w:r>
              <w:t>4</w:t>
            </w:r>
          </w:p>
        </w:tc>
        <w:tc>
          <w:tcPr>
            <w:tcW w:w="4535" w:type="dxa"/>
            <w:vAlign w:val="center"/>
          </w:tcPr>
          <w:p w14:paraId="507AB652">
            <w:pPr>
              <w:pStyle w:val="12"/>
            </w:pPr>
            <w:r>
              <w:t>四、财政专户管理资金收入</w:t>
            </w:r>
          </w:p>
        </w:tc>
        <w:tc>
          <w:tcPr>
            <w:tcW w:w="2126" w:type="dxa"/>
            <w:vAlign w:val="center"/>
          </w:tcPr>
          <w:p w14:paraId="564277D2">
            <w:pPr>
              <w:pStyle w:val="11"/>
            </w:pPr>
          </w:p>
        </w:tc>
        <w:tc>
          <w:tcPr>
            <w:tcW w:w="4535" w:type="dxa"/>
            <w:vAlign w:val="center"/>
          </w:tcPr>
          <w:p w14:paraId="07262119">
            <w:pPr>
              <w:pStyle w:val="12"/>
            </w:pPr>
            <w:r>
              <w:t>四、公共安全支出</w:t>
            </w:r>
          </w:p>
        </w:tc>
        <w:tc>
          <w:tcPr>
            <w:tcW w:w="2126" w:type="dxa"/>
            <w:vAlign w:val="center"/>
          </w:tcPr>
          <w:p w14:paraId="71227EB9">
            <w:pPr>
              <w:pStyle w:val="11"/>
            </w:pPr>
          </w:p>
        </w:tc>
      </w:tr>
      <w:tr w14:paraId="3C02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F68A3">
            <w:pPr>
              <w:pStyle w:val="13"/>
            </w:pPr>
            <w:r>
              <w:t>5</w:t>
            </w:r>
          </w:p>
        </w:tc>
        <w:tc>
          <w:tcPr>
            <w:tcW w:w="4535" w:type="dxa"/>
            <w:vAlign w:val="center"/>
          </w:tcPr>
          <w:p w14:paraId="7EB9051F">
            <w:pPr>
              <w:pStyle w:val="12"/>
            </w:pPr>
            <w:r>
              <w:t>五、单位资金</w:t>
            </w:r>
          </w:p>
        </w:tc>
        <w:tc>
          <w:tcPr>
            <w:tcW w:w="2126" w:type="dxa"/>
            <w:vAlign w:val="center"/>
          </w:tcPr>
          <w:p w14:paraId="0953BB90">
            <w:pPr>
              <w:pStyle w:val="11"/>
            </w:pPr>
          </w:p>
        </w:tc>
        <w:tc>
          <w:tcPr>
            <w:tcW w:w="4535" w:type="dxa"/>
            <w:vAlign w:val="center"/>
          </w:tcPr>
          <w:p w14:paraId="5B12C59F">
            <w:pPr>
              <w:pStyle w:val="12"/>
            </w:pPr>
            <w:r>
              <w:t>五、教育支出</w:t>
            </w:r>
          </w:p>
        </w:tc>
        <w:tc>
          <w:tcPr>
            <w:tcW w:w="2126" w:type="dxa"/>
            <w:vAlign w:val="center"/>
          </w:tcPr>
          <w:p w14:paraId="7C422D34">
            <w:pPr>
              <w:pStyle w:val="11"/>
            </w:pPr>
            <w:r>
              <w:t>3537.38</w:t>
            </w:r>
          </w:p>
        </w:tc>
      </w:tr>
      <w:tr w14:paraId="40FB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DBC45">
            <w:pPr>
              <w:pStyle w:val="13"/>
            </w:pPr>
            <w:r>
              <w:t>6</w:t>
            </w:r>
          </w:p>
        </w:tc>
        <w:tc>
          <w:tcPr>
            <w:tcW w:w="4535" w:type="dxa"/>
            <w:vAlign w:val="center"/>
          </w:tcPr>
          <w:p w14:paraId="3B0778B6">
            <w:pPr>
              <w:pStyle w:val="12"/>
            </w:pPr>
          </w:p>
        </w:tc>
        <w:tc>
          <w:tcPr>
            <w:tcW w:w="2126" w:type="dxa"/>
            <w:vAlign w:val="center"/>
          </w:tcPr>
          <w:p w14:paraId="17FAFA84">
            <w:pPr>
              <w:pStyle w:val="11"/>
            </w:pPr>
          </w:p>
        </w:tc>
        <w:tc>
          <w:tcPr>
            <w:tcW w:w="4535" w:type="dxa"/>
            <w:vAlign w:val="center"/>
          </w:tcPr>
          <w:p w14:paraId="1F538401">
            <w:pPr>
              <w:pStyle w:val="12"/>
            </w:pPr>
            <w:r>
              <w:t>六、科学技术支出</w:t>
            </w:r>
          </w:p>
        </w:tc>
        <w:tc>
          <w:tcPr>
            <w:tcW w:w="2126" w:type="dxa"/>
            <w:vAlign w:val="center"/>
          </w:tcPr>
          <w:p w14:paraId="0040B9A2">
            <w:pPr>
              <w:pStyle w:val="11"/>
            </w:pPr>
          </w:p>
        </w:tc>
      </w:tr>
      <w:tr w14:paraId="4E35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D2FE">
            <w:pPr>
              <w:pStyle w:val="13"/>
            </w:pPr>
            <w:r>
              <w:t>7</w:t>
            </w:r>
          </w:p>
        </w:tc>
        <w:tc>
          <w:tcPr>
            <w:tcW w:w="4535" w:type="dxa"/>
            <w:vAlign w:val="center"/>
          </w:tcPr>
          <w:p w14:paraId="696E8FA9">
            <w:pPr>
              <w:pStyle w:val="12"/>
            </w:pPr>
          </w:p>
        </w:tc>
        <w:tc>
          <w:tcPr>
            <w:tcW w:w="2126" w:type="dxa"/>
            <w:vAlign w:val="center"/>
          </w:tcPr>
          <w:p w14:paraId="7C2701E3">
            <w:pPr>
              <w:pStyle w:val="11"/>
            </w:pPr>
          </w:p>
        </w:tc>
        <w:tc>
          <w:tcPr>
            <w:tcW w:w="4535" w:type="dxa"/>
            <w:vAlign w:val="center"/>
          </w:tcPr>
          <w:p w14:paraId="15C7BD9B">
            <w:pPr>
              <w:pStyle w:val="12"/>
            </w:pPr>
            <w:r>
              <w:t>七、文化旅游体育与传媒支出</w:t>
            </w:r>
          </w:p>
        </w:tc>
        <w:tc>
          <w:tcPr>
            <w:tcW w:w="2126" w:type="dxa"/>
            <w:vAlign w:val="center"/>
          </w:tcPr>
          <w:p w14:paraId="6A73B8D3">
            <w:pPr>
              <w:pStyle w:val="11"/>
            </w:pPr>
          </w:p>
        </w:tc>
      </w:tr>
      <w:tr w14:paraId="21201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F779D">
            <w:pPr>
              <w:pStyle w:val="13"/>
            </w:pPr>
            <w:r>
              <w:t>8</w:t>
            </w:r>
          </w:p>
        </w:tc>
        <w:tc>
          <w:tcPr>
            <w:tcW w:w="4535" w:type="dxa"/>
            <w:vAlign w:val="center"/>
          </w:tcPr>
          <w:p w14:paraId="22B6D546">
            <w:pPr>
              <w:pStyle w:val="12"/>
            </w:pPr>
          </w:p>
        </w:tc>
        <w:tc>
          <w:tcPr>
            <w:tcW w:w="2126" w:type="dxa"/>
            <w:vAlign w:val="center"/>
          </w:tcPr>
          <w:p w14:paraId="050EB53C">
            <w:pPr>
              <w:pStyle w:val="11"/>
            </w:pPr>
          </w:p>
        </w:tc>
        <w:tc>
          <w:tcPr>
            <w:tcW w:w="4535" w:type="dxa"/>
            <w:vAlign w:val="center"/>
          </w:tcPr>
          <w:p w14:paraId="70929F7E">
            <w:pPr>
              <w:pStyle w:val="12"/>
            </w:pPr>
            <w:r>
              <w:t>八、社会保障和就业支出</w:t>
            </w:r>
          </w:p>
        </w:tc>
        <w:tc>
          <w:tcPr>
            <w:tcW w:w="2126" w:type="dxa"/>
            <w:vAlign w:val="center"/>
          </w:tcPr>
          <w:p w14:paraId="56B2D094">
            <w:pPr>
              <w:pStyle w:val="11"/>
            </w:pPr>
          </w:p>
        </w:tc>
      </w:tr>
      <w:tr w14:paraId="5220E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0D3D">
            <w:pPr>
              <w:pStyle w:val="13"/>
            </w:pPr>
            <w:r>
              <w:t>9</w:t>
            </w:r>
          </w:p>
        </w:tc>
        <w:tc>
          <w:tcPr>
            <w:tcW w:w="4535" w:type="dxa"/>
            <w:vAlign w:val="center"/>
          </w:tcPr>
          <w:p w14:paraId="347D4F17">
            <w:pPr>
              <w:pStyle w:val="12"/>
            </w:pPr>
          </w:p>
        </w:tc>
        <w:tc>
          <w:tcPr>
            <w:tcW w:w="2126" w:type="dxa"/>
            <w:vAlign w:val="center"/>
          </w:tcPr>
          <w:p w14:paraId="6ED0518C">
            <w:pPr>
              <w:pStyle w:val="11"/>
            </w:pPr>
          </w:p>
        </w:tc>
        <w:tc>
          <w:tcPr>
            <w:tcW w:w="4535" w:type="dxa"/>
            <w:vAlign w:val="center"/>
          </w:tcPr>
          <w:p w14:paraId="06A22662">
            <w:pPr>
              <w:pStyle w:val="12"/>
            </w:pPr>
            <w:r>
              <w:t>九、社会保险基金支出</w:t>
            </w:r>
          </w:p>
        </w:tc>
        <w:tc>
          <w:tcPr>
            <w:tcW w:w="2126" w:type="dxa"/>
            <w:vAlign w:val="center"/>
          </w:tcPr>
          <w:p w14:paraId="62452044">
            <w:pPr>
              <w:pStyle w:val="11"/>
            </w:pPr>
          </w:p>
        </w:tc>
      </w:tr>
      <w:tr w14:paraId="2061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4D03">
            <w:pPr>
              <w:pStyle w:val="13"/>
            </w:pPr>
            <w:r>
              <w:t>10</w:t>
            </w:r>
          </w:p>
        </w:tc>
        <w:tc>
          <w:tcPr>
            <w:tcW w:w="4535" w:type="dxa"/>
            <w:vAlign w:val="center"/>
          </w:tcPr>
          <w:p w14:paraId="79520675">
            <w:pPr>
              <w:pStyle w:val="12"/>
            </w:pPr>
          </w:p>
        </w:tc>
        <w:tc>
          <w:tcPr>
            <w:tcW w:w="2126" w:type="dxa"/>
            <w:vAlign w:val="center"/>
          </w:tcPr>
          <w:p w14:paraId="083819B6">
            <w:pPr>
              <w:pStyle w:val="11"/>
            </w:pPr>
          </w:p>
        </w:tc>
        <w:tc>
          <w:tcPr>
            <w:tcW w:w="4535" w:type="dxa"/>
            <w:vAlign w:val="center"/>
          </w:tcPr>
          <w:p w14:paraId="4F7B3165">
            <w:pPr>
              <w:pStyle w:val="12"/>
            </w:pPr>
            <w:r>
              <w:t>十、卫生健康支出</w:t>
            </w:r>
          </w:p>
        </w:tc>
        <w:tc>
          <w:tcPr>
            <w:tcW w:w="2126" w:type="dxa"/>
            <w:vAlign w:val="center"/>
          </w:tcPr>
          <w:p w14:paraId="7E35B3F7">
            <w:pPr>
              <w:pStyle w:val="11"/>
            </w:pPr>
          </w:p>
        </w:tc>
      </w:tr>
      <w:tr w14:paraId="1462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FB8E">
            <w:pPr>
              <w:pStyle w:val="13"/>
            </w:pPr>
            <w:r>
              <w:t>11</w:t>
            </w:r>
          </w:p>
        </w:tc>
        <w:tc>
          <w:tcPr>
            <w:tcW w:w="4535" w:type="dxa"/>
            <w:vAlign w:val="center"/>
          </w:tcPr>
          <w:p w14:paraId="02137140">
            <w:pPr>
              <w:pStyle w:val="12"/>
            </w:pPr>
          </w:p>
        </w:tc>
        <w:tc>
          <w:tcPr>
            <w:tcW w:w="2126" w:type="dxa"/>
            <w:vAlign w:val="center"/>
          </w:tcPr>
          <w:p w14:paraId="556852A8">
            <w:pPr>
              <w:pStyle w:val="11"/>
            </w:pPr>
          </w:p>
        </w:tc>
        <w:tc>
          <w:tcPr>
            <w:tcW w:w="4535" w:type="dxa"/>
            <w:vAlign w:val="center"/>
          </w:tcPr>
          <w:p w14:paraId="5B1D418D">
            <w:pPr>
              <w:pStyle w:val="12"/>
            </w:pPr>
            <w:r>
              <w:t>十一、节能环保支出</w:t>
            </w:r>
          </w:p>
        </w:tc>
        <w:tc>
          <w:tcPr>
            <w:tcW w:w="2126" w:type="dxa"/>
            <w:vAlign w:val="center"/>
          </w:tcPr>
          <w:p w14:paraId="56633193">
            <w:pPr>
              <w:pStyle w:val="11"/>
            </w:pPr>
          </w:p>
        </w:tc>
      </w:tr>
      <w:tr w14:paraId="49FA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5036D">
            <w:pPr>
              <w:pStyle w:val="13"/>
            </w:pPr>
            <w:r>
              <w:t>12</w:t>
            </w:r>
          </w:p>
        </w:tc>
        <w:tc>
          <w:tcPr>
            <w:tcW w:w="4535" w:type="dxa"/>
            <w:vAlign w:val="center"/>
          </w:tcPr>
          <w:p w14:paraId="6EEE09F3">
            <w:pPr>
              <w:pStyle w:val="12"/>
            </w:pPr>
          </w:p>
        </w:tc>
        <w:tc>
          <w:tcPr>
            <w:tcW w:w="2126" w:type="dxa"/>
            <w:vAlign w:val="center"/>
          </w:tcPr>
          <w:p w14:paraId="6D940553">
            <w:pPr>
              <w:pStyle w:val="11"/>
            </w:pPr>
          </w:p>
        </w:tc>
        <w:tc>
          <w:tcPr>
            <w:tcW w:w="4535" w:type="dxa"/>
            <w:vAlign w:val="center"/>
          </w:tcPr>
          <w:p w14:paraId="05A2DA16">
            <w:pPr>
              <w:pStyle w:val="12"/>
            </w:pPr>
            <w:r>
              <w:t>十二、城乡社区支出</w:t>
            </w:r>
          </w:p>
        </w:tc>
        <w:tc>
          <w:tcPr>
            <w:tcW w:w="2126" w:type="dxa"/>
            <w:vAlign w:val="center"/>
          </w:tcPr>
          <w:p w14:paraId="18DA18BD">
            <w:pPr>
              <w:pStyle w:val="11"/>
            </w:pPr>
          </w:p>
        </w:tc>
      </w:tr>
      <w:tr w14:paraId="4A22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6991">
            <w:pPr>
              <w:pStyle w:val="13"/>
            </w:pPr>
            <w:r>
              <w:t>13</w:t>
            </w:r>
          </w:p>
        </w:tc>
        <w:tc>
          <w:tcPr>
            <w:tcW w:w="4535" w:type="dxa"/>
            <w:vAlign w:val="center"/>
          </w:tcPr>
          <w:p w14:paraId="40F888E3">
            <w:pPr>
              <w:pStyle w:val="12"/>
            </w:pPr>
          </w:p>
        </w:tc>
        <w:tc>
          <w:tcPr>
            <w:tcW w:w="2126" w:type="dxa"/>
            <w:vAlign w:val="center"/>
          </w:tcPr>
          <w:p w14:paraId="280A3DE4">
            <w:pPr>
              <w:pStyle w:val="11"/>
            </w:pPr>
          </w:p>
        </w:tc>
        <w:tc>
          <w:tcPr>
            <w:tcW w:w="4535" w:type="dxa"/>
            <w:vAlign w:val="center"/>
          </w:tcPr>
          <w:p w14:paraId="369BB5F6">
            <w:pPr>
              <w:pStyle w:val="12"/>
            </w:pPr>
            <w:r>
              <w:t>十三、农林水支出</w:t>
            </w:r>
          </w:p>
        </w:tc>
        <w:tc>
          <w:tcPr>
            <w:tcW w:w="2126" w:type="dxa"/>
            <w:vAlign w:val="center"/>
          </w:tcPr>
          <w:p w14:paraId="3457CD56">
            <w:pPr>
              <w:pStyle w:val="11"/>
            </w:pPr>
          </w:p>
        </w:tc>
      </w:tr>
      <w:tr w14:paraId="562F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FA9D">
            <w:pPr>
              <w:pStyle w:val="13"/>
            </w:pPr>
            <w:r>
              <w:t>14</w:t>
            </w:r>
          </w:p>
        </w:tc>
        <w:tc>
          <w:tcPr>
            <w:tcW w:w="4535" w:type="dxa"/>
            <w:vAlign w:val="center"/>
          </w:tcPr>
          <w:p w14:paraId="219AFCD0">
            <w:pPr>
              <w:pStyle w:val="12"/>
            </w:pPr>
          </w:p>
        </w:tc>
        <w:tc>
          <w:tcPr>
            <w:tcW w:w="2126" w:type="dxa"/>
            <w:vAlign w:val="center"/>
          </w:tcPr>
          <w:p w14:paraId="7439F0F6">
            <w:pPr>
              <w:pStyle w:val="11"/>
            </w:pPr>
          </w:p>
        </w:tc>
        <w:tc>
          <w:tcPr>
            <w:tcW w:w="4535" w:type="dxa"/>
            <w:vAlign w:val="center"/>
          </w:tcPr>
          <w:p w14:paraId="3C95AA5E">
            <w:pPr>
              <w:pStyle w:val="12"/>
            </w:pPr>
            <w:r>
              <w:t>十四、交通运输支出</w:t>
            </w:r>
          </w:p>
        </w:tc>
        <w:tc>
          <w:tcPr>
            <w:tcW w:w="2126" w:type="dxa"/>
            <w:vAlign w:val="center"/>
          </w:tcPr>
          <w:p w14:paraId="73A011C4">
            <w:pPr>
              <w:pStyle w:val="11"/>
            </w:pPr>
          </w:p>
        </w:tc>
      </w:tr>
      <w:tr w14:paraId="3B217FC6">
        <w:tblPrEx>
          <w:tblCellMar>
            <w:top w:w="0" w:type="dxa"/>
            <w:left w:w="108" w:type="dxa"/>
            <w:bottom w:w="0" w:type="dxa"/>
            <w:right w:w="108" w:type="dxa"/>
          </w:tblCellMar>
        </w:tblPrEx>
        <w:trPr>
          <w:trHeight w:val="369" w:hRule="atLeast"/>
          <w:jc w:val="center"/>
        </w:trPr>
        <w:tc>
          <w:tcPr>
            <w:tcW w:w="850" w:type="dxa"/>
            <w:vAlign w:val="center"/>
          </w:tcPr>
          <w:p w14:paraId="2DCB102F">
            <w:pPr>
              <w:pStyle w:val="13"/>
            </w:pPr>
            <w:r>
              <w:t>15</w:t>
            </w:r>
          </w:p>
        </w:tc>
        <w:tc>
          <w:tcPr>
            <w:tcW w:w="4535" w:type="dxa"/>
            <w:vAlign w:val="center"/>
          </w:tcPr>
          <w:p w14:paraId="4F362C28">
            <w:pPr>
              <w:pStyle w:val="12"/>
            </w:pPr>
          </w:p>
        </w:tc>
        <w:tc>
          <w:tcPr>
            <w:tcW w:w="2126" w:type="dxa"/>
            <w:vAlign w:val="center"/>
          </w:tcPr>
          <w:p w14:paraId="6EF34AE0">
            <w:pPr>
              <w:pStyle w:val="11"/>
            </w:pPr>
          </w:p>
        </w:tc>
        <w:tc>
          <w:tcPr>
            <w:tcW w:w="4535" w:type="dxa"/>
            <w:vAlign w:val="center"/>
          </w:tcPr>
          <w:p w14:paraId="4564DF02">
            <w:pPr>
              <w:pStyle w:val="12"/>
            </w:pPr>
            <w:r>
              <w:t>十五、资源勘探工业信息等支出</w:t>
            </w:r>
          </w:p>
        </w:tc>
        <w:tc>
          <w:tcPr>
            <w:tcW w:w="2126" w:type="dxa"/>
            <w:vAlign w:val="center"/>
          </w:tcPr>
          <w:p w14:paraId="39FD3B64">
            <w:pPr>
              <w:pStyle w:val="11"/>
            </w:pPr>
          </w:p>
        </w:tc>
      </w:tr>
      <w:tr w14:paraId="31CB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898F9">
            <w:pPr>
              <w:pStyle w:val="13"/>
            </w:pPr>
            <w:r>
              <w:t>16</w:t>
            </w:r>
          </w:p>
        </w:tc>
        <w:tc>
          <w:tcPr>
            <w:tcW w:w="4535" w:type="dxa"/>
            <w:vAlign w:val="center"/>
          </w:tcPr>
          <w:p w14:paraId="118131E4">
            <w:pPr>
              <w:pStyle w:val="12"/>
            </w:pPr>
          </w:p>
        </w:tc>
        <w:tc>
          <w:tcPr>
            <w:tcW w:w="2126" w:type="dxa"/>
            <w:vAlign w:val="center"/>
          </w:tcPr>
          <w:p w14:paraId="4B6ADA27">
            <w:pPr>
              <w:pStyle w:val="11"/>
            </w:pPr>
          </w:p>
        </w:tc>
        <w:tc>
          <w:tcPr>
            <w:tcW w:w="4535" w:type="dxa"/>
            <w:vAlign w:val="center"/>
          </w:tcPr>
          <w:p w14:paraId="13D68F15">
            <w:pPr>
              <w:pStyle w:val="12"/>
            </w:pPr>
            <w:r>
              <w:t>十六、商业服务业等支出</w:t>
            </w:r>
          </w:p>
        </w:tc>
        <w:tc>
          <w:tcPr>
            <w:tcW w:w="2126" w:type="dxa"/>
            <w:vAlign w:val="center"/>
          </w:tcPr>
          <w:p w14:paraId="33AFE3C3">
            <w:pPr>
              <w:pStyle w:val="11"/>
            </w:pPr>
          </w:p>
        </w:tc>
      </w:tr>
      <w:tr w14:paraId="6C3F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50B97">
            <w:pPr>
              <w:pStyle w:val="13"/>
            </w:pPr>
            <w:r>
              <w:t>17</w:t>
            </w:r>
          </w:p>
        </w:tc>
        <w:tc>
          <w:tcPr>
            <w:tcW w:w="4535" w:type="dxa"/>
            <w:vAlign w:val="center"/>
          </w:tcPr>
          <w:p w14:paraId="1619B7E8">
            <w:pPr>
              <w:pStyle w:val="12"/>
            </w:pPr>
          </w:p>
        </w:tc>
        <w:tc>
          <w:tcPr>
            <w:tcW w:w="2126" w:type="dxa"/>
            <w:vAlign w:val="center"/>
          </w:tcPr>
          <w:p w14:paraId="7B3356FC">
            <w:pPr>
              <w:pStyle w:val="11"/>
            </w:pPr>
          </w:p>
        </w:tc>
        <w:tc>
          <w:tcPr>
            <w:tcW w:w="4535" w:type="dxa"/>
            <w:vAlign w:val="center"/>
          </w:tcPr>
          <w:p w14:paraId="363F8110">
            <w:pPr>
              <w:pStyle w:val="12"/>
            </w:pPr>
            <w:r>
              <w:t>十七、金融支出</w:t>
            </w:r>
          </w:p>
        </w:tc>
        <w:tc>
          <w:tcPr>
            <w:tcW w:w="2126" w:type="dxa"/>
            <w:vAlign w:val="center"/>
          </w:tcPr>
          <w:p w14:paraId="1ABA3669">
            <w:pPr>
              <w:pStyle w:val="11"/>
            </w:pPr>
          </w:p>
        </w:tc>
      </w:tr>
      <w:tr w14:paraId="3EFD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CE438">
            <w:pPr>
              <w:pStyle w:val="13"/>
            </w:pPr>
            <w:r>
              <w:t>18</w:t>
            </w:r>
          </w:p>
        </w:tc>
        <w:tc>
          <w:tcPr>
            <w:tcW w:w="4535" w:type="dxa"/>
            <w:vAlign w:val="center"/>
          </w:tcPr>
          <w:p w14:paraId="1B68F664">
            <w:pPr>
              <w:pStyle w:val="12"/>
            </w:pPr>
          </w:p>
        </w:tc>
        <w:tc>
          <w:tcPr>
            <w:tcW w:w="2126" w:type="dxa"/>
            <w:vAlign w:val="center"/>
          </w:tcPr>
          <w:p w14:paraId="4EA432E7">
            <w:pPr>
              <w:pStyle w:val="11"/>
            </w:pPr>
          </w:p>
        </w:tc>
        <w:tc>
          <w:tcPr>
            <w:tcW w:w="4535" w:type="dxa"/>
            <w:vAlign w:val="center"/>
          </w:tcPr>
          <w:p w14:paraId="320D5139">
            <w:pPr>
              <w:pStyle w:val="12"/>
            </w:pPr>
            <w:r>
              <w:t>十八、援助其他地区支出</w:t>
            </w:r>
          </w:p>
        </w:tc>
        <w:tc>
          <w:tcPr>
            <w:tcW w:w="2126" w:type="dxa"/>
            <w:vAlign w:val="center"/>
          </w:tcPr>
          <w:p w14:paraId="7213E0CC">
            <w:pPr>
              <w:pStyle w:val="11"/>
            </w:pPr>
          </w:p>
        </w:tc>
      </w:tr>
      <w:tr w14:paraId="58FD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27E13">
            <w:pPr>
              <w:pStyle w:val="13"/>
            </w:pPr>
            <w:r>
              <w:t>19</w:t>
            </w:r>
          </w:p>
        </w:tc>
        <w:tc>
          <w:tcPr>
            <w:tcW w:w="4535" w:type="dxa"/>
            <w:vAlign w:val="center"/>
          </w:tcPr>
          <w:p w14:paraId="56A62B59">
            <w:pPr>
              <w:pStyle w:val="12"/>
            </w:pPr>
          </w:p>
        </w:tc>
        <w:tc>
          <w:tcPr>
            <w:tcW w:w="2126" w:type="dxa"/>
            <w:vAlign w:val="center"/>
          </w:tcPr>
          <w:p w14:paraId="29191F81">
            <w:pPr>
              <w:pStyle w:val="11"/>
            </w:pPr>
          </w:p>
        </w:tc>
        <w:tc>
          <w:tcPr>
            <w:tcW w:w="4535" w:type="dxa"/>
            <w:vAlign w:val="center"/>
          </w:tcPr>
          <w:p w14:paraId="12BBA104">
            <w:pPr>
              <w:pStyle w:val="12"/>
            </w:pPr>
            <w:r>
              <w:t>十九、自然资源海洋气象等支出</w:t>
            </w:r>
          </w:p>
        </w:tc>
        <w:tc>
          <w:tcPr>
            <w:tcW w:w="2126" w:type="dxa"/>
            <w:vAlign w:val="center"/>
          </w:tcPr>
          <w:p w14:paraId="1B757D62">
            <w:pPr>
              <w:pStyle w:val="11"/>
            </w:pPr>
          </w:p>
        </w:tc>
      </w:tr>
      <w:tr w14:paraId="3B40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432B2">
            <w:pPr>
              <w:pStyle w:val="13"/>
            </w:pPr>
            <w:r>
              <w:t>20</w:t>
            </w:r>
          </w:p>
        </w:tc>
        <w:tc>
          <w:tcPr>
            <w:tcW w:w="4535" w:type="dxa"/>
            <w:vAlign w:val="center"/>
          </w:tcPr>
          <w:p w14:paraId="46E1BCDA">
            <w:pPr>
              <w:pStyle w:val="12"/>
            </w:pPr>
          </w:p>
        </w:tc>
        <w:tc>
          <w:tcPr>
            <w:tcW w:w="2126" w:type="dxa"/>
            <w:vAlign w:val="center"/>
          </w:tcPr>
          <w:p w14:paraId="2D726592">
            <w:pPr>
              <w:pStyle w:val="11"/>
            </w:pPr>
          </w:p>
        </w:tc>
        <w:tc>
          <w:tcPr>
            <w:tcW w:w="4535" w:type="dxa"/>
            <w:vAlign w:val="center"/>
          </w:tcPr>
          <w:p w14:paraId="0714BCB0">
            <w:pPr>
              <w:pStyle w:val="12"/>
            </w:pPr>
            <w:r>
              <w:t>二十、住房保障支出</w:t>
            </w:r>
          </w:p>
        </w:tc>
        <w:tc>
          <w:tcPr>
            <w:tcW w:w="2126" w:type="dxa"/>
            <w:vAlign w:val="center"/>
          </w:tcPr>
          <w:p w14:paraId="619AC7E0">
            <w:pPr>
              <w:pStyle w:val="11"/>
            </w:pPr>
          </w:p>
        </w:tc>
      </w:tr>
      <w:tr w14:paraId="170C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DC844">
            <w:pPr>
              <w:pStyle w:val="13"/>
            </w:pPr>
            <w:r>
              <w:t>21</w:t>
            </w:r>
          </w:p>
        </w:tc>
        <w:tc>
          <w:tcPr>
            <w:tcW w:w="4535" w:type="dxa"/>
            <w:vAlign w:val="center"/>
          </w:tcPr>
          <w:p w14:paraId="5E02C82E">
            <w:pPr>
              <w:pStyle w:val="12"/>
            </w:pPr>
          </w:p>
        </w:tc>
        <w:tc>
          <w:tcPr>
            <w:tcW w:w="2126" w:type="dxa"/>
            <w:vAlign w:val="center"/>
          </w:tcPr>
          <w:p w14:paraId="7BD334FA">
            <w:pPr>
              <w:pStyle w:val="11"/>
            </w:pPr>
          </w:p>
        </w:tc>
        <w:tc>
          <w:tcPr>
            <w:tcW w:w="4535" w:type="dxa"/>
            <w:vAlign w:val="center"/>
          </w:tcPr>
          <w:p w14:paraId="68B1807A">
            <w:pPr>
              <w:pStyle w:val="12"/>
            </w:pPr>
            <w:r>
              <w:t>二十一、粮油物资储备支出</w:t>
            </w:r>
          </w:p>
        </w:tc>
        <w:tc>
          <w:tcPr>
            <w:tcW w:w="2126" w:type="dxa"/>
            <w:vAlign w:val="center"/>
          </w:tcPr>
          <w:p w14:paraId="14105341">
            <w:pPr>
              <w:pStyle w:val="11"/>
            </w:pPr>
          </w:p>
        </w:tc>
      </w:tr>
      <w:tr w14:paraId="01F8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F68B">
            <w:pPr>
              <w:pStyle w:val="13"/>
            </w:pPr>
            <w:r>
              <w:t>22</w:t>
            </w:r>
          </w:p>
        </w:tc>
        <w:tc>
          <w:tcPr>
            <w:tcW w:w="4535" w:type="dxa"/>
            <w:vAlign w:val="center"/>
          </w:tcPr>
          <w:p w14:paraId="0300F48A">
            <w:pPr>
              <w:pStyle w:val="12"/>
            </w:pPr>
          </w:p>
        </w:tc>
        <w:tc>
          <w:tcPr>
            <w:tcW w:w="2126" w:type="dxa"/>
            <w:vAlign w:val="center"/>
          </w:tcPr>
          <w:p w14:paraId="2E242EC6">
            <w:pPr>
              <w:pStyle w:val="11"/>
            </w:pPr>
          </w:p>
        </w:tc>
        <w:tc>
          <w:tcPr>
            <w:tcW w:w="4535" w:type="dxa"/>
            <w:vAlign w:val="center"/>
          </w:tcPr>
          <w:p w14:paraId="27E05188">
            <w:pPr>
              <w:pStyle w:val="12"/>
            </w:pPr>
            <w:r>
              <w:t>二十二、国有资本经营预算支出</w:t>
            </w:r>
          </w:p>
        </w:tc>
        <w:tc>
          <w:tcPr>
            <w:tcW w:w="2126" w:type="dxa"/>
            <w:vAlign w:val="center"/>
          </w:tcPr>
          <w:p w14:paraId="0A52D75C">
            <w:pPr>
              <w:pStyle w:val="11"/>
            </w:pPr>
          </w:p>
        </w:tc>
      </w:tr>
      <w:tr w14:paraId="5F31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F5975">
            <w:pPr>
              <w:pStyle w:val="13"/>
            </w:pPr>
            <w:r>
              <w:t>23</w:t>
            </w:r>
          </w:p>
        </w:tc>
        <w:tc>
          <w:tcPr>
            <w:tcW w:w="4535" w:type="dxa"/>
            <w:vAlign w:val="center"/>
          </w:tcPr>
          <w:p w14:paraId="76C79459">
            <w:pPr>
              <w:pStyle w:val="12"/>
            </w:pPr>
          </w:p>
        </w:tc>
        <w:tc>
          <w:tcPr>
            <w:tcW w:w="2126" w:type="dxa"/>
            <w:vAlign w:val="center"/>
          </w:tcPr>
          <w:p w14:paraId="19561AFE">
            <w:pPr>
              <w:pStyle w:val="11"/>
            </w:pPr>
          </w:p>
        </w:tc>
        <w:tc>
          <w:tcPr>
            <w:tcW w:w="4535" w:type="dxa"/>
            <w:vAlign w:val="center"/>
          </w:tcPr>
          <w:p w14:paraId="325F87C7">
            <w:pPr>
              <w:pStyle w:val="12"/>
            </w:pPr>
            <w:r>
              <w:t>二十三、灾害防治及应急管理支出</w:t>
            </w:r>
          </w:p>
        </w:tc>
        <w:tc>
          <w:tcPr>
            <w:tcW w:w="2126" w:type="dxa"/>
            <w:vAlign w:val="center"/>
          </w:tcPr>
          <w:p w14:paraId="7A3CE7B2">
            <w:pPr>
              <w:pStyle w:val="11"/>
            </w:pPr>
          </w:p>
        </w:tc>
      </w:tr>
      <w:tr w14:paraId="7DF2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D6D8F">
            <w:pPr>
              <w:pStyle w:val="13"/>
            </w:pPr>
            <w:r>
              <w:t>24</w:t>
            </w:r>
          </w:p>
        </w:tc>
        <w:tc>
          <w:tcPr>
            <w:tcW w:w="4535" w:type="dxa"/>
            <w:vAlign w:val="center"/>
          </w:tcPr>
          <w:p w14:paraId="4B89EAB6">
            <w:pPr>
              <w:pStyle w:val="12"/>
            </w:pPr>
          </w:p>
        </w:tc>
        <w:tc>
          <w:tcPr>
            <w:tcW w:w="2126" w:type="dxa"/>
            <w:vAlign w:val="center"/>
          </w:tcPr>
          <w:p w14:paraId="3878A0CE">
            <w:pPr>
              <w:pStyle w:val="11"/>
            </w:pPr>
          </w:p>
        </w:tc>
        <w:tc>
          <w:tcPr>
            <w:tcW w:w="4535" w:type="dxa"/>
            <w:vAlign w:val="center"/>
          </w:tcPr>
          <w:p w14:paraId="6876A33F">
            <w:pPr>
              <w:pStyle w:val="12"/>
            </w:pPr>
            <w:r>
              <w:t>二十四、预备费</w:t>
            </w:r>
          </w:p>
        </w:tc>
        <w:tc>
          <w:tcPr>
            <w:tcW w:w="2126" w:type="dxa"/>
            <w:vAlign w:val="center"/>
          </w:tcPr>
          <w:p w14:paraId="1728FCF2">
            <w:pPr>
              <w:pStyle w:val="11"/>
            </w:pPr>
          </w:p>
        </w:tc>
      </w:tr>
      <w:tr w14:paraId="002A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2B004">
            <w:pPr>
              <w:pStyle w:val="13"/>
            </w:pPr>
            <w:r>
              <w:t>25</w:t>
            </w:r>
          </w:p>
        </w:tc>
        <w:tc>
          <w:tcPr>
            <w:tcW w:w="4535" w:type="dxa"/>
            <w:vAlign w:val="center"/>
          </w:tcPr>
          <w:p w14:paraId="36D4F090">
            <w:pPr>
              <w:pStyle w:val="12"/>
            </w:pPr>
          </w:p>
        </w:tc>
        <w:tc>
          <w:tcPr>
            <w:tcW w:w="2126" w:type="dxa"/>
            <w:vAlign w:val="center"/>
          </w:tcPr>
          <w:p w14:paraId="017F2164">
            <w:pPr>
              <w:pStyle w:val="11"/>
            </w:pPr>
          </w:p>
        </w:tc>
        <w:tc>
          <w:tcPr>
            <w:tcW w:w="4535" w:type="dxa"/>
            <w:vAlign w:val="center"/>
          </w:tcPr>
          <w:p w14:paraId="010830A4">
            <w:pPr>
              <w:pStyle w:val="12"/>
            </w:pPr>
            <w:r>
              <w:t>二十五、其他支出</w:t>
            </w:r>
          </w:p>
        </w:tc>
        <w:tc>
          <w:tcPr>
            <w:tcW w:w="2126" w:type="dxa"/>
            <w:vAlign w:val="center"/>
          </w:tcPr>
          <w:p w14:paraId="1F73DEBF">
            <w:pPr>
              <w:pStyle w:val="11"/>
            </w:pPr>
          </w:p>
        </w:tc>
      </w:tr>
      <w:tr w14:paraId="1EEE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29AB">
            <w:pPr>
              <w:pStyle w:val="13"/>
            </w:pPr>
            <w:r>
              <w:t>26</w:t>
            </w:r>
          </w:p>
        </w:tc>
        <w:tc>
          <w:tcPr>
            <w:tcW w:w="4535" w:type="dxa"/>
            <w:vAlign w:val="center"/>
          </w:tcPr>
          <w:p w14:paraId="56F4AACE">
            <w:pPr>
              <w:pStyle w:val="12"/>
            </w:pPr>
          </w:p>
        </w:tc>
        <w:tc>
          <w:tcPr>
            <w:tcW w:w="2126" w:type="dxa"/>
            <w:vAlign w:val="center"/>
          </w:tcPr>
          <w:p w14:paraId="0CC5CDFF">
            <w:pPr>
              <w:pStyle w:val="11"/>
            </w:pPr>
          </w:p>
        </w:tc>
        <w:tc>
          <w:tcPr>
            <w:tcW w:w="4535" w:type="dxa"/>
            <w:vAlign w:val="center"/>
          </w:tcPr>
          <w:p w14:paraId="41C0EB79">
            <w:pPr>
              <w:pStyle w:val="12"/>
            </w:pPr>
            <w:r>
              <w:t>二十六、转移性支出</w:t>
            </w:r>
          </w:p>
        </w:tc>
        <w:tc>
          <w:tcPr>
            <w:tcW w:w="2126" w:type="dxa"/>
            <w:vAlign w:val="center"/>
          </w:tcPr>
          <w:p w14:paraId="3D82D137">
            <w:pPr>
              <w:pStyle w:val="11"/>
            </w:pPr>
          </w:p>
        </w:tc>
      </w:tr>
      <w:tr w14:paraId="1D95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64402">
            <w:pPr>
              <w:pStyle w:val="13"/>
            </w:pPr>
            <w:r>
              <w:t>27</w:t>
            </w:r>
          </w:p>
        </w:tc>
        <w:tc>
          <w:tcPr>
            <w:tcW w:w="4535" w:type="dxa"/>
            <w:vAlign w:val="center"/>
          </w:tcPr>
          <w:p w14:paraId="304ECA18">
            <w:pPr>
              <w:pStyle w:val="12"/>
            </w:pPr>
          </w:p>
        </w:tc>
        <w:tc>
          <w:tcPr>
            <w:tcW w:w="2126" w:type="dxa"/>
            <w:vAlign w:val="center"/>
          </w:tcPr>
          <w:p w14:paraId="14B70E90">
            <w:pPr>
              <w:pStyle w:val="11"/>
            </w:pPr>
          </w:p>
        </w:tc>
        <w:tc>
          <w:tcPr>
            <w:tcW w:w="4535" w:type="dxa"/>
            <w:vAlign w:val="center"/>
          </w:tcPr>
          <w:p w14:paraId="76E07371">
            <w:pPr>
              <w:pStyle w:val="12"/>
            </w:pPr>
            <w:r>
              <w:t>二十七、债务还本支出</w:t>
            </w:r>
          </w:p>
        </w:tc>
        <w:tc>
          <w:tcPr>
            <w:tcW w:w="2126" w:type="dxa"/>
            <w:vAlign w:val="center"/>
          </w:tcPr>
          <w:p w14:paraId="64EE41CC">
            <w:pPr>
              <w:pStyle w:val="11"/>
            </w:pPr>
          </w:p>
        </w:tc>
      </w:tr>
      <w:tr w14:paraId="1D0F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9381">
            <w:pPr>
              <w:pStyle w:val="13"/>
            </w:pPr>
            <w:r>
              <w:t>28</w:t>
            </w:r>
          </w:p>
        </w:tc>
        <w:tc>
          <w:tcPr>
            <w:tcW w:w="4535" w:type="dxa"/>
            <w:vAlign w:val="center"/>
          </w:tcPr>
          <w:p w14:paraId="5D0C5366">
            <w:pPr>
              <w:pStyle w:val="12"/>
            </w:pPr>
          </w:p>
        </w:tc>
        <w:tc>
          <w:tcPr>
            <w:tcW w:w="2126" w:type="dxa"/>
            <w:vAlign w:val="center"/>
          </w:tcPr>
          <w:p w14:paraId="4DBF0501">
            <w:pPr>
              <w:pStyle w:val="11"/>
            </w:pPr>
          </w:p>
        </w:tc>
        <w:tc>
          <w:tcPr>
            <w:tcW w:w="4535" w:type="dxa"/>
            <w:vAlign w:val="center"/>
          </w:tcPr>
          <w:p w14:paraId="30501AF2">
            <w:pPr>
              <w:pStyle w:val="12"/>
            </w:pPr>
            <w:r>
              <w:t>二十八、债务付息支出</w:t>
            </w:r>
          </w:p>
        </w:tc>
        <w:tc>
          <w:tcPr>
            <w:tcW w:w="2126" w:type="dxa"/>
            <w:vAlign w:val="center"/>
          </w:tcPr>
          <w:p w14:paraId="64C194FD">
            <w:pPr>
              <w:pStyle w:val="11"/>
            </w:pPr>
          </w:p>
        </w:tc>
      </w:tr>
      <w:tr w14:paraId="552E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11A8">
            <w:pPr>
              <w:pStyle w:val="13"/>
            </w:pPr>
            <w:r>
              <w:t>29</w:t>
            </w:r>
          </w:p>
        </w:tc>
        <w:tc>
          <w:tcPr>
            <w:tcW w:w="4535" w:type="dxa"/>
            <w:vAlign w:val="center"/>
          </w:tcPr>
          <w:p w14:paraId="02CBA3CE">
            <w:pPr>
              <w:pStyle w:val="12"/>
            </w:pPr>
          </w:p>
        </w:tc>
        <w:tc>
          <w:tcPr>
            <w:tcW w:w="2126" w:type="dxa"/>
            <w:vAlign w:val="center"/>
          </w:tcPr>
          <w:p w14:paraId="4EB7B1EB">
            <w:pPr>
              <w:pStyle w:val="11"/>
            </w:pPr>
          </w:p>
        </w:tc>
        <w:tc>
          <w:tcPr>
            <w:tcW w:w="4535" w:type="dxa"/>
            <w:vAlign w:val="center"/>
          </w:tcPr>
          <w:p w14:paraId="4BCDCD5A">
            <w:pPr>
              <w:pStyle w:val="12"/>
            </w:pPr>
            <w:r>
              <w:t>二十九、债务发行费用支出</w:t>
            </w:r>
          </w:p>
        </w:tc>
        <w:tc>
          <w:tcPr>
            <w:tcW w:w="2126" w:type="dxa"/>
            <w:vAlign w:val="center"/>
          </w:tcPr>
          <w:p w14:paraId="12DF60A4">
            <w:pPr>
              <w:pStyle w:val="11"/>
            </w:pPr>
          </w:p>
        </w:tc>
      </w:tr>
      <w:tr w14:paraId="6689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7CC3B">
            <w:pPr>
              <w:pStyle w:val="13"/>
            </w:pPr>
            <w:r>
              <w:t>30</w:t>
            </w:r>
          </w:p>
        </w:tc>
        <w:tc>
          <w:tcPr>
            <w:tcW w:w="4535" w:type="dxa"/>
            <w:vAlign w:val="center"/>
          </w:tcPr>
          <w:p w14:paraId="495DD548">
            <w:pPr>
              <w:pStyle w:val="12"/>
            </w:pPr>
          </w:p>
        </w:tc>
        <w:tc>
          <w:tcPr>
            <w:tcW w:w="2126" w:type="dxa"/>
            <w:vAlign w:val="center"/>
          </w:tcPr>
          <w:p w14:paraId="5615019A">
            <w:pPr>
              <w:pStyle w:val="11"/>
            </w:pPr>
          </w:p>
        </w:tc>
        <w:tc>
          <w:tcPr>
            <w:tcW w:w="4535" w:type="dxa"/>
            <w:vAlign w:val="center"/>
          </w:tcPr>
          <w:p w14:paraId="7350C0DE">
            <w:pPr>
              <w:pStyle w:val="12"/>
            </w:pPr>
            <w:r>
              <w:t>三十、抗疫特别国债安排的支出</w:t>
            </w:r>
          </w:p>
        </w:tc>
        <w:tc>
          <w:tcPr>
            <w:tcW w:w="2126" w:type="dxa"/>
            <w:vAlign w:val="center"/>
          </w:tcPr>
          <w:p w14:paraId="37833528">
            <w:pPr>
              <w:pStyle w:val="11"/>
            </w:pPr>
          </w:p>
        </w:tc>
      </w:tr>
      <w:tr w14:paraId="721C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4E36E">
            <w:pPr>
              <w:pStyle w:val="13"/>
            </w:pPr>
            <w:r>
              <w:t>31</w:t>
            </w:r>
          </w:p>
        </w:tc>
        <w:tc>
          <w:tcPr>
            <w:tcW w:w="4535" w:type="dxa"/>
            <w:vAlign w:val="center"/>
          </w:tcPr>
          <w:p w14:paraId="7A98E4BB">
            <w:pPr>
              <w:pStyle w:val="14"/>
            </w:pPr>
            <w:r>
              <w:t>本年收入合计</w:t>
            </w:r>
          </w:p>
        </w:tc>
        <w:tc>
          <w:tcPr>
            <w:tcW w:w="2126" w:type="dxa"/>
            <w:vAlign w:val="center"/>
          </w:tcPr>
          <w:p w14:paraId="26F45042">
            <w:pPr>
              <w:pStyle w:val="15"/>
            </w:pPr>
            <w:r>
              <w:t>3537.38</w:t>
            </w:r>
          </w:p>
        </w:tc>
        <w:tc>
          <w:tcPr>
            <w:tcW w:w="4535" w:type="dxa"/>
            <w:vAlign w:val="center"/>
          </w:tcPr>
          <w:p w14:paraId="57D0D770">
            <w:pPr>
              <w:pStyle w:val="14"/>
            </w:pPr>
            <w:r>
              <w:t>本年支出合计</w:t>
            </w:r>
          </w:p>
        </w:tc>
        <w:tc>
          <w:tcPr>
            <w:tcW w:w="2126" w:type="dxa"/>
            <w:vAlign w:val="center"/>
          </w:tcPr>
          <w:p w14:paraId="185FA4F0">
            <w:pPr>
              <w:pStyle w:val="15"/>
            </w:pPr>
            <w:r>
              <w:t>3537.38</w:t>
            </w:r>
          </w:p>
        </w:tc>
      </w:tr>
      <w:tr w14:paraId="7346C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F9AE3">
            <w:pPr>
              <w:pStyle w:val="13"/>
            </w:pPr>
            <w:r>
              <w:t>32</w:t>
            </w:r>
          </w:p>
        </w:tc>
        <w:tc>
          <w:tcPr>
            <w:tcW w:w="4535" w:type="dxa"/>
            <w:vAlign w:val="center"/>
          </w:tcPr>
          <w:p w14:paraId="4E974A4D">
            <w:pPr>
              <w:pStyle w:val="12"/>
            </w:pPr>
            <w:r>
              <w:t>上年结转结余</w:t>
            </w:r>
          </w:p>
        </w:tc>
        <w:tc>
          <w:tcPr>
            <w:tcW w:w="2126" w:type="dxa"/>
            <w:vAlign w:val="center"/>
          </w:tcPr>
          <w:p w14:paraId="1F484E75">
            <w:pPr>
              <w:pStyle w:val="11"/>
            </w:pPr>
          </w:p>
        </w:tc>
        <w:tc>
          <w:tcPr>
            <w:tcW w:w="4535" w:type="dxa"/>
            <w:vAlign w:val="center"/>
          </w:tcPr>
          <w:p w14:paraId="0303E3BE">
            <w:pPr>
              <w:pStyle w:val="12"/>
            </w:pPr>
            <w:r>
              <w:t>年终结转结余</w:t>
            </w:r>
          </w:p>
        </w:tc>
        <w:tc>
          <w:tcPr>
            <w:tcW w:w="2126" w:type="dxa"/>
            <w:vAlign w:val="center"/>
          </w:tcPr>
          <w:p w14:paraId="01FB94A8">
            <w:pPr>
              <w:pStyle w:val="11"/>
            </w:pPr>
          </w:p>
        </w:tc>
      </w:tr>
      <w:tr w14:paraId="15B0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152DB">
            <w:pPr>
              <w:pStyle w:val="13"/>
            </w:pPr>
            <w:r>
              <w:t>33</w:t>
            </w:r>
          </w:p>
        </w:tc>
        <w:tc>
          <w:tcPr>
            <w:tcW w:w="4535" w:type="dxa"/>
            <w:vAlign w:val="center"/>
          </w:tcPr>
          <w:p w14:paraId="77A1608E">
            <w:pPr>
              <w:pStyle w:val="14"/>
            </w:pPr>
            <w:r>
              <w:t>收入总计</w:t>
            </w:r>
          </w:p>
        </w:tc>
        <w:tc>
          <w:tcPr>
            <w:tcW w:w="2126" w:type="dxa"/>
            <w:vAlign w:val="center"/>
          </w:tcPr>
          <w:p w14:paraId="076E826E">
            <w:pPr>
              <w:pStyle w:val="15"/>
            </w:pPr>
            <w:r>
              <w:t>3537.38</w:t>
            </w:r>
          </w:p>
        </w:tc>
        <w:tc>
          <w:tcPr>
            <w:tcW w:w="4535" w:type="dxa"/>
            <w:vAlign w:val="center"/>
          </w:tcPr>
          <w:p w14:paraId="3A13E4DF">
            <w:pPr>
              <w:pStyle w:val="14"/>
            </w:pPr>
            <w:r>
              <w:t>支出总计</w:t>
            </w:r>
          </w:p>
        </w:tc>
        <w:tc>
          <w:tcPr>
            <w:tcW w:w="2126" w:type="dxa"/>
            <w:vAlign w:val="center"/>
          </w:tcPr>
          <w:p w14:paraId="3F963D18">
            <w:pPr>
              <w:pStyle w:val="15"/>
            </w:pPr>
            <w:r>
              <w:t>3537.38</w:t>
            </w:r>
          </w:p>
        </w:tc>
      </w:tr>
    </w:tbl>
    <w:p w14:paraId="4D35F338">
      <w:pPr>
        <w:sectPr>
          <w:pgSz w:w="16840" w:h="11900" w:orient="landscape"/>
          <w:pgMar w:top="1361" w:right="1020" w:bottom="1134" w:left="1020" w:header="720" w:footer="720" w:gutter="0"/>
          <w:cols w:space="720" w:num="1"/>
        </w:sectPr>
      </w:pPr>
    </w:p>
    <w:p w14:paraId="2EDB89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1C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D86887">
            <w:pPr>
              <w:pStyle w:val="9"/>
            </w:pPr>
            <w:r>
              <w:t>360011河北省隆尧县实验中学</w:t>
            </w:r>
          </w:p>
        </w:tc>
        <w:tc>
          <w:tcPr>
            <w:tcW w:w="3402" w:type="dxa"/>
            <w:gridSpan w:val="3"/>
            <w:tcBorders>
              <w:top w:val="single" w:color="FFFFFF" w:sz="6" w:space="0"/>
              <w:left w:val="single" w:color="FFFFFF" w:sz="6" w:space="0"/>
              <w:right w:val="single" w:color="FFFFFF" w:sz="6" w:space="0"/>
            </w:tcBorders>
            <w:vAlign w:val="center"/>
          </w:tcPr>
          <w:p w14:paraId="1EC8E40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6E5FCC2">
            <w:pPr>
              <w:pStyle w:val="7"/>
            </w:pPr>
            <w:r>
              <w:t>单位：万元</w:t>
            </w:r>
          </w:p>
        </w:tc>
      </w:tr>
      <w:tr w14:paraId="05FD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C43258">
            <w:pPr>
              <w:pStyle w:val="10"/>
            </w:pPr>
            <w:r>
              <w:t>序号</w:t>
            </w:r>
          </w:p>
        </w:tc>
        <w:tc>
          <w:tcPr>
            <w:tcW w:w="2551" w:type="dxa"/>
            <w:gridSpan w:val="2"/>
            <w:vAlign w:val="center"/>
          </w:tcPr>
          <w:p w14:paraId="57DA7CDE">
            <w:pPr>
              <w:pStyle w:val="10"/>
            </w:pPr>
            <w:r>
              <w:t>功能分类科目</w:t>
            </w:r>
          </w:p>
        </w:tc>
        <w:tc>
          <w:tcPr>
            <w:tcW w:w="1134" w:type="dxa"/>
            <w:vMerge w:val="restart"/>
            <w:vAlign w:val="center"/>
          </w:tcPr>
          <w:p w14:paraId="1624C57A">
            <w:pPr>
              <w:pStyle w:val="10"/>
            </w:pPr>
            <w:r>
              <w:t>合计</w:t>
            </w:r>
          </w:p>
        </w:tc>
        <w:tc>
          <w:tcPr>
            <w:tcW w:w="9072" w:type="dxa"/>
            <w:gridSpan w:val="8"/>
            <w:vAlign w:val="center"/>
          </w:tcPr>
          <w:p w14:paraId="0CA6507D">
            <w:pPr>
              <w:pStyle w:val="10"/>
            </w:pPr>
            <w:r>
              <w:t>本年收入</w:t>
            </w:r>
          </w:p>
        </w:tc>
        <w:tc>
          <w:tcPr>
            <w:tcW w:w="1134" w:type="dxa"/>
            <w:vMerge w:val="restart"/>
            <w:vAlign w:val="center"/>
          </w:tcPr>
          <w:p w14:paraId="51942B5B">
            <w:pPr>
              <w:pStyle w:val="10"/>
            </w:pPr>
            <w:r>
              <w:t>上年结转</w:t>
            </w:r>
          </w:p>
        </w:tc>
      </w:tr>
      <w:tr w14:paraId="2984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FE16F8"/>
        </w:tc>
        <w:tc>
          <w:tcPr>
            <w:tcW w:w="992" w:type="dxa"/>
            <w:vAlign w:val="center"/>
          </w:tcPr>
          <w:p w14:paraId="192475AC">
            <w:pPr>
              <w:pStyle w:val="10"/>
            </w:pPr>
            <w:r>
              <w:t>科目    编码</w:t>
            </w:r>
          </w:p>
        </w:tc>
        <w:tc>
          <w:tcPr>
            <w:tcW w:w="1559" w:type="dxa"/>
            <w:vAlign w:val="center"/>
          </w:tcPr>
          <w:p w14:paraId="3A32D26D">
            <w:pPr>
              <w:pStyle w:val="10"/>
            </w:pPr>
            <w:r>
              <w:t>科目名称</w:t>
            </w:r>
          </w:p>
        </w:tc>
        <w:tc>
          <w:tcPr>
            <w:tcW w:w="1134" w:type="dxa"/>
            <w:vMerge w:val="continue"/>
          </w:tcPr>
          <w:p w14:paraId="5219982C"/>
        </w:tc>
        <w:tc>
          <w:tcPr>
            <w:tcW w:w="1134" w:type="dxa"/>
            <w:vAlign w:val="center"/>
          </w:tcPr>
          <w:p w14:paraId="44942AEB">
            <w:pPr>
              <w:pStyle w:val="10"/>
            </w:pPr>
            <w:r>
              <w:t>小计</w:t>
            </w:r>
          </w:p>
        </w:tc>
        <w:tc>
          <w:tcPr>
            <w:tcW w:w="1134" w:type="dxa"/>
            <w:vAlign w:val="center"/>
          </w:tcPr>
          <w:p w14:paraId="0239F5AF">
            <w:pPr>
              <w:pStyle w:val="10"/>
            </w:pPr>
            <w:r>
              <w:t>财政拨款 收入</w:t>
            </w:r>
          </w:p>
        </w:tc>
        <w:tc>
          <w:tcPr>
            <w:tcW w:w="1134" w:type="dxa"/>
            <w:vAlign w:val="center"/>
          </w:tcPr>
          <w:p w14:paraId="0C1AA381">
            <w:pPr>
              <w:pStyle w:val="10"/>
            </w:pPr>
            <w:r>
              <w:t>财政专户 收入</w:t>
            </w:r>
          </w:p>
        </w:tc>
        <w:tc>
          <w:tcPr>
            <w:tcW w:w="1134" w:type="dxa"/>
            <w:vAlign w:val="center"/>
          </w:tcPr>
          <w:p w14:paraId="57B3A233">
            <w:pPr>
              <w:pStyle w:val="10"/>
            </w:pPr>
            <w:r>
              <w:t>事业收入</w:t>
            </w:r>
          </w:p>
        </w:tc>
        <w:tc>
          <w:tcPr>
            <w:tcW w:w="1134" w:type="dxa"/>
            <w:vAlign w:val="center"/>
          </w:tcPr>
          <w:p w14:paraId="48E75467">
            <w:pPr>
              <w:pStyle w:val="10"/>
            </w:pPr>
            <w:r>
              <w:t>经营收入</w:t>
            </w:r>
          </w:p>
        </w:tc>
        <w:tc>
          <w:tcPr>
            <w:tcW w:w="1134" w:type="dxa"/>
            <w:vAlign w:val="center"/>
          </w:tcPr>
          <w:p w14:paraId="70838EA9">
            <w:pPr>
              <w:pStyle w:val="10"/>
            </w:pPr>
            <w:r>
              <w:t>上级补助收入</w:t>
            </w:r>
          </w:p>
        </w:tc>
        <w:tc>
          <w:tcPr>
            <w:tcW w:w="1134" w:type="dxa"/>
            <w:vAlign w:val="center"/>
          </w:tcPr>
          <w:p w14:paraId="6149A0F6">
            <w:pPr>
              <w:pStyle w:val="10"/>
            </w:pPr>
            <w:r>
              <w:t>附属单位上缴收入</w:t>
            </w:r>
          </w:p>
        </w:tc>
        <w:tc>
          <w:tcPr>
            <w:tcW w:w="1134" w:type="dxa"/>
            <w:vAlign w:val="center"/>
          </w:tcPr>
          <w:p w14:paraId="4763532F">
            <w:pPr>
              <w:pStyle w:val="10"/>
            </w:pPr>
            <w:r>
              <w:t>其他收入</w:t>
            </w:r>
          </w:p>
        </w:tc>
        <w:tc>
          <w:tcPr>
            <w:tcW w:w="1134" w:type="dxa"/>
            <w:vMerge w:val="continue"/>
          </w:tcPr>
          <w:p w14:paraId="2FB3BEB8"/>
        </w:tc>
      </w:tr>
      <w:tr w14:paraId="3582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F4A86B">
            <w:pPr>
              <w:pStyle w:val="10"/>
            </w:pPr>
            <w:r>
              <w:t>栏次</w:t>
            </w:r>
          </w:p>
        </w:tc>
        <w:tc>
          <w:tcPr>
            <w:tcW w:w="992" w:type="dxa"/>
            <w:vAlign w:val="center"/>
          </w:tcPr>
          <w:p w14:paraId="7E4C6C1A">
            <w:pPr>
              <w:pStyle w:val="10"/>
            </w:pPr>
            <w:r>
              <w:t>1</w:t>
            </w:r>
          </w:p>
        </w:tc>
        <w:tc>
          <w:tcPr>
            <w:tcW w:w="1559" w:type="dxa"/>
            <w:vAlign w:val="center"/>
          </w:tcPr>
          <w:p w14:paraId="4C3D9FC9">
            <w:pPr>
              <w:pStyle w:val="10"/>
            </w:pPr>
            <w:r>
              <w:t>2</w:t>
            </w:r>
          </w:p>
        </w:tc>
        <w:tc>
          <w:tcPr>
            <w:tcW w:w="1134" w:type="dxa"/>
            <w:vAlign w:val="center"/>
          </w:tcPr>
          <w:p w14:paraId="744CB77A">
            <w:pPr>
              <w:pStyle w:val="10"/>
            </w:pPr>
            <w:r>
              <w:t>3</w:t>
            </w:r>
          </w:p>
        </w:tc>
        <w:tc>
          <w:tcPr>
            <w:tcW w:w="1134" w:type="dxa"/>
            <w:vAlign w:val="center"/>
          </w:tcPr>
          <w:p w14:paraId="7D58FBBB">
            <w:pPr>
              <w:pStyle w:val="10"/>
            </w:pPr>
            <w:r>
              <w:t>4</w:t>
            </w:r>
          </w:p>
        </w:tc>
        <w:tc>
          <w:tcPr>
            <w:tcW w:w="1134" w:type="dxa"/>
            <w:vAlign w:val="center"/>
          </w:tcPr>
          <w:p w14:paraId="374ADD74">
            <w:pPr>
              <w:pStyle w:val="10"/>
            </w:pPr>
            <w:r>
              <w:t>5</w:t>
            </w:r>
          </w:p>
        </w:tc>
        <w:tc>
          <w:tcPr>
            <w:tcW w:w="1134" w:type="dxa"/>
            <w:vAlign w:val="center"/>
          </w:tcPr>
          <w:p w14:paraId="5CCD6718">
            <w:pPr>
              <w:pStyle w:val="10"/>
            </w:pPr>
            <w:r>
              <w:t>6</w:t>
            </w:r>
          </w:p>
        </w:tc>
        <w:tc>
          <w:tcPr>
            <w:tcW w:w="1134" w:type="dxa"/>
            <w:vAlign w:val="center"/>
          </w:tcPr>
          <w:p w14:paraId="3C4548B7">
            <w:pPr>
              <w:pStyle w:val="10"/>
            </w:pPr>
            <w:r>
              <w:t>7</w:t>
            </w:r>
          </w:p>
        </w:tc>
        <w:tc>
          <w:tcPr>
            <w:tcW w:w="1134" w:type="dxa"/>
            <w:vAlign w:val="center"/>
          </w:tcPr>
          <w:p w14:paraId="647354D0">
            <w:pPr>
              <w:pStyle w:val="10"/>
            </w:pPr>
            <w:r>
              <w:t>8</w:t>
            </w:r>
          </w:p>
        </w:tc>
        <w:tc>
          <w:tcPr>
            <w:tcW w:w="1134" w:type="dxa"/>
            <w:vAlign w:val="center"/>
          </w:tcPr>
          <w:p w14:paraId="5EFB7EB0">
            <w:pPr>
              <w:pStyle w:val="10"/>
            </w:pPr>
            <w:r>
              <w:t>9</w:t>
            </w:r>
          </w:p>
        </w:tc>
        <w:tc>
          <w:tcPr>
            <w:tcW w:w="1134" w:type="dxa"/>
            <w:vAlign w:val="center"/>
          </w:tcPr>
          <w:p w14:paraId="4946E806">
            <w:pPr>
              <w:pStyle w:val="10"/>
            </w:pPr>
            <w:r>
              <w:t>10</w:t>
            </w:r>
          </w:p>
        </w:tc>
        <w:tc>
          <w:tcPr>
            <w:tcW w:w="1134" w:type="dxa"/>
            <w:vAlign w:val="center"/>
          </w:tcPr>
          <w:p w14:paraId="2A0FC0CF">
            <w:pPr>
              <w:pStyle w:val="10"/>
            </w:pPr>
            <w:r>
              <w:t>11</w:t>
            </w:r>
          </w:p>
        </w:tc>
        <w:tc>
          <w:tcPr>
            <w:tcW w:w="1134" w:type="dxa"/>
            <w:vAlign w:val="center"/>
          </w:tcPr>
          <w:p w14:paraId="32E6CF92">
            <w:pPr>
              <w:pStyle w:val="10"/>
            </w:pPr>
            <w:r>
              <w:t>12</w:t>
            </w:r>
          </w:p>
        </w:tc>
      </w:tr>
      <w:tr w14:paraId="1435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96CE42">
            <w:pPr>
              <w:pStyle w:val="13"/>
            </w:pPr>
            <w:r>
              <w:t>1</w:t>
            </w:r>
          </w:p>
        </w:tc>
        <w:tc>
          <w:tcPr>
            <w:tcW w:w="992" w:type="dxa"/>
            <w:vAlign w:val="center"/>
          </w:tcPr>
          <w:p w14:paraId="0965BB88">
            <w:pPr>
              <w:pStyle w:val="16"/>
            </w:pPr>
          </w:p>
        </w:tc>
        <w:tc>
          <w:tcPr>
            <w:tcW w:w="1559" w:type="dxa"/>
            <w:vAlign w:val="center"/>
          </w:tcPr>
          <w:p w14:paraId="58AD509A">
            <w:pPr>
              <w:pStyle w:val="14"/>
            </w:pPr>
            <w:r>
              <w:t>合计</w:t>
            </w:r>
          </w:p>
        </w:tc>
        <w:tc>
          <w:tcPr>
            <w:tcW w:w="1134" w:type="dxa"/>
            <w:vAlign w:val="center"/>
          </w:tcPr>
          <w:p w14:paraId="0E9DBDAF">
            <w:pPr>
              <w:pStyle w:val="15"/>
            </w:pPr>
            <w:r>
              <w:t>3537.38</w:t>
            </w:r>
          </w:p>
        </w:tc>
        <w:tc>
          <w:tcPr>
            <w:tcW w:w="1134" w:type="dxa"/>
            <w:vAlign w:val="center"/>
          </w:tcPr>
          <w:p w14:paraId="09E32D41">
            <w:pPr>
              <w:pStyle w:val="15"/>
            </w:pPr>
            <w:r>
              <w:t>3537.38</w:t>
            </w:r>
          </w:p>
        </w:tc>
        <w:tc>
          <w:tcPr>
            <w:tcW w:w="1134" w:type="dxa"/>
            <w:vAlign w:val="center"/>
          </w:tcPr>
          <w:p w14:paraId="47962939">
            <w:pPr>
              <w:pStyle w:val="15"/>
            </w:pPr>
            <w:r>
              <w:t>3537.38</w:t>
            </w:r>
          </w:p>
        </w:tc>
        <w:tc>
          <w:tcPr>
            <w:tcW w:w="1134" w:type="dxa"/>
            <w:vAlign w:val="center"/>
          </w:tcPr>
          <w:p w14:paraId="49C712A1">
            <w:pPr>
              <w:pStyle w:val="15"/>
            </w:pPr>
          </w:p>
        </w:tc>
        <w:tc>
          <w:tcPr>
            <w:tcW w:w="1134" w:type="dxa"/>
            <w:vAlign w:val="center"/>
          </w:tcPr>
          <w:p w14:paraId="1CF05EA4">
            <w:pPr>
              <w:pStyle w:val="15"/>
            </w:pPr>
          </w:p>
        </w:tc>
        <w:tc>
          <w:tcPr>
            <w:tcW w:w="1134" w:type="dxa"/>
            <w:vAlign w:val="center"/>
          </w:tcPr>
          <w:p w14:paraId="337D2B64">
            <w:pPr>
              <w:pStyle w:val="15"/>
            </w:pPr>
          </w:p>
        </w:tc>
        <w:tc>
          <w:tcPr>
            <w:tcW w:w="1134" w:type="dxa"/>
            <w:vAlign w:val="center"/>
          </w:tcPr>
          <w:p w14:paraId="74D40D11">
            <w:pPr>
              <w:pStyle w:val="15"/>
            </w:pPr>
          </w:p>
        </w:tc>
        <w:tc>
          <w:tcPr>
            <w:tcW w:w="1134" w:type="dxa"/>
            <w:vAlign w:val="center"/>
          </w:tcPr>
          <w:p w14:paraId="26550B91">
            <w:pPr>
              <w:pStyle w:val="15"/>
            </w:pPr>
          </w:p>
        </w:tc>
        <w:tc>
          <w:tcPr>
            <w:tcW w:w="1134" w:type="dxa"/>
            <w:vAlign w:val="center"/>
          </w:tcPr>
          <w:p w14:paraId="6FD55501">
            <w:pPr>
              <w:pStyle w:val="15"/>
            </w:pPr>
          </w:p>
        </w:tc>
        <w:tc>
          <w:tcPr>
            <w:tcW w:w="1134" w:type="dxa"/>
            <w:vAlign w:val="center"/>
          </w:tcPr>
          <w:p w14:paraId="2ECEAC1B">
            <w:pPr>
              <w:pStyle w:val="15"/>
            </w:pPr>
          </w:p>
        </w:tc>
      </w:tr>
      <w:tr w14:paraId="443C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744BA">
            <w:pPr>
              <w:pStyle w:val="13"/>
            </w:pPr>
            <w:r>
              <w:t>2</w:t>
            </w:r>
          </w:p>
        </w:tc>
        <w:tc>
          <w:tcPr>
            <w:tcW w:w="992" w:type="dxa"/>
            <w:vAlign w:val="center"/>
          </w:tcPr>
          <w:p w14:paraId="4DDC7CEB">
            <w:pPr>
              <w:pStyle w:val="12"/>
            </w:pPr>
            <w:r>
              <w:t>205</w:t>
            </w:r>
          </w:p>
        </w:tc>
        <w:tc>
          <w:tcPr>
            <w:tcW w:w="1559" w:type="dxa"/>
            <w:vAlign w:val="center"/>
          </w:tcPr>
          <w:p w14:paraId="348CECBA">
            <w:pPr>
              <w:pStyle w:val="12"/>
            </w:pPr>
            <w:r>
              <w:t>教育支出</w:t>
            </w:r>
          </w:p>
        </w:tc>
        <w:tc>
          <w:tcPr>
            <w:tcW w:w="1134" w:type="dxa"/>
            <w:vAlign w:val="center"/>
          </w:tcPr>
          <w:p w14:paraId="3BA9F930">
            <w:pPr>
              <w:pStyle w:val="11"/>
            </w:pPr>
            <w:r>
              <w:t>3537.38</w:t>
            </w:r>
          </w:p>
        </w:tc>
        <w:tc>
          <w:tcPr>
            <w:tcW w:w="1134" w:type="dxa"/>
            <w:vAlign w:val="center"/>
          </w:tcPr>
          <w:p w14:paraId="7283B7FE">
            <w:pPr>
              <w:pStyle w:val="11"/>
            </w:pPr>
            <w:r>
              <w:t>3537.38</w:t>
            </w:r>
          </w:p>
        </w:tc>
        <w:tc>
          <w:tcPr>
            <w:tcW w:w="1134" w:type="dxa"/>
            <w:vAlign w:val="center"/>
          </w:tcPr>
          <w:p w14:paraId="3F9015AF">
            <w:pPr>
              <w:pStyle w:val="11"/>
            </w:pPr>
            <w:r>
              <w:t>3537.38</w:t>
            </w:r>
          </w:p>
        </w:tc>
        <w:tc>
          <w:tcPr>
            <w:tcW w:w="1134" w:type="dxa"/>
            <w:vAlign w:val="center"/>
          </w:tcPr>
          <w:p w14:paraId="67D1A109">
            <w:pPr>
              <w:pStyle w:val="11"/>
            </w:pPr>
          </w:p>
        </w:tc>
        <w:tc>
          <w:tcPr>
            <w:tcW w:w="1134" w:type="dxa"/>
            <w:vAlign w:val="center"/>
          </w:tcPr>
          <w:p w14:paraId="16F14CB4">
            <w:pPr>
              <w:pStyle w:val="11"/>
            </w:pPr>
          </w:p>
        </w:tc>
        <w:tc>
          <w:tcPr>
            <w:tcW w:w="1134" w:type="dxa"/>
            <w:vAlign w:val="center"/>
          </w:tcPr>
          <w:p w14:paraId="2E81EE1B">
            <w:pPr>
              <w:pStyle w:val="11"/>
            </w:pPr>
          </w:p>
        </w:tc>
        <w:tc>
          <w:tcPr>
            <w:tcW w:w="1134" w:type="dxa"/>
            <w:vAlign w:val="center"/>
          </w:tcPr>
          <w:p w14:paraId="05298276">
            <w:pPr>
              <w:pStyle w:val="11"/>
            </w:pPr>
          </w:p>
        </w:tc>
        <w:tc>
          <w:tcPr>
            <w:tcW w:w="1134" w:type="dxa"/>
            <w:vAlign w:val="center"/>
          </w:tcPr>
          <w:p w14:paraId="2774B846">
            <w:pPr>
              <w:pStyle w:val="11"/>
            </w:pPr>
          </w:p>
        </w:tc>
        <w:tc>
          <w:tcPr>
            <w:tcW w:w="1134" w:type="dxa"/>
            <w:vAlign w:val="center"/>
          </w:tcPr>
          <w:p w14:paraId="1320FF08">
            <w:pPr>
              <w:pStyle w:val="11"/>
            </w:pPr>
          </w:p>
        </w:tc>
        <w:tc>
          <w:tcPr>
            <w:tcW w:w="1134" w:type="dxa"/>
            <w:vAlign w:val="center"/>
          </w:tcPr>
          <w:p w14:paraId="75E65734">
            <w:pPr>
              <w:pStyle w:val="11"/>
            </w:pPr>
          </w:p>
        </w:tc>
      </w:tr>
      <w:tr w14:paraId="4488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9E423">
            <w:pPr>
              <w:pStyle w:val="13"/>
            </w:pPr>
            <w:r>
              <w:t>3</w:t>
            </w:r>
          </w:p>
        </w:tc>
        <w:tc>
          <w:tcPr>
            <w:tcW w:w="992" w:type="dxa"/>
            <w:vAlign w:val="center"/>
          </w:tcPr>
          <w:p w14:paraId="3DEFE72E">
            <w:pPr>
              <w:pStyle w:val="12"/>
            </w:pPr>
            <w:r>
              <w:t>20502</w:t>
            </w:r>
          </w:p>
        </w:tc>
        <w:tc>
          <w:tcPr>
            <w:tcW w:w="1559" w:type="dxa"/>
            <w:vAlign w:val="center"/>
          </w:tcPr>
          <w:p w14:paraId="04D0F9AF">
            <w:pPr>
              <w:pStyle w:val="12"/>
            </w:pPr>
            <w:r>
              <w:t>普通教育</w:t>
            </w:r>
          </w:p>
        </w:tc>
        <w:tc>
          <w:tcPr>
            <w:tcW w:w="1134" w:type="dxa"/>
            <w:vAlign w:val="center"/>
          </w:tcPr>
          <w:p w14:paraId="6172A988">
            <w:pPr>
              <w:pStyle w:val="11"/>
            </w:pPr>
            <w:r>
              <w:t>3537.38</w:t>
            </w:r>
          </w:p>
        </w:tc>
        <w:tc>
          <w:tcPr>
            <w:tcW w:w="1134" w:type="dxa"/>
            <w:vAlign w:val="center"/>
          </w:tcPr>
          <w:p w14:paraId="37453451">
            <w:pPr>
              <w:pStyle w:val="11"/>
            </w:pPr>
            <w:r>
              <w:t>3537.38</w:t>
            </w:r>
          </w:p>
        </w:tc>
        <w:tc>
          <w:tcPr>
            <w:tcW w:w="1134" w:type="dxa"/>
            <w:vAlign w:val="center"/>
          </w:tcPr>
          <w:p w14:paraId="43E38CE4">
            <w:pPr>
              <w:pStyle w:val="11"/>
            </w:pPr>
            <w:r>
              <w:t>3537.38</w:t>
            </w:r>
          </w:p>
        </w:tc>
        <w:tc>
          <w:tcPr>
            <w:tcW w:w="1134" w:type="dxa"/>
            <w:vAlign w:val="center"/>
          </w:tcPr>
          <w:p w14:paraId="75862FBF">
            <w:pPr>
              <w:pStyle w:val="11"/>
            </w:pPr>
          </w:p>
        </w:tc>
        <w:tc>
          <w:tcPr>
            <w:tcW w:w="1134" w:type="dxa"/>
            <w:vAlign w:val="center"/>
          </w:tcPr>
          <w:p w14:paraId="6D4C2CE6">
            <w:pPr>
              <w:pStyle w:val="11"/>
            </w:pPr>
          </w:p>
        </w:tc>
        <w:tc>
          <w:tcPr>
            <w:tcW w:w="1134" w:type="dxa"/>
            <w:vAlign w:val="center"/>
          </w:tcPr>
          <w:p w14:paraId="2BA53677">
            <w:pPr>
              <w:pStyle w:val="11"/>
            </w:pPr>
          </w:p>
        </w:tc>
        <w:tc>
          <w:tcPr>
            <w:tcW w:w="1134" w:type="dxa"/>
            <w:vAlign w:val="center"/>
          </w:tcPr>
          <w:p w14:paraId="24E587AB">
            <w:pPr>
              <w:pStyle w:val="11"/>
            </w:pPr>
          </w:p>
        </w:tc>
        <w:tc>
          <w:tcPr>
            <w:tcW w:w="1134" w:type="dxa"/>
            <w:vAlign w:val="center"/>
          </w:tcPr>
          <w:p w14:paraId="09B7B03D">
            <w:pPr>
              <w:pStyle w:val="11"/>
            </w:pPr>
          </w:p>
        </w:tc>
        <w:tc>
          <w:tcPr>
            <w:tcW w:w="1134" w:type="dxa"/>
            <w:vAlign w:val="center"/>
          </w:tcPr>
          <w:p w14:paraId="3A6EA3CC">
            <w:pPr>
              <w:pStyle w:val="11"/>
            </w:pPr>
          </w:p>
        </w:tc>
        <w:tc>
          <w:tcPr>
            <w:tcW w:w="1134" w:type="dxa"/>
            <w:vAlign w:val="center"/>
          </w:tcPr>
          <w:p w14:paraId="6F6BA98F">
            <w:pPr>
              <w:pStyle w:val="11"/>
            </w:pPr>
          </w:p>
        </w:tc>
      </w:tr>
      <w:tr w14:paraId="08EA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CBDDF">
            <w:pPr>
              <w:pStyle w:val="13"/>
            </w:pPr>
            <w:r>
              <w:t>4</w:t>
            </w:r>
          </w:p>
        </w:tc>
        <w:tc>
          <w:tcPr>
            <w:tcW w:w="992" w:type="dxa"/>
            <w:vAlign w:val="center"/>
          </w:tcPr>
          <w:p w14:paraId="678281C8">
            <w:pPr>
              <w:pStyle w:val="12"/>
            </w:pPr>
            <w:r>
              <w:t>2050203</w:t>
            </w:r>
          </w:p>
        </w:tc>
        <w:tc>
          <w:tcPr>
            <w:tcW w:w="1559" w:type="dxa"/>
            <w:vAlign w:val="center"/>
          </w:tcPr>
          <w:p w14:paraId="4DD45FF7">
            <w:pPr>
              <w:pStyle w:val="12"/>
            </w:pPr>
            <w:r>
              <w:t>初中教育</w:t>
            </w:r>
          </w:p>
        </w:tc>
        <w:tc>
          <w:tcPr>
            <w:tcW w:w="1134" w:type="dxa"/>
            <w:vAlign w:val="center"/>
          </w:tcPr>
          <w:p w14:paraId="303B274C">
            <w:pPr>
              <w:pStyle w:val="11"/>
            </w:pPr>
            <w:r>
              <w:t>3537.38</w:t>
            </w:r>
          </w:p>
        </w:tc>
        <w:tc>
          <w:tcPr>
            <w:tcW w:w="1134" w:type="dxa"/>
            <w:vAlign w:val="center"/>
          </w:tcPr>
          <w:p w14:paraId="0AFB0AAE">
            <w:pPr>
              <w:pStyle w:val="11"/>
            </w:pPr>
            <w:r>
              <w:t>3537.38</w:t>
            </w:r>
          </w:p>
        </w:tc>
        <w:tc>
          <w:tcPr>
            <w:tcW w:w="1134" w:type="dxa"/>
            <w:vAlign w:val="center"/>
          </w:tcPr>
          <w:p w14:paraId="0BB6DD9C">
            <w:pPr>
              <w:pStyle w:val="11"/>
            </w:pPr>
            <w:r>
              <w:t>3537.38</w:t>
            </w:r>
          </w:p>
        </w:tc>
        <w:tc>
          <w:tcPr>
            <w:tcW w:w="1134" w:type="dxa"/>
            <w:vAlign w:val="center"/>
          </w:tcPr>
          <w:p w14:paraId="1EDADE19">
            <w:pPr>
              <w:pStyle w:val="11"/>
            </w:pPr>
          </w:p>
        </w:tc>
        <w:tc>
          <w:tcPr>
            <w:tcW w:w="1134" w:type="dxa"/>
            <w:vAlign w:val="center"/>
          </w:tcPr>
          <w:p w14:paraId="1F507E41">
            <w:pPr>
              <w:pStyle w:val="11"/>
            </w:pPr>
          </w:p>
        </w:tc>
        <w:tc>
          <w:tcPr>
            <w:tcW w:w="1134" w:type="dxa"/>
            <w:vAlign w:val="center"/>
          </w:tcPr>
          <w:p w14:paraId="7E8A6F6C">
            <w:pPr>
              <w:pStyle w:val="11"/>
            </w:pPr>
          </w:p>
        </w:tc>
        <w:tc>
          <w:tcPr>
            <w:tcW w:w="1134" w:type="dxa"/>
            <w:vAlign w:val="center"/>
          </w:tcPr>
          <w:p w14:paraId="35D26AA7">
            <w:pPr>
              <w:pStyle w:val="11"/>
            </w:pPr>
          </w:p>
        </w:tc>
        <w:tc>
          <w:tcPr>
            <w:tcW w:w="1134" w:type="dxa"/>
            <w:vAlign w:val="center"/>
          </w:tcPr>
          <w:p w14:paraId="6683E7B1">
            <w:pPr>
              <w:pStyle w:val="11"/>
            </w:pPr>
          </w:p>
        </w:tc>
        <w:tc>
          <w:tcPr>
            <w:tcW w:w="1134" w:type="dxa"/>
            <w:vAlign w:val="center"/>
          </w:tcPr>
          <w:p w14:paraId="3A94D52F">
            <w:pPr>
              <w:pStyle w:val="11"/>
            </w:pPr>
          </w:p>
        </w:tc>
        <w:tc>
          <w:tcPr>
            <w:tcW w:w="1134" w:type="dxa"/>
            <w:vAlign w:val="center"/>
          </w:tcPr>
          <w:p w14:paraId="71EF9236">
            <w:pPr>
              <w:pStyle w:val="11"/>
            </w:pPr>
          </w:p>
        </w:tc>
      </w:tr>
    </w:tbl>
    <w:p w14:paraId="627184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DE90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1F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DAF28E">
            <w:pPr>
              <w:pStyle w:val="9"/>
            </w:pPr>
            <w:r>
              <w:t>360011河北省隆尧县实验中学</w:t>
            </w:r>
          </w:p>
        </w:tc>
        <w:tc>
          <w:tcPr>
            <w:tcW w:w="2722" w:type="dxa"/>
            <w:gridSpan w:val="2"/>
            <w:tcBorders>
              <w:top w:val="single" w:color="FFFFFF" w:sz="6" w:space="0"/>
              <w:left w:val="single" w:color="FFFFFF" w:sz="6" w:space="0"/>
              <w:right w:val="single" w:color="FFFFFF" w:sz="6" w:space="0"/>
            </w:tcBorders>
            <w:vAlign w:val="center"/>
          </w:tcPr>
          <w:p w14:paraId="1A50715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D159884">
            <w:pPr>
              <w:pStyle w:val="7"/>
            </w:pPr>
            <w:r>
              <w:t>单位：万元</w:t>
            </w:r>
          </w:p>
        </w:tc>
      </w:tr>
      <w:tr w14:paraId="3A08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44E70">
            <w:pPr>
              <w:pStyle w:val="10"/>
            </w:pPr>
            <w:r>
              <w:t>序号</w:t>
            </w:r>
          </w:p>
        </w:tc>
        <w:tc>
          <w:tcPr>
            <w:tcW w:w="5527" w:type="dxa"/>
            <w:gridSpan w:val="2"/>
            <w:vAlign w:val="center"/>
          </w:tcPr>
          <w:p w14:paraId="1BC58B07">
            <w:pPr>
              <w:pStyle w:val="10"/>
            </w:pPr>
            <w:r>
              <w:t>功能分类科目</w:t>
            </w:r>
          </w:p>
        </w:tc>
        <w:tc>
          <w:tcPr>
            <w:tcW w:w="1361" w:type="dxa"/>
            <w:vMerge w:val="restart"/>
            <w:vAlign w:val="center"/>
          </w:tcPr>
          <w:p w14:paraId="7A37515F">
            <w:pPr>
              <w:pStyle w:val="10"/>
            </w:pPr>
            <w:r>
              <w:t>合计</w:t>
            </w:r>
          </w:p>
        </w:tc>
        <w:tc>
          <w:tcPr>
            <w:tcW w:w="1361" w:type="dxa"/>
            <w:vMerge w:val="restart"/>
            <w:vAlign w:val="center"/>
          </w:tcPr>
          <w:p w14:paraId="4C3C62D2">
            <w:pPr>
              <w:pStyle w:val="10"/>
            </w:pPr>
            <w:r>
              <w:t>基本支出</w:t>
            </w:r>
          </w:p>
        </w:tc>
        <w:tc>
          <w:tcPr>
            <w:tcW w:w="1361" w:type="dxa"/>
            <w:vMerge w:val="restart"/>
            <w:vAlign w:val="center"/>
          </w:tcPr>
          <w:p w14:paraId="750A420F">
            <w:pPr>
              <w:pStyle w:val="10"/>
            </w:pPr>
            <w:r>
              <w:t>项目支出</w:t>
            </w:r>
          </w:p>
        </w:tc>
        <w:tc>
          <w:tcPr>
            <w:tcW w:w="1361" w:type="dxa"/>
            <w:vMerge w:val="restart"/>
            <w:vAlign w:val="center"/>
          </w:tcPr>
          <w:p w14:paraId="08444640">
            <w:pPr>
              <w:pStyle w:val="10"/>
            </w:pPr>
            <w:r>
              <w:t>经营支出</w:t>
            </w:r>
          </w:p>
        </w:tc>
        <w:tc>
          <w:tcPr>
            <w:tcW w:w="1361" w:type="dxa"/>
            <w:vMerge w:val="restart"/>
            <w:vAlign w:val="center"/>
          </w:tcPr>
          <w:p w14:paraId="73668EC6">
            <w:pPr>
              <w:pStyle w:val="10"/>
            </w:pPr>
            <w:r>
              <w:t>上解上级     支出</w:t>
            </w:r>
          </w:p>
        </w:tc>
        <w:tc>
          <w:tcPr>
            <w:tcW w:w="1361" w:type="dxa"/>
            <w:vMerge w:val="restart"/>
            <w:vAlign w:val="center"/>
          </w:tcPr>
          <w:p w14:paraId="2A5F17B9">
            <w:pPr>
              <w:pStyle w:val="10"/>
            </w:pPr>
            <w:r>
              <w:t>对附属单位补助支出</w:t>
            </w:r>
          </w:p>
        </w:tc>
      </w:tr>
      <w:tr w14:paraId="0966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7A4B19"/>
        </w:tc>
        <w:tc>
          <w:tcPr>
            <w:tcW w:w="992" w:type="dxa"/>
            <w:vAlign w:val="center"/>
          </w:tcPr>
          <w:p w14:paraId="6098791F">
            <w:pPr>
              <w:pStyle w:val="10"/>
            </w:pPr>
            <w:r>
              <w:t>科目    编码</w:t>
            </w:r>
          </w:p>
        </w:tc>
        <w:tc>
          <w:tcPr>
            <w:tcW w:w="4535" w:type="dxa"/>
            <w:vAlign w:val="center"/>
          </w:tcPr>
          <w:p w14:paraId="3E5E0C80">
            <w:pPr>
              <w:pStyle w:val="10"/>
            </w:pPr>
            <w:r>
              <w:t>科目名称</w:t>
            </w:r>
          </w:p>
        </w:tc>
        <w:tc>
          <w:tcPr>
            <w:tcW w:w="1361" w:type="dxa"/>
            <w:vMerge w:val="continue"/>
          </w:tcPr>
          <w:p w14:paraId="1DF51590"/>
        </w:tc>
        <w:tc>
          <w:tcPr>
            <w:tcW w:w="1361" w:type="dxa"/>
            <w:vMerge w:val="continue"/>
          </w:tcPr>
          <w:p w14:paraId="776C2205"/>
        </w:tc>
        <w:tc>
          <w:tcPr>
            <w:tcW w:w="1361" w:type="dxa"/>
            <w:vMerge w:val="continue"/>
          </w:tcPr>
          <w:p w14:paraId="209B95AC"/>
        </w:tc>
        <w:tc>
          <w:tcPr>
            <w:tcW w:w="1361" w:type="dxa"/>
            <w:vMerge w:val="continue"/>
          </w:tcPr>
          <w:p w14:paraId="66116700"/>
        </w:tc>
        <w:tc>
          <w:tcPr>
            <w:tcW w:w="1361" w:type="dxa"/>
            <w:vMerge w:val="continue"/>
          </w:tcPr>
          <w:p w14:paraId="189B955A"/>
        </w:tc>
        <w:tc>
          <w:tcPr>
            <w:tcW w:w="1361" w:type="dxa"/>
            <w:vMerge w:val="continue"/>
          </w:tcPr>
          <w:p w14:paraId="03AD1DB3"/>
        </w:tc>
      </w:tr>
      <w:tr w14:paraId="6F23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32741">
            <w:pPr>
              <w:pStyle w:val="10"/>
            </w:pPr>
            <w:r>
              <w:t>栏次</w:t>
            </w:r>
          </w:p>
        </w:tc>
        <w:tc>
          <w:tcPr>
            <w:tcW w:w="992" w:type="dxa"/>
            <w:vAlign w:val="center"/>
          </w:tcPr>
          <w:p w14:paraId="70EFF4C5">
            <w:pPr>
              <w:pStyle w:val="10"/>
            </w:pPr>
            <w:r>
              <w:t>1</w:t>
            </w:r>
          </w:p>
        </w:tc>
        <w:tc>
          <w:tcPr>
            <w:tcW w:w="4535" w:type="dxa"/>
            <w:vAlign w:val="center"/>
          </w:tcPr>
          <w:p w14:paraId="6E092C88">
            <w:pPr>
              <w:pStyle w:val="10"/>
            </w:pPr>
            <w:r>
              <w:t>2</w:t>
            </w:r>
          </w:p>
        </w:tc>
        <w:tc>
          <w:tcPr>
            <w:tcW w:w="1361" w:type="dxa"/>
            <w:vAlign w:val="center"/>
          </w:tcPr>
          <w:p w14:paraId="294A9464">
            <w:pPr>
              <w:pStyle w:val="10"/>
            </w:pPr>
            <w:r>
              <w:t>3</w:t>
            </w:r>
          </w:p>
        </w:tc>
        <w:tc>
          <w:tcPr>
            <w:tcW w:w="1361" w:type="dxa"/>
            <w:vAlign w:val="center"/>
          </w:tcPr>
          <w:p w14:paraId="31FCBA3D">
            <w:pPr>
              <w:pStyle w:val="10"/>
            </w:pPr>
            <w:r>
              <w:t>4</w:t>
            </w:r>
          </w:p>
        </w:tc>
        <w:tc>
          <w:tcPr>
            <w:tcW w:w="1361" w:type="dxa"/>
            <w:vAlign w:val="center"/>
          </w:tcPr>
          <w:p w14:paraId="00DC8657">
            <w:pPr>
              <w:pStyle w:val="10"/>
            </w:pPr>
            <w:r>
              <w:t>5</w:t>
            </w:r>
          </w:p>
        </w:tc>
        <w:tc>
          <w:tcPr>
            <w:tcW w:w="1361" w:type="dxa"/>
            <w:vAlign w:val="center"/>
          </w:tcPr>
          <w:p w14:paraId="206E8DD4">
            <w:pPr>
              <w:pStyle w:val="10"/>
            </w:pPr>
            <w:r>
              <w:t>6</w:t>
            </w:r>
          </w:p>
        </w:tc>
        <w:tc>
          <w:tcPr>
            <w:tcW w:w="1361" w:type="dxa"/>
            <w:vAlign w:val="center"/>
          </w:tcPr>
          <w:p w14:paraId="43FD20D6">
            <w:pPr>
              <w:pStyle w:val="10"/>
            </w:pPr>
            <w:r>
              <w:t>7</w:t>
            </w:r>
          </w:p>
        </w:tc>
        <w:tc>
          <w:tcPr>
            <w:tcW w:w="1361" w:type="dxa"/>
            <w:vAlign w:val="center"/>
          </w:tcPr>
          <w:p w14:paraId="4D7885D7">
            <w:pPr>
              <w:pStyle w:val="10"/>
            </w:pPr>
            <w:r>
              <w:t>8</w:t>
            </w:r>
          </w:p>
        </w:tc>
      </w:tr>
      <w:tr w14:paraId="6062B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8C89">
            <w:pPr>
              <w:pStyle w:val="13"/>
            </w:pPr>
            <w:r>
              <w:t>1</w:t>
            </w:r>
          </w:p>
        </w:tc>
        <w:tc>
          <w:tcPr>
            <w:tcW w:w="992" w:type="dxa"/>
            <w:vAlign w:val="center"/>
          </w:tcPr>
          <w:p w14:paraId="62534D88">
            <w:pPr>
              <w:pStyle w:val="16"/>
            </w:pPr>
          </w:p>
        </w:tc>
        <w:tc>
          <w:tcPr>
            <w:tcW w:w="4535" w:type="dxa"/>
            <w:vAlign w:val="center"/>
          </w:tcPr>
          <w:p w14:paraId="58C2DD56">
            <w:pPr>
              <w:pStyle w:val="14"/>
            </w:pPr>
            <w:r>
              <w:t>合计</w:t>
            </w:r>
          </w:p>
        </w:tc>
        <w:tc>
          <w:tcPr>
            <w:tcW w:w="1361" w:type="dxa"/>
            <w:vAlign w:val="center"/>
          </w:tcPr>
          <w:p w14:paraId="622C7001">
            <w:pPr>
              <w:pStyle w:val="15"/>
            </w:pPr>
            <w:r>
              <w:t>3537.38</w:t>
            </w:r>
          </w:p>
        </w:tc>
        <w:tc>
          <w:tcPr>
            <w:tcW w:w="1361" w:type="dxa"/>
            <w:vAlign w:val="center"/>
          </w:tcPr>
          <w:p w14:paraId="09698998">
            <w:pPr>
              <w:pStyle w:val="15"/>
            </w:pPr>
            <w:r>
              <w:t>2628.89</w:t>
            </w:r>
          </w:p>
        </w:tc>
        <w:tc>
          <w:tcPr>
            <w:tcW w:w="1361" w:type="dxa"/>
            <w:vAlign w:val="center"/>
          </w:tcPr>
          <w:p w14:paraId="3F9469A0">
            <w:pPr>
              <w:pStyle w:val="15"/>
            </w:pPr>
            <w:r>
              <w:t>908.49</w:t>
            </w:r>
          </w:p>
        </w:tc>
        <w:tc>
          <w:tcPr>
            <w:tcW w:w="1361" w:type="dxa"/>
            <w:vAlign w:val="center"/>
          </w:tcPr>
          <w:p w14:paraId="3ECF4F5A">
            <w:pPr>
              <w:pStyle w:val="15"/>
            </w:pPr>
          </w:p>
        </w:tc>
        <w:tc>
          <w:tcPr>
            <w:tcW w:w="1361" w:type="dxa"/>
            <w:vAlign w:val="center"/>
          </w:tcPr>
          <w:p w14:paraId="47CF7170">
            <w:pPr>
              <w:pStyle w:val="15"/>
            </w:pPr>
          </w:p>
        </w:tc>
        <w:tc>
          <w:tcPr>
            <w:tcW w:w="1361" w:type="dxa"/>
            <w:vAlign w:val="center"/>
          </w:tcPr>
          <w:p w14:paraId="10CE3E02">
            <w:pPr>
              <w:pStyle w:val="15"/>
            </w:pPr>
          </w:p>
        </w:tc>
      </w:tr>
      <w:tr w14:paraId="7219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F1C9">
            <w:pPr>
              <w:pStyle w:val="13"/>
            </w:pPr>
            <w:r>
              <w:t>2</w:t>
            </w:r>
          </w:p>
        </w:tc>
        <w:tc>
          <w:tcPr>
            <w:tcW w:w="992" w:type="dxa"/>
            <w:vAlign w:val="center"/>
          </w:tcPr>
          <w:p w14:paraId="7364F5F3">
            <w:pPr>
              <w:pStyle w:val="12"/>
            </w:pPr>
            <w:r>
              <w:t>205</w:t>
            </w:r>
          </w:p>
        </w:tc>
        <w:tc>
          <w:tcPr>
            <w:tcW w:w="4535" w:type="dxa"/>
            <w:vAlign w:val="center"/>
          </w:tcPr>
          <w:p w14:paraId="3B39E42A">
            <w:pPr>
              <w:pStyle w:val="12"/>
            </w:pPr>
            <w:r>
              <w:t>教育支出</w:t>
            </w:r>
          </w:p>
        </w:tc>
        <w:tc>
          <w:tcPr>
            <w:tcW w:w="1361" w:type="dxa"/>
            <w:vAlign w:val="center"/>
          </w:tcPr>
          <w:p w14:paraId="101D3868">
            <w:pPr>
              <w:pStyle w:val="11"/>
            </w:pPr>
            <w:r>
              <w:t>3537.38</w:t>
            </w:r>
          </w:p>
        </w:tc>
        <w:tc>
          <w:tcPr>
            <w:tcW w:w="1361" w:type="dxa"/>
            <w:vAlign w:val="center"/>
          </w:tcPr>
          <w:p w14:paraId="3C6A0B1E">
            <w:pPr>
              <w:pStyle w:val="11"/>
            </w:pPr>
            <w:r>
              <w:t>2628.89</w:t>
            </w:r>
          </w:p>
        </w:tc>
        <w:tc>
          <w:tcPr>
            <w:tcW w:w="1361" w:type="dxa"/>
            <w:vAlign w:val="center"/>
          </w:tcPr>
          <w:p w14:paraId="4D612207">
            <w:pPr>
              <w:pStyle w:val="11"/>
            </w:pPr>
            <w:r>
              <w:t>908.49</w:t>
            </w:r>
          </w:p>
        </w:tc>
        <w:tc>
          <w:tcPr>
            <w:tcW w:w="1361" w:type="dxa"/>
            <w:vAlign w:val="center"/>
          </w:tcPr>
          <w:p w14:paraId="4B9E3116">
            <w:pPr>
              <w:pStyle w:val="11"/>
            </w:pPr>
          </w:p>
        </w:tc>
        <w:tc>
          <w:tcPr>
            <w:tcW w:w="1361" w:type="dxa"/>
            <w:vAlign w:val="center"/>
          </w:tcPr>
          <w:p w14:paraId="32E1C068">
            <w:pPr>
              <w:pStyle w:val="11"/>
            </w:pPr>
          </w:p>
        </w:tc>
        <w:tc>
          <w:tcPr>
            <w:tcW w:w="1361" w:type="dxa"/>
            <w:vAlign w:val="center"/>
          </w:tcPr>
          <w:p w14:paraId="7522CF27">
            <w:pPr>
              <w:pStyle w:val="11"/>
            </w:pPr>
          </w:p>
        </w:tc>
      </w:tr>
      <w:tr w14:paraId="3160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9EECC">
            <w:pPr>
              <w:pStyle w:val="13"/>
            </w:pPr>
            <w:r>
              <w:t>3</w:t>
            </w:r>
          </w:p>
        </w:tc>
        <w:tc>
          <w:tcPr>
            <w:tcW w:w="992" w:type="dxa"/>
            <w:vAlign w:val="center"/>
          </w:tcPr>
          <w:p w14:paraId="7AFB7C25">
            <w:pPr>
              <w:pStyle w:val="12"/>
            </w:pPr>
            <w:r>
              <w:t>20502</w:t>
            </w:r>
          </w:p>
        </w:tc>
        <w:tc>
          <w:tcPr>
            <w:tcW w:w="4535" w:type="dxa"/>
            <w:vAlign w:val="center"/>
          </w:tcPr>
          <w:p w14:paraId="743458C3">
            <w:pPr>
              <w:pStyle w:val="12"/>
            </w:pPr>
            <w:r>
              <w:t>普通教育</w:t>
            </w:r>
          </w:p>
        </w:tc>
        <w:tc>
          <w:tcPr>
            <w:tcW w:w="1361" w:type="dxa"/>
            <w:vAlign w:val="center"/>
          </w:tcPr>
          <w:p w14:paraId="0A0F3A1C">
            <w:pPr>
              <w:pStyle w:val="11"/>
            </w:pPr>
            <w:r>
              <w:t>3537.38</w:t>
            </w:r>
          </w:p>
        </w:tc>
        <w:tc>
          <w:tcPr>
            <w:tcW w:w="1361" w:type="dxa"/>
            <w:vAlign w:val="center"/>
          </w:tcPr>
          <w:p w14:paraId="7585C4FA">
            <w:pPr>
              <w:pStyle w:val="11"/>
            </w:pPr>
            <w:r>
              <w:t>2628.89</w:t>
            </w:r>
          </w:p>
        </w:tc>
        <w:tc>
          <w:tcPr>
            <w:tcW w:w="1361" w:type="dxa"/>
            <w:vAlign w:val="center"/>
          </w:tcPr>
          <w:p w14:paraId="5B9016AE">
            <w:pPr>
              <w:pStyle w:val="11"/>
            </w:pPr>
            <w:r>
              <w:t>908.49</w:t>
            </w:r>
          </w:p>
        </w:tc>
        <w:tc>
          <w:tcPr>
            <w:tcW w:w="1361" w:type="dxa"/>
            <w:vAlign w:val="center"/>
          </w:tcPr>
          <w:p w14:paraId="0548BF8E">
            <w:pPr>
              <w:pStyle w:val="11"/>
            </w:pPr>
          </w:p>
        </w:tc>
        <w:tc>
          <w:tcPr>
            <w:tcW w:w="1361" w:type="dxa"/>
            <w:vAlign w:val="center"/>
          </w:tcPr>
          <w:p w14:paraId="42BED8A8">
            <w:pPr>
              <w:pStyle w:val="11"/>
            </w:pPr>
          </w:p>
        </w:tc>
        <w:tc>
          <w:tcPr>
            <w:tcW w:w="1361" w:type="dxa"/>
            <w:vAlign w:val="center"/>
          </w:tcPr>
          <w:p w14:paraId="007D0921">
            <w:pPr>
              <w:pStyle w:val="11"/>
            </w:pPr>
          </w:p>
        </w:tc>
      </w:tr>
      <w:tr w14:paraId="3D90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B6677">
            <w:pPr>
              <w:pStyle w:val="13"/>
            </w:pPr>
            <w:r>
              <w:t>4</w:t>
            </w:r>
          </w:p>
        </w:tc>
        <w:tc>
          <w:tcPr>
            <w:tcW w:w="992" w:type="dxa"/>
            <w:vAlign w:val="center"/>
          </w:tcPr>
          <w:p w14:paraId="25139D42">
            <w:pPr>
              <w:pStyle w:val="12"/>
            </w:pPr>
            <w:r>
              <w:t>2050203</w:t>
            </w:r>
          </w:p>
        </w:tc>
        <w:tc>
          <w:tcPr>
            <w:tcW w:w="4535" w:type="dxa"/>
            <w:vAlign w:val="center"/>
          </w:tcPr>
          <w:p w14:paraId="0EE2A991">
            <w:pPr>
              <w:pStyle w:val="12"/>
            </w:pPr>
            <w:r>
              <w:t>初中教育</w:t>
            </w:r>
          </w:p>
        </w:tc>
        <w:tc>
          <w:tcPr>
            <w:tcW w:w="1361" w:type="dxa"/>
            <w:vAlign w:val="center"/>
          </w:tcPr>
          <w:p w14:paraId="7C1F6705">
            <w:pPr>
              <w:pStyle w:val="11"/>
            </w:pPr>
            <w:r>
              <w:t>3537.38</w:t>
            </w:r>
          </w:p>
        </w:tc>
        <w:tc>
          <w:tcPr>
            <w:tcW w:w="1361" w:type="dxa"/>
            <w:vAlign w:val="center"/>
          </w:tcPr>
          <w:p w14:paraId="69C6E083">
            <w:pPr>
              <w:pStyle w:val="11"/>
            </w:pPr>
            <w:r>
              <w:t>2628.89</w:t>
            </w:r>
          </w:p>
        </w:tc>
        <w:tc>
          <w:tcPr>
            <w:tcW w:w="1361" w:type="dxa"/>
            <w:vAlign w:val="center"/>
          </w:tcPr>
          <w:p w14:paraId="68D7CCB9">
            <w:pPr>
              <w:pStyle w:val="11"/>
            </w:pPr>
            <w:r>
              <w:t>908.49</w:t>
            </w:r>
          </w:p>
        </w:tc>
        <w:tc>
          <w:tcPr>
            <w:tcW w:w="1361" w:type="dxa"/>
            <w:vAlign w:val="center"/>
          </w:tcPr>
          <w:p w14:paraId="3C6C2AF1">
            <w:pPr>
              <w:pStyle w:val="11"/>
            </w:pPr>
          </w:p>
        </w:tc>
        <w:tc>
          <w:tcPr>
            <w:tcW w:w="1361" w:type="dxa"/>
            <w:vAlign w:val="center"/>
          </w:tcPr>
          <w:p w14:paraId="03E9B171">
            <w:pPr>
              <w:pStyle w:val="11"/>
            </w:pPr>
          </w:p>
        </w:tc>
        <w:tc>
          <w:tcPr>
            <w:tcW w:w="1361" w:type="dxa"/>
            <w:vAlign w:val="center"/>
          </w:tcPr>
          <w:p w14:paraId="15202C04">
            <w:pPr>
              <w:pStyle w:val="11"/>
            </w:pPr>
          </w:p>
        </w:tc>
      </w:tr>
    </w:tbl>
    <w:p w14:paraId="293A31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AD61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CB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BC58F0">
            <w:pPr>
              <w:pStyle w:val="9"/>
            </w:pPr>
            <w:r>
              <w:t>360011河北省隆尧县实验中学</w:t>
            </w:r>
          </w:p>
        </w:tc>
        <w:tc>
          <w:tcPr>
            <w:tcW w:w="3402" w:type="dxa"/>
            <w:tcBorders>
              <w:top w:val="single" w:color="FFFFFF" w:sz="6" w:space="0"/>
              <w:left w:val="single" w:color="FFFFFF" w:sz="6" w:space="0"/>
              <w:right w:val="single" w:color="FFFFFF" w:sz="6" w:space="0"/>
            </w:tcBorders>
            <w:vAlign w:val="center"/>
          </w:tcPr>
          <w:p w14:paraId="680509E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B8BEA95">
            <w:pPr>
              <w:pStyle w:val="7"/>
            </w:pPr>
            <w:r>
              <w:t>单位：万元</w:t>
            </w:r>
          </w:p>
        </w:tc>
      </w:tr>
      <w:tr w14:paraId="0937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8997DD">
            <w:pPr>
              <w:pStyle w:val="10"/>
            </w:pPr>
            <w:r>
              <w:t>序号</w:t>
            </w:r>
          </w:p>
        </w:tc>
        <w:tc>
          <w:tcPr>
            <w:tcW w:w="4876" w:type="dxa"/>
            <w:gridSpan w:val="2"/>
            <w:vAlign w:val="center"/>
          </w:tcPr>
          <w:p w14:paraId="7AF752FB">
            <w:pPr>
              <w:pStyle w:val="10"/>
            </w:pPr>
            <w:r>
              <w:t>收入</w:t>
            </w:r>
          </w:p>
        </w:tc>
        <w:tc>
          <w:tcPr>
            <w:tcW w:w="9298" w:type="dxa"/>
            <w:gridSpan w:val="5"/>
            <w:vAlign w:val="center"/>
          </w:tcPr>
          <w:p w14:paraId="6BECE840">
            <w:pPr>
              <w:pStyle w:val="10"/>
            </w:pPr>
            <w:r>
              <w:t>支出</w:t>
            </w:r>
          </w:p>
        </w:tc>
      </w:tr>
      <w:tr w14:paraId="3A4C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0E5FB"/>
        </w:tc>
        <w:tc>
          <w:tcPr>
            <w:tcW w:w="3402" w:type="dxa"/>
            <w:vAlign w:val="center"/>
          </w:tcPr>
          <w:p w14:paraId="0A4FA92F">
            <w:pPr>
              <w:pStyle w:val="10"/>
            </w:pPr>
            <w:r>
              <w:t>项  目</w:t>
            </w:r>
          </w:p>
        </w:tc>
        <w:tc>
          <w:tcPr>
            <w:tcW w:w="1474" w:type="dxa"/>
            <w:vAlign w:val="center"/>
          </w:tcPr>
          <w:p w14:paraId="5932CDA8">
            <w:pPr>
              <w:pStyle w:val="10"/>
            </w:pPr>
            <w:r>
              <w:t>金额</w:t>
            </w:r>
          </w:p>
        </w:tc>
        <w:tc>
          <w:tcPr>
            <w:tcW w:w="3402" w:type="dxa"/>
            <w:vAlign w:val="center"/>
          </w:tcPr>
          <w:p w14:paraId="0D5D6CBB">
            <w:pPr>
              <w:pStyle w:val="10"/>
            </w:pPr>
            <w:r>
              <w:t>项  目</w:t>
            </w:r>
          </w:p>
        </w:tc>
        <w:tc>
          <w:tcPr>
            <w:tcW w:w="1474" w:type="dxa"/>
            <w:vAlign w:val="center"/>
          </w:tcPr>
          <w:p w14:paraId="22C6DE7B">
            <w:pPr>
              <w:pStyle w:val="10"/>
            </w:pPr>
            <w:r>
              <w:t>合计</w:t>
            </w:r>
          </w:p>
        </w:tc>
        <w:tc>
          <w:tcPr>
            <w:tcW w:w="1474" w:type="dxa"/>
            <w:vAlign w:val="center"/>
          </w:tcPr>
          <w:p w14:paraId="636F2F03">
            <w:pPr>
              <w:pStyle w:val="10"/>
            </w:pPr>
            <w:r>
              <w:t>一般公共预算财政拨款</w:t>
            </w:r>
          </w:p>
        </w:tc>
        <w:tc>
          <w:tcPr>
            <w:tcW w:w="1474" w:type="dxa"/>
            <w:vAlign w:val="center"/>
          </w:tcPr>
          <w:p w14:paraId="4A68C457">
            <w:pPr>
              <w:pStyle w:val="10"/>
            </w:pPr>
            <w:r>
              <w:t>政府性基金预算财政    拨款</w:t>
            </w:r>
          </w:p>
        </w:tc>
        <w:tc>
          <w:tcPr>
            <w:tcW w:w="1474" w:type="dxa"/>
            <w:vAlign w:val="center"/>
          </w:tcPr>
          <w:p w14:paraId="2E896BBF">
            <w:pPr>
              <w:pStyle w:val="10"/>
            </w:pPr>
            <w:r>
              <w:t>国有资本经营预算财政拨款</w:t>
            </w:r>
          </w:p>
        </w:tc>
      </w:tr>
      <w:tr w14:paraId="5546A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F2E84">
            <w:pPr>
              <w:pStyle w:val="10"/>
            </w:pPr>
            <w:r>
              <w:t>栏次</w:t>
            </w:r>
          </w:p>
        </w:tc>
        <w:tc>
          <w:tcPr>
            <w:tcW w:w="3402" w:type="dxa"/>
            <w:vAlign w:val="center"/>
          </w:tcPr>
          <w:p w14:paraId="00FAC713">
            <w:pPr>
              <w:pStyle w:val="10"/>
            </w:pPr>
            <w:r>
              <w:t>1</w:t>
            </w:r>
          </w:p>
        </w:tc>
        <w:tc>
          <w:tcPr>
            <w:tcW w:w="1474" w:type="dxa"/>
            <w:vAlign w:val="center"/>
          </w:tcPr>
          <w:p w14:paraId="3A8F7E68">
            <w:pPr>
              <w:pStyle w:val="10"/>
            </w:pPr>
            <w:r>
              <w:t>2</w:t>
            </w:r>
          </w:p>
        </w:tc>
        <w:tc>
          <w:tcPr>
            <w:tcW w:w="3402" w:type="dxa"/>
            <w:vAlign w:val="center"/>
          </w:tcPr>
          <w:p w14:paraId="588C1658">
            <w:pPr>
              <w:pStyle w:val="10"/>
            </w:pPr>
            <w:r>
              <w:t>3</w:t>
            </w:r>
          </w:p>
        </w:tc>
        <w:tc>
          <w:tcPr>
            <w:tcW w:w="1474" w:type="dxa"/>
            <w:vAlign w:val="center"/>
          </w:tcPr>
          <w:p w14:paraId="6043632C">
            <w:pPr>
              <w:pStyle w:val="10"/>
            </w:pPr>
            <w:r>
              <w:t>4</w:t>
            </w:r>
          </w:p>
        </w:tc>
        <w:tc>
          <w:tcPr>
            <w:tcW w:w="1474" w:type="dxa"/>
            <w:vAlign w:val="center"/>
          </w:tcPr>
          <w:p w14:paraId="2D8C8233">
            <w:pPr>
              <w:pStyle w:val="10"/>
            </w:pPr>
            <w:r>
              <w:t>5</w:t>
            </w:r>
          </w:p>
        </w:tc>
        <w:tc>
          <w:tcPr>
            <w:tcW w:w="1474" w:type="dxa"/>
            <w:vAlign w:val="center"/>
          </w:tcPr>
          <w:p w14:paraId="2A7F0301">
            <w:pPr>
              <w:pStyle w:val="10"/>
            </w:pPr>
            <w:r>
              <w:t>6</w:t>
            </w:r>
          </w:p>
        </w:tc>
        <w:tc>
          <w:tcPr>
            <w:tcW w:w="1474" w:type="dxa"/>
            <w:vAlign w:val="center"/>
          </w:tcPr>
          <w:p w14:paraId="6C0495C1">
            <w:pPr>
              <w:pStyle w:val="10"/>
            </w:pPr>
            <w:r>
              <w:t>7</w:t>
            </w:r>
          </w:p>
        </w:tc>
      </w:tr>
      <w:tr w14:paraId="4666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1766E">
            <w:pPr>
              <w:pStyle w:val="13"/>
            </w:pPr>
            <w:r>
              <w:t>1</w:t>
            </w:r>
          </w:p>
        </w:tc>
        <w:tc>
          <w:tcPr>
            <w:tcW w:w="3402" w:type="dxa"/>
            <w:vAlign w:val="center"/>
          </w:tcPr>
          <w:p w14:paraId="1813C363">
            <w:pPr>
              <w:pStyle w:val="12"/>
            </w:pPr>
            <w:r>
              <w:t>一、一般公共预算拨款</w:t>
            </w:r>
          </w:p>
        </w:tc>
        <w:tc>
          <w:tcPr>
            <w:tcW w:w="1474" w:type="dxa"/>
            <w:vAlign w:val="center"/>
          </w:tcPr>
          <w:p w14:paraId="75D3F829">
            <w:pPr>
              <w:pStyle w:val="11"/>
            </w:pPr>
            <w:r>
              <w:t>3537.38</w:t>
            </w:r>
          </w:p>
        </w:tc>
        <w:tc>
          <w:tcPr>
            <w:tcW w:w="3402" w:type="dxa"/>
            <w:vAlign w:val="center"/>
          </w:tcPr>
          <w:p w14:paraId="06D1AA84">
            <w:pPr>
              <w:pStyle w:val="12"/>
            </w:pPr>
            <w:r>
              <w:t>一、一般公共服务支出</w:t>
            </w:r>
          </w:p>
        </w:tc>
        <w:tc>
          <w:tcPr>
            <w:tcW w:w="1474" w:type="dxa"/>
            <w:vAlign w:val="center"/>
          </w:tcPr>
          <w:p w14:paraId="5A2DD409">
            <w:pPr>
              <w:pStyle w:val="11"/>
            </w:pPr>
          </w:p>
        </w:tc>
        <w:tc>
          <w:tcPr>
            <w:tcW w:w="1474" w:type="dxa"/>
            <w:vAlign w:val="center"/>
          </w:tcPr>
          <w:p w14:paraId="0521B5CC">
            <w:pPr>
              <w:pStyle w:val="11"/>
            </w:pPr>
          </w:p>
        </w:tc>
        <w:tc>
          <w:tcPr>
            <w:tcW w:w="1474" w:type="dxa"/>
            <w:vAlign w:val="center"/>
          </w:tcPr>
          <w:p w14:paraId="18DD44F7">
            <w:pPr>
              <w:pStyle w:val="11"/>
            </w:pPr>
          </w:p>
        </w:tc>
        <w:tc>
          <w:tcPr>
            <w:tcW w:w="1474" w:type="dxa"/>
            <w:vAlign w:val="center"/>
          </w:tcPr>
          <w:p w14:paraId="570F07C2">
            <w:pPr>
              <w:pStyle w:val="11"/>
            </w:pPr>
          </w:p>
        </w:tc>
      </w:tr>
      <w:tr w14:paraId="34B2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3E389">
            <w:pPr>
              <w:pStyle w:val="13"/>
            </w:pPr>
            <w:r>
              <w:t>2</w:t>
            </w:r>
          </w:p>
        </w:tc>
        <w:tc>
          <w:tcPr>
            <w:tcW w:w="3402" w:type="dxa"/>
            <w:vAlign w:val="center"/>
          </w:tcPr>
          <w:p w14:paraId="4EDB15F4">
            <w:pPr>
              <w:pStyle w:val="12"/>
            </w:pPr>
            <w:r>
              <w:t>二、政府性基金预算拨款</w:t>
            </w:r>
          </w:p>
        </w:tc>
        <w:tc>
          <w:tcPr>
            <w:tcW w:w="1474" w:type="dxa"/>
            <w:vAlign w:val="center"/>
          </w:tcPr>
          <w:p w14:paraId="6CFE5C6A">
            <w:pPr>
              <w:pStyle w:val="11"/>
            </w:pPr>
          </w:p>
        </w:tc>
        <w:tc>
          <w:tcPr>
            <w:tcW w:w="3402" w:type="dxa"/>
            <w:vAlign w:val="center"/>
          </w:tcPr>
          <w:p w14:paraId="05AFEEF7">
            <w:pPr>
              <w:pStyle w:val="12"/>
            </w:pPr>
            <w:r>
              <w:t>二、外交支出</w:t>
            </w:r>
          </w:p>
        </w:tc>
        <w:tc>
          <w:tcPr>
            <w:tcW w:w="1474" w:type="dxa"/>
            <w:vAlign w:val="center"/>
          </w:tcPr>
          <w:p w14:paraId="123BA442">
            <w:pPr>
              <w:pStyle w:val="11"/>
            </w:pPr>
          </w:p>
        </w:tc>
        <w:tc>
          <w:tcPr>
            <w:tcW w:w="1474" w:type="dxa"/>
            <w:vAlign w:val="center"/>
          </w:tcPr>
          <w:p w14:paraId="49EEA5DE">
            <w:pPr>
              <w:pStyle w:val="11"/>
            </w:pPr>
          </w:p>
        </w:tc>
        <w:tc>
          <w:tcPr>
            <w:tcW w:w="1474" w:type="dxa"/>
            <w:vAlign w:val="center"/>
          </w:tcPr>
          <w:p w14:paraId="3569C8F3">
            <w:pPr>
              <w:pStyle w:val="11"/>
            </w:pPr>
          </w:p>
        </w:tc>
        <w:tc>
          <w:tcPr>
            <w:tcW w:w="1474" w:type="dxa"/>
            <w:vAlign w:val="center"/>
          </w:tcPr>
          <w:p w14:paraId="513BB514">
            <w:pPr>
              <w:pStyle w:val="11"/>
            </w:pPr>
          </w:p>
        </w:tc>
      </w:tr>
      <w:tr w14:paraId="67B5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61434">
            <w:pPr>
              <w:pStyle w:val="13"/>
            </w:pPr>
            <w:r>
              <w:t>3</w:t>
            </w:r>
          </w:p>
        </w:tc>
        <w:tc>
          <w:tcPr>
            <w:tcW w:w="3402" w:type="dxa"/>
            <w:vAlign w:val="center"/>
          </w:tcPr>
          <w:p w14:paraId="1C7EB6DB">
            <w:pPr>
              <w:pStyle w:val="12"/>
            </w:pPr>
            <w:r>
              <w:t>三、国有资本经营预算拨款</w:t>
            </w:r>
          </w:p>
        </w:tc>
        <w:tc>
          <w:tcPr>
            <w:tcW w:w="1474" w:type="dxa"/>
            <w:vAlign w:val="center"/>
          </w:tcPr>
          <w:p w14:paraId="68FD3DA6">
            <w:pPr>
              <w:pStyle w:val="11"/>
            </w:pPr>
          </w:p>
        </w:tc>
        <w:tc>
          <w:tcPr>
            <w:tcW w:w="3402" w:type="dxa"/>
            <w:vAlign w:val="center"/>
          </w:tcPr>
          <w:p w14:paraId="4BC2E173">
            <w:pPr>
              <w:pStyle w:val="12"/>
            </w:pPr>
            <w:r>
              <w:t>三、国防支出</w:t>
            </w:r>
          </w:p>
        </w:tc>
        <w:tc>
          <w:tcPr>
            <w:tcW w:w="1474" w:type="dxa"/>
            <w:vAlign w:val="center"/>
          </w:tcPr>
          <w:p w14:paraId="420D8C0E">
            <w:pPr>
              <w:pStyle w:val="11"/>
            </w:pPr>
          </w:p>
        </w:tc>
        <w:tc>
          <w:tcPr>
            <w:tcW w:w="1474" w:type="dxa"/>
            <w:vAlign w:val="center"/>
          </w:tcPr>
          <w:p w14:paraId="09826645">
            <w:pPr>
              <w:pStyle w:val="11"/>
            </w:pPr>
          </w:p>
        </w:tc>
        <w:tc>
          <w:tcPr>
            <w:tcW w:w="1474" w:type="dxa"/>
            <w:vAlign w:val="center"/>
          </w:tcPr>
          <w:p w14:paraId="4001FCF0">
            <w:pPr>
              <w:pStyle w:val="11"/>
            </w:pPr>
          </w:p>
        </w:tc>
        <w:tc>
          <w:tcPr>
            <w:tcW w:w="1474" w:type="dxa"/>
            <w:vAlign w:val="center"/>
          </w:tcPr>
          <w:p w14:paraId="2686E55A">
            <w:pPr>
              <w:pStyle w:val="11"/>
            </w:pPr>
          </w:p>
        </w:tc>
      </w:tr>
      <w:tr w14:paraId="1802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AE16A">
            <w:pPr>
              <w:pStyle w:val="13"/>
            </w:pPr>
            <w:r>
              <w:t>4</w:t>
            </w:r>
          </w:p>
        </w:tc>
        <w:tc>
          <w:tcPr>
            <w:tcW w:w="3402" w:type="dxa"/>
            <w:vAlign w:val="center"/>
          </w:tcPr>
          <w:p w14:paraId="1AF6A24D">
            <w:pPr>
              <w:pStyle w:val="12"/>
            </w:pPr>
          </w:p>
        </w:tc>
        <w:tc>
          <w:tcPr>
            <w:tcW w:w="1474" w:type="dxa"/>
            <w:vAlign w:val="center"/>
          </w:tcPr>
          <w:p w14:paraId="5D513E9F">
            <w:pPr>
              <w:pStyle w:val="11"/>
            </w:pPr>
          </w:p>
        </w:tc>
        <w:tc>
          <w:tcPr>
            <w:tcW w:w="3402" w:type="dxa"/>
            <w:vAlign w:val="center"/>
          </w:tcPr>
          <w:p w14:paraId="365C0B68">
            <w:pPr>
              <w:pStyle w:val="12"/>
            </w:pPr>
            <w:r>
              <w:t>四、公共安全支出</w:t>
            </w:r>
          </w:p>
        </w:tc>
        <w:tc>
          <w:tcPr>
            <w:tcW w:w="1474" w:type="dxa"/>
            <w:vAlign w:val="center"/>
          </w:tcPr>
          <w:p w14:paraId="04779919">
            <w:pPr>
              <w:pStyle w:val="11"/>
            </w:pPr>
          </w:p>
        </w:tc>
        <w:tc>
          <w:tcPr>
            <w:tcW w:w="1474" w:type="dxa"/>
            <w:vAlign w:val="center"/>
          </w:tcPr>
          <w:p w14:paraId="289405FA">
            <w:pPr>
              <w:pStyle w:val="11"/>
            </w:pPr>
          </w:p>
        </w:tc>
        <w:tc>
          <w:tcPr>
            <w:tcW w:w="1474" w:type="dxa"/>
            <w:vAlign w:val="center"/>
          </w:tcPr>
          <w:p w14:paraId="72F230BA">
            <w:pPr>
              <w:pStyle w:val="11"/>
            </w:pPr>
          </w:p>
        </w:tc>
        <w:tc>
          <w:tcPr>
            <w:tcW w:w="1474" w:type="dxa"/>
            <w:vAlign w:val="center"/>
          </w:tcPr>
          <w:p w14:paraId="0B18DBC7">
            <w:pPr>
              <w:pStyle w:val="11"/>
            </w:pPr>
          </w:p>
        </w:tc>
      </w:tr>
      <w:tr w14:paraId="7796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1BBE">
            <w:pPr>
              <w:pStyle w:val="13"/>
            </w:pPr>
            <w:r>
              <w:t>5</w:t>
            </w:r>
          </w:p>
        </w:tc>
        <w:tc>
          <w:tcPr>
            <w:tcW w:w="3402" w:type="dxa"/>
            <w:vAlign w:val="center"/>
          </w:tcPr>
          <w:p w14:paraId="31D27E56">
            <w:pPr>
              <w:pStyle w:val="12"/>
            </w:pPr>
          </w:p>
        </w:tc>
        <w:tc>
          <w:tcPr>
            <w:tcW w:w="1474" w:type="dxa"/>
            <w:vAlign w:val="center"/>
          </w:tcPr>
          <w:p w14:paraId="1DA8B6B2">
            <w:pPr>
              <w:pStyle w:val="11"/>
            </w:pPr>
          </w:p>
        </w:tc>
        <w:tc>
          <w:tcPr>
            <w:tcW w:w="3402" w:type="dxa"/>
            <w:vAlign w:val="center"/>
          </w:tcPr>
          <w:p w14:paraId="371932B2">
            <w:pPr>
              <w:pStyle w:val="12"/>
            </w:pPr>
            <w:r>
              <w:t>五、教育支出</w:t>
            </w:r>
          </w:p>
        </w:tc>
        <w:tc>
          <w:tcPr>
            <w:tcW w:w="1474" w:type="dxa"/>
            <w:vAlign w:val="center"/>
          </w:tcPr>
          <w:p w14:paraId="446E53FA">
            <w:pPr>
              <w:pStyle w:val="11"/>
            </w:pPr>
            <w:r>
              <w:t>3537.38</w:t>
            </w:r>
          </w:p>
        </w:tc>
        <w:tc>
          <w:tcPr>
            <w:tcW w:w="1474" w:type="dxa"/>
            <w:vAlign w:val="center"/>
          </w:tcPr>
          <w:p w14:paraId="7282F3A3">
            <w:pPr>
              <w:pStyle w:val="11"/>
            </w:pPr>
            <w:r>
              <w:t>3537.38</w:t>
            </w:r>
          </w:p>
        </w:tc>
        <w:tc>
          <w:tcPr>
            <w:tcW w:w="1474" w:type="dxa"/>
            <w:vAlign w:val="center"/>
          </w:tcPr>
          <w:p w14:paraId="5A7D243E">
            <w:pPr>
              <w:pStyle w:val="11"/>
            </w:pPr>
          </w:p>
        </w:tc>
        <w:tc>
          <w:tcPr>
            <w:tcW w:w="1474" w:type="dxa"/>
            <w:vAlign w:val="center"/>
          </w:tcPr>
          <w:p w14:paraId="5B559908">
            <w:pPr>
              <w:pStyle w:val="11"/>
            </w:pPr>
          </w:p>
        </w:tc>
      </w:tr>
      <w:tr w14:paraId="4585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7ED4E">
            <w:pPr>
              <w:pStyle w:val="13"/>
            </w:pPr>
            <w:r>
              <w:t>6</w:t>
            </w:r>
          </w:p>
        </w:tc>
        <w:tc>
          <w:tcPr>
            <w:tcW w:w="3402" w:type="dxa"/>
            <w:vAlign w:val="center"/>
          </w:tcPr>
          <w:p w14:paraId="5BA7F91C">
            <w:pPr>
              <w:pStyle w:val="12"/>
            </w:pPr>
          </w:p>
        </w:tc>
        <w:tc>
          <w:tcPr>
            <w:tcW w:w="1474" w:type="dxa"/>
            <w:vAlign w:val="center"/>
          </w:tcPr>
          <w:p w14:paraId="3A0CA762">
            <w:pPr>
              <w:pStyle w:val="11"/>
            </w:pPr>
          </w:p>
        </w:tc>
        <w:tc>
          <w:tcPr>
            <w:tcW w:w="3402" w:type="dxa"/>
            <w:vAlign w:val="center"/>
          </w:tcPr>
          <w:p w14:paraId="6B05588F">
            <w:pPr>
              <w:pStyle w:val="12"/>
            </w:pPr>
            <w:r>
              <w:t>六、科学技术支出</w:t>
            </w:r>
          </w:p>
        </w:tc>
        <w:tc>
          <w:tcPr>
            <w:tcW w:w="1474" w:type="dxa"/>
            <w:vAlign w:val="center"/>
          </w:tcPr>
          <w:p w14:paraId="22AE50CF">
            <w:pPr>
              <w:pStyle w:val="11"/>
            </w:pPr>
          </w:p>
        </w:tc>
        <w:tc>
          <w:tcPr>
            <w:tcW w:w="1474" w:type="dxa"/>
            <w:vAlign w:val="center"/>
          </w:tcPr>
          <w:p w14:paraId="7EDC31AA">
            <w:pPr>
              <w:pStyle w:val="11"/>
            </w:pPr>
          </w:p>
        </w:tc>
        <w:tc>
          <w:tcPr>
            <w:tcW w:w="1474" w:type="dxa"/>
            <w:vAlign w:val="center"/>
          </w:tcPr>
          <w:p w14:paraId="61A8A0E0">
            <w:pPr>
              <w:pStyle w:val="11"/>
            </w:pPr>
          </w:p>
        </w:tc>
        <w:tc>
          <w:tcPr>
            <w:tcW w:w="1474" w:type="dxa"/>
            <w:vAlign w:val="center"/>
          </w:tcPr>
          <w:p w14:paraId="295301D6">
            <w:pPr>
              <w:pStyle w:val="11"/>
            </w:pPr>
          </w:p>
        </w:tc>
      </w:tr>
      <w:tr w14:paraId="1411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0A372">
            <w:pPr>
              <w:pStyle w:val="13"/>
            </w:pPr>
            <w:r>
              <w:t>7</w:t>
            </w:r>
          </w:p>
        </w:tc>
        <w:tc>
          <w:tcPr>
            <w:tcW w:w="3402" w:type="dxa"/>
            <w:vAlign w:val="center"/>
          </w:tcPr>
          <w:p w14:paraId="21DFFAC6">
            <w:pPr>
              <w:pStyle w:val="12"/>
            </w:pPr>
          </w:p>
        </w:tc>
        <w:tc>
          <w:tcPr>
            <w:tcW w:w="1474" w:type="dxa"/>
            <w:vAlign w:val="center"/>
          </w:tcPr>
          <w:p w14:paraId="50E31861">
            <w:pPr>
              <w:pStyle w:val="11"/>
            </w:pPr>
          </w:p>
        </w:tc>
        <w:tc>
          <w:tcPr>
            <w:tcW w:w="3402" w:type="dxa"/>
            <w:vAlign w:val="center"/>
          </w:tcPr>
          <w:p w14:paraId="4C9A888F">
            <w:pPr>
              <w:pStyle w:val="12"/>
            </w:pPr>
            <w:r>
              <w:t>七、文化旅游体育与传媒支出</w:t>
            </w:r>
          </w:p>
        </w:tc>
        <w:tc>
          <w:tcPr>
            <w:tcW w:w="1474" w:type="dxa"/>
            <w:vAlign w:val="center"/>
          </w:tcPr>
          <w:p w14:paraId="6A65F720">
            <w:pPr>
              <w:pStyle w:val="11"/>
            </w:pPr>
          </w:p>
        </w:tc>
        <w:tc>
          <w:tcPr>
            <w:tcW w:w="1474" w:type="dxa"/>
            <w:vAlign w:val="center"/>
          </w:tcPr>
          <w:p w14:paraId="58E5F8BD">
            <w:pPr>
              <w:pStyle w:val="11"/>
            </w:pPr>
          </w:p>
        </w:tc>
        <w:tc>
          <w:tcPr>
            <w:tcW w:w="1474" w:type="dxa"/>
            <w:vAlign w:val="center"/>
          </w:tcPr>
          <w:p w14:paraId="4EB1819E">
            <w:pPr>
              <w:pStyle w:val="11"/>
            </w:pPr>
          </w:p>
        </w:tc>
        <w:tc>
          <w:tcPr>
            <w:tcW w:w="1474" w:type="dxa"/>
            <w:vAlign w:val="center"/>
          </w:tcPr>
          <w:p w14:paraId="79551580">
            <w:pPr>
              <w:pStyle w:val="11"/>
            </w:pPr>
          </w:p>
        </w:tc>
      </w:tr>
      <w:tr w14:paraId="2F7A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9FFF1">
            <w:pPr>
              <w:pStyle w:val="13"/>
            </w:pPr>
            <w:r>
              <w:t>8</w:t>
            </w:r>
          </w:p>
        </w:tc>
        <w:tc>
          <w:tcPr>
            <w:tcW w:w="3402" w:type="dxa"/>
            <w:vAlign w:val="center"/>
          </w:tcPr>
          <w:p w14:paraId="259A3263">
            <w:pPr>
              <w:pStyle w:val="12"/>
            </w:pPr>
          </w:p>
        </w:tc>
        <w:tc>
          <w:tcPr>
            <w:tcW w:w="1474" w:type="dxa"/>
            <w:vAlign w:val="center"/>
          </w:tcPr>
          <w:p w14:paraId="6CA88440">
            <w:pPr>
              <w:pStyle w:val="11"/>
            </w:pPr>
          </w:p>
        </w:tc>
        <w:tc>
          <w:tcPr>
            <w:tcW w:w="3402" w:type="dxa"/>
            <w:vAlign w:val="center"/>
          </w:tcPr>
          <w:p w14:paraId="065053AC">
            <w:pPr>
              <w:pStyle w:val="12"/>
            </w:pPr>
            <w:r>
              <w:t>八、社会保障和就业支出</w:t>
            </w:r>
          </w:p>
        </w:tc>
        <w:tc>
          <w:tcPr>
            <w:tcW w:w="1474" w:type="dxa"/>
            <w:vAlign w:val="center"/>
          </w:tcPr>
          <w:p w14:paraId="0A348D3F">
            <w:pPr>
              <w:pStyle w:val="11"/>
            </w:pPr>
          </w:p>
        </w:tc>
        <w:tc>
          <w:tcPr>
            <w:tcW w:w="1474" w:type="dxa"/>
            <w:vAlign w:val="center"/>
          </w:tcPr>
          <w:p w14:paraId="38615417">
            <w:pPr>
              <w:pStyle w:val="11"/>
            </w:pPr>
          </w:p>
        </w:tc>
        <w:tc>
          <w:tcPr>
            <w:tcW w:w="1474" w:type="dxa"/>
            <w:vAlign w:val="center"/>
          </w:tcPr>
          <w:p w14:paraId="516D9930">
            <w:pPr>
              <w:pStyle w:val="11"/>
            </w:pPr>
          </w:p>
        </w:tc>
        <w:tc>
          <w:tcPr>
            <w:tcW w:w="1474" w:type="dxa"/>
            <w:vAlign w:val="center"/>
          </w:tcPr>
          <w:p w14:paraId="61E93B64">
            <w:pPr>
              <w:pStyle w:val="11"/>
            </w:pPr>
          </w:p>
        </w:tc>
      </w:tr>
      <w:tr w14:paraId="16A95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4DDD">
            <w:pPr>
              <w:pStyle w:val="13"/>
            </w:pPr>
            <w:r>
              <w:t>9</w:t>
            </w:r>
          </w:p>
        </w:tc>
        <w:tc>
          <w:tcPr>
            <w:tcW w:w="3402" w:type="dxa"/>
            <w:vAlign w:val="center"/>
          </w:tcPr>
          <w:p w14:paraId="1D6003EF">
            <w:pPr>
              <w:pStyle w:val="12"/>
            </w:pPr>
          </w:p>
        </w:tc>
        <w:tc>
          <w:tcPr>
            <w:tcW w:w="1474" w:type="dxa"/>
            <w:vAlign w:val="center"/>
          </w:tcPr>
          <w:p w14:paraId="27C17591">
            <w:pPr>
              <w:pStyle w:val="11"/>
            </w:pPr>
          </w:p>
        </w:tc>
        <w:tc>
          <w:tcPr>
            <w:tcW w:w="3402" w:type="dxa"/>
            <w:vAlign w:val="center"/>
          </w:tcPr>
          <w:p w14:paraId="606603C2">
            <w:pPr>
              <w:pStyle w:val="12"/>
            </w:pPr>
            <w:r>
              <w:t>九、社会保险基金支出</w:t>
            </w:r>
          </w:p>
        </w:tc>
        <w:tc>
          <w:tcPr>
            <w:tcW w:w="1474" w:type="dxa"/>
            <w:vAlign w:val="center"/>
          </w:tcPr>
          <w:p w14:paraId="12234134">
            <w:pPr>
              <w:pStyle w:val="11"/>
            </w:pPr>
          </w:p>
        </w:tc>
        <w:tc>
          <w:tcPr>
            <w:tcW w:w="1474" w:type="dxa"/>
            <w:vAlign w:val="center"/>
          </w:tcPr>
          <w:p w14:paraId="5B6D38F5">
            <w:pPr>
              <w:pStyle w:val="11"/>
            </w:pPr>
          </w:p>
        </w:tc>
        <w:tc>
          <w:tcPr>
            <w:tcW w:w="1474" w:type="dxa"/>
            <w:vAlign w:val="center"/>
          </w:tcPr>
          <w:p w14:paraId="60A5827E">
            <w:pPr>
              <w:pStyle w:val="11"/>
            </w:pPr>
          </w:p>
        </w:tc>
        <w:tc>
          <w:tcPr>
            <w:tcW w:w="1474" w:type="dxa"/>
            <w:vAlign w:val="center"/>
          </w:tcPr>
          <w:p w14:paraId="2228F3F6">
            <w:pPr>
              <w:pStyle w:val="11"/>
            </w:pPr>
          </w:p>
        </w:tc>
      </w:tr>
      <w:tr w14:paraId="7B57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D8793">
            <w:pPr>
              <w:pStyle w:val="13"/>
            </w:pPr>
            <w:r>
              <w:t>10</w:t>
            </w:r>
          </w:p>
        </w:tc>
        <w:tc>
          <w:tcPr>
            <w:tcW w:w="3402" w:type="dxa"/>
            <w:vAlign w:val="center"/>
          </w:tcPr>
          <w:p w14:paraId="11BDE998">
            <w:pPr>
              <w:pStyle w:val="12"/>
            </w:pPr>
          </w:p>
        </w:tc>
        <w:tc>
          <w:tcPr>
            <w:tcW w:w="1474" w:type="dxa"/>
            <w:vAlign w:val="center"/>
          </w:tcPr>
          <w:p w14:paraId="766A127D">
            <w:pPr>
              <w:pStyle w:val="11"/>
            </w:pPr>
          </w:p>
        </w:tc>
        <w:tc>
          <w:tcPr>
            <w:tcW w:w="3402" w:type="dxa"/>
            <w:vAlign w:val="center"/>
          </w:tcPr>
          <w:p w14:paraId="5A42C1BC">
            <w:pPr>
              <w:pStyle w:val="12"/>
            </w:pPr>
            <w:r>
              <w:t>十、卫生健康支出</w:t>
            </w:r>
          </w:p>
        </w:tc>
        <w:tc>
          <w:tcPr>
            <w:tcW w:w="1474" w:type="dxa"/>
            <w:vAlign w:val="center"/>
          </w:tcPr>
          <w:p w14:paraId="6337DDB6">
            <w:pPr>
              <w:pStyle w:val="11"/>
            </w:pPr>
          </w:p>
        </w:tc>
        <w:tc>
          <w:tcPr>
            <w:tcW w:w="1474" w:type="dxa"/>
            <w:vAlign w:val="center"/>
          </w:tcPr>
          <w:p w14:paraId="42F1BD96">
            <w:pPr>
              <w:pStyle w:val="11"/>
            </w:pPr>
          </w:p>
        </w:tc>
        <w:tc>
          <w:tcPr>
            <w:tcW w:w="1474" w:type="dxa"/>
            <w:vAlign w:val="center"/>
          </w:tcPr>
          <w:p w14:paraId="33DC3A73">
            <w:pPr>
              <w:pStyle w:val="11"/>
            </w:pPr>
          </w:p>
        </w:tc>
        <w:tc>
          <w:tcPr>
            <w:tcW w:w="1474" w:type="dxa"/>
            <w:vAlign w:val="center"/>
          </w:tcPr>
          <w:p w14:paraId="66E80E18">
            <w:pPr>
              <w:pStyle w:val="11"/>
            </w:pPr>
          </w:p>
        </w:tc>
      </w:tr>
      <w:tr w14:paraId="264C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F4CB1">
            <w:pPr>
              <w:pStyle w:val="13"/>
            </w:pPr>
            <w:r>
              <w:t>11</w:t>
            </w:r>
          </w:p>
        </w:tc>
        <w:tc>
          <w:tcPr>
            <w:tcW w:w="3402" w:type="dxa"/>
            <w:vAlign w:val="center"/>
          </w:tcPr>
          <w:p w14:paraId="391B4AC4">
            <w:pPr>
              <w:pStyle w:val="12"/>
            </w:pPr>
          </w:p>
        </w:tc>
        <w:tc>
          <w:tcPr>
            <w:tcW w:w="1474" w:type="dxa"/>
            <w:vAlign w:val="center"/>
          </w:tcPr>
          <w:p w14:paraId="7C432A3C">
            <w:pPr>
              <w:pStyle w:val="11"/>
            </w:pPr>
          </w:p>
        </w:tc>
        <w:tc>
          <w:tcPr>
            <w:tcW w:w="3402" w:type="dxa"/>
            <w:vAlign w:val="center"/>
          </w:tcPr>
          <w:p w14:paraId="11E5D89F">
            <w:pPr>
              <w:pStyle w:val="12"/>
            </w:pPr>
            <w:r>
              <w:t>十一、节能环保支出</w:t>
            </w:r>
          </w:p>
        </w:tc>
        <w:tc>
          <w:tcPr>
            <w:tcW w:w="1474" w:type="dxa"/>
            <w:vAlign w:val="center"/>
          </w:tcPr>
          <w:p w14:paraId="79026EE4">
            <w:pPr>
              <w:pStyle w:val="11"/>
            </w:pPr>
          </w:p>
        </w:tc>
        <w:tc>
          <w:tcPr>
            <w:tcW w:w="1474" w:type="dxa"/>
            <w:vAlign w:val="center"/>
          </w:tcPr>
          <w:p w14:paraId="6C1A85E2">
            <w:pPr>
              <w:pStyle w:val="11"/>
            </w:pPr>
          </w:p>
        </w:tc>
        <w:tc>
          <w:tcPr>
            <w:tcW w:w="1474" w:type="dxa"/>
            <w:vAlign w:val="center"/>
          </w:tcPr>
          <w:p w14:paraId="12F4E92F">
            <w:pPr>
              <w:pStyle w:val="11"/>
            </w:pPr>
          </w:p>
        </w:tc>
        <w:tc>
          <w:tcPr>
            <w:tcW w:w="1474" w:type="dxa"/>
            <w:vAlign w:val="center"/>
          </w:tcPr>
          <w:p w14:paraId="0AAF2A40">
            <w:pPr>
              <w:pStyle w:val="11"/>
            </w:pPr>
          </w:p>
        </w:tc>
      </w:tr>
      <w:tr w14:paraId="3D49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D6475">
            <w:pPr>
              <w:pStyle w:val="13"/>
            </w:pPr>
            <w:r>
              <w:t>12</w:t>
            </w:r>
          </w:p>
        </w:tc>
        <w:tc>
          <w:tcPr>
            <w:tcW w:w="3402" w:type="dxa"/>
            <w:vAlign w:val="center"/>
          </w:tcPr>
          <w:p w14:paraId="09B74DD3">
            <w:pPr>
              <w:pStyle w:val="12"/>
            </w:pPr>
          </w:p>
        </w:tc>
        <w:tc>
          <w:tcPr>
            <w:tcW w:w="1474" w:type="dxa"/>
            <w:vAlign w:val="center"/>
          </w:tcPr>
          <w:p w14:paraId="043EE5C7">
            <w:pPr>
              <w:pStyle w:val="11"/>
            </w:pPr>
          </w:p>
        </w:tc>
        <w:tc>
          <w:tcPr>
            <w:tcW w:w="3402" w:type="dxa"/>
            <w:vAlign w:val="center"/>
          </w:tcPr>
          <w:p w14:paraId="1BEF03D0">
            <w:pPr>
              <w:pStyle w:val="12"/>
            </w:pPr>
            <w:r>
              <w:t>十二、城乡社区支出</w:t>
            </w:r>
          </w:p>
        </w:tc>
        <w:tc>
          <w:tcPr>
            <w:tcW w:w="1474" w:type="dxa"/>
            <w:vAlign w:val="center"/>
          </w:tcPr>
          <w:p w14:paraId="0B997D46">
            <w:pPr>
              <w:pStyle w:val="11"/>
            </w:pPr>
          </w:p>
        </w:tc>
        <w:tc>
          <w:tcPr>
            <w:tcW w:w="1474" w:type="dxa"/>
            <w:vAlign w:val="center"/>
          </w:tcPr>
          <w:p w14:paraId="5E0B2EB3">
            <w:pPr>
              <w:pStyle w:val="11"/>
            </w:pPr>
          </w:p>
        </w:tc>
        <w:tc>
          <w:tcPr>
            <w:tcW w:w="1474" w:type="dxa"/>
            <w:vAlign w:val="center"/>
          </w:tcPr>
          <w:p w14:paraId="32C5F3E7">
            <w:pPr>
              <w:pStyle w:val="11"/>
            </w:pPr>
          </w:p>
        </w:tc>
        <w:tc>
          <w:tcPr>
            <w:tcW w:w="1474" w:type="dxa"/>
            <w:vAlign w:val="center"/>
          </w:tcPr>
          <w:p w14:paraId="2820B5E8">
            <w:pPr>
              <w:pStyle w:val="11"/>
            </w:pPr>
          </w:p>
        </w:tc>
      </w:tr>
      <w:tr w14:paraId="4201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A95B8">
            <w:pPr>
              <w:pStyle w:val="13"/>
            </w:pPr>
            <w:r>
              <w:t>13</w:t>
            </w:r>
          </w:p>
        </w:tc>
        <w:tc>
          <w:tcPr>
            <w:tcW w:w="3402" w:type="dxa"/>
            <w:vAlign w:val="center"/>
          </w:tcPr>
          <w:p w14:paraId="56535010">
            <w:pPr>
              <w:pStyle w:val="12"/>
            </w:pPr>
          </w:p>
        </w:tc>
        <w:tc>
          <w:tcPr>
            <w:tcW w:w="1474" w:type="dxa"/>
            <w:vAlign w:val="center"/>
          </w:tcPr>
          <w:p w14:paraId="22041187">
            <w:pPr>
              <w:pStyle w:val="11"/>
            </w:pPr>
          </w:p>
        </w:tc>
        <w:tc>
          <w:tcPr>
            <w:tcW w:w="3402" w:type="dxa"/>
            <w:vAlign w:val="center"/>
          </w:tcPr>
          <w:p w14:paraId="6A624031">
            <w:pPr>
              <w:pStyle w:val="12"/>
            </w:pPr>
            <w:r>
              <w:t>十三、农林水支出</w:t>
            </w:r>
          </w:p>
        </w:tc>
        <w:tc>
          <w:tcPr>
            <w:tcW w:w="1474" w:type="dxa"/>
            <w:vAlign w:val="center"/>
          </w:tcPr>
          <w:p w14:paraId="3663CE56">
            <w:pPr>
              <w:pStyle w:val="11"/>
            </w:pPr>
          </w:p>
        </w:tc>
        <w:tc>
          <w:tcPr>
            <w:tcW w:w="1474" w:type="dxa"/>
            <w:vAlign w:val="center"/>
          </w:tcPr>
          <w:p w14:paraId="4432774D">
            <w:pPr>
              <w:pStyle w:val="11"/>
            </w:pPr>
          </w:p>
        </w:tc>
        <w:tc>
          <w:tcPr>
            <w:tcW w:w="1474" w:type="dxa"/>
            <w:vAlign w:val="center"/>
          </w:tcPr>
          <w:p w14:paraId="1205F095">
            <w:pPr>
              <w:pStyle w:val="11"/>
            </w:pPr>
          </w:p>
        </w:tc>
        <w:tc>
          <w:tcPr>
            <w:tcW w:w="1474" w:type="dxa"/>
            <w:vAlign w:val="center"/>
          </w:tcPr>
          <w:p w14:paraId="1A7CF230">
            <w:pPr>
              <w:pStyle w:val="11"/>
            </w:pPr>
          </w:p>
        </w:tc>
      </w:tr>
      <w:tr w14:paraId="2E78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546A5">
            <w:pPr>
              <w:pStyle w:val="13"/>
            </w:pPr>
            <w:r>
              <w:t>14</w:t>
            </w:r>
          </w:p>
        </w:tc>
        <w:tc>
          <w:tcPr>
            <w:tcW w:w="3402" w:type="dxa"/>
            <w:vAlign w:val="center"/>
          </w:tcPr>
          <w:p w14:paraId="2F54614B">
            <w:pPr>
              <w:pStyle w:val="12"/>
            </w:pPr>
          </w:p>
        </w:tc>
        <w:tc>
          <w:tcPr>
            <w:tcW w:w="1474" w:type="dxa"/>
            <w:vAlign w:val="center"/>
          </w:tcPr>
          <w:p w14:paraId="586630F9">
            <w:pPr>
              <w:pStyle w:val="11"/>
            </w:pPr>
          </w:p>
        </w:tc>
        <w:tc>
          <w:tcPr>
            <w:tcW w:w="3402" w:type="dxa"/>
            <w:vAlign w:val="center"/>
          </w:tcPr>
          <w:p w14:paraId="7A4C8096">
            <w:pPr>
              <w:pStyle w:val="12"/>
            </w:pPr>
            <w:r>
              <w:t>十四、交通运输支出</w:t>
            </w:r>
          </w:p>
        </w:tc>
        <w:tc>
          <w:tcPr>
            <w:tcW w:w="1474" w:type="dxa"/>
            <w:vAlign w:val="center"/>
          </w:tcPr>
          <w:p w14:paraId="07BC740F">
            <w:pPr>
              <w:pStyle w:val="11"/>
            </w:pPr>
          </w:p>
        </w:tc>
        <w:tc>
          <w:tcPr>
            <w:tcW w:w="1474" w:type="dxa"/>
            <w:vAlign w:val="center"/>
          </w:tcPr>
          <w:p w14:paraId="05BAC724">
            <w:pPr>
              <w:pStyle w:val="11"/>
            </w:pPr>
          </w:p>
        </w:tc>
        <w:tc>
          <w:tcPr>
            <w:tcW w:w="1474" w:type="dxa"/>
            <w:vAlign w:val="center"/>
          </w:tcPr>
          <w:p w14:paraId="72A4854F">
            <w:pPr>
              <w:pStyle w:val="11"/>
            </w:pPr>
          </w:p>
        </w:tc>
        <w:tc>
          <w:tcPr>
            <w:tcW w:w="1474" w:type="dxa"/>
            <w:vAlign w:val="center"/>
          </w:tcPr>
          <w:p w14:paraId="59BD208A">
            <w:pPr>
              <w:pStyle w:val="11"/>
            </w:pPr>
          </w:p>
        </w:tc>
      </w:tr>
      <w:tr w14:paraId="140A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D214">
            <w:pPr>
              <w:pStyle w:val="13"/>
            </w:pPr>
            <w:r>
              <w:t>15</w:t>
            </w:r>
          </w:p>
        </w:tc>
        <w:tc>
          <w:tcPr>
            <w:tcW w:w="3402" w:type="dxa"/>
            <w:vAlign w:val="center"/>
          </w:tcPr>
          <w:p w14:paraId="1F9FA475">
            <w:pPr>
              <w:pStyle w:val="12"/>
            </w:pPr>
          </w:p>
        </w:tc>
        <w:tc>
          <w:tcPr>
            <w:tcW w:w="1474" w:type="dxa"/>
            <w:vAlign w:val="center"/>
          </w:tcPr>
          <w:p w14:paraId="04D2B210">
            <w:pPr>
              <w:pStyle w:val="11"/>
            </w:pPr>
          </w:p>
        </w:tc>
        <w:tc>
          <w:tcPr>
            <w:tcW w:w="3402" w:type="dxa"/>
            <w:vAlign w:val="center"/>
          </w:tcPr>
          <w:p w14:paraId="6802CE25">
            <w:pPr>
              <w:pStyle w:val="12"/>
            </w:pPr>
            <w:r>
              <w:t>十五、资源勘探工业信息等支出</w:t>
            </w:r>
          </w:p>
        </w:tc>
        <w:tc>
          <w:tcPr>
            <w:tcW w:w="1474" w:type="dxa"/>
            <w:vAlign w:val="center"/>
          </w:tcPr>
          <w:p w14:paraId="695E4781">
            <w:pPr>
              <w:pStyle w:val="11"/>
            </w:pPr>
          </w:p>
        </w:tc>
        <w:tc>
          <w:tcPr>
            <w:tcW w:w="1474" w:type="dxa"/>
            <w:vAlign w:val="center"/>
          </w:tcPr>
          <w:p w14:paraId="07155C62">
            <w:pPr>
              <w:pStyle w:val="11"/>
            </w:pPr>
          </w:p>
        </w:tc>
        <w:tc>
          <w:tcPr>
            <w:tcW w:w="1474" w:type="dxa"/>
            <w:vAlign w:val="center"/>
          </w:tcPr>
          <w:p w14:paraId="6AC0044A">
            <w:pPr>
              <w:pStyle w:val="11"/>
            </w:pPr>
          </w:p>
        </w:tc>
        <w:tc>
          <w:tcPr>
            <w:tcW w:w="1474" w:type="dxa"/>
            <w:vAlign w:val="center"/>
          </w:tcPr>
          <w:p w14:paraId="7C82BCDC">
            <w:pPr>
              <w:pStyle w:val="11"/>
            </w:pPr>
          </w:p>
        </w:tc>
      </w:tr>
      <w:tr w14:paraId="4421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14C6">
            <w:pPr>
              <w:pStyle w:val="13"/>
            </w:pPr>
            <w:r>
              <w:t>16</w:t>
            </w:r>
          </w:p>
        </w:tc>
        <w:tc>
          <w:tcPr>
            <w:tcW w:w="3402" w:type="dxa"/>
            <w:vAlign w:val="center"/>
          </w:tcPr>
          <w:p w14:paraId="0F91BFFA">
            <w:pPr>
              <w:pStyle w:val="12"/>
            </w:pPr>
          </w:p>
        </w:tc>
        <w:tc>
          <w:tcPr>
            <w:tcW w:w="1474" w:type="dxa"/>
            <w:vAlign w:val="center"/>
          </w:tcPr>
          <w:p w14:paraId="73F2C783">
            <w:pPr>
              <w:pStyle w:val="11"/>
            </w:pPr>
          </w:p>
        </w:tc>
        <w:tc>
          <w:tcPr>
            <w:tcW w:w="3402" w:type="dxa"/>
            <w:vAlign w:val="center"/>
          </w:tcPr>
          <w:p w14:paraId="744C5B6D">
            <w:pPr>
              <w:pStyle w:val="12"/>
            </w:pPr>
            <w:r>
              <w:t>十六、商业服务业等支出</w:t>
            </w:r>
          </w:p>
        </w:tc>
        <w:tc>
          <w:tcPr>
            <w:tcW w:w="1474" w:type="dxa"/>
            <w:vAlign w:val="center"/>
          </w:tcPr>
          <w:p w14:paraId="7C3C8E2D">
            <w:pPr>
              <w:pStyle w:val="11"/>
            </w:pPr>
          </w:p>
        </w:tc>
        <w:tc>
          <w:tcPr>
            <w:tcW w:w="1474" w:type="dxa"/>
            <w:vAlign w:val="center"/>
          </w:tcPr>
          <w:p w14:paraId="7DBC2FF5">
            <w:pPr>
              <w:pStyle w:val="11"/>
            </w:pPr>
          </w:p>
        </w:tc>
        <w:tc>
          <w:tcPr>
            <w:tcW w:w="1474" w:type="dxa"/>
            <w:vAlign w:val="center"/>
          </w:tcPr>
          <w:p w14:paraId="2C353A73">
            <w:pPr>
              <w:pStyle w:val="11"/>
            </w:pPr>
          </w:p>
        </w:tc>
        <w:tc>
          <w:tcPr>
            <w:tcW w:w="1474" w:type="dxa"/>
            <w:vAlign w:val="center"/>
          </w:tcPr>
          <w:p w14:paraId="5E466B68">
            <w:pPr>
              <w:pStyle w:val="11"/>
            </w:pPr>
          </w:p>
        </w:tc>
      </w:tr>
      <w:tr w14:paraId="65FE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F8B79">
            <w:pPr>
              <w:pStyle w:val="13"/>
            </w:pPr>
            <w:r>
              <w:t>17</w:t>
            </w:r>
          </w:p>
        </w:tc>
        <w:tc>
          <w:tcPr>
            <w:tcW w:w="3402" w:type="dxa"/>
            <w:vAlign w:val="center"/>
          </w:tcPr>
          <w:p w14:paraId="1C324D02">
            <w:pPr>
              <w:pStyle w:val="12"/>
            </w:pPr>
          </w:p>
        </w:tc>
        <w:tc>
          <w:tcPr>
            <w:tcW w:w="1474" w:type="dxa"/>
            <w:vAlign w:val="center"/>
          </w:tcPr>
          <w:p w14:paraId="5323ED81">
            <w:pPr>
              <w:pStyle w:val="11"/>
            </w:pPr>
          </w:p>
        </w:tc>
        <w:tc>
          <w:tcPr>
            <w:tcW w:w="3402" w:type="dxa"/>
            <w:vAlign w:val="center"/>
          </w:tcPr>
          <w:p w14:paraId="2635B836">
            <w:pPr>
              <w:pStyle w:val="12"/>
            </w:pPr>
            <w:r>
              <w:t>十七、金融支出</w:t>
            </w:r>
          </w:p>
        </w:tc>
        <w:tc>
          <w:tcPr>
            <w:tcW w:w="1474" w:type="dxa"/>
            <w:vAlign w:val="center"/>
          </w:tcPr>
          <w:p w14:paraId="149A0EA1">
            <w:pPr>
              <w:pStyle w:val="11"/>
            </w:pPr>
          </w:p>
        </w:tc>
        <w:tc>
          <w:tcPr>
            <w:tcW w:w="1474" w:type="dxa"/>
            <w:vAlign w:val="center"/>
          </w:tcPr>
          <w:p w14:paraId="6C43D25E">
            <w:pPr>
              <w:pStyle w:val="11"/>
            </w:pPr>
          </w:p>
        </w:tc>
        <w:tc>
          <w:tcPr>
            <w:tcW w:w="1474" w:type="dxa"/>
            <w:vAlign w:val="center"/>
          </w:tcPr>
          <w:p w14:paraId="1F3EB986">
            <w:pPr>
              <w:pStyle w:val="11"/>
            </w:pPr>
          </w:p>
        </w:tc>
        <w:tc>
          <w:tcPr>
            <w:tcW w:w="1474" w:type="dxa"/>
            <w:vAlign w:val="center"/>
          </w:tcPr>
          <w:p w14:paraId="1988AA0B">
            <w:pPr>
              <w:pStyle w:val="11"/>
            </w:pPr>
          </w:p>
        </w:tc>
      </w:tr>
      <w:tr w14:paraId="365F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9F8BF">
            <w:pPr>
              <w:pStyle w:val="13"/>
            </w:pPr>
            <w:r>
              <w:t>18</w:t>
            </w:r>
          </w:p>
        </w:tc>
        <w:tc>
          <w:tcPr>
            <w:tcW w:w="3402" w:type="dxa"/>
            <w:vAlign w:val="center"/>
          </w:tcPr>
          <w:p w14:paraId="2A7E1BD7">
            <w:pPr>
              <w:pStyle w:val="12"/>
            </w:pPr>
          </w:p>
        </w:tc>
        <w:tc>
          <w:tcPr>
            <w:tcW w:w="1474" w:type="dxa"/>
            <w:vAlign w:val="center"/>
          </w:tcPr>
          <w:p w14:paraId="0C55E485">
            <w:pPr>
              <w:pStyle w:val="11"/>
            </w:pPr>
          </w:p>
        </w:tc>
        <w:tc>
          <w:tcPr>
            <w:tcW w:w="3402" w:type="dxa"/>
            <w:vAlign w:val="center"/>
          </w:tcPr>
          <w:p w14:paraId="7A3772C9">
            <w:pPr>
              <w:pStyle w:val="12"/>
            </w:pPr>
            <w:r>
              <w:t>十八、援助其他地区支出</w:t>
            </w:r>
          </w:p>
        </w:tc>
        <w:tc>
          <w:tcPr>
            <w:tcW w:w="1474" w:type="dxa"/>
            <w:vAlign w:val="center"/>
          </w:tcPr>
          <w:p w14:paraId="21480A6E">
            <w:pPr>
              <w:pStyle w:val="11"/>
            </w:pPr>
          </w:p>
        </w:tc>
        <w:tc>
          <w:tcPr>
            <w:tcW w:w="1474" w:type="dxa"/>
            <w:vAlign w:val="center"/>
          </w:tcPr>
          <w:p w14:paraId="02477A34">
            <w:pPr>
              <w:pStyle w:val="11"/>
            </w:pPr>
          </w:p>
        </w:tc>
        <w:tc>
          <w:tcPr>
            <w:tcW w:w="1474" w:type="dxa"/>
            <w:vAlign w:val="center"/>
          </w:tcPr>
          <w:p w14:paraId="726532B2">
            <w:pPr>
              <w:pStyle w:val="11"/>
            </w:pPr>
          </w:p>
        </w:tc>
        <w:tc>
          <w:tcPr>
            <w:tcW w:w="1474" w:type="dxa"/>
            <w:vAlign w:val="center"/>
          </w:tcPr>
          <w:p w14:paraId="3F64A35C">
            <w:pPr>
              <w:pStyle w:val="11"/>
            </w:pPr>
          </w:p>
        </w:tc>
      </w:tr>
      <w:tr w14:paraId="4A0A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1694F">
            <w:pPr>
              <w:pStyle w:val="13"/>
            </w:pPr>
            <w:r>
              <w:t>19</w:t>
            </w:r>
          </w:p>
        </w:tc>
        <w:tc>
          <w:tcPr>
            <w:tcW w:w="3402" w:type="dxa"/>
            <w:vAlign w:val="center"/>
          </w:tcPr>
          <w:p w14:paraId="6CDBBD9D">
            <w:pPr>
              <w:pStyle w:val="12"/>
            </w:pPr>
          </w:p>
        </w:tc>
        <w:tc>
          <w:tcPr>
            <w:tcW w:w="1474" w:type="dxa"/>
            <w:vAlign w:val="center"/>
          </w:tcPr>
          <w:p w14:paraId="1C13F643">
            <w:pPr>
              <w:pStyle w:val="11"/>
            </w:pPr>
          </w:p>
        </w:tc>
        <w:tc>
          <w:tcPr>
            <w:tcW w:w="3402" w:type="dxa"/>
            <w:vAlign w:val="center"/>
          </w:tcPr>
          <w:p w14:paraId="21D4D594">
            <w:pPr>
              <w:pStyle w:val="12"/>
            </w:pPr>
            <w:r>
              <w:t>十九、自然资源海洋气象等支出</w:t>
            </w:r>
          </w:p>
        </w:tc>
        <w:tc>
          <w:tcPr>
            <w:tcW w:w="1474" w:type="dxa"/>
            <w:vAlign w:val="center"/>
          </w:tcPr>
          <w:p w14:paraId="3794A663">
            <w:pPr>
              <w:pStyle w:val="11"/>
            </w:pPr>
          </w:p>
        </w:tc>
        <w:tc>
          <w:tcPr>
            <w:tcW w:w="1474" w:type="dxa"/>
            <w:vAlign w:val="center"/>
          </w:tcPr>
          <w:p w14:paraId="0B0AD750">
            <w:pPr>
              <w:pStyle w:val="11"/>
            </w:pPr>
          </w:p>
        </w:tc>
        <w:tc>
          <w:tcPr>
            <w:tcW w:w="1474" w:type="dxa"/>
            <w:vAlign w:val="center"/>
          </w:tcPr>
          <w:p w14:paraId="646305B7">
            <w:pPr>
              <w:pStyle w:val="11"/>
            </w:pPr>
          </w:p>
        </w:tc>
        <w:tc>
          <w:tcPr>
            <w:tcW w:w="1474" w:type="dxa"/>
            <w:vAlign w:val="center"/>
          </w:tcPr>
          <w:p w14:paraId="47487191">
            <w:pPr>
              <w:pStyle w:val="11"/>
            </w:pPr>
          </w:p>
        </w:tc>
      </w:tr>
      <w:tr w14:paraId="27F0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72080">
            <w:pPr>
              <w:pStyle w:val="13"/>
            </w:pPr>
            <w:r>
              <w:t>20</w:t>
            </w:r>
          </w:p>
        </w:tc>
        <w:tc>
          <w:tcPr>
            <w:tcW w:w="3402" w:type="dxa"/>
            <w:vAlign w:val="center"/>
          </w:tcPr>
          <w:p w14:paraId="63B6A71F">
            <w:pPr>
              <w:pStyle w:val="12"/>
            </w:pPr>
          </w:p>
        </w:tc>
        <w:tc>
          <w:tcPr>
            <w:tcW w:w="1474" w:type="dxa"/>
            <w:vAlign w:val="center"/>
          </w:tcPr>
          <w:p w14:paraId="17260B03">
            <w:pPr>
              <w:pStyle w:val="11"/>
            </w:pPr>
          </w:p>
        </w:tc>
        <w:tc>
          <w:tcPr>
            <w:tcW w:w="3402" w:type="dxa"/>
            <w:vAlign w:val="center"/>
          </w:tcPr>
          <w:p w14:paraId="06926B7D">
            <w:pPr>
              <w:pStyle w:val="12"/>
            </w:pPr>
            <w:r>
              <w:t>二十、住房保障支出</w:t>
            </w:r>
          </w:p>
        </w:tc>
        <w:tc>
          <w:tcPr>
            <w:tcW w:w="1474" w:type="dxa"/>
            <w:vAlign w:val="center"/>
          </w:tcPr>
          <w:p w14:paraId="6AF72C77">
            <w:pPr>
              <w:pStyle w:val="11"/>
            </w:pPr>
          </w:p>
        </w:tc>
        <w:tc>
          <w:tcPr>
            <w:tcW w:w="1474" w:type="dxa"/>
            <w:vAlign w:val="center"/>
          </w:tcPr>
          <w:p w14:paraId="6069D6A3">
            <w:pPr>
              <w:pStyle w:val="11"/>
            </w:pPr>
          </w:p>
        </w:tc>
        <w:tc>
          <w:tcPr>
            <w:tcW w:w="1474" w:type="dxa"/>
            <w:vAlign w:val="center"/>
          </w:tcPr>
          <w:p w14:paraId="1C351E59">
            <w:pPr>
              <w:pStyle w:val="11"/>
            </w:pPr>
          </w:p>
        </w:tc>
        <w:tc>
          <w:tcPr>
            <w:tcW w:w="1474" w:type="dxa"/>
            <w:vAlign w:val="center"/>
          </w:tcPr>
          <w:p w14:paraId="075282D7">
            <w:pPr>
              <w:pStyle w:val="11"/>
            </w:pPr>
          </w:p>
        </w:tc>
      </w:tr>
      <w:tr w14:paraId="458D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2B7D6">
            <w:pPr>
              <w:pStyle w:val="13"/>
            </w:pPr>
            <w:r>
              <w:t>21</w:t>
            </w:r>
          </w:p>
        </w:tc>
        <w:tc>
          <w:tcPr>
            <w:tcW w:w="3402" w:type="dxa"/>
            <w:vAlign w:val="center"/>
          </w:tcPr>
          <w:p w14:paraId="7A08F8F5">
            <w:pPr>
              <w:pStyle w:val="12"/>
            </w:pPr>
          </w:p>
        </w:tc>
        <w:tc>
          <w:tcPr>
            <w:tcW w:w="1474" w:type="dxa"/>
            <w:vAlign w:val="center"/>
          </w:tcPr>
          <w:p w14:paraId="4480F751">
            <w:pPr>
              <w:pStyle w:val="11"/>
            </w:pPr>
          </w:p>
        </w:tc>
        <w:tc>
          <w:tcPr>
            <w:tcW w:w="3402" w:type="dxa"/>
            <w:vAlign w:val="center"/>
          </w:tcPr>
          <w:p w14:paraId="01F0203A">
            <w:pPr>
              <w:pStyle w:val="12"/>
            </w:pPr>
            <w:r>
              <w:t>二十一、粮油物资储备支出</w:t>
            </w:r>
          </w:p>
        </w:tc>
        <w:tc>
          <w:tcPr>
            <w:tcW w:w="1474" w:type="dxa"/>
            <w:vAlign w:val="center"/>
          </w:tcPr>
          <w:p w14:paraId="3478E209">
            <w:pPr>
              <w:pStyle w:val="11"/>
            </w:pPr>
          </w:p>
        </w:tc>
        <w:tc>
          <w:tcPr>
            <w:tcW w:w="1474" w:type="dxa"/>
            <w:vAlign w:val="center"/>
          </w:tcPr>
          <w:p w14:paraId="40587B34">
            <w:pPr>
              <w:pStyle w:val="11"/>
            </w:pPr>
          </w:p>
        </w:tc>
        <w:tc>
          <w:tcPr>
            <w:tcW w:w="1474" w:type="dxa"/>
            <w:vAlign w:val="center"/>
          </w:tcPr>
          <w:p w14:paraId="78FE8076">
            <w:pPr>
              <w:pStyle w:val="11"/>
            </w:pPr>
          </w:p>
        </w:tc>
        <w:tc>
          <w:tcPr>
            <w:tcW w:w="1474" w:type="dxa"/>
            <w:vAlign w:val="center"/>
          </w:tcPr>
          <w:p w14:paraId="4ADC3BC0">
            <w:pPr>
              <w:pStyle w:val="11"/>
            </w:pPr>
          </w:p>
        </w:tc>
      </w:tr>
      <w:tr w14:paraId="142E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BCBA">
            <w:pPr>
              <w:pStyle w:val="13"/>
            </w:pPr>
            <w:r>
              <w:t>22</w:t>
            </w:r>
          </w:p>
        </w:tc>
        <w:tc>
          <w:tcPr>
            <w:tcW w:w="3402" w:type="dxa"/>
            <w:vAlign w:val="center"/>
          </w:tcPr>
          <w:p w14:paraId="06AA435A">
            <w:pPr>
              <w:pStyle w:val="12"/>
            </w:pPr>
          </w:p>
        </w:tc>
        <w:tc>
          <w:tcPr>
            <w:tcW w:w="1474" w:type="dxa"/>
            <w:vAlign w:val="center"/>
          </w:tcPr>
          <w:p w14:paraId="3BC4F557">
            <w:pPr>
              <w:pStyle w:val="11"/>
            </w:pPr>
          </w:p>
        </w:tc>
        <w:tc>
          <w:tcPr>
            <w:tcW w:w="3402" w:type="dxa"/>
            <w:vAlign w:val="center"/>
          </w:tcPr>
          <w:p w14:paraId="13DEEC54">
            <w:pPr>
              <w:pStyle w:val="12"/>
            </w:pPr>
            <w:r>
              <w:t>二十二、国有资本经营预算支出</w:t>
            </w:r>
          </w:p>
        </w:tc>
        <w:tc>
          <w:tcPr>
            <w:tcW w:w="1474" w:type="dxa"/>
            <w:vAlign w:val="center"/>
          </w:tcPr>
          <w:p w14:paraId="6441730B">
            <w:pPr>
              <w:pStyle w:val="11"/>
            </w:pPr>
          </w:p>
        </w:tc>
        <w:tc>
          <w:tcPr>
            <w:tcW w:w="1474" w:type="dxa"/>
            <w:vAlign w:val="center"/>
          </w:tcPr>
          <w:p w14:paraId="67DE2B93">
            <w:pPr>
              <w:pStyle w:val="11"/>
            </w:pPr>
          </w:p>
        </w:tc>
        <w:tc>
          <w:tcPr>
            <w:tcW w:w="1474" w:type="dxa"/>
            <w:vAlign w:val="center"/>
          </w:tcPr>
          <w:p w14:paraId="17B2E16F">
            <w:pPr>
              <w:pStyle w:val="11"/>
            </w:pPr>
          </w:p>
        </w:tc>
        <w:tc>
          <w:tcPr>
            <w:tcW w:w="1474" w:type="dxa"/>
            <w:vAlign w:val="center"/>
          </w:tcPr>
          <w:p w14:paraId="721F414C">
            <w:pPr>
              <w:pStyle w:val="11"/>
            </w:pPr>
          </w:p>
        </w:tc>
      </w:tr>
      <w:tr w14:paraId="675B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0768">
            <w:pPr>
              <w:pStyle w:val="13"/>
            </w:pPr>
            <w:r>
              <w:t>23</w:t>
            </w:r>
          </w:p>
        </w:tc>
        <w:tc>
          <w:tcPr>
            <w:tcW w:w="3402" w:type="dxa"/>
            <w:vAlign w:val="center"/>
          </w:tcPr>
          <w:p w14:paraId="77FA92C5">
            <w:pPr>
              <w:pStyle w:val="12"/>
            </w:pPr>
          </w:p>
        </w:tc>
        <w:tc>
          <w:tcPr>
            <w:tcW w:w="1474" w:type="dxa"/>
            <w:vAlign w:val="center"/>
          </w:tcPr>
          <w:p w14:paraId="36AF03E4">
            <w:pPr>
              <w:pStyle w:val="11"/>
            </w:pPr>
          </w:p>
        </w:tc>
        <w:tc>
          <w:tcPr>
            <w:tcW w:w="3402" w:type="dxa"/>
            <w:vAlign w:val="center"/>
          </w:tcPr>
          <w:p w14:paraId="04C50AAA">
            <w:pPr>
              <w:pStyle w:val="12"/>
            </w:pPr>
            <w:r>
              <w:t>二十三、灾害防治及应急管理支出</w:t>
            </w:r>
          </w:p>
        </w:tc>
        <w:tc>
          <w:tcPr>
            <w:tcW w:w="1474" w:type="dxa"/>
            <w:vAlign w:val="center"/>
          </w:tcPr>
          <w:p w14:paraId="1C83A415">
            <w:pPr>
              <w:pStyle w:val="11"/>
            </w:pPr>
          </w:p>
        </w:tc>
        <w:tc>
          <w:tcPr>
            <w:tcW w:w="1474" w:type="dxa"/>
            <w:vAlign w:val="center"/>
          </w:tcPr>
          <w:p w14:paraId="093E3475">
            <w:pPr>
              <w:pStyle w:val="11"/>
            </w:pPr>
          </w:p>
        </w:tc>
        <w:tc>
          <w:tcPr>
            <w:tcW w:w="1474" w:type="dxa"/>
            <w:vAlign w:val="center"/>
          </w:tcPr>
          <w:p w14:paraId="16F97826">
            <w:pPr>
              <w:pStyle w:val="11"/>
            </w:pPr>
          </w:p>
        </w:tc>
        <w:tc>
          <w:tcPr>
            <w:tcW w:w="1474" w:type="dxa"/>
            <w:vAlign w:val="center"/>
          </w:tcPr>
          <w:p w14:paraId="6393F349">
            <w:pPr>
              <w:pStyle w:val="11"/>
            </w:pPr>
          </w:p>
        </w:tc>
      </w:tr>
      <w:tr w14:paraId="4EE5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9A24D">
            <w:pPr>
              <w:pStyle w:val="13"/>
            </w:pPr>
            <w:r>
              <w:t>24</w:t>
            </w:r>
          </w:p>
        </w:tc>
        <w:tc>
          <w:tcPr>
            <w:tcW w:w="3402" w:type="dxa"/>
            <w:vAlign w:val="center"/>
          </w:tcPr>
          <w:p w14:paraId="7E8A8C25">
            <w:pPr>
              <w:pStyle w:val="12"/>
            </w:pPr>
          </w:p>
        </w:tc>
        <w:tc>
          <w:tcPr>
            <w:tcW w:w="1474" w:type="dxa"/>
            <w:vAlign w:val="center"/>
          </w:tcPr>
          <w:p w14:paraId="3E65EDA5">
            <w:pPr>
              <w:pStyle w:val="11"/>
            </w:pPr>
          </w:p>
        </w:tc>
        <w:tc>
          <w:tcPr>
            <w:tcW w:w="3402" w:type="dxa"/>
            <w:vAlign w:val="center"/>
          </w:tcPr>
          <w:p w14:paraId="142B9E68">
            <w:pPr>
              <w:pStyle w:val="12"/>
            </w:pPr>
            <w:r>
              <w:t>二十四、预备费</w:t>
            </w:r>
          </w:p>
        </w:tc>
        <w:tc>
          <w:tcPr>
            <w:tcW w:w="1474" w:type="dxa"/>
            <w:vAlign w:val="center"/>
          </w:tcPr>
          <w:p w14:paraId="72445870">
            <w:pPr>
              <w:pStyle w:val="11"/>
            </w:pPr>
          </w:p>
        </w:tc>
        <w:tc>
          <w:tcPr>
            <w:tcW w:w="1474" w:type="dxa"/>
            <w:vAlign w:val="center"/>
          </w:tcPr>
          <w:p w14:paraId="2E398425">
            <w:pPr>
              <w:pStyle w:val="11"/>
            </w:pPr>
          </w:p>
        </w:tc>
        <w:tc>
          <w:tcPr>
            <w:tcW w:w="1474" w:type="dxa"/>
            <w:vAlign w:val="center"/>
          </w:tcPr>
          <w:p w14:paraId="17578F29">
            <w:pPr>
              <w:pStyle w:val="11"/>
            </w:pPr>
          </w:p>
        </w:tc>
        <w:tc>
          <w:tcPr>
            <w:tcW w:w="1474" w:type="dxa"/>
            <w:vAlign w:val="center"/>
          </w:tcPr>
          <w:p w14:paraId="0F4CA066">
            <w:pPr>
              <w:pStyle w:val="11"/>
            </w:pPr>
          </w:p>
        </w:tc>
      </w:tr>
      <w:tr w14:paraId="7C84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E8476">
            <w:pPr>
              <w:pStyle w:val="13"/>
            </w:pPr>
            <w:r>
              <w:t>25</w:t>
            </w:r>
          </w:p>
        </w:tc>
        <w:tc>
          <w:tcPr>
            <w:tcW w:w="3402" w:type="dxa"/>
            <w:vAlign w:val="center"/>
          </w:tcPr>
          <w:p w14:paraId="24441EEE">
            <w:pPr>
              <w:pStyle w:val="12"/>
            </w:pPr>
          </w:p>
        </w:tc>
        <w:tc>
          <w:tcPr>
            <w:tcW w:w="1474" w:type="dxa"/>
            <w:vAlign w:val="center"/>
          </w:tcPr>
          <w:p w14:paraId="002130CB">
            <w:pPr>
              <w:pStyle w:val="11"/>
            </w:pPr>
          </w:p>
        </w:tc>
        <w:tc>
          <w:tcPr>
            <w:tcW w:w="3402" w:type="dxa"/>
            <w:vAlign w:val="center"/>
          </w:tcPr>
          <w:p w14:paraId="76CBB39F">
            <w:pPr>
              <w:pStyle w:val="12"/>
            </w:pPr>
            <w:r>
              <w:t>二十五、其他支出</w:t>
            </w:r>
          </w:p>
        </w:tc>
        <w:tc>
          <w:tcPr>
            <w:tcW w:w="1474" w:type="dxa"/>
            <w:vAlign w:val="center"/>
          </w:tcPr>
          <w:p w14:paraId="730B524C">
            <w:pPr>
              <w:pStyle w:val="11"/>
            </w:pPr>
          </w:p>
        </w:tc>
        <w:tc>
          <w:tcPr>
            <w:tcW w:w="1474" w:type="dxa"/>
            <w:vAlign w:val="center"/>
          </w:tcPr>
          <w:p w14:paraId="794121D9">
            <w:pPr>
              <w:pStyle w:val="11"/>
            </w:pPr>
          </w:p>
        </w:tc>
        <w:tc>
          <w:tcPr>
            <w:tcW w:w="1474" w:type="dxa"/>
            <w:vAlign w:val="center"/>
          </w:tcPr>
          <w:p w14:paraId="74778888">
            <w:pPr>
              <w:pStyle w:val="11"/>
            </w:pPr>
          </w:p>
        </w:tc>
        <w:tc>
          <w:tcPr>
            <w:tcW w:w="1474" w:type="dxa"/>
            <w:vAlign w:val="center"/>
          </w:tcPr>
          <w:p w14:paraId="49D77059">
            <w:pPr>
              <w:pStyle w:val="11"/>
            </w:pPr>
          </w:p>
        </w:tc>
      </w:tr>
      <w:tr w14:paraId="1B47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07039">
            <w:pPr>
              <w:pStyle w:val="13"/>
            </w:pPr>
            <w:r>
              <w:t>26</w:t>
            </w:r>
          </w:p>
        </w:tc>
        <w:tc>
          <w:tcPr>
            <w:tcW w:w="3402" w:type="dxa"/>
            <w:vAlign w:val="center"/>
          </w:tcPr>
          <w:p w14:paraId="218BC7B6">
            <w:pPr>
              <w:pStyle w:val="12"/>
            </w:pPr>
          </w:p>
        </w:tc>
        <w:tc>
          <w:tcPr>
            <w:tcW w:w="1474" w:type="dxa"/>
            <w:vAlign w:val="center"/>
          </w:tcPr>
          <w:p w14:paraId="7E0C320C">
            <w:pPr>
              <w:pStyle w:val="11"/>
            </w:pPr>
          </w:p>
        </w:tc>
        <w:tc>
          <w:tcPr>
            <w:tcW w:w="3402" w:type="dxa"/>
            <w:vAlign w:val="center"/>
          </w:tcPr>
          <w:p w14:paraId="0F26B131">
            <w:pPr>
              <w:pStyle w:val="12"/>
            </w:pPr>
            <w:r>
              <w:t>二十六、转移性支出</w:t>
            </w:r>
          </w:p>
        </w:tc>
        <w:tc>
          <w:tcPr>
            <w:tcW w:w="1474" w:type="dxa"/>
            <w:vAlign w:val="center"/>
          </w:tcPr>
          <w:p w14:paraId="0A3C959A">
            <w:pPr>
              <w:pStyle w:val="11"/>
            </w:pPr>
          </w:p>
        </w:tc>
        <w:tc>
          <w:tcPr>
            <w:tcW w:w="1474" w:type="dxa"/>
            <w:vAlign w:val="center"/>
          </w:tcPr>
          <w:p w14:paraId="492AFF9C">
            <w:pPr>
              <w:pStyle w:val="11"/>
            </w:pPr>
          </w:p>
        </w:tc>
        <w:tc>
          <w:tcPr>
            <w:tcW w:w="1474" w:type="dxa"/>
            <w:vAlign w:val="center"/>
          </w:tcPr>
          <w:p w14:paraId="27B823CB">
            <w:pPr>
              <w:pStyle w:val="11"/>
            </w:pPr>
          </w:p>
        </w:tc>
        <w:tc>
          <w:tcPr>
            <w:tcW w:w="1474" w:type="dxa"/>
            <w:vAlign w:val="center"/>
          </w:tcPr>
          <w:p w14:paraId="324729DA">
            <w:pPr>
              <w:pStyle w:val="11"/>
            </w:pPr>
          </w:p>
        </w:tc>
      </w:tr>
      <w:tr w14:paraId="7B55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4125">
            <w:pPr>
              <w:pStyle w:val="13"/>
            </w:pPr>
            <w:r>
              <w:t>27</w:t>
            </w:r>
          </w:p>
        </w:tc>
        <w:tc>
          <w:tcPr>
            <w:tcW w:w="3402" w:type="dxa"/>
            <w:vAlign w:val="center"/>
          </w:tcPr>
          <w:p w14:paraId="30E2BDED">
            <w:pPr>
              <w:pStyle w:val="12"/>
            </w:pPr>
          </w:p>
        </w:tc>
        <w:tc>
          <w:tcPr>
            <w:tcW w:w="1474" w:type="dxa"/>
            <w:vAlign w:val="center"/>
          </w:tcPr>
          <w:p w14:paraId="20C51B5B">
            <w:pPr>
              <w:pStyle w:val="11"/>
            </w:pPr>
          </w:p>
        </w:tc>
        <w:tc>
          <w:tcPr>
            <w:tcW w:w="3402" w:type="dxa"/>
            <w:vAlign w:val="center"/>
          </w:tcPr>
          <w:p w14:paraId="61483861">
            <w:pPr>
              <w:pStyle w:val="12"/>
            </w:pPr>
            <w:r>
              <w:t>二十七、债务还本支出</w:t>
            </w:r>
          </w:p>
        </w:tc>
        <w:tc>
          <w:tcPr>
            <w:tcW w:w="1474" w:type="dxa"/>
            <w:vAlign w:val="center"/>
          </w:tcPr>
          <w:p w14:paraId="26AC1256">
            <w:pPr>
              <w:pStyle w:val="11"/>
            </w:pPr>
          </w:p>
        </w:tc>
        <w:tc>
          <w:tcPr>
            <w:tcW w:w="1474" w:type="dxa"/>
            <w:vAlign w:val="center"/>
          </w:tcPr>
          <w:p w14:paraId="584187DC">
            <w:pPr>
              <w:pStyle w:val="11"/>
            </w:pPr>
          </w:p>
        </w:tc>
        <w:tc>
          <w:tcPr>
            <w:tcW w:w="1474" w:type="dxa"/>
            <w:vAlign w:val="center"/>
          </w:tcPr>
          <w:p w14:paraId="28AE9A21">
            <w:pPr>
              <w:pStyle w:val="11"/>
            </w:pPr>
          </w:p>
        </w:tc>
        <w:tc>
          <w:tcPr>
            <w:tcW w:w="1474" w:type="dxa"/>
            <w:vAlign w:val="center"/>
          </w:tcPr>
          <w:p w14:paraId="10F07EA6">
            <w:pPr>
              <w:pStyle w:val="11"/>
            </w:pPr>
          </w:p>
        </w:tc>
      </w:tr>
      <w:tr w14:paraId="2B15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6CB18">
            <w:pPr>
              <w:pStyle w:val="13"/>
            </w:pPr>
            <w:r>
              <w:t>28</w:t>
            </w:r>
          </w:p>
        </w:tc>
        <w:tc>
          <w:tcPr>
            <w:tcW w:w="3402" w:type="dxa"/>
            <w:vAlign w:val="center"/>
          </w:tcPr>
          <w:p w14:paraId="6821A6E9">
            <w:pPr>
              <w:pStyle w:val="12"/>
            </w:pPr>
          </w:p>
        </w:tc>
        <w:tc>
          <w:tcPr>
            <w:tcW w:w="1474" w:type="dxa"/>
            <w:vAlign w:val="center"/>
          </w:tcPr>
          <w:p w14:paraId="008D8692">
            <w:pPr>
              <w:pStyle w:val="11"/>
            </w:pPr>
          </w:p>
        </w:tc>
        <w:tc>
          <w:tcPr>
            <w:tcW w:w="3402" w:type="dxa"/>
            <w:vAlign w:val="center"/>
          </w:tcPr>
          <w:p w14:paraId="26BC1D08">
            <w:pPr>
              <w:pStyle w:val="12"/>
            </w:pPr>
            <w:r>
              <w:t>二十八、债务付息支出</w:t>
            </w:r>
          </w:p>
        </w:tc>
        <w:tc>
          <w:tcPr>
            <w:tcW w:w="1474" w:type="dxa"/>
            <w:vAlign w:val="center"/>
          </w:tcPr>
          <w:p w14:paraId="13DF8E8E">
            <w:pPr>
              <w:pStyle w:val="11"/>
            </w:pPr>
          </w:p>
        </w:tc>
        <w:tc>
          <w:tcPr>
            <w:tcW w:w="1474" w:type="dxa"/>
            <w:vAlign w:val="center"/>
          </w:tcPr>
          <w:p w14:paraId="46E8D900">
            <w:pPr>
              <w:pStyle w:val="11"/>
            </w:pPr>
          </w:p>
        </w:tc>
        <w:tc>
          <w:tcPr>
            <w:tcW w:w="1474" w:type="dxa"/>
            <w:vAlign w:val="center"/>
          </w:tcPr>
          <w:p w14:paraId="5FBA63B7">
            <w:pPr>
              <w:pStyle w:val="11"/>
            </w:pPr>
          </w:p>
        </w:tc>
        <w:tc>
          <w:tcPr>
            <w:tcW w:w="1474" w:type="dxa"/>
            <w:vAlign w:val="center"/>
          </w:tcPr>
          <w:p w14:paraId="08B99AF6">
            <w:pPr>
              <w:pStyle w:val="11"/>
            </w:pPr>
          </w:p>
        </w:tc>
      </w:tr>
      <w:tr w14:paraId="47DB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83150">
            <w:pPr>
              <w:pStyle w:val="13"/>
            </w:pPr>
            <w:r>
              <w:t>29</w:t>
            </w:r>
          </w:p>
        </w:tc>
        <w:tc>
          <w:tcPr>
            <w:tcW w:w="3402" w:type="dxa"/>
            <w:vAlign w:val="center"/>
          </w:tcPr>
          <w:p w14:paraId="7B539856">
            <w:pPr>
              <w:pStyle w:val="12"/>
            </w:pPr>
          </w:p>
        </w:tc>
        <w:tc>
          <w:tcPr>
            <w:tcW w:w="1474" w:type="dxa"/>
            <w:vAlign w:val="center"/>
          </w:tcPr>
          <w:p w14:paraId="65A0A44A">
            <w:pPr>
              <w:pStyle w:val="11"/>
            </w:pPr>
          </w:p>
        </w:tc>
        <w:tc>
          <w:tcPr>
            <w:tcW w:w="3402" w:type="dxa"/>
            <w:vAlign w:val="center"/>
          </w:tcPr>
          <w:p w14:paraId="68906CAA">
            <w:pPr>
              <w:pStyle w:val="12"/>
            </w:pPr>
            <w:r>
              <w:t>二十九、债务发行费用支出</w:t>
            </w:r>
          </w:p>
        </w:tc>
        <w:tc>
          <w:tcPr>
            <w:tcW w:w="1474" w:type="dxa"/>
            <w:vAlign w:val="center"/>
          </w:tcPr>
          <w:p w14:paraId="10443DA5">
            <w:pPr>
              <w:pStyle w:val="11"/>
            </w:pPr>
          </w:p>
        </w:tc>
        <w:tc>
          <w:tcPr>
            <w:tcW w:w="1474" w:type="dxa"/>
            <w:vAlign w:val="center"/>
          </w:tcPr>
          <w:p w14:paraId="37609520">
            <w:pPr>
              <w:pStyle w:val="11"/>
            </w:pPr>
          </w:p>
        </w:tc>
        <w:tc>
          <w:tcPr>
            <w:tcW w:w="1474" w:type="dxa"/>
            <w:vAlign w:val="center"/>
          </w:tcPr>
          <w:p w14:paraId="31B7B7F9">
            <w:pPr>
              <w:pStyle w:val="11"/>
            </w:pPr>
          </w:p>
        </w:tc>
        <w:tc>
          <w:tcPr>
            <w:tcW w:w="1474" w:type="dxa"/>
            <w:vAlign w:val="center"/>
          </w:tcPr>
          <w:p w14:paraId="73009770">
            <w:pPr>
              <w:pStyle w:val="11"/>
            </w:pPr>
          </w:p>
        </w:tc>
      </w:tr>
      <w:tr w14:paraId="37EE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2B0F">
            <w:pPr>
              <w:pStyle w:val="13"/>
            </w:pPr>
            <w:r>
              <w:t>30</w:t>
            </w:r>
          </w:p>
        </w:tc>
        <w:tc>
          <w:tcPr>
            <w:tcW w:w="3402" w:type="dxa"/>
            <w:vAlign w:val="center"/>
          </w:tcPr>
          <w:p w14:paraId="456DE129">
            <w:pPr>
              <w:pStyle w:val="12"/>
            </w:pPr>
          </w:p>
        </w:tc>
        <w:tc>
          <w:tcPr>
            <w:tcW w:w="1474" w:type="dxa"/>
            <w:vAlign w:val="center"/>
          </w:tcPr>
          <w:p w14:paraId="41C312A7">
            <w:pPr>
              <w:pStyle w:val="11"/>
            </w:pPr>
          </w:p>
        </w:tc>
        <w:tc>
          <w:tcPr>
            <w:tcW w:w="3402" w:type="dxa"/>
            <w:vAlign w:val="center"/>
          </w:tcPr>
          <w:p w14:paraId="3ED4877E">
            <w:pPr>
              <w:pStyle w:val="12"/>
            </w:pPr>
            <w:r>
              <w:t>三十、抗疫特别国债安排的支出</w:t>
            </w:r>
          </w:p>
        </w:tc>
        <w:tc>
          <w:tcPr>
            <w:tcW w:w="1474" w:type="dxa"/>
            <w:vAlign w:val="center"/>
          </w:tcPr>
          <w:p w14:paraId="60E61DC9">
            <w:pPr>
              <w:pStyle w:val="11"/>
            </w:pPr>
          </w:p>
        </w:tc>
        <w:tc>
          <w:tcPr>
            <w:tcW w:w="1474" w:type="dxa"/>
            <w:vAlign w:val="center"/>
          </w:tcPr>
          <w:p w14:paraId="1CE73259">
            <w:pPr>
              <w:pStyle w:val="11"/>
            </w:pPr>
          </w:p>
        </w:tc>
        <w:tc>
          <w:tcPr>
            <w:tcW w:w="1474" w:type="dxa"/>
            <w:vAlign w:val="center"/>
          </w:tcPr>
          <w:p w14:paraId="5EDDE22E">
            <w:pPr>
              <w:pStyle w:val="11"/>
            </w:pPr>
          </w:p>
        </w:tc>
        <w:tc>
          <w:tcPr>
            <w:tcW w:w="1474" w:type="dxa"/>
            <w:vAlign w:val="center"/>
          </w:tcPr>
          <w:p w14:paraId="642D6707">
            <w:pPr>
              <w:pStyle w:val="11"/>
            </w:pPr>
          </w:p>
        </w:tc>
      </w:tr>
      <w:tr w14:paraId="4B3A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CF679">
            <w:pPr>
              <w:pStyle w:val="13"/>
            </w:pPr>
            <w:r>
              <w:t>31</w:t>
            </w:r>
          </w:p>
        </w:tc>
        <w:tc>
          <w:tcPr>
            <w:tcW w:w="3402" w:type="dxa"/>
            <w:vAlign w:val="center"/>
          </w:tcPr>
          <w:p w14:paraId="4A85DB49">
            <w:pPr>
              <w:pStyle w:val="12"/>
            </w:pPr>
          </w:p>
        </w:tc>
        <w:tc>
          <w:tcPr>
            <w:tcW w:w="1474" w:type="dxa"/>
            <w:vAlign w:val="center"/>
          </w:tcPr>
          <w:p w14:paraId="45DD033A">
            <w:pPr>
              <w:pStyle w:val="11"/>
            </w:pPr>
          </w:p>
        </w:tc>
        <w:tc>
          <w:tcPr>
            <w:tcW w:w="3402" w:type="dxa"/>
            <w:vAlign w:val="center"/>
          </w:tcPr>
          <w:p w14:paraId="73C5BC89">
            <w:pPr>
              <w:pStyle w:val="12"/>
            </w:pPr>
            <w:r>
              <w:t>三十一、人行科目</w:t>
            </w:r>
          </w:p>
        </w:tc>
        <w:tc>
          <w:tcPr>
            <w:tcW w:w="1474" w:type="dxa"/>
            <w:vAlign w:val="center"/>
          </w:tcPr>
          <w:p w14:paraId="741314CB">
            <w:pPr>
              <w:pStyle w:val="11"/>
            </w:pPr>
          </w:p>
        </w:tc>
        <w:tc>
          <w:tcPr>
            <w:tcW w:w="1474" w:type="dxa"/>
            <w:vAlign w:val="center"/>
          </w:tcPr>
          <w:p w14:paraId="7F2EE6AC">
            <w:pPr>
              <w:pStyle w:val="11"/>
            </w:pPr>
          </w:p>
        </w:tc>
        <w:tc>
          <w:tcPr>
            <w:tcW w:w="1474" w:type="dxa"/>
            <w:vAlign w:val="center"/>
          </w:tcPr>
          <w:p w14:paraId="23A25E61">
            <w:pPr>
              <w:pStyle w:val="11"/>
            </w:pPr>
          </w:p>
        </w:tc>
        <w:tc>
          <w:tcPr>
            <w:tcW w:w="1474" w:type="dxa"/>
            <w:vAlign w:val="center"/>
          </w:tcPr>
          <w:p w14:paraId="1FDB2102">
            <w:pPr>
              <w:pStyle w:val="11"/>
            </w:pPr>
          </w:p>
        </w:tc>
      </w:tr>
      <w:tr w14:paraId="38CE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43F6">
            <w:pPr>
              <w:pStyle w:val="13"/>
            </w:pPr>
            <w:r>
              <w:t>32</w:t>
            </w:r>
          </w:p>
        </w:tc>
        <w:tc>
          <w:tcPr>
            <w:tcW w:w="3402" w:type="dxa"/>
            <w:vAlign w:val="center"/>
          </w:tcPr>
          <w:p w14:paraId="0A59BF44">
            <w:pPr>
              <w:pStyle w:val="14"/>
            </w:pPr>
            <w:r>
              <w:t>本年收入合计</w:t>
            </w:r>
          </w:p>
        </w:tc>
        <w:tc>
          <w:tcPr>
            <w:tcW w:w="1474" w:type="dxa"/>
            <w:vAlign w:val="center"/>
          </w:tcPr>
          <w:p w14:paraId="014A0B90">
            <w:pPr>
              <w:pStyle w:val="15"/>
            </w:pPr>
            <w:r>
              <w:t>3537.38</w:t>
            </w:r>
          </w:p>
        </w:tc>
        <w:tc>
          <w:tcPr>
            <w:tcW w:w="3402" w:type="dxa"/>
            <w:vAlign w:val="center"/>
          </w:tcPr>
          <w:p w14:paraId="6FD62973">
            <w:pPr>
              <w:pStyle w:val="14"/>
            </w:pPr>
            <w:r>
              <w:t>本年支出合计</w:t>
            </w:r>
          </w:p>
        </w:tc>
        <w:tc>
          <w:tcPr>
            <w:tcW w:w="1474" w:type="dxa"/>
            <w:vAlign w:val="center"/>
          </w:tcPr>
          <w:p w14:paraId="43F12B48">
            <w:pPr>
              <w:pStyle w:val="15"/>
            </w:pPr>
            <w:r>
              <w:t>3537.38</w:t>
            </w:r>
          </w:p>
        </w:tc>
        <w:tc>
          <w:tcPr>
            <w:tcW w:w="1474" w:type="dxa"/>
            <w:vAlign w:val="center"/>
          </w:tcPr>
          <w:p w14:paraId="14D34411">
            <w:pPr>
              <w:pStyle w:val="15"/>
            </w:pPr>
            <w:r>
              <w:t>3537.38</w:t>
            </w:r>
          </w:p>
        </w:tc>
        <w:tc>
          <w:tcPr>
            <w:tcW w:w="1474" w:type="dxa"/>
            <w:vAlign w:val="center"/>
          </w:tcPr>
          <w:p w14:paraId="69905C7A">
            <w:pPr>
              <w:pStyle w:val="15"/>
            </w:pPr>
          </w:p>
        </w:tc>
        <w:tc>
          <w:tcPr>
            <w:tcW w:w="1474" w:type="dxa"/>
            <w:vAlign w:val="center"/>
          </w:tcPr>
          <w:p w14:paraId="410ED27D">
            <w:pPr>
              <w:pStyle w:val="15"/>
            </w:pPr>
          </w:p>
        </w:tc>
      </w:tr>
      <w:tr w14:paraId="04D4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4719">
            <w:pPr>
              <w:pStyle w:val="13"/>
            </w:pPr>
            <w:r>
              <w:t>33</w:t>
            </w:r>
          </w:p>
        </w:tc>
        <w:tc>
          <w:tcPr>
            <w:tcW w:w="3402" w:type="dxa"/>
            <w:vAlign w:val="center"/>
          </w:tcPr>
          <w:p w14:paraId="66D5CDE7">
            <w:pPr>
              <w:pStyle w:val="12"/>
            </w:pPr>
            <w:r>
              <w:t>年初财政拨款结转和结余</w:t>
            </w:r>
          </w:p>
        </w:tc>
        <w:tc>
          <w:tcPr>
            <w:tcW w:w="1474" w:type="dxa"/>
            <w:vAlign w:val="center"/>
          </w:tcPr>
          <w:p w14:paraId="4512DF6C">
            <w:pPr>
              <w:pStyle w:val="11"/>
            </w:pPr>
          </w:p>
        </w:tc>
        <w:tc>
          <w:tcPr>
            <w:tcW w:w="3402" w:type="dxa"/>
            <w:vAlign w:val="center"/>
          </w:tcPr>
          <w:p w14:paraId="70C3F288">
            <w:pPr>
              <w:pStyle w:val="12"/>
            </w:pPr>
            <w:r>
              <w:t>年末财政拨款结转和结余</w:t>
            </w:r>
          </w:p>
        </w:tc>
        <w:tc>
          <w:tcPr>
            <w:tcW w:w="1474" w:type="dxa"/>
            <w:vAlign w:val="center"/>
          </w:tcPr>
          <w:p w14:paraId="5DA37B64">
            <w:pPr>
              <w:pStyle w:val="11"/>
            </w:pPr>
          </w:p>
        </w:tc>
        <w:tc>
          <w:tcPr>
            <w:tcW w:w="1474" w:type="dxa"/>
            <w:vAlign w:val="center"/>
          </w:tcPr>
          <w:p w14:paraId="29FC68E6">
            <w:pPr>
              <w:pStyle w:val="11"/>
            </w:pPr>
          </w:p>
        </w:tc>
        <w:tc>
          <w:tcPr>
            <w:tcW w:w="1474" w:type="dxa"/>
            <w:vAlign w:val="center"/>
          </w:tcPr>
          <w:p w14:paraId="2010D956">
            <w:pPr>
              <w:pStyle w:val="11"/>
            </w:pPr>
          </w:p>
        </w:tc>
        <w:tc>
          <w:tcPr>
            <w:tcW w:w="1474" w:type="dxa"/>
            <w:vAlign w:val="center"/>
          </w:tcPr>
          <w:p w14:paraId="499B9BF8">
            <w:pPr>
              <w:pStyle w:val="11"/>
            </w:pPr>
          </w:p>
        </w:tc>
      </w:tr>
      <w:tr w14:paraId="3177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D4433">
            <w:pPr>
              <w:pStyle w:val="13"/>
            </w:pPr>
            <w:r>
              <w:t>34</w:t>
            </w:r>
          </w:p>
        </w:tc>
        <w:tc>
          <w:tcPr>
            <w:tcW w:w="3402" w:type="dxa"/>
            <w:vAlign w:val="center"/>
          </w:tcPr>
          <w:p w14:paraId="160A86BE">
            <w:pPr>
              <w:pStyle w:val="12"/>
            </w:pPr>
            <w:r>
              <w:t>一、一般公共预算拨款</w:t>
            </w:r>
          </w:p>
        </w:tc>
        <w:tc>
          <w:tcPr>
            <w:tcW w:w="1474" w:type="dxa"/>
            <w:vAlign w:val="center"/>
          </w:tcPr>
          <w:p w14:paraId="0D9E3D34">
            <w:pPr>
              <w:pStyle w:val="11"/>
            </w:pPr>
          </w:p>
        </w:tc>
        <w:tc>
          <w:tcPr>
            <w:tcW w:w="3402" w:type="dxa"/>
            <w:vAlign w:val="center"/>
          </w:tcPr>
          <w:p w14:paraId="2DD1A424">
            <w:pPr>
              <w:pStyle w:val="12"/>
            </w:pPr>
          </w:p>
        </w:tc>
        <w:tc>
          <w:tcPr>
            <w:tcW w:w="1474" w:type="dxa"/>
            <w:vAlign w:val="center"/>
          </w:tcPr>
          <w:p w14:paraId="3F15931F">
            <w:pPr>
              <w:pStyle w:val="11"/>
            </w:pPr>
          </w:p>
        </w:tc>
        <w:tc>
          <w:tcPr>
            <w:tcW w:w="1474" w:type="dxa"/>
            <w:vAlign w:val="center"/>
          </w:tcPr>
          <w:p w14:paraId="5914783C">
            <w:pPr>
              <w:pStyle w:val="11"/>
            </w:pPr>
          </w:p>
        </w:tc>
        <w:tc>
          <w:tcPr>
            <w:tcW w:w="1474" w:type="dxa"/>
            <w:vAlign w:val="center"/>
          </w:tcPr>
          <w:p w14:paraId="3CAD4BA6">
            <w:pPr>
              <w:pStyle w:val="11"/>
            </w:pPr>
          </w:p>
        </w:tc>
        <w:tc>
          <w:tcPr>
            <w:tcW w:w="1474" w:type="dxa"/>
            <w:vAlign w:val="center"/>
          </w:tcPr>
          <w:p w14:paraId="0C671F63">
            <w:pPr>
              <w:pStyle w:val="11"/>
            </w:pPr>
          </w:p>
        </w:tc>
      </w:tr>
      <w:tr w14:paraId="65D3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5DDD">
            <w:pPr>
              <w:pStyle w:val="13"/>
            </w:pPr>
            <w:r>
              <w:t>35</w:t>
            </w:r>
          </w:p>
        </w:tc>
        <w:tc>
          <w:tcPr>
            <w:tcW w:w="3402" w:type="dxa"/>
            <w:vAlign w:val="center"/>
          </w:tcPr>
          <w:p w14:paraId="7437D071">
            <w:pPr>
              <w:pStyle w:val="12"/>
            </w:pPr>
            <w:r>
              <w:t>二、政府性基金预算拨款</w:t>
            </w:r>
          </w:p>
        </w:tc>
        <w:tc>
          <w:tcPr>
            <w:tcW w:w="1474" w:type="dxa"/>
            <w:vAlign w:val="center"/>
          </w:tcPr>
          <w:p w14:paraId="6D192618">
            <w:pPr>
              <w:pStyle w:val="11"/>
            </w:pPr>
          </w:p>
        </w:tc>
        <w:tc>
          <w:tcPr>
            <w:tcW w:w="3402" w:type="dxa"/>
            <w:vAlign w:val="center"/>
          </w:tcPr>
          <w:p w14:paraId="2D0DDEE8">
            <w:pPr>
              <w:pStyle w:val="12"/>
            </w:pPr>
          </w:p>
        </w:tc>
        <w:tc>
          <w:tcPr>
            <w:tcW w:w="1474" w:type="dxa"/>
            <w:vAlign w:val="center"/>
          </w:tcPr>
          <w:p w14:paraId="4FEA16D0">
            <w:pPr>
              <w:pStyle w:val="11"/>
            </w:pPr>
          </w:p>
        </w:tc>
        <w:tc>
          <w:tcPr>
            <w:tcW w:w="1474" w:type="dxa"/>
            <w:vAlign w:val="center"/>
          </w:tcPr>
          <w:p w14:paraId="4B2A81CA">
            <w:pPr>
              <w:pStyle w:val="11"/>
            </w:pPr>
          </w:p>
        </w:tc>
        <w:tc>
          <w:tcPr>
            <w:tcW w:w="1474" w:type="dxa"/>
            <w:vAlign w:val="center"/>
          </w:tcPr>
          <w:p w14:paraId="4D7BF57D">
            <w:pPr>
              <w:pStyle w:val="11"/>
            </w:pPr>
          </w:p>
        </w:tc>
        <w:tc>
          <w:tcPr>
            <w:tcW w:w="1474" w:type="dxa"/>
            <w:vAlign w:val="center"/>
          </w:tcPr>
          <w:p w14:paraId="33D93940">
            <w:pPr>
              <w:pStyle w:val="11"/>
            </w:pPr>
          </w:p>
        </w:tc>
      </w:tr>
      <w:tr w14:paraId="2D10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2F2FA">
            <w:pPr>
              <w:pStyle w:val="13"/>
            </w:pPr>
            <w:r>
              <w:t>36</w:t>
            </w:r>
          </w:p>
        </w:tc>
        <w:tc>
          <w:tcPr>
            <w:tcW w:w="3402" w:type="dxa"/>
            <w:vAlign w:val="center"/>
          </w:tcPr>
          <w:p w14:paraId="31464362">
            <w:pPr>
              <w:pStyle w:val="12"/>
            </w:pPr>
            <w:r>
              <w:t>三、国有资本经营预算拨款</w:t>
            </w:r>
          </w:p>
        </w:tc>
        <w:tc>
          <w:tcPr>
            <w:tcW w:w="1474" w:type="dxa"/>
            <w:vAlign w:val="center"/>
          </w:tcPr>
          <w:p w14:paraId="06CFEDCE">
            <w:pPr>
              <w:pStyle w:val="11"/>
            </w:pPr>
          </w:p>
        </w:tc>
        <w:tc>
          <w:tcPr>
            <w:tcW w:w="3402" w:type="dxa"/>
            <w:vAlign w:val="center"/>
          </w:tcPr>
          <w:p w14:paraId="6777E235">
            <w:pPr>
              <w:pStyle w:val="12"/>
            </w:pPr>
          </w:p>
        </w:tc>
        <w:tc>
          <w:tcPr>
            <w:tcW w:w="1474" w:type="dxa"/>
            <w:vAlign w:val="center"/>
          </w:tcPr>
          <w:p w14:paraId="031D7CB6">
            <w:pPr>
              <w:pStyle w:val="11"/>
            </w:pPr>
          </w:p>
        </w:tc>
        <w:tc>
          <w:tcPr>
            <w:tcW w:w="1474" w:type="dxa"/>
            <w:vAlign w:val="center"/>
          </w:tcPr>
          <w:p w14:paraId="19B634AA">
            <w:pPr>
              <w:pStyle w:val="11"/>
            </w:pPr>
          </w:p>
        </w:tc>
        <w:tc>
          <w:tcPr>
            <w:tcW w:w="1474" w:type="dxa"/>
            <w:vAlign w:val="center"/>
          </w:tcPr>
          <w:p w14:paraId="22ADF457">
            <w:pPr>
              <w:pStyle w:val="11"/>
            </w:pPr>
          </w:p>
        </w:tc>
        <w:tc>
          <w:tcPr>
            <w:tcW w:w="1474" w:type="dxa"/>
            <w:vAlign w:val="center"/>
          </w:tcPr>
          <w:p w14:paraId="75400256">
            <w:pPr>
              <w:pStyle w:val="11"/>
            </w:pPr>
          </w:p>
        </w:tc>
      </w:tr>
      <w:tr w14:paraId="7BA4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46DB0">
            <w:pPr>
              <w:pStyle w:val="13"/>
            </w:pPr>
            <w:r>
              <w:t>37</w:t>
            </w:r>
          </w:p>
        </w:tc>
        <w:tc>
          <w:tcPr>
            <w:tcW w:w="3402" w:type="dxa"/>
            <w:vAlign w:val="center"/>
          </w:tcPr>
          <w:p w14:paraId="310988F8">
            <w:pPr>
              <w:pStyle w:val="14"/>
            </w:pPr>
            <w:r>
              <w:t>收入总计</w:t>
            </w:r>
          </w:p>
        </w:tc>
        <w:tc>
          <w:tcPr>
            <w:tcW w:w="1474" w:type="dxa"/>
            <w:vAlign w:val="center"/>
          </w:tcPr>
          <w:p w14:paraId="2AA5F8DF">
            <w:pPr>
              <w:pStyle w:val="15"/>
            </w:pPr>
            <w:r>
              <w:t>3537.38</w:t>
            </w:r>
          </w:p>
        </w:tc>
        <w:tc>
          <w:tcPr>
            <w:tcW w:w="3402" w:type="dxa"/>
            <w:vAlign w:val="center"/>
          </w:tcPr>
          <w:p w14:paraId="70620815">
            <w:pPr>
              <w:pStyle w:val="14"/>
            </w:pPr>
            <w:r>
              <w:t>支出总计</w:t>
            </w:r>
          </w:p>
        </w:tc>
        <w:tc>
          <w:tcPr>
            <w:tcW w:w="1474" w:type="dxa"/>
            <w:vAlign w:val="center"/>
          </w:tcPr>
          <w:p w14:paraId="08D61C13">
            <w:pPr>
              <w:pStyle w:val="15"/>
            </w:pPr>
            <w:r>
              <w:t>3537.38</w:t>
            </w:r>
          </w:p>
        </w:tc>
        <w:tc>
          <w:tcPr>
            <w:tcW w:w="1474" w:type="dxa"/>
            <w:vAlign w:val="center"/>
          </w:tcPr>
          <w:p w14:paraId="034F751C">
            <w:pPr>
              <w:pStyle w:val="15"/>
            </w:pPr>
            <w:r>
              <w:t>3537.38</w:t>
            </w:r>
          </w:p>
        </w:tc>
        <w:tc>
          <w:tcPr>
            <w:tcW w:w="1474" w:type="dxa"/>
            <w:vAlign w:val="center"/>
          </w:tcPr>
          <w:p w14:paraId="3DE75EC2">
            <w:pPr>
              <w:pStyle w:val="15"/>
            </w:pPr>
          </w:p>
        </w:tc>
        <w:tc>
          <w:tcPr>
            <w:tcW w:w="1474" w:type="dxa"/>
            <w:vAlign w:val="center"/>
          </w:tcPr>
          <w:p w14:paraId="3A75A34D">
            <w:pPr>
              <w:pStyle w:val="15"/>
            </w:pPr>
          </w:p>
        </w:tc>
      </w:tr>
    </w:tbl>
    <w:p w14:paraId="510F7998">
      <w:pPr>
        <w:sectPr>
          <w:pgSz w:w="16840" w:h="11900" w:orient="landscape"/>
          <w:pgMar w:top="1361" w:right="1020" w:bottom="1134" w:left="1020" w:header="720" w:footer="720" w:gutter="0"/>
          <w:cols w:space="720" w:num="1"/>
        </w:sectPr>
      </w:pPr>
    </w:p>
    <w:p w14:paraId="124770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94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EA574A">
            <w:pPr>
              <w:pStyle w:val="9"/>
            </w:pPr>
            <w:r>
              <w:t>360011河北省隆尧县实验中学</w:t>
            </w:r>
          </w:p>
        </w:tc>
        <w:tc>
          <w:tcPr>
            <w:tcW w:w="2551" w:type="dxa"/>
            <w:tcBorders>
              <w:top w:val="single" w:color="FFFFFF" w:sz="6" w:space="0"/>
              <w:left w:val="single" w:color="FFFFFF" w:sz="6" w:space="0"/>
              <w:right w:val="single" w:color="FFFFFF" w:sz="6" w:space="0"/>
            </w:tcBorders>
            <w:vAlign w:val="center"/>
          </w:tcPr>
          <w:p w14:paraId="4AC511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F97C07">
            <w:pPr>
              <w:pStyle w:val="7"/>
            </w:pPr>
            <w:r>
              <w:t>单位：万元</w:t>
            </w:r>
          </w:p>
        </w:tc>
      </w:tr>
      <w:tr w14:paraId="3988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8F8D3A">
            <w:pPr>
              <w:pStyle w:val="10"/>
            </w:pPr>
            <w:r>
              <w:t>序号</w:t>
            </w:r>
          </w:p>
        </w:tc>
        <w:tc>
          <w:tcPr>
            <w:tcW w:w="5726" w:type="dxa"/>
            <w:gridSpan w:val="2"/>
            <w:vAlign w:val="center"/>
          </w:tcPr>
          <w:p w14:paraId="5A53474C">
            <w:pPr>
              <w:pStyle w:val="10"/>
            </w:pPr>
            <w:r>
              <w:t>功能分类科目</w:t>
            </w:r>
          </w:p>
        </w:tc>
        <w:tc>
          <w:tcPr>
            <w:tcW w:w="2551" w:type="dxa"/>
            <w:vMerge w:val="restart"/>
            <w:vAlign w:val="center"/>
          </w:tcPr>
          <w:p w14:paraId="18128DA5">
            <w:pPr>
              <w:pStyle w:val="10"/>
            </w:pPr>
            <w:r>
              <w:t>合计</w:t>
            </w:r>
          </w:p>
        </w:tc>
        <w:tc>
          <w:tcPr>
            <w:tcW w:w="2551" w:type="dxa"/>
            <w:vMerge w:val="restart"/>
            <w:vAlign w:val="center"/>
          </w:tcPr>
          <w:p w14:paraId="35954474">
            <w:pPr>
              <w:pStyle w:val="10"/>
            </w:pPr>
            <w:r>
              <w:t>基本支出</w:t>
            </w:r>
          </w:p>
        </w:tc>
        <w:tc>
          <w:tcPr>
            <w:tcW w:w="2551" w:type="dxa"/>
            <w:vMerge w:val="restart"/>
            <w:vAlign w:val="center"/>
          </w:tcPr>
          <w:p w14:paraId="49970057">
            <w:pPr>
              <w:pStyle w:val="10"/>
            </w:pPr>
            <w:r>
              <w:t>项目支出</w:t>
            </w:r>
          </w:p>
        </w:tc>
      </w:tr>
      <w:tr w14:paraId="72E7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5954C7"/>
        </w:tc>
        <w:tc>
          <w:tcPr>
            <w:tcW w:w="1191" w:type="dxa"/>
            <w:vAlign w:val="center"/>
          </w:tcPr>
          <w:p w14:paraId="1067E165">
            <w:pPr>
              <w:pStyle w:val="10"/>
            </w:pPr>
            <w:r>
              <w:t>科目编码</w:t>
            </w:r>
          </w:p>
        </w:tc>
        <w:tc>
          <w:tcPr>
            <w:tcW w:w="4535" w:type="dxa"/>
            <w:vAlign w:val="center"/>
          </w:tcPr>
          <w:p w14:paraId="4808A28D">
            <w:pPr>
              <w:pStyle w:val="10"/>
            </w:pPr>
            <w:r>
              <w:t>科目名称</w:t>
            </w:r>
          </w:p>
        </w:tc>
        <w:tc>
          <w:tcPr>
            <w:tcW w:w="2551" w:type="dxa"/>
            <w:vMerge w:val="continue"/>
          </w:tcPr>
          <w:p w14:paraId="36DAFEA4"/>
        </w:tc>
        <w:tc>
          <w:tcPr>
            <w:tcW w:w="2551" w:type="dxa"/>
            <w:vMerge w:val="continue"/>
          </w:tcPr>
          <w:p w14:paraId="58BF9EA0"/>
        </w:tc>
        <w:tc>
          <w:tcPr>
            <w:tcW w:w="2551" w:type="dxa"/>
            <w:vMerge w:val="continue"/>
          </w:tcPr>
          <w:p w14:paraId="2ADBD67F"/>
        </w:tc>
      </w:tr>
      <w:tr w14:paraId="6971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7D8F27">
            <w:pPr>
              <w:pStyle w:val="10"/>
            </w:pPr>
            <w:r>
              <w:t>栏次</w:t>
            </w:r>
          </w:p>
        </w:tc>
        <w:tc>
          <w:tcPr>
            <w:tcW w:w="1191" w:type="dxa"/>
            <w:vAlign w:val="center"/>
          </w:tcPr>
          <w:p w14:paraId="6F7CE664">
            <w:pPr>
              <w:pStyle w:val="10"/>
            </w:pPr>
            <w:r>
              <w:t>1</w:t>
            </w:r>
          </w:p>
        </w:tc>
        <w:tc>
          <w:tcPr>
            <w:tcW w:w="4535" w:type="dxa"/>
            <w:vAlign w:val="center"/>
          </w:tcPr>
          <w:p w14:paraId="094B2267">
            <w:pPr>
              <w:pStyle w:val="10"/>
            </w:pPr>
            <w:r>
              <w:t>2</w:t>
            </w:r>
          </w:p>
        </w:tc>
        <w:tc>
          <w:tcPr>
            <w:tcW w:w="2551" w:type="dxa"/>
            <w:vAlign w:val="center"/>
          </w:tcPr>
          <w:p w14:paraId="61FD20E8">
            <w:pPr>
              <w:pStyle w:val="10"/>
            </w:pPr>
            <w:r>
              <w:t>3</w:t>
            </w:r>
          </w:p>
        </w:tc>
        <w:tc>
          <w:tcPr>
            <w:tcW w:w="2551" w:type="dxa"/>
            <w:vAlign w:val="center"/>
          </w:tcPr>
          <w:p w14:paraId="2F0B1137">
            <w:pPr>
              <w:pStyle w:val="10"/>
            </w:pPr>
            <w:r>
              <w:t>4</w:t>
            </w:r>
          </w:p>
        </w:tc>
        <w:tc>
          <w:tcPr>
            <w:tcW w:w="2551" w:type="dxa"/>
            <w:vAlign w:val="center"/>
          </w:tcPr>
          <w:p w14:paraId="78824BDA">
            <w:pPr>
              <w:pStyle w:val="10"/>
            </w:pPr>
            <w:r>
              <w:t>5</w:t>
            </w:r>
          </w:p>
        </w:tc>
      </w:tr>
      <w:tr w14:paraId="2F42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4F3C">
            <w:pPr>
              <w:pStyle w:val="13"/>
            </w:pPr>
            <w:r>
              <w:t>1</w:t>
            </w:r>
          </w:p>
        </w:tc>
        <w:tc>
          <w:tcPr>
            <w:tcW w:w="1191" w:type="dxa"/>
            <w:vAlign w:val="center"/>
          </w:tcPr>
          <w:p w14:paraId="48F774D5">
            <w:pPr>
              <w:pStyle w:val="16"/>
            </w:pPr>
          </w:p>
        </w:tc>
        <w:tc>
          <w:tcPr>
            <w:tcW w:w="4535" w:type="dxa"/>
            <w:vAlign w:val="center"/>
          </w:tcPr>
          <w:p w14:paraId="29AFFAD1">
            <w:pPr>
              <w:pStyle w:val="14"/>
            </w:pPr>
            <w:r>
              <w:t>合计</w:t>
            </w:r>
          </w:p>
        </w:tc>
        <w:tc>
          <w:tcPr>
            <w:tcW w:w="2551" w:type="dxa"/>
            <w:vAlign w:val="center"/>
          </w:tcPr>
          <w:p w14:paraId="69F497B1">
            <w:pPr>
              <w:pStyle w:val="15"/>
            </w:pPr>
            <w:r>
              <w:t>3537.38</w:t>
            </w:r>
          </w:p>
        </w:tc>
        <w:tc>
          <w:tcPr>
            <w:tcW w:w="2551" w:type="dxa"/>
            <w:vAlign w:val="center"/>
          </w:tcPr>
          <w:p w14:paraId="75EECFAB">
            <w:pPr>
              <w:pStyle w:val="15"/>
            </w:pPr>
            <w:r>
              <w:t>2628.89</w:t>
            </w:r>
          </w:p>
        </w:tc>
        <w:tc>
          <w:tcPr>
            <w:tcW w:w="2551" w:type="dxa"/>
            <w:vAlign w:val="center"/>
          </w:tcPr>
          <w:p w14:paraId="14DE5229">
            <w:pPr>
              <w:pStyle w:val="15"/>
            </w:pPr>
            <w:r>
              <w:t>908.49</w:t>
            </w:r>
          </w:p>
        </w:tc>
      </w:tr>
      <w:tr w14:paraId="75CC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5E0D">
            <w:pPr>
              <w:pStyle w:val="13"/>
            </w:pPr>
            <w:r>
              <w:t>2</w:t>
            </w:r>
          </w:p>
        </w:tc>
        <w:tc>
          <w:tcPr>
            <w:tcW w:w="1191" w:type="dxa"/>
            <w:vAlign w:val="center"/>
          </w:tcPr>
          <w:p w14:paraId="3BEA594D">
            <w:pPr>
              <w:pStyle w:val="12"/>
            </w:pPr>
            <w:r>
              <w:t>205</w:t>
            </w:r>
          </w:p>
        </w:tc>
        <w:tc>
          <w:tcPr>
            <w:tcW w:w="4535" w:type="dxa"/>
            <w:vAlign w:val="center"/>
          </w:tcPr>
          <w:p w14:paraId="4895160B">
            <w:pPr>
              <w:pStyle w:val="12"/>
            </w:pPr>
            <w:r>
              <w:t>教育支出</w:t>
            </w:r>
          </w:p>
        </w:tc>
        <w:tc>
          <w:tcPr>
            <w:tcW w:w="2551" w:type="dxa"/>
            <w:vAlign w:val="center"/>
          </w:tcPr>
          <w:p w14:paraId="0ADA16F4">
            <w:pPr>
              <w:pStyle w:val="11"/>
            </w:pPr>
            <w:r>
              <w:t>3537.38</w:t>
            </w:r>
          </w:p>
        </w:tc>
        <w:tc>
          <w:tcPr>
            <w:tcW w:w="2551" w:type="dxa"/>
            <w:vAlign w:val="center"/>
          </w:tcPr>
          <w:p w14:paraId="435C6ECB">
            <w:pPr>
              <w:pStyle w:val="11"/>
            </w:pPr>
            <w:r>
              <w:t>2628.89</w:t>
            </w:r>
          </w:p>
        </w:tc>
        <w:tc>
          <w:tcPr>
            <w:tcW w:w="2551" w:type="dxa"/>
            <w:vAlign w:val="center"/>
          </w:tcPr>
          <w:p w14:paraId="0B07A65E">
            <w:pPr>
              <w:pStyle w:val="11"/>
            </w:pPr>
            <w:r>
              <w:t>908.49</w:t>
            </w:r>
          </w:p>
        </w:tc>
      </w:tr>
      <w:tr w14:paraId="6A45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1589">
            <w:pPr>
              <w:pStyle w:val="13"/>
            </w:pPr>
            <w:r>
              <w:t>3</w:t>
            </w:r>
          </w:p>
        </w:tc>
        <w:tc>
          <w:tcPr>
            <w:tcW w:w="1191" w:type="dxa"/>
            <w:vAlign w:val="center"/>
          </w:tcPr>
          <w:p w14:paraId="0F6C6EF0">
            <w:pPr>
              <w:pStyle w:val="12"/>
            </w:pPr>
            <w:r>
              <w:t>20502</w:t>
            </w:r>
          </w:p>
        </w:tc>
        <w:tc>
          <w:tcPr>
            <w:tcW w:w="4535" w:type="dxa"/>
            <w:vAlign w:val="center"/>
          </w:tcPr>
          <w:p w14:paraId="2C2AD889">
            <w:pPr>
              <w:pStyle w:val="12"/>
            </w:pPr>
            <w:r>
              <w:t>普通教育</w:t>
            </w:r>
          </w:p>
        </w:tc>
        <w:tc>
          <w:tcPr>
            <w:tcW w:w="2551" w:type="dxa"/>
            <w:vAlign w:val="center"/>
          </w:tcPr>
          <w:p w14:paraId="65F0139B">
            <w:pPr>
              <w:pStyle w:val="11"/>
            </w:pPr>
            <w:r>
              <w:t>3537.38</w:t>
            </w:r>
          </w:p>
        </w:tc>
        <w:tc>
          <w:tcPr>
            <w:tcW w:w="2551" w:type="dxa"/>
            <w:vAlign w:val="center"/>
          </w:tcPr>
          <w:p w14:paraId="0CDC9DCE">
            <w:pPr>
              <w:pStyle w:val="11"/>
            </w:pPr>
            <w:r>
              <w:t>2628.89</w:t>
            </w:r>
          </w:p>
        </w:tc>
        <w:tc>
          <w:tcPr>
            <w:tcW w:w="2551" w:type="dxa"/>
            <w:vAlign w:val="center"/>
          </w:tcPr>
          <w:p w14:paraId="24BEA5FC">
            <w:pPr>
              <w:pStyle w:val="11"/>
            </w:pPr>
            <w:r>
              <w:t>908.49</w:t>
            </w:r>
          </w:p>
        </w:tc>
      </w:tr>
      <w:tr w14:paraId="3654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670F3">
            <w:pPr>
              <w:pStyle w:val="13"/>
            </w:pPr>
            <w:r>
              <w:t>4</w:t>
            </w:r>
          </w:p>
        </w:tc>
        <w:tc>
          <w:tcPr>
            <w:tcW w:w="1191" w:type="dxa"/>
            <w:vAlign w:val="center"/>
          </w:tcPr>
          <w:p w14:paraId="47B90177">
            <w:pPr>
              <w:pStyle w:val="12"/>
            </w:pPr>
            <w:r>
              <w:t>2050203</w:t>
            </w:r>
          </w:p>
        </w:tc>
        <w:tc>
          <w:tcPr>
            <w:tcW w:w="4535" w:type="dxa"/>
            <w:vAlign w:val="center"/>
          </w:tcPr>
          <w:p w14:paraId="469C577F">
            <w:pPr>
              <w:pStyle w:val="12"/>
            </w:pPr>
            <w:r>
              <w:t>初中教育</w:t>
            </w:r>
          </w:p>
        </w:tc>
        <w:tc>
          <w:tcPr>
            <w:tcW w:w="2551" w:type="dxa"/>
            <w:vAlign w:val="center"/>
          </w:tcPr>
          <w:p w14:paraId="35CAD13B">
            <w:pPr>
              <w:pStyle w:val="11"/>
            </w:pPr>
            <w:r>
              <w:t>3537.38</w:t>
            </w:r>
          </w:p>
        </w:tc>
        <w:tc>
          <w:tcPr>
            <w:tcW w:w="2551" w:type="dxa"/>
            <w:vAlign w:val="center"/>
          </w:tcPr>
          <w:p w14:paraId="094B09C6">
            <w:pPr>
              <w:pStyle w:val="11"/>
            </w:pPr>
            <w:r>
              <w:t>2628.89</w:t>
            </w:r>
          </w:p>
        </w:tc>
        <w:tc>
          <w:tcPr>
            <w:tcW w:w="2551" w:type="dxa"/>
            <w:vAlign w:val="center"/>
          </w:tcPr>
          <w:p w14:paraId="1B0912AF">
            <w:pPr>
              <w:pStyle w:val="11"/>
            </w:pPr>
            <w:r>
              <w:t>908.49</w:t>
            </w:r>
          </w:p>
        </w:tc>
      </w:tr>
    </w:tbl>
    <w:p w14:paraId="67374EC7">
      <w:pPr>
        <w:sectPr>
          <w:pgSz w:w="16840" w:h="11900" w:orient="landscape"/>
          <w:pgMar w:top="1361" w:right="1020" w:bottom="1134" w:left="1020" w:header="720" w:footer="720" w:gutter="0"/>
          <w:cols w:space="720" w:num="1"/>
        </w:sectPr>
      </w:pPr>
    </w:p>
    <w:p w14:paraId="6337D6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BB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B125DF">
            <w:pPr>
              <w:pStyle w:val="9"/>
            </w:pPr>
            <w:r>
              <w:t>360011河北省隆尧县实验中学</w:t>
            </w:r>
          </w:p>
        </w:tc>
        <w:tc>
          <w:tcPr>
            <w:tcW w:w="2551" w:type="dxa"/>
            <w:tcBorders>
              <w:top w:val="single" w:color="FFFFFF" w:sz="6" w:space="0"/>
              <w:left w:val="single" w:color="FFFFFF" w:sz="6" w:space="0"/>
              <w:right w:val="single" w:color="FFFFFF" w:sz="6" w:space="0"/>
            </w:tcBorders>
            <w:vAlign w:val="center"/>
          </w:tcPr>
          <w:p w14:paraId="4E64D8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BD848C">
            <w:pPr>
              <w:pStyle w:val="7"/>
            </w:pPr>
            <w:r>
              <w:t>单位：万元</w:t>
            </w:r>
          </w:p>
        </w:tc>
      </w:tr>
      <w:tr w14:paraId="12B1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680E1">
            <w:pPr>
              <w:pStyle w:val="10"/>
            </w:pPr>
            <w:r>
              <w:t>序号</w:t>
            </w:r>
          </w:p>
        </w:tc>
        <w:tc>
          <w:tcPr>
            <w:tcW w:w="5726" w:type="dxa"/>
            <w:gridSpan w:val="2"/>
            <w:vAlign w:val="center"/>
          </w:tcPr>
          <w:p w14:paraId="5B334B58">
            <w:pPr>
              <w:pStyle w:val="10"/>
            </w:pPr>
            <w:r>
              <w:t>支出部门经济分类科目</w:t>
            </w:r>
          </w:p>
        </w:tc>
        <w:tc>
          <w:tcPr>
            <w:tcW w:w="7653" w:type="dxa"/>
            <w:gridSpan w:val="3"/>
            <w:vAlign w:val="center"/>
          </w:tcPr>
          <w:p w14:paraId="5A2540AF">
            <w:pPr>
              <w:pStyle w:val="10"/>
            </w:pPr>
            <w:r>
              <w:t>一般公共预算基本支出</w:t>
            </w:r>
          </w:p>
        </w:tc>
      </w:tr>
      <w:tr w14:paraId="500F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B8729"/>
        </w:tc>
        <w:tc>
          <w:tcPr>
            <w:tcW w:w="1191" w:type="dxa"/>
            <w:vAlign w:val="center"/>
          </w:tcPr>
          <w:p w14:paraId="693B7E89">
            <w:pPr>
              <w:pStyle w:val="10"/>
            </w:pPr>
            <w:r>
              <w:t>科目编码</w:t>
            </w:r>
          </w:p>
        </w:tc>
        <w:tc>
          <w:tcPr>
            <w:tcW w:w="4535" w:type="dxa"/>
            <w:vAlign w:val="center"/>
          </w:tcPr>
          <w:p w14:paraId="63271E41">
            <w:pPr>
              <w:pStyle w:val="10"/>
            </w:pPr>
            <w:r>
              <w:t>科目名称</w:t>
            </w:r>
          </w:p>
        </w:tc>
        <w:tc>
          <w:tcPr>
            <w:tcW w:w="2551" w:type="dxa"/>
            <w:vAlign w:val="center"/>
          </w:tcPr>
          <w:p w14:paraId="20F3F735">
            <w:pPr>
              <w:pStyle w:val="10"/>
            </w:pPr>
            <w:r>
              <w:t>合计</w:t>
            </w:r>
          </w:p>
        </w:tc>
        <w:tc>
          <w:tcPr>
            <w:tcW w:w="2551" w:type="dxa"/>
            <w:vAlign w:val="center"/>
          </w:tcPr>
          <w:p w14:paraId="19A346DD">
            <w:pPr>
              <w:pStyle w:val="10"/>
            </w:pPr>
            <w:r>
              <w:t>人员经费</w:t>
            </w:r>
          </w:p>
        </w:tc>
        <w:tc>
          <w:tcPr>
            <w:tcW w:w="2551" w:type="dxa"/>
            <w:vAlign w:val="center"/>
          </w:tcPr>
          <w:p w14:paraId="73821FBA">
            <w:pPr>
              <w:pStyle w:val="10"/>
            </w:pPr>
            <w:r>
              <w:t>公用经费</w:t>
            </w:r>
          </w:p>
        </w:tc>
      </w:tr>
      <w:tr w14:paraId="66CE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C89C6E">
            <w:pPr>
              <w:pStyle w:val="10"/>
            </w:pPr>
            <w:r>
              <w:t>栏次</w:t>
            </w:r>
          </w:p>
        </w:tc>
        <w:tc>
          <w:tcPr>
            <w:tcW w:w="1191" w:type="dxa"/>
            <w:vAlign w:val="center"/>
          </w:tcPr>
          <w:p w14:paraId="3567DC53">
            <w:pPr>
              <w:pStyle w:val="10"/>
            </w:pPr>
            <w:r>
              <w:t>1</w:t>
            </w:r>
          </w:p>
        </w:tc>
        <w:tc>
          <w:tcPr>
            <w:tcW w:w="4535" w:type="dxa"/>
            <w:vAlign w:val="center"/>
          </w:tcPr>
          <w:p w14:paraId="606AD3B8">
            <w:pPr>
              <w:pStyle w:val="10"/>
            </w:pPr>
            <w:r>
              <w:t>2</w:t>
            </w:r>
          </w:p>
        </w:tc>
        <w:tc>
          <w:tcPr>
            <w:tcW w:w="2551" w:type="dxa"/>
            <w:vAlign w:val="center"/>
          </w:tcPr>
          <w:p w14:paraId="6E825F37">
            <w:pPr>
              <w:pStyle w:val="10"/>
            </w:pPr>
            <w:r>
              <w:t>3</w:t>
            </w:r>
          </w:p>
        </w:tc>
        <w:tc>
          <w:tcPr>
            <w:tcW w:w="2551" w:type="dxa"/>
            <w:vAlign w:val="center"/>
          </w:tcPr>
          <w:p w14:paraId="66673EBA">
            <w:pPr>
              <w:pStyle w:val="10"/>
            </w:pPr>
            <w:r>
              <w:t>4</w:t>
            </w:r>
          </w:p>
        </w:tc>
        <w:tc>
          <w:tcPr>
            <w:tcW w:w="2551" w:type="dxa"/>
            <w:vAlign w:val="center"/>
          </w:tcPr>
          <w:p w14:paraId="02320996">
            <w:pPr>
              <w:pStyle w:val="10"/>
            </w:pPr>
            <w:r>
              <w:t>5</w:t>
            </w:r>
          </w:p>
        </w:tc>
      </w:tr>
      <w:tr w14:paraId="1740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9465">
            <w:pPr>
              <w:pStyle w:val="13"/>
            </w:pPr>
            <w:r>
              <w:t>1</w:t>
            </w:r>
          </w:p>
        </w:tc>
        <w:tc>
          <w:tcPr>
            <w:tcW w:w="1191" w:type="dxa"/>
            <w:vAlign w:val="center"/>
          </w:tcPr>
          <w:p w14:paraId="00F38E57">
            <w:pPr>
              <w:pStyle w:val="16"/>
            </w:pPr>
          </w:p>
        </w:tc>
        <w:tc>
          <w:tcPr>
            <w:tcW w:w="4535" w:type="dxa"/>
            <w:vAlign w:val="center"/>
          </w:tcPr>
          <w:p w14:paraId="3393F220">
            <w:pPr>
              <w:pStyle w:val="14"/>
            </w:pPr>
            <w:r>
              <w:t>合计</w:t>
            </w:r>
          </w:p>
        </w:tc>
        <w:tc>
          <w:tcPr>
            <w:tcW w:w="2551" w:type="dxa"/>
            <w:vAlign w:val="center"/>
          </w:tcPr>
          <w:p w14:paraId="4B6DD475">
            <w:pPr>
              <w:pStyle w:val="15"/>
            </w:pPr>
            <w:r>
              <w:t>2628.89</w:t>
            </w:r>
          </w:p>
        </w:tc>
        <w:tc>
          <w:tcPr>
            <w:tcW w:w="2551" w:type="dxa"/>
            <w:vAlign w:val="center"/>
          </w:tcPr>
          <w:p w14:paraId="1912151D">
            <w:pPr>
              <w:pStyle w:val="15"/>
            </w:pPr>
            <w:r>
              <w:t>2628.89</w:t>
            </w:r>
          </w:p>
        </w:tc>
        <w:tc>
          <w:tcPr>
            <w:tcW w:w="2551" w:type="dxa"/>
            <w:vAlign w:val="center"/>
          </w:tcPr>
          <w:p w14:paraId="48AF63B3">
            <w:pPr>
              <w:pStyle w:val="15"/>
            </w:pPr>
          </w:p>
        </w:tc>
      </w:tr>
      <w:tr w14:paraId="559E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8AC7">
            <w:pPr>
              <w:pStyle w:val="13"/>
            </w:pPr>
            <w:r>
              <w:t>2</w:t>
            </w:r>
          </w:p>
        </w:tc>
        <w:tc>
          <w:tcPr>
            <w:tcW w:w="1191" w:type="dxa"/>
            <w:vAlign w:val="center"/>
          </w:tcPr>
          <w:p w14:paraId="3897DF8D">
            <w:pPr>
              <w:pStyle w:val="12"/>
            </w:pPr>
            <w:r>
              <w:t>301</w:t>
            </w:r>
          </w:p>
        </w:tc>
        <w:tc>
          <w:tcPr>
            <w:tcW w:w="4535" w:type="dxa"/>
            <w:vAlign w:val="center"/>
          </w:tcPr>
          <w:p w14:paraId="62A43390">
            <w:pPr>
              <w:pStyle w:val="12"/>
            </w:pPr>
            <w:r>
              <w:t>工资福利支出</w:t>
            </w:r>
          </w:p>
        </w:tc>
        <w:tc>
          <w:tcPr>
            <w:tcW w:w="2551" w:type="dxa"/>
            <w:vAlign w:val="center"/>
          </w:tcPr>
          <w:p w14:paraId="40D49B10">
            <w:pPr>
              <w:pStyle w:val="11"/>
            </w:pPr>
            <w:r>
              <w:t>2568.11</w:t>
            </w:r>
          </w:p>
        </w:tc>
        <w:tc>
          <w:tcPr>
            <w:tcW w:w="2551" w:type="dxa"/>
            <w:vAlign w:val="center"/>
          </w:tcPr>
          <w:p w14:paraId="2F9D5699">
            <w:pPr>
              <w:pStyle w:val="11"/>
            </w:pPr>
            <w:r>
              <w:t>2568.11</w:t>
            </w:r>
          </w:p>
        </w:tc>
        <w:tc>
          <w:tcPr>
            <w:tcW w:w="2551" w:type="dxa"/>
            <w:vAlign w:val="center"/>
          </w:tcPr>
          <w:p w14:paraId="39280D02">
            <w:pPr>
              <w:pStyle w:val="11"/>
            </w:pPr>
          </w:p>
        </w:tc>
      </w:tr>
      <w:tr w14:paraId="2B56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38EAC">
            <w:pPr>
              <w:pStyle w:val="13"/>
            </w:pPr>
            <w:r>
              <w:t>3</w:t>
            </w:r>
          </w:p>
        </w:tc>
        <w:tc>
          <w:tcPr>
            <w:tcW w:w="1191" w:type="dxa"/>
            <w:vAlign w:val="center"/>
          </w:tcPr>
          <w:p w14:paraId="0BF48031">
            <w:pPr>
              <w:pStyle w:val="12"/>
            </w:pPr>
            <w:r>
              <w:t>30101</w:t>
            </w:r>
          </w:p>
        </w:tc>
        <w:tc>
          <w:tcPr>
            <w:tcW w:w="4535" w:type="dxa"/>
            <w:vAlign w:val="center"/>
          </w:tcPr>
          <w:p w14:paraId="55BADFD6">
            <w:pPr>
              <w:pStyle w:val="12"/>
            </w:pPr>
            <w:r>
              <w:t>基本工资</w:t>
            </w:r>
          </w:p>
        </w:tc>
        <w:tc>
          <w:tcPr>
            <w:tcW w:w="2551" w:type="dxa"/>
            <w:vAlign w:val="center"/>
          </w:tcPr>
          <w:p w14:paraId="6354AD34">
            <w:pPr>
              <w:pStyle w:val="11"/>
            </w:pPr>
            <w:r>
              <w:t>1165.02</w:t>
            </w:r>
          </w:p>
        </w:tc>
        <w:tc>
          <w:tcPr>
            <w:tcW w:w="2551" w:type="dxa"/>
            <w:vAlign w:val="center"/>
          </w:tcPr>
          <w:p w14:paraId="4971A551">
            <w:pPr>
              <w:pStyle w:val="11"/>
            </w:pPr>
            <w:r>
              <w:t>1165.02</w:t>
            </w:r>
          </w:p>
        </w:tc>
        <w:tc>
          <w:tcPr>
            <w:tcW w:w="2551" w:type="dxa"/>
            <w:vAlign w:val="center"/>
          </w:tcPr>
          <w:p w14:paraId="587519EB">
            <w:pPr>
              <w:pStyle w:val="11"/>
            </w:pPr>
          </w:p>
        </w:tc>
      </w:tr>
      <w:tr w14:paraId="7E91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6B576">
            <w:pPr>
              <w:pStyle w:val="13"/>
            </w:pPr>
            <w:r>
              <w:t>4</w:t>
            </w:r>
          </w:p>
        </w:tc>
        <w:tc>
          <w:tcPr>
            <w:tcW w:w="1191" w:type="dxa"/>
            <w:vAlign w:val="center"/>
          </w:tcPr>
          <w:p w14:paraId="0537CF6B">
            <w:pPr>
              <w:pStyle w:val="12"/>
            </w:pPr>
            <w:r>
              <w:t>30102</w:t>
            </w:r>
          </w:p>
        </w:tc>
        <w:tc>
          <w:tcPr>
            <w:tcW w:w="4535" w:type="dxa"/>
            <w:vAlign w:val="center"/>
          </w:tcPr>
          <w:p w14:paraId="6C3BC893">
            <w:pPr>
              <w:pStyle w:val="12"/>
            </w:pPr>
            <w:r>
              <w:t>津贴补贴</w:t>
            </w:r>
          </w:p>
        </w:tc>
        <w:tc>
          <w:tcPr>
            <w:tcW w:w="2551" w:type="dxa"/>
            <w:vAlign w:val="center"/>
          </w:tcPr>
          <w:p w14:paraId="7377DC86">
            <w:pPr>
              <w:pStyle w:val="11"/>
            </w:pPr>
            <w:r>
              <w:t>44.15</w:t>
            </w:r>
          </w:p>
        </w:tc>
        <w:tc>
          <w:tcPr>
            <w:tcW w:w="2551" w:type="dxa"/>
            <w:vAlign w:val="center"/>
          </w:tcPr>
          <w:p w14:paraId="1149BEAE">
            <w:pPr>
              <w:pStyle w:val="11"/>
            </w:pPr>
            <w:r>
              <w:t>44.15</w:t>
            </w:r>
          </w:p>
        </w:tc>
        <w:tc>
          <w:tcPr>
            <w:tcW w:w="2551" w:type="dxa"/>
            <w:vAlign w:val="center"/>
          </w:tcPr>
          <w:p w14:paraId="2379D093">
            <w:pPr>
              <w:pStyle w:val="11"/>
            </w:pPr>
          </w:p>
        </w:tc>
      </w:tr>
      <w:tr w14:paraId="11F5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A44D0">
            <w:pPr>
              <w:pStyle w:val="13"/>
            </w:pPr>
            <w:r>
              <w:t>5</w:t>
            </w:r>
          </w:p>
        </w:tc>
        <w:tc>
          <w:tcPr>
            <w:tcW w:w="1191" w:type="dxa"/>
            <w:vAlign w:val="center"/>
          </w:tcPr>
          <w:p w14:paraId="7189B36B">
            <w:pPr>
              <w:pStyle w:val="12"/>
            </w:pPr>
            <w:r>
              <w:t>30107</w:t>
            </w:r>
          </w:p>
        </w:tc>
        <w:tc>
          <w:tcPr>
            <w:tcW w:w="4535" w:type="dxa"/>
            <w:vAlign w:val="center"/>
          </w:tcPr>
          <w:p w14:paraId="201BE2D7">
            <w:pPr>
              <w:pStyle w:val="12"/>
            </w:pPr>
            <w:r>
              <w:t>绩效工资</w:t>
            </w:r>
          </w:p>
        </w:tc>
        <w:tc>
          <w:tcPr>
            <w:tcW w:w="2551" w:type="dxa"/>
            <w:vAlign w:val="center"/>
          </w:tcPr>
          <w:p w14:paraId="418C54D9">
            <w:pPr>
              <w:pStyle w:val="11"/>
            </w:pPr>
            <w:r>
              <w:t>755.66</w:t>
            </w:r>
          </w:p>
        </w:tc>
        <w:tc>
          <w:tcPr>
            <w:tcW w:w="2551" w:type="dxa"/>
            <w:vAlign w:val="center"/>
          </w:tcPr>
          <w:p w14:paraId="77409337">
            <w:pPr>
              <w:pStyle w:val="11"/>
            </w:pPr>
            <w:r>
              <w:t>755.66</w:t>
            </w:r>
          </w:p>
        </w:tc>
        <w:tc>
          <w:tcPr>
            <w:tcW w:w="2551" w:type="dxa"/>
            <w:vAlign w:val="center"/>
          </w:tcPr>
          <w:p w14:paraId="53240EB6">
            <w:pPr>
              <w:pStyle w:val="11"/>
            </w:pPr>
          </w:p>
        </w:tc>
      </w:tr>
      <w:tr w14:paraId="63C1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80C3F">
            <w:pPr>
              <w:pStyle w:val="13"/>
            </w:pPr>
            <w:r>
              <w:t>6</w:t>
            </w:r>
          </w:p>
        </w:tc>
        <w:tc>
          <w:tcPr>
            <w:tcW w:w="1191" w:type="dxa"/>
            <w:vAlign w:val="center"/>
          </w:tcPr>
          <w:p w14:paraId="01123966">
            <w:pPr>
              <w:pStyle w:val="12"/>
            </w:pPr>
            <w:r>
              <w:t>30108</w:t>
            </w:r>
          </w:p>
        </w:tc>
        <w:tc>
          <w:tcPr>
            <w:tcW w:w="4535" w:type="dxa"/>
            <w:vAlign w:val="center"/>
          </w:tcPr>
          <w:p w14:paraId="11AB5851">
            <w:pPr>
              <w:pStyle w:val="12"/>
            </w:pPr>
            <w:r>
              <w:t>机关事业单位基本养老保险缴费</w:t>
            </w:r>
          </w:p>
        </w:tc>
        <w:tc>
          <w:tcPr>
            <w:tcW w:w="2551" w:type="dxa"/>
            <w:vAlign w:val="center"/>
          </w:tcPr>
          <w:p w14:paraId="598B6B33">
            <w:pPr>
              <w:pStyle w:val="11"/>
            </w:pPr>
            <w:r>
              <w:t>260.03</w:t>
            </w:r>
          </w:p>
        </w:tc>
        <w:tc>
          <w:tcPr>
            <w:tcW w:w="2551" w:type="dxa"/>
            <w:vAlign w:val="center"/>
          </w:tcPr>
          <w:p w14:paraId="61DE90F3">
            <w:pPr>
              <w:pStyle w:val="11"/>
            </w:pPr>
            <w:r>
              <w:t>260.03</w:t>
            </w:r>
          </w:p>
        </w:tc>
        <w:tc>
          <w:tcPr>
            <w:tcW w:w="2551" w:type="dxa"/>
            <w:vAlign w:val="center"/>
          </w:tcPr>
          <w:p w14:paraId="546E3315">
            <w:pPr>
              <w:pStyle w:val="11"/>
            </w:pPr>
          </w:p>
        </w:tc>
      </w:tr>
      <w:tr w14:paraId="118E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4D58">
            <w:pPr>
              <w:pStyle w:val="13"/>
            </w:pPr>
            <w:r>
              <w:t>7</w:t>
            </w:r>
          </w:p>
        </w:tc>
        <w:tc>
          <w:tcPr>
            <w:tcW w:w="1191" w:type="dxa"/>
            <w:vAlign w:val="center"/>
          </w:tcPr>
          <w:p w14:paraId="40A01520">
            <w:pPr>
              <w:pStyle w:val="12"/>
            </w:pPr>
            <w:r>
              <w:t>30110</w:t>
            </w:r>
          </w:p>
        </w:tc>
        <w:tc>
          <w:tcPr>
            <w:tcW w:w="4535" w:type="dxa"/>
            <w:vAlign w:val="center"/>
          </w:tcPr>
          <w:p w14:paraId="7662739F">
            <w:pPr>
              <w:pStyle w:val="12"/>
            </w:pPr>
            <w:r>
              <w:t>职工基本医疗保险缴费</w:t>
            </w:r>
          </w:p>
        </w:tc>
        <w:tc>
          <w:tcPr>
            <w:tcW w:w="2551" w:type="dxa"/>
            <w:vAlign w:val="center"/>
          </w:tcPr>
          <w:p w14:paraId="199031B2">
            <w:pPr>
              <w:pStyle w:val="11"/>
            </w:pPr>
            <w:r>
              <w:t>134.54</w:t>
            </w:r>
          </w:p>
        </w:tc>
        <w:tc>
          <w:tcPr>
            <w:tcW w:w="2551" w:type="dxa"/>
            <w:vAlign w:val="center"/>
          </w:tcPr>
          <w:p w14:paraId="31655B36">
            <w:pPr>
              <w:pStyle w:val="11"/>
            </w:pPr>
            <w:r>
              <w:t>134.54</w:t>
            </w:r>
          </w:p>
        </w:tc>
        <w:tc>
          <w:tcPr>
            <w:tcW w:w="2551" w:type="dxa"/>
            <w:vAlign w:val="center"/>
          </w:tcPr>
          <w:p w14:paraId="01370C29">
            <w:pPr>
              <w:pStyle w:val="11"/>
            </w:pPr>
          </w:p>
        </w:tc>
      </w:tr>
      <w:tr w14:paraId="13044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C2F32">
            <w:pPr>
              <w:pStyle w:val="13"/>
            </w:pPr>
            <w:r>
              <w:t>8</w:t>
            </w:r>
          </w:p>
        </w:tc>
        <w:tc>
          <w:tcPr>
            <w:tcW w:w="1191" w:type="dxa"/>
            <w:vAlign w:val="center"/>
          </w:tcPr>
          <w:p w14:paraId="6A671C6C">
            <w:pPr>
              <w:pStyle w:val="12"/>
            </w:pPr>
            <w:r>
              <w:t>30112</w:t>
            </w:r>
          </w:p>
        </w:tc>
        <w:tc>
          <w:tcPr>
            <w:tcW w:w="4535" w:type="dxa"/>
            <w:vAlign w:val="center"/>
          </w:tcPr>
          <w:p w14:paraId="60189E0F">
            <w:pPr>
              <w:pStyle w:val="12"/>
            </w:pPr>
            <w:r>
              <w:t>其他社会保障缴费</w:t>
            </w:r>
          </w:p>
        </w:tc>
        <w:tc>
          <w:tcPr>
            <w:tcW w:w="2551" w:type="dxa"/>
            <w:vAlign w:val="center"/>
          </w:tcPr>
          <w:p w14:paraId="36C686C6">
            <w:pPr>
              <w:pStyle w:val="11"/>
            </w:pPr>
            <w:r>
              <w:t>9.08</w:t>
            </w:r>
          </w:p>
        </w:tc>
        <w:tc>
          <w:tcPr>
            <w:tcW w:w="2551" w:type="dxa"/>
            <w:vAlign w:val="center"/>
          </w:tcPr>
          <w:p w14:paraId="189F9FC6">
            <w:pPr>
              <w:pStyle w:val="11"/>
            </w:pPr>
            <w:r>
              <w:t>9.08</w:t>
            </w:r>
          </w:p>
        </w:tc>
        <w:tc>
          <w:tcPr>
            <w:tcW w:w="2551" w:type="dxa"/>
            <w:vAlign w:val="center"/>
          </w:tcPr>
          <w:p w14:paraId="31E911EB">
            <w:pPr>
              <w:pStyle w:val="11"/>
            </w:pPr>
          </w:p>
        </w:tc>
      </w:tr>
      <w:tr w14:paraId="5DCE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D279">
            <w:pPr>
              <w:pStyle w:val="13"/>
            </w:pPr>
            <w:r>
              <w:t>9</w:t>
            </w:r>
          </w:p>
        </w:tc>
        <w:tc>
          <w:tcPr>
            <w:tcW w:w="1191" w:type="dxa"/>
            <w:vAlign w:val="center"/>
          </w:tcPr>
          <w:p w14:paraId="0A9BFD4C">
            <w:pPr>
              <w:pStyle w:val="12"/>
            </w:pPr>
            <w:r>
              <w:t>30113</w:t>
            </w:r>
          </w:p>
        </w:tc>
        <w:tc>
          <w:tcPr>
            <w:tcW w:w="4535" w:type="dxa"/>
            <w:vAlign w:val="center"/>
          </w:tcPr>
          <w:p w14:paraId="664E8A30">
            <w:pPr>
              <w:pStyle w:val="12"/>
            </w:pPr>
            <w:r>
              <w:t>住房公积金</w:t>
            </w:r>
          </w:p>
        </w:tc>
        <w:tc>
          <w:tcPr>
            <w:tcW w:w="2551" w:type="dxa"/>
            <w:vAlign w:val="center"/>
          </w:tcPr>
          <w:p w14:paraId="4E9A0CF1">
            <w:pPr>
              <w:pStyle w:val="11"/>
            </w:pPr>
            <w:r>
              <w:t>199.64</w:t>
            </w:r>
          </w:p>
        </w:tc>
        <w:tc>
          <w:tcPr>
            <w:tcW w:w="2551" w:type="dxa"/>
            <w:vAlign w:val="center"/>
          </w:tcPr>
          <w:p w14:paraId="2E1E7F11">
            <w:pPr>
              <w:pStyle w:val="11"/>
            </w:pPr>
            <w:r>
              <w:t>199.64</w:t>
            </w:r>
          </w:p>
        </w:tc>
        <w:tc>
          <w:tcPr>
            <w:tcW w:w="2551" w:type="dxa"/>
            <w:vAlign w:val="center"/>
          </w:tcPr>
          <w:p w14:paraId="7FE46E04">
            <w:pPr>
              <w:pStyle w:val="11"/>
            </w:pPr>
          </w:p>
        </w:tc>
      </w:tr>
      <w:tr w14:paraId="07F2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E478F">
            <w:pPr>
              <w:pStyle w:val="13"/>
            </w:pPr>
            <w:r>
              <w:t>10</w:t>
            </w:r>
          </w:p>
        </w:tc>
        <w:tc>
          <w:tcPr>
            <w:tcW w:w="1191" w:type="dxa"/>
            <w:vAlign w:val="center"/>
          </w:tcPr>
          <w:p w14:paraId="677FD92D">
            <w:pPr>
              <w:pStyle w:val="12"/>
            </w:pPr>
            <w:r>
              <w:t>303</w:t>
            </w:r>
          </w:p>
        </w:tc>
        <w:tc>
          <w:tcPr>
            <w:tcW w:w="4535" w:type="dxa"/>
            <w:vAlign w:val="center"/>
          </w:tcPr>
          <w:p w14:paraId="2BE6FA40">
            <w:pPr>
              <w:pStyle w:val="12"/>
            </w:pPr>
            <w:r>
              <w:t>对个人和家庭的补助</w:t>
            </w:r>
          </w:p>
        </w:tc>
        <w:tc>
          <w:tcPr>
            <w:tcW w:w="2551" w:type="dxa"/>
            <w:vAlign w:val="center"/>
          </w:tcPr>
          <w:p w14:paraId="1747E3A5">
            <w:pPr>
              <w:pStyle w:val="11"/>
            </w:pPr>
            <w:r>
              <w:t>60.78</w:t>
            </w:r>
          </w:p>
        </w:tc>
        <w:tc>
          <w:tcPr>
            <w:tcW w:w="2551" w:type="dxa"/>
            <w:vAlign w:val="center"/>
          </w:tcPr>
          <w:p w14:paraId="40A10C3F">
            <w:pPr>
              <w:pStyle w:val="11"/>
            </w:pPr>
            <w:r>
              <w:t>60.78</w:t>
            </w:r>
          </w:p>
        </w:tc>
        <w:tc>
          <w:tcPr>
            <w:tcW w:w="2551" w:type="dxa"/>
            <w:vAlign w:val="center"/>
          </w:tcPr>
          <w:p w14:paraId="110A7265">
            <w:pPr>
              <w:pStyle w:val="11"/>
            </w:pPr>
          </w:p>
        </w:tc>
      </w:tr>
      <w:tr w14:paraId="6F97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5FD1A">
            <w:pPr>
              <w:pStyle w:val="13"/>
            </w:pPr>
            <w:r>
              <w:t>11</w:t>
            </w:r>
          </w:p>
        </w:tc>
        <w:tc>
          <w:tcPr>
            <w:tcW w:w="1191" w:type="dxa"/>
            <w:vAlign w:val="center"/>
          </w:tcPr>
          <w:p w14:paraId="25311546">
            <w:pPr>
              <w:pStyle w:val="12"/>
            </w:pPr>
            <w:r>
              <w:t>30302</w:t>
            </w:r>
          </w:p>
        </w:tc>
        <w:tc>
          <w:tcPr>
            <w:tcW w:w="4535" w:type="dxa"/>
            <w:vAlign w:val="center"/>
          </w:tcPr>
          <w:p w14:paraId="1437BBE8">
            <w:pPr>
              <w:pStyle w:val="12"/>
            </w:pPr>
            <w:r>
              <w:t>退休费</w:t>
            </w:r>
          </w:p>
        </w:tc>
        <w:tc>
          <w:tcPr>
            <w:tcW w:w="2551" w:type="dxa"/>
            <w:vAlign w:val="center"/>
          </w:tcPr>
          <w:p w14:paraId="2CB48E10">
            <w:pPr>
              <w:pStyle w:val="11"/>
            </w:pPr>
            <w:r>
              <w:t>58.54</w:t>
            </w:r>
          </w:p>
        </w:tc>
        <w:tc>
          <w:tcPr>
            <w:tcW w:w="2551" w:type="dxa"/>
            <w:vAlign w:val="center"/>
          </w:tcPr>
          <w:p w14:paraId="1413840A">
            <w:pPr>
              <w:pStyle w:val="11"/>
            </w:pPr>
            <w:r>
              <w:t>58.54</w:t>
            </w:r>
          </w:p>
        </w:tc>
        <w:tc>
          <w:tcPr>
            <w:tcW w:w="2551" w:type="dxa"/>
            <w:vAlign w:val="center"/>
          </w:tcPr>
          <w:p w14:paraId="5DCA85B9">
            <w:pPr>
              <w:pStyle w:val="11"/>
            </w:pPr>
          </w:p>
        </w:tc>
      </w:tr>
      <w:tr w14:paraId="7B0D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36C8">
            <w:pPr>
              <w:pStyle w:val="13"/>
            </w:pPr>
            <w:r>
              <w:t>12</w:t>
            </w:r>
          </w:p>
        </w:tc>
        <w:tc>
          <w:tcPr>
            <w:tcW w:w="1191" w:type="dxa"/>
            <w:vAlign w:val="center"/>
          </w:tcPr>
          <w:p w14:paraId="09025D88">
            <w:pPr>
              <w:pStyle w:val="12"/>
            </w:pPr>
            <w:r>
              <w:t>30305</w:t>
            </w:r>
          </w:p>
        </w:tc>
        <w:tc>
          <w:tcPr>
            <w:tcW w:w="4535" w:type="dxa"/>
            <w:vAlign w:val="center"/>
          </w:tcPr>
          <w:p w14:paraId="1CA820F7">
            <w:pPr>
              <w:pStyle w:val="12"/>
            </w:pPr>
            <w:r>
              <w:t>生活补助</w:t>
            </w:r>
          </w:p>
        </w:tc>
        <w:tc>
          <w:tcPr>
            <w:tcW w:w="2551" w:type="dxa"/>
            <w:vAlign w:val="center"/>
          </w:tcPr>
          <w:p w14:paraId="20ADD1F8">
            <w:pPr>
              <w:pStyle w:val="11"/>
            </w:pPr>
            <w:r>
              <w:t>2.23</w:t>
            </w:r>
          </w:p>
        </w:tc>
        <w:tc>
          <w:tcPr>
            <w:tcW w:w="2551" w:type="dxa"/>
            <w:vAlign w:val="center"/>
          </w:tcPr>
          <w:p w14:paraId="1D679432">
            <w:pPr>
              <w:pStyle w:val="11"/>
            </w:pPr>
            <w:r>
              <w:t>2.23</w:t>
            </w:r>
          </w:p>
        </w:tc>
        <w:tc>
          <w:tcPr>
            <w:tcW w:w="2551" w:type="dxa"/>
            <w:vAlign w:val="center"/>
          </w:tcPr>
          <w:p w14:paraId="74B35554">
            <w:pPr>
              <w:pStyle w:val="11"/>
            </w:pPr>
          </w:p>
        </w:tc>
      </w:tr>
    </w:tbl>
    <w:p w14:paraId="6C5143B1">
      <w:pPr>
        <w:sectPr>
          <w:pgSz w:w="16840" w:h="11900" w:orient="landscape"/>
          <w:pgMar w:top="1361" w:right="1020" w:bottom="1134" w:left="1020" w:header="720" w:footer="720" w:gutter="0"/>
          <w:cols w:space="720" w:num="1"/>
        </w:sectPr>
      </w:pPr>
    </w:p>
    <w:p w14:paraId="1A948A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B7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8AD44">
            <w:pPr>
              <w:pStyle w:val="9"/>
            </w:pPr>
            <w:r>
              <w:t>360011河北省隆尧县实验中学</w:t>
            </w:r>
          </w:p>
        </w:tc>
        <w:tc>
          <w:tcPr>
            <w:tcW w:w="2551" w:type="dxa"/>
            <w:tcBorders>
              <w:top w:val="single" w:color="FFFFFF" w:sz="6" w:space="0"/>
              <w:left w:val="single" w:color="FFFFFF" w:sz="6" w:space="0"/>
              <w:right w:val="single" w:color="FFFFFF" w:sz="6" w:space="0"/>
            </w:tcBorders>
            <w:vAlign w:val="center"/>
          </w:tcPr>
          <w:p w14:paraId="2791C13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B8E3E2">
            <w:pPr>
              <w:pStyle w:val="7"/>
            </w:pPr>
            <w:r>
              <w:t>单位：万元</w:t>
            </w:r>
          </w:p>
        </w:tc>
      </w:tr>
      <w:tr w14:paraId="0CD7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1CF04">
            <w:pPr>
              <w:pStyle w:val="10"/>
            </w:pPr>
            <w:r>
              <w:t>序号</w:t>
            </w:r>
          </w:p>
        </w:tc>
        <w:tc>
          <w:tcPr>
            <w:tcW w:w="5726" w:type="dxa"/>
            <w:gridSpan w:val="2"/>
            <w:vAlign w:val="center"/>
          </w:tcPr>
          <w:p w14:paraId="300C3BEF">
            <w:pPr>
              <w:pStyle w:val="10"/>
            </w:pPr>
            <w:r>
              <w:t>功能分类科目</w:t>
            </w:r>
          </w:p>
        </w:tc>
        <w:tc>
          <w:tcPr>
            <w:tcW w:w="2551" w:type="dxa"/>
            <w:vMerge w:val="restart"/>
            <w:vAlign w:val="center"/>
          </w:tcPr>
          <w:p w14:paraId="3C265F06">
            <w:pPr>
              <w:pStyle w:val="10"/>
            </w:pPr>
            <w:r>
              <w:t>合计</w:t>
            </w:r>
          </w:p>
        </w:tc>
        <w:tc>
          <w:tcPr>
            <w:tcW w:w="2551" w:type="dxa"/>
            <w:vMerge w:val="restart"/>
            <w:vAlign w:val="center"/>
          </w:tcPr>
          <w:p w14:paraId="27B97C8A">
            <w:pPr>
              <w:pStyle w:val="10"/>
            </w:pPr>
            <w:r>
              <w:t>基本支出</w:t>
            </w:r>
          </w:p>
        </w:tc>
        <w:tc>
          <w:tcPr>
            <w:tcW w:w="2551" w:type="dxa"/>
            <w:vMerge w:val="restart"/>
            <w:vAlign w:val="center"/>
          </w:tcPr>
          <w:p w14:paraId="0685E35E">
            <w:pPr>
              <w:pStyle w:val="10"/>
            </w:pPr>
            <w:r>
              <w:t>项目支出</w:t>
            </w:r>
          </w:p>
        </w:tc>
      </w:tr>
      <w:tr w14:paraId="252B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E21F5"/>
        </w:tc>
        <w:tc>
          <w:tcPr>
            <w:tcW w:w="1191" w:type="dxa"/>
            <w:vAlign w:val="center"/>
          </w:tcPr>
          <w:p w14:paraId="1C007C65">
            <w:pPr>
              <w:pStyle w:val="10"/>
            </w:pPr>
            <w:r>
              <w:t>科目编码</w:t>
            </w:r>
          </w:p>
        </w:tc>
        <w:tc>
          <w:tcPr>
            <w:tcW w:w="4535" w:type="dxa"/>
            <w:vAlign w:val="center"/>
          </w:tcPr>
          <w:p w14:paraId="1E4656C7">
            <w:pPr>
              <w:pStyle w:val="10"/>
            </w:pPr>
            <w:r>
              <w:t>科目名称</w:t>
            </w:r>
          </w:p>
        </w:tc>
        <w:tc>
          <w:tcPr>
            <w:tcW w:w="2551" w:type="dxa"/>
            <w:vMerge w:val="continue"/>
          </w:tcPr>
          <w:p w14:paraId="42B37C81"/>
        </w:tc>
        <w:tc>
          <w:tcPr>
            <w:tcW w:w="2551" w:type="dxa"/>
            <w:vMerge w:val="continue"/>
          </w:tcPr>
          <w:p w14:paraId="033D44C4"/>
        </w:tc>
        <w:tc>
          <w:tcPr>
            <w:tcW w:w="2551" w:type="dxa"/>
            <w:vMerge w:val="continue"/>
          </w:tcPr>
          <w:p w14:paraId="78481D9D"/>
        </w:tc>
      </w:tr>
      <w:tr w14:paraId="0664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37DDD">
            <w:pPr>
              <w:pStyle w:val="10"/>
            </w:pPr>
            <w:r>
              <w:t>栏次</w:t>
            </w:r>
          </w:p>
        </w:tc>
        <w:tc>
          <w:tcPr>
            <w:tcW w:w="1191" w:type="dxa"/>
            <w:vAlign w:val="center"/>
          </w:tcPr>
          <w:p w14:paraId="4CA8A950">
            <w:pPr>
              <w:pStyle w:val="10"/>
            </w:pPr>
            <w:r>
              <w:t>1</w:t>
            </w:r>
          </w:p>
        </w:tc>
        <w:tc>
          <w:tcPr>
            <w:tcW w:w="4535" w:type="dxa"/>
            <w:vAlign w:val="center"/>
          </w:tcPr>
          <w:p w14:paraId="46D9E3CC">
            <w:pPr>
              <w:pStyle w:val="10"/>
            </w:pPr>
            <w:r>
              <w:t>2</w:t>
            </w:r>
          </w:p>
        </w:tc>
        <w:tc>
          <w:tcPr>
            <w:tcW w:w="2551" w:type="dxa"/>
            <w:vAlign w:val="center"/>
          </w:tcPr>
          <w:p w14:paraId="10D79764">
            <w:pPr>
              <w:pStyle w:val="10"/>
            </w:pPr>
            <w:r>
              <w:t>3</w:t>
            </w:r>
          </w:p>
        </w:tc>
        <w:tc>
          <w:tcPr>
            <w:tcW w:w="2551" w:type="dxa"/>
            <w:vAlign w:val="center"/>
          </w:tcPr>
          <w:p w14:paraId="3E5FD314">
            <w:pPr>
              <w:pStyle w:val="10"/>
            </w:pPr>
            <w:r>
              <w:t>4</w:t>
            </w:r>
          </w:p>
        </w:tc>
        <w:tc>
          <w:tcPr>
            <w:tcW w:w="2551" w:type="dxa"/>
            <w:vAlign w:val="center"/>
          </w:tcPr>
          <w:p w14:paraId="7B9CDE95">
            <w:pPr>
              <w:pStyle w:val="10"/>
            </w:pPr>
            <w:r>
              <w:t>5</w:t>
            </w:r>
          </w:p>
        </w:tc>
      </w:tr>
      <w:tr w14:paraId="7195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01AF">
            <w:pPr>
              <w:pStyle w:val="13"/>
            </w:pPr>
          </w:p>
        </w:tc>
        <w:tc>
          <w:tcPr>
            <w:tcW w:w="1191" w:type="dxa"/>
            <w:vAlign w:val="center"/>
          </w:tcPr>
          <w:p w14:paraId="6BA76207">
            <w:pPr>
              <w:pStyle w:val="12"/>
            </w:pPr>
          </w:p>
        </w:tc>
        <w:tc>
          <w:tcPr>
            <w:tcW w:w="4535" w:type="dxa"/>
            <w:vAlign w:val="center"/>
          </w:tcPr>
          <w:p w14:paraId="274290C7">
            <w:pPr>
              <w:pStyle w:val="12"/>
            </w:pPr>
          </w:p>
        </w:tc>
        <w:tc>
          <w:tcPr>
            <w:tcW w:w="2551" w:type="dxa"/>
            <w:vAlign w:val="center"/>
          </w:tcPr>
          <w:p w14:paraId="6FE3A7AC">
            <w:pPr>
              <w:pStyle w:val="11"/>
            </w:pPr>
          </w:p>
        </w:tc>
        <w:tc>
          <w:tcPr>
            <w:tcW w:w="2551" w:type="dxa"/>
            <w:vAlign w:val="center"/>
          </w:tcPr>
          <w:p w14:paraId="3C7BBB91">
            <w:pPr>
              <w:pStyle w:val="11"/>
            </w:pPr>
          </w:p>
        </w:tc>
        <w:tc>
          <w:tcPr>
            <w:tcW w:w="2551" w:type="dxa"/>
            <w:vAlign w:val="center"/>
          </w:tcPr>
          <w:p w14:paraId="760310E3">
            <w:pPr>
              <w:pStyle w:val="11"/>
            </w:pPr>
          </w:p>
        </w:tc>
      </w:tr>
    </w:tbl>
    <w:p w14:paraId="30A8DF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C7B6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D3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EFC3C4">
            <w:pPr>
              <w:pStyle w:val="9"/>
            </w:pPr>
            <w:r>
              <w:t>360011河北省隆尧县实验中学</w:t>
            </w:r>
          </w:p>
        </w:tc>
        <w:tc>
          <w:tcPr>
            <w:tcW w:w="2551" w:type="dxa"/>
            <w:tcBorders>
              <w:top w:val="single" w:color="FFFFFF" w:sz="6" w:space="0"/>
              <w:left w:val="single" w:color="FFFFFF" w:sz="6" w:space="0"/>
              <w:right w:val="single" w:color="FFFFFF" w:sz="6" w:space="0"/>
            </w:tcBorders>
            <w:vAlign w:val="center"/>
          </w:tcPr>
          <w:p w14:paraId="66B1D7E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0BDFD0">
            <w:pPr>
              <w:pStyle w:val="7"/>
            </w:pPr>
            <w:r>
              <w:t>单位：万元</w:t>
            </w:r>
          </w:p>
        </w:tc>
      </w:tr>
      <w:tr w14:paraId="5C78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4C10D6">
            <w:pPr>
              <w:pStyle w:val="10"/>
            </w:pPr>
            <w:r>
              <w:t>序号</w:t>
            </w:r>
          </w:p>
        </w:tc>
        <w:tc>
          <w:tcPr>
            <w:tcW w:w="5726" w:type="dxa"/>
            <w:gridSpan w:val="2"/>
            <w:vAlign w:val="center"/>
          </w:tcPr>
          <w:p w14:paraId="314059A4">
            <w:pPr>
              <w:pStyle w:val="10"/>
            </w:pPr>
            <w:r>
              <w:t>功能分类科目</w:t>
            </w:r>
          </w:p>
        </w:tc>
        <w:tc>
          <w:tcPr>
            <w:tcW w:w="2551" w:type="dxa"/>
            <w:vMerge w:val="restart"/>
            <w:vAlign w:val="center"/>
          </w:tcPr>
          <w:p w14:paraId="6334D77D">
            <w:pPr>
              <w:pStyle w:val="10"/>
            </w:pPr>
            <w:r>
              <w:t>合计</w:t>
            </w:r>
          </w:p>
        </w:tc>
        <w:tc>
          <w:tcPr>
            <w:tcW w:w="2551" w:type="dxa"/>
            <w:vMerge w:val="restart"/>
            <w:vAlign w:val="center"/>
          </w:tcPr>
          <w:p w14:paraId="50BF96CA">
            <w:pPr>
              <w:pStyle w:val="10"/>
            </w:pPr>
            <w:r>
              <w:t>基本支出</w:t>
            </w:r>
          </w:p>
        </w:tc>
        <w:tc>
          <w:tcPr>
            <w:tcW w:w="2551" w:type="dxa"/>
            <w:vMerge w:val="restart"/>
            <w:vAlign w:val="center"/>
          </w:tcPr>
          <w:p w14:paraId="27717B1E">
            <w:pPr>
              <w:pStyle w:val="10"/>
            </w:pPr>
            <w:r>
              <w:t>项目支出</w:t>
            </w:r>
          </w:p>
        </w:tc>
      </w:tr>
      <w:tr w14:paraId="743B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B8270"/>
        </w:tc>
        <w:tc>
          <w:tcPr>
            <w:tcW w:w="1191" w:type="dxa"/>
            <w:vAlign w:val="center"/>
          </w:tcPr>
          <w:p w14:paraId="573C7926">
            <w:pPr>
              <w:pStyle w:val="10"/>
            </w:pPr>
            <w:r>
              <w:t>科目编码</w:t>
            </w:r>
          </w:p>
        </w:tc>
        <w:tc>
          <w:tcPr>
            <w:tcW w:w="4535" w:type="dxa"/>
            <w:vAlign w:val="center"/>
          </w:tcPr>
          <w:p w14:paraId="78DB42EB">
            <w:pPr>
              <w:pStyle w:val="10"/>
            </w:pPr>
            <w:r>
              <w:t>科目名称</w:t>
            </w:r>
          </w:p>
        </w:tc>
        <w:tc>
          <w:tcPr>
            <w:tcW w:w="2551" w:type="dxa"/>
            <w:vMerge w:val="continue"/>
          </w:tcPr>
          <w:p w14:paraId="1B3A8537"/>
        </w:tc>
        <w:tc>
          <w:tcPr>
            <w:tcW w:w="2551" w:type="dxa"/>
            <w:vMerge w:val="continue"/>
          </w:tcPr>
          <w:p w14:paraId="5AC01FF9"/>
        </w:tc>
        <w:tc>
          <w:tcPr>
            <w:tcW w:w="2551" w:type="dxa"/>
            <w:vMerge w:val="continue"/>
          </w:tcPr>
          <w:p w14:paraId="7B811CF8"/>
        </w:tc>
      </w:tr>
      <w:tr w14:paraId="755C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1A548">
            <w:pPr>
              <w:pStyle w:val="10"/>
            </w:pPr>
            <w:r>
              <w:t>栏次</w:t>
            </w:r>
          </w:p>
        </w:tc>
        <w:tc>
          <w:tcPr>
            <w:tcW w:w="1191" w:type="dxa"/>
            <w:vAlign w:val="center"/>
          </w:tcPr>
          <w:p w14:paraId="4E6C74BC">
            <w:pPr>
              <w:pStyle w:val="10"/>
            </w:pPr>
            <w:r>
              <w:t>1</w:t>
            </w:r>
          </w:p>
        </w:tc>
        <w:tc>
          <w:tcPr>
            <w:tcW w:w="4535" w:type="dxa"/>
            <w:vAlign w:val="center"/>
          </w:tcPr>
          <w:p w14:paraId="527C53B7">
            <w:pPr>
              <w:pStyle w:val="10"/>
            </w:pPr>
            <w:r>
              <w:t>2</w:t>
            </w:r>
          </w:p>
        </w:tc>
        <w:tc>
          <w:tcPr>
            <w:tcW w:w="2551" w:type="dxa"/>
            <w:vAlign w:val="center"/>
          </w:tcPr>
          <w:p w14:paraId="3DD5CD29">
            <w:pPr>
              <w:pStyle w:val="10"/>
            </w:pPr>
            <w:r>
              <w:t>3</w:t>
            </w:r>
          </w:p>
        </w:tc>
        <w:tc>
          <w:tcPr>
            <w:tcW w:w="2551" w:type="dxa"/>
            <w:vAlign w:val="center"/>
          </w:tcPr>
          <w:p w14:paraId="1BF94615">
            <w:pPr>
              <w:pStyle w:val="10"/>
            </w:pPr>
            <w:r>
              <w:t>4</w:t>
            </w:r>
          </w:p>
        </w:tc>
        <w:tc>
          <w:tcPr>
            <w:tcW w:w="2551" w:type="dxa"/>
            <w:vAlign w:val="center"/>
          </w:tcPr>
          <w:p w14:paraId="55C4145A">
            <w:pPr>
              <w:pStyle w:val="10"/>
            </w:pPr>
            <w:r>
              <w:t>5</w:t>
            </w:r>
          </w:p>
        </w:tc>
      </w:tr>
      <w:tr w14:paraId="771FF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0954E">
            <w:pPr>
              <w:pStyle w:val="13"/>
            </w:pPr>
          </w:p>
        </w:tc>
        <w:tc>
          <w:tcPr>
            <w:tcW w:w="1191" w:type="dxa"/>
            <w:vAlign w:val="center"/>
          </w:tcPr>
          <w:p w14:paraId="5D55EDA3">
            <w:pPr>
              <w:pStyle w:val="12"/>
            </w:pPr>
          </w:p>
        </w:tc>
        <w:tc>
          <w:tcPr>
            <w:tcW w:w="4535" w:type="dxa"/>
            <w:vAlign w:val="center"/>
          </w:tcPr>
          <w:p w14:paraId="686AF7A5">
            <w:pPr>
              <w:pStyle w:val="12"/>
            </w:pPr>
          </w:p>
        </w:tc>
        <w:tc>
          <w:tcPr>
            <w:tcW w:w="2551" w:type="dxa"/>
            <w:vAlign w:val="center"/>
          </w:tcPr>
          <w:p w14:paraId="21536248">
            <w:pPr>
              <w:pStyle w:val="11"/>
            </w:pPr>
          </w:p>
        </w:tc>
        <w:tc>
          <w:tcPr>
            <w:tcW w:w="2551" w:type="dxa"/>
            <w:vAlign w:val="center"/>
          </w:tcPr>
          <w:p w14:paraId="7F747407">
            <w:pPr>
              <w:pStyle w:val="11"/>
            </w:pPr>
          </w:p>
        </w:tc>
        <w:tc>
          <w:tcPr>
            <w:tcW w:w="2551" w:type="dxa"/>
            <w:vAlign w:val="center"/>
          </w:tcPr>
          <w:p w14:paraId="18FFFF01">
            <w:pPr>
              <w:pStyle w:val="11"/>
            </w:pPr>
          </w:p>
        </w:tc>
      </w:tr>
    </w:tbl>
    <w:p w14:paraId="05941A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F86B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85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E33FBC">
            <w:pPr>
              <w:pStyle w:val="9"/>
            </w:pPr>
            <w:r>
              <w:t>360011河北省隆尧县实验中学</w:t>
            </w:r>
          </w:p>
        </w:tc>
        <w:tc>
          <w:tcPr>
            <w:tcW w:w="2381" w:type="dxa"/>
            <w:tcBorders>
              <w:top w:val="single" w:color="FFFFFF" w:sz="6" w:space="0"/>
              <w:left w:val="single" w:color="FFFFFF" w:sz="6" w:space="0"/>
              <w:right w:val="single" w:color="FFFFFF" w:sz="6" w:space="0"/>
            </w:tcBorders>
            <w:vAlign w:val="center"/>
          </w:tcPr>
          <w:p w14:paraId="570EF8F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3DB0749">
            <w:pPr>
              <w:pStyle w:val="7"/>
            </w:pPr>
            <w:r>
              <w:t>单位：万元</w:t>
            </w:r>
          </w:p>
        </w:tc>
      </w:tr>
      <w:tr w14:paraId="3B85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97B65">
            <w:pPr>
              <w:pStyle w:val="10"/>
            </w:pPr>
            <w:r>
              <w:t>序号</w:t>
            </w:r>
          </w:p>
        </w:tc>
        <w:tc>
          <w:tcPr>
            <w:tcW w:w="3798" w:type="dxa"/>
            <w:vMerge w:val="restart"/>
            <w:vAlign w:val="center"/>
          </w:tcPr>
          <w:p w14:paraId="46ABB220">
            <w:pPr>
              <w:pStyle w:val="10"/>
            </w:pPr>
            <w:r>
              <w:t>项  目</w:t>
            </w:r>
          </w:p>
        </w:tc>
        <w:tc>
          <w:tcPr>
            <w:tcW w:w="9524" w:type="dxa"/>
            <w:gridSpan w:val="4"/>
            <w:vAlign w:val="center"/>
          </w:tcPr>
          <w:p w14:paraId="77444F4F">
            <w:pPr>
              <w:pStyle w:val="10"/>
            </w:pPr>
            <w:r>
              <w:t>资 金 性 质</w:t>
            </w:r>
          </w:p>
        </w:tc>
      </w:tr>
      <w:tr w14:paraId="0DC7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E864FB"/>
        </w:tc>
        <w:tc>
          <w:tcPr>
            <w:tcW w:w="3798" w:type="dxa"/>
            <w:vMerge w:val="continue"/>
          </w:tcPr>
          <w:p w14:paraId="042D2370"/>
        </w:tc>
        <w:tc>
          <w:tcPr>
            <w:tcW w:w="2381" w:type="dxa"/>
            <w:vAlign w:val="center"/>
          </w:tcPr>
          <w:p w14:paraId="3427C46D">
            <w:pPr>
              <w:pStyle w:val="10"/>
            </w:pPr>
            <w:r>
              <w:t>合计</w:t>
            </w:r>
          </w:p>
        </w:tc>
        <w:tc>
          <w:tcPr>
            <w:tcW w:w="2381" w:type="dxa"/>
            <w:vAlign w:val="center"/>
          </w:tcPr>
          <w:p w14:paraId="4FFA5E1D">
            <w:pPr>
              <w:pStyle w:val="10"/>
            </w:pPr>
            <w:r>
              <w:t>一般公共预算              财政拨款</w:t>
            </w:r>
          </w:p>
        </w:tc>
        <w:tc>
          <w:tcPr>
            <w:tcW w:w="2381" w:type="dxa"/>
            <w:vAlign w:val="center"/>
          </w:tcPr>
          <w:p w14:paraId="1117D0FC">
            <w:pPr>
              <w:pStyle w:val="10"/>
            </w:pPr>
            <w:r>
              <w:t>政府性基金                  预算拨款</w:t>
            </w:r>
          </w:p>
        </w:tc>
        <w:tc>
          <w:tcPr>
            <w:tcW w:w="2381" w:type="dxa"/>
            <w:vAlign w:val="center"/>
          </w:tcPr>
          <w:p w14:paraId="3FD775E9">
            <w:pPr>
              <w:pStyle w:val="10"/>
            </w:pPr>
            <w:r>
              <w:t>国有资本经营              预算财政拨款</w:t>
            </w:r>
          </w:p>
        </w:tc>
      </w:tr>
      <w:tr w14:paraId="3668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4194AF">
            <w:pPr>
              <w:pStyle w:val="10"/>
            </w:pPr>
            <w:r>
              <w:t>栏次</w:t>
            </w:r>
          </w:p>
        </w:tc>
        <w:tc>
          <w:tcPr>
            <w:tcW w:w="3798" w:type="dxa"/>
            <w:vAlign w:val="center"/>
          </w:tcPr>
          <w:p w14:paraId="444A4423">
            <w:pPr>
              <w:pStyle w:val="10"/>
            </w:pPr>
            <w:r>
              <w:t>1</w:t>
            </w:r>
          </w:p>
        </w:tc>
        <w:tc>
          <w:tcPr>
            <w:tcW w:w="2381" w:type="dxa"/>
            <w:vAlign w:val="center"/>
          </w:tcPr>
          <w:p w14:paraId="3C49D75F">
            <w:pPr>
              <w:pStyle w:val="10"/>
            </w:pPr>
            <w:r>
              <w:t>2</w:t>
            </w:r>
          </w:p>
        </w:tc>
        <w:tc>
          <w:tcPr>
            <w:tcW w:w="2381" w:type="dxa"/>
            <w:vAlign w:val="center"/>
          </w:tcPr>
          <w:p w14:paraId="376C0471">
            <w:pPr>
              <w:pStyle w:val="10"/>
            </w:pPr>
            <w:r>
              <w:t>3</w:t>
            </w:r>
          </w:p>
        </w:tc>
        <w:tc>
          <w:tcPr>
            <w:tcW w:w="2381" w:type="dxa"/>
            <w:vAlign w:val="center"/>
          </w:tcPr>
          <w:p w14:paraId="1FCB6A6F">
            <w:pPr>
              <w:pStyle w:val="10"/>
            </w:pPr>
            <w:r>
              <w:t>4</w:t>
            </w:r>
          </w:p>
        </w:tc>
        <w:tc>
          <w:tcPr>
            <w:tcW w:w="2381" w:type="dxa"/>
            <w:vAlign w:val="center"/>
          </w:tcPr>
          <w:p w14:paraId="66AC5288">
            <w:pPr>
              <w:pStyle w:val="10"/>
            </w:pPr>
            <w:r>
              <w:t>5</w:t>
            </w:r>
          </w:p>
        </w:tc>
      </w:tr>
      <w:tr w14:paraId="48E5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CE36F7">
            <w:pPr>
              <w:pStyle w:val="13"/>
            </w:pPr>
          </w:p>
        </w:tc>
        <w:tc>
          <w:tcPr>
            <w:tcW w:w="3798" w:type="dxa"/>
            <w:vAlign w:val="center"/>
          </w:tcPr>
          <w:p w14:paraId="20B077EA">
            <w:pPr>
              <w:pStyle w:val="12"/>
            </w:pPr>
          </w:p>
        </w:tc>
        <w:tc>
          <w:tcPr>
            <w:tcW w:w="2381" w:type="dxa"/>
            <w:vAlign w:val="center"/>
          </w:tcPr>
          <w:p w14:paraId="2259778C">
            <w:pPr>
              <w:pStyle w:val="11"/>
            </w:pPr>
          </w:p>
        </w:tc>
        <w:tc>
          <w:tcPr>
            <w:tcW w:w="2381" w:type="dxa"/>
            <w:vAlign w:val="center"/>
          </w:tcPr>
          <w:p w14:paraId="7CCBE398">
            <w:pPr>
              <w:pStyle w:val="11"/>
            </w:pPr>
          </w:p>
        </w:tc>
        <w:tc>
          <w:tcPr>
            <w:tcW w:w="2381" w:type="dxa"/>
            <w:vAlign w:val="center"/>
          </w:tcPr>
          <w:p w14:paraId="1E57B0DE">
            <w:pPr>
              <w:pStyle w:val="11"/>
            </w:pPr>
          </w:p>
        </w:tc>
        <w:tc>
          <w:tcPr>
            <w:tcW w:w="2381" w:type="dxa"/>
            <w:vAlign w:val="center"/>
          </w:tcPr>
          <w:p w14:paraId="0D603ECE">
            <w:pPr>
              <w:pStyle w:val="11"/>
            </w:pPr>
          </w:p>
        </w:tc>
      </w:tr>
    </w:tbl>
    <w:p w14:paraId="662101C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4C384B">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河北省隆尧县实验中学2026年单位预算信息公开情况说明</w:t>
      </w:r>
    </w:p>
    <w:p w14:paraId="588BE0D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地方预决算公开操作规程》和《关于进一步推进预算公开工作的实施意见》规定，现将河北省隆尧县实验中学2026年单位预算公开如下：</w:t>
      </w:r>
    </w:p>
    <w:p w14:paraId="695E856E">
      <w:pPr>
        <w:spacing w:before="10" w:after="10" w:line="240" w:lineRule="auto"/>
        <w:ind w:firstLine="640"/>
        <w:jc w:val="left"/>
        <w:outlineLvl w:val="5"/>
      </w:pPr>
      <w:r>
        <w:rPr>
          <w:rFonts w:ascii="黑体" w:hAnsi="黑体" w:eastAsia="黑体" w:cs="黑体"/>
          <w:color w:val="000000"/>
          <w:sz w:val="32"/>
        </w:rPr>
        <w:t>一、单位职责及机构设置情况</w:t>
      </w:r>
    </w:p>
    <w:p w14:paraId="2434824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BAD197C">
      <w:pPr>
        <w:pStyle w:val="17"/>
        <w:rPr>
          <w:rFonts w:hint="eastAsia"/>
        </w:rPr>
      </w:pPr>
      <w:r>
        <w:rPr>
          <w:rFonts w:hint="eastAsia"/>
        </w:rPr>
        <w:t>贯彻落实基础教育的方针、政策，开展初中阶段教育教学工作，促进学生德、智、体、美、劳全面发展；负责学生安全教育和管理，确保学生身心健康；加强教师队伍建设和管理，为教育教学工作提供保障。</w:t>
      </w:r>
    </w:p>
    <w:p w14:paraId="72F76AD7">
      <w:pPr>
        <w:pStyle w:val="17"/>
      </w:pPr>
      <w:r>
        <w:rPr>
          <w:rFonts w:hint="eastAsia"/>
        </w:rPr>
        <w:t>河北省隆尧县实验中学事业编制248名</w:t>
      </w:r>
      <w:r>
        <w:rPr>
          <w:rFonts w:hint="eastAsia"/>
          <w:lang w:eastAsia="zh-CN"/>
        </w:rPr>
        <w:t>。</w:t>
      </w:r>
      <w:r>
        <w:rPr>
          <w:rFonts w:hint="eastAsia"/>
        </w:rPr>
        <w:t>其中，校长1名（正股级），副校长3名（副股级），副书记1名（副股级）；经费形式为财政性资金基本保证。</w:t>
      </w:r>
    </w:p>
    <w:p w14:paraId="171978D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50088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AD33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94A136">
            <w:pPr>
              <w:pStyle w:val="10"/>
            </w:pPr>
            <w:r>
              <w:t>单位名称</w:t>
            </w:r>
          </w:p>
        </w:tc>
        <w:tc>
          <w:tcPr>
            <w:tcW w:w="1843" w:type="dxa"/>
            <w:vAlign w:val="center"/>
          </w:tcPr>
          <w:p w14:paraId="7862FE4D">
            <w:pPr>
              <w:pStyle w:val="10"/>
            </w:pPr>
            <w:r>
              <w:t>单位性质</w:t>
            </w:r>
          </w:p>
        </w:tc>
        <w:tc>
          <w:tcPr>
            <w:tcW w:w="2126" w:type="dxa"/>
            <w:vAlign w:val="center"/>
          </w:tcPr>
          <w:p w14:paraId="49063C10">
            <w:pPr>
              <w:pStyle w:val="10"/>
            </w:pPr>
            <w:r>
              <w:t>单位规格</w:t>
            </w:r>
          </w:p>
        </w:tc>
        <w:tc>
          <w:tcPr>
            <w:tcW w:w="3827" w:type="dxa"/>
            <w:vAlign w:val="center"/>
          </w:tcPr>
          <w:p w14:paraId="59488087">
            <w:pPr>
              <w:pStyle w:val="10"/>
            </w:pPr>
            <w:r>
              <w:t>经费保障形式</w:t>
            </w:r>
          </w:p>
        </w:tc>
      </w:tr>
      <w:tr w14:paraId="52A0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765A4B">
            <w:pPr>
              <w:pStyle w:val="12"/>
            </w:pPr>
            <w:r>
              <w:t>河北省隆尧县实验中学</w:t>
            </w:r>
          </w:p>
        </w:tc>
        <w:tc>
          <w:tcPr>
            <w:tcW w:w="1843" w:type="dxa"/>
            <w:vAlign w:val="center"/>
          </w:tcPr>
          <w:p w14:paraId="3250CA60">
            <w:pPr>
              <w:pStyle w:val="13"/>
            </w:pPr>
            <w:r>
              <w:t>事业</w:t>
            </w:r>
          </w:p>
        </w:tc>
        <w:tc>
          <w:tcPr>
            <w:tcW w:w="2126" w:type="dxa"/>
            <w:vAlign w:val="center"/>
          </w:tcPr>
          <w:p w14:paraId="422C419C">
            <w:pPr>
              <w:pStyle w:val="13"/>
            </w:pPr>
            <w:r>
              <w:t>股级</w:t>
            </w:r>
          </w:p>
        </w:tc>
        <w:tc>
          <w:tcPr>
            <w:tcW w:w="3827" w:type="dxa"/>
            <w:vAlign w:val="center"/>
          </w:tcPr>
          <w:p w14:paraId="11DF524F">
            <w:pPr>
              <w:pStyle w:val="13"/>
            </w:pPr>
            <w:r>
              <w:t>财政性资金基本保证</w:t>
            </w:r>
          </w:p>
        </w:tc>
      </w:tr>
    </w:tbl>
    <w:p w14:paraId="5E0C37DD">
      <w:pPr>
        <w:spacing w:before="10" w:after="10" w:line="240" w:lineRule="auto"/>
        <w:ind w:firstLine="640"/>
        <w:jc w:val="left"/>
        <w:outlineLvl w:val="5"/>
      </w:pPr>
      <w:r>
        <w:rPr>
          <w:rFonts w:ascii="黑体" w:hAnsi="黑体" w:eastAsia="黑体" w:cs="黑体"/>
          <w:color w:val="000000"/>
          <w:sz w:val="32"/>
        </w:rPr>
        <w:t>二、单位预算安排的总体情况</w:t>
      </w:r>
    </w:p>
    <w:p w14:paraId="127C4178">
      <w:pPr>
        <w:pStyle w:val="18"/>
      </w:pPr>
      <w:r>
        <w:t>按照预算管理有关规定，目前我校单位预算的编制实行综合预算管理，即全部收入和支出都反映的预算中。河北省隆尧县实验中学的收支包含在单位预算中。</w:t>
      </w:r>
    </w:p>
    <w:p w14:paraId="54BC8630">
      <w:pPr>
        <w:pStyle w:val="18"/>
      </w:pPr>
      <w:r>
        <w:t>1、收入说明</w:t>
      </w:r>
    </w:p>
    <w:p w14:paraId="2EC87CFF">
      <w:pPr>
        <w:pStyle w:val="18"/>
      </w:pPr>
      <w:r>
        <w:t>反映本单位当年全部收入。2026年预算收入3537.38万元，其中：一般公共预算收入3537.38万元，基金预算收入0万元，财政专户管理资金收入0万元，单位资金收入0万元，上年结转结余0万元。</w:t>
      </w:r>
    </w:p>
    <w:p w14:paraId="7D220F82">
      <w:pPr>
        <w:pStyle w:val="18"/>
      </w:pPr>
      <w:r>
        <w:t>2、支出说明</w:t>
      </w:r>
    </w:p>
    <w:p w14:paraId="1C8D1A1E">
      <w:pPr>
        <w:pStyle w:val="18"/>
      </w:pPr>
      <w:r>
        <w:t>收支预算总表支出栏、基本支出表、项目支出表按经济分类和支出功能分类科目编制，反映隆尧县实验中学年度单位预算中支出预算的总体情况。2026年单位支出预算为3537.38万元，其中基本支出2628.89万元、项目支出908.49万元。</w:t>
      </w:r>
    </w:p>
    <w:p w14:paraId="3114C96C">
      <w:pPr>
        <w:pStyle w:val="18"/>
      </w:pPr>
      <w:r>
        <w:t>3、比上年增减情况</w:t>
      </w:r>
    </w:p>
    <w:p w14:paraId="0258B7E5">
      <w:pPr>
        <w:pStyle w:val="18"/>
      </w:pPr>
      <w:r>
        <w:t>2026年部门预算收支安排3537.38万元，较2025年预算增加90.53万元，其中基本支出增加39.29万元，项目支出增加51.24万元。</w:t>
      </w:r>
    </w:p>
    <w:p w14:paraId="62D105E4">
      <w:pPr>
        <w:spacing w:before="10" w:after="10" w:line="240" w:lineRule="auto"/>
        <w:ind w:firstLine="640"/>
        <w:jc w:val="left"/>
        <w:outlineLvl w:val="5"/>
      </w:pPr>
      <w:r>
        <w:rPr>
          <w:rFonts w:ascii="黑体" w:hAnsi="黑体" w:eastAsia="黑体" w:cs="黑体"/>
          <w:color w:val="000000"/>
          <w:sz w:val="32"/>
        </w:rPr>
        <w:t>三、机关运行经费安排情况</w:t>
      </w:r>
    </w:p>
    <w:p w14:paraId="4FE67DD1">
      <w:pPr>
        <w:pStyle w:val="19"/>
      </w:pPr>
      <w:r>
        <w:t>我单位按学生安排公用经费，无机关运行经费。</w:t>
      </w:r>
    </w:p>
    <w:p w14:paraId="0BA7DB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5A1E9E">
      <w:pPr>
        <w:pStyle w:val="20"/>
      </w:pPr>
      <w:r>
        <w:t>我单位未安排</w:t>
      </w:r>
      <w:r>
        <w:rPr>
          <w:rFonts w:hint="eastAsia"/>
          <w:lang w:eastAsia="zh-CN"/>
        </w:rPr>
        <w:t>“三公”经费</w:t>
      </w:r>
      <w:r>
        <w:t>。</w:t>
      </w:r>
    </w:p>
    <w:p w14:paraId="45896A4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9D352D">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1、冀财教[2025]121号/中央/2026年义教补助经费/实验中学公用经费绩效目标表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10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E44FB">
            <w:pPr>
              <w:pStyle w:val="11"/>
            </w:pPr>
            <w:r>
              <w:t>单位：万元</w:t>
            </w:r>
          </w:p>
        </w:tc>
      </w:tr>
      <w:tr w14:paraId="52F1A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E2F50">
            <w:pPr>
              <w:pStyle w:val="10"/>
            </w:pPr>
            <w:r>
              <w:t>项目编码</w:t>
            </w:r>
          </w:p>
        </w:tc>
        <w:tc>
          <w:tcPr>
            <w:tcW w:w="5103" w:type="dxa"/>
            <w:gridSpan w:val="2"/>
            <w:vAlign w:val="center"/>
          </w:tcPr>
          <w:p w14:paraId="7229E669">
            <w:pPr>
              <w:pStyle w:val="12"/>
            </w:pPr>
            <w:r>
              <w:t>13052526P00000410252K</w:t>
            </w:r>
          </w:p>
        </w:tc>
        <w:tc>
          <w:tcPr>
            <w:tcW w:w="2835" w:type="dxa"/>
            <w:vAlign w:val="center"/>
          </w:tcPr>
          <w:p w14:paraId="7B12A37E">
            <w:pPr>
              <w:pStyle w:val="10"/>
            </w:pPr>
            <w:r>
              <w:t>项目名称</w:t>
            </w:r>
          </w:p>
        </w:tc>
        <w:tc>
          <w:tcPr>
            <w:tcW w:w="6095" w:type="dxa"/>
            <w:gridSpan w:val="3"/>
            <w:vAlign w:val="center"/>
          </w:tcPr>
          <w:p w14:paraId="0C1FE4E9">
            <w:pPr>
              <w:pStyle w:val="12"/>
            </w:pPr>
            <w:r>
              <w:t>冀财教[2025]121号/中央/2026年义教补助经费/实验中学公用经费</w:t>
            </w:r>
          </w:p>
        </w:tc>
      </w:tr>
      <w:tr w14:paraId="71B6F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1D24A">
            <w:pPr>
              <w:pStyle w:val="10"/>
            </w:pPr>
            <w:r>
              <w:t>预算规模及资金用途</w:t>
            </w:r>
          </w:p>
        </w:tc>
        <w:tc>
          <w:tcPr>
            <w:tcW w:w="2268" w:type="dxa"/>
            <w:vAlign w:val="center"/>
          </w:tcPr>
          <w:p w14:paraId="415F3DE8">
            <w:pPr>
              <w:pStyle w:val="10"/>
            </w:pPr>
            <w:r>
              <w:t>预算数</w:t>
            </w:r>
          </w:p>
        </w:tc>
        <w:tc>
          <w:tcPr>
            <w:tcW w:w="2835" w:type="dxa"/>
            <w:vAlign w:val="center"/>
          </w:tcPr>
          <w:p w14:paraId="5CDEED2E">
            <w:pPr>
              <w:pStyle w:val="12"/>
            </w:pPr>
            <w:r>
              <w:t>452.07</w:t>
            </w:r>
          </w:p>
        </w:tc>
        <w:tc>
          <w:tcPr>
            <w:tcW w:w="2835" w:type="dxa"/>
            <w:vAlign w:val="center"/>
          </w:tcPr>
          <w:p w14:paraId="24B54B3C">
            <w:pPr>
              <w:pStyle w:val="10"/>
            </w:pPr>
            <w:r>
              <w:t>其中：财政    资金</w:t>
            </w:r>
          </w:p>
        </w:tc>
        <w:tc>
          <w:tcPr>
            <w:tcW w:w="2551" w:type="dxa"/>
            <w:vAlign w:val="center"/>
          </w:tcPr>
          <w:p w14:paraId="1ED4561F">
            <w:pPr>
              <w:pStyle w:val="12"/>
            </w:pPr>
            <w:r>
              <w:t>452.07</w:t>
            </w:r>
          </w:p>
        </w:tc>
        <w:tc>
          <w:tcPr>
            <w:tcW w:w="2268" w:type="dxa"/>
            <w:vAlign w:val="center"/>
          </w:tcPr>
          <w:p w14:paraId="5C673DB0">
            <w:pPr>
              <w:pStyle w:val="10"/>
            </w:pPr>
            <w:r>
              <w:t>其他资金</w:t>
            </w:r>
          </w:p>
        </w:tc>
        <w:tc>
          <w:tcPr>
            <w:tcW w:w="1276" w:type="dxa"/>
            <w:vAlign w:val="center"/>
          </w:tcPr>
          <w:p w14:paraId="0C992ECF">
            <w:pPr>
              <w:pStyle w:val="12"/>
            </w:pPr>
            <w:r>
              <w:t xml:space="preserve"> </w:t>
            </w:r>
          </w:p>
        </w:tc>
      </w:tr>
      <w:tr w14:paraId="663D1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5FC53"/>
        </w:tc>
        <w:tc>
          <w:tcPr>
            <w:tcW w:w="14033" w:type="dxa"/>
            <w:gridSpan w:val="6"/>
            <w:vAlign w:val="center"/>
          </w:tcPr>
          <w:p w14:paraId="01D94780">
            <w:pPr>
              <w:pStyle w:val="12"/>
            </w:pPr>
            <w:r>
              <w:t>保障学校正常运转，完成各项教育教学活动和其他日常工作任务等方面的费用支出。</w:t>
            </w:r>
          </w:p>
        </w:tc>
      </w:tr>
      <w:tr w14:paraId="410D1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9F199">
            <w:pPr>
              <w:pStyle w:val="10"/>
            </w:pPr>
            <w:r>
              <w:t>资金支出计划（%）</w:t>
            </w:r>
          </w:p>
        </w:tc>
        <w:tc>
          <w:tcPr>
            <w:tcW w:w="5103" w:type="dxa"/>
            <w:gridSpan w:val="2"/>
            <w:vAlign w:val="center"/>
          </w:tcPr>
          <w:p w14:paraId="2060FCC0">
            <w:pPr>
              <w:pStyle w:val="10"/>
            </w:pPr>
            <w:r>
              <w:t>3月底</w:t>
            </w:r>
          </w:p>
        </w:tc>
        <w:tc>
          <w:tcPr>
            <w:tcW w:w="2835" w:type="dxa"/>
            <w:vAlign w:val="center"/>
          </w:tcPr>
          <w:p w14:paraId="5A4AD750">
            <w:pPr>
              <w:pStyle w:val="10"/>
            </w:pPr>
            <w:r>
              <w:t>6月底</w:t>
            </w:r>
          </w:p>
        </w:tc>
        <w:tc>
          <w:tcPr>
            <w:tcW w:w="2551" w:type="dxa"/>
            <w:vAlign w:val="center"/>
          </w:tcPr>
          <w:p w14:paraId="6873C45C">
            <w:pPr>
              <w:pStyle w:val="10"/>
            </w:pPr>
            <w:r>
              <w:t>10月底</w:t>
            </w:r>
          </w:p>
        </w:tc>
        <w:tc>
          <w:tcPr>
            <w:tcW w:w="3544" w:type="dxa"/>
            <w:gridSpan w:val="2"/>
            <w:vAlign w:val="center"/>
          </w:tcPr>
          <w:p w14:paraId="544E3706">
            <w:pPr>
              <w:pStyle w:val="10"/>
            </w:pPr>
            <w:r>
              <w:t>12月底</w:t>
            </w:r>
          </w:p>
        </w:tc>
      </w:tr>
      <w:tr w14:paraId="7622D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16773"/>
        </w:tc>
        <w:tc>
          <w:tcPr>
            <w:tcW w:w="5103" w:type="dxa"/>
            <w:gridSpan w:val="2"/>
            <w:vAlign w:val="center"/>
          </w:tcPr>
          <w:p w14:paraId="51B21AE1">
            <w:pPr>
              <w:pStyle w:val="13"/>
            </w:pPr>
            <w:r>
              <w:t>25%</w:t>
            </w:r>
          </w:p>
        </w:tc>
        <w:tc>
          <w:tcPr>
            <w:tcW w:w="2835" w:type="dxa"/>
            <w:vAlign w:val="center"/>
          </w:tcPr>
          <w:p w14:paraId="7CA8E033">
            <w:pPr>
              <w:pStyle w:val="13"/>
            </w:pPr>
            <w:r>
              <w:t>50%</w:t>
            </w:r>
          </w:p>
        </w:tc>
        <w:tc>
          <w:tcPr>
            <w:tcW w:w="2551" w:type="dxa"/>
            <w:vAlign w:val="center"/>
          </w:tcPr>
          <w:p w14:paraId="057C0413">
            <w:pPr>
              <w:pStyle w:val="13"/>
            </w:pPr>
            <w:r>
              <w:t>75%</w:t>
            </w:r>
          </w:p>
        </w:tc>
        <w:tc>
          <w:tcPr>
            <w:tcW w:w="3544" w:type="dxa"/>
            <w:gridSpan w:val="2"/>
            <w:vAlign w:val="center"/>
          </w:tcPr>
          <w:p w14:paraId="2956356E">
            <w:pPr>
              <w:pStyle w:val="13"/>
            </w:pPr>
            <w:r>
              <w:t>100%</w:t>
            </w:r>
          </w:p>
        </w:tc>
      </w:tr>
      <w:tr w14:paraId="2CB93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CB177">
            <w:pPr>
              <w:pStyle w:val="10"/>
            </w:pPr>
            <w:r>
              <w:t>绩效目标</w:t>
            </w:r>
          </w:p>
        </w:tc>
        <w:tc>
          <w:tcPr>
            <w:tcW w:w="14033" w:type="dxa"/>
            <w:gridSpan w:val="6"/>
            <w:vAlign w:val="center"/>
          </w:tcPr>
          <w:p w14:paraId="27FA3184">
            <w:pPr>
              <w:pStyle w:val="12"/>
            </w:pPr>
            <w:r>
              <w:t>1.按季度分批次拨付公用经费</w:t>
            </w:r>
            <w:r>
              <w:rPr>
                <w:rFonts w:hint="eastAsia"/>
                <w:lang w:eastAsia="zh-CN"/>
              </w:rPr>
              <w:t>资金</w:t>
            </w:r>
            <w:r>
              <w:t>4520700元，资金拨付率达到100%。</w:t>
            </w:r>
          </w:p>
          <w:p w14:paraId="0777352C">
            <w:pPr>
              <w:pStyle w:val="12"/>
            </w:pPr>
            <w:r>
              <w:t>2.保障义务教育学校正常运转，完成教育教学活动和其他日常工作任务等方面的费用支出。</w:t>
            </w:r>
          </w:p>
        </w:tc>
      </w:tr>
    </w:tbl>
    <w:p w14:paraId="2AEE2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4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64E9D">
            <w:pPr>
              <w:pStyle w:val="10"/>
            </w:pPr>
            <w:r>
              <w:t>一级指标</w:t>
            </w:r>
          </w:p>
        </w:tc>
        <w:tc>
          <w:tcPr>
            <w:tcW w:w="2268" w:type="dxa"/>
            <w:vAlign w:val="center"/>
          </w:tcPr>
          <w:p w14:paraId="29238D68">
            <w:pPr>
              <w:pStyle w:val="10"/>
            </w:pPr>
            <w:r>
              <w:t>二级指标</w:t>
            </w:r>
          </w:p>
        </w:tc>
        <w:tc>
          <w:tcPr>
            <w:tcW w:w="2835" w:type="dxa"/>
            <w:vAlign w:val="center"/>
          </w:tcPr>
          <w:p w14:paraId="79132338">
            <w:pPr>
              <w:pStyle w:val="10"/>
            </w:pPr>
            <w:r>
              <w:t>三级指标</w:t>
            </w:r>
          </w:p>
        </w:tc>
        <w:tc>
          <w:tcPr>
            <w:tcW w:w="5386" w:type="dxa"/>
            <w:vAlign w:val="center"/>
          </w:tcPr>
          <w:p w14:paraId="323EDCDC">
            <w:pPr>
              <w:pStyle w:val="10"/>
            </w:pPr>
            <w:r>
              <w:t>绩效指标描述</w:t>
            </w:r>
          </w:p>
        </w:tc>
        <w:tc>
          <w:tcPr>
            <w:tcW w:w="2268" w:type="dxa"/>
            <w:vAlign w:val="center"/>
          </w:tcPr>
          <w:p w14:paraId="155E4109">
            <w:pPr>
              <w:pStyle w:val="10"/>
            </w:pPr>
            <w:r>
              <w:t>指标值</w:t>
            </w:r>
          </w:p>
        </w:tc>
        <w:tc>
          <w:tcPr>
            <w:tcW w:w="1276" w:type="dxa"/>
            <w:vAlign w:val="center"/>
          </w:tcPr>
          <w:p w14:paraId="4177E827">
            <w:pPr>
              <w:pStyle w:val="10"/>
            </w:pPr>
            <w:r>
              <w:t>指标值确定依据</w:t>
            </w:r>
          </w:p>
        </w:tc>
      </w:tr>
      <w:tr w14:paraId="13AE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46D13">
            <w:pPr>
              <w:pStyle w:val="13"/>
            </w:pPr>
            <w:r>
              <w:t>产出指标</w:t>
            </w:r>
          </w:p>
        </w:tc>
        <w:tc>
          <w:tcPr>
            <w:tcW w:w="2268" w:type="dxa"/>
            <w:vAlign w:val="center"/>
          </w:tcPr>
          <w:p w14:paraId="083351B4">
            <w:pPr>
              <w:pStyle w:val="12"/>
            </w:pPr>
            <w:r>
              <w:t>数量指标</w:t>
            </w:r>
          </w:p>
        </w:tc>
        <w:tc>
          <w:tcPr>
            <w:tcW w:w="2835" w:type="dxa"/>
            <w:vAlign w:val="center"/>
          </w:tcPr>
          <w:p w14:paraId="7E33A497">
            <w:pPr>
              <w:pStyle w:val="12"/>
            </w:pPr>
            <w:r>
              <w:t>适龄在校生</w:t>
            </w:r>
          </w:p>
        </w:tc>
        <w:tc>
          <w:tcPr>
            <w:tcW w:w="5386" w:type="dxa"/>
            <w:vAlign w:val="center"/>
          </w:tcPr>
          <w:p w14:paraId="5E72A2BC">
            <w:pPr>
              <w:pStyle w:val="12"/>
            </w:pPr>
            <w:r>
              <w:t>适龄在校就读学生人数</w:t>
            </w:r>
          </w:p>
        </w:tc>
        <w:tc>
          <w:tcPr>
            <w:tcW w:w="2268" w:type="dxa"/>
            <w:vAlign w:val="center"/>
          </w:tcPr>
          <w:p w14:paraId="7E00C9B8">
            <w:pPr>
              <w:pStyle w:val="12"/>
            </w:pPr>
            <w:r>
              <w:t>≥5468人</w:t>
            </w:r>
          </w:p>
        </w:tc>
        <w:tc>
          <w:tcPr>
            <w:tcW w:w="1276" w:type="dxa"/>
            <w:vAlign w:val="center"/>
          </w:tcPr>
          <w:p w14:paraId="77B272D6">
            <w:pPr>
              <w:pStyle w:val="12"/>
            </w:pPr>
            <w:r>
              <w:t>城乡义务教育公用经费管理办法</w:t>
            </w:r>
          </w:p>
        </w:tc>
      </w:tr>
      <w:tr w14:paraId="07AA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8E578"/>
        </w:tc>
        <w:tc>
          <w:tcPr>
            <w:tcW w:w="2268" w:type="dxa"/>
            <w:vAlign w:val="center"/>
          </w:tcPr>
          <w:p w14:paraId="582DE7DD">
            <w:pPr>
              <w:pStyle w:val="12"/>
            </w:pPr>
            <w:r>
              <w:t>质量指标</w:t>
            </w:r>
          </w:p>
        </w:tc>
        <w:tc>
          <w:tcPr>
            <w:tcW w:w="2835" w:type="dxa"/>
            <w:vAlign w:val="center"/>
          </w:tcPr>
          <w:p w14:paraId="10605A99">
            <w:pPr>
              <w:pStyle w:val="12"/>
            </w:pPr>
            <w:r>
              <w:t>公用经费拨付完成率</w:t>
            </w:r>
          </w:p>
        </w:tc>
        <w:tc>
          <w:tcPr>
            <w:tcW w:w="5386" w:type="dxa"/>
            <w:vAlign w:val="center"/>
          </w:tcPr>
          <w:p w14:paraId="060A9666">
            <w:pPr>
              <w:pStyle w:val="12"/>
            </w:pPr>
            <w:r>
              <w:t>公用经费拨付完成率达到需时进度</w:t>
            </w:r>
          </w:p>
        </w:tc>
        <w:tc>
          <w:tcPr>
            <w:tcW w:w="2268" w:type="dxa"/>
            <w:vAlign w:val="center"/>
          </w:tcPr>
          <w:p w14:paraId="0AE4AA40">
            <w:pPr>
              <w:pStyle w:val="12"/>
            </w:pPr>
            <w:r>
              <w:t>100%</w:t>
            </w:r>
          </w:p>
        </w:tc>
        <w:tc>
          <w:tcPr>
            <w:tcW w:w="1276" w:type="dxa"/>
            <w:vAlign w:val="center"/>
          </w:tcPr>
          <w:p w14:paraId="0326C0CF">
            <w:pPr>
              <w:pStyle w:val="12"/>
            </w:pPr>
            <w:r>
              <w:t>城乡义务教育公用经费管理办法</w:t>
            </w:r>
          </w:p>
        </w:tc>
      </w:tr>
      <w:tr w14:paraId="37DF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C0C19"/>
        </w:tc>
        <w:tc>
          <w:tcPr>
            <w:tcW w:w="2268" w:type="dxa"/>
            <w:vAlign w:val="center"/>
          </w:tcPr>
          <w:p w14:paraId="50F8968C">
            <w:pPr>
              <w:pStyle w:val="12"/>
            </w:pPr>
            <w:r>
              <w:t>时效指标</w:t>
            </w:r>
          </w:p>
        </w:tc>
        <w:tc>
          <w:tcPr>
            <w:tcW w:w="2835" w:type="dxa"/>
            <w:vAlign w:val="center"/>
          </w:tcPr>
          <w:p w14:paraId="2CBEB5E6">
            <w:pPr>
              <w:pStyle w:val="12"/>
            </w:pPr>
            <w:r>
              <w:t>资金支付率</w:t>
            </w:r>
          </w:p>
        </w:tc>
        <w:tc>
          <w:tcPr>
            <w:tcW w:w="5386" w:type="dxa"/>
            <w:vAlign w:val="center"/>
          </w:tcPr>
          <w:p w14:paraId="1429EF1B">
            <w:pPr>
              <w:pStyle w:val="12"/>
            </w:pPr>
            <w:r>
              <w:t>按照序时进度完成资金支付</w:t>
            </w:r>
          </w:p>
        </w:tc>
        <w:tc>
          <w:tcPr>
            <w:tcW w:w="2268" w:type="dxa"/>
            <w:vAlign w:val="center"/>
          </w:tcPr>
          <w:p w14:paraId="587BBB75">
            <w:pPr>
              <w:pStyle w:val="12"/>
            </w:pPr>
            <w:r>
              <w:t>100%</w:t>
            </w:r>
          </w:p>
        </w:tc>
        <w:tc>
          <w:tcPr>
            <w:tcW w:w="1276" w:type="dxa"/>
            <w:vAlign w:val="center"/>
          </w:tcPr>
          <w:p w14:paraId="5B55C2B8">
            <w:pPr>
              <w:pStyle w:val="12"/>
            </w:pPr>
            <w:r>
              <w:t>城乡义务教育公用经费管理办法</w:t>
            </w:r>
          </w:p>
        </w:tc>
      </w:tr>
      <w:tr w14:paraId="22A4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D996C"/>
        </w:tc>
        <w:tc>
          <w:tcPr>
            <w:tcW w:w="2268" w:type="dxa"/>
            <w:vAlign w:val="center"/>
          </w:tcPr>
          <w:p w14:paraId="0D7B7834">
            <w:pPr>
              <w:pStyle w:val="12"/>
            </w:pPr>
            <w:r>
              <w:t>成本指标</w:t>
            </w:r>
          </w:p>
        </w:tc>
        <w:tc>
          <w:tcPr>
            <w:tcW w:w="2835" w:type="dxa"/>
            <w:vAlign w:val="center"/>
          </w:tcPr>
          <w:p w14:paraId="667B587A">
            <w:pPr>
              <w:pStyle w:val="12"/>
            </w:pPr>
            <w:r>
              <w:t>生均拨款标准</w:t>
            </w:r>
          </w:p>
        </w:tc>
        <w:tc>
          <w:tcPr>
            <w:tcW w:w="5386" w:type="dxa"/>
            <w:vAlign w:val="center"/>
          </w:tcPr>
          <w:p w14:paraId="31FF0D78">
            <w:pPr>
              <w:pStyle w:val="12"/>
            </w:pPr>
            <w:r>
              <w:t>初中：（基本标准940元、寄宿生300元、取暖费120元）/生/学年；特教、随班就读学生：标准7000元/生/学年。</w:t>
            </w:r>
          </w:p>
        </w:tc>
        <w:tc>
          <w:tcPr>
            <w:tcW w:w="2268" w:type="dxa"/>
            <w:vAlign w:val="center"/>
          </w:tcPr>
          <w:p w14:paraId="42EBA6DB">
            <w:pPr>
              <w:pStyle w:val="12"/>
            </w:pPr>
            <w:r>
              <w:t>4520700元</w:t>
            </w:r>
          </w:p>
        </w:tc>
        <w:tc>
          <w:tcPr>
            <w:tcW w:w="1276" w:type="dxa"/>
            <w:vAlign w:val="center"/>
          </w:tcPr>
          <w:p w14:paraId="58BCF423">
            <w:pPr>
              <w:pStyle w:val="12"/>
            </w:pPr>
            <w:r>
              <w:t>城乡义务教育公用经费管理办法</w:t>
            </w:r>
          </w:p>
        </w:tc>
      </w:tr>
      <w:tr w14:paraId="5B72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57D3C">
            <w:pPr>
              <w:pStyle w:val="13"/>
            </w:pPr>
            <w:r>
              <w:t>效益指标</w:t>
            </w:r>
          </w:p>
        </w:tc>
        <w:tc>
          <w:tcPr>
            <w:tcW w:w="2268" w:type="dxa"/>
            <w:vAlign w:val="center"/>
          </w:tcPr>
          <w:p w14:paraId="42458307">
            <w:pPr>
              <w:pStyle w:val="12"/>
            </w:pPr>
            <w:r>
              <w:t>经济效益指标</w:t>
            </w:r>
          </w:p>
        </w:tc>
        <w:tc>
          <w:tcPr>
            <w:tcW w:w="2835" w:type="dxa"/>
            <w:vAlign w:val="center"/>
          </w:tcPr>
          <w:p w14:paraId="4ED50248">
            <w:pPr>
              <w:pStyle w:val="12"/>
            </w:pPr>
            <w:r>
              <w:t>项目实施成果</w:t>
            </w:r>
          </w:p>
        </w:tc>
        <w:tc>
          <w:tcPr>
            <w:tcW w:w="5386" w:type="dxa"/>
            <w:vAlign w:val="center"/>
          </w:tcPr>
          <w:p w14:paraId="459A42F7">
            <w:pPr>
              <w:pStyle w:val="12"/>
            </w:pPr>
            <w:r>
              <w:t>减轻受教育学生家庭经济负担</w:t>
            </w:r>
          </w:p>
        </w:tc>
        <w:tc>
          <w:tcPr>
            <w:tcW w:w="2268" w:type="dxa"/>
            <w:vAlign w:val="center"/>
          </w:tcPr>
          <w:p w14:paraId="2938C0A5">
            <w:pPr>
              <w:pStyle w:val="12"/>
            </w:pPr>
            <w:r>
              <w:t>100%</w:t>
            </w:r>
          </w:p>
        </w:tc>
        <w:tc>
          <w:tcPr>
            <w:tcW w:w="1276" w:type="dxa"/>
            <w:vAlign w:val="center"/>
          </w:tcPr>
          <w:p w14:paraId="0B8CCC28">
            <w:pPr>
              <w:pStyle w:val="12"/>
            </w:pPr>
            <w:r>
              <w:t>城乡义务教育公用经费管理办法</w:t>
            </w:r>
          </w:p>
        </w:tc>
      </w:tr>
      <w:tr w14:paraId="686C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9E7C1"/>
        </w:tc>
        <w:tc>
          <w:tcPr>
            <w:tcW w:w="2268" w:type="dxa"/>
            <w:vAlign w:val="center"/>
          </w:tcPr>
          <w:p w14:paraId="017B5345">
            <w:pPr>
              <w:pStyle w:val="12"/>
            </w:pPr>
            <w:r>
              <w:t>社会效益指标</w:t>
            </w:r>
          </w:p>
        </w:tc>
        <w:tc>
          <w:tcPr>
            <w:tcW w:w="2835" w:type="dxa"/>
            <w:vAlign w:val="center"/>
          </w:tcPr>
          <w:p w14:paraId="26E1C6E5">
            <w:pPr>
              <w:pStyle w:val="12"/>
            </w:pPr>
            <w:r>
              <w:t>学校办学能力提升</w:t>
            </w:r>
          </w:p>
        </w:tc>
        <w:tc>
          <w:tcPr>
            <w:tcW w:w="5386" w:type="dxa"/>
            <w:vAlign w:val="center"/>
          </w:tcPr>
          <w:p w14:paraId="30B3F782">
            <w:pPr>
              <w:pStyle w:val="12"/>
            </w:pPr>
            <w:r>
              <w:t>学校办学能</w:t>
            </w:r>
            <w:r>
              <w:rPr>
                <w:rFonts w:hint="eastAsia"/>
                <w:lang w:eastAsia="zh-CN"/>
              </w:rPr>
              <w:t>力提</w:t>
            </w:r>
            <w:r>
              <w:t>升情况及教育教学工作等开展的情况</w:t>
            </w:r>
          </w:p>
        </w:tc>
        <w:tc>
          <w:tcPr>
            <w:tcW w:w="2268" w:type="dxa"/>
            <w:vAlign w:val="center"/>
          </w:tcPr>
          <w:p w14:paraId="6577683F">
            <w:pPr>
              <w:pStyle w:val="12"/>
            </w:pPr>
            <w:r>
              <w:t>100%</w:t>
            </w:r>
          </w:p>
        </w:tc>
        <w:tc>
          <w:tcPr>
            <w:tcW w:w="1276" w:type="dxa"/>
            <w:vAlign w:val="center"/>
          </w:tcPr>
          <w:p w14:paraId="422123DA">
            <w:pPr>
              <w:pStyle w:val="12"/>
            </w:pPr>
            <w:r>
              <w:t>城乡义务教育公用经费管理办法</w:t>
            </w:r>
          </w:p>
        </w:tc>
      </w:tr>
      <w:tr w14:paraId="0048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D49B8"/>
        </w:tc>
        <w:tc>
          <w:tcPr>
            <w:tcW w:w="2268" w:type="dxa"/>
            <w:vAlign w:val="center"/>
          </w:tcPr>
          <w:p w14:paraId="0D0FA4E2">
            <w:pPr>
              <w:pStyle w:val="12"/>
            </w:pPr>
            <w:r>
              <w:t>可持续影响指标</w:t>
            </w:r>
          </w:p>
        </w:tc>
        <w:tc>
          <w:tcPr>
            <w:tcW w:w="2835" w:type="dxa"/>
            <w:vAlign w:val="center"/>
          </w:tcPr>
          <w:p w14:paraId="185DAFA6">
            <w:pPr>
              <w:pStyle w:val="12"/>
            </w:pPr>
            <w:r>
              <w:t>教育发展水平</w:t>
            </w:r>
          </w:p>
        </w:tc>
        <w:tc>
          <w:tcPr>
            <w:tcW w:w="5386" w:type="dxa"/>
            <w:vAlign w:val="center"/>
          </w:tcPr>
          <w:p w14:paraId="26F03FC6">
            <w:pPr>
              <w:pStyle w:val="12"/>
            </w:pPr>
            <w:r>
              <w:t>教育环境明显好转</w:t>
            </w:r>
          </w:p>
        </w:tc>
        <w:tc>
          <w:tcPr>
            <w:tcW w:w="2268" w:type="dxa"/>
            <w:vAlign w:val="center"/>
          </w:tcPr>
          <w:p w14:paraId="39C2AC3B">
            <w:pPr>
              <w:pStyle w:val="12"/>
            </w:pPr>
            <w:r>
              <w:t>100%</w:t>
            </w:r>
          </w:p>
        </w:tc>
        <w:tc>
          <w:tcPr>
            <w:tcW w:w="1276" w:type="dxa"/>
            <w:vAlign w:val="center"/>
          </w:tcPr>
          <w:p w14:paraId="18CD23AA">
            <w:pPr>
              <w:pStyle w:val="12"/>
            </w:pPr>
            <w:r>
              <w:t>城乡义务教育公用经费管理办法</w:t>
            </w:r>
          </w:p>
        </w:tc>
      </w:tr>
      <w:tr w14:paraId="1F0D2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6FD91">
            <w:pPr>
              <w:pStyle w:val="13"/>
            </w:pPr>
            <w:r>
              <w:t>满意度指标</w:t>
            </w:r>
          </w:p>
        </w:tc>
        <w:tc>
          <w:tcPr>
            <w:tcW w:w="2268" w:type="dxa"/>
            <w:vAlign w:val="center"/>
          </w:tcPr>
          <w:p w14:paraId="0B5CECA2">
            <w:pPr>
              <w:pStyle w:val="12"/>
            </w:pPr>
            <w:r>
              <w:t>服务对象满意度指标</w:t>
            </w:r>
          </w:p>
        </w:tc>
        <w:tc>
          <w:tcPr>
            <w:tcW w:w="2835" w:type="dxa"/>
            <w:vAlign w:val="center"/>
          </w:tcPr>
          <w:p w14:paraId="46107693">
            <w:pPr>
              <w:pStyle w:val="12"/>
            </w:pPr>
            <w:r>
              <w:t>受益学生家长及调查满意度</w:t>
            </w:r>
          </w:p>
        </w:tc>
        <w:tc>
          <w:tcPr>
            <w:tcW w:w="5386" w:type="dxa"/>
            <w:vAlign w:val="center"/>
          </w:tcPr>
          <w:p w14:paraId="5A60AFC2">
            <w:pPr>
              <w:pStyle w:val="12"/>
            </w:pPr>
            <w:r>
              <w:t>学生、教师及家长对学校保教保育工作满意度情况</w:t>
            </w:r>
          </w:p>
        </w:tc>
        <w:tc>
          <w:tcPr>
            <w:tcW w:w="2268" w:type="dxa"/>
            <w:vAlign w:val="center"/>
          </w:tcPr>
          <w:p w14:paraId="4192AA54">
            <w:pPr>
              <w:pStyle w:val="12"/>
            </w:pPr>
            <w:r>
              <w:t>≥95%</w:t>
            </w:r>
          </w:p>
        </w:tc>
        <w:tc>
          <w:tcPr>
            <w:tcW w:w="1276" w:type="dxa"/>
            <w:vAlign w:val="center"/>
          </w:tcPr>
          <w:p w14:paraId="487DB709">
            <w:pPr>
              <w:pStyle w:val="12"/>
            </w:pPr>
            <w:r>
              <w:t>调查问卷</w:t>
            </w:r>
          </w:p>
        </w:tc>
      </w:tr>
    </w:tbl>
    <w:p w14:paraId="1EB66DF0">
      <w:pPr>
        <w:sectPr>
          <w:pgSz w:w="16840" w:h="11900" w:orient="landscape"/>
          <w:pgMar w:top="1361" w:right="1020" w:bottom="1134" w:left="1020" w:header="720" w:footer="720" w:gutter="0"/>
          <w:cols w:space="720" w:num="1"/>
        </w:sectPr>
      </w:pPr>
    </w:p>
    <w:p w14:paraId="3F3663F5">
      <w:pPr>
        <w:spacing w:before="0" w:after="0"/>
        <w:ind w:firstLine="560"/>
        <w:jc w:val="left"/>
        <w:outlineLvl w:val="9"/>
      </w:pPr>
      <w:r>
        <w:rPr>
          <w:rFonts w:ascii="方正仿宋_GBK" w:hAnsi="方正仿宋_GBK" w:eastAsia="方正仿宋_GBK" w:cs="方正仿宋_GBK"/>
          <w:b/>
          <w:color w:val="000000"/>
          <w:sz w:val="28"/>
        </w:rPr>
        <w:t>2、冀财教[2025]121号/中央/义教/2026年校舍安全/实验中学学生宿舍楼及餐厅低压线路改造绩效目标表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E1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C2A53">
            <w:pPr>
              <w:pStyle w:val="11"/>
            </w:pPr>
            <w:r>
              <w:t>单位：万元</w:t>
            </w:r>
          </w:p>
        </w:tc>
      </w:tr>
      <w:tr w14:paraId="6FBE7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3CF39">
            <w:pPr>
              <w:pStyle w:val="10"/>
            </w:pPr>
            <w:r>
              <w:t>项目编码</w:t>
            </w:r>
          </w:p>
        </w:tc>
        <w:tc>
          <w:tcPr>
            <w:tcW w:w="5103" w:type="dxa"/>
            <w:gridSpan w:val="2"/>
            <w:vAlign w:val="center"/>
          </w:tcPr>
          <w:p w14:paraId="285A07DF">
            <w:pPr>
              <w:pStyle w:val="12"/>
            </w:pPr>
            <w:r>
              <w:t>13052526P00876210077M</w:t>
            </w:r>
          </w:p>
        </w:tc>
        <w:tc>
          <w:tcPr>
            <w:tcW w:w="2835" w:type="dxa"/>
            <w:vAlign w:val="center"/>
          </w:tcPr>
          <w:p w14:paraId="4F057B1A">
            <w:pPr>
              <w:pStyle w:val="10"/>
            </w:pPr>
            <w:r>
              <w:t>项目名称</w:t>
            </w:r>
          </w:p>
        </w:tc>
        <w:tc>
          <w:tcPr>
            <w:tcW w:w="6095" w:type="dxa"/>
            <w:gridSpan w:val="3"/>
            <w:vAlign w:val="center"/>
          </w:tcPr>
          <w:p w14:paraId="1739FF9B">
            <w:pPr>
              <w:pStyle w:val="12"/>
            </w:pPr>
            <w:r>
              <w:t>冀财教[2025]121号/中央/义教/2026年校舍安全/实验中学学生宿舍楼及餐厅低压线路改造</w:t>
            </w:r>
          </w:p>
        </w:tc>
      </w:tr>
      <w:tr w14:paraId="25E8C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214FF">
            <w:pPr>
              <w:pStyle w:val="10"/>
            </w:pPr>
            <w:r>
              <w:t>预算规模及资金用途</w:t>
            </w:r>
          </w:p>
        </w:tc>
        <w:tc>
          <w:tcPr>
            <w:tcW w:w="2268" w:type="dxa"/>
            <w:vAlign w:val="center"/>
          </w:tcPr>
          <w:p w14:paraId="00796AE6">
            <w:pPr>
              <w:pStyle w:val="10"/>
            </w:pPr>
            <w:r>
              <w:t>预算数</w:t>
            </w:r>
          </w:p>
        </w:tc>
        <w:tc>
          <w:tcPr>
            <w:tcW w:w="2835" w:type="dxa"/>
            <w:vAlign w:val="center"/>
          </w:tcPr>
          <w:p w14:paraId="4D241D38">
            <w:pPr>
              <w:pStyle w:val="12"/>
            </w:pPr>
            <w:r>
              <w:t>31.30</w:t>
            </w:r>
          </w:p>
        </w:tc>
        <w:tc>
          <w:tcPr>
            <w:tcW w:w="2835" w:type="dxa"/>
            <w:vAlign w:val="center"/>
          </w:tcPr>
          <w:p w14:paraId="30F3AA35">
            <w:pPr>
              <w:pStyle w:val="10"/>
            </w:pPr>
            <w:r>
              <w:t>其中：财政    资金</w:t>
            </w:r>
          </w:p>
        </w:tc>
        <w:tc>
          <w:tcPr>
            <w:tcW w:w="2551" w:type="dxa"/>
            <w:vAlign w:val="center"/>
          </w:tcPr>
          <w:p w14:paraId="3A706C83">
            <w:pPr>
              <w:pStyle w:val="12"/>
            </w:pPr>
            <w:r>
              <w:t>31.30</w:t>
            </w:r>
          </w:p>
        </w:tc>
        <w:tc>
          <w:tcPr>
            <w:tcW w:w="2268" w:type="dxa"/>
            <w:vAlign w:val="center"/>
          </w:tcPr>
          <w:p w14:paraId="1250AEA8">
            <w:pPr>
              <w:pStyle w:val="10"/>
            </w:pPr>
            <w:r>
              <w:t>其他资金</w:t>
            </w:r>
          </w:p>
        </w:tc>
        <w:tc>
          <w:tcPr>
            <w:tcW w:w="1276" w:type="dxa"/>
            <w:vAlign w:val="center"/>
          </w:tcPr>
          <w:p w14:paraId="3A2E4D51">
            <w:pPr>
              <w:pStyle w:val="12"/>
            </w:pPr>
            <w:r>
              <w:t xml:space="preserve"> </w:t>
            </w:r>
          </w:p>
        </w:tc>
      </w:tr>
      <w:tr w14:paraId="196D1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0909C"/>
        </w:tc>
        <w:tc>
          <w:tcPr>
            <w:tcW w:w="14033" w:type="dxa"/>
            <w:gridSpan w:val="6"/>
            <w:vAlign w:val="center"/>
          </w:tcPr>
          <w:p w14:paraId="32ED1C03">
            <w:pPr>
              <w:pStyle w:val="12"/>
            </w:pPr>
            <w:r>
              <w:t>从长远角度考虑学生宿舍不用开启中央空调利用分体式空调取暖和制冷能大大节省能源。</w:t>
            </w:r>
          </w:p>
        </w:tc>
      </w:tr>
      <w:tr w14:paraId="045B8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62CAD">
            <w:pPr>
              <w:pStyle w:val="10"/>
            </w:pPr>
            <w:r>
              <w:t>资金支出计划（%）</w:t>
            </w:r>
          </w:p>
        </w:tc>
        <w:tc>
          <w:tcPr>
            <w:tcW w:w="5103" w:type="dxa"/>
            <w:gridSpan w:val="2"/>
            <w:vAlign w:val="center"/>
          </w:tcPr>
          <w:p w14:paraId="6DE8A7F0">
            <w:pPr>
              <w:pStyle w:val="10"/>
            </w:pPr>
            <w:r>
              <w:t>3月底</w:t>
            </w:r>
          </w:p>
        </w:tc>
        <w:tc>
          <w:tcPr>
            <w:tcW w:w="2835" w:type="dxa"/>
            <w:vAlign w:val="center"/>
          </w:tcPr>
          <w:p w14:paraId="5C8B6BA8">
            <w:pPr>
              <w:pStyle w:val="10"/>
            </w:pPr>
            <w:r>
              <w:t>6月底</w:t>
            </w:r>
          </w:p>
        </w:tc>
        <w:tc>
          <w:tcPr>
            <w:tcW w:w="2551" w:type="dxa"/>
            <w:vAlign w:val="center"/>
          </w:tcPr>
          <w:p w14:paraId="16346B72">
            <w:pPr>
              <w:pStyle w:val="10"/>
            </w:pPr>
            <w:r>
              <w:t>10月底</w:t>
            </w:r>
          </w:p>
        </w:tc>
        <w:tc>
          <w:tcPr>
            <w:tcW w:w="3544" w:type="dxa"/>
            <w:gridSpan w:val="2"/>
            <w:vAlign w:val="center"/>
          </w:tcPr>
          <w:p w14:paraId="0E5F6F78">
            <w:pPr>
              <w:pStyle w:val="10"/>
            </w:pPr>
            <w:r>
              <w:t>12月底</w:t>
            </w:r>
          </w:p>
        </w:tc>
      </w:tr>
      <w:tr w14:paraId="1BE06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6847E"/>
        </w:tc>
        <w:tc>
          <w:tcPr>
            <w:tcW w:w="5103" w:type="dxa"/>
            <w:gridSpan w:val="2"/>
            <w:vAlign w:val="center"/>
          </w:tcPr>
          <w:p w14:paraId="0260F3C0">
            <w:pPr>
              <w:pStyle w:val="13"/>
            </w:pPr>
            <w:r>
              <w:t>25%</w:t>
            </w:r>
          </w:p>
        </w:tc>
        <w:tc>
          <w:tcPr>
            <w:tcW w:w="2835" w:type="dxa"/>
            <w:vAlign w:val="center"/>
          </w:tcPr>
          <w:p w14:paraId="66DFC535">
            <w:pPr>
              <w:pStyle w:val="13"/>
            </w:pPr>
            <w:r>
              <w:t>50%</w:t>
            </w:r>
          </w:p>
        </w:tc>
        <w:tc>
          <w:tcPr>
            <w:tcW w:w="2551" w:type="dxa"/>
            <w:vAlign w:val="center"/>
          </w:tcPr>
          <w:p w14:paraId="3557AB00">
            <w:pPr>
              <w:pStyle w:val="13"/>
            </w:pPr>
            <w:r>
              <w:t>75%</w:t>
            </w:r>
          </w:p>
        </w:tc>
        <w:tc>
          <w:tcPr>
            <w:tcW w:w="3544" w:type="dxa"/>
            <w:gridSpan w:val="2"/>
            <w:vAlign w:val="center"/>
          </w:tcPr>
          <w:p w14:paraId="63F4FDC0">
            <w:pPr>
              <w:pStyle w:val="13"/>
            </w:pPr>
            <w:r>
              <w:t>100%</w:t>
            </w:r>
          </w:p>
        </w:tc>
      </w:tr>
      <w:tr w14:paraId="6A23D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4A08A">
            <w:pPr>
              <w:pStyle w:val="10"/>
            </w:pPr>
            <w:r>
              <w:t>绩效目标</w:t>
            </w:r>
          </w:p>
        </w:tc>
        <w:tc>
          <w:tcPr>
            <w:tcW w:w="14033" w:type="dxa"/>
            <w:gridSpan w:val="6"/>
            <w:vAlign w:val="center"/>
          </w:tcPr>
          <w:p w14:paraId="3ED0289C">
            <w:pPr>
              <w:pStyle w:val="12"/>
            </w:pPr>
            <w:r>
              <w:t>1.改善就学条件，提升学校形象，保障义务教育阶段教学安全，创造良好的校园环境。</w:t>
            </w:r>
          </w:p>
          <w:p w14:paraId="555A779E">
            <w:pPr>
              <w:pStyle w:val="12"/>
            </w:pPr>
            <w:r>
              <w:t>2.项目需资金31.3万元，资金拨付率达到100%。</w:t>
            </w:r>
            <w:r>
              <w:tab/>
            </w:r>
            <w:r>
              <w:tab/>
            </w:r>
            <w:r>
              <w:tab/>
            </w:r>
            <w:r>
              <w:tab/>
            </w:r>
            <w:r>
              <w:tab/>
            </w:r>
            <w:r>
              <w:tab/>
            </w:r>
          </w:p>
          <w:p w14:paraId="7CD56915">
            <w:pPr>
              <w:pStyle w:val="12"/>
            </w:pPr>
          </w:p>
        </w:tc>
      </w:tr>
    </w:tbl>
    <w:p w14:paraId="069EE8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5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77D68">
            <w:pPr>
              <w:pStyle w:val="10"/>
            </w:pPr>
            <w:r>
              <w:t>一级指标</w:t>
            </w:r>
          </w:p>
        </w:tc>
        <w:tc>
          <w:tcPr>
            <w:tcW w:w="2268" w:type="dxa"/>
            <w:vAlign w:val="center"/>
          </w:tcPr>
          <w:p w14:paraId="4E1FAC25">
            <w:pPr>
              <w:pStyle w:val="10"/>
            </w:pPr>
            <w:r>
              <w:t>二级指标</w:t>
            </w:r>
          </w:p>
        </w:tc>
        <w:tc>
          <w:tcPr>
            <w:tcW w:w="2835" w:type="dxa"/>
            <w:vAlign w:val="center"/>
          </w:tcPr>
          <w:p w14:paraId="480D4938">
            <w:pPr>
              <w:pStyle w:val="10"/>
            </w:pPr>
            <w:r>
              <w:t>三级指标</w:t>
            </w:r>
          </w:p>
        </w:tc>
        <w:tc>
          <w:tcPr>
            <w:tcW w:w="5386" w:type="dxa"/>
            <w:vAlign w:val="center"/>
          </w:tcPr>
          <w:p w14:paraId="7A21AFCA">
            <w:pPr>
              <w:pStyle w:val="10"/>
            </w:pPr>
            <w:r>
              <w:t>绩效指标描述</w:t>
            </w:r>
          </w:p>
        </w:tc>
        <w:tc>
          <w:tcPr>
            <w:tcW w:w="2268" w:type="dxa"/>
            <w:vAlign w:val="center"/>
          </w:tcPr>
          <w:p w14:paraId="5FDE9621">
            <w:pPr>
              <w:pStyle w:val="10"/>
            </w:pPr>
            <w:r>
              <w:t>指标值</w:t>
            </w:r>
          </w:p>
        </w:tc>
        <w:tc>
          <w:tcPr>
            <w:tcW w:w="1276" w:type="dxa"/>
            <w:vAlign w:val="center"/>
          </w:tcPr>
          <w:p w14:paraId="68A7BC96">
            <w:pPr>
              <w:pStyle w:val="10"/>
            </w:pPr>
            <w:r>
              <w:t>指标值确定依据</w:t>
            </w:r>
          </w:p>
        </w:tc>
      </w:tr>
      <w:tr w14:paraId="2A4E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8781C">
            <w:pPr>
              <w:pStyle w:val="13"/>
            </w:pPr>
            <w:r>
              <w:t>产出指标</w:t>
            </w:r>
          </w:p>
        </w:tc>
        <w:tc>
          <w:tcPr>
            <w:tcW w:w="2268" w:type="dxa"/>
            <w:vAlign w:val="center"/>
          </w:tcPr>
          <w:p w14:paraId="0BED8F31">
            <w:pPr>
              <w:pStyle w:val="12"/>
            </w:pPr>
            <w:r>
              <w:t>数量指标</w:t>
            </w:r>
          </w:p>
        </w:tc>
        <w:tc>
          <w:tcPr>
            <w:tcW w:w="2835" w:type="dxa"/>
            <w:vAlign w:val="center"/>
          </w:tcPr>
          <w:p w14:paraId="0ED601FE">
            <w:pPr>
              <w:pStyle w:val="12"/>
            </w:pPr>
            <w:r>
              <w:t>学生宿舍楼及餐厅低压线路改造</w:t>
            </w:r>
          </w:p>
        </w:tc>
        <w:tc>
          <w:tcPr>
            <w:tcW w:w="5386" w:type="dxa"/>
            <w:vAlign w:val="center"/>
          </w:tcPr>
          <w:p w14:paraId="59588487">
            <w:pPr>
              <w:pStyle w:val="12"/>
            </w:pPr>
            <w:r>
              <w:t>该项目需要各型号电力电缆、各型号铜线、配电箱、控制箱等约需资金31.3万元，涉及改造宿舍257间，餐厅两层。</w:t>
            </w:r>
          </w:p>
        </w:tc>
        <w:tc>
          <w:tcPr>
            <w:tcW w:w="2268" w:type="dxa"/>
            <w:vAlign w:val="center"/>
          </w:tcPr>
          <w:p w14:paraId="27A0A937">
            <w:pPr>
              <w:pStyle w:val="12"/>
            </w:pPr>
            <w:r>
              <w:t>1项</w:t>
            </w:r>
          </w:p>
        </w:tc>
        <w:tc>
          <w:tcPr>
            <w:tcW w:w="1276" w:type="dxa"/>
            <w:vAlign w:val="center"/>
          </w:tcPr>
          <w:p w14:paraId="400B0D21">
            <w:pPr>
              <w:pStyle w:val="12"/>
            </w:pPr>
            <w:r>
              <w:t>项目规划</w:t>
            </w:r>
          </w:p>
        </w:tc>
      </w:tr>
      <w:tr w14:paraId="1BEC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20A3C"/>
        </w:tc>
        <w:tc>
          <w:tcPr>
            <w:tcW w:w="2268" w:type="dxa"/>
            <w:vAlign w:val="center"/>
          </w:tcPr>
          <w:p w14:paraId="5F756D4A">
            <w:pPr>
              <w:pStyle w:val="12"/>
            </w:pPr>
            <w:r>
              <w:t>质量指标</w:t>
            </w:r>
          </w:p>
        </w:tc>
        <w:tc>
          <w:tcPr>
            <w:tcW w:w="2835" w:type="dxa"/>
            <w:vAlign w:val="center"/>
          </w:tcPr>
          <w:p w14:paraId="59F06236">
            <w:pPr>
              <w:pStyle w:val="12"/>
            </w:pPr>
            <w:r>
              <w:t>工程实施验收合格率</w:t>
            </w:r>
          </w:p>
        </w:tc>
        <w:tc>
          <w:tcPr>
            <w:tcW w:w="5386" w:type="dxa"/>
            <w:vAlign w:val="center"/>
          </w:tcPr>
          <w:p w14:paraId="57CDC047">
            <w:pPr>
              <w:pStyle w:val="12"/>
            </w:pPr>
            <w:r>
              <w:t>申报程序的合规，项目实施及资金使用符合项目规划</w:t>
            </w:r>
          </w:p>
        </w:tc>
        <w:tc>
          <w:tcPr>
            <w:tcW w:w="2268" w:type="dxa"/>
            <w:vAlign w:val="center"/>
          </w:tcPr>
          <w:p w14:paraId="279FA741">
            <w:pPr>
              <w:pStyle w:val="12"/>
            </w:pPr>
            <w:r>
              <w:t>100%</w:t>
            </w:r>
          </w:p>
        </w:tc>
        <w:tc>
          <w:tcPr>
            <w:tcW w:w="1276" w:type="dxa"/>
            <w:vAlign w:val="center"/>
          </w:tcPr>
          <w:p w14:paraId="57D5D1FC">
            <w:pPr>
              <w:pStyle w:val="12"/>
            </w:pPr>
            <w:r>
              <w:t>项目规划</w:t>
            </w:r>
          </w:p>
        </w:tc>
      </w:tr>
      <w:tr w14:paraId="22C1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C30BE"/>
        </w:tc>
        <w:tc>
          <w:tcPr>
            <w:tcW w:w="2268" w:type="dxa"/>
            <w:vAlign w:val="center"/>
          </w:tcPr>
          <w:p w14:paraId="12995F40">
            <w:pPr>
              <w:pStyle w:val="12"/>
            </w:pPr>
            <w:r>
              <w:t>时效指标</w:t>
            </w:r>
          </w:p>
        </w:tc>
        <w:tc>
          <w:tcPr>
            <w:tcW w:w="2835" w:type="dxa"/>
            <w:vAlign w:val="center"/>
          </w:tcPr>
          <w:p w14:paraId="5CE97759">
            <w:pPr>
              <w:pStyle w:val="12"/>
            </w:pPr>
            <w:r>
              <w:t>资金支付率</w:t>
            </w:r>
          </w:p>
        </w:tc>
        <w:tc>
          <w:tcPr>
            <w:tcW w:w="5386" w:type="dxa"/>
            <w:vAlign w:val="center"/>
          </w:tcPr>
          <w:p w14:paraId="491AE472">
            <w:pPr>
              <w:pStyle w:val="12"/>
            </w:pPr>
            <w:r>
              <w:t>按照序时进度完成资金支付</w:t>
            </w:r>
          </w:p>
        </w:tc>
        <w:tc>
          <w:tcPr>
            <w:tcW w:w="2268" w:type="dxa"/>
            <w:vAlign w:val="center"/>
          </w:tcPr>
          <w:p w14:paraId="13127887">
            <w:pPr>
              <w:pStyle w:val="12"/>
            </w:pPr>
            <w:r>
              <w:t>100%</w:t>
            </w:r>
          </w:p>
        </w:tc>
        <w:tc>
          <w:tcPr>
            <w:tcW w:w="1276" w:type="dxa"/>
            <w:vAlign w:val="center"/>
          </w:tcPr>
          <w:p w14:paraId="492BA7F1">
            <w:pPr>
              <w:pStyle w:val="12"/>
            </w:pPr>
            <w:r>
              <w:t>项目规划</w:t>
            </w:r>
          </w:p>
        </w:tc>
      </w:tr>
      <w:tr w14:paraId="4A72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8DFF"/>
        </w:tc>
        <w:tc>
          <w:tcPr>
            <w:tcW w:w="2268" w:type="dxa"/>
            <w:vAlign w:val="center"/>
          </w:tcPr>
          <w:p w14:paraId="4EC13B53">
            <w:pPr>
              <w:pStyle w:val="12"/>
            </w:pPr>
            <w:r>
              <w:t>成本指标</w:t>
            </w:r>
          </w:p>
        </w:tc>
        <w:tc>
          <w:tcPr>
            <w:tcW w:w="2835" w:type="dxa"/>
            <w:vAlign w:val="center"/>
          </w:tcPr>
          <w:p w14:paraId="63563765">
            <w:pPr>
              <w:pStyle w:val="12"/>
            </w:pPr>
            <w:r>
              <w:t>项目成本控制情况</w:t>
            </w:r>
          </w:p>
        </w:tc>
        <w:tc>
          <w:tcPr>
            <w:tcW w:w="5386" w:type="dxa"/>
            <w:vAlign w:val="center"/>
          </w:tcPr>
          <w:p w14:paraId="4061544A">
            <w:pPr>
              <w:pStyle w:val="12"/>
            </w:pPr>
            <w:r>
              <w:t>严格按照招标价格及审计额进行</w:t>
            </w:r>
          </w:p>
        </w:tc>
        <w:tc>
          <w:tcPr>
            <w:tcW w:w="2268" w:type="dxa"/>
            <w:vAlign w:val="center"/>
          </w:tcPr>
          <w:p w14:paraId="06A8084A">
            <w:pPr>
              <w:pStyle w:val="12"/>
            </w:pPr>
            <w:r>
              <w:t>31.3万元</w:t>
            </w:r>
          </w:p>
        </w:tc>
        <w:tc>
          <w:tcPr>
            <w:tcW w:w="1276" w:type="dxa"/>
            <w:vAlign w:val="center"/>
          </w:tcPr>
          <w:p w14:paraId="7CBA67C9">
            <w:pPr>
              <w:pStyle w:val="12"/>
            </w:pPr>
            <w:r>
              <w:t>项目规划</w:t>
            </w:r>
          </w:p>
        </w:tc>
      </w:tr>
      <w:tr w14:paraId="2A65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9D7BE">
            <w:pPr>
              <w:pStyle w:val="13"/>
            </w:pPr>
            <w:r>
              <w:t>效益指标</w:t>
            </w:r>
          </w:p>
        </w:tc>
        <w:tc>
          <w:tcPr>
            <w:tcW w:w="2268" w:type="dxa"/>
            <w:vAlign w:val="center"/>
          </w:tcPr>
          <w:p w14:paraId="5AB03D33">
            <w:pPr>
              <w:pStyle w:val="12"/>
            </w:pPr>
            <w:r>
              <w:t>社会效益指标</w:t>
            </w:r>
          </w:p>
        </w:tc>
        <w:tc>
          <w:tcPr>
            <w:tcW w:w="2835" w:type="dxa"/>
            <w:vAlign w:val="center"/>
          </w:tcPr>
          <w:p w14:paraId="116684CA">
            <w:pPr>
              <w:pStyle w:val="12"/>
            </w:pPr>
            <w:r>
              <w:t>学校办学环境提升</w:t>
            </w:r>
          </w:p>
        </w:tc>
        <w:tc>
          <w:tcPr>
            <w:tcW w:w="5386" w:type="dxa"/>
            <w:vAlign w:val="center"/>
          </w:tcPr>
          <w:p w14:paraId="1DCA8013">
            <w:pPr>
              <w:pStyle w:val="12"/>
            </w:pPr>
            <w:r>
              <w:t>学校教学环境提升优化率</w:t>
            </w:r>
          </w:p>
        </w:tc>
        <w:tc>
          <w:tcPr>
            <w:tcW w:w="2268" w:type="dxa"/>
            <w:vAlign w:val="center"/>
          </w:tcPr>
          <w:p w14:paraId="01D5CA9D">
            <w:pPr>
              <w:pStyle w:val="12"/>
            </w:pPr>
            <w:r>
              <w:t>100%</w:t>
            </w:r>
          </w:p>
        </w:tc>
        <w:tc>
          <w:tcPr>
            <w:tcW w:w="1276" w:type="dxa"/>
            <w:vAlign w:val="center"/>
          </w:tcPr>
          <w:p w14:paraId="7F976CAD">
            <w:pPr>
              <w:pStyle w:val="12"/>
            </w:pPr>
            <w:r>
              <w:t>项目规划</w:t>
            </w:r>
          </w:p>
        </w:tc>
      </w:tr>
      <w:tr w14:paraId="126B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E2336">
            <w:pPr>
              <w:pStyle w:val="13"/>
            </w:pPr>
            <w:r>
              <w:t>满意度指标</w:t>
            </w:r>
          </w:p>
        </w:tc>
        <w:tc>
          <w:tcPr>
            <w:tcW w:w="2268" w:type="dxa"/>
            <w:vAlign w:val="center"/>
          </w:tcPr>
          <w:p w14:paraId="24DA08CF">
            <w:pPr>
              <w:pStyle w:val="12"/>
            </w:pPr>
            <w:r>
              <w:t>服务对象满意度指标</w:t>
            </w:r>
          </w:p>
        </w:tc>
        <w:tc>
          <w:tcPr>
            <w:tcW w:w="2835" w:type="dxa"/>
            <w:vAlign w:val="center"/>
          </w:tcPr>
          <w:p w14:paraId="18FA91BA">
            <w:pPr>
              <w:pStyle w:val="12"/>
            </w:pPr>
            <w:r>
              <w:t>受益学生家长及调查满意度</w:t>
            </w:r>
          </w:p>
        </w:tc>
        <w:tc>
          <w:tcPr>
            <w:tcW w:w="5386" w:type="dxa"/>
            <w:vAlign w:val="center"/>
          </w:tcPr>
          <w:p w14:paraId="592A614B">
            <w:pPr>
              <w:pStyle w:val="12"/>
            </w:pPr>
            <w:r>
              <w:t>学生、教师及家长对学校教学环境满意度情况</w:t>
            </w:r>
          </w:p>
        </w:tc>
        <w:tc>
          <w:tcPr>
            <w:tcW w:w="2268" w:type="dxa"/>
            <w:vAlign w:val="center"/>
          </w:tcPr>
          <w:p w14:paraId="4036B7CA">
            <w:pPr>
              <w:pStyle w:val="12"/>
            </w:pPr>
            <w:r>
              <w:t>≥95%</w:t>
            </w:r>
          </w:p>
        </w:tc>
        <w:tc>
          <w:tcPr>
            <w:tcW w:w="1276" w:type="dxa"/>
            <w:vAlign w:val="center"/>
          </w:tcPr>
          <w:p w14:paraId="5855802D">
            <w:pPr>
              <w:pStyle w:val="12"/>
            </w:pPr>
            <w:r>
              <w:t>项目规划</w:t>
            </w:r>
          </w:p>
        </w:tc>
      </w:tr>
    </w:tbl>
    <w:p w14:paraId="3999C009">
      <w:pPr>
        <w:sectPr>
          <w:pgSz w:w="16840" w:h="11900" w:orient="landscape"/>
          <w:pgMar w:top="1361" w:right="1020" w:bottom="1134" w:left="1020" w:header="720" w:footer="720" w:gutter="0"/>
          <w:cols w:space="720" w:num="1"/>
        </w:sectPr>
      </w:pPr>
    </w:p>
    <w:p w14:paraId="0B16692F">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3、冀财教[2025]147号/省级/2026年义教补助经费/实验中学公用经费绩效目标表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D6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BFD4B">
            <w:pPr>
              <w:pStyle w:val="11"/>
            </w:pPr>
            <w:r>
              <w:t>单位：万元</w:t>
            </w:r>
          </w:p>
        </w:tc>
      </w:tr>
      <w:tr w14:paraId="42CD9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3447B">
            <w:pPr>
              <w:pStyle w:val="10"/>
            </w:pPr>
            <w:r>
              <w:t>项目编码</w:t>
            </w:r>
          </w:p>
        </w:tc>
        <w:tc>
          <w:tcPr>
            <w:tcW w:w="5103" w:type="dxa"/>
            <w:gridSpan w:val="2"/>
            <w:vAlign w:val="center"/>
          </w:tcPr>
          <w:p w14:paraId="6CB0C45F">
            <w:pPr>
              <w:pStyle w:val="12"/>
            </w:pPr>
            <w:r>
              <w:t>13052526P00000410327B</w:t>
            </w:r>
          </w:p>
        </w:tc>
        <w:tc>
          <w:tcPr>
            <w:tcW w:w="2835" w:type="dxa"/>
            <w:vAlign w:val="center"/>
          </w:tcPr>
          <w:p w14:paraId="058A25AB">
            <w:pPr>
              <w:pStyle w:val="10"/>
            </w:pPr>
            <w:r>
              <w:t>项目名称</w:t>
            </w:r>
          </w:p>
        </w:tc>
        <w:tc>
          <w:tcPr>
            <w:tcW w:w="6095" w:type="dxa"/>
            <w:gridSpan w:val="3"/>
            <w:vAlign w:val="center"/>
          </w:tcPr>
          <w:p w14:paraId="1B94E753">
            <w:pPr>
              <w:pStyle w:val="12"/>
            </w:pPr>
            <w:r>
              <w:t>冀财教[2025]147号/省级/2026年义教补助经费/实验中学公用经费</w:t>
            </w:r>
          </w:p>
        </w:tc>
      </w:tr>
      <w:tr w14:paraId="63469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C4E87">
            <w:pPr>
              <w:pStyle w:val="10"/>
            </w:pPr>
            <w:r>
              <w:t>预算规模及资金用途</w:t>
            </w:r>
          </w:p>
        </w:tc>
        <w:tc>
          <w:tcPr>
            <w:tcW w:w="2268" w:type="dxa"/>
            <w:vAlign w:val="center"/>
          </w:tcPr>
          <w:p w14:paraId="0BB313F7">
            <w:pPr>
              <w:pStyle w:val="10"/>
            </w:pPr>
            <w:r>
              <w:t>预算数</w:t>
            </w:r>
          </w:p>
        </w:tc>
        <w:tc>
          <w:tcPr>
            <w:tcW w:w="2835" w:type="dxa"/>
            <w:vAlign w:val="center"/>
          </w:tcPr>
          <w:p w14:paraId="022891CF">
            <w:pPr>
              <w:pStyle w:val="12"/>
            </w:pPr>
            <w:r>
              <w:t>237.59</w:t>
            </w:r>
          </w:p>
        </w:tc>
        <w:tc>
          <w:tcPr>
            <w:tcW w:w="2835" w:type="dxa"/>
            <w:vAlign w:val="center"/>
          </w:tcPr>
          <w:p w14:paraId="401917D9">
            <w:pPr>
              <w:pStyle w:val="10"/>
            </w:pPr>
            <w:r>
              <w:t>其中：财政    资金</w:t>
            </w:r>
          </w:p>
        </w:tc>
        <w:tc>
          <w:tcPr>
            <w:tcW w:w="2551" w:type="dxa"/>
            <w:vAlign w:val="center"/>
          </w:tcPr>
          <w:p w14:paraId="68AB21CA">
            <w:pPr>
              <w:pStyle w:val="12"/>
            </w:pPr>
            <w:r>
              <w:t>237.59</w:t>
            </w:r>
          </w:p>
        </w:tc>
        <w:tc>
          <w:tcPr>
            <w:tcW w:w="2268" w:type="dxa"/>
            <w:vAlign w:val="center"/>
          </w:tcPr>
          <w:p w14:paraId="5C17BCD4">
            <w:pPr>
              <w:pStyle w:val="10"/>
            </w:pPr>
            <w:r>
              <w:t>其他资金</w:t>
            </w:r>
          </w:p>
        </w:tc>
        <w:tc>
          <w:tcPr>
            <w:tcW w:w="1276" w:type="dxa"/>
            <w:vAlign w:val="center"/>
          </w:tcPr>
          <w:p w14:paraId="5EF45941">
            <w:pPr>
              <w:pStyle w:val="12"/>
            </w:pPr>
            <w:r>
              <w:t xml:space="preserve"> </w:t>
            </w:r>
          </w:p>
        </w:tc>
      </w:tr>
      <w:tr w14:paraId="5EE18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C5C79"/>
        </w:tc>
        <w:tc>
          <w:tcPr>
            <w:tcW w:w="14033" w:type="dxa"/>
            <w:gridSpan w:val="6"/>
            <w:vAlign w:val="center"/>
          </w:tcPr>
          <w:p w14:paraId="36911381">
            <w:pPr>
              <w:pStyle w:val="12"/>
            </w:pPr>
            <w:r>
              <w:t>保障学校正常运转，完成各项教育教学活动和其他日常工作任务等方面的费用支出。</w:t>
            </w:r>
          </w:p>
        </w:tc>
      </w:tr>
      <w:tr w14:paraId="38CA2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F6D2A">
            <w:pPr>
              <w:pStyle w:val="10"/>
            </w:pPr>
            <w:r>
              <w:t>资金支出计划（%）</w:t>
            </w:r>
          </w:p>
        </w:tc>
        <w:tc>
          <w:tcPr>
            <w:tcW w:w="5103" w:type="dxa"/>
            <w:gridSpan w:val="2"/>
            <w:vAlign w:val="center"/>
          </w:tcPr>
          <w:p w14:paraId="4BFA4237">
            <w:pPr>
              <w:pStyle w:val="10"/>
            </w:pPr>
            <w:r>
              <w:t>3月底</w:t>
            </w:r>
          </w:p>
        </w:tc>
        <w:tc>
          <w:tcPr>
            <w:tcW w:w="2835" w:type="dxa"/>
            <w:vAlign w:val="center"/>
          </w:tcPr>
          <w:p w14:paraId="2BD40FC5">
            <w:pPr>
              <w:pStyle w:val="10"/>
            </w:pPr>
            <w:r>
              <w:t>6月底</w:t>
            </w:r>
          </w:p>
        </w:tc>
        <w:tc>
          <w:tcPr>
            <w:tcW w:w="2551" w:type="dxa"/>
            <w:vAlign w:val="center"/>
          </w:tcPr>
          <w:p w14:paraId="3547747F">
            <w:pPr>
              <w:pStyle w:val="10"/>
            </w:pPr>
            <w:r>
              <w:t>10月底</w:t>
            </w:r>
          </w:p>
        </w:tc>
        <w:tc>
          <w:tcPr>
            <w:tcW w:w="3544" w:type="dxa"/>
            <w:gridSpan w:val="2"/>
            <w:vAlign w:val="center"/>
          </w:tcPr>
          <w:p w14:paraId="6CB5D191">
            <w:pPr>
              <w:pStyle w:val="10"/>
            </w:pPr>
            <w:r>
              <w:t>12月底</w:t>
            </w:r>
          </w:p>
        </w:tc>
      </w:tr>
      <w:tr w14:paraId="0BBD6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1B5E8"/>
        </w:tc>
        <w:tc>
          <w:tcPr>
            <w:tcW w:w="5103" w:type="dxa"/>
            <w:gridSpan w:val="2"/>
            <w:vAlign w:val="center"/>
          </w:tcPr>
          <w:p w14:paraId="7F879D96">
            <w:pPr>
              <w:pStyle w:val="13"/>
            </w:pPr>
            <w:r>
              <w:t>25%</w:t>
            </w:r>
          </w:p>
        </w:tc>
        <w:tc>
          <w:tcPr>
            <w:tcW w:w="2835" w:type="dxa"/>
            <w:vAlign w:val="center"/>
          </w:tcPr>
          <w:p w14:paraId="3DFFAC23">
            <w:pPr>
              <w:pStyle w:val="13"/>
            </w:pPr>
            <w:r>
              <w:t>50%</w:t>
            </w:r>
          </w:p>
        </w:tc>
        <w:tc>
          <w:tcPr>
            <w:tcW w:w="2551" w:type="dxa"/>
            <w:vAlign w:val="center"/>
          </w:tcPr>
          <w:p w14:paraId="1FBE995B">
            <w:pPr>
              <w:pStyle w:val="13"/>
            </w:pPr>
            <w:r>
              <w:t>75%</w:t>
            </w:r>
          </w:p>
        </w:tc>
        <w:tc>
          <w:tcPr>
            <w:tcW w:w="3544" w:type="dxa"/>
            <w:gridSpan w:val="2"/>
            <w:vAlign w:val="center"/>
          </w:tcPr>
          <w:p w14:paraId="5C4470E1">
            <w:pPr>
              <w:pStyle w:val="13"/>
            </w:pPr>
            <w:r>
              <w:t>100%</w:t>
            </w:r>
          </w:p>
        </w:tc>
      </w:tr>
      <w:tr w14:paraId="1288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3CBA7">
            <w:pPr>
              <w:pStyle w:val="10"/>
            </w:pPr>
            <w:r>
              <w:t>绩效目标</w:t>
            </w:r>
          </w:p>
        </w:tc>
        <w:tc>
          <w:tcPr>
            <w:tcW w:w="14033" w:type="dxa"/>
            <w:gridSpan w:val="6"/>
            <w:vAlign w:val="center"/>
          </w:tcPr>
          <w:p w14:paraId="08AB582D">
            <w:pPr>
              <w:pStyle w:val="12"/>
            </w:pPr>
            <w:r>
              <w:t>1.按季度分批次拨付公用经费资金2375900元，资金拨付率达到100%。</w:t>
            </w:r>
          </w:p>
          <w:p w14:paraId="44F5C68E">
            <w:pPr>
              <w:pStyle w:val="12"/>
            </w:pPr>
            <w:r>
              <w:t>2.保障义务教育学校正常运转，完成教育教学活动和其他日常工作任务等方面的费用支出。</w:t>
            </w:r>
          </w:p>
        </w:tc>
      </w:tr>
    </w:tbl>
    <w:p w14:paraId="48247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EC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0BAC0">
            <w:pPr>
              <w:pStyle w:val="10"/>
            </w:pPr>
            <w:r>
              <w:t>一级指标</w:t>
            </w:r>
          </w:p>
        </w:tc>
        <w:tc>
          <w:tcPr>
            <w:tcW w:w="2268" w:type="dxa"/>
            <w:vAlign w:val="center"/>
          </w:tcPr>
          <w:p w14:paraId="1B3445CB">
            <w:pPr>
              <w:pStyle w:val="10"/>
            </w:pPr>
            <w:r>
              <w:t>二级指标</w:t>
            </w:r>
          </w:p>
        </w:tc>
        <w:tc>
          <w:tcPr>
            <w:tcW w:w="2835" w:type="dxa"/>
            <w:vAlign w:val="center"/>
          </w:tcPr>
          <w:p w14:paraId="4BDA14E2">
            <w:pPr>
              <w:pStyle w:val="10"/>
            </w:pPr>
            <w:r>
              <w:t>三级指标</w:t>
            </w:r>
          </w:p>
        </w:tc>
        <w:tc>
          <w:tcPr>
            <w:tcW w:w="5386" w:type="dxa"/>
            <w:vAlign w:val="center"/>
          </w:tcPr>
          <w:p w14:paraId="057CC5AA">
            <w:pPr>
              <w:pStyle w:val="10"/>
            </w:pPr>
            <w:r>
              <w:t>绩效指标描述</w:t>
            </w:r>
          </w:p>
        </w:tc>
        <w:tc>
          <w:tcPr>
            <w:tcW w:w="2268" w:type="dxa"/>
            <w:vAlign w:val="center"/>
          </w:tcPr>
          <w:p w14:paraId="1444A8CB">
            <w:pPr>
              <w:pStyle w:val="10"/>
            </w:pPr>
            <w:r>
              <w:t>指标值</w:t>
            </w:r>
          </w:p>
        </w:tc>
        <w:tc>
          <w:tcPr>
            <w:tcW w:w="1276" w:type="dxa"/>
            <w:vAlign w:val="center"/>
          </w:tcPr>
          <w:p w14:paraId="325CF38F">
            <w:pPr>
              <w:pStyle w:val="10"/>
            </w:pPr>
            <w:r>
              <w:t>指标值确定依据</w:t>
            </w:r>
          </w:p>
        </w:tc>
      </w:tr>
      <w:tr w14:paraId="73533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13FEC">
            <w:pPr>
              <w:pStyle w:val="13"/>
            </w:pPr>
            <w:r>
              <w:t>产出指标</w:t>
            </w:r>
          </w:p>
        </w:tc>
        <w:tc>
          <w:tcPr>
            <w:tcW w:w="2268" w:type="dxa"/>
            <w:vAlign w:val="center"/>
          </w:tcPr>
          <w:p w14:paraId="35F8C44C">
            <w:pPr>
              <w:pStyle w:val="12"/>
            </w:pPr>
            <w:r>
              <w:t>数量指标</w:t>
            </w:r>
          </w:p>
        </w:tc>
        <w:tc>
          <w:tcPr>
            <w:tcW w:w="2835" w:type="dxa"/>
            <w:vAlign w:val="center"/>
          </w:tcPr>
          <w:p w14:paraId="4198BE7A">
            <w:pPr>
              <w:pStyle w:val="12"/>
            </w:pPr>
            <w:r>
              <w:t>适龄在校生</w:t>
            </w:r>
          </w:p>
        </w:tc>
        <w:tc>
          <w:tcPr>
            <w:tcW w:w="5386" w:type="dxa"/>
            <w:vAlign w:val="center"/>
          </w:tcPr>
          <w:p w14:paraId="120F66E4">
            <w:pPr>
              <w:pStyle w:val="12"/>
            </w:pPr>
            <w:r>
              <w:t>适龄在校就读学生人数</w:t>
            </w:r>
          </w:p>
        </w:tc>
        <w:tc>
          <w:tcPr>
            <w:tcW w:w="2268" w:type="dxa"/>
            <w:vAlign w:val="center"/>
          </w:tcPr>
          <w:p w14:paraId="75EA9C41">
            <w:pPr>
              <w:pStyle w:val="12"/>
            </w:pPr>
            <w:r>
              <w:t>≥5468人</w:t>
            </w:r>
          </w:p>
        </w:tc>
        <w:tc>
          <w:tcPr>
            <w:tcW w:w="1276" w:type="dxa"/>
            <w:vAlign w:val="center"/>
          </w:tcPr>
          <w:p w14:paraId="7A669AF4">
            <w:pPr>
              <w:pStyle w:val="12"/>
            </w:pPr>
            <w:r>
              <w:t>城乡义务教育公用经费管理办法</w:t>
            </w:r>
          </w:p>
        </w:tc>
      </w:tr>
      <w:tr w14:paraId="189F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11275"/>
        </w:tc>
        <w:tc>
          <w:tcPr>
            <w:tcW w:w="2268" w:type="dxa"/>
            <w:vAlign w:val="center"/>
          </w:tcPr>
          <w:p w14:paraId="265C9A92">
            <w:pPr>
              <w:pStyle w:val="12"/>
            </w:pPr>
            <w:r>
              <w:t>质量指标</w:t>
            </w:r>
          </w:p>
        </w:tc>
        <w:tc>
          <w:tcPr>
            <w:tcW w:w="2835" w:type="dxa"/>
            <w:vAlign w:val="center"/>
          </w:tcPr>
          <w:p w14:paraId="3DD14B86">
            <w:pPr>
              <w:pStyle w:val="12"/>
            </w:pPr>
            <w:r>
              <w:t>公用经费拨付完成率</w:t>
            </w:r>
          </w:p>
        </w:tc>
        <w:tc>
          <w:tcPr>
            <w:tcW w:w="5386" w:type="dxa"/>
            <w:vAlign w:val="center"/>
          </w:tcPr>
          <w:p w14:paraId="3BF54960">
            <w:pPr>
              <w:pStyle w:val="12"/>
            </w:pPr>
            <w:r>
              <w:t>公用经费拨付完成率达到需时进度</w:t>
            </w:r>
          </w:p>
        </w:tc>
        <w:tc>
          <w:tcPr>
            <w:tcW w:w="2268" w:type="dxa"/>
            <w:vAlign w:val="center"/>
          </w:tcPr>
          <w:p w14:paraId="455BB71A">
            <w:pPr>
              <w:pStyle w:val="12"/>
            </w:pPr>
            <w:r>
              <w:t>100%</w:t>
            </w:r>
          </w:p>
        </w:tc>
        <w:tc>
          <w:tcPr>
            <w:tcW w:w="1276" w:type="dxa"/>
            <w:vAlign w:val="center"/>
          </w:tcPr>
          <w:p w14:paraId="59CED5D8">
            <w:pPr>
              <w:pStyle w:val="12"/>
            </w:pPr>
            <w:r>
              <w:t>城乡义务教育公用经费管理办法</w:t>
            </w:r>
          </w:p>
        </w:tc>
      </w:tr>
      <w:tr w14:paraId="67BF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2F048"/>
        </w:tc>
        <w:tc>
          <w:tcPr>
            <w:tcW w:w="2268" w:type="dxa"/>
            <w:vAlign w:val="center"/>
          </w:tcPr>
          <w:p w14:paraId="550A97D8">
            <w:pPr>
              <w:pStyle w:val="12"/>
            </w:pPr>
            <w:r>
              <w:t>时效指标</w:t>
            </w:r>
          </w:p>
        </w:tc>
        <w:tc>
          <w:tcPr>
            <w:tcW w:w="2835" w:type="dxa"/>
            <w:vAlign w:val="center"/>
          </w:tcPr>
          <w:p w14:paraId="48F2F273">
            <w:pPr>
              <w:pStyle w:val="12"/>
            </w:pPr>
            <w:r>
              <w:t>资金支付率</w:t>
            </w:r>
          </w:p>
        </w:tc>
        <w:tc>
          <w:tcPr>
            <w:tcW w:w="5386" w:type="dxa"/>
            <w:vAlign w:val="center"/>
          </w:tcPr>
          <w:p w14:paraId="3235CAEB">
            <w:pPr>
              <w:pStyle w:val="12"/>
            </w:pPr>
            <w:r>
              <w:t>按照序时进度完成资金支付</w:t>
            </w:r>
          </w:p>
        </w:tc>
        <w:tc>
          <w:tcPr>
            <w:tcW w:w="2268" w:type="dxa"/>
            <w:vAlign w:val="center"/>
          </w:tcPr>
          <w:p w14:paraId="1E82ED09">
            <w:pPr>
              <w:pStyle w:val="12"/>
            </w:pPr>
            <w:r>
              <w:t>100%</w:t>
            </w:r>
          </w:p>
        </w:tc>
        <w:tc>
          <w:tcPr>
            <w:tcW w:w="1276" w:type="dxa"/>
            <w:vAlign w:val="center"/>
          </w:tcPr>
          <w:p w14:paraId="5F21942B">
            <w:pPr>
              <w:pStyle w:val="12"/>
            </w:pPr>
            <w:r>
              <w:t>城乡义务教育公用经费管理办法</w:t>
            </w:r>
          </w:p>
        </w:tc>
      </w:tr>
      <w:tr w14:paraId="2544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3D954"/>
        </w:tc>
        <w:tc>
          <w:tcPr>
            <w:tcW w:w="2268" w:type="dxa"/>
            <w:vAlign w:val="center"/>
          </w:tcPr>
          <w:p w14:paraId="68135200">
            <w:pPr>
              <w:pStyle w:val="12"/>
            </w:pPr>
            <w:r>
              <w:t>成本指标</w:t>
            </w:r>
          </w:p>
        </w:tc>
        <w:tc>
          <w:tcPr>
            <w:tcW w:w="2835" w:type="dxa"/>
            <w:vAlign w:val="center"/>
          </w:tcPr>
          <w:p w14:paraId="7F90B313">
            <w:pPr>
              <w:pStyle w:val="12"/>
            </w:pPr>
            <w:r>
              <w:t>生均拨款标准</w:t>
            </w:r>
          </w:p>
        </w:tc>
        <w:tc>
          <w:tcPr>
            <w:tcW w:w="5386" w:type="dxa"/>
            <w:vAlign w:val="center"/>
          </w:tcPr>
          <w:p w14:paraId="6DD5D136">
            <w:pPr>
              <w:pStyle w:val="12"/>
            </w:pPr>
            <w:r>
              <w:t>小学：（基本标准720元、寄宿生300元、取暖费120元）/生/学年；特教、随班就读学生：标准7000元/生/学年。</w:t>
            </w:r>
          </w:p>
        </w:tc>
        <w:tc>
          <w:tcPr>
            <w:tcW w:w="2268" w:type="dxa"/>
            <w:vAlign w:val="center"/>
          </w:tcPr>
          <w:p w14:paraId="15A1195F">
            <w:pPr>
              <w:pStyle w:val="12"/>
            </w:pPr>
            <w:r>
              <w:t>2375900元</w:t>
            </w:r>
          </w:p>
        </w:tc>
        <w:tc>
          <w:tcPr>
            <w:tcW w:w="1276" w:type="dxa"/>
            <w:vAlign w:val="center"/>
          </w:tcPr>
          <w:p w14:paraId="30FE282A">
            <w:pPr>
              <w:pStyle w:val="12"/>
            </w:pPr>
            <w:r>
              <w:t>城乡义务教育公用经费管理办法</w:t>
            </w:r>
          </w:p>
        </w:tc>
      </w:tr>
      <w:tr w14:paraId="4CE20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ED398">
            <w:pPr>
              <w:pStyle w:val="13"/>
            </w:pPr>
            <w:r>
              <w:t>效益指标</w:t>
            </w:r>
          </w:p>
        </w:tc>
        <w:tc>
          <w:tcPr>
            <w:tcW w:w="2268" w:type="dxa"/>
            <w:vAlign w:val="center"/>
          </w:tcPr>
          <w:p w14:paraId="56DD5AD9">
            <w:pPr>
              <w:pStyle w:val="12"/>
            </w:pPr>
            <w:r>
              <w:t>经济效益指标</w:t>
            </w:r>
          </w:p>
        </w:tc>
        <w:tc>
          <w:tcPr>
            <w:tcW w:w="2835" w:type="dxa"/>
            <w:vAlign w:val="center"/>
          </w:tcPr>
          <w:p w14:paraId="7690C449">
            <w:pPr>
              <w:pStyle w:val="12"/>
            </w:pPr>
            <w:r>
              <w:t>项目实施成果</w:t>
            </w:r>
          </w:p>
        </w:tc>
        <w:tc>
          <w:tcPr>
            <w:tcW w:w="5386" w:type="dxa"/>
            <w:vAlign w:val="center"/>
          </w:tcPr>
          <w:p w14:paraId="3392A800">
            <w:pPr>
              <w:pStyle w:val="12"/>
            </w:pPr>
            <w:r>
              <w:t>减轻受教育学生家庭经济负担</w:t>
            </w:r>
          </w:p>
        </w:tc>
        <w:tc>
          <w:tcPr>
            <w:tcW w:w="2268" w:type="dxa"/>
            <w:vAlign w:val="center"/>
          </w:tcPr>
          <w:p w14:paraId="7F7D60AA">
            <w:pPr>
              <w:pStyle w:val="12"/>
            </w:pPr>
            <w:r>
              <w:t>100%</w:t>
            </w:r>
          </w:p>
        </w:tc>
        <w:tc>
          <w:tcPr>
            <w:tcW w:w="1276" w:type="dxa"/>
            <w:vAlign w:val="center"/>
          </w:tcPr>
          <w:p w14:paraId="6DA9AEDD">
            <w:pPr>
              <w:pStyle w:val="12"/>
            </w:pPr>
            <w:r>
              <w:t>城乡义务教育公用经费管理办法</w:t>
            </w:r>
          </w:p>
        </w:tc>
      </w:tr>
      <w:tr w14:paraId="51CD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588EC"/>
        </w:tc>
        <w:tc>
          <w:tcPr>
            <w:tcW w:w="2268" w:type="dxa"/>
            <w:vAlign w:val="center"/>
          </w:tcPr>
          <w:p w14:paraId="0DCDDCBD">
            <w:pPr>
              <w:pStyle w:val="12"/>
            </w:pPr>
            <w:r>
              <w:t>社会效益指标</w:t>
            </w:r>
          </w:p>
        </w:tc>
        <w:tc>
          <w:tcPr>
            <w:tcW w:w="2835" w:type="dxa"/>
            <w:vAlign w:val="center"/>
          </w:tcPr>
          <w:p w14:paraId="246BE0C3">
            <w:pPr>
              <w:pStyle w:val="12"/>
            </w:pPr>
            <w:r>
              <w:t>学校办学能力提升</w:t>
            </w:r>
          </w:p>
        </w:tc>
        <w:tc>
          <w:tcPr>
            <w:tcW w:w="5386" w:type="dxa"/>
            <w:vAlign w:val="center"/>
          </w:tcPr>
          <w:p w14:paraId="4849EF19">
            <w:pPr>
              <w:pStyle w:val="12"/>
            </w:pPr>
            <w:r>
              <w:t>学校办学能</w:t>
            </w:r>
            <w:r>
              <w:rPr>
                <w:rFonts w:hint="eastAsia"/>
                <w:lang w:eastAsia="zh-CN"/>
              </w:rPr>
              <w:t>力提</w:t>
            </w:r>
            <w:r>
              <w:t>升情况及教育教学工作等开展的情况</w:t>
            </w:r>
          </w:p>
        </w:tc>
        <w:tc>
          <w:tcPr>
            <w:tcW w:w="2268" w:type="dxa"/>
            <w:vAlign w:val="center"/>
          </w:tcPr>
          <w:p w14:paraId="5C5228FE">
            <w:pPr>
              <w:pStyle w:val="12"/>
            </w:pPr>
            <w:r>
              <w:t>100%</w:t>
            </w:r>
          </w:p>
        </w:tc>
        <w:tc>
          <w:tcPr>
            <w:tcW w:w="1276" w:type="dxa"/>
            <w:vAlign w:val="center"/>
          </w:tcPr>
          <w:p w14:paraId="35F6639D">
            <w:pPr>
              <w:pStyle w:val="12"/>
            </w:pPr>
            <w:r>
              <w:t>城乡义务教育公用经费管理办法</w:t>
            </w:r>
          </w:p>
        </w:tc>
      </w:tr>
      <w:tr w14:paraId="7848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479E3"/>
        </w:tc>
        <w:tc>
          <w:tcPr>
            <w:tcW w:w="2268" w:type="dxa"/>
            <w:vAlign w:val="center"/>
          </w:tcPr>
          <w:p w14:paraId="59AE894F">
            <w:pPr>
              <w:pStyle w:val="12"/>
            </w:pPr>
            <w:r>
              <w:t>可持续影响指标</w:t>
            </w:r>
          </w:p>
        </w:tc>
        <w:tc>
          <w:tcPr>
            <w:tcW w:w="2835" w:type="dxa"/>
            <w:vAlign w:val="center"/>
          </w:tcPr>
          <w:p w14:paraId="23DAA785">
            <w:pPr>
              <w:pStyle w:val="12"/>
            </w:pPr>
            <w:r>
              <w:t>教育发展水平</w:t>
            </w:r>
          </w:p>
        </w:tc>
        <w:tc>
          <w:tcPr>
            <w:tcW w:w="5386" w:type="dxa"/>
            <w:vAlign w:val="center"/>
          </w:tcPr>
          <w:p w14:paraId="6CEE6C11">
            <w:pPr>
              <w:pStyle w:val="12"/>
            </w:pPr>
            <w:r>
              <w:t>教育环境明显好转</w:t>
            </w:r>
          </w:p>
        </w:tc>
        <w:tc>
          <w:tcPr>
            <w:tcW w:w="2268" w:type="dxa"/>
            <w:vAlign w:val="center"/>
          </w:tcPr>
          <w:p w14:paraId="5B61C7B8">
            <w:pPr>
              <w:pStyle w:val="12"/>
            </w:pPr>
            <w:r>
              <w:t>100%</w:t>
            </w:r>
          </w:p>
        </w:tc>
        <w:tc>
          <w:tcPr>
            <w:tcW w:w="1276" w:type="dxa"/>
            <w:vAlign w:val="center"/>
          </w:tcPr>
          <w:p w14:paraId="4955BF41">
            <w:pPr>
              <w:pStyle w:val="12"/>
            </w:pPr>
            <w:r>
              <w:t>城乡义务教育公用经费管理办法</w:t>
            </w:r>
          </w:p>
        </w:tc>
      </w:tr>
      <w:tr w14:paraId="3898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4DD71">
            <w:pPr>
              <w:pStyle w:val="13"/>
            </w:pPr>
            <w:r>
              <w:t>满意度指标</w:t>
            </w:r>
          </w:p>
        </w:tc>
        <w:tc>
          <w:tcPr>
            <w:tcW w:w="2268" w:type="dxa"/>
            <w:vAlign w:val="center"/>
          </w:tcPr>
          <w:p w14:paraId="15EF1AD4">
            <w:pPr>
              <w:pStyle w:val="12"/>
            </w:pPr>
            <w:r>
              <w:t>服务对象满意度指标</w:t>
            </w:r>
          </w:p>
        </w:tc>
        <w:tc>
          <w:tcPr>
            <w:tcW w:w="2835" w:type="dxa"/>
            <w:vAlign w:val="center"/>
          </w:tcPr>
          <w:p w14:paraId="4306E59E">
            <w:pPr>
              <w:pStyle w:val="12"/>
            </w:pPr>
            <w:r>
              <w:t>受益学生家长及调查满意度</w:t>
            </w:r>
          </w:p>
        </w:tc>
        <w:tc>
          <w:tcPr>
            <w:tcW w:w="5386" w:type="dxa"/>
            <w:vAlign w:val="center"/>
          </w:tcPr>
          <w:p w14:paraId="6FF0E83C">
            <w:pPr>
              <w:pStyle w:val="12"/>
            </w:pPr>
            <w:r>
              <w:t>学生、教师及家长对学校保教保育工作满意度情况</w:t>
            </w:r>
          </w:p>
        </w:tc>
        <w:tc>
          <w:tcPr>
            <w:tcW w:w="2268" w:type="dxa"/>
            <w:vAlign w:val="center"/>
          </w:tcPr>
          <w:p w14:paraId="4C5B0AE1">
            <w:pPr>
              <w:pStyle w:val="12"/>
            </w:pPr>
            <w:r>
              <w:t>≥95%</w:t>
            </w:r>
          </w:p>
        </w:tc>
        <w:tc>
          <w:tcPr>
            <w:tcW w:w="1276" w:type="dxa"/>
            <w:vAlign w:val="center"/>
          </w:tcPr>
          <w:p w14:paraId="2FA65290">
            <w:pPr>
              <w:pStyle w:val="12"/>
            </w:pPr>
            <w:r>
              <w:t>调查问卷</w:t>
            </w:r>
          </w:p>
        </w:tc>
      </w:tr>
    </w:tbl>
    <w:p w14:paraId="1424C5BD">
      <w:pPr>
        <w:sectPr>
          <w:pgSz w:w="16840" w:h="11900" w:orient="landscape"/>
          <w:pgMar w:top="1361" w:right="1020" w:bottom="1134" w:left="1020" w:header="720" w:footer="720" w:gutter="0"/>
          <w:cols w:space="720" w:num="1"/>
        </w:sectPr>
      </w:pPr>
    </w:p>
    <w:p w14:paraId="2468BD80">
      <w:pPr>
        <w:spacing w:before="0" w:after="0"/>
        <w:ind w:firstLine="560"/>
        <w:jc w:val="left"/>
        <w:outlineLvl w:val="9"/>
      </w:pPr>
      <w:r>
        <w:rPr>
          <w:rFonts w:ascii="方正仿宋_GBK" w:hAnsi="方正仿宋_GBK" w:eastAsia="方正仿宋_GBK" w:cs="方正仿宋_GBK"/>
          <w:b/>
          <w:color w:val="000000"/>
          <w:sz w:val="28"/>
        </w:rPr>
        <w:t>4、冀财教[2025]147号/省级/义教/2026年校舍安全/实验中学校舍维修改造绩效目标表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CE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77512">
            <w:pPr>
              <w:pStyle w:val="11"/>
            </w:pPr>
            <w:r>
              <w:t>单位：万元</w:t>
            </w:r>
          </w:p>
        </w:tc>
      </w:tr>
      <w:tr w14:paraId="7EBCF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56907">
            <w:pPr>
              <w:pStyle w:val="10"/>
            </w:pPr>
            <w:r>
              <w:t>项目编码</w:t>
            </w:r>
          </w:p>
        </w:tc>
        <w:tc>
          <w:tcPr>
            <w:tcW w:w="5103" w:type="dxa"/>
            <w:gridSpan w:val="2"/>
            <w:vAlign w:val="center"/>
          </w:tcPr>
          <w:p w14:paraId="726EEF3D">
            <w:pPr>
              <w:pStyle w:val="12"/>
            </w:pPr>
            <w:r>
              <w:t>13052526P00876210097D</w:t>
            </w:r>
          </w:p>
        </w:tc>
        <w:tc>
          <w:tcPr>
            <w:tcW w:w="2835" w:type="dxa"/>
            <w:vAlign w:val="center"/>
          </w:tcPr>
          <w:p w14:paraId="7F5A053B">
            <w:pPr>
              <w:pStyle w:val="10"/>
            </w:pPr>
            <w:r>
              <w:t>项目名称</w:t>
            </w:r>
          </w:p>
        </w:tc>
        <w:tc>
          <w:tcPr>
            <w:tcW w:w="6095" w:type="dxa"/>
            <w:gridSpan w:val="3"/>
            <w:vAlign w:val="center"/>
          </w:tcPr>
          <w:p w14:paraId="14EBAECB">
            <w:pPr>
              <w:pStyle w:val="12"/>
            </w:pPr>
            <w:r>
              <w:t>冀财教[2025]147号/省级/义教/2026年校舍安全/实验中学校舍维修改造</w:t>
            </w:r>
          </w:p>
        </w:tc>
      </w:tr>
      <w:tr w14:paraId="42E41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54AE3">
            <w:pPr>
              <w:pStyle w:val="10"/>
            </w:pPr>
            <w:r>
              <w:t>预算规模及资金用途</w:t>
            </w:r>
          </w:p>
        </w:tc>
        <w:tc>
          <w:tcPr>
            <w:tcW w:w="2268" w:type="dxa"/>
            <w:vAlign w:val="center"/>
          </w:tcPr>
          <w:p w14:paraId="05E4C3AE">
            <w:pPr>
              <w:pStyle w:val="10"/>
            </w:pPr>
            <w:r>
              <w:t>预算数</w:t>
            </w:r>
          </w:p>
        </w:tc>
        <w:tc>
          <w:tcPr>
            <w:tcW w:w="2835" w:type="dxa"/>
            <w:vAlign w:val="center"/>
          </w:tcPr>
          <w:p w14:paraId="20F76763">
            <w:pPr>
              <w:pStyle w:val="12"/>
            </w:pPr>
            <w:r>
              <w:t>49.00</w:t>
            </w:r>
          </w:p>
        </w:tc>
        <w:tc>
          <w:tcPr>
            <w:tcW w:w="2835" w:type="dxa"/>
            <w:vAlign w:val="center"/>
          </w:tcPr>
          <w:p w14:paraId="61F300C8">
            <w:pPr>
              <w:pStyle w:val="10"/>
            </w:pPr>
            <w:r>
              <w:t>其中：财政    资金</w:t>
            </w:r>
          </w:p>
        </w:tc>
        <w:tc>
          <w:tcPr>
            <w:tcW w:w="2551" w:type="dxa"/>
            <w:vAlign w:val="center"/>
          </w:tcPr>
          <w:p w14:paraId="5AD57D04">
            <w:pPr>
              <w:pStyle w:val="12"/>
            </w:pPr>
            <w:r>
              <w:t>49.00</w:t>
            </w:r>
          </w:p>
        </w:tc>
        <w:tc>
          <w:tcPr>
            <w:tcW w:w="2268" w:type="dxa"/>
            <w:vAlign w:val="center"/>
          </w:tcPr>
          <w:p w14:paraId="058FE1F1">
            <w:pPr>
              <w:pStyle w:val="10"/>
            </w:pPr>
            <w:r>
              <w:t>其他资金</w:t>
            </w:r>
          </w:p>
        </w:tc>
        <w:tc>
          <w:tcPr>
            <w:tcW w:w="1276" w:type="dxa"/>
            <w:vAlign w:val="center"/>
          </w:tcPr>
          <w:p w14:paraId="1AEF3465">
            <w:pPr>
              <w:pStyle w:val="12"/>
            </w:pPr>
            <w:r>
              <w:t xml:space="preserve"> </w:t>
            </w:r>
          </w:p>
        </w:tc>
      </w:tr>
      <w:tr w14:paraId="76D2B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C52E1"/>
        </w:tc>
        <w:tc>
          <w:tcPr>
            <w:tcW w:w="14033" w:type="dxa"/>
            <w:gridSpan w:val="6"/>
            <w:vAlign w:val="center"/>
          </w:tcPr>
          <w:p w14:paraId="58F2834E">
            <w:pPr>
              <w:pStyle w:val="12"/>
            </w:pPr>
            <w:r>
              <w:t>消除安全隐患，改善教学质量，提升办学品质，保障师生安全与教学质量。</w:t>
            </w:r>
          </w:p>
        </w:tc>
      </w:tr>
      <w:tr w14:paraId="7CACA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E2B90">
            <w:pPr>
              <w:pStyle w:val="10"/>
            </w:pPr>
            <w:r>
              <w:t>资金支出计划（%）</w:t>
            </w:r>
          </w:p>
        </w:tc>
        <w:tc>
          <w:tcPr>
            <w:tcW w:w="5103" w:type="dxa"/>
            <w:gridSpan w:val="2"/>
            <w:vAlign w:val="center"/>
          </w:tcPr>
          <w:p w14:paraId="622EF0B2">
            <w:pPr>
              <w:pStyle w:val="10"/>
            </w:pPr>
            <w:r>
              <w:t>3月底</w:t>
            </w:r>
          </w:p>
        </w:tc>
        <w:tc>
          <w:tcPr>
            <w:tcW w:w="2835" w:type="dxa"/>
            <w:vAlign w:val="center"/>
          </w:tcPr>
          <w:p w14:paraId="61C79461">
            <w:pPr>
              <w:pStyle w:val="10"/>
            </w:pPr>
            <w:r>
              <w:t>6月底</w:t>
            </w:r>
          </w:p>
        </w:tc>
        <w:tc>
          <w:tcPr>
            <w:tcW w:w="2551" w:type="dxa"/>
            <w:vAlign w:val="center"/>
          </w:tcPr>
          <w:p w14:paraId="4503B812">
            <w:pPr>
              <w:pStyle w:val="10"/>
            </w:pPr>
            <w:r>
              <w:t>10月底</w:t>
            </w:r>
          </w:p>
        </w:tc>
        <w:tc>
          <w:tcPr>
            <w:tcW w:w="3544" w:type="dxa"/>
            <w:gridSpan w:val="2"/>
            <w:vAlign w:val="center"/>
          </w:tcPr>
          <w:p w14:paraId="22F17D77">
            <w:pPr>
              <w:pStyle w:val="10"/>
            </w:pPr>
            <w:r>
              <w:t>12月底</w:t>
            </w:r>
          </w:p>
        </w:tc>
      </w:tr>
      <w:tr w14:paraId="42DD9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A5E5C"/>
        </w:tc>
        <w:tc>
          <w:tcPr>
            <w:tcW w:w="5103" w:type="dxa"/>
            <w:gridSpan w:val="2"/>
            <w:vAlign w:val="center"/>
          </w:tcPr>
          <w:p w14:paraId="2770796D">
            <w:pPr>
              <w:pStyle w:val="13"/>
            </w:pPr>
            <w:r>
              <w:t>25%</w:t>
            </w:r>
          </w:p>
        </w:tc>
        <w:tc>
          <w:tcPr>
            <w:tcW w:w="2835" w:type="dxa"/>
            <w:vAlign w:val="center"/>
          </w:tcPr>
          <w:p w14:paraId="7A31D83A">
            <w:pPr>
              <w:pStyle w:val="13"/>
            </w:pPr>
            <w:r>
              <w:t>50%</w:t>
            </w:r>
          </w:p>
        </w:tc>
        <w:tc>
          <w:tcPr>
            <w:tcW w:w="2551" w:type="dxa"/>
            <w:vAlign w:val="center"/>
          </w:tcPr>
          <w:p w14:paraId="5D2E17A1">
            <w:pPr>
              <w:pStyle w:val="13"/>
            </w:pPr>
            <w:r>
              <w:t>75%</w:t>
            </w:r>
          </w:p>
        </w:tc>
        <w:tc>
          <w:tcPr>
            <w:tcW w:w="3544" w:type="dxa"/>
            <w:gridSpan w:val="2"/>
            <w:vAlign w:val="center"/>
          </w:tcPr>
          <w:p w14:paraId="798BEE7C">
            <w:pPr>
              <w:pStyle w:val="13"/>
            </w:pPr>
            <w:r>
              <w:t>100%</w:t>
            </w:r>
          </w:p>
        </w:tc>
      </w:tr>
      <w:tr w14:paraId="07B95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51F1E">
            <w:pPr>
              <w:pStyle w:val="10"/>
            </w:pPr>
            <w:r>
              <w:t>绩效目标</w:t>
            </w:r>
          </w:p>
        </w:tc>
        <w:tc>
          <w:tcPr>
            <w:tcW w:w="14033" w:type="dxa"/>
            <w:gridSpan w:val="6"/>
            <w:vAlign w:val="center"/>
          </w:tcPr>
          <w:p w14:paraId="4F50828B">
            <w:pPr>
              <w:pStyle w:val="12"/>
            </w:pPr>
            <w:r>
              <w:t>1.改善就学条件，提升学校形象，保障义务教育阶段教学安全，创造良好的校园环境。</w:t>
            </w:r>
          </w:p>
          <w:p w14:paraId="78A54B04">
            <w:pPr>
              <w:pStyle w:val="12"/>
            </w:pPr>
            <w:r>
              <w:t>2.项目需资金49万元，资金拨付率达到100%。</w:t>
            </w:r>
          </w:p>
        </w:tc>
      </w:tr>
    </w:tbl>
    <w:p w14:paraId="762FF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0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5C5B7">
            <w:pPr>
              <w:pStyle w:val="10"/>
            </w:pPr>
            <w:r>
              <w:t>一级指标</w:t>
            </w:r>
          </w:p>
        </w:tc>
        <w:tc>
          <w:tcPr>
            <w:tcW w:w="2268" w:type="dxa"/>
            <w:vAlign w:val="center"/>
          </w:tcPr>
          <w:p w14:paraId="528BEEED">
            <w:pPr>
              <w:pStyle w:val="10"/>
            </w:pPr>
            <w:r>
              <w:t>二级指标</w:t>
            </w:r>
          </w:p>
        </w:tc>
        <w:tc>
          <w:tcPr>
            <w:tcW w:w="2835" w:type="dxa"/>
            <w:vAlign w:val="center"/>
          </w:tcPr>
          <w:p w14:paraId="4781F9CF">
            <w:pPr>
              <w:pStyle w:val="10"/>
            </w:pPr>
            <w:r>
              <w:t>三级指标</w:t>
            </w:r>
          </w:p>
        </w:tc>
        <w:tc>
          <w:tcPr>
            <w:tcW w:w="5386" w:type="dxa"/>
            <w:vAlign w:val="center"/>
          </w:tcPr>
          <w:p w14:paraId="5E8838FB">
            <w:pPr>
              <w:pStyle w:val="10"/>
            </w:pPr>
            <w:r>
              <w:t>绩效指标描述</w:t>
            </w:r>
          </w:p>
        </w:tc>
        <w:tc>
          <w:tcPr>
            <w:tcW w:w="2268" w:type="dxa"/>
            <w:vAlign w:val="center"/>
          </w:tcPr>
          <w:p w14:paraId="22B4EC7F">
            <w:pPr>
              <w:pStyle w:val="10"/>
            </w:pPr>
            <w:r>
              <w:t>指标值</w:t>
            </w:r>
          </w:p>
        </w:tc>
        <w:tc>
          <w:tcPr>
            <w:tcW w:w="1276" w:type="dxa"/>
            <w:vAlign w:val="center"/>
          </w:tcPr>
          <w:p w14:paraId="06F63AB3">
            <w:pPr>
              <w:pStyle w:val="10"/>
            </w:pPr>
            <w:r>
              <w:t>指标值确定依据</w:t>
            </w:r>
          </w:p>
        </w:tc>
      </w:tr>
      <w:tr w14:paraId="6638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6EEE3">
            <w:pPr>
              <w:pStyle w:val="13"/>
            </w:pPr>
            <w:r>
              <w:t>产出指标</w:t>
            </w:r>
          </w:p>
        </w:tc>
        <w:tc>
          <w:tcPr>
            <w:tcW w:w="2268" w:type="dxa"/>
            <w:vAlign w:val="center"/>
          </w:tcPr>
          <w:p w14:paraId="3FA9A96E">
            <w:pPr>
              <w:pStyle w:val="12"/>
            </w:pPr>
            <w:r>
              <w:t>数量指标</w:t>
            </w:r>
          </w:p>
        </w:tc>
        <w:tc>
          <w:tcPr>
            <w:tcW w:w="2835" w:type="dxa"/>
            <w:vAlign w:val="center"/>
          </w:tcPr>
          <w:p w14:paraId="548FAB5F">
            <w:pPr>
              <w:pStyle w:val="12"/>
            </w:pPr>
            <w:r>
              <w:t>南甫校区维修改造</w:t>
            </w:r>
          </w:p>
        </w:tc>
        <w:tc>
          <w:tcPr>
            <w:tcW w:w="5386" w:type="dxa"/>
            <w:vAlign w:val="center"/>
          </w:tcPr>
          <w:p w14:paraId="5AD15A8E">
            <w:pPr>
              <w:pStyle w:val="12"/>
            </w:pPr>
            <w:r>
              <w:t>该项目包括教室地胶，教学楼更换灯管，修补院落地砖等49万元</w:t>
            </w:r>
          </w:p>
        </w:tc>
        <w:tc>
          <w:tcPr>
            <w:tcW w:w="2268" w:type="dxa"/>
            <w:vAlign w:val="center"/>
          </w:tcPr>
          <w:p w14:paraId="77B9965C">
            <w:pPr>
              <w:pStyle w:val="12"/>
            </w:pPr>
            <w:r>
              <w:t>1项</w:t>
            </w:r>
          </w:p>
        </w:tc>
        <w:tc>
          <w:tcPr>
            <w:tcW w:w="1276" w:type="dxa"/>
            <w:vAlign w:val="center"/>
          </w:tcPr>
          <w:p w14:paraId="5FD71F89">
            <w:pPr>
              <w:pStyle w:val="12"/>
            </w:pPr>
            <w:r>
              <w:t>项目规划</w:t>
            </w:r>
          </w:p>
        </w:tc>
      </w:tr>
      <w:tr w14:paraId="603F7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663F5"/>
        </w:tc>
        <w:tc>
          <w:tcPr>
            <w:tcW w:w="2268" w:type="dxa"/>
            <w:vAlign w:val="center"/>
          </w:tcPr>
          <w:p w14:paraId="550A5243">
            <w:pPr>
              <w:pStyle w:val="12"/>
            </w:pPr>
            <w:r>
              <w:t>质量指标</w:t>
            </w:r>
          </w:p>
        </w:tc>
        <w:tc>
          <w:tcPr>
            <w:tcW w:w="2835" w:type="dxa"/>
            <w:vAlign w:val="center"/>
          </w:tcPr>
          <w:p w14:paraId="2531CE27">
            <w:pPr>
              <w:pStyle w:val="12"/>
            </w:pPr>
            <w:r>
              <w:t>工程实施验收合格率</w:t>
            </w:r>
          </w:p>
        </w:tc>
        <w:tc>
          <w:tcPr>
            <w:tcW w:w="5386" w:type="dxa"/>
            <w:vAlign w:val="center"/>
          </w:tcPr>
          <w:p w14:paraId="11969150">
            <w:pPr>
              <w:pStyle w:val="12"/>
            </w:pPr>
            <w:r>
              <w:t>申报程序的合规，项目实施及资金使用符合项目规划</w:t>
            </w:r>
          </w:p>
        </w:tc>
        <w:tc>
          <w:tcPr>
            <w:tcW w:w="2268" w:type="dxa"/>
            <w:vAlign w:val="center"/>
          </w:tcPr>
          <w:p w14:paraId="7BA9453D">
            <w:pPr>
              <w:pStyle w:val="12"/>
            </w:pPr>
            <w:r>
              <w:t>100%</w:t>
            </w:r>
          </w:p>
        </w:tc>
        <w:tc>
          <w:tcPr>
            <w:tcW w:w="1276" w:type="dxa"/>
            <w:vAlign w:val="center"/>
          </w:tcPr>
          <w:p w14:paraId="5DBE1FD5">
            <w:pPr>
              <w:pStyle w:val="12"/>
            </w:pPr>
            <w:r>
              <w:t>项目规划</w:t>
            </w:r>
          </w:p>
        </w:tc>
      </w:tr>
      <w:tr w14:paraId="3776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2F1EA"/>
        </w:tc>
        <w:tc>
          <w:tcPr>
            <w:tcW w:w="2268" w:type="dxa"/>
            <w:vAlign w:val="center"/>
          </w:tcPr>
          <w:p w14:paraId="07FB8DB2">
            <w:pPr>
              <w:pStyle w:val="12"/>
            </w:pPr>
            <w:r>
              <w:t>时效指标</w:t>
            </w:r>
          </w:p>
        </w:tc>
        <w:tc>
          <w:tcPr>
            <w:tcW w:w="2835" w:type="dxa"/>
            <w:vAlign w:val="center"/>
          </w:tcPr>
          <w:p w14:paraId="4CE73E98">
            <w:pPr>
              <w:pStyle w:val="12"/>
            </w:pPr>
            <w:r>
              <w:t>资金支付率</w:t>
            </w:r>
          </w:p>
        </w:tc>
        <w:tc>
          <w:tcPr>
            <w:tcW w:w="5386" w:type="dxa"/>
            <w:vAlign w:val="center"/>
          </w:tcPr>
          <w:p w14:paraId="6020FD1F">
            <w:pPr>
              <w:pStyle w:val="12"/>
            </w:pPr>
            <w:r>
              <w:t>按照序时进度完成资金支付</w:t>
            </w:r>
          </w:p>
        </w:tc>
        <w:tc>
          <w:tcPr>
            <w:tcW w:w="2268" w:type="dxa"/>
            <w:vAlign w:val="center"/>
          </w:tcPr>
          <w:p w14:paraId="6932C5FB">
            <w:pPr>
              <w:pStyle w:val="12"/>
            </w:pPr>
            <w:r>
              <w:t>100%</w:t>
            </w:r>
          </w:p>
        </w:tc>
        <w:tc>
          <w:tcPr>
            <w:tcW w:w="1276" w:type="dxa"/>
            <w:vAlign w:val="center"/>
          </w:tcPr>
          <w:p w14:paraId="5BC9634C">
            <w:pPr>
              <w:pStyle w:val="12"/>
            </w:pPr>
            <w:r>
              <w:t>项目规划</w:t>
            </w:r>
          </w:p>
        </w:tc>
      </w:tr>
      <w:tr w14:paraId="6EAC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C0452"/>
        </w:tc>
        <w:tc>
          <w:tcPr>
            <w:tcW w:w="2268" w:type="dxa"/>
            <w:vAlign w:val="center"/>
          </w:tcPr>
          <w:p w14:paraId="2B1CC9C5">
            <w:pPr>
              <w:pStyle w:val="12"/>
            </w:pPr>
            <w:r>
              <w:t>成本指标</w:t>
            </w:r>
          </w:p>
        </w:tc>
        <w:tc>
          <w:tcPr>
            <w:tcW w:w="2835" w:type="dxa"/>
            <w:vAlign w:val="center"/>
          </w:tcPr>
          <w:p w14:paraId="4EDDABCA">
            <w:pPr>
              <w:pStyle w:val="12"/>
            </w:pPr>
            <w:r>
              <w:t>项目成本控制情况</w:t>
            </w:r>
          </w:p>
        </w:tc>
        <w:tc>
          <w:tcPr>
            <w:tcW w:w="5386" w:type="dxa"/>
            <w:vAlign w:val="center"/>
          </w:tcPr>
          <w:p w14:paraId="2661EB15">
            <w:pPr>
              <w:pStyle w:val="12"/>
            </w:pPr>
            <w:r>
              <w:t>严格按照招标价格及审计额进行</w:t>
            </w:r>
          </w:p>
        </w:tc>
        <w:tc>
          <w:tcPr>
            <w:tcW w:w="2268" w:type="dxa"/>
            <w:vAlign w:val="center"/>
          </w:tcPr>
          <w:p w14:paraId="6B71180A">
            <w:pPr>
              <w:pStyle w:val="12"/>
            </w:pPr>
            <w:r>
              <w:t>49万元</w:t>
            </w:r>
          </w:p>
        </w:tc>
        <w:tc>
          <w:tcPr>
            <w:tcW w:w="1276" w:type="dxa"/>
            <w:vAlign w:val="center"/>
          </w:tcPr>
          <w:p w14:paraId="00D62D7C">
            <w:pPr>
              <w:pStyle w:val="12"/>
            </w:pPr>
            <w:r>
              <w:t>项目规划</w:t>
            </w:r>
          </w:p>
        </w:tc>
      </w:tr>
      <w:tr w14:paraId="0C1B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72D1E">
            <w:pPr>
              <w:pStyle w:val="13"/>
            </w:pPr>
            <w:r>
              <w:t>效益指标</w:t>
            </w:r>
          </w:p>
        </w:tc>
        <w:tc>
          <w:tcPr>
            <w:tcW w:w="2268" w:type="dxa"/>
            <w:vAlign w:val="center"/>
          </w:tcPr>
          <w:p w14:paraId="20B1D2C1">
            <w:pPr>
              <w:pStyle w:val="12"/>
            </w:pPr>
            <w:r>
              <w:t>社会效益指标</w:t>
            </w:r>
          </w:p>
        </w:tc>
        <w:tc>
          <w:tcPr>
            <w:tcW w:w="2835" w:type="dxa"/>
            <w:vAlign w:val="center"/>
          </w:tcPr>
          <w:p w14:paraId="47298747">
            <w:pPr>
              <w:pStyle w:val="12"/>
            </w:pPr>
            <w:r>
              <w:t>学校办学环境提升</w:t>
            </w:r>
          </w:p>
        </w:tc>
        <w:tc>
          <w:tcPr>
            <w:tcW w:w="5386" w:type="dxa"/>
            <w:vAlign w:val="center"/>
          </w:tcPr>
          <w:p w14:paraId="1B2FE4A3">
            <w:pPr>
              <w:pStyle w:val="12"/>
            </w:pPr>
            <w:r>
              <w:t>学校教学环境提升优化率</w:t>
            </w:r>
          </w:p>
        </w:tc>
        <w:tc>
          <w:tcPr>
            <w:tcW w:w="2268" w:type="dxa"/>
            <w:vAlign w:val="center"/>
          </w:tcPr>
          <w:p w14:paraId="45E28778">
            <w:pPr>
              <w:pStyle w:val="12"/>
            </w:pPr>
            <w:r>
              <w:t>100%</w:t>
            </w:r>
          </w:p>
        </w:tc>
        <w:tc>
          <w:tcPr>
            <w:tcW w:w="1276" w:type="dxa"/>
            <w:vAlign w:val="center"/>
          </w:tcPr>
          <w:p w14:paraId="4A8E856D">
            <w:pPr>
              <w:pStyle w:val="12"/>
            </w:pPr>
            <w:r>
              <w:t>项目规划</w:t>
            </w:r>
          </w:p>
        </w:tc>
      </w:tr>
      <w:tr w14:paraId="7F61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D1CC3">
            <w:pPr>
              <w:pStyle w:val="13"/>
            </w:pPr>
            <w:r>
              <w:t>满意度指标</w:t>
            </w:r>
          </w:p>
        </w:tc>
        <w:tc>
          <w:tcPr>
            <w:tcW w:w="2268" w:type="dxa"/>
            <w:vAlign w:val="center"/>
          </w:tcPr>
          <w:p w14:paraId="16670F28">
            <w:pPr>
              <w:pStyle w:val="12"/>
            </w:pPr>
            <w:r>
              <w:t>服务对象满意度指标</w:t>
            </w:r>
          </w:p>
        </w:tc>
        <w:tc>
          <w:tcPr>
            <w:tcW w:w="2835" w:type="dxa"/>
            <w:vAlign w:val="center"/>
          </w:tcPr>
          <w:p w14:paraId="7AA15D25">
            <w:pPr>
              <w:pStyle w:val="12"/>
            </w:pPr>
            <w:r>
              <w:t>受益学生家长及调查满意度</w:t>
            </w:r>
          </w:p>
        </w:tc>
        <w:tc>
          <w:tcPr>
            <w:tcW w:w="5386" w:type="dxa"/>
            <w:vAlign w:val="center"/>
          </w:tcPr>
          <w:p w14:paraId="5341C2FA">
            <w:pPr>
              <w:pStyle w:val="12"/>
            </w:pPr>
            <w:r>
              <w:t>学生、教师及家长对学校教学环境满意度情况</w:t>
            </w:r>
          </w:p>
        </w:tc>
        <w:tc>
          <w:tcPr>
            <w:tcW w:w="2268" w:type="dxa"/>
            <w:vAlign w:val="center"/>
          </w:tcPr>
          <w:p w14:paraId="7CF94245">
            <w:pPr>
              <w:pStyle w:val="12"/>
            </w:pPr>
            <w:r>
              <w:t>≥95%</w:t>
            </w:r>
          </w:p>
        </w:tc>
        <w:tc>
          <w:tcPr>
            <w:tcW w:w="1276" w:type="dxa"/>
            <w:vAlign w:val="center"/>
          </w:tcPr>
          <w:p w14:paraId="1C7C7DEB">
            <w:pPr>
              <w:pStyle w:val="12"/>
            </w:pPr>
            <w:r>
              <w:t>项目规划</w:t>
            </w:r>
          </w:p>
        </w:tc>
      </w:tr>
    </w:tbl>
    <w:p w14:paraId="6C62608B">
      <w:pPr>
        <w:sectPr>
          <w:pgSz w:w="16840" w:h="11900" w:orient="landscape"/>
          <w:pgMar w:top="1361" w:right="1020" w:bottom="1134" w:left="1020" w:header="720" w:footer="720" w:gutter="0"/>
          <w:cols w:space="720" w:num="1"/>
        </w:sectPr>
      </w:pPr>
    </w:p>
    <w:p w14:paraId="073ABF10">
      <w:pPr>
        <w:spacing w:before="0" w:after="0"/>
        <w:ind w:firstLine="560"/>
        <w:jc w:val="left"/>
        <w:outlineLvl w:val="9"/>
      </w:pPr>
      <w:r>
        <w:rPr>
          <w:rFonts w:ascii="方正仿宋_GBK" w:hAnsi="方正仿宋_GBK" w:eastAsia="方正仿宋_GBK" w:cs="方正仿宋_GBK"/>
          <w:b/>
          <w:color w:val="000000"/>
          <w:sz w:val="28"/>
        </w:rPr>
        <w:t>5、冀财教[2025]148号/支持义务教育发展/实验中学公用经费绩效目标表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8A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58044">
            <w:pPr>
              <w:pStyle w:val="11"/>
            </w:pPr>
            <w:r>
              <w:t>单位：万元</w:t>
            </w:r>
          </w:p>
        </w:tc>
      </w:tr>
      <w:tr w14:paraId="24A8F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D26AD">
            <w:pPr>
              <w:pStyle w:val="10"/>
            </w:pPr>
            <w:r>
              <w:t>项目编码</w:t>
            </w:r>
          </w:p>
        </w:tc>
        <w:tc>
          <w:tcPr>
            <w:tcW w:w="5103" w:type="dxa"/>
            <w:gridSpan w:val="2"/>
            <w:vAlign w:val="center"/>
          </w:tcPr>
          <w:p w14:paraId="0EEE7F0C">
            <w:pPr>
              <w:pStyle w:val="12"/>
            </w:pPr>
            <w:r>
              <w:t>13052526P00000210115A</w:t>
            </w:r>
          </w:p>
        </w:tc>
        <w:tc>
          <w:tcPr>
            <w:tcW w:w="2835" w:type="dxa"/>
            <w:vAlign w:val="center"/>
          </w:tcPr>
          <w:p w14:paraId="0D50DD88">
            <w:pPr>
              <w:pStyle w:val="10"/>
            </w:pPr>
            <w:r>
              <w:t>项目名称</w:t>
            </w:r>
          </w:p>
        </w:tc>
        <w:tc>
          <w:tcPr>
            <w:tcW w:w="6095" w:type="dxa"/>
            <w:gridSpan w:val="3"/>
            <w:vAlign w:val="center"/>
          </w:tcPr>
          <w:p w14:paraId="1F0C34CC">
            <w:pPr>
              <w:pStyle w:val="12"/>
            </w:pPr>
            <w:r>
              <w:t>冀财教[2025]148号/支持义务教育发展/实验中学公用经费</w:t>
            </w:r>
          </w:p>
        </w:tc>
      </w:tr>
      <w:tr w14:paraId="7161B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8D5D3">
            <w:pPr>
              <w:pStyle w:val="10"/>
            </w:pPr>
            <w:r>
              <w:t>预算规模及资金用途</w:t>
            </w:r>
          </w:p>
        </w:tc>
        <w:tc>
          <w:tcPr>
            <w:tcW w:w="2268" w:type="dxa"/>
            <w:vAlign w:val="center"/>
          </w:tcPr>
          <w:p w14:paraId="5FE62CC5">
            <w:pPr>
              <w:pStyle w:val="10"/>
            </w:pPr>
            <w:r>
              <w:t>预算数</w:t>
            </w:r>
          </w:p>
        </w:tc>
        <w:tc>
          <w:tcPr>
            <w:tcW w:w="2835" w:type="dxa"/>
            <w:vAlign w:val="center"/>
          </w:tcPr>
          <w:p w14:paraId="7498A333">
            <w:pPr>
              <w:pStyle w:val="12"/>
            </w:pPr>
            <w:r>
              <w:t>34.56</w:t>
            </w:r>
          </w:p>
        </w:tc>
        <w:tc>
          <w:tcPr>
            <w:tcW w:w="2835" w:type="dxa"/>
            <w:vAlign w:val="center"/>
          </w:tcPr>
          <w:p w14:paraId="36698EC2">
            <w:pPr>
              <w:pStyle w:val="10"/>
            </w:pPr>
            <w:r>
              <w:t>其中：财政    资金</w:t>
            </w:r>
          </w:p>
        </w:tc>
        <w:tc>
          <w:tcPr>
            <w:tcW w:w="2551" w:type="dxa"/>
            <w:vAlign w:val="center"/>
          </w:tcPr>
          <w:p w14:paraId="4BE0A5C8">
            <w:pPr>
              <w:pStyle w:val="12"/>
            </w:pPr>
            <w:r>
              <w:t>34.56</w:t>
            </w:r>
          </w:p>
        </w:tc>
        <w:tc>
          <w:tcPr>
            <w:tcW w:w="2268" w:type="dxa"/>
            <w:vAlign w:val="center"/>
          </w:tcPr>
          <w:p w14:paraId="2F956637">
            <w:pPr>
              <w:pStyle w:val="10"/>
            </w:pPr>
            <w:r>
              <w:t>其他资金</w:t>
            </w:r>
          </w:p>
        </w:tc>
        <w:tc>
          <w:tcPr>
            <w:tcW w:w="1276" w:type="dxa"/>
            <w:vAlign w:val="center"/>
          </w:tcPr>
          <w:p w14:paraId="557C5F37">
            <w:pPr>
              <w:pStyle w:val="12"/>
            </w:pPr>
            <w:r>
              <w:t xml:space="preserve"> </w:t>
            </w:r>
          </w:p>
        </w:tc>
      </w:tr>
      <w:tr w14:paraId="4A917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393DD"/>
        </w:tc>
        <w:tc>
          <w:tcPr>
            <w:tcW w:w="14033" w:type="dxa"/>
            <w:gridSpan w:val="6"/>
            <w:vAlign w:val="center"/>
          </w:tcPr>
          <w:p w14:paraId="06AE6A98">
            <w:pPr>
              <w:pStyle w:val="12"/>
            </w:pPr>
            <w:r>
              <w:t>用于空调设备采购安装，节能</w:t>
            </w:r>
            <w:r>
              <w:rPr>
                <w:rFonts w:hint="eastAsia"/>
                <w:lang w:eastAsia="zh-CN"/>
              </w:rPr>
              <w:t>，</w:t>
            </w:r>
            <w:r>
              <w:t>采购智能研修平台软件，满足学校正常教学需要。</w:t>
            </w:r>
          </w:p>
        </w:tc>
      </w:tr>
      <w:tr w14:paraId="59B6A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F9D9D">
            <w:pPr>
              <w:pStyle w:val="10"/>
            </w:pPr>
            <w:r>
              <w:t>资金支出计划（%）</w:t>
            </w:r>
          </w:p>
        </w:tc>
        <w:tc>
          <w:tcPr>
            <w:tcW w:w="5103" w:type="dxa"/>
            <w:gridSpan w:val="2"/>
            <w:vAlign w:val="center"/>
          </w:tcPr>
          <w:p w14:paraId="1AF2CA8F">
            <w:pPr>
              <w:pStyle w:val="10"/>
            </w:pPr>
            <w:r>
              <w:t>3月底</w:t>
            </w:r>
          </w:p>
        </w:tc>
        <w:tc>
          <w:tcPr>
            <w:tcW w:w="2835" w:type="dxa"/>
            <w:vAlign w:val="center"/>
          </w:tcPr>
          <w:p w14:paraId="17E5F91B">
            <w:pPr>
              <w:pStyle w:val="10"/>
            </w:pPr>
            <w:r>
              <w:t>6月底</w:t>
            </w:r>
          </w:p>
        </w:tc>
        <w:tc>
          <w:tcPr>
            <w:tcW w:w="2551" w:type="dxa"/>
            <w:vAlign w:val="center"/>
          </w:tcPr>
          <w:p w14:paraId="72349EC3">
            <w:pPr>
              <w:pStyle w:val="10"/>
            </w:pPr>
            <w:r>
              <w:t>10月底</w:t>
            </w:r>
          </w:p>
        </w:tc>
        <w:tc>
          <w:tcPr>
            <w:tcW w:w="3544" w:type="dxa"/>
            <w:gridSpan w:val="2"/>
            <w:vAlign w:val="center"/>
          </w:tcPr>
          <w:p w14:paraId="235E21EC">
            <w:pPr>
              <w:pStyle w:val="10"/>
            </w:pPr>
            <w:r>
              <w:t>12月底</w:t>
            </w:r>
          </w:p>
        </w:tc>
      </w:tr>
      <w:tr w14:paraId="03FD4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2F9D3"/>
        </w:tc>
        <w:tc>
          <w:tcPr>
            <w:tcW w:w="5103" w:type="dxa"/>
            <w:gridSpan w:val="2"/>
            <w:vAlign w:val="center"/>
          </w:tcPr>
          <w:p w14:paraId="2AA8A03C">
            <w:pPr>
              <w:pStyle w:val="13"/>
            </w:pPr>
            <w:r>
              <w:t xml:space="preserve"> </w:t>
            </w:r>
          </w:p>
        </w:tc>
        <w:tc>
          <w:tcPr>
            <w:tcW w:w="2835" w:type="dxa"/>
            <w:vAlign w:val="center"/>
          </w:tcPr>
          <w:p w14:paraId="2271DBD4">
            <w:pPr>
              <w:pStyle w:val="13"/>
            </w:pPr>
            <w:r>
              <w:t>50%</w:t>
            </w:r>
          </w:p>
        </w:tc>
        <w:tc>
          <w:tcPr>
            <w:tcW w:w="2551" w:type="dxa"/>
            <w:vAlign w:val="center"/>
          </w:tcPr>
          <w:p w14:paraId="5ABA8B3C">
            <w:pPr>
              <w:pStyle w:val="13"/>
            </w:pPr>
            <w:r>
              <w:t>100%</w:t>
            </w:r>
          </w:p>
        </w:tc>
        <w:tc>
          <w:tcPr>
            <w:tcW w:w="3544" w:type="dxa"/>
            <w:gridSpan w:val="2"/>
            <w:vAlign w:val="center"/>
          </w:tcPr>
          <w:p w14:paraId="12151015">
            <w:pPr>
              <w:pStyle w:val="13"/>
            </w:pPr>
            <w:r>
              <w:t>100%</w:t>
            </w:r>
          </w:p>
        </w:tc>
      </w:tr>
      <w:tr w14:paraId="3EBC4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4F92D">
            <w:pPr>
              <w:pStyle w:val="10"/>
            </w:pPr>
            <w:r>
              <w:t>绩效目标</w:t>
            </w:r>
          </w:p>
        </w:tc>
        <w:tc>
          <w:tcPr>
            <w:tcW w:w="14033" w:type="dxa"/>
            <w:gridSpan w:val="6"/>
            <w:vAlign w:val="center"/>
          </w:tcPr>
          <w:p w14:paraId="41C9A0A6">
            <w:pPr>
              <w:pStyle w:val="12"/>
            </w:pPr>
            <w:r>
              <w:t>1.按规定拨付公用经费资金，预算执行率100%。</w:t>
            </w:r>
          </w:p>
          <w:p w14:paraId="1BBEAD1A">
            <w:pPr>
              <w:pStyle w:val="12"/>
            </w:pPr>
            <w:r>
              <w:t>2.有效完成学校教学安全秩序，保障学校教学任务有效开展，满足学校正常教学需要。</w:t>
            </w:r>
          </w:p>
        </w:tc>
      </w:tr>
    </w:tbl>
    <w:p w14:paraId="7E1648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3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67141">
            <w:pPr>
              <w:pStyle w:val="10"/>
            </w:pPr>
            <w:r>
              <w:t>一级指标</w:t>
            </w:r>
          </w:p>
        </w:tc>
        <w:tc>
          <w:tcPr>
            <w:tcW w:w="2268" w:type="dxa"/>
            <w:vAlign w:val="center"/>
          </w:tcPr>
          <w:p w14:paraId="7D4877C5">
            <w:pPr>
              <w:pStyle w:val="10"/>
            </w:pPr>
            <w:r>
              <w:t>二级指标</w:t>
            </w:r>
          </w:p>
        </w:tc>
        <w:tc>
          <w:tcPr>
            <w:tcW w:w="2835" w:type="dxa"/>
            <w:vAlign w:val="center"/>
          </w:tcPr>
          <w:p w14:paraId="67904AA2">
            <w:pPr>
              <w:pStyle w:val="10"/>
            </w:pPr>
            <w:r>
              <w:t>三级指标</w:t>
            </w:r>
          </w:p>
        </w:tc>
        <w:tc>
          <w:tcPr>
            <w:tcW w:w="5386" w:type="dxa"/>
            <w:vAlign w:val="center"/>
          </w:tcPr>
          <w:p w14:paraId="0325D0BE">
            <w:pPr>
              <w:pStyle w:val="10"/>
            </w:pPr>
            <w:r>
              <w:t>绩效指标描述</w:t>
            </w:r>
          </w:p>
        </w:tc>
        <w:tc>
          <w:tcPr>
            <w:tcW w:w="2268" w:type="dxa"/>
            <w:vAlign w:val="center"/>
          </w:tcPr>
          <w:p w14:paraId="0D8DE1B4">
            <w:pPr>
              <w:pStyle w:val="10"/>
            </w:pPr>
            <w:r>
              <w:t>指标值</w:t>
            </w:r>
          </w:p>
        </w:tc>
        <w:tc>
          <w:tcPr>
            <w:tcW w:w="1276" w:type="dxa"/>
            <w:vAlign w:val="center"/>
          </w:tcPr>
          <w:p w14:paraId="72BC07E0">
            <w:pPr>
              <w:pStyle w:val="10"/>
            </w:pPr>
            <w:r>
              <w:t>指标值确定依据</w:t>
            </w:r>
          </w:p>
        </w:tc>
      </w:tr>
      <w:tr w14:paraId="0991C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9EB8F">
            <w:pPr>
              <w:pStyle w:val="13"/>
            </w:pPr>
            <w:r>
              <w:t>产出指标</w:t>
            </w:r>
          </w:p>
        </w:tc>
        <w:tc>
          <w:tcPr>
            <w:tcW w:w="2268" w:type="dxa"/>
            <w:vAlign w:val="center"/>
          </w:tcPr>
          <w:p w14:paraId="319AE6B8">
            <w:pPr>
              <w:pStyle w:val="12"/>
            </w:pPr>
            <w:r>
              <w:t>数量指标</w:t>
            </w:r>
          </w:p>
        </w:tc>
        <w:tc>
          <w:tcPr>
            <w:tcW w:w="2835" w:type="dxa"/>
            <w:vAlign w:val="center"/>
          </w:tcPr>
          <w:p w14:paraId="71759673">
            <w:pPr>
              <w:pStyle w:val="12"/>
            </w:pPr>
            <w:r>
              <w:t>就读学生数</w:t>
            </w:r>
          </w:p>
        </w:tc>
        <w:tc>
          <w:tcPr>
            <w:tcW w:w="5386" w:type="dxa"/>
            <w:vAlign w:val="center"/>
          </w:tcPr>
          <w:p w14:paraId="652FD76E">
            <w:pPr>
              <w:pStyle w:val="12"/>
            </w:pPr>
            <w:r>
              <w:t>适龄在校就读学生人数</w:t>
            </w:r>
          </w:p>
        </w:tc>
        <w:tc>
          <w:tcPr>
            <w:tcW w:w="2268" w:type="dxa"/>
            <w:vAlign w:val="center"/>
          </w:tcPr>
          <w:p w14:paraId="3070D879">
            <w:pPr>
              <w:pStyle w:val="12"/>
            </w:pPr>
            <w:r>
              <w:t>≥5468人</w:t>
            </w:r>
          </w:p>
        </w:tc>
        <w:tc>
          <w:tcPr>
            <w:tcW w:w="1276" w:type="dxa"/>
            <w:vAlign w:val="center"/>
          </w:tcPr>
          <w:p w14:paraId="2E54CE69">
            <w:pPr>
              <w:pStyle w:val="12"/>
            </w:pPr>
            <w:r>
              <w:t>项目规划</w:t>
            </w:r>
          </w:p>
        </w:tc>
      </w:tr>
      <w:tr w14:paraId="6F88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9E932"/>
        </w:tc>
        <w:tc>
          <w:tcPr>
            <w:tcW w:w="2268" w:type="dxa"/>
            <w:vAlign w:val="center"/>
          </w:tcPr>
          <w:p w14:paraId="3EBCB7B6">
            <w:pPr>
              <w:pStyle w:val="12"/>
            </w:pPr>
            <w:r>
              <w:t>质量指标</w:t>
            </w:r>
          </w:p>
        </w:tc>
        <w:tc>
          <w:tcPr>
            <w:tcW w:w="2835" w:type="dxa"/>
            <w:vAlign w:val="center"/>
          </w:tcPr>
          <w:p w14:paraId="7C609D99">
            <w:pPr>
              <w:pStyle w:val="12"/>
            </w:pPr>
            <w:r>
              <w:t>预算执行率</w:t>
            </w:r>
          </w:p>
        </w:tc>
        <w:tc>
          <w:tcPr>
            <w:tcW w:w="5386" w:type="dxa"/>
            <w:vAlign w:val="center"/>
          </w:tcPr>
          <w:p w14:paraId="26EEE6C1">
            <w:pPr>
              <w:pStyle w:val="12"/>
            </w:pPr>
            <w:r>
              <w:t>公用经费拨付完成率达到需时进度</w:t>
            </w:r>
          </w:p>
        </w:tc>
        <w:tc>
          <w:tcPr>
            <w:tcW w:w="2268" w:type="dxa"/>
            <w:vAlign w:val="center"/>
          </w:tcPr>
          <w:p w14:paraId="757B0920">
            <w:pPr>
              <w:pStyle w:val="12"/>
            </w:pPr>
            <w:r>
              <w:t>100%</w:t>
            </w:r>
          </w:p>
        </w:tc>
        <w:tc>
          <w:tcPr>
            <w:tcW w:w="1276" w:type="dxa"/>
            <w:vAlign w:val="center"/>
          </w:tcPr>
          <w:p w14:paraId="23B86C08">
            <w:pPr>
              <w:pStyle w:val="12"/>
            </w:pPr>
            <w:r>
              <w:t>项目规划</w:t>
            </w:r>
          </w:p>
        </w:tc>
      </w:tr>
      <w:tr w14:paraId="4960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FDDF4"/>
        </w:tc>
        <w:tc>
          <w:tcPr>
            <w:tcW w:w="2268" w:type="dxa"/>
            <w:vAlign w:val="center"/>
          </w:tcPr>
          <w:p w14:paraId="1A9E7160">
            <w:pPr>
              <w:pStyle w:val="12"/>
            </w:pPr>
            <w:r>
              <w:t>时效指标</w:t>
            </w:r>
          </w:p>
        </w:tc>
        <w:tc>
          <w:tcPr>
            <w:tcW w:w="2835" w:type="dxa"/>
            <w:vAlign w:val="center"/>
          </w:tcPr>
          <w:p w14:paraId="71A1CF8F">
            <w:pPr>
              <w:pStyle w:val="12"/>
            </w:pPr>
            <w:r>
              <w:t>义教经费支付完成率</w:t>
            </w:r>
          </w:p>
        </w:tc>
        <w:tc>
          <w:tcPr>
            <w:tcW w:w="5386" w:type="dxa"/>
            <w:vAlign w:val="center"/>
          </w:tcPr>
          <w:p w14:paraId="306597F9">
            <w:pPr>
              <w:pStyle w:val="12"/>
            </w:pPr>
            <w:r>
              <w:t>按照序时进度完成资金支付</w:t>
            </w:r>
          </w:p>
        </w:tc>
        <w:tc>
          <w:tcPr>
            <w:tcW w:w="2268" w:type="dxa"/>
            <w:vAlign w:val="center"/>
          </w:tcPr>
          <w:p w14:paraId="7CB3ADEB">
            <w:pPr>
              <w:pStyle w:val="12"/>
            </w:pPr>
            <w:r>
              <w:t>100%</w:t>
            </w:r>
          </w:p>
        </w:tc>
        <w:tc>
          <w:tcPr>
            <w:tcW w:w="1276" w:type="dxa"/>
            <w:vAlign w:val="center"/>
          </w:tcPr>
          <w:p w14:paraId="522B037C">
            <w:pPr>
              <w:pStyle w:val="12"/>
            </w:pPr>
            <w:r>
              <w:t>项目规划</w:t>
            </w:r>
          </w:p>
        </w:tc>
      </w:tr>
      <w:tr w14:paraId="32A6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ACF2C"/>
        </w:tc>
        <w:tc>
          <w:tcPr>
            <w:tcW w:w="2268" w:type="dxa"/>
            <w:vAlign w:val="center"/>
          </w:tcPr>
          <w:p w14:paraId="215DA355">
            <w:pPr>
              <w:pStyle w:val="12"/>
            </w:pPr>
            <w:r>
              <w:t>成本指标</w:t>
            </w:r>
          </w:p>
        </w:tc>
        <w:tc>
          <w:tcPr>
            <w:tcW w:w="2835" w:type="dxa"/>
            <w:vAlign w:val="center"/>
          </w:tcPr>
          <w:p w14:paraId="46FF9F1D">
            <w:pPr>
              <w:pStyle w:val="12"/>
            </w:pPr>
            <w:r>
              <w:t>生均拨款标准</w:t>
            </w:r>
          </w:p>
        </w:tc>
        <w:tc>
          <w:tcPr>
            <w:tcW w:w="5386" w:type="dxa"/>
            <w:vAlign w:val="center"/>
          </w:tcPr>
          <w:p w14:paraId="079A1F30">
            <w:pPr>
              <w:pStyle w:val="12"/>
            </w:pPr>
            <w:r>
              <w:t>小学：（基本标准720元、寄宿生300元、取暖费120元）/生/学年；特教、随班就读学生：标准7000元/生/学年。</w:t>
            </w:r>
          </w:p>
        </w:tc>
        <w:tc>
          <w:tcPr>
            <w:tcW w:w="2268" w:type="dxa"/>
            <w:vAlign w:val="center"/>
          </w:tcPr>
          <w:p w14:paraId="545C786F">
            <w:pPr>
              <w:pStyle w:val="12"/>
            </w:pPr>
            <w:r>
              <w:t>345600元</w:t>
            </w:r>
          </w:p>
        </w:tc>
        <w:tc>
          <w:tcPr>
            <w:tcW w:w="1276" w:type="dxa"/>
            <w:vAlign w:val="center"/>
          </w:tcPr>
          <w:p w14:paraId="2C8F8D6D">
            <w:pPr>
              <w:pStyle w:val="12"/>
            </w:pPr>
            <w:r>
              <w:t>项目规划</w:t>
            </w:r>
          </w:p>
        </w:tc>
      </w:tr>
      <w:tr w14:paraId="16E9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F571D">
            <w:pPr>
              <w:pStyle w:val="13"/>
            </w:pPr>
            <w:r>
              <w:t>效益指标</w:t>
            </w:r>
          </w:p>
        </w:tc>
        <w:tc>
          <w:tcPr>
            <w:tcW w:w="2268" w:type="dxa"/>
            <w:vAlign w:val="center"/>
          </w:tcPr>
          <w:p w14:paraId="510429CD">
            <w:pPr>
              <w:pStyle w:val="12"/>
            </w:pPr>
            <w:r>
              <w:t>经济效益指标</w:t>
            </w:r>
          </w:p>
        </w:tc>
        <w:tc>
          <w:tcPr>
            <w:tcW w:w="2835" w:type="dxa"/>
            <w:vAlign w:val="center"/>
          </w:tcPr>
          <w:p w14:paraId="4973920A">
            <w:pPr>
              <w:pStyle w:val="12"/>
            </w:pPr>
            <w:r>
              <w:t>项目实施成果</w:t>
            </w:r>
          </w:p>
        </w:tc>
        <w:tc>
          <w:tcPr>
            <w:tcW w:w="5386" w:type="dxa"/>
            <w:vAlign w:val="center"/>
          </w:tcPr>
          <w:p w14:paraId="554427DF">
            <w:pPr>
              <w:pStyle w:val="12"/>
            </w:pPr>
            <w:r>
              <w:t>减轻受教育学生家庭经济负担</w:t>
            </w:r>
          </w:p>
        </w:tc>
        <w:tc>
          <w:tcPr>
            <w:tcW w:w="2268" w:type="dxa"/>
            <w:vAlign w:val="center"/>
          </w:tcPr>
          <w:p w14:paraId="5BDF0CDE">
            <w:pPr>
              <w:pStyle w:val="12"/>
            </w:pPr>
            <w:r>
              <w:t>100%</w:t>
            </w:r>
          </w:p>
        </w:tc>
        <w:tc>
          <w:tcPr>
            <w:tcW w:w="1276" w:type="dxa"/>
            <w:vAlign w:val="center"/>
          </w:tcPr>
          <w:p w14:paraId="1032BF1C">
            <w:pPr>
              <w:pStyle w:val="12"/>
            </w:pPr>
            <w:r>
              <w:t>项目规划</w:t>
            </w:r>
          </w:p>
        </w:tc>
      </w:tr>
      <w:tr w14:paraId="5AAF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8611C"/>
        </w:tc>
        <w:tc>
          <w:tcPr>
            <w:tcW w:w="2268" w:type="dxa"/>
            <w:vAlign w:val="center"/>
          </w:tcPr>
          <w:p w14:paraId="2F390579">
            <w:pPr>
              <w:pStyle w:val="12"/>
            </w:pPr>
            <w:r>
              <w:t>社会效益指标</w:t>
            </w:r>
          </w:p>
        </w:tc>
        <w:tc>
          <w:tcPr>
            <w:tcW w:w="2835" w:type="dxa"/>
            <w:vAlign w:val="center"/>
          </w:tcPr>
          <w:p w14:paraId="3BA8DF3D">
            <w:pPr>
              <w:pStyle w:val="12"/>
            </w:pPr>
            <w:r>
              <w:t>学校办学能力提升</w:t>
            </w:r>
          </w:p>
        </w:tc>
        <w:tc>
          <w:tcPr>
            <w:tcW w:w="5386" w:type="dxa"/>
            <w:vAlign w:val="center"/>
          </w:tcPr>
          <w:p w14:paraId="4887BFC0">
            <w:pPr>
              <w:pStyle w:val="12"/>
            </w:pPr>
            <w:r>
              <w:t>学校办学能</w:t>
            </w:r>
            <w:r>
              <w:rPr>
                <w:rFonts w:hint="eastAsia"/>
                <w:lang w:eastAsia="zh-CN"/>
              </w:rPr>
              <w:t>力提</w:t>
            </w:r>
            <w:r>
              <w:t>升情况及教育教学工作等开展的情况</w:t>
            </w:r>
          </w:p>
        </w:tc>
        <w:tc>
          <w:tcPr>
            <w:tcW w:w="2268" w:type="dxa"/>
            <w:vAlign w:val="center"/>
          </w:tcPr>
          <w:p w14:paraId="227F8404">
            <w:pPr>
              <w:pStyle w:val="12"/>
            </w:pPr>
            <w:r>
              <w:t>100%</w:t>
            </w:r>
          </w:p>
        </w:tc>
        <w:tc>
          <w:tcPr>
            <w:tcW w:w="1276" w:type="dxa"/>
            <w:vAlign w:val="center"/>
          </w:tcPr>
          <w:p w14:paraId="4FC4F752">
            <w:pPr>
              <w:pStyle w:val="12"/>
            </w:pPr>
            <w:r>
              <w:t>项目规划</w:t>
            </w:r>
          </w:p>
        </w:tc>
      </w:tr>
      <w:tr w14:paraId="6A3A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74920"/>
        </w:tc>
        <w:tc>
          <w:tcPr>
            <w:tcW w:w="2268" w:type="dxa"/>
            <w:vAlign w:val="center"/>
          </w:tcPr>
          <w:p w14:paraId="7FA6DA36">
            <w:pPr>
              <w:pStyle w:val="12"/>
            </w:pPr>
            <w:r>
              <w:t>可持续影响指标</w:t>
            </w:r>
          </w:p>
        </w:tc>
        <w:tc>
          <w:tcPr>
            <w:tcW w:w="2835" w:type="dxa"/>
            <w:vAlign w:val="center"/>
          </w:tcPr>
          <w:p w14:paraId="5F5F82E4">
            <w:pPr>
              <w:pStyle w:val="12"/>
            </w:pPr>
            <w:r>
              <w:t>教育发展水平</w:t>
            </w:r>
          </w:p>
        </w:tc>
        <w:tc>
          <w:tcPr>
            <w:tcW w:w="5386" w:type="dxa"/>
            <w:vAlign w:val="center"/>
          </w:tcPr>
          <w:p w14:paraId="4A8609C1">
            <w:pPr>
              <w:pStyle w:val="12"/>
            </w:pPr>
            <w:r>
              <w:t>教育环境明显好转</w:t>
            </w:r>
          </w:p>
        </w:tc>
        <w:tc>
          <w:tcPr>
            <w:tcW w:w="2268" w:type="dxa"/>
            <w:vAlign w:val="center"/>
          </w:tcPr>
          <w:p w14:paraId="42C6CDC5">
            <w:pPr>
              <w:pStyle w:val="12"/>
            </w:pPr>
            <w:r>
              <w:t>100%</w:t>
            </w:r>
          </w:p>
        </w:tc>
        <w:tc>
          <w:tcPr>
            <w:tcW w:w="1276" w:type="dxa"/>
            <w:vAlign w:val="center"/>
          </w:tcPr>
          <w:p w14:paraId="5B6224FC">
            <w:pPr>
              <w:pStyle w:val="12"/>
            </w:pPr>
            <w:r>
              <w:t>项目规划</w:t>
            </w:r>
          </w:p>
        </w:tc>
      </w:tr>
      <w:tr w14:paraId="06EC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1E35D">
            <w:pPr>
              <w:pStyle w:val="13"/>
            </w:pPr>
            <w:r>
              <w:t>满意度指标</w:t>
            </w:r>
          </w:p>
        </w:tc>
        <w:tc>
          <w:tcPr>
            <w:tcW w:w="2268" w:type="dxa"/>
            <w:vAlign w:val="center"/>
          </w:tcPr>
          <w:p w14:paraId="445EE0D8">
            <w:pPr>
              <w:pStyle w:val="12"/>
            </w:pPr>
            <w:r>
              <w:t>服务对象满意度指标</w:t>
            </w:r>
          </w:p>
        </w:tc>
        <w:tc>
          <w:tcPr>
            <w:tcW w:w="2835" w:type="dxa"/>
            <w:vAlign w:val="center"/>
          </w:tcPr>
          <w:p w14:paraId="3D37D2EA">
            <w:pPr>
              <w:pStyle w:val="12"/>
            </w:pPr>
            <w:r>
              <w:t>受益学生家长及调查满意度</w:t>
            </w:r>
          </w:p>
        </w:tc>
        <w:tc>
          <w:tcPr>
            <w:tcW w:w="5386" w:type="dxa"/>
            <w:vAlign w:val="center"/>
          </w:tcPr>
          <w:p w14:paraId="0DAD4DD1">
            <w:pPr>
              <w:pStyle w:val="12"/>
            </w:pPr>
            <w:r>
              <w:t>学生、教师及家长对学校保教保育工作满意度情况</w:t>
            </w:r>
          </w:p>
        </w:tc>
        <w:tc>
          <w:tcPr>
            <w:tcW w:w="2268" w:type="dxa"/>
            <w:vAlign w:val="center"/>
          </w:tcPr>
          <w:p w14:paraId="607499B0">
            <w:pPr>
              <w:pStyle w:val="12"/>
            </w:pPr>
            <w:r>
              <w:t>≥95%</w:t>
            </w:r>
          </w:p>
        </w:tc>
        <w:tc>
          <w:tcPr>
            <w:tcW w:w="1276" w:type="dxa"/>
            <w:vAlign w:val="center"/>
          </w:tcPr>
          <w:p w14:paraId="1A2CAA8E">
            <w:pPr>
              <w:pStyle w:val="12"/>
            </w:pPr>
            <w:r>
              <w:t>调查问卷</w:t>
            </w:r>
          </w:p>
        </w:tc>
      </w:tr>
    </w:tbl>
    <w:p w14:paraId="07F37AB4">
      <w:pPr>
        <w:sectPr>
          <w:pgSz w:w="16840" w:h="11900" w:orient="landscape"/>
          <w:pgMar w:top="1361" w:right="1020" w:bottom="1134" w:left="1020" w:header="720" w:footer="720" w:gutter="0"/>
          <w:cols w:space="720" w:num="1"/>
        </w:sectPr>
      </w:pPr>
    </w:p>
    <w:p w14:paraId="0F3996AB">
      <w:pPr>
        <w:spacing w:before="0" w:after="0"/>
        <w:ind w:firstLine="560"/>
        <w:jc w:val="left"/>
        <w:outlineLvl w:val="9"/>
      </w:pPr>
      <w:r>
        <w:rPr>
          <w:rFonts w:ascii="方正仿宋_GBK" w:hAnsi="方正仿宋_GBK" w:eastAsia="方正仿宋_GBK" w:cs="方正仿宋_GBK"/>
          <w:b/>
          <w:color w:val="000000"/>
          <w:sz w:val="28"/>
        </w:rPr>
        <w:t>6、冀财教[2025]148号/支持义务教育发展/实验中学化学实验室专用设备购置绩效目标表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6F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FF753">
            <w:pPr>
              <w:pStyle w:val="11"/>
            </w:pPr>
            <w:r>
              <w:t>单位：万元</w:t>
            </w:r>
          </w:p>
        </w:tc>
      </w:tr>
      <w:tr w14:paraId="023D6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1CE01">
            <w:pPr>
              <w:pStyle w:val="10"/>
            </w:pPr>
            <w:r>
              <w:t>项目编码</w:t>
            </w:r>
          </w:p>
        </w:tc>
        <w:tc>
          <w:tcPr>
            <w:tcW w:w="5103" w:type="dxa"/>
            <w:gridSpan w:val="2"/>
            <w:vAlign w:val="center"/>
          </w:tcPr>
          <w:p w14:paraId="56EA452F">
            <w:pPr>
              <w:pStyle w:val="12"/>
            </w:pPr>
            <w:r>
              <w:t>13052526P00000210114N</w:t>
            </w:r>
          </w:p>
        </w:tc>
        <w:tc>
          <w:tcPr>
            <w:tcW w:w="2835" w:type="dxa"/>
            <w:vAlign w:val="center"/>
          </w:tcPr>
          <w:p w14:paraId="17E3FA7A">
            <w:pPr>
              <w:pStyle w:val="10"/>
            </w:pPr>
            <w:r>
              <w:t>项目名称</w:t>
            </w:r>
          </w:p>
        </w:tc>
        <w:tc>
          <w:tcPr>
            <w:tcW w:w="6095" w:type="dxa"/>
            <w:gridSpan w:val="3"/>
            <w:vAlign w:val="center"/>
          </w:tcPr>
          <w:p w14:paraId="407EBA02">
            <w:pPr>
              <w:pStyle w:val="12"/>
            </w:pPr>
            <w:r>
              <w:t>冀财教[2025]148号/支持义务教育发展/实验中学化学实验室专用设备购置</w:t>
            </w:r>
          </w:p>
        </w:tc>
      </w:tr>
      <w:tr w14:paraId="05861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4BC6E">
            <w:pPr>
              <w:pStyle w:val="10"/>
            </w:pPr>
            <w:r>
              <w:t>预算规模及资金用途</w:t>
            </w:r>
          </w:p>
        </w:tc>
        <w:tc>
          <w:tcPr>
            <w:tcW w:w="2268" w:type="dxa"/>
            <w:vAlign w:val="center"/>
          </w:tcPr>
          <w:p w14:paraId="6002F0A9">
            <w:pPr>
              <w:pStyle w:val="10"/>
            </w:pPr>
            <w:r>
              <w:t>预算数</w:t>
            </w:r>
          </w:p>
        </w:tc>
        <w:tc>
          <w:tcPr>
            <w:tcW w:w="2835" w:type="dxa"/>
            <w:vAlign w:val="center"/>
          </w:tcPr>
          <w:p w14:paraId="74C7CF2A">
            <w:pPr>
              <w:pStyle w:val="12"/>
            </w:pPr>
            <w:r>
              <w:t>28.70</w:t>
            </w:r>
          </w:p>
        </w:tc>
        <w:tc>
          <w:tcPr>
            <w:tcW w:w="2835" w:type="dxa"/>
            <w:vAlign w:val="center"/>
          </w:tcPr>
          <w:p w14:paraId="3F649747">
            <w:pPr>
              <w:pStyle w:val="10"/>
            </w:pPr>
            <w:r>
              <w:t>其中：财政    资金</w:t>
            </w:r>
          </w:p>
        </w:tc>
        <w:tc>
          <w:tcPr>
            <w:tcW w:w="2551" w:type="dxa"/>
            <w:vAlign w:val="center"/>
          </w:tcPr>
          <w:p w14:paraId="45EB54DB">
            <w:pPr>
              <w:pStyle w:val="12"/>
            </w:pPr>
            <w:r>
              <w:t>28.70</w:t>
            </w:r>
          </w:p>
        </w:tc>
        <w:tc>
          <w:tcPr>
            <w:tcW w:w="2268" w:type="dxa"/>
            <w:vAlign w:val="center"/>
          </w:tcPr>
          <w:p w14:paraId="0068D01C">
            <w:pPr>
              <w:pStyle w:val="10"/>
            </w:pPr>
            <w:r>
              <w:t>其他资金</w:t>
            </w:r>
          </w:p>
        </w:tc>
        <w:tc>
          <w:tcPr>
            <w:tcW w:w="1276" w:type="dxa"/>
            <w:vAlign w:val="center"/>
          </w:tcPr>
          <w:p w14:paraId="1E2C2AC0">
            <w:pPr>
              <w:pStyle w:val="12"/>
            </w:pPr>
            <w:r>
              <w:t xml:space="preserve"> </w:t>
            </w:r>
          </w:p>
        </w:tc>
      </w:tr>
      <w:tr w14:paraId="084A0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000A2"/>
        </w:tc>
        <w:tc>
          <w:tcPr>
            <w:tcW w:w="14033" w:type="dxa"/>
            <w:gridSpan w:val="6"/>
            <w:vAlign w:val="center"/>
          </w:tcPr>
          <w:p w14:paraId="48BE562A">
            <w:pPr>
              <w:pStyle w:val="12"/>
            </w:pPr>
            <w:r>
              <w:t>打造化学实验室，筑牢学生实验基础</w:t>
            </w:r>
          </w:p>
        </w:tc>
      </w:tr>
      <w:tr w14:paraId="6FFC5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AA45F">
            <w:pPr>
              <w:pStyle w:val="10"/>
            </w:pPr>
            <w:r>
              <w:t>资金支出计划（%）</w:t>
            </w:r>
          </w:p>
        </w:tc>
        <w:tc>
          <w:tcPr>
            <w:tcW w:w="5103" w:type="dxa"/>
            <w:gridSpan w:val="2"/>
            <w:vAlign w:val="center"/>
          </w:tcPr>
          <w:p w14:paraId="6CBA0E44">
            <w:pPr>
              <w:pStyle w:val="10"/>
            </w:pPr>
            <w:r>
              <w:t>3月底</w:t>
            </w:r>
          </w:p>
        </w:tc>
        <w:tc>
          <w:tcPr>
            <w:tcW w:w="2835" w:type="dxa"/>
            <w:vAlign w:val="center"/>
          </w:tcPr>
          <w:p w14:paraId="3E80C81A">
            <w:pPr>
              <w:pStyle w:val="10"/>
            </w:pPr>
            <w:r>
              <w:t>6月底</w:t>
            </w:r>
          </w:p>
        </w:tc>
        <w:tc>
          <w:tcPr>
            <w:tcW w:w="2551" w:type="dxa"/>
            <w:vAlign w:val="center"/>
          </w:tcPr>
          <w:p w14:paraId="782B7DEE">
            <w:pPr>
              <w:pStyle w:val="10"/>
            </w:pPr>
            <w:r>
              <w:t>10月底</w:t>
            </w:r>
          </w:p>
        </w:tc>
        <w:tc>
          <w:tcPr>
            <w:tcW w:w="3544" w:type="dxa"/>
            <w:gridSpan w:val="2"/>
            <w:vAlign w:val="center"/>
          </w:tcPr>
          <w:p w14:paraId="05BADB87">
            <w:pPr>
              <w:pStyle w:val="10"/>
            </w:pPr>
            <w:r>
              <w:t>12月底</w:t>
            </w:r>
          </w:p>
        </w:tc>
      </w:tr>
      <w:tr w14:paraId="62E0A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25227"/>
        </w:tc>
        <w:tc>
          <w:tcPr>
            <w:tcW w:w="5103" w:type="dxa"/>
            <w:gridSpan w:val="2"/>
            <w:vAlign w:val="center"/>
          </w:tcPr>
          <w:p w14:paraId="768AFDE1">
            <w:pPr>
              <w:pStyle w:val="13"/>
            </w:pPr>
            <w:r>
              <w:t>25%</w:t>
            </w:r>
          </w:p>
        </w:tc>
        <w:tc>
          <w:tcPr>
            <w:tcW w:w="2835" w:type="dxa"/>
            <w:vAlign w:val="center"/>
          </w:tcPr>
          <w:p w14:paraId="4F895685">
            <w:pPr>
              <w:pStyle w:val="13"/>
            </w:pPr>
            <w:r>
              <w:t>50%</w:t>
            </w:r>
          </w:p>
        </w:tc>
        <w:tc>
          <w:tcPr>
            <w:tcW w:w="2551" w:type="dxa"/>
            <w:vAlign w:val="center"/>
          </w:tcPr>
          <w:p w14:paraId="0B8ECDE5">
            <w:pPr>
              <w:pStyle w:val="13"/>
            </w:pPr>
            <w:r>
              <w:t>75%</w:t>
            </w:r>
          </w:p>
        </w:tc>
        <w:tc>
          <w:tcPr>
            <w:tcW w:w="3544" w:type="dxa"/>
            <w:gridSpan w:val="2"/>
            <w:vAlign w:val="center"/>
          </w:tcPr>
          <w:p w14:paraId="213F57F8">
            <w:pPr>
              <w:pStyle w:val="13"/>
            </w:pPr>
            <w:r>
              <w:t>100%</w:t>
            </w:r>
          </w:p>
        </w:tc>
      </w:tr>
      <w:tr w14:paraId="2192B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0ED97">
            <w:pPr>
              <w:pStyle w:val="10"/>
            </w:pPr>
            <w:r>
              <w:t>绩效目标</w:t>
            </w:r>
          </w:p>
        </w:tc>
        <w:tc>
          <w:tcPr>
            <w:tcW w:w="14033" w:type="dxa"/>
            <w:gridSpan w:val="6"/>
            <w:vAlign w:val="center"/>
          </w:tcPr>
          <w:p w14:paraId="133F864C">
            <w:pPr>
              <w:pStyle w:val="12"/>
            </w:pPr>
            <w:r>
              <w:t>1.改善办学条件，提升学校形象，保障义务教育阶段教学安全，创造良好的校园环境。</w:t>
            </w:r>
          </w:p>
          <w:p w14:paraId="4C3222A1">
            <w:pPr>
              <w:pStyle w:val="12"/>
            </w:pPr>
            <w:r>
              <w:t>2.项目需资金28.7万元，资金拨付率达到100%。</w:t>
            </w:r>
          </w:p>
        </w:tc>
      </w:tr>
    </w:tbl>
    <w:p w14:paraId="20B84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8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BBACE">
            <w:pPr>
              <w:pStyle w:val="10"/>
            </w:pPr>
            <w:r>
              <w:t>一级指标</w:t>
            </w:r>
          </w:p>
        </w:tc>
        <w:tc>
          <w:tcPr>
            <w:tcW w:w="2268" w:type="dxa"/>
            <w:vAlign w:val="center"/>
          </w:tcPr>
          <w:p w14:paraId="4BF592E8">
            <w:pPr>
              <w:pStyle w:val="10"/>
            </w:pPr>
            <w:r>
              <w:t>二级指标</w:t>
            </w:r>
          </w:p>
        </w:tc>
        <w:tc>
          <w:tcPr>
            <w:tcW w:w="2835" w:type="dxa"/>
            <w:vAlign w:val="center"/>
          </w:tcPr>
          <w:p w14:paraId="6EA8FC64">
            <w:pPr>
              <w:pStyle w:val="10"/>
            </w:pPr>
            <w:r>
              <w:t>三级指标</w:t>
            </w:r>
          </w:p>
        </w:tc>
        <w:tc>
          <w:tcPr>
            <w:tcW w:w="5386" w:type="dxa"/>
            <w:vAlign w:val="center"/>
          </w:tcPr>
          <w:p w14:paraId="244EB8CE">
            <w:pPr>
              <w:pStyle w:val="10"/>
            </w:pPr>
            <w:r>
              <w:t>绩效指标描述</w:t>
            </w:r>
          </w:p>
        </w:tc>
        <w:tc>
          <w:tcPr>
            <w:tcW w:w="2268" w:type="dxa"/>
            <w:vAlign w:val="center"/>
          </w:tcPr>
          <w:p w14:paraId="3A41F979">
            <w:pPr>
              <w:pStyle w:val="10"/>
            </w:pPr>
            <w:r>
              <w:t>指标值</w:t>
            </w:r>
          </w:p>
        </w:tc>
        <w:tc>
          <w:tcPr>
            <w:tcW w:w="1276" w:type="dxa"/>
            <w:vAlign w:val="center"/>
          </w:tcPr>
          <w:p w14:paraId="59E93767">
            <w:pPr>
              <w:pStyle w:val="10"/>
            </w:pPr>
            <w:r>
              <w:t>指标值确定依据</w:t>
            </w:r>
          </w:p>
        </w:tc>
      </w:tr>
      <w:tr w14:paraId="19772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A1754">
            <w:pPr>
              <w:pStyle w:val="13"/>
            </w:pPr>
            <w:r>
              <w:t>产出指标</w:t>
            </w:r>
          </w:p>
        </w:tc>
        <w:tc>
          <w:tcPr>
            <w:tcW w:w="2268" w:type="dxa"/>
            <w:vAlign w:val="center"/>
          </w:tcPr>
          <w:p w14:paraId="1D9DA2E5">
            <w:pPr>
              <w:pStyle w:val="12"/>
            </w:pPr>
            <w:r>
              <w:t>数量指标</w:t>
            </w:r>
          </w:p>
        </w:tc>
        <w:tc>
          <w:tcPr>
            <w:tcW w:w="2835" w:type="dxa"/>
            <w:vAlign w:val="center"/>
          </w:tcPr>
          <w:p w14:paraId="78EA36FF">
            <w:pPr>
              <w:pStyle w:val="12"/>
            </w:pPr>
            <w:r>
              <w:t>化学实验室设备购置</w:t>
            </w:r>
          </w:p>
        </w:tc>
        <w:tc>
          <w:tcPr>
            <w:tcW w:w="5386" w:type="dxa"/>
            <w:vAlign w:val="center"/>
          </w:tcPr>
          <w:p w14:paraId="338F95A9">
            <w:pPr>
              <w:pStyle w:val="12"/>
            </w:pPr>
            <w:r>
              <w:t>实验室桌凳、万向伸缩吸风罩等</w:t>
            </w:r>
          </w:p>
        </w:tc>
        <w:tc>
          <w:tcPr>
            <w:tcW w:w="2268" w:type="dxa"/>
            <w:vAlign w:val="center"/>
          </w:tcPr>
          <w:p w14:paraId="43D80361">
            <w:pPr>
              <w:pStyle w:val="12"/>
            </w:pPr>
            <w:r>
              <w:t>1项</w:t>
            </w:r>
          </w:p>
        </w:tc>
        <w:tc>
          <w:tcPr>
            <w:tcW w:w="1276" w:type="dxa"/>
            <w:vAlign w:val="center"/>
          </w:tcPr>
          <w:p w14:paraId="61878F95">
            <w:pPr>
              <w:pStyle w:val="12"/>
            </w:pPr>
            <w:r>
              <w:t>项目规划</w:t>
            </w:r>
          </w:p>
        </w:tc>
      </w:tr>
      <w:tr w14:paraId="44C2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7DCB7"/>
        </w:tc>
        <w:tc>
          <w:tcPr>
            <w:tcW w:w="2268" w:type="dxa"/>
            <w:vAlign w:val="center"/>
          </w:tcPr>
          <w:p w14:paraId="4780D828">
            <w:pPr>
              <w:pStyle w:val="12"/>
            </w:pPr>
            <w:r>
              <w:t>质量指标</w:t>
            </w:r>
          </w:p>
        </w:tc>
        <w:tc>
          <w:tcPr>
            <w:tcW w:w="2835" w:type="dxa"/>
            <w:vAlign w:val="center"/>
          </w:tcPr>
          <w:p w14:paraId="57474A36">
            <w:pPr>
              <w:pStyle w:val="12"/>
            </w:pPr>
            <w:r>
              <w:t>工程实施验收合格率</w:t>
            </w:r>
          </w:p>
        </w:tc>
        <w:tc>
          <w:tcPr>
            <w:tcW w:w="5386" w:type="dxa"/>
            <w:vAlign w:val="center"/>
          </w:tcPr>
          <w:p w14:paraId="656D5830">
            <w:pPr>
              <w:pStyle w:val="12"/>
            </w:pPr>
            <w:r>
              <w:t>申报程序的合规，项目实施及资金使用符合项目规划</w:t>
            </w:r>
          </w:p>
        </w:tc>
        <w:tc>
          <w:tcPr>
            <w:tcW w:w="2268" w:type="dxa"/>
            <w:vAlign w:val="center"/>
          </w:tcPr>
          <w:p w14:paraId="4085F279">
            <w:pPr>
              <w:pStyle w:val="12"/>
            </w:pPr>
            <w:r>
              <w:t>100%</w:t>
            </w:r>
          </w:p>
        </w:tc>
        <w:tc>
          <w:tcPr>
            <w:tcW w:w="1276" w:type="dxa"/>
            <w:vAlign w:val="center"/>
          </w:tcPr>
          <w:p w14:paraId="1681E2BB">
            <w:pPr>
              <w:pStyle w:val="12"/>
            </w:pPr>
            <w:r>
              <w:t>项目规划</w:t>
            </w:r>
          </w:p>
        </w:tc>
      </w:tr>
      <w:tr w14:paraId="0923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1C4F4"/>
        </w:tc>
        <w:tc>
          <w:tcPr>
            <w:tcW w:w="2268" w:type="dxa"/>
            <w:vAlign w:val="center"/>
          </w:tcPr>
          <w:p w14:paraId="6453DCFC">
            <w:pPr>
              <w:pStyle w:val="12"/>
            </w:pPr>
            <w:r>
              <w:t>时效指标</w:t>
            </w:r>
          </w:p>
        </w:tc>
        <w:tc>
          <w:tcPr>
            <w:tcW w:w="2835" w:type="dxa"/>
            <w:vAlign w:val="center"/>
          </w:tcPr>
          <w:p w14:paraId="1D461EEE">
            <w:pPr>
              <w:pStyle w:val="12"/>
            </w:pPr>
            <w:r>
              <w:t>资金支付率</w:t>
            </w:r>
          </w:p>
        </w:tc>
        <w:tc>
          <w:tcPr>
            <w:tcW w:w="5386" w:type="dxa"/>
            <w:vAlign w:val="center"/>
          </w:tcPr>
          <w:p w14:paraId="2F2F7645">
            <w:pPr>
              <w:pStyle w:val="12"/>
            </w:pPr>
            <w:r>
              <w:t>按照序时进度完成资金支付</w:t>
            </w:r>
          </w:p>
        </w:tc>
        <w:tc>
          <w:tcPr>
            <w:tcW w:w="2268" w:type="dxa"/>
            <w:vAlign w:val="center"/>
          </w:tcPr>
          <w:p w14:paraId="2DA14FA6">
            <w:pPr>
              <w:pStyle w:val="12"/>
            </w:pPr>
            <w:r>
              <w:t>100%</w:t>
            </w:r>
          </w:p>
        </w:tc>
        <w:tc>
          <w:tcPr>
            <w:tcW w:w="1276" w:type="dxa"/>
            <w:vAlign w:val="center"/>
          </w:tcPr>
          <w:p w14:paraId="09B13228">
            <w:pPr>
              <w:pStyle w:val="12"/>
            </w:pPr>
            <w:r>
              <w:t>项目规划</w:t>
            </w:r>
          </w:p>
        </w:tc>
      </w:tr>
      <w:tr w14:paraId="1EA2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2B358"/>
        </w:tc>
        <w:tc>
          <w:tcPr>
            <w:tcW w:w="2268" w:type="dxa"/>
            <w:vAlign w:val="center"/>
          </w:tcPr>
          <w:p w14:paraId="559B1415">
            <w:pPr>
              <w:pStyle w:val="12"/>
            </w:pPr>
            <w:r>
              <w:t>成本指标</w:t>
            </w:r>
          </w:p>
        </w:tc>
        <w:tc>
          <w:tcPr>
            <w:tcW w:w="2835" w:type="dxa"/>
            <w:vAlign w:val="center"/>
          </w:tcPr>
          <w:p w14:paraId="7DFAFBCC">
            <w:pPr>
              <w:pStyle w:val="12"/>
            </w:pPr>
            <w:r>
              <w:t>项目成本控制情况</w:t>
            </w:r>
          </w:p>
        </w:tc>
        <w:tc>
          <w:tcPr>
            <w:tcW w:w="5386" w:type="dxa"/>
            <w:vAlign w:val="center"/>
          </w:tcPr>
          <w:p w14:paraId="61160ADF">
            <w:pPr>
              <w:pStyle w:val="12"/>
            </w:pPr>
            <w:r>
              <w:t>严格按照招标价格及审计额进行</w:t>
            </w:r>
          </w:p>
        </w:tc>
        <w:tc>
          <w:tcPr>
            <w:tcW w:w="2268" w:type="dxa"/>
            <w:vAlign w:val="center"/>
          </w:tcPr>
          <w:p w14:paraId="3DB1270A">
            <w:pPr>
              <w:pStyle w:val="12"/>
            </w:pPr>
            <w:r>
              <w:t>287000元</w:t>
            </w:r>
          </w:p>
        </w:tc>
        <w:tc>
          <w:tcPr>
            <w:tcW w:w="1276" w:type="dxa"/>
            <w:vAlign w:val="center"/>
          </w:tcPr>
          <w:p w14:paraId="34D8EBE7">
            <w:pPr>
              <w:pStyle w:val="12"/>
            </w:pPr>
            <w:r>
              <w:t>项目规划</w:t>
            </w:r>
          </w:p>
        </w:tc>
      </w:tr>
      <w:tr w14:paraId="1967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AF6F2">
            <w:pPr>
              <w:pStyle w:val="13"/>
            </w:pPr>
            <w:r>
              <w:t>效益指标</w:t>
            </w:r>
          </w:p>
        </w:tc>
        <w:tc>
          <w:tcPr>
            <w:tcW w:w="2268" w:type="dxa"/>
            <w:vAlign w:val="center"/>
          </w:tcPr>
          <w:p w14:paraId="436FB586">
            <w:pPr>
              <w:pStyle w:val="12"/>
            </w:pPr>
            <w:r>
              <w:t>可持续影响指标</w:t>
            </w:r>
          </w:p>
        </w:tc>
        <w:tc>
          <w:tcPr>
            <w:tcW w:w="2835" w:type="dxa"/>
            <w:vAlign w:val="center"/>
          </w:tcPr>
          <w:p w14:paraId="6FA49C97">
            <w:pPr>
              <w:pStyle w:val="12"/>
            </w:pPr>
            <w:r>
              <w:t>学校运转得到提高</w:t>
            </w:r>
          </w:p>
        </w:tc>
        <w:tc>
          <w:tcPr>
            <w:tcW w:w="5386" w:type="dxa"/>
            <w:vAlign w:val="center"/>
          </w:tcPr>
          <w:p w14:paraId="6B336AB6">
            <w:pPr>
              <w:pStyle w:val="12"/>
            </w:pPr>
            <w:r>
              <w:t>学生受教育年限</w:t>
            </w:r>
          </w:p>
        </w:tc>
        <w:tc>
          <w:tcPr>
            <w:tcW w:w="2268" w:type="dxa"/>
            <w:vAlign w:val="center"/>
          </w:tcPr>
          <w:p w14:paraId="58808689">
            <w:pPr>
              <w:pStyle w:val="12"/>
            </w:pPr>
            <w:r>
              <w:t>3年</w:t>
            </w:r>
          </w:p>
        </w:tc>
        <w:tc>
          <w:tcPr>
            <w:tcW w:w="1276" w:type="dxa"/>
            <w:vAlign w:val="center"/>
          </w:tcPr>
          <w:p w14:paraId="35186A79">
            <w:pPr>
              <w:pStyle w:val="12"/>
            </w:pPr>
            <w:r>
              <w:t>项目规划</w:t>
            </w:r>
          </w:p>
        </w:tc>
      </w:tr>
      <w:tr w14:paraId="61A5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506A5">
            <w:pPr>
              <w:pStyle w:val="13"/>
            </w:pPr>
            <w:r>
              <w:t>满意度指标</w:t>
            </w:r>
          </w:p>
        </w:tc>
        <w:tc>
          <w:tcPr>
            <w:tcW w:w="2268" w:type="dxa"/>
            <w:vAlign w:val="center"/>
          </w:tcPr>
          <w:p w14:paraId="2484D473">
            <w:pPr>
              <w:pStyle w:val="12"/>
            </w:pPr>
            <w:r>
              <w:t>服务对象满意度指标</w:t>
            </w:r>
          </w:p>
        </w:tc>
        <w:tc>
          <w:tcPr>
            <w:tcW w:w="2835" w:type="dxa"/>
            <w:vAlign w:val="center"/>
          </w:tcPr>
          <w:p w14:paraId="2F3B0047">
            <w:pPr>
              <w:pStyle w:val="12"/>
            </w:pPr>
            <w:r>
              <w:t>受益学生家长及调查满意度</w:t>
            </w:r>
          </w:p>
        </w:tc>
        <w:tc>
          <w:tcPr>
            <w:tcW w:w="5386" w:type="dxa"/>
            <w:vAlign w:val="center"/>
          </w:tcPr>
          <w:p w14:paraId="690A9886">
            <w:pPr>
              <w:pStyle w:val="12"/>
            </w:pPr>
            <w:r>
              <w:t>学生、教师及家长对学校教学环境满意度情况</w:t>
            </w:r>
          </w:p>
        </w:tc>
        <w:tc>
          <w:tcPr>
            <w:tcW w:w="2268" w:type="dxa"/>
            <w:vAlign w:val="center"/>
          </w:tcPr>
          <w:p w14:paraId="55D9A15D">
            <w:pPr>
              <w:pStyle w:val="12"/>
            </w:pPr>
            <w:r>
              <w:t>≥95%</w:t>
            </w:r>
          </w:p>
        </w:tc>
        <w:tc>
          <w:tcPr>
            <w:tcW w:w="1276" w:type="dxa"/>
            <w:vAlign w:val="center"/>
          </w:tcPr>
          <w:p w14:paraId="4C583AA8">
            <w:pPr>
              <w:pStyle w:val="12"/>
            </w:pPr>
            <w:r>
              <w:t>项目规划</w:t>
            </w:r>
          </w:p>
        </w:tc>
      </w:tr>
    </w:tbl>
    <w:p w14:paraId="516A1CC0">
      <w:pPr>
        <w:sectPr>
          <w:pgSz w:w="16840" w:h="11900" w:orient="landscape"/>
          <w:pgMar w:top="1361" w:right="1020" w:bottom="1134" w:left="1020" w:header="720" w:footer="720" w:gutter="0"/>
          <w:cols w:space="720" w:num="1"/>
        </w:sectPr>
      </w:pPr>
    </w:p>
    <w:p w14:paraId="795A5217">
      <w:pPr>
        <w:spacing w:before="0" w:after="0"/>
        <w:ind w:firstLine="560"/>
        <w:jc w:val="left"/>
        <w:outlineLvl w:val="9"/>
      </w:pPr>
      <w:r>
        <w:rPr>
          <w:rFonts w:ascii="方正仿宋_GBK" w:hAnsi="方正仿宋_GBK" w:eastAsia="方正仿宋_GBK" w:cs="方正仿宋_GBK"/>
          <w:b/>
          <w:color w:val="000000"/>
          <w:sz w:val="28"/>
        </w:rPr>
        <w:t>7、县级配套/实验中学公用经费绩效目标表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6C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CFF3F">
            <w:pPr>
              <w:pStyle w:val="11"/>
            </w:pPr>
            <w:r>
              <w:t>单位：万元</w:t>
            </w:r>
          </w:p>
        </w:tc>
      </w:tr>
      <w:tr w14:paraId="509A2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F4800">
            <w:pPr>
              <w:pStyle w:val="10"/>
            </w:pPr>
            <w:r>
              <w:t>项目编码</w:t>
            </w:r>
          </w:p>
        </w:tc>
        <w:tc>
          <w:tcPr>
            <w:tcW w:w="5103" w:type="dxa"/>
            <w:gridSpan w:val="2"/>
            <w:vAlign w:val="center"/>
          </w:tcPr>
          <w:p w14:paraId="17F249CE">
            <w:pPr>
              <w:pStyle w:val="12"/>
            </w:pPr>
            <w:r>
              <w:t>13052526P00000410412N</w:t>
            </w:r>
          </w:p>
        </w:tc>
        <w:tc>
          <w:tcPr>
            <w:tcW w:w="2835" w:type="dxa"/>
            <w:vAlign w:val="center"/>
          </w:tcPr>
          <w:p w14:paraId="6BFF3F22">
            <w:pPr>
              <w:pStyle w:val="10"/>
            </w:pPr>
            <w:r>
              <w:t>项目名称</w:t>
            </w:r>
          </w:p>
        </w:tc>
        <w:tc>
          <w:tcPr>
            <w:tcW w:w="6095" w:type="dxa"/>
            <w:gridSpan w:val="3"/>
            <w:vAlign w:val="center"/>
          </w:tcPr>
          <w:p w14:paraId="6E8DB8F3">
            <w:pPr>
              <w:pStyle w:val="12"/>
            </w:pPr>
            <w:r>
              <w:t>县级配套/实验中学公用经费</w:t>
            </w:r>
          </w:p>
        </w:tc>
      </w:tr>
      <w:tr w14:paraId="5D993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1582A">
            <w:pPr>
              <w:pStyle w:val="10"/>
            </w:pPr>
            <w:r>
              <w:t>预算规模及资金用途</w:t>
            </w:r>
          </w:p>
        </w:tc>
        <w:tc>
          <w:tcPr>
            <w:tcW w:w="2268" w:type="dxa"/>
            <w:vAlign w:val="center"/>
          </w:tcPr>
          <w:p w14:paraId="466A4196">
            <w:pPr>
              <w:pStyle w:val="10"/>
            </w:pPr>
            <w:r>
              <w:t>预算数</w:t>
            </w:r>
          </w:p>
        </w:tc>
        <w:tc>
          <w:tcPr>
            <w:tcW w:w="2835" w:type="dxa"/>
            <w:vAlign w:val="center"/>
          </w:tcPr>
          <w:p w14:paraId="05C4BB09">
            <w:pPr>
              <w:pStyle w:val="12"/>
            </w:pPr>
            <w:r>
              <w:t>75.27</w:t>
            </w:r>
          </w:p>
        </w:tc>
        <w:tc>
          <w:tcPr>
            <w:tcW w:w="2835" w:type="dxa"/>
            <w:vAlign w:val="center"/>
          </w:tcPr>
          <w:p w14:paraId="455632DF">
            <w:pPr>
              <w:pStyle w:val="10"/>
            </w:pPr>
            <w:r>
              <w:t>其中：财政    资金</w:t>
            </w:r>
          </w:p>
        </w:tc>
        <w:tc>
          <w:tcPr>
            <w:tcW w:w="2551" w:type="dxa"/>
            <w:vAlign w:val="center"/>
          </w:tcPr>
          <w:p w14:paraId="7313576A">
            <w:pPr>
              <w:pStyle w:val="12"/>
            </w:pPr>
            <w:r>
              <w:t>75.27</w:t>
            </w:r>
          </w:p>
        </w:tc>
        <w:tc>
          <w:tcPr>
            <w:tcW w:w="2268" w:type="dxa"/>
            <w:vAlign w:val="center"/>
          </w:tcPr>
          <w:p w14:paraId="705A5E8B">
            <w:pPr>
              <w:pStyle w:val="10"/>
            </w:pPr>
            <w:r>
              <w:t>其他资金</w:t>
            </w:r>
          </w:p>
        </w:tc>
        <w:tc>
          <w:tcPr>
            <w:tcW w:w="1276" w:type="dxa"/>
            <w:vAlign w:val="center"/>
          </w:tcPr>
          <w:p w14:paraId="4252BD43">
            <w:pPr>
              <w:pStyle w:val="12"/>
            </w:pPr>
            <w:r>
              <w:t xml:space="preserve"> </w:t>
            </w:r>
          </w:p>
        </w:tc>
      </w:tr>
      <w:tr w14:paraId="718BA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10502"/>
        </w:tc>
        <w:tc>
          <w:tcPr>
            <w:tcW w:w="14033" w:type="dxa"/>
            <w:gridSpan w:val="6"/>
            <w:vAlign w:val="center"/>
          </w:tcPr>
          <w:p w14:paraId="56E6A1F4">
            <w:pPr>
              <w:pStyle w:val="12"/>
            </w:pPr>
            <w:r>
              <w:t>保障学校正常运转，完成各项教育教学活动和其他日常工作任务等方面的费用支出。</w:t>
            </w:r>
          </w:p>
        </w:tc>
      </w:tr>
      <w:tr w14:paraId="492F4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D378F">
            <w:pPr>
              <w:pStyle w:val="10"/>
            </w:pPr>
            <w:r>
              <w:t>资金支出计划（%）</w:t>
            </w:r>
          </w:p>
        </w:tc>
        <w:tc>
          <w:tcPr>
            <w:tcW w:w="5103" w:type="dxa"/>
            <w:gridSpan w:val="2"/>
            <w:vAlign w:val="center"/>
          </w:tcPr>
          <w:p w14:paraId="6406856B">
            <w:pPr>
              <w:pStyle w:val="10"/>
            </w:pPr>
            <w:r>
              <w:t>3月底</w:t>
            </w:r>
          </w:p>
        </w:tc>
        <w:tc>
          <w:tcPr>
            <w:tcW w:w="2835" w:type="dxa"/>
            <w:vAlign w:val="center"/>
          </w:tcPr>
          <w:p w14:paraId="31BB40DE">
            <w:pPr>
              <w:pStyle w:val="10"/>
            </w:pPr>
            <w:r>
              <w:t>6月底</w:t>
            </w:r>
          </w:p>
        </w:tc>
        <w:tc>
          <w:tcPr>
            <w:tcW w:w="2551" w:type="dxa"/>
            <w:vAlign w:val="center"/>
          </w:tcPr>
          <w:p w14:paraId="2104F28F">
            <w:pPr>
              <w:pStyle w:val="10"/>
            </w:pPr>
            <w:r>
              <w:t>10月底</w:t>
            </w:r>
          </w:p>
        </w:tc>
        <w:tc>
          <w:tcPr>
            <w:tcW w:w="3544" w:type="dxa"/>
            <w:gridSpan w:val="2"/>
            <w:vAlign w:val="center"/>
          </w:tcPr>
          <w:p w14:paraId="6F83F4C7">
            <w:pPr>
              <w:pStyle w:val="10"/>
            </w:pPr>
            <w:r>
              <w:t>12月底</w:t>
            </w:r>
          </w:p>
        </w:tc>
      </w:tr>
      <w:tr w14:paraId="495FA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A45D1"/>
        </w:tc>
        <w:tc>
          <w:tcPr>
            <w:tcW w:w="5103" w:type="dxa"/>
            <w:gridSpan w:val="2"/>
            <w:vAlign w:val="center"/>
          </w:tcPr>
          <w:p w14:paraId="6D16F3B4">
            <w:pPr>
              <w:pStyle w:val="13"/>
            </w:pPr>
            <w:r>
              <w:t>25%</w:t>
            </w:r>
          </w:p>
        </w:tc>
        <w:tc>
          <w:tcPr>
            <w:tcW w:w="2835" w:type="dxa"/>
            <w:vAlign w:val="center"/>
          </w:tcPr>
          <w:p w14:paraId="24E7BA4F">
            <w:pPr>
              <w:pStyle w:val="13"/>
            </w:pPr>
            <w:r>
              <w:t>50%</w:t>
            </w:r>
          </w:p>
        </w:tc>
        <w:tc>
          <w:tcPr>
            <w:tcW w:w="2551" w:type="dxa"/>
            <w:vAlign w:val="center"/>
          </w:tcPr>
          <w:p w14:paraId="43A17714">
            <w:pPr>
              <w:pStyle w:val="13"/>
            </w:pPr>
            <w:r>
              <w:t>75%</w:t>
            </w:r>
          </w:p>
        </w:tc>
        <w:tc>
          <w:tcPr>
            <w:tcW w:w="3544" w:type="dxa"/>
            <w:gridSpan w:val="2"/>
            <w:vAlign w:val="center"/>
          </w:tcPr>
          <w:p w14:paraId="660B154B">
            <w:pPr>
              <w:pStyle w:val="13"/>
            </w:pPr>
            <w:r>
              <w:t>100%</w:t>
            </w:r>
          </w:p>
        </w:tc>
      </w:tr>
      <w:tr w14:paraId="4251D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AF936">
            <w:pPr>
              <w:pStyle w:val="10"/>
            </w:pPr>
            <w:r>
              <w:t>绩效目标</w:t>
            </w:r>
          </w:p>
        </w:tc>
        <w:tc>
          <w:tcPr>
            <w:tcW w:w="14033" w:type="dxa"/>
            <w:gridSpan w:val="6"/>
            <w:vAlign w:val="center"/>
          </w:tcPr>
          <w:p w14:paraId="0E9F6C77">
            <w:pPr>
              <w:pStyle w:val="12"/>
            </w:pPr>
            <w:r>
              <w:t>1.按季度分批次拨付公用经费资金752720元，资金拨付率达到100%。</w:t>
            </w:r>
          </w:p>
          <w:p w14:paraId="38033F03">
            <w:pPr>
              <w:pStyle w:val="12"/>
            </w:pPr>
            <w:r>
              <w:t>2.保障义务教育学校正常运转，完成教育教学活动和其他日常工作任务等方面的费用支出。</w:t>
            </w:r>
          </w:p>
        </w:tc>
      </w:tr>
    </w:tbl>
    <w:p w14:paraId="381A0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9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612A9">
            <w:pPr>
              <w:pStyle w:val="10"/>
            </w:pPr>
            <w:r>
              <w:t>一级指标</w:t>
            </w:r>
          </w:p>
        </w:tc>
        <w:tc>
          <w:tcPr>
            <w:tcW w:w="2268" w:type="dxa"/>
            <w:vAlign w:val="center"/>
          </w:tcPr>
          <w:p w14:paraId="5375F750">
            <w:pPr>
              <w:pStyle w:val="10"/>
            </w:pPr>
            <w:r>
              <w:t>二级指标</w:t>
            </w:r>
          </w:p>
        </w:tc>
        <w:tc>
          <w:tcPr>
            <w:tcW w:w="2835" w:type="dxa"/>
            <w:vAlign w:val="center"/>
          </w:tcPr>
          <w:p w14:paraId="1B2D65F8">
            <w:pPr>
              <w:pStyle w:val="10"/>
            </w:pPr>
            <w:r>
              <w:t>三级指标</w:t>
            </w:r>
          </w:p>
        </w:tc>
        <w:tc>
          <w:tcPr>
            <w:tcW w:w="5386" w:type="dxa"/>
            <w:vAlign w:val="center"/>
          </w:tcPr>
          <w:p w14:paraId="449B2F94">
            <w:pPr>
              <w:pStyle w:val="10"/>
            </w:pPr>
            <w:r>
              <w:t>绩效指标描述</w:t>
            </w:r>
          </w:p>
        </w:tc>
        <w:tc>
          <w:tcPr>
            <w:tcW w:w="2268" w:type="dxa"/>
            <w:vAlign w:val="center"/>
          </w:tcPr>
          <w:p w14:paraId="47681C14">
            <w:pPr>
              <w:pStyle w:val="10"/>
            </w:pPr>
            <w:r>
              <w:t>指标值</w:t>
            </w:r>
          </w:p>
        </w:tc>
        <w:tc>
          <w:tcPr>
            <w:tcW w:w="1276" w:type="dxa"/>
            <w:vAlign w:val="center"/>
          </w:tcPr>
          <w:p w14:paraId="595F2F87">
            <w:pPr>
              <w:pStyle w:val="10"/>
            </w:pPr>
            <w:r>
              <w:t>指标值确定依据</w:t>
            </w:r>
          </w:p>
        </w:tc>
      </w:tr>
      <w:tr w14:paraId="4F00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7F176">
            <w:pPr>
              <w:pStyle w:val="13"/>
            </w:pPr>
            <w:r>
              <w:t>产出指标</w:t>
            </w:r>
          </w:p>
        </w:tc>
        <w:tc>
          <w:tcPr>
            <w:tcW w:w="2268" w:type="dxa"/>
            <w:vAlign w:val="center"/>
          </w:tcPr>
          <w:p w14:paraId="14239CA2">
            <w:pPr>
              <w:pStyle w:val="12"/>
            </w:pPr>
            <w:r>
              <w:t>数量指标</w:t>
            </w:r>
          </w:p>
        </w:tc>
        <w:tc>
          <w:tcPr>
            <w:tcW w:w="2835" w:type="dxa"/>
            <w:vAlign w:val="center"/>
          </w:tcPr>
          <w:p w14:paraId="156A9097">
            <w:pPr>
              <w:pStyle w:val="12"/>
            </w:pPr>
            <w:r>
              <w:t>适龄在校生</w:t>
            </w:r>
          </w:p>
        </w:tc>
        <w:tc>
          <w:tcPr>
            <w:tcW w:w="5386" w:type="dxa"/>
            <w:vAlign w:val="center"/>
          </w:tcPr>
          <w:p w14:paraId="401978AE">
            <w:pPr>
              <w:pStyle w:val="12"/>
            </w:pPr>
            <w:r>
              <w:t>适龄在校就读学生人数</w:t>
            </w:r>
          </w:p>
        </w:tc>
        <w:tc>
          <w:tcPr>
            <w:tcW w:w="2268" w:type="dxa"/>
            <w:vAlign w:val="center"/>
          </w:tcPr>
          <w:p w14:paraId="06D6B90D">
            <w:pPr>
              <w:pStyle w:val="12"/>
            </w:pPr>
            <w:r>
              <w:t>≥5468人</w:t>
            </w:r>
          </w:p>
        </w:tc>
        <w:tc>
          <w:tcPr>
            <w:tcW w:w="1276" w:type="dxa"/>
            <w:vAlign w:val="center"/>
          </w:tcPr>
          <w:p w14:paraId="0B8A5A13">
            <w:pPr>
              <w:pStyle w:val="12"/>
            </w:pPr>
            <w:r>
              <w:t>城乡义务教育公用经费管理办法</w:t>
            </w:r>
          </w:p>
        </w:tc>
      </w:tr>
      <w:tr w14:paraId="246A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4DE35"/>
        </w:tc>
        <w:tc>
          <w:tcPr>
            <w:tcW w:w="2268" w:type="dxa"/>
            <w:vAlign w:val="center"/>
          </w:tcPr>
          <w:p w14:paraId="6E9B2A0A">
            <w:pPr>
              <w:pStyle w:val="12"/>
            </w:pPr>
            <w:r>
              <w:t>质量指标</w:t>
            </w:r>
          </w:p>
        </w:tc>
        <w:tc>
          <w:tcPr>
            <w:tcW w:w="2835" w:type="dxa"/>
            <w:vAlign w:val="center"/>
          </w:tcPr>
          <w:p w14:paraId="3706DC70">
            <w:pPr>
              <w:pStyle w:val="12"/>
            </w:pPr>
            <w:r>
              <w:t>公用经费拨付完成率</w:t>
            </w:r>
          </w:p>
        </w:tc>
        <w:tc>
          <w:tcPr>
            <w:tcW w:w="5386" w:type="dxa"/>
            <w:vAlign w:val="center"/>
          </w:tcPr>
          <w:p w14:paraId="043C12C3">
            <w:pPr>
              <w:pStyle w:val="12"/>
            </w:pPr>
            <w:r>
              <w:t>公用经费拨付完成率达到需时进度</w:t>
            </w:r>
          </w:p>
        </w:tc>
        <w:tc>
          <w:tcPr>
            <w:tcW w:w="2268" w:type="dxa"/>
            <w:vAlign w:val="center"/>
          </w:tcPr>
          <w:p w14:paraId="2B6B9913">
            <w:pPr>
              <w:pStyle w:val="12"/>
            </w:pPr>
            <w:r>
              <w:t>100%</w:t>
            </w:r>
          </w:p>
        </w:tc>
        <w:tc>
          <w:tcPr>
            <w:tcW w:w="1276" w:type="dxa"/>
            <w:vAlign w:val="center"/>
          </w:tcPr>
          <w:p w14:paraId="44A2947B">
            <w:pPr>
              <w:pStyle w:val="12"/>
            </w:pPr>
            <w:r>
              <w:t>城乡义务教育公用经费管理办法</w:t>
            </w:r>
          </w:p>
        </w:tc>
      </w:tr>
      <w:tr w14:paraId="4E4E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5BDC8"/>
        </w:tc>
        <w:tc>
          <w:tcPr>
            <w:tcW w:w="2268" w:type="dxa"/>
            <w:vAlign w:val="center"/>
          </w:tcPr>
          <w:p w14:paraId="17FAB441">
            <w:pPr>
              <w:pStyle w:val="12"/>
            </w:pPr>
            <w:r>
              <w:t>时效指标</w:t>
            </w:r>
          </w:p>
        </w:tc>
        <w:tc>
          <w:tcPr>
            <w:tcW w:w="2835" w:type="dxa"/>
            <w:vAlign w:val="center"/>
          </w:tcPr>
          <w:p w14:paraId="17F3EB39">
            <w:pPr>
              <w:pStyle w:val="12"/>
            </w:pPr>
            <w:r>
              <w:t>资金支付率</w:t>
            </w:r>
          </w:p>
        </w:tc>
        <w:tc>
          <w:tcPr>
            <w:tcW w:w="5386" w:type="dxa"/>
            <w:vAlign w:val="center"/>
          </w:tcPr>
          <w:p w14:paraId="1299E6F3">
            <w:pPr>
              <w:pStyle w:val="12"/>
            </w:pPr>
            <w:r>
              <w:t>按照序时进度完成资金支付</w:t>
            </w:r>
          </w:p>
        </w:tc>
        <w:tc>
          <w:tcPr>
            <w:tcW w:w="2268" w:type="dxa"/>
            <w:vAlign w:val="center"/>
          </w:tcPr>
          <w:p w14:paraId="1C56294C">
            <w:pPr>
              <w:pStyle w:val="12"/>
            </w:pPr>
            <w:r>
              <w:t>100%</w:t>
            </w:r>
          </w:p>
        </w:tc>
        <w:tc>
          <w:tcPr>
            <w:tcW w:w="1276" w:type="dxa"/>
            <w:vAlign w:val="center"/>
          </w:tcPr>
          <w:p w14:paraId="39A23C8C">
            <w:pPr>
              <w:pStyle w:val="12"/>
            </w:pPr>
            <w:r>
              <w:t>城乡义务教育公用经费管理办法</w:t>
            </w:r>
          </w:p>
        </w:tc>
      </w:tr>
      <w:tr w14:paraId="5D90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44BA1"/>
        </w:tc>
        <w:tc>
          <w:tcPr>
            <w:tcW w:w="2268" w:type="dxa"/>
            <w:vAlign w:val="center"/>
          </w:tcPr>
          <w:p w14:paraId="4F2F3974">
            <w:pPr>
              <w:pStyle w:val="12"/>
            </w:pPr>
            <w:r>
              <w:t>成本指标</w:t>
            </w:r>
          </w:p>
        </w:tc>
        <w:tc>
          <w:tcPr>
            <w:tcW w:w="2835" w:type="dxa"/>
            <w:vAlign w:val="center"/>
          </w:tcPr>
          <w:p w14:paraId="7F46A649">
            <w:pPr>
              <w:pStyle w:val="12"/>
            </w:pPr>
            <w:r>
              <w:t>生均拨款标准</w:t>
            </w:r>
          </w:p>
        </w:tc>
        <w:tc>
          <w:tcPr>
            <w:tcW w:w="5386" w:type="dxa"/>
            <w:vAlign w:val="center"/>
          </w:tcPr>
          <w:p w14:paraId="2986F166">
            <w:pPr>
              <w:pStyle w:val="12"/>
            </w:pPr>
            <w:r>
              <w:t>初中：（基本标准940元、寄宿生300元、取暖费120元）/生/学年；特教、随班就读学生：标准7000元/生/学年。</w:t>
            </w:r>
          </w:p>
        </w:tc>
        <w:tc>
          <w:tcPr>
            <w:tcW w:w="2268" w:type="dxa"/>
            <w:vAlign w:val="center"/>
          </w:tcPr>
          <w:p w14:paraId="43F658B0">
            <w:pPr>
              <w:pStyle w:val="12"/>
            </w:pPr>
            <w:r>
              <w:t>752720元</w:t>
            </w:r>
          </w:p>
        </w:tc>
        <w:tc>
          <w:tcPr>
            <w:tcW w:w="1276" w:type="dxa"/>
            <w:vAlign w:val="center"/>
          </w:tcPr>
          <w:p w14:paraId="70710D31">
            <w:pPr>
              <w:pStyle w:val="12"/>
            </w:pPr>
            <w:r>
              <w:t>城乡义务教育公用经费管理办法</w:t>
            </w:r>
          </w:p>
        </w:tc>
      </w:tr>
      <w:tr w14:paraId="00CC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CDBAB">
            <w:pPr>
              <w:pStyle w:val="13"/>
            </w:pPr>
            <w:r>
              <w:t>效益指标</w:t>
            </w:r>
          </w:p>
        </w:tc>
        <w:tc>
          <w:tcPr>
            <w:tcW w:w="2268" w:type="dxa"/>
            <w:vAlign w:val="center"/>
          </w:tcPr>
          <w:p w14:paraId="189E2B54">
            <w:pPr>
              <w:pStyle w:val="12"/>
            </w:pPr>
            <w:r>
              <w:t>经济效益指标</w:t>
            </w:r>
          </w:p>
        </w:tc>
        <w:tc>
          <w:tcPr>
            <w:tcW w:w="2835" w:type="dxa"/>
            <w:vAlign w:val="center"/>
          </w:tcPr>
          <w:p w14:paraId="08BE7611">
            <w:pPr>
              <w:pStyle w:val="12"/>
            </w:pPr>
            <w:r>
              <w:t>项目实施成果</w:t>
            </w:r>
          </w:p>
        </w:tc>
        <w:tc>
          <w:tcPr>
            <w:tcW w:w="5386" w:type="dxa"/>
            <w:vAlign w:val="center"/>
          </w:tcPr>
          <w:p w14:paraId="652BBBEE">
            <w:pPr>
              <w:pStyle w:val="12"/>
            </w:pPr>
            <w:r>
              <w:t>减轻受教育学生家庭经济负担</w:t>
            </w:r>
          </w:p>
        </w:tc>
        <w:tc>
          <w:tcPr>
            <w:tcW w:w="2268" w:type="dxa"/>
            <w:vAlign w:val="center"/>
          </w:tcPr>
          <w:p w14:paraId="0B1FD82B">
            <w:pPr>
              <w:pStyle w:val="12"/>
            </w:pPr>
            <w:r>
              <w:t>100%</w:t>
            </w:r>
          </w:p>
        </w:tc>
        <w:tc>
          <w:tcPr>
            <w:tcW w:w="1276" w:type="dxa"/>
            <w:vAlign w:val="center"/>
          </w:tcPr>
          <w:p w14:paraId="455C2DDD">
            <w:pPr>
              <w:pStyle w:val="12"/>
            </w:pPr>
            <w:r>
              <w:t>城乡义务教育公用经费管理办法</w:t>
            </w:r>
          </w:p>
        </w:tc>
      </w:tr>
      <w:tr w14:paraId="4AE92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139A"/>
        </w:tc>
        <w:tc>
          <w:tcPr>
            <w:tcW w:w="2268" w:type="dxa"/>
            <w:vAlign w:val="center"/>
          </w:tcPr>
          <w:p w14:paraId="238202DF">
            <w:pPr>
              <w:pStyle w:val="12"/>
            </w:pPr>
            <w:r>
              <w:t>社会效益指标</w:t>
            </w:r>
          </w:p>
        </w:tc>
        <w:tc>
          <w:tcPr>
            <w:tcW w:w="2835" w:type="dxa"/>
            <w:vAlign w:val="center"/>
          </w:tcPr>
          <w:p w14:paraId="013E0A96">
            <w:pPr>
              <w:pStyle w:val="12"/>
            </w:pPr>
            <w:r>
              <w:t>学校办学能力提升</w:t>
            </w:r>
          </w:p>
        </w:tc>
        <w:tc>
          <w:tcPr>
            <w:tcW w:w="5386" w:type="dxa"/>
            <w:vAlign w:val="center"/>
          </w:tcPr>
          <w:p w14:paraId="20E847C2">
            <w:pPr>
              <w:pStyle w:val="12"/>
            </w:pPr>
            <w:r>
              <w:t>学校办学能</w:t>
            </w:r>
            <w:r>
              <w:rPr>
                <w:rFonts w:hint="eastAsia"/>
                <w:lang w:eastAsia="zh-CN"/>
              </w:rPr>
              <w:t>力提</w:t>
            </w:r>
            <w:r>
              <w:t>升情况及教育教学工作等开展的情况</w:t>
            </w:r>
          </w:p>
        </w:tc>
        <w:tc>
          <w:tcPr>
            <w:tcW w:w="2268" w:type="dxa"/>
            <w:vAlign w:val="center"/>
          </w:tcPr>
          <w:p w14:paraId="3AE7117A">
            <w:pPr>
              <w:pStyle w:val="12"/>
            </w:pPr>
            <w:r>
              <w:t>100%</w:t>
            </w:r>
          </w:p>
        </w:tc>
        <w:tc>
          <w:tcPr>
            <w:tcW w:w="1276" w:type="dxa"/>
            <w:vAlign w:val="center"/>
          </w:tcPr>
          <w:p w14:paraId="64FF7BE9">
            <w:pPr>
              <w:pStyle w:val="12"/>
            </w:pPr>
            <w:r>
              <w:t>城乡义务教育公用经费管理办法</w:t>
            </w:r>
          </w:p>
        </w:tc>
      </w:tr>
      <w:tr w14:paraId="4B0E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51D7C"/>
        </w:tc>
        <w:tc>
          <w:tcPr>
            <w:tcW w:w="2268" w:type="dxa"/>
            <w:vAlign w:val="center"/>
          </w:tcPr>
          <w:p w14:paraId="2896F1B3">
            <w:pPr>
              <w:pStyle w:val="12"/>
            </w:pPr>
            <w:r>
              <w:t>可持续影响指标</w:t>
            </w:r>
          </w:p>
        </w:tc>
        <w:tc>
          <w:tcPr>
            <w:tcW w:w="2835" w:type="dxa"/>
            <w:vAlign w:val="center"/>
          </w:tcPr>
          <w:p w14:paraId="76F8E316">
            <w:pPr>
              <w:pStyle w:val="12"/>
            </w:pPr>
            <w:r>
              <w:t>教育发展水平</w:t>
            </w:r>
          </w:p>
        </w:tc>
        <w:tc>
          <w:tcPr>
            <w:tcW w:w="5386" w:type="dxa"/>
            <w:vAlign w:val="center"/>
          </w:tcPr>
          <w:p w14:paraId="2F3DBAF8">
            <w:pPr>
              <w:pStyle w:val="12"/>
            </w:pPr>
            <w:r>
              <w:t>教育环境明显好转</w:t>
            </w:r>
          </w:p>
        </w:tc>
        <w:tc>
          <w:tcPr>
            <w:tcW w:w="2268" w:type="dxa"/>
            <w:vAlign w:val="center"/>
          </w:tcPr>
          <w:p w14:paraId="6EB1AF13">
            <w:pPr>
              <w:pStyle w:val="12"/>
            </w:pPr>
            <w:r>
              <w:t>100%</w:t>
            </w:r>
          </w:p>
        </w:tc>
        <w:tc>
          <w:tcPr>
            <w:tcW w:w="1276" w:type="dxa"/>
            <w:vAlign w:val="center"/>
          </w:tcPr>
          <w:p w14:paraId="452BE2E2">
            <w:pPr>
              <w:pStyle w:val="12"/>
            </w:pPr>
            <w:r>
              <w:t>城乡义务教育公用经费管理办法</w:t>
            </w:r>
          </w:p>
        </w:tc>
      </w:tr>
      <w:tr w14:paraId="75F9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9C4DC">
            <w:pPr>
              <w:pStyle w:val="13"/>
            </w:pPr>
            <w:r>
              <w:t>满意度指标</w:t>
            </w:r>
          </w:p>
        </w:tc>
        <w:tc>
          <w:tcPr>
            <w:tcW w:w="2268" w:type="dxa"/>
            <w:vAlign w:val="center"/>
          </w:tcPr>
          <w:p w14:paraId="0C59ADE8">
            <w:pPr>
              <w:pStyle w:val="12"/>
            </w:pPr>
            <w:r>
              <w:t>服务对象满意度指标</w:t>
            </w:r>
          </w:p>
        </w:tc>
        <w:tc>
          <w:tcPr>
            <w:tcW w:w="2835" w:type="dxa"/>
            <w:vAlign w:val="center"/>
          </w:tcPr>
          <w:p w14:paraId="58C7733F">
            <w:pPr>
              <w:pStyle w:val="12"/>
            </w:pPr>
            <w:r>
              <w:t>受益学生家长及调查满意度</w:t>
            </w:r>
          </w:p>
        </w:tc>
        <w:tc>
          <w:tcPr>
            <w:tcW w:w="5386" w:type="dxa"/>
            <w:vAlign w:val="center"/>
          </w:tcPr>
          <w:p w14:paraId="6FABB169">
            <w:pPr>
              <w:pStyle w:val="12"/>
            </w:pPr>
            <w:r>
              <w:t>学生、教师及家长对学校保教保育工作满意度情况</w:t>
            </w:r>
          </w:p>
        </w:tc>
        <w:tc>
          <w:tcPr>
            <w:tcW w:w="2268" w:type="dxa"/>
            <w:vAlign w:val="center"/>
          </w:tcPr>
          <w:p w14:paraId="7894DAB2">
            <w:pPr>
              <w:pStyle w:val="12"/>
            </w:pPr>
            <w:r>
              <w:t>≥95%</w:t>
            </w:r>
          </w:p>
        </w:tc>
        <w:tc>
          <w:tcPr>
            <w:tcW w:w="1276" w:type="dxa"/>
            <w:vAlign w:val="center"/>
          </w:tcPr>
          <w:p w14:paraId="01EB258B">
            <w:pPr>
              <w:pStyle w:val="12"/>
            </w:pPr>
            <w:r>
              <w:t>调查问卷</w:t>
            </w:r>
          </w:p>
        </w:tc>
      </w:tr>
    </w:tbl>
    <w:p w14:paraId="15844187">
      <w:pPr>
        <w:sectPr>
          <w:pgSz w:w="16840" w:h="11900" w:orient="landscape"/>
          <w:pgMar w:top="1361" w:right="1020" w:bottom="1134" w:left="1020" w:header="720" w:footer="720" w:gutter="0"/>
          <w:cols w:space="720" w:num="1"/>
        </w:sectPr>
      </w:pPr>
    </w:p>
    <w:p w14:paraId="7B3F7271">
      <w:pPr>
        <w:spacing w:before="10" w:after="10" w:line="240" w:lineRule="auto"/>
        <w:ind w:firstLine="640"/>
        <w:jc w:val="left"/>
        <w:outlineLvl w:val="5"/>
      </w:pPr>
      <w:r>
        <w:rPr>
          <w:rFonts w:ascii="黑体" w:hAnsi="黑体" w:eastAsia="黑体" w:cs="黑体"/>
          <w:color w:val="000000"/>
          <w:sz w:val="32"/>
        </w:rPr>
        <w:t>六、政府采购预算情况</w:t>
      </w:r>
    </w:p>
    <w:p w14:paraId="3740315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9D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CF9187">
            <w:pPr>
              <w:pStyle w:val="9"/>
            </w:pPr>
            <w:r>
              <w:t>360011河北省隆尧县实验中学</w:t>
            </w:r>
          </w:p>
        </w:tc>
        <w:tc>
          <w:tcPr>
            <w:tcW w:w="8676" w:type="dxa"/>
            <w:gridSpan w:val="9"/>
            <w:tcBorders>
              <w:top w:val="single" w:color="FFFFFF" w:sz="6" w:space="0"/>
              <w:left w:val="single" w:color="FFFFFF" w:sz="6" w:space="0"/>
              <w:right w:val="single" w:color="FFFFFF" w:sz="6" w:space="0"/>
            </w:tcBorders>
            <w:vAlign w:val="center"/>
          </w:tcPr>
          <w:p w14:paraId="1C5EC725">
            <w:pPr>
              <w:pStyle w:val="21"/>
            </w:pPr>
            <w:r>
              <w:t>单位：万元</w:t>
            </w:r>
          </w:p>
        </w:tc>
      </w:tr>
      <w:tr w14:paraId="7D31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DC3DBE">
            <w:pPr>
              <w:pStyle w:val="10"/>
            </w:pPr>
            <w:r>
              <w:t>政府采购项目来源</w:t>
            </w:r>
          </w:p>
        </w:tc>
        <w:tc>
          <w:tcPr>
            <w:tcW w:w="1134" w:type="dxa"/>
            <w:vMerge w:val="restart"/>
            <w:vAlign w:val="center"/>
          </w:tcPr>
          <w:p w14:paraId="0AD0B8A7">
            <w:pPr>
              <w:pStyle w:val="10"/>
            </w:pPr>
            <w:r>
              <w:t>采购物品名称</w:t>
            </w:r>
          </w:p>
        </w:tc>
        <w:tc>
          <w:tcPr>
            <w:tcW w:w="1134" w:type="dxa"/>
            <w:vMerge w:val="restart"/>
            <w:vAlign w:val="center"/>
          </w:tcPr>
          <w:p w14:paraId="743FCB21">
            <w:pPr>
              <w:pStyle w:val="10"/>
            </w:pPr>
            <w:r>
              <w:t>政府采购目录序号</w:t>
            </w:r>
          </w:p>
        </w:tc>
        <w:tc>
          <w:tcPr>
            <w:tcW w:w="709" w:type="dxa"/>
            <w:vMerge w:val="restart"/>
            <w:vAlign w:val="center"/>
          </w:tcPr>
          <w:p w14:paraId="74ECE6D2">
            <w:pPr>
              <w:pStyle w:val="10"/>
            </w:pPr>
            <w:r>
              <w:t>计量  单位</w:t>
            </w:r>
          </w:p>
        </w:tc>
        <w:tc>
          <w:tcPr>
            <w:tcW w:w="850" w:type="dxa"/>
            <w:vMerge w:val="restart"/>
            <w:vAlign w:val="center"/>
          </w:tcPr>
          <w:p w14:paraId="54AFF742">
            <w:pPr>
              <w:pStyle w:val="10"/>
            </w:pPr>
            <w:r>
              <w:t>数量</w:t>
            </w:r>
          </w:p>
        </w:tc>
        <w:tc>
          <w:tcPr>
            <w:tcW w:w="850" w:type="dxa"/>
            <w:vMerge w:val="restart"/>
            <w:vAlign w:val="center"/>
          </w:tcPr>
          <w:p w14:paraId="463D98D2">
            <w:pPr>
              <w:pStyle w:val="10"/>
            </w:pPr>
            <w:r>
              <w:t>单价</w:t>
            </w:r>
          </w:p>
        </w:tc>
        <w:tc>
          <w:tcPr>
            <w:tcW w:w="7712" w:type="dxa"/>
            <w:gridSpan w:val="8"/>
            <w:vAlign w:val="center"/>
          </w:tcPr>
          <w:p w14:paraId="6D3E8004">
            <w:pPr>
              <w:pStyle w:val="10"/>
            </w:pPr>
            <w:r>
              <w:t>政府采购金额（当年部门预算安排资金）</w:t>
            </w:r>
          </w:p>
        </w:tc>
        <w:tc>
          <w:tcPr>
            <w:tcW w:w="964" w:type="dxa"/>
            <w:vMerge w:val="restart"/>
            <w:vAlign w:val="center"/>
          </w:tcPr>
          <w:p w14:paraId="37BF997D">
            <w:pPr>
              <w:pStyle w:val="10"/>
            </w:pPr>
            <w:r>
              <w:t>2026年  预留中  小微企  业份额</w:t>
            </w:r>
          </w:p>
        </w:tc>
      </w:tr>
      <w:tr w14:paraId="4D47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98915B">
            <w:pPr>
              <w:pStyle w:val="10"/>
            </w:pPr>
            <w:r>
              <w:t>项目名称</w:t>
            </w:r>
          </w:p>
        </w:tc>
        <w:tc>
          <w:tcPr>
            <w:tcW w:w="964" w:type="dxa"/>
            <w:vAlign w:val="center"/>
          </w:tcPr>
          <w:p w14:paraId="23F20A85">
            <w:pPr>
              <w:pStyle w:val="10"/>
            </w:pPr>
            <w:r>
              <w:t>预算    资金</w:t>
            </w:r>
          </w:p>
        </w:tc>
        <w:tc>
          <w:tcPr>
            <w:tcW w:w="1134" w:type="dxa"/>
            <w:vMerge w:val="continue"/>
          </w:tcPr>
          <w:p w14:paraId="33C0B966"/>
        </w:tc>
        <w:tc>
          <w:tcPr>
            <w:tcW w:w="1134" w:type="dxa"/>
            <w:vMerge w:val="continue"/>
          </w:tcPr>
          <w:p w14:paraId="5DFCCD02"/>
        </w:tc>
        <w:tc>
          <w:tcPr>
            <w:tcW w:w="709" w:type="dxa"/>
            <w:vMerge w:val="continue"/>
          </w:tcPr>
          <w:p w14:paraId="68F4A3B7"/>
        </w:tc>
        <w:tc>
          <w:tcPr>
            <w:tcW w:w="850" w:type="dxa"/>
            <w:vMerge w:val="continue"/>
          </w:tcPr>
          <w:p w14:paraId="585918FC"/>
        </w:tc>
        <w:tc>
          <w:tcPr>
            <w:tcW w:w="850" w:type="dxa"/>
            <w:vMerge w:val="continue"/>
          </w:tcPr>
          <w:p w14:paraId="0D4F2A6D"/>
        </w:tc>
        <w:tc>
          <w:tcPr>
            <w:tcW w:w="964" w:type="dxa"/>
            <w:vAlign w:val="center"/>
          </w:tcPr>
          <w:p w14:paraId="18350483">
            <w:pPr>
              <w:pStyle w:val="10"/>
            </w:pPr>
            <w:r>
              <w:t>合计</w:t>
            </w:r>
          </w:p>
        </w:tc>
        <w:tc>
          <w:tcPr>
            <w:tcW w:w="964" w:type="dxa"/>
            <w:vAlign w:val="center"/>
          </w:tcPr>
          <w:p w14:paraId="4397C4D8">
            <w:pPr>
              <w:pStyle w:val="10"/>
            </w:pPr>
            <w:r>
              <w:t>一般公共预算拨款</w:t>
            </w:r>
          </w:p>
        </w:tc>
        <w:tc>
          <w:tcPr>
            <w:tcW w:w="964" w:type="dxa"/>
            <w:vAlign w:val="center"/>
          </w:tcPr>
          <w:p w14:paraId="67D73E87">
            <w:pPr>
              <w:pStyle w:val="10"/>
            </w:pPr>
            <w:r>
              <w:t>基金预算拨款</w:t>
            </w:r>
          </w:p>
        </w:tc>
        <w:tc>
          <w:tcPr>
            <w:tcW w:w="964" w:type="dxa"/>
            <w:vAlign w:val="center"/>
          </w:tcPr>
          <w:p w14:paraId="3F8881A2">
            <w:pPr>
              <w:pStyle w:val="10"/>
            </w:pPr>
            <w:r>
              <w:t>国有资本经营预算拨款</w:t>
            </w:r>
          </w:p>
        </w:tc>
        <w:tc>
          <w:tcPr>
            <w:tcW w:w="964" w:type="dxa"/>
            <w:vAlign w:val="center"/>
          </w:tcPr>
          <w:p w14:paraId="492C8C1F">
            <w:pPr>
              <w:pStyle w:val="10"/>
            </w:pPr>
            <w:r>
              <w:t>财政专户核拨</w:t>
            </w:r>
          </w:p>
        </w:tc>
        <w:tc>
          <w:tcPr>
            <w:tcW w:w="964" w:type="dxa"/>
            <w:vAlign w:val="center"/>
          </w:tcPr>
          <w:p w14:paraId="04C944ED">
            <w:pPr>
              <w:pStyle w:val="10"/>
            </w:pPr>
            <w:r>
              <w:t>单位    资金</w:t>
            </w:r>
          </w:p>
        </w:tc>
        <w:tc>
          <w:tcPr>
            <w:tcW w:w="964" w:type="dxa"/>
            <w:vAlign w:val="center"/>
          </w:tcPr>
          <w:p w14:paraId="07E27CBD">
            <w:pPr>
              <w:pStyle w:val="10"/>
            </w:pPr>
            <w:r>
              <w:t>财政拨款结转</w:t>
            </w:r>
          </w:p>
        </w:tc>
        <w:tc>
          <w:tcPr>
            <w:tcW w:w="964" w:type="dxa"/>
            <w:vAlign w:val="center"/>
          </w:tcPr>
          <w:p w14:paraId="131C42AB">
            <w:pPr>
              <w:pStyle w:val="10"/>
            </w:pPr>
            <w:r>
              <w:t>非财政拨款结余</w:t>
            </w:r>
          </w:p>
        </w:tc>
        <w:tc>
          <w:tcPr>
            <w:tcW w:w="964" w:type="dxa"/>
            <w:vMerge w:val="continue"/>
          </w:tcPr>
          <w:p w14:paraId="145E7F06"/>
        </w:tc>
      </w:tr>
      <w:tr w14:paraId="2F3E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F10A81">
            <w:pPr>
              <w:pStyle w:val="14"/>
            </w:pPr>
            <w:r>
              <w:t>合  计</w:t>
            </w:r>
          </w:p>
        </w:tc>
        <w:tc>
          <w:tcPr>
            <w:tcW w:w="964" w:type="dxa"/>
            <w:vAlign w:val="center"/>
          </w:tcPr>
          <w:p w14:paraId="3713C696">
            <w:pPr>
              <w:pStyle w:val="15"/>
            </w:pPr>
          </w:p>
        </w:tc>
        <w:tc>
          <w:tcPr>
            <w:tcW w:w="1134" w:type="dxa"/>
            <w:vAlign w:val="center"/>
          </w:tcPr>
          <w:p w14:paraId="052E7E60">
            <w:pPr>
              <w:pStyle w:val="16"/>
            </w:pPr>
          </w:p>
        </w:tc>
        <w:tc>
          <w:tcPr>
            <w:tcW w:w="1134" w:type="dxa"/>
            <w:vAlign w:val="center"/>
          </w:tcPr>
          <w:p w14:paraId="5E13E402">
            <w:pPr>
              <w:pStyle w:val="16"/>
            </w:pPr>
          </w:p>
        </w:tc>
        <w:tc>
          <w:tcPr>
            <w:tcW w:w="709" w:type="dxa"/>
            <w:vAlign w:val="center"/>
          </w:tcPr>
          <w:p w14:paraId="0DE04571">
            <w:pPr>
              <w:pStyle w:val="14"/>
            </w:pPr>
          </w:p>
        </w:tc>
        <w:tc>
          <w:tcPr>
            <w:tcW w:w="850" w:type="dxa"/>
            <w:vAlign w:val="center"/>
          </w:tcPr>
          <w:p w14:paraId="4AF8E9BA">
            <w:pPr>
              <w:pStyle w:val="15"/>
            </w:pPr>
          </w:p>
        </w:tc>
        <w:tc>
          <w:tcPr>
            <w:tcW w:w="850" w:type="dxa"/>
            <w:vAlign w:val="center"/>
          </w:tcPr>
          <w:p w14:paraId="4C1F9A39">
            <w:pPr>
              <w:pStyle w:val="15"/>
            </w:pPr>
          </w:p>
        </w:tc>
        <w:tc>
          <w:tcPr>
            <w:tcW w:w="964" w:type="dxa"/>
            <w:vAlign w:val="center"/>
          </w:tcPr>
          <w:p w14:paraId="6E0E5054">
            <w:pPr>
              <w:pStyle w:val="15"/>
            </w:pPr>
            <w:r>
              <w:t>50.16</w:t>
            </w:r>
          </w:p>
        </w:tc>
        <w:tc>
          <w:tcPr>
            <w:tcW w:w="964" w:type="dxa"/>
            <w:vAlign w:val="center"/>
          </w:tcPr>
          <w:p w14:paraId="6DD7DBF8">
            <w:pPr>
              <w:pStyle w:val="15"/>
            </w:pPr>
            <w:r>
              <w:t>50.16</w:t>
            </w:r>
          </w:p>
        </w:tc>
        <w:tc>
          <w:tcPr>
            <w:tcW w:w="964" w:type="dxa"/>
            <w:vAlign w:val="center"/>
          </w:tcPr>
          <w:p w14:paraId="738B75EB">
            <w:pPr>
              <w:pStyle w:val="15"/>
            </w:pPr>
          </w:p>
        </w:tc>
        <w:tc>
          <w:tcPr>
            <w:tcW w:w="964" w:type="dxa"/>
            <w:vAlign w:val="center"/>
          </w:tcPr>
          <w:p w14:paraId="36A1494B">
            <w:pPr>
              <w:pStyle w:val="15"/>
            </w:pPr>
          </w:p>
        </w:tc>
        <w:tc>
          <w:tcPr>
            <w:tcW w:w="964" w:type="dxa"/>
            <w:vAlign w:val="center"/>
          </w:tcPr>
          <w:p w14:paraId="47459D89">
            <w:pPr>
              <w:pStyle w:val="15"/>
            </w:pPr>
          </w:p>
        </w:tc>
        <w:tc>
          <w:tcPr>
            <w:tcW w:w="964" w:type="dxa"/>
            <w:vAlign w:val="center"/>
          </w:tcPr>
          <w:p w14:paraId="04A8F3DC">
            <w:pPr>
              <w:pStyle w:val="15"/>
            </w:pPr>
          </w:p>
        </w:tc>
        <w:tc>
          <w:tcPr>
            <w:tcW w:w="964" w:type="dxa"/>
            <w:vAlign w:val="center"/>
          </w:tcPr>
          <w:p w14:paraId="45EBDA45">
            <w:pPr>
              <w:pStyle w:val="15"/>
            </w:pPr>
          </w:p>
        </w:tc>
        <w:tc>
          <w:tcPr>
            <w:tcW w:w="964" w:type="dxa"/>
            <w:vAlign w:val="center"/>
          </w:tcPr>
          <w:p w14:paraId="62EFE46F">
            <w:pPr>
              <w:pStyle w:val="15"/>
            </w:pPr>
          </w:p>
        </w:tc>
        <w:tc>
          <w:tcPr>
            <w:tcW w:w="964" w:type="dxa"/>
            <w:vAlign w:val="center"/>
          </w:tcPr>
          <w:p w14:paraId="01CC8604">
            <w:pPr>
              <w:pStyle w:val="15"/>
            </w:pPr>
            <w:r>
              <w:t>50.16</w:t>
            </w:r>
          </w:p>
        </w:tc>
      </w:tr>
      <w:tr w14:paraId="4614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CB2127">
            <w:pPr>
              <w:pStyle w:val="14"/>
            </w:pPr>
            <w:r>
              <w:t>河北省隆尧县实验中学小计</w:t>
            </w:r>
          </w:p>
        </w:tc>
        <w:tc>
          <w:tcPr>
            <w:tcW w:w="964" w:type="dxa"/>
            <w:vAlign w:val="center"/>
          </w:tcPr>
          <w:p w14:paraId="3F989DE1">
            <w:pPr>
              <w:pStyle w:val="15"/>
            </w:pPr>
          </w:p>
        </w:tc>
        <w:tc>
          <w:tcPr>
            <w:tcW w:w="1134" w:type="dxa"/>
            <w:vAlign w:val="center"/>
          </w:tcPr>
          <w:p w14:paraId="53698DF0">
            <w:pPr>
              <w:pStyle w:val="16"/>
            </w:pPr>
          </w:p>
        </w:tc>
        <w:tc>
          <w:tcPr>
            <w:tcW w:w="1134" w:type="dxa"/>
            <w:vAlign w:val="center"/>
          </w:tcPr>
          <w:p w14:paraId="4CE57C3E">
            <w:pPr>
              <w:pStyle w:val="16"/>
            </w:pPr>
          </w:p>
        </w:tc>
        <w:tc>
          <w:tcPr>
            <w:tcW w:w="709" w:type="dxa"/>
            <w:vAlign w:val="center"/>
          </w:tcPr>
          <w:p w14:paraId="7B56E590">
            <w:pPr>
              <w:pStyle w:val="14"/>
            </w:pPr>
          </w:p>
        </w:tc>
        <w:tc>
          <w:tcPr>
            <w:tcW w:w="850" w:type="dxa"/>
            <w:vAlign w:val="center"/>
          </w:tcPr>
          <w:p w14:paraId="3DDCC055">
            <w:pPr>
              <w:pStyle w:val="15"/>
            </w:pPr>
          </w:p>
        </w:tc>
        <w:tc>
          <w:tcPr>
            <w:tcW w:w="850" w:type="dxa"/>
            <w:vAlign w:val="center"/>
          </w:tcPr>
          <w:p w14:paraId="3A27B525">
            <w:pPr>
              <w:pStyle w:val="15"/>
            </w:pPr>
          </w:p>
        </w:tc>
        <w:tc>
          <w:tcPr>
            <w:tcW w:w="964" w:type="dxa"/>
            <w:vAlign w:val="center"/>
          </w:tcPr>
          <w:p w14:paraId="6349B4CD">
            <w:pPr>
              <w:pStyle w:val="15"/>
            </w:pPr>
            <w:r>
              <w:t>50.16</w:t>
            </w:r>
          </w:p>
        </w:tc>
        <w:tc>
          <w:tcPr>
            <w:tcW w:w="964" w:type="dxa"/>
            <w:vAlign w:val="center"/>
          </w:tcPr>
          <w:p w14:paraId="2FA71DEC">
            <w:pPr>
              <w:pStyle w:val="15"/>
            </w:pPr>
            <w:r>
              <w:t>50.16</w:t>
            </w:r>
          </w:p>
        </w:tc>
        <w:tc>
          <w:tcPr>
            <w:tcW w:w="964" w:type="dxa"/>
            <w:vAlign w:val="center"/>
          </w:tcPr>
          <w:p w14:paraId="5BF5756D">
            <w:pPr>
              <w:pStyle w:val="15"/>
            </w:pPr>
          </w:p>
        </w:tc>
        <w:tc>
          <w:tcPr>
            <w:tcW w:w="964" w:type="dxa"/>
            <w:vAlign w:val="center"/>
          </w:tcPr>
          <w:p w14:paraId="56572C1F">
            <w:pPr>
              <w:pStyle w:val="15"/>
            </w:pPr>
          </w:p>
        </w:tc>
        <w:tc>
          <w:tcPr>
            <w:tcW w:w="964" w:type="dxa"/>
            <w:vAlign w:val="center"/>
          </w:tcPr>
          <w:p w14:paraId="255C4EAB">
            <w:pPr>
              <w:pStyle w:val="15"/>
            </w:pPr>
          </w:p>
        </w:tc>
        <w:tc>
          <w:tcPr>
            <w:tcW w:w="964" w:type="dxa"/>
            <w:vAlign w:val="center"/>
          </w:tcPr>
          <w:p w14:paraId="52A87F6C">
            <w:pPr>
              <w:pStyle w:val="15"/>
            </w:pPr>
          </w:p>
        </w:tc>
        <w:tc>
          <w:tcPr>
            <w:tcW w:w="964" w:type="dxa"/>
            <w:vAlign w:val="center"/>
          </w:tcPr>
          <w:p w14:paraId="3DBC04DB">
            <w:pPr>
              <w:pStyle w:val="15"/>
            </w:pPr>
          </w:p>
        </w:tc>
        <w:tc>
          <w:tcPr>
            <w:tcW w:w="964" w:type="dxa"/>
            <w:vAlign w:val="center"/>
          </w:tcPr>
          <w:p w14:paraId="1CD0A14C">
            <w:pPr>
              <w:pStyle w:val="15"/>
            </w:pPr>
          </w:p>
        </w:tc>
        <w:tc>
          <w:tcPr>
            <w:tcW w:w="964" w:type="dxa"/>
            <w:vAlign w:val="center"/>
          </w:tcPr>
          <w:p w14:paraId="4363DDB4">
            <w:pPr>
              <w:pStyle w:val="15"/>
            </w:pPr>
            <w:r>
              <w:t>50.16</w:t>
            </w:r>
          </w:p>
        </w:tc>
      </w:tr>
      <w:tr w14:paraId="4A25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F9A43">
            <w:pPr>
              <w:pStyle w:val="12"/>
            </w:pPr>
            <w:r>
              <w:t>冀财教[2025]121号/中央/2026年义教补助经费/实验中学公用经费</w:t>
            </w:r>
          </w:p>
        </w:tc>
        <w:tc>
          <w:tcPr>
            <w:tcW w:w="964" w:type="dxa"/>
            <w:vAlign w:val="center"/>
          </w:tcPr>
          <w:p w14:paraId="79B75093">
            <w:pPr>
              <w:pStyle w:val="11"/>
            </w:pPr>
            <w:r>
              <w:t>452.07</w:t>
            </w:r>
          </w:p>
        </w:tc>
        <w:tc>
          <w:tcPr>
            <w:tcW w:w="1134" w:type="dxa"/>
            <w:vAlign w:val="center"/>
          </w:tcPr>
          <w:p w14:paraId="53A0861B">
            <w:pPr>
              <w:pStyle w:val="12"/>
            </w:pPr>
            <w:r>
              <w:t>空调机</w:t>
            </w:r>
          </w:p>
        </w:tc>
        <w:tc>
          <w:tcPr>
            <w:tcW w:w="1134" w:type="dxa"/>
            <w:vAlign w:val="center"/>
          </w:tcPr>
          <w:p w14:paraId="6AD0CC83">
            <w:pPr>
              <w:pStyle w:val="12"/>
            </w:pPr>
            <w:r>
              <w:t>A02061804</w:t>
            </w:r>
          </w:p>
        </w:tc>
        <w:tc>
          <w:tcPr>
            <w:tcW w:w="709" w:type="dxa"/>
            <w:vAlign w:val="center"/>
          </w:tcPr>
          <w:p w14:paraId="5146E0C6">
            <w:pPr>
              <w:pStyle w:val="13"/>
            </w:pPr>
            <w:r>
              <w:t>套</w:t>
            </w:r>
          </w:p>
        </w:tc>
        <w:tc>
          <w:tcPr>
            <w:tcW w:w="850" w:type="dxa"/>
            <w:vAlign w:val="center"/>
          </w:tcPr>
          <w:p w14:paraId="715090CC">
            <w:pPr>
              <w:pStyle w:val="11"/>
            </w:pPr>
            <w:r>
              <w:t>20</w:t>
            </w:r>
          </w:p>
        </w:tc>
        <w:tc>
          <w:tcPr>
            <w:tcW w:w="850" w:type="dxa"/>
            <w:vAlign w:val="center"/>
          </w:tcPr>
          <w:p w14:paraId="3355F53D">
            <w:pPr>
              <w:pStyle w:val="11"/>
            </w:pPr>
            <w:r>
              <w:t>0.60</w:t>
            </w:r>
          </w:p>
        </w:tc>
        <w:tc>
          <w:tcPr>
            <w:tcW w:w="964" w:type="dxa"/>
            <w:vAlign w:val="center"/>
          </w:tcPr>
          <w:p w14:paraId="6A6EB65E">
            <w:pPr>
              <w:pStyle w:val="11"/>
            </w:pPr>
            <w:r>
              <w:t>12.00</w:t>
            </w:r>
          </w:p>
        </w:tc>
        <w:tc>
          <w:tcPr>
            <w:tcW w:w="964" w:type="dxa"/>
            <w:vAlign w:val="center"/>
          </w:tcPr>
          <w:p w14:paraId="5B37C985">
            <w:pPr>
              <w:pStyle w:val="11"/>
            </w:pPr>
            <w:r>
              <w:t>12.00</w:t>
            </w:r>
          </w:p>
        </w:tc>
        <w:tc>
          <w:tcPr>
            <w:tcW w:w="964" w:type="dxa"/>
            <w:vAlign w:val="center"/>
          </w:tcPr>
          <w:p w14:paraId="2BA7A306">
            <w:pPr>
              <w:pStyle w:val="11"/>
            </w:pPr>
          </w:p>
        </w:tc>
        <w:tc>
          <w:tcPr>
            <w:tcW w:w="964" w:type="dxa"/>
            <w:vAlign w:val="center"/>
          </w:tcPr>
          <w:p w14:paraId="1225D9A1">
            <w:pPr>
              <w:pStyle w:val="11"/>
            </w:pPr>
          </w:p>
        </w:tc>
        <w:tc>
          <w:tcPr>
            <w:tcW w:w="964" w:type="dxa"/>
            <w:vAlign w:val="center"/>
          </w:tcPr>
          <w:p w14:paraId="568644BF">
            <w:pPr>
              <w:pStyle w:val="11"/>
            </w:pPr>
          </w:p>
        </w:tc>
        <w:tc>
          <w:tcPr>
            <w:tcW w:w="964" w:type="dxa"/>
            <w:vAlign w:val="center"/>
          </w:tcPr>
          <w:p w14:paraId="24C244F3">
            <w:pPr>
              <w:pStyle w:val="11"/>
            </w:pPr>
          </w:p>
        </w:tc>
        <w:tc>
          <w:tcPr>
            <w:tcW w:w="964" w:type="dxa"/>
            <w:vAlign w:val="center"/>
          </w:tcPr>
          <w:p w14:paraId="6AE70F13">
            <w:pPr>
              <w:pStyle w:val="11"/>
            </w:pPr>
          </w:p>
        </w:tc>
        <w:tc>
          <w:tcPr>
            <w:tcW w:w="964" w:type="dxa"/>
            <w:vAlign w:val="center"/>
          </w:tcPr>
          <w:p w14:paraId="369C4E45">
            <w:pPr>
              <w:pStyle w:val="11"/>
            </w:pPr>
          </w:p>
        </w:tc>
        <w:tc>
          <w:tcPr>
            <w:tcW w:w="964" w:type="dxa"/>
            <w:vAlign w:val="center"/>
          </w:tcPr>
          <w:p w14:paraId="3CBC87A6">
            <w:pPr>
              <w:pStyle w:val="11"/>
            </w:pPr>
            <w:r>
              <w:t>12.00</w:t>
            </w:r>
          </w:p>
        </w:tc>
      </w:tr>
      <w:tr w14:paraId="1EB2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52EC7D">
            <w:pPr>
              <w:pStyle w:val="12"/>
            </w:pPr>
            <w:r>
              <w:t>冀财教[2025]147号/省级/2026年义教补助经费/实验中学公用经费</w:t>
            </w:r>
          </w:p>
        </w:tc>
        <w:tc>
          <w:tcPr>
            <w:tcW w:w="964" w:type="dxa"/>
            <w:vAlign w:val="center"/>
          </w:tcPr>
          <w:p w14:paraId="71868799">
            <w:pPr>
              <w:pStyle w:val="11"/>
            </w:pPr>
            <w:r>
              <w:t>237.59</w:t>
            </w:r>
          </w:p>
        </w:tc>
        <w:tc>
          <w:tcPr>
            <w:tcW w:w="1134" w:type="dxa"/>
            <w:vAlign w:val="center"/>
          </w:tcPr>
          <w:p w14:paraId="4C8679FA">
            <w:pPr>
              <w:pStyle w:val="12"/>
            </w:pPr>
            <w:r>
              <w:t>空调机</w:t>
            </w:r>
          </w:p>
        </w:tc>
        <w:tc>
          <w:tcPr>
            <w:tcW w:w="1134" w:type="dxa"/>
            <w:vAlign w:val="center"/>
          </w:tcPr>
          <w:p w14:paraId="1A70FC46">
            <w:pPr>
              <w:pStyle w:val="12"/>
            </w:pPr>
            <w:r>
              <w:t>A02061804</w:t>
            </w:r>
          </w:p>
        </w:tc>
        <w:tc>
          <w:tcPr>
            <w:tcW w:w="709" w:type="dxa"/>
            <w:vAlign w:val="center"/>
          </w:tcPr>
          <w:p w14:paraId="7EF761E1">
            <w:pPr>
              <w:pStyle w:val="13"/>
            </w:pPr>
            <w:r>
              <w:t>台</w:t>
            </w:r>
          </w:p>
        </w:tc>
        <w:tc>
          <w:tcPr>
            <w:tcW w:w="850" w:type="dxa"/>
            <w:vAlign w:val="center"/>
          </w:tcPr>
          <w:p w14:paraId="6A9E1027">
            <w:pPr>
              <w:pStyle w:val="11"/>
            </w:pPr>
            <w:r>
              <w:t>8</w:t>
            </w:r>
          </w:p>
        </w:tc>
        <w:tc>
          <w:tcPr>
            <w:tcW w:w="850" w:type="dxa"/>
            <w:vAlign w:val="center"/>
          </w:tcPr>
          <w:p w14:paraId="68B02358">
            <w:pPr>
              <w:pStyle w:val="11"/>
            </w:pPr>
            <w:r>
              <w:t>1.20</w:t>
            </w:r>
          </w:p>
        </w:tc>
        <w:tc>
          <w:tcPr>
            <w:tcW w:w="964" w:type="dxa"/>
            <w:vAlign w:val="center"/>
          </w:tcPr>
          <w:p w14:paraId="5574BDD4">
            <w:pPr>
              <w:pStyle w:val="11"/>
            </w:pPr>
            <w:r>
              <w:t>9.60</w:t>
            </w:r>
          </w:p>
        </w:tc>
        <w:tc>
          <w:tcPr>
            <w:tcW w:w="964" w:type="dxa"/>
            <w:vAlign w:val="center"/>
          </w:tcPr>
          <w:p w14:paraId="0A34CF94">
            <w:pPr>
              <w:pStyle w:val="11"/>
            </w:pPr>
            <w:r>
              <w:t>9.60</w:t>
            </w:r>
          </w:p>
        </w:tc>
        <w:tc>
          <w:tcPr>
            <w:tcW w:w="964" w:type="dxa"/>
            <w:vAlign w:val="center"/>
          </w:tcPr>
          <w:p w14:paraId="29B294D9">
            <w:pPr>
              <w:pStyle w:val="11"/>
            </w:pPr>
          </w:p>
        </w:tc>
        <w:tc>
          <w:tcPr>
            <w:tcW w:w="964" w:type="dxa"/>
            <w:vAlign w:val="center"/>
          </w:tcPr>
          <w:p w14:paraId="236EECD0">
            <w:pPr>
              <w:pStyle w:val="11"/>
            </w:pPr>
          </w:p>
        </w:tc>
        <w:tc>
          <w:tcPr>
            <w:tcW w:w="964" w:type="dxa"/>
            <w:vAlign w:val="center"/>
          </w:tcPr>
          <w:p w14:paraId="7A8BB1DA">
            <w:pPr>
              <w:pStyle w:val="11"/>
            </w:pPr>
          </w:p>
        </w:tc>
        <w:tc>
          <w:tcPr>
            <w:tcW w:w="964" w:type="dxa"/>
            <w:vAlign w:val="center"/>
          </w:tcPr>
          <w:p w14:paraId="4ED5F6E4">
            <w:pPr>
              <w:pStyle w:val="11"/>
            </w:pPr>
          </w:p>
        </w:tc>
        <w:tc>
          <w:tcPr>
            <w:tcW w:w="964" w:type="dxa"/>
            <w:vAlign w:val="center"/>
          </w:tcPr>
          <w:p w14:paraId="7F20A244">
            <w:pPr>
              <w:pStyle w:val="11"/>
            </w:pPr>
          </w:p>
        </w:tc>
        <w:tc>
          <w:tcPr>
            <w:tcW w:w="964" w:type="dxa"/>
            <w:vAlign w:val="center"/>
          </w:tcPr>
          <w:p w14:paraId="5EF37028">
            <w:pPr>
              <w:pStyle w:val="11"/>
            </w:pPr>
          </w:p>
        </w:tc>
        <w:tc>
          <w:tcPr>
            <w:tcW w:w="964" w:type="dxa"/>
            <w:vAlign w:val="center"/>
          </w:tcPr>
          <w:p w14:paraId="6190DF28">
            <w:pPr>
              <w:pStyle w:val="11"/>
            </w:pPr>
            <w:r>
              <w:t>9.60</w:t>
            </w:r>
          </w:p>
        </w:tc>
      </w:tr>
      <w:tr w14:paraId="0164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4D9578">
            <w:pPr>
              <w:pStyle w:val="12"/>
            </w:pPr>
            <w:r>
              <w:t>冀财教[2025]148号/支持义务教育发展/实验中学公用经费</w:t>
            </w:r>
          </w:p>
        </w:tc>
        <w:tc>
          <w:tcPr>
            <w:tcW w:w="964" w:type="dxa"/>
            <w:vAlign w:val="center"/>
          </w:tcPr>
          <w:p w14:paraId="569500CE">
            <w:pPr>
              <w:pStyle w:val="11"/>
            </w:pPr>
            <w:r>
              <w:t>34.56</w:t>
            </w:r>
          </w:p>
        </w:tc>
        <w:tc>
          <w:tcPr>
            <w:tcW w:w="1134" w:type="dxa"/>
            <w:vAlign w:val="center"/>
          </w:tcPr>
          <w:p w14:paraId="341740A9">
            <w:pPr>
              <w:pStyle w:val="12"/>
            </w:pPr>
            <w:r>
              <w:t>空调机</w:t>
            </w:r>
          </w:p>
        </w:tc>
        <w:tc>
          <w:tcPr>
            <w:tcW w:w="1134" w:type="dxa"/>
            <w:vAlign w:val="center"/>
          </w:tcPr>
          <w:p w14:paraId="44975449">
            <w:pPr>
              <w:pStyle w:val="12"/>
            </w:pPr>
            <w:r>
              <w:t>A02061804</w:t>
            </w:r>
          </w:p>
        </w:tc>
        <w:tc>
          <w:tcPr>
            <w:tcW w:w="709" w:type="dxa"/>
            <w:vAlign w:val="center"/>
          </w:tcPr>
          <w:p w14:paraId="3B4B3EE9">
            <w:pPr>
              <w:pStyle w:val="13"/>
            </w:pPr>
            <w:r>
              <w:t>台</w:t>
            </w:r>
          </w:p>
        </w:tc>
        <w:tc>
          <w:tcPr>
            <w:tcW w:w="850" w:type="dxa"/>
            <w:vAlign w:val="center"/>
          </w:tcPr>
          <w:p w14:paraId="2B959BDB">
            <w:pPr>
              <w:pStyle w:val="11"/>
            </w:pPr>
            <w:r>
              <w:t>119</w:t>
            </w:r>
          </w:p>
        </w:tc>
        <w:tc>
          <w:tcPr>
            <w:tcW w:w="850" w:type="dxa"/>
            <w:vAlign w:val="center"/>
          </w:tcPr>
          <w:p w14:paraId="65335462">
            <w:pPr>
              <w:pStyle w:val="11"/>
            </w:pPr>
            <w:r>
              <w:t>0.24</w:t>
            </w:r>
          </w:p>
        </w:tc>
        <w:tc>
          <w:tcPr>
            <w:tcW w:w="964" w:type="dxa"/>
            <w:vAlign w:val="center"/>
          </w:tcPr>
          <w:p w14:paraId="27492FD8">
            <w:pPr>
              <w:pStyle w:val="11"/>
            </w:pPr>
            <w:r>
              <w:t>28.56</w:t>
            </w:r>
          </w:p>
        </w:tc>
        <w:tc>
          <w:tcPr>
            <w:tcW w:w="964" w:type="dxa"/>
            <w:vAlign w:val="center"/>
          </w:tcPr>
          <w:p w14:paraId="1C7E33AA">
            <w:pPr>
              <w:pStyle w:val="11"/>
            </w:pPr>
            <w:r>
              <w:t>28.56</w:t>
            </w:r>
          </w:p>
        </w:tc>
        <w:tc>
          <w:tcPr>
            <w:tcW w:w="964" w:type="dxa"/>
            <w:vAlign w:val="center"/>
          </w:tcPr>
          <w:p w14:paraId="599BD0F1">
            <w:pPr>
              <w:pStyle w:val="11"/>
            </w:pPr>
          </w:p>
        </w:tc>
        <w:tc>
          <w:tcPr>
            <w:tcW w:w="964" w:type="dxa"/>
            <w:vAlign w:val="center"/>
          </w:tcPr>
          <w:p w14:paraId="504C26F2">
            <w:pPr>
              <w:pStyle w:val="11"/>
            </w:pPr>
          </w:p>
        </w:tc>
        <w:tc>
          <w:tcPr>
            <w:tcW w:w="964" w:type="dxa"/>
            <w:vAlign w:val="center"/>
          </w:tcPr>
          <w:p w14:paraId="23FB2F39">
            <w:pPr>
              <w:pStyle w:val="11"/>
            </w:pPr>
          </w:p>
        </w:tc>
        <w:tc>
          <w:tcPr>
            <w:tcW w:w="964" w:type="dxa"/>
            <w:vAlign w:val="center"/>
          </w:tcPr>
          <w:p w14:paraId="694BF121">
            <w:pPr>
              <w:pStyle w:val="11"/>
            </w:pPr>
          </w:p>
        </w:tc>
        <w:tc>
          <w:tcPr>
            <w:tcW w:w="964" w:type="dxa"/>
            <w:vAlign w:val="center"/>
          </w:tcPr>
          <w:p w14:paraId="0FF67D31">
            <w:pPr>
              <w:pStyle w:val="11"/>
            </w:pPr>
          </w:p>
        </w:tc>
        <w:tc>
          <w:tcPr>
            <w:tcW w:w="964" w:type="dxa"/>
            <w:vAlign w:val="center"/>
          </w:tcPr>
          <w:p w14:paraId="0D2E214B">
            <w:pPr>
              <w:pStyle w:val="11"/>
            </w:pPr>
          </w:p>
        </w:tc>
        <w:tc>
          <w:tcPr>
            <w:tcW w:w="964" w:type="dxa"/>
            <w:vAlign w:val="center"/>
          </w:tcPr>
          <w:p w14:paraId="70209F27">
            <w:pPr>
              <w:pStyle w:val="11"/>
            </w:pPr>
            <w:r>
              <w:t>28.56</w:t>
            </w:r>
          </w:p>
        </w:tc>
      </w:tr>
    </w:tbl>
    <w:p w14:paraId="032E8F5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00F6D0">
      <w:pPr>
        <w:spacing w:before="0" w:after="0"/>
        <w:ind w:firstLine="640"/>
        <w:jc w:val="left"/>
        <w:outlineLvl w:val="9"/>
      </w:pPr>
      <w:r>
        <w:rPr>
          <w:rFonts w:ascii="Times New Roman" w:hAnsi="Times New Roman" w:eastAsia="方正仿宋_GBK" w:cs="Times New Roman"/>
          <w:color w:val="000000"/>
          <w:sz w:val="32"/>
        </w:rPr>
        <w:t xml:space="preserve"> </w:t>
      </w:r>
    </w:p>
    <w:p w14:paraId="5D0E381F">
      <w:pPr>
        <w:spacing w:before="10" w:after="10" w:line="240" w:lineRule="auto"/>
        <w:ind w:firstLine="640"/>
        <w:jc w:val="left"/>
        <w:outlineLvl w:val="5"/>
      </w:pPr>
      <w:r>
        <w:rPr>
          <w:rFonts w:ascii="黑体" w:hAnsi="黑体" w:eastAsia="黑体" w:cs="黑体"/>
          <w:color w:val="000000"/>
          <w:sz w:val="32"/>
        </w:rPr>
        <w:t>七、国有资产信息</w:t>
      </w:r>
    </w:p>
    <w:p w14:paraId="695AE4AF">
      <w:pPr>
        <w:spacing w:before="0" w:after="0" w:line="500" w:lineRule="exact"/>
        <w:ind w:firstLine="560"/>
        <w:jc w:val="left"/>
        <w:outlineLvl w:val="9"/>
      </w:pPr>
      <w:r>
        <w:rPr>
          <w:rFonts w:ascii="Times New Roman" w:hAnsi="Times New Roman" w:eastAsia="方正仿宋_GBK" w:cs="Times New Roman"/>
          <w:b w:val="0"/>
          <w:color w:val="000000"/>
          <w:sz w:val="28"/>
        </w:rPr>
        <w:t>河北省隆尧县实验中学上年末固定资产金额为3754.05万元（详见下表）。本年度拟购置固定资产总额为88.61万元，已按要求列入政府采购预算，详见政府采购预算表。</w:t>
      </w:r>
    </w:p>
    <w:p w14:paraId="2FA2CB4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69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1B403D">
            <w:pPr>
              <w:pStyle w:val="9"/>
            </w:pPr>
            <w:r>
              <w:t>360011河北省隆尧县实验中学</w:t>
            </w:r>
          </w:p>
        </w:tc>
        <w:tc>
          <w:tcPr>
            <w:tcW w:w="5670" w:type="dxa"/>
            <w:gridSpan w:val="2"/>
            <w:tcBorders>
              <w:top w:val="single" w:color="FFFFFF" w:sz="6" w:space="0"/>
              <w:left w:val="single" w:color="FFFFFF" w:sz="6" w:space="0"/>
              <w:right w:val="single" w:color="FFFFFF" w:sz="6" w:space="0"/>
            </w:tcBorders>
            <w:vAlign w:val="center"/>
          </w:tcPr>
          <w:p w14:paraId="1C01428D">
            <w:pPr>
              <w:pStyle w:val="7"/>
            </w:pPr>
            <w:r>
              <w:t>截止时间：2025-12-31</w:t>
            </w:r>
          </w:p>
        </w:tc>
      </w:tr>
      <w:tr w14:paraId="74BF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632C69">
            <w:pPr>
              <w:pStyle w:val="10"/>
            </w:pPr>
            <w:r>
              <w:t>项   目</w:t>
            </w:r>
          </w:p>
        </w:tc>
        <w:tc>
          <w:tcPr>
            <w:tcW w:w="2835" w:type="dxa"/>
            <w:vAlign w:val="center"/>
          </w:tcPr>
          <w:p w14:paraId="329067C6">
            <w:pPr>
              <w:pStyle w:val="10"/>
            </w:pPr>
            <w:r>
              <w:t>数量</w:t>
            </w:r>
          </w:p>
        </w:tc>
        <w:tc>
          <w:tcPr>
            <w:tcW w:w="2835" w:type="dxa"/>
            <w:vAlign w:val="center"/>
          </w:tcPr>
          <w:p w14:paraId="25891DCF">
            <w:pPr>
              <w:pStyle w:val="10"/>
            </w:pPr>
            <w:r>
              <w:t>价值（金额单位：万元）</w:t>
            </w:r>
          </w:p>
        </w:tc>
      </w:tr>
      <w:tr w14:paraId="2C45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B31FC7">
            <w:pPr>
              <w:pStyle w:val="12"/>
            </w:pPr>
            <w:r>
              <w:t>资产总额</w:t>
            </w:r>
          </w:p>
        </w:tc>
        <w:tc>
          <w:tcPr>
            <w:tcW w:w="2835" w:type="dxa"/>
            <w:vAlign w:val="center"/>
          </w:tcPr>
          <w:p w14:paraId="13349E66">
            <w:pPr>
              <w:pStyle w:val="13"/>
            </w:pPr>
          </w:p>
        </w:tc>
        <w:tc>
          <w:tcPr>
            <w:tcW w:w="2835" w:type="dxa"/>
            <w:vAlign w:val="center"/>
          </w:tcPr>
          <w:p w14:paraId="53758C79">
            <w:pPr>
              <w:pStyle w:val="11"/>
            </w:pPr>
            <w:r>
              <w:t>3754.05</w:t>
            </w:r>
          </w:p>
        </w:tc>
      </w:tr>
      <w:tr w14:paraId="2E32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CD6462">
            <w:pPr>
              <w:pStyle w:val="12"/>
            </w:pPr>
            <w:r>
              <w:t>1、房屋（平方米）</w:t>
            </w:r>
          </w:p>
        </w:tc>
        <w:tc>
          <w:tcPr>
            <w:tcW w:w="2835" w:type="dxa"/>
            <w:vAlign w:val="center"/>
          </w:tcPr>
          <w:p w14:paraId="423EFEB2">
            <w:pPr>
              <w:pStyle w:val="13"/>
            </w:pPr>
            <w:r>
              <w:t>22424.79</w:t>
            </w:r>
          </w:p>
        </w:tc>
        <w:tc>
          <w:tcPr>
            <w:tcW w:w="2835" w:type="dxa"/>
            <w:vAlign w:val="center"/>
          </w:tcPr>
          <w:p w14:paraId="31790971">
            <w:pPr>
              <w:pStyle w:val="11"/>
            </w:pPr>
            <w:r>
              <w:t>1126.31</w:t>
            </w:r>
          </w:p>
        </w:tc>
      </w:tr>
      <w:tr w14:paraId="3BF3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1380C">
            <w:pPr>
              <w:pStyle w:val="12"/>
            </w:pPr>
            <w:r>
              <w:t>　　其中：办公用房（平方米）</w:t>
            </w:r>
          </w:p>
        </w:tc>
        <w:tc>
          <w:tcPr>
            <w:tcW w:w="2835" w:type="dxa"/>
            <w:vAlign w:val="center"/>
          </w:tcPr>
          <w:p w14:paraId="08FA15D1">
            <w:pPr>
              <w:pStyle w:val="13"/>
            </w:pPr>
            <w:r>
              <w:t>13684.27</w:t>
            </w:r>
          </w:p>
        </w:tc>
        <w:tc>
          <w:tcPr>
            <w:tcW w:w="2835" w:type="dxa"/>
            <w:vAlign w:val="center"/>
          </w:tcPr>
          <w:p w14:paraId="51A43677">
            <w:pPr>
              <w:pStyle w:val="11"/>
            </w:pPr>
            <w:r>
              <w:t>491.05</w:t>
            </w:r>
          </w:p>
        </w:tc>
      </w:tr>
      <w:tr w14:paraId="57E9C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965A81">
            <w:pPr>
              <w:pStyle w:val="12"/>
            </w:pPr>
            <w:r>
              <w:t>2、车辆（台、辆）</w:t>
            </w:r>
          </w:p>
        </w:tc>
        <w:tc>
          <w:tcPr>
            <w:tcW w:w="2835" w:type="dxa"/>
            <w:vAlign w:val="center"/>
          </w:tcPr>
          <w:p w14:paraId="301BFAE2">
            <w:pPr>
              <w:pStyle w:val="13"/>
            </w:pPr>
          </w:p>
        </w:tc>
        <w:tc>
          <w:tcPr>
            <w:tcW w:w="2835" w:type="dxa"/>
            <w:vAlign w:val="center"/>
          </w:tcPr>
          <w:p w14:paraId="27E4053D">
            <w:pPr>
              <w:pStyle w:val="11"/>
            </w:pPr>
          </w:p>
        </w:tc>
      </w:tr>
      <w:tr w14:paraId="3959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708709">
            <w:pPr>
              <w:pStyle w:val="12"/>
            </w:pPr>
            <w:r>
              <w:t>3、单价在20万元以上的设备</w:t>
            </w:r>
          </w:p>
        </w:tc>
        <w:tc>
          <w:tcPr>
            <w:tcW w:w="2835" w:type="dxa"/>
            <w:vAlign w:val="center"/>
          </w:tcPr>
          <w:p w14:paraId="76F0ECD4">
            <w:pPr>
              <w:pStyle w:val="13"/>
            </w:pPr>
            <w:r>
              <w:t>13</w:t>
            </w:r>
          </w:p>
        </w:tc>
        <w:tc>
          <w:tcPr>
            <w:tcW w:w="2835" w:type="dxa"/>
            <w:vAlign w:val="center"/>
          </w:tcPr>
          <w:p w14:paraId="666C6CCB">
            <w:pPr>
              <w:pStyle w:val="11"/>
            </w:pPr>
            <w:r>
              <w:t>601.19</w:t>
            </w:r>
          </w:p>
        </w:tc>
      </w:tr>
      <w:tr w14:paraId="7994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187613">
            <w:pPr>
              <w:pStyle w:val="12"/>
            </w:pPr>
            <w:r>
              <w:t>4、其他固定资产</w:t>
            </w:r>
          </w:p>
        </w:tc>
        <w:tc>
          <w:tcPr>
            <w:tcW w:w="2835" w:type="dxa"/>
            <w:vAlign w:val="center"/>
          </w:tcPr>
          <w:p w14:paraId="618341E9">
            <w:pPr>
              <w:pStyle w:val="13"/>
            </w:pPr>
            <w:r>
              <w:t>10910</w:t>
            </w:r>
          </w:p>
        </w:tc>
        <w:tc>
          <w:tcPr>
            <w:tcW w:w="2835" w:type="dxa"/>
            <w:vAlign w:val="center"/>
          </w:tcPr>
          <w:p w14:paraId="6F9D1197">
            <w:pPr>
              <w:pStyle w:val="11"/>
            </w:pPr>
            <w:r>
              <w:t>2026.55</w:t>
            </w:r>
          </w:p>
        </w:tc>
      </w:tr>
    </w:tbl>
    <w:p w14:paraId="249201EB">
      <w:pPr>
        <w:spacing w:before="0" w:after="0"/>
        <w:ind w:firstLine="640"/>
        <w:jc w:val="left"/>
        <w:outlineLvl w:val="9"/>
      </w:pPr>
      <w:r>
        <w:rPr>
          <w:rFonts w:ascii="Times New Roman" w:hAnsi="Times New Roman" w:eastAsia="方正仿宋_GBK" w:cs="Times New Roman"/>
          <w:color w:val="000000"/>
          <w:sz w:val="32"/>
        </w:rPr>
        <w:t xml:space="preserve"> </w:t>
      </w:r>
    </w:p>
    <w:p w14:paraId="6A854EA8">
      <w:pPr>
        <w:spacing w:before="10" w:after="10" w:line="240" w:lineRule="auto"/>
        <w:ind w:firstLine="640"/>
        <w:jc w:val="left"/>
        <w:outlineLvl w:val="5"/>
      </w:pPr>
      <w:r>
        <w:rPr>
          <w:rFonts w:ascii="黑体" w:hAnsi="黑体" w:eastAsia="黑体" w:cs="黑体"/>
          <w:color w:val="000000"/>
          <w:sz w:val="32"/>
        </w:rPr>
        <w:t>八、名词解释</w:t>
      </w:r>
    </w:p>
    <w:p w14:paraId="2F2A49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2959E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B275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07BD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0350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A66D8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79CFA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6E6C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11FA6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C867A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2E764D">
      <w:pPr>
        <w:spacing w:before="10" w:after="10" w:line="240" w:lineRule="auto"/>
        <w:ind w:firstLine="640"/>
        <w:jc w:val="left"/>
        <w:outlineLvl w:val="5"/>
      </w:pPr>
      <w:r>
        <w:rPr>
          <w:rFonts w:ascii="黑体" w:hAnsi="黑体" w:eastAsia="黑体" w:cs="黑体"/>
          <w:color w:val="000000"/>
          <w:sz w:val="32"/>
        </w:rPr>
        <w:t>九、其他需要说明的事项</w:t>
      </w:r>
    </w:p>
    <w:p w14:paraId="5B0754F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F879EF7">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十一、隆尧县特殊教育学校收支预算</w:t>
      </w:r>
      <w:bookmarkEnd w:id="10"/>
    </w:p>
    <w:p w14:paraId="11E948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EA3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94D3C6">
            <w:pPr>
              <w:pStyle w:val="9"/>
            </w:pPr>
            <w:r>
              <w:t>360012隆尧县特殊教育学校</w:t>
            </w:r>
          </w:p>
        </w:tc>
        <w:tc>
          <w:tcPr>
            <w:tcW w:w="2126" w:type="dxa"/>
            <w:tcBorders>
              <w:top w:val="single" w:color="FFFFFF" w:sz="6" w:space="0"/>
              <w:left w:val="single" w:color="FFFFFF" w:sz="6" w:space="0"/>
              <w:right w:val="single" w:color="FFFFFF" w:sz="6" w:space="0"/>
            </w:tcBorders>
            <w:vAlign w:val="center"/>
          </w:tcPr>
          <w:p w14:paraId="65D16D9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1CF0348">
            <w:pPr>
              <w:pStyle w:val="7"/>
            </w:pPr>
            <w:r>
              <w:t>单位：万元</w:t>
            </w:r>
          </w:p>
        </w:tc>
      </w:tr>
      <w:tr w14:paraId="652D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4AB6C">
            <w:pPr>
              <w:pStyle w:val="10"/>
            </w:pPr>
            <w:r>
              <w:t>序号</w:t>
            </w:r>
          </w:p>
        </w:tc>
        <w:tc>
          <w:tcPr>
            <w:tcW w:w="6661" w:type="dxa"/>
            <w:gridSpan w:val="2"/>
            <w:vAlign w:val="center"/>
          </w:tcPr>
          <w:p w14:paraId="0D5A53BE">
            <w:pPr>
              <w:pStyle w:val="10"/>
            </w:pPr>
            <w:r>
              <w:t>收入</w:t>
            </w:r>
          </w:p>
        </w:tc>
        <w:tc>
          <w:tcPr>
            <w:tcW w:w="6661" w:type="dxa"/>
            <w:gridSpan w:val="2"/>
            <w:vAlign w:val="center"/>
          </w:tcPr>
          <w:p w14:paraId="77D9665A">
            <w:pPr>
              <w:pStyle w:val="10"/>
            </w:pPr>
            <w:r>
              <w:t>支出</w:t>
            </w:r>
          </w:p>
        </w:tc>
      </w:tr>
      <w:tr w14:paraId="2081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827D74"/>
        </w:tc>
        <w:tc>
          <w:tcPr>
            <w:tcW w:w="4535" w:type="dxa"/>
            <w:vAlign w:val="center"/>
          </w:tcPr>
          <w:p w14:paraId="24C4683B">
            <w:pPr>
              <w:pStyle w:val="10"/>
            </w:pPr>
            <w:r>
              <w:t>项  目</w:t>
            </w:r>
          </w:p>
        </w:tc>
        <w:tc>
          <w:tcPr>
            <w:tcW w:w="2126" w:type="dxa"/>
            <w:vAlign w:val="center"/>
          </w:tcPr>
          <w:p w14:paraId="595688A0">
            <w:pPr>
              <w:pStyle w:val="10"/>
            </w:pPr>
            <w:r>
              <w:t>预算数</w:t>
            </w:r>
          </w:p>
        </w:tc>
        <w:tc>
          <w:tcPr>
            <w:tcW w:w="4535" w:type="dxa"/>
            <w:vAlign w:val="center"/>
          </w:tcPr>
          <w:p w14:paraId="5D03BBB9">
            <w:pPr>
              <w:pStyle w:val="10"/>
            </w:pPr>
            <w:r>
              <w:t>项  目</w:t>
            </w:r>
          </w:p>
        </w:tc>
        <w:tc>
          <w:tcPr>
            <w:tcW w:w="2126" w:type="dxa"/>
            <w:vAlign w:val="center"/>
          </w:tcPr>
          <w:p w14:paraId="353A5780">
            <w:pPr>
              <w:pStyle w:val="10"/>
            </w:pPr>
            <w:r>
              <w:t>预算数</w:t>
            </w:r>
          </w:p>
        </w:tc>
      </w:tr>
      <w:tr w14:paraId="66455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458D5">
            <w:pPr>
              <w:pStyle w:val="10"/>
            </w:pPr>
            <w:r>
              <w:t>栏次</w:t>
            </w:r>
          </w:p>
        </w:tc>
        <w:tc>
          <w:tcPr>
            <w:tcW w:w="4535" w:type="dxa"/>
            <w:vAlign w:val="center"/>
          </w:tcPr>
          <w:p w14:paraId="3135E60E">
            <w:pPr>
              <w:pStyle w:val="10"/>
            </w:pPr>
            <w:r>
              <w:t>1</w:t>
            </w:r>
          </w:p>
        </w:tc>
        <w:tc>
          <w:tcPr>
            <w:tcW w:w="2126" w:type="dxa"/>
            <w:vAlign w:val="center"/>
          </w:tcPr>
          <w:p w14:paraId="0DF679E4">
            <w:pPr>
              <w:pStyle w:val="10"/>
            </w:pPr>
            <w:r>
              <w:t>2</w:t>
            </w:r>
          </w:p>
        </w:tc>
        <w:tc>
          <w:tcPr>
            <w:tcW w:w="4535" w:type="dxa"/>
            <w:vAlign w:val="center"/>
          </w:tcPr>
          <w:p w14:paraId="3A28CC2B">
            <w:pPr>
              <w:pStyle w:val="10"/>
            </w:pPr>
            <w:r>
              <w:t>3</w:t>
            </w:r>
          </w:p>
        </w:tc>
        <w:tc>
          <w:tcPr>
            <w:tcW w:w="2126" w:type="dxa"/>
            <w:vAlign w:val="center"/>
          </w:tcPr>
          <w:p w14:paraId="229FEF4C">
            <w:pPr>
              <w:pStyle w:val="10"/>
            </w:pPr>
            <w:r>
              <w:t>4</w:t>
            </w:r>
          </w:p>
        </w:tc>
      </w:tr>
      <w:tr w14:paraId="1E25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AC6D">
            <w:pPr>
              <w:pStyle w:val="13"/>
            </w:pPr>
            <w:r>
              <w:t>1</w:t>
            </w:r>
          </w:p>
        </w:tc>
        <w:tc>
          <w:tcPr>
            <w:tcW w:w="4535" w:type="dxa"/>
            <w:vAlign w:val="center"/>
          </w:tcPr>
          <w:p w14:paraId="60887210">
            <w:pPr>
              <w:pStyle w:val="12"/>
            </w:pPr>
            <w:r>
              <w:t>一、一般公共预算拨款收入</w:t>
            </w:r>
          </w:p>
        </w:tc>
        <w:tc>
          <w:tcPr>
            <w:tcW w:w="2126" w:type="dxa"/>
            <w:vAlign w:val="center"/>
          </w:tcPr>
          <w:p w14:paraId="556F81C2">
            <w:pPr>
              <w:pStyle w:val="11"/>
            </w:pPr>
            <w:r>
              <w:t>180.35</w:t>
            </w:r>
          </w:p>
        </w:tc>
        <w:tc>
          <w:tcPr>
            <w:tcW w:w="4535" w:type="dxa"/>
            <w:vAlign w:val="center"/>
          </w:tcPr>
          <w:p w14:paraId="74ECF154">
            <w:pPr>
              <w:pStyle w:val="12"/>
            </w:pPr>
            <w:r>
              <w:t>一、一般公共服务支出</w:t>
            </w:r>
          </w:p>
        </w:tc>
        <w:tc>
          <w:tcPr>
            <w:tcW w:w="2126" w:type="dxa"/>
            <w:vAlign w:val="center"/>
          </w:tcPr>
          <w:p w14:paraId="1F9D7C64">
            <w:pPr>
              <w:pStyle w:val="11"/>
            </w:pPr>
          </w:p>
        </w:tc>
      </w:tr>
      <w:tr w14:paraId="7179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5007">
            <w:pPr>
              <w:pStyle w:val="13"/>
            </w:pPr>
            <w:r>
              <w:t>2</w:t>
            </w:r>
          </w:p>
        </w:tc>
        <w:tc>
          <w:tcPr>
            <w:tcW w:w="4535" w:type="dxa"/>
            <w:vAlign w:val="center"/>
          </w:tcPr>
          <w:p w14:paraId="2C9F4C71">
            <w:pPr>
              <w:pStyle w:val="12"/>
            </w:pPr>
            <w:r>
              <w:t>二、政府性基金预算拨款收入</w:t>
            </w:r>
          </w:p>
        </w:tc>
        <w:tc>
          <w:tcPr>
            <w:tcW w:w="2126" w:type="dxa"/>
            <w:vAlign w:val="center"/>
          </w:tcPr>
          <w:p w14:paraId="033602BE">
            <w:pPr>
              <w:pStyle w:val="11"/>
            </w:pPr>
          </w:p>
        </w:tc>
        <w:tc>
          <w:tcPr>
            <w:tcW w:w="4535" w:type="dxa"/>
            <w:vAlign w:val="center"/>
          </w:tcPr>
          <w:p w14:paraId="7BC18B4C">
            <w:pPr>
              <w:pStyle w:val="12"/>
            </w:pPr>
            <w:r>
              <w:t>二、外交支出</w:t>
            </w:r>
          </w:p>
        </w:tc>
        <w:tc>
          <w:tcPr>
            <w:tcW w:w="2126" w:type="dxa"/>
            <w:vAlign w:val="center"/>
          </w:tcPr>
          <w:p w14:paraId="43C56E46">
            <w:pPr>
              <w:pStyle w:val="11"/>
            </w:pPr>
          </w:p>
        </w:tc>
      </w:tr>
      <w:tr w14:paraId="5906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84CB5">
            <w:pPr>
              <w:pStyle w:val="13"/>
            </w:pPr>
            <w:r>
              <w:t>3</w:t>
            </w:r>
          </w:p>
        </w:tc>
        <w:tc>
          <w:tcPr>
            <w:tcW w:w="4535" w:type="dxa"/>
            <w:vAlign w:val="center"/>
          </w:tcPr>
          <w:p w14:paraId="635FB30E">
            <w:pPr>
              <w:pStyle w:val="12"/>
            </w:pPr>
            <w:r>
              <w:t>三、国有资本经营预算拨款收入</w:t>
            </w:r>
          </w:p>
        </w:tc>
        <w:tc>
          <w:tcPr>
            <w:tcW w:w="2126" w:type="dxa"/>
            <w:vAlign w:val="center"/>
          </w:tcPr>
          <w:p w14:paraId="2D193BEB">
            <w:pPr>
              <w:pStyle w:val="11"/>
            </w:pPr>
          </w:p>
        </w:tc>
        <w:tc>
          <w:tcPr>
            <w:tcW w:w="4535" w:type="dxa"/>
            <w:vAlign w:val="center"/>
          </w:tcPr>
          <w:p w14:paraId="618C378F">
            <w:pPr>
              <w:pStyle w:val="12"/>
            </w:pPr>
            <w:r>
              <w:t>三、国防支出</w:t>
            </w:r>
          </w:p>
        </w:tc>
        <w:tc>
          <w:tcPr>
            <w:tcW w:w="2126" w:type="dxa"/>
            <w:vAlign w:val="center"/>
          </w:tcPr>
          <w:p w14:paraId="26B833A0">
            <w:pPr>
              <w:pStyle w:val="11"/>
            </w:pPr>
          </w:p>
        </w:tc>
      </w:tr>
      <w:tr w14:paraId="5521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B4CA">
            <w:pPr>
              <w:pStyle w:val="13"/>
            </w:pPr>
            <w:r>
              <w:t>4</w:t>
            </w:r>
          </w:p>
        </w:tc>
        <w:tc>
          <w:tcPr>
            <w:tcW w:w="4535" w:type="dxa"/>
            <w:vAlign w:val="center"/>
          </w:tcPr>
          <w:p w14:paraId="3A62DD8B">
            <w:pPr>
              <w:pStyle w:val="12"/>
            </w:pPr>
            <w:r>
              <w:t>四、财政专户管理资金收入</w:t>
            </w:r>
          </w:p>
        </w:tc>
        <w:tc>
          <w:tcPr>
            <w:tcW w:w="2126" w:type="dxa"/>
            <w:vAlign w:val="center"/>
          </w:tcPr>
          <w:p w14:paraId="492A597B">
            <w:pPr>
              <w:pStyle w:val="11"/>
            </w:pPr>
          </w:p>
        </w:tc>
        <w:tc>
          <w:tcPr>
            <w:tcW w:w="4535" w:type="dxa"/>
            <w:vAlign w:val="center"/>
          </w:tcPr>
          <w:p w14:paraId="758FFE1E">
            <w:pPr>
              <w:pStyle w:val="12"/>
            </w:pPr>
            <w:r>
              <w:t>四、公共安全支出</w:t>
            </w:r>
          </w:p>
        </w:tc>
        <w:tc>
          <w:tcPr>
            <w:tcW w:w="2126" w:type="dxa"/>
            <w:vAlign w:val="center"/>
          </w:tcPr>
          <w:p w14:paraId="75BF6270">
            <w:pPr>
              <w:pStyle w:val="11"/>
            </w:pPr>
          </w:p>
        </w:tc>
      </w:tr>
      <w:tr w14:paraId="361B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64498">
            <w:pPr>
              <w:pStyle w:val="13"/>
            </w:pPr>
            <w:r>
              <w:t>5</w:t>
            </w:r>
          </w:p>
        </w:tc>
        <w:tc>
          <w:tcPr>
            <w:tcW w:w="4535" w:type="dxa"/>
            <w:vAlign w:val="center"/>
          </w:tcPr>
          <w:p w14:paraId="04C040DB">
            <w:pPr>
              <w:pStyle w:val="12"/>
            </w:pPr>
            <w:r>
              <w:t>五、单位资金</w:t>
            </w:r>
          </w:p>
        </w:tc>
        <w:tc>
          <w:tcPr>
            <w:tcW w:w="2126" w:type="dxa"/>
            <w:vAlign w:val="center"/>
          </w:tcPr>
          <w:p w14:paraId="39B2F05F">
            <w:pPr>
              <w:pStyle w:val="11"/>
            </w:pPr>
          </w:p>
        </w:tc>
        <w:tc>
          <w:tcPr>
            <w:tcW w:w="4535" w:type="dxa"/>
            <w:vAlign w:val="center"/>
          </w:tcPr>
          <w:p w14:paraId="4C02A5D3">
            <w:pPr>
              <w:pStyle w:val="12"/>
            </w:pPr>
            <w:r>
              <w:t>五、教育支出</w:t>
            </w:r>
          </w:p>
        </w:tc>
        <w:tc>
          <w:tcPr>
            <w:tcW w:w="2126" w:type="dxa"/>
            <w:vAlign w:val="center"/>
          </w:tcPr>
          <w:p w14:paraId="2181A314">
            <w:pPr>
              <w:pStyle w:val="11"/>
            </w:pPr>
            <w:r>
              <w:t>180.35</w:t>
            </w:r>
          </w:p>
        </w:tc>
      </w:tr>
      <w:tr w14:paraId="6FF1B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76FA">
            <w:pPr>
              <w:pStyle w:val="13"/>
            </w:pPr>
            <w:r>
              <w:t>6</w:t>
            </w:r>
          </w:p>
        </w:tc>
        <w:tc>
          <w:tcPr>
            <w:tcW w:w="4535" w:type="dxa"/>
            <w:vAlign w:val="center"/>
          </w:tcPr>
          <w:p w14:paraId="2D538127">
            <w:pPr>
              <w:pStyle w:val="12"/>
            </w:pPr>
          </w:p>
        </w:tc>
        <w:tc>
          <w:tcPr>
            <w:tcW w:w="2126" w:type="dxa"/>
            <w:vAlign w:val="center"/>
          </w:tcPr>
          <w:p w14:paraId="29332043">
            <w:pPr>
              <w:pStyle w:val="11"/>
            </w:pPr>
          </w:p>
        </w:tc>
        <w:tc>
          <w:tcPr>
            <w:tcW w:w="4535" w:type="dxa"/>
            <w:vAlign w:val="center"/>
          </w:tcPr>
          <w:p w14:paraId="4228ACB3">
            <w:pPr>
              <w:pStyle w:val="12"/>
            </w:pPr>
            <w:r>
              <w:t>六、科学技术支出</w:t>
            </w:r>
          </w:p>
        </w:tc>
        <w:tc>
          <w:tcPr>
            <w:tcW w:w="2126" w:type="dxa"/>
            <w:vAlign w:val="center"/>
          </w:tcPr>
          <w:p w14:paraId="3ACDBBC2">
            <w:pPr>
              <w:pStyle w:val="11"/>
            </w:pPr>
          </w:p>
        </w:tc>
      </w:tr>
      <w:tr w14:paraId="62BB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5182A">
            <w:pPr>
              <w:pStyle w:val="13"/>
            </w:pPr>
            <w:r>
              <w:t>7</w:t>
            </w:r>
          </w:p>
        </w:tc>
        <w:tc>
          <w:tcPr>
            <w:tcW w:w="4535" w:type="dxa"/>
            <w:vAlign w:val="center"/>
          </w:tcPr>
          <w:p w14:paraId="4701C419">
            <w:pPr>
              <w:pStyle w:val="12"/>
            </w:pPr>
          </w:p>
        </w:tc>
        <w:tc>
          <w:tcPr>
            <w:tcW w:w="2126" w:type="dxa"/>
            <w:vAlign w:val="center"/>
          </w:tcPr>
          <w:p w14:paraId="1B7EF4EB">
            <w:pPr>
              <w:pStyle w:val="11"/>
            </w:pPr>
          </w:p>
        </w:tc>
        <w:tc>
          <w:tcPr>
            <w:tcW w:w="4535" w:type="dxa"/>
            <w:vAlign w:val="center"/>
          </w:tcPr>
          <w:p w14:paraId="22461CCB">
            <w:pPr>
              <w:pStyle w:val="12"/>
            </w:pPr>
            <w:r>
              <w:t>七、文化旅游体育与传媒支出</w:t>
            </w:r>
          </w:p>
        </w:tc>
        <w:tc>
          <w:tcPr>
            <w:tcW w:w="2126" w:type="dxa"/>
            <w:vAlign w:val="center"/>
          </w:tcPr>
          <w:p w14:paraId="1BA9B6DE">
            <w:pPr>
              <w:pStyle w:val="11"/>
            </w:pPr>
          </w:p>
        </w:tc>
      </w:tr>
      <w:tr w14:paraId="5C81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2B9BB">
            <w:pPr>
              <w:pStyle w:val="13"/>
            </w:pPr>
            <w:r>
              <w:t>8</w:t>
            </w:r>
          </w:p>
        </w:tc>
        <w:tc>
          <w:tcPr>
            <w:tcW w:w="4535" w:type="dxa"/>
            <w:vAlign w:val="center"/>
          </w:tcPr>
          <w:p w14:paraId="20A1D6F6">
            <w:pPr>
              <w:pStyle w:val="12"/>
            </w:pPr>
          </w:p>
        </w:tc>
        <w:tc>
          <w:tcPr>
            <w:tcW w:w="2126" w:type="dxa"/>
            <w:vAlign w:val="center"/>
          </w:tcPr>
          <w:p w14:paraId="2BE22CCE">
            <w:pPr>
              <w:pStyle w:val="11"/>
            </w:pPr>
          </w:p>
        </w:tc>
        <w:tc>
          <w:tcPr>
            <w:tcW w:w="4535" w:type="dxa"/>
            <w:vAlign w:val="center"/>
          </w:tcPr>
          <w:p w14:paraId="282DF408">
            <w:pPr>
              <w:pStyle w:val="12"/>
            </w:pPr>
            <w:r>
              <w:t>八、社会保障和就业支出</w:t>
            </w:r>
          </w:p>
        </w:tc>
        <w:tc>
          <w:tcPr>
            <w:tcW w:w="2126" w:type="dxa"/>
            <w:vAlign w:val="center"/>
          </w:tcPr>
          <w:p w14:paraId="00D1C7D4">
            <w:pPr>
              <w:pStyle w:val="11"/>
            </w:pPr>
          </w:p>
        </w:tc>
      </w:tr>
      <w:tr w14:paraId="77D7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7E3A3">
            <w:pPr>
              <w:pStyle w:val="13"/>
            </w:pPr>
            <w:r>
              <w:t>9</w:t>
            </w:r>
          </w:p>
        </w:tc>
        <w:tc>
          <w:tcPr>
            <w:tcW w:w="4535" w:type="dxa"/>
            <w:vAlign w:val="center"/>
          </w:tcPr>
          <w:p w14:paraId="7D68DF42">
            <w:pPr>
              <w:pStyle w:val="12"/>
            </w:pPr>
          </w:p>
        </w:tc>
        <w:tc>
          <w:tcPr>
            <w:tcW w:w="2126" w:type="dxa"/>
            <w:vAlign w:val="center"/>
          </w:tcPr>
          <w:p w14:paraId="13973FC9">
            <w:pPr>
              <w:pStyle w:val="11"/>
            </w:pPr>
          </w:p>
        </w:tc>
        <w:tc>
          <w:tcPr>
            <w:tcW w:w="4535" w:type="dxa"/>
            <w:vAlign w:val="center"/>
          </w:tcPr>
          <w:p w14:paraId="300B5545">
            <w:pPr>
              <w:pStyle w:val="12"/>
            </w:pPr>
            <w:r>
              <w:t>九、社会保险基金支出</w:t>
            </w:r>
          </w:p>
        </w:tc>
        <w:tc>
          <w:tcPr>
            <w:tcW w:w="2126" w:type="dxa"/>
            <w:vAlign w:val="center"/>
          </w:tcPr>
          <w:p w14:paraId="26D95F90">
            <w:pPr>
              <w:pStyle w:val="11"/>
            </w:pPr>
          </w:p>
        </w:tc>
      </w:tr>
      <w:tr w14:paraId="50D6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A63D1">
            <w:pPr>
              <w:pStyle w:val="13"/>
            </w:pPr>
            <w:r>
              <w:t>10</w:t>
            </w:r>
          </w:p>
        </w:tc>
        <w:tc>
          <w:tcPr>
            <w:tcW w:w="4535" w:type="dxa"/>
            <w:vAlign w:val="center"/>
          </w:tcPr>
          <w:p w14:paraId="68D13095">
            <w:pPr>
              <w:pStyle w:val="12"/>
            </w:pPr>
          </w:p>
        </w:tc>
        <w:tc>
          <w:tcPr>
            <w:tcW w:w="2126" w:type="dxa"/>
            <w:vAlign w:val="center"/>
          </w:tcPr>
          <w:p w14:paraId="51197BB7">
            <w:pPr>
              <w:pStyle w:val="11"/>
            </w:pPr>
          </w:p>
        </w:tc>
        <w:tc>
          <w:tcPr>
            <w:tcW w:w="4535" w:type="dxa"/>
            <w:vAlign w:val="center"/>
          </w:tcPr>
          <w:p w14:paraId="111955F5">
            <w:pPr>
              <w:pStyle w:val="12"/>
            </w:pPr>
            <w:r>
              <w:t>十、卫生健康支出</w:t>
            </w:r>
          </w:p>
        </w:tc>
        <w:tc>
          <w:tcPr>
            <w:tcW w:w="2126" w:type="dxa"/>
            <w:vAlign w:val="center"/>
          </w:tcPr>
          <w:p w14:paraId="61386D60">
            <w:pPr>
              <w:pStyle w:val="11"/>
            </w:pPr>
          </w:p>
        </w:tc>
      </w:tr>
      <w:tr w14:paraId="7D5D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CCF2">
            <w:pPr>
              <w:pStyle w:val="13"/>
            </w:pPr>
            <w:r>
              <w:t>11</w:t>
            </w:r>
          </w:p>
        </w:tc>
        <w:tc>
          <w:tcPr>
            <w:tcW w:w="4535" w:type="dxa"/>
            <w:vAlign w:val="center"/>
          </w:tcPr>
          <w:p w14:paraId="38644F45">
            <w:pPr>
              <w:pStyle w:val="12"/>
            </w:pPr>
          </w:p>
        </w:tc>
        <w:tc>
          <w:tcPr>
            <w:tcW w:w="2126" w:type="dxa"/>
            <w:vAlign w:val="center"/>
          </w:tcPr>
          <w:p w14:paraId="0DA23453">
            <w:pPr>
              <w:pStyle w:val="11"/>
            </w:pPr>
          </w:p>
        </w:tc>
        <w:tc>
          <w:tcPr>
            <w:tcW w:w="4535" w:type="dxa"/>
            <w:vAlign w:val="center"/>
          </w:tcPr>
          <w:p w14:paraId="152965DF">
            <w:pPr>
              <w:pStyle w:val="12"/>
            </w:pPr>
            <w:r>
              <w:t>十一、节能环保支出</w:t>
            </w:r>
          </w:p>
        </w:tc>
        <w:tc>
          <w:tcPr>
            <w:tcW w:w="2126" w:type="dxa"/>
            <w:vAlign w:val="center"/>
          </w:tcPr>
          <w:p w14:paraId="71BD5C41">
            <w:pPr>
              <w:pStyle w:val="11"/>
            </w:pPr>
          </w:p>
        </w:tc>
      </w:tr>
      <w:tr w14:paraId="215C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EE6C1">
            <w:pPr>
              <w:pStyle w:val="13"/>
            </w:pPr>
            <w:r>
              <w:t>12</w:t>
            </w:r>
          </w:p>
        </w:tc>
        <w:tc>
          <w:tcPr>
            <w:tcW w:w="4535" w:type="dxa"/>
            <w:vAlign w:val="center"/>
          </w:tcPr>
          <w:p w14:paraId="1FFC71D4">
            <w:pPr>
              <w:pStyle w:val="12"/>
            </w:pPr>
          </w:p>
        </w:tc>
        <w:tc>
          <w:tcPr>
            <w:tcW w:w="2126" w:type="dxa"/>
            <w:vAlign w:val="center"/>
          </w:tcPr>
          <w:p w14:paraId="33D77430">
            <w:pPr>
              <w:pStyle w:val="11"/>
            </w:pPr>
          </w:p>
        </w:tc>
        <w:tc>
          <w:tcPr>
            <w:tcW w:w="4535" w:type="dxa"/>
            <w:vAlign w:val="center"/>
          </w:tcPr>
          <w:p w14:paraId="2FEAC6F1">
            <w:pPr>
              <w:pStyle w:val="12"/>
            </w:pPr>
            <w:r>
              <w:t>十二、城乡社区支出</w:t>
            </w:r>
          </w:p>
        </w:tc>
        <w:tc>
          <w:tcPr>
            <w:tcW w:w="2126" w:type="dxa"/>
            <w:vAlign w:val="center"/>
          </w:tcPr>
          <w:p w14:paraId="096E970F">
            <w:pPr>
              <w:pStyle w:val="11"/>
            </w:pPr>
          </w:p>
        </w:tc>
      </w:tr>
      <w:tr w14:paraId="72E5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E281">
            <w:pPr>
              <w:pStyle w:val="13"/>
            </w:pPr>
            <w:r>
              <w:t>13</w:t>
            </w:r>
          </w:p>
        </w:tc>
        <w:tc>
          <w:tcPr>
            <w:tcW w:w="4535" w:type="dxa"/>
            <w:vAlign w:val="center"/>
          </w:tcPr>
          <w:p w14:paraId="17BF9B09">
            <w:pPr>
              <w:pStyle w:val="12"/>
            </w:pPr>
          </w:p>
        </w:tc>
        <w:tc>
          <w:tcPr>
            <w:tcW w:w="2126" w:type="dxa"/>
            <w:vAlign w:val="center"/>
          </w:tcPr>
          <w:p w14:paraId="323F7C29">
            <w:pPr>
              <w:pStyle w:val="11"/>
            </w:pPr>
          </w:p>
        </w:tc>
        <w:tc>
          <w:tcPr>
            <w:tcW w:w="4535" w:type="dxa"/>
            <w:vAlign w:val="center"/>
          </w:tcPr>
          <w:p w14:paraId="611581F8">
            <w:pPr>
              <w:pStyle w:val="12"/>
            </w:pPr>
            <w:r>
              <w:t>十三、农林水支出</w:t>
            </w:r>
          </w:p>
        </w:tc>
        <w:tc>
          <w:tcPr>
            <w:tcW w:w="2126" w:type="dxa"/>
            <w:vAlign w:val="center"/>
          </w:tcPr>
          <w:p w14:paraId="114EC9D8">
            <w:pPr>
              <w:pStyle w:val="11"/>
            </w:pPr>
          </w:p>
        </w:tc>
      </w:tr>
      <w:tr w14:paraId="57B2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5C6E1">
            <w:pPr>
              <w:pStyle w:val="13"/>
            </w:pPr>
            <w:r>
              <w:t>14</w:t>
            </w:r>
          </w:p>
        </w:tc>
        <w:tc>
          <w:tcPr>
            <w:tcW w:w="4535" w:type="dxa"/>
            <w:vAlign w:val="center"/>
          </w:tcPr>
          <w:p w14:paraId="05C3FD57">
            <w:pPr>
              <w:pStyle w:val="12"/>
            </w:pPr>
          </w:p>
        </w:tc>
        <w:tc>
          <w:tcPr>
            <w:tcW w:w="2126" w:type="dxa"/>
            <w:vAlign w:val="center"/>
          </w:tcPr>
          <w:p w14:paraId="3C557832">
            <w:pPr>
              <w:pStyle w:val="11"/>
            </w:pPr>
          </w:p>
        </w:tc>
        <w:tc>
          <w:tcPr>
            <w:tcW w:w="4535" w:type="dxa"/>
            <w:vAlign w:val="center"/>
          </w:tcPr>
          <w:p w14:paraId="7D6D3AED">
            <w:pPr>
              <w:pStyle w:val="12"/>
            </w:pPr>
            <w:r>
              <w:t>十四、交通运输支出</w:t>
            </w:r>
          </w:p>
        </w:tc>
        <w:tc>
          <w:tcPr>
            <w:tcW w:w="2126" w:type="dxa"/>
            <w:vAlign w:val="center"/>
          </w:tcPr>
          <w:p w14:paraId="3A3F3C21">
            <w:pPr>
              <w:pStyle w:val="11"/>
            </w:pPr>
          </w:p>
        </w:tc>
      </w:tr>
      <w:tr w14:paraId="0913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92CB">
            <w:pPr>
              <w:pStyle w:val="13"/>
            </w:pPr>
            <w:r>
              <w:t>15</w:t>
            </w:r>
          </w:p>
        </w:tc>
        <w:tc>
          <w:tcPr>
            <w:tcW w:w="4535" w:type="dxa"/>
            <w:vAlign w:val="center"/>
          </w:tcPr>
          <w:p w14:paraId="5F712884">
            <w:pPr>
              <w:pStyle w:val="12"/>
            </w:pPr>
          </w:p>
        </w:tc>
        <w:tc>
          <w:tcPr>
            <w:tcW w:w="2126" w:type="dxa"/>
            <w:vAlign w:val="center"/>
          </w:tcPr>
          <w:p w14:paraId="2A7AF35B">
            <w:pPr>
              <w:pStyle w:val="11"/>
            </w:pPr>
          </w:p>
        </w:tc>
        <w:tc>
          <w:tcPr>
            <w:tcW w:w="4535" w:type="dxa"/>
            <w:vAlign w:val="center"/>
          </w:tcPr>
          <w:p w14:paraId="701EC029">
            <w:pPr>
              <w:pStyle w:val="12"/>
            </w:pPr>
            <w:r>
              <w:t>十五、资源勘探工业信息等支出</w:t>
            </w:r>
          </w:p>
        </w:tc>
        <w:tc>
          <w:tcPr>
            <w:tcW w:w="2126" w:type="dxa"/>
            <w:vAlign w:val="center"/>
          </w:tcPr>
          <w:p w14:paraId="57EFCD8F">
            <w:pPr>
              <w:pStyle w:val="11"/>
            </w:pPr>
          </w:p>
        </w:tc>
      </w:tr>
      <w:tr w14:paraId="5767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756A">
            <w:pPr>
              <w:pStyle w:val="13"/>
            </w:pPr>
            <w:r>
              <w:t>16</w:t>
            </w:r>
          </w:p>
        </w:tc>
        <w:tc>
          <w:tcPr>
            <w:tcW w:w="4535" w:type="dxa"/>
            <w:vAlign w:val="center"/>
          </w:tcPr>
          <w:p w14:paraId="65B53987">
            <w:pPr>
              <w:pStyle w:val="12"/>
            </w:pPr>
          </w:p>
        </w:tc>
        <w:tc>
          <w:tcPr>
            <w:tcW w:w="2126" w:type="dxa"/>
            <w:vAlign w:val="center"/>
          </w:tcPr>
          <w:p w14:paraId="49F4771E">
            <w:pPr>
              <w:pStyle w:val="11"/>
            </w:pPr>
          </w:p>
        </w:tc>
        <w:tc>
          <w:tcPr>
            <w:tcW w:w="4535" w:type="dxa"/>
            <w:vAlign w:val="center"/>
          </w:tcPr>
          <w:p w14:paraId="7402006F">
            <w:pPr>
              <w:pStyle w:val="12"/>
            </w:pPr>
            <w:r>
              <w:t>十六、商业服务业等支出</w:t>
            </w:r>
          </w:p>
        </w:tc>
        <w:tc>
          <w:tcPr>
            <w:tcW w:w="2126" w:type="dxa"/>
            <w:vAlign w:val="center"/>
          </w:tcPr>
          <w:p w14:paraId="56F884B5">
            <w:pPr>
              <w:pStyle w:val="11"/>
            </w:pPr>
          </w:p>
        </w:tc>
      </w:tr>
      <w:tr w14:paraId="0CE1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CE014">
            <w:pPr>
              <w:pStyle w:val="13"/>
            </w:pPr>
            <w:r>
              <w:t>17</w:t>
            </w:r>
          </w:p>
        </w:tc>
        <w:tc>
          <w:tcPr>
            <w:tcW w:w="4535" w:type="dxa"/>
            <w:vAlign w:val="center"/>
          </w:tcPr>
          <w:p w14:paraId="596AAB39">
            <w:pPr>
              <w:pStyle w:val="12"/>
            </w:pPr>
          </w:p>
        </w:tc>
        <w:tc>
          <w:tcPr>
            <w:tcW w:w="2126" w:type="dxa"/>
            <w:vAlign w:val="center"/>
          </w:tcPr>
          <w:p w14:paraId="56EBBDB0">
            <w:pPr>
              <w:pStyle w:val="11"/>
            </w:pPr>
          </w:p>
        </w:tc>
        <w:tc>
          <w:tcPr>
            <w:tcW w:w="4535" w:type="dxa"/>
            <w:vAlign w:val="center"/>
          </w:tcPr>
          <w:p w14:paraId="4000035E">
            <w:pPr>
              <w:pStyle w:val="12"/>
            </w:pPr>
            <w:r>
              <w:t>十七、金融支出</w:t>
            </w:r>
          </w:p>
        </w:tc>
        <w:tc>
          <w:tcPr>
            <w:tcW w:w="2126" w:type="dxa"/>
            <w:vAlign w:val="center"/>
          </w:tcPr>
          <w:p w14:paraId="6954935A">
            <w:pPr>
              <w:pStyle w:val="11"/>
            </w:pPr>
          </w:p>
        </w:tc>
      </w:tr>
      <w:tr w14:paraId="7BCC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7C064">
            <w:pPr>
              <w:pStyle w:val="13"/>
            </w:pPr>
            <w:r>
              <w:t>18</w:t>
            </w:r>
          </w:p>
        </w:tc>
        <w:tc>
          <w:tcPr>
            <w:tcW w:w="4535" w:type="dxa"/>
            <w:vAlign w:val="center"/>
          </w:tcPr>
          <w:p w14:paraId="1C4A663D">
            <w:pPr>
              <w:pStyle w:val="12"/>
            </w:pPr>
          </w:p>
        </w:tc>
        <w:tc>
          <w:tcPr>
            <w:tcW w:w="2126" w:type="dxa"/>
            <w:vAlign w:val="center"/>
          </w:tcPr>
          <w:p w14:paraId="29513AC1">
            <w:pPr>
              <w:pStyle w:val="11"/>
            </w:pPr>
          </w:p>
        </w:tc>
        <w:tc>
          <w:tcPr>
            <w:tcW w:w="4535" w:type="dxa"/>
            <w:vAlign w:val="center"/>
          </w:tcPr>
          <w:p w14:paraId="080691D5">
            <w:pPr>
              <w:pStyle w:val="12"/>
            </w:pPr>
            <w:r>
              <w:t>十八、援助其他地区支出</w:t>
            </w:r>
          </w:p>
        </w:tc>
        <w:tc>
          <w:tcPr>
            <w:tcW w:w="2126" w:type="dxa"/>
            <w:vAlign w:val="center"/>
          </w:tcPr>
          <w:p w14:paraId="75DCF425">
            <w:pPr>
              <w:pStyle w:val="11"/>
            </w:pPr>
          </w:p>
        </w:tc>
      </w:tr>
      <w:tr w14:paraId="3E6A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253C4">
            <w:pPr>
              <w:pStyle w:val="13"/>
            </w:pPr>
            <w:r>
              <w:t>19</w:t>
            </w:r>
          </w:p>
        </w:tc>
        <w:tc>
          <w:tcPr>
            <w:tcW w:w="4535" w:type="dxa"/>
            <w:vAlign w:val="center"/>
          </w:tcPr>
          <w:p w14:paraId="0EBFBB8C">
            <w:pPr>
              <w:pStyle w:val="12"/>
            </w:pPr>
          </w:p>
        </w:tc>
        <w:tc>
          <w:tcPr>
            <w:tcW w:w="2126" w:type="dxa"/>
            <w:vAlign w:val="center"/>
          </w:tcPr>
          <w:p w14:paraId="36B1ECBA">
            <w:pPr>
              <w:pStyle w:val="11"/>
            </w:pPr>
          </w:p>
        </w:tc>
        <w:tc>
          <w:tcPr>
            <w:tcW w:w="4535" w:type="dxa"/>
            <w:vAlign w:val="center"/>
          </w:tcPr>
          <w:p w14:paraId="6779DBE7">
            <w:pPr>
              <w:pStyle w:val="12"/>
            </w:pPr>
            <w:r>
              <w:t>十九、自然资源海洋气象等支出</w:t>
            </w:r>
          </w:p>
        </w:tc>
        <w:tc>
          <w:tcPr>
            <w:tcW w:w="2126" w:type="dxa"/>
            <w:vAlign w:val="center"/>
          </w:tcPr>
          <w:p w14:paraId="022F5374">
            <w:pPr>
              <w:pStyle w:val="11"/>
            </w:pPr>
          </w:p>
        </w:tc>
      </w:tr>
      <w:tr w14:paraId="000C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C7017">
            <w:pPr>
              <w:pStyle w:val="13"/>
            </w:pPr>
            <w:r>
              <w:t>20</w:t>
            </w:r>
          </w:p>
        </w:tc>
        <w:tc>
          <w:tcPr>
            <w:tcW w:w="4535" w:type="dxa"/>
            <w:vAlign w:val="center"/>
          </w:tcPr>
          <w:p w14:paraId="04B6159B">
            <w:pPr>
              <w:pStyle w:val="12"/>
            </w:pPr>
          </w:p>
        </w:tc>
        <w:tc>
          <w:tcPr>
            <w:tcW w:w="2126" w:type="dxa"/>
            <w:vAlign w:val="center"/>
          </w:tcPr>
          <w:p w14:paraId="69A8F5A9">
            <w:pPr>
              <w:pStyle w:val="11"/>
            </w:pPr>
          </w:p>
        </w:tc>
        <w:tc>
          <w:tcPr>
            <w:tcW w:w="4535" w:type="dxa"/>
            <w:vAlign w:val="center"/>
          </w:tcPr>
          <w:p w14:paraId="45C7A5B7">
            <w:pPr>
              <w:pStyle w:val="12"/>
            </w:pPr>
            <w:r>
              <w:t>二十、住房保障支出</w:t>
            </w:r>
          </w:p>
        </w:tc>
        <w:tc>
          <w:tcPr>
            <w:tcW w:w="2126" w:type="dxa"/>
            <w:vAlign w:val="center"/>
          </w:tcPr>
          <w:p w14:paraId="0B8BE5A8">
            <w:pPr>
              <w:pStyle w:val="11"/>
            </w:pPr>
          </w:p>
        </w:tc>
      </w:tr>
      <w:tr w14:paraId="4B835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9FA1">
            <w:pPr>
              <w:pStyle w:val="13"/>
            </w:pPr>
            <w:r>
              <w:t>21</w:t>
            </w:r>
          </w:p>
        </w:tc>
        <w:tc>
          <w:tcPr>
            <w:tcW w:w="4535" w:type="dxa"/>
            <w:vAlign w:val="center"/>
          </w:tcPr>
          <w:p w14:paraId="39E622CC">
            <w:pPr>
              <w:pStyle w:val="12"/>
            </w:pPr>
          </w:p>
        </w:tc>
        <w:tc>
          <w:tcPr>
            <w:tcW w:w="2126" w:type="dxa"/>
            <w:vAlign w:val="center"/>
          </w:tcPr>
          <w:p w14:paraId="7F624536">
            <w:pPr>
              <w:pStyle w:val="11"/>
            </w:pPr>
          </w:p>
        </w:tc>
        <w:tc>
          <w:tcPr>
            <w:tcW w:w="4535" w:type="dxa"/>
            <w:vAlign w:val="center"/>
          </w:tcPr>
          <w:p w14:paraId="0E9D2183">
            <w:pPr>
              <w:pStyle w:val="12"/>
            </w:pPr>
            <w:r>
              <w:t>二十一、粮油物资储备支出</w:t>
            </w:r>
          </w:p>
        </w:tc>
        <w:tc>
          <w:tcPr>
            <w:tcW w:w="2126" w:type="dxa"/>
            <w:vAlign w:val="center"/>
          </w:tcPr>
          <w:p w14:paraId="7987074F">
            <w:pPr>
              <w:pStyle w:val="11"/>
            </w:pPr>
          </w:p>
        </w:tc>
      </w:tr>
      <w:tr w14:paraId="174C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D4354">
            <w:pPr>
              <w:pStyle w:val="13"/>
            </w:pPr>
            <w:r>
              <w:t>22</w:t>
            </w:r>
          </w:p>
        </w:tc>
        <w:tc>
          <w:tcPr>
            <w:tcW w:w="4535" w:type="dxa"/>
            <w:vAlign w:val="center"/>
          </w:tcPr>
          <w:p w14:paraId="04AB1130">
            <w:pPr>
              <w:pStyle w:val="12"/>
            </w:pPr>
          </w:p>
        </w:tc>
        <w:tc>
          <w:tcPr>
            <w:tcW w:w="2126" w:type="dxa"/>
            <w:vAlign w:val="center"/>
          </w:tcPr>
          <w:p w14:paraId="56407AE3">
            <w:pPr>
              <w:pStyle w:val="11"/>
            </w:pPr>
          </w:p>
        </w:tc>
        <w:tc>
          <w:tcPr>
            <w:tcW w:w="4535" w:type="dxa"/>
            <w:vAlign w:val="center"/>
          </w:tcPr>
          <w:p w14:paraId="597BB96F">
            <w:pPr>
              <w:pStyle w:val="12"/>
            </w:pPr>
            <w:r>
              <w:t>二十二、国有资本经营预算支出</w:t>
            </w:r>
          </w:p>
        </w:tc>
        <w:tc>
          <w:tcPr>
            <w:tcW w:w="2126" w:type="dxa"/>
            <w:vAlign w:val="center"/>
          </w:tcPr>
          <w:p w14:paraId="1D558506">
            <w:pPr>
              <w:pStyle w:val="11"/>
            </w:pPr>
          </w:p>
        </w:tc>
      </w:tr>
      <w:tr w14:paraId="46BD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CA36E">
            <w:pPr>
              <w:pStyle w:val="13"/>
            </w:pPr>
            <w:r>
              <w:t>23</w:t>
            </w:r>
          </w:p>
        </w:tc>
        <w:tc>
          <w:tcPr>
            <w:tcW w:w="4535" w:type="dxa"/>
            <w:vAlign w:val="center"/>
          </w:tcPr>
          <w:p w14:paraId="164D64D1">
            <w:pPr>
              <w:pStyle w:val="12"/>
            </w:pPr>
          </w:p>
        </w:tc>
        <w:tc>
          <w:tcPr>
            <w:tcW w:w="2126" w:type="dxa"/>
            <w:vAlign w:val="center"/>
          </w:tcPr>
          <w:p w14:paraId="2811D179">
            <w:pPr>
              <w:pStyle w:val="11"/>
            </w:pPr>
          </w:p>
        </w:tc>
        <w:tc>
          <w:tcPr>
            <w:tcW w:w="4535" w:type="dxa"/>
            <w:vAlign w:val="center"/>
          </w:tcPr>
          <w:p w14:paraId="6426FE3E">
            <w:pPr>
              <w:pStyle w:val="12"/>
            </w:pPr>
            <w:r>
              <w:t>二十三、灾害防治及应急管理支出</w:t>
            </w:r>
          </w:p>
        </w:tc>
        <w:tc>
          <w:tcPr>
            <w:tcW w:w="2126" w:type="dxa"/>
            <w:vAlign w:val="center"/>
          </w:tcPr>
          <w:p w14:paraId="2D8FDBCF">
            <w:pPr>
              <w:pStyle w:val="11"/>
            </w:pPr>
          </w:p>
        </w:tc>
      </w:tr>
      <w:tr w14:paraId="302A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7C21">
            <w:pPr>
              <w:pStyle w:val="13"/>
            </w:pPr>
            <w:r>
              <w:t>24</w:t>
            </w:r>
          </w:p>
        </w:tc>
        <w:tc>
          <w:tcPr>
            <w:tcW w:w="4535" w:type="dxa"/>
            <w:vAlign w:val="center"/>
          </w:tcPr>
          <w:p w14:paraId="1C5A4664">
            <w:pPr>
              <w:pStyle w:val="12"/>
            </w:pPr>
          </w:p>
        </w:tc>
        <w:tc>
          <w:tcPr>
            <w:tcW w:w="2126" w:type="dxa"/>
            <w:vAlign w:val="center"/>
          </w:tcPr>
          <w:p w14:paraId="17CC0960">
            <w:pPr>
              <w:pStyle w:val="11"/>
            </w:pPr>
          </w:p>
        </w:tc>
        <w:tc>
          <w:tcPr>
            <w:tcW w:w="4535" w:type="dxa"/>
            <w:vAlign w:val="center"/>
          </w:tcPr>
          <w:p w14:paraId="6E2CACC2">
            <w:pPr>
              <w:pStyle w:val="12"/>
            </w:pPr>
            <w:r>
              <w:t>二十四、预备费</w:t>
            </w:r>
          </w:p>
        </w:tc>
        <w:tc>
          <w:tcPr>
            <w:tcW w:w="2126" w:type="dxa"/>
            <w:vAlign w:val="center"/>
          </w:tcPr>
          <w:p w14:paraId="08A2623B">
            <w:pPr>
              <w:pStyle w:val="11"/>
            </w:pPr>
          </w:p>
        </w:tc>
      </w:tr>
      <w:tr w14:paraId="4B1E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FDAB4">
            <w:pPr>
              <w:pStyle w:val="13"/>
            </w:pPr>
            <w:r>
              <w:t>25</w:t>
            </w:r>
          </w:p>
        </w:tc>
        <w:tc>
          <w:tcPr>
            <w:tcW w:w="4535" w:type="dxa"/>
            <w:vAlign w:val="center"/>
          </w:tcPr>
          <w:p w14:paraId="40B5CED8">
            <w:pPr>
              <w:pStyle w:val="12"/>
            </w:pPr>
          </w:p>
        </w:tc>
        <w:tc>
          <w:tcPr>
            <w:tcW w:w="2126" w:type="dxa"/>
            <w:vAlign w:val="center"/>
          </w:tcPr>
          <w:p w14:paraId="5ABFC58A">
            <w:pPr>
              <w:pStyle w:val="11"/>
            </w:pPr>
          </w:p>
        </w:tc>
        <w:tc>
          <w:tcPr>
            <w:tcW w:w="4535" w:type="dxa"/>
            <w:vAlign w:val="center"/>
          </w:tcPr>
          <w:p w14:paraId="72337A2E">
            <w:pPr>
              <w:pStyle w:val="12"/>
            </w:pPr>
            <w:r>
              <w:t>二十五、其他支出</w:t>
            </w:r>
          </w:p>
        </w:tc>
        <w:tc>
          <w:tcPr>
            <w:tcW w:w="2126" w:type="dxa"/>
            <w:vAlign w:val="center"/>
          </w:tcPr>
          <w:p w14:paraId="5D060F5D">
            <w:pPr>
              <w:pStyle w:val="11"/>
            </w:pPr>
          </w:p>
        </w:tc>
      </w:tr>
      <w:tr w14:paraId="6A0C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42DA">
            <w:pPr>
              <w:pStyle w:val="13"/>
            </w:pPr>
            <w:r>
              <w:t>26</w:t>
            </w:r>
          </w:p>
        </w:tc>
        <w:tc>
          <w:tcPr>
            <w:tcW w:w="4535" w:type="dxa"/>
            <w:vAlign w:val="center"/>
          </w:tcPr>
          <w:p w14:paraId="0CE3BC5D">
            <w:pPr>
              <w:pStyle w:val="12"/>
            </w:pPr>
          </w:p>
        </w:tc>
        <w:tc>
          <w:tcPr>
            <w:tcW w:w="2126" w:type="dxa"/>
            <w:vAlign w:val="center"/>
          </w:tcPr>
          <w:p w14:paraId="77375F6C">
            <w:pPr>
              <w:pStyle w:val="11"/>
            </w:pPr>
          </w:p>
        </w:tc>
        <w:tc>
          <w:tcPr>
            <w:tcW w:w="4535" w:type="dxa"/>
            <w:vAlign w:val="center"/>
          </w:tcPr>
          <w:p w14:paraId="149FDED3">
            <w:pPr>
              <w:pStyle w:val="12"/>
            </w:pPr>
            <w:r>
              <w:t>二十六、转移性支出</w:t>
            </w:r>
          </w:p>
        </w:tc>
        <w:tc>
          <w:tcPr>
            <w:tcW w:w="2126" w:type="dxa"/>
            <w:vAlign w:val="center"/>
          </w:tcPr>
          <w:p w14:paraId="370D15E1">
            <w:pPr>
              <w:pStyle w:val="11"/>
            </w:pPr>
          </w:p>
        </w:tc>
      </w:tr>
      <w:tr w14:paraId="0CA6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2ABE2">
            <w:pPr>
              <w:pStyle w:val="13"/>
            </w:pPr>
            <w:r>
              <w:t>27</w:t>
            </w:r>
          </w:p>
        </w:tc>
        <w:tc>
          <w:tcPr>
            <w:tcW w:w="4535" w:type="dxa"/>
            <w:vAlign w:val="center"/>
          </w:tcPr>
          <w:p w14:paraId="36C42A13">
            <w:pPr>
              <w:pStyle w:val="12"/>
            </w:pPr>
          </w:p>
        </w:tc>
        <w:tc>
          <w:tcPr>
            <w:tcW w:w="2126" w:type="dxa"/>
            <w:vAlign w:val="center"/>
          </w:tcPr>
          <w:p w14:paraId="7F3529B6">
            <w:pPr>
              <w:pStyle w:val="11"/>
            </w:pPr>
          </w:p>
        </w:tc>
        <w:tc>
          <w:tcPr>
            <w:tcW w:w="4535" w:type="dxa"/>
            <w:vAlign w:val="center"/>
          </w:tcPr>
          <w:p w14:paraId="47226D01">
            <w:pPr>
              <w:pStyle w:val="12"/>
            </w:pPr>
            <w:r>
              <w:t>二十七、债务还本支出</w:t>
            </w:r>
          </w:p>
        </w:tc>
        <w:tc>
          <w:tcPr>
            <w:tcW w:w="2126" w:type="dxa"/>
            <w:vAlign w:val="center"/>
          </w:tcPr>
          <w:p w14:paraId="58E88335">
            <w:pPr>
              <w:pStyle w:val="11"/>
            </w:pPr>
          </w:p>
        </w:tc>
      </w:tr>
      <w:tr w14:paraId="4062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94A5">
            <w:pPr>
              <w:pStyle w:val="13"/>
            </w:pPr>
            <w:r>
              <w:t>28</w:t>
            </w:r>
          </w:p>
        </w:tc>
        <w:tc>
          <w:tcPr>
            <w:tcW w:w="4535" w:type="dxa"/>
            <w:vAlign w:val="center"/>
          </w:tcPr>
          <w:p w14:paraId="4F688356">
            <w:pPr>
              <w:pStyle w:val="12"/>
            </w:pPr>
          </w:p>
        </w:tc>
        <w:tc>
          <w:tcPr>
            <w:tcW w:w="2126" w:type="dxa"/>
            <w:vAlign w:val="center"/>
          </w:tcPr>
          <w:p w14:paraId="377303ED">
            <w:pPr>
              <w:pStyle w:val="11"/>
            </w:pPr>
          </w:p>
        </w:tc>
        <w:tc>
          <w:tcPr>
            <w:tcW w:w="4535" w:type="dxa"/>
            <w:vAlign w:val="center"/>
          </w:tcPr>
          <w:p w14:paraId="6CD94999">
            <w:pPr>
              <w:pStyle w:val="12"/>
            </w:pPr>
            <w:r>
              <w:t>二十八、债务付息支出</w:t>
            </w:r>
          </w:p>
        </w:tc>
        <w:tc>
          <w:tcPr>
            <w:tcW w:w="2126" w:type="dxa"/>
            <w:vAlign w:val="center"/>
          </w:tcPr>
          <w:p w14:paraId="3C20E1B9">
            <w:pPr>
              <w:pStyle w:val="11"/>
            </w:pPr>
          </w:p>
        </w:tc>
      </w:tr>
      <w:tr w14:paraId="2B9D9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E71D">
            <w:pPr>
              <w:pStyle w:val="13"/>
            </w:pPr>
            <w:r>
              <w:t>29</w:t>
            </w:r>
          </w:p>
        </w:tc>
        <w:tc>
          <w:tcPr>
            <w:tcW w:w="4535" w:type="dxa"/>
            <w:vAlign w:val="center"/>
          </w:tcPr>
          <w:p w14:paraId="2E2A9A80">
            <w:pPr>
              <w:pStyle w:val="12"/>
            </w:pPr>
          </w:p>
        </w:tc>
        <w:tc>
          <w:tcPr>
            <w:tcW w:w="2126" w:type="dxa"/>
            <w:vAlign w:val="center"/>
          </w:tcPr>
          <w:p w14:paraId="21115C08">
            <w:pPr>
              <w:pStyle w:val="11"/>
            </w:pPr>
          </w:p>
        </w:tc>
        <w:tc>
          <w:tcPr>
            <w:tcW w:w="4535" w:type="dxa"/>
            <w:vAlign w:val="center"/>
          </w:tcPr>
          <w:p w14:paraId="07DB09B4">
            <w:pPr>
              <w:pStyle w:val="12"/>
            </w:pPr>
            <w:r>
              <w:t>二十九、债务发行费用支出</w:t>
            </w:r>
          </w:p>
        </w:tc>
        <w:tc>
          <w:tcPr>
            <w:tcW w:w="2126" w:type="dxa"/>
            <w:vAlign w:val="center"/>
          </w:tcPr>
          <w:p w14:paraId="37EE7CBF">
            <w:pPr>
              <w:pStyle w:val="11"/>
            </w:pPr>
          </w:p>
        </w:tc>
      </w:tr>
      <w:tr w14:paraId="3094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8483A">
            <w:pPr>
              <w:pStyle w:val="13"/>
            </w:pPr>
            <w:r>
              <w:t>30</w:t>
            </w:r>
          </w:p>
        </w:tc>
        <w:tc>
          <w:tcPr>
            <w:tcW w:w="4535" w:type="dxa"/>
            <w:vAlign w:val="center"/>
          </w:tcPr>
          <w:p w14:paraId="469C0A35">
            <w:pPr>
              <w:pStyle w:val="12"/>
            </w:pPr>
          </w:p>
        </w:tc>
        <w:tc>
          <w:tcPr>
            <w:tcW w:w="2126" w:type="dxa"/>
            <w:vAlign w:val="center"/>
          </w:tcPr>
          <w:p w14:paraId="01B85E85">
            <w:pPr>
              <w:pStyle w:val="11"/>
            </w:pPr>
          </w:p>
        </w:tc>
        <w:tc>
          <w:tcPr>
            <w:tcW w:w="4535" w:type="dxa"/>
            <w:vAlign w:val="center"/>
          </w:tcPr>
          <w:p w14:paraId="0F0CF700">
            <w:pPr>
              <w:pStyle w:val="12"/>
            </w:pPr>
            <w:r>
              <w:t>三十、抗疫特别国债安排的支出</w:t>
            </w:r>
          </w:p>
        </w:tc>
        <w:tc>
          <w:tcPr>
            <w:tcW w:w="2126" w:type="dxa"/>
            <w:vAlign w:val="center"/>
          </w:tcPr>
          <w:p w14:paraId="566B32BE">
            <w:pPr>
              <w:pStyle w:val="11"/>
            </w:pPr>
          </w:p>
        </w:tc>
      </w:tr>
      <w:tr w14:paraId="64E2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A34C">
            <w:pPr>
              <w:pStyle w:val="13"/>
            </w:pPr>
            <w:r>
              <w:t>31</w:t>
            </w:r>
          </w:p>
        </w:tc>
        <w:tc>
          <w:tcPr>
            <w:tcW w:w="4535" w:type="dxa"/>
            <w:vAlign w:val="center"/>
          </w:tcPr>
          <w:p w14:paraId="178218D2">
            <w:pPr>
              <w:pStyle w:val="14"/>
            </w:pPr>
            <w:r>
              <w:t>本年收入合计</w:t>
            </w:r>
          </w:p>
        </w:tc>
        <w:tc>
          <w:tcPr>
            <w:tcW w:w="2126" w:type="dxa"/>
            <w:vAlign w:val="center"/>
          </w:tcPr>
          <w:p w14:paraId="7564FDC8">
            <w:pPr>
              <w:pStyle w:val="15"/>
            </w:pPr>
            <w:r>
              <w:t>180.35</w:t>
            </w:r>
          </w:p>
        </w:tc>
        <w:tc>
          <w:tcPr>
            <w:tcW w:w="4535" w:type="dxa"/>
            <w:vAlign w:val="center"/>
          </w:tcPr>
          <w:p w14:paraId="38A5944B">
            <w:pPr>
              <w:pStyle w:val="14"/>
            </w:pPr>
            <w:r>
              <w:t>本年支出合计</w:t>
            </w:r>
          </w:p>
        </w:tc>
        <w:tc>
          <w:tcPr>
            <w:tcW w:w="2126" w:type="dxa"/>
            <w:vAlign w:val="center"/>
          </w:tcPr>
          <w:p w14:paraId="6EA6E928">
            <w:pPr>
              <w:pStyle w:val="15"/>
            </w:pPr>
            <w:r>
              <w:t>180.35</w:t>
            </w:r>
          </w:p>
        </w:tc>
      </w:tr>
      <w:tr w14:paraId="2275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4C179">
            <w:pPr>
              <w:pStyle w:val="13"/>
            </w:pPr>
            <w:r>
              <w:t>32</w:t>
            </w:r>
          </w:p>
        </w:tc>
        <w:tc>
          <w:tcPr>
            <w:tcW w:w="4535" w:type="dxa"/>
            <w:vAlign w:val="center"/>
          </w:tcPr>
          <w:p w14:paraId="586848F4">
            <w:pPr>
              <w:pStyle w:val="12"/>
            </w:pPr>
            <w:r>
              <w:t>上年结转结余</w:t>
            </w:r>
          </w:p>
        </w:tc>
        <w:tc>
          <w:tcPr>
            <w:tcW w:w="2126" w:type="dxa"/>
            <w:vAlign w:val="center"/>
          </w:tcPr>
          <w:p w14:paraId="6D9A146C">
            <w:pPr>
              <w:pStyle w:val="11"/>
            </w:pPr>
          </w:p>
        </w:tc>
        <w:tc>
          <w:tcPr>
            <w:tcW w:w="4535" w:type="dxa"/>
            <w:vAlign w:val="center"/>
          </w:tcPr>
          <w:p w14:paraId="3810AADE">
            <w:pPr>
              <w:pStyle w:val="12"/>
            </w:pPr>
            <w:r>
              <w:t>年终结转结余</w:t>
            </w:r>
          </w:p>
        </w:tc>
        <w:tc>
          <w:tcPr>
            <w:tcW w:w="2126" w:type="dxa"/>
            <w:vAlign w:val="center"/>
          </w:tcPr>
          <w:p w14:paraId="0FF0AC71">
            <w:pPr>
              <w:pStyle w:val="11"/>
            </w:pPr>
          </w:p>
        </w:tc>
      </w:tr>
      <w:tr w14:paraId="6DFB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86358">
            <w:pPr>
              <w:pStyle w:val="13"/>
            </w:pPr>
            <w:r>
              <w:t>33</w:t>
            </w:r>
          </w:p>
        </w:tc>
        <w:tc>
          <w:tcPr>
            <w:tcW w:w="4535" w:type="dxa"/>
            <w:vAlign w:val="center"/>
          </w:tcPr>
          <w:p w14:paraId="2C9E2834">
            <w:pPr>
              <w:pStyle w:val="14"/>
            </w:pPr>
            <w:r>
              <w:t>收入总计</w:t>
            </w:r>
          </w:p>
        </w:tc>
        <w:tc>
          <w:tcPr>
            <w:tcW w:w="2126" w:type="dxa"/>
            <w:vAlign w:val="center"/>
          </w:tcPr>
          <w:p w14:paraId="51C2A2F3">
            <w:pPr>
              <w:pStyle w:val="15"/>
            </w:pPr>
            <w:r>
              <w:t>180.35</w:t>
            </w:r>
          </w:p>
        </w:tc>
        <w:tc>
          <w:tcPr>
            <w:tcW w:w="4535" w:type="dxa"/>
            <w:vAlign w:val="center"/>
          </w:tcPr>
          <w:p w14:paraId="097082F3">
            <w:pPr>
              <w:pStyle w:val="14"/>
            </w:pPr>
            <w:r>
              <w:t>支出总计</w:t>
            </w:r>
          </w:p>
        </w:tc>
        <w:tc>
          <w:tcPr>
            <w:tcW w:w="2126" w:type="dxa"/>
            <w:vAlign w:val="center"/>
          </w:tcPr>
          <w:p w14:paraId="5EEBFD3E">
            <w:pPr>
              <w:pStyle w:val="15"/>
            </w:pPr>
            <w:r>
              <w:t>180.35</w:t>
            </w:r>
          </w:p>
        </w:tc>
      </w:tr>
    </w:tbl>
    <w:p w14:paraId="63794DB2">
      <w:pPr>
        <w:sectPr>
          <w:pgSz w:w="16840" w:h="11900" w:orient="landscape"/>
          <w:pgMar w:top="1361" w:right="1020" w:bottom="1134" w:left="1020" w:header="720" w:footer="720" w:gutter="0"/>
          <w:cols w:space="720" w:num="1"/>
        </w:sectPr>
      </w:pPr>
    </w:p>
    <w:p w14:paraId="24CD90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5D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B34D78">
            <w:pPr>
              <w:pStyle w:val="9"/>
            </w:pPr>
            <w:r>
              <w:t>360012隆尧县特殊教育学校</w:t>
            </w:r>
          </w:p>
        </w:tc>
        <w:tc>
          <w:tcPr>
            <w:tcW w:w="3402" w:type="dxa"/>
            <w:gridSpan w:val="3"/>
            <w:tcBorders>
              <w:top w:val="single" w:color="FFFFFF" w:sz="6" w:space="0"/>
              <w:left w:val="single" w:color="FFFFFF" w:sz="6" w:space="0"/>
              <w:right w:val="single" w:color="FFFFFF" w:sz="6" w:space="0"/>
            </w:tcBorders>
            <w:vAlign w:val="center"/>
          </w:tcPr>
          <w:p w14:paraId="10540B6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F63B760">
            <w:pPr>
              <w:pStyle w:val="7"/>
            </w:pPr>
            <w:r>
              <w:t>单位：万元</w:t>
            </w:r>
          </w:p>
        </w:tc>
      </w:tr>
      <w:tr w14:paraId="758F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AF450D">
            <w:pPr>
              <w:pStyle w:val="10"/>
            </w:pPr>
            <w:r>
              <w:t>序号</w:t>
            </w:r>
          </w:p>
        </w:tc>
        <w:tc>
          <w:tcPr>
            <w:tcW w:w="2551" w:type="dxa"/>
            <w:gridSpan w:val="2"/>
            <w:vAlign w:val="center"/>
          </w:tcPr>
          <w:p w14:paraId="0807A71C">
            <w:pPr>
              <w:pStyle w:val="10"/>
            </w:pPr>
            <w:r>
              <w:t>功能分类科目</w:t>
            </w:r>
          </w:p>
        </w:tc>
        <w:tc>
          <w:tcPr>
            <w:tcW w:w="1134" w:type="dxa"/>
            <w:vMerge w:val="restart"/>
            <w:vAlign w:val="center"/>
          </w:tcPr>
          <w:p w14:paraId="50EF9327">
            <w:pPr>
              <w:pStyle w:val="10"/>
            </w:pPr>
            <w:r>
              <w:t>合计</w:t>
            </w:r>
          </w:p>
        </w:tc>
        <w:tc>
          <w:tcPr>
            <w:tcW w:w="9072" w:type="dxa"/>
            <w:gridSpan w:val="8"/>
            <w:vAlign w:val="center"/>
          </w:tcPr>
          <w:p w14:paraId="642026FB">
            <w:pPr>
              <w:pStyle w:val="10"/>
            </w:pPr>
            <w:r>
              <w:t>本年收入</w:t>
            </w:r>
          </w:p>
        </w:tc>
        <w:tc>
          <w:tcPr>
            <w:tcW w:w="1134" w:type="dxa"/>
            <w:vMerge w:val="restart"/>
            <w:vAlign w:val="center"/>
          </w:tcPr>
          <w:p w14:paraId="68F0F7CF">
            <w:pPr>
              <w:pStyle w:val="10"/>
            </w:pPr>
            <w:r>
              <w:t>上年结转</w:t>
            </w:r>
          </w:p>
        </w:tc>
      </w:tr>
      <w:tr w14:paraId="2E08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92D826"/>
        </w:tc>
        <w:tc>
          <w:tcPr>
            <w:tcW w:w="992" w:type="dxa"/>
            <w:vAlign w:val="center"/>
          </w:tcPr>
          <w:p w14:paraId="53EEABB0">
            <w:pPr>
              <w:pStyle w:val="10"/>
            </w:pPr>
            <w:r>
              <w:t>科目    编码</w:t>
            </w:r>
          </w:p>
        </w:tc>
        <w:tc>
          <w:tcPr>
            <w:tcW w:w="1559" w:type="dxa"/>
            <w:vAlign w:val="center"/>
          </w:tcPr>
          <w:p w14:paraId="71BD496F">
            <w:pPr>
              <w:pStyle w:val="10"/>
            </w:pPr>
            <w:r>
              <w:t>科目名称</w:t>
            </w:r>
          </w:p>
        </w:tc>
        <w:tc>
          <w:tcPr>
            <w:tcW w:w="1134" w:type="dxa"/>
            <w:vMerge w:val="continue"/>
          </w:tcPr>
          <w:p w14:paraId="76B0BF16"/>
        </w:tc>
        <w:tc>
          <w:tcPr>
            <w:tcW w:w="1134" w:type="dxa"/>
            <w:vAlign w:val="center"/>
          </w:tcPr>
          <w:p w14:paraId="3C29A29D">
            <w:pPr>
              <w:pStyle w:val="10"/>
            </w:pPr>
            <w:r>
              <w:t>小计</w:t>
            </w:r>
          </w:p>
        </w:tc>
        <w:tc>
          <w:tcPr>
            <w:tcW w:w="1134" w:type="dxa"/>
            <w:vAlign w:val="center"/>
          </w:tcPr>
          <w:p w14:paraId="06F2BCEB">
            <w:pPr>
              <w:pStyle w:val="10"/>
            </w:pPr>
            <w:r>
              <w:t>财政拨款 收入</w:t>
            </w:r>
          </w:p>
        </w:tc>
        <w:tc>
          <w:tcPr>
            <w:tcW w:w="1134" w:type="dxa"/>
            <w:vAlign w:val="center"/>
          </w:tcPr>
          <w:p w14:paraId="09BE399E">
            <w:pPr>
              <w:pStyle w:val="10"/>
            </w:pPr>
            <w:r>
              <w:t>财政专户 收入</w:t>
            </w:r>
          </w:p>
        </w:tc>
        <w:tc>
          <w:tcPr>
            <w:tcW w:w="1134" w:type="dxa"/>
            <w:vAlign w:val="center"/>
          </w:tcPr>
          <w:p w14:paraId="0B1D1F9F">
            <w:pPr>
              <w:pStyle w:val="10"/>
            </w:pPr>
            <w:r>
              <w:t>事业收入</w:t>
            </w:r>
          </w:p>
        </w:tc>
        <w:tc>
          <w:tcPr>
            <w:tcW w:w="1134" w:type="dxa"/>
            <w:vAlign w:val="center"/>
          </w:tcPr>
          <w:p w14:paraId="01E07056">
            <w:pPr>
              <w:pStyle w:val="10"/>
            </w:pPr>
            <w:r>
              <w:t>经营收入</w:t>
            </w:r>
          </w:p>
        </w:tc>
        <w:tc>
          <w:tcPr>
            <w:tcW w:w="1134" w:type="dxa"/>
            <w:vAlign w:val="center"/>
          </w:tcPr>
          <w:p w14:paraId="605EE830">
            <w:pPr>
              <w:pStyle w:val="10"/>
            </w:pPr>
            <w:r>
              <w:t>上级补助收入</w:t>
            </w:r>
          </w:p>
        </w:tc>
        <w:tc>
          <w:tcPr>
            <w:tcW w:w="1134" w:type="dxa"/>
            <w:vAlign w:val="center"/>
          </w:tcPr>
          <w:p w14:paraId="3CBDFADD">
            <w:pPr>
              <w:pStyle w:val="10"/>
            </w:pPr>
            <w:r>
              <w:t>附属单位上缴收入</w:t>
            </w:r>
          </w:p>
        </w:tc>
        <w:tc>
          <w:tcPr>
            <w:tcW w:w="1134" w:type="dxa"/>
            <w:vAlign w:val="center"/>
          </w:tcPr>
          <w:p w14:paraId="06ADA517">
            <w:pPr>
              <w:pStyle w:val="10"/>
            </w:pPr>
            <w:r>
              <w:t>其他收入</w:t>
            </w:r>
          </w:p>
        </w:tc>
        <w:tc>
          <w:tcPr>
            <w:tcW w:w="1134" w:type="dxa"/>
            <w:vMerge w:val="continue"/>
          </w:tcPr>
          <w:p w14:paraId="087368F8"/>
        </w:tc>
      </w:tr>
      <w:tr w14:paraId="0E055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EB30F8">
            <w:pPr>
              <w:pStyle w:val="10"/>
            </w:pPr>
            <w:r>
              <w:t>栏次</w:t>
            </w:r>
          </w:p>
        </w:tc>
        <w:tc>
          <w:tcPr>
            <w:tcW w:w="992" w:type="dxa"/>
            <w:vAlign w:val="center"/>
          </w:tcPr>
          <w:p w14:paraId="0E458EE5">
            <w:pPr>
              <w:pStyle w:val="10"/>
            </w:pPr>
            <w:r>
              <w:t>1</w:t>
            </w:r>
          </w:p>
        </w:tc>
        <w:tc>
          <w:tcPr>
            <w:tcW w:w="1559" w:type="dxa"/>
            <w:vAlign w:val="center"/>
          </w:tcPr>
          <w:p w14:paraId="55955CA3">
            <w:pPr>
              <w:pStyle w:val="10"/>
            </w:pPr>
            <w:r>
              <w:t>2</w:t>
            </w:r>
          </w:p>
        </w:tc>
        <w:tc>
          <w:tcPr>
            <w:tcW w:w="1134" w:type="dxa"/>
            <w:vAlign w:val="center"/>
          </w:tcPr>
          <w:p w14:paraId="0B8FA812">
            <w:pPr>
              <w:pStyle w:val="10"/>
            </w:pPr>
            <w:r>
              <w:t>3</w:t>
            </w:r>
          </w:p>
        </w:tc>
        <w:tc>
          <w:tcPr>
            <w:tcW w:w="1134" w:type="dxa"/>
            <w:vAlign w:val="center"/>
          </w:tcPr>
          <w:p w14:paraId="7188F71A">
            <w:pPr>
              <w:pStyle w:val="10"/>
            </w:pPr>
            <w:r>
              <w:t>4</w:t>
            </w:r>
          </w:p>
        </w:tc>
        <w:tc>
          <w:tcPr>
            <w:tcW w:w="1134" w:type="dxa"/>
            <w:vAlign w:val="center"/>
          </w:tcPr>
          <w:p w14:paraId="5575CE85">
            <w:pPr>
              <w:pStyle w:val="10"/>
            </w:pPr>
            <w:r>
              <w:t>5</w:t>
            </w:r>
          </w:p>
        </w:tc>
        <w:tc>
          <w:tcPr>
            <w:tcW w:w="1134" w:type="dxa"/>
            <w:vAlign w:val="center"/>
          </w:tcPr>
          <w:p w14:paraId="0CB7062A">
            <w:pPr>
              <w:pStyle w:val="10"/>
            </w:pPr>
            <w:r>
              <w:t>6</w:t>
            </w:r>
          </w:p>
        </w:tc>
        <w:tc>
          <w:tcPr>
            <w:tcW w:w="1134" w:type="dxa"/>
            <w:vAlign w:val="center"/>
          </w:tcPr>
          <w:p w14:paraId="5168FF34">
            <w:pPr>
              <w:pStyle w:val="10"/>
            </w:pPr>
            <w:r>
              <w:t>7</w:t>
            </w:r>
          </w:p>
        </w:tc>
        <w:tc>
          <w:tcPr>
            <w:tcW w:w="1134" w:type="dxa"/>
            <w:vAlign w:val="center"/>
          </w:tcPr>
          <w:p w14:paraId="58A5D1C5">
            <w:pPr>
              <w:pStyle w:val="10"/>
            </w:pPr>
            <w:r>
              <w:t>8</w:t>
            </w:r>
          </w:p>
        </w:tc>
        <w:tc>
          <w:tcPr>
            <w:tcW w:w="1134" w:type="dxa"/>
            <w:vAlign w:val="center"/>
          </w:tcPr>
          <w:p w14:paraId="7F7FF9B0">
            <w:pPr>
              <w:pStyle w:val="10"/>
            </w:pPr>
            <w:r>
              <w:t>9</w:t>
            </w:r>
          </w:p>
        </w:tc>
        <w:tc>
          <w:tcPr>
            <w:tcW w:w="1134" w:type="dxa"/>
            <w:vAlign w:val="center"/>
          </w:tcPr>
          <w:p w14:paraId="66C6C408">
            <w:pPr>
              <w:pStyle w:val="10"/>
            </w:pPr>
            <w:r>
              <w:t>10</w:t>
            </w:r>
          </w:p>
        </w:tc>
        <w:tc>
          <w:tcPr>
            <w:tcW w:w="1134" w:type="dxa"/>
            <w:vAlign w:val="center"/>
          </w:tcPr>
          <w:p w14:paraId="1486BF62">
            <w:pPr>
              <w:pStyle w:val="10"/>
            </w:pPr>
            <w:r>
              <w:t>11</w:t>
            </w:r>
          </w:p>
        </w:tc>
        <w:tc>
          <w:tcPr>
            <w:tcW w:w="1134" w:type="dxa"/>
            <w:vAlign w:val="center"/>
          </w:tcPr>
          <w:p w14:paraId="6CC7D200">
            <w:pPr>
              <w:pStyle w:val="10"/>
            </w:pPr>
            <w:r>
              <w:t>12</w:t>
            </w:r>
          </w:p>
        </w:tc>
      </w:tr>
      <w:tr w14:paraId="1DD4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7F14A">
            <w:pPr>
              <w:pStyle w:val="13"/>
            </w:pPr>
            <w:r>
              <w:t>1</w:t>
            </w:r>
          </w:p>
        </w:tc>
        <w:tc>
          <w:tcPr>
            <w:tcW w:w="992" w:type="dxa"/>
            <w:vAlign w:val="center"/>
          </w:tcPr>
          <w:p w14:paraId="66E27098">
            <w:pPr>
              <w:pStyle w:val="16"/>
            </w:pPr>
          </w:p>
        </w:tc>
        <w:tc>
          <w:tcPr>
            <w:tcW w:w="1559" w:type="dxa"/>
            <w:vAlign w:val="center"/>
          </w:tcPr>
          <w:p w14:paraId="287FA184">
            <w:pPr>
              <w:pStyle w:val="14"/>
            </w:pPr>
            <w:r>
              <w:t>合计</w:t>
            </w:r>
          </w:p>
        </w:tc>
        <w:tc>
          <w:tcPr>
            <w:tcW w:w="1134" w:type="dxa"/>
            <w:vAlign w:val="center"/>
          </w:tcPr>
          <w:p w14:paraId="0409E1DC">
            <w:pPr>
              <w:pStyle w:val="15"/>
            </w:pPr>
            <w:r>
              <w:t>180.35</w:t>
            </w:r>
          </w:p>
        </w:tc>
        <w:tc>
          <w:tcPr>
            <w:tcW w:w="1134" w:type="dxa"/>
            <w:vAlign w:val="center"/>
          </w:tcPr>
          <w:p w14:paraId="6D2119DE">
            <w:pPr>
              <w:pStyle w:val="15"/>
            </w:pPr>
            <w:r>
              <w:t>180.35</w:t>
            </w:r>
          </w:p>
        </w:tc>
        <w:tc>
          <w:tcPr>
            <w:tcW w:w="1134" w:type="dxa"/>
            <w:vAlign w:val="center"/>
          </w:tcPr>
          <w:p w14:paraId="4A9754E6">
            <w:pPr>
              <w:pStyle w:val="15"/>
            </w:pPr>
            <w:r>
              <w:t>180.35</w:t>
            </w:r>
          </w:p>
        </w:tc>
        <w:tc>
          <w:tcPr>
            <w:tcW w:w="1134" w:type="dxa"/>
            <w:vAlign w:val="center"/>
          </w:tcPr>
          <w:p w14:paraId="54CE3681">
            <w:pPr>
              <w:pStyle w:val="15"/>
            </w:pPr>
          </w:p>
        </w:tc>
        <w:tc>
          <w:tcPr>
            <w:tcW w:w="1134" w:type="dxa"/>
            <w:vAlign w:val="center"/>
          </w:tcPr>
          <w:p w14:paraId="2F90D844">
            <w:pPr>
              <w:pStyle w:val="15"/>
            </w:pPr>
          </w:p>
        </w:tc>
        <w:tc>
          <w:tcPr>
            <w:tcW w:w="1134" w:type="dxa"/>
            <w:vAlign w:val="center"/>
          </w:tcPr>
          <w:p w14:paraId="25FE20F0">
            <w:pPr>
              <w:pStyle w:val="15"/>
            </w:pPr>
          </w:p>
        </w:tc>
        <w:tc>
          <w:tcPr>
            <w:tcW w:w="1134" w:type="dxa"/>
            <w:vAlign w:val="center"/>
          </w:tcPr>
          <w:p w14:paraId="23ADA4D1">
            <w:pPr>
              <w:pStyle w:val="15"/>
            </w:pPr>
          </w:p>
        </w:tc>
        <w:tc>
          <w:tcPr>
            <w:tcW w:w="1134" w:type="dxa"/>
            <w:vAlign w:val="center"/>
          </w:tcPr>
          <w:p w14:paraId="47E490A0">
            <w:pPr>
              <w:pStyle w:val="15"/>
            </w:pPr>
          </w:p>
        </w:tc>
        <w:tc>
          <w:tcPr>
            <w:tcW w:w="1134" w:type="dxa"/>
            <w:vAlign w:val="center"/>
          </w:tcPr>
          <w:p w14:paraId="210AF7DE">
            <w:pPr>
              <w:pStyle w:val="15"/>
            </w:pPr>
          </w:p>
        </w:tc>
        <w:tc>
          <w:tcPr>
            <w:tcW w:w="1134" w:type="dxa"/>
            <w:vAlign w:val="center"/>
          </w:tcPr>
          <w:p w14:paraId="465509B4">
            <w:pPr>
              <w:pStyle w:val="15"/>
            </w:pPr>
          </w:p>
        </w:tc>
      </w:tr>
      <w:tr w14:paraId="0E8F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8CB91">
            <w:pPr>
              <w:pStyle w:val="13"/>
            </w:pPr>
            <w:r>
              <w:t>2</w:t>
            </w:r>
          </w:p>
        </w:tc>
        <w:tc>
          <w:tcPr>
            <w:tcW w:w="992" w:type="dxa"/>
            <w:vAlign w:val="center"/>
          </w:tcPr>
          <w:p w14:paraId="2EA760D2">
            <w:pPr>
              <w:pStyle w:val="12"/>
            </w:pPr>
            <w:r>
              <w:t>205</w:t>
            </w:r>
          </w:p>
        </w:tc>
        <w:tc>
          <w:tcPr>
            <w:tcW w:w="1559" w:type="dxa"/>
            <w:vAlign w:val="center"/>
          </w:tcPr>
          <w:p w14:paraId="075E0932">
            <w:pPr>
              <w:pStyle w:val="12"/>
            </w:pPr>
            <w:r>
              <w:t>教育支出</w:t>
            </w:r>
          </w:p>
        </w:tc>
        <w:tc>
          <w:tcPr>
            <w:tcW w:w="1134" w:type="dxa"/>
            <w:vAlign w:val="center"/>
          </w:tcPr>
          <w:p w14:paraId="5DAB420B">
            <w:pPr>
              <w:pStyle w:val="11"/>
            </w:pPr>
            <w:r>
              <w:t>180.35</w:t>
            </w:r>
          </w:p>
        </w:tc>
        <w:tc>
          <w:tcPr>
            <w:tcW w:w="1134" w:type="dxa"/>
            <w:vAlign w:val="center"/>
          </w:tcPr>
          <w:p w14:paraId="3C9E3FC7">
            <w:pPr>
              <w:pStyle w:val="11"/>
            </w:pPr>
            <w:r>
              <w:t>180.35</w:t>
            </w:r>
          </w:p>
        </w:tc>
        <w:tc>
          <w:tcPr>
            <w:tcW w:w="1134" w:type="dxa"/>
            <w:vAlign w:val="center"/>
          </w:tcPr>
          <w:p w14:paraId="690D4967">
            <w:pPr>
              <w:pStyle w:val="11"/>
            </w:pPr>
            <w:r>
              <w:t>180.35</w:t>
            </w:r>
          </w:p>
        </w:tc>
        <w:tc>
          <w:tcPr>
            <w:tcW w:w="1134" w:type="dxa"/>
            <w:vAlign w:val="center"/>
          </w:tcPr>
          <w:p w14:paraId="143A7005">
            <w:pPr>
              <w:pStyle w:val="11"/>
            </w:pPr>
          </w:p>
        </w:tc>
        <w:tc>
          <w:tcPr>
            <w:tcW w:w="1134" w:type="dxa"/>
            <w:vAlign w:val="center"/>
          </w:tcPr>
          <w:p w14:paraId="4FDDD8BE">
            <w:pPr>
              <w:pStyle w:val="11"/>
            </w:pPr>
          </w:p>
        </w:tc>
        <w:tc>
          <w:tcPr>
            <w:tcW w:w="1134" w:type="dxa"/>
            <w:vAlign w:val="center"/>
          </w:tcPr>
          <w:p w14:paraId="588360D7">
            <w:pPr>
              <w:pStyle w:val="11"/>
            </w:pPr>
          </w:p>
        </w:tc>
        <w:tc>
          <w:tcPr>
            <w:tcW w:w="1134" w:type="dxa"/>
            <w:vAlign w:val="center"/>
          </w:tcPr>
          <w:p w14:paraId="2E9CE310">
            <w:pPr>
              <w:pStyle w:val="11"/>
            </w:pPr>
          </w:p>
        </w:tc>
        <w:tc>
          <w:tcPr>
            <w:tcW w:w="1134" w:type="dxa"/>
            <w:vAlign w:val="center"/>
          </w:tcPr>
          <w:p w14:paraId="7E07542C">
            <w:pPr>
              <w:pStyle w:val="11"/>
            </w:pPr>
          </w:p>
        </w:tc>
        <w:tc>
          <w:tcPr>
            <w:tcW w:w="1134" w:type="dxa"/>
            <w:vAlign w:val="center"/>
          </w:tcPr>
          <w:p w14:paraId="2FA3125A">
            <w:pPr>
              <w:pStyle w:val="11"/>
            </w:pPr>
          </w:p>
        </w:tc>
        <w:tc>
          <w:tcPr>
            <w:tcW w:w="1134" w:type="dxa"/>
            <w:vAlign w:val="center"/>
          </w:tcPr>
          <w:p w14:paraId="5EBAB366">
            <w:pPr>
              <w:pStyle w:val="11"/>
            </w:pPr>
          </w:p>
        </w:tc>
      </w:tr>
      <w:tr w14:paraId="3076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5D083">
            <w:pPr>
              <w:pStyle w:val="13"/>
            </w:pPr>
            <w:r>
              <w:t>3</w:t>
            </w:r>
          </w:p>
        </w:tc>
        <w:tc>
          <w:tcPr>
            <w:tcW w:w="992" w:type="dxa"/>
            <w:vAlign w:val="center"/>
          </w:tcPr>
          <w:p w14:paraId="656B145C">
            <w:pPr>
              <w:pStyle w:val="12"/>
            </w:pPr>
            <w:r>
              <w:t>20507</w:t>
            </w:r>
          </w:p>
        </w:tc>
        <w:tc>
          <w:tcPr>
            <w:tcW w:w="1559" w:type="dxa"/>
            <w:vAlign w:val="center"/>
          </w:tcPr>
          <w:p w14:paraId="0C52711E">
            <w:pPr>
              <w:pStyle w:val="12"/>
            </w:pPr>
            <w:r>
              <w:t>特殊教育</w:t>
            </w:r>
          </w:p>
        </w:tc>
        <w:tc>
          <w:tcPr>
            <w:tcW w:w="1134" w:type="dxa"/>
            <w:vAlign w:val="center"/>
          </w:tcPr>
          <w:p w14:paraId="541F5245">
            <w:pPr>
              <w:pStyle w:val="11"/>
            </w:pPr>
            <w:r>
              <w:t>180.35</w:t>
            </w:r>
          </w:p>
        </w:tc>
        <w:tc>
          <w:tcPr>
            <w:tcW w:w="1134" w:type="dxa"/>
            <w:vAlign w:val="center"/>
          </w:tcPr>
          <w:p w14:paraId="1F7C923D">
            <w:pPr>
              <w:pStyle w:val="11"/>
            </w:pPr>
            <w:r>
              <w:t>180.35</w:t>
            </w:r>
          </w:p>
        </w:tc>
        <w:tc>
          <w:tcPr>
            <w:tcW w:w="1134" w:type="dxa"/>
            <w:vAlign w:val="center"/>
          </w:tcPr>
          <w:p w14:paraId="4FFC0A0F">
            <w:pPr>
              <w:pStyle w:val="11"/>
            </w:pPr>
            <w:r>
              <w:t>180.35</w:t>
            </w:r>
          </w:p>
        </w:tc>
        <w:tc>
          <w:tcPr>
            <w:tcW w:w="1134" w:type="dxa"/>
            <w:vAlign w:val="center"/>
          </w:tcPr>
          <w:p w14:paraId="5197495A">
            <w:pPr>
              <w:pStyle w:val="11"/>
            </w:pPr>
          </w:p>
        </w:tc>
        <w:tc>
          <w:tcPr>
            <w:tcW w:w="1134" w:type="dxa"/>
            <w:vAlign w:val="center"/>
          </w:tcPr>
          <w:p w14:paraId="5B1738D1">
            <w:pPr>
              <w:pStyle w:val="11"/>
            </w:pPr>
          </w:p>
        </w:tc>
        <w:tc>
          <w:tcPr>
            <w:tcW w:w="1134" w:type="dxa"/>
            <w:vAlign w:val="center"/>
          </w:tcPr>
          <w:p w14:paraId="151CDFFC">
            <w:pPr>
              <w:pStyle w:val="11"/>
            </w:pPr>
          </w:p>
        </w:tc>
        <w:tc>
          <w:tcPr>
            <w:tcW w:w="1134" w:type="dxa"/>
            <w:vAlign w:val="center"/>
          </w:tcPr>
          <w:p w14:paraId="21180D85">
            <w:pPr>
              <w:pStyle w:val="11"/>
            </w:pPr>
          </w:p>
        </w:tc>
        <w:tc>
          <w:tcPr>
            <w:tcW w:w="1134" w:type="dxa"/>
            <w:vAlign w:val="center"/>
          </w:tcPr>
          <w:p w14:paraId="13BF2498">
            <w:pPr>
              <w:pStyle w:val="11"/>
            </w:pPr>
          </w:p>
        </w:tc>
        <w:tc>
          <w:tcPr>
            <w:tcW w:w="1134" w:type="dxa"/>
            <w:vAlign w:val="center"/>
          </w:tcPr>
          <w:p w14:paraId="752C4ADA">
            <w:pPr>
              <w:pStyle w:val="11"/>
            </w:pPr>
          </w:p>
        </w:tc>
        <w:tc>
          <w:tcPr>
            <w:tcW w:w="1134" w:type="dxa"/>
            <w:vAlign w:val="center"/>
          </w:tcPr>
          <w:p w14:paraId="18F86609">
            <w:pPr>
              <w:pStyle w:val="11"/>
            </w:pPr>
          </w:p>
        </w:tc>
      </w:tr>
      <w:tr w14:paraId="5FDA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6213A">
            <w:pPr>
              <w:pStyle w:val="13"/>
            </w:pPr>
            <w:r>
              <w:t>4</w:t>
            </w:r>
          </w:p>
        </w:tc>
        <w:tc>
          <w:tcPr>
            <w:tcW w:w="992" w:type="dxa"/>
            <w:vAlign w:val="center"/>
          </w:tcPr>
          <w:p w14:paraId="7510ED5B">
            <w:pPr>
              <w:pStyle w:val="12"/>
            </w:pPr>
            <w:r>
              <w:t>2050701</w:t>
            </w:r>
          </w:p>
        </w:tc>
        <w:tc>
          <w:tcPr>
            <w:tcW w:w="1559" w:type="dxa"/>
            <w:vAlign w:val="center"/>
          </w:tcPr>
          <w:p w14:paraId="250E29D8">
            <w:pPr>
              <w:pStyle w:val="12"/>
            </w:pPr>
            <w:r>
              <w:t>特殊学校教育</w:t>
            </w:r>
          </w:p>
        </w:tc>
        <w:tc>
          <w:tcPr>
            <w:tcW w:w="1134" w:type="dxa"/>
            <w:vAlign w:val="center"/>
          </w:tcPr>
          <w:p w14:paraId="2E67526C">
            <w:pPr>
              <w:pStyle w:val="11"/>
            </w:pPr>
            <w:r>
              <w:t>180.35</w:t>
            </w:r>
          </w:p>
        </w:tc>
        <w:tc>
          <w:tcPr>
            <w:tcW w:w="1134" w:type="dxa"/>
            <w:vAlign w:val="center"/>
          </w:tcPr>
          <w:p w14:paraId="1B311C75">
            <w:pPr>
              <w:pStyle w:val="11"/>
            </w:pPr>
            <w:r>
              <w:t>180.35</w:t>
            </w:r>
          </w:p>
        </w:tc>
        <w:tc>
          <w:tcPr>
            <w:tcW w:w="1134" w:type="dxa"/>
            <w:vAlign w:val="center"/>
          </w:tcPr>
          <w:p w14:paraId="2DB82951">
            <w:pPr>
              <w:pStyle w:val="11"/>
            </w:pPr>
            <w:r>
              <w:t>180.35</w:t>
            </w:r>
          </w:p>
        </w:tc>
        <w:tc>
          <w:tcPr>
            <w:tcW w:w="1134" w:type="dxa"/>
            <w:vAlign w:val="center"/>
          </w:tcPr>
          <w:p w14:paraId="31DF48D4">
            <w:pPr>
              <w:pStyle w:val="11"/>
            </w:pPr>
          </w:p>
        </w:tc>
        <w:tc>
          <w:tcPr>
            <w:tcW w:w="1134" w:type="dxa"/>
            <w:vAlign w:val="center"/>
          </w:tcPr>
          <w:p w14:paraId="0206EADA">
            <w:pPr>
              <w:pStyle w:val="11"/>
            </w:pPr>
          </w:p>
        </w:tc>
        <w:tc>
          <w:tcPr>
            <w:tcW w:w="1134" w:type="dxa"/>
            <w:vAlign w:val="center"/>
          </w:tcPr>
          <w:p w14:paraId="29AA9E03">
            <w:pPr>
              <w:pStyle w:val="11"/>
            </w:pPr>
          </w:p>
        </w:tc>
        <w:tc>
          <w:tcPr>
            <w:tcW w:w="1134" w:type="dxa"/>
            <w:vAlign w:val="center"/>
          </w:tcPr>
          <w:p w14:paraId="64EA35E5">
            <w:pPr>
              <w:pStyle w:val="11"/>
            </w:pPr>
          </w:p>
        </w:tc>
        <w:tc>
          <w:tcPr>
            <w:tcW w:w="1134" w:type="dxa"/>
            <w:vAlign w:val="center"/>
          </w:tcPr>
          <w:p w14:paraId="102A9F08">
            <w:pPr>
              <w:pStyle w:val="11"/>
            </w:pPr>
          </w:p>
        </w:tc>
        <w:tc>
          <w:tcPr>
            <w:tcW w:w="1134" w:type="dxa"/>
            <w:vAlign w:val="center"/>
          </w:tcPr>
          <w:p w14:paraId="462FE846">
            <w:pPr>
              <w:pStyle w:val="11"/>
            </w:pPr>
          </w:p>
        </w:tc>
        <w:tc>
          <w:tcPr>
            <w:tcW w:w="1134" w:type="dxa"/>
            <w:vAlign w:val="center"/>
          </w:tcPr>
          <w:p w14:paraId="75D3D889">
            <w:pPr>
              <w:pStyle w:val="11"/>
            </w:pPr>
          </w:p>
        </w:tc>
      </w:tr>
    </w:tbl>
    <w:p w14:paraId="01CC2C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1A9B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31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B0F557">
            <w:pPr>
              <w:pStyle w:val="9"/>
            </w:pPr>
            <w:r>
              <w:t>360012隆尧县特殊教育学校</w:t>
            </w:r>
          </w:p>
        </w:tc>
        <w:tc>
          <w:tcPr>
            <w:tcW w:w="2722" w:type="dxa"/>
            <w:gridSpan w:val="2"/>
            <w:tcBorders>
              <w:top w:val="single" w:color="FFFFFF" w:sz="6" w:space="0"/>
              <w:left w:val="single" w:color="FFFFFF" w:sz="6" w:space="0"/>
              <w:right w:val="single" w:color="FFFFFF" w:sz="6" w:space="0"/>
            </w:tcBorders>
            <w:vAlign w:val="center"/>
          </w:tcPr>
          <w:p w14:paraId="24A7296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4B5386C">
            <w:pPr>
              <w:pStyle w:val="7"/>
            </w:pPr>
            <w:r>
              <w:t>单位：万元</w:t>
            </w:r>
          </w:p>
        </w:tc>
      </w:tr>
      <w:tr w14:paraId="42AD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34BA2">
            <w:pPr>
              <w:pStyle w:val="10"/>
            </w:pPr>
            <w:r>
              <w:t>序号</w:t>
            </w:r>
          </w:p>
        </w:tc>
        <w:tc>
          <w:tcPr>
            <w:tcW w:w="5527" w:type="dxa"/>
            <w:gridSpan w:val="2"/>
            <w:vAlign w:val="center"/>
          </w:tcPr>
          <w:p w14:paraId="3DA15970">
            <w:pPr>
              <w:pStyle w:val="10"/>
            </w:pPr>
            <w:r>
              <w:t>功能分类科目</w:t>
            </w:r>
          </w:p>
        </w:tc>
        <w:tc>
          <w:tcPr>
            <w:tcW w:w="1361" w:type="dxa"/>
            <w:vMerge w:val="restart"/>
            <w:vAlign w:val="center"/>
          </w:tcPr>
          <w:p w14:paraId="66A733DA">
            <w:pPr>
              <w:pStyle w:val="10"/>
            </w:pPr>
            <w:r>
              <w:t>合计</w:t>
            </w:r>
          </w:p>
        </w:tc>
        <w:tc>
          <w:tcPr>
            <w:tcW w:w="1361" w:type="dxa"/>
            <w:vMerge w:val="restart"/>
            <w:vAlign w:val="center"/>
          </w:tcPr>
          <w:p w14:paraId="2FBE7598">
            <w:pPr>
              <w:pStyle w:val="10"/>
            </w:pPr>
            <w:r>
              <w:t>基本支出</w:t>
            </w:r>
          </w:p>
        </w:tc>
        <w:tc>
          <w:tcPr>
            <w:tcW w:w="1361" w:type="dxa"/>
            <w:vMerge w:val="restart"/>
            <w:vAlign w:val="center"/>
          </w:tcPr>
          <w:p w14:paraId="20C631F6">
            <w:pPr>
              <w:pStyle w:val="10"/>
            </w:pPr>
            <w:r>
              <w:t>项目支出</w:t>
            </w:r>
          </w:p>
        </w:tc>
        <w:tc>
          <w:tcPr>
            <w:tcW w:w="1361" w:type="dxa"/>
            <w:vMerge w:val="restart"/>
            <w:vAlign w:val="center"/>
          </w:tcPr>
          <w:p w14:paraId="10BF4A3E">
            <w:pPr>
              <w:pStyle w:val="10"/>
            </w:pPr>
            <w:r>
              <w:t>经营支出</w:t>
            </w:r>
          </w:p>
        </w:tc>
        <w:tc>
          <w:tcPr>
            <w:tcW w:w="1361" w:type="dxa"/>
            <w:vMerge w:val="restart"/>
            <w:vAlign w:val="center"/>
          </w:tcPr>
          <w:p w14:paraId="29D8A915">
            <w:pPr>
              <w:pStyle w:val="10"/>
            </w:pPr>
            <w:r>
              <w:t>上解上级     支出</w:t>
            </w:r>
          </w:p>
        </w:tc>
        <w:tc>
          <w:tcPr>
            <w:tcW w:w="1361" w:type="dxa"/>
            <w:vMerge w:val="restart"/>
            <w:vAlign w:val="center"/>
          </w:tcPr>
          <w:p w14:paraId="72716D38">
            <w:pPr>
              <w:pStyle w:val="10"/>
            </w:pPr>
            <w:r>
              <w:t>对附属单位补助支出</w:t>
            </w:r>
          </w:p>
        </w:tc>
      </w:tr>
      <w:tr w14:paraId="32C4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80854"/>
        </w:tc>
        <w:tc>
          <w:tcPr>
            <w:tcW w:w="992" w:type="dxa"/>
            <w:vAlign w:val="center"/>
          </w:tcPr>
          <w:p w14:paraId="318EEB86">
            <w:pPr>
              <w:pStyle w:val="10"/>
            </w:pPr>
            <w:r>
              <w:t>科目    编码</w:t>
            </w:r>
          </w:p>
        </w:tc>
        <w:tc>
          <w:tcPr>
            <w:tcW w:w="4535" w:type="dxa"/>
            <w:vAlign w:val="center"/>
          </w:tcPr>
          <w:p w14:paraId="6F936680">
            <w:pPr>
              <w:pStyle w:val="10"/>
            </w:pPr>
            <w:r>
              <w:t>科目名称</w:t>
            </w:r>
          </w:p>
        </w:tc>
        <w:tc>
          <w:tcPr>
            <w:tcW w:w="1361" w:type="dxa"/>
            <w:vMerge w:val="continue"/>
          </w:tcPr>
          <w:p w14:paraId="340634D6"/>
        </w:tc>
        <w:tc>
          <w:tcPr>
            <w:tcW w:w="1361" w:type="dxa"/>
            <w:vMerge w:val="continue"/>
          </w:tcPr>
          <w:p w14:paraId="4BE6E31C"/>
        </w:tc>
        <w:tc>
          <w:tcPr>
            <w:tcW w:w="1361" w:type="dxa"/>
            <w:vMerge w:val="continue"/>
          </w:tcPr>
          <w:p w14:paraId="4C0A34E0"/>
        </w:tc>
        <w:tc>
          <w:tcPr>
            <w:tcW w:w="1361" w:type="dxa"/>
            <w:vMerge w:val="continue"/>
          </w:tcPr>
          <w:p w14:paraId="34F63E6A"/>
        </w:tc>
        <w:tc>
          <w:tcPr>
            <w:tcW w:w="1361" w:type="dxa"/>
            <w:vMerge w:val="continue"/>
          </w:tcPr>
          <w:p w14:paraId="7D6CEE7D"/>
        </w:tc>
        <w:tc>
          <w:tcPr>
            <w:tcW w:w="1361" w:type="dxa"/>
            <w:vMerge w:val="continue"/>
          </w:tcPr>
          <w:p w14:paraId="0093C10F"/>
        </w:tc>
      </w:tr>
      <w:tr w14:paraId="0B30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7CB9A">
            <w:pPr>
              <w:pStyle w:val="10"/>
            </w:pPr>
            <w:r>
              <w:t>栏次</w:t>
            </w:r>
          </w:p>
        </w:tc>
        <w:tc>
          <w:tcPr>
            <w:tcW w:w="992" w:type="dxa"/>
            <w:vAlign w:val="center"/>
          </w:tcPr>
          <w:p w14:paraId="34B98B79">
            <w:pPr>
              <w:pStyle w:val="10"/>
            </w:pPr>
            <w:r>
              <w:t>1</w:t>
            </w:r>
          </w:p>
        </w:tc>
        <w:tc>
          <w:tcPr>
            <w:tcW w:w="4535" w:type="dxa"/>
            <w:vAlign w:val="center"/>
          </w:tcPr>
          <w:p w14:paraId="4CE139BE">
            <w:pPr>
              <w:pStyle w:val="10"/>
            </w:pPr>
            <w:r>
              <w:t>2</w:t>
            </w:r>
          </w:p>
        </w:tc>
        <w:tc>
          <w:tcPr>
            <w:tcW w:w="1361" w:type="dxa"/>
            <w:vAlign w:val="center"/>
          </w:tcPr>
          <w:p w14:paraId="7CD31F5D">
            <w:pPr>
              <w:pStyle w:val="10"/>
            </w:pPr>
            <w:r>
              <w:t>3</w:t>
            </w:r>
          </w:p>
        </w:tc>
        <w:tc>
          <w:tcPr>
            <w:tcW w:w="1361" w:type="dxa"/>
            <w:vAlign w:val="center"/>
          </w:tcPr>
          <w:p w14:paraId="59BDCF5B">
            <w:pPr>
              <w:pStyle w:val="10"/>
            </w:pPr>
            <w:r>
              <w:t>4</w:t>
            </w:r>
          </w:p>
        </w:tc>
        <w:tc>
          <w:tcPr>
            <w:tcW w:w="1361" w:type="dxa"/>
            <w:vAlign w:val="center"/>
          </w:tcPr>
          <w:p w14:paraId="49722739">
            <w:pPr>
              <w:pStyle w:val="10"/>
            </w:pPr>
            <w:r>
              <w:t>5</w:t>
            </w:r>
          </w:p>
        </w:tc>
        <w:tc>
          <w:tcPr>
            <w:tcW w:w="1361" w:type="dxa"/>
            <w:vAlign w:val="center"/>
          </w:tcPr>
          <w:p w14:paraId="14C708B8">
            <w:pPr>
              <w:pStyle w:val="10"/>
            </w:pPr>
            <w:r>
              <w:t>6</w:t>
            </w:r>
          </w:p>
        </w:tc>
        <w:tc>
          <w:tcPr>
            <w:tcW w:w="1361" w:type="dxa"/>
            <w:vAlign w:val="center"/>
          </w:tcPr>
          <w:p w14:paraId="1848CC50">
            <w:pPr>
              <w:pStyle w:val="10"/>
            </w:pPr>
            <w:r>
              <w:t>7</w:t>
            </w:r>
          </w:p>
        </w:tc>
        <w:tc>
          <w:tcPr>
            <w:tcW w:w="1361" w:type="dxa"/>
            <w:vAlign w:val="center"/>
          </w:tcPr>
          <w:p w14:paraId="31B7B932">
            <w:pPr>
              <w:pStyle w:val="10"/>
            </w:pPr>
            <w:r>
              <w:t>8</w:t>
            </w:r>
          </w:p>
        </w:tc>
      </w:tr>
      <w:tr w14:paraId="4461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9F32A">
            <w:pPr>
              <w:pStyle w:val="13"/>
            </w:pPr>
            <w:r>
              <w:t>1</w:t>
            </w:r>
          </w:p>
        </w:tc>
        <w:tc>
          <w:tcPr>
            <w:tcW w:w="992" w:type="dxa"/>
            <w:vAlign w:val="center"/>
          </w:tcPr>
          <w:p w14:paraId="01D1F695">
            <w:pPr>
              <w:pStyle w:val="16"/>
            </w:pPr>
          </w:p>
        </w:tc>
        <w:tc>
          <w:tcPr>
            <w:tcW w:w="4535" w:type="dxa"/>
            <w:vAlign w:val="center"/>
          </w:tcPr>
          <w:p w14:paraId="7628DEDD">
            <w:pPr>
              <w:pStyle w:val="14"/>
            </w:pPr>
            <w:r>
              <w:t>合计</w:t>
            </w:r>
          </w:p>
        </w:tc>
        <w:tc>
          <w:tcPr>
            <w:tcW w:w="1361" w:type="dxa"/>
            <w:vAlign w:val="center"/>
          </w:tcPr>
          <w:p w14:paraId="37FE4A86">
            <w:pPr>
              <w:pStyle w:val="15"/>
            </w:pPr>
            <w:r>
              <w:t>180.35</w:t>
            </w:r>
          </w:p>
        </w:tc>
        <w:tc>
          <w:tcPr>
            <w:tcW w:w="1361" w:type="dxa"/>
            <w:vAlign w:val="center"/>
          </w:tcPr>
          <w:p w14:paraId="3AECC09F">
            <w:pPr>
              <w:pStyle w:val="15"/>
            </w:pPr>
            <w:r>
              <w:t>102.35</w:t>
            </w:r>
          </w:p>
        </w:tc>
        <w:tc>
          <w:tcPr>
            <w:tcW w:w="1361" w:type="dxa"/>
            <w:vAlign w:val="center"/>
          </w:tcPr>
          <w:p w14:paraId="59F6CBA2">
            <w:pPr>
              <w:pStyle w:val="15"/>
            </w:pPr>
            <w:r>
              <w:t>78.00</w:t>
            </w:r>
          </w:p>
        </w:tc>
        <w:tc>
          <w:tcPr>
            <w:tcW w:w="1361" w:type="dxa"/>
            <w:vAlign w:val="center"/>
          </w:tcPr>
          <w:p w14:paraId="1CFCC5D0">
            <w:pPr>
              <w:pStyle w:val="15"/>
            </w:pPr>
          </w:p>
        </w:tc>
        <w:tc>
          <w:tcPr>
            <w:tcW w:w="1361" w:type="dxa"/>
            <w:vAlign w:val="center"/>
          </w:tcPr>
          <w:p w14:paraId="7EBB5C96">
            <w:pPr>
              <w:pStyle w:val="15"/>
            </w:pPr>
          </w:p>
        </w:tc>
        <w:tc>
          <w:tcPr>
            <w:tcW w:w="1361" w:type="dxa"/>
            <w:vAlign w:val="center"/>
          </w:tcPr>
          <w:p w14:paraId="0076607C">
            <w:pPr>
              <w:pStyle w:val="15"/>
            </w:pPr>
          </w:p>
        </w:tc>
      </w:tr>
      <w:tr w14:paraId="661E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DCEC7">
            <w:pPr>
              <w:pStyle w:val="13"/>
            </w:pPr>
            <w:r>
              <w:t>2</w:t>
            </w:r>
          </w:p>
        </w:tc>
        <w:tc>
          <w:tcPr>
            <w:tcW w:w="992" w:type="dxa"/>
            <w:vAlign w:val="center"/>
          </w:tcPr>
          <w:p w14:paraId="6CD687A2">
            <w:pPr>
              <w:pStyle w:val="12"/>
            </w:pPr>
            <w:r>
              <w:t>205</w:t>
            </w:r>
          </w:p>
        </w:tc>
        <w:tc>
          <w:tcPr>
            <w:tcW w:w="4535" w:type="dxa"/>
            <w:vAlign w:val="center"/>
          </w:tcPr>
          <w:p w14:paraId="7405093C">
            <w:pPr>
              <w:pStyle w:val="12"/>
            </w:pPr>
            <w:r>
              <w:t>教育支出</w:t>
            </w:r>
          </w:p>
        </w:tc>
        <w:tc>
          <w:tcPr>
            <w:tcW w:w="1361" w:type="dxa"/>
            <w:vAlign w:val="center"/>
          </w:tcPr>
          <w:p w14:paraId="49E0D916">
            <w:pPr>
              <w:pStyle w:val="11"/>
            </w:pPr>
            <w:r>
              <w:t>180.35</w:t>
            </w:r>
          </w:p>
        </w:tc>
        <w:tc>
          <w:tcPr>
            <w:tcW w:w="1361" w:type="dxa"/>
            <w:vAlign w:val="center"/>
          </w:tcPr>
          <w:p w14:paraId="3562A8FF">
            <w:pPr>
              <w:pStyle w:val="11"/>
            </w:pPr>
            <w:r>
              <w:t>102.35</w:t>
            </w:r>
          </w:p>
        </w:tc>
        <w:tc>
          <w:tcPr>
            <w:tcW w:w="1361" w:type="dxa"/>
            <w:vAlign w:val="center"/>
          </w:tcPr>
          <w:p w14:paraId="224656FE">
            <w:pPr>
              <w:pStyle w:val="11"/>
            </w:pPr>
            <w:r>
              <w:t>78.00</w:t>
            </w:r>
          </w:p>
        </w:tc>
        <w:tc>
          <w:tcPr>
            <w:tcW w:w="1361" w:type="dxa"/>
            <w:vAlign w:val="center"/>
          </w:tcPr>
          <w:p w14:paraId="4A214774">
            <w:pPr>
              <w:pStyle w:val="11"/>
            </w:pPr>
          </w:p>
        </w:tc>
        <w:tc>
          <w:tcPr>
            <w:tcW w:w="1361" w:type="dxa"/>
            <w:vAlign w:val="center"/>
          </w:tcPr>
          <w:p w14:paraId="6BB15D93">
            <w:pPr>
              <w:pStyle w:val="11"/>
            </w:pPr>
          </w:p>
        </w:tc>
        <w:tc>
          <w:tcPr>
            <w:tcW w:w="1361" w:type="dxa"/>
            <w:vAlign w:val="center"/>
          </w:tcPr>
          <w:p w14:paraId="4F0F49D0">
            <w:pPr>
              <w:pStyle w:val="11"/>
            </w:pPr>
          </w:p>
        </w:tc>
      </w:tr>
      <w:tr w14:paraId="766E3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95D1">
            <w:pPr>
              <w:pStyle w:val="13"/>
            </w:pPr>
            <w:r>
              <w:t>3</w:t>
            </w:r>
          </w:p>
        </w:tc>
        <w:tc>
          <w:tcPr>
            <w:tcW w:w="992" w:type="dxa"/>
            <w:vAlign w:val="center"/>
          </w:tcPr>
          <w:p w14:paraId="02EA2028">
            <w:pPr>
              <w:pStyle w:val="12"/>
            </w:pPr>
            <w:r>
              <w:t>20507</w:t>
            </w:r>
          </w:p>
        </w:tc>
        <w:tc>
          <w:tcPr>
            <w:tcW w:w="4535" w:type="dxa"/>
            <w:vAlign w:val="center"/>
          </w:tcPr>
          <w:p w14:paraId="50434425">
            <w:pPr>
              <w:pStyle w:val="12"/>
            </w:pPr>
            <w:r>
              <w:t>特殊教育</w:t>
            </w:r>
          </w:p>
        </w:tc>
        <w:tc>
          <w:tcPr>
            <w:tcW w:w="1361" w:type="dxa"/>
            <w:vAlign w:val="center"/>
          </w:tcPr>
          <w:p w14:paraId="06C4ADB4">
            <w:pPr>
              <w:pStyle w:val="11"/>
            </w:pPr>
            <w:r>
              <w:t>180.35</w:t>
            </w:r>
          </w:p>
        </w:tc>
        <w:tc>
          <w:tcPr>
            <w:tcW w:w="1361" w:type="dxa"/>
            <w:vAlign w:val="center"/>
          </w:tcPr>
          <w:p w14:paraId="3B6CD219">
            <w:pPr>
              <w:pStyle w:val="11"/>
            </w:pPr>
            <w:r>
              <w:t>102.35</w:t>
            </w:r>
          </w:p>
        </w:tc>
        <w:tc>
          <w:tcPr>
            <w:tcW w:w="1361" w:type="dxa"/>
            <w:vAlign w:val="center"/>
          </w:tcPr>
          <w:p w14:paraId="52619863">
            <w:pPr>
              <w:pStyle w:val="11"/>
            </w:pPr>
            <w:r>
              <w:t>78.00</w:t>
            </w:r>
          </w:p>
        </w:tc>
        <w:tc>
          <w:tcPr>
            <w:tcW w:w="1361" w:type="dxa"/>
            <w:vAlign w:val="center"/>
          </w:tcPr>
          <w:p w14:paraId="025CB7DE">
            <w:pPr>
              <w:pStyle w:val="11"/>
            </w:pPr>
          </w:p>
        </w:tc>
        <w:tc>
          <w:tcPr>
            <w:tcW w:w="1361" w:type="dxa"/>
            <w:vAlign w:val="center"/>
          </w:tcPr>
          <w:p w14:paraId="0A2D5148">
            <w:pPr>
              <w:pStyle w:val="11"/>
            </w:pPr>
          </w:p>
        </w:tc>
        <w:tc>
          <w:tcPr>
            <w:tcW w:w="1361" w:type="dxa"/>
            <w:vAlign w:val="center"/>
          </w:tcPr>
          <w:p w14:paraId="1EC9B238">
            <w:pPr>
              <w:pStyle w:val="11"/>
            </w:pPr>
          </w:p>
        </w:tc>
      </w:tr>
      <w:tr w14:paraId="417B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B1456">
            <w:pPr>
              <w:pStyle w:val="13"/>
            </w:pPr>
            <w:r>
              <w:t>4</w:t>
            </w:r>
          </w:p>
        </w:tc>
        <w:tc>
          <w:tcPr>
            <w:tcW w:w="992" w:type="dxa"/>
            <w:vAlign w:val="center"/>
          </w:tcPr>
          <w:p w14:paraId="3572674A">
            <w:pPr>
              <w:pStyle w:val="12"/>
            </w:pPr>
            <w:r>
              <w:t>2050701</w:t>
            </w:r>
          </w:p>
        </w:tc>
        <w:tc>
          <w:tcPr>
            <w:tcW w:w="4535" w:type="dxa"/>
            <w:vAlign w:val="center"/>
          </w:tcPr>
          <w:p w14:paraId="5B8AFED5">
            <w:pPr>
              <w:pStyle w:val="12"/>
            </w:pPr>
            <w:r>
              <w:t>特殊学校教育</w:t>
            </w:r>
          </w:p>
        </w:tc>
        <w:tc>
          <w:tcPr>
            <w:tcW w:w="1361" w:type="dxa"/>
            <w:vAlign w:val="center"/>
          </w:tcPr>
          <w:p w14:paraId="2C2CE44B">
            <w:pPr>
              <w:pStyle w:val="11"/>
            </w:pPr>
            <w:r>
              <w:t>180.35</w:t>
            </w:r>
          </w:p>
        </w:tc>
        <w:tc>
          <w:tcPr>
            <w:tcW w:w="1361" w:type="dxa"/>
            <w:vAlign w:val="center"/>
          </w:tcPr>
          <w:p w14:paraId="025F1B45">
            <w:pPr>
              <w:pStyle w:val="11"/>
            </w:pPr>
            <w:r>
              <w:t>102.35</w:t>
            </w:r>
          </w:p>
        </w:tc>
        <w:tc>
          <w:tcPr>
            <w:tcW w:w="1361" w:type="dxa"/>
            <w:vAlign w:val="center"/>
          </w:tcPr>
          <w:p w14:paraId="504C35E0">
            <w:pPr>
              <w:pStyle w:val="11"/>
            </w:pPr>
            <w:r>
              <w:t>78.00</w:t>
            </w:r>
          </w:p>
        </w:tc>
        <w:tc>
          <w:tcPr>
            <w:tcW w:w="1361" w:type="dxa"/>
            <w:vAlign w:val="center"/>
          </w:tcPr>
          <w:p w14:paraId="1CCA2BC9">
            <w:pPr>
              <w:pStyle w:val="11"/>
            </w:pPr>
          </w:p>
        </w:tc>
        <w:tc>
          <w:tcPr>
            <w:tcW w:w="1361" w:type="dxa"/>
            <w:vAlign w:val="center"/>
          </w:tcPr>
          <w:p w14:paraId="1B5D4E04">
            <w:pPr>
              <w:pStyle w:val="11"/>
            </w:pPr>
          </w:p>
        </w:tc>
        <w:tc>
          <w:tcPr>
            <w:tcW w:w="1361" w:type="dxa"/>
            <w:vAlign w:val="center"/>
          </w:tcPr>
          <w:p w14:paraId="13096CF8">
            <w:pPr>
              <w:pStyle w:val="11"/>
            </w:pPr>
          </w:p>
        </w:tc>
      </w:tr>
    </w:tbl>
    <w:p w14:paraId="480D1B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5EEA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18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817EC8">
            <w:pPr>
              <w:pStyle w:val="9"/>
            </w:pPr>
            <w:r>
              <w:t>360012隆尧县特殊教育学校</w:t>
            </w:r>
          </w:p>
        </w:tc>
        <w:tc>
          <w:tcPr>
            <w:tcW w:w="3402" w:type="dxa"/>
            <w:tcBorders>
              <w:top w:val="single" w:color="FFFFFF" w:sz="6" w:space="0"/>
              <w:left w:val="single" w:color="FFFFFF" w:sz="6" w:space="0"/>
              <w:right w:val="single" w:color="FFFFFF" w:sz="6" w:space="0"/>
            </w:tcBorders>
            <w:vAlign w:val="center"/>
          </w:tcPr>
          <w:p w14:paraId="194E687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64827D3">
            <w:pPr>
              <w:pStyle w:val="7"/>
            </w:pPr>
            <w:r>
              <w:t>单位：万元</w:t>
            </w:r>
          </w:p>
        </w:tc>
      </w:tr>
      <w:tr w14:paraId="4BA4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A9FE96">
            <w:pPr>
              <w:pStyle w:val="10"/>
            </w:pPr>
            <w:r>
              <w:t>序号</w:t>
            </w:r>
          </w:p>
        </w:tc>
        <w:tc>
          <w:tcPr>
            <w:tcW w:w="4876" w:type="dxa"/>
            <w:gridSpan w:val="2"/>
            <w:vAlign w:val="center"/>
          </w:tcPr>
          <w:p w14:paraId="1B6F077A">
            <w:pPr>
              <w:pStyle w:val="10"/>
            </w:pPr>
            <w:r>
              <w:t>收入</w:t>
            </w:r>
          </w:p>
        </w:tc>
        <w:tc>
          <w:tcPr>
            <w:tcW w:w="9298" w:type="dxa"/>
            <w:gridSpan w:val="5"/>
            <w:vAlign w:val="center"/>
          </w:tcPr>
          <w:p w14:paraId="52AC18AF">
            <w:pPr>
              <w:pStyle w:val="10"/>
            </w:pPr>
            <w:r>
              <w:t>支出</w:t>
            </w:r>
          </w:p>
        </w:tc>
      </w:tr>
      <w:tr w14:paraId="781E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D3C1D1"/>
        </w:tc>
        <w:tc>
          <w:tcPr>
            <w:tcW w:w="3402" w:type="dxa"/>
            <w:vAlign w:val="center"/>
          </w:tcPr>
          <w:p w14:paraId="559A2D8B">
            <w:pPr>
              <w:pStyle w:val="10"/>
            </w:pPr>
            <w:r>
              <w:t>项  目</w:t>
            </w:r>
          </w:p>
        </w:tc>
        <w:tc>
          <w:tcPr>
            <w:tcW w:w="1474" w:type="dxa"/>
            <w:vAlign w:val="center"/>
          </w:tcPr>
          <w:p w14:paraId="268693DB">
            <w:pPr>
              <w:pStyle w:val="10"/>
            </w:pPr>
            <w:r>
              <w:t>金额</w:t>
            </w:r>
          </w:p>
        </w:tc>
        <w:tc>
          <w:tcPr>
            <w:tcW w:w="3402" w:type="dxa"/>
            <w:vAlign w:val="center"/>
          </w:tcPr>
          <w:p w14:paraId="2E3E9025">
            <w:pPr>
              <w:pStyle w:val="10"/>
            </w:pPr>
            <w:r>
              <w:t>项  目</w:t>
            </w:r>
          </w:p>
        </w:tc>
        <w:tc>
          <w:tcPr>
            <w:tcW w:w="1474" w:type="dxa"/>
            <w:vAlign w:val="center"/>
          </w:tcPr>
          <w:p w14:paraId="3A1FA5CD">
            <w:pPr>
              <w:pStyle w:val="10"/>
            </w:pPr>
            <w:r>
              <w:t>合计</w:t>
            </w:r>
          </w:p>
        </w:tc>
        <w:tc>
          <w:tcPr>
            <w:tcW w:w="1474" w:type="dxa"/>
            <w:vAlign w:val="center"/>
          </w:tcPr>
          <w:p w14:paraId="68D4EC40">
            <w:pPr>
              <w:pStyle w:val="10"/>
            </w:pPr>
            <w:r>
              <w:t>一般公共预算财政拨款</w:t>
            </w:r>
          </w:p>
        </w:tc>
        <w:tc>
          <w:tcPr>
            <w:tcW w:w="1474" w:type="dxa"/>
            <w:vAlign w:val="center"/>
          </w:tcPr>
          <w:p w14:paraId="106F9BA0">
            <w:pPr>
              <w:pStyle w:val="10"/>
            </w:pPr>
            <w:r>
              <w:t>政府性基金预算财政    拨款</w:t>
            </w:r>
          </w:p>
        </w:tc>
        <w:tc>
          <w:tcPr>
            <w:tcW w:w="1474" w:type="dxa"/>
            <w:vAlign w:val="center"/>
          </w:tcPr>
          <w:p w14:paraId="7DDD48D0">
            <w:pPr>
              <w:pStyle w:val="10"/>
            </w:pPr>
            <w:r>
              <w:t>国有资本经营预算财政拨款</w:t>
            </w:r>
          </w:p>
        </w:tc>
      </w:tr>
      <w:tr w14:paraId="187A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10C8B">
            <w:pPr>
              <w:pStyle w:val="10"/>
            </w:pPr>
            <w:r>
              <w:t>栏次</w:t>
            </w:r>
          </w:p>
        </w:tc>
        <w:tc>
          <w:tcPr>
            <w:tcW w:w="3402" w:type="dxa"/>
            <w:vAlign w:val="center"/>
          </w:tcPr>
          <w:p w14:paraId="4AC6BF43">
            <w:pPr>
              <w:pStyle w:val="10"/>
            </w:pPr>
            <w:r>
              <w:t>1</w:t>
            </w:r>
          </w:p>
        </w:tc>
        <w:tc>
          <w:tcPr>
            <w:tcW w:w="1474" w:type="dxa"/>
            <w:vAlign w:val="center"/>
          </w:tcPr>
          <w:p w14:paraId="6BA3E258">
            <w:pPr>
              <w:pStyle w:val="10"/>
            </w:pPr>
            <w:r>
              <w:t>2</w:t>
            </w:r>
          </w:p>
        </w:tc>
        <w:tc>
          <w:tcPr>
            <w:tcW w:w="3402" w:type="dxa"/>
            <w:vAlign w:val="center"/>
          </w:tcPr>
          <w:p w14:paraId="3437CDE8">
            <w:pPr>
              <w:pStyle w:val="10"/>
            </w:pPr>
            <w:r>
              <w:t>3</w:t>
            </w:r>
          </w:p>
        </w:tc>
        <w:tc>
          <w:tcPr>
            <w:tcW w:w="1474" w:type="dxa"/>
            <w:vAlign w:val="center"/>
          </w:tcPr>
          <w:p w14:paraId="74A09535">
            <w:pPr>
              <w:pStyle w:val="10"/>
            </w:pPr>
            <w:r>
              <w:t>4</w:t>
            </w:r>
          </w:p>
        </w:tc>
        <w:tc>
          <w:tcPr>
            <w:tcW w:w="1474" w:type="dxa"/>
            <w:vAlign w:val="center"/>
          </w:tcPr>
          <w:p w14:paraId="50F9C7D3">
            <w:pPr>
              <w:pStyle w:val="10"/>
            </w:pPr>
            <w:r>
              <w:t>5</w:t>
            </w:r>
          </w:p>
        </w:tc>
        <w:tc>
          <w:tcPr>
            <w:tcW w:w="1474" w:type="dxa"/>
            <w:vAlign w:val="center"/>
          </w:tcPr>
          <w:p w14:paraId="5591A361">
            <w:pPr>
              <w:pStyle w:val="10"/>
            </w:pPr>
            <w:r>
              <w:t>6</w:t>
            </w:r>
          </w:p>
        </w:tc>
        <w:tc>
          <w:tcPr>
            <w:tcW w:w="1474" w:type="dxa"/>
            <w:vAlign w:val="center"/>
          </w:tcPr>
          <w:p w14:paraId="2B13DD39">
            <w:pPr>
              <w:pStyle w:val="10"/>
            </w:pPr>
            <w:r>
              <w:t>7</w:t>
            </w:r>
          </w:p>
        </w:tc>
      </w:tr>
      <w:tr w14:paraId="154E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C0512">
            <w:pPr>
              <w:pStyle w:val="13"/>
            </w:pPr>
            <w:r>
              <w:t>1</w:t>
            </w:r>
          </w:p>
        </w:tc>
        <w:tc>
          <w:tcPr>
            <w:tcW w:w="3402" w:type="dxa"/>
            <w:vAlign w:val="center"/>
          </w:tcPr>
          <w:p w14:paraId="43E2B035">
            <w:pPr>
              <w:pStyle w:val="12"/>
            </w:pPr>
            <w:r>
              <w:t>一、一般公共预算拨款</w:t>
            </w:r>
          </w:p>
        </w:tc>
        <w:tc>
          <w:tcPr>
            <w:tcW w:w="1474" w:type="dxa"/>
            <w:vAlign w:val="center"/>
          </w:tcPr>
          <w:p w14:paraId="7447C601">
            <w:pPr>
              <w:pStyle w:val="11"/>
            </w:pPr>
            <w:r>
              <w:t>180.35</w:t>
            </w:r>
          </w:p>
        </w:tc>
        <w:tc>
          <w:tcPr>
            <w:tcW w:w="3402" w:type="dxa"/>
            <w:vAlign w:val="center"/>
          </w:tcPr>
          <w:p w14:paraId="7600D5D2">
            <w:pPr>
              <w:pStyle w:val="12"/>
            </w:pPr>
            <w:r>
              <w:t>一、一般公共服务支出</w:t>
            </w:r>
          </w:p>
        </w:tc>
        <w:tc>
          <w:tcPr>
            <w:tcW w:w="1474" w:type="dxa"/>
            <w:vAlign w:val="center"/>
          </w:tcPr>
          <w:p w14:paraId="5161B02A">
            <w:pPr>
              <w:pStyle w:val="11"/>
            </w:pPr>
          </w:p>
        </w:tc>
        <w:tc>
          <w:tcPr>
            <w:tcW w:w="1474" w:type="dxa"/>
            <w:vAlign w:val="center"/>
          </w:tcPr>
          <w:p w14:paraId="7CD50E0C">
            <w:pPr>
              <w:pStyle w:val="11"/>
            </w:pPr>
          </w:p>
        </w:tc>
        <w:tc>
          <w:tcPr>
            <w:tcW w:w="1474" w:type="dxa"/>
            <w:vAlign w:val="center"/>
          </w:tcPr>
          <w:p w14:paraId="4CBF5708">
            <w:pPr>
              <w:pStyle w:val="11"/>
            </w:pPr>
          </w:p>
        </w:tc>
        <w:tc>
          <w:tcPr>
            <w:tcW w:w="1474" w:type="dxa"/>
            <w:vAlign w:val="center"/>
          </w:tcPr>
          <w:p w14:paraId="36B43A83">
            <w:pPr>
              <w:pStyle w:val="11"/>
            </w:pPr>
          </w:p>
        </w:tc>
      </w:tr>
      <w:tr w14:paraId="7A15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A399B">
            <w:pPr>
              <w:pStyle w:val="13"/>
            </w:pPr>
            <w:r>
              <w:t>2</w:t>
            </w:r>
          </w:p>
        </w:tc>
        <w:tc>
          <w:tcPr>
            <w:tcW w:w="3402" w:type="dxa"/>
            <w:vAlign w:val="center"/>
          </w:tcPr>
          <w:p w14:paraId="76CA8EE8">
            <w:pPr>
              <w:pStyle w:val="12"/>
            </w:pPr>
            <w:r>
              <w:t>二、政府性基金预算拨款</w:t>
            </w:r>
          </w:p>
        </w:tc>
        <w:tc>
          <w:tcPr>
            <w:tcW w:w="1474" w:type="dxa"/>
            <w:vAlign w:val="center"/>
          </w:tcPr>
          <w:p w14:paraId="26331E09">
            <w:pPr>
              <w:pStyle w:val="11"/>
            </w:pPr>
          </w:p>
        </w:tc>
        <w:tc>
          <w:tcPr>
            <w:tcW w:w="3402" w:type="dxa"/>
            <w:vAlign w:val="center"/>
          </w:tcPr>
          <w:p w14:paraId="7E3F34C0">
            <w:pPr>
              <w:pStyle w:val="12"/>
            </w:pPr>
            <w:r>
              <w:t>二、外交支出</w:t>
            </w:r>
          </w:p>
        </w:tc>
        <w:tc>
          <w:tcPr>
            <w:tcW w:w="1474" w:type="dxa"/>
            <w:vAlign w:val="center"/>
          </w:tcPr>
          <w:p w14:paraId="740D842A">
            <w:pPr>
              <w:pStyle w:val="11"/>
            </w:pPr>
          </w:p>
        </w:tc>
        <w:tc>
          <w:tcPr>
            <w:tcW w:w="1474" w:type="dxa"/>
            <w:vAlign w:val="center"/>
          </w:tcPr>
          <w:p w14:paraId="76D0A503">
            <w:pPr>
              <w:pStyle w:val="11"/>
            </w:pPr>
          </w:p>
        </w:tc>
        <w:tc>
          <w:tcPr>
            <w:tcW w:w="1474" w:type="dxa"/>
            <w:vAlign w:val="center"/>
          </w:tcPr>
          <w:p w14:paraId="53178CA9">
            <w:pPr>
              <w:pStyle w:val="11"/>
            </w:pPr>
          </w:p>
        </w:tc>
        <w:tc>
          <w:tcPr>
            <w:tcW w:w="1474" w:type="dxa"/>
            <w:vAlign w:val="center"/>
          </w:tcPr>
          <w:p w14:paraId="7F564B88">
            <w:pPr>
              <w:pStyle w:val="11"/>
            </w:pPr>
          </w:p>
        </w:tc>
      </w:tr>
      <w:tr w14:paraId="2931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D6F5">
            <w:pPr>
              <w:pStyle w:val="13"/>
            </w:pPr>
            <w:r>
              <w:t>3</w:t>
            </w:r>
          </w:p>
        </w:tc>
        <w:tc>
          <w:tcPr>
            <w:tcW w:w="3402" w:type="dxa"/>
            <w:vAlign w:val="center"/>
          </w:tcPr>
          <w:p w14:paraId="04A84536">
            <w:pPr>
              <w:pStyle w:val="12"/>
            </w:pPr>
            <w:r>
              <w:t>三、国有资本经营预算拨款</w:t>
            </w:r>
          </w:p>
        </w:tc>
        <w:tc>
          <w:tcPr>
            <w:tcW w:w="1474" w:type="dxa"/>
            <w:vAlign w:val="center"/>
          </w:tcPr>
          <w:p w14:paraId="5E209EDA">
            <w:pPr>
              <w:pStyle w:val="11"/>
            </w:pPr>
          </w:p>
        </w:tc>
        <w:tc>
          <w:tcPr>
            <w:tcW w:w="3402" w:type="dxa"/>
            <w:vAlign w:val="center"/>
          </w:tcPr>
          <w:p w14:paraId="6616421A">
            <w:pPr>
              <w:pStyle w:val="12"/>
            </w:pPr>
            <w:r>
              <w:t>三、国防支出</w:t>
            </w:r>
          </w:p>
        </w:tc>
        <w:tc>
          <w:tcPr>
            <w:tcW w:w="1474" w:type="dxa"/>
            <w:vAlign w:val="center"/>
          </w:tcPr>
          <w:p w14:paraId="333742F3">
            <w:pPr>
              <w:pStyle w:val="11"/>
            </w:pPr>
          </w:p>
        </w:tc>
        <w:tc>
          <w:tcPr>
            <w:tcW w:w="1474" w:type="dxa"/>
            <w:vAlign w:val="center"/>
          </w:tcPr>
          <w:p w14:paraId="58B3FE25">
            <w:pPr>
              <w:pStyle w:val="11"/>
            </w:pPr>
          </w:p>
        </w:tc>
        <w:tc>
          <w:tcPr>
            <w:tcW w:w="1474" w:type="dxa"/>
            <w:vAlign w:val="center"/>
          </w:tcPr>
          <w:p w14:paraId="48DCC667">
            <w:pPr>
              <w:pStyle w:val="11"/>
            </w:pPr>
          </w:p>
        </w:tc>
        <w:tc>
          <w:tcPr>
            <w:tcW w:w="1474" w:type="dxa"/>
            <w:vAlign w:val="center"/>
          </w:tcPr>
          <w:p w14:paraId="62700947">
            <w:pPr>
              <w:pStyle w:val="11"/>
            </w:pPr>
          </w:p>
        </w:tc>
      </w:tr>
      <w:tr w14:paraId="5B1F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044C2">
            <w:pPr>
              <w:pStyle w:val="13"/>
            </w:pPr>
            <w:r>
              <w:t>4</w:t>
            </w:r>
          </w:p>
        </w:tc>
        <w:tc>
          <w:tcPr>
            <w:tcW w:w="3402" w:type="dxa"/>
            <w:vAlign w:val="center"/>
          </w:tcPr>
          <w:p w14:paraId="046838CC">
            <w:pPr>
              <w:pStyle w:val="12"/>
            </w:pPr>
          </w:p>
        </w:tc>
        <w:tc>
          <w:tcPr>
            <w:tcW w:w="1474" w:type="dxa"/>
            <w:vAlign w:val="center"/>
          </w:tcPr>
          <w:p w14:paraId="4F48099E">
            <w:pPr>
              <w:pStyle w:val="11"/>
            </w:pPr>
          </w:p>
        </w:tc>
        <w:tc>
          <w:tcPr>
            <w:tcW w:w="3402" w:type="dxa"/>
            <w:vAlign w:val="center"/>
          </w:tcPr>
          <w:p w14:paraId="58FFEF58">
            <w:pPr>
              <w:pStyle w:val="12"/>
            </w:pPr>
            <w:r>
              <w:t>四、公共安全支出</w:t>
            </w:r>
          </w:p>
        </w:tc>
        <w:tc>
          <w:tcPr>
            <w:tcW w:w="1474" w:type="dxa"/>
            <w:vAlign w:val="center"/>
          </w:tcPr>
          <w:p w14:paraId="329CA0B0">
            <w:pPr>
              <w:pStyle w:val="11"/>
            </w:pPr>
          </w:p>
        </w:tc>
        <w:tc>
          <w:tcPr>
            <w:tcW w:w="1474" w:type="dxa"/>
            <w:vAlign w:val="center"/>
          </w:tcPr>
          <w:p w14:paraId="395456F9">
            <w:pPr>
              <w:pStyle w:val="11"/>
            </w:pPr>
          </w:p>
        </w:tc>
        <w:tc>
          <w:tcPr>
            <w:tcW w:w="1474" w:type="dxa"/>
            <w:vAlign w:val="center"/>
          </w:tcPr>
          <w:p w14:paraId="679867B9">
            <w:pPr>
              <w:pStyle w:val="11"/>
            </w:pPr>
          </w:p>
        </w:tc>
        <w:tc>
          <w:tcPr>
            <w:tcW w:w="1474" w:type="dxa"/>
            <w:vAlign w:val="center"/>
          </w:tcPr>
          <w:p w14:paraId="10E62F68">
            <w:pPr>
              <w:pStyle w:val="11"/>
            </w:pPr>
          </w:p>
        </w:tc>
      </w:tr>
      <w:tr w14:paraId="0A81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1B80">
            <w:pPr>
              <w:pStyle w:val="13"/>
            </w:pPr>
            <w:r>
              <w:t>5</w:t>
            </w:r>
          </w:p>
        </w:tc>
        <w:tc>
          <w:tcPr>
            <w:tcW w:w="3402" w:type="dxa"/>
            <w:vAlign w:val="center"/>
          </w:tcPr>
          <w:p w14:paraId="4CEBE297">
            <w:pPr>
              <w:pStyle w:val="12"/>
            </w:pPr>
          </w:p>
        </w:tc>
        <w:tc>
          <w:tcPr>
            <w:tcW w:w="1474" w:type="dxa"/>
            <w:vAlign w:val="center"/>
          </w:tcPr>
          <w:p w14:paraId="3307288F">
            <w:pPr>
              <w:pStyle w:val="11"/>
            </w:pPr>
          </w:p>
        </w:tc>
        <w:tc>
          <w:tcPr>
            <w:tcW w:w="3402" w:type="dxa"/>
            <w:vAlign w:val="center"/>
          </w:tcPr>
          <w:p w14:paraId="247168DB">
            <w:pPr>
              <w:pStyle w:val="12"/>
            </w:pPr>
            <w:r>
              <w:t>五、教育支出</w:t>
            </w:r>
          </w:p>
        </w:tc>
        <w:tc>
          <w:tcPr>
            <w:tcW w:w="1474" w:type="dxa"/>
            <w:vAlign w:val="center"/>
          </w:tcPr>
          <w:p w14:paraId="6A593070">
            <w:pPr>
              <w:pStyle w:val="11"/>
            </w:pPr>
            <w:r>
              <w:t>180.35</w:t>
            </w:r>
          </w:p>
        </w:tc>
        <w:tc>
          <w:tcPr>
            <w:tcW w:w="1474" w:type="dxa"/>
            <w:vAlign w:val="center"/>
          </w:tcPr>
          <w:p w14:paraId="562AEAF8">
            <w:pPr>
              <w:pStyle w:val="11"/>
            </w:pPr>
            <w:r>
              <w:t>180.35</w:t>
            </w:r>
          </w:p>
        </w:tc>
        <w:tc>
          <w:tcPr>
            <w:tcW w:w="1474" w:type="dxa"/>
            <w:vAlign w:val="center"/>
          </w:tcPr>
          <w:p w14:paraId="7A7C4033">
            <w:pPr>
              <w:pStyle w:val="11"/>
            </w:pPr>
          </w:p>
        </w:tc>
        <w:tc>
          <w:tcPr>
            <w:tcW w:w="1474" w:type="dxa"/>
            <w:vAlign w:val="center"/>
          </w:tcPr>
          <w:p w14:paraId="5BBA4638">
            <w:pPr>
              <w:pStyle w:val="11"/>
            </w:pPr>
          </w:p>
        </w:tc>
      </w:tr>
      <w:tr w14:paraId="5A08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7510">
            <w:pPr>
              <w:pStyle w:val="13"/>
            </w:pPr>
            <w:r>
              <w:t>6</w:t>
            </w:r>
          </w:p>
        </w:tc>
        <w:tc>
          <w:tcPr>
            <w:tcW w:w="3402" w:type="dxa"/>
            <w:vAlign w:val="center"/>
          </w:tcPr>
          <w:p w14:paraId="6EE67697">
            <w:pPr>
              <w:pStyle w:val="12"/>
            </w:pPr>
          </w:p>
        </w:tc>
        <w:tc>
          <w:tcPr>
            <w:tcW w:w="1474" w:type="dxa"/>
            <w:vAlign w:val="center"/>
          </w:tcPr>
          <w:p w14:paraId="3DB08E7C">
            <w:pPr>
              <w:pStyle w:val="11"/>
            </w:pPr>
          </w:p>
        </w:tc>
        <w:tc>
          <w:tcPr>
            <w:tcW w:w="3402" w:type="dxa"/>
            <w:vAlign w:val="center"/>
          </w:tcPr>
          <w:p w14:paraId="784D6AAE">
            <w:pPr>
              <w:pStyle w:val="12"/>
            </w:pPr>
            <w:r>
              <w:t>六、科学技术支出</w:t>
            </w:r>
          </w:p>
        </w:tc>
        <w:tc>
          <w:tcPr>
            <w:tcW w:w="1474" w:type="dxa"/>
            <w:vAlign w:val="center"/>
          </w:tcPr>
          <w:p w14:paraId="53A06A11">
            <w:pPr>
              <w:pStyle w:val="11"/>
            </w:pPr>
          </w:p>
        </w:tc>
        <w:tc>
          <w:tcPr>
            <w:tcW w:w="1474" w:type="dxa"/>
            <w:vAlign w:val="center"/>
          </w:tcPr>
          <w:p w14:paraId="3713A1E1">
            <w:pPr>
              <w:pStyle w:val="11"/>
            </w:pPr>
          </w:p>
        </w:tc>
        <w:tc>
          <w:tcPr>
            <w:tcW w:w="1474" w:type="dxa"/>
            <w:vAlign w:val="center"/>
          </w:tcPr>
          <w:p w14:paraId="23EFF024">
            <w:pPr>
              <w:pStyle w:val="11"/>
            </w:pPr>
          </w:p>
        </w:tc>
        <w:tc>
          <w:tcPr>
            <w:tcW w:w="1474" w:type="dxa"/>
            <w:vAlign w:val="center"/>
          </w:tcPr>
          <w:p w14:paraId="365E5A20">
            <w:pPr>
              <w:pStyle w:val="11"/>
            </w:pPr>
          </w:p>
        </w:tc>
      </w:tr>
      <w:tr w14:paraId="1461E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4DDD">
            <w:pPr>
              <w:pStyle w:val="13"/>
            </w:pPr>
            <w:r>
              <w:t>7</w:t>
            </w:r>
          </w:p>
        </w:tc>
        <w:tc>
          <w:tcPr>
            <w:tcW w:w="3402" w:type="dxa"/>
            <w:vAlign w:val="center"/>
          </w:tcPr>
          <w:p w14:paraId="3731B138">
            <w:pPr>
              <w:pStyle w:val="12"/>
            </w:pPr>
          </w:p>
        </w:tc>
        <w:tc>
          <w:tcPr>
            <w:tcW w:w="1474" w:type="dxa"/>
            <w:vAlign w:val="center"/>
          </w:tcPr>
          <w:p w14:paraId="62A09D66">
            <w:pPr>
              <w:pStyle w:val="11"/>
            </w:pPr>
          </w:p>
        </w:tc>
        <w:tc>
          <w:tcPr>
            <w:tcW w:w="3402" w:type="dxa"/>
            <w:vAlign w:val="center"/>
          </w:tcPr>
          <w:p w14:paraId="7C543EE9">
            <w:pPr>
              <w:pStyle w:val="12"/>
            </w:pPr>
            <w:r>
              <w:t>七、文化旅游体育与传媒支出</w:t>
            </w:r>
          </w:p>
        </w:tc>
        <w:tc>
          <w:tcPr>
            <w:tcW w:w="1474" w:type="dxa"/>
            <w:vAlign w:val="center"/>
          </w:tcPr>
          <w:p w14:paraId="5902E06A">
            <w:pPr>
              <w:pStyle w:val="11"/>
            </w:pPr>
          </w:p>
        </w:tc>
        <w:tc>
          <w:tcPr>
            <w:tcW w:w="1474" w:type="dxa"/>
            <w:vAlign w:val="center"/>
          </w:tcPr>
          <w:p w14:paraId="1E3DAE49">
            <w:pPr>
              <w:pStyle w:val="11"/>
            </w:pPr>
          </w:p>
        </w:tc>
        <w:tc>
          <w:tcPr>
            <w:tcW w:w="1474" w:type="dxa"/>
            <w:vAlign w:val="center"/>
          </w:tcPr>
          <w:p w14:paraId="7E87A05E">
            <w:pPr>
              <w:pStyle w:val="11"/>
            </w:pPr>
          </w:p>
        </w:tc>
        <w:tc>
          <w:tcPr>
            <w:tcW w:w="1474" w:type="dxa"/>
            <w:vAlign w:val="center"/>
          </w:tcPr>
          <w:p w14:paraId="1FBFBBE9">
            <w:pPr>
              <w:pStyle w:val="11"/>
            </w:pPr>
          </w:p>
        </w:tc>
      </w:tr>
      <w:tr w14:paraId="20B7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34AC1">
            <w:pPr>
              <w:pStyle w:val="13"/>
            </w:pPr>
            <w:r>
              <w:t>8</w:t>
            </w:r>
          </w:p>
        </w:tc>
        <w:tc>
          <w:tcPr>
            <w:tcW w:w="3402" w:type="dxa"/>
            <w:vAlign w:val="center"/>
          </w:tcPr>
          <w:p w14:paraId="6AEC2BA3">
            <w:pPr>
              <w:pStyle w:val="12"/>
            </w:pPr>
          </w:p>
        </w:tc>
        <w:tc>
          <w:tcPr>
            <w:tcW w:w="1474" w:type="dxa"/>
            <w:vAlign w:val="center"/>
          </w:tcPr>
          <w:p w14:paraId="536BD0BF">
            <w:pPr>
              <w:pStyle w:val="11"/>
            </w:pPr>
          </w:p>
        </w:tc>
        <w:tc>
          <w:tcPr>
            <w:tcW w:w="3402" w:type="dxa"/>
            <w:vAlign w:val="center"/>
          </w:tcPr>
          <w:p w14:paraId="6DB87568">
            <w:pPr>
              <w:pStyle w:val="12"/>
            </w:pPr>
            <w:r>
              <w:t>八、社会保障和就业支出</w:t>
            </w:r>
          </w:p>
        </w:tc>
        <w:tc>
          <w:tcPr>
            <w:tcW w:w="1474" w:type="dxa"/>
            <w:vAlign w:val="center"/>
          </w:tcPr>
          <w:p w14:paraId="3C4CCA2B">
            <w:pPr>
              <w:pStyle w:val="11"/>
            </w:pPr>
          </w:p>
        </w:tc>
        <w:tc>
          <w:tcPr>
            <w:tcW w:w="1474" w:type="dxa"/>
            <w:vAlign w:val="center"/>
          </w:tcPr>
          <w:p w14:paraId="7871641E">
            <w:pPr>
              <w:pStyle w:val="11"/>
            </w:pPr>
          </w:p>
        </w:tc>
        <w:tc>
          <w:tcPr>
            <w:tcW w:w="1474" w:type="dxa"/>
            <w:vAlign w:val="center"/>
          </w:tcPr>
          <w:p w14:paraId="7B30D578">
            <w:pPr>
              <w:pStyle w:val="11"/>
            </w:pPr>
          </w:p>
        </w:tc>
        <w:tc>
          <w:tcPr>
            <w:tcW w:w="1474" w:type="dxa"/>
            <w:vAlign w:val="center"/>
          </w:tcPr>
          <w:p w14:paraId="66AFBAD9">
            <w:pPr>
              <w:pStyle w:val="11"/>
            </w:pPr>
          </w:p>
        </w:tc>
      </w:tr>
      <w:tr w14:paraId="09ED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C5B5">
            <w:pPr>
              <w:pStyle w:val="13"/>
            </w:pPr>
            <w:r>
              <w:t>9</w:t>
            </w:r>
          </w:p>
        </w:tc>
        <w:tc>
          <w:tcPr>
            <w:tcW w:w="3402" w:type="dxa"/>
            <w:vAlign w:val="center"/>
          </w:tcPr>
          <w:p w14:paraId="4C196B75">
            <w:pPr>
              <w:pStyle w:val="12"/>
            </w:pPr>
          </w:p>
        </w:tc>
        <w:tc>
          <w:tcPr>
            <w:tcW w:w="1474" w:type="dxa"/>
            <w:vAlign w:val="center"/>
          </w:tcPr>
          <w:p w14:paraId="5189D83C">
            <w:pPr>
              <w:pStyle w:val="11"/>
            </w:pPr>
          </w:p>
        </w:tc>
        <w:tc>
          <w:tcPr>
            <w:tcW w:w="3402" w:type="dxa"/>
            <w:vAlign w:val="center"/>
          </w:tcPr>
          <w:p w14:paraId="5DD3955A">
            <w:pPr>
              <w:pStyle w:val="12"/>
            </w:pPr>
            <w:r>
              <w:t>九、社会保险基金支出</w:t>
            </w:r>
          </w:p>
        </w:tc>
        <w:tc>
          <w:tcPr>
            <w:tcW w:w="1474" w:type="dxa"/>
            <w:vAlign w:val="center"/>
          </w:tcPr>
          <w:p w14:paraId="0559B8D8">
            <w:pPr>
              <w:pStyle w:val="11"/>
            </w:pPr>
          </w:p>
        </w:tc>
        <w:tc>
          <w:tcPr>
            <w:tcW w:w="1474" w:type="dxa"/>
            <w:vAlign w:val="center"/>
          </w:tcPr>
          <w:p w14:paraId="5853A846">
            <w:pPr>
              <w:pStyle w:val="11"/>
            </w:pPr>
          </w:p>
        </w:tc>
        <w:tc>
          <w:tcPr>
            <w:tcW w:w="1474" w:type="dxa"/>
            <w:vAlign w:val="center"/>
          </w:tcPr>
          <w:p w14:paraId="31EF5295">
            <w:pPr>
              <w:pStyle w:val="11"/>
            </w:pPr>
          </w:p>
        </w:tc>
        <w:tc>
          <w:tcPr>
            <w:tcW w:w="1474" w:type="dxa"/>
            <w:vAlign w:val="center"/>
          </w:tcPr>
          <w:p w14:paraId="4201E76F">
            <w:pPr>
              <w:pStyle w:val="11"/>
            </w:pPr>
          </w:p>
        </w:tc>
      </w:tr>
      <w:tr w14:paraId="0FA6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F1AC8">
            <w:pPr>
              <w:pStyle w:val="13"/>
            </w:pPr>
            <w:r>
              <w:t>10</w:t>
            </w:r>
          </w:p>
        </w:tc>
        <w:tc>
          <w:tcPr>
            <w:tcW w:w="3402" w:type="dxa"/>
            <w:vAlign w:val="center"/>
          </w:tcPr>
          <w:p w14:paraId="761AFF10">
            <w:pPr>
              <w:pStyle w:val="12"/>
            </w:pPr>
          </w:p>
        </w:tc>
        <w:tc>
          <w:tcPr>
            <w:tcW w:w="1474" w:type="dxa"/>
            <w:vAlign w:val="center"/>
          </w:tcPr>
          <w:p w14:paraId="6430C4B1">
            <w:pPr>
              <w:pStyle w:val="11"/>
            </w:pPr>
          </w:p>
        </w:tc>
        <w:tc>
          <w:tcPr>
            <w:tcW w:w="3402" w:type="dxa"/>
            <w:vAlign w:val="center"/>
          </w:tcPr>
          <w:p w14:paraId="470915D5">
            <w:pPr>
              <w:pStyle w:val="12"/>
            </w:pPr>
            <w:r>
              <w:t>十、卫生健康支出</w:t>
            </w:r>
          </w:p>
        </w:tc>
        <w:tc>
          <w:tcPr>
            <w:tcW w:w="1474" w:type="dxa"/>
            <w:vAlign w:val="center"/>
          </w:tcPr>
          <w:p w14:paraId="1F237404">
            <w:pPr>
              <w:pStyle w:val="11"/>
            </w:pPr>
          </w:p>
        </w:tc>
        <w:tc>
          <w:tcPr>
            <w:tcW w:w="1474" w:type="dxa"/>
            <w:vAlign w:val="center"/>
          </w:tcPr>
          <w:p w14:paraId="453EFD8E">
            <w:pPr>
              <w:pStyle w:val="11"/>
            </w:pPr>
          </w:p>
        </w:tc>
        <w:tc>
          <w:tcPr>
            <w:tcW w:w="1474" w:type="dxa"/>
            <w:vAlign w:val="center"/>
          </w:tcPr>
          <w:p w14:paraId="7FDDB7AD">
            <w:pPr>
              <w:pStyle w:val="11"/>
            </w:pPr>
          </w:p>
        </w:tc>
        <w:tc>
          <w:tcPr>
            <w:tcW w:w="1474" w:type="dxa"/>
            <w:vAlign w:val="center"/>
          </w:tcPr>
          <w:p w14:paraId="5856564D">
            <w:pPr>
              <w:pStyle w:val="11"/>
            </w:pPr>
          </w:p>
        </w:tc>
      </w:tr>
      <w:tr w14:paraId="2712F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B72A">
            <w:pPr>
              <w:pStyle w:val="13"/>
            </w:pPr>
            <w:r>
              <w:t>11</w:t>
            </w:r>
          </w:p>
        </w:tc>
        <w:tc>
          <w:tcPr>
            <w:tcW w:w="3402" w:type="dxa"/>
            <w:vAlign w:val="center"/>
          </w:tcPr>
          <w:p w14:paraId="2B1B25B9">
            <w:pPr>
              <w:pStyle w:val="12"/>
            </w:pPr>
          </w:p>
        </w:tc>
        <w:tc>
          <w:tcPr>
            <w:tcW w:w="1474" w:type="dxa"/>
            <w:vAlign w:val="center"/>
          </w:tcPr>
          <w:p w14:paraId="261EA21C">
            <w:pPr>
              <w:pStyle w:val="11"/>
            </w:pPr>
          </w:p>
        </w:tc>
        <w:tc>
          <w:tcPr>
            <w:tcW w:w="3402" w:type="dxa"/>
            <w:vAlign w:val="center"/>
          </w:tcPr>
          <w:p w14:paraId="55F0067D">
            <w:pPr>
              <w:pStyle w:val="12"/>
            </w:pPr>
            <w:r>
              <w:t>十一、节能环保支出</w:t>
            </w:r>
          </w:p>
        </w:tc>
        <w:tc>
          <w:tcPr>
            <w:tcW w:w="1474" w:type="dxa"/>
            <w:vAlign w:val="center"/>
          </w:tcPr>
          <w:p w14:paraId="357007C9">
            <w:pPr>
              <w:pStyle w:val="11"/>
            </w:pPr>
          </w:p>
        </w:tc>
        <w:tc>
          <w:tcPr>
            <w:tcW w:w="1474" w:type="dxa"/>
            <w:vAlign w:val="center"/>
          </w:tcPr>
          <w:p w14:paraId="1388B611">
            <w:pPr>
              <w:pStyle w:val="11"/>
            </w:pPr>
          </w:p>
        </w:tc>
        <w:tc>
          <w:tcPr>
            <w:tcW w:w="1474" w:type="dxa"/>
            <w:vAlign w:val="center"/>
          </w:tcPr>
          <w:p w14:paraId="073879E0">
            <w:pPr>
              <w:pStyle w:val="11"/>
            </w:pPr>
          </w:p>
        </w:tc>
        <w:tc>
          <w:tcPr>
            <w:tcW w:w="1474" w:type="dxa"/>
            <w:vAlign w:val="center"/>
          </w:tcPr>
          <w:p w14:paraId="179DCF6B">
            <w:pPr>
              <w:pStyle w:val="11"/>
            </w:pPr>
          </w:p>
        </w:tc>
      </w:tr>
      <w:tr w14:paraId="33ED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B892">
            <w:pPr>
              <w:pStyle w:val="13"/>
            </w:pPr>
            <w:r>
              <w:t>12</w:t>
            </w:r>
          </w:p>
        </w:tc>
        <w:tc>
          <w:tcPr>
            <w:tcW w:w="3402" w:type="dxa"/>
            <w:vAlign w:val="center"/>
          </w:tcPr>
          <w:p w14:paraId="0D477117">
            <w:pPr>
              <w:pStyle w:val="12"/>
            </w:pPr>
          </w:p>
        </w:tc>
        <w:tc>
          <w:tcPr>
            <w:tcW w:w="1474" w:type="dxa"/>
            <w:vAlign w:val="center"/>
          </w:tcPr>
          <w:p w14:paraId="74ECA404">
            <w:pPr>
              <w:pStyle w:val="11"/>
            </w:pPr>
          </w:p>
        </w:tc>
        <w:tc>
          <w:tcPr>
            <w:tcW w:w="3402" w:type="dxa"/>
            <w:vAlign w:val="center"/>
          </w:tcPr>
          <w:p w14:paraId="4FBFABB5">
            <w:pPr>
              <w:pStyle w:val="12"/>
            </w:pPr>
            <w:r>
              <w:t>十二、城乡社区支出</w:t>
            </w:r>
          </w:p>
        </w:tc>
        <w:tc>
          <w:tcPr>
            <w:tcW w:w="1474" w:type="dxa"/>
            <w:vAlign w:val="center"/>
          </w:tcPr>
          <w:p w14:paraId="65097EFD">
            <w:pPr>
              <w:pStyle w:val="11"/>
            </w:pPr>
          </w:p>
        </w:tc>
        <w:tc>
          <w:tcPr>
            <w:tcW w:w="1474" w:type="dxa"/>
            <w:vAlign w:val="center"/>
          </w:tcPr>
          <w:p w14:paraId="21535DC5">
            <w:pPr>
              <w:pStyle w:val="11"/>
            </w:pPr>
          </w:p>
        </w:tc>
        <w:tc>
          <w:tcPr>
            <w:tcW w:w="1474" w:type="dxa"/>
            <w:vAlign w:val="center"/>
          </w:tcPr>
          <w:p w14:paraId="0954FF31">
            <w:pPr>
              <w:pStyle w:val="11"/>
            </w:pPr>
          </w:p>
        </w:tc>
        <w:tc>
          <w:tcPr>
            <w:tcW w:w="1474" w:type="dxa"/>
            <w:vAlign w:val="center"/>
          </w:tcPr>
          <w:p w14:paraId="4DB08EED">
            <w:pPr>
              <w:pStyle w:val="11"/>
            </w:pPr>
          </w:p>
        </w:tc>
      </w:tr>
      <w:tr w14:paraId="21A2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0A313">
            <w:pPr>
              <w:pStyle w:val="13"/>
            </w:pPr>
            <w:r>
              <w:t>13</w:t>
            </w:r>
          </w:p>
        </w:tc>
        <w:tc>
          <w:tcPr>
            <w:tcW w:w="3402" w:type="dxa"/>
            <w:vAlign w:val="center"/>
          </w:tcPr>
          <w:p w14:paraId="088E7783">
            <w:pPr>
              <w:pStyle w:val="12"/>
            </w:pPr>
          </w:p>
        </w:tc>
        <w:tc>
          <w:tcPr>
            <w:tcW w:w="1474" w:type="dxa"/>
            <w:vAlign w:val="center"/>
          </w:tcPr>
          <w:p w14:paraId="42889C42">
            <w:pPr>
              <w:pStyle w:val="11"/>
            </w:pPr>
          </w:p>
        </w:tc>
        <w:tc>
          <w:tcPr>
            <w:tcW w:w="3402" w:type="dxa"/>
            <w:vAlign w:val="center"/>
          </w:tcPr>
          <w:p w14:paraId="3D92E4AD">
            <w:pPr>
              <w:pStyle w:val="12"/>
            </w:pPr>
            <w:r>
              <w:t>十三、农林水支出</w:t>
            </w:r>
          </w:p>
        </w:tc>
        <w:tc>
          <w:tcPr>
            <w:tcW w:w="1474" w:type="dxa"/>
            <w:vAlign w:val="center"/>
          </w:tcPr>
          <w:p w14:paraId="49D83872">
            <w:pPr>
              <w:pStyle w:val="11"/>
            </w:pPr>
          </w:p>
        </w:tc>
        <w:tc>
          <w:tcPr>
            <w:tcW w:w="1474" w:type="dxa"/>
            <w:vAlign w:val="center"/>
          </w:tcPr>
          <w:p w14:paraId="43C7D006">
            <w:pPr>
              <w:pStyle w:val="11"/>
            </w:pPr>
          </w:p>
        </w:tc>
        <w:tc>
          <w:tcPr>
            <w:tcW w:w="1474" w:type="dxa"/>
            <w:vAlign w:val="center"/>
          </w:tcPr>
          <w:p w14:paraId="66A424A7">
            <w:pPr>
              <w:pStyle w:val="11"/>
            </w:pPr>
          </w:p>
        </w:tc>
        <w:tc>
          <w:tcPr>
            <w:tcW w:w="1474" w:type="dxa"/>
            <w:vAlign w:val="center"/>
          </w:tcPr>
          <w:p w14:paraId="45B1F7CD">
            <w:pPr>
              <w:pStyle w:val="11"/>
            </w:pPr>
          </w:p>
        </w:tc>
      </w:tr>
      <w:tr w14:paraId="70C6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8615C">
            <w:pPr>
              <w:pStyle w:val="13"/>
            </w:pPr>
            <w:r>
              <w:t>14</w:t>
            </w:r>
          </w:p>
        </w:tc>
        <w:tc>
          <w:tcPr>
            <w:tcW w:w="3402" w:type="dxa"/>
            <w:vAlign w:val="center"/>
          </w:tcPr>
          <w:p w14:paraId="0CDC1B22">
            <w:pPr>
              <w:pStyle w:val="12"/>
            </w:pPr>
          </w:p>
        </w:tc>
        <w:tc>
          <w:tcPr>
            <w:tcW w:w="1474" w:type="dxa"/>
            <w:vAlign w:val="center"/>
          </w:tcPr>
          <w:p w14:paraId="200615F7">
            <w:pPr>
              <w:pStyle w:val="11"/>
            </w:pPr>
          </w:p>
        </w:tc>
        <w:tc>
          <w:tcPr>
            <w:tcW w:w="3402" w:type="dxa"/>
            <w:vAlign w:val="center"/>
          </w:tcPr>
          <w:p w14:paraId="5A7897E5">
            <w:pPr>
              <w:pStyle w:val="12"/>
            </w:pPr>
            <w:r>
              <w:t>十四、交通运输支出</w:t>
            </w:r>
          </w:p>
        </w:tc>
        <w:tc>
          <w:tcPr>
            <w:tcW w:w="1474" w:type="dxa"/>
            <w:vAlign w:val="center"/>
          </w:tcPr>
          <w:p w14:paraId="6688DC9F">
            <w:pPr>
              <w:pStyle w:val="11"/>
            </w:pPr>
          </w:p>
        </w:tc>
        <w:tc>
          <w:tcPr>
            <w:tcW w:w="1474" w:type="dxa"/>
            <w:vAlign w:val="center"/>
          </w:tcPr>
          <w:p w14:paraId="52724C2B">
            <w:pPr>
              <w:pStyle w:val="11"/>
            </w:pPr>
          </w:p>
        </w:tc>
        <w:tc>
          <w:tcPr>
            <w:tcW w:w="1474" w:type="dxa"/>
            <w:vAlign w:val="center"/>
          </w:tcPr>
          <w:p w14:paraId="40055E32">
            <w:pPr>
              <w:pStyle w:val="11"/>
            </w:pPr>
          </w:p>
        </w:tc>
        <w:tc>
          <w:tcPr>
            <w:tcW w:w="1474" w:type="dxa"/>
            <w:vAlign w:val="center"/>
          </w:tcPr>
          <w:p w14:paraId="2084C454">
            <w:pPr>
              <w:pStyle w:val="11"/>
            </w:pPr>
          </w:p>
        </w:tc>
      </w:tr>
      <w:tr w14:paraId="251CC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F5B1D">
            <w:pPr>
              <w:pStyle w:val="13"/>
            </w:pPr>
            <w:r>
              <w:t>15</w:t>
            </w:r>
          </w:p>
        </w:tc>
        <w:tc>
          <w:tcPr>
            <w:tcW w:w="3402" w:type="dxa"/>
            <w:vAlign w:val="center"/>
          </w:tcPr>
          <w:p w14:paraId="364A5D43">
            <w:pPr>
              <w:pStyle w:val="12"/>
            </w:pPr>
          </w:p>
        </w:tc>
        <w:tc>
          <w:tcPr>
            <w:tcW w:w="1474" w:type="dxa"/>
            <w:vAlign w:val="center"/>
          </w:tcPr>
          <w:p w14:paraId="61802B50">
            <w:pPr>
              <w:pStyle w:val="11"/>
            </w:pPr>
          </w:p>
        </w:tc>
        <w:tc>
          <w:tcPr>
            <w:tcW w:w="3402" w:type="dxa"/>
            <w:vAlign w:val="center"/>
          </w:tcPr>
          <w:p w14:paraId="4EDD819C">
            <w:pPr>
              <w:pStyle w:val="12"/>
            </w:pPr>
            <w:r>
              <w:t>十五、资源勘探工业信息等支出</w:t>
            </w:r>
          </w:p>
        </w:tc>
        <w:tc>
          <w:tcPr>
            <w:tcW w:w="1474" w:type="dxa"/>
            <w:vAlign w:val="center"/>
          </w:tcPr>
          <w:p w14:paraId="6358FE7B">
            <w:pPr>
              <w:pStyle w:val="11"/>
            </w:pPr>
          </w:p>
        </w:tc>
        <w:tc>
          <w:tcPr>
            <w:tcW w:w="1474" w:type="dxa"/>
            <w:vAlign w:val="center"/>
          </w:tcPr>
          <w:p w14:paraId="0FD7063B">
            <w:pPr>
              <w:pStyle w:val="11"/>
            </w:pPr>
          </w:p>
        </w:tc>
        <w:tc>
          <w:tcPr>
            <w:tcW w:w="1474" w:type="dxa"/>
            <w:vAlign w:val="center"/>
          </w:tcPr>
          <w:p w14:paraId="57DB4E36">
            <w:pPr>
              <w:pStyle w:val="11"/>
            </w:pPr>
          </w:p>
        </w:tc>
        <w:tc>
          <w:tcPr>
            <w:tcW w:w="1474" w:type="dxa"/>
            <w:vAlign w:val="center"/>
          </w:tcPr>
          <w:p w14:paraId="5E372918">
            <w:pPr>
              <w:pStyle w:val="11"/>
            </w:pPr>
          </w:p>
        </w:tc>
      </w:tr>
      <w:tr w14:paraId="2697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BE217">
            <w:pPr>
              <w:pStyle w:val="13"/>
            </w:pPr>
            <w:r>
              <w:t>16</w:t>
            </w:r>
          </w:p>
        </w:tc>
        <w:tc>
          <w:tcPr>
            <w:tcW w:w="3402" w:type="dxa"/>
            <w:vAlign w:val="center"/>
          </w:tcPr>
          <w:p w14:paraId="3302ED2B">
            <w:pPr>
              <w:pStyle w:val="12"/>
            </w:pPr>
          </w:p>
        </w:tc>
        <w:tc>
          <w:tcPr>
            <w:tcW w:w="1474" w:type="dxa"/>
            <w:vAlign w:val="center"/>
          </w:tcPr>
          <w:p w14:paraId="0733638A">
            <w:pPr>
              <w:pStyle w:val="11"/>
            </w:pPr>
          </w:p>
        </w:tc>
        <w:tc>
          <w:tcPr>
            <w:tcW w:w="3402" w:type="dxa"/>
            <w:vAlign w:val="center"/>
          </w:tcPr>
          <w:p w14:paraId="31BC3B12">
            <w:pPr>
              <w:pStyle w:val="12"/>
            </w:pPr>
            <w:r>
              <w:t>十六、商业服务业等支出</w:t>
            </w:r>
          </w:p>
        </w:tc>
        <w:tc>
          <w:tcPr>
            <w:tcW w:w="1474" w:type="dxa"/>
            <w:vAlign w:val="center"/>
          </w:tcPr>
          <w:p w14:paraId="786A10DA">
            <w:pPr>
              <w:pStyle w:val="11"/>
            </w:pPr>
          </w:p>
        </w:tc>
        <w:tc>
          <w:tcPr>
            <w:tcW w:w="1474" w:type="dxa"/>
            <w:vAlign w:val="center"/>
          </w:tcPr>
          <w:p w14:paraId="4668FCB6">
            <w:pPr>
              <w:pStyle w:val="11"/>
            </w:pPr>
          </w:p>
        </w:tc>
        <w:tc>
          <w:tcPr>
            <w:tcW w:w="1474" w:type="dxa"/>
            <w:vAlign w:val="center"/>
          </w:tcPr>
          <w:p w14:paraId="6E910A2D">
            <w:pPr>
              <w:pStyle w:val="11"/>
            </w:pPr>
          </w:p>
        </w:tc>
        <w:tc>
          <w:tcPr>
            <w:tcW w:w="1474" w:type="dxa"/>
            <w:vAlign w:val="center"/>
          </w:tcPr>
          <w:p w14:paraId="3188DCA4">
            <w:pPr>
              <w:pStyle w:val="11"/>
            </w:pPr>
          </w:p>
        </w:tc>
      </w:tr>
      <w:tr w14:paraId="7D89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26EB2">
            <w:pPr>
              <w:pStyle w:val="13"/>
            </w:pPr>
            <w:r>
              <w:t>17</w:t>
            </w:r>
          </w:p>
        </w:tc>
        <w:tc>
          <w:tcPr>
            <w:tcW w:w="3402" w:type="dxa"/>
            <w:vAlign w:val="center"/>
          </w:tcPr>
          <w:p w14:paraId="2D93F3B5">
            <w:pPr>
              <w:pStyle w:val="12"/>
            </w:pPr>
          </w:p>
        </w:tc>
        <w:tc>
          <w:tcPr>
            <w:tcW w:w="1474" w:type="dxa"/>
            <w:vAlign w:val="center"/>
          </w:tcPr>
          <w:p w14:paraId="534155B3">
            <w:pPr>
              <w:pStyle w:val="11"/>
            </w:pPr>
          </w:p>
        </w:tc>
        <w:tc>
          <w:tcPr>
            <w:tcW w:w="3402" w:type="dxa"/>
            <w:vAlign w:val="center"/>
          </w:tcPr>
          <w:p w14:paraId="208DEE4E">
            <w:pPr>
              <w:pStyle w:val="12"/>
            </w:pPr>
            <w:r>
              <w:t>十七、金融支出</w:t>
            </w:r>
          </w:p>
        </w:tc>
        <w:tc>
          <w:tcPr>
            <w:tcW w:w="1474" w:type="dxa"/>
            <w:vAlign w:val="center"/>
          </w:tcPr>
          <w:p w14:paraId="4936401F">
            <w:pPr>
              <w:pStyle w:val="11"/>
            </w:pPr>
          </w:p>
        </w:tc>
        <w:tc>
          <w:tcPr>
            <w:tcW w:w="1474" w:type="dxa"/>
            <w:vAlign w:val="center"/>
          </w:tcPr>
          <w:p w14:paraId="224E067E">
            <w:pPr>
              <w:pStyle w:val="11"/>
            </w:pPr>
          </w:p>
        </w:tc>
        <w:tc>
          <w:tcPr>
            <w:tcW w:w="1474" w:type="dxa"/>
            <w:vAlign w:val="center"/>
          </w:tcPr>
          <w:p w14:paraId="72631276">
            <w:pPr>
              <w:pStyle w:val="11"/>
            </w:pPr>
          </w:p>
        </w:tc>
        <w:tc>
          <w:tcPr>
            <w:tcW w:w="1474" w:type="dxa"/>
            <w:vAlign w:val="center"/>
          </w:tcPr>
          <w:p w14:paraId="74778D70">
            <w:pPr>
              <w:pStyle w:val="11"/>
            </w:pPr>
          </w:p>
        </w:tc>
      </w:tr>
      <w:tr w14:paraId="7524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CA4C">
            <w:pPr>
              <w:pStyle w:val="13"/>
            </w:pPr>
            <w:r>
              <w:t>18</w:t>
            </w:r>
          </w:p>
        </w:tc>
        <w:tc>
          <w:tcPr>
            <w:tcW w:w="3402" w:type="dxa"/>
            <w:vAlign w:val="center"/>
          </w:tcPr>
          <w:p w14:paraId="33D54D99">
            <w:pPr>
              <w:pStyle w:val="12"/>
            </w:pPr>
          </w:p>
        </w:tc>
        <w:tc>
          <w:tcPr>
            <w:tcW w:w="1474" w:type="dxa"/>
            <w:vAlign w:val="center"/>
          </w:tcPr>
          <w:p w14:paraId="121D6514">
            <w:pPr>
              <w:pStyle w:val="11"/>
            </w:pPr>
          </w:p>
        </w:tc>
        <w:tc>
          <w:tcPr>
            <w:tcW w:w="3402" w:type="dxa"/>
            <w:vAlign w:val="center"/>
          </w:tcPr>
          <w:p w14:paraId="200452C8">
            <w:pPr>
              <w:pStyle w:val="12"/>
            </w:pPr>
            <w:r>
              <w:t>十八、援助其他地区支出</w:t>
            </w:r>
          </w:p>
        </w:tc>
        <w:tc>
          <w:tcPr>
            <w:tcW w:w="1474" w:type="dxa"/>
            <w:vAlign w:val="center"/>
          </w:tcPr>
          <w:p w14:paraId="1C4362E4">
            <w:pPr>
              <w:pStyle w:val="11"/>
            </w:pPr>
          </w:p>
        </w:tc>
        <w:tc>
          <w:tcPr>
            <w:tcW w:w="1474" w:type="dxa"/>
            <w:vAlign w:val="center"/>
          </w:tcPr>
          <w:p w14:paraId="44A68841">
            <w:pPr>
              <w:pStyle w:val="11"/>
            </w:pPr>
          </w:p>
        </w:tc>
        <w:tc>
          <w:tcPr>
            <w:tcW w:w="1474" w:type="dxa"/>
            <w:vAlign w:val="center"/>
          </w:tcPr>
          <w:p w14:paraId="7BDEFD4A">
            <w:pPr>
              <w:pStyle w:val="11"/>
            </w:pPr>
          </w:p>
        </w:tc>
        <w:tc>
          <w:tcPr>
            <w:tcW w:w="1474" w:type="dxa"/>
            <w:vAlign w:val="center"/>
          </w:tcPr>
          <w:p w14:paraId="3D71FB71">
            <w:pPr>
              <w:pStyle w:val="11"/>
            </w:pPr>
          </w:p>
        </w:tc>
      </w:tr>
      <w:tr w14:paraId="026D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8D399">
            <w:pPr>
              <w:pStyle w:val="13"/>
            </w:pPr>
            <w:r>
              <w:t>19</w:t>
            </w:r>
          </w:p>
        </w:tc>
        <w:tc>
          <w:tcPr>
            <w:tcW w:w="3402" w:type="dxa"/>
            <w:vAlign w:val="center"/>
          </w:tcPr>
          <w:p w14:paraId="629B106F">
            <w:pPr>
              <w:pStyle w:val="12"/>
            </w:pPr>
          </w:p>
        </w:tc>
        <w:tc>
          <w:tcPr>
            <w:tcW w:w="1474" w:type="dxa"/>
            <w:vAlign w:val="center"/>
          </w:tcPr>
          <w:p w14:paraId="47A8A65A">
            <w:pPr>
              <w:pStyle w:val="11"/>
            </w:pPr>
          </w:p>
        </w:tc>
        <w:tc>
          <w:tcPr>
            <w:tcW w:w="3402" w:type="dxa"/>
            <w:vAlign w:val="center"/>
          </w:tcPr>
          <w:p w14:paraId="2D9AC176">
            <w:pPr>
              <w:pStyle w:val="12"/>
            </w:pPr>
            <w:r>
              <w:t>十九、自然资源海洋气象等支出</w:t>
            </w:r>
          </w:p>
        </w:tc>
        <w:tc>
          <w:tcPr>
            <w:tcW w:w="1474" w:type="dxa"/>
            <w:vAlign w:val="center"/>
          </w:tcPr>
          <w:p w14:paraId="6862FE10">
            <w:pPr>
              <w:pStyle w:val="11"/>
            </w:pPr>
          </w:p>
        </w:tc>
        <w:tc>
          <w:tcPr>
            <w:tcW w:w="1474" w:type="dxa"/>
            <w:vAlign w:val="center"/>
          </w:tcPr>
          <w:p w14:paraId="4AD263E8">
            <w:pPr>
              <w:pStyle w:val="11"/>
            </w:pPr>
          </w:p>
        </w:tc>
        <w:tc>
          <w:tcPr>
            <w:tcW w:w="1474" w:type="dxa"/>
            <w:vAlign w:val="center"/>
          </w:tcPr>
          <w:p w14:paraId="0F7B147C">
            <w:pPr>
              <w:pStyle w:val="11"/>
            </w:pPr>
          </w:p>
        </w:tc>
        <w:tc>
          <w:tcPr>
            <w:tcW w:w="1474" w:type="dxa"/>
            <w:vAlign w:val="center"/>
          </w:tcPr>
          <w:p w14:paraId="18F1C591">
            <w:pPr>
              <w:pStyle w:val="11"/>
            </w:pPr>
          </w:p>
        </w:tc>
      </w:tr>
      <w:tr w14:paraId="2813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5C651">
            <w:pPr>
              <w:pStyle w:val="13"/>
            </w:pPr>
            <w:r>
              <w:t>20</w:t>
            </w:r>
          </w:p>
        </w:tc>
        <w:tc>
          <w:tcPr>
            <w:tcW w:w="3402" w:type="dxa"/>
            <w:vAlign w:val="center"/>
          </w:tcPr>
          <w:p w14:paraId="3015E5FF">
            <w:pPr>
              <w:pStyle w:val="12"/>
            </w:pPr>
          </w:p>
        </w:tc>
        <w:tc>
          <w:tcPr>
            <w:tcW w:w="1474" w:type="dxa"/>
            <w:vAlign w:val="center"/>
          </w:tcPr>
          <w:p w14:paraId="660477CC">
            <w:pPr>
              <w:pStyle w:val="11"/>
            </w:pPr>
          </w:p>
        </w:tc>
        <w:tc>
          <w:tcPr>
            <w:tcW w:w="3402" w:type="dxa"/>
            <w:vAlign w:val="center"/>
          </w:tcPr>
          <w:p w14:paraId="0F7D87ED">
            <w:pPr>
              <w:pStyle w:val="12"/>
            </w:pPr>
            <w:r>
              <w:t>二十、住房保障支出</w:t>
            </w:r>
          </w:p>
        </w:tc>
        <w:tc>
          <w:tcPr>
            <w:tcW w:w="1474" w:type="dxa"/>
            <w:vAlign w:val="center"/>
          </w:tcPr>
          <w:p w14:paraId="5706B9C1">
            <w:pPr>
              <w:pStyle w:val="11"/>
            </w:pPr>
          </w:p>
        </w:tc>
        <w:tc>
          <w:tcPr>
            <w:tcW w:w="1474" w:type="dxa"/>
            <w:vAlign w:val="center"/>
          </w:tcPr>
          <w:p w14:paraId="6C36AC02">
            <w:pPr>
              <w:pStyle w:val="11"/>
            </w:pPr>
          </w:p>
        </w:tc>
        <w:tc>
          <w:tcPr>
            <w:tcW w:w="1474" w:type="dxa"/>
            <w:vAlign w:val="center"/>
          </w:tcPr>
          <w:p w14:paraId="3908D572">
            <w:pPr>
              <w:pStyle w:val="11"/>
            </w:pPr>
          </w:p>
        </w:tc>
        <w:tc>
          <w:tcPr>
            <w:tcW w:w="1474" w:type="dxa"/>
            <w:vAlign w:val="center"/>
          </w:tcPr>
          <w:p w14:paraId="1C373B70">
            <w:pPr>
              <w:pStyle w:val="11"/>
            </w:pPr>
          </w:p>
        </w:tc>
      </w:tr>
      <w:tr w14:paraId="5E10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A485D">
            <w:pPr>
              <w:pStyle w:val="13"/>
            </w:pPr>
            <w:r>
              <w:t>21</w:t>
            </w:r>
          </w:p>
        </w:tc>
        <w:tc>
          <w:tcPr>
            <w:tcW w:w="3402" w:type="dxa"/>
            <w:vAlign w:val="center"/>
          </w:tcPr>
          <w:p w14:paraId="130B3C21">
            <w:pPr>
              <w:pStyle w:val="12"/>
            </w:pPr>
          </w:p>
        </w:tc>
        <w:tc>
          <w:tcPr>
            <w:tcW w:w="1474" w:type="dxa"/>
            <w:vAlign w:val="center"/>
          </w:tcPr>
          <w:p w14:paraId="5136A13D">
            <w:pPr>
              <w:pStyle w:val="11"/>
            </w:pPr>
          </w:p>
        </w:tc>
        <w:tc>
          <w:tcPr>
            <w:tcW w:w="3402" w:type="dxa"/>
            <w:vAlign w:val="center"/>
          </w:tcPr>
          <w:p w14:paraId="3FF555A3">
            <w:pPr>
              <w:pStyle w:val="12"/>
            </w:pPr>
            <w:r>
              <w:t>二十一、粮油物资储备支出</w:t>
            </w:r>
          </w:p>
        </w:tc>
        <w:tc>
          <w:tcPr>
            <w:tcW w:w="1474" w:type="dxa"/>
            <w:vAlign w:val="center"/>
          </w:tcPr>
          <w:p w14:paraId="05DBAB59">
            <w:pPr>
              <w:pStyle w:val="11"/>
            </w:pPr>
          </w:p>
        </w:tc>
        <w:tc>
          <w:tcPr>
            <w:tcW w:w="1474" w:type="dxa"/>
            <w:vAlign w:val="center"/>
          </w:tcPr>
          <w:p w14:paraId="62A82FCC">
            <w:pPr>
              <w:pStyle w:val="11"/>
            </w:pPr>
          </w:p>
        </w:tc>
        <w:tc>
          <w:tcPr>
            <w:tcW w:w="1474" w:type="dxa"/>
            <w:vAlign w:val="center"/>
          </w:tcPr>
          <w:p w14:paraId="170B13CC">
            <w:pPr>
              <w:pStyle w:val="11"/>
            </w:pPr>
          </w:p>
        </w:tc>
        <w:tc>
          <w:tcPr>
            <w:tcW w:w="1474" w:type="dxa"/>
            <w:vAlign w:val="center"/>
          </w:tcPr>
          <w:p w14:paraId="75979431">
            <w:pPr>
              <w:pStyle w:val="11"/>
            </w:pPr>
          </w:p>
        </w:tc>
      </w:tr>
      <w:tr w14:paraId="1D7A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114E">
            <w:pPr>
              <w:pStyle w:val="13"/>
            </w:pPr>
            <w:r>
              <w:t>22</w:t>
            </w:r>
          </w:p>
        </w:tc>
        <w:tc>
          <w:tcPr>
            <w:tcW w:w="3402" w:type="dxa"/>
            <w:vAlign w:val="center"/>
          </w:tcPr>
          <w:p w14:paraId="6813A7F7">
            <w:pPr>
              <w:pStyle w:val="12"/>
            </w:pPr>
          </w:p>
        </w:tc>
        <w:tc>
          <w:tcPr>
            <w:tcW w:w="1474" w:type="dxa"/>
            <w:vAlign w:val="center"/>
          </w:tcPr>
          <w:p w14:paraId="636A5DA5">
            <w:pPr>
              <w:pStyle w:val="11"/>
            </w:pPr>
          </w:p>
        </w:tc>
        <w:tc>
          <w:tcPr>
            <w:tcW w:w="3402" w:type="dxa"/>
            <w:vAlign w:val="center"/>
          </w:tcPr>
          <w:p w14:paraId="4CC078C3">
            <w:pPr>
              <w:pStyle w:val="12"/>
            </w:pPr>
            <w:r>
              <w:t>二十二、国有资本经营预算支出</w:t>
            </w:r>
          </w:p>
        </w:tc>
        <w:tc>
          <w:tcPr>
            <w:tcW w:w="1474" w:type="dxa"/>
            <w:vAlign w:val="center"/>
          </w:tcPr>
          <w:p w14:paraId="21DBC24F">
            <w:pPr>
              <w:pStyle w:val="11"/>
            </w:pPr>
          </w:p>
        </w:tc>
        <w:tc>
          <w:tcPr>
            <w:tcW w:w="1474" w:type="dxa"/>
            <w:vAlign w:val="center"/>
          </w:tcPr>
          <w:p w14:paraId="6EA97D28">
            <w:pPr>
              <w:pStyle w:val="11"/>
            </w:pPr>
          </w:p>
        </w:tc>
        <w:tc>
          <w:tcPr>
            <w:tcW w:w="1474" w:type="dxa"/>
            <w:vAlign w:val="center"/>
          </w:tcPr>
          <w:p w14:paraId="6779345C">
            <w:pPr>
              <w:pStyle w:val="11"/>
            </w:pPr>
          </w:p>
        </w:tc>
        <w:tc>
          <w:tcPr>
            <w:tcW w:w="1474" w:type="dxa"/>
            <w:vAlign w:val="center"/>
          </w:tcPr>
          <w:p w14:paraId="612811C8">
            <w:pPr>
              <w:pStyle w:val="11"/>
            </w:pPr>
          </w:p>
        </w:tc>
      </w:tr>
      <w:tr w14:paraId="4E1F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A2CD">
            <w:pPr>
              <w:pStyle w:val="13"/>
            </w:pPr>
            <w:r>
              <w:t>23</w:t>
            </w:r>
          </w:p>
        </w:tc>
        <w:tc>
          <w:tcPr>
            <w:tcW w:w="3402" w:type="dxa"/>
            <w:vAlign w:val="center"/>
          </w:tcPr>
          <w:p w14:paraId="43DEEDCC">
            <w:pPr>
              <w:pStyle w:val="12"/>
            </w:pPr>
          </w:p>
        </w:tc>
        <w:tc>
          <w:tcPr>
            <w:tcW w:w="1474" w:type="dxa"/>
            <w:vAlign w:val="center"/>
          </w:tcPr>
          <w:p w14:paraId="0E0651D0">
            <w:pPr>
              <w:pStyle w:val="11"/>
            </w:pPr>
          </w:p>
        </w:tc>
        <w:tc>
          <w:tcPr>
            <w:tcW w:w="3402" w:type="dxa"/>
            <w:vAlign w:val="center"/>
          </w:tcPr>
          <w:p w14:paraId="25B663CC">
            <w:pPr>
              <w:pStyle w:val="12"/>
            </w:pPr>
            <w:r>
              <w:t>二十三、灾害防治及应急管理支出</w:t>
            </w:r>
          </w:p>
        </w:tc>
        <w:tc>
          <w:tcPr>
            <w:tcW w:w="1474" w:type="dxa"/>
            <w:vAlign w:val="center"/>
          </w:tcPr>
          <w:p w14:paraId="3FE63B33">
            <w:pPr>
              <w:pStyle w:val="11"/>
            </w:pPr>
          </w:p>
        </w:tc>
        <w:tc>
          <w:tcPr>
            <w:tcW w:w="1474" w:type="dxa"/>
            <w:vAlign w:val="center"/>
          </w:tcPr>
          <w:p w14:paraId="2D9A6D9E">
            <w:pPr>
              <w:pStyle w:val="11"/>
            </w:pPr>
          </w:p>
        </w:tc>
        <w:tc>
          <w:tcPr>
            <w:tcW w:w="1474" w:type="dxa"/>
            <w:vAlign w:val="center"/>
          </w:tcPr>
          <w:p w14:paraId="0E66D0CB">
            <w:pPr>
              <w:pStyle w:val="11"/>
            </w:pPr>
          </w:p>
        </w:tc>
        <w:tc>
          <w:tcPr>
            <w:tcW w:w="1474" w:type="dxa"/>
            <w:vAlign w:val="center"/>
          </w:tcPr>
          <w:p w14:paraId="564D633A">
            <w:pPr>
              <w:pStyle w:val="11"/>
            </w:pPr>
          </w:p>
        </w:tc>
      </w:tr>
      <w:tr w14:paraId="01D5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5060">
            <w:pPr>
              <w:pStyle w:val="13"/>
            </w:pPr>
            <w:r>
              <w:t>24</w:t>
            </w:r>
          </w:p>
        </w:tc>
        <w:tc>
          <w:tcPr>
            <w:tcW w:w="3402" w:type="dxa"/>
            <w:vAlign w:val="center"/>
          </w:tcPr>
          <w:p w14:paraId="466ADA9C">
            <w:pPr>
              <w:pStyle w:val="12"/>
            </w:pPr>
          </w:p>
        </w:tc>
        <w:tc>
          <w:tcPr>
            <w:tcW w:w="1474" w:type="dxa"/>
            <w:vAlign w:val="center"/>
          </w:tcPr>
          <w:p w14:paraId="16212295">
            <w:pPr>
              <w:pStyle w:val="11"/>
            </w:pPr>
          </w:p>
        </w:tc>
        <w:tc>
          <w:tcPr>
            <w:tcW w:w="3402" w:type="dxa"/>
            <w:vAlign w:val="center"/>
          </w:tcPr>
          <w:p w14:paraId="1859CF6F">
            <w:pPr>
              <w:pStyle w:val="12"/>
            </w:pPr>
            <w:r>
              <w:t>二十四、预备费</w:t>
            </w:r>
          </w:p>
        </w:tc>
        <w:tc>
          <w:tcPr>
            <w:tcW w:w="1474" w:type="dxa"/>
            <w:vAlign w:val="center"/>
          </w:tcPr>
          <w:p w14:paraId="5460E0C4">
            <w:pPr>
              <w:pStyle w:val="11"/>
            </w:pPr>
          </w:p>
        </w:tc>
        <w:tc>
          <w:tcPr>
            <w:tcW w:w="1474" w:type="dxa"/>
            <w:vAlign w:val="center"/>
          </w:tcPr>
          <w:p w14:paraId="7849792D">
            <w:pPr>
              <w:pStyle w:val="11"/>
            </w:pPr>
          </w:p>
        </w:tc>
        <w:tc>
          <w:tcPr>
            <w:tcW w:w="1474" w:type="dxa"/>
            <w:vAlign w:val="center"/>
          </w:tcPr>
          <w:p w14:paraId="5A467038">
            <w:pPr>
              <w:pStyle w:val="11"/>
            </w:pPr>
          </w:p>
        </w:tc>
        <w:tc>
          <w:tcPr>
            <w:tcW w:w="1474" w:type="dxa"/>
            <w:vAlign w:val="center"/>
          </w:tcPr>
          <w:p w14:paraId="5FDE78E4">
            <w:pPr>
              <w:pStyle w:val="11"/>
            </w:pPr>
          </w:p>
        </w:tc>
      </w:tr>
      <w:tr w14:paraId="738C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944F">
            <w:pPr>
              <w:pStyle w:val="13"/>
            </w:pPr>
            <w:r>
              <w:t>25</w:t>
            </w:r>
          </w:p>
        </w:tc>
        <w:tc>
          <w:tcPr>
            <w:tcW w:w="3402" w:type="dxa"/>
            <w:vAlign w:val="center"/>
          </w:tcPr>
          <w:p w14:paraId="28A53298">
            <w:pPr>
              <w:pStyle w:val="12"/>
            </w:pPr>
          </w:p>
        </w:tc>
        <w:tc>
          <w:tcPr>
            <w:tcW w:w="1474" w:type="dxa"/>
            <w:vAlign w:val="center"/>
          </w:tcPr>
          <w:p w14:paraId="3DD7A64F">
            <w:pPr>
              <w:pStyle w:val="11"/>
            </w:pPr>
          </w:p>
        </w:tc>
        <w:tc>
          <w:tcPr>
            <w:tcW w:w="3402" w:type="dxa"/>
            <w:vAlign w:val="center"/>
          </w:tcPr>
          <w:p w14:paraId="6077832E">
            <w:pPr>
              <w:pStyle w:val="12"/>
            </w:pPr>
            <w:r>
              <w:t>二十五、其他支出</w:t>
            </w:r>
          </w:p>
        </w:tc>
        <w:tc>
          <w:tcPr>
            <w:tcW w:w="1474" w:type="dxa"/>
            <w:vAlign w:val="center"/>
          </w:tcPr>
          <w:p w14:paraId="44D6F5AF">
            <w:pPr>
              <w:pStyle w:val="11"/>
            </w:pPr>
          </w:p>
        </w:tc>
        <w:tc>
          <w:tcPr>
            <w:tcW w:w="1474" w:type="dxa"/>
            <w:vAlign w:val="center"/>
          </w:tcPr>
          <w:p w14:paraId="2FB31AE1">
            <w:pPr>
              <w:pStyle w:val="11"/>
            </w:pPr>
          </w:p>
        </w:tc>
        <w:tc>
          <w:tcPr>
            <w:tcW w:w="1474" w:type="dxa"/>
            <w:vAlign w:val="center"/>
          </w:tcPr>
          <w:p w14:paraId="5E52772A">
            <w:pPr>
              <w:pStyle w:val="11"/>
            </w:pPr>
          </w:p>
        </w:tc>
        <w:tc>
          <w:tcPr>
            <w:tcW w:w="1474" w:type="dxa"/>
            <w:vAlign w:val="center"/>
          </w:tcPr>
          <w:p w14:paraId="160C6401">
            <w:pPr>
              <w:pStyle w:val="11"/>
            </w:pPr>
          </w:p>
        </w:tc>
      </w:tr>
      <w:tr w14:paraId="3F95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146B5">
            <w:pPr>
              <w:pStyle w:val="13"/>
            </w:pPr>
            <w:r>
              <w:t>26</w:t>
            </w:r>
          </w:p>
        </w:tc>
        <w:tc>
          <w:tcPr>
            <w:tcW w:w="3402" w:type="dxa"/>
            <w:vAlign w:val="center"/>
          </w:tcPr>
          <w:p w14:paraId="20B31B8D">
            <w:pPr>
              <w:pStyle w:val="12"/>
            </w:pPr>
          </w:p>
        </w:tc>
        <w:tc>
          <w:tcPr>
            <w:tcW w:w="1474" w:type="dxa"/>
            <w:vAlign w:val="center"/>
          </w:tcPr>
          <w:p w14:paraId="1BE7990F">
            <w:pPr>
              <w:pStyle w:val="11"/>
            </w:pPr>
          </w:p>
        </w:tc>
        <w:tc>
          <w:tcPr>
            <w:tcW w:w="3402" w:type="dxa"/>
            <w:vAlign w:val="center"/>
          </w:tcPr>
          <w:p w14:paraId="58897F10">
            <w:pPr>
              <w:pStyle w:val="12"/>
            </w:pPr>
            <w:r>
              <w:t>二十六、转移性支出</w:t>
            </w:r>
          </w:p>
        </w:tc>
        <w:tc>
          <w:tcPr>
            <w:tcW w:w="1474" w:type="dxa"/>
            <w:vAlign w:val="center"/>
          </w:tcPr>
          <w:p w14:paraId="2D67372B">
            <w:pPr>
              <w:pStyle w:val="11"/>
            </w:pPr>
          </w:p>
        </w:tc>
        <w:tc>
          <w:tcPr>
            <w:tcW w:w="1474" w:type="dxa"/>
            <w:vAlign w:val="center"/>
          </w:tcPr>
          <w:p w14:paraId="55959D59">
            <w:pPr>
              <w:pStyle w:val="11"/>
            </w:pPr>
          </w:p>
        </w:tc>
        <w:tc>
          <w:tcPr>
            <w:tcW w:w="1474" w:type="dxa"/>
            <w:vAlign w:val="center"/>
          </w:tcPr>
          <w:p w14:paraId="0DF23AA5">
            <w:pPr>
              <w:pStyle w:val="11"/>
            </w:pPr>
          </w:p>
        </w:tc>
        <w:tc>
          <w:tcPr>
            <w:tcW w:w="1474" w:type="dxa"/>
            <w:vAlign w:val="center"/>
          </w:tcPr>
          <w:p w14:paraId="6D564ACB">
            <w:pPr>
              <w:pStyle w:val="11"/>
            </w:pPr>
          </w:p>
        </w:tc>
      </w:tr>
      <w:tr w14:paraId="37D2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8E09F">
            <w:pPr>
              <w:pStyle w:val="13"/>
            </w:pPr>
            <w:r>
              <w:t>27</w:t>
            </w:r>
          </w:p>
        </w:tc>
        <w:tc>
          <w:tcPr>
            <w:tcW w:w="3402" w:type="dxa"/>
            <w:vAlign w:val="center"/>
          </w:tcPr>
          <w:p w14:paraId="5B161CBC">
            <w:pPr>
              <w:pStyle w:val="12"/>
            </w:pPr>
          </w:p>
        </w:tc>
        <w:tc>
          <w:tcPr>
            <w:tcW w:w="1474" w:type="dxa"/>
            <w:vAlign w:val="center"/>
          </w:tcPr>
          <w:p w14:paraId="70AA95ED">
            <w:pPr>
              <w:pStyle w:val="11"/>
            </w:pPr>
          </w:p>
        </w:tc>
        <w:tc>
          <w:tcPr>
            <w:tcW w:w="3402" w:type="dxa"/>
            <w:vAlign w:val="center"/>
          </w:tcPr>
          <w:p w14:paraId="18507091">
            <w:pPr>
              <w:pStyle w:val="12"/>
            </w:pPr>
            <w:r>
              <w:t>二十七、债务还本支出</w:t>
            </w:r>
          </w:p>
        </w:tc>
        <w:tc>
          <w:tcPr>
            <w:tcW w:w="1474" w:type="dxa"/>
            <w:vAlign w:val="center"/>
          </w:tcPr>
          <w:p w14:paraId="20B39801">
            <w:pPr>
              <w:pStyle w:val="11"/>
            </w:pPr>
          </w:p>
        </w:tc>
        <w:tc>
          <w:tcPr>
            <w:tcW w:w="1474" w:type="dxa"/>
            <w:vAlign w:val="center"/>
          </w:tcPr>
          <w:p w14:paraId="1804FD6D">
            <w:pPr>
              <w:pStyle w:val="11"/>
            </w:pPr>
          </w:p>
        </w:tc>
        <w:tc>
          <w:tcPr>
            <w:tcW w:w="1474" w:type="dxa"/>
            <w:vAlign w:val="center"/>
          </w:tcPr>
          <w:p w14:paraId="5AF51EC9">
            <w:pPr>
              <w:pStyle w:val="11"/>
            </w:pPr>
          </w:p>
        </w:tc>
        <w:tc>
          <w:tcPr>
            <w:tcW w:w="1474" w:type="dxa"/>
            <w:vAlign w:val="center"/>
          </w:tcPr>
          <w:p w14:paraId="1193B4D4">
            <w:pPr>
              <w:pStyle w:val="11"/>
            </w:pPr>
          </w:p>
        </w:tc>
      </w:tr>
      <w:tr w14:paraId="0B1D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E175">
            <w:pPr>
              <w:pStyle w:val="13"/>
            </w:pPr>
            <w:r>
              <w:t>28</w:t>
            </w:r>
          </w:p>
        </w:tc>
        <w:tc>
          <w:tcPr>
            <w:tcW w:w="3402" w:type="dxa"/>
            <w:vAlign w:val="center"/>
          </w:tcPr>
          <w:p w14:paraId="674BBEED">
            <w:pPr>
              <w:pStyle w:val="12"/>
            </w:pPr>
          </w:p>
        </w:tc>
        <w:tc>
          <w:tcPr>
            <w:tcW w:w="1474" w:type="dxa"/>
            <w:vAlign w:val="center"/>
          </w:tcPr>
          <w:p w14:paraId="6E4EB886">
            <w:pPr>
              <w:pStyle w:val="11"/>
            </w:pPr>
          </w:p>
        </w:tc>
        <w:tc>
          <w:tcPr>
            <w:tcW w:w="3402" w:type="dxa"/>
            <w:vAlign w:val="center"/>
          </w:tcPr>
          <w:p w14:paraId="4D39BDE8">
            <w:pPr>
              <w:pStyle w:val="12"/>
            </w:pPr>
            <w:r>
              <w:t>二十八、债务付息支出</w:t>
            </w:r>
          </w:p>
        </w:tc>
        <w:tc>
          <w:tcPr>
            <w:tcW w:w="1474" w:type="dxa"/>
            <w:vAlign w:val="center"/>
          </w:tcPr>
          <w:p w14:paraId="23ACA11A">
            <w:pPr>
              <w:pStyle w:val="11"/>
            </w:pPr>
          </w:p>
        </w:tc>
        <w:tc>
          <w:tcPr>
            <w:tcW w:w="1474" w:type="dxa"/>
            <w:vAlign w:val="center"/>
          </w:tcPr>
          <w:p w14:paraId="2B08FE59">
            <w:pPr>
              <w:pStyle w:val="11"/>
            </w:pPr>
          </w:p>
        </w:tc>
        <w:tc>
          <w:tcPr>
            <w:tcW w:w="1474" w:type="dxa"/>
            <w:vAlign w:val="center"/>
          </w:tcPr>
          <w:p w14:paraId="513DE616">
            <w:pPr>
              <w:pStyle w:val="11"/>
            </w:pPr>
          </w:p>
        </w:tc>
        <w:tc>
          <w:tcPr>
            <w:tcW w:w="1474" w:type="dxa"/>
            <w:vAlign w:val="center"/>
          </w:tcPr>
          <w:p w14:paraId="1F25CA1D">
            <w:pPr>
              <w:pStyle w:val="11"/>
            </w:pPr>
          </w:p>
        </w:tc>
      </w:tr>
      <w:tr w14:paraId="6D94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EDB4">
            <w:pPr>
              <w:pStyle w:val="13"/>
            </w:pPr>
            <w:r>
              <w:t>29</w:t>
            </w:r>
          </w:p>
        </w:tc>
        <w:tc>
          <w:tcPr>
            <w:tcW w:w="3402" w:type="dxa"/>
            <w:vAlign w:val="center"/>
          </w:tcPr>
          <w:p w14:paraId="1D0EAB3C">
            <w:pPr>
              <w:pStyle w:val="12"/>
            </w:pPr>
          </w:p>
        </w:tc>
        <w:tc>
          <w:tcPr>
            <w:tcW w:w="1474" w:type="dxa"/>
            <w:vAlign w:val="center"/>
          </w:tcPr>
          <w:p w14:paraId="4DBFFEF8">
            <w:pPr>
              <w:pStyle w:val="11"/>
            </w:pPr>
          </w:p>
        </w:tc>
        <w:tc>
          <w:tcPr>
            <w:tcW w:w="3402" w:type="dxa"/>
            <w:vAlign w:val="center"/>
          </w:tcPr>
          <w:p w14:paraId="39E67AB6">
            <w:pPr>
              <w:pStyle w:val="12"/>
            </w:pPr>
            <w:r>
              <w:t>二十九、债务发行费用支出</w:t>
            </w:r>
          </w:p>
        </w:tc>
        <w:tc>
          <w:tcPr>
            <w:tcW w:w="1474" w:type="dxa"/>
            <w:vAlign w:val="center"/>
          </w:tcPr>
          <w:p w14:paraId="647ED6CB">
            <w:pPr>
              <w:pStyle w:val="11"/>
            </w:pPr>
          </w:p>
        </w:tc>
        <w:tc>
          <w:tcPr>
            <w:tcW w:w="1474" w:type="dxa"/>
            <w:vAlign w:val="center"/>
          </w:tcPr>
          <w:p w14:paraId="3E7FA673">
            <w:pPr>
              <w:pStyle w:val="11"/>
            </w:pPr>
          </w:p>
        </w:tc>
        <w:tc>
          <w:tcPr>
            <w:tcW w:w="1474" w:type="dxa"/>
            <w:vAlign w:val="center"/>
          </w:tcPr>
          <w:p w14:paraId="24182119">
            <w:pPr>
              <w:pStyle w:val="11"/>
            </w:pPr>
          </w:p>
        </w:tc>
        <w:tc>
          <w:tcPr>
            <w:tcW w:w="1474" w:type="dxa"/>
            <w:vAlign w:val="center"/>
          </w:tcPr>
          <w:p w14:paraId="601F145F">
            <w:pPr>
              <w:pStyle w:val="11"/>
            </w:pPr>
          </w:p>
        </w:tc>
      </w:tr>
      <w:tr w14:paraId="1E14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E47AD">
            <w:pPr>
              <w:pStyle w:val="13"/>
            </w:pPr>
            <w:r>
              <w:t>30</w:t>
            </w:r>
          </w:p>
        </w:tc>
        <w:tc>
          <w:tcPr>
            <w:tcW w:w="3402" w:type="dxa"/>
            <w:vAlign w:val="center"/>
          </w:tcPr>
          <w:p w14:paraId="18BCEA10">
            <w:pPr>
              <w:pStyle w:val="12"/>
            </w:pPr>
          </w:p>
        </w:tc>
        <w:tc>
          <w:tcPr>
            <w:tcW w:w="1474" w:type="dxa"/>
            <w:vAlign w:val="center"/>
          </w:tcPr>
          <w:p w14:paraId="3E5B9C3A">
            <w:pPr>
              <w:pStyle w:val="11"/>
            </w:pPr>
          </w:p>
        </w:tc>
        <w:tc>
          <w:tcPr>
            <w:tcW w:w="3402" w:type="dxa"/>
            <w:vAlign w:val="center"/>
          </w:tcPr>
          <w:p w14:paraId="5AD54F64">
            <w:pPr>
              <w:pStyle w:val="12"/>
            </w:pPr>
            <w:r>
              <w:t>三十、抗疫特别国债安排的支出</w:t>
            </w:r>
          </w:p>
        </w:tc>
        <w:tc>
          <w:tcPr>
            <w:tcW w:w="1474" w:type="dxa"/>
            <w:vAlign w:val="center"/>
          </w:tcPr>
          <w:p w14:paraId="563FD44D">
            <w:pPr>
              <w:pStyle w:val="11"/>
            </w:pPr>
          </w:p>
        </w:tc>
        <w:tc>
          <w:tcPr>
            <w:tcW w:w="1474" w:type="dxa"/>
            <w:vAlign w:val="center"/>
          </w:tcPr>
          <w:p w14:paraId="5FF9F39C">
            <w:pPr>
              <w:pStyle w:val="11"/>
            </w:pPr>
          </w:p>
        </w:tc>
        <w:tc>
          <w:tcPr>
            <w:tcW w:w="1474" w:type="dxa"/>
            <w:vAlign w:val="center"/>
          </w:tcPr>
          <w:p w14:paraId="02C0F5D3">
            <w:pPr>
              <w:pStyle w:val="11"/>
            </w:pPr>
          </w:p>
        </w:tc>
        <w:tc>
          <w:tcPr>
            <w:tcW w:w="1474" w:type="dxa"/>
            <w:vAlign w:val="center"/>
          </w:tcPr>
          <w:p w14:paraId="26B40678">
            <w:pPr>
              <w:pStyle w:val="11"/>
            </w:pPr>
          </w:p>
        </w:tc>
      </w:tr>
      <w:tr w14:paraId="110BE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F623">
            <w:pPr>
              <w:pStyle w:val="13"/>
            </w:pPr>
            <w:r>
              <w:t>31</w:t>
            </w:r>
          </w:p>
        </w:tc>
        <w:tc>
          <w:tcPr>
            <w:tcW w:w="3402" w:type="dxa"/>
            <w:vAlign w:val="center"/>
          </w:tcPr>
          <w:p w14:paraId="45F7727D">
            <w:pPr>
              <w:pStyle w:val="12"/>
            </w:pPr>
          </w:p>
        </w:tc>
        <w:tc>
          <w:tcPr>
            <w:tcW w:w="1474" w:type="dxa"/>
            <w:vAlign w:val="center"/>
          </w:tcPr>
          <w:p w14:paraId="12CEA4BD">
            <w:pPr>
              <w:pStyle w:val="11"/>
            </w:pPr>
          </w:p>
        </w:tc>
        <w:tc>
          <w:tcPr>
            <w:tcW w:w="3402" w:type="dxa"/>
            <w:vAlign w:val="center"/>
          </w:tcPr>
          <w:p w14:paraId="3284DE9A">
            <w:pPr>
              <w:pStyle w:val="12"/>
            </w:pPr>
            <w:r>
              <w:t>三十一、人行科目</w:t>
            </w:r>
          </w:p>
        </w:tc>
        <w:tc>
          <w:tcPr>
            <w:tcW w:w="1474" w:type="dxa"/>
            <w:vAlign w:val="center"/>
          </w:tcPr>
          <w:p w14:paraId="5CA0DD1F">
            <w:pPr>
              <w:pStyle w:val="11"/>
            </w:pPr>
          </w:p>
        </w:tc>
        <w:tc>
          <w:tcPr>
            <w:tcW w:w="1474" w:type="dxa"/>
            <w:vAlign w:val="center"/>
          </w:tcPr>
          <w:p w14:paraId="2AAF37DB">
            <w:pPr>
              <w:pStyle w:val="11"/>
            </w:pPr>
          </w:p>
        </w:tc>
        <w:tc>
          <w:tcPr>
            <w:tcW w:w="1474" w:type="dxa"/>
            <w:vAlign w:val="center"/>
          </w:tcPr>
          <w:p w14:paraId="6AA9F04F">
            <w:pPr>
              <w:pStyle w:val="11"/>
            </w:pPr>
          </w:p>
        </w:tc>
        <w:tc>
          <w:tcPr>
            <w:tcW w:w="1474" w:type="dxa"/>
            <w:vAlign w:val="center"/>
          </w:tcPr>
          <w:p w14:paraId="09683180">
            <w:pPr>
              <w:pStyle w:val="11"/>
            </w:pPr>
          </w:p>
        </w:tc>
      </w:tr>
      <w:tr w14:paraId="345A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80A8">
            <w:pPr>
              <w:pStyle w:val="13"/>
            </w:pPr>
            <w:r>
              <w:t>32</w:t>
            </w:r>
          </w:p>
        </w:tc>
        <w:tc>
          <w:tcPr>
            <w:tcW w:w="3402" w:type="dxa"/>
            <w:vAlign w:val="center"/>
          </w:tcPr>
          <w:p w14:paraId="4A2E486E">
            <w:pPr>
              <w:pStyle w:val="14"/>
            </w:pPr>
            <w:r>
              <w:t>本年收入合计</w:t>
            </w:r>
          </w:p>
        </w:tc>
        <w:tc>
          <w:tcPr>
            <w:tcW w:w="1474" w:type="dxa"/>
            <w:vAlign w:val="center"/>
          </w:tcPr>
          <w:p w14:paraId="1E178AD1">
            <w:pPr>
              <w:pStyle w:val="15"/>
            </w:pPr>
            <w:r>
              <w:t>180.35</w:t>
            </w:r>
          </w:p>
        </w:tc>
        <w:tc>
          <w:tcPr>
            <w:tcW w:w="3402" w:type="dxa"/>
            <w:vAlign w:val="center"/>
          </w:tcPr>
          <w:p w14:paraId="5C848B7B">
            <w:pPr>
              <w:pStyle w:val="14"/>
            </w:pPr>
            <w:r>
              <w:t>本年支出合计</w:t>
            </w:r>
          </w:p>
        </w:tc>
        <w:tc>
          <w:tcPr>
            <w:tcW w:w="1474" w:type="dxa"/>
            <w:vAlign w:val="center"/>
          </w:tcPr>
          <w:p w14:paraId="09F829A4">
            <w:pPr>
              <w:pStyle w:val="15"/>
            </w:pPr>
            <w:r>
              <w:t>180.35</w:t>
            </w:r>
          </w:p>
        </w:tc>
        <w:tc>
          <w:tcPr>
            <w:tcW w:w="1474" w:type="dxa"/>
            <w:vAlign w:val="center"/>
          </w:tcPr>
          <w:p w14:paraId="155020EE">
            <w:pPr>
              <w:pStyle w:val="15"/>
            </w:pPr>
            <w:r>
              <w:t>180.35</w:t>
            </w:r>
          </w:p>
        </w:tc>
        <w:tc>
          <w:tcPr>
            <w:tcW w:w="1474" w:type="dxa"/>
            <w:vAlign w:val="center"/>
          </w:tcPr>
          <w:p w14:paraId="577336A7">
            <w:pPr>
              <w:pStyle w:val="15"/>
            </w:pPr>
          </w:p>
        </w:tc>
        <w:tc>
          <w:tcPr>
            <w:tcW w:w="1474" w:type="dxa"/>
            <w:vAlign w:val="center"/>
          </w:tcPr>
          <w:p w14:paraId="6F550EF4">
            <w:pPr>
              <w:pStyle w:val="15"/>
            </w:pPr>
          </w:p>
        </w:tc>
      </w:tr>
      <w:tr w14:paraId="006C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E4447">
            <w:pPr>
              <w:pStyle w:val="13"/>
            </w:pPr>
            <w:r>
              <w:t>33</w:t>
            </w:r>
          </w:p>
        </w:tc>
        <w:tc>
          <w:tcPr>
            <w:tcW w:w="3402" w:type="dxa"/>
            <w:vAlign w:val="center"/>
          </w:tcPr>
          <w:p w14:paraId="16DBA3FD">
            <w:pPr>
              <w:pStyle w:val="12"/>
            </w:pPr>
            <w:r>
              <w:t>年初财政拨款结转和结余</w:t>
            </w:r>
          </w:p>
        </w:tc>
        <w:tc>
          <w:tcPr>
            <w:tcW w:w="1474" w:type="dxa"/>
            <w:vAlign w:val="center"/>
          </w:tcPr>
          <w:p w14:paraId="705F337A">
            <w:pPr>
              <w:pStyle w:val="11"/>
            </w:pPr>
          </w:p>
        </w:tc>
        <w:tc>
          <w:tcPr>
            <w:tcW w:w="3402" w:type="dxa"/>
            <w:vAlign w:val="center"/>
          </w:tcPr>
          <w:p w14:paraId="22D5FB21">
            <w:pPr>
              <w:pStyle w:val="12"/>
            </w:pPr>
            <w:r>
              <w:t>年末财政拨款结转和结余</w:t>
            </w:r>
          </w:p>
        </w:tc>
        <w:tc>
          <w:tcPr>
            <w:tcW w:w="1474" w:type="dxa"/>
            <w:vAlign w:val="center"/>
          </w:tcPr>
          <w:p w14:paraId="4A697620">
            <w:pPr>
              <w:pStyle w:val="11"/>
            </w:pPr>
          </w:p>
        </w:tc>
        <w:tc>
          <w:tcPr>
            <w:tcW w:w="1474" w:type="dxa"/>
            <w:vAlign w:val="center"/>
          </w:tcPr>
          <w:p w14:paraId="0C6B4091">
            <w:pPr>
              <w:pStyle w:val="11"/>
            </w:pPr>
          </w:p>
        </w:tc>
        <w:tc>
          <w:tcPr>
            <w:tcW w:w="1474" w:type="dxa"/>
            <w:vAlign w:val="center"/>
          </w:tcPr>
          <w:p w14:paraId="5458A7A4">
            <w:pPr>
              <w:pStyle w:val="11"/>
            </w:pPr>
          </w:p>
        </w:tc>
        <w:tc>
          <w:tcPr>
            <w:tcW w:w="1474" w:type="dxa"/>
            <w:vAlign w:val="center"/>
          </w:tcPr>
          <w:p w14:paraId="41E65AFE">
            <w:pPr>
              <w:pStyle w:val="11"/>
            </w:pPr>
          </w:p>
        </w:tc>
      </w:tr>
      <w:tr w14:paraId="438F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0453">
            <w:pPr>
              <w:pStyle w:val="13"/>
            </w:pPr>
            <w:r>
              <w:t>34</w:t>
            </w:r>
          </w:p>
        </w:tc>
        <w:tc>
          <w:tcPr>
            <w:tcW w:w="3402" w:type="dxa"/>
            <w:vAlign w:val="center"/>
          </w:tcPr>
          <w:p w14:paraId="77C61976">
            <w:pPr>
              <w:pStyle w:val="12"/>
            </w:pPr>
            <w:r>
              <w:t>一、一般公共预算拨款</w:t>
            </w:r>
          </w:p>
        </w:tc>
        <w:tc>
          <w:tcPr>
            <w:tcW w:w="1474" w:type="dxa"/>
            <w:vAlign w:val="center"/>
          </w:tcPr>
          <w:p w14:paraId="4B4E18CF">
            <w:pPr>
              <w:pStyle w:val="11"/>
            </w:pPr>
          </w:p>
        </w:tc>
        <w:tc>
          <w:tcPr>
            <w:tcW w:w="3402" w:type="dxa"/>
            <w:vAlign w:val="center"/>
          </w:tcPr>
          <w:p w14:paraId="4CF004E5">
            <w:pPr>
              <w:pStyle w:val="12"/>
            </w:pPr>
          </w:p>
        </w:tc>
        <w:tc>
          <w:tcPr>
            <w:tcW w:w="1474" w:type="dxa"/>
            <w:vAlign w:val="center"/>
          </w:tcPr>
          <w:p w14:paraId="2BD1A961">
            <w:pPr>
              <w:pStyle w:val="11"/>
            </w:pPr>
          </w:p>
        </w:tc>
        <w:tc>
          <w:tcPr>
            <w:tcW w:w="1474" w:type="dxa"/>
            <w:vAlign w:val="center"/>
          </w:tcPr>
          <w:p w14:paraId="3CA1E4C7">
            <w:pPr>
              <w:pStyle w:val="11"/>
            </w:pPr>
          </w:p>
        </w:tc>
        <w:tc>
          <w:tcPr>
            <w:tcW w:w="1474" w:type="dxa"/>
            <w:vAlign w:val="center"/>
          </w:tcPr>
          <w:p w14:paraId="51781EF3">
            <w:pPr>
              <w:pStyle w:val="11"/>
            </w:pPr>
          </w:p>
        </w:tc>
        <w:tc>
          <w:tcPr>
            <w:tcW w:w="1474" w:type="dxa"/>
            <w:vAlign w:val="center"/>
          </w:tcPr>
          <w:p w14:paraId="53B58AA0">
            <w:pPr>
              <w:pStyle w:val="11"/>
            </w:pPr>
          </w:p>
        </w:tc>
      </w:tr>
      <w:tr w14:paraId="325A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05E0">
            <w:pPr>
              <w:pStyle w:val="13"/>
            </w:pPr>
            <w:r>
              <w:t>35</w:t>
            </w:r>
          </w:p>
        </w:tc>
        <w:tc>
          <w:tcPr>
            <w:tcW w:w="3402" w:type="dxa"/>
            <w:vAlign w:val="center"/>
          </w:tcPr>
          <w:p w14:paraId="0BEE0E74">
            <w:pPr>
              <w:pStyle w:val="12"/>
            </w:pPr>
            <w:r>
              <w:t>二、政府性基金预算拨款</w:t>
            </w:r>
          </w:p>
        </w:tc>
        <w:tc>
          <w:tcPr>
            <w:tcW w:w="1474" w:type="dxa"/>
            <w:vAlign w:val="center"/>
          </w:tcPr>
          <w:p w14:paraId="2B14E44A">
            <w:pPr>
              <w:pStyle w:val="11"/>
            </w:pPr>
          </w:p>
        </w:tc>
        <w:tc>
          <w:tcPr>
            <w:tcW w:w="3402" w:type="dxa"/>
            <w:vAlign w:val="center"/>
          </w:tcPr>
          <w:p w14:paraId="1962E1ED">
            <w:pPr>
              <w:pStyle w:val="12"/>
            </w:pPr>
          </w:p>
        </w:tc>
        <w:tc>
          <w:tcPr>
            <w:tcW w:w="1474" w:type="dxa"/>
            <w:vAlign w:val="center"/>
          </w:tcPr>
          <w:p w14:paraId="5D247270">
            <w:pPr>
              <w:pStyle w:val="11"/>
            </w:pPr>
          </w:p>
        </w:tc>
        <w:tc>
          <w:tcPr>
            <w:tcW w:w="1474" w:type="dxa"/>
            <w:vAlign w:val="center"/>
          </w:tcPr>
          <w:p w14:paraId="4AFD2247">
            <w:pPr>
              <w:pStyle w:val="11"/>
            </w:pPr>
          </w:p>
        </w:tc>
        <w:tc>
          <w:tcPr>
            <w:tcW w:w="1474" w:type="dxa"/>
            <w:vAlign w:val="center"/>
          </w:tcPr>
          <w:p w14:paraId="166830F7">
            <w:pPr>
              <w:pStyle w:val="11"/>
            </w:pPr>
          </w:p>
        </w:tc>
        <w:tc>
          <w:tcPr>
            <w:tcW w:w="1474" w:type="dxa"/>
            <w:vAlign w:val="center"/>
          </w:tcPr>
          <w:p w14:paraId="1B42C89E">
            <w:pPr>
              <w:pStyle w:val="11"/>
            </w:pPr>
          </w:p>
        </w:tc>
      </w:tr>
      <w:tr w14:paraId="6CF0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FFE6">
            <w:pPr>
              <w:pStyle w:val="13"/>
            </w:pPr>
            <w:r>
              <w:t>36</w:t>
            </w:r>
          </w:p>
        </w:tc>
        <w:tc>
          <w:tcPr>
            <w:tcW w:w="3402" w:type="dxa"/>
            <w:vAlign w:val="center"/>
          </w:tcPr>
          <w:p w14:paraId="140D7DD1">
            <w:pPr>
              <w:pStyle w:val="12"/>
            </w:pPr>
            <w:r>
              <w:t>三、国有资本经营预算拨款</w:t>
            </w:r>
          </w:p>
        </w:tc>
        <w:tc>
          <w:tcPr>
            <w:tcW w:w="1474" w:type="dxa"/>
            <w:vAlign w:val="center"/>
          </w:tcPr>
          <w:p w14:paraId="776EE983">
            <w:pPr>
              <w:pStyle w:val="11"/>
            </w:pPr>
          </w:p>
        </w:tc>
        <w:tc>
          <w:tcPr>
            <w:tcW w:w="3402" w:type="dxa"/>
            <w:vAlign w:val="center"/>
          </w:tcPr>
          <w:p w14:paraId="38BF17A1">
            <w:pPr>
              <w:pStyle w:val="12"/>
            </w:pPr>
          </w:p>
        </w:tc>
        <w:tc>
          <w:tcPr>
            <w:tcW w:w="1474" w:type="dxa"/>
            <w:vAlign w:val="center"/>
          </w:tcPr>
          <w:p w14:paraId="0480FF90">
            <w:pPr>
              <w:pStyle w:val="11"/>
            </w:pPr>
          </w:p>
        </w:tc>
        <w:tc>
          <w:tcPr>
            <w:tcW w:w="1474" w:type="dxa"/>
            <w:vAlign w:val="center"/>
          </w:tcPr>
          <w:p w14:paraId="494A2ABF">
            <w:pPr>
              <w:pStyle w:val="11"/>
            </w:pPr>
          </w:p>
        </w:tc>
        <w:tc>
          <w:tcPr>
            <w:tcW w:w="1474" w:type="dxa"/>
            <w:vAlign w:val="center"/>
          </w:tcPr>
          <w:p w14:paraId="272E42B2">
            <w:pPr>
              <w:pStyle w:val="11"/>
            </w:pPr>
          </w:p>
        </w:tc>
        <w:tc>
          <w:tcPr>
            <w:tcW w:w="1474" w:type="dxa"/>
            <w:vAlign w:val="center"/>
          </w:tcPr>
          <w:p w14:paraId="085012A1">
            <w:pPr>
              <w:pStyle w:val="11"/>
            </w:pPr>
          </w:p>
        </w:tc>
      </w:tr>
      <w:tr w14:paraId="31C6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377D4">
            <w:pPr>
              <w:pStyle w:val="13"/>
            </w:pPr>
            <w:r>
              <w:t>37</w:t>
            </w:r>
          </w:p>
        </w:tc>
        <w:tc>
          <w:tcPr>
            <w:tcW w:w="3402" w:type="dxa"/>
            <w:vAlign w:val="center"/>
          </w:tcPr>
          <w:p w14:paraId="5074BDA7">
            <w:pPr>
              <w:pStyle w:val="14"/>
            </w:pPr>
            <w:r>
              <w:t>收入总计</w:t>
            </w:r>
          </w:p>
        </w:tc>
        <w:tc>
          <w:tcPr>
            <w:tcW w:w="1474" w:type="dxa"/>
            <w:vAlign w:val="center"/>
          </w:tcPr>
          <w:p w14:paraId="08F11152">
            <w:pPr>
              <w:pStyle w:val="15"/>
            </w:pPr>
            <w:r>
              <w:t>180.35</w:t>
            </w:r>
          </w:p>
        </w:tc>
        <w:tc>
          <w:tcPr>
            <w:tcW w:w="3402" w:type="dxa"/>
            <w:vAlign w:val="center"/>
          </w:tcPr>
          <w:p w14:paraId="5E2F7EF5">
            <w:pPr>
              <w:pStyle w:val="14"/>
            </w:pPr>
            <w:r>
              <w:t>支出总计</w:t>
            </w:r>
          </w:p>
        </w:tc>
        <w:tc>
          <w:tcPr>
            <w:tcW w:w="1474" w:type="dxa"/>
            <w:vAlign w:val="center"/>
          </w:tcPr>
          <w:p w14:paraId="433A9693">
            <w:pPr>
              <w:pStyle w:val="15"/>
            </w:pPr>
            <w:r>
              <w:t>180.35</w:t>
            </w:r>
          </w:p>
        </w:tc>
        <w:tc>
          <w:tcPr>
            <w:tcW w:w="1474" w:type="dxa"/>
            <w:vAlign w:val="center"/>
          </w:tcPr>
          <w:p w14:paraId="0DF81EC9">
            <w:pPr>
              <w:pStyle w:val="15"/>
            </w:pPr>
            <w:r>
              <w:t>180.35</w:t>
            </w:r>
          </w:p>
        </w:tc>
        <w:tc>
          <w:tcPr>
            <w:tcW w:w="1474" w:type="dxa"/>
            <w:vAlign w:val="center"/>
          </w:tcPr>
          <w:p w14:paraId="72D440EF">
            <w:pPr>
              <w:pStyle w:val="15"/>
            </w:pPr>
          </w:p>
        </w:tc>
        <w:tc>
          <w:tcPr>
            <w:tcW w:w="1474" w:type="dxa"/>
            <w:vAlign w:val="center"/>
          </w:tcPr>
          <w:p w14:paraId="6E0E764A">
            <w:pPr>
              <w:pStyle w:val="15"/>
            </w:pPr>
          </w:p>
        </w:tc>
      </w:tr>
    </w:tbl>
    <w:p w14:paraId="4A0B1E77">
      <w:pPr>
        <w:sectPr>
          <w:pgSz w:w="16840" w:h="11900" w:orient="landscape"/>
          <w:pgMar w:top="1361" w:right="1020" w:bottom="1134" w:left="1020" w:header="720" w:footer="720" w:gutter="0"/>
          <w:cols w:space="720" w:num="1"/>
        </w:sectPr>
      </w:pPr>
    </w:p>
    <w:p w14:paraId="46F8D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B2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2F1053">
            <w:pPr>
              <w:pStyle w:val="9"/>
            </w:pPr>
            <w:r>
              <w:t>360012隆尧县特殊教育学校</w:t>
            </w:r>
          </w:p>
        </w:tc>
        <w:tc>
          <w:tcPr>
            <w:tcW w:w="2551" w:type="dxa"/>
            <w:tcBorders>
              <w:top w:val="single" w:color="FFFFFF" w:sz="6" w:space="0"/>
              <w:left w:val="single" w:color="FFFFFF" w:sz="6" w:space="0"/>
              <w:right w:val="single" w:color="FFFFFF" w:sz="6" w:space="0"/>
            </w:tcBorders>
            <w:vAlign w:val="center"/>
          </w:tcPr>
          <w:p w14:paraId="00D892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58B24A">
            <w:pPr>
              <w:pStyle w:val="7"/>
            </w:pPr>
            <w:r>
              <w:t>单位：万元</w:t>
            </w:r>
          </w:p>
        </w:tc>
      </w:tr>
      <w:tr w14:paraId="767D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17431">
            <w:pPr>
              <w:pStyle w:val="10"/>
            </w:pPr>
            <w:r>
              <w:t>序号</w:t>
            </w:r>
          </w:p>
        </w:tc>
        <w:tc>
          <w:tcPr>
            <w:tcW w:w="5726" w:type="dxa"/>
            <w:gridSpan w:val="2"/>
            <w:vAlign w:val="center"/>
          </w:tcPr>
          <w:p w14:paraId="61BE663B">
            <w:pPr>
              <w:pStyle w:val="10"/>
            </w:pPr>
            <w:r>
              <w:t>功能分类科目</w:t>
            </w:r>
          </w:p>
        </w:tc>
        <w:tc>
          <w:tcPr>
            <w:tcW w:w="2551" w:type="dxa"/>
            <w:vMerge w:val="restart"/>
            <w:vAlign w:val="center"/>
          </w:tcPr>
          <w:p w14:paraId="10DE12C4">
            <w:pPr>
              <w:pStyle w:val="10"/>
            </w:pPr>
            <w:r>
              <w:t>合计</w:t>
            </w:r>
          </w:p>
        </w:tc>
        <w:tc>
          <w:tcPr>
            <w:tcW w:w="2551" w:type="dxa"/>
            <w:vMerge w:val="restart"/>
            <w:vAlign w:val="center"/>
          </w:tcPr>
          <w:p w14:paraId="3DC8E72E">
            <w:pPr>
              <w:pStyle w:val="10"/>
            </w:pPr>
            <w:r>
              <w:t>基本支出</w:t>
            </w:r>
          </w:p>
        </w:tc>
        <w:tc>
          <w:tcPr>
            <w:tcW w:w="2551" w:type="dxa"/>
            <w:vMerge w:val="restart"/>
            <w:vAlign w:val="center"/>
          </w:tcPr>
          <w:p w14:paraId="0A78C193">
            <w:pPr>
              <w:pStyle w:val="10"/>
            </w:pPr>
            <w:r>
              <w:t>项目支出</w:t>
            </w:r>
          </w:p>
        </w:tc>
      </w:tr>
      <w:tr w14:paraId="3C57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60009"/>
        </w:tc>
        <w:tc>
          <w:tcPr>
            <w:tcW w:w="1191" w:type="dxa"/>
            <w:vAlign w:val="center"/>
          </w:tcPr>
          <w:p w14:paraId="3C69F300">
            <w:pPr>
              <w:pStyle w:val="10"/>
            </w:pPr>
            <w:r>
              <w:t>科目编码</w:t>
            </w:r>
          </w:p>
        </w:tc>
        <w:tc>
          <w:tcPr>
            <w:tcW w:w="4535" w:type="dxa"/>
            <w:vAlign w:val="center"/>
          </w:tcPr>
          <w:p w14:paraId="20BA249C">
            <w:pPr>
              <w:pStyle w:val="10"/>
            </w:pPr>
            <w:r>
              <w:t>科目名称</w:t>
            </w:r>
          </w:p>
        </w:tc>
        <w:tc>
          <w:tcPr>
            <w:tcW w:w="2551" w:type="dxa"/>
            <w:vMerge w:val="continue"/>
          </w:tcPr>
          <w:p w14:paraId="3CF177E2"/>
        </w:tc>
        <w:tc>
          <w:tcPr>
            <w:tcW w:w="2551" w:type="dxa"/>
            <w:vMerge w:val="continue"/>
          </w:tcPr>
          <w:p w14:paraId="4D7DF145"/>
        </w:tc>
        <w:tc>
          <w:tcPr>
            <w:tcW w:w="2551" w:type="dxa"/>
            <w:vMerge w:val="continue"/>
          </w:tcPr>
          <w:p w14:paraId="6FCF2EE4"/>
        </w:tc>
      </w:tr>
      <w:tr w14:paraId="0990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5D28C7">
            <w:pPr>
              <w:pStyle w:val="10"/>
            </w:pPr>
            <w:r>
              <w:t>栏次</w:t>
            </w:r>
          </w:p>
        </w:tc>
        <w:tc>
          <w:tcPr>
            <w:tcW w:w="1191" w:type="dxa"/>
            <w:vAlign w:val="center"/>
          </w:tcPr>
          <w:p w14:paraId="53168315">
            <w:pPr>
              <w:pStyle w:val="10"/>
            </w:pPr>
            <w:r>
              <w:t>1</w:t>
            </w:r>
          </w:p>
        </w:tc>
        <w:tc>
          <w:tcPr>
            <w:tcW w:w="4535" w:type="dxa"/>
            <w:vAlign w:val="center"/>
          </w:tcPr>
          <w:p w14:paraId="13233163">
            <w:pPr>
              <w:pStyle w:val="10"/>
            </w:pPr>
            <w:r>
              <w:t>2</w:t>
            </w:r>
          </w:p>
        </w:tc>
        <w:tc>
          <w:tcPr>
            <w:tcW w:w="2551" w:type="dxa"/>
            <w:vAlign w:val="center"/>
          </w:tcPr>
          <w:p w14:paraId="6F72CB47">
            <w:pPr>
              <w:pStyle w:val="10"/>
            </w:pPr>
            <w:r>
              <w:t>3</w:t>
            </w:r>
          </w:p>
        </w:tc>
        <w:tc>
          <w:tcPr>
            <w:tcW w:w="2551" w:type="dxa"/>
            <w:vAlign w:val="center"/>
          </w:tcPr>
          <w:p w14:paraId="19A37117">
            <w:pPr>
              <w:pStyle w:val="10"/>
            </w:pPr>
            <w:r>
              <w:t>4</w:t>
            </w:r>
          </w:p>
        </w:tc>
        <w:tc>
          <w:tcPr>
            <w:tcW w:w="2551" w:type="dxa"/>
            <w:vAlign w:val="center"/>
          </w:tcPr>
          <w:p w14:paraId="22B32F0B">
            <w:pPr>
              <w:pStyle w:val="10"/>
            </w:pPr>
            <w:r>
              <w:t>5</w:t>
            </w:r>
          </w:p>
        </w:tc>
      </w:tr>
      <w:tr w14:paraId="0621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CEEFC">
            <w:pPr>
              <w:pStyle w:val="13"/>
            </w:pPr>
            <w:r>
              <w:t>1</w:t>
            </w:r>
          </w:p>
        </w:tc>
        <w:tc>
          <w:tcPr>
            <w:tcW w:w="1191" w:type="dxa"/>
            <w:vAlign w:val="center"/>
          </w:tcPr>
          <w:p w14:paraId="6F3B9549">
            <w:pPr>
              <w:pStyle w:val="16"/>
            </w:pPr>
          </w:p>
        </w:tc>
        <w:tc>
          <w:tcPr>
            <w:tcW w:w="4535" w:type="dxa"/>
            <w:vAlign w:val="center"/>
          </w:tcPr>
          <w:p w14:paraId="7F90FB92">
            <w:pPr>
              <w:pStyle w:val="14"/>
            </w:pPr>
            <w:r>
              <w:t>合计</w:t>
            </w:r>
          </w:p>
        </w:tc>
        <w:tc>
          <w:tcPr>
            <w:tcW w:w="2551" w:type="dxa"/>
            <w:vAlign w:val="center"/>
          </w:tcPr>
          <w:p w14:paraId="31274BEC">
            <w:pPr>
              <w:pStyle w:val="15"/>
            </w:pPr>
            <w:r>
              <w:t>180.35</w:t>
            </w:r>
          </w:p>
        </w:tc>
        <w:tc>
          <w:tcPr>
            <w:tcW w:w="2551" w:type="dxa"/>
            <w:vAlign w:val="center"/>
          </w:tcPr>
          <w:p w14:paraId="50633978">
            <w:pPr>
              <w:pStyle w:val="15"/>
            </w:pPr>
            <w:r>
              <w:t>102.35</w:t>
            </w:r>
          </w:p>
        </w:tc>
        <w:tc>
          <w:tcPr>
            <w:tcW w:w="2551" w:type="dxa"/>
            <w:vAlign w:val="center"/>
          </w:tcPr>
          <w:p w14:paraId="71642BA3">
            <w:pPr>
              <w:pStyle w:val="15"/>
            </w:pPr>
            <w:r>
              <w:t>78.00</w:t>
            </w:r>
          </w:p>
        </w:tc>
      </w:tr>
      <w:tr w14:paraId="405F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04026">
            <w:pPr>
              <w:pStyle w:val="13"/>
            </w:pPr>
            <w:r>
              <w:t>2</w:t>
            </w:r>
          </w:p>
        </w:tc>
        <w:tc>
          <w:tcPr>
            <w:tcW w:w="1191" w:type="dxa"/>
            <w:vAlign w:val="center"/>
          </w:tcPr>
          <w:p w14:paraId="59D1DB0B">
            <w:pPr>
              <w:pStyle w:val="12"/>
            </w:pPr>
            <w:r>
              <w:t>205</w:t>
            </w:r>
          </w:p>
        </w:tc>
        <w:tc>
          <w:tcPr>
            <w:tcW w:w="4535" w:type="dxa"/>
            <w:vAlign w:val="center"/>
          </w:tcPr>
          <w:p w14:paraId="5CF13DFE">
            <w:pPr>
              <w:pStyle w:val="12"/>
            </w:pPr>
            <w:r>
              <w:t>教育支出</w:t>
            </w:r>
          </w:p>
        </w:tc>
        <w:tc>
          <w:tcPr>
            <w:tcW w:w="2551" w:type="dxa"/>
            <w:vAlign w:val="center"/>
          </w:tcPr>
          <w:p w14:paraId="0AADADBB">
            <w:pPr>
              <w:pStyle w:val="11"/>
            </w:pPr>
            <w:r>
              <w:t>180.35</w:t>
            </w:r>
          </w:p>
        </w:tc>
        <w:tc>
          <w:tcPr>
            <w:tcW w:w="2551" w:type="dxa"/>
            <w:vAlign w:val="center"/>
          </w:tcPr>
          <w:p w14:paraId="196AC97A">
            <w:pPr>
              <w:pStyle w:val="11"/>
            </w:pPr>
            <w:r>
              <w:t>102.35</w:t>
            </w:r>
          </w:p>
        </w:tc>
        <w:tc>
          <w:tcPr>
            <w:tcW w:w="2551" w:type="dxa"/>
            <w:vAlign w:val="center"/>
          </w:tcPr>
          <w:p w14:paraId="03CA5814">
            <w:pPr>
              <w:pStyle w:val="11"/>
            </w:pPr>
            <w:r>
              <w:t>78.00</w:t>
            </w:r>
          </w:p>
        </w:tc>
      </w:tr>
      <w:tr w14:paraId="67E3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B81C5">
            <w:pPr>
              <w:pStyle w:val="13"/>
            </w:pPr>
            <w:r>
              <w:t>3</w:t>
            </w:r>
          </w:p>
        </w:tc>
        <w:tc>
          <w:tcPr>
            <w:tcW w:w="1191" w:type="dxa"/>
            <w:vAlign w:val="center"/>
          </w:tcPr>
          <w:p w14:paraId="5595863F">
            <w:pPr>
              <w:pStyle w:val="12"/>
            </w:pPr>
            <w:r>
              <w:t>20507</w:t>
            </w:r>
          </w:p>
        </w:tc>
        <w:tc>
          <w:tcPr>
            <w:tcW w:w="4535" w:type="dxa"/>
            <w:vAlign w:val="center"/>
          </w:tcPr>
          <w:p w14:paraId="33CB000D">
            <w:pPr>
              <w:pStyle w:val="12"/>
            </w:pPr>
            <w:r>
              <w:t>特殊教育</w:t>
            </w:r>
          </w:p>
        </w:tc>
        <w:tc>
          <w:tcPr>
            <w:tcW w:w="2551" w:type="dxa"/>
            <w:vAlign w:val="center"/>
          </w:tcPr>
          <w:p w14:paraId="52E7CC53">
            <w:pPr>
              <w:pStyle w:val="11"/>
            </w:pPr>
            <w:r>
              <w:t>180.35</w:t>
            </w:r>
          </w:p>
        </w:tc>
        <w:tc>
          <w:tcPr>
            <w:tcW w:w="2551" w:type="dxa"/>
            <w:vAlign w:val="center"/>
          </w:tcPr>
          <w:p w14:paraId="350ED09F">
            <w:pPr>
              <w:pStyle w:val="11"/>
            </w:pPr>
            <w:r>
              <w:t>102.35</w:t>
            </w:r>
          </w:p>
        </w:tc>
        <w:tc>
          <w:tcPr>
            <w:tcW w:w="2551" w:type="dxa"/>
            <w:vAlign w:val="center"/>
          </w:tcPr>
          <w:p w14:paraId="43A2FDDB">
            <w:pPr>
              <w:pStyle w:val="11"/>
            </w:pPr>
            <w:r>
              <w:t>78.00</w:t>
            </w:r>
          </w:p>
        </w:tc>
      </w:tr>
      <w:tr w14:paraId="1C88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AA7B5">
            <w:pPr>
              <w:pStyle w:val="13"/>
            </w:pPr>
            <w:r>
              <w:t>4</w:t>
            </w:r>
          </w:p>
        </w:tc>
        <w:tc>
          <w:tcPr>
            <w:tcW w:w="1191" w:type="dxa"/>
            <w:vAlign w:val="center"/>
          </w:tcPr>
          <w:p w14:paraId="6BABC435">
            <w:pPr>
              <w:pStyle w:val="12"/>
            </w:pPr>
            <w:r>
              <w:t>2050701</w:t>
            </w:r>
          </w:p>
        </w:tc>
        <w:tc>
          <w:tcPr>
            <w:tcW w:w="4535" w:type="dxa"/>
            <w:vAlign w:val="center"/>
          </w:tcPr>
          <w:p w14:paraId="41D6E5FD">
            <w:pPr>
              <w:pStyle w:val="12"/>
            </w:pPr>
            <w:r>
              <w:t>特殊学校教育</w:t>
            </w:r>
          </w:p>
        </w:tc>
        <w:tc>
          <w:tcPr>
            <w:tcW w:w="2551" w:type="dxa"/>
            <w:vAlign w:val="center"/>
          </w:tcPr>
          <w:p w14:paraId="2D01C08E">
            <w:pPr>
              <w:pStyle w:val="11"/>
            </w:pPr>
            <w:r>
              <w:t>180.35</w:t>
            </w:r>
          </w:p>
        </w:tc>
        <w:tc>
          <w:tcPr>
            <w:tcW w:w="2551" w:type="dxa"/>
            <w:vAlign w:val="center"/>
          </w:tcPr>
          <w:p w14:paraId="2AC6E20C">
            <w:pPr>
              <w:pStyle w:val="11"/>
            </w:pPr>
            <w:r>
              <w:t>102.35</w:t>
            </w:r>
          </w:p>
        </w:tc>
        <w:tc>
          <w:tcPr>
            <w:tcW w:w="2551" w:type="dxa"/>
            <w:vAlign w:val="center"/>
          </w:tcPr>
          <w:p w14:paraId="4AC577C1">
            <w:pPr>
              <w:pStyle w:val="11"/>
            </w:pPr>
            <w:r>
              <w:t>78.00</w:t>
            </w:r>
          </w:p>
        </w:tc>
      </w:tr>
    </w:tbl>
    <w:p w14:paraId="228C7808">
      <w:pPr>
        <w:sectPr>
          <w:pgSz w:w="16840" w:h="11900" w:orient="landscape"/>
          <w:pgMar w:top="1361" w:right="1020" w:bottom="1134" w:left="1020" w:header="720" w:footer="720" w:gutter="0"/>
          <w:cols w:space="720" w:num="1"/>
        </w:sectPr>
      </w:pPr>
    </w:p>
    <w:p w14:paraId="707825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AF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33D65">
            <w:pPr>
              <w:pStyle w:val="9"/>
            </w:pPr>
            <w:r>
              <w:t>360012隆尧县特殊教育学校</w:t>
            </w:r>
          </w:p>
        </w:tc>
        <w:tc>
          <w:tcPr>
            <w:tcW w:w="2551" w:type="dxa"/>
            <w:tcBorders>
              <w:top w:val="single" w:color="FFFFFF" w:sz="6" w:space="0"/>
              <w:left w:val="single" w:color="FFFFFF" w:sz="6" w:space="0"/>
              <w:right w:val="single" w:color="FFFFFF" w:sz="6" w:space="0"/>
            </w:tcBorders>
            <w:vAlign w:val="center"/>
          </w:tcPr>
          <w:p w14:paraId="7924E5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47E802">
            <w:pPr>
              <w:pStyle w:val="7"/>
            </w:pPr>
            <w:r>
              <w:t>单位：万元</w:t>
            </w:r>
          </w:p>
        </w:tc>
      </w:tr>
      <w:tr w14:paraId="4C525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73F11">
            <w:pPr>
              <w:pStyle w:val="10"/>
            </w:pPr>
            <w:r>
              <w:t>序号</w:t>
            </w:r>
          </w:p>
        </w:tc>
        <w:tc>
          <w:tcPr>
            <w:tcW w:w="5726" w:type="dxa"/>
            <w:gridSpan w:val="2"/>
            <w:vAlign w:val="center"/>
          </w:tcPr>
          <w:p w14:paraId="46419E0A">
            <w:pPr>
              <w:pStyle w:val="10"/>
            </w:pPr>
            <w:r>
              <w:t>支出部门经济分类科目</w:t>
            </w:r>
          </w:p>
        </w:tc>
        <w:tc>
          <w:tcPr>
            <w:tcW w:w="7653" w:type="dxa"/>
            <w:gridSpan w:val="3"/>
            <w:vAlign w:val="center"/>
          </w:tcPr>
          <w:p w14:paraId="67DFC2D7">
            <w:pPr>
              <w:pStyle w:val="10"/>
            </w:pPr>
            <w:r>
              <w:t>一般公共预算基本支出</w:t>
            </w:r>
          </w:p>
        </w:tc>
      </w:tr>
      <w:tr w14:paraId="009A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30D07"/>
        </w:tc>
        <w:tc>
          <w:tcPr>
            <w:tcW w:w="1191" w:type="dxa"/>
            <w:vAlign w:val="center"/>
          </w:tcPr>
          <w:p w14:paraId="361ABCE2">
            <w:pPr>
              <w:pStyle w:val="10"/>
            </w:pPr>
            <w:r>
              <w:t>科目编码</w:t>
            </w:r>
          </w:p>
        </w:tc>
        <w:tc>
          <w:tcPr>
            <w:tcW w:w="4535" w:type="dxa"/>
            <w:vAlign w:val="center"/>
          </w:tcPr>
          <w:p w14:paraId="37B84FF0">
            <w:pPr>
              <w:pStyle w:val="10"/>
            </w:pPr>
            <w:r>
              <w:t>科目名称</w:t>
            </w:r>
          </w:p>
        </w:tc>
        <w:tc>
          <w:tcPr>
            <w:tcW w:w="2551" w:type="dxa"/>
            <w:vAlign w:val="center"/>
          </w:tcPr>
          <w:p w14:paraId="69777195">
            <w:pPr>
              <w:pStyle w:val="10"/>
            </w:pPr>
            <w:r>
              <w:t>合计</w:t>
            </w:r>
          </w:p>
        </w:tc>
        <w:tc>
          <w:tcPr>
            <w:tcW w:w="2551" w:type="dxa"/>
            <w:vAlign w:val="center"/>
          </w:tcPr>
          <w:p w14:paraId="3826807D">
            <w:pPr>
              <w:pStyle w:val="10"/>
            </w:pPr>
            <w:r>
              <w:t>人员经费</w:t>
            </w:r>
          </w:p>
        </w:tc>
        <w:tc>
          <w:tcPr>
            <w:tcW w:w="2551" w:type="dxa"/>
            <w:vAlign w:val="center"/>
          </w:tcPr>
          <w:p w14:paraId="59738044">
            <w:pPr>
              <w:pStyle w:val="10"/>
            </w:pPr>
            <w:r>
              <w:t>公用经费</w:t>
            </w:r>
          </w:p>
        </w:tc>
      </w:tr>
      <w:tr w14:paraId="0D2A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272C40">
            <w:pPr>
              <w:pStyle w:val="10"/>
            </w:pPr>
            <w:r>
              <w:t>栏次</w:t>
            </w:r>
          </w:p>
        </w:tc>
        <w:tc>
          <w:tcPr>
            <w:tcW w:w="1191" w:type="dxa"/>
            <w:vAlign w:val="center"/>
          </w:tcPr>
          <w:p w14:paraId="367A80B1">
            <w:pPr>
              <w:pStyle w:val="10"/>
            </w:pPr>
            <w:r>
              <w:t>1</w:t>
            </w:r>
          </w:p>
        </w:tc>
        <w:tc>
          <w:tcPr>
            <w:tcW w:w="4535" w:type="dxa"/>
            <w:vAlign w:val="center"/>
          </w:tcPr>
          <w:p w14:paraId="754B87CE">
            <w:pPr>
              <w:pStyle w:val="10"/>
            </w:pPr>
            <w:r>
              <w:t>2</w:t>
            </w:r>
          </w:p>
        </w:tc>
        <w:tc>
          <w:tcPr>
            <w:tcW w:w="2551" w:type="dxa"/>
            <w:vAlign w:val="center"/>
          </w:tcPr>
          <w:p w14:paraId="66AC27CE">
            <w:pPr>
              <w:pStyle w:val="10"/>
            </w:pPr>
            <w:r>
              <w:t>3</w:t>
            </w:r>
          </w:p>
        </w:tc>
        <w:tc>
          <w:tcPr>
            <w:tcW w:w="2551" w:type="dxa"/>
            <w:vAlign w:val="center"/>
          </w:tcPr>
          <w:p w14:paraId="7C76A376">
            <w:pPr>
              <w:pStyle w:val="10"/>
            </w:pPr>
            <w:r>
              <w:t>4</w:t>
            </w:r>
          </w:p>
        </w:tc>
        <w:tc>
          <w:tcPr>
            <w:tcW w:w="2551" w:type="dxa"/>
            <w:vAlign w:val="center"/>
          </w:tcPr>
          <w:p w14:paraId="1161D9ED">
            <w:pPr>
              <w:pStyle w:val="10"/>
            </w:pPr>
            <w:r>
              <w:t>5</w:t>
            </w:r>
          </w:p>
        </w:tc>
      </w:tr>
      <w:tr w14:paraId="5DDB5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0C376">
            <w:pPr>
              <w:pStyle w:val="13"/>
            </w:pPr>
            <w:r>
              <w:t>1</w:t>
            </w:r>
          </w:p>
        </w:tc>
        <w:tc>
          <w:tcPr>
            <w:tcW w:w="1191" w:type="dxa"/>
            <w:vAlign w:val="center"/>
          </w:tcPr>
          <w:p w14:paraId="3EC6A939">
            <w:pPr>
              <w:pStyle w:val="16"/>
            </w:pPr>
          </w:p>
        </w:tc>
        <w:tc>
          <w:tcPr>
            <w:tcW w:w="4535" w:type="dxa"/>
            <w:vAlign w:val="center"/>
          </w:tcPr>
          <w:p w14:paraId="552CCB4D">
            <w:pPr>
              <w:pStyle w:val="14"/>
            </w:pPr>
            <w:r>
              <w:t>合计</w:t>
            </w:r>
          </w:p>
        </w:tc>
        <w:tc>
          <w:tcPr>
            <w:tcW w:w="2551" w:type="dxa"/>
            <w:vAlign w:val="center"/>
          </w:tcPr>
          <w:p w14:paraId="4E1F51AC">
            <w:pPr>
              <w:pStyle w:val="15"/>
            </w:pPr>
            <w:r>
              <w:t>102.35</w:t>
            </w:r>
          </w:p>
        </w:tc>
        <w:tc>
          <w:tcPr>
            <w:tcW w:w="2551" w:type="dxa"/>
            <w:vAlign w:val="center"/>
          </w:tcPr>
          <w:p w14:paraId="6776AA9B">
            <w:pPr>
              <w:pStyle w:val="15"/>
            </w:pPr>
            <w:r>
              <w:t>102.35</w:t>
            </w:r>
          </w:p>
        </w:tc>
        <w:tc>
          <w:tcPr>
            <w:tcW w:w="2551" w:type="dxa"/>
            <w:vAlign w:val="center"/>
          </w:tcPr>
          <w:p w14:paraId="55813A10">
            <w:pPr>
              <w:pStyle w:val="15"/>
            </w:pPr>
          </w:p>
        </w:tc>
      </w:tr>
      <w:tr w14:paraId="2C46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6E21">
            <w:pPr>
              <w:pStyle w:val="13"/>
            </w:pPr>
            <w:r>
              <w:t>2</w:t>
            </w:r>
          </w:p>
        </w:tc>
        <w:tc>
          <w:tcPr>
            <w:tcW w:w="1191" w:type="dxa"/>
            <w:vAlign w:val="center"/>
          </w:tcPr>
          <w:p w14:paraId="49BF00F8">
            <w:pPr>
              <w:pStyle w:val="12"/>
            </w:pPr>
            <w:r>
              <w:t>301</w:t>
            </w:r>
          </w:p>
        </w:tc>
        <w:tc>
          <w:tcPr>
            <w:tcW w:w="4535" w:type="dxa"/>
            <w:vAlign w:val="center"/>
          </w:tcPr>
          <w:p w14:paraId="5EB6EE2C">
            <w:pPr>
              <w:pStyle w:val="12"/>
            </w:pPr>
            <w:r>
              <w:t>工资福利支出</w:t>
            </w:r>
          </w:p>
        </w:tc>
        <w:tc>
          <w:tcPr>
            <w:tcW w:w="2551" w:type="dxa"/>
            <w:vAlign w:val="center"/>
          </w:tcPr>
          <w:p w14:paraId="7E8BE02F">
            <w:pPr>
              <w:pStyle w:val="11"/>
            </w:pPr>
            <w:r>
              <w:t>101.42</w:t>
            </w:r>
          </w:p>
        </w:tc>
        <w:tc>
          <w:tcPr>
            <w:tcW w:w="2551" w:type="dxa"/>
            <w:vAlign w:val="center"/>
          </w:tcPr>
          <w:p w14:paraId="7E715D91">
            <w:pPr>
              <w:pStyle w:val="11"/>
            </w:pPr>
            <w:r>
              <w:t>101.42</w:t>
            </w:r>
          </w:p>
        </w:tc>
        <w:tc>
          <w:tcPr>
            <w:tcW w:w="2551" w:type="dxa"/>
            <w:vAlign w:val="center"/>
          </w:tcPr>
          <w:p w14:paraId="18EF6B62">
            <w:pPr>
              <w:pStyle w:val="11"/>
            </w:pPr>
          </w:p>
        </w:tc>
      </w:tr>
      <w:tr w14:paraId="125E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7A3B">
            <w:pPr>
              <w:pStyle w:val="13"/>
            </w:pPr>
            <w:r>
              <w:t>3</w:t>
            </w:r>
          </w:p>
        </w:tc>
        <w:tc>
          <w:tcPr>
            <w:tcW w:w="1191" w:type="dxa"/>
            <w:vAlign w:val="center"/>
          </w:tcPr>
          <w:p w14:paraId="474107F6">
            <w:pPr>
              <w:pStyle w:val="12"/>
            </w:pPr>
            <w:r>
              <w:t>30101</w:t>
            </w:r>
          </w:p>
        </w:tc>
        <w:tc>
          <w:tcPr>
            <w:tcW w:w="4535" w:type="dxa"/>
            <w:vAlign w:val="center"/>
          </w:tcPr>
          <w:p w14:paraId="73370E01">
            <w:pPr>
              <w:pStyle w:val="12"/>
            </w:pPr>
            <w:r>
              <w:t>基本工资</w:t>
            </w:r>
          </w:p>
        </w:tc>
        <w:tc>
          <w:tcPr>
            <w:tcW w:w="2551" w:type="dxa"/>
            <w:vAlign w:val="center"/>
          </w:tcPr>
          <w:p w14:paraId="4613B395">
            <w:pPr>
              <w:pStyle w:val="11"/>
            </w:pPr>
            <w:r>
              <w:t>45.53</w:t>
            </w:r>
          </w:p>
        </w:tc>
        <w:tc>
          <w:tcPr>
            <w:tcW w:w="2551" w:type="dxa"/>
            <w:vAlign w:val="center"/>
          </w:tcPr>
          <w:p w14:paraId="0DF35D1B">
            <w:pPr>
              <w:pStyle w:val="11"/>
            </w:pPr>
            <w:r>
              <w:t>45.53</w:t>
            </w:r>
          </w:p>
        </w:tc>
        <w:tc>
          <w:tcPr>
            <w:tcW w:w="2551" w:type="dxa"/>
            <w:vAlign w:val="center"/>
          </w:tcPr>
          <w:p w14:paraId="3E998930">
            <w:pPr>
              <w:pStyle w:val="11"/>
            </w:pPr>
          </w:p>
        </w:tc>
      </w:tr>
      <w:tr w14:paraId="6FAD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31855">
            <w:pPr>
              <w:pStyle w:val="13"/>
            </w:pPr>
            <w:r>
              <w:t>4</w:t>
            </w:r>
          </w:p>
        </w:tc>
        <w:tc>
          <w:tcPr>
            <w:tcW w:w="1191" w:type="dxa"/>
            <w:vAlign w:val="center"/>
          </w:tcPr>
          <w:p w14:paraId="22221B79">
            <w:pPr>
              <w:pStyle w:val="12"/>
            </w:pPr>
            <w:r>
              <w:t>30102</w:t>
            </w:r>
          </w:p>
        </w:tc>
        <w:tc>
          <w:tcPr>
            <w:tcW w:w="4535" w:type="dxa"/>
            <w:vAlign w:val="center"/>
          </w:tcPr>
          <w:p w14:paraId="44002EB7">
            <w:pPr>
              <w:pStyle w:val="12"/>
            </w:pPr>
            <w:r>
              <w:t>津贴补贴</w:t>
            </w:r>
          </w:p>
        </w:tc>
        <w:tc>
          <w:tcPr>
            <w:tcW w:w="2551" w:type="dxa"/>
            <w:vAlign w:val="center"/>
          </w:tcPr>
          <w:p w14:paraId="183EBF63">
            <w:pPr>
              <w:pStyle w:val="11"/>
            </w:pPr>
            <w:r>
              <w:t>8.59</w:t>
            </w:r>
          </w:p>
        </w:tc>
        <w:tc>
          <w:tcPr>
            <w:tcW w:w="2551" w:type="dxa"/>
            <w:vAlign w:val="center"/>
          </w:tcPr>
          <w:p w14:paraId="20F81533">
            <w:pPr>
              <w:pStyle w:val="11"/>
            </w:pPr>
            <w:r>
              <w:t>8.59</w:t>
            </w:r>
          </w:p>
        </w:tc>
        <w:tc>
          <w:tcPr>
            <w:tcW w:w="2551" w:type="dxa"/>
            <w:vAlign w:val="center"/>
          </w:tcPr>
          <w:p w14:paraId="1F7C714D">
            <w:pPr>
              <w:pStyle w:val="11"/>
            </w:pPr>
          </w:p>
        </w:tc>
      </w:tr>
      <w:tr w14:paraId="3CAA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EF949">
            <w:pPr>
              <w:pStyle w:val="13"/>
            </w:pPr>
            <w:r>
              <w:t>5</w:t>
            </w:r>
          </w:p>
        </w:tc>
        <w:tc>
          <w:tcPr>
            <w:tcW w:w="1191" w:type="dxa"/>
            <w:vAlign w:val="center"/>
          </w:tcPr>
          <w:p w14:paraId="3950B3DC">
            <w:pPr>
              <w:pStyle w:val="12"/>
            </w:pPr>
            <w:r>
              <w:t>30107</w:t>
            </w:r>
          </w:p>
        </w:tc>
        <w:tc>
          <w:tcPr>
            <w:tcW w:w="4535" w:type="dxa"/>
            <w:vAlign w:val="center"/>
          </w:tcPr>
          <w:p w14:paraId="358B0312">
            <w:pPr>
              <w:pStyle w:val="12"/>
            </w:pPr>
            <w:r>
              <w:t>绩效工资</w:t>
            </w:r>
          </w:p>
        </w:tc>
        <w:tc>
          <w:tcPr>
            <w:tcW w:w="2551" w:type="dxa"/>
            <w:vAlign w:val="center"/>
          </w:tcPr>
          <w:p w14:paraId="216B4F27">
            <w:pPr>
              <w:pStyle w:val="11"/>
            </w:pPr>
            <w:r>
              <w:t>24.55</w:t>
            </w:r>
          </w:p>
        </w:tc>
        <w:tc>
          <w:tcPr>
            <w:tcW w:w="2551" w:type="dxa"/>
            <w:vAlign w:val="center"/>
          </w:tcPr>
          <w:p w14:paraId="5A676E0A">
            <w:pPr>
              <w:pStyle w:val="11"/>
            </w:pPr>
            <w:r>
              <w:t>24.55</w:t>
            </w:r>
          </w:p>
        </w:tc>
        <w:tc>
          <w:tcPr>
            <w:tcW w:w="2551" w:type="dxa"/>
            <w:vAlign w:val="center"/>
          </w:tcPr>
          <w:p w14:paraId="5C308A72">
            <w:pPr>
              <w:pStyle w:val="11"/>
            </w:pPr>
          </w:p>
        </w:tc>
      </w:tr>
      <w:tr w14:paraId="6677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B2957">
            <w:pPr>
              <w:pStyle w:val="13"/>
            </w:pPr>
            <w:r>
              <w:t>6</w:t>
            </w:r>
          </w:p>
        </w:tc>
        <w:tc>
          <w:tcPr>
            <w:tcW w:w="1191" w:type="dxa"/>
            <w:vAlign w:val="center"/>
          </w:tcPr>
          <w:p w14:paraId="221A17BD">
            <w:pPr>
              <w:pStyle w:val="12"/>
            </w:pPr>
            <w:r>
              <w:t>30108</w:t>
            </w:r>
          </w:p>
        </w:tc>
        <w:tc>
          <w:tcPr>
            <w:tcW w:w="4535" w:type="dxa"/>
            <w:vAlign w:val="center"/>
          </w:tcPr>
          <w:p w14:paraId="5111FD16">
            <w:pPr>
              <w:pStyle w:val="12"/>
            </w:pPr>
            <w:r>
              <w:t>机关事业单位基本养老保险缴费</w:t>
            </w:r>
          </w:p>
        </w:tc>
        <w:tc>
          <w:tcPr>
            <w:tcW w:w="2551" w:type="dxa"/>
            <w:vAlign w:val="center"/>
          </w:tcPr>
          <w:p w14:paraId="1152600F">
            <w:pPr>
              <w:pStyle w:val="11"/>
            </w:pPr>
            <w:r>
              <w:t>9.92</w:t>
            </w:r>
          </w:p>
        </w:tc>
        <w:tc>
          <w:tcPr>
            <w:tcW w:w="2551" w:type="dxa"/>
            <w:vAlign w:val="center"/>
          </w:tcPr>
          <w:p w14:paraId="082098E4">
            <w:pPr>
              <w:pStyle w:val="11"/>
            </w:pPr>
            <w:r>
              <w:t>9.92</w:t>
            </w:r>
          </w:p>
        </w:tc>
        <w:tc>
          <w:tcPr>
            <w:tcW w:w="2551" w:type="dxa"/>
            <w:vAlign w:val="center"/>
          </w:tcPr>
          <w:p w14:paraId="3043CB43">
            <w:pPr>
              <w:pStyle w:val="11"/>
            </w:pPr>
          </w:p>
        </w:tc>
      </w:tr>
      <w:tr w14:paraId="088B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AE15">
            <w:pPr>
              <w:pStyle w:val="13"/>
            </w:pPr>
            <w:r>
              <w:t>7</w:t>
            </w:r>
          </w:p>
        </w:tc>
        <w:tc>
          <w:tcPr>
            <w:tcW w:w="1191" w:type="dxa"/>
            <w:vAlign w:val="center"/>
          </w:tcPr>
          <w:p w14:paraId="09C03097">
            <w:pPr>
              <w:pStyle w:val="12"/>
            </w:pPr>
            <w:r>
              <w:t>30110</w:t>
            </w:r>
          </w:p>
        </w:tc>
        <w:tc>
          <w:tcPr>
            <w:tcW w:w="4535" w:type="dxa"/>
            <w:vAlign w:val="center"/>
          </w:tcPr>
          <w:p w14:paraId="5E75054C">
            <w:pPr>
              <w:pStyle w:val="12"/>
            </w:pPr>
            <w:r>
              <w:t>职工基本医疗保险缴费</w:t>
            </w:r>
          </w:p>
        </w:tc>
        <w:tc>
          <w:tcPr>
            <w:tcW w:w="2551" w:type="dxa"/>
            <w:vAlign w:val="center"/>
          </w:tcPr>
          <w:p w14:paraId="06D3D3B7">
            <w:pPr>
              <w:pStyle w:val="11"/>
            </w:pPr>
            <w:r>
              <w:t>5.16</w:t>
            </w:r>
          </w:p>
        </w:tc>
        <w:tc>
          <w:tcPr>
            <w:tcW w:w="2551" w:type="dxa"/>
            <w:vAlign w:val="center"/>
          </w:tcPr>
          <w:p w14:paraId="061ED0F9">
            <w:pPr>
              <w:pStyle w:val="11"/>
            </w:pPr>
            <w:r>
              <w:t>5.16</w:t>
            </w:r>
          </w:p>
        </w:tc>
        <w:tc>
          <w:tcPr>
            <w:tcW w:w="2551" w:type="dxa"/>
            <w:vAlign w:val="center"/>
          </w:tcPr>
          <w:p w14:paraId="351D8E42">
            <w:pPr>
              <w:pStyle w:val="11"/>
            </w:pPr>
          </w:p>
        </w:tc>
      </w:tr>
      <w:tr w14:paraId="1AB0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EEE64">
            <w:pPr>
              <w:pStyle w:val="13"/>
            </w:pPr>
            <w:r>
              <w:t>8</w:t>
            </w:r>
          </w:p>
        </w:tc>
        <w:tc>
          <w:tcPr>
            <w:tcW w:w="1191" w:type="dxa"/>
            <w:vAlign w:val="center"/>
          </w:tcPr>
          <w:p w14:paraId="2E217DD9">
            <w:pPr>
              <w:pStyle w:val="12"/>
            </w:pPr>
            <w:r>
              <w:t>30112</w:t>
            </w:r>
          </w:p>
        </w:tc>
        <w:tc>
          <w:tcPr>
            <w:tcW w:w="4535" w:type="dxa"/>
            <w:vAlign w:val="center"/>
          </w:tcPr>
          <w:p w14:paraId="2A5386EF">
            <w:pPr>
              <w:pStyle w:val="12"/>
            </w:pPr>
            <w:r>
              <w:t>其他社会保障缴费</w:t>
            </w:r>
          </w:p>
        </w:tc>
        <w:tc>
          <w:tcPr>
            <w:tcW w:w="2551" w:type="dxa"/>
            <w:vAlign w:val="center"/>
          </w:tcPr>
          <w:p w14:paraId="462E4409">
            <w:pPr>
              <w:pStyle w:val="11"/>
            </w:pPr>
            <w:r>
              <w:t>0.29</w:t>
            </w:r>
          </w:p>
        </w:tc>
        <w:tc>
          <w:tcPr>
            <w:tcW w:w="2551" w:type="dxa"/>
            <w:vAlign w:val="center"/>
          </w:tcPr>
          <w:p w14:paraId="0E7AE4F9">
            <w:pPr>
              <w:pStyle w:val="11"/>
            </w:pPr>
            <w:r>
              <w:t>0.29</w:t>
            </w:r>
          </w:p>
        </w:tc>
        <w:tc>
          <w:tcPr>
            <w:tcW w:w="2551" w:type="dxa"/>
            <w:vAlign w:val="center"/>
          </w:tcPr>
          <w:p w14:paraId="30BE24BE">
            <w:pPr>
              <w:pStyle w:val="11"/>
            </w:pPr>
          </w:p>
        </w:tc>
      </w:tr>
      <w:tr w14:paraId="312A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B2B62">
            <w:pPr>
              <w:pStyle w:val="13"/>
            </w:pPr>
            <w:r>
              <w:t>9</w:t>
            </w:r>
          </w:p>
        </w:tc>
        <w:tc>
          <w:tcPr>
            <w:tcW w:w="1191" w:type="dxa"/>
            <w:vAlign w:val="center"/>
          </w:tcPr>
          <w:p w14:paraId="61646777">
            <w:pPr>
              <w:pStyle w:val="12"/>
            </w:pPr>
            <w:r>
              <w:t>30113</w:t>
            </w:r>
          </w:p>
        </w:tc>
        <w:tc>
          <w:tcPr>
            <w:tcW w:w="4535" w:type="dxa"/>
            <w:vAlign w:val="center"/>
          </w:tcPr>
          <w:p w14:paraId="12A03015">
            <w:pPr>
              <w:pStyle w:val="12"/>
            </w:pPr>
            <w:r>
              <w:t>住房公积金</w:t>
            </w:r>
          </w:p>
        </w:tc>
        <w:tc>
          <w:tcPr>
            <w:tcW w:w="2551" w:type="dxa"/>
            <w:vAlign w:val="center"/>
          </w:tcPr>
          <w:p w14:paraId="493A20B5">
            <w:pPr>
              <w:pStyle w:val="11"/>
            </w:pPr>
            <w:r>
              <w:t>7.36</w:t>
            </w:r>
          </w:p>
        </w:tc>
        <w:tc>
          <w:tcPr>
            <w:tcW w:w="2551" w:type="dxa"/>
            <w:vAlign w:val="center"/>
          </w:tcPr>
          <w:p w14:paraId="065A4B94">
            <w:pPr>
              <w:pStyle w:val="11"/>
            </w:pPr>
            <w:r>
              <w:t>7.36</w:t>
            </w:r>
          </w:p>
        </w:tc>
        <w:tc>
          <w:tcPr>
            <w:tcW w:w="2551" w:type="dxa"/>
            <w:vAlign w:val="center"/>
          </w:tcPr>
          <w:p w14:paraId="481E3836">
            <w:pPr>
              <w:pStyle w:val="11"/>
            </w:pPr>
          </w:p>
        </w:tc>
      </w:tr>
      <w:tr w14:paraId="28CD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416B">
            <w:pPr>
              <w:pStyle w:val="13"/>
            </w:pPr>
            <w:r>
              <w:t>10</w:t>
            </w:r>
          </w:p>
        </w:tc>
        <w:tc>
          <w:tcPr>
            <w:tcW w:w="1191" w:type="dxa"/>
            <w:vAlign w:val="center"/>
          </w:tcPr>
          <w:p w14:paraId="3F189B46">
            <w:pPr>
              <w:pStyle w:val="12"/>
            </w:pPr>
            <w:r>
              <w:t>303</w:t>
            </w:r>
          </w:p>
        </w:tc>
        <w:tc>
          <w:tcPr>
            <w:tcW w:w="4535" w:type="dxa"/>
            <w:vAlign w:val="center"/>
          </w:tcPr>
          <w:p w14:paraId="22705501">
            <w:pPr>
              <w:pStyle w:val="12"/>
            </w:pPr>
            <w:r>
              <w:t>对个人和家庭的补助</w:t>
            </w:r>
          </w:p>
        </w:tc>
        <w:tc>
          <w:tcPr>
            <w:tcW w:w="2551" w:type="dxa"/>
            <w:vAlign w:val="center"/>
          </w:tcPr>
          <w:p w14:paraId="6FA69D38">
            <w:pPr>
              <w:pStyle w:val="11"/>
            </w:pPr>
            <w:r>
              <w:t>0.93</w:t>
            </w:r>
          </w:p>
        </w:tc>
        <w:tc>
          <w:tcPr>
            <w:tcW w:w="2551" w:type="dxa"/>
            <w:vAlign w:val="center"/>
          </w:tcPr>
          <w:p w14:paraId="67AC6C83">
            <w:pPr>
              <w:pStyle w:val="11"/>
            </w:pPr>
            <w:r>
              <w:t>0.93</w:t>
            </w:r>
          </w:p>
        </w:tc>
        <w:tc>
          <w:tcPr>
            <w:tcW w:w="2551" w:type="dxa"/>
            <w:vAlign w:val="center"/>
          </w:tcPr>
          <w:p w14:paraId="79F5699F">
            <w:pPr>
              <w:pStyle w:val="11"/>
            </w:pPr>
          </w:p>
        </w:tc>
      </w:tr>
      <w:tr w14:paraId="2009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48D81">
            <w:pPr>
              <w:pStyle w:val="13"/>
            </w:pPr>
            <w:r>
              <w:t>11</w:t>
            </w:r>
          </w:p>
        </w:tc>
        <w:tc>
          <w:tcPr>
            <w:tcW w:w="1191" w:type="dxa"/>
            <w:vAlign w:val="center"/>
          </w:tcPr>
          <w:p w14:paraId="16525F8A">
            <w:pPr>
              <w:pStyle w:val="12"/>
            </w:pPr>
            <w:r>
              <w:t>30302</w:t>
            </w:r>
          </w:p>
        </w:tc>
        <w:tc>
          <w:tcPr>
            <w:tcW w:w="4535" w:type="dxa"/>
            <w:vAlign w:val="center"/>
          </w:tcPr>
          <w:p w14:paraId="513287F2">
            <w:pPr>
              <w:pStyle w:val="12"/>
            </w:pPr>
            <w:r>
              <w:t>退休费</w:t>
            </w:r>
          </w:p>
        </w:tc>
        <w:tc>
          <w:tcPr>
            <w:tcW w:w="2551" w:type="dxa"/>
            <w:vAlign w:val="center"/>
          </w:tcPr>
          <w:p w14:paraId="63E74FB3">
            <w:pPr>
              <w:pStyle w:val="11"/>
            </w:pPr>
            <w:r>
              <w:t>0.93</w:t>
            </w:r>
          </w:p>
        </w:tc>
        <w:tc>
          <w:tcPr>
            <w:tcW w:w="2551" w:type="dxa"/>
            <w:vAlign w:val="center"/>
          </w:tcPr>
          <w:p w14:paraId="4948D8EB">
            <w:pPr>
              <w:pStyle w:val="11"/>
            </w:pPr>
            <w:r>
              <w:t>0.93</w:t>
            </w:r>
          </w:p>
        </w:tc>
        <w:tc>
          <w:tcPr>
            <w:tcW w:w="2551" w:type="dxa"/>
            <w:vAlign w:val="center"/>
          </w:tcPr>
          <w:p w14:paraId="649CBB07">
            <w:pPr>
              <w:pStyle w:val="11"/>
            </w:pPr>
          </w:p>
        </w:tc>
      </w:tr>
    </w:tbl>
    <w:p w14:paraId="14D39BDB">
      <w:pPr>
        <w:sectPr>
          <w:pgSz w:w="16840" w:h="11900" w:orient="landscape"/>
          <w:pgMar w:top="1361" w:right="1020" w:bottom="1134" w:left="1020" w:header="720" w:footer="720" w:gutter="0"/>
          <w:cols w:space="720" w:num="1"/>
        </w:sectPr>
      </w:pPr>
    </w:p>
    <w:p w14:paraId="272385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16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7A0EB4">
            <w:pPr>
              <w:pStyle w:val="9"/>
            </w:pPr>
            <w:r>
              <w:t>360012隆尧县特殊教育学校</w:t>
            </w:r>
          </w:p>
        </w:tc>
        <w:tc>
          <w:tcPr>
            <w:tcW w:w="2551" w:type="dxa"/>
            <w:tcBorders>
              <w:top w:val="single" w:color="FFFFFF" w:sz="6" w:space="0"/>
              <w:left w:val="single" w:color="FFFFFF" w:sz="6" w:space="0"/>
              <w:right w:val="single" w:color="FFFFFF" w:sz="6" w:space="0"/>
            </w:tcBorders>
            <w:vAlign w:val="center"/>
          </w:tcPr>
          <w:p w14:paraId="130B5D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97902A">
            <w:pPr>
              <w:pStyle w:val="7"/>
            </w:pPr>
            <w:r>
              <w:t>单位：万元</w:t>
            </w:r>
          </w:p>
        </w:tc>
      </w:tr>
      <w:tr w14:paraId="3066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9E76F">
            <w:pPr>
              <w:pStyle w:val="10"/>
            </w:pPr>
            <w:r>
              <w:t>序号</w:t>
            </w:r>
          </w:p>
        </w:tc>
        <w:tc>
          <w:tcPr>
            <w:tcW w:w="5726" w:type="dxa"/>
            <w:gridSpan w:val="2"/>
            <w:vAlign w:val="center"/>
          </w:tcPr>
          <w:p w14:paraId="09281729">
            <w:pPr>
              <w:pStyle w:val="10"/>
            </w:pPr>
            <w:r>
              <w:t>功能分类科目</w:t>
            </w:r>
          </w:p>
        </w:tc>
        <w:tc>
          <w:tcPr>
            <w:tcW w:w="2551" w:type="dxa"/>
            <w:vMerge w:val="restart"/>
            <w:vAlign w:val="center"/>
          </w:tcPr>
          <w:p w14:paraId="34B41AEF">
            <w:pPr>
              <w:pStyle w:val="10"/>
            </w:pPr>
            <w:r>
              <w:t>合计</w:t>
            </w:r>
          </w:p>
        </w:tc>
        <w:tc>
          <w:tcPr>
            <w:tcW w:w="2551" w:type="dxa"/>
            <w:vMerge w:val="restart"/>
            <w:vAlign w:val="center"/>
          </w:tcPr>
          <w:p w14:paraId="316E4468">
            <w:pPr>
              <w:pStyle w:val="10"/>
            </w:pPr>
            <w:r>
              <w:t>基本支出</w:t>
            </w:r>
          </w:p>
        </w:tc>
        <w:tc>
          <w:tcPr>
            <w:tcW w:w="2551" w:type="dxa"/>
            <w:vMerge w:val="restart"/>
            <w:vAlign w:val="center"/>
          </w:tcPr>
          <w:p w14:paraId="73F3EB0D">
            <w:pPr>
              <w:pStyle w:val="10"/>
            </w:pPr>
            <w:r>
              <w:t>项目支出</w:t>
            </w:r>
          </w:p>
        </w:tc>
      </w:tr>
      <w:tr w14:paraId="6723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AB3CE"/>
        </w:tc>
        <w:tc>
          <w:tcPr>
            <w:tcW w:w="1191" w:type="dxa"/>
            <w:vAlign w:val="center"/>
          </w:tcPr>
          <w:p w14:paraId="0C132CD8">
            <w:pPr>
              <w:pStyle w:val="10"/>
            </w:pPr>
            <w:r>
              <w:t>科目编码</w:t>
            </w:r>
          </w:p>
        </w:tc>
        <w:tc>
          <w:tcPr>
            <w:tcW w:w="4535" w:type="dxa"/>
            <w:vAlign w:val="center"/>
          </w:tcPr>
          <w:p w14:paraId="027B98EC">
            <w:pPr>
              <w:pStyle w:val="10"/>
            </w:pPr>
            <w:r>
              <w:t>科目名称</w:t>
            </w:r>
          </w:p>
        </w:tc>
        <w:tc>
          <w:tcPr>
            <w:tcW w:w="2551" w:type="dxa"/>
            <w:vMerge w:val="continue"/>
          </w:tcPr>
          <w:p w14:paraId="094B7194"/>
        </w:tc>
        <w:tc>
          <w:tcPr>
            <w:tcW w:w="2551" w:type="dxa"/>
            <w:vMerge w:val="continue"/>
          </w:tcPr>
          <w:p w14:paraId="1ACA55F9"/>
        </w:tc>
        <w:tc>
          <w:tcPr>
            <w:tcW w:w="2551" w:type="dxa"/>
            <w:vMerge w:val="continue"/>
          </w:tcPr>
          <w:p w14:paraId="56F74404"/>
        </w:tc>
      </w:tr>
      <w:tr w14:paraId="372F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2C9824">
            <w:pPr>
              <w:pStyle w:val="10"/>
            </w:pPr>
            <w:r>
              <w:t>栏次</w:t>
            </w:r>
          </w:p>
        </w:tc>
        <w:tc>
          <w:tcPr>
            <w:tcW w:w="1191" w:type="dxa"/>
            <w:vAlign w:val="center"/>
          </w:tcPr>
          <w:p w14:paraId="7676A247">
            <w:pPr>
              <w:pStyle w:val="10"/>
            </w:pPr>
            <w:r>
              <w:t>1</w:t>
            </w:r>
          </w:p>
        </w:tc>
        <w:tc>
          <w:tcPr>
            <w:tcW w:w="4535" w:type="dxa"/>
            <w:vAlign w:val="center"/>
          </w:tcPr>
          <w:p w14:paraId="56957D1E">
            <w:pPr>
              <w:pStyle w:val="10"/>
            </w:pPr>
            <w:r>
              <w:t>2</w:t>
            </w:r>
          </w:p>
        </w:tc>
        <w:tc>
          <w:tcPr>
            <w:tcW w:w="2551" w:type="dxa"/>
            <w:vAlign w:val="center"/>
          </w:tcPr>
          <w:p w14:paraId="4B43BA92">
            <w:pPr>
              <w:pStyle w:val="10"/>
            </w:pPr>
            <w:r>
              <w:t>3</w:t>
            </w:r>
          </w:p>
        </w:tc>
        <w:tc>
          <w:tcPr>
            <w:tcW w:w="2551" w:type="dxa"/>
            <w:vAlign w:val="center"/>
          </w:tcPr>
          <w:p w14:paraId="55627C4F">
            <w:pPr>
              <w:pStyle w:val="10"/>
            </w:pPr>
            <w:r>
              <w:t>4</w:t>
            </w:r>
          </w:p>
        </w:tc>
        <w:tc>
          <w:tcPr>
            <w:tcW w:w="2551" w:type="dxa"/>
            <w:vAlign w:val="center"/>
          </w:tcPr>
          <w:p w14:paraId="0CB3F54B">
            <w:pPr>
              <w:pStyle w:val="10"/>
            </w:pPr>
            <w:r>
              <w:t>5</w:t>
            </w:r>
          </w:p>
        </w:tc>
      </w:tr>
      <w:tr w14:paraId="3A04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1BC13">
            <w:pPr>
              <w:pStyle w:val="13"/>
            </w:pPr>
          </w:p>
        </w:tc>
        <w:tc>
          <w:tcPr>
            <w:tcW w:w="1191" w:type="dxa"/>
            <w:vAlign w:val="center"/>
          </w:tcPr>
          <w:p w14:paraId="4FD66C1A">
            <w:pPr>
              <w:pStyle w:val="12"/>
            </w:pPr>
          </w:p>
        </w:tc>
        <w:tc>
          <w:tcPr>
            <w:tcW w:w="4535" w:type="dxa"/>
            <w:vAlign w:val="center"/>
          </w:tcPr>
          <w:p w14:paraId="5C3BAA0F">
            <w:pPr>
              <w:pStyle w:val="12"/>
            </w:pPr>
          </w:p>
        </w:tc>
        <w:tc>
          <w:tcPr>
            <w:tcW w:w="2551" w:type="dxa"/>
            <w:vAlign w:val="center"/>
          </w:tcPr>
          <w:p w14:paraId="5011E0EF">
            <w:pPr>
              <w:pStyle w:val="11"/>
            </w:pPr>
          </w:p>
        </w:tc>
        <w:tc>
          <w:tcPr>
            <w:tcW w:w="2551" w:type="dxa"/>
            <w:vAlign w:val="center"/>
          </w:tcPr>
          <w:p w14:paraId="0D155663">
            <w:pPr>
              <w:pStyle w:val="11"/>
            </w:pPr>
          </w:p>
        </w:tc>
        <w:tc>
          <w:tcPr>
            <w:tcW w:w="2551" w:type="dxa"/>
            <w:vAlign w:val="center"/>
          </w:tcPr>
          <w:p w14:paraId="08DDF88E">
            <w:pPr>
              <w:pStyle w:val="11"/>
            </w:pPr>
          </w:p>
        </w:tc>
      </w:tr>
    </w:tbl>
    <w:p w14:paraId="20E504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20F6D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2E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93CA0E">
            <w:pPr>
              <w:pStyle w:val="9"/>
            </w:pPr>
            <w:r>
              <w:t>360012隆尧县特殊教育学校</w:t>
            </w:r>
          </w:p>
        </w:tc>
        <w:tc>
          <w:tcPr>
            <w:tcW w:w="2551" w:type="dxa"/>
            <w:tcBorders>
              <w:top w:val="single" w:color="FFFFFF" w:sz="6" w:space="0"/>
              <w:left w:val="single" w:color="FFFFFF" w:sz="6" w:space="0"/>
              <w:right w:val="single" w:color="FFFFFF" w:sz="6" w:space="0"/>
            </w:tcBorders>
            <w:vAlign w:val="center"/>
          </w:tcPr>
          <w:p w14:paraId="0CB3E6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FA1D60">
            <w:pPr>
              <w:pStyle w:val="7"/>
            </w:pPr>
            <w:r>
              <w:t>单位：万元</w:t>
            </w:r>
          </w:p>
        </w:tc>
      </w:tr>
      <w:tr w14:paraId="4D17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5919D">
            <w:pPr>
              <w:pStyle w:val="10"/>
            </w:pPr>
            <w:r>
              <w:t>序号</w:t>
            </w:r>
          </w:p>
        </w:tc>
        <w:tc>
          <w:tcPr>
            <w:tcW w:w="5726" w:type="dxa"/>
            <w:gridSpan w:val="2"/>
            <w:vAlign w:val="center"/>
          </w:tcPr>
          <w:p w14:paraId="200B6705">
            <w:pPr>
              <w:pStyle w:val="10"/>
            </w:pPr>
            <w:r>
              <w:t>功能分类科目</w:t>
            </w:r>
          </w:p>
        </w:tc>
        <w:tc>
          <w:tcPr>
            <w:tcW w:w="2551" w:type="dxa"/>
            <w:vMerge w:val="restart"/>
            <w:vAlign w:val="center"/>
          </w:tcPr>
          <w:p w14:paraId="240F9645">
            <w:pPr>
              <w:pStyle w:val="10"/>
            </w:pPr>
            <w:r>
              <w:t>合计</w:t>
            </w:r>
          </w:p>
        </w:tc>
        <w:tc>
          <w:tcPr>
            <w:tcW w:w="2551" w:type="dxa"/>
            <w:vMerge w:val="restart"/>
            <w:vAlign w:val="center"/>
          </w:tcPr>
          <w:p w14:paraId="659B2DC0">
            <w:pPr>
              <w:pStyle w:val="10"/>
            </w:pPr>
            <w:r>
              <w:t>基本支出</w:t>
            </w:r>
          </w:p>
        </w:tc>
        <w:tc>
          <w:tcPr>
            <w:tcW w:w="2551" w:type="dxa"/>
            <w:vMerge w:val="restart"/>
            <w:vAlign w:val="center"/>
          </w:tcPr>
          <w:p w14:paraId="54F7B520">
            <w:pPr>
              <w:pStyle w:val="10"/>
            </w:pPr>
            <w:r>
              <w:t>项目支出</w:t>
            </w:r>
          </w:p>
        </w:tc>
      </w:tr>
      <w:tr w14:paraId="20ECD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D7588B"/>
        </w:tc>
        <w:tc>
          <w:tcPr>
            <w:tcW w:w="1191" w:type="dxa"/>
            <w:vAlign w:val="center"/>
          </w:tcPr>
          <w:p w14:paraId="0D7E2BAF">
            <w:pPr>
              <w:pStyle w:val="10"/>
            </w:pPr>
            <w:r>
              <w:t>科目编码</w:t>
            </w:r>
          </w:p>
        </w:tc>
        <w:tc>
          <w:tcPr>
            <w:tcW w:w="4535" w:type="dxa"/>
            <w:vAlign w:val="center"/>
          </w:tcPr>
          <w:p w14:paraId="40352900">
            <w:pPr>
              <w:pStyle w:val="10"/>
            </w:pPr>
            <w:r>
              <w:t>科目名称</w:t>
            </w:r>
          </w:p>
        </w:tc>
        <w:tc>
          <w:tcPr>
            <w:tcW w:w="2551" w:type="dxa"/>
            <w:vMerge w:val="continue"/>
          </w:tcPr>
          <w:p w14:paraId="615572F6"/>
        </w:tc>
        <w:tc>
          <w:tcPr>
            <w:tcW w:w="2551" w:type="dxa"/>
            <w:vMerge w:val="continue"/>
          </w:tcPr>
          <w:p w14:paraId="5E8D0075"/>
        </w:tc>
        <w:tc>
          <w:tcPr>
            <w:tcW w:w="2551" w:type="dxa"/>
            <w:vMerge w:val="continue"/>
          </w:tcPr>
          <w:p w14:paraId="0AB50D2C"/>
        </w:tc>
      </w:tr>
      <w:tr w14:paraId="20ACE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FB29D">
            <w:pPr>
              <w:pStyle w:val="10"/>
            </w:pPr>
            <w:r>
              <w:t>栏次</w:t>
            </w:r>
          </w:p>
        </w:tc>
        <w:tc>
          <w:tcPr>
            <w:tcW w:w="1191" w:type="dxa"/>
            <w:vAlign w:val="center"/>
          </w:tcPr>
          <w:p w14:paraId="7382388B">
            <w:pPr>
              <w:pStyle w:val="10"/>
            </w:pPr>
            <w:r>
              <w:t>1</w:t>
            </w:r>
          </w:p>
        </w:tc>
        <w:tc>
          <w:tcPr>
            <w:tcW w:w="4535" w:type="dxa"/>
            <w:vAlign w:val="center"/>
          </w:tcPr>
          <w:p w14:paraId="33A8B987">
            <w:pPr>
              <w:pStyle w:val="10"/>
            </w:pPr>
            <w:r>
              <w:t>2</w:t>
            </w:r>
          </w:p>
        </w:tc>
        <w:tc>
          <w:tcPr>
            <w:tcW w:w="2551" w:type="dxa"/>
            <w:vAlign w:val="center"/>
          </w:tcPr>
          <w:p w14:paraId="0B4BACBC">
            <w:pPr>
              <w:pStyle w:val="10"/>
            </w:pPr>
            <w:r>
              <w:t>3</w:t>
            </w:r>
          </w:p>
        </w:tc>
        <w:tc>
          <w:tcPr>
            <w:tcW w:w="2551" w:type="dxa"/>
            <w:vAlign w:val="center"/>
          </w:tcPr>
          <w:p w14:paraId="741B63FD">
            <w:pPr>
              <w:pStyle w:val="10"/>
            </w:pPr>
            <w:r>
              <w:t>4</w:t>
            </w:r>
          </w:p>
        </w:tc>
        <w:tc>
          <w:tcPr>
            <w:tcW w:w="2551" w:type="dxa"/>
            <w:vAlign w:val="center"/>
          </w:tcPr>
          <w:p w14:paraId="783B3315">
            <w:pPr>
              <w:pStyle w:val="10"/>
            </w:pPr>
            <w:r>
              <w:t>5</w:t>
            </w:r>
          </w:p>
        </w:tc>
      </w:tr>
      <w:tr w14:paraId="4B8A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14C4">
            <w:pPr>
              <w:pStyle w:val="13"/>
            </w:pPr>
          </w:p>
        </w:tc>
        <w:tc>
          <w:tcPr>
            <w:tcW w:w="1191" w:type="dxa"/>
            <w:vAlign w:val="center"/>
          </w:tcPr>
          <w:p w14:paraId="588DEBC5">
            <w:pPr>
              <w:pStyle w:val="12"/>
            </w:pPr>
          </w:p>
        </w:tc>
        <w:tc>
          <w:tcPr>
            <w:tcW w:w="4535" w:type="dxa"/>
            <w:vAlign w:val="center"/>
          </w:tcPr>
          <w:p w14:paraId="0E9A80E7">
            <w:pPr>
              <w:pStyle w:val="12"/>
            </w:pPr>
          </w:p>
        </w:tc>
        <w:tc>
          <w:tcPr>
            <w:tcW w:w="2551" w:type="dxa"/>
            <w:vAlign w:val="center"/>
          </w:tcPr>
          <w:p w14:paraId="0C1F5286">
            <w:pPr>
              <w:pStyle w:val="11"/>
            </w:pPr>
          </w:p>
        </w:tc>
        <w:tc>
          <w:tcPr>
            <w:tcW w:w="2551" w:type="dxa"/>
            <w:vAlign w:val="center"/>
          </w:tcPr>
          <w:p w14:paraId="23A9638F">
            <w:pPr>
              <w:pStyle w:val="11"/>
            </w:pPr>
          </w:p>
        </w:tc>
        <w:tc>
          <w:tcPr>
            <w:tcW w:w="2551" w:type="dxa"/>
            <w:vAlign w:val="center"/>
          </w:tcPr>
          <w:p w14:paraId="5FA42BFC">
            <w:pPr>
              <w:pStyle w:val="11"/>
            </w:pPr>
          </w:p>
        </w:tc>
      </w:tr>
    </w:tbl>
    <w:p w14:paraId="68FB8A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E9C5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32A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607A42">
            <w:pPr>
              <w:pStyle w:val="9"/>
            </w:pPr>
            <w:r>
              <w:t>360012隆尧县特殊教育学校</w:t>
            </w:r>
          </w:p>
        </w:tc>
        <w:tc>
          <w:tcPr>
            <w:tcW w:w="2381" w:type="dxa"/>
            <w:tcBorders>
              <w:top w:val="single" w:color="FFFFFF" w:sz="6" w:space="0"/>
              <w:left w:val="single" w:color="FFFFFF" w:sz="6" w:space="0"/>
              <w:right w:val="single" w:color="FFFFFF" w:sz="6" w:space="0"/>
            </w:tcBorders>
            <w:vAlign w:val="center"/>
          </w:tcPr>
          <w:p w14:paraId="5693270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E8D8352">
            <w:pPr>
              <w:pStyle w:val="7"/>
            </w:pPr>
            <w:r>
              <w:t>单位：万元</w:t>
            </w:r>
          </w:p>
        </w:tc>
      </w:tr>
      <w:tr w14:paraId="49A4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7419F">
            <w:pPr>
              <w:pStyle w:val="10"/>
            </w:pPr>
            <w:r>
              <w:t>序号</w:t>
            </w:r>
          </w:p>
        </w:tc>
        <w:tc>
          <w:tcPr>
            <w:tcW w:w="3798" w:type="dxa"/>
            <w:vMerge w:val="restart"/>
            <w:vAlign w:val="center"/>
          </w:tcPr>
          <w:p w14:paraId="773ACE82">
            <w:pPr>
              <w:pStyle w:val="10"/>
            </w:pPr>
            <w:r>
              <w:t>项  目</w:t>
            </w:r>
          </w:p>
        </w:tc>
        <w:tc>
          <w:tcPr>
            <w:tcW w:w="9524" w:type="dxa"/>
            <w:gridSpan w:val="4"/>
            <w:vAlign w:val="center"/>
          </w:tcPr>
          <w:p w14:paraId="7769084A">
            <w:pPr>
              <w:pStyle w:val="10"/>
            </w:pPr>
            <w:r>
              <w:t>资 金 性 质</w:t>
            </w:r>
          </w:p>
        </w:tc>
      </w:tr>
      <w:tr w14:paraId="1F43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B242EE"/>
        </w:tc>
        <w:tc>
          <w:tcPr>
            <w:tcW w:w="3798" w:type="dxa"/>
            <w:vMerge w:val="continue"/>
          </w:tcPr>
          <w:p w14:paraId="77824120"/>
        </w:tc>
        <w:tc>
          <w:tcPr>
            <w:tcW w:w="2381" w:type="dxa"/>
            <w:vAlign w:val="center"/>
          </w:tcPr>
          <w:p w14:paraId="5AEDA945">
            <w:pPr>
              <w:pStyle w:val="10"/>
            </w:pPr>
            <w:r>
              <w:t>合计</w:t>
            </w:r>
          </w:p>
        </w:tc>
        <w:tc>
          <w:tcPr>
            <w:tcW w:w="2381" w:type="dxa"/>
            <w:vAlign w:val="center"/>
          </w:tcPr>
          <w:p w14:paraId="7212107F">
            <w:pPr>
              <w:pStyle w:val="10"/>
            </w:pPr>
            <w:r>
              <w:t>一般公共预算              财政拨款</w:t>
            </w:r>
          </w:p>
        </w:tc>
        <w:tc>
          <w:tcPr>
            <w:tcW w:w="2381" w:type="dxa"/>
            <w:vAlign w:val="center"/>
          </w:tcPr>
          <w:p w14:paraId="62A7C226">
            <w:pPr>
              <w:pStyle w:val="10"/>
            </w:pPr>
            <w:r>
              <w:t>政府性基金                  预算拨款</w:t>
            </w:r>
          </w:p>
        </w:tc>
        <w:tc>
          <w:tcPr>
            <w:tcW w:w="2381" w:type="dxa"/>
            <w:vAlign w:val="center"/>
          </w:tcPr>
          <w:p w14:paraId="08B8C7BE">
            <w:pPr>
              <w:pStyle w:val="10"/>
            </w:pPr>
            <w:r>
              <w:t>国有资本经营              预算财政拨款</w:t>
            </w:r>
          </w:p>
        </w:tc>
      </w:tr>
      <w:tr w14:paraId="5A56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33A7C3">
            <w:pPr>
              <w:pStyle w:val="10"/>
            </w:pPr>
            <w:r>
              <w:t>栏次</w:t>
            </w:r>
          </w:p>
        </w:tc>
        <w:tc>
          <w:tcPr>
            <w:tcW w:w="3798" w:type="dxa"/>
            <w:vAlign w:val="center"/>
          </w:tcPr>
          <w:p w14:paraId="6B4BC9C4">
            <w:pPr>
              <w:pStyle w:val="10"/>
            </w:pPr>
            <w:r>
              <w:t>1</w:t>
            </w:r>
          </w:p>
        </w:tc>
        <w:tc>
          <w:tcPr>
            <w:tcW w:w="2381" w:type="dxa"/>
            <w:vAlign w:val="center"/>
          </w:tcPr>
          <w:p w14:paraId="2C676692">
            <w:pPr>
              <w:pStyle w:val="10"/>
            </w:pPr>
            <w:r>
              <w:t>2</w:t>
            </w:r>
          </w:p>
        </w:tc>
        <w:tc>
          <w:tcPr>
            <w:tcW w:w="2381" w:type="dxa"/>
            <w:vAlign w:val="center"/>
          </w:tcPr>
          <w:p w14:paraId="71615F8D">
            <w:pPr>
              <w:pStyle w:val="10"/>
            </w:pPr>
            <w:r>
              <w:t>3</w:t>
            </w:r>
          </w:p>
        </w:tc>
        <w:tc>
          <w:tcPr>
            <w:tcW w:w="2381" w:type="dxa"/>
            <w:vAlign w:val="center"/>
          </w:tcPr>
          <w:p w14:paraId="1D012DE1">
            <w:pPr>
              <w:pStyle w:val="10"/>
            </w:pPr>
            <w:r>
              <w:t>4</w:t>
            </w:r>
          </w:p>
        </w:tc>
        <w:tc>
          <w:tcPr>
            <w:tcW w:w="2381" w:type="dxa"/>
            <w:vAlign w:val="center"/>
          </w:tcPr>
          <w:p w14:paraId="595FA0A5">
            <w:pPr>
              <w:pStyle w:val="10"/>
            </w:pPr>
            <w:r>
              <w:t>5</w:t>
            </w:r>
          </w:p>
        </w:tc>
      </w:tr>
      <w:tr w14:paraId="0E62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A57360">
            <w:pPr>
              <w:pStyle w:val="13"/>
            </w:pPr>
          </w:p>
        </w:tc>
        <w:tc>
          <w:tcPr>
            <w:tcW w:w="3798" w:type="dxa"/>
            <w:vAlign w:val="center"/>
          </w:tcPr>
          <w:p w14:paraId="1BD311E9">
            <w:pPr>
              <w:pStyle w:val="12"/>
            </w:pPr>
          </w:p>
        </w:tc>
        <w:tc>
          <w:tcPr>
            <w:tcW w:w="2381" w:type="dxa"/>
            <w:vAlign w:val="center"/>
          </w:tcPr>
          <w:p w14:paraId="048928B7">
            <w:pPr>
              <w:pStyle w:val="11"/>
            </w:pPr>
          </w:p>
        </w:tc>
        <w:tc>
          <w:tcPr>
            <w:tcW w:w="2381" w:type="dxa"/>
            <w:vAlign w:val="center"/>
          </w:tcPr>
          <w:p w14:paraId="0AFDEDF1">
            <w:pPr>
              <w:pStyle w:val="11"/>
            </w:pPr>
          </w:p>
        </w:tc>
        <w:tc>
          <w:tcPr>
            <w:tcW w:w="2381" w:type="dxa"/>
            <w:vAlign w:val="center"/>
          </w:tcPr>
          <w:p w14:paraId="27FA9B1B">
            <w:pPr>
              <w:pStyle w:val="11"/>
            </w:pPr>
          </w:p>
        </w:tc>
        <w:tc>
          <w:tcPr>
            <w:tcW w:w="2381" w:type="dxa"/>
            <w:vAlign w:val="center"/>
          </w:tcPr>
          <w:p w14:paraId="575BFF40">
            <w:pPr>
              <w:pStyle w:val="11"/>
            </w:pPr>
          </w:p>
        </w:tc>
      </w:tr>
    </w:tbl>
    <w:p w14:paraId="22CCAEC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F421DD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隆尧县特殊教育学校2026年单位预算信息公开情况说明</w:t>
      </w:r>
    </w:p>
    <w:p w14:paraId="1FCB1B2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地方预决算公开操作规程》和《关于进一步推进预算公开工作的实施意见》规定，现将隆尧县特殊教育学校2026年单位预算公开如下：</w:t>
      </w:r>
    </w:p>
    <w:p w14:paraId="716F6F46">
      <w:pPr>
        <w:spacing w:before="10" w:after="10" w:line="240" w:lineRule="auto"/>
        <w:ind w:firstLine="640"/>
        <w:jc w:val="left"/>
        <w:outlineLvl w:val="5"/>
      </w:pPr>
      <w:r>
        <w:rPr>
          <w:rFonts w:ascii="黑体" w:hAnsi="黑体" w:eastAsia="黑体" w:cs="黑体"/>
          <w:color w:val="000000"/>
          <w:sz w:val="32"/>
        </w:rPr>
        <w:t>一、单位职责及机构设置情况</w:t>
      </w:r>
    </w:p>
    <w:p w14:paraId="708C4F5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169C235">
      <w:pPr>
        <w:pStyle w:val="17"/>
        <w:rPr>
          <w:rFonts w:hint="eastAsia"/>
        </w:rPr>
      </w:pPr>
      <w:r>
        <w:rPr>
          <w:rFonts w:hint="eastAsia"/>
        </w:rPr>
        <w:t>1.贯彻落实特殊教育的方针、政策，开展九年义务教育阶段教育教学工作，促进学生德、智、体、美、劳全面发展；</w:t>
      </w:r>
    </w:p>
    <w:p w14:paraId="59F71597">
      <w:pPr>
        <w:pStyle w:val="17"/>
        <w:rPr>
          <w:rFonts w:hint="eastAsia"/>
        </w:rPr>
      </w:pPr>
      <w:r>
        <w:rPr>
          <w:rFonts w:hint="eastAsia"/>
        </w:rPr>
        <w:t>2. 负责学生安全教育和管理，确保学生身心健康；</w:t>
      </w:r>
    </w:p>
    <w:p w14:paraId="7083D93D">
      <w:pPr>
        <w:pStyle w:val="17"/>
        <w:rPr>
          <w:rFonts w:hint="eastAsia"/>
        </w:rPr>
      </w:pPr>
      <w:r>
        <w:rPr>
          <w:rFonts w:hint="eastAsia"/>
        </w:rPr>
        <w:t>3. 加强教师队伍建设和管理，为教育教学工作提供保障。</w:t>
      </w:r>
    </w:p>
    <w:p w14:paraId="7DD06909">
      <w:pPr>
        <w:pStyle w:val="17"/>
      </w:pPr>
      <w:r>
        <w:rPr>
          <w:rFonts w:hint="eastAsia"/>
        </w:rPr>
        <w:t>隆尧县特殊教育学校事业编制8名，其中校长1名；经费形式为财政性资金基本保证。</w:t>
      </w:r>
    </w:p>
    <w:p w14:paraId="64663B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D7593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10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6BF467">
            <w:pPr>
              <w:pStyle w:val="10"/>
            </w:pPr>
            <w:r>
              <w:t>单位名称</w:t>
            </w:r>
          </w:p>
        </w:tc>
        <w:tc>
          <w:tcPr>
            <w:tcW w:w="1843" w:type="dxa"/>
            <w:vAlign w:val="center"/>
          </w:tcPr>
          <w:p w14:paraId="4CFE802F">
            <w:pPr>
              <w:pStyle w:val="10"/>
            </w:pPr>
            <w:r>
              <w:t>单位性质</w:t>
            </w:r>
          </w:p>
        </w:tc>
        <w:tc>
          <w:tcPr>
            <w:tcW w:w="2126" w:type="dxa"/>
            <w:vAlign w:val="center"/>
          </w:tcPr>
          <w:p w14:paraId="1CEEF63D">
            <w:pPr>
              <w:pStyle w:val="10"/>
            </w:pPr>
            <w:r>
              <w:t>单位规格</w:t>
            </w:r>
          </w:p>
        </w:tc>
        <w:tc>
          <w:tcPr>
            <w:tcW w:w="3827" w:type="dxa"/>
            <w:vAlign w:val="center"/>
          </w:tcPr>
          <w:p w14:paraId="6441E8FF">
            <w:pPr>
              <w:pStyle w:val="10"/>
            </w:pPr>
            <w:r>
              <w:t>经费保障形式</w:t>
            </w:r>
          </w:p>
        </w:tc>
      </w:tr>
      <w:tr w14:paraId="3B47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95D5D0">
            <w:pPr>
              <w:pStyle w:val="12"/>
            </w:pPr>
            <w:r>
              <w:t>隆尧县特殊教育学校</w:t>
            </w:r>
          </w:p>
        </w:tc>
        <w:tc>
          <w:tcPr>
            <w:tcW w:w="1843" w:type="dxa"/>
            <w:vAlign w:val="center"/>
          </w:tcPr>
          <w:p w14:paraId="01A7635F">
            <w:pPr>
              <w:pStyle w:val="13"/>
            </w:pPr>
            <w:r>
              <w:t>事业</w:t>
            </w:r>
          </w:p>
        </w:tc>
        <w:tc>
          <w:tcPr>
            <w:tcW w:w="2126" w:type="dxa"/>
            <w:vAlign w:val="center"/>
          </w:tcPr>
          <w:p w14:paraId="1B721F1D">
            <w:pPr>
              <w:pStyle w:val="13"/>
            </w:pPr>
            <w:r>
              <w:t>股级</w:t>
            </w:r>
          </w:p>
        </w:tc>
        <w:tc>
          <w:tcPr>
            <w:tcW w:w="3827" w:type="dxa"/>
            <w:vAlign w:val="center"/>
          </w:tcPr>
          <w:p w14:paraId="7370783D">
            <w:pPr>
              <w:pStyle w:val="13"/>
            </w:pPr>
            <w:r>
              <w:t>财政性资金基本保证</w:t>
            </w:r>
          </w:p>
        </w:tc>
      </w:tr>
    </w:tbl>
    <w:p w14:paraId="6F5786E8">
      <w:pPr>
        <w:spacing w:before="10" w:after="10" w:line="240" w:lineRule="auto"/>
        <w:ind w:firstLine="640"/>
        <w:jc w:val="left"/>
        <w:outlineLvl w:val="5"/>
      </w:pPr>
      <w:r>
        <w:rPr>
          <w:rFonts w:ascii="黑体" w:hAnsi="黑体" w:eastAsia="黑体" w:cs="黑体"/>
          <w:color w:val="000000"/>
          <w:sz w:val="32"/>
        </w:rPr>
        <w:t>二、单位预算安排的总体情况</w:t>
      </w:r>
    </w:p>
    <w:p w14:paraId="26A22F75">
      <w:pPr>
        <w:pStyle w:val="18"/>
      </w:pPr>
      <w:r>
        <w:t>按照预算管理有关规定，目前我单位预算的编制实行综合预算管理，即全部收入和支出都反映在预算中。隆尧县特殊教育学校的收支包含在单位预算中。</w:t>
      </w:r>
    </w:p>
    <w:p w14:paraId="2BEB762F">
      <w:pPr>
        <w:pStyle w:val="18"/>
      </w:pPr>
      <w:r>
        <w:t>1、收入说明</w:t>
      </w:r>
    </w:p>
    <w:p w14:paraId="74D14EBA">
      <w:pPr>
        <w:pStyle w:val="18"/>
      </w:pPr>
      <w:r>
        <w:t>反映本单位当年全部收入。2026年预算收入180.35万元，其中：一般公共预算收入180.35万元，基金预算收入0万元，国有资本经营预算收入0万元，财政专户核拨收入0万元，单位资金收入0万元，上年结转结余0万元。</w:t>
      </w:r>
    </w:p>
    <w:p w14:paraId="14A4325A">
      <w:pPr>
        <w:pStyle w:val="18"/>
      </w:pPr>
      <w:r>
        <w:t>2、支出说明</w:t>
      </w:r>
    </w:p>
    <w:p w14:paraId="1F3B08DF">
      <w:pPr>
        <w:pStyle w:val="18"/>
      </w:pPr>
      <w:r>
        <w:t>收支预算总表支出栏、基本支出表、项目支出表按经济分类和支出功能分类科目编制，反映隆尧县特殊教育学校年度部门预算中支出预算的总体情况。2026年支出预算180.35万元，其中基本支出102.35万元，项目支出78万元。</w:t>
      </w:r>
    </w:p>
    <w:p w14:paraId="702AE2BD">
      <w:pPr>
        <w:pStyle w:val="18"/>
      </w:pPr>
      <w:r>
        <w:t>3、比上年增减情况</w:t>
      </w:r>
    </w:p>
    <w:p w14:paraId="4E5B87D2">
      <w:pPr>
        <w:pStyle w:val="18"/>
      </w:pPr>
      <w:r>
        <w:t>2026年预算收支安排180.35万元，较2025年预算减少11.21万元，其中：基本支出减少6.71万元，项目支出减少4.5万元。</w:t>
      </w:r>
    </w:p>
    <w:p w14:paraId="0AFD5CA6">
      <w:pPr>
        <w:spacing w:before="10" w:after="10" w:line="240" w:lineRule="auto"/>
        <w:ind w:firstLine="640"/>
        <w:jc w:val="left"/>
        <w:outlineLvl w:val="5"/>
      </w:pPr>
      <w:r>
        <w:rPr>
          <w:rFonts w:ascii="黑体" w:hAnsi="黑体" w:eastAsia="黑体" w:cs="黑体"/>
          <w:color w:val="000000"/>
          <w:sz w:val="32"/>
        </w:rPr>
        <w:t>三、机关运行经费安排情况</w:t>
      </w:r>
    </w:p>
    <w:p w14:paraId="6F54BA0C">
      <w:pPr>
        <w:pStyle w:val="19"/>
      </w:pPr>
      <w:r>
        <w:t>我单位按学生安排公用经费，无机关运行经费。</w:t>
      </w:r>
    </w:p>
    <w:p w14:paraId="5B26E6F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C2306A9">
      <w:pPr>
        <w:pStyle w:val="20"/>
      </w:pPr>
      <w:r>
        <w:t>我单位未安排</w:t>
      </w:r>
      <w:r>
        <w:rPr>
          <w:rFonts w:hint="eastAsia"/>
          <w:lang w:eastAsia="zh-CN"/>
        </w:rPr>
        <w:t>“三公”经费</w:t>
      </w:r>
      <w:r>
        <w:t>。</w:t>
      </w:r>
    </w:p>
    <w:p w14:paraId="2ED632E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6ECD70">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1、冀财教[2025]121号/中央/2026年义教补助经费/特殊教育学校公用经费绩效目标表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10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64624">
            <w:pPr>
              <w:pStyle w:val="11"/>
            </w:pPr>
            <w:r>
              <w:t>单位：万元</w:t>
            </w:r>
          </w:p>
        </w:tc>
      </w:tr>
      <w:tr w14:paraId="3F81D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3F822">
            <w:pPr>
              <w:pStyle w:val="10"/>
            </w:pPr>
            <w:r>
              <w:t>项目编码</w:t>
            </w:r>
          </w:p>
        </w:tc>
        <w:tc>
          <w:tcPr>
            <w:tcW w:w="5103" w:type="dxa"/>
            <w:gridSpan w:val="2"/>
            <w:vAlign w:val="center"/>
          </w:tcPr>
          <w:p w14:paraId="4762531E">
            <w:pPr>
              <w:pStyle w:val="12"/>
            </w:pPr>
            <w:r>
              <w:t>13052526P00000410257M</w:t>
            </w:r>
          </w:p>
        </w:tc>
        <w:tc>
          <w:tcPr>
            <w:tcW w:w="2835" w:type="dxa"/>
            <w:vAlign w:val="center"/>
          </w:tcPr>
          <w:p w14:paraId="2A57728A">
            <w:pPr>
              <w:pStyle w:val="10"/>
            </w:pPr>
            <w:r>
              <w:t>项目名称</w:t>
            </w:r>
          </w:p>
        </w:tc>
        <w:tc>
          <w:tcPr>
            <w:tcW w:w="6095" w:type="dxa"/>
            <w:gridSpan w:val="3"/>
            <w:vAlign w:val="center"/>
          </w:tcPr>
          <w:p w14:paraId="1B07110E">
            <w:pPr>
              <w:pStyle w:val="12"/>
            </w:pPr>
            <w:r>
              <w:t>冀财教[2025]121号/中央/2026年义教补助经费/特殊教育学校公用经费</w:t>
            </w:r>
          </w:p>
        </w:tc>
      </w:tr>
      <w:tr w14:paraId="4599F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EC858">
            <w:pPr>
              <w:pStyle w:val="10"/>
            </w:pPr>
            <w:r>
              <w:t>预算规模及资金用途</w:t>
            </w:r>
          </w:p>
        </w:tc>
        <w:tc>
          <w:tcPr>
            <w:tcW w:w="2268" w:type="dxa"/>
            <w:vAlign w:val="center"/>
          </w:tcPr>
          <w:p w14:paraId="48A93DFF">
            <w:pPr>
              <w:pStyle w:val="10"/>
            </w:pPr>
            <w:r>
              <w:t>预算数</w:t>
            </w:r>
          </w:p>
        </w:tc>
        <w:tc>
          <w:tcPr>
            <w:tcW w:w="2835" w:type="dxa"/>
            <w:vAlign w:val="center"/>
          </w:tcPr>
          <w:p w14:paraId="21F99D52">
            <w:pPr>
              <w:pStyle w:val="12"/>
            </w:pPr>
            <w:r>
              <w:t>39.30</w:t>
            </w:r>
          </w:p>
        </w:tc>
        <w:tc>
          <w:tcPr>
            <w:tcW w:w="2835" w:type="dxa"/>
            <w:vAlign w:val="center"/>
          </w:tcPr>
          <w:p w14:paraId="0AD0B04D">
            <w:pPr>
              <w:pStyle w:val="10"/>
            </w:pPr>
            <w:r>
              <w:t>其中：财政    资金</w:t>
            </w:r>
          </w:p>
        </w:tc>
        <w:tc>
          <w:tcPr>
            <w:tcW w:w="2551" w:type="dxa"/>
            <w:vAlign w:val="center"/>
          </w:tcPr>
          <w:p w14:paraId="0328CED3">
            <w:pPr>
              <w:pStyle w:val="12"/>
            </w:pPr>
            <w:r>
              <w:t>39.30</w:t>
            </w:r>
          </w:p>
        </w:tc>
        <w:tc>
          <w:tcPr>
            <w:tcW w:w="2268" w:type="dxa"/>
            <w:vAlign w:val="center"/>
          </w:tcPr>
          <w:p w14:paraId="43AC5484">
            <w:pPr>
              <w:pStyle w:val="10"/>
            </w:pPr>
            <w:r>
              <w:t>其他资金</w:t>
            </w:r>
          </w:p>
        </w:tc>
        <w:tc>
          <w:tcPr>
            <w:tcW w:w="1276" w:type="dxa"/>
            <w:vAlign w:val="center"/>
          </w:tcPr>
          <w:p w14:paraId="3D957106">
            <w:pPr>
              <w:pStyle w:val="12"/>
            </w:pPr>
            <w:r>
              <w:t xml:space="preserve"> </w:t>
            </w:r>
          </w:p>
        </w:tc>
      </w:tr>
      <w:tr w14:paraId="7EE8F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E7AE5"/>
        </w:tc>
        <w:tc>
          <w:tcPr>
            <w:tcW w:w="14033" w:type="dxa"/>
            <w:gridSpan w:val="6"/>
            <w:vAlign w:val="center"/>
          </w:tcPr>
          <w:p w14:paraId="41B0AF84">
            <w:pPr>
              <w:pStyle w:val="12"/>
            </w:pPr>
            <w:r>
              <w:t>用于保障义务教育学校正常运转，完成教育教学活动和其他日常工作任务等方面的费用支出。</w:t>
            </w:r>
          </w:p>
        </w:tc>
      </w:tr>
      <w:tr w14:paraId="140BE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892B4">
            <w:pPr>
              <w:pStyle w:val="10"/>
            </w:pPr>
            <w:r>
              <w:t>资金支出计划（%）</w:t>
            </w:r>
          </w:p>
        </w:tc>
        <w:tc>
          <w:tcPr>
            <w:tcW w:w="5103" w:type="dxa"/>
            <w:gridSpan w:val="2"/>
            <w:vAlign w:val="center"/>
          </w:tcPr>
          <w:p w14:paraId="3CD3AD9B">
            <w:pPr>
              <w:pStyle w:val="10"/>
            </w:pPr>
            <w:r>
              <w:t>3月底</w:t>
            </w:r>
          </w:p>
        </w:tc>
        <w:tc>
          <w:tcPr>
            <w:tcW w:w="2835" w:type="dxa"/>
            <w:vAlign w:val="center"/>
          </w:tcPr>
          <w:p w14:paraId="2E280A77">
            <w:pPr>
              <w:pStyle w:val="10"/>
            </w:pPr>
            <w:r>
              <w:t>6月底</w:t>
            </w:r>
          </w:p>
        </w:tc>
        <w:tc>
          <w:tcPr>
            <w:tcW w:w="2551" w:type="dxa"/>
            <w:vAlign w:val="center"/>
          </w:tcPr>
          <w:p w14:paraId="4D2F252C">
            <w:pPr>
              <w:pStyle w:val="10"/>
            </w:pPr>
            <w:r>
              <w:t>10月底</w:t>
            </w:r>
          </w:p>
        </w:tc>
        <w:tc>
          <w:tcPr>
            <w:tcW w:w="3544" w:type="dxa"/>
            <w:gridSpan w:val="2"/>
            <w:vAlign w:val="center"/>
          </w:tcPr>
          <w:p w14:paraId="31E4BAE5">
            <w:pPr>
              <w:pStyle w:val="10"/>
            </w:pPr>
            <w:r>
              <w:t>12月底</w:t>
            </w:r>
          </w:p>
        </w:tc>
      </w:tr>
      <w:tr w14:paraId="43436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FD80B"/>
        </w:tc>
        <w:tc>
          <w:tcPr>
            <w:tcW w:w="5103" w:type="dxa"/>
            <w:gridSpan w:val="2"/>
            <w:vAlign w:val="center"/>
          </w:tcPr>
          <w:p w14:paraId="76292F0E">
            <w:pPr>
              <w:pStyle w:val="13"/>
            </w:pPr>
            <w:r>
              <w:t>25%</w:t>
            </w:r>
          </w:p>
        </w:tc>
        <w:tc>
          <w:tcPr>
            <w:tcW w:w="2835" w:type="dxa"/>
            <w:vAlign w:val="center"/>
          </w:tcPr>
          <w:p w14:paraId="5A163D91">
            <w:pPr>
              <w:pStyle w:val="13"/>
            </w:pPr>
            <w:r>
              <w:t>50%</w:t>
            </w:r>
          </w:p>
        </w:tc>
        <w:tc>
          <w:tcPr>
            <w:tcW w:w="2551" w:type="dxa"/>
            <w:vAlign w:val="center"/>
          </w:tcPr>
          <w:p w14:paraId="0A6465F9">
            <w:pPr>
              <w:pStyle w:val="13"/>
            </w:pPr>
            <w:r>
              <w:t>75%</w:t>
            </w:r>
          </w:p>
        </w:tc>
        <w:tc>
          <w:tcPr>
            <w:tcW w:w="3544" w:type="dxa"/>
            <w:gridSpan w:val="2"/>
            <w:vAlign w:val="center"/>
          </w:tcPr>
          <w:p w14:paraId="665A8F66">
            <w:pPr>
              <w:pStyle w:val="13"/>
            </w:pPr>
            <w:r>
              <w:t>100%</w:t>
            </w:r>
          </w:p>
        </w:tc>
      </w:tr>
      <w:tr w14:paraId="7657E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033E2">
            <w:pPr>
              <w:pStyle w:val="10"/>
            </w:pPr>
            <w:r>
              <w:t>绩效目标</w:t>
            </w:r>
          </w:p>
        </w:tc>
        <w:tc>
          <w:tcPr>
            <w:tcW w:w="14033" w:type="dxa"/>
            <w:gridSpan w:val="6"/>
            <w:vAlign w:val="center"/>
          </w:tcPr>
          <w:p w14:paraId="19A521C1">
            <w:pPr>
              <w:pStyle w:val="12"/>
            </w:pPr>
            <w:r>
              <w:t>1.保障义务教育学校正常运转，完成教育教学活动和其他日常工作任务等方面的费用支出。</w:t>
            </w:r>
          </w:p>
          <w:p w14:paraId="26B9877E">
            <w:pPr>
              <w:pStyle w:val="12"/>
            </w:pPr>
            <w:r>
              <w:t>2.按规定拨付公用经费39.3万元资金，资金拨付率达到100%。</w:t>
            </w:r>
          </w:p>
        </w:tc>
      </w:tr>
    </w:tbl>
    <w:p w14:paraId="55939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2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018CA">
            <w:pPr>
              <w:pStyle w:val="10"/>
            </w:pPr>
            <w:r>
              <w:t>一级指标</w:t>
            </w:r>
          </w:p>
        </w:tc>
        <w:tc>
          <w:tcPr>
            <w:tcW w:w="2268" w:type="dxa"/>
            <w:vAlign w:val="center"/>
          </w:tcPr>
          <w:p w14:paraId="1C8094DA">
            <w:pPr>
              <w:pStyle w:val="10"/>
            </w:pPr>
            <w:r>
              <w:t>二级指标</w:t>
            </w:r>
          </w:p>
        </w:tc>
        <w:tc>
          <w:tcPr>
            <w:tcW w:w="2835" w:type="dxa"/>
            <w:vAlign w:val="center"/>
          </w:tcPr>
          <w:p w14:paraId="0773F6CD">
            <w:pPr>
              <w:pStyle w:val="10"/>
            </w:pPr>
            <w:r>
              <w:t>三级指标</w:t>
            </w:r>
          </w:p>
        </w:tc>
        <w:tc>
          <w:tcPr>
            <w:tcW w:w="5386" w:type="dxa"/>
            <w:vAlign w:val="center"/>
          </w:tcPr>
          <w:p w14:paraId="45E875BC">
            <w:pPr>
              <w:pStyle w:val="10"/>
            </w:pPr>
            <w:r>
              <w:t>绩效指标描述</w:t>
            </w:r>
          </w:p>
        </w:tc>
        <w:tc>
          <w:tcPr>
            <w:tcW w:w="2268" w:type="dxa"/>
            <w:vAlign w:val="center"/>
          </w:tcPr>
          <w:p w14:paraId="4C87271F">
            <w:pPr>
              <w:pStyle w:val="10"/>
            </w:pPr>
            <w:r>
              <w:t>指标值</w:t>
            </w:r>
          </w:p>
        </w:tc>
        <w:tc>
          <w:tcPr>
            <w:tcW w:w="1276" w:type="dxa"/>
            <w:vAlign w:val="center"/>
          </w:tcPr>
          <w:p w14:paraId="68FD3DF0">
            <w:pPr>
              <w:pStyle w:val="10"/>
            </w:pPr>
            <w:r>
              <w:t>指标值确定依据</w:t>
            </w:r>
          </w:p>
        </w:tc>
      </w:tr>
      <w:tr w14:paraId="1D21B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D9AC8">
            <w:pPr>
              <w:pStyle w:val="13"/>
            </w:pPr>
            <w:r>
              <w:t>产出指标</w:t>
            </w:r>
          </w:p>
        </w:tc>
        <w:tc>
          <w:tcPr>
            <w:tcW w:w="2268" w:type="dxa"/>
            <w:vAlign w:val="center"/>
          </w:tcPr>
          <w:p w14:paraId="782B67C7">
            <w:pPr>
              <w:pStyle w:val="12"/>
            </w:pPr>
            <w:r>
              <w:t>数量指标</w:t>
            </w:r>
          </w:p>
        </w:tc>
        <w:tc>
          <w:tcPr>
            <w:tcW w:w="2835" w:type="dxa"/>
            <w:vAlign w:val="center"/>
          </w:tcPr>
          <w:p w14:paraId="2C21D391">
            <w:pPr>
              <w:pStyle w:val="12"/>
            </w:pPr>
            <w:r>
              <w:t>适龄在校生</w:t>
            </w:r>
          </w:p>
        </w:tc>
        <w:tc>
          <w:tcPr>
            <w:tcW w:w="5386" w:type="dxa"/>
            <w:vAlign w:val="center"/>
          </w:tcPr>
          <w:p w14:paraId="19BCF709">
            <w:pPr>
              <w:pStyle w:val="12"/>
            </w:pPr>
            <w:r>
              <w:t>适龄在校就读学生人数</w:t>
            </w:r>
          </w:p>
        </w:tc>
        <w:tc>
          <w:tcPr>
            <w:tcW w:w="2268" w:type="dxa"/>
            <w:vAlign w:val="center"/>
          </w:tcPr>
          <w:p w14:paraId="7A6A9B69">
            <w:pPr>
              <w:pStyle w:val="12"/>
            </w:pPr>
            <w:r>
              <w:t>90人</w:t>
            </w:r>
          </w:p>
        </w:tc>
        <w:tc>
          <w:tcPr>
            <w:tcW w:w="1276" w:type="dxa"/>
            <w:vAlign w:val="center"/>
          </w:tcPr>
          <w:p w14:paraId="37F2FB32">
            <w:pPr>
              <w:pStyle w:val="12"/>
            </w:pPr>
            <w:r>
              <w:t>城乡义务教育公用经费管理办法</w:t>
            </w:r>
          </w:p>
        </w:tc>
      </w:tr>
      <w:tr w14:paraId="39A8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EAC00"/>
        </w:tc>
        <w:tc>
          <w:tcPr>
            <w:tcW w:w="2268" w:type="dxa"/>
            <w:vAlign w:val="center"/>
          </w:tcPr>
          <w:p w14:paraId="118CD943">
            <w:pPr>
              <w:pStyle w:val="12"/>
            </w:pPr>
            <w:r>
              <w:t>质量指标</w:t>
            </w:r>
          </w:p>
        </w:tc>
        <w:tc>
          <w:tcPr>
            <w:tcW w:w="2835" w:type="dxa"/>
            <w:vAlign w:val="center"/>
          </w:tcPr>
          <w:p w14:paraId="17175807">
            <w:pPr>
              <w:pStyle w:val="12"/>
            </w:pPr>
            <w:r>
              <w:t>预算执行率</w:t>
            </w:r>
          </w:p>
        </w:tc>
        <w:tc>
          <w:tcPr>
            <w:tcW w:w="5386" w:type="dxa"/>
            <w:vAlign w:val="center"/>
          </w:tcPr>
          <w:p w14:paraId="7F98E11E">
            <w:pPr>
              <w:pStyle w:val="12"/>
            </w:pPr>
            <w:r>
              <w:t>预算执行率</w:t>
            </w:r>
          </w:p>
        </w:tc>
        <w:tc>
          <w:tcPr>
            <w:tcW w:w="2268" w:type="dxa"/>
            <w:vAlign w:val="center"/>
          </w:tcPr>
          <w:p w14:paraId="66B8F4EF">
            <w:pPr>
              <w:pStyle w:val="12"/>
            </w:pPr>
            <w:r>
              <w:t>≥98%</w:t>
            </w:r>
          </w:p>
        </w:tc>
        <w:tc>
          <w:tcPr>
            <w:tcW w:w="1276" w:type="dxa"/>
            <w:vAlign w:val="center"/>
          </w:tcPr>
          <w:p w14:paraId="59930E9F">
            <w:pPr>
              <w:pStyle w:val="12"/>
            </w:pPr>
            <w:r>
              <w:t>城乡义务教育公用经费管理办法</w:t>
            </w:r>
          </w:p>
        </w:tc>
      </w:tr>
      <w:tr w14:paraId="558A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A6C47"/>
        </w:tc>
        <w:tc>
          <w:tcPr>
            <w:tcW w:w="2268" w:type="dxa"/>
            <w:vAlign w:val="center"/>
          </w:tcPr>
          <w:p w14:paraId="0F258D26">
            <w:pPr>
              <w:pStyle w:val="12"/>
            </w:pPr>
            <w:r>
              <w:t>时效指标</w:t>
            </w:r>
          </w:p>
        </w:tc>
        <w:tc>
          <w:tcPr>
            <w:tcW w:w="2835" w:type="dxa"/>
            <w:vAlign w:val="center"/>
          </w:tcPr>
          <w:p w14:paraId="59F57A59">
            <w:pPr>
              <w:pStyle w:val="12"/>
            </w:pPr>
            <w:r>
              <w:t>公用经费资金支付率</w:t>
            </w:r>
          </w:p>
        </w:tc>
        <w:tc>
          <w:tcPr>
            <w:tcW w:w="5386" w:type="dxa"/>
            <w:vAlign w:val="center"/>
          </w:tcPr>
          <w:p w14:paraId="113F487D">
            <w:pPr>
              <w:pStyle w:val="12"/>
            </w:pPr>
            <w:r>
              <w:t>按照序时进度完成资金支付</w:t>
            </w:r>
          </w:p>
        </w:tc>
        <w:tc>
          <w:tcPr>
            <w:tcW w:w="2268" w:type="dxa"/>
            <w:vAlign w:val="center"/>
          </w:tcPr>
          <w:p w14:paraId="7AD6A965">
            <w:pPr>
              <w:pStyle w:val="12"/>
            </w:pPr>
            <w:r>
              <w:t>≥98%</w:t>
            </w:r>
          </w:p>
        </w:tc>
        <w:tc>
          <w:tcPr>
            <w:tcW w:w="1276" w:type="dxa"/>
            <w:vAlign w:val="center"/>
          </w:tcPr>
          <w:p w14:paraId="6E9DE30D">
            <w:pPr>
              <w:pStyle w:val="12"/>
            </w:pPr>
            <w:r>
              <w:t>城乡义务教育公用经费管理办法</w:t>
            </w:r>
          </w:p>
        </w:tc>
      </w:tr>
      <w:tr w14:paraId="3CCD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BFECC"/>
        </w:tc>
        <w:tc>
          <w:tcPr>
            <w:tcW w:w="2268" w:type="dxa"/>
            <w:vAlign w:val="center"/>
          </w:tcPr>
          <w:p w14:paraId="1F782B51">
            <w:pPr>
              <w:pStyle w:val="12"/>
            </w:pPr>
            <w:r>
              <w:t>成本指标</w:t>
            </w:r>
          </w:p>
        </w:tc>
        <w:tc>
          <w:tcPr>
            <w:tcW w:w="2835" w:type="dxa"/>
            <w:vAlign w:val="center"/>
          </w:tcPr>
          <w:p w14:paraId="2D0039E2">
            <w:pPr>
              <w:pStyle w:val="12"/>
            </w:pPr>
            <w:r>
              <w:t>生均拨款标准</w:t>
            </w:r>
          </w:p>
        </w:tc>
        <w:tc>
          <w:tcPr>
            <w:tcW w:w="5386" w:type="dxa"/>
            <w:vAlign w:val="center"/>
          </w:tcPr>
          <w:p w14:paraId="58E290C7">
            <w:pPr>
              <w:pStyle w:val="12"/>
            </w:pPr>
            <w:r>
              <w:t>特教学生：标准7000元/生/学年</w:t>
            </w:r>
          </w:p>
        </w:tc>
        <w:tc>
          <w:tcPr>
            <w:tcW w:w="2268" w:type="dxa"/>
            <w:vAlign w:val="center"/>
          </w:tcPr>
          <w:p w14:paraId="60A48034">
            <w:pPr>
              <w:pStyle w:val="12"/>
            </w:pPr>
            <w:r>
              <w:t>7000元</w:t>
            </w:r>
          </w:p>
        </w:tc>
        <w:tc>
          <w:tcPr>
            <w:tcW w:w="1276" w:type="dxa"/>
            <w:vAlign w:val="center"/>
          </w:tcPr>
          <w:p w14:paraId="7C7B2C50">
            <w:pPr>
              <w:pStyle w:val="12"/>
            </w:pPr>
            <w:r>
              <w:t>城乡义务教育公用经费管理办法</w:t>
            </w:r>
          </w:p>
        </w:tc>
      </w:tr>
      <w:tr w14:paraId="764C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06A17">
            <w:pPr>
              <w:pStyle w:val="13"/>
            </w:pPr>
            <w:r>
              <w:t>效益指标</w:t>
            </w:r>
          </w:p>
        </w:tc>
        <w:tc>
          <w:tcPr>
            <w:tcW w:w="2268" w:type="dxa"/>
            <w:vAlign w:val="center"/>
          </w:tcPr>
          <w:p w14:paraId="65599EFE">
            <w:pPr>
              <w:pStyle w:val="12"/>
            </w:pPr>
            <w:r>
              <w:t>社会效益指标</w:t>
            </w:r>
          </w:p>
        </w:tc>
        <w:tc>
          <w:tcPr>
            <w:tcW w:w="2835" w:type="dxa"/>
            <w:vAlign w:val="center"/>
          </w:tcPr>
          <w:p w14:paraId="751E3FCF">
            <w:pPr>
              <w:pStyle w:val="12"/>
            </w:pPr>
            <w:r>
              <w:t>学校办学能力提升</w:t>
            </w:r>
          </w:p>
        </w:tc>
        <w:tc>
          <w:tcPr>
            <w:tcW w:w="5386" w:type="dxa"/>
            <w:vAlign w:val="center"/>
          </w:tcPr>
          <w:p w14:paraId="10B0D568">
            <w:pPr>
              <w:pStyle w:val="12"/>
            </w:pPr>
            <w:r>
              <w:t>办学能力及教育教学工作提升率</w:t>
            </w:r>
          </w:p>
        </w:tc>
        <w:tc>
          <w:tcPr>
            <w:tcW w:w="2268" w:type="dxa"/>
            <w:vAlign w:val="center"/>
          </w:tcPr>
          <w:p w14:paraId="08933D4D">
            <w:pPr>
              <w:pStyle w:val="12"/>
            </w:pPr>
            <w:r>
              <w:t>≥95%</w:t>
            </w:r>
          </w:p>
        </w:tc>
        <w:tc>
          <w:tcPr>
            <w:tcW w:w="1276" w:type="dxa"/>
            <w:vAlign w:val="center"/>
          </w:tcPr>
          <w:p w14:paraId="66E49E00">
            <w:pPr>
              <w:pStyle w:val="12"/>
            </w:pPr>
            <w:r>
              <w:t>城乡义务教育公用经费管理办法</w:t>
            </w:r>
          </w:p>
        </w:tc>
      </w:tr>
      <w:tr w14:paraId="1C5F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1406D">
            <w:pPr>
              <w:pStyle w:val="13"/>
            </w:pPr>
            <w:r>
              <w:t>满意度指标</w:t>
            </w:r>
          </w:p>
        </w:tc>
        <w:tc>
          <w:tcPr>
            <w:tcW w:w="2268" w:type="dxa"/>
            <w:vAlign w:val="center"/>
          </w:tcPr>
          <w:p w14:paraId="237DEFE8">
            <w:pPr>
              <w:pStyle w:val="12"/>
            </w:pPr>
            <w:r>
              <w:t>服务对象满意度指标</w:t>
            </w:r>
          </w:p>
        </w:tc>
        <w:tc>
          <w:tcPr>
            <w:tcW w:w="2835" w:type="dxa"/>
            <w:vAlign w:val="center"/>
          </w:tcPr>
          <w:p w14:paraId="3D93C7CE">
            <w:pPr>
              <w:pStyle w:val="12"/>
            </w:pPr>
            <w:r>
              <w:t>受益学生教师及家长调查满意度</w:t>
            </w:r>
          </w:p>
        </w:tc>
        <w:tc>
          <w:tcPr>
            <w:tcW w:w="5386" w:type="dxa"/>
            <w:vAlign w:val="center"/>
          </w:tcPr>
          <w:p w14:paraId="0268470F">
            <w:pPr>
              <w:pStyle w:val="12"/>
            </w:pPr>
            <w:r>
              <w:t>学生、教师及家长对学校教育教学工作满意度情况</w:t>
            </w:r>
          </w:p>
        </w:tc>
        <w:tc>
          <w:tcPr>
            <w:tcW w:w="2268" w:type="dxa"/>
            <w:vAlign w:val="center"/>
          </w:tcPr>
          <w:p w14:paraId="7A011C7A">
            <w:pPr>
              <w:pStyle w:val="12"/>
            </w:pPr>
            <w:r>
              <w:t>≥95%</w:t>
            </w:r>
          </w:p>
        </w:tc>
        <w:tc>
          <w:tcPr>
            <w:tcW w:w="1276" w:type="dxa"/>
            <w:vAlign w:val="center"/>
          </w:tcPr>
          <w:p w14:paraId="65759828">
            <w:pPr>
              <w:pStyle w:val="12"/>
            </w:pPr>
            <w:r>
              <w:t>问卷调查</w:t>
            </w:r>
          </w:p>
        </w:tc>
      </w:tr>
    </w:tbl>
    <w:p w14:paraId="2FB039C9">
      <w:pPr>
        <w:sectPr>
          <w:pgSz w:w="16840" w:h="11900" w:orient="landscape"/>
          <w:pgMar w:top="1361" w:right="1020" w:bottom="1134" w:left="1020" w:header="720" w:footer="720" w:gutter="0"/>
          <w:cols w:space="720" w:num="1"/>
        </w:sectPr>
      </w:pPr>
    </w:p>
    <w:p w14:paraId="05A480CC">
      <w:pPr>
        <w:spacing w:before="0" w:after="0"/>
        <w:ind w:firstLine="560"/>
        <w:jc w:val="left"/>
        <w:outlineLvl w:val="9"/>
      </w:pPr>
      <w:r>
        <w:rPr>
          <w:rFonts w:ascii="方正仿宋_GBK" w:hAnsi="方正仿宋_GBK" w:eastAsia="方正仿宋_GBK" w:cs="方正仿宋_GBK"/>
          <w:b/>
          <w:color w:val="000000"/>
          <w:sz w:val="28"/>
        </w:rPr>
        <w:t>2、冀财教[2025]125号/中央/2026年特殊教育/特殊教育学校设备购置绩效目标表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EB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4E593">
            <w:pPr>
              <w:pStyle w:val="11"/>
            </w:pPr>
            <w:r>
              <w:t>单位：万元</w:t>
            </w:r>
          </w:p>
        </w:tc>
      </w:tr>
      <w:tr w14:paraId="2890C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0F319">
            <w:pPr>
              <w:pStyle w:val="10"/>
            </w:pPr>
            <w:r>
              <w:t>项目编码</w:t>
            </w:r>
          </w:p>
        </w:tc>
        <w:tc>
          <w:tcPr>
            <w:tcW w:w="5103" w:type="dxa"/>
            <w:gridSpan w:val="2"/>
            <w:vAlign w:val="center"/>
          </w:tcPr>
          <w:p w14:paraId="3C95D759">
            <w:pPr>
              <w:pStyle w:val="12"/>
            </w:pPr>
            <w:r>
              <w:t>13052526P008761100042</w:t>
            </w:r>
          </w:p>
        </w:tc>
        <w:tc>
          <w:tcPr>
            <w:tcW w:w="2835" w:type="dxa"/>
            <w:vAlign w:val="center"/>
          </w:tcPr>
          <w:p w14:paraId="7EE159F2">
            <w:pPr>
              <w:pStyle w:val="10"/>
            </w:pPr>
            <w:r>
              <w:t>项目名称</w:t>
            </w:r>
          </w:p>
        </w:tc>
        <w:tc>
          <w:tcPr>
            <w:tcW w:w="6095" w:type="dxa"/>
            <w:gridSpan w:val="3"/>
            <w:vAlign w:val="center"/>
          </w:tcPr>
          <w:p w14:paraId="6A8406A3">
            <w:pPr>
              <w:pStyle w:val="12"/>
            </w:pPr>
            <w:r>
              <w:t>冀财教[2025]125号/中央/2026年特殊教育/特殊教育学校设备购置</w:t>
            </w:r>
          </w:p>
        </w:tc>
      </w:tr>
      <w:tr w14:paraId="013BD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2C2A8">
            <w:pPr>
              <w:pStyle w:val="10"/>
            </w:pPr>
            <w:r>
              <w:t>预算规模及资金用途</w:t>
            </w:r>
          </w:p>
        </w:tc>
        <w:tc>
          <w:tcPr>
            <w:tcW w:w="2268" w:type="dxa"/>
            <w:vAlign w:val="center"/>
          </w:tcPr>
          <w:p w14:paraId="79B87356">
            <w:pPr>
              <w:pStyle w:val="10"/>
            </w:pPr>
            <w:r>
              <w:t>预算数</w:t>
            </w:r>
          </w:p>
        </w:tc>
        <w:tc>
          <w:tcPr>
            <w:tcW w:w="2835" w:type="dxa"/>
            <w:vAlign w:val="center"/>
          </w:tcPr>
          <w:p w14:paraId="1773E2C1">
            <w:pPr>
              <w:pStyle w:val="12"/>
            </w:pPr>
            <w:r>
              <w:t>10.00</w:t>
            </w:r>
          </w:p>
        </w:tc>
        <w:tc>
          <w:tcPr>
            <w:tcW w:w="2835" w:type="dxa"/>
            <w:vAlign w:val="center"/>
          </w:tcPr>
          <w:p w14:paraId="6298F110">
            <w:pPr>
              <w:pStyle w:val="10"/>
            </w:pPr>
            <w:r>
              <w:t>其中：财政    资金</w:t>
            </w:r>
          </w:p>
        </w:tc>
        <w:tc>
          <w:tcPr>
            <w:tcW w:w="2551" w:type="dxa"/>
            <w:vAlign w:val="center"/>
          </w:tcPr>
          <w:p w14:paraId="4BFB026F">
            <w:pPr>
              <w:pStyle w:val="12"/>
            </w:pPr>
            <w:r>
              <w:t>10.00</w:t>
            </w:r>
          </w:p>
        </w:tc>
        <w:tc>
          <w:tcPr>
            <w:tcW w:w="2268" w:type="dxa"/>
            <w:vAlign w:val="center"/>
          </w:tcPr>
          <w:p w14:paraId="18D1DAAD">
            <w:pPr>
              <w:pStyle w:val="10"/>
            </w:pPr>
            <w:r>
              <w:t>其他资金</w:t>
            </w:r>
          </w:p>
        </w:tc>
        <w:tc>
          <w:tcPr>
            <w:tcW w:w="1276" w:type="dxa"/>
            <w:vAlign w:val="center"/>
          </w:tcPr>
          <w:p w14:paraId="0147BBC4">
            <w:pPr>
              <w:pStyle w:val="12"/>
            </w:pPr>
            <w:r>
              <w:t xml:space="preserve"> </w:t>
            </w:r>
          </w:p>
        </w:tc>
      </w:tr>
      <w:tr w14:paraId="5EAF2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33CDB"/>
        </w:tc>
        <w:tc>
          <w:tcPr>
            <w:tcW w:w="14033" w:type="dxa"/>
            <w:gridSpan w:val="6"/>
            <w:vAlign w:val="center"/>
          </w:tcPr>
          <w:p w14:paraId="5BCB50B6">
            <w:pPr>
              <w:pStyle w:val="12"/>
            </w:pPr>
            <w:r>
              <w:t>用于扩大特殊教育资源，进一步改善办学条件，提升特殊教育质量。</w:t>
            </w:r>
          </w:p>
        </w:tc>
      </w:tr>
      <w:tr w14:paraId="051EE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083D2">
            <w:pPr>
              <w:pStyle w:val="10"/>
            </w:pPr>
            <w:r>
              <w:t>资金支出计划（%）</w:t>
            </w:r>
          </w:p>
        </w:tc>
        <w:tc>
          <w:tcPr>
            <w:tcW w:w="5103" w:type="dxa"/>
            <w:gridSpan w:val="2"/>
            <w:vAlign w:val="center"/>
          </w:tcPr>
          <w:p w14:paraId="6D02DEB9">
            <w:pPr>
              <w:pStyle w:val="10"/>
            </w:pPr>
            <w:r>
              <w:t>3月底</w:t>
            </w:r>
          </w:p>
        </w:tc>
        <w:tc>
          <w:tcPr>
            <w:tcW w:w="2835" w:type="dxa"/>
            <w:vAlign w:val="center"/>
          </w:tcPr>
          <w:p w14:paraId="03EE20E4">
            <w:pPr>
              <w:pStyle w:val="10"/>
            </w:pPr>
            <w:r>
              <w:t>6月底</w:t>
            </w:r>
          </w:p>
        </w:tc>
        <w:tc>
          <w:tcPr>
            <w:tcW w:w="2551" w:type="dxa"/>
            <w:vAlign w:val="center"/>
          </w:tcPr>
          <w:p w14:paraId="38AC31E5">
            <w:pPr>
              <w:pStyle w:val="10"/>
            </w:pPr>
            <w:r>
              <w:t>10月底</w:t>
            </w:r>
          </w:p>
        </w:tc>
        <w:tc>
          <w:tcPr>
            <w:tcW w:w="3544" w:type="dxa"/>
            <w:gridSpan w:val="2"/>
            <w:vAlign w:val="center"/>
          </w:tcPr>
          <w:p w14:paraId="1EE52BE4">
            <w:pPr>
              <w:pStyle w:val="10"/>
            </w:pPr>
            <w:r>
              <w:t>12月底</w:t>
            </w:r>
          </w:p>
        </w:tc>
      </w:tr>
      <w:tr w14:paraId="5B9CF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24C30"/>
        </w:tc>
        <w:tc>
          <w:tcPr>
            <w:tcW w:w="5103" w:type="dxa"/>
            <w:gridSpan w:val="2"/>
            <w:vAlign w:val="center"/>
          </w:tcPr>
          <w:p w14:paraId="18E12409">
            <w:pPr>
              <w:pStyle w:val="13"/>
            </w:pPr>
            <w:r>
              <w:t xml:space="preserve"> </w:t>
            </w:r>
          </w:p>
        </w:tc>
        <w:tc>
          <w:tcPr>
            <w:tcW w:w="2835" w:type="dxa"/>
            <w:vAlign w:val="center"/>
          </w:tcPr>
          <w:p w14:paraId="3974E4F3">
            <w:pPr>
              <w:pStyle w:val="13"/>
            </w:pPr>
            <w:r>
              <w:t xml:space="preserve"> </w:t>
            </w:r>
          </w:p>
        </w:tc>
        <w:tc>
          <w:tcPr>
            <w:tcW w:w="2551" w:type="dxa"/>
            <w:vAlign w:val="center"/>
          </w:tcPr>
          <w:p w14:paraId="1EED86B4">
            <w:pPr>
              <w:pStyle w:val="13"/>
            </w:pPr>
            <w:r>
              <w:t>100%</w:t>
            </w:r>
          </w:p>
        </w:tc>
        <w:tc>
          <w:tcPr>
            <w:tcW w:w="3544" w:type="dxa"/>
            <w:gridSpan w:val="2"/>
            <w:vAlign w:val="center"/>
          </w:tcPr>
          <w:p w14:paraId="3DB64B30">
            <w:pPr>
              <w:pStyle w:val="13"/>
            </w:pPr>
            <w:r>
              <w:t>100%</w:t>
            </w:r>
          </w:p>
        </w:tc>
      </w:tr>
      <w:tr w14:paraId="0BE7C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A7568">
            <w:pPr>
              <w:pStyle w:val="10"/>
            </w:pPr>
            <w:r>
              <w:t>绩效目标</w:t>
            </w:r>
          </w:p>
        </w:tc>
        <w:tc>
          <w:tcPr>
            <w:tcW w:w="14033" w:type="dxa"/>
            <w:gridSpan w:val="6"/>
            <w:vAlign w:val="center"/>
          </w:tcPr>
          <w:p w14:paraId="7A6C4D79">
            <w:pPr>
              <w:pStyle w:val="12"/>
            </w:pPr>
            <w:r>
              <w:t>1.扩大特殊教育资源，进一步改善办学条件，提升特殊教育质量。</w:t>
            </w:r>
          </w:p>
          <w:p w14:paraId="57E637CD">
            <w:pPr>
              <w:pStyle w:val="12"/>
            </w:pPr>
            <w:r>
              <w:t>2.按规定拨付资金10万元，资金拨付率达到100%</w:t>
            </w:r>
          </w:p>
        </w:tc>
      </w:tr>
    </w:tbl>
    <w:p w14:paraId="63904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B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ACF40">
            <w:pPr>
              <w:pStyle w:val="10"/>
            </w:pPr>
            <w:r>
              <w:t>一级指标</w:t>
            </w:r>
          </w:p>
        </w:tc>
        <w:tc>
          <w:tcPr>
            <w:tcW w:w="2268" w:type="dxa"/>
            <w:vAlign w:val="center"/>
          </w:tcPr>
          <w:p w14:paraId="0469E77B">
            <w:pPr>
              <w:pStyle w:val="10"/>
            </w:pPr>
            <w:r>
              <w:t>二级指标</w:t>
            </w:r>
          </w:p>
        </w:tc>
        <w:tc>
          <w:tcPr>
            <w:tcW w:w="2835" w:type="dxa"/>
            <w:vAlign w:val="center"/>
          </w:tcPr>
          <w:p w14:paraId="516F8F86">
            <w:pPr>
              <w:pStyle w:val="10"/>
            </w:pPr>
            <w:r>
              <w:t>三级指标</w:t>
            </w:r>
          </w:p>
        </w:tc>
        <w:tc>
          <w:tcPr>
            <w:tcW w:w="5386" w:type="dxa"/>
            <w:vAlign w:val="center"/>
          </w:tcPr>
          <w:p w14:paraId="101FAB4A">
            <w:pPr>
              <w:pStyle w:val="10"/>
            </w:pPr>
            <w:r>
              <w:t>绩效指标描述</w:t>
            </w:r>
          </w:p>
        </w:tc>
        <w:tc>
          <w:tcPr>
            <w:tcW w:w="2268" w:type="dxa"/>
            <w:vAlign w:val="center"/>
          </w:tcPr>
          <w:p w14:paraId="006A9CC3">
            <w:pPr>
              <w:pStyle w:val="10"/>
            </w:pPr>
            <w:r>
              <w:t>指标值</w:t>
            </w:r>
          </w:p>
        </w:tc>
        <w:tc>
          <w:tcPr>
            <w:tcW w:w="1276" w:type="dxa"/>
            <w:vAlign w:val="center"/>
          </w:tcPr>
          <w:p w14:paraId="70EBAAD1">
            <w:pPr>
              <w:pStyle w:val="10"/>
            </w:pPr>
            <w:r>
              <w:t>指标值确定依据</w:t>
            </w:r>
          </w:p>
        </w:tc>
      </w:tr>
      <w:tr w14:paraId="7110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7206B">
            <w:pPr>
              <w:pStyle w:val="13"/>
            </w:pPr>
            <w:r>
              <w:t>产出指标</w:t>
            </w:r>
          </w:p>
        </w:tc>
        <w:tc>
          <w:tcPr>
            <w:tcW w:w="2268" w:type="dxa"/>
            <w:vAlign w:val="center"/>
          </w:tcPr>
          <w:p w14:paraId="4F6A535B">
            <w:pPr>
              <w:pStyle w:val="12"/>
            </w:pPr>
            <w:r>
              <w:t>数量指标</w:t>
            </w:r>
          </w:p>
        </w:tc>
        <w:tc>
          <w:tcPr>
            <w:tcW w:w="2835" w:type="dxa"/>
            <w:vAlign w:val="center"/>
          </w:tcPr>
          <w:p w14:paraId="5BF805FC">
            <w:pPr>
              <w:pStyle w:val="12"/>
            </w:pPr>
            <w:r>
              <w:t>受益在校生</w:t>
            </w:r>
          </w:p>
        </w:tc>
        <w:tc>
          <w:tcPr>
            <w:tcW w:w="5386" w:type="dxa"/>
            <w:vAlign w:val="center"/>
          </w:tcPr>
          <w:p w14:paraId="5D9DFC5B">
            <w:pPr>
              <w:pStyle w:val="12"/>
            </w:pPr>
            <w:r>
              <w:t>适龄在校就读受益学生数</w:t>
            </w:r>
          </w:p>
        </w:tc>
        <w:tc>
          <w:tcPr>
            <w:tcW w:w="2268" w:type="dxa"/>
            <w:vAlign w:val="center"/>
          </w:tcPr>
          <w:p w14:paraId="455EC779">
            <w:pPr>
              <w:pStyle w:val="12"/>
            </w:pPr>
            <w:r>
              <w:t>90人</w:t>
            </w:r>
          </w:p>
        </w:tc>
        <w:tc>
          <w:tcPr>
            <w:tcW w:w="1276" w:type="dxa"/>
            <w:vAlign w:val="center"/>
          </w:tcPr>
          <w:p w14:paraId="002E225D">
            <w:pPr>
              <w:pStyle w:val="12"/>
            </w:pPr>
            <w:r>
              <w:t>项目规划</w:t>
            </w:r>
          </w:p>
        </w:tc>
      </w:tr>
      <w:tr w14:paraId="54BF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A2646"/>
        </w:tc>
        <w:tc>
          <w:tcPr>
            <w:tcW w:w="2268" w:type="dxa"/>
            <w:vAlign w:val="center"/>
          </w:tcPr>
          <w:p w14:paraId="4B8922D5">
            <w:pPr>
              <w:pStyle w:val="12"/>
            </w:pPr>
            <w:r>
              <w:t>质量指标</w:t>
            </w:r>
          </w:p>
        </w:tc>
        <w:tc>
          <w:tcPr>
            <w:tcW w:w="2835" w:type="dxa"/>
            <w:vAlign w:val="center"/>
          </w:tcPr>
          <w:p w14:paraId="0FA3C0B0">
            <w:pPr>
              <w:pStyle w:val="12"/>
            </w:pPr>
            <w:r>
              <w:t>设备验收合格率</w:t>
            </w:r>
          </w:p>
        </w:tc>
        <w:tc>
          <w:tcPr>
            <w:tcW w:w="5386" w:type="dxa"/>
            <w:vAlign w:val="center"/>
          </w:tcPr>
          <w:p w14:paraId="6A94F2EF">
            <w:pPr>
              <w:pStyle w:val="12"/>
            </w:pPr>
            <w:r>
              <w:t>购置设备数量与质量验收合格率</w:t>
            </w:r>
          </w:p>
        </w:tc>
        <w:tc>
          <w:tcPr>
            <w:tcW w:w="2268" w:type="dxa"/>
            <w:vAlign w:val="center"/>
          </w:tcPr>
          <w:p w14:paraId="70884009">
            <w:pPr>
              <w:pStyle w:val="12"/>
            </w:pPr>
            <w:r>
              <w:t>100%</w:t>
            </w:r>
          </w:p>
        </w:tc>
        <w:tc>
          <w:tcPr>
            <w:tcW w:w="1276" w:type="dxa"/>
            <w:vAlign w:val="center"/>
          </w:tcPr>
          <w:p w14:paraId="6D695851">
            <w:pPr>
              <w:pStyle w:val="12"/>
            </w:pPr>
            <w:r>
              <w:t>项目规划</w:t>
            </w:r>
          </w:p>
        </w:tc>
      </w:tr>
      <w:tr w14:paraId="0D30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FEE0E"/>
        </w:tc>
        <w:tc>
          <w:tcPr>
            <w:tcW w:w="2268" w:type="dxa"/>
            <w:vAlign w:val="center"/>
          </w:tcPr>
          <w:p w14:paraId="5C1E0308">
            <w:pPr>
              <w:pStyle w:val="12"/>
            </w:pPr>
            <w:r>
              <w:t>时效指标</w:t>
            </w:r>
          </w:p>
        </w:tc>
        <w:tc>
          <w:tcPr>
            <w:tcW w:w="2835" w:type="dxa"/>
            <w:vAlign w:val="center"/>
          </w:tcPr>
          <w:p w14:paraId="02890D2B">
            <w:pPr>
              <w:pStyle w:val="12"/>
            </w:pPr>
            <w:r>
              <w:t>设备完成率</w:t>
            </w:r>
          </w:p>
        </w:tc>
        <w:tc>
          <w:tcPr>
            <w:tcW w:w="5386" w:type="dxa"/>
            <w:vAlign w:val="center"/>
          </w:tcPr>
          <w:p w14:paraId="1ECC5551">
            <w:pPr>
              <w:pStyle w:val="12"/>
            </w:pPr>
            <w:r>
              <w:t>购置设备的安装完成率</w:t>
            </w:r>
          </w:p>
        </w:tc>
        <w:tc>
          <w:tcPr>
            <w:tcW w:w="2268" w:type="dxa"/>
            <w:vAlign w:val="center"/>
          </w:tcPr>
          <w:p w14:paraId="16F37AA2">
            <w:pPr>
              <w:pStyle w:val="12"/>
            </w:pPr>
            <w:r>
              <w:t>100%</w:t>
            </w:r>
          </w:p>
        </w:tc>
        <w:tc>
          <w:tcPr>
            <w:tcW w:w="1276" w:type="dxa"/>
            <w:vAlign w:val="center"/>
          </w:tcPr>
          <w:p w14:paraId="6E1E81BC">
            <w:pPr>
              <w:pStyle w:val="12"/>
            </w:pPr>
            <w:r>
              <w:t>项目规划</w:t>
            </w:r>
          </w:p>
        </w:tc>
      </w:tr>
      <w:tr w14:paraId="3ABC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3B88A"/>
        </w:tc>
        <w:tc>
          <w:tcPr>
            <w:tcW w:w="2268" w:type="dxa"/>
            <w:vAlign w:val="center"/>
          </w:tcPr>
          <w:p w14:paraId="18B81B9F">
            <w:pPr>
              <w:pStyle w:val="12"/>
            </w:pPr>
            <w:r>
              <w:t>成本指标</w:t>
            </w:r>
          </w:p>
        </w:tc>
        <w:tc>
          <w:tcPr>
            <w:tcW w:w="2835" w:type="dxa"/>
            <w:vAlign w:val="center"/>
          </w:tcPr>
          <w:p w14:paraId="5BDED4F4">
            <w:pPr>
              <w:pStyle w:val="12"/>
            </w:pPr>
            <w:r>
              <w:t>成本完成率</w:t>
            </w:r>
          </w:p>
        </w:tc>
        <w:tc>
          <w:tcPr>
            <w:tcW w:w="5386" w:type="dxa"/>
            <w:vAlign w:val="center"/>
          </w:tcPr>
          <w:p w14:paraId="5FB232F5">
            <w:pPr>
              <w:pStyle w:val="12"/>
            </w:pPr>
            <w:r>
              <w:t>购置设备的资金投入</w:t>
            </w:r>
          </w:p>
        </w:tc>
        <w:tc>
          <w:tcPr>
            <w:tcW w:w="2268" w:type="dxa"/>
            <w:vAlign w:val="center"/>
          </w:tcPr>
          <w:p w14:paraId="1438BB99">
            <w:pPr>
              <w:pStyle w:val="12"/>
            </w:pPr>
            <w:r>
              <w:t>10万元</w:t>
            </w:r>
          </w:p>
        </w:tc>
        <w:tc>
          <w:tcPr>
            <w:tcW w:w="1276" w:type="dxa"/>
            <w:vAlign w:val="center"/>
          </w:tcPr>
          <w:p w14:paraId="14943781">
            <w:pPr>
              <w:pStyle w:val="12"/>
            </w:pPr>
            <w:r>
              <w:t>项目规划</w:t>
            </w:r>
          </w:p>
        </w:tc>
      </w:tr>
      <w:tr w14:paraId="6C6D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2E31B">
            <w:pPr>
              <w:pStyle w:val="13"/>
            </w:pPr>
            <w:r>
              <w:t>效益指标</w:t>
            </w:r>
          </w:p>
        </w:tc>
        <w:tc>
          <w:tcPr>
            <w:tcW w:w="2268" w:type="dxa"/>
            <w:vAlign w:val="center"/>
          </w:tcPr>
          <w:p w14:paraId="455D13F2">
            <w:pPr>
              <w:pStyle w:val="12"/>
            </w:pPr>
            <w:r>
              <w:t>社会效益指标</w:t>
            </w:r>
          </w:p>
        </w:tc>
        <w:tc>
          <w:tcPr>
            <w:tcW w:w="2835" w:type="dxa"/>
            <w:vAlign w:val="center"/>
          </w:tcPr>
          <w:p w14:paraId="524E7EF1">
            <w:pPr>
              <w:pStyle w:val="12"/>
            </w:pPr>
            <w:r>
              <w:t>特殊教育资源利用率</w:t>
            </w:r>
          </w:p>
        </w:tc>
        <w:tc>
          <w:tcPr>
            <w:tcW w:w="5386" w:type="dxa"/>
            <w:vAlign w:val="center"/>
          </w:tcPr>
          <w:p w14:paraId="55C8B2DD">
            <w:pPr>
              <w:pStyle w:val="12"/>
            </w:pPr>
            <w:r>
              <w:t>特殊教育资源利用扩大率</w:t>
            </w:r>
          </w:p>
        </w:tc>
        <w:tc>
          <w:tcPr>
            <w:tcW w:w="2268" w:type="dxa"/>
            <w:vAlign w:val="center"/>
          </w:tcPr>
          <w:p w14:paraId="46F195EF">
            <w:pPr>
              <w:pStyle w:val="12"/>
            </w:pPr>
            <w:r>
              <w:t>≥95%</w:t>
            </w:r>
          </w:p>
        </w:tc>
        <w:tc>
          <w:tcPr>
            <w:tcW w:w="1276" w:type="dxa"/>
            <w:vAlign w:val="center"/>
          </w:tcPr>
          <w:p w14:paraId="3D4FAE8E">
            <w:pPr>
              <w:pStyle w:val="12"/>
            </w:pPr>
            <w:r>
              <w:t>项目规划</w:t>
            </w:r>
          </w:p>
        </w:tc>
      </w:tr>
      <w:tr w14:paraId="5106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FB164">
            <w:pPr>
              <w:pStyle w:val="13"/>
            </w:pPr>
            <w:r>
              <w:t>满意度指标</w:t>
            </w:r>
          </w:p>
        </w:tc>
        <w:tc>
          <w:tcPr>
            <w:tcW w:w="2268" w:type="dxa"/>
            <w:vAlign w:val="center"/>
          </w:tcPr>
          <w:p w14:paraId="1DA4698B">
            <w:pPr>
              <w:pStyle w:val="12"/>
            </w:pPr>
            <w:r>
              <w:t>服务对象满意度指标</w:t>
            </w:r>
          </w:p>
        </w:tc>
        <w:tc>
          <w:tcPr>
            <w:tcW w:w="2835" w:type="dxa"/>
            <w:vAlign w:val="center"/>
          </w:tcPr>
          <w:p w14:paraId="69063C4B">
            <w:pPr>
              <w:pStyle w:val="12"/>
            </w:pPr>
            <w:r>
              <w:t>师生家长满意度</w:t>
            </w:r>
          </w:p>
        </w:tc>
        <w:tc>
          <w:tcPr>
            <w:tcW w:w="5386" w:type="dxa"/>
            <w:vAlign w:val="center"/>
          </w:tcPr>
          <w:p w14:paraId="23FD17AF">
            <w:pPr>
              <w:pStyle w:val="12"/>
            </w:pPr>
            <w:r>
              <w:t>学校教师学生及家长满意度</w:t>
            </w:r>
          </w:p>
        </w:tc>
        <w:tc>
          <w:tcPr>
            <w:tcW w:w="2268" w:type="dxa"/>
            <w:vAlign w:val="center"/>
          </w:tcPr>
          <w:p w14:paraId="7AD1CD0E">
            <w:pPr>
              <w:pStyle w:val="12"/>
            </w:pPr>
            <w:r>
              <w:t>≥98%</w:t>
            </w:r>
          </w:p>
        </w:tc>
        <w:tc>
          <w:tcPr>
            <w:tcW w:w="1276" w:type="dxa"/>
            <w:vAlign w:val="center"/>
          </w:tcPr>
          <w:p w14:paraId="40C48B6F">
            <w:pPr>
              <w:pStyle w:val="12"/>
            </w:pPr>
            <w:r>
              <w:t>问卷调查</w:t>
            </w:r>
          </w:p>
        </w:tc>
      </w:tr>
    </w:tbl>
    <w:p w14:paraId="2826B36A">
      <w:pPr>
        <w:sectPr>
          <w:pgSz w:w="16840" w:h="11900" w:orient="landscape"/>
          <w:pgMar w:top="1361" w:right="1020" w:bottom="1134" w:left="1020" w:header="720" w:footer="720" w:gutter="0"/>
          <w:cols w:space="720" w:num="1"/>
        </w:sectPr>
      </w:pPr>
    </w:p>
    <w:p w14:paraId="757AD1D8">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3、冀财教[2025]147号/省级/2026年义教补助经费/特殊教育学校公用经费绩效目标表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95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4E7BC">
            <w:pPr>
              <w:pStyle w:val="11"/>
            </w:pPr>
            <w:r>
              <w:t>单位：万元</w:t>
            </w:r>
          </w:p>
        </w:tc>
      </w:tr>
      <w:tr w14:paraId="4A769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AA957">
            <w:pPr>
              <w:pStyle w:val="10"/>
            </w:pPr>
            <w:r>
              <w:t>项目编码</w:t>
            </w:r>
          </w:p>
        </w:tc>
        <w:tc>
          <w:tcPr>
            <w:tcW w:w="5103" w:type="dxa"/>
            <w:gridSpan w:val="2"/>
            <w:vAlign w:val="center"/>
          </w:tcPr>
          <w:p w14:paraId="755F7B66">
            <w:pPr>
              <w:pStyle w:val="12"/>
            </w:pPr>
            <w:r>
              <w:t>13052526P000004103325</w:t>
            </w:r>
          </w:p>
        </w:tc>
        <w:tc>
          <w:tcPr>
            <w:tcW w:w="2835" w:type="dxa"/>
            <w:vAlign w:val="center"/>
          </w:tcPr>
          <w:p w14:paraId="6CFD57A1">
            <w:pPr>
              <w:pStyle w:val="10"/>
            </w:pPr>
            <w:r>
              <w:t>项目名称</w:t>
            </w:r>
          </w:p>
        </w:tc>
        <w:tc>
          <w:tcPr>
            <w:tcW w:w="6095" w:type="dxa"/>
            <w:gridSpan w:val="3"/>
            <w:vAlign w:val="center"/>
          </w:tcPr>
          <w:p w14:paraId="61C57512">
            <w:pPr>
              <w:pStyle w:val="12"/>
            </w:pPr>
            <w:r>
              <w:t>冀财教[2025]147号/省级/2026年义教补助经费/特殊教育学校公用经费</w:t>
            </w:r>
          </w:p>
        </w:tc>
      </w:tr>
      <w:tr w14:paraId="2E236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0E863">
            <w:pPr>
              <w:pStyle w:val="10"/>
            </w:pPr>
            <w:r>
              <w:t>预算规模及资金用途</w:t>
            </w:r>
          </w:p>
        </w:tc>
        <w:tc>
          <w:tcPr>
            <w:tcW w:w="2268" w:type="dxa"/>
            <w:vAlign w:val="center"/>
          </w:tcPr>
          <w:p w14:paraId="3A0317C3">
            <w:pPr>
              <w:pStyle w:val="10"/>
            </w:pPr>
            <w:r>
              <w:t>预算数</w:t>
            </w:r>
          </w:p>
        </w:tc>
        <w:tc>
          <w:tcPr>
            <w:tcW w:w="2835" w:type="dxa"/>
            <w:vAlign w:val="center"/>
          </w:tcPr>
          <w:p w14:paraId="5896432B">
            <w:pPr>
              <w:pStyle w:val="12"/>
            </w:pPr>
            <w:r>
              <w:t>20.66</w:t>
            </w:r>
          </w:p>
        </w:tc>
        <w:tc>
          <w:tcPr>
            <w:tcW w:w="2835" w:type="dxa"/>
            <w:vAlign w:val="center"/>
          </w:tcPr>
          <w:p w14:paraId="10E47BBB">
            <w:pPr>
              <w:pStyle w:val="10"/>
            </w:pPr>
            <w:r>
              <w:t>其中：财政    资金</w:t>
            </w:r>
          </w:p>
        </w:tc>
        <w:tc>
          <w:tcPr>
            <w:tcW w:w="2551" w:type="dxa"/>
            <w:vAlign w:val="center"/>
          </w:tcPr>
          <w:p w14:paraId="2737BD9D">
            <w:pPr>
              <w:pStyle w:val="12"/>
            </w:pPr>
            <w:r>
              <w:t>20.66</w:t>
            </w:r>
          </w:p>
        </w:tc>
        <w:tc>
          <w:tcPr>
            <w:tcW w:w="2268" w:type="dxa"/>
            <w:vAlign w:val="center"/>
          </w:tcPr>
          <w:p w14:paraId="2045F7FA">
            <w:pPr>
              <w:pStyle w:val="10"/>
            </w:pPr>
            <w:r>
              <w:t>其他资金</w:t>
            </w:r>
          </w:p>
        </w:tc>
        <w:tc>
          <w:tcPr>
            <w:tcW w:w="1276" w:type="dxa"/>
            <w:vAlign w:val="center"/>
          </w:tcPr>
          <w:p w14:paraId="00C50C29">
            <w:pPr>
              <w:pStyle w:val="12"/>
            </w:pPr>
            <w:r>
              <w:t xml:space="preserve"> </w:t>
            </w:r>
          </w:p>
        </w:tc>
      </w:tr>
      <w:tr w14:paraId="65A7E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BD961"/>
        </w:tc>
        <w:tc>
          <w:tcPr>
            <w:tcW w:w="14033" w:type="dxa"/>
            <w:gridSpan w:val="6"/>
            <w:vAlign w:val="center"/>
          </w:tcPr>
          <w:p w14:paraId="343B2EB3">
            <w:pPr>
              <w:pStyle w:val="12"/>
            </w:pPr>
            <w:r>
              <w:t>用于保障义务教育学校正常运转，完成教育教学活动和其他日常工作任务等方面的费用支出。</w:t>
            </w:r>
          </w:p>
        </w:tc>
      </w:tr>
      <w:tr w14:paraId="6553D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CEEAE">
            <w:pPr>
              <w:pStyle w:val="10"/>
            </w:pPr>
            <w:r>
              <w:t>资金支出计划（%）</w:t>
            </w:r>
          </w:p>
        </w:tc>
        <w:tc>
          <w:tcPr>
            <w:tcW w:w="5103" w:type="dxa"/>
            <w:gridSpan w:val="2"/>
            <w:vAlign w:val="center"/>
          </w:tcPr>
          <w:p w14:paraId="463C8C0B">
            <w:pPr>
              <w:pStyle w:val="10"/>
            </w:pPr>
            <w:r>
              <w:t>3月底</w:t>
            </w:r>
          </w:p>
        </w:tc>
        <w:tc>
          <w:tcPr>
            <w:tcW w:w="2835" w:type="dxa"/>
            <w:vAlign w:val="center"/>
          </w:tcPr>
          <w:p w14:paraId="5FA4E86F">
            <w:pPr>
              <w:pStyle w:val="10"/>
            </w:pPr>
            <w:r>
              <w:t>6月底</w:t>
            </w:r>
          </w:p>
        </w:tc>
        <w:tc>
          <w:tcPr>
            <w:tcW w:w="2551" w:type="dxa"/>
            <w:vAlign w:val="center"/>
          </w:tcPr>
          <w:p w14:paraId="0B911EFA">
            <w:pPr>
              <w:pStyle w:val="10"/>
            </w:pPr>
            <w:r>
              <w:t>10月底</w:t>
            </w:r>
          </w:p>
        </w:tc>
        <w:tc>
          <w:tcPr>
            <w:tcW w:w="3544" w:type="dxa"/>
            <w:gridSpan w:val="2"/>
            <w:vAlign w:val="center"/>
          </w:tcPr>
          <w:p w14:paraId="46B967F0">
            <w:pPr>
              <w:pStyle w:val="10"/>
            </w:pPr>
            <w:r>
              <w:t>12月底</w:t>
            </w:r>
          </w:p>
        </w:tc>
      </w:tr>
      <w:tr w14:paraId="51549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31A01"/>
        </w:tc>
        <w:tc>
          <w:tcPr>
            <w:tcW w:w="5103" w:type="dxa"/>
            <w:gridSpan w:val="2"/>
            <w:vAlign w:val="center"/>
          </w:tcPr>
          <w:p w14:paraId="11FF0600">
            <w:pPr>
              <w:pStyle w:val="13"/>
            </w:pPr>
            <w:r>
              <w:t>25%</w:t>
            </w:r>
          </w:p>
        </w:tc>
        <w:tc>
          <w:tcPr>
            <w:tcW w:w="2835" w:type="dxa"/>
            <w:vAlign w:val="center"/>
          </w:tcPr>
          <w:p w14:paraId="7B6CC902">
            <w:pPr>
              <w:pStyle w:val="13"/>
            </w:pPr>
            <w:r>
              <w:t>50%</w:t>
            </w:r>
          </w:p>
        </w:tc>
        <w:tc>
          <w:tcPr>
            <w:tcW w:w="2551" w:type="dxa"/>
            <w:vAlign w:val="center"/>
          </w:tcPr>
          <w:p w14:paraId="28DAA245">
            <w:pPr>
              <w:pStyle w:val="13"/>
            </w:pPr>
            <w:r>
              <w:t>75%</w:t>
            </w:r>
          </w:p>
        </w:tc>
        <w:tc>
          <w:tcPr>
            <w:tcW w:w="3544" w:type="dxa"/>
            <w:gridSpan w:val="2"/>
            <w:vAlign w:val="center"/>
          </w:tcPr>
          <w:p w14:paraId="5F297C8E">
            <w:pPr>
              <w:pStyle w:val="13"/>
            </w:pPr>
            <w:r>
              <w:t>100%</w:t>
            </w:r>
          </w:p>
        </w:tc>
      </w:tr>
      <w:tr w14:paraId="796B4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FB205">
            <w:pPr>
              <w:pStyle w:val="10"/>
            </w:pPr>
            <w:r>
              <w:t>绩效目标</w:t>
            </w:r>
          </w:p>
        </w:tc>
        <w:tc>
          <w:tcPr>
            <w:tcW w:w="14033" w:type="dxa"/>
            <w:gridSpan w:val="6"/>
            <w:vAlign w:val="center"/>
          </w:tcPr>
          <w:p w14:paraId="301A0CC4">
            <w:pPr>
              <w:pStyle w:val="12"/>
            </w:pPr>
            <w:r>
              <w:t>1.保障义务教育学校正常运转，完成教育教学活动和其他日常工作任务等方面的费用支出。</w:t>
            </w:r>
          </w:p>
          <w:p w14:paraId="357FE114">
            <w:pPr>
              <w:pStyle w:val="12"/>
            </w:pPr>
            <w:r>
              <w:t>2.按规定拨付公用经费20.66万元资金，资金拨付率达到100%。</w:t>
            </w:r>
          </w:p>
        </w:tc>
      </w:tr>
    </w:tbl>
    <w:p w14:paraId="70C3E9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E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81A11">
            <w:pPr>
              <w:pStyle w:val="10"/>
            </w:pPr>
            <w:r>
              <w:t>一级指标</w:t>
            </w:r>
          </w:p>
        </w:tc>
        <w:tc>
          <w:tcPr>
            <w:tcW w:w="2268" w:type="dxa"/>
            <w:vAlign w:val="center"/>
          </w:tcPr>
          <w:p w14:paraId="41F26D27">
            <w:pPr>
              <w:pStyle w:val="10"/>
            </w:pPr>
            <w:r>
              <w:t>二级指标</w:t>
            </w:r>
          </w:p>
        </w:tc>
        <w:tc>
          <w:tcPr>
            <w:tcW w:w="2835" w:type="dxa"/>
            <w:vAlign w:val="center"/>
          </w:tcPr>
          <w:p w14:paraId="2CBED278">
            <w:pPr>
              <w:pStyle w:val="10"/>
            </w:pPr>
            <w:r>
              <w:t>三级指标</w:t>
            </w:r>
          </w:p>
        </w:tc>
        <w:tc>
          <w:tcPr>
            <w:tcW w:w="5386" w:type="dxa"/>
            <w:vAlign w:val="center"/>
          </w:tcPr>
          <w:p w14:paraId="62881B3B">
            <w:pPr>
              <w:pStyle w:val="10"/>
            </w:pPr>
            <w:r>
              <w:t>绩效指标描述</w:t>
            </w:r>
          </w:p>
        </w:tc>
        <w:tc>
          <w:tcPr>
            <w:tcW w:w="2268" w:type="dxa"/>
            <w:vAlign w:val="center"/>
          </w:tcPr>
          <w:p w14:paraId="793CE712">
            <w:pPr>
              <w:pStyle w:val="10"/>
            </w:pPr>
            <w:r>
              <w:t>指标值</w:t>
            </w:r>
          </w:p>
        </w:tc>
        <w:tc>
          <w:tcPr>
            <w:tcW w:w="1276" w:type="dxa"/>
            <w:vAlign w:val="center"/>
          </w:tcPr>
          <w:p w14:paraId="4184A95A">
            <w:pPr>
              <w:pStyle w:val="10"/>
            </w:pPr>
            <w:r>
              <w:t>指标值确定依据</w:t>
            </w:r>
          </w:p>
        </w:tc>
      </w:tr>
      <w:tr w14:paraId="7ABC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E9619">
            <w:pPr>
              <w:pStyle w:val="13"/>
            </w:pPr>
            <w:r>
              <w:t>产出指标</w:t>
            </w:r>
          </w:p>
        </w:tc>
        <w:tc>
          <w:tcPr>
            <w:tcW w:w="2268" w:type="dxa"/>
            <w:vAlign w:val="center"/>
          </w:tcPr>
          <w:p w14:paraId="0CCA5051">
            <w:pPr>
              <w:pStyle w:val="12"/>
            </w:pPr>
            <w:r>
              <w:t>数量指标</w:t>
            </w:r>
          </w:p>
        </w:tc>
        <w:tc>
          <w:tcPr>
            <w:tcW w:w="2835" w:type="dxa"/>
            <w:vAlign w:val="center"/>
          </w:tcPr>
          <w:p w14:paraId="4FD6400F">
            <w:pPr>
              <w:pStyle w:val="12"/>
            </w:pPr>
            <w:r>
              <w:t>适龄在校生</w:t>
            </w:r>
          </w:p>
        </w:tc>
        <w:tc>
          <w:tcPr>
            <w:tcW w:w="5386" w:type="dxa"/>
            <w:vAlign w:val="center"/>
          </w:tcPr>
          <w:p w14:paraId="11EFF5A3">
            <w:pPr>
              <w:pStyle w:val="12"/>
            </w:pPr>
            <w:r>
              <w:t>适龄在校就读学生人数</w:t>
            </w:r>
          </w:p>
        </w:tc>
        <w:tc>
          <w:tcPr>
            <w:tcW w:w="2268" w:type="dxa"/>
            <w:vAlign w:val="center"/>
          </w:tcPr>
          <w:p w14:paraId="0E7787B5">
            <w:pPr>
              <w:pStyle w:val="12"/>
            </w:pPr>
            <w:r>
              <w:t>90人</w:t>
            </w:r>
          </w:p>
        </w:tc>
        <w:tc>
          <w:tcPr>
            <w:tcW w:w="1276" w:type="dxa"/>
            <w:vAlign w:val="center"/>
          </w:tcPr>
          <w:p w14:paraId="3034152F">
            <w:pPr>
              <w:pStyle w:val="12"/>
            </w:pPr>
            <w:r>
              <w:t>城乡义务教育公用经费管理办法</w:t>
            </w:r>
          </w:p>
        </w:tc>
      </w:tr>
      <w:tr w14:paraId="7345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2C22D"/>
        </w:tc>
        <w:tc>
          <w:tcPr>
            <w:tcW w:w="2268" w:type="dxa"/>
            <w:vAlign w:val="center"/>
          </w:tcPr>
          <w:p w14:paraId="77F7F307">
            <w:pPr>
              <w:pStyle w:val="12"/>
            </w:pPr>
            <w:r>
              <w:t>质量指标</w:t>
            </w:r>
          </w:p>
        </w:tc>
        <w:tc>
          <w:tcPr>
            <w:tcW w:w="2835" w:type="dxa"/>
            <w:vAlign w:val="center"/>
          </w:tcPr>
          <w:p w14:paraId="2254CD10">
            <w:pPr>
              <w:pStyle w:val="12"/>
            </w:pPr>
            <w:r>
              <w:t>预算执行率</w:t>
            </w:r>
          </w:p>
        </w:tc>
        <w:tc>
          <w:tcPr>
            <w:tcW w:w="5386" w:type="dxa"/>
            <w:vAlign w:val="center"/>
          </w:tcPr>
          <w:p w14:paraId="2753E655">
            <w:pPr>
              <w:pStyle w:val="12"/>
            </w:pPr>
            <w:r>
              <w:t>预算执行率</w:t>
            </w:r>
          </w:p>
        </w:tc>
        <w:tc>
          <w:tcPr>
            <w:tcW w:w="2268" w:type="dxa"/>
            <w:vAlign w:val="center"/>
          </w:tcPr>
          <w:p w14:paraId="36737BB0">
            <w:pPr>
              <w:pStyle w:val="12"/>
            </w:pPr>
            <w:r>
              <w:t>≥98%</w:t>
            </w:r>
          </w:p>
        </w:tc>
        <w:tc>
          <w:tcPr>
            <w:tcW w:w="1276" w:type="dxa"/>
            <w:vAlign w:val="center"/>
          </w:tcPr>
          <w:p w14:paraId="4BAEBE0D">
            <w:pPr>
              <w:pStyle w:val="12"/>
            </w:pPr>
            <w:r>
              <w:t>城乡义务教育公用经费管理办法</w:t>
            </w:r>
          </w:p>
        </w:tc>
      </w:tr>
      <w:tr w14:paraId="420E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73F2D"/>
        </w:tc>
        <w:tc>
          <w:tcPr>
            <w:tcW w:w="2268" w:type="dxa"/>
            <w:vAlign w:val="center"/>
          </w:tcPr>
          <w:p w14:paraId="7353D4A0">
            <w:pPr>
              <w:pStyle w:val="12"/>
            </w:pPr>
            <w:r>
              <w:t>时效指标</w:t>
            </w:r>
          </w:p>
        </w:tc>
        <w:tc>
          <w:tcPr>
            <w:tcW w:w="2835" w:type="dxa"/>
            <w:vAlign w:val="center"/>
          </w:tcPr>
          <w:p w14:paraId="39DF2FB0">
            <w:pPr>
              <w:pStyle w:val="12"/>
            </w:pPr>
            <w:r>
              <w:t>公用经费资金支付率</w:t>
            </w:r>
          </w:p>
        </w:tc>
        <w:tc>
          <w:tcPr>
            <w:tcW w:w="5386" w:type="dxa"/>
            <w:vAlign w:val="center"/>
          </w:tcPr>
          <w:p w14:paraId="770525B4">
            <w:pPr>
              <w:pStyle w:val="12"/>
            </w:pPr>
            <w:r>
              <w:t>按照序时进度完成资金支付</w:t>
            </w:r>
          </w:p>
        </w:tc>
        <w:tc>
          <w:tcPr>
            <w:tcW w:w="2268" w:type="dxa"/>
            <w:vAlign w:val="center"/>
          </w:tcPr>
          <w:p w14:paraId="1BDF854B">
            <w:pPr>
              <w:pStyle w:val="12"/>
            </w:pPr>
            <w:r>
              <w:t>≥98%</w:t>
            </w:r>
          </w:p>
        </w:tc>
        <w:tc>
          <w:tcPr>
            <w:tcW w:w="1276" w:type="dxa"/>
            <w:vAlign w:val="center"/>
          </w:tcPr>
          <w:p w14:paraId="269F01CC">
            <w:pPr>
              <w:pStyle w:val="12"/>
            </w:pPr>
            <w:r>
              <w:t>城乡义务教育公用经费管理办法</w:t>
            </w:r>
          </w:p>
        </w:tc>
      </w:tr>
      <w:tr w14:paraId="0E59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E724"/>
        </w:tc>
        <w:tc>
          <w:tcPr>
            <w:tcW w:w="2268" w:type="dxa"/>
            <w:vAlign w:val="center"/>
          </w:tcPr>
          <w:p w14:paraId="19A9B881">
            <w:pPr>
              <w:pStyle w:val="12"/>
            </w:pPr>
            <w:r>
              <w:t>成本指标</w:t>
            </w:r>
          </w:p>
        </w:tc>
        <w:tc>
          <w:tcPr>
            <w:tcW w:w="2835" w:type="dxa"/>
            <w:vAlign w:val="center"/>
          </w:tcPr>
          <w:p w14:paraId="6775546B">
            <w:pPr>
              <w:pStyle w:val="12"/>
            </w:pPr>
            <w:r>
              <w:t>生均拨款标准</w:t>
            </w:r>
          </w:p>
        </w:tc>
        <w:tc>
          <w:tcPr>
            <w:tcW w:w="5386" w:type="dxa"/>
            <w:vAlign w:val="center"/>
          </w:tcPr>
          <w:p w14:paraId="255E132E">
            <w:pPr>
              <w:pStyle w:val="12"/>
            </w:pPr>
            <w:r>
              <w:t>特教学生：标准7000元/生/学年</w:t>
            </w:r>
          </w:p>
        </w:tc>
        <w:tc>
          <w:tcPr>
            <w:tcW w:w="2268" w:type="dxa"/>
            <w:vAlign w:val="center"/>
          </w:tcPr>
          <w:p w14:paraId="7A902EC6">
            <w:pPr>
              <w:pStyle w:val="12"/>
            </w:pPr>
            <w:r>
              <w:t>7000元</w:t>
            </w:r>
          </w:p>
        </w:tc>
        <w:tc>
          <w:tcPr>
            <w:tcW w:w="1276" w:type="dxa"/>
            <w:vAlign w:val="center"/>
          </w:tcPr>
          <w:p w14:paraId="04F3A440">
            <w:pPr>
              <w:pStyle w:val="12"/>
            </w:pPr>
            <w:r>
              <w:t>城乡义务教育公用经费管理办法</w:t>
            </w:r>
          </w:p>
        </w:tc>
      </w:tr>
      <w:tr w14:paraId="79B1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71033">
            <w:pPr>
              <w:pStyle w:val="13"/>
            </w:pPr>
            <w:r>
              <w:t>效益指标</w:t>
            </w:r>
          </w:p>
        </w:tc>
        <w:tc>
          <w:tcPr>
            <w:tcW w:w="2268" w:type="dxa"/>
            <w:vAlign w:val="center"/>
          </w:tcPr>
          <w:p w14:paraId="42D82E9F">
            <w:pPr>
              <w:pStyle w:val="12"/>
            </w:pPr>
            <w:r>
              <w:t>社会效益指标</w:t>
            </w:r>
          </w:p>
        </w:tc>
        <w:tc>
          <w:tcPr>
            <w:tcW w:w="2835" w:type="dxa"/>
            <w:vAlign w:val="center"/>
          </w:tcPr>
          <w:p w14:paraId="74288B04">
            <w:pPr>
              <w:pStyle w:val="12"/>
            </w:pPr>
            <w:r>
              <w:t>学校办学能力提升</w:t>
            </w:r>
          </w:p>
        </w:tc>
        <w:tc>
          <w:tcPr>
            <w:tcW w:w="5386" w:type="dxa"/>
            <w:vAlign w:val="center"/>
          </w:tcPr>
          <w:p w14:paraId="6D00909E">
            <w:pPr>
              <w:pStyle w:val="12"/>
            </w:pPr>
            <w:r>
              <w:t>办学能力及教育教学工作提升率</w:t>
            </w:r>
          </w:p>
        </w:tc>
        <w:tc>
          <w:tcPr>
            <w:tcW w:w="2268" w:type="dxa"/>
            <w:vAlign w:val="center"/>
          </w:tcPr>
          <w:p w14:paraId="087638EF">
            <w:pPr>
              <w:pStyle w:val="12"/>
            </w:pPr>
            <w:r>
              <w:t>≥95%</w:t>
            </w:r>
          </w:p>
        </w:tc>
        <w:tc>
          <w:tcPr>
            <w:tcW w:w="1276" w:type="dxa"/>
            <w:vAlign w:val="center"/>
          </w:tcPr>
          <w:p w14:paraId="10D707CF">
            <w:pPr>
              <w:pStyle w:val="12"/>
            </w:pPr>
            <w:r>
              <w:t>城乡义务教育公用经费管理办法</w:t>
            </w:r>
          </w:p>
        </w:tc>
      </w:tr>
      <w:tr w14:paraId="2121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36430">
            <w:pPr>
              <w:pStyle w:val="13"/>
            </w:pPr>
            <w:r>
              <w:t>满意度指标</w:t>
            </w:r>
          </w:p>
        </w:tc>
        <w:tc>
          <w:tcPr>
            <w:tcW w:w="2268" w:type="dxa"/>
            <w:vAlign w:val="center"/>
          </w:tcPr>
          <w:p w14:paraId="05479CCD">
            <w:pPr>
              <w:pStyle w:val="12"/>
            </w:pPr>
            <w:r>
              <w:t>服务对象满意度指标</w:t>
            </w:r>
          </w:p>
        </w:tc>
        <w:tc>
          <w:tcPr>
            <w:tcW w:w="2835" w:type="dxa"/>
            <w:vAlign w:val="center"/>
          </w:tcPr>
          <w:p w14:paraId="1FCE820E">
            <w:pPr>
              <w:pStyle w:val="12"/>
            </w:pPr>
            <w:r>
              <w:t>受益学生教师及家长调查满意度</w:t>
            </w:r>
          </w:p>
        </w:tc>
        <w:tc>
          <w:tcPr>
            <w:tcW w:w="5386" w:type="dxa"/>
            <w:vAlign w:val="center"/>
          </w:tcPr>
          <w:p w14:paraId="32CF9C86">
            <w:pPr>
              <w:pStyle w:val="12"/>
            </w:pPr>
            <w:r>
              <w:t>学生、教师及家长对学校教育教学工作满意度情况</w:t>
            </w:r>
          </w:p>
        </w:tc>
        <w:tc>
          <w:tcPr>
            <w:tcW w:w="2268" w:type="dxa"/>
            <w:vAlign w:val="center"/>
          </w:tcPr>
          <w:p w14:paraId="6C3D7211">
            <w:pPr>
              <w:pStyle w:val="12"/>
            </w:pPr>
            <w:r>
              <w:t>≥95%</w:t>
            </w:r>
          </w:p>
        </w:tc>
        <w:tc>
          <w:tcPr>
            <w:tcW w:w="1276" w:type="dxa"/>
            <w:vAlign w:val="center"/>
          </w:tcPr>
          <w:p w14:paraId="6280BB8C">
            <w:pPr>
              <w:pStyle w:val="12"/>
            </w:pPr>
            <w:r>
              <w:t>问卷调查</w:t>
            </w:r>
          </w:p>
        </w:tc>
      </w:tr>
    </w:tbl>
    <w:p w14:paraId="733607F2">
      <w:pPr>
        <w:sectPr>
          <w:pgSz w:w="16840" w:h="11900" w:orient="landscape"/>
          <w:pgMar w:top="1361" w:right="1020" w:bottom="1134" w:left="1020" w:header="720" w:footer="720" w:gutter="0"/>
          <w:cols w:space="720" w:num="1"/>
        </w:sectPr>
      </w:pPr>
    </w:p>
    <w:p w14:paraId="51ED9DAE">
      <w:pPr>
        <w:spacing w:before="0" w:after="0"/>
        <w:ind w:firstLine="560"/>
        <w:jc w:val="left"/>
        <w:outlineLvl w:val="9"/>
      </w:pPr>
      <w:r>
        <w:rPr>
          <w:rFonts w:ascii="方正仿宋_GBK" w:hAnsi="方正仿宋_GBK" w:eastAsia="方正仿宋_GBK" w:cs="方正仿宋_GBK"/>
          <w:b/>
          <w:color w:val="000000"/>
          <w:sz w:val="28"/>
        </w:rPr>
        <w:t>4、冀财教[2025]151号/省级/2026年特殊教育/特殊教育学校设备购置绩效目标表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8E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63336">
            <w:pPr>
              <w:pStyle w:val="11"/>
            </w:pPr>
            <w:r>
              <w:t>单位：万元</w:t>
            </w:r>
          </w:p>
        </w:tc>
      </w:tr>
      <w:tr w14:paraId="33419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B9E4C">
            <w:pPr>
              <w:pStyle w:val="10"/>
            </w:pPr>
            <w:r>
              <w:t>项目编码</w:t>
            </w:r>
          </w:p>
        </w:tc>
        <w:tc>
          <w:tcPr>
            <w:tcW w:w="5103" w:type="dxa"/>
            <w:gridSpan w:val="2"/>
            <w:vAlign w:val="center"/>
          </w:tcPr>
          <w:p w14:paraId="09561184">
            <w:pPr>
              <w:pStyle w:val="12"/>
            </w:pPr>
            <w:r>
              <w:t>13052526P00876110005M</w:t>
            </w:r>
          </w:p>
        </w:tc>
        <w:tc>
          <w:tcPr>
            <w:tcW w:w="2835" w:type="dxa"/>
            <w:vAlign w:val="center"/>
          </w:tcPr>
          <w:p w14:paraId="29BA9FB5">
            <w:pPr>
              <w:pStyle w:val="10"/>
            </w:pPr>
            <w:r>
              <w:t>项目名称</w:t>
            </w:r>
          </w:p>
        </w:tc>
        <w:tc>
          <w:tcPr>
            <w:tcW w:w="6095" w:type="dxa"/>
            <w:gridSpan w:val="3"/>
            <w:vAlign w:val="center"/>
          </w:tcPr>
          <w:p w14:paraId="101A9AF7">
            <w:pPr>
              <w:pStyle w:val="12"/>
            </w:pPr>
            <w:r>
              <w:t>冀财教[2025]151号/省级/2026年特殊教育/特殊教育学校设备购置</w:t>
            </w:r>
          </w:p>
        </w:tc>
      </w:tr>
      <w:tr w14:paraId="5F9A4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B509E">
            <w:pPr>
              <w:pStyle w:val="10"/>
            </w:pPr>
            <w:r>
              <w:t>预算规模及资金用途</w:t>
            </w:r>
          </w:p>
        </w:tc>
        <w:tc>
          <w:tcPr>
            <w:tcW w:w="2268" w:type="dxa"/>
            <w:vAlign w:val="center"/>
          </w:tcPr>
          <w:p w14:paraId="1C3DD7E6">
            <w:pPr>
              <w:pStyle w:val="10"/>
            </w:pPr>
            <w:r>
              <w:t>预算数</w:t>
            </w:r>
          </w:p>
        </w:tc>
        <w:tc>
          <w:tcPr>
            <w:tcW w:w="2835" w:type="dxa"/>
            <w:vAlign w:val="center"/>
          </w:tcPr>
          <w:p w14:paraId="3D733A8E">
            <w:pPr>
              <w:pStyle w:val="12"/>
            </w:pPr>
            <w:r>
              <w:t>5.00</w:t>
            </w:r>
          </w:p>
        </w:tc>
        <w:tc>
          <w:tcPr>
            <w:tcW w:w="2835" w:type="dxa"/>
            <w:vAlign w:val="center"/>
          </w:tcPr>
          <w:p w14:paraId="52122071">
            <w:pPr>
              <w:pStyle w:val="10"/>
            </w:pPr>
            <w:r>
              <w:t>其中：财政    资金</w:t>
            </w:r>
          </w:p>
        </w:tc>
        <w:tc>
          <w:tcPr>
            <w:tcW w:w="2551" w:type="dxa"/>
            <w:vAlign w:val="center"/>
          </w:tcPr>
          <w:p w14:paraId="49C73B6B">
            <w:pPr>
              <w:pStyle w:val="12"/>
            </w:pPr>
            <w:r>
              <w:t>5.00</w:t>
            </w:r>
          </w:p>
        </w:tc>
        <w:tc>
          <w:tcPr>
            <w:tcW w:w="2268" w:type="dxa"/>
            <w:vAlign w:val="center"/>
          </w:tcPr>
          <w:p w14:paraId="0B7015A1">
            <w:pPr>
              <w:pStyle w:val="10"/>
            </w:pPr>
            <w:r>
              <w:t>其他资金</w:t>
            </w:r>
          </w:p>
        </w:tc>
        <w:tc>
          <w:tcPr>
            <w:tcW w:w="1276" w:type="dxa"/>
            <w:vAlign w:val="center"/>
          </w:tcPr>
          <w:p w14:paraId="5CA99D2E">
            <w:pPr>
              <w:pStyle w:val="12"/>
            </w:pPr>
            <w:r>
              <w:t xml:space="preserve"> </w:t>
            </w:r>
          </w:p>
        </w:tc>
      </w:tr>
      <w:tr w14:paraId="5F3F8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72272"/>
        </w:tc>
        <w:tc>
          <w:tcPr>
            <w:tcW w:w="14033" w:type="dxa"/>
            <w:gridSpan w:val="6"/>
            <w:vAlign w:val="center"/>
          </w:tcPr>
          <w:p w14:paraId="31416EE9">
            <w:pPr>
              <w:pStyle w:val="12"/>
            </w:pPr>
            <w:r>
              <w:t>用于扩大特殊教育资源，进一步改善办学条件，提升特殊教育质量。</w:t>
            </w:r>
          </w:p>
        </w:tc>
      </w:tr>
      <w:tr w14:paraId="66E51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1741">
            <w:pPr>
              <w:pStyle w:val="10"/>
            </w:pPr>
            <w:r>
              <w:t>资金支出计划（%）</w:t>
            </w:r>
          </w:p>
        </w:tc>
        <w:tc>
          <w:tcPr>
            <w:tcW w:w="5103" w:type="dxa"/>
            <w:gridSpan w:val="2"/>
            <w:vAlign w:val="center"/>
          </w:tcPr>
          <w:p w14:paraId="3554F9E6">
            <w:pPr>
              <w:pStyle w:val="10"/>
            </w:pPr>
            <w:r>
              <w:t>3月底</w:t>
            </w:r>
          </w:p>
        </w:tc>
        <w:tc>
          <w:tcPr>
            <w:tcW w:w="2835" w:type="dxa"/>
            <w:vAlign w:val="center"/>
          </w:tcPr>
          <w:p w14:paraId="6BA4A3C6">
            <w:pPr>
              <w:pStyle w:val="10"/>
            </w:pPr>
            <w:r>
              <w:t>6月底</w:t>
            </w:r>
          </w:p>
        </w:tc>
        <w:tc>
          <w:tcPr>
            <w:tcW w:w="2551" w:type="dxa"/>
            <w:vAlign w:val="center"/>
          </w:tcPr>
          <w:p w14:paraId="3D996D65">
            <w:pPr>
              <w:pStyle w:val="10"/>
            </w:pPr>
            <w:r>
              <w:t>10月底</w:t>
            </w:r>
          </w:p>
        </w:tc>
        <w:tc>
          <w:tcPr>
            <w:tcW w:w="3544" w:type="dxa"/>
            <w:gridSpan w:val="2"/>
            <w:vAlign w:val="center"/>
          </w:tcPr>
          <w:p w14:paraId="3A11DEA9">
            <w:pPr>
              <w:pStyle w:val="10"/>
            </w:pPr>
            <w:r>
              <w:t>12月底</w:t>
            </w:r>
          </w:p>
        </w:tc>
      </w:tr>
      <w:tr w14:paraId="01408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C8A1C"/>
        </w:tc>
        <w:tc>
          <w:tcPr>
            <w:tcW w:w="5103" w:type="dxa"/>
            <w:gridSpan w:val="2"/>
            <w:vAlign w:val="center"/>
          </w:tcPr>
          <w:p w14:paraId="3379CCB9">
            <w:pPr>
              <w:pStyle w:val="13"/>
            </w:pPr>
            <w:r>
              <w:t xml:space="preserve"> </w:t>
            </w:r>
          </w:p>
        </w:tc>
        <w:tc>
          <w:tcPr>
            <w:tcW w:w="2835" w:type="dxa"/>
            <w:vAlign w:val="center"/>
          </w:tcPr>
          <w:p w14:paraId="7AF9B5C5">
            <w:pPr>
              <w:pStyle w:val="13"/>
            </w:pPr>
            <w:r>
              <w:t xml:space="preserve"> </w:t>
            </w:r>
          </w:p>
        </w:tc>
        <w:tc>
          <w:tcPr>
            <w:tcW w:w="2551" w:type="dxa"/>
            <w:vAlign w:val="center"/>
          </w:tcPr>
          <w:p w14:paraId="45F3F235">
            <w:pPr>
              <w:pStyle w:val="13"/>
            </w:pPr>
            <w:r>
              <w:t>100%</w:t>
            </w:r>
          </w:p>
        </w:tc>
        <w:tc>
          <w:tcPr>
            <w:tcW w:w="3544" w:type="dxa"/>
            <w:gridSpan w:val="2"/>
            <w:vAlign w:val="center"/>
          </w:tcPr>
          <w:p w14:paraId="25246F86">
            <w:pPr>
              <w:pStyle w:val="13"/>
            </w:pPr>
            <w:r>
              <w:t>100%</w:t>
            </w:r>
          </w:p>
        </w:tc>
      </w:tr>
      <w:tr w14:paraId="36118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62661">
            <w:pPr>
              <w:pStyle w:val="10"/>
            </w:pPr>
            <w:r>
              <w:t>绩效目标</w:t>
            </w:r>
          </w:p>
        </w:tc>
        <w:tc>
          <w:tcPr>
            <w:tcW w:w="14033" w:type="dxa"/>
            <w:gridSpan w:val="6"/>
            <w:vAlign w:val="center"/>
          </w:tcPr>
          <w:p w14:paraId="5CD939CC">
            <w:pPr>
              <w:pStyle w:val="12"/>
            </w:pPr>
            <w:r>
              <w:t>1.扩大特殊教育资源，进一步改善办学条件，提升特殊教育质量。</w:t>
            </w:r>
          </w:p>
          <w:p w14:paraId="420E9CB5">
            <w:pPr>
              <w:pStyle w:val="12"/>
            </w:pPr>
            <w:r>
              <w:t>2.按规定拨付资金5万元，资金拨付率达到100%</w:t>
            </w:r>
          </w:p>
        </w:tc>
      </w:tr>
    </w:tbl>
    <w:p w14:paraId="6448B8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0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4BF76">
            <w:pPr>
              <w:pStyle w:val="10"/>
            </w:pPr>
            <w:r>
              <w:t>一级指标</w:t>
            </w:r>
          </w:p>
        </w:tc>
        <w:tc>
          <w:tcPr>
            <w:tcW w:w="2268" w:type="dxa"/>
            <w:vAlign w:val="center"/>
          </w:tcPr>
          <w:p w14:paraId="014E19B3">
            <w:pPr>
              <w:pStyle w:val="10"/>
            </w:pPr>
            <w:r>
              <w:t>二级指标</w:t>
            </w:r>
          </w:p>
        </w:tc>
        <w:tc>
          <w:tcPr>
            <w:tcW w:w="2835" w:type="dxa"/>
            <w:vAlign w:val="center"/>
          </w:tcPr>
          <w:p w14:paraId="2991F855">
            <w:pPr>
              <w:pStyle w:val="10"/>
            </w:pPr>
            <w:r>
              <w:t>三级指标</w:t>
            </w:r>
          </w:p>
        </w:tc>
        <w:tc>
          <w:tcPr>
            <w:tcW w:w="5386" w:type="dxa"/>
            <w:vAlign w:val="center"/>
          </w:tcPr>
          <w:p w14:paraId="425AF3BE">
            <w:pPr>
              <w:pStyle w:val="10"/>
            </w:pPr>
            <w:r>
              <w:t>绩效指标描述</w:t>
            </w:r>
          </w:p>
        </w:tc>
        <w:tc>
          <w:tcPr>
            <w:tcW w:w="2268" w:type="dxa"/>
            <w:vAlign w:val="center"/>
          </w:tcPr>
          <w:p w14:paraId="6D172E71">
            <w:pPr>
              <w:pStyle w:val="10"/>
            </w:pPr>
            <w:r>
              <w:t>指标值</w:t>
            </w:r>
          </w:p>
        </w:tc>
        <w:tc>
          <w:tcPr>
            <w:tcW w:w="1276" w:type="dxa"/>
            <w:vAlign w:val="center"/>
          </w:tcPr>
          <w:p w14:paraId="66132A0D">
            <w:pPr>
              <w:pStyle w:val="10"/>
            </w:pPr>
            <w:r>
              <w:t>指标值确定依据</w:t>
            </w:r>
          </w:p>
        </w:tc>
      </w:tr>
      <w:tr w14:paraId="5ACA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32B33">
            <w:pPr>
              <w:pStyle w:val="13"/>
            </w:pPr>
            <w:r>
              <w:t>产出指标</w:t>
            </w:r>
          </w:p>
        </w:tc>
        <w:tc>
          <w:tcPr>
            <w:tcW w:w="2268" w:type="dxa"/>
            <w:vAlign w:val="center"/>
          </w:tcPr>
          <w:p w14:paraId="37B38E2E">
            <w:pPr>
              <w:pStyle w:val="12"/>
            </w:pPr>
            <w:r>
              <w:t>数量指标</w:t>
            </w:r>
          </w:p>
        </w:tc>
        <w:tc>
          <w:tcPr>
            <w:tcW w:w="2835" w:type="dxa"/>
            <w:vAlign w:val="center"/>
          </w:tcPr>
          <w:p w14:paraId="73710116">
            <w:pPr>
              <w:pStyle w:val="12"/>
            </w:pPr>
            <w:r>
              <w:t>受益在校生</w:t>
            </w:r>
          </w:p>
        </w:tc>
        <w:tc>
          <w:tcPr>
            <w:tcW w:w="5386" w:type="dxa"/>
            <w:vAlign w:val="center"/>
          </w:tcPr>
          <w:p w14:paraId="4A02CE39">
            <w:pPr>
              <w:pStyle w:val="12"/>
            </w:pPr>
            <w:r>
              <w:t>适龄在校就读受益学生数</w:t>
            </w:r>
          </w:p>
        </w:tc>
        <w:tc>
          <w:tcPr>
            <w:tcW w:w="2268" w:type="dxa"/>
            <w:vAlign w:val="center"/>
          </w:tcPr>
          <w:p w14:paraId="0E33115F">
            <w:pPr>
              <w:pStyle w:val="12"/>
            </w:pPr>
            <w:r>
              <w:t>90人</w:t>
            </w:r>
          </w:p>
        </w:tc>
        <w:tc>
          <w:tcPr>
            <w:tcW w:w="1276" w:type="dxa"/>
            <w:vAlign w:val="center"/>
          </w:tcPr>
          <w:p w14:paraId="2D1E8800">
            <w:pPr>
              <w:pStyle w:val="12"/>
            </w:pPr>
            <w:r>
              <w:t>项目规划</w:t>
            </w:r>
          </w:p>
        </w:tc>
      </w:tr>
      <w:tr w14:paraId="26A3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89DE4"/>
        </w:tc>
        <w:tc>
          <w:tcPr>
            <w:tcW w:w="2268" w:type="dxa"/>
            <w:vAlign w:val="center"/>
          </w:tcPr>
          <w:p w14:paraId="5C69CFA6">
            <w:pPr>
              <w:pStyle w:val="12"/>
            </w:pPr>
            <w:r>
              <w:t>质量指标</w:t>
            </w:r>
          </w:p>
        </w:tc>
        <w:tc>
          <w:tcPr>
            <w:tcW w:w="2835" w:type="dxa"/>
            <w:vAlign w:val="center"/>
          </w:tcPr>
          <w:p w14:paraId="10FBAC36">
            <w:pPr>
              <w:pStyle w:val="12"/>
            </w:pPr>
            <w:r>
              <w:t>设备验收合格率</w:t>
            </w:r>
          </w:p>
        </w:tc>
        <w:tc>
          <w:tcPr>
            <w:tcW w:w="5386" w:type="dxa"/>
            <w:vAlign w:val="center"/>
          </w:tcPr>
          <w:p w14:paraId="07993C0B">
            <w:pPr>
              <w:pStyle w:val="12"/>
            </w:pPr>
            <w:r>
              <w:t>购置设备数量与质量验收合格率</w:t>
            </w:r>
          </w:p>
        </w:tc>
        <w:tc>
          <w:tcPr>
            <w:tcW w:w="2268" w:type="dxa"/>
            <w:vAlign w:val="center"/>
          </w:tcPr>
          <w:p w14:paraId="63B81C09">
            <w:pPr>
              <w:pStyle w:val="12"/>
            </w:pPr>
            <w:r>
              <w:t>100%</w:t>
            </w:r>
          </w:p>
        </w:tc>
        <w:tc>
          <w:tcPr>
            <w:tcW w:w="1276" w:type="dxa"/>
            <w:vAlign w:val="center"/>
          </w:tcPr>
          <w:p w14:paraId="7C4C685E">
            <w:pPr>
              <w:pStyle w:val="12"/>
            </w:pPr>
            <w:r>
              <w:t>项目规划</w:t>
            </w:r>
          </w:p>
        </w:tc>
      </w:tr>
      <w:tr w14:paraId="3C79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CF4E"/>
        </w:tc>
        <w:tc>
          <w:tcPr>
            <w:tcW w:w="2268" w:type="dxa"/>
            <w:vAlign w:val="center"/>
          </w:tcPr>
          <w:p w14:paraId="1B030101">
            <w:pPr>
              <w:pStyle w:val="12"/>
            </w:pPr>
            <w:r>
              <w:t>时效指标</w:t>
            </w:r>
          </w:p>
        </w:tc>
        <w:tc>
          <w:tcPr>
            <w:tcW w:w="2835" w:type="dxa"/>
            <w:vAlign w:val="center"/>
          </w:tcPr>
          <w:p w14:paraId="04274D8E">
            <w:pPr>
              <w:pStyle w:val="12"/>
            </w:pPr>
            <w:r>
              <w:t>设备完成率</w:t>
            </w:r>
          </w:p>
        </w:tc>
        <w:tc>
          <w:tcPr>
            <w:tcW w:w="5386" w:type="dxa"/>
            <w:vAlign w:val="center"/>
          </w:tcPr>
          <w:p w14:paraId="06035B06">
            <w:pPr>
              <w:pStyle w:val="12"/>
            </w:pPr>
            <w:r>
              <w:t>购置设备的安装完成率</w:t>
            </w:r>
          </w:p>
        </w:tc>
        <w:tc>
          <w:tcPr>
            <w:tcW w:w="2268" w:type="dxa"/>
            <w:vAlign w:val="center"/>
          </w:tcPr>
          <w:p w14:paraId="69E2F7D3">
            <w:pPr>
              <w:pStyle w:val="12"/>
            </w:pPr>
            <w:r>
              <w:t>100%</w:t>
            </w:r>
          </w:p>
        </w:tc>
        <w:tc>
          <w:tcPr>
            <w:tcW w:w="1276" w:type="dxa"/>
            <w:vAlign w:val="center"/>
          </w:tcPr>
          <w:p w14:paraId="56650F31">
            <w:pPr>
              <w:pStyle w:val="12"/>
            </w:pPr>
            <w:r>
              <w:t>项目规划</w:t>
            </w:r>
          </w:p>
        </w:tc>
      </w:tr>
      <w:tr w14:paraId="3A8C0366">
        <w:tblPrEx>
          <w:tblCellMar>
            <w:top w:w="0" w:type="dxa"/>
            <w:left w:w="108" w:type="dxa"/>
            <w:bottom w:w="0" w:type="dxa"/>
            <w:right w:w="108" w:type="dxa"/>
          </w:tblCellMar>
        </w:tblPrEx>
        <w:trPr>
          <w:trHeight w:val="397" w:hRule="atLeast"/>
          <w:jc w:val="center"/>
        </w:trPr>
        <w:tc>
          <w:tcPr>
            <w:tcW w:w="1276" w:type="dxa"/>
            <w:vMerge w:val="continue"/>
            <w:vAlign w:val="center"/>
          </w:tcPr>
          <w:p w14:paraId="3C9A281A"/>
        </w:tc>
        <w:tc>
          <w:tcPr>
            <w:tcW w:w="2268" w:type="dxa"/>
            <w:vAlign w:val="center"/>
          </w:tcPr>
          <w:p w14:paraId="26E7F782">
            <w:pPr>
              <w:pStyle w:val="12"/>
            </w:pPr>
            <w:r>
              <w:t>成本指标</w:t>
            </w:r>
          </w:p>
        </w:tc>
        <w:tc>
          <w:tcPr>
            <w:tcW w:w="2835" w:type="dxa"/>
            <w:vAlign w:val="center"/>
          </w:tcPr>
          <w:p w14:paraId="3B1A8833">
            <w:pPr>
              <w:pStyle w:val="12"/>
            </w:pPr>
            <w:r>
              <w:t>成本完成率</w:t>
            </w:r>
          </w:p>
        </w:tc>
        <w:tc>
          <w:tcPr>
            <w:tcW w:w="5386" w:type="dxa"/>
            <w:vAlign w:val="center"/>
          </w:tcPr>
          <w:p w14:paraId="5F676B53">
            <w:pPr>
              <w:pStyle w:val="12"/>
            </w:pPr>
            <w:r>
              <w:t>购置设备的资金投入</w:t>
            </w:r>
          </w:p>
        </w:tc>
        <w:tc>
          <w:tcPr>
            <w:tcW w:w="2268" w:type="dxa"/>
            <w:vAlign w:val="center"/>
          </w:tcPr>
          <w:p w14:paraId="278EBFA4">
            <w:pPr>
              <w:pStyle w:val="12"/>
            </w:pPr>
            <w:r>
              <w:t>5万元</w:t>
            </w:r>
          </w:p>
        </w:tc>
        <w:tc>
          <w:tcPr>
            <w:tcW w:w="1276" w:type="dxa"/>
            <w:vAlign w:val="center"/>
          </w:tcPr>
          <w:p w14:paraId="57A12E30">
            <w:pPr>
              <w:pStyle w:val="12"/>
            </w:pPr>
            <w:r>
              <w:t>项目规划</w:t>
            </w:r>
          </w:p>
        </w:tc>
      </w:tr>
      <w:tr w14:paraId="6388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96F96">
            <w:pPr>
              <w:pStyle w:val="13"/>
            </w:pPr>
            <w:r>
              <w:t>效益指标</w:t>
            </w:r>
          </w:p>
        </w:tc>
        <w:tc>
          <w:tcPr>
            <w:tcW w:w="2268" w:type="dxa"/>
            <w:vAlign w:val="center"/>
          </w:tcPr>
          <w:p w14:paraId="42B3BC88">
            <w:pPr>
              <w:pStyle w:val="12"/>
            </w:pPr>
            <w:r>
              <w:t>社会效益指标</w:t>
            </w:r>
          </w:p>
        </w:tc>
        <w:tc>
          <w:tcPr>
            <w:tcW w:w="2835" w:type="dxa"/>
            <w:vAlign w:val="center"/>
          </w:tcPr>
          <w:p w14:paraId="0DA2F6F7">
            <w:pPr>
              <w:pStyle w:val="12"/>
            </w:pPr>
            <w:r>
              <w:t>特殊教育资源</w:t>
            </w:r>
          </w:p>
        </w:tc>
        <w:tc>
          <w:tcPr>
            <w:tcW w:w="5386" w:type="dxa"/>
            <w:vAlign w:val="center"/>
          </w:tcPr>
          <w:p w14:paraId="33CB5D56">
            <w:pPr>
              <w:pStyle w:val="12"/>
            </w:pPr>
            <w:r>
              <w:t>特殊教育资源利用扩大率</w:t>
            </w:r>
          </w:p>
        </w:tc>
        <w:tc>
          <w:tcPr>
            <w:tcW w:w="2268" w:type="dxa"/>
            <w:vAlign w:val="center"/>
          </w:tcPr>
          <w:p w14:paraId="25EC1E74">
            <w:pPr>
              <w:pStyle w:val="12"/>
            </w:pPr>
            <w:r>
              <w:t>≥95%</w:t>
            </w:r>
          </w:p>
        </w:tc>
        <w:tc>
          <w:tcPr>
            <w:tcW w:w="1276" w:type="dxa"/>
            <w:vAlign w:val="center"/>
          </w:tcPr>
          <w:p w14:paraId="4F4212A8">
            <w:pPr>
              <w:pStyle w:val="12"/>
            </w:pPr>
            <w:r>
              <w:t>项目规划</w:t>
            </w:r>
          </w:p>
        </w:tc>
      </w:tr>
      <w:tr w14:paraId="64C2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B154E">
            <w:pPr>
              <w:pStyle w:val="13"/>
            </w:pPr>
            <w:r>
              <w:t>满意度指标</w:t>
            </w:r>
          </w:p>
        </w:tc>
        <w:tc>
          <w:tcPr>
            <w:tcW w:w="2268" w:type="dxa"/>
            <w:vAlign w:val="center"/>
          </w:tcPr>
          <w:p w14:paraId="72BE6A02">
            <w:pPr>
              <w:pStyle w:val="12"/>
            </w:pPr>
            <w:r>
              <w:t>服务对象满意度指标</w:t>
            </w:r>
          </w:p>
        </w:tc>
        <w:tc>
          <w:tcPr>
            <w:tcW w:w="2835" w:type="dxa"/>
            <w:vAlign w:val="center"/>
          </w:tcPr>
          <w:p w14:paraId="5E222656">
            <w:pPr>
              <w:pStyle w:val="12"/>
            </w:pPr>
            <w:r>
              <w:t>师生家长满意度</w:t>
            </w:r>
          </w:p>
        </w:tc>
        <w:tc>
          <w:tcPr>
            <w:tcW w:w="5386" w:type="dxa"/>
            <w:vAlign w:val="center"/>
          </w:tcPr>
          <w:p w14:paraId="07AA31AA">
            <w:pPr>
              <w:pStyle w:val="12"/>
            </w:pPr>
            <w:r>
              <w:t>学校教师学生及家长满意度</w:t>
            </w:r>
          </w:p>
        </w:tc>
        <w:tc>
          <w:tcPr>
            <w:tcW w:w="2268" w:type="dxa"/>
            <w:vAlign w:val="center"/>
          </w:tcPr>
          <w:p w14:paraId="3DECC936">
            <w:pPr>
              <w:pStyle w:val="12"/>
            </w:pPr>
            <w:r>
              <w:t>≥98%</w:t>
            </w:r>
          </w:p>
        </w:tc>
        <w:tc>
          <w:tcPr>
            <w:tcW w:w="1276" w:type="dxa"/>
            <w:vAlign w:val="center"/>
          </w:tcPr>
          <w:p w14:paraId="21BCDE4A">
            <w:pPr>
              <w:pStyle w:val="12"/>
            </w:pPr>
            <w:r>
              <w:t>问卷调查</w:t>
            </w:r>
          </w:p>
        </w:tc>
      </w:tr>
    </w:tbl>
    <w:p w14:paraId="05FED83E">
      <w:pPr>
        <w:sectPr>
          <w:pgSz w:w="16840" w:h="11900" w:orient="landscape"/>
          <w:pgMar w:top="1361" w:right="1020" w:bottom="1134" w:left="1020" w:header="720" w:footer="720" w:gutter="0"/>
          <w:cols w:space="720" w:num="1"/>
        </w:sectPr>
      </w:pPr>
    </w:p>
    <w:p w14:paraId="769725B9">
      <w:pPr>
        <w:spacing w:before="0" w:after="0"/>
        <w:ind w:firstLine="560"/>
        <w:jc w:val="left"/>
        <w:outlineLvl w:val="9"/>
      </w:pPr>
      <w:r>
        <w:rPr>
          <w:rFonts w:ascii="方正仿宋_GBK" w:hAnsi="方正仿宋_GBK" w:eastAsia="方正仿宋_GBK" w:cs="方正仿宋_GBK"/>
          <w:b/>
          <w:color w:val="000000"/>
          <w:sz w:val="28"/>
        </w:rPr>
        <w:t>5、县级配套/特殊教育学校公用经费绩效目标表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25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09C1C">
            <w:pPr>
              <w:pStyle w:val="11"/>
            </w:pPr>
            <w:r>
              <w:t>单位：万元</w:t>
            </w:r>
          </w:p>
        </w:tc>
      </w:tr>
      <w:tr w14:paraId="6E2AC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FF74B">
            <w:pPr>
              <w:pStyle w:val="10"/>
            </w:pPr>
            <w:r>
              <w:t>项目编码</w:t>
            </w:r>
          </w:p>
        </w:tc>
        <w:tc>
          <w:tcPr>
            <w:tcW w:w="5103" w:type="dxa"/>
            <w:gridSpan w:val="2"/>
            <w:vAlign w:val="center"/>
          </w:tcPr>
          <w:p w14:paraId="53E6B224">
            <w:pPr>
              <w:pStyle w:val="12"/>
            </w:pPr>
            <w:r>
              <w:t>13052526P00000410417Q</w:t>
            </w:r>
          </w:p>
        </w:tc>
        <w:tc>
          <w:tcPr>
            <w:tcW w:w="2835" w:type="dxa"/>
            <w:vAlign w:val="center"/>
          </w:tcPr>
          <w:p w14:paraId="7C0D4022">
            <w:pPr>
              <w:pStyle w:val="10"/>
            </w:pPr>
            <w:r>
              <w:t>项目名称</w:t>
            </w:r>
          </w:p>
        </w:tc>
        <w:tc>
          <w:tcPr>
            <w:tcW w:w="6095" w:type="dxa"/>
            <w:gridSpan w:val="3"/>
            <w:vAlign w:val="center"/>
          </w:tcPr>
          <w:p w14:paraId="26657A0F">
            <w:pPr>
              <w:pStyle w:val="12"/>
            </w:pPr>
            <w:r>
              <w:t>县级配套/特殊教育学校公用经费</w:t>
            </w:r>
          </w:p>
        </w:tc>
      </w:tr>
      <w:tr w14:paraId="2459E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BB7BE">
            <w:pPr>
              <w:pStyle w:val="10"/>
            </w:pPr>
            <w:r>
              <w:t>预算规模及资金用途</w:t>
            </w:r>
          </w:p>
        </w:tc>
        <w:tc>
          <w:tcPr>
            <w:tcW w:w="2268" w:type="dxa"/>
            <w:vAlign w:val="center"/>
          </w:tcPr>
          <w:p w14:paraId="67FF1304">
            <w:pPr>
              <w:pStyle w:val="10"/>
            </w:pPr>
            <w:r>
              <w:t>预算数</w:t>
            </w:r>
          </w:p>
        </w:tc>
        <w:tc>
          <w:tcPr>
            <w:tcW w:w="2835" w:type="dxa"/>
            <w:vAlign w:val="center"/>
          </w:tcPr>
          <w:p w14:paraId="03A3067C">
            <w:pPr>
              <w:pStyle w:val="12"/>
            </w:pPr>
            <w:r>
              <w:t>3.04</w:t>
            </w:r>
          </w:p>
        </w:tc>
        <w:tc>
          <w:tcPr>
            <w:tcW w:w="2835" w:type="dxa"/>
            <w:vAlign w:val="center"/>
          </w:tcPr>
          <w:p w14:paraId="7AFE1F11">
            <w:pPr>
              <w:pStyle w:val="10"/>
            </w:pPr>
            <w:r>
              <w:t>其中：财政    资金</w:t>
            </w:r>
          </w:p>
        </w:tc>
        <w:tc>
          <w:tcPr>
            <w:tcW w:w="2551" w:type="dxa"/>
            <w:vAlign w:val="center"/>
          </w:tcPr>
          <w:p w14:paraId="214182CD">
            <w:pPr>
              <w:pStyle w:val="12"/>
            </w:pPr>
            <w:r>
              <w:t>3.04</w:t>
            </w:r>
          </w:p>
        </w:tc>
        <w:tc>
          <w:tcPr>
            <w:tcW w:w="2268" w:type="dxa"/>
            <w:vAlign w:val="center"/>
          </w:tcPr>
          <w:p w14:paraId="01AE2BCF">
            <w:pPr>
              <w:pStyle w:val="10"/>
            </w:pPr>
            <w:r>
              <w:t>其他资金</w:t>
            </w:r>
          </w:p>
        </w:tc>
        <w:tc>
          <w:tcPr>
            <w:tcW w:w="1276" w:type="dxa"/>
            <w:vAlign w:val="center"/>
          </w:tcPr>
          <w:p w14:paraId="69177882">
            <w:pPr>
              <w:pStyle w:val="12"/>
            </w:pPr>
            <w:r>
              <w:t xml:space="preserve"> </w:t>
            </w:r>
          </w:p>
        </w:tc>
      </w:tr>
      <w:tr w14:paraId="796CD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F3A77"/>
        </w:tc>
        <w:tc>
          <w:tcPr>
            <w:tcW w:w="14033" w:type="dxa"/>
            <w:gridSpan w:val="6"/>
            <w:vAlign w:val="center"/>
          </w:tcPr>
          <w:p w14:paraId="29EBE018">
            <w:pPr>
              <w:pStyle w:val="12"/>
            </w:pPr>
            <w:r>
              <w:t>用于保障义务教育学校正常运转，完成教育教学活动和其他日常工作任务等方面的费用支出。</w:t>
            </w:r>
          </w:p>
        </w:tc>
      </w:tr>
      <w:tr w14:paraId="2232C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296EB">
            <w:pPr>
              <w:pStyle w:val="10"/>
            </w:pPr>
            <w:r>
              <w:t>资金支出计划（%）</w:t>
            </w:r>
          </w:p>
        </w:tc>
        <w:tc>
          <w:tcPr>
            <w:tcW w:w="5103" w:type="dxa"/>
            <w:gridSpan w:val="2"/>
            <w:vAlign w:val="center"/>
          </w:tcPr>
          <w:p w14:paraId="2C3DF6F0">
            <w:pPr>
              <w:pStyle w:val="10"/>
            </w:pPr>
            <w:r>
              <w:t>3月底</w:t>
            </w:r>
          </w:p>
        </w:tc>
        <w:tc>
          <w:tcPr>
            <w:tcW w:w="2835" w:type="dxa"/>
            <w:vAlign w:val="center"/>
          </w:tcPr>
          <w:p w14:paraId="5AD5DEC7">
            <w:pPr>
              <w:pStyle w:val="10"/>
            </w:pPr>
            <w:r>
              <w:t>6月底</w:t>
            </w:r>
          </w:p>
        </w:tc>
        <w:tc>
          <w:tcPr>
            <w:tcW w:w="2551" w:type="dxa"/>
            <w:vAlign w:val="center"/>
          </w:tcPr>
          <w:p w14:paraId="6CECEC74">
            <w:pPr>
              <w:pStyle w:val="10"/>
            </w:pPr>
            <w:r>
              <w:t>10月底</w:t>
            </w:r>
          </w:p>
        </w:tc>
        <w:tc>
          <w:tcPr>
            <w:tcW w:w="3544" w:type="dxa"/>
            <w:gridSpan w:val="2"/>
            <w:vAlign w:val="center"/>
          </w:tcPr>
          <w:p w14:paraId="6711A244">
            <w:pPr>
              <w:pStyle w:val="10"/>
            </w:pPr>
            <w:r>
              <w:t>12月底</w:t>
            </w:r>
          </w:p>
        </w:tc>
      </w:tr>
      <w:tr w14:paraId="60726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D40F3"/>
        </w:tc>
        <w:tc>
          <w:tcPr>
            <w:tcW w:w="5103" w:type="dxa"/>
            <w:gridSpan w:val="2"/>
            <w:vAlign w:val="center"/>
          </w:tcPr>
          <w:p w14:paraId="71A2192E">
            <w:pPr>
              <w:pStyle w:val="13"/>
            </w:pPr>
            <w:r>
              <w:t>25%</w:t>
            </w:r>
          </w:p>
        </w:tc>
        <w:tc>
          <w:tcPr>
            <w:tcW w:w="2835" w:type="dxa"/>
            <w:vAlign w:val="center"/>
          </w:tcPr>
          <w:p w14:paraId="646214CC">
            <w:pPr>
              <w:pStyle w:val="13"/>
            </w:pPr>
            <w:r>
              <w:t>50%</w:t>
            </w:r>
          </w:p>
        </w:tc>
        <w:tc>
          <w:tcPr>
            <w:tcW w:w="2551" w:type="dxa"/>
            <w:vAlign w:val="center"/>
          </w:tcPr>
          <w:p w14:paraId="141F9009">
            <w:pPr>
              <w:pStyle w:val="13"/>
            </w:pPr>
            <w:r>
              <w:t>75%</w:t>
            </w:r>
          </w:p>
        </w:tc>
        <w:tc>
          <w:tcPr>
            <w:tcW w:w="3544" w:type="dxa"/>
            <w:gridSpan w:val="2"/>
            <w:vAlign w:val="center"/>
          </w:tcPr>
          <w:p w14:paraId="33BF53CC">
            <w:pPr>
              <w:pStyle w:val="13"/>
            </w:pPr>
            <w:r>
              <w:t>100%</w:t>
            </w:r>
          </w:p>
        </w:tc>
      </w:tr>
      <w:tr w14:paraId="10C92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AAFD2">
            <w:pPr>
              <w:pStyle w:val="10"/>
            </w:pPr>
            <w:r>
              <w:t>绩效目标</w:t>
            </w:r>
          </w:p>
        </w:tc>
        <w:tc>
          <w:tcPr>
            <w:tcW w:w="14033" w:type="dxa"/>
            <w:gridSpan w:val="6"/>
            <w:vAlign w:val="center"/>
          </w:tcPr>
          <w:p w14:paraId="071DEADE">
            <w:pPr>
              <w:pStyle w:val="12"/>
            </w:pPr>
            <w:r>
              <w:t>1.保障义务教育学校正常运转，完成教育教学活动和其他日常工作任务等方面的费用支出。</w:t>
            </w:r>
          </w:p>
          <w:p w14:paraId="6172E0C7">
            <w:pPr>
              <w:pStyle w:val="12"/>
            </w:pPr>
            <w:r>
              <w:t>2.按规定拨付公用经费3.04万元资金，资金拨付率达到100%。</w:t>
            </w:r>
          </w:p>
        </w:tc>
      </w:tr>
    </w:tbl>
    <w:p w14:paraId="13B364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2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1CB01">
            <w:pPr>
              <w:pStyle w:val="10"/>
            </w:pPr>
            <w:r>
              <w:t>一级指标</w:t>
            </w:r>
          </w:p>
        </w:tc>
        <w:tc>
          <w:tcPr>
            <w:tcW w:w="2268" w:type="dxa"/>
            <w:vAlign w:val="center"/>
          </w:tcPr>
          <w:p w14:paraId="66735699">
            <w:pPr>
              <w:pStyle w:val="10"/>
            </w:pPr>
            <w:r>
              <w:t>二级指标</w:t>
            </w:r>
          </w:p>
        </w:tc>
        <w:tc>
          <w:tcPr>
            <w:tcW w:w="2835" w:type="dxa"/>
            <w:vAlign w:val="center"/>
          </w:tcPr>
          <w:p w14:paraId="01809D04">
            <w:pPr>
              <w:pStyle w:val="10"/>
            </w:pPr>
            <w:r>
              <w:t>三级指标</w:t>
            </w:r>
          </w:p>
        </w:tc>
        <w:tc>
          <w:tcPr>
            <w:tcW w:w="5386" w:type="dxa"/>
            <w:vAlign w:val="center"/>
          </w:tcPr>
          <w:p w14:paraId="78C33BA8">
            <w:pPr>
              <w:pStyle w:val="10"/>
            </w:pPr>
            <w:r>
              <w:t>绩效指标描述</w:t>
            </w:r>
          </w:p>
        </w:tc>
        <w:tc>
          <w:tcPr>
            <w:tcW w:w="2268" w:type="dxa"/>
            <w:vAlign w:val="center"/>
          </w:tcPr>
          <w:p w14:paraId="70BF7BF5">
            <w:pPr>
              <w:pStyle w:val="10"/>
            </w:pPr>
            <w:r>
              <w:t>指标值</w:t>
            </w:r>
          </w:p>
        </w:tc>
        <w:tc>
          <w:tcPr>
            <w:tcW w:w="1276" w:type="dxa"/>
            <w:vAlign w:val="center"/>
          </w:tcPr>
          <w:p w14:paraId="28B2DC7B">
            <w:pPr>
              <w:pStyle w:val="10"/>
            </w:pPr>
            <w:r>
              <w:t>指标值确定依据</w:t>
            </w:r>
          </w:p>
        </w:tc>
      </w:tr>
      <w:tr w14:paraId="39AA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AF1C9">
            <w:pPr>
              <w:pStyle w:val="13"/>
            </w:pPr>
            <w:r>
              <w:t>产出指标</w:t>
            </w:r>
          </w:p>
        </w:tc>
        <w:tc>
          <w:tcPr>
            <w:tcW w:w="2268" w:type="dxa"/>
            <w:vAlign w:val="center"/>
          </w:tcPr>
          <w:p w14:paraId="7AEF9B51">
            <w:pPr>
              <w:pStyle w:val="12"/>
            </w:pPr>
            <w:r>
              <w:t>数量指标</w:t>
            </w:r>
          </w:p>
        </w:tc>
        <w:tc>
          <w:tcPr>
            <w:tcW w:w="2835" w:type="dxa"/>
            <w:vAlign w:val="center"/>
          </w:tcPr>
          <w:p w14:paraId="62220500">
            <w:pPr>
              <w:pStyle w:val="12"/>
            </w:pPr>
            <w:r>
              <w:t>适龄在校生</w:t>
            </w:r>
          </w:p>
        </w:tc>
        <w:tc>
          <w:tcPr>
            <w:tcW w:w="5386" w:type="dxa"/>
            <w:vAlign w:val="center"/>
          </w:tcPr>
          <w:p w14:paraId="70E8B90E">
            <w:pPr>
              <w:pStyle w:val="12"/>
            </w:pPr>
            <w:r>
              <w:t>适龄在校就读学生人数</w:t>
            </w:r>
          </w:p>
        </w:tc>
        <w:tc>
          <w:tcPr>
            <w:tcW w:w="2268" w:type="dxa"/>
            <w:vAlign w:val="center"/>
          </w:tcPr>
          <w:p w14:paraId="1B6B167A">
            <w:pPr>
              <w:pStyle w:val="12"/>
            </w:pPr>
            <w:r>
              <w:t>90人</w:t>
            </w:r>
          </w:p>
        </w:tc>
        <w:tc>
          <w:tcPr>
            <w:tcW w:w="1276" w:type="dxa"/>
            <w:vAlign w:val="center"/>
          </w:tcPr>
          <w:p w14:paraId="2C9F7FAA">
            <w:pPr>
              <w:pStyle w:val="12"/>
            </w:pPr>
            <w:r>
              <w:t>城乡义务教育公用经费管理办法</w:t>
            </w:r>
          </w:p>
        </w:tc>
      </w:tr>
      <w:tr w14:paraId="154F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D5024"/>
        </w:tc>
        <w:tc>
          <w:tcPr>
            <w:tcW w:w="2268" w:type="dxa"/>
            <w:vAlign w:val="center"/>
          </w:tcPr>
          <w:p w14:paraId="3E35BECA">
            <w:pPr>
              <w:pStyle w:val="12"/>
            </w:pPr>
            <w:r>
              <w:t>质量指标</w:t>
            </w:r>
          </w:p>
        </w:tc>
        <w:tc>
          <w:tcPr>
            <w:tcW w:w="2835" w:type="dxa"/>
            <w:vAlign w:val="center"/>
          </w:tcPr>
          <w:p w14:paraId="5655B6A6">
            <w:pPr>
              <w:pStyle w:val="12"/>
            </w:pPr>
            <w:r>
              <w:t>预算执行率</w:t>
            </w:r>
          </w:p>
        </w:tc>
        <w:tc>
          <w:tcPr>
            <w:tcW w:w="5386" w:type="dxa"/>
            <w:vAlign w:val="center"/>
          </w:tcPr>
          <w:p w14:paraId="0B781ECA">
            <w:pPr>
              <w:pStyle w:val="12"/>
            </w:pPr>
            <w:r>
              <w:t>预算执行率</w:t>
            </w:r>
          </w:p>
        </w:tc>
        <w:tc>
          <w:tcPr>
            <w:tcW w:w="2268" w:type="dxa"/>
            <w:vAlign w:val="center"/>
          </w:tcPr>
          <w:p w14:paraId="1CD57353">
            <w:pPr>
              <w:pStyle w:val="12"/>
            </w:pPr>
            <w:r>
              <w:t>≥98%</w:t>
            </w:r>
          </w:p>
        </w:tc>
        <w:tc>
          <w:tcPr>
            <w:tcW w:w="1276" w:type="dxa"/>
            <w:vAlign w:val="center"/>
          </w:tcPr>
          <w:p w14:paraId="12D1E3E9">
            <w:pPr>
              <w:pStyle w:val="12"/>
            </w:pPr>
            <w:r>
              <w:t>城乡义务教育公用经费管理办法</w:t>
            </w:r>
          </w:p>
        </w:tc>
      </w:tr>
      <w:tr w14:paraId="3D46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3258D"/>
        </w:tc>
        <w:tc>
          <w:tcPr>
            <w:tcW w:w="2268" w:type="dxa"/>
            <w:vAlign w:val="center"/>
          </w:tcPr>
          <w:p w14:paraId="3662E5A9">
            <w:pPr>
              <w:pStyle w:val="12"/>
            </w:pPr>
            <w:r>
              <w:t>时效指标</w:t>
            </w:r>
          </w:p>
        </w:tc>
        <w:tc>
          <w:tcPr>
            <w:tcW w:w="2835" w:type="dxa"/>
            <w:vAlign w:val="center"/>
          </w:tcPr>
          <w:p w14:paraId="12D9D716">
            <w:pPr>
              <w:pStyle w:val="12"/>
            </w:pPr>
            <w:r>
              <w:t>公用经费资金支付率</w:t>
            </w:r>
          </w:p>
        </w:tc>
        <w:tc>
          <w:tcPr>
            <w:tcW w:w="5386" w:type="dxa"/>
            <w:vAlign w:val="center"/>
          </w:tcPr>
          <w:p w14:paraId="1A138401">
            <w:pPr>
              <w:pStyle w:val="12"/>
            </w:pPr>
            <w:r>
              <w:t>按照序时进度完成资金支付</w:t>
            </w:r>
          </w:p>
        </w:tc>
        <w:tc>
          <w:tcPr>
            <w:tcW w:w="2268" w:type="dxa"/>
            <w:vAlign w:val="center"/>
          </w:tcPr>
          <w:p w14:paraId="6AE9CD45">
            <w:pPr>
              <w:pStyle w:val="12"/>
            </w:pPr>
            <w:r>
              <w:t>≥98%</w:t>
            </w:r>
          </w:p>
        </w:tc>
        <w:tc>
          <w:tcPr>
            <w:tcW w:w="1276" w:type="dxa"/>
            <w:vAlign w:val="center"/>
          </w:tcPr>
          <w:p w14:paraId="5D241FBB">
            <w:pPr>
              <w:pStyle w:val="12"/>
            </w:pPr>
            <w:r>
              <w:t>城乡义务教育公用经费管理办法</w:t>
            </w:r>
          </w:p>
        </w:tc>
      </w:tr>
      <w:tr w14:paraId="5F86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C140F"/>
        </w:tc>
        <w:tc>
          <w:tcPr>
            <w:tcW w:w="2268" w:type="dxa"/>
            <w:vAlign w:val="center"/>
          </w:tcPr>
          <w:p w14:paraId="50F70B27">
            <w:pPr>
              <w:pStyle w:val="12"/>
            </w:pPr>
            <w:r>
              <w:t>成本指标</w:t>
            </w:r>
          </w:p>
        </w:tc>
        <w:tc>
          <w:tcPr>
            <w:tcW w:w="2835" w:type="dxa"/>
            <w:vAlign w:val="center"/>
          </w:tcPr>
          <w:p w14:paraId="5508A6D2">
            <w:pPr>
              <w:pStyle w:val="12"/>
            </w:pPr>
            <w:r>
              <w:t>生均拨款标准</w:t>
            </w:r>
          </w:p>
        </w:tc>
        <w:tc>
          <w:tcPr>
            <w:tcW w:w="5386" w:type="dxa"/>
            <w:vAlign w:val="center"/>
          </w:tcPr>
          <w:p w14:paraId="07CF9946">
            <w:pPr>
              <w:pStyle w:val="12"/>
            </w:pPr>
            <w:r>
              <w:t>特教学生：标准7000元/生/学年</w:t>
            </w:r>
          </w:p>
        </w:tc>
        <w:tc>
          <w:tcPr>
            <w:tcW w:w="2268" w:type="dxa"/>
            <w:vAlign w:val="center"/>
          </w:tcPr>
          <w:p w14:paraId="320E19DF">
            <w:pPr>
              <w:pStyle w:val="12"/>
            </w:pPr>
            <w:r>
              <w:t>7000元</w:t>
            </w:r>
          </w:p>
        </w:tc>
        <w:tc>
          <w:tcPr>
            <w:tcW w:w="1276" w:type="dxa"/>
            <w:vAlign w:val="center"/>
          </w:tcPr>
          <w:p w14:paraId="71F46F05">
            <w:pPr>
              <w:pStyle w:val="12"/>
            </w:pPr>
            <w:r>
              <w:t>城乡义务教育公用经费管理办法</w:t>
            </w:r>
          </w:p>
        </w:tc>
      </w:tr>
      <w:tr w14:paraId="4215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07D91">
            <w:pPr>
              <w:pStyle w:val="13"/>
            </w:pPr>
            <w:r>
              <w:t>效益指标</w:t>
            </w:r>
          </w:p>
        </w:tc>
        <w:tc>
          <w:tcPr>
            <w:tcW w:w="2268" w:type="dxa"/>
            <w:vAlign w:val="center"/>
          </w:tcPr>
          <w:p w14:paraId="7564EA56">
            <w:pPr>
              <w:pStyle w:val="12"/>
            </w:pPr>
            <w:r>
              <w:t>社会效益指标</w:t>
            </w:r>
          </w:p>
        </w:tc>
        <w:tc>
          <w:tcPr>
            <w:tcW w:w="2835" w:type="dxa"/>
            <w:vAlign w:val="center"/>
          </w:tcPr>
          <w:p w14:paraId="380A13E5">
            <w:pPr>
              <w:pStyle w:val="12"/>
            </w:pPr>
            <w:r>
              <w:t>学校办学能力提升</w:t>
            </w:r>
          </w:p>
        </w:tc>
        <w:tc>
          <w:tcPr>
            <w:tcW w:w="5386" w:type="dxa"/>
            <w:vAlign w:val="center"/>
          </w:tcPr>
          <w:p w14:paraId="713CEA0C">
            <w:pPr>
              <w:pStyle w:val="12"/>
            </w:pPr>
            <w:r>
              <w:t>办学能力及教育教学工作提升率</w:t>
            </w:r>
          </w:p>
        </w:tc>
        <w:tc>
          <w:tcPr>
            <w:tcW w:w="2268" w:type="dxa"/>
            <w:vAlign w:val="center"/>
          </w:tcPr>
          <w:p w14:paraId="6D78F4F1">
            <w:pPr>
              <w:pStyle w:val="12"/>
            </w:pPr>
            <w:r>
              <w:t>≥95%</w:t>
            </w:r>
          </w:p>
        </w:tc>
        <w:tc>
          <w:tcPr>
            <w:tcW w:w="1276" w:type="dxa"/>
            <w:vAlign w:val="center"/>
          </w:tcPr>
          <w:p w14:paraId="32577648">
            <w:pPr>
              <w:pStyle w:val="12"/>
            </w:pPr>
            <w:r>
              <w:t>城乡义务教育公用经费管理办法</w:t>
            </w:r>
          </w:p>
        </w:tc>
      </w:tr>
      <w:tr w14:paraId="2D51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2A3EA">
            <w:pPr>
              <w:pStyle w:val="13"/>
            </w:pPr>
            <w:r>
              <w:t>满意度指标</w:t>
            </w:r>
          </w:p>
        </w:tc>
        <w:tc>
          <w:tcPr>
            <w:tcW w:w="2268" w:type="dxa"/>
            <w:vAlign w:val="center"/>
          </w:tcPr>
          <w:p w14:paraId="725C23FB">
            <w:pPr>
              <w:pStyle w:val="12"/>
            </w:pPr>
            <w:r>
              <w:t>服务对象满意度指标</w:t>
            </w:r>
          </w:p>
        </w:tc>
        <w:tc>
          <w:tcPr>
            <w:tcW w:w="2835" w:type="dxa"/>
            <w:vAlign w:val="center"/>
          </w:tcPr>
          <w:p w14:paraId="59A8E471">
            <w:pPr>
              <w:pStyle w:val="12"/>
            </w:pPr>
            <w:r>
              <w:t>受益学生教师及家长调查满意度</w:t>
            </w:r>
          </w:p>
        </w:tc>
        <w:tc>
          <w:tcPr>
            <w:tcW w:w="5386" w:type="dxa"/>
            <w:vAlign w:val="center"/>
          </w:tcPr>
          <w:p w14:paraId="2000798D">
            <w:pPr>
              <w:pStyle w:val="12"/>
            </w:pPr>
            <w:r>
              <w:t>学生、教师及家长对学校教育教学工作满意度情况</w:t>
            </w:r>
          </w:p>
        </w:tc>
        <w:tc>
          <w:tcPr>
            <w:tcW w:w="2268" w:type="dxa"/>
            <w:vAlign w:val="center"/>
          </w:tcPr>
          <w:p w14:paraId="336800AF">
            <w:pPr>
              <w:pStyle w:val="12"/>
            </w:pPr>
            <w:r>
              <w:t>≥95%</w:t>
            </w:r>
          </w:p>
        </w:tc>
        <w:tc>
          <w:tcPr>
            <w:tcW w:w="1276" w:type="dxa"/>
            <w:vAlign w:val="center"/>
          </w:tcPr>
          <w:p w14:paraId="08DF7973">
            <w:pPr>
              <w:pStyle w:val="12"/>
            </w:pPr>
            <w:r>
              <w:t>问卷调查</w:t>
            </w:r>
          </w:p>
        </w:tc>
      </w:tr>
    </w:tbl>
    <w:p w14:paraId="5799770B">
      <w:pPr>
        <w:sectPr>
          <w:pgSz w:w="16840" w:h="11900" w:orient="landscape"/>
          <w:pgMar w:top="1361" w:right="1020" w:bottom="1134" w:left="1020" w:header="720" w:footer="720" w:gutter="0"/>
          <w:cols w:space="720" w:num="1"/>
        </w:sectPr>
      </w:pPr>
    </w:p>
    <w:p w14:paraId="5F41DDD7">
      <w:pPr>
        <w:spacing w:before="10" w:after="10" w:line="240" w:lineRule="auto"/>
        <w:ind w:firstLine="640"/>
        <w:jc w:val="left"/>
        <w:outlineLvl w:val="5"/>
      </w:pPr>
      <w:r>
        <w:rPr>
          <w:rFonts w:ascii="黑体" w:hAnsi="黑体" w:eastAsia="黑体" w:cs="黑体"/>
          <w:color w:val="000000"/>
          <w:sz w:val="32"/>
        </w:rPr>
        <w:t>六、政府采购预算情况</w:t>
      </w:r>
    </w:p>
    <w:p w14:paraId="0A87898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A2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D69864">
            <w:pPr>
              <w:pStyle w:val="9"/>
            </w:pPr>
            <w:r>
              <w:t>360012隆尧县特殊教育学校</w:t>
            </w:r>
          </w:p>
        </w:tc>
        <w:tc>
          <w:tcPr>
            <w:tcW w:w="8676" w:type="dxa"/>
            <w:gridSpan w:val="9"/>
            <w:tcBorders>
              <w:top w:val="single" w:color="FFFFFF" w:sz="6" w:space="0"/>
              <w:left w:val="single" w:color="FFFFFF" w:sz="6" w:space="0"/>
              <w:right w:val="single" w:color="FFFFFF" w:sz="6" w:space="0"/>
            </w:tcBorders>
            <w:vAlign w:val="center"/>
          </w:tcPr>
          <w:p w14:paraId="70894FC4">
            <w:pPr>
              <w:pStyle w:val="21"/>
            </w:pPr>
            <w:r>
              <w:t>单位：万元</w:t>
            </w:r>
          </w:p>
        </w:tc>
      </w:tr>
      <w:tr w14:paraId="374F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B003923">
            <w:pPr>
              <w:pStyle w:val="10"/>
            </w:pPr>
            <w:r>
              <w:t>政府采购项目来源</w:t>
            </w:r>
          </w:p>
        </w:tc>
        <w:tc>
          <w:tcPr>
            <w:tcW w:w="1134" w:type="dxa"/>
            <w:vMerge w:val="restart"/>
            <w:vAlign w:val="center"/>
          </w:tcPr>
          <w:p w14:paraId="769EA716">
            <w:pPr>
              <w:pStyle w:val="10"/>
            </w:pPr>
            <w:r>
              <w:t>采购物品名称</w:t>
            </w:r>
          </w:p>
        </w:tc>
        <w:tc>
          <w:tcPr>
            <w:tcW w:w="1134" w:type="dxa"/>
            <w:vMerge w:val="restart"/>
            <w:vAlign w:val="center"/>
          </w:tcPr>
          <w:p w14:paraId="744DFCD8">
            <w:pPr>
              <w:pStyle w:val="10"/>
            </w:pPr>
            <w:r>
              <w:t>政府采购目录序号</w:t>
            </w:r>
          </w:p>
        </w:tc>
        <w:tc>
          <w:tcPr>
            <w:tcW w:w="709" w:type="dxa"/>
            <w:vMerge w:val="restart"/>
            <w:vAlign w:val="center"/>
          </w:tcPr>
          <w:p w14:paraId="3CB4BF35">
            <w:pPr>
              <w:pStyle w:val="10"/>
            </w:pPr>
            <w:r>
              <w:t>计量  单位</w:t>
            </w:r>
          </w:p>
        </w:tc>
        <w:tc>
          <w:tcPr>
            <w:tcW w:w="850" w:type="dxa"/>
            <w:vMerge w:val="restart"/>
            <w:vAlign w:val="center"/>
          </w:tcPr>
          <w:p w14:paraId="4126826C">
            <w:pPr>
              <w:pStyle w:val="10"/>
            </w:pPr>
            <w:r>
              <w:t>数量</w:t>
            </w:r>
          </w:p>
        </w:tc>
        <w:tc>
          <w:tcPr>
            <w:tcW w:w="850" w:type="dxa"/>
            <w:vMerge w:val="restart"/>
            <w:vAlign w:val="center"/>
          </w:tcPr>
          <w:p w14:paraId="6DD7DED0">
            <w:pPr>
              <w:pStyle w:val="10"/>
            </w:pPr>
            <w:r>
              <w:t>单价</w:t>
            </w:r>
          </w:p>
        </w:tc>
        <w:tc>
          <w:tcPr>
            <w:tcW w:w="7712" w:type="dxa"/>
            <w:gridSpan w:val="8"/>
            <w:vAlign w:val="center"/>
          </w:tcPr>
          <w:p w14:paraId="3F98B1FE">
            <w:pPr>
              <w:pStyle w:val="10"/>
            </w:pPr>
            <w:r>
              <w:t>政府采购金额（当年部门预算安排资金）</w:t>
            </w:r>
          </w:p>
        </w:tc>
        <w:tc>
          <w:tcPr>
            <w:tcW w:w="964" w:type="dxa"/>
            <w:vMerge w:val="restart"/>
            <w:vAlign w:val="center"/>
          </w:tcPr>
          <w:p w14:paraId="5FA44D28">
            <w:pPr>
              <w:pStyle w:val="10"/>
            </w:pPr>
            <w:r>
              <w:t>2026年  预留中  小微企  业份额</w:t>
            </w:r>
          </w:p>
        </w:tc>
      </w:tr>
      <w:tr w14:paraId="0A906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F20216">
            <w:pPr>
              <w:pStyle w:val="10"/>
            </w:pPr>
            <w:r>
              <w:t>项目名称</w:t>
            </w:r>
          </w:p>
        </w:tc>
        <w:tc>
          <w:tcPr>
            <w:tcW w:w="964" w:type="dxa"/>
            <w:vAlign w:val="center"/>
          </w:tcPr>
          <w:p w14:paraId="1DC2AECC">
            <w:pPr>
              <w:pStyle w:val="10"/>
            </w:pPr>
            <w:r>
              <w:t>预算    资金</w:t>
            </w:r>
          </w:p>
        </w:tc>
        <w:tc>
          <w:tcPr>
            <w:tcW w:w="1134" w:type="dxa"/>
            <w:vMerge w:val="continue"/>
          </w:tcPr>
          <w:p w14:paraId="5F00C141"/>
        </w:tc>
        <w:tc>
          <w:tcPr>
            <w:tcW w:w="1134" w:type="dxa"/>
            <w:vMerge w:val="continue"/>
          </w:tcPr>
          <w:p w14:paraId="672E5A99"/>
        </w:tc>
        <w:tc>
          <w:tcPr>
            <w:tcW w:w="709" w:type="dxa"/>
            <w:vMerge w:val="continue"/>
          </w:tcPr>
          <w:p w14:paraId="1748EF43"/>
        </w:tc>
        <w:tc>
          <w:tcPr>
            <w:tcW w:w="850" w:type="dxa"/>
            <w:vMerge w:val="continue"/>
          </w:tcPr>
          <w:p w14:paraId="23F422A6"/>
        </w:tc>
        <w:tc>
          <w:tcPr>
            <w:tcW w:w="850" w:type="dxa"/>
            <w:vMerge w:val="continue"/>
          </w:tcPr>
          <w:p w14:paraId="65AB7AC4"/>
        </w:tc>
        <w:tc>
          <w:tcPr>
            <w:tcW w:w="964" w:type="dxa"/>
            <w:vAlign w:val="center"/>
          </w:tcPr>
          <w:p w14:paraId="749FFCFF">
            <w:pPr>
              <w:pStyle w:val="10"/>
            </w:pPr>
            <w:r>
              <w:t>合计</w:t>
            </w:r>
          </w:p>
        </w:tc>
        <w:tc>
          <w:tcPr>
            <w:tcW w:w="964" w:type="dxa"/>
            <w:vAlign w:val="center"/>
          </w:tcPr>
          <w:p w14:paraId="7DB557EB">
            <w:pPr>
              <w:pStyle w:val="10"/>
            </w:pPr>
            <w:r>
              <w:t>一般公共预算拨款</w:t>
            </w:r>
          </w:p>
        </w:tc>
        <w:tc>
          <w:tcPr>
            <w:tcW w:w="964" w:type="dxa"/>
            <w:vAlign w:val="center"/>
          </w:tcPr>
          <w:p w14:paraId="79425A5A">
            <w:pPr>
              <w:pStyle w:val="10"/>
            </w:pPr>
            <w:r>
              <w:t>基金预算拨款</w:t>
            </w:r>
          </w:p>
        </w:tc>
        <w:tc>
          <w:tcPr>
            <w:tcW w:w="964" w:type="dxa"/>
            <w:vAlign w:val="center"/>
          </w:tcPr>
          <w:p w14:paraId="1F79F2B1">
            <w:pPr>
              <w:pStyle w:val="10"/>
            </w:pPr>
            <w:r>
              <w:t>国有资本经营预算拨款</w:t>
            </w:r>
          </w:p>
        </w:tc>
        <w:tc>
          <w:tcPr>
            <w:tcW w:w="964" w:type="dxa"/>
            <w:vAlign w:val="center"/>
          </w:tcPr>
          <w:p w14:paraId="126B60B4">
            <w:pPr>
              <w:pStyle w:val="10"/>
            </w:pPr>
            <w:r>
              <w:t>财政专户核拨</w:t>
            </w:r>
          </w:p>
        </w:tc>
        <w:tc>
          <w:tcPr>
            <w:tcW w:w="964" w:type="dxa"/>
            <w:vAlign w:val="center"/>
          </w:tcPr>
          <w:p w14:paraId="2E006218">
            <w:pPr>
              <w:pStyle w:val="10"/>
            </w:pPr>
            <w:r>
              <w:t>单位    资金</w:t>
            </w:r>
          </w:p>
        </w:tc>
        <w:tc>
          <w:tcPr>
            <w:tcW w:w="964" w:type="dxa"/>
            <w:vAlign w:val="center"/>
          </w:tcPr>
          <w:p w14:paraId="6F050712">
            <w:pPr>
              <w:pStyle w:val="10"/>
            </w:pPr>
            <w:r>
              <w:t>财政拨款结转</w:t>
            </w:r>
          </w:p>
        </w:tc>
        <w:tc>
          <w:tcPr>
            <w:tcW w:w="964" w:type="dxa"/>
            <w:vAlign w:val="center"/>
          </w:tcPr>
          <w:p w14:paraId="319E65CB">
            <w:pPr>
              <w:pStyle w:val="10"/>
            </w:pPr>
            <w:r>
              <w:t>非财政拨款结余</w:t>
            </w:r>
          </w:p>
        </w:tc>
        <w:tc>
          <w:tcPr>
            <w:tcW w:w="964" w:type="dxa"/>
            <w:vMerge w:val="continue"/>
          </w:tcPr>
          <w:p w14:paraId="401C7993"/>
        </w:tc>
      </w:tr>
      <w:tr w14:paraId="37DE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B256E1">
            <w:pPr>
              <w:pStyle w:val="12"/>
            </w:pPr>
          </w:p>
        </w:tc>
        <w:tc>
          <w:tcPr>
            <w:tcW w:w="964" w:type="dxa"/>
            <w:vAlign w:val="center"/>
          </w:tcPr>
          <w:p w14:paraId="56BD884F">
            <w:pPr>
              <w:pStyle w:val="11"/>
            </w:pPr>
          </w:p>
        </w:tc>
        <w:tc>
          <w:tcPr>
            <w:tcW w:w="1134" w:type="dxa"/>
            <w:vAlign w:val="center"/>
          </w:tcPr>
          <w:p w14:paraId="4C7407B5">
            <w:pPr>
              <w:pStyle w:val="12"/>
            </w:pPr>
          </w:p>
        </w:tc>
        <w:tc>
          <w:tcPr>
            <w:tcW w:w="1134" w:type="dxa"/>
            <w:vAlign w:val="center"/>
          </w:tcPr>
          <w:p w14:paraId="3BEA3AC9">
            <w:pPr>
              <w:pStyle w:val="12"/>
            </w:pPr>
          </w:p>
        </w:tc>
        <w:tc>
          <w:tcPr>
            <w:tcW w:w="709" w:type="dxa"/>
            <w:vAlign w:val="center"/>
          </w:tcPr>
          <w:p w14:paraId="0DD6C7E1">
            <w:pPr>
              <w:pStyle w:val="13"/>
            </w:pPr>
          </w:p>
        </w:tc>
        <w:tc>
          <w:tcPr>
            <w:tcW w:w="850" w:type="dxa"/>
            <w:vAlign w:val="center"/>
          </w:tcPr>
          <w:p w14:paraId="5A6F8B54">
            <w:pPr>
              <w:pStyle w:val="11"/>
            </w:pPr>
          </w:p>
        </w:tc>
        <w:tc>
          <w:tcPr>
            <w:tcW w:w="850" w:type="dxa"/>
            <w:vAlign w:val="center"/>
          </w:tcPr>
          <w:p w14:paraId="49B638F0">
            <w:pPr>
              <w:pStyle w:val="11"/>
            </w:pPr>
          </w:p>
        </w:tc>
        <w:tc>
          <w:tcPr>
            <w:tcW w:w="964" w:type="dxa"/>
            <w:vAlign w:val="center"/>
          </w:tcPr>
          <w:p w14:paraId="73885502">
            <w:pPr>
              <w:pStyle w:val="11"/>
            </w:pPr>
          </w:p>
        </w:tc>
        <w:tc>
          <w:tcPr>
            <w:tcW w:w="964" w:type="dxa"/>
            <w:vAlign w:val="center"/>
          </w:tcPr>
          <w:p w14:paraId="468A2602">
            <w:pPr>
              <w:pStyle w:val="11"/>
            </w:pPr>
          </w:p>
        </w:tc>
        <w:tc>
          <w:tcPr>
            <w:tcW w:w="964" w:type="dxa"/>
            <w:vAlign w:val="center"/>
          </w:tcPr>
          <w:p w14:paraId="784D048D">
            <w:pPr>
              <w:pStyle w:val="11"/>
            </w:pPr>
          </w:p>
        </w:tc>
        <w:tc>
          <w:tcPr>
            <w:tcW w:w="964" w:type="dxa"/>
            <w:vAlign w:val="center"/>
          </w:tcPr>
          <w:p w14:paraId="70304586">
            <w:pPr>
              <w:pStyle w:val="11"/>
            </w:pPr>
          </w:p>
        </w:tc>
        <w:tc>
          <w:tcPr>
            <w:tcW w:w="964" w:type="dxa"/>
            <w:vAlign w:val="center"/>
          </w:tcPr>
          <w:p w14:paraId="0F33FBAD">
            <w:pPr>
              <w:pStyle w:val="11"/>
            </w:pPr>
          </w:p>
        </w:tc>
        <w:tc>
          <w:tcPr>
            <w:tcW w:w="964" w:type="dxa"/>
            <w:vAlign w:val="center"/>
          </w:tcPr>
          <w:p w14:paraId="15449AB5">
            <w:pPr>
              <w:pStyle w:val="11"/>
            </w:pPr>
          </w:p>
        </w:tc>
        <w:tc>
          <w:tcPr>
            <w:tcW w:w="964" w:type="dxa"/>
            <w:vAlign w:val="center"/>
          </w:tcPr>
          <w:p w14:paraId="3A9791E3">
            <w:pPr>
              <w:pStyle w:val="11"/>
            </w:pPr>
          </w:p>
        </w:tc>
        <w:tc>
          <w:tcPr>
            <w:tcW w:w="964" w:type="dxa"/>
            <w:vAlign w:val="center"/>
          </w:tcPr>
          <w:p w14:paraId="3B7B7C4E">
            <w:pPr>
              <w:pStyle w:val="11"/>
            </w:pPr>
          </w:p>
        </w:tc>
        <w:tc>
          <w:tcPr>
            <w:tcW w:w="964" w:type="dxa"/>
            <w:vAlign w:val="center"/>
          </w:tcPr>
          <w:p w14:paraId="091F248C">
            <w:pPr>
              <w:pStyle w:val="11"/>
            </w:pPr>
          </w:p>
        </w:tc>
      </w:tr>
    </w:tbl>
    <w:p w14:paraId="58EB438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B3EB4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F3B61DA">
      <w:pPr>
        <w:spacing w:before="0" w:after="0"/>
        <w:ind w:firstLine="640"/>
        <w:jc w:val="left"/>
        <w:outlineLvl w:val="9"/>
      </w:pPr>
      <w:r>
        <w:rPr>
          <w:rFonts w:ascii="Times New Roman" w:hAnsi="Times New Roman" w:eastAsia="方正仿宋_GBK" w:cs="Times New Roman"/>
          <w:color w:val="000000"/>
          <w:sz w:val="32"/>
        </w:rPr>
        <w:t xml:space="preserve"> </w:t>
      </w:r>
    </w:p>
    <w:p w14:paraId="3FD42B34">
      <w:pPr>
        <w:spacing w:before="10" w:after="10" w:line="240" w:lineRule="auto"/>
        <w:ind w:firstLine="640"/>
        <w:jc w:val="left"/>
        <w:outlineLvl w:val="5"/>
      </w:pPr>
      <w:r>
        <w:rPr>
          <w:rFonts w:ascii="黑体" w:hAnsi="黑体" w:eastAsia="黑体" w:cs="黑体"/>
          <w:color w:val="000000"/>
          <w:sz w:val="32"/>
        </w:rPr>
        <w:t>七、国有资产信息</w:t>
      </w:r>
    </w:p>
    <w:p w14:paraId="0C9D0E37">
      <w:pPr>
        <w:spacing w:before="0" w:after="0" w:line="500" w:lineRule="exact"/>
        <w:ind w:firstLine="560"/>
        <w:jc w:val="left"/>
        <w:outlineLvl w:val="9"/>
      </w:pPr>
      <w:r>
        <w:rPr>
          <w:rFonts w:ascii="Times New Roman" w:hAnsi="Times New Roman" w:eastAsia="方正仿宋_GBK" w:cs="Times New Roman"/>
          <w:b w:val="0"/>
          <w:color w:val="000000"/>
          <w:sz w:val="28"/>
        </w:rPr>
        <w:t>隆尧县特殊教育学校上年末固定资产金额为532.09万元（详见下表）。本年度拟购置固定资产总额为74.96万元，已按要求列入政府采购预算，详见政府采购预算表。</w:t>
      </w:r>
    </w:p>
    <w:p w14:paraId="248E2C3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87F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9F8B63">
            <w:pPr>
              <w:pStyle w:val="9"/>
            </w:pPr>
            <w:r>
              <w:t>360012隆尧县特殊教育学校</w:t>
            </w:r>
          </w:p>
        </w:tc>
        <w:tc>
          <w:tcPr>
            <w:tcW w:w="5670" w:type="dxa"/>
            <w:gridSpan w:val="2"/>
            <w:tcBorders>
              <w:top w:val="single" w:color="FFFFFF" w:sz="6" w:space="0"/>
              <w:left w:val="single" w:color="FFFFFF" w:sz="6" w:space="0"/>
              <w:right w:val="single" w:color="FFFFFF" w:sz="6" w:space="0"/>
            </w:tcBorders>
            <w:vAlign w:val="center"/>
          </w:tcPr>
          <w:p w14:paraId="62414D8E">
            <w:pPr>
              <w:pStyle w:val="7"/>
            </w:pPr>
            <w:r>
              <w:t>截止时间：2025-12-31</w:t>
            </w:r>
          </w:p>
        </w:tc>
      </w:tr>
      <w:tr w14:paraId="557D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1B963A">
            <w:pPr>
              <w:pStyle w:val="10"/>
            </w:pPr>
            <w:r>
              <w:t>项   目</w:t>
            </w:r>
          </w:p>
        </w:tc>
        <w:tc>
          <w:tcPr>
            <w:tcW w:w="2835" w:type="dxa"/>
            <w:vAlign w:val="center"/>
          </w:tcPr>
          <w:p w14:paraId="6DBA3CEB">
            <w:pPr>
              <w:pStyle w:val="10"/>
            </w:pPr>
            <w:r>
              <w:t>数量</w:t>
            </w:r>
          </w:p>
        </w:tc>
        <w:tc>
          <w:tcPr>
            <w:tcW w:w="2835" w:type="dxa"/>
            <w:vAlign w:val="center"/>
          </w:tcPr>
          <w:p w14:paraId="4AD11FE6">
            <w:pPr>
              <w:pStyle w:val="10"/>
            </w:pPr>
            <w:r>
              <w:t>价值（金额单位：万元）</w:t>
            </w:r>
          </w:p>
        </w:tc>
      </w:tr>
      <w:tr w14:paraId="0471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22E6F">
            <w:pPr>
              <w:pStyle w:val="12"/>
            </w:pPr>
            <w:r>
              <w:t>资产总额</w:t>
            </w:r>
          </w:p>
        </w:tc>
        <w:tc>
          <w:tcPr>
            <w:tcW w:w="2835" w:type="dxa"/>
            <w:vAlign w:val="center"/>
          </w:tcPr>
          <w:p w14:paraId="35E9E634">
            <w:pPr>
              <w:pStyle w:val="13"/>
            </w:pPr>
          </w:p>
        </w:tc>
        <w:tc>
          <w:tcPr>
            <w:tcW w:w="2835" w:type="dxa"/>
            <w:vAlign w:val="center"/>
          </w:tcPr>
          <w:p w14:paraId="772C9E15">
            <w:pPr>
              <w:pStyle w:val="11"/>
            </w:pPr>
            <w:r>
              <w:t>532.09</w:t>
            </w:r>
          </w:p>
        </w:tc>
      </w:tr>
      <w:tr w14:paraId="380F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2554BC">
            <w:pPr>
              <w:pStyle w:val="12"/>
            </w:pPr>
            <w:r>
              <w:t>1、房屋（平方米）</w:t>
            </w:r>
          </w:p>
        </w:tc>
        <w:tc>
          <w:tcPr>
            <w:tcW w:w="2835" w:type="dxa"/>
            <w:vAlign w:val="center"/>
          </w:tcPr>
          <w:p w14:paraId="08192D08">
            <w:pPr>
              <w:pStyle w:val="13"/>
            </w:pPr>
            <w:r>
              <w:t>2049</w:t>
            </w:r>
          </w:p>
        </w:tc>
        <w:tc>
          <w:tcPr>
            <w:tcW w:w="2835" w:type="dxa"/>
            <w:vAlign w:val="center"/>
          </w:tcPr>
          <w:p w14:paraId="502AB237">
            <w:pPr>
              <w:pStyle w:val="11"/>
            </w:pPr>
            <w:r>
              <w:t>186.96</w:t>
            </w:r>
          </w:p>
        </w:tc>
      </w:tr>
      <w:tr w14:paraId="3C9E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B4FF48">
            <w:pPr>
              <w:pStyle w:val="12"/>
            </w:pPr>
            <w:r>
              <w:t>　　其中：办公用房（平方米）</w:t>
            </w:r>
          </w:p>
        </w:tc>
        <w:tc>
          <w:tcPr>
            <w:tcW w:w="2835" w:type="dxa"/>
            <w:vAlign w:val="center"/>
          </w:tcPr>
          <w:p w14:paraId="7E07BFF6">
            <w:pPr>
              <w:pStyle w:val="13"/>
            </w:pPr>
            <w:r>
              <w:t>100</w:t>
            </w:r>
          </w:p>
        </w:tc>
        <w:tc>
          <w:tcPr>
            <w:tcW w:w="2835" w:type="dxa"/>
            <w:vAlign w:val="center"/>
          </w:tcPr>
          <w:p w14:paraId="4CCF6E75">
            <w:pPr>
              <w:pStyle w:val="11"/>
            </w:pPr>
            <w:r>
              <w:t>9.12</w:t>
            </w:r>
          </w:p>
        </w:tc>
      </w:tr>
      <w:tr w14:paraId="4A08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912CA2">
            <w:pPr>
              <w:pStyle w:val="12"/>
            </w:pPr>
            <w:r>
              <w:t>2、车辆（台、辆）</w:t>
            </w:r>
          </w:p>
        </w:tc>
        <w:tc>
          <w:tcPr>
            <w:tcW w:w="2835" w:type="dxa"/>
            <w:vAlign w:val="center"/>
          </w:tcPr>
          <w:p w14:paraId="2E4EC16D">
            <w:pPr>
              <w:pStyle w:val="13"/>
            </w:pPr>
          </w:p>
        </w:tc>
        <w:tc>
          <w:tcPr>
            <w:tcW w:w="2835" w:type="dxa"/>
            <w:vAlign w:val="center"/>
          </w:tcPr>
          <w:p w14:paraId="02539797">
            <w:pPr>
              <w:pStyle w:val="11"/>
            </w:pPr>
          </w:p>
        </w:tc>
      </w:tr>
      <w:tr w14:paraId="4529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E0E066">
            <w:pPr>
              <w:pStyle w:val="12"/>
            </w:pPr>
            <w:r>
              <w:t>3、单价在20万元以上的设备</w:t>
            </w:r>
          </w:p>
        </w:tc>
        <w:tc>
          <w:tcPr>
            <w:tcW w:w="2835" w:type="dxa"/>
            <w:vAlign w:val="center"/>
          </w:tcPr>
          <w:p w14:paraId="6D094807">
            <w:pPr>
              <w:pStyle w:val="13"/>
            </w:pPr>
            <w:r>
              <w:t>3</w:t>
            </w:r>
          </w:p>
        </w:tc>
        <w:tc>
          <w:tcPr>
            <w:tcW w:w="2835" w:type="dxa"/>
            <w:vAlign w:val="center"/>
          </w:tcPr>
          <w:p w14:paraId="5A445A9D">
            <w:pPr>
              <w:pStyle w:val="11"/>
            </w:pPr>
            <w:r>
              <w:t>144.36</w:t>
            </w:r>
          </w:p>
        </w:tc>
      </w:tr>
      <w:tr w14:paraId="32AC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1D66EC">
            <w:pPr>
              <w:pStyle w:val="12"/>
            </w:pPr>
            <w:r>
              <w:t>4、其他固定资产</w:t>
            </w:r>
          </w:p>
        </w:tc>
        <w:tc>
          <w:tcPr>
            <w:tcW w:w="2835" w:type="dxa"/>
            <w:vAlign w:val="center"/>
          </w:tcPr>
          <w:p w14:paraId="7573730F">
            <w:pPr>
              <w:pStyle w:val="13"/>
            </w:pPr>
            <w:r>
              <w:t>341</w:t>
            </w:r>
          </w:p>
        </w:tc>
        <w:tc>
          <w:tcPr>
            <w:tcW w:w="2835" w:type="dxa"/>
            <w:vAlign w:val="center"/>
          </w:tcPr>
          <w:p w14:paraId="5B8BE52D">
            <w:pPr>
              <w:pStyle w:val="11"/>
            </w:pPr>
            <w:r>
              <w:t>200.77</w:t>
            </w:r>
          </w:p>
        </w:tc>
      </w:tr>
    </w:tbl>
    <w:p w14:paraId="5085DC6B">
      <w:pPr>
        <w:spacing w:before="0" w:after="0"/>
        <w:ind w:firstLine="640"/>
        <w:jc w:val="left"/>
        <w:outlineLvl w:val="9"/>
      </w:pPr>
      <w:r>
        <w:rPr>
          <w:rFonts w:ascii="Times New Roman" w:hAnsi="Times New Roman" w:eastAsia="方正仿宋_GBK" w:cs="Times New Roman"/>
          <w:color w:val="000000"/>
          <w:sz w:val="32"/>
        </w:rPr>
        <w:t xml:space="preserve"> </w:t>
      </w:r>
    </w:p>
    <w:p w14:paraId="40CB0338">
      <w:pPr>
        <w:spacing w:before="10" w:after="10" w:line="240" w:lineRule="auto"/>
        <w:ind w:firstLine="640"/>
        <w:jc w:val="left"/>
        <w:outlineLvl w:val="5"/>
      </w:pPr>
      <w:r>
        <w:rPr>
          <w:rFonts w:ascii="黑体" w:hAnsi="黑体" w:eastAsia="黑体" w:cs="黑体"/>
          <w:color w:val="000000"/>
          <w:sz w:val="32"/>
        </w:rPr>
        <w:t>八、名词解释</w:t>
      </w:r>
    </w:p>
    <w:p w14:paraId="7832D0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2E35F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2779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EB5F6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1777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D1FB6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42CC0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1A3F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02AE9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CD21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7C1C1A">
      <w:pPr>
        <w:spacing w:before="10" w:after="10" w:line="240" w:lineRule="auto"/>
        <w:ind w:firstLine="640"/>
        <w:jc w:val="left"/>
        <w:outlineLvl w:val="5"/>
      </w:pPr>
      <w:r>
        <w:rPr>
          <w:rFonts w:ascii="黑体" w:hAnsi="黑体" w:eastAsia="黑体" w:cs="黑体"/>
          <w:color w:val="000000"/>
          <w:sz w:val="32"/>
        </w:rPr>
        <w:t>九、其他需要说明的事项</w:t>
      </w:r>
    </w:p>
    <w:p w14:paraId="68A50F6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355794E">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十二、隆尧县实验小学收支预算</w:t>
      </w:r>
      <w:bookmarkEnd w:id="11"/>
    </w:p>
    <w:p w14:paraId="5FDB42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31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416E44">
            <w:pPr>
              <w:pStyle w:val="9"/>
            </w:pPr>
            <w:r>
              <w:t>360013隆尧县实验小学</w:t>
            </w:r>
          </w:p>
        </w:tc>
        <w:tc>
          <w:tcPr>
            <w:tcW w:w="2126" w:type="dxa"/>
            <w:tcBorders>
              <w:top w:val="single" w:color="FFFFFF" w:sz="6" w:space="0"/>
              <w:left w:val="single" w:color="FFFFFF" w:sz="6" w:space="0"/>
              <w:right w:val="single" w:color="FFFFFF" w:sz="6" w:space="0"/>
            </w:tcBorders>
            <w:vAlign w:val="center"/>
          </w:tcPr>
          <w:p w14:paraId="05B7A59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AB1517">
            <w:pPr>
              <w:pStyle w:val="7"/>
            </w:pPr>
            <w:r>
              <w:t>单位：万元</w:t>
            </w:r>
          </w:p>
        </w:tc>
      </w:tr>
      <w:tr w14:paraId="7A67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E4FBAF">
            <w:pPr>
              <w:pStyle w:val="10"/>
            </w:pPr>
            <w:r>
              <w:t>序号</w:t>
            </w:r>
          </w:p>
        </w:tc>
        <w:tc>
          <w:tcPr>
            <w:tcW w:w="6661" w:type="dxa"/>
            <w:gridSpan w:val="2"/>
            <w:vAlign w:val="center"/>
          </w:tcPr>
          <w:p w14:paraId="00044747">
            <w:pPr>
              <w:pStyle w:val="10"/>
            </w:pPr>
            <w:r>
              <w:t>收入</w:t>
            </w:r>
          </w:p>
        </w:tc>
        <w:tc>
          <w:tcPr>
            <w:tcW w:w="6661" w:type="dxa"/>
            <w:gridSpan w:val="2"/>
            <w:vAlign w:val="center"/>
          </w:tcPr>
          <w:p w14:paraId="0CB50D13">
            <w:pPr>
              <w:pStyle w:val="10"/>
            </w:pPr>
            <w:r>
              <w:t>支出</w:t>
            </w:r>
          </w:p>
        </w:tc>
      </w:tr>
      <w:tr w14:paraId="6411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DF0987"/>
        </w:tc>
        <w:tc>
          <w:tcPr>
            <w:tcW w:w="4535" w:type="dxa"/>
            <w:vAlign w:val="center"/>
          </w:tcPr>
          <w:p w14:paraId="721E122A">
            <w:pPr>
              <w:pStyle w:val="10"/>
            </w:pPr>
            <w:r>
              <w:t>项  目</w:t>
            </w:r>
          </w:p>
        </w:tc>
        <w:tc>
          <w:tcPr>
            <w:tcW w:w="2126" w:type="dxa"/>
            <w:vAlign w:val="center"/>
          </w:tcPr>
          <w:p w14:paraId="225D981D">
            <w:pPr>
              <w:pStyle w:val="10"/>
            </w:pPr>
            <w:r>
              <w:t>预算数</w:t>
            </w:r>
          </w:p>
        </w:tc>
        <w:tc>
          <w:tcPr>
            <w:tcW w:w="4535" w:type="dxa"/>
            <w:vAlign w:val="center"/>
          </w:tcPr>
          <w:p w14:paraId="18C1B81F">
            <w:pPr>
              <w:pStyle w:val="10"/>
            </w:pPr>
            <w:r>
              <w:t>项  目</w:t>
            </w:r>
          </w:p>
        </w:tc>
        <w:tc>
          <w:tcPr>
            <w:tcW w:w="2126" w:type="dxa"/>
            <w:vAlign w:val="center"/>
          </w:tcPr>
          <w:p w14:paraId="3260A892">
            <w:pPr>
              <w:pStyle w:val="10"/>
            </w:pPr>
            <w:r>
              <w:t>预算数</w:t>
            </w:r>
          </w:p>
        </w:tc>
      </w:tr>
      <w:tr w14:paraId="19EB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13EA24">
            <w:pPr>
              <w:pStyle w:val="10"/>
            </w:pPr>
            <w:r>
              <w:t>栏次</w:t>
            </w:r>
          </w:p>
        </w:tc>
        <w:tc>
          <w:tcPr>
            <w:tcW w:w="4535" w:type="dxa"/>
            <w:vAlign w:val="center"/>
          </w:tcPr>
          <w:p w14:paraId="79F6FE4D">
            <w:pPr>
              <w:pStyle w:val="10"/>
            </w:pPr>
            <w:r>
              <w:t>1</w:t>
            </w:r>
          </w:p>
        </w:tc>
        <w:tc>
          <w:tcPr>
            <w:tcW w:w="2126" w:type="dxa"/>
            <w:vAlign w:val="center"/>
          </w:tcPr>
          <w:p w14:paraId="49DC7B7B">
            <w:pPr>
              <w:pStyle w:val="10"/>
            </w:pPr>
            <w:r>
              <w:t>2</w:t>
            </w:r>
          </w:p>
        </w:tc>
        <w:tc>
          <w:tcPr>
            <w:tcW w:w="4535" w:type="dxa"/>
            <w:vAlign w:val="center"/>
          </w:tcPr>
          <w:p w14:paraId="608C51A2">
            <w:pPr>
              <w:pStyle w:val="10"/>
            </w:pPr>
            <w:r>
              <w:t>3</w:t>
            </w:r>
          </w:p>
        </w:tc>
        <w:tc>
          <w:tcPr>
            <w:tcW w:w="2126" w:type="dxa"/>
            <w:vAlign w:val="center"/>
          </w:tcPr>
          <w:p w14:paraId="16D4D967">
            <w:pPr>
              <w:pStyle w:val="10"/>
            </w:pPr>
            <w:r>
              <w:t>4</w:t>
            </w:r>
          </w:p>
        </w:tc>
      </w:tr>
      <w:tr w14:paraId="42F4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4B62C">
            <w:pPr>
              <w:pStyle w:val="13"/>
            </w:pPr>
            <w:r>
              <w:t>1</w:t>
            </w:r>
          </w:p>
        </w:tc>
        <w:tc>
          <w:tcPr>
            <w:tcW w:w="4535" w:type="dxa"/>
            <w:vAlign w:val="center"/>
          </w:tcPr>
          <w:p w14:paraId="7055D442">
            <w:pPr>
              <w:pStyle w:val="12"/>
            </w:pPr>
            <w:r>
              <w:t>一、一般公共预算拨款收入</w:t>
            </w:r>
          </w:p>
        </w:tc>
        <w:tc>
          <w:tcPr>
            <w:tcW w:w="2126" w:type="dxa"/>
            <w:vAlign w:val="center"/>
          </w:tcPr>
          <w:p w14:paraId="3B1ACE80">
            <w:pPr>
              <w:pStyle w:val="11"/>
            </w:pPr>
            <w:r>
              <w:t>2072.60</w:t>
            </w:r>
          </w:p>
        </w:tc>
        <w:tc>
          <w:tcPr>
            <w:tcW w:w="4535" w:type="dxa"/>
            <w:vAlign w:val="center"/>
          </w:tcPr>
          <w:p w14:paraId="5B0EE446">
            <w:pPr>
              <w:pStyle w:val="12"/>
            </w:pPr>
            <w:r>
              <w:t>一、一般公共服务支出</w:t>
            </w:r>
          </w:p>
        </w:tc>
        <w:tc>
          <w:tcPr>
            <w:tcW w:w="2126" w:type="dxa"/>
            <w:vAlign w:val="center"/>
          </w:tcPr>
          <w:p w14:paraId="5B918A5C">
            <w:pPr>
              <w:pStyle w:val="11"/>
            </w:pPr>
          </w:p>
        </w:tc>
      </w:tr>
      <w:tr w14:paraId="1BB1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11C60">
            <w:pPr>
              <w:pStyle w:val="13"/>
            </w:pPr>
            <w:r>
              <w:t>2</w:t>
            </w:r>
          </w:p>
        </w:tc>
        <w:tc>
          <w:tcPr>
            <w:tcW w:w="4535" w:type="dxa"/>
            <w:vAlign w:val="center"/>
          </w:tcPr>
          <w:p w14:paraId="2A6EE53F">
            <w:pPr>
              <w:pStyle w:val="12"/>
            </w:pPr>
            <w:r>
              <w:t>二、政府性基金预算拨款收入</w:t>
            </w:r>
          </w:p>
        </w:tc>
        <w:tc>
          <w:tcPr>
            <w:tcW w:w="2126" w:type="dxa"/>
            <w:vAlign w:val="center"/>
          </w:tcPr>
          <w:p w14:paraId="60166FD9">
            <w:pPr>
              <w:pStyle w:val="11"/>
            </w:pPr>
          </w:p>
        </w:tc>
        <w:tc>
          <w:tcPr>
            <w:tcW w:w="4535" w:type="dxa"/>
            <w:vAlign w:val="center"/>
          </w:tcPr>
          <w:p w14:paraId="18528FDD">
            <w:pPr>
              <w:pStyle w:val="12"/>
            </w:pPr>
            <w:r>
              <w:t>二、外交支出</w:t>
            </w:r>
          </w:p>
        </w:tc>
        <w:tc>
          <w:tcPr>
            <w:tcW w:w="2126" w:type="dxa"/>
            <w:vAlign w:val="center"/>
          </w:tcPr>
          <w:p w14:paraId="74A765AF">
            <w:pPr>
              <w:pStyle w:val="11"/>
            </w:pPr>
          </w:p>
        </w:tc>
      </w:tr>
      <w:tr w14:paraId="5664AC80">
        <w:tblPrEx>
          <w:tblCellMar>
            <w:top w:w="0" w:type="dxa"/>
            <w:left w:w="108" w:type="dxa"/>
            <w:bottom w:w="0" w:type="dxa"/>
            <w:right w:w="108" w:type="dxa"/>
          </w:tblCellMar>
        </w:tblPrEx>
        <w:trPr>
          <w:trHeight w:val="369" w:hRule="atLeast"/>
          <w:jc w:val="center"/>
        </w:trPr>
        <w:tc>
          <w:tcPr>
            <w:tcW w:w="850" w:type="dxa"/>
            <w:vAlign w:val="center"/>
          </w:tcPr>
          <w:p w14:paraId="78C7E13C">
            <w:pPr>
              <w:pStyle w:val="13"/>
            </w:pPr>
            <w:r>
              <w:t>3</w:t>
            </w:r>
          </w:p>
        </w:tc>
        <w:tc>
          <w:tcPr>
            <w:tcW w:w="4535" w:type="dxa"/>
            <w:vAlign w:val="center"/>
          </w:tcPr>
          <w:p w14:paraId="168B55FC">
            <w:pPr>
              <w:pStyle w:val="12"/>
            </w:pPr>
            <w:r>
              <w:t>三、国有资本经营预算拨款收入</w:t>
            </w:r>
          </w:p>
        </w:tc>
        <w:tc>
          <w:tcPr>
            <w:tcW w:w="2126" w:type="dxa"/>
            <w:vAlign w:val="center"/>
          </w:tcPr>
          <w:p w14:paraId="7C98AB9E">
            <w:pPr>
              <w:pStyle w:val="11"/>
            </w:pPr>
          </w:p>
        </w:tc>
        <w:tc>
          <w:tcPr>
            <w:tcW w:w="4535" w:type="dxa"/>
            <w:vAlign w:val="center"/>
          </w:tcPr>
          <w:p w14:paraId="349FBF72">
            <w:pPr>
              <w:pStyle w:val="12"/>
            </w:pPr>
            <w:r>
              <w:t>三、国防支出</w:t>
            </w:r>
          </w:p>
        </w:tc>
        <w:tc>
          <w:tcPr>
            <w:tcW w:w="2126" w:type="dxa"/>
            <w:vAlign w:val="center"/>
          </w:tcPr>
          <w:p w14:paraId="45C3B870">
            <w:pPr>
              <w:pStyle w:val="11"/>
            </w:pPr>
          </w:p>
        </w:tc>
      </w:tr>
      <w:tr w14:paraId="30CD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D0A6B">
            <w:pPr>
              <w:pStyle w:val="13"/>
            </w:pPr>
            <w:r>
              <w:t>4</w:t>
            </w:r>
          </w:p>
        </w:tc>
        <w:tc>
          <w:tcPr>
            <w:tcW w:w="4535" w:type="dxa"/>
            <w:vAlign w:val="center"/>
          </w:tcPr>
          <w:p w14:paraId="36AD7030">
            <w:pPr>
              <w:pStyle w:val="12"/>
            </w:pPr>
            <w:r>
              <w:t>四、财政专户管理资金收入</w:t>
            </w:r>
          </w:p>
        </w:tc>
        <w:tc>
          <w:tcPr>
            <w:tcW w:w="2126" w:type="dxa"/>
            <w:vAlign w:val="center"/>
          </w:tcPr>
          <w:p w14:paraId="686BB6D1">
            <w:pPr>
              <w:pStyle w:val="11"/>
            </w:pPr>
          </w:p>
        </w:tc>
        <w:tc>
          <w:tcPr>
            <w:tcW w:w="4535" w:type="dxa"/>
            <w:vAlign w:val="center"/>
          </w:tcPr>
          <w:p w14:paraId="6A1F78AF">
            <w:pPr>
              <w:pStyle w:val="12"/>
            </w:pPr>
            <w:r>
              <w:t>四、公共安全支出</w:t>
            </w:r>
          </w:p>
        </w:tc>
        <w:tc>
          <w:tcPr>
            <w:tcW w:w="2126" w:type="dxa"/>
            <w:vAlign w:val="center"/>
          </w:tcPr>
          <w:p w14:paraId="0197EE55">
            <w:pPr>
              <w:pStyle w:val="11"/>
            </w:pPr>
          </w:p>
        </w:tc>
      </w:tr>
      <w:tr w14:paraId="4C9A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3D3D6">
            <w:pPr>
              <w:pStyle w:val="13"/>
            </w:pPr>
            <w:r>
              <w:t>5</w:t>
            </w:r>
          </w:p>
        </w:tc>
        <w:tc>
          <w:tcPr>
            <w:tcW w:w="4535" w:type="dxa"/>
            <w:vAlign w:val="center"/>
          </w:tcPr>
          <w:p w14:paraId="14594BB5">
            <w:pPr>
              <w:pStyle w:val="12"/>
            </w:pPr>
            <w:r>
              <w:t>五、单位资金</w:t>
            </w:r>
          </w:p>
        </w:tc>
        <w:tc>
          <w:tcPr>
            <w:tcW w:w="2126" w:type="dxa"/>
            <w:vAlign w:val="center"/>
          </w:tcPr>
          <w:p w14:paraId="2402436A">
            <w:pPr>
              <w:pStyle w:val="11"/>
            </w:pPr>
          </w:p>
        </w:tc>
        <w:tc>
          <w:tcPr>
            <w:tcW w:w="4535" w:type="dxa"/>
            <w:vAlign w:val="center"/>
          </w:tcPr>
          <w:p w14:paraId="2A29D1B6">
            <w:pPr>
              <w:pStyle w:val="12"/>
            </w:pPr>
            <w:r>
              <w:t>五、教育支出</w:t>
            </w:r>
          </w:p>
        </w:tc>
        <w:tc>
          <w:tcPr>
            <w:tcW w:w="2126" w:type="dxa"/>
            <w:vAlign w:val="center"/>
          </w:tcPr>
          <w:p w14:paraId="4C4B5C06">
            <w:pPr>
              <w:pStyle w:val="11"/>
            </w:pPr>
            <w:r>
              <w:t>2072.60</w:t>
            </w:r>
          </w:p>
        </w:tc>
      </w:tr>
      <w:tr w14:paraId="3C0B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73CB">
            <w:pPr>
              <w:pStyle w:val="13"/>
            </w:pPr>
            <w:r>
              <w:t>6</w:t>
            </w:r>
          </w:p>
        </w:tc>
        <w:tc>
          <w:tcPr>
            <w:tcW w:w="4535" w:type="dxa"/>
            <w:vAlign w:val="center"/>
          </w:tcPr>
          <w:p w14:paraId="1FF6CC75">
            <w:pPr>
              <w:pStyle w:val="12"/>
            </w:pPr>
          </w:p>
        </w:tc>
        <w:tc>
          <w:tcPr>
            <w:tcW w:w="2126" w:type="dxa"/>
            <w:vAlign w:val="center"/>
          </w:tcPr>
          <w:p w14:paraId="160BA48D">
            <w:pPr>
              <w:pStyle w:val="11"/>
            </w:pPr>
          </w:p>
        </w:tc>
        <w:tc>
          <w:tcPr>
            <w:tcW w:w="4535" w:type="dxa"/>
            <w:vAlign w:val="center"/>
          </w:tcPr>
          <w:p w14:paraId="7079D98C">
            <w:pPr>
              <w:pStyle w:val="12"/>
            </w:pPr>
            <w:r>
              <w:t>六、科学技术支出</w:t>
            </w:r>
          </w:p>
        </w:tc>
        <w:tc>
          <w:tcPr>
            <w:tcW w:w="2126" w:type="dxa"/>
            <w:vAlign w:val="center"/>
          </w:tcPr>
          <w:p w14:paraId="037E35E8">
            <w:pPr>
              <w:pStyle w:val="11"/>
            </w:pPr>
          </w:p>
        </w:tc>
      </w:tr>
      <w:tr w14:paraId="48A514E3">
        <w:tblPrEx>
          <w:tblCellMar>
            <w:top w:w="0" w:type="dxa"/>
            <w:left w:w="108" w:type="dxa"/>
            <w:bottom w:w="0" w:type="dxa"/>
            <w:right w:w="108" w:type="dxa"/>
          </w:tblCellMar>
        </w:tblPrEx>
        <w:trPr>
          <w:trHeight w:val="369" w:hRule="atLeast"/>
          <w:jc w:val="center"/>
        </w:trPr>
        <w:tc>
          <w:tcPr>
            <w:tcW w:w="850" w:type="dxa"/>
            <w:vAlign w:val="center"/>
          </w:tcPr>
          <w:p w14:paraId="22D7FD6F">
            <w:pPr>
              <w:pStyle w:val="13"/>
            </w:pPr>
            <w:r>
              <w:t>7</w:t>
            </w:r>
          </w:p>
        </w:tc>
        <w:tc>
          <w:tcPr>
            <w:tcW w:w="4535" w:type="dxa"/>
            <w:vAlign w:val="center"/>
          </w:tcPr>
          <w:p w14:paraId="79F84C45">
            <w:pPr>
              <w:pStyle w:val="12"/>
            </w:pPr>
          </w:p>
        </w:tc>
        <w:tc>
          <w:tcPr>
            <w:tcW w:w="2126" w:type="dxa"/>
            <w:vAlign w:val="center"/>
          </w:tcPr>
          <w:p w14:paraId="35786536">
            <w:pPr>
              <w:pStyle w:val="11"/>
            </w:pPr>
          </w:p>
        </w:tc>
        <w:tc>
          <w:tcPr>
            <w:tcW w:w="4535" w:type="dxa"/>
            <w:vAlign w:val="center"/>
          </w:tcPr>
          <w:p w14:paraId="3FE218D3">
            <w:pPr>
              <w:pStyle w:val="12"/>
            </w:pPr>
            <w:r>
              <w:t>七、文化旅游体育与传媒支出</w:t>
            </w:r>
          </w:p>
        </w:tc>
        <w:tc>
          <w:tcPr>
            <w:tcW w:w="2126" w:type="dxa"/>
            <w:vAlign w:val="center"/>
          </w:tcPr>
          <w:p w14:paraId="1F6C6560">
            <w:pPr>
              <w:pStyle w:val="11"/>
            </w:pPr>
          </w:p>
        </w:tc>
      </w:tr>
      <w:tr w14:paraId="1263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C3B38">
            <w:pPr>
              <w:pStyle w:val="13"/>
            </w:pPr>
            <w:r>
              <w:t>8</w:t>
            </w:r>
          </w:p>
        </w:tc>
        <w:tc>
          <w:tcPr>
            <w:tcW w:w="4535" w:type="dxa"/>
            <w:vAlign w:val="center"/>
          </w:tcPr>
          <w:p w14:paraId="1F386FB7">
            <w:pPr>
              <w:pStyle w:val="12"/>
            </w:pPr>
          </w:p>
        </w:tc>
        <w:tc>
          <w:tcPr>
            <w:tcW w:w="2126" w:type="dxa"/>
            <w:vAlign w:val="center"/>
          </w:tcPr>
          <w:p w14:paraId="06603840">
            <w:pPr>
              <w:pStyle w:val="11"/>
            </w:pPr>
          </w:p>
        </w:tc>
        <w:tc>
          <w:tcPr>
            <w:tcW w:w="4535" w:type="dxa"/>
            <w:vAlign w:val="center"/>
          </w:tcPr>
          <w:p w14:paraId="44858E4A">
            <w:pPr>
              <w:pStyle w:val="12"/>
            </w:pPr>
            <w:r>
              <w:t>八、社会保障和就业支出</w:t>
            </w:r>
          </w:p>
        </w:tc>
        <w:tc>
          <w:tcPr>
            <w:tcW w:w="2126" w:type="dxa"/>
            <w:vAlign w:val="center"/>
          </w:tcPr>
          <w:p w14:paraId="314A8F43">
            <w:pPr>
              <w:pStyle w:val="11"/>
            </w:pPr>
          </w:p>
        </w:tc>
      </w:tr>
      <w:tr w14:paraId="7E22FA3E">
        <w:tblPrEx>
          <w:tblCellMar>
            <w:top w:w="0" w:type="dxa"/>
            <w:left w:w="108" w:type="dxa"/>
            <w:bottom w:w="0" w:type="dxa"/>
            <w:right w:w="108" w:type="dxa"/>
          </w:tblCellMar>
        </w:tblPrEx>
        <w:trPr>
          <w:trHeight w:val="369" w:hRule="atLeast"/>
          <w:jc w:val="center"/>
        </w:trPr>
        <w:tc>
          <w:tcPr>
            <w:tcW w:w="850" w:type="dxa"/>
            <w:vAlign w:val="center"/>
          </w:tcPr>
          <w:p w14:paraId="6774E3ED">
            <w:pPr>
              <w:pStyle w:val="13"/>
            </w:pPr>
            <w:r>
              <w:t>9</w:t>
            </w:r>
          </w:p>
        </w:tc>
        <w:tc>
          <w:tcPr>
            <w:tcW w:w="4535" w:type="dxa"/>
            <w:vAlign w:val="center"/>
          </w:tcPr>
          <w:p w14:paraId="3922AA9A">
            <w:pPr>
              <w:pStyle w:val="12"/>
            </w:pPr>
          </w:p>
        </w:tc>
        <w:tc>
          <w:tcPr>
            <w:tcW w:w="2126" w:type="dxa"/>
            <w:vAlign w:val="center"/>
          </w:tcPr>
          <w:p w14:paraId="6A318596">
            <w:pPr>
              <w:pStyle w:val="11"/>
            </w:pPr>
          </w:p>
        </w:tc>
        <w:tc>
          <w:tcPr>
            <w:tcW w:w="4535" w:type="dxa"/>
            <w:vAlign w:val="center"/>
          </w:tcPr>
          <w:p w14:paraId="61A672FF">
            <w:pPr>
              <w:pStyle w:val="12"/>
            </w:pPr>
            <w:r>
              <w:t>九、社会保险基金支出</w:t>
            </w:r>
          </w:p>
        </w:tc>
        <w:tc>
          <w:tcPr>
            <w:tcW w:w="2126" w:type="dxa"/>
            <w:vAlign w:val="center"/>
          </w:tcPr>
          <w:p w14:paraId="680A95C4">
            <w:pPr>
              <w:pStyle w:val="11"/>
            </w:pPr>
          </w:p>
        </w:tc>
      </w:tr>
      <w:tr w14:paraId="74B4332D">
        <w:tblPrEx>
          <w:tblCellMar>
            <w:top w:w="0" w:type="dxa"/>
            <w:left w:w="108" w:type="dxa"/>
            <w:bottom w:w="0" w:type="dxa"/>
            <w:right w:w="108" w:type="dxa"/>
          </w:tblCellMar>
        </w:tblPrEx>
        <w:trPr>
          <w:trHeight w:val="369" w:hRule="atLeast"/>
          <w:jc w:val="center"/>
        </w:trPr>
        <w:tc>
          <w:tcPr>
            <w:tcW w:w="850" w:type="dxa"/>
            <w:vAlign w:val="center"/>
          </w:tcPr>
          <w:p w14:paraId="206C588F">
            <w:pPr>
              <w:pStyle w:val="13"/>
            </w:pPr>
            <w:r>
              <w:t>10</w:t>
            </w:r>
          </w:p>
        </w:tc>
        <w:tc>
          <w:tcPr>
            <w:tcW w:w="4535" w:type="dxa"/>
            <w:vAlign w:val="center"/>
          </w:tcPr>
          <w:p w14:paraId="0C314BAD">
            <w:pPr>
              <w:pStyle w:val="12"/>
            </w:pPr>
          </w:p>
        </w:tc>
        <w:tc>
          <w:tcPr>
            <w:tcW w:w="2126" w:type="dxa"/>
            <w:vAlign w:val="center"/>
          </w:tcPr>
          <w:p w14:paraId="1C60238C">
            <w:pPr>
              <w:pStyle w:val="11"/>
            </w:pPr>
          </w:p>
        </w:tc>
        <w:tc>
          <w:tcPr>
            <w:tcW w:w="4535" w:type="dxa"/>
            <w:vAlign w:val="center"/>
          </w:tcPr>
          <w:p w14:paraId="6AE91816">
            <w:pPr>
              <w:pStyle w:val="12"/>
            </w:pPr>
            <w:r>
              <w:t>十、卫生健康支出</w:t>
            </w:r>
          </w:p>
        </w:tc>
        <w:tc>
          <w:tcPr>
            <w:tcW w:w="2126" w:type="dxa"/>
            <w:vAlign w:val="center"/>
          </w:tcPr>
          <w:p w14:paraId="697227C9">
            <w:pPr>
              <w:pStyle w:val="11"/>
            </w:pPr>
          </w:p>
        </w:tc>
      </w:tr>
      <w:tr w14:paraId="16B0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23E45">
            <w:pPr>
              <w:pStyle w:val="13"/>
            </w:pPr>
            <w:r>
              <w:t>11</w:t>
            </w:r>
          </w:p>
        </w:tc>
        <w:tc>
          <w:tcPr>
            <w:tcW w:w="4535" w:type="dxa"/>
            <w:vAlign w:val="center"/>
          </w:tcPr>
          <w:p w14:paraId="6B3831F6">
            <w:pPr>
              <w:pStyle w:val="12"/>
            </w:pPr>
          </w:p>
        </w:tc>
        <w:tc>
          <w:tcPr>
            <w:tcW w:w="2126" w:type="dxa"/>
            <w:vAlign w:val="center"/>
          </w:tcPr>
          <w:p w14:paraId="040502F5">
            <w:pPr>
              <w:pStyle w:val="11"/>
            </w:pPr>
          </w:p>
        </w:tc>
        <w:tc>
          <w:tcPr>
            <w:tcW w:w="4535" w:type="dxa"/>
            <w:vAlign w:val="center"/>
          </w:tcPr>
          <w:p w14:paraId="3CC24550">
            <w:pPr>
              <w:pStyle w:val="12"/>
            </w:pPr>
            <w:r>
              <w:t>十一、节能环保支出</w:t>
            </w:r>
          </w:p>
        </w:tc>
        <w:tc>
          <w:tcPr>
            <w:tcW w:w="2126" w:type="dxa"/>
            <w:vAlign w:val="center"/>
          </w:tcPr>
          <w:p w14:paraId="4987465F">
            <w:pPr>
              <w:pStyle w:val="11"/>
            </w:pPr>
          </w:p>
        </w:tc>
      </w:tr>
      <w:tr w14:paraId="44D3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DA07D">
            <w:pPr>
              <w:pStyle w:val="13"/>
            </w:pPr>
            <w:r>
              <w:t>12</w:t>
            </w:r>
          </w:p>
        </w:tc>
        <w:tc>
          <w:tcPr>
            <w:tcW w:w="4535" w:type="dxa"/>
            <w:vAlign w:val="center"/>
          </w:tcPr>
          <w:p w14:paraId="3A7D9C29">
            <w:pPr>
              <w:pStyle w:val="12"/>
            </w:pPr>
          </w:p>
        </w:tc>
        <w:tc>
          <w:tcPr>
            <w:tcW w:w="2126" w:type="dxa"/>
            <w:vAlign w:val="center"/>
          </w:tcPr>
          <w:p w14:paraId="45AEE39F">
            <w:pPr>
              <w:pStyle w:val="11"/>
            </w:pPr>
          </w:p>
        </w:tc>
        <w:tc>
          <w:tcPr>
            <w:tcW w:w="4535" w:type="dxa"/>
            <w:vAlign w:val="center"/>
          </w:tcPr>
          <w:p w14:paraId="622C39F4">
            <w:pPr>
              <w:pStyle w:val="12"/>
            </w:pPr>
            <w:r>
              <w:t>十二、城乡社区支出</w:t>
            </w:r>
          </w:p>
        </w:tc>
        <w:tc>
          <w:tcPr>
            <w:tcW w:w="2126" w:type="dxa"/>
            <w:vAlign w:val="center"/>
          </w:tcPr>
          <w:p w14:paraId="4BC2528A">
            <w:pPr>
              <w:pStyle w:val="11"/>
            </w:pPr>
          </w:p>
        </w:tc>
      </w:tr>
      <w:tr w14:paraId="358D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4AB4">
            <w:pPr>
              <w:pStyle w:val="13"/>
            </w:pPr>
            <w:r>
              <w:t>13</w:t>
            </w:r>
          </w:p>
        </w:tc>
        <w:tc>
          <w:tcPr>
            <w:tcW w:w="4535" w:type="dxa"/>
            <w:vAlign w:val="center"/>
          </w:tcPr>
          <w:p w14:paraId="5D0FE3B4">
            <w:pPr>
              <w:pStyle w:val="12"/>
            </w:pPr>
          </w:p>
        </w:tc>
        <w:tc>
          <w:tcPr>
            <w:tcW w:w="2126" w:type="dxa"/>
            <w:vAlign w:val="center"/>
          </w:tcPr>
          <w:p w14:paraId="7D9BE5F6">
            <w:pPr>
              <w:pStyle w:val="11"/>
            </w:pPr>
          </w:p>
        </w:tc>
        <w:tc>
          <w:tcPr>
            <w:tcW w:w="4535" w:type="dxa"/>
            <w:vAlign w:val="center"/>
          </w:tcPr>
          <w:p w14:paraId="3DD9B5F2">
            <w:pPr>
              <w:pStyle w:val="12"/>
            </w:pPr>
            <w:r>
              <w:t>十三、农林水支出</w:t>
            </w:r>
          </w:p>
        </w:tc>
        <w:tc>
          <w:tcPr>
            <w:tcW w:w="2126" w:type="dxa"/>
            <w:vAlign w:val="center"/>
          </w:tcPr>
          <w:p w14:paraId="0540C64D">
            <w:pPr>
              <w:pStyle w:val="11"/>
            </w:pPr>
          </w:p>
        </w:tc>
      </w:tr>
      <w:tr w14:paraId="3215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57893">
            <w:pPr>
              <w:pStyle w:val="13"/>
            </w:pPr>
            <w:r>
              <w:t>14</w:t>
            </w:r>
          </w:p>
        </w:tc>
        <w:tc>
          <w:tcPr>
            <w:tcW w:w="4535" w:type="dxa"/>
            <w:vAlign w:val="center"/>
          </w:tcPr>
          <w:p w14:paraId="4B67FB4E">
            <w:pPr>
              <w:pStyle w:val="12"/>
            </w:pPr>
          </w:p>
        </w:tc>
        <w:tc>
          <w:tcPr>
            <w:tcW w:w="2126" w:type="dxa"/>
            <w:vAlign w:val="center"/>
          </w:tcPr>
          <w:p w14:paraId="14C5BB22">
            <w:pPr>
              <w:pStyle w:val="11"/>
            </w:pPr>
          </w:p>
        </w:tc>
        <w:tc>
          <w:tcPr>
            <w:tcW w:w="4535" w:type="dxa"/>
            <w:vAlign w:val="center"/>
          </w:tcPr>
          <w:p w14:paraId="220F8296">
            <w:pPr>
              <w:pStyle w:val="12"/>
            </w:pPr>
            <w:r>
              <w:t>十四、交通运输支出</w:t>
            </w:r>
          </w:p>
        </w:tc>
        <w:tc>
          <w:tcPr>
            <w:tcW w:w="2126" w:type="dxa"/>
            <w:vAlign w:val="center"/>
          </w:tcPr>
          <w:p w14:paraId="2A957651">
            <w:pPr>
              <w:pStyle w:val="11"/>
            </w:pPr>
          </w:p>
        </w:tc>
      </w:tr>
      <w:tr w14:paraId="79D4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E4A39">
            <w:pPr>
              <w:pStyle w:val="13"/>
            </w:pPr>
            <w:r>
              <w:t>15</w:t>
            </w:r>
          </w:p>
        </w:tc>
        <w:tc>
          <w:tcPr>
            <w:tcW w:w="4535" w:type="dxa"/>
            <w:vAlign w:val="center"/>
          </w:tcPr>
          <w:p w14:paraId="4D7AA5D1">
            <w:pPr>
              <w:pStyle w:val="12"/>
            </w:pPr>
          </w:p>
        </w:tc>
        <w:tc>
          <w:tcPr>
            <w:tcW w:w="2126" w:type="dxa"/>
            <w:vAlign w:val="center"/>
          </w:tcPr>
          <w:p w14:paraId="0943512B">
            <w:pPr>
              <w:pStyle w:val="11"/>
            </w:pPr>
          </w:p>
        </w:tc>
        <w:tc>
          <w:tcPr>
            <w:tcW w:w="4535" w:type="dxa"/>
            <w:vAlign w:val="center"/>
          </w:tcPr>
          <w:p w14:paraId="1114546A">
            <w:pPr>
              <w:pStyle w:val="12"/>
            </w:pPr>
            <w:r>
              <w:t>十五、资源勘探工业信息等支出</w:t>
            </w:r>
          </w:p>
        </w:tc>
        <w:tc>
          <w:tcPr>
            <w:tcW w:w="2126" w:type="dxa"/>
            <w:vAlign w:val="center"/>
          </w:tcPr>
          <w:p w14:paraId="060ED75E">
            <w:pPr>
              <w:pStyle w:val="11"/>
            </w:pPr>
          </w:p>
        </w:tc>
      </w:tr>
      <w:tr w14:paraId="7227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AC38">
            <w:pPr>
              <w:pStyle w:val="13"/>
            </w:pPr>
            <w:r>
              <w:t>16</w:t>
            </w:r>
          </w:p>
        </w:tc>
        <w:tc>
          <w:tcPr>
            <w:tcW w:w="4535" w:type="dxa"/>
            <w:vAlign w:val="center"/>
          </w:tcPr>
          <w:p w14:paraId="647BA7D1">
            <w:pPr>
              <w:pStyle w:val="12"/>
            </w:pPr>
          </w:p>
        </w:tc>
        <w:tc>
          <w:tcPr>
            <w:tcW w:w="2126" w:type="dxa"/>
            <w:vAlign w:val="center"/>
          </w:tcPr>
          <w:p w14:paraId="6B011829">
            <w:pPr>
              <w:pStyle w:val="11"/>
            </w:pPr>
          </w:p>
        </w:tc>
        <w:tc>
          <w:tcPr>
            <w:tcW w:w="4535" w:type="dxa"/>
            <w:vAlign w:val="center"/>
          </w:tcPr>
          <w:p w14:paraId="6F685C6C">
            <w:pPr>
              <w:pStyle w:val="12"/>
            </w:pPr>
            <w:r>
              <w:t>十六、商业服务业等支出</w:t>
            </w:r>
          </w:p>
        </w:tc>
        <w:tc>
          <w:tcPr>
            <w:tcW w:w="2126" w:type="dxa"/>
            <w:vAlign w:val="center"/>
          </w:tcPr>
          <w:p w14:paraId="5062EA95">
            <w:pPr>
              <w:pStyle w:val="11"/>
            </w:pPr>
          </w:p>
        </w:tc>
      </w:tr>
      <w:tr w14:paraId="0D8F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AC072">
            <w:pPr>
              <w:pStyle w:val="13"/>
            </w:pPr>
            <w:r>
              <w:t>17</w:t>
            </w:r>
          </w:p>
        </w:tc>
        <w:tc>
          <w:tcPr>
            <w:tcW w:w="4535" w:type="dxa"/>
            <w:vAlign w:val="center"/>
          </w:tcPr>
          <w:p w14:paraId="789536B3">
            <w:pPr>
              <w:pStyle w:val="12"/>
            </w:pPr>
          </w:p>
        </w:tc>
        <w:tc>
          <w:tcPr>
            <w:tcW w:w="2126" w:type="dxa"/>
            <w:vAlign w:val="center"/>
          </w:tcPr>
          <w:p w14:paraId="79041FDF">
            <w:pPr>
              <w:pStyle w:val="11"/>
            </w:pPr>
          </w:p>
        </w:tc>
        <w:tc>
          <w:tcPr>
            <w:tcW w:w="4535" w:type="dxa"/>
            <w:vAlign w:val="center"/>
          </w:tcPr>
          <w:p w14:paraId="714136C9">
            <w:pPr>
              <w:pStyle w:val="12"/>
            </w:pPr>
            <w:r>
              <w:t>十七、金融支出</w:t>
            </w:r>
          </w:p>
        </w:tc>
        <w:tc>
          <w:tcPr>
            <w:tcW w:w="2126" w:type="dxa"/>
            <w:vAlign w:val="center"/>
          </w:tcPr>
          <w:p w14:paraId="460DEC4F">
            <w:pPr>
              <w:pStyle w:val="11"/>
            </w:pPr>
          </w:p>
        </w:tc>
      </w:tr>
      <w:tr w14:paraId="3DA5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9AF1">
            <w:pPr>
              <w:pStyle w:val="13"/>
            </w:pPr>
            <w:r>
              <w:t>18</w:t>
            </w:r>
          </w:p>
        </w:tc>
        <w:tc>
          <w:tcPr>
            <w:tcW w:w="4535" w:type="dxa"/>
            <w:vAlign w:val="center"/>
          </w:tcPr>
          <w:p w14:paraId="498C61A5">
            <w:pPr>
              <w:pStyle w:val="12"/>
            </w:pPr>
          </w:p>
        </w:tc>
        <w:tc>
          <w:tcPr>
            <w:tcW w:w="2126" w:type="dxa"/>
            <w:vAlign w:val="center"/>
          </w:tcPr>
          <w:p w14:paraId="6F199354">
            <w:pPr>
              <w:pStyle w:val="11"/>
            </w:pPr>
          </w:p>
        </w:tc>
        <w:tc>
          <w:tcPr>
            <w:tcW w:w="4535" w:type="dxa"/>
            <w:vAlign w:val="center"/>
          </w:tcPr>
          <w:p w14:paraId="6178DE1E">
            <w:pPr>
              <w:pStyle w:val="12"/>
            </w:pPr>
            <w:r>
              <w:t>十八、援助其他地区支出</w:t>
            </w:r>
          </w:p>
        </w:tc>
        <w:tc>
          <w:tcPr>
            <w:tcW w:w="2126" w:type="dxa"/>
            <w:vAlign w:val="center"/>
          </w:tcPr>
          <w:p w14:paraId="5D28B6CA">
            <w:pPr>
              <w:pStyle w:val="11"/>
            </w:pPr>
          </w:p>
        </w:tc>
      </w:tr>
      <w:tr w14:paraId="2EF8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E54C">
            <w:pPr>
              <w:pStyle w:val="13"/>
            </w:pPr>
            <w:r>
              <w:t>19</w:t>
            </w:r>
          </w:p>
        </w:tc>
        <w:tc>
          <w:tcPr>
            <w:tcW w:w="4535" w:type="dxa"/>
            <w:vAlign w:val="center"/>
          </w:tcPr>
          <w:p w14:paraId="0EC51A0C">
            <w:pPr>
              <w:pStyle w:val="12"/>
            </w:pPr>
          </w:p>
        </w:tc>
        <w:tc>
          <w:tcPr>
            <w:tcW w:w="2126" w:type="dxa"/>
            <w:vAlign w:val="center"/>
          </w:tcPr>
          <w:p w14:paraId="33D834D8">
            <w:pPr>
              <w:pStyle w:val="11"/>
            </w:pPr>
          </w:p>
        </w:tc>
        <w:tc>
          <w:tcPr>
            <w:tcW w:w="4535" w:type="dxa"/>
            <w:vAlign w:val="center"/>
          </w:tcPr>
          <w:p w14:paraId="08BD61D0">
            <w:pPr>
              <w:pStyle w:val="12"/>
            </w:pPr>
            <w:r>
              <w:t>十九、自然资源海洋气象等支出</w:t>
            </w:r>
          </w:p>
        </w:tc>
        <w:tc>
          <w:tcPr>
            <w:tcW w:w="2126" w:type="dxa"/>
            <w:vAlign w:val="center"/>
          </w:tcPr>
          <w:p w14:paraId="6890449E">
            <w:pPr>
              <w:pStyle w:val="11"/>
            </w:pPr>
          </w:p>
        </w:tc>
      </w:tr>
      <w:tr w14:paraId="2FE1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EB4FF">
            <w:pPr>
              <w:pStyle w:val="13"/>
            </w:pPr>
            <w:r>
              <w:t>20</w:t>
            </w:r>
          </w:p>
        </w:tc>
        <w:tc>
          <w:tcPr>
            <w:tcW w:w="4535" w:type="dxa"/>
            <w:vAlign w:val="center"/>
          </w:tcPr>
          <w:p w14:paraId="3F6AA963">
            <w:pPr>
              <w:pStyle w:val="12"/>
            </w:pPr>
          </w:p>
        </w:tc>
        <w:tc>
          <w:tcPr>
            <w:tcW w:w="2126" w:type="dxa"/>
            <w:vAlign w:val="center"/>
          </w:tcPr>
          <w:p w14:paraId="27F7FBA4">
            <w:pPr>
              <w:pStyle w:val="11"/>
            </w:pPr>
          </w:p>
        </w:tc>
        <w:tc>
          <w:tcPr>
            <w:tcW w:w="4535" w:type="dxa"/>
            <w:vAlign w:val="center"/>
          </w:tcPr>
          <w:p w14:paraId="0EC90034">
            <w:pPr>
              <w:pStyle w:val="12"/>
            </w:pPr>
            <w:r>
              <w:t>二十、住房保障支出</w:t>
            </w:r>
          </w:p>
        </w:tc>
        <w:tc>
          <w:tcPr>
            <w:tcW w:w="2126" w:type="dxa"/>
            <w:vAlign w:val="center"/>
          </w:tcPr>
          <w:p w14:paraId="633E7876">
            <w:pPr>
              <w:pStyle w:val="11"/>
            </w:pPr>
          </w:p>
        </w:tc>
      </w:tr>
      <w:tr w14:paraId="5D062581">
        <w:tblPrEx>
          <w:tblCellMar>
            <w:top w:w="0" w:type="dxa"/>
            <w:left w:w="108" w:type="dxa"/>
            <w:bottom w:w="0" w:type="dxa"/>
            <w:right w:w="108" w:type="dxa"/>
          </w:tblCellMar>
        </w:tblPrEx>
        <w:trPr>
          <w:trHeight w:val="369" w:hRule="atLeast"/>
          <w:jc w:val="center"/>
        </w:trPr>
        <w:tc>
          <w:tcPr>
            <w:tcW w:w="850" w:type="dxa"/>
            <w:vAlign w:val="center"/>
          </w:tcPr>
          <w:p w14:paraId="41DC5AC2">
            <w:pPr>
              <w:pStyle w:val="13"/>
            </w:pPr>
            <w:r>
              <w:t>21</w:t>
            </w:r>
          </w:p>
        </w:tc>
        <w:tc>
          <w:tcPr>
            <w:tcW w:w="4535" w:type="dxa"/>
            <w:vAlign w:val="center"/>
          </w:tcPr>
          <w:p w14:paraId="3DB50693">
            <w:pPr>
              <w:pStyle w:val="12"/>
            </w:pPr>
          </w:p>
        </w:tc>
        <w:tc>
          <w:tcPr>
            <w:tcW w:w="2126" w:type="dxa"/>
            <w:vAlign w:val="center"/>
          </w:tcPr>
          <w:p w14:paraId="4232F89C">
            <w:pPr>
              <w:pStyle w:val="11"/>
            </w:pPr>
          </w:p>
        </w:tc>
        <w:tc>
          <w:tcPr>
            <w:tcW w:w="4535" w:type="dxa"/>
            <w:vAlign w:val="center"/>
          </w:tcPr>
          <w:p w14:paraId="6FDCC106">
            <w:pPr>
              <w:pStyle w:val="12"/>
            </w:pPr>
            <w:r>
              <w:t>二十一、粮油物资储备支出</w:t>
            </w:r>
          </w:p>
        </w:tc>
        <w:tc>
          <w:tcPr>
            <w:tcW w:w="2126" w:type="dxa"/>
            <w:vAlign w:val="center"/>
          </w:tcPr>
          <w:p w14:paraId="57394E27">
            <w:pPr>
              <w:pStyle w:val="11"/>
            </w:pPr>
          </w:p>
        </w:tc>
      </w:tr>
      <w:tr w14:paraId="4021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F059">
            <w:pPr>
              <w:pStyle w:val="13"/>
            </w:pPr>
            <w:r>
              <w:t>22</w:t>
            </w:r>
          </w:p>
        </w:tc>
        <w:tc>
          <w:tcPr>
            <w:tcW w:w="4535" w:type="dxa"/>
            <w:vAlign w:val="center"/>
          </w:tcPr>
          <w:p w14:paraId="6FB5CB3F">
            <w:pPr>
              <w:pStyle w:val="12"/>
            </w:pPr>
          </w:p>
        </w:tc>
        <w:tc>
          <w:tcPr>
            <w:tcW w:w="2126" w:type="dxa"/>
            <w:vAlign w:val="center"/>
          </w:tcPr>
          <w:p w14:paraId="50D62749">
            <w:pPr>
              <w:pStyle w:val="11"/>
            </w:pPr>
          </w:p>
        </w:tc>
        <w:tc>
          <w:tcPr>
            <w:tcW w:w="4535" w:type="dxa"/>
            <w:vAlign w:val="center"/>
          </w:tcPr>
          <w:p w14:paraId="4155FF8A">
            <w:pPr>
              <w:pStyle w:val="12"/>
            </w:pPr>
            <w:r>
              <w:t>二十二、国有资本经营预算支出</w:t>
            </w:r>
          </w:p>
        </w:tc>
        <w:tc>
          <w:tcPr>
            <w:tcW w:w="2126" w:type="dxa"/>
            <w:vAlign w:val="center"/>
          </w:tcPr>
          <w:p w14:paraId="4B39D049">
            <w:pPr>
              <w:pStyle w:val="11"/>
            </w:pPr>
          </w:p>
        </w:tc>
      </w:tr>
      <w:tr w14:paraId="4EBA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D2DE2">
            <w:pPr>
              <w:pStyle w:val="13"/>
            </w:pPr>
            <w:r>
              <w:t>23</w:t>
            </w:r>
          </w:p>
        </w:tc>
        <w:tc>
          <w:tcPr>
            <w:tcW w:w="4535" w:type="dxa"/>
            <w:vAlign w:val="center"/>
          </w:tcPr>
          <w:p w14:paraId="1194404A">
            <w:pPr>
              <w:pStyle w:val="12"/>
            </w:pPr>
          </w:p>
        </w:tc>
        <w:tc>
          <w:tcPr>
            <w:tcW w:w="2126" w:type="dxa"/>
            <w:vAlign w:val="center"/>
          </w:tcPr>
          <w:p w14:paraId="1978DCFA">
            <w:pPr>
              <w:pStyle w:val="11"/>
            </w:pPr>
          </w:p>
        </w:tc>
        <w:tc>
          <w:tcPr>
            <w:tcW w:w="4535" w:type="dxa"/>
            <w:vAlign w:val="center"/>
          </w:tcPr>
          <w:p w14:paraId="1A30643E">
            <w:pPr>
              <w:pStyle w:val="12"/>
            </w:pPr>
            <w:r>
              <w:t>二十三、灾害防治及应急管理支出</w:t>
            </w:r>
          </w:p>
        </w:tc>
        <w:tc>
          <w:tcPr>
            <w:tcW w:w="2126" w:type="dxa"/>
            <w:vAlign w:val="center"/>
          </w:tcPr>
          <w:p w14:paraId="5A12727E">
            <w:pPr>
              <w:pStyle w:val="11"/>
            </w:pPr>
          </w:p>
        </w:tc>
      </w:tr>
      <w:tr w14:paraId="75DE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F543E">
            <w:pPr>
              <w:pStyle w:val="13"/>
            </w:pPr>
            <w:r>
              <w:t>24</w:t>
            </w:r>
          </w:p>
        </w:tc>
        <w:tc>
          <w:tcPr>
            <w:tcW w:w="4535" w:type="dxa"/>
            <w:vAlign w:val="center"/>
          </w:tcPr>
          <w:p w14:paraId="7276EA72">
            <w:pPr>
              <w:pStyle w:val="12"/>
            </w:pPr>
          </w:p>
        </w:tc>
        <w:tc>
          <w:tcPr>
            <w:tcW w:w="2126" w:type="dxa"/>
            <w:vAlign w:val="center"/>
          </w:tcPr>
          <w:p w14:paraId="3627EFFA">
            <w:pPr>
              <w:pStyle w:val="11"/>
            </w:pPr>
          </w:p>
        </w:tc>
        <w:tc>
          <w:tcPr>
            <w:tcW w:w="4535" w:type="dxa"/>
            <w:vAlign w:val="center"/>
          </w:tcPr>
          <w:p w14:paraId="2D3ACEC9">
            <w:pPr>
              <w:pStyle w:val="12"/>
            </w:pPr>
            <w:r>
              <w:t>二十四、预备费</w:t>
            </w:r>
          </w:p>
        </w:tc>
        <w:tc>
          <w:tcPr>
            <w:tcW w:w="2126" w:type="dxa"/>
            <w:vAlign w:val="center"/>
          </w:tcPr>
          <w:p w14:paraId="3E2FCC94">
            <w:pPr>
              <w:pStyle w:val="11"/>
            </w:pPr>
          </w:p>
        </w:tc>
      </w:tr>
      <w:tr w14:paraId="09AB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2104">
            <w:pPr>
              <w:pStyle w:val="13"/>
            </w:pPr>
            <w:r>
              <w:t>25</w:t>
            </w:r>
          </w:p>
        </w:tc>
        <w:tc>
          <w:tcPr>
            <w:tcW w:w="4535" w:type="dxa"/>
            <w:vAlign w:val="center"/>
          </w:tcPr>
          <w:p w14:paraId="682A7816">
            <w:pPr>
              <w:pStyle w:val="12"/>
            </w:pPr>
          </w:p>
        </w:tc>
        <w:tc>
          <w:tcPr>
            <w:tcW w:w="2126" w:type="dxa"/>
            <w:vAlign w:val="center"/>
          </w:tcPr>
          <w:p w14:paraId="700AE1F1">
            <w:pPr>
              <w:pStyle w:val="11"/>
            </w:pPr>
          </w:p>
        </w:tc>
        <w:tc>
          <w:tcPr>
            <w:tcW w:w="4535" w:type="dxa"/>
            <w:vAlign w:val="center"/>
          </w:tcPr>
          <w:p w14:paraId="0DA89B66">
            <w:pPr>
              <w:pStyle w:val="12"/>
            </w:pPr>
            <w:r>
              <w:t>二十五、其他支出</w:t>
            </w:r>
          </w:p>
        </w:tc>
        <w:tc>
          <w:tcPr>
            <w:tcW w:w="2126" w:type="dxa"/>
            <w:vAlign w:val="center"/>
          </w:tcPr>
          <w:p w14:paraId="361BAE72">
            <w:pPr>
              <w:pStyle w:val="11"/>
            </w:pPr>
          </w:p>
        </w:tc>
      </w:tr>
      <w:tr w14:paraId="04491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1A4FD">
            <w:pPr>
              <w:pStyle w:val="13"/>
            </w:pPr>
            <w:r>
              <w:t>26</w:t>
            </w:r>
          </w:p>
        </w:tc>
        <w:tc>
          <w:tcPr>
            <w:tcW w:w="4535" w:type="dxa"/>
            <w:vAlign w:val="center"/>
          </w:tcPr>
          <w:p w14:paraId="3879F9B0">
            <w:pPr>
              <w:pStyle w:val="12"/>
            </w:pPr>
          </w:p>
        </w:tc>
        <w:tc>
          <w:tcPr>
            <w:tcW w:w="2126" w:type="dxa"/>
            <w:vAlign w:val="center"/>
          </w:tcPr>
          <w:p w14:paraId="01A7336D">
            <w:pPr>
              <w:pStyle w:val="11"/>
            </w:pPr>
          </w:p>
        </w:tc>
        <w:tc>
          <w:tcPr>
            <w:tcW w:w="4535" w:type="dxa"/>
            <w:vAlign w:val="center"/>
          </w:tcPr>
          <w:p w14:paraId="70C067AD">
            <w:pPr>
              <w:pStyle w:val="12"/>
            </w:pPr>
            <w:r>
              <w:t>二十六、转移性支出</w:t>
            </w:r>
          </w:p>
        </w:tc>
        <w:tc>
          <w:tcPr>
            <w:tcW w:w="2126" w:type="dxa"/>
            <w:vAlign w:val="center"/>
          </w:tcPr>
          <w:p w14:paraId="226A403D">
            <w:pPr>
              <w:pStyle w:val="11"/>
            </w:pPr>
          </w:p>
        </w:tc>
      </w:tr>
      <w:tr w14:paraId="484A6C5F">
        <w:tblPrEx>
          <w:tblCellMar>
            <w:top w:w="0" w:type="dxa"/>
            <w:left w:w="108" w:type="dxa"/>
            <w:bottom w:w="0" w:type="dxa"/>
            <w:right w:w="108" w:type="dxa"/>
          </w:tblCellMar>
        </w:tblPrEx>
        <w:trPr>
          <w:trHeight w:val="369" w:hRule="atLeast"/>
          <w:jc w:val="center"/>
        </w:trPr>
        <w:tc>
          <w:tcPr>
            <w:tcW w:w="850" w:type="dxa"/>
            <w:vAlign w:val="center"/>
          </w:tcPr>
          <w:p w14:paraId="02DABAA0">
            <w:pPr>
              <w:pStyle w:val="13"/>
            </w:pPr>
            <w:r>
              <w:t>27</w:t>
            </w:r>
          </w:p>
        </w:tc>
        <w:tc>
          <w:tcPr>
            <w:tcW w:w="4535" w:type="dxa"/>
            <w:vAlign w:val="center"/>
          </w:tcPr>
          <w:p w14:paraId="0C9C6E32">
            <w:pPr>
              <w:pStyle w:val="12"/>
            </w:pPr>
          </w:p>
        </w:tc>
        <w:tc>
          <w:tcPr>
            <w:tcW w:w="2126" w:type="dxa"/>
            <w:vAlign w:val="center"/>
          </w:tcPr>
          <w:p w14:paraId="2D3EE6FA">
            <w:pPr>
              <w:pStyle w:val="11"/>
            </w:pPr>
          </w:p>
        </w:tc>
        <w:tc>
          <w:tcPr>
            <w:tcW w:w="4535" w:type="dxa"/>
            <w:vAlign w:val="center"/>
          </w:tcPr>
          <w:p w14:paraId="0AC4C489">
            <w:pPr>
              <w:pStyle w:val="12"/>
            </w:pPr>
            <w:r>
              <w:t>二十七、债务还本支出</w:t>
            </w:r>
          </w:p>
        </w:tc>
        <w:tc>
          <w:tcPr>
            <w:tcW w:w="2126" w:type="dxa"/>
            <w:vAlign w:val="center"/>
          </w:tcPr>
          <w:p w14:paraId="14D454D6">
            <w:pPr>
              <w:pStyle w:val="11"/>
            </w:pPr>
          </w:p>
        </w:tc>
      </w:tr>
      <w:tr w14:paraId="0D97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D72E8">
            <w:pPr>
              <w:pStyle w:val="13"/>
            </w:pPr>
            <w:r>
              <w:t>28</w:t>
            </w:r>
          </w:p>
        </w:tc>
        <w:tc>
          <w:tcPr>
            <w:tcW w:w="4535" w:type="dxa"/>
            <w:vAlign w:val="center"/>
          </w:tcPr>
          <w:p w14:paraId="199A664C">
            <w:pPr>
              <w:pStyle w:val="12"/>
            </w:pPr>
          </w:p>
        </w:tc>
        <w:tc>
          <w:tcPr>
            <w:tcW w:w="2126" w:type="dxa"/>
            <w:vAlign w:val="center"/>
          </w:tcPr>
          <w:p w14:paraId="635F94D1">
            <w:pPr>
              <w:pStyle w:val="11"/>
            </w:pPr>
          </w:p>
        </w:tc>
        <w:tc>
          <w:tcPr>
            <w:tcW w:w="4535" w:type="dxa"/>
            <w:vAlign w:val="center"/>
          </w:tcPr>
          <w:p w14:paraId="0BB49D9C">
            <w:pPr>
              <w:pStyle w:val="12"/>
            </w:pPr>
            <w:r>
              <w:t>二十八、债务付息支出</w:t>
            </w:r>
          </w:p>
        </w:tc>
        <w:tc>
          <w:tcPr>
            <w:tcW w:w="2126" w:type="dxa"/>
            <w:vAlign w:val="center"/>
          </w:tcPr>
          <w:p w14:paraId="0F1FC880">
            <w:pPr>
              <w:pStyle w:val="11"/>
            </w:pPr>
          </w:p>
        </w:tc>
      </w:tr>
      <w:tr w14:paraId="150B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B5202">
            <w:pPr>
              <w:pStyle w:val="13"/>
            </w:pPr>
            <w:r>
              <w:t>29</w:t>
            </w:r>
          </w:p>
        </w:tc>
        <w:tc>
          <w:tcPr>
            <w:tcW w:w="4535" w:type="dxa"/>
            <w:vAlign w:val="center"/>
          </w:tcPr>
          <w:p w14:paraId="3EE2CAF2">
            <w:pPr>
              <w:pStyle w:val="12"/>
            </w:pPr>
          </w:p>
        </w:tc>
        <w:tc>
          <w:tcPr>
            <w:tcW w:w="2126" w:type="dxa"/>
            <w:vAlign w:val="center"/>
          </w:tcPr>
          <w:p w14:paraId="00C636B0">
            <w:pPr>
              <w:pStyle w:val="11"/>
            </w:pPr>
          </w:p>
        </w:tc>
        <w:tc>
          <w:tcPr>
            <w:tcW w:w="4535" w:type="dxa"/>
            <w:vAlign w:val="center"/>
          </w:tcPr>
          <w:p w14:paraId="7549C36F">
            <w:pPr>
              <w:pStyle w:val="12"/>
            </w:pPr>
            <w:r>
              <w:t>二十九、债务发行费用支出</w:t>
            </w:r>
          </w:p>
        </w:tc>
        <w:tc>
          <w:tcPr>
            <w:tcW w:w="2126" w:type="dxa"/>
            <w:vAlign w:val="center"/>
          </w:tcPr>
          <w:p w14:paraId="2A6960C6">
            <w:pPr>
              <w:pStyle w:val="11"/>
            </w:pPr>
          </w:p>
        </w:tc>
      </w:tr>
      <w:tr w14:paraId="36336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DBCF4">
            <w:pPr>
              <w:pStyle w:val="13"/>
            </w:pPr>
            <w:r>
              <w:t>30</w:t>
            </w:r>
          </w:p>
        </w:tc>
        <w:tc>
          <w:tcPr>
            <w:tcW w:w="4535" w:type="dxa"/>
            <w:vAlign w:val="center"/>
          </w:tcPr>
          <w:p w14:paraId="14C7F99B">
            <w:pPr>
              <w:pStyle w:val="12"/>
            </w:pPr>
          </w:p>
        </w:tc>
        <w:tc>
          <w:tcPr>
            <w:tcW w:w="2126" w:type="dxa"/>
            <w:vAlign w:val="center"/>
          </w:tcPr>
          <w:p w14:paraId="7EE00F1E">
            <w:pPr>
              <w:pStyle w:val="11"/>
            </w:pPr>
          </w:p>
        </w:tc>
        <w:tc>
          <w:tcPr>
            <w:tcW w:w="4535" w:type="dxa"/>
            <w:vAlign w:val="center"/>
          </w:tcPr>
          <w:p w14:paraId="4FFF4D29">
            <w:pPr>
              <w:pStyle w:val="12"/>
            </w:pPr>
            <w:r>
              <w:t>三十、抗疫特别国债安排的支出</w:t>
            </w:r>
          </w:p>
        </w:tc>
        <w:tc>
          <w:tcPr>
            <w:tcW w:w="2126" w:type="dxa"/>
            <w:vAlign w:val="center"/>
          </w:tcPr>
          <w:p w14:paraId="6E5A74A9">
            <w:pPr>
              <w:pStyle w:val="11"/>
            </w:pPr>
          </w:p>
        </w:tc>
      </w:tr>
      <w:tr w14:paraId="748A1389">
        <w:tblPrEx>
          <w:tblCellMar>
            <w:top w:w="0" w:type="dxa"/>
            <w:left w:w="108" w:type="dxa"/>
            <w:bottom w:w="0" w:type="dxa"/>
            <w:right w:w="108" w:type="dxa"/>
          </w:tblCellMar>
        </w:tblPrEx>
        <w:trPr>
          <w:trHeight w:val="369" w:hRule="atLeast"/>
          <w:jc w:val="center"/>
        </w:trPr>
        <w:tc>
          <w:tcPr>
            <w:tcW w:w="850" w:type="dxa"/>
            <w:vAlign w:val="center"/>
          </w:tcPr>
          <w:p w14:paraId="480DE29A">
            <w:pPr>
              <w:pStyle w:val="13"/>
            </w:pPr>
            <w:r>
              <w:t>31</w:t>
            </w:r>
          </w:p>
        </w:tc>
        <w:tc>
          <w:tcPr>
            <w:tcW w:w="4535" w:type="dxa"/>
            <w:vAlign w:val="center"/>
          </w:tcPr>
          <w:p w14:paraId="43E94061">
            <w:pPr>
              <w:pStyle w:val="14"/>
            </w:pPr>
            <w:r>
              <w:t>本年收入合计</w:t>
            </w:r>
          </w:p>
        </w:tc>
        <w:tc>
          <w:tcPr>
            <w:tcW w:w="2126" w:type="dxa"/>
            <w:vAlign w:val="center"/>
          </w:tcPr>
          <w:p w14:paraId="5DF12E18">
            <w:pPr>
              <w:pStyle w:val="15"/>
            </w:pPr>
            <w:r>
              <w:t>2072.60</w:t>
            </w:r>
          </w:p>
        </w:tc>
        <w:tc>
          <w:tcPr>
            <w:tcW w:w="4535" w:type="dxa"/>
            <w:vAlign w:val="center"/>
          </w:tcPr>
          <w:p w14:paraId="043901C6">
            <w:pPr>
              <w:pStyle w:val="14"/>
            </w:pPr>
            <w:r>
              <w:t>本年支出合计</w:t>
            </w:r>
          </w:p>
        </w:tc>
        <w:tc>
          <w:tcPr>
            <w:tcW w:w="2126" w:type="dxa"/>
            <w:vAlign w:val="center"/>
          </w:tcPr>
          <w:p w14:paraId="4F9D8D71">
            <w:pPr>
              <w:pStyle w:val="15"/>
            </w:pPr>
            <w:r>
              <w:t>2072.60</w:t>
            </w:r>
          </w:p>
        </w:tc>
      </w:tr>
      <w:tr w14:paraId="143E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2F2A">
            <w:pPr>
              <w:pStyle w:val="13"/>
            </w:pPr>
            <w:r>
              <w:t>32</w:t>
            </w:r>
          </w:p>
        </w:tc>
        <w:tc>
          <w:tcPr>
            <w:tcW w:w="4535" w:type="dxa"/>
            <w:vAlign w:val="center"/>
          </w:tcPr>
          <w:p w14:paraId="748FF4F4">
            <w:pPr>
              <w:pStyle w:val="12"/>
            </w:pPr>
            <w:r>
              <w:t>上年结转结余</w:t>
            </w:r>
          </w:p>
        </w:tc>
        <w:tc>
          <w:tcPr>
            <w:tcW w:w="2126" w:type="dxa"/>
            <w:vAlign w:val="center"/>
          </w:tcPr>
          <w:p w14:paraId="0210C5EC">
            <w:pPr>
              <w:pStyle w:val="11"/>
            </w:pPr>
          </w:p>
        </w:tc>
        <w:tc>
          <w:tcPr>
            <w:tcW w:w="4535" w:type="dxa"/>
            <w:vAlign w:val="center"/>
          </w:tcPr>
          <w:p w14:paraId="675417D9">
            <w:pPr>
              <w:pStyle w:val="12"/>
            </w:pPr>
            <w:r>
              <w:t>年终结转结余</w:t>
            </w:r>
          </w:p>
        </w:tc>
        <w:tc>
          <w:tcPr>
            <w:tcW w:w="2126" w:type="dxa"/>
            <w:vAlign w:val="center"/>
          </w:tcPr>
          <w:p w14:paraId="2AD6EAFD">
            <w:pPr>
              <w:pStyle w:val="11"/>
            </w:pPr>
          </w:p>
        </w:tc>
      </w:tr>
      <w:tr w14:paraId="0C91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AAD5B">
            <w:pPr>
              <w:pStyle w:val="13"/>
            </w:pPr>
            <w:r>
              <w:t>33</w:t>
            </w:r>
          </w:p>
        </w:tc>
        <w:tc>
          <w:tcPr>
            <w:tcW w:w="4535" w:type="dxa"/>
            <w:vAlign w:val="center"/>
          </w:tcPr>
          <w:p w14:paraId="7EB70E45">
            <w:pPr>
              <w:pStyle w:val="14"/>
            </w:pPr>
            <w:r>
              <w:t>收入总计</w:t>
            </w:r>
          </w:p>
        </w:tc>
        <w:tc>
          <w:tcPr>
            <w:tcW w:w="2126" w:type="dxa"/>
            <w:vAlign w:val="center"/>
          </w:tcPr>
          <w:p w14:paraId="57F0C880">
            <w:pPr>
              <w:pStyle w:val="15"/>
            </w:pPr>
            <w:r>
              <w:t>2072.60</w:t>
            </w:r>
          </w:p>
        </w:tc>
        <w:tc>
          <w:tcPr>
            <w:tcW w:w="4535" w:type="dxa"/>
            <w:vAlign w:val="center"/>
          </w:tcPr>
          <w:p w14:paraId="25C312C7">
            <w:pPr>
              <w:pStyle w:val="14"/>
            </w:pPr>
            <w:r>
              <w:t>支出总计</w:t>
            </w:r>
          </w:p>
        </w:tc>
        <w:tc>
          <w:tcPr>
            <w:tcW w:w="2126" w:type="dxa"/>
            <w:vAlign w:val="center"/>
          </w:tcPr>
          <w:p w14:paraId="70CB1BC4">
            <w:pPr>
              <w:pStyle w:val="15"/>
            </w:pPr>
            <w:r>
              <w:t>2072.60</w:t>
            </w:r>
          </w:p>
        </w:tc>
      </w:tr>
    </w:tbl>
    <w:p w14:paraId="0425BE35">
      <w:pPr>
        <w:sectPr>
          <w:pgSz w:w="16840" w:h="11900" w:orient="landscape"/>
          <w:pgMar w:top="1361" w:right="1020" w:bottom="1134" w:left="1020" w:header="720" w:footer="720" w:gutter="0"/>
          <w:cols w:space="720" w:num="1"/>
        </w:sectPr>
      </w:pPr>
    </w:p>
    <w:p w14:paraId="26C39B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49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EDF942">
            <w:pPr>
              <w:pStyle w:val="9"/>
            </w:pPr>
            <w:r>
              <w:t>360013隆尧县实验小学</w:t>
            </w:r>
          </w:p>
        </w:tc>
        <w:tc>
          <w:tcPr>
            <w:tcW w:w="3402" w:type="dxa"/>
            <w:gridSpan w:val="3"/>
            <w:tcBorders>
              <w:top w:val="single" w:color="FFFFFF" w:sz="6" w:space="0"/>
              <w:left w:val="single" w:color="FFFFFF" w:sz="6" w:space="0"/>
              <w:right w:val="single" w:color="FFFFFF" w:sz="6" w:space="0"/>
            </w:tcBorders>
            <w:vAlign w:val="center"/>
          </w:tcPr>
          <w:p w14:paraId="1AF039C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17097CA">
            <w:pPr>
              <w:pStyle w:val="7"/>
            </w:pPr>
            <w:r>
              <w:t>单位：万元</w:t>
            </w:r>
          </w:p>
        </w:tc>
      </w:tr>
      <w:tr w14:paraId="212AF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BD6279">
            <w:pPr>
              <w:pStyle w:val="10"/>
            </w:pPr>
            <w:r>
              <w:t>序号</w:t>
            </w:r>
          </w:p>
        </w:tc>
        <w:tc>
          <w:tcPr>
            <w:tcW w:w="2551" w:type="dxa"/>
            <w:gridSpan w:val="2"/>
            <w:vAlign w:val="center"/>
          </w:tcPr>
          <w:p w14:paraId="3280BD0F">
            <w:pPr>
              <w:pStyle w:val="10"/>
            </w:pPr>
            <w:r>
              <w:t>功能分类科目</w:t>
            </w:r>
          </w:p>
        </w:tc>
        <w:tc>
          <w:tcPr>
            <w:tcW w:w="1134" w:type="dxa"/>
            <w:vMerge w:val="restart"/>
            <w:vAlign w:val="center"/>
          </w:tcPr>
          <w:p w14:paraId="55BFBD34">
            <w:pPr>
              <w:pStyle w:val="10"/>
            </w:pPr>
            <w:r>
              <w:t>合计</w:t>
            </w:r>
          </w:p>
        </w:tc>
        <w:tc>
          <w:tcPr>
            <w:tcW w:w="9072" w:type="dxa"/>
            <w:gridSpan w:val="8"/>
            <w:vAlign w:val="center"/>
          </w:tcPr>
          <w:p w14:paraId="1C4D20D6">
            <w:pPr>
              <w:pStyle w:val="10"/>
            </w:pPr>
            <w:r>
              <w:t>本年收入</w:t>
            </w:r>
          </w:p>
        </w:tc>
        <w:tc>
          <w:tcPr>
            <w:tcW w:w="1134" w:type="dxa"/>
            <w:vMerge w:val="restart"/>
            <w:vAlign w:val="center"/>
          </w:tcPr>
          <w:p w14:paraId="293E300B">
            <w:pPr>
              <w:pStyle w:val="10"/>
            </w:pPr>
            <w:r>
              <w:t>上年结转</w:t>
            </w:r>
          </w:p>
        </w:tc>
      </w:tr>
      <w:tr w14:paraId="3724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E3E63C"/>
        </w:tc>
        <w:tc>
          <w:tcPr>
            <w:tcW w:w="992" w:type="dxa"/>
            <w:vAlign w:val="center"/>
          </w:tcPr>
          <w:p w14:paraId="3D2B7C68">
            <w:pPr>
              <w:pStyle w:val="10"/>
            </w:pPr>
            <w:r>
              <w:t>科目    编码</w:t>
            </w:r>
          </w:p>
        </w:tc>
        <w:tc>
          <w:tcPr>
            <w:tcW w:w="1559" w:type="dxa"/>
            <w:vAlign w:val="center"/>
          </w:tcPr>
          <w:p w14:paraId="36CC9546">
            <w:pPr>
              <w:pStyle w:val="10"/>
            </w:pPr>
            <w:r>
              <w:t>科目名称</w:t>
            </w:r>
          </w:p>
        </w:tc>
        <w:tc>
          <w:tcPr>
            <w:tcW w:w="1134" w:type="dxa"/>
            <w:vMerge w:val="continue"/>
          </w:tcPr>
          <w:p w14:paraId="21C703BC"/>
        </w:tc>
        <w:tc>
          <w:tcPr>
            <w:tcW w:w="1134" w:type="dxa"/>
            <w:vAlign w:val="center"/>
          </w:tcPr>
          <w:p w14:paraId="26F7DC00">
            <w:pPr>
              <w:pStyle w:val="10"/>
            </w:pPr>
            <w:r>
              <w:t>小计</w:t>
            </w:r>
          </w:p>
        </w:tc>
        <w:tc>
          <w:tcPr>
            <w:tcW w:w="1134" w:type="dxa"/>
            <w:vAlign w:val="center"/>
          </w:tcPr>
          <w:p w14:paraId="54C7E793">
            <w:pPr>
              <w:pStyle w:val="10"/>
            </w:pPr>
            <w:r>
              <w:t>财政拨款 收入</w:t>
            </w:r>
          </w:p>
        </w:tc>
        <w:tc>
          <w:tcPr>
            <w:tcW w:w="1134" w:type="dxa"/>
            <w:vAlign w:val="center"/>
          </w:tcPr>
          <w:p w14:paraId="2F4FBF9E">
            <w:pPr>
              <w:pStyle w:val="10"/>
            </w:pPr>
            <w:r>
              <w:t>财政专户 收入</w:t>
            </w:r>
          </w:p>
        </w:tc>
        <w:tc>
          <w:tcPr>
            <w:tcW w:w="1134" w:type="dxa"/>
            <w:vAlign w:val="center"/>
          </w:tcPr>
          <w:p w14:paraId="159A4D19">
            <w:pPr>
              <w:pStyle w:val="10"/>
            </w:pPr>
            <w:r>
              <w:t>事业收入</w:t>
            </w:r>
          </w:p>
        </w:tc>
        <w:tc>
          <w:tcPr>
            <w:tcW w:w="1134" w:type="dxa"/>
            <w:vAlign w:val="center"/>
          </w:tcPr>
          <w:p w14:paraId="06406E10">
            <w:pPr>
              <w:pStyle w:val="10"/>
            </w:pPr>
            <w:r>
              <w:t>经营收入</w:t>
            </w:r>
          </w:p>
        </w:tc>
        <w:tc>
          <w:tcPr>
            <w:tcW w:w="1134" w:type="dxa"/>
            <w:vAlign w:val="center"/>
          </w:tcPr>
          <w:p w14:paraId="20304F41">
            <w:pPr>
              <w:pStyle w:val="10"/>
            </w:pPr>
            <w:r>
              <w:t>上级补助收入</w:t>
            </w:r>
          </w:p>
        </w:tc>
        <w:tc>
          <w:tcPr>
            <w:tcW w:w="1134" w:type="dxa"/>
            <w:vAlign w:val="center"/>
          </w:tcPr>
          <w:p w14:paraId="1E9E0BFF">
            <w:pPr>
              <w:pStyle w:val="10"/>
            </w:pPr>
            <w:r>
              <w:t>附属单位上缴收入</w:t>
            </w:r>
          </w:p>
        </w:tc>
        <w:tc>
          <w:tcPr>
            <w:tcW w:w="1134" w:type="dxa"/>
            <w:vAlign w:val="center"/>
          </w:tcPr>
          <w:p w14:paraId="08A8BEF4">
            <w:pPr>
              <w:pStyle w:val="10"/>
            </w:pPr>
            <w:r>
              <w:t>其他收入</w:t>
            </w:r>
          </w:p>
        </w:tc>
        <w:tc>
          <w:tcPr>
            <w:tcW w:w="1134" w:type="dxa"/>
            <w:vMerge w:val="continue"/>
          </w:tcPr>
          <w:p w14:paraId="3E588DD5"/>
        </w:tc>
      </w:tr>
      <w:tr w14:paraId="0871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6F1EA3">
            <w:pPr>
              <w:pStyle w:val="10"/>
            </w:pPr>
            <w:r>
              <w:t>栏次</w:t>
            </w:r>
          </w:p>
        </w:tc>
        <w:tc>
          <w:tcPr>
            <w:tcW w:w="992" w:type="dxa"/>
            <w:vAlign w:val="center"/>
          </w:tcPr>
          <w:p w14:paraId="28440A9B">
            <w:pPr>
              <w:pStyle w:val="10"/>
            </w:pPr>
            <w:r>
              <w:t>1</w:t>
            </w:r>
          </w:p>
        </w:tc>
        <w:tc>
          <w:tcPr>
            <w:tcW w:w="1559" w:type="dxa"/>
            <w:vAlign w:val="center"/>
          </w:tcPr>
          <w:p w14:paraId="4CBBA31C">
            <w:pPr>
              <w:pStyle w:val="10"/>
            </w:pPr>
            <w:r>
              <w:t>2</w:t>
            </w:r>
          </w:p>
        </w:tc>
        <w:tc>
          <w:tcPr>
            <w:tcW w:w="1134" w:type="dxa"/>
            <w:vAlign w:val="center"/>
          </w:tcPr>
          <w:p w14:paraId="52CDBAB4">
            <w:pPr>
              <w:pStyle w:val="10"/>
            </w:pPr>
            <w:r>
              <w:t>3</w:t>
            </w:r>
          </w:p>
        </w:tc>
        <w:tc>
          <w:tcPr>
            <w:tcW w:w="1134" w:type="dxa"/>
            <w:vAlign w:val="center"/>
          </w:tcPr>
          <w:p w14:paraId="0D91E63F">
            <w:pPr>
              <w:pStyle w:val="10"/>
            </w:pPr>
            <w:r>
              <w:t>4</w:t>
            </w:r>
          </w:p>
        </w:tc>
        <w:tc>
          <w:tcPr>
            <w:tcW w:w="1134" w:type="dxa"/>
            <w:vAlign w:val="center"/>
          </w:tcPr>
          <w:p w14:paraId="474C2F0D">
            <w:pPr>
              <w:pStyle w:val="10"/>
            </w:pPr>
            <w:r>
              <w:t>5</w:t>
            </w:r>
          </w:p>
        </w:tc>
        <w:tc>
          <w:tcPr>
            <w:tcW w:w="1134" w:type="dxa"/>
            <w:vAlign w:val="center"/>
          </w:tcPr>
          <w:p w14:paraId="6936A273">
            <w:pPr>
              <w:pStyle w:val="10"/>
            </w:pPr>
            <w:r>
              <w:t>6</w:t>
            </w:r>
          </w:p>
        </w:tc>
        <w:tc>
          <w:tcPr>
            <w:tcW w:w="1134" w:type="dxa"/>
            <w:vAlign w:val="center"/>
          </w:tcPr>
          <w:p w14:paraId="30A741AD">
            <w:pPr>
              <w:pStyle w:val="10"/>
            </w:pPr>
            <w:r>
              <w:t>7</w:t>
            </w:r>
          </w:p>
        </w:tc>
        <w:tc>
          <w:tcPr>
            <w:tcW w:w="1134" w:type="dxa"/>
            <w:vAlign w:val="center"/>
          </w:tcPr>
          <w:p w14:paraId="2653BC44">
            <w:pPr>
              <w:pStyle w:val="10"/>
            </w:pPr>
            <w:r>
              <w:t>8</w:t>
            </w:r>
          </w:p>
        </w:tc>
        <w:tc>
          <w:tcPr>
            <w:tcW w:w="1134" w:type="dxa"/>
            <w:vAlign w:val="center"/>
          </w:tcPr>
          <w:p w14:paraId="63420DAC">
            <w:pPr>
              <w:pStyle w:val="10"/>
            </w:pPr>
            <w:r>
              <w:t>9</w:t>
            </w:r>
          </w:p>
        </w:tc>
        <w:tc>
          <w:tcPr>
            <w:tcW w:w="1134" w:type="dxa"/>
            <w:vAlign w:val="center"/>
          </w:tcPr>
          <w:p w14:paraId="614AC420">
            <w:pPr>
              <w:pStyle w:val="10"/>
            </w:pPr>
            <w:r>
              <w:t>10</w:t>
            </w:r>
          </w:p>
        </w:tc>
        <w:tc>
          <w:tcPr>
            <w:tcW w:w="1134" w:type="dxa"/>
            <w:vAlign w:val="center"/>
          </w:tcPr>
          <w:p w14:paraId="7A555228">
            <w:pPr>
              <w:pStyle w:val="10"/>
            </w:pPr>
            <w:r>
              <w:t>11</w:t>
            </w:r>
          </w:p>
        </w:tc>
        <w:tc>
          <w:tcPr>
            <w:tcW w:w="1134" w:type="dxa"/>
            <w:vAlign w:val="center"/>
          </w:tcPr>
          <w:p w14:paraId="0F5FA0F2">
            <w:pPr>
              <w:pStyle w:val="10"/>
            </w:pPr>
            <w:r>
              <w:t>12</w:t>
            </w:r>
          </w:p>
        </w:tc>
      </w:tr>
      <w:tr w14:paraId="6A90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0EE55">
            <w:pPr>
              <w:pStyle w:val="13"/>
            </w:pPr>
            <w:r>
              <w:t>1</w:t>
            </w:r>
          </w:p>
        </w:tc>
        <w:tc>
          <w:tcPr>
            <w:tcW w:w="992" w:type="dxa"/>
            <w:vAlign w:val="center"/>
          </w:tcPr>
          <w:p w14:paraId="5E066457">
            <w:pPr>
              <w:pStyle w:val="16"/>
            </w:pPr>
          </w:p>
        </w:tc>
        <w:tc>
          <w:tcPr>
            <w:tcW w:w="1559" w:type="dxa"/>
            <w:vAlign w:val="center"/>
          </w:tcPr>
          <w:p w14:paraId="02E943E0">
            <w:pPr>
              <w:pStyle w:val="14"/>
            </w:pPr>
            <w:r>
              <w:t>合计</w:t>
            </w:r>
          </w:p>
        </w:tc>
        <w:tc>
          <w:tcPr>
            <w:tcW w:w="1134" w:type="dxa"/>
            <w:vAlign w:val="center"/>
          </w:tcPr>
          <w:p w14:paraId="26D147B4">
            <w:pPr>
              <w:pStyle w:val="15"/>
            </w:pPr>
            <w:r>
              <w:t>2072.60</w:t>
            </w:r>
          </w:p>
        </w:tc>
        <w:tc>
          <w:tcPr>
            <w:tcW w:w="1134" w:type="dxa"/>
            <w:vAlign w:val="center"/>
          </w:tcPr>
          <w:p w14:paraId="022980F5">
            <w:pPr>
              <w:pStyle w:val="15"/>
            </w:pPr>
            <w:r>
              <w:t>2072.60</w:t>
            </w:r>
          </w:p>
        </w:tc>
        <w:tc>
          <w:tcPr>
            <w:tcW w:w="1134" w:type="dxa"/>
            <w:vAlign w:val="center"/>
          </w:tcPr>
          <w:p w14:paraId="05B3E7D5">
            <w:pPr>
              <w:pStyle w:val="15"/>
            </w:pPr>
            <w:r>
              <w:t>2072.60</w:t>
            </w:r>
          </w:p>
        </w:tc>
        <w:tc>
          <w:tcPr>
            <w:tcW w:w="1134" w:type="dxa"/>
            <w:vAlign w:val="center"/>
          </w:tcPr>
          <w:p w14:paraId="0B1987F0">
            <w:pPr>
              <w:pStyle w:val="15"/>
            </w:pPr>
          </w:p>
        </w:tc>
        <w:tc>
          <w:tcPr>
            <w:tcW w:w="1134" w:type="dxa"/>
            <w:vAlign w:val="center"/>
          </w:tcPr>
          <w:p w14:paraId="302F1A28">
            <w:pPr>
              <w:pStyle w:val="15"/>
            </w:pPr>
          </w:p>
        </w:tc>
        <w:tc>
          <w:tcPr>
            <w:tcW w:w="1134" w:type="dxa"/>
            <w:vAlign w:val="center"/>
          </w:tcPr>
          <w:p w14:paraId="7C1C39CA">
            <w:pPr>
              <w:pStyle w:val="15"/>
            </w:pPr>
          </w:p>
        </w:tc>
        <w:tc>
          <w:tcPr>
            <w:tcW w:w="1134" w:type="dxa"/>
            <w:vAlign w:val="center"/>
          </w:tcPr>
          <w:p w14:paraId="5C222B77">
            <w:pPr>
              <w:pStyle w:val="15"/>
            </w:pPr>
          </w:p>
        </w:tc>
        <w:tc>
          <w:tcPr>
            <w:tcW w:w="1134" w:type="dxa"/>
            <w:vAlign w:val="center"/>
          </w:tcPr>
          <w:p w14:paraId="7AA72825">
            <w:pPr>
              <w:pStyle w:val="15"/>
            </w:pPr>
          </w:p>
        </w:tc>
        <w:tc>
          <w:tcPr>
            <w:tcW w:w="1134" w:type="dxa"/>
            <w:vAlign w:val="center"/>
          </w:tcPr>
          <w:p w14:paraId="1739D9AC">
            <w:pPr>
              <w:pStyle w:val="15"/>
            </w:pPr>
          </w:p>
        </w:tc>
        <w:tc>
          <w:tcPr>
            <w:tcW w:w="1134" w:type="dxa"/>
            <w:vAlign w:val="center"/>
          </w:tcPr>
          <w:p w14:paraId="28667C03">
            <w:pPr>
              <w:pStyle w:val="15"/>
            </w:pPr>
          </w:p>
        </w:tc>
      </w:tr>
      <w:tr w14:paraId="0652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B1C80">
            <w:pPr>
              <w:pStyle w:val="13"/>
            </w:pPr>
            <w:r>
              <w:t>2</w:t>
            </w:r>
          </w:p>
        </w:tc>
        <w:tc>
          <w:tcPr>
            <w:tcW w:w="992" w:type="dxa"/>
            <w:vAlign w:val="center"/>
          </w:tcPr>
          <w:p w14:paraId="1022F767">
            <w:pPr>
              <w:pStyle w:val="12"/>
            </w:pPr>
            <w:r>
              <w:t>205</w:t>
            </w:r>
          </w:p>
        </w:tc>
        <w:tc>
          <w:tcPr>
            <w:tcW w:w="1559" w:type="dxa"/>
            <w:vAlign w:val="center"/>
          </w:tcPr>
          <w:p w14:paraId="145BBC52">
            <w:pPr>
              <w:pStyle w:val="12"/>
            </w:pPr>
            <w:r>
              <w:t>教育支出</w:t>
            </w:r>
          </w:p>
        </w:tc>
        <w:tc>
          <w:tcPr>
            <w:tcW w:w="1134" w:type="dxa"/>
            <w:vAlign w:val="center"/>
          </w:tcPr>
          <w:p w14:paraId="76CBB8AB">
            <w:pPr>
              <w:pStyle w:val="11"/>
            </w:pPr>
            <w:r>
              <w:t>2072.60</w:t>
            </w:r>
          </w:p>
        </w:tc>
        <w:tc>
          <w:tcPr>
            <w:tcW w:w="1134" w:type="dxa"/>
            <w:vAlign w:val="center"/>
          </w:tcPr>
          <w:p w14:paraId="6E279C13">
            <w:pPr>
              <w:pStyle w:val="11"/>
            </w:pPr>
            <w:r>
              <w:t>2072.60</w:t>
            </w:r>
          </w:p>
        </w:tc>
        <w:tc>
          <w:tcPr>
            <w:tcW w:w="1134" w:type="dxa"/>
            <w:vAlign w:val="center"/>
          </w:tcPr>
          <w:p w14:paraId="7426368B">
            <w:pPr>
              <w:pStyle w:val="11"/>
            </w:pPr>
            <w:r>
              <w:t>2072.60</w:t>
            </w:r>
          </w:p>
        </w:tc>
        <w:tc>
          <w:tcPr>
            <w:tcW w:w="1134" w:type="dxa"/>
            <w:vAlign w:val="center"/>
          </w:tcPr>
          <w:p w14:paraId="04A14972">
            <w:pPr>
              <w:pStyle w:val="11"/>
            </w:pPr>
          </w:p>
        </w:tc>
        <w:tc>
          <w:tcPr>
            <w:tcW w:w="1134" w:type="dxa"/>
            <w:vAlign w:val="center"/>
          </w:tcPr>
          <w:p w14:paraId="5871E274">
            <w:pPr>
              <w:pStyle w:val="11"/>
            </w:pPr>
          </w:p>
        </w:tc>
        <w:tc>
          <w:tcPr>
            <w:tcW w:w="1134" w:type="dxa"/>
            <w:vAlign w:val="center"/>
          </w:tcPr>
          <w:p w14:paraId="7C03EA1A">
            <w:pPr>
              <w:pStyle w:val="11"/>
            </w:pPr>
          </w:p>
        </w:tc>
        <w:tc>
          <w:tcPr>
            <w:tcW w:w="1134" w:type="dxa"/>
            <w:vAlign w:val="center"/>
          </w:tcPr>
          <w:p w14:paraId="05C1AC44">
            <w:pPr>
              <w:pStyle w:val="11"/>
            </w:pPr>
          </w:p>
        </w:tc>
        <w:tc>
          <w:tcPr>
            <w:tcW w:w="1134" w:type="dxa"/>
            <w:vAlign w:val="center"/>
          </w:tcPr>
          <w:p w14:paraId="75F9B257">
            <w:pPr>
              <w:pStyle w:val="11"/>
            </w:pPr>
          </w:p>
        </w:tc>
        <w:tc>
          <w:tcPr>
            <w:tcW w:w="1134" w:type="dxa"/>
            <w:vAlign w:val="center"/>
          </w:tcPr>
          <w:p w14:paraId="70AD4B25">
            <w:pPr>
              <w:pStyle w:val="11"/>
            </w:pPr>
          </w:p>
        </w:tc>
        <w:tc>
          <w:tcPr>
            <w:tcW w:w="1134" w:type="dxa"/>
            <w:vAlign w:val="center"/>
          </w:tcPr>
          <w:p w14:paraId="4D8F3196">
            <w:pPr>
              <w:pStyle w:val="11"/>
            </w:pPr>
          </w:p>
        </w:tc>
      </w:tr>
      <w:tr w14:paraId="3A01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26ECF">
            <w:pPr>
              <w:pStyle w:val="13"/>
            </w:pPr>
            <w:r>
              <w:t>3</w:t>
            </w:r>
          </w:p>
        </w:tc>
        <w:tc>
          <w:tcPr>
            <w:tcW w:w="992" w:type="dxa"/>
            <w:vAlign w:val="center"/>
          </w:tcPr>
          <w:p w14:paraId="52D5998F">
            <w:pPr>
              <w:pStyle w:val="12"/>
            </w:pPr>
            <w:r>
              <w:t>20502</w:t>
            </w:r>
          </w:p>
        </w:tc>
        <w:tc>
          <w:tcPr>
            <w:tcW w:w="1559" w:type="dxa"/>
            <w:vAlign w:val="center"/>
          </w:tcPr>
          <w:p w14:paraId="1E648BE3">
            <w:pPr>
              <w:pStyle w:val="12"/>
            </w:pPr>
            <w:r>
              <w:t>普通教育</w:t>
            </w:r>
          </w:p>
        </w:tc>
        <w:tc>
          <w:tcPr>
            <w:tcW w:w="1134" w:type="dxa"/>
            <w:vAlign w:val="center"/>
          </w:tcPr>
          <w:p w14:paraId="695BE801">
            <w:pPr>
              <w:pStyle w:val="11"/>
            </w:pPr>
            <w:r>
              <w:t>2072.60</w:t>
            </w:r>
          </w:p>
        </w:tc>
        <w:tc>
          <w:tcPr>
            <w:tcW w:w="1134" w:type="dxa"/>
            <w:vAlign w:val="center"/>
          </w:tcPr>
          <w:p w14:paraId="684E07CE">
            <w:pPr>
              <w:pStyle w:val="11"/>
            </w:pPr>
            <w:r>
              <w:t>2072.60</w:t>
            </w:r>
          </w:p>
        </w:tc>
        <w:tc>
          <w:tcPr>
            <w:tcW w:w="1134" w:type="dxa"/>
            <w:vAlign w:val="center"/>
          </w:tcPr>
          <w:p w14:paraId="357EF324">
            <w:pPr>
              <w:pStyle w:val="11"/>
            </w:pPr>
            <w:r>
              <w:t>2072.60</w:t>
            </w:r>
          </w:p>
        </w:tc>
        <w:tc>
          <w:tcPr>
            <w:tcW w:w="1134" w:type="dxa"/>
            <w:vAlign w:val="center"/>
          </w:tcPr>
          <w:p w14:paraId="27745107">
            <w:pPr>
              <w:pStyle w:val="11"/>
            </w:pPr>
          </w:p>
        </w:tc>
        <w:tc>
          <w:tcPr>
            <w:tcW w:w="1134" w:type="dxa"/>
            <w:vAlign w:val="center"/>
          </w:tcPr>
          <w:p w14:paraId="66228710">
            <w:pPr>
              <w:pStyle w:val="11"/>
            </w:pPr>
          </w:p>
        </w:tc>
        <w:tc>
          <w:tcPr>
            <w:tcW w:w="1134" w:type="dxa"/>
            <w:vAlign w:val="center"/>
          </w:tcPr>
          <w:p w14:paraId="7F51D348">
            <w:pPr>
              <w:pStyle w:val="11"/>
            </w:pPr>
          </w:p>
        </w:tc>
        <w:tc>
          <w:tcPr>
            <w:tcW w:w="1134" w:type="dxa"/>
            <w:vAlign w:val="center"/>
          </w:tcPr>
          <w:p w14:paraId="252C4041">
            <w:pPr>
              <w:pStyle w:val="11"/>
            </w:pPr>
          </w:p>
        </w:tc>
        <w:tc>
          <w:tcPr>
            <w:tcW w:w="1134" w:type="dxa"/>
            <w:vAlign w:val="center"/>
          </w:tcPr>
          <w:p w14:paraId="6BD38F97">
            <w:pPr>
              <w:pStyle w:val="11"/>
            </w:pPr>
          </w:p>
        </w:tc>
        <w:tc>
          <w:tcPr>
            <w:tcW w:w="1134" w:type="dxa"/>
            <w:vAlign w:val="center"/>
          </w:tcPr>
          <w:p w14:paraId="59100058">
            <w:pPr>
              <w:pStyle w:val="11"/>
            </w:pPr>
          </w:p>
        </w:tc>
        <w:tc>
          <w:tcPr>
            <w:tcW w:w="1134" w:type="dxa"/>
            <w:vAlign w:val="center"/>
          </w:tcPr>
          <w:p w14:paraId="10C24D92">
            <w:pPr>
              <w:pStyle w:val="11"/>
            </w:pPr>
          </w:p>
        </w:tc>
      </w:tr>
      <w:tr w14:paraId="603C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CE17C">
            <w:pPr>
              <w:pStyle w:val="13"/>
            </w:pPr>
            <w:r>
              <w:t>4</w:t>
            </w:r>
          </w:p>
        </w:tc>
        <w:tc>
          <w:tcPr>
            <w:tcW w:w="992" w:type="dxa"/>
            <w:vAlign w:val="center"/>
          </w:tcPr>
          <w:p w14:paraId="6CA07C48">
            <w:pPr>
              <w:pStyle w:val="12"/>
            </w:pPr>
            <w:r>
              <w:t>2050202</w:t>
            </w:r>
          </w:p>
        </w:tc>
        <w:tc>
          <w:tcPr>
            <w:tcW w:w="1559" w:type="dxa"/>
            <w:vAlign w:val="center"/>
          </w:tcPr>
          <w:p w14:paraId="4502B0D0">
            <w:pPr>
              <w:pStyle w:val="12"/>
            </w:pPr>
            <w:r>
              <w:t>小学教育</w:t>
            </w:r>
          </w:p>
        </w:tc>
        <w:tc>
          <w:tcPr>
            <w:tcW w:w="1134" w:type="dxa"/>
            <w:vAlign w:val="center"/>
          </w:tcPr>
          <w:p w14:paraId="0035897E">
            <w:pPr>
              <w:pStyle w:val="11"/>
            </w:pPr>
            <w:r>
              <w:t>2072.60</w:t>
            </w:r>
          </w:p>
        </w:tc>
        <w:tc>
          <w:tcPr>
            <w:tcW w:w="1134" w:type="dxa"/>
            <w:vAlign w:val="center"/>
          </w:tcPr>
          <w:p w14:paraId="1C444B5B">
            <w:pPr>
              <w:pStyle w:val="11"/>
            </w:pPr>
            <w:r>
              <w:t>2072.60</w:t>
            </w:r>
          </w:p>
        </w:tc>
        <w:tc>
          <w:tcPr>
            <w:tcW w:w="1134" w:type="dxa"/>
            <w:vAlign w:val="center"/>
          </w:tcPr>
          <w:p w14:paraId="4BC055B8">
            <w:pPr>
              <w:pStyle w:val="11"/>
            </w:pPr>
            <w:r>
              <w:t>2072.60</w:t>
            </w:r>
          </w:p>
        </w:tc>
        <w:tc>
          <w:tcPr>
            <w:tcW w:w="1134" w:type="dxa"/>
            <w:vAlign w:val="center"/>
          </w:tcPr>
          <w:p w14:paraId="0BE65582">
            <w:pPr>
              <w:pStyle w:val="11"/>
            </w:pPr>
          </w:p>
        </w:tc>
        <w:tc>
          <w:tcPr>
            <w:tcW w:w="1134" w:type="dxa"/>
            <w:vAlign w:val="center"/>
          </w:tcPr>
          <w:p w14:paraId="236B7173">
            <w:pPr>
              <w:pStyle w:val="11"/>
            </w:pPr>
          </w:p>
        </w:tc>
        <w:tc>
          <w:tcPr>
            <w:tcW w:w="1134" w:type="dxa"/>
            <w:vAlign w:val="center"/>
          </w:tcPr>
          <w:p w14:paraId="64E29CD6">
            <w:pPr>
              <w:pStyle w:val="11"/>
            </w:pPr>
          </w:p>
        </w:tc>
        <w:tc>
          <w:tcPr>
            <w:tcW w:w="1134" w:type="dxa"/>
            <w:vAlign w:val="center"/>
          </w:tcPr>
          <w:p w14:paraId="678F03A4">
            <w:pPr>
              <w:pStyle w:val="11"/>
            </w:pPr>
          </w:p>
        </w:tc>
        <w:tc>
          <w:tcPr>
            <w:tcW w:w="1134" w:type="dxa"/>
            <w:vAlign w:val="center"/>
          </w:tcPr>
          <w:p w14:paraId="6449211F">
            <w:pPr>
              <w:pStyle w:val="11"/>
            </w:pPr>
          </w:p>
        </w:tc>
        <w:tc>
          <w:tcPr>
            <w:tcW w:w="1134" w:type="dxa"/>
            <w:vAlign w:val="center"/>
          </w:tcPr>
          <w:p w14:paraId="48E66A49">
            <w:pPr>
              <w:pStyle w:val="11"/>
            </w:pPr>
          </w:p>
        </w:tc>
        <w:tc>
          <w:tcPr>
            <w:tcW w:w="1134" w:type="dxa"/>
            <w:vAlign w:val="center"/>
          </w:tcPr>
          <w:p w14:paraId="5A43A85F">
            <w:pPr>
              <w:pStyle w:val="11"/>
            </w:pPr>
          </w:p>
        </w:tc>
      </w:tr>
    </w:tbl>
    <w:p w14:paraId="3BDF2D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9B6C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13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3CB58F">
            <w:pPr>
              <w:pStyle w:val="9"/>
            </w:pPr>
            <w:r>
              <w:t>360013隆尧县实验小学</w:t>
            </w:r>
          </w:p>
        </w:tc>
        <w:tc>
          <w:tcPr>
            <w:tcW w:w="2722" w:type="dxa"/>
            <w:gridSpan w:val="2"/>
            <w:tcBorders>
              <w:top w:val="single" w:color="FFFFFF" w:sz="6" w:space="0"/>
              <w:left w:val="single" w:color="FFFFFF" w:sz="6" w:space="0"/>
              <w:right w:val="single" w:color="FFFFFF" w:sz="6" w:space="0"/>
            </w:tcBorders>
            <w:vAlign w:val="center"/>
          </w:tcPr>
          <w:p w14:paraId="01BAA20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8104C34">
            <w:pPr>
              <w:pStyle w:val="7"/>
            </w:pPr>
            <w:r>
              <w:t>单位：万元</w:t>
            </w:r>
          </w:p>
        </w:tc>
      </w:tr>
      <w:tr w14:paraId="081F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6CDE0">
            <w:pPr>
              <w:pStyle w:val="10"/>
            </w:pPr>
            <w:r>
              <w:t>序号</w:t>
            </w:r>
          </w:p>
        </w:tc>
        <w:tc>
          <w:tcPr>
            <w:tcW w:w="5527" w:type="dxa"/>
            <w:gridSpan w:val="2"/>
            <w:vAlign w:val="center"/>
          </w:tcPr>
          <w:p w14:paraId="082F34D9">
            <w:pPr>
              <w:pStyle w:val="10"/>
            </w:pPr>
            <w:r>
              <w:t>功能分类科目</w:t>
            </w:r>
          </w:p>
        </w:tc>
        <w:tc>
          <w:tcPr>
            <w:tcW w:w="1361" w:type="dxa"/>
            <w:vMerge w:val="restart"/>
            <w:vAlign w:val="center"/>
          </w:tcPr>
          <w:p w14:paraId="0CFBA364">
            <w:pPr>
              <w:pStyle w:val="10"/>
            </w:pPr>
            <w:r>
              <w:t>合计</w:t>
            </w:r>
          </w:p>
        </w:tc>
        <w:tc>
          <w:tcPr>
            <w:tcW w:w="1361" w:type="dxa"/>
            <w:vMerge w:val="restart"/>
            <w:vAlign w:val="center"/>
          </w:tcPr>
          <w:p w14:paraId="2FC8307B">
            <w:pPr>
              <w:pStyle w:val="10"/>
            </w:pPr>
            <w:r>
              <w:t>基本支出</w:t>
            </w:r>
          </w:p>
        </w:tc>
        <w:tc>
          <w:tcPr>
            <w:tcW w:w="1361" w:type="dxa"/>
            <w:vMerge w:val="restart"/>
            <w:vAlign w:val="center"/>
          </w:tcPr>
          <w:p w14:paraId="471767F1">
            <w:pPr>
              <w:pStyle w:val="10"/>
            </w:pPr>
            <w:r>
              <w:t>项目支出</w:t>
            </w:r>
          </w:p>
        </w:tc>
        <w:tc>
          <w:tcPr>
            <w:tcW w:w="1361" w:type="dxa"/>
            <w:vMerge w:val="restart"/>
            <w:vAlign w:val="center"/>
          </w:tcPr>
          <w:p w14:paraId="34F326D5">
            <w:pPr>
              <w:pStyle w:val="10"/>
            </w:pPr>
            <w:r>
              <w:t>经营支出</w:t>
            </w:r>
          </w:p>
        </w:tc>
        <w:tc>
          <w:tcPr>
            <w:tcW w:w="1361" w:type="dxa"/>
            <w:vMerge w:val="restart"/>
            <w:vAlign w:val="center"/>
          </w:tcPr>
          <w:p w14:paraId="7C5B6908">
            <w:pPr>
              <w:pStyle w:val="10"/>
            </w:pPr>
            <w:r>
              <w:t>上解上级     支出</w:t>
            </w:r>
          </w:p>
        </w:tc>
        <w:tc>
          <w:tcPr>
            <w:tcW w:w="1361" w:type="dxa"/>
            <w:vMerge w:val="restart"/>
            <w:vAlign w:val="center"/>
          </w:tcPr>
          <w:p w14:paraId="36CCCE40">
            <w:pPr>
              <w:pStyle w:val="10"/>
            </w:pPr>
            <w:r>
              <w:t>对附属单位补助支出</w:t>
            </w:r>
          </w:p>
        </w:tc>
      </w:tr>
      <w:tr w14:paraId="5039D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3C7B5"/>
        </w:tc>
        <w:tc>
          <w:tcPr>
            <w:tcW w:w="992" w:type="dxa"/>
            <w:vAlign w:val="center"/>
          </w:tcPr>
          <w:p w14:paraId="1145A8AC">
            <w:pPr>
              <w:pStyle w:val="10"/>
            </w:pPr>
            <w:r>
              <w:t>科目    编码</w:t>
            </w:r>
          </w:p>
        </w:tc>
        <w:tc>
          <w:tcPr>
            <w:tcW w:w="4535" w:type="dxa"/>
            <w:vAlign w:val="center"/>
          </w:tcPr>
          <w:p w14:paraId="1F217449">
            <w:pPr>
              <w:pStyle w:val="10"/>
            </w:pPr>
            <w:r>
              <w:t>科目名称</w:t>
            </w:r>
          </w:p>
        </w:tc>
        <w:tc>
          <w:tcPr>
            <w:tcW w:w="1361" w:type="dxa"/>
            <w:vMerge w:val="continue"/>
          </w:tcPr>
          <w:p w14:paraId="10FC8093"/>
        </w:tc>
        <w:tc>
          <w:tcPr>
            <w:tcW w:w="1361" w:type="dxa"/>
            <w:vMerge w:val="continue"/>
          </w:tcPr>
          <w:p w14:paraId="5BA46779"/>
        </w:tc>
        <w:tc>
          <w:tcPr>
            <w:tcW w:w="1361" w:type="dxa"/>
            <w:vMerge w:val="continue"/>
          </w:tcPr>
          <w:p w14:paraId="0E08D49F"/>
        </w:tc>
        <w:tc>
          <w:tcPr>
            <w:tcW w:w="1361" w:type="dxa"/>
            <w:vMerge w:val="continue"/>
          </w:tcPr>
          <w:p w14:paraId="416436D4"/>
        </w:tc>
        <w:tc>
          <w:tcPr>
            <w:tcW w:w="1361" w:type="dxa"/>
            <w:vMerge w:val="continue"/>
          </w:tcPr>
          <w:p w14:paraId="770928EC"/>
        </w:tc>
        <w:tc>
          <w:tcPr>
            <w:tcW w:w="1361" w:type="dxa"/>
            <w:vMerge w:val="continue"/>
          </w:tcPr>
          <w:p w14:paraId="39AE2445"/>
        </w:tc>
      </w:tr>
      <w:tr w14:paraId="684D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FD8CF9">
            <w:pPr>
              <w:pStyle w:val="10"/>
            </w:pPr>
            <w:r>
              <w:t>栏次</w:t>
            </w:r>
          </w:p>
        </w:tc>
        <w:tc>
          <w:tcPr>
            <w:tcW w:w="992" w:type="dxa"/>
            <w:vAlign w:val="center"/>
          </w:tcPr>
          <w:p w14:paraId="00345FF5">
            <w:pPr>
              <w:pStyle w:val="10"/>
            </w:pPr>
            <w:r>
              <w:t>1</w:t>
            </w:r>
          </w:p>
        </w:tc>
        <w:tc>
          <w:tcPr>
            <w:tcW w:w="4535" w:type="dxa"/>
            <w:vAlign w:val="center"/>
          </w:tcPr>
          <w:p w14:paraId="403601B7">
            <w:pPr>
              <w:pStyle w:val="10"/>
            </w:pPr>
            <w:r>
              <w:t>2</w:t>
            </w:r>
          </w:p>
        </w:tc>
        <w:tc>
          <w:tcPr>
            <w:tcW w:w="1361" w:type="dxa"/>
            <w:vAlign w:val="center"/>
          </w:tcPr>
          <w:p w14:paraId="033BB3B5">
            <w:pPr>
              <w:pStyle w:val="10"/>
            </w:pPr>
            <w:r>
              <w:t>3</w:t>
            </w:r>
          </w:p>
        </w:tc>
        <w:tc>
          <w:tcPr>
            <w:tcW w:w="1361" w:type="dxa"/>
            <w:vAlign w:val="center"/>
          </w:tcPr>
          <w:p w14:paraId="6B2D474D">
            <w:pPr>
              <w:pStyle w:val="10"/>
            </w:pPr>
            <w:r>
              <w:t>4</w:t>
            </w:r>
          </w:p>
        </w:tc>
        <w:tc>
          <w:tcPr>
            <w:tcW w:w="1361" w:type="dxa"/>
            <w:vAlign w:val="center"/>
          </w:tcPr>
          <w:p w14:paraId="53FF8730">
            <w:pPr>
              <w:pStyle w:val="10"/>
            </w:pPr>
            <w:r>
              <w:t>5</w:t>
            </w:r>
          </w:p>
        </w:tc>
        <w:tc>
          <w:tcPr>
            <w:tcW w:w="1361" w:type="dxa"/>
            <w:vAlign w:val="center"/>
          </w:tcPr>
          <w:p w14:paraId="4AE28569">
            <w:pPr>
              <w:pStyle w:val="10"/>
            </w:pPr>
            <w:r>
              <w:t>6</w:t>
            </w:r>
          </w:p>
        </w:tc>
        <w:tc>
          <w:tcPr>
            <w:tcW w:w="1361" w:type="dxa"/>
            <w:vAlign w:val="center"/>
          </w:tcPr>
          <w:p w14:paraId="4574384F">
            <w:pPr>
              <w:pStyle w:val="10"/>
            </w:pPr>
            <w:r>
              <w:t>7</w:t>
            </w:r>
          </w:p>
        </w:tc>
        <w:tc>
          <w:tcPr>
            <w:tcW w:w="1361" w:type="dxa"/>
            <w:vAlign w:val="center"/>
          </w:tcPr>
          <w:p w14:paraId="19CA682C">
            <w:pPr>
              <w:pStyle w:val="10"/>
            </w:pPr>
            <w:r>
              <w:t>8</w:t>
            </w:r>
          </w:p>
        </w:tc>
      </w:tr>
      <w:tr w14:paraId="0AFF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17E3">
            <w:pPr>
              <w:pStyle w:val="13"/>
            </w:pPr>
            <w:r>
              <w:t>1</w:t>
            </w:r>
          </w:p>
        </w:tc>
        <w:tc>
          <w:tcPr>
            <w:tcW w:w="992" w:type="dxa"/>
            <w:vAlign w:val="center"/>
          </w:tcPr>
          <w:p w14:paraId="2D0495BC">
            <w:pPr>
              <w:pStyle w:val="16"/>
            </w:pPr>
          </w:p>
        </w:tc>
        <w:tc>
          <w:tcPr>
            <w:tcW w:w="4535" w:type="dxa"/>
            <w:vAlign w:val="center"/>
          </w:tcPr>
          <w:p w14:paraId="255A04EE">
            <w:pPr>
              <w:pStyle w:val="14"/>
            </w:pPr>
            <w:r>
              <w:t>合计</w:t>
            </w:r>
          </w:p>
        </w:tc>
        <w:tc>
          <w:tcPr>
            <w:tcW w:w="1361" w:type="dxa"/>
            <w:vAlign w:val="center"/>
          </w:tcPr>
          <w:p w14:paraId="70470E8C">
            <w:pPr>
              <w:pStyle w:val="15"/>
            </w:pPr>
            <w:r>
              <w:t>2072.60</w:t>
            </w:r>
          </w:p>
        </w:tc>
        <w:tc>
          <w:tcPr>
            <w:tcW w:w="1361" w:type="dxa"/>
            <w:vAlign w:val="center"/>
          </w:tcPr>
          <w:p w14:paraId="3EF356CB">
            <w:pPr>
              <w:pStyle w:val="15"/>
            </w:pPr>
            <w:r>
              <w:t>1734.07</w:t>
            </w:r>
          </w:p>
        </w:tc>
        <w:tc>
          <w:tcPr>
            <w:tcW w:w="1361" w:type="dxa"/>
            <w:vAlign w:val="center"/>
          </w:tcPr>
          <w:p w14:paraId="3906F6CA">
            <w:pPr>
              <w:pStyle w:val="15"/>
            </w:pPr>
            <w:r>
              <w:t>338.53</w:t>
            </w:r>
          </w:p>
        </w:tc>
        <w:tc>
          <w:tcPr>
            <w:tcW w:w="1361" w:type="dxa"/>
            <w:vAlign w:val="center"/>
          </w:tcPr>
          <w:p w14:paraId="79A5AED2">
            <w:pPr>
              <w:pStyle w:val="15"/>
            </w:pPr>
          </w:p>
        </w:tc>
        <w:tc>
          <w:tcPr>
            <w:tcW w:w="1361" w:type="dxa"/>
            <w:vAlign w:val="center"/>
          </w:tcPr>
          <w:p w14:paraId="4CF65CBB">
            <w:pPr>
              <w:pStyle w:val="15"/>
            </w:pPr>
          </w:p>
        </w:tc>
        <w:tc>
          <w:tcPr>
            <w:tcW w:w="1361" w:type="dxa"/>
            <w:vAlign w:val="center"/>
          </w:tcPr>
          <w:p w14:paraId="36957B1E">
            <w:pPr>
              <w:pStyle w:val="15"/>
            </w:pPr>
          </w:p>
        </w:tc>
      </w:tr>
      <w:tr w14:paraId="059E9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E9070">
            <w:pPr>
              <w:pStyle w:val="13"/>
            </w:pPr>
            <w:r>
              <w:t>2</w:t>
            </w:r>
          </w:p>
        </w:tc>
        <w:tc>
          <w:tcPr>
            <w:tcW w:w="992" w:type="dxa"/>
            <w:vAlign w:val="center"/>
          </w:tcPr>
          <w:p w14:paraId="0319AD72">
            <w:pPr>
              <w:pStyle w:val="12"/>
            </w:pPr>
            <w:r>
              <w:t>205</w:t>
            </w:r>
          </w:p>
        </w:tc>
        <w:tc>
          <w:tcPr>
            <w:tcW w:w="4535" w:type="dxa"/>
            <w:vAlign w:val="center"/>
          </w:tcPr>
          <w:p w14:paraId="7F46FE03">
            <w:pPr>
              <w:pStyle w:val="12"/>
            </w:pPr>
            <w:r>
              <w:t>教育支出</w:t>
            </w:r>
          </w:p>
        </w:tc>
        <w:tc>
          <w:tcPr>
            <w:tcW w:w="1361" w:type="dxa"/>
            <w:vAlign w:val="center"/>
          </w:tcPr>
          <w:p w14:paraId="2C58A3D4">
            <w:pPr>
              <w:pStyle w:val="11"/>
            </w:pPr>
            <w:r>
              <w:t>2072.60</w:t>
            </w:r>
          </w:p>
        </w:tc>
        <w:tc>
          <w:tcPr>
            <w:tcW w:w="1361" w:type="dxa"/>
            <w:vAlign w:val="center"/>
          </w:tcPr>
          <w:p w14:paraId="31B874D6">
            <w:pPr>
              <w:pStyle w:val="11"/>
            </w:pPr>
            <w:r>
              <w:t>1734.07</w:t>
            </w:r>
          </w:p>
        </w:tc>
        <w:tc>
          <w:tcPr>
            <w:tcW w:w="1361" w:type="dxa"/>
            <w:vAlign w:val="center"/>
          </w:tcPr>
          <w:p w14:paraId="771D9852">
            <w:pPr>
              <w:pStyle w:val="11"/>
            </w:pPr>
            <w:r>
              <w:t>338.53</w:t>
            </w:r>
          </w:p>
        </w:tc>
        <w:tc>
          <w:tcPr>
            <w:tcW w:w="1361" w:type="dxa"/>
            <w:vAlign w:val="center"/>
          </w:tcPr>
          <w:p w14:paraId="7446A0DF">
            <w:pPr>
              <w:pStyle w:val="11"/>
            </w:pPr>
          </w:p>
        </w:tc>
        <w:tc>
          <w:tcPr>
            <w:tcW w:w="1361" w:type="dxa"/>
            <w:vAlign w:val="center"/>
          </w:tcPr>
          <w:p w14:paraId="5AF94B3F">
            <w:pPr>
              <w:pStyle w:val="11"/>
            </w:pPr>
          </w:p>
        </w:tc>
        <w:tc>
          <w:tcPr>
            <w:tcW w:w="1361" w:type="dxa"/>
            <w:vAlign w:val="center"/>
          </w:tcPr>
          <w:p w14:paraId="540BE314">
            <w:pPr>
              <w:pStyle w:val="11"/>
            </w:pPr>
          </w:p>
        </w:tc>
      </w:tr>
      <w:tr w14:paraId="1919E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FC4D">
            <w:pPr>
              <w:pStyle w:val="13"/>
            </w:pPr>
            <w:r>
              <w:t>3</w:t>
            </w:r>
          </w:p>
        </w:tc>
        <w:tc>
          <w:tcPr>
            <w:tcW w:w="992" w:type="dxa"/>
            <w:vAlign w:val="center"/>
          </w:tcPr>
          <w:p w14:paraId="397E2318">
            <w:pPr>
              <w:pStyle w:val="12"/>
            </w:pPr>
            <w:r>
              <w:t>20502</w:t>
            </w:r>
          </w:p>
        </w:tc>
        <w:tc>
          <w:tcPr>
            <w:tcW w:w="4535" w:type="dxa"/>
            <w:vAlign w:val="center"/>
          </w:tcPr>
          <w:p w14:paraId="4E3AA480">
            <w:pPr>
              <w:pStyle w:val="12"/>
            </w:pPr>
            <w:r>
              <w:t>普通教育</w:t>
            </w:r>
          </w:p>
        </w:tc>
        <w:tc>
          <w:tcPr>
            <w:tcW w:w="1361" w:type="dxa"/>
            <w:vAlign w:val="center"/>
          </w:tcPr>
          <w:p w14:paraId="5D5EA4BA">
            <w:pPr>
              <w:pStyle w:val="11"/>
            </w:pPr>
            <w:r>
              <w:t>2072.60</w:t>
            </w:r>
          </w:p>
        </w:tc>
        <w:tc>
          <w:tcPr>
            <w:tcW w:w="1361" w:type="dxa"/>
            <w:vAlign w:val="center"/>
          </w:tcPr>
          <w:p w14:paraId="093CF0C3">
            <w:pPr>
              <w:pStyle w:val="11"/>
            </w:pPr>
            <w:r>
              <w:t>1734.07</w:t>
            </w:r>
          </w:p>
        </w:tc>
        <w:tc>
          <w:tcPr>
            <w:tcW w:w="1361" w:type="dxa"/>
            <w:vAlign w:val="center"/>
          </w:tcPr>
          <w:p w14:paraId="658B8B97">
            <w:pPr>
              <w:pStyle w:val="11"/>
            </w:pPr>
            <w:r>
              <w:t>338.53</w:t>
            </w:r>
          </w:p>
        </w:tc>
        <w:tc>
          <w:tcPr>
            <w:tcW w:w="1361" w:type="dxa"/>
            <w:vAlign w:val="center"/>
          </w:tcPr>
          <w:p w14:paraId="240961BC">
            <w:pPr>
              <w:pStyle w:val="11"/>
            </w:pPr>
          </w:p>
        </w:tc>
        <w:tc>
          <w:tcPr>
            <w:tcW w:w="1361" w:type="dxa"/>
            <w:vAlign w:val="center"/>
          </w:tcPr>
          <w:p w14:paraId="1B3701DE">
            <w:pPr>
              <w:pStyle w:val="11"/>
            </w:pPr>
          </w:p>
        </w:tc>
        <w:tc>
          <w:tcPr>
            <w:tcW w:w="1361" w:type="dxa"/>
            <w:vAlign w:val="center"/>
          </w:tcPr>
          <w:p w14:paraId="34B2BA5E">
            <w:pPr>
              <w:pStyle w:val="11"/>
            </w:pPr>
          </w:p>
        </w:tc>
      </w:tr>
      <w:tr w14:paraId="1401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6EC2">
            <w:pPr>
              <w:pStyle w:val="13"/>
            </w:pPr>
            <w:r>
              <w:t>4</w:t>
            </w:r>
          </w:p>
        </w:tc>
        <w:tc>
          <w:tcPr>
            <w:tcW w:w="992" w:type="dxa"/>
            <w:vAlign w:val="center"/>
          </w:tcPr>
          <w:p w14:paraId="39C14664">
            <w:pPr>
              <w:pStyle w:val="12"/>
            </w:pPr>
            <w:r>
              <w:t>2050202</w:t>
            </w:r>
          </w:p>
        </w:tc>
        <w:tc>
          <w:tcPr>
            <w:tcW w:w="4535" w:type="dxa"/>
            <w:vAlign w:val="center"/>
          </w:tcPr>
          <w:p w14:paraId="0C71FCC9">
            <w:pPr>
              <w:pStyle w:val="12"/>
            </w:pPr>
            <w:r>
              <w:t>小学教育</w:t>
            </w:r>
          </w:p>
        </w:tc>
        <w:tc>
          <w:tcPr>
            <w:tcW w:w="1361" w:type="dxa"/>
            <w:vAlign w:val="center"/>
          </w:tcPr>
          <w:p w14:paraId="5E8552BC">
            <w:pPr>
              <w:pStyle w:val="11"/>
            </w:pPr>
            <w:r>
              <w:t>2072.60</w:t>
            </w:r>
          </w:p>
        </w:tc>
        <w:tc>
          <w:tcPr>
            <w:tcW w:w="1361" w:type="dxa"/>
            <w:vAlign w:val="center"/>
          </w:tcPr>
          <w:p w14:paraId="195F006C">
            <w:pPr>
              <w:pStyle w:val="11"/>
            </w:pPr>
            <w:r>
              <w:t>1734.07</w:t>
            </w:r>
          </w:p>
        </w:tc>
        <w:tc>
          <w:tcPr>
            <w:tcW w:w="1361" w:type="dxa"/>
            <w:vAlign w:val="center"/>
          </w:tcPr>
          <w:p w14:paraId="273BA4AC">
            <w:pPr>
              <w:pStyle w:val="11"/>
            </w:pPr>
            <w:r>
              <w:t>338.53</w:t>
            </w:r>
          </w:p>
        </w:tc>
        <w:tc>
          <w:tcPr>
            <w:tcW w:w="1361" w:type="dxa"/>
            <w:vAlign w:val="center"/>
          </w:tcPr>
          <w:p w14:paraId="44F04E31">
            <w:pPr>
              <w:pStyle w:val="11"/>
            </w:pPr>
          </w:p>
        </w:tc>
        <w:tc>
          <w:tcPr>
            <w:tcW w:w="1361" w:type="dxa"/>
            <w:vAlign w:val="center"/>
          </w:tcPr>
          <w:p w14:paraId="4EF057CB">
            <w:pPr>
              <w:pStyle w:val="11"/>
            </w:pPr>
          </w:p>
        </w:tc>
        <w:tc>
          <w:tcPr>
            <w:tcW w:w="1361" w:type="dxa"/>
            <w:vAlign w:val="center"/>
          </w:tcPr>
          <w:p w14:paraId="22F80418">
            <w:pPr>
              <w:pStyle w:val="11"/>
            </w:pPr>
          </w:p>
        </w:tc>
      </w:tr>
    </w:tbl>
    <w:p w14:paraId="190162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6968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F5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CC7C7D">
            <w:pPr>
              <w:pStyle w:val="9"/>
            </w:pPr>
            <w:r>
              <w:t>360013隆尧县实验小学</w:t>
            </w:r>
          </w:p>
        </w:tc>
        <w:tc>
          <w:tcPr>
            <w:tcW w:w="3402" w:type="dxa"/>
            <w:tcBorders>
              <w:top w:val="single" w:color="FFFFFF" w:sz="6" w:space="0"/>
              <w:left w:val="single" w:color="FFFFFF" w:sz="6" w:space="0"/>
              <w:right w:val="single" w:color="FFFFFF" w:sz="6" w:space="0"/>
            </w:tcBorders>
            <w:vAlign w:val="center"/>
          </w:tcPr>
          <w:p w14:paraId="2DFDF0C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D294AD">
            <w:pPr>
              <w:pStyle w:val="7"/>
            </w:pPr>
            <w:r>
              <w:t>单位：万元</w:t>
            </w:r>
          </w:p>
        </w:tc>
      </w:tr>
      <w:tr w14:paraId="6066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2A129">
            <w:pPr>
              <w:pStyle w:val="10"/>
            </w:pPr>
            <w:r>
              <w:t>序号</w:t>
            </w:r>
          </w:p>
        </w:tc>
        <w:tc>
          <w:tcPr>
            <w:tcW w:w="4876" w:type="dxa"/>
            <w:gridSpan w:val="2"/>
            <w:vAlign w:val="center"/>
          </w:tcPr>
          <w:p w14:paraId="626D1E65">
            <w:pPr>
              <w:pStyle w:val="10"/>
            </w:pPr>
            <w:r>
              <w:t>收入</w:t>
            </w:r>
          </w:p>
        </w:tc>
        <w:tc>
          <w:tcPr>
            <w:tcW w:w="9298" w:type="dxa"/>
            <w:gridSpan w:val="5"/>
            <w:vAlign w:val="center"/>
          </w:tcPr>
          <w:p w14:paraId="7CFF0FE1">
            <w:pPr>
              <w:pStyle w:val="10"/>
            </w:pPr>
            <w:r>
              <w:t>支出</w:t>
            </w:r>
          </w:p>
        </w:tc>
      </w:tr>
      <w:tr w14:paraId="7515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DC941A"/>
        </w:tc>
        <w:tc>
          <w:tcPr>
            <w:tcW w:w="3402" w:type="dxa"/>
            <w:vAlign w:val="center"/>
          </w:tcPr>
          <w:p w14:paraId="74DA45D3">
            <w:pPr>
              <w:pStyle w:val="10"/>
            </w:pPr>
            <w:r>
              <w:t>项  目</w:t>
            </w:r>
          </w:p>
        </w:tc>
        <w:tc>
          <w:tcPr>
            <w:tcW w:w="1474" w:type="dxa"/>
            <w:vAlign w:val="center"/>
          </w:tcPr>
          <w:p w14:paraId="7F07D807">
            <w:pPr>
              <w:pStyle w:val="10"/>
            </w:pPr>
            <w:r>
              <w:t>金额</w:t>
            </w:r>
          </w:p>
        </w:tc>
        <w:tc>
          <w:tcPr>
            <w:tcW w:w="3402" w:type="dxa"/>
            <w:vAlign w:val="center"/>
          </w:tcPr>
          <w:p w14:paraId="024C0202">
            <w:pPr>
              <w:pStyle w:val="10"/>
            </w:pPr>
            <w:r>
              <w:t>项  目</w:t>
            </w:r>
          </w:p>
        </w:tc>
        <w:tc>
          <w:tcPr>
            <w:tcW w:w="1474" w:type="dxa"/>
            <w:vAlign w:val="center"/>
          </w:tcPr>
          <w:p w14:paraId="539D0551">
            <w:pPr>
              <w:pStyle w:val="10"/>
            </w:pPr>
            <w:r>
              <w:t>合计</w:t>
            </w:r>
          </w:p>
        </w:tc>
        <w:tc>
          <w:tcPr>
            <w:tcW w:w="1474" w:type="dxa"/>
            <w:vAlign w:val="center"/>
          </w:tcPr>
          <w:p w14:paraId="24A93AC4">
            <w:pPr>
              <w:pStyle w:val="10"/>
            </w:pPr>
            <w:r>
              <w:t>一般公共预算财政拨款</w:t>
            </w:r>
          </w:p>
        </w:tc>
        <w:tc>
          <w:tcPr>
            <w:tcW w:w="1474" w:type="dxa"/>
            <w:vAlign w:val="center"/>
          </w:tcPr>
          <w:p w14:paraId="594BEDB4">
            <w:pPr>
              <w:pStyle w:val="10"/>
            </w:pPr>
            <w:r>
              <w:t>政府性基金预算财政    拨款</w:t>
            </w:r>
          </w:p>
        </w:tc>
        <w:tc>
          <w:tcPr>
            <w:tcW w:w="1474" w:type="dxa"/>
            <w:vAlign w:val="center"/>
          </w:tcPr>
          <w:p w14:paraId="3349F04B">
            <w:pPr>
              <w:pStyle w:val="10"/>
            </w:pPr>
            <w:r>
              <w:t>国有资本经营预算财政拨款</w:t>
            </w:r>
          </w:p>
        </w:tc>
      </w:tr>
      <w:tr w14:paraId="443D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2E854">
            <w:pPr>
              <w:pStyle w:val="10"/>
            </w:pPr>
            <w:r>
              <w:t>栏次</w:t>
            </w:r>
          </w:p>
        </w:tc>
        <w:tc>
          <w:tcPr>
            <w:tcW w:w="3402" w:type="dxa"/>
            <w:vAlign w:val="center"/>
          </w:tcPr>
          <w:p w14:paraId="381DE553">
            <w:pPr>
              <w:pStyle w:val="10"/>
            </w:pPr>
            <w:r>
              <w:t>1</w:t>
            </w:r>
          </w:p>
        </w:tc>
        <w:tc>
          <w:tcPr>
            <w:tcW w:w="1474" w:type="dxa"/>
            <w:vAlign w:val="center"/>
          </w:tcPr>
          <w:p w14:paraId="05ED39BD">
            <w:pPr>
              <w:pStyle w:val="10"/>
            </w:pPr>
            <w:r>
              <w:t>2</w:t>
            </w:r>
          </w:p>
        </w:tc>
        <w:tc>
          <w:tcPr>
            <w:tcW w:w="3402" w:type="dxa"/>
            <w:vAlign w:val="center"/>
          </w:tcPr>
          <w:p w14:paraId="2D7C3D84">
            <w:pPr>
              <w:pStyle w:val="10"/>
            </w:pPr>
            <w:r>
              <w:t>3</w:t>
            </w:r>
          </w:p>
        </w:tc>
        <w:tc>
          <w:tcPr>
            <w:tcW w:w="1474" w:type="dxa"/>
            <w:vAlign w:val="center"/>
          </w:tcPr>
          <w:p w14:paraId="4D3BA440">
            <w:pPr>
              <w:pStyle w:val="10"/>
            </w:pPr>
            <w:r>
              <w:t>4</w:t>
            </w:r>
          </w:p>
        </w:tc>
        <w:tc>
          <w:tcPr>
            <w:tcW w:w="1474" w:type="dxa"/>
            <w:vAlign w:val="center"/>
          </w:tcPr>
          <w:p w14:paraId="232FBCB3">
            <w:pPr>
              <w:pStyle w:val="10"/>
            </w:pPr>
            <w:r>
              <w:t>5</w:t>
            </w:r>
          </w:p>
        </w:tc>
        <w:tc>
          <w:tcPr>
            <w:tcW w:w="1474" w:type="dxa"/>
            <w:vAlign w:val="center"/>
          </w:tcPr>
          <w:p w14:paraId="650491E5">
            <w:pPr>
              <w:pStyle w:val="10"/>
            </w:pPr>
            <w:r>
              <w:t>6</w:t>
            </w:r>
          </w:p>
        </w:tc>
        <w:tc>
          <w:tcPr>
            <w:tcW w:w="1474" w:type="dxa"/>
            <w:vAlign w:val="center"/>
          </w:tcPr>
          <w:p w14:paraId="13436167">
            <w:pPr>
              <w:pStyle w:val="10"/>
            </w:pPr>
            <w:r>
              <w:t>7</w:t>
            </w:r>
          </w:p>
        </w:tc>
      </w:tr>
      <w:tr w14:paraId="53BE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F970A">
            <w:pPr>
              <w:pStyle w:val="13"/>
            </w:pPr>
            <w:r>
              <w:t>1</w:t>
            </w:r>
          </w:p>
        </w:tc>
        <w:tc>
          <w:tcPr>
            <w:tcW w:w="3402" w:type="dxa"/>
            <w:vAlign w:val="center"/>
          </w:tcPr>
          <w:p w14:paraId="30377A61">
            <w:pPr>
              <w:pStyle w:val="12"/>
            </w:pPr>
            <w:r>
              <w:t>一、一般公共预算拨款</w:t>
            </w:r>
          </w:p>
        </w:tc>
        <w:tc>
          <w:tcPr>
            <w:tcW w:w="1474" w:type="dxa"/>
            <w:vAlign w:val="center"/>
          </w:tcPr>
          <w:p w14:paraId="155667B4">
            <w:pPr>
              <w:pStyle w:val="11"/>
            </w:pPr>
            <w:r>
              <w:t>2072.60</w:t>
            </w:r>
          </w:p>
        </w:tc>
        <w:tc>
          <w:tcPr>
            <w:tcW w:w="3402" w:type="dxa"/>
            <w:vAlign w:val="center"/>
          </w:tcPr>
          <w:p w14:paraId="113499A2">
            <w:pPr>
              <w:pStyle w:val="12"/>
            </w:pPr>
            <w:r>
              <w:t>一、一般公共服务支出</w:t>
            </w:r>
          </w:p>
        </w:tc>
        <w:tc>
          <w:tcPr>
            <w:tcW w:w="1474" w:type="dxa"/>
            <w:vAlign w:val="center"/>
          </w:tcPr>
          <w:p w14:paraId="17AC5AAE">
            <w:pPr>
              <w:pStyle w:val="11"/>
            </w:pPr>
          </w:p>
        </w:tc>
        <w:tc>
          <w:tcPr>
            <w:tcW w:w="1474" w:type="dxa"/>
            <w:vAlign w:val="center"/>
          </w:tcPr>
          <w:p w14:paraId="52BD5254">
            <w:pPr>
              <w:pStyle w:val="11"/>
            </w:pPr>
          </w:p>
        </w:tc>
        <w:tc>
          <w:tcPr>
            <w:tcW w:w="1474" w:type="dxa"/>
            <w:vAlign w:val="center"/>
          </w:tcPr>
          <w:p w14:paraId="43CD9637">
            <w:pPr>
              <w:pStyle w:val="11"/>
            </w:pPr>
          </w:p>
        </w:tc>
        <w:tc>
          <w:tcPr>
            <w:tcW w:w="1474" w:type="dxa"/>
            <w:vAlign w:val="center"/>
          </w:tcPr>
          <w:p w14:paraId="120B1C63">
            <w:pPr>
              <w:pStyle w:val="11"/>
            </w:pPr>
          </w:p>
        </w:tc>
      </w:tr>
      <w:tr w14:paraId="64B4F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7FCF4">
            <w:pPr>
              <w:pStyle w:val="13"/>
            </w:pPr>
            <w:r>
              <w:t>2</w:t>
            </w:r>
          </w:p>
        </w:tc>
        <w:tc>
          <w:tcPr>
            <w:tcW w:w="3402" w:type="dxa"/>
            <w:vAlign w:val="center"/>
          </w:tcPr>
          <w:p w14:paraId="0004B097">
            <w:pPr>
              <w:pStyle w:val="12"/>
            </w:pPr>
            <w:r>
              <w:t>二、政府性基金预算拨款</w:t>
            </w:r>
          </w:p>
        </w:tc>
        <w:tc>
          <w:tcPr>
            <w:tcW w:w="1474" w:type="dxa"/>
            <w:vAlign w:val="center"/>
          </w:tcPr>
          <w:p w14:paraId="65F3AF36">
            <w:pPr>
              <w:pStyle w:val="11"/>
            </w:pPr>
          </w:p>
        </w:tc>
        <w:tc>
          <w:tcPr>
            <w:tcW w:w="3402" w:type="dxa"/>
            <w:vAlign w:val="center"/>
          </w:tcPr>
          <w:p w14:paraId="1E2E9BFC">
            <w:pPr>
              <w:pStyle w:val="12"/>
            </w:pPr>
            <w:r>
              <w:t>二、外交支出</w:t>
            </w:r>
          </w:p>
        </w:tc>
        <w:tc>
          <w:tcPr>
            <w:tcW w:w="1474" w:type="dxa"/>
            <w:vAlign w:val="center"/>
          </w:tcPr>
          <w:p w14:paraId="544E36F5">
            <w:pPr>
              <w:pStyle w:val="11"/>
            </w:pPr>
          </w:p>
        </w:tc>
        <w:tc>
          <w:tcPr>
            <w:tcW w:w="1474" w:type="dxa"/>
            <w:vAlign w:val="center"/>
          </w:tcPr>
          <w:p w14:paraId="4170BA0A">
            <w:pPr>
              <w:pStyle w:val="11"/>
            </w:pPr>
          </w:p>
        </w:tc>
        <w:tc>
          <w:tcPr>
            <w:tcW w:w="1474" w:type="dxa"/>
            <w:vAlign w:val="center"/>
          </w:tcPr>
          <w:p w14:paraId="2350722F">
            <w:pPr>
              <w:pStyle w:val="11"/>
            </w:pPr>
          </w:p>
        </w:tc>
        <w:tc>
          <w:tcPr>
            <w:tcW w:w="1474" w:type="dxa"/>
            <w:vAlign w:val="center"/>
          </w:tcPr>
          <w:p w14:paraId="0CACCDA2">
            <w:pPr>
              <w:pStyle w:val="11"/>
            </w:pPr>
          </w:p>
        </w:tc>
      </w:tr>
      <w:tr w14:paraId="7F01A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263F">
            <w:pPr>
              <w:pStyle w:val="13"/>
            </w:pPr>
            <w:r>
              <w:t>3</w:t>
            </w:r>
          </w:p>
        </w:tc>
        <w:tc>
          <w:tcPr>
            <w:tcW w:w="3402" w:type="dxa"/>
            <w:vAlign w:val="center"/>
          </w:tcPr>
          <w:p w14:paraId="24AF13FB">
            <w:pPr>
              <w:pStyle w:val="12"/>
            </w:pPr>
            <w:r>
              <w:t>三、国有资本经营预算拨款</w:t>
            </w:r>
          </w:p>
        </w:tc>
        <w:tc>
          <w:tcPr>
            <w:tcW w:w="1474" w:type="dxa"/>
            <w:vAlign w:val="center"/>
          </w:tcPr>
          <w:p w14:paraId="148C0C3D">
            <w:pPr>
              <w:pStyle w:val="11"/>
            </w:pPr>
          </w:p>
        </w:tc>
        <w:tc>
          <w:tcPr>
            <w:tcW w:w="3402" w:type="dxa"/>
            <w:vAlign w:val="center"/>
          </w:tcPr>
          <w:p w14:paraId="73C90BE1">
            <w:pPr>
              <w:pStyle w:val="12"/>
            </w:pPr>
            <w:r>
              <w:t>三、国防支出</w:t>
            </w:r>
          </w:p>
        </w:tc>
        <w:tc>
          <w:tcPr>
            <w:tcW w:w="1474" w:type="dxa"/>
            <w:vAlign w:val="center"/>
          </w:tcPr>
          <w:p w14:paraId="71757BA3">
            <w:pPr>
              <w:pStyle w:val="11"/>
            </w:pPr>
          </w:p>
        </w:tc>
        <w:tc>
          <w:tcPr>
            <w:tcW w:w="1474" w:type="dxa"/>
            <w:vAlign w:val="center"/>
          </w:tcPr>
          <w:p w14:paraId="7F8C2DCE">
            <w:pPr>
              <w:pStyle w:val="11"/>
            </w:pPr>
          </w:p>
        </w:tc>
        <w:tc>
          <w:tcPr>
            <w:tcW w:w="1474" w:type="dxa"/>
            <w:vAlign w:val="center"/>
          </w:tcPr>
          <w:p w14:paraId="463F9C5E">
            <w:pPr>
              <w:pStyle w:val="11"/>
            </w:pPr>
          </w:p>
        </w:tc>
        <w:tc>
          <w:tcPr>
            <w:tcW w:w="1474" w:type="dxa"/>
            <w:vAlign w:val="center"/>
          </w:tcPr>
          <w:p w14:paraId="00E08888">
            <w:pPr>
              <w:pStyle w:val="11"/>
            </w:pPr>
          </w:p>
        </w:tc>
      </w:tr>
      <w:tr w14:paraId="0351E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DF996">
            <w:pPr>
              <w:pStyle w:val="13"/>
            </w:pPr>
            <w:r>
              <w:t>4</w:t>
            </w:r>
          </w:p>
        </w:tc>
        <w:tc>
          <w:tcPr>
            <w:tcW w:w="3402" w:type="dxa"/>
            <w:vAlign w:val="center"/>
          </w:tcPr>
          <w:p w14:paraId="30C0DEB9">
            <w:pPr>
              <w:pStyle w:val="12"/>
            </w:pPr>
          </w:p>
        </w:tc>
        <w:tc>
          <w:tcPr>
            <w:tcW w:w="1474" w:type="dxa"/>
            <w:vAlign w:val="center"/>
          </w:tcPr>
          <w:p w14:paraId="360E3B31">
            <w:pPr>
              <w:pStyle w:val="11"/>
            </w:pPr>
          </w:p>
        </w:tc>
        <w:tc>
          <w:tcPr>
            <w:tcW w:w="3402" w:type="dxa"/>
            <w:vAlign w:val="center"/>
          </w:tcPr>
          <w:p w14:paraId="1922AF43">
            <w:pPr>
              <w:pStyle w:val="12"/>
            </w:pPr>
            <w:r>
              <w:t>四、公共安全支出</w:t>
            </w:r>
          </w:p>
        </w:tc>
        <w:tc>
          <w:tcPr>
            <w:tcW w:w="1474" w:type="dxa"/>
            <w:vAlign w:val="center"/>
          </w:tcPr>
          <w:p w14:paraId="0A975358">
            <w:pPr>
              <w:pStyle w:val="11"/>
            </w:pPr>
          </w:p>
        </w:tc>
        <w:tc>
          <w:tcPr>
            <w:tcW w:w="1474" w:type="dxa"/>
            <w:vAlign w:val="center"/>
          </w:tcPr>
          <w:p w14:paraId="5AA50F08">
            <w:pPr>
              <w:pStyle w:val="11"/>
            </w:pPr>
          </w:p>
        </w:tc>
        <w:tc>
          <w:tcPr>
            <w:tcW w:w="1474" w:type="dxa"/>
            <w:vAlign w:val="center"/>
          </w:tcPr>
          <w:p w14:paraId="4FAAA01D">
            <w:pPr>
              <w:pStyle w:val="11"/>
            </w:pPr>
          </w:p>
        </w:tc>
        <w:tc>
          <w:tcPr>
            <w:tcW w:w="1474" w:type="dxa"/>
            <w:vAlign w:val="center"/>
          </w:tcPr>
          <w:p w14:paraId="61042CF3">
            <w:pPr>
              <w:pStyle w:val="11"/>
            </w:pPr>
          </w:p>
        </w:tc>
      </w:tr>
      <w:tr w14:paraId="3EC40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18B1E">
            <w:pPr>
              <w:pStyle w:val="13"/>
            </w:pPr>
            <w:r>
              <w:t>5</w:t>
            </w:r>
          </w:p>
        </w:tc>
        <w:tc>
          <w:tcPr>
            <w:tcW w:w="3402" w:type="dxa"/>
            <w:vAlign w:val="center"/>
          </w:tcPr>
          <w:p w14:paraId="49AB3975">
            <w:pPr>
              <w:pStyle w:val="12"/>
            </w:pPr>
          </w:p>
        </w:tc>
        <w:tc>
          <w:tcPr>
            <w:tcW w:w="1474" w:type="dxa"/>
            <w:vAlign w:val="center"/>
          </w:tcPr>
          <w:p w14:paraId="79BAD533">
            <w:pPr>
              <w:pStyle w:val="11"/>
            </w:pPr>
          </w:p>
        </w:tc>
        <w:tc>
          <w:tcPr>
            <w:tcW w:w="3402" w:type="dxa"/>
            <w:vAlign w:val="center"/>
          </w:tcPr>
          <w:p w14:paraId="0A1F2755">
            <w:pPr>
              <w:pStyle w:val="12"/>
            </w:pPr>
            <w:r>
              <w:t>五、教育支出</w:t>
            </w:r>
          </w:p>
        </w:tc>
        <w:tc>
          <w:tcPr>
            <w:tcW w:w="1474" w:type="dxa"/>
            <w:vAlign w:val="center"/>
          </w:tcPr>
          <w:p w14:paraId="69203869">
            <w:pPr>
              <w:pStyle w:val="11"/>
            </w:pPr>
            <w:r>
              <w:t>2072.60</w:t>
            </w:r>
          </w:p>
        </w:tc>
        <w:tc>
          <w:tcPr>
            <w:tcW w:w="1474" w:type="dxa"/>
            <w:vAlign w:val="center"/>
          </w:tcPr>
          <w:p w14:paraId="3A55EAA3">
            <w:pPr>
              <w:pStyle w:val="11"/>
            </w:pPr>
            <w:r>
              <w:t>2072.60</w:t>
            </w:r>
          </w:p>
        </w:tc>
        <w:tc>
          <w:tcPr>
            <w:tcW w:w="1474" w:type="dxa"/>
            <w:vAlign w:val="center"/>
          </w:tcPr>
          <w:p w14:paraId="4DA205D3">
            <w:pPr>
              <w:pStyle w:val="11"/>
            </w:pPr>
          </w:p>
        </w:tc>
        <w:tc>
          <w:tcPr>
            <w:tcW w:w="1474" w:type="dxa"/>
            <w:vAlign w:val="center"/>
          </w:tcPr>
          <w:p w14:paraId="26E7F4F0">
            <w:pPr>
              <w:pStyle w:val="11"/>
            </w:pPr>
          </w:p>
        </w:tc>
      </w:tr>
      <w:tr w14:paraId="1ED0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F97DB">
            <w:pPr>
              <w:pStyle w:val="13"/>
            </w:pPr>
            <w:r>
              <w:t>6</w:t>
            </w:r>
          </w:p>
        </w:tc>
        <w:tc>
          <w:tcPr>
            <w:tcW w:w="3402" w:type="dxa"/>
            <w:vAlign w:val="center"/>
          </w:tcPr>
          <w:p w14:paraId="01A0F2C7">
            <w:pPr>
              <w:pStyle w:val="12"/>
            </w:pPr>
          </w:p>
        </w:tc>
        <w:tc>
          <w:tcPr>
            <w:tcW w:w="1474" w:type="dxa"/>
            <w:vAlign w:val="center"/>
          </w:tcPr>
          <w:p w14:paraId="6423648A">
            <w:pPr>
              <w:pStyle w:val="11"/>
            </w:pPr>
          </w:p>
        </w:tc>
        <w:tc>
          <w:tcPr>
            <w:tcW w:w="3402" w:type="dxa"/>
            <w:vAlign w:val="center"/>
          </w:tcPr>
          <w:p w14:paraId="0B70154A">
            <w:pPr>
              <w:pStyle w:val="12"/>
            </w:pPr>
            <w:r>
              <w:t>六、科学技术支出</w:t>
            </w:r>
          </w:p>
        </w:tc>
        <w:tc>
          <w:tcPr>
            <w:tcW w:w="1474" w:type="dxa"/>
            <w:vAlign w:val="center"/>
          </w:tcPr>
          <w:p w14:paraId="24A91703">
            <w:pPr>
              <w:pStyle w:val="11"/>
            </w:pPr>
          </w:p>
        </w:tc>
        <w:tc>
          <w:tcPr>
            <w:tcW w:w="1474" w:type="dxa"/>
            <w:vAlign w:val="center"/>
          </w:tcPr>
          <w:p w14:paraId="12C6283C">
            <w:pPr>
              <w:pStyle w:val="11"/>
            </w:pPr>
          </w:p>
        </w:tc>
        <w:tc>
          <w:tcPr>
            <w:tcW w:w="1474" w:type="dxa"/>
            <w:vAlign w:val="center"/>
          </w:tcPr>
          <w:p w14:paraId="075E262E">
            <w:pPr>
              <w:pStyle w:val="11"/>
            </w:pPr>
          </w:p>
        </w:tc>
        <w:tc>
          <w:tcPr>
            <w:tcW w:w="1474" w:type="dxa"/>
            <w:vAlign w:val="center"/>
          </w:tcPr>
          <w:p w14:paraId="40D22C1A">
            <w:pPr>
              <w:pStyle w:val="11"/>
            </w:pPr>
          </w:p>
        </w:tc>
      </w:tr>
      <w:tr w14:paraId="123E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491E">
            <w:pPr>
              <w:pStyle w:val="13"/>
            </w:pPr>
            <w:r>
              <w:t>7</w:t>
            </w:r>
          </w:p>
        </w:tc>
        <w:tc>
          <w:tcPr>
            <w:tcW w:w="3402" w:type="dxa"/>
            <w:vAlign w:val="center"/>
          </w:tcPr>
          <w:p w14:paraId="6DFC3E8D">
            <w:pPr>
              <w:pStyle w:val="12"/>
            </w:pPr>
          </w:p>
        </w:tc>
        <w:tc>
          <w:tcPr>
            <w:tcW w:w="1474" w:type="dxa"/>
            <w:vAlign w:val="center"/>
          </w:tcPr>
          <w:p w14:paraId="4E78ED50">
            <w:pPr>
              <w:pStyle w:val="11"/>
            </w:pPr>
          </w:p>
        </w:tc>
        <w:tc>
          <w:tcPr>
            <w:tcW w:w="3402" w:type="dxa"/>
            <w:vAlign w:val="center"/>
          </w:tcPr>
          <w:p w14:paraId="629EF966">
            <w:pPr>
              <w:pStyle w:val="12"/>
            </w:pPr>
            <w:r>
              <w:t>七、文化旅游体育与传媒支出</w:t>
            </w:r>
          </w:p>
        </w:tc>
        <w:tc>
          <w:tcPr>
            <w:tcW w:w="1474" w:type="dxa"/>
            <w:vAlign w:val="center"/>
          </w:tcPr>
          <w:p w14:paraId="22A6829F">
            <w:pPr>
              <w:pStyle w:val="11"/>
            </w:pPr>
          </w:p>
        </w:tc>
        <w:tc>
          <w:tcPr>
            <w:tcW w:w="1474" w:type="dxa"/>
            <w:vAlign w:val="center"/>
          </w:tcPr>
          <w:p w14:paraId="066BB3BF">
            <w:pPr>
              <w:pStyle w:val="11"/>
            </w:pPr>
          </w:p>
        </w:tc>
        <w:tc>
          <w:tcPr>
            <w:tcW w:w="1474" w:type="dxa"/>
            <w:vAlign w:val="center"/>
          </w:tcPr>
          <w:p w14:paraId="085FD21C">
            <w:pPr>
              <w:pStyle w:val="11"/>
            </w:pPr>
          </w:p>
        </w:tc>
        <w:tc>
          <w:tcPr>
            <w:tcW w:w="1474" w:type="dxa"/>
            <w:vAlign w:val="center"/>
          </w:tcPr>
          <w:p w14:paraId="7193BDE0">
            <w:pPr>
              <w:pStyle w:val="11"/>
            </w:pPr>
          </w:p>
        </w:tc>
      </w:tr>
      <w:tr w14:paraId="3CB3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4A18B">
            <w:pPr>
              <w:pStyle w:val="13"/>
            </w:pPr>
            <w:r>
              <w:t>8</w:t>
            </w:r>
          </w:p>
        </w:tc>
        <w:tc>
          <w:tcPr>
            <w:tcW w:w="3402" w:type="dxa"/>
            <w:vAlign w:val="center"/>
          </w:tcPr>
          <w:p w14:paraId="7E89FC97">
            <w:pPr>
              <w:pStyle w:val="12"/>
            </w:pPr>
          </w:p>
        </w:tc>
        <w:tc>
          <w:tcPr>
            <w:tcW w:w="1474" w:type="dxa"/>
            <w:vAlign w:val="center"/>
          </w:tcPr>
          <w:p w14:paraId="444BF5DC">
            <w:pPr>
              <w:pStyle w:val="11"/>
            </w:pPr>
          </w:p>
        </w:tc>
        <w:tc>
          <w:tcPr>
            <w:tcW w:w="3402" w:type="dxa"/>
            <w:vAlign w:val="center"/>
          </w:tcPr>
          <w:p w14:paraId="134A5EA8">
            <w:pPr>
              <w:pStyle w:val="12"/>
            </w:pPr>
            <w:r>
              <w:t>八、社会保障和就业支出</w:t>
            </w:r>
          </w:p>
        </w:tc>
        <w:tc>
          <w:tcPr>
            <w:tcW w:w="1474" w:type="dxa"/>
            <w:vAlign w:val="center"/>
          </w:tcPr>
          <w:p w14:paraId="2570ADE7">
            <w:pPr>
              <w:pStyle w:val="11"/>
            </w:pPr>
          </w:p>
        </w:tc>
        <w:tc>
          <w:tcPr>
            <w:tcW w:w="1474" w:type="dxa"/>
            <w:vAlign w:val="center"/>
          </w:tcPr>
          <w:p w14:paraId="24840292">
            <w:pPr>
              <w:pStyle w:val="11"/>
            </w:pPr>
          </w:p>
        </w:tc>
        <w:tc>
          <w:tcPr>
            <w:tcW w:w="1474" w:type="dxa"/>
            <w:vAlign w:val="center"/>
          </w:tcPr>
          <w:p w14:paraId="73FA8B28">
            <w:pPr>
              <w:pStyle w:val="11"/>
            </w:pPr>
          </w:p>
        </w:tc>
        <w:tc>
          <w:tcPr>
            <w:tcW w:w="1474" w:type="dxa"/>
            <w:vAlign w:val="center"/>
          </w:tcPr>
          <w:p w14:paraId="178E9ECA">
            <w:pPr>
              <w:pStyle w:val="11"/>
            </w:pPr>
          </w:p>
        </w:tc>
      </w:tr>
      <w:tr w14:paraId="7451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C45B8">
            <w:pPr>
              <w:pStyle w:val="13"/>
            </w:pPr>
            <w:r>
              <w:t>9</w:t>
            </w:r>
          </w:p>
        </w:tc>
        <w:tc>
          <w:tcPr>
            <w:tcW w:w="3402" w:type="dxa"/>
            <w:vAlign w:val="center"/>
          </w:tcPr>
          <w:p w14:paraId="58819655">
            <w:pPr>
              <w:pStyle w:val="12"/>
            </w:pPr>
          </w:p>
        </w:tc>
        <w:tc>
          <w:tcPr>
            <w:tcW w:w="1474" w:type="dxa"/>
            <w:vAlign w:val="center"/>
          </w:tcPr>
          <w:p w14:paraId="3A46ABAB">
            <w:pPr>
              <w:pStyle w:val="11"/>
            </w:pPr>
          </w:p>
        </w:tc>
        <w:tc>
          <w:tcPr>
            <w:tcW w:w="3402" w:type="dxa"/>
            <w:vAlign w:val="center"/>
          </w:tcPr>
          <w:p w14:paraId="78F5085F">
            <w:pPr>
              <w:pStyle w:val="12"/>
            </w:pPr>
            <w:r>
              <w:t>九、社会保险基金支出</w:t>
            </w:r>
          </w:p>
        </w:tc>
        <w:tc>
          <w:tcPr>
            <w:tcW w:w="1474" w:type="dxa"/>
            <w:vAlign w:val="center"/>
          </w:tcPr>
          <w:p w14:paraId="2DCEE9DF">
            <w:pPr>
              <w:pStyle w:val="11"/>
            </w:pPr>
          </w:p>
        </w:tc>
        <w:tc>
          <w:tcPr>
            <w:tcW w:w="1474" w:type="dxa"/>
            <w:vAlign w:val="center"/>
          </w:tcPr>
          <w:p w14:paraId="0F24923B">
            <w:pPr>
              <w:pStyle w:val="11"/>
            </w:pPr>
          </w:p>
        </w:tc>
        <w:tc>
          <w:tcPr>
            <w:tcW w:w="1474" w:type="dxa"/>
            <w:vAlign w:val="center"/>
          </w:tcPr>
          <w:p w14:paraId="498B79D3">
            <w:pPr>
              <w:pStyle w:val="11"/>
            </w:pPr>
          </w:p>
        </w:tc>
        <w:tc>
          <w:tcPr>
            <w:tcW w:w="1474" w:type="dxa"/>
            <w:vAlign w:val="center"/>
          </w:tcPr>
          <w:p w14:paraId="083E3B75">
            <w:pPr>
              <w:pStyle w:val="11"/>
            </w:pPr>
          </w:p>
        </w:tc>
      </w:tr>
      <w:tr w14:paraId="6E29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7F148">
            <w:pPr>
              <w:pStyle w:val="13"/>
            </w:pPr>
            <w:r>
              <w:t>10</w:t>
            </w:r>
          </w:p>
        </w:tc>
        <w:tc>
          <w:tcPr>
            <w:tcW w:w="3402" w:type="dxa"/>
            <w:vAlign w:val="center"/>
          </w:tcPr>
          <w:p w14:paraId="57760244">
            <w:pPr>
              <w:pStyle w:val="12"/>
            </w:pPr>
          </w:p>
        </w:tc>
        <w:tc>
          <w:tcPr>
            <w:tcW w:w="1474" w:type="dxa"/>
            <w:vAlign w:val="center"/>
          </w:tcPr>
          <w:p w14:paraId="21CC4949">
            <w:pPr>
              <w:pStyle w:val="11"/>
            </w:pPr>
          </w:p>
        </w:tc>
        <w:tc>
          <w:tcPr>
            <w:tcW w:w="3402" w:type="dxa"/>
            <w:vAlign w:val="center"/>
          </w:tcPr>
          <w:p w14:paraId="338505A9">
            <w:pPr>
              <w:pStyle w:val="12"/>
            </w:pPr>
            <w:r>
              <w:t>十、卫生健康支出</w:t>
            </w:r>
          </w:p>
        </w:tc>
        <w:tc>
          <w:tcPr>
            <w:tcW w:w="1474" w:type="dxa"/>
            <w:vAlign w:val="center"/>
          </w:tcPr>
          <w:p w14:paraId="15A8A14F">
            <w:pPr>
              <w:pStyle w:val="11"/>
            </w:pPr>
          </w:p>
        </w:tc>
        <w:tc>
          <w:tcPr>
            <w:tcW w:w="1474" w:type="dxa"/>
            <w:vAlign w:val="center"/>
          </w:tcPr>
          <w:p w14:paraId="0AD23C96">
            <w:pPr>
              <w:pStyle w:val="11"/>
            </w:pPr>
          </w:p>
        </w:tc>
        <w:tc>
          <w:tcPr>
            <w:tcW w:w="1474" w:type="dxa"/>
            <w:vAlign w:val="center"/>
          </w:tcPr>
          <w:p w14:paraId="0B9D2AEA">
            <w:pPr>
              <w:pStyle w:val="11"/>
            </w:pPr>
          </w:p>
        </w:tc>
        <w:tc>
          <w:tcPr>
            <w:tcW w:w="1474" w:type="dxa"/>
            <w:vAlign w:val="center"/>
          </w:tcPr>
          <w:p w14:paraId="5132025B">
            <w:pPr>
              <w:pStyle w:val="11"/>
            </w:pPr>
          </w:p>
        </w:tc>
      </w:tr>
      <w:tr w14:paraId="4DE8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4F47">
            <w:pPr>
              <w:pStyle w:val="13"/>
            </w:pPr>
            <w:r>
              <w:t>11</w:t>
            </w:r>
          </w:p>
        </w:tc>
        <w:tc>
          <w:tcPr>
            <w:tcW w:w="3402" w:type="dxa"/>
            <w:vAlign w:val="center"/>
          </w:tcPr>
          <w:p w14:paraId="1C47B9C3">
            <w:pPr>
              <w:pStyle w:val="12"/>
            </w:pPr>
          </w:p>
        </w:tc>
        <w:tc>
          <w:tcPr>
            <w:tcW w:w="1474" w:type="dxa"/>
            <w:vAlign w:val="center"/>
          </w:tcPr>
          <w:p w14:paraId="2B8D0301">
            <w:pPr>
              <w:pStyle w:val="11"/>
            </w:pPr>
          </w:p>
        </w:tc>
        <w:tc>
          <w:tcPr>
            <w:tcW w:w="3402" w:type="dxa"/>
            <w:vAlign w:val="center"/>
          </w:tcPr>
          <w:p w14:paraId="50396BB4">
            <w:pPr>
              <w:pStyle w:val="12"/>
            </w:pPr>
            <w:r>
              <w:t>十一、节能环保支出</w:t>
            </w:r>
          </w:p>
        </w:tc>
        <w:tc>
          <w:tcPr>
            <w:tcW w:w="1474" w:type="dxa"/>
            <w:vAlign w:val="center"/>
          </w:tcPr>
          <w:p w14:paraId="4BD84A3B">
            <w:pPr>
              <w:pStyle w:val="11"/>
            </w:pPr>
          </w:p>
        </w:tc>
        <w:tc>
          <w:tcPr>
            <w:tcW w:w="1474" w:type="dxa"/>
            <w:vAlign w:val="center"/>
          </w:tcPr>
          <w:p w14:paraId="350F10ED">
            <w:pPr>
              <w:pStyle w:val="11"/>
            </w:pPr>
          </w:p>
        </w:tc>
        <w:tc>
          <w:tcPr>
            <w:tcW w:w="1474" w:type="dxa"/>
            <w:vAlign w:val="center"/>
          </w:tcPr>
          <w:p w14:paraId="7B1AC60A">
            <w:pPr>
              <w:pStyle w:val="11"/>
            </w:pPr>
          </w:p>
        </w:tc>
        <w:tc>
          <w:tcPr>
            <w:tcW w:w="1474" w:type="dxa"/>
            <w:vAlign w:val="center"/>
          </w:tcPr>
          <w:p w14:paraId="7EAEA196">
            <w:pPr>
              <w:pStyle w:val="11"/>
            </w:pPr>
          </w:p>
        </w:tc>
      </w:tr>
      <w:tr w14:paraId="0F85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CE3F9">
            <w:pPr>
              <w:pStyle w:val="13"/>
            </w:pPr>
            <w:r>
              <w:t>12</w:t>
            </w:r>
          </w:p>
        </w:tc>
        <w:tc>
          <w:tcPr>
            <w:tcW w:w="3402" w:type="dxa"/>
            <w:vAlign w:val="center"/>
          </w:tcPr>
          <w:p w14:paraId="55CC49A1">
            <w:pPr>
              <w:pStyle w:val="12"/>
            </w:pPr>
          </w:p>
        </w:tc>
        <w:tc>
          <w:tcPr>
            <w:tcW w:w="1474" w:type="dxa"/>
            <w:vAlign w:val="center"/>
          </w:tcPr>
          <w:p w14:paraId="20D02C6F">
            <w:pPr>
              <w:pStyle w:val="11"/>
            </w:pPr>
          </w:p>
        </w:tc>
        <w:tc>
          <w:tcPr>
            <w:tcW w:w="3402" w:type="dxa"/>
            <w:vAlign w:val="center"/>
          </w:tcPr>
          <w:p w14:paraId="4AB63038">
            <w:pPr>
              <w:pStyle w:val="12"/>
            </w:pPr>
            <w:r>
              <w:t>十二、城乡社区支出</w:t>
            </w:r>
          </w:p>
        </w:tc>
        <w:tc>
          <w:tcPr>
            <w:tcW w:w="1474" w:type="dxa"/>
            <w:vAlign w:val="center"/>
          </w:tcPr>
          <w:p w14:paraId="2C94BD19">
            <w:pPr>
              <w:pStyle w:val="11"/>
            </w:pPr>
          </w:p>
        </w:tc>
        <w:tc>
          <w:tcPr>
            <w:tcW w:w="1474" w:type="dxa"/>
            <w:vAlign w:val="center"/>
          </w:tcPr>
          <w:p w14:paraId="01F24400">
            <w:pPr>
              <w:pStyle w:val="11"/>
            </w:pPr>
          </w:p>
        </w:tc>
        <w:tc>
          <w:tcPr>
            <w:tcW w:w="1474" w:type="dxa"/>
            <w:vAlign w:val="center"/>
          </w:tcPr>
          <w:p w14:paraId="2A6B24E1">
            <w:pPr>
              <w:pStyle w:val="11"/>
            </w:pPr>
          </w:p>
        </w:tc>
        <w:tc>
          <w:tcPr>
            <w:tcW w:w="1474" w:type="dxa"/>
            <w:vAlign w:val="center"/>
          </w:tcPr>
          <w:p w14:paraId="4005E27F">
            <w:pPr>
              <w:pStyle w:val="11"/>
            </w:pPr>
          </w:p>
        </w:tc>
      </w:tr>
      <w:tr w14:paraId="2902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8B144">
            <w:pPr>
              <w:pStyle w:val="13"/>
            </w:pPr>
            <w:r>
              <w:t>13</w:t>
            </w:r>
          </w:p>
        </w:tc>
        <w:tc>
          <w:tcPr>
            <w:tcW w:w="3402" w:type="dxa"/>
            <w:vAlign w:val="center"/>
          </w:tcPr>
          <w:p w14:paraId="656029E6">
            <w:pPr>
              <w:pStyle w:val="12"/>
            </w:pPr>
          </w:p>
        </w:tc>
        <w:tc>
          <w:tcPr>
            <w:tcW w:w="1474" w:type="dxa"/>
            <w:vAlign w:val="center"/>
          </w:tcPr>
          <w:p w14:paraId="39555AE7">
            <w:pPr>
              <w:pStyle w:val="11"/>
            </w:pPr>
          </w:p>
        </w:tc>
        <w:tc>
          <w:tcPr>
            <w:tcW w:w="3402" w:type="dxa"/>
            <w:vAlign w:val="center"/>
          </w:tcPr>
          <w:p w14:paraId="493BEFD6">
            <w:pPr>
              <w:pStyle w:val="12"/>
            </w:pPr>
            <w:r>
              <w:t>十三、农林水支出</w:t>
            </w:r>
          </w:p>
        </w:tc>
        <w:tc>
          <w:tcPr>
            <w:tcW w:w="1474" w:type="dxa"/>
            <w:vAlign w:val="center"/>
          </w:tcPr>
          <w:p w14:paraId="6016EE51">
            <w:pPr>
              <w:pStyle w:val="11"/>
            </w:pPr>
          </w:p>
        </w:tc>
        <w:tc>
          <w:tcPr>
            <w:tcW w:w="1474" w:type="dxa"/>
            <w:vAlign w:val="center"/>
          </w:tcPr>
          <w:p w14:paraId="460E04F7">
            <w:pPr>
              <w:pStyle w:val="11"/>
            </w:pPr>
          </w:p>
        </w:tc>
        <w:tc>
          <w:tcPr>
            <w:tcW w:w="1474" w:type="dxa"/>
            <w:vAlign w:val="center"/>
          </w:tcPr>
          <w:p w14:paraId="549045E5">
            <w:pPr>
              <w:pStyle w:val="11"/>
            </w:pPr>
          </w:p>
        </w:tc>
        <w:tc>
          <w:tcPr>
            <w:tcW w:w="1474" w:type="dxa"/>
            <w:vAlign w:val="center"/>
          </w:tcPr>
          <w:p w14:paraId="73283414">
            <w:pPr>
              <w:pStyle w:val="11"/>
            </w:pPr>
          </w:p>
        </w:tc>
      </w:tr>
      <w:tr w14:paraId="7C6D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FB2A4">
            <w:pPr>
              <w:pStyle w:val="13"/>
            </w:pPr>
            <w:r>
              <w:t>14</w:t>
            </w:r>
          </w:p>
        </w:tc>
        <w:tc>
          <w:tcPr>
            <w:tcW w:w="3402" w:type="dxa"/>
            <w:vAlign w:val="center"/>
          </w:tcPr>
          <w:p w14:paraId="6EADC39D">
            <w:pPr>
              <w:pStyle w:val="12"/>
            </w:pPr>
          </w:p>
        </w:tc>
        <w:tc>
          <w:tcPr>
            <w:tcW w:w="1474" w:type="dxa"/>
            <w:vAlign w:val="center"/>
          </w:tcPr>
          <w:p w14:paraId="28B5F342">
            <w:pPr>
              <w:pStyle w:val="11"/>
            </w:pPr>
          </w:p>
        </w:tc>
        <w:tc>
          <w:tcPr>
            <w:tcW w:w="3402" w:type="dxa"/>
            <w:vAlign w:val="center"/>
          </w:tcPr>
          <w:p w14:paraId="43B03EFC">
            <w:pPr>
              <w:pStyle w:val="12"/>
            </w:pPr>
            <w:r>
              <w:t>十四、交通运输支出</w:t>
            </w:r>
          </w:p>
        </w:tc>
        <w:tc>
          <w:tcPr>
            <w:tcW w:w="1474" w:type="dxa"/>
            <w:vAlign w:val="center"/>
          </w:tcPr>
          <w:p w14:paraId="29076F4E">
            <w:pPr>
              <w:pStyle w:val="11"/>
            </w:pPr>
          </w:p>
        </w:tc>
        <w:tc>
          <w:tcPr>
            <w:tcW w:w="1474" w:type="dxa"/>
            <w:vAlign w:val="center"/>
          </w:tcPr>
          <w:p w14:paraId="5DBF5649">
            <w:pPr>
              <w:pStyle w:val="11"/>
            </w:pPr>
          </w:p>
        </w:tc>
        <w:tc>
          <w:tcPr>
            <w:tcW w:w="1474" w:type="dxa"/>
            <w:vAlign w:val="center"/>
          </w:tcPr>
          <w:p w14:paraId="27072148">
            <w:pPr>
              <w:pStyle w:val="11"/>
            </w:pPr>
          </w:p>
        </w:tc>
        <w:tc>
          <w:tcPr>
            <w:tcW w:w="1474" w:type="dxa"/>
            <w:vAlign w:val="center"/>
          </w:tcPr>
          <w:p w14:paraId="29230D6C">
            <w:pPr>
              <w:pStyle w:val="11"/>
            </w:pPr>
          </w:p>
        </w:tc>
      </w:tr>
      <w:tr w14:paraId="5CCE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176E">
            <w:pPr>
              <w:pStyle w:val="13"/>
            </w:pPr>
            <w:r>
              <w:t>15</w:t>
            </w:r>
          </w:p>
        </w:tc>
        <w:tc>
          <w:tcPr>
            <w:tcW w:w="3402" w:type="dxa"/>
            <w:vAlign w:val="center"/>
          </w:tcPr>
          <w:p w14:paraId="3B59B568">
            <w:pPr>
              <w:pStyle w:val="12"/>
            </w:pPr>
          </w:p>
        </w:tc>
        <w:tc>
          <w:tcPr>
            <w:tcW w:w="1474" w:type="dxa"/>
            <w:vAlign w:val="center"/>
          </w:tcPr>
          <w:p w14:paraId="0AE5A019">
            <w:pPr>
              <w:pStyle w:val="11"/>
            </w:pPr>
          </w:p>
        </w:tc>
        <w:tc>
          <w:tcPr>
            <w:tcW w:w="3402" w:type="dxa"/>
            <w:vAlign w:val="center"/>
          </w:tcPr>
          <w:p w14:paraId="6F81E56F">
            <w:pPr>
              <w:pStyle w:val="12"/>
            </w:pPr>
            <w:r>
              <w:t>十五、资源勘探工业信息等支出</w:t>
            </w:r>
          </w:p>
        </w:tc>
        <w:tc>
          <w:tcPr>
            <w:tcW w:w="1474" w:type="dxa"/>
            <w:vAlign w:val="center"/>
          </w:tcPr>
          <w:p w14:paraId="4FB98622">
            <w:pPr>
              <w:pStyle w:val="11"/>
            </w:pPr>
          </w:p>
        </w:tc>
        <w:tc>
          <w:tcPr>
            <w:tcW w:w="1474" w:type="dxa"/>
            <w:vAlign w:val="center"/>
          </w:tcPr>
          <w:p w14:paraId="7ECA0AAF">
            <w:pPr>
              <w:pStyle w:val="11"/>
            </w:pPr>
          </w:p>
        </w:tc>
        <w:tc>
          <w:tcPr>
            <w:tcW w:w="1474" w:type="dxa"/>
            <w:vAlign w:val="center"/>
          </w:tcPr>
          <w:p w14:paraId="7B118B3B">
            <w:pPr>
              <w:pStyle w:val="11"/>
            </w:pPr>
          </w:p>
        </w:tc>
        <w:tc>
          <w:tcPr>
            <w:tcW w:w="1474" w:type="dxa"/>
            <w:vAlign w:val="center"/>
          </w:tcPr>
          <w:p w14:paraId="15C2E1CD">
            <w:pPr>
              <w:pStyle w:val="11"/>
            </w:pPr>
          </w:p>
        </w:tc>
      </w:tr>
      <w:tr w14:paraId="38FE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A2FB1">
            <w:pPr>
              <w:pStyle w:val="13"/>
            </w:pPr>
            <w:r>
              <w:t>16</w:t>
            </w:r>
          </w:p>
        </w:tc>
        <w:tc>
          <w:tcPr>
            <w:tcW w:w="3402" w:type="dxa"/>
            <w:vAlign w:val="center"/>
          </w:tcPr>
          <w:p w14:paraId="170E697C">
            <w:pPr>
              <w:pStyle w:val="12"/>
            </w:pPr>
          </w:p>
        </w:tc>
        <w:tc>
          <w:tcPr>
            <w:tcW w:w="1474" w:type="dxa"/>
            <w:vAlign w:val="center"/>
          </w:tcPr>
          <w:p w14:paraId="20C59C50">
            <w:pPr>
              <w:pStyle w:val="11"/>
            </w:pPr>
          </w:p>
        </w:tc>
        <w:tc>
          <w:tcPr>
            <w:tcW w:w="3402" w:type="dxa"/>
            <w:vAlign w:val="center"/>
          </w:tcPr>
          <w:p w14:paraId="1F055659">
            <w:pPr>
              <w:pStyle w:val="12"/>
            </w:pPr>
            <w:r>
              <w:t>十六、商业服务业等支出</w:t>
            </w:r>
          </w:p>
        </w:tc>
        <w:tc>
          <w:tcPr>
            <w:tcW w:w="1474" w:type="dxa"/>
            <w:vAlign w:val="center"/>
          </w:tcPr>
          <w:p w14:paraId="797FF6FC">
            <w:pPr>
              <w:pStyle w:val="11"/>
            </w:pPr>
          </w:p>
        </w:tc>
        <w:tc>
          <w:tcPr>
            <w:tcW w:w="1474" w:type="dxa"/>
            <w:vAlign w:val="center"/>
          </w:tcPr>
          <w:p w14:paraId="06E4AACA">
            <w:pPr>
              <w:pStyle w:val="11"/>
            </w:pPr>
          </w:p>
        </w:tc>
        <w:tc>
          <w:tcPr>
            <w:tcW w:w="1474" w:type="dxa"/>
            <w:vAlign w:val="center"/>
          </w:tcPr>
          <w:p w14:paraId="3CA190B5">
            <w:pPr>
              <w:pStyle w:val="11"/>
            </w:pPr>
          </w:p>
        </w:tc>
        <w:tc>
          <w:tcPr>
            <w:tcW w:w="1474" w:type="dxa"/>
            <w:vAlign w:val="center"/>
          </w:tcPr>
          <w:p w14:paraId="3DE285FC">
            <w:pPr>
              <w:pStyle w:val="11"/>
            </w:pPr>
          </w:p>
        </w:tc>
      </w:tr>
      <w:tr w14:paraId="5892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B675F">
            <w:pPr>
              <w:pStyle w:val="13"/>
            </w:pPr>
            <w:r>
              <w:t>17</w:t>
            </w:r>
          </w:p>
        </w:tc>
        <w:tc>
          <w:tcPr>
            <w:tcW w:w="3402" w:type="dxa"/>
            <w:vAlign w:val="center"/>
          </w:tcPr>
          <w:p w14:paraId="1ED8095A">
            <w:pPr>
              <w:pStyle w:val="12"/>
            </w:pPr>
          </w:p>
        </w:tc>
        <w:tc>
          <w:tcPr>
            <w:tcW w:w="1474" w:type="dxa"/>
            <w:vAlign w:val="center"/>
          </w:tcPr>
          <w:p w14:paraId="6FE0509E">
            <w:pPr>
              <w:pStyle w:val="11"/>
            </w:pPr>
          </w:p>
        </w:tc>
        <w:tc>
          <w:tcPr>
            <w:tcW w:w="3402" w:type="dxa"/>
            <w:vAlign w:val="center"/>
          </w:tcPr>
          <w:p w14:paraId="52A0B8E9">
            <w:pPr>
              <w:pStyle w:val="12"/>
            </w:pPr>
            <w:r>
              <w:t>十七、金融支出</w:t>
            </w:r>
          </w:p>
        </w:tc>
        <w:tc>
          <w:tcPr>
            <w:tcW w:w="1474" w:type="dxa"/>
            <w:vAlign w:val="center"/>
          </w:tcPr>
          <w:p w14:paraId="2B54D2B3">
            <w:pPr>
              <w:pStyle w:val="11"/>
            </w:pPr>
          </w:p>
        </w:tc>
        <w:tc>
          <w:tcPr>
            <w:tcW w:w="1474" w:type="dxa"/>
            <w:vAlign w:val="center"/>
          </w:tcPr>
          <w:p w14:paraId="5F4EF369">
            <w:pPr>
              <w:pStyle w:val="11"/>
            </w:pPr>
          </w:p>
        </w:tc>
        <w:tc>
          <w:tcPr>
            <w:tcW w:w="1474" w:type="dxa"/>
            <w:vAlign w:val="center"/>
          </w:tcPr>
          <w:p w14:paraId="1AF41407">
            <w:pPr>
              <w:pStyle w:val="11"/>
            </w:pPr>
          </w:p>
        </w:tc>
        <w:tc>
          <w:tcPr>
            <w:tcW w:w="1474" w:type="dxa"/>
            <w:vAlign w:val="center"/>
          </w:tcPr>
          <w:p w14:paraId="38A1A1FB">
            <w:pPr>
              <w:pStyle w:val="11"/>
            </w:pPr>
          </w:p>
        </w:tc>
      </w:tr>
      <w:tr w14:paraId="002B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888D4">
            <w:pPr>
              <w:pStyle w:val="13"/>
            </w:pPr>
            <w:r>
              <w:t>18</w:t>
            </w:r>
          </w:p>
        </w:tc>
        <w:tc>
          <w:tcPr>
            <w:tcW w:w="3402" w:type="dxa"/>
            <w:vAlign w:val="center"/>
          </w:tcPr>
          <w:p w14:paraId="2AC6514E">
            <w:pPr>
              <w:pStyle w:val="12"/>
            </w:pPr>
          </w:p>
        </w:tc>
        <w:tc>
          <w:tcPr>
            <w:tcW w:w="1474" w:type="dxa"/>
            <w:vAlign w:val="center"/>
          </w:tcPr>
          <w:p w14:paraId="229FB598">
            <w:pPr>
              <w:pStyle w:val="11"/>
            </w:pPr>
          </w:p>
        </w:tc>
        <w:tc>
          <w:tcPr>
            <w:tcW w:w="3402" w:type="dxa"/>
            <w:vAlign w:val="center"/>
          </w:tcPr>
          <w:p w14:paraId="6F2F0586">
            <w:pPr>
              <w:pStyle w:val="12"/>
            </w:pPr>
            <w:r>
              <w:t>十八、援助其他地区支出</w:t>
            </w:r>
          </w:p>
        </w:tc>
        <w:tc>
          <w:tcPr>
            <w:tcW w:w="1474" w:type="dxa"/>
            <w:vAlign w:val="center"/>
          </w:tcPr>
          <w:p w14:paraId="5E794DFD">
            <w:pPr>
              <w:pStyle w:val="11"/>
            </w:pPr>
          </w:p>
        </w:tc>
        <w:tc>
          <w:tcPr>
            <w:tcW w:w="1474" w:type="dxa"/>
            <w:vAlign w:val="center"/>
          </w:tcPr>
          <w:p w14:paraId="7297490A">
            <w:pPr>
              <w:pStyle w:val="11"/>
            </w:pPr>
          </w:p>
        </w:tc>
        <w:tc>
          <w:tcPr>
            <w:tcW w:w="1474" w:type="dxa"/>
            <w:vAlign w:val="center"/>
          </w:tcPr>
          <w:p w14:paraId="02AC8C7F">
            <w:pPr>
              <w:pStyle w:val="11"/>
            </w:pPr>
          </w:p>
        </w:tc>
        <w:tc>
          <w:tcPr>
            <w:tcW w:w="1474" w:type="dxa"/>
            <w:vAlign w:val="center"/>
          </w:tcPr>
          <w:p w14:paraId="53C72D52">
            <w:pPr>
              <w:pStyle w:val="11"/>
            </w:pPr>
          </w:p>
        </w:tc>
      </w:tr>
      <w:tr w14:paraId="27F5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E1F5B">
            <w:pPr>
              <w:pStyle w:val="13"/>
            </w:pPr>
            <w:r>
              <w:t>19</w:t>
            </w:r>
          </w:p>
        </w:tc>
        <w:tc>
          <w:tcPr>
            <w:tcW w:w="3402" w:type="dxa"/>
            <w:vAlign w:val="center"/>
          </w:tcPr>
          <w:p w14:paraId="0BC00C23">
            <w:pPr>
              <w:pStyle w:val="12"/>
            </w:pPr>
          </w:p>
        </w:tc>
        <w:tc>
          <w:tcPr>
            <w:tcW w:w="1474" w:type="dxa"/>
            <w:vAlign w:val="center"/>
          </w:tcPr>
          <w:p w14:paraId="25770264">
            <w:pPr>
              <w:pStyle w:val="11"/>
            </w:pPr>
          </w:p>
        </w:tc>
        <w:tc>
          <w:tcPr>
            <w:tcW w:w="3402" w:type="dxa"/>
            <w:vAlign w:val="center"/>
          </w:tcPr>
          <w:p w14:paraId="0448E543">
            <w:pPr>
              <w:pStyle w:val="12"/>
            </w:pPr>
            <w:r>
              <w:t>十九、自然资源海洋气象等支出</w:t>
            </w:r>
          </w:p>
        </w:tc>
        <w:tc>
          <w:tcPr>
            <w:tcW w:w="1474" w:type="dxa"/>
            <w:vAlign w:val="center"/>
          </w:tcPr>
          <w:p w14:paraId="642B5DCE">
            <w:pPr>
              <w:pStyle w:val="11"/>
            </w:pPr>
          </w:p>
        </w:tc>
        <w:tc>
          <w:tcPr>
            <w:tcW w:w="1474" w:type="dxa"/>
            <w:vAlign w:val="center"/>
          </w:tcPr>
          <w:p w14:paraId="61661A7A">
            <w:pPr>
              <w:pStyle w:val="11"/>
            </w:pPr>
          </w:p>
        </w:tc>
        <w:tc>
          <w:tcPr>
            <w:tcW w:w="1474" w:type="dxa"/>
            <w:vAlign w:val="center"/>
          </w:tcPr>
          <w:p w14:paraId="69F0C243">
            <w:pPr>
              <w:pStyle w:val="11"/>
            </w:pPr>
          </w:p>
        </w:tc>
        <w:tc>
          <w:tcPr>
            <w:tcW w:w="1474" w:type="dxa"/>
            <w:vAlign w:val="center"/>
          </w:tcPr>
          <w:p w14:paraId="15FC2A14">
            <w:pPr>
              <w:pStyle w:val="11"/>
            </w:pPr>
          </w:p>
        </w:tc>
      </w:tr>
      <w:tr w14:paraId="0DD7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86ED6">
            <w:pPr>
              <w:pStyle w:val="13"/>
            </w:pPr>
            <w:r>
              <w:t>20</w:t>
            </w:r>
          </w:p>
        </w:tc>
        <w:tc>
          <w:tcPr>
            <w:tcW w:w="3402" w:type="dxa"/>
            <w:vAlign w:val="center"/>
          </w:tcPr>
          <w:p w14:paraId="7F8C77E8">
            <w:pPr>
              <w:pStyle w:val="12"/>
            </w:pPr>
          </w:p>
        </w:tc>
        <w:tc>
          <w:tcPr>
            <w:tcW w:w="1474" w:type="dxa"/>
            <w:vAlign w:val="center"/>
          </w:tcPr>
          <w:p w14:paraId="0D0FC929">
            <w:pPr>
              <w:pStyle w:val="11"/>
            </w:pPr>
          </w:p>
        </w:tc>
        <w:tc>
          <w:tcPr>
            <w:tcW w:w="3402" w:type="dxa"/>
            <w:vAlign w:val="center"/>
          </w:tcPr>
          <w:p w14:paraId="676FADAD">
            <w:pPr>
              <w:pStyle w:val="12"/>
            </w:pPr>
            <w:r>
              <w:t>二十、住房保障支出</w:t>
            </w:r>
          </w:p>
        </w:tc>
        <w:tc>
          <w:tcPr>
            <w:tcW w:w="1474" w:type="dxa"/>
            <w:vAlign w:val="center"/>
          </w:tcPr>
          <w:p w14:paraId="35024A1A">
            <w:pPr>
              <w:pStyle w:val="11"/>
            </w:pPr>
          </w:p>
        </w:tc>
        <w:tc>
          <w:tcPr>
            <w:tcW w:w="1474" w:type="dxa"/>
            <w:vAlign w:val="center"/>
          </w:tcPr>
          <w:p w14:paraId="5F6DCA45">
            <w:pPr>
              <w:pStyle w:val="11"/>
            </w:pPr>
          </w:p>
        </w:tc>
        <w:tc>
          <w:tcPr>
            <w:tcW w:w="1474" w:type="dxa"/>
            <w:vAlign w:val="center"/>
          </w:tcPr>
          <w:p w14:paraId="27733AE0">
            <w:pPr>
              <w:pStyle w:val="11"/>
            </w:pPr>
          </w:p>
        </w:tc>
        <w:tc>
          <w:tcPr>
            <w:tcW w:w="1474" w:type="dxa"/>
            <w:vAlign w:val="center"/>
          </w:tcPr>
          <w:p w14:paraId="792D0F62">
            <w:pPr>
              <w:pStyle w:val="11"/>
            </w:pPr>
          </w:p>
        </w:tc>
      </w:tr>
      <w:tr w14:paraId="3D35A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0571D">
            <w:pPr>
              <w:pStyle w:val="13"/>
            </w:pPr>
            <w:r>
              <w:t>21</w:t>
            </w:r>
          </w:p>
        </w:tc>
        <w:tc>
          <w:tcPr>
            <w:tcW w:w="3402" w:type="dxa"/>
            <w:vAlign w:val="center"/>
          </w:tcPr>
          <w:p w14:paraId="2FD99491">
            <w:pPr>
              <w:pStyle w:val="12"/>
            </w:pPr>
          </w:p>
        </w:tc>
        <w:tc>
          <w:tcPr>
            <w:tcW w:w="1474" w:type="dxa"/>
            <w:vAlign w:val="center"/>
          </w:tcPr>
          <w:p w14:paraId="440948FB">
            <w:pPr>
              <w:pStyle w:val="11"/>
            </w:pPr>
          </w:p>
        </w:tc>
        <w:tc>
          <w:tcPr>
            <w:tcW w:w="3402" w:type="dxa"/>
            <w:vAlign w:val="center"/>
          </w:tcPr>
          <w:p w14:paraId="768DD902">
            <w:pPr>
              <w:pStyle w:val="12"/>
            </w:pPr>
            <w:r>
              <w:t>二十一、粮油物资储备支出</w:t>
            </w:r>
          </w:p>
        </w:tc>
        <w:tc>
          <w:tcPr>
            <w:tcW w:w="1474" w:type="dxa"/>
            <w:vAlign w:val="center"/>
          </w:tcPr>
          <w:p w14:paraId="0F5B8D4A">
            <w:pPr>
              <w:pStyle w:val="11"/>
            </w:pPr>
          </w:p>
        </w:tc>
        <w:tc>
          <w:tcPr>
            <w:tcW w:w="1474" w:type="dxa"/>
            <w:vAlign w:val="center"/>
          </w:tcPr>
          <w:p w14:paraId="68104922">
            <w:pPr>
              <w:pStyle w:val="11"/>
            </w:pPr>
          </w:p>
        </w:tc>
        <w:tc>
          <w:tcPr>
            <w:tcW w:w="1474" w:type="dxa"/>
            <w:vAlign w:val="center"/>
          </w:tcPr>
          <w:p w14:paraId="440559F4">
            <w:pPr>
              <w:pStyle w:val="11"/>
            </w:pPr>
          </w:p>
        </w:tc>
        <w:tc>
          <w:tcPr>
            <w:tcW w:w="1474" w:type="dxa"/>
            <w:vAlign w:val="center"/>
          </w:tcPr>
          <w:p w14:paraId="2F566C8A">
            <w:pPr>
              <w:pStyle w:val="11"/>
            </w:pPr>
          </w:p>
        </w:tc>
      </w:tr>
      <w:tr w14:paraId="3798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594F">
            <w:pPr>
              <w:pStyle w:val="13"/>
            </w:pPr>
            <w:r>
              <w:t>22</w:t>
            </w:r>
          </w:p>
        </w:tc>
        <w:tc>
          <w:tcPr>
            <w:tcW w:w="3402" w:type="dxa"/>
            <w:vAlign w:val="center"/>
          </w:tcPr>
          <w:p w14:paraId="01DEAC90">
            <w:pPr>
              <w:pStyle w:val="12"/>
            </w:pPr>
          </w:p>
        </w:tc>
        <w:tc>
          <w:tcPr>
            <w:tcW w:w="1474" w:type="dxa"/>
            <w:vAlign w:val="center"/>
          </w:tcPr>
          <w:p w14:paraId="4C855074">
            <w:pPr>
              <w:pStyle w:val="11"/>
            </w:pPr>
          </w:p>
        </w:tc>
        <w:tc>
          <w:tcPr>
            <w:tcW w:w="3402" w:type="dxa"/>
            <w:vAlign w:val="center"/>
          </w:tcPr>
          <w:p w14:paraId="023E2276">
            <w:pPr>
              <w:pStyle w:val="12"/>
            </w:pPr>
            <w:r>
              <w:t>二十二、国有资本经营预算支出</w:t>
            </w:r>
          </w:p>
        </w:tc>
        <w:tc>
          <w:tcPr>
            <w:tcW w:w="1474" w:type="dxa"/>
            <w:vAlign w:val="center"/>
          </w:tcPr>
          <w:p w14:paraId="05E31DAF">
            <w:pPr>
              <w:pStyle w:val="11"/>
            </w:pPr>
          </w:p>
        </w:tc>
        <w:tc>
          <w:tcPr>
            <w:tcW w:w="1474" w:type="dxa"/>
            <w:vAlign w:val="center"/>
          </w:tcPr>
          <w:p w14:paraId="59E03A1B">
            <w:pPr>
              <w:pStyle w:val="11"/>
            </w:pPr>
          </w:p>
        </w:tc>
        <w:tc>
          <w:tcPr>
            <w:tcW w:w="1474" w:type="dxa"/>
            <w:vAlign w:val="center"/>
          </w:tcPr>
          <w:p w14:paraId="1F2B51A1">
            <w:pPr>
              <w:pStyle w:val="11"/>
            </w:pPr>
          </w:p>
        </w:tc>
        <w:tc>
          <w:tcPr>
            <w:tcW w:w="1474" w:type="dxa"/>
            <w:vAlign w:val="center"/>
          </w:tcPr>
          <w:p w14:paraId="6D072261">
            <w:pPr>
              <w:pStyle w:val="11"/>
            </w:pPr>
          </w:p>
        </w:tc>
      </w:tr>
      <w:tr w14:paraId="0445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1A84">
            <w:pPr>
              <w:pStyle w:val="13"/>
            </w:pPr>
            <w:r>
              <w:t>23</w:t>
            </w:r>
          </w:p>
        </w:tc>
        <w:tc>
          <w:tcPr>
            <w:tcW w:w="3402" w:type="dxa"/>
            <w:vAlign w:val="center"/>
          </w:tcPr>
          <w:p w14:paraId="54CA2F66">
            <w:pPr>
              <w:pStyle w:val="12"/>
            </w:pPr>
          </w:p>
        </w:tc>
        <w:tc>
          <w:tcPr>
            <w:tcW w:w="1474" w:type="dxa"/>
            <w:vAlign w:val="center"/>
          </w:tcPr>
          <w:p w14:paraId="3E59E739">
            <w:pPr>
              <w:pStyle w:val="11"/>
            </w:pPr>
          </w:p>
        </w:tc>
        <w:tc>
          <w:tcPr>
            <w:tcW w:w="3402" w:type="dxa"/>
            <w:vAlign w:val="center"/>
          </w:tcPr>
          <w:p w14:paraId="0324DEA3">
            <w:pPr>
              <w:pStyle w:val="12"/>
            </w:pPr>
            <w:r>
              <w:t>二十三、灾害防治及应急管理支出</w:t>
            </w:r>
          </w:p>
        </w:tc>
        <w:tc>
          <w:tcPr>
            <w:tcW w:w="1474" w:type="dxa"/>
            <w:vAlign w:val="center"/>
          </w:tcPr>
          <w:p w14:paraId="29693F16">
            <w:pPr>
              <w:pStyle w:val="11"/>
            </w:pPr>
          </w:p>
        </w:tc>
        <w:tc>
          <w:tcPr>
            <w:tcW w:w="1474" w:type="dxa"/>
            <w:vAlign w:val="center"/>
          </w:tcPr>
          <w:p w14:paraId="357E1FD2">
            <w:pPr>
              <w:pStyle w:val="11"/>
            </w:pPr>
          </w:p>
        </w:tc>
        <w:tc>
          <w:tcPr>
            <w:tcW w:w="1474" w:type="dxa"/>
            <w:vAlign w:val="center"/>
          </w:tcPr>
          <w:p w14:paraId="71B86000">
            <w:pPr>
              <w:pStyle w:val="11"/>
            </w:pPr>
          </w:p>
        </w:tc>
        <w:tc>
          <w:tcPr>
            <w:tcW w:w="1474" w:type="dxa"/>
            <w:vAlign w:val="center"/>
          </w:tcPr>
          <w:p w14:paraId="0588EC2F">
            <w:pPr>
              <w:pStyle w:val="11"/>
            </w:pPr>
          </w:p>
        </w:tc>
      </w:tr>
      <w:tr w14:paraId="79B85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E4106">
            <w:pPr>
              <w:pStyle w:val="13"/>
            </w:pPr>
            <w:r>
              <w:t>24</w:t>
            </w:r>
          </w:p>
        </w:tc>
        <w:tc>
          <w:tcPr>
            <w:tcW w:w="3402" w:type="dxa"/>
            <w:vAlign w:val="center"/>
          </w:tcPr>
          <w:p w14:paraId="481D4C78">
            <w:pPr>
              <w:pStyle w:val="12"/>
            </w:pPr>
          </w:p>
        </w:tc>
        <w:tc>
          <w:tcPr>
            <w:tcW w:w="1474" w:type="dxa"/>
            <w:vAlign w:val="center"/>
          </w:tcPr>
          <w:p w14:paraId="4720EDA4">
            <w:pPr>
              <w:pStyle w:val="11"/>
            </w:pPr>
          </w:p>
        </w:tc>
        <w:tc>
          <w:tcPr>
            <w:tcW w:w="3402" w:type="dxa"/>
            <w:vAlign w:val="center"/>
          </w:tcPr>
          <w:p w14:paraId="02D10A87">
            <w:pPr>
              <w:pStyle w:val="12"/>
            </w:pPr>
            <w:r>
              <w:t>二十四、预备费</w:t>
            </w:r>
          </w:p>
        </w:tc>
        <w:tc>
          <w:tcPr>
            <w:tcW w:w="1474" w:type="dxa"/>
            <w:vAlign w:val="center"/>
          </w:tcPr>
          <w:p w14:paraId="43A96CDB">
            <w:pPr>
              <w:pStyle w:val="11"/>
            </w:pPr>
          </w:p>
        </w:tc>
        <w:tc>
          <w:tcPr>
            <w:tcW w:w="1474" w:type="dxa"/>
            <w:vAlign w:val="center"/>
          </w:tcPr>
          <w:p w14:paraId="08A1AB67">
            <w:pPr>
              <w:pStyle w:val="11"/>
            </w:pPr>
          </w:p>
        </w:tc>
        <w:tc>
          <w:tcPr>
            <w:tcW w:w="1474" w:type="dxa"/>
            <w:vAlign w:val="center"/>
          </w:tcPr>
          <w:p w14:paraId="6B3F7BC9">
            <w:pPr>
              <w:pStyle w:val="11"/>
            </w:pPr>
          </w:p>
        </w:tc>
        <w:tc>
          <w:tcPr>
            <w:tcW w:w="1474" w:type="dxa"/>
            <w:vAlign w:val="center"/>
          </w:tcPr>
          <w:p w14:paraId="2BF88192">
            <w:pPr>
              <w:pStyle w:val="11"/>
            </w:pPr>
          </w:p>
        </w:tc>
      </w:tr>
      <w:tr w14:paraId="633B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D0C59">
            <w:pPr>
              <w:pStyle w:val="13"/>
            </w:pPr>
            <w:r>
              <w:t>25</w:t>
            </w:r>
          </w:p>
        </w:tc>
        <w:tc>
          <w:tcPr>
            <w:tcW w:w="3402" w:type="dxa"/>
            <w:vAlign w:val="center"/>
          </w:tcPr>
          <w:p w14:paraId="24AC4B18">
            <w:pPr>
              <w:pStyle w:val="12"/>
            </w:pPr>
          </w:p>
        </w:tc>
        <w:tc>
          <w:tcPr>
            <w:tcW w:w="1474" w:type="dxa"/>
            <w:vAlign w:val="center"/>
          </w:tcPr>
          <w:p w14:paraId="5F95F805">
            <w:pPr>
              <w:pStyle w:val="11"/>
            </w:pPr>
          </w:p>
        </w:tc>
        <w:tc>
          <w:tcPr>
            <w:tcW w:w="3402" w:type="dxa"/>
            <w:vAlign w:val="center"/>
          </w:tcPr>
          <w:p w14:paraId="28DD8109">
            <w:pPr>
              <w:pStyle w:val="12"/>
            </w:pPr>
            <w:r>
              <w:t>二十五、其他支出</w:t>
            </w:r>
          </w:p>
        </w:tc>
        <w:tc>
          <w:tcPr>
            <w:tcW w:w="1474" w:type="dxa"/>
            <w:vAlign w:val="center"/>
          </w:tcPr>
          <w:p w14:paraId="0B70DA03">
            <w:pPr>
              <w:pStyle w:val="11"/>
            </w:pPr>
          </w:p>
        </w:tc>
        <w:tc>
          <w:tcPr>
            <w:tcW w:w="1474" w:type="dxa"/>
            <w:vAlign w:val="center"/>
          </w:tcPr>
          <w:p w14:paraId="72198BBF">
            <w:pPr>
              <w:pStyle w:val="11"/>
            </w:pPr>
          </w:p>
        </w:tc>
        <w:tc>
          <w:tcPr>
            <w:tcW w:w="1474" w:type="dxa"/>
            <w:vAlign w:val="center"/>
          </w:tcPr>
          <w:p w14:paraId="770B38F2">
            <w:pPr>
              <w:pStyle w:val="11"/>
            </w:pPr>
          </w:p>
        </w:tc>
        <w:tc>
          <w:tcPr>
            <w:tcW w:w="1474" w:type="dxa"/>
            <w:vAlign w:val="center"/>
          </w:tcPr>
          <w:p w14:paraId="64E572E7">
            <w:pPr>
              <w:pStyle w:val="11"/>
            </w:pPr>
          </w:p>
        </w:tc>
      </w:tr>
      <w:tr w14:paraId="2371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09CC">
            <w:pPr>
              <w:pStyle w:val="13"/>
            </w:pPr>
            <w:r>
              <w:t>26</w:t>
            </w:r>
          </w:p>
        </w:tc>
        <w:tc>
          <w:tcPr>
            <w:tcW w:w="3402" w:type="dxa"/>
            <w:vAlign w:val="center"/>
          </w:tcPr>
          <w:p w14:paraId="2A7B6438">
            <w:pPr>
              <w:pStyle w:val="12"/>
            </w:pPr>
          </w:p>
        </w:tc>
        <w:tc>
          <w:tcPr>
            <w:tcW w:w="1474" w:type="dxa"/>
            <w:vAlign w:val="center"/>
          </w:tcPr>
          <w:p w14:paraId="48887A77">
            <w:pPr>
              <w:pStyle w:val="11"/>
            </w:pPr>
          </w:p>
        </w:tc>
        <w:tc>
          <w:tcPr>
            <w:tcW w:w="3402" w:type="dxa"/>
            <w:vAlign w:val="center"/>
          </w:tcPr>
          <w:p w14:paraId="44EE1388">
            <w:pPr>
              <w:pStyle w:val="12"/>
            </w:pPr>
            <w:r>
              <w:t>二十六、转移性支出</w:t>
            </w:r>
          </w:p>
        </w:tc>
        <w:tc>
          <w:tcPr>
            <w:tcW w:w="1474" w:type="dxa"/>
            <w:vAlign w:val="center"/>
          </w:tcPr>
          <w:p w14:paraId="2C74340A">
            <w:pPr>
              <w:pStyle w:val="11"/>
            </w:pPr>
          </w:p>
        </w:tc>
        <w:tc>
          <w:tcPr>
            <w:tcW w:w="1474" w:type="dxa"/>
            <w:vAlign w:val="center"/>
          </w:tcPr>
          <w:p w14:paraId="16535CA8">
            <w:pPr>
              <w:pStyle w:val="11"/>
            </w:pPr>
          </w:p>
        </w:tc>
        <w:tc>
          <w:tcPr>
            <w:tcW w:w="1474" w:type="dxa"/>
            <w:vAlign w:val="center"/>
          </w:tcPr>
          <w:p w14:paraId="06C1A71B">
            <w:pPr>
              <w:pStyle w:val="11"/>
            </w:pPr>
          </w:p>
        </w:tc>
        <w:tc>
          <w:tcPr>
            <w:tcW w:w="1474" w:type="dxa"/>
            <w:vAlign w:val="center"/>
          </w:tcPr>
          <w:p w14:paraId="31ED7DF1">
            <w:pPr>
              <w:pStyle w:val="11"/>
            </w:pPr>
          </w:p>
        </w:tc>
      </w:tr>
      <w:tr w14:paraId="3BA9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AF8A2">
            <w:pPr>
              <w:pStyle w:val="13"/>
            </w:pPr>
            <w:r>
              <w:t>27</w:t>
            </w:r>
          </w:p>
        </w:tc>
        <w:tc>
          <w:tcPr>
            <w:tcW w:w="3402" w:type="dxa"/>
            <w:vAlign w:val="center"/>
          </w:tcPr>
          <w:p w14:paraId="1412CF4C">
            <w:pPr>
              <w:pStyle w:val="12"/>
            </w:pPr>
          </w:p>
        </w:tc>
        <w:tc>
          <w:tcPr>
            <w:tcW w:w="1474" w:type="dxa"/>
            <w:vAlign w:val="center"/>
          </w:tcPr>
          <w:p w14:paraId="220BC4B9">
            <w:pPr>
              <w:pStyle w:val="11"/>
            </w:pPr>
          </w:p>
        </w:tc>
        <w:tc>
          <w:tcPr>
            <w:tcW w:w="3402" w:type="dxa"/>
            <w:vAlign w:val="center"/>
          </w:tcPr>
          <w:p w14:paraId="0B27EECF">
            <w:pPr>
              <w:pStyle w:val="12"/>
            </w:pPr>
            <w:r>
              <w:t>二十七、债务还本支出</w:t>
            </w:r>
          </w:p>
        </w:tc>
        <w:tc>
          <w:tcPr>
            <w:tcW w:w="1474" w:type="dxa"/>
            <w:vAlign w:val="center"/>
          </w:tcPr>
          <w:p w14:paraId="1413C562">
            <w:pPr>
              <w:pStyle w:val="11"/>
            </w:pPr>
          </w:p>
        </w:tc>
        <w:tc>
          <w:tcPr>
            <w:tcW w:w="1474" w:type="dxa"/>
            <w:vAlign w:val="center"/>
          </w:tcPr>
          <w:p w14:paraId="587FD4AC">
            <w:pPr>
              <w:pStyle w:val="11"/>
            </w:pPr>
          </w:p>
        </w:tc>
        <w:tc>
          <w:tcPr>
            <w:tcW w:w="1474" w:type="dxa"/>
            <w:vAlign w:val="center"/>
          </w:tcPr>
          <w:p w14:paraId="008C7D35">
            <w:pPr>
              <w:pStyle w:val="11"/>
            </w:pPr>
          </w:p>
        </w:tc>
        <w:tc>
          <w:tcPr>
            <w:tcW w:w="1474" w:type="dxa"/>
            <w:vAlign w:val="center"/>
          </w:tcPr>
          <w:p w14:paraId="672678FB">
            <w:pPr>
              <w:pStyle w:val="11"/>
            </w:pPr>
          </w:p>
        </w:tc>
      </w:tr>
      <w:tr w14:paraId="27B3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C302C">
            <w:pPr>
              <w:pStyle w:val="13"/>
            </w:pPr>
            <w:r>
              <w:t>28</w:t>
            </w:r>
          </w:p>
        </w:tc>
        <w:tc>
          <w:tcPr>
            <w:tcW w:w="3402" w:type="dxa"/>
            <w:vAlign w:val="center"/>
          </w:tcPr>
          <w:p w14:paraId="0CB4E14D">
            <w:pPr>
              <w:pStyle w:val="12"/>
            </w:pPr>
          </w:p>
        </w:tc>
        <w:tc>
          <w:tcPr>
            <w:tcW w:w="1474" w:type="dxa"/>
            <w:vAlign w:val="center"/>
          </w:tcPr>
          <w:p w14:paraId="676735C1">
            <w:pPr>
              <w:pStyle w:val="11"/>
            </w:pPr>
          </w:p>
        </w:tc>
        <w:tc>
          <w:tcPr>
            <w:tcW w:w="3402" w:type="dxa"/>
            <w:vAlign w:val="center"/>
          </w:tcPr>
          <w:p w14:paraId="5EB47B10">
            <w:pPr>
              <w:pStyle w:val="12"/>
            </w:pPr>
            <w:r>
              <w:t>二十八、债务付息支出</w:t>
            </w:r>
          </w:p>
        </w:tc>
        <w:tc>
          <w:tcPr>
            <w:tcW w:w="1474" w:type="dxa"/>
            <w:vAlign w:val="center"/>
          </w:tcPr>
          <w:p w14:paraId="3309CAE0">
            <w:pPr>
              <w:pStyle w:val="11"/>
            </w:pPr>
          </w:p>
        </w:tc>
        <w:tc>
          <w:tcPr>
            <w:tcW w:w="1474" w:type="dxa"/>
            <w:vAlign w:val="center"/>
          </w:tcPr>
          <w:p w14:paraId="08E3BD96">
            <w:pPr>
              <w:pStyle w:val="11"/>
            </w:pPr>
          </w:p>
        </w:tc>
        <w:tc>
          <w:tcPr>
            <w:tcW w:w="1474" w:type="dxa"/>
            <w:vAlign w:val="center"/>
          </w:tcPr>
          <w:p w14:paraId="174F39B6">
            <w:pPr>
              <w:pStyle w:val="11"/>
            </w:pPr>
          </w:p>
        </w:tc>
        <w:tc>
          <w:tcPr>
            <w:tcW w:w="1474" w:type="dxa"/>
            <w:vAlign w:val="center"/>
          </w:tcPr>
          <w:p w14:paraId="5750C167">
            <w:pPr>
              <w:pStyle w:val="11"/>
            </w:pPr>
          </w:p>
        </w:tc>
      </w:tr>
      <w:tr w14:paraId="28CB8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E3BB">
            <w:pPr>
              <w:pStyle w:val="13"/>
            </w:pPr>
            <w:r>
              <w:t>29</w:t>
            </w:r>
          </w:p>
        </w:tc>
        <w:tc>
          <w:tcPr>
            <w:tcW w:w="3402" w:type="dxa"/>
            <w:vAlign w:val="center"/>
          </w:tcPr>
          <w:p w14:paraId="2AC3CAFA">
            <w:pPr>
              <w:pStyle w:val="12"/>
            </w:pPr>
          </w:p>
        </w:tc>
        <w:tc>
          <w:tcPr>
            <w:tcW w:w="1474" w:type="dxa"/>
            <w:vAlign w:val="center"/>
          </w:tcPr>
          <w:p w14:paraId="1FF6283C">
            <w:pPr>
              <w:pStyle w:val="11"/>
            </w:pPr>
          </w:p>
        </w:tc>
        <w:tc>
          <w:tcPr>
            <w:tcW w:w="3402" w:type="dxa"/>
            <w:vAlign w:val="center"/>
          </w:tcPr>
          <w:p w14:paraId="29690D60">
            <w:pPr>
              <w:pStyle w:val="12"/>
            </w:pPr>
            <w:r>
              <w:t>二十九、债务发行费用支出</w:t>
            </w:r>
          </w:p>
        </w:tc>
        <w:tc>
          <w:tcPr>
            <w:tcW w:w="1474" w:type="dxa"/>
            <w:vAlign w:val="center"/>
          </w:tcPr>
          <w:p w14:paraId="1D08447F">
            <w:pPr>
              <w:pStyle w:val="11"/>
            </w:pPr>
          </w:p>
        </w:tc>
        <w:tc>
          <w:tcPr>
            <w:tcW w:w="1474" w:type="dxa"/>
            <w:vAlign w:val="center"/>
          </w:tcPr>
          <w:p w14:paraId="6C362246">
            <w:pPr>
              <w:pStyle w:val="11"/>
            </w:pPr>
          </w:p>
        </w:tc>
        <w:tc>
          <w:tcPr>
            <w:tcW w:w="1474" w:type="dxa"/>
            <w:vAlign w:val="center"/>
          </w:tcPr>
          <w:p w14:paraId="474F26C2">
            <w:pPr>
              <w:pStyle w:val="11"/>
            </w:pPr>
          </w:p>
        </w:tc>
        <w:tc>
          <w:tcPr>
            <w:tcW w:w="1474" w:type="dxa"/>
            <w:vAlign w:val="center"/>
          </w:tcPr>
          <w:p w14:paraId="054BD067">
            <w:pPr>
              <w:pStyle w:val="11"/>
            </w:pPr>
          </w:p>
        </w:tc>
      </w:tr>
      <w:tr w14:paraId="0F94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A4E24">
            <w:pPr>
              <w:pStyle w:val="13"/>
            </w:pPr>
            <w:r>
              <w:t>30</w:t>
            </w:r>
          </w:p>
        </w:tc>
        <w:tc>
          <w:tcPr>
            <w:tcW w:w="3402" w:type="dxa"/>
            <w:vAlign w:val="center"/>
          </w:tcPr>
          <w:p w14:paraId="6B650D54">
            <w:pPr>
              <w:pStyle w:val="12"/>
            </w:pPr>
          </w:p>
        </w:tc>
        <w:tc>
          <w:tcPr>
            <w:tcW w:w="1474" w:type="dxa"/>
            <w:vAlign w:val="center"/>
          </w:tcPr>
          <w:p w14:paraId="6507F0CF">
            <w:pPr>
              <w:pStyle w:val="11"/>
            </w:pPr>
          </w:p>
        </w:tc>
        <w:tc>
          <w:tcPr>
            <w:tcW w:w="3402" w:type="dxa"/>
            <w:vAlign w:val="center"/>
          </w:tcPr>
          <w:p w14:paraId="0ED62E9D">
            <w:pPr>
              <w:pStyle w:val="12"/>
            </w:pPr>
            <w:r>
              <w:t>三十、抗疫特别国债安排的支出</w:t>
            </w:r>
          </w:p>
        </w:tc>
        <w:tc>
          <w:tcPr>
            <w:tcW w:w="1474" w:type="dxa"/>
            <w:vAlign w:val="center"/>
          </w:tcPr>
          <w:p w14:paraId="68C83665">
            <w:pPr>
              <w:pStyle w:val="11"/>
            </w:pPr>
          </w:p>
        </w:tc>
        <w:tc>
          <w:tcPr>
            <w:tcW w:w="1474" w:type="dxa"/>
            <w:vAlign w:val="center"/>
          </w:tcPr>
          <w:p w14:paraId="5A20FB9A">
            <w:pPr>
              <w:pStyle w:val="11"/>
            </w:pPr>
          </w:p>
        </w:tc>
        <w:tc>
          <w:tcPr>
            <w:tcW w:w="1474" w:type="dxa"/>
            <w:vAlign w:val="center"/>
          </w:tcPr>
          <w:p w14:paraId="3036E0B2">
            <w:pPr>
              <w:pStyle w:val="11"/>
            </w:pPr>
          </w:p>
        </w:tc>
        <w:tc>
          <w:tcPr>
            <w:tcW w:w="1474" w:type="dxa"/>
            <w:vAlign w:val="center"/>
          </w:tcPr>
          <w:p w14:paraId="547D8F84">
            <w:pPr>
              <w:pStyle w:val="11"/>
            </w:pPr>
          </w:p>
        </w:tc>
      </w:tr>
      <w:tr w14:paraId="6570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09AA">
            <w:pPr>
              <w:pStyle w:val="13"/>
            </w:pPr>
            <w:r>
              <w:t>31</w:t>
            </w:r>
          </w:p>
        </w:tc>
        <w:tc>
          <w:tcPr>
            <w:tcW w:w="3402" w:type="dxa"/>
            <w:vAlign w:val="center"/>
          </w:tcPr>
          <w:p w14:paraId="244E3FBF">
            <w:pPr>
              <w:pStyle w:val="12"/>
            </w:pPr>
          </w:p>
        </w:tc>
        <w:tc>
          <w:tcPr>
            <w:tcW w:w="1474" w:type="dxa"/>
            <w:vAlign w:val="center"/>
          </w:tcPr>
          <w:p w14:paraId="519DBC40">
            <w:pPr>
              <w:pStyle w:val="11"/>
            </w:pPr>
          </w:p>
        </w:tc>
        <w:tc>
          <w:tcPr>
            <w:tcW w:w="3402" w:type="dxa"/>
            <w:vAlign w:val="center"/>
          </w:tcPr>
          <w:p w14:paraId="1A29719C">
            <w:pPr>
              <w:pStyle w:val="12"/>
            </w:pPr>
            <w:r>
              <w:t>三十一、人行科目</w:t>
            </w:r>
          </w:p>
        </w:tc>
        <w:tc>
          <w:tcPr>
            <w:tcW w:w="1474" w:type="dxa"/>
            <w:vAlign w:val="center"/>
          </w:tcPr>
          <w:p w14:paraId="33E207E1">
            <w:pPr>
              <w:pStyle w:val="11"/>
            </w:pPr>
          </w:p>
        </w:tc>
        <w:tc>
          <w:tcPr>
            <w:tcW w:w="1474" w:type="dxa"/>
            <w:vAlign w:val="center"/>
          </w:tcPr>
          <w:p w14:paraId="139FE4ED">
            <w:pPr>
              <w:pStyle w:val="11"/>
            </w:pPr>
          </w:p>
        </w:tc>
        <w:tc>
          <w:tcPr>
            <w:tcW w:w="1474" w:type="dxa"/>
            <w:vAlign w:val="center"/>
          </w:tcPr>
          <w:p w14:paraId="496255AA">
            <w:pPr>
              <w:pStyle w:val="11"/>
            </w:pPr>
          </w:p>
        </w:tc>
        <w:tc>
          <w:tcPr>
            <w:tcW w:w="1474" w:type="dxa"/>
            <w:vAlign w:val="center"/>
          </w:tcPr>
          <w:p w14:paraId="5D535DFB">
            <w:pPr>
              <w:pStyle w:val="11"/>
            </w:pPr>
          </w:p>
        </w:tc>
      </w:tr>
      <w:tr w14:paraId="370F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C9CEB">
            <w:pPr>
              <w:pStyle w:val="13"/>
            </w:pPr>
            <w:r>
              <w:t>32</w:t>
            </w:r>
          </w:p>
        </w:tc>
        <w:tc>
          <w:tcPr>
            <w:tcW w:w="3402" w:type="dxa"/>
            <w:vAlign w:val="center"/>
          </w:tcPr>
          <w:p w14:paraId="01AF919C">
            <w:pPr>
              <w:pStyle w:val="14"/>
            </w:pPr>
            <w:r>
              <w:t>本年收入合计</w:t>
            </w:r>
          </w:p>
        </w:tc>
        <w:tc>
          <w:tcPr>
            <w:tcW w:w="1474" w:type="dxa"/>
            <w:vAlign w:val="center"/>
          </w:tcPr>
          <w:p w14:paraId="4821B37E">
            <w:pPr>
              <w:pStyle w:val="15"/>
            </w:pPr>
            <w:r>
              <w:t>2072.60</w:t>
            </w:r>
          </w:p>
        </w:tc>
        <w:tc>
          <w:tcPr>
            <w:tcW w:w="3402" w:type="dxa"/>
            <w:vAlign w:val="center"/>
          </w:tcPr>
          <w:p w14:paraId="626F5D77">
            <w:pPr>
              <w:pStyle w:val="14"/>
            </w:pPr>
            <w:r>
              <w:t>本年支出合计</w:t>
            </w:r>
          </w:p>
        </w:tc>
        <w:tc>
          <w:tcPr>
            <w:tcW w:w="1474" w:type="dxa"/>
            <w:vAlign w:val="center"/>
          </w:tcPr>
          <w:p w14:paraId="0118BE07">
            <w:pPr>
              <w:pStyle w:val="15"/>
            </w:pPr>
            <w:r>
              <w:t>2072.60</w:t>
            </w:r>
          </w:p>
        </w:tc>
        <w:tc>
          <w:tcPr>
            <w:tcW w:w="1474" w:type="dxa"/>
            <w:vAlign w:val="center"/>
          </w:tcPr>
          <w:p w14:paraId="0411B561">
            <w:pPr>
              <w:pStyle w:val="15"/>
            </w:pPr>
            <w:r>
              <w:t>2072.60</w:t>
            </w:r>
          </w:p>
        </w:tc>
        <w:tc>
          <w:tcPr>
            <w:tcW w:w="1474" w:type="dxa"/>
            <w:vAlign w:val="center"/>
          </w:tcPr>
          <w:p w14:paraId="680D41A0">
            <w:pPr>
              <w:pStyle w:val="15"/>
            </w:pPr>
          </w:p>
        </w:tc>
        <w:tc>
          <w:tcPr>
            <w:tcW w:w="1474" w:type="dxa"/>
            <w:vAlign w:val="center"/>
          </w:tcPr>
          <w:p w14:paraId="3DD9A1D2">
            <w:pPr>
              <w:pStyle w:val="15"/>
            </w:pPr>
          </w:p>
        </w:tc>
      </w:tr>
      <w:tr w14:paraId="38030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B623">
            <w:pPr>
              <w:pStyle w:val="13"/>
            </w:pPr>
            <w:r>
              <w:t>33</w:t>
            </w:r>
          </w:p>
        </w:tc>
        <w:tc>
          <w:tcPr>
            <w:tcW w:w="3402" w:type="dxa"/>
            <w:vAlign w:val="center"/>
          </w:tcPr>
          <w:p w14:paraId="69130D89">
            <w:pPr>
              <w:pStyle w:val="12"/>
            </w:pPr>
            <w:r>
              <w:t>年初财政拨款结转和结余</w:t>
            </w:r>
          </w:p>
        </w:tc>
        <w:tc>
          <w:tcPr>
            <w:tcW w:w="1474" w:type="dxa"/>
            <w:vAlign w:val="center"/>
          </w:tcPr>
          <w:p w14:paraId="0350FAAD">
            <w:pPr>
              <w:pStyle w:val="11"/>
            </w:pPr>
          </w:p>
        </w:tc>
        <w:tc>
          <w:tcPr>
            <w:tcW w:w="3402" w:type="dxa"/>
            <w:vAlign w:val="center"/>
          </w:tcPr>
          <w:p w14:paraId="2BEAA90E">
            <w:pPr>
              <w:pStyle w:val="12"/>
            </w:pPr>
            <w:r>
              <w:t>年末财政拨款结转和结余</w:t>
            </w:r>
          </w:p>
        </w:tc>
        <w:tc>
          <w:tcPr>
            <w:tcW w:w="1474" w:type="dxa"/>
            <w:vAlign w:val="center"/>
          </w:tcPr>
          <w:p w14:paraId="02A53B39">
            <w:pPr>
              <w:pStyle w:val="11"/>
            </w:pPr>
          </w:p>
        </w:tc>
        <w:tc>
          <w:tcPr>
            <w:tcW w:w="1474" w:type="dxa"/>
            <w:vAlign w:val="center"/>
          </w:tcPr>
          <w:p w14:paraId="7E4B2CB5">
            <w:pPr>
              <w:pStyle w:val="11"/>
            </w:pPr>
          </w:p>
        </w:tc>
        <w:tc>
          <w:tcPr>
            <w:tcW w:w="1474" w:type="dxa"/>
            <w:vAlign w:val="center"/>
          </w:tcPr>
          <w:p w14:paraId="69E47629">
            <w:pPr>
              <w:pStyle w:val="11"/>
            </w:pPr>
          </w:p>
        </w:tc>
        <w:tc>
          <w:tcPr>
            <w:tcW w:w="1474" w:type="dxa"/>
            <w:vAlign w:val="center"/>
          </w:tcPr>
          <w:p w14:paraId="445AA18F">
            <w:pPr>
              <w:pStyle w:val="11"/>
            </w:pPr>
          </w:p>
        </w:tc>
      </w:tr>
      <w:tr w14:paraId="035B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93794">
            <w:pPr>
              <w:pStyle w:val="13"/>
            </w:pPr>
            <w:r>
              <w:t>34</w:t>
            </w:r>
          </w:p>
        </w:tc>
        <w:tc>
          <w:tcPr>
            <w:tcW w:w="3402" w:type="dxa"/>
            <w:vAlign w:val="center"/>
          </w:tcPr>
          <w:p w14:paraId="2957ABE2">
            <w:pPr>
              <w:pStyle w:val="12"/>
            </w:pPr>
            <w:r>
              <w:t>一、一般公共预算拨款</w:t>
            </w:r>
          </w:p>
        </w:tc>
        <w:tc>
          <w:tcPr>
            <w:tcW w:w="1474" w:type="dxa"/>
            <w:vAlign w:val="center"/>
          </w:tcPr>
          <w:p w14:paraId="12F74057">
            <w:pPr>
              <w:pStyle w:val="11"/>
            </w:pPr>
          </w:p>
        </w:tc>
        <w:tc>
          <w:tcPr>
            <w:tcW w:w="3402" w:type="dxa"/>
            <w:vAlign w:val="center"/>
          </w:tcPr>
          <w:p w14:paraId="1544E7D0">
            <w:pPr>
              <w:pStyle w:val="12"/>
            </w:pPr>
          </w:p>
        </w:tc>
        <w:tc>
          <w:tcPr>
            <w:tcW w:w="1474" w:type="dxa"/>
            <w:vAlign w:val="center"/>
          </w:tcPr>
          <w:p w14:paraId="2C310778">
            <w:pPr>
              <w:pStyle w:val="11"/>
            </w:pPr>
          </w:p>
        </w:tc>
        <w:tc>
          <w:tcPr>
            <w:tcW w:w="1474" w:type="dxa"/>
            <w:vAlign w:val="center"/>
          </w:tcPr>
          <w:p w14:paraId="1A82CAD0">
            <w:pPr>
              <w:pStyle w:val="11"/>
            </w:pPr>
          </w:p>
        </w:tc>
        <w:tc>
          <w:tcPr>
            <w:tcW w:w="1474" w:type="dxa"/>
            <w:vAlign w:val="center"/>
          </w:tcPr>
          <w:p w14:paraId="288E7117">
            <w:pPr>
              <w:pStyle w:val="11"/>
            </w:pPr>
          </w:p>
        </w:tc>
        <w:tc>
          <w:tcPr>
            <w:tcW w:w="1474" w:type="dxa"/>
            <w:vAlign w:val="center"/>
          </w:tcPr>
          <w:p w14:paraId="7F8219F1">
            <w:pPr>
              <w:pStyle w:val="11"/>
            </w:pPr>
          </w:p>
        </w:tc>
      </w:tr>
      <w:tr w14:paraId="3BA3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69C40">
            <w:pPr>
              <w:pStyle w:val="13"/>
            </w:pPr>
            <w:r>
              <w:t>35</w:t>
            </w:r>
          </w:p>
        </w:tc>
        <w:tc>
          <w:tcPr>
            <w:tcW w:w="3402" w:type="dxa"/>
            <w:vAlign w:val="center"/>
          </w:tcPr>
          <w:p w14:paraId="6F9D3FFE">
            <w:pPr>
              <w:pStyle w:val="12"/>
            </w:pPr>
            <w:r>
              <w:t>二、政府性基金预算拨款</w:t>
            </w:r>
          </w:p>
        </w:tc>
        <w:tc>
          <w:tcPr>
            <w:tcW w:w="1474" w:type="dxa"/>
            <w:vAlign w:val="center"/>
          </w:tcPr>
          <w:p w14:paraId="0FFE8F7F">
            <w:pPr>
              <w:pStyle w:val="11"/>
            </w:pPr>
          </w:p>
        </w:tc>
        <w:tc>
          <w:tcPr>
            <w:tcW w:w="3402" w:type="dxa"/>
            <w:vAlign w:val="center"/>
          </w:tcPr>
          <w:p w14:paraId="38F64E77">
            <w:pPr>
              <w:pStyle w:val="12"/>
            </w:pPr>
          </w:p>
        </w:tc>
        <w:tc>
          <w:tcPr>
            <w:tcW w:w="1474" w:type="dxa"/>
            <w:vAlign w:val="center"/>
          </w:tcPr>
          <w:p w14:paraId="480CD2B2">
            <w:pPr>
              <w:pStyle w:val="11"/>
            </w:pPr>
          </w:p>
        </w:tc>
        <w:tc>
          <w:tcPr>
            <w:tcW w:w="1474" w:type="dxa"/>
            <w:vAlign w:val="center"/>
          </w:tcPr>
          <w:p w14:paraId="7298B26A">
            <w:pPr>
              <w:pStyle w:val="11"/>
            </w:pPr>
          </w:p>
        </w:tc>
        <w:tc>
          <w:tcPr>
            <w:tcW w:w="1474" w:type="dxa"/>
            <w:vAlign w:val="center"/>
          </w:tcPr>
          <w:p w14:paraId="1C77DBF3">
            <w:pPr>
              <w:pStyle w:val="11"/>
            </w:pPr>
          </w:p>
        </w:tc>
        <w:tc>
          <w:tcPr>
            <w:tcW w:w="1474" w:type="dxa"/>
            <w:vAlign w:val="center"/>
          </w:tcPr>
          <w:p w14:paraId="63977DD1">
            <w:pPr>
              <w:pStyle w:val="11"/>
            </w:pPr>
          </w:p>
        </w:tc>
      </w:tr>
      <w:tr w14:paraId="2BD9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4E4EF">
            <w:pPr>
              <w:pStyle w:val="13"/>
            </w:pPr>
            <w:r>
              <w:t>36</w:t>
            </w:r>
          </w:p>
        </w:tc>
        <w:tc>
          <w:tcPr>
            <w:tcW w:w="3402" w:type="dxa"/>
            <w:vAlign w:val="center"/>
          </w:tcPr>
          <w:p w14:paraId="415CE2DE">
            <w:pPr>
              <w:pStyle w:val="12"/>
            </w:pPr>
            <w:r>
              <w:t>三、国有资本经营预算拨款</w:t>
            </w:r>
          </w:p>
        </w:tc>
        <w:tc>
          <w:tcPr>
            <w:tcW w:w="1474" w:type="dxa"/>
            <w:vAlign w:val="center"/>
          </w:tcPr>
          <w:p w14:paraId="1D8E8D0A">
            <w:pPr>
              <w:pStyle w:val="11"/>
            </w:pPr>
          </w:p>
        </w:tc>
        <w:tc>
          <w:tcPr>
            <w:tcW w:w="3402" w:type="dxa"/>
            <w:vAlign w:val="center"/>
          </w:tcPr>
          <w:p w14:paraId="00628C77">
            <w:pPr>
              <w:pStyle w:val="12"/>
            </w:pPr>
          </w:p>
        </w:tc>
        <w:tc>
          <w:tcPr>
            <w:tcW w:w="1474" w:type="dxa"/>
            <w:vAlign w:val="center"/>
          </w:tcPr>
          <w:p w14:paraId="534AED62">
            <w:pPr>
              <w:pStyle w:val="11"/>
            </w:pPr>
          </w:p>
        </w:tc>
        <w:tc>
          <w:tcPr>
            <w:tcW w:w="1474" w:type="dxa"/>
            <w:vAlign w:val="center"/>
          </w:tcPr>
          <w:p w14:paraId="2DD21B1A">
            <w:pPr>
              <w:pStyle w:val="11"/>
            </w:pPr>
          </w:p>
        </w:tc>
        <w:tc>
          <w:tcPr>
            <w:tcW w:w="1474" w:type="dxa"/>
            <w:vAlign w:val="center"/>
          </w:tcPr>
          <w:p w14:paraId="1E882FC9">
            <w:pPr>
              <w:pStyle w:val="11"/>
            </w:pPr>
          </w:p>
        </w:tc>
        <w:tc>
          <w:tcPr>
            <w:tcW w:w="1474" w:type="dxa"/>
            <w:vAlign w:val="center"/>
          </w:tcPr>
          <w:p w14:paraId="5BDA6D2C">
            <w:pPr>
              <w:pStyle w:val="11"/>
            </w:pPr>
          </w:p>
        </w:tc>
      </w:tr>
      <w:tr w14:paraId="2B40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F05A">
            <w:pPr>
              <w:pStyle w:val="13"/>
            </w:pPr>
            <w:r>
              <w:t>37</w:t>
            </w:r>
          </w:p>
        </w:tc>
        <w:tc>
          <w:tcPr>
            <w:tcW w:w="3402" w:type="dxa"/>
            <w:vAlign w:val="center"/>
          </w:tcPr>
          <w:p w14:paraId="48A8ACF4">
            <w:pPr>
              <w:pStyle w:val="14"/>
            </w:pPr>
            <w:r>
              <w:t>收入总计</w:t>
            </w:r>
          </w:p>
        </w:tc>
        <w:tc>
          <w:tcPr>
            <w:tcW w:w="1474" w:type="dxa"/>
            <w:vAlign w:val="center"/>
          </w:tcPr>
          <w:p w14:paraId="32C4146B">
            <w:pPr>
              <w:pStyle w:val="15"/>
            </w:pPr>
            <w:r>
              <w:t>2072.60</w:t>
            </w:r>
          </w:p>
        </w:tc>
        <w:tc>
          <w:tcPr>
            <w:tcW w:w="3402" w:type="dxa"/>
            <w:vAlign w:val="center"/>
          </w:tcPr>
          <w:p w14:paraId="73E82443">
            <w:pPr>
              <w:pStyle w:val="14"/>
            </w:pPr>
            <w:r>
              <w:t>支出总计</w:t>
            </w:r>
          </w:p>
        </w:tc>
        <w:tc>
          <w:tcPr>
            <w:tcW w:w="1474" w:type="dxa"/>
            <w:vAlign w:val="center"/>
          </w:tcPr>
          <w:p w14:paraId="2B38EBBE">
            <w:pPr>
              <w:pStyle w:val="15"/>
            </w:pPr>
            <w:r>
              <w:t>2072.60</w:t>
            </w:r>
          </w:p>
        </w:tc>
        <w:tc>
          <w:tcPr>
            <w:tcW w:w="1474" w:type="dxa"/>
            <w:vAlign w:val="center"/>
          </w:tcPr>
          <w:p w14:paraId="564E137C">
            <w:pPr>
              <w:pStyle w:val="15"/>
            </w:pPr>
            <w:r>
              <w:t>2072.60</w:t>
            </w:r>
          </w:p>
        </w:tc>
        <w:tc>
          <w:tcPr>
            <w:tcW w:w="1474" w:type="dxa"/>
            <w:vAlign w:val="center"/>
          </w:tcPr>
          <w:p w14:paraId="3F3685C4">
            <w:pPr>
              <w:pStyle w:val="15"/>
            </w:pPr>
          </w:p>
        </w:tc>
        <w:tc>
          <w:tcPr>
            <w:tcW w:w="1474" w:type="dxa"/>
            <w:vAlign w:val="center"/>
          </w:tcPr>
          <w:p w14:paraId="053B9C50">
            <w:pPr>
              <w:pStyle w:val="15"/>
            </w:pPr>
          </w:p>
        </w:tc>
      </w:tr>
    </w:tbl>
    <w:p w14:paraId="489FEAFC">
      <w:pPr>
        <w:sectPr>
          <w:pgSz w:w="16840" w:h="11900" w:orient="landscape"/>
          <w:pgMar w:top="1361" w:right="1020" w:bottom="1134" w:left="1020" w:header="720" w:footer="720" w:gutter="0"/>
          <w:cols w:space="720" w:num="1"/>
        </w:sectPr>
      </w:pPr>
    </w:p>
    <w:p w14:paraId="015F88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F78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C710D5">
            <w:pPr>
              <w:pStyle w:val="9"/>
            </w:pPr>
            <w:r>
              <w:t>360013隆尧县实验小学</w:t>
            </w:r>
          </w:p>
        </w:tc>
        <w:tc>
          <w:tcPr>
            <w:tcW w:w="2551" w:type="dxa"/>
            <w:tcBorders>
              <w:top w:val="single" w:color="FFFFFF" w:sz="6" w:space="0"/>
              <w:left w:val="single" w:color="FFFFFF" w:sz="6" w:space="0"/>
              <w:right w:val="single" w:color="FFFFFF" w:sz="6" w:space="0"/>
            </w:tcBorders>
            <w:vAlign w:val="center"/>
          </w:tcPr>
          <w:p w14:paraId="327688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68EB12">
            <w:pPr>
              <w:pStyle w:val="7"/>
            </w:pPr>
            <w:r>
              <w:t>单位：万元</w:t>
            </w:r>
          </w:p>
        </w:tc>
      </w:tr>
      <w:tr w14:paraId="4D88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819C8">
            <w:pPr>
              <w:pStyle w:val="10"/>
            </w:pPr>
            <w:r>
              <w:t>序号</w:t>
            </w:r>
          </w:p>
        </w:tc>
        <w:tc>
          <w:tcPr>
            <w:tcW w:w="5726" w:type="dxa"/>
            <w:gridSpan w:val="2"/>
            <w:vAlign w:val="center"/>
          </w:tcPr>
          <w:p w14:paraId="4076B4EA">
            <w:pPr>
              <w:pStyle w:val="10"/>
            </w:pPr>
            <w:r>
              <w:t>功能分类科目</w:t>
            </w:r>
          </w:p>
        </w:tc>
        <w:tc>
          <w:tcPr>
            <w:tcW w:w="2551" w:type="dxa"/>
            <w:vMerge w:val="restart"/>
            <w:vAlign w:val="center"/>
          </w:tcPr>
          <w:p w14:paraId="2B9BAA75">
            <w:pPr>
              <w:pStyle w:val="10"/>
            </w:pPr>
            <w:r>
              <w:t>合计</w:t>
            </w:r>
          </w:p>
        </w:tc>
        <w:tc>
          <w:tcPr>
            <w:tcW w:w="2551" w:type="dxa"/>
            <w:vMerge w:val="restart"/>
            <w:vAlign w:val="center"/>
          </w:tcPr>
          <w:p w14:paraId="5883251B">
            <w:pPr>
              <w:pStyle w:val="10"/>
            </w:pPr>
            <w:r>
              <w:t>基本支出</w:t>
            </w:r>
          </w:p>
        </w:tc>
        <w:tc>
          <w:tcPr>
            <w:tcW w:w="2551" w:type="dxa"/>
            <w:vMerge w:val="restart"/>
            <w:vAlign w:val="center"/>
          </w:tcPr>
          <w:p w14:paraId="0644D16B">
            <w:pPr>
              <w:pStyle w:val="10"/>
            </w:pPr>
            <w:r>
              <w:t>项目支出</w:t>
            </w:r>
          </w:p>
        </w:tc>
      </w:tr>
      <w:tr w14:paraId="2EEA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83CDDE"/>
        </w:tc>
        <w:tc>
          <w:tcPr>
            <w:tcW w:w="1191" w:type="dxa"/>
            <w:vAlign w:val="center"/>
          </w:tcPr>
          <w:p w14:paraId="354A60B0">
            <w:pPr>
              <w:pStyle w:val="10"/>
            </w:pPr>
            <w:r>
              <w:t>科目编码</w:t>
            </w:r>
          </w:p>
        </w:tc>
        <w:tc>
          <w:tcPr>
            <w:tcW w:w="4535" w:type="dxa"/>
            <w:vAlign w:val="center"/>
          </w:tcPr>
          <w:p w14:paraId="497474B7">
            <w:pPr>
              <w:pStyle w:val="10"/>
            </w:pPr>
            <w:r>
              <w:t>科目名称</w:t>
            </w:r>
          </w:p>
        </w:tc>
        <w:tc>
          <w:tcPr>
            <w:tcW w:w="2551" w:type="dxa"/>
            <w:vMerge w:val="continue"/>
          </w:tcPr>
          <w:p w14:paraId="072E4DA1"/>
        </w:tc>
        <w:tc>
          <w:tcPr>
            <w:tcW w:w="2551" w:type="dxa"/>
            <w:vMerge w:val="continue"/>
          </w:tcPr>
          <w:p w14:paraId="47E856C2"/>
        </w:tc>
        <w:tc>
          <w:tcPr>
            <w:tcW w:w="2551" w:type="dxa"/>
            <w:vMerge w:val="continue"/>
          </w:tcPr>
          <w:p w14:paraId="24E3BDA2"/>
        </w:tc>
      </w:tr>
      <w:tr w14:paraId="1185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371858">
            <w:pPr>
              <w:pStyle w:val="10"/>
            </w:pPr>
            <w:r>
              <w:t>栏次</w:t>
            </w:r>
          </w:p>
        </w:tc>
        <w:tc>
          <w:tcPr>
            <w:tcW w:w="1191" w:type="dxa"/>
            <w:vAlign w:val="center"/>
          </w:tcPr>
          <w:p w14:paraId="3F210104">
            <w:pPr>
              <w:pStyle w:val="10"/>
            </w:pPr>
            <w:r>
              <w:t>1</w:t>
            </w:r>
          </w:p>
        </w:tc>
        <w:tc>
          <w:tcPr>
            <w:tcW w:w="4535" w:type="dxa"/>
            <w:vAlign w:val="center"/>
          </w:tcPr>
          <w:p w14:paraId="375CBB4D">
            <w:pPr>
              <w:pStyle w:val="10"/>
            </w:pPr>
            <w:r>
              <w:t>2</w:t>
            </w:r>
          </w:p>
        </w:tc>
        <w:tc>
          <w:tcPr>
            <w:tcW w:w="2551" w:type="dxa"/>
            <w:vAlign w:val="center"/>
          </w:tcPr>
          <w:p w14:paraId="7850861B">
            <w:pPr>
              <w:pStyle w:val="10"/>
            </w:pPr>
            <w:r>
              <w:t>3</w:t>
            </w:r>
          </w:p>
        </w:tc>
        <w:tc>
          <w:tcPr>
            <w:tcW w:w="2551" w:type="dxa"/>
            <w:vAlign w:val="center"/>
          </w:tcPr>
          <w:p w14:paraId="2F7BFCED">
            <w:pPr>
              <w:pStyle w:val="10"/>
            </w:pPr>
            <w:r>
              <w:t>4</w:t>
            </w:r>
          </w:p>
        </w:tc>
        <w:tc>
          <w:tcPr>
            <w:tcW w:w="2551" w:type="dxa"/>
            <w:vAlign w:val="center"/>
          </w:tcPr>
          <w:p w14:paraId="5DB62855">
            <w:pPr>
              <w:pStyle w:val="10"/>
            </w:pPr>
            <w:r>
              <w:t>5</w:t>
            </w:r>
          </w:p>
        </w:tc>
      </w:tr>
      <w:tr w14:paraId="3CF1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9DDD">
            <w:pPr>
              <w:pStyle w:val="13"/>
            </w:pPr>
            <w:r>
              <w:t>1</w:t>
            </w:r>
          </w:p>
        </w:tc>
        <w:tc>
          <w:tcPr>
            <w:tcW w:w="1191" w:type="dxa"/>
            <w:vAlign w:val="center"/>
          </w:tcPr>
          <w:p w14:paraId="178F1866">
            <w:pPr>
              <w:pStyle w:val="16"/>
            </w:pPr>
          </w:p>
        </w:tc>
        <w:tc>
          <w:tcPr>
            <w:tcW w:w="4535" w:type="dxa"/>
            <w:vAlign w:val="center"/>
          </w:tcPr>
          <w:p w14:paraId="1E71A267">
            <w:pPr>
              <w:pStyle w:val="14"/>
            </w:pPr>
            <w:r>
              <w:t>合计</w:t>
            </w:r>
          </w:p>
        </w:tc>
        <w:tc>
          <w:tcPr>
            <w:tcW w:w="2551" w:type="dxa"/>
            <w:vAlign w:val="center"/>
          </w:tcPr>
          <w:p w14:paraId="4D503A81">
            <w:pPr>
              <w:pStyle w:val="15"/>
            </w:pPr>
            <w:r>
              <w:t>2072.60</w:t>
            </w:r>
          </w:p>
        </w:tc>
        <w:tc>
          <w:tcPr>
            <w:tcW w:w="2551" w:type="dxa"/>
            <w:vAlign w:val="center"/>
          </w:tcPr>
          <w:p w14:paraId="4A190110">
            <w:pPr>
              <w:pStyle w:val="15"/>
            </w:pPr>
            <w:r>
              <w:t>1734.07</w:t>
            </w:r>
          </w:p>
        </w:tc>
        <w:tc>
          <w:tcPr>
            <w:tcW w:w="2551" w:type="dxa"/>
            <w:vAlign w:val="center"/>
          </w:tcPr>
          <w:p w14:paraId="22DEB807">
            <w:pPr>
              <w:pStyle w:val="15"/>
            </w:pPr>
            <w:r>
              <w:t>338.53</w:t>
            </w:r>
          </w:p>
        </w:tc>
      </w:tr>
      <w:tr w14:paraId="02247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A51E3">
            <w:pPr>
              <w:pStyle w:val="13"/>
            </w:pPr>
            <w:r>
              <w:t>2</w:t>
            </w:r>
          </w:p>
        </w:tc>
        <w:tc>
          <w:tcPr>
            <w:tcW w:w="1191" w:type="dxa"/>
            <w:vAlign w:val="center"/>
          </w:tcPr>
          <w:p w14:paraId="79230309">
            <w:pPr>
              <w:pStyle w:val="12"/>
            </w:pPr>
            <w:r>
              <w:t>205</w:t>
            </w:r>
          </w:p>
        </w:tc>
        <w:tc>
          <w:tcPr>
            <w:tcW w:w="4535" w:type="dxa"/>
            <w:vAlign w:val="center"/>
          </w:tcPr>
          <w:p w14:paraId="5A80A311">
            <w:pPr>
              <w:pStyle w:val="12"/>
            </w:pPr>
            <w:r>
              <w:t>教育支出</w:t>
            </w:r>
          </w:p>
        </w:tc>
        <w:tc>
          <w:tcPr>
            <w:tcW w:w="2551" w:type="dxa"/>
            <w:vAlign w:val="center"/>
          </w:tcPr>
          <w:p w14:paraId="78083C70">
            <w:pPr>
              <w:pStyle w:val="11"/>
            </w:pPr>
            <w:r>
              <w:t>2072.60</w:t>
            </w:r>
          </w:p>
        </w:tc>
        <w:tc>
          <w:tcPr>
            <w:tcW w:w="2551" w:type="dxa"/>
            <w:vAlign w:val="center"/>
          </w:tcPr>
          <w:p w14:paraId="41BF6EBF">
            <w:pPr>
              <w:pStyle w:val="11"/>
            </w:pPr>
            <w:r>
              <w:t>1734.07</w:t>
            </w:r>
          </w:p>
        </w:tc>
        <w:tc>
          <w:tcPr>
            <w:tcW w:w="2551" w:type="dxa"/>
            <w:vAlign w:val="center"/>
          </w:tcPr>
          <w:p w14:paraId="23E1A561">
            <w:pPr>
              <w:pStyle w:val="11"/>
            </w:pPr>
            <w:r>
              <w:t>338.53</w:t>
            </w:r>
          </w:p>
        </w:tc>
      </w:tr>
      <w:tr w14:paraId="33D5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8267">
            <w:pPr>
              <w:pStyle w:val="13"/>
            </w:pPr>
            <w:r>
              <w:t>3</w:t>
            </w:r>
          </w:p>
        </w:tc>
        <w:tc>
          <w:tcPr>
            <w:tcW w:w="1191" w:type="dxa"/>
            <w:vAlign w:val="center"/>
          </w:tcPr>
          <w:p w14:paraId="016216B5">
            <w:pPr>
              <w:pStyle w:val="12"/>
            </w:pPr>
            <w:r>
              <w:t>20502</w:t>
            </w:r>
          </w:p>
        </w:tc>
        <w:tc>
          <w:tcPr>
            <w:tcW w:w="4535" w:type="dxa"/>
            <w:vAlign w:val="center"/>
          </w:tcPr>
          <w:p w14:paraId="1B967664">
            <w:pPr>
              <w:pStyle w:val="12"/>
            </w:pPr>
            <w:r>
              <w:t>普通教育</w:t>
            </w:r>
          </w:p>
        </w:tc>
        <w:tc>
          <w:tcPr>
            <w:tcW w:w="2551" w:type="dxa"/>
            <w:vAlign w:val="center"/>
          </w:tcPr>
          <w:p w14:paraId="2D6BD41C">
            <w:pPr>
              <w:pStyle w:val="11"/>
            </w:pPr>
            <w:r>
              <w:t>2072.60</w:t>
            </w:r>
          </w:p>
        </w:tc>
        <w:tc>
          <w:tcPr>
            <w:tcW w:w="2551" w:type="dxa"/>
            <w:vAlign w:val="center"/>
          </w:tcPr>
          <w:p w14:paraId="0A4BC77E">
            <w:pPr>
              <w:pStyle w:val="11"/>
            </w:pPr>
            <w:r>
              <w:t>1734.07</w:t>
            </w:r>
          </w:p>
        </w:tc>
        <w:tc>
          <w:tcPr>
            <w:tcW w:w="2551" w:type="dxa"/>
            <w:vAlign w:val="center"/>
          </w:tcPr>
          <w:p w14:paraId="2D6507B2">
            <w:pPr>
              <w:pStyle w:val="11"/>
            </w:pPr>
            <w:r>
              <w:t>338.53</w:t>
            </w:r>
          </w:p>
        </w:tc>
      </w:tr>
      <w:tr w14:paraId="4EFE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6696">
            <w:pPr>
              <w:pStyle w:val="13"/>
            </w:pPr>
            <w:r>
              <w:t>4</w:t>
            </w:r>
          </w:p>
        </w:tc>
        <w:tc>
          <w:tcPr>
            <w:tcW w:w="1191" w:type="dxa"/>
            <w:vAlign w:val="center"/>
          </w:tcPr>
          <w:p w14:paraId="094A3064">
            <w:pPr>
              <w:pStyle w:val="12"/>
            </w:pPr>
            <w:r>
              <w:t>2050202</w:t>
            </w:r>
          </w:p>
        </w:tc>
        <w:tc>
          <w:tcPr>
            <w:tcW w:w="4535" w:type="dxa"/>
            <w:vAlign w:val="center"/>
          </w:tcPr>
          <w:p w14:paraId="011F1FEB">
            <w:pPr>
              <w:pStyle w:val="12"/>
            </w:pPr>
            <w:r>
              <w:t>小学教育</w:t>
            </w:r>
          </w:p>
        </w:tc>
        <w:tc>
          <w:tcPr>
            <w:tcW w:w="2551" w:type="dxa"/>
            <w:vAlign w:val="center"/>
          </w:tcPr>
          <w:p w14:paraId="4E80F9C7">
            <w:pPr>
              <w:pStyle w:val="11"/>
            </w:pPr>
            <w:r>
              <w:t>2072.60</w:t>
            </w:r>
          </w:p>
        </w:tc>
        <w:tc>
          <w:tcPr>
            <w:tcW w:w="2551" w:type="dxa"/>
            <w:vAlign w:val="center"/>
          </w:tcPr>
          <w:p w14:paraId="2AA7B5B4">
            <w:pPr>
              <w:pStyle w:val="11"/>
            </w:pPr>
            <w:r>
              <w:t>1734.07</w:t>
            </w:r>
          </w:p>
        </w:tc>
        <w:tc>
          <w:tcPr>
            <w:tcW w:w="2551" w:type="dxa"/>
            <w:vAlign w:val="center"/>
          </w:tcPr>
          <w:p w14:paraId="7BE88467">
            <w:pPr>
              <w:pStyle w:val="11"/>
            </w:pPr>
            <w:r>
              <w:t>338.53</w:t>
            </w:r>
          </w:p>
        </w:tc>
      </w:tr>
    </w:tbl>
    <w:p w14:paraId="707CB89E">
      <w:pPr>
        <w:sectPr>
          <w:pgSz w:w="16840" w:h="11900" w:orient="landscape"/>
          <w:pgMar w:top="1361" w:right="1020" w:bottom="1134" w:left="1020" w:header="720" w:footer="720" w:gutter="0"/>
          <w:cols w:space="720" w:num="1"/>
        </w:sectPr>
      </w:pPr>
    </w:p>
    <w:p w14:paraId="1CF92B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41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4051D7">
            <w:pPr>
              <w:pStyle w:val="9"/>
            </w:pPr>
            <w:r>
              <w:t>360013隆尧县实验小学</w:t>
            </w:r>
          </w:p>
        </w:tc>
        <w:tc>
          <w:tcPr>
            <w:tcW w:w="2551" w:type="dxa"/>
            <w:tcBorders>
              <w:top w:val="single" w:color="FFFFFF" w:sz="6" w:space="0"/>
              <w:left w:val="single" w:color="FFFFFF" w:sz="6" w:space="0"/>
              <w:right w:val="single" w:color="FFFFFF" w:sz="6" w:space="0"/>
            </w:tcBorders>
            <w:vAlign w:val="center"/>
          </w:tcPr>
          <w:p w14:paraId="39A4ACF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D06CB7">
            <w:pPr>
              <w:pStyle w:val="7"/>
            </w:pPr>
            <w:r>
              <w:t>单位：万元</w:t>
            </w:r>
          </w:p>
        </w:tc>
      </w:tr>
      <w:tr w14:paraId="5155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6D0AAA">
            <w:pPr>
              <w:pStyle w:val="10"/>
            </w:pPr>
            <w:r>
              <w:t>序号</w:t>
            </w:r>
          </w:p>
        </w:tc>
        <w:tc>
          <w:tcPr>
            <w:tcW w:w="5726" w:type="dxa"/>
            <w:gridSpan w:val="2"/>
            <w:vAlign w:val="center"/>
          </w:tcPr>
          <w:p w14:paraId="307186F8">
            <w:pPr>
              <w:pStyle w:val="10"/>
            </w:pPr>
            <w:r>
              <w:t>支出部门经济分类科目</w:t>
            </w:r>
          </w:p>
        </w:tc>
        <w:tc>
          <w:tcPr>
            <w:tcW w:w="7653" w:type="dxa"/>
            <w:gridSpan w:val="3"/>
            <w:vAlign w:val="center"/>
          </w:tcPr>
          <w:p w14:paraId="685C707D">
            <w:pPr>
              <w:pStyle w:val="10"/>
            </w:pPr>
            <w:r>
              <w:t>一般公共预算基本支出</w:t>
            </w:r>
          </w:p>
        </w:tc>
      </w:tr>
      <w:tr w14:paraId="1657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BFE71E"/>
        </w:tc>
        <w:tc>
          <w:tcPr>
            <w:tcW w:w="1191" w:type="dxa"/>
            <w:vAlign w:val="center"/>
          </w:tcPr>
          <w:p w14:paraId="2B5FFDCD">
            <w:pPr>
              <w:pStyle w:val="10"/>
            </w:pPr>
            <w:r>
              <w:t>科目编码</w:t>
            </w:r>
          </w:p>
        </w:tc>
        <w:tc>
          <w:tcPr>
            <w:tcW w:w="4535" w:type="dxa"/>
            <w:vAlign w:val="center"/>
          </w:tcPr>
          <w:p w14:paraId="587E895F">
            <w:pPr>
              <w:pStyle w:val="10"/>
            </w:pPr>
            <w:r>
              <w:t>科目名称</w:t>
            </w:r>
          </w:p>
        </w:tc>
        <w:tc>
          <w:tcPr>
            <w:tcW w:w="2551" w:type="dxa"/>
            <w:vAlign w:val="center"/>
          </w:tcPr>
          <w:p w14:paraId="1CD6B279">
            <w:pPr>
              <w:pStyle w:val="10"/>
            </w:pPr>
            <w:r>
              <w:t>合计</w:t>
            </w:r>
          </w:p>
        </w:tc>
        <w:tc>
          <w:tcPr>
            <w:tcW w:w="2551" w:type="dxa"/>
            <w:vAlign w:val="center"/>
          </w:tcPr>
          <w:p w14:paraId="12A74A79">
            <w:pPr>
              <w:pStyle w:val="10"/>
            </w:pPr>
            <w:r>
              <w:t>人员经费</w:t>
            </w:r>
          </w:p>
        </w:tc>
        <w:tc>
          <w:tcPr>
            <w:tcW w:w="2551" w:type="dxa"/>
            <w:vAlign w:val="center"/>
          </w:tcPr>
          <w:p w14:paraId="5B2D8FC3">
            <w:pPr>
              <w:pStyle w:val="10"/>
            </w:pPr>
            <w:r>
              <w:t>公用经费</w:t>
            </w:r>
          </w:p>
        </w:tc>
      </w:tr>
      <w:tr w14:paraId="0C98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01F5C4">
            <w:pPr>
              <w:pStyle w:val="10"/>
            </w:pPr>
            <w:r>
              <w:t>栏次</w:t>
            </w:r>
          </w:p>
        </w:tc>
        <w:tc>
          <w:tcPr>
            <w:tcW w:w="1191" w:type="dxa"/>
            <w:vAlign w:val="center"/>
          </w:tcPr>
          <w:p w14:paraId="02BD58D0">
            <w:pPr>
              <w:pStyle w:val="10"/>
            </w:pPr>
            <w:r>
              <w:t>1</w:t>
            </w:r>
          </w:p>
        </w:tc>
        <w:tc>
          <w:tcPr>
            <w:tcW w:w="4535" w:type="dxa"/>
            <w:vAlign w:val="center"/>
          </w:tcPr>
          <w:p w14:paraId="73B88247">
            <w:pPr>
              <w:pStyle w:val="10"/>
            </w:pPr>
            <w:r>
              <w:t>2</w:t>
            </w:r>
          </w:p>
        </w:tc>
        <w:tc>
          <w:tcPr>
            <w:tcW w:w="2551" w:type="dxa"/>
            <w:vAlign w:val="center"/>
          </w:tcPr>
          <w:p w14:paraId="50B0186E">
            <w:pPr>
              <w:pStyle w:val="10"/>
            </w:pPr>
            <w:r>
              <w:t>3</w:t>
            </w:r>
          </w:p>
        </w:tc>
        <w:tc>
          <w:tcPr>
            <w:tcW w:w="2551" w:type="dxa"/>
            <w:vAlign w:val="center"/>
          </w:tcPr>
          <w:p w14:paraId="449BAD6D">
            <w:pPr>
              <w:pStyle w:val="10"/>
            </w:pPr>
            <w:r>
              <w:t>4</w:t>
            </w:r>
          </w:p>
        </w:tc>
        <w:tc>
          <w:tcPr>
            <w:tcW w:w="2551" w:type="dxa"/>
            <w:vAlign w:val="center"/>
          </w:tcPr>
          <w:p w14:paraId="5C280067">
            <w:pPr>
              <w:pStyle w:val="10"/>
            </w:pPr>
            <w:r>
              <w:t>5</w:t>
            </w:r>
          </w:p>
        </w:tc>
      </w:tr>
      <w:tr w14:paraId="7B2F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CBD50">
            <w:pPr>
              <w:pStyle w:val="13"/>
            </w:pPr>
            <w:r>
              <w:t>1</w:t>
            </w:r>
          </w:p>
        </w:tc>
        <w:tc>
          <w:tcPr>
            <w:tcW w:w="1191" w:type="dxa"/>
            <w:vAlign w:val="center"/>
          </w:tcPr>
          <w:p w14:paraId="14F02C25">
            <w:pPr>
              <w:pStyle w:val="16"/>
            </w:pPr>
          </w:p>
        </w:tc>
        <w:tc>
          <w:tcPr>
            <w:tcW w:w="4535" w:type="dxa"/>
            <w:vAlign w:val="center"/>
          </w:tcPr>
          <w:p w14:paraId="6859B327">
            <w:pPr>
              <w:pStyle w:val="14"/>
            </w:pPr>
            <w:r>
              <w:t>合计</w:t>
            </w:r>
          </w:p>
        </w:tc>
        <w:tc>
          <w:tcPr>
            <w:tcW w:w="2551" w:type="dxa"/>
            <w:vAlign w:val="center"/>
          </w:tcPr>
          <w:p w14:paraId="21EDA3D6">
            <w:pPr>
              <w:pStyle w:val="15"/>
            </w:pPr>
            <w:r>
              <w:t>1734.07</w:t>
            </w:r>
          </w:p>
        </w:tc>
        <w:tc>
          <w:tcPr>
            <w:tcW w:w="2551" w:type="dxa"/>
            <w:vAlign w:val="center"/>
          </w:tcPr>
          <w:p w14:paraId="28B3DD0A">
            <w:pPr>
              <w:pStyle w:val="15"/>
            </w:pPr>
            <w:r>
              <w:t>1734.07</w:t>
            </w:r>
          </w:p>
        </w:tc>
        <w:tc>
          <w:tcPr>
            <w:tcW w:w="2551" w:type="dxa"/>
            <w:vAlign w:val="center"/>
          </w:tcPr>
          <w:p w14:paraId="6D6C798C">
            <w:pPr>
              <w:pStyle w:val="15"/>
            </w:pPr>
          </w:p>
        </w:tc>
      </w:tr>
      <w:tr w14:paraId="072C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937A9">
            <w:pPr>
              <w:pStyle w:val="13"/>
            </w:pPr>
            <w:r>
              <w:t>2</w:t>
            </w:r>
          </w:p>
        </w:tc>
        <w:tc>
          <w:tcPr>
            <w:tcW w:w="1191" w:type="dxa"/>
            <w:vAlign w:val="center"/>
          </w:tcPr>
          <w:p w14:paraId="06E1F6F4">
            <w:pPr>
              <w:pStyle w:val="12"/>
            </w:pPr>
            <w:r>
              <w:t>301</w:t>
            </w:r>
          </w:p>
        </w:tc>
        <w:tc>
          <w:tcPr>
            <w:tcW w:w="4535" w:type="dxa"/>
            <w:vAlign w:val="center"/>
          </w:tcPr>
          <w:p w14:paraId="5DF37718">
            <w:pPr>
              <w:pStyle w:val="12"/>
            </w:pPr>
            <w:r>
              <w:t>工资福利支出</w:t>
            </w:r>
          </w:p>
        </w:tc>
        <w:tc>
          <w:tcPr>
            <w:tcW w:w="2551" w:type="dxa"/>
            <w:vAlign w:val="center"/>
          </w:tcPr>
          <w:p w14:paraId="6001F36F">
            <w:pPr>
              <w:pStyle w:val="11"/>
            </w:pPr>
            <w:r>
              <w:t>1707.34</w:t>
            </w:r>
          </w:p>
        </w:tc>
        <w:tc>
          <w:tcPr>
            <w:tcW w:w="2551" w:type="dxa"/>
            <w:vAlign w:val="center"/>
          </w:tcPr>
          <w:p w14:paraId="1650FD91">
            <w:pPr>
              <w:pStyle w:val="11"/>
            </w:pPr>
            <w:r>
              <w:t>1707.34</w:t>
            </w:r>
          </w:p>
        </w:tc>
        <w:tc>
          <w:tcPr>
            <w:tcW w:w="2551" w:type="dxa"/>
            <w:vAlign w:val="center"/>
          </w:tcPr>
          <w:p w14:paraId="0BAFADF8">
            <w:pPr>
              <w:pStyle w:val="11"/>
            </w:pPr>
          </w:p>
        </w:tc>
      </w:tr>
      <w:tr w14:paraId="376EB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3BF2B">
            <w:pPr>
              <w:pStyle w:val="13"/>
            </w:pPr>
            <w:r>
              <w:t>3</w:t>
            </w:r>
          </w:p>
        </w:tc>
        <w:tc>
          <w:tcPr>
            <w:tcW w:w="1191" w:type="dxa"/>
            <w:vAlign w:val="center"/>
          </w:tcPr>
          <w:p w14:paraId="678A3255">
            <w:pPr>
              <w:pStyle w:val="12"/>
            </w:pPr>
            <w:r>
              <w:t>30101</w:t>
            </w:r>
          </w:p>
        </w:tc>
        <w:tc>
          <w:tcPr>
            <w:tcW w:w="4535" w:type="dxa"/>
            <w:vAlign w:val="center"/>
          </w:tcPr>
          <w:p w14:paraId="0CEA0A61">
            <w:pPr>
              <w:pStyle w:val="12"/>
            </w:pPr>
            <w:r>
              <w:t>基本工资</w:t>
            </w:r>
          </w:p>
        </w:tc>
        <w:tc>
          <w:tcPr>
            <w:tcW w:w="2551" w:type="dxa"/>
            <w:vAlign w:val="center"/>
          </w:tcPr>
          <w:p w14:paraId="4D5214CF">
            <w:pPr>
              <w:pStyle w:val="11"/>
            </w:pPr>
            <w:r>
              <w:t>794.88</w:t>
            </w:r>
          </w:p>
        </w:tc>
        <w:tc>
          <w:tcPr>
            <w:tcW w:w="2551" w:type="dxa"/>
            <w:vAlign w:val="center"/>
          </w:tcPr>
          <w:p w14:paraId="7197F4AE">
            <w:pPr>
              <w:pStyle w:val="11"/>
            </w:pPr>
            <w:r>
              <w:t>794.88</w:t>
            </w:r>
          </w:p>
        </w:tc>
        <w:tc>
          <w:tcPr>
            <w:tcW w:w="2551" w:type="dxa"/>
            <w:vAlign w:val="center"/>
          </w:tcPr>
          <w:p w14:paraId="378D61A7">
            <w:pPr>
              <w:pStyle w:val="11"/>
            </w:pPr>
          </w:p>
        </w:tc>
      </w:tr>
      <w:tr w14:paraId="08F5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11B6">
            <w:pPr>
              <w:pStyle w:val="13"/>
            </w:pPr>
            <w:r>
              <w:t>4</w:t>
            </w:r>
          </w:p>
        </w:tc>
        <w:tc>
          <w:tcPr>
            <w:tcW w:w="1191" w:type="dxa"/>
            <w:vAlign w:val="center"/>
          </w:tcPr>
          <w:p w14:paraId="28BDEDA7">
            <w:pPr>
              <w:pStyle w:val="12"/>
            </w:pPr>
            <w:r>
              <w:t>30102</w:t>
            </w:r>
          </w:p>
        </w:tc>
        <w:tc>
          <w:tcPr>
            <w:tcW w:w="4535" w:type="dxa"/>
            <w:vAlign w:val="center"/>
          </w:tcPr>
          <w:p w14:paraId="264D5B0F">
            <w:pPr>
              <w:pStyle w:val="12"/>
            </w:pPr>
            <w:r>
              <w:t>津贴补贴</w:t>
            </w:r>
          </w:p>
        </w:tc>
        <w:tc>
          <w:tcPr>
            <w:tcW w:w="2551" w:type="dxa"/>
            <w:vAlign w:val="center"/>
          </w:tcPr>
          <w:p w14:paraId="0CA0555B">
            <w:pPr>
              <w:pStyle w:val="11"/>
            </w:pPr>
            <w:r>
              <w:t>27.95</w:t>
            </w:r>
          </w:p>
        </w:tc>
        <w:tc>
          <w:tcPr>
            <w:tcW w:w="2551" w:type="dxa"/>
            <w:vAlign w:val="center"/>
          </w:tcPr>
          <w:p w14:paraId="389FA94B">
            <w:pPr>
              <w:pStyle w:val="11"/>
            </w:pPr>
            <w:r>
              <w:t>27.95</w:t>
            </w:r>
          </w:p>
        </w:tc>
        <w:tc>
          <w:tcPr>
            <w:tcW w:w="2551" w:type="dxa"/>
            <w:vAlign w:val="center"/>
          </w:tcPr>
          <w:p w14:paraId="2200BE9B">
            <w:pPr>
              <w:pStyle w:val="11"/>
            </w:pPr>
          </w:p>
        </w:tc>
      </w:tr>
      <w:tr w14:paraId="3C24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6FDF">
            <w:pPr>
              <w:pStyle w:val="13"/>
            </w:pPr>
            <w:r>
              <w:t>5</w:t>
            </w:r>
          </w:p>
        </w:tc>
        <w:tc>
          <w:tcPr>
            <w:tcW w:w="1191" w:type="dxa"/>
            <w:vAlign w:val="center"/>
          </w:tcPr>
          <w:p w14:paraId="79DA884D">
            <w:pPr>
              <w:pStyle w:val="12"/>
            </w:pPr>
            <w:r>
              <w:t>30107</w:t>
            </w:r>
          </w:p>
        </w:tc>
        <w:tc>
          <w:tcPr>
            <w:tcW w:w="4535" w:type="dxa"/>
            <w:vAlign w:val="center"/>
          </w:tcPr>
          <w:p w14:paraId="651CAD2A">
            <w:pPr>
              <w:pStyle w:val="12"/>
            </w:pPr>
            <w:r>
              <w:t>绩效工资</w:t>
            </w:r>
          </w:p>
        </w:tc>
        <w:tc>
          <w:tcPr>
            <w:tcW w:w="2551" w:type="dxa"/>
            <w:vAlign w:val="center"/>
          </w:tcPr>
          <w:p w14:paraId="2F28851E">
            <w:pPr>
              <w:pStyle w:val="11"/>
            </w:pPr>
            <w:r>
              <w:t>480.72</w:t>
            </w:r>
          </w:p>
        </w:tc>
        <w:tc>
          <w:tcPr>
            <w:tcW w:w="2551" w:type="dxa"/>
            <w:vAlign w:val="center"/>
          </w:tcPr>
          <w:p w14:paraId="6AE2188E">
            <w:pPr>
              <w:pStyle w:val="11"/>
            </w:pPr>
            <w:r>
              <w:t>480.72</w:t>
            </w:r>
          </w:p>
        </w:tc>
        <w:tc>
          <w:tcPr>
            <w:tcW w:w="2551" w:type="dxa"/>
            <w:vAlign w:val="center"/>
          </w:tcPr>
          <w:p w14:paraId="4B2B3DE4">
            <w:pPr>
              <w:pStyle w:val="11"/>
            </w:pPr>
          </w:p>
        </w:tc>
      </w:tr>
      <w:tr w14:paraId="229B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C83E0">
            <w:pPr>
              <w:pStyle w:val="13"/>
            </w:pPr>
            <w:r>
              <w:t>6</w:t>
            </w:r>
          </w:p>
        </w:tc>
        <w:tc>
          <w:tcPr>
            <w:tcW w:w="1191" w:type="dxa"/>
            <w:vAlign w:val="center"/>
          </w:tcPr>
          <w:p w14:paraId="73C35611">
            <w:pPr>
              <w:pStyle w:val="12"/>
            </w:pPr>
            <w:r>
              <w:t>30108</w:t>
            </w:r>
          </w:p>
        </w:tc>
        <w:tc>
          <w:tcPr>
            <w:tcW w:w="4535" w:type="dxa"/>
            <w:vAlign w:val="center"/>
          </w:tcPr>
          <w:p w14:paraId="229DF937">
            <w:pPr>
              <w:pStyle w:val="12"/>
            </w:pPr>
            <w:r>
              <w:t>机关事业单位基本养老保险缴费</w:t>
            </w:r>
          </w:p>
        </w:tc>
        <w:tc>
          <w:tcPr>
            <w:tcW w:w="2551" w:type="dxa"/>
            <w:vAlign w:val="center"/>
          </w:tcPr>
          <w:p w14:paraId="0905CEF9">
            <w:pPr>
              <w:pStyle w:val="11"/>
            </w:pPr>
            <w:r>
              <w:t>177.84</w:t>
            </w:r>
          </w:p>
        </w:tc>
        <w:tc>
          <w:tcPr>
            <w:tcW w:w="2551" w:type="dxa"/>
            <w:vAlign w:val="center"/>
          </w:tcPr>
          <w:p w14:paraId="73F1BC19">
            <w:pPr>
              <w:pStyle w:val="11"/>
            </w:pPr>
            <w:r>
              <w:t>177.84</w:t>
            </w:r>
          </w:p>
        </w:tc>
        <w:tc>
          <w:tcPr>
            <w:tcW w:w="2551" w:type="dxa"/>
            <w:vAlign w:val="center"/>
          </w:tcPr>
          <w:p w14:paraId="4C6EE9CB">
            <w:pPr>
              <w:pStyle w:val="11"/>
            </w:pPr>
          </w:p>
        </w:tc>
      </w:tr>
      <w:tr w14:paraId="6881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A38C">
            <w:pPr>
              <w:pStyle w:val="13"/>
            </w:pPr>
            <w:r>
              <w:t>7</w:t>
            </w:r>
          </w:p>
        </w:tc>
        <w:tc>
          <w:tcPr>
            <w:tcW w:w="1191" w:type="dxa"/>
            <w:vAlign w:val="center"/>
          </w:tcPr>
          <w:p w14:paraId="21CDB412">
            <w:pPr>
              <w:pStyle w:val="12"/>
            </w:pPr>
            <w:r>
              <w:t>30110</w:t>
            </w:r>
          </w:p>
        </w:tc>
        <w:tc>
          <w:tcPr>
            <w:tcW w:w="4535" w:type="dxa"/>
            <w:vAlign w:val="center"/>
          </w:tcPr>
          <w:p w14:paraId="0741EC8E">
            <w:pPr>
              <w:pStyle w:val="12"/>
            </w:pPr>
            <w:r>
              <w:t>职工基本医疗保险缴费</w:t>
            </w:r>
          </w:p>
        </w:tc>
        <w:tc>
          <w:tcPr>
            <w:tcW w:w="2551" w:type="dxa"/>
            <w:vAlign w:val="center"/>
          </w:tcPr>
          <w:p w14:paraId="7B5913D1">
            <w:pPr>
              <w:pStyle w:val="11"/>
            </w:pPr>
            <w:r>
              <w:t>87.03</w:t>
            </w:r>
          </w:p>
        </w:tc>
        <w:tc>
          <w:tcPr>
            <w:tcW w:w="2551" w:type="dxa"/>
            <w:vAlign w:val="center"/>
          </w:tcPr>
          <w:p w14:paraId="4ACA1429">
            <w:pPr>
              <w:pStyle w:val="11"/>
            </w:pPr>
            <w:r>
              <w:t>87.03</w:t>
            </w:r>
          </w:p>
        </w:tc>
        <w:tc>
          <w:tcPr>
            <w:tcW w:w="2551" w:type="dxa"/>
            <w:vAlign w:val="center"/>
          </w:tcPr>
          <w:p w14:paraId="31E3447C">
            <w:pPr>
              <w:pStyle w:val="11"/>
            </w:pPr>
          </w:p>
        </w:tc>
      </w:tr>
      <w:tr w14:paraId="4065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B4C6B">
            <w:pPr>
              <w:pStyle w:val="13"/>
            </w:pPr>
            <w:r>
              <w:t>8</w:t>
            </w:r>
          </w:p>
        </w:tc>
        <w:tc>
          <w:tcPr>
            <w:tcW w:w="1191" w:type="dxa"/>
            <w:vAlign w:val="center"/>
          </w:tcPr>
          <w:p w14:paraId="78770E75">
            <w:pPr>
              <w:pStyle w:val="12"/>
            </w:pPr>
            <w:r>
              <w:t>30112</w:t>
            </w:r>
          </w:p>
        </w:tc>
        <w:tc>
          <w:tcPr>
            <w:tcW w:w="4535" w:type="dxa"/>
            <w:vAlign w:val="center"/>
          </w:tcPr>
          <w:p w14:paraId="322648E2">
            <w:pPr>
              <w:pStyle w:val="12"/>
            </w:pPr>
            <w:r>
              <w:t>其他社会保障缴费</w:t>
            </w:r>
          </w:p>
        </w:tc>
        <w:tc>
          <w:tcPr>
            <w:tcW w:w="2551" w:type="dxa"/>
            <w:vAlign w:val="center"/>
          </w:tcPr>
          <w:p w14:paraId="685AF54B">
            <w:pPr>
              <w:pStyle w:val="11"/>
            </w:pPr>
            <w:r>
              <w:t>5.31</w:t>
            </w:r>
          </w:p>
        </w:tc>
        <w:tc>
          <w:tcPr>
            <w:tcW w:w="2551" w:type="dxa"/>
            <w:vAlign w:val="center"/>
          </w:tcPr>
          <w:p w14:paraId="568A0074">
            <w:pPr>
              <w:pStyle w:val="11"/>
            </w:pPr>
            <w:r>
              <w:t>5.31</w:t>
            </w:r>
          </w:p>
        </w:tc>
        <w:tc>
          <w:tcPr>
            <w:tcW w:w="2551" w:type="dxa"/>
            <w:vAlign w:val="center"/>
          </w:tcPr>
          <w:p w14:paraId="40AC7070">
            <w:pPr>
              <w:pStyle w:val="11"/>
            </w:pPr>
          </w:p>
        </w:tc>
      </w:tr>
      <w:tr w14:paraId="037D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8F9FB">
            <w:pPr>
              <w:pStyle w:val="13"/>
            </w:pPr>
            <w:r>
              <w:t>9</w:t>
            </w:r>
          </w:p>
        </w:tc>
        <w:tc>
          <w:tcPr>
            <w:tcW w:w="1191" w:type="dxa"/>
            <w:vAlign w:val="center"/>
          </w:tcPr>
          <w:p w14:paraId="3D1DC79D">
            <w:pPr>
              <w:pStyle w:val="12"/>
            </w:pPr>
            <w:r>
              <w:t>30113</w:t>
            </w:r>
          </w:p>
        </w:tc>
        <w:tc>
          <w:tcPr>
            <w:tcW w:w="4535" w:type="dxa"/>
            <w:vAlign w:val="center"/>
          </w:tcPr>
          <w:p w14:paraId="64ABCC0A">
            <w:pPr>
              <w:pStyle w:val="12"/>
            </w:pPr>
            <w:r>
              <w:t>住房公积金</w:t>
            </w:r>
          </w:p>
        </w:tc>
        <w:tc>
          <w:tcPr>
            <w:tcW w:w="2551" w:type="dxa"/>
            <w:vAlign w:val="center"/>
          </w:tcPr>
          <w:p w14:paraId="7413CB27">
            <w:pPr>
              <w:pStyle w:val="11"/>
            </w:pPr>
            <w:r>
              <w:t>133.62</w:t>
            </w:r>
          </w:p>
        </w:tc>
        <w:tc>
          <w:tcPr>
            <w:tcW w:w="2551" w:type="dxa"/>
            <w:vAlign w:val="center"/>
          </w:tcPr>
          <w:p w14:paraId="301FFE96">
            <w:pPr>
              <w:pStyle w:val="11"/>
            </w:pPr>
            <w:r>
              <w:t>133.62</w:t>
            </w:r>
          </w:p>
        </w:tc>
        <w:tc>
          <w:tcPr>
            <w:tcW w:w="2551" w:type="dxa"/>
            <w:vAlign w:val="center"/>
          </w:tcPr>
          <w:p w14:paraId="7881446E">
            <w:pPr>
              <w:pStyle w:val="11"/>
            </w:pPr>
          </w:p>
        </w:tc>
      </w:tr>
      <w:tr w14:paraId="7BA5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79411">
            <w:pPr>
              <w:pStyle w:val="13"/>
            </w:pPr>
            <w:r>
              <w:t>10</w:t>
            </w:r>
          </w:p>
        </w:tc>
        <w:tc>
          <w:tcPr>
            <w:tcW w:w="1191" w:type="dxa"/>
            <w:vAlign w:val="center"/>
          </w:tcPr>
          <w:p w14:paraId="5D91803D">
            <w:pPr>
              <w:pStyle w:val="12"/>
            </w:pPr>
            <w:r>
              <w:t>303</w:t>
            </w:r>
          </w:p>
        </w:tc>
        <w:tc>
          <w:tcPr>
            <w:tcW w:w="4535" w:type="dxa"/>
            <w:vAlign w:val="center"/>
          </w:tcPr>
          <w:p w14:paraId="2D82E4EB">
            <w:pPr>
              <w:pStyle w:val="12"/>
            </w:pPr>
            <w:r>
              <w:t>对个人和家庭的补助</w:t>
            </w:r>
          </w:p>
        </w:tc>
        <w:tc>
          <w:tcPr>
            <w:tcW w:w="2551" w:type="dxa"/>
            <w:vAlign w:val="center"/>
          </w:tcPr>
          <w:p w14:paraId="41FB1A24">
            <w:pPr>
              <w:pStyle w:val="11"/>
            </w:pPr>
            <w:r>
              <w:t>26.73</w:t>
            </w:r>
          </w:p>
        </w:tc>
        <w:tc>
          <w:tcPr>
            <w:tcW w:w="2551" w:type="dxa"/>
            <w:vAlign w:val="center"/>
          </w:tcPr>
          <w:p w14:paraId="79254AE5">
            <w:pPr>
              <w:pStyle w:val="11"/>
            </w:pPr>
            <w:r>
              <w:t>26.73</w:t>
            </w:r>
          </w:p>
        </w:tc>
        <w:tc>
          <w:tcPr>
            <w:tcW w:w="2551" w:type="dxa"/>
            <w:vAlign w:val="center"/>
          </w:tcPr>
          <w:p w14:paraId="29D2DB69">
            <w:pPr>
              <w:pStyle w:val="11"/>
            </w:pPr>
          </w:p>
        </w:tc>
      </w:tr>
      <w:tr w14:paraId="33DD1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E1385">
            <w:pPr>
              <w:pStyle w:val="13"/>
            </w:pPr>
            <w:r>
              <w:t>11</w:t>
            </w:r>
          </w:p>
        </w:tc>
        <w:tc>
          <w:tcPr>
            <w:tcW w:w="1191" w:type="dxa"/>
            <w:vAlign w:val="center"/>
          </w:tcPr>
          <w:p w14:paraId="510D2A1C">
            <w:pPr>
              <w:pStyle w:val="12"/>
            </w:pPr>
            <w:r>
              <w:t>30302</w:t>
            </w:r>
          </w:p>
        </w:tc>
        <w:tc>
          <w:tcPr>
            <w:tcW w:w="4535" w:type="dxa"/>
            <w:vAlign w:val="center"/>
          </w:tcPr>
          <w:p w14:paraId="382D2B81">
            <w:pPr>
              <w:pStyle w:val="12"/>
            </w:pPr>
            <w:r>
              <w:t>退休费</w:t>
            </w:r>
          </w:p>
        </w:tc>
        <w:tc>
          <w:tcPr>
            <w:tcW w:w="2551" w:type="dxa"/>
            <w:vAlign w:val="center"/>
          </w:tcPr>
          <w:p w14:paraId="41A13368">
            <w:pPr>
              <w:pStyle w:val="11"/>
            </w:pPr>
            <w:r>
              <w:t>26.73</w:t>
            </w:r>
          </w:p>
        </w:tc>
        <w:tc>
          <w:tcPr>
            <w:tcW w:w="2551" w:type="dxa"/>
            <w:vAlign w:val="center"/>
          </w:tcPr>
          <w:p w14:paraId="0941AD15">
            <w:pPr>
              <w:pStyle w:val="11"/>
            </w:pPr>
            <w:r>
              <w:t>26.73</w:t>
            </w:r>
          </w:p>
        </w:tc>
        <w:tc>
          <w:tcPr>
            <w:tcW w:w="2551" w:type="dxa"/>
            <w:vAlign w:val="center"/>
          </w:tcPr>
          <w:p w14:paraId="2915E0BB">
            <w:pPr>
              <w:pStyle w:val="11"/>
            </w:pPr>
          </w:p>
        </w:tc>
      </w:tr>
    </w:tbl>
    <w:p w14:paraId="6C1EE467">
      <w:pPr>
        <w:sectPr>
          <w:pgSz w:w="16840" w:h="11900" w:orient="landscape"/>
          <w:pgMar w:top="1361" w:right="1020" w:bottom="1134" w:left="1020" w:header="720" w:footer="720" w:gutter="0"/>
          <w:cols w:space="720" w:num="1"/>
        </w:sectPr>
      </w:pPr>
    </w:p>
    <w:p w14:paraId="4DE9C8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6A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E5F326">
            <w:pPr>
              <w:pStyle w:val="9"/>
            </w:pPr>
            <w:r>
              <w:t>360013隆尧县实验小学</w:t>
            </w:r>
          </w:p>
        </w:tc>
        <w:tc>
          <w:tcPr>
            <w:tcW w:w="2551" w:type="dxa"/>
            <w:tcBorders>
              <w:top w:val="single" w:color="FFFFFF" w:sz="6" w:space="0"/>
              <w:left w:val="single" w:color="FFFFFF" w:sz="6" w:space="0"/>
              <w:right w:val="single" w:color="FFFFFF" w:sz="6" w:space="0"/>
            </w:tcBorders>
            <w:vAlign w:val="center"/>
          </w:tcPr>
          <w:p w14:paraId="41C3E6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2326F3">
            <w:pPr>
              <w:pStyle w:val="7"/>
            </w:pPr>
            <w:r>
              <w:t>单位：万元</w:t>
            </w:r>
          </w:p>
        </w:tc>
      </w:tr>
      <w:tr w14:paraId="10A0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9B083">
            <w:pPr>
              <w:pStyle w:val="10"/>
            </w:pPr>
            <w:r>
              <w:t>序号</w:t>
            </w:r>
          </w:p>
        </w:tc>
        <w:tc>
          <w:tcPr>
            <w:tcW w:w="5726" w:type="dxa"/>
            <w:gridSpan w:val="2"/>
            <w:vAlign w:val="center"/>
          </w:tcPr>
          <w:p w14:paraId="3A7A068E">
            <w:pPr>
              <w:pStyle w:val="10"/>
            </w:pPr>
            <w:r>
              <w:t>功能分类科目</w:t>
            </w:r>
          </w:p>
        </w:tc>
        <w:tc>
          <w:tcPr>
            <w:tcW w:w="2551" w:type="dxa"/>
            <w:vMerge w:val="restart"/>
            <w:vAlign w:val="center"/>
          </w:tcPr>
          <w:p w14:paraId="115DB823">
            <w:pPr>
              <w:pStyle w:val="10"/>
            </w:pPr>
            <w:r>
              <w:t>合计</w:t>
            </w:r>
          </w:p>
        </w:tc>
        <w:tc>
          <w:tcPr>
            <w:tcW w:w="2551" w:type="dxa"/>
            <w:vMerge w:val="restart"/>
            <w:vAlign w:val="center"/>
          </w:tcPr>
          <w:p w14:paraId="3CBA8356">
            <w:pPr>
              <w:pStyle w:val="10"/>
            </w:pPr>
            <w:r>
              <w:t>基本支出</w:t>
            </w:r>
          </w:p>
        </w:tc>
        <w:tc>
          <w:tcPr>
            <w:tcW w:w="2551" w:type="dxa"/>
            <w:vMerge w:val="restart"/>
            <w:vAlign w:val="center"/>
          </w:tcPr>
          <w:p w14:paraId="0019ED67">
            <w:pPr>
              <w:pStyle w:val="10"/>
            </w:pPr>
            <w:r>
              <w:t>项目支出</w:t>
            </w:r>
          </w:p>
        </w:tc>
      </w:tr>
      <w:tr w14:paraId="4A7B3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FE2C4B"/>
        </w:tc>
        <w:tc>
          <w:tcPr>
            <w:tcW w:w="1191" w:type="dxa"/>
            <w:vAlign w:val="center"/>
          </w:tcPr>
          <w:p w14:paraId="0E411638">
            <w:pPr>
              <w:pStyle w:val="10"/>
            </w:pPr>
            <w:r>
              <w:t>科目编码</w:t>
            </w:r>
          </w:p>
        </w:tc>
        <w:tc>
          <w:tcPr>
            <w:tcW w:w="4535" w:type="dxa"/>
            <w:vAlign w:val="center"/>
          </w:tcPr>
          <w:p w14:paraId="2DABA629">
            <w:pPr>
              <w:pStyle w:val="10"/>
            </w:pPr>
            <w:r>
              <w:t>科目名称</w:t>
            </w:r>
          </w:p>
        </w:tc>
        <w:tc>
          <w:tcPr>
            <w:tcW w:w="2551" w:type="dxa"/>
            <w:vMerge w:val="continue"/>
          </w:tcPr>
          <w:p w14:paraId="5DA0E0D4"/>
        </w:tc>
        <w:tc>
          <w:tcPr>
            <w:tcW w:w="2551" w:type="dxa"/>
            <w:vMerge w:val="continue"/>
          </w:tcPr>
          <w:p w14:paraId="4821D1B8"/>
        </w:tc>
        <w:tc>
          <w:tcPr>
            <w:tcW w:w="2551" w:type="dxa"/>
            <w:vMerge w:val="continue"/>
          </w:tcPr>
          <w:p w14:paraId="19961CC3"/>
        </w:tc>
      </w:tr>
      <w:tr w14:paraId="7F4C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2D4CC">
            <w:pPr>
              <w:pStyle w:val="10"/>
            </w:pPr>
            <w:r>
              <w:t>栏次</w:t>
            </w:r>
          </w:p>
        </w:tc>
        <w:tc>
          <w:tcPr>
            <w:tcW w:w="1191" w:type="dxa"/>
            <w:vAlign w:val="center"/>
          </w:tcPr>
          <w:p w14:paraId="53B4C099">
            <w:pPr>
              <w:pStyle w:val="10"/>
            </w:pPr>
            <w:r>
              <w:t>1</w:t>
            </w:r>
          </w:p>
        </w:tc>
        <w:tc>
          <w:tcPr>
            <w:tcW w:w="4535" w:type="dxa"/>
            <w:vAlign w:val="center"/>
          </w:tcPr>
          <w:p w14:paraId="06ADA0D0">
            <w:pPr>
              <w:pStyle w:val="10"/>
            </w:pPr>
            <w:r>
              <w:t>2</w:t>
            </w:r>
          </w:p>
        </w:tc>
        <w:tc>
          <w:tcPr>
            <w:tcW w:w="2551" w:type="dxa"/>
            <w:vAlign w:val="center"/>
          </w:tcPr>
          <w:p w14:paraId="5F985A95">
            <w:pPr>
              <w:pStyle w:val="10"/>
            </w:pPr>
            <w:r>
              <w:t>3</w:t>
            </w:r>
          </w:p>
        </w:tc>
        <w:tc>
          <w:tcPr>
            <w:tcW w:w="2551" w:type="dxa"/>
            <w:vAlign w:val="center"/>
          </w:tcPr>
          <w:p w14:paraId="33283D67">
            <w:pPr>
              <w:pStyle w:val="10"/>
            </w:pPr>
            <w:r>
              <w:t>4</w:t>
            </w:r>
          </w:p>
        </w:tc>
        <w:tc>
          <w:tcPr>
            <w:tcW w:w="2551" w:type="dxa"/>
            <w:vAlign w:val="center"/>
          </w:tcPr>
          <w:p w14:paraId="1DBFE176">
            <w:pPr>
              <w:pStyle w:val="10"/>
            </w:pPr>
            <w:r>
              <w:t>5</w:t>
            </w:r>
          </w:p>
        </w:tc>
      </w:tr>
      <w:tr w14:paraId="737D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4A47">
            <w:pPr>
              <w:pStyle w:val="13"/>
            </w:pPr>
          </w:p>
        </w:tc>
        <w:tc>
          <w:tcPr>
            <w:tcW w:w="1191" w:type="dxa"/>
            <w:vAlign w:val="center"/>
          </w:tcPr>
          <w:p w14:paraId="42549855">
            <w:pPr>
              <w:pStyle w:val="12"/>
            </w:pPr>
          </w:p>
        </w:tc>
        <w:tc>
          <w:tcPr>
            <w:tcW w:w="4535" w:type="dxa"/>
            <w:vAlign w:val="center"/>
          </w:tcPr>
          <w:p w14:paraId="2D37E9F7">
            <w:pPr>
              <w:pStyle w:val="12"/>
            </w:pPr>
          </w:p>
        </w:tc>
        <w:tc>
          <w:tcPr>
            <w:tcW w:w="2551" w:type="dxa"/>
            <w:vAlign w:val="center"/>
          </w:tcPr>
          <w:p w14:paraId="18BDCE01">
            <w:pPr>
              <w:pStyle w:val="11"/>
            </w:pPr>
          </w:p>
        </w:tc>
        <w:tc>
          <w:tcPr>
            <w:tcW w:w="2551" w:type="dxa"/>
            <w:vAlign w:val="center"/>
          </w:tcPr>
          <w:p w14:paraId="4831C5A5">
            <w:pPr>
              <w:pStyle w:val="11"/>
            </w:pPr>
          </w:p>
        </w:tc>
        <w:tc>
          <w:tcPr>
            <w:tcW w:w="2551" w:type="dxa"/>
            <w:vAlign w:val="center"/>
          </w:tcPr>
          <w:p w14:paraId="09DA753E">
            <w:pPr>
              <w:pStyle w:val="11"/>
            </w:pPr>
          </w:p>
        </w:tc>
      </w:tr>
    </w:tbl>
    <w:p w14:paraId="55381F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92707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8D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89EFC3">
            <w:pPr>
              <w:pStyle w:val="9"/>
            </w:pPr>
            <w:r>
              <w:t>360013隆尧县实验小学</w:t>
            </w:r>
          </w:p>
        </w:tc>
        <w:tc>
          <w:tcPr>
            <w:tcW w:w="2551" w:type="dxa"/>
            <w:tcBorders>
              <w:top w:val="single" w:color="FFFFFF" w:sz="6" w:space="0"/>
              <w:left w:val="single" w:color="FFFFFF" w:sz="6" w:space="0"/>
              <w:right w:val="single" w:color="FFFFFF" w:sz="6" w:space="0"/>
            </w:tcBorders>
            <w:vAlign w:val="center"/>
          </w:tcPr>
          <w:p w14:paraId="5D7BAE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064819">
            <w:pPr>
              <w:pStyle w:val="7"/>
            </w:pPr>
            <w:r>
              <w:t>单位：万元</w:t>
            </w:r>
          </w:p>
        </w:tc>
      </w:tr>
      <w:tr w14:paraId="52E5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A2731">
            <w:pPr>
              <w:pStyle w:val="10"/>
            </w:pPr>
            <w:r>
              <w:t>序号</w:t>
            </w:r>
          </w:p>
        </w:tc>
        <w:tc>
          <w:tcPr>
            <w:tcW w:w="5726" w:type="dxa"/>
            <w:gridSpan w:val="2"/>
            <w:vAlign w:val="center"/>
          </w:tcPr>
          <w:p w14:paraId="4CEB9D21">
            <w:pPr>
              <w:pStyle w:val="10"/>
            </w:pPr>
            <w:r>
              <w:t>功能分类科目</w:t>
            </w:r>
          </w:p>
        </w:tc>
        <w:tc>
          <w:tcPr>
            <w:tcW w:w="2551" w:type="dxa"/>
            <w:vMerge w:val="restart"/>
            <w:vAlign w:val="center"/>
          </w:tcPr>
          <w:p w14:paraId="3A110E8E">
            <w:pPr>
              <w:pStyle w:val="10"/>
            </w:pPr>
            <w:r>
              <w:t>合计</w:t>
            </w:r>
          </w:p>
        </w:tc>
        <w:tc>
          <w:tcPr>
            <w:tcW w:w="2551" w:type="dxa"/>
            <w:vMerge w:val="restart"/>
            <w:vAlign w:val="center"/>
          </w:tcPr>
          <w:p w14:paraId="7DABEC07">
            <w:pPr>
              <w:pStyle w:val="10"/>
            </w:pPr>
            <w:r>
              <w:t>基本支出</w:t>
            </w:r>
          </w:p>
        </w:tc>
        <w:tc>
          <w:tcPr>
            <w:tcW w:w="2551" w:type="dxa"/>
            <w:vMerge w:val="restart"/>
            <w:vAlign w:val="center"/>
          </w:tcPr>
          <w:p w14:paraId="543C67C8">
            <w:pPr>
              <w:pStyle w:val="10"/>
            </w:pPr>
            <w:r>
              <w:t>项目支出</w:t>
            </w:r>
          </w:p>
        </w:tc>
      </w:tr>
      <w:tr w14:paraId="71B7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BD2F1"/>
        </w:tc>
        <w:tc>
          <w:tcPr>
            <w:tcW w:w="1191" w:type="dxa"/>
            <w:vAlign w:val="center"/>
          </w:tcPr>
          <w:p w14:paraId="68A24F3D">
            <w:pPr>
              <w:pStyle w:val="10"/>
            </w:pPr>
            <w:r>
              <w:t>科目编码</w:t>
            </w:r>
          </w:p>
        </w:tc>
        <w:tc>
          <w:tcPr>
            <w:tcW w:w="4535" w:type="dxa"/>
            <w:vAlign w:val="center"/>
          </w:tcPr>
          <w:p w14:paraId="4C40E3EC">
            <w:pPr>
              <w:pStyle w:val="10"/>
            </w:pPr>
            <w:r>
              <w:t>科目名称</w:t>
            </w:r>
          </w:p>
        </w:tc>
        <w:tc>
          <w:tcPr>
            <w:tcW w:w="2551" w:type="dxa"/>
            <w:vMerge w:val="continue"/>
          </w:tcPr>
          <w:p w14:paraId="0C3E4790"/>
        </w:tc>
        <w:tc>
          <w:tcPr>
            <w:tcW w:w="2551" w:type="dxa"/>
            <w:vMerge w:val="continue"/>
          </w:tcPr>
          <w:p w14:paraId="5D3C1F68"/>
        </w:tc>
        <w:tc>
          <w:tcPr>
            <w:tcW w:w="2551" w:type="dxa"/>
            <w:vMerge w:val="continue"/>
          </w:tcPr>
          <w:p w14:paraId="4E61CB73"/>
        </w:tc>
      </w:tr>
      <w:tr w14:paraId="19D58252">
        <w:tblPrEx>
          <w:tblCellMar>
            <w:top w:w="0" w:type="dxa"/>
            <w:left w:w="108" w:type="dxa"/>
            <w:bottom w:w="0" w:type="dxa"/>
            <w:right w:w="108" w:type="dxa"/>
          </w:tblCellMar>
        </w:tblPrEx>
        <w:trPr>
          <w:trHeight w:val="369" w:hRule="atLeast"/>
          <w:tblHeader/>
          <w:jc w:val="center"/>
        </w:trPr>
        <w:tc>
          <w:tcPr>
            <w:tcW w:w="850" w:type="dxa"/>
            <w:vAlign w:val="center"/>
          </w:tcPr>
          <w:p w14:paraId="7887BBB9">
            <w:pPr>
              <w:pStyle w:val="10"/>
            </w:pPr>
            <w:r>
              <w:t>栏次</w:t>
            </w:r>
          </w:p>
        </w:tc>
        <w:tc>
          <w:tcPr>
            <w:tcW w:w="1191" w:type="dxa"/>
            <w:vAlign w:val="center"/>
          </w:tcPr>
          <w:p w14:paraId="7BD7F054">
            <w:pPr>
              <w:pStyle w:val="10"/>
            </w:pPr>
            <w:r>
              <w:t>1</w:t>
            </w:r>
          </w:p>
        </w:tc>
        <w:tc>
          <w:tcPr>
            <w:tcW w:w="4535" w:type="dxa"/>
            <w:vAlign w:val="center"/>
          </w:tcPr>
          <w:p w14:paraId="582BA4BD">
            <w:pPr>
              <w:pStyle w:val="10"/>
            </w:pPr>
            <w:r>
              <w:t>2</w:t>
            </w:r>
          </w:p>
        </w:tc>
        <w:tc>
          <w:tcPr>
            <w:tcW w:w="2551" w:type="dxa"/>
            <w:vAlign w:val="center"/>
          </w:tcPr>
          <w:p w14:paraId="37CA341B">
            <w:pPr>
              <w:pStyle w:val="10"/>
            </w:pPr>
            <w:r>
              <w:t>3</w:t>
            </w:r>
          </w:p>
        </w:tc>
        <w:tc>
          <w:tcPr>
            <w:tcW w:w="2551" w:type="dxa"/>
            <w:vAlign w:val="center"/>
          </w:tcPr>
          <w:p w14:paraId="32FCBFBF">
            <w:pPr>
              <w:pStyle w:val="10"/>
            </w:pPr>
            <w:r>
              <w:t>4</w:t>
            </w:r>
          </w:p>
        </w:tc>
        <w:tc>
          <w:tcPr>
            <w:tcW w:w="2551" w:type="dxa"/>
            <w:vAlign w:val="center"/>
          </w:tcPr>
          <w:p w14:paraId="24C22F33">
            <w:pPr>
              <w:pStyle w:val="10"/>
            </w:pPr>
            <w:r>
              <w:t>5</w:t>
            </w:r>
          </w:p>
        </w:tc>
      </w:tr>
      <w:tr w14:paraId="2BF86487">
        <w:tblPrEx>
          <w:tblCellMar>
            <w:top w:w="0" w:type="dxa"/>
            <w:left w:w="108" w:type="dxa"/>
            <w:bottom w:w="0" w:type="dxa"/>
            <w:right w:w="108" w:type="dxa"/>
          </w:tblCellMar>
        </w:tblPrEx>
        <w:trPr>
          <w:trHeight w:val="369" w:hRule="atLeast"/>
          <w:jc w:val="center"/>
        </w:trPr>
        <w:tc>
          <w:tcPr>
            <w:tcW w:w="850" w:type="dxa"/>
            <w:vAlign w:val="center"/>
          </w:tcPr>
          <w:p w14:paraId="50C541EF">
            <w:pPr>
              <w:pStyle w:val="13"/>
            </w:pPr>
          </w:p>
        </w:tc>
        <w:tc>
          <w:tcPr>
            <w:tcW w:w="1191" w:type="dxa"/>
            <w:vAlign w:val="center"/>
          </w:tcPr>
          <w:p w14:paraId="6D11B375">
            <w:pPr>
              <w:pStyle w:val="12"/>
            </w:pPr>
          </w:p>
        </w:tc>
        <w:tc>
          <w:tcPr>
            <w:tcW w:w="4535" w:type="dxa"/>
            <w:vAlign w:val="center"/>
          </w:tcPr>
          <w:p w14:paraId="6F6E9255">
            <w:pPr>
              <w:pStyle w:val="12"/>
            </w:pPr>
          </w:p>
        </w:tc>
        <w:tc>
          <w:tcPr>
            <w:tcW w:w="2551" w:type="dxa"/>
            <w:vAlign w:val="center"/>
          </w:tcPr>
          <w:p w14:paraId="73E699C2">
            <w:pPr>
              <w:pStyle w:val="11"/>
            </w:pPr>
          </w:p>
        </w:tc>
        <w:tc>
          <w:tcPr>
            <w:tcW w:w="2551" w:type="dxa"/>
            <w:vAlign w:val="center"/>
          </w:tcPr>
          <w:p w14:paraId="733D5C02">
            <w:pPr>
              <w:pStyle w:val="11"/>
            </w:pPr>
          </w:p>
        </w:tc>
        <w:tc>
          <w:tcPr>
            <w:tcW w:w="2551" w:type="dxa"/>
            <w:vAlign w:val="center"/>
          </w:tcPr>
          <w:p w14:paraId="634893BA">
            <w:pPr>
              <w:pStyle w:val="11"/>
            </w:pPr>
          </w:p>
        </w:tc>
      </w:tr>
    </w:tbl>
    <w:p w14:paraId="44EBF3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AD60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D5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360E5F">
            <w:pPr>
              <w:pStyle w:val="9"/>
            </w:pPr>
            <w:r>
              <w:t>360013隆尧县实验小学</w:t>
            </w:r>
          </w:p>
        </w:tc>
        <w:tc>
          <w:tcPr>
            <w:tcW w:w="2381" w:type="dxa"/>
            <w:tcBorders>
              <w:top w:val="single" w:color="FFFFFF" w:sz="6" w:space="0"/>
              <w:left w:val="single" w:color="FFFFFF" w:sz="6" w:space="0"/>
              <w:right w:val="single" w:color="FFFFFF" w:sz="6" w:space="0"/>
            </w:tcBorders>
            <w:vAlign w:val="center"/>
          </w:tcPr>
          <w:p w14:paraId="4663055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938F0A3">
            <w:pPr>
              <w:pStyle w:val="7"/>
            </w:pPr>
            <w:r>
              <w:t>单位：万元</w:t>
            </w:r>
          </w:p>
        </w:tc>
      </w:tr>
      <w:tr w14:paraId="5E5B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AAF55">
            <w:pPr>
              <w:pStyle w:val="10"/>
            </w:pPr>
            <w:r>
              <w:t>序号</w:t>
            </w:r>
          </w:p>
        </w:tc>
        <w:tc>
          <w:tcPr>
            <w:tcW w:w="3798" w:type="dxa"/>
            <w:vMerge w:val="restart"/>
            <w:vAlign w:val="center"/>
          </w:tcPr>
          <w:p w14:paraId="6CBEB327">
            <w:pPr>
              <w:pStyle w:val="10"/>
            </w:pPr>
            <w:r>
              <w:t>项  目</w:t>
            </w:r>
          </w:p>
        </w:tc>
        <w:tc>
          <w:tcPr>
            <w:tcW w:w="9524" w:type="dxa"/>
            <w:gridSpan w:val="4"/>
            <w:vAlign w:val="center"/>
          </w:tcPr>
          <w:p w14:paraId="07471412">
            <w:pPr>
              <w:pStyle w:val="10"/>
            </w:pPr>
            <w:r>
              <w:t>资 金 性 质</w:t>
            </w:r>
          </w:p>
        </w:tc>
      </w:tr>
      <w:tr w14:paraId="50E4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FB2483"/>
        </w:tc>
        <w:tc>
          <w:tcPr>
            <w:tcW w:w="3798" w:type="dxa"/>
            <w:vMerge w:val="continue"/>
          </w:tcPr>
          <w:p w14:paraId="67C28390"/>
        </w:tc>
        <w:tc>
          <w:tcPr>
            <w:tcW w:w="2381" w:type="dxa"/>
            <w:vAlign w:val="center"/>
          </w:tcPr>
          <w:p w14:paraId="0C513687">
            <w:pPr>
              <w:pStyle w:val="10"/>
            </w:pPr>
            <w:r>
              <w:t>合计</w:t>
            </w:r>
          </w:p>
        </w:tc>
        <w:tc>
          <w:tcPr>
            <w:tcW w:w="2381" w:type="dxa"/>
            <w:vAlign w:val="center"/>
          </w:tcPr>
          <w:p w14:paraId="5AB59C2D">
            <w:pPr>
              <w:pStyle w:val="10"/>
            </w:pPr>
            <w:r>
              <w:t>一般公共预算              财政拨款</w:t>
            </w:r>
          </w:p>
        </w:tc>
        <w:tc>
          <w:tcPr>
            <w:tcW w:w="2381" w:type="dxa"/>
            <w:vAlign w:val="center"/>
          </w:tcPr>
          <w:p w14:paraId="5F1E4D7A">
            <w:pPr>
              <w:pStyle w:val="10"/>
            </w:pPr>
            <w:r>
              <w:t>政府性基金                  预算拨款</w:t>
            </w:r>
          </w:p>
        </w:tc>
        <w:tc>
          <w:tcPr>
            <w:tcW w:w="2381" w:type="dxa"/>
            <w:vAlign w:val="center"/>
          </w:tcPr>
          <w:p w14:paraId="07EF0F08">
            <w:pPr>
              <w:pStyle w:val="10"/>
            </w:pPr>
            <w:r>
              <w:t>国有资本经营              预算财政拨款</w:t>
            </w:r>
          </w:p>
        </w:tc>
      </w:tr>
      <w:tr w14:paraId="53F2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D2D23B">
            <w:pPr>
              <w:pStyle w:val="10"/>
            </w:pPr>
            <w:r>
              <w:t>栏次</w:t>
            </w:r>
          </w:p>
        </w:tc>
        <w:tc>
          <w:tcPr>
            <w:tcW w:w="3798" w:type="dxa"/>
            <w:vAlign w:val="center"/>
          </w:tcPr>
          <w:p w14:paraId="4E97A921">
            <w:pPr>
              <w:pStyle w:val="10"/>
            </w:pPr>
            <w:r>
              <w:t>1</w:t>
            </w:r>
          </w:p>
        </w:tc>
        <w:tc>
          <w:tcPr>
            <w:tcW w:w="2381" w:type="dxa"/>
            <w:vAlign w:val="center"/>
          </w:tcPr>
          <w:p w14:paraId="4DA18981">
            <w:pPr>
              <w:pStyle w:val="10"/>
            </w:pPr>
            <w:r>
              <w:t>2</w:t>
            </w:r>
          </w:p>
        </w:tc>
        <w:tc>
          <w:tcPr>
            <w:tcW w:w="2381" w:type="dxa"/>
            <w:vAlign w:val="center"/>
          </w:tcPr>
          <w:p w14:paraId="67E024A8">
            <w:pPr>
              <w:pStyle w:val="10"/>
            </w:pPr>
            <w:r>
              <w:t>3</w:t>
            </w:r>
          </w:p>
        </w:tc>
        <w:tc>
          <w:tcPr>
            <w:tcW w:w="2381" w:type="dxa"/>
            <w:vAlign w:val="center"/>
          </w:tcPr>
          <w:p w14:paraId="4C33F825">
            <w:pPr>
              <w:pStyle w:val="10"/>
            </w:pPr>
            <w:r>
              <w:t>4</w:t>
            </w:r>
          </w:p>
        </w:tc>
        <w:tc>
          <w:tcPr>
            <w:tcW w:w="2381" w:type="dxa"/>
            <w:vAlign w:val="center"/>
          </w:tcPr>
          <w:p w14:paraId="14AADBC0">
            <w:pPr>
              <w:pStyle w:val="10"/>
            </w:pPr>
            <w:r>
              <w:t>5</w:t>
            </w:r>
          </w:p>
        </w:tc>
      </w:tr>
      <w:tr w14:paraId="1BF6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02C744">
            <w:pPr>
              <w:pStyle w:val="13"/>
            </w:pPr>
          </w:p>
        </w:tc>
        <w:tc>
          <w:tcPr>
            <w:tcW w:w="3798" w:type="dxa"/>
            <w:vAlign w:val="center"/>
          </w:tcPr>
          <w:p w14:paraId="0DD95B12">
            <w:pPr>
              <w:pStyle w:val="12"/>
            </w:pPr>
          </w:p>
        </w:tc>
        <w:tc>
          <w:tcPr>
            <w:tcW w:w="2381" w:type="dxa"/>
            <w:vAlign w:val="center"/>
          </w:tcPr>
          <w:p w14:paraId="6874ADBB">
            <w:pPr>
              <w:pStyle w:val="11"/>
            </w:pPr>
          </w:p>
        </w:tc>
        <w:tc>
          <w:tcPr>
            <w:tcW w:w="2381" w:type="dxa"/>
            <w:vAlign w:val="center"/>
          </w:tcPr>
          <w:p w14:paraId="6DFD8C44">
            <w:pPr>
              <w:pStyle w:val="11"/>
            </w:pPr>
          </w:p>
        </w:tc>
        <w:tc>
          <w:tcPr>
            <w:tcW w:w="2381" w:type="dxa"/>
            <w:vAlign w:val="center"/>
          </w:tcPr>
          <w:p w14:paraId="27B7027E">
            <w:pPr>
              <w:pStyle w:val="11"/>
            </w:pPr>
          </w:p>
        </w:tc>
        <w:tc>
          <w:tcPr>
            <w:tcW w:w="2381" w:type="dxa"/>
            <w:vAlign w:val="center"/>
          </w:tcPr>
          <w:p w14:paraId="4D67AC16">
            <w:pPr>
              <w:pStyle w:val="11"/>
            </w:pPr>
          </w:p>
        </w:tc>
      </w:tr>
    </w:tbl>
    <w:p w14:paraId="29A9829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C7BC15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隆尧县实验小学2026年单位预算信息公开情况说明</w:t>
      </w:r>
    </w:p>
    <w:p w14:paraId="7B626AA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地方预决算公开操作规程》和《关于进一步推进预算公开工作的实施意见》规定，现将隆尧县实验小学2026年单位预算公开如下：</w:t>
      </w:r>
    </w:p>
    <w:p w14:paraId="59A2BF0D">
      <w:pPr>
        <w:spacing w:before="10" w:after="10" w:line="240" w:lineRule="auto"/>
        <w:ind w:firstLine="640"/>
        <w:jc w:val="left"/>
        <w:outlineLvl w:val="5"/>
      </w:pPr>
      <w:r>
        <w:rPr>
          <w:rFonts w:ascii="黑体" w:hAnsi="黑体" w:eastAsia="黑体" w:cs="黑体"/>
          <w:color w:val="000000"/>
          <w:sz w:val="32"/>
        </w:rPr>
        <w:t>一、单位职责及机构设置情况</w:t>
      </w:r>
    </w:p>
    <w:p w14:paraId="1578D2A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6F489A4">
      <w:pPr>
        <w:pStyle w:val="17"/>
        <w:rPr>
          <w:rFonts w:hint="eastAsia"/>
        </w:rPr>
      </w:pPr>
      <w:r>
        <w:rPr>
          <w:rFonts w:hint="eastAsia"/>
        </w:rPr>
        <w:t xml:space="preserve">  贯彻落实基础教育的方针、政策，开展小学阶段教育教学工作，促进学生德、智、体、美、劳全方面发展；负责学生安全教育和管理，确保学生身心健康；加强教师队伍建设和管理，为教育教学工作提供保障。</w:t>
      </w:r>
    </w:p>
    <w:p w14:paraId="4815CC9D">
      <w:pPr>
        <w:pStyle w:val="17"/>
      </w:pPr>
      <w:r>
        <w:rPr>
          <w:rFonts w:hint="eastAsia"/>
        </w:rPr>
        <w:t xml:space="preserve">   隆尧县实验小学事业编制157人，其中校长1名（正股级），副校长4名（副股级）；经费形式为财政性资金基本保证。</w:t>
      </w:r>
    </w:p>
    <w:p w14:paraId="0C6C1EB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5AFF7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7E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918529">
            <w:pPr>
              <w:pStyle w:val="10"/>
            </w:pPr>
            <w:r>
              <w:t>单位名称</w:t>
            </w:r>
          </w:p>
        </w:tc>
        <w:tc>
          <w:tcPr>
            <w:tcW w:w="1843" w:type="dxa"/>
            <w:vAlign w:val="center"/>
          </w:tcPr>
          <w:p w14:paraId="5CCD4A4A">
            <w:pPr>
              <w:pStyle w:val="10"/>
            </w:pPr>
            <w:r>
              <w:t>单位性质</w:t>
            </w:r>
          </w:p>
        </w:tc>
        <w:tc>
          <w:tcPr>
            <w:tcW w:w="2126" w:type="dxa"/>
            <w:vAlign w:val="center"/>
          </w:tcPr>
          <w:p w14:paraId="4567565D">
            <w:pPr>
              <w:pStyle w:val="10"/>
            </w:pPr>
            <w:r>
              <w:t>单位规格</w:t>
            </w:r>
          </w:p>
        </w:tc>
        <w:tc>
          <w:tcPr>
            <w:tcW w:w="3827" w:type="dxa"/>
            <w:vAlign w:val="center"/>
          </w:tcPr>
          <w:p w14:paraId="39C6923F">
            <w:pPr>
              <w:pStyle w:val="10"/>
            </w:pPr>
            <w:r>
              <w:t>经费保障形式</w:t>
            </w:r>
          </w:p>
        </w:tc>
      </w:tr>
      <w:tr w14:paraId="2759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7FBD0A">
            <w:pPr>
              <w:pStyle w:val="12"/>
            </w:pPr>
            <w:r>
              <w:t>隆尧县实验小学</w:t>
            </w:r>
          </w:p>
        </w:tc>
        <w:tc>
          <w:tcPr>
            <w:tcW w:w="1843" w:type="dxa"/>
            <w:vAlign w:val="center"/>
          </w:tcPr>
          <w:p w14:paraId="2AAA04C0">
            <w:pPr>
              <w:pStyle w:val="13"/>
            </w:pPr>
            <w:r>
              <w:t>事业</w:t>
            </w:r>
          </w:p>
        </w:tc>
        <w:tc>
          <w:tcPr>
            <w:tcW w:w="2126" w:type="dxa"/>
            <w:vAlign w:val="center"/>
          </w:tcPr>
          <w:p w14:paraId="34B79415">
            <w:pPr>
              <w:pStyle w:val="13"/>
            </w:pPr>
            <w:r>
              <w:t>股级</w:t>
            </w:r>
          </w:p>
        </w:tc>
        <w:tc>
          <w:tcPr>
            <w:tcW w:w="3827" w:type="dxa"/>
            <w:vAlign w:val="center"/>
          </w:tcPr>
          <w:p w14:paraId="191A47DE">
            <w:pPr>
              <w:pStyle w:val="13"/>
            </w:pPr>
            <w:r>
              <w:t>财政性资金基本保证</w:t>
            </w:r>
          </w:p>
        </w:tc>
      </w:tr>
    </w:tbl>
    <w:p w14:paraId="0D0E5C2C">
      <w:pPr>
        <w:spacing w:before="10" w:after="10" w:line="240" w:lineRule="auto"/>
        <w:ind w:firstLine="640"/>
        <w:jc w:val="left"/>
        <w:outlineLvl w:val="5"/>
      </w:pPr>
      <w:r>
        <w:rPr>
          <w:rFonts w:ascii="黑体" w:hAnsi="黑体" w:eastAsia="黑体" w:cs="黑体"/>
          <w:color w:val="000000"/>
          <w:sz w:val="32"/>
        </w:rPr>
        <w:t>二、单位预算安排的总体情况</w:t>
      </w:r>
    </w:p>
    <w:p w14:paraId="1AC9162A">
      <w:pPr>
        <w:pStyle w:val="18"/>
      </w:pPr>
      <w:r>
        <w:t>按照预算管理有关规定，目前我校单位预算的编制实行综合预算管理，即全部收入和支出都反映的预算中。隆尧县实验小学的收支包含在单位预算中。</w:t>
      </w:r>
    </w:p>
    <w:p w14:paraId="4DE9C326">
      <w:pPr>
        <w:pStyle w:val="18"/>
      </w:pPr>
      <w:r>
        <w:t>1、收入说明</w:t>
      </w:r>
    </w:p>
    <w:p w14:paraId="3E54584C">
      <w:pPr>
        <w:pStyle w:val="18"/>
      </w:pPr>
      <w:r>
        <w:t>反映本单位当年全部收入。2026年预算收入2072.6万元，其中：一般公共预算收入2072.6万元，基金预算收入0万元，财政专户管理资金收入0万元，单位资金收入0万元。</w:t>
      </w:r>
    </w:p>
    <w:p w14:paraId="6CB85EA4">
      <w:pPr>
        <w:pStyle w:val="18"/>
      </w:pPr>
      <w:r>
        <w:t>2、支出说明</w:t>
      </w:r>
    </w:p>
    <w:p w14:paraId="344E8FC0">
      <w:pPr>
        <w:pStyle w:val="18"/>
      </w:pPr>
      <w:r>
        <w:t>收支预算总表支出栏、基本支出表、项目支出表按经济分类和支出功能分类科目编制，反映隆尧县实验小学年度单位预算中支出预算的总体情况。2026年单位支出预算为2702.6万元，其中基本支出1734.07万元、项目支出338.53万元。</w:t>
      </w:r>
    </w:p>
    <w:p w14:paraId="4BB397B1">
      <w:pPr>
        <w:pStyle w:val="18"/>
      </w:pPr>
      <w:r>
        <w:t>3、比上年增减情况</w:t>
      </w:r>
    </w:p>
    <w:p w14:paraId="20FD018D">
      <w:pPr>
        <w:pStyle w:val="18"/>
      </w:pPr>
      <w:r>
        <w:t>2026年部门预算收支安排2072.6万元，较2025年预算增加63.75万元，其中基本支出增加72.41万元</w:t>
      </w:r>
      <w:r>
        <w:rPr>
          <w:rFonts w:hint="eastAsia"/>
          <w:lang w:eastAsia="zh-CN"/>
        </w:rPr>
        <w:t>。</w:t>
      </w:r>
      <w:r>
        <w:t>项目支出减少8.65万元。</w:t>
      </w:r>
    </w:p>
    <w:p w14:paraId="7647E8EE">
      <w:pPr>
        <w:spacing w:before="10" w:after="10" w:line="240" w:lineRule="auto"/>
        <w:ind w:firstLine="640"/>
        <w:jc w:val="left"/>
        <w:outlineLvl w:val="5"/>
      </w:pPr>
      <w:r>
        <w:rPr>
          <w:rFonts w:ascii="黑体" w:hAnsi="黑体" w:eastAsia="黑体" w:cs="黑体"/>
          <w:color w:val="000000"/>
          <w:sz w:val="32"/>
        </w:rPr>
        <w:t>三、机关运行经费安排情况</w:t>
      </w:r>
    </w:p>
    <w:p w14:paraId="16BE3002">
      <w:pPr>
        <w:pStyle w:val="19"/>
      </w:pPr>
      <w:r>
        <w:t>我单位按学生安排公用经费，无机关运行经费。</w:t>
      </w:r>
    </w:p>
    <w:p w14:paraId="611DE7E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E575A0">
      <w:pPr>
        <w:pStyle w:val="20"/>
      </w:pPr>
      <w:r>
        <w:t>我单位未安排</w:t>
      </w:r>
      <w:r>
        <w:rPr>
          <w:rFonts w:hint="eastAsia"/>
          <w:lang w:eastAsia="zh-CN"/>
        </w:rPr>
        <w:t>“三公”经费</w:t>
      </w:r>
      <w:r>
        <w:t>。</w:t>
      </w:r>
    </w:p>
    <w:p w14:paraId="7731A7E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60F649">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39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83EE4">
            <w:pPr>
              <w:pStyle w:val="11"/>
            </w:pPr>
            <w:r>
              <w:t>单位：万元</w:t>
            </w:r>
          </w:p>
        </w:tc>
      </w:tr>
      <w:tr w14:paraId="2637D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4C4BE">
            <w:pPr>
              <w:pStyle w:val="10"/>
            </w:pPr>
            <w:r>
              <w:t>项目编码</w:t>
            </w:r>
          </w:p>
        </w:tc>
        <w:tc>
          <w:tcPr>
            <w:tcW w:w="5103" w:type="dxa"/>
            <w:gridSpan w:val="2"/>
            <w:vAlign w:val="center"/>
          </w:tcPr>
          <w:p w14:paraId="033138AF">
            <w:pPr>
              <w:pStyle w:val="12"/>
            </w:pPr>
            <w:r>
              <w:t>13052526P000004102589</w:t>
            </w:r>
          </w:p>
        </w:tc>
        <w:tc>
          <w:tcPr>
            <w:tcW w:w="2835" w:type="dxa"/>
            <w:vAlign w:val="center"/>
          </w:tcPr>
          <w:p w14:paraId="5452F289">
            <w:pPr>
              <w:pStyle w:val="10"/>
            </w:pPr>
            <w:r>
              <w:t>项目名称</w:t>
            </w:r>
          </w:p>
        </w:tc>
        <w:tc>
          <w:tcPr>
            <w:tcW w:w="6095" w:type="dxa"/>
            <w:gridSpan w:val="3"/>
            <w:vAlign w:val="center"/>
          </w:tcPr>
          <w:p w14:paraId="7727ABBC">
            <w:pPr>
              <w:pStyle w:val="12"/>
            </w:pPr>
            <w:r>
              <w:t>冀财教[2025]121号/中央/2026年义教补助经费/实验小学公用经费</w:t>
            </w:r>
          </w:p>
        </w:tc>
      </w:tr>
      <w:tr w14:paraId="6A8AB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2F48A">
            <w:pPr>
              <w:pStyle w:val="10"/>
            </w:pPr>
            <w:r>
              <w:t>预算规模及资金用途</w:t>
            </w:r>
          </w:p>
        </w:tc>
        <w:tc>
          <w:tcPr>
            <w:tcW w:w="2268" w:type="dxa"/>
            <w:vAlign w:val="center"/>
          </w:tcPr>
          <w:p w14:paraId="31F3A8B0">
            <w:pPr>
              <w:pStyle w:val="10"/>
            </w:pPr>
            <w:r>
              <w:t>预算数</w:t>
            </w:r>
          </w:p>
        </w:tc>
        <w:tc>
          <w:tcPr>
            <w:tcW w:w="2835" w:type="dxa"/>
            <w:vAlign w:val="center"/>
          </w:tcPr>
          <w:p w14:paraId="0F56DB2E">
            <w:pPr>
              <w:pStyle w:val="12"/>
            </w:pPr>
            <w:r>
              <w:t>182.34</w:t>
            </w:r>
          </w:p>
        </w:tc>
        <w:tc>
          <w:tcPr>
            <w:tcW w:w="2835" w:type="dxa"/>
            <w:vAlign w:val="center"/>
          </w:tcPr>
          <w:p w14:paraId="5B163EF3">
            <w:pPr>
              <w:pStyle w:val="10"/>
            </w:pPr>
            <w:r>
              <w:t>其中：财政    资金</w:t>
            </w:r>
          </w:p>
        </w:tc>
        <w:tc>
          <w:tcPr>
            <w:tcW w:w="2551" w:type="dxa"/>
            <w:vAlign w:val="center"/>
          </w:tcPr>
          <w:p w14:paraId="23C06819">
            <w:pPr>
              <w:pStyle w:val="12"/>
            </w:pPr>
            <w:r>
              <w:t>182.34</w:t>
            </w:r>
          </w:p>
        </w:tc>
        <w:tc>
          <w:tcPr>
            <w:tcW w:w="2268" w:type="dxa"/>
            <w:vAlign w:val="center"/>
          </w:tcPr>
          <w:p w14:paraId="7F3F5CC0">
            <w:pPr>
              <w:pStyle w:val="10"/>
            </w:pPr>
            <w:r>
              <w:t>其他资金</w:t>
            </w:r>
          </w:p>
        </w:tc>
        <w:tc>
          <w:tcPr>
            <w:tcW w:w="1276" w:type="dxa"/>
            <w:vAlign w:val="center"/>
          </w:tcPr>
          <w:p w14:paraId="0E72755A">
            <w:pPr>
              <w:pStyle w:val="12"/>
            </w:pPr>
            <w:r>
              <w:t xml:space="preserve"> </w:t>
            </w:r>
          </w:p>
        </w:tc>
      </w:tr>
      <w:tr w14:paraId="6BA1F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03CA3"/>
        </w:tc>
        <w:tc>
          <w:tcPr>
            <w:tcW w:w="14033" w:type="dxa"/>
            <w:gridSpan w:val="6"/>
            <w:vAlign w:val="center"/>
          </w:tcPr>
          <w:p w14:paraId="0781F0C1">
            <w:pPr>
              <w:pStyle w:val="12"/>
            </w:pPr>
            <w:r>
              <w:t>保障义务教育学校正常运转，完成教育教学活动，和其他日常工作任务等方面的费用支出</w:t>
            </w:r>
          </w:p>
        </w:tc>
      </w:tr>
      <w:tr w14:paraId="03630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D9C0B">
            <w:pPr>
              <w:pStyle w:val="10"/>
            </w:pPr>
            <w:r>
              <w:t>资金支出计划（%）</w:t>
            </w:r>
          </w:p>
        </w:tc>
        <w:tc>
          <w:tcPr>
            <w:tcW w:w="5103" w:type="dxa"/>
            <w:gridSpan w:val="2"/>
            <w:vAlign w:val="center"/>
          </w:tcPr>
          <w:p w14:paraId="0D9BE673">
            <w:pPr>
              <w:pStyle w:val="10"/>
            </w:pPr>
            <w:r>
              <w:t>3月底</w:t>
            </w:r>
          </w:p>
        </w:tc>
        <w:tc>
          <w:tcPr>
            <w:tcW w:w="2835" w:type="dxa"/>
            <w:vAlign w:val="center"/>
          </w:tcPr>
          <w:p w14:paraId="013F4FCF">
            <w:pPr>
              <w:pStyle w:val="10"/>
            </w:pPr>
            <w:r>
              <w:t>6月底</w:t>
            </w:r>
          </w:p>
        </w:tc>
        <w:tc>
          <w:tcPr>
            <w:tcW w:w="2551" w:type="dxa"/>
            <w:vAlign w:val="center"/>
          </w:tcPr>
          <w:p w14:paraId="2740F557">
            <w:pPr>
              <w:pStyle w:val="10"/>
            </w:pPr>
            <w:r>
              <w:t>10月底</w:t>
            </w:r>
          </w:p>
        </w:tc>
        <w:tc>
          <w:tcPr>
            <w:tcW w:w="3544" w:type="dxa"/>
            <w:gridSpan w:val="2"/>
            <w:vAlign w:val="center"/>
          </w:tcPr>
          <w:p w14:paraId="32D44562">
            <w:pPr>
              <w:pStyle w:val="10"/>
            </w:pPr>
            <w:r>
              <w:t>12月底</w:t>
            </w:r>
          </w:p>
        </w:tc>
      </w:tr>
      <w:tr w14:paraId="102AB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86C28"/>
        </w:tc>
        <w:tc>
          <w:tcPr>
            <w:tcW w:w="5103" w:type="dxa"/>
            <w:gridSpan w:val="2"/>
            <w:vAlign w:val="center"/>
          </w:tcPr>
          <w:p w14:paraId="66B3F638">
            <w:pPr>
              <w:pStyle w:val="13"/>
            </w:pPr>
            <w:r>
              <w:t>25%</w:t>
            </w:r>
          </w:p>
        </w:tc>
        <w:tc>
          <w:tcPr>
            <w:tcW w:w="2835" w:type="dxa"/>
            <w:vAlign w:val="center"/>
          </w:tcPr>
          <w:p w14:paraId="481A520B">
            <w:pPr>
              <w:pStyle w:val="13"/>
            </w:pPr>
            <w:r>
              <w:t>50%</w:t>
            </w:r>
          </w:p>
        </w:tc>
        <w:tc>
          <w:tcPr>
            <w:tcW w:w="2551" w:type="dxa"/>
            <w:vAlign w:val="center"/>
          </w:tcPr>
          <w:p w14:paraId="7714087A">
            <w:pPr>
              <w:pStyle w:val="13"/>
            </w:pPr>
            <w:r>
              <w:t>75%</w:t>
            </w:r>
          </w:p>
        </w:tc>
        <w:tc>
          <w:tcPr>
            <w:tcW w:w="3544" w:type="dxa"/>
            <w:gridSpan w:val="2"/>
            <w:vAlign w:val="center"/>
          </w:tcPr>
          <w:p w14:paraId="39747B11">
            <w:pPr>
              <w:pStyle w:val="13"/>
            </w:pPr>
            <w:r>
              <w:t>100%</w:t>
            </w:r>
          </w:p>
        </w:tc>
      </w:tr>
      <w:tr w14:paraId="625E5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1D3A8">
            <w:pPr>
              <w:pStyle w:val="10"/>
            </w:pPr>
            <w:r>
              <w:t>绩效目标</w:t>
            </w:r>
          </w:p>
        </w:tc>
        <w:tc>
          <w:tcPr>
            <w:tcW w:w="14033" w:type="dxa"/>
            <w:gridSpan w:val="6"/>
            <w:vAlign w:val="center"/>
          </w:tcPr>
          <w:p w14:paraId="4432E6C7">
            <w:pPr>
              <w:pStyle w:val="12"/>
            </w:pPr>
            <w:r>
              <w:t>1.保障义务教育学校正常运转，完成教育教学活动和其他日常工作任务等方面的费用支出。</w:t>
            </w:r>
          </w:p>
          <w:p w14:paraId="5CEE7A0C">
            <w:pPr>
              <w:pStyle w:val="12"/>
            </w:pPr>
            <w:r>
              <w:t>2.按季度分批次拨付公用经费</w:t>
            </w:r>
            <w:r>
              <w:rPr>
                <w:rFonts w:hint="eastAsia"/>
                <w:lang w:eastAsia="zh-CN"/>
              </w:rPr>
              <w:t>资金</w:t>
            </w:r>
            <w:r>
              <w:t>1823400元，资金拨付率达到100%。</w:t>
            </w:r>
          </w:p>
        </w:tc>
      </w:tr>
    </w:tbl>
    <w:p w14:paraId="7D3D10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6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B5800">
            <w:pPr>
              <w:pStyle w:val="10"/>
            </w:pPr>
            <w:r>
              <w:t>一级指标</w:t>
            </w:r>
          </w:p>
        </w:tc>
        <w:tc>
          <w:tcPr>
            <w:tcW w:w="2268" w:type="dxa"/>
            <w:vAlign w:val="center"/>
          </w:tcPr>
          <w:p w14:paraId="5F0E9123">
            <w:pPr>
              <w:pStyle w:val="10"/>
            </w:pPr>
            <w:r>
              <w:t>二级指标</w:t>
            </w:r>
          </w:p>
        </w:tc>
        <w:tc>
          <w:tcPr>
            <w:tcW w:w="2835" w:type="dxa"/>
            <w:vAlign w:val="center"/>
          </w:tcPr>
          <w:p w14:paraId="60C95CEF">
            <w:pPr>
              <w:pStyle w:val="10"/>
            </w:pPr>
            <w:r>
              <w:t>三级指标</w:t>
            </w:r>
          </w:p>
        </w:tc>
        <w:tc>
          <w:tcPr>
            <w:tcW w:w="5386" w:type="dxa"/>
            <w:vAlign w:val="center"/>
          </w:tcPr>
          <w:p w14:paraId="49E5A277">
            <w:pPr>
              <w:pStyle w:val="10"/>
            </w:pPr>
            <w:r>
              <w:t>绩效指标描述</w:t>
            </w:r>
          </w:p>
        </w:tc>
        <w:tc>
          <w:tcPr>
            <w:tcW w:w="2268" w:type="dxa"/>
            <w:vAlign w:val="center"/>
          </w:tcPr>
          <w:p w14:paraId="5EC89A33">
            <w:pPr>
              <w:pStyle w:val="10"/>
            </w:pPr>
            <w:r>
              <w:t>指标值</w:t>
            </w:r>
          </w:p>
        </w:tc>
        <w:tc>
          <w:tcPr>
            <w:tcW w:w="1276" w:type="dxa"/>
            <w:vAlign w:val="center"/>
          </w:tcPr>
          <w:p w14:paraId="710F6FA8">
            <w:pPr>
              <w:pStyle w:val="10"/>
            </w:pPr>
            <w:r>
              <w:t>指标值确定依据</w:t>
            </w:r>
          </w:p>
        </w:tc>
      </w:tr>
      <w:tr w14:paraId="70C1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B9075">
            <w:pPr>
              <w:pStyle w:val="13"/>
            </w:pPr>
            <w:r>
              <w:t>产出指标</w:t>
            </w:r>
          </w:p>
        </w:tc>
        <w:tc>
          <w:tcPr>
            <w:tcW w:w="2268" w:type="dxa"/>
            <w:vAlign w:val="center"/>
          </w:tcPr>
          <w:p w14:paraId="29D5C9AF">
            <w:pPr>
              <w:pStyle w:val="12"/>
            </w:pPr>
            <w:r>
              <w:t>数量指标</w:t>
            </w:r>
          </w:p>
        </w:tc>
        <w:tc>
          <w:tcPr>
            <w:tcW w:w="2835" w:type="dxa"/>
            <w:vAlign w:val="center"/>
          </w:tcPr>
          <w:p w14:paraId="6DC48433">
            <w:pPr>
              <w:pStyle w:val="12"/>
            </w:pPr>
            <w:r>
              <w:t>适龄在校生</w:t>
            </w:r>
          </w:p>
        </w:tc>
        <w:tc>
          <w:tcPr>
            <w:tcW w:w="5386" w:type="dxa"/>
            <w:vAlign w:val="center"/>
          </w:tcPr>
          <w:p w14:paraId="00DEE1A6">
            <w:pPr>
              <w:pStyle w:val="12"/>
            </w:pPr>
            <w:r>
              <w:t>适龄在校就读学生人数</w:t>
            </w:r>
          </w:p>
        </w:tc>
        <w:tc>
          <w:tcPr>
            <w:tcW w:w="2268" w:type="dxa"/>
            <w:vAlign w:val="center"/>
          </w:tcPr>
          <w:p w14:paraId="21A01BCE">
            <w:pPr>
              <w:pStyle w:val="12"/>
            </w:pPr>
            <w:r>
              <w:t>≥3651人</w:t>
            </w:r>
          </w:p>
        </w:tc>
        <w:tc>
          <w:tcPr>
            <w:tcW w:w="1276" w:type="dxa"/>
            <w:vAlign w:val="center"/>
          </w:tcPr>
          <w:p w14:paraId="71417818">
            <w:pPr>
              <w:pStyle w:val="12"/>
            </w:pPr>
            <w:r>
              <w:t>城乡义务教育公用经费管理办法</w:t>
            </w:r>
          </w:p>
        </w:tc>
      </w:tr>
      <w:tr w14:paraId="0B55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EF72A"/>
        </w:tc>
        <w:tc>
          <w:tcPr>
            <w:tcW w:w="2268" w:type="dxa"/>
            <w:vAlign w:val="center"/>
          </w:tcPr>
          <w:p w14:paraId="7FAAD64F">
            <w:pPr>
              <w:pStyle w:val="12"/>
            </w:pPr>
            <w:r>
              <w:t>质量指标</w:t>
            </w:r>
          </w:p>
        </w:tc>
        <w:tc>
          <w:tcPr>
            <w:tcW w:w="2835" w:type="dxa"/>
            <w:vAlign w:val="center"/>
          </w:tcPr>
          <w:p w14:paraId="5304A463">
            <w:pPr>
              <w:pStyle w:val="12"/>
            </w:pPr>
            <w:r>
              <w:t>公用经费拨付完成率</w:t>
            </w:r>
          </w:p>
        </w:tc>
        <w:tc>
          <w:tcPr>
            <w:tcW w:w="5386" w:type="dxa"/>
            <w:vAlign w:val="center"/>
          </w:tcPr>
          <w:p w14:paraId="114672A8">
            <w:pPr>
              <w:pStyle w:val="12"/>
            </w:pPr>
            <w:r>
              <w:t>公用经费拨付完成率达到需时进度</w:t>
            </w:r>
          </w:p>
        </w:tc>
        <w:tc>
          <w:tcPr>
            <w:tcW w:w="2268" w:type="dxa"/>
            <w:vAlign w:val="center"/>
          </w:tcPr>
          <w:p w14:paraId="56DAF6F3">
            <w:pPr>
              <w:pStyle w:val="12"/>
            </w:pPr>
            <w:r>
              <w:t>100%</w:t>
            </w:r>
          </w:p>
        </w:tc>
        <w:tc>
          <w:tcPr>
            <w:tcW w:w="1276" w:type="dxa"/>
            <w:vAlign w:val="center"/>
          </w:tcPr>
          <w:p w14:paraId="59CE40E3">
            <w:pPr>
              <w:pStyle w:val="12"/>
            </w:pPr>
            <w:r>
              <w:t>城乡义务教育公用经费管理办法</w:t>
            </w:r>
          </w:p>
        </w:tc>
      </w:tr>
      <w:tr w14:paraId="5918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B7C39"/>
        </w:tc>
        <w:tc>
          <w:tcPr>
            <w:tcW w:w="2268" w:type="dxa"/>
            <w:vAlign w:val="center"/>
          </w:tcPr>
          <w:p w14:paraId="7AC8B01B">
            <w:pPr>
              <w:pStyle w:val="12"/>
            </w:pPr>
            <w:r>
              <w:t>时效指标</w:t>
            </w:r>
          </w:p>
        </w:tc>
        <w:tc>
          <w:tcPr>
            <w:tcW w:w="2835" w:type="dxa"/>
            <w:vAlign w:val="center"/>
          </w:tcPr>
          <w:p w14:paraId="28904298">
            <w:pPr>
              <w:pStyle w:val="12"/>
            </w:pPr>
            <w:r>
              <w:t>资金支付率</w:t>
            </w:r>
          </w:p>
        </w:tc>
        <w:tc>
          <w:tcPr>
            <w:tcW w:w="5386" w:type="dxa"/>
            <w:vAlign w:val="center"/>
          </w:tcPr>
          <w:p w14:paraId="35A7791F">
            <w:pPr>
              <w:pStyle w:val="12"/>
            </w:pPr>
            <w:r>
              <w:t>按照序时进度完成资金支付</w:t>
            </w:r>
          </w:p>
        </w:tc>
        <w:tc>
          <w:tcPr>
            <w:tcW w:w="2268" w:type="dxa"/>
            <w:vAlign w:val="center"/>
          </w:tcPr>
          <w:p w14:paraId="3B8A7E99">
            <w:pPr>
              <w:pStyle w:val="12"/>
            </w:pPr>
            <w:r>
              <w:t>100%</w:t>
            </w:r>
          </w:p>
        </w:tc>
        <w:tc>
          <w:tcPr>
            <w:tcW w:w="1276" w:type="dxa"/>
            <w:vAlign w:val="center"/>
          </w:tcPr>
          <w:p w14:paraId="0D1B0052">
            <w:pPr>
              <w:pStyle w:val="12"/>
            </w:pPr>
            <w:r>
              <w:t>城乡义务教育公用经费管理办法</w:t>
            </w:r>
          </w:p>
        </w:tc>
      </w:tr>
      <w:tr w14:paraId="037F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2B2A2"/>
        </w:tc>
        <w:tc>
          <w:tcPr>
            <w:tcW w:w="2268" w:type="dxa"/>
            <w:vAlign w:val="center"/>
          </w:tcPr>
          <w:p w14:paraId="73C0D293">
            <w:pPr>
              <w:pStyle w:val="12"/>
            </w:pPr>
            <w:r>
              <w:t>成本指标</w:t>
            </w:r>
          </w:p>
        </w:tc>
        <w:tc>
          <w:tcPr>
            <w:tcW w:w="2835" w:type="dxa"/>
            <w:vAlign w:val="center"/>
          </w:tcPr>
          <w:p w14:paraId="351BEA5C">
            <w:pPr>
              <w:pStyle w:val="12"/>
            </w:pPr>
            <w:r>
              <w:t>拨款金额</w:t>
            </w:r>
          </w:p>
        </w:tc>
        <w:tc>
          <w:tcPr>
            <w:tcW w:w="5386" w:type="dxa"/>
            <w:vAlign w:val="center"/>
          </w:tcPr>
          <w:p w14:paraId="62455748">
            <w:pPr>
              <w:pStyle w:val="12"/>
            </w:pPr>
            <w:r>
              <w:t>小学：（基本标准720元、取暖费120元）/生/学年；随班就读学生：标准7000元/生/学年。</w:t>
            </w:r>
          </w:p>
        </w:tc>
        <w:tc>
          <w:tcPr>
            <w:tcW w:w="2268" w:type="dxa"/>
            <w:vAlign w:val="center"/>
          </w:tcPr>
          <w:p w14:paraId="0168C4B0">
            <w:pPr>
              <w:pStyle w:val="12"/>
            </w:pPr>
            <w:r>
              <w:t>1823400元</w:t>
            </w:r>
          </w:p>
        </w:tc>
        <w:tc>
          <w:tcPr>
            <w:tcW w:w="1276" w:type="dxa"/>
            <w:vAlign w:val="center"/>
          </w:tcPr>
          <w:p w14:paraId="1DE54272">
            <w:pPr>
              <w:pStyle w:val="12"/>
            </w:pPr>
            <w:r>
              <w:t>城乡义务教育公用经费管理办法</w:t>
            </w:r>
          </w:p>
        </w:tc>
      </w:tr>
      <w:tr w14:paraId="545F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2A96F">
            <w:pPr>
              <w:pStyle w:val="13"/>
            </w:pPr>
            <w:r>
              <w:t>效益指标</w:t>
            </w:r>
          </w:p>
        </w:tc>
        <w:tc>
          <w:tcPr>
            <w:tcW w:w="2268" w:type="dxa"/>
            <w:vAlign w:val="center"/>
          </w:tcPr>
          <w:p w14:paraId="37D43BFF">
            <w:pPr>
              <w:pStyle w:val="12"/>
            </w:pPr>
            <w:r>
              <w:t>经济效益指标</w:t>
            </w:r>
          </w:p>
        </w:tc>
        <w:tc>
          <w:tcPr>
            <w:tcW w:w="2835" w:type="dxa"/>
            <w:vAlign w:val="center"/>
          </w:tcPr>
          <w:p w14:paraId="4F10C2FF">
            <w:pPr>
              <w:pStyle w:val="12"/>
            </w:pPr>
            <w:r>
              <w:t>项目实施成果</w:t>
            </w:r>
          </w:p>
        </w:tc>
        <w:tc>
          <w:tcPr>
            <w:tcW w:w="5386" w:type="dxa"/>
            <w:vAlign w:val="center"/>
          </w:tcPr>
          <w:p w14:paraId="5999BD52">
            <w:pPr>
              <w:pStyle w:val="12"/>
            </w:pPr>
            <w:r>
              <w:t>减轻受教育学生家庭经济负担</w:t>
            </w:r>
          </w:p>
        </w:tc>
        <w:tc>
          <w:tcPr>
            <w:tcW w:w="2268" w:type="dxa"/>
            <w:vAlign w:val="center"/>
          </w:tcPr>
          <w:p w14:paraId="5D6032A5">
            <w:pPr>
              <w:pStyle w:val="12"/>
            </w:pPr>
            <w:r>
              <w:t>100%</w:t>
            </w:r>
          </w:p>
        </w:tc>
        <w:tc>
          <w:tcPr>
            <w:tcW w:w="1276" w:type="dxa"/>
            <w:vAlign w:val="center"/>
          </w:tcPr>
          <w:p w14:paraId="53AAD2BE">
            <w:pPr>
              <w:pStyle w:val="12"/>
            </w:pPr>
            <w:r>
              <w:t>城乡义务教育公用经费管理办法</w:t>
            </w:r>
          </w:p>
        </w:tc>
      </w:tr>
      <w:tr w14:paraId="4CCC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454A0"/>
        </w:tc>
        <w:tc>
          <w:tcPr>
            <w:tcW w:w="2268" w:type="dxa"/>
            <w:vAlign w:val="center"/>
          </w:tcPr>
          <w:p w14:paraId="644D1BBF">
            <w:pPr>
              <w:pStyle w:val="12"/>
            </w:pPr>
            <w:r>
              <w:t>社会效益指标</w:t>
            </w:r>
          </w:p>
        </w:tc>
        <w:tc>
          <w:tcPr>
            <w:tcW w:w="2835" w:type="dxa"/>
            <w:vAlign w:val="center"/>
          </w:tcPr>
          <w:p w14:paraId="795198DC">
            <w:pPr>
              <w:pStyle w:val="12"/>
            </w:pPr>
            <w:r>
              <w:t>学校办学能力提升</w:t>
            </w:r>
          </w:p>
        </w:tc>
        <w:tc>
          <w:tcPr>
            <w:tcW w:w="5386" w:type="dxa"/>
            <w:vAlign w:val="center"/>
          </w:tcPr>
          <w:p w14:paraId="1E7DC1D6">
            <w:pPr>
              <w:pStyle w:val="12"/>
            </w:pPr>
            <w:r>
              <w:t>学校办学能</w:t>
            </w:r>
            <w:r>
              <w:rPr>
                <w:rFonts w:hint="eastAsia"/>
                <w:lang w:eastAsia="zh-CN"/>
              </w:rPr>
              <w:t>力提</w:t>
            </w:r>
            <w:r>
              <w:t>升情况及教育教学工作等开展的情况</w:t>
            </w:r>
          </w:p>
        </w:tc>
        <w:tc>
          <w:tcPr>
            <w:tcW w:w="2268" w:type="dxa"/>
            <w:vAlign w:val="center"/>
          </w:tcPr>
          <w:p w14:paraId="003CC485">
            <w:pPr>
              <w:pStyle w:val="12"/>
            </w:pPr>
            <w:r>
              <w:t>100%</w:t>
            </w:r>
          </w:p>
        </w:tc>
        <w:tc>
          <w:tcPr>
            <w:tcW w:w="1276" w:type="dxa"/>
            <w:vAlign w:val="center"/>
          </w:tcPr>
          <w:p w14:paraId="20B41B51">
            <w:pPr>
              <w:pStyle w:val="12"/>
            </w:pPr>
            <w:r>
              <w:t>城乡义务教育公用经费管理办法</w:t>
            </w:r>
          </w:p>
        </w:tc>
      </w:tr>
      <w:tr w14:paraId="6ECA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48008"/>
        </w:tc>
        <w:tc>
          <w:tcPr>
            <w:tcW w:w="2268" w:type="dxa"/>
            <w:vAlign w:val="center"/>
          </w:tcPr>
          <w:p w14:paraId="1321187E">
            <w:pPr>
              <w:pStyle w:val="12"/>
            </w:pPr>
            <w:r>
              <w:t>可持续影响指标</w:t>
            </w:r>
          </w:p>
        </w:tc>
        <w:tc>
          <w:tcPr>
            <w:tcW w:w="2835" w:type="dxa"/>
            <w:vAlign w:val="center"/>
          </w:tcPr>
          <w:p w14:paraId="571C4A91">
            <w:pPr>
              <w:pStyle w:val="12"/>
            </w:pPr>
            <w:r>
              <w:t>教育发展水平</w:t>
            </w:r>
          </w:p>
        </w:tc>
        <w:tc>
          <w:tcPr>
            <w:tcW w:w="5386" w:type="dxa"/>
            <w:vAlign w:val="center"/>
          </w:tcPr>
          <w:p w14:paraId="1EF25FB9">
            <w:pPr>
              <w:pStyle w:val="12"/>
            </w:pPr>
            <w:r>
              <w:t>教育环境明显好转</w:t>
            </w:r>
          </w:p>
        </w:tc>
        <w:tc>
          <w:tcPr>
            <w:tcW w:w="2268" w:type="dxa"/>
            <w:vAlign w:val="center"/>
          </w:tcPr>
          <w:p w14:paraId="5488F2D0">
            <w:pPr>
              <w:pStyle w:val="12"/>
            </w:pPr>
            <w:r>
              <w:t>100%</w:t>
            </w:r>
          </w:p>
        </w:tc>
        <w:tc>
          <w:tcPr>
            <w:tcW w:w="1276" w:type="dxa"/>
            <w:vAlign w:val="center"/>
          </w:tcPr>
          <w:p w14:paraId="78169417">
            <w:pPr>
              <w:pStyle w:val="12"/>
            </w:pPr>
            <w:r>
              <w:t>城乡义务教育公用经费管理办法</w:t>
            </w:r>
          </w:p>
        </w:tc>
      </w:tr>
      <w:tr w14:paraId="2522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C9A56">
            <w:pPr>
              <w:pStyle w:val="13"/>
            </w:pPr>
            <w:r>
              <w:t>满意度指标</w:t>
            </w:r>
          </w:p>
        </w:tc>
        <w:tc>
          <w:tcPr>
            <w:tcW w:w="2268" w:type="dxa"/>
            <w:vAlign w:val="center"/>
          </w:tcPr>
          <w:p w14:paraId="34BB35A8">
            <w:pPr>
              <w:pStyle w:val="12"/>
            </w:pPr>
            <w:r>
              <w:t>服务对象满意度指标</w:t>
            </w:r>
          </w:p>
        </w:tc>
        <w:tc>
          <w:tcPr>
            <w:tcW w:w="2835" w:type="dxa"/>
            <w:vAlign w:val="center"/>
          </w:tcPr>
          <w:p w14:paraId="32603CB8">
            <w:pPr>
              <w:pStyle w:val="12"/>
            </w:pPr>
            <w:r>
              <w:t>受益学生家长及调查满意度</w:t>
            </w:r>
          </w:p>
        </w:tc>
        <w:tc>
          <w:tcPr>
            <w:tcW w:w="5386" w:type="dxa"/>
            <w:vAlign w:val="center"/>
          </w:tcPr>
          <w:p w14:paraId="58136817">
            <w:pPr>
              <w:pStyle w:val="12"/>
            </w:pPr>
            <w:r>
              <w:t>学生、教师及家长对学校保教保育工作满意度情况</w:t>
            </w:r>
          </w:p>
        </w:tc>
        <w:tc>
          <w:tcPr>
            <w:tcW w:w="2268" w:type="dxa"/>
            <w:vAlign w:val="center"/>
          </w:tcPr>
          <w:p w14:paraId="7BC0771D">
            <w:pPr>
              <w:pStyle w:val="12"/>
            </w:pPr>
            <w:r>
              <w:t>≥95%</w:t>
            </w:r>
          </w:p>
        </w:tc>
        <w:tc>
          <w:tcPr>
            <w:tcW w:w="1276" w:type="dxa"/>
            <w:vAlign w:val="center"/>
          </w:tcPr>
          <w:p w14:paraId="1AB8117E">
            <w:pPr>
              <w:pStyle w:val="12"/>
            </w:pPr>
            <w:r>
              <w:t>调查问卷</w:t>
            </w:r>
          </w:p>
        </w:tc>
      </w:tr>
    </w:tbl>
    <w:p w14:paraId="72D11DCA">
      <w:pPr>
        <w:sectPr>
          <w:pgSz w:w="16840" w:h="11900" w:orient="landscape"/>
          <w:pgMar w:top="1361" w:right="1020" w:bottom="1134" w:left="1020" w:header="720" w:footer="720" w:gutter="0"/>
          <w:cols w:space="720" w:num="1"/>
        </w:sectPr>
      </w:pPr>
    </w:p>
    <w:p w14:paraId="3465E61A">
      <w:pPr>
        <w:spacing w:before="0" w:after="0"/>
        <w:ind w:firstLine="560"/>
        <w:jc w:val="left"/>
        <w:outlineLvl w:val="9"/>
      </w:pPr>
      <w:r>
        <w:rPr>
          <w:rFonts w:ascii="方正仿宋_GBK" w:hAnsi="方正仿宋_GBK" w:eastAsia="方正仿宋_GBK" w:cs="方正仿宋_GBK"/>
          <w:b/>
          <w:color w:val="000000"/>
          <w:sz w:val="28"/>
        </w:rPr>
        <w:t>2、冀财教[2025]145号/省级/2026年薄弱学校改造/实验小学北校区学生厕所建设绩效目标表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52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AE4DC">
            <w:pPr>
              <w:pStyle w:val="11"/>
            </w:pPr>
            <w:r>
              <w:t>单位：万元</w:t>
            </w:r>
          </w:p>
        </w:tc>
      </w:tr>
      <w:tr w14:paraId="48FB2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85D2E">
            <w:pPr>
              <w:pStyle w:val="10"/>
            </w:pPr>
            <w:r>
              <w:t>项目编码</w:t>
            </w:r>
          </w:p>
        </w:tc>
        <w:tc>
          <w:tcPr>
            <w:tcW w:w="5103" w:type="dxa"/>
            <w:gridSpan w:val="2"/>
            <w:vAlign w:val="center"/>
          </w:tcPr>
          <w:p w14:paraId="05514C9D">
            <w:pPr>
              <w:pStyle w:val="12"/>
            </w:pPr>
            <w:r>
              <w:t>13052526P00877010023P</w:t>
            </w:r>
          </w:p>
        </w:tc>
        <w:tc>
          <w:tcPr>
            <w:tcW w:w="2835" w:type="dxa"/>
            <w:vAlign w:val="center"/>
          </w:tcPr>
          <w:p w14:paraId="6A0FB138">
            <w:pPr>
              <w:pStyle w:val="10"/>
            </w:pPr>
            <w:r>
              <w:t>项目名称</w:t>
            </w:r>
          </w:p>
        </w:tc>
        <w:tc>
          <w:tcPr>
            <w:tcW w:w="6095" w:type="dxa"/>
            <w:gridSpan w:val="3"/>
            <w:vAlign w:val="center"/>
          </w:tcPr>
          <w:p w14:paraId="7EA8224F">
            <w:pPr>
              <w:pStyle w:val="12"/>
            </w:pPr>
            <w:r>
              <w:t>冀财教[2025]145号/省级/2026年薄弱学校改造/实验小学北校区学生厕所建设</w:t>
            </w:r>
          </w:p>
        </w:tc>
      </w:tr>
      <w:tr w14:paraId="2C69D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46E36">
            <w:pPr>
              <w:pStyle w:val="10"/>
            </w:pPr>
            <w:r>
              <w:t>预算规模及资金用途</w:t>
            </w:r>
          </w:p>
        </w:tc>
        <w:tc>
          <w:tcPr>
            <w:tcW w:w="2268" w:type="dxa"/>
            <w:vAlign w:val="center"/>
          </w:tcPr>
          <w:p w14:paraId="610D0028">
            <w:pPr>
              <w:pStyle w:val="10"/>
            </w:pPr>
            <w:r>
              <w:t>预算数</w:t>
            </w:r>
          </w:p>
        </w:tc>
        <w:tc>
          <w:tcPr>
            <w:tcW w:w="2835" w:type="dxa"/>
            <w:vAlign w:val="center"/>
          </w:tcPr>
          <w:p w14:paraId="02E4984B">
            <w:pPr>
              <w:pStyle w:val="12"/>
            </w:pPr>
            <w:r>
              <w:t>30.00</w:t>
            </w:r>
          </w:p>
        </w:tc>
        <w:tc>
          <w:tcPr>
            <w:tcW w:w="2835" w:type="dxa"/>
            <w:vAlign w:val="center"/>
          </w:tcPr>
          <w:p w14:paraId="02363F70">
            <w:pPr>
              <w:pStyle w:val="10"/>
            </w:pPr>
            <w:r>
              <w:t>其中：财政    资金</w:t>
            </w:r>
          </w:p>
        </w:tc>
        <w:tc>
          <w:tcPr>
            <w:tcW w:w="2551" w:type="dxa"/>
            <w:vAlign w:val="center"/>
          </w:tcPr>
          <w:p w14:paraId="73DA52C1">
            <w:pPr>
              <w:pStyle w:val="12"/>
            </w:pPr>
            <w:r>
              <w:t>30.00</w:t>
            </w:r>
          </w:p>
        </w:tc>
        <w:tc>
          <w:tcPr>
            <w:tcW w:w="2268" w:type="dxa"/>
            <w:vAlign w:val="center"/>
          </w:tcPr>
          <w:p w14:paraId="0667A360">
            <w:pPr>
              <w:pStyle w:val="10"/>
            </w:pPr>
            <w:r>
              <w:t>其他资金</w:t>
            </w:r>
          </w:p>
        </w:tc>
        <w:tc>
          <w:tcPr>
            <w:tcW w:w="1276" w:type="dxa"/>
            <w:vAlign w:val="center"/>
          </w:tcPr>
          <w:p w14:paraId="3AE5FAC6">
            <w:pPr>
              <w:pStyle w:val="12"/>
            </w:pPr>
            <w:r>
              <w:t xml:space="preserve"> </w:t>
            </w:r>
          </w:p>
        </w:tc>
      </w:tr>
      <w:tr w14:paraId="7F910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9E9FB"/>
        </w:tc>
        <w:tc>
          <w:tcPr>
            <w:tcW w:w="14033" w:type="dxa"/>
            <w:gridSpan w:val="6"/>
            <w:vAlign w:val="center"/>
          </w:tcPr>
          <w:p w14:paraId="187B8462">
            <w:pPr>
              <w:pStyle w:val="12"/>
            </w:pPr>
            <w:r>
              <w:t>有效提高教学环境，提升教学质量</w:t>
            </w:r>
          </w:p>
        </w:tc>
      </w:tr>
      <w:tr w14:paraId="561D8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85644">
            <w:pPr>
              <w:pStyle w:val="10"/>
            </w:pPr>
            <w:r>
              <w:t>资金支出计划（%）</w:t>
            </w:r>
          </w:p>
        </w:tc>
        <w:tc>
          <w:tcPr>
            <w:tcW w:w="5103" w:type="dxa"/>
            <w:gridSpan w:val="2"/>
            <w:vAlign w:val="center"/>
          </w:tcPr>
          <w:p w14:paraId="4B9F2317">
            <w:pPr>
              <w:pStyle w:val="10"/>
            </w:pPr>
            <w:r>
              <w:t>3月底</w:t>
            </w:r>
          </w:p>
        </w:tc>
        <w:tc>
          <w:tcPr>
            <w:tcW w:w="2835" w:type="dxa"/>
            <w:vAlign w:val="center"/>
          </w:tcPr>
          <w:p w14:paraId="5ABB24BD">
            <w:pPr>
              <w:pStyle w:val="10"/>
            </w:pPr>
            <w:r>
              <w:t>6月底</w:t>
            </w:r>
          </w:p>
        </w:tc>
        <w:tc>
          <w:tcPr>
            <w:tcW w:w="2551" w:type="dxa"/>
            <w:vAlign w:val="center"/>
          </w:tcPr>
          <w:p w14:paraId="137DD4BB">
            <w:pPr>
              <w:pStyle w:val="10"/>
            </w:pPr>
            <w:r>
              <w:t>10月底</w:t>
            </w:r>
          </w:p>
        </w:tc>
        <w:tc>
          <w:tcPr>
            <w:tcW w:w="3544" w:type="dxa"/>
            <w:gridSpan w:val="2"/>
            <w:vAlign w:val="center"/>
          </w:tcPr>
          <w:p w14:paraId="0F57D19A">
            <w:pPr>
              <w:pStyle w:val="10"/>
            </w:pPr>
            <w:r>
              <w:t>12月底</w:t>
            </w:r>
          </w:p>
        </w:tc>
      </w:tr>
      <w:tr w14:paraId="737C0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2D7FD"/>
        </w:tc>
        <w:tc>
          <w:tcPr>
            <w:tcW w:w="5103" w:type="dxa"/>
            <w:gridSpan w:val="2"/>
            <w:vAlign w:val="center"/>
          </w:tcPr>
          <w:p w14:paraId="281C13A9">
            <w:pPr>
              <w:pStyle w:val="13"/>
            </w:pPr>
            <w:r>
              <w:t>50%</w:t>
            </w:r>
          </w:p>
        </w:tc>
        <w:tc>
          <w:tcPr>
            <w:tcW w:w="2835" w:type="dxa"/>
            <w:vAlign w:val="center"/>
          </w:tcPr>
          <w:p w14:paraId="68472C3C">
            <w:pPr>
              <w:pStyle w:val="13"/>
            </w:pPr>
            <w:r>
              <w:t>100%</w:t>
            </w:r>
          </w:p>
        </w:tc>
        <w:tc>
          <w:tcPr>
            <w:tcW w:w="2551" w:type="dxa"/>
            <w:vAlign w:val="center"/>
          </w:tcPr>
          <w:p w14:paraId="165C34C0">
            <w:pPr>
              <w:pStyle w:val="13"/>
            </w:pPr>
            <w:r>
              <w:t xml:space="preserve"> </w:t>
            </w:r>
          </w:p>
        </w:tc>
        <w:tc>
          <w:tcPr>
            <w:tcW w:w="3544" w:type="dxa"/>
            <w:gridSpan w:val="2"/>
            <w:vAlign w:val="center"/>
          </w:tcPr>
          <w:p w14:paraId="37DDC907">
            <w:pPr>
              <w:pStyle w:val="13"/>
            </w:pPr>
            <w:r>
              <w:t xml:space="preserve"> </w:t>
            </w:r>
          </w:p>
        </w:tc>
      </w:tr>
      <w:tr w14:paraId="6904F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05376">
            <w:pPr>
              <w:pStyle w:val="10"/>
            </w:pPr>
            <w:r>
              <w:t>绩效目标</w:t>
            </w:r>
          </w:p>
        </w:tc>
        <w:tc>
          <w:tcPr>
            <w:tcW w:w="14033" w:type="dxa"/>
            <w:gridSpan w:val="6"/>
            <w:vAlign w:val="center"/>
          </w:tcPr>
          <w:p w14:paraId="3A045C8F">
            <w:pPr>
              <w:pStyle w:val="12"/>
            </w:pPr>
            <w:r>
              <w:t>1.有效提高教学环境，提升教学质量，多功能楼建设资金300000元。</w:t>
            </w:r>
          </w:p>
        </w:tc>
      </w:tr>
    </w:tbl>
    <w:p w14:paraId="528BA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F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992C3">
            <w:pPr>
              <w:pStyle w:val="10"/>
            </w:pPr>
            <w:r>
              <w:t>一级指标</w:t>
            </w:r>
          </w:p>
        </w:tc>
        <w:tc>
          <w:tcPr>
            <w:tcW w:w="2268" w:type="dxa"/>
            <w:vAlign w:val="center"/>
          </w:tcPr>
          <w:p w14:paraId="58DE7D2B">
            <w:pPr>
              <w:pStyle w:val="10"/>
            </w:pPr>
            <w:r>
              <w:t>二级指标</w:t>
            </w:r>
          </w:p>
        </w:tc>
        <w:tc>
          <w:tcPr>
            <w:tcW w:w="2835" w:type="dxa"/>
            <w:vAlign w:val="center"/>
          </w:tcPr>
          <w:p w14:paraId="49B9C603">
            <w:pPr>
              <w:pStyle w:val="10"/>
            </w:pPr>
            <w:r>
              <w:t>三级指标</w:t>
            </w:r>
          </w:p>
        </w:tc>
        <w:tc>
          <w:tcPr>
            <w:tcW w:w="5386" w:type="dxa"/>
            <w:vAlign w:val="center"/>
          </w:tcPr>
          <w:p w14:paraId="7ACF4E61">
            <w:pPr>
              <w:pStyle w:val="10"/>
            </w:pPr>
            <w:r>
              <w:t>绩效指标描述</w:t>
            </w:r>
          </w:p>
        </w:tc>
        <w:tc>
          <w:tcPr>
            <w:tcW w:w="2268" w:type="dxa"/>
            <w:vAlign w:val="center"/>
          </w:tcPr>
          <w:p w14:paraId="65E2A6F3">
            <w:pPr>
              <w:pStyle w:val="10"/>
            </w:pPr>
            <w:r>
              <w:t>指标值</w:t>
            </w:r>
          </w:p>
        </w:tc>
        <w:tc>
          <w:tcPr>
            <w:tcW w:w="1276" w:type="dxa"/>
            <w:vAlign w:val="center"/>
          </w:tcPr>
          <w:p w14:paraId="18E14B45">
            <w:pPr>
              <w:pStyle w:val="10"/>
            </w:pPr>
            <w:r>
              <w:t>指标值确定依据</w:t>
            </w:r>
          </w:p>
        </w:tc>
      </w:tr>
      <w:tr w14:paraId="5E3E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51D39">
            <w:pPr>
              <w:pStyle w:val="13"/>
            </w:pPr>
            <w:r>
              <w:t>产出指标</w:t>
            </w:r>
          </w:p>
        </w:tc>
        <w:tc>
          <w:tcPr>
            <w:tcW w:w="2268" w:type="dxa"/>
            <w:vAlign w:val="center"/>
          </w:tcPr>
          <w:p w14:paraId="4BAA8684">
            <w:pPr>
              <w:pStyle w:val="12"/>
            </w:pPr>
            <w:r>
              <w:t>数量指标</w:t>
            </w:r>
          </w:p>
        </w:tc>
        <w:tc>
          <w:tcPr>
            <w:tcW w:w="2835" w:type="dxa"/>
            <w:vAlign w:val="center"/>
          </w:tcPr>
          <w:p w14:paraId="6D754398">
            <w:pPr>
              <w:pStyle w:val="12"/>
            </w:pPr>
            <w:r>
              <w:t>学生厕所建设项目</w:t>
            </w:r>
          </w:p>
        </w:tc>
        <w:tc>
          <w:tcPr>
            <w:tcW w:w="5386" w:type="dxa"/>
            <w:vAlign w:val="center"/>
          </w:tcPr>
          <w:p w14:paraId="13F2444F">
            <w:pPr>
              <w:pStyle w:val="12"/>
            </w:pPr>
            <w:r>
              <w:t>实验小学北校区学生厕所项目建筑面积</w:t>
            </w:r>
          </w:p>
        </w:tc>
        <w:tc>
          <w:tcPr>
            <w:tcW w:w="2268" w:type="dxa"/>
            <w:vAlign w:val="center"/>
          </w:tcPr>
          <w:p w14:paraId="6508BFF3">
            <w:pPr>
              <w:pStyle w:val="12"/>
            </w:pPr>
            <w:r>
              <w:t>135平方米</w:t>
            </w:r>
          </w:p>
        </w:tc>
        <w:tc>
          <w:tcPr>
            <w:tcW w:w="1276" w:type="dxa"/>
            <w:vAlign w:val="center"/>
          </w:tcPr>
          <w:p w14:paraId="6F66C160">
            <w:pPr>
              <w:pStyle w:val="12"/>
            </w:pPr>
            <w:r>
              <w:t>项目规划</w:t>
            </w:r>
          </w:p>
        </w:tc>
      </w:tr>
      <w:tr w14:paraId="2C64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53217"/>
        </w:tc>
        <w:tc>
          <w:tcPr>
            <w:tcW w:w="2268" w:type="dxa"/>
            <w:vAlign w:val="center"/>
          </w:tcPr>
          <w:p w14:paraId="27F304CF">
            <w:pPr>
              <w:pStyle w:val="12"/>
            </w:pPr>
            <w:r>
              <w:t>质量指标</w:t>
            </w:r>
          </w:p>
        </w:tc>
        <w:tc>
          <w:tcPr>
            <w:tcW w:w="2835" w:type="dxa"/>
            <w:vAlign w:val="center"/>
          </w:tcPr>
          <w:p w14:paraId="3CC42C6B">
            <w:pPr>
              <w:pStyle w:val="12"/>
            </w:pPr>
            <w:r>
              <w:t>工程实施验收合格率</w:t>
            </w:r>
          </w:p>
        </w:tc>
        <w:tc>
          <w:tcPr>
            <w:tcW w:w="5386" w:type="dxa"/>
            <w:vAlign w:val="center"/>
          </w:tcPr>
          <w:p w14:paraId="7545490B">
            <w:pPr>
              <w:pStyle w:val="12"/>
            </w:pPr>
            <w:r>
              <w:t>申报程序的合规，项目实施及资金使用符合项目规划</w:t>
            </w:r>
          </w:p>
        </w:tc>
        <w:tc>
          <w:tcPr>
            <w:tcW w:w="2268" w:type="dxa"/>
            <w:vAlign w:val="center"/>
          </w:tcPr>
          <w:p w14:paraId="1863B51B">
            <w:pPr>
              <w:pStyle w:val="12"/>
            </w:pPr>
            <w:r>
              <w:t>100%</w:t>
            </w:r>
          </w:p>
        </w:tc>
        <w:tc>
          <w:tcPr>
            <w:tcW w:w="1276" w:type="dxa"/>
            <w:vAlign w:val="center"/>
          </w:tcPr>
          <w:p w14:paraId="4B910167">
            <w:pPr>
              <w:pStyle w:val="12"/>
            </w:pPr>
            <w:r>
              <w:t>项目规划</w:t>
            </w:r>
          </w:p>
        </w:tc>
      </w:tr>
      <w:tr w14:paraId="4DD3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5D676"/>
        </w:tc>
        <w:tc>
          <w:tcPr>
            <w:tcW w:w="2268" w:type="dxa"/>
            <w:vAlign w:val="center"/>
          </w:tcPr>
          <w:p w14:paraId="3311ACA1">
            <w:pPr>
              <w:pStyle w:val="12"/>
            </w:pPr>
            <w:r>
              <w:t>时效指标</w:t>
            </w:r>
          </w:p>
        </w:tc>
        <w:tc>
          <w:tcPr>
            <w:tcW w:w="2835" w:type="dxa"/>
            <w:vAlign w:val="center"/>
          </w:tcPr>
          <w:p w14:paraId="2F6D3F73">
            <w:pPr>
              <w:pStyle w:val="12"/>
            </w:pPr>
            <w:r>
              <w:t>资金支付率</w:t>
            </w:r>
          </w:p>
        </w:tc>
        <w:tc>
          <w:tcPr>
            <w:tcW w:w="5386" w:type="dxa"/>
            <w:vAlign w:val="center"/>
          </w:tcPr>
          <w:p w14:paraId="4814A42B">
            <w:pPr>
              <w:pStyle w:val="12"/>
            </w:pPr>
            <w:r>
              <w:t>按照序时进度完成资金支付</w:t>
            </w:r>
          </w:p>
        </w:tc>
        <w:tc>
          <w:tcPr>
            <w:tcW w:w="2268" w:type="dxa"/>
            <w:vAlign w:val="center"/>
          </w:tcPr>
          <w:p w14:paraId="25C18EE2">
            <w:pPr>
              <w:pStyle w:val="12"/>
            </w:pPr>
            <w:r>
              <w:t>100%</w:t>
            </w:r>
          </w:p>
        </w:tc>
        <w:tc>
          <w:tcPr>
            <w:tcW w:w="1276" w:type="dxa"/>
            <w:vAlign w:val="center"/>
          </w:tcPr>
          <w:p w14:paraId="1C724ED5">
            <w:pPr>
              <w:pStyle w:val="12"/>
            </w:pPr>
            <w:r>
              <w:t>项目规划</w:t>
            </w:r>
          </w:p>
        </w:tc>
      </w:tr>
      <w:tr w14:paraId="5CD9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FA6E5"/>
        </w:tc>
        <w:tc>
          <w:tcPr>
            <w:tcW w:w="2268" w:type="dxa"/>
            <w:vAlign w:val="center"/>
          </w:tcPr>
          <w:p w14:paraId="5F802C49">
            <w:pPr>
              <w:pStyle w:val="12"/>
            </w:pPr>
            <w:r>
              <w:t>成本指标</w:t>
            </w:r>
          </w:p>
        </w:tc>
        <w:tc>
          <w:tcPr>
            <w:tcW w:w="2835" w:type="dxa"/>
            <w:vAlign w:val="center"/>
          </w:tcPr>
          <w:p w14:paraId="5621C7E9">
            <w:pPr>
              <w:pStyle w:val="12"/>
            </w:pPr>
            <w:r>
              <w:t>项目成本控制情况</w:t>
            </w:r>
          </w:p>
        </w:tc>
        <w:tc>
          <w:tcPr>
            <w:tcW w:w="5386" w:type="dxa"/>
            <w:vAlign w:val="center"/>
          </w:tcPr>
          <w:p w14:paraId="28CE0013">
            <w:pPr>
              <w:pStyle w:val="12"/>
            </w:pPr>
            <w:r>
              <w:t>严格按照招标价格及审计额进行</w:t>
            </w:r>
          </w:p>
        </w:tc>
        <w:tc>
          <w:tcPr>
            <w:tcW w:w="2268" w:type="dxa"/>
            <w:vAlign w:val="center"/>
          </w:tcPr>
          <w:p w14:paraId="4E9D440A">
            <w:pPr>
              <w:pStyle w:val="12"/>
            </w:pPr>
            <w:r>
              <w:t>300000元</w:t>
            </w:r>
          </w:p>
        </w:tc>
        <w:tc>
          <w:tcPr>
            <w:tcW w:w="1276" w:type="dxa"/>
            <w:vAlign w:val="center"/>
          </w:tcPr>
          <w:p w14:paraId="0BB11599">
            <w:pPr>
              <w:pStyle w:val="12"/>
            </w:pPr>
            <w:r>
              <w:t>项目规划</w:t>
            </w:r>
          </w:p>
        </w:tc>
      </w:tr>
      <w:tr w14:paraId="5E63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D11F4">
            <w:pPr>
              <w:pStyle w:val="13"/>
            </w:pPr>
            <w:r>
              <w:t>效益指标</w:t>
            </w:r>
          </w:p>
        </w:tc>
        <w:tc>
          <w:tcPr>
            <w:tcW w:w="2268" w:type="dxa"/>
            <w:vAlign w:val="center"/>
          </w:tcPr>
          <w:p w14:paraId="0954B0BB">
            <w:pPr>
              <w:pStyle w:val="12"/>
            </w:pPr>
            <w:r>
              <w:t>可持续影响指标</w:t>
            </w:r>
          </w:p>
        </w:tc>
        <w:tc>
          <w:tcPr>
            <w:tcW w:w="2835" w:type="dxa"/>
            <w:vAlign w:val="center"/>
          </w:tcPr>
          <w:p w14:paraId="03DE9CD3">
            <w:pPr>
              <w:pStyle w:val="12"/>
            </w:pPr>
            <w:r>
              <w:t>学校运转得到提高</w:t>
            </w:r>
          </w:p>
        </w:tc>
        <w:tc>
          <w:tcPr>
            <w:tcW w:w="5386" w:type="dxa"/>
            <w:vAlign w:val="center"/>
          </w:tcPr>
          <w:p w14:paraId="55871CE4">
            <w:pPr>
              <w:pStyle w:val="12"/>
            </w:pPr>
            <w:r>
              <w:t>学生受教育年限</w:t>
            </w:r>
          </w:p>
        </w:tc>
        <w:tc>
          <w:tcPr>
            <w:tcW w:w="2268" w:type="dxa"/>
            <w:vAlign w:val="center"/>
          </w:tcPr>
          <w:p w14:paraId="35923E05">
            <w:pPr>
              <w:pStyle w:val="12"/>
            </w:pPr>
            <w:r>
              <w:t>6年</w:t>
            </w:r>
          </w:p>
        </w:tc>
        <w:tc>
          <w:tcPr>
            <w:tcW w:w="1276" w:type="dxa"/>
            <w:vAlign w:val="center"/>
          </w:tcPr>
          <w:p w14:paraId="43930817">
            <w:pPr>
              <w:pStyle w:val="12"/>
            </w:pPr>
            <w:r>
              <w:t>项目规划</w:t>
            </w:r>
          </w:p>
        </w:tc>
      </w:tr>
      <w:tr w14:paraId="32E8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A28E4">
            <w:pPr>
              <w:pStyle w:val="13"/>
            </w:pPr>
            <w:r>
              <w:t>满意度指标</w:t>
            </w:r>
          </w:p>
        </w:tc>
        <w:tc>
          <w:tcPr>
            <w:tcW w:w="2268" w:type="dxa"/>
            <w:vAlign w:val="center"/>
          </w:tcPr>
          <w:p w14:paraId="2636DB3F">
            <w:pPr>
              <w:pStyle w:val="12"/>
            </w:pPr>
            <w:r>
              <w:t>服务对象满意度指标</w:t>
            </w:r>
          </w:p>
        </w:tc>
        <w:tc>
          <w:tcPr>
            <w:tcW w:w="2835" w:type="dxa"/>
            <w:vAlign w:val="center"/>
          </w:tcPr>
          <w:p w14:paraId="7A3B6CAC">
            <w:pPr>
              <w:pStyle w:val="12"/>
            </w:pPr>
            <w:r>
              <w:t>受益学生家长及调查满意度</w:t>
            </w:r>
          </w:p>
        </w:tc>
        <w:tc>
          <w:tcPr>
            <w:tcW w:w="5386" w:type="dxa"/>
            <w:vAlign w:val="center"/>
          </w:tcPr>
          <w:p w14:paraId="11CD50B9">
            <w:pPr>
              <w:pStyle w:val="12"/>
            </w:pPr>
            <w:r>
              <w:t>学生、教师及家长对学校教学环境满意度情况</w:t>
            </w:r>
          </w:p>
        </w:tc>
        <w:tc>
          <w:tcPr>
            <w:tcW w:w="2268" w:type="dxa"/>
            <w:vAlign w:val="center"/>
          </w:tcPr>
          <w:p w14:paraId="3489619C">
            <w:pPr>
              <w:pStyle w:val="12"/>
            </w:pPr>
            <w:r>
              <w:t>≥95%</w:t>
            </w:r>
          </w:p>
        </w:tc>
        <w:tc>
          <w:tcPr>
            <w:tcW w:w="1276" w:type="dxa"/>
            <w:vAlign w:val="center"/>
          </w:tcPr>
          <w:p w14:paraId="476472AD">
            <w:pPr>
              <w:pStyle w:val="12"/>
            </w:pPr>
            <w:r>
              <w:t>项目规划</w:t>
            </w:r>
          </w:p>
        </w:tc>
      </w:tr>
    </w:tbl>
    <w:p w14:paraId="16FED699">
      <w:pPr>
        <w:sectPr>
          <w:pgSz w:w="16840" w:h="11900" w:orient="landscape"/>
          <w:pgMar w:top="1361" w:right="1020" w:bottom="1134" w:left="1020" w:header="720" w:footer="720" w:gutter="0"/>
          <w:cols w:space="720" w:num="1"/>
        </w:sectPr>
      </w:pPr>
    </w:p>
    <w:p w14:paraId="4054729F">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CB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0B49B">
            <w:pPr>
              <w:pStyle w:val="11"/>
            </w:pPr>
            <w:r>
              <w:t>单位：万元</w:t>
            </w:r>
          </w:p>
        </w:tc>
      </w:tr>
      <w:tr w14:paraId="02EB0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F588F">
            <w:pPr>
              <w:pStyle w:val="10"/>
            </w:pPr>
            <w:r>
              <w:t>项目编码</w:t>
            </w:r>
          </w:p>
        </w:tc>
        <w:tc>
          <w:tcPr>
            <w:tcW w:w="5103" w:type="dxa"/>
            <w:gridSpan w:val="2"/>
            <w:vAlign w:val="center"/>
          </w:tcPr>
          <w:p w14:paraId="694F5F1B">
            <w:pPr>
              <w:pStyle w:val="12"/>
            </w:pPr>
            <w:r>
              <w:t>13052526P00000410338T</w:t>
            </w:r>
          </w:p>
        </w:tc>
        <w:tc>
          <w:tcPr>
            <w:tcW w:w="2835" w:type="dxa"/>
            <w:vAlign w:val="center"/>
          </w:tcPr>
          <w:p w14:paraId="75CFCF2F">
            <w:pPr>
              <w:pStyle w:val="10"/>
            </w:pPr>
            <w:r>
              <w:t>项目名称</w:t>
            </w:r>
          </w:p>
        </w:tc>
        <w:tc>
          <w:tcPr>
            <w:tcW w:w="6095" w:type="dxa"/>
            <w:gridSpan w:val="3"/>
            <w:vAlign w:val="center"/>
          </w:tcPr>
          <w:p w14:paraId="1B92F9D5">
            <w:pPr>
              <w:pStyle w:val="12"/>
            </w:pPr>
            <w:r>
              <w:t>冀财教[2025]147号/省级/2026年义教补助经费/实验小学公用经费</w:t>
            </w:r>
          </w:p>
        </w:tc>
      </w:tr>
      <w:tr w14:paraId="5118A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5D425">
            <w:pPr>
              <w:pStyle w:val="10"/>
            </w:pPr>
            <w:r>
              <w:t>预算规模及资金用途</w:t>
            </w:r>
          </w:p>
        </w:tc>
        <w:tc>
          <w:tcPr>
            <w:tcW w:w="2268" w:type="dxa"/>
            <w:vAlign w:val="center"/>
          </w:tcPr>
          <w:p w14:paraId="33C2D387">
            <w:pPr>
              <w:pStyle w:val="10"/>
            </w:pPr>
            <w:r>
              <w:t>预算数</w:t>
            </w:r>
          </w:p>
        </w:tc>
        <w:tc>
          <w:tcPr>
            <w:tcW w:w="2835" w:type="dxa"/>
            <w:vAlign w:val="center"/>
          </w:tcPr>
          <w:p w14:paraId="6962DEA5">
            <w:pPr>
              <w:pStyle w:val="12"/>
            </w:pPr>
            <w:r>
              <w:t>95.83</w:t>
            </w:r>
          </w:p>
        </w:tc>
        <w:tc>
          <w:tcPr>
            <w:tcW w:w="2835" w:type="dxa"/>
            <w:vAlign w:val="center"/>
          </w:tcPr>
          <w:p w14:paraId="2943B3F1">
            <w:pPr>
              <w:pStyle w:val="10"/>
            </w:pPr>
            <w:r>
              <w:t>其中：财政    资金</w:t>
            </w:r>
          </w:p>
        </w:tc>
        <w:tc>
          <w:tcPr>
            <w:tcW w:w="2551" w:type="dxa"/>
            <w:vAlign w:val="center"/>
          </w:tcPr>
          <w:p w14:paraId="7DC85C25">
            <w:pPr>
              <w:pStyle w:val="12"/>
            </w:pPr>
            <w:r>
              <w:t>95.83</w:t>
            </w:r>
          </w:p>
        </w:tc>
        <w:tc>
          <w:tcPr>
            <w:tcW w:w="2268" w:type="dxa"/>
            <w:vAlign w:val="center"/>
          </w:tcPr>
          <w:p w14:paraId="785BF021">
            <w:pPr>
              <w:pStyle w:val="10"/>
            </w:pPr>
            <w:r>
              <w:t>其他资金</w:t>
            </w:r>
          </w:p>
        </w:tc>
        <w:tc>
          <w:tcPr>
            <w:tcW w:w="1276" w:type="dxa"/>
            <w:vAlign w:val="center"/>
          </w:tcPr>
          <w:p w14:paraId="62716EAD">
            <w:pPr>
              <w:pStyle w:val="12"/>
            </w:pPr>
            <w:r>
              <w:t xml:space="preserve"> </w:t>
            </w:r>
          </w:p>
        </w:tc>
      </w:tr>
      <w:tr w14:paraId="0162B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9A3A0"/>
        </w:tc>
        <w:tc>
          <w:tcPr>
            <w:tcW w:w="14033" w:type="dxa"/>
            <w:gridSpan w:val="6"/>
            <w:vAlign w:val="center"/>
          </w:tcPr>
          <w:p w14:paraId="0A280CC5">
            <w:pPr>
              <w:pStyle w:val="12"/>
            </w:pPr>
            <w:r>
              <w:t>保障义务教育学校正常运转，完成教育教学活动和其他日常工作任务等方面的费用支出</w:t>
            </w:r>
          </w:p>
        </w:tc>
      </w:tr>
      <w:tr w14:paraId="5259F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45A71">
            <w:pPr>
              <w:pStyle w:val="10"/>
            </w:pPr>
            <w:r>
              <w:t>资金支出计划（%）</w:t>
            </w:r>
          </w:p>
        </w:tc>
        <w:tc>
          <w:tcPr>
            <w:tcW w:w="5103" w:type="dxa"/>
            <w:gridSpan w:val="2"/>
            <w:vAlign w:val="center"/>
          </w:tcPr>
          <w:p w14:paraId="64C6FE1C">
            <w:pPr>
              <w:pStyle w:val="10"/>
            </w:pPr>
            <w:r>
              <w:t>3月底</w:t>
            </w:r>
          </w:p>
        </w:tc>
        <w:tc>
          <w:tcPr>
            <w:tcW w:w="2835" w:type="dxa"/>
            <w:vAlign w:val="center"/>
          </w:tcPr>
          <w:p w14:paraId="6E5FF423">
            <w:pPr>
              <w:pStyle w:val="10"/>
            </w:pPr>
            <w:r>
              <w:t>6月底</w:t>
            </w:r>
          </w:p>
        </w:tc>
        <w:tc>
          <w:tcPr>
            <w:tcW w:w="2551" w:type="dxa"/>
            <w:vAlign w:val="center"/>
          </w:tcPr>
          <w:p w14:paraId="24B754CE">
            <w:pPr>
              <w:pStyle w:val="10"/>
            </w:pPr>
            <w:r>
              <w:t>10月底</w:t>
            </w:r>
          </w:p>
        </w:tc>
        <w:tc>
          <w:tcPr>
            <w:tcW w:w="3544" w:type="dxa"/>
            <w:gridSpan w:val="2"/>
            <w:vAlign w:val="center"/>
          </w:tcPr>
          <w:p w14:paraId="28A88FE1">
            <w:pPr>
              <w:pStyle w:val="10"/>
            </w:pPr>
            <w:r>
              <w:t>12月底</w:t>
            </w:r>
          </w:p>
        </w:tc>
      </w:tr>
      <w:tr w14:paraId="34890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E60BD"/>
        </w:tc>
        <w:tc>
          <w:tcPr>
            <w:tcW w:w="5103" w:type="dxa"/>
            <w:gridSpan w:val="2"/>
            <w:vAlign w:val="center"/>
          </w:tcPr>
          <w:p w14:paraId="1739057F">
            <w:pPr>
              <w:pStyle w:val="13"/>
            </w:pPr>
            <w:r>
              <w:t>25%</w:t>
            </w:r>
          </w:p>
        </w:tc>
        <w:tc>
          <w:tcPr>
            <w:tcW w:w="2835" w:type="dxa"/>
            <w:vAlign w:val="center"/>
          </w:tcPr>
          <w:p w14:paraId="044973EE">
            <w:pPr>
              <w:pStyle w:val="13"/>
            </w:pPr>
            <w:r>
              <w:t>50%</w:t>
            </w:r>
          </w:p>
        </w:tc>
        <w:tc>
          <w:tcPr>
            <w:tcW w:w="2551" w:type="dxa"/>
            <w:vAlign w:val="center"/>
          </w:tcPr>
          <w:p w14:paraId="77A6A15B">
            <w:pPr>
              <w:pStyle w:val="13"/>
            </w:pPr>
            <w:r>
              <w:t>75%</w:t>
            </w:r>
          </w:p>
        </w:tc>
        <w:tc>
          <w:tcPr>
            <w:tcW w:w="3544" w:type="dxa"/>
            <w:gridSpan w:val="2"/>
            <w:vAlign w:val="center"/>
          </w:tcPr>
          <w:p w14:paraId="483E2F75">
            <w:pPr>
              <w:pStyle w:val="13"/>
            </w:pPr>
            <w:r>
              <w:t>100%</w:t>
            </w:r>
          </w:p>
        </w:tc>
      </w:tr>
      <w:tr w14:paraId="0522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3792E">
            <w:pPr>
              <w:pStyle w:val="10"/>
            </w:pPr>
            <w:r>
              <w:t>绩效目标</w:t>
            </w:r>
          </w:p>
        </w:tc>
        <w:tc>
          <w:tcPr>
            <w:tcW w:w="14033" w:type="dxa"/>
            <w:gridSpan w:val="6"/>
            <w:vAlign w:val="center"/>
          </w:tcPr>
          <w:p w14:paraId="4A7D018C">
            <w:pPr>
              <w:pStyle w:val="12"/>
            </w:pPr>
            <w:r>
              <w:t>1.保障义务教育学校正常运转，完成教育教学活动和其他日常工作任务等方面的费用支出。</w:t>
            </w:r>
          </w:p>
          <w:p w14:paraId="24CB5275">
            <w:pPr>
              <w:pStyle w:val="12"/>
            </w:pPr>
            <w:r>
              <w:t>2.按季度分批次拨付公用经费资金958300元，资金拨付率达到100%。</w:t>
            </w:r>
          </w:p>
        </w:tc>
      </w:tr>
    </w:tbl>
    <w:p w14:paraId="23F62F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F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AC1ED">
            <w:pPr>
              <w:pStyle w:val="10"/>
            </w:pPr>
            <w:r>
              <w:t>一级指标</w:t>
            </w:r>
          </w:p>
        </w:tc>
        <w:tc>
          <w:tcPr>
            <w:tcW w:w="2268" w:type="dxa"/>
            <w:vAlign w:val="center"/>
          </w:tcPr>
          <w:p w14:paraId="03714466">
            <w:pPr>
              <w:pStyle w:val="10"/>
            </w:pPr>
            <w:r>
              <w:t>二级指标</w:t>
            </w:r>
          </w:p>
        </w:tc>
        <w:tc>
          <w:tcPr>
            <w:tcW w:w="2835" w:type="dxa"/>
            <w:vAlign w:val="center"/>
          </w:tcPr>
          <w:p w14:paraId="30914224">
            <w:pPr>
              <w:pStyle w:val="10"/>
            </w:pPr>
            <w:r>
              <w:t>三级指标</w:t>
            </w:r>
          </w:p>
        </w:tc>
        <w:tc>
          <w:tcPr>
            <w:tcW w:w="5386" w:type="dxa"/>
            <w:vAlign w:val="center"/>
          </w:tcPr>
          <w:p w14:paraId="5608FBC9">
            <w:pPr>
              <w:pStyle w:val="10"/>
            </w:pPr>
            <w:r>
              <w:t>绩效指标描述</w:t>
            </w:r>
          </w:p>
        </w:tc>
        <w:tc>
          <w:tcPr>
            <w:tcW w:w="2268" w:type="dxa"/>
            <w:vAlign w:val="center"/>
          </w:tcPr>
          <w:p w14:paraId="79AFDC71">
            <w:pPr>
              <w:pStyle w:val="10"/>
            </w:pPr>
            <w:r>
              <w:t>指标值</w:t>
            </w:r>
          </w:p>
        </w:tc>
        <w:tc>
          <w:tcPr>
            <w:tcW w:w="1276" w:type="dxa"/>
            <w:vAlign w:val="center"/>
          </w:tcPr>
          <w:p w14:paraId="7138D23F">
            <w:pPr>
              <w:pStyle w:val="10"/>
            </w:pPr>
            <w:r>
              <w:t>指标值确定依据</w:t>
            </w:r>
          </w:p>
        </w:tc>
      </w:tr>
      <w:tr w14:paraId="00E5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B0FB2">
            <w:pPr>
              <w:pStyle w:val="13"/>
            </w:pPr>
            <w:r>
              <w:t>产出指标</w:t>
            </w:r>
          </w:p>
        </w:tc>
        <w:tc>
          <w:tcPr>
            <w:tcW w:w="2268" w:type="dxa"/>
            <w:vAlign w:val="center"/>
          </w:tcPr>
          <w:p w14:paraId="568687AD">
            <w:pPr>
              <w:pStyle w:val="12"/>
            </w:pPr>
            <w:r>
              <w:t>数量指标</w:t>
            </w:r>
          </w:p>
        </w:tc>
        <w:tc>
          <w:tcPr>
            <w:tcW w:w="2835" w:type="dxa"/>
            <w:vAlign w:val="center"/>
          </w:tcPr>
          <w:p w14:paraId="00CB7BBD">
            <w:pPr>
              <w:pStyle w:val="12"/>
            </w:pPr>
            <w:r>
              <w:t>适龄在校生</w:t>
            </w:r>
          </w:p>
        </w:tc>
        <w:tc>
          <w:tcPr>
            <w:tcW w:w="5386" w:type="dxa"/>
            <w:vAlign w:val="center"/>
          </w:tcPr>
          <w:p w14:paraId="535D2F47">
            <w:pPr>
              <w:pStyle w:val="12"/>
            </w:pPr>
            <w:r>
              <w:t>适龄在校就读学生人数</w:t>
            </w:r>
          </w:p>
        </w:tc>
        <w:tc>
          <w:tcPr>
            <w:tcW w:w="2268" w:type="dxa"/>
            <w:vAlign w:val="center"/>
          </w:tcPr>
          <w:p w14:paraId="6EBF517A">
            <w:pPr>
              <w:pStyle w:val="12"/>
            </w:pPr>
            <w:r>
              <w:t>≥3651人</w:t>
            </w:r>
          </w:p>
        </w:tc>
        <w:tc>
          <w:tcPr>
            <w:tcW w:w="1276" w:type="dxa"/>
            <w:vAlign w:val="center"/>
          </w:tcPr>
          <w:p w14:paraId="466BB958">
            <w:pPr>
              <w:pStyle w:val="12"/>
            </w:pPr>
            <w:r>
              <w:t>城乡义务教育公用经费管理办法</w:t>
            </w:r>
          </w:p>
        </w:tc>
      </w:tr>
      <w:tr w14:paraId="5E8A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CC583"/>
        </w:tc>
        <w:tc>
          <w:tcPr>
            <w:tcW w:w="2268" w:type="dxa"/>
            <w:vAlign w:val="center"/>
          </w:tcPr>
          <w:p w14:paraId="78E66945">
            <w:pPr>
              <w:pStyle w:val="12"/>
            </w:pPr>
            <w:r>
              <w:t>质量指标</w:t>
            </w:r>
          </w:p>
        </w:tc>
        <w:tc>
          <w:tcPr>
            <w:tcW w:w="2835" w:type="dxa"/>
            <w:vAlign w:val="center"/>
          </w:tcPr>
          <w:p w14:paraId="42D81004">
            <w:pPr>
              <w:pStyle w:val="12"/>
            </w:pPr>
            <w:r>
              <w:t>公用经费拨付完成率</w:t>
            </w:r>
          </w:p>
        </w:tc>
        <w:tc>
          <w:tcPr>
            <w:tcW w:w="5386" w:type="dxa"/>
            <w:vAlign w:val="center"/>
          </w:tcPr>
          <w:p w14:paraId="3F3FAF3D">
            <w:pPr>
              <w:pStyle w:val="12"/>
            </w:pPr>
            <w:r>
              <w:t>公用经费拨付完成率达到需时进度</w:t>
            </w:r>
          </w:p>
        </w:tc>
        <w:tc>
          <w:tcPr>
            <w:tcW w:w="2268" w:type="dxa"/>
            <w:vAlign w:val="center"/>
          </w:tcPr>
          <w:p w14:paraId="61417ED7">
            <w:pPr>
              <w:pStyle w:val="12"/>
            </w:pPr>
            <w:r>
              <w:t>100%</w:t>
            </w:r>
          </w:p>
        </w:tc>
        <w:tc>
          <w:tcPr>
            <w:tcW w:w="1276" w:type="dxa"/>
            <w:vAlign w:val="center"/>
          </w:tcPr>
          <w:p w14:paraId="650C6024">
            <w:pPr>
              <w:pStyle w:val="12"/>
            </w:pPr>
            <w:r>
              <w:t>城乡义务教育公用经费管理办法</w:t>
            </w:r>
          </w:p>
        </w:tc>
      </w:tr>
      <w:tr w14:paraId="22E9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92AAA"/>
        </w:tc>
        <w:tc>
          <w:tcPr>
            <w:tcW w:w="2268" w:type="dxa"/>
            <w:vAlign w:val="center"/>
          </w:tcPr>
          <w:p w14:paraId="3B167DA2">
            <w:pPr>
              <w:pStyle w:val="12"/>
            </w:pPr>
            <w:r>
              <w:t>时效指标</w:t>
            </w:r>
          </w:p>
        </w:tc>
        <w:tc>
          <w:tcPr>
            <w:tcW w:w="2835" w:type="dxa"/>
            <w:vAlign w:val="center"/>
          </w:tcPr>
          <w:p w14:paraId="5BEDA657">
            <w:pPr>
              <w:pStyle w:val="12"/>
            </w:pPr>
            <w:r>
              <w:t>资金支付率</w:t>
            </w:r>
          </w:p>
        </w:tc>
        <w:tc>
          <w:tcPr>
            <w:tcW w:w="5386" w:type="dxa"/>
            <w:vAlign w:val="center"/>
          </w:tcPr>
          <w:p w14:paraId="7BD3724A">
            <w:pPr>
              <w:pStyle w:val="12"/>
            </w:pPr>
            <w:r>
              <w:t>按照序时进度完成资金支付</w:t>
            </w:r>
          </w:p>
        </w:tc>
        <w:tc>
          <w:tcPr>
            <w:tcW w:w="2268" w:type="dxa"/>
            <w:vAlign w:val="center"/>
          </w:tcPr>
          <w:p w14:paraId="6CA9D7F8">
            <w:pPr>
              <w:pStyle w:val="12"/>
            </w:pPr>
            <w:r>
              <w:t>100%</w:t>
            </w:r>
          </w:p>
        </w:tc>
        <w:tc>
          <w:tcPr>
            <w:tcW w:w="1276" w:type="dxa"/>
            <w:vAlign w:val="center"/>
          </w:tcPr>
          <w:p w14:paraId="7D039FDE">
            <w:pPr>
              <w:pStyle w:val="12"/>
            </w:pPr>
            <w:r>
              <w:t>城乡义务教育公用经费管理办法</w:t>
            </w:r>
          </w:p>
        </w:tc>
      </w:tr>
      <w:tr w14:paraId="5FD9F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F6DA2"/>
        </w:tc>
        <w:tc>
          <w:tcPr>
            <w:tcW w:w="2268" w:type="dxa"/>
            <w:vAlign w:val="center"/>
          </w:tcPr>
          <w:p w14:paraId="7CF50923">
            <w:pPr>
              <w:pStyle w:val="12"/>
            </w:pPr>
            <w:r>
              <w:t>成本指标</w:t>
            </w:r>
          </w:p>
        </w:tc>
        <w:tc>
          <w:tcPr>
            <w:tcW w:w="2835" w:type="dxa"/>
            <w:vAlign w:val="center"/>
          </w:tcPr>
          <w:p w14:paraId="3FEBF361">
            <w:pPr>
              <w:pStyle w:val="12"/>
            </w:pPr>
            <w:r>
              <w:t>拨款金额</w:t>
            </w:r>
          </w:p>
        </w:tc>
        <w:tc>
          <w:tcPr>
            <w:tcW w:w="5386" w:type="dxa"/>
            <w:vAlign w:val="center"/>
          </w:tcPr>
          <w:p w14:paraId="197A49B5">
            <w:pPr>
              <w:pStyle w:val="12"/>
            </w:pPr>
            <w:r>
              <w:t>小学：（基本标准720元、取暖费120元）/生/学年；随班就读学生：标准7000元/生/学年。</w:t>
            </w:r>
          </w:p>
        </w:tc>
        <w:tc>
          <w:tcPr>
            <w:tcW w:w="2268" w:type="dxa"/>
            <w:vAlign w:val="center"/>
          </w:tcPr>
          <w:p w14:paraId="0309FDB5">
            <w:pPr>
              <w:pStyle w:val="12"/>
            </w:pPr>
            <w:r>
              <w:t>958300元</w:t>
            </w:r>
          </w:p>
        </w:tc>
        <w:tc>
          <w:tcPr>
            <w:tcW w:w="1276" w:type="dxa"/>
            <w:vAlign w:val="center"/>
          </w:tcPr>
          <w:p w14:paraId="3021F74F">
            <w:pPr>
              <w:pStyle w:val="12"/>
            </w:pPr>
            <w:r>
              <w:t>城乡义务教育公用经费管理办法</w:t>
            </w:r>
          </w:p>
        </w:tc>
      </w:tr>
      <w:tr w14:paraId="3190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16805">
            <w:pPr>
              <w:pStyle w:val="13"/>
            </w:pPr>
            <w:r>
              <w:t>效益指标</w:t>
            </w:r>
          </w:p>
        </w:tc>
        <w:tc>
          <w:tcPr>
            <w:tcW w:w="2268" w:type="dxa"/>
            <w:vAlign w:val="center"/>
          </w:tcPr>
          <w:p w14:paraId="1D9A4222">
            <w:pPr>
              <w:pStyle w:val="12"/>
            </w:pPr>
            <w:r>
              <w:t>经济效益指标</w:t>
            </w:r>
          </w:p>
        </w:tc>
        <w:tc>
          <w:tcPr>
            <w:tcW w:w="2835" w:type="dxa"/>
            <w:vAlign w:val="center"/>
          </w:tcPr>
          <w:p w14:paraId="5005AEE5">
            <w:pPr>
              <w:pStyle w:val="12"/>
            </w:pPr>
            <w:r>
              <w:t>项目实施成果</w:t>
            </w:r>
          </w:p>
        </w:tc>
        <w:tc>
          <w:tcPr>
            <w:tcW w:w="5386" w:type="dxa"/>
            <w:vAlign w:val="center"/>
          </w:tcPr>
          <w:p w14:paraId="6022BCFA">
            <w:pPr>
              <w:pStyle w:val="12"/>
            </w:pPr>
            <w:r>
              <w:t>减轻受教育学生家庭经济负担</w:t>
            </w:r>
          </w:p>
        </w:tc>
        <w:tc>
          <w:tcPr>
            <w:tcW w:w="2268" w:type="dxa"/>
            <w:vAlign w:val="center"/>
          </w:tcPr>
          <w:p w14:paraId="50328831">
            <w:pPr>
              <w:pStyle w:val="12"/>
            </w:pPr>
            <w:r>
              <w:t>100%</w:t>
            </w:r>
          </w:p>
        </w:tc>
        <w:tc>
          <w:tcPr>
            <w:tcW w:w="1276" w:type="dxa"/>
            <w:vAlign w:val="center"/>
          </w:tcPr>
          <w:p w14:paraId="57F75C91">
            <w:pPr>
              <w:pStyle w:val="12"/>
            </w:pPr>
            <w:r>
              <w:t>城乡义务教育公用经费管理办法</w:t>
            </w:r>
          </w:p>
        </w:tc>
      </w:tr>
      <w:tr w14:paraId="6A87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7ADAC"/>
        </w:tc>
        <w:tc>
          <w:tcPr>
            <w:tcW w:w="2268" w:type="dxa"/>
            <w:vAlign w:val="center"/>
          </w:tcPr>
          <w:p w14:paraId="0638448F">
            <w:pPr>
              <w:pStyle w:val="12"/>
            </w:pPr>
            <w:r>
              <w:t>社会效益指标</w:t>
            </w:r>
          </w:p>
        </w:tc>
        <w:tc>
          <w:tcPr>
            <w:tcW w:w="2835" w:type="dxa"/>
            <w:vAlign w:val="center"/>
          </w:tcPr>
          <w:p w14:paraId="149CD7A9">
            <w:pPr>
              <w:pStyle w:val="12"/>
            </w:pPr>
            <w:r>
              <w:t>学校办学能力提升</w:t>
            </w:r>
          </w:p>
        </w:tc>
        <w:tc>
          <w:tcPr>
            <w:tcW w:w="5386" w:type="dxa"/>
            <w:vAlign w:val="center"/>
          </w:tcPr>
          <w:p w14:paraId="7BCFDBA4">
            <w:pPr>
              <w:pStyle w:val="12"/>
            </w:pPr>
            <w:r>
              <w:t>学校办学能</w:t>
            </w:r>
            <w:r>
              <w:rPr>
                <w:rFonts w:hint="eastAsia"/>
                <w:lang w:eastAsia="zh-CN"/>
              </w:rPr>
              <w:t>力提</w:t>
            </w:r>
            <w:r>
              <w:t>升情况及教育教学工作等开展的情况</w:t>
            </w:r>
          </w:p>
        </w:tc>
        <w:tc>
          <w:tcPr>
            <w:tcW w:w="2268" w:type="dxa"/>
            <w:vAlign w:val="center"/>
          </w:tcPr>
          <w:p w14:paraId="77D62C26">
            <w:pPr>
              <w:pStyle w:val="12"/>
            </w:pPr>
            <w:r>
              <w:t>100%</w:t>
            </w:r>
          </w:p>
        </w:tc>
        <w:tc>
          <w:tcPr>
            <w:tcW w:w="1276" w:type="dxa"/>
            <w:vAlign w:val="center"/>
          </w:tcPr>
          <w:p w14:paraId="016E7FF7">
            <w:pPr>
              <w:pStyle w:val="12"/>
            </w:pPr>
            <w:r>
              <w:t>城乡义务教育公用经费管理办法</w:t>
            </w:r>
          </w:p>
        </w:tc>
      </w:tr>
      <w:tr w14:paraId="5705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912C9"/>
        </w:tc>
        <w:tc>
          <w:tcPr>
            <w:tcW w:w="2268" w:type="dxa"/>
            <w:vAlign w:val="center"/>
          </w:tcPr>
          <w:p w14:paraId="48703BC2">
            <w:pPr>
              <w:pStyle w:val="12"/>
            </w:pPr>
            <w:r>
              <w:t>可持续影响指标</w:t>
            </w:r>
          </w:p>
        </w:tc>
        <w:tc>
          <w:tcPr>
            <w:tcW w:w="2835" w:type="dxa"/>
            <w:vAlign w:val="center"/>
          </w:tcPr>
          <w:p w14:paraId="21BC9662">
            <w:pPr>
              <w:pStyle w:val="12"/>
            </w:pPr>
            <w:r>
              <w:t>教育发展水平</w:t>
            </w:r>
          </w:p>
        </w:tc>
        <w:tc>
          <w:tcPr>
            <w:tcW w:w="5386" w:type="dxa"/>
            <w:vAlign w:val="center"/>
          </w:tcPr>
          <w:p w14:paraId="75BCB71B">
            <w:pPr>
              <w:pStyle w:val="12"/>
            </w:pPr>
            <w:r>
              <w:t>教育环境明显好转</w:t>
            </w:r>
          </w:p>
        </w:tc>
        <w:tc>
          <w:tcPr>
            <w:tcW w:w="2268" w:type="dxa"/>
            <w:vAlign w:val="center"/>
          </w:tcPr>
          <w:p w14:paraId="3AED4E67">
            <w:pPr>
              <w:pStyle w:val="12"/>
            </w:pPr>
            <w:r>
              <w:t>100%</w:t>
            </w:r>
          </w:p>
        </w:tc>
        <w:tc>
          <w:tcPr>
            <w:tcW w:w="1276" w:type="dxa"/>
            <w:vAlign w:val="center"/>
          </w:tcPr>
          <w:p w14:paraId="3DA07BAF">
            <w:pPr>
              <w:pStyle w:val="12"/>
            </w:pPr>
            <w:r>
              <w:t>城乡义务教育公用经费管理办法</w:t>
            </w:r>
          </w:p>
        </w:tc>
      </w:tr>
      <w:tr w14:paraId="5977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F1FFD">
            <w:pPr>
              <w:pStyle w:val="13"/>
            </w:pPr>
            <w:r>
              <w:t>满意度指标</w:t>
            </w:r>
          </w:p>
        </w:tc>
        <w:tc>
          <w:tcPr>
            <w:tcW w:w="2268" w:type="dxa"/>
            <w:vAlign w:val="center"/>
          </w:tcPr>
          <w:p w14:paraId="3E8556F4">
            <w:pPr>
              <w:pStyle w:val="12"/>
            </w:pPr>
            <w:r>
              <w:t>服务对象满意度指标</w:t>
            </w:r>
          </w:p>
        </w:tc>
        <w:tc>
          <w:tcPr>
            <w:tcW w:w="2835" w:type="dxa"/>
            <w:vAlign w:val="center"/>
          </w:tcPr>
          <w:p w14:paraId="27844CE6">
            <w:pPr>
              <w:pStyle w:val="12"/>
            </w:pPr>
            <w:r>
              <w:t>受益学生家长及调查满意度</w:t>
            </w:r>
          </w:p>
        </w:tc>
        <w:tc>
          <w:tcPr>
            <w:tcW w:w="5386" w:type="dxa"/>
            <w:vAlign w:val="center"/>
          </w:tcPr>
          <w:p w14:paraId="23665CE4">
            <w:pPr>
              <w:pStyle w:val="12"/>
            </w:pPr>
            <w:r>
              <w:t>学生、教师及家长对学校保教保育工作满意度情况</w:t>
            </w:r>
          </w:p>
        </w:tc>
        <w:tc>
          <w:tcPr>
            <w:tcW w:w="2268" w:type="dxa"/>
            <w:vAlign w:val="center"/>
          </w:tcPr>
          <w:p w14:paraId="35BC7DB8">
            <w:pPr>
              <w:pStyle w:val="12"/>
            </w:pPr>
            <w:r>
              <w:t>≥95%</w:t>
            </w:r>
          </w:p>
        </w:tc>
        <w:tc>
          <w:tcPr>
            <w:tcW w:w="1276" w:type="dxa"/>
            <w:vAlign w:val="center"/>
          </w:tcPr>
          <w:p w14:paraId="755972EE">
            <w:pPr>
              <w:pStyle w:val="12"/>
            </w:pPr>
            <w:r>
              <w:t>调查问卷</w:t>
            </w:r>
          </w:p>
        </w:tc>
      </w:tr>
    </w:tbl>
    <w:p w14:paraId="632580ED">
      <w:pPr>
        <w:sectPr>
          <w:pgSz w:w="16840" w:h="11900" w:orient="landscape"/>
          <w:pgMar w:top="1361" w:right="1020" w:bottom="1134" w:left="1020" w:header="720" w:footer="720" w:gutter="0"/>
          <w:cols w:space="720" w:num="1"/>
        </w:sectPr>
      </w:pPr>
    </w:p>
    <w:p w14:paraId="69D5511A">
      <w:pPr>
        <w:spacing w:before="0" w:after="0"/>
        <w:ind w:firstLine="560"/>
        <w:jc w:val="left"/>
        <w:outlineLvl w:val="9"/>
      </w:pPr>
      <w:r>
        <w:rPr>
          <w:rFonts w:ascii="方正仿宋_GBK" w:hAnsi="方正仿宋_GBK" w:eastAsia="方正仿宋_GBK" w:cs="方正仿宋_GBK"/>
          <w:b/>
          <w:color w:val="000000"/>
          <w:sz w:val="28"/>
        </w:rPr>
        <w:t>4、县级配套/实验小学公用经费绩效目标表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54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CB576">
            <w:pPr>
              <w:pStyle w:val="11"/>
            </w:pPr>
            <w:r>
              <w:t>单位：万元</w:t>
            </w:r>
          </w:p>
        </w:tc>
      </w:tr>
      <w:tr w14:paraId="6DACD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0475A">
            <w:pPr>
              <w:pStyle w:val="10"/>
            </w:pPr>
            <w:r>
              <w:t>项目编码</w:t>
            </w:r>
          </w:p>
        </w:tc>
        <w:tc>
          <w:tcPr>
            <w:tcW w:w="5103" w:type="dxa"/>
            <w:gridSpan w:val="2"/>
            <w:vAlign w:val="center"/>
          </w:tcPr>
          <w:p w14:paraId="2303212B">
            <w:pPr>
              <w:pStyle w:val="12"/>
            </w:pPr>
            <w:r>
              <w:t>13052526P00000410418C</w:t>
            </w:r>
          </w:p>
        </w:tc>
        <w:tc>
          <w:tcPr>
            <w:tcW w:w="2835" w:type="dxa"/>
            <w:vAlign w:val="center"/>
          </w:tcPr>
          <w:p w14:paraId="5787B208">
            <w:pPr>
              <w:pStyle w:val="10"/>
            </w:pPr>
            <w:r>
              <w:t>项目名称</w:t>
            </w:r>
          </w:p>
        </w:tc>
        <w:tc>
          <w:tcPr>
            <w:tcW w:w="6095" w:type="dxa"/>
            <w:gridSpan w:val="3"/>
            <w:vAlign w:val="center"/>
          </w:tcPr>
          <w:p w14:paraId="754E29A4">
            <w:pPr>
              <w:pStyle w:val="12"/>
            </w:pPr>
            <w:r>
              <w:t>县级配套/实验小学公用经费</w:t>
            </w:r>
          </w:p>
        </w:tc>
      </w:tr>
      <w:tr w14:paraId="708AA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90408">
            <w:pPr>
              <w:pStyle w:val="10"/>
            </w:pPr>
            <w:r>
              <w:t>预算规模及资金用途</w:t>
            </w:r>
          </w:p>
        </w:tc>
        <w:tc>
          <w:tcPr>
            <w:tcW w:w="2268" w:type="dxa"/>
            <w:vAlign w:val="center"/>
          </w:tcPr>
          <w:p w14:paraId="4919309E">
            <w:pPr>
              <w:pStyle w:val="10"/>
            </w:pPr>
            <w:r>
              <w:t>预算数</w:t>
            </w:r>
          </w:p>
        </w:tc>
        <w:tc>
          <w:tcPr>
            <w:tcW w:w="2835" w:type="dxa"/>
            <w:vAlign w:val="center"/>
          </w:tcPr>
          <w:p w14:paraId="2917941A">
            <w:pPr>
              <w:pStyle w:val="12"/>
            </w:pPr>
            <w:r>
              <w:t>30.36</w:t>
            </w:r>
          </w:p>
        </w:tc>
        <w:tc>
          <w:tcPr>
            <w:tcW w:w="2835" w:type="dxa"/>
            <w:vAlign w:val="center"/>
          </w:tcPr>
          <w:p w14:paraId="0FF8C5A6">
            <w:pPr>
              <w:pStyle w:val="10"/>
            </w:pPr>
            <w:r>
              <w:t>其中：财政    资金</w:t>
            </w:r>
          </w:p>
        </w:tc>
        <w:tc>
          <w:tcPr>
            <w:tcW w:w="2551" w:type="dxa"/>
            <w:vAlign w:val="center"/>
          </w:tcPr>
          <w:p w14:paraId="6BB8A864">
            <w:pPr>
              <w:pStyle w:val="12"/>
            </w:pPr>
            <w:r>
              <w:t>30.36</w:t>
            </w:r>
          </w:p>
        </w:tc>
        <w:tc>
          <w:tcPr>
            <w:tcW w:w="2268" w:type="dxa"/>
            <w:vAlign w:val="center"/>
          </w:tcPr>
          <w:p w14:paraId="34F1CA82">
            <w:pPr>
              <w:pStyle w:val="10"/>
            </w:pPr>
            <w:r>
              <w:t>其他资金</w:t>
            </w:r>
          </w:p>
        </w:tc>
        <w:tc>
          <w:tcPr>
            <w:tcW w:w="1276" w:type="dxa"/>
            <w:vAlign w:val="center"/>
          </w:tcPr>
          <w:p w14:paraId="406BDC9D">
            <w:pPr>
              <w:pStyle w:val="12"/>
            </w:pPr>
            <w:r>
              <w:t xml:space="preserve"> </w:t>
            </w:r>
          </w:p>
        </w:tc>
      </w:tr>
      <w:tr w14:paraId="2E992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8C49E"/>
        </w:tc>
        <w:tc>
          <w:tcPr>
            <w:tcW w:w="14033" w:type="dxa"/>
            <w:gridSpan w:val="6"/>
            <w:vAlign w:val="center"/>
          </w:tcPr>
          <w:p w14:paraId="2AFFC65C">
            <w:pPr>
              <w:pStyle w:val="12"/>
            </w:pPr>
            <w:r>
              <w:t>保障义务教育学校正常运转，完成教育教学活动，和其他日常工作任务等方面的费用支出</w:t>
            </w:r>
          </w:p>
        </w:tc>
      </w:tr>
      <w:tr w14:paraId="105FF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56B0A">
            <w:pPr>
              <w:pStyle w:val="10"/>
            </w:pPr>
            <w:r>
              <w:t>资金支出计划（%）</w:t>
            </w:r>
          </w:p>
        </w:tc>
        <w:tc>
          <w:tcPr>
            <w:tcW w:w="5103" w:type="dxa"/>
            <w:gridSpan w:val="2"/>
            <w:vAlign w:val="center"/>
          </w:tcPr>
          <w:p w14:paraId="3957F9C9">
            <w:pPr>
              <w:pStyle w:val="10"/>
            </w:pPr>
            <w:r>
              <w:t>3月底</w:t>
            </w:r>
          </w:p>
        </w:tc>
        <w:tc>
          <w:tcPr>
            <w:tcW w:w="2835" w:type="dxa"/>
            <w:vAlign w:val="center"/>
          </w:tcPr>
          <w:p w14:paraId="3723F81D">
            <w:pPr>
              <w:pStyle w:val="10"/>
            </w:pPr>
            <w:r>
              <w:t>6月底</w:t>
            </w:r>
          </w:p>
        </w:tc>
        <w:tc>
          <w:tcPr>
            <w:tcW w:w="2551" w:type="dxa"/>
            <w:vAlign w:val="center"/>
          </w:tcPr>
          <w:p w14:paraId="6231AF80">
            <w:pPr>
              <w:pStyle w:val="10"/>
            </w:pPr>
            <w:r>
              <w:t>10月底</w:t>
            </w:r>
          </w:p>
        </w:tc>
        <w:tc>
          <w:tcPr>
            <w:tcW w:w="3544" w:type="dxa"/>
            <w:gridSpan w:val="2"/>
            <w:vAlign w:val="center"/>
          </w:tcPr>
          <w:p w14:paraId="7CEA0DCF">
            <w:pPr>
              <w:pStyle w:val="10"/>
            </w:pPr>
            <w:r>
              <w:t>12月底</w:t>
            </w:r>
          </w:p>
        </w:tc>
      </w:tr>
      <w:tr w14:paraId="71B45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58FF8"/>
        </w:tc>
        <w:tc>
          <w:tcPr>
            <w:tcW w:w="5103" w:type="dxa"/>
            <w:gridSpan w:val="2"/>
            <w:vAlign w:val="center"/>
          </w:tcPr>
          <w:p w14:paraId="4E2F12E7">
            <w:pPr>
              <w:pStyle w:val="13"/>
            </w:pPr>
            <w:r>
              <w:t>25%</w:t>
            </w:r>
          </w:p>
        </w:tc>
        <w:tc>
          <w:tcPr>
            <w:tcW w:w="2835" w:type="dxa"/>
            <w:vAlign w:val="center"/>
          </w:tcPr>
          <w:p w14:paraId="585B5BBF">
            <w:pPr>
              <w:pStyle w:val="13"/>
            </w:pPr>
            <w:r>
              <w:t>50%</w:t>
            </w:r>
          </w:p>
        </w:tc>
        <w:tc>
          <w:tcPr>
            <w:tcW w:w="2551" w:type="dxa"/>
            <w:vAlign w:val="center"/>
          </w:tcPr>
          <w:p w14:paraId="1ECA8CC9">
            <w:pPr>
              <w:pStyle w:val="13"/>
            </w:pPr>
            <w:r>
              <w:t>75%</w:t>
            </w:r>
          </w:p>
        </w:tc>
        <w:tc>
          <w:tcPr>
            <w:tcW w:w="3544" w:type="dxa"/>
            <w:gridSpan w:val="2"/>
            <w:vAlign w:val="center"/>
          </w:tcPr>
          <w:p w14:paraId="5DA6DB51">
            <w:pPr>
              <w:pStyle w:val="13"/>
            </w:pPr>
            <w:r>
              <w:t>100%</w:t>
            </w:r>
          </w:p>
        </w:tc>
      </w:tr>
      <w:tr w14:paraId="0E84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0A6CE">
            <w:pPr>
              <w:pStyle w:val="10"/>
            </w:pPr>
            <w:r>
              <w:t>绩效目标</w:t>
            </w:r>
          </w:p>
        </w:tc>
        <w:tc>
          <w:tcPr>
            <w:tcW w:w="14033" w:type="dxa"/>
            <w:gridSpan w:val="6"/>
            <w:vAlign w:val="center"/>
          </w:tcPr>
          <w:p w14:paraId="5E44361A">
            <w:pPr>
              <w:pStyle w:val="12"/>
            </w:pPr>
            <w:r>
              <w:t>1.保障义务教育学校正常运转，完成教育教学活动和其他日常工作任务等方面的费用支出。</w:t>
            </w:r>
          </w:p>
          <w:p w14:paraId="3426EA7E">
            <w:pPr>
              <w:pStyle w:val="12"/>
            </w:pPr>
            <w:r>
              <w:t>2.按季度分批次拨付公用经费资金303620元，资金拨付率达到100%。</w:t>
            </w:r>
          </w:p>
        </w:tc>
      </w:tr>
    </w:tbl>
    <w:p w14:paraId="6A7905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2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8A1BE">
            <w:pPr>
              <w:pStyle w:val="10"/>
            </w:pPr>
            <w:r>
              <w:t>一级指标</w:t>
            </w:r>
          </w:p>
        </w:tc>
        <w:tc>
          <w:tcPr>
            <w:tcW w:w="2268" w:type="dxa"/>
            <w:vAlign w:val="center"/>
          </w:tcPr>
          <w:p w14:paraId="7DE7D352">
            <w:pPr>
              <w:pStyle w:val="10"/>
            </w:pPr>
            <w:r>
              <w:t>二级指标</w:t>
            </w:r>
          </w:p>
        </w:tc>
        <w:tc>
          <w:tcPr>
            <w:tcW w:w="2835" w:type="dxa"/>
            <w:vAlign w:val="center"/>
          </w:tcPr>
          <w:p w14:paraId="3598F86F">
            <w:pPr>
              <w:pStyle w:val="10"/>
            </w:pPr>
            <w:r>
              <w:t>三级指标</w:t>
            </w:r>
          </w:p>
        </w:tc>
        <w:tc>
          <w:tcPr>
            <w:tcW w:w="5386" w:type="dxa"/>
            <w:vAlign w:val="center"/>
          </w:tcPr>
          <w:p w14:paraId="1823BBB6">
            <w:pPr>
              <w:pStyle w:val="10"/>
            </w:pPr>
            <w:r>
              <w:t>绩效指标描述</w:t>
            </w:r>
          </w:p>
        </w:tc>
        <w:tc>
          <w:tcPr>
            <w:tcW w:w="2268" w:type="dxa"/>
            <w:vAlign w:val="center"/>
          </w:tcPr>
          <w:p w14:paraId="2E90500E">
            <w:pPr>
              <w:pStyle w:val="10"/>
            </w:pPr>
            <w:r>
              <w:t>指标值</w:t>
            </w:r>
          </w:p>
        </w:tc>
        <w:tc>
          <w:tcPr>
            <w:tcW w:w="1276" w:type="dxa"/>
            <w:vAlign w:val="center"/>
          </w:tcPr>
          <w:p w14:paraId="66AF725E">
            <w:pPr>
              <w:pStyle w:val="10"/>
            </w:pPr>
            <w:r>
              <w:t>指标值确定依据</w:t>
            </w:r>
          </w:p>
        </w:tc>
      </w:tr>
      <w:tr w14:paraId="4BAC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DBEC0">
            <w:pPr>
              <w:pStyle w:val="13"/>
            </w:pPr>
            <w:r>
              <w:t>产出指标</w:t>
            </w:r>
          </w:p>
        </w:tc>
        <w:tc>
          <w:tcPr>
            <w:tcW w:w="2268" w:type="dxa"/>
            <w:vAlign w:val="center"/>
          </w:tcPr>
          <w:p w14:paraId="207D32DD">
            <w:pPr>
              <w:pStyle w:val="12"/>
            </w:pPr>
            <w:r>
              <w:t>数量指标</w:t>
            </w:r>
          </w:p>
        </w:tc>
        <w:tc>
          <w:tcPr>
            <w:tcW w:w="2835" w:type="dxa"/>
            <w:vAlign w:val="center"/>
          </w:tcPr>
          <w:p w14:paraId="6DEB4138">
            <w:pPr>
              <w:pStyle w:val="12"/>
            </w:pPr>
            <w:r>
              <w:t>适龄在校生</w:t>
            </w:r>
          </w:p>
        </w:tc>
        <w:tc>
          <w:tcPr>
            <w:tcW w:w="5386" w:type="dxa"/>
            <w:vAlign w:val="center"/>
          </w:tcPr>
          <w:p w14:paraId="0292FCAA">
            <w:pPr>
              <w:pStyle w:val="12"/>
            </w:pPr>
            <w:r>
              <w:t>适龄在校就读学生人数</w:t>
            </w:r>
          </w:p>
        </w:tc>
        <w:tc>
          <w:tcPr>
            <w:tcW w:w="2268" w:type="dxa"/>
            <w:vAlign w:val="center"/>
          </w:tcPr>
          <w:p w14:paraId="2E37B609">
            <w:pPr>
              <w:pStyle w:val="12"/>
            </w:pPr>
            <w:r>
              <w:t>≥3651人</w:t>
            </w:r>
          </w:p>
        </w:tc>
        <w:tc>
          <w:tcPr>
            <w:tcW w:w="1276" w:type="dxa"/>
            <w:vAlign w:val="center"/>
          </w:tcPr>
          <w:p w14:paraId="1CFF7417">
            <w:pPr>
              <w:pStyle w:val="12"/>
            </w:pPr>
            <w:r>
              <w:t>城乡义务教育公用经费管理办法</w:t>
            </w:r>
          </w:p>
        </w:tc>
      </w:tr>
      <w:tr w14:paraId="1731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4D901"/>
        </w:tc>
        <w:tc>
          <w:tcPr>
            <w:tcW w:w="2268" w:type="dxa"/>
            <w:vAlign w:val="center"/>
          </w:tcPr>
          <w:p w14:paraId="5F469FA8">
            <w:pPr>
              <w:pStyle w:val="12"/>
            </w:pPr>
            <w:r>
              <w:t>质量指标</w:t>
            </w:r>
          </w:p>
        </w:tc>
        <w:tc>
          <w:tcPr>
            <w:tcW w:w="2835" w:type="dxa"/>
            <w:vAlign w:val="center"/>
          </w:tcPr>
          <w:p w14:paraId="07CF22CF">
            <w:pPr>
              <w:pStyle w:val="12"/>
            </w:pPr>
            <w:r>
              <w:t>公用经费拨付完成率</w:t>
            </w:r>
          </w:p>
        </w:tc>
        <w:tc>
          <w:tcPr>
            <w:tcW w:w="5386" w:type="dxa"/>
            <w:vAlign w:val="center"/>
          </w:tcPr>
          <w:p w14:paraId="5D9FD639">
            <w:pPr>
              <w:pStyle w:val="12"/>
            </w:pPr>
            <w:r>
              <w:t>公用经费拨付完成率达到需时进度</w:t>
            </w:r>
          </w:p>
        </w:tc>
        <w:tc>
          <w:tcPr>
            <w:tcW w:w="2268" w:type="dxa"/>
            <w:vAlign w:val="center"/>
          </w:tcPr>
          <w:p w14:paraId="1704FD98">
            <w:pPr>
              <w:pStyle w:val="12"/>
            </w:pPr>
            <w:r>
              <w:t>100%</w:t>
            </w:r>
          </w:p>
        </w:tc>
        <w:tc>
          <w:tcPr>
            <w:tcW w:w="1276" w:type="dxa"/>
            <w:vAlign w:val="center"/>
          </w:tcPr>
          <w:p w14:paraId="089ECAEA">
            <w:pPr>
              <w:pStyle w:val="12"/>
            </w:pPr>
            <w:r>
              <w:t>城乡义务教育公用经费管理办法</w:t>
            </w:r>
          </w:p>
        </w:tc>
      </w:tr>
      <w:tr w14:paraId="7052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C5FC6"/>
        </w:tc>
        <w:tc>
          <w:tcPr>
            <w:tcW w:w="2268" w:type="dxa"/>
            <w:vAlign w:val="center"/>
          </w:tcPr>
          <w:p w14:paraId="1DA273D0">
            <w:pPr>
              <w:pStyle w:val="12"/>
            </w:pPr>
            <w:r>
              <w:t>时效指标</w:t>
            </w:r>
          </w:p>
        </w:tc>
        <w:tc>
          <w:tcPr>
            <w:tcW w:w="2835" w:type="dxa"/>
            <w:vAlign w:val="center"/>
          </w:tcPr>
          <w:p w14:paraId="19B6CBB8">
            <w:pPr>
              <w:pStyle w:val="12"/>
            </w:pPr>
            <w:r>
              <w:t>资金支付率</w:t>
            </w:r>
          </w:p>
        </w:tc>
        <w:tc>
          <w:tcPr>
            <w:tcW w:w="5386" w:type="dxa"/>
            <w:vAlign w:val="center"/>
          </w:tcPr>
          <w:p w14:paraId="4034816A">
            <w:pPr>
              <w:pStyle w:val="12"/>
            </w:pPr>
            <w:r>
              <w:t>按照序时进度完成资金支付</w:t>
            </w:r>
          </w:p>
        </w:tc>
        <w:tc>
          <w:tcPr>
            <w:tcW w:w="2268" w:type="dxa"/>
            <w:vAlign w:val="center"/>
          </w:tcPr>
          <w:p w14:paraId="2181534C">
            <w:pPr>
              <w:pStyle w:val="12"/>
            </w:pPr>
            <w:r>
              <w:t>100%</w:t>
            </w:r>
          </w:p>
        </w:tc>
        <w:tc>
          <w:tcPr>
            <w:tcW w:w="1276" w:type="dxa"/>
            <w:vAlign w:val="center"/>
          </w:tcPr>
          <w:p w14:paraId="1129B08A">
            <w:pPr>
              <w:pStyle w:val="12"/>
            </w:pPr>
            <w:r>
              <w:t>城乡义务教育公用经费管理办法</w:t>
            </w:r>
          </w:p>
        </w:tc>
      </w:tr>
      <w:tr w14:paraId="783B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87BC6"/>
        </w:tc>
        <w:tc>
          <w:tcPr>
            <w:tcW w:w="2268" w:type="dxa"/>
            <w:vAlign w:val="center"/>
          </w:tcPr>
          <w:p w14:paraId="074E5F91">
            <w:pPr>
              <w:pStyle w:val="12"/>
            </w:pPr>
            <w:r>
              <w:t>成本指标</w:t>
            </w:r>
          </w:p>
        </w:tc>
        <w:tc>
          <w:tcPr>
            <w:tcW w:w="2835" w:type="dxa"/>
            <w:vAlign w:val="center"/>
          </w:tcPr>
          <w:p w14:paraId="403DE6D2">
            <w:pPr>
              <w:pStyle w:val="12"/>
            </w:pPr>
            <w:r>
              <w:t>拨款金额</w:t>
            </w:r>
          </w:p>
        </w:tc>
        <w:tc>
          <w:tcPr>
            <w:tcW w:w="5386" w:type="dxa"/>
            <w:vAlign w:val="center"/>
          </w:tcPr>
          <w:p w14:paraId="60990641">
            <w:pPr>
              <w:pStyle w:val="12"/>
            </w:pPr>
            <w:r>
              <w:t>小学：（基本标准720元、取暖费120元）/生/学年；随班就读学生：标准7000元/生/学年。</w:t>
            </w:r>
          </w:p>
        </w:tc>
        <w:tc>
          <w:tcPr>
            <w:tcW w:w="2268" w:type="dxa"/>
            <w:vAlign w:val="center"/>
          </w:tcPr>
          <w:p w14:paraId="149111FE">
            <w:pPr>
              <w:pStyle w:val="12"/>
            </w:pPr>
            <w:r>
              <w:t>303620元</w:t>
            </w:r>
          </w:p>
        </w:tc>
        <w:tc>
          <w:tcPr>
            <w:tcW w:w="1276" w:type="dxa"/>
            <w:vAlign w:val="center"/>
          </w:tcPr>
          <w:p w14:paraId="61D1E555">
            <w:pPr>
              <w:pStyle w:val="12"/>
            </w:pPr>
            <w:r>
              <w:t>城乡义务教育公用经费管理办法</w:t>
            </w:r>
          </w:p>
        </w:tc>
      </w:tr>
      <w:tr w14:paraId="0F2C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DE51A">
            <w:pPr>
              <w:pStyle w:val="13"/>
            </w:pPr>
            <w:r>
              <w:t>效益指标</w:t>
            </w:r>
          </w:p>
        </w:tc>
        <w:tc>
          <w:tcPr>
            <w:tcW w:w="2268" w:type="dxa"/>
            <w:vAlign w:val="center"/>
          </w:tcPr>
          <w:p w14:paraId="0A033FDA">
            <w:pPr>
              <w:pStyle w:val="12"/>
            </w:pPr>
            <w:r>
              <w:t>经济效益指标</w:t>
            </w:r>
          </w:p>
        </w:tc>
        <w:tc>
          <w:tcPr>
            <w:tcW w:w="2835" w:type="dxa"/>
            <w:vAlign w:val="center"/>
          </w:tcPr>
          <w:p w14:paraId="6607D553">
            <w:pPr>
              <w:pStyle w:val="12"/>
            </w:pPr>
            <w:r>
              <w:t>项目实施成果</w:t>
            </w:r>
          </w:p>
        </w:tc>
        <w:tc>
          <w:tcPr>
            <w:tcW w:w="5386" w:type="dxa"/>
            <w:vAlign w:val="center"/>
          </w:tcPr>
          <w:p w14:paraId="56A4C18E">
            <w:pPr>
              <w:pStyle w:val="12"/>
            </w:pPr>
            <w:r>
              <w:t>减轻受教育学生家庭经济负担</w:t>
            </w:r>
          </w:p>
        </w:tc>
        <w:tc>
          <w:tcPr>
            <w:tcW w:w="2268" w:type="dxa"/>
            <w:vAlign w:val="center"/>
          </w:tcPr>
          <w:p w14:paraId="3990C74A">
            <w:pPr>
              <w:pStyle w:val="12"/>
            </w:pPr>
            <w:r>
              <w:t>100%</w:t>
            </w:r>
          </w:p>
        </w:tc>
        <w:tc>
          <w:tcPr>
            <w:tcW w:w="1276" w:type="dxa"/>
            <w:vAlign w:val="center"/>
          </w:tcPr>
          <w:p w14:paraId="36F92DC4">
            <w:pPr>
              <w:pStyle w:val="12"/>
            </w:pPr>
            <w:r>
              <w:t>城乡义务教育公用经费管理办法</w:t>
            </w:r>
          </w:p>
        </w:tc>
      </w:tr>
      <w:tr w14:paraId="7FAE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15960"/>
        </w:tc>
        <w:tc>
          <w:tcPr>
            <w:tcW w:w="2268" w:type="dxa"/>
            <w:vAlign w:val="center"/>
          </w:tcPr>
          <w:p w14:paraId="288C4D11">
            <w:pPr>
              <w:pStyle w:val="12"/>
            </w:pPr>
            <w:r>
              <w:t>社会效益指标</w:t>
            </w:r>
          </w:p>
        </w:tc>
        <w:tc>
          <w:tcPr>
            <w:tcW w:w="2835" w:type="dxa"/>
            <w:vAlign w:val="center"/>
          </w:tcPr>
          <w:p w14:paraId="492B33D4">
            <w:pPr>
              <w:pStyle w:val="12"/>
            </w:pPr>
            <w:r>
              <w:t>学校办学能力提升</w:t>
            </w:r>
          </w:p>
        </w:tc>
        <w:tc>
          <w:tcPr>
            <w:tcW w:w="5386" w:type="dxa"/>
            <w:vAlign w:val="center"/>
          </w:tcPr>
          <w:p w14:paraId="14842780">
            <w:pPr>
              <w:pStyle w:val="12"/>
            </w:pPr>
            <w:r>
              <w:t>学校办学能</w:t>
            </w:r>
            <w:r>
              <w:rPr>
                <w:rFonts w:hint="eastAsia"/>
                <w:lang w:eastAsia="zh-CN"/>
              </w:rPr>
              <w:t>力提</w:t>
            </w:r>
            <w:r>
              <w:t>升情况及教育教学工作等开展的情况</w:t>
            </w:r>
          </w:p>
        </w:tc>
        <w:tc>
          <w:tcPr>
            <w:tcW w:w="2268" w:type="dxa"/>
            <w:vAlign w:val="center"/>
          </w:tcPr>
          <w:p w14:paraId="7EA42247">
            <w:pPr>
              <w:pStyle w:val="12"/>
            </w:pPr>
            <w:r>
              <w:t>100%</w:t>
            </w:r>
          </w:p>
        </w:tc>
        <w:tc>
          <w:tcPr>
            <w:tcW w:w="1276" w:type="dxa"/>
            <w:vAlign w:val="center"/>
          </w:tcPr>
          <w:p w14:paraId="40F8584F">
            <w:pPr>
              <w:pStyle w:val="12"/>
            </w:pPr>
            <w:r>
              <w:t>城乡义务教育公用经费管理办法</w:t>
            </w:r>
          </w:p>
        </w:tc>
      </w:tr>
      <w:tr w14:paraId="4078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6FA76"/>
        </w:tc>
        <w:tc>
          <w:tcPr>
            <w:tcW w:w="2268" w:type="dxa"/>
            <w:vAlign w:val="center"/>
          </w:tcPr>
          <w:p w14:paraId="4D8099BD">
            <w:pPr>
              <w:pStyle w:val="12"/>
            </w:pPr>
            <w:r>
              <w:t>可持续影响指标</w:t>
            </w:r>
          </w:p>
        </w:tc>
        <w:tc>
          <w:tcPr>
            <w:tcW w:w="2835" w:type="dxa"/>
            <w:vAlign w:val="center"/>
          </w:tcPr>
          <w:p w14:paraId="6A77305F">
            <w:pPr>
              <w:pStyle w:val="12"/>
            </w:pPr>
            <w:r>
              <w:t>教育发展水平</w:t>
            </w:r>
          </w:p>
        </w:tc>
        <w:tc>
          <w:tcPr>
            <w:tcW w:w="5386" w:type="dxa"/>
            <w:vAlign w:val="center"/>
          </w:tcPr>
          <w:p w14:paraId="44640AA1">
            <w:pPr>
              <w:pStyle w:val="12"/>
            </w:pPr>
            <w:r>
              <w:t>教育环境明显好转</w:t>
            </w:r>
          </w:p>
        </w:tc>
        <w:tc>
          <w:tcPr>
            <w:tcW w:w="2268" w:type="dxa"/>
            <w:vAlign w:val="center"/>
          </w:tcPr>
          <w:p w14:paraId="6863851A">
            <w:pPr>
              <w:pStyle w:val="12"/>
            </w:pPr>
            <w:r>
              <w:t>100%</w:t>
            </w:r>
          </w:p>
        </w:tc>
        <w:tc>
          <w:tcPr>
            <w:tcW w:w="1276" w:type="dxa"/>
            <w:vAlign w:val="center"/>
          </w:tcPr>
          <w:p w14:paraId="23FBAFFA">
            <w:pPr>
              <w:pStyle w:val="12"/>
            </w:pPr>
            <w:r>
              <w:t>城乡义务教育公用经费管理办法</w:t>
            </w:r>
          </w:p>
        </w:tc>
      </w:tr>
      <w:tr w14:paraId="11CC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FE84F">
            <w:pPr>
              <w:pStyle w:val="13"/>
            </w:pPr>
            <w:r>
              <w:t>满意度指标</w:t>
            </w:r>
          </w:p>
        </w:tc>
        <w:tc>
          <w:tcPr>
            <w:tcW w:w="2268" w:type="dxa"/>
            <w:vAlign w:val="center"/>
          </w:tcPr>
          <w:p w14:paraId="48702579">
            <w:pPr>
              <w:pStyle w:val="12"/>
            </w:pPr>
            <w:r>
              <w:t>服务对象满意度指标</w:t>
            </w:r>
          </w:p>
        </w:tc>
        <w:tc>
          <w:tcPr>
            <w:tcW w:w="2835" w:type="dxa"/>
            <w:vAlign w:val="center"/>
          </w:tcPr>
          <w:p w14:paraId="16A666B5">
            <w:pPr>
              <w:pStyle w:val="12"/>
            </w:pPr>
            <w:r>
              <w:t>受益学生家长及调查满意度</w:t>
            </w:r>
          </w:p>
        </w:tc>
        <w:tc>
          <w:tcPr>
            <w:tcW w:w="5386" w:type="dxa"/>
            <w:vAlign w:val="center"/>
          </w:tcPr>
          <w:p w14:paraId="0226B358">
            <w:pPr>
              <w:pStyle w:val="12"/>
            </w:pPr>
            <w:r>
              <w:t>学生、教师及家长对学校保教保育工作满意度情况</w:t>
            </w:r>
          </w:p>
        </w:tc>
        <w:tc>
          <w:tcPr>
            <w:tcW w:w="2268" w:type="dxa"/>
            <w:vAlign w:val="center"/>
          </w:tcPr>
          <w:p w14:paraId="01AB720F">
            <w:pPr>
              <w:pStyle w:val="12"/>
            </w:pPr>
            <w:r>
              <w:t>≥95%</w:t>
            </w:r>
          </w:p>
        </w:tc>
        <w:tc>
          <w:tcPr>
            <w:tcW w:w="1276" w:type="dxa"/>
            <w:vAlign w:val="center"/>
          </w:tcPr>
          <w:p w14:paraId="56D90E74">
            <w:pPr>
              <w:pStyle w:val="12"/>
            </w:pPr>
            <w:r>
              <w:t>调查问卷</w:t>
            </w:r>
          </w:p>
        </w:tc>
      </w:tr>
    </w:tbl>
    <w:p w14:paraId="25B5A55E">
      <w:pPr>
        <w:sectPr>
          <w:pgSz w:w="16840" w:h="11900" w:orient="landscape"/>
          <w:pgMar w:top="1361" w:right="1020" w:bottom="1134" w:left="1020" w:header="720" w:footer="720" w:gutter="0"/>
          <w:cols w:space="720" w:num="1"/>
        </w:sectPr>
      </w:pPr>
    </w:p>
    <w:p w14:paraId="33CA0AB7">
      <w:pPr>
        <w:spacing w:before="10" w:after="10" w:line="240" w:lineRule="auto"/>
        <w:ind w:firstLine="640"/>
        <w:jc w:val="left"/>
        <w:outlineLvl w:val="5"/>
      </w:pPr>
      <w:r>
        <w:rPr>
          <w:rFonts w:ascii="黑体" w:hAnsi="黑体" w:eastAsia="黑体" w:cs="黑体"/>
          <w:color w:val="000000"/>
          <w:sz w:val="32"/>
        </w:rPr>
        <w:t>六、政府采购预算情况</w:t>
      </w:r>
    </w:p>
    <w:p w14:paraId="1147583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FA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D5BC69">
            <w:pPr>
              <w:pStyle w:val="9"/>
            </w:pPr>
            <w:r>
              <w:t>360013隆尧县实验小学</w:t>
            </w:r>
          </w:p>
        </w:tc>
        <w:tc>
          <w:tcPr>
            <w:tcW w:w="8676" w:type="dxa"/>
            <w:gridSpan w:val="9"/>
            <w:tcBorders>
              <w:top w:val="single" w:color="FFFFFF" w:sz="6" w:space="0"/>
              <w:left w:val="single" w:color="FFFFFF" w:sz="6" w:space="0"/>
              <w:right w:val="single" w:color="FFFFFF" w:sz="6" w:space="0"/>
            </w:tcBorders>
            <w:vAlign w:val="center"/>
          </w:tcPr>
          <w:p w14:paraId="6A6BD03F">
            <w:pPr>
              <w:pStyle w:val="21"/>
            </w:pPr>
            <w:r>
              <w:t>单位：万元</w:t>
            </w:r>
          </w:p>
        </w:tc>
      </w:tr>
      <w:tr w14:paraId="73D0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ABF310">
            <w:pPr>
              <w:pStyle w:val="10"/>
            </w:pPr>
            <w:r>
              <w:t>政府采购项目来源</w:t>
            </w:r>
          </w:p>
        </w:tc>
        <w:tc>
          <w:tcPr>
            <w:tcW w:w="1134" w:type="dxa"/>
            <w:vMerge w:val="restart"/>
            <w:vAlign w:val="center"/>
          </w:tcPr>
          <w:p w14:paraId="20B98682">
            <w:pPr>
              <w:pStyle w:val="10"/>
            </w:pPr>
            <w:r>
              <w:t>采购物品名称</w:t>
            </w:r>
          </w:p>
        </w:tc>
        <w:tc>
          <w:tcPr>
            <w:tcW w:w="1134" w:type="dxa"/>
            <w:vMerge w:val="restart"/>
            <w:vAlign w:val="center"/>
          </w:tcPr>
          <w:p w14:paraId="6E477DB8">
            <w:pPr>
              <w:pStyle w:val="10"/>
            </w:pPr>
            <w:r>
              <w:t>政府采购目录序号</w:t>
            </w:r>
          </w:p>
        </w:tc>
        <w:tc>
          <w:tcPr>
            <w:tcW w:w="709" w:type="dxa"/>
            <w:vMerge w:val="restart"/>
            <w:vAlign w:val="center"/>
          </w:tcPr>
          <w:p w14:paraId="323761AD">
            <w:pPr>
              <w:pStyle w:val="10"/>
            </w:pPr>
            <w:r>
              <w:t>计量  单位</w:t>
            </w:r>
          </w:p>
        </w:tc>
        <w:tc>
          <w:tcPr>
            <w:tcW w:w="850" w:type="dxa"/>
            <w:vMerge w:val="restart"/>
            <w:vAlign w:val="center"/>
          </w:tcPr>
          <w:p w14:paraId="72ACB1DE">
            <w:pPr>
              <w:pStyle w:val="10"/>
            </w:pPr>
            <w:r>
              <w:t>数量</w:t>
            </w:r>
          </w:p>
        </w:tc>
        <w:tc>
          <w:tcPr>
            <w:tcW w:w="850" w:type="dxa"/>
            <w:vMerge w:val="restart"/>
            <w:vAlign w:val="center"/>
          </w:tcPr>
          <w:p w14:paraId="359BB7D1">
            <w:pPr>
              <w:pStyle w:val="10"/>
            </w:pPr>
            <w:r>
              <w:t>单价</w:t>
            </w:r>
          </w:p>
        </w:tc>
        <w:tc>
          <w:tcPr>
            <w:tcW w:w="7712" w:type="dxa"/>
            <w:gridSpan w:val="8"/>
            <w:vAlign w:val="center"/>
          </w:tcPr>
          <w:p w14:paraId="64D07906">
            <w:pPr>
              <w:pStyle w:val="10"/>
            </w:pPr>
            <w:r>
              <w:t>政府采购金额（当年部门预算安排资金）</w:t>
            </w:r>
          </w:p>
        </w:tc>
        <w:tc>
          <w:tcPr>
            <w:tcW w:w="964" w:type="dxa"/>
            <w:vMerge w:val="restart"/>
            <w:vAlign w:val="center"/>
          </w:tcPr>
          <w:p w14:paraId="344AC7A7">
            <w:pPr>
              <w:pStyle w:val="10"/>
            </w:pPr>
            <w:r>
              <w:t>2026年  预留中  小微企  业份额</w:t>
            </w:r>
          </w:p>
        </w:tc>
      </w:tr>
      <w:tr w14:paraId="192DE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DC3F78">
            <w:pPr>
              <w:pStyle w:val="10"/>
            </w:pPr>
            <w:r>
              <w:t>项目名称</w:t>
            </w:r>
          </w:p>
        </w:tc>
        <w:tc>
          <w:tcPr>
            <w:tcW w:w="964" w:type="dxa"/>
            <w:vAlign w:val="center"/>
          </w:tcPr>
          <w:p w14:paraId="6E9C6D08">
            <w:pPr>
              <w:pStyle w:val="10"/>
            </w:pPr>
            <w:r>
              <w:t>预算    资金</w:t>
            </w:r>
          </w:p>
        </w:tc>
        <w:tc>
          <w:tcPr>
            <w:tcW w:w="1134" w:type="dxa"/>
            <w:vMerge w:val="continue"/>
          </w:tcPr>
          <w:p w14:paraId="61AE9C6A"/>
        </w:tc>
        <w:tc>
          <w:tcPr>
            <w:tcW w:w="1134" w:type="dxa"/>
            <w:vMerge w:val="continue"/>
          </w:tcPr>
          <w:p w14:paraId="1694EB7F"/>
        </w:tc>
        <w:tc>
          <w:tcPr>
            <w:tcW w:w="709" w:type="dxa"/>
            <w:vMerge w:val="continue"/>
          </w:tcPr>
          <w:p w14:paraId="4018C9EF"/>
        </w:tc>
        <w:tc>
          <w:tcPr>
            <w:tcW w:w="850" w:type="dxa"/>
            <w:vMerge w:val="continue"/>
          </w:tcPr>
          <w:p w14:paraId="5CEE7E70"/>
        </w:tc>
        <w:tc>
          <w:tcPr>
            <w:tcW w:w="850" w:type="dxa"/>
            <w:vMerge w:val="continue"/>
          </w:tcPr>
          <w:p w14:paraId="7F63E857"/>
        </w:tc>
        <w:tc>
          <w:tcPr>
            <w:tcW w:w="964" w:type="dxa"/>
            <w:vAlign w:val="center"/>
          </w:tcPr>
          <w:p w14:paraId="22165440">
            <w:pPr>
              <w:pStyle w:val="10"/>
            </w:pPr>
            <w:r>
              <w:t>合计</w:t>
            </w:r>
          </w:p>
        </w:tc>
        <w:tc>
          <w:tcPr>
            <w:tcW w:w="964" w:type="dxa"/>
            <w:vAlign w:val="center"/>
          </w:tcPr>
          <w:p w14:paraId="687C417A">
            <w:pPr>
              <w:pStyle w:val="10"/>
            </w:pPr>
            <w:r>
              <w:t>一般公共预算拨款</w:t>
            </w:r>
          </w:p>
        </w:tc>
        <w:tc>
          <w:tcPr>
            <w:tcW w:w="964" w:type="dxa"/>
            <w:vAlign w:val="center"/>
          </w:tcPr>
          <w:p w14:paraId="188C32F6">
            <w:pPr>
              <w:pStyle w:val="10"/>
            </w:pPr>
            <w:r>
              <w:t>基金预算拨款</w:t>
            </w:r>
          </w:p>
        </w:tc>
        <w:tc>
          <w:tcPr>
            <w:tcW w:w="964" w:type="dxa"/>
            <w:vAlign w:val="center"/>
          </w:tcPr>
          <w:p w14:paraId="48F1E8FB">
            <w:pPr>
              <w:pStyle w:val="10"/>
            </w:pPr>
            <w:r>
              <w:t>国有资本经营预算拨款</w:t>
            </w:r>
          </w:p>
        </w:tc>
        <w:tc>
          <w:tcPr>
            <w:tcW w:w="964" w:type="dxa"/>
            <w:vAlign w:val="center"/>
          </w:tcPr>
          <w:p w14:paraId="3B93FBEC">
            <w:pPr>
              <w:pStyle w:val="10"/>
            </w:pPr>
            <w:r>
              <w:t>财政专户核拨</w:t>
            </w:r>
          </w:p>
        </w:tc>
        <w:tc>
          <w:tcPr>
            <w:tcW w:w="964" w:type="dxa"/>
            <w:vAlign w:val="center"/>
          </w:tcPr>
          <w:p w14:paraId="2F4294DC">
            <w:pPr>
              <w:pStyle w:val="10"/>
            </w:pPr>
            <w:r>
              <w:t>单位    资金</w:t>
            </w:r>
          </w:p>
        </w:tc>
        <w:tc>
          <w:tcPr>
            <w:tcW w:w="964" w:type="dxa"/>
            <w:vAlign w:val="center"/>
          </w:tcPr>
          <w:p w14:paraId="240CA57B">
            <w:pPr>
              <w:pStyle w:val="10"/>
            </w:pPr>
            <w:r>
              <w:t>财政拨款结转</w:t>
            </w:r>
          </w:p>
        </w:tc>
        <w:tc>
          <w:tcPr>
            <w:tcW w:w="964" w:type="dxa"/>
            <w:vAlign w:val="center"/>
          </w:tcPr>
          <w:p w14:paraId="1DD5C950">
            <w:pPr>
              <w:pStyle w:val="10"/>
            </w:pPr>
            <w:r>
              <w:t>非财政拨款结余</w:t>
            </w:r>
          </w:p>
        </w:tc>
        <w:tc>
          <w:tcPr>
            <w:tcW w:w="964" w:type="dxa"/>
            <w:vMerge w:val="continue"/>
          </w:tcPr>
          <w:p w14:paraId="7859F495"/>
        </w:tc>
      </w:tr>
      <w:tr w14:paraId="5F50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F4B90">
            <w:pPr>
              <w:pStyle w:val="14"/>
            </w:pPr>
            <w:r>
              <w:t>合  计</w:t>
            </w:r>
          </w:p>
        </w:tc>
        <w:tc>
          <w:tcPr>
            <w:tcW w:w="964" w:type="dxa"/>
            <w:vAlign w:val="center"/>
          </w:tcPr>
          <w:p w14:paraId="54BD56B3">
            <w:pPr>
              <w:pStyle w:val="15"/>
            </w:pPr>
          </w:p>
        </w:tc>
        <w:tc>
          <w:tcPr>
            <w:tcW w:w="1134" w:type="dxa"/>
            <w:vAlign w:val="center"/>
          </w:tcPr>
          <w:p w14:paraId="67BFD629">
            <w:pPr>
              <w:pStyle w:val="16"/>
            </w:pPr>
          </w:p>
        </w:tc>
        <w:tc>
          <w:tcPr>
            <w:tcW w:w="1134" w:type="dxa"/>
            <w:vAlign w:val="center"/>
          </w:tcPr>
          <w:p w14:paraId="65F10564">
            <w:pPr>
              <w:pStyle w:val="16"/>
            </w:pPr>
          </w:p>
        </w:tc>
        <w:tc>
          <w:tcPr>
            <w:tcW w:w="709" w:type="dxa"/>
            <w:vAlign w:val="center"/>
          </w:tcPr>
          <w:p w14:paraId="1FB8830A">
            <w:pPr>
              <w:pStyle w:val="14"/>
            </w:pPr>
          </w:p>
        </w:tc>
        <w:tc>
          <w:tcPr>
            <w:tcW w:w="850" w:type="dxa"/>
            <w:vAlign w:val="center"/>
          </w:tcPr>
          <w:p w14:paraId="2B1FCF5F">
            <w:pPr>
              <w:pStyle w:val="15"/>
            </w:pPr>
          </w:p>
        </w:tc>
        <w:tc>
          <w:tcPr>
            <w:tcW w:w="850" w:type="dxa"/>
            <w:vAlign w:val="center"/>
          </w:tcPr>
          <w:p w14:paraId="43C6DF4B">
            <w:pPr>
              <w:pStyle w:val="15"/>
            </w:pPr>
          </w:p>
        </w:tc>
        <w:tc>
          <w:tcPr>
            <w:tcW w:w="964" w:type="dxa"/>
            <w:vAlign w:val="center"/>
          </w:tcPr>
          <w:p w14:paraId="15BE54DE">
            <w:pPr>
              <w:pStyle w:val="15"/>
            </w:pPr>
            <w:r>
              <w:t>8.36</w:t>
            </w:r>
          </w:p>
        </w:tc>
        <w:tc>
          <w:tcPr>
            <w:tcW w:w="964" w:type="dxa"/>
            <w:vAlign w:val="center"/>
          </w:tcPr>
          <w:p w14:paraId="556F232B">
            <w:pPr>
              <w:pStyle w:val="15"/>
            </w:pPr>
            <w:r>
              <w:t>8.36</w:t>
            </w:r>
          </w:p>
        </w:tc>
        <w:tc>
          <w:tcPr>
            <w:tcW w:w="964" w:type="dxa"/>
            <w:vAlign w:val="center"/>
          </w:tcPr>
          <w:p w14:paraId="04B31477">
            <w:pPr>
              <w:pStyle w:val="15"/>
            </w:pPr>
          </w:p>
        </w:tc>
        <w:tc>
          <w:tcPr>
            <w:tcW w:w="964" w:type="dxa"/>
            <w:vAlign w:val="center"/>
          </w:tcPr>
          <w:p w14:paraId="78A083CB">
            <w:pPr>
              <w:pStyle w:val="15"/>
            </w:pPr>
          </w:p>
        </w:tc>
        <w:tc>
          <w:tcPr>
            <w:tcW w:w="964" w:type="dxa"/>
            <w:vAlign w:val="center"/>
          </w:tcPr>
          <w:p w14:paraId="6A428C06">
            <w:pPr>
              <w:pStyle w:val="15"/>
            </w:pPr>
          </w:p>
        </w:tc>
        <w:tc>
          <w:tcPr>
            <w:tcW w:w="964" w:type="dxa"/>
            <w:vAlign w:val="center"/>
          </w:tcPr>
          <w:p w14:paraId="22E02D6F">
            <w:pPr>
              <w:pStyle w:val="15"/>
            </w:pPr>
          </w:p>
        </w:tc>
        <w:tc>
          <w:tcPr>
            <w:tcW w:w="964" w:type="dxa"/>
            <w:vAlign w:val="center"/>
          </w:tcPr>
          <w:p w14:paraId="2035691C">
            <w:pPr>
              <w:pStyle w:val="15"/>
            </w:pPr>
          </w:p>
        </w:tc>
        <w:tc>
          <w:tcPr>
            <w:tcW w:w="964" w:type="dxa"/>
            <w:vAlign w:val="center"/>
          </w:tcPr>
          <w:p w14:paraId="0A57987C">
            <w:pPr>
              <w:pStyle w:val="15"/>
            </w:pPr>
          </w:p>
        </w:tc>
        <w:tc>
          <w:tcPr>
            <w:tcW w:w="964" w:type="dxa"/>
            <w:vAlign w:val="center"/>
          </w:tcPr>
          <w:p w14:paraId="5D1D6E17">
            <w:pPr>
              <w:pStyle w:val="15"/>
            </w:pPr>
            <w:r>
              <w:t>8.36</w:t>
            </w:r>
          </w:p>
        </w:tc>
      </w:tr>
      <w:tr w14:paraId="0E8C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F73CB8">
            <w:pPr>
              <w:pStyle w:val="14"/>
            </w:pPr>
            <w:r>
              <w:t>隆尧县实验小学小计</w:t>
            </w:r>
          </w:p>
        </w:tc>
        <w:tc>
          <w:tcPr>
            <w:tcW w:w="964" w:type="dxa"/>
            <w:vAlign w:val="center"/>
          </w:tcPr>
          <w:p w14:paraId="0F1FB3CE">
            <w:pPr>
              <w:pStyle w:val="15"/>
            </w:pPr>
          </w:p>
        </w:tc>
        <w:tc>
          <w:tcPr>
            <w:tcW w:w="1134" w:type="dxa"/>
            <w:vAlign w:val="center"/>
          </w:tcPr>
          <w:p w14:paraId="28E44F49">
            <w:pPr>
              <w:pStyle w:val="16"/>
            </w:pPr>
          </w:p>
        </w:tc>
        <w:tc>
          <w:tcPr>
            <w:tcW w:w="1134" w:type="dxa"/>
            <w:vAlign w:val="center"/>
          </w:tcPr>
          <w:p w14:paraId="04C189A6">
            <w:pPr>
              <w:pStyle w:val="16"/>
            </w:pPr>
          </w:p>
        </w:tc>
        <w:tc>
          <w:tcPr>
            <w:tcW w:w="709" w:type="dxa"/>
            <w:vAlign w:val="center"/>
          </w:tcPr>
          <w:p w14:paraId="6D0E6293">
            <w:pPr>
              <w:pStyle w:val="14"/>
            </w:pPr>
          </w:p>
        </w:tc>
        <w:tc>
          <w:tcPr>
            <w:tcW w:w="850" w:type="dxa"/>
            <w:vAlign w:val="center"/>
          </w:tcPr>
          <w:p w14:paraId="39BDEC74">
            <w:pPr>
              <w:pStyle w:val="15"/>
            </w:pPr>
          </w:p>
        </w:tc>
        <w:tc>
          <w:tcPr>
            <w:tcW w:w="850" w:type="dxa"/>
            <w:vAlign w:val="center"/>
          </w:tcPr>
          <w:p w14:paraId="6BE6EA62">
            <w:pPr>
              <w:pStyle w:val="15"/>
            </w:pPr>
          </w:p>
        </w:tc>
        <w:tc>
          <w:tcPr>
            <w:tcW w:w="964" w:type="dxa"/>
            <w:vAlign w:val="center"/>
          </w:tcPr>
          <w:p w14:paraId="1ABE8AD6">
            <w:pPr>
              <w:pStyle w:val="15"/>
            </w:pPr>
            <w:r>
              <w:t>8.36</w:t>
            </w:r>
          </w:p>
        </w:tc>
        <w:tc>
          <w:tcPr>
            <w:tcW w:w="964" w:type="dxa"/>
            <w:vAlign w:val="center"/>
          </w:tcPr>
          <w:p w14:paraId="5AAC8EF9">
            <w:pPr>
              <w:pStyle w:val="15"/>
            </w:pPr>
            <w:r>
              <w:t>8.36</w:t>
            </w:r>
          </w:p>
        </w:tc>
        <w:tc>
          <w:tcPr>
            <w:tcW w:w="964" w:type="dxa"/>
            <w:vAlign w:val="center"/>
          </w:tcPr>
          <w:p w14:paraId="6937D2AE">
            <w:pPr>
              <w:pStyle w:val="15"/>
            </w:pPr>
          </w:p>
        </w:tc>
        <w:tc>
          <w:tcPr>
            <w:tcW w:w="964" w:type="dxa"/>
            <w:vAlign w:val="center"/>
          </w:tcPr>
          <w:p w14:paraId="6E1749C6">
            <w:pPr>
              <w:pStyle w:val="15"/>
            </w:pPr>
          </w:p>
        </w:tc>
        <w:tc>
          <w:tcPr>
            <w:tcW w:w="964" w:type="dxa"/>
            <w:vAlign w:val="center"/>
          </w:tcPr>
          <w:p w14:paraId="1864ABF3">
            <w:pPr>
              <w:pStyle w:val="15"/>
            </w:pPr>
          </w:p>
        </w:tc>
        <w:tc>
          <w:tcPr>
            <w:tcW w:w="964" w:type="dxa"/>
            <w:vAlign w:val="center"/>
          </w:tcPr>
          <w:p w14:paraId="6654D88B">
            <w:pPr>
              <w:pStyle w:val="15"/>
            </w:pPr>
          </w:p>
        </w:tc>
        <w:tc>
          <w:tcPr>
            <w:tcW w:w="964" w:type="dxa"/>
            <w:vAlign w:val="center"/>
          </w:tcPr>
          <w:p w14:paraId="53F8E2DA">
            <w:pPr>
              <w:pStyle w:val="15"/>
            </w:pPr>
          </w:p>
        </w:tc>
        <w:tc>
          <w:tcPr>
            <w:tcW w:w="964" w:type="dxa"/>
            <w:vAlign w:val="center"/>
          </w:tcPr>
          <w:p w14:paraId="24057965">
            <w:pPr>
              <w:pStyle w:val="15"/>
            </w:pPr>
          </w:p>
        </w:tc>
        <w:tc>
          <w:tcPr>
            <w:tcW w:w="964" w:type="dxa"/>
            <w:vAlign w:val="center"/>
          </w:tcPr>
          <w:p w14:paraId="5ED534D2">
            <w:pPr>
              <w:pStyle w:val="15"/>
            </w:pPr>
            <w:r>
              <w:t>8.36</w:t>
            </w:r>
          </w:p>
        </w:tc>
      </w:tr>
      <w:tr w14:paraId="4950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5E5DBC">
            <w:pPr>
              <w:pStyle w:val="12"/>
            </w:pPr>
            <w:r>
              <w:t>冀财教[2025]147号/省级/2026年义教补助经费/实验小学公用经费</w:t>
            </w:r>
          </w:p>
        </w:tc>
        <w:tc>
          <w:tcPr>
            <w:tcW w:w="964" w:type="dxa"/>
            <w:vAlign w:val="center"/>
          </w:tcPr>
          <w:p w14:paraId="311DB48D">
            <w:pPr>
              <w:pStyle w:val="11"/>
            </w:pPr>
            <w:r>
              <w:t>95.83</w:t>
            </w:r>
          </w:p>
        </w:tc>
        <w:tc>
          <w:tcPr>
            <w:tcW w:w="1134" w:type="dxa"/>
            <w:vAlign w:val="center"/>
          </w:tcPr>
          <w:p w14:paraId="00559ABF">
            <w:pPr>
              <w:pStyle w:val="12"/>
            </w:pPr>
            <w:r>
              <w:t>台式计算机</w:t>
            </w:r>
          </w:p>
        </w:tc>
        <w:tc>
          <w:tcPr>
            <w:tcW w:w="1134" w:type="dxa"/>
            <w:vAlign w:val="center"/>
          </w:tcPr>
          <w:p w14:paraId="7F46D1FF">
            <w:pPr>
              <w:pStyle w:val="12"/>
            </w:pPr>
            <w:r>
              <w:t>A02010105</w:t>
            </w:r>
          </w:p>
        </w:tc>
        <w:tc>
          <w:tcPr>
            <w:tcW w:w="709" w:type="dxa"/>
            <w:vAlign w:val="center"/>
          </w:tcPr>
          <w:p w14:paraId="7A0DCDC0">
            <w:pPr>
              <w:pStyle w:val="13"/>
            </w:pPr>
            <w:r>
              <w:t>台</w:t>
            </w:r>
          </w:p>
        </w:tc>
        <w:tc>
          <w:tcPr>
            <w:tcW w:w="850" w:type="dxa"/>
            <w:vAlign w:val="center"/>
          </w:tcPr>
          <w:p w14:paraId="3079D8EA">
            <w:pPr>
              <w:pStyle w:val="11"/>
            </w:pPr>
            <w:r>
              <w:t>10</w:t>
            </w:r>
          </w:p>
        </w:tc>
        <w:tc>
          <w:tcPr>
            <w:tcW w:w="850" w:type="dxa"/>
            <w:vAlign w:val="center"/>
          </w:tcPr>
          <w:p w14:paraId="1F491765">
            <w:pPr>
              <w:pStyle w:val="11"/>
            </w:pPr>
            <w:r>
              <w:t>0.40</w:t>
            </w:r>
          </w:p>
        </w:tc>
        <w:tc>
          <w:tcPr>
            <w:tcW w:w="964" w:type="dxa"/>
            <w:vAlign w:val="center"/>
          </w:tcPr>
          <w:p w14:paraId="588E45FF">
            <w:pPr>
              <w:pStyle w:val="11"/>
            </w:pPr>
            <w:r>
              <w:t>4.00</w:t>
            </w:r>
          </w:p>
        </w:tc>
        <w:tc>
          <w:tcPr>
            <w:tcW w:w="964" w:type="dxa"/>
            <w:vAlign w:val="center"/>
          </w:tcPr>
          <w:p w14:paraId="4CA73BAE">
            <w:pPr>
              <w:pStyle w:val="11"/>
            </w:pPr>
            <w:r>
              <w:t>4.00</w:t>
            </w:r>
          </w:p>
        </w:tc>
        <w:tc>
          <w:tcPr>
            <w:tcW w:w="964" w:type="dxa"/>
            <w:vAlign w:val="center"/>
          </w:tcPr>
          <w:p w14:paraId="45268FB6">
            <w:pPr>
              <w:pStyle w:val="11"/>
            </w:pPr>
          </w:p>
        </w:tc>
        <w:tc>
          <w:tcPr>
            <w:tcW w:w="964" w:type="dxa"/>
            <w:vAlign w:val="center"/>
          </w:tcPr>
          <w:p w14:paraId="394FE971">
            <w:pPr>
              <w:pStyle w:val="11"/>
            </w:pPr>
          </w:p>
        </w:tc>
        <w:tc>
          <w:tcPr>
            <w:tcW w:w="964" w:type="dxa"/>
            <w:vAlign w:val="center"/>
          </w:tcPr>
          <w:p w14:paraId="37090531">
            <w:pPr>
              <w:pStyle w:val="11"/>
            </w:pPr>
          </w:p>
        </w:tc>
        <w:tc>
          <w:tcPr>
            <w:tcW w:w="964" w:type="dxa"/>
            <w:vAlign w:val="center"/>
          </w:tcPr>
          <w:p w14:paraId="742A8AAE">
            <w:pPr>
              <w:pStyle w:val="11"/>
            </w:pPr>
          </w:p>
        </w:tc>
        <w:tc>
          <w:tcPr>
            <w:tcW w:w="964" w:type="dxa"/>
            <w:vAlign w:val="center"/>
          </w:tcPr>
          <w:p w14:paraId="10F96790">
            <w:pPr>
              <w:pStyle w:val="11"/>
            </w:pPr>
          </w:p>
        </w:tc>
        <w:tc>
          <w:tcPr>
            <w:tcW w:w="964" w:type="dxa"/>
            <w:vAlign w:val="center"/>
          </w:tcPr>
          <w:p w14:paraId="126ADD36">
            <w:pPr>
              <w:pStyle w:val="11"/>
            </w:pPr>
          </w:p>
        </w:tc>
        <w:tc>
          <w:tcPr>
            <w:tcW w:w="964" w:type="dxa"/>
            <w:vAlign w:val="center"/>
          </w:tcPr>
          <w:p w14:paraId="2A14187C">
            <w:pPr>
              <w:pStyle w:val="11"/>
            </w:pPr>
            <w:r>
              <w:t>4.00</w:t>
            </w:r>
          </w:p>
        </w:tc>
      </w:tr>
      <w:tr w14:paraId="25A2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C468DC">
            <w:pPr>
              <w:pStyle w:val="12"/>
            </w:pPr>
            <w:r>
              <w:t>冀财教[2025]147号/省级/2026年义教补助经费/实验小学公用经费</w:t>
            </w:r>
          </w:p>
        </w:tc>
        <w:tc>
          <w:tcPr>
            <w:tcW w:w="964" w:type="dxa"/>
            <w:vAlign w:val="center"/>
          </w:tcPr>
          <w:p w14:paraId="7DCE2E5E">
            <w:pPr>
              <w:pStyle w:val="11"/>
            </w:pPr>
            <w:r>
              <w:t>95.83</w:t>
            </w:r>
          </w:p>
        </w:tc>
        <w:tc>
          <w:tcPr>
            <w:tcW w:w="1134" w:type="dxa"/>
            <w:vAlign w:val="center"/>
          </w:tcPr>
          <w:p w14:paraId="2D464156">
            <w:pPr>
              <w:pStyle w:val="12"/>
            </w:pPr>
            <w:r>
              <w:t>A4 黑白打印机</w:t>
            </w:r>
          </w:p>
        </w:tc>
        <w:tc>
          <w:tcPr>
            <w:tcW w:w="1134" w:type="dxa"/>
            <w:vAlign w:val="center"/>
          </w:tcPr>
          <w:p w14:paraId="6764DACB">
            <w:pPr>
              <w:pStyle w:val="12"/>
            </w:pPr>
            <w:r>
              <w:t>A02021003</w:t>
            </w:r>
          </w:p>
        </w:tc>
        <w:tc>
          <w:tcPr>
            <w:tcW w:w="709" w:type="dxa"/>
            <w:vAlign w:val="center"/>
          </w:tcPr>
          <w:p w14:paraId="47F8D548">
            <w:pPr>
              <w:pStyle w:val="13"/>
            </w:pPr>
            <w:r>
              <w:t>台</w:t>
            </w:r>
          </w:p>
        </w:tc>
        <w:tc>
          <w:tcPr>
            <w:tcW w:w="850" w:type="dxa"/>
            <w:vAlign w:val="center"/>
          </w:tcPr>
          <w:p w14:paraId="7677FA79">
            <w:pPr>
              <w:pStyle w:val="11"/>
            </w:pPr>
            <w:r>
              <w:t>2</w:t>
            </w:r>
          </w:p>
        </w:tc>
        <w:tc>
          <w:tcPr>
            <w:tcW w:w="850" w:type="dxa"/>
            <w:vAlign w:val="center"/>
          </w:tcPr>
          <w:p w14:paraId="3B2C65BC">
            <w:pPr>
              <w:pStyle w:val="11"/>
            </w:pPr>
            <w:r>
              <w:t>0.18</w:t>
            </w:r>
          </w:p>
        </w:tc>
        <w:tc>
          <w:tcPr>
            <w:tcW w:w="964" w:type="dxa"/>
            <w:vAlign w:val="center"/>
          </w:tcPr>
          <w:p w14:paraId="115D1D21">
            <w:pPr>
              <w:pStyle w:val="11"/>
            </w:pPr>
            <w:r>
              <w:t>0.36</w:t>
            </w:r>
          </w:p>
        </w:tc>
        <w:tc>
          <w:tcPr>
            <w:tcW w:w="964" w:type="dxa"/>
            <w:vAlign w:val="center"/>
          </w:tcPr>
          <w:p w14:paraId="06B6516D">
            <w:pPr>
              <w:pStyle w:val="11"/>
            </w:pPr>
            <w:r>
              <w:t>0.36</w:t>
            </w:r>
          </w:p>
        </w:tc>
        <w:tc>
          <w:tcPr>
            <w:tcW w:w="964" w:type="dxa"/>
            <w:vAlign w:val="center"/>
          </w:tcPr>
          <w:p w14:paraId="1489804A">
            <w:pPr>
              <w:pStyle w:val="11"/>
            </w:pPr>
          </w:p>
        </w:tc>
        <w:tc>
          <w:tcPr>
            <w:tcW w:w="964" w:type="dxa"/>
            <w:vAlign w:val="center"/>
          </w:tcPr>
          <w:p w14:paraId="00EF9F6F">
            <w:pPr>
              <w:pStyle w:val="11"/>
            </w:pPr>
          </w:p>
        </w:tc>
        <w:tc>
          <w:tcPr>
            <w:tcW w:w="964" w:type="dxa"/>
            <w:vAlign w:val="center"/>
          </w:tcPr>
          <w:p w14:paraId="4BB2EC72">
            <w:pPr>
              <w:pStyle w:val="11"/>
            </w:pPr>
          </w:p>
        </w:tc>
        <w:tc>
          <w:tcPr>
            <w:tcW w:w="964" w:type="dxa"/>
            <w:vAlign w:val="center"/>
          </w:tcPr>
          <w:p w14:paraId="49B739F2">
            <w:pPr>
              <w:pStyle w:val="11"/>
            </w:pPr>
          </w:p>
        </w:tc>
        <w:tc>
          <w:tcPr>
            <w:tcW w:w="964" w:type="dxa"/>
            <w:vAlign w:val="center"/>
          </w:tcPr>
          <w:p w14:paraId="3A8E5B90">
            <w:pPr>
              <w:pStyle w:val="11"/>
            </w:pPr>
          </w:p>
        </w:tc>
        <w:tc>
          <w:tcPr>
            <w:tcW w:w="964" w:type="dxa"/>
            <w:vAlign w:val="center"/>
          </w:tcPr>
          <w:p w14:paraId="5C2F4D66">
            <w:pPr>
              <w:pStyle w:val="11"/>
            </w:pPr>
          </w:p>
        </w:tc>
        <w:tc>
          <w:tcPr>
            <w:tcW w:w="964" w:type="dxa"/>
            <w:vAlign w:val="center"/>
          </w:tcPr>
          <w:p w14:paraId="52126E7C">
            <w:pPr>
              <w:pStyle w:val="11"/>
            </w:pPr>
            <w:r>
              <w:t>0.36</w:t>
            </w:r>
          </w:p>
        </w:tc>
      </w:tr>
      <w:tr w14:paraId="49A2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FB722A">
            <w:pPr>
              <w:pStyle w:val="12"/>
            </w:pPr>
            <w:r>
              <w:t>县级配套/实验小学公用经费</w:t>
            </w:r>
          </w:p>
        </w:tc>
        <w:tc>
          <w:tcPr>
            <w:tcW w:w="964" w:type="dxa"/>
            <w:vAlign w:val="center"/>
          </w:tcPr>
          <w:p w14:paraId="440639AC">
            <w:pPr>
              <w:pStyle w:val="11"/>
            </w:pPr>
            <w:r>
              <w:t>30.36</w:t>
            </w:r>
          </w:p>
        </w:tc>
        <w:tc>
          <w:tcPr>
            <w:tcW w:w="1134" w:type="dxa"/>
            <w:vAlign w:val="center"/>
          </w:tcPr>
          <w:p w14:paraId="60C1569A">
            <w:pPr>
              <w:pStyle w:val="12"/>
            </w:pPr>
            <w:r>
              <w:t>书籍、课本</w:t>
            </w:r>
          </w:p>
        </w:tc>
        <w:tc>
          <w:tcPr>
            <w:tcW w:w="1134" w:type="dxa"/>
            <w:vAlign w:val="center"/>
          </w:tcPr>
          <w:p w14:paraId="37A58DF6">
            <w:pPr>
              <w:pStyle w:val="12"/>
            </w:pPr>
            <w:r>
              <w:t>A04010101</w:t>
            </w:r>
          </w:p>
        </w:tc>
        <w:tc>
          <w:tcPr>
            <w:tcW w:w="709" w:type="dxa"/>
            <w:vAlign w:val="center"/>
          </w:tcPr>
          <w:p w14:paraId="6D660C79">
            <w:pPr>
              <w:pStyle w:val="13"/>
            </w:pPr>
            <w:r>
              <w:t>套</w:t>
            </w:r>
          </w:p>
        </w:tc>
        <w:tc>
          <w:tcPr>
            <w:tcW w:w="850" w:type="dxa"/>
            <w:vAlign w:val="center"/>
          </w:tcPr>
          <w:p w14:paraId="333481F9">
            <w:pPr>
              <w:pStyle w:val="11"/>
            </w:pPr>
            <w:r>
              <w:t>1</w:t>
            </w:r>
          </w:p>
        </w:tc>
        <w:tc>
          <w:tcPr>
            <w:tcW w:w="850" w:type="dxa"/>
            <w:vAlign w:val="center"/>
          </w:tcPr>
          <w:p w14:paraId="03F00ACD">
            <w:pPr>
              <w:pStyle w:val="11"/>
            </w:pPr>
            <w:r>
              <w:t>4.00</w:t>
            </w:r>
          </w:p>
        </w:tc>
        <w:tc>
          <w:tcPr>
            <w:tcW w:w="964" w:type="dxa"/>
            <w:vAlign w:val="center"/>
          </w:tcPr>
          <w:p w14:paraId="79903E25">
            <w:pPr>
              <w:pStyle w:val="11"/>
            </w:pPr>
            <w:r>
              <w:t>4.00</w:t>
            </w:r>
          </w:p>
        </w:tc>
        <w:tc>
          <w:tcPr>
            <w:tcW w:w="964" w:type="dxa"/>
            <w:vAlign w:val="center"/>
          </w:tcPr>
          <w:p w14:paraId="06E9679E">
            <w:pPr>
              <w:pStyle w:val="11"/>
            </w:pPr>
            <w:r>
              <w:t>4.00</w:t>
            </w:r>
          </w:p>
        </w:tc>
        <w:tc>
          <w:tcPr>
            <w:tcW w:w="964" w:type="dxa"/>
            <w:vAlign w:val="center"/>
          </w:tcPr>
          <w:p w14:paraId="5D1DC85E">
            <w:pPr>
              <w:pStyle w:val="11"/>
            </w:pPr>
          </w:p>
        </w:tc>
        <w:tc>
          <w:tcPr>
            <w:tcW w:w="964" w:type="dxa"/>
            <w:vAlign w:val="center"/>
          </w:tcPr>
          <w:p w14:paraId="3E7169BD">
            <w:pPr>
              <w:pStyle w:val="11"/>
            </w:pPr>
          </w:p>
        </w:tc>
        <w:tc>
          <w:tcPr>
            <w:tcW w:w="964" w:type="dxa"/>
            <w:vAlign w:val="center"/>
          </w:tcPr>
          <w:p w14:paraId="093475A9">
            <w:pPr>
              <w:pStyle w:val="11"/>
            </w:pPr>
          </w:p>
        </w:tc>
        <w:tc>
          <w:tcPr>
            <w:tcW w:w="964" w:type="dxa"/>
            <w:vAlign w:val="center"/>
          </w:tcPr>
          <w:p w14:paraId="3236BD05">
            <w:pPr>
              <w:pStyle w:val="11"/>
            </w:pPr>
          </w:p>
        </w:tc>
        <w:tc>
          <w:tcPr>
            <w:tcW w:w="964" w:type="dxa"/>
            <w:vAlign w:val="center"/>
          </w:tcPr>
          <w:p w14:paraId="12FBC193">
            <w:pPr>
              <w:pStyle w:val="11"/>
            </w:pPr>
          </w:p>
        </w:tc>
        <w:tc>
          <w:tcPr>
            <w:tcW w:w="964" w:type="dxa"/>
            <w:vAlign w:val="center"/>
          </w:tcPr>
          <w:p w14:paraId="7971B5AF">
            <w:pPr>
              <w:pStyle w:val="11"/>
            </w:pPr>
          </w:p>
        </w:tc>
        <w:tc>
          <w:tcPr>
            <w:tcW w:w="964" w:type="dxa"/>
            <w:vAlign w:val="center"/>
          </w:tcPr>
          <w:p w14:paraId="3BD83511">
            <w:pPr>
              <w:pStyle w:val="11"/>
            </w:pPr>
            <w:r>
              <w:t>4.00</w:t>
            </w:r>
          </w:p>
        </w:tc>
      </w:tr>
    </w:tbl>
    <w:p w14:paraId="10C137C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E8F233">
      <w:pPr>
        <w:spacing w:before="0" w:after="0"/>
        <w:ind w:firstLine="640"/>
        <w:jc w:val="left"/>
        <w:outlineLvl w:val="9"/>
      </w:pPr>
      <w:r>
        <w:rPr>
          <w:rFonts w:ascii="Times New Roman" w:hAnsi="Times New Roman" w:eastAsia="方正仿宋_GBK" w:cs="Times New Roman"/>
          <w:color w:val="000000"/>
          <w:sz w:val="32"/>
        </w:rPr>
        <w:t xml:space="preserve"> </w:t>
      </w:r>
    </w:p>
    <w:p w14:paraId="1D91296E">
      <w:pPr>
        <w:spacing w:before="10" w:after="10" w:line="240" w:lineRule="auto"/>
        <w:ind w:firstLine="640"/>
        <w:jc w:val="left"/>
        <w:outlineLvl w:val="5"/>
      </w:pPr>
      <w:r>
        <w:rPr>
          <w:rFonts w:ascii="黑体" w:hAnsi="黑体" w:eastAsia="黑体" w:cs="黑体"/>
          <w:color w:val="000000"/>
          <w:sz w:val="32"/>
        </w:rPr>
        <w:t>七、国有资产信息</w:t>
      </w:r>
    </w:p>
    <w:p w14:paraId="2ECDF741">
      <w:pPr>
        <w:spacing w:before="0" w:after="0" w:line="500" w:lineRule="exact"/>
        <w:ind w:firstLine="560"/>
        <w:jc w:val="left"/>
        <w:outlineLvl w:val="9"/>
      </w:pPr>
      <w:r>
        <w:rPr>
          <w:rFonts w:ascii="Times New Roman" w:hAnsi="Times New Roman" w:eastAsia="方正仿宋_GBK" w:cs="Times New Roman"/>
          <w:b w:val="0"/>
          <w:color w:val="000000"/>
          <w:sz w:val="28"/>
        </w:rPr>
        <w:t>隆尧县实验小学上年末固定资产金额为1982.70万元（详见下表）。本年度拟购置固定资产总额为30.00万元，已按要求列入政府采购预算，详见政府采购预算表。</w:t>
      </w:r>
    </w:p>
    <w:p w14:paraId="2CDFBF4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EE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7AEA09">
            <w:pPr>
              <w:pStyle w:val="9"/>
            </w:pPr>
            <w:r>
              <w:t>360013隆尧县实验小学</w:t>
            </w:r>
          </w:p>
        </w:tc>
        <w:tc>
          <w:tcPr>
            <w:tcW w:w="5670" w:type="dxa"/>
            <w:gridSpan w:val="2"/>
            <w:tcBorders>
              <w:top w:val="single" w:color="FFFFFF" w:sz="6" w:space="0"/>
              <w:left w:val="single" w:color="FFFFFF" w:sz="6" w:space="0"/>
              <w:right w:val="single" w:color="FFFFFF" w:sz="6" w:space="0"/>
            </w:tcBorders>
            <w:vAlign w:val="center"/>
          </w:tcPr>
          <w:p w14:paraId="3F3CB1CD">
            <w:pPr>
              <w:pStyle w:val="7"/>
            </w:pPr>
            <w:r>
              <w:t>截止时间：2025-12-31</w:t>
            </w:r>
          </w:p>
        </w:tc>
      </w:tr>
      <w:tr w14:paraId="4C61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718ACC">
            <w:pPr>
              <w:pStyle w:val="10"/>
            </w:pPr>
            <w:r>
              <w:t>项   目</w:t>
            </w:r>
          </w:p>
        </w:tc>
        <w:tc>
          <w:tcPr>
            <w:tcW w:w="2835" w:type="dxa"/>
            <w:vAlign w:val="center"/>
          </w:tcPr>
          <w:p w14:paraId="36A05772">
            <w:pPr>
              <w:pStyle w:val="10"/>
            </w:pPr>
            <w:r>
              <w:t>数量</w:t>
            </w:r>
          </w:p>
        </w:tc>
        <w:tc>
          <w:tcPr>
            <w:tcW w:w="2835" w:type="dxa"/>
            <w:vAlign w:val="center"/>
          </w:tcPr>
          <w:p w14:paraId="7E0394E6">
            <w:pPr>
              <w:pStyle w:val="10"/>
            </w:pPr>
            <w:r>
              <w:t>价值（金额单位：万元）</w:t>
            </w:r>
          </w:p>
        </w:tc>
      </w:tr>
      <w:tr w14:paraId="36DA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9C5D62">
            <w:pPr>
              <w:pStyle w:val="12"/>
            </w:pPr>
            <w:r>
              <w:t>资产总额</w:t>
            </w:r>
          </w:p>
        </w:tc>
        <w:tc>
          <w:tcPr>
            <w:tcW w:w="2835" w:type="dxa"/>
            <w:vAlign w:val="center"/>
          </w:tcPr>
          <w:p w14:paraId="7F3718F5">
            <w:pPr>
              <w:pStyle w:val="13"/>
            </w:pPr>
          </w:p>
        </w:tc>
        <w:tc>
          <w:tcPr>
            <w:tcW w:w="2835" w:type="dxa"/>
            <w:vAlign w:val="center"/>
          </w:tcPr>
          <w:p w14:paraId="6A655C26">
            <w:pPr>
              <w:pStyle w:val="11"/>
            </w:pPr>
            <w:r>
              <w:t>1982.70</w:t>
            </w:r>
          </w:p>
        </w:tc>
      </w:tr>
      <w:tr w14:paraId="4215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1AF407">
            <w:pPr>
              <w:pStyle w:val="12"/>
            </w:pPr>
            <w:r>
              <w:t>1、房屋（平方米）</w:t>
            </w:r>
          </w:p>
        </w:tc>
        <w:tc>
          <w:tcPr>
            <w:tcW w:w="2835" w:type="dxa"/>
            <w:vAlign w:val="center"/>
          </w:tcPr>
          <w:p w14:paraId="653F4F64">
            <w:pPr>
              <w:pStyle w:val="13"/>
            </w:pPr>
            <w:r>
              <w:t>12653.70</w:t>
            </w:r>
          </w:p>
        </w:tc>
        <w:tc>
          <w:tcPr>
            <w:tcW w:w="2835" w:type="dxa"/>
            <w:vAlign w:val="center"/>
          </w:tcPr>
          <w:p w14:paraId="27CEFD7B">
            <w:pPr>
              <w:pStyle w:val="11"/>
            </w:pPr>
            <w:r>
              <w:t>1081.60</w:t>
            </w:r>
          </w:p>
        </w:tc>
      </w:tr>
      <w:tr w14:paraId="27CC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0AC0DB">
            <w:pPr>
              <w:pStyle w:val="12"/>
            </w:pPr>
            <w:r>
              <w:t>　　其中：办公用房（平方米）</w:t>
            </w:r>
          </w:p>
        </w:tc>
        <w:tc>
          <w:tcPr>
            <w:tcW w:w="2835" w:type="dxa"/>
            <w:vAlign w:val="center"/>
          </w:tcPr>
          <w:p w14:paraId="64B2ADBB">
            <w:pPr>
              <w:pStyle w:val="13"/>
            </w:pPr>
            <w:r>
              <w:t>10526.28</w:t>
            </w:r>
          </w:p>
        </w:tc>
        <w:tc>
          <w:tcPr>
            <w:tcW w:w="2835" w:type="dxa"/>
            <w:vAlign w:val="center"/>
          </w:tcPr>
          <w:p w14:paraId="07AC2423">
            <w:pPr>
              <w:pStyle w:val="11"/>
            </w:pPr>
            <w:r>
              <w:t>891.78</w:t>
            </w:r>
          </w:p>
        </w:tc>
      </w:tr>
      <w:tr w14:paraId="30B6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D73832">
            <w:pPr>
              <w:pStyle w:val="12"/>
            </w:pPr>
            <w:r>
              <w:t>2、车辆（台、辆）</w:t>
            </w:r>
          </w:p>
        </w:tc>
        <w:tc>
          <w:tcPr>
            <w:tcW w:w="2835" w:type="dxa"/>
            <w:vAlign w:val="center"/>
          </w:tcPr>
          <w:p w14:paraId="32B41562">
            <w:pPr>
              <w:pStyle w:val="13"/>
            </w:pPr>
          </w:p>
        </w:tc>
        <w:tc>
          <w:tcPr>
            <w:tcW w:w="2835" w:type="dxa"/>
            <w:vAlign w:val="center"/>
          </w:tcPr>
          <w:p w14:paraId="3A27A333">
            <w:pPr>
              <w:pStyle w:val="11"/>
            </w:pPr>
          </w:p>
        </w:tc>
      </w:tr>
      <w:tr w14:paraId="7D83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B0D104">
            <w:pPr>
              <w:pStyle w:val="12"/>
            </w:pPr>
            <w:r>
              <w:t>3、单价在20万元以上的设备</w:t>
            </w:r>
          </w:p>
        </w:tc>
        <w:tc>
          <w:tcPr>
            <w:tcW w:w="2835" w:type="dxa"/>
            <w:vAlign w:val="center"/>
          </w:tcPr>
          <w:p w14:paraId="16A8C90E">
            <w:pPr>
              <w:pStyle w:val="13"/>
            </w:pPr>
            <w:r>
              <w:t>5</w:t>
            </w:r>
          </w:p>
        </w:tc>
        <w:tc>
          <w:tcPr>
            <w:tcW w:w="2835" w:type="dxa"/>
            <w:vAlign w:val="center"/>
          </w:tcPr>
          <w:p w14:paraId="685DC8BE">
            <w:pPr>
              <w:pStyle w:val="11"/>
            </w:pPr>
            <w:r>
              <w:t>171.72</w:t>
            </w:r>
          </w:p>
        </w:tc>
      </w:tr>
      <w:tr w14:paraId="3F3B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FAAF8E">
            <w:pPr>
              <w:pStyle w:val="12"/>
            </w:pPr>
            <w:r>
              <w:t>4、其他固定资产</w:t>
            </w:r>
          </w:p>
        </w:tc>
        <w:tc>
          <w:tcPr>
            <w:tcW w:w="2835" w:type="dxa"/>
            <w:vAlign w:val="center"/>
          </w:tcPr>
          <w:p w14:paraId="5DB1DD9E">
            <w:pPr>
              <w:pStyle w:val="13"/>
            </w:pPr>
            <w:r>
              <w:t>5238</w:t>
            </w:r>
          </w:p>
        </w:tc>
        <w:tc>
          <w:tcPr>
            <w:tcW w:w="2835" w:type="dxa"/>
            <w:vAlign w:val="center"/>
          </w:tcPr>
          <w:p w14:paraId="1C29C726">
            <w:pPr>
              <w:pStyle w:val="11"/>
            </w:pPr>
            <w:r>
              <w:t>729.39</w:t>
            </w:r>
          </w:p>
        </w:tc>
      </w:tr>
    </w:tbl>
    <w:p w14:paraId="733E44E5">
      <w:pPr>
        <w:spacing w:before="0" w:after="0"/>
        <w:ind w:firstLine="640"/>
        <w:jc w:val="left"/>
        <w:outlineLvl w:val="9"/>
      </w:pPr>
      <w:r>
        <w:rPr>
          <w:rFonts w:ascii="Times New Roman" w:hAnsi="Times New Roman" w:eastAsia="方正仿宋_GBK" w:cs="Times New Roman"/>
          <w:color w:val="000000"/>
          <w:sz w:val="32"/>
        </w:rPr>
        <w:t xml:space="preserve"> </w:t>
      </w:r>
    </w:p>
    <w:p w14:paraId="142DF960">
      <w:pPr>
        <w:spacing w:before="10" w:after="10" w:line="240" w:lineRule="auto"/>
        <w:ind w:firstLine="640"/>
        <w:jc w:val="left"/>
        <w:outlineLvl w:val="5"/>
      </w:pPr>
      <w:r>
        <w:rPr>
          <w:rFonts w:ascii="黑体" w:hAnsi="黑体" w:eastAsia="黑体" w:cs="黑体"/>
          <w:color w:val="000000"/>
          <w:sz w:val="32"/>
        </w:rPr>
        <w:t>八、名词解释</w:t>
      </w:r>
    </w:p>
    <w:p w14:paraId="3F0603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57B3D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1F10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5F436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0E80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6D11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4B00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2550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BEFC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EED5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DE194B">
      <w:pPr>
        <w:spacing w:before="10" w:after="10" w:line="240" w:lineRule="auto"/>
        <w:ind w:firstLine="640"/>
        <w:jc w:val="left"/>
        <w:outlineLvl w:val="5"/>
      </w:pPr>
      <w:r>
        <w:rPr>
          <w:rFonts w:ascii="黑体" w:hAnsi="黑体" w:eastAsia="黑体" w:cs="黑体"/>
          <w:color w:val="000000"/>
          <w:sz w:val="32"/>
        </w:rPr>
        <w:t>九、其他需要说明的事项</w:t>
      </w:r>
    </w:p>
    <w:p w14:paraId="2154744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B2F1CBD">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十三、隆尧县县直幼儿园收支预算</w:t>
      </w:r>
      <w:bookmarkEnd w:id="12"/>
    </w:p>
    <w:p w14:paraId="7EA585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07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55463A">
            <w:pPr>
              <w:pStyle w:val="9"/>
            </w:pPr>
            <w:r>
              <w:t>360014隆尧县县直幼儿园</w:t>
            </w:r>
          </w:p>
        </w:tc>
        <w:tc>
          <w:tcPr>
            <w:tcW w:w="2126" w:type="dxa"/>
            <w:tcBorders>
              <w:top w:val="single" w:color="FFFFFF" w:sz="6" w:space="0"/>
              <w:left w:val="single" w:color="FFFFFF" w:sz="6" w:space="0"/>
              <w:right w:val="single" w:color="FFFFFF" w:sz="6" w:space="0"/>
            </w:tcBorders>
            <w:vAlign w:val="center"/>
          </w:tcPr>
          <w:p w14:paraId="56EEF97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E7E6A61">
            <w:pPr>
              <w:pStyle w:val="7"/>
            </w:pPr>
            <w:r>
              <w:t>单位：万元</w:t>
            </w:r>
          </w:p>
        </w:tc>
      </w:tr>
      <w:tr w14:paraId="297F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E89E2">
            <w:pPr>
              <w:pStyle w:val="10"/>
            </w:pPr>
            <w:r>
              <w:t>序号</w:t>
            </w:r>
          </w:p>
        </w:tc>
        <w:tc>
          <w:tcPr>
            <w:tcW w:w="6661" w:type="dxa"/>
            <w:gridSpan w:val="2"/>
            <w:vAlign w:val="center"/>
          </w:tcPr>
          <w:p w14:paraId="78479256">
            <w:pPr>
              <w:pStyle w:val="10"/>
            </w:pPr>
            <w:r>
              <w:t>收入</w:t>
            </w:r>
          </w:p>
        </w:tc>
        <w:tc>
          <w:tcPr>
            <w:tcW w:w="6661" w:type="dxa"/>
            <w:gridSpan w:val="2"/>
            <w:vAlign w:val="center"/>
          </w:tcPr>
          <w:p w14:paraId="220B55A2">
            <w:pPr>
              <w:pStyle w:val="10"/>
            </w:pPr>
            <w:r>
              <w:t>支出</w:t>
            </w:r>
          </w:p>
        </w:tc>
      </w:tr>
      <w:tr w14:paraId="6A27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F3B393"/>
        </w:tc>
        <w:tc>
          <w:tcPr>
            <w:tcW w:w="4535" w:type="dxa"/>
            <w:vAlign w:val="center"/>
          </w:tcPr>
          <w:p w14:paraId="612FD449">
            <w:pPr>
              <w:pStyle w:val="10"/>
            </w:pPr>
            <w:r>
              <w:t>项  目</w:t>
            </w:r>
          </w:p>
        </w:tc>
        <w:tc>
          <w:tcPr>
            <w:tcW w:w="2126" w:type="dxa"/>
            <w:vAlign w:val="center"/>
          </w:tcPr>
          <w:p w14:paraId="7ED7E040">
            <w:pPr>
              <w:pStyle w:val="10"/>
            </w:pPr>
            <w:r>
              <w:t>预算数</w:t>
            </w:r>
          </w:p>
        </w:tc>
        <w:tc>
          <w:tcPr>
            <w:tcW w:w="4535" w:type="dxa"/>
            <w:vAlign w:val="center"/>
          </w:tcPr>
          <w:p w14:paraId="153F9D5E">
            <w:pPr>
              <w:pStyle w:val="10"/>
            </w:pPr>
            <w:r>
              <w:t>项  目</w:t>
            </w:r>
          </w:p>
        </w:tc>
        <w:tc>
          <w:tcPr>
            <w:tcW w:w="2126" w:type="dxa"/>
            <w:vAlign w:val="center"/>
          </w:tcPr>
          <w:p w14:paraId="69178AE7">
            <w:pPr>
              <w:pStyle w:val="10"/>
            </w:pPr>
            <w:r>
              <w:t>预算数</w:t>
            </w:r>
          </w:p>
        </w:tc>
      </w:tr>
      <w:tr w14:paraId="6F0F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1B8B2">
            <w:pPr>
              <w:pStyle w:val="10"/>
            </w:pPr>
            <w:r>
              <w:t>栏次</w:t>
            </w:r>
          </w:p>
        </w:tc>
        <w:tc>
          <w:tcPr>
            <w:tcW w:w="4535" w:type="dxa"/>
            <w:vAlign w:val="center"/>
          </w:tcPr>
          <w:p w14:paraId="49D94A63">
            <w:pPr>
              <w:pStyle w:val="10"/>
            </w:pPr>
            <w:r>
              <w:t>1</w:t>
            </w:r>
          </w:p>
        </w:tc>
        <w:tc>
          <w:tcPr>
            <w:tcW w:w="2126" w:type="dxa"/>
            <w:vAlign w:val="center"/>
          </w:tcPr>
          <w:p w14:paraId="3F611703">
            <w:pPr>
              <w:pStyle w:val="10"/>
            </w:pPr>
            <w:r>
              <w:t>2</w:t>
            </w:r>
          </w:p>
        </w:tc>
        <w:tc>
          <w:tcPr>
            <w:tcW w:w="4535" w:type="dxa"/>
            <w:vAlign w:val="center"/>
          </w:tcPr>
          <w:p w14:paraId="127A2436">
            <w:pPr>
              <w:pStyle w:val="10"/>
            </w:pPr>
            <w:r>
              <w:t>3</w:t>
            </w:r>
          </w:p>
        </w:tc>
        <w:tc>
          <w:tcPr>
            <w:tcW w:w="2126" w:type="dxa"/>
            <w:vAlign w:val="center"/>
          </w:tcPr>
          <w:p w14:paraId="7A7AEBCD">
            <w:pPr>
              <w:pStyle w:val="10"/>
            </w:pPr>
            <w:r>
              <w:t>4</w:t>
            </w:r>
          </w:p>
        </w:tc>
      </w:tr>
      <w:tr w14:paraId="2526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5E9BF">
            <w:pPr>
              <w:pStyle w:val="13"/>
            </w:pPr>
            <w:r>
              <w:t>1</w:t>
            </w:r>
          </w:p>
        </w:tc>
        <w:tc>
          <w:tcPr>
            <w:tcW w:w="4535" w:type="dxa"/>
            <w:vAlign w:val="center"/>
          </w:tcPr>
          <w:p w14:paraId="7B62D03E">
            <w:pPr>
              <w:pStyle w:val="12"/>
            </w:pPr>
            <w:r>
              <w:t>一、一般公共预算拨款收入</w:t>
            </w:r>
          </w:p>
        </w:tc>
        <w:tc>
          <w:tcPr>
            <w:tcW w:w="2126" w:type="dxa"/>
            <w:vAlign w:val="center"/>
          </w:tcPr>
          <w:p w14:paraId="46955E76">
            <w:pPr>
              <w:pStyle w:val="11"/>
            </w:pPr>
            <w:r>
              <w:t>189.67</w:t>
            </w:r>
          </w:p>
        </w:tc>
        <w:tc>
          <w:tcPr>
            <w:tcW w:w="4535" w:type="dxa"/>
            <w:vAlign w:val="center"/>
          </w:tcPr>
          <w:p w14:paraId="6E54D17E">
            <w:pPr>
              <w:pStyle w:val="12"/>
            </w:pPr>
            <w:r>
              <w:t>一、一般公共服务支出</w:t>
            </w:r>
          </w:p>
        </w:tc>
        <w:tc>
          <w:tcPr>
            <w:tcW w:w="2126" w:type="dxa"/>
            <w:vAlign w:val="center"/>
          </w:tcPr>
          <w:p w14:paraId="7A448277">
            <w:pPr>
              <w:pStyle w:val="11"/>
            </w:pPr>
          </w:p>
        </w:tc>
      </w:tr>
      <w:tr w14:paraId="3FB7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E867B">
            <w:pPr>
              <w:pStyle w:val="13"/>
            </w:pPr>
            <w:r>
              <w:t>2</w:t>
            </w:r>
          </w:p>
        </w:tc>
        <w:tc>
          <w:tcPr>
            <w:tcW w:w="4535" w:type="dxa"/>
            <w:vAlign w:val="center"/>
          </w:tcPr>
          <w:p w14:paraId="4DA677E0">
            <w:pPr>
              <w:pStyle w:val="12"/>
            </w:pPr>
            <w:r>
              <w:t>二、政府性基金预算拨款收入</w:t>
            </w:r>
          </w:p>
        </w:tc>
        <w:tc>
          <w:tcPr>
            <w:tcW w:w="2126" w:type="dxa"/>
            <w:vAlign w:val="center"/>
          </w:tcPr>
          <w:p w14:paraId="4A885E7F">
            <w:pPr>
              <w:pStyle w:val="11"/>
            </w:pPr>
          </w:p>
        </w:tc>
        <w:tc>
          <w:tcPr>
            <w:tcW w:w="4535" w:type="dxa"/>
            <w:vAlign w:val="center"/>
          </w:tcPr>
          <w:p w14:paraId="60D2FBE0">
            <w:pPr>
              <w:pStyle w:val="12"/>
            </w:pPr>
            <w:r>
              <w:t>二、外交支出</w:t>
            </w:r>
          </w:p>
        </w:tc>
        <w:tc>
          <w:tcPr>
            <w:tcW w:w="2126" w:type="dxa"/>
            <w:vAlign w:val="center"/>
          </w:tcPr>
          <w:p w14:paraId="6BFD6D41">
            <w:pPr>
              <w:pStyle w:val="11"/>
            </w:pPr>
          </w:p>
        </w:tc>
      </w:tr>
      <w:tr w14:paraId="2B64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9E4CA">
            <w:pPr>
              <w:pStyle w:val="13"/>
            </w:pPr>
            <w:r>
              <w:t>3</w:t>
            </w:r>
          </w:p>
        </w:tc>
        <w:tc>
          <w:tcPr>
            <w:tcW w:w="4535" w:type="dxa"/>
            <w:vAlign w:val="center"/>
          </w:tcPr>
          <w:p w14:paraId="522D98C7">
            <w:pPr>
              <w:pStyle w:val="12"/>
            </w:pPr>
            <w:r>
              <w:t>三、国有资本经营预算拨款收入</w:t>
            </w:r>
          </w:p>
        </w:tc>
        <w:tc>
          <w:tcPr>
            <w:tcW w:w="2126" w:type="dxa"/>
            <w:vAlign w:val="center"/>
          </w:tcPr>
          <w:p w14:paraId="54AFC336">
            <w:pPr>
              <w:pStyle w:val="11"/>
            </w:pPr>
          </w:p>
        </w:tc>
        <w:tc>
          <w:tcPr>
            <w:tcW w:w="4535" w:type="dxa"/>
            <w:vAlign w:val="center"/>
          </w:tcPr>
          <w:p w14:paraId="1F3D4F74">
            <w:pPr>
              <w:pStyle w:val="12"/>
            </w:pPr>
            <w:r>
              <w:t>三、国防支出</w:t>
            </w:r>
          </w:p>
        </w:tc>
        <w:tc>
          <w:tcPr>
            <w:tcW w:w="2126" w:type="dxa"/>
            <w:vAlign w:val="center"/>
          </w:tcPr>
          <w:p w14:paraId="7B7C4767">
            <w:pPr>
              <w:pStyle w:val="11"/>
            </w:pPr>
          </w:p>
        </w:tc>
      </w:tr>
      <w:tr w14:paraId="1039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E314C">
            <w:pPr>
              <w:pStyle w:val="13"/>
            </w:pPr>
            <w:r>
              <w:t>4</w:t>
            </w:r>
          </w:p>
        </w:tc>
        <w:tc>
          <w:tcPr>
            <w:tcW w:w="4535" w:type="dxa"/>
            <w:vAlign w:val="center"/>
          </w:tcPr>
          <w:p w14:paraId="192EB027">
            <w:pPr>
              <w:pStyle w:val="12"/>
            </w:pPr>
            <w:r>
              <w:t>四、财政专户管理资金收入</w:t>
            </w:r>
          </w:p>
        </w:tc>
        <w:tc>
          <w:tcPr>
            <w:tcW w:w="2126" w:type="dxa"/>
            <w:vAlign w:val="center"/>
          </w:tcPr>
          <w:p w14:paraId="6BC75B41">
            <w:pPr>
              <w:pStyle w:val="11"/>
            </w:pPr>
          </w:p>
        </w:tc>
        <w:tc>
          <w:tcPr>
            <w:tcW w:w="4535" w:type="dxa"/>
            <w:vAlign w:val="center"/>
          </w:tcPr>
          <w:p w14:paraId="5C35E631">
            <w:pPr>
              <w:pStyle w:val="12"/>
            </w:pPr>
            <w:r>
              <w:t>四、公共安全支出</w:t>
            </w:r>
          </w:p>
        </w:tc>
        <w:tc>
          <w:tcPr>
            <w:tcW w:w="2126" w:type="dxa"/>
            <w:vAlign w:val="center"/>
          </w:tcPr>
          <w:p w14:paraId="78A58FED">
            <w:pPr>
              <w:pStyle w:val="11"/>
            </w:pPr>
          </w:p>
        </w:tc>
      </w:tr>
      <w:tr w14:paraId="3CA7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3E66">
            <w:pPr>
              <w:pStyle w:val="13"/>
            </w:pPr>
            <w:r>
              <w:t>5</w:t>
            </w:r>
          </w:p>
        </w:tc>
        <w:tc>
          <w:tcPr>
            <w:tcW w:w="4535" w:type="dxa"/>
            <w:vAlign w:val="center"/>
          </w:tcPr>
          <w:p w14:paraId="4F9DD46E">
            <w:pPr>
              <w:pStyle w:val="12"/>
            </w:pPr>
            <w:r>
              <w:t>五、单位资金</w:t>
            </w:r>
          </w:p>
        </w:tc>
        <w:tc>
          <w:tcPr>
            <w:tcW w:w="2126" w:type="dxa"/>
            <w:vAlign w:val="center"/>
          </w:tcPr>
          <w:p w14:paraId="4CFD4B7C">
            <w:pPr>
              <w:pStyle w:val="11"/>
            </w:pPr>
          </w:p>
        </w:tc>
        <w:tc>
          <w:tcPr>
            <w:tcW w:w="4535" w:type="dxa"/>
            <w:vAlign w:val="center"/>
          </w:tcPr>
          <w:p w14:paraId="14C90C8B">
            <w:pPr>
              <w:pStyle w:val="12"/>
            </w:pPr>
            <w:r>
              <w:t>五、教育支出</w:t>
            </w:r>
          </w:p>
        </w:tc>
        <w:tc>
          <w:tcPr>
            <w:tcW w:w="2126" w:type="dxa"/>
            <w:vAlign w:val="center"/>
          </w:tcPr>
          <w:p w14:paraId="5B1B75A5">
            <w:pPr>
              <w:pStyle w:val="11"/>
            </w:pPr>
            <w:r>
              <w:t>189.67</w:t>
            </w:r>
          </w:p>
        </w:tc>
      </w:tr>
      <w:tr w14:paraId="43EC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691EC">
            <w:pPr>
              <w:pStyle w:val="13"/>
            </w:pPr>
            <w:r>
              <w:t>6</w:t>
            </w:r>
          </w:p>
        </w:tc>
        <w:tc>
          <w:tcPr>
            <w:tcW w:w="4535" w:type="dxa"/>
            <w:vAlign w:val="center"/>
          </w:tcPr>
          <w:p w14:paraId="02CBDF21">
            <w:pPr>
              <w:pStyle w:val="12"/>
            </w:pPr>
          </w:p>
        </w:tc>
        <w:tc>
          <w:tcPr>
            <w:tcW w:w="2126" w:type="dxa"/>
            <w:vAlign w:val="center"/>
          </w:tcPr>
          <w:p w14:paraId="72FC2A62">
            <w:pPr>
              <w:pStyle w:val="11"/>
            </w:pPr>
          </w:p>
        </w:tc>
        <w:tc>
          <w:tcPr>
            <w:tcW w:w="4535" w:type="dxa"/>
            <w:vAlign w:val="center"/>
          </w:tcPr>
          <w:p w14:paraId="097FC319">
            <w:pPr>
              <w:pStyle w:val="12"/>
            </w:pPr>
            <w:r>
              <w:t>六、科学技术支出</w:t>
            </w:r>
          </w:p>
        </w:tc>
        <w:tc>
          <w:tcPr>
            <w:tcW w:w="2126" w:type="dxa"/>
            <w:vAlign w:val="center"/>
          </w:tcPr>
          <w:p w14:paraId="300FA68E">
            <w:pPr>
              <w:pStyle w:val="11"/>
            </w:pPr>
          </w:p>
        </w:tc>
      </w:tr>
      <w:tr w14:paraId="71CF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23E5C">
            <w:pPr>
              <w:pStyle w:val="13"/>
            </w:pPr>
            <w:r>
              <w:t>7</w:t>
            </w:r>
          </w:p>
        </w:tc>
        <w:tc>
          <w:tcPr>
            <w:tcW w:w="4535" w:type="dxa"/>
            <w:vAlign w:val="center"/>
          </w:tcPr>
          <w:p w14:paraId="60B0B853">
            <w:pPr>
              <w:pStyle w:val="12"/>
            </w:pPr>
          </w:p>
        </w:tc>
        <w:tc>
          <w:tcPr>
            <w:tcW w:w="2126" w:type="dxa"/>
            <w:vAlign w:val="center"/>
          </w:tcPr>
          <w:p w14:paraId="08107B1F">
            <w:pPr>
              <w:pStyle w:val="11"/>
            </w:pPr>
          </w:p>
        </w:tc>
        <w:tc>
          <w:tcPr>
            <w:tcW w:w="4535" w:type="dxa"/>
            <w:vAlign w:val="center"/>
          </w:tcPr>
          <w:p w14:paraId="5E5343AB">
            <w:pPr>
              <w:pStyle w:val="12"/>
            </w:pPr>
            <w:r>
              <w:t>七、文化旅游体育与传媒支出</w:t>
            </w:r>
          </w:p>
        </w:tc>
        <w:tc>
          <w:tcPr>
            <w:tcW w:w="2126" w:type="dxa"/>
            <w:vAlign w:val="center"/>
          </w:tcPr>
          <w:p w14:paraId="254C06DF">
            <w:pPr>
              <w:pStyle w:val="11"/>
            </w:pPr>
          </w:p>
        </w:tc>
      </w:tr>
      <w:tr w14:paraId="20E9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5DEC">
            <w:pPr>
              <w:pStyle w:val="13"/>
            </w:pPr>
            <w:r>
              <w:t>8</w:t>
            </w:r>
          </w:p>
        </w:tc>
        <w:tc>
          <w:tcPr>
            <w:tcW w:w="4535" w:type="dxa"/>
            <w:vAlign w:val="center"/>
          </w:tcPr>
          <w:p w14:paraId="6014A0FC">
            <w:pPr>
              <w:pStyle w:val="12"/>
            </w:pPr>
          </w:p>
        </w:tc>
        <w:tc>
          <w:tcPr>
            <w:tcW w:w="2126" w:type="dxa"/>
            <w:vAlign w:val="center"/>
          </w:tcPr>
          <w:p w14:paraId="14709B93">
            <w:pPr>
              <w:pStyle w:val="11"/>
            </w:pPr>
          </w:p>
        </w:tc>
        <w:tc>
          <w:tcPr>
            <w:tcW w:w="4535" w:type="dxa"/>
            <w:vAlign w:val="center"/>
          </w:tcPr>
          <w:p w14:paraId="7400CC1A">
            <w:pPr>
              <w:pStyle w:val="12"/>
            </w:pPr>
            <w:r>
              <w:t>八、社会保障和就业支出</w:t>
            </w:r>
          </w:p>
        </w:tc>
        <w:tc>
          <w:tcPr>
            <w:tcW w:w="2126" w:type="dxa"/>
            <w:vAlign w:val="center"/>
          </w:tcPr>
          <w:p w14:paraId="4B2C82B6">
            <w:pPr>
              <w:pStyle w:val="11"/>
            </w:pPr>
          </w:p>
        </w:tc>
      </w:tr>
      <w:tr w14:paraId="5B14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B1FD9">
            <w:pPr>
              <w:pStyle w:val="13"/>
            </w:pPr>
            <w:r>
              <w:t>9</w:t>
            </w:r>
          </w:p>
        </w:tc>
        <w:tc>
          <w:tcPr>
            <w:tcW w:w="4535" w:type="dxa"/>
            <w:vAlign w:val="center"/>
          </w:tcPr>
          <w:p w14:paraId="049E56C3">
            <w:pPr>
              <w:pStyle w:val="12"/>
            </w:pPr>
          </w:p>
        </w:tc>
        <w:tc>
          <w:tcPr>
            <w:tcW w:w="2126" w:type="dxa"/>
            <w:vAlign w:val="center"/>
          </w:tcPr>
          <w:p w14:paraId="12D747A1">
            <w:pPr>
              <w:pStyle w:val="11"/>
            </w:pPr>
          </w:p>
        </w:tc>
        <w:tc>
          <w:tcPr>
            <w:tcW w:w="4535" w:type="dxa"/>
            <w:vAlign w:val="center"/>
          </w:tcPr>
          <w:p w14:paraId="151D9B51">
            <w:pPr>
              <w:pStyle w:val="12"/>
            </w:pPr>
            <w:r>
              <w:t>九、社会保险基金支出</w:t>
            </w:r>
          </w:p>
        </w:tc>
        <w:tc>
          <w:tcPr>
            <w:tcW w:w="2126" w:type="dxa"/>
            <w:vAlign w:val="center"/>
          </w:tcPr>
          <w:p w14:paraId="4336060C">
            <w:pPr>
              <w:pStyle w:val="11"/>
            </w:pPr>
          </w:p>
        </w:tc>
      </w:tr>
      <w:tr w14:paraId="2E29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24A0">
            <w:pPr>
              <w:pStyle w:val="13"/>
            </w:pPr>
            <w:r>
              <w:t>10</w:t>
            </w:r>
          </w:p>
        </w:tc>
        <w:tc>
          <w:tcPr>
            <w:tcW w:w="4535" w:type="dxa"/>
            <w:vAlign w:val="center"/>
          </w:tcPr>
          <w:p w14:paraId="4A6763CB">
            <w:pPr>
              <w:pStyle w:val="12"/>
            </w:pPr>
          </w:p>
        </w:tc>
        <w:tc>
          <w:tcPr>
            <w:tcW w:w="2126" w:type="dxa"/>
            <w:vAlign w:val="center"/>
          </w:tcPr>
          <w:p w14:paraId="55A4E784">
            <w:pPr>
              <w:pStyle w:val="11"/>
            </w:pPr>
          </w:p>
        </w:tc>
        <w:tc>
          <w:tcPr>
            <w:tcW w:w="4535" w:type="dxa"/>
            <w:vAlign w:val="center"/>
          </w:tcPr>
          <w:p w14:paraId="5871D32A">
            <w:pPr>
              <w:pStyle w:val="12"/>
            </w:pPr>
            <w:r>
              <w:t>十、卫生健康支出</w:t>
            </w:r>
          </w:p>
        </w:tc>
        <w:tc>
          <w:tcPr>
            <w:tcW w:w="2126" w:type="dxa"/>
            <w:vAlign w:val="center"/>
          </w:tcPr>
          <w:p w14:paraId="54C3D338">
            <w:pPr>
              <w:pStyle w:val="11"/>
            </w:pPr>
          </w:p>
        </w:tc>
      </w:tr>
      <w:tr w14:paraId="122D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9BDDA">
            <w:pPr>
              <w:pStyle w:val="13"/>
            </w:pPr>
            <w:r>
              <w:t>11</w:t>
            </w:r>
          </w:p>
        </w:tc>
        <w:tc>
          <w:tcPr>
            <w:tcW w:w="4535" w:type="dxa"/>
            <w:vAlign w:val="center"/>
          </w:tcPr>
          <w:p w14:paraId="70050C49">
            <w:pPr>
              <w:pStyle w:val="12"/>
            </w:pPr>
          </w:p>
        </w:tc>
        <w:tc>
          <w:tcPr>
            <w:tcW w:w="2126" w:type="dxa"/>
            <w:vAlign w:val="center"/>
          </w:tcPr>
          <w:p w14:paraId="20298181">
            <w:pPr>
              <w:pStyle w:val="11"/>
            </w:pPr>
          </w:p>
        </w:tc>
        <w:tc>
          <w:tcPr>
            <w:tcW w:w="4535" w:type="dxa"/>
            <w:vAlign w:val="center"/>
          </w:tcPr>
          <w:p w14:paraId="5E6E4834">
            <w:pPr>
              <w:pStyle w:val="12"/>
            </w:pPr>
            <w:r>
              <w:t>十一、节能环保支出</w:t>
            </w:r>
          </w:p>
        </w:tc>
        <w:tc>
          <w:tcPr>
            <w:tcW w:w="2126" w:type="dxa"/>
            <w:vAlign w:val="center"/>
          </w:tcPr>
          <w:p w14:paraId="6FD705E0">
            <w:pPr>
              <w:pStyle w:val="11"/>
            </w:pPr>
          </w:p>
        </w:tc>
      </w:tr>
      <w:tr w14:paraId="3078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147DB">
            <w:pPr>
              <w:pStyle w:val="13"/>
            </w:pPr>
            <w:r>
              <w:t>12</w:t>
            </w:r>
          </w:p>
        </w:tc>
        <w:tc>
          <w:tcPr>
            <w:tcW w:w="4535" w:type="dxa"/>
            <w:vAlign w:val="center"/>
          </w:tcPr>
          <w:p w14:paraId="49658977">
            <w:pPr>
              <w:pStyle w:val="12"/>
            </w:pPr>
          </w:p>
        </w:tc>
        <w:tc>
          <w:tcPr>
            <w:tcW w:w="2126" w:type="dxa"/>
            <w:vAlign w:val="center"/>
          </w:tcPr>
          <w:p w14:paraId="298DFBDB">
            <w:pPr>
              <w:pStyle w:val="11"/>
            </w:pPr>
          </w:p>
        </w:tc>
        <w:tc>
          <w:tcPr>
            <w:tcW w:w="4535" w:type="dxa"/>
            <w:vAlign w:val="center"/>
          </w:tcPr>
          <w:p w14:paraId="7011FAA2">
            <w:pPr>
              <w:pStyle w:val="12"/>
            </w:pPr>
            <w:r>
              <w:t>十二、城乡社区支出</w:t>
            </w:r>
          </w:p>
        </w:tc>
        <w:tc>
          <w:tcPr>
            <w:tcW w:w="2126" w:type="dxa"/>
            <w:vAlign w:val="center"/>
          </w:tcPr>
          <w:p w14:paraId="47E9F3FD">
            <w:pPr>
              <w:pStyle w:val="11"/>
            </w:pPr>
          </w:p>
        </w:tc>
      </w:tr>
      <w:tr w14:paraId="462E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CDC09">
            <w:pPr>
              <w:pStyle w:val="13"/>
            </w:pPr>
            <w:r>
              <w:t>13</w:t>
            </w:r>
          </w:p>
        </w:tc>
        <w:tc>
          <w:tcPr>
            <w:tcW w:w="4535" w:type="dxa"/>
            <w:vAlign w:val="center"/>
          </w:tcPr>
          <w:p w14:paraId="7D575E2C">
            <w:pPr>
              <w:pStyle w:val="12"/>
            </w:pPr>
          </w:p>
        </w:tc>
        <w:tc>
          <w:tcPr>
            <w:tcW w:w="2126" w:type="dxa"/>
            <w:vAlign w:val="center"/>
          </w:tcPr>
          <w:p w14:paraId="40F4E470">
            <w:pPr>
              <w:pStyle w:val="11"/>
            </w:pPr>
          </w:p>
        </w:tc>
        <w:tc>
          <w:tcPr>
            <w:tcW w:w="4535" w:type="dxa"/>
            <w:vAlign w:val="center"/>
          </w:tcPr>
          <w:p w14:paraId="78690A35">
            <w:pPr>
              <w:pStyle w:val="12"/>
            </w:pPr>
            <w:r>
              <w:t>十三、农林水支出</w:t>
            </w:r>
          </w:p>
        </w:tc>
        <w:tc>
          <w:tcPr>
            <w:tcW w:w="2126" w:type="dxa"/>
            <w:vAlign w:val="center"/>
          </w:tcPr>
          <w:p w14:paraId="7E74AB8A">
            <w:pPr>
              <w:pStyle w:val="11"/>
            </w:pPr>
          </w:p>
        </w:tc>
      </w:tr>
      <w:tr w14:paraId="4578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1C767">
            <w:pPr>
              <w:pStyle w:val="13"/>
            </w:pPr>
            <w:r>
              <w:t>14</w:t>
            </w:r>
          </w:p>
        </w:tc>
        <w:tc>
          <w:tcPr>
            <w:tcW w:w="4535" w:type="dxa"/>
            <w:vAlign w:val="center"/>
          </w:tcPr>
          <w:p w14:paraId="7ED27CB0">
            <w:pPr>
              <w:pStyle w:val="12"/>
            </w:pPr>
          </w:p>
        </w:tc>
        <w:tc>
          <w:tcPr>
            <w:tcW w:w="2126" w:type="dxa"/>
            <w:vAlign w:val="center"/>
          </w:tcPr>
          <w:p w14:paraId="1451C0A9">
            <w:pPr>
              <w:pStyle w:val="11"/>
            </w:pPr>
          </w:p>
        </w:tc>
        <w:tc>
          <w:tcPr>
            <w:tcW w:w="4535" w:type="dxa"/>
            <w:vAlign w:val="center"/>
          </w:tcPr>
          <w:p w14:paraId="5E39C218">
            <w:pPr>
              <w:pStyle w:val="12"/>
            </w:pPr>
            <w:r>
              <w:t>十四、交通运输支出</w:t>
            </w:r>
          </w:p>
        </w:tc>
        <w:tc>
          <w:tcPr>
            <w:tcW w:w="2126" w:type="dxa"/>
            <w:vAlign w:val="center"/>
          </w:tcPr>
          <w:p w14:paraId="2F55A62F">
            <w:pPr>
              <w:pStyle w:val="11"/>
            </w:pPr>
          </w:p>
        </w:tc>
      </w:tr>
      <w:tr w14:paraId="751EDA7B">
        <w:tblPrEx>
          <w:tblCellMar>
            <w:top w:w="0" w:type="dxa"/>
            <w:left w:w="108" w:type="dxa"/>
            <w:bottom w:w="0" w:type="dxa"/>
            <w:right w:w="108" w:type="dxa"/>
          </w:tblCellMar>
        </w:tblPrEx>
        <w:trPr>
          <w:trHeight w:val="369" w:hRule="atLeast"/>
          <w:jc w:val="center"/>
        </w:trPr>
        <w:tc>
          <w:tcPr>
            <w:tcW w:w="850" w:type="dxa"/>
            <w:vAlign w:val="center"/>
          </w:tcPr>
          <w:p w14:paraId="15434F25">
            <w:pPr>
              <w:pStyle w:val="13"/>
            </w:pPr>
            <w:r>
              <w:t>15</w:t>
            </w:r>
          </w:p>
        </w:tc>
        <w:tc>
          <w:tcPr>
            <w:tcW w:w="4535" w:type="dxa"/>
            <w:vAlign w:val="center"/>
          </w:tcPr>
          <w:p w14:paraId="4FF2BF17">
            <w:pPr>
              <w:pStyle w:val="12"/>
            </w:pPr>
          </w:p>
        </w:tc>
        <w:tc>
          <w:tcPr>
            <w:tcW w:w="2126" w:type="dxa"/>
            <w:vAlign w:val="center"/>
          </w:tcPr>
          <w:p w14:paraId="7CC11EA3">
            <w:pPr>
              <w:pStyle w:val="11"/>
            </w:pPr>
          </w:p>
        </w:tc>
        <w:tc>
          <w:tcPr>
            <w:tcW w:w="4535" w:type="dxa"/>
            <w:vAlign w:val="center"/>
          </w:tcPr>
          <w:p w14:paraId="4CA49A9D">
            <w:pPr>
              <w:pStyle w:val="12"/>
            </w:pPr>
            <w:r>
              <w:t>十五、资源勘探工业信息等支出</w:t>
            </w:r>
          </w:p>
        </w:tc>
        <w:tc>
          <w:tcPr>
            <w:tcW w:w="2126" w:type="dxa"/>
            <w:vAlign w:val="center"/>
          </w:tcPr>
          <w:p w14:paraId="32732A75">
            <w:pPr>
              <w:pStyle w:val="11"/>
            </w:pPr>
          </w:p>
        </w:tc>
      </w:tr>
      <w:tr w14:paraId="3E85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EF34F">
            <w:pPr>
              <w:pStyle w:val="13"/>
            </w:pPr>
            <w:r>
              <w:t>16</w:t>
            </w:r>
          </w:p>
        </w:tc>
        <w:tc>
          <w:tcPr>
            <w:tcW w:w="4535" w:type="dxa"/>
            <w:vAlign w:val="center"/>
          </w:tcPr>
          <w:p w14:paraId="1DAFC1FC">
            <w:pPr>
              <w:pStyle w:val="12"/>
            </w:pPr>
          </w:p>
        </w:tc>
        <w:tc>
          <w:tcPr>
            <w:tcW w:w="2126" w:type="dxa"/>
            <w:vAlign w:val="center"/>
          </w:tcPr>
          <w:p w14:paraId="02CC1A1D">
            <w:pPr>
              <w:pStyle w:val="11"/>
            </w:pPr>
          </w:p>
        </w:tc>
        <w:tc>
          <w:tcPr>
            <w:tcW w:w="4535" w:type="dxa"/>
            <w:vAlign w:val="center"/>
          </w:tcPr>
          <w:p w14:paraId="5FE28428">
            <w:pPr>
              <w:pStyle w:val="12"/>
            </w:pPr>
            <w:r>
              <w:t>十六、商业服务业等支出</w:t>
            </w:r>
          </w:p>
        </w:tc>
        <w:tc>
          <w:tcPr>
            <w:tcW w:w="2126" w:type="dxa"/>
            <w:vAlign w:val="center"/>
          </w:tcPr>
          <w:p w14:paraId="02EA1DEA">
            <w:pPr>
              <w:pStyle w:val="11"/>
            </w:pPr>
          </w:p>
        </w:tc>
      </w:tr>
      <w:tr w14:paraId="0193FFAE">
        <w:tblPrEx>
          <w:tblCellMar>
            <w:top w:w="0" w:type="dxa"/>
            <w:left w:w="108" w:type="dxa"/>
            <w:bottom w:w="0" w:type="dxa"/>
            <w:right w:w="108" w:type="dxa"/>
          </w:tblCellMar>
        </w:tblPrEx>
        <w:trPr>
          <w:trHeight w:val="369" w:hRule="atLeast"/>
          <w:jc w:val="center"/>
        </w:trPr>
        <w:tc>
          <w:tcPr>
            <w:tcW w:w="850" w:type="dxa"/>
            <w:vAlign w:val="center"/>
          </w:tcPr>
          <w:p w14:paraId="4F338F78">
            <w:pPr>
              <w:pStyle w:val="13"/>
            </w:pPr>
            <w:r>
              <w:t>17</w:t>
            </w:r>
          </w:p>
        </w:tc>
        <w:tc>
          <w:tcPr>
            <w:tcW w:w="4535" w:type="dxa"/>
            <w:vAlign w:val="center"/>
          </w:tcPr>
          <w:p w14:paraId="70733D25">
            <w:pPr>
              <w:pStyle w:val="12"/>
            </w:pPr>
          </w:p>
        </w:tc>
        <w:tc>
          <w:tcPr>
            <w:tcW w:w="2126" w:type="dxa"/>
            <w:vAlign w:val="center"/>
          </w:tcPr>
          <w:p w14:paraId="2D4515BD">
            <w:pPr>
              <w:pStyle w:val="11"/>
            </w:pPr>
          </w:p>
        </w:tc>
        <w:tc>
          <w:tcPr>
            <w:tcW w:w="4535" w:type="dxa"/>
            <w:vAlign w:val="center"/>
          </w:tcPr>
          <w:p w14:paraId="40995FBD">
            <w:pPr>
              <w:pStyle w:val="12"/>
            </w:pPr>
            <w:r>
              <w:t>十七、金融支出</w:t>
            </w:r>
          </w:p>
        </w:tc>
        <w:tc>
          <w:tcPr>
            <w:tcW w:w="2126" w:type="dxa"/>
            <w:vAlign w:val="center"/>
          </w:tcPr>
          <w:p w14:paraId="0A3D8401">
            <w:pPr>
              <w:pStyle w:val="11"/>
            </w:pPr>
          </w:p>
        </w:tc>
      </w:tr>
      <w:tr w14:paraId="2FA7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5767">
            <w:pPr>
              <w:pStyle w:val="13"/>
            </w:pPr>
            <w:r>
              <w:t>18</w:t>
            </w:r>
          </w:p>
        </w:tc>
        <w:tc>
          <w:tcPr>
            <w:tcW w:w="4535" w:type="dxa"/>
            <w:vAlign w:val="center"/>
          </w:tcPr>
          <w:p w14:paraId="0A79409A">
            <w:pPr>
              <w:pStyle w:val="12"/>
            </w:pPr>
          </w:p>
        </w:tc>
        <w:tc>
          <w:tcPr>
            <w:tcW w:w="2126" w:type="dxa"/>
            <w:vAlign w:val="center"/>
          </w:tcPr>
          <w:p w14:paraId="06EB0E64">
            <w:pPr>
              <w:pStyle w:val="11"/>
            </w:pPr>
          </w:p>
        </w:tc>
        <w:tc>
          <w:tcPr>
            <w:tcW w:w="4535" w:type="dxa"/>
            <w:vAlign w:val="center"/>
          </w:tcPr>
          <w:p w14:paraId="6928B598">
            <w:pPr>
              <w:pStyle w:val="12"/>
            </w:pPr>
            <w:r>
              <w:t>十八、援助其他地区支出</w:t>
            </w:r>
          </w:p>
        </w:tc>
        <w:tc>
          <w:tcPr>
            <w:tcW w:w="2126" w:type="dxa"/>
            <w:vAlign w:val="center"/>
          </w:tcPr>
          <w:p w14:paraId="61F63D3D">
            <w:pPr>
              <w:pStyle w:val="11"/>
            </w:pPr>
          </w:p>
        </w:tc>
      </w:tr>
      <w:tr w14:paraId="31BD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34742">
            <w:pPr>
              <w:pStyle w:val="13"/>
            </w:pPr>
            <w:r>
              <w:t>19</w:t>
            </w:r>
          </w:p>
        </w:tc>
        <w:tc>
          <w:tcPr>
            <w:tcW w:w="4535" w:type="dxa"/>
            <w:vAlign w:val="center"/>
          </w:tcPr>
          <w:p w14:paraId="34212531">
            <w:pPr>
              <w:pStyle w:val="12"/>
            </w:pPr>
          </w:p>
        </w:tc>
        <w:tc>
          <w:tcPr>
            <w:tcW w:w="2126" w:type="dxa"/>
            <w:vAlign w:val="center"/>
          </w:tcPr>
          <w:p w14:paraId="7185FD8D">
            <w:pPr>
              <w:pStyle w:val="11"/>
            </w:pPr>
          </w:p>
        </w:tc>
        <w:tc>
          <w:tcPr>
            <w:tcW w:w="4535" w:type="dxa"/>
            <w:vAlign w:val="center"/>
          </w:tcPr>
          <w:p w14:paraId="2AD5056B">
            <w:pPr>
              <w:pStyle w:val="12"/>
            </w:pPr>
            <w:r>
              <w:t>十九、自然资源海洋气象等支出</w:t>
            </w:r>
          </w:p>
        </w:tc>
        <w:tc>
          <w:tcPr>
            <w:tcW w:w="2126" w:type="dxa"/>
            <w:vAlign w:val="center"/>
          </w:tcPr>
          <w:p w14:paraId="05025C6F">
            <w:pPr>
              <w:pStyle w:val="11"/>
            </w:pPr>
          </w:p>
        </w:tc>
      </w:tr>
      <w:tr w14:paraId="4EFF2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248E">
            <w:pPr>
              <w:pStyle w:val="13"/>
            </w:pPr>
            <w:r>
              <w:t>20</w:t>
            </w:r>
          </w:p>
        </w:tc>
        <w:tc>
          <w:tcPr>
            <w:tcW w:w="4535" w:type="dxa"/>
            <w:vAlign w:val="center"/>
          </w:tcPr>
          <w:p w14:paraId="2AF28485">
            <w:pPr>
              <w:pStyle w:val="12"/>
            </w:pPr>
          </w:p>
        </w:tc>
        <w:tc>
          <w:tcPr>
            <w:tcW w:w="2126" w:type="dxa"/>
            <w:vAlign w:val="center"/>
          </w:tcPr>
          <w:p w14:paraId="1748F50A">
            <w:pPr>
              <w:pStyle w:val="11"/>
            </w:pPr>
          </w:p>
        </w:tc>
        <w:tc>
          <w:tcPr>
            <w:tcW w:w="4535" w:type="dxa"/>
            <w:vAlign w:val="center"/>
          </w:tcPr>
          <w:p w14:paraId="1E2AAB30">
            <w:pPr>
              <w:pStyle w:val="12"/>
            </w:pPr>
            <w:r>
              <w:t>二十、住房保障支出</w:t>
            </w:r>
          </w:p>
        </w:tc>
        <w:tc>
          <w:tcPr>
            <w:tcW w:w="2126" w:type="dxa"/>
            <w:vAlign w:val="center"/>
          </w:tcPr>
          <w:p w14:paraId="4F3EE2C1">
            <w:pPr>
              <w:pStyle w:val="11"/>
            </w:pPr>
          </w:p>
        </w:tc>
      </w:tr>
      <w:tr w14:paraId="382A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C2C1F">
            <w:pPr>
              <w:pStyle w:val="13"/>
            </w:pPr>
            <w:r>
              <w:t>21</w:t>
            </w:r>
          </w:p>
        </w:tc>
        <w:tc>
          <w:tcPr>
            <w:tcW w:w="4535" w:type="dxa"/>
            <w:vAlign w:val="center"/>
          </w:tcPr>
          <w:p w14:paraId="107627FE">
            <w:pPr>
              <w:pStyle w:val="12"/>
            </w:pPr>
          </w:p>
        </w:tc>
        <w:tc>
          <w:tcPr>
            <w:tcW w:w="2126" w:type="dxa"/>
            <w:vAlign w:val="center"/>
          </w:tcPr>
          <w:p w14:paraId="6D9FAB32">
            <w:pPr>
              <w:pStyle w:val="11"/>
            </w:pPr>
          </w:p>
        </w:tc>
        <w:tc>
          <w:tcPr>
            <w:tcW w:w="4535" w:type="dxa"/>
            <w:vAlign w:val="center"/>
          </w:tcPr>
          <w:p w14:paraId="3822DC35">
            <w:pPr>
              <w:pStyle w:val="12"/>
            </w:pPr>
            <w:r>
              <w:t>二十一、粮油物资储备支出</w:t>
            </w:r>
          </w:p>
        </w:tc>
        <w:tc>
          <w:tcPr>
            <w:tcW w:w="2126" w:type="dxa"/>
            <w:vAlign w:val="center"/>
          </w:tcPr>
          <w:p w14:paraId="32BB3F95">
            <w:pPr>
              <w:pStyle w:val="11"/>
            </w:pPr>
          </w:p>
        </w:tc>
      </w:tr>
      <w:tr w14:paraId="17D3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478E">
            <w:pPr>
              <w:pStyle w:val="13"/>
            </w:pPr>
            <w:r>
              <w:t>22</w:t>
            </w:r>
          </w:p>
        </w:tc>
        <w:tc>
          <w:tcPr>
            <w:tcW w:w="4535" w:type="dxa"/>
            <w:vAlign w:val="center"/>
          </w:tcPr>
          <w:p w14:paraId="1CE62A4A">
            <w:pPr>
              <w:pStyle w:val="12"/>
            </w:pPr>
          </w:p>
        </w:tc>
        <w:tc>
          <w:tcPr>
            <w:tcW w:w="2126" w:type="dxa"/>
            <w:vAlign w:val="center"/>
          </w:tcPr>
          <w:p w14:paraId="11132C30">
            <w:pPr>
              <w:pStyle w:val="11"/>
            </w:pPr>
          </w:p>
        </w:tc>
        <w:tc>
          <w:tcPr>
            <w:tcW w:w="4535" w:type="dxa"/>
            <w:vAlign w:val="center"/>
          </w:tcPr>
          <w:p w14:paraId="5B9C751B">
            <w:pPr>
              <w:pStyle w:val="12"/>
            </w:pPr>
            <w:r>
              <w:t>二十二、国有资本经营预算支出</w:t>
            </w:r>
          </w:p>
        </w:tc>
        <w:tc>
          <w:tcPr>
            <w:tcW w:w="2126" w:type="dxa"/>
            <w:vAlign w:val="center"/>
          </w:tcPr>
          <w:p w14:paraId="41ACE807">
            <w:pPr>
              <w:pStyle w:val="11"/>
            </w:pPr>
          </w:p>
        </w:tc>
      </w:tr>
      <w:tr w14:paraId="57F4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3583">
            <w:pPr>
              <w:pStyle w:val="13"/>
            </w:pPr>
            <w:r>
              <w:t>23</w:t>
            </w:r>
          </w:p>
        </w:tc>
        <w:tc>
          <w:tcPr>
            <w:tcW w:w="4535" w:type="dxa"/>
            <w:vAlign w:val="center"/>
          </w:tcPr>
          <w:p w14:paraId="5F7BA09D">
            <w:pPr>
              <w:pStyle w:val="12"/>
            </w:pPr>
          </w:p>
        </w:tc>
        <w:tc>
          <w:tcPr>
            <w:tcW w:w="2126" w:type="dxa"/>
            <w:vAlign w:val="center"/>
          </w:tcPr>
          <w:p w14:paraId="45886713">
            <w:pPr>
              <w:pStyle w:val="11"/>
            </w:pPr>
          </w:p>
        </w:tc>
        <w:tc>
          <w:tcPr>
            <w:tcW w:w="4535" w:type="dxa"/>
            <w:vAlign w:val="center"/>
          </w:tcPr>
          <w:p w14:paraId="3B7BB2DB">
            <w:pPr>
              <w:pStyle w:val="12"/>
            </w:pPr>
            <w:r>
              <w:t>二十三、灾害防治及应急管理支出</w:t>
            </w:r>
          </w:p>
        </w:tc>
        <w:tc>
          <w:tcPr>
            <w:tcW w:w="2126" w:type="dxa"/>
            <w:vAlign w:val="center"/>
          </w:tcPr>
          <w:p w14:paraId="30944E3F">
            <w:pPr>
              <w:pStyle w:val="11"/>
            </w:pPr>
          </w:p>
        </w:tc>
      </w:tr>
      <w:tr w14:paraId="6561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5ECA5">
            <w:pPr>
              <w:pStyle w:val="13"/>
            </w:pPr>
            <w:r>
              <w:t>24</w:t>
            </w:r>
          </w:p>
        </w:tc>
        <w:tc>
          <w:tcPr>
            <w:tcW w:w="4535" w:type="dxa"/>
            <w:vAlign w:val="center"/>
          </w:tcPr>
          <w:p w14:paraId="3998D84F">
            <w:pPr>
              <w:pStyle w:val="12"/>
            </w:pPr>
          </w:p>
        </w:tc>
        <w:tc>
          <w:tcPr>
            <w:tcW w:w="2126" w:type="dxa"/>
            <w:vAlign w:val="center"/>
          </w:tcPr>
          <w:p w14:paraId="2D7BFF00">
            <w:pPr>
              <w:pStyle w:val="11"/>
            </w:pPr>
          </w:p>
        </w:tc>
        <w:tc>
          <w:tcPr>
            <w:tcW w:w="4535" w:type="dxa"/>
            <w:vAlign w:val="center"/>
          </w:tcPr>
          <w:p w14:paraId="30460F7A">
            <w:pPr>
              <w:pStyle w:val="12"/>
            </w:pPr>
            <w:r>
              <w:t>二十四、预备费</w:t>
            </w:r>
          </w:p>
        </w:tc>
        <w:tc>
          <w:tcPr>
            <w:tcW w:w="2126" w:type="dxa"/>
            <w:vAlign w:val="center"/>
          </w:tcPr>
          <w:p w14:paraId="53315C91">
            <w:pPr>
              <w:pStyle w:val="11"/>
            </w:pPr>
          </w:p>
        </w:tc>
      </w:tr>
      <w:tr w14:paraId="0ED2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D18E6">
            <w:pPr>
              <w:pStyle w:val="13"/>
            </w:pPr>
            <w:r>
              <w:t>25</w:t>
            </w:r>
          </w:p>
        </w:tc>
        <w:tc>
          <w:tcPr>
            <w:tcW w:w="4535" w:type="dxa"/>
            <w:vAlign w:val="center"/>
          </w:tcPr>
          <w:p w14:paraId="00D255A8">
            <w:pPr>
              <w:pStyle w:val="12"/>
            </w:pPr>
          </w:p>
        </w:tc>
        <w:tc>
          <w:tcPr>
            <w:tcW w:w="2126" w:type="dxa"/>
            <w:vAlign w:val="center"/>
          </w:tcPr>
          <w:p w14:paraId="540813BA">
            <w:pPr>
              <w:pStyle w:val="11"/>
            </w:pPr>
          </w:p>
        </w:tc>
        <w:tc>
          <w:tcPr>
            <w:tcW w:w="4535" w:type="dxa"/>
            <w:vAlign w:val="center"/>
          </w:tcPr>
          <w:p w14:paraId="013837CB">
            <w:pPr>
              <w:pStyle w:val="12"/>
            </w:pPr>
            <w:r>
              <w:t>二十五、其他支出</w:t>
            </w:r>
          </w:p>
        </w:tc>
        <w:tc>
          <w:tcPr>
            <w:tcW w:w="2126" w:type="dxa"/>
            <w:vAlign w:val="center"/>
          </w:tcPr>
          <w:p w14:paraId="39568D23">
            <w:pPr>
              <w:pStyle w:val="11"/>
            </w:pPr>
          </w:p>
        </w:tc>
      </w:tr>
      <w:tr w14:paraId="5689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1038">
            <w:pPr>
              <w:pStyle w:val="13"/>
            </w:pPr>
            <w:r>
              <w:t>26</w:t>
            </w:r>
          </w:p>
        </w:tc>
        <w:tc>
          <w:tcPr>
            <w:tcW w:w="4535" w:type="dxa"/>
            <w:vAlign w:val="center"/>
          </w:tcPr>
          <w:p w14:paraId="51742FD5">
            <w:pPr>
              <w:pStyle w:val="12"/>
            </w:pPr>
          </w:p>
        </w:tc>
        <w:tc>
          <w:tcPr>
            <w:tcW w:w="2126" w:type="dxa"/>
            <w:vAlign w:val="center"/>
          </w:tcPr>
          <w:p w14:paraId="220CEFBC">
            <w:pPr>
              <w:pStyle w:val="11"/>
            </w:pPr>
          </w:p>
        </w:tc>
        <w:tc>
          <w:tcPr>
            <w:tcW w:w="4535" w:type="dxa"/>
            <w:vAlign w:val="center"/>
          </w:tcPr>
          <w:p w14:paraId="1BA77570">
            <w:pPr>
              <w:pStyle w:val="12"/>
            </w:pPr>
            <w:r>
              <w:t>二十六、转移性支出</w:t>
            </w:r>
          </w:p>
        </w:tc>
        <w:tc>
          <w:tcPr>
            <w:tcW w:w="2126" w:type="dxa"/>
            <w:vAlign w:val="center"/>
          </w:tcPr>
          <w:p w14:paraId="54C28308">
            <w:pPr>
              <w:pStyle w:val="11"/>
            </w:pPr>
          </w:p>
        </w:tc>
      </w:tr>
      <w:tr w14:paraId="1447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D392E">
            <w:pPr>
              <w:pStyle w:val="13"/>
            </w:pPr>
            <w:r>
              <w:t>27</w:t>
            </w:r>
          </w:p>
        </w:tc>
        <w:tc>
          <w:tcPr>
            <w:tcW w:w="4535" w:type="dxa"/>
            <w:vAlign w:val="center"/>
          </w:tcPr>
          <w:p w14:paraId="5FB6964D">
            <w:pPr>
              <w:pStyle w:val="12"/>
            </w:pPr>
          </w:p>
        </w:tc>
        <w:tc>
          <w:tcPr>
            <w:tcW w:w="2126" w:type="dxa"/>
            <w:vAlign w:val="center"/>
          </w:tcPr>
          <w:p w14:paraId="13769D72">
            <w:pPr>
              <w:pStyle w:val="11"/>
            </w:pPr>
          </w:p>
        </w:tc>
        <w:tc>
          <w:tcPr>
            <w:tcW w:w="4535" w:type="dxa"/>
            <w:vAlign w:val="center"/>
          </w:tcPr>
          <w:p w14:paraId="611333A6">
            <w:pPr>
              <w:pStyle w:val="12"/>
            </w:pPr>
            <w:r>
              <w:t>二十七、债务还本支出</w:t>
            </w:r>
          </w:p>
        </w:tc>
        <w:tc>
          <w:tcPr>
            <w:tcW w:w="2126" w:type="dxa"/>
            <w:vAlign w:val="center"/>
          </w:tcPr>
          <w:p w14:paraId="04C4DBCF">
            <w:pPr>
              <w:pStyle w:val="11"/>
            </w:pPr>
          </w:p>
        </w:tc>
      </w:tr>
      <w:tr w14:paraId="4EC0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7253A">
            <w:pPr>
              <w:pStyle w:val="13"/>
            </w:pPr>
            <w:r>
              <w:t>28</w:t>
            </w:r>
          </w:p>
        </w:tc>
        <w:tc>
          <w:tcPr>
            <w:tcW w:w="4535" w:type="dxa"/>
            <w:vAlign w:val="center"/>
          </w:tcPr>
          <w:p w14:paraId="0B7AAA47">
            <w:pPr>
              <w:pStyle w:val="12"/>
            </w:pPr>
          </w:p>
        </w:tc>
        <w:tc>
          <w:tcPr>
            <w:tcW w:w="2126" w:type="dxa"/>
            <w:vAlign w:val="center"/>
          </w:tcPr>
          <w:p w14:paraId="01BDC957">
            <w:pPr>
              <w:pStyle w:val="11"/>
            </w:pPr>
          </w:p>
        </w:tc>
        <w:tc>
          <w:tcPr>
            <w:tcW w:w="4535" w:type="dxa"/>
            <w:vAlign w:val="center"/>
          </w:tcPr>
          <w:p w14:paraId="5154FC7F">
            <w:pPr>
              <w:pStyle w:val="12"/>
            </w:pPr>
            <w:r>
              <w:t>二十八、债务付息支出</w:t>
            </w:r>
          </w:p>
        </w:tc>
        <w:tc>
          <w:tcPr>
            <w:tcW w:w="2126" w:type="dxa"/>
            <w:vAlign w:val="center"/>
          </w:tcPr>
          <w:p w14:paraId="58FE89F3">
            <w:pPr>
              <w:pStyle w:val="11"/>
            </w:pPr>
          </w:p>
        </w:tc>
      </w:tr>
      <w:tr w14:paraId="041A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AA19">
            <w:pPr>
              <w:pStyle w:val="13"/>
            </w:pPr>
            <w:r>
              <w:t>29</w:t>
            </w:r>
          </w:p>
        </w:tc>
        <w:tc>
          <w:tcPr>
            <w:tcW w:w="4535" w:type="dxa"/>
            <w:vAlign w:val="center"/>
          </w:tcPr>
          <w:p w14:paraId="2C2CAA08">
            <w:pPr>
              <w:pStyle w:val="12"/>
            </w:pPr>
          </w:p>
        </w:tc>
        <w:tc>
          <w:tcPr>
            <w:tcW w:w="2126" w:type="dxa"/>
            <w:vAlign w:val="center"/>
          </w:tcPr>
          <w:p w14:paraId="0E9CA945">
            <w:pPr>
              <w:pStyle w:val="11"/>
            </w:pPr>
          </w:p>
        </w:tc>
        <w:tc>
          <w:tcPr>
            <w:tcW w:w="4535" w:type="dxa"/>
            <w:vAlign w:val="center"/>
          </w:tcPr>
          <w:p w14:paraId="696E045E">
            <w:pPr>
              <w:pStyle w:val="12"/>
            </w:pPr>
            <w:r>
              <w:t>二十九、债务发行费用支出</w:t>
            </w:r>
          </w:p>
        </w:tc>
        <w:tc>
          <w:tcPr>
            <w:tcW w:w="2126" w:type="dxa"/>
            <w:vAlign w:val="center"/>
          </w:tcPr>
          <w:p w14:paraId="7A52CB12">
            <w:pPr>
              <w:pStyle w:val="11"/>
            </w:pPr>
          </w:p>
        </w:tc>
      </w:tr>
      <w:tr w14:paraId="4114B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510CF">
            <w:pPr>
              <w:pStyle w:val="13"/>
            </w:pPr>
            <w:r>
              <w:t>30</w:t>
            </w:r>
          </w:p>
        </w:tc>
        <w:tc>
          <w:tcPr>
            <w:tcW w:w="4535" w:type="dxa"/>
            <w:vAlign w:val="center"/>
          </w:tcPr>
          <w:p w14:paraId="707EE140">
            <w:pPr>
              <w:pStyle w:val="12"/>
            </w:pPr>
          </w:p>
        </w:tc>
        <w:tc>
          <w:tcPr>
            <w:tcW w:w="2126" w:type="dxa"/>
            <w:vAlign w:val="center"/>
          </w:tcPr>
          <w:p w14:paraId="72D54466">
            <w:pPr>
              <w:pStyle w:val="11"/>
            </w:pPr>
          </w:p>
        </w:tc>
        <w:tc>
          <w:tcPr>
            <w:tcW w:w="4535" w:type="dxa"/>
            <w:vAlign w:val="center"/>
          </w:tcPr>
          <w:p w14:paraId="0E9644E2">
            <w:pPr>
              <w:pStyle w:val="12"/>
            </w:pPr>
            <w:r>
              <w:t>三十、抗疫特别国债安排的支出</w:t>
            </w:r>
          </w:p>
        </w:tc>
        <w:tc>
          <w:tcPr>
            <w:tcW w:w="2126" w:type="dxa"/>
            <w:vAlign w:val="center"/>
          </w:tcPr>
          <w:p w14:paraId="464C5710">
            <w:pPr>
              <w:pStyle w:val="11"/>
            </w:pPr>
          </w:p>
        </w:tc>
      </w:tr>
      <w:tr w14:paraId="611C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48BC9">
            <w:pPr>
              <w:pStyle w:val="13"/>
            </w:pPr>
            <w:r>
              <w:t>31</w:t>
            </w:r>
          </w:p>
        </w:tc>
        <w:tc>
          <w:tcPr>
            <w:tcW w:w="4535" w:type="dxa"/>
            <w:vAlign w:val="center"/>
          </w:tcPr>
          <w:p w14:paraId="7C569869">
            <w:pPr>
              <w:pStyle w:val="14"/>
            </w:pPr>
            <w:r>
              <w:t>本年收入合计</w:t>
            </w:r>
          </w:p>
        </w:tc>
        <w:tc>
          <w:tcPr>
            <w:tcW w:w="2126" w:type="dxa"/>
            <w:vAlign w:val="center"/>
          </w:tcPr>
          <w:p w14:paraId="5A2F22C1">
            <w:pPr>
              <w:pStyle w:val="15"/>
            </w:pPr>
            <w:r>
              <w:t>189.67</w:t>
            </w:r>
          </w:p>
        </w:tc>
        <w:tc>
          <w:tcPr>
            <w:tcW w:w="4535" w:type="dxa"/>
            <w:vAlign w:val="center"/>
          </w:tcPr>
          <w:p w14:paraId="3B080657">
            <w:pPr>
              <w:pStyle w:val="14"/>
            </w:pPr>
            <w:r>
              <w:t>本年支出合计</w:t>
            </w:r>
          </w:p>
        </w:tc>
        <w:tc>
          <w:tcPr>
            <w:tcW w:w="2126" w:type="dxa"/>
            <w:vAlign w:val="center"/>
          </w:tcPr>
          <w:p w14:paraId="14340D9B">
            <w:pPr>
              <w:pStyle w:val="15"/>
            </w:pPr>
            <w:r>
              <w:t>189.67</w:t>
            </w:r>
          </w:p>
        </w:tc>
      </w:tr>
      <w:tr w14:paraId="411A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D71CB">
            <w:pPr>
              <w:pStyle w:val="13"/>
            </w:pPr>
            <w:r>
              <w:t>32</w:t>
            </w:r>
          </w:p>
        </w:tc>
        <w:tc>
          <w:tcPr>
            <w:tcW w:w="4535" w:type="dxa"/>
            <w:vAlign w:val="center"/>
          </w:tcPr>
          <w:p w14:paraId="155E69C5">
            <w:pPr>
              <w:pStyle w:val="12"/>
            </w:pPr>
            <w:r>
              <w:t>上年结转结余</w:t>
            </w:r>
          </w:p>
        </w:tc>
        <w:tc>
          <w:tcPr>
            <w:tcW w:w="2126" w:type="dxa"/>
            <w:vAlign w:val="center"/>
          </w:tcPr>
          <w:p w14:paraId="05F1BAB2">
            <w:pPr>
              <w:pStyle w:val="11"/>
            </w:pPr>
          </w:p>
        </w:tc>
        <w:tc>
          <w:tcPr>
            <w:tcW w:w="4535" w:type="dxa"/>
            <w:vAlign w:val="center"/>
          </w:tcPr>
          <w:p w14:paraId="5CFA535F">
            <w:pPr>
              <w:pStyle w:val="12"/>
            </w:pPr>
            <w:r>
              <w:t>年终结转结余</w:t>
            </w:r>
          </w:p>
        </w:tc>
        <w:tc>
          <w:tcPr>
            <w:tcW w:w="2126" w:type="dxa"/>
            <w:vAlign w:val="center"/>
          </w:tcPr>
          <w:p w14:paraId="1D7420C2">
            <w:pPr>
              <w:pStyle w:val="11"/>
            </w:pPr>
          </w:p>
        </w:tc>
      </w:tr>
      <w:tr w14:paraId="77B9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78F0F">
            <w:pPr>
              <w:pStyle w:val="13"/>
            </w:pPr>
            <w:r>
              <w:t>33</w:t>
            </w:r>
          </w:p>
        </w:tc>
        <w:tc>
          <w:tcPr>
            <w:tcW w:w="4535" w:type="dxa"/>
            <w:vAlign w:val="center"/>
          </w:tcPr>
          <w:p w14:paraId="460A4E68">
            <w:pPr>
              <w:pStyle w:val="14"/>
            </w:pPr>
            <w:r>
              <w:t>收入总计</w:t>
            </w:r>
          </w:p>
        </w:tc>
        <w:tc>
          <w:tcPr>
            <w:tcW w:w="2126" w:type="dxa"/>
            <w:vAlign w:val="center"/>
          </w:tcPr>
          <w:p w14:paraId="3274432E">
            <w:pPr>
              <w:pStyle w:val="15"/>
            </w:pPr>
            <w:r>
              <w:t>189.67</w:t>
            </w:r>
          </w:p>
        </w:tc>
        <w:tc>
          <w:tcPr>
            <w:tcW w:w="4535" w:type="dxa"/>
            <w:vAlign w:val="center"/>
          </w:tcPr>
          <w:p w14:paraId="07DEF281">
            <w:pPr>
              <w:pStyle w:val="14"/>
            </w:pPr>
            <w:r>
              <w:t>支出总计</w:t>
            </w:r>
          </w:p>
        </w:tc>
        <w:tc>
          <w:tcPr>
            <w:tcW w:w="2126" w:type="dxa"/>
            <w:vAlign w:val="center"/>
          </w:tcPr>
          <w:p w14:paraId="6042A8E9">
            <w:pPr>
              <w:pStyle w:val="15"/>
            </w:pPr>
            <w:r>
              <w:t>189.67</w:t>
            </w:r>
          </w:p>
        </w:tc>
      </w:tr>
    </w:tbl>
    <w:p w14:paraId="02B5AC16">
      <w:pPr>
        <w:sectPr>
          <w:pgSz w:w="16840" w:h="11900" w:orient="landscape"/>
          <w:pgMar w:top="1361" w:right="1020" w:bottom="1134" w:left="1020" w:header="720" w:footer="720" w:gutter="0"/>
          <w:cols w:space="720" w:num="1"/>
        </w:sectPr>
      </w:pPr>
    </w:p>
    <w:p w14:paraId="6030B2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43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173BEC">
            <w:pPr>
              <w:pStyle w:val="9"/>
            </w:pPr>
            <w:r>
              <w:t>360014隆尧县县直幼儿园</w:t>
            </w:r>
          </w:p>
        </w:tc>
        <w:tc>
          <w:tcPr>
            <w:tcW w:w="3402" w:type="dxa"/>
            <w:gridSpan w:val="3"/>
            <w:tcBorders>
              <w:top w:val="single" w:color="FFFFFF" w:sz="6" w:space="0"/>
              <w:left w:val="single" w:color="FFFFFF" w:sz="6" w:space="0"/>
              <w:right w:val="single" w:color="FFFFFF" w:sz="6" w:space="0"/>
            </w:tcBorders>
            <w:vAlign w:val="center"/>
          </w:tcPr>
          <w:p w14:paraId="5309078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CBF206F">
            <w:pPr>
              <w:pStyle w:val="7"/>
            </w:pPr>
            <w:r>
              <w:t>单位：万元</w:t>
            </w:r>
          </w:p>
        </w:tc>
      </w:tr>
      <w:tr w14:paraId="7E26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51891F">
            <w:pPr>
              <w:pStyle w:val="10"/>
            </w:pPr>
            <w:r>
              <w:t>序号</w:t>
            </w:r>
          </w:p>
        </w:tc>
        <w:tc>
          <w:tcPr>
            <w:tcW w:w="2551" w:type="dxa"/>
            <w:gridSpan w:val="2"/>
            <w:vAlign w:val="center"/>
          </w:tcPr>
          <w:p w14:paraId="46472DD9">
            <w:pPr>
              <w:pStyle w:val="10"/>
            </w:pPr>
            <w:r>
              <w:t>功能分类科目</w:t>
            </w:r>
          </w:p>
        </w:tc>
        <w:tc>
          <w:tcPr>
            <w:tcW w:w="1134" w:type="dxa"/>
            <w:vMerge w:val="restart"/>
            <w:vAlign w:val="center"/>
          </w:tcPr>
          <w:p w14:paraId="2DB715F4">
            <w:pPr>
              <w:pStyle w:val="10"/>
            </w:pPr>
            <w:r>
              <w:t>合计</w:t>
            </w:r>
          </w:p>
        </w:tc>
        <w:tc>
          <w:tcPr>
            <w:tcW w:w="9072" w:type="dxa"/>
            <w:gridSpan w:val="8"/>
            <w:vAlign w:val="center"/>
          </w:tcPr>
          <w:p w14:paraId="1C948383">
            <w:pPr>
              <w:pStyle w:val="10"/>
            </w:pPr>
            <w:r>
              <w:t>本年收入</w:t>
            </w:r>
          </w:p>
        </w:tc>
        <w:tc>
          <w:tcPr>
            <w:tcW w:w="1134" w:type="dxa"/>
            <w:vMerge w:val="restart"/>
            <w:vAlign w:val="center"/>
          </w:tcPr>
          <w:p w14:paraId="5A9F9134">
            <w:pPr>
              <w:pStyle w:val="10"/>
            </w:pPr>
            <w:r>
              <w:t>上年结转</w:t>
            </w:r>
          </w:p>
        </w:tc>
      </w:tr>
      <w:tr w14:paraId="0909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EF0B30"/>
        </w:tc>
        <w:tc>
          <w:tcPr>
            <w:tcW w:w="992" w:type="dxa"/>
            <w:vAlign w:val="center"/>
          </w:tcPr>
          <w:p w14:paraId="572DC279">
            <w:pPr>
              <w:pStyle w:val="10"/>
            </w:pPr>
            <w:r>
              <w:t>科目    编码</w:t>
            </w:r>
          </w:p>
        </w:tc>
        <w:tc>
          <w:tcPr>
            <w:tcW w:w="1559" w:type="dxa"/>
            <w:vAlign w:val="center"/>
          </w:tcPr>
          <w:p w14:paraId="016ACB5D">
            <w:pPr>
              <w:pStyle w:val="10"/>
            </w:pPr>
            <w:r>
              <w:t>科目名称</w:t>
            </w:r>
          </w:p>
        </w:tc>
        <w:tc>
          <w:tcPr>
            <w:tcW w:w="1134" w:type="dxa"/>
            <w:vMerge w:val="continue"/>
          </w:tcPr>
          <w:p w14:paraId="0B48BEFE"/>
        </w:tc>
        <w:tc>
          <w:tcPr>
            <w:tcW w:w="1134" w:type="dxa"/>
            <w:vAlign w:val="center"/>
          </w:tcPr>
          <w:p w14:paraId="4CC34380">
            <w:pPr>
              <w:pStyle w:val="10"/>
            </w:pPr>
            <w:r>
              <w:t>小计</w:t>
            </w:r>
          </w:p>
        </w:tc>
        <w:tc>
          <w:tcPr>
            <w:tcW w:w="1134" w:type="dxa"/>
            <w:vAlign w:val="center"/>
          </w:tcPr>
          <w:p w14:paraId="0CF44511">
            <w:pPr>
              <w:pStyle w:val="10"/>
            </w:pPr>
            <w:r>
              <w:t>财政拨款 收入</w:t>
            </w:r>
          </w:p>
        </w:tc>
        <w:tc>
          <w:tcPr>
            <w:tcW w:w="1134" w:type="dxa"/>
            <w:vAlign w:val="center"/>
          </w:tcPr>
          <w:p w14:paraId="4CAE00DE">
            <w:pPr>
              <w:pStyle w:val="10"/>
            </w:pPr>
            <w:r>
              <w:t>财政专户 收入</w:t>
            </w:r>
          </w:p>
        </w:tc>
        <w:tc>
          <w:tcPr>
            <w:tcW w:w="1134" w:type="dxa"/>
            <w:vAlign w:val="center"/>
          </w:tcPr>
          <w:p w14:paraId="48666C99">
            <w:pPr>
              <w:pStyle w:val="10"/>
            </w:pPr>
            <w:r>
              <w:t>事业收入</w:t>
            </w:r>
          </w:p>
        </w:tc>
        <w:tc>
          <w:tcPr>
            <w:tcW w:w="1134" w:type="dxa"/>
            <w:vAlign w:val="center"/>
          </w:tcPr>
          <w:p w14:paraId="7F8DAD66">
            <w:pPr>
              <w:pStyle w:val="10"/>
            </w:pPr>
            <w:r>
              <w:t>经营收入</w:t>
            </w:r>
          </w:p>
        </w:tc>
        <w:tc>
          <w:tcPr>
            <w:tcW w:w="1134" w:type="dxa"/>
            <w:vAlign w:val="center"/>
          </w:tcPr>
          <w:p w14:paraId="7370CBF0">
            <w:pPr>
              <w:pStyle w:val="10"/>
            </w:pPr>
            <w:r>
              <w:t>上级补助收入</w:t>
            </w:r>
          </w:p>
        </w:tc>
        <w:tc>
          <w:tcPr>
            <w:tcW w:w="1134" w:type="dxa"/>
            <w:vAlign w:val="center"/>
          </w:tcPr>
          <w:p w14:paraId="2B7DCE3C">
            <w:pPr>
              <w:pStyle w:val="10"/>
            </w:pPr>
            <w:r>
              <w:t>附属单位上缴收入</w:t>
            </w:r>
          </w:p>
        </w:tc>
        <w:tc>
          <w:tcPr>
            <w:tcW w:w="1134" w:type="dxa"/>
            <w:vAlign w:val="center"/>
          </w:tcPr>
          <w:p w14:paraId="30F5B61E">
            <w:pPr>
              <w:pStyle w:val="10"/>
            </w:pPr>
            <w:r>
              <w:t>其他收入</w:t>
            </w:r>
          </w:p>
        </w:tc>
        <w:tc>
          <w:tcPr>
            <w:tcW w:w="1134" w:type="dxa"/>
            <w:vMerge w:val="continue"/>
          </w:tcPr>
          <w:p w14:paraId="0EF105C9"/>
        </w:tc>
      </w:tr>
      <w:tr w14:paraId="5366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24A270">
            <w:pPr>
              <w:pStyle w:val="10"/>
            </w:pPr>
            <w:r>
              <w:t>栏次</w:t>
            </w:r>
          </w:p>
        </w:tc>
        <w:tc>
          <w:tcPr>
            <w:tcW w:w="992" w:type="dxa"/>
            <w:vAlign w:val="center"/>
          </w:tcPr>
          <w:p w14:paraId="7491EAB5">
            <w:pPr>
              <w:pStyle w:val="10"/>
            </w:pPr>
            <w:r>
              <w:t>1</w:t>
            </w:r>
          </w:p>
        </w:tc>
        <w:tc>
          <w:tcPr>
            <w:tcW w:w="1559" w:type="dxa"/>
            <w:vAlign w:val="center"/>
          </w:tcPr>
          <w:p w14:paraId="0EAEA81E">
            <w:pPr>
              <w:pStyle w:val="10"/>
            </w:pPr>
            <w:r>
              <w:t>2</w:t>
            </w:r>
          </w:p>
        </w:tc>
        <w:tc>
          <w:tcPr>
            <w:tcW w:w="1134" w:type="dxa"/>
            <w:vAlign w:val="center"/>
          </w:tcPr>
          <w:p w14:paraId="250B040D">
            <w:pPr>
              <w:pStyle w:val="10"/>
            </w:pPr>
            <w:r>
              <w:t>3</w:t>
            </w:r>
          </w:p>
        </w:tc>
        <w:tc>
          <w:tcPr>
            <w:tcW w:w="1134" w:type="dxa"/>
            <w:vAlign w:val="center"/>
          </w:tcPr>
          <w:p w14:paraId="64E96E68">
            <w:pPr>
              <w:pStyle w:val="10"/>
            </w:pPr>
            <w:r>
              <w:t>4</w:t>
            </w:r>
          </w:p>
        </w:tc>
        <w:tc>
          <w:tcPr>
            <w:tcW w:w="1134" w:type="dxa"/>
            <w:vAlign w:val="center"/>
          </w:tcPr>
          <w:p w14:paraId="55E74002">
            <w:pPr>
              <w:pStyle w:val="10"/>
            </w:pPr>
            <w:r>
              <w:t>5</w:t>
            </w:r>
          </w:p>
        </w:tc>
        <w:tc>
          <w:tcPr>
            <w:tcW w:w="1134" w:type="dxa"/>
            <w:vAlign w:val="center"/>
          </w:tcPr>
          <w:p w14:paraId="5800DC3A">
            <w:pPr>
              <w:pStyle w:val="10"/>
            </w:pPr>
            <w:r>
              <w:t>6</w:t>
            </w:r>
          </w:p>
        </w:tc>
        <w:tc>
          <w:tcPr>
            <w:tcW w:w="1134" w:type="dxa"/>
            <w:vAlign w:val="center"/>
          </w:tcPr>
          <w:p w14:paraId="4D3DD01E">
            <w:pPr>
              <w:pStyle w:val="10"/>
            </w:pPr>
            <w:r>
              <w:t>7</w:t>
            </w:r>
          </w:p>
        </w:tc>
        <w:tc>
          <w:tcPr>
            <w:tcW w:w="1134" w:type="dxa"/>
            <w:vAlign w:val="center"/>
          </w:tcPr>
          <w:p w14:paraId="682AB69F">
            <w:pPr>
              <w:pStyle w:val="10"/>
            </w:pPr>
            <w:r>
              <w:t>8</w:t>
            </w:r>
          </w:p>
        </w:tc>
        <w:tc>
          <w:tcPr>
            <w:tcW w:w="1134" w:type="dxa"/>
            <w:vAlign w:val="center"/>
          </w:tcPr>
          <w:p w14:paraId="0BBA2875">
            <w:pPr>
              <w:pStyle w:val="10"/>
            </w:pPr>
            <w:r>
              <w:t>9</w:t>
            </w:r>
          </w:p>
        </w:tc>
        <w:tc>
          <w:tcPr>
            <w:tcW w:w="1134" w:type="dxa"/>
            <w:vAlign w:val="center"/>
          </w:tcPr>
          <w:p w14:paraId="6579A85E">
            <w:pPr>
              <w:pStyle w:val="10"/>
            </w:pPr>
            <w:r>
              <w:t>10</w:t>
            </w:r>
          </w:p>
        </w:tc>
        <w:tc>
          <w:tcPr>
            <w:tcW w:w="1134" w:type="dxa"/>
            <w:vAlign w:val="center"/>
          </w:tcPr>
          <w:p w14:paraId="466215F1">
            <w:pPr>
              <w:pStyle w:val="10"/>
            </w:pPr>
            <w:r>
              <w:t>11</w:t>
            </w:r>
          </w:p>
        </w:tc>
        <w:tc>
          <w:tcPr>
            <w:tcW w:w="1134" w:type="dxa"/>
            <w:vAlign w:val="center"/>
          </w:tcPr>
          <w:p w14:paraId="0100A91A">
            <w:pPr>
              <w:pStyle w:val="10"/>
            </w:pPr>
            <w:r>
              <w:t>12</w:t>
            </w:r>
          </w:p>
        </w:tc>
      </w:tr>
      <w:tr w14:paraId="6440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5B152">
            <w:pPr>
              <w:pStyle w:val="13"/>
            </w:pPr>
            <w:r>
              <w:t>1</w:t>
            </w:r>
          </w:p>
        </w:tc>
        <w:tc>
          <w:tcPr>
            <w:tcW w:w="992" w:type="dxa"/>
            <w:vAlign w:val="center"/>
          </w:tcPr>
          <w:p w14:paraId="17A98BED">
            <w:pPr>
              <w:pStyle w:val="16"/>
            </w:pPr>
          </w:p>
        </w:tc>
        <w:tc>
          <w:tcPr>
            <w:tcW w:w="1559" w:type="dxa"/>
            <w:vAlign w:val="center"/>
          </w:tcPr>
          <w:p w14:paraId="59E3DC64">
            <w:pPr>
              <w:pStyle w:val="14"/>
            </w:pPr>
            <w:r>
              <w:t>合计</w:t>
            </w:r>
          </w:p>
        </w:tc>
        <w:tc>
          <w:tcPr>
            <w:tcW w:w="1134" w:type="dxa"/>
            <w:vAlign w:val="center"/>
          </w:tcPr>
          <w:p w14:paraId="1BD2DF21">
            <w:pPr>
              <w:pStyle w:val="15"/>
            </w:pPr>
            <w:r>
              <w:t>189.67</w:t>
            </w:r>
          </w:p>
        </w:tc>
        <w:tc>
          <w:tcPr>
            <w:tcW w:w="1134" w:type="dxa"/>
            <w:vAlign w:val="center"/>
          </w:tcPr>
          <w:p w14:paraId="01A544DB">
            <w:pPr>
              <w:pStyle w:val="15"/>
            </w:pPr>
            <w:r>
              <w:t>189.67</w:t>
            </w:r>
          </w:p>
        </w:tc>
        <w:tc>
          <w:tcPr>
            <w:tcW w:w="1134" w:type="dxa"/>
            <w:vAlign w:val="center"/>
          </w:tcPr>
          <w:p w14:paraId="55DF6BB1">
            <w:pPr>
              <w:pStyle w:val="15"/>
            </w:pPr>
            <w:r>
              <w:t>189.67</w:t>
            </w:r>
          </w:p>
        </w:tc>
        <w:tc>
          <w:tcPr>
            <w:tcW w:w="1134" w:type="dxa"/>
            <w:vAlign w:val="center"/>
          </w:tcPr>
          <w:p w14:paraId="4BF7FE56">
            <w:pPr>
              <w:pStyle w:val="15"/>
            </w:pPr>
          </w:p>
        </w:tc>
        <w:tc>
          <w:tcPr>
            <w:tcW w:w="1134" w:type="dxa"/>
            <w:vAlign w:val="center"/>
          </w:tcPr>
          <w:p w14:paraId="346F9A4C">
            <w:pPr>
              <w:pStyle w:val="15"/>
            </w:pPr>
          </w:p>
        </w:tc>
        <w:tc>
          <w:tcPr>
            <w:tcW w:w="1134" w:type="dxa"/>
            <w:vAlign w:val="center"/>
          </w:tcPr>
          <w:p w14:paraId="77475577">
            <w:pPr>
              <w:pStyle w:val="15"/>
            </w:pPr>
          </w:p>
        </w:tc>
        <w:tc>
          <w:tcPr>
            <w:tcW w:w="1134" w:type="dxa"/>
            <w:vAlign w:val="center"/>
          </w:tcPr>
          <w:p w14:paraId="41FD5E9B">
            <w:pPr>
              <w:pStyle w:val="15"/>
            </w:pPr>
          </w:p>
        </w:tc>
        <w:tc>
          <w:tcPr>
            <w:tcW w:w="1134" w:type="dxa"/>
            <w:vAlign w:val="center"/>
          </w:tcPr>
          <w:p w14:paraId="507CEFA1">
            <w:pPr>
              <w:pStyle w:val="15"/>
            </w:pPr>
          </w:p>
        </w:tc>
        <w:tc>
          <w:tcPr>
            <w:tcW w:w="1134" w:type="dxa"/>
            <w:vAlign w:val="center"/>
          </w:tcPr>
          <w:p w14:paraId="155571EA">
            <w:pPr>
              <w:pStyle w:val="15"/>
            </w:pPr>
          </w:p>
        </w:tc>
        <w:tc>
          <w:tcPr>
            <w:tcW w:w="1134" w:type="dxa"/>
            <w:vAlign w:val="center"/>
          </w:tcPr>
          <w:p w14:paraId="45E8D42A">
            <w:pPr>
              <w:pStyle w:val="15"/>
            </w:pPr>
          </w:p>
        </w:tc>
      </w:tr>
      <w:tr w14:paraId="548F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F76FA">
            <w:pPr>
              <w:pStyle w:val="13"/>
            </w:pPr>
            <w:r>
              <w:t>2</w:t>
            </w:r>
          </w:p>
        </w:tc>
        <w:tc>
          <w:tcPr>
            <w:tcW w:w="992" w:type="dxa"/>
            <w:vAlign w:val="center"/>
          </w:tcPr>
          <w:p w14:paraId="019530DF">
            <w:pPr>
              <w:pStyle w:val="12"/>
            </w:pPr>
            <w:r>
              <w:t>205</w:t>
            </w:r>
          </w:p>
        </w:tc>
        <w:tc>
          <w:tcPr>
            <w:tcW w:w="1559" w:type="dxa"/>
            <w:vAlign w:val="center"/>
          </w:tcPr>
          <w:p w14:paraId="6790BD0A">
            <w:pPr>
              <w:pStyle w:val="12"/>
            </w:pPr>
            <w:r>
              <w:t>教育支出</w:t>
            </w:r>
          </w:p>
        </w:tc>
        <w:tc>
          <w:tcPr>
            <w:tcW w:w="1134" w:type="dxa"/>
            <w:vAlign w:val="center"/>
          </w:tcPr>
          <w:p w14:paraId="632CC3CE">
            <w:pPr>
              <w:pStyle w:val="11"/>
            </w:pPr>
            <w:r>
              <w:t>189.67</w:t>
            </w:r>
          </w:p>
        </w:tc>
        <w:tc>
          <w:tcPr>
            <w:tcW w:w="1134" w:type="dxa"/>
            <w:vAlign w:val="center"/>
          </w:tcPr>
          <w:p w14:paraId="2BEC8990">
            <w:pPr>
              <w:pStyle w:val="11"/>
            </w:pPr>
            <w:r>
              <w:t>189.67</w:t>
            </w:r>
          </w:p>
        </w:tc>
        <w:tc>
          <w:tcPr>
            <w:tcW w:w="1134" w:type="dxa"/>
            <w:vAlign w:val="center"/>
          </w:tcPr>
          <w:p w14:paraId="454C4E48">
            <w:pPr>
              <w:pStyle w:val="11"/>
            </w:pPr>
            <w:r>
              <w:t>189.67</w:t>
            </w:r>
          </w:p>
        </w:tc>
        <w:tc>
          <w:tcPr>
            <w:tcW w:w="1134" w:type="dxa"/>
            <w:vAlign w:val="center"/>
          </w:tcPr>
          <w:p w14:paraId="0C3449D4">
            <w:pPr>
              <w:pStyle w:val="11"/>
            </w:pPr>
          </w:p>
        </w:tc>
        <w:tc>
          <w:tcPr>
            <w:tcW w:w="1134" w:type="dxa"/>
            <w:vAlign w:val="center"/>
          </w:tcPr>
          <w:p w14:paraId="5B4D13DC">
            <w:pPr>
              <w:pStyle w:val="11"/>
            </w:pPr>
          </w:p>
        </w:tc>
        <w:tc>
          <w:tcPr>
            <w:tcW w:w="1134" w:type="dxa"/>
            <w:vAlign w:val="center"/>
          </w:tcPr>
          <w:p w14:paraId="24535B9D">
            <w:pPr>
              <w:pStyle w:val="11"/>
            </w:pPr>
          </w:p>
        </w:tc>
        <w:tc>
          <w:tcPr>
            <w:tcW w:w="1134" w:type="dxa"/>
            <w:vAlign w:val="center"/>
          </w:tcPr>
          <w:p w14:paraId="4B2E522D">
            <w:pPr>
              <w:pStyle w:val="11"/>
            </w:pPr>
          </w:p>
        </w:tc>
        <w:tc>
          <w:tcPr>
            <w:tcW w:w="1134" w:type="dxa"/>
            <w:vAlign w:val="center"/>
          </w:tcPr>
          <w:p w14:paraId="6D17EB4C">
            <w:pPr>
              <w:pStyle w:val="11"/>
            </w:pPr>
          </w:p>
        </w:tc>
        <w:tc>
          <w:tcPr>
            <w:tcW w:w="1134" w:type="dxa"/>
            <w:vAlign w:val="center"/>
          </w:tcPr>
          <w:p w14:paraId="4666A10B">
            <w:pPr>
              <w:pStyle w:val="11"/>
            </w:pPr>
          </w:p>
        </w:tc>
        <w:tc>
          <w:tcPr>
            <w:tcW w:w="1134" w:type="dxa"/>
            <w:vAlign w:val="center"/>
          </w:tcPr>
          <w:p w14:paraId="59D4CD33">
            <w:pPr>
              <w:pStyle w:val="11"/>
            </w:pPr>
          </w:p>
        </w:tc>
      </w:tr>
      <w:tr w14:paraId="31BE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43BC6">
            <w:pPr>
              <w:pStyle w:val="13"/>
            </w:pPr>
            <w:r>
              <w:t>3</w:t>
            </w:r>
          </w:p>
        </w:tc>
        <w:tc>
          <w:tcPr>
            <w:tcW w:w="992" w:type="dxa"/>
            <w:vAlign w:val="center"/>
          </w:tcPr>
          <w:p w14:paraId="3B17EAE9">
            <w:pPr>
              <w:pStyle w:val="12"/>
            </w:pPr>
            <w:r>
              <w:t>20502</w:t>
            </w:r>
          </w:p>
        </w:tc>
        <w:tc>
          <w:tcPr>
            <w:tcW w:w="1559" w:type="dxa"/>
            <w:vAlign w:val="center"/>
          </w:tcPr>
          <w:p w14:paraId="0DEBA233">
            <w:pPr>
              <w:pStyle w:val="12"/>
            </w:pPr>
            <w:r>
              <w:t>普通教育</w:t>
            </w:r>
          </w:p>
        </w:tc>
        <w:tc>
          <w:tcPr>
            <w:tcW w:w="1134" w:type="dxa"/>
            <w:vAlign w:val="center"/>
          </w:tcPr>
          <w:p w14:paraId="5645D538">
            <w:pPr>
              <w:pStyle w:val="11"/>
            </w:pPr>
            <w:r>
              <w:t>189.67</w:t>
            </w:r>
          </w:p>
        </w:tc>
        <w:tc>
          <w:tcPr>
            <w:tcW w:w="1134" w:type="dxa"/>
            <w:vAlign w:val="center"/>
          </w:tcPr>
          <w:p w14:paraId="75CF10B6">
            <w:pPr>
              <w:pStyle w:val="11"/>
            </w:pPr>
            <w:r>
              <w:t>189.67</w:t>
            </w:r>
          </w:p>
        </w:tc>
        <w:tc>
          <w:tcPr>
            <w:tcW w:w="1134" w:type="dxa"/>
            <w:vAlign w:val="center"/>
          </w:tcPr>
          <w:p w14:paraId="73977C10">
            <w:pPr>
              <w:pStyle w:val="11"/>
            </w:pPr>
            <w:r>
              <w:t>189.67</w:t>
            </w:r>
          </w:p>
        </w:tc>
        <w:tc>
          <w:tcPr>
            <w:tcW w:w="1134" w:type="dxa"/>
            <w:vAlign w:val="center"/>
          </w:tcPr>
          <w:p w14:paraId="74775952">
            <w:pPr>
              <w:pStyle w:val="11"/>
            </w:pPr>
          </w:p>
        </w:tc>
        <w:tc>
          <w:tcPr>
            <w:tcW w:w="1134" w:type="dxa"/>
            <w:vAlign w:val="center"/>
          </w:tcPr>
          <w:p w14:paraId="2659D254">
            <w:pPr>
              <w:pStyle w:val="11"/>
            </w:pPr>
          </w:p>
        </w:tc>
        <w:tc>
          <w:tcPr>
            <w:tcW w:w="1134" w:type="dxa"/>
            <w:vAlign w:val="center"/>
          </w:tcPr>
          <w:p w14:paraId="3BED97AC">
            <w:pPr>
              <w:pStyle w:val="11"/>
            </w:pPr>
          </w:p>
        </w:tc>
        <w:tc>
          <w:tcPr>
            <w:tcW w:w="1134" w:type="dxa"/>
            <w:vAlign w:val="center"/>
          </w:tcPr>
          <w:p w14:paraId="04748207">
            <w:pPr>
              <w:pStyle w:val="11"/>
            </w:pPr>
          </w:p>
        </w:tc>
        <w:tc>
          <w:tcPr>
            <w:tcW w:w="1134" w:type="dxa"/>
            <w:vAlign w:val="center"/>
          </w:tcPr>
          <w:p w14:paraId="1276A48D">
            <w:pPr>
              <w:pStyle w:val="11"/>
            </w:pPr>
          </w:p>
        </w:tc>
        <w:tc>
          <w:tcPr>
            <w:tcW w:w="1134" w:type="dxa"/>
            <w:vAlign w:val="center"/>
          </w:tcPr>
          <w:p w14:paraId="0891E3A0">
            <w:pPr>
              <w:pStyle w:val="11"/>
            </w:pPr>
          </w:p>
        </w:tc>
        <w:tc>
          <w:tcPr>
            <w:tcW w:w="1134" w:type="dxa"/>
            <w:vAlign w:val="center"/>
          </w:tcPr>
          <w:p w14:paraId="301A9F4D">
            <w:pPr>
              <w:pStyle w:val="11"/>
            </w:pPr>
          </w:p>
        </w:tc>
      </w:tr>
      <w:tr w14:paraId="0168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BDE82">
            <w:pPr>
              <w:pStyle w:val="13"/>
            </w:pPr>
            <w:r>
              <w:t>4</w:t>
            </w:r>
          </w:p>
        </w:tc>
        <w:tc>
          <w:tcPr>
            <w:tcW w:w="992" w:type="dxa"/>
            <w:vAlign w:val="center"/>
          </w:tcPr>
          <w:p w14:paraId="0CE886C2">
            <w:pPr>
              <w:pStyle w:val="12"/>
            </w:pPr>
            <w:r>
              <w:t>2050201</w:t>
            </w:r>
          </w:p>
        </w:tc>
        <w:tc>
          <w:tcPr>
            <w:tcW w:w="1559" w:type="dxa"/>
            <w:vAlign w:val="center"/>
          </w:tcPr>
          <w:p w14:paraId="4B5BC31C">
            <w:pPr>
              <w:pStyle w:val="12"/>
            </w:pPr>
            <w:r>
              <w:t>学前教育</w:t>
            </w:r>
          </w:p>
        </w:tc>
        <w:tc>
          <w:tcPr>
            <w:tcW w:w="1134" w:type="dxa"/>
            <w:vAlign w:val="center"/>
          </w:tcPr>
          <w:p w14:paraId="3D3C813A">
            <w:pPr>
              <w:pStyle w:val="11"/>
            </w:pPr>
            <w:r>
              <w:t>189.67</w:t>
            </w:r>
          </w:p>
        </w:tc>
        <w:tc>
          <w:tcPr>
            <w:tcW w:w="1134" w:type="dxa"/>
            <w:vAlign w:val="center"/>
          </w:tcPr>
          <w:p w14:paraId="2E41898F">
            <w:pPr>
              <w:pStyle w:val="11"/>
            </w:pPr>
            <w:r>
              <w:t>189.67</w:t>
            </w:r>
          </w:p>
        </w:tc>
        <w:tc>
          <w:tcPr>
            <w:tcW w:w="1134" w:type="dxa"/>
            <w:vAlign w:val="center"/>
          </w:tcPr>
          <w:p w14:paraId="624BCCEC">
            <w:pPr>
              <w:pStyle w:val="11"/>
            </w:pPr>
            <w:r>
              <w:t>189.67</w:t>
            </w:r>
          </w:p>
        </w:tc>
        <w:tc>
          <w:tcPr>
            <w:tcW w:w="1134" w:type="dxa"/>
            <w:vAlign w:val="center"/>
          </w:tcPr>
          <w:p w14:paraId="0C2EFF68">
            <w:pPr>
              <w:pStyle w:val="11"/>
            </w:pPr>
          </w:p>
        </w:tc>
        <w:tc>
          <w:tcPr>
            <w:tcW w:w="1134" w:type="dxa"/>
            <w:vAlign w:val="center"/>
          </w:tcPr>
          <w:p w14:paraId="58DA366D">
            <w:pPr>
              <w:pStyle w:val="11"/>
            </w:pPr>
          </w:p>
        </w:tc>
        <w:tc>
          <w:tcPr>
            <w:tcW w:w="1134" w:type="dxa"/>
            <w:vAlign w:val="center"/>
          </w:tcPr>
          <w:p w14:paraId="601A12E7">
            <w:pPr>
              <w:pStyle w:val="11"/>
            </w:pPr>
          </w:p>
        </w:tc>
        <w:tc>
          <w:tcPr>
            <w:tcW w:w="1134" w:type="dxa"/>
            <w:vAlign w:val="center"/>
          </w:tcPr>
          <w:p w14:paraId="66385306">
            <w:pPr>
              <w:pStyle w:val="11"/>
            </w:pPr>
          </w:p>
        </w:tc>
        <w:tc>
          <w:tcPr>
            <w:tcW w:w="1134" w:type="dxa"/>
            <w:vAlign w:val="center"/>
          </w:tcPr>
          <w:p w14:paraId="35ED1B2A">
            <w:pPr>
              <w:pStyle w:val="11"/>
            </w:pPr>
          </w:p>
        </w:tc>
        <w:tc>
          <w:tcPr>
            <w:tcW w:w="1134" w:type="dxa"/>
            <w:vAlign w:val="center"/>
          </w:tcPr>
          <w:p w14:paraId="296604C6">
            <w:pPr>
              <w:pStyle w:val="11"/>
            </w:pPr>
          </w:p>
        </w:tc>
        <w:tc>
          <w:tcPr>
            <w:tcW w:w="1134" w:type="dxa"/>
            <w:vAlign w:val="center"/>
          </w:tcPr>
          <w:p w14:paraId="664F5BA4">
            <w:pPr>
              <w:pStyle w:val="11"/>
            </w:pPr>
          </w:p>
        </w:tc>
      </w:tr>
    </w:tbl>
    <w:p w14:paraId="421CA1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33FA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B9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561192">
            <w:pPr>
              <w:pStyle w:val="9"/>
            </w:pPr>
            <w:r>
              <w:t>360014隆尧县县直幼儿园</w:t>
            </w:r>
          </w:p>
        </w:tc>
        <w:tc>
          <w:tcPr>
            <w:tcW w:w="2722" w:type="dxa"/>
            <w:gridSpan w:val="2"/>
            <w:tcBorders>
              <w:top w:val="single" w:color="FFFFFF" w:sz="6" w:space="0"/>
              <w:left w:val="single" w:color="FFFFFF" w:sz="6" w:space="0"/>
              <w:right w:val="single" w:color="FFFFFF" w:sz="6" w:space="0"/>
            </w:tcBorders>
            <w:vAlign w:val="center"/>
          </w:tcPr>
          <w:p w14:paraId="37A5CBD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33702BF">
            <w:pPr>
              <w:pStyle w:val="7"/>
            </w:pPr>
            <w:r>
              <w:t>单位：万元</w:t>
            </w:r>
          </w:p>
        </w:tc>
      </w:tr>
      <w:tr w14:paraId="6E44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422436">
            <w:pPr>
              <w:pStyle w:val="10"/>
            </w:pPr>
            <w:r>
              <w:t>序号</w:t>
            </w:r>
          </w:p>
        </w:tc>
        <w:tc>
          <w:tcPr>
            <w:tcW w:w="5527" w:type="dxa"/>
            <w:gridSpan w:val="2"/>
            <w:vAlign w:val="center"/>
          </w:tcPr>
          <w:p w14:paraId="3B6F8E8A">
            <w:pPr>
              <w:pStyle w:val="10"/>
            </w:pPr>
            <w:r>
              <w:t>功能分类科目</w:t>
            </w:r>
          </w:p>
        </w:tc>
        <w:tc>
          <w:tcPr>
            <w:tcW w:w="1361" w:type="dxa"/>
            <w:vMerge w:val="restart"/>
            <w:vAlign w:val="center"/>
          </w:tcPr>
          <w:p w14:paraId="532EE31F">
            <w:pPr>
              <w:pStyle w:val="10"/>
            </w:pPr>
            <w:r>
              <w:t>合计</w:t>
            </w:r>
          </w:p>
        </w:tc>
        <w:tc>
          <w:tcPr>
            <w:tcW w:w="1361" w:type="dxa"/>
            <w:vMerge w:val="restart"/>
            <w:vAlign w:val="center"/>
          </w:tcPr>
          <w:p w14:paraId="619064AF">
            <w:pPr>
              <w:pStyle w:val="10"/>
            </w:pPr>
            <w:r>
              <w:t>基本支出</w:t>
            </w:r>
          </w:p>
        </w:tc>
        <w:tc>
          <w:tcPr>
            <w:tcW w:w="1361" w:type="dxa"/>
            <w:vMerge w:val="restart"/>
            <w:vAlign w:val="center"/>
          </w:tcPr>
          <w:p w14:paraId="4EF798A7">
            <w:pPr>
              <w:pStyle w:val="10"/>
            </w:pPr>
            <w:r>
              <w:t>项目支出</w:t>
            </w:r>
          </w:p>
        </w:tc>
        <w:tc>
          <w:tcPr>
            <w:tcW w:w="1361" w:type="dxa"/>
            <w:vMerge w:val="restart"/>
            <w:vAlign w:val="center"/>
          </w:tcPr>
          <w:p w14:paraId="666AABEE">
            <w:pPr>
              <w:pStyle w:val="10"/>
            </w:pPr>
            <w:r>
              <w:t>经营支出</w:t>
            </w:r>
          </w:p>
        </w:tc>
        <w:tc>
          <w:tcPr>
            <w:tcW w:w="1361" w:type="dxa"/>
            <w:vMerge w:val="restart"/>
            <w:vAlign w:val="center"/>
          </w:tcPr>
          <w:p w14:paraId="5A37B7C7">
            <w:pPr>
              <w:pStyle w:val="10"/>
            </w:pPr>
            <w:r>
              <w:t>上解上级     支出</w:t>
            </w:r>
          </w:p>
        </w:tc>
        <w:tc>
          <w:tcPr>
            <w:tcW w:w="1361" w:type="dxa"/>
            <w:vMerge w:val="restart"/>
            <w:vAlign w:val="center"/>
          </w:tcPr>
          <w:p w14:paraId="2A7A9FF9">
            <w:pPr>
              <w:pStyle w:val="10"/>
            </w:pPr>
            <w:r>
              <w:t>对附属单位补助支出</w:t>
            </w:r>
          </w:p>
        </w:tc>
      </w:tr>
      <w:tr w14:paraId="4F25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759070"/>
        </w:tc>
        <w:tc>
          <w:tcPr>
            <w:tcW w:w="992" w:type="dxa"/>
            <w:vAlign w:val="center"/>
          </w:tcPr>
          <w:p w14:paraId="5BA9E97C">
            <w:pPr>
              <w:pStyle w:val="10"/>
            </w:pPr>
            <w:r>
              <w:t>科目    编码</w:t>
            </w:r>
          </w:p>
        </w:tc>
        <w:tc>
          <w:tcPr>
            <w:tcW w:w="4535" w:type="dxa"/>
            <w:vAlign w:val="center"/>
          </w:tcPr>
          <w:p w14:paraId="6F9D0496">
            <w:pPr>
              <w:pStyle w:val="10"/>
            </w:pPr>
            <w:r>
              <w:t>科目名称</w:t>
            </w:r>
          </w:p>
        </w:tc>
        <w:tc>
          <w:tcPr>
            <w:tcW w:w="1361" w:type="dxa"/>
            <w:vMerge w:val="continue"/>
          </w:tcPr>
          <w:p w14:paraId="39F10DF0"/>
        </w:tc>
        <w:tc>
          <w:tcPr>
            <w:tcW w:w="1361" w:type="dxa"/>
            <w:vMerge w:val="continue"/>
          </w:tcPr>
          <w:p w14:paraId="601AD163"/>
        </w:tc>
        <w:tc>
          <w:tcPr>
            <w:tcW w:w="1361" w:type="dxa"/>
            <w:vMerge w:val="continue"/>
          </w:tcPr>
          <w:p w14:paraId="48588DF9"/>
        </w:tc>
        <w:tc>
          <w:tcPr>
            <w:tcW w:w="1361" w:type="dxa"/>
            <w:vMerge w:val="continue"/>
          </w:tcPr>
          <w:p w14:paraId="3C276199"/>
        </w:tc>
        <w:tc>
          <w:tcPr>
            <w:tcW w:w="1361" w:type="dxa"/>
            <w:vMerge w:val="continue"/>
          </w:tcPr>
          <w:p w14:paraId="302A736B"/>
        </w:tc>
        <w:tc>
          <w:tcPr>
            <w:tcW w:w="1361" w:type="dxa"/>
            <w:vMerge w:val="continue"/>
          </w:tcPr>
          <w:p w14:paraId="1259A75C"/>
        </w:tc>
      </w:tr>
      <w:tr w14:paraId="1D2B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70EE07">
            <w:pPr>
              <w:pStyle w:val="10"/>
            </w:pPr>
            <w:r>
              <w:t>栏次</w:t>
            </w:r>
          </w:p>
        </w:tc>
        <w:tc>
          <w:tcPr>
            <w:tcW w:w="992" w:type="dxa"/>
            <w:vAlign w:val="center"/>
          </w:tcPr>
          <w:p w14:paraId="3178D499">
            <w:pPr>
              <w:pStyle w:val="10"/>
            </w:pPr>
            <w:r>
              <w:t>1</w:t>
            </w:r>
          </w:p>
        </w:tc>
        <w:tc>
          <w:tcPr>
            <w:tcW w:w="4535" w:type="dxa"/>
            <w:vAlign w:val="center"/>
          </w:tcPr>
          <w:p w14:paraId="6F455942">
            <w:pPr>
              <w:pStyle w:val="10"/>
            </w:pPr>
            <w:r>
              <w:t>2</w:t>
            </w:r>
          </w:p>
        </w:tc>
        <w:tc>
          <w:tcPr>
            <w:tcW w:w="1361" w:type="dxa"/>
            <w:vAlign w:val="center"/>
          </w:tcPr>
          <w:p w14:paraId="468C5E7A">
            <w:pPr>
              <w:pStyle w:val="10"/>
            </w:pPr>
            <w:r>
              <w:t>3</w:t>
            </w:r>
          </w:p>
        </w:tc>
        <w:tc>
          <w:tcPr>
            <w:tcW w:w="1361" w:type="dxa"/>
            <w:vAlign w:val="center"/>
          </w:tcPr>
          <w:p w14:paraId="315F413D">
            <w:pPr>
              <w:pStyle w:val="10"/>
            </w:pPr>
            <w:r>
              <w:t>4</w:t>
            </w:r>
          </w:p>
        </w:tc>
        <w:tc>
          <w:tcPr>
            <w:tcW w:w="1361" w:type="dxa"/>
            <w:vAlign w:val="center"/>
          </w:tcPr>
          <w:p w14:paraId="049000D6">
            <w:pPr>
              <w:pStyle w:val="10"/>
            </w:pPr>
            <w:r>
              <w:t>5</w:t>
            </w:r>
          </w:p>
        </w:tc>
        <w:tc>
          <w:tcPr>
            <w:tcW w:w="1361" w:type="dxa"/>
            <w:vAlign w:val="center"/>
          </w:tcPr>
          <w:p w14:paraId="6E213E09">
            <w:pPr>
              <w:pStyle w:val="10"/>
            </w:pPr>
            <w:r>
              <w:t>6</w:t>
            </w:r>
          </w:p>
        </w:tc>
        <w:tc>
          <w:tcPr>
            <w:tcW w:w="1361" w:type="dxa"/>
            <w:vAlign w:val="center"/>
          </w:tcPr>
          <w:p w14:paraId="2331F854">
            <w:pPr>
              <w:pStyle w:val="10"/>
            </w:pPr>
            <w:r>
              <w:t>7</w:t>
            </w:r>
          </w:p>
        </w:tc>
        <w:tc>
          <w:tcPr>
            <w:tcW w:w="1361" w:type="dxa"/>
            <w:vAlign w:val="center"/>
          </w:tcPr>
          <w:p w14:paraId="2BD1678E">
            <w:pPr>
              <w:pStyle w:val="10"/>
            </w:pPr>
            <w:r>
              <w:t>8</w:t>
            </w:r>
          </w:p>
        </w:tc>
      </w:tr>
      <w:tr w14:paraId="26A9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FA00">
            <w:pPr>
              <w:pStyle w:val="13"/>
            </w:pPr>
            <w:r>
              <w:t>1</w:t>
            </w:r>
          </w:p>
        </w:tc>
        <w:tc>
          <w:tcPr>
            <w:tcW w:w="992" w:type="dxa"/>
            <w:vAlign w:val="center"/>
          </w:tcPr>
          <w:p w14:paraId="051237F8">
            <w:pPr>
              <w:pStyle w:val="16"/>
            </w:pPr>
          </w:p>
        </w:tc>
        <w:tc>
          <w:tcPr>
            <w:tcW w:w="4535" w:type="dxa"/>
            <w:vAlign w:val="center"/>
          </w:tcPr>
          <w:p w14:paraId="2A1F8EB5">
            <w:pPr>
              <w:pStyle w:val="14"/>
            </w:pPr>
            <w:r>
              <w:t>合计</w:t>
            </w:r>
          </w:p>
        </w:tc>
        <w:tc>
          <w:tcPr>
            <w:tcW w:w="1361" w:type="dxa"/>
            <w:vAlign w:val="center"/>
          </w:tcPr>
          <w:p w14:paraId="21177F91">
            <w:pPr>
              <w:pStyle w:val="15"/>
            </w:pPr>
            <w:r>
              <w:t>189.67</w:t>
            </w:r>
          </w:p>
        </w:tc>
        <w:tc>
          <w:tcPr>
            <w:tcW w:w="1361" w:type="dxa"/>
            <w:vAlign w:val="center"/>
          </w:tcPr>
          <w:p w14:paraId="3CE0B6B6">
            <w:pPr>
              <w:pStyle w:val="15"/>
            </w:pPr>
            <w:r>
              <w:t>105.81</w:t>
            </w:r>
          </w:p>
        </w:tc>
        <w:tc>
          <w:tcPr>
            <w:tcW w:w="1361" w:type="dxa"/>
            <w:vAlign w:val="center"/>
          </w:tcPr>
          <w:p w14:paraId="765B93BB">
            <w:pPr>
              <w:pStyle w:val="15"/>
            </w:pPr>
            <w:r>
              <w:t>83.86</w:t>
            </w:r>
          </w:p>
        </w:tc>
        <w:tc>
          <w:tcPr>
            <w:tcW w:w="1361" w:type="dxa"/>
            <w:vAlign w:val="center"/>
          </w:tcPr>
          <w:p w14:paraId="1A511168">
            <w:pPr>
              <w:pStyle w:val="15"/>
            </w:pPr>
          </w:p>
        </w:tc>
        <w:tc>
          <w:tcPr>
            <w:tcW w:w="1361" w:type="dxa"/>
            <w:vAlign w:val="center"/>
          </w:tcPr>
          <w:p w14:paraId="58E97F41">
            <w:pPr>
              <w:pStyle w:val="15"/>
            </w:pPr>
          </w:p>
        </w:tc>
        <w:tc>
          <w:tcPr>
            <w:tcW w:w="1361" w:type="dxa"/>
            <w:vAlign w:val="center"/>
          </w:tcPr>
          <w:p w14:paraId="00E18571">
            <w:pPr>
              <w:pStyle w:val="15"/>
            </w:pPr>
          </w:p>
        </w:tc>
      </w:tr>
      <w:tr w14:paraId="7B2C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F6FEF">
            <w:pPr>
              <w:pStyle w:val="13"/>
            </w:pPr>
            <w:r>
              <w:t>2</w:t>
            </w:r>
          </w:p>
        </w:tc>
        <w:tc>
          <w:tcPr>
            <w:tcW w:w="992" w:type="dxa"/>
            <w:vAlign w:val="center"/>
          </w:tcPr>
          <w:p w14:paraId="44B8F292">
            <w:pPr>
              <w:pStyle w:val="12"/>
            </w:pPr>
            <w:r>
              <w:t>205</w:t>
            </w:r>
          </w:p>
        </w:tc>
        <w:tc>
          <w:tcPr>
            <w:tcW w:w="4535" w:type="dxa"/>
            <w:vAlign w:val="center"/>
          </w:tcPr>
          <w:p w14:paraId="70F8036E">
            <w:pPr>
              <w:pStyle w:val="12"/>
            </w:pPr>
            <w:r>
              <w:t>教育支出</w:t>
            </w:r>
          </w:p>
        </w:tc>
        <w:tc>
          <w:tcPr>
            <w:tcW w:w="1361" w:type="dxa"/>
            <w:vAlign w:val="center"/>
          </w:tcPr>
          <w:p w14:paraId="6089D126">
            <w:pPr>
              <w:pStyle w:val="11"/>
            </w:pPr>
            <w:r>
              <w:t>189.67</w:t>
            </w:r>
          </w:p>
        </w:tc>
        <w:tc>
          <w:tcPr>
            <w:tcW w:w="1361" w:type="dxa"/>
            <w:vAlign w:val="center"/>
          </w:tcPr>
          <w:p w14:paraId="20F1A0A7">
            <w:pPr>
              <w:pStyle w:val="11"/>
            </w:pPr>
            <w:r>
              <w:t>105.81</w:t>
            </w:r>
          </w:p>
        </w:tc>
        <w:tc>
          <w:tcPr>
            <w:tcW w:w="1361" w:type="dxa"/>
            <w:vAlign w:val="center"/>
          </w:tcPr>
          <w:p w14:paraId="296065F3">
            <w:pPr>
              <w:pStyle w:val="11"/>
            </w:pPr>
            <w:r>
              <w:t>83.86</w:t>
            </w:r>
          </w:p>
        </w:tc>
        <w:tc>
          <w:tcPr>
            <w:tcW w:w="1361" w:type="dxa"/>
            <w:vAlign w:val="center"/>
          </w:tcPr>
          <w:p w14:paraId="69181937">
            <w:pPr>
              <w:pStyle w:val="11"/>
            </w:pPr>
          </w:p>
        </w:tc>
        <w:tc>
          <w:tcPr>
            <w:tcW w:w="1361" w:type="dxa"/>
            <w:vAlign w:val="center"/>
          </w:tcPr>
          <w:p w14:paraId="39347A28">
            <w:pPr>
              <w:pStyle w:val="11"/>
            </w:pPr>
          </w:p>
        </w:tc>
        <w:tc>
          <w:tcPr>
            <w:tcW w:w="1361" w:type="dxa"/>
            <w:vAlign w:val="center"/>
          </w:tcPr>
          <w:p w14:paraId="22DD83BC">
            <w:pPr>
              <w:pStyle w:val="11"/>
            </w:pPr>
          </w:p>
        </w:tc>
      </w:tr>
      <w:tr w14:paraId="3BFD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3AE78">
            <w:pPr>
              <w:pStyle w:val="13"/>
            </w:pPr>
            <w:r>
              <w:t>3</w:t>
            </w:r>
          </w:p>
        </w:tc>
        <w:tc>
          <w:tcPr>
            <w:tcW w:w="992" w:type="dxa"/>
            <w:vAlign w:val="center"/>
          </w:tcPr>
          <w:p w14:paraId="586B6310">
            <w:pPr>
              <w:pStyle w:val="12"/>
            </w:pPr>
            <w:r>
              <w:t>20502</w:t>
            </w:r>
          </w:p>
        </w:tc>
        <w:tc>
          <w:tcPr>
            <w:tcW w:w="4535" w:type="dxa"/>
            <w:vAlign w:val="center"/>
          </w:tcPr>
          <w:p w14:paraId="3E5E7C66">
            <w:pPr>
              <w:pStyle w:val="12"/>
            </w:pPr>
            <w:r>
              <w:t>普通教育</w:t>
            </w:r>
          </w:p>
        </w:tc>
        <w:tc>
          <w:tcPr>
            <w:tcW w:w="1361" w:type="dxa"/>
            <w:vAlign w:val="center"/>
          </w:tcPr>
          <w:p w14:paraId="433EE1B8">
            <w:pPr>
              <w:pStyle w:val="11"/>
            </w:pPr>
            <w:r>
              <w:t>189.67</w:t>
            </w:r>
          </w:p>
        </w:tc>
        <w:tc>
          <w:tcPr>
            <w:tcW w:w="1361" w:type="dxa"/>
            <w:vAlign w:val="center"/>
          </w:tcPr>
          <w:p w14:paraId="346A3041">
            <w:pPr>
              <w:pStyle w:val="11"/>
            </w:pPr>
            <w:r>
              <w:t>105.81</w:t>
            </w:r>
          </w:p>
        </w:tc>
        <w:tc>
          <w:tcPr>
            <w:tcW w:w="1361" w:type="dxa"/>
            <w:vAlign w:val="center"/>
          </w:tcPr>
          <w:p w14:paraId="68AFB784">
            <w:pPr>
              <w:pStyle w:val="11"/>
            </w:pPr>
            <w:r>
              <w:t>83.86</w:t>
            </w:r>
          </w:p>
        </w:tc>
        <w:tc>
          <w:tcPr>
            <w:tcW w:w="1361" w:type="dxa"/>
            <w:vAlign w:val="center"/>
          </w:tcPr>
          <w:p w14:paraId="253F3231">
            <w:pPr>
              <w:pStyle w:val="11"/>
            </w:pPr>
          </w:p>
        </w:tc>
        <w:tc>
          <w:tcPr>
            <w:tcW w:w="1361" w:type="dxa"/>
            <w:vAlign w:val="center"/>
          </w:tcPr>
          <w:p w14:paraId="52154056">
            <w:pPr>
              <w:pStyle w:val="11"/>
            </w:pPr>
          </w:p>
        </w:tc>
        <w:tc>
          <w:tcPr>
            <w:tcW w:w="1361" w:type="dxa"/>
            <w:vAlign w:val="center"/>
          </w:tcPr>
          <w:p w14:paraId="19DC78FF">
            <w:pPr>
              <w:pStyle w:val="11"/>
            </w:pPr>
          </w:p>
        </w:tc>
      </w:tr>
      <w:tr w14:paraId="30C4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CF517">
            <w:pPr>
              <w:pStyle w:val="13"/>
            </w:pPr>
            <w:r>
              <w:t>4</w:t>
            </w:r>
          </w:p>
        </w:tc>
        <w:tc>
          <w:tcPr>
            <w:tcW w:w="992" w:type="dxa"/>
            <w:vAlign w:val="center"/>
          </w:tcPr>
          <w:p w14:paraId="5400D1AD">
            <w:pPr>
              <w:pStyle w:val="12"/>
            </w:pPr>
            <w:r>
              <w:t>2050201</w:t>
            </w:r>
          </w:p>
        </w:tc>
        <w:tc>
          <w:tcPr>
            <w:tcW w:w="4535" w:type="dxa"/>
            <w:vAlign w:val="center"/>
          </w:tcPr>
          <w:p w14:paraId="216DE182">
            <w:pPr>
              <w:pStyle w:val="12"/>
            </w:pPr>
            <w:r>
              <w:t>学前教育</w:t>
            </w:r>
          </w:p>
        </w:tc>
        <w:tc>
          <w:tcPr>
            <w:tcW w:w="1361" w:type="dxa"/>
            <w:vAlign w:val="center"/>
          </w:tcPr>
          <w:p w14:paraId="5DA7E82F">
            <w:pPr>
              <w:pStyle w:val="11"/>
            </w:pPr>
            <w:r>
              <w:t>189.67</w:t>
            </w:r>
          </w:p>
        </w:tc>
        <w:tc>
          <w:tcPr>
            <w:tcW w:w="1361" w:type="dxa"/>
            <w:vAlign w:val="center"/>
          </w:tcPr>
          <w:p w14:paraId="47186CDC">
            <w:pPr>
              <w:pStyle w:val="11"/>
            </w:pPr>
            <w:r>
              <w:t>105.81</w:t>
            </w:r>
          </w:p>
        </w:tc>
        <w:tc>
          <w:tcPr>
            <w:tcW w:w="1361" w:type="dxa"/>
            <w:vAlign w:val="center"/>
          </w:tcPr>
          <w:p w14:paraId="18894F6F">
            <w:pPr>
              <w:pStyle w:val="11"/>
            </w:pPr>
            <w:r>
              <w:t>83.86</w:t>
            </w:r>
          </w:p>
        </w:tc>
        <w:tc>
          <w:tcPr>
            <w:tcW w:w="1361" w:type="dxa"/>
            <w:vAlign w:val="center"/>
          </w:tcPr>
          <w:p w14:paraId="5C56C6E0">
            <w:pPr>
              <w:pStyle w:val="11"/>
            </w:pPr>
          </w:p>
        </w:tc>
        <w:tc>
          <w:tcPr>
            <w:tcW w:w="1361" w:type="dxa"/>
            <w:vAlign w:val="center"/>
          </w:tcPr>
          <w:p w14:paraId="38C49A28">
            <w:pPr>
              <w:pStyle w:val="11"/>
            </w:pPr>
          </w:p>
        </w:tc>
        <w:tc>
          <w:tcPr>
            <w:tcW w:w="1361" w:type="dxa"/>
            <w:vAlign w:val="center"/>
          </w:tcPr>
          <w:p w14:paraId="7B26C9EE">
            <w:pPr>
              <w:pStyle w:val="11"/>
            </w:pPr>
          </w:p>
        </w:tc>
      </w:tr>
    </w:tbl>
    <w:p w14:paraId="6EA205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3151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93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997587">
            <w:pPr>
              <w:pStyle w:val="9"/>
            </w:pPr>
            <w:r>
              <w:t>360014隆尧县县直幼儿园</w:t>
            </w:r>
          </w:p>
        </w:tc>
        <w:tc>
          <w:tcPr>
            <w:tcW w:w="3402" w:type="dxa"/>
            <w:tcBorders>
              <w:top w:val="single" w:color="FFFFFF" w:sz="6" w:space="0"/>
              <w:left w:val="single" w:color="FFFFFF" w:sz="6" w:space="0"/>
              <w:right w:val="single" w:color="FFFFFF" w:sz="6" w:space="0"/>
            </w:tcBorders>
            <w:vAlign w:val="center"/>
          </w:tcPr>
          <w:p w14:paraId="68308B8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FACFF77">
            <w:pPr>
              <w:pStyle w:val="7"/>
            </w:pPr>
            <w:r>
              <w:t>单位：万元</w:t>
            </w:r>
          </w:p>
        </w:tc>
      </w:tr>
      <w:tr w14:paraId="25030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852C2">
            <w:pPr>
              <w:pStyle w:val="10"/>
            </w:pPr>
            <w:r>
              <w:t>序号</w:t>
            </w:r>
          </w:p>
        </w:tc>
        <w:tc>
          <w:tcPr>
            <w:tcW w:w="4876" w:type="dxa"/>
            <w:gridSpan w:val="2"/>
            <w:vAlign w:val="center"/>
          </w:tcPr>
          <w:p w14:paraId="7EB6430A">
            <w:pPr>
              <w:pStyle w:val="10"/>
            </w:pPr>
            <w:r>
              <w:t>收入</w:t>
            </w:r>
          </w:p>
        </w:tc>
        <w:tc>
          <w:tcPr>
            <w:tcW w:w="9298" w:type="dxa"/>
            <w:gridSpan w:val="5"/>
            <w:vAlign w:val="center"/>
          </w:tcPr>
          <w:p w14:paraId="35D008B0">
            <w:pPr>
              <w:pStyle w:val="10"/>
            </w:pPr>
            <w:r>
              <w:t>支出</w:t>
            </w:r>
          </w:p>
        </w:tc>
      </w:tr>
      <w:tr w14:paraId="0A23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DEA745"/>
        </w:tc>
        <w:tc>
          <w:tcPr>
            <w:tcW w:w="3402" w:type="dxa"/>
            <w:vAlign w:val="center"/>
          </w:tcPr>
          <w:p w14:paraId="1269DB97">
            <w:pPr>
              <w:pStyle w:val="10"/>
            </w:pPr>
            <w:r>
              <w:t>项  目</w:t>
            </w:r>
          </w:p>
        </w:tc>
        <w:tc>
          <w:tcPr>
            <w:tcW w:w="1474" w:type="dxa"/>
            <w:vAlign w:val="center"/>
          </w:tcPr>
          <w:p w14:paraId="01C7FCAC">
            <w:pPr>
              <w:pStyle w:val="10"/>
            </w:pPr>
            <w:r>
              <w:t>金额</w:t>
            </w:r>
          </w:p>
        </w:tc>
        <w:tc>
          <w:tcPr>
            <w:tcW w:w="3402" w:type="dxa"/>
            <w:vAlign w:val="center"/>
          </w:tcPr>
          <w:p w14:paraId="3E14029C">
            <w:pPr>
              <w:pStyle w:val="10"/>
            </w:pPr>
            <w:r>
              <w:t>项  目</w:t>
            </w:r>
          </w:p>
        </w:tc>
        <w:tc>
          <w:tcPr>
            <w:tcW w:w="1474" w:type="dxa"/>
            <w:vAlign w:val="center"/>
          </w:tcPr>
          <w:p w14:paraId="2A065F26">
            <w:pPr>
              <w:pStyle w:val="10"/>
            </w:pPr>
            <w:r>
              <w:t>合计</w:t>
            </w:r>
          </w:p>
        </w:tc>
        <w:tc>
          <w:tcPr>
            <w:tcW w:w="1474" w:type="dxa"/>
            <w:vAlign w:val="center"/>
          </w:tcPr>
          <w:p w14:paraId="1F4E8670">
            <w:pPr>
              <w:pStyle w:val="10"/>
            </w:pPr>
            <w:r>
              <w:t>一般公共预算财政拨款</w:t>
            </w:r>
          </w:p>
        </w:tc>
        <w:tc>
          <w:tcPr>
            <w:tcW w:w="1474" w:type="dxa"/>
            <w:vAlign w:val="center"/>
          </w:tcPr>
          <w:p w14:paraId="161A7883">
            <w:pPr>
              <w:pStyle w:val="10"/>
            </w:pPr>
            <w:r>
              <w:t>政府性基金预算财政    拨款</w:t>
            </w:r>
          </w:p>
        </w:tc>
        <w:tc>
          <w:tcPr>
            <w:tcW w:w="1474" w:type="dxa"/>
            <w:vAlign w:val="center"/>
          </w:tcPr>
          <w:p w14:paraId="700F4936">
            <w:pPr>
              <w:pStyle w:val="10"/>
            </w:pPr>
            <w:r>
              <w:t>国有资本经营预算财政拨款</w:t>
            </w:r>
          </w:p>
        </w:tc>
      </w:tr>
      <w:tr w14:paraId="124524F1">
        <w:tblPrEx>
          <w:tblCellMar>
            <w:top w:w="0" w:type="dxa"/>
            <w:left w:w="108" w:type="dxa"/>
            <w:bottom w:w="0" w:type="dxa"/>
            <w:right w:w="108" w:type="dxa"/>
          </w:tblCellMar>
        </w:tblPrEx>
        <w:trPr>
          <w:trHeight w:val="369" w:hRule="atLeast"/>
          <w:tblHeader/>
          <w:jc w:val="center"/>
        </w:trPr>
        <w:tc>
          <w:tcPr>
            <w:tcW w:w="850" w:type="dxa"/>
            <w:vAlign w:val="center"/>
          </w:tcPr>
          <w:p w14:paraId="7D63CFBD">
            <w:pPr>
              <w:pStyle w:val="10"/>
            </w:pPr>
            <w:r>
              <w:t>栏次</w:t>
            </w:r>
          </w:p>
        </w:tc>
        <w:tc>
          <w:tcPr>
            <w:tcW w:w="3402" w:type="dxa"/>
            <w:vAlign w:val="center"/>
          </w:tcPr>
          <w:p w14:paraId="5EC0CD0D">
            <w:pPr>
              <w:pStyle w:val="10"/>
            </w:pPr>
            <w:r>
              <w:t>1</w:t>
            </w:r>
          </w:p>
        </w:tc>
        <w:tc>
          <w:tcPr>
            <w:tcW w:w="1474" w:type="dxa"/>
            <w:vAlign w:val="center"/>
          </w:tcPr>
          <w:p w14:paraId="438B2707">
            <w:pPr>
              <w:pStyle w:val="10"/>
            </w:pPr>
            <w:r>
              <w:t>2</w:t>
            </w:r>
          </w:p>
        </w:tc>
        <w:tc>
          <w:tcPr>
            <w:tcW w:w="3402" w:type="dxa"/>
            <w:vAlign w:val="center"/>
          </w:tcPr>
          <w:p w14:paraId="1A053EFC">
            <w:pPr>
              <w:pStyle w:val="10"/>
            </w:pPr>
            <w:r>
              <w:t>3</w:t>
            </w:r>
          </w:p>
        </w:tc>
        <w:tc>
          <w:tcPr>
            <w:tcW w:w="1474" w:type="dxa"/>
            <w:vAlign w:val="center"/>
          </w:tcPr>
          <w:p w14:paraId="1CAA3CCF">
            <w:pPr>
              <w:pStyle w:val="10"/>
            </w:pPr>
            <w:r>
              <w:t>4</w:t>
            </w:r>
          </w:p>
        </w:tc>
        <w:tc>
          <w:tcPr>
            <w:tcW w:w="1474" w:type="dxa"/>
            <w:vAlign w:val="center"/>
          </w:tcPr>
          <w:p w14:paraId="5FE4457F">
            <w:pPr>
              <w:pStyle w:val="10"/>
            </w:pPr>
            <w:r>
              <w:t>5</w:t>
            </w:r>
          </w:p>
        </w:tc>
        <w:tc>
          <w:tcPr>
            <w:tcW w:w="1474" w:type="dxa"/>
            <w:vAlign w:val="center"/>
          </w:tcPr>
          <w:p w14:paraId="054FEFE4">
            <w:pPr>
              <w:pStyle w:val="10"/>
            </w:pPr>
            <w:r>
              <w:t>6</w:t>
            </w:r>
          </w:p>
        </w:tc>
        <w:tc>
          <w:tcPr>
            <w:tcW w:w="1474" w:type="dxa"/>
            <w:vAlign w:val="center"/>
          </w:tcPr>
          <w:p w14:paraId="5930DA8B">
            <w:pPr>
              <w:pStyle w:val="10"/>
            </w:pPr>
            <w:r>
              <w:t>7</w:t>
            </w:r>
          </w:p>
        </w:tc>
      </w:tr>
      <w:tr w14:paraId="263198A9">
        <w:tblPrEx>
          <w:tblCellMar>
            <w:top w:w="0" w:type="dxa"/>
            <w:left w:w="108" w:type="dxa"/>
            <w:bottom w:w="0" w:type="dxa"/>
            <w:right w:w="108" w:type="dxa"/>
          </w:tblCellMar>
        </w:tblPrEx>
        <w:trPr>
          <w:trHeight w:val="369" w:hRule="atLeast"/>
          <w:jc w:val="center"/>
        </w:trPr>
        <w:tc>
          <w:tcPr>
            <w:tcW w:w="850" w:type="dxa"/>
            <w:vAlign w:val="center"/>
          </w:tcPr>
          <w:p w14:paraId="037E36E9">
            <w:pPr>
              <w:pStyle w:val="13"/>
            </w:pPr>
            <w:r>
              <w:t>1</w:t>
            </w:r>
          </w:p>
        </w:tc>
        <w:tc>
          <w:tcPr>
            <w:tcW w:w="3402" w:type="dxa"/>
            <w:vAlign w:val="center"/>
          </w:tcPr>
          <w:p w14:paraId="27EBFFC5">
            <w:pPr>
              <w:pStyle w:val="12"/>
            </w:pPr>
            <w:r>
              <w:t>一、一般公共预算拨款</w:t>
            </w:r>
          </w:p>
        </w:tc>
        <w:tc>
          <w:tcPr>
            <w:tcW w:w="1474" w:type="dxa"/>
            <w:vAlign w:val="center"/>
          </w:tcPr>
          <w:p w14:paraId="38055CE5">
            <w:pPr>
              <w:pStyle w:val="11"/>
            </w:pPr>
            <w:r>
              <w:t>189.67</w:t>
            </w:r>
          </w:p>
        </w:tc>
        <w:tc>
          <w:tcPr>
            <w:tcW w:w="3402" w:type="dxa"/>
            <w:vAlign w:val="center"/>
          </w:tcPr>
          <w:p w14:paraId="12D77FE6">
            <w:pPr>
              <w:pStyle w:val="12"/>
            </w:pPr>
            <w:r>
              <w:t>一、一般公共服务支出</w:t>
            </w:r>
          </w:p>
        </w:tc>
        <w:tc>
          <w:tcPr>
            <w:tcW w:w="1474" w:type="dxa"/>
            <w:vAlign w:val="center"/>
          </w:tcPr>
          <w:p w14:paraId="5A82C191">
            <w:pPr>
              <w:pStyle w:val="11"/>
            </w:pPr>
          </w:p>
        </w:tc>
        <w:tc>
          <w:tcPr>
            <w:tcW w:w="1474" w:type="dxa"/>
            <w:vAlign w:val="center"/>
          </w:tcPr>
          <w:p w14:paraId="70097AA4">
            <w:pPr>
              <w:pStyle w:val="11"/>
            </w:pPr>
          </w:p>
        </w:tc>
        <w:tc>
          <w:tcPr>
            <w:tcW w:w="1474" w:type="dxa"/>
            <w:vAlign w:val="center"/>
          </w:tcPr>
          <w:p w14:paraId="43144EA7">
            <w:pPr>
              <w:pStyle w:val="11"/>
            </w:pPr>
          </w:p>
        </w:tc>
        <w:tc>
          <w:tcPr>
            <w:tcW w:w="1474" w:type="dxa"/>
            <w:vAlign w:val="center"/>
          </w:tcPr>
          <w:p w14:paraId="714BCA24">
            <w:pPr>
              <w:pStyle w:val="11"/>
            </w:pPr>
          </w:p>
        </w:tc>
      </w:tr>
      <w:tr w14:paraId="480A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F6D3">
            <w:pPr>
              <w:pStyle w:val="13"/>
            </w:pPr>
            <w:r>
              <w:t>2</w:t>
            </w:r>
          </w:p>
        </w:tc>
        <w:tc>
          <w:tcPr>
            <w:tcW w:w="3402" w:type="dxa"/>
            <w:vAlign w:val="center"/>
          </w:tcPr>
          <w:p w14:paraId="567F623E">
            <w:pPr>
              <w:pStyle w:val="12"/>
            </w:pPr>
            <w:r>
              <w:t>二、政府性基金预算拨款</w:t>
            </w:r>
          </w:p>
        </w:tc>
        <w:tc>
          <w:tcPr>
            <w:tcW w:w="1474" w:type="dxa"/>
            <w:vAlign w:val="center"/>
          </w:tcPr>
          <w:p w14:paraId="5DC2E82F">
            <w:pPr>
              <w:pStyle w:val="11"/>
            </w:pPr>
          </w:p>
        </w:tc>
        <w:tc>
          <w:tcPr>
            <w:tcW w:w="3402" w:type="dxa"/>
            <w:vAlign w:val="center"/>
          </w:tcPr>
          <w:p w14:paraId="1FAEFB62">
            <w:pPr>
              <w:pStyle w:val="12"/>
            </w:pPr>
            <w:r>
              <w:t>二、外交支出</w:t>
            </w:r>
          </w:p>
        </w:tc>
        <w:tc>
          <w:tcPr>
            <w:tcW w:w="1474" w:type="dxa"/>
            <w:vAlign w:val="center"/>
          </w:tcPr>
          <w:p w14:paraId="505A472A">
            <w:pPr>
              <w:pStyle w:val="11"/>
            </w:pPr>
          </w:p>
        </w:tc>
        <w:tc>
          <w:tcPr>
            <w:tcW w:w="1474" w:type="dxa"/>
            <w:vAlign w:val="center"/>
          </w:tcPr>
          <w:p w14:paraId="4314DD45">
            <w:pPr>
              <w:pStyle w:val="11"/>
            </w:pPr>
          </w:p>
        </w:tc>
        <w:tc>
          <w:tcPr>
            <w:tcW w:w="1474" w:type="dxa"/>
            <w:vAlign w:val="center"/>
          </w:tcPr>
          <w:p w14:paraId="75B3BBE8">
            <w:pPr>
              <w:pStyle w:val="11"/>
            </w:pPr>
          </w:p>
        </w:tc>
        <w:tc>
          <w:tcPr>
            <w:tcW w:w="1474" w:type="dxa"/>
            <w:vAlign w:val="center"/>
          </w:tcPr>
          <w:p w14:paraId="00B27A1E">
            <w:pPr>
              <w:pStyle w:val="11"/>
            </w:pPr>
          </w:p>
        </w:tc>
      </w:tr>
      <w:tr w14:paraId="00060CA0">
        <w:tblPrEx>
          <w:tblCellMar>
            <w:top w:w="0" w:type="dxa"/>
            <w:left w:w="108" w:type="dxa"/>
            <w:bottom w:w="0" w:type="dxa"/>
            <w:right w:w="108" w:type="dxa"/>
          </w:tblCellMar>
        </w:tblPrEx>
        <w:trPr>
          <w:trHeight w:val="369" w:hRule="atLeast"/>
          <w:jc w:val="center"/>
        </w:trPr>
        <w:tc>
          <w:tcPr>
            <w:tcW w:w="850" w:type="dxa"/>
            <w:vAlign w:val="center"/>
          </w:tcPr>
          <w:p w14:paraId="452954E4">
            <w:pPr>
              <w:pStyle w:val="13"/>
            </w:pPr>
            <w:r>
              <w:t>3</w:t>
            </w:r>
          </w:p>
        </w:tc>
        <w:tc>
          <w:tcPr>
            <w:tcW w:w="3402" w:type="dxa"/>
            <w:vAlign w:val="center"/>
          </w:tcPr>
          <w:p w14:paraId="6F9E87CC">
            <w:pPr>
              <w:pStyle w:val="12"/>
            </w:pPr>
            <w:r>
              <w:t>三、国有资本经营预算拨款</w:t>
            </w:r>
          </w:p>
        </w:tc>
        <w:tc>
          <w:tcPr>
            <w:tcW w:w="1474" w:type="dxa"/>
            <w:vAlign w:val="center"/>
          </w:tcPr>
          <w:p w14:paraId="177962D4">
            <w:pPr>
              <w:pStyle w:val="11"/>
            </w:pPr>
          </w:p>
        </w:tc>
        <w:tc>
          <w:tcPr>
            <w:tcW w:w="3402" w:type="dxa"/>
            <w:vAlign w:val="center"/>
          </w:tcPr>
          <w:p w14:paraId="0B603B5F">
            <w:pPr>
              <w:pStyle w:val="12"/>
            </w:pPr>
            <w:r>
              <w:t>三、国防支出</w:t>
            </w:r>
          </w:p>
        </w:tc>
        <w:tc>
          <w:tcPr>
            <w:tcW w:w="1474" w:type="dxa"/>
            <w:vAlign w:val="center"/>
          </w:tcPr>
          <w:p w14:paraId="000C0D66">
            <w:pPr>
              <w:pStyle w:val="11"/>
            </w:pPr>
          </w:p>
        </w:tc>
        <w:tc>
          <w:tcPr>
            <w:tcW w:w="1474" w:type="dxa"/>
            <w:vAlign w:val="center"/>
          </w:tcPr>
          <w:p w14:paraId="69D2E71B">
            <w:pPr>
              <w:pStyle w:val="11"/>
            </w:pPr>
          </w:p>
        </w:tc>
        <w:tc>
          <w:tcPr>
            <w:tcW w:w="1474" w:type="dxa"/>
            <w:vAlign w:val="center"/>
          </w:tcPr>
          <w:p w14:paraId="102A8E36">
            <w:pPr>
              <w:pStyle w:val="11"/>
            </w:pPr>
          </w:p>
        </w:tc>
        <w:tc>
          <w:tcPr>
            <w:tcW w:w="1474" w:type="dxa"/>
            <w:vAlign w:val="center"/>
          </w:tcPr>
          <w:p w14:paraId="5D15FA15">
            <w:pPr>
              <w:pStyle w:val="11"/>
            </w:pPr>
          </w:p>
        </w:tc>
      </w:tr>
      <w:tr w14:paraId="7C02C348">
        <w:tblPrEx>
          <w:tblCellMar>
            <w:top w:w="0" w:type="dxa"/>
            <w:left w:w="108" w:type="dxa"/>
            <w:bottom w:w="0" w:type="dxa"/>
            <w:right w:w="108" w:type="dxa"/>
          </w:tblCellMar>
        </w:tblPrEx>
        <w:trPr>
          <w:trHeight w:val="369" w:hRule="atLeast"/>
          <w:jc w:val="center"/>
        </w:trPr>
        <w:tc>
          <w:tcPr>
            <w:tcW w:w="850" w:type="dxa"/>
            <w:vAlign w:val="center"/>
          </w:tcPr>
          <w:p w14:paraId="6E274C42">
            <w:pPr>
              <w:pStyle w:val="13"/>
            </w:pPr>
            <w:r>
              <w:t>4</w:t>
            </w:r>
          </w:p>
        </w:tc>
        <w:tc>
          <w:tcPr>
            <w:tcW w:w="3402" w:type="dxa"/>
            <w:vAlign w:val="center"/>
          </w:tcPr>
          <w:p w14:paraId="36A4AB9F">
            <w:pPr>
              <w:pStyle w:val="12"/>
            </w:pPr>
          </w:p>
        </w:tc>
        <w:tc>
          <w:tcPr>
            <w:tcW w:w="1474" w:type="dxa"/>
            <w:vAlign w:val="center"/>
          </w:tcPr>
          <w:p w14:paraId="295CD7B6">
            <w:pPr>
              <w:pStyle w:val="11"/>
            </w:pPr>
          </w:p>
        </w:tc>
        <w:tc>
          <w:tcPr>
            <w:tcW w:w="3402" w:type="dxa"/>
            <w:vAlign w:val="center"/>
          </w:tcPr>
          <w:p w14:paraId="68E1A7D3">
            <w:pPr>
              <w:pStyle w:val="12"/>
            </w:pPr>
            <w:r>
              <w:t>四、公共安全支出</w:t>
            </w:r>
          </w:p>
        </w:tc>
        <w:tc>
          <w:tcPr>
            <w:tcW w:w="1474" w:type="dxa"/>
            <w:vAlign w:val="center"/>
          </w:tcPr>
          <w:p w14:paraId="70563CB3">
            <w:pPr>
              <w:pStyle w:val="11"/>
            </w:pPr>
          </w:p>
        </w:tc>
        <w:tc>
          <w:tcPr>
            <w:tcW w:w="1474" w:type="dxa"/>
            <w:vAlign w:val="center"/>
          </w:tcPr>
          <w:p w14:paraId="1575D876">
            <w:pPr>
              <w:pStyle w:val="11"/>
            </w:pPr>
          </w:p>
        </w:tc>
        <w:tc>
          <w:tcPr>
            <w:tcW w:w="1474" w:type="dxa"/>
            <w:vAlign w:val="center"/>
          </w:tcPr>
          <w:p w14:paraId="26DDFCA4">
            <w:pPr>
              <w:pStyle w:val="11"/>
            </w:pPr>
          </w:p>
        </w:tc>
        <w:tc>
          <w:tcPr>
            <w:tcW w:w="1474" w:type="dxa"/>
            <w:vAlign w:val="center"/>
          </w:tcPr>
          <w:p w14:paraId="045B73D7">
            <w:pPr>
              <w:pStyle w:val="11"/>
            </w:pPr>
          </w:p>
        </w:tc>
      </w:tr>
      <w:tr w14:paraId="6A099209">
        <w:tblPrEx>
          <w:tblCellMar>
            <w:top w:w="0" w:type="dxa"/>
            <w:left w:w="108" w:type="dxa"/>
            <w:bottom w:w="0" w:type="dxa"/>
            <w:right w:w="108" w:type="dxa"/>
          </w:tblCellMar>
        </w:tblPrEx>
        <w:trPr>
          <w:trHeight w:val="369" w:hRule="atLeast"/>
          <w:jc w:val="center"/>
        </w:trPr>
        <w:tc>
          <w:tcPr>
            <w:tcW w:w="850" w:type="dxa"/>
            <w:vAlign w:val="center"/>
          </w:tcPr>
          <w:p w14:paraId="25AC6267">
            <w:pPr>
              <w:pStyle w:val="13"/>
            </w:pPr>
            <w:r>
              <w:t>5</w:t>
            </w:r>
          </w:p>
        </w:tc>
        <w:tc>
          <w:tcPr>
            <w:tcW w:w="3402" w:type="dxa"/>
            <w:vAlign w:val="center"/>
          </w:tcPr>
          <w:p w14:paraId="3CC5AE04">
            <w:pPr>
              <w:pStyle w:val="12"/>
            </w:pPr>
          </w:p>
        </w:tc>
        <w:tc>
          <w:tcPr>
            <w:tcW w:w="1474" w:type="dxa"/>
            <w:vAlign w:val="center"/>
          </w:tcPr>
          <w:p w14:paraId="4B2DDDE5">
            <w:pPr>
              <w:pStyle w:val="11"/>
            </w:pPr>
          </w:p>
        </w:tc>
        <w:tc>
          <w:tcPr>
            <w:tcW w:w="3402" w:type="dxa"/>
            <w:vAlign w:val="center"/>
          </w:tcPr>
          <w:p w14:paraId="0600E0A4">
            <w:pPr>
              <w:pStyle w:val="12"/>
            </w:pPr>
            <w:r>
              <w:t>五、教育支出</w:t>
            </w:r>
          </w:p>
        </w:tc>
        <w:tc>
          <w:tcPr>
            <w:tcW w:w="1474" w:type="dxa"/>
            <w:vAlign w:val="center"/>
          </w:tcPr>
          <w:p w14:paraId="6DD1AA28">
            <w:pPr>
              <w:pStyle w:val="11"/>
            </w:pPr>
            <w:r>
              <w:t>189.67</w:t>
            </w:r>
          </w:p>
        </w:tc>
        <w:tc>
          <w:tcPr>
            <w:tcW w:w="1474" w:type="dxa"/>
            <w:vAlign w:val="center"/>
          </w:tcPr>
          <w:p w14:paraId="7673A9AC">
            <w:pPr>
              <w:pStyle w:val="11"/>
            </w:pPr>
            <w:r>
              <w:t>189.67</w:t>
            </w:r>
          </w:p>
        </w:tc>
        <w:tc>
          <w:tcPr>
            <w:tcW w:w="1474" w:type="dxa"/>
            <w:vAlign w:val="center"/>
          </w:tcPr>
          <w:p w14:paraId="114DEB23">
            <w:pPr>
              <w:pStyle w:val="11"/>
            </w:pPr>
          </w:p>
        </w:tc>
        <w:tc>
          <w:tcPr>
            <w:tcW w:w="1474" w:type="dxa"/>
            <w:vAlign w:val="center"/>
          </w:tcPr>
          <w:p w14:paraId="024D4204">
            <w:pPr>
              <w:pStyle w:val="11"/>
            </w:pPr>
          </w:p>
        </w:tc>
      </w:tr>
      <w:tr w14:paraId="2B6B6D45">
        <w:tblPrEx>
          <w:tblCellMar>
            <w:top w:w="0" w:type="dxa"/>
            <w:left w:w="108" w:type="dxa"/>
            <w:bottom w:w="0" w:type="dxa"/>
            <w:right w:w="108" w:type="dxa"/>
          </w:tblCellMar>
        </w:tblPrEx>
        <w:trPr>
          <w:trHeight w:val="369" w:hRule="atLeast"/>
          <w:jc w:val="center"/>
        </w:trPr>
        <w:tc>
          <w:tcPr>
            <w:tcW w:w="850" w:type="dxa"/>
            <w:vAlign w:val="center"/>
          </w:tcPr>
          <w:p w14:paraId="1785AD5C">
            <w:pPr>
              <w:pStyle w:val="13"/>
            </w:pPr>
            <w:r>
              <w:t>6</w:t>
            </w:r>
          </w:p>
        </w:tc>
        <w:tc>
          <w:tcPr>
            <w:tcW w:w="3402" w:type="dxa"/>
            <w:vAlign w:val="center"/>
          </w:tcPr>
          <w:p w14:paraId="77F34FB9">
            <w:pPr>
              <w:pStyle w:val="12"/>
            </w:pPr>
          </w:p>
        </w:tc>
        <w:tc>
          <w:tcPr>
            <w:tcW w:w="1474" w:type="dxa"/>
            <w:vAlign w:val="center"/>
          </w:tcPr>
          <w:p w14:paraId="7563B63C">
            <w:pPr>
              <w:pStyle w:val="11"/>
            </w:pPr>
          </w:p>
        </w:tc>
        <w:tc>
          <w:tcPr>
            <w:tcW w:w="3402" w:type="dxa"/>
            <w:vAlign w:val="center"/>
          </w:tcPr>
          <w:p w14:paraId="30A57886">
            <w:pPr>
              <w:pStyle w:val="12"/>
            </w:pPr>
            <w:r>
              <w:t>六、科学技术支出</w:t>
            </w:r>
          </w:p>
        </w:tc>
        <w:tc>
          <w:tcPr>
            <w:tcW w:w="1474" w:type="dxa"/>
            <w:vAlign w:val="center"/>
          </w:tcPr>
          <w:p w14:paraId="29414950">
            <w:pPr>
              <w:pStyle w:val="11"/>
            </w:pPr>
          </w:p>
        </w:tc>
        <w:tc>
          <w:tcPr>
            <w:tcW w:w="1474" w:type="dxa"/>
            <w:vAlign w:val="center"/>
          </w:tcPr>
          <w:p w14:paraId="058BD34A">
            <w:pPr>
              <w:pStyle w:val="11"/>
            </w:pPr>
          </w:p>
        </w:tc>
        <w:tc>
          <w:tcPr>
            <w:tcW w:w="1474" w:type="dxa"/>
            <w:vAlign w:val="center"/>
          </w:tcPr>
          <w:p w14:paraId="2F9EFE97">
            <w:pPr>
              <w:pStyle w:val="11"/>
            </w:pPr>
          </w:p>
        </w:tc>
        <w:tc>
          <w:tcPr>
            <w:tcW w:w="1474" w:type="dxa"/>
            <w:vAlign w:val="center"/>
          </w:tcPr>
          <w:p w14:paraId="702DE6CB">
            <w:pPr>
              <w:pStyle w:val="11"/>
            </w:pPr>
          </w:p>
        </w:tc>
      </w:tr>
      <w:tr w14:paraId="7AD9D386">
        <w:tblPrEx>
          <w:tblCellMar>
            <w:top w:w="0" w:type="dxa"/>
            <w:left w:w="108" w:type="dxa"/>
            <w:bottom w:w="0" w:type="dxa"/>
            <w:right w:w="108" w:type="dxa"/>
          </w:tblCellMar>
        </w:tblPrEx>
        <w:trPr>
          <w:trHeight w:val="369" w:hRule="atLeast"/>
          <w:jc w:val="center"/>
        </w:trPr>
        <w:tc>
          <w:tcPr>
            <w:tcW w:w="850" w:type="dxa"/>
            <w:vAlign w:val="center"/>
          </w:tcPr>
          <w:p w14:paraId="3A5DD382">
            <w:pPr>
              <w:pStyle w:val="13"/>
            </w:pPr>
            <w:r>
              <w:t>7</w:t>
            </w:r>
          </w:p>
        </w:tc>
        <w:tc>
          <w:tcPr>
            <w:tcW w:w="3402" w:type="dxa"/>
            <w:vAlign w:val="center"/>
          </w:tcPr>
          <w:p w14:paraId="39031402">
            <w:pPr>
              <w:pStyle w:val="12"/>
            </w:pPr>
          </w:p>
        </w:tc>
        <w:tc>
          <w:tcPr>
            <w:tcW w:w="1474" w:type="dxa"/>
            <w:vAlign w:val="center"/>
          </w:tcPr>
          <w:p w14:paraId="0100FE0D">
            <w:pPr>
              <w:pStyle w:val="11"/>
            </w:pPr>
          </w:p>
        </w:tc>
        <w:tc>
          <w:tcPr>
            <w:tcW w:w="3402" w:type="dxa"/>
            <w:vAlign w:val="center"/>
          </w:tcPr>
          <w:p w14:paraId="53AEDC83">
            <w:pPr>
              <w:pStyle w:val="12"/>
            </w:pPr>
            <w:r>
              <w:t>七、文化旅游体育与传媒支出</w:t>
            </w:r>
          </w:p>
        </w:tc>
        <w:tc>
          <w:tcPr>
            <w:tcW w:w="1474" w:type="dxa"/>
            <w:vAlign w:val="center"/>
          </w:tcPr>
          <w:p w14:paraId="1060C4ED">
            <w:pPr>
              <w:pStyle w:val="11"/>
            </w:pPr>
          </w:p>
        </w:tc>
        <w:tc>
          <w:tcPr>
            <w:tcW w:w="1474" w:type="dxa"/>
            <w:vAlign w:val="center"/>
          </w:tcPr>
          <w:p w14:paraId="5CEE0706">
            <w:pPr>
              <w:pStyle w:val="11"/>
            </w:pPr>
          </w:p>
        </w:tc>
        <w:tc>
          <w:tcPr>
            <w:tcW w:w="1474" w:type="dxa"/>
            <w:vAlign w:val="center"/>
          </w:tcPr>
          <w:p w14:paraId="475706BA">
            <w:pPr>
              <w:pStyle w:val="11"/>
            </w:pPr>
          </w:p>
        </w:tc>
        <w:tc>
          <w:tcPr>
            <w:tcW w:w="1474" w:type="dxa"/>
            <w:vAlign w:val="center"/>
          </w:tcPr>
          <w:p w14:paraId="65085C97">
            <w:pPr>
              <w:pStyle w:val="11"/>
            </w:pPr>
          </w:p>
        </w:tc>
      </w:tr>
      <w:tr w14:paraId="5168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23A6A">
            <w:pPr>
              <w:pStyle w:val="13"/>
            </w:pPr>
            <w:r>
              <w:t>8</w:t>
            </w:r>
          </w:p>
        </w:tc>
        <w:tc>
          <w:tcPr>
            <w:tcW w:w="3402" w:type="dxa"/>
            <w:vAlign w:val="center"/>
          </w:tcPr>
          <w:p w14:paraId="1733D5E6">
            <w:pPr>
              <w:pStyle w:val="12"/>
            </w:pPr>
          </w:p>
        </w:tc>
        <w:tc>
          <w:tcPr>
            <w:tcW w:w="1474" w:type="dxa"/>
            <w:vAlign w:val="center"/>
          </w:tcPr>
          <w:p w14:paraId="4250B3FD">
            <w:pPr>
              <w:pStyle w:val="11"/>
            </w:pPr>
          </w:p>
        </w:tc>
        <w:tc>
          <w:tcPr>
            <w:tcW w:w="3402" w:type="dxa"/>
            <w:vAlign w:val="center"/>
          </w:tcPr>
          <w:p w14:paraId="1FF2B936">
            <w:pPr>
              <w:pStyle w:val="12"/>
            </w:pPr>
            <w:r>
              <w:t>八、社会保障和就业支出</w:t>
            </w:r>
          </w:p>
        </w:tc>
        <w:tc>
          <w:tcPr>
            <w:tcW w:w="1474" w:type="dxa"/>
            <w:vAlign w:val="center"/>
          </w:tcPr>
          <w:p w14:paraId="1D92371E">
            <w:pPr>
              <w:pStyle w:val="11"/>
            </w:pPr>
          </w:p>
        </w:tc>
        <w:tc>
          <w:tcPr>
            <w:tcW w:w="1474" w:type="dxa"/>
            <w:vAlign w:val="center"/>
          </w:tcPr>
          <w:p w14:paraId="49E684B3">
            <w:pPr>
              <w:pStyle w:val="11"/>
            </w:pPr>
          </w:p>
        </w:tc>
        <w:tc>
          <w:tcPr>
            <w:tcW w:w="1474" w:type="dxa"/>
            <w:vAlign w:val="center"/>
          </w:tcPr>
          <w:p w14:paraId="23CD1C06">
            <w:pPr>
              <w:pStyle w:val="11"/>
            </w:pPr>
          </w:p>
        </w:tc>
        <w:tc>
          <w:tcPr>
            <w:tcW w:w="1474" w:type="dxa"/>
            <w:vAlign w:val="center"/>
          </w:tcPr>
          <w:p w14:paraId="25883818">
            <w:pPr>
              <w:pStyle w:val="11"/>
            </w:pPr>
          </w:p>
        </w:tc>
      </w:tr>
      <w:tr w14:paraId="6F06C413">
        <w:tblPrEx>
          <w:tblCellMar>
            <w:top w:w="0" w:type="dxa"/>
            <w:left w:w="108" w:type="dxa"/>
            <w:bottom w:w="0" w:type="dxa"/>
            <w:right w:w="108" w:type="dxa"/>
          </w:tblCellMar>
        </w:tblPrEx>
        <w:trPr>
          <w:trHeight w:val="369" w:hRule="atLeast"/>
          <w:jc w:val="center"/>
        </w:trPr>
        <w:tc>
          <w:tcPr>
            <w:tcW w:w="850" w:type="dxa"/>
            <w:vAlign w:val="center"/>
          </w:tcPr>
          <w:p w14:paraId="04CA5860">
            <w:pPr>
              <w:pStyle w:val="13"/>
            </w:pPr>
            <w:r>
              <w:t>9</w:t>
            </w:r>
          </w:p>
        </w:tc>
        <w:tc>
          <w:tcPr>
            <w:tcW w:w="3402" w:type="dxa"/>
            <w:vAlign w:val="center"/>
          </w:tcPr>
          <w:p w14:paraId="1F8B5406">
            <w:pPr>
              <w:pStyle w:val="12"/>
            </w:pPr>
          </w:p>
        </w:tc>
        <w:tc>
          <w:tcPr>
            <w:tcW w:w="1474" w:type="dxa"/>
            <w:vAlign w:val="center"/>
          </w:tcPr>
          <w:p w14:paraId="59DC8B32">
            <w:pPr>
              <w:pStyle w:val="11"/>
            </w:pPr>
          </w:p>
        </w:tc>
        <w:tc>
          <w:tcPr>
            <w:tcW w:w="3402" w:type="dxa"/>
            <w:vAlign w:val="center"/>
          </w:tcPr>
          <w:p w14:paraId="0595D228">
            <w:pPr>
              <w:pStyle w:val="12"/>
            </w:pPr>
            <w:r>
              <w:t>九、社会保险基金支出</w:t>
            </w:r>
          </w:p>
        </w:tc>
        <w:tc>
          <w:tcPr>
            <w:tcW w:w="1474" w:type="dxa"/>
            <w:vAlign w:val="center"/>
          </w:tcPr>
          <w:p w14:paraId="28CB5B45">
            <w:pPr>
              <w:pStyle w:val="11"/>
            </w:pPr>
          </w:p>
        </w:tc>
        <w:tc>
          <w:tcPr>
            <w:tcW w:w="1474" w:type="dxa"/>
            <w:vAlign w:val="center"/>
          </w:tcPr>
          <w:p w14:paraId="178305C7">
            <w:pPr>
              <w:pStyle w:val="11"/>
            </w:pPr>
          </w:p>
        </w:tc>
        <w:tc>
          <w:tcPr>
            <w:tcW w:w="1474" w:type="dxa"/>
            <w:vAlign w:val="center"/>
          </w:tcPr>
          <w:p w14:paraId="7BBE5654">
            <w:pPr>
              <w:pStyle w:val="11"/>
            </w:pPr>
          </w:p>
        </w:tc>
        <w:tc>
          <w:tcPr>
            <w:tcW w:w="1474" w:type="dxa"/>
            <w:vAlign w:val="center"/>
          </w:tcPr>
          <w:p w14:paraId="2E0E7B56">
            <w:pPr>
              <w:pStyle w:val="11"/>
            </w:pPr>
          </w:p>
        </w:tc>
      </w:tr>
      <w:tr w14:paraId="03454F5B">
        <w:tblPrEx>
          <w:tblCellMar>
            <w:top w:w="0" w:type="dxa"/>
            <w:left w:w="108" w:type="dxa"/>
            <w:bottom w:w="0" w:type="dxa"/>
            <w:right w:w="108" w:type="dxa"/>
          </w:tblCellMar>
        </w:tblPrEx>
        <w:trPr>
          <w:trHeight w:val="369" w:hRule="atLeast"/>
          <w:jc w:val="center"/>
        </w:trPr>
        <w:tc>
          <w:tcPr>
            <w:tcW w:w="850" w:type="dxa"/>
            <w:vAlign w:val="center"/>
          </w:tcPr>
          <w:p w14:paraId="7CA5A68A">
            <w:pPr>
              <w:pStyle w:val="13"/>
            </w:pPr>
            <w:r>
              <w:t>10</w:t>
            </w:r>
          </w:p>
        </w:tc>
        <w:tc>
          <w:tcPr>
            <w:tcW w:w="3402" w:type="dxa"/>
            <w:vAlign w:val="center"/>
          </w:tcPr>
          <w:p w14:paraId="1787A350">
            <w:pPr>
              <w:pStyle w:val="12"/>
            </w:pPr>
          </w:p>
        </w:tc>
        <w:tc>
          <w:tcPr>
            <w:tcW w:w="1474" w:type="dxa"/>
            <w:vAlign w:val="center"/>
          </w:tcPr>
          <w:p w14:paraId="2A3CDBAD">
            <w:pPr>
              <w:pStyle w:val="11"/>
            </w:pPr>
          </w:p>
        </w:tc>
        <w:tc>
          <w:tcPr>
            <w:tcW w:w="3402" w:type="dxa"/>
            <w:vAlign w:val="center"/>
          </w:tcPr>
          <w:p w14:paraId="45D7CB0B">
            <w:pPr>
              <w:pStyle w:val="12"/>
            </w:pPr>
            <w:r>
              <w:t>十、卫生健康支出</w:t>
            </w:r>
          </w:p>
        </w:tc>
        <w:tc>
          <w:tcPr>
            <w:tcW w:w="1474" w:type="dxa"/>
            <w:vAlign w:val="center"/>
          </w:tcPr>
          <w:p w14:paraId="4071B0F5">
            <w:pPr>
              <w:pStyle w:val="11"/>
            </w:pPr>
          </w:p>
        </w:tc>
        <w:tc>
          <w:tcPr>
            <w:tcW w:w="1474" w:type="dxa"/>
            <w:vAlign w:val="center"/>
          </w:tcPr>
          <w:p w14:paraId="114CCDBB">
            <w:pPr>
              <w:pStyle w:val="11"/>
            </w:pPr>
          </w:p>
        </w:tc>
        <w:tc>
          <w:tcPr>
            <w:tcW w:w="1474" w:type="dxa"/>
            <w:vAlign w:val="center"/>
          </w:tcPr>
          <w:p w14:paraId="7E808977">
            <w:pPr>
              <w:pStyle w:val="11"/>
            </w:pPr>
          </w:p>
        </w:tc>
        <w:tc>
          <w:tcPr>
            <w:tcW w:w="1474" w:type="dxa"/>
            <w:vAlign w:val="center"/>
          </w:tcPr>
          <w:p w14:paraId="23153171">
            <w:pPr>
              <w:pStyle w:val="11"/>
            </w:pPr>
          </w:p>
        </w:tc>
      </w:tr>
      <w:tr w14:paraId="525C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C707">
            <w:pPr>
              <w:pStyle w:val="13"/>
            </w:pPr>
            <w:r>
              <w:t>11</w:t>
            </w:r>
          </w:p>
        </w:tc>
        <w:tc>
          <w:tcPr>
            <w:tcW w:w="3402" w:type="dxa"/>
            <w:vAlign w:val="center"/>
          </w:tcPr>
          <w:p w14:paraId="3EFA4D01">
            <w:pPr>
              <w:pStyle w:val="12"/>
            </w:pPr>
          </w:p>
        </w:tc>
        <w:tc>
          <w:tcPr>
            <w:tcW w:w="1474" w:type="dxa"/>
            <w:vAlign w:val="center"/>
          </w:tcPr>
          <w:p w14:paraId="43ADEB66">
            <w:pPr>
              <w:pStyle w:val="11"/>
            </w:pPr>
          </w:p>
        </w:tc>
        <w:tc>
          <w:tcPr>
            <w:tcW w:w="3402" w:type="dxa"/>
            <w:vAlign w:val="center"/>
          </w:tcPr>
          <w:p w14:paraId="0EAD2E97">
            <w:pPr>
              <w:pStyle w:val="12"/>
            </w:pPr>
            <w:r>
              <w:t>十一、节能环保支出</w:t>
            </w:r>
          </w:p>
        </w:tc>
        <w:tc>
          <w:tcPr>
            <w:tcW w:w="1474" w:type="dxa"/>
            <w:vAlign w:val="center"/>
          </w:tcPr>
          <w:p w14:paraId="509B3C25">
            <w:pPr>
              <w:pStyle w:val="11"/>
            </w:pPr>
          </w:p>
        </w:tc>
        <w:tc>
          <w:tcPr>
            <w:tcW w:w="1474" w:type="dxa"/>
            <w:vAlign w:val="center"/>
          </w:tcPr>
          <w:p w14:paraId="39FA4496">
            <w:pPr>
              <w:pStyle w:val="11"/>
            </w:pPr>
          </w:p>
        </w:tc>
        <w:tc>
          <w:tcPr>
            <w:tcW w:w="1474" w:type="dxa"/>
            <w:vAlign w:val="center"/>
          </w:tcPr>
          <w:p w14:paraId="11587BCE">
            <w:pPr>
              <w:pStyle w:val="11"/>
            </w:pPr>
          </w:p>
        </w:tc>
        <w:tc>
          <w:tcPr>
            <w:tcW w:w="1474" w:type="dxa"/>
            <w:vAlign w:val="center"/>
          </w:tcPr>
          <w:p w14:paraId="7C97D104">
            <w:pPr>
              <w:pStyle w:val="11"/>
            </w:pPr>
          </w:p>
        </w:tc>
      </w:tr>
      <w:tr w14:paraId="70F8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49DB">
            <w:pPr>
              <w:pStyle w:val="13"/>
            </w:pPr>
            <w:r>
              <w:t>12</w:t>
            </w:r>
          </w:p>
        </w:tc>
        <w:tc>
          <w:tcPr>
            <w:tcW w:w="3402" w:type="dxa"/>
            <w:vAlign w:val="center"/>
          </w:tcPr>
          <w:p w14:paraId="7C30CC36">
            <w:pPr>
              <w:pStyle w:val="12"/>
            </w:pPr>
          </w:p>
        </w:tc>
        <w:tc>
          <w:tcPr>
            <w:tcW w:w="1474" w:type="dxa"/>
            <w:vAlign w:val="center"/>
          </w:tcPr>
          <w:p w14:paraId="0F347372">
            <w:pPr>
              <w:pStyle w:val="11"/>
            </w:pPr>
          </w:p>
        </w:tc>
        <w:tc>
          <w:tcPr>
            <w:tcW w:w="3402" w:type="dxa"/>
            <w:vAlign w:val="center"/>
          </w:tcPr>
          <w:p w14:paraId="7E6D5522">
            <w:pPr>
              <w:pStyle w:val="12"/>
            </w:pPr>
            <w:r>
              <w:t>十二、城乡社区支出</w:t>
            </w:r>
          </w:p>
        </w:tc>
        <w:tc>
          <w:tcPr>
            <w:tcW w:w="1474" w:type="dxa"/>
            <w:vAlign w:val="center"/>
          </w:tcPr>
          <w:p w14:paraId="611B2502">
            <w:pPr>
              <w:pStyle w:val="11"/>
            </w:pPr>
          </w:p>
        </w:tc>
        <w:tc>
          <w:tcPr>
            <w:tcW w:w="1474" w:type="dxa"/>
            <w:vAlign w:val="center"/>
          </w:tcPr>
          <w:p w14:paraId="195AA83D">
            <w:pPr>
              <w:pStyle w:val="11"/>
            </w:pPr>
          </w:p>
        </w:tc>
        <w:tc>
          <w:tcPr>
            <w:tcW w:w="1474" w:type="dxa"/>
            <w:vAlign w:val="center"/>
          </w:tcPr>
          <w:p w14:paraId="176F2499">
            <w:pPr>
              <w:pStyle w:val="11"/>
            </w:pPr>
          </w:p>
        </w:tc>
        <w:tc>
          <w:tcPr>
            <w:tcW w:w="1474" w:type="dxa"/>
            <w:vAlign w:val="center"/>
          </w:tcPr>
          <w:p w14:paraId="15BB9AAD">
            <w:pPr>
              <w:pStyle w:val="11"/>
            </w:pPr>
          </w:p>
        </w:tc>
      </w:tr>
      <w:tr w14:paraId="28C5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F5E2">
            <w:pPr>
              <w:pStyle w:val="13"/>
            </w:pPr>
            <w:r>
              <w:t>13</w:t>
            </w:r>
          </w:p>
        </w:tc>
        <w:tc>
          <w:tcPr>
            <w:tcW w:w="3402" w:type="dxa"/>
            <w:vAlign w:val="center"/>
          </w:tcPr>
          <w:p w14:paraId="318753AF">
            <w:pPr>
              <w:pStyle w:val="12"/>
            </w:pPr>
          </w:p>
        </w:tc>
        <w:tc>
          <w:tcPr>
            <w:tcW w:w="1474" w:type="dxa"/>
            <w:vAlign w:val="center"/>
          </w:tcPr>
          <w:p w14:paraId="1FF5A254">
            <w:pPr>
              <w:pStyle w:val="11"/>
            </w:pPr>
          </w:p>
        </w:tc>
        <w:tc>
          <w:tcPr>
            <w:tcW w:w="3402" w:type="dxa"/>
            <w:vAlign w:val="center"/>
          </w:tcPr>
          <w:p w14:paraId="702B5BDB">
            <w:pPr>
              <w:pStyle w:val="12"/>
            </w:pPr>
            <w:r>
              <w:t>十三、农林水支出</w:t>
            </w:r>
          </w:p>
        </w:tc>
        <w:tc>
          <w:tcPr>
            <w:tcW w:w="1474" w:type="dxa"/>
            <w:vAlign w:val="center"/>
          </w:tcPr>
          <w:p w14:paraId="6686CE00">
            <w:pPr>
              <w:pStyle w:val="11"/>
            </w:pPr>
          </w:p>
        </w:tc>
        <w:tc>
          <w:tcPr>
            <w:tcW w:w="1474" w:type="dxa"/>
            <w:vAlign w:val="center"/>
          </w:tcPr>
          <w:p w14:paraId="422A4922">
            <w:pPr>
              <w:pStyle w:val="11"/>
            </w:pPr>
          </w:p>
        </w:tc>
        <w:tc>
          <w:tcPr>
            <w:tcW w:w="1474" w:type="dxa"/>
            <w:vAlign w:val="center"/>
          </w:tcPr>
          <w:p w14:paraId="62CA8F08">
            <w:pPr>
              <w:pStyle w:val="11"/>
            </w:pPr>
          </w:p>
        </w:tc>
        <w:tc>
          <w:tcPr>
            <w:tcW w:w="1474" w:type="dxa"/>
            <w:vAlign w:val="center"/>
          </w:tcPr>
          <w:p w14:paraId="242E8F16">
            <w:pPr>
              <w:pStyle w:val="11"/>
            </w:pPr>
          </w:p>
        </w:tc>
      </w:tr>
      <w:tr w14:paraId="3051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1B635">
            <w:pPr>
              <w:pStyle w:val="13"/>
            </w:pPr>
            <w:r>
              <w:t>14</w:t>
            </w:r>
          </w:p>
        </w:tc>
        <w:tc>
          <w:tcPr>
            <w:tcW w:w="3402" w:type="dxa"/>
            <w:vAlign w:val="center"/>
          </w:tcPr>
          <w:p w14:paraId="3AF1A48D">
            <w:pPr>
              <w:pStyle w:val="12"/>
            </w:pPr>
          </w:p>
        </w:tc>
        <w:tc>
          <w:tcPr>
            <w:tcW w:w="1474" w:type="dxa"/>
            <w:vAlign w:val="center"/>
          </w:tcPr>
          <w:p w14:paraId="0F59EFCC">
            <w:pPr>
              <w:pStyle w:val="11"/>
            </w:pPr>
          </w:p>
        </w:tc>
        <w:tc>
          <w:tcPr>
            <w:tcW w:w="3402" w:type="dxa"/>
            <w:vAlign w:val="center"/>
          </w:tcPr>
          <w:p w14:paraId="380EEA15">
            <w:pPr>
              <w:pStyle w:val="12"/>
            </w:pPr>
            <w:r>
              <w:t>十四、交通运输支出</w:t>
            </w:r>
          </w:p>
        </w:tc>
        <w:tc>
          <w:tcPr>
            <w:tcW w:w="1474" w:type="dxa"/>
            <w:vAlign w:val="center"/>
          </w:tcPr>
          <w:p w14:paraId="23335EDE">
            <w:pPr>
              <w:pStyle w:val="11"/>
            </w:pPr>
          </w:p>
        </w:tc>
        <w:tc>
          <w:tcPr>
            <w:tcW w:w="1474" w:type="dxa"/>
            <w:vAlign w:val="center"/>
          </w:tcPr>
          <w:p w14:paraId="6F961395">
            <w:pPr>
              <w:pStyle w:val="11"/>
            </w:pPr>
          </w:p>
        </w:tc>
        <w:tc>
          <w:tcPr>
            <w:tcW w:w="1474" w:type="dxa"/>
            <w:vAlign w:val="center"/>
          </w:tcPr>
          <w:p w14:paraId="26CC2005">
            <w:pPr>
              <w:pStyle w:val="11"/>
            </w:pPr>
          </w:p>
        </w:tc>
        <w:tc>
          <w:tcPr>
            <w:tcW w:w="1474" w:type="dxa"/>
            <w:vAlign w:val="center"/>
          </w:tcPr>
          <w:p w14:paraId="52CB2B74">
            <w:pPr>
              <w:pStyle w:val="11"/>
            </w:pPr>
          </w:p>
        </w:tc>
      </w:tr>
      <w:tr w14:paraId="74E6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FA937">
            <w:pPr>
              <w:pStyle w:val="13"/>
            </w:pPr>
            <w:r>
              <w:t>15</w:t>
            </w:r>
          </w:p>
        </w:tc>
        <w:tc>
          <w:tcPr>
            <w:tcW w:w="3402" w:type="dxa"/>
            <w:vAlign w:val="center"/>
          </w:tcPr>
          <w:p w14:paraId="615FD9F2">
            <w:pPr>
              <w:pStyle w:val="12"/>
            </w:pPr>
          </w:p>
        </w:tc>
        <w:tc>
          <w:tcPr>
            <w:tcW w:w="1474" w:type="dxa"/>
            <w:vAlign w:val="center"/>
          </w:tcPr>
          <w:p w14:paraId="2226AEA6">
            <w:pPr>
              <w:pStyle w:val="11"/>
            </w:pPr>
          </w:p>
        </w:tc>
        <w:tc>
          <w:tcPr>
            <w:tcW w:w="3402" w:type="dxa"/>
            <w:vAlign w:val="center"/>
          </w:tcPr>
          <w:p w14:paraId="6032302C">
            <w:pPr>
              <w:pStyle w:val="12"/>
            </w:pPr>
            <w:r>
              <w:t>十五、资源勘探工业信息等支出</w:t>
            </w:r>
          </w:p>
        </w:tc>
        <w:tc>
          <w:tcPr>
            <w:tcW w:w="1474" w:type="dxa"/>
            <w:vAlign w:val="center"/>
          </w:tcPr>
          <w:p w14:paraId="5A83E3D4">
            <w:pPr>
              <w:pStyle w:val="11"/>
            </w:pPr>
          </w:p>
        </w:tc>
        <w:tc>
          <w:tcPr>
            <w:tcW w:w="1474" w:type="dxa"/>
            <w:vAlign w:val="center"/>
          </w:tcPr>
          <w:p w14:paraId="358029CA">
            <w:pPr>
              <w:pStyle w:val="11"/>
            </w:pPr>
          </w:p>
        </w:tc>
        <w:tc>
          <w:tcPr>
            <w:tcW w:w="1474" w:type="dxa"/>
            <w:vAlign w:val="center"/>
          </w:tcPr>
          <w:p w14:paraId="17A0A776">
            <w:pPr>
              <w:pStyle w:val="11"/>
            </w:pPr>
          </w:p>
        </w:tc>
        <w:tc>
          <w:tcPr>
            <w:tcW w:w="1474" w:type="dxa"/>
            <w:vAlign w:val="center"/>
          </w:tcPr>
          <w:p w14:paraId="60E42903">
            <w:pPr>
              <w:pStyle w:val="11"/>
            </w:pPr>
          </w:p>
        </w:tc>
      </w:tr>
      <w:tr w14:paraId="4518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CC6A6">
            <w:pPr>
              <w:pStyle w:val="13"/>
            </w:pPr>
            <w:r>
              <w:t>16</w:t>
            </w:r>
          </w:p>
        </w:tc>
        <w:tc>
          <w:tcPr>
            <w:tcW w:w="3402" w:type="dxa"/>
            <w:vAlign w:val="center"/>
          </w:tcPr>
          <w:p w14:paraId="4FA59E50">
            <w:pPr>
              <w:pStyle w:val="12"/>
            </w:pPr>
          </w:p>
        </w:tc>
        <w:tc>
          <w:tcPr>
            <w:tcW w:w="1474" w:type="dxa"/>
            <w:vAlign w:val="center"/>
          </w:tcPr>
          <w:p w14:paraId="2CEF66A4">
            <w:pPr>
              <w:pStyle w:val="11"/>
            </w:pPr>
          </w:p>
        </w:tc>
        <w:tc>
          <w:tcPr>
            <w:tcW w:w="3402" w:type="dxa"/>
            <w:vAlign w:val="center"/>
          </w:tcPr>
          <w:p w14:paraId="56C8F1E2">
            <w:pPr>
              <w:pStyle w:val="12"/>
            </w:pPr>
            <w:r>
              <w:t>十六、商业服务业等支出</w:t>
            </w:r>
          </w:p>
        </w:tc>
        <w:tc>
          <w:tcPr>
            <w:tcW w:w="1474" w:type="dxa"/>
            <w:vAlign w:val="center"/>
          </w:tcPr>
          <w:p w14:paraId="3173872F">
            <w:pPr>
              <w:pStyle w:val="11"/>
            </w:pPr>
          </w:p>
        </w:tc>
        <w:tc>
          <w:tcPr>
            <w:tcW w:w="1474" w:type="dxa"/>
            <w:vAlign w:val="center"/>
          </w:tcPr>
          <w:p w14:paraId="0055ECA4">
            <w:pPr>
              <w:pStyle w:val="11"/>
            </w:pPr>
          </w:p>
        </w:tc>
        <w:tc>
          <w:tcPr>
            <w:tcW w:w="1474" w:type="dxa"/>
            <w:vAlign w:val="center"/>
          </w:tcPr>
          <w:p w14:paraId="520A0DCF">
            <w:pPr>
              <w:pStyle w:val="11"/>
            </w:pPr>
          </w:p>
        </w:tc>
        <w:tc>
          <w:tcPr>
            <w:tcW w:w="1474" w:type="dxa"/>
            <w:vAlign w:val="center"/>
          </w:tcPr>
          <w:p w14:paraId="7356308D">
            <w:pPr>
              <w:pStyle w:val="11"/>
            </w:pPr>
          </w:p>
        </w:tc>
      </w:tr>
      <w:tr w14:paraId="41E3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D2901">
            <w:pPr>
              <w:pStyle w:val="13"/>
            </w:pPr>
            <w:r>
              <w:t>17</w:t>
            </w:r>
          </w:p>
        </w:tc>
        <w:tc>
          <w:tcPr>
            <w:tcW w:w="3402" w:type="dxa"/>
            <w:vAlign w:val="center"/>
          </w:tcPr>
          <w:p w14:paraId="50A37000">
            <w:pPr>
              <w:pStyle w:val="12"/>
            </w:pPr>
          </w:p>
        </w:tc>
        <w:tc>
          <w:tcPr>
            <w:tcW w:w="1474" w:type="dxa"/>
            <w:vAlign w:val="center"/>
          </w:tcPr>
          <w:p w14:paraId="1085BC53">
            <w:pPr>
              <w:pStyle w:val="11"/>
            </w:pPr>
          </w:p>
        </w:tc>
        <w:tc>
          <w:tcPr>
            <w:tcW w:w="3402" w:type="dxa"/>
            <w:vAlign w:val="center"/>
          </w:tcPr>
          <w:p w14:paraId="2CED1AAD">
            <w:pPr>
              <w:pStyle w:val="12"/>
            </w:pPr>
            <w:r>
              <w:t>十七、金融支出</w:t>
            </w:r>
          </w:p>
        </w:tc>
        <w:tc>
          <w:tcPr>
            <w:tcW w:w="1474" w:type="dxa"/>
            <w:vAlign w:val="center"/>
          </w:tcPr>
          <w:p w14:paraId="4AC4F59E">
            <w:pPr>
              <w:pStyle w:val="11"/>
            </w:pPr>
          </w:p>
        </w:tc>
        <w:tc>
          <w:tcPr>
            <w:tcW w:w="1474" w:type="dxa"/>
            <w:vAlign w:val="center"/>
          </w:tcPr>
          <w:p w14:paraId="1C1EE716">
            <w:pPr>
              <w:pStyle w:val="11"/>
            </w:pPr>
          </w:p>
        </w:tc>
        <w:tc>
          <w:tcPr>
            <w:tcW w:w="1474" w:type="dxa"/>
            <w:vAlign w:val="center"/>
          </w:tcPr>
          <w:p w14:paraId="10ED8E2A">
            <w:pPr>
              <w:pStyle w:val="11"/>
            </w:pPr>
          </w:p>
        </w:tc>
        <w:tc>
          <w:tcPr>
            <w:tcW w:w="1474" w:type="dxa"/>
            <w:vAlign w:val="center"/>
          </w:tcPr>
          <w:p w14:paraId="1B1D2128">
            <w:pPr>
              <w:pStyle w:val="11"/>
            </w:pPr>
          </w:p>
        </w:tc>
      </w:tr>
      <w:tr w14:paraId="457D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ED3CC">
            <w:pPr>
              <w:pStyle w:val="13"/>
            </w:pPr>
            <w:r>
              <w:t>18</w:t>
            </w:r>
          </w:p>
        </w:tc>
        <w:tc>
          <w:tcPr>
            <w:tcW w:w="3402" w:type="dxa"/>
            <w:vAlign w:val="center"/>
          </w:tcPr>
          <w:p w14:paraId="4096B3C0">
            <w:pPr>
              <w:pStyle w:val="12"/>
            </w:pPr>
          </w:p>
        </w:tc>
        <w:tc>
          <w:tcPr>
            <w:tcW w:w="1474" w:type="dxa"/>
            <w:vAlign w:val="center"/>
          </w:tcPr>
          <w:p w14:paraId="32B1A158">
            <w:pPr>
              <w:pStyle w:val="11"/>
            </w:pPr>
          </w:p>
        </w:tc>
        <w:tc>
          <w:tcPr>
            <w:tcW w:w="3402" w:type="dxa"/>
            <w:vAlign w:val="center"/>
          </w:tcPr>
          <w:p w14:paraId="1C16DBE8">
            <w:pPr>
              <w:pStyle w:val="12"/>
            </w:pPr>
            <w:r>
              <w:t>十八、援助其他地区支出</w:t>
            </w:r>
          </w:p>
        </w:tc>
        <w:tc>
          <w:tcPr>
            <w:tcW w:w="1474" w:type="dxa"/>
            <w:vAlign w:val="center"/>
          </w:tcPr>
          <w:p w14:paraId="02DF5E61">
            <w:pPr>
              <w:pStyle w:val="11"/>
            </w:pPr>
          </w:p>
        </w:tc>
        <w:tc>
          <w:tcPr>
            <w:tcW w:w="1474" w:type="dxa"/>
            <w:vAlign w:val="center"/>
          </w:tcPr>
          <w:p w14:paraId="627D1E99">
            <w:pPr>
              <w:pStyle w:val="11"/>
            </w:pPr>
          </w:p>
        </w:tc>
        <w:tc>
          <w:tcPr>
            <w:tcW w:w="1474" w:type="dxa"/>
            <w:vAlign w:val="center"/>
          </w:tcPr>
          <w:p w14:paraId="746EA0E3">
            <w:pPr>
              <w:pStyle w:val="11"/>
            </w:pPr>
          </w:p>
        </w:tc>
        <w:tc>
          <w:tcPr>
            <w:tcW w:w="1474" w:type="dxa"/>
            <w:vAlign w:val="center"/>
          </w:tcPr>
          <w:p w14:paraId="43796FC6">
            <w:pPr>
              <w:pStyle w:val="11"/>
            </w:pPr>
          </w:p>
        </w:tc>
      </w:tr>
      <w:tr w14:paraId="0C13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3F49D">
            <w:pPr>
              <w:pStyle w:val="13"/>
            </w:pPr>
            <w:r>
              <w:t>19</w:t>
            </w:r>
          </w:p>
        </w:tc>
        <w:tc>
          <w:tcPr>
            <w:tcW w:w="3402" w:type="dxa"/>
            <w:vAlign w:val="center"/>
          </w:tcPr>
          <w:p w14:paraId="112C6312">
            <w:pPr>
              <w:pStyle w:val="12"/>
            </w:pPr>
          </w:p>
        </w:tc>
        <w:tc>
          <w:tcPr>
            <w:tcW w:w="1474" w:type="dxa"/>
            <w:vAlign w:val="center"/>
          </w:tcPr>
          <w:p w14:paraId="4181C980">
            <w:pPr>
              <w:pStyle w:val="11"/>
            </w:pPr>
          </w:p>
        </w:tc>
        <w:tc>
          <w:tcPr>
            <w:tcW w:w="3402" w:type="dxa"/>
            <w:vAlign w:val="center"/>
          </w:tcPr>
          <w:p w14:paraId="167F0F74">
            <w:pPr>
              <w:pStyle w:val="12"/>
            </w:pPr>
            <w:r>
              <w:t>十九、自然资源海洋气象等支出</w:t>
            </w:r>
          </w:p>
        </w:tc>
        <w:tc>
          <w:tcPr>
            <w:tcW w:w="1474" w:type="dxa"/>
            <w:vAlign w:val="center"/>
          </w:tcPr>
          <w:p w14:paraId="1E7865A3">
            <w:pPr>
              <w:pStyle w:val="11"/>
            </w:pPr>
          </w:p>
        </w:tc>
        <w:tc>
          <w:tcPr>
            <w:tcW w:w="1474" w:type="dxa"/>
            <w:vAlign w:val="center"/>
          </w:tcPr>
          <w:p w14:paraId="7EAD3098">
            <w:pPr>
              <w:pStyle w:val="11"/>
            </w:pPr>
          </w:p>
        </w:tc>
        <w:tc>
          <w:tcPr>
            <w:tcW w:w="1474" w:type="dxa"/>
            <w:vAlign w:val="center"/>
          </w:tcPr>
          <w:p w14:paraId="04C1078A">
            <w:pPr>
              <w:pStyle w:val="11"/>
            </w:pPr>
          </w:p>
        </w:tc>
        <w:tc>
          <w:tcPr>
            <w:tcW w:w="1474" w:type="dxa"/>
            <w:vAlign w:val="center"/>
          </w:tcPr>
          <w:p w14:paraId="1AF2DC48">
            <w:pPr>
              <w:pStyle w:val="11"/>
            </w:pPr>
          </w:p>
        </w:tc>
      </w:tr>
      <w:tr w14:paraId="61D27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4649B">
            <w:pPr>
              <w:pStyle w:val="13"/>
            </w:pPr>
            <w:r>
              <w:t>20</w:t>
            </w:r>
          </w:p>
        </w:tc>
        <w:tc>
          <w:tcPr>
            <w:tcW w:w="3402" w:type="dxa"/>
            <w:vAlign w:val="center"/>
          </w:tcPr>
          <w:p w14:paraId="21735EE1">
            <w:pPr>
              <w:pStyle w:val="12"/>
            </w:pPr>
          </w:p>
        </w:tc>
        <w:tc>
          <w:tcPr>
            <w:tcW w:w="1474" w:type="dxa"/>
            <w:vAlign w:val="center"/>
          </w:tcPr>
          <w:p w14:paraId="70047A6F">
            <w:pPr>
              <w:pStyle w:val="11"/>
            </w:pPr>
          </w:p>
        </w:tc>
        <w:tc>
          <w:tcPr>
            <w:tcW w:w="3402" w:type="dxa"/>
            <w:vAlign w:val="center"/>
          </w:tcPr>
          <w:p w14:paraId="7E876CEE">
            <w:pPr>
              <w:pStyle w:val="12"/>
            </w:pPr>
            <w:r>
              <w:t>二十、住房保障支出</w:t>
            </w:r>
          </w:p>
        </w:tc>
        <w:tc>
          <w:tcPr>
            <w:tcW w:w="1474" w:type="dxa"/>
            <w:vAlign w:val="center"/>
          </w:tcPr>
          <w:p w14:paraId="7781C46F">
            <w:pPr>
              <w:pStyle w:val="11"/>
            </w:pPr>
          </w:p>
        </w:tc>
        <w:tc>
          <w:tcPr>
            <w:tcW w:w="1474" w:type="dxa"/>
            <w:vAlign w:val="center"/>
          </w:tcPr>
          <w:p w14:paraId="73CA8EAF">
            <w:pPr>
              <w:pStyle w:val="11"/>
            </w:pPr>
          </w:p>
        </w:tc>
        <w:tc>
          <w:tcPr>
            <w:tcW w:w="1474" w:type="dxa"/>
            <w:vAlign w:val="center"/>
          </w:tcPr>
          <w:p w14:paraId="66B108F6">
            <w:pPr>
              <w:pStyle w:val="11"/>
            </w:pPr>
          </w:p>
        </w:tc>
        <w:tc>
          <w:tcPr>
            <w:tcW w:w="1474" w:type="dxa"/>
            <w:vAlign w:val="center"/>
          </w:tcPr>
          <w:p w14:paraId="087467DB">
            <w:pPr>
              <w:pStyle w:val="11"/>
            </w:pPr>
          </w:p>
        </w:tc>
      </w:tr>
      <w:tr w14:paraId="049D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B2F6F">
            <w:pPr>
              <w:pStyle w:val="13"/>
            </w:pPr>
            <w:r>
              <w:t>21</w:t>
            </w:r>
          </w:p>
        </w:tc>
        <w:tc>
          <w:tcPr>
            <w:tcW w:w="3402" w:type="dxa"/>
            <w:vAlign w:val="center"/>
          </w:tcPr>
          <w:p w14:paraId="033BD977">
            <w:pPr>
              <w:pStyle w:val="12"/>
            </w:pPr>
          </w:p>
        </w:tc>
        <w:tc>
          <w:tcPr>
            <w:tcW w:w="1474" w:type="dxa"/>
            <w:vAlign w:val="center"/>
          </w:tcPr>
          <w:p w14:paraId="75F541BB">
            <w:pPr>
              <w:pStyle w:val="11"/>
            </w:pPr>
          </w:p>
        </w:tc>
        <w:tc>
          <w:tcPr>
            <w:tcW w:w="3402" w:type="dxa"/>
            <w:vAlign w:val="center"/>
          </w:tcPr>
          <w:p w14:paraId="142F3359">
            <w:pPr>
              <w:pStyle w:val="12"/>
            </w:pPr>
            <w:r>
              <w:t>二十一、粮油物资储备支出</w:t>
            </w:r>
          </w:p>
        </w:tc>
        <w:tc>
          <w:tcPr>
            <w:tcW w:w="1474" w:type="dxa"/>
            <w:vAlign w:val="center"/>
          </w:tcPr>
          <w:p w14:paraId="2A5E0C43">
            <w:pPr>
              <w:pStyle w:val="11"/>
            </w:pPr>
          </w:p>
        </w:tc>
        <w:tc>
          <w:tcPr>
            <w:tcW w:w="1474" w:type="dxa"/>
            <w:vAlign w:val="center"/>
          </w:tcPr>
          <w:p w14:paraId="62558D35">
            <w:pPr>
              <w:pStyle w:val="11"/>
            </w:pPr>
          </w:p>
        </w:tc>
        <w:tc>
          <w:tcPr>
            <w:tcW w:w="1474" w:type="dxa"/>
            <w:vAlign w:val="center"/>
          </w:tcPr>
          <w:p w14:paraId="1BFA2C6C">
            <w:pPr>
              <w:pStyle w:val="11"/>
            </w:pPr>
          </w:p>
        </w:tc>
        <w:tc>
          <w:tcPr>
            <w:tcW w:w="1474" w:type="dxa"/>
            <w:vAlign w:val="center"/>
          </w:tcPr>
          <w:p w14:paraId="278DC846">
            <w:pPr>
              <w:pStyle w:val="11"/>
            </w:pPr>
          </w:p>
        </w:tc>
      </w:tr>
      <w:tr w14:paraId="76241782">
        <w:tblPrEx>
          <w:tblCellMar>
            <w:top w:w="0" w:type="dxa"/>
            <w:left w:w="108" w:type="dxa"/>
            <w:bottom w:w="0" w:type="dxa"/>
            <w:right w:w="108" w:type="dxa"/>
          </w:tblCellMar>
        </w:tblPrEx>
        <w:trPr>
          <w:trHeight w:val="369" w:hRule="atLeast"/>
          <w:jc w:val="center"/>
        </w:trPr>
        <w:tc>
          <w:tcPr>
            <w:tcW w:w="850" w:type="dxa"/>
            <w:vAlign w:val="center"/>
          </w:tcPr>
          <w:p w14:paraId="702A41F5">
            <w:pPr>
              <w:pStyle w:val="13"/>
            </w:pPr>
            <w:r>
              <w:t>22</w:t>
            </w:r>
          </w:p>
        </w:tc>
        <w:tc>
          <w:tcPr>
            <w:tcW w:w="3402" w:type="dxa"/>
            <w:vAlign w:val="center"/>
          </w:tcPr>
          <w:p w14:paraId="2E653999">
            <w:pPr>
              <w:pStyle w:val="12"/>
            </w:pPr>
          </w:p>
        </w:tc>
        <w:tc>
          <w:tcPr>
            <w:tcW w:w="1474" w:type="dxa"/>
            <w:vAlign w:val="center"/>
          </w:tcPr>
          <w:p w14:paraId="0EB424EE">
            <w:pPr>
              <w:pStyle w:val="11"/>
            </w:pPr>
          </w:p>
        </w:tc>
        <w:tc>
          <w:tcPr>
            <w:tcW w:w="3402" w:type="dxa"/>
            <w:vAlign w:val="center"/>
          </w:tcPr>
          <w:p w14:paraId="52362F9B">
            <w:pPr>
              <w:pStyle w:val="12"/>
            </w:pPr>
            <w:r>
              <w:t>二十二、国有资本经营预算支出</w:t>
            </w:r>
          </w:p>
        </w:tc>
        <w:tc>
          <w:tcPr>
            <w:tcW w:w="1474" w:type="dxa"/>
            <w:vAlign w:val="center"/>
          </w:tcPr>
          <w:p w14:paraId="09CA97CA">
            <w:pPr>
              <w:pStyle w:val="11"/>
            </w:pPr>
          </w:p>
        </w:tc>
        <w:tc>
          <w:tcPr>
            <w:tcW w:w="1474" w:type="dxa"/>
            <w:vAlign w:val="center"/>
          </w:tcPr>
          <w:p w14:paraId="1726E64C">
            <w:pPr>
              <w:pStyle w:val="11"/>
            </w:pPr>
          </w:p>
        </w:tc>
        <w:tc>
          <w:tcPr>
            <w:tcW w:w="1474" w:type="dxa"/>
            <w:vAlign w:val="center"/>
          </w:tcPr>
          <w:p w14:paraId="2C770676">
            <w:pPr>
              <w:pStyle w:val="11"/>
            </w:pPr>
          </w:p>
        </w:tc>
        <w:tc>
          <w:tcPr>
            <w:tcW w:w="1474" w:type="dxa"/>
            <w:vAlign w:val="center"/>
          </w:tcPr>
          <w:p w14:paraId="7F32089D">
            <w:pPr>
              <w:pStyle w:val="11"/>
            </w:pPr>
          </w:p>
        </w:tc>
      </w:tr>
      <w:tr w14:paraId="15A25248">
        <w:tblPrEx>
          <w:tblCellMar>
            <w:top w:w="0" w:type="dxa"/>
            <w:left w:w="108" w:type="dxa"/>
            <w:bottom w:w="0" w:type="dxa"/>
            <w:right w:w="108" w:type="dxa"/>
          </w:tblCellMar>
        </w:tblPrEx>
        <w:trPr>
          <w:trHeight w:val="369" w:hRule="atLeast"/>
          <w:jc w:val="center"/>
        </w:trPr>
        <w:tc>
          <w:tcPr>
            <w:tcW w:w="850" w:type="dxa"/>
            <w:vAlign w:val="center"/>
          </w:tcPr>
          <w:p w14:paraId="50928AA5">
            <w:pPr>
              <w:pStyle w:val="13"/>
            </w:pPr>
            <w:r>
              <w:t>23</w:t>
            </w:r>
          </w:p>
        </w:tc>
        <w:tc>
          <w:tcPr>
            <w:tcW w:w="3402" w:type="dxa"/>
            <w:vAlign w:val="center"/>
          </w:tcPr>
          <w:p w14:paraId="5450BECE">
            <w:pPr>
              <w:pStyle w:val="12"/>
            </w:pPr>
          </w:p>
        </w:tc>
        <w:tc>
          <w:tcPr>
            <w:tcW w:w="1474" w:type="dxa"/>
            <w:vAlign w:val="center"/>
          </w:tcPr>
          <w:p w14:paraId="570592F0">
            <w:pPr>
              <w:pStyle w:val="11"/>
            </w:pPr>
          </w:p>
        </w:tc>
        <w:tc>
          <w:tcPr>
            <w:tcW w:w="3402" w:type="dxa"/>
            <w:vAlign w:val="center"/>
          </w:tcPr>
          <w:p w14:paraId="0A093725">
            <w:pPr>
              <w:pStyle w:val="12"/>
            </w:pPr>
            <w:r>
              <w:t>二十三、灾害防治及应急管理支出</w:t>
            </w:r>
          </w:p>
        </w:tc>
        <w:tc>
          <w:tcPr>
            <w:tcW w:w="1474" w:type="dxa"/>
            <w:vAlign w:val="center"/>
          </w:tcPr>
          <w:p w14:paraId="04E8A4D5">
            <w:pPr>
              <w:pStyle w:val="11"/>
            </w:pPr>
          </w:p>
        </w:tc>
        <w:tc>
          <w:tcPr>
            <w:tcW w:w="1474" w:type="dxa"/>
            <w:vAlign w:val="center"/>
          </w:tcPr>
          <w:p w14:paraId="67CCBC57">
            <w:pPr>
              <w:pStyle w:val="11"/>
            </w:pPr>
          </w:p>
        </w:tc>
        <w:tc>
          <w:tcPr>
            <w:tcW w:w="1474" w:type="dxa"/>
            <w:vAlign w:val="center"/>
          </w:tcPr>
          <w:p w14:paraId="36A909D4">
            <w:pPr>
              <w:pStyle w:val="11"/>
            </w:pPr>
          </w:p>
        </w:tc>
        <w:tc>
          <w:tcPr>
            <w:tcW w:w="1474" w:type="dxa"/>
            <w:vAlign w:val="center"/>
          </w:tcPr>
          <w:p w14:paraId="0DC1E8D7">
            <w:pPr>
              <w:pStyle w:val="11"/>
            </w:pPr>
          </w:p>
        </w:tc>
      </w:tr>
      <w:tr w14:paraId="2A763BF3">
        <w:tblPrEx>
          <w:tblCellMar>
            <w:top w:w="0" w:type="dxa"/>
            <w:left w:w="108" w:type="dxa"/>
            <w:bottom w:w="0" w:type="dxa"/>
            <w:right w:w="108" w:type="dxa"/>
          </w:tblCellMar>
        </w:tblPrEx>
        <w:trPr>
          <w:trHeight w:val="369" w:hRule="atLeast"/>
          <w:jc w:val="center"/>
        </w:trPr>
        <w:tc>
          <w:tcPr>
            <w:tcW w:w="850" w:type="dxa"/>
            <w:vAlign w:val="center"/>
          </w:tcPr>
          <w:p w14:paraId="0E047712">
            <w:pPr>
              <w:pStyle w:val="13"/>
            </w:pPr>
            <w:r>
              <w:t>24</w:t>
            </w:r>
          </w:p>
        </w:tc>
        <w:tc>
          <w:tcPr>
            <w:tcW w:w="3402" w:type="dxa"/>
            <w:vAlign w:val="center"/>
          </w:tcPr>
          <w:p w14:paraId="26CB2CF7">
            <w:pPr>
              <w:pStyle w:val="12"/>
            </w:pPr>
          </w:p>
        </w:tc>
        <w:tc>
          <w:tcPr>
            <w:tcW w:w="1474" w:type="dxa"/>
            <w:vAlign w:val="center"/>
          </w:tcPr>
          <w:p w14:paraId="76E00FC6">
            <w:pPr>
              <w:pStyle w:val="11"/>
            </w:pPr>
          </w:p>
        </w:tc>
        <w:tc>
          <w:tcPr>
            <w:tcW w:w="3402" w:type="dxa"/>
            <w:vAlign w:val="center"/>
          </w:tcPr>
          <w:p w14:paraId="7DEC5AE8">
            <w:pPr>
              <w:pStyle w:val="12"/>
            </w:pPr>
            <w:r>
              <w:t>二十四、预备费</w:t>
            </w:r>
          </w:p>
        </w:tc>
        <w:tc>
          <w:tcPr>
            <w:tcW w:w="1474" w:type="dxa"/>
            <w:vAlign w:val="center"/>
          </w:tcPr>
          <w:p w14:paraId="6FDE2D79">
            <w:pPr>
              <w:pStyle w:val="11"/>
            </w:pPr>
          </w:p>
        </w:tc>
        <w:tc>
          <w:tcPr>
            <w:tcW w:w="1474" w:type="dxa"/>
            <w:vAlign w:val="center"/>
          </w:tcPr>
          <w:p w14:paraId="45F9589A">
            <w:pPr>
              <w:pStyle w:val="11"/>
            </w:pPr>
          </w:p>
        </w:tc>
        <w:tc>
          <w:tcPr>
            <w:tcW w:w="1474" w:type="dxa"/>
            <w:vAlign w:val="center"/>
          </w:tcPr>
          <w:p w14:paraId="51F19D22">
            <w:pPr>
              <w:pStyle w:val="11"/>
            </w:pPr>
          </w:p>
        </w:tc>
        <w:tc>
          <w:tcPr>
            <w:tcW w:w="1474" w:type="dxa"/>
            <w:vAlign w:val="center"/>
          </w:tcPr>
          <w:p w14:paraId="5EACFEDC">
            <w:pPr>
              <w:pStyle w:val="11"/>
            </w:pPr>
          </w:p>
        </w:tc>
      </w:tr>
      <w:tr w14:paraId="6D30E105">
        <w:tblPrEx>
          <w:tblCellMar>
            <w:top w:w="0" w:type="dxa"/>
            <w:left w:w="108" w:type="dxa"/>
            <w:bottom w:w="0" w:type="dxa"/>
            <w:right w:w="108" w:type="dxa"/>
          </w:tblCellMar>
        </w:tblPrEx>
        <w:trPr>
          <w:trHeight w:val="369" w:hRule="atLeast"/>
          <w:jc w:val="center"/>
        </w:trPr>
        <w:tc>
          <w:tcPr>
            <w:tcW w:w="850" w:type="dxa"/>
            <w:vAlign w:val="center"/>
          </w:tcPr>
          <w:p w14:paraId="4CCEDD26">
            <w:pPr>
              <w:pStyle w:val="13"/>
            </w:pPr>
            <w:r>
              <w:t>25</w:t>
            </w:r>
          </w:p>
        </w:tc>
        <w:tc>
          <w:tcPr>
            <w:tcW w:w="3402" w:type="dxa"/>
            <w:vAlign w:val="center"/>
          </w:tcPr>
          <w:p w14:paraId="04B21899">
            <w:pPr>
              <w:pStyle w:val="12"/>
            </w:pPr>
          </w:p>
        </w:tc>
        <w:tc>
          <w:tcPr>
            <w:tcW w:w="1474" w:type="dxa"/>
            <w:vAlign w:val="center"/>
          </w:tcPr>
          <w:p w14:paraId="418E52EB">
            <w:pPr>
              <w:pStyle w:val="11"/>
            </w:pPr>
          </w:p>
        </w:tc>
        <w:tc>
          <w:tcPr>
            <w:tcW w:w="3402" w:type="dxa"/>
            <w:vAlign w:val="center"/>
          </w:tcPr>
          <w:p w14:paraId="18B1F106">
            <w:pPr>
              <w:pStyle w:val="12"/>
            </w:pPr>
            <w:r>
              <w:t>二十五、其他支出</w:t>
            </w:r>
          </w:p>
        </w:tc>
        <w:tc>
          <w:tcPr>
            <w:tcW w:w="1474" w:type="dxa"/>
            <w:vAlign w:val="center"/>
          </w:tcPr>
          <w:p w14:paraId="444C9AA3">
            <w:pPr>
              <w:pStyle w:val="11"/>
            </w:pPr>
          </w:p>
        </w:tc>
        <w:tc>
          <w:tcPr>
            <w:tcW w:w="1474" w:type="dxa"/>
            <w:vAlign w:val="center"/>
          </w:tcPr>
          <w:p w14:paraId="7AC39F60">
            <w:pPr>
              <w:pStyle w:val="11"/>
            </w:pPr>
          </w:p>
        </w:tc>
        <w:tc>
          <w:tcPr>
            <w:tcW w:w="1474" w:type="dxa"/>
            <w:vAlign w:val="center"/>
          </w:tcPr>
          <w:p w14:paraId="0C2E10B1">
            <w:pPr>
              <w:pStyle w:val="11"/>
            </w:pPr>
          </w:p>
        </w:tc>
        <w:tc>
          <w:tcPr>
            <w:tcW w:w="1474" w:type="dxa"/>
            <w:vAlign w:val="center"/>
          </w:tcPr>
          <w:p w14:paraId="1CA854C5">
            <w:pPr>
              <w:pStyle w:val="11"/>
            </w:pPr>
          </w:p>
        </w:tc>
      </w:tr>
      <w:tr w14:paraId="46E7589F">
        <w:tblPrEx>
          <w:tblCellMar>
            <w:top w:w="0" w:type="dxa"/>
            <w:left w:w="108" w:type="dxa"/>
            <w:bottom w:w="0" w:type="dxa"/>
            <w:right w:w="108" w:type="dxa"/>
          </w:tblCellMar>
        </w:tblPrEx>
        <w:trPr>
          <w:trHeight w:val="369" w:hRule="atLeast"/>
          <w:jc w:val="center"/>
        </w:trPr>
        <w:tc>
          <w:tcPr>
            <w:tcW w:w="850" w:type="dxa"/>
            <w:vAlign w:val="center"/>
          </w:tcPr>
          <w:p w14:paraId="37B27D2D">
            <w:pPr>
              <w:pStyle w:val="13"/>
            </w:pPr>
            <w:r>
              <w:t>26</w:t>
            </w:r>
          </w:p>
        </w:tc>
        <w:tc>
          <w:tcPr>
            <w:tcW w:w="3402" w:type="dxa"/>
            <w:vAlign w:val="center"/>
          </w:tcPr>
          <w:p w14:paraId="6A900C5C">
            <w:pPr>
              <w:pStyle w:val="12"/>
            </w:pPr>
          </w:p>
        </w:tc>
        <w:tc>
          <w:tcPr>
            <w:tcW w:w="1474" w:type="dxa"/>
            <w:vAlign w:val="center"/>
          </w:tcPr>
          <w:p w14:paraId="5391DD8C">
            <w:pPr>
              <w:pStyle w:val="11"/>
            </w:pPr>
          </w:p>
        </w:tc>
        <w:tc>
          <w:tcPr>
            <w:tcW w:w="3402" w:type="dxa"/>
            <w:vAlign w:val="center"/>
          </w:tcPr>
          <w:p w14:paraId="70DD0571">
            <w:pPr>
              <w:pStyle w:val="12"/>
            </w:pPr>
            <w:r>
              <w:t>二十六、转移性支出</w:t>
            </w:r>
          </w:p>
        </w:tc>
        <w:tc>
          <w:tcPr>
            <w:tcW w:w="1474" w:type="dxa"/>
            <w:vAlign w:val="center"/>
          </w:tcPr>
          <w:p w14:paraId="7F361A01">
            <w:pPr>
              <w:pStyle w:val="11"/>
            </w:pPr>
          </w:p>
        </w:tc>
        <w:tc>
          <w:tcPr>
            <w:tcW w:w="1474" w:type="dxa"/>
            <w:vAlign w:val="center"/>
          </w:tcPr>
          <w:p w14:paraId="338F9E1F">
            <w:pPr>
              <w:pStyle w:val="11"/>
            </w:pPr>
          </w:p>
        </w:tc>
        <w:tc>
          <w:tcPr>
            <w:tcW w:w="1474" w:type="dxa"/>
            <w:vAlign w:val="center"/>
          </w:tcPr>
          <w:p w14:paraId="483A27CD">
            <w:pPr>
              <w:pStyle w:val="11"/>
            </w:pPr>
          </w:p>
        </w:tc>
        <w:tc>
          <w:tcPr>
            <w:tcW w:w="1474" w:type="dxa"/>
            <w:vAlign w:val="center"/>
          </w:tcPr>
          <w:p w14:paraId="3B5F822A">
            <w:pPr>
              <w:pStyle w:val="11"/>
            </w:pPr>
          </w:p>
        </w:tc>
      </w:tr>
      <w:tr w14:paraId="1A67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5A17">
            <w:pPr>
              <w:pStyle w:val="13"/>
            </w:pPr>
            <w:r>
              <w:t>27</w:t>
            </w:r>
          </w:p>
        </w:tc>
        <w:tc>
          <w:tcPr>
            <w:tcW w:w="3402" w:type="dxa"/>
            <w:vAlign w:val="center"/>
          </w:tcPr>
          <w:p w14:paraId="473E5166">
            <w:pPr>
              <w:pStyle w:val="12"/>
            </w:pPr>
          </w:p>
        </w:tc>
        <w:tc>
          <w:tcPr>
            <w:tcW w:w="1474" w:type="dxa"/>
            <w:vAlign w:val="center"/>
          </w:tcPr>
          <w:p w14:paraId="20E810C2">
            <w:pPr>
              <w:pStyle w:val="11"/>
            </w:pPr>
          </w:p>
        </w:tc>
        <w:tc>
          <w:tcPr>
            <w:tcW w:w="3402" w:type="dxa"/>
            <w:vAlign w:val="center"/>
          </w:tcPr>
          <w:p w14:paraId="69E07209">
            <w:pPr>
              <w:pStyle w:val="12"/>
            </w:pPr>
            <w:r>
              <w:t>二十七、债务还本支出</w:t>
            </w:r>
          </w:p>
        </w:tc>
        <w:tc>
          <w:tcPr>
            <w:tcW w:w="1474" w:type="dxa"/>
            <w:vAlign w:val="center"/>
          </w:tcPr>
          <w:p w14:paraId="1AE0C618">
            <w:pPr>
              <w:pStyle w:val="11"/>
            </w:pPr>
          </w:p>
        </w:tc>
        <w:tc>
          <w:tcPr>
            <w:tcW w:w="1474" w:type="dxa"/>
            <w:vAlign w:val="center"/>
          </w:tcPr>
          <w:p w14:paraId="298C26CE">
            <w:pPr>
              <w:pStyle w:val="11"/>
            </w:pPr>
          </w:p>
        </w:tc>
        <w:tc>
          <w:tcPr>
            <w:tcW w:w="1474" w:type="dxa"/>
            <w:vAlign w:val="center"/>
          </w:tcPr>
          <w:p w14:paraId="7F1F71D1">
            <w:pPr>
              <w:pStyle w:val="11"/>
            </w:pPr>
          </w:p>
        </w:tc>
        <w:tc>
          <w:tcPr>
            <w:tcW w:w="1474" w:type="dxa"/>
            <w:vAlign w:val="center"/>
          </w:tcPr>
          <w:p w14:paraId="31C3C03E">
            <w:pPr>
              <w:pStyle w:val="11"/>
            </w:pPr>
          </w:p>
        </w:tc>
      </w:tr>
      <w:tr w14:paraId="602E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C4C0">
            <w:pPr>
              <w:pStyle w:val="13"/>
            </w:pPr>
            <w:r>
              <w:t>28</w:t>
            </w:r>
          </w:p>
        </w:tc>
        <w:tc>
          <w:tcPr>
            <w:tcW w:w="3402" w:type="dxa"/>
            <w:vAlign w:val="center"/>
          </w:tcPr>
          <w:p w14:paraId="5CCFD22A">
            <w:pPr>
              <w:pStyle w:val="12"/>
            </w:pPr>
          </w:p>
        </w:tc>
        <w:tc>
          <w:tcPr>
            <w:tcW w:w="1474" w:type="dxa"/>
            <w:vAlign w:val="center"/>
          </w:tcPr>
          <w:p w14:paraId="2DC3A78F">
            <w:pPr>
              <w:pStyle w:val="11"/>
            </w:pPr>
          </w:p>
        </w:tc>
        <w:tc>
          <w:tcPr>
            <w:tcW w:w="3402" w:type="dxa"/>
            <w:vAlign w:val="center"/>
          </w:tcPr>
          <w:p w14:paraId="2BFD6F52">
            <w:pPr>
              <w:pStyle w:val="12"/>
            </w:pPr>
            <w:r>
              <w:t>二十八、债务付息支出</w:t>
            </w:r>
          </w:p>
        </w:tc>
        <w:tc>
          <w:tcPr>
            <w:tcW w:w="1474" w:type="dxa"/>
            <w:vAlign w:val="center"/>
          </w:tcPr>
          <w:p w14:paraId="37AD2AD1">
            <w:pPr>
              <w:pStyle w:val="11"/>
            </w:pPr>
          </w:p>
        </w:tc>
        <w:tc>
          <w:tcPr>
            <w:tcW w:w="1474" w:type="dxa"/>
            <w:vAlign w:val="center"/>
          </w:tcPr>
          <w:p w14:paraId="2C7B19AA">
            <w:pPr>
              <w:pStyle w:val="11"/>
            </w:pPr>
          </w:p>
        </w:tc>
        <w:tc>
          <w:tcPr>
            <w:tcW w:w="1474" w:type="dxa"/>
            <w:vAlign w:val="center"/>
          </w:tcPr>
          <w:p w14:paraId="39E4B79C">
            <w:pPr>
              <w:pStyle w:val="11"/>
            </w:pPr>
          </w:p>
        </w:tc>
        <w:tc>
          <w:tcPr>
            <w:tcW w:w="1474" w:type="dxa"/>
            <w:vAlign w:val="center"/>
          </w:tcPr>
          <w:p w14:paraId="59FDB10F">
            <w:pPr>
              <w:pStyle w:val="11"/>
            </w:pPr>
          </w:p>
        </w:tc>
      </w:tr>
      <w:tr w14:paraId="760F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4B6D">
            <w:pPr>
              <w:pStyle w:val="13"/>
            </w:pPr>
            <w:r>
              <w:t>29</w:t>
            </w:r>
          </w:p>
        </w:tc>
        <w:tc>
          <w:tcPr>
            <w:tcW w:w="3402" w:type="dxa"/>
            <w:vAlign w:val="center"/>
          </w:tcPr>
          <w:p w14:paraId="727C6142">
            <w:pPr>
              <w:pStyle w:val="12"/>
            </w:pPr>
          </w:p>
        </w:tc>
        <w:tc>
          <w:tcPr>
            <w:tcW w:w="1474" w:type="dxa"/>
            <w:vAlign w:val="center"/>
          </w:tcPr>
          <w:p w14:paraId="17A5776C">
            <w:pPr>
              <w:pStyle w:val="11"/>
            </w:pPr>
          </w:p>
        </w:tc>
        <w:tc>
          <w:tcPr>
            <w:tcW w:w="3402" w:type="dxa"/>
            <w:vAlign w:val="center"/>
          </w:tcPr>
          <w:p w14:paraId="65D0467B">
            <w:pPr>
              <w:pStyle w:val="12"/>
            </w:pPr>
            <w:r>
              <w:t>二十九、债务发行费用支出</w:t>
            </w:r>
          </w:p>
        </w:tc>
        <w:tc>
          <w:tcPr>
            <w:tcW w:w="1474" w:type="dxa"/>
            <w:vAlign w:val="center"/>
          </w:tcPr>
          <w:p w14:paraId="14165FF9">
            <w:pPr>
              <w:pStyle w:val="11"/>
            </w:pPr>
          </w:p>
        </w:tc>
        <w:tc>
          <w:tcPr>
            <w:tcW w:w="1474" w:type="dxa"/>
            <w:vAlign w:val="center"/>
          </w:tcPr>
          <w:p w14:paraId="17484CC3">
            <w:pPr>
              <w:pStyle w:val="11"/>
            </w:pPr>
          </w:p>
        </w:tc>
        <w:tc>
          <w:tcPr>
            <w:tcW w:w="1474" w:type="dxa"/>
            <w:vAlign w:val="center"/>
          </w:tcPr>
          <w:p w14:paraId="4F8D47AA">
            <w:pPr>
              <w:pStyle w:val="11"/>
            </w:pPr>
          </w:p>
        </w:tc>
        <w:tc>
          <w:tcPr>
            <w:tcW w:w="1474" w:type="dxa"/>
            <w:vAlign w:val="center"/>
          </w:tcPr>
          <w:p w14:paraId="4C87DF4D">
            <w:pPr>
              <w:pStyle w:val="11"/>
            </w:pPr>
          </w:p>
        </w:tc>
      </w:tr>
      <w:tr w14:paraId="1D86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564A3">
            <w:pPr>
              <w:pStyle w:val="13"/>
            </w:pPr>
            <w:r>
              <w:t>30</w:t>
            </w:r>
          </w:p>
        </w:tc>
        <w:tc>
          <w:tcPr>
            <w:tcW w:w="3402" w:type="dxa"/>
            <w:vAlign w:val="center"/>
          </w:tcPr>
          <w:p w14:paraId="5E85CB02">
            <w:pPr>
              <w:pStyle w:val="12"/>
            </w:pPr>
          </w:p>
        </w:tc>
        <w:tc>
          <w:tcPr>
            <w:tcW w:w="1474" w:type="dxa"/>
            <w:vAlign w:val="center"/>
          </w:tcPr>
          <w:p w14:paraId="04F374B0">
            <w:pPr>
              <w:pStyle w:val="11"/>
            </w:pPr>
          </w:p>
        </w:tc>
        <w:tc>
          <w:tcPr>
            <w:tcW w:w="3402" w:type="dxa"/>
            <w:vAlign w:val="center"/>
          </w:tcPr>
          <w:p w14:paraId="71B10673">
            <w:pPr>
              <w:pStyle w:val="12"/>
            </w:pPr>
            <w:r>
              <w:t>三十、抗疫特别国债安排的支出</w:t>
            </w:r>
          </w:p>
        </w:tc>
        <w:tc>
          <w:tcPr>
            <w:tcW w:w="1474" w:type="dxa"/>
            <w:vAlign w:val="center"/>
          </w:tcPr>
          <w:p w14:paraId="34ABA871">
            <w:pPr>
              <w:pStyle w:val="11"/>
            </w:pPr>
          </w:p>
        </w:tc>
        <w:tc>
          <w:tcPr>
            <w:tcW w:w="1474" w:type="dxa"/>
            <w:vAlign w:val="center"/>
          </w:tcPr>
          <w:p w14:paraId="7E69F3BB">
            <w:pPr>
              <w:pStyle w:val="11"/>
            </w:pPr>
          </w:p>
        </w:tc>
        <w:tc>
          <w:tcPr>
            <w:tcW w:w="1474" w:type="dxa"/>
            <w:vAlign w:val="center"/>
          </w:tcPr>
          <w:p w14:paraId="05A69540">
            <w:pPr>
              <w:pStyle w:val="11"/>
            </w:pPr>
          </w:p>
        </w:tc>
        <w:tc>
          <w:tcPr>
            <w:tcW w:w="1474" w:type="dxa"/>
            <w:vAlign w:val="center"/>
          </w:tcPr>
          <w:p w14:paraId="5D64182F">
            <w:pPr>
              <w:pStyle w:val="11"/>
            </w:pPr>
          </w:p>
        </w:tc>
      </w:tr>
      <w:tr w14:paraId="7DFA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51EA2">
            <w:pPr>
              <w:pStyle w:val="13"/>
            </w:pPr>
            <w:r>
              <w:t>31</w:t>
            </w:r>
          </w:p>
        </w:tc>
        <w:tc>
          <w:tcPr>
            <w:tcW w:w="3402" w:type="dxa"/>
            <w:vAlign w:val="center"/>
          </w:tcPr>
          <w:p w14:paraId="03B61B59">
            <w:pPr>
              <w:pStyle w:val="12"/>
            </w:pPr>
          </w:p>
        </w:tc>
        <w:tc>
          <w:tcPr>
            <w:tcW w:w="1474" w:type="dxa"/>
            <w:vAlign w:val="center"/>
          </w:tcPr>
          <w:p w14:paraId="229F4EC6">
            <w:pPr>
              <w:pStyle w:val="11"/>
            </w:pPr>
          </w:p>
        </w:tc>
        <w:tc>
          <w:tcPr>
            <w:tcW w:w="3402" w:type="dxa"/>
            <w:vAlign w:val="center"/>
          </w:tcPr>
          <w:p w14:paraId="1277BE38">
            <w:pPr>
              <w:pStyle w:val="12"/>
            </w:pPr>
            <w:r>
              <w:t>三十一、人行科目</w:t>
            </w:r>
          </w:p>
        </w:tc>
        <w:tc>
          <w:tcPr>
            <w:tcW w:w="1474" w:type="dxa"/>
            <w:vAlign w:val="center"/>
          </w:tcPr>
          <w:p w14:paraId="39884678">
            <w:pPr>
              <w:pStyle w:val="11"/>
            </w:pPr>
          </w:p>
        </w:tc>
        <w:tc>
          <w:tcPr>
            <w:tcW w:w="1474" w:type="dxa"/>
            <w:vAlign w:val="center"/>
          </w:tcPr>
          <w:p w14:paraId="2822460E">
            <w:pPr>
              <w:pStyle w:val="11"/>
            </w:pPr>
          </w:p>
        </w:tc>
        <w:tc>
          <w:tcPr>
            <w:tcW w:w="1474" w:type="dxa"/>
            <w:vAlign w:val="center"/>
          </w:tcPr>
          <w:p w14:paraId="0B9A94EE">
            <w:pPr>
              <w:pStyle w:val="11"/>
            </w:pPr>
          </w:p>
        </w:tc>
        <w:tc>
          <w:tcPr>
            <w:tcW w:w="1474" w:type="dxa"/>
            <w:vAlign w:val="center"/>
          </w:tcPr>
          <w:p w14:paraId="68578694">
            <w:pPr>
              <w:pStyle w:val="11"/>
            </w:pPr>
          </w:p>
        </w:tc>
      </w:tr>
      <w:tr w14:paraId="01C00585">
        <w:tblPrEx>
          <w:tblCellMar>
            <w:top w:w="0" w:type="dxa"/>
            <w:left w:w="108" w:type="dxa"/>
            <w:bottom w:w="0" w:type="dxa"/>
            <w:right w:w="108" w:type="dxa"/>
          </w:tblCellMar>
        </w:tblPrEx>
        <w:trPr>
          <w:trHeight w:val="369" w:hRule="atLeast"/>
          <w:jc w:val="center"/>
        </w:trPr>
        <w:tc>
          <w:tcPr>
            <w:tcW w:w="850" w:type="dxa"/>
            <w:vAlign w:val="center"/>
          </w:tcPr>
          <w:p w14:paraId="3EB2A3C9">
            <w:pPr>
              <w:pStyle w:val="13"/>
            </w:pPr>
            <w:r>
              <w:t>32</w:t>
            </w:r>
          </w:p>
        </w:tc>
        <w:tc>
          <w:tcPr>
            <w:tcW w:w="3402" w:type="dxa"/>
            <w:vAlign w:val="center"/>
          </w:tcPr>
          <w:p w14:paraId="5DE2BA95">
            <w:pPr>
              <w:pStyle w:val="14"/>
            </w:pPr>
            <w:r>
              <w:t>本年收入合计</w:t>
            </w:r>
          </w:p>
        </w:tc>
        <w:tc>
          <w:tcPr>
            <w:tcW w:w="1474" w:type="dxa"/>
            <w:vAlign w:val="center"/>
          </w:tcPr>
          <w:p w14:paraId="7EE89BB0">
            <w:pPr>
              <w:pStyle w:val="15"/>
            </w:pPr>
            <w:r>
              <w:t>189.67</w:t>
            </w:r>
          </w:p>
        </w:tc>
        <w:tc>
          <w:tcPr>
            <w:tcW w:w="3402" w:type="dxa"/>
            <w:vAlign w:val="center"/>
          </w:tcPr>
          <w:p w14:paraId="07FC9E8F">
            <w:pPr>
              <w:pStyle w:val="14"/>
            </w:pPr>
            <w:r>
              <w:t>本年支出合计</w:t>
            </w:r>
          </w:p>
        </w:tc>
        <w:tc>
          <w:tcPr>
            <w:tcW w:w="1474" w:type="dxa"/>
            <w:vAlign w:val="center"/>
          </w:tcPr>
          <w:p w14:paraId="254B012F">
            <w:pPr>
              <w:pStyle w:val="15"/>
            </w:pPr>
            <w:r>
              <w:t>189.67</w:t>
            </w:r>
          </w:p>
        </w:tc>
        <w:tc>
          <w:tcPr>
            <w:tcW w:w="1474" w:type="dxa"/>
            <w:vAlign w:val="center"/>
          </w:tcPr>
          <w:p w14:paraId="60D7458F">
            <w:pPr>
              <w:pStyle w:val="15"/>
            </w:pPr>
            <w:r>
              <w:t>189.67</w:t>
            </w:r>
          </w:p>
        </w:tc>
        <w:tc>
          <w:tcPr>
            <w:tcW w:w="1474" w:type="dxa"/>
            <w:vAlign w:val="center"/>
          </w:tcPr>
          <w:p w14:paraId="4BB8FDFF">
            <w:pPr>
              <w:pStyle w:val="15"/>
            </w:pPr>
          </w:p>
        </w:tc>
        <w:tc>
          <w:tcPr>
            <w:tcW w:w="1474" w:type="dxa"/>
            <w:vAlign w:val="center"/>
          </w:tcPr>
          <w:p w14:paraId="29878BF4">
            <w:pPr>
              <w:pStyle w:val="15"/>
            </w:pPr>
          </w:p>
        </w:tc>
      </w:tr>
      <w:tr w14:paraId="0685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FBE0">
            <w:pPr>
              <w:pStyle w:val="13"/>
            </w:pPr>
            <w:r>
              <w:t>33</w:t>
            </w:r>
          </w:p>
        </w:tc>
        <w:tc>
          <w:tcPr>
            <w:tcW w:w="3402" w:type="dxa"/>
            <w:vAlign w:val="center"/>
          </w:tcPr>
          <w:p w14:paraId="4DD1CD64">
            <w:pPr>
              <w:pStyle w:val="12"/>
            </w:pPr>
            <w:r>
              <w:t>年初财政拨款结转和结余</w:t>
            </w:r>
          </w:p>
        </w:tc>
        <w:tc>
          <w:tcPr>
            <w:tcW w:w="1474" w:type="dxa"/>
            <w:vAlign w:val="center"/>
          </w:tcPr>
          <w:p w14:paraId="74304A9E">
            <w:pPr>
              <w:pStyle w:val="11"/>
            </w:pPr>
          </w:p>
        </w:tc>
        <w:tc>
          <w:tcPr>
            <w:tcW w:w="3402" w:type="dxa"/>
            <w:vAlign w:val="center"/>
          </w:tcPr>
          <w:p w14:paraId="30ED9E5B">
            <w:pPr>
              <w:pStyle w:val="12"/>
            </w:pPr>
            <w:r>
              <w:t>年末财政拨款结转和结余</w:t>
            </w:r>
          </w:p>
        </w:tc>
        <w:tc>
          <w:tcPr>
            <w:tcW w:w="1474" w:type="dxa"/>
            <w:vAlign w:val="center"/>
          </w:tcPr>
          <w:p w14:paraId="53612747">
            <w:pPr>
              <w:pStyle w:val="11"/>
            </w:pPr>
          </w:p>
        </w:tc>
        <w:tc>
          <w:tcPr>
            <w:tcW w:w="1474" w:type="dxa"/>
            <w:vAlign w:val="center"/>
          </w:tcPr>
          <w:p w14:paraId="7027E33A">
            <w:pPr>
              <w:pStyle w:val="11"/>
            </w:pPr>
          </w:p>
        </w:tc>
        <w:tc>
          <w:tcPr>
            <w:tcW w:w="1474" w:type="dxa"/>
            <w:vAlign w:val="center"/>
          </w:tcPr>
          <w:p w14:paraId="7D8799C1">
            <w:pPr>
              <w:pStyle w:val="11"/>
            </w:pPr>
          </w:p>
        </w:tc>
        <w:tc>
          <w:tcPr>
            <w:tcW w:w="1474" w:type="dxa"/>
            <w:vAlign w:val="center"/>
          </w:tcPr>
          <w:p w14:paraId="4D77A901">
            <w:pPr>
              <w:pStyle w:val="11"/>
            </w:pPr>
          </w:p>
        </w:tc>
      </w:tr>
      <w:tr w14:paraId="7981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6FD06">
            <w:pPr>
              <w:pStyle w:val="13"/>
            </w:pPr>
            <w:r>
              <w:t>34</w:t>
            </w:r>
          </w:p>
        </w:tc>
        <w:tc>
          <w:tcPr>
            <w:tcW w:w="3402" w:type="dxa"/>
            <w:vAlign w:val="center"/>
          </w:tcPr>
          <w:p w14:paraId="7AB80B15">
            <w:pPr>
              <w:pStyle w:val="12"/>
            </w:pPr>
            <w:r>
              <w:t>一、一般公共预算拨款</w:t>
            </w:r>
          </w:p>
        </w:tc>
        <w:tc>
          <w:tcPr>
            <w:tcW w:w="1474" w:type="dxa"/>
            <w:vAlign w:val="center"/>
          </w:tcPr>
          <w:p w14:paraId="080D59E8">
            <w:pPr>
              <w:pStyle w:val="11"/>
            </w:pPr>
          </w:p>
        </w:tc>
        <w:tc>
          <w:tcPr>
            <w:tcW w:w="3402" w:type="dxa"/>
            <w:vAlign w:val="center"/>
          </w:tcPr>
          <w:p w14:paraId="3CBCB289">
            <w:pPr>
              <w:pStyle w:val="12"/>
            </w:pPr>
          </w:p>
        </w:tc>
        <w:tc>
          <w:tcPr>
            <w:tcW w:w="1474" w:type="dxa"/>
            <w:vAlign w:val="center"/>
          </w:tcPr>
          <w:p w14:paraId="29028111">
            <w:pPr>
              <w:pStyle w:val="11"/>
            </w:pPr>
          </w:p>
        </w:tc>
        <w:tc>
          <w:tcPr>
            <w:tcW w:w="1474" w:type="dxa"/>
            <w:vAlign w:val="center"/>
          </w:tcPr>
          <w:p w14:paraId="5DDC6BB0">
            <w:pPr>
              <w:pStyle w:val="11"/>
            </w:pPr>
          </w:p>
        </w:tc>
        <w:tc>
          <w:tcPr>
            <w:tcW w:w="1474" w:type="dxa"/>
            <w:vAlign w:val="center"/>
          </w:tcPr>
          <w:p w14:paraId="25CC7A94">
            <w:pPr>
              <w:pStyle w:val="11"/>
            </w:pPr>
          </w:p>
        </w:tc>
        <w:tc>
          <w:tcPr>
            <w:tcW w:w="1474" w:type="dxa"/>
            <w:vAlign w:val="center"/>
          </w:tcPr>
          <w:p w14:paraId="214E1C8A">
            <w:pPr>
              <w:pStyle w:val="11"/>
            </w:pPr>
          </w:p>
        </w:tc>
      </w:tr>
      <w:tr w14:paraId="59A7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B84D6">
            <w:pPr>
              <w:pStyle w:val="13"/>
            </w:pPr>
            <w:r>
              <w:t>35</w:t>
            </w:r>
          </w:p>
        </w:tc>
        <w:tc>
          <w:tcPr>
            <w:tcW w:w="3402" w:type="dxa"/>
            <w:vAlign w:val="center"/>
          </w:tcPr>
          <w:p w14:paraId="348D4573">
            <w:pPr>
              <w:pStyle w:val="12"/>
            </w:pPr>
            <w:r>
              <w:t>二、政府性基金预算拨款</w:t>
            </w:r>
          </w:p>
        </w:tc>
        <w:tc>
          <w:tcPr>
            <w:tcW w:w="1474" w:type="dxa"/>
            <w:vAlign w:val="center"/>
          </w:tcPr>
          <w:p w14:paraId="226678C6">
            <w:pPr>
              <w:pStyle w:val="11"/>
            </w:pPr>
          </w:p>
        </w:tc>
        <w:tc>
          <w:tcPr>
            <w:tcW w:w="3402" w:type="dxa"/>
            <w:vAlign w:val="center"/>
          </w:tcPr>
          <w:p w14:paraId="0A804877">
            <w:pPr>
              <w:pStyle w:val="12"/>
            </w:pPr>
          </w:p>
        </w:tc>
        <w:tc>
          <w:tcPr>
            <w:tcW w:w="1474" w:type="dxa"/>
            <w:vAlign w:val="center"/>
          </w:tcPr>
          <w:p w14:paraId="31CBC695">
            <w:pPr>
              <w:pStyle w:val="11"/>
            </w:pPr>
          </w:p>
        </w:tc>
        <w:tc>
          <w:tcPr>
            <w:tcW w:w="1474" w:type="dxa"/>
            <w:vAlign w:val="center"/>
          </w:tcPr>
          <w:p w14:paraId="4032ECB1">
            <w:pPr>
              <w:pStyle w:val="11"/>
            </w:pPr>
          </w:p>
        </w:tc>
        <w:tc>
          <w:tcPr>
            <w:tcW w:w="1474" w:type="dxa"/>
            <w:vAlign w:val="center"/>
          </w:tcPr>
          <w:p w14:paraId="744F7E40">
            <w:pPr>
              <w:pStyle w:val="11"/>
            </w:pPr>
          </w:p>
        </w:tc>
        <w:tc>
          <w:tcPr>
            <w:tcW w:w="1474" w:type="dxa"/>
            <w:vAlign w:val="center"/>
          </w:tcPr>
          <w:p w14:paraId="36469561">
            <w:pPr>
              <w:pStyle w:val="11"/>
            </w:pPr>
          </w:p>
        </w:tc>
      </w:tr>
      <w:tr w14:paraId="1E91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F9DF0">
            <w:pPr>
              <w:pStyle w:val="13"/>
            </w:pPr>
            <w:r>
              <w:t>36</w:t>
            </w:r>
          </w:p>
        </w:tc>
        <w:tc>
          <w:tcPr>
            <w:tcW w:w="3402" w:type="dxa"/>
            <w:vAlign w:val="center"/>
          </w:tcPr>
          <w:p w14:paraId="047C75DB">
            <w:pPr>
              <w:pStyle w:val="12"/>
            </w:pPr>
            <w:r>
              <w:t>三、国有资本经营预算拨款</w:t>
            </w:r>
          </w:p>
        </w:tc>
        <w:tc>
          <w:tcPr>
            <w:tcW w:w="1474" w:type="dxa"/>
            <w:vAlign w:val="center"/>
          </w:tcPr>
          <w:p w14:paraId="10ABAF35">
            <w:pPr>
              <w:pStyle w:val="11"/>
            </w:pPr>
          </w:p>
        </w:tc>
        <w:tc>
          <w:tcPr>
            <w:tcW w:w="3402" w:type="dxa"/>
            <w:vAlign w:val="center"/>
          </w:tcPr>
          <w:p w14:paraId="51792C6B">
            <w:pPr>
              <w:pStyle w:val="12"/>
            </w:pPr>
          </w:p>
        </w:tc>
        <w:tc>
          <w:tcPr>
            <w:tcW w:w="1474" w:type="dxa"/>
            <w:vAlign w:val="center"/>
          </w:tcPr>
          <w:p w14:paraId="0BBB4E2F">
            <w:pPr>
              <w:pStyle w:val="11"/>
            </w:pPr>
          </w:p>
        </w:tc>
        <w:tc>
          <w:tcPr>
            <w:tcW w:w="1474" w:type="dxa"/>
            <w:vAlign w:val="center"/>
          </w:tcPr>
          <w:p w14:paraId="39128412">
            <w:pPr>
              <w:pStyle w:val="11"/>
            </w:pPr>
          </w:p>
        </w:tc>
        <w:tc>
          <w:tcPr>
            <w:tcW w:w="1474" w:type="dxa"/>
            <w:vAlign w:val="center"/>
          </w:tcPr>
          <w:p w14:paraId="28BE335E">
            <w:pPr>
              <w:pStyle w:val="11"/>
            </w:pPr>
          </w:p>
        </w:tc>
        <w:tc>
          <w:tcPr>
            <w:tcW w:w="1474" w:type="dxa"/>
            <w:vAlign w:val="center"/>
          </w:tcPr>
          <w:p w14:paraId="58B5638D">
            <w:pPr>
              <w:pStyle w:val="11"/>
            </w:pPr>
          </w:p>
        </w:tc>
      </w:tr>
      <w:tr w14:paraId="52A4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9167">
            <w:pPr>
              <w:pStyle w:val="13"/>
            </w:pPr>
            <w:r>
              <w:t>37</w:t>
            </w:r>
          </w:p>
        </w:tc>
        <w:tc>
          <w:tcPr>
            <w:tcW w:w="3402" w:type="dxa"/>
            <w:vAlign w:val="center"/>
          </w:tcPr>
          <w:p w14:paraId="41AF3B7D">
            <w:pPr>
              <w:pStyle w:val="14"/>
            </w:pPr>
            <w:r>
              <w:t>收入总计</w:t>
            </w:r>
          </w:p>
        </w:tc>
        <w:tc>
          <w:tcPr>
            <w:tcW w:w="1474" w:type="dxa"/>
            <w:vAlign w:val="center"/>
          </w:tcPr>
          <w:p w14:paraId="4ECB2BFC">
            <w:pPr>
              <w:pStyle w:val="15"/>
            </w:pPr>
            <w:r>
              <w:t>189.67</w:t>
            </w:r>
          </w:p>
        </w:tc>
        <w:tc>
          <w:tcPr>
            <w:tcW w:w="3402" w:type="dxa"/>
            <w:vAlign w:val="center"/>
          </w:tcPr>
          <w:p w14:paraId="3D7CF173">
            <w:pPr>
              <w:pStyle w:val="14"/>
            </w:pPr>
            <w:r>
              <w:t>支出总计</w:t>
            </w:r>
          </w:p>
        </w:tc>
        <w:tc>
          <w:tcPr>
            <w:tcW w:w="1474" w:type="dxa"/>
            <w:vAlign w:val="center"/>
          </w:tcPr>
          <w:p w14:paraId="72C1DD92">
            <w:pPr>
              <w:pStyle w:val="15"/>
            </w:pPr>
            <w:r>
              <w:t>189.67</w:t>
            </w:r>
          </w:p>
        </w:tc>
        <w:tc>
          <w:tcPr>
            <w:tcW w:w="1474" w:type="dxa"/>
            <w:vAlign w:val="center"/>
          </w:tcPr>
          <w:p w14:paraId="61E282EB">
            <w:pPr>
              <w:pStyle w:val="15"/>
            </w:pPr>
            <w:r>
              <w:t>189.67</w:t>
            </w:r>
          </w:p>
        </w:tc>
        <w:tc>
          <w:tcPr>
            <w:tcW w:w="1474" w:type="dxa"/>
            <w:vAlign w:val="center"/>
          </w:tcPr>
          <w:p w14:paraId="22416A99">
            <w:pPr>
              <w:pStyle w:val="15"/>
            </w:pPr>
          </w:p>
        </w:tc>
        <w:tc>
          <w:tcPr>
            <w:tcW w:w="1474" w:type="dxa"/>
            <w:vAlign w:val="center"/>
          </w:tcPr>
          <w:p w14:paraId="4E360D51">
            <w:pPr>
              <w:pStyle w:val="15"/>
            </w:pPr>
          </w:p>
        </w:tc>
      </w:tr>
    </w:tbl>
    <w:p w14:paraId="446D403E">
      <w:pPr>
        <w:sectPr>
          <w:pgSz w:w="16840" w:h="11900" w:orient="landscape"/>
          <w:pgMar w:top="1361" w:right="1020" w:bottom="1134" w:left="1020" w:header="720" w:footer="720" w:gutter="0"/>
          <w:cols w:space="720" w:num="1"/>
        </w:sectPr>
      </w:pPr>
    </w:p>
    <w:p w14:paraId="421FBC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9D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C099FC">
            <w:pPr>
              <w:pStyle w:val="9"/>
            </w:pPr>
            <w:r>
              <w:t>360014隆尧县县直幼儿园</w:t>
            </w:r>
          </w:p>
        </w:tc>
        <w:tc>
          <w:tcPr>
            <w:tcW w:w="2551" w:type="dxa"/>
            <w:tcBorders>
              <w:top w:val="single" w:color="FFFFFF" w:sz="6" w:space="0"/>
              <w:left w:val="single" w:color="FFFFFF" w:sz="6" w:space="0"/>
              <w:right w:val="single" w:color="FFFFFF" w:sz="6" w:space="0"/>
            </w:tcBorders>
            <w:vAlign w:val="center"/>
          </w:tcPr>
          <w:p w14:paraId="195EEB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6A7226">
            <w:pPr>
              <w:pStyle w:val="7"/>
            </w:pPr>
            <w:r>
              <w:t>单位：万元</w:t>
            </w:r>
          </w:p>
        </w:tc>
      </w:tr>
      <w:tr w14:paraId="00EE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69079">
            <w:pPr>
              <w:pStyle w:val="10"/>
            </w:pPr>
            <w:r>
              <w:t>序号</w:t>
            </w:r>
          </w:p>
        </w:tc>
        <w:tc>
          <w:tcPr>
            <w:tcW w:w="5726" w:type="dxa"/>
            <w:gridSpan w:val="2"/>
            <w:vAlign w:val="center"/>
          </w:tcPr>
          <w:p w14:paraId="6F66AFF6">
            <w:pPr>
              <w:pStyle w:val="10"/>
            </w:pPr>
            <w:r>
              <w:t>功能分类科目</w:t>
            </w:r>
          </w:p>
        </w:tc>
        <w:tc>
          <w:tcPr>
            <w:tcW w:w="2551" w:type="dxa"/>
            <w:vMerge w:val="restart"/>
            <w:vAlign w:val="center"/>
          </w:tcPr>
          <w:p w14:paraId="451D819B">
            <w:pPr>
              <w:pStyle w:val="10"/>
            </w:pPr>
            <w:r>
              <w:t>合计</w:t>
            </w:r>
          </w:p>
        </w:tc>
        <w:tc>
          <w:tcPr>
            <w:tcW w:w="2551" w:type="dxa"/>
            <w:vMerge w:val="restart"/>
            <w:vAlign w:val="center"/>
          </w:tcPr>
          <w:p w14:paraId="5359E5C0">
            <w:pPr>
              <w:pStyle w:val="10"/>
            </w:pPr>
            <w:r>
              <w:t>基本支出</w:t>
            </w:r>
          </w:p>
        </w:tc>
        <w:tc>
          <w:tcPr>
            <w:tcW w:w="2551" w:type="dxa"/>
            <w:vMerge w:val="restart"/>
            <w:vAlign w:val="center"/>
          </w:tcPr>
          <w:p w14:paraId="2026A0BE">
            <w:pPr>
              <w:pStyle w:val="10"/>
            </w:pPr>
            <w:r>
              <w:t>项目支出</w:t>
            </w:r>
          </w:p>
        </w:tc>
      </w:tr>
      <w:tr w14:paraId="0EA8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04B5D9"/>
        </w:tc>
        <w:tc>
          <w:tcPr>
            <w:tcW w:w="1191" w:type="dxa"/>
            <w:vAlign w:val="center"/>
          </w:tcPr>
          <w:p w14:paraId="67FE2D1E">
            <w:pPr>
              <w:pStyle w:val="10"/>
            </w:pPr>
            <w:r>
              <w:t>科目编码</w:t>
            </w:r>
          </w:p>
        </w:tc>
        <w:tc>
          <w:tcPr>
            <w:tcW w:w="4535" w:type="dxa"/>
            <w:vAlign w:val="center"/>
          </w:tcPr>
          <w:p w14:paraId="424DC1F8">
            <w:pPr>
              <w:pStyle w:val="10"/>
            </w:pPr>
            <w:r>
              <w:t>科目名称</w:t>
            </w:r>
          </w:p>
        </w:tc>
        <w:tc>
          <w:tcPr>
            <w:tcW w:w="2551" w:type="dxa"/>
            <w:vMerge w:val="continue"/>
          </w:tcPr>
          <w:p w14:paraId="0B51B95F"/>
        </w:tc>
        <w:tc>
          <w:tcPr>
            <w:tcW w:w="2551" w:type="dxa"/>
            <w:vMerge w:val="continue"/>
          </w:tcPr>
          <w:p w14:paraId="41806015"/>
        </w:tc>
        <w:tc>
          <w:tcPr>
            <w:tcW w:w="2551" w:type="dxa"/>
            <w:vMerge w:val="continue"/>
          </w:tcPr>
          <w:p w14:paraId="380C45E1"/>
        </w:tc>
      </w:tr>
      <w:tr w14:paraId="1EAD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1829E">
            <w:pPr>
              <w:pStyle w:val="10"/>
            </w:pPr>
            <w:r>
              <w:t>栏次</w:t>
            </w:r>
          </w:p>
        </w:tc>
        <w:tc>
          <w:tcPr>
            <w:tcW w:w="1191" w:type="dxa"/>
            <w:vAlign w:val="center"/>
          </w:tcPr>
          <w:p w14:paraId="71CCD4A3">
            <w:pPr>
              <w:pStyle w:val="10"/>
            </w:pPr>
            <w:r>
              <w:t>1</w:t>
            </w:r>
          </w:p>
        </w:tc>
        <w:tc>
          <w:tcPr>
            <w:tcW w:w="4535" w:type="dxa"/>
            <w:vAlign w:val="center"/>
          </w:tcPr>
          <w:p w14:paraId="05F747EB">
            <w:pPr>
              <w:pStyle w:val="10"/>
            </w:pPr>
            <w:r>
              <w:t>2</w:t>
            </w:r>
          </w:p>
        </w:tc>
        <w:tc>
          <w:tcPr>
            <w:tcW w:w="2551" w:type="dxa"/>
            <w:vAlign w:val="center"/>
          </w:tcPr>
          <w:p w14:paraId="225EAC33">
            <w:pPr>
              <w:pStyle w:val="10"/>
            </w:pPr>
            <w:r>
              <w:t>3</w:t>
            </w:r>
          </w:p>
        </w:tc>
        <w:tc>
          <w:tcPr>
            <w:tcW w:w="2551" w:type="dxa"/>
            <w:vAlign w:val="center"/>
          </w:tcPr>
          <w:p w14:paraId="17BB36D1">
            <w:pPr>
              <w:pStyle w:val="10"/>
            </w:pPr>
            <w:r>
              <w:t>4</w:t>
            </w:r>
          </w:p>
        </w:tc>
        <w:tc>
          <w:tcPr>
            <w:tcW w:w="2551" w:type="dxa"/>
            <w:vAlign w:val="center"/>
          </w:tcPr>
          <w:p w14:paraId="3F469C86">
            <w:pPr>
              <w:pStyle w:val="10"/>
            </w:pPr>
            <w:r>
              <w:t>5</w:t>
            </w:r>
          </w:p>
        </w:tc>
      </w:tr>
      <w:tr w14:paraId="15CB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8CFA">
            <w:pPr>
              <w:pStyle w:val="13"/>
            </w:pPr>
            <w:r>
              <w:t>1</w:t>
            </w:r>
          </w:p>
        </w:tc>
        <w:tc>
          <w:tcPr>
            <w:tcW w:w="1191" w:type="dxa"/>
            <w:vAlign w:val="center"/>
          </w:tcPr>
          <w:p w14:paraId="16081271">
            <w:pPr>
              <w:pStyle w:val="16"/>
            </w:pPr>
          </w:p>
        </w:tc>
        <w:tc>
          <w:tcPr>
            <w:tcW w:w="4535" w:type="dxa"/>
            <w:vAlign w:val="center"/>
          </w:tcPr>
          <w:p w14:paraId="313E250E">
            <w:pPr>
              <w:pStyle w:val="14"/>
            </w:pPr>
            <w:r>
              <w:t>合计</w:t>
            </w:r>
          </w:p>
        </w:tc>
        <w:tc>
          <w:tcPr>
            <w:tcW w:w="2551" w:type="dxa"/>
            <w:vAlign w:val="center"/>
          </w:tcPr>
          <w:p w14:paraId="35A7E0A2">
            <w:pPr>
              <w:pStyle w:val="15"/>
            </w:pPr>
            <w:r>
              <w:t>189.67</w:t>
            </w:r>
          </w:p>
        </w:tc>
        <w:tc>
          <w:tcPr>
            <w:tcW w:w="2551" w:type="dxa"/>
            <w:vAlign w:val="center"/>
          </w:tcPr>
          <w:p w14:paraId="1F812111">
            <w:pPr>
              <w:pStyle w:val="15"/>
            </w:pPr>
            <w:r>
              <w:t>105.81</w:t>
            </w:r>
          </w:p>
        </w:tc>
        <w:tc>
          <w:tcPr>
            <w:tcW w:w="2551" w:type="dxa"/>
            <w:vAlign w:val="center"/>
          </w:tcPr>
          <w:p w14:paraId="22665020">
            <w:pPr>
              <w:pStyle w:val="15"/>
            </w:pPr>
            <w:r>
              <w:t>83.86</w:t>
            </w:r>
          </w:p>
        </w:tc>
      </w:tr>
      <w:tr w14:paraId="3808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F15F7">
            <w:pPr>
              <w:pStyle w:val="13"/>
            </w:pPr>
            <w:r>
              <w:t>2</w:t>
            </w:r>
          </w:p>
        </w:tc>
        <w:tc>
          <w:tcPr>
            <w:tcW w:w="1191" w:type="dxa"/>
            <w:vAlign w:val="center"/>
          </w:tcPr>
          <w:p w14:paraId="24A8721E">
            <w:pPr>
              <w:pStyle w:val="12"/>
            </w:pPr>
            <w:r>
              <w:t>205</w:t>
            </w:r>
          </w:p>
        </w:tc>
        <w:tc>
          <w:tcPr>
            <w:tcW w:w="4535" w:type="dxa"/>
            <w:vAlign w:val="center"/>
          </w:tcPr>
          <w:p w14:paraId="5476FB49">
            <w:pPr>
              <w:pStyle w:val="12"/>
            </w:pPr>
            <w:r>
              <w:t>教育支出</w:t>
            </w:r>
          </w:p>
        </w:tc>
        <w:tc>
          <w:tcPr>
            <w:tcW w:w="2551" w:type="dxa"/>
            <w:vAlign w:val="center"/>
          </w:tcPr>
          <w:p w14:paraId="4CD72BFA">
            <w:pPr>
              <w:pStyle w:val="11"/>
            </w:pPr>
            <w:r>
              <w:t>189.67</w:t>
            </w:r>
          </w:p>
        </w:tc>
        <w:tc>
          <w:tcPr>
            <w:tcW w:w="2551" w:type="dxa"/>
            <w:vAlign w:val="center"/>
          </w:tcPr>
          <w:p w14:paraId="46104705">
            <w:pPr>
              <w:pStyle w:val="11"/>
            </w:pPr>
            <w:r>
              <w:t>105.81</w:t>
            </w:r>
          </w:p>
        </w:tc>
        <w:tc>
          <w:tcPr>
            <w:tcW w:w="2551" w:type="dxa"/>
            <w:vAlign w:val="center"/>
          </w:tcPr>
          <w:p w14:paraId="036A422A">
            <w:pPr>
              <w:pStyle w:val="11"/>
            </w:pPr>
            <w:r>
              <w:t>83.86</w:t>
            </w:r>
          </w:p>
        </w:tc>
      </w:tr>
      <w:tr w14:paraId="5C5E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9CF6">
            <w:pPr>
              <w:pStyle w:val="13"/>
            </w:pPr>
            <w:r>
              <w:t>3</w:t>
            </w:r>
          </w:p>
        </w:tc>
        <w:tc>
          <w:tcPr>
            <w:tcW w:w="1191" w:type="dxa"/>
            <w:vAlign w:val="center"/>
          </w:tcPr>
          <w:p w14:paraId="2CB5D6E4">
            <w:pPr>
              <w:pStyle w:val="12"/>
            </w:pPr>
            <w:r>
              <w:t>20502</w:t>
            </w:r>
          </w:p>
        </w:tc>
        <w:tc>
          <w:tcPr>
            <w:tcW w:w="4535" w:type="dxa"/>
            <w:vAlign w:val="center"/>
          </w:tcPr>
          <w:p w14:paraId="382B0F2F">
            <w:pPr>
              <w:pStyle w:val="12"/>
            </w:pPr>
            <w:r>
              <w:t>普通教育</w:t>
            </w:r>
          </w:p>
        </w:tc>
        <w:tc>
          <w:tcPr>
            <w:tcW w:w="2551" w:type="dxa"/>
            <w:vAlign w:val="center"/>
          </w:tcPr>
          <w:p w14:paraId="39A017BD">
            <w:pPr>
              <w:pStyle w:val="11"/>
            </w:pPr>
            <w:r>
              <w:t>189.67</w:t>
            </w:r>
          </w:p>
        </w:tc>
        <w:tc>
          <w:tcPr>
            <w:tcW w:w="2551" w:type="dxa"/>
            <w:vAlign w:val="center"/>
          </w:tcPr>
          <w:p w14:paraId="6AD7661B">
            <w:pPr>
              <w:pStyle w:val="11"/>
            </w:pPr>
            <w:r>
              <w:t>105.81</w:t>
            </w:r>
          </w:p>
        </w:tc>
        <w:tc>
          <w:tcPr>
            <w:tcW w:w="2551" w:type="dxa"/>
            <w:vAlign w:val="center"/>
          </w:tcPr>
          <w:p w14:paraId="420E0E3F">
            <w:pPr>
              <w:pStyle w:val="11"/>
            </w:pPr>
            <w:r>
              <w:t>83.86</w:t>
            </w:r>
          </w:p>
        </w:tc>
      </w:tr>
      <w:tr w14:paraId="6511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F4D19">
            <w:pPr>
              <w:pStyle w:val="13"/>
            </w:pPr>
            <w:r>
              <w:t>4</w:t>
            </w:r>
          </w:p>
        </w:tc>
        <w:tc>
          <w:tcPr>
            <w:tcW w:w="1191" w:type="dxa"/>
            <w:vAlign w:val="center"/>
          </w:tcPr>
          <w:p w14:paraId="22FB0B10">
            <w:pPr>
              <w:pStyle w:val="12"/>
            </w:pPr>
            <w:r>
              <w:t>2050201</w:t>
            </w:r>
          </w:p>
        </w:tc>
        <w:tc>
          <w:tcPr>
            <w:tcW w:w="4535" w:type="dxa"/>
            <w:vAlign w:val="center"/>
          </w:tcPr>
          <w:p w14:paraId="4BB1ED84">
            <w:pPr>
              <w:pStyle w:val="12"/>
            </w:pPr>
            <w:r>
              <w:t>学前教育</w:t>
            </w:r>
          </w:p>
        </w:tc>
        <w:tc>
          <w:tcPr>
            <w:tcW w:w="2551" w:type="dxa"/>
            <w:vAlign w:val="center"/>
          </w:tcPr>
          <w:p w14:paraId="12D4D76E">
            <w:pPr>
              <w:pStyle w:val="11"/>
            </w:pPr>
            <w:r>
              <w:t>189.67</w:t>
            </w:r>
          </w:p>
        </w:tc>
        <w:tc>
          <w:tcPr>
            <w:tcW w:w="2551" w:type="dxa"/>
            <w:vAlign w:val="center"/>
          </w:tcPr>
          <w:p w14:paraId="3A31F965">
            <w:pPr>
              <w:pStyle w:val="11"/>
            </w:pPr>
            <w:r>
              <w:t>105.81</w:t>
            </w:r>
          </w:p>
        </w:tc>
        <w:tc>
          <w:tcPr>
            <w:tcW w:w="2551" w:type="dxa"/>
            <w:vAlign w:val="center"/>
          </w:tcPr>
          <w:p w14:paraId="49533453">
            <w:pPr>
              <w:pStyle w:val="11"/>
            </w:pPr>
            <w:r>
              <w:t>83.86</w:t>
            </w:r>
          </w:p>
        </w:tc>
      </w:tr>
    </w:tbl>
    <w:p w14:paraId="59A6DA96">
      <w:pPr>
        <w:sectPr>
          <w:pgSz w:w="16840" w:h="11900" w:orient="landscape"/>
          <w:pgMar w:top="1361" w:right="1020" w:bottom="1134" w:left="1020" w:header="720" w:footer="720" w:gutter="0"/>
          <w:cols w:space="720" w:num="1"/>
        </w:sectPr>
      </w:pPr>
    </w:p>
    <w:p w14:paraId="00F18A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3D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ABEC5B">
            <w:pPr>
              <w:pStyle w:val="9"/>
            </w:pPr>
            <w:r>
              <w:t>360014隆尧县县直幼儿园</w:t>
            </w:r>
          </w:p>
        </w:tc>
        <w:tc>
          <w:tcPr>
            <w:tcW w:w="2551" w:type="dxa"/>
            <w:tcBorders>
              <w:top w:val="single" w:color="FFFFFF" w:sz="6" w:space="0"/>
              <w:left w:val="single" w:color="FFFFFF" w:sz="6" w:space="0"/>
              <w:right w:val="single" w:color="FFFFFF" w:sz="6" w:space="0"/>
            </w:tcBorders>
            <w:vAlign w:val="center"/>
          </w:tcPr>
          <w:p w14:paraId="54E30D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CDA11C">
            <w:pPr>
              <w:pStyle w:val="7"/>
            </w:pPr>
            <w:r>
              <w:t>单位：万元</w:t>
            </w:r>
          </w:p>
        </w:tc>
      </w:tr>
      <w:tr w14:paraId="0519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2861F">
            <w:pPr>
              <w:pStyle w:val="10"/>
            </w:pPr>
            <w:r>
              <w:t>序号</w:t>
            </w:r>
          </w:p>
        </w:tc>
        <w:tc>
          <w:tcPr>
            <w:tcW w:w="5726" w:type="dxa"/>
            <w:gridSpan w:val="2"/>
            <w:vAlign w:val="center"/>
          </w:tcPr>
          <w:p w14:paraId="19F8A17B">
            <w:pPr>
              <w:pStyle w:val="10"/>
            </w:pPr>
            <w:r>
              <w:t>支出部门经济分类科目</w:t>
            </w:r>
          </w:p>
        </w:tc>
        <w:tc>
          <w:tcPr>
            <w:tcW w:w="7653" w:type="dxa"/>
            <w:gridSpan w:val="3"/>
            <w:vAlign w:val="center"/>
          </w:tcPr>
          <w:p w14:paraId="32506FFF">
            <w:pPr>
              <w:pStyle w:val="10"/>
            </w:pPr>
            <w:r>
              <w:t>一般公共预算基本支出</w:t>
            </w:r>
          </w:p>
        </w:tc>
      </w:tr>
      <w:tr w14:paraId="1181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1D7FFF"/>
        </w:tc>
        <w:tc>
          <w:tcPr>
            <w:tcW w:w="1191" w:type="dxa"/>
            <w:vAlign w:val="center"/>
          </w:tcPr>
          <w:p w14:paraId="175852A8">
            <w:pPr>
              <w:pStyle w:val="10"/>
            </w:pPr>
            <w:r>
              <w:t>科目编码</w:t>
            </w:r>
          </w:p>
        </w:tc>
        <w:tc>
          <w:tcPr>
            <w:tcW w:w="4535" w:type="dxa"/>
            <w:vAlign w:val="center"/>
          </w:tcPr>
          <w:p w14:paraId="0EAB2642">
            <w:pPr>
              <w:pStyle w:val="10"/>
            </w:pPr>
            <w:r>
              <w:t>科目名称</w:t>
            </w:r>
          </w:p>
        </w:tc>
        <w:tc>
          <w:tcPr>
            <w:tcW w:w="2551" w:type="dxa"/>
            <w:vAlign w:val="center"/>
          </w:tcPr>
          <w:p w14:paraId="3FD4DE8C">
            <w:pPr>
              <w:pStyle w:val="10"/>
            </w:pPr>
            <w:r>
              <w:t>合计</w:t>
            </w:r>
          </w:p>
        </w:tc>
        <w:tc>
          <w:tcPr>
            <w:tcW w:w="2551" w:type="dxa"/>
            <w:vAlign w:val="center"/>
          </w:tcPr>
          <w:p w14:paraId="32F88F0F">
            <w:pPr>
              <w:pStyle w:val="10"/>
            </w:pPr>
            <w:r>
              <w:t>人员经费</w:t>
            </w:r>
          </w:p>
        </w:tc>
        <w:tc>
          <w:tcPr>
            <w:tcW w:w="2551" w:type="dxa"/>
            <w:vAlign w:val="center"/>
          </w:tcPr>
          <w:p w14:paraId="7AFE4B72">
            <w:pPr>
              <w:pStyle w:val="10"/>
            </w:pPr>
            <w:r>
              <w:t>公用经费</w:t>
            </w:r>
          </w:p>
        </w:tc>
      </w:tr>
      <w:tr w14:paraId="0B89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9A6649">
            <w:pPr>
              <w:pStyle w:val="10"/>
            </w:pPr>
            <w:r>
              <w:t>栏次</w:t>
            </w:r>
          </w:p>
        </w:tc>
        <w:tc>
          <w:tcPr>
            <w:tcW w:w="1191" w:type="dxa"/>
            <w:vAlign w:val="center"/>
          </w:tcPr>
          <w:p w14:paraId="6748B3E5">
            <w:pPr>
              <w:pStyle w:val="10"/>
            </w:pPr>
            <w:r>
              <w:t>1</w:t>
            </w:r>
          </w:p>
        </w:tc>
        <w:tc>
          <w:tcPr>
            <w:tcW w:w="4535" w:type="dxa"/>
            <w:vAlign w:val="center"/>
          </w:tcPr>
          <w:p w14:paraId="5286E4A5">
            <w:pPr>
              <w:pStyle w:val="10"/>
            </w:pPr>
            <w:r>
              <w:t>2</w:t>
            </w:r>
          </w:p>
        </w:tc>
        <w:tc>
          <w:tcPr>
            <w:tcW w:w="2551" w:type="dxa"/>
            <w:vAlign w:val="center"/>
          </w:tcPr>
          <w:p w14:paraId="4A3FF991">
            <w:pPr>
              <w:pStyle w:val="10"/>
            </w:pPr>
            <w:r>
              <w:t>3</w:t>
            </w:r>
          </w:p>
        </w:tc>
        <w:tc>
          <w:tcPr>
            <w:tcW w:w="2551" w:type="dxa"/>
            <w:vAlign w:val="center"/>
          </w:tcPr>
          <w:p w14:paraId="6E62997C">
            <w:pPr>
              <w:pStyle w:val="10"/>
            </w:pPr>
            <w:r>
              <w:t>4</w:t>
            </w:r>
          </w:p>
        </w:tc>
        <w:tc>
          <w:tcPr>
            <w:tcW w:w="2551" w:type="dxa"/>
            <w:vAlign w:val="center"/>
          </w:tcPr>
          <w:p w14:paraId="56F49FFE">
            <w:pPr>
              <w:pStyle w:val="10"/>
            </w:pPr>
            <w:r>
              <w:t>5</w:t>
            </w:r>
          </w:p>
        </w:tc>
      </w:tr>
      <w:tr w14:paraId="7E00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A728">
            <w:pPr>
              <w:pStyle w:val="13"/>
            </w:pPr>
            <w:r>
              <w:t>1</w:t>
            </w:r>
          </w:p>
        </w:tc>
        <w:tc>
          <w:tcPr>
            <w:tcW w:w="1191" w:type="dxa"/>
            <w:vAlign w:val="center"/>
          </w:tcPr>
          <w:p w14:paraId="75331047">
            <w:pPr>
              <w:pStyle w:val="16"/>
            </w:pPr>
          </w:p>
        </w:tc>
        <w:tc>
          <w:tcPr>
            <w:tcW w:w="4535" w:type="dxa"/>
            <w:vAlign w:val="center"/>
          </w:tcPr>
          <w:p w14:paraId="745E233D">
            <w:pPr>
              <w:pStyle w:val="14"/>
            </w:pPr>
            <w:r>
              <w:t>合计</w:t>
            </w:r>
          </w:p>
        </w:tc>
        <w:tc>
          <w:tcPr>
            <w:tcW w:w="2551" w:type="dxa"/>
            <w:vAlign w:val="center"/>
          </w:tcPr>
          <w:p w14:paraId="0603D08F">
            <w:pPr>
              <w:pStyle w:val="15"/>
            </w:pPr>
            <w:r>
              <w:t>105.81</w:t>
            </w:r>
          </w:p>
        </w:tc>
        <w:tc>
          <w:tcPr>
            <w:tcW w:w="2551" w:type="dxa"/>
            <w:vAlign w:val="center"/>
          </w:tcPr>
          <w:p w14:paraId="7EEB7D50">
            <w:pPr>
              <w:pStyle w:val="15"/>
            </w:pPr>
            <w:r>
              <w:t>105.81</w:t>
            </w:r>
          </w:p>
        </w:tc>
        <w:tc>
          <w:tcPr>
            <w:tcW w:w="2551" w:type="dxa"/>
            <w:vAlign w:val="center"/>
          </w:tcPr>
          <w:p w14:paraId="7B2B03B8">
            <w:pPr>
              <w:pStyle w:val="15"/>
            </w:pPr>
          </w:p>
        </w:tc>
      </w:tr>
      <w:tr w14:paraId="437A8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3D1E5">
            <w:pPr>
              <w:pStyle w:val="13"/>
            </w:pPr>
            <w:r>
              <w:t>2</w:t>
            </w:r>
          </w:p>
        </w:tc>
        <w:tc>
          <w:tcPr>
            <w:tcW w:w="1191" w:type="dxa"/>
            <w:vAlign w:val="center"/>
          </w:tcPr>
          <w:p w14:paraId="255B3088">
            <w:pPr>
              <w:pStyle w:val="12"/>
            </w:pPr>
            <w:r>
              <w:t>301</w:t>
            </w:r>
          </w:p>
        </w:tc>
        <w:tc>
          <w:tcPr>
            <w:tcW w:w="4535" w:type="dxa"/>
            <w:vAlign w:val="center"/>
          </w:tcPr>
          <w:p w14:paraId="40CC8789">
            <w:pPr>
              <w:pStyle w:val="12"/>
            </w:pPr>
            <w:r>
              <w:t>工资福利支出</w:t>
            </w:r>
          </w:p>
        </w:tc>
        <w:tc>
          <w:tcPr>
            <w:tcW w:w="2551" w:type="dxa"/>
            <w:vAlign w:val="center"/>
          </w:tcPr>
          <w:p w14:paraId="3D4A9CCD">
            <w:pPr>
              <w:pStyle w:val="11"/>
            </w:pPr>
            <w:r>
              <w:t>105.81</w:t>
            </w:r>
          </w:p>
        </w:tc>
        <w:tc>
          <w:tcPr>
            <w:tcW w:w="2551" w:type="dxa"/>
            <w:vAlign w:val="center"/>
          </w:tcPr>
          <w:p w14:paraId="44C66BA3">
            <w:pPr>
              <w:pStyle w:val="11"/>
            </w:pPr>
            <w:r>
              <w:t>105.81</w:t>
            </w:r>
          </w:p>
        </w:tc>
        <w:tc>
          <w:tcPr>
            <w:tcW w:w="2551" w:type="dxa"/>
            <w:vAlign w:val="center"/>
          </w:tcPr>
          <w:p w14:paraId="3C3824E5">
            <w:pPr>
              <w:pStyle w:val="11"/>
            </w:pPr>
          </w:p>
        </w:tc>
      </w:tr>
      <w:tr w14:paraId="3609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89361">
            <w:pPr>
              <w:pStyle w:val="13"/>
            </w:pPr>
            <w:r>
              <w:t>3</w:t>
            </w:r>
          </w:p>
        </w:tc>
        <w:tc>
          <w:tcPr>
            <w:tcW w:w="1191" w:type="dxa"/>
            <w:vAlign w:val="center"/>
          </w:tcPr>
          <w:p w14:paraId="09F428E5">
            <w:pPr>
              <w:pStyle w:val="12"/>
            </w:pPr>
            <w:r>
              <w:t>30101</w:t>
            </w:r>
          </w:p>
        </w:tc>
        <w:tc>
          <w:tcPr>
            <w:tcW w:w="4535" w:type="dxa"/>
            <w:vAlign w:val="center"/>
          </w:tcPr>
          <w:p w14:paraId="2714BD67">
            <w:pPr>
              <w:pStyle w:val="12"/>
            </w:pPr>
            <w:r>
              <w:t>基本工资</w:t>
            </w:r>
          </w:p>
        </w:tc>
        <w:tc>
          <w:tcPr>
            <w:tcW w:w="2551" w:type="dxa"/>
            <w:vAlign w:val="center"/>
          </w:tcPr>
          <w:p w14:paraId="10DB037D">
            <w:pPr>
              <w:pStyle w:val="11"/>
            </w:pPr>
            <w:r>
              <w:t>43.77</w:t>
            </w:r>
          </w:p>
        </w:tc>
        <w:tc>
          <w:tcPr>
            <w:tcW w:w="2551" w:type="dxa"/>
            <w:vAlign w:val="center"/>
          </w:tcPr>
          <w:p w14:paraId="367961CC">
            <w:pPr>
              <w:pStyle w:val="11"/>
            </w:pPr>
            <w:r>
              <w:t>43.77</w:t>
            </w:r>
          </w:p>
        </w:tc>
        <w:tc>
          <w:tcPr>
            <w:tcW w:w="2551" w:type="dxa"/>
            <w:vAlign w:val="center"/>
          </w:tcPr>
          <w:p w14:paraId="3F3C76C0">
            <w:pPr>
              <w:pStyle w:val="11"/>
            </w:pPr>
          </w:p>
        </w:tc>
      </w:tr>
      <w:tr w14:paraId="6C9F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1DFF3">
            <w:pPr>
              <w:pStyle w:val="13"/>
            </w:pPr>
            <w:r>
              <w:t>4</w:t>
            </w:r>
          </w:p>
        </w:tc>
        <w:tc>
          <w:tcPr>
            <w:tcW w:w="1191" w:type="dxa"/>
            <w:vAlign w:val="center"/>
          </w:tcPr>
          <w:p w14:paraId="59950549">
            <w:pPr>
              <w:pStyle w:val="12"/>
            </w:pPr>
            <w:r>
              <w:t>30102</w:t>
            </w:r>
          </w:p>
        </w:tc>
        <w:tc>
          <w:tcPr>
            <w:tcW w:w="4535" w:type="dxa"/>
            <w:vAlign w:val="center"/>
          </w:tcPr>
          <w:p w14:paraId="464A108B">
            <w:pPr>
              <w:pStyle w:val="12"/>
            </w:pPr>
            <w:r>
              <w:t>津贴补贴</w:t>
            </w:r>
          </w:p>
        </w:tc>
        <w:tc>
          <w:tcPr>
            <w:tcW w:w="2551" w:type="dxa"/>
            <w:vAlign w:val="center"/>
          </w:tcPr>
          <w:p w14:paraId="67ABF1B2">
            <w:pPr>
              <w:pStyle w:val="11"/>
            </w:pPr>
            <w:r>
              <w:t>1.94</w:t>
            </w:r>
          </w:p>
        </w:tc>
        <w:tc>
          <w:tcPr>
            <w:tcW w:w="2551" w:type="dxa"/>
            <w:vAlign w:val="center"/>
          </w:tcPr>
          <w:p w14:paraId="35CE0686">
            <w:pPr>
              <w:pStyle w:val="11"/>
            </w:pPr>
            <w:r>
              <w:t>1.94</w:t>
            </w:r>
          </w:p>
        </w:tc>
        <w:tc>
          <w:tcPr>
            <w:tcW w:w="2551" w:type="dxa"/>
            <w:vAlign w:val="center"/>
          </w:tcPr>
          <w:p w14:paraId="1774B503">
            <w:pPr>
              <w:pStyle w:val="11"/>
            </w:pPr>
          </w:p>
        </w:tc>
      </w:tr>
      <w:tr w14:paraId="6FFBA445">
        <w:tblPrEx>
          <w:tblCellMar>
            <w:top w:w="0" w:type="dxa"/>
            <w:left w:w="108" w:type="dxa"/>
            <w:bottom w:w="0" w:type="dxa"/>
            <w:right w:w="108" w:type="dxa"/>
          </w:tblCellMar>
        </w:tblPrEx>
        <w:trPr>
          <w:trHeight w:val="369" w:hRule="atLeast"/>
          <w:jc w:val="center"/>
        </w:trPr>
        <w:tc>
          <w:tcPr>
            <w:tcW w:w="850" w:type="dxa"/>
            <w:vAlign w:val="center"/>
          </w:tcPr>
          <w:p w14:paraId="61266758">
            <w:pPr>
              <w:pStyle w:val="13"/>
            </w:pPr>
            <w:r>
              <w:t>5</w:t>
            </w:r>
          </w:p>
        </w:tc>
        <w:tc>
          <w:tcPr>
            <w:tcW w:w="1191" w:type="dxa"/>
            <w:vAlign w:val="center"/>
          </w:tcPr>
          <w:p w14:paraId="01D43377">
            <w:pPr>
              <w:pStyle w:val="12"/>
            </w:pPr>
            <w:r>
              <w:t>30107</w:t>
            </w:r>
          </w:p>
        </w:tc>
        <w:tc>
          <w:tcPr>
            <w:tcW w:w="4535" w:type="dxa"/>
            <w:vAlign w:val="center"/>
          </w:tcPr>
          <w:p w14:paraId="443FDB61">
            <w:pPr>
              <w:pStyle w:val="12"/>
            </w:pPr>
            <w:r>
              <w:t>绩效工资</w:t>
            </w:r>
          </w:p>
        </w:tc>
        <w:tc>
          <w:tcPr>
            <w:tcW w:w="2551" w:type="dxa"/>
            <w:vAlign w:val="center"/>
          </w:tcPr>
          <w:p w14:paraId="53CE958B">
            <w:pPr>
              <w:pStyle w:val="11"/>
            </w:pPr>
            <w:r>
              <w:t>32.99</w:t>
            </w:r>
          </w:p>
        </w:tc>
        <w:tc>
          <w:tcPr>
            <w:tcW w:w="2551" w:type="dxa"/>
            <w:vAlign w:val="center"/>
          </w:tcPr>
          <w:p w14:paraId="44C16FE5">
            <w:pPr>
              <w:pStyle w:val="11"/>
            </w:pPr>
            <w:r>
              <w:t>32.99</w:t>
            </w:r>
          </w:p>
        </w:tc>
        <w:tc>
          <w:tcPr>
            <w:tcW w:w="2551" w:type="dxa"/>
            <w:vAlign w:val="center"/>
          </w:tcPr>
          <w:p w14:paraId="460DA27B">
            <w:pPr>
              <w:pStyle w:val="11"/>
            </w:pPr>
          </w:p>
        </w:tc>
      </w:tr>
      <w:tr w14:paraId="0D3962C2">
        <w:tblPrEx>
          <w:tblCellMar>
            <w:top w:w="0" w:type="dxa"/>
            <w:left w:w="108" w:type="dxa"/>
            <w:bottom w:w="0" w:type="dxa"/>
            <w:right w:w="108" w:type="dxa"/>
          </w:tblCellMar>
        </w:tblPrEx>
        <w:trPr>
          <w:trHeight w:val="369" w:hRule="atLeast"/>
          <w:jc w:val="center"/>
        </w:trPr>
        <w:tc>
          <w:tcPr>
            <w:tcW w:w="850" w:type="dxa"/>
            <w:vAlign w:val="center"/>
          </w:tcPr>
          <w:p w14:paraId="0FE81A83">
            <w:pPr>
              <w:pStyle w:val="13"/>
            </w:pPr>
            <w:r>
              <w:t>6</w:t>
            </w:r>
          </w:p>
        </w:tc>
        <w:tc>
          <w:tcPr>
            <w:tcW w:w="1191" w:type="dxa"/>
            <w:vAlign w:val="center"/>
          </w:tcPr>
          <w:p w14:paraId="3233C2C6">
            <w:pPr>
              <w:pStyle w:val="12"/>
            </w:pPr>
            <w:r>
              <w:t>30108</w:t>
            </w:r>
          </w:p>
        </w:tc>
        <w:tc>
          <w:tcPr>
            <w:tcW w:w="4535" w:type="dxa"/>
            <w:vAlign w:val="center"/>
          </w:tcPr>
          <w:p w14:paraId="015AC00D">
            <w:pPr>
              <w:pStyle w:val="12"/>
            </w:pPr>
            <w:r>
              <w:t>机关事业单位基本养老保险缴费</w:t>
            </w:r>
          </w:p>
        </w:tc>
        <w:tc>
          <w:tcPr>
            <w:tcW w:w="2551" w:type="dxa"/>
            <w:vAlign w:val="center"/>
          </w:tcPr>
          <w:p w14:paraId="3C6C07C7">
            <w:pPr>
              <w:pStyle w:val="11"/>
            </w:pPr>
            <w:r>
              <w:t>11.40</w:t>
            </w:r>
          </w:p>
        </w:tc>
        <w:tc>
          <w:tcPr>
            <w:tcW w:w="2551" w:type="dxa"/>
            <w:vAlign w:val="center"/>
          </w:tcPr>
          <w:p w14:paraId="513CAC14">
            <w:pPr>
              <w:pStyle w:val="11"/>
            </w:pPr>
            <w:r>
              <w:t>11.40</w:t>
            </w:r>
          </w:p>
        </w:tc>
        <w:tc>
          <w:tcPr>
            <w:tcW w:w="2551" w:type="dxa"/>
            <w:vAlign w:val="center"/>
          </w:tcPr>
          <w:p w14:paraId="5B64A441">
            <w:pPr>
              <w:pStyle w:val="11"/>
            </w:pPr>
          </w:p>
        </w:tc>
      </w:tr>
      <w:tr w14:paraId="3E78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1DD60">
            <w:pPr>
              <w:pStyle w:val="13"/>
            </w:pPr>
            <w:r>
              <w:t>7</w:t>
            </w:r>
          </w:p>
        </w:tc>
        <w:tc>
          <w:tcPr>
            <w:tcW w:w="1191" w:type="dxa"/>
            <w:vAlign w:val="center"/>
          </w:tcPr>
          <w:p w14:paraId="62000F85">
            <w:pPr>
              <w:pStyle w:val="12"/>
            </w:pPr>
            <w:r>
              <w:t>30110</w:t>
            </w:r>
          </w:p>
        </w:tc>
        <w:tc>
          <w:tcPr>
            <w:tcW w:w="4535" w:type="dxa"/>
            <w:vAlign w:val="center"/>
          </w:tcPr>
          <w:p w14:paraId="0C068E11">
            <w:pPr>
              <w:pStyle w:val="12"/>
            </w:pPr>
            <w:r>
              <w:t>职工基本医疗保险缴费</w:t>
            </w:r>
          </w:p>
        </w:tc>
        <w:tc>
          <w:tcPr>
            <w:tcW w:w="2551" w:type="dxa"/>
            <w:vAlign w:val="center"/>
          </w:tcPr>
          <w:p w14:paraId="354FADFA">
            <w:pPr>
              <w:pStyle w:val="11"/>
            </w:pPr>
            <w:r>
              <w:t>6.55</w:t>
            </w:r>
          </w:p>
        </w:tc>
        <w:tc>
          <w:tcPr>
            <w:tcW w:w="2551" w:type="dxa"/>
            <w:vAlign w:val="center"/>
          </w:tcPr>
          <w:p w14:paraId="57320B46">
            <w:pPr>
              <w:pStyle w:val="11"/>
            </w:pPr>
            <w:r>
              <w:t>6.55</w:t>
            </w:r>
          </w:p>
        </w:tc>
        <w:tc>
          <w:tcPr>
            <w:tcW w:w="2551" w:type="dxa"/>
            <w:vAlign w:val="center"/>
          </w:tcPr>
          <w:p w14:paraId="42DFF24E">
            <w:pPr>
              <w:pStyle w:val="11"/>
            </w:pPr>
          </w:p>
        </w:tc>
      </w:tr>
      <w:tr w14:paraId="678C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096BE">
            <w:pPr>
              <w:pStyle w:val="13"/>
            </w:pPr>
            <w:r>
              <w:t>8</w:t>
            </w:r>
          </w:p>
        </w:tc>
        <w:tc>
          <w:tcPr>
            <w:tcW w:w="1191" w:type="dxa"/>
            <w:vAlign w:val="center"/>
          </w:tcPr>
          <w:p w14:paraId="12BA7381">
            <w:pPr>
              <w:pStyle w:val="12"/>
            </w:pPr>
            <w:r>
              <w:t>30112</w:t>
            </w:r>
          </w:p>
        </w:tc>
        <w:tc>
          <w:tcPr>
            <w:tcW w:w="4535" w:type="dxa"/>
            <w:vAlign w:val="center"/>
          </w:tcPr>
          <w:p w14:paraId="74E18C51">
            <w:pPr>
              <w:pStyle w:val="12"/>
            </w:pPr>
            <w:r>
              <w:t>其他社会保障缴费</w:t>
            </w:r>
          </w:p>
        </w:tc>
        <w:tc>
          <w:tcPr>
            <w:tcW w:w="2551" w:type="dxa"/>
            <w:vAlign w:val="center"/>
          </w:tcPr>
          <w:p w14:paraId="3F1CCDEE">
            <w:pPr>
              <w:pStyle w:val="11"/>
            </w:pPr>
            <w:r>
              <w:t>0.97</w:t>
            </w:r>
          </w:p>
        </w:tc>
        <w:tc>
          <w:tcPr>
            <w:tcW w:w="2551" w:type="dxa"/>
            <w:vAlign w:val="center"/>
          </w:tcPr>
          <w:p w14:paraId="78E39C38">
            <w:pPr>
              <w:pStyle w:val="11"/>
            </w:pPr>
            <w:r>
              <w:t>0.97</w:t>
            </w:r>
          </w:p>
        </w:tc>
        <w:tc>
          <w:tcPr>
            <w:tcW w:w="2551" w:type="dxa"/>
            <w:vAlign w:val="center"/>
          </w:tcPr>
          <w:p w14:paraId="674DE986">
            <w:pPr>
              <w:pStyle w:val="11"/>
            </w:pPr>
          </w:p>
        </w:tc>
      </w:tr>
      <w:tr w14:paraId="0474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08A71">
            <w:pPr>
              <w:pStyle w:val="13"/>
            </w:pPr>
            <w:r>
              <w:t>9</w:t>
            </w:r>
          </w:p>
        </w:tc>
        <w:tc>
          <w:tcPr>
            <w:tcW w:w="1191" w:type="dxa"/>
            <w:vAlign w:val="center"/>
          </w:tcPr>
          <w:p w14:paraId="3745F18A">
            <w:pPr>
              <w:pStyle w:val="12"/>
            </w:pPr>
            <w:r>
              <w:t>30113</w:t>
            </w:r>
          </w:p>
        </w:tc>
        <w:tc>
          <w:tcPr>
            <w:tcW w:w="4535" w:type="dxa"/>
            <w:vAlign w:val="center"/>
          </w:tcPr>
          <w:p w14:paraId="3D3A91A5">
            <w:pPr>
              <w:pStyle w:val="12"/>
            </w:pPr>
            <w:r>
              <w:t>住房公积金</w:t>
            </w:r>
          </w:p>
        </w:tc>
        <w:tc>
          <w:tcPr>
            <w:tcW w:w="2551" w:type="dxa"/>
            <w:vAlign w:val="center"/>
          </w:tcPr>
          <w:p w14:paraId="6FE3DCD4">
            <w:pPr>
              <w:pStyle w:val="11"/>
            </w:pPr>
            <w:r>
              <w:t>8.19</w:t>
            </w:r>
          </w:p>
        </w:tc>
        <w:tc>
          <w:tcPr>
            <w:tcW w:w="2551" w:type="dxa"/>
            <w:vAlign w:val="center"/>
          </w:tcPr>
          <w:p w14:paraId="23E20CE9">
            <w:pPr>
              <w:pStyle w:val="11"/>
            </w:pPr>
            <w:r>
              <w:t>8.19</w:t>
            </w:r>
          </w:p>
        </w:tc>
        <w:tc>
          <w:tcPr>
            <w:tcW w:w="2551" w:type="dxa"/>
            <w:vAlign w:val="center"/>
          </w:tcPr>
          <w:p w14:paraId="605BF7C3">
            <w:pPr>
              <w:pStyle w:val="11"/>
            </w:pPr>
          </w:p>
        </w:tc>
      </w:tr>
    </w:tbl>
    <w:p w14:paraId="226A091A">
      <w:pPr>
        <w:sectPr>
          <w:pgSz w:w="16840" w:h="11900" w:orient="landscape"/>
          <w:pgMar w:top="1361" w:right="1020" w:bottom="1134" w:left="1020" w:header="720" w:footer="720" w:gutter="0"/>
          <w:cols w:space="720" w:num="1"/>
        </w:sectPr>
      </w:pPr>
    </w:p>
    <w:p w14:paraId="49D143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A5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97BFD3">
            <w:pPr>
              <w:pStyle w:val="9"/>
            </w:pPr>
            <w:r>
              <w:t>360014隆尧县县直幼儿园</w:t>
            </w:r>
          </w:p>
        </w:tc>
        <w:tc>
          <w:tcPr>
            <w:tcW w:w="2551" w:type="dxa"/>
            <w:tcBorders>
              <w:top w:val="single" w:color="FFFFFF" w:sz="6" w:space="0"/>
              <w:left w:val="single" w:color="FFFFFF" w:sz="6" w:space="0"/>
              <w:right w:val="single" w:color="FFFFFF" w:sz="6" w:space="0"/>
            </w:tcBorders>
            <w:vAlign w:val="center"/>
          </w:tcPr>
          <w:p w14:paraId="0ABDC4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1FFEE6">
            <w:pPr>
              <w:pStyle w:val="7"/>
            </w:pPr>
            <w:r>
              <w:t>单位：万元</w:t>
            </w:r>
          </w:p>
        </w:tc>
      </w:tr>
      <w:tr w14:paraId="7AC2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69963C">
            <w:pPr>
              <w:pStyle w:val="10"/>
            </w:pPr>
            <w:r>
              <w:t>序号</w:t>
            </w:r>
          </w:p>
        </w:tc>
        <w:tc>
          <w:tcPr>
            <w:tcW w:w="5726" w:type="dxa"/>
            <w:gridSpan w:val="2"/>
            <w:vAlign w:val="center"/>
          </w:tcPr>
          <w:p w14:paraId="516ABEF2">
            <w:pPr>
              <w:pStyle w:val="10"/>
            </w:pPr>
            <w:r>
              <w:t>功能分类科目</w:t>
            </w:r>
          </w:p>
        </w:tc>
        <w:tc>
          <w:tcPr>
            <w:tcW w:w="2551" w:type="dxa"/>
            <w:vMerge w:val="restart"/>
            <w:vAlign w:val="center"/>
          </w:tcPr>
          <w:p w14:paraId="68100EA0">
            <w:pPr>
              <w:pStyle w:val="10"/>
            </w:pPr>
            <w:r>
              <w:t>合计</w:t>
            </w:r>
          </w:p>
        </w:tc>
        <w:tc>
          <w:tcPr>
            <w:tcW w:w="2551" w:type="dxa"/>
            <w:vMerge w:val="restart"/>
            <w:vAlign w:val="center"/>
          </w:tcPr>
          <w:p w14:paraId="0FDD14CC">
            <w:pPr>
              <w:pStyle w:val="10"/>
            </w:pPr>
            <w:r>
              <w:t>基本支出</w:t>
            </w:r>
          </w:p>
        </w:tc>
        <w:tc>
          <w:tcPr>
            <w:tcW w:w="2551" w:type="dxa"/>
            <w:vMerge w:val="restart"/>
            <w:vAlign w:val="center"/>
          </w:tcPr>
          <w:p w14:paraId="39B7D317">
            <w:pPr>
              <w:pStyle w:val="10"/>
            </w:pPr>
            <w:r>
              <w:t>项目支出</w:t>
            </w:r>
          </w:p>
        </w:tc>
      </w:tr>
      <w:tr w14:paraId="0311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4D65C"/>
        </w:tc>
        <w:tc>
          <w:tcPr>
            <w:tcW w:w="1191" w:type="dxa"/>
            <w:vAlign w:val="center"/>
          </w:tcPr>
          <w:p w14:paraId="7F195BA6">
            <w:pPr>
              <w:pStyle w:val="10"/>
            </w:pPr>
            <w:r>
              <w:t>科目编码</w:t>
            </w:r>
          </w:p>
        </w:tc>
        <w:tc>
          <w:tcPr>
            <w:tcW w:w="4535" w:type="dxa"/>
            <w:vAlign w:val="center"/>
          </w:tcPr>
          <w:p w14:paraId="6DEC77F4">
            <w:pPr>
              <w:pStyle w:val="10"/>
            </w:pPr>
            <w:r>
              <w:t>科目名称</w:t>
            </w:r>
          </w:p>
        </w:tc>
        <w:tc>
          <w:tcPr>
            <w:tcW w:w="2551" w:type="dxa"/>
            <w:vMerge w:val="continue"/>
          </w:tcPr>
          <w:p w14:paraId="62DDAE2C"/>
        </w:tc>
        <w:tc>
          <w:tcPr>
            <w:tcW w:w="2551" w:type="dxa"/>
            <w:vMerge w:val="continue"/>
          </w:tcPr>
          <w:p w14:paraId="0ADC9662"/>
        </w:tc>
        <w:tc>
          <w:tcPr>
            <w:tcW w:w="2551" w:type="dxa"/>
            <w:vMerge w:val="continue"/>
          </w:tcPr>
          <w:p w14:paraId="15A00598"/>
        </w:tc>
      </w:tr>
      <w:tr w14:paraId="0D96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8EBAE">
            <w:pPr>
              <w:pStyle w:val="10"/>
            </w:pPr>
            <w:r>
              <w:t>栏次</w:t>
            </w:r>
          </w:p>
        </w:tc>
        <w:tc>
          <w:tcPr>
            <w:tcW w:w="1191" w:type="dxa"/>
            <w:vAlign w:val="center"/>
          </w:tcPr>
          <w:p w14:paraId="0A6A48CC">
            <w:pPr>
              <w:pStyle w:val="10"/>
            </w:pPr>
            <w:r>
              <w:t>1</w:t>
            </w:r>
          </w:p>
        </w:tc>
        <w:tc>
          <w:tcPr>
            <w:tcW w:w="4535" w:type="dxa"/>
            <w:vAlign w:val="center"/>
          </w:tcPr>
          <w:p w14:paraId="2763C307">
            <w:pPr>
              <w:pStyle w:val="10"/>
            </w:pPr>
            <w:r>
              <w:t>2</w:t>
            </w:r>
          </w:p>
        </w:tc>
        <w:tc>
          <w:tcPr>
            <w:tcW w:w="2551" w:type="dxa"/>
            <w:vAlign w:val="center"/>
          </w:tcPr>
          <w:p w14:paraId="51F2AFF7">
            <w:pPr>
              <w:pStyle w:val="10"/>
            </w:pPr>
            <w:r>
              <w:t>3</w:t>
            </w:r>
          </w:p>
        </w:tc>
        <w:tc>
          <w:tcPr>
            <w:tcW w:w="2551" w:type="dxa"/>
            <w:vAlign w:val="center"/>
          </w:tcPr>
          <w:p w14:paraId="19A74A4C">
            <w:pPr>
              <w:pStyle w:val="10"/>
            </w:pPr>
            <w:r>
              <w:t>4</w:t>
            </w:r>
          </w:p>
        </w:tc>
        <w:tc>
          <w:tcPr>
            <w:tcW w:w="2551" w:type="dxa"/>
            <w:vAlign w:val="center"/>
          </w:tcPr>
          <w:p w14:paraId="6D90CB70">
            <w:pPr>
              <w:pStyle w:val="10"/>
            </w:pPr>
            <w:r>
              <w:t>5</w:t>
            </w:r>
          </w:p>
        </w:tc>
      </w:tr>
      <w:tr w14:paraId="0910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2BEB">
            <w:pPr>
              <w:pStyle w:val="13"/>
            </w:pPr>
          </w:p>
        </w:tc>
        <w:tc>
          <w:tcPr>
            <w:tcW w:w="1191" w:type="dxa"/>
            <w:vAlign w:val="center"/>
          </w:tcPr>
          <w:p w14:paraId="76751282">
            <w:pPr>
              <w:pStyle w:val="12"/>
            </w:pPr>
          </w:p>
        </w:tc>
        <w:tc>
          <w:tcPr>
            <w:tcW w:w="4535" w:type="dxa"/>
            <w:vAlign w:val="center"/>
          </w:tcPr>
          <w:p w14:paraId="00115EDF">
            <w:pPr>
              <w:pStyle w:val="12"/>
            </w:pPr>
          </w:p>
        </w:tc>
        <w:tc>
          <w:tcPr>
            <w:tcW w:w="2551" w:type="dxa"/>
            <w:vAlign w:val="center"/>
          </w:tcPr>
          <w:p w14:paraId="0B3CE66F">
            <w:pPr>
              <w:pStyle w:val="11"/>
            </w:pPr>
          </w:p>
        </w:tc>
        <w:tc>
          <w:tcPr>
            <w:tcW w:w="2551" w:type="dxa"/>
            <w:vAlign w:val="center"/>
          </w:tcPr>
          <w:p w14:paraId="14BC2CBE">
            <w:pPr>
              <w:pStyle w:val="11"/>
            </w:pPr>
          </w:p>
        </w:tc>
        <w:tc>
          <w:tcPr>
            <w:tcW w:w="2551" w:type="dxa"/>
            <w:vAlign w:val="center"/>
          </w:tcPr>
          <w:p w14:paraId="747B0EB5">
            <w:pPr>
              <w:pStyle w:val="11"/>
            </w:pPr>
          </w:p>
        </w:tc>
      </w:tr>
    </w:tbl>
    <w:p w14:paraId="50D814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D6429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B9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B5EEF4">
            <w:pPr>
              <w:pStyle w:val="9"/>
            </w:pPr>
            <w:r>
              <w:t>360014隆尧县县直幼儿园</w:t>
            </w:r>
          </w:p>
        </w:tc>
        <w:tc>
          <w:tcPr>
            <w:tcW w:w="2551" w:type="dxa"/>
            <w:tcBorders>
              <w:top w:val="single" w:color="FFFFFF" w:sz="6" w:space="0"/>
              <w:left w:val="single" w:color="FFFFFF" w:sz="6" w:space="0"/>
              <w:right w:val="single" w:color="FFFFFF" w:sz="6" w:space="0"/>
            </w:tcBorders>
            <w:vAlign w:val="center"/>
          </w:tcPr>
          <w:p w14:paraId="7E35CF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F700C6">
            <w:pPr>
              <w:pStyle w:val="7"/>
            </w:pPr>
            <w:r>
              <w:t>单位：万元</w:t>
            </w:r>
          </w:p>
        </w:tc>
      </w:tr>
      <w:tr w14:paraId="2915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EA40E">
            <w:pPr>
              <w:pStyle w:val="10"/>
            </w:pPr>
            <w:r>
              <w:t>序号</w:t>
            </w:r>
          </w:p>
        </w:tc>
        <w:tc>
          <w:tcPr>
            <w:tcW w:w="5726" w:type="dxa"/>
            <w:gridSpan w:val="2"/>
            <w:vAlign w:val="center"/>
          </w:tcPr>
          <w:p w14:paraId="3B878839">
            <w:pPr>
              <w:pStyle w:val="10"/>
            </w:pPr>
            <w:r>
              <w:t>功能分类科目</w:t>
            </w:r>
          </w:p>
        </w:tc>
        <w:tc>
          <w:tcPr>
            <w:tcW w:w="2551" w:type="dxa"/>
            <w:vMerge w:val="restart"/>
            <w:vAlign w:val="center"/>
          </w:tcPr>
          <w:p w14:paraId="792E41FE">
            <w:pPr>
              <w:pStyle w:val="10"/>
            </w:pPr>
            <w:r>
              <w:t>合计</w:t>
            </w:r>
          </w:p>
        </w:tc>
        <w:tc>
          <w:tcPr>
            <w:tcW w:w="2551" w:type="dxa"/>
            <w:vMerge w:val="restart"/>
            <w:vAlign w:val="center"/>
          </w:tcPr>
          <w:p w14:paraId="49E8F15D">
            <w:pPr>
              <w:pStyle w:val="10"/>
            </w:pPr>
            <w:r>
              <w:t>基本支出</w:t>
            </w:r>
          </w:p>
        </w:tc>
        <w:tc>
          <w:tcPr>
            <w:tcW w:w="2551" w:type="dxa"/>
            <w:vMerge w:val="restart"/>
            <w:vAlign w:val="center"/>
          </w:tcPr>
          <w:p w14:paraId="1EE5F683">
            <w:pPr>
              <w:pStyle w:val="10"/>
            </w:pPr>
            <w:r>
              <w:t>项目支出</w:t>
            </w:r>
          </w:p>
        </w:tc>
      </w:tr>
      <w:tr w14:paraId="4709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DE449"/>
        </w:tc>
        <w:tc>
          <w:tcPr>
            <w:tcW w:w="1191" w:type="dxa"/>
            <w:vAlign w:val="center"/>
          </w:tcPr>
          <w:p w14:paraId="5936607D">
            <w:pPr>
              <w:pStyle w:val="10"/>
            </w:pPr>
            <w:r>
              <w:t>科目编码</w:t>
            </w:r>
          </w:p>
        </w:tc>
        <w:tc>
          <w:tcPr>
            <w:tcW w:w="4535" w:type="dxa"/>
            <w:vAlign w:val="center"/>
          </w:tcPr>
          <w:p w14:paraId="4EE4C3B2">
            <w:pPr>
              <w:pStyle w:val="10"/>
            </w:pPr>
            <w:r>
              <w:t>科目名称</w:t>
            </w:r>
          </w:p>
        </w:tc>
        <w:tc>
          <w:tcPr>
            <w:tcW w:w="2551" w:type="dxa"/>
            <w:vMerge w:val="continue"/>
          </w:tcPr>
          <w:p w14:paraId="04F0C6CE"/>
        </w:tc>
        <w:tc>
          <w:tcPr>
            <w:tcW w:w="2551" w:type="dxa"/>
            <w:vMerge w:val="continue"/>
          </w:tcPr>
          <w:p w14:paraId="0E96A551"/>
        </w:tc>
        <w:tc>
          <w:tcPr>
            <w:tcW w:w="2551" w:type="dxa"/>
            <w:vMerge w:val="continue"/>
          </w:tcPr>
          <w:p w14:paraId="4469AEE5"/>
        </w:tc>
      </w:tr>
      <w:tr w14:paraId="5E3F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57596F">
            <w:pPr>
              <w:pStyle w:val="10"/>
            </w:pPr>
            <w:r>
              <w:t>栏次</w:t>
            </w:r>
          </w:p>
        </w:tc>
        <w:tc>
          <w:tcPr>
            <w:tcW w:w="1191" w:type="dxa"/>
            <w:vAlign w:val="center"/>
          </w:tcPr>
          <w:p w14:paraId="43C1991C">
            <w:pPr>
              <w:pStyle w:val="10"/>
            </w:pPr>
            <w:r>
              <w:t>1</w:t>
            </w:r>
          </w:p>
        </w:tc>
        <w:tc>
          <w:tcPr>
            <w:tcW w:w="4535" w:type="dxa"/>
            <w:vAlign w:val="center"/>
          </w:tcPr>
          <w:p w14:paraId="12B6E6F1">
            <w:pPr>
              <w:pStyle w:val="10"/>
            </w:pPr>
            <w:r>
              <w:t>2</w:t>
            </w:r>
          </w:p>
        </w:tc>
        <w:tc>
          <w:tcPr>
            <w:tcW w:w="2551" w:type="dxa"/>
            <w:vAlign w:val="center"/>
          </w:tcPr>
          <w:p w14:paraId="608A835B">
            <w:pPr>
              <w:pStyle w:val="10"/>
            </w:pPr>
            <w:r>
              <w:t>3</w:t>
            </w:r>
          </w:p>
        </w:tc>
        <w:tc>
          <w:tcPr>
            <w:tcW w:w="2551" w:type="dxa"/>
            <w:vAlign w:val="center"/>
          </w:tcPr>
          <w:p w14:paraId="4D6A44BE">
            <w:pPr>
              <w:pStyle w:val="10"/>
            </w:pPr>
            <w:r>
              <w:t>4</w:t>
            </w:r>
          </w:p>
        </w:tc>
        <w:tc>
          <w:tcPr>
            <w:tcW w:w="2551" w:type="dxa"/>
            <w:vAlign w:val="center"/>
          </w:tcPr>
          <w:p w14:paraId="2298E42F">
            <w:pPr>
              <w:pStyle w:val="10"/>
            </w:pPr>
            <w:r>
              <w:t>5</w:t>
            </w:r>
          </w:p>
        </w:tc>
      </w:tr>
      <w:tr w14:paraId="324A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B00C">
            <w:pPr>
              <w:pStyle w:val="13"/>
            </w:pPr>
          </w:p>
        </w:tc>
        <w:tc>
          <w:tcPr>
            <w:tcW w:w="1191" w:type="dxa"/>
            <w:vAlign w:val="center"/>
          </w:tcPr>
          <w:p w14:paraId="616AEAA0">
            <w:pPr>
              <w:pStyle w:val="12"/>
            </w:pPr>
          </w:p>
        </w:tc>
        <w:tc>
          <w:tcPr>
            <w:tcW w:w="4535" w:type="dxa"/>
            <w:vAlign w:val="center"/>
          </w:tcPr>
          <w:p w14:paraId="659ADBCB">
            <w:pPr>
              <w:pStyle w:val="12"/>
            </w:pPr>
          </w:p>
        </w:tc>
        <w:tc>
          <w:tcPr>
            <w:tcW w:w="2551" w:type="dxa"/>
            <w:vAlign w:val="center"/>
          </w:tcPr>
          <w:p w14:paraId="2D055B43">
            <w:pPr>
              <w:pStyle w:val="11"/>
            </w:pPr>
          </w:p>
        </w:tc>
        <w:tc>
          <w:tcPr>
            <w:tcW w:w="2551" w:type="dxa"/>
            <w:vAlign w:val="center"/>
          </w:tcPr>
          <w:p w14:paraId="11F6DAEB">
            <w:pPr>
              <w:pStyle w:val="11"/>
            </w:pPr>
          </w:p>
        </w:tc>
        <w:tc>
          <w:tcPr>
            <w:tcW w:w="2551" w:type="dxa"/>
            <w:vAlign w:val="center"/>
          </w:tcPr>
          <w:p w14:paraId="3A18B312">
            <w:pPr>
              <w:pStyle w:val="11"/>
            </w:pPr>
          </w:p>
        </w:tc>
      </w:tr>
    </w:tbl>
    <w:p w14:paraId="0B888D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60D3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53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3C38A7">
            <w:pPr>
              <w:pStyle w:val="9"/>
            </w:pPr>
            <w:r>
              <w:t>360014隆尧县县直幼儿园</w:t>
            </w:r>
          </w:p>
        </w:tc>
        <w:tc>
          <w:tcPr>
            <w:tcW w:w="2381" w:type="dxa"/>
            <w:tcBorders>
              <w:top w:val="single" w:color="FFFFFF" w:sz="6" w:space="0"/>
              <w:left w:val="single" w:color="FFFFFF" w:sz="6" w:space="0"/>
              <w:right w:val="single" w:color="FFFFFF" w:sz="6" w:space="0"/>
            </w:tcBorders>
            <w:vAlign w:val="center"/>
          </w:tcPr>
          <w:p w14:paraId="77BF52D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B8C3969">
            <w:pPr>
              <w:pStyle w:val="7"/>
            </w:pPr>
            <w:r>
              <w:t>单位：万元</w:t>
            </w:r>
          </w:p>
        </w:tc>
      </w:tr>
      <w:tr w14:paraId="2CD1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85C25">
            <w:pPr>
              <w:pStyle w:val="10"/>
            </w:pPr>
            <w:r>
              <w:t>序号</w:t>
            </w:r>
          </w:p>
        </w:tc>
        <w:tc>
          <w:tcPr>
            <w:tcW w:w="3798" w:type="dxa"/>
            <w:vMerge w:val="restart"/>
            <w:vAlign w:val="center"/>
          </w:tcPr>
          <w:p w14:paraId="465B7584">
            <w:pPr>
              <w:pStyle w:val="10"/>
            </w:pPr>
            <w:r>
              <w:t>项  目</w:t>
            </w:r>
          </w:p>
        </w:tc>
        <w:tc>
          <w:tcPr>
            <w:tcW w:w="9524" w:type="dxa"/>
            <w:gridSpan w:val="4"/>
            <w:vAlign w:val="center"/>
          </w:tcPr>
          <w:p w14:paraId="56E1E38A">
            <w:pPr>
              <w:pStyle w:val="10"/>
            </w:pPr>
            <w:r>
              <w:t>资 金 性 质</w:t>
            </w:r>
          </w:p>
        </w:tc>
      </w:tr>
      <w:tr w14:paraId="2FBE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F48F17"/>
        </w:tc>
        <w:tc>
          <w:tcPr>
            <w:tcW w:w="3798" w:type="dxa"/>
            <w:vMerge w:val="continue"/>
          </w:tcPr>
          <w:p w14:paraId="73A50C10"/>
        </w:tc>
        <w:tc>
          <w:tcPr>
            <w:tcW w:w="2381" w:type="dxa"/>
            <w:vAlign w:val="center"/>
          </w:tcPr>
          <w:p w14:paraId="0C5C57A7">
            <w:pPr>
              <w:pStyle w:val="10"/>
            </w:pPr>
            <w:r>
              <w:t>合计</w:t>
            </w:r>
          </w:p>
        </w:tc>
        <w:tc>
          <w:tcPr>
            <w:tcW w:w="2381" w:type="dxa"/>
            <w:vAlign w:val="center"/>
          </w:tcPr>
          <w:p w14:paraId="4CEAA129">
            <w:pPr>
              <w:pStyle w:val="10"/>
            </w:pPr>
            <w:r>
              <w:t>一般公共预算              财政拨款</w:t>
            </w:r>
          </w:p>
        </w:tc>
        <w:tc>
          <w:tcPr>
            <w:tcW w:w="2381" w:type="dxa"/>
            <w:vAlign w:val="center"/>
          </w:tcPr>
          <w:p w14:paraId="1C1E6C52">
            <w:pPr>
              <w:pStyle w:val="10"/>
            </w:pPr>
            <w:r>
              <w:t>政府性基金                  预算拨款</w:t>
            </w:r>
          </w:p>
        </w:tc>
        <w:tc>
          <w:tcPr>
            <w:tcW w:w="2381" w:type="dxa"/>
            <w:vAlign w:val="center"/>
          </w:tcPr>
          <w:p w14:paraId="42730805">
            <w:pPr>
              <w:pStyle w:val="10"/>
            </w:pPr>
            <w:r>
              <w:t>国有资本经营              预算财政拨款</w:t>
            </w:r>
          </w:p>
        </w:tc>
      </w:tr>
      <w:tr w14:paraId="6410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9B1EF4">
            <w:pPr>
              <w:pStyle w:val="10"/>
            </w:pPr>
            <w:r>
              <w:t>栏次</w:t>
            </w:r>
          </w:p>
        </w:tc>
        <w:tc>
          <w:tcPr>
            <w:tcW w:w="3798" w:type="dxa"/>
            <w:vAlign w:val="center"/>
          </w:tcPr>
          <w:p w14:paraId="51E05C71">
            <w:pPr>
              <w:pStyle w:val="10"/>
            </w:pPr>
            <w:r>
              <w:t>1</w:t>
            </w:r>
          </w:p>
        </w:tc>
        <w:tc>
          <w:tcPr>
            <w:tcW w:w="2381" w:type="dxa"/>
            <w:vAlign w:val="center"/>
          </w:tcPr>
          <w:p w14:paraId="3DD12A11">
            <w:pPr>
              <w:pStyle w:val="10"/>
            </w:pPr>
            <w:r>
              <w:t>2</w:t>
            </w:r>
          </w:p>
        </w:tc>
        <w:tc>
          <w:tcPr>
            <w:tcW w:w="2381" w:type="dxa"/>
            <w:vAlign w:val="center"/>
          </w:tcPr>
          <w:p w14:paraId="019EF905">
            <w:pPr>
              <w:pStyle w:val="10"/>
            </w:pPr>
            <w:r>
              <w:t>3</w:t>
            </w:r>
          </w:p>
        </w:tc>
        <w:tc>
          <w:tcPr>
            <w:tcW w:w="2381" w:type="dxa"/>
            <w:vAlign w:val="center"/>
          </w:tcPr>
          <w:p w14:paraId="7609F99E">
            <w:pPr>
              <w:pStyle w:val="10"/>
            </w:pPr>
            <w:r>
              <w:t>4</w:t>
            </w:r>
          </w:p>
        </w:tc>
        <w:tc>
          <w:tcPr>
            <w:tcW w:w="2381" w:type="dxa"/>
            <w:vAlign w:val="center"/>
          </w:tcPr>
          <w:p w14:paraId="12BBF1B0">
            <w:pPr>
              <w:pStyle w:val="10"/>
            </w:pPr>
            <w:r>
              <w:t>5</w:t>
            </w:r>
          </w:p>
        </w:tc>
      </w:tr>
      <w:tr w14:paraId="4EE3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05FC65">
            <w:pPr>
              <w:pStyle w:val="13"/>
            </w:pPr>
          </w:p>
        </w:tc>
        <w:tc>
          <w:tcPr>
            <w:tcW w:w="3798" w:type="dxa"/>
            <w:vAlign w:val="center"/>
          </w:tcPr>
          <w:p w14:paraId="46C95493">
            <w:pPr>
              <w:pStyle w:val="12"/>
            </w:pPr>
          </w:p>
        </w:tc>
        <w:tc>
          <w:tcPr>
            <w:tcW w:w="2381" w:type="dxa"/>
            <w:vAlign w:val="center"/>
          </w:tcPr>
          <w:p w14:paraId="6277227A">
            <w:pPr>
              <w:pStyle w:val="11"/>
            </w:pPr>
          </w:p>
        </w:tc>
        <w:tc>
          <w:tcPr>
            <w:tcW w:w="2381" w:type="dxa"/>
            <w:vAlign w:val="center"/>
          </w:tcPr>
          <w:p w14:paraId="0DA7593B">
            <w:pPr>
              <w:pStyle w:val="11"/>
            </w:pPr>
          </w:p>
        </w:tc>
        <w:tc>
          <w:tcPr>
            <w:tcW w:w="2381" w:type="dxa"/>
            <w:vAlign w:val="center"/>
          </w:tcPr>
          <w:p w14:paraId="30FA803E">
            <w:pPr>
              <w:pStyle w:val="11"/>
            </w:pPr>
          </w:p>
        </w:tc>
        <w:tc>
          <w:tcPr>
            <w:tcW w:w="2381" w:type="dxa"/>
            <w:vAlign w:val="center"/>
          </w:tcPr>
          <w:p w14:paraId="7B163C8E">
            <w:pPr>
              <w:pStyle w:val="11"/>
            </w:pPr>
          </w:p>
        </w:tc>
      </w:tr>
    </w:tbl>
    <w:p w14:paraId="1F93BA1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8FC24C3">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隆尧县县直幼儿园2026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3D992B8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地方预决算公开操作规程》和《关于进一步推进预算公开工作的实施意见》规定，现将隆尧县县直幼儿园2026年单位预算公开如下：</w:t>
      </w:r>
    </w:p>
    <w:p w14:paraId="6EFE507B">
      <w:pPr>
        <w:spacing w:before="10" w:after="10" w:line="240" w:lineRule="auto"/>
        <w:ind w:firstLine="640"/>
        <w:jc w:val="left"/>
        <w:outlineLvl w:val="5"/>
      </w:pPr>
      <w:r>
        <w:rPr>
          <w:rFonts w:ascii="黑体" w:hAnsi="黑体" w:eastAsia="黑体" w:cs="黑体"/>
          <w:color w:val="000000"/>
          <w:sz w:val="32"/>
        </w:rPr>
        <w:t>一、单位职责及机构设置情况</w:t>
      </w:r>
    </w:p>
    <w:p w14:paraId="089227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B05C1C">
      <w:pPr>
        <w:pStyle w:val="17"/>
      </w:pPr>
      <w:r>
        <w:rPr>
          <w:rFonts w:hint="eastAsia"/>
        </w:rPr>
        <w:t>开展学龄前幼儿保育和教育工作，促进幼儿身心健康和德、智、体、美全面发展。县直幼儿园事业编制24名。其中，园长1名（正股级），副园长2名（副股级）；经费形式为财政性资金基本保证。</w:t>
      </w:r>
    </w:p>
    <w:p w14:paraId="1FA979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BFC47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8FA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B1AD4D">
            <w:pPr>
              <w:pStyle w:val="10"/>
            </w:pPr>
            <w:r>
              <w:t>单位名称</w:t>
            </w:r>
          </w:p>
        </w:tc>
        <w:tc>
          <w:tcPr>
            <w:tcW w:w="1843" w:type="dxa"/>
            <w:vAlign w:val="center"/>
          </w:tcPr>
          <w:p w14:paraId="46238745">
            <w:pPr>
              <w:pStyle w:val="10"/>
            </w:pPr>
            <w:r>
              <w:t>单位性质</w:t>
            </w:r>
          </w:p>
        </w:tc>
        <w:tc>
          <w:tcPr>
            <w:tcW w:w="2126" w:type="dxa"/>
            <w:vAlign w:val="center"/>
          </w:tcPr>
          <w:p w14:paraId="04DBDCA1">
            <w:pPr>
              <w:pStyle w:val="10"/>
            </w:pPr>
            <w:r>
              <w:t>单位规格</w:t>
            </w:r>
          </w:p>
        </w:tc>
        <w:tc>
          <w:tcPr>
            <w:tcW w:w="3827" w:type="dxa"/>
            <w:vAlign w:val="center"/>
          </w:tcPr>
          <w:p w14:paraId="34F77DAB">
            <w:pPr>
              <w:pStyle w:val="10"/>
            </w:pPr>
            <w:r>
              <w:t>经费保障形式</w:t>
            </w:r>
          </w:p>
        </w:tc>
      </w:tr>
      <w:tr w14:paraId="5C48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E8BF46">
            <w:pPr>
              <w:pStyle w:val="12"/>
            </w:pPr>
            <w:r>
              <w:t>隆尧县县直幼儿园</w:t>
            </w:r>
          </w:p>
        </w:tc>
        <w:tc>
          <w:tcPr>
            <w:tcW w:w="1843" w:type="dxa"/>
            <w:vAlign w:val="center"/>
          </w:tcPr>
          <w:p w14:paraId="723617AF">
            <w:pPr>
              <w:pStyle w:val="13"/>
            </w:pPr>
            <w:r>
              <w:t>事业</w:t>
            </w:r>
          </w:p>
        </w:tc>
        <w:tc>
          <w:tcPr>
            <w:tcW w:w="2126" w:type="dxa"/>
            <w:vAlign w:val="center"/>
          </w:tcPr>
          <w:p w14:paraId="78BD5538">
            <w:pPr>
              <w:pStyle w:val="13"/>
            </w:pPr>
            <w:r>
              <w:t>股级</w:t>
            </w:r>
          </w:p>
        </w:tc>
        <w:tc>
          <w:tcPr>
            <w:tcW w:w="3827" w:type="dxa"/>
            <w:vAlign w:val="center"/>
          </w:tcPr>
          <w:p w14:paraId="7E3AD8B6">
            <w:pPr>
              <w:pStyle w:val="13"/>
            </w:pPr>
            <w:r>
              <w:t>财政性资金基本保证</w:t>
            </w:r>
          </w:p>
        </w:tc>
      </w:tr>
    </w:tbl>
    <w:p w14:paraId="2FC76D07">
      <w:pPr>
        <w:spacing w:before="10" w:after="10" w:line="240" w:lineRule="auto"/>
        <w:ind w:firstLine="640"/>
        <w:jc w:val="left"/>
        <w:outlineLvl w:val="5"/>
      </w:pPr>
      <w:r>
        <w:rPr>
          <w:rFonts w:ascii="黑体" w:hAnsi="黑体" w:eastAsia="黑体" w:cs="黑体"/>
          <w:color w:val="000000"/>
          <w:sz w:val="32"/>
        </w:rPr>
        <w:t>二、单位预算安排的总体情况</w:t>
      </w:r>
    </w:p>
    <w:p w14:paraId="6726AD39">
      <w:pPr>
        <w:pStyle w:val="18"/>
      </w:pPr>
      <w:r>
        <w:t>按照预算管理有关规定，目前我校单位预算的编制实行综合预算管理，即全部收入和支出都反映的预算中。隆尧县县直幼儿园的收支包含在单位预算中。</w:t>
      </w:r>
    </w:p>
    <w:p w14:paraId="7FB508CB">
      <w:pPr>
        <w:pStyle w:val="18"/>
      </w:pPr>
      <w:r>
        <w:t>1、收入说明</w:t>
      </w:r>
    </w:p>
    <w:p w14:paraId="024D6266">
      <w:pPr>
        <w:pStyle w:val="18"/>
      </w:pPr>
      <w:r>
        <w:t>反映本单位当年全部收入。2026年预算收入189.67万元，其中：一般公共预算收入189.67万元，基金预算收入0万元，基金预算收入0万元，国有资本经营预算收入0万元，财政专户拨收入0万元，单位资金收入0万元，上年结转结余0万元。</w:t>
      </w:r>
    </w:p>
    <w:p w14:paraId="2FBEF88F">
      <w:pPr>
        <w:pStyle w:val="18"/>
      </w:pPr>
      <w:r>
        <w:t>2、支出说明</w:t>
      </w:r>
    </w:p>
    <w:p w14:paraId="72CED90C">
      <w:pPr>
        <w:pStyle w:val="18"/>
      </w:pPr>
      <w:r>
        <w:t>收支预算总表支出栏、基本支出表、项目支出表按经济分类和支出功能分类科目编制，反映隆尧县县直幼儿园年度单位预算中支出预算的总体情况。2026年单位支出预算为189.67万元，其中基本支出105.81万元、项目支出83.86万元。主要为学前教育189.67万元。</w:t>
      </w:r>
    </w:p>
    <w:p w14:paraId="62F79A78">
      <w:pPr>
        <w:pStyle w:val="18"/>
      </w:pPr>
      <w:r>
        <w:t>3、比上年增减情况</w:t>
      </w:r>
    </w:p>
    <w:p w14:paraId="53C787F3">
      <w:pPr>
        <w:pStyle w:val="18"/>
      </w:pPr>
      <w:r>
        <w:t>2026年单位预算收支安排189.67万元，较2025年预算减少37.13万元，其中：基本支出增加77.71，项目支出减少114.84万元。</w:t>
      </w:r>
    </w:p>
    <w:p w14:paraId="7C362A7C">
      <w:pPr>
        <w:spacing w:before="10" w:after="10" w:line="240" w:lineRule="auto"/>
        <w:ind w:firstLine="640"/>
        <w:jc w:val="left"/>
        <w:outlineLvl w:val="5"/>
      </w:pPr>
      <w:r>
        <w:rPr>
          <w:rFonts w:ascii="黑体" w:hAnsi="黑体" w:eastAsia="黑体" w:cs="黑体"/>
          <w:color w:val="000000"/>
          <w:sz w:val="32"/>
        </w:rPr>
        <w:t>三、机关运行经费安排情况</w:t>
      </w:r>
    </w:p>
    <w:p w14:paraId="063D0468">
      <w:pPr>
        <w:pStyle w:val="19"/>
      </w:pPr>
      <w:r>
        <w:t>我单位按学生安排公用经费，无机关运行经费。</w:t>
      </w:r>
    </w:p>
    <w:p w14:paraId="6FE590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CC67F2">
      <w:pPr>
        <w:pStyle w:val="20"/>
      </w:pPr>
      <w:r>
        <w:t>我单位未安排</w:t>
      </w:r>
      <w:r>
        <w:rPr>
          <w:rFonts w:hint="eastAsia"/>
          <w:lang w:eastAsia="zh-CN"/>
        </w:rPr>
        <w:t>“三公”经费</w:t>
      </w:r>
      <w:r>
        <w:t>。</w:t>
      </w:r>
    </w:p>
    <w:p w14:paraId="64F943F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E121519">
      <w:pPr>
        <w:spacing w:before="0" w:after="0"/>
        <w:ind w:firstLine="560"/>
        <w:jc w:val="left"/>
        <w:outlineLvl w:val="9"/>
      </w:pPr>
      <w:r>
        <w:rPr>
          <w:rFonts w:ascii="方正仿宋_GBK" w:hAnsi="方正仿宋_GBK" w:eastAsia="方正仿宋_GBK" w:cs="方正仿宋_GBK"/>
          <w:b/>
          <w:color w:val="000000"/>
          <w:sz w:val="28"/>
        </w:rPr>
        <w:t>1、冀财教[2025]122号/中央/2026年学前发展资金/县直幼儿园免保育教育费补助绩效目标表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15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BB0DA">
            <w:pPr>
              <w:pStyle w:val="11"/>
            </w:pPr>
            <w:r>
              <w:t>单位：万元</w:t>
            </w:r>
          </w:p>
        </w:tc>
      </w:tr>
      <w:tr w14:paraId="455A0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C40B7">
            <w:pPr>
              <w:pStyle w:val="10"/>
            </w:pPr>
            <w:r>
              <w:t>项目编码</w:t>
            </w:r>
          </w:p>
        </w:tc>
        <w:tc>
          <w:tcPr>
            <w:tcW w:w="5103" w:type="dxa"/>
            <w:gridSpan w:val="2"/>
            <w:vAlign w:val="center"/>
          </w:tcPr>
          <w:p w14:paraId="7AD187F2">
            <w:pPr>
              <w:pStyle w:val="12"/>
            </w:pPr>
            <w:r>
              <w:t>13052526P00876910133Q</w:t>
            </w:r>
          </w:p>
        </w:tc>
        <w:tc>
          <w:tcPr>
            <w:tcW w:w="2835" w:type="dxa"/>
            <w:vAlign w:val="center"/>
          </w:tcPr>
          <w:p w14:paraId="459438D8">
            <w:pPr>
              <w:pStyle w:val="10"/>
            </w:pPr>
            <w:r>
              <w:t>项目名称</w:t>
            </w:r>
          </w:p>
        </w:tc>
        <w:tc>
          <w:tcPr>
            <w:tcW w:w="6095" w:type="dxa"/>
            <w:gridSpan w:val="3"/>
            <w:vAlign w:val="center"/>
          </w:tcPr>
          <w:p w14:paraId="274BA0CC">
            <w:pPr>
              <w:pStyle w:val="12"/>
            </w:pPr>
            <w:r>
              <w:t>冀财教[2025]122号/中央/2026年学前发展资金/县直幼儿园免保育教育费补助</w:t>
            </w:r>
          </w:p>
        </w:tc>
      </w:tr>
      <w:tr w14:paraId="0AD04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1239E">
            <w:pPr>
              <w:pStyle w:val="10"/>
            </w:pPr>
            <w:r>
              <w:t>预算规模及资金用途</w:t>
            </w:r>
          </w:p>
        </w:tc>
        <w:tc>
          <w:tcPr>
            <w:tcW w:w="2268" w:type="dxa"/>
            <w:vAlign w:val="center"/>
          </w:tcPr>
          <w:p w14:paraId="6B8967BF">
            <w:pPr>
              <w:pStyle w:val="10"/>
            </w:pPr>
            <w:r>
              <w:t>预算数</w:t>
            </w:r>
          </w:p>
        </w:tc>
        <w:tc>
          <w:tcPr>
            <w:tcW w:w="2835" w:type="dxa"/>
            <w:vAlign w:val="center"/>
          </w:tcPr>
          <w:p w14:paraId="4D67E2A3">
            <w:pPr>
              <w:pStyle w:val="12"/>
            </w:pPr>
            <w:r>
              <w:t>3.09</w:t>
            </w:r>
          </w:p>
        </w:tc>
        <w:tc>
          <w:tcPr>
            <w:tcW w:w="2835" w:type="dxa"/>
            <w:vAlign w:val="center"/>
          </w:tcPr>
          <w:p w14:paraId="55DDE755">
            <w:pPr>
              <w:pStyle w:val="10"/>
            </w:pPr>
            <w:r>
              <w:t>其中：财政    资金</w:t>
            </w:r>
          </w:p>
        </w:tc>
        <w:tc>
          <w:tcPr>
            <w:tcW w:w="2551" w:type="dxa"/>
            <w:vAlign w:val="center"/>
          </w:tcPr>
          <w:p w14:paraId="3B652BAE">
            <w:pPr>
              <w:pStyle w:val="12"/>
            </w:pPr>
            <w:r>
              <w:t>3.09</w:t>
            </w:r>
          </w:p>
        </w:tc>
        <w:tc>
          <w:tcPr>
            <w:tcW w:w="2268" w:type="dxa"/>
            <w:vAlign w:val="center"/>
          </w:tcPr>
          <w:p w14:paraId="507E88A6">
            <w:pPr>
              <w:pStyle w:val="10"/>
            </w:pPr>
            <w:r>
              <w:t>其他资金</w:t>
            </w:r>
          </w:p>
        </w:tc>
        <w:tc>
          <w:tcPr>
            <w:tcW w:w="1276" w:type="dxa"/>
            <w:vAlign w:val="center"/>
          </w:tcPr>
          <w:p w14:paraId="6E0EB518">
            <w:pPr>
              <w:pStyle w:val="12"/>
            </w:pPr>
            <w:r>
              <w:t xml:space="preserve"> </w:t>
            </w:r>
          </w:p>
        </w:tc>
      </w:tr>
      <w:tr w14:paraId="62202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06EE0"/>
        </w:tc>
        <w:tc>
          <w:tcPr>
            <w:tcW w:w="14033" w:type="dxa"/>
            <w:gridSpan w:val="6"/>
            <w:vAlign w:val="center"/>
          </w:tcPr>
          <w:p w14:paraId="3B83EC49">
            <w:pPr>
              <w:pStyle w:val="12"/>
            </w:pPr>
            <w:r>
              <w:t>保障幼儿园正常运转，完成教育教学活动和其他日常工作任务等方面的费用支出。</w:t>
            </w:r>
            <w:r>
              <w:tab/>
            </w:r>
            <w:r>
              <w:tab/>
            </w:r>
            <w:r>
              <w:tab/>
            </w:r>
            <w:r>
              <w:tab/>
            </w:r>
            <w:r>
              <w:tab/>
            </w:r>
          </w:p>
          <w:p w14:paraId="28CA9BD2">
            <w:pPr>
              <w:pStyle w:val="12"/>
            </w:pPr>
          </w:p>
        </w:tc>
      </w:tr>
      <w:tr w14:paraId="6A263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9854F">
            <w:pPr>
              <w:pStyle w:val="10"/>
            </w:pPr>
            <w:r>
              <w:t>资金支出计划（%）</w:t>
            </w:r>
          </w:p>
        </w:tc>
        <w:tc>
          <w:tcPr>
            <w:tcW w:w="5103" w:type="dxa"/>
            <w:gridSpan w:val="2"/>
            <w:vAlign w:val="center"/>
          </w:tcPr>
          <w:p w14:paraId="6553CAB6">
            <w:pPr>
              <w:pStyle w:val="10"/>
            </w:pPr>
            <w:r>
              <w:t>3月底</w:t>
            </w:r>
          </w:p>
        </w:tc>
        <w:tc>
          <w:tcPr>
            <w:tcW w:w="2835" w:type="dxa"/>
            <w:vAlign w:val="center"/>
          </w:tcPr>
          <w:p w14:paraId="09A85B72">
            <w:pPr>
              <w:pStyle w:val="10"/>
            </w:pPr>
            <w:r>
              <w:t>6月底</w:t>
            </w:r>
          </w:p>
        </w:tc>
        <w:tc>
          <w:tcPr>
            <w:tcW w:w="2551" w:type="dxa"/>
            <w:vAlign w:val="center"/>
          </w:tcPr>
          <w:p w14:paraId="31B6CC04">
            <w:pPr>
              <w:pStyle w:val="10"/>
            </w:pPr>
            <w:r>
              <w:t>10月底</w:t>
            </w:r>
          </w:p>
        </w:tc>
        <w:tc>
          <w:tcPr>
            <w:tcW w:w="3544" w:type="dxa"/>
            <w:gridSpan w:val="2"/>
            <w:vAlign w:val="center"/>
          </w:tcPr>
          <w:p w14:paraId="24537368">
            <w:pPr>
              <w:pStyle w:val="10"/>
            </w:pPr>
            <w:r>
              <w:t>12月底</w:t>
            </w:r>
          </w:p>
        </w:tc>
      </w:tr>
      <w:tr w14:paraId="4F683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FCDF5"/>
        </w:tc>
        <w:tc>
          <w:tcPr>
            <w:tcW w:w="5103" w:type="dxa"/>
            <w:gridSpan w:val="2"/>
            <w:vAlign w:val="center"/>
          </w:tcPr>
          <w:p w14:paraId="2659FC0E">
            <w:pPr>
              <w:pStyle w:val="13"/>
            </w:pPr>
            <w:r>
              <w:t>25%</w:t>
            </w:r>
          </w:p>
        </w:tc>
        <w:tc>
          <w:tcPr>
            <w:tcW w:w="2835" w:type="dxa"/>
            <w:vAlign w:val="center"/>
          </w:tcPr>
          <w:p w14:paraId="5E8938F8">
            <w:pPr>
              <w:pStyle w:val="13"/>
            </w:pPr>
            <w:r>
              <w:t>50%</w:t>
            </w:r>
          </w:p>
        </w:tc>
        <w:tc>
          <w:tcPr>
            <w:tcW w:w="2551" w:type="dxa"/>
            <w:vAlign w:val="center"/>
          </w:tcPr>
          <w:p w14:paraId="754E2A64">
            <w:pPr>
              <w:pStyle w:val="13"/>
            </w:pPr>
            <w:r>
              <w:t>75%</w:t>
            </w:r>
          </w:p>
        </w:tc>
        <w:tc>
          <w:tcPr>
            <w:tcW w:w="3544" w:type="dxa"/>
            <w:gridSpan w:val="2"/>
            <w:vAlign w:val="center"/>
          </w:tcPr>
          <w:p w14:paraId="6253D63D">
            <w:pPr>
              <w:pStyle w:val="13"/>
            </w:pPr>
            <w:r>
              <w:t>100%</w:t>
            </w:r>
          </w:p>
        </w:tc>
      </w:tr>
      <w:tr w14:paraId="27BB8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0644F">
            <w:pPr>
              <w:pStyle w:val="10"/>
            </w:pPr>
            <w:r>
              <w:t>绩效目标</w:t>
            </w:r>
          </w:p>
        </w:tc>
        <w:tc>
          <w:tcPr>
            <w:tcW w:w="14033" w:type="dxa"/>
            <w:gridSpan w:val="6"/>
            <w:vAlign w:val="center"/>
          </w:tcPr>
          <w:p w14:paraId="400CFECC">
            <w:pPr>
              <w:pStyle w:val="12"/>
            </w:pPr>
            <w:r>
              <w:t>1."保障幼儿园正常运转，完成教育教学活动和其他日常工作任务等方面的费用支出。</w:t>
            </w:r>
            <w:r>
              <w:tab/>
            </w:r>
            <w:r>
              <w:t>"</w:t>
            </w:r>
            <w:r>
              <w:tab/>
            </w:r>
          </w:p>
        </w:tc>
      </w:tr>
    </w:tbl>
    <w:p w14:paraId="7E208F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B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3ADA2">
            <w:pPr>
              <w:pStyle w:val="10"/>
            </w:pPr>
            <w:r>
              <w:t>一级指标</w:t>
            </w:r>
          </w:p>
        </w:tc>
        <w:tc>
          <w:tcPr>
            <w:tcW w:w="2268" w:type="dxa"/>
            <w:vAlign w:val="center"/>
          </w:tcPr>
          <w:p w14:paraId="1F121C07">
            <w:pPr>
              <w:pStyle w:val="10"/>
            </w:pPr>
            <w:r>
              <w:t>二级指标</w:t>
            </w:r>
          </w:p>
        </w:tc>
        <w:tc>
          <w:tcPr>
            <w:tcW w:w="2835" w:type="dxa"/>
            <w:vAlign w:val="center"/>
          </w:tcPr>
          <w:p w14:paraId="6149DFB1">
            <w:pPr>
              <w:pStyle w:val="10"/>
            </w:pPr>
            <w:r>
              <w:t>三级指标</w:t>
            </w:r>
          </w:p>
        </w:tc>
        <w:tc>
          <w:tcPr>
            <w:tcW w:w="5386" w:type="dxa"/>
            <w:vAlign w:val="center"/>
          </w:tcPr>
          <w:p w14:paraId="5594F6D8">
            <w:pPr>
              <w:pStyle w:val="10"/>
            </w:pPr>
            <w:r>
              <w:t>绩效指标描述</w:t>
            </w:r>
          </w:p>
        </w:tc>
        <w:tc>
          <w:tcPr>
            <w:tcW w:w="2268" w:type="dxa"/>
            <w:vAlign w:val="center"/>
          </w:tcPr>
          <w:p w14:paraId="116FC65D">
            <w:pPr>
              <w:pStyle w:val="10"/>
            </w:pPr>
            <w:r>
              <w:t>指标值</w:t>
            </w:r>
          </w:p>
        </w:tc>
        <w:tc>
          <w:tcPr>
            <w:tcW w:w="1276" w:type="dxa"/>
            <w:vAlign w:val="center"/>
          </w:tcPr>
          <w:p w14:paraId="155ED4A9">
            <w:pPr>
              <w:pStyle w:val="10"/>
            </w:pPr>
            <w:r>
              <w:t>指标值确定依据</w:t>
            </w:r>
          </w:p>
        </w:tc>
      </w:tr>
      <w:tr w14:paraId="76B2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20B23">
            <w:pPr>
              <w:pStyle w:val="13"/>
            </w:pPr>
            <w:r>
              <w:t>产出指标</w:t>
            </w:r>
          </w:p>
        </w:tc>
        <w:tc>
          <w:tcPr>
            <w:tcW w:w="2268" w:type="dxa"/>
            <w:vAlign w:val="center"/>
          </w:tcPr>
          <w:p w14:paraId="4AA87789">
            <w:pPr>
              <w:pStyle w:val="12"/>
            </w:pPr>
            <w:r>
              <w:t>数量指标</w:t>
            </w:r>
          </w:p>
        </w:tc>
        <w:tc>
          <w:tcPr>
            <w:tcW w:w="2835" w:type="dxa"/>
            <w:vAlign w:val="center"/>
          </w:tcPr>
          <w:p w14:paraId="1E16E0BC">
            <w:pPr>
              <w:pStyle w:val="12"/>
            </w:pPr>
            <w:r>
              <w:t>适龄在园生</w:t>
            </w:r>
          </w:p>
        </w:tc>
        <w:tc>
          <w:tcPr>
            <w:tcW w:w="5386" w:type="dxa"/>
            <w:vAlign w:val="center"/>
          </w:tcPr>
          <w:p w14:paraId="7E1FDCCC">
            <w:pPr>
              <w:pStyle w:val="12"/>
            </w:pPr>
            <w:r>
              <w:t>适龄在园大班学生人数</w:t>
            </w:r>
          </w:p>
        </w:tc>
        <w:tc>
          <w:tcPr>
            <w:tcW w:w="2268" w:type="dxa"/>
            <w:vAlign w:val="center"/>
          </w:tcPr>
          <w:p w14:paraId="612F1A49">
            <w:pPr>
              <w:pStyle w:val="12"/>
            </w:pPr>
            <w:r>
              <w:t>138人</w:t>
            </w:r>
          </w:p>
        </w:tc>
        <w:tc>
          <w:tcPr>
            <w:tcW w:w="1276" w:type="dxa"/>
            <w:vAlign w:val="center"/>
          </w:tcPr>
          <w:p w14:paraId="5C844EF9">
            <w:pPr>
              <w:pStyle w:val="12"/>
            </w:pPr>
            <w:r>
              <w:t>免保育教育费生均财政补助标准</w:t>
            </w:r>
          </w:p>
        </w:tc>
      </w:tr>
      <w:tr w14:paraId="0B8A9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54661"/>
        </w:tc>
        <w:tc>
          <w:tcPr>
            <w:tcW w:w="2268" w:type="dxa"/>
            <w:vAlign w:val="center"/>
          </w:tcPr>
          <w:p w14:paraId="2B59DDE8">
            <w:pPr>
              <w:pStyle w:val="12"/>
            </w:pPr>
            <w:r>
              <w:t>质量指标</w:t>
            </w:r>
          </w:p>
        </w:tc>
        <w:tc>
          <w:tcPr>
            <w:tcW w:w="2835" w:type="dxa"/>
            <w:vAlign w:val="center"/>
          </w:tcPr>
          <w:p w14:paraId="41266597">
            <w:pPr>
              <w:pStyle w:val="12"/>
            </w:pPr>
            <w:r>
              <w:t>预算控制率</w:t>
            </w:r>
          </w:p>
        </w:tc>
        <w:tc>
          <w:tcPr>
            <w:tcW w:w="5386" w:type="dxa"/>
            <w:vAlign w:val="center"/>
          </w:tcPr>
          <w:p w14:paraId="74A8BBEA">
            <w:pPr>
              <w:pStyle w:val="12"/>
            </w:pPr>
            <w:r>
              <w:t>预算执行</w:t>
            </w:r>
          </w:p>
        </w:tc>
        <w:tc>
          <w:tcPr>
            <w:tcW w:w="2268" w:type="dxa"/>
            <w:vAlign w:val="center"/>
          </w:tcPr>
          <w:p w14:paraId="2F142654">
            <w:pPr>
              <w:pStyle w:val="12"/>
            </w:pPr>
            <w:r>
              <w:t>≥95%</w:t>
            </w:r>
          </w:p>
        </w:tc>
        <w:tc>
          <w:tcPr>
            <w:tcW w:w="1276" w:type="dxa"/>
            <w:vAlign w:val="center"/>
          </w:tcPr>
          <w:p w14:paraId="39712029">
            <w:pPr>
              <w:pStyle w:val="12"/>
            </w:pPr>
            <w:r>
              <w:t>免保育教育费生均财政补助标准</w:t>
            </w:r>
          </w:p>
        </w:tc>
      </w:tr>
      <w:tr w14:paraId="6ED3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06E0F"/>
        </w:tc>
        <w:tc>
          <w:tcPr>
            <w:tcW w:w="2268" w:type="dxa"/>
            <w:vAlign w:val="center"/>
          </w:tcPr>
          <w:p w14:paraId="6D753DB5">
            <w:pPr>
              <w:pStyle w:val="12"/>
            </w:pPr>
            <w:r>
              <w:t>时效指标</w:t>
            </w:r>
          </w:p>
        </w:tc>
        <w:tc>
          <w:tcPr>
            <w:tcW w:w="2835" w:type="dxa"/>
            <w:vAlign w:val="center"/>
          </w:tcPr>
          <w:p w14:paraId="0826EBC8">
            <w:pPr>
              <w:pStyle w:val="12"/>
            </w:pPr>
            <w:r>
              <w:t>资金支付率</w:t>
            </w:r>
          </w:p>
        </w:tc>
        <w:tc>
          <w:tcPr>
            <w:tcW w:w="5386" w:type="dxa"/>
            <w:vAlign w:val="center"/>
          </w:tcPr>
          <w:p w14:paraId="2CA2A108">
            <w:pPr>
              <w:pStyle w:val="12"/>
            </w:pPr>
            <w:r>
              <w:t>按照序时进度完成资金支付</w:t>
            </w:r>
          </w:p>
        </w:tc>
        <w:tc>
          <w:tcPr>
            <w:tcW w:w="2268" w:type="dxa"/>
            <w:vAlign w:val="center"/>
          </w:tcPr>
          <w:p w14:paraId="6075D109">
            <w:pPr>
              <w:pStyle w:val="12"/>
            </w:pPr>
            <w:r>
              <w:t>100%</w:t>
            </w:r>
          </w:p>
        </w:tc>
        <w:tc>
          <w:tcPr>
            <w:tcW w:w="1276" w:type="dxa"/>
            <w:vAlign w:val="center"/>
          </w:tcPr>
          <w:p w14:paraId="60E30A41">
            <w:pPr>
              <w:pStyle w:val="12"/>
            </w:pPr>
            <w:r>
              <w:t>免保育教育费生均财政补助标准</w:t>
            </w:r>
          </w:p>
        </w:tc>
      </w:tr>
      <w:tr w14:paraId="7CA4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816CE"/>
        </w:tc>
        <w:tc>
          <w:tcPr>
            <w:tcW w:w="2268" w:type="dxa"/>
            <w:vAlign w:val="center"/>
          </w:tcPr>
          <w:p w14:paraId="1C65A5D8">
            <w:pPr>
              <w:pStyle w:val="12"/>
            </w:pPr>
            <w:r>
              <w:t>成本指标</w:t>
            </w:r>
          </w:p>
        </w:tc>
        <w:tc>
          <w:tcPr>
            <w:tcW w:w="2835" w:type="dxa"/>
            <w:vAlign w:val="center"/>
          </w:tcPr>
          <w:p w14:paraId="46768995">
            <w:pPr>
              <w:pStyle w:val="12"/>
            </w:pPr>
            <w:r>
              <w:t xml:space="preserve"> 免保育教育费补助</w:t>
            </w:r>
          </w:p>
        </w:tc>
        <w:tc>
          <w:tcPr>
            <w:tcW w:w="5386" w:type="dxa"/>
            <w:vAlign w:val="center"/>
          </w:tcPr>
          <w:p w14:paraId="1A6A621E">
            <w:pPr>
              <w:pStyle w:val="12"/>
            </w:pPr>
            <w:r>
              <w:t>免保育教育费补助</w:t>
            </w:r>
          </w:p>
        </w:tc>
        <w:tc>
          <w:tcPr>
            <w:tcW w:w="2268" w:type="dxa"/>
            <w:vAlign w:val="center"/>
          </w:tcPr>
          <w:p w14:paraId="6FB9B8A9">
            <w:pPr>
              <w:pStyle w:val="12"/>
            </w:pPr>
            <w:r>
              <w:t>30886元</w:t>
            </w:r>
          </w:p>
        </w:tc>
        <w:tc>
          <w:tcPr>
            <w:tcW w:w="1276" w:type="dxa"/>
            <w:vAlign w:val="center"/>
          </w:tcPr>
          <w:p w14:paraId="4A407A9F">
            <w:pPr>
              <w:pStyle w:val="12"/>
            </w:pPr>
            <w:r>
              <w:t>免保育教育费生均财政补助标准</w:t>
            </w:r>
          </w:p>
        </w:tc>
      </w:tr>
      <w:tr w14:paraId="1E2E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81E72">
            <w:pPr>
              <w:pStyle w:val="13"/>
            </w:pPr>
            <w:r>
              <w:t>效益指标</w:t>
            </w:r>
          </w:p>
        </w:tc>
        <w:tc>
          <w:tcPr>
            <w:tcW w:w="2268" w:type="dxa"/>
            <w:vAlign w:val="center"/>
          </w:tcPr>
          <w:p w14:paraId="26ABBE15">
            <w:pPr>
              <w:pStyle w:val="12"/>
            </w:pPr>
            <w:r>
              <w:t>可持续影响指标</w:t>
            </w:r>
          </w:p>
        </w:tc>
        <w:tc>
          <w:tcPr>
            <w:tcW w:w="2835" w:type="dxa"/>
            <w:vAlign w:val="center"/>
          </w:tcPr>
          <w:p w14:paraId="0D09CCE5">
            <w:pPr>
              <w:pStyle w:val="12"/>
            </w:pPr>
            <w:r>
              <w:t>学校运转得到提升</w:t>
            </w:r>
          </w:p>
        </w:tc>
        <w:tc>
          <w:tcPr>
            <w:tcW w:w="5386" w:type="dxa"/>
            <w:vAlign w:val="center"/>
          </w:tcPr>
          <w:p w14:paraId="212F935D">
            <w:pPr>
              <w:pStyle w:val="12"/>
            </w:pPr>
            <w:r>
              <w:t>幼儿受教育年限</w:t>
            </w:r>
          </w:p>
        </w:tc>
        <w:tc>
          <w:tcPr>
            <w:tcW w:w="2268" w:type="dxa"/>
            <w:vAlign w:val="center"/>
          </w:tcPr>
          <w:p w14:paraId="1573BACA">
            <w:pPr>
              <w:pStyle w:val="12"/>
            </w:pPr>
            <w:r>
              <w:t>3年</w:t>
            </w:r>
          </w:p>
        </w:tc>
        <w:tc>
          <w:tcPr>
            <w:tcW w:w="1276" w:type="dxa"/>
            <w:vAlign w:val="center"/>
          </w:tcPr>
          <w:p w14:paraId="2F1A3F3F">
            <w:pPr>
              <w:pStyle w:val="12"/>
            </w:pPr>
            <w:r>
              <w:t>免保育教育费生均财政补助标准</w:t>
            </w:r>
          </w:p>
        </w:tc>
      </w:tr>
      <w:tr w14:paraId="7154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8157F">
            <w:pPr>
              <w:pStyle w:val="13"/>
            </w:pPr>
            <w:r>
              <w:t>满意度指标</w:t>
            </w:r>
          </w:p>
        </w:tc>
        <w:tc>
          <w:tcPr>
            <w:tcW w:w="2268" w:type="dxa"/>
            <w:vAlign w:val="center"/>
          </w:tcPr>
          <w:p w14:paraId="152EC4AF">
            <w:pPr>
              <w:pStyle w:val="12"/>
            </w:pPr>
            <w:r>
              <w:t>服务对象满意度指标</w:t>
            </w:r>
          </w:p>
        </w:tc>
        <w:tc>
          <w:tcPr>
            <w:tcW w:w="2835" w:type="dxa"/>
            <w:vAlign w:val="center"/>
          </w:tcPr>
          <w:p w14:paraId="603A77B6">
            <w:pPr>
              <w:pStyle w:val="12"/>
            </w:pPr>
            <w:r>
              <w:t>受益学生家长及调查满意度</w:t>
            </w:r>
          </w:p>
        </w:tc>
        <w:tc>
          <w:tcPr>
            <w:tcW w:w="5386" w:type="dxa"/>
            <w:vAlign w:val="center"/>
          </w:tcPr>
          <w:p w14:paraId="2D8DDA40">
            <w:pPr>
              <w:pStyle w:val="12"/>
            </w:pPr>
            <w:r>
              <w:t>学生、教师及家长对学校保教保育工作满意度情况</w:t>
            </w:r>
          </w:p>
        </w:tc>
        <w:tc>
          <w:tcPr>
            <w:tcW w:w="2268" w:type="dxa"/>
            <w:vAlign w:val="center"/>
          </w:tcPr>
          <w:p w14:paraId="50EFA818">
            <w:pPr>
              <w:pStyle w:val="12"/>
            </w:pPr>
            <w:r>
              <w:t>≥95%</w:t>
            </w:r>
          </w:p>
        </w:tc>
        <w:tc>
          <w:tcPr>
            <w:tcW w:w="1276" w:type="dxa"/>
            <w:vAlign w:val="center"/>
          </w:tcPr>
          <w:p w14:paraId="32E6A938">
            <w:pPr>
              <w:pStyle w:val="12"/>
            </w:pPr>
            <w:r>
              <w:t>免保育教育费生均财政补助标准</w:t>
            </w:r>
          </w:p>
        </w:tc>
      </w:tr>
    </w:tbl>
    <w:p w14:paraId="3360687D">
      <w:pPr>
        <w:sectPr>
          <w:pgSz w:w="16840" w:h="11900" w:orient="landscape"/>
          <w:pgMar w:top="1361" w:right="1020" w:bottom="1134" w:left="1020" w:header="720" w:footer="720" w:gutter="0"/>
          <w:cols w:space="720" w:num="1"/>
        </w:sectPr>
      </w:pPr>
    </w:p>
    <w:p w14:paraId="475D59C5">
      <w:pPr>
        <w:spacing w:before="0" w:after="0"/>
        <w:ind w:firstLine="560"/>
        <w:jc w:val="left"/>
        <w:outlineLvl w:val="9"/>
      </w:pPr>
      <w:r>
        <w:rPr>
          <w:rFonts w:ascii="方正仿宋_GBK" w:hAnsi="方正仿宋_GBK" w:eastAsia="方正仿宋_GBK" w:cs="方正仿宋_GBK"/>
          <w:b/>
          <w:color w:val="000000"/>
          <w:sz w:val="28"/>
        </w:rPr>
        <w:t>2、冀财教[2025]122号/中央/2026年学前发展资金/县直幼儿园学前教育幼儿资助绩效目标表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52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D2A2C">
            <w:pPr>
              <w:pStyle w:val="11"/>
            </w:pPr>
            <w:r>
              <w:t>单位：万元</w:t>
            </w:r>
          </w:p>
        </w:tc>
      </w:tr>
      <w:tr w14:paraId="7D902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ED40C">
            <w:pPr>
              <w:pStyle w:val="10"/>
            </w:pPr>
            <w:r>
              <w:t>项目编码</w:t>
            </w:r>
          </w:p>
        </w:tc>
        <w:tc>
          <w:tcPr>
            <w:tcW w:w="5103" w:type="dxa"/>
            <w:gridSpan w:val="2"/>
            <w:vAlign w:val="center"/>
          </w:tcPr>
          <w:p w14:paraId="5B8F2BA8">
            <w:pPr>
              <w:pStyle w:val="12"/>
            </w:pPr>
            <w:r>
              <w:t>13052526P000002100635</w:t>
            </w:r>
          </w:p>
        </w:tc>
        <w:tc>
          <w:tcPr>
            <w:tcW w:w="2835" w:type="dxa"/>
            <w:vAlign w:val="center"/>
          </w:tcPr>
          <w:p w14:paraId="4407F0DA">
            <w:pPr>
              <w:pStyle w:val="10"/>
            </w:pPr>
            <w:r>
              <w:t>项目名称</w:t>
            </w:r>
          </w:p>
        </w:tc>
        <w:tc>
          <w:tcPr>
            <w:tcW w:w="6095" w:type="dxa"/>
            <w:gridSpan w:val="3"/>
            <w:vAlign w:val="center"/>
          </w:tcPr>
          <w:p w14:paraId="2E9C4650">
            <w:pPr>
              <w:pStyle w:val="12"/>
            </w:pPr>
            <w:r>
              <w:t>冀财教[2025]122号/中央/2026年学前发展资金/县直幼儿园学前教育幼儿资助</w:t>
            </w:r>
          </w:p>
        </w:tc>
      </w:tr>
      <w:tr w14:paraId="07CAD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99933">
            <w:pPr>
              <w:pStyle w:val="10"/>
            </w:pPr>
            <w:r>
              <w:t>预算规模及资金用途</w:t>
            </w:r>
          </w:p>
        </w:tc>
        <w:tc>
          <w:tcPr>
            <w:tcW w:w="2268" w:type="dxa"/>
            <w:vAlign w:val="center"/>
          </w:tcPr>
          <w:p w14:paraId="335335AE">
            <w:pPr>
              <w:pStyle w:val="10"/>
            </w:pPr>
            <w:r>
              <w:t>预算数</w:t>
            </w:r>
          </w:p>
        </w:tc>
        <w:tc>
          <w:tcPr>
            <w:tcW w:w="2835" w:type="dxa"/>
            <w:vAlign w:val="center"/>
          </w:tcPr>
          <w:p w14:paraId="077459B1">
            <w:pPr>
              <w:pStyle w:val="12"/>
            </w:pPr>
            <w:r>
              <w:t>1.62</w:t>
            </w:r>
          </w:p>
        </w:tc>
        <w:tc>
          <w:tcPr>
            <w:tcW w:w="2835" w:type="dxa"/>
            <w:vAlign w:val="center"/>
          </w:tcPr>
          <w:p w14:paraId="10D5FCA6">
            <w:pPr>
              <w:pStyle w:val="10"/>
            </w:pPr>
            <w:r>
              <w:t>其中：财政    资金</w:t>
            </w:r>
          </w:p>
        </w:tc>
        <w:tc>
          <w:tcPr>
            <w:tcW w:w="2551" w:type="dxa"/>
            <w:vAlign w:val="center"/>
          </w:tcPr>
          <w:p w14:paraId="0B2B99C2">
            <w:pPr>
              <w:pStyle w:val="12"/>
            </w:pPr>
            <w:r>
              <w:t>1.62</w:t>
            </w:r>
          </w:p>
        </w:tc>
        <w:tc>
          <w:tcPr>
            <w:tcW w:w="2268" w:type="dxa"/>
            <w:vAlign w:val="center"/>
          </w:tcPr>
          <w:p w14:paraId="49973A6F">
            <w:pPr>
              <w:pStyle w:val="10"/>
            </w:pPr>
            <w:r>
              <w:t>其他资金</w:t>
            </w:r>
          </w:p>
        </w:tc>
        <w:tc>
          <w:tcPr>
            <w:tcW w:w="1276" w:type="dxa"/>
            <w:vAlign w:val="center"/>
          </w:tcPr>
          <w:p w14:paraId="09D306B9">
            <w:pPr>
              <w:pStyle w:val="12"/>
            </w:pPr>
            <w:r>
              <w:t xml:space="preserve"> </w:t>
            </w:r>
          </w:p>
        </w:tc>
      </w:tr>
      <w:tr w14:paraId="53214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3243A"/>
        </w:tc>
        <w:tc>
          <w:tcPr>
            <w:tcW w:w="14033" w:type="dxa"/>
            <w:gridSpan w:val="6"/>
            <w:vAlign w:val="center"/>
          </w:tcPr>
          <w:p w14:paraId="5F87EFB6">
            <w:pPr>
              <w:pStyle w:val="12"/>
            </w:pPr>
            <w:r>
              <w:t>保证本年度资助经费足额落实到位，符合享受资助条件的学生应助尽助。</w:t>
            </w:r>
            <w:r>
              <w:tab/>
            </w:r>
            <w:r>
              <w:tab/>
            </w:r>
            <w:r>
              <w:tab/>
            </w:r>
            <w:r>
              <w:tab/>
            </w:r>
            <w:r>
              <w:tab/>
            </w:r>
            <w:r>
              <w:tab/>
            </w:r>
          </w:p>
          <w:p w14:paraId="026FC84D">
            <w:pPr>
              <w:pStyle w:val="12"/>
            </w:pPr>
          </w:p>
        </w:tc>
      </w:tr>
      <w:tr w14:paraId="04D39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F6C66">
            <w:pPr>
              <w:pStyle w:val="10"/>
            </w:pPr>
            <w:r>
              <w:t>资金支出计划（%）</w:t>
            </w:r>
          </w:p>
        </w:tc>
        <w:tc>
          <w:tcPr>
            <w:tcW w:w="5103" w:type="dxa"/>
            <w:gridSpan w:val="2"/>
            <w:vAlign w:val="center"/>
          </w:tcPr>
          <w:p w14:paraId="6788906F">
            <w:pPr>
              <w:pStyle w:val="10"/>
            </w:pPr>
            <w:r>
              <w:t>3月底</w:t>
            </w:r>
          </w:p>
        </w:tc>
        <w:tc>
          <w:tcPr>
            <w:tcW w:w="2835" w:type="dxa"/>
            <w:vAlign w:val="center"/>
          </w:tcPr>
          <w:p w14:paraId="3624C98E">
            <w:pPr>
              <w:pStyle w:val="10"/>
            </w:pPr>
            <w:r>
              <w:t>6月底</w:t>
            </w:r>
          </w:p>
        </w:tc>
        <w:tc>
          <w:tcPr>
            <w:tcW w:w="2551" w:type="dxa"/>
            <w:vAlign w:val="center"/>
          </w:tcPr>
          <w:p w14:paraId="5C287537">
            <w:pPr>
              <w:pStyle w:val="10"/>
            </w:pPr>
            <w:r>
              <w:t>10月底</w:t>
            </w:r>
          </w:p>
        </w:tc>
        <w:tc>
          <w:tcPr>
            <w:tcW w:w="3544" w:type="dxa"/>
            <w:gridSpan w:val="2"/>
            <w:vAlign w:val="center"/>
          </w:tcPr>
          <w:p w14:paraId="35D2808E">
            <w:pPr>
              <w:pStyle w:val="10"/>
            </w:pPr>
            <w:r>
              <w:t>12月底</w:t>
            </w:r>
          </w:p>
        </w:tc>
      </w:tr>
      <w:tr w14:paraId="750B2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D1FA6"/>
        </w:tc>
        <w:tc>
          <w:tcPr>
            <w:tcW w:w="5103" w:type="dxa"/>
            <w:gridSpan w:val="2"/>
            <w:vAlign w:val="center"/>
          </w:tcPr>
          <w:p w14:paraId="55DCC1C1">
            <w:pPr>
              <w:pStyle w:val="13"/>
            </w:pPr>
            <w:r>
              <w:t xml:space="preserve"> </w:t>
            </w:r>
          </w:p>
        </w:tc>
        <w:tc>
          <w:tcPr>
            <w:tcW w:w="2835" w:type="dxa"/>
            <w:vAlign w:val="center"/>
          </w:tcPr>
          <w:p w14:paraId="7460FF89">
            <w:pPr>
              <w:pStyle w:val="13"/>
            </w:pPr>
            <w:r>
              <w:t>50%</w:t>
            </w:r>
          </w:p>
        </w:tc>
        <w:tc>
          <w:tcPr>
            <w:tcW w:w="2551" w:type="dxa"/>
            <w:vAlign w:val="center"/>
          </w:tcPr>
          <w:p w14:paraId="70B6D64A">
            <w:pPr>
              <w:pStyle w:val="13"/>
            </w:pPr>
            <w:r>
              <w:t>50%</w:t>
            </w:r>
          </w:p>
        </w:tc>
        <w:tc>
          <w:tcPr>
            <w:tcW w:w="3544" w:type="dxa"/>
            <w:gridSpan w:val="2"/>
            <w:vAlign w:val="center"/>
          </w:tcPr>
          <w:p w14:paraId="369C0A8E">
            <w:pPr>
              <w:pStyle w:val="13"/>
            </w:pPr>
            <w:r>
              <w:t>100%</w:t>
            </w:r>
          </w:p>
        </w:tc>
      </w:tr>
      <w:tr w14:paraId="42C59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13EE0">
            <w:pPr>
              <w:pStyle w:val="10"/>
            </w:pPr>
            <w:r>
              <w:t>绩效目标</w:t>
            </w:r>
          </w:p>
        </w:tc>
        <w:tc>
          <w:tcPr>
            <w:tcW w:w="14033" w:type="dxa"/>
            <w:gridSpan w:val="6"/>
            <w:vAlign w:val="center"/>
          </w:tcPr>
          <w:p w14:paraId="32A88769">
            <w:pPr>
              <w:pStyle w:val="12"/>
            </w:pPr>
            <w:r>
              <w:t>1.保证本年度资助经费足额落实到位，符合享受资助条件的学生应助尽助。</w:t>
            </w:r>
          </w:p>
        </w:tc>
      </w:tr>
    </w:tbl>
    <w:p w14:paraId="6D92E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8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B67EE">
            <w:pPr>
              <w:pStyle w:val="10"/>
            </w:pPr>
            <w:r>
              <w:t>一级指标</w:t>
            </w:r>
          </w:p>
        </w:tc>
        <w:tc>
          <w:tcPr>
            <w:tcW w:w="2268" w:type="dxa"/>
            <w:vAlign w:val="center"/>
          </w:tcPr>
          <w:p w14:paraId="359F3DF6">
            <w:pPr>
              <w:pStyle w:val="10"/>
            </w:pPr>
            <w:r>
              <w:t>二级指标</w:t>
            </w:r>
          </w:p>
        </w:tc>
        <w:tc>
          <w:tcPr>
            <w:tcW w:w="2835" w:type="dxa"/>
            <w:vAlign w:val="center"/>
          </w:tcPr>
          <w:p w14:paraId="1A101C62">
            <w:pPr>
              <w:pStyle w:val="10"/>
            </w:pPr>
            <w:r>
              <w:t>三级指标</w:t>
            </w:r>
          </w:p>
        </w:tc>
        <w:tc>
          <w:tcPr>
            <w:tcW w:w="5386" w:type="dxa"/>
            <w:vAlign w:val="center"/>
          </w:tcPr>
          <w:p w14:paraId="44649241">
            <w:pPr>
              <w:pStyle w:val="10"/>
            </w:pPr>
            <w:r>
              <w:t>绩效指标描述</w:t>
            </w:r>
          </w:p>
        </w:tc>
        <w:tc>
          <w:tcPr>
            <w:tcW w:w="2268" w:type="dxa"/>
            <w:vAlign w:val="center"/>
          </w:tcPr>
          <w:p w14:paraId="54DF51BA">
            <w:pPr>
              <w:pStyle w:val="10"/>
            </w:pPr>
            <w:r>
              <w:t>指标值</w:t>
            </w:r>
          </w:p>
        </w:tc>
        <w:tc>
          <w:tcPr>
            <w:tcW w:w="1276" w:type="dxa"/>
            <w:vAlign w:val="center"/>
          </w:tcPr>
          <w:p w14:paraId="45A29A3C">
            <w:pPr>
              <w:pStyle w:val="10"/>
            </w:pPr>
            <w:r>
              <w:t>指标值确定依据</w:t>
            </w:r>
          </w:p>
        </w:tc>
      </w:tr>
      <w:tr w14:paraId="5228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B020F">
            <w:pPr>
              <w:pStyle w:val="13"/>
            </w:pPr>
            <w:r>
              <w:t>产出指标</w:t>
            </w:r>
          </w:p>
        </w:tc>
        <w:tc>
          <w:tcPr>
            <w:tcW w:w="2268" w:type="dxa"/>
            <w:vAlign w:val="center"/>
          </w:tcPr>
          <w:p w14:paraId="20DE3A1E">
            <w:pPr>
              <w:pStyle w:val="12"/>
            </w:pPr>
            <w:r>
              <w:t>数量指标</w:t>
            </w:r>
          </w:p>
        </w:tc>
        <w:tc>
          <w:tcPr>
            <w:tcW w:w="2835" w:type="dxa"/>
            <w:vAlign w:val="center"/>
          </w:tcPr>
          <w:p w14:paraId="6AE34F1C">
            <w:pPr>
              <w:pStyle w:val="12"/>
            </w:pPr>
            <w:r>
              <w:t xml:space="preserve"> 幼儿资助人数</w:t>
            </w:r>
          </w:p>
        </w:tc>
        <w:tc>
          <w:tcPr>
            <w:tcW w:w="5386" w:type="dxa"/>
            <w:vAlign w:val="center"/>
          </w:tcPr>
          <w:p w14:paraId="1C7DD1D9">
            <w:pPr>
              <w:pStyle w:val="12"/>
            </w:pPr>
            <w:r>
              <w:t xml:space="preserve"> 幼儿资助人数</w:t>
            </w:r>
          </w:p>
        </w:tc>
        <w:tc>
          <w:tcPr>
            <w:tcW w:w="2268" w:type="dxa"/>
            <w:vAlign w:val="center"/>
          </w:tcPr>
          <w:p w14:paraId="64627965">
            <w:pPr>
              <w:pStyle w:val="12"/>
            </w:pPr>
            <w:r>
              <w:t>27 人</w:t>
            </w:r>
          </w:p>
        </w:tc>
        <w:tc>
          <w:tcPr>
            <w:tcW w:w="1276" w:type="dxa"/>
            <w:vAlign w:val="center"/>
          </w:tcPr>
          <w:p w14:paraId="196DEC58">
            <w:pPr>
              <w:pStyle w:val="12"/>
            </w:pPr>
            <w:r>
              <w:t>幼儿资助经费管理办法</w:t>
            </w:r>
          </w:p>
        </w:tc>
      </w:tr>
      <w:tr w14:paraId="794E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C4A7"/>
        </w:tc>
        <w:tc>
          <w:tcPr>
            <w:tcW w:w="2268" w:type="dxa"/>
            <w:vAlign w:val="center"/>
          </w:tcPr>
          <w:p w14:paraId="0114587C">
            <w:pPr>
              <w:pStyle w:val="12"/>
            </w:pPr>
            <w:r>
              <w:t>质量指标</w:t>
            </w:r>
          </w:p>
        </w:tc>
        <w:tc>
          <w:tcPr>
            <w:tcW w:w="2835" w:type="dxa"/>
            <w:vAlign w:val="center"/>
          </w:tcPr>
          <w:p w14:paraId="67160076">
            <w:pPr>
              <w:pStyle w:val="12"/>
            </w:pPr>
            <w:r>
              <w:t>资助资金使用率</w:t>
            </w:r>
          </w:p>
        </w:tc>
        <w:tc>
          <w:tcPr>
            <w:tcW w:w="5386" w:type="dxa"/>
            <w:vAlign w:val="center"/>
          </w:tcPr>
          <w:p w14:paraId="4EC751AC">
            <w:pPr>
              <w:pStyle w:val="12"/>
            </w:pPr>
            <w:r>
              <w:t>符合享受资助条件的学生应助尽助</w:t>
            </w:r>
          </w:p>
        </w:tc>
        <w:tc>
          <w:tcPr>
            <w:tcW w:w="2268" w:type="dxa"/>
            <w:vAlign w:val="center"/>
          </w:tcPr>
          <w:p w14:paraId="22D78CF7">
            <w:pPr>
              <w:pStyle w:val="12"/>
            </w:pPr>
            <w:r>
              <w:t>100%</w:t>
            </w:r>
          </w:p>
        </w:tc>
        <w:tc>
          <w:tcPr>
            <w:tcW w:w="1276" w:type="dxa"/>
            <w:vAlign w:val="center"/>
          </w:tcPr>
          <w:p w14:paraId="436BB031">
            <w:pPr>
              <w:pStyle w:val="12"/>
            </w:pPr>
            <w:r>
              <w:t>幼儿资助经费管理办法</w:t>
            </w:r>
          </w:p>
        </w:tc>
      </w:tr>
      <w:tr w14:paraId="552E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B5D99"/>
        </w:tc>
        <w:tc>
          <w:tcPr>
            <w:tcW w:w="2268" w:type="dxa"/>
            <w:vAlign w:val="center"/>
          </w:tcPr>
          <w:p w14:paraId="44CDFA10">
            <w:pPr>
              <w:pStyle w:val="12"/>
            </w:pPr>
            <w:r>
              <w:t>时效指标</w:t>
            </w:r>
          </w:p>
        </w:tc>
        <w:tc>
          <w:tcPr>
            <w:tcW w:w="2835" w:type="dxa"/>
            <w:vAlign w:val="center"/>
          </w:tcPr>
          <w:p w14:paraId="1FFC2EB9">
            <w:pPr>
              <w:pStyle w:val="12"/>
            </w:pPr>
            <w:r>
              <w:t>资金拨付率</w:t>
            </w:r>
          </w:p>
        </w:tc>
        <w:tc>
          <w:tcPr>
            <w:tcW w:w="5386" w:type="dxa"/>
            <w:vAlign w:val="center"/>
          </w:tcPr>
          <w:p w14:paraId="771E006F">
            <w:pPr>
              <w:pStyle w:val="12"/>
            </w:pPr>
            <w:r>
              <w:t>所有项目资金支付进度</w:t>
            </w:r>
          </w:p>
        </w:tc>
        <w:tc>
          <w:tcPr>
            <w:tcW w:w="2268" w:type="dxa"/>
            <w:vAlign w:val="center"/>
          </w:tcPr>
          <w:p w14:paraId="38AB4410">
            <w:pPr>
              <w:pStyle w:val="12"/>
            </w:pPr>
            <w:r>
              <w:t>100%</w:t>
            </w:r>
          </w:p>
        </w:tc>
        <w:tc>
          <w:tcPr>
            <w:tcW w:w="1276" w:type="dxa"/>
            <w:vAlign w:val="center"/>
          </w:tcPr>
          <w:p w14:paraId="216964E5">
            <w:pPr>
              <w:pStyle w:val="12"/>
            </w:pPr>
            <w:r>
              <w:t>幼儿资助经费管理办法</w:t>
            </w:r>
          </w:p>
        </w:tc>
      </w:tr>
      <w:tr w14:paraId="26AC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DE2B0"/>
        </w:tc>
        <w:tc>
          <w:tcPr>
            <w:tcW w:w="2268" w:type="dxa"/>
            <w:vAlign w:val="center"/>
          </w:tcPr>
          <w:p w14:paraId="64568BBF">
            <w:pPr>
              <w:pStyle w:val="12"/>
            </w:pPr>
            <w:r>
              <w:t>成本指标</w:t>
            </w:r>
          </w:p>
        </w:tc>
        <w:tc>
          <w:tcPr>
            <w:tcW w:w="2835" w:type="dxa"/>
            <w:vAlign w:val="center"/>
          </w:tcPr>
          <w:p w14:paraId="0D051E74">
            <w:pPr>
              <w:pStyle w:val="12"/>
            </w:pPr>
            <w:r>
              <w:t>幼儿园生均成本</w:t>
            </w:r>
          </w:p>
        </w:tc>
        <w:tc>
          <w:tcPr>
            <w:tcW w:w="5386" w:type="dxa"/>
            <w:vAlign w:val="center"/>
          </w:tcPr>
          <w:p w14:paraId="677B647A">
            <w:pPr>
              <w:pStyle w:val="12"/>
            </w:pPr>
            <w:r>
              <w:t>按照幼儿园资助标准1000元/生/年</w:t>
            </w:r>
          </w:p>
        </w:tc>
        <w:tc>
          <w:tcPr>
            <w:tcW w:w="2268" w:type="dxa"/>
            <w:vAlign w:val="center"/>
          </w:tcPr>
          <w:p w14:paraId="5A3903A0">
            <w:pPr>
              <w:pStyle w:val="12"/>
            </w:pPr>
            <w:r>
              <w:t>1000元</w:t>
            </w:r>
          </w:p>
        </w:tc>
        <w:tc>
          <w:tcPr>
            <w:tcW w:w="1276" w:type="dxa"/>
            <w:vAlign w:val="center"/>
          </w:tcPr>
          <w:p w14:paraId="52562847">
            <w:pPr>
              <w:pStyle w:val="12"/>
            </w:pPr>
            <w:r>
              <w:t>幼儿资助经费管理办法</w:t>
            </w:r>
          </w:p>
        </w:tc>
      </w:tr>
      <w:tr w14:paraId="4BF5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04902">
            <w:pPr>
              <w:pStyle w:val="13"/>
            </w:pPr>
            <w:r>
              <w:t>效益指标</w:t>
            </w:r>
          </w:p>
        </w:tc>
        <w:tc>
          <w:tcPr>
            <w:tcW w:w="2268" w:type="dxa"/>
            <w:vAlign w:val="center"/>
          </w:tcPr>
          <w:p w14:paraId="66B91CC3">
            <w:pPr>
              <w:pStyle w:val="12"/>
            </w:pPr>
            <w:r>
              <w:t>可持续影响指标</w:t>
            </w:r>
          </w:p>
        </w:tc>
        <w:tc>
          <w:tcPr>
            <w:tcW w:w="2835" w:type="dxa"/>
            <w:vAlign w:val="center"/>
          </w:tcPr>
          <w:p w14:paraId="236B5C2A">
            <w:pPr>
              <w:pStyle w:val="12"/>
            </w:pPr>
            <w:r>
              <w:t>幼儿园正常运转</w:t>
            </w:r>
          </w:p>
        </w:tc>
        <w:tc>
          <w:tcPr>
            <w:tcW w:w="5386" w:type="dxa"/>
            <w:vAlign w:val="center"/>
          </w:tcPr>
          <w:p w14:paraId="2A49887E">
            <w:pPr>
              <w:pStyle w:val="12"/>
            </w:pPr>
            <w:r>
              <w:t>幼儿受教育年限</w:t>
            </w:r>
          </w:p>
        </w:tc>
        <w:tc>
          <w:tcPr>
            <w:tcW w:w="2268" w:type="dxa"/>
            <w:vAlign w:val="center"/>
          </w:tcPr>
          <w:p w14:paraId="42E058AB">
            <w:pPr>
              <w:pStyle w:val="12"/>
            </w:pPr>
            <w:r>
              <w:t>3年</w:t>
            </w:r>
          </w:p>
        </w:tc>
        <w:tc>
          <w:tcPr>
            <w:tcW w:w="1276" w:type="dxa"/>
            <w:vAlign w:val="center"/>
          </w:tcPr>
          <w:p w14:paraId="4BF2E835">
            <w:pPr>
              <w:pStyle w:val="12"/>
            </w:pPr>
            <w:r>
              <w:t>幼儿资助经费管理办法</w:t>
            </w:r>
          </w:p>
        </w:tc>
      </w:tr>
      <w:tr w14:paraId="64F4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158CE">
            <w:pPr>
              <w:pStyle w:val="13"/>
            </w:pPr>
            <w:r>
              <w:t>满意度指标</w:t>
            </w:r>
          </w:p>
        </w:tc>
        <w:tc>
          <w:tcPr>
            <w:tcW w:w="2268" w:type="dxa"/>
            <w:vAlign w:val="center"/>
          </w:tcPr>
          <w:p w14:paraId="7850C2FC">
            <w:pPr>
              <w:pStyle w:val="12"/>
            </w:pPr>
            <w:r>
              <w:t>服务对象满意度指标</w:t>
            </w:r>
          </w:p>
        </w:tc>
        <w:tc>
          <w:tcPr>
            <w:tcW w:w="2835" w:type="dxa"/>
            <w:vAlign w:val="center"/>
          </w:tcPr>
          <w:p w14:paraId="6B6D2477">
            <w:pPr>
              <w:pStyle w:val="12"/>
            </w:pPr>
            <w:r>
              <w:t>受益幼儿家长及调查满意度</w:t>
            </w:r>
          </w:p>
        </w:tc>
        <w:tc>
          <w:tcPr>
            <w:tcW w:w="5386" w:type="dxa"/>
            <w:vAlign w:val="center"/>
          </w:tcPr>
          <w:p w14:paraId="682AFE0E">
            <w:pPr>
              <w:pStyle w:val="12"/>
            </w:pPr>
            <w:r>
              <w:t>学生、教师及家长对学校保教保育工作满意度情况</w:t>
            </w:r>
          </w:p>
        </w:tc>
        <w:tc>
          <w:tcPr>
            <w:tcW w:w="2268" w:type="dxa"/>
            <w:vAlign w:val="center"/>
          </w:tcPr>
          <w:p w14:paraId="1CA21CDF">
            <w:pPr>
              <w:pStyle w:val="12"/>
            </w:pPr>
            <w:r>
              <w:t>≥95%</w:t>
            </w:r>
          </w:p>
        </w:tc>
        <w:tc>
          <w:tcPr>
            <w:tcW w:w="1276" w:type="dxa"/>
            <w:vAlign w:val="center"/>
          </w:tcPr>
          <w:p w14:paraId="18E17674">
            <w:pPr>
              <w:pStyle w:val="12"/>
            </w:pPr>
            <w:r>
              <w:t>幼儿资助经费管理办法</w:t>
            </w:r>
          </w:p>
        </w:tc>
      </w:tr>
    </w:tbl>
    <w:p w14:paraId="2C961ED8">
      <w:pPr>
        <w:sectPr>
          <w:pgSz w:w="16840" w:h="11900" w:orient="landscape"/>
          <w:pgMar w:top="1361" w:right="1020" w:bottom="1134" w:left="1020" w:header="720" w:footer="720" w:gutter="0"/>
          <w:cols w:space="720" w:num="1"/>
        </w:sectPr>
      </w:pPr>
    </w:p>
    <w:p w14:paraId="1C2433DC">
      <w:pPr>
        <w:spacing w:before="0" w:after="0"/>
        <w:ind w:firstLine="560"/>
        <w:jc w:val="left"/>
        <w:outlineLvl w:val="9"/>
      </w:pPr>
      <w:r>
        <w:rPr>
          <w:rFonts w:ascii="方正仿宋_GBK" w:hAnsi="方正仿宋_GBK" w:eastAsia="方正仿宋_GBK" w:cs="方正仿宋_GBK"/>
          <w:b/>
          <w:color w:val="000000"/>
          <w:sz w:val="28"/>
        </w:rPr>
        <w:t>3、冀财教[2025]149号/省级/2026年学前发展资金/县直幼儿园免保育教育费补助绩效目标表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43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83E18">
            <w:pPr>
              <w:pStyle w:val="11"/>
            </w:pPr>
            <w:r>
              <w:t>单位：万元</w:t>
            </w:r>
          </w:p>
        </w:tc>
      </w:tr>
      <w:tr w14:paraId="115DB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C5350">
            <w:pPr>
              <w:pStyle w:val="10"/>
            </w:pPr>
            <w:r>
              <w:t>项目编码</w:t>
            </w:r>
          </w:p>
        </w:tc>
        <w:tc>
          <w:tcPr>
            <w:tcW w:w="5103" w:type="dxa"/>
            <w:gridSpan w:val="2"/>
            <w:vAlign w:val="center"/>
          </w:tcPr>
          <w:p w14:paraId="708D92DE">
            <w:pPr>
              <w:pStyle w:val="12"/>
            </w:pPr>
            <w:r>
              <w:t>13052526P00876910148N</w:t>
            </w:r>
          </w:p>
        </w:tc>
        <w:tc>
          <w:tcPr>
            <w:tcW w:w="2835" w:type="dxa"/>
            <w:vAlign w:val="center"/>
          </w:tcPr>
          <w:p w14:paraId="4C8800B0">
            <w:pPr>
              <w:pStyle w:val="10"/>
            </w:pPr>
            <w:r>
              <w:t>项目名称</w:t>
            </w:r>
          </w:p>
        </w:tc>
        <w:tc>
          <w:tcPr>
            <w:tcW w:w="6095" w:type="dxa"/>
            <w:gridSpan w:val="3"/>
            <w:vAlign w:val="center"/>
          </w:tcPr>
          <w:p w14:paraId="33A81CB4">
            <w:pPr>
              <w:pStyle w:val="12"/>
            </w:pPr>
            <w:r>
              <w:t>冀财教[2025]149号/省级/2026年学前发展资金/县直幼儿园免保育教育费补助</w:t>
            </w:r>
          </w:p>
        </w:tc>
      </w:tr>
      <w:tr w14:paraId="6F7C6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0A4C0">
            <w:pPr>
              <w:pStyle w:val="10"/>
            </w:pPr>
            <w:r>
              <w:t>预算规模及资金用途</w:t>
            </w:r>
          </w:p>
        </w:tc>
        <w:tc>
          <w:tcPr>
            <w:tcW w:w="2268" w:type="dxa"/>
            <w:vAlign w:val="center"/>
          </w:tcPr>
          <w:p w14:paraId="034B0545">
            <w:pPr>
              <w:pStyle w:val="10"/>
            </w:pPr>
            <w:r>
              <w:t>预算数</w:t>
            </w:r>
          </w:p>
        </w:tc>
        <w:tc>
          <w:tcPr>
            <w:tcW w:w="2835" w:type="dxa"/>
            <w:vAlign w:val="center"/>
          </w:tcPr>
          <w:p w14:paraId="726FFB16">
            <w:pPr>
              <w:pStyle w:val="12"/>
            </w:pPr>
            <w:r>
              <w:t>5.67</w:t>
            </w:r>
          </w:p>
        </w:tc>
        <w:tc>
          <w:tcPr>
            <w:tcW w:w="2835" w:type="dxa"/>
            <w:vAlign w:val="center"/>
          </w:tcPr>
          <w:p w14:paraId="7B06E213">
            <w:pPr>
              <w:pStyle w:val="10"/>
            </w:pPr>
            <w:r>
              <w:t>其中：财政    资金</w:t>
            </w:r>
          </w:p>
        </w:tc>
        <w:tc>
          <w:tcPr>
            <w:tcW w:w="2551" w:type="dxa"/>
            <w:vAlign w:val="center"/>
          </w:tcPr>
          <w:p w14:paraId="6EFBC4F1">
            <w:pPr>
              <w:pStyle w:val="12"/>
            </w:pPr>
            <w:r>
              <w:t>5.67</w:t>
            </w:r>
          </w:p>
        </w:tc>
        <w:tc>
          <w:tcPr>
            <w:tcW w:w="2268" w:type="dxa"/>
            <w:vAlign w:val="center"/>
          </w:tcPr>
          <w:p w14:paraId="583C6CEB">
            <w:pPr>
              <w:pStyle w:val="10"/>
            </w:pPr>
            <w:r>
              <w:t>其他资金</w:t>
            </w:r>
          </w:p>
        </w:tc>
        <w:tc>
          <w:tcPr>
            <w:tcW w:w="1276" w:type="dxa"/>
            <w:vAlign w:val="center"/>
          </w:tcPr>
          <w:p w14:paraId="6A7D1D85">
            <w:pPr>
              <w:pStyle w:val="12"/>
            </w:pPr>
            <w:r>
              <w:t xml:space="preserve"> </w:t>
            </w:r>
          </w:p>
        </w:tc>
      </w:tr>
      <w:tr w14:paraId="0FFE8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64969"/>
        </w:tc>
        <w:tc>
          <w:tcPr>
            <w:tcW w:w="14033" w:type="dxa"/>
            <w:gridSpan w:val="6"/>
            <w:vAlign w:val="center"/>
          </w:tcPr>
          <w:p w14:paraId="67D62233">
            <w:pPr>
              <w:pStyle w:val="12"/>
            </w:pPr>
            <w:r>
              <w:t>保障幼儿园正常运转，完成教育教学活动和其他日常工作任务等方面的费用支出。</w:t>
            </w:r>
            <w:r>
              <w:tab/>
            </w:r>
            <w:r>
              <w:tab/>
            </w:r>
            <w:r>
              <w:tab/>
            </w:r>
            <w:r>
              <w:tab/>
            </w:r>
            <w:r>
              <w:tab/>
            </w:r>
            <w:r>
              <w:tab/>
            </w:r>
          </w:p>
          <w:p w14:paraId="74FFF882">
            <w:pPr>
              <w:pStyle w:val="12"/>
            </w:pPr>
          </w:p>
        </w:tc>
      </w:tr>
      <w:tr w14:paraId="2893A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2E2B">
            <w:pPr>
              <w:pStyle w:val="10"/>
            </w:pPr>
            <w:r>
              <w:t>资金支出计划（%）</w:t>
            </w:r>
          </w:p>
        </w:tc>
        <w:tc>
          <w:tcPr>
            <w:tcW w:w="5103" w:type="dxa"/>
            <w:gridSpan w:val="2"/>
            <w:vAlign w:val="center"/>
          </w:tcPr>
          <w:p w14:paraId="71E8D83D">
            <w:pPr>
              <w:pStyle w:val="10"/>
            </w:pPr>
            <w:r>
              <w:t>3月底</w:t>
            </w:r>
          </w:p>
        </w:tc>
        <w:tc>
          <w:tcPr>
            <w:tcW w:w="2835" w:type="dxa"/>
            <w:vAlign w:val="center"/>
          </w:tcPr>
          <w:p w14:paraId="5FFFBF84">
            <w:pPr>
              <w:pStyle w:val="10"/>
            </w:pPr>
            <w:r>
              <w:t>6月底</w:t>
            </w:r>
          </w:p>
        </w:tc>
        <w:tc>
          <w:tcPr>
            <w:tcW w:w="2551" w:type="dxa"/>
            <w:vAlign w:val="center"/>
          </w:tcPr>
          <w:p w14:paraId="14340E23">
            <w:pPr>
              <w:pStyle w:val="10"/>
            </w:pPr>
            <w:r>
              <w:t>10月底</w:t>
            </w:r>
          </w:p>
        </w:tc>
        <w:tc>
          <w:tcPr>
            <w:tcW w:w="3544" w:type="dxa"/>
            <w:gridSpan w:val="2"/>
            <w:vAlign w:val="center"/>
          </w:tcPr>
          <w:p w14:paraId="102362D4">
            <w:pPr>
              <w:pStyle w:val="10"/>
            </w:pPr>
            <w:r>
              <w:t>12月底</w:t>
            </w:r>
          </w:p>
        </w:tc>
      </w:tr>
      <w:tr w14:paraId="444D3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9617E"/>
        </w:tc>
        <w:tc>
          <w:tcPr>
            <w:tcW w:w="5103" w:type="dxa"/>
            <w:gridSpan w:val="2"/>
            <w:vAlign w:val="center"/>
          </w:tcPr>
          <w:p w14:paraId="7813BB8A">
            <w:pPr>
              <w:pStyle w:val="13"/>
            </w:pPr>
            <w:r>
              <w:t>25%</w:t>
            </w:r>
          </w:p>
        </w:tc>
        <w:tc>
          <w:tcPr>
            <w:tcW w:w="2835" w:type="dxa"/>
            <w:vAlign w:val="center"/>
          </w:tcPr>
          <w:p w14:paraId="774F19F6">
            <w:pPr>
              <w:pStyle w:val="13"/>
            </w:pPr>
            <w:r>
              <w:t>50%</w:t>
            </w:r>
          </w:p>
        </w:tc>
        <w:tc>
          <w:tcPr>
            <w:tcW w:w="2551" w:type="dxa"/>
            <w:vAlign w:val="center"/>
          </w:tcPr>
          <w:p w14:paraId="2143CA66">
            <w:pPr>
              <w:pStyle w:val="13"/>
            </w:pPr>
            <w:r>
              <w:t>75%</w:t>
            </w:r>
          </w:p>
        </w:tc>
        <w:tc>
          <w:tcPr>
            <w:tcW w:w="3544" w:type="dxa"/>
            <w:gridSpan w:val="2"/>
            <w:vAlign w:val="center"/>
          </w:tcPr>
          <w:p w14:paraId="2C55427E">
            <w:pPr>
              <w:pStyle w:val="13"/>
            </w:pPr>
            <w:r>
              <w:t>100%</w:t>
            </w:r>
          </w:p>
        </w:tc>
      </w:tr>
      <w:tr w14:paraId="07E8B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64A6D">
            <w:pPr>
              <w:pStyle w:val="10"/>
            </w:pPr>
            <w:r>
              <w:t>绩效目标</w:t>
            </w:r>
          </w:p>
        </w:tc>
        <w:tc>
          <w:tcPr>
            <w:tcW w:w="14033" w:type="dxa"/>
            <w:gridSpan w:val="6"/>
            <w:vAlign w:val="center"/>
          </w:tcPr>
          <w:p w14:paraId="44D999B3">
            <w:pPr>
              <w:pStyle w:val="12"/>
            </w:pPr>
            <w:r>
              <w:t>1.保障幼儿园正常运转，完成教育教学活动和其他日常工作任务等方面的费用支出。</w:t>
            </w:r>
          </w:p>
        </w:tc>
      </w:tr>
    </w:tbl>
    <w:p w14:paraId="01930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B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60D6A">
            <w:pPr>
              <w:pStyle w:val="10"/>
            </w:pPr>
            <w:r>
              <w:t>一级指标</w:t>
            </w:r>
          </w:p>
        </w:tc>
        <w:tc>
          <w:tcPr>
            <w:tcW w:w="2268" w:type="dxa"/>
            <w:vAlign w:val="center"/>
          </w:tcPr>
          <w:p w14:paraId="62079B12">
            <w:pPr>
              <w:pStyle w:val="10"/>
            </w:pPr>
            <w:r>
              <w:t>二级指标</w:t>
            </w:r>
          </w:p>
        </w:tc>
        <w:tc>
          <w:tcPr>
            <w:tcW w:w="2835" w:type="dxa"/>
            <w:vAlign w:val="center"/>
          </w:tcPr>
          <w:p w14:paraId="1B65461B">
            <w:pPr>
              <w:pStyle w:val="10"/>
            </w:pPr>
            <w:r>
              <w:t>三级指标</w:t>
            </w:r>
          </w:p>
        </w:tc>
        <w:tc>
          <w:tcPr>
            <w:tcW w:w="5386" w:type="dxa"/>
            <w:vAlign w:val="center"/>
          </w:tcPr>
          <w:p w14:paraId="3406B84F">
            <w:pPr>
              <w:pStyle w:val="10"/>
            </w:pPr>
            <w:r>
              <w:t>绩效指标描述</w:t>
            </w:r>
          </w:p>
        </w:tc>
        <w:tc>
          <w:tcPr>
            <w:tcW w:w="2268" w:type="dxa"/>
            <w:vAlign w:val="center"/>
          </w:tcPr>
          <w:p w14:paraId="381FCE4A">
            <w:pPr>
              <w:pStyle w:val="10"/>
            </w:pPr>
            <w:r>
              <w:t>指标值</w:t>
            </w:r>
          </w:p>
        </w:tc>
        <w:tc>
          <w:tcPr>
            <w:tcW w:w="1276" w:type="dxa"/>
            <w:vAlign w:val="center"/>
          </w:tcPr>
          <w:p w14:paraId="529261B2">
            <w:pPr>
              <w:pStyle w:val="10"/>
            </w:pPr>
            <w:r>
              <w:t>指标值确定依据</w:t>
            </w:r>
          </w:p>
        </w:tc>
      </w:tr>
      <w:tr w14:paraId="0B85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0E4C5">
            <w:pPr>
              <w:pStyle w:val="13"/>
            </w:pPr>
            <w:r>
              <w:t>产出指标</w:t>
            </w:r>
          </w:p>
        </w:tc>
        <w:tc>
          <w:tcPr>
            <w:tcW w:w="2268" w:type="dxa"/>
            <w:vAlign w:val="center"/>
          </w:tcPr>
          <w:p w14:paraId="6BF9CE35">
            <w:pPr>
              <w:pStyle w:val="12"/>
            </w:pPr>
            <w:r>
              <w:t>数量指标</w:t>
            </w:r>
          </w:p>
        </w:tc>
        <w:tc>
          <w:tcPr>
            <w:tcW w:w="2835" w:type="dxa"/>
            <w:vAlign w:val="center"/>
          </w:tcPr>
          <w:p w14:paraId="700985DB">
            <w:pPr>
              <w:pStyle w:val="12"/>
            </w:pPr>
            <w:r>
              <w:t>适龄在园生</w:t>
            </w:r>
          </w:p>
        </w:tc>
        <w:tc>
          <w:tcPr>
            <w:tcW w:w="5386" w:type="dxa"/>
            <w:vAlign w:val="center"/>
          </w:tcPr>
          <w:p w14:paraId="095D6442">
            <w:pPr>
              <w:pStyle w:val="12"/>
            </w:pPr>
            <w:r>
              <w:t>适龄在园大班学生人数</w:t>
            </w:r>
          </w:p>
        </w:tc>
        <w:tc>
          <w:tcPr>
            <w:tcW w:w="2268" w:type="dxa"/>
            <w:vAlign w:val="center"/>
          </w:tcPr>
          <w:p w14:paraId="7825E3C6">
            <w:pPr>
              <w:pStyle w:val="12"/>
            </w:pPr>
            <w:r>
              <w:t>138人</w:t>
            </w:r>
          </w:p>
        </w:tc>
        <w:tc>
          <w:tcPr>
            <w:tcW w:w="1276" w:type="dxa"/>
            <w:vAlign w:val="center"/>
          </w:tcPr>
          <w:p w14:paraId="6CE48E52">
            <w:pPr>
              <w:pStyle w:val="12"/>
            </w:pPr>
            <w:r>
              <w:t>免保育教育费生均财政补助标准</w:t>
            </w:r>
          </w:p>
        </w:tc>
      </w:tr>
      <w:tr w14:paraId="1B3D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BFFF2"/>
        </w:tc>
        <w:tc>
          <w:tcPr>
            <w:tcW w:w="2268" w:type="dxa"/>
            <w:vAlign w:val="center"/>
          </w:tcPr>
          <w:p w14:paraId="0A61444B">
            <w:pPr>
              <w:pStyle w:val="12"/>
            </w:pPr>
            <w:r>
              <w:t>质量指标</w:t>
            </w:r>
          </w:p>
        </w:tc>
        <w:tc>
          <w:tcPr>
            <w:tcW w:w="2835" w:type="dxa"/>
            <w:vAlign w:val="center"/>
          </w:tcPr>
          <w:p w14:paraId="445799C2">
            <w:pPr>
              <w:pStyle w:val="12"/>
            </w:pPr>
            <w:r>
              <w:t>预算控制率</w:t>
            </w:r>
          </w:p>
        </w:tc>
        <w:tc>
          <w:tcPr>
            <w:tcW w:w="5386" w:type="dxa"/>
            <w:vAlign w:val="center"/>
          </w:tcPr>
          <w:p w14:paraId="1314529D">
            <w:pPr>
              <w:pStyle w:val="12"/>
            </w:pPr>
            <w:r>
              <w:t>预算执行</w:t>
            </w:r>
          </w:p>
        </w:tc>
        <w:tc>
          <w:tcPr>
            <w:tcW w:w="2268" w:type="dxa"/>
            <w:vAlign w:val="center"/>
          </w:tcPr>
          <w:p w14:paraId="25846B2D">
            <w:pPr>
              <w:pStyle w:val="12"/>
            </w:pPr>
            <w:r>
              <w:t>≥95%</w:t>
            </w:r>
          </w:p>
        </w:tc>
        <w:tc>
          <w:tcPr>
            <w:tcW w:w="1276" w:type="dxa"/>
            <w:vAlign w:val="center"/>
          </w:tcPr>
          <w:p w14:paraId="0C38A65A">
            <w:pPr>
              <w:pStyle w:val="12"/>
            </w:pPr>
            <w:r>
              <w:t>免保育教育费生均财政补助标准</w:t>
            </w:r>
          </w:p>
        </w:tc>
      </w:tr>
      <w:tr w14:paraId="6EB6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4E0D9"/>
        </w:tc>
        <w:tc>
          <w:tcPr>
            <w:tcW w:w="2268" w:type="dxa"/>
            <w:vAlign w:val="center"/>
          </w:tcPr>
          <w:p w14:paraId="3BB52E51">
            <w:pPr>
              <w:pStyle w:val="12"/>
            </w:pPr>
            <w:r>
              <w:t>时效指标</w:t>
            </w:r>
          </w:p>
        </w:tc>
        <w:tc>
          <w:tcPr>
            <w:tcW w:w="2835" w:type="dxa"/>
            <w:vAlign w:val="center"/>
          </w:tcPr>
          <w:p w14:paraId="548D586C">
            <w:pPr>
              <w:pStyle w:val="12"/>
            </w:pPr>
            <w:r>
              <w:t>资金支付率</w:t>
            </w:r>
          </w:p>
        </w:tc>
        <w:tc>
          <w:tcPr>
            <w:tcW w:w="5386" w:type="dxa"/>
            <w:vAlign w:val="center"/>
          </w:tcPr>
          <w:p w14:paraId="762775C9">
            <w:pPr>
              <w:pStyle w:val="12"/>
            </w:pPr>
            <w:r>
              <w:t>按照序时进度完成资金支付</w:t>
            </w:r>
          </w:p>
        </w:tc>
        <w:tc>
          <w:tcPr>
            <w:tcW w:w="2268" w:type="dxa"/>
            <w:vAlign w:val="center"/>
          </w:tcPr>
          <w:p w14:paraId="5CADA760">
            <w:pPr>
              <w:pStyle w:val="12"/>
            </w:pPr>
            <w:r>
              <w:t>100%</w:t>
            </w:r>
          </w:p>
        </w:tc>
        <w:tc>
          <w:tcPr>
            <w:tcW w:w="1276" w:type="dxa"/>
            <w:vAlign w:val="center"/>
          </w:tcPr>
          <w:p w14:paraId="2E41F6AA">
            <w:pPr>
              <w:pStyle w:val="12"/>
            </w:pPr>
            <w:r>
              <w:t>免保育教育费生均财政补助标准</w:t>
            </w:r>
          </w:p>
        </w:tc>
      </w:tr>
      <w:tr w14:paraId="4AA7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7364D"/>
        </w:tc>
        <w:tc>
          <w:tcPr>
            <w:tcW w:w="2268" w:type="dxa"/>
            <w:vAlign w:val="center"/>
          </w:tcPr>
          <w:p w14:paraId="0BF4E4BA">
            <w:pPr>
              <w:pStyle w:val="12"/>
            </w:pPr>
            <w:r>
              <w:t>成本指标</w:t>
            </w:r>
          </w:p>
        </w:tc>
        <w:tc>
          <w:tcPr>
            <w:tcW w:w="2835" w:type="dxa"/>
            <w:vAlign w:val="center"/>
          </w:tcPr>
          <w:p w14:paraId="24C61E33">
            <w:pPr>
              <w:pStyle w:val="12"/>
            </w:pPr>
            <w:r>
              <w:t xml:space="preserve"> 免保育教育费补助</w:t>
            </w:r>
          </w:p>
        </w:tc>
        <w:tc>
          <w:tcPr>
            <w:tcW w:w="5386" w:type="dxa"/>
            <w:vAlign w:val="center"/>
          </w:tcPr>
          <w:p w14:paraId="0287325E">
            <w:pPr>
              <w:pStyle w:val="12"/>
            </w:pPr>
            <w:r>
              <w:t>免保育教育费补助</w:t>
            </w:r>
          </w:p>
        </w:tc>
        <w:tc>
          <w:tcPr>
            <w:tcW w:w="2268" w:type="dxa"/>
            <w:vAlign w:val="center"/>
          </w:tcPr>
          <w:p w14:paraId="0E01851B">
            <w:pPr>
              <w:pStyle w:val="12"/>
            </w:pPr>
            <w:r>
              <w:t>56677元</w:t>
            </w:r>
          </w:p>
        </w:tc>
        <w:tc>
          <w:tcPr>
            <w:tcW w:w="1276" w:type="dxa"/>
            <w:vAlign w:val="center"/>
          </w:tcPr>
          <w:p w14:paraId="38529A8F">
            <w:pPr>
              <w:pStyle w:val="12"/>
            </w:pPr>
            <w:r>
              <w:t>免保育教育费生均财政补助标准</w:t>
            </w:r>
          </w:p>
        </w:tc>
      </w:tr>
      <w:tr w14:paraId="771A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2C50C">
            <w:pPr>
              <w:pStyle w:val="13"/>
            </w:pPr>
            <w:r>
              <w:t>效益指标</w:t>
            </w:r>
          </w:p>
        </w:tc>
        <w:tc>
          <w:tcPr>
            <w:tcW w:w="2268" w:type="dxa"/>
            <w:vAlign w:val="center"/>
          </w:tcPr>
          <w:p w14:paraId="0C2E0B9A">
            <w:pPr>
              <w:pStyle w:val="12"/>
            </w:pPr>
            <w:r>
              <w:t>可持续影响指标</w:t>
            </w:r>
          </w:p>
        </w:tc>
        <w:tc>
          <w:tcPr>
            <w:tcW w:w="2835" w:type="dxa"/>
            <w:vAlign w:val="center"/>
          </w:tcPr>
          <w:p w14:paraId="0B102627">
            <w:pPr>
              <w:pStyle w:val="12"/>
            </w:pPr>
            <w:r>
              <w:t>学校运转得到提升</w:t>
            </w:r>
          </w:p>
        </w:tc>
        <w:tc>
          <w:tcPr>
            <w:tcW w:w="5386" w:type="dxa"/>
            <w:vAlign w:val="center"/>
          </w:tcPr>
          <w:p w14:paraId="376A65CC">
            <w:pPr>
              <w:pStyle w:val="12"/>
            </w:pPr>
            <w:r>
              <w:t>幼儿受教育年限</w:t>
            </w:r>
          </w:p>
        </w:tc>
        <w:tc>
          <w:tcPr>
            <w:tcW w:w="2268" w:type="dxa"/>
            <w:vAlign w:val="center"/>
          </w:tcPr>
          <w:p w14:paraId="1819F979">
            <w:pPr>
              <w:pStyle w:val="12"/>
            </w:pPr>
            <w:r>
              <w:t>3年</w:t>
            </w:r>
          </w:p>
        </w:tc>
        <w:tc>
          <w:tcPr>
            <w:tcW w:w="1276" w:type="dxa"/>
            <w:vAlign w:val="center"/>
          </w:tcPr>
          <w:p w14:paraId="3DB255FC">
            <w:pPr>
              <w:pStyle w:val="12"/>
            </w:pPr>
            <w:r>
              <w:t>免保育教育费生均财政补助标准</w:t>
            </w:r>
          </w:p>
        </w:tc>
      </w:tr>
      <w:tr w14:paraId="5C7B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2D81C">
            <w:pPr>
              <w:pStyle w:val="13"/>
            </w:pPr>
            <w:r>
              <w:t>满意度指标</w:t>
            </w:r>
          </w:p>
        </w:tc>
        <w:tc>
          <w:tcPr>
            <w:tcW w:w="2268" w:type="dxa"/>
            <w:vAlign w:val="center"/>
          </w:tcPr>
          <w:p w14:paraId="7F9D98B1">
            <w:pPr>
              <w:pStyle w:val="12"/>
            </w:pPr>
            <w:r>
              <w:t>服务对象满意度指标</w:t>
            </w:r>
          </w:p>
        </w:tc>
        <w:tc>
          <w:tcPr>
            <w:tcW w:w="2835" w:type="dxa"/>
            <w:vAlign w:val="center"/>
          </w:tcPr>
          <w:p w14:paraId="4A44637E">
            <w:pPr>
              <w:pStyle w:val="12"/>
            </w:pPr>
            <w:r>
              <w:t>受益学生家长及调查满意度</w:t>
            </w:r>
          </w:p>
        </w:tc>
        <w:tc>
          <w:tcPr>
            <w:tcW w:w="5386" w:type="dxa"/>
            <w:vAlign w:val="center"/>
          </w:tcPr>
          <w:p w14:paraId="3610D9CC">
            <w:pPr>
              <w:pStyle w:val="12"/>
            </w:pPr>
            <w:r>
              <w:t>学生、教师及家长对学校保教保育工作满意度情况</w:t>
            </w:r>
          </w:p>
        </w:tc>
        <w:tc>
          <w:tcPr>
            <w:tcW w:w="2268" w:type="dxa"/>
            <w:vAlign w:val="center"/>
          </w:tcPr>
          <w:p w14:paraId="0E9BBE40">
            <w:pPr>
              <w:pStyle w:val="12"/>
            </w:pPr>
            <w:r>
              <w:t>≥95%</w:t>
            </w:r>
          </w:p>
        </w:tc>
        <w:tc>
          <w:tcPr>
            <w:tcW w:w="1276" w:type="dxa"/>
            <w:vAlign w:val="center"/>
          </w:tcPr>
          <w:p w14:paraId="226A092B">
            <w:pPr>
              <w:pStyle w:val="12"/>
            </w:pPr>
            <w:r>
              <w:t>免保育教育费生均财政补助标准</w:t>
            </w:r>
          </w:p>
        </w:tc>
      </w:tr>
    </w:tbl>
    <w:p w14:paraId="6684DC9B">
      <w:pPr>
        <w:sectPr>
          <w:pgSz w:w="16840" w:h="11900" w:orient="landscape"/>
          <w:pgMar w:top="1361" w:right="1020" w:bottom="1134" w:left="1020" w:header="720" w:footer="720" w:gutter="0"/>
          <w:cols w:space="720" w:num="1"/>
        </w:sectPr>
      </w:pPr>
    </w:p>
    <w:p w14:paraId="4AEBCBB6">
      <w:pPr>
        <w:spacing w:before="0" w:after="0"/>
        <w:ind w:firstLine="560"/>
        <w:jc w:val="left"/>
        <w:outlineLvl w:val="9"/>
      </w:pPr>
      <w:r>
        <w:rPr>
          <w:rFonts w:ascii="方正仿宋_GBK" w:hAnsi="方正仿宋_GBK" w:eastAsia="方正仿宋_GBK" w:cs="方正仿宋_GBK"/>
          <w:b/>
          <w:color w:val="000000"/>
          <w:sz w:val="28"/>
        </w:rPr>
        <w:t>4、冀财教[2025]149号/省级/2026年学前发展资金/县直幼儿园学前教育公用经费绩效目标表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F5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AA635">
            <w:pPr>
              <w:pStyle w:val="11"/>
            </w:pPr>
            <w:r>
              <w:t>单位：万元</w:t>
            </w:r>
          </w:p>
        </w:tc>
      </w:tr>
      <w:tr w14:paraId="76CC4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67A26">
            <w:pPr>
              <w:pStyle w:val="10"/>
            </w:pPr>
            <w:r>
              <w:t>项目编码</w:t>
            </w:r>
          </w:p>
        </w:tc>
        <w:tc>
          <w:tcPr>
            <w:tcW w:w="5103" w:type="dxa"/>
            <w:gridSpan w:val="2"/>
            <w:vAlign w:val="center"/>
          </w:tcPr>
          <w:p w14:paraId="001D82E5">
            <w:pPr>
              <w:pStyle w:val="12"/>
            </w:pPr>
            <w:r>
              <w:t>13052526P00875710115M</w:t>
            </w:r>
          </w:p>
        </w:tc>
        <w:tc>
          <w:tcPr>
            <w:tcW w:w="2835" w:type="dxa"/>
            <w:vAlign w:val="center"/>
          </w:tcPr>
          <w:p w14:paraId="49402366">
            <w:pPr>
              <w:pStyle w:val="10"/>
            </w:pPr>
            <w:r>
              <w:t>项目名称</w:t>
            </w:r>
          </w:p>
        </w:tc>
        <w:tc>
          <w:tcPr>
            <w:tcW w:w="6095" w:type="dxa"/>
            <w:gridSpan w:val="3"/>
            <w:vAlign w:val="center"/>
          </w:tcPr>
          <w:p w14:paraId="10F86AD6">
            <w:pPr>
              <w:pStyle w:val="12"/>
            </w:pPr>
            <w:r>
              <w:t>冀财教[2025]149号/省级/2026年学前发展资金/县直幼儿园学前教育公用经费</w:t>
            </w:r>
          </w:p>
        </w:tc>
      </w:tr>
      <w:tr w14:paraId="60766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56F7C">
            <w:pPr>
              <w:pStyle w:val="10"/>
            </w:pPr>
            <w:r>
              <w:t>预算规模及资金用途</w:t>
            </w:r>
          </w:p>
        </w:tc>
        <w:tc>
          <w:tcPr>
            <w:tcW w:w="2268" w:type="dxa"/>
            <w:vAlign w:val="center"/>
          </w:tcPr>
          <w:p w14:paraId="4DB86287">
            <w:pPr>
              <w:pStyle w:val="10"/>
            </w:pPr>
            <w:r>
              <w:t>预算数</w:t>
            </w:r>
          </w:p>
        </w:tc>
        <w:tc>
          <w:tcPr>
            <w:tcW w:w="2835" w:type="dxa"/>
            <w:vAlign w:val="center"/>
          </w:tcPr>
          <w:p w14:paraId="5B2C6562">
            <w:pPr>
              <w:pStyle w:val="12"/>
            </w:pPr>
            <w:r>
              <w:t>4.95</w:t>
            </w:r>
          </w:p>
        </w:tc>
        <w:tc>
          <w:tcPr>
            <w:tcW w:w="2835" w:type="dxa"/>
            <w:vAlign w:val="center"/>
          </w:tcPr>
          <w:p w14:paraId="318DD349">
            <w:pPr>
              <w:pStyle w:val="10"/>
            </w:pPr>
            <w:r>
              <w:t>其中：财政    资金</w:t>
            </w:r>
          </w:p>
        </w:tc>
        <w:tc>
          <w:tcPr>
            <w:tcW w:w="2551" w:type="dxa"/>
            <w:vAlign w:val="center"/>
          </w:tcPr>
          <w:p w14:paraId="3DDF471E">
            <w:pPr>
              <w:pStyle w:val="12"/>
            </w:pPr>
            <w:r>
              <w:t>4.95</w:t>
            </w:r>
          </w:p>
        </w:tc>
        <w:tc>
          <w:tcPr>
            <w:tcW w:w="2268" w:type="dxa"/>
            <w:vAlign w:val="center"/>
          </w:tcPr>
          <w:p w14:paraId="3D2A03C7">
            <w:pPr>
              <w:pStyle w:val="10"/>
            </w:pPr>
            <w:r>
              <w:t>其他资金</w:t>
            </w:r>
          </w:p>
        </w:tc>
        <w:tc>
          <w:tcPr>
            <w:tcW w:w="1276" w:type="dxa"/>
            <w:vAlign w:val="center"/>
          </w:tcPr>
          <w:p w14:paraId="6BD4E59E">
            <w:pPr>
              <w:pStyle w:val="12"/>
            </w:pPr>
            <w:r>
              <w:t xml:space="preserve"> </w:t>
            </w:r>
          </w:p>
        </w:tc>
      </w:tr>
      <w:tr w14:paraId="25030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8AC89"/>
        </w:tc>
        <w:tc>
          <w:tcPr>
            <w:tcW w:w="14033" w:type="dxa"/>
            <w:gridSpan w:val="6"/>
            <w:vAlign w:val="center"/>
          </w:tcPr>
          <w:p w14:paraId="52D6296D">
            <w:pPr>
              <w:pStyle w:val="12"/>
            </w:pPr>
            <w:r>
              <w:t xml:space="preserve"> 保障幼儿园正常运转，完成教育教学活动和其他日常工作任务等方面的费用支出。</w:t>
            </w:r>
            <w:r>
              <w:tab/>
            </w:r>
            <w:r>
              <w:tab/>
            </w:r>
            <w:r>
              <w:tab/>
            </w:r>
            <w:r>
              <w:tab/>
            </w:r>
            <w:r>
              <w:tab/>
            </w:r>
            <w:r>
              <w:tab/>
            </w:r>
          </w:p>
          <w:p w14:paraId="3BA733F1">
            <w:pPr>
              <w:pStyle w:val="12"/>
            </w:pPr>
            <w:r>
              <w:tab/>
            </w:r>
            <w:r>
              <w:tab/>
            </w:r>
            <w:r>
              <w:tab/>
            </w:r>
            <w:r>
              <w:tab/>
            </w:r>
            <w:r>
              <w:tab/>
            </w:r>
            <w:r>
              <w:tab/>
            </w:r>
          </w:p>
          <w:p w14:paraId="22263E00">
            <w:pPr>
              <w:pStyle w:val="12"/>
            </w:pPr>
          </w:p>
        </w:tc>
      </w:tr>
      <w:tr w14:paraId="3A01A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76126">
            <w:pPr>
              <w:pStyle w:val="10"/>
            </w:pPr>
            <w:r>
              <w:t>资金支出计划（%）</w:t>
            </w:r>
          </w:p>
        </w:tc>
        <w:tc>
          <w:tcPr>
            <w:tcW w:w="5103" w:type="dxa"/>
            <w:gridSpan w:val="2"/>
            <w:vAlign w:val="center"/>
          </w:tcPr>
          <w:p w14:paraId="7235986C">
            <w:pPr>
              <w:pStyle w:val="10"/>
            </w:pPr>
            <w:r>
              <w:t>3月底</w:t>
            </w:r>
          </w:p>
        </w:tc>
        <w:tc>
          <w:tcPr>
            <w:tcW w:w="2835" w:type="dxa"/>
            <w:vAlign w:val="center"/>
          </w:tcPr>
          <w:p w14:paraId="2C46FCA3">
            <w:pPr>
              <w:pStyle w:val="10"/>
            </w:pPr>
            <w:r>
              <w:t>6月底</w:t>
            </w:r>
          </w:p>
        </w:tc>
        <w:tc>
          <w:tcPr>
            <w:tcW w:w="2551" w:type="dxa"/>
            <w:vAlign w:val="center"/>
          </w:tcPr>
          <w:p w14:paraId="601DF659">
            <w:pPr>
              <w:pStyle w:val="10"/>
            </w:pPr>
            <w:r>
              <w:t>10月底</w:t>
            </w:r>
          </w:p>
        </w:tc>
        <w:tc>
          <w:tcPr>
            <w:tcW w:w="3544" w:type="dxa"/>
            <w:gridSpan w:val="2"/>
            <w:vAlign w:val="center"/>
          </w:tcPr>
          <w:p w14:paraId="428EA095">
            <w:pPr>
              <w:pStyle w:val="10"/>
            </w:pPr>
            <w:r>
              <w:t>12月底</w:t>
            </w:r>
          </w:p>
        </w:tc>
      </w:tr>
      <w:tr w14:paraId="4665B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76995"/>
        </w:tc>
        <w:tc>
          <w:tcPr>
            <w:tcW w:w="5103" w:type="dxa"/>
            <w:gridSpan w:val="2"/>
            <w:vAlign w:val="center"/>
          </w:tcPr>
          <w:p w14:paraId="5EE87882">
            <w:pPr>
              <w:pStyle w:val="13"/>
            </w:pPr>
            <w:r>
              <w:t>25%</w:t>
            </w:r>
          </w:p>
        </w:tc>
        <w:tc>
          <w:tcPr>
            <w:tcW w:w="2835" w:type="dxa"/>
            <w:vAlign w:val="center"/>
          </w:tcPr>
          <w:p w14:paraId="527B0002">
            <w:pPr>
              <w:pStyle w:val="13"/>
            </w:pPr>
            <w:r>
              <w:t>50%</w:t>
            </w:r>
          </w:p>
        </w:tc>
        <w:tc>
          <w:tcPr>
            <w:tcW w:w="2551" w:type="dxa"/>
            <w:vAlign w:val="center"/>
          </w:tcPr>
          <w:p w14:paraId="025A1414">
            <w:pPr>
              <w:pStyle w:val="13"/>
            </w:pPr>
            <w:r>
              <w:t>75%</w:t>
            </w:r>
          </w:p>
        </w:tc>
        <w:tc>
          <w:tcPr>
            <w:tcW w:w="3544" w:type="dxa"/>
            <w:gridSpan w:val="2"/>
            <w:vAlign w:val="center"/>
          </w:tcPr>
          <w:p w14:paraId="4E6B0FDA">
            <w:pPr>
              <w:pStyle w:val="13"/>
            </w:pPr>
            <w:r>
              <w:t>100%</w:t>
            </w:r>
          </w:p>
        </w:tc>
      </w:tr>
      <w:tr w14:paraId="63E09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1A25C">
            <w:pPr>
              <w:pStyle w:val="10"/>
            </w:pPr>
            <w:r>
              <w:t>绩效目标</w:t>
            </w:r>
          </w:p>
        </w:tc>
        <w:tc>
          <w:tcPr>
            <w:tcW w:w="14033" w:type="dxa"/>
            <w:gridSpan w:val="6"/>
            <w:vAlign w:val="center"/>
          </w:tcPr>
          <w:p w14:paraId="3A76C3AE">
            <w:pPr>
              <w:pStyle w:val="12"/>
            </w:pPr>
            <w:r>
              <w:t>1.保障幼儿园正常运转，完成教育教学活动和其他日常工作任务等方面的费用支出。</w:t>
            </w:r>
            <w:r>
              <w:tab/>
            </w:r>
            <w:r>
              <w:tab/>
            </w:r>
            <w:r>
              <w:tab/>
            </w:r>
            <w:r>
              <w:tab/>
            </w:r>
            <w:r>
              <w:tab/>
            </w:r>
            <w:r>
              <w:tab/>
            </w:r>
          </w:p>
          <w:p w14:paraId="7A59105B">
            <w:pPr>
              <w:pStyle w:val="12"/>
            </w:pPr>
          </w:p>
          <w:p w14:paraId="429FAFC1">
            <w:pPr>
              <w:pStyle w:val="12"/>
            </w:pPr>
            <w:r>
              <w:t>2.按季度分批次拨付公用经费资金，资金拨付率达到100%。</w:t>
            </w:r>
          </w:p>
        </w:tc>
      </w:tr>
    </w:tbl>
    <w:p w14:paraId="318ED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6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A83EF">
            <w:pPr>
              <w:pStyle w:val="10"/>
            </w:pPr>
            <w:r>
              <w:t>一级指标</w:t>
            </w:r>
          </w:p>
        </w:tc>
        <w:tc>
          <w:tcPr>
            <w:tcW w:w="2268" w:type="dxa"/>
            <w:vAlign w:val="center"/>
          </w:tcPr>
          <w:p w14:paraId="32EF8DDC">
            <w:pPr>
              <w:pStyle w:val="10"/>
            </w:pPr>
            <w:r>
              <w:t>二级指标</w:t>
            </w:r>
          </w:p>
        </w:tc>
        <w:tc>
          <w:tcPr>
            <w:tcW w:w="2835" w:type="dxa"/>
            <w:vAlign w:val="center"/>
          </w:tcPr>
          <w:p w14:paraId="13678A48">
            <w:pPr>
              <w:pStyle w:val="10"/>
            </w:pPr>
            <w:r>
              <w:t>三级指标</w:t>
            </w:r>
          </w:p>
        </w:tc>
        <w:tc>
          <w:tcPr>
            <w:tcW w:w="5386" w:type="dxa"/>
            <w:vAlign w:val="center"/>
          </w:tcPr>
          <w:p w14:paraId="5623B26F">
            <w:pPr>
              <w:pStyle w:val="10"/>
            </w:pPr>
            <w:r>
              <w:t>绩效指标描述</w:t>
            </w:r>
          </w:p>
        </w:tc>
        <w:tc>
          <w:tcPr>
            <w:tcW w:w="2268" w:type="dxa"/>
            <w:vAlign w:val="center"/>
          </w:tcPr>
          <w:p w14:paraId="02E21AE7">
            <w:pPr>
              <w:pStyle w:val="10"/>
            </w:pPr>
            <w:r>
              <w:t>指标值</w:t>
            </w:r>
          </w:p>
        </w:tc>
        <w:tc>
          <w:tcPr>
            <w:tcW w:w="1276" w:type="dxa"/>
            <w:vAlign w:val="center"/>
          </w:tcPr>
          <w:p w14:paraId="3E3C029F">
            <w:pPr>
              <w:pStyle w:val="10"/>
            </w:pPr>
            <w:r>
              <w:t>指标值确定依据</w:t>
            </w:r>
          </w:p>
        </w:tc>
      </w:tr>
      <w:tr w14:paraId="3BEF2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B571B">
            <w:pPr>
              <w:pStyle w:val="13"/>
            </w:pPr>
            <w:r>
              <w:t>产出指标</w:t>
            </w:r>
          </w:p>
        </w:tc>
        <w:tc>
          <w:tcPr>
            <w:tcW w:w="2268" w:type="dxa"/>
            <w:vAlign w:val="center"/>
          </w:tcPr>
          <w:p w14:paraId="4BC8C322">
            <w:pPr>
              <w:pStyle w:val="12"/>
            </w:pPr>
            <w:r>
              <w:t>成本指标</w:t>
            </w:r>
          </w:p>
        </w:tc>
        <w:tc>
          <w:tcPr>
            <w:tcW w:w="2835" w:type="dxa"/>
            <w:vAlign w:val="center"/>
          </w:tcPr>
          <w:p w14:paraId="47F4C1AB">
            <w:pPr>
              <w:pStyle w:val="12"/>
            </w:pPr>
            <w:r>
              <w:t>适龄在园生</w:t>
            </w:r>
          </w:p>
        </w:tc>
        <w:tc>
          <w:tcPr>
            <w:tcW w:w="5386" w:type="dxa"/>
            <w:vAlign w:val="center"/>
          </w:tcPr>
          <w:p w14:paraId="00EBF712">
            <w:pPr>
              <w:pStyle w:val="12"/>
            </w:pPr>
            <w:r>
              <w:t>适龄在园学生人数</w:t>
            </w:r>
          </w:p>
        </w:tc>
        <w:tc>
          <w:tcPr>
            <w:tcW w:w="2268" w:type="dxa"/>
            <w:vAlign w:val="center"/>
          </w:tcPr>
          <w:p w14:paraId="6519C4E1">
            <w:pPr>
              <w:pStyle w:val="12"/>
            </w:pPr>
            <w:r>
              <w:t>330人</w:t>
            </w:r>
          </w:p>
        </w:tc>
        <w:tc>
          <w:tcPr>
            <w:tcW w:w="1276" w:type="dxa"/>
            <w:vAlign w:val="center"/>
          </w:tcPr>
          <w:p w14:paraId="742BA2F7">
            <w:pPr>
              <w:pStyle w:val="12"/>
            </w:pPr>
            <w:r>
              <w:t>学前公用经费管理办法</w:t>
            </w:r>
          </w:p>
        </w:tc>
      </w:tr>
      <w:tr w14:paraId="62BF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4E6A9"/>
        </w:tc>
        <w:tc>
          <w:tcPr>
            <w:tcW w:w="2268" w:type="dxa"/>
            <w:vAlign w:val="center"/>
          </w:tcPr>
          <w:p w14:paraId="1530FC4E">
            <w:pPr>
              <w:pStyle w:val="12"/>
            </w:pPr>
            <w:r>
              <w:t>数量指标</w:t>
            </w:r>
          </w:p>
        </w:tc>
        <w:tc>
          <w:tcPr>
            <w:tcW w:w="2835" w:type="dxa"/>
            <w:vAlign w:val="center"/>
          </w:tcPr>
          <w:p w14:paraId="6BEC41C9">
            <w:pPr>
              <w:pStyle w:val="12"/>
            </w:pPr>
            <w:r>
              <w:t>预算控制率</w:t>
            </w:r>
          </w:p>
        </w:tc>
        <w:tc>
          <w:tcPr>
            <w:tcW w:w="5386" w:type="dxa"/>
            <w:vAlign w:val="center"/>
          </w:tcPr>
          <w:p w14:paraId="3DF97324">
            <w:pPr>
              <w:pStyle w:val="12"/>
            </w:pPr>
            <w:r>
              <w:t>预算执行</w:t>
            </w:r>
          </w:p>
        </w:tc>
        <w:tc>
          <w:tcPr>
            <w:tcW w:w="2268" w:type="dxa"/>
            <w:vAlign w:val="center"/>
          </w:tcPr>
          <w:p w14:paraId="1A7D2EC8">
            <w:pPr>
              <w:pStyle w:val="12"/>
            </w:pPr>
            <w:r>
              <w:t>≥95%</w:t>
            </w:r>
          </w:p>
        </w:tc>
        <w:tc>
          <w:tcPr>
            <w:tcW w:w="1276" w:type="dxa"/>
            <w:vAlign w:val="center"/>
          </w:tcPr>
          <w:p w14:paraId="596AFBFD">
            <w:pPr>
              <w:pStyle w:val="12"/>
            </w:pPr>
            <w:r>
              <w:t>学前公用经费管理办法</w:t>
            </w:r>
          </w:p>
        </w:tc>
      </w:tr>
      <w:tr w14:paraId="47F28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DFE81"/>
        </w:tc>
        <w:tc>
          <w:tcPr>
            <w:tcW w:w="2268" w:type="dxa"/>
            <w:vAlign w:val="center"/>
          </w:tcPr>
          <w:p w14:paraId="0439BA2C">
            <w:pPr>
              <w:pStyle w:val="12"/>
            </w:pPr>
            <w:r>
              <w:t>质量指标</w:t>
            </w:r>
          </w:p>
        </w:tc>
        <w:tc>
          <w:tcPr>
            <w:tcW w:w="2835" w:type="dxa"/>
            <w:vAlign w:val="center"/>
          </w:tcPr>
          <w:p w14:paraId="1C41DAE9">
            <w:pPr>
              <w:pStyle w:val="12"/>
            </w:pPr>
            <w:r>
              <w:t>资金支付率</w:t>
            </w:r>
          </w:p>
        </w:tc>
        <w:tc>
          <w:tcPr>
            <w:tcW w:w="5386" w:type="dxa"/>
            <w:vAlign w:val="center"/>
          </w:tcPr>
          <w:p w14:paraId="1A6AD069">
            <w:pPr>
              <w:pStyle w:val="12"/>
            </w:pPr>
            <w:r>
              <w:t>按照序时进度完成资金支付</w:t>
            </w:r>
          </w:p>
        </w:tc>
        <w:tc>
          <w:tcPr>
            <w:tcW w:w="2268" w:type="dxa"/>
            <w:vAlign w:val="center"/>
          </w:tcPr>
          <w:p w14:paraId="58C6C968">
            <w:pPr>
              <w:pStyle w:val="12"/>
            </w:pPr>
            <w:r>
              <w:t>100%</w:t>
            </w:r>
          </w:p>
        </w:tc>
        <w:tc>
          <w:tcPr>
            <w:tcW w:w="1276" w:type="dxa"/>
            <w:vAlign w:val="center"/>
          </w:tcPr>
          <w:p w14:paraId="4DE53900">
            <w:pPr>
              <w:pStyle w:val="12"/>
            </w:pPr>
            <w:r>
              <w:t>学前公用经费管理办法</w:t>
            </w:r>
          </w:p>
        </w:tc>
      </w:tr>
      <w:tr w14:paraId="330E9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AF411"/>
        </w:tc>
        <w:tc>
          <w:tcPr>
            <w:tcW w:w="2268" w:type="dxa"/>
            <w:vAlign w:val="center"/>
          </w:tcPr>
          <w:p w14:paraId="22DB22FD">
            <w:pPr>
              <w:pStyle w:val="12"/>
            </w:pPr>
            <w:r>
              <w:t>时效指标</w:t>
            </w:r>
          </w:p>
        </w:tc>
        <w:tc>
          <w:tcPr>
            <w:tcW w:w="2835" w:type="dxa"/>
            <w:vAlign w:val="center"/>
          </w:tcPr>
          <w:p w14:paraId="08F7172B">
            <w:pPr>
              <w:pStyle w:val="12"/>
            </w:pPr>
            <w:r>
              <w:t>生均拨款标准</w:t>
            </w:r>
          </w:p>
        </w:tc>
        <w:tc>
          <w:tcPr>
            <w:tcW w:w="5386" w:type="dxa"/>
            <w:vAlign w:val="center"/>
          </w:tcPr>
          <w:p w14:paraId="72CC19B7">
            <w:pPr>
              <w:pStyle w:val="12"/>
            </w:pPr>
            <w:r>
              <w:t>学前：（基本标准600元/生/学年）</w:t>
            </w:r>
          </w:p>
        </w:tc>
        <w:tc>
          <w:tcPr>
            <w:tcW w:w="2268" w:type="dxa"/>
            <w:vAlign w:val="center"/>
          </w:tcPr>
          <w:p w14:paraId="6DC72AB5">
            <w:pPr>
              <w:pStyle w:val="12"/>
            </w:pPr>
            <w:r>
              <w:t>600元</w:t>
            </w:r>
          </w:p>
        </w:tc>
        <w:tc>
          <w:tcPr>
            <w:tcW w:w="1276" w:type="dxa"/>
            <w:vAlign w:val="center"/>
          </w:tcPr>
          <w:p w14:paraId="45266160">
            <w:pPr>
              <w:pStyle w:val="12"/>
            </w:pPr>
            <w:r>
              <w:t>学前公用经费管理办法</w:t>
            </w:r>
          </w:p>
        </w:tc>
      </w:tr>
      <w:tr w14:paraId="7C83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F30FD">
            <w:pPr>
              <w:pStyle w:val="13"/>
            </w:pPr>
            <w:r>
              <w:t>效益指标</w:t>
            </w:r>
          </w:p>
        </w:tc>
        <w:tc>
          <w:tcPr>
            <w:tcW w:w="2268" w:type="dxa"/>
            <w:vAlign w:val="center"/>
          </w:tcPr>
          <w:p w14:paraId="649E9B0B">
            <w:pPr>
              <w:pStyle w:val="12"/>
            </w:pPr>
            <w:r>
              <w:t>可持续影响指标</w:t>
            </w:r>
          </w:p>
        </w:tc>
        <w:tc>
          <w:tcPr>
            <w:tcW w:w="2835" w:type="dxa"/>
            <w:vAlign w:val="center"/>
          </w:tcPr>
          <w:p w14:paraId="4B4A00AB">
            <w:pPr>
              <w:pStyle w:val="12"/>
            </w:pPr>
            <w:r>
              <w:t>学校运转得到提升</w:t>
            </w:r>
          </w:p>
        </w:tc>
        <w:tc>
          <w:tcPr>
            <w:tcW w:w="5386" w:type="dxa"/>
            <w:vAlign w:val="center"/>
          </w:tcPr>
          <w:p w14:paraId="0F303696">
            <w:pPr>
              <w:pStyle w:val="12"/>
            </w:pPr>
            <w:r>
              <w:t>幼儿受教育年限</w:t>
            </w:r>
          </w:p>
        </w:tc>
        <w:tc>
          <w:tcPr>
            <w:tcW w:w="2268" w:type="dxa"/>
            <w:vAlign w:val="center"/>
          </w:tcPr>
          <w:p w14:paraId="4273C07B">
            <w:pPr>
              <w:pStyle w:val="12"/>
            </w:pPr>
            <w:r>
              <w:t>3年</w:t>
            </w:r>
          </w:p>
        </w:tc>
        <w:tc>
          <w:tcPr>
            <w:tcW w:w="1276" w:type="dxa"/>
            <w:vAlign w:val="center"/>
          </w:tcPr>
          <w:p w14:paraId="7EF005AA">
            <w:pPr>
              <w:pStyle w:val="12"/>
            </w:pPr>
            <w:r>
              <w:t>学前公用经费管理办法</w:t>
            </w:r>
          </w:p>
        </w:tc>
      </w:tr>
      <w:tr w14:paraId="10C7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CE481">
            <w:pPr>
              <w:pStyle w:val="13"/>
            </w:pPr>
            <w:r>
              <w:t>满意度指标</w:t>
            </w:r>
          </w:p>
        </w:tc>
        <w:tc>
          <w:tcPr>
            <w:tcW w:w="2268" w:type="dxa"/>
            <w:vAlign w:val="center"/>
          </w:tcPr>
          <w:p w14:paraId="19396A0A">
            <w:pPr>
              <w:pStyle w:val="12"/>
            </w:pPr>
            <w:r>
              <w:t>服务对象满意度指标</w:t>
            </w:r>
          </w:p>
        </w:tc>
        <w:tc>
          <w:tcPr>
            <w:tcW w:w="2835" w:type="dxa"/>
            <w:vAlign w:val="center"/>
          </w:tcPr>
          <w:p w14:paraId="41123006">
            <w:pPr>
              <w:pStyle w:val="12"/>
            </w:pPr>
            <w:r>
              <w:t>受益学生家长及调查满意度</w:t>
            </w:r>
          </w:p>
        </w:tc>
        <w:tc>
          <w:tcPr>
            <w:tcW w:w="5386" w:type="dxa"/>
            <w:vAlign w:val="center"/>
          </w:tcPr>
          <w:p w14:paraId="65475865">
            <w:pPr>
              <w:pStyle w:val="12"/>
            </w:pPr>
            <w:r>
              <w:t>学生、教师及家长对学校保教保育工作满意度情况</w:t>
            </w:r>
          </w:p>
        </w:tc>
        <w:tc>
          <w:tcPr>
            <w:tcW w:w="2268" w:type="dxa"/>
            <w:vAlign w:val="center"/>
          </w:tcPr>
          <w:p w14:paraId="25A5CF9F">
            <w:pPr>
              <w:pStyle w:val="12"/>
            </w:pPr>
            <w:r>
              <w:t>≥95%</w:t>
            </w:r>
          </w:p>
        </w:tc>
        <w:tc>
          <w:tcPr>
            <w:tcW w:w="1276" w:type="dxa"/>
            <w:vAlign w:val="center"/>
          </w:tcPr>
          <w:p w14:paraId="6B6F7373">
            <w:pPr>
              <w:pStyle w:val="12"/>
            </w:pPr>
            <w:r>
              <w:t>群众测评</w:t>
            </w:r>
          </w:p>
        </w:tc>
      </w:tr>
    </w:tbl>
    <w:p w14:paraId="0488ECD2">
      <w:pPr>
        <w:sectPr>
          <w:pgSz w:w="16840" w:h="11900" w:orient="landscape"/>
          <w:pgMar w:top="1361" w:right="1020" w:bottom="1134" w:left="1020" w:header="720" w:footer="720" w:gutter="0"/>
          <w:cols w:space="720" w:num="1"/>
        </w:sectPr>
      </w:pPr>
    </w:p>
    <w:p w14:paraId="30AA221B">
      <w:pPr>
        <w:spacing w:before="0" w:after="0"/>
        <w:ind w:firstLine="560"/>
        <w:jc w:val="left"/>
        <w:outlineLvl w:val="9"/>
      </w:pPr>
      <w:r>
        <w:rPr>
          <w:rFonts w:ascii="方正仿宋_GBK" w:hAnsi="方正仿宋_GBK" w:eastAsia="方正仿宋_GBK" w:cs="方正仿宋_GBK"/>
          <w:b/>
          <w:color w:val="000000"/>
          <w:sz w:val="28"/>
        </w:rPr>
        <w:t>5、冀财教[2025]149号/省级/2026年学前发展资金/县直幼儿园学前教育幼儿资助绩效目标表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23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A0BBA">
            <w:pPr>
              <w:pStyle w:val="11"/>
            </w:pPr>
            <w:r>
              <w:t>单位：万元</w:t>
            </w:r>
          </w:p>
        </w:tc>
      </w:tr>
      <w:tr w14:paraId="2142D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F2E21">
            <w:pPr>
              <w:pStyle w:val="10"/>
            </w:pPr>
            <w:r>
              <w:t>项目编码</w:t>
            </w:r>
          </w:p>
        </w:tc>
        <w:tc>
          <w:tcPr>
            <w:tcW w:w="5103" w:type="dxa"/>
            <w:gridSpan w:val="2"/>
            <w:vAlign w:val="center"/>
          </w:tcPr>
          <w:p w14:paraId="367BE420">
            <w:pPr>
              <w:pStyle w:val="12"/>
            </w:pPr>
            <w:r>
              <w:t>13052526P00000210065C</w:t>
            </w:r>
          </w:p>
        </w:tc>
        <w:tc>
          <w:tcPr>
            <w:tcW w:w="2835" w:type="dxa"/>
            <w:vAlign w:val="center"/>
          </w:tcPr>
          <w:p w14:paraId="6DCDDA23">
            <w:pPr>
              <w:pStyle w:val="10"/>
            </w:pPr>
            <w:r>
              <w:t>项目名称</w:t>
            </w:r>
          </w:p>
        </w:tc>
        <w:tc>
          <w:tcPr>
            <w:tcW w:w="6095" w:type="dxa"/>
            <w:gridSpan w:val="3"/>
            <w:vAlign w:val="center"/>
          </w:tcPr>
          <w:p w14:paraId="6C3FA2F7">
            <w:pPr>
              <w:pStyle w:val="12"/>
            </w:pPr>
            <w:r>
              <w:t>冀财教[2025]149号/省级/2026年学前发展资金/县直幼儿园学前教育幼儿资助</w:t>
            </w:r>
          </w:p>
        </w:tc>
      </w:tr>
      <w:tr w14:paraId="72BA4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4EADF">
            <w:pPr>
              <w:pStyle w:val="10"/>
            </w:pPr>
            <w:r>
              <w:t>预算规模及资金用途</w:t>
            </w:r>
          </w:p>
        </w:tc>
        <w:tc>
          <w:tcPr>
            <w:tcW w:w="2268" w:type="dxa"/>
            <w:vAlign w:val="center"/>
          </w:tcPr>
          <w:p w14:paraId="05D4F5E2">
            <w:pPr>
              <w:pStyle w:val="10"/>
            </w:pPr>
            <w:r>
              <w:t>预算数</w:t>
            </w:r>
          </w:p>
        </w:tc>
        <w:tc>
          <w:tcPr>
            <w:tcW w:w="2835" w:type="dxa"/>
            <w:vAlign w:val="center"/>
          </w:tcPr>
          <w:p w14:paraId="3C4632EE">
            <w:pPr>
              <w:pStyle w:val="12"/>
            </w:pPr>
            <w:r>
              <w:t>0.54</w:t>
            </w:r>
          </w:p>
        </w:tc>
        <w:tc>
          <w:tcPr>
            <w:tcW w:w="2835" w:type="dxa"/>
            <w:vAlign w:val="center"/>
          </w:tcPr>
          <w:p w14:paraId="57403DA3">
            <w:pPr>
              <w:pStyle w:val="10"/>
            </w:pPr>
            <w:r>
              <w:t>其中：财政    资金</w:t>
            </w:r>
          </w:p>
        </w:tc>
        <w:tc>
          <w:tcPr>
            <w:tcW w:w="2551" w:type="dxa"/>
            <w:vAlign w:val="center"/>
          </w:tcPr>
          <w:p w14:paraId="0CF9C159">
            <w:pPr>
              <w:pStyle w:val="12"/>
            </w:pPr>
            <w:r>
              <w:t>0.54</w:t>
            </w:r>
          </w:p>
        </w:tc>
        <w:tc>
          <w:tcPr>
            <w:tcW w:w="2268" w:type="dxa"/>
            <w:vAlign w:val="center"/>
          </w:tcPr>
          <w:p w14:paraId="0B0EA28A">
            <w:pPr>
              <w:pStyle w:val="10"/>
            </w:pPr>
            <w:r>
              <w:t>其他资金</w:t>
            </w:r>
          </w:p>
        </w:tc>
        <w:tc>
          <w:tcPr>
            <w:tcW w:w="1276" w:type="dxa"/>
            <w:vAlign w:val="center"/>
          </w:tcPr>
          <w:p w14:paraId="77CAF8B7">
            <w:pPr>
              <w:pStyle w:val="12"/>
            </w:pPr>
            <w:r>
              <w:t xml:space="preserve"> </w:t>
            </w:r>
          </w:p>
        </w:tc>
      </w:tr>
      <w:tr w14:paraId="76403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9C936"/>
        </w:tc>
        <w:tc>
          <w:tcPr>
            <w:tcW w:w="14033" w:type="dxa"/>
            <w:gridSpan w:val="6"/>
            <w:vAlign w:val="center"/>
          </w:tcPr>
          <w:p w14:paraId="0FB119D0">
            <w:pPr>
              <w:pStyle w:val="12"/>
            </w:pPr>
            <w:r>
              <w:t>保证本年度资助经费足额落实到位，符合享受资助条件的学生应助尽助。</w:t>
            </w:r>
            <w:r>
              <w:tab/>
            </w:r>
            <w:r>
              <w:tab/>
            </w:r>
            <w:r>
              <w:tab/>
            </w:r>
            <w:r>
              <w:tab/>
            </w:r>
            <w:r>
              <w:tab/>
            </w:r>
            <w:r>
              <w:tab/>
            </w:r>
          </w:p>
          <w:p w14:paraId="444B484E">
            <w:pPr>
              <w:pStyle w:val="12"/>
            </w:pPr>
          </w:p>
        </w:tc>
      </w:tr>
      <w:tr w14:paraId="10CD4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D5B00">
            <w:pPr>
              <w:pStyle w:val="10"/>
            </w:pPr>
            <w:r>
              <w:t>资金支出计划（%）</w:t>
            </w:r>
          </w:p>
        </w:tc>
        <w:tc>
          <w:tcPr>
            <w:tcW w:w="5103" w:type="dxa"/>
            <w:gridSpan w:val="2"/>
            <w:vAlign w:val="center"/>
          </w:tcPr>
          <w:p w14:paraId="427B4C7E">
            <w:pPr>
              <w:pStyle w:val="10"/>
            </w:pPr>
            <w:r>
              <w:t>3月底</w:t>
            </w:r>
          </w:p>
        </w:tc>
        <w:tc>
          <w:tcPr>
            <w:tcW w:w="2835" w:type="dxa"/>
            <w:vAlign w:val="center"/>
          </w:tcPr>
          <w:p w14:paraId="54D5F87C">
            <w:pPr>
              <w:pStyle w:val="10"/>
            </w:pPr>
            <w:r>
              <w:t>6月底</w:t>
            </w:r>
          </w:p>
        </w:tc>
        <w:tc>
          <w:tcPr>
            <w:tcW w:w="2551" w:type="dxa"/>
            <w:vAlign w:val="center"/>
          </w:tcPr>
          <w:p w14:paraId="365094EA">
            <w:pPr>
              <w:pStyle w:val="10"/>
            </w:pPr>
            <w:r>
              <w:t>10月底</w:t>
            </w:r>
          </w:p>
        </w:tc>
        <w:tc>
          <w:tcPr>
            <w:tcW w:w="3544" w:type="dxa"/>
            <w:gridSpan w:val="2"/>
            <w:vAlign w:val="center"/>
          </w:tcPr>
          <w:p w14:paraId="4E1DEC3E">
            <w:pPr>
              <w:pStyle w:val="10"/>
            </w:pPr>
            <w:r>
              <w:t>12月底</w:t>
            </w:r>
          </w:p>
        </w:tc>
      </w:tr>
      <w:tr w14:paraId="468FC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B9F06"/>
        </w:tc>
        <w:tc>
          <w:tcPr>
            <w:tcW w:w="5103" w:type="dxa"/>
            <w:gridSpan w:val="2"/>
            <w:vAlign w:val="center"/>
          </w:tcPr>
          <w:p w14:paraId="3A5DC024">
            <w:pPr>
              <w:pStyle w:val="13"/>
            </w:pPr>
            <w:r>
              <w:t xml:space="preserve"> </w:t>
            </w:r>
          </w:p>
        </w:tc>
        <w:tc>
          <w:tcPr>
            <w:tcW w:w="2835" w:type="dxa"/>
            <w:vAlign w:val="center"/>
          </w:tcPr>
          <w:p w14:paraId="763A42AD">
            <w:pPr>
              <w:pStyle w:val="13"/>
            </w:pPr>
            <w:r>
              <w:t>50%</w:t>
            </w:r>
          </w:p>
        </w:tc>
        <w:tc>
          <w:tcPr>
            <w:tcW w:w="2551" w:type="dxa"/>
            <w:vAlign w:val="center"/>
          </w:tcPr>
          <w:p w14:paraId="1D359FB6">
            <w:pPr>
              <w:pStyle w:val="13"/>
            </w:pPr>
            <w:r>
              <w:t>50%</w:t>
            </w:r>
          </w:p>
        </w:tc>
        <w:tc>
          <w:tcPr>
            <w:tcW w:w="3544" w:type="dxa"/>
            <w:gridSpan w:val="2"/>
            <w:vAlign w:val="center"/>
          </w:tcPr>
          <w:p w14:paraId="3479B882">
            <w:pPr>
              <w:pStyle w:val="13"/>
            </w:pPr>
            <w:r>
              <w:t>100%</w:t>
            </w:r>
          </w:p>
        </w:tc>
      </w:tr>
      <w:tr w14:paraId="789CE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175C4">
            <w:pPr>
              <w:pStyle w:val="10"/>
            </w:pPr>
            <w:r>
              <w:t>绩效目标</w:t>
            </w:r>
          </w:p>
        </w:tc>
        <w:tc>
          <w:tcPr>
            <w:tcW w:w="14033" w:type="dxa"/>
            <w:gridSpan w:val="6"/>
            <w:vAlign w:val="center"/>
          </w:tcPr>
          <w:p w14:paraId="5C57D408">
            <w:pPr>
              <w:pStyle w:val="12"/>
            </w:pPr>
            <w:r>
              <w:t>1.保证本年度资助经费足额落实到位，符合享受资助条件的学生应助尽助。</w:t>
            </w:r>
          </w:p>
        </w:tc>
      </w:tr>
    </w:tbl>
    <w:p w14:paraId="69AB2C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9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764AA">
            <w:pPr>
              <w:pStyle w:val="10"/>
            </w:pPr>
            <w:r>
              <w:t>一级指标</w:t>
            </w:r>
          </w:p>
        </w:tc>
        <w:tc>
          <w:tcPr>
            <w:tcW w:w="2268" w:type="dxa"/>
            <w:vAlign w:val="center"/>
          </w:tcPr>
          <w:p w14:paraId="0539CD73">
            <w:pPr>
              <w:pStyle w:val="10"/>
            </w:pPr>
            <w:r>
              <w:t>二级指标</w:t>
            </w:r>
          </w:p>
        </w:tc>
        <w:tc>
          <w:tcPr>
            <w:tcW w:w="2835" w:type="dxa"/>
            <w:vAlign w:val="center"/>
          </w:tcPr>
          <w:p w14:paraId="32B62CAE">
            <w:pPr>
              <w:pStyle w:val="10"/>
            </w:pPr>
            <w:r>
              <w:t>三级指标</w:t>
            </w:r>
          </w:p>
        </w:tc>
        <w:tc>
          <w:tcPr>
            <w:tcW w:w="5386" w:type="dxa"/>
            <w:vAlign w:val="center"/>
          </w:tcPr>
          <w:p w14:paraId="0F6288CF">
            <w:pPr>
              <w:pStyle w:val="10"/>
            </w:pPr>
            <w:r>
              <w:t>绩效指标描述</w:t>
            </w:r>
          </w:p>
        </w:tc>
        <w:tc>
          <w:tcPr>
            <w:tcW w:w="2268" w:type="dxa"/>
            <w:vAlign w:val="center"/>
          </w:tcPr>
          <w:p w14:paraId="59B5EF7F">
            <w:pPr>
              <w:pStyle w:val="10"/>
            </w:pPr>
            <w:r>
              <w:t>指标值</w:t>
            </w:r>
          </w:p>
        </w:tc>
        <w:tc>
          <w:tcPr>
            <w:tcW w:w="1276" w:type="dxa"/>
            <w:vAlign w:val="center"/>
          </w:tcPr>
          <w:p w14:paraId="68BCF430">
            <w:pPr>
              <w:pStyle w:val="10"/>
            </w:pPr>
            <w:r>
              <w:t>指标值确定依据</w:t>
            </w:r>
          </w:p>
        </w:tc>
      </w:tr>
      <w:tr w14:paraId="4303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0A754">
            <w:pPr>
              <w:pStyle w:val="13"/>
            </w:pPr>
            <w:r>
              <w:t>产出指标</w:t>
            </w:r>
          </w:p>
        </w:tc>
        <w:tc>
          <w:tcPr>
            <w:tcW w:w="2268" w:type="dxa"/>
            <w:vAlign w:val="center"/>
          </w:tcPr>
          <w:p w14:paraId="2355D166">
            <w:pPr>
              <w:pStyle w:val="12"/>
            </w:pPr>
            <w:r>
              <w:t>数量指标</w:t>
            </w:r>
          </w:p>
        </w:tc>
        <w:tc>
          <w:tcPr>
            <w:tcW w:w="2835" w:type="dxa"/>
            <w:vAlign w:val="center"/>
          </w:tcPr>
          <w:p w14:paraId="71976D21">
            <w:pPr>
              <w:pStyle w:val="12"/>
            </w:pPr>
            <w:r>
              <w:t xml:space="preserve"> 幼儿资助人数</w:t>
            </w:r>
          </w:p>
        </w:tc>
        <w:tc>
          <w:tcPr>
            <w:tcW w:w="5386" w:type="dxa"/>
            <w:vAlign w:val="center"/>
          </w:tcPr>
          <w:p w14:paraId="3E413CA8">
            <w:pPr>
              <w:pStyle w:val="12"/>
            </w:pPr>
            <w:r>
              <w:t xml:space="preserve"> 幼儿资助人数</w:t>
            </w:r>
          </w:p>
        </w:tc>
        <w:tc>
          <w:tcPr>
            <w:tcW w:w="2268" w:type="dxa"/>
            <w:vAlign w:val="center"/>
          </w:tcPr>
          <w:p w14:paraId="57F7736C">
            <w:pPr>
              <w:pStyle w:val="12"/>
            </w:pPr>
            <w:r>
              <w:t>27 人</w:t>
            </w:r>
          </w:p>
        </w:tc>
        <w:tc>
          <w:tcPr>
            <w:tcW w:w="1276" w:type="dxa"/>
            <w:vAlign w:val="center"/>
          </w:tcPr>
          <w:p w14:paraId="06AD27F5">
            <w:pPr>
              <w:pStyle w:val="12"/>
            </w:pPr>
            <w:r>
              <w:t>幼儿资助经费管理办法</w:t>
            </w:r>
          </w:p>
        </w:tc>
      </w:tr>
      <w:tr w14:paraId="7864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00BED"/>
        </w:tc>
        <w:tc>
          <w:tcPr>
            <w:tcW w:w="2268" w:type="dxa"/>
            <w:vAlign w:val="center"/>
          </w:tcPr>
          <w:p w14:paraId="06925516">
            <w:pPr>
              <w:pStyle w:val="12"/>
            </w:pPr>
            <w:r>
              <w:t>质量指标</w:t>
            </w:r>
          </w:p>
        </w:tc>
        <w:tc>
          <w:tcPr>
            <w:tcW w:w="2835" w:type="dxa"/>
            <w:vAlign w:val="center"/>
          </w:tcPr>
          <w:p w14:paraId="6B53DD1C">
            <w:pPr>
              <w:pStyle w:val="12"/>
            </w:pPr>
            <w:r>
              <w:t>资助资金使用率</w:t>
            </w:r>
          </w:p>
        </w:tc>
        <w:tc>
          <w:tcPr>
            <w:tcW w:w="5386" w:type="dxa"/>
            <w:vAlign w:val="center"/>
          </w:tcPr>
          <w:p w14:paraId="48DD990C">
            <w:pPr>
              <w:pStyle w:val="12"/>
            </w:pPr>
            <w:r>
              <w:t>符合享受资助条件的学生应助尽助</w:t>
            </w:r>
          </w:p>
        </w:tc>
        <w:tc>
          <w:tcPr>
            <w:tcW w:w="2268" w:type="dxa"/>
            <w:vAlign w:val="center"/>
          </w:tcPr>
          <w:p w14:paraId="7D4B9A1E">
            <w:pPr>
              <w:pStyle w:val="12"/>
            </w:pPr>
            <w:r>
              <w:t>100%</w:t>
            </w:r>
          </w:p>
        </w:tc>
        <w:tc>
          <w:tcPr>
            <w:tcW w:w="1276" w:type="dxa"/>
            <w:vAlign w:val="center"/>
          </w:tcPr>
          <w:p w14:paraId="2DF7A0DF">
            <w:pPr>
              <w:pStyle w:val="12"/>
            </w:pPr>
            <w:r>
              <w:t>幼儿资助经费管理办法</w:t>
            </w:r>
          </w:p>
        </w:tc>
      </w:tr>
      <w:tr w14:paraId="089C0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396AE"/>
        </w:tc>
        <w:tc>
          <w:tcPr>
            <w:tcW w:w="2268" w:type="dxa"/>
            <w:vAlign w:val="center"/>
          </w:tcPr>
          <w:p w14:paraId="3C281A20">
            <w:pPr>
              <w:pStyle w:val="12"/>
            </w:pPr>
            <w:r>
              <w:t>时效指标</w:t>
            </w:r>
          </w:p>
        </w:tc>
        <w:tc>
          <w:tcPr>
            <w:tcW w:w="2835" w:type="dxa"/>
            <w:vAlign w:val="center"/>
          </w:tcPr>
          <w:p w14:paraId="397A3DD7">
            <w:pPr>
              <w:pStyle w:val="12"/>
            </w:pPr>
            <w:r>
              <w:t>资金拨付率</w:t>
            </w:r>
          </w:p>
        </w:tc>
        <w:tc>
          <w:tcPr>
            <w:tcW w:w="5386" w:type="dxa"/>
            <w:vAlign w:val="center"/>
          </w:tcPr>
          <w:p w14:paraId="2993E01D">
            <w:pPr>
              <w:pStyle w:val="12"/>
            </w:pPr>
            <w:r>
              <w:t>所有项目资金支付进度</w:t>
            </w:r>
          </w:p>
        </w:tc>
        <w:tc>
          <w:tcPr>
            <w:tcW w:w="2268" w:type="dxa"/>
            <w:vAlign w:val="center"/>
          </w:tcPr>
          <w:p w14:paraId="59F24EDA">
            <w:pPr>
              <w:pStyle w:val="12"/>
            </w:pPr>
            <w:r>
              <w:t>100%</w:t>
            </w:r>
          </w:p>
        </w:tc>
        <w:tc>
          <w:tcPr>
            <w:tcW w:w="1276" w:type="dxa"/>
            <w:vAlign w:val="center"/>
          </w:tcPr>
          <w:p w14:paraId="08B77B88">
            <w:pPr>
              <w:pStyle w:val="12"/>
            </w:pPr>
            <w:r>
              <w:t>幼儿资助经费管理办法</w:t>
            </w:r>
          </w:p>
        </w:tc>
      </w:tr>
      <w:tr w14:paraId="7C69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E680F"/>
        </w:tc>
        <w:tc>
          <w:tcPr>
            <w:tcW w:w="2268" w:type="dxa"/>
            <w:vAlign w:val="center"/>
          </w:tcPr>
          <w:p w14:paraId="6077B4ED">
            <w:pPr>
              <w:pStyle w:val="12"/>
            </w:pPr>
            <w:r>
              <w:t>成本指标</w:t>
            </w:r>
          </w:p>
        </w:tc>
        <w:tc>
          <w:tcPr>
            <w:tcW w:w="2835" w:type="dxa"/>
            <w:vAlign w:val="center"/>
          </w:tcPr>
          <w:p w14:paraId="5BC40AA6">
            <w:pPr>
              <w:pStyle w:val="12"/>
            </w:pPr>
            <w:r>
              <w:t>幼儿园生均成本</w:t>
            </w:r>
          </w:p>
        </w:tc>
        <w:tc>
          <w:tcPr>
            <w:tcW w:w="5386" w:type="dxa"/>
            <w:vAlign w:val="center"/>
          </w:tcPr>
          <w:p w14:paraId="4344632A">
            <w:pPr>
              <w:pStyle w:val="12"/>
            </w:pPr>
            <w:r>
              <w:t>按照幼儿园资助标准1000元/生/年</w:t>
            </w:r>
          </w:p>
        </w:tc>
        <w:tc>
          <w:tcPr>
            <w:tcW w:w="2268" w:type="dxa"/>
            <w:vAlign w:val="center"/>
          </w:tcPr>
          <w:p w14:paraId="4D66946D">
            <w:pPr>
              <w:pStyle w:val="12"/>
            </w:pPr>
            <w:r>
              <w:t>1000元</w:t>
            </w:r>
          </w:p>
        </w:tc>
        <w:tc>
          <w:tcPr>
            <w:tcW w:w="1276" w:type="dxa"/>
            <w:vAlign w:val="center"/>
          </w:tcPr>
          <w:p w14:paraId="64D4D2E5">
            <w:pPr>
              <w:pStyle w:val="12"/>
            </w:pPr>
            <w:r>
              <w:t>幼儿资助经费管理办法</w:t>
            </w:r>
          </w:p>
        </w:tc>
      </w:tr>
      <w:tr w14:paraId="4A20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E90CE">
            <w:pPr>
              <w:pStyle w:val="13"/>
            </w:pPr>
            <w:r>
              <w:t>效益指标</w:t>
            </w:r>
          </w:p>
        </w:tc>
        <w:tc>
          <w:tcPr>
            <w:tcW w:w="2268" w:type="dxa"/>
            <w:vAlign w:val="center"/>
          </w:tcPr>
          <w:p w14:paraId="73DF3C5E">
            <w:pPr>
              <w:pStyle w:val="12"/>
            </w:pPr>
            <w:r>
              <w:t>可持续影响指标</w:t>
            </w:r>
          </w:p>
        </w:tc>
        <w:tc>
          <w:tcPr>
            <w:tcW w:w="2835" w:type="dxa"/>
            <w:vAlign w:val="center"/>
          </w:tcPr>
          <w:p w14:paraId="22575D00">
            <w:pPr>
              <w:pStyle w:val="12"/>
            </w:pPr>
            <w:r>
              <w:t>幼儿园正常运转</w:t>
            </w:r>
          </w:p>
        </w:tc>
        <w:tc>
          <w:tcPr>
            <w:tcW w:w="5386" w:type="dxa"/>
            <w:vAlign w:val="center"/>
          </w:tcPr>
          <w:p w14:paraId="6BDB24BA">
            <w:pPr>
              <w:pStyle w:val="12"/>
            </w:pPr>
            <w:r>
              <w:t>幼儿受教育年限</w:t>
            </w:r>
          </w:p>
        </w:tc>
        <w:tc>
          <w:tcPr>
            <w:tcW w:w="2268" w:type="dxa"/>
            <w:vAlign w:val="center"/>
          </w:tcPr>
          <w:p w14:paraId="6A1CCE4E">
            <w:pPr>
              <w:pStyle w:val="12"/>
            </w:pPr>
            <w:r>
              <w:t>3年</w:t>
            </w:r>
          </w:p>
        </w:tc>
        <w:tc>
          <w:tcPr>
            <w:tcW w:w="1276" w:type="dxa"/>
            <w:vAlign w:val="center"/>
          </w:tcPr>
          <w:p w14:paraId="091804DE">
            <w:pPr>
              <w:pStyle w:val="12"/>
            </w:pPr>
            <w:r>
              <w:t>幼儿资助经费管理办法</w:t>
            </w:r>
          </w:p>
        </w:tc>
      </w:tr>
      <w:tr w14:paraId="75A1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B3F61">
            <w:pPr>
              <w:pStyle w:val="13"/>
            </w:pPr>
            <w:r>
              <w:t>满意度指标</w:t>
            </w:r>
          </w:p>
        </w:tc>
        <w:tc>
          <w:tcPr>
            <w:tcW w:w="2268" w:type="dxa"/>
            <w:vAlign w:val="center"/>
          </w:tcPr>
          <w:p w14:paraId="0BF23D67">
            <w:pPr>
              <w:pStyle w:val="12"/>
            </w:pPr>
            <w:r>
              <w:t>服务对象满意度指标</w:t>
            </w:r>
          </w:p>
        </w:tc>
        <w:tc>
          <w:tcPr>
            <w:tcW w:w="2835" w:type="dxa"/>
            <w:vAlign w:val="center"/>
          </w:tcPr>
          <w:p w14:paraId="1E1C03A8">
            <w:pPr>
              <w:pStyle w:val="12"/>
            </w:pPr>
            <w:r>
              <w:t>受益幼儿家长及调查满意度</w:t>
            </w:r>
          </w:p>
        </w:tc>
        <w:tc>
          <w:tcPr>
            <w:tcW w:w="5386" w:type="dxa"/>
            <w:vAlign w:val="center"/>
          </w:tcPr>
          <w:p w14:paraId="35D8F706">
            <w:pPr>
              <w:pStyle w:val="12"/>
            </w:pPr>
            <w:r>
              <w:t>学生、教师及家长对学校保教保育工作满意度情况</w:t>
            </w:r>
          </w:p>
        </w:tc>
        <w:tc>
          <w:tcPr>
            <w:tcW w:w="2268" w:type="dxa"/>
            <w:vAlign w:val="center"/>
          </w:tcPr>
          <w:p w14:paraId="4486D7CB">
            <w:pPr>
              <w:pStyle w:val="12"/>
            </w:pPr>
            <w:r>
              <w:t>≥95%</w:t>
            </w:r>
          </w:p>
        </w:tc>
        <w:tc>
          <w:tcPr>
            <w:tcW w:w="1276" w:type="dxa"/>
            <w:vAlign w:val="center"/>
          </w:tcPr>
          <w:p w14:paraId="58259FE8">
            <w:pPr>
              <w:pStyle w:val="12"/>
            </w:pPr>
            <w:r>
              <w:t>幼儿资助经费管理办法</w:t>
            </w:r>
          </w:p>
        </w:tc>
      </w:tr>
    </w:tbl>
    <w:p w14:paraId="6B4E7937">
      <w:pPr>
        <w:sectPr>
          <w:pgSz w:w="16840" w:h="11900" w:orient="landscape"/>
          <w:pgMar w:top="1361" w:right="1020" w:bottom="1134" w:left="1020" w:header="720" w:footer="720" w:gutter="0"/>
          <w:cols w:space="720" w:num="1"/>
        </w:sectPr>
      </w:pPr>
    </w:p>
    <w:p w14:paraId="4BEF368B">
      <w:pPr>
        <w:spacing w:before="0" w:after="0"/>
        <w:ind w:firstLine="560"/>
        <w:jc w:val="left"/>
        <w:outlineLvl w:val="9"/>
      </w:pPr>
      <w:r>
        <w:rPr>
          <w:rFonts w:ascii="方正仿宋_GBK" w:hAnsi="方正仿宋_GBK" w:eastAsia="方正仿宋_GBK" w:cs="方正仿宋_GBK"/>
          <w:b/>
          <w:color w:val="000000"/>
          <w:sz w:val="28"/>
        </w:rPr>
        <w:t>6、县级配套/2026年/县直幼儿园免保育教育费补助绩效目标表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65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2D71C">
            <w:pPr>
              <w:pStyle w:val="11"/>
            </w:pPr>
            <w:r>
              <w:t>单位：万元</w:t>
            </w:r>
          </w:p>
        </w:tc>
      </w:tr>
      <w:tr w14:paraId="3A4BE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A295C">
            <w:pPr>
              <w:pStyle w:val="10"/>
            </w:pPr>
            <w:r>
              <w:t>项目编码</w:t>
            </w:r>
          </w:p>
        </w:tc>
        <w:tc>
          <w:tcPr>
            <w:tcW w:w="5103" w:type="dxa"/>
            <w:gridSpan w:val="2"/>
            <w:vAlign w:val="center"/>
          </w:tcPr>
          <w:p w14:paraId="1798D210">
            <w:pPr>
              <w:pStyle w:val="12"/>
            </w:pPr>
            <w:r>
              <w:t>13052526P00876910163C</w:t>
            </w:r>
          </w:p>
        </w:tc>
        <w:tc>
          <w:tcPr>
            <w:tcW w:w="2835" w:type="dxa"/>
            <w:vAlign w:val="center"/>
          </w:tcPr>
          <w:p w14:paraId="36907957">
            <w:pPr>
              <w:pStyle w:val="10"/>
            </w:pPr>
            <w:r>
              <w:t>项目名称</w:t>
            </w:r>
          </w:p>
        </w:tc>
        <w:tc>
          <w:tcPr>
            <w:tcW w:w="6095" w:type="dxa"/>
            <w:gridSpan w:val="3"/>
            <w:vAlign w:val="center"/>
          </w:tcPr>
          <w:p w14:paraId="7718F426">
            <w:pPr>
              <w:pStyle w:val="12"/>
            </w:pPr>
            <w:r>
              <w:t>县级配套/2026年/县直幼儿园免保育教育费补助</w:t>
            </w:r>
          </w:p>
        </w:tc>
      </w:tr>
      <w:tr w14:paraId="130A6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2A285">
            <w:pPr>
              <w:pStyle w:val="10"/>
            </w:pPr>
            <w:r>
              <w:t>预算规模及资金用途</w:t>
            </w:r>
          </w:p>
        </w:tc>
        <w:tc>
          <w:tcPr>
            <w:tcW w:w="2268" w:type="dxa"/>
            <w:vAlign w:val="center"/>
          </w:tcPr>
          <w:p w14:paraId="47E015BF">
            <w:pPr>
              <w:pStyle w:val="10"/>
            </w:pPr>
            <w:r>
              <w:t>预算数</w:t>
            </w:r>
          </w:p>
        </w:tc>
        <w:tc>
          <w:tcPr>
            <w:tcW w:w="2835" w:type="dxa"/>
            <w:vAlign w:val="center"/>
          </w:tcPr>
          <w:p w14:paraId="7157E399">
            <w:pPr>
              <w:pStyle w:val="12"/>
            </w:pPr>
            <w:r>
              <w:t>2.06</w:t>
            </w:r>
          </w:p>
        </w:tc>
        <w:tc>
          <w:tcPr>
            <w:tcW w:w="2835" w:type="dxa"/>
            <w:vAlign w:val="center"/>
          </w:tcPr>
          <w:p w14:paraId="7284912A">
            <w:pPr>
              <w:pStyle w:val="10"/>
            </w:pPr>
            <w:r>
              <w:t>其中：财政    资金</w:t>
            </w:r>
          </w:p>
        </w:tc>
        <w:tc>
          <w:tcPr>
            <w:tcW w:w="2551" w:type="dxa"/>
            <w:vAlign w:val="center"/>
          </w:tcPr>
          <w:p w14:paraId="34E57F74">
            <w:pPr>
              <w:pStyle w:val="12"/>
            </w:pPr>
            <w:r>
              <w:t>2.06</w:t>
            </w:r>
          </w:p>
        </w:tc>
        <w:tc>
          <w:tcPr>
            <w:tcW w:w="2268" w:type="dxa"/>
            <w:vAlign w:val="center"/>
          </w:tcPr>
          <w:p w14:paraId="43AB8FE0">
            <w:pPr>
              <w:pStyle w:val="10"/>
            </w:pPr>
            <w:r>
              <w:t>其他资金</w:t>
            </w:r>
          </w:p>
        </w:tc>
        <w:tc>
          <w:tcPr>
            <w:tcW w:w="1276" w:type="dxa"/>
            <w:vAlign w:val="center"/>
          </w:tcPr>
          <w:p w14:paraId="5DEB08A3">
            <w:pPr>
              <w:pStyle w:val="12"/>
            </w:pPr>
            <w:r>
              <w:t xml:space="preserve"> </w:t>
            </w:r>
          </w:p>
        </w:tc>
      </w:tr>
      <w:tr w14:paraId="459BB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E5B99"/>
        </w:tc>
        <w:tc>
          <w:tcPr>
            <w:tcW w:w="14033" w:type="dxa"/>
            <w:gridSpan w:val="6"/>
            <w:vAlign w:val="center"/>
          </w:tcPr>
          <w:p w14:paraId="1DAFEBEB">
            <w:pPr>
              <w:pStyle w:val="12"/>
            </w:pPr>
            <w:r>
              <w:t>保障幼儿园正常运转，完成教育教学活动和其他日常工作任务等方面的费用支出。</w:t>
            </w:r>
            <w:r>
              <w:tab/>
            </w:r>
            <w:r>
              <w:tab/>
            </w:r>
            <w:r>
              <w:tab/>
            </w:r>
            <w:r>
              <w:tab/>
            </w:r>
            <w:r>
              <w:tab/>
            </w:r>
            <w:r>
              <w:tab/>
            </w:r>
          </w:p>
          <w:p w14:paraId="5E558FFA">
            <w:pPr>
              <w:pStyle w:val="12"/>
            </w:pPr>
          </w:p>
        </w:tc>
      </w:tr>
      <w:tr w14:paraId="28920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AB94F">
            <w:pPr>
              <w:pStyle w:val="10"/>
            </w:pPr>
            <w:r>
              <w:t>资金支出计划（%）</w:t>
            </w:r>
          </w:p>
        </w:tc>
        <w:tc>
          <w:tcPr>
            <w:tcW w:w="5103" w:type="dxa"/>
            <w:gridSpan w:val="2"/>
            <w:vAlign w:val="center"/>
          </w:tcPr>
          <w:p w14:paraId="1A5EF305">
            <w:pPr>
              <w:pStyle w:val="10"/>
            </w:pPr>
            <w:r>
              <w:t>3月底</w:t>
            </w:r>
          </w:p>
        </w:tc>
        <w:tc>
          <w:tcPr>
            <w:tcW w:w="2835" w:type="dxa"/>
            <w:vAlign w:val="center"/>
          </w:tcPr>
          <w:p w14:paraId="539594B6">
            <w:pPr>
              <w:pStyle w:val="10"/>
            </w:pPr>
            <w:r>
              <w:t>6月底</w:t>
            </w:r>
          </w:p>
        </w:tc>
        <w:tc>
          <w:tcPr>
            <w:tcW w:w="2551" w:type="dxa"/>
            <w:vAlign w:val="center"/>
          </w:tcPr>
          <w:p w14:paraId="5369E327">
            <w:pPr>
              <w:pStyle w:val="10"/>
            </w:pPr>
            <w:r>
              <w:t>10月底</w:t>
            </w:r>
          </w:p>
        </w:tc>
        <w:tc>
          <w:tcPr>
            <w:tcW w:w="3544" w:type="dxa"/>
            <w:gridSpan w:val="2"/>
            <w:vAlign w:val="center"/>
          </w:tcPr>
          <w:p w14:paraId="273A31F4">
            <w:pPr>
              <w:pStyle w:val="10"/>
            </w:pPr>
            <w:r>
              <w:t>12月底</w:t>
            </w:r>
          </w:p>
        </w:tc>
      </w:tr>
      <w:tr w14:paraId="409BF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014E3"/>
        </w:tc>
        <w:tc>
          <w:tcPr>
            <w:tcW w:w="5103" w:type="dxa"/>
            <w:gridSpan w:val="2"/>
            <w:vAlign w:val="center"/>
          </w:tcPr>
          <w:p w14:paraId="5CD985FB">
            <w:pPr>
              <w:pStyle w:val="13"/>
            </w:pPr>
            <w:r>
              <w:t>25%</w:t>
            </w:r>
          </w:p>
        </w:tc>
        <w:tc>
          <w:tcPr>
            <w:tcW w:w="2835" w:type="dxa"/>
            <w:vAlign w:val="center"/>
          </w:tcPr>
          <w:p w14:paraId="68016454">
            <w:pPr>
              <w:pStyle w:val="13"/>
            </w:pPr>
            <w:r>
              <w:t>50%</w:t>
            </w:r>
          </w:p>
        </w:tc>
        <w:tc>
          <w:tcPr>
            <w:tcW w:w="2551" w:type="dxa"/>
            <w:vAlign w:val="center"/>
          </w:tcPr>
          <w:p w14:paraId="06CD1DFD">
            <w:pPr>
              <w:pStyle w:val="13"/>
            </w:pPr>
            <w:r>
              <w:t>75%</w:t>
            </w:r>
          </w:p>
        </w:tc>
        <w:tc>
          <w:tcPr>
            <w:tcW w:w="3544" w:type="dxa"/>
            <w:gridSpan w:val="2"/>
            <w:vAlign w:val="center"/>
          </w:tcPr>
          <w:p w14:paraId="4926AD3F">
            <w:pPr>
              <w:pStyle w:val="13"/>
            </w:pPr>
            <w:r>
              <w:t>100%</w:t>
            </w:r>
          </w:p>
        </w:tc>
      </w:tr>
      <w:tr w14:paraId="606B6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5F7DE">
            <w:pPr>
              <w:pStyle w:val="10"/>
            </w:pPr>
            <w:r>
              <w:t>绩效目标</w:t>
            </w:r>
          </w:p>
        </w:tc>
        <w:tc>
          <w:tcPr>
            <w:tcW w:w="14033" w:type="dxa"/>
            <w:gridSpan w:val="6"/>
            <w:vAlign w:val="center"/>
          </w:tcPr>
          <w:p w14:paraId="267CA36E">
            <w:pPr>
              <w:pStyle w:val="12"/>
            </w:pPr>
            <w:r>
              <w:t>1.保障幼儿园正常运转，完成教育教学活动和其他日常工作任务等方面的费用支出。</w:t>
            </w:r>
          </w:p>
        </w:tc>
      </w:tr>
    </w:tbl>
    <w:p w14:paraId="5EF86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4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6E7A4">
            <w:pPr>
              <w:pStyle w:val="10"/>
            </w:pPr>
            <w:r>
              <w:t>一级指标</w:t>
            </w:r>
          </w:p>
        </w:tc>
        <w:tc>
          <w:tcPr>
            <w:tcW w:w="2268" w:type="dxa"/>
            <w:vAlign w:val="center"/>
          </w:tcPr>
          <w:p w14:paraId="582881EE">
            <w:pPr>
              <w:pStyle w:val="10"/>
            </w:pPr>
            <w:r>
              <w:t>二级指标</w:t>
            </w:r>
          </w:p>
        </w:tc>
        <w:tc>
          <w:tcPr>
            <w:tcW w:w="2835" w:type="dxa"/>
            <w:vAlign w:val="center"/>
          </w:tcPr>
          <w:p w14:paraId="2749355D">
            <w:pPr>
              <w:pStyle w:val="10"/>
            </w:pPr>
            <w:r>
              <w:t>三级指标</w:t>
            </w:r>
          </w:p>
        </w:tc>
        <w:tc>
          <w:tcPr>
            <w:tcW w:w="5386" w:type="dxa"/>
            <w:vAlign w:val="center"/>
          </w:tcPr>
          <w:p w14:paraId="5C7C289C">
            <w:pPr>
              <w:pStyle w:val="10"/>
            </w:pPr>
            <w:r>
              <w:t>绩效指标描述</w:t>
            </w:r>
          </w:p>
        </w:tc>
        <w:tc>
          <w:tcPr>
            <w:tcW w:w="2268" w:type="dxa"/>
            <w:vAlign w:val="center"/>
          </w:tcPr>
          <w:p w14:paraId="5E26A7FB">
            <w:pPr>
              <w:pStyle w:val="10"/>
            </w:pPr>
            <w:r>
              <w:t>指标值</w:t>
            </w:r>
          </w:p>
        </w:tc>
        <w:tc>
          <w:tcPr>
            <w:tcW w:w="1276" w:type="dxa"/>
            <w:vAlign w:val="center"/>
          </w:tcPr>
          <w:p w14:paraId="775EB127">
            <w:pPr>
              <w:pStyle w:val="10"/>
            </w:pPr>
            <w:r>
              <w:t>指标值确定依据</w:t>
            </w:r>
          </w:p>
        </w:tc>
      </w:tr>
      <w:tr w14:paraId="5105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60750">
            <w:pPr>
              <w:pStyle w:val="13"/>
            </w:pPr>
            <w:r>
              <w:t>产出指标</w:t>
            </w:r>
          </w:p>
        </w:tc>
        <w:tc>
          <w:tcPr>
            <w:tcW w:w="2268" w:type="dxa"/>
            <w:vAlign w:val="center"/>
          </w:tcPr>
          <w:p w14:paraId="228077AE">
            <w:pPr>
              <w:pStyle w:val="12"/>
            </w:pPr>
            <w:r>
              <w:t>数量指标</w:t>
            </w:r>
          </w:p>
        </w:tc>
        <w:tc>
          <w:tcPr>
            <w:tcW w:w="2835" w:type="dxa"/>
            <w:vAlign w:val="center"/>
          </w:tcPr>
          <w:p w14:paraId="4F1B9EA2">
            <w:pPr>
              <w:pStyle w:val="12"/>
            </w:pPr>
            <w:r>
              <w:t>适龄在园生</w:t>
            </w:r>
          </w:p>
        </w:tc>
        <w:tc>
          <w:tcPr>
            <w:tcW w:w="5386" w:type="dxa"/>
            <w:vAlign w:val="center"/>
          </w:tcPr>
          <w:p w14:paraId="552A7803">
            <w:pPr>
              <w:pStyle w:val="12"/>
            </w:pPr>
            <w:r>
              <w:t>适龄在园大班学生人数</w:t>
            </w:r>
          </w:p>
        </w:tc>
        <w:tc>
          <w:tcPr>
            <w:tcW w:w="2268" w:type="dxa"/>
            <w:vAlign w:val="center"/>
          </w:tcPr>
          <w:p w14:paraId="12943148">
            <w:pPr>
              <w:pStyle w:val="12"/>
            </w:pPr>
            <w:r>
              <w:t>138人</w:t>
            </w:r>
          </w:p>
        </w:tc>
        <w:tc>
          <w:tcPr>
            <w:tcW w:w="1276" w:type="dxa"/>
            <w:vAlign w:val="center"/>
          </w:tcPr>
          <w:p w14:paraId="59A0772E">
            <w:pPr>
              <w:pStyle w:val="12"/>
            </w:pPr>
            <w:r>
              <w:t>免保育教育费生均财政补助标准</w:t>
            </w:r>
          </w:p>
        </w:tc>
      </w:tr>
      <w:tr w14:paraId="15C6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201F"/>
        </w:tc>
        <w:tc>
          <w:tcPr>
            <w:tcW w:w="2268" w:type="dxa"/>
            <w:vAlign w:val="center"/>
          </w:tcPr>
          <w:p w14:paraId="4497F85D">
            <w:pPr>
              <w:pStyle w:val="12"/>
            </w:pPr>
            <w:r>
              <w:t>质量指标</w:t>
            </w:r>
          </w:p>
        </w:tc>
        <w:tc>
          <w:tcPr>
            <w:tcW w:w="2835" w:type="dxa"/>
            <w:vAlign w:val="center"/>
          </w:tcPr>
          <w:p w14:paraId="4D0D941B">
            <w:pPr>
              <w:pStyle w:val="12"/>
            </w:pPr>
            <w:r>
              <w:t>预算控制率</w:t>
            </w:r>
          </w:p>
        </w:tc>
        <w:tc>
          <w:tcPr>
            <w:tcW w:w="5386" w:type="dxa"/>
            <w:vAlign w:val="center"/>
          </w:tcPr>
          <w:p w14:paraId="496E07A2">
            <w:pPr>
              <w:pStyle w:val="12"/>
            </w:pPr>
            <w:r>
              <w:t>预算执行</w:t>
            </w:r>
          </w:p>
        </w:tc>
        <w:tc>
          <w:tcPr>
            <w:tcW w:w="2268" w:type="dxa"/>
            <w:vAlign w:val="center"/>
          </w:tcPr>
          <w:p w14:paraId="59AC0AEB">
            <w:pPr>
              <w:pStyle w:val="12"/>
            </w:pPr>
            <w:r>
              <w:t>≥95%</w:t>
            </w:r>
          </w:p>
        </w:tc>
        <w:tc>
          <w:tcPr>
            <w:tcW w:w="1276" w:type="dxa"/>
            <w:vAlign w:val="center"/>
          </w:tcPr>
          <w:p w14:paraId="566E1DD7">
            <w:pPr>
              <w:pStyle w:val="12"/>
            </w:pPr>
            <w:r>
              <w:t>免保育教育费生均财政补助标准</w:t>
            </w:r>
          </w:p>
        </w:tc>
      </w:tr>
      <w:tr w14:paraId="5D7F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5D657"/>
        </w:tc>
        <w:tc>
          <w:tcPr>
            <w:tcW w:w="2268" w:type="dxa"/>
            <w:vAlign w:val="center"/>
          </w:tcPr>
          <w:p w14:paraId="00DDA481">
            <w:pPr>
              <w:pStyle w:val="12"/>
            </w:pPr>
            <w:r>
              <w:t>时效指标</w:t>
            </w:r>
          </w:p>
        </w:tc>
        <w:tc>
          <w:tcPr>
            <w:tcW w:w="2835" w:type="dxa"/>
            <w:vAlign w:val="center"/>
          </w:tcPr>
          <w:p w14:paraId="6D18307C">
            <w:pPr>
              <w:pStyle w:val="12"/>
            </w:pPr>
            <w:r>
              <w:t>资金支付率</w:t>
            </w:r>
          </w:p>
        </w:tc>
        <w:tc>
          <w:tcPr>
            <w:tcW w:w="5386" w:type="dxa"/>
            <w:vAlign w:val="center"/>
          </w:tcPr>
          <w:p w14:paraId="41CDED81">
            <w:pPr>
              <w:pStyle w:val="12"/>
            </w:pPr>
            <w:r>
              <w:t>按照序时进度完成资金支付</w:t>
            </w:r>
          </w:p>
        </w:tc>
        <w:tc>
          <w:tcPr>
            <w:tcW w:w="2268" w:type="dxa"/>
            <w:vAlign w:val="center"/>
          </w:tcPr>
          <w:p w14:paraId="2215AE98">
            <w:pPr>
              <w:pStyle w:val="12"/>
            </w:pPr>
            <w:r>
              <w:t>100%</w:t>
            </w:r>
          </w:p>
        </w:tc>
        <w:tc>
          <w:tcPr>
            <w:tcW w:w="1276" w:type="dxa"/>
            <w:vAlign w:val="center"/>
          </w:tcPr>
          <w:p w14:paraId="37EC34A1">
            <w:pPr>
              <w:pStyle w:val="12"/>
            </w:pPr>
            <w:r>
              <w:t>免保育教育费生均财政补助标准</w:t>
            </w:r>
          </w:p>
        </w:tc>
      </w:tr>
      <w:tr w14:paraId="5982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3843B"/>
        </w:tc>
        <w:tc>
          <w:tcPr>
            <w:tcW w:w="2268" w:type="dxa"/>
            <w:vAlign w:val="center"/>
          </w:tcPr>
          <w:p w14:paraId="1D5CCA48">
            <w:pPr>
              <w:pStyle w:val="12"/>
            </w:pPr>
            <w:r>
              <w:t>成本指标</w:t>
            </w:r>
          </w:p>
        </w:tc>
        <w:tc>
          <w:tcPr>
            <w:tcW w:w="2835" w:type="dxa"/>
            <w:vAlign w:val="center"/>
          </w:tcPr>
          <w:p w14:paraId="733E2054">
            <w:pPr>
              <w:pStyle w:val="12"/>
            </w:pPr>
            <w:r>
              <w:t xml:space="preserve"> 免保育教育费补助</w:t>
            </w:r>
          </w:p>
        </w:tc>
        <w:tc>
          <w:tcPr>
            <w:tcW w:w="5386" w:type="dxa"/>
            <w:vAlign w:val="center"/>
          </w:tcPr>
          <w:p w14:paraId="78E21F53">
            <w:pPr>
              <w:pStyle w:val="12"/>
            </w:pPr>
            <w:r>
              <w:t>免保育教育费补助</w:t>
            </w:r>
          </w:p>
        </w:tc>
        <w:tc>
          <w:tcPr>
            <w:tcW w:w="2268" w:type="dxa"/>
            <w:vAlign w:val="center"/>
          </w:tcPr>
          <w:p w14:paraId="0DC18CA6">
            <w:pPr>
              <w:pStyle w:val="12"/>
            </w:pPr>
            <w:r>
              <w:t>20566元</w:t>
            </w:r>
          </w:p>
        </w:tc>
        <w:tc>
          <w:tcPr>
            <w:tcW w:w="1276" w:type="dxa"/>
            <w:vAlign w:val="center"/>
          </w:tcPr>
          <w:p w14:paraId="773F9FCE">
            <w:pPr>
              <w:pStyle w:val="12"/>
            </w:pPr>
            <w:r>
              <w:t>免保育教育费生均财政补助标准</w:t>
            </w:r>
          </w:p>
        </w:tc>
      </w:tr>
      <w:tr w14:paraId="2EEA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4E1A4">
            <w:pPr>
              <w:pStyle w:val="13"/>
            </w:pPr>
            <w:r>
              <w:t>效益指标</w:t>
            </w:r>
          </w:p>
        </w:tc>
        <w:tc>
          <w:tcPr>
            <w:tcW w:w="2268" w:type="dxa"/>
            <w:vAlign w:val="center"/>
          </w:tcPr>
          <w:p w14:paraId="37AC916F">
            <w:pPr>
              <w:pStyle w:val="12"/>
            </w:pPr>
            <w:r>
              <w:t>可持续影响指标</w:t>
            </w:r>
          </w:p>
        </w:tc>
        <w:tc>
          <w:tcPr>
            <w:tcW w:w="2835" w:type="dxa"/>
            <w:vAlign w:val="center"/>
          </w:tcPr>
          <w:p w14:paraId="0F5B2792">
            <w:pPr>
              <w:pStyle w:val="12"/>
            </w:pPr>
            <w:r>
              <w:t>学校运转得到提升</w:t>
            </w:r>
          </w:p>
        </w:tc>
        <w:tc>
          <w:tcPr>
            <w:tcW w:w="5386" w:type="dxa"/>
            <w:vAlign w:val="center"/>
          </w:tcPr>
          <w:p w14:paraId="565843AD">
            <w:pPr>
              <w:pStyle w:val="12"/>
            </w:pPr>
            <w:r>
              <w:t>幼儿受教育年限</w:t>
            </w:r>
          </w:p>
        </w:tc>
        <w:tc>
          <w:tcPr>
            <w:tcW w:w="2268" w:type="dxa"/>
            <w:vAlign w:val="center"/>
          </w:tcPr>
          <w:p w14:paraId="47BCE7FE">
            <w:pPr>
              <w:pStyle w:val="12"/>
            </w:pPr>
            <w:r>
              <w:t>3年</w:t>
            </w:r>
          </w:p>
        </w:tc>
        <w:tc>
          <w:tcPr>
            <w:tcW w:w="1276" w:type="dxa"/>
            <w:vAlign w:val="center"/>
          </w:tcPr>
          <w:p w14:paraId="0A5C368C">
            <w:pPr>
              <w:pStyle w:val="12"/>
            </w:pPr>
            <w:r>
              <w:t>免保育教育费生均财政补助标准</w:t>
            </w:r>
          </w:p>
        </w:tc>
      </w:tr>
      <w:tr w14:paraId="32397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D5F59">
            <w:pPr>
              <w:pStyle w:val="13"/>
            </w:pPr>
            <w:r>
              <w:t>满意度指标</w:t>
            </w:r>
          </w:p>
        </w:tc>
        <w:tc>
          <w:tcPr>
            <w:tcW w:w="2268" w:type="dxa"/>
            <w:vAlign w:val="center"/>
          </w:tcPr>
          <w:p w14:paraId="2D1D214E">
            <w:pPr>
              <w:pStyle w:val="12"/>
            </w:pPr>
            <w:r>
              <w:t>服务对象满意度指标</w:t>
            </w:r>
          </w:p>
        </w:tc>
        <w:tc>
          <w:tcPr>
            <w:tcW w:w="2835" w:type="dxa"/>
            <w:vAlign w:val="center"/>
          </w:tcPr>
          <w:p w14:paraId="2120F64B">
            <w:pPr>
              <w:pStyle w:val="12"/>
            </w:pPr>
            <w:r>
              <w:t>受益学生家长及调查满意度</w:t>
            </w:r>
          </w:p>
        </w:tc>
        <w:tc>
          <w:tcPr>
            <w:tcW w:w="5386" w:type="dxa"/>
            <w:vAlign w:val="center"/>
          </w:tcPr>
          <w:p w14:paraId="65FE3692">
            <w:pPr>
              <w:pStyle w:val="12"/>
            </w:pPr>
            <w:r>
              <w:t>学生、教师及家长对学校保教保育工作满意度情况</w:t>
            </w:r>
          </w:p>
        </w:tc>
        <w:tc>
          <w:tcPr>
            <w:tcW w:w="2268" w:type="dxa"/>
            <w:vAlign w:val="center"/>
          </w:tcPr>
          <w:p w14:paraId="714FAB72">
            <w:pPr>
              <w:pStyle w:val="12"/>
            </w:pPr>
            <w:r>
              <w:t>≥95%</w:t>
            </w:r>
          </w:p>
        </w:tc>
        <w:tc>
          <w:tcPr>
            <w:tcW w:w="1276" w:type="dxa"/>
            <w:vAlign w:val="center"/>
          </w:tcPr>
          <w:p w14:paraId="0C4AD644">
            <w:pPr>
              <w:pStyle w:val="12"/>
            </w:pPr>
            <w:r>
              <w:t>免保育教育费生均财政补助标准</w:t>
            </w:r>
          </w:p>
        </w:tc>
      </w:tr>
    </w:tbl>
    <w:p w14:paraId="3DE72806">
      <w:pPr>
        <w:sectPr>
          <w:pgSz w:w="16840" w:h="11900" w:orient="landscape"/>
          <w:pgMar w:top="1361" w:right="1020" w:bottom="1134" w:left="1020" w:header="720" w:footer="720" w:gutter="0"/>
          <w:cols w:space="720" w:num="1"/>
        </w:sectPr>
      </w:pPr>
    </w:p>
    <w:p w14:paraId="37F35AAA">
      <w:pPr>
        <w:spacing w:before="0" w:after="0"/>
        <w:ind w:firstLine="560"/>
        <w:jc w:val="left"/>
        <w:outlineLvl w:val="9"/>
      </w:pPr>
      <w:r>
        <w:rPr>
          <w:rFonts w:ascii="方正仿宋_GBK" w:hAnsi="方正仿宋_GBK" w:eastAsia="方正仿宋_GBK" w:cs="方正仿宋_GBK"/>
          <w:b/>
          <w:color w:val="000000"/>
          <w:sz w:val="28"/>
        </w:rPr>
        <w:t>7、县级配套/县直幼儿园学前教育幼儿资助绩效目标表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1F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08B6F">
            <w:pPr>
              <w:pStyle w:val="11"/>
            </w:pPr>
            <w:r>
              <w:t>单位：万元</w:t>
            </w:r>
          </w:p>
        </w:tc>
      </w:tr>
      <w:tr w14:paraId="3E451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2711E">
            <w:pPr>
              <w:pStyle w:val="10"/>
            </w:pPr>
            <w:r>
              <w:t>项目编码</w:t>
            </w:r>
          </w:p>
        </w:tc>
        <w:tc>
          <w:tcPr>
            <w:tcW w:w="5103" w:type="dxa"/>
            <w:gridSpan w:val="2"/>
            <w:vAlign w:val="center"/>
          </w:tcPr>
          <w:p w14:paraId="4E945058">
            <w:pPr>
              <w:pStyle w:val="12"/>
            </w:pPr>
            <w:r>
              <w:t>13052526P00000210079N</w:t>
            </w:r>
          </w:p>
        </w:tc>
        <w:tc>
          <w:tcPr>
            <w:tcW w:w="2835" w:type="dxa"/>
            <w:vAlign w:val="center"/>
          </w:tcPr>
          <w:p w14:paraId="2F3F6901">
            <w:pPr>
              <w:pStyle w:val="10"/>
            </w:pPr>
            <w:r>
              <w:t>项目名称</w:t>
            </w:r>
          </w:p>
        </w:tc>
        <w:tc>
          <w:tcPr>
            <w:tcW w:w="6095" w:type="dxa"/>
            <w:gridSpan w:val="3"/>
            <w:vAlign w:val="center"/>
          </w:tcPr>
          <w:p w14:paraId="1FCBAC62">
            <w:pPr>
              <w:pStyle w:val="12"/>
            </w:pPr>
            <w:r>
              <w:t>县级配套/县直幼儿园学前教育幼儿资助</w:t>
            </w:r>
          </w:p>
        </w:tc>
      </w:tr>
      <w:tr w14:paraId="610C5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09728">
            <w:pPr>
              <w:pStyle w:val="10"/>
            </w:pPr>
            <w:r>
              <w:t>预算规模及资金用途</w:t>
            </w:r>
          </w:p>
        </w:tc>
        <w:tc>
          <w:tcPr>
            <w:tcW w:w="2268" w:type="dxa"/>
            <w:vAlign w:val="center"/>
          </w:tcPr>
          <w:p w14:paraId="19AA70EC">
            <w:pPr>
              <w:pStyle w:val="10"/>
            </w:pPr>
            <w:r>
              <w:t>预算数</w:t>
            </w:r>
          </w:p>
        </w:tc>
        <w:tc>
          <w:tcPr>
            <w:tcW w:w="2835" w:type="dxa"/>
            <w:vAlign w:val="center"/>
          </w:tcPr>
          <w:p w14:paraId="75A00134">
            <w:pPr>
              <w:pStyle w:val="12"/>
            </w:pPr>
            <w:r>
              <w:t>0.54</w:t>
            </w:r>
          </w:p>
        </w:tc>
        <w:tc>
          <w:tcPr>
            <w:tcW w:w="2835" w:type="dxa"/>
            <w:vAlign w:val="center"/>
          </w:tcPr>
          <w:p w14:paraId="3144EB73">
            <w:pPr>
              <w:pStyle w:val="10"/>
            </w:pPr>
            <w:r>
              <w:t>其中：财政    资金</w:t>
            </w:r>
          </w:p>
        </w:tc>
        <w:tc>
          <w:tcPr>
            <w:tcW w:w="2551" w:type="dxa"/>
            <w:vAlign w:val="center"/>
          </w:tcPr>
          <w:p w14:paraId="7488CEA3">
            <w:pPr>
              <w:pStyle w:val="12"/>
            </w:pPr>
            <w:r>
              <w:t>0.54</w:t>
            </w:r>
          </w:p>
        </w:tc>
        <w:tc>
          <w:tcPr>
            <w:tcW w:w="2268" w:type="dxa"/>
            <w:vAlign w:val="center"/>
          </w:tcPr>
          <w:p w14:paraId="0EDE5BE6">
            <w:pPr>
              <w:pStyle w:val="10"/>
            </w:pPr>
            <w:r>
              <w:t>其他资金</w:t>
            </w:r>
          </w:p>
        </w:tc>
        <w:tc>
          <w:tcPr>
            <w:tcW w:w="1276" w:type="dxa"/>
            <w:vAlign w:val="center"/>
          </w:tcPr>
          <w:p w14:paraId="63033C50">
            <w:pPr>
              <w:pStyle w:val="12"/>
            </w:pPr>
            <w:r>
              <w:t xml:space="preserve"> </w:t>
            </w:r>
          </w:p>
        </w:tc>
      </w:tr>
      <w:tr w14:paraId="5E232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035A5"/>
        </w:tc>
        <w:tc>
          <w:tcPr>
            <w:tcW w:w="14033" w:type="dxa"/>
            <w:gridSpan w:val="6"/>
            <w:vAlign w:val="center"/>
          </w:tcPr>
          <w:p w14:paraId="2FF90FDA">
            <w:pPr>
              <w:pStyle w:val="12"/>
            </w:pPr>
            <w:r>
              <w:t>保证本年度资助经费足额落实到位，符合享受资助条件的学生应助尽助。</w:t>
            </w:r>
            <w:r>
              <w:tab/>
            </w:r>
            <w:r>
              <w:tab/>
            </w:r>
            <w:r>
              <w:tab/>
            </w:r>
            <w:r>
              <w:tab/>
            </w:r>
            <w:r>
              <w:tab/>
            </w:r>
            <w:r>
              <w:tab/>
            </w:r>
          </w:p>
          <w:p w14:paraId="0F5EA967">
            <w:pPr>
              <w:pStyle w:val="12"/>
            </w:pPr>
          </w:p>
        </w:tc>
      </w:tr>
      <w:tr w14:paraId="5AF31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5286B">
            <w:pPr>
              <w:pStyle w:val="10"/>
            </w:pPr>
            <w:r>
              <w:t>资金支出计划（%）</w:t>
            </w:r>
          </w:p>
        </w:tc>
        <w:tc>
          <w:tcPr>
            <w:tcW w:w="5103" w:type="dxa"/>
            <w:gridSpan w:val="2"/>
            <w:vAlign w:val="center"/>
          </w:tcPr>
          <w:p w14:paraId="6D46E983">
            <w:pPr>
              <w:pStyle w:val="10"/>
            </w:pPr>
            <w:r>
              <w:t>3月底</w:t>
            </w:r>
          </w:p>
        </w:tc>
        <w:tc>
          <w:tcPr>
            <w:tcW w:w="2835" w:type="dxa"/>
            <w:vAlign w:val="center"/>
          </w:tcPr>
          <w:p w14:paraId="5B878C95">
            <w:pPr>
              <w:pStyle w:val="10"/>
            </w:pPr>
            <w:r>
              <w:t>6月底</w:t>
            </w:r>
          </w:p>
        </w:tc>
        <w:tc>
          <w:tcPr>
            <w:tcW w:w="2551" w:type="dxa"/>
            <w:vAlign w:val="center"/>
          </w:tcPr>
          <w:p w14:paraId="3481F598">
            <w:pPr>
              <w:pStyle w:val="10"/>
            </w:pPr>
            <w:r>
              <w:t>10月底</w:t>
            </w:r>
          </w:p>
        </w:tc>
        <w:tc>
          <w:tcPr>
            <w:tcW w:w="3544" w:type="dxa"/>
            <w:gridSpan w:val="2"/>
            <w:vAlign w:val="center"/>
          </w:tcPr>
          <w:p w14:paraId="0D7E6890">
            <w:pPr>
              <w:pStyle w:val="10"/>
            </w:pPr>
            <w:r>
              <w:t>12月底</w:t>
            </w:r>
          </w:p>
        </w:tc>
      </w:tr>
      <w:tr w14:paraId="10905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99A38"/>
        </w:tc>
        <w:tc>
          <w:tcPr>
            <w:tcW w:w="5103" w:type="dxa"/>
            <w:gridSpan w:val="2"/>
            <w:vAlign w:val="center"/>
          </w:tcPr>
          <w:p w14:paraId="0ABFD73D">
            <w:pPr>
              <w:pStyle w:val="13"/>
            </w:pPr>
            <w:r>
              <w:t xml:space="preserve"> </w:t>
            </w:r>
          </w:p>
        </w:tc>
        <w:tc>
          <w:tcPr>
            <w:tcW w:w="2835" w:type="dxa"/>
            <w:vAlign w:val="center"/>
          </w:tcPr>
          <w:p w14:paraId="05746954">
            <w:pPr>
              <w:pStyle w:val="13"/>
            </w:pPr>
            <w:r>
              <w:t>50%</w:t>
            </w:r>
          </w:p>
        </w:tc>
        <w:tc>
          <w:tcPr>
            <w:tcW w:w="2551" w:type="dxa"/>
            <w:vAlign w:val="center"/>
          </w:tcPr>
          <w:p w14:paraId="420C322B">
            <w:pPr>
              <w:pStyle w:val="13"/>
            </w:pPr>
            <w:r>
              <w:t>50%</w:t>
            </w:r>
          </w:p>
        </w:tc>
        <w:tc>
          <w:tcPr>
            <w:tcW w:w="3544" w:type="dxa"/>
            <w:gridSpan w:val="2"/>
            <w:vAlign w:val="center"/>
          </w:tcPr>
          <w:p w14:paraId="73984AB4">
            <w:pPr>
              <w:pStyle w:val="13"/>
            </w:pPr>
            <w:r>
              <w:t>100%</w:t>
            </w:r>
          </w:p>
        </w:tc>
      </w:tr>
      <w:tr w14:paraId="567D3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14D22">
            <w:pPr>
              <w:pStyle w:val="10"/>
            </w:pPr>
            <w:r>
              <w:t>绩效目标</w:t>
            </w:r>
          </w:p>
        </w:tc>
        <w:tc>
          <w:tcPr>
            <w:tcW w:w="14033" w:type="dxa"/>
            <w:gridSpan w:val="6"/>
            <w:vAlign w:val="center"/>
          </w:tcPr>
          <w:p w14:paraId="0077798A">
            <w:pPr>
              <w:pStyle w:val="12"/>
            </w:pPr>
            <w:r>
              <w:t>1.保证本年度资助经费足额落实到位，符合享受资助条件的学生应助尽助。</w:t>
            </w:r>
          </w:p>
        </w:tc>
      </w:tr>
    </w:tbl>
    <w:p w14:paraId="28D89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4D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504C7">
            <w:pPr>
              <w:pStyle w:val="10"/>
            </w:pPr>
            <w:r>
              <w:t>一级指标</w:t>
            </w:r>
          </w:p>
        </w:tc>
        <w:tc>
          <w:tcPr>
            <w:tcW w:w="2268" w:type="dxa"/>
            <w:vAlign w:val="center"/>
          </w:tcPr>
          <w:p w14:paraId="2CD55A89">
            <w:pPr>
              <w:pStyle w:val="10"/>
            </w:pPr>
            <w:r>
              <w:t>二级指标</w:t>
            </w:r>
          </w:p>
        </w:tc>
        <w:tc>
          <w:tcPr>
            <w:tcW w:w="2835" w:type="dxa"/>
            <w:vAlign w:val="center"/>
          </w:tcPr>
          <w:p w14:paraId="46A3C9E5">
            <w:pPr>
              <w:pStyle w:val="10"/>
            </w:pPr>
            <w:r>
              <w:t>三级指标</w:t>
            </w:r>
          </w:p>
        </w:tc>
        <w:tc>
          <w:tcPr>
            <w:tcW w:w="5386" w:type="dxa"/>
            <w:vAlign w:val="center"/>
          </w:tcPr>
          <w:p w14:paraId="69716855">
            <w:pPr>
              <w:pStyle w:val="10"/>
            </w:pPr>
            <w:r>
              <w:t>绩效指标描述</w:t>
            </w:r>
          </w:p>
        </w:tc>
        <w:tc>
          <w:tcPr>
            <w:tcW w:w="2268" w:type="dxa"/>
            <w:vAlign w:val="center"/>
          </w:tcPr>
          <w:p w14:paraId="381606D4">
            <w:pPr>
              <w:pStyle w:val="10"/>
            </w:pPr>
            <w:r>
              <w:t>指标值</w:t>
            </w:r>
          </w:p>
        </w:tc>
        <w:tc>
          <w:tcPr>
            <w:tcW w:w="1276" w:type="dxa"/>
            <w:vAlign w:val="center"/>
          </w:tcPr>
          <w:p w14:paraId="4658208A">
            <w:pPr>
              <w:pStyle w:val="10"/>
            </w:pPr>
            <w:r>
              <w:t>指标值确定依据</w:t>
            </w:r>
          </w:p>
        </w:tc>
      </w:tr>
      <w:tr w14:paraId="5784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95DEA">
            <w:pPr>
              <w:pStyle w:val="13"/>
            </w:pPr>
            <w:r>
              <w:t>产出指标</w:t>
            </w:r>
          </w:p>
        </w:tc>
        <w:tc>
          <w:tcPr>
            <w:tcW w:w="2268" w:type="dxa"/>
            <w:vAlign w:val="center"/>
          </w:tcPr>
          <w:p w14:paraId="6B7F8F31">
            <w:pPr>
              <w:pStyle w:val="12"/>
            </w:pPr>
            <w:r>
              <w:t>数量指标</w:t>
            </w:r>
          </w:p>
        </w:tc>
        <w:tc>
          <w:tcPr>
            <w:tcW w:w="2835" w:type="dxa"/>
            <w:vAlign w:val="center"/>
          </w:tcPr>
          <w:p w14:paraId="4CC699C7">
            <w:pPr>
              <w:pStyle w:val="12"/>
            </w:pPr>
            <w:r>
              <w:t xml:space="preserve"> 幼儿资助人数</w:t>
            </w:r>
          </w:p>
        </w:tc>
        <w:tc>
          <w:tcPr>
            <w:tcW w:w="5386" w:type="dxa"/>
            <w:vAlign w:val="center"/>
          </w:tcPr>
          <w:p w14:paraId="02D4ECC9">
            <w:pPr>
              <w:pStyle w:val="12"/>
            </w:pPr>
            <w:r>
              <w:t xml:space="preserve"> 幼儿资助人数</w:t>
            </w:r>
          </w:p>
        </w:tc>
        <w:tc>
          <w:tcPr>
            <w:tcW w:w="2268" w:type="dxa"/>
            <w:vAlign w:val="center"/>
          </w:tcPr>
          <w:p w14:paraId="763BBED4">
            <w:pPr>
              <w:pStyle w:val="12"/>
            </w:pPr>
            <w:r>
              <w:t>27 人</w:t>
            </w:r>
          </w:p>
        </w:tc>
        <w:tc>
          <w:tcPr>
            <w:tcW w:w="1276" w:type="dxa"/>
            <w:vAlign w:val="center"/>
          </w:tcPr>
          <w:p w14:paraId="2D5879D4">
            <w:pPr>
              <w:pStyle w:val="12"/>
            </w:pPr>
            <w:r>
              <w:t>幼儿资助经费管理办法</w:t>
            </w:r>
          </w:p>
        </w:tc>
      </w:tr>
      <w:tr w14:paraId="37D8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C2D23"/>
        </w:tc>
        <w:tc>
          <w:tcPr>
            <w:tcW w:w="2268" w:type="dxa"/>
            <w:vAlign w:val="center"/>
          </w:tcPr>
          <w:p w14:paraId="522F38A6">
            <w:pPr>
              <w:pStyle w:val="12"/>
            </w:pPr>
            <w:r>
              <w:t>质量指标</w:t>
            </w:r>
          </w:p>
        </w:tc>
        <w:tc>
          <w:tcPr>
            <w:tcW w:w="2835" w:type="dxa"/>
            <w:vAlign w:val="center"/>
          </w:tcPr>
          <w:p w14:paraId="7D0173C2">
            <w:pPr>
              <w:pStyle w:val="12"/>
            </w:pPr>
            <w:r>
              <w:t>资助资金使用率</w:t>
            </w:r>
          </w:p>
        </w:tc>
        <w:tc>
          <w:tcPr>
            <w:tcW w:w="5386" w:type="dxa"/>
            <w:vAlign w:val="center"/>
          </w:tcPr>
          <w:p w14:paraId="5B6D1BE7">
            <w:pPr>
              <w:pStyle w:val="12"/>
            </w:pPr>
            <w:r>
              <w:t>符合享受资助条件的学生应助尽助</w:t>
            </w:r>
          </w:p>
        </w:tc>
        <w:tc>
          <w:tcPr>
            <w:tcW w:w="2268" w:type="dxa"/>
            <w:vAlign w:val="center"/>
          </w:tcPr>
          <w:p w14:paraId="61624534">
            <w:pPr>
              <w:pStyle w:val="12"/>
            </w:pPr>
            <w:r>
              <w:t>100%</w:t>
            </w:r>
          </w:p>
        </w:tc>
        <w:tc>
          <w:tcPr>
            <w:tcW w:w="1276" w:type="dxa"/>
            <w:vAlign w:val="center"/>
          </w:tcPr>
          <w:p w14:paraId="17484BD3">
            <w:pPr>
              <w:pStyle w:val="12"/>
            </w:pPr>
            <w:r>
              <w:t>幼儿资助经费管理办法</w:t>
            </w:r>
          </w:p>
        </w:tc>
      </w:tr>
      <w:tr w14:paraId="1B871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FDC64"/>
        </w:tc>
        <w:tc>
          <w:tcPr>
            <w:tcW w:w="2268" w:type="dxa"/>
            <w:vAlign w:val="center"/>
          </w:tcPr>
          <w:p w14:paraId="3186A6C7">
            <w:pPr>
              <w:pStyle w:val="12"/>
            </w:pPr>
            <w:r>
              <w:t>时效指标</w:t>
            </w:r>
          </w:p>
        </w:tc>
        <w:tc>
          <w:tcPr>
            <w:tcW w:w="2835" w:type="dxa"/>
            <w:vAlign w:val="center"/>
          </w:tcPr>
          <w:p w14:paraId="3BBAD6E6">
            <w:pPr>
              <w:pStyle w:val="12"/>
            </w:pPr>
            <w:r>
              <w:t>资金拨付率</w:t>
            </w:r>
          </w:p>
        </w:tc>
        <w:tc>
          <w:tcPr>
            <w:tcW w:w="5386" w:type="dxa"/>
            <w:vAlign w:val="center"/>
          </w:tcPr>
          <w:p w14:paraId="63658A5E">
            <w:pPr>
              <w:pStyle w:val="12"/>
            </w:pPr>
            <w:r>
              <w:t>所有项目资金支付进度</w:t>
            </w:r>
          </w:p>
        </w:tc>
        <w:tc>
          <w:tcPr>
            <w:tcW w:w="2268" w:type="dxa"/>
            <w:vAlign w:val="center"/>
          </w:tcPr>
          <w:p w14:paraId="02B3E965">
            <w:pPr>
              <w:pStyle w:val="12"/>
            </w:pPr>
            <w:r>
              <w:t>100%</w:t>
            </w:r>
          </w:p>
        </w:tc>
        <w:tc>
          <w:tcPr>
            <w:tcW w:w="1276" w:type="dxa"/>
            <w:vAlign w:val="center"/>
          </w:tcPr>
          <w:p w14:paraId="1CCC8C4F">
            <w:pPr>
              <w:pStyle w:val="12"/>
            </w:pPr>
            <w:r>
              <w:t>幼儿资助经费管理办法</w:t>
            </w:r>
          </w:p>
        </w:tc>
      </w:tr>
      <w:tr w14:paraId="1876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03A40"/>
        </w:tc>
        <w:tc>
          <w:tcPr>
            <w:tcW w:w="2268" w:type="dxa"/>
            <w:vAlign w:val="center"/>
          </w:tcPr>
          <w:p w14:paraId="63F32417">
            <w:pPr>
              <w:pStyle w:val="12"/>
            </w:pPr>
            <w:r>
              <w:t>成本指标</w:t>
            </w:r>
          </w:p>
        </w:tc>
        <w:tc>
          <w:tcPr>
            <w:tcW w:w="2835" w:type="dxa"/>
            <w:vAlign w:val="center"/>
          </w:tcPr>
          <w:p w14:paraId="009FFCC3">
            <w:pPr>
              <w:pStyle w:val="12"/>
            </w:pPr>
            <w:r>
              <w:t>幼儿园生均成本</w:t>
            </w:r>
          </w:p>
        </w:tc>
        <w:tc>
          <w:tcPr>
            <w:tcW w:w="5386" w:type="dxa"/>
            <w:vAlign w:val="center"/>
          </w:tcPr>
          <w:p w14:paraId="4113AC1B">
            <w:pPr>
              <w:pStyle w:val="12"/>
            </w:pPr>
            <w:r>
              <w:t>按照幼儿园资助标准1000元/生/年</w:t>
            </w:r>
          </w:p>
        </w:tc>
        <w:tc>
          <w:tcPr>
            <w:tcW w:w="2268" w:type="dxa"/>
            <w:vAlign w:val="center"/>
          </w:tcPr>
          <w:p w14:paraId="25DA6C5C">
            <w:pPr>
              <w:pStyle w:val="12"/>
            </w:pPr>
            <w:r>
              <w:t>1000元</w:t>
            </w:r>
          </w:p>
        </w:tc>
        <w:tc>
          <w:tcPr>
            <w:tcW w:w="1276" w:type="dxa"/>
            <w:vAlign w:val="center"/>
          </w:tcPr>
          <w:p w14:paraId="42890921">
            <w:pPr>
              <w:pStyle w:val="12"/>
            </w:pPr>
            <w:r>
              <w:t>幼儿资助经费管理办法</w:t>
            </w:r>
          </w:p>
        </w:tc>
      </w:tr>
      <w:tr w14:paraId="17C0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A2FF6">
            <w:pPr>
              <w:pStyle w:val="13"/>
            </w:pPr>
            <w:r>
              <w:t>效益指标</w:t>
            </w:r>
          </w:p>
        </w:tc>
        <w:tc>
          <w:tcPr>
            <w:tcW w:w="2268" w:type="dxa"/>
            <w:vAlign w:val="center"/>
          </w:tcPr>
          <w:p w14:paraId="097110CA">
            <w:pPr>
              <w:pStyle w:val="12"/>
            </w:pPr>
            <w:r>
              <w:t>可持续影响指标</w:t>
            </w:r>
          </w:p>
        </w:tc>
        <w:tc>
          <w:tcPr>
            <w:tcW w:w="2835" w:type="dxa"/>
            <w:vAlign w:val="center"/>
          </w:tcPr>
          <w:p w14:paraId="088F1491">
            <w:pPr>
              <w:pStyle w:val="12"/>
            </w:pPr>
            <w:r>
              <w:t>幼儿园正常运转</w:t>
            </w:r>
          </w:p>
        </w:tc>
        <w:tc>
          <w:tcPr>
            <w:tcW w:w="5386" w:type="dxa"/>
            <w:vAlign w:val="center"/>
          </w:tcPr>
          <w:p w14:paraId="5BFD3790">
            <w:pPr>
              <w:pStyle w:val="12"/>
            </w:pPr>
            <w:r>
              <w:t>幼儿受教育年限</w:t>
            </w:r>
          </w:p>
        </w:tc>
        <w:tc>
          <w:tcPr>
            <w:tcW w:w="2268" w:type="dxa"/>
            <w:vAlign w:val="center"/>
          </w:tcPr>
          <w:p w14:paraId="107992A9">
            <w:pPr>
              <w:pStyle w:val="12"/>
            </w:pPr>
            <w:r>
              <w:t>3年</w:t>
            </w:r>
          </w:p>
        </w:tc>
        <w:tc>
          <w:tcPr>
            <w:tcW w:w="1276" w:type="dxa"/>
            <w:vAlign w:val="center"/>
          </w:tcPr>
          <w:p w14:paraId="24A54193">
            <w:pPr>
              <w:pStyle w:val="12"/>
            </w:pPr>
            <w:r>
              <w:t>幼儿资助经费管理办法</w:t>
            </w:r>
          </w:p>
        </w:tc>
      </w:tr>
      <w:tr w14:paraId="7B8D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458F1">
            <w:pPr>
              <w:pStyle w:val="13"/>
            </w:pPr>
            <w:r>
              <w:t>满意度指标</w:t>
            </w:r>
          </w:p>
        </w:tc>
        <w:tc>
          <w:tcPr>
            <w:tcW w:w="2268" w:type="dxa"/>
            <w:vAlign w:val="center"/>
          </w:tcPr>
          <w:p w14:paraId="60736464">
            <w:pPr>
              <w:pStyle w:val="12"/>
            </w:pPr>
            <w:r>
              <w:t>服务对象满意度指标</w:t>
            </w:r>
          </w:p>
        </w:tc>
        <w:tc>
          <w:tcPr>
            <w:tcW w:w="2835" w:type="dxa"/>
            <w:vAlign w:val="center"/>
          </w:tcPr>
          <w:p w14:paraId="39F8B63B">
            <w:pPr>
              <w:pStyle w:val="12"/>
            </w:pPr>
            <w:r>
              <w:t>受益幼儿家长及调查满意度</w:t>
            </w:r>
          </w:p>
        </w:tc>
        <w:tc>
          <w:tcPr>
            <w:tcW w:w="5386" w:type="dxa"/>
            <w:vAlign w:val="center"/>
          </w:tcPr>
          <w:p w14:paraId="76E12244">
            <w:pPr>
              <w:pStyle w:val="12"/>
            </w:pPr>
            <w:r>
              <w:t>学生、教师及家长对学校保教保育工作满意度情况</w:t>
            </w:r>
          </w:p>
        </w:tc>
        <w:tc>
          <w:tcPr>
            <w:tcW w:w="2268" w:type="dxa"/>
            <w:vAlign w:val="center"/>
          </w:tcPr>
          <w:p w14:paraId="317EC848">
            <w:pPr>
              <w:pStyle w:val="12"/>
            </w:pPr>
            <w:r>
              <w:t>≥95%</w:t>
            </w:r>
          </w:p>
        </w:tc>
        <w:tc>
          <w:tcPr>
            <w:tcW w:w="1276" w:type="dxa"/>
            <w:vAlign w:val="center"/>
          </w:tcPr>
          <w:p w14:paraId="39EED44F">
            <w:pPr>
              <w:pStyle w:val="12"/>
            </w:pPr>
            <w:r>
              <w:t>幼儿资助经费管理办法</w:t>
            </w:r>
          </w:p>
        </w:tc>
      </w:tr>
    </w:tbl>
    <w:p w14:paraId="40420774">
      <w:pPr>
        <w:sectPr>
          <w:pgSz w:w="16840" w:h="11900" w:orient="landscape"/>
          <w:pgMar w:top="1361" w:right="1020" w:bottom="1134" w:left="1020" w:header="720" w:footer="720" w:gutter="0"/>
          <w:cols w:space="720" w:num="1"/>
        </w:sectPr>
      </w:pPr>
    </w:p>
    <w:p w14:paraId="2A3F9F0C">
      <w:pPr>
        <w:spacing w:before="0" w:after="0"/>
        <w:ind w:firstLine="560"/>
        <w:jc w:val="left"/>
        <w:outlineLvl w:val="9"/>
      </w:pPr>
      <w:r>
        <w:rPr>
          <w:rFonts w:ascii="方正仿宋_GBK" w:hAnsi="方正仿宋_GBK" w:eastAsia="方正仿宋_GBK" w:cs="方正仿宋_GBK"/>
          <w:b/>
          <w:color w:val="000000"/>
          <w:sz w:val="28"/>
        </w:rPr>
        <w:t>8、县级资金/2026年县直幼儿园学前教育公用经费绩效目标表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27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39148">
            <w:pPr>
              <w:pStyle w:val="11"/>
            </w:pPr>
            <w:r>
              <w:t>单位：万元</w:t>
            </w:r>
          </w:p>
        </w:tc>
      </w:tr>
      <w:tr w14:paraId="2466C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7A1E4">
            <w:pPr>
              <w:pStyle w:val="10"/>
            </w:pPr>
            <w:r>
              <w:t>项目编码</w:t>
            </w:r>
          </w:p>
        </w:tc>
        <w:tc>
          <w:tcPr>
            <w:tcW w:w="5103" w:type="dxa"/>
            <w:gridSpan w:val="2"/>
            <w:vAlign w:val="center"/>
          </w:tcPr>
          <w:p w14:paraId="5CF7A819">
            <w:pPr>
              <w:pStyle w:val="12"/>
            </w:pPr>
            <w:r>
              <w:t>13052526P008757101290</w:t>
            </w:r>
          </w:p>
        </w:tc>
        <w:tc>
          <w:tcPr>
            <w:tcW w:w="2835" w:type="dxa"/>
            <w:vAlign w:val="center"/>
          </w:tcPr>
          <w:p w14:paraId="68048104">
            <w:pPr>
              <w:pStyle w:val="10"/>
            </w:pPr>
            <w:r>
              <w:t>项目名称</w:t>
            </w:r>
          </w:p>
        </w:tc>
        <w:tc>
          <w:tcPr>
            <w:tcW w:w="6095" w:type="dxa"/>
            <w:gridSpan w:val="3"/>
            <w:vAlign w:val="center"/>
          </w:tcPr>
          <w:p w14:paraId="0D94EE9E">
            <w:pPr>
              <w:pStyle w:val="12"/>
            </w:pPr>
            <w:r>
              <w:t>县级资金/2026年县直幼儿园学前教育公用经费</w:t>
            </w:r>
          </w:p>
        </w:tc>
      </w:tr>
      <w:tr w14:paraId="58C25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1396B">
            <w:pPr>
              <w:pStyle w:val="10"/>
            </w:pPr>
            <w:r>
              <w:t>预算规模及资金用途</w:t>
            </w:r>
          </w:p>
        </w:tc>
        <w:tc>
          <w:tcPr>
            <w:tcW w:w="2268" w:type="dxa"/>
            <w:vAlign w:val="center"/>
          </w:tcPr>
          <w:p w14:paraId="297867C0">
            <w:pPr>
              <w:pStyle w:val="10"/>
            </w:pPr>
            <w:r>
              <w:t>预算数</w:t>
            </w:r>
          </w:p>
        </w:tc>
        <w:tc>
          <w:tcPr>
            <w:tcW w:w="2835" w:type="dxa"/>
            <w:vAlign w:val="center"/>
          </w:tcPr>
          <w:p w14:paraId="48617CDA">
            <w:pPr>
              <w:pStyle w:val="12"/>
            </w:pPr>
            <w:r>
              <w:t>9.40</w:t>
            </w:r>
          </w:p>
        </w:tc>
        <w:tc>
          <w:tcPr>
            <w:tcW w:w="2835" w:type="dxa"/>
            <w:vAlign w:val="center"/>
          </w:tcPr>
          <w:p w14:paraId="77390A7B">
            <w:pPr>
              <w:pStyle w:val="10"/>
            </w:pPr>
            <w:r>
              <w:t>其中：财政    资金</w:t>
            </w:r>
          </w:p>
        </w:tc>
        <w:tc>
          <w:tcPr>
            <w:tcW w:w="2551" w:type="dxa"/>
            <w:vAlign w:val="center"/>
          </w:tcPr>
          <w:p w14:paraId="149D3095">
            <w:pPr>
              <w:pStyle w:val="12"/>
            </w:pPr>
            <w:r>
              <w:t>9.40</w:t>
            </w:r>
          </w:p>
        </w:tc>
        <w:tc>
          <w:tcPr>
            <w:tcW w:w="2268" w:type="dxa"/>
            <w:vAlign w:val="center"/>
          </w:tcPr>
          <w:p w14:paraId="0B35CE75">
            <w:pPr>
              <w:pStyle w:val="10"/>
            </w:pPr>
            <w:r>
              <w:t>其他资金</w:t>
            </w:r>
          </w:p>
        </w:tc>
        <w:tc>
          <w:tcPr>
            <w:tcW w:w="1276" w:type="dxa"/>
            <w:vAlign w:val="center"/>
          </w:tcPr>
          <w:p w14:paraId="633FDFC1">
            <w:pPr>
              <w:pStyle w:val="12"/>
            </w:pPr>
            <w:r>
              <w:t xml:space="preserve"> </w:t>
            </w:r>
          </w:p>
        </w:tc>
      </w:tr>
      <w:tr w14:paraId="00B3F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77A31"/>
        </w:tc>
        <w:tc>
          <w:tcPr>
            <w:tcW w:w="14033" w:type="dxa"/>
            <w:gridSpan w:val="6"/>
            <w:vAlign w:val="center"/>
          </w:tcPr>
          <w:p w14:paraId="76DDC084">
            <w:pPr>
              <w:pStyle w:val="12"/>
            </w:pPr>
            <w:r>
              <w:t>" 保障幼儿园正常运转，完成教育教学活动和其他日常工作任务等方面的费用支出。</w:t>
            </w:r>
            <w:r>
              <w:tab/>
            </w:r>
            <w:r>
              <w:tab/>
            </w:r>
            <w:r>
              <w:tab/>
            </w:r>
            <w:r>
              <w:tab/>
            </w:r>
            <w:r>
              <w:tab/>
            </w:r>
            <w:r>
              <w:tab/>
            </w:r>
          </w:p>
          <w:p w14:paraId="04B05A83">
            <w:pPr>
              <w:pStyle w:val="12"/>
            </w:pPr>
            <w:r>
              <w:t>"</w:t>
            </w:r>
            <w:r>
              <w:tab/>
            </w:r>
            <w:r>
              <w:tab/>
            </w:r>
            <w:r>
              <w:tab/>
            </w:r>
            <w:r>
              <w:tab/>
            </w:r>
            <w:r>
              <w:tab/>
            </w:r>
            <w:r>
              <w:tab/>
            </w:r>
          </w:p>
          <w:p w14:paraId="2E6D00ED">
            <w:pPr>
              <w:pStyle w:val="12"/>
            </w:pPr>
          </w:p>
        </w:tc>
      </w:tr>
      <w:tr w14:paraId="2B514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89365">
            <w:pPr>
              <w:pStyle w:val="10"/>
            </w:pPr>
            <w:r>
              <w:t>资金支出计划（%）</w:t>
            </w:r>
          </w:p>
        </w:tc>
        <w:tc>
          <w:tcPr>
            <w:tcW w:w="5103" w:type="dxa"/>
            <w:gridSpan w:val="2"/>
            <w:vAlign w:val="center"/>
          </w:tcPr>
          <w:p w14:paraId="25C46CFC">
            <w:pPr>
              <w:pStyle w:val="10"/>
            </w:pPr>
            <w:r>
              <w:t>3月底</w:t>
            </w:r>
          </w:p>
        </w:tc>
        <w:tc>
          <w:tcPr>
            <w:tcW w:w="2835" w:type="dxa"/>
            <w:vAlign w:val="center"/>
          </w:tcPr>
          <w:p w14:paraId="0D7954D6">
            <w:pPr>
              <w:pStyle w:val="10"/>
            </w:pPr>
            <w:r>
              <w:t>6月底</w:t>
            </w:r>
          </w:p>
        </w:tc>
        <w:tc>
          <w:tcPr>
            <w:tcW w:w="2551" w:type="dxa"/>
            <w:vAlign w:val="center"/>
          </w:tcPr>
          <w:p w14:paraId="32F57FF8">
            <w:pPr>
              <w:pStyle w:val="10"/>
            </w:pPr>
            <w:r>
              <w:t>10月底</w:t>
            </w:r>
          </w:p>
        </w:tc>
        <w:tc>
          <w:tcPr>
            <w:tcW w:w="3544" w:type="dxa"/>
            <w:gridSpan w:val="2"/>
            <w:vAlign w:val="center"/>
          </w:tcPr>
          <w:p w14:paraId="0995CB70">
            <w:pPr>
              <w:pStyle w:val="10"/>
            </w:pPr>
            <w:r>
              <w:t>12月底</w:t>
            </w:r>
          </w:p>
        </w:tc>
      </w:tr>
      <w:tr w14:paraId="4B95A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94167"/>
        </w:tc>
        <w:tc>
          <w:tcPr>
            <w:tcW w:w="5103" w:type="dxa"/>
            <w:gridSpan w:val="2"/>
            <w:vAlign w:val="center"/>
          </w:tcPr>
          <w:p w14:paraId="5090B9CD">
            <w:pPr>
              <w:pStyle w:val="13"/>
            </w:pPr>
            <w:r>
              <w:t>25%</w:t>
            </w:r>
          </w:p>
        </w:tc>
        <w:tc>
          <w:tcPr>
            <w:tcW w:w="2835" w:type="dxa"/>
            <w:vAlign w:val="center"/>
          </w:tcPr>
          <w:p w14:paraId="62DC6024">
            <w:pPr>
              <w:pStyle w:val="13"/>
            </w:pPr>
            <w:r>
              <w:t>50%</w:t>
            </w:r>
          </w:p>
        </w:tc>
        <w:tc>
          <w:tcPr>
            <w:tcW w:w="2551" w:type="dxa"/>
            <w:vAlign w:val="center"/>
          </w:tcPr>
          <w:p w14:paraId="13BD8E00">
            <w:pPr>
              <w:pStyle w:val="13"/>
            </w:pPr>
            <w:r>
              <w:t>75%</w:t>
            </w:r>
          </w:p>
        </w:tc>
        <w:tc>
          <w:tcPr>
            <w:tcW w:w="3544" w:type="dxa"/>
            <w:gridSpan w:val="2"/>
            <w:vAlign w:val="center"/>
          </w:tcPr>
          <w:p w14:paraId="4C65A90E">
            <w:pPr>
              <w:pStyle w:val="13"/>
            </w:pPr>
            <w:r>
              <w:t>100%</w:t>
            </w:r>
          </w:p>
        </w:tc>
      </w:tr>
      <w:tr w14:paraId="33AA7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AB8F9">
            <w:pPr>
              <w:pStyle w:val="10"/>
            </w:pPr>
            <w:r>
              <w:t>绩效目标</w:t>
            </w:r>
          </w:p>
        </w:tc>
        <w:tc>
          <w:tcPr>
            <w:tcW w:w="14033" w:type="dxa"/>
            <w:gridSpan w:val="6"/>
            <w:vAlign w:val="center"/>
          </w:tcPr>
          <w:p w14:paraId="46E3B358">
            <w:pPr>
              <w:pStyle w:val="12"/>
            </w:pPr>
            <w:r>
              <w:t>1. 保障幼儿园正常运转，完成教育教学活动和其他日常工作任务等方面的费用支出。</w:t>
            </w:r>
            <w:r>
              <w:tab/>
            </w:r>
            <w:r>
              <w:tab/>
            </w:r>
            <w:r>
              <w:tab/>
            </w:r>
            <w:r>
              <w:tab/>
            </w:r>
            <w:r>
              <w:tab/>
            </w:r>
            <w:r>
              <w:tab/>
            </w:r>
          </w:p>
          <w:p w14:paraId="4A11F302">
            <w:pPr>
              <w:pStyle w:val="12"/>
            </w:pPr>
          </w:p>
          <w:p w14:paraId="00F36753">
            <w:pPr>
              <w:pStyle w:val="12"/>
            </w:pPr>
            <w:r>
              <w:t>2.按季度分批次拨付公用经费资金，资金拨付率达到100%。</w:t>
            </w:r>
            <w:r>
              <w:tab/>
            </w:r>
            <w:r>
              <w:tab/>
            </w:r>
            <w:r>
              <w:tab/>
            </w:r>
            <w:r>
              <w:tab/>
            </w:r>
            <w:r>
              <w:tab/>
            </w:r>
            <w:r>
              <w:tab/>
            </w:r>
          </w:p>
          <w:p w14:paraId="2B715817">
            <w:pPr>
              <w:pStyle w:val="12"/>
            </w:pPr>
            <w:r>
              <w:t xml:space="preserve"> </w:t>
            </w:r>
            <w:r>
              <w:tab/>
            </w:r>
            <w:r>
              <w:tab/>
            </w:r>
            <w:r>
              <w:tab/>
            </w:r>
            <w:r>
              <w:tab/>
            </w:r>
            <w:r>
              <w:tab/>
            </w:r>
            <w:r>
              <w:tab/>
            </w:r>
          </w:p>
          <w:p w14:paraId="7AC434A1">
            <w:pPr>
              <w:pStyle w:val="12"/>
            </w:pPr>
          </w:p>
        </w:tc>
      </w:tr>
    </w:tbl>
    <w:p w14:paraId="3A217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3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3F568">
            <w:pPr>
              <w:pStyle w:val="10"/>
            </w:pPr>
            <w:r>
              <w:t>一级指标</w:t>
            </w:r>
          </w:p>
        </w:tc>
        <w:tc>
          <w:tcPr>
            <w:tcW w:w="2268" w:type="dxa"/>
            <w:vAlign w:val="center"/>
          </w:tcPr>
          <w:p w14:paraId="154A765C">
            <w:pPr>
              <w:pStyle w:val="10"/>
            </w:pPr>
            <w:r>
              <w:t>二级指标</w:t>
            </w:r>
          </w:p>
        </w:tc>
        <w:tc>
          <w:tcPr>
            <w:tcW w:w="2835" w:type="dxa"/>
            <w:vAlign w:val="center"/>
          </w:tcPr>
          <w:p w14:paraId="6BB26C03">
            <w:pPr>
              <w:pStyle w:val="10"/>
            </w:pPr>
            <w:r>
              <w:t>三级指标</w:t>
            </w:r>
          </w:p>
        </w:tc>
        <w:tc>
          <w:tcPr>
            <w:tcW w:w="5386" w:type="dxa"/>
            <w:vAlign w:val="center"/>
          </w:tcPr>
          <w:p w14:paraId="0A2D1796">
            <w:pPr>
              <w:pStyle w:val="10"/>
            </w:pPr>
            <w:r>
              <w:t>绩效指标描述</w:t>
            </w:r>
          </w:p>
        </w:tc>
        <w:tc>
          <w:tcPr>
            <w:tcW w:w="2268" w:type="dxa"/>
            <w:vAlign w:val="center"/>
          </w:tcPr>
          <w:p w14:paraId="00BA500A">
            <w:pPr>
              <w:pStyle w:val="10"/>
            </w:pPr>
            <w:r>
              <w:t>指标值</w:t>
            </w:r>
          </w:p>
        </w:tc>
        <w:tc>
          <w:tcPr>
            <w:tcW w:w="1276" w:type="dxa"/>
            <w:vAlign w:val="center"/>
          </w:tcPr>
          <w:p w14:paraId="4AB3CF27">
            <w:pPr>
              <w:pStyle w:val="10"/>
            </w:pPr>
            <w:r>
              <w:t>指标值确定依据</w:t>
            </w:r>
          </w:p>
        </w:tc>
      </w:tr>
      <w:tr w14:paraId="58DC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C0282">
            <w:pPr>
              <w:pStyle w:val="13"/>
            </w:pPr>
            <w:r>
              <w:t>产出指标</w:t>
            </w:r>
          </w:p>
        </w:tc>
        <w:tc>
          <w:tcPr>
            <w:tcW w:w="2268" w:type="dxa"/>
            <w:vAlign w:val="center"/>
          </w:tcPr>
          <w:p w14:paraId="11A2DDAC">
            <w:pPr>
              <w:pStyle w:val="12"/>
            </w:pPr>
            <w:r>
              <w:t>成本指标</w:t>
            </w:r>
          </w:p>
        </w:tc>
        <w:tc>
          <w:tcPr>
            <w:tcW w:w="2835" w:type="dxa"/>
            <w:vAlign w:val="center"/>
          </w:tcPr>
          <w:p w14:paraId="40ECC246">
            <w:pPr>
              <w:pStyle w:val="12"/>
            </w:pPr>
            <w:r>
              <w:t>适龄在园生</w:t>
            </w:r>
          </w:p>
        </w:tc>
        <w:tc>
          <w:tcPr>
            <w:tcW w:w="5386" w:type="dxa"/>
            <w:vAlign w:val="center"/>
          </w:tcPr>
          <w:p w14:paraId="106C3EB8">
            <w:pPr>
              <w:pStyle w:val="12"/>
            </w:pPr>
            <w:r>
              <w:t>适龄在园学生人数</w:t>
            </w:r>
          </w:p>
        </w:tc>
        <w:tc>
          <w:tcPr>
            <w:tcW w:w="2268" w:type="dxa"/>
            <w:vAlign w:val="center"/>
          </w:tcPr>
          <w:p w14:paraId="322FA11C">
            <w:pPr>
              <w:pStyle w:val="12"/>
            </w:pPr>
            <w:r>
              <w:t>330人</w:t>
            </w:r>
          </w:p>
        </w:tc>
        <w:tc>
          <w:tcPr>
            <w:tcW w:w="1276" w:type="dxa"/>
            <w:vAlign w:val="center"/>
          </w:tcPr>
          <w:p w14:paraId="5D42332E">
            <w:pPr>
              <w:pStyle w:val="12"/>
            </w:pPr>
            <w:r>
              <w:t>学前公用经费管理办法</w:t>
            </w:r>
            <w:r>
              <w:tab/>
            </w:r>
          </w:p>
          <w:p w14:paraId="2D837E64">
            <w:pPr>
              <w:pStyle w:val="12"/>
            </w:pPr>
          </w:p>
        </w:tc>
      </w:tr>
      <w:tr w14:paraId="2855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7AFEF"/>
        </w:tc>
        <w:tc>
          <w:tcPr>
            <w:tcW w:w="2268" w:type="dxa"/>
            <w:vAlign w:val="center"/>
          </w:tcPr>
          <w:p w14:paraId="76DA3BD8">
            <w:pPr>
              <w:pStyle w:val="12"/>
            </w:pPr>
            <w:r>
              <w:t>数量指标</w:t>
            </w:r>
          </w:p>
        </w:tc>
        <w:tc>
          <w:tcPr>
            <w:tcW w:w="2835" w:type="dxa"/>
            <w:vAlign w:val="center"/>
          </w:tcPr>
          <w:p w14:paraId="064F99EA">
            <w:pPr>
              <w:pStyle w:val="12"/>
            </w:pPr>
            <w:r>
              <w:t>预算控制率</w:t>
            </w:r>
          </w:p>
        </w:tc>
        <w:tc>
          <w:tcPr>
            <w:tcW w:w="5386" w:type="dxa"/>
            <w:vAlign w:val="center"/>
          </w:tcPr>
          <w:p w14:paraId="307869E0">
            <w:pPr>
              <w:pStyle w:val="12"/>
            </w:pPr>
            <w:r>
              <w:t>预算执行</w:t>
            </w:r>
          </w:p>
        </w:tc>
        <w:tc>
          <w:tcPr>
            <w:tcW w:w="2268" w:type="dxa"/>
            <w:vAlign w:val="center"/>
          </w:tcPr>
          <w:p w14:paraId="5FA9E539">
            <w:pPr>
              <w:pStyle w:val="12"/>
            </w:pPr>
            <w:r>
              <w:t>≥95%</w:t>
            </w:r>
          </w:p>
        </w:tc>
        <w:tc>
          <w:tcPr>
            <w:tcW w:w="1276" w:type="dxa"/>
            <w:vAlign w:val="center"/>
          </w:tcPr>
          <w:p w14:paraId="0C485932">
            <w:pPr>
              <w:pStyle w:val="12"/>
            </w:pPr>
            <w:r>
              <w:t>学前公用经费管理办法</w:t>
            </w:r>
          </w:p>
        </w:tc>
      </w:tr>
      <w:tr w14:paraId="1212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DCD9A"/>
        </w:tc>
        <w:tc>
          <w:tcPr>
            <w:tcW w:w="2268" w:type="dxa"/>
            <w:vAlign w:val="center"/>
          </w:tcPr>
          <w:p w14:paraId="58D83D52">
            <w:pPr>
              <w:pStyle w:val="12"/>
            </w:pPr>
            <w:r>
              <w:t>质量指标</w:t>
            </w:r>
          </w:p>
        </w:tc>
        <w:tc>
          <w:tcPr>
            <w:tcW w:w="2835" w:type="dxa"/>
            <w:vAlign w:val="center"/>
          </w:tcPr>
          <w:p w14:paraId="623FAD24">
            <w:pPr>
              <w:pStyle w:val="12"/>
            </w:pPr>
            <w:r>
              <w:t>资金支付率</w:t>
            </w:r>
          </w:p>
        </w:tc>
        <w:tc>
          <w:tcPr>
            <w:tcW w:w="5386" w:type="dxa"/>
            <w:vAlign w:val="center"/>
          </w:tcPr>
          <w:p w14:paraId="3C0797CC">
            <w:pPr>
              <w:pStyle w:val="12"/>
            </w:pPr>
            <w:r>
              <w:t>按照序时进度完成资金支付</w:t>
            </w:r>
          </w:p>
        </w:tc>
        <w:tc>
          <w:tcPr>
            <w:tcW w:w="2268" w:type="dxa"/>
            <w:vAlign w:val="center"/>
          </w:tcPr>
          <w:p w14:paraId="3DC295EB">
            <w:pPr>
              <w:pStyle w:val="12"/>
            </w:pPr>
            <w:r>
              <w:t>100%</w:t>
            </w:r>
          </w:p>
        </w:tc>
        <w:tc>
          <w:tcPr>
            <w:tcW w:w="1276" w:type="dxa"/>
            <w:vAlign w:val="center"/>
          </w:tcPr>
          <w:p w14:paraId="46022D9A">
            <w:pPr>
              <w:pStyle w:val="12"/>
            </w:pPr>
            <w:r>
              <w:t>学前公用经费管理办法</w:t>
            </w:r>
          </w:p>
        </w:tc>
      </w:tr>
      <w:tr w14:paraId="7538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761FE"/>
        </w:tc>
        <w:tc>
          <w:tcPr>
            <w:tcW w:w="2268" w:type="dxa"/>
            <w:vAlign w:val="center"/>
          </w:tcPr>
          <w:p w14:paraId="34BB72A7">
            <w:pPr>
              <w:pStyle w:val="12"/>
            </w:pPr>
            <w:r>
              <w:t>时效指标</w:t>
            </w:r>
          </w:p>
        </w:tc>
        <w:tc>
          <w:tcPr>
            <w:tcW w:w="2835" w:type="dxa"/>
            <w:vAlign w:val="center"/>
          </w:tcPr>
          <w:p w14:paraId="056248DF">
            <w:pPr>
              <w:pStyle w:val="12"/>
            </w:pPr>
            <w:r>
              <w:t>生均拨款标准</w:t>
            </w:r>
          </w:p>
        </w:tc>
        <w:tc>
          <w:tcPr>
            <w:tcW w:w="5386" w:type="dxa"/>
            <w:vAlign w:val="center"/>
          </w:tcPr>
          <w:p w14:paraId="21CFC044">
            <w:pPr>
              <w:pStyle w:val="12"/>
            </w:pPr>
            <w:r>
              <w:t>学前：（基本标准600元/生/学年）</w:t>
            </w:r>
          </w:p>
        </w:tc>
        <w:tc>
          <w:tcPr>
            <w:tcW w:w="2268" w:type="dxa"/>
            <w:vAlign w:val="center"/>
          </w:tcPr>
          <w:p w14:paraId="0078BA47">
            <w:pPr>
              <w:pStyle w:val="12"/>
            </w:pPr>
            <w:r>
              <w:t>600元</w:t>
            </w:r>
          </w:p>
        </w:tc>
        <w:tc>
          <w:tcPr>
            <w:tcW w:w="1276" w:type="dxa"/>
            <w:vAlign w:val="center"/>
          </w:tcPr>
          <w:p w14:paraId="29AEB274">
            <w:pPr>
              <w:pStyle w:val="12"/>
            </w:pPr>
            <w:r>
              <w:t>学前公用经费管理办法</w:t>
            </w:r>
          </w:p>
        </w:tc>
      </w:tr>
      <w:tr w14:paraId="3B070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7178C">
            <w:pPr>
              <w:pStyle w:val="13"/>
            </w:pPr>
            <w:r>
              <w:t>效益指标</w:t>
            </w:r>
          </w:p>
        </w:tc>
        <w:tc>
          <w:tcPr>
            <w:tcW w:w="2268" w:type="dxa"/>
            <w:vAlign w:val="center"/>
          </w:tcPr>
          <w:p w14:paraId="405CD3CB">
            <w:pPr>
              <w:pStyle w:val="12"/>
            </w:pPr>
            <w:r>
              <w:t>可持续影响指标</w:t>
            </w:r>
          </w:p>
        </w:tc>
        <w:tc>
          <w:tcPr>
            <w:tcW w:w="2835" w:type="dxa"/>
            <w:vAlign w:val="center"/>
          </w:tcPr>
          <w:p w14:paraId="061D2463">
            <w:pPr>
              <w:pStyle w:val="12"/>
            </w:pPr>
            <w:r>
              <w:t>学校运转得到提升</w:t>
            </w:r>
          </w:p>
        </w:tc>
        <w:tc>
          <w:tcPr>
            <w:tcW w:w="5386" w:type="dxa"/>
            <w:vAlign w:val="center"/>
          </w:tcPr>
          <w:p w14:paraId="58875480">
            <w:pPr>
              <w:pStyle w:val="12"/>
            </w:pPr>
            <w:r>
              <w:t>幼儿受教育年限</w:t>
            </w:r>
          </w:p>
        </w:tc>
        <w:tc>
          <w:tcPr>
            <w:tcW w:w="2268" w:type="dxa"/>
            <w:vAlign w:val="center"/>
          </w:tcPr>
          <w:p w14:paraId="7D146C48">
            <w:pPr>
              <w:pStyle w:val="12"/>
            </w:pPr>
            <w:r>
              <w:t>3年</w:t>
            </w:r>
          </w:p>
        </w:tc>
        <w:tc>
          <w:tcPr>
            <w:tcW w:w="1276" w:type="dxa"/>
            <w:vAlign w:val="center"/>
          </w:tcPr>
          <w:p w14:paraId="52FB27A3">
            <w:pPr>
              <w:pStyle w:val="12"/>
            </w:pPr>
            <w:r>
              <w:t>学前公用经费管理办法</w:t>
            </w:r>
          </w:p>
        </w:tc>
      </w:tr>
      <w:tr w14:paraId="1E91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FA629">
            <w:pPr>
              <w:pStyle w:val="13"/>
            </w:pPr>
            <w:r>
              <w:t>满意度指标</w:t>
            </w:r>
          </w:p>
        </w:tc>
        <w:tc>
          <w:tcPr>
            <w:tcW w:w="2268" w:type="dxa"/>
            <w:vAlign w:val="center"/>
          </w:tcPr>
          <w:p w14:paraId="42F9EA45">
            <w:pPr>
              <w:pStyle w:val="12"/>
            </w:pPr>
            <w:r>
              <w:t>服务对象满意度指标</w:t>
            </w:r>
          </w:p>
        </w:tc>
        <w:tc>
          <w:tcPr>
            <w:tcW w:w="2835" w:type="dxa"/>
            <w:vAlign w:val="center"/>
          </w:tcPr>
          <w:p w14:paraId="61D2E2FA">
            <w:pPr>
              <w:pStyle w:val="12"/>
            </w:pPr>
            <w:r>
              <w:t>受益学生家长及调查满意度</w:t>
            </w:r>
          </w:p>
        </w:tc>
        <w:tc>
          <w:tcPr>
            <w:tcW w:w="5386" w:type="dxa"/>
            <w:vAlign w:val="center"/>
          </w:tcPr>
          <w:p w14:paraId="45EB9827">
            <w:pPr>
              <w:pStyle w:val="12"/>
            </w:pPr>
            <w:r>
              <w:t>学生、教师及家长对学校保教保育工作满意度情况</w:t>
            </w:r>
          </w:p>
        </w:tc>
        <w:tc>
          <w:tcPr>
            <w:tcW w:w="2268" w:type="dxa"/>
            <w:vAlign w:val="center"/>
          </w:tcPr>
          <w:p w14:paraId="57ACBD57">
            <w:pPr>
              <w:pStyle w:val="12"/>
            </w:pPr>
            <w:r>
              <w:t>≥95%</w:t>
            </w:r>
          </w:p>
        </w:tc>
        <w:tc>
          <w:tcPr>
            <w:tcW w:w="1276" w:type="dxa"/>
            <w:vAlign w:val="center"/>
          </w:tcPr>
          <w:p w14:paraId="66FB22EF">
            <w:pPr>
              <w:pStyle w:val="12"/>
            </w:pPr>
            <w:r>
              <w:t>群众测评</w:t>
            </w:r>
          </w:p>
        </w:tc>
      </w:tr>
    </w:tbl>
    <w:p w14:paraId="4CB47AE9">
      <w:pPr>
        <w:sectPr>
          <w:pgSz w:w="16840" w:h="11900" w:orient="landscape"/>
          <w:pgMar w:top="1361" w:right="1020" w:bottom="1134" w:left="1020" w:header="720" w:footer="720" w:gutter="0"/>
          <w:cols w:space="720" w:num="1"/>
        </w:sectPr>
      </w:pPr>
    </w:p>
    <w:p w14:paraId="6616AC0C">
      <w:pPr>
        <w:spacing w:before="0" w:after="0"/>
        <w:ind w:firstLine="560"/>
        <w:jc w:val="left"/>
        <w:outlineLvl w:val="9"/>
      </w:pPr>
      <w:r>
        <w:rPr>
          <w:rFonts w:ascii="方正仿宋_GBK" w:hAnsi="方正仿宋_GBK" w:eastAsia="方正仿宋_GBK" w:cs="方正仿宋_GBK"/>
          <w:b/>
          <w:color w:val="000000"/>
          <w:sz w:val="28"/>
        </w:rPr>
        <w:t>9、学前专项经费/县直幼儿园绩效目标表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9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7C9BD">
            <w:pPr>
              <w:pStyle w:val="11"/>
            </w:pPr>
            <w:r>
              <w:t>单位：万元</w:t>
            </w:r>
          </w:p>
        </w:tc>
      </w:tr>
      <w:tr w14:paraId="5704A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7B6E7">
            <w:pPr>
              <w:pStyle w:val="10"/>
            </w:pPr>
            <w:r>
              <w:t>项目编码</w:t>
            </w:r>
          </w:p>
        </w:tc>
        <w:tc>
          <w:tcPr>
            <w:tcW w:w="5103" w:type="dxa"/>
            <w:gridSpan w:val="2"/>
            <w:vAlign w:val="center"/>
          </w:tcPr>
          <w:p w14:paraId="791C3B03">
            <w:pPr>
              <w:pStyle w:val="12"/>
            </w:pPr>
            <w:r>
              <w:t>13052526P00000210104T</w:t>
            </w:r>
          </w:p>
        </w:tc>
        <w:tc>
          <w:tcPr>
            <w:tcW w:w="2835" w:type="dxa"/>
            <w:vAlign w:val="center"/>
          </w:tcPr>
          <w:p w14:paraId="4EB5321D">
            <w:pPr>
              <w:pStyle w:val="10"/>
            </w:pPr>
            <w:r>
              <w:t>项目名称</w:t>
            </w:r>
          </w:p>
        </w:tc>
        <w:tc>
          <w:tcPr>
            <w:tcW w:w="6095" w:type="dxa"/>
            <w:gridSpan w:val="3"/>
            <w:vAlign w:val="center"/>
          </w:tcPr>
          <w:p w14:paraId="7EE82EF7">
            <w:pPr>
              <w:pStyle w:val="12"/>
            </w:pPr>
            <w:r>
              <w:t>学前专项经费/县直幼儿园</w:t>
            </w:r>
          </w:p>
        </w:tc>
      </w:tr>
      <w:tr w14:paraId="56327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481A0">
            <w:pPr>
              <w:pStyle w:val="10"/>
            </w:pPr>
            <w:r>
              <w:t>预算规模及资金用途</w:t>
            </w:r>
          </w:p>
        </w:tc>
        <w:tc>
          <w:tcPr>
            <w:tcW w:w="2268" w:type="dxa"/>
            <w:vAlign w:val="center"/>
          </w:tcPr>
          <w:p w14:paraId="091B8503">
            <w:pPr>
              <w:pStyle w:val="10"/>
            </w:pPr>
            <w:r>
              <w:t>预算数</w:t>
            </w:r>
          </w:p>
        </w:tc>
        <w:tc>
          <w:tcPr>
            <w:tcW w:w="2835" w:type="dxa"/>
            <w:vAlign w:val="center"/>
          </w:tcPr>
          <w:p w14:paraId="6B99B65B">
            <w:pPr>
              <w:pStyle w:val="12"/>
            </w:pPr>
            <w:r>
              <w:t>56.00</w:t>
            </w:r>
          </w:p>
        </w:tc>
        <w:tc>
          <w:tcPr>
            <w:tcW w:w="2835" w:type="dxa"/>
            <w:vAlign w:val="center"/>
          </w:tcPr>
          <w:p w14:paraId="6CB6CF17">
            <w:pPr>
              <w:pStyle w:val="10"/>
            </w:pPr>
            <w:r>
              <w:t>其中：财政    资金</w:t>
            </w:r>
          </w:p>
        </w:tc>
        <w:tc>
          <w:tcPr>
            <w:tcW w:w="2551" w:type="dxa"/>
            <w:vAlign w:val="center"/>
          </w:tcPr>
          <w:p w14:paraId="4EFAFED9">
            <w:pPr>
              <w:pStyle w:val="12"/>
            </w:pPr>
            <w:r>
              <w:t>56.00</w:t>
            </w:r>
          </w:p>
        </w:tc>
        <w:tc>
          <w:tcPr>
            <w:tcW w:w="2268" w:type="dxa"/>
            <w:vAlign w:val="center"/>
          </w:tcPr>
          <w:p w14:paraId="77312524">
            <w:pPr>
              <w:pStyle w:val="10"/>
            </w:pPr>
            <w:r>
              <w:t>其他资金</w:t>
            </w:r>
          </w:p>
        </w:tc>
        <w:tc>
          <w:tcPr>
            <w:tcW w:w="1276" w:type="dxa"/>
            <w:vAlign w:val="center"/>
          </w:tcPr>
          <w:p w14:paraId="45774BE9">
            <w:pPr>
              <w:pStyle w:val="12"/>
            </w:pPr>
            <w:r>
              <w:t xml:space="preserve"> </w:t>
            </w:r>
          </w:p>
        </w:tc>
      </w:tr>
      <w:tr w14:paraId="53787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463DB"/>
        </w:tc>
        <w:tc>
          <w:tcPr>
            <w:tcW w:w="14033" w:type="dxa"/>
            <w:gridSpan w:val="6"/>
            <w:vAlign w:val="center"/>
          </w:tcPr>
          <w:p w14:paraId="15B6EF55">
            <w:pPr>
              <w:pStyle w:val="12"/>
            </w:pPr>
            <w:r>
              <w:t>按预算要求完成2026年度学前教学任务提升及教学质量提高。</w:t>
            </w:r>
          </w:p>
        </w:tc>
      </w:tr>
      <w:tr w14:paraId="05B70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419EB">
            <w:pPr>
              <w:pStyle w:val="10"/>
            </w:pPr>
            <w:r>
              <w:t>资金支出计划（%）</w:t>
            </w:r>
          </w:p>
        </w:tc>
        <w:tc>
          <w:tcPr>
            <w:tcW w:w="5103" w:type="dxa"/>
            <w:gridSpan w:val="2"/>
            <w:vAlign w:val="center"/>
          </w:tcPr>
          <w:p w14:paraId="0F94017F">
            <w:pPr>
              <w:pStyle w:val="10"/>
            </w:pPr>
            <w:r>
              <w:t>3月底</w:t>
            </w:r>
          </w:p>
        </w:tc>
        <w:tc>
          <w:tcPr>
            <w:tcW w:w="2835" w:type="dxa"/>
            <w:vAlign w:val="center"/>
          </w:tcPr>
          <w:p w14:paraId="50CA0B4C">
            <w:pPr>
              <w:pStyle w:val="10"/>
            </w:pPr>
            <w:r>
              <w:t>6月底</w:t>
            </w:r>
          </w:p>
        </w:tc>
        <w:tc>
          <w:tcPr>
            <w:tcW w:w="2551" w:type="dxa"/>
            <w:vAlign w:val="center"/>
          </w:tcPr>
          <w:p w14:paraId="6328B8EF">
            <w:pPr>
              <w:pStyle w:val="10"/>
            </w:pPr>
            <w:r>
              <w:t>10月底</w:t>
            </w:r>
          </w:p>
        </w:tc>
        <w:tc>
          <w:tcPr>
            <w:tcW w:w="3544" w:type="dxa"/>
            <w:gridSpan w:val="2"/>
            <w:vAlign w:val="center"/>
          </w:tcPr>
          <w:p w14:paraId="7FE696D6">
            <w:pPr>
              <w:pStyle w:val="10"/>
            </w:pPr>
            <w:r>
              <w:t>12月底</w:t>
            </w:r>
          </w:p>
        </w:tc>
      </w:tr>
      <w:tr w14:paraId="142B7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FA914"/>
        </w:tc>
        <w:tc>
          <w:tcPr>
            <w:tcW w:w="5103" w:type="dxa"/>
            <w:gridSpan w:val="2"/>
            <w:vAlign w:val="center"/>
          </w:tcPr>
          <w:p w14:paraId="3E2FE431">
            <w:pPr>
              <w:pStyle w:val="13"/>
            </w:pPr>
            <w:r>
              <w:t>25%</w:t>
            </w:r>
          </w:p>
        </w:tc>
        <w:tc>
          <w:tcPr>
            <w:tcW w:w="2835" w:type="dxa"/>
            <w:vAlign w:val="center"/>
          </w:tcPr>
          <w:p w14:paraId="5EC32974">
            <w:pPr>
              <w:pStyle w:val="13"/>
            </w:pPr>
            <w:r>
              <w:t>50%</w:t>
            </w:r>
          </w:p>
        </w:tc>
        <w:tc>
          <w:tcPr>
            <w:tcW w:w="2551" w:type="dxa"/>
            <w:vAlign w:val="center"/>
          </w:tcPr>
          <w:p w14:paraId="3BF0F54E">
            <w:pPr>
              <w:pStyle w:val="13"/>
            </w:pPr>
            <w:r>
              <w:t>75%</w:t>
            </w:r>
          </w:p>
        </w:tc>
        <w:tc>
          <w:tcPr>
            <w:tcW w:w="3544" w:type="dxa"/>
            <w:gridSpan w:val="2"/>
            <w:vAlign w:val="center"/>
          </w:tcPr>
          <w:p w14:paraId="669A5EA0">
            <w:pPr>
              <w:pStyle w:val="13"/>
            </w:pPr>
            <w:r>
              <w:t>100%</w:t>
            </w:r>
          </w:p>
        </w:tc>
      </w:tr>
      <w:tr w14:paraId="1383C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9A4AB">
            <w:pPr>
              <w:pStyle w:val="10"/>
            </w:pPr>
            <w:r>
              <w:t>绩效目标</w:t>
            </w:r>
          </w:p>
        </w:tc>
        <w:tc>
          <w:tcPr>
            <w:tcW w:w="14033" w:type="dxa"/>
            <w:gridSpan w:val="6"/>
            <w:vAlign w:val="center"/>
          </w:tcPr>
          <w:p w14:paraId="529AC198">
            <w:pPr>
              <w:pStyle w:val="12"/>
            </w:pPr>
            <w:r>
              <w:t>1.按预算要求完成2026年度学前教学任务提升及教学质量提高。</w:t>
            </w:r>
            <w:r>
              <w:tab/>
            </w:r>
          </w:p>
        </w:tc>
      </w:tr>
    </w:tbl>
    <w:p w14:paraId="5245C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0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2E213">
            <w:pPr>
              <w:pStyle w:val="10"/>
            </w:pPr>
            <w:r>
              <w:t>一级指标</w:t>
            </w:r>
          </w:p>
        </w:tc>
        <w:tc>
          <w:tcPr>
            <w:tcW w:w="2268" w:type="dxa"/>
            <w:vAlign w:val="center"/>
          </w:tcPr>
          <w:p w14:paraId="69E0B4E5">
            <w:pPr>
              <w:pStyle w:val="10"/>
            </w:pPr>
            <w:r>
              <w:t>二级指标</w:t>
            </w:r>
          </w:p>
        </w:tc>
        <w:tc>
          <w:tcPr>
            <w:tcW w:w="2835" w:type="dxa"/>
            <w:vAlign w:val="center"/>
          </w:tcPr>
          <w:p w14:paraId="40F9531C">
            <w:pPr>
              <w:pStyle w:val="10"/>
            </w:pPr>
            <w:r>
              <w:t>三级指标</w:t>
            </w:r>
          </w:p>
        </w:tc>
        <w:tc>
          <w:tcPr>
            <w:tcW w:w="5386" w:type="dxa"/>
            <w:vAlign w:val="center"/>
          </w:tcPr>
          <w:p w14:paraId="5765701C">
            <w:pPr>
              <w:pStyle w:val="10"/>
            </w:pPr>
            <w:r>
              <w:t>绩效指标描述</w:t>
            </w:r>
          </w:p>
        </w:tc>
        <w:tc>
          <w:tcPr>
            <w:tcW w:w="2268" w:type="dxa"/>
            <w:vAlign w:val="center"/>
          </w:tcPr>
          <w:p w14:paraId="555CD9C7">
            <w:pPr>
              <w:pStyle w:val="10"/>
            </w:pPr>
            <w:r>
              <w:t>指标值</w:t>
            </w:r>
          </w:p>
        </w:tc>
        <w:tc>
          <w:tcPr>
            <w:tcW w:w="1276" w:type="dxa"/>
            <w:vAlign w:val="center"/>
          </w:tcPr>
          <w:p w14:paraId="58971714">
            <w:pPr>
              <w:pStyle w:val="10"/>
            </w:pPr>
            <w:r>
              <w:t>指标值确定依据</w:t>
            </w:r>
          </w:p>
        </w:tc>
      </w:tr>
      <w:tr w14:paraId="4EC1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5F6BF">
            <w:pPr>
              <w:pStyle w:val="13"/>
            </w:pPr>
            <w:r>
              <w:t>产出指标</w:t>
            </w:r>
          </w:p>
        </w:tc>
        <w:tc>
          <w:tcPr>
            <w:tcW w:w="2268" w:type="dxa"/>
            <w:vAlign w:val="center"/>
          </w:tcPr>
          <w:p w14:paraId="0F206D57">
            <w:pPr>
              <w:pStyle w:val="12"/>
            </w:pPr>
            <w:r>
              <w:t>数量指标</w:t>
            </w:r>
          </w:p>
        </w:tc>
        <w:tc>
          <w:tcPr>
            <w:tcW w:w="2835" w:type="dxa"/>
            <w:vAlign w:val="center"/>
          </w:tcPr>
          <w:p w14:paraId="1B8275C1">
            <w:pPr>
              <w:pStyle w:val="12"/>
            </w:pPr>
            <w:r>
              <w:t>适龄在园生</w:t>
            </w:r>
          </w:p>
        </w:tc>
        <w:tc>
          <w:tcPr>
            <w:tcW w:w="5386" w:type="dxa"/>
            <w:vAlign w:val="center"/>
          </w:tcPr>
          <w:p w14:paraId="6F6A2E67">
            <w:pPr>
              <w:pStyle w:val="12"/>
            </w:pPr>
            <w:r>
              <w:t>适龄在园学生人数</w:t>
            </w:r>
          </w:p>
        </w:tc>
        <w:tc>
          <w:tcPr>
            <w:tcW w:w="2268" w:type="dxa"/>
            <w:vAlign w:val="center"/>
          </w:tcPr>
          <w:p w14:paraId="580F7C3A">
            <w:pPr>
              <w:pStyle w:val="12"/>
            </w:pPr>
            <w:r>
              <w:t>200人</w:t>
            </w:r>
          </w:p>
        </w:tc>
        <w:tc>
          <w:tcPr>
            <w:tcW w:w="1276" w:type="dxa"/>
            <w:vAlign w:val="center"/>
          </w:tcPr>
          <w:p w14:paraId="202279E0">
            <w:pPr>
              <w:pStyle w:val="12"/>
            </w:pPr>
            <w:r>
              <w:t>年度工作计划</w:t>
            </w:r>
          </w:p>
        </w:tc>
      </w:tr>
      <w:tr w14:paraId="5BB1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780EB"/>
        </w:tc>
        <w:tc>
          <w:tcPr>
            <w:tcW w:w="2268" w:type="dxa"/>
            <w:vAlign w:val="center"/>
          </w:tcPr>
          <w:p w14:paraId="1CAD84F4">
            <w:pPr>
              <w:pStyle w:val="12"/>
            </w:pPr>
            <w:r>
              <w:t>质量指标</w:t>
            </w:r>
          </w:p>
        </w:tc>
        <w:tc>
          <w:tcPr>
            <w:tcW w:w="2835" w:type="dxa"/>
            <w:vAlign w:val="center"/>
          </w:tcPr>
          <w:p w14:paraId="2F4D0DAE">
            <w:pPr>
              <w:pStyle w:val="12"/>
            </w:pPr>
            <w:r>
              <w:t>按月上缴财政完成率</w:t>
            </w:r>
          </w:p>
        </w:tc>
        <w:tc>
          <w:tcPr>
            <w:tcW w:w="5386" w:type="dxa"/>
            <w:vAlign w:val="center"/>
          </w:tcPr>
          <w:p w14:paraId="5ACC4254">
            <w:pPr>
              <w:pStyle w:val="12"/>
            </w:pPr>
            <w:r>
              <w:t>按月完成公立幼儿园保育费上缴财政</w:t>
            </w:r>
          </w:p>
        </w:tc>
        <w:tc>
          <w:tcPr>
            <w:tcW w:w="2268" w:type="dxa"/>
            <w:vAlign w:val="center"/>
          </w:tcPr>
          <w:p w14:paraId="172C8D3B">
            <w:pPr>
              <w:pStyle w:val="12"/>
            </w:pPr>
            <w:r>
              <w:t>100%</w:t>
            </w:r>
          </w:p>
        </w:tc>
        <w:tc>
          <w:tcPr>
            <w:tcW w:w="1276" w:type="dxa"/>
            <w:vAlign w:val="center"/>
          </w:tcPr>
          <w:p w14:paraId="23B6ADBB">
            <w:pPr>
              <w:pStyle w:val="12"/>
            </w:pPr>
            <w:r>
              <w:t>年度工作计划</w:t>
            </w:r>
          </w:p>
        </w:tc>
      </w:tr>
      <w:tr w14:paraId="4E10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8F4EF"/>
        </w:tc>
        <w:tc>
          <w:tcPr>
            <w:tcW w:w="2268" w:type="dxa"/>
            <w:vAlign w:val="center"/>
          </w:tcPr>
          <w:p w14:paraId="1E1FA229">
            <w:pPr>
              <w:pStyle w:val="12"/>
            </w:pPr>
            <w:r>
              <w:t>时效指标</w:t>
            </w:r>
          </w:p>
        </w:tc>
        <w:tc>
          <w:tcPr>
            <w:tcW w:w="2835" w:type="dxa"/>
            <w:vAlign w:val="center"/>
          </w:tcPr>
          <w:p w14:paraId="75D16700">
            <w:pPr>
              <w:pStyle w:val="12"/>
            </w:pPr>
            <w:r>
              <w:t>资金支付率</w:t>
            </w:r>
          </w:p>
        </w:tc>
        <w:tc>
          <w:tcPr>
            <w:tcW w:w="5386" w:type="dxa"/>
            <w:vAlign w:val="center"/>
          </w:tcPr>
          <w:p w14:paraId="3D35C289">
            <w:pPr>
              <w:pStyle w:val="12"/>
            </w:pPr>
            <w:r>
              <w:t>按照上缴财政进度完成公立幼儿园保育费支付</w:t>
            </w:r>
          </w:p>
        </w:tc>
        <w:tc>
          <w:tcPr>
            <w:tcW w:w="2268" w:type="dxa"/>
            <w:vAlign w:val="center"/>
          </w:tcPr>
          <w:p w14:paraId="5207B1C2">
            <w:pPr>
              <w:pStyle w:val="12"/>
            </w:pPr>
            <w:r>
              <w:t>100%</w:t>
            </w:r>
          </w:p>
        </w:tc>
        <w:tc>
          <w:tcPr>
            <w:tcW w:w="1276" w:type="dxa"/>
            <w:vAlign w:val="center"/>
          </w:tcPr>
          <w:p w14:paraId="12332AF7">
            <w:pPr>
              <w:pStyle w:val="12"/>
            </w:pPr>
            <w:r>
              <w:t>年度工作计划</w:t>
            </w:r>
          </w:p>
        </w:tc>
      </w:tr>
      <w:tr w14:paraId="343C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F49BC"/>
        </w:tc>
        <w:tc>
          <w:tcPr>
            <w:tcW w:w="2268" w:type="dxa"/>
            <w:vAlign w:val="center"/>
          </w:tcPr>
          <w:p w14:paraId="3693000B">
            <w:pPr>
              <w:pStyle w:val="12"/>
            </w:pPr>
            <w:r>
              <w:t>成本指标</w:t>
            </w:r>
          </w:p>
        </w:tc>
        <w:tc>
          <w:tcPr>
            <w:tcW w:w="2835" w:type="dxa"/>
            <w:vAlign w:val="center"/>
          </w:tcPr>
          <w:p w14:paraId="4D79D969">
            <w:pPr>
              <w:pStyle w:val="12"/>
            </w:pPr>
            <w:r>
              <w:t>公办幼儿园保育费收费标准</w:t>
            </w:r>
          </w:p>
        </w:tc>
        <w:tc>
          <w:tcPr>
            <w:tcW w:w="5386" w:type="dxa"/>
            <w:vAlign w:val="center"/>
          </w:tcPr>
          <w:p w14:paraId="354BB0F8">
            <w:pPr>
              <w:pStyle w:val="12"/>
            </w:pPr>
            <w:r>
              <w:t>城市一类园280/生/月</w:t>
            </w:r>
          </w:p>
        </w:tc>
        <w:tc>
          <w:tcPr>
            <w:tcW w:w="2268" w:type="dxa"/>
            <w:vAlign w:val="center"/>
          </w:tcPr>
          <w:p w14:paraId="29205699">
            <w:pPr>
              <w:pStyle w:val="12"/>
            </w:pPr>
            <w:r>
              <w:t>100%</w:t>
            </w:r>
          </w:p>
        </w:tc>
        <w:tc>
          <w:tcPr>
            <w:tcW w:w="1276" w:type="dxa"/>
            <w:vAlign w:val="center"/>
          </w:tcPr>
          <w:p w14:paraId="311BBC26">
            <w:pPr>
              <w:pStyle w:val="12"/>
            </w:pPr>
            <w:r>
              <w:t>年度工作计划</w:t>
            </w:r>
          </w:p>
        </w:tc>
      </w:tr>
      <w:tr w14:paraId="445A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A7B7A">
            <w:pPr>
              <w:pStyle w:val="13"/>
            </w:pPr>
            <w:r>
              <w:t>效益指标</w:t>
            </w:r>
          </w:p>
        </w:tc>
        <w:tc>
          <w:tcPr>
            <w:tcW w:w="2268" w:type="dxa"/>
            <w:vAlign w:val="center"/>
          </w:tcPr>
          <w:p w14:paraId="19C05243">
            <w:pPr>
              <w:pStyle w:val="12"/>
            </w:pPr>
            <w:r>
              <w:t>社会效益指标</w:t>
            </w:r>
          </w:p>
        </w:tc>
        <w:tc>
          <w:tcPr>
            <w:tcW w:w="2835" w:type="dxa"/>
            <w:vAlign w:val="center"/>
          </w:tcPr>
          <w:p w14:paraId="631F980B">
            <w:pPr>
              <w:pStyle w:val="12"/>
            </w:pPr>
            <w:r>
              <w:t>幼儿园办园能力提升</w:t>
            </w:r>
          </w:p>
        </w:tc>
        <w:tc>
          <w:tcPr>
            <w:tcW w:w="5386" w:type="dxa"/>
            <w:vAlign w:val="center"/>
          </w:tcPr>
          <w:p w14:paraId="2ADBE6A8">
            <w:pPr>
              <w:pStyle w:val="12"/>
            </w:pPr>
            <w:r>
              <w:t>幼儿园办园能力提升情况及教育教学工作等开展的情况</w:t>
            </w:r>
          </w:p>
        </w:tc>
        <w:tc>
          <w:tcPr>
            <w:tcW w:w="2268" w:type="dxa"/>
            <w:vAlign w:val="center"/>
          </w:tcPr>
          <w:p w14:paraId="51169DCC">
            <w:pPr>
              <w:pStyle w:val="12"/>
            </w:pPr>
            <w:r>
              <w:t>100%</w:t>
            </w:r>
          </w:p>
        </w:tc>
        <w:tc>
          <w:tcPr>
            <w:tcW w:w="1276" w:type="dxa"/>
            <w:vAlign w:val="center"/>
          </w:tcPr>
          <w:p w14:paraId="6E94BC30">
            <w:pPr>
              <w:pStyle w:val="12"/>
            </w:pPr>
            <w:r>
              <w:t>年度工作计划</w:t>
            </w:r>
          </w:p>
        </w:tc>
      </w:tr>
      <w:tr w14:paraId="0148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5EEAE">
            <w:pPr>
              <w:pStyle w:val="13"/>
            </w:pPr>
            <w:r>
              <w:t>满意度指标</w:t>
            </w:r>
          </w:p>
        </w:tc>
        <w:tc>
          <w:tcPr>
            <w:tcW w:w="2268" w:type="dxa"/>
            <w:vAlign w:val="center"/>
          </w:tcPr>
          <w:p w14:paraId="377D30BF">
            <w:pPr>
              <w:pStyle w:val="12"/>
            </w:pPr>
            <w:r>
              <w:t>服务对象满意度指标</w:t>
            </w:r>
          </w:p>
        </w:tc>
        <w:tc>
          <w:tcPr>
            <w:tcW w:w="2835" w:type="dxa"/>
            <w:vAlign w:val="center"/>
          </w:tcPr>
          <w:p w14:paraId="19A4EA8B">
            <w:pPr>
              <w:pStyle w:val="12"/>
            </w:pPr>
            <w:r>
              <w:t>受益学生家长及调查满意度</w:t>
            </w:r>
          </w:p>
        </w:tc>
        <w:tc>
          <w:tcPr>
            <w:tcW w:w="5386" w:type="dxa"/>
            <w:vAlign w:val="center"/>
          </w:tcPr>
          <w:p w14:paraId="6AD9F9E7">
            <w:pPr>
              <w:pStyle w:val="12"/>
            </w:pPr>
            <w:r>
              <w:t>幼儿、教师及家长对学校保教保育工作满意度情况</w:t>
            </w:r>
          </w:p>
        </w:tc>
        <w:tc>
          <w:tcPr>
            <w:tcW w:w="2268" w:type="dxa"/>
            <w:vAlign w:val="center"/>
          </w:tcPr>
          <w:p w14:paraId="3375BFA5">
            <w:pPr>
              <w:pStyle w:val="12"/>
            </w:pPr>
            <w:r>
              <w:t>≥95%</w:t>
            </w:r>
          </w:p>
        </w:tc>
        <w:tc>
          <w:tcPr>
            <w:tcW w:w="1276" w:type="dxa"/>
            <w:vAlign w:val="center"/>
          </w:tcPr>
          <w:p w14:paraId="006A938D">
            <w:pPr>
              <w:pStyle w:val="12"/>
            </w:pPr>
            <w:r>
              <w:t>年度工作计划</w:t>
            </w:r>
          </w:p>
        </w:tc>
      </w:tr>
    </w:tbl>
    <w:p w14:paraId="6BA69643">
      <w:pPr>
        <w:sectPr>
          <w:pgSz w:w="16840" w:h="11900" w:orient="landscape"/>
          <w:pgMar w:top="1361" w:right="1020" w:bottom="1134" w:left="1020" w:header="720" w:footer="720" w:gutter="0"/>
          <w:cols w:space="720" w:num="1"/>
        </w:sectPr>
      </w:pPr>
    </w:p>
    <w:p w14:paraId="7AC35AF3">
      <w:pPr>
        <w:spacing w:before="10" w:after="10" w:line="240" w:lineRule="auto"/>
        <w:ind w:firstLine="640"/>
        <w:jc w:val="left"/>
        <w:outlineLvl w:val="5"/>
      </w:pPr>
      <w:r>
        <w:rPr>
          <w:rFonts w:ascii="黑体" w:hAnsi="黑体" w:eastAsia="黑体" w:cs="黑体"/>
          <w:color w:val="000000"/>
          <w:sz w:val="32"/>
        </w:rPr>
        <w:t>六、政府采购预算情况</w:t>
      </w:r>
    </w:p>
    <w:p w14:paraId="2A14A89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58B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2312D2">
            <w:pPr>
              <w:pStyle w:val="9"/>
            </w:pPr>
            <w:r>
              <w:t>360014隆尧县县直幼儿园</w:t>
            </w:r>
          </w:p>
        </w:tc>
        <w:tc>
          <w:tcPr>
            <w:tcW w:w="8676" w:type="dxa"/>
            <w:gridSpan w:val="9"/>
            <w:tcBorders>
              <w:top w:val="single" w:color="FFFFFF" w:sz="6" w:space="0"/>
              <w:left w:val="single" w:color="FFFFFF" w:sz="6" w:space="0"/>
              <w:right w:val="single" w:color="FFFFFF" w:sz="6" w:space="0"/>
            </w:tcBorders>
            <w:vAlign w:val="center"/>
          </w:tcPr>
          <w:p w14:paraId="2C32F6B0">
            <w:pPr>
              <w:pStyle w:val="21"/>
            </w:pPr>
            <w:r>
              <w:t>单位：万元</w:t>
            </w:r>
          </w:p>
        </w:tc>
      </w:tr>
      <w:tr w14:paraId="27B5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3E726D0">
            <w:pPr>
              <w:pStyle w:val="10"/>
            </w:pPr>
            <w:r>
              <w:t>政府采购项目来源</w:t>
            </w:r>
          </w:p>
        </w:tc>
        <w:tc>
          <w:tcPr>
            <w:tcW w:w="1134" w:type="dxa"/>
            <w:vMerge w:val="restart"/>
            <w:vAlign w:val="center"/>
          </w:tcPr>
          <w:p w14:paraId="14EF20DC">
            <w:pPr>
              <w:pStyle w:val="10"/>
            </w:pPr>
            <w:r>
              <w:t>采购物品名称</w:t>
            </w:r>
          </w:p>
        </w:tc>
        <w:tc>
          <w:tcPr>
            <w:tcW w:w="1134" w:type="dxa"/>
            <w:vMerge w:val="restart"/>
            <w:vAlign w:val="center"/>
          </w:tcPr>
          <w:p w14:paraId="1EC0F948">
            <w:pPr>
              <w:pStyle w:val="10"/>
            </w:pPr>
            <w:r>
              <w:t>政府采购目录序号</w:t>
            </w:r>
          </w:p>
        </w:tc>
        <w:tc>
          <w:tcPr>
            <w:tcW w:w="709" w:type="dxa"/>
            <w:vMerge w:val="restart"/>
            <w:vAlign w:val="center"/>
          </w:tcPr>
          <w:p w14:paraId="70DDBC24">
            <w:pPr>
              <w:pStyle w:val="10"/>
            </w:pPr>
            <w:r>
              <w:t>计量  单位</w:t>
            </w:r>
          </w:p>
        </w:tc>
        <w:tc>
          <w:tcPr>
            <w:tcW w:w="850" w:type="dxa"/>
            <w:vMerge w:val="restart"/>
            <w:vAlign w:val="center"/>
          </w:tcPr>
          <w:p w14:paraId="05022B1A">
            <w:pPr>
              <w:pStyle w:val="10"/>
            </w:pPr>
            <w:r>
              <w:t>数量</w:t>
            </w:r>
          </w:p>
        </w:tc>
        <w:tc>
          <w:tcPr>
            <w:tcW w:w="850" w:type="dxa"/>
            <w:vMerge w:val="restart"/>
            <w:vAlign w:val="center"/>
          </w:tcPr>
          <w:p w14:paraId="2B58D05E">
            <w:pPr>
              <w:pStyle w:val="10"/>
            </w:pPr>
            <w:r>
              <w:t>单价</w:t>
            </w:r>
          </w:p>
        </w:tc>
        <w:tc>
          <w:tcPr>
            <w:tcW w:w="7712" w:type="dxa"/>
            <w:gridSpan w:val="8"/>
            <w:vAlign w:val="center"/>
          </w:tcPr>
          <w:p w14:paraId="28BCD104">
            <w:pPr>
              <w:pStyle w:val="10"/>
            </w:pPr>
            <w:r>
              <w:t>政府采购金额（当年部门预算安排资金）</w:t>
            </w:r>
          </w:p>
        </w:tc>
        <w:tc>
          <w:tcPr>
            <w:tcW w:w="964" w:type="dxa"/>
            <w:vMerge w:val="restart"/>
            <w:vAlign w:val="center"/>
          </w:tcPr>
          <w:p w14:paraId="5AE5BA20">
            <w:pPr>
              <w:pStyle w:val="10"/>
            </w:pPr>
            <w:r>
              <w:t>2026年  预留中  小微企  业份额</w:t>
            </w:r>
          </w:p>
        </w:tc>
      </w:tr>
      <w:tr w14:paraId="4A3E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02C680">
            <w:pPr>
              <w:pStyle w:val="10"/>
            </w:pPr>
            <w:r>
              <w:t>项目名称</w:t>
            </w:r>
          </w:p>
        </w:tc>
        <w:tc>
          <w:tcPr>
            <w:tcW w:w="964" w:type="dxa"/>
            <w:vAlign w:val="center"/>
          </w:tcPr>
          <w:p w14:paraId="177150BA">
            <w:pPr>
              <w:pStyle w:val="10"/>
            </w:pPr>
            <w:r>
              <w:t>预算    资金</w:t>
            </w:r>
          </w:p>
        </w:tc>
        <w:tc>
          <w:tcPr>
            <w:tcW w:w="1134" w:type="dxa"/>
            <w:vMerge w:val="continue"/>
          </w:tcPr>
          <w:p w14:paraId="0DAD7CCE"/>
        </w:tc>
        <w:tc>
          <w:tcPr>
            <w:tcW w:w="1134" w:type="dxa"/>
            <w:vMerge w:val="continue"/>
          </w:tcPr>
          <w:p w14:paraId="25B122B3"/>
        </w:tc>
        <w:tc>
          <w:tcPr>
            <w:tcW w:w="709" w:type="dxa"/>
            <w:vMerge w:val="continue"/>
          </w:tcPr>
          <w:p w14:paraId="48E447F9"/>
        </w:tc>
        <w:tc>
          <w:tcPr>
            <w:tcW w:w="850" w:type="dxa"/>
            <w:vMerge w:val="continue"/>
          </w:tcPr>
          <w:p w14:paraId="092A2AED"/>
        </w:tc>
        <w:tc>
          <w:tcPr>
            <w:tcW w:w="850" w:type="dxa"/>
            <w:vMerge w:val="continue"/>
          </w:tcPr>
          <w:p w14:paraId="75F744E6"/>
        </w:tc>
        <w:tc>
          <w:tcPr>
            <w:tcW w:w="964" w:type="dxa"/>
            <w:vAlign w:val="center"/>
          </w:tcPr>
          <w:p w14:paraId="1DC6B657">
            <w:pPr>
              <w:pStyle w:val="10"/>
            </w:pPr>
            <w:r>
              <w:t>合计</w:t>
            </w:r>
          </w:p>
        </w:tc>
        <w:tc>
          <w:tcPr>
            <w:tcW w:w="964" w:type="dxa"/>
            <w:vAlign w:val="center"/>
          </w:tcPr>
          <w:p w14:paraId="5B04BD06">
            <w:pPr>
              <w:pStyle w:val="10"/>
            </w:pPr>
            <w:r>
              <w:t>一般公共预算拨款</w:t>
            </w:r>
          </w:p>
        </w:tc>
        <w:tc>
          <w:tcPr>
            <w:tcW w:w="964" w:type="dxa"/>
            <w:vAlign w:val="center"/>
          </w:tcPr>
          <w:p w14:paraId="5D32E25F">
            <w:pPr>
              <w:pStyle w:val="10"/>
            </w:pPr>
            <w:r>
              <w:t>基金预算拨款</w:t>
            </w:r>
          </w:p>
        </w:tc>
        <w:tc>
          <w:tcPr>
            <w:tcW w:w="964" w:type="dxa"/>
            <w:vAlign w:val="center"/>
          </w:tcPr>
          <w:p w14:paraId="0C8B85D7">
            <w:pPr>
              <w:pStyle w:val="10"/>
            </w:pPr>
            <w:r>
              <w:t>国有资本经营预算拨款</w:t>
            </w:r>
          </w:p>
        </w:tc>
        <w:tc>
          <w:tcPr>
            <w:tcW w:w="964" w:type="dxa"/>
            <w:vAlign w:val="center"/>
          </w:tcPr>
          <w:p w14:paraId="2C604E48">
            <w:pPr>
              <w:pStyle w:val="10"/>
            </w:pPr>
            <w:r>
              <w:t>财政专户核拨</w:t>
            </w:r>
          </w:p>
        </w:tc>
        <w:tc>
          <w:tcPr>
            <w:tcW w:w="964" w:type="dxa"/>
            <w:vAlign w:val="center"/>
          </w:tcPr>
          <w:p w14:paraId="524A29C3">
            <w:pPr>
              <w:pStyle w:val="10"/>
            </w:pPr>
            <w:r>
              <w:t>单位    资金</w:t>
            </w:r>
          </w:p>
        </w:tc>
        <w:tc>
          <w:tcPr>
            <w:tcW w:w="964" w:type="dxa"/>
            <w:vAlign w:val="center"/>
          </w:tcPr>
          <w:p w14:paraId="6E6958F6">
            <w:pPr>
              <w:pStyle w:val="10"/>
            </w:pPr>
            <w:r>
              <w:t>财政拨款结转</w:t>
            </w:r>
          </w:p>
        </w:tc>
        <w:tc>
          <w:tcPr>
            <w:tcW w:w="964" w:type="dxa"/>
            <w:vAlign w:val="center"/>
          </w:tcPr>
          <w:p w14:paraId="23C18193">
            <w:pPr>
              <w:pStyle w:val="10"/>
            </w:pPr>
            <w:r>
              <w:t>非财政拨款结余</w:t>
            </w:r>
          </w:p>
        </w:tc>
        <w:tc>
          <w:tcPr>
            <w:tcW w:w="964" w:type="dxa"/>
            <w:vMerge w:val="continue"/>
          </w:tcPr>
          <w:p w14:paraId="59ED4E09"/>
        </w:tc>
      </w:tr>
      <w:tr w14:paraId="6C916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FD2809">
            <w:pPr>
              <w:pStyle w:val="12"/>
            </w:pPr>
          </w:p>
        </w:tc>
        <w:tc>
          <w:tcPr>
            <w:tcW w:w="964" w:type="dxa"/>
            <w:vAlign w:val="center"/>
          </w:tcPr>
          <w:p w14:paraId="625B2232">
            <w:pPr>
              <w:pStyle w:val="11"/>
            </w:pPr>
          </w:p>
        </w:tc>
        <w:tc>
          <w:tcPr>
            <w:tcW w:w="1134" w:type="dxa"/>
            <w:vAlign w:val="center"/>
          </w:tcPr>
          <w:p w14:paraId="1B136DCD">
            <w:pPr>
              <w:pStyle w:val="12"/>
            </w:pPr>
          </w:p>
        </w:tc>
        <w:tc>
          <w:tcPr>
            <w:tcW w:w="1134" w:type="dxa"/>
            <w:vAlign w:val="center"/>
          </w:tcPr>
          <w:p w14:paraId="337F8ABF">
            <w:pPr>
              <w:pStyle w:val="12"/>
            </w:pPr>
          </w:p>
        </w:tc>
        <w:tc>
          <w:tcPr>
            <w:tcW w:w="709" w:type="dxa"/>
            <w:vAlign w:val="center"/>
          </w:tcPr>
          <w:p w14:paraId="71180B6D">
            <w:pPr>
              <w:pStyle w:val="13"/>
            </w:pPr>
          </w:p>
        </w:tc>
        <w:tc>
          <w:tcPr>
            <w:tcW w:w="850" w:type="dxa"/>
            <w:vAlign w:val="center"/>
          </w:tcPr>
          <w:p w14:paraId="48476877">
            <w:pPr>
              <w:pStyle w:val="11"/>
            </w:pPr>
          </w:p>
        </w:tc>
        <w:tc>
          <w:tcPr>
            <w:tcW w:w="850" w:type="dxa"/>
            <w:vAlign w:val="center"/>
          </w:tcPr>
          <w:p w14:paraId="5A1806F6">
            <w:pPr>
              <w:pStyle w:val="11"/>
            </w:pPr>
          </w:p>
        </w:tc>
        <w:tc>
          <w:tcPr>
            <w:tcW w:w="964" w:type="dxa"/>
            <w:vAlign w:val="center"/>
          </w:tcPr>
          <w:p w14:paraId="49E7D022">
            <w:pPr>
              <w:pStyle w:val="11"/>
            </w:pPr>
          </w:p>
        </w:tc>
        <w:tc>
          <w:tcPr>
            <w:tcW w:w="964" w:type="dxa"/>
            <w:vAlign w:val="center"/>
          </w:tcPr>
          <w:p w14:paraId="29B891D5">
            <w:pPr>
              <w:pStyle w:val="11"/>
            </w:pPr>
          </w:p>
        </w:tc>
        <w:tc>
          <w:tcPr>
            <w:tcW w:w="964" w:type="dxa"/>
            <w:vAlign w:val="center"/>
          </w:tcPr>
          <w:p w14:paraId="1B036CF3">
            <w:pPr>
              <w:pStyle w:val="11"/>
            </w:pPr>
          </w:p>
        </w:tc>
        <w:tc>
          <w:tcPr>
            <w:tcW w:w="964" w:type="dxa"/>
            <w:vAlign w:val="center"/>
          </w:tcPr>
          <w:p w14:paraId="1463D32E">
            <w:pPr>
              <w:pStyle w:val="11"/>
            </w:pPr>
          </w:p>
        </w:tc>
        <w:tc>
          <w:tcPr>
            <w:tcW w:w="964" w:type="dxa"/>
            <w:vAlign w:val="center"/>
          </w:tcPr>
          <w:p w14:paraId="008AF48A">
            <w:pPr>
              <w:pStyle w:val="11"/>
            </w:pPr>
          </w:p>
        </w:tc>
        <w:tc>
          <w:tcPr>
            <w:tcW w:w="964" w:type="dxa"/>
            <w:vAlign w:val="center"/>
          </w:tcPr>
          <w:p w14:paraId="1FB1B225">
            <w:pPr>
              <w:pStyle w:val="11"/>
            </w:pPr>
          </w:p>
        </w:tc>
        <w:tc>
          <w:tcPr>
            <w:tcW w:w="964" w:type="dxa"/>
            <w:vAlign w:val="center"/>
          </w:tcPr>
          <w:p w14:paraId="0E03F455">
            <w:pPr>
              <w:pStyle w:val="11"/>
            </w:pPr>
          </w:p>
        </w:tc>
        <w:tc>
          <w:tcPr>
            <w:tcW w:w="964" w:type="dxa"/>
            <w:vAlign w:val="center"/>
          </w:tcPr>
          <w:p w14:paraId="4BB254A4">
            <w:pPr>
              <w:pStyle w:val="11"/>
            </w:pPr>
          </w:p>
        </w:tc>
        <w:tc>
          <w:tcPr>
            <w:tcW w:w="964" w:type="dxa"/>
            <w:vAlign w:val="center"/>
          </w:tcPr>
          <w:p w14:paraId="24621E79">
            <w:pPr>
              <w:pStyle w:val="11"/>
            </w:pPr>
          </w:p>
        </w:tc>
      </w:tr>
    </w:tbl>
    <w:p w14:paraId="54C54F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F582C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957D20">
      <w:pPr>
        <w:spacing w:before="0" w:after="0"/>
        <w:ind w:firstLine="640"/>
        <w:jc w:val="left"/>
        <w:outlineLvl w:val="9"/>
      </w:pPr>
      <w:r>
        <w:rPr>
          <w:rFonts w:ascii="Times New Roman" w:hAnsi="Times New Roman" w:eastAsia="方正仿宋_GBK" w:cs="Times New Roman"/>
          <w:color w:val="000000"/>
          <w:sz w:val="32"/>
        </w:rPr>
        <w:t xml:space="preserve"> </w:t>
      </w:r>
    </w:p>
    <w:p w14:paraId="2FAAF5FC">
      <w:pPr>
        <w:spacing w:before="10" w:after="10" w:line="240" w:lineRule="auto"/>
        <w:ind w:firstLine="640"/>
        <w:jc w:val="left"/>
        <w:outlineLvl w:val="5"/>
      </w:pPr>
      <w:r>
        <w:rPr>
          <w:rFonts w:ascii="黑体" w:hAnsi="黑体" w:eastAsia="黑体" w:cs="黑体"/>
          <w:color w:val="000000"/>
          <w:sz w:val="32"/>
        </w:rPr>
        <w:t>七、国有资产信息</w:t>
      </w:r>
    </w:p>
    <w:p w14:paraId="38B52793">
      <w:pPr>
        <w:spacing w:before="0" w:after="0" w:line="500" w:lineRule="exact"/>
        <w:ind w:firstLine="560"/>
        <w:jc w:val="left"/>
        <w:outlineLvl w:val="9"/>
      </w:pPr>
      <w:r>
        <w:rPr>
          <w:rFonts w:ascii="Times New Roman" w:hAnsi="Times New Roman" w:eastAsia="方正仿宋_GBK" w:cs="Times New Roman"/>
          <w:b w:val="0"/>
          <w:color w:val="000000"/>
          <w:sz w:val="28"/>
        </w:rPr>
        <w:t>隆尧县县直幼儿园上年末固定资产金额为2025.11万元（详见下表）。本年度拟购置固定资产总额为0.00万元，已按要求列入政府采购预算，详见政府采购预算表。</w:t>
      </w:r>
    </w:p>
    <w:p w14:paraId="07D93C6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060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354257">
            <w:pPr>
              <w:pStyle w:val="9"/>
            </w:pPr>
            <w:r>
              <w:t>360014隆尧县县直幼儿园</w:t>
            </w:r>
          </w:p>
        </w:tc>
        <w:tc>
          <w:tcPr>
            <w:tcW w:w="5670" w:type="dxa"/>
            <w:gridSpan w:val="2"/>
            <w:tcBorders>
              <w:top w:val="single" w:color="FFFFFF" w:sz="6" w:space="0"/>
              <w:left w:val="single" w:color="FFFFFF" w:sz="6" w:space="0"/>
              <w:right w:val="single" w:color="FFFFFF" w:sz="6" w:space="0"/>
            </w:tcBorders>
            <w:vAlign w:val="center"/>
          </w:tcPr>
          <w:p w14:paraId="405750EE">
            <w:pPr>
              <w:pStyle w:val="7"/>
            </w:pPr>
            <w:r>
              <w:t>截止时间：2025-12-31</w:t>
            </w:r>
          </w:p>
        </w:tc>
      </w:tr>
      <w:tr w14:paraId="3BEB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349F8E">
            <w:pPr>
              <w:pStyle w:val="10"/>
            </w:pPr>
            <w:r>
              <w:t>项   目</w:t>
            </w:r>
          </w:p>
        </w:tc>
        <w:tc>
          <w:tcPr>
            <w:tcW w:w="2835" w:type="dxa"/>
            <w:vAlign w:val="center"/>
          </w:tcPr>
          <w:p w14:paraId="412ECD75">
            <w:pPr>
              <w:pStyle w:val="10"/>
            </w:pPr>
            <w:r>
              <w:t>数量</w:t>
            </w:r>
          </w:p>
        </w:tc>
        <w:tc>
          <w:tcPr>
            <w:tcW w:w="2835" w:type="dxa"/>
            <w:vAlign w:val="center"/>
          </w:tcPr>
          <w:p w14:paraId="06A717BD">
            <w:pPr>
              <w:pStyle w:val="10"/>
            </w:pPr>
            <w:r>
              <w:t>价值（金额单位：万元）</w:t>
            </w:r>
          </w:p>
        </w:tc>
      </w:tr>
      <w:tr w14:paraId="68D4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48F296">
            <w:pPr>
              <w:pStyle w:val="12"/>
            </w:pPr>
            <w:r>
              <w:t>资产总额</w:t>
            </w:r>
          </w:p>
        </w:tc>
        <w:tc>
          <w:tcPr>
            <w:tcW w:w="2835" w:type="dxa"/>
            <w:vAlign w:val="center"/>
          </w:tcPr>
          <w:p w14:paraId="25B9118E">
            <w:pPr>
              <w:pStyle w:val="13"/>
            </w:pPr>
          </w:p>
        </w:tc>
        <w:tc>
          <w:tcPr>
            <w:tcW w:w="2835" w:type="dxa"/>
            <w:vAlign w:val="center"/>
          </w:tcPr>
          <w:p w14:paraId="2DDFF64C">
            <w:pPr>
              <w:pStyle w:val="11"/>
            </w:pPr>
            <w:r>
              <w:t>2025.11</w:t>
            </w:r>
          </w:p>
        </w:tc>
      </w:tr>
      <w:tr w14:paraId="6C44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BC01AA">
            <w:pPr>
              <w:pStyle w:val="12"/>
            </w:pPr>
            <w:r>
              <w:t>1、房屋（平方米）</w:t>
            </w:r>
          </w:p>
        </w:tc>
        <w:tc>
          <w:tcPr>
            <w:tcW w:w="2835" w:type="dxa"/>
            <w:vAlign w:val="center"/>
          </w:tcPr>
          <w:p w14:paraId="28DA5C3C">
            <w:pPr>
              <w:pStyle w:val="13"/>
            </w:pPr>
            <w:r>
              <w:t>4962.73</w:t>
            </w:r>
          </w:p>
        </w:tc>
        <w:tc>
          <w:tcPr>
            <w:tcW w:w="2835" w:type="dxa"/>
            <w:vAlign w:val="center"/>
          </w:tcPr>
          <w:p w14:paraId="2FCD1B11">
            <w:pPr>
              <w:pStyle w:val="11"/>
            </w:pPr>
            <w:r>
              <w:t>1688.80</w:t>
            </w:r>
          </w:p>
        </w:tc>
      </w:tr>
      <w:tr w14:paraId="441E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49D948">
            <w:pPr>
              <w:pStyle w:val="12"/>
            </w:pPr>
            <w:r>
              <w:t>　　其中：办公用房（平方米）</w:t>
            </w:r>
          </w:p>
        </w:tc>
        <w:tc>
          <w:tcPr>
            <w:tcW w:w="2835" w:type="dxa"/>
            <w:vAlign w:val="center"/>
          </w:tcPr>
          <w:p w14:paraId="3FD7A369">
            <w:pPr>
              <w:pStyle w:val="13"/>
            </w:pPr>
            <w:r>
              <w:t>325</w:t>
            </w:r>
          </w:p>
        </w:tc>
        <w:tc>
          <w:tcPr>
            <w:tcW w:w="2835" w:type="dxa"/>
            <w:vAlign w:val="center"/>
          </w:tcPr>
          <w:p w14:paraId="2F92D36F">
            <w:pPr>
              <w:pStyle w:val="11"/>
            </w:pPr>
            <w:r>
              <w:t>110.60</w:t>
            </w:r>
          </w:p>
        </w:tc>
      </w:tr>
      <w:tr w14:paraId="10554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F2F073">
            <w:pPr>
              <w:pStyle w:val="12"/>
            </w:pPr>
            <w:r>
              <w:t>2、车辆（台、辆）</w:t>
            </w:r>
          </w:p>
        </w:tc>
        <w:tc>
          <w:tcPr>
            <w:tcW w:w="2835" w:type="dxa"/>
            <w:vAlign w:val="center"/>
          </w:tcPr>
          <w:p w14:paraId="0A1A703E">
            <w:pPr>
              <w:pStyle w:val="13"/>
            </w:pPr>
          </w:p>
        </w:tc>
        <w:tc>
          <w:tcPr>
            <w:tcW w:w="2835" w:type="dxa"/>
            <w:vAlign w:val="center"/>
          </w:tcPr>
          <w:p w14:paraId="7CDB9A95">
            <w:pPr>
              <w:pStyle w:val="11"/>
            </w:pPr>
          </w:p>
        </w:tc>
      </w:tr>
      <w:tr w14:paraId="1724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67A9F9">
            <w:pPr>
              <w:pStyle w:val="12"/>
            </w:pPr>
            <w:r>
              <w:t>3、单价在20万元以上的设备</w:t>
            </w:r>
          </w:p>
        </w:tc>
        <w:tc>
          <w:tcPr>
            <w:tcW w:w="2835" w:type="dxa"/>
            <w:vAlign w:val="center"/>
          </w:tcPr>
          <w:p w14:paraId="6FE38726">
            <w:pPr>
              <w:pStyle w:val="13"/>
            </w:pPr>
            <w:r>
              <w:t>2</w:t>
            </w:r>
          </w:p>
        </w:tc>
        <w:tc>
          <w:tcPr>
            <w:tcW w:w="2835" w:type="dxa"/>
            <w:vAlign w:val="center"/>
          </w:tcPr>
          <w:p w14:paraId="3EB7392A">
            <w:pPr>
              <w:pStyle w:val="11"/>
            </w:pPr>
            <w:r>
              <w:t>73.08</w:t>
            </w:r>
          </w:p>
        </w:tc>
      </w:tr>
      <w:tr w14:paraId="4AAA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7802F6">
            <w:pPr>
              <w:pStyle w:val="12"/>
            </w:pPr>
            <w:r>
              <w:t>4、其他固定资产</w:t>
            </w:r>
          </w:p>
        </w:tc>
        <w:tc>
          <w:tcPr>
            <w:tcW w:w="2835" w:type="dxa"/>
            <w:vAlign w:val="center"/>
          </w:tcPr>
          <w:p w14:paraId="68C2842F">
            <w:pPr>
              <w:pStyle w:val="13"/>
            </w:pPr>
            <w:r>
              <w:t>1811</w:t>
            </w:r>
          </w:p>
        </w:tc>
        <w:tc>
          <w:tcPr>
            <w:tcW w:w="2835" w:type="dxa"/>
            <w:vAlign w:val="center"/>
          </w:tcPr>
          <w:p w14:paraId="10897EED">
            <w:pPr>
              <w:pStyle w:val="11"/>
            </w:pPr>
            <w:r>
              <w:t>263.23</w:t>
            </w:r>
          </w:p>
        </w:tc>
      </w:tr>
    </w:tbl>
    <w:p w14:paraId="37A9BD75">
      <w:pPr>
        <w:spacing w:before="0" w:after="0"/>
        <w:ind w:firstLine="640"/>
        <w:jc w:val="left"/>
        <w:outlineLvl w:val="9"/>
      </w:pPr>
      <w:r>
        <w:rPr>
          <w:rFonts w:ascii="Times New Roman" w:hAnsi="Times New Roman" w:eastAsia="方正仿宋_GBK" w:cs="Times New Roman"/>
          <w:color w:val="000000"/>
          <w:sz w:val="32"/>
        </w:rPr>
        <w:t xml:space="preserve"> </w:t>
      </w:r>
    </w:p>
    <w:p w14:paraId="09C46286">
      <w:pPr>
        <w:spacing w:before="10" w:after="10" w:line="240" w:lineRule="auto"/>
        <w:ind w:firstLine="640"/>
        <w:jc w:val="left"/>
        <w:outlineLvl w:val="5"/>
      </w:pPr>
      <w:r>
        <w:rPr>
          <w:rFonts w:ascii="黑体" w:hAnsi="黑体" w:eastAsia="黑体" w:cs="黑体"/>
          <w:color w:val="000000"/>
          <w:sz w:val="32"/>
        </w:rPr>
        <w:t>八、名词解释</w:t>
      </w:r>
    </w:p>
    <w:p w14:paraId="5555D9E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CBA2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285DE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939F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FD99A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2205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CBE78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A2953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4E8C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7F8C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13DCFE">
      <w:pPr>
        <w:spacing w:before="10" w:after="10" w:line="240" w:lineRule="auto"/>
        <w:ind w:firstLine="640"/>
        <w:jc w:val="left"/>
        <w:outlineLvl w:val="5"/>
      </w:pPr>
      <w:r>
        <w:rPr>
          <w:rFonts w:ascii="黑体" w:hAnsi="黑体" w:eastAsia="黑体" w:cs="黑体"/>
          <w:color w:val="000000"/>
          <w:sz w:val="32"/>
        </w:rPr>
        <w:t>九、其他需要说明的事项</w:t>
      </w:r>
    </w:p>
    <w:p w14:paraId="2903552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8070DB6">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十四、隆尧县职业技术教育中心收支预算</w:t>
      </w:r>
      <w:bookmarkEnd w:id="13"/>
    </w:p>
    <w:p w14:paraId="659972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AC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45C226">
            <w:pPr>
              <w:pStyle w:val="9"/>
            </w:pPr>
            <w:r>
              <w:t>360015隆尧县职业技术教育中心</w:t>
            </w:r>
          </w:p>
        </w:tc>
        <w:tc>
          <w:tcPr>
            <w:tcW w:w="2126" w:type="dxa"/>
            <w:tcBorders>
              <w:top w:val="single" w:color="FFFFFF" w:sz="6" w:space="0"/>
              <w:left w:val="single" w:color="FFFFFF" w:sz="6" w:space="0"/>
              <w:right w:val="single" w:color="FFFFFF" w:sz="6" w:space="0"/>
            </w:tcBorders>
            <w:vAlign w:val="center"/>
          </w:tcPr>
          <w:p w14:paraId="0AB85ED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1C9DEC1">
            <w:pPr>
              <w:pStyle w:val="7"/>
            </w:pPr>
            <w:r>
              <w:t>单位：万元</w:t>
            </w:r>
          </w:p>
        </w:tc>
      </w:tr>
      <w:tr w14:paraId="5081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04DEA3">
            <w:pPr>
              <w:pStyle w:val="10"/>
            </w:pPr>
            <w:r>
              <w:t>序号</w:t>
            </w:r>
          </w:p>
        </w:tc>
        <w:tc>
          <w:tcPr>
            <w:tcW w:w="6661" w:type="dxa"/>
            <w:gridSpan w:val="2"/>
            <w:vAlign w:val="center"/>
          </w:tcPr>
          <w:p w14:paraId="05032D27">
            <w:pPr>
              <w:pStyle w:val="10"/>
            </w:pPr>
            <w:r>
              <w:t>收入</w:t>
            </w:r>
          </w:p>
        </w:tc>
        <w:tc>
          <w:tcPr>
            <w:tcW w:w="6661" w:type="dxa"/>
            <w:gridSpan w:val="2"/>
            <w:vAlign w:val="center"/>
          </w:tcPr>
          <w:p w14:paraId="6733093E">
            <w:pPr>
              <w:pStyle w:val="10"/>
            </w:pPr>
            <w:r>
              <w:t>支出</w:t>
            </w:r>
          </w:p>
        </w:tc>
      </w:tr>
      <w:tr w14:paraId="56421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6239CE"/>
        </w:tc>
        <w:tc>
          <w:tcPr>
            <w:tcW w:w="4535" w:type="dxa"/>
            <w:vAlign w:val="center"/>
          </w:tcPr>
          <w:p w14:paraId="6DB8722F">
            <w:pPr>
              <w:pStyle w:val="10"/>
            </w:pPr>
            <w:r>
              <w:t>项  目</w:t>
            </w:r>
          </w:p>
        </w:tc>
        <w:tc>
          <w:tcPr>
            <w:tcW w:w="2126" w:type="dxa"/>
            <w:vAlign w:val="center"/>
          </w:tcPr>
          <w:p w14:paraId="22A76FEF">
            <w:pPr>
              <w:pStyle w:val="10"/>
            </w:pPr>
            <w:r>
              <w:t>预算数</w:t>
            </w:r>
          </w:p>
        </w:tc>
        <w:tc>
          <w:tcPr>
            <w:tcW w:w="4535" w:type="dxa"/>
            <w:vAlign w:val="center"/>
          </w:tcPr>
          <w:p w14:paraId="126433BB">
            <w:pPr>
              <w:pStyle w:val="10"/>
            </w:pPr>
            <w:r>
              <w:t>项  目</w:t>
            </w:r>
          </w:p>
        </w:tc>
        <w:tc>
          <w:tcPr>
            <w:tcW w:w="2126" w:type="dxa"/>
            <w:vAlign w:val="center"/>
          </w:tcPr>
          <w:p w14:paraId="57A036D8">
            <w:pPr>
              <w:pStyle w:val="10"/>
            </w:pPr>
            <w:r>
              <w:t>预算数</w:t>
            </w:r>
          </w:p>
        </w:tc>
      </w:tr>
      <w:tr w14:paraId="33D6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2E672">
            <w:pPr>
              <w:pStyle w:val="10"/>
            </w:pPr>
            <w:r>
              <w:t>栏次</w:t>
            </w:r>
          </w:p>
        </w:tc>
        <w:tc>
          <w:tcPr>
            <w:tcW w:w="4535" w:type="dxa"/>
            <w:vAlign w:val="center"/>
          </w:tcPr>
          <w:p w14:paraId="52CE1053">
            <w:pPr>
              <w:pStyle w:val="10"/>
            </w:pPr>
            <w:r>
              <w:t>1</w:t>
            </w:r>
          </w:p>
        </w:tc>
        <w:tc>
          <w:tcPr>
            <w:tcW w:w="2126" w:type="dxa"/>
            <w:vAlign w:val="center"/>
          </w:tcPr>
          <w:p w14:paraId="7FE8C829">
            <w:pPr>
              <w:pStyle w:val="10"/>
            </w:pPr>
            <w:r>
              <w:t>2</w:t>
            </w:r>
          </w:p>
        </w:tc>
        <w:tc>
          <w:tcPr>
            <w:tcW w:w="4535" w:type="dxa"/>
            <w:vAlign w:val="center"/>
          </w:tcPr>
          <w:p w14:paraId="6338BFB0">
            <w:pPr>
              <w:pStyle w:val="10"/>
            </w:pPr>
            <w:r>
              <w:t>3</w:t>
            </w:r>
          </w:p>
        </w:tc>
        <w:tc>
          <w:tcPr>
            <w:tcW w:w="2126" w:type="dxa"/>
            <w:vAlign w:val="center"/>
          </w:tcPr>
          <w:p w14:paraId="76905A08">
            <w:pPr>
              <w:pStyle w:val="10"/>
            </w:pPr>
            <w:r>
              <w:t>4</w:t>
            </w:r>
          </w:p>
        </w:tc>
      </w:tr>
      <w:tr w14:paraId="468A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06C36">
            <w:pPr>
              <w:pStyle w:val="13"/>
            </w:pPr>
            <w:r>
              <w:t>1</w:t>
            </w:r>
          </w:p>
        </w:tc>
        <w:tc>
          <w:tcPr>
            <w:tcW w:w="4535" w:type="dxa"/>
            <w:vAlign w:val="center"/>
          </w:tcPr>
          <w:p w14:paraId="1715C6BA">
            <w:pPr>
              <w:pStyle w:val="12"/>
            </w:pPr>
            <w:r>
              <w:t>一、一般公共预算拨款收入</w:t>
            </w:r>
          </w:p>
        </w:tc>
        <w:tc>
          <w:tcPr>
            <w:tcW w:w="2126" w:type="dxa"/>
            <w:vAlign w:val="center"/>
          </w:tcPr>
          <w:p w14:paraId="3038AA4B">
            <w:pPr>
              <w:pStyle w:val="11"/>
            </w:pPr>
            <w:r>
              <w:t>3787.88</w:t>
            </w:r>
          </w:p>
        </w:tc>
        <w:tc>
          <w:tcPr>
            <w:tcW w:w="4535" w:type="dxa"/>
            <w:vAlign w:val="center"/>
          </w:tcPr>
          <w:p w14:paraId="3A33DB7B">
            <w:pPr>
              <w:pStyle w:val="12"/>
            </w:pPr>
            <w:r>
              <w:t>一、一般公共服务支出</w:t>
            </w:r>
          </w:p>
        </w:tc>
        <w:tc>
          <w:tcPr>
            <w:tcW w:w="2126" w:type="dxa"/>
            <w:vAlign w:val="center"/>
          </w:tcPr>
          <w:p w14:paraId="2DCE2DAC">
            <w:pPr>
              <w:pStyle w:val="11"/>
            </w:pPr>
          </w:p>
        </w:tc>
      </w:tr>
      <w:tr w14:paraId="0730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081D">
            <w:pPr>
              <w:pStyle w:val="13"/>
            </w:pPr>
            <w:r>
              <w:t>2</w:t>
            </w:r>
          </w:p>
        </w:tc>
        <w:tc>
          <w:tcPr>
            <w:tcW w:w="4535" w:type="dxa"/>
            <w:vAlign w:val="center"/>
          </w:tcPr>
          <w:p w14:paraId="5F367A58">
            <w:pPr>
              <w:pStyle w:val="12"/>
            </w:pPr>
            <w:r>
              <w:t>二、政府性基金预算拨款收入</w:t>
            </w:r>
          </w:p>
        </w:tc>
        <w:tc>
          <w:tcPr>
            <w:tcW w:w="2126" w:type="dxa"/>
            <w:vAlign w:val="center"/>
          </w:tcPr>
          <w:p w14:paraId="31A38CFF">
            <w:pPr>
              <w:pStyle w:val="11"/>
            </w:pPr>
          </w:p>
        </w:tc>
        <w:tc>
          <w:tcPr>
            <w:tcW w:w="4535" w:type="dxa"/>
            <w:vAlign w:val="center"/>
          </w:tcPr>
          <w:p w14:paraId="359F7689">
            <w:pPr>
              <w:pStyle w:val="12"/>
            </w:pPr>
            <w:r>
              <w:t>二、外交支出</w:t>
            </w:r>
          </w:p>
        </w:tc>
        <w:tc>
          <w:tcPr>
            <w:tcW w:w="2126" w:type="dxa"/>
            <w:vAlign w:val="center"/>
          </w:tcPr>
          <w:p w14:paraId="4981E983">
            <w:pPr>
              <w:pStyle w:val="11"/>
            </w:pPr>
          </w:p>
        </w:tc>
      </w:tr>
      <w:tr w14:paraId="3656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86DA3">
            <w:pPr>
              <w:pStyle w:val="13"/>
            </w:pPr>
            <w:r>
              <w:t>3</w:t>
            </w:r>
          </w:p>
        </w:tc>
        <w:tc>
          <w:tcPr>
            <w:tcW w:w="4535" w:type="dxa"/>
            <w:vAlign w:val="center"/>
          </w:tcPr>
          <w:p w14:paraId="2DA02869">
            <w:pPr>
              <w:pStyle w:val="12"/>
            </w:pPr>
            <w:r>
              <w:t>三、国有资本经营预算拨款收入</w:t>
            </w:r>
          </w:p>
        </w:tc>
        <w:tc>
          <w:tcPr>
            <w:tcW w:w="2126" w:type="dxa"/>
            <w:vAlign w:val="center"/>
          </w:tcPr>
          <w:p w14:paraId="4D0BD050">
            <w:pPr>
              <w:pStyle w:val="11"/>
            </w:pPr>
          </w:p>
        </w:tc>
        <w:tc>
          <w:tcPr>
            <w:tcW w:w="4535" w:type="dxa"/>
            <w:vAlign w:val="center"/>
          </w:tcPr>
          <w:p w14:paraId="34043B5D">
            <w:pPr>
              <w:pStyle w:val="12"/>
            </w:pPr>
            <w:r>
              <w:t>三、国防支出</w:t>
            </w:r>
          </w:p>
        </w:tc>
        <w:tc>
          <w:tcPr>
            <w:tcW w:w="2126" w:type="dxa"/>
            <w:vAlign w:val="center"/>
          </w:tcPr>
          <w:p w14:paraId="05FE2EAE">
            <w:pPr>
              <w:pStyle w:val="11"/>
            </w:pPr>
          </w:p>
        </w:tc>
      </w:tr>
      <w:tr w14:paraId="6C87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6FE31">
            <w:pPr>
              <w:pStyle w:val="13"/>
            </w:pPr>
            <w:r>
              <w:t>4</w:t>
            </w:r>
          </w:p>
        </w:tc>
        <w:tc>
          <w:tcPr>
            <w:tcW w:w="4535" w:type="dxa"/>
            <w:vAlign w:val="center"/>
          </w:tcPr>
          <w:p w14:paraId="2206860D">
            <w:pPr>
              <w:pStyle w:val="12"/>
            </w:pPr>
            <w:r>
              <w:t>四、财政专户管理资金收入</w:t>
            </w:r>
          </w:p>
        </w:tc>
        <w:tc>
          <w:tcPr>
            <w:tcW w:w="2126" w:type="dxa"/>
            <w:vAlign w:val="center"/>
          </w:tcPr>
          <w:p w14:paraId="65F2D753">
            <w:pPr>
              <w:pStyle w:val="11"/>
            </w:pPr>
          </w:p>
        </w:tc>
        <w:tc>
          <w:tcPr>
            <w:tcW w:w="4535" w:type="dxa"/>
            <w:vAlign w:val="center"/>
          </w:tcPr>
          <w:p w14:paraId="7379108B">
            <w:pPr>
              <w:pStyle w:val="12"/>
            </w:pPr>
            <w:r>
              <w:t>四、公共安全支出</w:t>
            </w:r>
          </w:p>
        </w:tc>
        <w:tc>
          <w:tcPr>
            <w:tcW w:w="2126" w:type="dxa"/>
            <w:vAlign w:val="center"/>
          </w:tcPr>
          <w:p w14:paraId="559DE0A4">
            <w:pPr>
              <w:pStyle w:val="11"/>
            </w:pPr>
          </w:p>
        </w:tc>
      </w:tr>
      <w:tr w14:paraId="3CB1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E964D">
            <w:pPr>
              <w:pStyle w:val="13"/>
            </w:pPr>
            <w:r>
              <w:t>5</w:t>
            </w:r>
          </w:p>
        </w:tc>
        <w:tc>
          <w:tcPr>
            <w:tcW w:w="4535" w:type="dxa"/>
            <w:vAlign w:val="center"/>
          </w:tcPr>
          <w:p w14:paraId="7D65E3E8">
            <w:pPr>
              <w:pStyle w:val="12"/>
            </w:pPr>
            <w:r>
              <w:t>五、单位资金</w:t>
            </w:r>
          </w:p>
        </w:tc>
        <w:tc>
          <w:tcPr>
            <w:tcW w:w="2126" w:type="dxa"/>
            <w:vAlign w:val="center"/>
          </w:tcPr>
          <w:p w14:paraId="17C48D2A">
            <w:pPr>
              <w:pStyle w:val="11"/>
            </w:pPr>
          </w:p>
        </w:tc>
        <w:tc>
          <w:tcPr>
            <w:tcW w:w="4535" w:type="dxa"/>
            <w:vAlign w:val="center"/>
          </w:tcPr>
          <w:p w14:paraId="7A144580">
            <w:pPr>
              <w:pStyle w:val="12"/>
            </w:pPr>
            <w:r>
              <w:t>五、教育支出</w:t>
            </w:r>
          </w:p>
        </w:tc>
        <w:tc>
          <w:tcPr>
            <w:tcW w:w="2126" w:type="dxa"/>
            <w:vAlign w:val="center"/>
          </w:tcPr>
          <w:p w14:paraId="34214182">
            <w:pPr>
              <w:pStyle w:val="11"/>
            </w:pPr>
            <w:r>
              <w:t>4078.47</w:t>
            </w:r>
          </w:p>
        </w:tc>
      </w:tr>
      <w:tr w14:paraId="65D4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342D7">
            <w:pPr>
              <w:pStyle w:val="13"/>
            </w:pPr>
            <w:r>
              <w:t>6</w:t>
            </w:r>
          </w:p>
        </w:tc>
        <w:tc>
          <w:tcPr>
            <w:tcW w:w="4535" w:type="dxa"/>
            <w:vAlign w:val="center"/>
          </w:tcPr>
          <w:p w14:paraId="38C24BDF">
            <w:pPr>
              <w:pStyle w:val="12"/>
            </w:pPr>
          </w:p>
        </w:tc>
        <w:tc>
          <w:tcPr>
            <w:tcW w:w="2126" w:type="dxa"/>
            <w:vAlign w:val="center"/>
          </w:tcPr>
          <w:p w14:paraId="36AAC7E7">
            <w:pPr>
              <w:pStyle w:val="11"/>
            </w:pPr>
          </w:p>
        </w:tc>
        <w:tc>
          <w:tcPr>
            <w:tcW w:w="4535" w:type="dxa"/>
            <w:vAlign w:val="center"/>
          </w:tcPr>
          <w:p w14:paraId="69DEB9CD">
            <w:pPr>
              <w:pStyle w:val="12"/>
            </w:pPr>
            <w:r>
              <w:t>六、科学技术支出</w:t>
            </w:r>
          </w:p>
        </w:tc>
        <w:tc>
          <w:tcPr>
            <w:tcW w:w="2126" w:type="dxa"/>
            <w:vAlign w:val="center"/>
          </w:tcPr>
          <w:p w14:paraId="2E53FC78">
            <w:pPr>
              <w:pStyle w:val="11"/>
            </w:pPr>
          </w:p>
        </w:tc>
      </w:tr>
      <w:tr w14:paraId="130C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1A572">
            <w:pPr>
              <w:pStyle w:val="13"/>
            </w:pPr>
            <w:r>
              <w:t>7</w:t>
            </w:r>
          </w:p>
        </w:tc>
        <w:tc>
          <w:tcPr>
            <w:tcW w:w="4535" w:type="dxa"/>
            <w:vAlign w:val="center"/>
          </w:tcPr>
          <w:p w14:paraId="53307C59">
            <w:pPr>
              <w:pStyle w:val="12"/>
            </w:pPr>
          </w:p>
        </w:tc>
        <w:tc>
          <w:tcPr>
            <w:tcW w:w="2126" w:type="dxa"/>
            <w:vAlign w:val="center"/>
          </w:tcPr>
          <w:p w14:paraId="1E656065">
            <w:pPr>
              <w:pStyle w:val="11"/>
            </w:pPr>
          </w:p>
        </w:tc>
        <w:tc>
          <w:tcPr>
            <w:tcW w:w="4535" w:type="dxa"/>
            <w:vAlign w:val="center"/>
          </w:tcPr>
          <w:p w14:paraId="20CB40B8">
            <w:pPr>
              <w:pStyle w:val="12"/>
            </w:pPr>
            <w:r>
              <w:t>七、文化旅游体育与传媒支出</w:t>
            </w:r>
          </w:p>
        </w:tc>
        <w:tc>
          <w:tcPr>
            <w:tcW w:w="2126" w:type="dxa"/>
            <w:vAlign w:val="center"/>
          </w:tcPr>
          <w:p w14:paraId="7C7DCA13">
            <w:pPr>
              <w:pStyle w:val="11"/>
            </w:pPr>
          </w:p>
        </w:tc>
      </w:tr>
      <w:tr w14:paraId="3280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2B80">
            <w:pPr>
              <w:pStyle w:val="13"/>
            </w:pPr>
            <w:r>
              <w:t>8</w:t>
            </w:r>
          </w:p>
        </w:tc>
        <w:tc>
          <w:tcPr>
            <w:tcW w:w="4535" w:type="dxa"/>
            <w:vAlign w:val="center"/>
          </w:tcPr>
          <w:p w14:paraId="4A82E28A">
            <w:pPr>
              <w:pStyle w:val="12"/>
            </w:pPr>
          </w:p>
        </w:tc>
        <w:tc>
          <w:tcPr>
            <w:tcW w:w="2126" w:type="dxa"/>
            <w:vAlign w:val="center"/>
          </w:tcPr>
          <w:p w14:paraId="1D1F2431">
            <w:pPr>
              <w:pStyle w:val="11"/>
            </w:pPr>
          </w:p>
        </w:tc>
        <w:tc>
          <w:tcPr>
            <w:tcW w:w="4535" w:type="dxa"/>
            <w:vAlign w:val="center"/>
          </w:tcPr>
          <w:p w14:paraId="04BF437C">
            <w:pPr>
              <w:pStyle w:val="12"/>
            </w:pPr>
            <w:r>
              <w:t>八、社会保障和就业支出</w:t>
            </w:r>
          </w:p>
        </w:tc>
        <w:tc>
          <w:tcPr>
            <w:tcW w:w="2126" w:type="dxa"/>
            <w:vAlign w:val="center"/>
          </w:tcPr>
          <w:p w14:paraId="37F2F9FF">
            <w:pPr>
              <w:pStyle w:val="11"/>
            </w:pPr>
          </w:p>
        </w:tc>
      </w:tr>
      <w:tr w14:paraId="3344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7FE3A">
            <w:pPr>
              <w:pStyle w:val="13"/>
            </w:pPr>
            <w:r>
              <w:t>9</w:t>
            </w:r>
          </w:p>
        </w:tc>
        <w:tc>
          <w:tcPr>
            <w:tcW w:w="4535" w:type="dxa"/>
            <w:vAlign w:val="center"/>
          </w:tcPr>
          <w:p w14:paraId="4E603586">
            <w:pPr>
              <w:pStyle w:val="12"/>
            </w:pPr>
          </w:p>
        </w:tc>
        <w:tc>
          <w:tcPr>
            <w:tcW w:w="2126" w:type="dxa"/>
            <w:vAlign w:val="center"/>
          </w:tcPr>
          <w:p w14:paraId="6B4CC912">
            <w:pPr>
              <w:pStyle w:val="11"/>
            </w:pPr>
          </w:p>
        </w:tc>
        <w:tc>
          <w:tcPr>
            <w:tcW w:w="4535" w:type="dxa"/>
            <w:vAlign w:val="center"/>
          </w:tcPr>
          <w:p w14:paraId="2E385DE3">
            <w:pPr>
              <w:pStyle w:val="12"/>
            </w:pPr>
            <w:r>
              <w:t>九、社会保险基金支出</w:t>
            </w:r>
          </w:p>
        </w:tc>
        <w:tc>
          <w:tcPr>
            <w:tcW w:w="2126" w:type="dxa"/>
            <w:vAlign w:val="center"/>
          </w:tcPr>
          <w:p w14:paraId="41C3E529">
            <w:pPr>
              <w:pStyle w:val="11"/>
            </w:pPr>
          </w:p>
        </w:tc>
      </w:tr>
      <w:tr w14:paraId="57B9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77249">
            <w:pPr>
              <w:pStyle w:val="13"/>
            </w:pPr>
            <w:r>
              <w:t>10</w:t>
            </w:r>
          </w:p>
        </w:tc>
        <w:tc>
          <w:tcPr>
            <w:tcW w:w="4535" w:type="dxa"/>
            <w:vAlign w:val="center"/>
          </w:tcPr>
          <w:p w14:paraId="4D6D794C">
            <w:pPr>
              <w:pStyle w:val="12"/>
            </w:pPr>
          </w:p>
        </w:tc>
        <w:tc>
          <w:tcPr>
            <w:tcW w:w="2126" w:type="dxa"/>
            <w:vAlign w:val="center"/>
          </w:tcPr>
          <w:p w14:paraId="3A3C1601">
            <w:pPr>
              <w:pStyle w:val="11"/>
            </w:pPr>
          </w:p>
        </w:tc>
        <w:tc>
          <w:tcPr>
            <w:tcW w:w="4535" w:type="dxa"/>
            <w:vAlign w:val="center"/>
          </w:tcPr>
          <w:p w14:paraId="623742F7">
            <w:pPr>
              <w:pStyle w:val="12"/>
            </w:pPr>
            <w:r>
              <w:t>十、卫生健康支出</w:t>
            </w:r>
          </w:p>
        </w:tc>
        <w:tc>
          <w:tcPr>
            <w:tcW w:w="2126" w:type="dxa"/>
            <w:vAlign w:val="center"/>
          </w:tcPr>
          <w:p w14:paraId="5808E99C">
            <w:pPr>
              <w:pStyle w:val="11"/>
            </w:pPr>
          </w:p>
        </w:tc>
      </w:tr>
      <w:tr w14:paraId="283E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46AC2">
            <w:pPr>
              <w:pStyle w:val="13"/>
            </w:pPr>
            <w:r>
              <w:t>11</w:t>
            </w:r>
          </w:p>
        </w:tc>
        <w:tc>
          <w:tcPr>
            <w:tcW w:w="4535" w:type="dxa"/>
            <w:vAlign w:val="center"/>
          </w:tcPr>
          <w:p w14:paraId="52924359">
            <w:pPr>
              <w:pStyle w:val="12"/>
            </w:pPr>
          </w:p>
        </w:tc>
        <w:tc>
          <w:tcPr>
            <w:tcW w:w="2126" w:type="dxa"/>
            <w:vAlign w:val="center"/>
          </w:tcPr>
          <w:p w14:paraId="71382628">
            <w:pPr>
              <w:pStyle w:val="11"/>
            </w:pPr>
          </w:p>
        </w:tc>
        <w:tc>
          <w:tcPr>
            <w:tcW w:w="4535" w:type="dxa"/>
            <w:vAlign w:val="center"/>
          </w:tcPr>
          <w:p w14:paraId="0F89BAF4">
            <w:pPr>
              <w:pStyle w:val="12"/>
            </w:pPr>
            <w:r>
              <w:t>十一、节能环保支出</w:t>
            </w:r>
          </w:p>
        </w:tc>
        <w:tc>
          <w:tcPr>
            <w:tcW w:w="2126" w:type="dxa"/>
            <w:vAlign w:val="center"/>
          </w:tcPr>
          <w:p w14:paraId="5987243A">
            <w:pPr>
              <w:pStyle w:val="11"/>
            </w:pPr>
          </w:p>
        </w:tc>
      </w:tr>
      <w:tr w14:paraId="49BC1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9C1DA">
            <w:pPr>
              <w:pStyle w:val="13"/>
            </w:pPr>
            <w:r>
              <w:t>12</w:t>
            </w:r>
          </w:p>
        </w:tc>
        <w:tc>
          <w:tcPr>
            <w:tcW w:w="4535" w:type="dxa"/>
            <w:vAlign w:val="center"/>
          </w:tcPr>
          <w:p w14:paraId="267606D8">
            <w:pPr>
              <w:pStyle w:val="12"/>
            </w:pPr>
          </w:p>
        </w:tc>
        <w:tc>
          <w:tcPr>
            <w:tcW w:w="2126" w:type="dxa"/>
            <w:vAlign w:val="center"/>
          </w:tcPr>
          <w:p w14:paraId="0327BDDD">
            <w:pPr>
              <w:pStyle w:val="11"/>
            </w:pPr>
          </w:p>
        </w:tc>
        <w:tc>
          <w:tcPr>
            <w:tcW w:w="4535" w:type="dxa"/>
            <w:vAlign w:val="center"/>
          </w:tcPr>
          <w:p w14:paraId="102CBE67">
            <w:pPr>
              <w:pStyle w:val="12"/>
            </w:pPr>
            <w:r>
              <w:t>十二、城乡社区支出</w:t>
            </w:r>
          </w:p>
        </w:tc>
        <w:tc>
          <w:tcPr>
            <w:tcW w:w="2126" w:type="dxa"/>
            <w:vAlign w:val="center"/>
          </w:tcPr>
          <w:p w14:paraId="05B7E13E">
            <w:pPr>
              <w:pStyle w:val="11"/>
            </w:pPr>
          </w:p>
        </w:tc>
      </w:tr>
      <w:tr w14:paraId="0703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AC4E2">
            <w:pPr>
              <w:pStyle w:val="13"/>
            </w:pPr>
            <w:r>
              <w:t>13</w:t>
            </w:r>
          </w:p>
        </w:tc>
        <w:tc>
          <w:tcPr>
            <w:tcW w:w="4535" w:type="dxa"/>
            <w:vAlign w:val="center"/>
          </w:tcPr>
          <w:p w14:paraId="00C80BE0">
            <w:pPr>
              <w:pStyle w:val="12"/>
            </w:pPr>
          </w:p>
        </w:tc>
        <w:tc>
          <w:tcPr>
            <w:tcW w:w="2126" w:type="dxa"/>
            <w:vAlign w:val="center"/>
          </w:tcPr>
          <w:p w14:paraId="434467B3">
            <w:pPr>
              <w:pStyle w:val="11"/>
            </w:pPr>
          </w:p>
        </w:tc>
        <w:tc>
          <w:tcPr>
            <w:tcW w:w="4535" w:type="dxa"/>
            <w:vAlign w:val="center"/>
          </w:tcPr>
          <w:p w14:paraId="5F23A1E5">
            <w:pPr>
              <w:pStyle w:val="12"/>
            </w:pPr>
            <w:r>
              <w:t>十三、农林水支出</w:t>
            </w:r>
          </w:p>
        </w:tc>
        <w:tc>
          <w:tcPr>
            <w:tcW w:w="2126" w:type="dxa"/>
            <w:vAlign w:val="center"/>
          </w:tcPr>
          <w:p w14:paraId="70C75241">
            <w:pPr>
              <w:pStyle w:val="11"/>
            </w:pPr>
          </w:p>
        </w:tc>
      </w:tr>
      <w:tr w14:paraId="1E4A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23C3">
            <w:pPr>
              <w:pStyle w:val="13"/>
            </w:pPr>
            <w:r>
              <w:t>14</w:t>
            </w:r>
          </w:p>
        </w:tc>
        <w:tc>
          <w:tcPr>
            <w:tcW w:w="4535" w:type="dxa"/>
            <w:vAlign w:val="center"/>
          </w:tcPr>
          <w:p w14:paraId="46DD8322">
            <w:pPr>
              <w:pStyle w:val="12"/>
            </w:pPr>
          </w:p>
        </w:tc>
        <w:tc>
          <w:tcPr>
            <w:tcW w:w="2126" w:type="dxa"/>
            <w:vAlign w:val="center"/>
          </w:tcPr>
          <w:p w14:paraId="7BBA9BB9">
            <w:pPr>
              <w:pStyle w:val="11"/>
            </w:pPr>
          </w:p>
        </w:tc>
        <w:tc>
          <w:tcPr>
            <w:tcW w:w="4535" w:type="dxa"/>
            <w:vAlign w:val="center"/>
          </w:tcPr>
          <w:p w14:paraId="08F8277F">
            <w:pPr>
              <w:pStyle w:val="12"/>
            </w:pPr>
            <w:r>
              <w:t>十四、交通运输支出</w:t>
            </w:r>
          </w:p>
        </w:tc>
        <w:tc>
          <w:tcPr>
            <w:tcW w:w="2126" w:type="dxa"/>
            <w:vAlign w:val="center"/>
          </w:tcPr>
          <w:p w14:paraId="1558F2D0">
            <w:pPr>
              <w:pStyle w:val="11"/>
            </w:pPr>
          </w:p>
        </w:tc>
      </w:tr>
      <w:tr w14:paraId="40E3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B222B">
            <w:pPr>
              <w:pStyle w:val="13"/>
            </w:pPr>
            <w:r>
              <w:t>15</w:t>
            </w:r>
          </w:p>
        </w:tc>
        <w:tc>
          <w:tcPr>
            <w:tcW w:w="4535" w:type="dxa"/>
            <w:vAlign w:val="center"/>
          </w:tcPr>
          <w:p w14:paraId="75E9C5A6">
            <w:pPr>
              <w:pStyle w:val="12"/>
            </w:pPr>
          </w:p>
        </w:tc>
        <w:tc>
          <w:tcPr>
            <w:tcW w:w="2126" w:type="dxa"/>
            <w:vAlign w:val="center"/>
          </w:tcPr>
          <w:p w14:paraId="609C28EF">
            <w:pPr>
              <w:pStyle w:val="11"/>
            </w:pPr>
          </w:p>
        </w:tc>
        <w:tc>
          <w:tcPr>
            <w:tcW w:w="4535" w:type="dxa"/>
            <w:vAlign w:val="center"/>
          </w:tcPr>
          <w:p w14:paraId="3E988E6C">
            <w:pPr>
              <w:pStyle w:val="12"/>
            </w:pPr>
            <w:r>
              <w:t>十五、资源勘探工业信息等支出</w:t>
            </w:r>
          </w:p>
        </w:tc>
        <w:tc>
          <w:tcPr>
            <w:tcW w:w="2126" w:type="dxa"/>
            <w:vAlign w:val="center"/>
          </w:tcPr>
          <w:p w14:paraId="4D24ABF4">
            <w:pPr>
              <w:pStyle w:val="11"/>
            </w:pPr>
          </w:p>
        </w:tc>
      </w:tr>
      <w:tr w14:paraId="7D30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D1FF">
            <w:pPr>
              <w:pStyle w:val="13"/>
            </w:pPr>
            <w:r>
              <w:t>16</w:t>
            </w:r>
          </w:p>
        </w:tc>
        <w:tc>
          <w:tcPr>
            <w:tcW w:w="4535" w:type="dxa"/>
            <w:vAlign w:val="center"/>
          </w:tcPr>
          <w:p w14:paraId="293A3283">
            <w:pPr>
              <w:pStyle w:val="12"/>
            </w:pPr>
          </w:p>
        </w:tc>
        <w:tc>
          <w:tcPr>
            <w:tcW w:w="2126" w:type="dxa"/>
            <w:vAlign w:val="center"/>
          </w:tcPr>
          <w:p w14:paraId="31C2CF27">
            <w:pPr>
              <w:pStyle w:val="11"/>
            </w:pPr>
          </w:p>
        </w:tc>
        <w:tc>
          <w:tcPr>
            <w:tcW w:w="4535" w:type="dxa"/>
            <w:vAlign w:val="center"/>
          </w:tcPr>
          <w:p w14:paraId="38D7567B">
            <w:pPr>
              <w:pStyle w:val="12"/>
            </w:pPr>
            <w:r>
              <w:t>十六、商业服务业等支出</w:t>
            </w:r>
          </w:p>
        </w:tc>
        <w:tc>
          <w:tcPr>
            <w:tcW w:w="2126" w:type="dxa"/>
            <w:vAlign w:val="center"/>
          </w:tcPr>
          <w:p w14:paraId="6A5AEEB7">
            <w:pPr>
              <w:pStyle w:val="11"/>
            </w:pPr>
          </w:p>
        </w:tc>
      </w:tr>
      <w:tr w14:paraId="4DF2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0A3E4">
            <w:pPr>
              <w:pStyle w:val="13"/>
            </w:pPr>
            <w:r>
              <w:t>17</w:t>
            </w:r>
          </w:p>
        </w:tc>
        <w:tc>
          <w:tcPr>
            <w:tcW w:w="4535" w:type="dxa"/>
            <w:vAlign w:val="center"/>
          </w:tcPr>
          <w:p w14:paraId="72565A45">
            <w:pPr>
              <w:pStyle w:val="12"/>
            </w:pPr>
          </w:p>
        </w:tc>
        <w:tc>
          <w:tcPr>
            <w:tcW w:w="2126" w:type="dxa"/>
            <w:vAlign w:val="center"/>
          </w:tcPr>
          <w:p w14:paraId="163B86BA">
            <w:pPr>
              <w:pStyle w:val="11"/>
            </w:pPr>
          </w:p>
        </w:tc>
        <w:tc>
          <w:tcPr>
            <w:tcW w:w="4535" w:type="dxa"/>
            <w:vAlign w:val="center"/>
          </w:tcPr>
          <w:p w14:paraId="243B841F">
            <w:pPr>
              <w:pStyle w:val="12"/>
            </w:pPr>
            <w:r>
              <w:t>十七、金融支出</w:t>
            </w:r>
          </w:p>
        </w:tc>
        <w:tc>
          <w:tcPr>
            <w:tcW w:w="2126" w:type="dxa"/>
            <w:vAlign w:val="center"/>
          </w:tcPr>
          <w:p w14:paraId="28E74421">
            <w:pPr>
              <w:pStyle w:val="11"/>
            </w:pPr>
          </w:p>
        </w:tc>
      </w:tr>
      <w:tr w14:paraId="353E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4D9CD">
            <w:pPr>
              <w:pStyle w:val="13"/>
            </w:pPr>
            <w:r>
              <w:t>18</w:t>
            </w:r>
          </w:p>
        </w:tc>
        <w:tc>
          <w:tcPr>
            <w:tcW w:w="4535" w:type="dxa"/>
            <w:vAlign w:val="center"/>
          </w:tcPr>
          <w:p w14:paraId="230FF539">
            <w:pPr>
              <w:pStyle w:val="12"/>
            </w:pPr>
          </w:p>
        </w:tc>
        <w:tc>
          <w:tcPr>
            <w:tcW w:w="2126" w:type="dxa"/>
            <w:vAlign w:val="center"/>
          </w:tcPr>
          <w:p w14:paraId="5F75AD75">
            <w:pPr>
              <w:pStyle w:val="11"/>
            </w:pPr>
          </w:p>
        </w:tc>
        <w:tc>
          <w:tcPr>
            <w:tcW w:w="4535" w:type="dxa"/>
            <w:vAlign w:val="center"/>
          </w:tcPr>
          <w:p w14:paraId="05FEDE20">
            <w:pPr>
              <w:pStyle w:val="12"/>
            </w:pPr>
            <w:r>
              <w:t>十八、援助其他地区支出</w:t>
            </w:r>
          </w:p>
        </w:tc>
        <w:tc>
          <w:tcPr>
            <w:tcW w:w="2126" w:type="dxa"/>
            <w:vAlign w:val="center"/>
          </w:tcPr>
          <w:p w14:paraId="248BCB35">
            <w:pPr>
              <w:pStyle w:val="11"/>
            </w:pPr>
          </w:p>
        </w:tc>
      </w:tr>
      <w:tr w14:paraId="236DE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6D771">
            <w:pPr>
              <w:pStyle w:val="13"/>
            </w:pPr>
            <w:r>
              <w:t>19</w:t>
            </w:r>
          </w:p>
        </w:tc>
        <w:tc>
          <w:tcPr>
            <w:tcW w:w="4535" w:type="dxa"/>
            <w:vAlign w:val="center"/>
          </w:tcPr>
          <w:p w14:paraId="670CC4A5">
            <w:pPr>
              <w:pStyle w:val="12"/>
            </w:pPr>
          </w:p>
        </w:tc>
        <w:tc>
          <w:tcPr>
            <w:tcW w:w="2126" w:type="dxa"/>
            <w:vAlign w:val="center"/>
          </w:tcPr>
          <w:p w14:paraId="69562E16">
            <w:pPr>
              <w:pStyle w:val="11"/>
            </w:pPr>
          </w:p>
        </w:tc>
        <w:tc>
          <w:tcPr>
            <w:tcW w:w="4535" w:type="dxa"/>
            <w:vAlign w:val="center"/>
          </w:tcPr>
          <w:p w14:paraId="77E440CF">
            <w:pPr>
              <w:pStyle w:val="12"/>
            </w:pPr>
            <w:r>
              <w:t>十九、自然资源海洋气象等支出</w:t>
            </w:r>
          </w:p>
        </w:tc>
        <w:tc>
          <w:tcPr>
            <w:tcW w:w="2126" w:type="dxa"/>
            <w:vAlign w:val="center"/>
          </w:tcPr>
          <w:p w14:paraId="3184B009">
            <w:pPr>
              <w:pStyle w:val="11"/>
            </w:pPr>
          </w:p>
        </w:tc>
      </w:tr>
      <w:tr w14:paraId="1FF23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F186">
            <w:pPr>
              <w:pStyle w:val="13"/>
            </w:pPr>
            <w:r>
              <w:t>20</w:t>
            </w:r>
          </w:p>
        </w:tc>
        <w:tc>
          <w:tcPr>
            <w:tcW w:w="4535" w:type="dxa"/>
            <w:vAlign w:val="center"/>
          </w:tcPr>
          <w:p w14:paraId="026ADBDE">
            <w:pPr>
              <w:pStyle w:val="12"/>
            </w:pPr>
          </w:p>
        </w:tc>
        <w:tc>
          <w:tcPr>
            <w:tcW w:w="2126" w:type="dxa"/>
            <w:vAlign w:val="center"/>
          </w:tcPr>
          <w:p w14:paraId="571E105D">
            <w:pPr>
              <w:pStyle w:val="11"/>
            </w:pPr>
          </w:p>
        </w:tc>
        <w:tc>
          <w:tcPr>
            <w:tcW w:w="4535" w:type="dxa"/>
            <w:vAlign w:val="center"/>
          </w:tcPr>
          <w:p w14:paraId="4465AE08">
            <w:pPr>
              <w:pStyle w:val="12"/>
            </w:pPr>
            <w:r>
              <w:t>二十、住房保障支出</w:t>
            </w:r>
          </w:p>
        </w:tc>
        <w:tc>
          <w:tcPr>
            <w:tcW w:w="2126" w:type="dxa"/>
            <w:vAlign w:val="center"/>
          </w:tcPr>
          <w:p w14:paraId="6EE099A0">
            <w:pPr>
              <w:pStyle w:val="11"/>
            </w:pPr>
          </w:p>
        </w:tc>
      </w:tr>
      <w:tr w14:paraId="0A29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6743E">
            <w:pPr>
              <w:pStyle w:val="13"/>
            </w:pPr>
            <w:r>
              <w:t>21</w:t>
            </w:r>
          </w:p>
        </w:tc>
        <w:tc>
          <w:tcPr>
            <w:tcW w:w="4535" w:type="dxa"/>
            <w:vAlign w:val="center"/>
          </w:tcPr>
          <w:p w14:paraId="1BCB727C">
            <w:pPr>
              <w:pStyle w:val="12"/>
            </w:pPr>
          </w:p>
        </w:tc>
        <w:tc>
          <w:tcPr>
            <w:tcW w:w="2126" w:type="dxa"/>
            <w:vAlign w:val="center"/>
          </w:tcPr>
          <w:p w14:paraId="0A4ADF71">
            <w:pPr>
              <w:pStyle w:val="11"/>
            </w:pPr>
          </w:p>
        </w:tc>
        <w:tc>
          <w:tcPr>
            <w:tcW w:w="4535" w:type="dxa"/>
            <w:vAlign w:val="center"/>
          </w:tcPr>
          <w:p w14:paraId="02096184">
            <w:pPr>
              <w:pStyle w:val="12"/>
            </w:pPr>
            <w:r>
              <w:t>二十一、粮油物资储备支出</w:t>
            </w:r>
          </w:p>
        </w:tc>
        <w:tc>
          <w:tcPr>
            <w:tcW w:w="2126" w:type="dxa"/>
            <w:vAlign w:val="center"/>
          </w:tcPr>
          <w:p w14:paraId="2A5959B7">
            <w:pPr>
              <w:pStyle w:val="11"/>
            </w:pPr>
          </w:p>
        </w:tc>
      </w:tr>
      <w:tr w14:paraId="3B02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1B72F">
            <w:pPr>
              <w:pStyle w:val="13"/>
            </w:pPr>
            <w:r>
              <w:t>22</w:t>
            </w:r>
          </w:p>
        </w:tc>
        <w:tc>
          <w:tcPr>
            <w:tcW w:w="4535" w:type="dxa"/>
            <w:vAlign w:val="center"/>
          </w:tcPr>
          <w:p w14:paraId="78C338B9">
            <w:pPr>
              <w:pStyle w:val="12"/>
            </w:pPr>
          </w:p>
        </w:tc>
        <w:tc>
          <w:tcPr>
            <w:tcW w:w="2126" w:type="dxa"/>
            <w:vAlign w:val="center"/>
          </w:tcPr>
          <w:p w14:paraId="75E11D4E">
            <w:pPr>
              <w:pStyle w:val="11"/>
            </w:pPr>
          </w:p>
        </w:tc>
        <w:tc>
          <w:tcPr>
            <w:tcW w:w="4535" w:type="dxa"/>
            <w:vAlign w:val="center"/>
          </w:tcPr>
          <w:p w14:paraId="081F6521">
            <w:pPr>
              <w:pStyle w:val="12"/>
            </w:pPr>
            <w:r>
              <w:t>二十二、国有资本经营预算支出</w:t>
            </w:r>
          </w:p>
        </w:tc>
        <w:tc>
          <w:tcPr>
            <w:tcW w:w="2126" w:type="dxa"/>
            <w:vAlign w:val="center"/>
          </w:tcPr>
          <w:p w14:paraId="16A5F50B">
            <w:pPr>
              <w:pStyle w:val="11"/>
            </w:pPr>
          </w:p>
        </w:tc>
      </w:tr>
      <w:tr w14:paraId="1F66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9EB3E">
            <w:pPr>
              <w:pStyle w:val="13"/>
            </w:pPr>
            <w:r>
              <w:t>23</w:t>
            </w:r>
          </w:p>
        </w:tc>
        <w:tc>
          <w:tcPr>
            <w:tcW w:w="4535" w:type="dxa"/>
            <w:vAlign w:val="center"/>
          </w:tcPr>
          <w:p w14:paraId="203FB023">
            <w:pPr>
              <w:pStyle w:val="12"/>
            </w:pPr>
          </w:p>
        </w:tc>
        <w:tc>
          <w:tcPr>
            <w:tcW w:w="2126" w:type="dxa"/>
            <w:vAlign w:val="center"/>
          </w:tcPr>
          <w:p w14:paraId="5F0DE171">
            <w:pPr>
              <w:pStyle w:val="11"/>
            </w:pPr>
          </w:p>
        </w:tc>
        <w:tc>
          <w:tcPr>
            <w:tcW w:w="4535" w:type="dxa"/>
            <w:vAlign w:val="center"/>
          </w:tcPr>
          <w:p w14:paraId="2C220C61">
            <w:pPr>
              <w:pStyle w:val="12"/>
            </w:pPr>
            <w:r>
              <w:t>二十三、灾害防治及应急管理支出</w:t>
            </w:r>
          </w:p>
        </w:tc>
        <w:tc>
          <w:tcPr>
            <w:tcW w:w="2126" w:type="dxa"/>
            <w:vAlign w:val="center"/>
          </w:tcPr>
          <w:p w14:paraId="3C289D77">
            <w:pPr>
              <w:pStyle w:val="11"/>
            </w:pPr>
          </w:p>
        </w:tc>
      </w:tr>
      <w:tr w14:paraId="5B8E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11C5C">
            <w:pPr>
              <w:pStyle w:val="13"/>
            </w:pPr>
            <w:r>
              <w:t>24</w:t>
            </w:r>
          </w:p>
        </w:tc>
        <w:tc>
          <w:tcPr>
            <w:tcW w:w="4535" w:type="dxa"/>
            <w:vAlign w:val="center"/>
          </w:tcPr>
          <w:p w14:paraId="19835F0E">
            <w:pPr>
              <w:pStyle w:val="12"/>
            </w:pPr>
          </w:p>
        </w:tc>
        <w:tc>
          <w:tcPr>
            <w:tcW w:w="2126" w:type="dxa"/>
            <w:vAlign w:val="center"/>
          </w:tcPr>
          <w:p w14:paraId="3AB84995">
            <w:pPr>
              <w:pStyle w:val="11"/>
            </w:pPr>
          </w:p>
        </w:tc>
        <w:tc>
          <w:tcPr>
            <w:tcW w:w="4535" w:type="dxa"/>
            <w:vAlign w:val="center"/>
          </w:tcPr>
          <w:p w14:paraId="5676407C">
            <w:pPr>
              <w:pStyle w:val="12"/>
            </w:pPr>
            <w:r>
              <w:t>二十四、预备费</w:t>
            </w:r>
          </w:p>
        </w:tc>
        <w:tc>
          <w:tcPr>
            <w:tcW w:w="2126" w:type="dxa"/>
            <w:vAlign w:val="center"/>
          </w:tcPr>
          <w:p w14:paraId="7D43028A">
            <w:pPr>
              <w:pStyle w:val="11"/>
            </w:pPr>
          </w:p>
        </w:tc>
      </w:tr>
      <w:tr w14:paraId="0215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486D">
            <w:pPr>
              <w:pStyle w:val="13"/>
            </w:pPr>
            <w:r>
              <w:t>25</w:t>
            </w:r>
          </w:p>
        </w:tc>
        <w:tc>
          <w:tcPr>
            <w:tcW w:w="4535" w:type="dxa"/>
            <w:vAlign w:val="center"/>
          </w:tcPr>
          <w:p w14:paraId="727405BC">
            <w:pPr>
              <w:pStyle w:val="12"/>
            </w:pPr>
          </w:p>
        </w:tc>
        <w:tc>
          <w:tcPr>
            <w:tcW w:w="2126" w:type="dxa"/>
            <w:vAlign w:val="center"/>
          </w:tcPr>
          <w:p w14:paraId="14BE71E5">
            <w:pPr>
              <w:pStyle w:val="11"/>
            </w:pPr>
          </w:p>
        </w:tc>
        <w:tc>
          <w:tcPr>
            <w:tcW w:w="4535" w:type="dxa"/>
            <w:vAlign w:val="center"/>
          </w:tcPr>
          <w:p w14:paraId="428C5717">
            <w:pPr>
              <w:pStyle w:val="12"/>
            </w:pPr>
            <w:r>
              <w:t>二十五、其他支出</w:t>
            </w:r>
          </w:p>
        </w:tc>
        <w:tc>
          <w:tcPr>
            <w:tcW w:w="2126" w:type="dxa"/>
            <w:vAlign w:val="center"/>
          </w:tcPr>
          <w:p w14:paraId="1068AF9C">
            <w:pPr>
              <w:pStyle w:val="11"/>
            </w:pPr>
          </w:p>
        </w:tc>
      </w:tr>
      <w:tr w14:paraId="01A7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AEB3">
            <w:pPr>
              <w:pStyle w:val="13"/>
            </w:pPr>
            <w:r>
              <w:t>26</w:t>
            </w:r>
          </w:p>
        </w:tc>
        <w:tc>
          <w:tcPr>
            <w:tcW w:w="4535" w:type="dxa"/>
            <w:vAlign w:val="center"/>
          </w:tcPr>
          <w:p w14:paraId="6908A0EC">
            <w:pPr>
              <w:pStyle w:val="12"/>
            </w:pPr>
          </w:p>
        </w:tc>
        <w:tc>
          <w:tcPr>
            <w:tcW w:w="2126" w:type="dxa"/>
            <w:vAlign w:val="center"/>
          </w:tcPr>
          <w:p w14:paraId="0D34241F">
            <w:pPr>
              <w:pStyle w:val="11"/>
            </w:pPr>
          </w:p>
        </w:tc>
        <w:tc>
          <w:tcPr>
            <w:tcW w:w="4535" w:type="dxa"/>
            <w:vAlign w:val="center"/>
          </w:tcPr>
          <w:p w14:paraId="1C5F5BCC">
            <w:pPr>
              <w:pStyle w:val="12"/>
            </w:pPr>
            <w:r>
              <w:t>二十六、转移性支出</w:t>
            </w:r>
          </w:p>
        </w:tc>
        <w:tc>
          <w:tcPr>
            <w:tcW w:w="2126" w:type="dxa"/>
            <w:vAlign w:val="center"/>
          </w:tcPr>
          <w:p w14:paraId="37BC4F8D">
            <w:pPr>
              <w:pStyle w:val="11"/>
            </w:pPr>
          </w:p>
        </w:tc>
      </w:tr>
      <w:tr w14:paraId="3A56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4D52">
            <w:pPr>
              <w:pStyle w:val="13"/>
            </w:pPr>
            <w:r>
              <w:t>27</w:t>
            </w:r>
          </w:p>
        </w:tc>
        <w:tc>
          <w:tcPr>
            <w:tcW w:w="4535" w:type="dxa"/>
            <w:vAlign w:val="center"/>
          </w:tcPr>
          <w:p w14:paraId="5A4542D4">
            <w:pPr>
              <w:pStyle w:val="12"/>
            </w:pPr>
          </w:p>
        </w:tc>
        <w:tc>
          <w:tcPr>
            <w:tcW w:w="2126" w:type="dxa"/>
            <w:vAlign w:val="center"/>
          </w:tcPr>
          <w:p w14:paraId="2459EC70">
            <w:pPr>
              <w:pStyle w:val="11"/>
            </w:pPr>
          </w:p>
        </w:tc>
        <w:tc>
          <w:tcPr>
            <w:tcW w:w="4535" w:type="dxa"/>
            <w:vAlign w:val="center"/>
          </w:tcPr>
          <w:p w14:paraId="17387055">
            <w:pPr>
              <w:pStyle w:val="12"/>
            </w:pPr>
            <w:r>
              <w:t>二十七、债务还本支出</w:t>
            </w:r>
          </w:p>
        </w:tc>
        <w:tc>
          <w:tcPr>
            <w:tcW w:w="2126" w:type="dxa"/>
            <w:vAlign w:val="center"/>
          </w:tcPr>
          <w:p w14:paraId="465C845D">
            <w:pPr>
              <w:pStyle w:val="11"/>
            </w:pPr>
          </w:p>
        </w:tc>
      </w:tr>
      <w:tr w14:paraId="1715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15E4">
            <w:pPr>
              <w:pStyle w:val="13"/>
            </w:pPr>
            <w:r>
              <w:t>28</w:t>
            </w:r>
          </w:p>
        </w:tc>
        <w:tc>
          <w:tcPr>
            <w:tcW w:w="4535" w:type="dxa"/>
            <w:vAlign w:val="center"/>
          </w:tcPr>
          <w:p w14:paraId="049AD347">
            <w:pPr>
              <w:pStyle w:val="12"/>
            </w:pPr>
          </w:p>
        </w:tc>
        <w:tc>
          <w:tcPr>
            <w:tcW w:w="2126" w:type="dxa"/>
            <w:vAlign w:val="center"/>
          </w:tcPr>
          <w:p w14:paraId="46417A11">
            <w:pPr>
              <w:pStyle w:val="11"/>
            </w:pPr>
          </w:p>
        </w:tc>
        <w:tc>
          <w:tcPr>
            <w:tcW w:w="4535" w:type="dxa"/>
            <w:vAlign w:val="center"/>
          </w:tcPr>
          <w:p w14:paraId="6D2B8EE1">
            <w:pPr>
              <w:pStyle w:val="12"/>
            </w:pPr>
            <w:r>
              <w:t>二十八、债务付息支出</w:t>
            </w:r>
          </w:p>
        </w:tc>
        <w:tc>
          <w:tcPr>
            <w:tcW w:w="2126" w:type="dxa"/>
            <w:vAlign w:val="center"/>
          </w:tcPr>
          <w:p w14:paraId="5ABFD645">
            <w:pPr>
              <w:pStyle w:val="11"/>
            </w:pPr>
          </w:p>
        </w:tc>
      </w:tr>
      <w:tr w14:paraId="2FA2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99E97">
            <w:pPr>
              <w:pStyle w:val="13"/>
            </w:pPr>
            <w:r>
              <w:t>29</w:t>
            </w:r>
          </w:p>
        </w:tc>
        <w:tc>
          <w:tcPr>
            <w:tcW w:w="4535" w:type="dxa"/>
            <w:vAlign w:val="center"/>
          </w:tcPr>
          <w:p w14:paraId="2A96406E">
            <w:pPr>
              <w:pStyle w:val="12"/>
            </w:pPr>
          </w:p>
        </w:tc>
        <w:tc>
          <w:tcPr>
            <w:tcW w:w="2126" w:type="dxa"/>
            <w:vAlign w:val="center"/>
          </w:tcPr>
          <w:p w14:paraId="1B5D08B3">
            <w:pPr>
              <w:pStyle w:val="11"/>
            </w:pPr>
          </w:p>
        </w:tc>
        <w:tc>
          <w:tcPr>
            <w:tcW w:w="4535" w:type="dxa"/>
            <w:vAlign w:val="center"/>
          </w:tcPr>
          <w:p w14:paraId="35773AF7">
            <w:pPr>
              <w:pStyle w:val="12"/>
            </w:pPr>
            <w:r>
              <w:t>二十九、债务发行费用支出</w:t>
            </w:r>
          </w:p>
        </w:tc>
        <w:tc>
          <w:tcPr>
            <w:tcW w:w="2126" w:type="dxa"/>
            <w:vAlign w:val="center"/>
          </w:tcPr>
          <w:p w14:paraId="4097C170">
            <w:pPr>
              <w:pStyle w:val="11"/>
            </w:pPr>
          </w:p>
        </w:tc>
      </w:tr>
      <w:tr w14:paraId="77CE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93E02">
            <w:pPr>
              <w:pStyle w:val="13"/>
            </w:pPr>
            <w:r>
              <w:t>30</w:t>
            </w:r>
          </w:p>
        </w:tc>
        <w:tc>
          <w:tcPr>
            <w:tcW w:w="4535" w:type="dxa"/>
            <w:vAlign w:val="center"/>
          </w:tcPr>
          <w:p w14:paraId="2A27EB13">
            <w:pPr>
              <w:pStyle w:val="12"/>
            </w:pPr>
          </w:p>
        </w:tc>
        <w:tc>
          <w:tcPr>
            <w:tcW w:w="2126" w:type="dxa"/>
            <w:vAlign w:val="center"/>
          </w:tcPr>
          <w:p w14:paraId="1F80C2B9">
            <w:pPr>
              <w:pStyle w:val="11"/>
            </w:pPr>
          </w:p>
        </w:tc>
        <w:tc>
          <w:tcPr>
            <w:tcW w:w="4535" w:type="dxa"/>
            <w:vAlign w:val="center"/>
          </w:tcPr>
          <w:p w14:paraId="15D5DCE8">
            <w:pPr>
              <w:pStyle w:val="12"/>
            </w:pPr>
            <w:r>
              <w:t>三十、抗疫特别国债安排的支出</w:t>
            </w:r>
          </w:p>
        </w:tc>
        <w:tc>
          <w:tcPr>
            <w:tcW w:w="2126" w:type="dxa"/>
            <w:vAlign w:val="center"/>
          </w:tcPr>
          <w:p w14:paraId="5E4720BB">
            <w:pPr>
              <w:pStyle w:val="11"/>
            </w:pPr>
          </w:p>
        </w:tc>
      </w:tr>
      <w:tr w14:paraId="41B1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34CBC">
            <w:pPr>
              <w:pStyle w:val="13"/>
            </w:pPr>
            <w:r>
              <w:t>31</w:t>
            </w:r>
          </w:p>
        </w:tc>
        <w:tc>
          <w:tcPr>
            <w:tcW w:w="4535" w:type="dxa"/>
            <w:vAlign w:val="center"/>
          </w:tcPr>
          <w:p w14:paraId="05F1F276">
            <w:pPr>
              <w:pStyle w:val="14"/>
            </w:pPr>
            <w:r>
              <w:t>本年收入合计</w:t>
            </w:r>
          </w:p>
        </w:tc>
        <w:tc>
          <w:tcPr>
            <w:tcW w:w="2126" w:type="dxa"/>
            <w:vAlign w:val="center"/>
          </w:tcPr>
          <w:p w14:paraId="07B9CEC6">
            <w:pPr>
              <w:pStyle w:val="15"/>
            </w:pPr>
            <w:r>
              <w:t>3787.88</w:t>
            </w:r>
          </w:p>
        </w:tc>
        <w:tc>
          <w:tcPr>
            <w:tcW w:w="4535" w:type="dxa"/>
            <w:vAlign w:val="center"/>
          </w:tcPr>
          <w:p w14:paraId="05F9C19C">
            <w:pPr>
              <w:pStyle w:val="14"/>
            </w:pPr>
            <w:r>
              <w:t>本年支出合计</w:t>
            </w:r>
          </w:p>
        </w:tc>
        <w:tc>
          <w:tcPr>
            <w:tcW w:w="2126" w:type="dxa"/>
            <w:vAlign w:val="center"/>
          </w:tcPr>
          <w:p w14:paraId="3072A9A5">
            <w:pPr>
              <w:pStyle w:val="15"/>
            </w:pPr>
            <w:r>
              <w:t>4078.47</w:t>
            </w:r>
          </w:p>
        </w:tc>
      </w:tr>
      <w:tr w14:paraId="3499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75C27">
            <w:pPr>
              <w:pStyle w:val="13"/>
            </w:pPr>
            <w:r>
              <w:t>32</w:t>
            </w:r>
          </w:p>
        </w:tc>
        <w:tc>
          <w:tcPr>
            <w:tcW w:w="4535" w:type="dxa"/>
            <w:vAlign w:val="center"/>
          </w:tcPr>
          <w:p w14:paraId="01B9B72A">
            <w:pPr>
              <w:pStyle w:val="12"/>
            </w:pPr>
            <w:r>
              <w:t>上年结转结余</w:t>
            </w:r>
          </w:p>
        </w:tc>
        <w:tc>
          <w:tcPr>
            <w:tcW w:w="2126" w:type="dxa"/>
            <w:vAlign w:val="center"/>
          </w:tcPr>
          <w:p w14:paraId="121EF153">
            <w:pPr>
              <w:pStyle w:val="11"/>
            </w:pPr>
          </w:p>
        </w:tc>
        <w:tc>
          <w:tcPr>
            <w:tcW w:w="4535" w:type="dxa"/>
            <w:vAlign w:val="center"/>
          </w:tcPr>
          <w:p w14:paraId="4BDAA586">
            <w:pPr>
              <w:pStyle w:val="12"/>
            </w:pPr>
            <w:r>
              <w:t>年终结转结余</w:t>
            </w:r>
          </w:p>
        </w:tc>
        <w:tc>
          <w:tcPr>
            <w:tcW w:w="2126" w:type="dxa"/>
            <w:vAlign w:val="center"/>
          </w:tcPr>
          <w:p w14:paraId="731DC61B">
            <w:pPr>
              <w:pStyle w:val="11"/>
            </w:pPr>
            <w:r>
              <w:t>-290.60</w:t>
            </w:r>
          </w:p>
        </w:tc>
      </w:tr>
      <w:tr w14:paraId="36B1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F6FB">
            <w:pPr>
              <w:pStyle w:val="13"/>
            </w:pPr>
            <w:r>
              <w:t>33</w:t>
            </w:r>
          </w:p>
        </w:tc>
        <w:tc>
          <w:tcPr>
            <w:tcW w:w="4535" w:type="dxa"/>
            <w:vAlign w:val="center"/>
          </w:tcPr>
          <w:p w14:paraId="161CEC55">
            <w:pPr>
              <w:pStyle w:val="14"/>
            </w:pPr>
            <w:r>
              <w:t>收入总计</w:t>
            </w:r>
          </w:p>
        </w:tc>
        <w:tc>
          <w:tcPr>
            <w:tcW w:w="2126" w:type="dxa"/>
            <w:vAlign w:val="center"/>
          </w:tcPr>
          <w:p w14:paraId="267C6EA3">
            <w:pPr>
              <w:pStyle w:val="15"/>
            </w:pPr>
            <w:r>
              <w:t>3787.88</w:t>
            </w:r>
          </w:p>
        </w:tc>
        <w:tc>
          <w:tcPr>
            <w:tcW w:w="4535" w:type="dxa"/>
            <w:vAlign w:val="center"/>
          </w:tcPr>
          <w:p w14:paraId="07DDC268">
            <w:pPr>
              <w:pStyle w:val="14"/>
            </w:pPr>
            <w:r>
              <w:t>支出总计</w:t>
            </w:r>
          </w:p>
        </w:tc>
        <w:tc>
          <w:tcPr>
            <w:tcW w:w="2126" w:type="dxa"/>
            <w:vAlign w:val="center"/>
          </w:tcPr>
          <w:p w14:paraId="26D805D0">
            <w:pPr>
              <w:pStyle w:val="15"/>
            </w:pPr>
            <w:r>
              <w:t>3787.88</w:t>
            </w:r>
          </w:p>
        </w:tc>
      </w:tr>
    </w:tbl>
    <w:p w14:paraId="65AAAA0F">
      <w:pPr>
        <w:sectPr>
          <w:pgSz w:w="16840" w:h="11900" w:orient="landscape"/>
          <w:pgMar w:top="1361" w:right="1020" w:bottom="1134" w:left="1020" w:header="720" w:footer="720" w:gutter="0"/>
          <w:cols w:space="720" w:num="1"/>
        </w:sectPr>
      </w:pPr>
    </w:p>
    <w:p w14:paraId="579B04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5D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1DD27C">
            <w:pPr>
              <w:pStyle w:val="9"/>
            </w:pPr>
            <w:r>
              <w:t>360015隆尧县职业技术教育中心</w:t>
            </w:r>
          </w:p>
        </w:tc>
        <w:tc>
          <w:tcPr>
            <w:tcW w:w="3402" w:type="dxa"/>
            <w:gridSpan w:val="3"/>
            <w:tcBorders>
              <w:top w:val="single" w:color="FFFFFF" w:sz="6" w:space="0"/>
              <w:left w:val="single" w:color="FFFFFF" w:sz="6" w:space="0"/>
              <w:right w:val="single" w:color="FFFFFF" w:sz="6" w:space="0"/>
            </w:tcBorders>
            <w:vAlign w:val="center"/>
          </w:tcPr>
          <w:p w14:paraId="523E7CE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283ED55">
            <w:pPr>
              <w:pStyle w:val="7"/>
            </w:pPr>
            <w:r>
              <w:t>单位：万元</w:t>
            </w:r>
          </w:p>
        </w:tc>
      </w:tr>
      <w:tr w14:paraId="309B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AB704B">
            <w:pPr>
              <w:pStyle w:val="10"/>
            </w:pPr>
            <w:r>
              <w:t>序号</w:t>
            </w:r>
          </w:p>
        </w:tc>
        <w:tc>
          <w:tcPr>
            <w:tcW w:w="2551" w:type="dxa"/>
            <w:gridSpan w:val="2"/>
            <w:vAlign w:val="center"/>
          </w:tcPr>
          <w:p w14:paraId="285C1531">
            <w:pPr>
              <w:pStyle w:val="10"/>
            </w:pPr>
            <w:r>
              <w:t>功能分类科目</w:t>
            </w:r>
          </w:p>
        </w:tc>
        <w:tc>
          <w:tcPr>
            <w:tcW w:w="1134" w:type="dxa"/>
            <w:vMerge w:val="restart"/>
            <w:vAlign w:val="center"/>
          </w:tcPr>
          <w:p w14:paraId="41A6BC06">
            <w:pPr>
              <w:pStyle w:val="10"/>
            </w:pPr>
            <w:r>
              <w:t>合计</w:t>
            </w:r>
          </w:p>
        </w:tc>
        <w:tc>
          <w:tcPr>
            <w:tcW w:w="9072" w:type="dxa"/>
            <w:gridSpan w:val="8"/>
            <w:vAlign w:val="center"/>
          </w:tcPr>
          <w:p w14:paraId="0EB38C98">
            <w:pPr>
              <w:pStyle w:val="10"/>
            </w:pPr>
            <w:r>
              <w:t>本年收入</w:t>
            </w:r>
          </w:p>
        </w:tc>
        <w:tc>
          <w:tcPr>
            <w:tcW w:w="1134" w:type="dxa"/>
            <w:vMerge w:val="restart"/>
            <w:vAlign w:val="center"/>
          </w:tcPr>
          <w:p w14:paraId="216D8E03">
            <w:pPr>
              <w:pStyle w:val="10"/>
            </w:pPr>
            <w:r>
              <w:t>上年结转</w:t>
            </w:r>
          </w:p>
        </w:tc>
      </w:tr>
      <w:tr w14:paraId="0BEC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11A0C1"/>
        </w:tc>
        <w:tc>
          <w:tcPr>
            <w:tcW w:w="992" w:type="dxa"/>
            <w:vAlign w:val="center"/>
          </w:tcPr>
          <w:p w14:paraId="50898445">
            <w:pPr>
              <w:pStyle w:val="10"/>
            </w:pPr>
            <w:r>
              <w:t>科目    编码</w:t>
            </w:r>
          </w:p>
        </w:tc>
        <w:tc>
          <w:tcPr>
            <w:tcW w:w="1559" w:type="dxa"/>
            <w:vAlign w:val="center"/>
          </w:tcPr>
          <w:p w14:paraId="7159A5A1">
            <w:pPr>
              <w:pStyle w:val="10"/>
            </w:pPr>
            <w:r>
              <w:t>科目名称</w:t>
            </w:r>
          </w:p>
        </w:tc>
        <w:tc>
          <w:tcPr>
            <w:tcW w:w="1134" w:type="dxa"/>
            <w:vMerge w:val="continue"/>
          </w:tcPr>
          <w:p w14:paraId="05BCBB26"/>
        </w:tc>
        <w:tc>
          <w:tcPr>
            <w:tcW w:w="1134" w:type="dxa"/>
            <w:vAlign w:val="center"/>
          </w:tcPr>
          <w:p w14:paraId="3DDFD843">
            <w:pPr>
              <w:pStyle w:val="10"/>
            </w:pPr>
            <w:r>
              <w:t>小计</w:t>
            </w:r>
          </w:p>
        </w:tc>
        <w:tc>
          <w:tcPr>
            <w:tcW w:w="1134" w:type="dxa"/>
            <w:vAlign w:val="center"/>
          </w:tcPr>
          <w:p w14:paraId="2B38E1A6">
            <w:pPr>
              <w:pStyle w:val="10"/>
            </w:pPr>
            <w:r>
              <w:t>财政拨款 收入</w:t>
            </w:r>
          </w:p>
        </w:tc>
        <w:tc>
          <w:tcPr>
            <w:tcW w:w="1134" w:type="dxa"/>
            <w:vAlign w:val="center"/>
          </w:tcPr>
          <w:p w14:paraId="11DA0CC3">
            <w:pPr>
              <w:pStyle w:val="10"/>
            </w:pPr>
            <w:r>
              <w:t>财政专户 收入</w:t>
            </w:r>
          </w:p>
        </w:tc>
        <w:tc>
          <w:tcPr>
            <w:tcW w:w="1134" w:type="dxa"/>
            <w:vAlign w:val="center"/>
          </w:tcPr>
          <w:p w14:paraId="375986A9">
            <w:pPr>
              <w:pStyle w:val="10"/>
            </w:pPr>
            <w:r>
              <w:t>事业收入</w:t>
            </w:r>
          </w:p>
        </w:tc>
        <w:tc>
          <w:tcPr>
            <w:tcW w:w="1134" w:type="dxa"/>
            <w:vAlign w:val="center"/>
          </w:tcPr>
          <w:p w14:paraId="6B255C17">
            <w:pPr>
              <w:pStyle w:val="10"/>
            </w:pPr>
            <w:r>
              <w:t>经营收入</w:t>
            </w:r>
          </w:p>
        </w:tc>
        <w:tc>
          <w:tcPr>
            <w:tcW w:w="1134" w:type="dxa"/>
            <w:vAlign w:val="center"/>
          </w:tcPr>
          <w:p w14:paraId="240E36D3">
            <w:pPr>
              <w:pStyle w:val="10"/>
            </w:pPr>
            <w:r>
              <w:t>上级补助收入</w:t>
            </w:r>
          </w:p>
        </w:tc>
        <w:tc>
          <w:tcPr>
            <w:tcW w:w="1134" w:type="dxa"/>
            <w:vAlign w:val="center"/>
          </w:tcPr>
          <w:p w14:paraId="28A2726A">
            <w:pPr>
              <w:pStyle w:val="10"/>
            </w:pPr>
            <w:r>
              <w:t>附属单位上缴收入</w:t>
            </w:r>
          </w:p>
        </w:tc>
        <w:tc>
          <w:tcPr>
            <w:tcW w:w="1134" w:type="dxa"/>
            <w:vAlign w:val="center"/>
          </w:tcPr>
          <w:p w14:paraId="7992CB5E">
            <w:pPr>
              <w:pStyle w:val="10"/>
            </w:pPr>
            <w:r>
              <w:t>其他收入</w:t>
            </w:r>
          </w:p>
        </w:tc>
        <w:tc>
          <w:tcPr>
            <w:tcW w:w="1134" w:type="dxa"/>
            <w:vMerge w:val="continue"/>
          </w:tcPr>
          <w:p w14:paraId="3419B724"/>
        </w:tc>
      </w:tr>
      <w:tr w14:paraId="5015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F807E6">
            <w:pPr>
              <w:pStyle w:val="10"/>
            </w:pPr>
            <w:r>
              <w:t>栏次</w:t>
            </w:r>
          </w:p>
        </w:tc>
        <w:tc>
          <w:tcPr>
            <w:tcW w:w="992" w:type="dxa"/>
            <w:vAlign w:val="center"/>
          </w:tcPr>
          <w:p w14:paraId="471D4114">
            <w:pPr>
              <w:pStyle w:val="10"/>
            </w:pPr>
            <w:r>
              <w:t>1</w:t>
            </w:r>
          </w:p>
        </w:tc>
        <w:tc>
          <w:tcPr>
            <w:tcW w:w="1559" w:type="dxa"/>
            <w:vAlign w:val="center"/>
          </w:tcPr>
          <w:p w14:paraId="6D25150A">
            <w:pPr>
              <w:pStyle w:val="10"/>
            </w:pPr>
            <w:r>
              <w:t>2</w:t>
            </w:r>
          </w:p>
        </w:tc>
        <w:tc>
          <w:tcPr>
            <w:tcW w:w="1134" w:type="dxa"/>
            <w:vAlign w:val="center"/>
          </w:tcPr>
          <w:p w14:paraId="605A6998">
            <w:pPr>
              <w:pStyle w:val="10"/>
            </w:pPr>
            <w:r>
              <w:t>3</w:t>
            </w:r>
          </w:p>
        </w:tc>
        <w:tc>
          <w:tcPr>
            <w:tcW w:w="1134" w:type="dxa"/>
            <w:vAlign w:val="center"/>
          </w:tcPr>
          <w:p w14:paraId="5AED1719">
            <w:pPr>
              <w:pStyle w:val="10"/>
            </w:pPr>
            <w:r>
              <w:t>4</w:t>
            </w:r>
          </w:p>
        </w:tc>
        <w:tc>
          <w:tcPr>
            <w:tcW w:w="1134" w:type="dxa"/>
            <w:vAlign w:val="center"/>
          </w:tcPr>
          <w:p w14:paraId="1996CCC0">
            <w:pPr>
              <w:pStyle w:val="10"/>
            </w:pPr>
            <w:r>
              <w:t>5</w:t>
            </w:r>
          </w:p>
        </w:tc>
        <w:tc>
          <w:tcPr>
            <w:tcW w:w="1134" w:type="dxa"/>
            <w:vAlign w:val="center"/>
          </w:tcPr>
          <w:p w14:paraId="1E27C9A8">
            <w:pPr>
              <w:pStyle w:val="10"/>
            </w:pPr>
            <w:r>
              <w:t>6</w:t>
            </w:r>
          </w:p>
        </w:tc>
        <w:tc>
          <w:tcPr>
            <w:tcW w:w="1134" w:type="dxa"/>
            <w:vAlign w:val="center"/>
          </w:tcPr>
          <w:p w14:paraId="7980D636">
            <w:pPr>
              <w:pStyle w:val="10"/>
            </w:pPr>
            <w:r>
              <w:t>7</w:t>
            </w:r>
          </w:p>
        </w:tc>
        <w:tc>
          <w:tcPr>
            <w:tcW w:w="1134" w:type="dxa"/>
            <w:vAlign w:val="center"/>
          </w:tcPr>
          <w:p w14:paraId="12561D01">
            <w:pPr>
              <w:pStyle w:val="10"/>
            </w:pPr>
            <w:r>
              <w:t>8</w:t>
            </w:r>
          </w:p>
        </w:tc>
        <w:tc>
          <w:tcPr>
            <w:tcW w:w="1134" w:type="dxa"/>
            <w:vAlign w:val="center"/>
          </w:tcPr>
          <w:p w14:paraId="2D5C84B6">
            <w:pPr>
              <w:pStyle w:val="10"/>
            </w:pPr>
            <w:r>
              <w:t>9</w:t>
            </w:r>
          </w:p>
        </w:tc>
        <w:tc>
          <w:tcPr>
            <w:tcW w:w="1134" w:type="dxa"/>
            <w:vAlign w:val="center"/>
          </w:tcPr>
          <w:p w14:paraId="0891EB4C">
            <w:pPr>
              <w:pStyle w:val="10"/>
            </w:pPr>
            <w:r>
              <w:t>10</w:t>
            </w:r>
          </w:p>
        </w:tc>
        <w:tc>
          <w:tcPr>
            <w:tcW w:w="1134" w:type="dxa"/>
            <w:vAlign w:val="center"/>
          </w:tcPr>
          <w:p w14:paraId="6547402B">
            <w:pPr>
              <w:pStyle w:val="10"/>
            </w:pPr>
            <w:r>
              <w:t>11</w:t>
            </w:r>
          </w:p>
        </w:tc>
        <w:tc>
          <w:tcPr>
            <w:tcW w:w="1134" w:type="dxa"/>
            <w:vAlign w:val="center"/>
          </w:tcPr>
          <w:p w14:paraId="0674EABB">
            <w:pPr>
              <w:pStyle w:val="10"/>
            </w:pPr>
            <w:r>
              <w:t>12</w:t>
            </w:r>
          </w:p>
        </w:tc>
      </w:tr>
      <w:tr w14:paraId="23B9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CDC8E">
            <w:pPr>
              <w:pStyle w:val="13"/>
            </w:pPr>
            <w:r>
              <w:t>1</w:t>
            </w:r>
          </w:p>
        </w:tc>
        <w:tc>
          <w:tcPr>
            <w:tcW w:w="992" w:type="dxa"/>
            <w:vAlign w:val="center"/>
          </w:tcPr>
          <w:p w14:paraId="0666DB7C">
            <w:pPr>
              <w:pStyle w:val="16"/>
            </w:pPr>
          </w:p>
        </w:tc>
        <w:tc>
          <w:tcPr>
            <w:tcW w:w="1559" w:type="dxa"/>
            <w:vAlign w:val="center"/>
          </w:tcPr>
          <w:p w14:paraId="1B93171D">
            <w:pPr>
              <w:pStyle w:val="14"/>
            </w:pPr>
            <w:r>
              <w:t>合计</w:t>
            </w:r>
          </w:p>
        </w:tc>
        <w:tc>
          <w:tcPr>
            <w:tcW w:w="1134" w:type="dxa"/>
            <w:vAlign w:val="center"/>
          </w:tcPr>
          <w:p w14:paraId="0F0AC3F4">
            <w:pPr>
              <w:pStyle w:val="15"/>
            </w:pPr>
            <w:r>
              <w:t>4078.47</w:t>
            </w:r>
          </w:p>
        </w:tc>
        <w:tc>
          <w:tcPr>
            <w:tcW w:w="1134" w:type="dxa"/>
            <w:vAlign w:val="center"/>
          </w:tcPr>
          <w:p w14:paraId="5D4DDDEE">
            <w:pPr>
              <w:pStyle w:val="15"/>
            </w:pPr>
            <w:r>
              <w:t>4078.47</w:t>
            </w:r>
          </w:p>
        </w:tc>
        <w:tc>
          <w:tcPr>
            <w:tcW w:w="1134" w:type="dxa"/>
            <w:vAlign w:val="center"/>
          </w:tcPr>
          <w:p w14:paraId="418FF69F">
            <w:pPr>
              <w:pStyle w:val="15"/>
            </w:pPr>
            <w:r>
              <w:t>3787.88</w:t>
            </w:r>
          </w:p>
        </w:tc>
        <w:tc>
          <w:tcPr>
            <w:tcW w:w="1134" w:type="dxa"/>
            <w:vAlign w:val="center"/>
          </w:tcPr>
          <w:p w14:paraId="017805C7">
            <w:pPr>
              <w:pStyle w:val="15"/>
            </w:pPr>
            <w:r>
              <w:t>290.60</w:t>
            </w:r>
          </w:p>
        </w:tc>
        <w:tc>
          <w:tcPr>
            <w:tcW w:w="1134" w:type="dxa"/>
            <w:vAlign w:val="center"/>
          </w:tcPr>
          <w:p w14:paraId="0401513C">
            <w:pPr>
              <w:pStyle w:val="15"/>
            </w:pPr>
          </w:p>
        </w:tc>
        <w:tc>
          <w:tcPr>
            <w:tcW w:w="1134" w:type="dxa"/>
            <w:vAlign w:val="center"/>
          </w:tcPr>
          <w:p w14:paraId="4E7C0FB1">
            <w:pPr>
              <w:pStyle w:val="15"/>
            </w:pPr>
          </w:p>
        </w:tc>
        <w:tc>
          <w:tcPr>
            <w:tcW w:w="1134" w:type="dxa"/>
            <w:vAlign w:val="center"/>
          </w:tcPr>
          <w:p w14:paraId="08E720DC">
            <w:pPr>
              <w:pStyle w:val="15"/>
            </w:pPr>
          </w:p>
        </w:tc>
        <w:tc>
          <w:tcPr>
            <w:tcW w:w="1134" w:type="dxa"/>
            <w:vAlign w:val="center"/>
          </w:tcPr>
          <w:p w14:paraId="366DCB4D">
            <w:pPr>
              <w:pStyle w:val="15"/>
            </w:pPr>
          </w:p>
        </w:tc>
        <w:tc>
          <w:tcPr>
            <w:tcW w:w="1134" w:type="dxa"/>
            <w:vAlign w:val="center"/>
          </w:tcPr>
          <w:p w14:paraId="4086B204">
            <w:pPr>
              <w:pStyle w:val="15"/>
            </w:pPr>
          </w:p>
        </w:tc>
        <w:tc>
          <w:tcPr>
            <w:tcW w:w="1134" w:type="dxa"/>
            <w:vAlign w:val="center"/>
          </w:tcPr>
          <w:p w14:paraId="49615521">
            <w:pPr>
              <w:pStyle w:val="15"/>
            </w:pPr>
          </w:p>
        </w:tc>
      </w:tr>
      <w:tr w14:paraId="6F93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7F79C">
            <w:pPr>
              <w:pStyle w:val="13"/>
            </w:pPr>
            <w:r>
              <w:t>2</w:t>
            </w:r>
          </w:p>
        </w:tc>
        <w:tc>
          <w:tcPr>
            <w:tcW w:w="992" w:type="dxa"/>
            <w:vAlign w:val="center"/>
          </w:tcPr>
          <w:p w14:paraId="6052F90A">
            <w:pPr>
              <w:pStyle w:val="12"/>
            </w:pPr>
            <w:r>
              <w:t>205</w:t>
            </w:r>
          </w:p>
        </w:tc>
        <w:tc>
          <w:tcPr>
            <w:tcW w:w="1559" w:type="dxa"/>
            <w:vAlign w:val="center"/>
          </w:tcPr>
          <w:p w14:paraId="40ABE406">
            <w:pPr>
              <w:pStyle w:val="12"/>
            </w:pPr>
            <w:r>
              <w:t>教育支出</w:t>
            </w:r>
          </w:p>
        </w:tc>
        <w:tc>
          <w:tcPr>
            <w:tcW w:w="1134" w:type="dxa"/>
            <w:vAlign w:val="center"/>
          </w:tcPr>
          <w:p w14:paraId="02BBDB99">
            <w:pPr>
              <w:pStyle w:val="11"/>
            </w:pPr>
            <w:r>
              <w:t>4078.47</w:t>
            </w:r>
          </w:p>
        </w:tc>
        <w:tc>
          <w:tcPr>
            <w:tcW w:w="1134" w:type="dxa"/>
            <w:vAlign w:val="center"/>
          </w:tcPr>
          <w:p w14:paraId="67E95F49">
            <w:pPr>
              <w:pStyle w:val="11"/>
            </w:pPr>
            <w:r>
              <w:t>4078.47</w:t>
            </w:r>
          </w:p>
        </w:tc>
        <w:tc>
          <w:tcPr>
            <w:tcW w:w="1134" w:type="dxa"/>
            <w:vAlign w:val="center"/>
          </w:tcPr>
          <w:p w14:paraId="246F28E5">
            <w:pPr>
              <w:pStyle w:val="11"/>
            </w:pPr>
            <w:r>
              <w:t>3787.88</w:t>
            </w:r>
          </w:p>
        </w:tc>
        <w:tc>
          <w:tcPr>
            <w:tcW w:w="1134" w:type="dxa"/>
            <w:vAlign w:val="center"/>
          </w:tcPr>
          <w:p w14:paraId="5F73809D">
            <w:pPr>
              <w:pStyle w:val="11"/>
            </w:pPr>
            <w:r>
              <w:t>290.60</w:t>
            </w:r>
          </w:p>
        </w:tc>
        <w:tc>
          <w:tcPr>
            <w:tcW w:w="1134" w:type="dxa"/>
            <w:vAlign w:val="center"/>
          </w:tcPr>
          <w:p w14:paraId="1E50B241">
            <w:pPr>
              <w:pStyle w:val="11"/>
            </w:pPr>
          </w:p>
        </w:tc>
        <w:tc>
          <w:tcPr>
            <w:tcW w:w="1134" w:type="dxa"/>
            <w:vAlign w:val="center"/>
          </w:tcPr>
          <w:p w14:paraId="4323C9D1">
            <w:pPr>
              <w:pStyle w:val="11"/>
            </w:pPr>
          </w:p>
        </w:tc>
        <w:tc>
          <w:tcPr>
            <w:tcW w:w="1134" w:type="dxa"/>
            <w:vAlign w:val="center"/>
          </w:tcPr>
          <w:p w14:paraId="7821053F">
            <w:pPr>
              <w:pStyle w:val="11"/>
            </w:pPr>
          </w:p>
        </w:tc>
        <w:tc>
          <w:tcPr>
            <w:tcW w:w="1134" w:type="dxa"/>
            <w:vAlign w:val="center"/>
          </w:tcPr>
          <w:p w14:paraId="5656131B">
            <w:pPr>
              <w:pStyle w:val="11"/>
            </w:pPr>
          </w:p>
        </w:tc>
        <w:tc>
          <w:tcPr>
            <w:tcW w:w="1134" w:type="dxa"/>
            <w:vAlign w:val="center"/>
          </w:tcPr>
          <w:p w14:paraId="4F4FFC37">
            <w:pPr>
              <w:pStyle w:val="11"/>
            </w:pPr>
          </w:p>
        </w:tc>
        <w:tc>
          <w:tcPr>
            <w:tcW w:w="1134" w:type="dxa"/>
            <w:vAlign w:val="center"/>
          </w:tcPr>
          <w:p w14:paraId="29910997">
            <w:pPr>
              <w:pStyle w:val="11"/>
            </w:pPr>
          </w:p>
        </w:tc>
      </w:tr>
      <w:tr w14:paraId="5AF7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4CFAF">
            <w:pPr>
              <w:pStyle w:val="13"/>
            </w:pPr>
            <w:r>
              <w:t>3</w:t>
            </w:r>
          </w:p>
        </w:tc>
        <w:tc>
          <w:tcPr>
            <w:tcW w:w="992" w:type="dxa"/>
            <w:vAlign w:val="center"/>
          </w:tcPr>
          <w:p w14:paraId="5898CD58">
            <w:pPr>
              <w:pStyle w:val="12"/>
            </w:pPr>
            <w:r>
              <w:t>20502</w:t>
            </w:r>
          </w:p>
        </w:tc>
        <w:tc>
          <w:tcPr>
            <w:tcW w:w="1559" w:type="dxa"/>
            <w:vAlign w:val="center"/>
          </w:tcPr>
          <w:p w14:paraId="1A5CB91B">
            <w:pPr>
              <w:pStyle w:val="12"/>
            </w:pPr>
            <w:r>
              <w:t>普通教育</w:t>
            </w:r>
          </w:p>
        </w:tc>
        <w:tc>
          <w:tcPr>
            <w:tcW w:w="1134" w:type="dxa"/>
            <w:vAlign w:val="center"/>
          </w:tcPr>
          <w:p w14:paraId="042AD6B8">
            <w:pPr>
              <w:pStyle w:val="11"/>
            </w:pPr>
            <w:r>
              <w:t>691.80</w:t>
            </w:r>
          </w:p>
        </w:tc>
        <w:tc>
          <w:tcPr>
            <w:tcW w:w="1134" w:type="dxa"/>
            <w:vAlign w:val="center"/>
          </w:tcPr>
          <w:p w14:paraId="388D7ED7">
            <w:pPr>
              <w:pStyle w:val="11"/>
            </w:pPr>
            <w:r>
              <w:t>691.80</w:t>
            </w:r>
          </w:p>
        </w:tc>
        <w:tc>
          <w:tcPr>
            <w:tcW w:w="1134" w:type="dxa"/>
            <w:vAlign w:val="center"/>
          </w:tcPr>
          <w:p w14:paraId="316673EB">
            <w:pPr>
              <w:pStyle w:val="11"/>
            </w:pPr>
            <w:r>
              <w:t>527.86</w:t>
            </w:r>
          </w:p>
        </w:tc>
        <w:tc>
          <w:tcPr>
            <w:tcW w:w="1134" w:type="dxa"/>
            <w:vAlign w:val="center"/>
          </w:tcPr>
          <w:p w14:paraId="1D9DFE50">
            <w:pPr>
              <w:pStyle w:val="11"/>
            </w:pPr>
            <w:r>
              <w:t>163.94</w:t>
            </w:r>
          </w:p>
        </w:tc>
        <w:tc>
          <w:tcPr>
            <w:tcW w:w="1134" w:type="dxa"/>
            <w:vAlign w:val="center"/>
          </w:tcPr>
          <w:p w14:paraId="5EDA8DD0">
            <w:pPr>
              <w:pStyle w:val="11"/>
            </w:pPr>
          </w:p>
        </w:tc>
        <w:tc>
          <w:tcPr>
            <w:tcW w:w="1134" w:type="dxa"/>
            <w:vAlign w:val="center"/>
          </w:tcPr>
          <w:p w14:paraId="3F0DB8AD">
            <w:pPr>
              <w:pStyle w:val="11"/>
            </w:pPr>
          </w:p>
        </w:tc>
        <w:tc>
          <w:tcPr>
            <w:tcW w:w="1134" w:type="dxa"/>
            <w:vAlign w:val="center"/>
          </w:tcPr>
          <w:p w14:paraId="79B5F290">
            <w:pPr>
              <w:pStyle w:val="11"/>
            </w:pPr>
          </w:p>
        </w:tc>
        <w:tc>
          <w:tcPr>
            <w:tcW w:w="1134" w:type="dxa"/>
            <w:vAlign w:val="center"/>
          </w:tcPr>
          <w:p w14:paraId="204F845F">
            <w:pPr>
              <w:pStyle w:val="11"/>
            </w:pPr>
          </w:p>
        </w:tc>
        <w:tc>
          <w:tcPr>
            <w:tcW w:w="1134" w:type="dxa"/>
            <w:vAlign w:val="center"/>
          </w:tcPr>
          <w:p w14:paraId="67F9A59B">
            <w:pPr>
              <w:pStyle w:val="11"/>
            </w:pPr>
          </w:p>
        </w:tc>
        <w:tc>
          <w:tcPr>
            <w:tcW w:w="1134" w:type="dxa"/>
            <w:vAlign w:val="center"/>
          </w:tcPr>
          <w:p w14:paraId="2DDFF6AD">
            <w:pPr>
              <w:pStyle w:val="11"/>
            </w:pPr>
          </w:p>
        </w:tc>
      </w:tr>
      <w:tr w14:paraId="1366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7F736">
            <w:pPr>
              <w:pStyle w:val="13"/>
            </w:pPr>
            <w:r>
              <w:t>4</w:t>
            </w:r>
          </w:p>
        </w:tc>
        <w:tc>
          <w:tcPr>
            <w:tcW w:w="992" w:type="dxa"/>
            <w:vAlign w:val="center"/>
          </w:tcPr>
          <w:p w14:paraId="1A765DDE">
            <w:pPr>
              <w:pStyle w:val="12"/>
            </w:pPr>
            <w:r>
              <w:t>2050204</w:t>
            </w:r>
          </w:p>
        </w:tc>
        <w:tc>
          <w:tcPr>
            <w:tcW w:w="1559" w:type="dxa"/>
            <w:vAlign w:val="center"/>
          </w:tcPr>
          <w:p w14:paraId="788A3A8A">
            <w:pPr>
              <w:pStyle w:val="12"/>
            </w:pPr>
            <w:r>
              <w:t>高中教育</w:t>
            </w:r>
          </w:p>
        </w:tc>
        <w:tc>
          <w:tcPr>
            <w:tcW w:w="1134" w:type="dxa"/>
            <w:vAlign w:val="center"/>
          </w:tcPr>
          <w:p w14:paraId="399BF012">
            <w:pPr>
              <w:pStyle w:val="11"/>
            </w:pPr>
            <w:r>
              <w:t>691.80</w:t>
            </w:r>
          </w:p>
        </w:tc>
        <w:tc>
          <w:tcPr>
            <w:tcW w:w="1134" w:type="dxa"/>
            <w:vAlign w:val="center"/>
          </w:tcPr>
          <w:p w14:paraId="31B75844">
            <w:pPr>
              <w:pStyle w:val="11"/>
            </w:pPr>
            <w:r>
              <w:t>691.80</w:t>
            </w:r>
          </w:p>
        </w:tc>
        <w:tc>
          <w:tcPr>
            <w:tcW w:w="1134" w:type="dxa"/>
            <w:vAlign w:val="center"/>
          </w:tcPr>
          <w:p w14:paraId="788ADCA9">
            <w:pPr>
              <w:pStyle w:val="11"/>
            </w:pPr>
            <w:r>
              <w:t>527.86</w:t>
            </w:r>
          </w:p>
        </w:tc>
        <w:tc>
          <w:tcPr>
            <w:tcW w:w="1134" w:type="dxa"/>
            <w:vAlign w:val="center"/>
          </w:tcPr>
          <w:p w14:paraId="55292AC3">
            <w:pPr>
              <w:pStyle w:val="11"/>
            </w:pPr>
            <w:r>
              <w:t>163.94</w:t>
            </w:r>
          </w:p>
        </w:tc>
        <w:tc>
          <w:tcPr>
            <w:tcW w:w="1134" w:type="dxa"/>
            <w:vAlign w:val="center"/>
          </w:tcPr>
          <w:p w14:paraId="6ABF4493">
            <w:pPr>
              <w:pStyle w:val="11"/>
            </w:pPr>
          </w:p>
        </w:tc>
        <w:tc>
          <w:tcPr>
            <w:tcW w:w="1134" w:type="dxa"/>
            <w:vAlign w:val="center"/>
          </w:tcPr>
          <w:p w14:paraId="7995ED25">
            <w:pPr>
              <w:pStyle w:val="11"/>
            </w:pPr>
          </w:p>
        </w:tc>
        <w:tc>
          <w:tcPr>
            <w:tcW w:w="1134" w:type="dxa"/>
            <w:vAlign w:val="center"/>
          </w:tcPr>
          <w:p w14:paraId="6B4BECB9">
            <w:pPr>
              <w:pStyle w:val="11"/>
            </w:pPr>
          </w:p>
        </w:tc>
        <w:tc>
          <w:tcPr>
            <w:tcW w:w="1134" w:type="dxa"/>
            <w:vAlign w:val="center"/>
          </w:tcPr>
          <w:p w14:paraId="181696FD">
            <w:pPr>
              <w:pStyle w:val="11"/>
            </w:pPr>
          </w:p>
        </w:tc>
        <w:tc>
          <w:tcPr>
            <w:tcW w:w="1134" w:type="dxa"/>
            <w:vAlign w:val="center"/>
          </w:tcPr>
          <w:p w14:paraId="55C7A880">
            <w:pPr>
              <w:pStyle w:val="11"/>
            </w:pPr>
          </w:p>
        </w:tc>
        <w:tc>
          <w:tcPr>
            <w:tcW w:w="1134" w:type="dxa"/>
            <w:vAlign w:val="center"/>
          </w:tcPr>
          <w:p w14:paraId="44D0A4C6">
            <w:pPr>
              <w:pStyle w:val="11"/>
            </w:pPr>
          </w:p>
        </w:tc>
      </w:tr>
      <w:tr w14:paraId="300D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FEA25">
            <w:pPr>
              <w:pStyle w:val="13"/>
            </w:pPr>
            <w:r>
              <w:t>5</w:t>
            </w:r>
          </w:p>
        </w:tc>
        <w:tc>
          <w:tcPr>
            <w:tcW w:w="992" w:type="dxa"/>
            <w:vAlign w:val="center"/>
          </w:tcPr>
          <w:p w14:paraId="57A8B71E">
            <w:pPr>
              <w:pStyle w:val="12"/>
            </w:pPr>
            <w:r>
              <w:t>20503</w:t>
            </w:r>
          </w:p>
        </w:tc>
        <w:tc>
          <w:tcPr>
            <w:tcW w:w="1559" w:type="dxa"/>
            <w:vAlign w:val="center"/>
          </w:tcPr>
          <w:p w14:paraId="4BED8CB9">
            <w:pPr>
              <w:pStyle w:val="12"/>
            </w:pPr>
            <w:r>
              <w:t>职业教育</w:t>
            </w:r>
          </w:p>
        </w:tc>
        <w:tc>
          <w:tcPr>
            <w:tcW w:w="1134" w:type="dxa"/>
            <w:vAlign w:val="center"/>
          </w:tcPr>
          <w:p w14:paraId="0E268228">
            <w:pPr>
              <w:pStyle w:val="11"/>
            </w:pPr>
            <w:r>
              <w:t>3386.68</w:t>
            </w:r>
          </w:p>
        </w:tc>
        <w:tc>
          <w:tcPr>
            <w:tcW w:w="1134" w:type="dxa"/>
            <w:vAlign w:val="center"/>
          </w:tcPr>
          <w:p w14:paraId="3AE35973">
            <w:pPr>
              <w:pStyle w:val="11"/>
            </w:pPr>
            <w:r>
              <w:t>3386.68</w:t>
            </w:r>
          </w:p>
        </w:tc>
        <w:tc>
          <w:tcPr>
            <w:tcW w:w="1134" w:type="dxa"/>
            <w:vAlign w:val="center"/>
          </w:tcPr>
          <w:p w14:paraId="237391D6">
            <w:pPr>
              <w:pStyle w:val="11"/>
            </w:pPr>
            <w:r>
              <w:t>3260.02</w:t>
            </w:r>
          </w:p>
        </w:tc>
        <w:tc>
          <w:tcPr>
            <w:tcW w:w="1134" w:type="dxa"/>
            <w:vAlign w:val="center"/>
          </w:tcPr>
          <w:p w14:paraId="23799954">
            <w:pPr>
              <w:pStyle w:val="11"/>
            </w:pPr>
            <w:r>
              <w:t>126.66</w:t>
            </w:r>
          </w:p>
        </w:tc>
        <w:tc>
          <w:tcPr>
            <w:tcW w:w="1134" w:type="dxa"/>
            <w:vAlign w:val="center"/>
          </w:tcPr>
          <w:p w14:paraId="63379BA9">
            <w:pPr>
              <w:pStyle w:val="11"/>
            </w:pPr>
          </w:p>
        </w:tc>
        <w:tc>
          <w:tcPr>
            <w:tcW w:w="1134" w:type="dxa"/>
            <w:vAlign w:val="center"/>
          </w:tcPr>
          <w:p w14:paraId="5D82FEB7">
            <w:pPr>
              <w:pStyle w:val="11"/>
            </w:pPr>
          </w:p>
        </w:tc>
        <w:tc>
          <w:tcPr>
            <w:tcW w:w="1134" w:type="dxa"/>
            <w:vAlign w:val="center"/>
          </w:tcPr>
          <w:p w14:paraId="450323D5">
            <w:pPr>
              <w:pStyle w:val="11"/>
            </w:pPr>
          </w:p>
        </w:tc>
        <w:tc>
          <w:tcPr>
            <w:tcW w:w="1134" w:type="dxa"/>
            <w:vAlign w:val="center"/>
          </w:tcPr>
          <w:p w14:paraId="4732D860">
            <w:pPr>
              <w:pStyle w:val="11"/>
            </w:pPr>
          </w:p>
        </w:tc>
        <w:tc>
          <w:tcPr>
            <w:tcW w:w="1134" w:type="dxa"/>
            <w:vAlign w:val="center"/>
          </w:tcPr>
          <w:p w14:paraId="3E1FDAC9">
            <w:pPr>
              <w:pStyle w:val="11"/>
            </w:pPr>
          </w:p>
        </w:tc>
        <w:tc>
          <w:tcPr>
            <w:tcW w:w="1134" w:type="dxa"/>
            <w:vAlign w:val="center"/>
          </w:tcPr>
          <w:p w14:paraId="083507CB">
            <w:pPr>
              <w:pStyle w:val="11"/>
            </w:pPr>
          </w:p>
        </w:tc>
      </w:tr>
      <w:tr w14:paraId="5522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C1022">
            <w:pPr>
              <w:pStyle w:val="13"/>
            </w:pPr>
            <w:r>
              <w:t>6</w:t>
            </w:r>
          </w:p>
        </w:tc>
        <w:tc>
          <w:tcPr>
            <w:tcW w:w="992" w:type="dxa"/>
            <w:vAlign w:val="center"/>
          </w:tcPr>
          <w:p w14:paraId="43AA8767">
            <w:pPr>
              <w:pStyle w:val="12"/>
            </w:pPr>
            <w:r>
              <w:t>2050302</w:t>
            </w:r>
          </w:p>
        </w:tc>
        <w:tc>
          <w:tcPr>
            <w:tcW w:w="1559" w:type="dxa"/>
            <w:vAlign w:val="center"/>
          </w:tcPr>
          <w:p w14:paraId="6E607075">
            <w:pPr>
              <w:pStyle w:val="12"/>
            </w:pPr>
            <w:r>
              <w:t>中等职业教育</w:t>
            </w:r>
          </w:p>
        </w:tc>
        <w:tc>
          <w:tcPr>
            <w:tcW w:w="1134" w:type="dxa"/>
            <w:vAlign w:val="center"/>
          </w:tcPr>
          <w:p w14:paraId="56623BFF">
            <w:pPr>
              <w:pStyle w:val="11"/>
            </w:pPr>
            <w:r>
              <w:t>3386.68</w:t>
            </w:r>
          </w:p>
        </w:tc>
        <w:tc>
          <w:tcPr>
            <w:tcW w:w="1134" w:type="dxa"/>
            <w:vAlign w:val="center"/>
          </w:tcPr>
          <w:p w14:paraId="64C81EC1">
            <w:pPr>
              <w:pStyle w:val="11"/>
            </w:pPr>
            <w:r>
              <w:t>3386.68</w:t>
            </w:r>
          </w:p>
        </w:tc>
        <w:tc>
          <w:tcPr>
            <w:tcW w:w="1134" w:type="dxa"/>
            <w:vAlign w:val="center"/>
          </w:tcPr>
          <w:p w14:paraId="325D9A13">
            <w:pPr>
              <w:pStyle w:val="11"/>
            </w:pPr>
            <w:r>
              <w:t>3260.02</w:t>
            </w:r>
          </w:p>
        </w:tc>
        <w:tc>
          <w:tcPr>
            <w:tcW w:w="1134" w:type="dxa"/>
            <w:vAlign w:val="center"/>
          </w:tcPr>
          <w:p w14:paraId="3C1FE35C">
            <w:pPr>
              <w:pStyle w:val="11"/>
            </w:pPr>
            <w:r>
              <w:t>126.66</w:t>
            </w:r>
          </w:p>
        </w:tc>
        <w:tc>
          <w:tcPr>
            <w:tcW w:w="1134" w:type="dxa"/>
            <w:vAlign w:val="center"/>
          </w:tcPr>
          <w:p w14:paraId="197D632C">
            <w:pPr>
              <w:pStyle w:val="11"/>
            </w:pPr>
          </w:p>
        </w:tc>
        <w:tc>
          <w:tcPr>
            <w:tcW w:w="1134" w:type="dxa"/>
            <w:vAlign w:val="center"/>
          </w:tcPr>
          <w:p w14:paraId="0A12C39D">
            <w:pPr>
              <w:pStyle w:val="11"/>
            </w:pPr>
          </w:p>
        </w:tc>
        <w:tc>
          <w:tcPr>
            <w:tcW w:w="1134" w:type="dxa"/>
            <w:vAlign w:val="center"/>
          </w:tcPr>
          <w:p w14:paraId="3FD73CA8">
            <w:pPr>
              <w:pStyle w:val="11"/>
            </w:pPr>
          </w:p>
        </w:tc>
        <w:tc>
          <w:tcPr>
            <w:tcW w:w="1134" w:type="dxa"/>
            <w:vAlign w:val="center"/>
          </w:tcPr>
          <w:p w14:paraId="1DDC180F">
            <w:pPr>
              <w:pStyle w:val="11"/>
            </w:pPr>
          </w:p>
        </w:tc>
        <w:tc>
          <w:tcPr>
            <w:tcW w:w="1134" w:type="dxa"/>
            <w:vAlign w:val="center"/>
          </w:tcPr>
          <w:p w14:paraId="1D0D9AB4">
            <w:pPr>
              <w:pStyle w:val="11"/>
            </w:pPr>
          </w:p>
        </w:tc>
        <w:tc>
          <w:tcPr>
            <w:tcW w:w="1134" w:type="dxa"/>
            <w:vAlign w:val="center"/>
          </w:tcPr>
          <w:p w14:paraId="0A78D05D">
            <w:pPr>
              <w:pStyle w:val="11"/>
            </w:pPr>
          </w:p>
        </w:tc>
      </w:tr>
    </w:tbl>
    <w:p w14:paraId="2F903C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1308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5B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BCA133">
            <w:pPr>
              <w:pStyle w:val="9"/>
            </w:pPr>
            <w:r>
              <w:t>360015隆尧县职业技术教育中心</w:t>
            </w:r>
          </w:p>
        </w:tc>
        <w:tc>
          <w:tcPr>
            <w:tcW w:w="2722" w:type="dxa"/>
            <w:gridSpan w:val="2"/>
            <w:tcBorders>
              <w:top w:val="single" w:color="FFFFFF" w:sz="6" w:space="0"/>
              <w:left w:val="single" w:color="FFFFFF" w:sz="6" w:space="0"/>
              <w:right w:val="single" w:color="FFFFFF" w:sz="6" w:space="0"/>
            </w:tcBorders>
            <w:vAlign w:val="center"/>
          </w:tcPr>
          <w:p w14:paraId="435D272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5D41FF8">
            <w:pPr>
              <w:pStyle w:val="7"/>
            </w:pPr>
            <w:r>
              <w:t>单位：万元</w:t>
            </w:r>
          </w:p>
        </w:tc>
      </w:tr>
      <w:tr w14:paraId="07F6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98366">
            <w:pPr>
              <w:pStyle w:val="10"/>
            </w:pPr>
            <w:r>
              <w:t>序号</w:t>
            </w:r>
          </w:p>
        </w:tc>
        <w:tc>
          <w:tcPr>
            <w:tcW w:w="5527" w:type="dxa"/>
            <w:gridSpan w:val="2"/>
            <w:vAlign w:val="center"/>
          </w:tcPr>
          <w:p w14:paraId="1D6D278F">
            <w:pPr>
              <w:pStyle w:val="10"/>
            </w:pPr>
            <w:r>
              <w:t>功能分类科目</w:t>
            </w:r>
          </w:p>
        </w:tc>
        <w:tc>
          <w:tcPr>
            <w:tcW w:w="1361" w:type="dxa"/>
            <w:vMerge w:val="restart"/>
            <w:vAlign w:val="center"/>
          </w:tcPr>
          <w:p w14:paraId="667B8827">
            <w:pPr>
              <w:pStyle w:val="10"/>
            </w:pPr>
            <w:r>
              <w:t>合计</w:t>
            </w:r>
          </w:p>
        </w:tc>
        <w:tc>
          <w:tcPr>
            <w:tcW w:w="1361" w:type="dxa"/>
            <w:vMerge w:val="restart"/>
            <w:vAlign w:val="center"/>
          </w:tcPr>
          <w:p w14:paraId="7E5EFF50">
            <w:pPr>
              <w:pStyle w:val="10"/>
            </w:pPr>
            <w:r>
              <w:t>基本支出</w:t>
            </w:r>
          </w:p>
        </w:tc>
        <w:tc>
          <w:tcPr>
            <w:tcW w:w="1361" w:type="dxa"/>
            <w:vMerge w:val="restart"/>
            <w:vAlign w:val="center"/>
          </w:tcPr>
          <w:p w14:paraId="72C779E8">
            <w:pPr>
              <w:pStyle w:val="10"/>
            </w:pPr>
            <w:r>
              <w:t>项目支出</w:t>
            </w:r>
          </w:p>
        </w:tc>
        <w:tc>
          <w:tcPr>
            <w:tcW w:w="1361" w:type="dxa"/>
            <w:vMerge w:val="restart"/>
            <w:vAlign w:val="center"/>
          </w:tcPr>
          <w:p w14:paraId="61FD6555">
            <w:pPr>
              <w:pStyle w:val="10"/>
            </w:pPr>
            <w:r>
              <w:t>经营支出</w:t>
            </w:r>
          </w:p>
        </w:tc>
        <w:tc>
          <w:tcPr>
            <w:tcW w:w="1361" w:type="dxa"/>
            <w:vMerge w:val="restart"/>
            <w:vAlign w:val="center"/>
          </w:tcPr>
          <w:p w14:paraId="3AE6DE4D">
            <w:pPr>
              <w:pStyle w:val="10"/>
            </w:pPr>
            <w:r>
              <w:t>上解上级     支出</w:t>
            </w:r>
          </w:p>
        </w:tc>
        <w:tc>
          <w:tcPr>
            <w:tcW w:w="1361" w:type="dxa"/>
            <w:vMerge w:val="restart"/>
            <w:vAlign w:val="center"/>
          </w:tcPr>
          <w:p w14:paraId="05AFC026">
            <w:pPr>
              <w:pStyle w:val="10"/>
            </w:pPr>
            <w:r>
              <w:t>对附属单位补助支出</w:t>
            </w:r>
          </w:p>
        </w:tc>
      </w:tr>
      <w:tr w14:paraId="78AC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64288D"/>
        </w:tc>
        <w:tc>
          <w:tcPr>
            <w:tcW w:w="992" w:type="dxa"/>
            <w:vAlign w:val="center"/>
          </w:tcPr>
          <w:p w14:paraId="4BF4E0C0">
            <w:pPr>
              <w:pStyle w:val="10"/>
            </w:pPr>
            <w:r>
              <w:t>科目    编码</w:t>
            </w:r>
          </w:p>
        </w:tc>
        <w:tc>
          <w:tcPr>
            <w:tcW w:w="4535" w:type="dxa"/>
            <w:vAlign w:val="center"/>
          </w:tcPr>
          <w:p w14:paraId="678429A2">
            <w:pPr>
              <w:pStyle w:val="10"/>
            </w:pPr>
            <w:r>
              <w:t>科目名称</w:t>
            </w:r>
          </w:p>
        </w:tc>
        <w:tc>
          <w:tcPr>
            <w:tcW w:w="1361" w:type="dxa"/>
            <w:vMerge w:val="continue"/>
          </w:tcPr>
          <w:p w14:paraId="0D65398C"/>
        </w:tc>
        <w:tc>
          <w:tcPr>
            <w:tcW w:w="1361" w:type="dxa"/>
            <w:vMerge w:val="continue"/>
          </w:tcPr>
          <w:p w14:paraId="33CA2AC1"/>
        </w:tc>
        <w:tc>
          <w:tcPr>
            <w:tcW w:w="1361" w:type="dxa"/>
            <w:vMerge w:val="continue"/>
          </w:tcPr>
          <w:p w14:paraId="6C11DAAB"/>
        </w:tc>
        <w:tc>
          <w:tcPr>
            <w:tcW w:w="1361" w:type="dxa"/>
            <w:vMerge w:val="continue"/>
          </w:tcPr>
          <w:p w14:paraId="7214DDC7"/>
        </w:tc>
        <w:tc>
          <w:tcPr>
            <w:tcW w:w="1361" w:type="dxa"/>
            <w:vMerge w:val="continue"/>
          </w:tcPr>
          <w:p w14:paraId="73717A25"/>
        </w:tc>
        <w:tc>
          <w:tcPr>
            <w:tcW w:w="1361" w:type="dxa"/>
            <w:vMerge w:val="continue"/>
          </w:tcPr>
          <w:p w14:paraId="1C265455"/>
        </w:tc>
      </w:tr>
      <w:tr w14:paraId="4D9A6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E9344">
            <w:pPr>
              <w:pStyle w:val="10"/>
            </w:pPr>
            <w:r>
              <w:t>栏次</w:t>
            </w:r>
          </w:p>
        </w:tc>
        <w:tc>
          <w:tcPr>
            <w:tcW w:w="992" w:type="dxa"/>
            <w:vAlign w:val="center"/>
          </w:tcPr>
          <w:p w14:paraId="5F2B19DF">
            <w:pPr>
              <w:pStyle w:val="10"/>
            </w:pPr>
            <w:r>
              <w:t>1</w:t>
            </w:r>
          </w:p>
        </w:tc>
        <w:tc>
          <w:tcPr>
            <w:tcW w:w="4535" w:type="dxa"/>
            <w:vAlign w:val="center"/>
          </w:tcPr>
          <w:p w14:paraId="40E5728D">
            <w:pPr>
              <w:pStyle w:val="10"/>
            </w:pPr>
            <w:r>
              <w:t>2</w:t>
            </w:r>
          </w:p>
        </w:tc>
        <w:tc>
          <w:tcPr>
            <w:tcW w:w="1361" w:type="dxa"/>
            <w:vAlign w:val="center"/>
          </w:tcPr>
          <w:p w14:paraId="3E411F3B">
            <w:pPr>
              <w:pStyle w:val="10"/>
            </w:pPr>
            <w:r>
              <w:t>3</w:t>
            </w:r>
          </w:p>
        </w:tc>
        <w:tc>
          <w:tcPr>
            <w:tcW w:w="1361" w:type="dxa"/>
            <w:vAlign w:val="center"/>
          </w:tcPr>
          <w:p w14:paraId="044B56DF">
            <w:pPr>
              <w:pStyle w:val="10"/>
            </w:pPr>
            <w:r>
              <w:t>4</w:t>
            </w:r>
          </w:p>
        </w:tc>
        <w:tc>
          <w:tcPr>
            <w:tcW w:w="1361" w:type="dxa"/>
            <w:vAlign w:val="center"/>
          </w:tcPr>
          <w:p w14:paraId="2200A4A8">
            <w:pPr>
              <w:pStyle w:val="10"/>
            </w:pPr>
            <w:r>
              <w:t>5</w:t>
            </w:r>
          </w:p>
        </w:tc>
        <w:tc>
          <w:tcPr>
            <w:tcW w:w="1361" w:type="dxa"/>
            <w:vAlign w:val="center"/>
          </w:tcPr>
          <w:p w14:paraId="19555370">
            <w:pPr>
              <w:pStyle w:val="10"/>
            </w:pPr>
            <w:r>
              <w:t>6</w:t>
            </w:r>
          </w:p>
        </w:tc>
        <w:tc>
          <w:tcPr>
            <w:tcW w:w="1361" w:type="dxa"/>
            <w:vAlign w:val="center"/>
          </w:tcPr>
          <w:p w14:paraId="0F3E2DCA">
            <w:pPr>
              <w:pStyle w:val="10"/>
            </w:pPr>
            <w:r>
              <w:t>7</w:t>
            </w:r>
          </w:p>
        </w:tc>
        <w:tc>
          <w:tcPr>
            <w:tcW w:w="1361" w:type="dxa"/>
            <w:vAlign w:val="center"/>
          </w:tcPr>
          <w:p w14:paraId="5332F044">
            <w:pPr>
              <w:pStyle w:val="10"/>
            </w:pPr>
            <w:r>
              <w:t>8</w:t>
            </w:r>
          </w:p>
        </w:tc>
      </w:tr>
      <w:tr w14:paraId="7160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D5379">
            <w:pPr>
              <w:pStyle w:val="13"/>
            </w:pPr>
            <w:r>
              <w:t>1</w:t>
            </w:r>
          </w:p>
        </w:tc>
        <w:tc>
          <w:tcPr>
            <w:tcW w:w="992" w:type="dxa"/>
            <w:vAlign w:val="center"/>
          </w:tcPr>
          <w:p w14:paraId="2C83A142">
            <w:pPr>
              <w:pStyle w:val="16"/>
            </w:pPr>
          </w:p>
        </w:tc>
        <w:tc>
          <w:tcPr>
            <w:tcW w:w="4535" w:type="dxa"/>
            <w:vAlign w:val="center"/>
          </w:tcPr>
          <w:p w14:paraId="2C09AF4E">
            <w:pPr>
              <w:pStyle w:val="14"/>
            </w:pPr>
            <w:r>
              <w:t>合计</w:t>
            </w:r>
          </w:p>
        </w:tc>
        <w:tc>
          <w:tcPr>
            <w:tcW w:w="1361" w:type="dxa"/>
            <w:vAlign w:val="center"/>
          </w:tcPr>
          <w:p w14:paraId="06BA272D">
            <w:pPr>
              <w:pStyle w:val="15"/>
            </w:pPr>
            <w:r>
              <w:t>4078.47</w:t>
            </w:r>
          </w:p>
        </w:tc>
        <w:tc>
          <w:tcPr>
            <w:tcW w:w="1361" w:type="dxa"/>
            <w:vAlign w:val="center"/>
          </w:tcPr>
          <w:p w14:paraId="3031A6D5">
            <w:pPr>
              <w:pStyle w:val="15"/>
            </w:pPr>
            <w:r>
              <w:t>2590.07</w:t>
            </w:r>
          </w:p>
        </w:tc>
        <w:tc>
          <w:tcPr>
            <w:tcW w:w="1361" w:type="dxa"/>
            <w:vAlign w:val="center"/>
          </w:tcPr>
          <w:p w14:paraId="095E2D33">
            <w:pPr>
              <w:pStyle w:val="15"/>
            </w:pPr>
            <w:r>
              <w:t>1488.40</w:t>
            </w:r>
          </w:p>
        </w:tc>
        <w:tc>
          <w:tcPr>
            <w:tcW w:w="1361" w:type="dxa"/>
            <w:vAlign w:val="center"/>
          </w:tcPr>
          <w:p w14:paraId="1ADF89D3">
            <w:pPr>
              <w:pStyle w:val="15"/>
            </w:pPr>
          </w:p>
        </w:tc>
        <w:tc>
          <w:tcPr>
            <w:tcW w:w="1361" w:type="dxa"/>
            <w:vAlign w:val="center"/>
          </w:tcPr>
          <w:p w14:paraId="22D14553">
            <w:pPr>
              <w:pStyle w:val="15"/>
            </w:pPr>
          </w:p>
        </w:tc>
        <w:tc>
          <w:tcPr>
            <w:tcW w:w="1361" w:type="dxa"/>
            <w:vAlign w:val="center"/>
          </w:tcPr>
          <w:p w14:paraId="0C3758ED">
            <w:pPr>
              <w:pStyle w:val="15"/>
            </w:pPr>
          </w:p>
        </w:tc>
      </w:tr>
      <w:tr w14:paraId="1BD44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3B45">
            <w:pPr>
              <w:pStyle w:val="13"/>
            </w:pPr>
            <w:r>
              <w:t>2</w:t>
            </w:r>
          </w:p>
        </w:tc>
        <w:tc>
          <w:tcPr>
            <w:tcW w:w="992" w:type="dxa"/>
            <w:vAlign w:val="center"/>
          </w:tcPr>
          <w:p w14:paraId="7889761C">
            <w:pPr>
              <w:pStyle w:val="12"/>
            </w:pPr>
            <w:r>
              <w:t>205</w:t>
            </w:r>
          </w:p>
        </w:tc>
        <w:tc>
          <w:tcPr>
            <w:tcW w:w="4535" w:type="dxa"/>
            <w:vAlign w:val="center"/>
          </w:tcPr>
          <w:p w14:paraId="39B302CC">
            <w:pPr>
              <w:pStyle w:val="12"/>
            </w:pPr>
            <w:r>
              <w:t>教育支出</w:t>
            </w:r>
          </w:p>
        </w:tc>
        <w:tc>
          <w:tcPr>
            <w:tcW w:w="1361" w:type="dxa"/>
            <w:vAlign w:val="center"/>
          </w:tcPr>
          <w:p w14:paraId="31D355A3">
            <w:pPr>
              <w:pStyle w:val="11"/>
            </w:pPr>
            <w:r>
              <w:t>4078.47</w:t>
            </w:r>
          </w:p>
        </w:tc>
        <w:tc>
          <w:tcPr>
            <w:tcW w:w="1361" w:type="dxa"/>
            <w:vAlign w:val="center"/>
          </w:tcPr>
          <w:p w14:paraId="36F5DEEC">
            <w:pPr>
              <w:pStyle w:val="11"/>
            </w:pPr>
            <w:r>
              <w:t>2590.07</w:t>
            </w:r>
          </w:p>
        </w:tc>
        <w:tc>
          <w:tcPr>
            <w:tcW w:w="1361" w:type="dxa"/>
            <w:vAlign w:val="center"/>
          </w:tcPr>
          <w:p w14:paraId="3494297C">
            <w:pPr>
              <w:pStyle w:val="11"/>
            </w:pPr>
            <w:r>
              <w:t>1488.40</w:t>
            </w:r>
          </w:p>
        </w:tc>
        <w:tc>
          <w:tcPr>
            <w:tcW w:w="1361" w:type="dxa"/>
            <w:vAlign w:val="center"/>
          </w:tcPr>
          <w:p w14:paraId="49862661">
            <w:pPr>
              <w:pStyle w:val="11"/>
            </w:pPr>
          </w:p>
        </w:tc>
        <w:tc>
          <w:tcPr>
            <w:tcW w:w="1361" w:type="dxa"/>
            <w:vAlign w:val="center"/>
          </w:tcPr>
          <w:p w14:paraId="16B41D1B">
            <w:pPr>
              <w:pStyle w:val="11"/>
            </w:pPr>
          </w:p>
        </w:tc>
        <w:tc>
          <w:tcPr>
            <w:tcW w:w="1361" w:type="dxa"/>
            <w:vAlign w:val="center"/>
          </w:tcPr>
          <w:p w14:paraId="08054EC8">
            <w:pPr>
              <w:pStyle w:val="11"/>
            </w:pPr>
          </w:p>
        </w:tc>
      </w:tr>
      <w:tr w14:paraId="11BD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BE3A8">
            <w:pPr>
              <w:pStyle w:val="13"/>
            </w:pPr>
            <w:r>
              <w:t>3</w:t>
            </w:r>
          </w:p>
        </w:tc>
        <w:tc>
          <w:tcPr>
            <w:tcW w:w="992" w:type="dxa"/>
            <w:vAlign w:val="center"/>
          </w:tcPr>
          <w:p w14:paraId="73F0E131">
            <w:pPr>
              <w:pStyle w:val="12"/>
            </w:pPr>
            <w:r>
              <w:t>20502</w:t>
            </w:r>
          </w:p>
        </w:tc>
        <w:tc>
          <w:tcPr>
            <w:tcW w:w="4535" w:type="dxa"/>
            <w:vAlign w:val="center"/>
          </w:tcPr>
          <w:p w14:paraId="6A976695">
            <w:pPr>
              <w:pStyle w:val="12"/>
            </w:pPr>
            <w:r>
              <w:t>普通教育</w:t>
            </w:r>
          </w:p>
        </w:tc>
        <w:tc>
          <w:tcPr>
            <w:tcW w:w="1361" w:type="dxa"/>
            <w:vAlign w:val="center"/>
          </w:tcPr>
          <w:p w14:paraId="67CC3E17">
            <w:pPr>
              <w:pStyle w:val="11"/>
            </w:pPr>
            <w:r>
              <w:t>691.80</w:t>
            </w:r>
          </w:p>
        </w:tc>
        <w:tc>
          <w:tcPr>
            <w:tcW w:w="1361" w:type="dxa"/>
            <w:vAlign w:val="center"/>
          </w:tcPr>
          <w:p w14:paraId="29410E1F">
            <w:pPr>
              <w:pStyle w:val="11"/>
            </w:pPr>
          </w:p>
        </w:tc>
        <w:tc>
          <w:tcPr>
            <w:tcW w:w="1361" w:type="dxa"/>
            <w:vAlign w:val="center"/>
          </w:tcPr>
          <w:p w14:paraId="06D4B38A">
            <w:pPr>
              <w:pStyle w:val="11"/>
            </w:pPr>
            <w:r>
              <w:t>691.80</w:t>
            </w:r>
          </w:p>
        </w:tc>
        <w:tc>
          <w:tcPr>
            <w:tcW w:w="1361" w:type="dxa"/>
            <w:vAlign w:val="center"/>
          </w:tcPr>
          <w:p w14:paraId="4E017DCF">
            <w:pPr>
              <w:pStyle w:val="11"/>
            </w:pPr>
          </w:p>
        </w:tc>
        <w:tc>
          <w:tcPr>
            <w:tcW w:w="1361" w:type="dxa"/>
            <w:vAlign w:val="center"/>
          </w:tcPr>
          <w:p w14:paraId="27E8DB38">
            <w:pPr>
              <w:pStyle w:val="11"/>
            </w:pPr>
          </w:p>
        </w:tc>
        <w:tc>
          <w:tcPr>
            <w:tcW w:w="1361" w:type="dxa"/>
            <w:vAlign w:val="center"/>
          </w:tcPr>
          <w:p w14:paraId="3430E5F8">
            <w:pPr>
              <w:pStyle w:val="11"/>
            </w:pPr>
          </w:p>
        </w:tc>
      </w:tr>
      <w:tr w14:paraId="1F44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52287">
            <w:pPr>
              <w:pStyle w:val="13"/>
            </w:pPr>
            <w:r>
              <w:t>4</w:t>
            </w:r>
          </w:p>
        </w:tc>
        <w:tc>
          <w:tcPr>
            <w:tcW w:w="992" w:type="dxa"/>
            <w:vAlign w:val="center"/>
          </w:tcPr>
          <w:p w14:paraId="6A0B1D94">
            <w:pPr>
              <w:pStyle w:val="12"/>
            </w:pPr>
            <w:r>
              <w:t>2050204</w:t>
            </w:r>
          </w:p>
        </w:tc>
        <w:tc>
          <w:tcPr>
            <w:tcW w:w="4535" w:type="dxa"/>
            <w:vAlign w:val="center"/>
          </w:tcPr>
          <w:p w14:paraId="27B5E789">
            <w:pPr>
              <w:pStyle w:val="12"/>
            </w:pPr>
            <w:r>
              <w:t>高中教育</w:t>
            </w:r>
          </w:p>
        </w:tc>
        <w:tc>
          <w:tcPr>
            <w:tcW w:w="1361" w:type="dxa"/>
            <w:vAlign w:val="center"/>
          </w:tcPr>
          <w:p w14:paraId="35A2DC31">
            <w:pPr>
              <w:pStyle w:val="11"/>
            </w:pPr>
            <w:r>
              <w:t>691.80</w:t>
            </w:r>
          </w:p>
        </w:tc>
        <w:tc>
          <w:tcPr>
            <w:tcW w:w="1361" w:type="dxa"/>
            <w:vAlign w:val="center"/>
          </w:tcPr>
          <w:p w14:paraId="423B97C6">
            <w:pPr>
              <w:pStyle w:val="11"/>
            </w:pPr>
          </w:p>
        </w:tc>
        <w:tc>
          <w:tcPr>
            <w:tcW w:w="1361" w:type="dxa"/>
            <w:vAlign w:val="center"/>
          </w:tcPr>
          <w:p w14:paraId="04436989">
            <w:pPr>
              <w:pStyle w:val="11"/>
            </w:pPr>
            <w:r>
              <w:t>691.80</w:t>
            </w:r>
          </w:p>
        </w:tc>
        <w:tc>
          <w:tcPr>
            <w:tcW w:w="1361" w:type="dxa"/>
            <w:vAlign w:val="center"/>
          </w:tcPr>
          <w:p w14:paraId="5919946F">
            <w:pPr>
              <w:pStyle w:val="11"/>
            </w:pPr>
          </w:p>
        </w:tc>
        <w:tc>
          <w:tcPr>
            <w:tcW w:w="1361" w:type="dxa"/>
            <w:vAlign w:val="center"/>
          </w:tcPr>
          <w:p w14:paraId="3D7518B5">
            <w:pPr>
              <w:pStyle w:val="11"/>
            </w:pPr>
          </w:p>
        </w:tc>
        <w:tc>
          <w:tcPr>
            <w:tcW w:w="1361" w:type="dxa"/>
            <w:vAlign w:val="center"/>
          </w:tcPr>
          <w:p w14:paraId="1ADB38B4">
            <w:pPr>
              <w:pStyle w:val="11"/>
            </w:pPr>
          </w:p>
        </w:tc>
      </w:tr>
      <w:tr w14:paraId="1D37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B7134">
            <w:pPr>
              <w:pStyle w:val="13"/>
            </w:pPr>
            <w:r>
              <w:t>5</w:t>
            </w:r>
          </w:p>
        </w:tc>
        <w:tc>
          <w:tcPr>
            <w:tcW w:w="992" w:type="dxa"/>
            <w:vAlign w:val="center"/>
          </w:tcPr>
          <w:p w14:paraId="3AD3A23B">
            <w:pPr>
              <w:pStyle w:val="12"/>
            </w:pPr>
            <w:r>
              <w:t>20503</w:t>
            </w:r>
          </w:p>
        </w:tc>
        <w:tc>
          <w:tcPr>
            <w:tcW w:w="4535" w:type="dxa"/>
            <w:vAlign w:val="center"/>
          </w:tcPr>
          <w:p w14:paraId="329F92D0">
            <w:pPr>
              <w:pStyle w:val="12"/>
            </w:pPr>
            <w:r>
              <w:t>职业教育</w:t>
            </w:r>
          </w:p>
        </w:tc>
        <w:tc>
          <w:tcPr>
            <w:tcW w:w="1361" w:type="dxa"/>
            <w:vAlign w:val="center"/>
          </w:tcPr>
          <w:p w14:paraId="1B219288">
            <w:pPr>
              <w:pStyle w:val="11"/>
            </w:pPr>
            <w:r>
              <w:t>3386.68</w:t>
            </w:r>
          </w:p>
        </w:tc>
        <w:tc>
          <w:tcPr>
            <w:tcW w:w="1361" w:type="dxa"/>
            <w:vAlign w:val="center"/>
          </w:tcPr>
          <w:p w14:paraId="0908FD7C">
            <w:pPr>
              <w:pStyle w:val="11"/>
            </w:pPr>
            <w:r>
              <w:t>2590.07</w:t>
            </w:r>
          </w:p>
        </w:tc>
        <w:tc>
          <w:tcPr>
            <w:tcW w:w="1361" w:type="dxa"/>
            <w:vAlign w:val="center"/>
          </w:tcPr>
          <w:p w14:paraId="53B1A0F9">
            <w:pPr>
              <w:pStyle w:val="11"/>
            </w:pPr>
            <w:r>
              <w:t>796.60</w:t>
            </w:r>
          </w:p>
        </w:tc>
        <w:tc>
          <w:tcPr>
            <w:tcW w:w="1361" w:type="dxa"/>
            <w:vAlign w:val="center"/>
          </w:tcPr>
          <w:p w14:paraId="53EA02DF">
            <w:pPr>
              <w:pStyle w:val="11"/>
            </w:pPr>
          </w:p>
        </w:tc>
        <w:tc>
          <w:tcPr>
            <w:tcW w:w="1361" w:type="dxa"/>
            <w:vAlign w:val="center"/>
          </w:tcPr>
          <w:p w14:paraId="3D09AB8A">
            <w:pPr>
              <w:pStyle w:val="11"/>
            </w:pPr>
          </w:p>
        </w:tc>
        <w:tc>
          <w:tcPr>
            <w:tcW w:w="1361" w:type="dxa"/>
            <w:vAlign w:val="center"/>
          </w:tcPr>
          <w:p w14:paraId="5937C45B">
            <w:pPr>
              <w:pStyle w:val="11"/>
            </w:pPr>
          </w:p>
        </w:tc>
      </w:tr>
      <w:tr w14:paraId="02A1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50ED">
            <w:pPr>
              <w:pStyle w:val="13"/>
            </w:pPr>
            <w:r>
              <w:t>6</w:t>
            </w:r>
          </w:p>
        </w:tc>
        <w:tc>
          <w:tcPr>
            <w:tcW w:w="992" w:type="dxa"/>
            <w:vAlign w:val="center"/>
          </w:tcPr>
          <w:p w14:paraId="5CF2FC7A">
            <w:pPr>
              <w:pStyle w:val="12"/>
            </w:pPr>
            <w:r>
              <w:t>2050302</w:t>
            </w:r>
          </w:p>
        </w:tc>
        <w:tc>
          <w:tcPr>
            <w:tcW w:w="4535" w:type="dxa"/>
            <w:vAlign w:val="center"/>
          </w:tcPr>
          <w:p w14:paraId="787D607D">
            <w:pPr>
              <w:pStyle w:val="12"/>
            </w:pPr>
            <w:r>
              <w:t>中等职业教育</w:t>
            </w:r>
          </w:p>
        </w:tc>
        <w:tc>
          <w:tcPr>
            <w:tcW w:w="1361" w:type="dxa"/>
            <w:vAlign w:val="center"/>
          </w:tcPr>
          <w:p w14:paraId="3D19ED9F">
            <w:pPr>
              <w:pStyle w:val="11"/>
            </w:pPr>
            <w:r>
              <w:t>3386.68</w:t>
            </w:r>
          </w:p>
        </w:tc>
        <w:tc>
          <w:tcPr>
            <w:tcW w:w="1361" w:type="dxa"/>
            <w:vAlign w:val="center"/>
          </w:tcPr>
          <w:p w14:paraId="08C702E2">
            <w:pPr>
              <w:pStyle w:val="11"/>
            </w:pPr>
            <w:r>
              <w:t>2590.07</w:t>
            </w:r>
          </w:p>
        </w:tc>
        <w:tc>
          <w:tcPr>
            <w:tcW w:w="1361" w:type="dxa"/>
            <w:vAlign w:val="center"/>
          </w:tcPr>
          <w:p w14:paraId="6268B06A">
            <w:pPr>
              <w:pStyle w:val="11"/>
            </w:pPr>
            <w:r>
              <w:t>796.60</w:t>
            </w:r>
          </w:p>
        </w:tc>
        <w:tc>
          <w:tcPr>
            <w:tcW w:w="1361" w:type="dxa"/>
            <w:vAlign w:val="center"/>
          </w:tcPr>
          <w:p w14:paraId="053CF390">
            <w:pPr>
              <w:pStyle w:val="11"/>
            </w:pPr>
          </w:p>
        </w:tc>
        <w:tc>
          <w:tcPr>
            <w:tcW w:w="1361" w:type="dxa"/>
            <w:vAlign w:val="center"/>
          </w:tcPr>
          <w:p w14:paraId="609B78EE">
            <w:pPr>
              <w:pStyle w:val="11"/>
            </w:pPr>
          </w:p>
        </w:tc>
        <w:tc>
          <w:tcPr>
            <w:tcW w:w="1361" w:type="dxa"/>
            <w:vAlign w:val="center"/>
          </w:tcPr>
          <w:p w14:paraId="33409DE9">
            <w:pPr>
              <w:pStyle w:val="11"/>
            </w:pPr>
          </w:p>
        </w:tc>
      </w:tr>
    </w:tbl>
    <w:p w14:paraId="486630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1F58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7B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D4B898">
            <w:pPr>
              <w:pStyle w:val="9"/>
            </w:pPr>
            <w:r>
              <w:t>360015隆尧县职业技术教育中心</w:t>
            </w:r>
          </w:p>
        </w:tc>
        <w:tc>
          <w:tcPr>
            <w:tcW w:w="3402" w:type="dxa"/>
            <w:tcBorders>
              <w:top w:val="single" w:color="FFFFFF" w:sz="6" w:space="0"/>
              <w:left w:val="single" w:color="FFFFFF" w:sz="6" w:space="0"/>
              <w:right w:val="single" w:color="FFFFFF" w:sz="6" w:space="0"/>
            </w:tcBorders>
            <w:vAlign w:val="center"/>
          </w:tcPr>
          <w:p w14:paraId="1A031DE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05FE682">
            <w:pPr>
              <w:pStyle w:val="7"/>
            </w:pPr>
            <w:r>
              <w:t>单位：万元</w:t>
            </w:r>
          </w:p>
        </w:tc>
      </w:tr>
      <w:tr w14:paraId="3093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03ECD">
            <w:pPr>
              <w:pStyle w:val="10"/>
            </w:pPr>
            <w:r>
              <w:t>序号</w:t>
            </w:r>
          </w:p>
        </w:tc>
        <w:tc>
          <w:tcPr>
            <w:tcW w:w="4876" w:type="dxa"/>
            <w:gridSpan w:val="2"/>
            <w:vAlign w:val="center"/>
          </w:tcPr>
          <w:p w14:paraId="2E09FF0B">
            <w:pPr>
              <w:pStyle w:val="10"/>
            </w:pPr>
            <w:r>
              <w:t>收入</w:t>
            </w:r>
          </w:p>
        </w:tc>
        <w:tc>
          <w:tcPr>
            <w:tcW w:w="9298" w:type="dxa"/>
            <w:gridSpan w:val="5"/>
            <w:vAlign w:val="center"/>
          </w:tcPr>
          <w:p w14:paraId="64FD1AEA">
            <w:pPr>
              <w:pStyle w:val="10"/>
            </w:pPr>
            <w:r>
              <w:t>支出</w:t>
            </w:r>
          </w:p>
        </w:tc>
      </w:tr>
      <w:tr w14:paraId="3855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EFFED"/>
        </w:tc>
        <w:tc>
          <w:tcPr>
            <w:tcW w:w="3402" w:type="dxa"/>
            <w:vAlign w:val="center"/>
          </w:tcPr>
          <w:p w14:paraId="2FEDE16D">
            <w:pPr>
              <w:pStyle w:val="10"/>
            </w:pPr>
            <w:r>
              <w:t>项  目</w:t>
            </w:r>
          </w:p>
        </w:tc>
        <w:tc>
          <w:tcPr>
            <w:tcW w:w="1474" w:type="dxa"/>
            <w:vAlign w:val="center"/>
          </w:tcPr>
          <w:p w14:paraId="7A4BC62D">
            <w:pPr>
              <w:pStyle w:val="10"/>
            </w:pPr>
            <w:r>
              <w:t>金额</w:t>
            </w:r>
          </w:p>
        </w:tc>
        <w:tc>
          <w:tcPr>
            <w:tcW w:w="3402" w:type="dxa"/>
            <w:vAlign w:val="center"/>
          </w:tcPr>
          <w:p w14:paraId="7A06272A">
            <w:pPr>
              <w:pStyle w:val="10"/>
            </w:pPr>
            <w:r>
              <w:t>项  目</w:t>
            </w:r>
          </w:p>
        </w:tc>
        <w:tc>
          <w:tcPr>
            <w:tcW w:w="1474" w:type="dxa"/>
            <w:vAlign w:val="center"/>
          </w:tcPr>
          <w:p w14:paraId="5A7D1171">
            <w:pPr>
              <w:pStyle w:val="10"/>
            </w:pPr>
            <w:r>
              <w:t>合计</w:t>
            </w:r>
          </w:p>
        </w:tc>
        <w:tc>
          <w:tcPr>
            <w:tcW w:w="1474" w:type="dxa"/>
            <w:vAlign w:val="center"/>
          </w:tcPr>
          <w:p w14:paraId="2734075A">
            <w:pPr>
              <w:pStyle w:val="10"/>
            </w:pPr>
            <w:r>
              <w:t>一般公共预算财政拨款</w:t>
            </w:r>
          </w:p>
        </w:tc>
        <w:tc>
          <w:tcPr>
            <w:tcW w:w="1474" w:type="dxa"/>
            <w:vAlign w:val="center"/>
          </w:tcPr>
          <w:p w14:paraId="7BDB7A63">
            <w:pPr>
              <w:pStyle w:val="10"/>
            </w:pPr>
            <w:r>
              <w:t>政府性基金预算财政    拨款</w:t>
            </w:r>
          </w:p>
        </w:tc>
        <w:tc>
          <w:tcPr>
            <w:tcW w:w="1474" w:type="dxa"/>
            <w:vAlign w:val="center"/>
          </w:tcPr>
          <w:p w14:paraId="07AEDFD6">
            <w:pPr>
              <w:pStyle w:val="10"/>
            </w:pPr>
            <w:r>
              <w:t>国有资本经营预算财政拨款</w:t>
            </w:r>
          </w:p>
        </w:tc>
      </w:tr>
      <w:tr w14:paraId="66CF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01956">
            <w:pPr>
              <w:pStyle w:val="10"/>
            </w:pPr>
            <w:r>
              <w:t>栏次</w:t>
            </w:r>
          </w:p>
        </w:tc>
        <w:tc>
          <w:tcPr>
            <w:tcW w:w="3402" w:type="dxa"/>
            <w:vAlign w:val="center"/>
          </w:tcPr>
          <w:p w14:paraId="1C8F0381">
            <w:pPr>
              <w:pStyle w:val="10"/>
            </w:pPr>
            <w:r>
              <w:t>1</w:t>
            </w:r>
          </w:p>
        </w:tc>
        <w:tc>
          <w:tcPr>
            <w:tcW w:w="1474" w:type="dxa"/>
            <w:vAlign w:val="center"/>
          </w:tcPr>
          <w:p w14:paraId="569FF6FE">
            <w:pPr>
              <w:pStyle w:val="10"/>
            </w:pPr>
            <w:r>
              <w:t>2</w:t>
            </w:r>
          </w:p>
        </w:tc>
        <w:tc>
          <w:tcPr>
            <w:tcW w:w="3402" w:type="dxa"/>
            <w:vAlign w:val="center"/>
          </w:tcPr>
          <w:p w14:paraId="4CC8532B">
            <w:pPr>
              <w:pStyle w:val="10"/>
            </w:pPr>
            <w:r>
              <w:t>3</w:t>
            </w:r>
          </w:p>
        </w:tc>
        <w:tc>
          <w:tcPr>
            <w:tcW w:w="1474" w:type="dxa"/>
            <w:vAlign w:val="center"/>
          </w:tcPr>
          <w:p w14:paraId="24E80844">
            <w:pPr>
              <w:pStyle w:val="10"/>
            </w:pPr>
            <w:r>
              <w:t>4</w:t>
            </w:r>
          </w:p>
        </w:tc>
        <w:tc>
          <w:tcPr>
            <w:tcW w:w="1474" w:type="dxa"/>
            <w:vAlign w:val="center"/>
          </w:tcPr>
          <w:p w14:paraId="2BD0973E">
            <w:pPr>
              <w:pStyle w:val="10"/>
            </w:pPr>
            <w:r>
              <w:t>5</w:t>
            </w:r>
          </w:p>
        </w:tc>
        <w:tc>
          <w:tcPr>
            <w:tcW w:w="1474" w:type="dxa"/>
            <w:vAlign w:val="center"/>
          </w:tcPr>
          <w:p w14:paraId="54DBA227">
            <w:pPr>
              <w:pStyle w:val="10"/>
            </w:pPr>
            <w:r>
              <w:t>6</w:t>
            </w:r>
          </w:p>
        </w:tc>
        <w:tc>
          <w:tcPr>
            <w:tcW w:w="1474" w:type="dxa"/>
            <w:vAlign w:val="center"/>
          </w:tcPr>
          <w:p w14:paraId="2005AE47">
            <w:pPr>
              <w:pStyle w:val="10"/>
            </w:pPr>
            <w:r>
              <w:t>7</w:t>
            </w:r>
          </w:p>
        </w:tc>
      </w:tr>
      <w:tr w14:paraId="61BD05BE">
        <w:tblPrEx>
          <w:tblCellMar>
            <w:top w:w="0" w:type="dxa"/>
            <w:left w:w="108" w:type="dxa"/>
            <w:bottom w:w="0" w:type="dxa"/>
            <w:right w:w="108" w:type="dxa"/>
          </w:tblCellMar>
        </w:tblPrEx>
        <w:trPr>
          <w:trHeight w:val="369" w:hRule="atLeast"/>
          <w:jc w:val="center"/>
        </w:trPr>
        <w:tc>
          <w:tcPr>
            <w:tcW w:w="850" w:type="dxa"/>
            <w:vAlign w:val="center"/>
          </w:tcPr>
          <w:p w14:paraId="08E76404">
            <w:pPr>
              <w:pStyle w:val="13"/>
            </w:pPr>
            <w:r>
              <w:t>1</w:t>
            </w:r>
          </w:p>
        </w:tc>
        <w:tc>
          <w:tcPr>
            <w:tcW w:w="3402" w:type="dxa"/>
            <w:vAlign w:val="center"/>
          </w:tcPr>
          <w:p w14:paraId="2BD8EFAF">
            <w:pPr>
              <w:pStyle w:val="12"/>
            </w:pPr>
            <w:r>
              <w:t>一、一般公共预算拨款</w:t>
            </w:r>
          </w:p>
        </w:tc>
        <w:tc>
          <w:tcPr>
            <w:tcW w:w="1474" w:type="dxa"/>
            <w:vAlign w:val="center"/>
          </w:tcPr>
          <w:p w14:paraId="08B0D492">
            <w:pPr>
              <w:pStyle w:val="11"/>
            </w:pPr>
            <w:r>
              <w:t>3787.88</w:t>
            </w:r>
          </w:p>
        </w:tc>
        <w:tc>
          <w:tcPr>
            <w:tcW w:w="3402" w:type="dxa"/>
            <w:vAlign w:val="center"/>
          </w:tcPr>
          <w:p w14:paraId="0E4B67E1">
            <w:pPr>
              <w:pStyle w:val="12"/>
            </w:pPr>
            <w:r>
              <w:t>一、一般公共服务支出</w:t>
            </w:r>
          </w:p>
        </w:tc>
        <w:tc>
          <w:tcPr>
            <w:tcW w:w="1474" w:type="dxa"/>
            <w:vAlign w:val="center"/>
          </w:tcPr>
          <w:p w14:paraId="77BCFBA3">
            <w:pPr>
              <w:pStyle w:val="11"/>
            </w:pPr>
          </w:p>
        </w:tc>
        <w:tc>
          <w:tcPr>
            <w:tcW w:w="1474" w:type="dxa"/>
            <w:vAlign w:val="center"/>
          </w:tcPr>
          <w:p w14:paraId="726780A8">
            <w:pPr>
              <w:pStyle w:val="11"/>
            </w:pPr>
          </w:p>
        </w:tc>
        <w:tc>
          <w:tcPr>
            <w:tcW w:w="1474" w:type="dxa"/>
            <w:vAlign w:val="center"/>
          </w:tcPr>
          <w:p w14:paraId="10D0EE30">
            <w:pPr>
              <w:pStyle w:val="11"/>
            </w:pPr>
          </w:p>
        </w:tc>
        <w:tc>
          <w:tcPr>
            <w:tcW w:w="1474" w:type="dxa"/>
            <w:vAlign w:val="center"/>
          </w:tcPr>
          <w:p w14:paraId="2CE5D0BE">
            <w:pPr>
              <w:pStyle w:val="11"/>
            </w:pPr>
          </w:p>
        </w:tc>
      </w:tr>
      <w:tr w14:paraId="581D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1C9A0">
            <w:pPr>
              <w:pStyle w:val="13"/>
            </w:pPr>
            <w:r>
              <w:t>2</w:t>
            </w:r>
          </w:p>
        </w:tc>
        <w:tc>
          <w:tcPr>
            <w:tcW w:w="3402" w:type="dxa"/>
            <w:vAlign w:val="center"/>
          </w:tcPr>
          <w:p w14:paraId="13264118">
            <w:pPr>
              <w:pStyle w:val="12"/>
            </w:pPr>
            <w:r>
              <w:t>二、政府性基金预算拨款</w:t>
            </w:r>
          </w:p>
        </w:tc>
        <w:tc>
          <w:tcPr>
            <w:tcW w:w="1474" w:type="dxa"/>
            <w:vAlign w:val="center"/>
          </w:tcPr>
          <w:p w14:paraId="1F1FCD8C">
            <w:pPr>
              <w:pStyle w:val="11"/>
            </w:pPr>
          </w:p>
        </w:tc>
        <w:tc>
          <w:tcPr>
            <w:tcW w:w="3402" w:type="dxa"/>
            <w:vAlign w:val="center"/>
          </w:tcPr>
          <w:p w14:paraId="307C40CD">
            <w:pPr>
              <w:pStyle w:val="12"/>
            </w:pPr>
            <w:r>
              <w:t>二、外交支出</w:t>
            </w:r>
          </w:p>
        </w:tc>
        <w:tc>
          <w:tcPr>
            <w:tcW w:w="1474" w:type="dxa"/>
            <w:vAlign w:val="center"/>
          </w:tcPr>
          <w:p w14:paraId="480C662B">
            <w:pPr>
              <w:pStyle w:val="11"/>
            </w:pPr>
          </w:p>
        </w:tc>
        <w:tc>
          <w:tcPr>
            <w:tcW w:w="1474" w:type="dxa"/>
            <w:vAlign w:val="center"/>
          </w:tcPr>
          <w:p w14:paraId="43C6E351">
            <w:pPr>
              <w:pStyle w:val="11"/>
            </w:pPr>
          </w:p>
        </w:tc>
        <w:tc>
          <w:tcPr>
            <w:tcW w:w="1474" w:type="dxa"/>
            <w:vAlign w:val="center"/>
          </w:tcPr>
          <w:p w14:paraId="0E12B328">
            <w:pPr>
              <w:pStyle w:val="11"/>
            </w:pPr>
          </w:p>
        </w:tc>
        <w:tc>
          <w:tcPr>
            <w:tcW w:w="1474" w:type="dxa"/>
            <w:vAlign w:val="center"/>
          </w:tcPr>
          <w:p w14:paraId="77C5C02D">
            <w:pPr>
              <w:pStyle w:val="11"/>
            </w:pPr>
          </w:p>
        </w:tc>
      </w:tr>
      <w:tr w14:paraId="1528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A6073">
            <w:pPr>
              <w:pStyle w:val="13"/>
            </w:pPr>
            <w:r>
              <w:t>3</w:t>
            </w:r>
          </w:p>
        </w:tc>
        <w:tc>
          <w:tcPr>
            <w:tcW w:w="3402" w:type="dxa"/>
            <w:vAlign w:val="center"/>
          </w:tcPr>
          <w:p w14:paraId="49E0BABD">
            <w:pPr>
              <w:pStyle w:val="12"/>
            </w:pPr>
            <w:r>
              <w:t>三、国有资本经营预算拨款</w:t>
            </w:r>
          </w:p>
        </w:tc>
        <w:tc>
          <w:tcPr>
            <w:tcW w:w="1474" w:type="dxa"/>
            <w:vAlign w:val="center"/>
          </w:tcPr>
          <w:p w14:paraId="651B9FF9">
            <w:pPr>
              <w:pStyle w:val="11"/>
            </w:pPr>
          </w:p>
        </w:tc>
        <w:tc>
          <w:tcPr>
            <w:tcW w:w="3402" w:type="dxa"/>
            <w:vAlign w:val="center"/>
          </w:tcPr>
          <w:p w14:paraId="52A308BB">
            <w:pPr>
              <w:pStyle w:val="12"/>
            </w:pPr>
            <w:r>
              <w:t>三、国防支出</w:t>
            </w:r>
          </w:p>
        </w:tc>
        <w:tc>
          <w:tcPr>
            <w:tcW w:w="1474" w:type="dxa"/>
            <w:vAlign w:val="center"/>
          </w:tcPr>
          <w:p w14:paraId="3A5B8D6A">
            <w:pPr>
              <w:pStyle w:val="11"/>
            </w:pPr>
          </w:p>
        </w:tc>
        <w:tc>
          <w:tcPr>
            <w:tcW w:w="1474" w:type="dxa"/>
            <w:vAlign w:val="center"/>
          </w:tcPr>
          <w:p w14:paraId="04BD8A59">
            <w:pPr>
              <w:pStyle w:val="11"/>
            </w:pPr>
          </w:p>
        </w:tc>
        <w:tc>
          <w:tcPr>
            <w:tcW w:w="1474" w:type="dxa"/>
            <w:vAlign w:val="center"/>
          </w:tcPr>
          <w:p w14:paraId="1DA91D0D">
            <w:pPr>
              <w:pStyle w:val="11"/>
            </w:pPr>
          </w:p>
        </w:tc>
        <w:tc>
          <w:tcPr>
            <w:tcW w:w="1474" w:type="dxa"/>
            <w:vAlign w:val="center"/>
          </w:tcPr>
          <w:p w14:paraId="27FDF401">
            <w:pPr>
              <w:pStyle w:val="11"/>
            </w:pPr>
          </w:p>
        </w:tc>
      </w:tr>
      <w:tr w14:paraId="6F70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D4903">
            <w:pPr>
              <w:pStyle w:val="13"/>
            </w:pPr>
            <w:r>
              <w:t>4</w:t>
            </w:r>
          </w:p>
        </w:tc>
        <w:tc>
          <w:tcPr>
            <w:tcW w:w="3402" w:type="dxa"/>
            <w:vAlign w:val="center"/>
          </w:tcPr>
          <w:p w14:paraId="7270FBD2">
            <w:pPr>
              <w:pStyle w:val="12"/>
            </w:pPr>
          </w:p>
        </w:tc>
        <w:tc>
          <w:tcPr>
            <w:tcW w:w="1474" w:type="dxa"/>
            <w:vAlign w:val="center"/>
          </w:tcPr>
          <w:p w14:paraId="26A4214B">
            <w:pPr>
              <w:pStyle w:val="11"/>
            </w:pPr>
          </w:p>
        </w:tc>
        <w:tc>
          <w:tcPr>
            <w:tcW w:w="3402" w:type="dxa"/>
            <w:vAlign w:val="center"/>
          </w:tcPr>
          <w:p w14:paraId="47933BF0">
            <w:pPr>
              <w:pStyle w:val="12"/>
            </w:pPr>
            <w:r>
              <w:t>四、公共安全支出</w:t>
            </w:r>
          </w:p>
        </w:tc>
        <w:tc>
          <w:tcPr>
            <w:tcW w:w="1474" w:type="dxa"/>
            <w:vAlign w:val="center"/>
          </w:tcPr>
          <w:p w14:paraId="12093B04">
            <w:pPr>
              <w:pStyle w:val="11"/>
            </w:pPr>
          </w:p>
        </w:tc>
        <w:tc>
          <w:tcPr>
            <w:tcW w:w="1474" w:type="dxa"/>
            <w:vAlign w:val="center"/>
          </w:tcPr>
          <w:p w14:paraId="26D39D0C">
            <w:pPr>
              <w:pStyle w:val="11"/>
            </w:pPr>
          </w:p>
        </w:tc>
        <w:tc>
          <w:tcPr>
            <w:tcW w:w="1474" w:type="dxa"/>
            <w:vAlign w:val="center"/>
          </w:tcPr>
          <w:p w14:paraId="59D98FF2">
            <w:pPr>
              <w:pStyle w:val="11"/>
            </w:pPr>
          </w:p>
        </w:tc>
        <w:tc>
          <w:tcPr>
            <w:tcW w:w="1474" w:type="dxa"/>
            <w:vAlign w:val="center"/>
          </w:tcPr>
          <w:p w14:paraId="5701A7A0">
            <w:pPr>
              <w:pStyle w:val="11"/>
            </w:pPr>
          </w:p>
        </w:tc>
      </w:tr>
      <w:tr w14:paraId="254E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33B43">
            <w:pPr>
              <w:pStyle w:val="13"/>
            </w:pPr>
            <w:r>
              <w:t>5</w:t>
            </w:r>
          </w:p>
        </w:tc>
        <w:tc>
          <w:tcPr>
            <w:tcW w:w="3402" w:type="dxa"/>
            <w:vAlign w:val="center"/>
          </w:tcPr>
          <w:p w14:paraId="27A4E3BC">
            <w:pPr>
              <w:pStyle w:val="12"/>
            </w:pPr>
          </w:p>
        </w:tc>
        <w:tc>
          <w:tcPr>
            <w:tcW w:w="1474" w:type="dxa"/>
            <w:vAlign w:val="center"/>
          </w:tcPr>
          <w:p w14:paraId="0996C438">
            <w:pPr>
              <w:pStyle w:val="11"/>
            </w:pPr>
          </w:p>
        </w:tc>
        <w:tc>
          <w:tcPr>
            <w:tcW w:w="3402" w:type="dxa"/>
            <w:vAlign w:val="center"/>
          </w:tcPr>
          <w:p w14:paraId="507F1AB6">
            <w:pPr>
              <w:pStyle w:val="12"/>
            </w:pPr>
            <w:r>
              <w:t>五、教育支出</w:t>
            </w:r>
          </w:p>
        </w:tc>
        <w:tc>
          <w:tcPr>
            <w:tcW w:w="1474" w:type="dxa"/>
            <w:vAlign w:val="center"/>
          </w:tcPr>
          <w:p w14:paraId="43C8200A">
            <w:pPr>
              <w:pStyle w:val="11"/>
            </w:pPr>
            <w:r>
              <w:t>3787.88</w:t>
            </w:r>
          </w:p>
        </w:tc>
        <w:tc>
          <w:tcPr>
            <w:tcW w:w="1474" w:type="dxa"/>
            <w:vAlign w:val="center"/>
          </w:tcPr>
          <w:p w14:paraId="38019017">
            <w:pPr>
              <w:pStyle w:val="11"/>
            </w:pPr>
            <w:r>
              <w:t>3787.88</w:t>
            </w:r>
          </w:p>
        </w:tc>
        <w:tc>
          <w:tcPr>
            <w:tcW w:w="1474" w:type="dxa"/>
            <w:vAlign w:val="center"/>
          </w:tcPr>
          <w:p w14:paraId="1935FFEF">
            <w:pPr>
              <w:pStyle w:val="11"/>
            </w:pPr>
          </w:p>
        </w:tc>
        <w:tc>
          <w:tcPr>
            <w:tcW w:w="1474" w:type="dxa"/>
            <w:vAlign w:val="center"/>
          </w:tcPr>
          <w:p w14:paraId="3F7B2423">
            <w:pPr>
              <w:pStyle w:val="11"/>
            </w:pPr>
          </w:p>
        </w:tc>
      </w:tr>
      <w:tr w14:paraId="3F64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BF724">
            <w:pPr>
              <w:pStyle w:val="13"/>
            </w:pPr>
            <w:r>
              <w:t>6</w:t>
            </w:r>
          </w:p>
        </w:tc>
        <w:tc>
          <w:tcPr>
            <w:tcW w:w="3402" w:type="dxa"/>
            <w:vAlign w:val="center"/>
          </w:tcPr>
          <w:p w14:paraId="08359363">
            <w:pPr>
              <w:pStyle w:val="12"/>
            </w:pPr>
          </w:p>
        </w:tc>
        <w:tc>
          <w:tcPr>
            <w:tcW w:w="1474" w:type="dxa"/>
            <w:vAlign w:val="center"/>
          </w:tcPr>
          <w:p w14:paraId="152CAE24">
            <w:pPr>
              <w:pStyle w:val="11"/>
            </w:pPr>
          </w:p>
        </w:tc>
        <w:tc>
          <w:tcPr>
            <w:tcW w:w="3402" w:type="dxa"/>
            <w:vAlign w:val="center"/>
          </w:tcPr>
          <w:p w14:paraId="0D29D414">
            <w:pPr>
              <w:pStyle w:val="12"/>
            </w:pPr>
            <w:r>
              <w:t>六、科学技术支出</w:t>
            </w:r>
          </w:p>
        </w:tc>
        <w:tc>
          <w:tcPr>
            <w:tcW w:w="1474" w:type="dxa"/>
            <w:vAlign w:val="center"/>
          </w:tcPr>
          <w:p w14:paraId="6B7CC2EB">
            <w:pPr>
              <w:pStyle w:val="11"/>
            </w:pPr>
          </w:p>
        </w:tc>
        <w:tc>
          <w:tcPr>
            <w:tcW w:w="1474" w:type="dxa"/>
            <w:vAlign w:val="center"/>
          </w:tcPr>
          <w:p w14:paraId="0BA60267">
            <w:pPr>
              <w:pStyle w:val="11"/>
            </w:pPr>
          </w:p>
        </w:tc>
        <w:tc>
          <w:tcPr>
            <w:tcW w:w="1474" w:type="dxa"/>
            <w:vAlign w:val="center"/>
          </w:tcPr>
          <w:p w14:paraId="4D42D105">
            <w:pPr>
              <w:pStyle w:val="11"/>
            </w:pPr>
          </w:p>
        </w:tc>
        <w:tc>
          <w:tcPr>
            <w:tcW w:w="1474" w:type="dxa"/>
            <w:vAlign w:val="center"/>
          </w:tcPr>
          <w:p w14:paraId="23B2A5E5">
            <w:pPr>
              <w:pStyle w:val="11"/>
            </w:pPr>
          </w:p>
        </w:tc>
      </w:tr>
      <w:tr w14:paraId="3ABB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92EAC">
            <w:pPr>
              <w:pStyle w:val="13"/>
            </w:pPr>
            <w:r>
              <w:t>7</w:t>
            </w:r>
          </w:p>
        </w:tc>
        <w:tc>
          <w:tcPr>
            <w:tcW w:w="3402" w:type="dxa"/>
            <w:vAlign w:val="center"/>
          </w:tcPr>
          <w:p w14:paraId="7C88B92D">
            <w:pPr>
              <w:pStyle w:val="12"/>
            </w:pPr>
          </w:p>
        </w:tc>
        <w:tc>
          <w:tcPr>
            <w:tcW w:w="1474" w:type="dxa"/>
            <w:vAlign w:val="center"/>
          </w:tcPr>
          <w:p w14:paraId="7BA573B9">
            <w:pPr>
              <w:pStyle w:val="11"/>
            </w:pPr>
          </w:p>
        </w:tc>
        <w:tc>
          <w:tcPr>
            <w:tcW w:w="3402" w:type="dxa"/>
            <w:vAlign w:val="center"/>
          </w:tcPr>
          <w:p w14:paraId="5430576D">
            <w:pPr>
              <w:pStyle w:val="12"/>
            </w:pPr>
            <w:r>
              <w:t>七、文化旅游体育与传媒支出</w:t>
            </w:r>
          </w:p>
        </w:tc>
        <w:tc>
          <w:tcPr>
            <w:tcW w:w="1474" w:type="dxa"/>
            <w:vAlign w:val="center"/>
          </w:tcPr>
          <w:p w14:paraId="63D86DA5">
            <w:pPr>
              <w:pStyle w:val="11"/>
            </w:pPr>
          </w:p>
        </w:tc>
        <w:tc>
          <w:tcPr>
            <w:tcW w:w="1474" w:type="dxa"/>
            <w:vAlign w:val="center"/>
          </w:tcPr>
          <w:p w14:paraId="719C124F">
            <w:pPr>
              <w:pStyle w:val="11"/>
            </w:pPr>
          </w:p>
        </w:tc>
        <w:tc>
          <w:tcPr>
            <w:tcW w:w="1474" w:type="dxa"/>
            <w:vAlign w:val="center"/>
          </w:tcPr>
          <w:p w14:paraId="74A4169C">
            <w:pPr>
              <w:pStyle w:val="11"/>
            </w:pPr>
          </w:p>
        </w:tc>
        <w:tc>
          <w:tcPr>
            <w:tcW w:w="1474" w:type="dxa"/>
            <w:vAlign w:val="center"/>
          </w:tcPr>
          <w:p w14:paraId="31DAC444">
            <w:pPr>
              <w:pStyle w:val="11"/>
            </w:pPr>
          </w:p>
        </w:tc>
      </w:tr>
      <w:tr w14:paraId="4D85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8D2DB">
            <w:pPr>
              <w:pStyle w:val="13"/>
            </w:pPr>
            <w:r>
              <w:t>8</w:t>
            </w:r>
          </w:p>
        </w:tc>
        <w:tc>
          <w:tcPr>
            <w:tcW w:w="3402" w:type="dxa"/>
            <w:vAlign w:val="center"/>
          </w:tcPr>
          <w:p w14:paraId="223C91C7">
            <w:pPr>
              <w:pStyle w:val="12"/>
            </w:pPr>
          </w:p>
        </w:tc>
        <w:tc>
          <w:tcPr>
            <w:tcW w:w="1474" w:type="dxa"/>
            <w:vAlign w:val="center"/>
          </w:tcPr>
          <w:p w14:paraId="2F9C408F">
            <w:pPr>
              <w:pStyle w:val="11"/>
            </w:pPr>
          </w:p>
        </w:tc>
        <w:tc>
          <w:tcPr>
            <w:tcW w:w="3402" w:type="dxa"/>
            <w:vAlign w:val="center"/>
          </w:tcPr>
          <w:p w14:paraId="3FA840AA">
            <w:pPr>
              <w:pStyle w:val="12"/>
            </w:pPr>
            <w:r>
              <w:t>八、社会保障和就业支出</w:t>
            </w:r>
          </w:p>
        </w:tc>
        <w:tc>
          <w:tcPr>
            <w:tcW w:w="1474" w:type="dxa"/>
            <w:vAlign w:val="center"/>
          </w:tcPr>
          <w:p w14:paraId="07796C8E">
            <w:pPr>
              <w:pStyle w:val="11"/>
            </w:pPr>
          </w:p>
        </w:tc>
        <w:tc>
          <w:tcPr>
            <w:tcW w:w="1474" w:type="dxa"/>
            <w:vAlign w:val="center"/>
          </w:tcPr>
          <w:p w14:paraId="6F5FE530">
            <w:pPr>
              <w:pStyle w:val="11"/>
            </w:pPr>
          </w:p>
        </w:tc>
        <w:tc>
          <w:tcPr>
            <w:tcW w:w="1474" w:type="dxa"/>
            <w:vAlign w:val="center"/>
          </w:tcPr>
          <w:p w14:paraId="2E373C86">
            <w:pPr>
              <w:pStyle w:val="11"/>
            </w:pPr>
          </w:p>
        </w:tc>
        <w:tc>
          <w:tcPr>
            <w:tcW w:w="1474" w:type="dxa"/>
            <w:vAlign w:val="center"/>
          </w:tcPr>
          <w:p w14:paraId="32502297">
            <w:pPr>
              <w:pStyle w:val="11"/>
            </w:pPr>
          </w:p>
        </w:tc>
      </w:tr>
      <w:tr w14:paraId="3B9E79D2">
        <w:tblPrEx>
          <w:tblCellMar>
            <w:top w:w="0" w:type="dxa"/>
            <w:left w:w="108" w:type="dxa"/>
            <w:bottom w:w="0" w:type="dxa"/>
            <w:right w:w="108" w:type="dxa"/>
          </w:tblCellMar>
        </w:tblPrEx>
        <w:trPr>
          <w:trHeight w:val="369" w:hRule="atLeast"/>
          <w:jc w:val="center"/>
        </w:trPr>
        <w:tc>
          <w:tcPr>
            <w:tcW w:w="850" w:type="dxa"/>
            <w:vAlign w:val="center"/>
          </w:tcPr>
          <w:p w14:paraId="76A38FC7">
            <w:pPr>
              <w:pStyle w:val="13"/>
            </w:pPr>
            <w:r>
              <w:t>9</w:t>
            </w:r>
          </w:p>
        </w:tc>
        <w:tc>
          <w:tcPr>
            <w:tcW w:w="3402" w:type="dxa"/>
            <w:vAlign w:val="center"/>
          </w:tcPr>
          <w:p w14:paraId="1B6435F3">
            <w:pPr>
              <w:pStyle w:val="12"/>
            </w:pPr>
          </w:p>
        </w:tc>
        <w:tc>
          <w:tcPr>
            <w:tcW w:w="1474" w:type="dxa"/>
            <w:vAlign w:val="center"/>
          </w:tcPr>
          <w:p w14:paraId="0710A18C">
            <w:pPr>
              <w:pStyle w:val="11"/>
            </w:pPr>
          </w:p>
        </w:tc>
        <w:tc>
          <w:tcPr>
            <w:tcW w:w="3402" w:type="dxa"/>
            <w:vAlign w:val="center"/>
          </w:tcPr>
          <w:p w14:paraId="0B3E3C06">
            <w:pPr>
              <w:pStyle w:val="12"/>
            </w:pPr>
            <w:r>
              <w:t>九、社会保险基金支出</w:t>
            </w:r>
          </w:p>
        </w:tc>
        <w:tc>
          <w:tcPr>
            <w:tcW w:w="1474" w:type="dxa"/>
            <w:vAlign w:val="center"/>
          </w:tcPr>
          <w:p w14:paraId="63DF72FE">
            <w:pPr>
              <w:pStyle w:val="11"/>
            </w:pPr>
          </w:p>
        </w:tc>
        <w:tc>
          <w:tcPr>
            <w:tcW w:w="1474" w:type="dxa"/>
            <w:vAlign w:val="center"/>
          </w:tcPr>
          <w:p w14:paraId="1DFA7527">
            <w:pPr>
              <w:pStyle w:val="11"/>
            </w:pPr>
          </w:p>
        </w:tc>
        <w:tc>
          <w:tcPr>
            <w:tcW w:w="1474" w:type="dxa"/>
            <w:vAlign w:val="center"/>
          </w:tcPr>
          <w:p w14:paraId="402D9AAF">
            <w:pPr>
              <w:pStyle w:val="11"/>
            </w:pPr>
          </w:p>
        </w:tc>
        <w:tc>
          <w:tcPr>
            <w:tcW w:w="1474" w:type="dxa"/>
            <w:vAlign w:val="center"/>
          </w:tcPr>
          <w:p w14:paraId="1E23FA5B">
            <w:pPr>
              <w:pStyle w:val="11"/>
            </w:pPr>
          </w:p>
        </w:tc>
      </w:tr>
      <w:tr w14:paraId="175657F7">
        <w:tblPrEx>
          <w:tblCellMar>
            <w:top w:w="0" w:type="dxa"/>
            <w:left w:w="108" w:type="dxa"/>
            <w:bottom w:w="0" w:type="dxa"/>
            <w:right w:w="108" w:type="dxa"/>
          </w:tblCellMar>
        </w:tblPrEx>
        <w:trPr>
          <w:trHeight w:val="369" w:hRule="atLeast"/>
          <w:jc w:val="center"/>
        </w:trPr>
        <w:tc>
          <w:tcPr>
            <w:tcW w:w="850" w:type="dxa"/>
            <w:vAlign w:val="center"/>
          </w:tcPr>
          <w:p w14:paraId="4CC75B48">
            <w:pPr>
              <w:pStyle w:val="13"/>
            </w:pPr>
            <w:r>
              <w:t>10</w:t>
            </w:r>
          </w:p>
        </w:tc>
        <w:tc>
          <w:tcPr>
            <w:tcW w:w="3402" w:type="dxa"/>
            <w:vAlign w:val="center"/>
          </w:tcPr>
          <w:p w14:paraId="27CE52B0">
            <w:pPr>
              <w:pStyle w:val="12"/>
            </w:pPr>
          </w:p>
        </w:tc>
        <w:tc>
          <w:tcPr>
            <w:tcW w:w="1474" w:type="dxa"/>
            <w:vAlign w:val="center"/>
          </w:tcPr>
          <w:p w14:paraId="57D1147C">
            <w:pPr>
              <w:pStyle w:val="11"/>
            </w:pPr>
          </w:p>
        </w:tc>
        <w:tc>
          <w:tcPr>
            <w:tcW w:w="3402" w:type="dxa"/>
            <w:vAlign w:val="center"/>
          </w:tcPr>
          <w:p w14:paraId="34EFD6B4">
            <w:pPr>
              <w:pStyle w:val="12"/>
            </w:pPr>
            <w:r>
              <w:t>十、卫生健康支出</w:t>
            </w:r>
          </w:p>
        </w:tc>
        <w:tc>
          <w:tcPr>
            <w:tcW w:w="1474" w:type="dxa"/>
            <w:vAlign w:val="center"/>
          </w:tcPr>
          <w:p w14:paraId="5D30236B">
            <w:pPr>
              <w:pStyle w:val="11"/>
            </w:pPr>
          </w:p>
        </w:tc>
        <w:tc>
          <w:tcPr>
            <w:tcW w:w="1474" w:type="dxa"/>
            <w:vAlign w:val="center"/>
          </w:tcPr>
          <w:p w14:paraId="691C6469">
            <w:pPr>
              <w:pStyle w:val="11"/>
            </w:pPr>
          </w:p>
        </w:tc>
        <w:tc>
          <w:tcPr>
            <w:tcW w:w="1474" w:type="dxa"/>
            <w:vAlign w:val="center"/>
          </w:tcPr>
          <w:p w14:paraId="673880D4">
            <w:pPr>
              <w:pStyle w:val="11"/>
            </w:pPr>
          </w:p>
        </w:tc>
        <w:tc>
          <w:tcPr>
            <w:tcW w:w="1474" w:type="dxa"/>
            <w:vAlign w:val="center"/>
          </w:tcPr>
          <w:p w14:paraId="0BFCF54A">
            <w:pPr>
              <w:pStyle w:val="11"/>
            </w:pPr>
          </w:p>
        </w:tc>
      </w:tr>
      <w:tr w14:paraId="0B700D73">
        <w:tblPrEx>
          <w:tblCellMar>
            <w:top w:w="0" w:type="dxa"/>
            <w:left w:w="108" w:type="dxa"/>
            <w:bottom w:w="0" w:type="dxa"/>
            <w:right w:w="108" w:type="dxa"/>
          </w:tblCellMar>
        </w:tblPrEx>
        <w:trPr>
          <w:trHeight w:val="369" w:hRule="atLeast"/>
          <w:jc w:val="center"/>
        </w:trPr>
        <w:tc>
          <w:tcPr>
            <w:tcW w:w="850" w:type="dxa"/>
            <w:vAlign w:val="center"/>
          </w:tcPr>
          <w:p w14:paraId="6B7F8BEE">
            <w:pPr>
              <w:pStyle w:val="13"/>
            </w:pPr>
            <w:r>
              <w:t>11</w:t>
            </w:r>
          </w:p>
        </w:tc>
        <w:tc>
          <w:tcPr>
            <w:tcW w:w="3402" w:type="dxa"/>
            <w:vAlign w:val="center"/>
          </w:tcPr>
          <w:p w14:paraId="72A2024E">
            <w:pPr>
              <w:pStyle w:val="12"/>
            </w:pPr>
          </w:p>
        </w:tc>
        <w:tc>
          <w:tcPr>
            <w:tcW w:w="1474" w:type="dxa"/>
            <w:vAlign w:val="center"/>
          </w:tcPr>
          <w:p w14:paraId="2E12DAF5">
            <w:pPr>
              <w:pStyle w:val="11"/>
            </w:pPr>
          </w:p>
        </w:tc>
        <w:tc>
          <w:tcPr>
            <w:tcW w:w="3402" w:type="dxa"/>
            <w:vAlign w:val="center"/>
          </w:tcPr>
          <w:p w14:paraId="3E570188">
            <w:pPr>
              <w:pStyle w:val="12"/>
            </w:pPr>
            <w:r>
              <w:t>十一、节能环保支出</w:t>
            </w:r>
          </w:p>
        </w:tc>
        <w:tc>
          <w:tcPr>
            <w:tcW w:w="1474" w:type="dxa"/>
            <w:vAlign w:val="center"/>
          </w:tcPr>
          <w:p w14:paraId="3D24124A">
            <w:pPr>
              <w:pStyle w:val="11"/>
            </w:pPr>
          </w:p>
        </w:tc>
        <w:tc>
          <w:tcPr>
            <w:tcW w:w="1474" w:type="dxa"/>
            <w:vAlign w:val="center"/>
          </w:tcPr>
          <w:p w14:paraId="1BD753D0">
            <w:pPr>
              <w:pStyle w:val="11"/>
            </w:pPr>
          </w:p>
        </w:tc>
        <w:tc>
          <w:tcPr>
            <w:tcW w:w="1474" w:type="dxa"/>
            <w:vAlign w:val="center"/>
          </w:tcPr>
          <w:p w14:paraId="240F80DE">
            <w:pPr>
              <w:pStyle w:val="11"/>
            </w:pPr>
          </w:p>
        </w:tc>
        <w:tc>
          <w:tcPr>
            <w:tcW w:w="1474" w:type="dxa"/>
            <w:vAlign w:val="center"/>
          </w:tcPr>
          <w:p w14:paraId="5B3F1402">
            <w:pPr>
              <w:pStyle w:val="11"/>
            </w:pPr>
          </w:p>
        </w:tc>
      </w:tr>
      <w:tr w14:paraId="4992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F5A8">
            <w:pPr>
              <w:pStyle w:val="13"/>
            </w:pPr>
            <w:r>
              <w:t>12</w:t>
            </w:r>
          </w:p>
        </w:tc>
        <w:tc>
          <w:tcPr>
            <w:tcW w:w="3402" w:type="dxa"/>
            <w:vAlign w:val="center"/>
          </w:tcPr>
          <w:p w14:paraId="020E0FC2">
            <w:pPr>
              <w:pStyle w:val="12"/>
            </w:pPr>
          </w:p>
        </w:tc>
        <w:tc>
          <w:tcPr>
            <w:tcW w:w="1474" w:type="dxa"/>
            <w:vAlign w:val="center"/>
          </w:tcPr>
          <w:p w14:paraId="201CBAEF">
            <w:pPr>
              <w:pStyle w:val="11"/>
            </w:pPr>
          </w:p>
        </w:tc>
        <w:tc>
          <w:tcPr>
            <w:tcW w:w="3402" w:type="dxa"/>
            <w:vAlign w:val="center"/>
          </w:tcPr>
          <w:p w14:paraId="7C03D07C">
            <w:pPr>
              <w:pStyle w:val="12"/>
            </w:pPr>
            <w:r>
              <w:t>十二、城乡社区支出</w:t>
            </w:r>
          </w:p>
        </w:tc>
        <w:tc>
          <w:tcPr>
            <w:tcW w:w="1474" w:type="dxa"/>
            <w:vAlign w:val="center"/>
          </w:tcPr>
          <w:p w14:paraId="2D04531E">
            <w:pPr>
              <w:pStyle w:val="11"/>
            </w:pPr>
          </w:p>
        </w:tc>
        <w:tc>
          <w:tcPr>
            <w:tcW w:w="1474" w:type="dxa"/>
            <w:vAlign w:val="center"/>
          </w:tcPr>
          <w:p w14:paraId="44E850C0">
            <w:pPr>
              <w:pStyle w:val="11"/>
            </w:pPr>
          </w:p>
        </w:tc>
        <w:tc>
          <w:tcPr>
            <w:tcW w:w="1474" w:type="dxa"/>
            <w:vAlign w:val="center"/>
          </w:tcPr>
          <w:p w14:paraId="2D6E1385">
            <w:pPr>
              <w:pStyle w:val="11"/>
            </w:pPr>
          </w:p>
        </w:tc>
        <w:tc>
          <w:tcPr>
            <w:tcW w:w="1474" w:type="dxa"/>
            <w:vAlign w:val="center"/>
          </w:tcPr>
          <w:p w14:paraId="76E96713">
            <w:pPr>
              <w:pStyle w:val="11"/>
            </w:pPr>
          </w:p>
        </w:tc>
      </w:tr>
      <w:tr w14:paraId="1A74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57C28">
            <w:pPr>
              <w:pStyle w:val="13"/>
            </w:pPr>
            <w:r>
              <w:t>13</w:t>
            </w:r>
          </w:p>
        </w:tc>
        <w:tc>
          <w:tcPr>
            <w:tcW w:w="3402" w:type="dxa"/>
            <w:vAlign w:val="center"/>
          </w:tcPr>
          <w:p w14:paraId="74A92B60">
            <w:pPr>
              <w:pStyle w:val="12"/>
            </w:pPr>
          </w:p>
        </w:tc>
        <w:tc>
          <w:tcPr>
            <w:tcW w:w="1474" w:type="dxa"/>
            <w:vAlign w:val="center"/>
          </w:tcPr>
          <w:p w14:paraId="3629CA6B">
            <w:pPr>
              <w:pStyle w:val="11"/>
            </w:pPr>
          </w:p>
        </w:tc>
        <w:tc>
          <w:tcPr>
            <w:tcW w:w="3402" w:type="dxa"/>
            <w:vAlign w:val="center"/>
          </w:tcPr>
          <w:p w14:paraId="1A3EA59E">
            <w:pPr>
              <w:pStyle w:val="12"/>
            </w:pPr>
            <w:r>
              <w:t>十三、农林水支出</w:t>
            </w:r>
          </w:p>
        </w:tc>
        <w:tc>
          <w:tcPr>
            <w:tcW w:w="1474" w:type="dxa"/>
            <w:vAlign w:val="center"/>
          </w:tcPr>
          <w:p w14:paraId="2B3BC7DB">
            <w:pPr>
              <w:pStyle w:val="11"/>
            </w:pPr>
          </w:p>
        </w:tc>
        <w:tc>
          <w:tcPr>
            <w:tcW w:w="1474" w:type="dxa"/>
            <w:vAlign w:val="center"/>
          </w:tcPr>
          <w:p w14:paraId="4F85DCF1">
            <w:pPr>
              <w:pStyle w:val="11"/>
            </w:pPr>
          </w:p>
        </w:tc>
        <w:tc>
          <w:tcPr>
            <w:tcW w:w="1474" w:type="dxa"/>
            <w:vAlign w:val="center"/>
          </w:tcPr>
          <w:p w14:paraId="65D9E12E">
            <w:pPr>
              <w:pStyle w:val="11"/>
            </w:pPr>
          </w:p>
        </w:tc>
        <w:tc>
          <w:tcPr>
            <w:tcW w:w="1474" w:type="dxa"/>
            <w:vAlign w:val="center"/>
          </w:tcPr>
          <w:p w14:paraId="2F221C95">
            <w:pPr>
              <w:pStyle w:val="11"/>
            </w:pPr>
          </w:p>
        </w:tc>
      </w:tr>
      <w:tr w14:paraId="263F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17F2">
            <w:pPr>
              <w:pStyle w:val="13"/>
            </w:pPr>
            <w:r>
              <w:t>14</w:t>
            </w:r>
          </w:p>
        </w:tc>
        <w:tc>
          <w:tcPr>
            <w:tcW w:w="3402" w:type="dxa"/>
            <w:vAlign w:val="center"/>
          </w:tcPr>
          <w:p w14:paraId="183C3ABF">
            <w:pPr>
              <w:pStyle w:val="12"/>
            </w:pPr>
          </w:p>
        </w:tc>
        <w:tc>
          <w:tcPr>
            <w:tcW w:w="1474" w:type="dxa"/>
            <w:vAlign w:val="center"/>
          </w:tcPr>
          <w:p w14:paraId="4977D242">
            <w:pPr>
              <w:pStyle w:val="11"/>
            </w:pPr>
          </w:p>
        </w:tc>
        <w:tc>
          <w:tcPr>
            <w:tcW w:w="3402" w:type="dxa"/>
            <w:vAlign w:val="center"/>
          </w:tcPr>
          <w:p w14:paraId="44E1B07C">
            <w:pPr>
              <w:pStyle w:val="12"/>
            </w:pPr>
            <w:r>
              <w:t>十四、交通运输支出</w:t>
            </w:r>
          </w:p>
        </w:tc>
        <w:tc>
          <w:tcPr>
            <w:tcW w:w="1474" w:type="dxa"/>
            <w:vAlign w:val="center"/>
          </w:tcPr>
          <w:p w14:paraId="7314E997">
            <w:pPr>
              <w:pStyle w:val="11"/>
            </w:pPr>
          </w:p>
        </w:tc>
        <w:tc>
          <w:tcPr>
            <w:tcW w:w="1474" w:type="dxa"/>
            <w:vAlign w:val="center"/>
          </w:tcPr>
          <w:p w14:paraId="3A88551E">
            <w:pPr>
              <w:pStyle w:val="11"/>
            </w:pPr>
          </w:p>
        </w:tc>
        <w:tc>
          <w:tcPr>
            <w:tcW w:w="1474" w:type="dxa"/>
            <w:vAlign w:val="center"/>
          </w:tcPr>
          <w:p w14:paraId="566FAF8E">
            <w:pPr>
              <w:pStyle w:val="11"/>
            </w:pPr>
          </w:p>
        </w:tc>
        <w:tc>
          <w:tcPr>
            <w:tcW w:w="1474" w:type="dxa"/>
            <w:vAlign w:val="center"/>
          </w:tcPr>
          <w:p w14:paraId="2AF376D3">
            <w:pPr>
              <w:pStyle w:val="11"/>
            </w:pPr>
          </w:p>
        </w:tc>
      </w:tr>
      <w:tr w14:paraId="3E3901E4">
        <w:tblPrEx>
          <w:tblCellMar>
            <w:top w:w="0" w:type="dxa"/>
            <w:left w:w="108" w:type="dxa"/>
            <w:bottom w:w="0" w:type="dxa"/>
            <w:right w:w="108" w:type="dxa"/>
          </w:tblCellMar>
        </w:tblPrEx>
        <w:trPr>
          <w:trHeight w:val="369" w:hRule="atLeast"/>
          <w:jc w:val="center"/>
        </w:trPr>
        <w:tc>
          <w:tcPr>
            <w:tcW w:w="850" w:type="dxa"/>
            <w:vAlign w:val="center"/>
          </w:tcPr>
          <w:p w14:paraId="5F320CD6">
            <w:pPr>
              <w:pStyle w:val="13"/>
            </w:pPr>
            <w:r>
              <w:t>15</w:t>
            </w:r>
          </w:p>
        </w:tc>
        <w:tc>
          <w:tcPr>
            <w:tcW w:w="3402" w:type="dxa"/>
            <w:vAlign w:val="center"/>
          </w:tcPr>
          <w:p w14:paraId="4C82355C">
            <w:pPr>
              <w:pStyle w:val="12"/>
            </w:pPr>
          </w:p>
        </w:tc>
        <w:tc>
          <w:tcPr>
            <w:tcW w:w="1474" w:type="dxa"/>
            <w:vAlign w:val="center"/>
          </w:tcPr>
          <w:p w14:paraId="007BE672">
            <w:pPr>
              <w:pStyle w:val="11"/>
            </w:pPr>
          </w:p>
        </w:tc>
        <w:tc>
          <w:tcPr>
            <w:tcW w:w="3402" w:type="dxa"/>
            <w:vAlign w:val="center"/>
          </w:tcPr>
          <w:p w14:paraId="48A14DD8">
            <w:pPr>
              <w:pStyle w:val="12"/>
            </w:pPr>
            <w:r>
              <w:t>十五、资源勘探工业信息等支出</w:t>
            </w:r>
          </w:p>
        </w:tc>
        <w:tc>
          <w:tcPr>
            <w:tcW w:w="1474" w:type="dxa"/>
            <w:vAlign w:val="center"/>
          </w:tcPr>
          <w:p w14:paraId="41E3F211">
            <w:pPr>
              <w:pStyle w:val="11"/>
            </w:pPr>
          </w:p>
        </w:tc>
        <w:tc>
          <w:tcPr>
            <w:tcW w:w="1474" w:type="dxa"/>
            <w:vAlign w:val="center"/>
          </w:tcPr>
          <w:p w14:paraId="55843E44">
            <w:pPr>
              <w:pStyle w:val="11"/>
            </w:pPr>
          </w:p>
        </w:tc>
        <w:tc>
          <w:tcPr>
            <w:tcW w:w="1474" w:type="dxa"/>
            <w:vAlign w:val="center"/>
          </w:tcPr>
          <w:p w14:paraId="1D51B837">
            <w:pPr>
              <w:pStyle w:val="11"/>
            </w:pPr>
          </w:p>
        </w:tc>
        <w:tc>
          <w:tcPr>
            <w:tcW w:w="1474" w:type="dxa"/>
            <w:vAlign w:val="center"/>
          </w:tcPr>
          <w:p w14:paraId="0B071998">
            <w:pPr>
              <w:pStyle w:val="11"/>
            </w:pPr>
          </w:p>
        </w:tc>
      </w:tr>
      <w:tr w14:paraId="20753B6D">
        <w:tblPrEx>
          <w:tblCellMar>
            <w:top w:w="0" w:type="dxa"/>
            <w:left w:w="108" w:type="dxa"/>
            <w:bottom w:w="0" w:type="dxa"/>
            <w:right w:w="108" w:type="dxa"/>
          </w:tblCellMar>
        </w:tblPrEx>
        <w:trPr>
          <w:trHeight w:val="369" w:hRule="atLeast"/>
          <w:jc w:val="center"/>
        </w:trPr>
        <w:tc>
          <w:tcPr>
            <w:tcW w:w="850" w:type="dxa"/>
            <w:vAlign w:val="center"/>
          </w:tcPr>
          <w:p w14:paraId="149FC26F">
            <w:pPr>
              <w:pStyle w:val="13"/>
            </w:pPr>
            <w:r>
              <w:t>16</w:t>
            </w:r>
          </w:p>
        </w:tc>
        <w:tc>
          <w:tcPr>
            <w:tcW w:w="3402" w:type="dxa"/>
            <w:vAlign w:val="center"/>
          </w:tcPr>
          <w:p w14:paraId="4CE61DF0">
            <w:pPr>
              <w:pStyle w:val="12"/>
            </w:pPr>
          </w:p>
        </w:tc>
        <w:tc>
          <w:tcPr>
            <w:tcW w:w="1474" w:type="dxa"/>
            <w:vAlign w:val="center"/>
          </w:tcPr>
          <w:p w14:paraId="5A945B9A">
            <w:pPr>
              <w:pStyle w:val="11"/>
            </w:pPr>
          </w:p>
        </w:tc>
        <w:tc>
          <w:tcPr>
            <w:tcW w:w="3402" w:type="dxa"/>
            <w:vAlign w:val="center"/>
          </w:tcPr>
          <w:p w14:paraId="0FBCDB93">
            <w:pPr>
              <w:pStyle w:val="12"/>
            </w:pPr>
            <w:r>
              <w:t>十六、商业服务业等支出</w:t>
            </w:r>
          </w:p>
        </w:tc>
        <w:tc>
          <w:tcPr>
            <w:tcW w:w="1474" w:type="dxa"/>
            <w:vAlign w:val="center"/>
          </w:tcPr>
          <w:p w14:paraId="60D28FB9">
            <w:pPr>
              <w:pStyle w:val="11"/>
            </w:pPr>
          </w:p>
        </w:tc>
        <w:tc>
          <w:tcPr>
            <w:tcW w:w="1474" w:type="dxa"/>
            <w:vAlign w:val="center"/>
          </w:tcPr>
          <w:p w14:paraId="2A0E4A2D">
            <w:pPr>
              <w:pStyle w:val="11"/>
            </w:pPr>
          </w:p>
        </w:tc>
        <w:tc>
          <w:tcPr>
            <w:tcW w:w="1474" w:type="dxa"/>
            <w:vAlign w:val="center"/>
          </w:tcPr>
          <w:p w14:paraId="40348B40">
            <w:pPr>
              <w:pStyle w:val="11"/>
            </w:pPr>
          </w:p>
        </w:tc>
        <w:tc>
          <w:tcPr>
            <w:tcW w:w="1474" w:type="dxa"/>
            <w:vAlign w:val="center"/>
          </w:tcPr>
          <w:p w14:paraId="2AAC802E">
            <w:pPr>
              <w:pStyle w:val="11"/>
            </w:pPr>
          </w:p>
        </w:tc>
      </w:tr>
      <w:tr w14:paraId="20C5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CAA2">
            <w:pPr>
              <w:pStyle w:val="13"/>
            </w:pPr>
            <w:r>
              <w:t>17</w:t>
            </w:r>
          </w:p>
        </w:tc>
        <w:tc>
          <w:tcPr>
            <w:tcW w:w="3402" w:type="dxa"/>
            <w:vAlign w:val="center"/>
          </w:tcPr>
          <w:p w14:paraId="317292D9">
            <w:pPr>
              <w:pStyle w:val="12"/>
            </w:pPr>
          </w:p>
        </w:tc>
        <w:tc>
          <w:tcPr>
            <w:tcW w:w="1474" w:type="dxa"/>
            <w:vAlign w:val="center"/>
          </w:tcPr>
          <w:p w14:paraId="3E1087A8">
            <w:pPr>
              <w:pStyle w:val="11"/>
            </w:pPr>
          </w:p>
        </w:tc>
        <w:tc>
          <w:tcPr>
            <w:tcW w:w="3402" w:type="dxa"/>
            <w:vAlign w:val="center"/>
          </w:tcPr>
          <w:p w14:paraId="3A0EDC45">
            <w:pPr>
              <w:pStyle w:val="12"/>
            </w:pPr>
            <w:r>
              <w:t>十七、金融支出</w:t>
            </w:r>
          </w:p>
        </w:tc>
        <w:tc>
          <w:tcPr>
            <w:tcW w:w="1474" w:type="dxa"/>
            <w:vAlign w:val="center"/>
          </w:tcPr>
          <w:p w14:paraId="2D2447EE">
            <w:pPr>
              <w:pStyle w:val="11"/>
            </w:pPr>
          </w:p>
        </w:tc>
        <w:tc>
          <w:tcPr>
            <w:tcW w:w="1474" w:type="dxa"/>
            <w:vAlign w:val="center"/>
          </w:tcPr>
          <w:p w14:paraId="0A7F64FE">
            <w:pPr>
              <w:pStyle w:val="11"/>
            </w:pPr>
          </w:p>
        </w:tc>
        <w:tc>
          <w:tcPr>
            <w:tcW w:w="1474" w:type="dxa"/>
            <w:vAlign w:val="center"/>
          </w:tcPr>
          <w:p w14:paraId="354371D4">
            <w:pPr>
              <w:pStyle w:val="11"/>
            </w:pPr>
          </w:p>
        </w:tc>
        <w:tc>
          <w:tcPr>
            <w:tcW w:w="1474" w:type="dxa"/>
            <w:vAlign w:val="center"/>
          </w:tcPr>
          <w:p w14:paraId="44A823F9">
            <w:pPr>
              <w:pStyle w:val="11"/>
            </w:pPr>
          </w:p>
        </w:tc>
      </w:tr>
      <w:tr w14:paraId="5781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2027">
            <w:pPr>
              <w:pStyle w:val="13"/>
            </w:pPr>
            <w:r>
              <w:t>18</w:t>
            </w:r>
          </w:p>
        </w:tc>
        <w:tc>
          <w:tcPr>
            <w:tcW w:w="3402" w:type="dxa"/>
            <w:vAlign w:val="center"/>
          </w:tcPr>
          <w:p w14:paraId="1199F5B7">
            <w:pPr>
              <w:pStyle w:val="12"/>
            </w:pPr>
          </w:p>
        </w:tc>
        <w:tc>
          <w:tcPr>
            <w:tcW w:w="1474" w:type="dxa"/>
            <w:vAlign w:val="center"/>
          </w:tcPr>
          <w:p w14:paraId="731B89EA">
            <w:pPr>
              <w:pStyle w:val="11"/>
            </w:pPr>
          </w:p>
        </w:tc>
        <w:tc>
          <w:tcPr>
            <w:tcW w:w="3402" w:type="dxa"/>
            <w:vAlign w:val="center"/>
          </w:tcPr>
          <w:p w14:paraId="08E6AAB8">
            <w:pPr>
              <w:pStyle w:val="12"/>
            </w:pPr>
            <w:r>
              <w:t>十八、援助其他地区支出</w:t>
            </w:r>
          </w:p>
        </w:tc>
        <w:tc>
          <w:tcPr>
            <w:tcW w:w="1474" w:type="dxa"/>
            <w:vAlign w:val="center"/>
          </w:tcPr>
          <w:p w14:paraId="38F64C8B">
            <w:pPr>
              <w:pStyle w:val="11"/>
            </w:pPr>
          </w:p>
        </w:tc>
        <w:tc>
          <w:tcPr>
            <w:tcW w:w="1474" w:type="dxa"/>
            <w:vAlign w:val="center"/>
          </w:tcPr>
          <w:p w14:paraId="40E9CCEB">
            <w:pPr>
              <w:pStyle w:val="11"/>
            </w:pPr>
          </w:p>
        </w:tc>
        <w:tc>
          <w:tcPr>
            <w:tcW w:w="1474" w:type="dxa"/>
            <w:vAlign w:val="center"/>
          </w:tcPr>
          <w:p w14:paraId="52B6E035">
            <w:pPr>
              <w:pStyle w:val="11"/>
            </w:pPr>
          </w:p>
        </w:tc>
        <w:tc>
          <w:tcPr>
            <w:tcW w:w="1474" w:type="dxa"/>
            <w:vAlign w:val="center"/>
          </w:tcPr>
          <w:p w14:paraId="342B811F">
            <w:pPr>
              <w:pStyle w:val="11"/>
            </w:pPr>
          </w:p>
        </w:tc>
      </w:tr>
      <w:tr w14:paraId="4B31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6F701">
            <w:pPr>
              <w:pStyle w:val="13"/>
            </w:pPr>
            <w:r>
              <w:t>19</w:t>
            </w:r>
          </w:p>
        </w:tc>
        <w:tc>
          <w:tcPr>
            <w:tcW w:w="3402" w:type="dxa"/>
            <w:vAlign w:val="center"/>
          </w:tcPr>
          <w:p w14:paraId="004273D2">
            <w:pPr>
              <w:pStyle w:val="12"/>
            </w:pPr>
          </w:p>
        </w:tc>
        <w:tc>
          <w:tcPr>
            <w:tcW w:w="1474" w:type="dxa"/>
            <w:vAlign w:val="center"/>
          </w:tcPr>
          <w:p w14:paraId="7D89A682">
            <w:pPr>
              <w:pStyle w:val="11"/>
            </w:pPr>
          </w:p>
        </w:tc>
        <w:tc>
          <w:tcPr>
            <w:tcW w:w="3402" w:type="dxa"/>
            <w:vAlign w:val="center"/>
          </w:tcPr>
          <w:p w14:paraId="4E222897">
            <w:pPr>
              <w:pStyle w:val="12"/>
            </w:pPr>
            <w:r>
              <w:t>十九、自然资源海洋气象等支出</w:t>
            </w:r>
          </w:p>
        </w:tc>
        <w:tc>
          <w:tcPr>
            <w:tcW w:w="1474" w:type="dxa"/>
            <w:vAlign w:val="center"/>
          </w:tcPr>
          <w:p w14:paraId="40AF1718">
            <w:pPr>
              <w:pStyle w:val="11"/>
            </w:pPr>
          </w:p>
        </w:tc>
        <w:tc>
          <w:tcPr>
            <w:tcW w:w="1474" w:type="dxa"/>
            <w:vAlign w:val="center"/>
          </w:tcPr>
          <w:p w14:paraId="626376C9">
            <w:pPr>
              <w:pStyle w:val="11"/>
            </w:pPr>
          </w:p>
        </w:tc>
        <w:tc>
          <w:tcPr>
            <w:tcW w:w="1474" w:type="dxa"/>
            <w:vAlign w:val="center"/>
          </w:tcPr>
          <w:p w14:paraId="406BB3D0">
            <w:pPr>
              <w:pStyle w:val="11"/>
            </w:pPr>
          </w:p>
        </w:tc>
        <w:tc>
          <w:tcPr>
            <w:tcW w:w="1474" w:type="dxa"/>
            <w:vAlign w:val="center"/>
          </w:tcPr>
          <w:p w14:paraId="04FF6120">
            <w:pPr>
              <w:pStyle w:val="11"/>
            </w:pPr>
          </w:p>
        </w:tc>
      </w:tr>
      <w:tr w14:paraId="55CE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914CE">
            <w:pPr>
              <w:pStyle w:val="13"/>
            </w:pPr>
            <w:r>
              <w:t>20</w:t>
            </w:r>
          </w:p>
        </w:tc>
        <w:tc>
          <w:tcPr>
            <w:tcW w:w="3402" w:type="dxa"/>
            <w:vAlign w:val="center"/>
          </w:tcPr>
          <w:p w14:paraId="0D9C9285">
            <w:pPr>
              <w:pStyle w:val="12"/>
            </w:pPr>
          </w:p>
        </w:tc>
        <w:tc>
          <w:tcPr>
            <w:tcW w:w="1474" w:type="dxa"/>
            <w:vAlign w:val="center"/>
          </w:tcPr>
          <w:p w14:paraId="48A8BC37">
            <w:pPr>
              <w:pStyle w:val="11"/>
            </w:pPr>
          </w:p>
        </w:tc>
        <w:tc>
          <w:tcPr>
            <w:tcW w:w="3402" w:type="dxa"/>
            <w:vAlign w:val="center"/>
          </w:tcPr>
          <w:p w14:paraId="280A00FE">
            <w:pPr>
              <w:pStyle w:val="12"/>
            </w:pPr>
            <w:r>
              <w:t>二十、住房保障支出</w:t>
            </w:r>
          </w:p>
        </w:tc>
        <w:tc>
          <w:tcPr>
            <w:tcW w:w="1474" w:type="dxa"/>
            <w:vAlign w:val="center"/>
          </w:tcPr>
          <w:p w14:paraId="16A5DEE6">
            <w:pPr>
              <w:pStyle w:val="11"/>
            </w:pPr>
          </w:p>
        </w:tc>
        <w:tc>
          <w:tcPr>
            <w:tcW w:w="1474" w:type="dxa"/>
            <w:vAlign w:val="center"/>
          </w:tcPr>
          <w:p w14:paraId="5EC3D72A">
            <w:pPr>
              <w:pStyle w:val="11"/>
            </w:pPr>
          </w:p>
        </w:tc>
        <w:tc>
          <w:tcPr>
            <w:tcW w:w="1474" w:type="dxa"/>
            <w:vAlign w:val="center"/>
          </w:tcPr>
          <w:p w14:paraId="2A9CBC09">
            <w:pPr>
              <w:pStyle w:val="11"/>
            </w:pPr>
          </w:p>
        </w:tc>
        <w:tc>
          <w:tcPr>
            <w:tcW w:w="1474" w:type="dxa"/>
            <w:vAlign w:val="center"/>
          </w:tcPr>
          <w:p w14:paraId="43C4C4B9">
            <w:pPr>
              <w:pStyle w:val="11"/>
            </w:pPr>
          </w:p>
        </w:tc>
      </w:tr>
      <w:tr w14:paraId="26C4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8306">
            <w:pPr>
              <w:pStyle w:val="13"/>
            </w:pPr>
            <w:r>
              <w:t>21</w:t>
            </w:r>
          </w:p>
        </w:tc>
        <w:tc>
          <w:tcPr>
            <w:tcW w:w="3402" w:type="dxa"/>
            <w:vAlign w:val="center"/>
          </w:tcPr>
          <w:p w14:paraId="3D0672F6">
            <w:pPr>
              <w:pStyle w:val="12"/>
            </w:pPr>
          </w:p>
        </w:tc>
        <w:tc>
          <w:tcPr>
            <w:tcW w:w="1474" w:type="dxa"/>
            <w:vAlign w:val="center"/>
          </w:tcPr>
          <w:p w14:paraId="20E47529">
            <w:pPr>
              <w:pStyle w:val="11"/>
            </w:pPr>
          </w:p>
        </w:tc>
        <w:tc>
          <w:tcPr>
            <w:tcW w:w="3402" w:type="dxa"/>
            <w:vAlign w:val="center"/>
          </w:tcPr>
          <w:p w14:paraId="0DC8324B">
            <w:pPr>
              <w:pStyle w:val="12"/>
            </w:pPr>
            <w:r>
              <w:t>二十一、粮油物资储备支出</w:t>
            </w:r>
          </w:p>
        </w:tc>
        <w:tc>
          <w:tcPr>
            <w:tcW w:w="1474" w:type="dxa"/>
            <w:vAlign w:val="center"/>
          </w:tcPr>
          <w:p w14:paraId="7853DCC9">
            <w:pPr>
              <w:pStyle w:val="11"/>
            </w:pPr>
          </w:p>
        </w:tc>
        <w:tc>
          <w:tcPr>
            <w:tcW w:w="1474" w:type="dxa"/>
            <w:vAlign w:val="center"/>
          </w:tcPr>
          <w:p w14:paraId="4E285AF9">
            <w:pPr>
              <w:pStyle w:val="11"/>
            </w:pPr>
          </w:p>
        </w:tc>
        <w:tc>
          <w:tcPr>
            <w:tcW w:w="1474" w:type="dxa"/>
            <w:vAlign w:val="center"/>
          </w:tcPr>
          <w:p w14:paraId="01AA1A9F">
            <w:pPr>
              <w:pStyle w:val="11"/>
            </w:pPr>
          </w:p>
        </w:tc>
        <w:tc>
          <w:tcPr>
            <w:tcW w:w="1474" w:type="dxa"/>
            <w:vAlign w:val="center"/>
          </w:tcPr>
          <w:p w14:paraId="0D957CD9">
            <w:pPr>
              <w:pStyle w:val="11"/>
            </w:pPr>
          </w:p>
        </w:tc>
      </w:tr>
      <w:tr w14:paraId="1686103D">
        <w:tblPrEx>
          <w:tblCellMar>
            <w:top w:w="0" w:type="dxa"/>
            <w:left w:w="108" w:type="dxa"/>
            <w:bottom w:w="0" w:type="dxa"/>
            <w:right w:w="108" w:type="dxa"/>
          </w:tblCellMar>
        </w:tblPrEx>
        <w:trPr>
          <w:trHeight w:val="369" w:hRule="atLeast"/>
          <w:jc w:val="center"/>
        </w:trPr>
        <w:tc>
          <w:tcPr>
            <w:tcW w:w="850" w:type="dxa"/>
            <w:vAlign w:val="center"/>
          </w:tcPr>
          <w:p w14:paraId="66DDEA64">
            <w:pPr>
              <w:pStyle w:val="13"/>
            </w:pPr>
            <w:r>
              <w:t>22</w:t>
            </w:r>
          </w:p>
        </w:tc>
        <w:tc>
          <w:tcPr>
            <w:tcW w:w="3402" w:type="dxa"/>
            <w:vAlign w:val="center"/>
          </w:tcPr>
          <w:p w14:paraId="4727D55C">
            <w:pPr>
              <w:pStyle w:val="12"/>
            </w:pPr>
          </w:p>
        </w:tc>
        <w:tc>
          <w:tcPr>
            <w:tcW w:w="1474" w:type="dxa"/>
            <w:vAlign w:val="center"/>
          </w:tcPr>
          <w:p w14:paraId="2B5482C3">
            <w:pPr>
              <w:pStyle w:val="11"/>
            </w:pPr>
          </w:p>
        </w:tc>
        <w:tc>
          <w:tcPr>
            <w:tcW w:w="3402" w:type="dxa"/>
            <w:vAlign w:val="center"/>
          </w:tcPr>
          <w:p w14:paraId="3C4D6DAC">
            <w:pPr>
              <w:pStyle w:val="12"/>
            </w:pPr>
            <w:r>
              <w:t>二十二、国有资本经营预算支出</w:t>
            </w:r>
          </w:p>
        </w:tc>
        <w:tc>
          <w:tcPr>
            <w:tcW w:w="1474" w:type="dxa"/>
            <w:vAlign w:val="center"/>
          </w:tcPr>
          <w:p w14:paraId="1C213BE2">
            <w:pPr>
              <w:pStyle w:val="11"/>
            </w:pPr>
          </w:p>
        </w:tc>
        <w:tc>
          <w:tcPr>
            <w:tcW w:w="1474" w:type="dxa"/>
            <w:vAlign w:val="center"/>
          </w:tcPr>
          <w:p w14:paraId="5EC8B77F">
            <w:pPr>
              <w:pStyle w:val="11"/>
            </w:pPr>
          </w:p>
        </w:tc>
        <w:tc>
          <w:tcPr>
            <w:tcW w:w="1474" w:type="dxa"/>
            <w:vAlign w:val="center"/>
          </w:tcPr>
          <w:p w14:paraId="5BC4B61C">
            <w:pPr>
              <w:pStyle w:val="11"/>
            </w:pPr>
          </w:p>
        </w:tc>
        <w:tc>
          <w:tcPr>
            <w:tcW w:w="1474" w:type="dxa"/>
            <w:vAlign w:val="center"/>
          </w:tcPr>
          <w:p w14:paraId="4586E362">
            <w:pPr>
              <w:pStyle w:val="11"/>
            </w:pPr>
          </w:p>
        </w:tc>
      </w:tr>
      <w:tr w14:paraId="6F6C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9579">
            <w:pPr>
              <w:pStyle w:val="13"/>
            </w:pPr>
            <w:r>
              <w:t>23</w:t>
            </w:r>
          </w:p>
        </w:tc>
        <w:tc>
          <w:tcPr>
            <w:tcW w:w="3402" w:type="dxa"/>
            <w:vAlign w:val="center"/>
          </w:tcPr>
          <w:p w14:paraId="2D6948D5">
            <w:pPr>
              <w:pStyle w:val="12"/>
            </w:pPr>
          </w:p>
        </w:tc>
        <w:tc>
          <w:tcPr>
            <w:tcW w:w="1474" w:type="dxa"/>
            <w:vAlign w:val="center"/>
          </w:tcPr>
          <w:p w14:paraId="5C4F8AF4">
            <w:pPr>
              <w:pStyle w:val="11"/>
            </w:pPr>
          </w:p>
        </w:tc>
        <w:tc>
          <w:tcPr>
            <w:tcW w:w="3402" w:type="dxa"/>
            <w:vAlign w:val="center"/>
          </w:tcPr>
          <w:p w14:paraId="5D8C0ACF">
            <w:pPr>
              <w:pStyle w:val="12"/>
            </w:pPr>
            <w:r>
              <w:t>二十三、灾害防治及应急管理支出</w:t>
            </w:r>
          </w:p>
        </w:tc>
        <w:tc>
          <w:tcPr>
            <w:tcW w:w="1474" w:type="dxa"/>
            <w:vAlign w:val="center"/>
          </w:tcPr>
          <w:p w14:paraId="40FEC801">
            <w:pPr>
              <w:pStyle w:val="11"/>
            </w:pPr>
          </w:p>
        </w:tc>
        <w:tc>
          <w:tcPr>
            <w:tcW w:w="1474" w:type="dxa"/>
            <w:vAlign w:val="center"/>
          </w:tcPr>
          <w:p w14:paraId="1A92D275">
            <w:pPr>
              <w:pStyle w:val="11"/>
            </w:pPr>
          </w:p>
        </w:tc>
        <w:tc>
          <w:tcPr>
            <w:tcW w:w="1474" w:type="dxa"/>
            <w:vAlign w:val="center"/>
          </w:tcPr>
          <w:p w14:paraId="55F2A6DC">
            <w:pPr>
              <w:pStyle w:val="11"/>
            </w:pPr>
          </w:p>
        </w:tc>
        <w:tc>
          <w:tcPr>
            <w:tcW w:w="1474" w:type="dxa"/>
            <w:vAlign w:val="center"/>
          </w:tcPr>
          <w:p w14:paraId="11D2BE6F">
            <w:pPr>
              <w:pStyle w:val="11"/>
            </w:pPr>
          </w:p>
        </w:tc>
      </w:tr>
      <w:tr w14:paraId="04C5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44C7">
            <w:pPr>
              <w:pStyle w:val="13"/>
            </w:pPr>
            <w:r>
              <w:t>24</w:t>
            </w:r>
          </w:p>
        </w:tc>
        <w:tc>
          <w:tcPr>
            <w:tcW w:w="3402" w:type="dxa"/>
            <w:vAlign w:val="center"/>
          </w:tcPr>
          <w:p w14:paraId="75DC7906">
            <w:pPr>
              <w:pStyle w:val="12"/>
            </w:pPr>
          </w:p>
        </w:tc>
        <w:tc>
          <w:tcPr>
            <w:tcW w:w="1474" w:type="dxa"/>
            <w:vAlign w:val="center"/>
          </w:tcPr>
          <w:p w14:paraId="624C6024">
            <w:pPr>
              <w:pStyle w:val="11"/>
            </w:pPr>
          </w:p>
        </w:tc>
        <w:tc>
          <w:tcPr>
            <w:tcW w:w="3402" w:type="dxa"/>
            <w:vAlign w:val="center"/>
          </w:tcPr>
          <w:p w14:paraId="788A6CAE">
            <w:pPr>
              <w:pStyle w:val="12"/>
            </w:pPr>
            <w:r>
              <w:t>二十四、预备费</w:t>
            </w:r>
          </w:p>
        </w:tc>
        <w:tc>
          <w:tcPr>
            <w:tcW w:w="1474" w:type="dxa"/>
            <w:vAlign w:val="center"/>
          </w:tcPr>
          <w:p w14:paraId="1D5FE964">
            <w:pPr>
              <w:pStyle w:val="11"/>
            </w:pPr>
          </w:p>
        </w:tc>
        <w:tc>
          <w:tcPr>
            <w:tcW w:w="1474" w:type="dxa"/>
            <w:vAlign w:val="center"/>
          </w:tcPr>
          <w:p w14:paraId="285CD38C">
            <w:pPr>
              <w:pStyle w:val="11"/>
            </w:pPr>
          </w:p>
        </w:tc>
        <w:tc>
          <w:tcPr>
            <w:tcW w:w="1474" w:type="dxa"/>
            <w:vAlign w:val="center"/>
          </w:tcPr>
          <w:p w14:paraId="53A07EA8">
            <w:pPr>
              <w:pStyle w:val="11"/>
            </w:pPr>
          </w:p>
        </w:tc>
        <w:tc>
          <w:tcPr>
            <w:tcW w:w="1474" w:type="dxa"/>
            <w:vAlign w:val="center"/>
          </w:tcPr>
          <w:p w14:paraId="502B803A">
            <w:pPr>
              <w:pStyle w:val="11"/>
            </w:pPr>
          </w:p>
        </w:tc>
      </w:tr>
      <w:tr w14:paraId="5255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5BF20">
            <w:pPr>
              <w:pStyle w:val="13"/>
            </w:pPr>
            <w:r>
              <w:t>25</w:t>
            </w:r>
          </w:p>
        </w:tc>
        <w:tc>
          <w:tcPr>
            <w:tcW w:w="3402" w:type="dxa"/>
            <w:vAlign w:val="center"/>
          </w:tcPr>
          <w:p w14:paraId="45181E98">
            <w:pPr>
              <w:pStyle w:val="12"/>
            </w:pPr>
          </w:p>
        </w:tc>
        <w:tc>
          <w:tcPr>
            <w:tcW w:w="1474" w:type="dxa"/>
            <w:vAlign w:val="center"/>
          </w:tcPr>
          <w:p w14:paraId="1858689C">
            <w:pPr>
              <w:pStyle w:val="11"/>
            </w:pPr>
          </w:p>
        </w:tc>
        <w:tc>
          <w:tcPr>
            <w:tcW w:w="3402" w:type="dxa"/>
            <w:vAlign w:val="center"/>
          </w:tcPr>
          <w:p w14:paraId="33C853F5">
            <w:pPr>
              <w:pStyle w:val="12"/>
            </w:pPr>
            <w:r>
              <w:t>二十五、其他支出</w:t>
            </w:r>
          </w:p>
        </w:tc>
        <w:tc>
          <w:tcPr>
            <w:tcW w:w="1474" w:type="dxa"/>
            <w:vAlign w:val="center"/>
          </w:tcPr>
          <w:p w14:paraId="7B14886F">
            <w:pPr>
              <w:pStyle w:val="11"/>
            </w:pPr>
          </w:p>
        </w:tc>
        <w:tc>
          <w:tcPr>
            <w:tcW w:w="1474" w:type="dxa"/>
            <w:vAlign w:val="center"/>
          </w:tcPr>
          <w:p w14:paraId="1F8295F0">
            <w:pPr>
              <w:pStyle w:val="11"/>
            </w:pPr>
          </w:p>
        </w:tc>
        <w:tc>
          <w:tcPr>
            <w:tcW w:w="1474" w:type="dxa"/>
            <w:vAlign w:val="center"/>
          </w:tcPr>
          <w:p w14:paraId="0A42771F">
            <w:pPr>
              <w:pStyle w:val="11"/>
            </w:pPr>
          </w:p>
        </w:tc>
        <w:tc>
          <w:tcPr>
            <w:tcW w:w="1474" w:type="dxa"/>
            <w:vAlign w:val="center"/>
          </w:tcPr>
          <w:p w14:paraId="570CD4B8">
            <w:pPr>
              <w:pStyle w:val="11"/>
            </w:pPr>
          </w:p>
        </w:tc>
      </w:tr>
      <w:tr w14:paraId="71FD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CEDA">
            <w:pPr>
              <w:pStyle w:val="13"/>
            </w:pPr>
            <w:r>
              <w:t>26</w:t>
            </w:r>
          </w:p>
        </w:tc>
        <w:tc>
          <w:tcPr>
            <w:tcW w:w="3402" w:type="dxa"/>
            <w:vAlign w:val="center"/>
          </w:tcPr>
          <w:p w14:paraId="353052EA">
            <w:pPr>
              <w:pStyle w:val="12"/>
            </w:pPr>
          </w:p>
        </w:tc>
        <w:tc>
          <w:tcPr>
            <w:tcW w:w="1474" w:type="dxa"/>
            <w:vAlign w:val="center"/>
          </w:tcPr>
          <w:p w14:paraId="73B8C4EB">
            <w:pPr>
              <w:pStyle w:val="11"/>
            </w:pPr>
          </w:p>
        </w:tc>
        <w:tc>
          <w:tcPr>
            <w:tcW w:w="3402" w:type="dxa"/>
            <w:vAlign w:val="center"/>
          </w:tcPr>
          <w:p w14:paraId="0FA9B5A0">
            <w:pPr>
              <w:pStyle w:val="12"/>
            </w:pPr>
            <w:r>
              <w:t>二十六、转移性支出</w:t>
            </w:r>
          </w:p>
        </w:tc>
        <w:tc>
          <w:tcPr>
            <w:tcW w:w="1474" w:type="dxa"/>
            <w:vAlign w:val="center"/>
          </w:tcPr>
          <w:p w14:paraId="24BC8646">
            <w:pPr>
              <w:pStyle w:val="11"/>
            </w:pPr>
          </w:p>
        </w:tc>
        <w:tc>
          <w:tcPr>
            <w:tcW w:w="1474" w:type="dxa"/>
            <w:vAlign w:val="center"/>
          </w:tcPr>
          <w:p w14:paraId="65F162BA">
            <w:pPr>
              <w:pStyle w:val="11"/>
            </w:pPr>
          </w:p>
        </w:tc>
        <w:tc>
          <w:tcPr>
            <w:tcW w:w="1474" w:type="dxa"/>
            <w:vAlign w:val="center"/>
          </w:tcPr>
          <w:p w14:paraId="4F45906B">
            <w:pPr>
              <w:pStyle w:val="11"/>
            </w:pPr>
          </w:p>
        </w:tc>
        <w:tc>
          <w:tcPr>
            <w:tcW w:w="1474" w:type="dxa"/>
            <w:vAlign w:val="center"/>
          </w:tcPr>
          <w:p w14:paraId="34709EEB">
            <w:pPr>
              <w:pStyle w:val="11"/>
            </w:pPr>
          </w:p>
        </w:tc>
      </w:tr>
      <w:tr w14:paraId="31E6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FE0C3">
            <w:pPr>
              <w:pStyle w:val="13"/>
            </w:pPr>
            <w:r>
              <w:t>27</w:t>
            </w:r>
          </w:p>
        </w:tc>
        <w:tc>
          <w:tcPr>
            <w:tcW w:w="3402" w:type="dxa"/>
            <w:vAlign w:val="center"/>
          </w:tcPr>
          <w:p w14:paraId="39F62026">
            <w:pPr>
              <w:pStyle w:val="12"/>
            </w:pPr>
          </w:p>
        </w:tc>
        <w:tc>
          <w:tcPr>
            <w:tcW w:w="1474" w:type="dxa"/>
            <w:vAlign w:val="center"/>
          </w:tcPr>
          <w:p w14:paraId="406BAF34">
            <w:pPr>
              <w:pStyle w:val="11"/>
            </w:pPr>
          </w:p>
        </w:tc>
        <w:tc>
          <w:tcPr>
            <w:tcW w:w="3402" w:type="dxa"/>
            <w:vAlign w:val="center"/>
          </w:tcPr>
          <w:p w14:paraId="391DABE6">
            <w:pPr>
              <w:pStyle w:val="12"/>
            </w:pPr>
            <w:r>
              <w:t>二十七、债务还本支出</w:t>
            </w:r>
          </w:p>
        </w:tc>
        <w:tc>
          <w:tcPr>
            <w:tcW w:w="1474" w:type="dxa"/>
            <w:vAlign w:val="center"/>
          </w:tcPr>
          <w:p w14:paraId="0596CBEF">
            <w:pPr>
              <w:pStyle w:val="11"/>
            </w:pPr>
          </w:p>
        </w:tc>
        <w:tc>
          <w:tcPr>
            <w:tcW w:w="1474" w:type="dxa"/>
            <w:vAlign w:val="center"/>
          </w:tcPr>
          <w:p w14:paraId="5CE4D406">
            <w:pPr>
              <w:pStyle w:val="11"/>
            </w:pPr>
          </w:p>
        </w:tc>
        <w:tc>
          <w:tcPr>
            <w:tcW w:w="1474" w:type="dxa"/>
            <w:vAlign w:val="center"/>
          </w:tcPr>
          <w:p w14:paraId="06E5E7A3">
            <w:pPr>
              <w:pStyle w:val="11"/>
            </w:pPr>
          </w:p>
        </w:tc>
        <w:tc>
          <w:tcPr>
            <w:tcW w:w="1474" w:type="dxa"/>
            <w:vAlign w:val="center"/>
          </w:tcPr>
          <w:p w14:paraId="7AF2DC45">
            <w:pPr>
              <w:pStyle w:val="11"/>
            </w:pPr>
          </w:p>
        </w:tc>
      </w:tr>
      <w:tr w14:paraId="7A8D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EBA4">
            <w:pPr>
              <w:pStyle w:val="13"/>
            </w:pPr>
            <w:r>
              <w:t>28</w:t>
            </w:r>
          </w:p>
        </w:tc>
        <w:tc>
          <w:tcPr>
            <w:tcW w:w="3402" w:type="dxa"/>
            <w:vAlign w:val="center"/>
          </w:tcPr>
          <w:p w14:paraId="6CB18642">
            <w:pPr>
              <w:pStyle w:val="12"/>
            </w:pPr>
          </w:p>
        </w:tc>
        <w:tc>
          <w:tcPr>
            <w:tcW w:w="1474" w:type="dxa"/>
            <w:vAlign w:val="center"/>
          </w:tcPr>
          <w:p w14:paraId="329D7803">
            <w:pPr>
              <w:pStyle w:val="11"/>
            </w:pPr>
          </w:p>
        </w:tc>
        <w:tc>
          <w:tcPr>
            <w:tcW w:w="3402" w:type="dxa"/>
            <w:vAlign w:val="center"/>
          </w:tcPr>
          <w:p w14:paraId="3D7091A2">
            <w:pPr>
              <w:pStyle w:val="12"/>
            </w:pPr>
            <w:r>
              <w:t>二十八、债务付息支出</w:t>
            </w:r>
          </w:p>
        </w:tc>
        <w:tc>
          <w:tcPr>
            <w:tcW w:w="1474" w:type="dxa"/>
            <w:vAlign w:val="center"/>
          </w:tcPr>
          <w:p w14:paraId="47AEAB2D">
            <w:pPr>
              <w:pStyle w:val="11"/>
            </w:pPr>
          </w:p>
        </w:tc>
        <w:tc>
          <w:tcPr>
            <w:tcW w:w="1474" w:type="dxa"/>
            <w:vAlign w:val="center"/>
          </w:tcPr>
          <w:p w14:paraId="2BAD8275">
            <w:pPr>
              <w:pStyle w:val="11"/>
            </w:pPr>
          </w:p>
        </w:tc>
        <w:tc>
          <w:tcPr>
            <w:tcW w:w="1474" w:type="dxa"/>
            <w:vAlign w:val="center"/>
          </w:tcPr>
          <w:p w14:paraId="590D5700">
            <w:pPr>
              <w:pStyle w:val="11"/>
            </w:pPr>
          </w:p>
        </w:tc>
        <w:tc>
          <w:tcPr>
            <w:tcW w:w="1474" w:type="dxa"/>
            <w:vAlign w:val="center"/>
          </w:tcPr>
          <w:p w14:paraId="43097427">
            <w:pPr>
              <w:pStyle w:val="11"/>
            </w:pPr>
          </w:p>
        </w:tc>
      </w:tr>
      <w:tr w14:paraId="21AC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2B12">
            <w:pPr>
              <w:pStyle w:val="13"/>
            </w:pPr>
            <w:r>
              <w:t>29</w:t>
            </w:r>
          </w:p>
        </w:tc>
        <w:tc>
          <w:tcPr>
            <w:tcW w:w="3402" w:type="dxa"/>
            <w:vAlign w:val="center"/>
          </w:tcPr>
          <w:p w14:paraId="44DB45E3">
            <w:pPr>
              <w:pStyle w:val="12"/>
            </w:pPr>
          </w:p>
        </w:tc>
        <w:tc>
          <w:tcPr>
            <w:tcW w:w="1474" w:type="dxa"/>
            <w:vAlign w:val="center"/>
          </w:tcPr>
          <w:p w14:paraId="648B8719">
            <w:pPr>
              <w:pStyle w:val="11"/>
            </w:pPr>
          </w:p>
        </w:tc>
        <w:tc>
          <w:tcPr>
            <w:tcW w:w="3402" w:type="dxa"/>
            <w:vAlign w:val="center"/>
          </w:tcPr>
          <w:p w14:paraId="03E14785">
            <w:pPr>
              <w:pStyle w:val="12"/>
            </w:pPr>
            <w:r>
              <w:t>二十九、债务发行费用支出</w:t>
            </w:r>
          </w:p>
        </w:tc>
        <w:tc>
          <w:tcPr>
            <w:tcW w:w="1474" w:type="dxa"/>
            <w:vAlign w:val="center"/>
          </w:tcPr>
          <w:p w14:paraId="292CF245">
            <w:pPr>
              <w:pStyle w:val="11"/>
            </w:pPr>
          </w:p>
        </w:tc>
        <w:tc>
          <w:tcPr>
            <w:tcW w:w="1474" w:type="dxa"/>
            <w:vAlign w:val="center"/>
          </w:tcPr>
          <w:p w14:paraId="3C851EF7">
            <w:pPr>
              <w:pStyle w:val="11"/>
            </w:pPr>
          </w:p>
        </w:tc>
        <w:tc>
          <w:tcPr>
            <w:tcW w:w="1474" w:type="dxa"/>
            <w:vAlign w:val="center"/>
          </w:tcPr>
          <w:p w14:paraId="60FAC7E7">
            <w:pPr>
              <w:pStyle w:val="11"/>
            </w:pPr>
          </w:p>
        </w:tc>
        <w:tc>
          <w:tcPr>
            <w:tcW w:w="1474" w:type="dxa"/>
            <w:vAlign w:val="center"/>
          </w:tcPr>
          <w:p w14:paraId="3B3D6B26">
            <w:pPr>
              <w:pStyle w:val="11"/>
            </w:pPr>
          </w:p>
        </w:tc>
      </w:tr>
      <w:tr w14:paraId="5336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D381">
            <w:pPr>
              <w:pStyle w:val="13"/>
            </w:pPr>
            <w:r>
              <w:t>30</w:t>
            </w:r>
          </w:p>
        </w:tc>
        <w:tc>
          <w:tcPr>
            <w:tcW w:w="3402" w:type="dxa"/>
            <w:vAlign w:val="center"/>
          </w:tcPr>
          <w:p w14:paraId="2095CCB8">
            <w:pPr>
              <w:pStyle w:val="12"/>
            </w:pPr>
          </w:p>
        </w:tc>
        <w:tc>
          <w:tcPr>
            <w:tcW w:w="1474" w:type="dxa"/>
            <w:vAlign w:val="center"/>
          </w:tcPr>
          <w:p w14:paraId="5382CC76">
            <w:pPr>
              <w:pStyle w:val="11"/>
            </w:pPr>
          </w:p>
        </w:tc>
        <w:tc>
          <w:tcPr>
            <w:tcW w:w="3402" w:type="dxa"/>
            <w:vAlign w:val="center"/>
          </w:tcPr>
          <w:p w14:paraId="0F746077">
            <w:pPr>
              <w:pStyle w:val="12"/>
            </w:pPr>
            <w:r>
              <w:t>三十、抗疫特别国债安排的支出</w:t>
            </w:r>
          </w:p>
        </w:tc>
        <w:tc>
          <w:tcPr>
            <w:tcW w:w="1474" w:type="dxa"/>
            <w:vAlign w:val="center"/>
          </w:tcPr>
          <w:p w14:paraId="6D4AA217">
            <w:pPr>
              <w:pStyle w:val="11"/>
            </w:pPr>
          </w:p>
        </w:tc>
        <w:tc>
          <w:tcPr>
            <w:tcW w:w="1474" w:type="dxa"/>
            <w:vAlign w:val="center"/>
          </w:tcPr>
          <w:p w14:paraId="1A5FE246">
            <w:pPr>
              <w:pStyle w:val="11"/>
            </w:pPr>
          </w:p>
        </w:tc>
        <w:tc>
          <w:tcPr>
            <w:tcW w:w="1474" w:type="dxa"/>
            <w:vAlign w:val="center"/>
          </w:tcPr>
          <w:p w14:paraId="3509F7AD">
            <w:pPr>
              <w:pStyle w:val="11"/>
            </w:pPr>
          </w:p>
        </w:tc>
        <w:tc>
          <w:tcPr>
            <w:tcW w:w="1474" w:type="dxa"/>
            <w:vAlign w:val="center"/>
          </w:tcPr>
          <w:p w14:paraId="5EB07FE7">
            <w:pPr>
              <w:pStyle w:val="11"/>
            </w:pPr>
          </w:p>
        </w:tc>
      </w:tr>
      <w:tr w14:paraId="775A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B0A62">
            <w:pPr>
              <w:pStyle w:val="13"/>
            </w:pPr>
            <w:r>
              <w:t>31</w:t>
            </w:r>
          </w:p>
        </w:tc>
        <w:tc>
          <w:tcPr>
            <w:tcW w:w="3402" w:type="dxa"/>
            <w:vAlign w:val="center"/>
          </w:tcPr>
          <w:p w14:paraId="3516EE2E">
            <w:pPr>
              <w:pStyle w:val="12"/>
            </w:pPr>
          </w:p>
        </w:tc>
        <w:tc>
          <w:tcPr>
            <w:tcW w:w="1474" w:type="dxa"/>
            <w:vAlign w:val="center"/>
          </w:tcPr>
          <w:p w14:paraId="32C70E63">
            <w:pPr>
              <w:pStyle w:val="11"/>
            </w:pPr>
          </w:p>
        </w:tc>
        <w:tc>
          <w:tcPr>
            <w:tcW w:w="3402" w:type="dxa"/>
            <w:vAlign w:val="center"/>
          </w:tcPr>
          <w:p w14:paraId="79DEA321">
            <w:pPr>
              <w:pStyle w:val="12"/>
            </w:pPr>
            <w:r>
              <w:t>三十一、人行科目</w:t>
            </w:r>
          </w:p>
        </w:tc>
        <w:tc>
          <w:tcPr>
            <w:tcW w:w="1474" w:type="dxa"/>
            <w:vAlign w:val="center"/>
          </w:tcPr>
          <w:p w14:paraId="2C427ABD">
            <w:pPr>
              <w:pStyle w:val="11"/>
            </w:pPr>
          </w:p>
        </w:tc>
        <w:tc>
          <w:tcPr>
            <w:tcW w:w="1474" w:type="dxa"/>
            <w:vAlign w:val="center"/>
          </w:tcPr>
          <w:p w14:paraId="7DB87BED">
            <w:pPr>
              <w:pStyle w:val="11"/>
            </w:pPr>
          </w:p>
        </w:tc>
        <w:tc>
          <w:tcPr>
            <w:tcW w:w="1474" w:type="dxa"/>
            <w:vAlign w:val="center"/>
          </w:tcPr>
          <w:p w14:paraId="3A931ED0">
            <w:pPr>
              <w:pStyle w:val="11"/>
            </w:pPr>
          </w:p>
        </w:tc>
        <w:tc>
          <w:tcPr>
            <w:tcW w:w="1474" w:type="dxa"/>
            <w:vAlign w:val="center"/>
          </w:tcPr>
          <w:p w14:paraId="2D5E8E0C">
            <w:pPr>
              <w:pStyle w:val="11"/>
            </w:pPr>
          </w:p>
        </w:tc>
      </w:tr>
      <w:tr w14:paraId="6226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56EF4">
            <w:pPr>
              <w:pStyle w:val="13"/>
            </w:pPr>
            <w:r>
              <w:t>32</w:t>
            </w:r>
          </w:p>
        </w:tc>
        <w:tc>
          <w:tcPr>
            <w:tcW w:w="3402" w:type="dxa"/>
            <w:vAlign w:val="center"/>
          </w:tcPr>
          <w:p w14:paraId="6AE4A095">
            <w:pPr>
              <w:pStyle w:val="14"/>
            </w:pPr>
            <w:r>
              <w:t>本年收入合计</w:t>
            </w:r>
          </w:p>
        </w:tc>
        <w:tc>
          <w:tcPr>
            <w:tcW w:w="1474" w:type="dxa"/>
            <w:vAlign w:val="center"/>
          </w:tcPr>
          <w:p w14:paraId="206118C4">
            <w:pPr>
              <w:pStyle w:val="15"/>
            </w:pPr>
            <w:r>
              <w:t>3787.88</w:t>
            </w:r>
          </w:p>
        </w:tc>
        <w:tc>
          <w:tcPr>
            <w:tcW w:w="3402" w:type="dxa"/>
            <w:vAlign w:val="center"/>
          </w:tcPr>
          <w:p w14:paraId="46D68954">
            <w:pPr>
              <w:pStyle w:val="14"/>
            </w:pPr>
            <w:r>
              <w:t>本年支出合计</w:t>
            </w:r>
          </w:p>
        </w:tc>
        <w:tc>
          <w:tcPr>
            <w:tcW w:w="1474" w:type="dxa"/>
            <w:vAlign w:val="center"/>
          </w:tcPr>
          <w:p w14:paraId="660B3D26">
            <w:pPr>
              <w:pStyle w:val="15"/>
            </w:pPr>
            <w:r>
              <w:t>3787.88</w:t>
            </w:r>
          </w:p>
        </w:tc>
        <w:tc>
          <w:tcPr>
            <w:tcW w:w="1474" w:type="dxa"/>
            <w:vAlign w:val="center"/>
          </w:tcPr>
          <w:p w14:paraId="429050AB">
            <w:pPr>
              <w:pStyle w:val="15"/>
            </w:pPr>
            <w:r>
              <w:t>3787.88</w:t>
            </w:r>
          </w:p>
        </w:tc>
        <w:tc>
          <w:tcPr>
            <w:tcW w:w="1474" w:type="dxa"/>
            <w:vAlign w:val="center"/>
          </w:tcPr>
          <w:p w14:paraId="108DE8BB">
            <w:pPr>
              <w:pStyle w:val="15"/>
            </w:pPr>
          </w:p>
        </w:tc>
        <w:tc>
          <w:tcPr>
            <w:tcW w:w="1474" w:type="dxa"/>
            <w:vAlign w:val="center"/>
          </w:tcPr>
          <w:p w14:paraId="7D3501D8">
            <w:pPr>
              <w:pStyle w:val="15"/>
            </w:pPr>
          </w:p>
        </w:tc>
      </w:tr>
      <w:tr w14:paraId="220B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A7BD">
            <w:pPr>
              <w:pStyle w:val="13"/>
            </w:pPr>
            <w:r>
              <w:t>33</w:t>
            </w:r>
          </w:p>
        </w:tc>
        <w:tc>
          <w:tcPr>
            <w:tcW w:w="3402" w:type="dxa"/>
            <w:vAlign w:val="center"/>
          </w:tcPr>
          <w:p w14:paraId="5282D6C5">
            <w:pPr>
              <w:pStyle w:val="12"/>
            </w:pPr>
            <w:r>
              <w:t>年初财政拨款结转和结余</w:t>
            </w:r>
          </w:p>
        </w:tc>
        <w:tc>
          <w:tcPr>
            <w:tcW w:w="1474" w:type="dxa"/>
            <w:vAlign w:val="center"/>
          </w:tcPr>
          <w:p w14:paraId="37F3CAB6">
            <w:pPr>
              <w:pStyle w:val="11"/>
            </w:pPr>
          </w:p>
        </w:tc>
        <w:tc>
          <w:tcPr>
            <w:tcW w:w="3402" w:type="dxa"/>
            <w:vAlign w:val="center"/>
          </w:tcPr>
          <w:p w14:paraId="14E16CB1">
            <w:pPr>
              <w:pStyle w:val="12"/>
            </w:pPr>
            <w:r>
              <w:t>年末财政拨款结转和结余</w:t>
            </w:r>
          </w:p>
        </w:tc>
        <w:tc>
          <w:tcPr>
            <w:tcW w:w="1474" w:type="dxa"/>
            <w:vAlign w:val="center"/>
          </w:tcPr>
          <w:p w14:paraId="79D6C1B3">
            <w:pPr>
              <w:pStyle w:val="11"/>
            </w:pPr>
          </w:p>
        </w:tc>
        <w:tc>
          <w:tcPr>
            <w:tcW w:w="1474" w:type="dxa"/>
            <w:vAlign w:val="center"/>
          </w:tcPr>
          <w:p w14:paraId="41071168">
            <w:pPr>
              <w:pStyle w:val="11"/>
            </w:pPr>
          </w:p>
        </w:tc>
        <w:tc>
          <w:tcPr>
            <w:tcW w:w="1474" w:type="dxa"/>
            <w:vAlign w:val="center"/>
          </w:tcPr>
          <w:p w14:paraId="55C6E03F">
            <w:pPr>
              <w:pStyle w:val="11"/>
            </w:pPr>
          </w:p>
        </w:tc>
        <w:tc>
          <w:tcPr>
            <w:tcW w:w="1474" w:type="dxa"/>
            <w:vAlign w:val="center"/>
          </w:tcPr>
          <w:p w14:paraId="1FFF6602">
            <w:pPr>
              <w:pStyle w:val="11"/>
            </w:pPr>
          </w:p>
        </w:tc>
      </w:tr>
      <w:tr w14:paraId="7217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D4BE8">
            <w:pPr>
              <w:pStyle w:val="13"/>
            </w:pPr>
            <w:r>
              <w:t>34</w:t>
            </w:r>
          </w:p>
        </w:tc>
        <w:tc>
          <w:tcPr>
            <w:tcW w:w="3402" w:type="dxa"/>
            <w:vAlign w:val="center"/>
          </w:tcPr>
          <w:p w14:paraId="65050353">
            <w:pPr>
              <w:pStyle w:val="12"/>
            </w:pPr>
            <w:r>
              <w:t>一、一般公共预算拨款</w:t>
            </w:r>
          </w:p>
        </w:tc>
        <w:tc>
          <w:tcPr>
            <w:tcW w:w="1474" w:type="dxa"/>
            <w:vAlign w:val="center"/>
          </w:tcPr>
          <w:p w14:paraId="40BB6823">
            <w:pPr>
              <w:pStyle w:val="11"/>
            </w:pPr>
          </w:p>
        </w:tc>
        <w:tc>
          <w:tcPr>
            <w:tcW w:w="3402" w:type="dxa"/>
            <w:vAlign w:val="center"/>
          </w:tcPr>
          <w:p w14:paraId="365357B9">
            <w:pPr>
              <w:pStyle w:val="12"/>
            </w:pPr>
          </w:p>
        </w:tc>
        <w:tc>
          <w:tcPr>
            <w:tcW w:w="1474" w:type="dxa"/>
            <w:vAlign w:val="center"/>
          </w:tcPr>
          <w:p w14:paraId="41226716">
            <w:pPr>
              <w:pStyle w:val="11"/>
            </w:pPr>
          </w:p>
        </w:tc>
        <w:tc>
          <w:tcPr>
            <w:tcW w:w="1474" w:type="dxa"/>
            <w:vAlign w:val="center"/>
          </w:tcPr>
          <w:p w14:paraId="667502FF">
            <w:pPr>
              <w:pStyle w:val="11"/>
            </w:pPr>
          </w:p>
        </w:tc>
        <w:tc>
          <w:tcPr>
            <w:tcW w:w="1474" w:type="dxa"/>
            <w:vAlign w:val="center"/>
          </w:tcPr>
          <w:p w14:paraId="0EA7C7EF">
            <w:pPr>
              <w:pStyle w:val="11"/>
            </w:pPr>
          </w:p>
        </w:tc>
        <w:tc>
          <w:tcPr>
            <w:tcW w:w="1474" w:type="dxa"/>
            <w:vAlign w:val="center"/>
          </w:tcPr>
          <w:p w14:paraId="4D2B5813">
            <w:pPr>
              <w:pStyle w:val="11"/>
            </w:pPr>
          </w:p>
        </w:tc>
      </w:tr>
      <w:tr w14:paraId="3E9A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B54F1">
            <w:pPr>
              <w:pStyle w:val="13"/>
            </w:pPr>
            <w:r>
              <w:t>35</w:t>
            </w:r>
          </w:p>
        </w:tc>
        <w:tc>
          <w:tcPr>
            <w:tcW w:w="3402" w:type="dxa"/>
            <w:vAlign w:val="center"/>
          </w:tcPr>
          <w:p w14:paraId="11BDF4F1">
            <w:pPr>
              <w:pStyle w:val="12"/>
            </w:pPr>
            <w:r>
              <w:t>二、政府性基金预算拨款</w:t>
            </w:r>
          </w:p>
        </w:tc>
        <w:tc>
          <w:tcPr>
            <w:tcW w:w="1474" w:type="dxa"/>
            <w:vAlign w:val="center"/>
          </w:tcPr>
          <w:p w14:paraId="3628E36D">
            <w:pPr>
              <w:pStyle w:val="11"/>
            </w:pPr>
          </w:p>
        </w:tc>
        <w:tc>
          <w:tcPr>
            <w:tcW w:w="3402" w:type="dxa"/>
            <w:vAlign w:val="center"/>
          </w:tcPr>
          <w:p w14:paraId="42B33C90">
            <w:pPr>
              <w:pStyle w:val="12"/>
            </w:pPr>
          </w:p>
        </w:tc>
        <w:tc>
          <w:tcPr>
            <w:tcW w:w="1474" w:type="dxa"/>
            <w:vAlign w:val="center"/>
          </w:tcPr>
          <w:p w14:paraId="0CD499AE">
            <w:pPr>
              <w:pStyle w:val="11"/>
            </w:pPr>
          </w:p>
        </w:tc>
        <w:tc>
          <w:tcPr>
            <w:tcW w:w="1474" w:type="dxa"/>
            <w:vAlign w:val="center"/>
          </w:tcPr>
          <w:p w14:paraId="59884930">
            <w:pPr>
              <w:pStyle w:val="11"/>
            </w:pPr>
          </w:p>
        </w:tc>
        <w:tc>
          <w:tcPr>
            <w:tcW w:w="1474" w:type="dxa"/>
            <w:vAlign w:val="center"/>
          </w:tcPr>
          <w:p w14:paraId="2618010B">
            <w:pPr>
              <w:pStyle w:val="11"/>
            </w:pPr>
          </w:p>
        </w:tc>
        <w:tc>
          <w:tcPr>
            <w:tcW w:w="1474" w:type="dxa"/>
            <w:vAlign w:val="center"/>
          </w:tcPr>
          <w:p w14:paraId="7482CEFD">
            <w:pPr>
              <w:pStyle w:val="11"/>
            </w:pPr>
          </w:p>
        </w:tc>
      </w:tr>
      <w:tr w14:paraId="1512E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25E91">
            <w:pPr>
              <w:pStyle w:val="13"/>
            </w:pPr>
            <w:r>
              <w:t>36</w:t>
            </w:r>
          </w:p>
        </w:tc>
        <w:tc>
          <w:tcPr>
            <w:tcW w:w="3402" w:type="dxa"/>
            <w:vAlign w:val="center"/>
          </w:tcPr>
          <w:p w14:paraId="30F5F3FA">
            <w:pPr>
              <w:pStyle w:val="12"/>
            </w:pPr>
            <w:r>
              <w:t>三、国有资本经营预算拨款</w:t>
            </w:r>
          </w:p>
        </w:tc>
        <w:tc>
          <w:tcPr>
            <w:tcW w:w="1474" w:type="dxa"/>
            <w:vAlign w:val="center"/>
          </w:tcPr>
          <w:p w14:paraId="49C7BF93">
            <w:pPr>
              <w:pStyle w:val="11"/>
            </w:pPr>
          </w:p>
        </w:tc>
        <w:tc>
          <w:tcPr>
            <w:tcW w:w="3402" w:type="dxa"/>
            <w:vAlign w:val="center"/>
          </w:tcPr>
          <w:p w14:paraId="06017C70">
            <w:pPr>
              <w:pStyle w:val="12"/>
            </w:pPr>
          </w:p>
        </w:tc>
        <w:tc>
          <w:tcPr>
            <w:tcW w:w="1474" w:type="dxa"/>
            <w:vAlign w:val="center"/>
          </w:tcPr>
          <w:p w14:paraId="2E50A98A">
            <w:pPr>
              <w:pStyle w:val="11"/>
            </w:pPr>
          </w:p>
        </w:tc>
        <w:tc>
          <w:tcPr>
            <w:tcW w:w="1474" w:type="dxa"/>
            <w:vAlign w:val="center"/>
          </w:tcPr>
          <w:p w14:paraId="1AC71351">
            <w:pPr>
              <w:pStyle w:val="11"/>
            </w:pPr>
          </w:p>
        </w:tc>
        <w:tc>
          <w:tcPr>
            <w:tcW w:w="1474" w:type="dxa"/>
            <w:vAlign w:val="center"/>
          </w:tcPr>
          <w:p w14:paraId="77530B86">
            <w:pPr>
              <w:pStyle w:val="11"/>
            </w:pPr>
          </w:p>
        </w:tc>
        <w:tc>
          <w:tcPr>
            <w:tcW w:w="1474" w:type="dxa"/>
            <w:vAlign w:val="center"/>
          </w:tcPr>
          <w:p w14:paraId="7422C459">
            <w:pPr>
              <w:pStyle w:val="11"/>
            </w:pPr>
          </w:p>
        </w:tc>
      </w:tr>
      <w:tr w14:paraId="1288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091A">
            <w:pPr>
              <w:pStyle w:val="13"/>
            </w:pPr>
            <w:r>
              <w:t>37</w:t>
            </w:r>
          </w:p>
        </w:tc>
        <w:tc>
          <w:tcPr>
            <w:tcW w:w="3402" w:type="dxa"/>
            <w:vAlign w:val="center"/>
          </w:tcPr>
          <w:p w14:paraId="2F94B5E6">
            <w:pPr>
              <w:pStyle w:val="14"/>
            </w:pPr>
            <w:r>
              <w:t>收入总计</w:t>
            </w:r>
          </w:p>
        </w:tc>
        <w:tc>
          <w:tcPr>
            <w:tcW w:w="1474" w:type="dxa"/>
            <w:vAlign w:val="center"/>
          </w:tcPr>
          <w:p w14:paraId="120011B2">
            <w:pPr>
              <w:pStyle w:val="15"/>
            </w:pPr>
            <w:r>
              <w:t>3787.88</w:t>
            </w:r>
          </w:p>
        </w:tc>
        <w:tc>
          <w:tcPr>
            <w:tcW w:w="3402" w:type="dxa"/>
            <w:vAlign w:val="center"/>
          </w:tcPr>
          <w:p w14:paraId="66D9F8A2">
            <w:pPr>
              <w:pStyle w:val="14"/>
            </w:pPr>
            <w:r>
              <w:t>支出总计</w:t>
            </w:r>
          </w:p>
        </w:tc>
        <w:tc>
          <w:tcPr>
            <w:tcW w:w="1474" w:type="dxa"/>
            <w:vAlign w:val="center"/>
          </w:tcPr>
          <w:p w14:paraId="63B34E8D">
            <w:pPr>
              <w:pStyle w:val="15"/>
            </w:pPr>
            <w:r>
              <w:t>3787.88</w:t>
            </w:r>
          </w:p>
        </w:tc>
        <w:tc>
          <w:tcPr>
            <w:tcW w:w="1474" w:type="dxa"/>
            <w:vAlign w:val="center"/>
          </w:tcPr>
          <w:p w14:paraId="34891FB0">
            <w:pPr>
              <w:pStyle w:val="15"/>
            </w:pPr>
            <w:r>
              <w:t>3787.88</w:t>
            </w:r>
          </w:p>
        </w:tc>
        <w:tc>
          <w:tcPr>
            <w:tcW w:w="1474" w:type="dxa"/>
            <w:vAlign w:val="center"/>
          </w:tcPr>
          <w:p w14:paraId="0256DFEF">
            <w:pPr>
              <w:pStyle w:val="15"/>
            </w:pPr>
          </w:p>
        </w:tc>
        <w:tc>
          <w:tcPr>
            <w:tcW w:w="1474" w:type="dxa"/>
            <w:vAlign w:val="center"/>
          </w:tcPr>
          <w:p w14:paraId="1D1B9BDC">
            <w:pPr>
              <w:pStyle w:val="15"/>
            </w:pPr>
          </w:p>
        </w:tc>
      </w:tr>
    </w:tbl>
    <w:p w14:paraId="72F3278E">
      <w:pPr>
        <w:sectPr>
          <w:pgSz w:w="16840" w:h="11900" w:orient="landscape"/>
          <w:pgMar w:top="1361" w:right="1020" w:bottom="1134" w:left="1020" w:header="720" w:footer="720" w:gutter="0"/>
          <w:cols w:space="720" w:num="1"/>
        </w:sectPr>
      </w:pPr>
    </w:p>
    <w:p w14:paraId="41D4DC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20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4305C1">
            <w:pPr>
              <w:pStyle w:val="9"/>
            </w:pPr>
            <w:r>
              <w:t>360015隆尧县职业技术教育中心</w:t>
            </w:r>
          </w:p>
        </w:tc>
        <w:tc>
          <w:tcPr>
            <w:tcW w:w="2551" w:type="dxa"/>
            <w:tcBorders>
              <w:top w:val="single" w:color="FFFFFF" w:sz="6" w:space="0"/>
              <w:left w:val="single" w:color="FFFFFF" w:sz="6" w:space="0"/>
              <w:right w:val="single" w:color="FFFFFF" w:sz="6" w:space="0"/>
            </w:tcBorders>
            <w:vAlign w:val="center"/>
          </w:tcPr>
          <w:p w14:paraId="7A2A2A5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A5E224">
            <w:pPr>
              <w:pStyle w:val="7"/>
            </w:pPr>
            <w:r>
              <w:t>单位：万元</w:t>
            </w:r>
          </w:p>
        </w:tc>
      </w:tr>
      <w:tr w14:paraId="3042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CCEA8">
            <w:pPr>
              <w:pStyle w:val="10"/>
            </w:pPr>
            <w:r>
              <w:t>序号</w:t>
            </w:r>
          </w:p>
        </w:tc>
        <w:tc>
          <w:tcPr>
            <w:tcW w:w="5726" w:type="dxa"/>
            <w:gridSpan w:val="2"/>
            <w:vAlign w:val="center"/>
          </w:tcPr>
          <w:p w14:paraId="15474CCB">
            <w:pPr>
              <w:pStyle w:val="10"/>
            </w:pPr>
            <w:r>
              <w:t>功能分类科目</w:t>
            </w:r>
          </w:p>
        </w:tc>
        <w:tc>
          <w:tcPr>
            <w:tcW w:w="2551" w:type="dxa"/>
            <w:vMerge w:val="restart"/>
            <w:vAlign w:val="center"/>
          </w:tcPr>
          <w:p w14:paraId="53554865">
            <w:pPr>
              <w:pStyle w:val="10"/>
            </w:pPr>
            <w:r>
              <w:t>合计</w:t>
            </w:r>
          </w:p>
        </w:tc>
        <w:tc>
          <w:tcPr>
            <w:tcW w:w="2551" w:type="dxa"/>
            <w:vMerge w:val="restart"/>
            <w:vAlign w:val="center"/>
          </w:tcPr>
          <w:p w14:paraId="154BB645">
            <w:pPr>
              <w:pStyle w:val="10"/>
            </w:pPr>
            <w:r>
              <w:t>基本支出</w:t>
            </w:r>
          </w:p>
        </w:tc>
        <w:tc>
          <w:tcPr>
            <w:tcW w:w="2551" w:type="dxa"/>
            <w:vMerge w:val="restart"/>
            <w:vAlign w:val="center"/>
          </w:tcPr>
          <w:p w14:paraId="6881937C">
            <w:pPr>
              <w:pStyle w:val="10"/>
            </w:pPr>
            <w:r>
              <w:t>项目支出</w:t>
            </w:r>
          </w:p>
        </w:tc>
      </w:tr>
      <w:tr w14:paraId="12F1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79F2C7"/>
        </w:tc>
        <w:tc>
          <w:tcPr>
            <w:tcW w:w="1191" w:type="dxa"/>
            <w:vAlign w:val="center"/>
          </w:tcPr>
          <w:p w14:paraId="2C23A7C7">
            <w:pPr>
              <w:pStyle w:val="10"/>
            </w:pPr>
            <w:r>
              <w:t>科目编码</w:t>
            </w:r>
          </w:p>
        </w:tc>
        <w:tc>
          <w:tcPr>
            <w:tcW w:w="4535" w:type="dxa"/>
            <w:vAlign w:val="center"/>
          </w:tcPr>
          <w:p w14:paraId="1D8E59F6">
            <w:pPr>
              <w:pStyle w:val="10"/>
            </w:pPr>
            <w:r>
              <w:t>科目名称</w:t>
            </w:r>
          </w:p>
        </w:tc>
        <w:tc>
          <w:tcPr>
            <w:tcW w:w="2551" w:type="dxa"/>
            <w:vMerge w:val="continue"/>
          </w:tcPr>
          <w:p w14:paraId="37FEBFB9"/>
        </w:tc>
        <w:tc>
          <w:tcPr>
            <w:tcW w:w="2551" w:type="dxa"/>
            <w:vMerge w:val="continue"/>
          </w:tcPr>
          <w:p w14:paraId="5CD37AC9"/>
        </w:tc>
        <w:tc>
          <w:tcPr>
            <w:tcW w:w="2551" w:type="dxa"/>
            <w:vMerge w:val="continue"/>
          </w:tcPr>
          <w:p w14:paraId="59B22486"/>
        </w:tc>
      </w:tr>
      <w:tr w14:paraId="322B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ACBB7">
            <w:pPr>
              <w:pStyle w:val="10"/>
            </w:pPr>
            <w:r>
              <w:t>栏次</w:t>
            </w:r>
          </w:p>
        </w:tc>
        <w:tc>
          <w:tcPr>
            <w:tcW w:w="1191" w:type="dxa"/>
            <w:vAlign w:val="center"/>
          </w:tcPr>
          <w:p w14:paraId="43A2ACED">
            <w:pPr>
              <w:pStyle w:val="10"/>
            </w:pPr>
            <w:r>
              <w:t>1</w:t>
            </w:r>
          </w:p>
        </w:tc>
        <w:tc>
          <w:tcPr>
            <w:tcW w:w="4535" w:type="dxa"/>
            <w:vAlign w:val="center"/>
          </w:tcPr>
          <w:p w14:paraId="1EB3444E">
            <w:pPr>
              <w:pStyle w:val="10"/>
            </w:pPr>
            <w:r>
              <w:t>2</w:t>
            </w:r>
          </w:p>
        </w:tc>
        <w:tc>
          <w:tcPr>
            <w:tcW w:w="2551" w:type="dxa"/>
            <w:vAlign w:val="center"/>
          </w:tcPr>
          <w:p w14:paraId="1F0FFC9F">
            <w:pPr>
              <w:pStyle w:val="10"/>
            </w:pPr>
            <w:r>
              <w:t>3</w:t>
            </w:r>
          </w:p>
        </w:tc>
        <w:tc>
          <w:tcPr>
            <w:tcW w:w="2551" w:type="dxa"/>
            <w:vAlign w:val="center"/>
          </w:tcPr>
          <w:p w14:paraId="78130573">
            <w:pPr>
              <w:pStyle w:val="10"/>
            </w:pPr>
            <w:r>
              <w:t>4</w:t>
            </w:r>
          </w:p>
        </w:tc>
        <w:tc>
          <w:tcPr>
            <w:tcW w:w="2551" w:type="dxa"/>
            <w:vAlign w:val="center"/>
          </w:tcPr>
          <w:p w14:paraId="0FE326A9">
            <w:pPr>
              <w:pStyle w:val="10"/>
            </w:pPr>
            <w:r>
              <w:t>5</w:t>
            </w:r>
          </w:p>
        </w:tc>
      </w:tr>
      <w:tr w14:paraId="5475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EA138">
            <w:pPr>
              <w:pStyle w:val="13"/>
            </w:pPr>
            <w:r>
              <w:t>1</w:t>
            </w:r>
          </w:p>
        </w:tc>
        <w:tc>
          <w:tcPr>
            <w:tcW w:w="1191" w:type="dxa"/>
            <w:vAlign w:val="center"/>
          </w:tcPr>
          <w:p w14:paraId="13EBD491">
            <w:pPr>
              <w:pStyle w:val="16"/>
            </w:pPr>
          </w:p>
        </w:tc>
        <w:tc>
          <w:tcPr>
            <w:tcW w:w="4535" w:type="dxa"/>
            <w:vAlign w:val="center"/>
          </w:tcPr>
          <w:p w14:paraId="5F07047C">
            <w:pPr>
              <w:pStyle w:val="14"/>
            </w:pPr>
            <w:r>
              <w:t>合计</w:t>
            </w:r>
          </w:p>
        </w:tc>
        <w:tc>
          <w:tcPr>
            <w:tcW w:w="2551" w:type="dxa"/>
            <w:vAlign w:val="center"/>
          </w:tcPr>
          <w:p w14:paraId="76C7E35F">
            <w:pPr>
              <w:pStyle w:val="15"/>
            </w:pPr>
            <w:r>
              <w:t>3787.88</w:t>
            </w:r>
          </w:p>
        </w:tc>
        <w:tc>
          <w:tcPr>
            <w:tcW w:w="2551" w:type="dxa"/>
            <w:vAlign w:val="center"/>
          </w:tcPr>
          <w:p w14:paraId="632BD841">
            <w:pPr>
              <w:pStyle w:val="15"/>
            </w:pPr>
            <w:r>
              <w:t>2590.07</w:t>
            </w:r>
          </w:p>
        </w:tc>
        <w:tc>
          <w:tcPr>
            <w:tcW w:w="2551" w:type="dxa"/>
            <w:vAlign w:val="center"/>
          </w:tcPr>
          <w:p w14:paraId="3063C106">
            <w:pPr>
              <w:pStyle w:val="15"/>
            </w:pPr>
            <w:r>
              <w:t>1197.80</w:t>
            </w:r>
          </w:p>
        </w:tc>
      </w:tr>
      <w:tr w14:paraId="26BD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70389">
            <w:pPr>
              <w:pStyle w:val="13"/>
            </w:pPr>
            <w:r>
              <w:t>2</w:t>
            </w:r>
          </w:p>
        </w:tc>
        <w:tc>
          <w:tcPr>
            <w:tcW w:w="1191" w:type="dxa"/>
            <w:vAlign w:val="center"/>
          </w:tcPr>
          <w:p w14:paraId="743BAA4A">
            <w:pPr>
              <w:pStyle w:val="12"/>
            </w:pPr>
            <w:r>
              <w:t>205</w:t>
            </w:r>
          </w:p>
        </w:tc>
        <w:tc>
          <w:tcPr>
            <w:tcW w:w="4535" w:type="dxa"/>
            <w:vAlign w:val="center"/>
          </w:tcPr>
          <w:p w14:paraId="2B3A00AD">
            <w:pPr>
              <w:pStyle w:val="12"/>
            </w:pPr>
            <w:r>
              <w:t>教育支出</w:t>
            </w:r>
          </w:p>
        </w:tc>
        <w:tc>
          <w:tcPr>
            <w:tcW w:w="2551" w:type="dxa"/>
            <w:vAlign w:val="center"/>
          </w:tcPr>
          <w:p w14:paraId="539EA02E">
            <w:pPr>
              <w:pStyle w:val="11"/>
            </w:pPr>
            <w:r>
              <w:t>3787.88</w:t>
            </w:r>
          </w:p>
        </w:tc>
        <w:tc>
          <w:tcPr>
            <w:tcW w:w="2551" w:type="dxa"/>
            <w:vAlign w:val="center"/>
          </w:tcPr>
          <w:p w14:paraId="2A5D32F9">
            <w:pPr>
              <w:pStyle w:val="11"/>
            </w:pPr>
            <w:r>
              <w:t>2590.07</w:t>
            </w:r>
          </w:p>
        </w:tc>
        <w:tc>
          <w:tcPr>
            <w:tcW w:w="2551" w:type="dxa"/>
            <w:vAlign w:val="center"/>
          </w:tcPr>
          <w:p w14:paraId="5143EA38">
            <w:pPr>
              <w:pStyle w:val="11"/>
            </w:pPr>
            <w:r>
              <w:t>1197.80</w:t>
            </w:r>
          </w:p>
        </w:tc>
      </w:tr>
      <w:tr w14:paraId="5A764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2251">
            <w:pPr>
              <w:pStyle w:val="13"/>
            </w:pPr>
            <w:r>
              <w:t>3</w:t>
            </w:r>
          </w:p>
        </w:tc>
        <w:tc>
          <w:tcPr>
            <w:tcW w:w="1191" w:type="dxa"/>
            <w:vAlign w:val="center"/>
          </w:tcPr>
          <w:p w14:paraId="6C09E486">
            <w:pPr>
              <w:pStyle w:val="12"/>
            </w:pPr>
            <w:r>
              <w:t>20502</w:t>
            </w:r>
          </w:p>
        </w:tc>
        <w:tc>
          <w:tcPr>
            <w:tcW w:w="4535" w:type="dxa"/>
            <w:vAlign w:val="center"/>
          </w:tcPr>
          <w:p w14:paraId="474A9A26">
            <w:pPr>
              <w:pStyle w:val="12"/>
            </w:pPr>
            <w:r>
              <w:t>普通教育</w:t>
            </w:r>
          </w:p>
        </w:tc>
        <w:tc>
          <w:tcPr>
            <w:tcW w:w="2551" w:type="dxa"/>
            <w:vAlign w:val="center"/>
          </w:tcPr>
          <w:p w14:paraId="461498B3">
            <w:pPr>
              <w:pStyle w:val="11"/>
            </w:pPr>
            <w:r>
              <w:t>527.86</w:t>
            </w:r>
          </w:p>
        </w:tc>
        <w:tc>
          <w:tcPr>
            <w:tcW w:w="2551" w:type="dxa"/>
            <w:vAlign w:val="center"/>
          </w:tcPr>
          <w:p w14:paraId="2B4B405E">
            <w:pPr>
              <w:pStyle w:val="11"/>
            </w:pPr>
          </w:p>
        </w:tc>
        <w:tc>
          <w:tcPr>
            <w:tcW w:w="2551" w:type="dxa"/>
            <w:vAlign w:val="center"/>
          </w:tcPr>
          <w:p w14:paraId="3B6440B5">
            <w:pPr>
              <w:pStyle w:val="11"/>
            </w:pPr>
            <w:r>
              <w:t>527.86</w:t>
            </w:r>
          </w:p>
        </w:tc>
      </w:tr>
      <w:tr w14:paraId="062D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66696">
            <w:pPr>
              <w:pStyle w:val="13"/>
            </w:pPr>
            <w:r>
              <w:t>4</w:t>
            </w:r>
          </w:p>
        </w:tc>
        <w:tc>
          <w:tcPr>
            <w:tcW w:w="1191" w:type="dxa"/>
            <w:vAlign w:val="center"/>
          </w:tcPr>
          <w:p w14:paraId="40AC13D9">
            <w:pPr>
              <w:pStyle w:val="12"/>
            </w:pPr>
            <w:r>
              <w:t>2050204</w:t>
            </w:r>
          </w:p>
        </w:tc>
        <w:tc>
          <w:tcPr>
            <w:tcW w:w="4535" w:type="dxa"/>
            <w:vAlign w:val="center"/>
          </w:tcPr>
          <w:p w14:paraId="2BCCF3DB">
            <w:pPr>
              <w:pStyle w:val="12"/>
            </w:pPr>
            <w:r>
              <w:t>高中教育</w:t>
            </w:r>
          </w:p>
        </w:tc>
        <w:tc>
          <w:tcPr>
            <w:tcW w:w="2551" w:type="dxa"/>
            <w:vAlign w:val="center"/>
          </w:tcPr>
          <w:p w14:paraId="5486002D">
            <w:pPr>
              <w:pStyle w:val="11"/>
            </w:pPr>
            <w:r>
              <w:t>527.86</w:t>
            </w:r>
          </w:p>
        </w:tc>
        <w:tc>
          <w:tcPr>
            <w:tcW w:w="2551" w:type="dxa"/>
            <w:vAlign w:val="center"/>
          </w:tcPr>
          <w:p w14:paraId="3F48628D">
            <w:pPr>
              <w:pStyle w:val="11"/>
            </w:pPr>
          </w:p>
        </w:tc>
        <w:tc>
          <w:tcPr>
            <w:tcW w:w="2551" w:type="dxa"/>
            <w:vAlign w:val="center"/>
          </w:tcPr>
          <w:p w14:paraId="3A061142">
            <w:pPr>
              <w:pStyle w:val="11"/>
            </w:pPr>
            <w:r>
              <w:t>527.86</w:t>
            </w:r>
          </w:p>
        </w:tc>
      </w:tr>
      <w:tr w14:paraId="0C3E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20307">
            <w:pPr>
              <w:pStyle w:val="13"/>
            </w:pPr>
            <w:r>
              <w:t>5</w:t>
            </w:r>
          </w:p>
        </w:tc>
        <w:tc>
          <w:tcPr>
            <w:tcW w:w="1191" w:type="dxa"/>
            <w:vAlign w:val="center"/>
          </w:tcPr>
          <w:p w14:paraId="427EA471">
            <w:pPr>
              <w:pStyle w:val="12"/>
            </w:pPr>
            <w:r>
              <w:t>20503</w:t>
            </w:r>
          </w:p>
        </w:tc>
        <w:tc>
          <w:tcPr>
            <w:tcW w:w="4535" w:type="dxa"/>
            <w:vAlign w:val="center"/>
          </w:tcPr>
          <w:p w14:paraId="3CC034BA">
            <w:pPr>
              <w:pStyle w:val="12"/>
            </w:pPr>
            <w:r>
              <w:t>职业教育</w:t>
            </w:r>
          </w:p>
        </w:tc>
        <w:tc>
          <w:tcPr>
            <w:tcW w:w="2551" w:type="dxa"/>
            <w:vAlign w:val="center"/>
          </w:tcPr>
          <w:p w14:paraId="69D2CD04">
            <w:pPr>
              <w:pStyle w:val="11"/>
            </w:pPr>
            <w:r>
              <w:t>3260.02</w:t>
            </w:r>
          </w:p>
        </w:tc>
        <w:tc>
          <w:tcPr>
            <w:tcW w:w="2551" w:type="dxa"/>
            <w:vAlign w:val="center"/>
          </w:tcPr>
          <w:p w14:paraId="2C96ACDF">
            <w:pPr>
              <w:pStyle w:val="11"/>
            </w:pPr>
            <w:r>
              <w:t>2590.07</w:t>
            </w:r>
          </w:p>
        </w:tc>
        <w:tc>
          <w:tcPr>
            <w:tcW w:w="2551" w:type="dxa"/>
            <w:vAlign w:val="center"/>
          </w:tcPr>
          <w:p w14:paraId="60214C79">
            <w:pPr>
              <w:pStyle w:val="11"/>
            </w:pPr>
            <w:r>
              <w:t>669.94</w:t>
            </w:r>
          </w:p>
        </w:tc>
      </w:tr>
      <w:tr w14:paraId="13CC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59831">
            <w:pPr>
              <w:pStyle w:val="13"/>
            </w:pPr>
            <w:r>
              <w:t>6</w:t>
            </w:r>
          </w:p>
        </w:tc>
        <w:tc>
          <w:tcPr>
            <w:tcW w:w="1191" w:type="dxa"/>
            <w:vAlign w:val="center"/>
          </w:tcPr>
          <w:p w14:paraId="70CBFF8E">
            <w:pPr>
              <w:pStyle w:val="12"/>
            </w:pPr>
            <w:r>
              <w:t>2050302</w:t>
            </w:r>
          </w:p>
        </w:tc>
        <w:tc>
          <w:tcPr>
            <w:tcW w:w="4535" w:type="dxa"/>
            <w:vAlign w:val="center"/>
          </w:tcPr>
          <w:p w14:paraId="16F8DF2D">
            <w:pPr>
              <w:pStyle w:val="12"/>
            </w:pPr>
            <w:r>
              <w:t>中等职业教育</w:t>
            </w:r>
          </w:p>
        </w:tc>
        <w:tc>
          <w:tcPr>
            <w:tcW w:w="2551" w:type="dxa"/>
            <w:vAlign w:val="center"/>
          </w:tcPr>
          <w:p w14:paraId="0EDBD0FB">
            <w:pPr>
              <w:pStyle w:val="11"/>
            </w:pPr>
            <w:r>
              <w:t>3260.02</w:t>
            </w:r>
          </w:p>
        </w:tc>
        <w:tc>
          <w:tcPr>
            <w:tcW w:w="2551" w:type="dxa"/>
            <w:vAlign w:val="center"/>
          </w:tcPr>
          <w:p w14:paraId="4B65D854">
            <w:pPr>
              <w:pStyle w:val="11"/>
            </w:pPr>
            <w:r>
              <w:t>2590.07</w:t>
            </w:r>
          </w:p>
        </w:tc>
        <w:tc>
          <w:tcPr>
            <w:tcW w:w="2551" w:type="dxa"/>
            <w:vAlign w:val="center"/>
          </w:tcPr>
          <w:p w14:paraId="04D448DD">
            <w:pPr>
              <w:pStyle w:val="11"/>
            </w:pPr>
            <w:r>
              <w:t>669.94</w:t>
            </w:r>
          </w:p>
        </w:tc>
      </w:tr>
    </w:tbl>
    <w:p w14:paraId="7810024D">
      <w:pPr>
        <w:sectPr>
          <w:pgSz w:w="16840" w:h="11900" w:orient="landscape"/>
          <w:pgMar w:top="1361" w:right="1020" w:bottom="1134" w:left="1020" w:header="720" w:footer="720" w:gutter="0"/>
          <w:cols w:space="720" w:num="1"/>
        </w:sectPr>
      </w:pPr>
    </w:p>
    <w:p w14:paraId="61E9CB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84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459709">
            <w:pPr>
              <w:pStyle w:val="9"/>
            </w:pPr>
            <w:r>
              <w:t>360015隆尧县职业技术教育中心</w:t>
            </w:r>
          </w:p>
        </w:tc>
        <w:tc>
          <w:tcPr>
            <w:tcW w:w="2551" w:type="dxa"/>
            <w:tcBorders>
              <w:top w:val="single" w:color="FFFFFF" w:sz="6" w:space="0"/>
              <w:left w:val="single" w:color="FFFFFF" w:sz="6" w:space="0"/>
              <w:right w:val="single" w:color="FFFFFF" w:sz="6" w:space="0"/>
            </w:tcBorders>
            <w:vAlign w:val="center"/>
          </w:tcPr>
          <w:p w14:paraId="18537F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E58B97">
            <w:pPr>
              <w:pStyle w:val="7"/>
            </w:pPr>
            <w:r>
              <w:t>单位：万元</w:t>
            </w:r>
          </w:p>
        </w:tc>
      </w:tr>
      <w:tr w14:paraId="3CEC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99C577">
            <w:pPr>
              <w:pStyle w:val="10"/>
            </w:pPr>
            <w:r>
              <w:t>序号</w:t>
            </w:r>
          </w:p>
        </w:tc>
        <w:tc>
          <w:tcPr>
            <w:tcW w:w="5726" w:type="dxa"/>
            <w:gridSpan w:val="2"/>
            <w:vAlign w:val="center"/>
          </w:tcPr>
          <w:p w14:paraId="29E75074">
            <w:pPr>
              <w:pStyle w:val="10"/>
            </w:pPr>
            <w:r>
              <w:t>支出部门经济分类科目</w:t>
            </w:r>
          </w:p>
        </w:tc>
        <w:tc>
          <w:tcPr>
            <w:tcW w:w="7653" w:type="dxa"/>
            <w:gridSpan w:val="3"/>
            <w:vAlign w:val="center"/>
          </w:tcPr>
          <w:p w14:paraId="2456511C">
            <w:pPr>
              <w:pStyle w:val="10"/>
            </w:pPr>
            <w:r>
              <w:t>一般公共预算基本支出</w:t>
            </w:r>
          </w:p>
        </w:tc>
      </w:tr>
      <w:tr w14:paraId="43EE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EF892"/>
        </w:tc>
        <w:tc>
          <w:tcPr>
            <w:tcW w:w="1191" w:type="dxa"/>
            <w:vAlign w:val="center"/>
          </w:tcPr>
          <w:p w14:paraId="702968D7">
            <w:pPr>
              <w:pStyle w:val="10"/>
            </w:pPr>
            <w:r>
              <w:t>科目编码</w:t>
            </w:r>
          </w:p>
        </w:tc>
        <w:tc>
          <w:tcPr>
            <w:tcW w:w="4535" w:type="dxa"/>
            <w:vAlign w:val="center"/>
          </w:tcPr>
          <w:p w14:paraId="787D4CE6">
            <w:pPr>
              <w:pStyle w:val="10"/>
            </w:pPr>
            <w:r>
              <w:t>科目名称</w:t>
            </w:r>
          </w:p>
        </w:tc>
        <w:tc>
          <w:tcPr>
            <w:tcW w:w="2551" w:type="dxa"/>
            <w:vAlign w:val="center"/>
          </w:tcPr>
          <w:p w14:paraId="76D7A91D">
            <w:pPr>
              <w:pStyle w:val="10"/>
            </w:pPr>
            <w:r>
              <w:t>合计</w:t>
            </w:r>
          </w:p>
        </w:tc>
        <w:tc>
          <w:tcPr>
            <w:tcW w:w="2551" w:type="dxa"/>
            <w:vAlign w:val="center"/>
          </w:tcPr>
          <w:p w14:paraId="58DBAA24">
            <w:pPr>
              <w:pStyle w:val="10"/>
            </w:pPr>
            <w:r>
              <w:t>人员经费</w:t>
            </w:r>
          </w:p>
        </w:tc>
        <w:tc>
          <w:tcPr>
            <w:tcW w:w="2551" w:type="dxa"/>
            <w:vAlign w:val="center"/>
          </w:tcPr>
          <w:p w14:paraId="5EB6C0E5">
            <w:pPr>
              <w:pStyle w:val="10"/>
            </w:pPr>
            <w:r>
              <w:t>公用经费</w:t>
            </w:r>
          </w:p>
        </w:tc>
      </w:tr>
      <w:tr w14:paraId="5715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608E1F">
            <w:pPr>
              <w:pStyle w:val="10"/>
            </w:pPr>
            <w:r>
              <w:t>栏次</w:t>
            </w:r>
          </w:p>
        </w:tc>
        <w:tc>
          <w:tcPr>
            <w:tcW w:w="1191" w:type="dxa"/>
            <w:vAlign w:val="center"/>
          </w:tcPr>
          <w:p w14:paraId="5D720C89">
            <w:pPr>
              <w:pStyle w:val="10"/>
            </w:pPr>
            <w:r>
              <w:t>1</w:t>
            </w:r>
          </w:p>
        </w:tc>
        <w:tc>
          <w:tcPr>
            <w:tcW w:w="4535" w:type="dxa"/>
            <w:vAlign w:val="center"/>
          </w:tcPr>
          <w:p w14:paraId="1ACF810A">
            <w:pPr>
              <w:pStyle w:val="10"/>
            </w:pPr>
            <w:r>
              <w:t>2</w:t>
            </w:r>
          </w:p>
        </w:tc>
        <w:tc>
          <w:tcPr>
            <w:tcW w:w="2551" w:type="dxa"/>
            <w:vAlign w:val="center"/>
          </w:tcPr>
          <w:p w14:paraId="2EFC41C0">
            <w:pPr>
              <w:pStyle w:val="10"/>
            </w:pPr>
            <w:r>
              <w:t>3</w:t>
            </w:r>
          </w:p>
        </w:tc>
        <w:tc>
          <w:tcPr>
            <w:tcW w:w="2551" w:type="dxa"/>
            <w:vAlign w:val="center"/>
          </w:tcPr>
          <w:p w14:paraId="18D84444">
            <w:pPr>
              <w:pStyle w:val="10"/>
            </w:pPr>
            <w:r>
              <w:t>4</w:t>
            </w:r>
          </w:p>
        </w:tc>
        <w:tc>
          <w:tcPr>
            <w:tcW w:w="2551" w:type="dxa"/>
            <w:vAlign w:val="center"/>
          </w:tcPr>
          <w:p w14:paraId="2C535269">
            <w:pPr>
              <w:pStyle w:val="10"/>
            </w:pPr>
            <w:r>
              <w:t>5</w:t>
            </w:r>
          </w:p>
        </w:tc>
      </w:tr>
      <w:tr w14:paraId="26FF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E53C1">
            <w:pPr>
              <w:pStyle w:val="13"/>
            </w:pPr>
            <w:r>
              <w:t>1</w:t>
            </w:r>
          </w:p>
        </w:tc>
        <w:tc>
          <w:tcPr>
            <w:tcW w:w="1191" w:type="dxa"/>
            <w:vAlign w:val="center"/>
          </w:tcPr>
          <w:p w14:paraId="63EFDD60">
            <w:pPr>
              <w:pStyle w:val="16"/>
            </w:pPr>
          </w:p>
        </w:tc>
        <w:tc>
          <w:tcPr>
            <w:tcW w:w="4535" w:type="dxa"/>
            <w:vAlign w:val="center"/>
          </w:tcPr>
          <w:p w14:paraId="13DA01C6">
            <w:pPr>
              <w:pStyle w:val="14"/>
            </w:pPr>
            <w:r>
              <w:t>合计</w:t>
            </w:r>
          </w:p>
        </w:tc>
        <w:tc>
          <w:tcPr>
            <w:tcW w:w="2551" w:type="dxa"/>
            <w:vAlign w:val="center"/>
          </w:tcPr>
          <w:p w14:paraId="7162AACC">
            <w:pPr>
              <w:pStyle w:val="15"/>
            </w:pPr>
            <w:r>
              <w:t>2590.07</w:t>
            </w:r>
          </w:p>
        </w:tc>
        <w:tc>
          <w:tcPr>
            <w:tcW w:w="2551" w:type="dxa"/>
            <w:vAlign w:val="center"/>
          </w:tcPr>
          <w:p w14:paraId="524C3339">
            <w:pPr>
              <w:pStyle w:val="15"/>
            </w:pPr>
            <w:r>
              <w:t>2590.07</w:t>
            </w:r>
          </w:p>
        </w:tc>
        <w:tc>
          <w:tcPr>
            <w:tcW w:w="2551" w:type="dxa"/>
            <w:vAlign w:val="center"/>
          </w:tcPr>
          <w:p w14:paraId="43508547">
            <w:pPr>
              <w:pStyle w:val="15"/>
            </w:pPr>
          </w:p>
        </w:tc>
      </w:tr>
      <w:tr w14:paraId="0A8EE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B091">
            <w:pPr>
              <w:pStyle w:val="13"/>
            </w:pPr>
            <w:r>
              <w:t>2</w:t>
            </w:r>
          </w:p>
        </w:tc>
        <w:tc>
          <w:tcPr>
            <w:tcW w:w="1191" w:type="dxa"/>
            <w:vAlign w:val="center"/>
          </w:tcPr>
          <w:p w14:paraId="5E42ECBE">
            <w:pPr>
              <w:pStyle w:val="12"/>
            </w:pPr>
            <w:r>
              <w:t>301</w:t>
            </w:r>
          </w:p>
        </w:tc>
        <w:tc>
          <w:tcPr>
            <w:tcW w:w="4535" w:type="dxa"/>
            <w:vAlign w:val="center"/>
          </w:tcPr>
          <w:p w14:paraId="572DD503">
            <w:pPr>
              <w:pStyle w:val="12"/>
            </w:pPr>
            <w:r>
              <w:t>工资福利支出</w:t>
            </w:r>
          </w:p>
        </w:tc>
        <w:tc>
          <w:tcPr>
            <w:tcW w:w="2551" w:type="dxa"/>
            <w:vAlign w:val="center"/>
          </w:tcPr>
          <w:p w14:paraId="5915F8BF">
            <w:pPr>
              <w:pStyle w:val="11"/>
            </w:pPr>
            <w:r>
              <w:t>2519.93</w:t>
            </w:r>
          </w:p>
        </w:tc>
        <w:tc>
          <w:tcPr>
            <w:tcW w:w="2551" w:type="dxa"/>
            <w:vAlign w:val="center"/>
          </w:tcPr>
          <w:p w14:paraId="76A1B79B">
            <w:pPr>
              <w:pStyle w:val="11"/>
            </w:pPr>
            <w:r>
              <w:t>2519.93</w:t>
            </w:r>
          </w:p>
        </w:tc>
        <w:tc>
          <w:tcPr>
            <w:tcW w:w="2551" w:type="dxa"/>
            <w:vAlign w:val="center"/>
          </w:tcPr>
          <w:p w14:paraId="14E7D1F2">
            <w:pPr>
              <w:pStyle w:val="11"/>
            </w:pPr>
          </w:p>
        </w:tc>
      </w:tr>
      <w:tr w14:paraId="7407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AAA04">
            <w:pPr>
              <w:pStyle w:val="13"/>
            </w:pPr>
            <w:r>
              <w:t>3</w:t>
            </w:r>
          </w:p>
        </w:tc>
        <w:tc>
          <w:tcPr>
            <w:tcW w:w="1191" w:type="dxa"/>
            <w:vAlign w:val="center"/>
          </w:tcPr>
          <w:p w14:paraId="2B0EA090">
            <w:pPr>
              <w:pStyle w:val="12"/>
            </w:pPr>
            <w:r>
              <w:t>30101</w:t>
            </w:r>
          </w:p>
        </w:tc>
        <w:tc>
          <w:tcPr>
            <w:tcW w:w="4535" w:type="dxa"/>
            <w:vAlign w:val="center"/>
          </w:tcPr>
          <w:p w14:paraId="53C552D8">
            <w:pPr>
              <w:pStyle w:val="12"/>
            </w:pPr>
            <w:r>
              <w:t>基本工资</w:t>
            </w:r>
          </w:p>
        </w:tc>
        <w:tc>
          <w:tcPr>
            <w:tcW w:w="2551" w:type="dxa"/>
            <w:vAlign w:val="center"/>
          </w:tcPr>
          <w:p w14:paraId="3B5F606E">
            <w:pPr>
              <w:pStyle w:val="11"/>
            </w:pPr>
            <w:r>
              <w:t>1234.75</w:t>
            </w:r>
          </w:p>
        </w:tc>
        <w:tc>
          <w:tcPr>
            <w:tcW w:w="2551" w:type="dxa"/>
            <w:vAlign w:val="center"/>
          </w:tcPr>
          <w:p w14:paraId="642CB161">
            <w:pPr>
              <w:pStyle w:val="11"/>
            </w:pPr>
            <w:r>
              <w:t>1234.75</w:t>
            </w:r>
          </w:p>
        </w:tc>
        <w:tc>
          <w:tcPr>
            <w:tcW w:w="2551" w:type="dxa"/>
            <w:vAlign w:val="center"/>
          </w:tcPr>
          <w:p w14:paraId="1E33B65D">
            <w:pPr>
              <w:pStyle w:val="11"/>
            </w:pPr>
          </w:p>
        </w:tc>
      </w:tr>
      <w:tr w14:paraId="2C20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7E03">
            <w:pPr>
              <w:pStyle w:val="13"/>
            </w:pPr>
            <w:r>
              <w:t>4</w:t>
            </w:r>
          </w:p>
        </w:tc>
        <w:tc>
          <w:tcPr>
            <w:tcW w:w="1191" w:type="dxa"/>
            <w:vAlign w:val="center"/>
          </w:tcPr>
          <w:p w14:paraId="048760ED">
            <w:pPr>
              <w:pStyle w:val="12"/>
            </w:pPr>
            <w:r>
              <w:t>30102</w:t>
            </w:r>
          </w:p>
        </w:tc>
        <w:tc>
          <w:tcPr>
            <w:tcW w:w="4535" w:type="dxa"/>
            <w:vAlign w:val="center"/>
          </w:tcPr>
          <w:p w14:paraId="48D953A7">
            <w:pPr>
              <w:pStyle w:val="12"/>
            </w:pPr>
            <w:r>
              <w:t>津贴补贴</w:t>
            </w:r>
          </w:p>
        </w:tc>
        <w:tc>
          <w:tcPr>
            <w:tcW w:w="2551" w:type="dxa"/>
            <w:vAlign w:val="center"/>
          </w:tcPr>
          <w:p w14:paraId="15BF6481">
            <w:pPr>
              <w:pStyle w:val="11"/>
            </w:pPr>
            <w:r>
              <w:t>34.00</w:t>
            </w:r>
          </w:p>
        </w:tc>
        <w:tc>
          <w:tcPr>
            <w:tcW w:w="2551" w:type="dxa"/>
            <w:vAlign w:val="center"/>
          </w:tcPr>
          <w:p w14:paraId="3495412C">
            <w:pPr>
              <w:pStyle w:val="11"/>
            </w:pPr>
            <w:r>
              <w:t>34.00</w:t>
            </w:r>
          </w:p>
        </w:tc>
        <w:tc>
          <w:tcPr>
            <w:tcW w:w="2551" w:type="dxa"/>
            <w:vAlign w:val="center"/>
          </w:tcPr>
          <w:p w14:paraId="4964A92A">
            <w:pPr>
              <w:pStyle w:val="11"/>
            </w:pPr>
          </w:p>
        </w:tc>
      </w:tr>
      <w:tr w14:paraId="0C24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375D0">
            <w:pPr>
              <w:pStyle w:val="13"/>
            </w:pPr>
            <w:r>
              <w:t>5</w:t>
            </w:r>
          </w:p>
        </w:tc>
        <w:tc>
          <w:tcPr>
            <w:tcW w:w="1191" w:type="dxa"/>
            <w:vAlign w:val="center"/>
          </w:tcPr>
          <w:p w14:paraId="4F25AB52">
            <w:pPr>
              <w:pStyle w:val="12"/>
            </w:pPr>
            <w:r>
              <w:t>30107</w:t>
            </w:r>
          </w:p>
        </w:tc>
        <w:tc>
          <w:tcPr>
            <w:tcW w:w="4535" w:type="dxa"/>
            <w:vAlign w:val="center"/>
          </w:tcPr>
          <w:p w14:paraId="2EECCC16">
            <w:pPr>
              <w:pStyle w:val="12"/>
            </w:pPr>
            <w:r>
              <w:t>绩效工资</w:t>
            </w:r>
          </w:p>
        </w:tc>
        <w:tc>
          <w:tcPr>
            <w:tcW w:w="2551" w:type="dxa"/>
            <w:vAlign w:val="center"/>
          </w:tcPr>
          <w:p w14:paraId="49649A7A">
            <w:pPr>
              <w:pStyle w:val="11"/>
            </w:pPr>
            <w:r>
              <w:t>654.45</w:t>
            </w:r>
          </w:p>
        </w:tc>
        <w:tc>
          <w:tcPr>
            <w:tcW w:w="2551" w:type="dxa"/>
            <w:vAlign w:val="center"/>
          </w:tcPr>
          <w:p w14:paraId="56A00049">
            <w:pPr>
              <w:pStyle w:val="11"/>
            </w:pPr>
            <w:r>
              <w:t>654.45</w:t>
            </w:r>
          </w:p>
        </w:tc>
        <w:tc>
          <w:tcPr>
            <w:tcW w:w="2551" w:type="dxa"/>
            <w:vAlign w:val="center"/>
          </w:tcPr>
          <w:p w14:paraId="3AACDCE0">
            <w:pPr>
              <w:pStyle w:val="11"/>
            </w:pPr>
          </w:p>
        </w:tc>
      </w:tr>
      <w:tr w14:paraId="074D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8EF6C">
            <w:pPr>
              <w:pStyle w:val="13"/>
            </w:pPr>
            <w:r>
              <w:t>6</w:t>
            </w:r>
          </w:p>
        </w:tc>
        <w:tc>
          <w:tcPr>
            <w:tcW w:w="1191" w:type="dxa"/>
            <w:vAlign w:val="center"/>
          </w:tcPr>
          <w:p w14:paraId="428FEC0D">
            <w:pPr>
              <w:pStyle w:val="12"/>
            </w:pPr>
            <w:r>
              <w:t>30108</w:t>
            </w:r>
          </w:p>
        </w:tc>
        <w:tc>
          <w:tcPr>
            <w:tcW w:w="4535" w:type="dxa"/>
            <w:vAlign w:val="center"/>
          </w:tcPr>
          <w:p w14:paraId="17DF3332">
            <w:pPr>
              <w:pStyle w:val="12"/>
            </w:pPr>
            <w:r>
              <w:t>机关事业单位基本养老保险缴费</w:t>
            </w:r>
          </w:p>
        </w:tc>
        <w:tc>
          <w:tcPr>
            <w:tcW w:w="2551" w:type="dxa"/>
            <w:vAlign w:val="center"/>
          </w:tcPr>
          <w:p w14:paraId="5FA70812">
            <w:pPr>
              <w:pStyle w:val="11"/>
            </w:pPr>
            <w:r>
              <w:t>266.76</w:t>
            </w:r>
          </w:p>
        </w:tc>
        <w:tc>
          <w:tcPr>
            <w:tcW w:w="2551" w:type="dxa"/>
            <w:vAlign w:val="center"/>
          </w:tcPr>
          <w:p w14:paraId="208CC4E8">
            <w:pPr>
              <w:pStyle w:val="11"/>
            </w:pPr>
            <w:r>
              <w:t>266.76</w:t>
            </w:r>
          </w:p>
        </w:tc>
        <w:tc>
          <w:tcPr>
            <w:tcW w:w="2551" w:type="dxa"/>
            <w:vAlign w:val="center"/>
          </w:tcPr>
          <w:p w14:paraId="3C8E96BD">
            <w:pPr>
              <w:pStyle w:val="11"/>
            </w:pPr>
          </w:p>
        </w:tc>
      </w:tr>
      <w:tr w14:paraId="2B35B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51876">
            <w:pPr>
              <w:pStyle w:val="13"/>
            </w:pPr>
            <w:r>
              <w:t>7</w:t>
            </w:r>
          </w:p>
        </w:tc>
        <w:tc>
          <w:tcPr>
            <w:tcW w:w="1191" w:type="dxa"/>
            <w:vAlign w:val="center"/>
          </w:tcPr>
          <w:p w14:paraId="62B0A64E">
            <w:pPr>
              <w:pStyle w:val="12"/>
            </w:pPr>
            <w:r>
              <w:t>30110</w:t>
            </w:r>
          </w:p>
        </w:tc>
        <w:tc>
          <w:tcPr>
            <w:tcW w:w="4535" w:type="dxa"/>
            <w:vAlign w:val="center"/>
          </w:tcPr>
          <w:p w14:paraId="75E29C90">
            <w:pPr>
              <w:pStyle w:val="12"/>
            </w:pPr>
            <w:r>
              <w:t>职工基本医疗保险缴费</w:t>
            </w:r>
          </w:p>
        </w:tc>
        <w:tc>
          <w:tcPr>
            <w:tcW w:w="2551" w:type="dxa"/>
            <w:vAlign w:val="center"/>
          </w:tcPr>
          <w:p w14:paraId="4D0A71EE">
            <w:pPr>
              <w:pStyle w:val="11"/>
            </w:pPr>
            <w:r>
              <w:t>123.26</w:t>
            </w:r>
          </w:p>
        </w:tc>
        <w:tc>
          <w:tcPr>
            <w:tcW w:w="2551" w:type="dxa"/>
            <w:vAlign w:val="center"/>
          </w:tcPr>
          <w:p w14:paraId="201ACFAF">
            <w:pPr>
              <w:pStyle w:val="11"/>
            </w:pPr>
            <w:r>
              <w:t>123.26</w:t>
            </w:r>
          </w:p>
        </w:tc>
        <w:tc>
          <w:tcPr>
            <w:tcW w:w="2551" w:type="dxa"/>
            <w:vAlign w:val="center"/>
          </w:tcPr>
          <w:p w14:paraId="322784C7">
            <w:pPr>
              <w:pStyle w:val="11"/>
            </w:pPr>
          </w:p>
        </w:tc>
      </w:tr>
      <w:tr w14:paraId="44A9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4912">
            <w:pPr>
              <w:pStyle w:val="13"/>
            </w:pPr>
            <w:r>
              <w:t>8</w:t>
            </w:r>
          </w:p>
        </w:tc>
        <w:tc>
          <w:tcPr>
            <w:tcW w:w="1191" w:type="dxa"/>
            <w:vAlign w:val="center"/>
          </w:tcPr>
          <w:p w14:paraId="6413A7B1">
            <w:pPr>
              <w:pStyle w:val="12"/>
            </w:pPr>
            <w:r>
              <w:t>30112</w:t>
            </w:r>
          </w:p>
        </w:tc>
        <w:tc>
          <w:tcPr>
            <w:tcW w:w="4535" w:type="dxa"/>
            <w:vAlign w:val="center"/>
          </w:tcPr>
          <w:p w14:paraId="1B6FE218">
            <w:pPr>
              <w:pStyle w:val="12"/>
            </w:pPr>
            <w:r>
              <w:t>其他社会保障缴费</w:t>
            </w:r>
          </w:p>
        </w:tc>
        <w:tc>
          <w:tcPr>
            <w:tcW w:w="2551" w:type="dxa"/>
            <w:vAlign w:val="center"/>
          </w:tcPr>
          <w:p w14:paraId="415FAAD6">
            <w:pPr>
              <w:pStyle w:val="11"/>
            </w:pPr>
            <w:r>
              <w:t>8.47</w:t>
            </w:r>
          </w:p>
        </w:tc>
        <w:tc>
          <w:tcPr>
            <w:tcW w:w="2551" w:type="dxa"/>
            <w:vAlign w:val="center"/>
          </w:tcPr>
          <w:p w14:paraId="1D518974">
            <w:pPr>
              <w:pStyle w:val="11"/>
            </w:pPr>
            <w:r>
              <w:t>8.47</w:t>
            </w:r>
          </w:p>
        </w:tc>
        <w:tc>
          <w:tcPr>
            <w:tcW w:w="2551" w:type="dxa"/>
            <w:vAlign w:val="center"/>
          </w:tcPr>
          <w:p w14:paraId="277A43DA">
            <w:pPr>
              <w:pStyle w:val="11"/>
            </w:pPr>
          </w:p>
        </w:tc>
      </w:tr>
      <w:tr w14:paraId="2AB9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A383B">
            <w:pPr>
              <w:pStyle w:val="13"/>
            </w:pPr>
            <w:r>
              <w:t>9</w:t>
            </w:r>
          </w:p>
        </w:tc>
        <w:tc>
          <w:tcPr>
            <w:tcW w:w="1191" w:type="dxa"/>
            <w:vAlign w:val="center"/>
          </w:tcPr>
          <w:p w14:paraId="11E10A91">
            <w:pPr>
              <w:pStyle w:val="12"/>
            </w:pPr>
            <w:r>
              <w:t>30113</w:t>
            </w:r>
          </w:p>
        </w:tc>
        <w:tc>
          <w:tcPr>
            <w:tcW w:w="4535" w:type="dxa"/>
            <w:vAlign w:val="center"/>
          </w:tcPr>
          <w:p w14:paraId="0C0F3979">
            <w:pPr>
              <w:pStyle w:val="12"/>
            </w:pPr>
            <w:r>
              <w:t>住房公积金</w:t>
            </w:r>
          </w:p>
        </w:tc>
        <w:tc>
          <w:tcPr>
            <w:tcW w:w="2551" w:type="dxa"/>
            <w:vAlign w:val="center"/>
          </w:tcPr>
          <w:p w14:paraId="18707B25">
            <w:pPr>
              <w:pStyle w:val="11"/>
            </w:pPr>
            <w:r>
              <w:t>198.25</w:t>
            </w:r>
          </w:p>
        </w:tc>
        <w:tc>
          <w:tcPr>
            <w:tcW w:w="2551" w:type="dxa"/>
            <w:vAlign w:val="center"/>
          </w:tcPr>
          <w:p w14:paraId="348D0E21">
            <w:pPr>
              <w:pStyle w:val="11"/>
            </w:pPr>
            <w:r>
              <w:t>198.25</w:t>
            </w:r>
          </w:p>
        </w:tc>
        <w:tc>
          <w:tcPr>
            <w:tcW w:w="2551" w:type="dxa"/>
            <w:vAlign w:val="center"/>
          </w:tcPr>
          <w:p w14:paraId="43FD3F4B">
            <w:pPr>
              <w:pStyle w:val="11"/>
            </w:pPr>
          </w:p>
        </w:tc>
      </w:tr>
      <w:tr w14:paraId="19A8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360D2">
            <w:pPr>
              <w:pStyle w:val="13"/>
            </w:pPr>
            <w:r>
              <w:t>10</w:t>
            </w:r>
          </w:p>
        </w:tc>
        <w:tc>
          <w:tcPr>
            <w:tcW w:w="1191" w:type="dxa"/>
            <w:vAlign w:val="center"/>
          </w:tcPr>
          <w:p w14:paraId="21BCCA2D">
            <w:pPr>
              <w:pStyle w:val="12"/>
            </w:pPr>
            <w:r>
              <w:t>303</w:t>
            </w:r>
          </w:p>
        </w:tc>
        <w:tc>
          <w:tcPr>
            <w:tcW w:w="4535" w:type="dxa"/>
            <w:vAlign w:val="center"/>
          </w:tcPr>
          <w:p w14:paraId="63226725">
            <w:pPr>
              <w:pStyle w:val="12"/>
            </w:pPr>
            <w:r>
              <w:t>对个人和家庭的补助</w:t>
            </w:r>
          </w:p>
        </w:tc>
        <w:tc>
          <w:tcPr>
            <w:tcW w:w="2551" w:type="dxa"/>
            <w:vAlign w:val="center"/>
          </w:tcPr>
          <w:p w14:paraId="546A20D4">
            <w:pPr>
              <w:pStyle w:val="11"/>
            </w:pPr>
            <w:r>
              <w:t>70.15</w:t>
            </w:r>
          </w:p>
        </w:tc>
        <w:tc>
          <w:tcPr>
            <w:tcW w:w="2551" w:type="dxa"/>
            <w:vAlign w:val="center"/>
          </w:tcPr>
          <w:p w14:paraId="587AF0A8">
            <w:pPr>
              <w:pStyle w:val="11"/>
            </w:pPr>
            <w:r>
              <w:t>70.15</w:t>
            </w:r>
          </w:p>
        </w:tc>
        <w:tc>
          <w:tcPr>
            <w:tcW w:w="2551" w:type="dxa"/>
            <w:vAlign w:val="center"/>
          </w:tcPr>
          <w:p w14:paraId="3FEB87BF">
            <w:pPr>
              <w:pStyle w:val="11"/>
            </w:pPr>
          </w:p>
        </w:tc>
      </w:tr>
      <w:tr w14:paraId="16FBF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F4510">
            <w:pPr>
              <w:pStyle w:val="13"/>
            </w:pPr>
            <w:r>
              <w:t>11</w:t>
            </w:r>
          </w:p>
        </w:tc>
        <w:tc>
          <w:tcPr>
            <w:tcW w:w="1191" w:type="dxa"/>
            <w:vAlign w:val="center"/>
          </w:tcPr>
          <w:p w14:paraId="0FD4EF34">
            <w:pPr>
              <w:pStyle w:val="12"/>
            </w:pPr>
            <w:r>
              <w:t>30302</w:t>
            </w:r>
          </w:p>
        </w:tc>
        <w:tc>
          <w:tcPr>
            <w:tcW w:w="4535" w:type="dxa"/>
            <w:vAlign w:val="center"/>
          </w:tcPr>
          <w:p w14:paraId="74069F8E">
            <w:pPr>
              <w:pStyle w:val="12"/>
            </w:pPr>
            <w:r>
              <w:t>退休费</w:t>
            </w:r>
          </w:p>
        </w:tc>
        <w:tc>
          <w:tcPr>
            <w:tcW w:w="2551" w:type="dxa"/>
            <w:vAlign w:val="center"/>
          </w:tcPr>
          <w:p w14:paraId="32E28360">
            <w:pPr>
              <w:pStyle w:val="11"/>
            </w:pPr>
            <w:r>
              <w:t>69.43</w:t>
            </w:r>
          </w:p>
        </w:tc>
        <w:tc>
          <w:tcPr>
            <w:tcW w:w="2551" w:type="dxa"/>
            <w:vAlign w:val="center"/>
          </w:tcPr>
          <w:p w14:paraId="734A552F">
            <w:pPr>
              <w:pStyle w:val="11"/>
            </w:pPr>
            <w:r>
              <w:t>69.43</w:t>
            </w:r>
          </w:p>
        </w:tc>
        <w:tc>
          <w:tcPr>
            <w:tcW w:w="2551" w:type="dxa"/>
            <w:vAlign w:val="center"/>
          </w:tcPr>
          <w:p w14:paraId="06DE03E2">
            <w:pPr>
              <w:pStyle w:val="11"/>
            </w:pPr>
          </w:p>
        </w:tc>
      </w:tr>
      <w:tr w14:paraId="0AD5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E68BE">
            <w:pPr>
              <w:pStyle w:val="13"/>
            </w:pPr>
            <w:r>
              <w:t>12</w:t>
            </w:r>
          </w:p>
        </w:tc>
        <w:tc>
          <w:tcPr>
            <w:tcW w:w="1191" w:type="dxa"/>
            <w:vAlign w:val="center"/>
          </w:tcPr>
          <w:p w14:paraId="613A31F2">
            <w:pPr>
              <w:pStyle w:val="12"/>
            </w:pPr>
            <w:r>
              <w:t>30305</w:t>
            </w:r>
          </w:p>
        </w:tc>
        <w:tc>
          <w:tcPr>
            <w:tcW w:w="4535" w:type="dxa"/>
            <w:vAlign w:val="center"/>
          </w:tcPr>
          <w:p w14:paraId="7F27D641">
            <w:pPr>
              <w:pStyle w:val="12"/>
            </w:pPr>
            <w:r>
              <w:t>生活补助</w:t>
            </w:r>
          </w:p>
        </w:tc>
        <w:tc>
          <w:tcPr>
            <w:tcW w:w="2551" w:type="dxa"/>
            <w:vAlign w:val="center"/>
          </w:tcPr>
          <w:p w14:paraId="1543BB43">
            <w:pPr>
              <w:pStyle w:val="11"/>
            </w:pPr>
            <w:r>
              <w:t>0.72</w:t>
            </w:r>
          </w:p>
        </w:tc>
        <w:tc>
          <w:tcPr>
            <w:tcW w:w="2551" w:type="dxa"/>
            <w:vAlign w:val="center"/>
          </w:tcPr>
          <w:p w14:paraId="1BC5FACA">
            <w:pPr>
              <w:pStyle w:val="11"/>
            </w:pPr>
            <w:r>
              <w:t>0.72</w:t>
            </w:r>
          </w:p>
        </w:tc>
        <w:tc>
          <w:tcPr>
            <w:tcW w:w="2551" w:type="dxa"/>
            <w:vAlign w:val="center"/>
          </w:tcPr>
          <w:p w14:paraId="116E445E">
            <w:pPr>
              <w:pStyle w:val="11"/>
            </w:pPr>
          </w:p>
        </w:tc>
      </w:tr>
    </w:tbl>
    <w:p w14:paraId="620BDB2F">
      <w:pPr>
        <w:sectPr>
          <w:pgSz w:w="16840" w:h="11900" w:orient="landscape"/>
          <w:pgMar w:top="1361" w:right="1020" w:bottom="1134" w:left="1020" w:header="720" w:footer="720" w:gutter="0"/>
          <w:cols w:space="720" w:num="1"/>
        </w:sectPr>
      </w:pPr>
    </w:p>
    <w:p w14:paraId="67D88B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AA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3984B7">
            <w:pPr>
              <w:pStyle w:val="9"/>
            </w:pPr>
            <w:r>
              <w:t>360015隆尧县职业技术教育中心</w:t>
            </w:r>
          </w:p>
        </w:tc>
        <w:tc>
          <w:tcPr>
            <w:tcW w:w="2551" w:type="dxa"/>
            <w:tcBorders>
              <w:top w:val="single" w:color="FFFFFF" w:sz="6" w:space="0"/>
              <w:left w:val="single" w:color="FFFFFF" w:sz="6" w:space="0"/>
              <w:right w:val="single" w:color="FFFFFF" w:sz="6" w:space="0"/>
            </w:tcBorders>
            <w:vAlign w:val="center"/>
          </w:tcPr>
          <w:p w14:paraId="26CC9B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910A5F">
            <w:pPr>
              <w:pStyle w:val="7"/>
            </w:pPr>
            <w:r>
              <w:t>单位：万元</w:t>
            </w:r>
          </w:p>
        </w:tc>
      </w:tr>
      <w:tr w14:paraId="135B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2AC07">
            <w:pPr>
              <w:pStyle w:val="10"/>
            </w:pPr>
            <w:r>
              <w:t>序号</w:t>
            </w:r>
          </w:p>
        </w:tc>
        <w:tc>
          <w:tcPr>
            <w:tcW w:w="5726" w:type="dxa"/>
            <w:gridSpan w:val="2"/>
            <w:vAlign w:val="center"/>
          </w:tcPr>
          <w:p w14:paraId="5A107D25">
            <w:pPr>
              <w:pStyle w:val="10"/>
            </w:pPr>
            <w:r>
              <w:t>功能分类科目</w:t>
            </w:r>
          </w:p>
        </w:tc>
        <w:tc>
          <w:tcPr>
            <w:tcW w:w="2551" w:type="dxa"/>
            <w:vMerge w:val="restart"/>
            <w:vAlign w:val="center"/>
          </w:tcPr>
          <w:p w14:paraId="3562C2C0">
            <w:pPr>
              <w:pStyle w:val="10"/>
            </w:pPr>
            <w:r>
              <w:t>合计</w:t>
            </w:r>
          </w:p>
        </w:tc>
        <w:tc>
          <w:tcPr>
            <w:tcW w:w="2551" w:type="dxa"/>
            <w:vMerge w:val="restart"/>
            <w:vAlign w:val="center"/>
          </w:tcPr>
          <w:p w14:paraId="5F9A82DB">
            <w:pPr>
              <w:pStyle w:val="10"/>
            </w:pPr>
            <w:r>
              <w:t>基本支出</w:t>
            </w:r>
          </w:p>
        </w:tc>
        <w:tc>
          <w:tcPr>
            <w:tcW w:w="2551" w:type="dxa"/>
            <w:vMerge w:val="restart"/>
            <w:vAlign w:val="center"/>
          </w:tcPr>
          <w:p w14:paraId="4A6AF036">
            <w:pPr>
              <w:pStyle w:val="10"/>
            </w:pPr>
            <w:r>
              <w:t>项目支出</w:t>
            </w:r>
          </w:p>
        </w:tc>
      </w:tr>
      <w:tr w14:paraId="0CA1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2C6B6"/>
        </w:tc>
        <w:tc>
          <w:tcPr>
            <w:tcW w:w="1191" w:type="dxa"/>
            <w:vAlign w:val="center"/>
          </w:tcPr>
          <w:p w14:paraId="6A11B23E">
            <w:pPr>
              <w:pStyle w:val="10"/>
            </w:pPr>
            <w:r>
              <w:t>科目编码</w:t>
            </w:r>
          </w:p>
        </w:tc>
        <w:tc>
          <w:tcPr>
            <w:tcW w:w="4535" w:type="dxa"/>
            <w:vAlign w:val="center"/>
          </w:tcPr>
          <w:p w14:paraId="705D857F">
            <w:pPr>
              <w:pStyle w:val="10"/>
            </w:pPr>
            <w:r>
              <w:t>科目名称</w:t>
            </w:r>
          </w:p>
        </w:tc>
        <w:tc>
          <w:tcPr>
            <w:tcW w:w="2551" w:type="dxa"/>
            <w:vMerge w:val="continue"/>
          </w:tcPr>
          <w:p w14:paraId="7458E30F"/>
        </w:tc>
        <w:tc>
          <w:tcPr>
            <w:tcW w:w="2551" w:type="dxa"/>
            <w:vMerge w:val="continue"/>
          </w:tcPr>
          <w:p w14:paraId="5AC3DFBE"/>
        </w:tc>
        <w:tc>
          <w:tcPr>
            <w:tcW w:w="2551" w:type="dxa"/>
            <w:vMerge w:val="continue"/>
          </w:tcPr>
          <w:p w14:paraId="373B8FF6"/>
        </w:tc>
      </w:tr>
      <w:tr w14:paraId="715C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26E0B">
            <w:pPr>
              <w:pStyle w:val="10"/>
            </w:pPr>
            <w:r>
              <w:t>栏次</w:t>
            </w:r>
          </w:p>
        </w:tc>
        <w:tc>
          <w:tcPr>
            <w:tcW w:w="1191" w:type="dxa"/>
            <w:vAlign w:val="center"/>
          </w:tcPr>
          <w:p w14:paraId="3B4AA8AA">
            <w:pPr>
              <w:pStyle w:val="10"/>
            </w:pPr>
            <w:r>
              <w:t>1</w:t>
            </w:r>
          </w:p>
        </w:tc>
        <w:tc>
          <w:tcPr>
            <w:tcW w:w="4535" w:type="dxa"/>
            <w:vAlign w:val="center"/>
          </w:tcPr>
          <w:p w14:paraId="2A8B199F">
            <w:pPr>
              <w:pStyle w:val="10"/>
            </w:pPr>
            <w:r>
              <w:t>2</w:t>
            </w:r>
          </w:p>
        </w:tc>
        <w:tc>
          <w:tcPr>
            <w:tcW w:w="2551" w:type="dxa"/>
            <w:vAlign w:val="center"/>
          </w:tcPr>
          <w:p w14:paraId="7D0CC7B9">
            <w:pPr>
              <w:pStyle w:val="10"/>
            </w:pPr>
            <w:r>
              <w:t>3</w:t>
            </w:r>
          </w:p>
        </w:tc>
        <w:tc>
          <w:tcPr>
            <w:tcW w:w="2551" w:type="dxa"/>
            <w:vAlign w:val="center"/>
          </w:tcPr>
          <w:p w14:paraId="2D192BE4">
            <w:pPr>
              <w:pStyle w:val="10"/>
            </w:pPr>
            <w:r>
              <w:t>4</w:t>
            </w:r>
          </w:p>
        </w:tc>
        <w:tc>
          <w:tcPr>
            <w:tcW w:w="2551" w:type="dxa"/>
            <w:vAlign w:val="center"/>
          </w:tcPr>
          <w:p w14:paraId="7951E46A">
            <w:pPr>
              <w:pStyle w:val="10"/>
            </w:pPr>
            <w:r>
              <w:t>5</w:t>
            </w:r>
          </w:p>
        </w:tc>
      </w:tr>
      <w:tr w14:paraId="0CFF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29D6">
            <w:pPr>
              <w:pStyle w:val="13"/>
            </w:pPr>
          </w:p>
        </w:tc>
        <w:tc>
          <w:tcPr>
            <w:tcW w:w="1191" w:type="dxa"/>
            <w:vAlign w:val="center"/>
          </w:tcPr>
          <w:p w14:paraId="1D3DB538">
            <w:pPr>
              <w:pStyle w:val="12"/>
            </w:pPr>
          </w:p>
        </w:tc>
        <w:tc>
          <w:tcPr>
            <w:tcW w:w="4535" w:type="dxa"/>
            <w:vAlign w:val="center"/>
          </w:tcPr>
          <w:p w14:paraId="59B3E059">
            <w:pPr>
              <w:pStyle w:val="12"/>
            </w:pPr>
          </w:p>
        </w:tc>
        <w:tc>
          <w:tcPr>
            <w:tcW w:w="2551" w:type="dxa"/>
            <w:vAlign w:val="center"/>
          </w:tcPr>
          <w:p w14:paraId="4A812056">
            <w:pPr>
              <w:pStyle w:val="11"/>
            </w:pPr>
          </w:p>
        </w:tc>
        <w:tc>
          <w:tcPr>
            <w:tcW w:w="2551" w:type="dxa"/>
            <w:vAlign w:val="center"/>
          </w:tcPr>
          <w:p w14:paraId="0E5E8CFB">
            <w:pPr>
              <w:pStyle w:val="11"/>
            </w:pPr>
          </w:p>
        </w:tc>
        <w:tc>
          <w:tcPr>
            <w:tcW w:w="2551" w:type="dxa"/>
            <w:vAlign w:val="center"/>
          </w:tcPr>
          <w:p w14:paraId="2D502D42">
            <w:pPr>
              <w:pStyle w:val="11"/>
            </w:pPr>
          </w:p>
        </w:tc>
      </w:tr>
    </w:tbl>
    <w:p w14:paraId="34DE7E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A94D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82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C59BC3">
            <w:pPr>
              <w:pStyle w:val="9"/>
            </w:pPr>
            <w:r>
              <w:t>360015隆尧县职业技术教育中心</w:t>
            </w:r>
          </w:p>
        </w:tc>
        <w:tc>
          <w:tcPr>
            <w:tcW w:w="2551" w:type="dxa"/>
            <w:tcBorders>
              <w:top w:val="single" w:color="FFFFFF" w:sz="6" w:space="0"/>
              <w:left w:val="single" w:color="FFFFFF" w:sz="6" w:space="0"/>
              <w:right w:val="single" w:color="FFFFFF" w:sz="6" w:space="0"/>
            </w:tcBorders>
            <w:vAlign w:val="center"/>
          </w:tcPr>
          <w:p w14:paraId="1B19AE8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CAA9DF">
            <w:pPr>
              <w:pStyle w:val="7"/>
            </w:pPr>
            <w:r>
              <w:t>单位：万元</w:t>
            </w:r>
          </w:p>
        </w:tc>
      </w:tr>
      <w:tr w14:paraId="2E5C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DAF13">
            <w:pPr>
              <w:pStyle w:val="10"/>
            </w:pPr>
            <w:r>
              <w:t>序号</w:t>
            </w:r>
          </w:p>
        </w:tc>
        <w:tc>
          <w:tcPr>
            <w:tcW w:w="5726" w:type="dxa"/>
            <w:gridSpan w:val="2"/>
            <w:vAlign w:val="center"/>
          </w:tcPr>
          <w:p w14:paraId="42738D58">
            <w:pPr>
              <w:pStyle w:val="10"/>
            </w:pPr>
            <w:r>
              <w:t>功能分类科目</w:t>
            </w:r>
          </w:p>
        </w:tc>
        <w:tc>
          <w:tcPr>
            <w:tcW w:w="2551" w:type="dxa"/>
            <w:vMerge w:val="restart"/>
            <w:vAlign w:val="center"/>
          </w:tcPr>
          <w:p w14:paraId="15D166C9">
            <w:pPr>
              <w:pStyle w:val="10"/>
            </w:pPr>
            <w:r>
              <w:t>合计</w:t>
            </w:r>
          </w:p>
        </w:tc>
        <w:tc>
          <w:tcPr>
            <w:tcW w:w="2551" w:type="dxa"/>
            <w:vMerge w:val="restart"/>
            <w:vAlign w:val="center"/>
          </w:tcPr>
          <w:p w14:paraId="13E5E85E">
            <w:pPr>
              <w:pStyle w:val="10"/>
            </w:pPr>
            <w:r>
              <w:t>基本支出</w:t>
            </w:r>
          </w:p>
        </w:tc>
        <w:tc>
          <w:tcPr>
            <w:tcW w:w="2551" w:type="dxa"/>
            <w:vMerge w:val="restart"/>
            <w:vAlign w:val="center"/>
          </w:tcPr>
          <w:p w14:paraId="2AAF2A63">
            <w:pPr>
              <w:pStyle w:val="10"/>
            </w:pPr>
            <w:r>
              <w:t>项目支出</w:t>
            </w:r>
          </w:p>
        </w:tc>
      </w:tr>
      <w:tr w14:paraId="59BC7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2D743"/>
        </w:tc>
        <w:tc>
          <w:tcPr>
            <w:tcW w:w="1191" w:type="dxa"/>
            <w:vAlign w:val="center"/>
          </w:tcPr>
          <w:p w14:paraId="48C329B5">
            <w:pPr>
              <w:pStyle w:val="10"/>
            </w:pPr>
            <w:r>
              <w:t>科目编码</w:t>
            </w:r>
          </w:p>
        </w:tc>
        <w:tc>
          <w:tcPr>
            <w:tcW w:w="4535" w:type="dxa"/>
            <w:vAlign w:val="center"/>
          </w:tcPr>
          <w:p w14:paraId="63D4FC21">
            <w:pPr>
              <w:pStyle w:val="10"/>
            </w:pPr>
            <w:r>
              <w:t>科目名称</w:t>
            </w:r>
          </w:p>
        </w:tc>
        <w:tc>
          <w:tcPr>
            <w:tcW w:w="2551" w:type="dxa"/>
            <w:vMerge w:val="continue"/>
          </w:tcPr>
          <w:p w14:paraId="3AF13220"/>
        </w:tc>
        <w:tc>
          <w:tcPr>
            <w:tcW w:w="2551" w:type="dxa"/>
            <w:vMerge w:val="continue"/>
          </w:tcPr>
          <w:p w14:paraId="726BF3FF"/>
        </w:tc>
        <w:tc>
          <w:tcPr>
            <w:tcW w:w="2551" w:type="dxa"/>
            <w:vMerge w:val="continue"/>
          </w:tcPr>
          <w:p w14:paraId="090315C8"/>
        </w:tc>
      </w:tr>
      <w:tr w14:paraId="63C6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F63113">
            <w:pPr>
              <w:pStyle w:val="10"/>
            </w:pPr>
            <w:r>
              <w:t>栏次</w:t>
            </w:r>
          </w:p>
        </w:tc>
        <w:tc>
          <w:tcPr>
            <w:tcW w:w="1191" w:type="dxa"/>
            <w:vAlign w:val="center"/>
          </w:tcPr>
          <w:p w14:paraId="0AD8C2E4">
            <w:pPr>
              <w:pStyle w:val="10"/>
            </w:pPr>
            <w:r>
              <w:t>1</w:t>
            </w:r>
          </w:p>
        </w:tc>
        <w:tc>
          <w:tcPr>
            <w:tcW w:w="4535" w:type="dxa"/>
            <w:vAlign w:val="center"/>
          </w:tcPr>
          <w:p w14:paraId="4106ADE3">
            <w:pPr>
              <w:pStyle w:val="10"/>
            </w:pPr>
            <w:r>
              <w:t>2</w:t>
            </w:r>
          </w:p>
        </w:tc>
        <w:tc>
          <w:tcPr>
            <w:tcW w:w="2551" w:type="dxa"/>
            <w:vAlign w:val="center"/>
          </w:tcPr>
          <w:p w14:paraId="008E7E83">
            <w:pPr>
              <w:pStyle w:val="10"/>
            </w:pPr>
            <w:r>
              <w:t>3</w:t>
            </w:r>
          </w:p>
        </w:tc>
        <w:tc>
          <w:tcPr>
            <w:tcW w:w="2551" w:type="dxa"/>
            <w:vAlign w:val="center"/>
          </w:tcPr>
          <w:p w14:paraId="5C089701">
            <w:pPr>
              <w:pStyle w:val="10"/>
            </w:pPr>
            <w:r>
              <w:t>4</w:t>
            </w:r>
          </w:p>
        </w:tc>
        <w:tc>
          <w:tcPr>
            <w:tcW w:w="2551" w:type="dxa"/>
            <w:vAlign w:val="center"/>
          </w:tcPr>
          <w:p w14:paraId="54C1CA0D">
            <w:pPr>
              <w:pStyle w:val="10"/>
            </w:pPr>
            <w:r>
              <w:t>5</w:t>
            </w:r>
          </w:p>
        </w:tc>
      </w:tr>
      <w:tr w14:paraId="7975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C230">
            <w:pPr>
              <w:pStyle w:val="13"/>
            </w:pPr>
          </w:p>
        </w:tc>
        <w:tc>
          <w:tcPr>
            <w:tcW w:w="1191" w:type="dxa"/>
            <w:vAlign w:val="center"/>
          </w:tcPr>
          <w:p w14:paraId="529DDE52">
            <w:pPr>
              <w:pStyle w:val="12"/>
            </w:pPr>
          </w:p>
        </w:tc>
        <w:tc>
          <w:tcPr>
            <w:tcW w:w="4535" w:type="dxa"/>
            <w:vAlign w:val="center"/>
          </w:tcPr>
          <w:p w14:paraId="4ED14FB5">
            <w:pPr>
              <w:pStyle w:val="12"/>
            </w:pPr>
          </w:p>
        </w:tc>
        <w:tc>
          <w:tcPr>
            <w:tcW w:w="2551" w:type="dxa"/>
            <w:vAlign w:val="center"/>
          </w:tcPr>
          <w:p w14:paraId="0A842347">
            <w:pPr>
              <w:pStyle w:val="11"/>
            </w:pPr>
          </w:p>
        </w:tc>
        <w:tc>
          <w:tcPr>
            <w:tcW w:w="2551" w:type="dxa"/>
            <w:vAlign w:val="center"/>
          </w:tcPr>
          <w:p w14:paraId="4159057D">
            <w:pPr>
              <w:pStyle w:val="11"/>
            </w:pPr>
          </w:p>
        </w:tc>
        <w:tc>
          <w:tcPr>
            <w:tcW w:w="2551" w:type="dxa"/>
            <w:vAlign w:val="center"/>
          </w:tcPr>
          <w:p w14:paraId="1B3081BA">
            <w:pPr>
              <w:pStyle w:val="11"/>
            </w:pPr>
          </w:p>
        </w:tc>
      </w:tr>
    </w:tbl>
    <w:p w14:paraId="26BE3F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ADB6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1A6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8480E5">
            <w:pPr>
              <w:pStyle w:val="9"/>
            </w:pPr>
            <w:r>
              <w:t>360015隆尧县职业技术教育中心</w:t>
            </w:r>
          </w:p>
        </w:tc>
        <w:tc>
          <w:tcPr>
            <w:tcW w:w="2381" w:type="dxa"/>
            <w:tcBorders>
              <w:top w:val="single" w:color="FFFFFF" w:sz="6" w:space="0"/>
              <w:left w:val="single" w:color="FFFFFF" w:sz="6" w:space="0"/>
              <w:right w:val="single" w:color="FFFFFF" w:sz="6" w:space="0"/>
            </w:tcBorders>
            <w:vAlign w:val="center"/>
          </w:tcPr>
          <w:p w14:paraId="63EB475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2C4F3D2">
            <w:pPr>
              <w:pStyle w:val="7"/>
            </w:pPr>
            <w:r>
              <w:t>单位：万元</w:t>
            </w:r>
          </w:p>
        </w:tc>
      </w:tr>
      <w:tr w14:paraId="6424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C92C9">
            <w:pPr>
              <w:pStyle w:val="10"/>
            </w:pPr>
            <w:r>
              <w:t>序号</w:t>
            </w:r>
          </w:p>
        </w:tc>
        <w:tc>
          <w:tcPr>
            <w:tcW w:w="3798" w:type="dxa"/>
            <w:vMerge w:val="restart"/>
            <w:vAlign w:val="center"/>
          </w:tcPr>
          <w:p w14:paraId="272E017A">
            <w:pPr>
              <w:pStyle w:val="10"/>
            </w:pPr>
            <w:r>
              <w:t>项  目</w:t>
            </w:r>
          </w:p>
        </w:tc>
        <w:tc>
          <w:tcPr>
            <w:tcW w:w="9524" w:type="dxa"/>
            <w:gridSpan w:val="4"/>
            <w:vAlign w:val="center"/>
          </w:tcPr>
          <w:p w14:paraId="3A52517D">
            <w:pPr>
              <w:pStyle w:val="10"/>
            </w:pPr>
            <w:r>
              <w:t>资 金 性 质</w:t>
            </w:r>
          </w:p>
        </w:tc>
      </w:tr>
      <w:tr w14:paraId="09AD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E85133"/>
        </w:tc>
        <w:tc>
          <w:tcPr>
            <w:tcW w:w="3798" w:type="dxa"/>
            <w:vMerge w:val="continue"/>
          </w:tcPr>
          <w:p w14:paraId="0ACA53B9"/>
        </w:tc>
        <w:tc>
          <w:tcPr>
            <w:tcW w:w="2381" w:type="dxa"/>
            <w:vAlign w:val="center"/>
          </w:tcPr>
          <w:p w14:paraId="79C9A985">
            <w:pPr>
              <w:pStyle w:val="10"/>
            </w:pPr>
            <w:r>
              <w:t>合计</w:t>
            </w:r>
          </w:p>
        </w:tc>
        <w:tc>
          <w:tcPr>
            <w:tcW w:w="2381" w:type="dxa"/>
            <w:vAlign w:val="center"/>
          </w:tcPr>
          <w:p w14:paraId="33697555">
            <w:pPr>
              <w:pStyle w:val="10"/>
            </w:pPr>
            <w:r>
              <w:t>一般公共预算              财政拨款</w:t>
            </w:r>
          </w:p>
        </w:tc>
        <w:tc>
          <w:tcPr>
            <w:tcW w:w="2381" w:type="dxa"/>
            <w:vAlign w:val="center"/>
          </w:tcPr>
          <w:p w14:paraId="78F4C59C">
            <w:pPr>
              <w:pStyle w:val="10"/>
            </w:pPr>
            <w:r>
              <w:t>政府性基金                  预算拨款</w:t>
            </w:r>
          </w:p>
        </w:tc>
        <w:tc>
          <w:tcPr>
            <w:tcW w:w="2381" w:type="dxa"/>
            <w:vAlign w:val="center"/>
          </w:tcPr>
          <w:p w14:paraId="31A4B97D">
            <w:pPr>
              <w:pStyle w:val="10"/>
            </w:pPr>
            <w:r>
              <w:t>国有资本经营              预算财政拨款</w:t>
            </w:r>
          </w:p>
        </w:tc>
      </w:tr>
      <w:tr w14:paraId="3C4D4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27FF39">
            <w:pPr>
              <w:pStyle w:val="10"/>
            </w:pPr>
            <w:r>
              <w:t>栏次</w:t>
            </w:r>
          </w:p>
        </w:tc>
        <w:tc>
          <w:tcPr>
            <w:tcW w:w="3798" w:type="dxa"/>
            <w:vAlign w:val="center"/>
          </w:tcPr>
          <w:p w14:paraId="64C920DA">
            <w:pPr>
              <w:pStyle w:val="10"/>
            </w:pPr>
            <w:r>
              <w:t>1</w:t>
            </w:r>
          </w:p>
        </w:tc>
        <w:tc>
          <w:tcPr>
            <w:tcW w:w="2381" w:type="dxa"/>
            <w:vAlign w:val="center"/>
          </w:tcPr>
          <w:p w14:paraId="79B760E5">
            <w:pPr>
              <w:pStyle w:val="10"/>
            </w:pPr>
            <w:r>
              <w:t>2</w:t>
            </w:r>
          </w:p>
        </w:tc>
        <w:tc>
          <w:tcPr>
            <w:tcW w:w="2381" w:type="dxa"/>
            <w:vAlign w:val="center"/>
          </w:tcPr>
          <w:p w14:paraId="518C4698">
            <w:pPr>
              <w:pStyle w:val="10"/>
            </w:pPr>
            <w:r>
              <w:t>3</w:t>
            </w:r>
          </w:p>
        </w:tc>
        <w:tc>
          <w:tcPr>
            <w:tcW w:w="2381" w:type="dxa"/>
            <w:vAlign w:val="center"/>
          </w:tcPr>
          <w:p w14:paraId="20A62FED">
            <w:pPr>
              <w:pStyle w:val="10"/>
            </w:pPr>
            <w:r>
              <w:t>4</w:t>
            </w:r>
          </w:p>
        </w:tc>
        <w:tc>
          <w:tcPr>
            <w:tcW w:w="2381" w:type="dxa"/>
            <w:vAlign w:val="center"/>
          </w:tcPr>
          <w:p w14:paraId="5FD99FAA">
            <w:pPr>
              <w:pStyle w:val="10"/>
            </w:pPr>
            <w:r>
              <w:t>5</w:t>
            </w:r>
          </w:p>
        </w:tc>
      </w:tr>
      <w:tr w14:paraId="490D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86CCA4">
            <w:pPr>
              <w:pStyle w:val="13"/>
            </w:pPr>
          </w:p>
        </w:tc>
        <w:tc>
          <w:tcPr>
            <w:tcW w:w="3798" w:type="dxa"/>
            <w:vAlign w:val="center"/>
          </w:tcPr>
          <w:p w14:paraId="03D46A42">
            <w:pPr>
              <w:pStyle w:val="12"/>
            </w:pPr>
          </w:p>
        </w:tc>
        <w:tc>
          <w:tcPr>
            <w:tcW w:w="2381" w:type="dxa"/>
            <w:vAlign w:val="center"/>
          </w:tcPr>
          <w:p w14:paraId="744EFE26">
            <w:pPr>
              <w:pStyle w:val="11"/>
            </w:pPr>
          </w:p>
        </w:tc>
        <w:tc>
          <w:tcPr>
            <w:tcW w:w="2381" w:type="dxa"/>
            <w:vAlign w:val="center"/>
          </w:tcPr>
          <w:p w14:paraId="4051B570">
            <w:pPr>
              <w:pStyle w:val="11"/>
            </w:pPr>
          </w:p>
        </w:tc>
        <w:tc>
          <w:tcPr>
            <w:tcW w:w="2381" w:type="dxa"/>
            <w:vAlign w:val="center"/>
          </w:tcPr>
          <w:p w14:paraId="1096E1E9">
            <w:pPr>
              <w:pStyle w:val="11"/>
            </w:pPr>
          </w:p>
        </w:tc>
        <w:tc>
          <w:tcPr>
            <w:tcW w:w="2381" w:type="dxa"/>
            <w:vAlign w:val="center"/>
          </w:tcPr>
          <w:p w14:paraId="69DD28C0">
            <w:pPr>
              <w:pStyle w:val="11"/>
            </w:pPr>
          </w:p>
        </w:tc>
      </w:tr>
    </w:tbl>
    <w:p w14:paraId="3F47B7B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53CC91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隆尧县职业技术教育中心2026年单位预算信息公开情况说明</w:t>
      </w:r>
    </w:p>
    <w:p w14:paraId="392414D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地方预决算公开操作规程》和《关于进一步推进预算公开工作的实施意见》规定，现将隆尧县职业技术教育中心2026年单位预算公开如下：</w:t>
      </w:r>
    </w:p>
    <w:p w14:paraId="230E1AFE">
      <w:pPr>
        <w:spacing w:before="10" w:after="10" w:line="240" w:lineRule="auto"/>
        <w:ind w:firstLine="640"/>
        <w:jc w:val="left"/>
        <w:outlineLvl w:val="5"/>
      </w:pPr>
      <w:r>
        <w:rPr>
          <w:rFonts w:ascii="黑体" w:hAnsi="黑体" w:eastAsia="黑体" w:cs="黑体"/>
          <w:color w:val="000000"/>
          <w:sz w:val="32"/>
        </w:rPr>
        <w:t>一、单位职责及机构设置情况</w:t>
      </w:r>
    </w:p>
    <w:p w14:paraId="534C88E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79B532">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贯彻落实党的教育方针、政策，落实立德树人根本任务，培养德智体美劳全面发展的社会主义建设者和接班人；推进职普融通、产教融合、科教融汇；推动学历教育与职业培训并举并重，落实职业学校并举实施学历教育与培训的法定职责；开展中等职业学校教育（中等技术、中等师范、职业高中、成人中等专业、技工等）；面向在校学生和全体社会成员开展学历教育和职业技能培训（就业前、在职、再就业及其他职业性培训）；加强学历证书及培训证书、职业资格证书和职业技能等级证书建设工作；培养高、中、初级专业技术人才，服务区域经济社会发展；开展职业教育课题研究、教育理论与实践研究；加强实训基地建设，强化学生技术技能的实习实训；建立健全就业创业促进机制；完成县委、县政府和上级教育行政部门交办的其他工作任务。</w:t>
      </w:r>
    </w:p>
    <w:p w14:paraId="0FD437CC">
      <w:pPr>
        <w:spacing w:before="0" w:after="0" w:line="500" w:lineRule="exact"/>
        <w:ind w:firstLine="560"/>
        <w:jc w:val="left"/>
        <w:outlineLvl w:val="9"/>
      </w:pPr>
      <w:r>
        <w:rPr>
          <w:rFonts w:hint="eastAsia" w:ascii="Times New Roman" w:hAnsi="Times New Roman" w:eastAsia="方正仿宋_GBK" w:cs="Times New Roman"/>
          <w:b w:val="0"/>
          <w:color w:val="000000"/>
          <w:sz w:val="28"/>
        </w:rPr>
        <w:t>隆尧县职业技术教育中心事业编制212名，其中，主任1名（正科级），副主任3名（副科级），内设机构股级职数40名；经费形式为财政性资金基本保证。</w:t>
      </w:r>
    </w:p>
    <w:p w14:paraId="50F654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D450D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BB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A2A66A">
            <w:pPr>
              <w:pStyle w:val="10"/>
            </w:pPr>
            <w:r>
              <w:t>单位名称</w:t>
            </w:r>
          </w:p>
        </w:tc>
        <w:tc>
          <w:tcPr>
            <w:tcW w:w="1843" w:type="dxa"/>
            <w:vAlign w:val="center"/>
          </w:tcPr>
          <w:p w14:paraId="1BB713FF">
            <w:pPr>
              <w:pStyle w:val="10"/>
            </w:pPr>
            <w:r>
              <w:t>单位性质</w:t>
            </w:r>
          </w:p>
        </w:tc>
        <w:tc>
          <w:tcPr>
            <w:tcW w:w="2126" w:type="dxa"/>
            <w:vAlign w:val="center"/>
          </w:tcPr>
          <w:p w14:paraId="5BE5AA8E">
            <w:pPr>
              <w:pStyle w:val="10"/>
            </w:pPr>
            <w:r>
              <w:t>单位规格</w:t>
            </w:r>
          </w:p>
        </w:tc>
        <w:tc>
          <w:tcPr>
            <w:tcW w:w="3827" w:type="dxa"/>
            <w:vAlign w:val="center"/>
          </w:tcPr>
          <w:p w14:paraId="6693EC71">
            <w:pPr>
              <w:pStyle w:val="10"/>
            </w:pPr>
            <w:r>
              <w:t>经费保障形式</w:t>
            </w:r>
          </w:p>
        </w:tc>
      </w:tr>
      <w:tr w14:paraId="6992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A37DCF">
            <w:pPr>
              <w:pStyle w:val="12"/>
            </w:pPr>
            <w:r>
              <w:t>隆尧县职业技术教育中心</w:t>
            </w:r>
          </w:p>
        </w:tc>
        <w:tc>
          <w:tcPr>
            <w:tcW w:w="1843" w:type="dxa"/>
            <w:vAlign w:val="center"/>
          </w:tcPr>
          <w:p w14:paraId="6A7E0717">
            <w:pPr>
              <w:pStyle w:val="13"/>
            </w:pPr>
            <w:r>
              <w:t>事业</w:t>
            </w:r>
          </w:p>
        </w:tc>
        <w:tc>
          <w:tcPr>
            <w:tcW w:w="2126" w:type="dxa"/>
            <w:vAlign w:val="center"/>
          </w:tcPr>
          <w:p w14:paraId="680692D8">
            <w:pPr>
              <w:pStyle w:val="13"/>
            </w:pPr>
            <w:r>
              <w:t>正科级</w:t>
            </w:r>
          </w:p>
        </w:tc>
        <w:tc>
          <w:tcPr>
            <w:tcW w:w="3827" w:type="dxa"/>
            <w:vAlign w:val="center"/>
          </w:tcPr>
          <w:p w14:paraId="1FA771A0">
            <w:pPr>
              <w:pStyle w:val="13"/>
            </w:pPr>
            <w:r>
              <w:t>财政性资金基本保证</w:t>
            </w:r>
          </w:p>
        </w:tc>
      </w:tr>
    </w:tbl>
    <w:p w14:paraId="375B36CC">
      <w:pPr>
        <w:spacing w:before="10" w:after="10" w:line="240" w:lineRule="auto"/>
        <w:ind w:firstLine="640"/>
        <w:jc w:val="left"/>
        <w:outlineLvl w:val="5"/>
      </w:pPr>
      <w:r>
        <w:rPr>
          <w:rFonts w:ascii="黑体" w:hAnsi="黑体" w:eastAsia="黑体" w:cs="黑体"/>
          <w:color w:val="000000"/>
          <w:sz w:val="32"/>
        </w:rPr>
        <w:t>二、单位预算安排的总体情况</w:t>
      </w:r>
    </w:p>
    <w:p w14:paraId="46BBA962">
      <w:pPr>
        <w:pStyle w:val="18"/>
      </w:pPr>
    </w:p>
    <w:p w14:paraId="11D00069">
      <w:pPr>
        <w:pStyle w:val="18"/>
      </w:pPr>
      <w:r>
        <w:t>按照预算管理有关规定，单位预算的编制实行综合预算管理，即全部收入和支出都反映的预算中。隆尧县职业技术教育中心的收支包含在单位预算中。</w:t>
      </w:r>
    </w:p>
    <w:p w14:paraId="383F33B0">
      <w:pPr>
        <w:pStyle w:val="18"/>
      </w:pPr>
      <w:r>
        <w:t>1、收入说明</w:t>
      </w:r>
    </w:p>
    <w:p w14:paraId="5ECF618C">
      <w:pPr>
        <w:pStyle w:val="18"/>
      </w:pPr>
      <w:r>
        <w:t>反映本单位当年全部收入。2026年预算收入4078.47万元，其中：一般公共预算收入3823.27万元，上年结转0万元，基金预算收入0万元，财政专户收入255.2万元，其他来源收入0万元。</w:t>
      </w:r>
    </w:p>
    <w:p w14:paraId="2A4948D1">
      <w:pPr>
        <w:pStyle w:val="18"/>
      </w:pPr>
      <w:r>
        <w:t>2、支出说明</w:t>
      </w:r>
    </w:p>
    <w:p w14:paraId="08857123">
      <w:pPr>
        <w:pStyle w:val="18"/>
      </w:pPr>
      <w:r>
        <w:t>收支预算总表支出栏、基本支出表、项目支出表按经济分类和支出功能分类科目编制，反映我单位预算中支出预算的总体情况。2026年单位支出预算为4078.47万元，其中基本支出2590.07万元</w:t>
      </w:r>
      <w:r>
        <w:rPr>
          <w:rFonts w:hint="eastAsia"/>
          <w:lang w:eastAsia="zh-CN"/>
        </w:rPr>
        <w:t>：</w:t>
      </w:r>
      <w:r>
        <w:t>包括人员经费2590.07万元，项目支出1233.2万元。财政专户资金255.2万元</w:t>
      </w:r>
      <w:r>
        <w:rPr>
          <w:rFonts w:hint="eastAsia"/>
          <w:lang w:eastAsia="zh-CN"/>
        </w:rPr>
        <w:t>。</w:t>
      </w:r>
    </w:p>
    <w:p w14:paraId="35E2E38F">
      <w:pPr>
        <w:pStyle w:val="18"/>
      </w:pPr>
      <w:r>
        <w:t>3、比上年增减情况</w:t>
      </w:r>
    </w:p>
    <w:p w14:paraId="6E48A7FB">
      <w:pPr>
        <w:pStyle w:val="18"/>
      </w:pPr>
      <w:r>
        <w:t>2026年部门预算收支安排4078.47万元，较2025年增加370.52万元，其中项目支出增加416.83万元主要是2026年增加改善办学条件项目资金。</w:t>
      </w:r>
    </w:p>
    <w:p w14:paraId="5324844E">
      <w:pPr>
        <w:spacing w:before="10" w:after="10" w:line="240" w:lineRule="auto"/>
        <w:ind w:firstLine="640"/>
        <w:jc w:val="left"/>
        <w:outlineLvl w:val="5"/>
      </w:pPr>
      <w:r>
        <w:rPr>
          <w:rFonts w:ascii="黑体" w:hAnsi="黑体" w:eastAsia="黑体" w:cs="黑体"/>
          <w:color w:val="000000"/>
          <w:sz w:val="32"/>
        </w:rPr>
        <w:t>三、机关运行经费安排情况</w:t>
      </w:r>
    </w:p>
    <w:p w14:paraId="3D82A33C">
      <w:pPr>
        <w:pStyle w:val="19"/>
      </w:pPr>
    </w:p>
    <w:p w14:paraId="0B1F70B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15CF21">
      <w:pPr>
        <w:pStyle w:val="20"/>
      </w:pPr>
      <w:r>
        <w:t>财政拨款“三公”经费预算情况及增减变化原因</w:t>
      </w:r>
    </w:p>
    <w:p w14:paraId="37A16987">
      <w:pPr>
        <w:pStyle w:val="20"/>
      </w:pPr>
      <w:r>
        <w:t>2026年，我单位财政拨款“三公”经费预算安排0万元，其中：因公出国（境）费0万元，与上年持平，无变化；公务用车购置及运维费0万元（其中：公务用车购置费0万元，公务用车运行维护费0万元</w:t>
      </w:r>
      <w:r>
        <w:rPr>
          <w:rFonts w:hint="eastAsia"/>
          <w:lang w:eastAsia="zh-CN"/>
        </w:rPr>
        <w:t>）</w:t>
      </w:r>
      <w:r>
        <w:t>，与上年持平，无变化；公务接待费0万元，与上年持平，无变化。</w:t>
      </w:r>
    </w:p>
    <w:p w14:paraId="75CB2E7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22EC3F2">
      <w:pPr>
        <w:spacing w:before="0" w:after="0"/>
        <w:ind w:firstLine="560"/>
        <w:jc w:val="left"/>
        <w:outlineLvl w:val="9"/>
      </w:pPr>
      <w:r>
        <w:rPr>
          <w:rFonts w:ascii="方正仿宋_GBK" w:hAnsi="方正仿宋_GBK" w:eastAsia="方正仿宋_GBK" w:cs="方正仿宋_GBK"/>
          <w:b/>
          <w:color w:val="000000"/>
          <w:sz w:val="28"/>
        </w:rPr>
        <w:t>1、冀财教[2025]116号/中央/2026年普通高中资金/普通高中助学金（职教高中）</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DB3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1DFE9">
            <w:pPr>
              <w:pStyle w:val="11"/>
            </w:pPr>
            <w:r>
              <w:t>单位：万元</w:t>
            </w:r>
          </w:p>
        </w:tc>
      </w:tr>
      <w:tr w14:paraId="78A45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0DE08">
            <w:pPr>
              <w:pStyle w:val="10"/>
            </w:pPr>
            <w:r>
              <w:t>项目编码</w:t>
            </w:r>
          </w:p>
        </w:tc>
        <w:tc>
          <w:tcPr>
            <w:tcW w:w="5103" w:type="dxa"/>
            <w:gridSpan w:val="2"/>
            <w:vAlign w:val="center"/>
          </w:tcPr>
          <w:p w14:paraId="159A985A">
            <w:pPr>
              <w:pStyle w:val="12"/>
            </w:pPr>
            <w:r>
              <w:t>13052526P000012100448</w:t>
            </w:r>
          </w:p>
        </w:tc>
        <w:tc>
          <w:tcPr>
            <w:tcW w:w="2835" w:type="dxa"/>
            <w:vAlign w:val="center"/>
          </w:tcPr>
          <w:p w14:paraId="39A602C8">
            <w:pPr>
              <w:pStyle w:val="10"/>
            </w:pPr>
            <w:r>
              <w:t>项目名称</w:t>
            </w:r>
          </w:p>
        </w:tc>
        <w:tc>
          <w:tcPr>
            <w:tcW w:w="6095" w:type="dxa"/>
            <w:gridSpan w:val="3"/>
            <w:vAlign w:val="center"/>
          </w:tcPr>
          <w:p w14:paraId="4A217BC8">
            <w:pPr>
              <w:pStyle w:val="12"/>
            </w:pPr>
            <w:r>
              <w:t>冀财教[2025]116号/中央/2026年普通高中资金/普通高中助学金（职教高中）</w:t>
            </w:r>
            <w:r>
              <w:tab/>
            </w:r>
            <w:r>
              <w:tab/>
            </w:r>
            <w:r>
              <w:tab/>
            </w:r>
          </w:p>
        </w:tc>
      </w:tr>
      <w:tr w14:paraId="5F5E4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E4A11">
            <w:pPr>
              <w:pStyle w:val="10"/>
            </w:pPr>
            <w:r>
              <w:t>预算规模及资金用途</w:t>
            </w:r>
          </w:p>
        </w:tc>
        <w:tc>
          <w:tcPr>
            <w:tcW w:w="2268" w:type="dxa"/>
            <w:vAlign w:val="center"/>
          </w:tcPr>
          <w:p w14:paraId="4C61343C">
            <w:pPr>
              <w:pStyle w:val="10"/>
            </w:pPr>
            <w:r>
              <w:t>预算数</w:t>
            </w:r>
          </w:p>
        </w:tc>
        <w:tc>
          <w:tcPr>
            <w:tcW w:w="2835" w:type="dxa"/>
            <w:vAlign w:val="center"/>
          </w:tcPr>
          <w:p w14:paraId="253AD72D">
            <w:pPr>
              <w:pStyle w:val="12"/>
            </w:pPr>
            <w:r>
              <w:t>17.00</w:t>
            </w:r>
          </w:p>
        </w:tc>
        <w:tc>
          <w:tcPr>
            <w:tcW w:w="2835" w:type="dxa"/>
            <w:vAlign w:val="center"/>
          </w:tcPr>
          <w:p w14:paraId="7742EE45">
            <w:pPr>
              <w:pStyle w:val="10"/>
            </w:pPr>
            <w:r>
              <w:t>其中：财政    资金</w:t>
            </w:r>
          </w:p>
        </w:tc>
        <w:tc>
          <w:tcPr>
            <w:tcW w:w="2551" w:type="dxa"/>
            <w:vAlign w:val="center"/>
          </w:tcPr>
          <w:p w14:paraId="21A72E80">
            <w:pPr>
              <w:pStyle w:val="12"/>
            </w:pPr>
            <w:r>
              <w:t>17.00</w:t>
            </w:r>
          </w:p>
        </w:tc>
        <w:tc>
          <w:tcPr>
            <w:tcW w:w="2268" w:type="dxa"/>
            <w:vAlign w:val="center"/>
          </w:tcPr>
          <w:p w14:paraId="32AE7EBD">
            <w:pPr>
              <w:pStyle w:val="10"/>
            </w:pPr>
            <w:r>
              <w:t>其他资金</w:t>
            </w:r>
          </w:p>
        </w:tc>
        <w:tc>
          <w:tcPr>
            <w:tcW w:w="1276" w:type="dxa"/>
            <w:vAlign w:val="center"/>
          </w:tcPr>
          <w:p w14:paraId="34FFFC56">
            <w:pPr>
              <w:pStyle w:val="12"/>
            </w:pPr>
            <w:r>
              <w:t xml:space="preserve"> </w:t>
            </w:r>
          </w:p>
        </w:tc>
      </w:tr>
      <w:tr w14:paraId="38145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9EDC6"/>
        </w:tc>
        <w:tc>
          <w:tcPr>
            <w:tcW w:w="14033" w:type="dxa"/>
            <w:gridSpan w:val="6"/>
            <w:vAlign w:val="center"/>
          </w:tcPr>
          <w:p w14:paraId="2AF8013F">
            <w:pPr>
              <w:pStyle w:val="12"/>
            </w:pPr>
            <w:r>
              <w:t>中央安排普高助学金资金17万元，用于资助普通高中贫困生</w:t>
            </w:r>
          </w:p>
        </w:tc>
      </w:tr>
      <w:tr w14:paraId="25BA9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D91BF">
            <w:pPr>
              <w:pStyle w:val="10"/>
            </w:pPr>
            <w:r>
              <w:t>资金支出计划（%）</w:t>
            </w:r>
          </w:p>
        </w:tc>
        <w:tc>
          <w:tcPr>
            <w:tcW w:w="5103" w:type="dxa"/>
            <w:gridSpan w:val="2"/>
            <w:vAlign w:val="center"/>
          </w:tcPr>
          <w:p w14:paraId="37678F34">
            <w:pPr>
              <w:pStyle w:val="10"/>
            </w:pPr>
            <w:r>
              <w:t>3月底</w:t>
            </w:r>
          </w:p>
        </w:tc>
        <w:tc>
          <w:tcPr>
            <w:tcW w:w="2835" w:type="dxa"/>
            <w:vAlign w:val="center"/>
          </w:tcPr>
          <w:p w14:paraId="5FA6479A">
            <w:pPr>
              <w:pStyle w:val="10"/>
            </w:pPr>
            <w:r>
              <w:t>6月底</w:t>
            </w:r>
          </w:p>
        </w:tc>
        <w:tc>
          <w:tcPr>
            <w:tcW w:w="2551" w:type="dxa"/>
            <w:vAlign w:val="center"/>
          </w:tcPr>
          <w:p w14:paraId="0A4B3DD3">
            <w:pPr>
              <w:pStyle w:val="10"/>
            </w:pPr>
            <w:r>
              <w:t>10月底</w:t>
            </w:r>
          </w:p>
        </w:tc>
        <w:tc>
          <w:tcPr>
            <w:tcW w:w="3544" w:type="dxa"/>
            <w:gridSpan w:val="2"/>
            <w:vAlign w:val="center"/>
          </w:tcPr>
          <w:p w14:paraId="5AD9F4E7">
            <w:pPr>
              <w:pStyle w:val="10"/>
            </w:pPr>
            <w:r>
              <w:t>12月底</w:t>
            </w:r>
          </w:p>
        </w:tc>
      </w:tr>
      <w:tr w14:paraId="117C4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C03EC"/>
        </w:tc>
        <w:tc>
          <w:tcPr>
            <w:tcW w:w="5103" w:type="dxa"/>
            <w:gridSpan w:val="2"/>
            <w:vAlign w:val="center"/>
          </w:tcPr>
          <w:p w14:paraId="2649B085">
            <w:pPr>
              <w:pStyle w:val="13"/>
            </w:pPr>
            <w:r>
              <w:t xml:space="preserve"> </w:t>
            </w:r>
          </w:p>
        </w:tc>
        <w:tc>
          <w:tcPr>
            <w:tcW w:w="2835" w:type="dxa"/>
            <w:vAlign w:val="center"/>
          </w:tcPr>
          <w:p w14:paraId="155139DD">
            <w:pPr>
              <w:pStyle w:val="13"/>
            </w:pPr>
            <w:r>
              <w:t>50%</w:t>
            </w:r>
          </w:p>
        </w:tc>
        <w:tc>
          <w:tcPr>
            <w:tcW w:w="2551" w:type="dxa"/>
            <w:vAlign w:val="center"/>
          </w:tcPr>
          <w:p w14:paraId="3B055365">
            <w:pPr>
              <w:pStyle w:val="13"/>
            </w:pPr>
            <w:r>
              <w:t>50%</w:t>
            </w:r>
          </w:p>
        </w:tc>
        <w:tc>
          <w:tcPr>
            <w:tcW w:w="3544" w:type="dxa"/>
            <w:gridSpan w:val="2"/>
            <w:vAlign w:val="center"/>
          </w:tcPr>
          <w:p w14:paraId="1247828A">
            <w:pPr>
              <w:pStyle w:val="13"/>
            </w:pPr>
            <w:r>
              <w:t>100%</w:t>
            </w:r>
          </w:p>
        </w:tc>
      </w:tr>
      <w:tr w14:paraId="5DE7D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5FE3D">
            <w:pPr>
              <w:pStyle w:val="10"/>
            </w:pPr>
            <w:r>
              <w:t>绩效目标</w:t>
            </w:r>
          </w:p>
        </w:tc>
        <w:tc>
          <w:tcPr>
            <w:tcW w:w="14033" w:type="dxa"/>
            <w:gridSpan w:val="6"/>
            <w:vAlign w:val="center"/>
          </w:tcPr>
          <w:p w14:paraId="4CFE8F16">
            <w:pPr>
              <w:pStyle w:val="12"/>
            </w:pPr>
            <w:r>
              <w:t>1.中央安排普高助学金资金17万元，用于资助普通高中贫困生</w:t>
            </w:r>
          </w:p>
        </w:tc>
      </w:tr>
    </w:tbl>
    <w:p w14:paraId="7F251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C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8F328">
            <w:pPr>
              <w:pStyle w:val="10"/>
            </w:pPr>
            <w:r>
              <w:t>一级指标</w:t>
            </w:r>
          </w:p>
        </w:tc>
        <w:tc>
          <w:tcPr>
            <w:tcW w:w="2268" w:type="dxa"/>
            <w:vAlign w:val="center"/>
          </w:tcPr>
          <w:p w14:paraId="518140C2">
            <w:pPr>
              <w:pStyle w:val="10"/>
            </w:pPr>
            <w:r>
              <w:t>二级指标</w:t>
            </w:r>
          </w:p>
        </w:tc>
        <w:tc>
          <w:tcPr>
            <w:tcW w:w="2835" w:type="dxa"/>
            <w:vAlign w:val="center"/>
          </w:tcPr>
          <w:p w14:paraId="6D5F73B8">
            <w:pPr>
              <w:pStyle w:val="10"/>
            </w:pPr>
            <w:r>
              <w:t>三级指标</w:t>
            </w:r>
          </w:p>
        </w:tc>
        <w:tc>
          <w:tcPr>
            <w:tcW w:w="5386" w:type="dxa"/>
            <w:vAlign w:val="center"/>
          </w:tcPr>
          <w:p w14:paraId="497EC376">
            <w:pPr>
              <w:pStyle w:val="10"/>
            </w:pPr>
            <w:r>
              <w:t>绩效指标描述</w:t>
            </w:r>
          </w:p>
        </w:tc>
        <w:tc>
          <w:tcPr>
            <w:tcW w:w="2268" w:type="dxa"/>
            <w:vAlign w:val="center"/>
          </w:tcPr>
          <w:p w14:paraId="0CE69561">
            <w:pPr>
              <w:pStyle w:val="10"/>
            </w:pPr>
            <w:r>
              <w:t>指标值</w:t>
            </w:r>
          </w:p>
        </w:tc>
        <w:tc>
          <w:tcPr>
            <w:tcW w:w="1276" w:type="dxa"/>
            <w:vAlign w:val="center"/>
          </w:tcPr>
          <w:p w14:paraId="4DE1C38C">
            <w:pPr>
              <w:pStyle w:val="10"/>
            </w:pPr>
            <w:r>
              <w:t>指标值确定依据</w:t>
            </w:r>
          </w:p>
        </w:tc>
      </w:tr>
      <w:tr w14:paraId="625C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6FE09">
            <w:pPr>
              <w:pStyle w:val="13"/>
            </w:pPr>
            <w:r>
              <w:t>产出指标</w:t>
            </w:r>
          </w:p>
        </w:tc>
        <w:tc>
          <w:tcPr>
            <w:tcW w:w="2268" w:type="dxa"/>
            <w:vAlign w:val="center"/>
          </w:tcPr>
          <w:p w14:paraId="74A6A7EF">
            <w:pPr>
              <w:pStyle w:val="12"/>
            </w:pPr>
            <w:r>
              <w:t>数量指标</w:t>
            </w:r>
          </w:p>
        </w:tc>
        <w:tc>
          <w:tcPr>
            <w:tcW w:w="2835" w:type="dxa"/>
            <w:vAlign w:val="center"/>
          </w:tcPr>
          <w:p w14:paraId="33621FFC">
            <w:pPr>
              <w:pStyle w:val="12"/>
            </w:pPr>
            <w:r>
              <w:t>普通高中享受人数</w:t>
            </w:r>
          </w:p>
        </w:tc>
        <w:tc>
          <w:tcPr>
            <w:tcW w:w="5386" w:type="dxa"/>
            <w:vAlign w:val="center"/>
          </w:tcPr>
          <w:p w14:paraId="60CB17A1">
            <w:pPr>
              <w:pStyle w:val="12"/>
            </w:pPr>
            <w:r>
              <w:t>普通高中享受助学金人数</w:t>
            </w:r>
          </w:p>
        </w:tc>
        <w:tc>
          <w:tcPr>
            <w:tcW w:w="2268" w:type="dxa"/>
            <w:vAlign w:val="center"/>
          </w:tcPr>
          <w:p w14:paraId="3FF25173">
            <w:pPr>
              <w:pStyle w:val="12"/>
            </w:pPr>
            <w:r>
              <w:t>111人</w:t>
            </w:r>
          </w:p>
        </w:tc>
        <w:tc>
          <w:tcPr>
            <w:tcW w:w="1276" w:type="dxa"/>
            <w:vAlign w:val="center"/>
          </w:tcPr>
          <w:p w14:paraId="51E5A4D2">
            <w:pPr>
              <w:pStyle w:val="12"/>
            </w:pPr>
            <w:r>
              <w:t>【隆尧县普通高中高中国家助学金管理办法的通知】隆财【2018】105号</w:t>
            </w:r>
          </w:p>
        </w:tc>
      </w:tr>
      <w:tr w14:paraId="7FAE6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F294A"/>
        </w:tc>
        <w:tc>
          <w:tcPr>
            <w:tcW w:w="2268" w:type="dxa"/>
            <w:vAlign w:val="center"/>
          </w:tcPr>
          <w:p w14:paraId="5BF27657">
            <w:pPr>
              <w:pStyle w:val="12"/>
            </w:pPr>
            <w:r>
              <w:t>质量指标</w:t>
            </w:r>
          </w:p>
        </w:tc>
        <w:tc>
          <w:tcPr>
            <w:tcW w:w="2835" w:type="dxa"/>
            <w:vAlign w:val="center"/>
          </w:tcPr>
          <w:p w14:paraId="40AD29B2">
            <w:pPr>
              <w:pStyle w:val="12"/>
            </w:pPr>
            <w:r>
              <w:t>完成助学金发放工作</w:t>
            </w:r>
          </w:p>
        </w:tc>
        <w:tc>
          <w:tcPr>
            <w:tcW w:w="5386" w:type="dxa"/>
            <w:vAlign w:val="center"/>
          </w:tcPr>
          <w:p w14:paraId="199912C6">
            <w:pPr>
              <w:pStyle w:val="12"/>
            </w:pPr>
            <w:r>
              <w:t>普高助学金享受比例</w:t>
            </w:r>
          </w:p>
        </w:tc>
        <w:tc>
          <w:tcPr>
            <w:tcW w:w="2268" w:type="dxa"/>
            <w:vAlign w:val="center"/>
          </w:tcPr>
          <w:p w14:paraId="4B52BEF7">
            <w:pPr>
              <w:pStyle w:val="12"/>
            </w:pPr>
            <w:r>
              <w:t>≥18%</w:t>
            </w:r>
          </w:p>
        </w:tc>
        <w:tc>
          <w:tcPr>
            <w:tcW w:w="1276" w:type="dxa"/>
            <w:vAlign w:val="center"/>
          </w:tcPr>
          <w:p w14:paraId="29947E85">
            <w:pPr>
              <w:pStyle w:val="12"/>
            </w:pPr>
            <w:r>
              <w:t>【隆尧县普通高中高中国家助学金管理办法的通知】隆财【2018】105号</w:t>
            </w:r>
          </w:p>
        </w:tc>
      </w:tr>
      <w:tr w14:paraId="0454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19766"/>
        </w:tc>
        <w:tc>
          <w:tcPr>
            <w:tcW w:w="2268" w:type="dxa"/>
            <w:vAlign w:val="center"/>
          </w:tcPr>
          <w:p w14:paraId="2DBC9BEA">
            <w:pPr>
              <w:pStyle w:val="12"/>
            </w:pPr>
            <w:r>
              <w:t>时效指标</w:t>
            </w:r>
          </w:p>
        </w:tc>
        <w:tc>
          <w:tcPr>
            <w:tcW w:w="2835" w:type="dxa"/>
            <w:vAlign w:val="center"/>
          </w:tcPr>
          <w:p w14:paraId="0766FF98">
            <w:pPr>
              <w:pStyle w:val="12"/>
            </w:pPr>
            <w:r>
              <w:t>助学金及时足额发放</w:t>
            </w:r>
          </w:p>
        </w:tc>
        <w:tc>
          <w:tcPr>
            <w:tcW w:w="5386" w:type="dxa"/>
            <w:vAlign w:val="center"/>
          </w:tcPr>
          <w:p w14:paraId="2FF1BCF4">
            <w:pPr>
              <w:pStyle w:val="12"/>
            </w:pPr>
            <w:r>
              <w:t>助学金及时足额发放率</w:t>
            </w:r>
          </w:p>
        </w:tc>
        <w:tc>
          <w:tcPr>
            <w:tcW w:w="2268" w:type="dxa"/>
            <w:vAlign w:val="center"/>
          </w:tcPr>
          <w:p w14:paraId="2984D0CF">
            <w:pPr>
              <w:pStyle w:val="12"/>
            </w:pPr>
            <w:r>
              <w:t>100%</w:t>
            </w:r>
          </w:p>
        </w:tc>
        <w:tc>
          <w:tcPr>
            <w:tcW w:w="1276" w:type="dxa"/>
            <w:vAlign w:val="center"/>
          </w:tcPr>
          <w:p w14:paraId="78D039AF">
            <w:pPr>
              <w:pStyle w:val="12"/>
            </w:pPr>
            <w:r>
              <w:t>【隆尧县普通高中高中国家助学金管理办法的通知】隆财【2018】105号</w:t>
            </w:r>
          </w:p>
        </w:tc>
      </w:tr>
      <w:tr w14:paraId="2857E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59BAB"/>
        </w:tc>
        <w:tc>
          <w:tcPr>
            <w:tcW w:w="2268" w:type="dxa"/>
            <w:vAlign w:val="center"/>
          </w:tcPr>
          <w:p w14:paraId="1B44FEE2">
            <w:pPr>
              <w:pStyle w:val="12"/>
            </w:pPr>
            <w:r>
              <w:t>成本指标</w:t>
            </w:r>
          </w:p>
        </w:tc>
        <w:tc>
          <w:tcPr>
            <w:tcW w:w="2835" w:type="dxa"/>
            <w:vAlign w:val="center"/>
          </w:tcPr>
          <w:p w14:paraId="589B0AE6">
            <w:pPr>
              <w:pStyle w:val="12"/>
            </w:pPr>
            <w:r>
              <w:t>普通高中助学金标准</w:t>
            </w:r>
          </w:p>
        </w:tc>
        <w:tc>
          <w:tcPr>
            <w:tcW w:w="5386" w:type="dxa"/>
            <w:vAlign w:val="center"/>
          </w:tcPr>
          <w:p w14:paraId="15F6AF3E">
            <w:pPr>
              <w:pStyle w:val="12"/>
            </w:pPr>
            <w:r>
              <w:t>普通高中助学金资助标准2300/生/年</w:t>
            </w:r>
          </w:p>
        </w:tc>
        <w:tc>
          <w:tcPr>
            <w:tcW w:w="2268" w:type="dxa"/>
            <w:vAlign w:val="center"/>
          </w:tcPr>
          <w:p w14:paraId="25FB1B30">
            <w:pPr>
              <w:pStyle w:val="12"/>
            </w:pPr>
            <w:r>
              <w:t>2300元</w:t>
            </w:r>
          </w:p>
        </w:tc>
        <w:tc>
          <w:tcPr>
            <w:tcW w:w="1276" w:type="dxa"/>
            <w:vAlign w:val="center"/>
          </w:tcPr>
          <w:p w14:paraId="385E9088">
            <w:pPr>
              <w:pStyle w:val="12"/>
            </w:pPr>
            <w:r>
              <w:t>【隆尧县普通高中高中国家助学金管理办法的通知】隆财【2018】105号</w:t>
            </w:r>
          </w:p>
        </w:tc>
      </w:tr>
      <w:tr w14:paraId="747F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B3E15">
            <w:pPr>
              <w:pStyle w:val="13"/>
            </w:pPr>
            <w:r>
              <w:t>效益指标</w:t>
            </w:r>
          </w:p>
        </w:tc>
        <w:tc>
          <w:tcPr>
            <w:tcW w:w="2268" w:type="dxa"/>
            <w:vAlign w:val="center"/>
          </w:tcPr>
          <w:p w14:paraId="632BEC0B">
            <w:pPr>
              <w:pStyle w:val="12"/>
            </w:pPr>
            <w:r>
              <w:t>经济效益指标</w:t>
            </w:r>
          </w:p>
        </w:tc>
        <w:tc>
          <w:tcPr>
            <w:tcW w:w="2835" w:type="dxa"/>
            <w:vAlign w:val="center"/>
          </w:tcPr>
          <w:p w14:paraId="5BBFF427">
            <w:pPr>
              <w:pStyle w:val="12"/>
            </w:pPr>
            <w:r>
              <w:t>增加贫困家庭经济收入</w:t>
            </w:r>
          </w:p>
        </w:tc>
        <w:tc>
          <w:tcPr>
            <w:tcW w:w="5386" w:type="dxa"/>
            <w:vAlign w:val="center"/>
          </w:tcPr>
          <w:p w14:paraId="7D18D672">
            <w:pPr>
              <w:pStyle w:val="12"/>
            </w:pPr>
            <w:r>
              <w:t>增加贫困家庭经济收入</w:t>
            </w:r>
          </w:p>
        </w:tc>
        <w:tc>
          <w:tcPr>
            <w:tcW w:w="2268" w:type="dxa"/>
            <w:vAlign w:val="center"/>
          </w:tcPr>
          <w:p w14:paraId="346A9AFE">
            <w:pPr>
              <w:pStyle w:val="12"/>
            </w:pPr>
            <w:r>
              <w:t>100%</w:t>
            </w:r>
          </w:p>
        </w:tc>
        <w:tc>
          <w:tcPr>
            <w:tcW w:w="1276" w:type="dxa"/>
            <w:vAlign w:val="center"/>
          </w:tcPr>
          <w:p w14:paraId="4B73E899">
            <w:pPr>
              <w:pStyle w:val="12"/>
            </w:pPr>
            <w:r>
              <w:t>【隆尧县普通高中高中国家助学金管理办法的通知】隆财【2018】105号</w:t>
            </w:r>
          </w:p>
        </w:tc>
      </w:tr>
      <w:tr w14:paraId="0BC7A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B3C81"/>
        </w:tc>
        <w:tc>
          <w:tcPr>
            <w:tcW w:w="2268" w:type="dxa"/>
            <w:vAlign w:val="center"/>
          </w:tcPr>
          <w:p w14:paraId="6724B4A1">
            <w:pPr>
              <w:pStyle w:val="12"/>
            </w:pPr>
            <w:r>
              <w:t>社会效益指标</w:t>
            </w:r>
          </w:p>
        </w:tc>
        <w:tc>
          <w:tcPr>
            <w:tcW w:w="2835" w:type="dxa"/>
            <w:vAlign w:val="center"/>
          </w:tcPr>
          <w:p w14:paraId="499A26D3">
            <w:pPr>
              <w:pStyle w:val="12"/>
            </w:pPr>
            <w:r>
              <w:t>高中运转</w:t>
            </w:r>
          </w:p>
        </w:tc>
        <w:tc>
          <w:tcPr>
            <w:tcW w:w="5386" w:type="dxa"/>
            <w:vAlign w:val="center"/>
          </w:tcPr>
          <w:p w14:paraId="55AFAB20">
            <w:pPr>
              <w:pStyle w:val="12"/>
            </w:pPr>
            <w:r>
              <w:t>高中学生受教育年限</w:t>
            </w:r>
          </w:p>
        </w:tc>
        <w:tc>
          <w:tcPr>
            <w:tcW w:w="2268" w:type="dxa"/>
            <w:vAlign w:val="center"/>
          </w:tcPr>
          <w:p w14:paraId="72B101FD">
            <w:pPr>
              <w:pStyle w:val="12"/>
            </w:pPr>
            <w:r>
              <w:t>3年</w:t>
            </w:r>
          </w:p>
        </w:tc>
        <w:tc>
          <w:tcPr>
            <w:tcW w:w="1276" w:type="dxa"/>
            <w:vAlign w:val="center"/>
          </w:tcPr>
          <w:p w14:paraId="5733DC80">
            <w:pPr>
              <w:pStyle w:val="12"/>
            </w:pPr>
            <w:r>
              <w:t>【隆尧县普通高中高中国家助学金管理办法的通知】隆财【2018】105号</w:t>
            </w:r>
          </w:p>
        </w:tc>
      </w:tr>
      <w:tr w14:paraId="6AE5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EAE3C">
            <w:pPr>
              <w:pStyle w:val="13"/>
            </w:pPr>
            <w:r>
              <w:t>满意度指标</w:t>
            </w:r>
          </w:p>
        </w:tc>
        <w:tc>
          <w:tcPr>
            <w:tcW w:w="2268" w:type="dxa"/>
            <w:vAlign w:val="center"/>
          </w:tcPr>
          <w:p w14:paraId="338C2F96">
            <w:pPr>
              <w:pStyle w:val="12"/>
            </w:pPr>
            <w:r>
              <w:t>服务对象满意度指标</w:t>
            </w:r>
          </w:p>
        </w:tc>
        <w:tc>
          <w:tcPr>
            <w:tcW w:w="2835" w:type="dxa"/>
            <w:vAlign w:val="center"/>
          </w:tcPr>
          <w:p w14:paraId="6A256EFE">
            <w:pPr>
              <w:pStyle w:val="12"/>
            </w:pPr>
            <w:r>
              <w:t>学生家长</w:t>
            </w:r>
          </w:p>
        </w:tc>
        <w:tc>
          <w:tcPr>
            <w:tcW w:w="5386" w:type="dxa"/>
            <w:vAlign w:val="center"/>
          </w:tcPr>
          <w:p w14:paraId="1C3C4FE5">
            <w:pPr>
              <w:pStyle w:val="12"/>
            </w:pPr>
            <w:r>
              <w:t>学生家长满意度</w:t>
            </w:r>
          </w:p>
        </w:tc>
        <w:tc>
          <w:tcPr>
            <w:tcW w:w="2268" w:type="dxa"/>
            <w:vAlign w:val="center"/>
          </w:tcPr>
          <w:p w14:paraId="6D5C14CB">
            <w:pPr>
              <w:pStyle w:val="12"/>
            </w:pPr>
            <w:r>
              <w:t>≥95%</w:t>
            </w:r>
          </w:p>
        </w:tc>
        <w:tc>
          <w:tcPr>
            <w:tcW w:w="1276" w:type="dxa"/>
            <w:vAlign w:val="center"/>
          </w:tcPr>
          <w:p w14:paraId="30B84EE4">
            <w:pPr>
              <w:pStyle w:val="12"/>
            </w:pPr>
            <w:r>
              <w:t>座谈会、调查问卷等</w:t>
            </w:r>
          </w:p>
        </w:tc>
      </w:tr>
    </w:tbl>
    <w:p w14:paraId="024471D4">
      <w:pPr>
        <w:sectPr>
          <w:pgSz w:w="16840" w:h="11900" w:orient="landscape"/>
          <w:pgMar w:top="1361" w:right="1020" w:bottom="1134" w:left="1020" w:header="720" w:footer="720" w:gutter="0"/>
          <w:cols w:space="720" w:num="1"/>
        </w:sectPr>
      </w:pPr>
    </w:p>
    <w:p w14:paraId="218A60D2">
      <w:pPr>
        <w:spacing w:before="0" w:after="0"/>
        <w:ind w:firstLine="560"/>
        <w:jc w:val="left"/>
        <w:outlineLvl w:val="9"/>
      </w:pPr>
      <w:r>
        <w:rPr>
          <w:rFonts w:ascii="方正仿宋_GBK" w:hAnsi="方正仿宋_GBK" w:eastAsia="方正仿宋_GBK" w:cs="方正仿宋_GBK"/>
          <w:b/>
          <w:color w:val="000000"/>
          <w:sz w:val="28"/>
        </w:rPr>
        <w:t>2、冀财教[2025]116号/中央/2026年学生资助/普通高中三免（职教高中）建档立卡绩效目标表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BD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3106E">
            <w:pPr>
              <w:pStyle w:val="11"/>
            </w:pPr>
            <w:r>
              <w:t>单位：万元</w:t>
            </w:r>
          </w:p>
        </w:tc>
      </w:tr>
      <w:tr w14:paraId="5B91E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8983E">
            <w:pPr>
              <w:pStyle w:val="10"/>
            </w:pPr>
            <w:r>
              <w:t>项目编码</w:t>
            </w:r>
          </w:p>
        </w:tc>
        <w:tc>
          <w:tcPr>
            <w:tcW w:w="5103" w:type="dxa"/>
            <w:gridSpan w:val="2"/>
            <w:vAlign w:val="center"/>
          </w:tcPr>
          <w:p w14:paraId="74FB0141">
            <w:pPr>
              <w:pStyle w:val="12"/>
            </w:pPr>
            <w:r>
              <w:t>13052526P00001210052W</w:t>
            </w:r>
          </w:p>
        </w:tc>
        <w:tc>
          <w:tcPr>
            <w:tcW w:w="2835" w:type="dxa"/>
            <w:vAlign w:val="center"/>
          </w:tcPr>
          <w:p w14:paraId="5B0A908F">
            <w:pPr>
              <w:pStyle w:val="10"/>
            </w:pPr>
            <w:r>
              <w:t>项目名称</w:t>
            </w:r>
          </w:p>
        </w:tc>
        <w:tc>
          <w:tcPr>
            <w:tcW w:w="6095" w:type="dxa"/>
            <w:gridSpan w:val="3"/>
            <w:vAlign w:val="center"/>
          </w:tcPr>
          <w:p w14:paraId="7D3CC84F">
            <w:pPr>
              <w:pStyle w:val="12"/>
            </w:pPr>
            <w:r>
              <w:t>冀财教[2025]116号/中央/2026年学生资助/普通高中三免（职教高中）建档立卡</w:t>
            </w:r>
          </w:p>
        </w:tc>
      </w:tr>
      <w:tr w14:paraId="36F47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8BD39">
            <w:pPr>
              <w:pStyle w:val="10"/>
            </w:pPr>
            <w:r>
              <w:t>预算规模及资金用途</w:t>
            </w:r>
          </w:p>
        </w:tc>
        <w:tc>
          <w:tcPr>
            <w:tcW w:w="2268" w:type="dxa"/>
            <w:vAlign w:val="center"/>
          </w:tcPr>
          <w:p w14:paraId="07B26072">
            <w:pPr>
              <w:pStyle w:val="10"/>
            </w:pPr>
            <w:r>
              <w:t>预算数</w:t>
            </w:r>
          </w:p>
        </w:tc>
        <w:tc>
          <w:tcPr>
            <w:tcW w:w="2835" w:type="dxa"/>
            <w:vAlign w:val="center"/>
          </w:tcPr>
          <w:p w14:paraId="6091E444">
            <w:pPr>
              <w:pStyle w:val="12"/>
            </w:pPr>
            <w:r>
              <w:t>2.00</w:t>
            </w:r>
          </w:p>
        </w:tc>
        <w:tc>
          <w:tcPr>
            <w:tcW w:w="2835" w:type="dxa"/>
            <w:vAlign w:val="center"/>
          </w:tcPr>
          <w:p w14:paraId="75309DEF">
            <w:pPr>
              <w:pStyle w:val="10"/>
            </w:pPr>
            <w:r>
              <w:t>其中：财政    资金</w:t>
            </w:r>
          </w:p>
        </w:tc>
        <w:tc>
          <w:tcPr>
            <w:tcW w:w="2551" w:type="dxa"/>
            <w:vAlign w:val="center"/>
          </w:tcPr>
          <w:p w14:paraId="03217F33">
            <w:pPr>
              <w:pStyle w:val="12"/>
            </w:pPr>
            <w:r>
              <w:t>2.00</w:t>
            </w:r>
          </w:p>
        </w:tc>
        <w:tc>
          <w:tcPr>
            <w:tcW w:w="2268" w:type="dxa"/>
            <w:vAlign w:val="center"/>
          </w:tcPr>
          <w:p w14:paraId="6B07EB04">
            <w:pPr>
              <w:pStyle w:val="10"/>
            </w:pPr>
            <w:r>
              <w:t>其他资金</w:t>
            </w:r>
          </w:p>
        </w:tc>
        <w:tc>
          <w:tcPr>
            <w:tcW w:w="1276" w:type="dxa"/>
            <w:vAlign w:val="center"/>
          </w:tcPr>
          <w:p w14:paraId="5BC5ACEF">
            <w:pPr>
              <w:pStyle w:val="12"/>
            </w:pPr>
            <w:r>
              <w:t xml:space="preserve"> </w:t>
            </w:r>
          </w:p>
        </w:tc>
      </w:tr>
      <w:tr w14:paraId="5DF4F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77A7B"/>
        </w:tc>
        <w:tc>
          <w:tcPr>
            <w:tcW w:w="14033" w:type="dxa"/>
            <w:gridSpan w:val="6"/>
            <w:vAlign w:val="center"/>
          </w:tcPr>
          <w:p w14:paraId="0AA66843">
            <w:pPr>
              <w:pStyle w:val="12"/>
            </w:pPr>
            <w:r>
              <w:t>中央下达安排资金2万元。用于减免我校建档立卡学生免除学杂费、住宿费、教科书费。</w:t>
            </w:r>
          </w:p>
        </w:tc>
      </w:tr>
      <w:tr w14:paraId="6AD49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C7481">
            <w:pPr>
              <w:pStyle w:val="10"/>
            </w:pPr>
            <w:r>
              <w:t>资金支出计划（%）</w:t>
            </w:r>
          </w:p>
        </w:tc>
        <w:tc>
          <w:tcPr>
            <w:tcW w:w="5103" w:type="dxa"/>
            <w:gridSpan w:val="2"/>
            <w:vAlign w:val="center"/>
          </w:tcPr>
          <w:p w14:paraId="6B7BCC6D">
            <w:pPr>
              <w:pStyle w:val="10"/>
            </w:pPr>
            <w:r>
              <w:t>3月底</w:t>
            </w:r>
          </w:p>
        </w:tc>
        <w:tc>
          <w:tcPr>
            <w:tcW w:w="2835" w:type="dxa"/>
            <w:vAlign w:val="center"/>
          </w:tcPr>
          <w:p w14:paraId="65868AEC">
            <w:pPr>
              <w:pStyle w:val="10"/>
            </w:pPr>
            <w:r>
              <w:t>6月底</w:t>
            </w:r>
          </w:p>
        </w:tc>
        <w:tc>
          <w:tcPr>
            <w:tcW w:w="2551" w:type="dxa"/>
            <w:vAlign w:val="center"/>
          </w:tcPr>
          <w:p w14:paraId="1D1F0818">
            <w:pPr>
              <w:pStyle w:val="10"/>
            </w:pPr>
            <w:r>
              <w:t>10月底</w:t>
            </w:r>
          </w:p>
        </w:tc>
        <w:tc>
          <w:tcPr>
            <w:tcW w:w="3544" w:type="dxa"/>
            <w:gridSpan w:val="2"/>
            <w:vAlign w:val="center"/>
          </w:tcPr>
          <w:p w14:paraId="256DDC91">
            <w:pPr>
              <w:pStyle w:val="10"/>
            </w:pPr>
            <w:r>
              <w:t>12月底</w:t>
            </w:r>
          </w:p>
        </w:tc>
      </w:tr>
      <w:tr w14:paraId="36EAC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0A57F"/>
        </w:tc>
        <w:tc>
          <w:tcPr>
            <w:tcW w:w="5103" w:type="dxa"/>
            <w:gridSpan w:val="2"/>
            <w:vAlign w:val="center"/>
          </w:tcPr>
          <w:p w14:paraId="2BC4EB38">
            <w:pPr>
              <w:pStyle w:val="13"/>
            </w:pPr>
            <w:r>
              <w:t xml:space="preserve"> </w:t>
            </w:r>
          </w:p>
        </w:tc>
        <w:tc>
          <w:tcPr>
            <w:tcW w:w="2835" w:type="dxa"/>
            <w:vAlign w:val="center"/>
          </w:tcPr>
          <w:p w14:paraId="55FBC345">
            <w:pPr>
              <w:pStyle w:val="13"/>
            </w:pPr>
            <w:r>
              <w:t>50%</w:t>
            </w:r>
          </w:p>
        </w:tc>
        <w:tc>
          <w:tcPr>
            <w:tcW w:w="2551" w:type="dxa"/>
            <w:vAlign w:val="center"/>
          </w:tcPr>
          <w:p w14:paraId="402E18C6">
            <w:pPr>
              <w:pStyle w:val="13"/>
            </w:pPr>
            <w:r>
              <w:t>50%</w:t>
            </w:r>
          </w:p>
        </w:tc>
        <w:tc>
          <w:tcPr>
            <w:tcW w:w="3544" w:type="dxa"/>
            <w:gridSpan w:val="2"/>
            <w:vAlign w:val="center"/>
          </w:tcPr>
          <w:p w14:paraId="40006D51">
            <w:pPr>
              <w:pStyle w:val="13"/>
            </w:pPr>
            <w:r>
              <w:t>100%</w:t>
            </w:r>
          </w:p>
        </w:tc>
      </w:tr>
      <w:tr w14:paraId="29302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730A2">
            <w:pPr>
              <w:pStyle w:val="10"/>
            </w:pPr>
            <w:r>
              <w:t>绩效目标</w:t>
            </w:r>
          </w:p>
        </w:tc>
        <w:tc>
          <w:tcPr>
            <w:tcW w:w="14033" w:type="dxa"/>
            <w:gridSpan w:val="6"/>
            <w:vAlign w:val="center"/>
          </w:tcPr>
          <w:p w14:paraId="55ADC3EA">
            <w:pPr>
              <w:pStyle w:val="12"/>
            </w:pPr>
            <w:r>
              <w:t>1.中央下达安排资金2万元。用于减免我校建档立卡学生免除学杂费、住宿费、教科书费。</w:t>
            </w:r>
          </w:p>
        </w:tc>
      </w:tr>
    </w:tbl>
    <w:p w14:paraId="4F604D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4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B2625">
            <w:pPr>
              <w:pStyle w:val="10"/>
            </w:pPr>
            <w:r>
              <w:t>一级指标</w:t>
            </w:r>
          </w:p>
        </w:tc>
        <w:tc>
          <w:tcPr>
            <w:tcW w:w="2268" w:type="dxa"/>
            <w:vAlign w:val="center"/>
          </w:tcPr>
          <w:p w14:paraId="3AAE0969">
            <w:pPr>
              <w:pStyle w:val="10"/>
            </w:pPr>
            <w:r>
              <w:t>二级指标</w:t>
            </w:r>
          </w:p>
        </w:tc>
        <w:tc>
          <w:tcPr>
            <w:tcW w:w="2835" w:type="dxa"/>
            <w:vAlign w:val="center"/>
          </w:tcPr>
          <w:p w14:paraId="4454CCDD">
            <w:pPr>
              <w:pStyle w:val="10"/>
            </w:pPr>
            <w:r>
              <w:t>三级指标</w:t>
            </w:r>
          </w:p>
        </w:tc>
        <w:tc>
          <w:tcPr>
            <w:tcW w:w="5386" w:type="dxa"/>
            <w:vAlign w:val="center"/>
          </w:tcPr>
          <w:p w14:paraId="5027F334">
            <w:pPr>
              <w:pStyle w:val="10"/>
            </w:pPr>
            <w:r>
              <w:t>绩效指标描述</w:t>
            </w:r>
          </w:p>
        </w:tc>
        <w:tc>
          <w:tcPr>
            <w:tcW w:w="2268" w:type="dxa"/>
            <w:vAlign w:val="center"/>
          </w:tcPr>
          <w:p w14:paraId="12053F1D">
            <w:pPr>
              <w:pStyle w:val="10"/>
            </w:pPr>
            <w:r>
              <w:t>指标值</w:t>
            </w:r>
          </w:p>
        </w:tc>
        <w:tc>
          <w:tcPr>
            <w:tcW w:w="1276" w:type="dxa"/>
            <w:vAlign w:val="center"/>
          </w:tcPr>
          <w:p w14:paraId="17854D1B">
            <w:pPr>
              <w:pStyle w:val="10"/>
            </w:pPr>
            <w:r>
              <w:t>指标值确定依据</w:t>
            </w:r>
          </w:p>
        </w:tc>
      </w:tr>
      <w:tr w14:paraId="6A6F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9D136">
            <w:pPr>
              <w:pStyle w:val="13"/>
            </w:pPr>
            <w:r>
              <w:t>产出指标</w:t>
            </w:r>
          </w:p>
        </w:tc>
        <w:tc>
          <w:tcPr>
            <w:tcW w:w="2268" w:type="dxa"/>
            <w:vAlign w:val="center"/>
          </w:tcPr>
          <w:p w14:paraId="0B4418EA">
            <w:pPr>
              <w:pStyle w:val="12"/>
            </w:pPr>
            <w:r>
              <w:t>数量指标</w:t>
            </w:r>
          </w:p>
        </w:tc>
        <w:tc>
          <w:tcPr>
            <w:tcW w:w="2835" w:type="dxa"/>
            <w:vAlign w:val="center"/>
          </w:tcPr>
          <w:p w14:paraId="4535C090">
            <w:pPr>
              <w:pStyle w:val="12"/>
            </w:pPr>
            <w:r>
              <w:t>普通高中享受三免人数</w:t>
            </w:r>
          </w:p>
        </w:tc>
        <w:tc>
          <w:tcPr>
            <w:tcW w:w="5386" w:type="dxa"/>
            <w:vAlign w:val="center"/>
          </w:tcPr>
          <w:p w14:paraId="6375D0C0">
            <w:pPr>
              <w:pStyle w:val="12"/>
            </w:pPr>
            <w:r>
              <w:t>普通高中享受免学费住宿费书费人数</w:t>
            </w:r>
          </w:p>
        </w:tc>
        <w:tc>
          <w:tcPr>
            <w:tcW w:w="2268" w:type="dxa"/>
            <w:vAlign w:val="center"/>
          </w:tcPr>
          <w:p w14:paraId="2794AE5B">
            <w:pPr>
              <w:pStyle w:val="12"/>
            </w:pPr>
            <w:r>
              <w:t>58人</w:t>
            </w:r>
          </w:p>
        </w:tc>
        <w:tc>
          <w:tcPr>
            <w:tcW w:w="1276" w:type="dxa"/>
            <w:vAlign w:val="center"/>
          </w:tcPr>
          <w:p w14:paraId="1430D7A4">
            <w:pPr>
              <w:pStyle w:val="12"/>
            </w:pPr>
            <w:r>
              <w:t>隆尧县建档立卡学生资助管理办法</w:t>
            </w:r>
          </w:p>
        </w:tc>
      </w:tr>
      <w:tr w14:paraId="5495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29C33"/>
        </w:tc>
        <w:tc>
          <w:tcPr>
            <w:tcW w:w="2268" w:type="dxa"/>
            <w:vAlign w:val="center"/>
          </w:tcPr>
          <w:p w14:paraId="31B3FF72">
            <w:pPr>
              <w:pStyle w:val="12"/>
            </w:pPr>
            <w:r>
              <w:t>质量指标</w:t>
            </w:r>
          </w:p>
        </w:tc>
        <w:tc>
          <w:tcPr>
            <w:tcW w:w="2835" w:type="dxa"/>
            <w:vAlign w:val="center"/>
          </w:tcPr>
          <w:p w14:paraId="2637004C">
            <w:pPr>
              <w:pStyle w:val="12"/>
            </w:pPr>
            <w:r>
              <w:t>完成普高三免资金发放工作</w:t>
            </w:r>
          </w:p>
        </w:tc>
        <w:tc>
          <w:tcPr>
            <w:tcW w:w="5386" w:type="dxa"/>
            <w:vAlign w:val="center"/>
          </w:tcPr>
          <w:p w14:paraId="5385D374">
            <w:pPr>
              <w:pStyle w:val="12"/>
            </w:pPr>
            <w:r>
              <w:t>普高三免为建档立卡学生</w:t>
            </w:r>
          </w:p>
        </w:tc>
        <w:tc>
          <w:tcPr>
            <w:tcW w:w="2268" w:type="dxa"/>
            <w:vAlign w:val="center"/>
          </w:tcPr>
          <w:p w14:paraId="58966632">
            <w:pPr>
              <w:pStyle w:val="12"/>
            </w:pPr>
            <w:r>
              <w:t>100%</w:t>
            </w:r>
          </w:p>
        </w:tc>
        <w:tc>
          <w:tcPr>
            <w:tcW w:w="1276" w:type="dxa"/>
            <w:vAlign w:val="center"/>
          </w:tcPr>
          <w:p w14:paraId="36342075">
            <w:pPr>
              <w:pStyle w:val="12"/>
            </w:pPr>
            <w:r>
              <w:t>隆尧县建档立卡学生资助管理办法</w:t>
            </w:r>
          </w:p>
        </w:tc>
      </w:tr>
      <w:tr w14:paraId="34C7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21A01"/>
        </w:tc>
        <w:tc>
          <w:tcPr>
            <w:tcW w:w="2268" w:type="dxa"/>
            <w:vAlign w:val="center"/>
          </w:tcPr>
          <w:p w14:paraId="0AFFEB13">
            <w:pPr>
              <w:pStyle w:val="12"/>
            </w:pPr>
            <w:r>
              <w:t>时效指标</w:t>
            </w:r>
          </w:p>
        </w:tc>
        <w:tc>
          <w:tcPr>
            <w:tcW w:w="2835" w:type="dxa"/>
            <w:vAlign w:val="center"/>
          </w:tcPr>
          <w:p w14:paraId="53AC5B96">
            <w:pPr>
              <w:pStyle w:val="12"/>
            </w:pPr>
            <w:r>
              <w:t>补助资金及时足额发放率</w:t>
            </w:r>
          </w:p>
        </w:tc>
        <w:tc>
          <w:tcPr>
            <w:tcW w:w="5386" w:type="dxa"/>
            <w:vAlign w:val="center"/>
          </w:tcPr>
          <w:p w14:paraId="024D55F0">
            <w:pPr>
              <w:pStyle w:val="12"/>
            </w:pPr>
            <w:r>
              <w:t>补助资金及时足额到位率</w:t>
            </w:r>
          </w:p>
        </w:tc>
        <w:tc>
          <w:tcPr>
            <w:tcW w:w="2268" w:type="dxa"/>
            <w:vAlign w:val="center"/>
          </w:tcPr>
          <w:p w14:paraId="278D54FD">
            <w:pPr>
              <w:pStyle w:val="12"/>
            </w:pPr>
            <w:r>
              <w:t>100%</w:t>
            </w:r>
          </w:p>
        </w:tc>
        <w:tc>
          <w:tcPr>
            <w:tcW w:w="1276" w:type="dxa"/>
            <w:vAlign w:val="center"/>
          </w:tcPr>
          <w:p w14:paraId="1121DD64">
            <w:pPr>
              <w:pStyle w:val="12"/>
            </w:pPr>
            <w:r>
              <w:t>隆尧县建档立卡学生资助管理办法</w:t>
            </w:r>
          </w:p>
        </w:tc>
      </w:tr>
      <w:tr w14:paraId="2271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D2940"/>
        </w:tc>
        <w:tc>
          <w:tcPr>
            <w:tcW w:w="2268" w:type="dxa"/>
            <w:vAlign w:val="center"/>
          </w:tcPr>
          <w:p w14:paraId="77034330">
            <w:pPr>
              <w:pStyle w:val="12"/>
            </w:pPr>
            <w:r>
              <w:t>成本指标</w:t>
            </w:r>
          </w:p>
        </w:tc>
        <w:tc>
          <w:tcPr>
            <w:tcW w:w="2835" w:type="dxa"/>
            <w:vAlign w:val="center"/>
          </w:tcPr>
          <w:p w14:paraId="3242AD07">
            <w:pPr>
              <w:pStyle w:val="12"/>
            </w:pPr>
            <w:r>
              <w:t>免学费标准</w:t>
            </w:r>
          </w:p>
        </w:tc>
        <w:tc>
          <w:tcPr>
            <w:tcW w:w="5386" w:type="dxa"/>
            <w:vAlign w:val="center"/>
          </w:tcPr>
          <w:p w14:paraId="5CDD74B3">
            <w:pPr>
              <w:pStyle w:val="12"/>
            </w:pPr>
            <w:r>
              <w:t>普高免学费住宿费书费2800元</w:t>
            </w:r>
          </w:p>
        </w:tc>
        <w:tc>
          <w:tcPr>
            <w:tcW w:w="2268" w:type="dxa"/>
            <w:vAlign w:val="center"/>
          </w:tcPr>
          <w:p w14:paraId="7AB1F60B">
            <w:pPr>
              <w:pStyle w:val="12"/>
            </w:pPr>
            <w:r>
              <w:t>2800元/生/年</w:t>
            </w:r>
          </w:p>
        </w:tc>
        <w:tc>
          <w:tcPr>
            <w:tcW w:w="1276" w:type="dxa"/>
            <w:vAlign w:val="center"/>
          </w:tcPr>
          <w:p w14:paraId="0218CD58">
            <w:pPr>
              <w:pStyle w:val="12"/>
            </w:pPr>
            <w:r>
              <w:t>隆尧县建档立卡学生资助管理办法</w:t>
            </w:r>
          </w:p>
        </w:tc>
      </w:tr>
      <w:tr w14:paraId="5D8E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D63B8">
            <w:pPr>
              <w:pStyle w:val="13"/>
            </w:pPr>
            <w:r>
              <w:t>效益指标</w:t>
            </w:r>
          </w:p>
        </w:tc>
        <w:tc>
          <w:tcPr>
            <w:tcW w:w="2268" w:type="dxa"/>
            <w:vAlign w:val="center"/>
          </w:tcPr>
          <w:p w14:paraId="7C4DBF10">
            <w:pPr>
              <w:pStyle w:val="12"/>
            </w:pPr>
            <w:r>
              <w:t>经济效益指标</w:t>
            </w:r>
          </w:p>
        </w:tc>
        <w:tc>
          <w:tcPr>
            <w:tcW w:w="2835" w:type="dxa"/>
            <w:vAlign w:val="center"/>
          </w:tcPr>
          <w:p w14:paraId="4402E746">
            <w:pPr>
              <w:pStyle w:val="12"/>
            </w:pPr>
            <w:r>
              <w:t>减轻家庭负担</w:t>
            </w:r>
          </w:p>
        </w:tc>
        <w:tc>
          <w:tcPr>
            <w:tcW w:w="5386" w:type="dxa"/>
            <w:vAlign w:val="center"/>
          </w:tcPr>
          <w:p w14:paraId="67C5D130">
            <w:pPr>
              <w:pStyle w:val="12"/>
            </w:pPr>
            <w:r>
              <w:t>增加贫困家庭经济收入</w:t>
            </w:r>
          </w:p>
        </w:tc>
        <w:tc>
          <w:tcPr>
            <w:tcW w:w="2268" w:type="dxa"/>
            <w:vAlign w:val="center"/>
          </w:tcPr>
          <w:p w14:paraId="65E72C89">
            <w:pPr>
              <w:pStyle w:val="12"/>
            </w:pPr>
            <w:r>
              <w:t>≥98%</w:t>
            </w:r>
          </w:p>
        </w:tc>
        <w:tc>
          <w:tcPr>
            <w:tcW w:w="1276" w:type="dxa"/>
            <w:vAlign w:val="center"/>
          </w:tcPr>
          <w:p w14:paraId="652DDD75">
            <w:pPr>
              <w:pStyle w:val="12"/>
            </w:pPr>
            <w:r>
              <w:t>隆尧县建档立卡学生资助管理办法</w:t>
            </w:r>
          </w:p>
        </w:tc>
      </w:tr>
      <w:tr w14:paraId="386E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E2001">
            <w:pPr>
              <w:pStyle w:val="13"/>
            </w:pPr>
            <w:r>
              <w:t>满意度指标</w:t>
            </w:r>
          </w:p>
        </w:tc>
        <w:tc>
          <w:tcPr>
            <w:tcW w:w="2268" w:type="dxa"/>
            <w:vAlign w:val="center"/>
          </w:tcPr>
          <w:p w14:paraId="44101F02">
            <w:pPr>
              <w:pStyle w:val="12"/>
            </w:pPr>
            <w:r>
              <w:t>服务对象满意度指标</w:t>
            </w:r>
          </w:p>
        </w:tc>
        <w:tc>
          <w:tcPr>
            <w:tcW w:w="2835" w:type="dxa"/>
            <w:vAlign w:val="center"/>
          </w:tcPr>
          <w:p w14:paraId="59A22C72">
            <w:pPr>
              <w:pStyle w:val="12"/>
            </w:pPr>
            <w:r>
              <w:t>提升幸福指数</w:t>
            </w:r>
          </w:p>
        </w:tc>
        <w:tc>
          <w:tcPr>
            <w:tcW w:w="5386" w:type="dxa"/>
            <w:vAlign w:val="center"/>
          </w:tcPr>
          <w:p w14:paraId="4978673B">
            <w:pPr>
              <w:pStyle w:val="12"/>
            </w:pPr>
            <w:r>
              <w:t>提升贫困家庭学生的幸福指数学生家长满</w:t>
            </w:r>
            <w:r>
              <w:rPr>
                <w:rFonts w:hint="eastAsia"/>
                <w:lang w:eastAsia="zh-CN"/>
              </w:rPr>
              <w:t>意度</w:t>
            </w:r>
          </w:p>
        </w:tc>
        <w:tc>
          <w:tcPr>
            <w:tcW w:w="2268" w:type="dxa"/>
            <w:vAlign w:val="center"/>
          </w:tcPr>
          <w:p w14:paraId="53FD4FAC">
            <w:pPr>
              <w:pStyle w:val="12"/>
            </w:pPr>
            <w:r>
              <w:t>≥95%</w:t>
            </w:r>
          </w:p>
        </w:tc>
        <w:tc>
          <w:tcPr>
            <w:tcW w:w="1276" w:type="dxa"/>
            <w:vAlign w:val="center"/>
          </w:tcPr>
          <w:p w14:paraId="66A1BDBE">
            <w:pPr>
              <w:pStyle w:val="12"/>
            </w:pPr>
            <w:r>
              <w:t>隆尧县建档立卡学生资助管理办法</w:t>
            </w:r>
          </w:p>
        </w:tc>
      </w:tr>
    </w:tbl>
    <w:p w14:paraId="1138B1AC">
      <w:pPr>
        <w:sectPr>
          <w:pgSz w:w="16840" w:h="11900" w:orient="landscape"/>
          <w:pgMar w:top="1361" w:right="1020" w:bottom="1134" w:left="1020" w:header="720" w:footer="720" w:gutter="0"/>
          <w:cols w:space="720" w:num="1"/>
        </w:sectPr>
      </w:pPr>
    </w:p>
    <w:p w14:paraId="4476E89A">
      <w:pPr>
        <w:spacing w:before="0" w:after="0"/>
        <w:ind w:firstLine="560"/>
        <w:jc w:val="left"/>
        <w:outlineLvl w:val="9"/>
      </w:pPr>
      <w:r>
        <w:rPr>
          <w:rFonts w:ascii="方正仿宋_GBK" w:hAnsi="方正仿宋_GBK" w:eastAsia="方正仿宋_GBK" w:cs="方正仿宋_GBK"/>
          <w:b/>
          <w:color w:val="000000"/>
          <w:sz w:val="28"/>
        </w:rPr>
        <w:t>3、冀财教[2025]116号/中央/2026年学生资助/中职免学费（职教中职）绩效目标表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FC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00EBA">
            <w:pPr>
              <w:pStyle w:val="11"/>
            </w:pPr>
            <w:r>
              <w:t>单位：万元</w:t>
            </w:r>
          </w:p>
        </w:tc>
      </w:tr>
      <w:tr w14:paraId="7D378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D3444">
            <w:pPr>
              <w:pStyle w:val="10"/>
            </w:pPr>
            <w:r>
              <w:t>项目编码</w:t>
            </w:r>
          </w:p>
        </w:tc>
        <w:tc>
          <w:tcPr>
            <w:tcW w:w="5103" w:type="dxa"/>
            <w:gridSpan w:val="2"/>
            <w:vAlign w:val="center"/>
          </w:tcPr>
          <w:p w14:paraId="5EB335AB">
            <w:pPr>
              <w:pStyle w:val="12"/>
            </w:pPr>
            <w:r>
              <w:t>13052526P00001210058J</w:t>
            </w:r>
          </w:p>
        </w:tc>
        <w:tc>
          <w:tcPr>
            <w:tcW w:w="2835" w:type="dxa"/>
            <w:vAlign w:val="center"/>
          </w:tcPr>
          <w:p w14:paraId="72E4CC59">
            <w:pPr>
              <w:pStyle w:val="10"/>
            </w:pPr>
            <w:r>
              <w:t>项目名称</w:t>
            </w:r>
          </w:p>
        </w:tc>
        <w:tc>
          <w:tcPr>
            <w:tcW w:w="6095" w:type="dxa"/>
            <w:gridSpan w:val="3"/>
            <w:vAlign w:val="center"/>
          </w:tcPr>
          <w:p w14:paraId="51821BF8">
            <w:pPr>
              <w:pStyle w:val="12"/>
            </w:pPr>
            <w:r>
              <w:t>冀财教[2025]116号/中央/2026年学生资助/中职免学费（职教中职）</w:t>
            </w:r>
          </w:p>
        </w:tc>
      </w:tr>
      <w:tr w14:paraId="5C181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9BAEF">
            <w:pPr>
              <w:pStyle w:val="10"/>
            </w:pPr>
            <w:r>
              <w:t>预算规模及资金用途</w:t>
            </w:r>
          </w:p>
        </w:tc>
        <w:tc>
          <w:tcPr>
            <w:tcW w:w="2268" w:type="dxa"/>
            <w:vAlign w:val="center"/>
          </w:tcPr>
          <w:p w14:paraId="205B4F64">
            <w:pPr>
              <w:pStyle w:val="10"/>
            </w:pPr>
            <w:r>
              <w:t>预算数</w:t>
            </w:r>
          </w:p>
        </w:tc>
        <w:tc>
          <w:tcPr>
            <w:tcW w:w="2835" w:type="dxa"/>
            <w:vAlign w:val="center"/>
          </w:tcPr>
          <w:p w14:paraId="6E358108">
            <w:pPr>
              <w:pStyle w:val="12"/>
            </w:pPr>
            <w:r>
              <w:t>180.00</w:t>
            </w:r>
          </w:p>
        </w:tc>
        <w:tc>
          <w:tcPr>
            <w:tcW w:w="2835" w:type="dxa"/>
            <w:vAlign w:val="center"/>
          </w:tcPr>
          <w:p w14:paraId="218BA957">
            <w:pPr>
              <w:pStyle w:val="10"/>
            </w:pPr>
            <w:r>
              <w:t>其中：财政    资金</w:t>
            </w:r>
          </w:p>
        </w:tc>
        <w:tc>
          <w:tcPr>
            <w:tcW w:w="2551" w:type="dxa"/>
            <w:vAlign w:val="center"/>
          </w:tcPr>
          <w:p w14:paraId="08063AAC">
            <w:pPr>
              <w:pStyle w:val="12"/>
            </w:pPr>
            <w:r>
              <w:t>180.00</w:t>
            </w:r>
          </w:p>
        </w:tc>
        <w:tc>
          <w:tcPr>
            <w:tcW w:w="2268" w:type="dxa"/>
            <w:vAlign w:val="center"/>
          </w:tcPr>
          <w:p w14:paraId="2008AEF7">
            <w:pPr>
              <w:pStyle w:val="10"/>
            </w:pPr>
            <w:r>
              <w:t>其他资金</w:t>
            </w:r>
          </w:p>
        </w:tc>
        <w:tc>
          <w:tcPr>
            <w:tcW w:w="1276" w:type="dxa"/>
            <w:vAlign w:val="center"/>
          </w:tcPr>
          <w:p w14:paraId="610F61F7">
            <w:pPr>
              <w:pStyle w:val="12"/>
            </w:pPr>
            <w:r>
              <w:t xml:space="preserve"> </w:t>
            </w:r>
          </w:p>
        </w:tc>
      </w:tr>
      <w:tr w14:paraId="46DE2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F48B2"/>
        </w:tc>
        <w:tc>
          <w:tcPr>
            <w:tcW w:w="14033" w:type="dxa"/>
            <w:gridSpan w:val="6"/>
            <w:vAlign w:val="center"/>
          </w:tcPr>
          <w:p w14:paraId="3B236B3C">
            <w:pPr>
              <w:pStyle w:val="12"/>
            </w:pPr>
            <w:r>
              <w:t>2026年中央中职免学费预算安排资金180万元，资金除正常公用支出外，主要用于学校减免学费后弥补公用经费不足</w:t>
            </w:r>
          </w:p>
        </w:tc>
      </w:tr>
      <w:tr w14:paraId="7C0CB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6B732">
            <w:pPr>
              <w:pStyle w:val="10"/>
            </w:pPr>
            <w:r>
              <w:t>资金支出计划（%）</w:t>
            </w:r>
          </w:p>
        </w:tc>
        <w:tc>
          <w:tcPr>
            <w:tcW w:w="5103" w:type="dxa"/>
            <w:gridSpan w:val="2"/>
            <w:vAlign w:val="center"/>
          </w:tcPr>
          <w:p w14:paraId="6F8EA933">
            <w:pPr>
              <w:pStyle w:val="10"/>
            </w:pPr>
            <w:r>
              <w:t>3月底</w:t>
            </w:r>
          </w:p>
        </w:tc>
        <w:tc>
          <w:tcPr>
            <w:tcW w:w="2835" w:type="dxa"/>
            <w:vAlign w:val="center"/>
          </w:tcPr>
          <w:p w14:paraId="77ECFC34">
            <w:pPr>
              <w:pStyle w:val="10"/>
            </w:pPr>
            <w:r>
              <w:t>6月底</w:t>
            </w:r>
          </w:p>
        </w:tc>
        <w:tc>
          <w:tcPr>
            <w:tcW w:w="2551" w:type="dxa"/>
            <w:vAlign w:val="center"/>
          </w:tcPr>
          <w:p w14:paraId="4B2C091C">
            <w:pPr>
              <w:pStyle w:val="10"/>
            </w:pPr>
            <w:r>
              <w:t>10月底</w:t>
            </w:r>
          </w:p>
        </w:tc>
        <w:tc>
          <w:tcPr>
            <w:tcW w:w="3544" w:type="dxa"/>
            <w:gridSpan w:val="2"/>
            <w:vAlign w:val="center"/>
          </w:tcPr>
          <w:p w14:paraId="7AA7BC2F">
            <w:pPr>
              <w:pStyle w:val="10"/>
            </w:pPr>
            <w:r>
              <w:t>12月底</w:t>
            </w:r>
          </w:p>
        </w:tc>
      </w:tr>
      <w:tr w14:paraId="7A1A7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644DE"/>
        </w:tc>
        <w:tc>
          <w:tcPr>
            <w:tcW w:w="5103" w:type="dxa"/>
            <w:gridSpan w:val="2"/>
            <w:vAlign w:val="center"/>
          </w:tcPr>
          <w:p w14:paraId="4AF77207">
            <w:pPr>
              <w:pStyle w:val="13"/>
            </w:pPr>
            <w:r>
              <w:t xml:space="preserve"> </w:t>
            </w:r>
          </w:p>
        </w:tc>
        <w:tc>
          <w:tcPr>
            <w:tcW w:w="2835" w:type="dxa"/>
            <w:vAlign w:val="center"/>
          </w:tcPr>
          <w:p w14:paraId="6E4CD65A">
            <w:pPr>
              <w:pStyle w:val="13"/>
            </w:pPr>
            <w:r>
              <w:t>50%</w:t>
            </w:r>
          </w:p>
        </w:tc>
        <w:tc>
          <w:tcPr>
            <w:tcW w:w="2551" w:type="dxa"/>
            <w:vAlign w:val="center"/>
          </w:tcPr>
          <w:p w14:paraId="0B5105A9">
            <w:pPr>
              <w:pStyle w:val="13"/>
            </w:pPr>
            <w:r>
              <w:t>50%</w:t>
            </w:r>
          </w:p>
        </w:tc>
        <w:tc>
          <w:tcPr>
            <w:tcW w:w="3544" w:type="dxa"/>
            <w:gridSpan w:val="2"/>
            <w:vAlign w:val="center"/>
          </w:tcPr>
          <w:p w14:paraId="0D5CB82F">
            <w:pPr>
              <w:pStyle w:val="13"/>
            </w:pPr>
            <w:r>
              <w:t>100%</w:t>
            </w:r>
          </w:p>
        </w:tc>
      </w:tr>
      <w:tr w14:paraId="01B0B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ABBE9">
            <w:pPr>
              <w:pStyle w:val="10"/>
            </w:pPr>
            <w:r>
              <w:t>绩效目标</w:t>
            </w:r>
          </w:p>
        </w:tc>
        <w:tc>
          <w:tcPr>
            <w:tcW w:w="14033" w:type="dxa"/>
            <w:gridSpan w:val="6"/>
            <w:vAlign w:val="center"/>
          </w:tcPr>
          <w:p w14:paraId="7C576791">
            <w:pPr>
              <w:pStyle w:val="12"/>
            </w:pPr>
            <w:r>
              <w:t>1.2026年中央中职免学费预算安排资金180万元，资金除正常公用支出外，主要用于学校减免学费后弥补公用经费不足</w:t>
            </w:r>
          </w:p>
        </w:tc>
      </w:tr>
    </w:tbl>
    <w:p w14:paraId="47570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7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4818F">
            <w:pPr>
              <w:pStyle w:val="10"/>
            </w:pPr>
            <w:r>
              <w:t>一级指标</w:t>
            </w:r>
          </w:p>
        </w:tc>
        <w:tc>
          <w:tcPr>
            <w:tcW w:w="2268" w:type="dxa"/>
            <w:vAlign w:val="center"/>
          </w:tcPr>
          <w:p w14:paraId="3D3D2AF8">
            <w:pPr>
              <w:pStyle w:val="10"/>
            </w:pPr>
            <w:r>
              <w:t>二级指标</w:t>
            </w:r>
          </w:p>
        </w:tc>
        <w:tc>
          <w:tcPr>
            <w:tcW w:w="2835" w:type="dxa"/>
            <w:vAlign w:val="center"/>
          </w:tcPr>
          <w:p w14:paraId="759F05C2">
            <w:pPr>
              <w:pStyle w:val="10"/>
            </w:pPr>
            <w:r>
              <w:t>三级指标</w:t>
            </w:r>
          </w:p>
        </w:tc>
        <w:tc>
          <w:tcPr>
            <w:tcW w:w="5386" w:type="dxa"/>
            <w:vAlign w:val="center"/>
          </w:tcPr>
          <w:p w14:paraId="5F97353C">
            <w:pPr>
              <w:pStyle w:val="10"/>
            </w:pPr>
            <w:r>
              <w:t>绩效指标描述</w:t>
            </w:r>
          </w:p>
        </w:tc>
        <w:tc>
          <w:tcPr>
            <w:tcW w:w="2268" w:type="dxa"/>
            <w:vAlign w:val="center"/>
          </w:tcPr>
          <w:p w14:paraId="3A7092B9">
            <w:pPr>
              <w:pStyle w:val="10"/>
            </w:pPr>
            <w:r>
              <w:t>指标值</w:t>
            </w:r>
          </w:p>
        </w:tc>
        <w:tc>
          <w:tcPr>
            <w:tcW w:w="1276" w:type="dxa"/>
            <w:vAlign w:val="center"/>
          </w:tcPr>
          <w:p w14:paraId="150AA502">
            <w:pPr>
              <w:pStyle w:val="10"/>
            </w:pPr>
            <w:r>
              <w:t>指标值确定依据</w:t>
            </w:r>
          </w:p>
        </w:tc>
      </w:tr>
      <w:tr w14:paraId="30E9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FF0EB">
            <w:pPr>
              <w:pStyle w:val="13"/>
            </w:pPr>
            <w:r>
              <w:t>产出指标</w:t>
            </w:r>
          </w:p>
        </w:tc>
        <w:tc>
          <w:tcPr>
            <w:tcW w:w="2268" w:type="dxa"/>
            <w:vAlign w:val="center"/>
          </w:tcPr>
          <w:p w14:paraId="51DD0D54">
            <w:pPr>
              <w:pStyle w:val="12"/>
            </w:pPr>
            <w:r>
              <w:t>数量指标</w:t>
            </w:r>
          </w:p>
        </w:tc>
        <w:tc>
          <w:tcPr>
            <w:tcW w:w="2835" w:type="dxa"/>
            <w:vAlign w:val="center"/>
          </w:tcPr>
          <w:p w14:paraId="17A34EED">
            <w:pPr>
              <w:pStyle w:val="12"/>
            </w:pPr>
            <w:r>
              <w:t>免学费补助人数</w:t>
            </w:r>
          </w:p>
        </w:tc>
        <w:tc>
          <w:tcPr>
            <w:tcW w:w="5386" w:type="dxa"/>
            <w:vAlign w:val="center"/>
          </w:tcPr>
          <w:p w14:paraId="1F1482AE">
            <w:pPr>
              <w:pStyle w:val="12"/>
            </w:pPr>
            <w:r>
              <w:t>免学费补助人数</w:t>
            </w:r>
          </w:p>
        </w:tc>
        <w:tc>
          <w:tcPr>
            <w:tcW w:w="2268" w:type="dxa"/>
            <w:vAlign w:val="center"/>
          </w:tcPr>
          <w:p w14:paraId="16D15084">
            <w:pPr>
              <w:pStyle w:val="12"/>
            </w:pPr>
            <w:r>
              <w:t>1480人</w:t>
            </w:r>
          </w:p>
        </w:tc>
        <w:tc>
          <w:tcPr>
            <w:tcW w:w="1276" w:type="dxa"/>
            <w:vAlign w:val="center"/>
          </w:tcPr>
          <w:p w14:paraId="1050B08B">
            <w:pPr>
              <w:pStyle w:val="12"/>
            </w:pPr>
            <w:r>
              <w:t>年度预算</w:t>
            </w:r>
          </w:p>
        </w:tc>
      </w:tr>
      <w:tr w14:paraId="198D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DD1DD"/>
        </w:tc>
        <w:tc>
          <w:tcPr>
            <w:tcW w:w="2268" w:type="dxa"/>
            <w:vAlign w:val="center"/>
          </w:tcPr>
          <w:p w14:paraId="00AED7F9">
            <w:pPr>
              <w:pStyle w:val="12"/>
            </w:pPr>
            <w:r>
              <w:t>质量指标</w:t>
            </w:r>
          </w:p>
        </w:tc>
        <w:tc>
          <w:tcPr>
            <w:tcW w:w="2835" w:type="dxa"/>
            <w:vAlign w:val="center"/>
          </w:tcPr>
          <w:p w14:paraId="61468FC5">
            <w:pPr>
              <w:pStyle w:val="12"/>
            </w:pPr>
            <w:r>
              <w:t>免学费全覆盖</w:t>
            </w:r>
          </w:p>
        </w:tc>
        <w:tc>
          <w:tcPr>
            <w:tcW w:w="5386" w:type="dxa"/>
            <w:vAlign w:val="center"/>
          </w:tcPr>
          <w:p w14:paraId="180420FC">
            <w:pPr>
              <w:pStyle w:val="12"/>
            </w:pPr>
            <w:r>
              <w:t>免学费一、二、三年级中职生</w:t>
            </w:r>
          </w:p>
        </w:tc>
        <w:tc>
          <w:tcPr>
            <w:tcW w:w="2268" w:type="dxa"/>
            <w:vAlign w:val="center"/>
          </w:tcPr>
          <w:p w14:paraId="4726B95D">
            <w:pPr>
              <w:pStyle w:val="12"/>
            </w:pPr>
            <w:r>
              <w:t>100%</w:t>
            </w:r>
          </w:p>
        </w:tc>
        <w:tc>
          <w:tcPr>
            <w:tcW w:w="1276" w:type="dxa"/>
            <w:vAlign w:val="center"/>
          </w:tcPr>
          <w:p w14:paraId="7FE6A1AB">
            <w:pPr>
              <w:pStyle w:val="12"/>
            </w:pPr>
            <w:r>
              <w:t>隆尧县中职免学费管理办法</w:t>
            </w:r>
          </w:p>
        </w:tc>
      </w:tr>
      <w:tr w14:paraId="7CBB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EE63D"/>
        </w:tc>
        <w:tc>
          <w:tcPr>
            <w:tcW w:w="2268" w:type="dxa"/>
            <w:vAlign w:val="center"/>
          </w:tcPr>
          <w:p w14:paraId="22AF4E0A">
            <w:pPr>
              <w:pStyle w:val="12"/>
            </w:pPr>
            <w:r>
              <w:t>时效指标</w:t>
            </w:r>
          </w:p>
        </w:tc>
        <w:tc>
          <w:tcPr>
            <w:tcW w:w="2835" w:type="dxa"/>
            <w:vAlign w:val="center"/>
          </w:tcPr>
          <w:p w14:paraId="3926ED7F">
            <w:pPr>
              <w:pStyle w:val="12"/>
            </w:pPr>
            <w:r>
              <w:t>免学费经费拨付率</w:t>
            </w:r>
          </w:p>
        </w:tc>
        <w:tc>
          <w:tcPr>
            <w:tcW w:w="5386" w:type="dxa"/>
            <w:vAlign w:val="center"/>
          </w:tcPr>
          <w:p w14:paraId="0E7943D3">
            <w:pPr>
              <w:pStyle w:val="12"/>
            </w:pPr>
            <w:r>
              <w:t>免学费经费及时拨付到位率</w:t>
            </w:r>
          </w:p>
        </w:tc>
        <w:tc>
          <w:tcPr>
            <w:tcW w:w="2268" w:type="dxa"/>
            <w:vAlign w:val="center"/>
          </w:tcPr>
          <w:p w14:paraId="00FA32AB">
            <w:pPr>
              <w:pStyle w:val="12"/>
            </w:pPr>
            <w:r>
              <w:t>100%</w:t>
            </w:r>
          </w:p>
        </w:tc>
        <w:tc>
          <w:tcPr>
            <w:tcW w:w="1276" w:type="dxa"/>
            <w:vAlign w:val="center"/>
          </w:tcPr>
          <w:p w14:paraId="175AC3F9">
            <w:pPr>
              <w:pStyle w:val="12"/>
            </w:pPr>
            <w:r>
              <w:t>隆尧县中职免学费管理办法</w:t>
            </w:r>
          </w:p>
        </w:tc>
      </w:tr>
      <w:tr w14:paraId="6E23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C6B1E"/>
        </w:tc>
        <w:tc>
          <w:tcPr>
            <w:tcW w:w="2268" w:type="dxa"/>
            <w:vAlign w:val="center"/>
          </w:tcPr>
          <w:p w14:paraId="0CCE2DDF">
            <w:pPr>
              <w:pStyle w:val="12"/>
            </w:pPr>
            <w:r>
              <w:t>成本指标</w:t>
            </w:r>
          </w:p>
        </w:tc>
        <w:tc>
          <w:tcPr>
            <w:tcW w:w="2835" w:type="dxa"/>
            <w:vAlign w:val="center"/>
          </w:tcPr>
          <w:p w14:paraId="605A7FF2">
            <w:pPr>
              <w:pStyle w:val="12"/>
            </w:pPr>
            <w:r>
              <w:t>中职学校免学费补助标准</w:t>
            </w:r>
          </w:p>
        </w:tc>
        <w:tc>
          <w:tcPr>
            <w:tcW w:w="5386" w:type="dxa"/>
            <w:vAlign w:val="center"/>
          </w:tcPr>
          <w:p w14:paraId="474CF603">
            <w:pPr>
              <w:pStyle w:val="12"/>
            </w:pPr>
            <w:r>
              <w:t>中职学校免学费补助标准</w:t>
            </w:r>
          </w:p>
        </w:tc>
        <w:tc>
          <w:tcPr>
            <w:tcW w:w="2268" w:type="dxa"/>
            <w:vAlign w:val="center"/>
          </w:tcPr>
          <w:p w14:paraId="1DADC2E2">
            <w:pPr>
              <w:pStyle w:val="12"/>
            </w:pPr>
            <w:r>
              <w:t>2000元/生/年</w:t>
            </w:r>
          </w:p>
        </w:tc>
        <w:tc>
          <w:tcPr>
            <w:tcW w:w="1276" w:type="dxa"/>
            <w:vAlign w:val="center"/>
          </w:tcPr>
          <w:p w14:paraId="211798C3">
            <w:pPr>
              <w:pStyle w:val="12"/>
            </w:pPr>
            <w:r>
              <w:t>隆尧县中职免学费管理办法</w:t>
            </w:r>
          </w:p>
        </w:tc>
      </w:tr>
      <w:tr w14:paraId="78C2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CC434">
            <w:pPr>
              <w:pStyle w:val="13"/>
            </w:pPr>
            <w:r>
              <w:t>效益指标</w:t>
            </w:r>
          </w:p>
        </w:tc>
        <w:tc>
          <w:tcPr>
            <w:tcW w:w="2268" w:type="dxa"/>
            <w:vAlign w:val="center"/>
          </w:tcPr>
          <w:p w14:paraId="4D05FF41">
            <w:pPr>
              <w:pStyle w:val="12"/>
            </w:pPr>
            <w:r>
              <w:t>经济效益指标</w:t>
            </w:r>
          </w:p>
        </w:tc>
        <w:tc>
          <w:tcPr>
            <w:tcW w:w="2835" w:type="dxa"/>
            <w:vAlign w:val="center"/>
          </w:tcPr>
          <w:p w14:paraId="72C153BA">
            <w:pPr>
              <w:pStyle w:val="12"/>
            </w:pPr>
            <w:r>
              <w:t>减轻家庭负担</w:t>
            </w:r>
          </w:p>
        </w:tc>
        <w:tc>
          <w:tcPr>
            <w:tcW w:w="5386" w:type="dxa"/>
            <w:vAlign w:val="center"/>
          </w:tcPr>
          <w:p w14:paraId="0D707486">
            <w:pPr>
              <w:pStyle w:val="12"/>
            </w:pPr>
            <w:r>
              <w:t>增加贫困家庭经济收入</w:t>
            </w:r>
          </w:p>
        </w:tc>
        <w:tc>
          <w:tcPr>
            <w:tcW w:w="2268" w:type="dxa"/>
            <w:vAlign w:val="center"/>
          </w:tcPr>
          <w:p w14:paraId="725DE56C">
            <w:pPr>
              <w:pStyle w:val="12"/>
            </w:pPr>
            <w:r>
              <w:t>≥98%</w:t>
            </w:r>
          </w:p>
        </w:tc>
        <w:tc>
          <w:tcPr>
            <w:tcW w:w="1276" w:type="dxa"/>
            <w:vAlign w:val="center"/>
          </w:tcPr>
          <w:p w14:paraId="731C5A22">
            <w:pPr>
              <w:pStyle w:val="12"/>
            </w:pPr>
            <w:r>
              <w:t>隆尧县中职免学费管理办法</w:t>
            </w:r>
          </w:p>
        </w:tc>
      </w:tr>
      <w:tr w14:paraId="16A2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DC4A2"/>
        </w:tc>
        <w:tc>
          <w:tcPr>
            <w:tcW w:w="2268" w:type="dxa"/>
            <w:vAlign w:val="center"/>
          </w:tcPr>
          <w:p w14:paraId="48E9A76E">
            <w:pPr>
              <w:pStyle w:val="12"/>
            </w:pPr>
            <w:r>
              <w:t>社会效益指标</w:t>
            </w:r>
          </w:p>
        </w:tc>
        <w:tc>
          <w:tcPr>
            <w:tcW w:w="2835" w:type="dxa"/>
            <w:vAlign w:val="center"/>
          </w:tcPr>
          <w:p w14:paraId="52B6E4F4">
            <w:pPr>
              <w:pStyle w:val="12"/>
            </w:pPr>
            <w:r>
              <w:t>中职运转</w:t>
            </w:r>
          </w:p>
        </w:tc>
        <w:tc>
          <w:tcPr>
            <w:tcW w:w="5386" w:type="dxa"/>
            <w:vAlign w:val="center"/>
          </w:tcPr>
          <w:p w14:paraId="4C8D67C9">
            <w:pPr>
              <w:pStyle w:val="12"/>
            </w:pPr>
            <w:r>
              <w:t>高中受教育年限</w:t>
            </w:r>
          </w:p>
        </w:tc>
        <w:tc>
          <w:tcPr>
            <w:tcW w:w="2268" w:type="dxa"/>
            <w:vAlign w:val="center"/>
          </w:tcPr>
          <w:p w14:paraId="0620766B">
            <w:pPr>
              <w:pStyle w:val="12"/>
            </w:pPr>
            <w:r>
              <w:t>3年</w:t>
            </w:r>
          </w:p>
        </w:tc>
        <w:tc>
          <w:tcPr>
            <w:tcW w:w="1276" w:type="dxa"/>
            <w:vAlign w:val="center"/>
          </w:tcPr>
          <w:p w14:paraId="705A33EF">
            <w:pPr>
              <w:pStyle w:val="12"/>
            </w:pPr>
            <w:r>
              <w:t>隆尧县中职免学费管理办法</w:t>
            </w:r>
          </w:p>
        </w:tc>
      </w:tr>
      <w:tr w14:paraId="28A2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5B26F">
            <w:pPr>
              <w:pStyle w:val="13"/>
            </w:pPr>
            <w:r>
              <w:t>满意度指标</w:t>
            </w:r>
          </w:p>
        </w:tc>
        <w:tc>
          <w:tcPr>
            <w:tcW w:w="2268" w:type="dxa"/>
            <w:vAlign w:val="center"/>
          </w:tcPr>
          <w:p w14:paraId="4A3C4DC7">
            <w:pPr>
              <w:pStyle w:val="12"/>
            </w:pPr>
            <w:r>
              <w:t>服务对象满意度指标</w:t>
            </w:r>
          </w:p>
        </w:tc>
        <w:tc>
          <w:tcPr>
            <w:tcW w:w="2835" w:type="dxa"/>
            <w:vAlign w:val="center"/>
          </w:tcPr>
          <w:p w14:paraId="40BBF38C">
            <w:pPr>
              <w:pStyle w:val="12"/>
            </w:pPr>
            <w:r>
              <w:t>提升幸福指数</w:t>
            </w:r>
          </w:p>
        </w:tc>
        <w:tc>
          <w:tcPr>
            <w:tcW w:w="5386" w:type="dxa"/>
            <w:vAlign w:val="center"/>
          </w:tcPr>
          <w:p w14:paraId="422275DA">
            <w:pPr>
              <w:pStyle w:val="12"/>
            </w:pPr>
            <w:r>
              <w:t>提升贫困家庭学生的幸福指数学生家长满</w:t>
            </w:r>
            <w:r>
              <w:rPr>
                <w:rFonts w:hint="eastAsia"/>
                <w:lang w:eastAsia="zh-CN"/>
              </w:rPr>
              <w:t>意度</w:t>
            </w:r>
          </w:p>
        </w:tc>
        <w:tc>
          <w:tcPr>
            <w:tcW w:w="2268" w:type="dxa"/>
            <w:vAlign w:val="center"/>
          </w:tcPr>
          <w:p w14:paraId="138AD7B8">
            <w:pPr>
              <w:pStyle w:val="12"/>
            </w:pPr>
            <w:r>
              <w:t>≥95%</w:t>
            </w:r>
          </w:p>
        </w:tc>
        <w:tc>
          <w:tcPr>
            <w:tcW w:w="1276" w:type="dxa"/>
            <w:vAlign w:val="center"/>
          </w:tcPr>
          <w:p w14:paraId="3BF78755">
            <w:pPr>
              <w:pStyle w:val="12"/>
            </w:pPr>
            <w:r>
              <w:t>隆尧县中职免学费管理办法</w:t>
            </w:r>
          </w:p>
        </w:tc>
      </w:tr>
    </w:tbl>
    <w:p w14:paraId="03288A26">
      <w:pPr>
        <w:sectPr>
          <w:pgSz w:w="16840" w:h="11900" w:orient="landscape"/>
          <w:pgMar w:top="1361" w:right="1020" w:bottom="1134" w:left="1020" w:header="720" w:footer="720" w:gutter="0"/>
          <w:cols w:space="720" w:num="1"/>
        </w:sectPr>
      </w:pPr>
    </w:p>
    <w:p w14:paraId="180B7F32">
      <w:pPr>
        <w:spacing w:before="0" w:after="0"/>
        <w:ind w:firstLine="560"/>
        <w:jc w:val="left"/>
        <w:outlineLvl w:val="9"/>
      </w:pPr>
      <w:r>
        <w:rPr>
          <w:rFonts w:ascii="方正仿宋_GBK" w:hAnsi="方正仿宋_GBK" w:eastAsia="方正仿宋_GBK" w:cs="方正仿宋_GBK"/>
          <w:b/>
          <w:color w:val="000000"/>
          <w:sz w:val="28"/>
        </w:rPr>
        <w:t>4、冀财教[2025]116号/中央/2026年学生资助/中职助学金（职教中职）</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96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208DD">
            <w:pPr>
              <w:pStyle w:val="11"/>
            </w:pPr>
            <w:r>
              <w:t>单位：万元</w:t>
            </w:r>
          </w:p>
        </w:tc>
      </w:tr>
      <w:tr w14:paraId="382B3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A5527">
            <w:pPr>
              <w:pStyle w:val="10"/>
            </w:pPr>
            <w:r>
              <w:t>项目编码</w:t>
            </w:r>
          </w:p>
        </w:tc>
        <w:tc>
          <w:tcPr>
            <w:tcW w:w="5103" w:type="dxa"/>
            <w:gridSpan w:val="2"/>
            <w:vAlign w:val="center"/>
          </w:tcPr>
          <w:p w14:paraId="2B9D8860">
            <w:pPr>
              <w:pStyle w:val="12"/>
            </w:pPr>
            <w:r>
              <w:t>13052526P00001210055P</w:t>
            </w:r>
          </w:p>
        </w:tc>
        <w:tc>
          <w:tcPr>
            <w:tcW w:w="2835" w:type="dxa"/>
            <w:vAlign w:val="center"/>
          </w:tcPr>
          <w:p w14:paraId="5E3926C9">
            <w:pPr>
              <w:pStyle w:val="10"/>
            </w:pPr>
            <w:r>
              <w:t>项目名称</w:t>
            </w:r>
          </w:p>
        </w:tc>
        <w:tc>
          <w:tcPr>
            <w:tcW w:w="6095" w:type="dxa"/>
            <w:gridSpan w:val="3"/>
            <w:vAlign w:val="center"/>
          </w:tcPr>
          <w:p w14:paraId="228DC1C4">
            <w:pPr>
              <w:pStyle w:val="12"/>
            </w:pPr>
            <w:r>
              <w:t>冀财教[2025]116号/中央/2026年学生资助/中职助学金（职教中职）</w:t>
            </w:r>
            <w:r>
              <w:tab/>
            </w:r>
          </w:p>
        </w:tc>
      </w:tr>
      <w:tr w14:paraId="2B4E6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E56F0">
            <w:pPr>
              <w:pStyle w:val="10"/>
            </w:pPr>
            <w:r>
              <w:t>预算规模及资金用途</w:t>
            </w:r>
          </w:p>
        </w:tc>
        <w:tc>
          <w:tcPr>
            <w:tcW w:w="2268" w:type="dxa"/>
            <w:vAlign w:val="center"/>
          </w:tcPr>
          <w:p w14:paraId="4CC969F0">
            <w:pPr>
              <w:pStyle w:val="10"/>
            </w:pPr>
            <w:r>
              <w:t>预算数</w:t>
            </w:r>
          </w:p>
        </w:tc>
        <w:tc>
          <w:tcPr>
            <w:tcW w:w="2835" w:type="dxa"/>
            <w:vAlign w:val="center"/>
          </w:tcPr>
          <w:p w14:paraId="726BBCB4">
            <w:pPr>
              <w:pStyle w:val="12"/>
            </w:pPr>
            <w:r>
              <w:t>72.50</w:t>
            </w:r>
          </w:p>
        </w:tc>
        <w:tc>
          <w:tcPr>
            <w:tcW w:w="2835" w:type="dxa"/>
            <w:vAlign w:val="center"/>
          </w:tcPr>
          <w:p w14:paraId="07F8CC89">
            <w:pPr>
              <w:pStyle w:val="10"/>
            </w:pPr>
            <w:r>
              <w:t>其中：财政    资金</w:t>
            </w:r>
          </w:p>
        </w:tc>
        <w:tc>
          <w:tcPr>
            <w:tcW w:w="2551" w:type="dxa"/>
            <w:vAlign w:val="center"/>
          </w:tcPr>
          <w:p w14:paraId="6472DC96">
            <w:pPr>
              <w:pStyle w:val="12"/>
            </w:pPr>
            <w:r>
              <w:t>72.50</w:t>
            </w:r>
          </w:p>
        </w:tc>
        <w:tc>
          <w:tcPr>
            <w:tcW w:w="2268" w:type="dxa"/>
            <w:vAlign w:val="center"/>
          </w:tcPr>
          <w:p w14:paraId="1D48D591">
            <w:pPr>
              <w:pStyle w:val="10"/>
            </w:pPr>
            <w:r>
              <w:t>其他资金</w:t>
            </w:r>
          </w:p>
        </w:tc>
        <w:tc>
          <w:tcPr>
            <w:tcW w:w="1276" w:type="dxa"/>
            <w:vAlign w:val="center"/>
          </w:tcPr>
          <w:p w14:paraId="14858FC7">
            <w:pPr>
              <w:pStyle w:val="12"/>
            </w:pPr>
            <w:r>
              <w:t xml:space="preserve"> </w:t>
            </w:r>
          </w:p>
        </w:tc>
      </w:tr>
      <w:tr w14:paraId="14EB5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A0C42"/>
        </w:tc>
        <w:tc>
          <w:tcPr>
            <w:tcW w:w="14033" w:type="dxa"/>
            <w:gridSpan w:val="6"/>
            <w:vAlign w:val="center"/>
          </w:tcPr>
          <w:p w14:paraId="552980CD">
            <w:pPr>
              <w:pStyle w:val="12"/>
            </w:pPr>
            <w:r>
              <w:t>中央安排中职助学金72.5万元，用于资助中职贫困学生完成学业</w:t>
            </w:r>
          </w:p>
        </w:tc>
      </w:tr>
      <w:tr w14:paraId="2CC8F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CC366">
            <w:pPr>
              <w:pStyle w:val="10"/>
            </w:pPr>
            <w:r>
              <w:t>资金支出计划（%）</w:t>
            </w:r>
          </w:p>
        </w:tc>
        <w:tc>
          <w:tcPr>
            <w:tcW w:w="5103" w:type="dxa"/>
            <w:gridSpan w:val="2"/>
            <w:vAlign w:val="center"/>
          </w:tcPr>
          <w:p w14:paraId="4F3A169B">
            <w:pPr>
              <w:pStyle w:val="10"/>
            </w:pPr>
            <w:r>
              <w:t>3月底</w:t>
            </w:r>
          </w:p>
        </w:tc>
        <w:tc>
          <w:tcPr>
            <w:tcW w:w="2835" w:type="dxa"/>
            <w:vAlign w:val="center"/>
          </w:tcPr>
          <w:p w14:paraId="216BB454">
            <w:pPr>
              <w:pStyle w:val="10"/>
            </w:pPr>
            <w:r>
              <w:t>6月底</w:t>
            </w:r>
          </w:p>
        </w:tc>
        <w:tc>
          <w:tcPr>
            <w:tcW w:w="2551" w:type="dxa"/>
            <w:vAlign w:val="center"/>
          </w:tcPr>
          <w:p w14:paraId="2E4FE977">
            <w:pPr>
              <w:pStyle w:val="10"/>
            </w:pPr>
            <w:r>
              <w:t>10月底</w:t>
            </w:r>
          </w:p>
        </w:tc>
        <w:tc>
          <w:tcPr>
            <w:tcW w:w="3544" w:type="dxa"/>
            <w:gridSpan w:val="2"/>
            <w:vAlign w:val="center"/>
          </w:tcPr>
          <w:p w14:paraId="04B99440">
            <w:pPr>
              <w:pStyle w:val="10"/>
            </w:pPr>
            <w:r>
              <w:t>12月底</w:t>
            </w:r>
          </w:p>
        </w:tc>
      </w:tr>
      <w:tr w14:paraId="415A6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2D56C"/>
        </w:tc>
        <w:tc>
          <w:tcPr>
            <w:tcW w:w="5103" w:type="dxa"/>
            <w:gridSpan w:val="2"/>
            <w:vAlign w:val="center"/>
          </w:tcPr>
          <w:p w14:paraId="284616AB">
            <w:pPr>
              <w:pStyle w:val="13"/>
            </w:pPr>
            <w:r>
              <w:t xml:space="preserve"> </w:t>
            </w:r>
          </w:p>
        </w:tc>
        <w:tc>
          <w:tcPr>
            <w:tcW w:w="2835" w:type="dxa"/>
            <w:vAlign w:val="center"/>
          </w:tcPr>
          <w:p w14:paraId="78D0D0A1">
            <w:pPr>
              <w:pStyle w:val="13"/>
            </w:pPr>
            <w:r>
              <w:t>50%</w:t>
            </w:r>
          </w:p>
        </w:tc>
        <w:tc>
          <w:tcPr>
            <w:tcW w:w="2551" w:type="dxa"/>
            <w:vAlign w:val="center"/>
          </w:tcPr>
          <w:p w14:paraId="61287D03">
            <w:pPr>
              <w:pStyle w:val="13"/>
            </w:pPr>
            <w:r>
              <w:t>50%</w:t>
            </w:r>
          </w:p>
        </w:tc>
        <w:tc>
          <w:tcPr>
            <w:tcW w:w="3544" w:type="dxa"/>
            <w:gridSpan w:val="2"/>
            <w:vAlign w:val="center"/>
          </w:tcPr>
          <w:p w14:paraId="1C59D305">
            <w:pPr>
              <w:pStyle w:val="13"/>
            </w:pPr>
            <w:r>
              <w:t>100%</w:t>
            </w:r>
          </w:p>
        </w:tc>
      </w:tr>
      <w:tr w14:paraId="49598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60312">
            <w:pPr>
              <w:pStyle w:val="10"/>
            </w:pPr>
            <w:r>
              <w:t>绩效目标</w:t>
            </w:r>
          </w:p>
        </w:tc>
        <w:tc>
          <w:tcPr>
            <w:tcW w:w="14033" w:type="dxa"/>
            <w:gridSpan w:val="6"/>
            <w:vAlign w:val="center"/>
          </w:tcPr>
          <w:p w14:paraId="4B2F090A">
            <w:pPr>
              <w:pStyle w:val="12"/>
            </w:pPr>
            <w:r>
              <w:t>1.中央安排中职助学金72.5万元，用于资助中职贫困学生完成学业</w:t>
            </w:r>
          </w:p>
        </w:tc>
      </w:tr>
    </w:tbl>
    <w:p w14:paraId="707B4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A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63D5B">
            <w:pPr>
              <w:pStyle w:val="10"/>
            </w:pPr>
            <w:r>
              <w:t>一级指标</w:t>
            </w:r>
          </w:p>
        </w:tc>
        <w:tc>
          <w:tcPr>
            <w:tcW w:w="2268" w:type="dxa"/>
            <w:vAlign w:val="center"/>
          </w:tcPr>
          <w:p w14:paraId="38D5854E">
            <w:pPr>
              <w:pStyle w:val="10"/>
            </w:pPr>
            <w:r>
              <w:t>二级指标</w:t>
            </w:r>
          </w:p>
        </w:tc>
        <w:tc>
          <w:tcPr>
            <w:tcW w:w="2835" w:type="dxa"/>
            <w:vAlign w:val="center"/>
          </w:tcPr>
          <w:p w14:paraId="4D4F5C95">
            <w:pPr>
              <w:pStyle w:val="10"/>
            </w:pPr>
            <w:r>
              <w:t>三级指标</w:t>
            </w:r>
          </w:p>
        </w:tc>
        <w:tc>
          <w:tcPr>
            <w:tcW w:w="5386" w:type="dxa"/>
            <w:vAlign w:val="center"/>
          </w:tcPr>
          <w:p w14:paraId="763793B3">
            <w:pPr>
              <w:pStyle w:val="10"/>
            </w:pPr>
            <w:r>
              <w:t>绩效指标描述</w:t>
            </w:r>
          </w:p>
        </w:tc>
        <w:tc>
          <w:tcPr>
            <w:tcW w:w="2268" w:type="dxa"/>
            <w:vAlign w:val="center"/>
          </w:tcPr>
          <w:p w14:paraId="7A1B4B5F">
            <w:pPr>
              <w:pStyle w:val="10"/>
            </w:pPr>
            <w:r>
              <w:t>指标值</w:t>
            </w:r>
          </w:p>
        </w:tc>
        <w:tc>
          <w:tcPr>
            <w:tcW w:w="1276" w:type="dxa"/>
            <w:vAlign w:val="center"/>
          </w:tcPr>
          <w:p w14:paraId="0179AF04">
            <w:pPr>
              <w:pStyle w:val="10"/>
            </w:pPr>
            <w:r>
              <w:t>指标值确定依据</w:t>
            </w:r>
          </w:p>
        </w:tc>
      </w:tr>
      <w:tr w14:paraId="21C8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9EAC9">
            <w:pPr>
              <w:pStyle w:val="13"/>
            </w:pPr>
            <w:r>
              <w:t>产出指标</w:t>
            </w:r>
          </w:p>
        </w:tc>
        <w:tc>
          <w:tcPr>
            <w:tcW w:w="2268" w:type="dxa"/>
            <w:vAlign w:val="center"/>
          </w:tcPr>
          <w:p w14:paraId="24CFEBCF">
            <w:pPr>
              <w:pStyle w:val="12"/>
            </w:pPr>
            <w:r>
              <w:t>数量指标</w:t>
            </w:r>
          </w:p>
        </w:tc>
        <w:tc>
          <w:tcPr>
            <w:tcW w:w="2835" w:type="dxa"/>
            <w:vAlign w:val="center"/>
          </w:tcPr>
          <w:p w14:paraId="5E98EB65">
            <w:pPr>
              <w:pStyle w:val="12"/>
            </w:pPr>
            <w:r>
              <w:t>中职享受助学金人数</w:t>
            </w:r>
          </w:p>
        </w:tc>
        <w:tc>
          <w:tcPr>
            <w:tcW w:w="5386" w:type="dxa"/>
            <w:vAlign w:val="center"/>
          </w:tcPr>
          <w:p w14:paraId="26E865CC">
            <w:pPr>
              <w:pStyle w:val="12"/>
            </w:pPr>
            <w:r>
              <w:t>中职享受助学金人数</w:t>
            </w:r>
          </w:p>
        </w:tc>
        <w:tc>
          <w:tcPr>
            <w:tcW w:w="2268" w:type="dxa"/>
            <w:vAlign w:val="center"/>
          </w:tcPr>
          <w:p w14:paraId="62C2F64E">
            <w:pPr>
              <w:pStyle w:val="12"/>
            </w:pPr>
            <w:r>
              <w:t>567人</w:t>
            </w:r>
          </w:p>
        </w:tc>
        <w:tc>
          <w:tcPr>
            <w:tcW w:w="1276" w:type="dxa"/>
            <w:vAlign w:val="center"/>
          </w:tcPr>
          <w:p w14:paraId="05F49DAE">
            <w:pPr>
              <w:pStyle w:val="12"/>
            </w:pPr>
            <w:r>
              <w:t>【隆尧县中等职业学校国家助学金管理办法的通知】隆财【2018】105号，</w:t>
            </w:r>
          </w:p>
        </w:tc>
      </w:tr>
      <w:tr w14:paraId="1295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33928"/>
        </w:tc>
        <w:tc>
          <w:tcPr>
            <w:tcW w:w="2268" w:type="dxa"/>
            <w:vAlign w:val="center"/>
          </w:tcPr>
          <w:p w14:paraId="599E1B89">
            <w:pPr>
              <w:pStyle w:val="12"/>
            </w:pPr>
            <w:r>
              <w:t>质量指标</w:t>
            </w:r>
          </w:p>
        </w:tc>
        <w:tc>
          <w:tcPr>
            <w:tcW w:w="2835" w:type="dxa"/>
            <w:vAlign w:val="center"/>
          </w:tcPr>
          <w:p w14:paraId="270140D4">
            <w:pPr>
              <w:pStyle w:val="12"/>
            </w:pPr>
            <w:r>
              <w:t>完成助学金发放工作</w:t>
            </w:r>
          </w:p>
        </w:tc>
        <w:tc>
          <w:tcPr>
            <w:tcW w:w="5386" w:type="dxa"/>
            <w:vAlign w:val="center"/>
          </w:tcPr>
          <w:p w14:paraId="50F6098E">
            <w:pPr>
              <w:pStyle w:val="12"/>
            </w:pPr>
            <w:r>
              <w:t>涉农专业学生及其他专业贫困生</w:t>
            </w:r>
          </w:p>
        </w:tc>
        <w:tc>
          <w:tcPr>
            <w:tcW w:w="2268" w:type="dxa"/>
            <w:vAlign w:val="center"/>
          </w:tcPr>
          <w:p w14:paraId="2BE7AFA9">
            <w:pPr>
              <w:pStyle w:val="12"/>
            </w:pPr>
            <w:r>
              <w:t>567人</w:t>
            </w:r>
          </w:p>
        </w:tc>
        <w:tc>
          <w:tcPr>
            <w:tcW w:w="1276" w:type="dxa"/>
            <w:vAlign w:val="center"/>
          </w:tcPr>
          <w:p w14:paraId="5CFAACD8">
            <w:pPr>
              <w:pStyle w:val="12"/>
            </w:pPr>
            <w:r>
              <w:t>【隆尧县中等职业学校国家助学金管理办法的通知】隆财【2018】105号，</w:t>
            </w:r>
          </w:p>
        </w:tc>
      </w:tr>
      <w:tr w14:paraId="2A34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6C884"/>
        </w:tc>
        <w:tc>
          <w:tcPr>
            <w:tcW w:w="2268" w:type="dxa"/>
            <w:vAlign w:val="center"/>
          </w:tcPr>
          <w:p w14:paraId="3EF6D38A">
            <w:pPr>
              <w:pStyle w:val="12"/>
            </w:pPr>
            <w:r>
              <w:t>时效指标</w:t>
            </w:r>
          </w:p>
        </w:tc>
        <w:tc>
          <w:tcPr>
            <w:tcW w:w="2835" w:type="dxa"/>
            <w:vAlign w:val="center"/>
          </w:tcPr>
          <w:p w14:paraId="6CC92B4A">
            <w:pPr>
              <w:pStyle w:val="12"/>
            </w:pPr>
            <w:r>
              <w:t>助学金及时足额发放</w:t>
            </w:r>
          </w:p>
        </w:tc>
        <w:tc>
          <w:tcPr>
            <w:tcW w:w="5386" w:type="dxa"/>
            <w:vAlign w:val="center"/>
          </w:tcPr>
          <w:p w14:paraId="561F0A34">
            <w:pPr>
              <w:pStyle w:val="12"/>
            </w:pPr>
            <w:r>
              <w:t>助学金及时足额发放率</w:t>
            </w:r>
          </w:p>
        </w:tc>
        <w:tc>
          <w:tcPr>
            <w:tcW w:w="2268" w:type="dxa"/>
            <w:vAlign w:val="center"/>
          </w:tcPr>
          <w:p w14:paraId="5B22945F">
            <w:pPr>
              <w:pStyle w:val="12"/>
            </w:pPr>
            <w:r>
              <w:t>100%</w:t>
            </w:r>
          </w:p>
        </w:tc>
        <w:tc>
          <w:tcPr>
            <w:tcW w:w="1276" w:type="dxa"/>
            <w:vAlign w:val="center"/>
          </w:tcPr>
          <w:p w14:paraId="7FA28FCD">
            <w:pPr>
              <w:pStyle w:val="12"/>
            </w:pPr>
            <w:r>
              <w:t>【隆尧县中等职业学校国家助学金管理办法的通知】隆财【2018】105号，</w:t>
            </w:r>
          </w:p>
        </w:tc>
      </w:tr>
      <w:tr w14:paraId="63A4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25522"/>
        </w:tc>
        <w:tc>
          <w:tcPr>
            <w:tcW w:w="2268" w:type="dxa"/>
            <w:vAlign w:val="center"/>
          </w:tcPr>
          <w:p w14:paraId="20D0490A">
            <w:pPr>
              <w:pStyle w:val="12"/>
            </w:pPr>
            <w:r>
              <w:t>成本指标</w:t>
            </w:r>
          </w:p>
        </w:tc>
        <w:tc>
          <w:tcPr>
            <w:tcW w:w="2835" w:type="dxa"/>
            <w:vAlign w:val="center"/>
          </w:tcPr>
          <w:p w14:paraId="7D6A3670">
            <w:pPr>
              <w:pStyle w:val="12"/>
            </w:pPr>
            <w:r>
              <w:t>中职助学金标准</w:t>
            </w:r>
          </w:p>
        </w:tc>
        <w:tc>
          <w:tcPr>
            <w:tcW w:w="5386" w:type="dxa"/>
            <w:vAlign w:val="center"/>
          </w:tcPr>
          <w:p w14:paraId="04FE77F7">
            <w:pPr>
              <w:pStyle w:val="12"/>
            </w:pPr>
            <w:r>
              <w:t>中职助学金资助标准2300/生/年</w:t>
            </w:r>
          </w:p>
        </w:tc>
        <w:tc>
          <w:tcPr>
            <w:tcW w:w="2268" w:type="dxa"/>
            <w:vAlign w:val="center"/>
          </w:tcPr>
          <w:p w14:paraId="0D07572C">
            <w:pPr>
              <w:pStyle w:val="12"/>
            </w:pPr>
            <w:r>
              <w:t>2300元</w:t>
            </w:r>
          </w:p>
        </w:tc>
        <w:tc>
          <w:tcPr>
            <w:tcW w:w="1276" w:type="dxa"/>
            <w:vAlign w:val="center"/>
          </w:tcPr>
          <w:p w14:paraId="4F6E2DB7">
            <w:pPr>
              <w:pStyle w:val="12"/>
            </w:pPr>
            <w:r>
              <w:t>【隆尧县中等职业学校国家助学金管理办法的通知】隆财【2018】105号，</w:t>
            </w:r>
          </w:p>
        </w:tc>
      </w:tr>
      <w:tr w14:paraId="11BA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885DA">
            <w:pPr>
              <w:pStyle w:val="13"/>
            </w:pPr>
            <w:r>
              <w:t>效益指标</w:t>
            </w:r>
          </w:p>
        </w:tc>
        <w:tc>
          <w:tcPr>
            <w:tcW w:w="2268" w:type="dxa"/>
            <w:vAlign w:val="center"/>
          </w:tcPr>
          <w:p w14:paraId="63373D92">
            <w:pPr>
              <w:pStyle w:val="12"/>
            </w:pPr>
            <w:r>
              <w:t>经济效益指标</w:t>
            </w:r>
          </w:p>
        </w:tc>
        <w:tc>
          <w:tcPr>
            <w:tcW w:w="2835" w:type="dxa"/>
            <w:vAlign w:val="center"/>
          </w:tcPr>
          <w:p w14:paraId="0656C0EF">
            <w:pPr>
              <w:pStyle w:val="12"/>
            </w:pPr>
            <w:r>
              <w:t>减轻贫困家庭负担</w:t>
            </w:r>
          </w:p>
        </w:tc>
        <w:tc>
          <w:tcPr>
            <w:tcW w:w="5386" w:type="dxa"/>
            <w:vAlign w:val="center"/>
          </w:tcPr>
          <w:p w14:paraId="1885A067">
            <w:pPr>
              <w:pStyle w:val="12"/>
            </w:pPr>
            <w:r>
              <w:t>减轻贫困家庭负担</w:t>
            </w:r>
          </w:p>
        </w:tc>
        <w:tc>
          <w:tcPr>
            <w:tcW w:w="2268" w:type="dxa"/>
            <w:vAlign w:val="center"/>
          </w:tcPr>
          <w:p w14:paraId="6922A124">
            <w:pPr>
              <w:pStyle w:val="12"/>
            </w:pPr>
            <w:r>
              <w:t>100%</w:t>
            </w:r>
          </w:p>
        </w:tc>
        <w:tc>
          <w:tcPr>
            <w:tcW w:w="1276" w:type="dxa"/>
            <w:vAlign w:val="center"/>
          </w:tcPr>
          <w:p w14:paraId="237EE1CF">
            <w:pPr>
              <w:pStyle w:val="12"/>
            </w:pPr>
            <w:r>
              <w:t>【隆尧县中等职业学校国家助学金管理办法的通知】隆财【2018】105号，</w:t>
            </w:r>
          </w:p>
        </w:tc>
      </w:tr>
      <w:tr w14:paraId="29DE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8788F"/>
        </w:tc>
        <w:tc>
          <w:tcPr>
            <w:tcW w:w="2268" w:type="dxa"/>
            <w:vAlign w:val="center"/>
          </w:tcPr>
          <w:p w14:paraId="740C43AE">
            <w:pPr>
              <w:pStyle w:val="12"/>
            </w:pPr>
            <w:r>
              <w:t>社会效益指标</w:t>
            </w:r>
          </w:p>
        </w:tc>
        <w:tc>
          <w:tcPr>
            <w:tcW w:w="2835" w:type="dxa"/>
            <w:vAlign w:val="center"/>
          </w:tcPr>
          <w:p w14:paraId="46E7829B">
            <w:pPr>
              <w:pStyle w:val="12"/>
            </w:pPr>
            <w:r>
              <w:t>中职运转</w:t>
            </w:r>
          </w:p>
        </w:tc>
        <w:tc>
          <w:tcPr>
            <w:tcW w:w="5386" w:type="dxa"/>
            <w:vAlign w:val="center"/>
          </w:tcPr>
          <w:p w14:paraId="24612AA6">
            <w:pPr>
              <w:pStyle w:val="12"/>
            </w:pPr>
            <w:r>
              <w:t>中职生受教育年限</w:t>
            </w:r>
          </w:p>
        </w:tc>
        <w:tc>
          <w:tcPr>
            <w:tcW w:w="2268" w:type="dxa"/>
            <w:vAlign w:val="center"/>
          </w:tcPr>
          <w:p w14:paraId="4E486E74">
            <w:pPr>
              <w:pStyle w:val="12"/>
            </w:pPr>
            <w:r>
              <w:t>3年</w:t>
            </w:r>
          </w:p>
        </w:tc>
        <w:tc>
          <w:tcPr>
            <w:tcW w:w="1276" w:type="dxa"/>
            <w:vAlign w:val="center"/>
          </w:tcPr>
          <w:p w14:paraId="58691D98">
            <w:pPr>
              <w:pStyle w:val="12"/>
            </w:pPr>
            <w:r>
              <w:t>【隆尧县中等职业学校国家助学金管理办法的通知】隆财【2018】105号，</w:t>
            </w:r>
          </w:p>
        </w:tc>
      </w:tr>
      <w:tr w14:paraId="14A0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C5163">
            <w:pPr>
              <w:pStyle w:val="13"/>
            </w:pPr>
            <w:r>
              <w:t>满意度指标</w:t>
            </w:r>
          </w:p>
        </w:tc>
        <w:tc>
          <w:tcPr>
            <w:tcW w:w="2268" w:type="dxa"/>
            <w:vAlign w:val="center"/>
          </w:tcPr>
          <w:p w14:paraId="0780D127">
            <w:pPr>
              <w:pStyle w:val="12"/>
            </w:pPr>
            <w:r>
              <w:t>服务对象满意度指标</w:t>
            </w:r>
          </w:p>
        </w:tc>
        <w:tc>
          <w:tcPr>
            <w:tcW w:w="2835" w:type="dxa"/>
            <w:vAlign w:val="center"/>
          </w:tcPr>
          <w:p w14:paraId="503BAFF8">
            <w:pPr>
              <w:pStyle w:val="12"/>
            </w:pPr>
            <w:r>
              <w:t>学生家长</w:t>
            </w:r>
          </w:p>
        </w:tc>
        <w:tc>
          <w:tcPr>
            <w:tcW w:w="5386" w:type="dxa"/>
            <w:vAlign w:val="center"/>
          </w:tcPr>
          <w:p w14:paraId="3067905D">
            <w:pPr>
              <w:pStyle w:val="12"/>
            </w:pPr>
            <w:r>
              <w:t>学生家长满意度</w:t>
            </w:r>
          </w:p>
        </w:tc>
        <w:tc>
          <w:tcPr>
            <w:tcW w:w="2268" w:type="dxa"/>
            <w:vAlign w:val="center"/>
          </w:tcPr>
          <w:p w14:paraId="3A979A85">
            <w:pPr>
              <w:pStyle w:val="12"/>
            </w:pPr>
            <w:r>
              <w:t>≥95%</w:t>
            </w:r>
          </w:p>
        </w:tc>
        <w:tc>
          <w:tcPr>
            <w:tcW w:w="1276" w:type="dxa"/>
            <w:vAlign w:val="center"/>
          </w:tcPr>
          <w:p w14:paraId="11C14F89">
            <w:pPr>
              <w:pStyle w:val="12"/>
            </w:pPr>
            <w:r>
              <w:t>【隆尧县中等职业学校国家助学金管理办法的通知】隆财【2018】105号，</w:t>
            </w:r>
          </w:p>
        </w:tc>
      </w:tr>
    </w:tbl>
    <w:p w14:paraId="71C2B37F">
      <w:pPr>
        <w:sectPr>
          <w:pgSz w:w="16840" w:h="11900" w:orient="landscape"/>
          <w:pgMar w:top="1361" w:right="1020" w:bottom="1134" w:left="1020" w:header="720" w:footer="720" w:gutter="0"/>
          <w:cols w:space="720" w:num="1"/>
        </w:sectPr>
      </w:pPr>
    </w:p>
    <w:p w14:paraId="3BF38228">
      <w:pPr>
        <w:spacing w:before="0" w:after="0"/>
        <w:ind w:firstLine="560"/>
        <w:jc w:val="left"/>
        <w:outlineLvl w:val="9"/>
      </w:pPr>
      <w:r>
        <w:rPr>
          <w:rFonts w:ascii="方正仿宋_GBK" w:hAnsi="方正仿宋_GBK" w:eastAsia="方正仿宋_GBK" w:cs="方正仿宋_GBK"/>
          <w:b/>
          <w:color w:val="000000"/>
          <w:sz w:val="28"/>
        </w:rPr>
        <w:t>5、冀财教[2025]118号/中央/2026年现代职业教育质量提升计划/隆尧县职教中心设备购置绩效目标表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A0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E0408">
            <w:pPr>
              <w:pStyle w:val="11"/>
            </w:pPr>
            <w:r>
              <w:t>单位：万元</w:t>
            </w:r>
          </w:p>
        </w:tc>
      </w:tr>
      <w:tr w14:paraId="2A8D4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81C89">
            <w:pPr>
              <w:pStyle w:val="10"/>
            </w:pPr>
            <w:r>
              <w:t>项目编码</w:t>
            </w:r>
          </w:p>
        </w:tc>
        <w:tc>
          <w:tcPr>
            <w:tcW w:w="5103" w:type="dxa"/>
            <w:gridSpan w:val="2"/>
            <w:vAlign w:val="center"/>
          </w:tcPr>
          <w:p w14:paraId="00C2A671">
            <w:pPr>
              <w:pStyle w:val="12"/>
            </w:pPr>
            <w:r>
              <w:t>13052526P00876810005D</w:t>
            </w:r>
          </w:p>
        </w:tc>
        <w:tc>
          <w:tcPr>
            <w:tcW w:w="2835" w:type="dxa"/>
            <w:vAlign w:val="center"/>
          </w:tcPr>
          <w:p w14:paraId="3D4846E9">
            <w:pPr>
              <w:pStyle w:val="10"/>
            </w:pPr>
            <w:r>
              <w:t>项目名称</w:t>
            </w:r>
          </w:p>
        </w:tc>
        <w:tc>
          <w:tcPr>
            <w:tcW w:w="6095" w:type="dxa"/>
            <w:gridSpan w:val="3"/>
            <w:vAlign w:val="center"/>
          </w:tcPr>
          <w:p w14:paraId="60DCCE2C">
            <w:pPr>
              <w:pStyle w:val="12"/>
            </w:pPr>
            <w:r>
              <w:t>冀财教[2025]118号/中央/2026年现代职业教育质量提升计划/隆尧县职教中心设备购置</w:t>
            </w:r>
          </w:p>
        </w:tc>
      </w:tr>
      <w:tr w14:paraId="4FAA6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8D0F0">
            <w:pPr>
              <w:pStyle w:val="10"/>
            </w:pPr>
            <w:r>
              <w:t>预算规模及资金用途</w:t>
            </w:r>
          </w:p>
        </w:tc>
        <w:tc>
          <w:tcPr>
            <w:tcW w:w="2268" w:type="dxa"/>
            <w:vAlign w:val="center"/>
          </w:tcPr>
          <w:p w14:paraId="739F874E">
            <w:pPr>
              <w:pStyle w:val="10"/>
            </w:pPr>
            <w:r>
              <w:t>预算数</w:t>
            </w:r>
          </w:p>
        </w:tc>
        <w:tc>
          <w:tcPr>
            <w:tcW w:w="2835" w:type="dxa"/>
            <w:vAlign w:val="center"/>
          </w:tcPr>
          <w:p w14:paraId="7D493210">
            <w:pPr>
              <w:pStyle w:val="12"/>
            </w:pPr>
            <w:r>
              <w:t>40.00</w:t>
            </w:r>
          </w:p>
        </w:tc>
        <w:tc>
          <w:tcPr>
            <w:tcW w:w="2835" w:type="dxa"/>
            <w:vAlign w:val="center"/>
          </w:tcPr>
          <w:p w14:paraId="3674A732">
            <w:pPr>
              <w:pStyle w:val="10"/>
            </w:pPr>
            <w:r>
              <w:t>其中：财政    资金</w:t>
            </w:r>
          </w:p>
        </w:tc>
        <w:tc>
          <w:tcPr>
            <w:tcW w:w="2551" w:type="dxa"/>
            <w:vAlign w:val="center"/>
          </w:tcPr>
          <w:p w14:paraId="7DD147E4">
            <w:pPr>
              <w:pStyle w:val="12"/>
            </w:pPr>
            <w:r>
              <w:t>40.00</w:t>
            </w:r>
          </w:p>
        </w:tc>
        <w:tc>
          <w:tcPr>
            <w:tcW w:w="2268" w:type="dxa"/>
            <w:vAlign w:val="center"/>
          </w:tcPr>
          <w:p w14:paraId="628D3E09">
            <w:pPr>
              <w:pStyle w:val="10"/>
            </w:pPr>
            <w:r>
              <w:t>其他资金</w:t>
            </w:r>
          </w:p>
        </w:tc>
        <w:tc>
          <w:tcPr>
            <w:tcW w:w="1276" w:type="dxa"/>
            <w:vAlign w:val="center"/>
          </w:tcPr>
          <w:p w14:paraId="5C12F818">
            <w:pPr>
              <w:pStyle w:val="12"/>
            </w:pPr>
            <w:r>
              <w:t xml:space="preserve"> </w:t>
            </w:r>
          </w:p>
        </w:tc>
      </w:tr>
      <w:tr w14:paraId="1DC92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6C047"/>
        </w:tc>
        <w:tc>
          <w:tcPr>
            <w:tcW w:w="14033" w:type="dxa"/>
            <w:gridSpan w:val="6"/>
            <w:vAlign w:val="center"/>
          </w:tcPr>
          <w:p w14:paraId="3BBB7AD2">
            <w:pPr>
              <w:pStyle w:val="12"/>
            </w:pPr>
            <w:r>
              <w:t>中央安排质量提升资金40万元，资金主要用于购置办公桌椅电子屏，以此改善办学条件</w:t>
            </w:r>
          </w:p>
        </w:tc>
      </w:tr>
      <w:tr w14:paraId="2EAE9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62E9F">
            <w:pPr>
              <w:pStyle w:val="10"/>
            </w:pPr>
            <w:r>
              <w:t>资金支出计划（%）</w:t>
            </w:r>
          </w:p>
        </w:tc>
        <w:tc>
          <w:tcPr>
            <w:tcW w:w="5103" w:type="dxa"/>
            <w:gridSpan w:val="2"/>
            <w:vAlign w:val="center"/>
          </w:tcPr>
          <w:p w14:paraId="7650D40A">
            <w:pPr>
              <w:pStyle w:val="10"/>
            </w:pPr>
            <w:r>
              <w:t>3月底</w:t>
            </w:r>
          </w:p>
        </w:tc>
        <w:tc>
          <w:tcPr>
            <w:tcW w:w="2835" w:type="dxa"/>
            <w:vAlign w:val="center"/>
          </w:tcPr>
          <w:p w14:paraId="4DB460C8">
            <w:pPr>
              <w:pStyle w:val="10"/>
            </w:pPr>
            <w:r>
              <w:t>6月底</w:t>
            </w:r>
          </w:p>
        </w:tc>
        <w:tc>
          <w:tcPr>
            <w:tcW w:w="2551" w:type="dxa"/>
            <w:vAlign w:val="center"/>
          </w:tcPr>
          <w:p w14:paraId="612BEE8C">
            <w:pPr>
              <w:pStyle w:val="10"/>
            </w:pPr>
            <w:r>
              <w:t>10月底</w:t>
            </w:r>
          </w:p>
        </w:tc>
        <w:tc>
          <w:tcPr>
            <w:tcW w:w="3544" w:type="dxa"/>
            <w:gridSpan w:val="2"/>
            <w:vAlign w:val="center"/>
          </w:tcPr>
          <w:p w14:paraId="6EE90ADC">
            <w:pPr>
              <w:pStyle w:val="10"/>
            </w:pPr>
            <w:r>
              <w:t>12月底</w:t>
            </w:r>
          </w:p>
        </w:tc>
      </w:tr>
      <w:tr w14:paraId="38FD5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1E3C2"/>
        </w:tc>
        <w:tc>
          <w:tcPr>
            <w:tcW w:w="5103" w:type="dxa"/>
            <w:gridSpan w:val="2"/>
            <w:vAlign w:val="center"/>
          </w:tcPr>
          <w:p w14:paraId="22FF200E">
            <w:pPr>
              <w:pStyle w:val="13"/>
            </w:pPr>
            <w:r>
              <w:t xml:space="preserve"> </w:t>
            </w:r>
          </w:p>
        </w:tc>
        <w:tc>
          <w:tcPr>
            <w:tcW w:w="2835" w:type="dxa"/>
            <w:vAlign w:val="center"/>
          </w:tcPr>
          <w:p w14:paraId="2CD37A94">
            <w:pPr>
              <w:pStyle w:val="13"/>
            </w:pPr>
            <w:r>
              <w:t xml:space="preserve"> </w:t>
            </w:r>
          </w:p>
        </w:tc>
        <w:tc>
          <w:tcPr>
            <w:tcW w:w="2551" w:type="dxa"/>
            <w:vAlign w:val="center"/>
          </w:tcPr>
          <w:p w14:paraId="12AFD63D">
            <w:pPr>
              <w:pStyle w:val="13"/>
            </w:pPr>
            <w:r>
              <w:t>100%</w:t>
            </w:r>
          </w:p>
        </w:tc>
        <w:tc>
          <w:tcPr>
            <w:tcW w:w="3544" w:type="dxa"/>
            <w:gridSpan w:val="2"/>
            <w:vAlign w:val="center"/>
          </w:tcPr>
          <w:p w14:paraId="3761E577">
            <w:pPr>
              <w:pStyle w:val="13"/>
            </w:pPr>
            <w:r>
              <w:t>100%</w:t>
            </w:r>
          </w:p>
        </w:tc>
      </w:tr>
      <w:tr w14:paraId="20239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4763C">
            <w:pPr>
              <w:pStyle w:val="10"/>
            </w:pPr>
            <w:r>
              <w:t>绩效目标</w:t>
            </w:r>
          </w:p>
        </w:tc>
        <w:tc>
          <w:tcPr>
            <w:tcW w:w="14033" w:type="dxa"/>
            <w:gridSpan w:val="6"/>
            <w:vAlign w:val="center"/>
          </w:tcPr>
          <w:p w14:paraId="01002E3E">
            <w:pPr>
              <w:pStyle w:val="12"/>
            </w:pPr>
            <w:r>
              <w:t>1.中央安排质量提升资金40万元，资金主要用于购置办公桌椅电子屏，以此改善办学条件</w:t>
            </w:r>
          </w:p>
        </w:tc>
      </w:tr>
    </w:tbl>
    <w:p w14:paraId="559F3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7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402DC">
            <w:pPr>
              <w:pStyle w:val="10"/>
            </w:pPr>
            <w:r>
              <w:t>一级指标</w:t>
            </w:r>
          </w:p>
        </w:tc>
        <w:tc>
          <w:tcPr>
            <w:tcW w:w="2268" w:type="dxa"/>
            <w:vAlign w:val="center"/>
          </w:tcPr>
          <w:p w14:paraId="54A8BC10">
            <w:pPr>
              <w:pStyle w:val="10"/>
            </w:pPr>
            <w:r>
              <w:t>二级指标</w:t>
            </w:r>
          </w:p>
        </w:tc>
        <w:tc>
          <w:tcPr>
            <w:tcW w:w="2835" w:type="dxa"/>
            <w:vAlign w:val="center"/>
          </w:tcPr>
          <w:p w14:paraId="234AB31B">
            <w:pPr>
              <w:pStyle w:val="10"/>
            </w:pPr>
            <w:r>
              <w:t>三级指标</w:t>
            </w:r>
          </w:p>
        </w:tc>
        <w:tc>
          <w:tcPr>
            <w:tcW w:w="5386" w:type="dxa"/>
            <w:vAlign w:val="center"/>
          </w:tcPr>
          <w:p w14:paraId="0A6686EB">
            <w:pPr>
              <w:pStyle w:val="10"/>
            </w:pPr>
            <w:r>
              <w:t>绩效指标描述</w:t>
            </w:r>
          </w:p>
        </w:tc>
        <w:tc>
          <w:tcPr>
            <w:tcW w:w="2268" w:type="dxa"/>
            <w:vAlign w:val="center"/>
          </w:tcPr>
          <w:p w14:paraId="49B5D71F">
            <w:pPr>
              <w:pStyle w:val="10"/>
            </w:pPr>
            <w:r>
              <w:t>指标值</w:t>
            </w:r>
          </w:p>
        </w:tc>
        <w:tc>
          <w:tcPr>
            <w:tcW w:w="1276" w:type="dxa"/>
            <w:vAlign w:val="center"/>
          </w:tcPr>
          <w:p w14:paraId="772BBC9D">
            <w:pPr>
              <w:pStyle w:val="10"/>
            </w:pPr>
            <w:r>
              <w:t>指标值确定依据</w:t>
            </w:r>
          </w:p>
        </w:tc>
      </w:tr>
      <w:tr w14:paraId="7E1C607D">
        <w:tblPrEx>
          <w:tblCellMar>
            <w:top w:w="0" w:type="dxa"/>
            <w:left w:w="108" w:type="dxa"/>
            <w:bottom w:w="0" w:type="dxa"/>
            <w:right w:w="108" w:type="dxa"/>
          </w:tblCellMar>
        </w:tblPrEx>
        <w:trPr>
          <w:trHeight w:val="397" w:hRule="atLeast"/>
          <w:jc w:val="center"/>
        </w:trPr>
        <w:tc>
          <w:tcPr>
            <w:tcW w:w="1276" w:type="dxa"/>
            <w:vMerge w:val="restart"/>
            <w:vAlign w:val="center"/>
          </w:tcPr>
          <w:p w14:paraId="7890E03C">
            <w:pPr>
              <w:pStyle w:val="13"/>
            </w:pPr>
            <w:r>
              <w:t>产出指标</w:t>
            </w:r>
          </w:p>
        </w:tc>
        <w:tc>
          <w:tcPr>
            <w:tcW w:w="2268" w:type="dxa"/>
            <w:vAlign w:val="center"/>
          </w:tcPr>
          <w:p w14:paraId="24DACBED">
            <w:pPr>
              <w:pStyle w:val="12"/>
            </w:pPr>
            <w:r>
              <w:t>数量指标</w:t>
            </w:r>
          </w:p>
        </w:tc>
        <w:tc>
          <w:tcPr>
            <w:tcW w:w="2835" w:type="dxa"/>
            <w:vAlign w:val="center"/>
          </w:tcPr>
          <w:p w14:paraId="33187C7A">
            <w:pPr>
              <w:pStyle w:val="12"/>
            </w:pPr>
            <w:r>
              <w:t>购置办公桌凳</w:t>
            </w:r>
          </w:p>
        </w:tc>
        <w:tc>
          <w:tcPr>
            <w:tcW w:w="5386" w:type="dxa"/>
            <w:vAlign w:val="center"/>
          </w:tcPr>
          <w:p w14:paraId="4F196EA3">
            <w:pPr>
              <w:pStyle w:val="12"/>
            </w:pPr>
            <w:r>
              <w:t>购置办公桌凳</w:t>
            </w:r>
          </w:p>
        </w:tc>
        <w:tc>
          <w:tcPr>
            <w:tcW w:w="2268" w:type="dxa"/>
            <w:vAlign w:val="center"/>
          </w:tcPr>
          <w:p w14:paraId="4B484FEA">
            <w:pPr>
              <w:pStyle w:val="12"/>
            </w:pPr>
            <w:r>
              <w:t>240套</w:t>
            </w:r>
          </w:p>
        </w:tc>
        <w:tc>
          <w:tcPr>
            <w:tcW w:w="1276" w:type="dxa"/>
            <w:vAlign w:val="center"/>
          </w:tcPr>
          <w:p w14:paraId="12E477FA">
            <w:pPr>
              <w:pStyle w:val="12"/>
            </w:pPr>
            <w:r>
              <w:t>冀财教【2025】118号</w:t>
            </w:r>
          </w:p>
        </w:tc>
      </w:tr>
      <w:tr w14:paraId="63BB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39E9B"/>
        </w:tc>
        <w:tc>
          <w:tcPr>
            <w:tcW w:w="2268" w:type="dxa"/>
            <w:vAlign w:val="center"/>
          </w:tcPr>
          <w:p w14:paraId="0A424CD2">
            <w:pPr>
              <w:pStyle w:val="12"/>
            </w:pPr>
            <w:r>
              <w:t>数量指标</w:t>
            </w:r>
          </w:p>
        </w:tc>
        <w:tc>
          <w:tcPr>
            <w:tcW w:w="2835" w:type="dxa"/>
            <w:vAlign w:val="center"/>
          </w:tcPr>
          <w:p w14:paraId="4EB7ED23">
            <w:pPr>
              <w:pStyle w:val="12"/>
            </w:pPr>
            <w:r>
              <w:t>购置电子屏</w:t>
            </w:r>
          </w:p>
        </w:tc>
        <w:tc>
          <w:tcPr>
            <w:tcW w:w="5386" w:type="dxa"/>
            <w:vAlign w:val="center"/>
          </w:tcPr>
          <w:p w14:paraId="3C6C8B7A">
            <w:pPr>
              <w:pStyle w:val="12"/>
            </w:pPr>
            <w:r>
              <w:t>购置电子屏</w:t>
            </w:r>
          </w:p>
        </w:tc>
        <w:tc>
          <w:tcPr>
            <w:tcW w:w="2268" w:type="dxa"/>
            <w:vAlign w:val="center"/>
          </w:tcPr>
          <w:p w14:paraId="1250B2D2">
            <w:pPr>
              <w:pStyle w:val="12"/>
            </w:pPr>
            <w:r>
              <w:t>1套</w:t>
            </w:r>
          </w:p>
        </w:tc>
        <w:tc>
          <w:tcPr>
            <w:tcW w:w="1276" w:type="dxa"/>
            <w:vAlign w:val="center"/>
          </w:tcPr>
          <w:p w14:paraId="25CC5AC0">
            <w:pPr>
              <w:pStyle w:val="12"/>
            </w:pPr>
            <w:r>
              <w:t>冀财教【2025】118号</w:t>
            </w:r>
          </w:p>
        </w:tc>
      </w:tr>
      <w:tr w14:paraId="71B0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145E8"/>
        </w:tc>
        <w:tc>
          <w:tcPr>
            <w:tcW w:w="2268" w:type="dxa"/>
            <w:vAlign w:val="center"/>
          </w:tcPr>
          <w:p w14:paraId="251AFBA2">
            <w:pPr>
              <w:pStyle w:val="12"/>
            </w:pPr>
            <w:r>
              <w:t>质量指标</w:t>
            </w:r>
          </w:p>
        </w:tc>
        <w:tc>
          <w:tcPr>
            <w:tcW w:w="2835" w:type="dxa"/>
            <w:vAlign w:val="center"/>
          </w:tcPr>
          <w:p w14:paraId="12608610">
            <w:pPr>
              <w:pStyle w:val="12"/>
            </w:pPr>
            <w:r>
              <w:t>产品合格率</w:t>
            </w:r>
          </w:p>
        </w:tc>
        <w:tc>
          <w:tcPr>
            <w:tcW w:w="5386" w:type="dxa"/>
            <w:vAlign w:val="center"/>
          </w:tcPr>
          <w:p w14:paraId="3D9E0C2C">
            <w:pPr>
              <w:pStyle w:val="12"/>
            </w:pPr>
            <w:r>
              <w:t>产品合格率</w:t>
            </w:r>
          </w:p>
        </w:tc>
        <w:tc>
          <w:tcPr>
            <w:tcW w:w="2268" w:type="dxa"/>
            <w:vAlign w:val="center"/>
          </w:tcPr>
          <w:p w14:paraId="7FCD12BA">
            <w:pPr>
              <w:pStyle w:val="12"/>
            </w:pPr>
            <w:r>
              <w:t>100%</w:t>
            </w:r>
          </w:p>
        </w:tc>
        <w:tc>
          <w:tcPr>
            <w:tcW w:w="1276" w:type="dxa"/>
            <w:vAlign w:val="center"/>
          </w:tcPr>
          <w:p w14:paraId="4BFFBBA7">
            <w:pPr>
              <w:pStyle w:val="12"/>
            </w:pPr>
            <w:r>
              <w:t>冀财教【2025】118号</w:t>
            </w:r>
          </w:p>
        </w:tc>
      </w:tr>
      <w:tr w14:paraId="4612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EA6CE"/>
        </w:tc>
        <w:tc>
          <w:tcPr>
            <w:tcW w:w="2268" w:type="dxa"/>
            <w:vAlign w:val="center"/>
          </w:tcPr>
          <w:p w14:paraId="5C57323D">
            <w:pPr>
              <w:pStyle w:val="12"/>
            </w:pPr>
            <w:r>
              <w:t>时效指标</w:t>
            </w:r>
          </w:p>
        </w:tc>
        <w:tc>
          <w:tcPr>
            <w:tcW w:w="2835" w:type="dxa"/>
            <w:vAlign w:val="center"/>
          </w:tcPr>
          <w:p w14:paraId="70CF56C1">
            <w:pPr>
              <w:pStyle w:val="12"/>
            </w:pPr>
            <w:r>
              <w:t>项目实施时间</w:t>
            </w:r>
          </w:p>
        </w:tc>
        <w:tc>
          <w:tcPr>
            <w:tcW w:w="5386" w:type="dxa"/>
            <w:vAlign w:val="center"/>
          </w:tcPr>
          <w:p w14:paraId="7B44BEE5">
            <w:pPr>
              <w:pStyle w:val="12"/>
            </w:pPr>
            <w:r>
              <w:t>2026年1月</w:t>
            </w:r>
            <w:r>
              <w:rPr>
                <w:rFonts w:hint="eastAsia"/>
                <w:lang w:eastAsia="zh-CN"/>
              </w:rPr>
              <w:t>—</w:t>
            </w:r>
            <w:r>
              <w:t>12月</w:t>
            </w:r>
          </w:p>
        </w:tc>
        <w:tc>
          <w:tcPr>
            <w:tcW w:w="2268" w:type="dxa"/>
            <w:vAlign w:val="center"/>
          </w:tcPr>
          <w:p w14:paraId="725FA706">
            <w:pPr>
              <w:pStyle w:val="12"/>
            </w:pPr>
            <w:r>
              <w:t>100%</w:t>
            </w:r>
          </w:p>
        </w:tc>
        <w:tc>
          <w:tcPr>
            <w:tcW w:w="1276" w:type="dxa"/>
            <w:vAlign w:val="center"/>
          </w:tcPr>
          <w:p w14:paraId="10FA7840">
            <w:pPr>
              <w:pStyle w:val="12"/>
            </w:pPr>
            <w:r>
              <w:t>冀财教【2025】118号</w:t>
            </w:r>
          </w:p>
        </w:tc>
      </w:tr>
      <w:tr w14:paraId="01FB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D2925"/>
        </w:tc>
        <w:tc>
          <w:tcPr>
            <w:tcW w:w="2268" w:type="dxa"/>
            <w:vAlign w:val="center"/>
          </w:tcPr>
          <w:p w14:paraId="6949D9BD">
            <w:pPr>
              <w:pStyle w:val="12"/>
            </w:pPr>
            <w:r>
              <w:t>成本指标</w:t>
            </w:r>
          </w:p>
        </w:tc>
        <w:tc>
          <w:tcPr>
            <w:tcW w:w="2835" w:type="dxa"/>
            <w:vAlign w:val="center"/>
          </w:tcPr>
          <w:p w14:paraId="0FABB42A">
            <w:pPr>
              <w:pStyle w:val="12"/>
            </w:pPr>
            <w:r>
              <w:t>购置成本</w:t>
            </w:r>
          </w:p>
        </w:tc>
        <w:tc>
          <w:tcPr>
            <w:tcW w:w="5386" w:type="dxa"/>
            <w:vAlign w:val="center"/>
          </w:tcPr>
          <w:p w14:paraId="2AC416DB">
            <w:pPr>
              <w:pStyle w:val="12"/>
            </w:pPr>
            <w:r>
              <w:t>购置成本</w:t>
            </w:r>
          </w:p>
        </w:tc>
        <w:tc>
          <w:tcPr>
            <w:tcW w:w="2268" w:type="dxa"/>
            <w:vAlign w:val="center"/>
          </w:tcPr>
          <w:p w14:paraId="3EAD4A04">
            <w:pPr>
              <w:pStyle w:val="12"/>
            </w:pPr>
            <w:r>
              <w:t>40万元</w:t>
            </w:r>
          </w:p>
        </w:tc>
        <w:tc>
          <w:tcPr>
            <w:tcW w:w="1276" w:type="dxa"/>
            <w:vAlign w:val="center"/>
          </w:tcPr>
          <w:p w14:paraId="697DC31F">
            <w:pPr>
              <w:pStyle w:val="12"/>
            </w:pPr>
            <w:r>
              <w:t>冀财教【2025】118号</w:t>
            </w:r>
          </w:p>
        </w:tc>
      </w:tr>
      <w:tr w14:paraId="1DC9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27B58">
            <w:pPr>
              <w:pStyle w:val="13"/>
            </w:pPr>
            <w:r>
              <w:t>效益指标</w:t>
            </w:r>
          </w:p>
        </w:tc>
        <w:tc>
          <w:tcPr>
            <w:tcW w:w="2268" w:type="dxa"/>
            <w:vAlign w:val="center"/>
          </w:tcPr>
          <w:p w14:paraId="075910AC">
            <w:pPr>
              <w:pStyle w:val="12"/>
            </w:pPr>
            <w:r>
              <w:t>经济效益指标</w:t>
            </w:r>
          </w:p>
        </w:tc>
        <w:tc>
          <w:tcPr>
            <w:tcW w:w="2835" w:type="dxa"/>
            <w:vAlign w:val="center"/>
          </w:tcPr>
          <w:p w14:paraId="6C7115BD">
            <w:pPr>
              <w:pStyle w:val="12"/>
            </w:pPr>
            <w:r>
              <w:t>购置维持年限</w:t>
            </w:r>
          </w:p>
        </w:tc>
        <w:tc>
          <w:tcPr>
            <w:tcW w:w="5386" w:type="dxa"/>
            <w:vAlign w:val="center"/>
          </w:tcPr>
          <w:p w14:paraId="775CFB38">
            <w:pPr>
              <w:pStyle w:val="12"/>
            </w:pPr>
            <w:r>
              <w:t>购置产品维持年限</w:t>
            </w:r>
          </w:p>
        </w:tc>
        <w:tc>
          <w:tcPr>
            <w:tcW w:w="2268" w:type="dxa"/>
            <w:vAlign w:val="center"/>
          </w:tcPr>
          <w:p w14:paraId="4CAF9834">
            <w:pPr>
              <w:pStyle w:val="12"/>
            </w:pPr>
            <w:r>
              <w:t>20年</w:t>
            </w:r>
          </w:p>
        </w:tc>
        <w:tc>
          <w:tcPr>
            <w:tcW w:w="1276" w:type="dxa"/>
            <w:vAlign w:val="center"/>
          </w:tcPr>
          <w:p w14:paraId="76950C31">
            <w:pPr>
              <w:pStyle w:val="12"/>
            </w:pPr>
            <w:r>
              <w:t>冀财教【2025】118号</w:t>
            </w:r>
          </w:p>
        </w:tc>
      </w:tr>
      <w:tr w14:paraId="5EA86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9A62F">
            <w:pPr>
              <w:pStyle w:val="13"/>
            </w:pPr>
            <w:r>
              <w:t>满意度指标</w:t>
            </w:r>
          </w:p>
        </w:tc>
        <w:tc>
          <w:tcPr>
            <w:tcW w:w="2268" w:type="dxa"/>
            <w:vAlign w:val="center"/>
          </w:tcPr>
          <w:p w14:paraId="6A01365B">
            <w:pPr>
              <w:pStyle w:val="12"/>
            </w:pPr>
            <w:r>
              <w:t>服务对象满意度指标</w:t>
            </w:r>
          </w:p>
        </w:tc>
        <w:tc>
          <w:tcPr>
            <w:tcW w:w="2835" w:type="dxa"/>
            <w:vAlign w:val="center"/>
          </w:tcPr>
          <w:p w14:paraId="0BAFF5C2">
            <w:pPr>
              <w:pStyle w:val="12"/>
            </w:pPr>
            <w:r>
              <w:t>家长学生满意度</w:t>
            </w:r>
          </w:p>
        </w:tc>
        <w:tc>
          <w:tcPr>
            <w:tcW w:w="5386" w:type="dxa"/>
            <w:vAlign w:val="center"/>
          </w:tcPr>
          <w:p w14:paraId="12AE6862">
            <w:pPr>
              <w:pStyle w:val="12"/>
            </w:pPr>
            <w:r>
              <w:t>家长学生满意度</w:t>
            </w:r>
          </w:p>
        </w:tc>
        <w:tc>
          <w:tcPr>
            <w:tcW w:w="2268" w:type="dxa"/>
            <w:vAlign w:val="center"/>
          </w:tcPr>
          <w:p w14:paraId="1CF7B4D3">
            <w:pPr>
              <w:pStyle w:val="12"/>
            </w:pPr>
            <w:r>
              <w:t>≥95%</w:t>
            </w:r>
          </w:p>
        </w:tc>
        <w:tc>
          <w:tcPr>
            <w:tcW w:w="1276" w:type="dxa"/>
            <w:vAlign w:val="center"/>
          </w:tcPr>
          <w:p w14:paraId="7D3DA9F3">
            <w:pPr>
              <w:pStyle w:val="12"/>
            </w:pPr>
            <w:r>
              <w:t>冀财教【2025】118号</w:t>
            </w:r>
          </w:p>
        </w:tc>
      </w:tr>
    </w:tbl>
    <w:p w14:paraId="27F40F61">
      <w:pPr>
        <w:sectPr>
          <w:pgSz w:w="16840" w:h="11900" w:orient="landscape"/>
          <w:pgMar w:top="1361" w:right="1020" w:bottom="1134" w:left="1020" w:header="720" w:footer="720" w:gutter="0"/>
          <w:cols w:space="720" w:num="1"/>
        </w:sectPr>
      </w:pPr>
    </w:p>
    <w:p w14:paraId="7BA28BD5">
      <w:pPr>
        <w:spacing w:before="0" w:after="0"/>
        <w:ind w:firstLine="560"/>
        <w:jc w:val="left"/>
        <w:outlineLvl w:val="9"/>
      </w:pPr>
      <w:r>
        <w:rPr>
          <w:rFonts w:ascii="方正仿宋_GBK" w:hAnsi="方正仿宋_GBK" w:eastAsia="方正仿宋_GBK" w:cs="方正仿宋_GBK"/>
          <w:b/>
          <w:color w:val="000000"/>
          <w:sz w:val="28"/>
        </w:rPr>
        <w:t>6、冀财教[2025]123号/中央/2026年改善办学条件/隆尧县职教中心专用设备购置（普通高中）绩效目标表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E0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82DA8">
            <w:pPr>
              <w:pStyle w:val="11"/>
            </w:pPr>
            <w:r>
              <w:t>单位：万元</w:t>
            </w:r>
          </w:p>
        </w:tc>
      </w:tr>
      <w:tr w14:paraId="35E61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DE87D">
            <w:pPr>
              <w:pStyle w:val="10"/>
            </w:pPr>
            <w:r>
              <w:t>项目编码</w:t>
            </w:r>
          </w:p>
        </w:tc>
        <w:tc>
          <w:tcPr>
            <w:tcW w:w="5103" w:type="dxa"/>
            <w:gridSpan w:val="2"/>
            <w:vAlign w:val="center"/>
          </w:tcPr>
          <w:p w14:paraId="7E4B69E9">
            <w:pPr>
              <w:pStyle w:val="12"/>
            </w:pPr>
            <w:r>
              <w:t>13052526P00877110015Q</w:t>
            </w:r>
          </w:p>
        </w:tc>
        <w:tc>
          <w:tcPr>
            <w:tcW w:w="2835" w:type="dxa"/>
            <w:vAlign w:val="center"/>
          </w:tcPr>
          <w:p w14:paraId="4BE0031E">
            <w:pPr>
              <w:pStyle w:val="10"/>
            </w:pPr>
            <w:r>
              <w:t>项目名称</w:t>
            </w:r>
          </w:p>
        </w:tc>
        <w:tc>
          <w:tcPr>
            <w:tcW w:w="6095" w:type="dxa"/>
            <w:gridSpan w:val="3"/>
            <w:vAlign w:val="center"/>
          </w:tcPr>
          <w:p w14:paraId="41AE50E3">
            <w:pPr>
              <w:pStyle w:val="12"/>
            </w:pPr>
            <w:r>
              <w:t>冀财教[2025]123号/中央/2026年改善办学条件/隆尧县职教中心专用设备购置（普通高中）</w:t>
            </w:r>
          </w:p>
        </w:tc>
      </w:tr>
      <w:tr w14:paraId="068F7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5D420">
            <w:pPr>
              <w:pStyle w:val="10"/>
            </w:pPr>
            <w:r>
              <w:t>预算规模及资金用途</w:t>
            </w:r>
          </w:p>
        </w:tc>
        <w:tc>
          <w:tcPr>
            <w:tcW w:w="2268" w:type="dxa"/>
            <w:vAlign w:val="center"/>
          </w:tcPr>
          <w:p w14:paraId="7E1C192B">
            <w:pPr>
              <w:pStyle w:val="10"/>
            </w:pPr>
            <w:r>
              <w:t>预算数</w:t>
            </w:r>
          </w:p>
        </w:tc>
        <w:tc>
          <w:tcPr>
            <w:tcW w:w="2835" w:type="dxa"/>
            <w:vAlign w:val="center"/>
          </w:tcPr>
          <w:p w14:paraId="0908187A">
            <w:pPr>
              <w:pStyle w:val="12"/>
            </w:pPr>
            <w:r>
              <w:t>328.00</w:t>
            </w:r>
          </w:p>
        </w:tc>
        <w:tc>
          <w:tcPr>
            <w:tcW w:w="2835" w:type="dxa"/>
            <w:vAlign w:val="center"/>
          </w:tcPr>
          <w:p w14:paraId="5D351E2D">
            <w:pPr>
              <w:pStyle w:val="10"/>
            </w:pPr>
            <w:r>
              <w:t>其中：财政    资金</w:t>
            </w:r>
          </w:p>
        </w:tc>
        <w:tc>
          <w:tcPr>
            <w:tcW w:w="2551" w:type="dxa"/>
            <w:vAlign w:val="center"/>
          </w:tcPr>
          <w:p w14:paraId="66086258">
            <w:pPr>
              <w:pStyle w:val="12"/>
            </w:pPr>
            <w:r>
              <w:t>328.00</w:t>
            </w:r>
          </w:p>
        </w:tc>
        <w:tc>
          <w:tcPr>
            <w:tcW w:w="2268" w:type="dxa"/>
            <w:vAlign w:val="center"/>
          </w:tcPr>
          <w:p w14:paraId="1FF0591C">
            <w:pPr>
              <w:pStyle w:val="10"/>
            </w:pPr>
            <w:r>
              <w:t>其他资金</w:t>
            </w:r>
          </w:p>
        </w:tc>
        <w:tc>
          <w:tcPr>
            <w:tcW w:w="1276" w:type="dxa"/>
            <w:vAlign w:val="center"/>
          </w:tcPr>
          <w:p w14:paraId="59EA6EAC">
            <w:pPr>
              <w:pStyle w:val="12"/>
            </w:pPr>
            <w:r>
              <w:t xml:space="preserve"> </w:t>
            </w:r>
          </w:p>
        </w:tc>
      </w:tr>
      <w:tr w14:paraId="1957E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06998"/>
        </w:tc>
        <w:tc>
          <w:tcPr>
            <w:tcW w:w="14033" w:type="dxa"/>
            <w:gridSpan w:val="6"/>
            <w:vAlign w:val="center"/>
          </w:tcPr>
          <w:p w14:paraId="0C1894C4">
            <w:pPr>
              <w:pStyle w:val="12"/>
            </w:pPr>
            <w:r>
              <w:t>普高中央安排改善办学条件资金328万元，用于学校购置学生桌凳、上下床、黑板、微机等改善学校办学条件。</w:t>
            </w:r>
          </w:p>
        </w:tc>
      </w:tr>
      <w:tr w14:paraId="68A4D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BE67D">
            <w:pPr>
              <w:pStyle w:val="10"/>
            </w:pPr>
            <w:r>
              <w:t>资金支出计划（%）</w:t>
            </w:r>
          </w:p>
        </w:tc>
        <w:tc>
          <w:tcPr>
            <w:tcW w:w="5103" w:type="dxa"/>
            <w:gridSpan w:val="2"/>
            <w:vAlign w:val="center"/>
          </w:tcPr>
          <w:p w14:paraId="7B6AC729">
            <w:pPr>
              <w:pStyle w:val="10"/>
            </w:pPr>
            <w:r>
              <w:t>3月底</w:t>
            </w:r>
          </w:p>
        </w:tc>
        <w:tc>
          <w:tcPr>
            <w:tcW w:w="2835" w:type="dxa"/>
            <w:vAlign w:val="center"/>
          </w:tcPr>
          <w:p w14:paraId="271BB6B1">
            <w:pPr>
              <w:pStyle w:val="10"/>
            </w:pPr>
            <w:r>
              <w:t>6月底</w:t>
            </w:r>
          </w:p>
        </w:tc>
        <w:tc>
          <w:tcPr>
            <w:tcW w:w="2551" w:type="dxa"/>
            <w:vAlign w:val="center"/>
          </w:tcPr>
          <w:p w14:paraId="480789D6">
            <w:pPr>
              <w:pStyle w:val="10"/>
            </w:pPr>
            <w:r>
              <w:t>10月底</w:t>
            </w:r>
          </w:p>
        </w:tc>
        <w:tc>
          <w:tcPr>
            <w:tcW w:w="3544" w:type="dxa"/>
            <w:gridSpan w:val="2"/>
            <w:vAlign w:val="center"/>
          </w:tcPr>
          <w:p w14:paraId="02D3BE05">
            <w:pPr>
              <w:pStyle w:val="10"/>
            </w:pPr>
            <w:r>
              <w:t>12月底</w:t>
            </w:r>
          </w:p>
        </w:tc>
      </w:tr>
      <w:tr w14:paraId="7D9E6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60BA1"/>
        </w:tc>
        <w:tc>
          <w:tcPr>
            <w:tcW w:w="5103" w:type="dxa"/>
            <w:gridSpan w:val="2"/>
            <w:vAlign w:val="center"/>
          </w:tcPr>
          <w:p w14:paraId="64785042">
            <w:pPr>
              <w:pStyle w:val="13"/>
            </w:pPr>
            <w:r>
              <w:t xml:space="preserve"> </w:t>
            </w:r>
          </w:p>
        </w:tc>
        <w:tc>
          <w:tcPr>
            <w:tcW w:w="2835" w:type="dxa"/>
            <w:vAlign w:val="center"/>
          </w:tcPr>
          <w:p w14:paraId="2A2DBBD7">
            <w:pPr>
              <w:pStyle w:val="13"/>
            </w:pPr>
            <w:r>
              <w:t>100%</w:t>
            </w:r>
          </w:p>
        </w:tc>
        <w:tc>
          <w:tcPr>
            <w:tcW w:w="2551" w:type="dxa"/>
            <w:vAlign w:val="center"/>
          </w:tcPr>
          <w:p w14:paraId="3B3E8414">
            <w:pPr>
              <w:pStyle w:val="13"/>
            </w:pPr>
            <w:r>
              <w:t>100%</w:t>
            </w:r>
          </w:p>
        </w:tc>
        <w:tc>
          <w:tcPr>
            <w:tcW w:w="3544" w:type="dxa"/>
            <w:gridSpan w:val="2"/>
            <w:vAlign w:val="center"/>
          </w:tcPr>
          <w:p w14:paraId="10DC1A19">
            <w:pPr>
              <w:pStyle w:val="13"/>
            </w:pPr>
            <w:r>
              <w:t>100%</w:t>
            </w:r>
          </w:p>
        </w:tc>
      </w:tr>
      <w:tr w14:paraId="4F0D0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11FA8">
            <w:pPr>
              <w:pStyle w:val="10"/>
            </w:pPr>
            <w:r>
              <w:t>绩效目标</w:t>
            </w:r>
          </w:p>
        </w:tc>
        <w:tc>
          <w:tcPr>
            <w:tcW w:w="14033" w:type="dxa"/>
            <w:gridSpan w:val="6"/>
            <w:vAlign w:val="center"/>
          </w:tcPr>
          <w:p w14:paraId="00475C85">
            <w:pPr>
              <w:pStyle w:val="12"/>
            </w:pPr>
            <w:r>
              <w:t>1.普高中央安排改善办学条件资金328万元，用于学校购置学生桌凳、上下床、黑板、微机等改善学校办学条件。</w:t>
            </w:r>
          </w:p>
        </w:tc>
      </w:tr>
    </w:tbl>
    <w:p w14:paraId="7DB4D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9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60ECF">
            <w:pPr>
              <w:pStyle w:val="10"/>
            </w:pPr>
            <w:r>
              <w:t>一级指标</w:t>
            </w:r>
          </w:p>
        </w:tc>
        <w:tc>
          <w:tcPr>
            <w:tcW w:w="2268" w:type="dxa"/>
            <w:vAlign w:val="center"/>
          </w:tcPr>
          <w:p w14:paraId="26968F16">
            <w:pPr>
              <w:pStyle w:val="10"/>
            </w:pPr>
            <w:r>
              <w:t>二级指标</w:t>
            </w:r>
          </w:p>
        </w:tc>
        <w:tc>
          <w:tcPr>
            <w:tcW w:w="2835" w:type="dxa"/>
            <w:vAlign w:val="center"/>
          </w:tcPr>
          <w:p w14:paraId="1D897872">
            <w:pPr>
              <w:pStyle w:val="10"/>
            </w:pPr>
            <w:r>
              <w:t>三级指标</w:t>
            </w:r>
          </w:p>
        </w:tc>
        <w:tc>
          <w:tcPr>
            <w:tcW w:w="5386" w:type="dxa"/>
            <w:vAlign w:val="center"/>
          </w:tcPr>
          <w:p w14:paraId="51812F39">
            <w:pPr>
              <w:pStyle w:val="10"/>
            </w:pPr>
            <w:r>
              <w:t>绩效指标描述</w:t>
            </w:r>
          </w:p>
        </w:tc>
        <w:tc>
          <w:tcPr>
            <w:tcW w:w="2268" w:type="dxa"/>
            <w:vAlign w:val="center"/>
          </w:tcPr>
          <w:p w14:paraId="04EE1F36">
            <w:pPr>
              <w:pStyle w:val="10"/>
            </w:pPr>
            <w:r>
              <w:t>指标值</w:t>
            </w:r>
          </w:p>
        </w:tc>
        <w:tc>
          <w:tcPr>
            <w:tcW w:w="1276" w:type="dxa"/>
            <w:vAlign w:val="center"/>
          </w:tcPr>
          <w:p w14:paraId="347B5F6E">
            <w:pPr>
              <w:pStyle w:val="10"/>
            </w:pPr>
            <w:r>
              <w:t>指标值确定依据</w:t>
            </w:r>
          </w:p>
        </w:tc>
      </w:tr>
      <w:tr w14:paraId="02B2F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4ECA5">
            <w:pPr>
              <w:pStyle w:val="13"/>
            </w:pPr>
            <w:r>
              <w:t>产出指标</w:t>
            </w:r>
          </w:p>
        </w:tc>
        <w:tc>
          <w:tcPr>
            <w:tcW w:w="2268" w:type="dxa"/>
            <w:vAlign w:val="center"/>
          </w:tcPr>
          <w:p w14:paraId="627DA10E">
            <w:pPr>
              <w:pStyle w:val="12"/>
            </w:pPr>
            <w:r>
              <w:t>数量指标</w:t>
            </w:r>
          </w:p>
        </w:tc>
        <w:tc>
          <w:tcPr>
            <w:tcW w:w="2835" w:type="dxa"/>
            <w:vAlign w:val="center"/>
          </w:tcPr>
          <w:p w14:paraId="5932DEC9">
            <w:pPr>
              <w:pStyle w:val="12"/>
            </w:pPr>
            <w:r>
              <w:t>购置桌凳讲台上下床黑板微机等</w:t>
            </w:r>
          </w:p>
        </w:tc>
        <w:tc>
          <w:tcPr>
            <w:tcW w:w="5386" w:type="dxa"/>
            <w:vAlign w:val="center"/>
          </w:tcPr>
          <w:p w14:paraId="09684693">
            <w:pPr>
              <w:pStyle w:val="12"/>
            </w:pPr>
            <w:r>
              <w:t>购置桌凳讲台上下床黑板微机等</w:t>
            </w:r>
          </w:p>
        </w:tc>
        <w:tc>
          <w:tcPr>
            <w:tcW w:w="2268" w:type="dxa"/>
            <w:vAlign w:val="center"/>
          </w:tcPr>
          <w:p w14:paraId="6ABC8B3B">
            <w:pPr>
              <w:pStyle w:val="12"/>
            </w:pPr>
            <w:r>
              <w:t>4817套</w:t>
            </w:r>
          </w:p>
        </w:tc>
        <w:tc>
          <w:tcPr>
            <w:tcW w:w="1276" w:type="dxa"/>
            <w:vAlign w:val="center"/>
          </w:tcPr>
          <w:p w14:paraId="78A2F34E">
            <w:pPr>
              <w:pStyle w:val="12"/>
            </w:pPr>
            <w:r>
              <w:t>2026年项目规划</w:t>
            </w:r>
          </w:p>
        </w:tc>
      </w:tr>
      <w:tr w14:paraId="39ED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84D6B"/>
        </w:tc>
        <w:tc>
          <w:tcPr>
            <w:tcW w:w="2268" w:type="dxa"/>
            <w:vAlign w:val="center"/>
          </w:tcPr>
          <w:p w14:paraId="65ADA9D2">
            <w:pPr>
              <w:pStyle w:val="12"/>
            </w:pPr>
            <w:r>
              <w:t>质量指标</w:t>
            </w:r>
          </w:p>
        </w:tc>
        <w:tc>
          <w:tcPr>
            <w:tcW w:w="2835" w:type="dxa"/>
            <w:vAlign w:val="center"/>
          </w:tcPr>
          <w:p w14:paraId="38B09802">
            <w:pPr>
              <w:pStyle w:val="12"/>
            </w:pPr>
            <w:r>
              <w:t>购置产品质量合格率</w:t>
            </w:r>
          </w:p>
        </w:tc>
        <w:tc>
          <w:tcPr>
            <w:tcW w:w="5386" w:type="dxa"/>
            <w:vAlign w:val="center"/>
          </w:tcPr>
          <w:p w14:paraId="2DC56D22">
            <w:pPr>
              <w:pStyle w:val="12"/>
            </w:pPr>
            <w:r>
              <w:t>依据国家教学设备购置标准，所有产品设备达到国家相关规定要求，质量合格</w:t>
            </w:r>
          </w:p>
        </w:tc>
        <w:tc>
          <w:tcPr>
            <w:tcW w:w="2268" w:type="dxa"/>
            <w:vAlign w:val="center"/>
          </w:tcPr>
          <w:p w14:paraId="29B3DAC6">
            <w:pPr>
              <w:pStyle w:val="12"/>
            </w:pPr>
            <w:r>
              <w:t>100%</w:t>
            </w:r>
          </w:p>
        </w:tc>
        <w:tc>
          <w:tcPr>
            <w:tcW w:w="1276" w:type="dxa"/>
            <w:vAlign w:val="center"/>
          </w:tcPr>
          <w:p w14:paraId="21E7BB38">
            <w:pPr>
              <w:pStyle w:val="12"/>
            </w:pPr>
            <w:r>
              <w:t>2026年项目规划</w:t>
            </w:r>
          </w:p>
        </w:tc>
      </w:tr>
      <w:tr w14:paraId="0371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39D58"/>
        </w:tc>
        <w:tc>
          <w:tcPr>
            <w:tcW w:w="2268" w:type="dxa"/>
            <w:vAlign w:val="center"/>
          </w:tcPr>
          <w:p w14:paraId="4F40A366">
            <w:pPr>
              <w:pStyle w:val="12"/>
            </w:pPr>
            <w:r>
              <w:t>时效指标</w:t>
            </w:r>
          </w:p>
        </w:tc>
        <w:tc>
          <w:tcPr>
            <w:tcW w:w="2835" w:type="dxa"/>
            <w:vAlign w:val="center"/>
          </w:tcPr>
          <w:p w14:paraId="7534E874">
            <w:pPr>
              <w:pStyle w:val="12"/>
            </w:pPr>
            <w:r>
              <w:t>购置产品按时完成率</w:t>
            </w:r>
          </w:p>
        </w:tc>
        <w:tc>
          <w:tcPr>
            <w:tcW w:w="5386" w:type="dxa"/>
            <w:vAlign w:val="center"/>
          </w:tcPr>
          <w:p w14:paraId="3B5DABC5">
            <w:pPr>
              <w:pStyle w:val="12"/>
            </w:pPr>
            <w:r>
              <w:t>按时完成购置</w:t>
            </w:r>
          </w:p>
        </w:tc>
        <w:tc>
          <w:tcPr>
            <w:tcW w:w="2268" w:type="dxa"/>
            <w:vAlign w:val="center"/>
          </w:tcPr>
          <w:p w14:paraId="3B2A2FE5">
            <w:pPr>
              <w:pStyle w:val="12"/>
            </w:pPr>
            <w:r>
              <w:t>100%</w:t>
            </w:r>
          </w:p>
        </w:tc>
        <w:tc>
          <w:tcPr>
            <w:tcW w:w="1276" w:type="dxa"/>
            <w:vAlign w:val="center"/>
          </w:tcPr>
          <w:p w14:paraId="46B2A5D9">
            <w:pPr>
              <w:pStyle w:val="12"/>
            </w:pPr>
            <w:r>
              <w:t>2026年项目规划</w:t>
            </w:r>
          </w:p>
        </w:tc>
      </w:tr>
      <w:tr w14:paraId="0FFD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EB8EB"/>
        </w:tc>
        <w:tc>
          <w:tcPr>
            <w:tcW w:w="2268" w:type="dxa"/>
            <w:vAlign w:val="center"/>
          </w:tcPr>
          <w:p w14:paraId="05D50C71">
            <w:pPr>
              <w:pStyle w:val="12"/>
            </w:pPr>
            <w:r>
              <w:t>成本指标</w:t>
            </w:r>
          </w:p>
        </w:tc>
        <w:tc>
          <w:tcPr>
            <w:tcW w:w="2835" w:type="dxa"/>
            <w:vAlign w:val="center"/>
          </w:tcPr>
          <w:p w14:paraId="48C01966">
            <w:pPr>
              <w:pStyle w:val="12"/>
            </w:pPr>
            <w:r>
              <w:t>采购成本</w:t>
            </w:r>
          </w:p>
        </w:tc>
        <w:tc>
          <w:tcPr>
            <w:tcW w:w="5386" w:type="dxa"/>
            <w:vAlign w:val="center"/>
          </w:tcPr>
          <w:p w14:paraId="770F03C6">
            <w:pPr>
              <w:pStyle w:val="12"/>
            </w:pPr>
            <w:r>
              <w:t>实行政府采购招投标</w:t>
            </w:r>
          </w:p>
        </w:tc>
        <w:tc>
          <w:tcPr>
            <w:tcW w:w="2268" w:type="dxa"/>
            <w:vAlign w:val="center"/>
          </w:tcPr>
          <w:p w14:paraId="76B8DDB7">
            <w:pPr>
              <w:pStyle w:val="12"/>
            </w:pPr>
            <w:r>
              <w:t>328万元</w:t>
            </w:r>
          </w:p>
        </w:tc>
        <w:tc>
          <w:tcPr>
            <w:tcW w:w="1276" w:type="dxa"/>
            <w:vAlign w:val="center"/>
          </w:tcPr>
          <w:p w14:paraId="0A8F9DB5">
            <w:pPr>
              <w:pStyle w:val="12"/>
            </w:pPr>
            <w:r>
              <w:t>2026年项目规划</w:t>
            </w:r>
          </w:p>
        </w:tc>
      </w:tr>
      <w:tr w14:paraId="3D16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DC286">
            <w:pPr>
              <w:pStyle w:val="13"/>
            </w:pPr>
            <w:r>
              <w:t>效益指标</w:t>
            </w:r>
          </w:p>
        </w:tc>
        <w:tc>
          <w:tcPr>
            <w:tcW w:w="2268" w:type="dxa"/>
            <w:vAlign w:val="center"/>
          </w:tcPr>
          <w:p w14:paraId="0FF50CA8">
            <w:pPr>
              <w:pStyle w:val="12"/>
            </w:pPr>
            <w:r>
              <w:t>经济效益指标</w:t>
            </w:r>
          </w:p>
        </w:tc>
        <w:tc>
          <w:tcPr>
            <w:tcW w:w="2835" w:type="dxa"/>
            <w:vAlign w:val="center"/>
          </w:tcPr>
          <w:p w14:paraId="17980A79">
            <w:pPr>
              <w:pStyle w:val="12"/>
            </w:pPr>
            <w:r>
              <w:t>高中教育毛入学率</w:t>
            </w:r>
          </w:p>
        </w:tc>
        <w:tc>
          <w:tcPr>
            <w:tcW w:w="5386" w:type="dxa"/>
            <w:vAlign w:val="center"/>
          </w:tcPr>
          <w:p w14:paraId="2BF798F3">
            <w:pPr>
              <w:pStyle w:val="12"/>
            </w:pPr>
            <w:r>
              <w:t>大幅度提升高中阶段毛入学率</w:t>
            </w:r>
          </w:p>
        </w:tc>
        <w:tc>
          <w:tcPr>
            <w:tcW w:w="2268" w:type="dxa"/>
            <w:vAlign w:val="center"/>
          </w:tcPr>
          <w:p w14:paraId="63F486BA">
            <w:pPr>
              <w:pStyle w:val="12"/>
            </w:pPr>
            <w:r>
              <w:t>≥90%</w:t>
            </w:r>
          </w:p>
        </w:tc>
        <w:tc>
          <w:tcPr>
            <w:tcW w:w="1276" w:type="dxa"/>
            <w:vAlign w:val="center"/>
          </w:tcPr>
          <w:p w14:paraId="1868A694">
            <w:pPr>
              <w:pStyle w:val="12"/>
            </w:pPr>
            <w:r>
              <w:t>2026年项目规划</w:t>
            </w:r>
          </w:p>
        </w:tc>
      </w:tr>
      <w:tr w14:paraId="3982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01076"/>
        </w:tc>
        <w:tc>
          <w:tcPr>
            <w:tcW w:w="2268" w:type="dxa"/>
            <w:vAlign w:val="center"/>
          </w:tcPr>
          <w:p w14:paraId="08AF4168">
            <w:pPr>
              <w:pStyle w:val="12"/>
            </w:pPr>
            <w:r>
              <w:t>社会效益指标</w:t>
            </w:r>
          </w:p>
        </w:tc>
        <w:tc>
          <w:tcPr>
            <w:tcW w:w="2835" w:type="dxa"/>
            <w:vAlign w:val="center"/>
          </w:tcPr>
          <w:p w14:paraId="05AA2CA3">
            <w:pPr>
              <w:pStyle w:val="12"/>
            </w:pPr>
            <w:r>
              <w:t>受益数</w:t>
            </w:r>
          </w:p>
        </w:tc>
        <w:tc>
          <w:tcPr>
            <w:tcW w:w="5386" w:type="dxa"/>
            <w:vAlign w:val="center"/>
          </w:tcPr>
          <w:p w14:paraId="622F5B97">
            <w:pPr>
              <w:pStyle w:val="12"/>
            </w:pPr>
            <w:r>
              <w:t>受益学生人数</w:t>
            </w:r>
          </w:p>
        </w:tc>
        <w:tc>
          <w:tcPr>
            <w:tcW w:w="2268" w:type="dxa"/>
            <w:vAlign w:val="center"/>
          </w:tcPr>
          <w:p w14:paraId="77537C73">
            <w:pPr>
              <w:pStyle w:val="12"/>
            </w:pPr>
            <w:r>
              <w:t>≥897人</w:t>
            </w:r>
          </w:p>
        </w:tc>
        <w:tc>
          <w:tcPr>
            <w:tcW w:w="1276" w:type="dxa"/>
            <w:vAlign w:val="center"/>
          </w:tcPr>
          <w:p w14:paraId="3F9430D1">
            <w:pPr>
              <w:pStyle w:val="12"/>
            </w:pPr>
            <w:r>
              <w:t>2026年项目规划</w:t>
            </w:r>
          </w:p>
        </w:tc>
      </w:tr>
      <w:tr w14:paraId="3BAE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C0A1E"/>
        </w:tc>
        <w:tc>
          <w:tcPr>
            <w:tcW w:w="2268" w:type="dxa"/>
            <w:vAlign w:val="center"/>
          </w:tcPr>
          <w:p w14:paraId="496F34AB">
            <w:pPr>
              <w:pStyle w:val="12"/>
            </w:pPr>
            <w:r>
              <w:t>可持续影响指标</w:t>
            </w:r>
          </w:p>
        </w:tc>
        <w:tc>
          <w:tcPr>
            <w:tcW w:w="2835" w:type="dxa"/>
            <w:vAlign w:val="center"/>
          </w:tcPr>
          <w:p w14:paraId="4A262673">
            <w:pPr>
              <w:pStyle w:val="12"/>
            </w:pPr>
            <w:r>
              <w:t>购置设备使用年限</w:t>
            </w:r>
          </w:p>
        </w:tc>
        <w:tc>
          <w:tcPr>
            <w:tcW w:w="5386" w:type="dxa"/>
            <w:vAlign w:val="center"/>
          </w:tcPr>
          <w:p w14:paraId="36F58642">
            <w:pPr>
              <w:pStyle w:val="12"/>
            </w:pPr>
            <w:r>
              <w:t>购置设备使用年限</w:t>
            </w:r>
          </w:p>
        </w:tc>
        <w:tc>
          <w:tcPr>
            <w:tcW w:w="2268" w:type="dxa"/>
            <w:vAlign w:val="center"/>
          </w:tcPr>
          <w:p w14:paraId="1BF22B97">
            <w:pPr>
              <w:pStyle w:val="12"/>
            </w:pPr>
            <w:r>
              <w:t>≥10年</w:t>
            </w:r>
          </w:p>
        </w:tc>
        <w:tc>
          <w:tcPr>
            <w:tcW w:w="1276" w:type="dxa"/>
            <w:vAlign w:val="center"/>
          </w:tcPr>
          <w:p w14:paraId="48B5BA50">
            <w:pPr>
              <w:pStyle w:val="12"/>
            </w:pPr>
            <w:r>
              <w:t>2026年项目规划</w:t>
            </w:r>
          </w:p>
        </w:tc>
      </w:tr>
      <w:tr w14:paraId="1DA3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7297B">
            <w:pPr>
              <w:pStyle w:val="13"/>
            </w:pPr>
            <w:r>
              <w:t>满意度指标</w:t>
            </w:r>
          </w:p>
        </w:tc>
        <w:tc>
          <w:tcPr>
            <w:tcW w:w="2268" w:type="dxa"/>
            <w:vAlign w:val="center"/>
          </w:tcPr>
          <w:p w14:paraId="288D4D23">
            <w:pPr>
              <w:pStyle w:val="12"/>
            </w:pPr>
            <w:r>
              <w:t>服务对象满意度指标</w:t>
            </w:r>
          </w:p>
        </w:tc>
        <w:tc>
          <w:tcPr>
            <w:tcW w:w="2835" w:type="dxa"/>
            <w:vAlign w:val="center"/>
          </w:tcPr>
          <w:p w14:paraId="03E4C88A">
            <w:pPr>
              <w:pStyle w:val="12"/>
            </w:pPr>
            <w:r>
              <w:t>教师学生满意度</w:t>
            </w:r>
          </w:p>
        </w:tc>
        <w:tc>
          <w:tcPr>
            <w:tcW w:w="5386" w:type="dxa"/>
            <w:vAlign w:val="center"/>
          </w:tcPr>
          <w:p w14:paraId="527A8940">
            <w:pPr>
              <w:pStyle w:val="12"/>
            </w:pPr>
            <w:r>
              <w:t>教师学生满意度</w:t>
            </w:r>
          </w:p>
        </w:tc>
        <w:tc>
          <w:tcPr>
            <w:tcW w:w="2268" w:type="dxa"/>
            <w:vAlign w:val="center"/>
          </w:tcPr>
          <w:p w14:paraId="368E2F5B">
            <w:pPr>
              <w:pStyle w:val="12"/>
            </w:pPr>
            <w:r>
              <w:t>≥98%</w:t>
            </w:r>
          </w:p>
        </w:tc>
        <w:tc>
          <w:tcPr>
            <w:tcW w:w="1276" w:type="dxa"/>
            <w:vAlign w:val="center"/>
          </w:tcPr>
          <w:p w14:paraId="1312C820">
            <w:pPr>
              <w:pStyle w:val="12"/>
            </w:pPr>
            <w:r>
              <w:t>2026年项目规划</w:t>
            </w:r>
          </w:p>
        </w:tc>
      </w:tr>
    </w:tbl>
    <w:p w14:paraId="62546D09">
      <w:pPr>
        <w:sectPr>
          <w:pgSz w:w="16840" w:h="11900" w:orient="landscape"/>
          <w:pgMar w:top="1361" w:right="1020" w:bottom="1134" w:left="1020" w:header="720" w:footer="720" w:gutter="0"/>
          <w:cols w:space="720" w:num="1"/>
        </w:sectPr>
      </w:pPr>
    </w:p>
    <w:p w14:paraId="18632C10">
      <w:pPr>
        <w:spacing w:before="0" w:after="0"/>
        <w:ind w:firstLine="560"/>
        <w:jc w:val="left"/>
        <w:outlineLvl w:val="9"/>
      </w:pPr>
      <w:r>
        <w:rPr>
          <w:rFonts w:ascii="方正仿宋_GBK" w:hAnsi="方正仿宋_GBK" w:eastAsia="方正仿宋_GBK" w:cs="方正仿宋_GBK"/>
          <w:b/>
          <w:color w:val="000000"/>
          <w:sz w:val="28"/>
        </w:rPr>
        <w:t>7、冀财教[2025]142号/省级/2026年职教发展/中职两免（职教中职）建档立卡绩效目标表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18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11F50">
            <w:pPr>
              <w:pStyle w:val="11"/>
            </w:pPr>
            <w:r>
              <w:t>单位：万元</w:t>
            </w:r>
          </w:p>
        </w:tc>
      </w:tr>
      <w:tr w14:paraId="18711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B08DC">
            <w:pPr>
              <w:pStyle w:val="10"/>
            </w:pPr>
            <w:r>
              <w:t>项目编码</w:t>
            </w:r>
          </w:p>
        </w:tc>
        <w:tc>
          <w:tcPr>
            <w:tcW w:w="5103" w:type="dxa"/>
            <w:gridSpan w:val="2"/>
            <w:vAlign w:val="center"/>
          </w:tcPr>
          <w:p w14:paraId="74D23531">
            <w:pPr>
              <w:pStyle w:val="12"/>
            </w:pPr>
            <w:r>
              <w:t>13052526P000012100615</w:t>
            </w:r>
          </w:p>
        </w:tc>
        <w:tc>
          <w:tcPr>
            <w:tcW w:w="2835" w:type="dxa"/>
            <w:vAlign w:val="center"/>
          </w:tcPr>
          <w:p w14:paraId="691961C8">
            <w:pPr>
              <w:pStyle w:val="10"/>
            </w:pPr>
            <w:r>
              <w:t>项目名称</w:t>
            </w:r>
          </w:p>
        </w:tc>
        <w:tc>
          <w:tcPr>
            <w:tcW w:w="6095" w:type="dxa"/>
            <w:gridSpan w:val="3"/>
            <w:vAlign w:val="center"/>
          </w:tcPr>
          <w:p w14:paraId="14D9B0C4">
            <w:pPr>
              <w:pStyle w:val="12"/>
            </w:pPr>
            <w:r>
              <w:t>冀财教[2025]142号/省级/2026年职教发展/中职两免（职教中职）建档立卡</w:t>
            </w:r>
          </w:p>
        </w:tc>
      </w:tr>
      <w:tr w14:paraId="283FC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CA08B">
            <w:pPr>
              <w:pStyle w:val="10"/>
            </w:pPr>
            <w:r>
              <w:t>预算规模及资金用途</w:t>
            </w:r>
          </w:p>
        </w:tc>
        <w:tc>
          <w:tcPr>
            <w:tcW w:w="2268" w:type="dxa"/>
            <w:vAlign w:val="center"/>
          </w:tcPr>
          <w:p w14:paraId="1D66590E">
            <w:pPr>
              <w:pStyle w:val="10"/>
            </w:pPr>
            <w:r>
              <w:t>预算数</w:t>
            </w:r>
          </w:p>
        </w:tc>
        <w:tc>
          <w:tcPr>
            <w:tcW w:w="2835" w:type="dxa"/>
            <w:vAlign w:val="center"/>
          </w:tcPr>
          <w:p w14:paraId="58D2560E">
            <w:pPr>
              <w:pStyle w:val="12"/>
            </w:pPr>
            <w:r>
              <w:t>0.70</w:t>
            </w:r>
          </w:p>
        </w:tc>
        <w:tc>
          <w:tcPr>
            <w:tcW w:w="2835" w:type="dxa"/>
            <w:vAlign w:val="center"/>
          </w:tcPr>
          <w:p w14:paraId="5ADC1F1E">
            <w:pPr>
              <w:pStyle w:val="10"/>
            </w:pPr>
            <w:r>
              <w:t>其中：财政    资金</w:t>
            </w:r>
          </w:p>
        </w:tc>
        <w:tc>
          <w:tcPr>
            <w:tcW w:w="2551" w:type="dxa"/>
            <w:vAlign w:val="center"/>
          </w:tcPr>
          <w:p w14:paraId="72AFC21F">
            <w:pPr>
              <w:pStyle w:val="12"/>
            </w:pPr>
            <w:r>
              <w:t>0.70</w:t>
            </w:r>
          </w:p>
        </w:tc>
        <w:tc>
          <w:tcPr>
            <w:tcW w:w="2268" w:type="dxa"/>
            <w:vAlign w:val="center"/>
          </w:tcPr>
          <w:p w14:paraId="5F4F8679">
            <w:pPr>
              <w:pStyle w:val="10"/>
            </w:pPr>
            <w:r>
              <w:t>其他资金</w:t>
            </w:r>
          </w:p>
        </w:tc>
        <w:tc>
          <w:tcPr>
            <w:tcW w:w="1276" w:type="dxa"/>
            <w:vAlign w:val="center"/>
          </w:tcPr>
          <w:p w14:paraId="21AC8937">
            <w:pPr>
              <w:pStyle w:val="12"/>
            </w:pPr>
            <w:r>
              <w:t xml:space="preserve"> </w:t>
            </w:r>
          </w:p>
        </w:tc>
      </w:tr>
      <w:tr w14:paraId="7E650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1E02B"/>
        </w:tc>
        <w:tc>
          <w:tcPr>
            <w:tcW w:w="14033" w:type="dxa"/>
            <w:gridSpan w:val="6"/>
            <w:vAlign w:val="center"/>
          </w:tcPr>
          <w:p w14:paraId="2792B4CD">
            <w:pPr>
              <w:pStyle w:val="12"/>
            </w:pPr>
            <w:r>
              <w:t>省级安排0.7万元，用于减免我校建档立卡学生免除住宿费、教科书费</w:t>
            </w:r>
          </w:p>
        </w:tc>
      </w:tr>
      <w:tr w14:paraId="7CB4D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F552D">
            <w:pPr>
              <w:pStyle w:val="10"/>
            </w:pPr>
            <w:r>
              <w:t>资金支出计划（%）</w:t>
            </w:r>
          </w:p>
        </w:tc>
        <w:tc>
          <w:tcPr>
            <w:tcW w:w="5103" w:type="dxa"/>
            <w:gridSpan w:val="2"/>
            <w:vAlign w:val="center"/>
          </w:tcPr>
          <w:p w14:paraId="69364A8D">
            <w:pPr>
              <w:pStyle w:val="10"/>
            </w:pPr>
            <w:r>
              <w:t>3月底</w:t>
            </w:r>
          </w:p>
        </w:tc>
        <w:tc>
          <w:tcPr>
            <w:tcW w:w="2835" w:type="dxa"/>
            <w:vAlign w:val="center"/>
          </w:tcPr>
          <w:p w14:paraId="45876537">
            <w:pPr>
              <w:pStyle w:val="10"/>
            </w:pPr>
            <w:r>
              <w:t>6月底</w:t>
            </w:r>
          </w:p>
        </w:tc>
        <w:tc>
          <w:tcPr>
            <w:tcW w:w="2551" w:type="dxa"/>
            <w:vAlign w:val="center"/>
          </w:tcPr>
          <w:p w14:paraId="3F9F40C8">
            <w:pPr>
              <w:pStyle w:val="10"/>
            </w:pPr>
            <w:r>
              <w:t>10月底</w:t>
            </w:r>
          </w:p>
        </w:tc>
        <w:tc>
          <w:tcPr>
            <w:tcW w:w="3544" w:type="dxa"/>
            <w:gridSpan w:val="2"/>
            <w:vAlign w:val="center"/>
          </w:tcPr>
          <w:p w14:paraId="37B489B3">
            <w:pPr>
              <w:pStyle w:val="10"/>
            </w:pPr>
            <w:r>
              <w:t>12月底</w:t>
            </w:r>
          </w:p>
        </w:tc>
      </w:tr>
      <w:tr w14:paraId="4CC0C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998F6"/>
        </w:tc>
        <w:tc>
          <w:tcPr>
            <w:tcW w:w="5103" w:type="dxa"/>
            <w:gridSpan w:val="2"/>
            <w:vAlign w:val="center"/>
          </w:tcPr>
          <w:p w14:paraId="3192AC3F">
            <w:pPr>
              <w:pStyle w:val="13"/>
            </w:pPr>
            <w:r>
              <w:t xml:space="preserve"> </w:t>
            </w:r>
          </w:p>
        </w:tc>
        <w:tc>
          <w:tcPr>
            <w:tcW w:w="2835" w:type="dxa"/>
            <w:vAlign w:val="center"/>
          </w:tcPr>
          <w:p w14:paraId="6468F060">
            <w:pPr>
              <w:pStyle w:val="13"/>
            </w:pPr>
            <w:r>
              <w:t>50%</w:t>
            </w:r>
          </w:p>
        </w:tc>
        <w:tc>
          <w:tcPr>
            <w:tcW w:w="2551" w:type="dxa"/>
            <w:vAlign w:val="center"/>
          </w:tcPr>
          <w:p w14:paraId="6C6F22F7">
            <w:pPr>
              <w:pStyle w:val="13"/>
            </w:pPr>
            <w:r>
              <w:t>50%</w:t>
            </w:r>
          </w:p>
        </w:tc>
        <w:tc>
          <w:tcPr>
            <w:tcW w:w="3544" w:type="dxa"/>
            <w:gridSpan w:val="2"/>
            <w:vAlign w:val="center"/>
          </w:tcPr>
          <w:p w14:paraId="2AAF2DDD">
            <w:pPr>
              <w:pStyle w:val="13"/>
            </w:pPr>
            <w:r>
              <w:t>100%</w:t>
            </w:r>
          </w:p>
        </w:tc>
      </w:tr>
      <w:tr w14:paraId="0EB48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438BA">
            <w:pPr>
              <w:pStyle w:val="10"/>
            </w:pPr>
            <w:r>
              <w:t>绩效目标</w:t>
            </w:r>
          </w:p>
        </w:tc>
        <w:tc>
          <w:tcPr>
            <w:tcW w:w="14033" w:type="dxa"/>
            <w:gridSpan w:val="6"/>
            <w:vAlign w:val="center"/>
          </w:tcPr>
          <w:p w14:paraId="6AF1D3BB">
            <w:pPr>
              <w:pStyle w:val="12"/>
            </w:pPr>
            <w:r>
              <w:t>1.省级安排0.7万元，用于减免我校建档立卡学生免除住宿费、教科书费</w:t>
            </w:r>
          </w:p>
        </w:tc>
      </w:tr>
    </w:tbl>
    <w:p w14:paraId="3B8C9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8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1D31D">
            <w:pPr>
              <w:pStyle w:val="10"/>
            </w:pPr>
            <w:r>
              <w:t>一级指标</w:t>
            </w:r>
          </w:p>
        </w:tc>
        <w:tc>
          <w:tcPr>
            <w:tcW w:w="2268" w:type="dxa"/>
            <w:vAlign w:val="center"/>
          </w:tcPr>
          <w:p w14:paraId="530846EF">
            <w:pPr>
              <w:pStyle w:val="10"/>
            </w:pPr>
            <w:r>
              <w:t>二级指标</w:t>
            </w:r>
          </w:p>
        </w:tc>
        <w:tc>
          <w:tcPr>
            <w:tcW w:w="2835" w:type="dxa"/>
            <w:vAlign w:val="center"/>
          </w:tcPr>
          <w:p w14:paraId="586B327B">
            <w:pPr>
              <w:pStyle w:val="10"/>
            </w:pPr>
            <w:r>
              <w:t>三级指标</w:t>
            </w:r>
          </w:p>
        </w:tc>
        <w:tc>
          <w:tcPr>
            <w:tcW w:w="5386" w:type="dxa"/>
            <w:vAlign w:val="center"/>
          </w:tcPr>
          <w:p w14:paraId="1C2DAA73">
            <w:pPr>
              <w:pStyle w:val="10"/>
            </w:pPr>
            <w:r>
              <w:t>绩效指标描述</w:t>
            </w:r>
          </w:p>
        </w:tc>
        <w:tc>
          <w:tcPr>
            <w:tcW w:w="2268" w:type="dxa"/>
            <w:vAlign w:val="center"/>
          </w:tcPr>
          <w:p w14:paraId="13262B74">
            <w:pPr>
              <w:pStyle w:val="10"/>
            </w:pPr>
            <w:r>
              <w:t>指标值</w:t>
            </w:r>
          </w:p>
        </w:tc>
        <w:tc>
          <w:tcPr>
            <w:tcW w:w="1276" w:type="dxa"/>
            <w:vAlign w:val="center"/>
          </w:tcPr>
          <w:p w14:paraId="2E545D7E">
            <w:pPr>
              <w:pStyle w:val="10"/>
            </w:pPr>
            <w:r>
              <w:t>指标值确定依据</w:t>
            </w:r>
          </w:p>
        </w:tc>
      </w:tr>
      <w:tr w14:paraId="4E02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17749">
            <w:pPr>
              <w:pStyle w:val="13"/>
            </w:pPr>
            <w:r>
              <w:t>产出指标</w:t>
            </w:r>
          </w:p>
        </w:tc>
        <w:tc>
          <w:tcPr>
            <w:tcW w:w="2268" w:type="dxa"/>
            <w:vAlign w:val="center"/>
          </w:tcPr>
          <w:p w14:paraId="19668DC4">
            <w:pPr>
              <w:pStyle w:val="12"/>
            </w:pPr>
            <w:r>
              <w:t>数量指标</w:t>
            </w:r>
          </w:p>
        </w:tc>
        <w:tc>
          <w:tcPr>
            <w:tcW w:w="2835" w:type="dxa"/>
            <w:vAlign w:val="center"/>
          </w:tcPr>
          <w:p w14:paraId="70C53124">
            <w:pPr>
              <w:pStyle w:val="12"/>
            </w:pPr>
            <w:r>
              <w:t>中职享受三免人数</w:t>
            </w:r>
          </w:p>
        </w:tc>
        <w:tc>
          <w:tcPr>
            <w:tcW w:w="5386" w:type="dxa"/>
            <w:vAlign w:val="center"/>
          </w:tcPr>
          <w:p w14:paraId="597B2E28">
            <w:pPr>
              <w:pStyle w:val="12"/>
            </w:pPr>
            <w:r>
              <w:t>中职享受住宿费书费人数</w:t>
            </w:r>
          </w:p>
        </w:tc>
        <w:tc>
          <w:tcPr>
            <w:tcW w:w="2268" w:type="dxa"/>
            <w:vAlign w:val="center"/>
          </w:tcPr>
          <w:p w14:paraId="7347380E">
            <w:pPr>
              <w:pStyle w:val="12"/>
            </w:pPr>
            <w:r>
              <w:t>31人</w:t>
            </w:r>
          </w:p>
        </w:tc>
        <w:tc>
          <w:tcPr>
            <w:tcW w:w="1276" w:type="dxa"/>
            <w:vAlign w:val="center"/>
          </w:tcPr>
          <w:p w14:paraId="7004DB24">
            <w:pPr>
              <w:pStyle w:val="12"/>
            </w:pPr>
            <w:r>
              <w:t>河北省建档立卡家庭经济困难学生资助管理暂行办法</w:t>
            </w:r>
          </w:p>
        </w:tc>
      </w:tr>
      <w:tr w14:paraId="7E731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F4C32"/>
        </w:tc>
        <w:tc>
          <w:tcPr>
            <w:tcW w:w="2268" w:type="dxa"/>
            <w:vAlign w:val="center"/>
          </w:tcPr>
          <w:p w14:paraId="1262D30B">
            <w:pPr>
              <w:pStyle w:val="12"/>
            </w:pPr>
            <w:r>
              <w:t>质量指标</w:t>
            </w:r>
          </w:p>
        </w:tc>
        <w:tc>
          <w:tcPr>
            <w:tcW w:w="2835" w:type="dxa"/>
            <w:vAlign w:val="center"/>
          </w:tcPr>
          <w:p w14:paraId="1935F0C2">
            <w:pPr>
              <w:pStyle w:val="12"/>
            </w:pPr>
            <w:r>
              <w:t>完成中职两免资金发放工作</w:t>
            </w:r>
          </w:p>
        </w:tc>
        <w:tc>
          <w:tcPr>
            <w:tcW w:w="5386" w:type="dxa"/>
            <w:vAlign w:val="center"/>
          </w:tcPr>
          <w:p w14:paraId="17786BA0">
            <w:pPr>
              <w:pStyle w:val="12"/>
            </w:pPr>
            <w:r>
              <w:t>中职两免为建档立卡学生</w:t>
            </w:r>
          </w:p>
        </w:tc>
        <w:tc>
          <w:tcPr>
            <w:tcW w:w="2268" w:type="dxa"/>
            <w:vAlign w:val="center"/>
          </w:tcPr>
          <w:p w14:paraId="06A0FA3D">
            <w:pPr>
              <w:pStyle w:val="12"/>
            </w:pPr>
            <w:r>
              <w:t>100%</w:t>
            </w:r>
          </w:p>
        </w:tc>
        <w:tc>
          <w:tcPr>
            <w:tcW w:w="1276" w:type="dxa"/>
            <w:vAlign w:val="center"/>
          </w:tcPr>
          <w:p w14:paraId="45AEA825">
            <w:pPr>
              <w:pStyle w:val="12"/>
            </w:pPr>
            <w:r>
              <w:t>河北省建档立卡家庭经济困难学生资助管理暂行办法</w:t>
            </w:r>
          </w:p>
        </w:tc>
      </w:tr>
      <w:tr w14:paraId="1C24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11382"/>
        </w:tc>
        <w:tc>
          <w:tcPr>
            <w:tcW w:w="2268" w:type="dxa"/>
            <w:vAlign w:val="center"/>
          </w:tcPr>
          <w:p w14:paraId="63696C07">
            <w:pPr>
              <w:pStyle w:val="12"/>
            </w:pPr>
            <w:r>
              <w:t>时效指标</w:t>
            </w:r>
          </w:p>
        </w:tc>
        <w:tc>
          <w:tcPr>
            <w:tcW w:w="2835" w:type="dxa"/>
            <w:vAlign w:val="center"/>
          </w:tcPr>
          <w:p w14:paraId="62900306">
            <w:pPr>
              <w:pStyle w:val="12"/>
            </w:pPr>
            <w:r>
              <w:t>补助资金及时足额发放率</w:t>
            </w:r>
          </w:p>
        </w:tc>
        <w:tc>
          <w:tcPr>
            <w:tcW w:w="5386" w:type="dxa"/>
            <w:vAlign w:val="center"/>
          </w:tcPr>
          <w:p w14:paraId="3930506B">
            <w:pPr>
              <w:pStyle w:val="12"/>
            </w:pPr>
            <w:r>
              <w:t>补助资金及时足额到位率</w:t>
            </w:r>
          </w:p>
        </w:tc>
        <w:tc>
          <w:tcPr>
            <w:tcW w:w="2268" w:type="dxa"/>
            <w:vAlign w:val="center"/>
          </w:tcPr>
          <w:p w14:paraId="347589AC">
            <w:pPr>
              <w:pStyle w:val="12"/>
            </w:pPr>
            <w:r>
              <w:t>100%</w:t>
            </w:r>
          </w:p>
        </w:tc>
        <w:tc>
          <w:tcPr>
            <w:tcW w:w="1276" w:type="dxa"/>
            <w:vAlign w:val="center"/>
          </w:tcPr>
          <w:p w14:paraId="4E06CE8F">
            <w:pPr>
              <w:pStyle w:val="12"/>
            </w:pPr>
            <w:r>
              <w:t>河北省建档立卡家庭经济困难学生资助管理暂行办法</w:t>
            </w:r>
          </w:p>
        </w:tc>
      </w:tr>
      <w:tr w14:paraId="0AF7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9EF4"/>
        </w:tc>
        <w:tc>
          <w:tcPr>
            <w:tcW w:w="2268" w:type="dxa"/>
            <w:vAlign w:val="center"/>
          </w:tcPr>
          <w:p w14:paraId="33547117">
            <w:pPr>
              <w:pStyle w:val="12"/>
            </w:pPr>
            <w:r>
              <w:t>成本指标</w:t>
            </w:r>
          </w:p>
        </w:tc>
        <w:tc>
          <w:tcPr>
            <w:tcW w:w="2835" w:type="dxa"/>
            <w:vAlign w:val="center"/>
          </w:tcPr>
          <w:p w14:paraId="64A3A781">
            <w:pPr>
              <w:pStyle w:val="12"/>
            </w:pPr>
            <w:r>
              <w:t>免费标准</w:t>
            </w:r>
          </w:p>
        </w:tc>
        <w:tc>
          <w:tcPr>
            <w:tcW w:w="5386" w:type="dxa"/>
            <w:vAlign w:val="center"/>
          </w:tcPr>
          <w:p w14:paraId="2D594B12">
            <w:pPr>
              <w:pStyle w:val="12"/>
            </w:pPr>
            <w:r>
              <w:t>中职住宿费书费800元</w:t>
            </w:r>
          </w:p>
        </w:tc>
        <w:tc>
          <w:tcPr>
            <w:tcW w:w="2268" w:type="dxa"/>
            <w:vAlign w:val="center"/>
          </w:tcPr>
          <w:p w14:paraId="419A5611">
            <w:pPr>
              <w:pStyle w:val="12"/>
            </w:pPr>
            <w:r>
              <w:t>800元/生/年</w:t>
            </w:r>
          </w:p>
        </w:tc>
        <w:tc>
          <w:tcPr>
            <w:tcW w:w="1276" w:type="dxa"/>
            <w:vAlign w:val="center"/>
          </w:tcPr>
          <w:p w14:paraId="0A016B7D">
            <w:pPr>
              <w:pStyle w:val="12"/>
            </w:pPr>
            <w:r>
              <w:t>河北省建档立卡家庭经济困难学生资助管理暂行办法</w:t>
            </w:r>
          </w:p>
        </w:tc>
      </w:tr>
      <w:tr w14:paraId="5118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9A9AB">
            <w:pPr>
              <w:pStyle w:val="13"/>
            </w:pPr>
            <w:r>
              <w:t>效益指标</w:t>
            </w:r>
          </w:p>
        </w:tc>
        <w:tc>
          <w:tcPr>
            <w:tcW w:w="2268" w:type="dxa"/>
            <w:vAlign w:val="center"/>
          </w:tcPr>
          <w:p w14:paraId="0C85664C">
            <w:pPr>
              <w:pStyle w:val="12"/>
            </w:pPr>
            <w:r>
              <w:t>经济效益指标</w:t>
            </w:r>
          </w:p>
        </w:tc>
        <w:tc>
          <w:tcPr>
            <w:tcW w:w="2835" w:type="dxa"/>
            <w:vAlign w:val="center"/>
          </w:tcPr>
          <w:p w14:paraId="76734A18">
            <w:pPr>
              <w:pStyle w:val="12"/>
            </w:pPr>
            <w:r>
              <w:t>减轻家庭负担</w:t>
            </w:r>
          </w:p>
        </w:tc>
        <w:tc>
          <w:tcPr>
            <w:tcW w:w="5386" w:type="dxa"/>
            <w:vAlign w:val="center"/>
          </w:tcPr>
          <w:p w14:paraId="2A5F8CEC">
            <w:pPr>
              <w:pStyle w:val="12"/>
            </w:pPr>
            <w:r>
              <w:t>减轻贫困家庭经济负担</w:t>
            </w:r>
          </w:p>
        </w:tc>
        <w:tc>
          <w:tcPr>
            <w:tcW w:w="2268" w:type="dxa"/>
            <w:vAlign w:val="center"/>
          </w:tcPr>
          <w:p w14:paraId="66294898">
            <w:pPr>
              <w:pStyle w:val="12"/>
            </w:pPr>
            <w:r>
              <w:t>100%</w:t>
            </w:r>
          </w:p>
        </w:tc>
        <w:tc>
          <w:tcPr>
            <w:tcW w:w="1276" w:type="dxa"/>
            <w:vAlign w:val="center"/>
          </w:tcPr>
          <w:p w14:paraId="0C32D9FD">
            <w:pPr>
              <w:pStyle w:val="12"/>
            </w:pPr>
            <w:r>
              <w:t>河北省建档立卡家庭经济困难学生资助管理暂行办法</w:t>
            </w:r>
          </w:p>
        </w:tc>
      </w:tr>
      <w:tr w14:paraId="7C7E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634D8"/>
        </w:tc>
        <w:tc>
          <w:tcPr>
            <w:tcW w:w="2268" w:type="dxa"/>
            <w:vAlign w:val="center"/>
          </w:tcPr>
          <w:p w14:paraId="5932FEAE">
            <w:pPr>
              <w:pStyle w:val="12"/>
            </w:pPr>
            <w:r>
              <w:t>可持续影响指标</w:t>
            </w:r>
          </w:p>
        </w:tc>
        <w:tc>
          <w:tcPr>
            <w:tcW w:w="2835" w:type="dxa"/>
            <w:vAlign w:val="center"/>
          </w:tcPr>
          <w:p w14:paraId="0C331C4B">
            <w:pPr>
              <w:pStyle w:val="12"/>
            </w:pPr>
            <w:r>
              <w:t>中职运转</w:t>
            </w:r>
          </w:p>
        </w:tc>
        <w:tc>
          <w:tcPr>
            <w:tcW w:w="5386" w:type="dxa"/>
            <w:vAlign w:val="center"/>
          </w:tcPr>
          <w:p w14:paraId="2AA60AFA">
            <w:pPr>
              <w:pStyle w:val="12"/>
            </w:pPr>
            <w:r>
              <w:t>中职受教育年限</w:t>
            </w:r>
          </w:p>
        </w:tc>
        <w:tc>
          <w:tcPr>
            <w:tcW w:w="2268" w:type="dxa"/>
            <w:vAlign w:val="center"/>
          </w:tcPr>
          <w:p w14:paraId="78186F64">
            <w:pPr>
              <w:pStyle w:val="12"/>
            </w:pPr>
            <w:r>
              <w:t>3年</w:t>
            </w:r>
          </w:p>
        </w:tc>
        <w:tc>
          <w:tcPr>
            <w:tcW w:w="1276" w:type="dxa"/>
            <w:vAlign w:val="center"/>
          </w:tcPr>
          <w:p w14:paraId="71721C44">
            <w:pPr>
              <w:pStyle w:val="12"/>
            </w:pPr>
            <w:r>
              <w:t>河北省建档立卡家庭经济困难学生资助管理暂行办法</w:t>
            </w:r>
          </w:p>
        </w:tc>
      </w:tr>
      <w:tr w14:paraId="7476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FD2B9">
            <w:pPr>
              <w:pStyle w:val="13"/>
            </w:pPr>
            <w:r>
              <w:t>满意度指标</w:t>
            </w:r>
          </w:p>
        </w:tc>
        <w:tc>
          <w:tcPr>
            <w:tcW w:w="2268" w:type="dxa"/>
            <w:vAlign w:val="center"/>
          </w:tcPr>
          <w:p w14:paraId="73EFB63E">
            <w:pPr>
              <w:pStyle w:val="12"/>
            </w:pPr>
            <w:r>
              <w:t>服务对象满意度指标</w:t>
            </w:r>
          </w:p>
        </w:tc>
        <w:tc>
          <w:tcPr>
            <w:tcW w:w="2835" w:type="dxa"/>
            <w:vAlign w:val="center"/>
          </w:tcPr>
          <w:p w14:paraId="5EF2495C">
            <w:pPr>
              <w:pStyle w:val="12"/>
            </w:pPr>
            <w:r>
              <w:t>提升幸福指数</w:t>
            </w:r>
          </w:p>
        </w:tc>
        <w:tc>
          <w:tcPr>
            <w:tcW w:w="5386" w:type="dxa"/>
            <w:vAlign w:val="center"/>
          </w:tcPr>
          <w:p w14:paraId="049B8788">
            <w:pPr>
              <w:pStyle w:val="12"/>
            </w:pPr>
            <w:r>
              <w:t>提升贫困家庭学生的幸福指数学生家长满</w:t>
            </w:r>
            <w:r>
              <w:rPr>
                <w:rFonts w:hint="eastAsia"/>
                <w:lang w:eastAsia="zh-CN"/>
              </w:rPr>
              <w:t>意度</w:t>
            </w:r>
          </w:p>
        </w:tc>
        <w:tc>
          <w:tcPr>
            <w:tcW w:w="2268" w:type="dxa"/>
            <w:vAlign w:val="center"/>
          </w:tcPr>
          <w:p w14:paraId="3A210F65">
            <w:pPr>
              <w:pStyle w:val="12"/>
            </w:pPr>
            <w:r>
              <w:t>≥96%</w:t>
            </w:r>
          </w:p>
        </w:tc>
        <w:tc>
          <w:tcPr>
            <w:tcW w:w="1276" w:type="dxa"/>
            <w:vAlign w:val="center"/>
          </w:tcPr>
          <w:p w14:paraId="7EE6A3D3">
            <w:pPr>
              <w:pStyle w:val="12"/>
            </w:pPr>
            <w:r>
              <w:t>河北省建档立卡家庭经济困难学生资助管理暂行办法</w:t>
            </w:r>
          </w:p>
        </w:tc>
      </w:tr>
    </w:tbl>
    <w:p w14:paraId="001CFBC3">
      <w:pPr>
        <w:sectPr>
          <w:pgSz w:w="16840" w:h="11900" w:orient="landscape"/>
          <w:pgMar w:top="1361" w:right="1020" w:bottom="1134" w:left="1020" w:header="720" w:footer="720" w:gutter="0"/>
          <w:cols w:space="720" w:num="1"/>
        </w:sectPr>
      </w:pPr>
    </w:p>
    <w:p w14:paraId="1BC6EF92">
      <w:pPr>
        <w:spacing w:before="0" w:after="0"/>
        <w:ind w:firstLine="560"/>
        <w:jc w:val="left"/>
        <w:outlineLvl w:val="9"/>
      </w:pPr>
      <w:r>
        <w:rPr>
          <w:rFonts w:ascii="方正仿宋_GBK" w:hAnsi="方正仿宋_GBK" w:eastAsia="方正仿宋_GBK" w:cs="方正仿宋_GBK"/>
          <w:b/>
          <w:color w:val="000000"/>
          <w:sz w:val="28"/>
        </w:rPr>
        <w:t>8、冀财教[2025]142号/省级/2026年职教发展/中职免学费（职教中职）绩效目标表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C7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E4E7C">
            <w:pPr>
              <w:pStyle w:val="11"/>
            </w:pPr>
            <w:r>
              <w:t>单位：万元</w:t>
            </w:r>
          </w:p>
        </w:tc>
      </w:tr>
      <w:tr w14:paraId="62DAA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94A5D">
            <w:pPr>
              <w:pStyle w:val="10"/>
            </w:pPr>
            <w:r>
              <w:t>项目编码</w:t>
            </w:r>
          </w:p>
        </w:tc>
        <w:tc>
          <w:tcPr>
            <w:tcW w:w="5103" w:type="dxa"/>
            <w:gridSpan w:val="2"/>
            <w:vAlign w:val="center"/>
          </w:tcPr>
          <w:p w14:paraId="0AF12BB8">
            <w:pPr>
              <w:pStyle w:val="12"/>
            </w:pPr>
            <w:r>
              <w:t>13052526P00001210063C</w:t>
            </w:r>
          </w:p>
        </w:tc>
        <w:tc>
          <w:tcPr>
            <w:tcW w:w="2835" w:type="dxa"/>
            <w:vAlign w:val="center"/>
          </w:tcPr>
          <w:p w14:paraId="036796AD">
            <w:pPr>
              <w:pStyle w:val="10"/>
            </w:pPr>
            <w:r>
              <w:t>项目名称</w:t>
            </w:r>
          </w:p>
        </w:tc>
        <w:tc>
          <w:tcPr>
            <w:tcW w:w="6095" w:type="dxa"/>
            <w:gridSpan w:val="3"/>
            <w:vAlign w:val="center"/>
          </w:tcPr>
          <w:p w14:paraId="3A3300C9">
            <w:pPr>
              <w:pStyle w:val="12"/>
            </w:pPr>
            <w:r>
              <w:t>冀财教[2025]142号/省级/2026年职教发展/中职免学费（职教中职）</w:t>
            </w:r>
          </w:p>
        </w:tc>
      </w:tr>
      <w:tr w14:paraId="0A61D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972D2">
            <w:pPr>
              <w:pStyle w:val="10"/>
            </w:pPr>
            <w:r>
              <w:t>预算规模及资金用途</w:t>
            </w:r>
          </w:p>
        </w:tc>
        <w:tc>
          <w:tcPr>
            <w:tcW w:w="2268" w:type="dxa"/>
            <w:vAlign w:val="center"/>
          </w:tcPr>
          <w:p w14:paraId="3F04C873">
            <w:pPr>
              <w:pStyle w:val="10"/>
            </w:pPr>
            <w:r>
              <w:t>预算数</w:t>
            </w:r>
          </w:p>
        </w:tc>
        <w:tc>
          <w:tcPr>
            <w:tcW w:w="2835" w:type="dxa"/>
            <w:vAlign w:val="center"/>
          </w:tcPr>
          <w:p w14:paraId="34CE3E55">
            <w:pPr>
              <w:pStyle w:val="12"/>
            </w:pPr>
            <w:r>
              <w:t>58.00</w:t>
            </w:r>
          </w:p>
        </w:tc>
        <w:tc>
          <w:tcPr>
            <w:tcW w:w="2835" w:type="dxa"/>
            <w:vAlign w:val="center"/>
          </w:tcPr>
          <w:p w14:paraId="132CBB60">
            <w:pPr>
              <w:pStyle w:val="10"/>
            </w:pPr>
            <w:r>
              <w:t>其中：财政    资金</w:t>
            </w:r>
          </w:p>
        </w:tc>
        <w:tc>
          <w:tcPr>
            <w:tcW w:w="2551" w:type="dxa"/>
            <w:vAlign w:val="center"/>
          </w:tcPr>
          <w:p w14:paraId="7B5C5FDD">
            <w:pPr>
              <w:pStyle w:val="12"/>
            </w:pPr>
            <w:r>
              <w:t>58.00</w:t>
            </w:r>
          </w:p>
        </w:tc>
        <w:tc>
          <w:tcPr>
            <w:tcW w:w="2268" w:type="dxa"/>
            <w:vAlign w:val="center"/>
          </w:tcPr>
          <w:p w14:paraId="3DA9CCAB">
            <w:pPr>
              <w:pStyle w:val="10"/>
            </w:pPr>
            <w:r>
              <w:t>其他资金</w:t>
            </w:r>
          </w:p>
        </w:tc>
        <w:tc>
          <w:tcPr>
            <w:tcW w:w="1276" w:type="dxa"/>
            <w:vAlign w:val="center"/>
          </w:tcPr>
          <w:p w14:paraId="305B8CD9">
            <w:pPr>
              <w:pStyle w:val="12"/>
            </w:pPr>
            <w:r>
              <w:t xml:space="preserve"> </w:t>
            </w:r>
          </w:p>
        </w:tc>
      </w:tr>
      <w:tr w14:paraId="79BB6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14726"/>
        </w:tc>
        <w:tc>
          <w:tcPr>
            <w:tcW w:w="14033" w:type="dxa"/>
            <w:gridSpan w:val="6"/>
            <w:vAlign w:val="center"/>
          </w:tcPr>
          <w:p w14:paraId="2FB25CCE">
            <w:pPr>
              <w:pStyle w:val="12"/>
            </w:pPr>
            <w:r>
              <w:t>省级安排中职免学费58万元，用于弥补中职涉农及其他专业贫困生免除学费后的经费不足</w:t>
            </w:r>
          </w:p>
        </w:tc>
      </w:tr>
      <w:tr w14:paraId="0F486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57088">
            <w:pPr>
              <w:pStyle w:val="10"/>
            </w:pPr>
            <w:r>
              <w:t>资金支出计划（%）</w:t>
            </w:r>
          </w:p>
        </w:tc>
        <w:tc>
          <w:tcPr>
            <w:tcW w:w="5103" w:type="dxa"/>
            <w:gridSpan w:val="2"/>
            <w:vAlign w:val="center"/>
          </w:tcPr>
          <w:p w14:paraId="13FC1D96">
            <w:pPr>
              <w:pStyle w:val="10"/>
            </w:pPr>
            <w:r>
              <w:t>3月底</w:t>
            </w:r>
          </w:p>
        </w:tc>
        <w:tc>
          <w:tcPr>
            <w:tcW w:w="2835" w:type="dxa"/>
            <w:vAlign w:val="center"/>
          </w:tcPr>
          <w:p w14:paraId="6BAB0579">
            <w:pPr>
              <w:pStyle w:val="10"/>
            </w:pPr>
            <w:r>
              <w:t>6月底</w:t>
            </w:r>
          </w:p>
        </w:tc>
        <w:tc>
          <w:tcPr>
            <w:tcW w:w="2551" w:type="dxa"/>
            <w:vAlign w:val="center"/>
          </w:tcPr>
          <w:p w14:paraId="1EBBE9EC">
            <w:pPr>
              <w:pStyle w:val="10"/>
            </w:pPr>
            <w:r>
              <w:t>10月底</w:t>
            </w:r>
          </w:p>
        </w:tc>
        <w:tc>
          <w:tcPr>
            <w:tcW w:w="3544" w:type="dxa"/>
            <w:gridSpan w:val="2"/>
            <w:vAlign w:val="center"/>
          </w:tcPr>
          <w:p w14:paraId="0EF644BB">
            <w:pPr>
              <w:pStyle w:val="10"/>
            </w:pPr>
            <w:r>
              <w:t>12月底</w:t>
            </w:r>
          </w:p>
        </w:tc>
      </w:tr>
      <w:tr w14:paraId="7F3E8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9E9FD"/>
        </w:tc>
        <w:tc>
          <w:tcPr>
            <w:tcW w:w="5103" w:type="dxa"/>
            <w:gridSpan w:val="2"/>
            <w:vAlign w:val="center"/>
          </w:tcPr>
          <w:p w14:paraId="194D2001">
            <w:pPr>
              <w:pStyle w:val="13"/>
            </w:pPr>
            <w:r>
              <w:t xml:space="preserve"> </w:t>
            </w:r>
          </w:p>
        </w:tc>
        <w:tc>
          <w:tcPr>
            <w:tcW w:w="2835" w:type="dxa"/>
            <w:vAlign w:val="center"/>
          </w:tcPr>
          <w:p w14:paraId="0A22785B">
            <w:pPr>
              <w:pStyle w:val="13"/>
            </w:pPr>
            <w:r>
              <w:t>50%</w:t>
            </w:r>
          </w:p>
        </w:tc>
        <w:tc>
          <w:tcPr>
            <w:tcW w:w="2551" w:type="dxa"/>
            <w:vAlign w:val="center"/>
          </w:tcPr>
          <w:p w14:paraId="16B3F2AF">
            <w:pPr>
              <w:pStyle w:val="13"/>
            </w:pPr>
            <w:r>
              <w:t>50%</w:t>
            </w:r>
          </w:p>
        </w:tc>
        <w:tc>
          <w:tcPr>
            <w:tcW w:w="3544" w:type="dxa"/>
            <w:gridSpan w:val="2"/>
            <w:vAlign w:val="center"/>
          </w:tcPr>
          <w:p w14:paraId="6BDCB1C6">
            <w:pPr>
              <w:pStyle w:val="13"/>
            </w:pPr>
            <w:r>
              <w:t>100%</w:t>
            </w:r>
          </w:p>
        </w:tc>
      </w:tr>
      <w:tr w14:paraId="16E03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A928F">
            <w:pPr>
              <w:pStyle w:val="10"/>
            </w:pPr>
            <w:r>
              <w:t>绩效目标</w:t>
            </w:r>
          </w:p>
        </w:tc>
        <w:tc>
          <w:tcPr>
            <w:tcW w:w="14033" w:type="dxa"/>
            <w:gridSpan w:val="6"/>
            <w:vAlign w:val="center"/>
          </w:tcPr>
          <w:p w14:paraId="09CE0B9A">
            <w:pPr>
              <w:pStyle w:val="12"/>
            </w:pPr>
            <w:r>
              <w:t>1.省级安排中职免学费58万元，用于弥补中职涉农及其他专业贫困生免除学费后的经费不足</w:t>
            </w:r>
          </w:p>
        </w:tc>
      </w:tr>
    </w:tbl>
    <w:p w14:paraId="06C53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9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473FE">
            <w:pPr>
              <w:pStyle w:val="10"/>
            </w:pPr>
            <w:r>
              <w:t>一级指标</w:t>
            </w:r>
          </w:p>
        </w:tc>
        <w:tc>
          <w:tcPr>
            <w:tcW w:w="2268" w:type="dxa"/>
            <w:vAlign w:val="center"/>
          </w:tcPr>
          <w:p w14:paraId="71A0F323">
            <w:pPr>
              <w:pStyle w:val="10"/>
            </w:pPr>
            <w:r>
              <w:t>二级指标</w:t>
            </w:r>
          </w:p>
        </w:tc>
        <w:tc>
          <w:tcPr>
            <w:tcW w:w="2835" w:type="dxa"/>
            <w:vAlign w:val="center"/>
          </w:tcPr>
          <w:p w14:paraId="3C4C662E">
            <w:pPr>
              <w:pStyle w:val="10"/>
            </w:pPr>
            <w:r>
              <w:t>三级指标</w:t>
            </w:r>
          </w:p>
        </w:tc>
        <w:tc>
          <w:tcPr>
            <w:tcW w:w="5386" w:type="dxa"/>
            <w:vAlign w:val="center"/>
          </w:tcPr>
          <w:p w14:paraId="46868881">
            <w:pPr>
              <w:pStyle w:val="10"/>
            </w:pPr>
            <w:r>
              <w:t>绩效指标描述</w:t>
            </w:r>
          </w:p>
        </w:tc>
        <w:tc>
          <w:tcPr>
            <w:tcW w:w="2268" w:type="dxa"/>
            <w:vAlign w:val="center"/>
          </w:tcPr>
          <w:p w14:paraId="5AC847B9">
            <w:pPr>
              <w:pStyle w:val="10"/>
            </w:pPr>
            <w:r>
              <w:t>指标值</w:t>
            </w:r>
          </w:p>
        </w:tc>
        <w:tc>
          <w:tcPr>
            <w:tcW w:w="1276" w:type="dxa"/>
            <w:vAlign w:val="center"/>
          </w:tcPr>
          <w:p w14:paraId="25DCC949">
            <w:pPr>
              <w:pStyle w:val="10"/>
            </w:pPr>
            <w:r>
              <w:t>指标值确定依据</w:t>
            </w:r>
          </w:p>
        </w:tc>
      </w:tr>
      <w:tr w14:paraId="6FEA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35230">
            <w:pPr>
              <w:pStyle w:val="13"/>
            </w:pPr>
            <w:r>
              <w:t>产出指标</w:t>
            </w:r>
          </w:p>
        </w:tc>
        <w:tc>
          <w:tcPr>
            <w:tcW w:w="2268" w:type="dxa"/>
            <w:vAlign w:val="center"/>
          </w:tcPr>
          <w:p w14:paraId="61227F74">
            <w:pPr>
              <w:pStyle w:val="12"/>
            </w:pPr>
            <w:r>
              <w:t>数量指标</w:t>
            </w:r>
          </w:p>
        </w:tc>
        <w:tc>
          <w:tcPr>
            <w:tcW w:w="2835" w:type="dxa"/>
            <w:vAlign w:val="center"/>
          </w:tcPr>
          <w:p w14:paraId="771572FC">
            <w:pPr>
              <w:pStyle w:val="12"/>
            </w:pPr>
            <w:r>
              <w:t>免学费补助人数</w:t>
            </w:r>
          </w:p>
        </w:tc>
        <w:tc>
          <w:tcPr>
            <w:tcW w:w="5386" w:type="dxa"/>
            <w:vAlign w:val="center"/>
          </w:tcPr>
          <w:p w14:paraId="6CCC16A2">
            <w:pPr>
              <w:pStyle w:val="12"/>
            </w:pPr>
            <w:r>
              <w:t>免学费补助人数</w:t>
            </w:r>
          </w:p>
        </w:tc>
        <w:tc>
          <w:tcPr>
            <w:tcW w:w="2268" w:type="dxa"/>
            <w:vAlign w:val="center"/>
          </w:tcPr>
          <w:p w14:paraId="5C3FECBE">
            <w:pPr>
              <w:pStyle w:val="12"/>
            </w:pPr>
            <w:r>
              <w:t>1480人</w:t>
            </w:r>
          </w:p>
        </w:tc>
        <w:tc>
          <w:tcPr>
            <w:tcW w:w="1276" w:type="dxa"/>
            <w:vAlign w:val="center"/>
          </w:tcPr>
          <w:p w14:paraId="1355DB96">
            <w:pPr>
              <w:pStyle w:val="12"/>
            </w:pPr>
            <w:r>
              <w:t>年度预算</w:t>
            </w:r>
          </w:p>
        </w:tc>
      </w:tr>
      <w:tr w14:paraId="0794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03D95"/>
        </w:tc>
        <w:tc>
          <w:tcPr>
            <w:tcW w:w="2268" w:type="dxa"/>
            <w:vAlign w:val="center"/>
          </w:tcPr>
          <w:p w14:paraId="6253042F">
            <w:pPr>
              <w:pStyle w:val="12"/>
            </w:pPr>
            <w:r>
              <w:t>质量指标</w:t>
            </w:r>
          </w:p>
        </w:tc>
        <w:tc>
          <w:tcPr>
            <w:tcW w:w="2835" w:type="dxa"/>
            <w:vAlign w:val="center"/>
          </w:tcPr>
          <w:p w14:paraId="19568449">
            <w:pPr>
              <w:pStyle w:val="12"/>
            </w:pPr>
            <w:r>
              <w:t>免学费全覆盖</w:t>
            </w:r>
          </w:p>
        </w:tc>
        <w:tc>
          <w:tcPr>
            <w:tcW w:w="5386" w:type="dxa"/>
            <w:vAlign w:val="center"/>
          </w:tcPr>
          <w:p w14:paraId="2554CADE">
            <w:pPr>
              <w:pStyle w:val="12"/>
            </w:pPr>
            <w:r>
              <w:t>免学费一、二、三年级中职生</w:t>
            </w:r>
          </w:p>
        </w:tc>
        <w:tc>
          <w:tcPr>
            <w:tcW w:w="2268" w:type="dxa"/>
            <w:vAlign w:val="center"/>
          </w:tcPr>
          <w:p w14:paraId="222FEDC0">
            <w:pPr>
              <w:pStyle w:val="12"/>
            </w:pPr>
            <w:r>
              <w:t>100%</w:t>
            </w:r>
          </w:p>
        </w:tc>
        <w:tc>
          <w:tcPr>
            <w:tcW w:w="1276" w:type="dxa"/>
            <w:vAlign w:val="center"/>
          </w:tcPr>
          <w:p w14:paraId="56E39D40">
            <w:pPr>
              <w:pStyle w:val="12"/>
            </w:pPr>
            <w:r>
              <w:t>隆尧县中职免学费管理办法</w:t>
            </w:r>
          </w:p>
        </w:tc>
      </w:tr>
      <w:tr w14:paraId="4A00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C0AA1"/>
        </w:tc>
        <w:tc>
          <w:tcPr>
            <w:tcW w:w="2268" w:type="dxa"/>
            <w:vAlign w:val="center"/>
          </w:tcPr>
          <w:p w14:paraId="11F24865">
            <w:pPr>
              <w:pStyle w:val="12"/>
            </w:pPr>
            <w:r>
              <w:t>时效指标</w:t>
            </w:r>
          </w:p>
        </w:tc>
        <w:tc>
          <w:tcPr>
            <w:tcW w:w="2835" w:type="dxa"/>
            <w:vAlign w:val="center"/>
          </w:tcPr>
          <w:p w14:paraId="6C1E87DA">
            <w:pPr>
              <w:pStyle w:val="12"/>
            </w:pPr>
            <w:r>
              <w:t>免学费经费拨付率</w:t>
            </w:r>
          </w:p>
        </w:tc>
        <w:tc>
          <w:tcPr>
            <w:tcW w:w="5386" w:type="dxa"/>
            <w:vAlign w:val="center"/>
          </w:tcPr>
          <w:p w14:paraId="326C61C9">
            <w:pPr>
              <w:pStyle w:val="12"/>
            </w:pPr>
            <w:r>
              <w:t>免学费经费及时拨付到位率</w:t>
            </w:r>
          </w:p>
        </w:tc>
        <w:tc>
          <w:tcPr>
            <w:tcW w:w="2268" w:type="dxa"/>
            <w:vAlign w:val="center"/>
          </w:tcPr>
          <w:p w14:paraId="2E56DD27">
            <w:pPr>
              <w:pStyle w:val="12"/>
            </w:pPr>
            <w:r>
              <w:t>100%</w:t>
            </w:r>
          </w:p>
        </w:tc>
        <w:tc>
          <w:tcPr>
            <w:tcW w:w="1276" w:type="dxa"/>
            <w:vAlign w:val="center"/>
          </w:tcPr>
          <w:p w14:paraId="75AB0C38">
            <w:pPr>
              <w:pStyle w:val="12"/>
            </w:pPr>
            <w:r>
              <w:t>隆尧县中职免学费管理办法</w:t>
            </w:r>
          </w:p>
        </w:tc>
      </w:tr>
      <w:tr w14:paraId="29FE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F426B"/>
        </w:tc>
        <w:tc>
          <w:tcPr>
            <w:tcW w:w="2268" w:type="dxa"/>
            <w:vAlign w:val="center"/>
          </w:tcPr>
          <w:p w14:paraId="7E014465">
            <w:pPr>
              <w:pStyle w:val="12"/>
            </w:pPr>
            <w:r>
              <w:t>成本指标</w:t>
            </w:r>
          </w:p>
        </w:tc>
        <w:tc>
          <w:tcPr>
            <w:tcW w:w="2835" w:type="dxa"/>
            <w:vAlign w:val="center"/>
          </w:tcPr>
          <w:p w14:paraId="2E16E633">
            <w:pPr>
              <w:pStyle w:val="12"/>
            </w:pPr>
            <w:r>
              <w:t>中职学校免学费补助标准</w:t>
            </w:r>
          </w:p>
        </w:tc>
        <w:tc>
          <w:tcPr>
            <w:tcW w:w="5386" w:type="dxa"/>
            <w:vAlign w:val="center"/>
          </w:tcPr>
          <w:p w14:paraId="2BCBEDD4">
            <w:pPr>
              <w:pStyle w:val="12"/>
            </w:pPr>
            <w:r>
              <w:t>中职学校免学费补助标准</w:t>
            </w:r>
          </w:p>
        </w:tc>
        <w:tc>
          <w:tcPr>
            <w:tcW w:w="2268" w:type="dxa"/>
            <w:vAlign w:val="center"/>
          </w:tcPr>
          <w:p w14:paraId="1282F232">
            <w:pPr>
              <w:pStyle w:val="12"/>
            </w:pPr>
            <w:r>
              <w:t>2000元/生/年</w:t>
            </w:r>
          </w:p>
        </w:tc>
        <w:tc>
          <w:tcPr>
            <w:tcW w:w="1276" w:type="dxa"/>
            <w:vAlign w:val="center"/>
          </w:tcPr>
          <w:p w14:paraId="61330F27">
            <w:pPr>
              <w:pStyle w:val="12"/>
            </w:pPr>
            <w:r>
              <w:t>隆尧县中职免学费管理办法</w:t>
            </w:r>
          </w:p>
        </w:tc>
      </w:tr>
      <w:tr w14:paraId="5C5F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685F7">
            <w:pPr>
              <w:pStyle w:val="13"/>
            </w:pPr>
            <w:r>
              <w:t>效益指标</w:t>
            </w:r>
          </w:p>
        </w:tc>
        <w:tc>
          <w:tcPr>
            <w:tcW w:w="2268" w:type="dxa"/>
            <w:vAlign w:val="center"/>
          </w:tcPr>
          <w:p w14:paraId="6E486362">
            <w:pPr>
              <w:pStyle w:val="12"/>
            </w:pPr>
            <w:r>
              <w:t>经济效益指标</w:t>
            </w:r>
          </w:p>
        </w:tc>
        <w:tc>
          <w:tcPr>
            <w:tcW w:w="2835" w:type="dxa"/>
            <w:vAlign w:val="center"/>
          </w:tcPr>
          <w:p w14:paraId="2FC7FD05">
            <w:pPr>
              <w:pStyle w:val="12"/>
            </w:pPr>
            <w:r>
              <w:t>减轻家庭负担</w:t>
            </w:r>
          </w:p>
        </w:tc>
        <w:tc>
          <w:tcPr>
            <w:tcW w:w="5386" w:type="dxa"/>
            <w:vAlign w:val="center"/>
          </w:tcPr>
          <w:p w14:paraId="631B0F91">
            <w:pPr>
              <w:pStyle w:val="12"/>
            </w:pPr>
            <w:r>
              <w:t>增加贫困家庭经济收入</w:t>
            </w:r>
          </w:p>
        </w:tc>
        <w:tc>
          <w:tcPr>
            <w:tcW w:w="2268" w:type="dxa"/>
            <w:vAlign w:val="center"/>
          </w:tcPr>
          <w:p w14:paraId="6092AB09">
            <w:pPr>
              <w:pStyle w:val="12"/>
            </w:pPr>
            <w:r>
              <w:t>≥98%</w:t>
            </w:r>
          </w:p>
        </w:tc>
        <w:tc>
          <w:tcPr>
            <w:tcW w:w="1276" w:type="dxa"/>
            <w:vAlign w:val="center"/>
          </w:tcPr>
          <w:p w14:paraId="4D4F7AC8">
            <w:pPr>
              <w:pStyle w:val="12"/>
            </w:pPr>
            <w:r>
              <w:t>隆尧县中职免学费管理办法</w:t>
            </w:r>
          </w:p>
        </w:tc>
      </w:tr>
      <w:tr w14:paraId="170F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80C95"/>
        </w:tc>
        <w:tc>
          <w:tcPr>
            <w:tcW w:w="2268" w:type="dxa"/>
            <w:vAlign w:val="center"/>
          </w:tcPr>
          <w:p w14:paraId="6C1E8811">
            <w:pPr>
              <w:pStyle w:val="12"/>
            </w:pPr>
            <w:r>
              <w:t>社会效益指标</w:t>
            </w:r>
          </w:p>
        </w:tc>
        <w:tc>
          <w:tcPr>
            <w:tcW w:w="2835" w:type="dxa"/>
            <w:vAlign w:val="center"/>
          </w:tcPr>
          <w:p w14:paraId="3E3073DB">
            <w:pPr>
              <w:pStyle w:val="12"/>
            </w:pPr>
            <w:r>
              <w:t>中职运转</w:t>
            </w:r>
          </w:p>
        </w:tc>
        <w:tc>
          <w:tcPr>
            <w:tcW w:w="5386" w:type="dxa"/>
            <w:vAlign w:val="center"/>
          </w:tcPr>
          <w:p w14:paraId="119B64D9">
            <w:pPr>
              <w:pStyle w:val="12"/>
            </w:pPr>
            <w:r>
              <w:t>高中受教育年限</w:t>
            </w:r>
          </w:p>
        </w:tc>
        <w:tc>
          <w:tcPr>
            <w:tcW w:w="2268" w:type="dxa"/>
            <w:vAlign w:val="center"/>
          </w:tcPr>
          <w:p w14:paraId="66DC7A79">
            <w:pPr>
              <w:pStyle w:val="12"/>
            </w:pPr>
            <w:r>
              <w:t>3年</w:t>
            </w:r>
          </w:p>
        </w:tc>
        <w:tc>
          <w:tcPr>
            <w:tcW w:w="1276" w:type="dxa"/>
            <w:vAlign w:val="center"/>
          </w:tcPr>
          <w:p w14:paraId="030F33A1">
            <w:pPr>
              <w:pStyle w:val="12"/>
            </w:pPr>
            <w:r>
              <w:t>隆尧县中职免学费管理办法</w:t>
            </w:r>
          </w:p>
        </w:tc>
      </w:tr>
      <w:tr w14:paraId="3A9A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5FD62">
            <w:pPr>
              <w:pStyle w:val="13"/>
            </w:pPr>
            <w:r>
              <w:t>满意度指标</w:t>
            </w:r>
          </w:p>
        </w:tc>
        <w:tc>
          <w:tcPr>
            <w:tcW w:w="2268" w:type="dxa"/>
            <w:vAlign w:val="center"/>
          </w:tcPr>
          <w:p w14:paraId="52211D88">
            <w:pPr>
              <w:pStyle w:val="12"/>
            </w:pPr>
            <w:r>
              <w:t>服务对象满意度指标</w:t>
            </w:r>
          </w:p>
        </w:tc>
        <w:tc>
          <w:tcPr>
            <w:tcW w:w="2835" w:type="dxa"/>
            <w:vAlign w:val="center"/>
          </w:tcPr>
          <w:p w14:paraId="0A8007DD">
            <w:pPr>
              <w:pStyle w:val="12"/>
            </w:pPr>
            <w:r>
              <w:t>提升幸福指数</w:t>
            </w:r>
          </w:p>
        </w:tc>
        <w:tc>
          <w:tcPr>
            <w:tcW w:w="5386" w:type="dxa"/>
            <w:vAlign w:val="center"/>
          </w:tcPr>
          <w:p w14:paraId="768793B9">
            <w:pPr>
              <w:pStyle w:val="12"/>
            </w:pPr>
            <w:r>
              <w:t>提升贫困家庭学生的幸福指数学生家长满</w:t>
            </w:r>
            <w:r>
              <w:rPr>
                <w:rFonts w:hint="eastAsia"/>
                <w:lang w:eastAsia="zh-CN"/>
              </w:rPr>
              <w:t>意度</w:t>
            </w:r>
          </w:p>
        </w:tc>
        <w:tc>
          <w:tcPr>
            <w:tcW w:w="2268" w:type="dxa"/>
            <w:vAlign w:val="center"/>
          </w:tcPr>
          <w:p w14:paraId="258AE254">
            <w:pPr>
              <w:pStyle w:val="12"/>
            </w:pPr>
            <w:r>
              <w:t>≥95%</w:t>
            </w:r>
          </w:p>
        </w:tc>
        <w:tc>
          <w:tcPr>
            <w:tcW w:w="1276" w:type="dxa"/>
            <w:vAlign w:val="center"/>
          </w:tcPr>
          <w:p w14:paraId="1180040F">
            <w:pPr>
              <w:pStyle w:val="12"/>
            </w:pPr>
            <w:r>
              <w:t>隆尧县中职免学费管理办法</w:t>
            </w:r>
          </w:p>
        </w:tc>
      </w:tr>
    </w:tbl>
    <w:p w14:paraId="34B17495">
      <w:pPr>
        <w:sectPr>
          <w:pgSz w:w="16840" w:h="11900" w:orient="landscape"/>
          <w:pgMar w:top="1361" w:right="1020" w:bottom="1134" w:left="1020" w:header="720" w:footer="720" w:gutter="0"/>
          <w:cols w:space="720" w:num="1"/>
        </w:sectPr>
      </w:pPr>
    </w:p>
    <w:p w14:paraId="5B2EE375">
      <w:pPr>
        <w:spacing w:before="0" w:after="0"/>
        <w:ind w:firstLine="560"/>
        <w:jc w:val="left"/>
        <w:outlineLvl w:val="9"/>
      </w:pPr>
      <w:r>
        <w:rPr>
          <w:rFonts w:ascii="方正仿宋_GBK" w:hAnsi="方正仿宋_GBK" w:eastAsia="方正仿宋_GBK" w:cs="方正仿宋_GBK"/>
          <w:b/>
          <w:color w:val="000000"/>
          <w:sz w:val="28"/>
        </w:rPr>
        <w:t>9、冀财教[2025]142号/省级/2026年职教发展/中职生均公用经费（职教中职）绩效目标表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E1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F55AC">
            <w:pPr>
              <w:pStyle w:val="11"/>
            </w:pPr>
            <w:r>
              <w:t>单位：万元</w:t>
            </w:r>
          </w:p>
        </w:tc>
      </w:tr>
      <w:tr w14:paraId="18C7A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0A3BC">
            <w:pPr>
              <w:pStyle w:val="10"/>
            </w:pPr>
            <w:r>
              <w:t>项目编码</w:t>
            </w:r>
          </w:p>
        </w:tc>
        <w:tc>
          <w:tcPr>
            <w:tcW w:w="5103" w:type="dxa"/>
            <w:gridSpan w:val="2"/>
            <w:vAlign w:val="center"/>
          </w:tcPr>
          <w:p w14:paraId="330F59C2">
            <w:pPr>
              <w:pStyle w:val="12"/>
            </w:pPr>
            <w:r>
              <w:t>13052526P008759100048</w:t>
            </w:r>
          </w:p>
        </w:tc>
        <w:tc>
          <w:tcPr>
            <w:tcW w:w="2835" w:type="dxa"/>
            <w:vAlign w:val="center"/>
          </w:tcPr>
          <w:p w14:paraId="2677F3B5">
            <w:pPr>
              <w:pStyle w:val="10"/>
            </w:pPr>
            <w:r>
              <w:t>项目名称</w:t>
            </w:r>
          </w:p>
        </w:tc>
        <w:tc>
          <w:tcPr>
            <w:tcW w:w="6095" w:type="dxa"/>
            <w:gridSpan w:val="3"/>
            <w:vAlign w:val="center"/>
          </w:tcPr>
          <w:p w14:paraId="2AE1FB35">
            <w:pPr>
              <w:pStyle w:val="12"/>
            </w:pPr>
            <w:r>
              <w:t>冀财教[2025]142号/省级/2026年职教发展/中职生均公用经费（职教中职）</w:t>
            </w:r>
          </w:p>
        </w:tc>
      </w:tr>
      <w:tr w14:paraId="6C7CD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16D27">
            <w:pPr>
              <w:pStyle w:val="10"/>
            </w:pPr>
            <w:r>
              <w:t>预算规模及资金用途</w:t>
            </w:r>
          </w:p>
        </w:tc>
        <w:tc>
          <w:tcPr>
            <w:tcW w:w="2268" w:type="dxa"/>
            <w:vAlign w:val="center"/>
          </w:tcPr>
          <w:p w14:paraId="163D06C1">
            <w:pPr>
              <w:pStyle w:val="10"/>
            </w:pPr>
            <w:r>
              <w:t>预算数</w:t>
            </w:r>
          </w:p>
        </w:tc>
        <w:tc>
          <w:tcPr>
            <w:tcW w:w="2835" w:type="dxa"/>
            <w:vAlign w:val="center"/>
          </w:tcPr>
          <w:p w14:paraId="1915226F">
            <w:pPr>
              <w:pStyle w:val="12"/>
            </w:pPr>
            <w:r>
              <w:t>44.00</w:t>
            </w:r>
          </w:p>
        </w:tc>
        <w:tc>
          <w:tcPr>
            <w:tcW w:w="2835" w:type="dxa"/>
            <w:vAlign w:val="center"/>
          </w:tcPr>
          <w:p w14:paraId="3E1CA911">
            <w:pPr>
              <w:pStyle w:val="10"/>
            </w:pPr>
            <w:r>
              <w:t>其中：财政    资金</w:t>
            </w:r>
          </w:p>
        </w:tc>
        <w:tc>
          <w:tcPr>
            <w:tcW w:w="2551" w:type="dxa"/>
            <w:vAlign w:val="center"/>
          </w:tcPr>
          <w:p w14:paraId="49BFA8E5">
            <w:pPr>
              <w:pStyle w:val="12"/>
            </w:pPr>
            <w:r>
              <w:t>44.00</w:t>
            </w:r>
          </w:p>
        </w:tc>
        <w:tc>
          <w:tcPr>
            <w:tcW w:w="2268" w:type="dxa"/>
            <w:vAlign w:val="center"/>
          </w:tcPr>
          <w:p w14:paraId="426E8EC9">
            <w:pPr>
              <w:pStyle w:val="10"/>
            </w:pPr>
            <w:r>
              <w:t>其他资金</w:t>
            </w:r>
          </w:p>
        </w:tc>
        <w:tc>
          <w:tcPr>
            <w:tcW w:w="1276" w:type="dxa"/>
            <w:vAlign w:val="center"/>
          </w:tcPr>
          <w:p w14:paraId="08746581">
            <w:pPr>
              <w:pStyle w:val="12"/>
            </w:pPr>
            <w:r>
              <w:t xml:space="preserve"> </w:t>
            </w:r>
          </w:p>
        </w:tc>
      </w:tr>
      <w:tr w14:paraId="25E07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CBC2E"/>
        </w:tc>
        <w:tc>
          <w:tcPr>
            <w:tcW w:w="14033" w:type="dxa"/>
            <w:gridSpan w:val="6"/>
            <w:vAlign w:val="center"/>
          </w:tcPr>
          <w:p w14:paraId="2444A3A2">
            <w:pPr>
              <w:pStyle w:val="12"/>
            </w:pPr>
            <w:r>
              <w:t>省级安排生均公用经费44万元，用于学校改善办学条件。</w:t>
            </w:r>
          </w:p>
        </w:tc>
      </w:tr>
      <w:tr w14:paraId="2B4D5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58459">
            <w:pPr>
              <w:pStyle w:val="10"/>
            </w:pPr>
            <w:r>
              <w:t>资金支出计划（%）</w:t>
            </w:r>
          </w:p>
        </w:tc>
        <w:tc>
          <w:tcPr>
            <w:tcW w:w="5103" w:type="dxa"/>
            <w:gridSpan w:val="2"/>
            <w:vAlign w:val="center"/>
          </w:tcPr>
          <w:p w14:paraId="412013E8">
            <w:pPr>
              <w:pStyle w:val="10"/>
            </w:pPr>
            <w:r>
              <w:t>3月底</w:t>
            </w:r>
          </w:p>
        </w:tc>
        <w:tc>
          <w:tcPr>
            <w:tcW w:w="2835" w:type="dxa"/>
            <w:vAlign w:val="center"/>
          </w:tcPr>
          <w:p w14:paraId="03AB84CE">
            <w:pPr>
              <w:pStyle w:val="10"/>
            </w:pPr>
            <w:r>
              <w:t>6月底</w:t>
            </w:r>
          </w:p>
        </w:tc>
        <w:tc>
          <w:tcPr>
            <w:tcW w:w="2551" w:type="dxa"/>
            <w:vAlign w:val="center"/>
          </w:tcPr>
          <w:p w14:paraId="28AD3FE9">
            <w:pPr>
              <w:pStyle w:val="10"/>
            </w:pPr>
            <w:r>
              <w:t>10月底</w:t>
            </w:r>
          </w:p>
        </w:tc>
        <w:tc>
          <w:tcPr>
            <w:tcW w:w="3544" w:type="dxa"/>
            <w:gridSpan w:val="2"/>
            <w:vAlign w:val="center"/>
          </w:tcPr>
          <w:p w14:paraId="26425ACA">
            <w:pPr>
              <w:pStyle w:val="10"/>
            </w:pPr>
            <w:r>
              <w:t>12月底</w:t>
            </w:r>
          </w:p>
        </w:tc>
      </w:tr>
      <w:tr w14:paraId="6960D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00796"/>
        </w:tc>
        <w:tc>
          <w:tcPr>
            <w:tcW w:w="5103" w:type="dxa"/>
            <w:gridSpan w:val="2"/>
            <w:vAlign w:val="center"/>
          </w:tcPr>
          <w:p w14:paraId="4B21474F">
            <w:pPr>
              <w:pStyle w:val="13"/>
            </w:pPr>
            <w:r>
              <w:t xml:space="preserve"> </w:t>
            </w:r>
          </w:p>
        </w:tc>
        <w:tc>
          <w:tcPr>
            <w:tcW w:w="2835" w:type="dxa"/>
            <w:vAlign w:val="center"/>
          </w:tcPr>
          <w:p w14:paraId="267BF200">
            <w:pPr>
              <w:pStyle w:val="13"/>
            </w:pPr>
            <w:r>
              <w:t>50%</w:t>
            </w:r>
          </w:p>
        </w:tc>
        <w:tc>
          <w:tcPr>
            <w:tcW w:w="2551" w:type="dxa"/>
            <w:vAlign w:val="center"/>
          </w:tcPr>
          <w:p w14:paraId="0EB8011D">
            <w:pPr>
              <w:pStyle w:val="13"/>
            </w:pPr>
            <w:r>
              <w:t>100%</w:t>
            </w:r>
          </w:p>
        </w:tc>
        <w:tc>
          <w:tcPr>
            <w:tcW w:w="3544" w:type="dxa"/>
            <w:gridSpan w:val="2"/>
            <w:vAlign w:val="center"/>
          </w:tcPr>
          <w:p w14:paraId="587D6731">
            <w:pPr>
              <w:pStyle w:val="13"/>
            </w:pPr>
            <w:r>
              <w:t>100%</w:t>
            </w:r>
          </w:p>
        </w:tc>
      </w:tr>
      <w:tr w14:paraId="5AB7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A4BA0">
            <w:pPr>
              <w:pStyle w:val="10"/>
            </w:pPr>
            <w:r>
              <w:t>绩效目标</w:t>
            </w:r>
          </w:p>
        </w:tc>
        <w:tc>
          <w:tcPr>
            <w:tcW w:w="14033" w:type="dxa"/>
            <w:gridSpan w:val="6"/>
            <w:vAlign w:val="center"/>
          </w:tcPr>
          <w:p w14:paraId="3CB657F5">
            <w:pPr>
              <w:pStyle w:val="12"/>
            </w:pPr>
            <w:r>
              <w:t>1.省级安排生均公用经费44万元，用于学校改善办学条件。</w:t>
            </w:r>
          </w:p>
        </w:tc>
      </w:tr>
    </w:tbl>
    <w:p w14:paraId="459BA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7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A9012">
            <w:pPr>
              <w:pStyle w:val="10"/>
            </w:pPr>
            <w:r>
              <w:t>一级指标</w:t>
            </w:r>
          </w:p>
        </w:tc>
        <w:tc>
          <w:tcPr>
            <w:tcW w:w="2268" w:type="dxa"/>
            <w:vAlign w:val="center"/>
          </w:tcPr>
          <w:p w14:paraId="5557D7F8">
            <w:pPr>
              <w:pStyle w:val="10"/>
            </w:pPr>
            <w:r>
              <w:t>二级指标</w:t>
            </w:r>
          </w:p>
        </w:tc>
        <w:tc>
          <w:tcPr>
            <w:tcW w:w="2835" w:type="dxa"/>
            <w:vAlign w:val="center"/>
          </w:tcPr>
          <w:p w14:paraId="3D788A7A">
            <w:pPr>
              <w:pStyle w:val="10"/>
            </w:pPr>
            <w:r>
              <w:t>三级指标</w:t>
            </w:r>
          </w:p>
        </w:tc>
        <w:tc>
          <w:tcPr>
            <w:tcW w:w="5386" w:type="dxa"/>
            <w:vAlign w:val="center"/>
          </w:tcPr>
          <w:p w14:paraId="2A0BCAE4">
            <w:pPr>
              <w:pStyle w:val="10"/>
            </w:pPr>
            <w:r>
              <w:t>绩效指标描述</w:t>
            </w:r>
          </w:p>
        </w:tc>
        <w:tc>
          <w:tcPr>
            <w:tcW w:w="2268" w:type="dxa"/>
            <w:vAlign w:val="center"/>
          </w:tcPr>
          <w:p w14:paraId="7880A810">
            <w:pPr>
              <w:pStyle w:val="10"/>
            </w:pPr>
            <w:r>
              <w:t>指标值</w:t>
            </w:r>
          </w:p>
        </w:tc>
        <w:tc>
          <w:tcPr>
            <w:tcW w:w="1276" w:type="dxa"/>
            <w:vAlign w:val="center"/>
          </w:tcPr>
          <w:p w14:paraId="6E3FA824">
            <w:pPr>
              <w:pStyle w:val="10"/>
            </w:pPr>
            <w:r>
              <w:t>指标值确定依据</w:t>
            </w:r>
          </w:p>
        </w:tc>
      </w:tr>
      <w:tr w14:paraId="028B7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25CAA">
            <w:pPr>
              <w:pStyle w:val="13"/>
            </w:pPr>
            <w:r>
              <w:t>产出指标</w:t>
            </w:r>
          </w:p>
        </w:tc>
        <w:tc>
          <w:tcPr>
            <w:tcW w:w="2268" w:type="dxa"/>
            <w:vAlign w:val="center"/>
          </w:tcPr>
          <w:p w14:paraId="50742CF3">
            <w:pPr>
              <w:pStyle w:val="12"/>
            </w:pPr>
            <w:r>
              <w:t>数量指标</w:t>
            </w:r>
          </w:p>
        </w:tc>
        <w:tc>
          <w:tcPr>
            <w:tcW w:w="2835" w:type="dxa"/>
            <w:vAlign w:val="center"/>
          </w:tcPr>
          <w:p w14:paraId="7BDE23B7">
            <w:pPr>
              <w:pStyle w:val="12"/>
            </w:pPr>
            <w:r>
              <w:t>中职在校学生数</w:t>
            </w:r>
          </w:p>
        </w:tc>
        <w:tc>
          <w:tcPr>
            <w:tcW w:w="5386" w:type="dxa"/>
            <w:vAlign w:val="center"/>
          </w:tcPr>
          <w:p w14:paraId="7CE4FB52">
            <w:pPr>
              <w:pStyle w:val="12"/>
            </w:pPr>
            <w:r>
              <w:t>中职在校学生人数</w:t>
            </w:r>
          </w:p>
        </w:tc>
        <w:tc>
          <w:tcPr>
            <w:tcW w:w="2268" w:type="dxa"/>
            <w:vAlign w:val="center"/>
          </w:tcPr>
          <w:p w14:paraId="0BA6CB28">
            <w:pPr>
              <w:pStyle w:val="12"/>
            </w:pPr>
            <w:r>
              <w:t>1384人</w:t>
            </w:r>
          </w:p>
        </w:tc>
        <w:tc>
          <w:tcPr>
            <w:tcW w:w="1276" w:type="dxa"/>
            <w:vAlign w:val="center"/>
          </w:tcPr>
          <w:p w14:paraId="2EF9F9F2">
            <w:pPr>
              <w:pStyle w:val="12"/>
            </w:pPr>
            <w:r>
              <w:t>中职公用经费管理办法</w:t>
            </w:r>
          </w:p>
        </w:tc>
      </w:tr>
      <w:tr w14:paraId="7C0F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2D1A5"/>
        </w:tc>
        <w:tc>
          <w:tcPr>
            <w:tcW w:w="2268" w:type="dxa"/>
            <w:vAlign w:val="center"/>
          </w:tcPr>
          <w:p w14:paraId="0C22C6E3">
            <w:pPr>
              <w:pStyle w:val="12"/>
            </w:pPr>
            <w:r>
              <w:t>质量指标</w:t>
            </w:r>
          </w:p>
        </w:tc>
        <w:tc>
          <w:tcPr>
            <w:tcW w:w="2835" w:type="dxa"/>
            <w:vAlign w:val="center"/>
          </w:tcPr>
          <w:p w14:paraId="19C19602">
            <w:pPr>
              <w:pStyle w:val="12"/>
            </w:pPr>
            <w:r>
              <w:t>提升办学质量</w:t>
            </w:r>
          </w:p>
        </w:tc>
        <w:tc>
          <w:tcPr>
            <w:tcW w:w="5386" w:type="dxa"/>
            <w:vAlign w:val="center"/>
          </w:tcPr>
          <w:p w14:paraId="0B627B84">
            <w:pPr>
              <w:pStyle w:val="12"/>
            </w:pPr>
            <w:r>
              <w:t>按学校实际工作运转，按季度办理</w:t>
            </w:r>
          </w:p>
        </w:tc>
        <w:tc>
          <w:tcPr>
            <w:tcW w:w="2268" w:type="dxa"/>
            <w:vAlign w:val="center"/>
          </w:tcPr>
          <w:p w14:paraId="586BE019">
            <w:pPr>
              <w:pStyle w:val="12"/>
            </w:pPr>
            <w:r>
              <w:t>100%</w:t>
            </w:r>
          </w:p>
        </w:tc>
        <w:tc>
          <w:tcPr>
            <w:tcW w:w="1276" w:type="dxa"/>
            <w:vAlign w:val="center"/>
          </w:tcPr>
          <w:p w14:paraId="2E436720">
            <w:pPr>
              <w:pStyle w:val="12"/>
            </w:pPr>
            <w:r>
              <w:t>中职公用经费管理办法</w:t>
            </w:r>
          </w:p>
        </w:tc>
      </w:tr>
      <w:tr w14:paraId="75E6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B596F"/>
        </w:tc>
        <w:tc>
          <w:tcPr>
            <w:tcW w:w="2268" w:type="dxa"/>
            <w:vAlign w:val="center"/>
          </w:tcPr>
          <w:p w14:paraId="13A8CFFF">
            <w:pPr>
              <w:pStyle w:val="12"/>
            </w:pPr>
            <w:r>
              <w:t>时效指标</w:t>
            </w:r>
          </w:p>
        </w:tc>
        <w:tc>
          <w:tcPr>
            <w:tcW w:w="2835" w:type="dxa"/>
            <w:vAlign w:val="center"/>
          </w:tcPr>
          <w:p w14:paraId="7D9179A8">
            <w:pPr>
              <w:pStyle w:val="12"/>
            </w:pPr>
            <w:r>
              <w:t>资金支付率</w:t>
            </w:r>
          </w:p>
        </w:tc>
        <w:tc>
          <w:tcPr>
            <w:tcW w:w="5386" w:type="dxa"/>
            <w:vAlign w:val="center"/>
          </w:tcPr>
          <w:p w14:paraId="28B05581">
            <w:pPr>
              <w:pStyle w:val="12"/>
            </w:pPr>
            <w:r>
              <w:t>按照项目进度完成资金支付</w:t>
            </w:r>
          </w:p>
        </w:tc>
        <w:tc>
          <w:tcPr>
            <w:tcW w:w="2268" w:type="dxa"/>
            <w:vAlign w:val="center"/>
          </w:tcPr>
          <w:p w14:paraId="79DE3682">
            <w:pPr>
              <w:pStyle w:val="12"/>
            </w:pPr>
            <w:r>
              <w:t>100%</w:t>
            </w:r>
          </w:p>
        </w:tc>
        <w:tc>
          <w:tcPr>
            <w:tcW w:w="1276" w:type="dxa"/>
            <w:vAlign w:val="center"/>
          </w:tcPr>
          <w:p w14:paraId="3366C7EA">
            <w:pPr>
              <w:pStyle w:val="12"/>
            </w:pPr>
            <w:r>
              <w:t>中职公用经费管理办法</w:t>
            </w:r>
          </w:p>
        </w:tc>
      </w:tr>
      <w:tr w14:paraId="360C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5F826"/>
        </w:tc>
        <w:tc>
          <w:tcPr>
            <w:tcW w:w="2268" w:type="dxa"/>
            <w:vAlign w:val="center"/>
          </w:tcPr>
          <w:p w14:paraId="647DC0E6">
            <w:pPr>
              <w:pStyle w:val="12"/>
            </w:pPr>
            <w:r>
              <w:t>成本指标</w:t>
            </w:r>
          </w:p>
        </w:tc>
        <w:tc>
          <w:tcPr>
            <w:tcW w:w="2835" w:type="dxa"/>
            <w:vAlign w:val="center"/>
          </w:tcPr>
          <w:p w14:paraId="5408C8CF">
            <w:pPr>
              <w:pStyle w:val="12"/>
            </w:pPr>
            <w:r>
              <w:t>生均财政投入</w:t>
            </w:r>
          </w:p>
        </w:tc>
        <w:tc>
          <w:tcPr>
            <w:tcW w:w="5386" w:type="dxa"/>
            <w:vAlign w:val="center"/>
          </w:tcPr>
          <w:p w14:paraId="5D4A685F">
            <w:pPr>
              <w:pStyle w:val="12"/>
            </w:pPr>
            <w:r>
              <w:t>中职生均奖补公用经费最低标准</w:t>
            </w:r>
          </w:p>
        </w:tc>
        <w:tc>
          <w:tcPr>
            <w:tcW w:w="2268" w:type="dxa"/>
            <w:vAlign w:val="center"/>
          </w:tcPr>
          <w:p w14:paraId="75DD45F6">
            <w:pPr>
              <w:pStyle w:val="12"/>
            </w:pPr>
            <w:r>
              <w:t>≥30%</w:t>
            </w:r>
          </w:p>
        </w:tc>
        <w:tc>
          <w:tcPr>
            <w:tcW w:w="1276" w:type="dxa"/>
            <w:vAlign w:val="center"/>
          </w:tcPr>
          <w:p w14:paraId="5828F4A1">
            <w:pPr>
              <w:pStyle w:val="12"/>
            </w:pPr>
            <w:r>
              <w:t>冀财教【2016】1号</w:t>
            </w:r>
          </w:p>
        </w:tc>
      </w:tr>
      <w:tr w14:paraId="1E82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15660">
            <w:pPr>
              <w:pStyle w:val="13"/>
            </w:pPr>
            <w:r>
              <w:t>效益指标</w:t>
            </w:r>
          </w:p>
        </w:tc>
        <w:tc>
          <w:tcPr>
            <w:tcW w:w="2268" w:type="dxa"/>
            <w:vAlign w:val="center"/>
          </w:tcPr>
          <w:p w14:paraId="64B39CEF">
            <w:pPr>
              <w:pStyle w:val="12"/>
            </w:pPr>
            <w:r>
              <w:t>经济效益指标</w:t>
            </w:r>
          </w:p>
        </w:tc>
        <w:tc>
          <w:tcPr>
            <w:tcW w:w="2835" w:type="dxa"/>
            <w:vAlign w:val="center"/>
          </w:tcPr>
          <w:p w14:paraId="5DBF65BA">
            <w:pPr>
              <w:pStyle w:val="12"/>
            </w:pPr>
            <w:r>
              <w:t>学校办学能力提升</w:t>
            </w:r>
          </w:p>
        </w:tc>
        <w:tc>
          <w:tcPr>
            <w:tcW w:w="5386" w:type="dxa"/>
            <w:vAlign w:val="center"/>
          </w:tcPr>
          <w:p w14:paraId="49DDEEFF">
            <w:pPr>
              <w:pStyle w:val="12"/>
            </w:pPr>
            <w:r>
              <w:t>改善办学条件，提高学生家长认可度</w:t>
            </w:r>
          </w:p>
        </w:tc>
        <w:tc>
          <w:tcPr>
            <w:tcW w:w="2268" w:type="dxa"/>
            <w:vAlign w:val="center"/>
          </w:tcPr>
          <w:p w14:paraId="5808B022">
            <w:pPr>
              <w:pStyle w:val="12"/>
            </w:pPr>
            <w:r>
              <w:t>100%</w:t>
            </w:r>
          </w:p>
        </w:tc>
        <w:tc>
          <w:tcPr>
            <w:tcW w:w="1276" w:type="dxa"/>
            <w:vAlign w:val="center"/>
          </w:tcPr>
          <w:p w14:paraId="582CEB12">
            <w:pPr>
              <w:pStyle w:val="12"/>
            </w:pPr>
            <w:r>
              <w:t>中职公用经费管理办法</w:t>
            </w:r>
          </w:p>
        </w:tc>
      </w:tr>
      <w:tr w14:paraId="2D4A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4AB16">
            <w:pPr>
              <w:pStyle w:val="13"/>
            </w:pPr>
            <w:r>
              <w:t>满意度指标</w:t>
            </w:r>
          </w:p>
        </w:tc>
        <w:tc>
          <w:tcPr>
            <w:tcW w:w="2268" w:type="dxa"/>
            <w:vAlign w:val="center"/>
          </w:tcPr>
          <w:p w14:paraId="3502F6F0">
            <w:pPr>
              <w:pStyle w:val="12"/>
            </w:pPr>
            <w:r>
              <w:t>服务对象满意度指标</w:t>
            </w:r>
          </w:p>
        </w:tc>
        <w:tc>
          <w:tcPr>
            <w:tcW w:w="2835" w:type="dxa"/>
            <w:vAlign w:val="center"/>
          </w:tcPr>
          <w:p w14:paraId="4230F8BF">
            <w:pPr>
              <w:pStyle w:val="12"/>
            </w:pPr>
            <w:r>
              <w:t>学生及家长满意</w:t>
            </w:r>
          </w:p>
        </w:tc>
        <w:tc>
          <w:tcPr>
            <w:tcW w:w="5386" w:type="dxa"/>
            <w:vAlign w:val="center"/>
          </w:tcPr>
          <w:p w14:paraId="78720F71">
            <w:pPr>
              <w:pStyle w:val="12"/>
            </w:pPr>
            <w:r>
              <w:t>学生及家长满意度</w:t>
            </w:r>
          </w:p>
        </w:tc>
        <w:tc>
          <w:tcPr>
            <w:tcW w:w="2268" w:type="dxa"/>
            <w:vAlign w:val="center"/>
          </w:tcPr>
          <w:p w14:paraId="080093A6">
            <w:pPr>
              <w:pStyle w:val="12"/>
            </w:pPr>
            <w:r>
              <w:t>≥95%</w:t>
            </w:r>
          </w:p>
        </w:tc>
        <w:tc>
          <w:tcPr>
            <w:tcW w:w="1276" w:type="dxa"/>
            <w:vAlign w:val="center"/>
          </w:tcPr>
          <w:p w14:paraId="6256940C">
            <w:pPr>
              <w:pStyle w:val="12"/>
            </w:pPr>
            <w:r>
              <w:t>调查问卷</w:t>
            </w:r>
          </w:p>
        </w:tc>
      </w:tr>
    </w:tbl>
    <w:p w14:paraId="30424C61">
      <w:pPr>
        <w:sectPr>
          <w:pgSz w:w="16840" w:h="11900" w:orient="landscape"/>
          <w:pgMar w:top="1361" w:right="1020" w:bottom="1134" w:left="1020" w:header="720" w:footer="720" w:gutter="0"/>
          <w:cols w:space="720" w:num="1"/>
        </w:sectPr>
      </w:pPr>
    </w:p>
    <w:p w14:paraId="7912149B">
      <w:pPr>
        <w:spacing w:before="0" w:after="0"/>
        <w:ind w:firstLine="560"/>
        <w:jc w:val="left"/>
        <w:outlineLvl w:val="9"/>
      </w:pPr>
      <w:r>
        <w:rPr>
          <w:rFonts w:ascii="方正仿宋_GBK" w:hAnsi="方正仿宋_GBK" w:eastAsia="方正仿宋_GBK" w:cs="方正仿宋_GBK"/>
          <w:b/>
          <w:color w:val="000000"/>
          <w:sz w:val="28"/>
        </w:rPr>
        <w:t>10、冀财教[2025]142号/省级/2026年职教发展/中职助学金（职教中职）</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8A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F8BF2">
            <w:pPr>
              <w:pStyle w:val="11"/>
            </w:pPr>
            <w:r>
              <w:t>单位：万元</w:t>
            </w:r>
          </w:p>
        </w:tc>
      </w:tr>
      <w:tr w14:paraId="12914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F2180">
            <w:pPr>
              <w:pStyle w:val="10"/>
            </w:pPr>
            <w:r>
              <w:t>项目编码</w:t>
            </w:r>
          </w:p>
        </w:tc>
        <w:tc>
          <w:tcPr>
            <w:tcW w:w="5103" w:type="dxa"/>
            <w:gridSpan w:val="2"/>
            <w:vAlign w:val="center"/>
          </w:tcPr>
          <w:p w14:paraId="17EFC4C1">
            <w:pPr>
              <w:pStyle w:val="12"/>
            </w:pPr>
            <w:r>
              <w:t>13052526P00001210056B</w:t>
            </w:r>
          </w:p>
        </w:tc>
        <w:tc>
          <w:tcPr>
            <w:tcW w:w="2835" w:type="dxa"/>
            <w:vAlign w:val="center"/>
          </w:tcPr>
          <w:p w14:paraId="5EE70642">
            <w:pPr>
              <w:pStyle w:val="10"/>
            </w:pPr>
            <w:r>
              <w:t>项目名称</w:t>
            </w:r>
          </w:p>
        </w:tc>
        <w:tc>
          <w:tcPr>
            <w:tcW w:w="6095" w:type="dxa"/>
            <w:gridSpan w:val="3"/>
            <w:vAlign w:val="center"/>
          </w:tcPr>
          <w:p w14:paraId="60C00A69">
            <w:pPr>
              <w:pStyle w:val="12"/>
            </w:pPr>
            <w:r>
              <w:t>冀财教[2025]142号/省级/2026年职教发展/中职助学金（职教中职）</w:t>
            </w:r>
            <w:r>
              <w:tab/>
            </w:r>
          </w:p>
        </w:tc>
      </w:tr>
      <w:tr w14:paraId="2E497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A16D2">
            <w:pPr>
              <w:pStyle w:val="10"/>
            </w:pPr>
            <w:r>
              <w:t>预算规模及资金用途</w:t>
            </w:r>
          </w:p>
        </w:tc>
        <w:tc>
          <w:tcPr>
            <w:tcW w:w="2268" w:type="dxa"/>
            <w:vAlign w:val="center"/>
          </w:tcPr>
          <w:p w14:paraId="617B64BF">
            <w:pPr>
              <w:pStyle w:val="10"/>
            </w:pPr>
            <w:r>
              <w:t>预算数</w:t>
            </w:r>
          </w:p>
        </w:tc>
        <w:tc>
          <w:tcPr>
            <w:tcW w:w="2835" w:type="dxa"/>
            <w:vAlign w:val="center"/>
          </w:tcPr>
          <w:p w14:paraId="59E800D7">
            <w:pPr>
              <w:pStyle w:val="12"/>
            </w:pPr>
            <w:r>
              <w:t>29.00</w:t>
            </w:r>
          </w:p>
        </w:tc>
        <w:tc>
          <w:tcPr>
            <w:tcW w:w="2835" w:type="dxa"/>
            <w:vAlign w:val="center"/>
          </w:tcPr>
          <w:p w14:paraId="640E2B37">
            <w:pPr>
              <w:pStyle w:val="10"/>
            </w:pPr>
            <w:r>
              <w:t>其中：财政    资金</w:t>
            </w:r>
          </w:p>
        </w:tc>
        <w:tc>
          <w:tcPr>
            <w:tcW w:w="2551" w:type="dxa"/>
            <w:vAlign w:val="center"/>
          </w:tcPr>
          <w:p w14:paraId="2F547CBF">
            <w:pPr>
              <w:pStyle w:val="12"/>
            </w:pPr>
            <w:r>
              <w:t>29.00</w:t>
            </w:r>
          </w:p>
        </w:tc>
        <w:tc>
          <w:tcPr>
            <w:tcW w:w="2268" w:type="dxa"/>
            <w:vAlign w:val="center"/>
          </w:tcPr>
          <w:p w14:paraId="6DB39D4A">
            <w:pPr>
              <w:pStyle w:val="10"/>
            </w:pPr>
            <w:r>
              <w:t>其他资金</w:t>
            </w:r>
          </w:p>
        </w:tc>
        <w:tc>
          <w:tcPr>
            <w:tcW w:w="1276" w:type="dxa"/>
            <w:vAlign w:val="center"/>
          </w:tcPr>
          <w:p w14:paraId="2CCFA9D1">
            <w:pPr>
              <w:pStyle w:val="12"/>
            </w:pPr>
            <w:r>
              <w:t xml:space="preserve"> </w:t>
            </w:r>
          </w:p>
        </w:tc>
      </w:tr>
      <w:tr w14:paraId="6D065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EEF23"/>
        </w:tc>
        <w:tc>
          <w:tcPr>
            <w:tcW w:w="14033" w:type="dxa"/>
            <w:gridSpan w:val="6"/>
            <w:vAlign w:val="center"/>
          </w:tcPr>
          <w:p w14:paraId="20CB205B">
            <w:pPr>
              <w:pStyle w:val="12"/>
            </w:pPr>
            <w:r>
              <w:t>省级安排中职助学金29万元，用于资助中职贫困学生完成学业。</w:t>
            </w:r>
          </w:p>
        </w:tc>
      </w:tr>
      <w:tr w14:paraId="20748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AE43E">
            <w:pPr>
              <w:pStyle w:val="10"/>
            </w:pPr>
            <w:r>
              <w:t>资金支出计划（%）</w:t>
            </w:r>
          </w:p>
        </w:tc>
        <w:tc>
          <w:tcPr>
            <w:tcW w:w="5103" w:type="dxa"/>
            <w:gridSpan w:val="2"/>
            <w:vAlign w:val="center"/>
          </w:tcPr>
          <w:p w14:paraId="30FF287C">
            <w:pPr>
              <w:pStyle w:val="10"/>
            </w:pPr>
            <w:r>
              <w:t>3月底</w:t>
            </w:r>
          </w:p>
        </w:tc>
        <w:tc>
          <w:tcPr>
            <w:tcW w:w="2835" w:type="dxa"/>
            <w:vAlign w:val="center"/>
          </w:tcPr>
          <w:p w14:paraId="36AEFA22">
            <w:pPr>
              <w:pStyle w:val="10"/>
            </w:pPr>
            <w:r>
              <w:t>6月底</w:t>
            </w:r>
          </w:p>
        </w:tc>
        <w:tc>
          <w:tcPr>
            <w:tcW w:w="2551" w:type="dxa"/>
            <w:vAlign w:val="center"/>
          </w:tcPr>
          <w:p w14:paraId="2F326D80">
            <w:pPr>
              <w:pStyle w:val="10"/>
            </w:pPr>
            <w:r>
              <w:t>10月底</w:t>
            </w:r>
          </w:p>
        </w:tc>
        <w:tc>
          <w:tcPr>
            <w:tcW w:w="3544" w:type="dxa"/>
            <w:gridSpan w:val="2"/>
            <w:vAlign w:val="center"/>
          </w:tcPr>
          <w:p w14:paraId="62C4DCFA">
            <w:pPr>
              <w:pStyle w:val="10"/>
            </w:pPr>
            <w:r>
              <w:t>12月底</w:t>
            </w:r>
          </w:p>
        </w:tc>
      </w:tr>
      <w:tr w14:paraId="642F7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E13B2"/>
        </w:tc>
        <w:tc>
          <w:tcPr>
            <w:tcW w:w="5103" w:type="dxa"/>
            <w:gridSpan w:val="2"/>
            <w:vAlign w:val="center"/>
          </w:tcPr>
          <w:p w14:paraId="6476320A">
            <w:pPr>
              <w:pStyle w:val="13"/>
            </w:pPr>
            <w:r>
              <w:t xml:space="preserve"> </w:t>
            </w:r>
          </w:p>
        </w:tc>
        <w:tc>
          <w:tcPr>
            <w:tcW w:w="2835" w:type="dxa"/>
            <w:vAlign w:val="center"/>
          </w:tcPr>
          <w:p w14:paraId="4C15E8EE">
            <w:pPr>
              <w:pStyle w:val="13"/>
            </w:pPr>
            <w:r>
              <w:t>50%</w:t>
            </w:r>
          </w:p>
        </w:tc>
        <w:tc>
          <w:tcPr>
            <w:tcW w:w="2551" w:type="dxa"/>
            <w:vAlign w:val="center"/>
          </w:tcPr>
          <w:p w14:paraId="6D1C0BDE">
            <w:pPr>
              <w:pStyle w:val="13"/>
            </w:pPr>
            <w:r>
              <w:t>50%</w:t>
            </w:r>
          </w:p>
        </w:tc>
        <w:tc>
          <w:tcPr>
            <w:tcW w:w="3544" w:type="dxa"/>
            <w:gridSpan w:val="2"/>
            <w:vAlign w:val="center"/>
          </w:tcPr>
          <w:p w14:paraId="207C8265">
            <w:pPr>
              <w:pStyle w:val="13"/>
            </w:pPr>
            <w:r>
              <w:t>100%</w:t>
            </w:r>
          </w:p>
        </w:tc>
      </w:tr>
      <w:tr w14:paraId="27DF0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EDCE4">
            <w:pPr>
              <w:pStyle w:val="10"/>
            </w:pPr>
            <w:r>
              <w:t>绩效目标</w:t>
            </w:r>
          </w:p>
        </w:tc>
        <w:tc>
          <w:tcPr>
            <w:tcW w:w="14033" w:type="dxa"/>
            <w:gridSpan w:val="6"/>
            <w:vAlign w:val="center"/>
          </w:tcPr>
          <w:p w14:paraId="676A89D9">
            <w:pPr>
              <w:pStyle w:val="12"/>
            </w:pPr>
            <w:r>
              <w:t>1.省级安排中职助学金29万元，用于资助中职贫困学生完成学业。</w:t>
            </w:r>
          </w:p>
        </w:tc>
      </w:tr>
    </w:tbl>
    <w:p w14:paraId="6F6D3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9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8FA98">
            <w:pPr>
              <w:pStyle w:val="10"/>
            </w:pPr>
            <w:r>
              <w:t>一级指标</w:t>
            </w:r>
          </w:p>
        </w:tc>
        <w:tc>
          <w:tcPr>
            <w:tcW w:w="2268" w:type="dxa"/>
            <w:vAlign w:val="center"/>
          </w:tcPr>
          <w:p w14:paraId="70198D00">
            <w:pPr>
              <w:pStyle w:val="10"/>
            </w:pPr>
            <w:r>
              <w:t>二级指标</w:t>
            </w:r>
          </w:p>
        </w:tc>
        <w:tc>
          <w:tcPr>
            <w:tcW w:w="2835" w:type="dxa"/>
            <w:vAlign w:val="center"/>
          </w:tcPr>
          <w:p w14:paraId="268D0CDD">
            <w:pPr>
              <w:pStyle w:val="10"/>
            </w:pPr>
            <w:r>
              <w:t>三级指标</w:t>
            </w:r>
          </w:p>
        </w:tc>
        <w:tc>
          <w:tcPr>
            <w:tcW w:w="5386" w:type="dxa"/>
            <w:vAlign w:val="center"/>
          </w:tcPr>
          <w:p w14:paraId="4F89B6AF">
            <w:pPr>
              <w:pStyle w:val="10"/>
            </w:pPr>
            <w:r>
              <w:t>绩效指标描述</w:t>
            </w:r>
          </w:p>
        </w:tc>
        <w:tc>
          <w:tcPr>
            <w:tcW w:w="2268" w:type="dxa"/>
            <w:vAlign w:val="center"/>
          </w:tcPr>
          <w:p w14:paraId="48097104">
            <w:pPr>
              <w:pStyle w:val="10"/>
            </w:pPr>
            <w:r>
              <w:t>指标值</w:t>
            </w:r>
          </w:p>
        </w:tc>
        <w:tc>
          <w:tcPr>
            <w:tcW w:w="1276" w:type="dxa"/>
            <w:vAlign w:val="center"/>
          </w:tcPr>
          <w:p w14:paraId="43F50A39">
            <w:pPr>
              <w:pStyle w:val="10"/>
            </w:pPr>
            <w:r>
              <w:t>指标值确定依据</w:t>
            </w:r>
          </w:p>
        </w:tc>
      </w:tr>
      <w:tr w14:paraId="3BF7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FE43E">
            <w:pPr>
              <w:pStyle w:val="13"/>
            </w:pPr>
            <w:r>
              <w:t>产出指标</w:t>
            </w:r>
          </w:p>
        </w:tc>
        <w:tc>
          <w:tcPr>
            <w:tcW w:w="2268" w:type="dxa"/>
            <w:vAlign w:val="center"/>
          </w:tcPr>
          <w:p w14:paraId="6E93DDBD">
            <w:pPr>
              <w:pStyle w:val="12"/>
            </w:pPr>
            <w:r>
              <w:t>数量指标</w:t>
            </w:r>
          </w:p>
        </w:tc>
        <w:tc>
          <w:tcPr>
            <w:tcW w:w="2835" w:type="dxa"/>
            <w:vAlign w:val="center"/>
          </w:tcPr>
          <w:p w14:paraId="12838664">
            <w:pPr>
              <w:pStyle w:val="12"/>
            </w:pPr>
            <w:r>
              <w:t>中职享受助学金人数</w:t>
            </w:r>
          </w:p>
        </w:tc>
        <w:tc>
          <w:tcPr>
            <w:tcW w:w="5386" w:type="dxa"/>
            <w:vAlign w:val="center"/>
          </w:tcPr>
          <w:p w14:paraId="7032EB48">
            <w:pPr>
              <w:pStyle w:val="12"/>
            </w:pPr>
            <w:r>
              <w:t>中职享受助学金人数</w:t>
            </w:r>
          </w:p>
        </w:tc>
        <w:tc>
          <w:tcPr>
            <w:tcW w:w="2268" w:type="dxa"/>
            <w:vAlign w:val="center"/>
          </w:tcPr>
          <w:p w14:paraId="193858C5">
            <w:pPr>
              <w:pStyle w:val="12"/>
            </w:pPr>
            <w:r>
              <w:t>567人</w:t>
            </w:r>
          </w:p>
        </w:tc>
        <w:tc>
          <w:tcPr>
            <w:tcW w:w="1276" w:type="dxa"/>
            <w:vAlign w:val="center"/>
          </w:tcPr>
          <w:p w14:paraId="21621522">
            <w:pPr>
              <w:pStyle w:val="12"/>
            </w:pPr>
            <w:r>
              <w:t>【隆尧县中等职业学校国家助学金管理办法的通知】隆财【2018】105号，</w:t>
            </w:r>
          </w:p>
        </w:tc>
      </w:tr>
      <w:tr w14:paraId="2578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1B262"/>
        </w:tc>
        <w:tc>
          <w:tcPr>
            <w:tcW w:w="2268" w:type="dxa"/>
            <w:vAlign w:val="center"/>
          </w:tcPr>
          <w:p w14:paraId="314B8532">
            <w:pPr>
              <w:pStyle w:val="12"/>
            </w:pPr>
            <w:r>
              <w:t>质量指标</w:t>
            </w:r>
          </w:p>
        </w:tc>
        <w:tc>
          <w:tcPr>
            <w:tcW w:w="2835" w:type="dxa"/>
            <w:vAlign w:val="center"/>
          </w:tcPr>
          <w:p w14:paraId="42C23846">
            <w:pPr>
              <w:pStyle w:val="12"/>
            </w:pPr>
            <w:r>
              <w:t>完成助学金发放工作</w:t>
            </w:r>
          </w:p>
        </w:tc>
        <w:tc>
          <w:tcPr>
            <w:tcW w:w="5386" w:type="dxa"/>
            <w:vAlign w:val="center"/>
          </w:tcPr>
          <w:p w14:paraId="33BE59CD">
            <w:pPr>
              <w:pStyle w:val="12"/>
            </w:pPr>
            <w:r>
              <w:t>涉农专业学生及其他专业贫困生</w:t>
            </w:r>
          </w:p>
        </w:tc>
        <w:tc>
          <w:tcPr>
            <w:tcW w:w="2268" w:type="dxa"/>
            <w:vAlign w:val="center"/>
          </w:tcPr>
          <w:p w14:paraId="7DFDFD1E">
            <w:pPr>
              <w:pStyle w:val="12"/>
            </w:pPr>
            <w:r>
              <w:t>567人</w:t>
            </w:r>
          </w:p>
        </w:tc>
        <w:tc>
          <w:tcPr>
            <w:tcW w:w="1276" w:type="dxa"/>
            <w:vAlign w:val="center"/>
          </w:tcPr>
          <w:p w14:paraId="00B2D146">
            <w:pPr>
              <w:pStyle w:val="12"/>
            </w:pPr>
            <w:r>
              <w:t>【隆尧县中等职业学校国家助学金管理办法的通知】隆财【2018】105号，</w:t>
            </w:r>
          </w:p>
        </w:tc>
      </w:tr>
      <w:tr w14:paraId="607E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B669F"/>
        </w:tc>
        <w:tc>
          <w:tcPr>
            <w:tcW w:w="2268" w:type="dxa"/>
            <w:vAlign w:val="center"/>
          </w:tcPr>
          <w:p w14:paraId="5E5F2F01">
            <w:pPr>
              <w:pStyle w:val="12"/>
            </w:pPr>
            <w:r>
              <w:t>时效指标</w:t>
            </w:r>
          </w:p>
        </w:tc>
        <w:tc>
          <w:tcPr>
            <w:tcW w:w="2835" w:type="dxa"/>
            <w:vAlign w:val="center"/>
          </w:tcPr>
          <w:p w14:paraId="4CC35659">
            <w:pPr>
              <w:pStyle w:val="12"/>
            </w:pPr>
            <w:r>
              <w:t>助学金及时足额发放</w:t>
            </w:r>
          </w:p>
        </w:tc>
        <w:tc>
          <w:tcPr>
            <w:tcW w:w="5386" w:type="dxa"/>
            <w:vAlign w:val="center"/>
          </w:tcPr>
          <w:p w14:paraId="437795B0">
            <w:pPr>
              <w:pStyle w:val="12"/>
            </w:pPr>
            <w:r>
              <w:t>助学金及时足额发放率</w:t>
            </w:r>
          </w:p>
        </w:tc>
        <w:tc>
          <w:tcPr>
            <w:tcW w:w="2268" w:type="dxa"/>
            <w:vAlign w:val="center"/>
          </w:tcPr>
          <w:p w14:paraId="25AB84B2">
            <w:pPr>
              <w:pStyle w:val="12"/>
            </w:pPr>
            <w:r>
              <w:t>100%</w:t>
            </w:r>
          </w:p>
        </w:tc>
        <w:tc>
          <w:tcPr>
            <w:tcW w:w="1276" w:type="dxa"/>
            <w:vAlign w:val="center"/>
          </w:tcPr>
          <w:p w14:paraId="00CEE243">
            <w:pPr>
              <w:pStyle w:val="12"/>
            </w:pPr>
            <w:r>
              <w:t>【隆尧县中等职业学校国家助学金管理办法的通知】隆财【2018】105号，</w:t>
            </w:r>
          </w:p>
        </w:tc>
      </w:tr>
      <w:tr w14:paraId="2EE3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1E2AF"/>
        </w:tc>
        <w:tc>
          <w:tcPr>
            <w:tcW w:w="2268" w:type="dxa"/>
            <w:vAlign w:val="center"/>
          </w:tcPr>
          <w:p w14:paraId="51233E6F">
            <w:pPr>
              <w:pStyle w:val="12"/>
            </w:pPr>
            <w:r>
              <w:t>成本指标</w:t>
            </w:r>
          </w:p>
        </w:tc>
        <w:tc>
          <w:tcPr>
            <w:tcW w:w="2835" w:type="dxa"/>
            <w:vAlign w:val="center"/>
          </w:tcPr>
          <w:p w14:paraId="65EC6F4B">
            <w:pPr>
              <w:pStyle w:val="12"/>
            </w:pPr>
            <w:r>
              <w:t>中职助学金标准</w:t>
            </w:r>
          </w:p>
        </w:tc>
        <w:tc>
          <w:tcPr>
            <w:tcW w:w="5386" w:type="dxa"/>
            <w:vAlign w:val="center"/>
          </w:tcPr>
          <w:p w14:paraId="69517EB4">
            <w:pPr>
              <w:pStyle w:val="12"/>
            </w:pPr>
            <w:r>
              <w:t>中职助学金资助标准2300/生/年</w:t>
            </w:r>
          </w:p>
        </w:tc>
        <w:tc>
          <w:tcPr>
            <w:tcW w:w="2268" w:type="dxa"/>
            <w:vAlign w:val="center"/>
          </w:tcPr>
          <w:p w14:paraId="7B7B8699">
            <w:pPr>
              <w:pStyle w:val="12"/>
            </w:pPr>
            <w:r>
              <w:t>2300元</w:t>
            </w:r>
          </w:p>
        </w:tc>
        <w:tc>
          <w:tcPr>
            <w:tcW w:w="1276" w:type="dxa"/>
            <w:vAlign w:val="center"/>
          </w:tcPr>
          <w:p w14:paraId="36EFFAC9">
            <w:pPr>
              <w:pStyle w:val="12"/>
            </w:pPr>
            <w:r>
              <w:t>【隆尧县中等职业学校国家助学金管理办法的通知】隆财【2018】105号，</w:t>
            </w:r>
          </w:p>
        </w:tc>
      </w:tr>
      <w:tr w14:paraId="0B57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DB292">
            <w:pPr>
              <w:pStyle w:val="13"/>
            </w:pPr>
            <w:r>
              <w:t>效益指标</w:t>
            </w:r>
          </w:p>
        </w:tc>
        <w:tc>
          <w:tcPr>
            <w:tcW w:w="2268" w:type="dxa"/>
            <w:vAlign w:val="center"/>
          </w:tcPr>
          <w:p w14:paraId="4EC9652C">
            <w:pPr>
              <w:pStyle w:val="12"/>
            </w:pPr>
            <w:r>
              <w:t>经济效益指标</w:t>
            </w:r>
          </w:p>
        </w:tc>
        <w:tc>
          <w:tcPr>
            <w:tcW w:w="2835" w:type="dxa"/>
            <w:vAlign w:val="center"/>
          </w:tcPr>
          <w:p w14:paraId="7846F6B5">
            <w:pPr>
              <w:pStyle w:val="12"/>
            </w:pPr>
            <w:r>
              <w:t>减轻贫困家庭负担</w:t>
            </w:r>
          </w:p>
        </w:tc>
        <w:tc>
          <w:tcPr>
            <w:tcW w:w="5386" w:type="dxa"/>
            <w:vAlign w:val="center"/>
          </w:tcPr>
          <w:p w14:paraId="572FE5E1">
            <w:pPr>
              <w:pStyle w:val="12"/>
            </w:pPr>
            <w:r>
              <w:t>减轻贫困家庭负担</w:t>
            </w:r>
          </w:p>
        </w:tc>
        <w:tc>
          <w:tcPr>
            <w:tcW w:w="2268" w:type="dxa"/>
            <w:vAlign w:val="center"/>
          </w:tcPr>
          <w:p w14:paraId="0D604849">
            <w:pPr>
              <w:pStyle w:val="12"/>
            </w:pPr>
            <w:r>
              <w:t>100%</w:t>
            </w:r>
          </w:p>
        </w:tc>
        <w:tc>
          <w:tcPr>
            <w:tcW w:w="1276" w:type="dxa"/>
            <w:vAlign w:val="center"/>
          </w:tcPr>
          <w:p w14:paraId="63CF341F">
            <w:pPr>
              <w:pStyle w:val="12"/>
            </w:pPr>
            <w:r>
              <w:t>【隆尧县中等职业学校国家助学金管理办法的通知】隆财【2018】105号，</w:t>
            </w:r>
          </w:p>
        </w:tc>
      </w:tr>
      <w:tr w14:paraId="0F57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934F8"/>
        </w:tc>
        <w:tc>
          <w:tcPr>
            <w:tcW w:w="2268" w:type="dxa"/>
            <w:vAlign w:val="center"/>
          </w:tcPr>
          <w:p w14:paraId="142A7D7A">
            <w:pPr>
              <w:pStyle w:val="12"/>
            </w:pPr>
            <w:r>
              <w:t>社会效益指标</w:t>
            </w:r>
          </w:p>
        </w:tc>
        <w:tc>
          <w:tcPr>
            <w:tcW w:w="2835" w:type="dxa"/>
            <w:vAlign w:val="center"/>
          </w:tcPr>
          <w:p w14:paraId="5F9723CA">
            <w:pPr>
              <w:pStyle w:val="12"/>
            </w:pPr>
            <w:r>
              <w:t>中职运转</w:t>
            </w:r>
          </w:p>
        </w:tc>
        <w:tc>
          <w:tcPr>
            <w:tcW w:w="5386" w:type="dxa"/>
            <w:vAlign w:val="center"/>
          </w:tcPr>
          <w:p w14:paraId="1DD10B0E">
            <w:pPr>
              <w:pStyle w:val="12"/>
            </w:pPr>
            <w:r>
              <w:t>中职生受教育年限</w:t>
            </w:r>
          </w:p>
        </w:tc>
        <w:tc>
          <w:tcPr>
            <w:tcW w:w="2268" w:type="dxa"/>
            <w:vAlign w:val="center"/>
          </w:tcPr>
          <w:p w14:paraId="4953809A">
            <w:pPr>
              <w:pStyle w:val="12"/>
            </w:pPr>
            <w:r>
              <w:t>3年</w:t>
            </w:r>
          </w:p>
        </w:tc>
        <w:tc>
          <w:tcPr>
            <w:tcW w:w="1276" w:type="dxa"/>
            <w:vAlign w:val="center"/>
          </w:tcPr>
          <w:p w14:paraId="3CFA4016">
            <w:pPr>
              <w:pStyle w:val="12"/>
            </w:pPr>
            <w:r>
              <w:t>【隆尧县中等职业学校国家助学金管理办法的通知】隆财【2018】105号，</w:t>
            </w:r>
          </w:p>
        </w:tc>
      </w:tr>
      <w:tr w14:paraId="46E8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20E5A">
            <w:pPr>
              <w:pStyle w:val="13"/>
            </w:pPr>
            <w:r>
              <w:t>满意度指标</w:t>
            </w:r>
          </w:p>
        </w:tc>
        <w:tc>
          <w:tcPr>
            <w:tcW w:w="2268" w:type="dxa"/>
            <w:vAlign w:val="center"/>
          </w:tcPr>
          <w:p w14:paraId="284B2397">
            <w:pPr>
              <w:pStyle w:val="12"/>
            </w:pPr>
            <w:r>
              <w:t>服务对象满意度指标</w:t>
            </w:r>
          </w:p>
        </w:tc>
        <w:tc>
          <w:tcPr>
            <w:tcW w:w="2835" w:type="dxa"/>
            <w:vAlign w:val="center"/>
          </w:tcPr>
          <w:p w14:paraId="7D57F527">
            <w:pPr>
              <w:pStyle w:val="12"/>
            </w:pPr>
            <w:r>
              <w:t>学生家长</w:t>
            </w:r>
          </w:p>
        </w:tc>
        <w:tc>
          <w:tcPr>
            <w:tcW w:w="5386" w:type="dxa"/>
            <w:vAlign w:val="center"/>
          </w:tcPr>
          <w:p w14:paraId="569828C4">
            <w:pPr>
              <w:pStyle w:val="12"/>
            </w:pPr>
            <w:r>
              <w:t>学生家长满意度</w:t>
            </w:r>
          </w:p>
        </w:tc>
        <w:tc>
          <w:tcPr>
            <w:tcW w:w="2268" w:type="dxa"/>
            <w:vAlign w:val="center"/>
          </w:tcPr>
          <w:p w14:paraId="536E7C30">
            <w:pPr>
              <w:pStyle w:val="12"/>
            </w:pPr>
            <w:r>
              <w:t>≥95%</w:t>
            </w:r>
          </w:p>
        </w:tc>
        <w:tc>
          <w:tcPr>
            <w:tcW w:w="1276" w:type="dxa"/>
            <w:vAlign w:val="center"/>
          </w:tcPr>
          <w:p w14:paraId="66C20FB6">
            <w:pPr>
              <w:pStyle w:val="12"/>
            </w:pPr>
            <w:r>
              <w:t>【隆尧县中等职业学校国家助学金管理办法的通知】隆财【2018】105号，</w:t>
            </w:r>
          </w:p>
        </w:tc>
      </w:tr>
    </w:tbl>
    <w:p w14:paraId="7328165B">
      <w:pPr>
        <w:sectPr>
          <w:pgSz w:w="16840" w:h="11900" w:orient="landscape"/>
          <w:pgMar w:top="1361" w:right="1020" w:bottom="1134" w:left="1020" w:header="720" w:footer="720" w:gutter="0"/>
          <w:cols w:space="720" w:num="1"/>
        </w:sectPr>
      </w:pPr>
    </w:p>
    <w:p w14:paraId="3288A193">
      <w:pPr>
        <w:spacing w:before="0" w:after="0"/>
        <w:ind w:firstLine="560"/>
        <w:jc w:val="left"/>
        <w:outlineLvl w:val="9"/>
      </w:pPr>
      <w:r>
        <w:rPr>
          <w:rFonts w:ascii="方正仿宋_GBK" w:hAnsi="方正仿宋_GBK" w:eastAsia="方正仿宋_GBK" w:cs="方正仿宋_GBK"/>
          <w:b/>
          <w:color w:val="000000"/>
          <w:sz w:val="28"/>
        </w:rPr>
        <w:t>11、冀财教[2025]150号/省级/2026年改善办学条件/隆尧县职教中心专用设备购置（普通高中）绩效目标表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3D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9DF5C">
            <w:pPr>
              <w:pStyle w:val="11"/>
            </w:pPr>
            <w:r>
              <w:t>单位：万元</w:t>
            </w:r>
          </w:p>
        </w:tc>
      </w:tr>
      <w:tr w14:paraId="53343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74F14">
            <w:pPr>
              <w:pStyle w:val="10"/>
            </w:pPr>
            <w:r>
              <w:t>项目编码</w:t>
            </w:r>
          </w:p>
        </w:tc>
        <w:tc>
          <w:tcPr>
            <w:tcW w:w="5103" w:type="dxa"/>
            <w:gridSpan w:val="2"/>
            <w:vAlign w:val="center"/>
          </w:tcPr>
          <w:p w14:paraId="6F411C50">
            <w:pPr>
              <w:pStyle w:val="12"/>
            </w:pPr>
            <w:r>
              <w:t>13052526P00877110016C</w:t>
            </w:r>
          </w:p>
        </w:tc>
        <w:tc>
          <w:tcPr>
            <w:tcW w:w="2835" w:type="dxa"/>
            <w:vAlign w:val="center"/>
          </w:tcPr>
          <w:p w14:paraId="41069EEA">
            <w:pPr>
              <w:pStyle w:val="10"/>
            </w:pPr>
            <w:r>
              <w:t>项目名称</w:t>
            </w:r>
          </w:p>
        </w:tc>
        <w:tc>
          <w:tcPr>
            <w:tcW w:w="6095" w:type="dxa"/>
            <w:gridSpan w:val="3"/>
            <w:vAlign w:val="center"/>
          </w:tcPr>
          <w:p w14:paraId="0D0ED005">
            <w:pPr>
              <w:pStyle w:val="12"/>
            </w:pPr>
            <w:r>
              <w:t>冀财教[2025]150号/省级/2026年改善办学条件/隆尧县职教中心专用设备购置（普通高中）</w:t>
            </w:r>
          </w:p>
        </w:tc>
      </w:tr>
      <w:tr w14:paraId="461B0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93B91">
            <w:pPr>
              <w:pStyle w:val="10"/>
            </w:pPr>
            <w:r>
              <w:t>预算规模及资金用途</w:t>
            </w:r>
          </w:p>
        </w:tc>
        <w:tc>
          <w:tcPr>
            <w:tcW w:w="2268" w:type="dxa"/>
            <w:vAlign w:val="center"/>
          </w:tcPr>
          <w:p w14:paraId="25605AC7">
            <w:pPr>
              <w:pStyle w:val="10"/>
            </w:pPr>
            <w:r>
              <w:t>预算数</w:t>
            </w:r>
          </w:p>
        </w:tc>
        <w:tc>
          <w:tcPr>
            <w:tcW w:w="2835" w:type="dxa"/>
            <w:vAlign w:val="center"/>
          </w:tcPr>
          <w:p w14:paraId="75D1683E">
            <w:pPr>
              <w:pStyle w:val="12"/>
            </w:pPr>
            <w:r>
              <w:t>66.00</w:t>
            </w:r>
          </w:p>
        </w:tc>
        <w:tc>
          <w:tcPr>
            <w:tcW w:w="2835" w:type="dxa"/>
            <w:vAlign w:val="center"/>
          </w:tcPr>
          <w:p w14:paraId="472DF543">
            <w:pPr>
              <w:pStyle w:val="10"/>
            </w:pPr>
            <w:r>
              <w:t>其中：财政    资金</w:t>
            </w:r>
          </w:p>
        </w:tc>
        <w:tc>
          <w:tcPr>
            <w:tcW w:w="2551" w:type="dxa"/>
            <w:vAlign w:val="center"/>
          </w:tcPr>
          <w:p w14:paraId="6BF1F5AF">
            <w:pPr>
              <w:pStyle w:val="12"/>
            </w:pPr>
            <w:r>
              <w:t>66.00</w:t>
            </w:r>
          </w:p>
        </w:tc>
        <w:tc>
          <w:tcPr>
            <w:tcW w:w="2268" w:type="dxa"/>
            <w:vAlign w:val="center"/>
          </w:tcPr>
          <w:p w14:paraId="49BC9D1E">
            <w:pPr>
              <w:pStyle w:val="10"/>
            </w:pPr>
            <w:r>
              <w:t>其他资金</w:t>
            </w:r>
          </w:p>
        </w:tc>
        <w:tc>
          <w:tcPr>
            <w:tcW w:w="1276" w:type="dxa"/>
            <w:vAlign w:val="center"/>
          </w:tcPr>
          <w:p w14:paraId="1BBC3D75">
            <w:pPr>
              <w:pStyle w:val="12"/>
            </w:pPr>
            <w:r>
              <w:t xml:space="preserve"> </w:t>
            </w:r>
          </w:p>
        </w:tc>
      </w:tr>
      <w:tr w14:paraId="687A7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86C34"/>
        </w:tc>
        <w:tc>
          <w:tcPr>
            <w:tcW w:w="14033" w:type="dxa"/>
            <w:gridSpan w:val="6"/>
            <w:vAlign w:val="center"/>
          </w:tcPr>
          <w:p w14:paraId="1B7555A4">
            <w:pPr>
              <w:pStyle w:val="12"/>
            </w:pPr>
            <w:r>
              <w:t>2026年省级安排普高改善办学条件资金66万元，资金用于学校购置黑板，改善学校办学条件。</w:t>
            </w:r>
          </w:p>
        </w:tc>
      </w:tr>
      <w:tr w14:paraId="689B1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063D4">
            <w:pPr>
              <w:pStyle w:val="10"/>
            </w:pPr>
            <w:r>
              <w:t>资金支出计划（%）</w:t>
            </w:r>
          </w:p>
        </w:tc>
        <w:tc>
          <w:tcPr>
            <w:tcW w:w="5103" w:type="dxa"/>
            <w:gridSpan w:val="2"/>
            <w:vAlign w:val="center"/>
          </w:tcPr>
          <w:p w14:paraId="7DFEC211">
            <w:pPr>
              <w:pStyle w:val="10"/>
            </w:pPr>
            <w:r>
              <w:t>3月底</w:t>
            </w:r>
          </w:p>
        </w:tc>
        <w:tc>
          <w:tcPr>
            <w:tcW w:w="2835" w:type="dxa"/>
            <w:vAlign w:val="center"/>
          </w:tcPr>
          <w:p w14:paraId="62AC0DE7">
            <w:pPr>
              <w:pStyle w:val="10"/>
            </w:pPr>
            <w:r>
              <w:t>6月底</w:t>
            </w:r>
          </w:p>
        </w:tc>
        <w:tc>
          <w:tcPr>
            <w:tcW w:w="2551" w:type="dxa"/>
            <w:vAlign w:val="center"/>
          </w:tcPr>
          <w:p w14:paraId="26A075D6">
            <w:pPr>
              <w:pStyle w:val="10"/>
            </w:pPr>
            <w:r>
              <w:t>10月底</w:t>
            </w:r>
          </w:p>
        </w:tc>
        <w:tc>
          <w:tcPr>
            <w:tcW w:w="3544" w:type="dxa"/>
            <w:gridSpan w:val="2"/>
            <w:vAlign w:val="center"/>
          </w:tcPr>
          <w:p w14:paraId="46742FA5">
            <w:pPr>
              <w:pStyle w:val="10"/>
            </w:pPr>
            <w:r>
              <w:t>12月底</w:t>
            </w:r>
          </w:p>
        </w:tc>
      </w:tr>
      <w:tr w14:paraId="02D42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70659"/>
        </w:tc>
        <w:tc>
          <w:tcPr>
            <w:tcW w:w="5103" w:type="dxa"/>
            <w:gridSpan w:val="2"/>
            <w:vAlign w:val="center"/>
          </w:tcPr>
          <w:p w14:paraId="6418545B">
            <w:pPr>
              <w:pStyle w:val="13"/>
            </w:pPr>
            <w:r>
              <w:t xml:space="preserve"> </w:t>
            </w:r>
          </w:p>
        </w:tc>
        <w:tc>
          <w:tcPr>
            <w:tcW w:w="2835" w:type="dxa"/>
            <w:vAlign w:val="center"/>
          </w:tcPr>
          <w:p w14:paraId="12007223">
            <w:pPr>
              <w:pStyle w:val="13"/>
            </w:pPr>
            <w:r>
              <w:t>100%</w:t>
            </w:r>
          </w:p>
        </w:tc>
        <w:tc>
          <w:tcPr>
            <w:tcW w:w="2551" w:type="dxa"/>
            <w:vAlign w:val="center"/>
          </w:tcPr>
          <w:p w14:paraId="036A0DBC">
            <w:pPr>
              <w:pStyle w:val="13"/>
            </w:pPr>
            <w:r>
              <w:t>100%</w:t>
            </w:r>
          </w:p>
        </w:tc>
        <w:tc>
          <w:tcPr>
            <w:tcW w:w="3544" w:type="dxa"/>
            <w:gridSpan w:val="2"/>
            <w:vAlign w:val="center"/>
          </w:tcPr>
          <w:p w14:paraId="306A86EE">
            <w:pPr>
              <w:pStyle w:val="13"/>
            </w:pPr>
            <w:r>
              <w:t>100%</w:t>
            </w:r>
          </w:p>
        </w:tc>
      </w:tr>
      <w:tr w14:paraId="395A4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BD871">
            <w:pPr>
              <w:pStyle w:val="10"/>
            </w:pPr>
            <w:r>
              <w:t>绩效目标</w:t>
            </w:r>
          </w:p>
        </w:tc>
        <w:tc>
          <w:tcPr>
            <w:tcW w:w="14033" w:type="dxa"/>
            <w:gridSpan w:val="6"/>
            <w:vAlign w:val="center"/>
          </w:tcPr>
          <w:p w14:paraId="34E89D97">
            <w:pPr>
              <w:pStyle w:val="12"/>
            </w:pPr>
            <w:r>
              <w:t>1.2026年省级安排普高改善办学条件资金66万元，资金用于学校购置黑板，改善学校办学条件。</w:t>
            </w:r>
          </w:p>
        </w:tc>
      </w:tr>
    </w:tbl>
    <w:p w14:paraId="7CD94E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8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CDD64">
            <w:pPr>
              <w:pStyle w:val="10"/>
            </w:pPr>
            <w:r>
              <w:t>一级指标</w:t>
            </w:r>
          </w:p>
        </w:tc>
        <w:tc>
          <w:tcPr>
            <w:tcW w:w="2268" w:type="dxa"/>
            <w:vAlign w:val="center"/>
          </w:tcPr>
          <w:p w14:paraId="64172D1D">
            <w:pPr>
              <w:pStyle w:val="10"/>
            </w:pPr>
            <w:r>
              <w:t>二级指标</w:t>
            </w:r>
          </w:p>
        </w:tc>
        <w:tc>
          <w:tcPr>
            <w:tcW w:w="2835" w:type="dxa"/>
            <w:vAlign w:val="center"/>
          </w:tcPr>
          <w:p w14:paraId="51C9DA99">
            <w:pPr>
              <w:pStyle w:val="10"/>
            </w:pPr>
            <w:r>
              <w:t>三级指标</w:t>
            </w:r>
          </w:p>
        </w:tc>
        <w:tc>
          <w:tcPr>
            <w:tcW w:w="5386" w:type="dxa"/>
            <w:vAlign w:val="center"/>
          </w:tcPr>
          <w:p w14:paraId="5F39E809">
            <w:pPr>
              <w:pStyle w:val="10"/>
            </w:pPr>
            <w:r>
              <w:t>绩效指标描述</w:t>
            </w:r>
          </w:p>
        </w:tc>
        <w:tc>
          <w:tcPr>
            <w:tcW w:w="2268" w:type="dxa"/>
            <w:vAlign w:val="center"/>
          </w:tcPr>
          <w:p w14:paraId="3AA5034A">
            <w:pPr>
              <w:pStyle w:val="10"/>
            </w:pPr>
            <w:r>
              <w:t>指标值</w:t>
            </w:r>
          </w:p>
        </w:tc>
        <w:tc>
          <w:tcPr>
            <w:tcW w:w="1276" w:type="dxa"/>
            <w:vAlign w:val="center"/>
          </w:tcPr>
          <w:p w14:paraId="1A866ACB">
            <w:pPr>
              <w:pStyle w:val="10"/>
            </w:pPr>
            <w:r>
              <w:t>指标值确定依据</w:t>
            </w:r>
          </w:p>
        </w:tc>
      </w:tr>
      <w:tr w14:paraId="7B90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03E3F">
            <w:pPr>
              <w:pStyle w:val="13"/>
            </w:pPr>
            <w:r>
              <w:t>产出指标</w:t>
            </w:r>
          </w:p>
        </w:tc>
        <w:tc>
          <w:tcPr>
            <w:tcW w:w="2268" w:type="dxa"/>
            <w:vAlign w:val="center"/>
          </w:tcPr>
          <w:p w14:paraId="0360FF3B">
            <w:pPr>
              <w:pStyle w:val="12"/>
            </w:pPr>
            <w:r>
              <w:t>数量指标</w:t>
            </w:r>
          </w:p>
        </w:tc>
        <w:tc>
          <w:tcPr>
            <w:tcW w:w="2835" w:type="dxa"/>
            <w:vAlign w:val="center"/>
          </w:tcPr>
          <w:p w14:paraId="56554BAE">
            <w:pPr>
              <w:pStyle w:val="12"/>
            </w:pPr>
            <w:r>
              <w:t>购置黑板</w:t>
            </w:r>
          </w:p>
        </w:tc>
        <w:tc>
          <w:tcPr>
            <w:tcW w:w="5386" w:type="dxa"/>
            <w:vAlign w:val="center"/>
          </w:tcPr>
          <w:p w14:paraId="3E7B78B9">
            <w:pPr>
              <w:pStyle w:val="12"/>
            </w:pPr>
            <w:r>
              <w:t>购置黑板</w:t>
            </w:r>
          </w:p>
        </w:tc>
        <w:tc>
          <w:tcPr>
            <w:tcW w:w="2268" w:type="dxa"/>
            <w:vAlign w:val="center"/>
          </w:tcPr>
          <w:p w14:paraId="400E27B2">
            <w:pPr>
              <w:pStyle w:val="12"/>
            </w:pPr>
            <w:r>
              <w:t>33套</w:t>
            </w:r>
          </w:p>
        </w:tc>
        <w:tc>
          <w:tcPr>
            <w:tcW w:w="1276" w:type="dxa"/>
            <w:vAlign w:val="center"/>
          </w:tcPr>
          <w:p w14:paraId="1C65EB92">
            <w:pPr>
              <w:pStyle w:val="12"/>
            </w:pPr>
            <w:r>
              <w:t>2026年项目规划</w:t>
            </w:r>
          </w:p>
        </w:tc>
      </w:tr>
      <w:tr w14:paraId="28AE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3C53C"/>
        </w:tc>
        <w:tc>
          <w:tcPr>
            <w:tcW w:w="2268" w:type="dxa"/>
            <w:vAlign w:val="center"/>
          </w:tcPr>
          <w:p w14:paraId="2FB7B491">
            <w:pPr>
              <w:pStyle w:val="12"/>
            </w:pPr>
            <w:r>
              <w:t>质量指标</w:t>
            </w:r>
          </w:p>
        </w:tc>
        <w:tc>
          <w:tcPr>
            <w:tcW w:w="2835" w:type="dxa"/>
            <w:vAlign w:val="center"/>
          </w:tcPr>
          <w:p w14:paraId="7B80B4EC">
            <w:pPr>
              <w:pStyle w:val="12"/>
            </w:pPr>
            <w:r>
              <w:t>购置产品质量合格率</w:t>
            </w:r>
          </w:p>
        </w:tc>
        <w:tc>
          <w:tcPr>
            <w:tcW w:w="5386" w:type="dxa"/>
            <w:vAlign w:val="center"/>
          </w:tcPr>
          <w:p w14:paraId="28238804">
            <w:pPr>
              <w:pStyle w:val="12"/>
            </w:pPr>
            <w:r>
              <w:t>依据国家教学设备购置标准，所有产品设备达到国家相关规定要求，质量合格</w:t>
            </w:r>
          </w:p>
        </w:tc>
        <w:tc>
          <w:tcPr>
            <w:tcW w:w="2268" w:type="dxa"/>
            <w:vAlign w:val="center"/>
          </w:tcPr>
          <w:p w14:paraId="12761E45">
            <w:pPr>
              <w:pStyle w:val="12"/>
            </w:pPr>
            <w:r>
              <w:t>100%</w:t>
            </w:r>
          </w:p>
        </w:tc>
        <w:tc>
          <w:tcPr>
            <w:tcW w:w="1276" w:type="dxa"/>
            <w:vAlign w:val="center"/>
          </w:tcPr>
          <w:p w14:paraId="1F370A53">
            <w:pPr>
              <w:pStyle w:val="12"/>
            </w:pPr>
            <w:r>
              <w:t>2026年项目规划</w:t>
            </w:r>
          </w:p>
        </w:tc>
      </w:tr>
      <w:tr w14:paraId="2DB6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C518"/>
        </w:tc>
        <w:tc>
          <w:tcPr>
            <w:tcW w:w="2268" w:type="dxa"/>
            <w:vAlign w:val="center"/>
          </w:tcPr>
          <w:p w14:paraId="4C337BE9">
            <w:pPr>
              <w:pStyle w:val="12"/>
            </w:pPr>
            <w:r>
              <w:t>时效指标</w:t>
            </w:r>
          </w:p>
        </w:tc>
        <w:tc>
          <w:tcPr>
            <w:tcW w:w="2835" w:type="dxa"/>
            <w:vAlign w:val="center"/>
          </w:tcPr>
          <w:p w14:paraId="76D7CA4F">
            <w:pPr>
              <w:pStyle w:val="12"/>
            </w:pPr>
            <w:r>
              <w:t>购置产品按时完成率</w:t>
            </w:r>
          </w:p>
        </w:tc>
        <w:tc>
          <w:tcPr>
            <w:tcW w:w="5386" w:type="dxa"/>
            <w:vAlign w:val="center"/>
          </w:tcPr>
          <w:p w14:paraId="7AB8900D">
            <w:pPr>
              <w:pStyle w:val="12"/>
            </w:pPr>
            <w:r>
              <w:t>按时完成购置</w:t>
            </w:r>
          </w:p>
        </w:tc>
        <w:tc>
          <w:tcPr>
            <w:tcW w:w="2268" w:type="dxa"/>
            <w:vAlign w:val="center"/>
          </w:tcPr>
          <w:p w14:paraId="61FFA92E">
            <w:pPr>
              <w:pStyle w:val="12"/>
            </w:pPr>
            <w:r>
              <w:t>100%</w:t>
            </w:r>
          </w:p>
        </w:tc>
        <w:tc>
          <w:tcPr>
            <w:tcW w:w="1276" w:type="dxa"/>
            <w:vAlign w:val="center"/>
          </w:tcPr>
          <w:p w14:paraId="4E6D0CFC">
            <w:pPr>
              <w:pStyle w:val="12"/>
            </w:pPr>
            <w:r>
              <w:t>2026年项目规划</w:t>
            </w:r>
          </w:p>
        </w:tc>
      </w:tr>
      <w:tr w14:paraId="30EC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346CB"/>
        </w:tc>
        <w:tc>
          <w:tcPr>
            <w:tcW w:w="2268" w:type="dxa"/>
            <w:vAlign w:val="center"/>
          </w:tcPr>
          <w:p w14:paraId="4A41B708">
            <w:pPr>
              <w:pStyle w:val="12"/>
            </w:pPr>
            <w:r>
              <w:t>成本指标</w:t>
            </w:r>
          </w:p>
        </w:tc>
        <w:tc>
          <w:tcPr>
            <w:tcW w:w="2835" w:type="dxa"/>
            <w:vAlign w:val="center"/>
          </w:tcPr>
          <w:p w14:paraId="4A5B5D6D">
            <w:pPr>
              <w:pStyle w:val="12"/>
            </w:pPr>
            <w:r>
              <w:t>采购成本</w:t>
            </w:r>
          </w:p>
        </w:tc>
        <w:tc>
          <w:tcPr>
            <w:tcW w:w="5386" w:type="dxa"/>
            <w:vAlign w:val="center"/>
          </w:tcPr>
          <w:p w14:paraId="3E4D1B36">
            <w:pPr>
              <w:pStyle w:val="12"/>
            </w:pPr>
            <w:r>
              <w:t>实行政府采购招投标</w:t>
            </w:r>
          </w:p>
        </w:tc>
        <w:tc>
          <w:tcPr>
            <w:tcW w:w="2268" w:type="dxa"/>
            <w:vAlign w:val="center"/>
          </w:tcPr>
          <w:p w14:paraId="2FB1853C">
            <w:pPr>
              <w:pStyle w:val="12"/>
            </w:pPr>
            <w:r>
              <w:t>66万元</w:t>
            </w:r>
          </w:p>
        </w:tc>
        <w:tc>
          <w:tcPr>
            <w:tcW w:w="1276" w:type="dxa"/>
            <w:vAlign w:val="center"/>
          </w:tcPr>
          <w:p w14:paraId="47251F5A">
            <w:pPr>
              <w:pStyle w:val="12"/>
            </w:pPr>
            <w:r>
              <w:t>2026年项目规划</w:t>
            </w:r>
          </w:p>
        </w:tc>
      </w:tr>
      <w:tr w14:paraId="5B799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877C5">
            <w:pPr>
              <w:pStyle w:val="13"/>
            </w:pPr>
            <w:r>
              <w:t>效益指标</w:t>
            </w:r>
          </w:p>
        </w:tc>
        <w:tc>
          <w:tcPr>
            <w:tcW w:w="2268" w:type="dxa"/>
            <w:vAlign w:val="center"/>
          </w:tcPr>
          <w:p w14:paraId="28881764">
            <w:pPr>
              <w:pStyle w:val="12"/>
            </w:pPr>
            <w:r>
              <w:t>经济效益指标</w:t>
            </w:r>
          </w:p>
        </w:tc>
        <w:tc>
          <w:tcPr>
            <w:tcW w:w="2835" w:type="dxa"/>
            <w:vAlign w:val="center"/>
          </w:tcPr>
          <w:p w14:paraId="5E767DED">
            <w:pPr>
              <w:pStyle w:val="12"/>
            </w:pPr>
            <w:r>
              <w:t>高中教育毛入学率</w:t>
            </w:r>
          </w:p>
        </w:tc>
        <w:tc>
          <w:tcPr>
            <w:tcW w:w="5386" w:type="dxa"/>
            <w:vAlign w:val="center"/>
          </w:tcPr>
          <w:p w14:paraId="115D6E91">
            <w:pPr>
              <w:pStyle w:val="12"/>
            </w:pPr>
            <w:r>
              <w:t>大幅度提升高中阶段毛入学率</w:t>
            </w:r>
          </w:p>
        </w:tc>
        <w:tc>
          <w:tcPr>
            <w:tcW w:w="2268" w:type="dxa"/>
            <w:vAlign w:val="center"/>
          </w:tcPr>
          <w:p w14:paraId="3B661FD5">
            <w:pPr>
              <w:pStyle w:val="12"/>
            </w:pPr>
            <w:r>
              <w:t>≥90%</w:t>
            </w:r>
          </w:p>
        </w:tc>
        <w:tc>
          <w:tcPr>
            <w:tcW w:w="1276" w:type="dxa"/>
            <w:vAlign w:val="center"/>
          </w:tcPr>
          <w:p w14:paraId="08CEE367">
            <w:pPr>
              <w:pStyle w:val="12"/>
            </w:pPr>
            <w:r>
              <w:t>2026年项目规划</w:t>
            </w:r>
          </w:p>
        </w:tc>
      </w:tr>
      <w:tr w14:paraId="6B15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E1D7C"/>
        </w:tc>
        <w:tc>
          <w:tcPr>
            <w:tcW w:w="2268" w:type="dxa"/>
            <w:vAlign w:val="center"/>
          </w:tcPr>
          <w:p w14:paraId="2CC0CDE2">
            <w:pPr>
              <w:pStyle w:val="12"/>
            </w:pPr>
            <w:r>
              <w:t>社会效益指标</w:t>
            </w:r>
          </w:p>
        </w:tc>
        <w:tc>
          <w:tcPr>
            <w:tcW w:w="2835" w:type="dxa"/>
            <w:vAlign w:val="center"/>
          </w:tcPr>
          <w:p w14:paraId="337703D7">
            <w:pPr>
              <w:pStyle w:val="12"/>
            </w:pPr>
            <w:r>
              <w:t>受益数</w:t>
            </w:r>
          </w:p>
        </w:tc>
        <w:tc>
          <w:tcPr>
            <w:tcW w:w="5386" w:type="dxa"/>
            <w:vAlign w:val="center"/>
          </w:tcPr>
          <w:p w14:paraId="3100C12A">
            <w:pPr>
              <w:pStyle w:val="12"/>
            </w:pPr>
            <w:r>
              <w:t>受益学生人数</w:t>
            </w:r>
          </w:p>
        </w:tc>
        <w:tc>
          <w:tcPr>
            <w:tcW w:w="2268" w:type="dxa"/>
            <w:vAlign w:val="center"/>
          </w:tcPr>
          <w:p w14:paraId="7ABF4AE2">
            <w:pPr>
              <w:pStyle w:val="12"/>
            </w:pPr>
            <w:r>
              <w:t>≥897人</w:t>
            </w:r>
          </w:p>
        </w:tc>
        <w:tc>
          <w:tcPr>
            <w:tcW w:w="1276" w:type="dxa"/>
            <w:vAlign w:val="center"/>
          </w:tcPr>
          <w:p w14:paraId="4D65D0C7">
            <w:pPr>
              <w:pStyle w:val="12"/>
            </w:pPr>
            <w:r>
              <w:t>2026年项目规划</w:t>
            </w:r>
          </w:p>
        </w:tc>
      </w:tr>
      <w:tr w14:paraId="5A34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217D1"/>
        </w:tc>
        <w:tc>
          <w:tcPr>
            <w:tcW w:w="2268" w:type="dxa"/>
            <w:vAlign w:val="center"/>
          </w:tcPr>
          <w:p w14:paraId="3562BDB8">
            <w:pPr>
              <w:pStyle w:val="12"/>
            </w:pPr>
            <w:r>
              <w:t>可持续影响指标</w:t>
            </w:r>
          </w:p>
        </w:tc>
        <w:tc>
          <w:tcPr>
            <w:tcW w:w="2835" w:type="dxa"/>
            <w:vAlign w:val="center"/>
          </w:tcPr>
          <w:p w14:paraId="4D6857EB">
            <w:pPr>
              <w:pStyle w:val="12"/>
            </w:pPr>
            <w:r>
              <w:t>购置设备使用年限</w:t>
            </w:r>
          </w:p>
        </w:tc>
        <w:tc>
          <w:tcPr>
            <w:tcW w:w="5386" w:type="dxa"/>
            <w:vAlign w:val="center"/>
          </w:tcPr>
          <w:p w14:paraId="044D2115">
            <w:pPr>
              <w:pStyle w:val="12"/>
            </w:pPr>
            <w:r>
              <w:t>购置设备使用年限</w:t>
            </w:r>
          </w:p>
        </w:tc>
        <w:tc>
          <w:tcPr>
            <w:tcW w:w="2268" w:type="dxa"/>
            <w:vAlign w:val="center"/>
          </w:tcPr>
          <w:p w14:paraId="38EF0D64">
            <w:pPr>
              <w:pStyle w:val="12"/>
            </w:pPr>
            <w:r>
              <w:t>≥10年</w:t>
            </w:r>
          </w:p>
        </w:tc>
        <w:tc>
          <w:tcPr>
            <w:tcW w:w="1276" w:type="dxa"/>
            <w:vAlign w:val="center"/>
          </w:tcPr>
          <w:p w14:paraId="302CF703">
            <w:pPr>
              <w:pStyle w:val="12"/>
            </w:pPr>
            <w:r>
              <w:t>2026年项目规划</w:t>
            </w:r>
          </w:p>
        </w:tc>
      </w:tr>
      <w:tr w14:paraId="10F5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5AC3D">
            <w:pPr>
              <w:pStyle w:val="13"/>
            </w:pPr>
            <w:r>
              <w:t>满意度指标</w:t>
            </w:r>
          </w:p>
        </w:tc>
        <w:tc>
          <w:tcPr>
            <w:tcW w:w="2268" w:type="dxa"/>
            <w:vAlign w:val="center"/>
          </w:tcPr>
          <w:p w14:paraId="5AAD8F6F">
            <w:pPr>
              <w:pStyle w:val="12"/>
            </w:pPr>
            <w:r>
              <w:t>服务对象满意度指标</w:t>
            </w:r>
          </w:p>
        </w:tc>
        <w:tc>
          <w:tcPr>
            <w:tcW w:w="2835" w:type="dxa"/>
            <w:vAlign w:val="center"/>
          </w:tcPr>
          <w:p w14:paraId="21695CC3">
            <w:pPr>
              <w:pStyle w:val="12"/>
            </w:pPr>
            <w:r>
              <w:t>教师学生满意度</w:t>
            </w:r>
          </w:p>
        </w:tc>
        <w:tc>
          <w:tcPr>
            <w:tcW w:w="5386" w:type="dxa"/>
            <w:vAlign w:val="center"/>
          </w:tcPr>
          <w:p w14:paraId="08C22DE9">
            <w:pPr>
              <w:pStyle w:val="12"/>
            </w:pPr>
            <w:r>
              <w:t>教师学生满意度</w:t>
            </w:r>
          </w:p>
        </w:tc>
        <w:tc>
          <w:tcPr>
            <w:tcW w:w="2268" w:type="dxa"/>
            <w:vAlign w:val="center"/>
          </w:tcPr>
          <w:p w14:paraId="7267ACF6">
            <w:pPr>
              <w:pStyle w:val="12"/>
            </w:pPr>
            <w:r>
              <w:t>≥98%</w:t>
            </w:r>
          </w:p>
        </w:tc>
        <w:tc>
          <w:tcPr>
            <w:tcW w:w="1276" w:type="dxa"/>
            <w:vAlign w:val="center"/>
          </w:tcPr>
          <w:p w14:paraId="6BD786F0">
            <w:pPr>
              <w:pStyle w:val="12"/>
            </w:pPr>
            <w:r>
              <w:t>2026年项目规划</w:t>
            </w:r>
          </w:p>
        </w:tc>
      </w:tr>
    </w:tbl>
    <w:p w14:paraId="780576B7">
      <w:pPr>
        <w:sectPr>
          <w:pgSz w:w="16840" w:h="11900" w:orient="landscape"/>
          <w:pgMar w:top="1361" w:right="1020" w:bottom="1134" w:left="1020" w:header="720" w:footer="720" w:gutter="0"/>
          <w:cols w:space="720" w:num="1"/>
        </w:sectPr>
      </w:pPr>
    </w:p>
    <w:p w14:paraId="47304D68">
      <w:pPr>
        <w:spacing w:before="0" w:after="0"/>
        <w:ind w:firstLine="560"/>
        <w:jc w:val="left"/>
        <w:outlineLvl w:val="9"/>
      </w:pPr>
      <w:r>
        <w:rPr>
          <w:rFonts w:ascii="方正仿宋_GBK" w:hAnsi="方正仿宋_GBK" w:eastAsia="方正仿宋_GBK" w:cs="方正仿宋_GBK"/>
          <w:b/>
          <w:color w:val="000000"/>
          <w:sz w:val="28"/>
        </w:rPr>
        <w:t>12、冀财教[2025]150号/省级/2026年普通高中资金/普通高中三免（职教高中）建档立卡</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09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E2121">
            <w:pPr>
              <w:pStyle w:val="11"/>
            </w:pPr>
            <w:r>
              <w:t>单位：万元</w:t>
            </w:r>
          </w:p>
        </w:tc>
      </w:tr>
      <w:tr w14:paraId="15409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3D878">
            <w:pPr>
              <w:pStyle w:val="10"/>
            </w:pPr>
            <w:r>
              <w:t>项目编码</w:t>
            </w:r>
          </w:p>
        </w:tc>
        <w:tc>
          <w:tcPr>
            <w:tcW w:w="5103" w:type="dxa"/>
            <w:gridSpan w:val="2"/>
            <w:vAlign w:val="center"/>
          </w:tcPr>
          <w:p w14:paraId="69476C75">
            <w:pPr>
              <w:pStyle w:val="12"/>
            </w:pPr>
            <w:r>
              <w:t>13052526P00001210067T</w:t>
            </w:r>
          </w:p>
        </w:tc>
        <w:tc>
          <w:tcPr>
            <w:tcW w:w="2835" w:type="dxa"/>
            <w:vAlign w:val="center"/>
          </w:tcPr>
          <w:p w14:paraId="51CF913D">
            <w:pPr>
              <w:pStyle w:val="10"/>
            </w:pPr>
            <w:r>
              <w:t>项目名称</w:t>
            </w:r>
          </w:p>
        </w:tc>
        <w:tc>
          <w:tcPr>
            <w:tcW w:w="6095" w:type="dxa"/>
            <w:gridSpan w:val="3"/>
            <w:vAlign w:val="center"/>
          </w:tcPr>
          <w:p w14:paraId="160ABA3E">
            <w:pPr>
              <w:pStyle w:val="12"/>
            </w:pPr>
            <w:r>
              <w:t>冀财教[2025]150号/省级/2026年普通高中资金/普通高中三免（职教高中）建档立卡</w:t>
            </w:r>
            <w:r>
              <w:tab/>
            </w:r>
          </w:p>
        </w:tc>
      </w:tr>
      <w:tr w14:paraId="17632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4ACA3">
            <w:pPr>
              <w:pStyle w:val="10"/>
            </w:pPr>
            <w:r>
              <w:t>预算规模及资金用途</w:t>
            </w:r>
          </w:p>
        </w:tc>
        <w:tc>
          <w:tcPr>
            <w:tcW w:w="2268" w:type="dxa"/>
            <w:vAlign w:val="center"/>
          </w:tcPr>
          <w:p w14:paraId="21BFD536">
            <w:pPr>
              <w:pStyle w:val="10"/>
            </w:pPr>
            <w:r>
              <w:t>预算数</w:t>
            </w:r>
          </w:p>
        </w:tc>
        <w:tc>
          <w:tcPr>
            <w:tcW w:w="2835" w:type="dxa"/>
            <w:vAlign w:val="center"/>
          </w:tcPr>
          <w:p w14:paraId="73B8514B">
            <w:pPr>
              <w:pStyle w:val="12"/>
            </w:pPr>
            <w:r>
              <w:t>6.00</w:t>
            </w:r>
          </w:p>
        </w:tc>
        <w:tc>
          <w:tcPr>
            <w:tcW w:w="2835" w:type="dxa"/>
            <w:vAlign w:val="center"/>
          </w:tcPr>
          <w:p w14:paraId="251935C6">
            <w:pPr>
              <w:pStyle w:val="10"/>
            </w:pPr>
            <w:r>
              <w:t>其中：财政    资金</w:t>
            </w:r>
          </w:p>
        </w:tc>
        <w:tc>
          <w:tcPr>
            <w:tcW w:w="2551" w:type="dxa"/>
            <w:vAlign w:val="center"/>
          </w:tcPr>
          <w:p w14:paraId="78DA5053">
            <w:pPr>
              <w:pStyle w:val="12"/>
            </w:pPr>
            <w:r>
              <w:t>6.00</w:t>
            </w:r>
          </w:p>
        </w:tc>
        <w:tc>
          <w:tcPr>
            <w:tcW w:w="2268" w:type="dxa"/>
            <w:vAlign w:val="center"/>
          </w:tcPr>
          <w:p w14:paraId="3794D6EA">
            <w:pPr>
              <w:pStyle w:val="10"/>
            </w:pPr>
            <w:r>
              <w:t>其他资金</w:t>
            </w:r>
          </w:p>
        </w:tc>
        <w:tc>
          <w:tcPr>
            <w:tcW w:w="1276" w:type="dxa"/>
            <w:vAlign w:val="center"/>
          </w:tcPr>
          <w:p w14:paraId="44328193">
            <w:pPr>
              <w:pStyle w:val="12"/>
            </w:pPr>
            <w:r>
              <w:t xml:space="preserve"> </w:t>
            </w:r>
          </w:p>
        </w:tc>
      </w:tr>
      <w:tr w14:paraId="08C33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058C4"/>
        </w:tc>
        <w:tc>
          <w:tcPr>
            <w:tcW w:w="14033" w:type="dxa"/>
            <w:gridSpan w:val="6"/>
            <w:vAlign w:val="center"/>
          </w:tcPr>
          <w:p w14:paraId="70D207B2">
            <w:pPr>
              <w:pStyle w:val="12"/>
            </w:pPr>
            <w:r>
              <w:t>省级普通高中三免资金预算安排6万元，用于减免贫困生书费学费住宿费后弥补公用经费不足。</w:t>
            </w:r>
          </w:p>
        </w:tc>
      </w:tr>
      <w:tr w14:paraId="66ECD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9D7BE">
            <w:pPr>
              <w:pStyle w:val="10"/>
            </w:pPr>
            <w:r>
              <w:t>资金支出计划（%）</w:t>
            </w:r>
          </w:p>
        </w:tc>
        <w:tc>
          <w:tcPr>
            <w:tcW w:w="5103" w:type="dxa"/>
            <w:gridSpan w:val="2"/>
            <w:vAlign w:val="center"/>
          </w:tcPr>
          <w:p w14:paraId="0CD3DD3C">
            <w:pPr>
              <w:pStyle w:val="10"/>
            </w:pPr>
            <w:r>
              <w:t>3月底</w:t>
            </w:r>
          </w:p>
        </w:tc>
        <w:tc>
          <w:tcPr>
            <w:tcW w:w="2835" w:type="dxa"/>
            <w:vAlign w:val="center"/>
          </w:tcPr>
          <w:p w14:paraId="01E65DDD">
            <w:pPr>
              <w:pStyle w:val="10"/>
            </w:pPr>
            <w:r>
              <w:t>6月底</w:t>
            </w:r>
          </w:p>
        </w:tc>
        <w:tc>
          <w:tcPr>
            <w:tcW w:w="2551" w:type="dxa"/>
            <w:vAlign w:val="center"/>
          </w:tcPr>
          <w:p w14:paraId="206E4423">
            <w:pPr>
              <w:pStyle w:val="10"/>
            </w:pPr>
            <w:r>
              <w:t>10月底</w:t>
            </w:r>
          </w:p>
        </w:tc>
        <w:tc>
          <w:tcPr>
            <w:tcW w:w="3544" w:type="dxa"/>
            <w:gridSpan w:val="2"/>
            <w:vAlign w:val="center"/>
          </w:tcPr>
          <w:p w14:paraId="1C167476">
            <w:pPr>
              <w:pStyle w:val="10"/>
            </w:pPr>
            <w:r>
              <w:t>12月底</w:t>
            </w:r>
          </w:p>
        </w:tc>
      </w:tr>
      <w:tr w14:paraId="28521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0D3E4"/>
        </w:tc>
        <w:tc>
          <w:tcPr>
            <w:tcW w:w="5103" w:type="dxa"/>
            <w:gridSpan w:val="2"/>
            <w:vAlign w:val="center"/>
          </w:tcPr>
          <w:p w14:paraId="43FAD792">
            <w:pPr>
              <w:pStyle w:val="13"/>
            </w:pPr>
            <w:r>
              <w:t xml:space="preserve"> </w:t>
            </w:r>
          </w:p>
        </w:tc>
        <w:tc>
          <w:tcPr>
            <w:tcW w:w="2835" w:type="dxa"/>
            <w:vAlign w:val="center"/>
          </w:tcPr>
          <w:p w14:paraId="025553BB">
            <w:pPr>
              <w:pStyle w:val="13"/>
            </w:pPr>
            <w:r>
              <w:t>50%</w:t>
            </w:r>
          </w:p>
        </w:tc>
        <w:tc>
          <w:tcPr>
            <w:tcW w:w="2551" w:type="dxa"/>
            <w:vAlign w:val="center"/>
          </w:tcPr>
          <w:p w14:paraId="54F9AC06">
            <w:pPr>
              <w:pStyle w:val="13"/>
            </w:pPr>
            <w:r>
              <w:t>50%</w:t>
            </w:r>
          </w:p>
        </w:tc>
        <w:tc>
          <w:tcPr>
            <w:tcW w:w="3544" w:type="dxa"/>
            <w:gridSpan w:val="2"/>
            <w:vAlign w:val="center"/>
          </w:tcPr>
          <w:p w14:paraId="5885D37A">
            <w:pPr>
              <w:pStyle w:val="13"/>
            </w:pPr>
            <w:r>
              <w:t>100%</w:t>
            </w:r>
          </w:p>
        </w:tc>
      </w:tr>
      <w:tr w14:paraId="5B7F1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A840B">
            <w:pPr>
              <w:pStyle w:val="10"/>
            </w:pPr>
            <w:r>
              <w:t>绩效目标</w:t>
            </w:r>
          </w:p>
        </w:tc>
        <w:tc>
          <w:tcPr>
            <w:tcW w:w="14033" w:type="dxa"/>
            <w:gridSpan w:val="6"/>
            <w:vAlign w:val="center"/>
          </w:tcPr>
          <w:p w14:paraId="75EAC611">
            <w:pPr>
              <w:pStyle w:val="12"/>
            </w:pPr>
            <w:r>
              <w:t>1.省级普通高中三免资金预算安排6万元，用于减免贫困生书费学费住宿费后弥补公用经费不足。</w:t>
            </w:r>
          </w:p>
        </w:tc>
      </w:tr>
    </w:tbl>
    <w:p w14:paraId="48563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0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AE36A96">
            <w:pPr>
              <w:pStyle w:val="10"/>
            </w:pPr>
            <w:r>
              <w:t>一级指标</w:t>
            </w:r>
          </w:p>
        </w:tc>
        <w:tc>
          <w:tcPr>
            <w:tcW w:w="2268" w:type="dxa"/>
            <w:vAlign w:val="center"/>
          </w:tcPr>
          <w:p w14:paraId="6209519B">
            <w:pPr>
              <w:pStyle w:val="10"/>
            </w:pPr>
            <w:r>
              <w:t>二级指标</w:t>
            </w:r>
          </w:p>
        </w:tc>
        <w:tc>
          <w:tcPr>
            <w:tcW w:w="2835" w:type="dxa"/>
            <w:vAlign w:val="center"/>
          </w:tcPr>
          <w:p w14:paraId="2BDB8153">
            <w:pPr>
              <w:pStyle w:val="10"/>
            </w:pPr>
            <w:r>
              <w:t>三级指标</w:t>
            </w:r>
          </w:p>
        </w:tc>
        <w:tc>
          <w:tcPr>
            <w:tcW w:w="5386" w:type="dxa"/>
            <w:vAlign w:val="center"/>
          </w:tcPr>
          <w:p w14:paraId="2DB9E879">
            <w:pPr>
              <w:pStyle w:val="10"/>
            </w:pPr>
            <w:r>
              <w:t>绩效指标描述</w:t>
            </w:r>
          </w:p>
        </w:tc>
        <w:tc>
          <w:tcPr>
            <w:tcW w:w="2268" w:type="dxa"/>
            <w:vAlign w:val="center"/>
          </w:tcPr>
          <w:p w14:paraId="0ABD5E6B">
            <w:pPr>
              <w:pStyle w:val="10"/>
            </w:pPr>
            <w:r>
              <w:t>指标值</w:t>
            </w:r>
          </w:p>
        </w:tc>
        <w:tc>
          <w:tcPr>
            <w:tcW w:w="1276" w:type="dxa"/>
            <w:vAlign w:val="center"/>
          </w:tcPr>
          <w:p w14:paraId="0C924ACB">
            <w:pPr>
              <w:pStyle w:val="10"/>
            </w:pPr>
            <w:r>
              <w:t>指标值确定依据</w:t>
            </w:r>
          </w:p>
        </w:tc>
      </w:tr>
      <w:tr w14:paraId="63A1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4AF88">
            <w:pPr>
              <w:pStyle w:val="13"/>
            </w:pPr>
            <w:r>
              <w:t>产出指标</w:t>
            </w:r>
          </w:p>
        </w:tc>
        <w:tc>
          <w:tcPr>
            <w:tcW w:w="2268" w:type="dxa"/>
            <w:vAlign w:val="center"/>
          </w:tcPr>
          <w:p w14:paraId="34C88AD2">
            <w:pPr>
              <w:pStyle w:val="12"/>
            </w:pPr>
            <w:r>
              <w:t>数量指标</w:t>
            </w:r>
          </w:p>
        </w:tc>
        <w:tc>
          <w:tcPr>
            <w:tcW w:w="2835" w:type="dxa"/>
            <w:vAlign w:val="center"/>
          </w:tcPr>
          <w:p w14:paraId="62547DA0">
            <w:pPr>
              <w:pStyle w:val="12"/>
            </w:pPr>
            <w:r>
              <w:t>普通高中享受三免人数</w:t>
            </w:r>
          </w:p>
        </w:tc>
        <w:tc>
          <w:tcPr>
            <w:tcW w:w="5386" w:type="dxa"/>
            <w:vAlign w:val="center"/>
          </w:tcPr>
          <w:p w14:paraId="5F7C9080">
            <w:pPr>
              <w:pStyle w:val="12"/>
            </w:pPr>
            <w:r>
              <w:t>普通高中享受免学费住宿费书费人数</w:t>
            </w:r>
          </w:p>
        </w:tc>
        <w:tc>
          <w:tcPr>
            <w:tcW w:w="2268" w:type="dxa"/>
            <w:vAlign w:val="center"/>
          </w:tcPr>
          <w:p w14:paraId="437DA0E5">
            <w:pPr>
              <w:pStyle w:val="12"/>
            </w:pPr>
            <w:r>
              <w:t>58人</w:t>
            </w:r>
          </w:p>
        </w:tc>
        <w:tc>
          <w:tcPr>
            <w:tcW w:w="1276" w:type="dxa"/>
            <w:vAlign w:val="center"/>
          </w:tcPr>
          <w:p w14:paraId="705E664B">
            <w:pPr>
              <w:pStyle w:val="12"/>
            </w:pPr>
            <w:r>
              <w:t>河北省建档立卡家庭经济困难学生资助管理暂行办法</w:t>
            </w:r>
          </w:p>
        </w:tc>
      </w:tr>
      <w:tr w14:paraId="73C9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750C0"/>
        </w:tc>
        <w:tc>
          <w:tcPr>
            <w:tcW w:w="2268" w:type="dxa"/>
            <w:vAlign w:val="center"/>
          </w:tcPr>
          <w:p w14:paraId="38D41B00">
            <w:pPr>
              <w:pStyle w:val="12"/>
            </w:pPr>
            <w:r>
              <w:t>质量指标</w:t>
            </w:r>
          </w:p>
        </w:tc>
        <w:tc>
          <w:tcPr>
            <w:tcW w:w="2835" w:type="dxa"/>
            <w:vAlign w:val="center"/>
          </w:tcPr>
          <w:p w14:paraId="35225177">
            <w:pPr>
              <w:pStyle w:val="12"/>
            </w:pPr>
            <w:r>
              <w:t>完成普高三免资金发放工作</w:t>
            </w:r>
          </w:p>
        </w:tc>
        <w:tc>
          <w:tcPr>
            <w:tcW w:w="5386" w:type="dxa"/>
            <w:vAlign w:val="center"/>
          </w:tcPr>
          <w:p w14:paraId="0835711B">
            <w:pPr>
              <w:pStyle w:val="12"/>
            </w:pPr>
            <w:r>
              <w:t>普高三免为建档立卡学生</w:t>
            </w:r>
          </w:p>
        </w:tc>
        <w:tc>
          <w:tcPr>
            <w:tcW w:w="2268" w:type="dxa"/>
            <w:vAlign w:val="center"/>
          </w:tcPr>
          <w:p w14:paraId="455B1641">
            <w:pPr>
              <w:pStyle w:val="12"/>
            </w:pPr>
            <w:r>
              <w:t>100%</w:t>
            </w:r>
          </w:p>
        </w:tc>
        <w:tc>
          <w:tcPr>
            <w:tcW w:w="1276" w:type="dxa"/>
            <w:vAlign w:val="center"/>
          </w:tcPr>
          <w:p w14:paraId="7F4D5FD1">
            <w:pPr>
              <w:pStyle w:val="12"/>
            </w:pPr>
            <w:r>
              <w:t>河北省建档立卡家庭经济困难学生资助管理暂行办法</w:t>
            </w:r>
          </w:p>
        </w:tc>
      </w:tr>
      <w:tr w14:paraId="0AB2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8C0A2"/>
        </w:tc>
        <w:tc>
          <w:tcPr>
            <w:tcW w:w="2268" w:type="dxa"/>
            <w:vAlign w:val="center"/>
          </w:tcPr>
          <w:p w14:paraId="19556722">
            <w:pPr>
              <w:pStyle w:val="12"/>
            </w:pPr>
            <w:r>
              <w:t>时效指标</w:t>
            </w:r>
          </w:p>
        </w:tc>
        <w:tc>
          <w:tcPr>
            <w:tcW w:w="2835" w:type="dxa"/>
            <w:vAlign w:val="center"/>
          </w:tcPr>
          <w:p w14:paraId="5272CDAE">
            <w:pPr>
              <w:pStyle w:val="12"/>
            </w:pPr>
            <w:r>
              <w:t>补助资金及时足额发放率</w:t>
            </w:r>
          </w:p>
        </w:tc>
        <w:tc>
          <w:tcPr>
            <w:tcW w:w="5386" w:type="dxa"/>
            <w:vAlign w:val="center"/>
          </w:tcPr>
          <w:p w14:paraId="17556397">
            <w:pPr>
              <w:pStyle w:val="12"/>
            </w:pPr>
            <w:r>
              <w:t>补助资金及时足额到位率</w:t>
            </w:r>
          </w:p>
        </w:tc>
        <w:tc>
          <w:tcPr>
            <w:tcW w:w="2268" w:type="dxa"/>
            <w:vAlign w:val="center"/>
          </w:tcPr>
          <w:p w14:paraId="1C74E849">
            <w:pPr>
              <w:pStyle w:val="12"/>
            </w:pPr>
            <w:r>
              <w:t>100%</w:t>
            </w:r>
          </w:p>
        </w:tc>
        <w:tc>
          <w:tcPr>
            <w:tcW w:w="1276" w:type="dxa"/>
            <w:vAlign w:val="center"/>
          </w:tcPr>
          <w:p w14:paraId="42EDDC6F">
            <w:pPr>
              <w:pStyle w:val="12"/>
            </w:pPr>
            <w:r>
              <w:t>河北省建档立卡家庭经济困难学生资助管理暂行办法</w:t>
            </w:r>
          </w:p>
        </w:tc>
      </w:tr>
      <w:tr w14:paraId="1C9B0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2BFEA"/>
        </w:tc>
        <w:tc>
          <w:tcPr>
            <w:tcW w:w="2268" w:type="dxa"/>
            <w:vAlign w:val="center"/>
          </w:tcPr>
          <w:p w14:paraId="6F5D242C">
            <w:pPr>
              <w:pStyle w:val="12"/>
            </w:pPr>
            <w:r>
              <w:t>成本指标</w:t>
            </w:r>
          </w:p>
        </w:tc>
        <w:tc>
          <w:tcPr>
            <w:tcW w:w="2835" w:type="dxa"/>
            <w:vAlign w:val="center"/>
          </w:tcPr>
          <w:p w14:paraId="29B633C4">
            <w:pPr>
              <w:pStyle w:val="12"/>
            </w:pPr>
            <w:r>
              <w:t>免学费标准</w:t>
            </w:r>
          </w:p>
        </w:tc>
        <w:tc>
          <w:tcPr>
            <w:tcW w:w="5386" w:type="dxa"/>
            <w:vAlign w:val="center"/>
          </w:tcPr>
          <w:p w14:paraId="720BD263">
            <w:pPr>
              <w:pStyle w:val="12"/>
            </w:pPr>
            <w:r>
              <w:t>普高免学费住宿费书费2800元</w:t>
            </w:r>
          </w:p>
        </w:tc>
        <w:tc>
          <w:tcPr>
            <w:tcW w:w="2268" w:type="dxa"/>
            <w:vAlign w:val="center"/>
          </w:tcPr>
          <w:p w14:paraId="520547FD">
            <w:pPr>
              <w:pStyle w:val="12"/>
            </w:pPr>
            <w:r>
              <w:t>2800元/生/年</w:t>
            </w:r>
          </w:p>
        </w:tc>
        <w:tc>
          <w:tcPr>
            <w:tcW w:w="1276" w:type="dxa"/>
            <w:vAlign w:val="center"/>
          </w:tcPr>
          <w:p w14:paraId="1A7850D9">
            <w:pPr>
              <w:pStyle w:val="12"/>
            </w:pPr>
            <w:r>
              <w:t>河北省建档立卡家庭经济困难学生资助管理暂行办法</w:t>
            </w:r>
          </w:p>
        </w:tc>
      </w:tr>
      <w:tr w14:paraId="3A2B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AB495">
            <w:pPr>
              <w:pStyle w:val="13"/>
            </w:pPr>
            <w:r>
              <w:t>效益指标</w:t>
            </w:r>
          </w:p>
        </w:tc>
        <w:tc>
          <w:tcPr>
            <w:tcW w:w="2268" w:type="dxa"/>
            <w:vAlign w:val="center"/>
          </w:tcPr>
          <w:p w14:paraId="15B9121F">
            <w:pPr>
              <w:pStyle w:val="12"/>
            </w:pPr>
            <w:r>
              <w:t>社会效益指标</w:t>
            </w:r>
          </w:p>
        </w:tc>
        <w:tc>
          <w:tcPr>
            <w:tcW w:w="2835" w:type="dxa"/>
            <w:vAlign w:val="center"/>
          </w:tcPr>
          <w:p w14:paraId="0136C6C0">
            <w:pPr>
              <w:pStyle w:val="12"/>
            </w:pPr>
            <w:r>
              <w:t>减轻家庭负担</w:t>
            </w:r>
          </w:p>
        </w:tc>
        <w:tc>
          <w:tcPr>
            <w:tcW w:w="5386" w:type="dxa"/>
            <w:vAlign w:val="center"/>
          </w:tcPr>
          <w:p w14:paraId="31A918BC">
            <w:pPr>
              <w:pStyle w:val="12"/>
            </w:pPr>
            <w:r>
              <w:t>减轻建档立卡家庭学生家长经济负担</w:t>
            </w:r>
          </w:p>
        </w:tc>
        <w:tc>
          <w:tcPr>
            <w:tcW w:w="2268" w:type="dxa"/>
            <w:vAlign w:val="center"/>
          </w:tcPr>
          <w:p w14:paraId="34641FDD">
            <w:pPr>
              <w:pStyle w:val="12"/>
            </w:pPr>
            <w:r>
              <w:t>100%</w:t>
            </w:r>
          </w:p>
        </w:tc>
        <w:tc>
          <w:tcPr>
            <w:tcW w:w="1276" w:type="dxa"/>
            <w:vAlign w:val="center"/>
          </w:tcPr>
          <w:p w14:paraId="5FA376D3">
            <w:pPr>
              <w:pStyle w:val="12"/>
            </w:pPr>
            <w:r>
              <w:t>隆财【2017】26号</w:t>
            </w:r>
          </w:p>
        </w:tc>
      </w:tr>
      <w:tr w14:paraId="693F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E063A"/>
        </w:tc>
        <w:tc>
          <w:tcPr>
            <w:tcW w:w="2268" w:type="dxa"/>
            <w:vAlign w:val="center"/>
          </w:tcPr>
          <w:p w14:paraId="40E92C10">
            <w:pPr>
              <w:pStyle w:val="12"/>
            </w:pPr>
            <w:r>
              <w:t>可持续影响指标</w:t>
            </w:r>
          </w:p>
        </w:tc>
        <w:tc>
          <w:tcPr>
            <w:tcW w:w="2835" w:type="dxa"/>
            <w:vAlign w:val="center"/>
          </w:tcPr>
          <w:p w14:paraId="428174D6">
            <w:pPr>
              <w:pStyle w:val="12"/>
            </w:pPr>
            <w:r>
              <w:t>高中运转</w:t>
            </w:r>
          </w:p>
        </w:tc>
        <w:tc>
          <w:tcPr>
            <w:tcW w:w="5386" w:type="dxa"/>
            <w:vAlign w:val="center"/>
          </w:tcPr>
          <w:p w14:paraId="5CE93436">
            <w:pPr>
              <w:pStyle w:val="12"/>
            </w:pPr>
            <w:r>
              <w:t>高中生受教育年限</w:t>
            </w:r>
          </w:p>
        </w:tc>
        <w:tc>
          <w:tcPr>
            <w:tcW w:w="2268" w:type="dxa"/>
            <w:vAlign w:val="center"/>
          </w:tcPr>
          <w:p w14:paraId="7591879A">
            <w:pPr>
              <w:pStyle w:val="12"/>
            </w:pPr>
            <w:r>
              <w:t>3年</w:t>
            </w:r>
          </w:p>
        </w:tc>
        <w:tc>
          <w:tcPr>
            <w:tcW w:w="1276" w:type="dxa"/>
            <w:vAlign w:val="center"/>
          </w:tcPr>
          <w:p w14:paraId="3C76E026">
            <w:pPr>
              <w:pStyle w:val="12"/>
            </w:pPr>
            <w:r>
              <w:t>河北省建档立卡家庭经济困难学生资助管理暂行办法</w:t>
            </w:r>
          </w:p>
        </w:tc>
      </w:tr>
      <w:tr w14:paraId="77BC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DB0B5">
            <w:pPr>
              <w:pStyle w:val="13"/>
            </w:pPr>
            <w:r>
              <w:t>满意度指标</w:t>
            </w:r>
          </w:p>
        </w:tc>
        <w:tc>
          <w:tcPr>
            <w:tcW w:w="2268" w:type="dxa"/>
            <w:vAlign w:val="center"/>
          </w:tcPr>
          <w:p w14:paraId="037D5610">
            <w:pPr>
              <w:pStyle w:val="12"/>
            </w:pPr>
            <w:r>
              <w:t>服务对象满意度指标</w:t>
            </w:r>
          </w:p>
        </w:tc>
        <w:tc>
          <w:tcPr>
            <w:tcW w:w="2835" w:type="dxa"/>
            <w:vAlign w:val="center"/>
          </w:tcPr>
          <w:p w14:paraId="48B5933B">
            <w:pPr>
              <w:pStyle w:val="12"/>
            </w:pPr>
            <w:r>
              <w:t>提升幸福指数</w:t>
            </w:r>
          </w:p>
        </w:tc>
        <w:tc>
          <w:tcPr>
            <w:tcW w:w="5386" w:type="dxa"/>
            <w:vAlign w:val="center"/>
          </w:tcPr>
          <w:p w14:paraId="6EC5E3CF">
            <w:pPr>
              <w:pStyle w:val="12"/>
            </w:pPr>
            <w:r>
              <w:t>提升贫困家庭学生的幸福指数学生家长满</w:t>
            </w:r>
            <w:r>
              <w:rPr>
                <w:rFonts w:hint="eastAsia"/>
                <w:lang w:eastAsia="zh-CN"/>
              </w:rPr>
              <w:t>意度</w:t>
            </w:r>
          </w:p>
        </w:tc>
        <w:tc>
          <w:tcPr>
            <w:tcW w:w="2268" w:type="dxa"/>
            <w:vAlign w:val="center"/>
          </w:tcPr>
          <w:p w14:paraId="594BE7DC">
            <w:pPr>
              <w:pStyle w:val="12"/>
            </w:pPr>
            <w:r>
              <w:t>≥95%</w:t>
            </w:r>
          </w:p>
        </w:tc>
        <w:tc>
          <w:tcPr>
            <w:tcW w:w="1276" w:type="dxa"/>
            <w:vAlign w:val="center"/>
          </w:tcPr>
          <w:p w14:paraId="3CEF5279">
            <w:pPr>
              <w:pStyle w:val="12"/>
            </w:pPr>
            <w:r>
              <w:t>河北省建档立卡家庭经济困难学生资助管理暂行办法</w:t>
            </w:r>
          </w:p>
        </w:tc>
      </w:tr>
    </w:tbl>
    <w:p w14:paraId="2E08ABC2">
      <w:pPr>
        <w:sectPr>
          <w:pgSz w:w="16840" w:h="11900" w:orient="landscape"/>
          <w:pgMar w:top="1361" w:right="1020" w:bottom="1134" w:left="1020" w:header="720" w:footer="720" w:gutter="0"/>
          <w:cols w:space="720" w:num="1"/>
        </w:sectPr>
      </w:pPr>
    </w:p>
    <w:p w14:paraId="36921E77">
      <w:pPr>
        <w:spacing w:before="0" w:after="0"/>
        <w:ind w:firstLine="560"/>
        <w:jc w:val="left"/>
        <w:outlineLvl w:val="9"/>
      </w:pPr>
      <w:r>
        <w:rPr>
          <w:rFonts w:ascii="方正仿宋_GBK" w:hAnsi="方正仿宋_GBK" w:eastAsia="方正仿宋_GBK" w:cs="方正仿宋_GBK"/>
          <w:b/>
          <w:color w:val="000000"/>
          <w:sz w:val="28"/>
        </w:rPr>
        <w:t>13、冀财教[2025]150号/省级/2026年普通高中资金/普通高中助学金（职教高中）绩效目标表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72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EEDA4">
            <w:pPr>
              <w:pStyle w:val="11"/>
            </w:pPr>
            <w:r>
              <w:t>单位：万元</w:t>
            </w:r>
          </w:p>
        </w:tc>
      </w:tr>
      <w:tr w14:paraId="3257B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33667">
            <w:pPr>
              <w:pStyle w:val="10"/>
            </w:pPr>
            <w:r>
              <w:t>项目编码</w:t>
            </w:r>
          </w:p>
        </w:tc>
        <w:tc>
          <w:tcPr>
            <w:tcW w:w="5103" w:type="dxa"/>
            <w:gridSpan w:val="2"/>
            <w:vAlign w:val="center"/>
          </w:tcPr>
          <w:p w14:paraId="7E88280C">
            <w:pPr>
              <w:pStyle w:val="12"/>
            </w:pPr>
            <w:r>
              <w:t>13052526P00001210048N</w:t>
            </w:r>
          </w:p>
        </w:tc>
        <w:tc>
          <w:tcPr>
            <w:tcW w:w="2835" w:type="dxa"/>
            <w:vAlign w:val="center"/>
          </w:tcPr>
          <w:p w14:paraId="07108D97">
            <w:pPr>
              <w:pStyle w:val="10"/>
            </w:pPr>
            <w:r>
              <w:t>项目名称</w:t>
            </w:r>
          </w:p>
        </w:tc>
        <w:tc>
          <w:tcPr>
            <w:tcW w:w="6095" w:type="dxa"/>
            <w:gridSpan w:val="3"/>
            <w:vAlign w:val="center"/>
          </w:tcPr>
          <w:p w14:paraId="2AB22CD6">
            <w:pPr>
              <w:pStyle w:val="12"/>
            </w:pPr>
            <w:r>
              <w:t>冀财教[2025]150号/省级/2026年普通高中资金/普通高中助学金（职教高中）</w:t>
            </w:r>
          </w:p>
        </w:tc>
      </w:tr>
      <w:tr w14:paraId="0DCF1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42A1C">
            <w:pPr>
              <w:pStyle w:val="10"/>
            </w:pPr>
            <w:r>
              <w:t>预算规模及资金用途</w:t>
            </w:r>
          </w:p>
        </w:tc>
        <w:tc>
          <w:tcPr>
            <w:tcW w:w="2268" w:type="dxa"/>
            <w:vAlign w:val="center"/>
          </w:tcPr>
          <w:p w14:paraId="5CF75FD6">
            <w:pPr>
              <w:pStyle w:val="10"/>
            </w:pPr>
            <w:r>
              <w:t>预算数</w:t>
            </w:r>
          </w:p>
        </w:tc>
        <w:tc>
          <w:tcPr>
            <w:tcW w:w="2835" w:type="dxa"/>
            <w:vAlign w:val="center"/>
          </w:tcPr>
          <w:p w14:paraId="2282D175">
            <w:pPr>
              <w:pStyle w:val="12"/>
            </w:pPr>
            <w:r>
              <w:t>5.50</w:t>
            </w:r>
          </w:p>
        </w:tc>
        <w:tc>
          <w:tcPr>
            <w:tcW w:w="2835" w:type="dxa"/>
            <w:vAlign w:val="center"/>
          </w:tcPr>
          <w:p w14:paraId="25C165C5">
            <w:pPr>
              <w:pStyle w:val="10"/>
            </w:pPr>
            <w:r>
              <w:t>其中：财政    资金</w:t>
            </w:r>
          </w:p>
        </w:tc>
        <w:tc>
          <w:tcPr>
            <w:tcW w:w="2551" w:type="dxa"/>
            <w:vAlign w:val="center"/>
          </w:tcPr>
          <w:p w14:paraId="3A6C53AF">
            <w:pPr>
              <w:pStyle w:val="12"/>
            </w:pPr>
            <w:r>
              <w:t>5.50</w:t>
            </w:r>
          </w:p>
        </w:tc>
        <w:tc>
          <w:tcPr>
            <w:tcW w:w="2268" w:type="dxa"/>
            <w:vAlign w:val="center"/>
          </w:tcPr>
          <w:p w14:paraId="383CAEB8">
            <w:pPr>
              <w:pStyle w:val="10"/>
            </w:pPr>
            <w:r>
              <w:t>其他资金</w:t>
            </w:r>
          </w:p>
        </w:tc>
        <w:tc>
          <w:tcPr>
            <w:tcW w:w="1276" w:type="dxa"/>
            <w:vAlign w:val="center"/>
          </w:tcPr>
          <w:p w14:paraId="2FB7826E">
            <w:pPr>
              <w:pStyle w:val="12"/>
            </w:pPr>
            <w:r>
              <w:t xml:space="preserve"> </w:t>
            </w:r>
          </w:p>
        </w:tc>
      </w:tr>
      <w:tr w14:paraId="1D4FA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A554E"/>
        </w:tc>
        <w:tc>
          <w:tcPr>
            <w:tcW w:w="14033" w:type="dxa"/>
            <w:gridSpan w:val="6"/>
            <w:vAlign w:val="center"/>
          </w:tcPr>
          <w:p w14:paraId="18FA8C71">
            <w:pPr>
              <w:pStyle w:val="12"/>
            </w:pPr>
            <w:r>
              <w:t>2026年预算安排省级普高助学金5.5万元，用于帮助贫困学生完成学业</w:t>
            </w:r>
          </w:p>
        </w:tc>
      </w:tr>
      <w:tr w14:paraId="78C34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AABB2">
            <w:pPr>
              <w:pStyle w:val="10"/>
            </w:pPr>
            <w:r>
              <w:t>资金支出计划（%）</w:t>
            </w:r>
          </w:p>
        </w:tc>
        <w:tc>
          <w:tcPr>
            <w:tcW w:w="5103" w:type="dxa"/>
            <w:gridSpan w:val="2"/>
            <w:vAlign w:val="center"/>
          </w:tcPr>
          <w:p w14:paraId="76F466B8">
            <w:pPr>
              <w:pStyle w:val="10"/>
            </w:pPr>
            <w:r>
              <w:t>3月底</w:t>
            </w:r>
          </w:p>
        </w:tc>
        <w:tc>
          <w:tcPr>
            <w:tcW w:w="2835" w:type="dxa"/>
            <w:vAlign w:val="center"/>
          </w:tcPr>
          <w:p w14:paraId="595CC0C5">
            <w:pPr>
              <w:pStyle w:val="10"/>
            </w:pPr>
            <w:r>
              <w:t>6月底</w:t>
            </w:r>
          </w:p>
        </w:tc>
        <w:tc>
          <w:tcPr>
            <w:tcW w:w="2551" w:type="dxa"/>
            <w:vAlign w:val="center"/>
          </w:tcPr>
          <w:p w14:paraId="2C9C3A91">
            <w:pPr>
              <w:pStyle w:val="10"/>
            </w:pPr>
            <w:r>
              <w:t>10月底</w:t>
            </w:r>
          </w:p>
        </w:tc>
        <w:tc>
          <w:tcPr>
            <w:tcW w:w="3544" w:type="dxa"/>
            <w:gridSpan w:val="2"/>
            <w:vAlign w:val="center"/>
          </w:tcPr>
          <w:p w14:paraId="252D8E85">
            <w:pPr>
              <w:pStyle w:val="10"/>
            </w:pPr>
            <w:r>
              <w:t>12月底</w:t>
            </w:r>
          </w:p>
        </w:tc>
      </w:tr>
      <w:tr w14:paraId="7C8EE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7AC04"/>
        </w:tc>
        <w:tc>
          <w:tcPr>
            <w:tcW w:w="5103" w:type="dxa"/>
            <w:gridSpan w:val="2"/>
            <w:vAlign w:val="center"/>
          </w:tcPr>
          <w:p w14:paraId="5BCDCA86">
            <w:pPr>
              <w:pStyle w:val="13"/>
            </w:pPr>
            <w:r>
              <w:t xml:space="preserve"> </w:t>
            </w:r>
          </w:p>
        </w:tc>
        <w:tc>
          <w:tcPr>
            <w:tcW w:w="2835" w:type="dxa"/>
            <w:vAlign w:val="center"/>
          </w:tcPr>
          <w:p w14:paraId="5AFA2143">
            <w:pPr>
              <w:pStyle w:val="13"/>
            </w:pPr>
            <w:r>
              <w:t>50%</w:t>
            </w:r>
          </w:p>
        </w:tc>
        <w:tc>
          <w:tcPr>
            <w:tcW w:w="2551" w:type="dxa"/>
            <w:vAlign w:val="center"/>
          </w:tcPr>
          <w:p w14:paraId="5C009EE6">
            <w:pPr>
              <w:pStyle w:val="13"/>
            </w:pPr>
            <w:r>
              <w:t>50%</w:t>
            </w:r>
          </w:p>
        </w:tc>
        <w:tc>
          <w:tcPr>
            <w:tcW w:w="3544" w:type="dxa"/>
            <w:gridSpan w:val="2"/>
            <w:vAlign w:val="center"/>
          </w:tcPr>
          <w:p w14:paraId="375D4EC9">
            <w:pPr>
              <w:pStyle w:val="13"/>
            </w:pPr>
            <w:r>
              <w:t>100%</w:t>
            </w:r>
          </w:p>
        </w:tc>
      </w:tr>
      <w:tr w14:paraId="3E8EC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89836">
            <w:pPr>
              <w:pStyle w:val="10"/>
            </w:pPr>
            <w:r>
              <w:t>绩效目标</w:t>
            </w:r>
          </w:p>
        </w:tc>
        <w:tc>
          <w:tcPr>
            <w:tcW w:w="14033" w:type="dxa"/>
            <w:gridSpan w:val="6"/>
            <w:vAlign w:val="center"/>
          </w:tcPr>
          <w:p w14:paraId="638A4C17">
            <w:pPr>
              <w:pStyle w:val="12"/>
            </w:pPr>
            <w:r>
              <w:t>1.2026年预算安排省级普高助学金5.5万元，用于帮助贫困学生完成学业</w:t>
            </w:r>
          </w:p>
        </w:tc>
      </w:tr>
    </w:tbl>
    <w:p w14:paraId="68AAA3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1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F88D3">
            <w:pPr>
              <w:pStyle w:val="10"/>
            </w:pPr>
            <w:r>
              <w:t>一级指标</w:t>
            </w:r>
          </w:p>
        </w:tc>
        <w:tc>
          <w:tcPr>
            <w:tcW w:w="2268" w:type="dxa"/>
            <w:vAlign w:val="center"/>
          </w:tcPr>
          <w:p w14:paraId="2CFC6099">
            <w:pPr>
              <w:pStyle w:val="10"/>
            </w:pPr>
            <w:r>
              <w:t>二级指标</w:t>
            </w:r>
          </w:p>
        </w:tc>
        <w:tc>
          <w:tcPr>
            <w:tcW w:w="2835" w:type="dxa"/>
            <w:vAlign w:val="center"/>
          </w:tcPr>
          <w:p w14:paraId="1423A802">
            <w:pPr>
              <w:pStyle w:val="10"/>
            </w:pPr>
            <w:r>
              <w:t>三级指标</w:t>
            </w:r>
          </w:p>
        </w:tc>
        <w:tc>
          <w:tcPr>
            <w:tcW w:w="5386" w:type="dxa"/>
            <w:vAlign w:val="center"/>
          </w:tcPr>
          <w:p w14:paraId="3E5B54F0">
            <w:pPr>
              <w:pStyle w:val="10"/>
            </w:pPr>
            <w:r>
              <w:t>绩效指标描述</w:t>
            </w:r>
          </w:p>
        </w:tc>
        <w:tc>
          <w:tcPr>
            <w:tcW w:w="2268" w:type="dxa"/>
            <w:vAlign w:val="center"/>
          </w:tcPr>
          <w:p w14:paraId="3C2311AB">
            <w:pPr>
              <w:pStyle w:val="10"/>
            </w:pPr>
            <w:r>
              <w:t>指标值</w:t>
            </w:r>
          </w:p>
        </w:tc>
        <w:tc>
          <w:tcPr>
            <w:tcW w:w="1276" w:type="dxa"/>
            <w:vAlign w:val="center"/>
          </w:tcPr>
          <w:p w14:paraId="04C3F9E3">
            <w:pPr>
              <w:pStyle w:val="10"/>
            </w:pPr>
            <w:r>
              <w:t>指标值确定依据</w:t>
            </w:r>
          </w:p>
        </w:tc>
      </w:tr>
      <w:tr w14:paraId="287A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E5222">
            <w:pPr>
              <w:pStyle w:val="13"/>
            </w:pPr>
            <w:r>
              <w:t>产出指标</w:t>
            </w:r>
          </w:p>
        </w:tc>
        <w:tc>
          <w:tcPr>
            <w:tcW w:w="2268" w:type="dxa"/>
            <w:vAlign w:val="center"/>
          </w:tcPr>
          <w:p w14:paraId="7B0E21C3">
            <w:pPr>
              <w:pStyle w:val="12"/>
            </w:pPr>
            <w:r>
              <w:t>数量指标</w:t>
            </w:r>
          </w:p>
        </w:tc>
        <w:tc>
          <w:tcPr>
            <w:tcW w:w="2835" w:type="dxa"/>
            <w:vAlign w:val="center"/>
          </w:tcPr>
          <w:p w14:paraId="6FC646EE">
            <w:pPr>
              <w:pStyle w:val="12"/>
            </w:pPr>
            <w:r>
              <w:t>普通高中享受人数</w:t>
            </w:r>
          </w:p>
        </w:tc>
        <w:tc>
          <w:tcPr>
            <w:tcW w:w="5386" w:type="dxa"/>
            <w:vAlign w:val="center"/>
          </w:tcPr>
          <w:p w14:paraId="496BA958">
            <w:pPr>
              <w:pStyle w:val="12"/>
            </w:pPr>
            <w:r>
              <w:t>普通高中享受助学金人数</w:t>
            </w:r>
          </w:p>
        </w:tc>
        <w:tc>
          <w:tcPr>
            <w:tcW w:w="2268" w:type="dxa"/>
            <w:vAlign w:val="center"/>
          </w:tcPr>
          <w:p w14:paraId="5979BD0E">
            <w:pPr>
              <w:pStyle w:val="12"/>
            </w:pPr>
            <w:r>
              <w:t>111人</w:t>
            </w:r>
          </w:p>
        </w:tc>
        <w:tc>
          <w:tcPr>
            <w:tcW w:w="1276" w:type="dxa"/>
            <w:vAlign w:val="center"/>
          </w:tcPr>
          <w:p w14:paraId="49EF9E6B">
            <w:pPr>
              <w:pStyle w:val="12"/>
            </w:pPr>
            <w:r>
              <w:t>【隆尧县普通</w:t>
            </w:r>
            <w:r>
              <w:rPr>
                <w:rFonts w:hint="eastAsia"/>
                <w:lang w:eastAsia="zh-CN"/>
              </w:rPr>
              <w:t>高中</w:t>
            </w:r>
            <w:r>
              <w:t>国家助学金管理办法的通知】隆财【2018】105号，</w:t>
            </w:r>
          </w:p>
        </w:tc>
      </w:tr>
      <w:tr w14:paraId="5BFC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8C93A"/>
        </w:tc>
        <w:tc>
          <w:tcPr>
            <w:tcW w:w="2268" w:type="dxa"/>
            <w:vAlign w:val="center"/>
          </w:tcPr>
          <w:p w14:paraId="00E29A57">
            <w:pPr>
              <w:pStyle w:val="12"/>
            </w:pPr>
            <w:r>
              <w:t>质量指标</w:t>
            </w:r>
          </w:p>
        </w:tc>
        <w:tc>
          <w:tcPr>
            <w:tcW w:w="2835" w:type="dxa"/>
            <w:vAlign w:val="center"/>
          </w:tcPr>
          <w:p w14:paraId="16D0BD74">
            <w:pPr>
              <w:pStyle w:val="12"/>
            </w:pPr>
            <w:r>
              <w:t>完成助学金发放工作</w:t>
            </w:r>
          </w:p>
        </w:tc>
        <w:tc>
          <w:tcPr>
            <w:tcW w:w="5386" w:type="dxa"/>
            <w:vAlign w:val="center"/>
          </w:tcPr>
          <w:p w14:paraId="7E4217A3">
            <w:pPr>
              <w:pStyle w:val="12"/>
            </w:pPr>
            <w:r>
              <w:t>普高助学金享受比例</w:t>
            </w:r>
          </w:p>
        </w:tc>
        <w:tc>
          <w:tcPr>
            <w:tcW w:w="2268" w:type="dxa"/>
            <w:vAlign w:val="center"/>
          </w:tcPr>
          <w:p w14:paraId="38DF6951">
            <w:pPr>
              <w:pStyle w:val="12"/>
            </w:pPr>
            <w:r>
              <w:t>≥18%</w:t>
            </w:r>
          </w:p>
        </w:tc>
        <w:tc>
          <w:tcPr>
            <w:tcW w:w="1276" w:type="dxa"/>
            <w:vAlign w:val="center"/>
          </w:tcPr>
          <w:p w14:paraId="6254E3B8">
            <w:pPr>
              <w:pStyle w:val="12"/>
            </w:pPr>
            <w:r>
              <w:t>【隆尧县普通</w:t>
            </w:r>
            <w:r>
              <w:rPr>
                <w:rFonts w:hint="eastAsia"/>
                <w:lang w:eastAsia="zh-CN"/>
              </w:rPr>
              <w:t>高中</w:t>
            </w:r>
            <w:r>
              <w:t>国家助学金管理办法的通知】隆财【2018】105号，</w:t>
            </w:r>
          </w:p>
        </w:tc>
      </w:tr>
      <w:tr w14:paraId="4E62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33A1B"/>
        </w:tc>
        <w:tc>
          <w:tcPr>
            <w:tcW w:w="2268" w:type="dxa"/>
            <w:vAlign w:val="center"/>
          </w:tcPr>
          <w:p w14:paraId="1A24BC7E">
            <w:pPr>
              <w:pStyle w:val="12"/>
            </w:pPr>
            <w:r>
              <w:t>时效指标</w:t>
            </w:r>
          </w:p>
        </w:tc>
        <w:tc>
          <w:tcPr>
            <w:tcW w:w="2835" w:type="dxa"/>
            <w:vAlign w:val="center"/>
          </w:tcPr>
          <w:p w14:paraId="336153C1">
            <w:pPr>
              <w:pStyle w:val="12"/>
            </w:pPr>
            <w:r>
              <w:t>助学金及时足额发放</w:t>
            </w:r>
          </w:p>
        </w:tc>
        <w:tc>
          <w:tcPr>
            <w:tcW w:w="5386" w:type="dxa"/>
            <w:vAlign w:val="center"/>
          </w:tcPr>
          <w:p w14:paraId="62855F50">
            <w:pPr>
              <w:pStyle w:val="12"/>
            </w:pPr>
            <w:r>
              <w:t>助学金及时足额发放率</w:t>
            </w:r>
          </w:p>
        </w:tc>
        <w:tc>
          <w:tcPr>
            <w:tcW w:w="2268" w:type="dxa"/>
            <w:vAlign w:val="center"/>
          </w:tcPr>
          <w:p w14:paraId="770F5A45">
            <w:pPr>
              <w:pStyle w:val="12"/>
            </w:pPr>
            <w:r>
              <w:t>100%</w:t>
            </w:r>
          </w:p>
        </w:tc>
        <w:tc>
          <w:tcPr>
            <w:tcW w:w="1276" w:type="dxa"/>
            <w:vAlign w:val="center"/>
          </w:tcPr>
          <w:p w14:paraId="77DE75E3">
            <w:pPr>
              <w:pStyle w:val="12"/>
            </w:pPr>
            <w:r>
              <w:t>【隆尧县普通</w:t>
            </w:r>
            <w:r>
              <w:rPr>
                <w:rFonts w:hint="eastAsia"/>
                <w:lang w:eastAsia="zh-CN"/>
              </w:rPr>
              <w:t>高中</w:t>
            </w:r>
            <w:r>
              <w:t>国家助学金管理办法的通知】隆财【2018】105号，</w:t>
            </w:r>
          </w:p>
        </w:tc>
      </w:tr>
      <w:tr w14:paraId="2E2D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D0F2A"/>
        </w:tc>
        <w:tc>
          <w:tcPr>
            <w:tcW w:w="2268" w:type="dxa"/>
            <w:vAlign w:val="center"/>
          </w:tcPr>
          <w:p w14:paraId="6866EC97">
            <w:pPr>
              <w:pStyle w:val="12"/>
            </w:pPr>
            <w:r>
              <w:t>成本指标</w:t>
            </w:r>
          </w:p>
        </w:tc>
        <w:tc>
          <w:tcPr>
            <w:tcW w:w="2835" w:type="dxa"/>
            <w:vAlign w:val="center"/>
          </w:tcPr>
          <w:p w14:paraId="3E4AECE4">
            <w:pPr>
              <w:pStyle w:val="12"/>
            </w:pPr>
            <w:r>
              <w:t>普通高中助学金标准</w:t>
            </w:r>
          </w:p>
        </w:tc>
        <w:tc>
          <w:tcPr>
            <w:tcW w:w="5386" w:type="dxa"/>
            <w:vAlign w:val="center"/>
          </w:tcPr>
          <w:p w14:paraId="22B33F6D">
            <w:pPr>
              <w:pStyle w:val="12"/>
            </w:pPr>
            <w:r>
              <w:t>普通高中助学金资助标准2300/生/年</w:t>
            </w:r>
          </w:p>
        </w:tc>
        <w:tc>
          <w:tcPr>
            <w:tcW w:w="2268" w:type="dxa"/>
            <w:vAlign w:val="center"/>
          </w:tcPr>
          <w:p w14:paraId="7722E895">
            <w:pPr>
              <w:pStyle w:val="12"/>
            </w:pPr>
            <w:r>
              <w:t>2300元</w:t>
            </w:r>
          </w:p>
        </w:tc>
        <w:tc>
          <w:tcPr>
            <w:tcW w:w="1276" w:type="dxa"/>
            <w:vAlign w:val="center"/>
          </w:tcPr>
          <w:p w14:paraId="56EEEE83">
            <w:pPr>
              <w:pStyle w:val="12"/>
            </w:pPr>
            <w:r>
              <w:t>【隆尧县普通</w:t>
            </w:r>
            <w:r>
              <w:rPr>
                <w:rFonts w:hint="eastAsia"/>
                <w:lang w:eastAsia="zh-CN"/>
              </w:rPr>
              <w:t>高中</w:t>
            </w:r>
            <w:r>
              <w:t>国家助学金管理办法的通知】隆财【2018】105号，</w:t>
            </w:r>
          </w:p>
        </w:tc>
      </w:tr>
      <w:tr w14:paraId="3BD2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69E42">
            <w:pPr>
              <w:pStyle w:val="13"/>
            </w:pPr>
            <w:r>
              <w:t>效益指标</w:t>
            </w:r>
          </w:p>
        </w:tc>
        <w:tc>
          <w:tcPr>
            <w:tcW w:w="2268" w:type="dxa"/>
            <w:vAlign w:val="center"/>
          </w:tcPr>
          <w:p w14:paraId="5B1BAE28">
            <w:pPr>
              <w:pStyle w:val="12"/>
            </w:pPr>
            <w:r>
              <w:t>社会效益指标</w:t>
            </w:r>
          </w:p>
        </w:tc>
        <w:tc>
          <w:tcPr>
            <w:tcW w:w="2835" w:type="dxa"/>
            <w:vAlign w:val="center"/>
          </w:tcPr>
          <w:p w14:paraId="25515A61">
            <w:pPr>
              <w:pStyle w:val="12"/>
            </w:pPr>
            <w:r>
              <w:t>增加贫困家庭经济收入</w:t>
            </w:r>
          </w:p>
        </w:tc>
        <w:tc>
          <w:tcPr>
            <w:tcW w:w="5386" w:type="dxa"/>
            <w:vAlign w:val="center"/>
          </w:tcPr>
          <w:p w14:paraId="4908464B">
            <w:pPr>
              <w:pStyle w:val="12"/>
            </w:pPr>
            <w:r>
              <w:t>增加贫困家庭经济收入</w:t>
            </w:r>
          </w:p>
        </w:tc>
        <w:tc>
          <w:tcPr>
            <w:tcW w:w="2268" w:type="dxa"/>
            <w:vAlign w:val="center"/>
          </w:tcPr>
          <w:p w14:paraId="015C83A5">
            <w:pPr>
              <w:pStyle w:val="12"/>
            </w:pPr>
            <w:r>
              <w:t>100%</w:t>
            </w:r>
          </w:p>
        </w:tc>
        <w:tc>
          <w:tcPr>
            <w:tcW w:w="1276" w:type="dxa"/>
            <w:vAlign w:val="center"/>
          </w:tcPr>
          <w:p w14:paraId="65608956">
            <w:pPr>
              <w:pStyle w:val="12"/>
            </w:pPr>
            <w:r>
              <w:t>【隆尧县普通</w:t>
            </w:r>
            <w:r>
              <w:rPr>
                <w:rFonts w:hint="eastAsia"/>
                <w:lang w:eastAsia="zh-CN"/>
              </w:rPr>
              <w:t>高中</w:t>
            </w:r>
            <w:r>
              <w:t>国家助学金管理办法的通知】隆财【2018】105号，</w:t>
            </w:r>
          </w:p>
        </w:tc>
      </w:tr>
      <w:tr w14:paraId="5703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BCB04"/>
        </w:tc>
        <w:tc>
          <w:tcPr>
            <w:tcW w:w="2268" w:type="dxa"/>
            <w:vAlign w:val="center"/>
          </w:tcPr>
          <w:p w14:paraId="318FFF4D">
            <w:pPr>
              <w:pStyle w:val="12"/>
            </w:pPr>
            <w:r>
              <w:t>可持续影响指标</w:t>
            </w:r>
          </w:p>
        </w:tc>
        <w:tc>
          <w:tcPr>
            <w:tcW w:w="2835" w:type="dxa"/>
            <w:vAlign w:val="center"/>
          </w:tcPr>
          <w:p w14:paraId="6F9EDFAF">
            <w:pPr>
              <w:pStyle w:val="12"/>
            </w:pPr>
            <w:r>
              <w:t>高中运转</w:t>
            </w:r>
          </w:p>
        </w:tc>
        <w:tc>
          <w:tcPr>
            <w:tcW w:w="5386" w:type="dxa"/>
            <w:vAlign w:val="center"/>
          </w:tcPr>
          <w:p w14:paraId="2BA53EB5">
            <w:pPr>
              <w:pStyle w:val="12"/>
            </w:pPr>
            <w:r>
              <w:t>高中学生受教育年限</w:t>
            </w:r>
          </w:p>
        </w:tc>
        <w:tc>
          <w:tcPr>
            <w:tcW w:w="2268" w:type="dxa"/>
            <w:vAlign w:val="center"/>
          </w:tcPr>
          <w:p w14:paraId="3BC44CBC">
            <w:pPr>
              <w:pStyle w:val="12"/>
            </w:pPr>
            <w:r>
              <w:t>3年</w:t>
            </w:r>
          </w:p>
        </w:tc>
        <w:tc>
          <w:tcPr>
            <w:tcW w:w="1276" w:type="dxa"/>
            <w:vAlign w:val="center"/>
          </w:tcPr>
          <w:p w14:paraId="04E2C805">
            <w:pPr>
              <w:pStyle w:val="12"/>
            </w:pPr>
            <w:r>
              <w:t>【隆尧县普通</w:t>
            </w:r>
            <w:r>
              <w:rPr>
                <w:rFonts w:hint="eastAsia"/>
                <w:lang w:eastAsia="zh-CN"/>
              </w:rPr>
              <w:t>高中</w:t>
            </w:r>
            <w:r>
              <w:t>国家助学金管理办法的通知】隆财【2018】105号，</w:t>
            </w:r>
          </w:p>
        </w:tc>
      </w:tr>
      <w:tr w14:paraId="1544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634FE">
            <w:pPr>
              <w:pStyle w:val="13"/>
            </w:pPr>
            <w:r>
              <w:t>满意度指标</w:t>
            </w:r>
          </w:p>
        </w:tc>
        <w:tc>
          <w:tcPr>
            <w:tcW w:w="2268" w:type="dxa"/>
            <w:vAlign w:val="center"/>
          </w:tcPr>
          <w:p w14:paraId="3E5E09E8">
            <w:pPr>
              <w:pStyle w:val="12"/>
            </w:pPr>
            <w:r>
              <w:t>服务对象满意度指标</w:t>
            </w:r>
          </w:p>
        </w:tc>
        <w:tc>
          <w:tcPr>
            <w:tcW w:w="2835" w:type="dxa"/>
            <w:vAlign w:val="center"/>
          </w:tcPr>
          <w:p w14:paraId="15744011">
            <w:pPr>
              <w:pStyle w:val="12"/>
            </w:pPr>
            <w:r>
              <w:t>学生家长</w:t>
            </w:r>
          </w:p>
        </w:tc>
        <w:tc>
          <w:tcPr>
            <w:tcW w:w="5386" w:type="dxa"/>
            <w:vAlign w:val="center"/>
          </w:tcPr>
          <w:p w14:paraId="1F7563CB">
            <w:pPr>
              <w:pStyle w:val="12"/>
            </w:pPr>
            <w:r>
              <w:t>学生家长满意度</w:t>
            </w:r>
          </w:p>
        </w:tc>
        <w:tc>
          <w:tcPr>
            <w:tcW w:w="2268" w:type="dxa"/>
            <w:vAlign w:val="center"/>
          </w:tcPr>
          <w:p w14:paraId="46DFF0E2">
            <w:pPr>
              <w:pStyle w:val="12"/>
            </w:pPr>
            <w:r>
              <w:t>≥95%</w:t>
            </w:r>
          </w:p>
        </w:tc>
        <w:tc>
          <w:tcPr>
            <w:tcW w:w="1276" w:type="dxa"/>
            <w:vAlign w:val="center"/>
          </w:tcPr>
          <w:p w14:paraId="0ADB8230">
            <w:pPr>
              <w:pStyle w:val="12"/>
            </w:pPr>
            <w:r>
              <w:t>座谈会、调查问卷等</w:t>
            </w:r>
          </w:p>
        </w:tc>
      </w:tr>
    </w:tbl>
    <w:p w14:paraId="4ADA6BD0">
      <w:pPr>
        <w:sectPr>
          <w:pgSz w:w="16840" w:h="11900" w:orient="landscape"/>
          <w:pgMar w:top="1361" w:right="1020" w:bottom="1134" w:left="1020" w:header="720" w:footer="720" w:gutter="0"/>
          <w:cols w:space="720" w:num="1"/>
        </w:sectPr>
      </w:pPr>
    </w:p>
    <w:p w14:paraId="3BA2624A">
      <w:pPr>
        <w:spacing w:before="0" w:after="0"/>
        <w:ind w:firstLine="560"/>
        <w:jc w:val="left"/>
        <w:outlineLvl w:val="9"/>
      </w:pPr>
      <w:r>
        <w:rPr>
          <w:rFonts w:ascii="方正仿宋_GBK" w:hAnsi="方正仿宋_GBK" w:eastAsia="方正仿宋_GBK" w:cs="方正仿宋_GBK"/>
          <w:b/>
          <w:color w:val="000000"/>
          <w:sz w:val="28"/>
        </w:rPr>
        <w:t>14、普通高中公用经费（职教高中）绩效目标表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13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1669C">
            <w:pPr>
              <w:pStyle w:val="11"/>
            </w:pPr>
            <w:r>
              <w:t>单位：万元</w:t>
            </w:r>
          </w:p>
        </w:tc>
      </w:tr>
      <w:tr w14:paraId="2EC37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B5633">
            <w:pPr>
              <w:pStyle w:val="10"/>
            </w:pPr>
            <w:r>
              <w:t>项目编码</w:t>
            </w:r>
          </w:p>
        </w:tc>
        <w:tc>
          <w:tcPr>
            <w:tcW w:w="5103" w:type="dxa"/>
            <w:gridSpan w:val="2"/>
            <w:vAlign w:val="center"/>
          </w:tcPr>
          <w:p w14:paraId="61071173">
            <w:pPr>
              <w:pStyle w:val="12"/>
            </w:pPr>
            <w:r>
              <w:t>13052526P00875810004J</w:t>
            </w:r>
          </w:p>
        </w:tc>
        <w:tc>
          <w:tcPr>
            <w:tcW w:w="2835" w:type="dxa"/>
            <w:vAlign w:val="center"/>
          </w:tcPr>
          <w:p w14:paraId="3C736653">
            <w:pPr>
              <w:pStyle w:val="10"/>
            </w:pPr>
            <w:r>
              <w:t>项目名称</w:t>
            </w:r>
          </w:p>
        </w:tc>
        <w:tc>
          <w:tcPr>
            <w:tcW w:w="6095" w:type="dxa"/>
            <w:gridSpan w:val="3"/>
            <w:vAlign w:val="center"/>
          </w:tcPr>
          <w:p w14:paraId="0BDEF282">
            <w:pPr>
              <w:pStyle w:val="12"/>
            </w:pPr>
            <w:r>
              <w:t>普通高中公用经费（职教高中）</w:t>
            </w:r>
          </w:p>
        </w:tc>
      </w:tr>
      <w:tr w14:paraId="69E3E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D8CC7">
            <w:pPr>
              <w:pStyle w:val="10"/>
            </w:pPr>
            <w:r>
              <w:t>预算规模及资金用途</w:t>
            </w:r>
          </w:p>
        </w:tc>
        <w:tc>
          <w:tcPr>
            <w:tcW w:w="2268" w:type="dxa"/>
            <w:vAlign w:val="center"/>
          </w:tcPr>
          <w:p w14:paraId="4794FC70">
            <w:pPr>
              <w:pStyle w:val="10"/>
            </w:pPr>
            <w:r>
              <w:t>预算数</w:t>
            </w:r>
          </w:p>
        </w:tc>
        <w:tc>
          <w:tcPr>
            <w:tcW w:w="2835" w:type="dxa"/>
            <w:vAlign w:val="center"/>
          </w:tcPr>
          <w:p w14:paraId="459A02EC">
            <w:pPr>
              <w:pStyle w:val="12"/>
            </w:pPr>
            <w:r>
              <w:t>96.00</w:t>
            </w:r>
          </w:p>
        </w:tc>
        <w:tc>
          <w:tcPr>
            <w:tcW w:w="2835" w:type="dxa"/>
            <w:vAlign w:val="center"/>
          </w:tcPr>
          <w:p w14:paraId="6FAF03AF">
            <w:pPr>
              <w:pStyle w:val="10"/>
            </w:pPr>
            <w:r>
              <w:t>其中：财政    资金</w:t>
            </w:r>
          </w:p>
        </w:tc>
        <w:tc>
          <w:tcPr>
            <w:tcW w:w="2551" w:type="dxa"/>
            <w:vAlign w:val="center"/>
          </w:tcPr>
          <w:p w14:paraId="0220E032">
            <w:pPr>
              <w:pStyle w:val="12"/>
            </w:pPr>
            <w:r>
              <w:t>96.00</w:t>
            </w:r>
          </w:p>
        </w:tc>
        <w:tc>
          <w:tcPr>
            <w:tcW w:w="2268" w:type="dxa"/>
            <w:vAlign w:val="center"/>
          </w:tcPr>
          <w:p w14:paraId="03F3A184">
            <w:pPr>
              <w:pStyle w:val="10"/>
            </w:pPr>
            <w:r>
              <w:t>其他资金</w:t>
            </w:r>
          </w:p>
        </w:tc>
        <w:tc>
          <w:tcPr>
            <w:tcW w:w="1276" w:type="dxa"/>
            <w:vAlign w:val="center"/>
          </w:tcPr>
          <w:p w14:paraId="67BA2407">
            <w:pPr>
              <w:pStyle w:val="12"/>
            </w:pPr>
            <w:r>
              <w:t xml:space="preserve"> </w:t>
            </w:r>
          </w:p>
        </w:tc>
      </w:tr>
      <w:tr w14:paraId="3BBDC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13062"/>
        </w:tc>
        <w:tc>
          <w:tcPr>
            <w:tcW w:w="14033" w:type="dxa"/>
            <w:gridSpan w:val="6"/>
            <w:vAlign w:val="center"/>
          </w:tcPr>
          <w:p w14:paraId="63E18F26">
            <w:pPr>
              <w:pStyle w:val="12"/>
            </w:pPr>
            <w:r>
              <w:t>2026年预算安排普高公用经费96万元，用于学校正常公用经费支出。</w:t>
            </w:r>
          </w:p>
        </w:tc>
      </w:tr>
      <w:tr w14:paraId="20825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A1229">
            <w:pPr>
              <w:pStyle w:val="10"/>
            </w:pPr>
            <w:r>
              <w:t>资金支出计划（%）</w:t>
            </w:r>
          </w:p>
        </w:tc>
        <w:tc>
          <w:tcPr>
            <w:tcW w:w="5103" w:type="dxa"/>
            <w:gridSpan w:val="2"/>
            <w:vAlign w:val="center"/>
          </w:tcPr>
          <w:p w14:paraId="3C4F413F">
            <w:pPr>
              <w:pStyle w:val="10"/>
            </w:pPr>
            <w:r>
              <w:t>3月底</w:t>
            </w:r>
          </w:p>
        </w:tc>
        <w:tc>
          <w:tcPr>
            <w:tcW w:w="2835" w:type="dxa"/>
            <w:vAlign w:val="center"/>
          </w:tcPr>
          <w:p w14:paraId="5F8DF581">
            <w:pPr>
              <w:pStyle w:val="10"/>
            </w:pPr>
            <w:r>
              <w:t>6月底</w:t>
            </w:r>
          </w:p>
        </w:tc>
        <w:tc>
          <w:tcPr>
            <w:tcW w:w="2551" w:type="dxa"/>
            <w:vAlign w:val="center"/>
          </w:tcPr>
          <w:p w14:paraId="789171EE">
            <w:pPr>
              <w:pStyle w:val="10"/>
            </w:pPr>
            <w:r>
              <w:t>10月底</w:t>
            </w:r>
          </w:p>
        </w:tc>
        <w:tc>
          <w:tcPr>
            <w:tcW w:w="3544" w:type="dxa"/>
            <w:gridSpan w:val="2"/>
            <w:vAlign w:val="center"/>
          </w:tcPr>
          <w:p w14:paraId="033CBB28">
            <w:pPr>
              <w:pStyle w:val="10"/>
            </w:pPr>
            <w:r>
              <w:t>12月底</w:t>
            </w:r>
          </w:p>
        </w:tc>
      </w:tr>
      <w:tr w14:paraId="7A62A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A57E9"/>
        </w:tc>
        <w:tc>
          <w:tcPr>
            <w:tcW w:w="5103" w:type="dxa"/>
            <w:gridSpan w:val="2"/>
            <w:vAlign w:val="center"/>
          </w:tcPr>
          <w:p w14:paraId="446F5F01">
            <w:pPr>
              <w:pStyle w:val="13"/>
            </w:pPr>
            <w:r>
              <w:t>25%</w:t>
            </w:r>
          </w:p>
        </w:tc>
        <w:tc>
          <w:tcPr>
            <w:tcW w:w="2835" w:type="dxa"/>
            <w:vAlign w:val="center"/>
          </w:tcPr>
          <w:p w14:paraId="6A8BBF4C">
            <w:pPr>
              <w:pStyle w:val="13"/>
            </w:pPr>
            <w:r>
              <w:t>50%</w:t>
            </w:r>
          </w:p>
        </w:tc>
        <w:tc>
          <w:tcPr>
            <w:tcW w:w="2551" w:type="dxa"/>
            <w:vAlign w:val="center"/>
          </w:tcPr>
          <w:p w14:paraId="65CFEE46">
            <w:pPr>
              <w:pStyle w:val="13"/>
            </w:pPr>
            <w:r>
              <w:t>75%</w:t>
            </w:r>
          </w:p>
        </w:tc>
        <w:tc>
          <w:tcPr>
            <w:tcW w:w="3544" w:type="dxa"/>
            <w:gridSpan w:val="2"/>
            <w:vAlign w:val="center"/>
          </w:tcPr>
          <w:p w14:paraId="2F5E2E50">
            <w:pPr>
              <w:pStyle w:val="13"/>
            </w:pPr>
            <w:r>
              <w:t>100%</w:t>
            </w:r>
          </w:p>
        </w:tc>
      </w:tr>
      <w:tr w14:paraId="6D30A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F9D62">
            <w:pPr>
              <w:pStyle w:val="10"/>
            </w:pPr>
            <w:r>
              <w:t>绩效目标</w:t>
            </w:r>
          </w:p>
        </w:tc>
        <w:tc>
          <w:tcPr>
            <w:tcW w:w="14033" w:type="dxa"/>
            <w:gridSpan w:val="6"/>
            <w:vAlign w:val="center"/>
          </w:tcPr>
          <w:p w14:paraId="6CBC23C7">
            <w:pPr>
              <w:pStyle w:val="12"/>
            </w:pPr>
            <w:r>
              <w:t>1.2026年预算安排普高公用经费96万元，用于学校正常公用经费支出。</w:t>
            </w:r>
          </w:p>
        </w:tc>
      </w:tr>
    </w:tbl>
    <w:p w14:paraId="4FFEC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8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B73D1">
            <w:pPr>
              <w:pStyle w:val="10"/>
            </w:pPr>
            <w:r>
              <w:t>一级指标</w:t>
            </w:r>
          </w:p>
        </w:tc>
        <w:tc>
          <w:tcPr>
            <w:tcW w:w="2268" w:type="dxa"/>
            <w:vAlign w:val="center"/>
          </w:tcPr>
          <w:p w14:paraId="226A4BA2">
            <w:pPr>
              <w:pStyle w:val="10"/>
            </w:pPr>
            <w:r>
              <w:t>二级指标</w:t>
            </w:r>
          </w:p>
        </w:tc>
        <w:tc>
          <w:tcPr>
            <w:tcW w:w="2835" w:type="dxa"/>
            <w:vAlign w:val="center"/>
          </w:tcPr>
          <w:p w14:paraId="4802B238">
            <w:pPr>
              <w:pStyle w:val="10"/>
            </w:pPr>
            <w:r>
              <w:t>三级指标</w:t>
            </w:r>
          </w:p>
        </w:tc>
        <w:tc>
          <w:tcPr>
            <w:tcW w:w="5386" w:type="dxa"/>
            <w:vAlign w:val="center"/>
          </w:tcPr>
          <w:p w14:paraId="43090262">
            <w:pPr>
              <w:pStyle w:val="10"/>
            </w:pPr>
            <w:r>
              <w:t>绩效指标描述</w:t>
            </w:r>
          </w:p>
        </w:tc>
        <w:tc>
          <w:tcPr>
            <w:tcW w:w="2268" w:type="dxa"/>
            <w:vAlign w:val="center"/>
          </w:tcPr>
          <w:p w14:paraId="46B6FFB5">
            <w:pPr>
              <w:pStyle w:val="10"/>
            </w:pPr>
            <w:r>
              <w:t>指标值</w:t>
            </w:r>
          </w:p>
        </w:tc>
        <w:tc>
          <w:tcPr>
            <w:tcW w:w="1276" w:type="dxa"/>
            <w:vAlign w:val="center"/>
          </w:tcPr>
          <w:p w14:paraId="07ACEE1F">
            <w:pPr>
              <w:pStyle w:val="10"/>
            </w:pPr>
            <w:r>
              <w:t>指标值确定依据</w:t>
            </w:r>
          </w:p>
        </w:tc>
      </w:tr>
      <w:tr w14:paraId="761C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408B5">
            <w:pPr>
              <w:pStyle w:val="13"/>
            </w:pPr>
            <w:r>
              <w:t>产出指标</w:t>
            </w:r>
          </w:p>
        </w:tc>
        <w:tc>
          <w:tcPr>
            <w:tcW w:w="2268" w:type="dxa"/>
            <w:vAlign w:val="center"/>
          </w:tcPr>
          <w:p w14:paraId="6EAB2F18">
            <w:pPr>
              <w:pStyle w:val="12"/>
            </w:pPr>
            <w:r>
              <w:t>数量指标</w:t>
            </w:r>
          </w:p>
        </w:tc>
        <w:tc>
          <w:tcPr>
            <w:tcW w:w="2835" w:type="dxa"/>
            <w:vAlign w:val="center"/>
          </w:tcPr>
          <w:p w14:paraId="30230958">
            <w:pPr>
              <w:pStyle w:val="12"/>
            </w:pPr>
            <w:r>
              <w:t>普通高中在校学生人数</w:t>
            </w:r>
          </w:p>
        </w:tc>
        <w:tc>
          <w:tcPr>
            <w:tcW w:w="5386" w:type="dxa"/>
            <w:vAlign w:val="center"/>
          </w:tcPr>
          <w:p w14:paraId="1CFBC3B3">
            <w:pPr>
              <w:pStyle w:val="12"/>
            </w:pPr>
            <w:r>
              <w:t>普通高中在校学生人数</w:t>
            </w:r>
          </w:p>
        </w:tc>
        <w:tc>
          <w:tcPr>
            <w:tcW w:w="2268" w:type="dxa"/>
            <w:vAlign w:val="center"/>
          </w:tcPr>
          <w:p w14:paraId="39793F24">
            <w:pPr>
              <w:pStyle w:val="12"/>
            </w:pPr>
            <w:r>
              <w:t>≥960人</w:t>
            </w:r>
          </w:p>
        </w:tc>
        <w:tc>
          <w:tcPr>
            <w:tcW w:w="1276" w:type="dxa"/>
            <w:vAlign w:val="center"/>
          </w:tcPr>
          <w:p w14:paraId="0CECB7B7">
            <w:pPr>
              <w:pStyle w:val="12"/>
            </w:pPr>
            <w:r>
              <w:t>普通高中公用经费管理办法</w:t>
            </w:r>
          </w:p>
        </w:tc>
      </w:tr>
      <w:tr w14:paraId="4DE3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AB9AC"/>
        </w:tc>
        <w:tc>
          <w:tcPr>
            <w:tcW w:w="2268" w:type="dxa"/>
            <w:vAlign w:val="center"/>
          </w:tcPr>
          <w:p w14:paraId="54B2E3C6">
            <w:pPr>
              <w:pStyle w:val="12"/>
            </w:pPr>
            <w:r>
              <w:t>质量指标</w:t>
            </w:r>
          </w:p>
        </w:tc>
        <w:tc>
          <w:tcPr>
            <w:tcW w:w="2835" w:type="dxa"/>
            <w:vAlign w:val="center"/>
          </w:tcPr>
          <w:p w14:paraId="495DD07E">
            <w:pPr>
              <w:pStyle w:val="12"/>
            </w:pPr>
            <w:r>
              <w:t>提升办学质量</w:t>
            </w:r>
          </w:p>
        </w:tc>
        <w:tc>
          <w:tcPr>
            <w:tcW w:w="5386" w:type="dxa"/>
            <w:vAlign w:val="center"/>
          </w:tcPr>
          <w:p w14:paraId="66BB567E">
            <w:pPr>
              <w:pStyle w:val="12"/>
            </w:pPr>
            <w:r>
              <w:t>按学校实际工作运转，按季度拨付</w:t>
            </w:r>
          </w:p>
        </w:tc>
        <w:tc>
          <w:tcPr>
            <w:tcW w:w="2268" w:type="dxa"/>
            <w:vAlign w:val="center"/>
          </w:tcPr>
          <w:p w14:paraId="04741F46">
            <w:pPr>
              <w:pStyle w:val="12"/>
            </w:pPr>
            <w:r>
              <w:t>100%</w:t>
            </w:r>
          </w:p>
        </w:tc>
        <w:tc>
          <w:tcPr>
            <w:tcW w:w="1276" w:type="dxa"/>
            <w:vAlign w:val="center"/>
          </w:tcPr>
          <w:p w14:paraId="485C468E">
            <w:pPr>
              <w:pStyle w:val="12"/>
            </w:pPr>
            <w:r>
              <w:t>普通高中公用经费管理办法</w:t>
            </w:r>
          </w:p>
        </w:tc>
      </w:tr>
      <w:tr w14:paraId="1F9D5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A4B93"/>
        </w:tc>
        <w:tc>
          <w:tcPr>
            <w:tcW w:w="2268" w:type="dxa"/>
            <w:vAlign w:val="center"/>
          </w:tcPr>
          <w:p w14:paraId="16E593E7">
            <w:pPr>
              <w:pStyle w:val="12"/>
            </w:pPr>
            <w:r>
              <w:t>时效指标</w:t>
            </w:r>
          </w:p>
        </w:tc>
        <w:tc>
          <w:tcPr>
            <w:tcW w:w="2835" w:type="dxa"/>
            <w:vAlign w:val="center"/>
          </w:tcPr>
          <w:p w14:paraId="3EF04A99">
            <w:pPr>
              <w:pStyle w:val="12"/>
            </w:pPr>
            <w:r>
              <w:t>资金支付率</w:t>
            </w:r>
          </w:p>
        </w:tc>
        <w:tc>
          <w:tcPr>
            <w:tcW w:w="5386" w:type="dxa"/>
            <w:vAlign w:val="center"/>
          </w:tcPr>
          <w:p w14:paraId="475D7515">
            <w:pPr>
              <w:pStyle w:val="12"/>
            </w:pPr>
            <w:r>
              <w:t>按照序时进度完成资金支付</w:t>
            </w:r>
          </w:p>
        </w:tc>
        <w:tc>
          <w:tcPr>
            <w:tcW w:w="2268" w:type="dxa"/>
            <w:vAlign w:val="center"/>
          </w:tcPr>
          <w:p w14:paraId="3AB8F94A">
            <w:pPr>
              <w:pStyle w:val="12"/>
            </w:pPr>
            <w:r>
              <w:t>100%</w:t>
            </w:r>
          </w:p>
        </w:tc>
        <w:tc>
          <w:tcPr>
            <w:tcW w:w="1276" w:type="dxa"/>
            <w:vAlign w:val="center"/>
          </w:tcPr>
          <w:p w14:paraId="12AD634C">
            <w:pPr>
              <w:pStyle w:val="12"/>
            </w:pPr>
            <w:r>
              <w:t>普通高中公用经费管理办法</w:t>
            </w:r>
          </w:p>
        </w:tc>
      </w:tr>
      <w:tr w14:paraId="3E7C6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D0141"/>
        </w:tc>
        <w:tc>
          <w:tcPr>
            <w:tcW w:w="2268" w:type="dxa"/>
            <w:vAlign w:val="center"/>
          </w:tcPr>
          <w:p w14:paraId="019DB713">
            <w:pPr>
              <w:pStyle w:val="12"/>
            </w:pPr>
            <w:r>
              <w:t>成本指标</w:t>
            </w:r>
          </w:p>
        </w:tc>
        <w:tc>
          <w:tcPr>
            <w:tcW w:w="2835" w:type="dxa"/>
            <w:vAlign w:val="center"/>
          </w:tcPr>
          <w:p w14:paraId="15E113B6">
            <w:pPr>
              <w:pStyle w:val="12"/>
            </w:pPr>
            <w:r>
              <w:t>生均拨款标准</w:t>
            </w:r>
          </w:p>
        </w:tc>
        <w:tc>
          <w:tcPr>
            <w:tcW w:w="5386" w:type="dxa"/>
            <w:vAlign w:val="center"/>
          </w:tcPr>
          <w:p w14:paraId="20FA9E4D">
            <w:pPr>
              <w:pStyle w:val="12"/>
            </w:pPr>
            <w:r>
              <w:t>1000元/生/年</w:t>
            </w:r>
          </w:p>
        </w:tc>
        <w:tc>
          <w:tcPr>
            <w:tcW w:w="2268" w:type="dxa"/>
            <w:vAlign w:val="center"/>
          </w:tcPr>
          <w:p w14:paraId="59382BFC">
            <w:pPr>
              <w:pStyle w:val="12"/>
            </w:pPr>
            <w:r>
              <w:t>1000元/生/年</w:t>
            </w:r>
          </w:p>
        </w:tc>
        <w:tc>
          <w:tcPr>
            <w:tcW w:w="1276" w:type="dxa"/>
            <w:vAlign w:val="center"/>
          </w:tcPr>
          <w:p w14:paraId="080FC878">
            <w:pPr>
              <w:pStyle w:val="12"/>
            </w:pPr>
            <w:r>
              <w:t>冀教基【2019】30号</w:t>
            </w:r>
          </w:p>
        </w:tc>
      </w:tr>
      <w:tr w14:paraId="393D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C2155">
            <w:pPr>
              <w:pStyle w:val="13"/>
            </w:pPr>
            <w:r>
              <w:t>效益指标</w:t>
            </w:r>
          </w:p>
        </w:tc>
        <w:tc>
          <w:tcPr>
            <w:tcW w:w="2268" w:type="dxa"/>
            <w:vAlign w:val="center"/>
          </w:tcPr>
          <w:p w14:paraId="0D64D9B8">
            <w:pPr>
              <w:pStyle w:val="12"/>
            </w:pPr>
            <w:r>
              <w:t>经济效益指标</w:t>
            </w:r>
          </w:p>
        </w:tc>
        <w:tc>
          <w:tcPr>
            <w:tcW w:w="2835" w:type="dxa"/>
            <w:vAlign w:val="center"/>
          </w:tcPr>
          <w:p w14:paraId="017FE721">
            <w:pPr>
              <w:pStyle w:val="12"/>
            </w:pPr>
            <w:r>
              <w:t>项目实施效果</w:t>
            </w:r>
          </w:p>
        </w:tc>
        <w:tc>
          <w:tcPr>
            <w:tcW w:w="5386" w:type="dxa"/>
            <w:vAlign w:val="center"/>
          </w:tcPr>
          <w:p w14:paraId="2EADE453">
            <w:pPr>
              <w:pStyle w:val="12"/>
            </w:pPr>
            <w:r>
              <w:t>学校正常运转，减轻受教育学生困难</w:t>
            </w:r>
          </w:p>
        </w:tc>
        <w:tc>
          <w:tcPr>
            <w:tcW w:w="2268" w:type="dxa"/>
            <w:vAlign w:val="center"/>
          </w:tcPr>
          <w:p w14:paraId="5EC8900C">
            <w:pPr>
              <w:pStyle w:val="12"/>
            </w:pPr>
            <w:r>
              <w:t>100%</w:t>
            </w:r>
          </w:p>
        </w:tc>
        <w:tc>
          <w:tcPr>
            <w:tcW w:w="1276" w:type="dxa"/>
            <w:vAlign w:val="center"/>
          </w:tcPr>
          <w:p w14:paraId="7A51DBDE">
            <w:pPr>
              <w:pStyle w:val="12"/>
            </w:pPr>
            <w:r>
              <w:t>普通高中公用经费管理办法</w:t>
            </w:r>
          </w:p>
        </w:tc>
      </w:tr>
      <w:tr w14:paraId="2E15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2DFF4"/>
        </w:tc>
        <w:tc>
          <w:tcPr>
            <w:tcW w:w="2268" w:type="dxa"/>
            <w:vAlign w:val="center"/>
          </w:tcPr>
          <w:p w14:paraId="4FD81F4C">
            <w:pPr>
              <w:pStyle w:val="12"/>
            </w:pPr>
            <w:r>
              <w:t>社会效益指标</w:t>
            </w:r>
          </w:p>
        </w:tc>
        <w:tc>
          <w:tcPr>
            <w:tcW w:w="2835" w:type="dxa"/>
            <w:vAlign w:val="center"/>
          </w:tcPr>
          <w:p w14:paraId="7D7DFF5F">
            <w:pPr>
              <w:pStyle w:val="12"/>
            </w:pPr>
            <w:r>
              <w:t>普高教学能力提升</w:t>
            </w:r>
          </w:p>
        </w:tc>
        <w:tc>
          <w:tcPr>
            <w:tcW w:w="5386" w:type="dxa"/>
            <w:vAlign w:val="center"/>
          </w:tcPr>
          <w:p w14:paraId="61C0FAA8">
            <w:pPr>
              <w:pStyle w:val="12"/>
            </w:pPr>
            <w:r>
              <w:t>改善校园环境提高教学质量</w:t>
            </w:r>
          </w:p>
        </w:tc>
        <w:tc>
          <w:tcPr>
            <w:tcW w:w="2268" w:type="dxa"/>
            <w:vAlign w:val="center"/>
          </w:tcPr>
          <w:p w14:paraId="7150097B">
            <w:pPr>
              <w:pStyle w:val="12"/>
            </w:pPr>
            <w:r>
              <w:t>100%</w:t>
            </w:r>
          </w:p>
        </w:tc>
        <w:tc>
          <w:tcPr>
            <w:tcW w:w="1276" w:type="dxa"/>
            <w:vAlign w:val="center"/>
          </w:tcPr>
          <w:p w14:paraId="6F46EC42">
            <w:pPr>
              <w:pStyle w:val="12"/>
            </w:pPr>
            <w:r>
              <w:t>普通高中公用经费管理办法</w:t>
            </w:r>
          </w:p>
        </w:tc>
      </w:tr>
      <w:tr w14:paraId="60E4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F41C7"/>
        </w:tc>
        <w:tc>
          <w:tcPr>
            <w:tcW w:w="2268" w:type="dxa"/>
            <w:vAlign w:val="center"/>
          </w:tcPr>
          <w:p w14:paraId="769520E2">
            <w:pPr>
              <w:pStyle w:val="12"/>
            </w:pPr>
            <w:r>
              <w:t>生态效益指标</w:t>
            </w:r>
          </w:p>
        </w:tc>
        <w:tc>
          <w:tcPr>
            <w:tcW w:w="2835" w:type="dxa"/>
            <w:vAlign w:val="center"/>
          </w:tcPr>
          <w:p w14:paraId="64EEAF01">
            <w:pPr>
              <w:pStyle w:val="12"/>
            </w:pPr>
            <w:r>
              <w:t>推动教育事业发展</w:t>
            </w:r>
          </w:p>
        </w:tc>
        <w:tc>
          <w:tcPr>
            <w:tcW w:w="5386" w:type="dxa"/>
            <w:vAlign w:val="center"/>
          </w:tcPr>
          <w:p w14:paraId="26DA2312">
            <w:pPr>
              <w:pStyle w:val="12"/>
            </w:pPr>
            <w:r>
              <w:t>推动教育事业发展</w:t>
            </w:r>
          </w:p>
        </w:tc>
        <w:tc>
          <w:tcPr>
            <w:tcW w:w="2268" w:type="dxa"/>
            <w:vAlign w:val="center"/>
          </w:tcPr>
          <w:p w14:paraId="1009DF79">
            <w:pPr>
              <w:pStyle w:val="12"/>
            </w:pPr>
            <w:r>
              <w:t>100%</w:t>
            </w:r>
          </w:p>
        </w:tc>
        <w:tc>
          <w:tcPr>
            <w:tcW w:w="1276" w:type="dxa"/>
            <w:vAlign w:val="center"/>
          </w:tcPr>
          <w:p w14:paraId="6B495CB8">
            <w:pPr>
              <w:pStyle w:val="12"/>
            </w:pPr>
            <w:r>
              <w:t>普通高中公用经费管理办法</w:t>
            </w:r>
          </w:p>
        </w:tc>
      </w:tr>
      <w:tr w14:paraId="6E46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A5427"/>
        </w:tc>
        <w:tc>
          <w:tcPr>
            <w:tcW w:w="2268" w:type="dxa"/>
            <w:vAlign w:val="center"/>
          </w:tcPr>
          <w:p w14:paraId="2784923C">
            <w:pPr>
              <w:pStyle w:val="12"/>
            </w:pPr>
            <w:r>
              <w:t>可持续影响指标</w:t>
            </w:r>
          </w:p>
        </w:tc>
        <w:tc>
          <w:tcPr>
            <w:tcW w:w="2835" w:type="dxa"/>
            <w:vAlign w:val="center"/>
          </w:tcPr>
          <w:p w14:paraId="2915D921">
            <w:pPr>
              <w:pStyle w:val="12"/>
            </w:pPr>
            <w:r>
              <w:t>教育发展水平</w:t>
            </w:r>
          </w:p>
        </w:tc>
        <w:tc>
          <w:tcPr>
            <w:tcW w:w="5386" w:type="dxa"/>
            <w:vAlign w:val="center"/>
          </w:tcPr>
          <w:p w14:paraId="6F9D8129">
            <w:pPr>
              <w:pStyle w:val="12"/>
            </w:pPr>
            <w:r>
              <w:t>提升教育水平</w:t>
            </w:r>
          </w:p>
        </w:tc>
        <w:tc>
          <w:tcPr>
            <w:tcW w:w="2268" w:type="dxa"/>
            <w:vAlign w:val="center"/>
          </w:tcPr>
          <w:p w14:paraId="51ACF4CF">
            <w:pPr>
              <w:pStyle w:val="12"/>
            </w:pPr>
            <w:r>
              <w:t>100%</w:t>
            </w:r>
          </w:p>
        </w:tc>
        <w:tc>
          <w:tcPr>
            <w:tcW w:w="1276" w:type="dxa"/>
            <w:vAlign w:val="center"/>
          </w:tcPr>
          <w:p w14:paraId="5FF8DDD0">
            <w:pPr>
              <w:pStyle w:val="12"/>
            </w:pPr>
            <w:r>
              <w:t>普通高中公用经费管理办法</w:t>
            </w:r>
          </w:p>
        </w:tc>
      </w:tr>
      <w:tr w14:paraId="20A7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D27D2">
            <w:pPr>
              <w:pStyle w:val="13"/>
            </w:pPr>
            <w:r>
              <w:t>满意度指标</w:t>
            </w:r>
          </w:p>
        </w:tc>
        <w:tc>
          <w:tcPr>
            <w:tcW w:w="2268" w:type="dxa"/>
            <w:vAlign w:val="center"/>
          </w:tcPr>
          <w:p w14:paraId="75F21828">
            <w:pPr>
              <w:pStyle w:val="12"/>
            </w:pPr>
            <w:r>
              <w:t>服务对象满意度指标</w:t>
            </w:r>
          </w:p>
        </w:tc>
        <w:tc>
          <w:tcPr>
            <w:tcW w:w="2835" w:type="dxa"/>
            <w:vAlign w:val="center"/>
          </w:tcPr>
          <w:p w14:paraId="4F3016B5">
            <w:pPr>
              <w:pStyle w:val="12"/>
            </w:pPr>
            <w:r>
              <w:rPr>
                <w:rFonts w:hint="eastAsia"/>
                <w:lang w:eastAsia="zh-CN"/>
              </w:rPr>
              <w:t>受益</w:t>
            </w:r>
            <w:r>
              <w:t>学生家长调查满意度</w:t>
            </w:r>
          </w:p>
        </w:tc>
        <w:tc>
          <w:tcPr>
            <w:tcW w:w="5386" w:type="dxa"/>
            <w:vAlign w:val="center"/>
          </w:tcPr>
          <w:p w14:paraId="037E5676">
            <w:pPr>
              <w:pStyle w:val="12"/>
            </w:pPr>
            <w:r>
              <w:t>学生家长满意度</w:t>
            </w:r>
          </w:p>
        </w:tc>
        <w:tc>
          <w:tcPr>
            <w:tcW w:w="2268" w:type="dxa"/>
            <w:vAlign w:val="center"/>
          </w:tcPr>
          <w:p w14:paraId="7EBB6A0C">
            <w:pPr>
              <w:pStyle w:val="12"/>
            </w:pPr>
            <w:r>
              <w:t>≥98%</w:t>
            </w:r>
          </w:p>
        </w:tc>
        <w:tc>
          <w:tcPr>
            <w:tcW w:w="1276" w:type="dxa"/>
            <w:vAlign w:val="center"/>
          </w:tcPr>
          <w:p w14:paraId="5330BADE">
            <w:pPr>
              <w:pStyle w:val="12"/>
            </w:pPr>
            <w:r>
              <w:t>问卷调查</w:t>
            </w:r>
          </w:p>
        </w:tc>
      </w:tr>
    </w:tbl>
    <w:p w14:paraId="23B0A027">
      <w:pPr>
        <w:sectPr>
          <w:pgSz w:w="16840" w:h="11900" w:orient="landscape"/>
          <w:pgMar w:top="1361" w:right="1020" w:bottom="1134" w:left="1020" w:header="720" w:footer="720" w:gutter="0"/>
          <w:cols w:space="720" w:num="1"/>
        </w:sectPr>
      </w:pPr>
    </w:p>
    <w:p w14:paraId="3C85C156">
      <w:pPr>
        <w:spacing w:before="0" w:after="0"/>
        <w:ind w:firstLine="560"/>
        <w:jc w:val="left"/>
        <w:outlineLvl w:val="9"/>
      </w:pPr>
      <w:r>
        <w:rPr>
          <w:rFonts w:ascii="方正仿宋_GBK" w:hAnsi="方正仿宋_GBK" w:eastAsia="方正仿宋_GBK" w:cs="方正仿宋_GBK"/>
          <w:b/>
          <w:color w:val="000000"/>
          <w:sz w:val="28"/>
        </w:rPr>
        <w:t>15、普通高中专项经费/职教高中绩效目标表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42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19103">
            <w:pPr>
              <w:pStyle w:val="11"/>
            </w:pPr>
            <w:r>
              <w:t>单位：万元</w:t>
            </w:r>
          </w:p>
        </w:tc>
      </w:tr>
      <w:tr w14:paraId="5F3CD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DB7A2">
            <w:pPr>
              <w:pStyle w:val="10"/>
            </w:pPr>
            <w:r>
              <w:t>项目编码</w:t>
            </w:r>
          </w:p>
        </w:tc>
        <w:tc>
          <w:tcPr>
            <w:tcW w:w="5103" w:type="dxa"/>
            <w:gridSpan w:val="2"/>
            <w:vAlign w:val="center"/>
          </w:tcPr>
          <w:p w14:paraId="0CF6C3E1">
            <w:pPr>
              <w:pStyle w:val="12"/>
            </w:pPr>
            <w:r>
              <w:t>13052526P000002100345</w:t>
            </w:r>
          </w:p>
        </w:tc>
        <w:tc>
          <w:tcPr>
            <w:tcW w:w="2835" w:type="dxa"/>
            <w:vAlign w:val="center"/>
          </w:tcPr>
          <w:p w14:paraId="7D45F1EE">
            <w:pPr>
              <w:pStyle w:val="10"/>
            </w:pPr>
            <w:r>
              <w:t>项目名称</w:t>
            </w:r>
          </w:p>
        </w:tc>
        <w:tc>
          <w:tcPr>
            <w:tcW w:w="6095" w:type="dxa"/>
            <w:gridSpan w:val="3"/>
            <w:vAlign w:val="center"/>
          </w:tcPr>
          <w:p w14:paraId="4AF4E1B0">
            <w:pPr>
              <w:pStyle w:val="12"/>
            </w:pPr>
            <w:r>
              <w:t>普通高中专项经费/职教高中</w:t>
            </w:r>
          </w:p>
        </w:tc>
      </w:tr>
      <w:tr w14:paraId="39C3A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8E2B2">
            <w:pPr>
              <w:pStyle w:val="10"/>
            </w:pPr>
            <w:r>
              <w:t>预算规模及资金用途</w:t>
            </w:r>
          </w:p>
        </w:tc>
        <w:tc>
          <w:tcPr>
            <w:tcW w:w="2268" w:type="dxa"/>
            <w:vAlign w:val="center"/>
          </w:tcPr>
          <w:p w14:paraId="2F226417">
            <w:pPr>
              <w:pStyle w:val="10"/>
            </w:pPr>
            <w:r>
              <w:t>预算数</w:t>
            </w:r>
          </w:p>
        </w:tc>
        <w:tc>
          <w:tcPr>
            <w:tcW w:w="2835" w:type="dxa"/>
            <w:vAlign w:val="center"/>
          </w:tcPr>
          <w:p w14:paraId="7A3323F9">
            <w:pPr>
              <w:pStyle w:val="12"/>
            </w:pPr>
            <w:r>
              <w:t>163.94</w:t>
            </w:r>
          </w:p>
        </w:tc>
        <w:tc>
          <w:tcPr>
            <w:tcW w:w="2835" w:type="dxa"/>
            <w:vAlign w:val="center"/>
          </w:tcPr>
          <w:p w14:paraId="08F943F2">
            <w:pPr>
              <w:pStyle w:val="10"/>
            </w:pPr>
            <w:r>
              <w:t>其中：财政    资金</w:t>
            </w:r>
          </w:p>
        </w:tc>
        <w:tc>
          <w:tcPr>
            <w:tcW w:w="2551" w:type="dxa"/>
            <w:vAlign w:val="center"/>
          </w:tcPr>
          <w:p w14:paraId="06BF1493">
            <w:pPr>
              <w:pStyle w:val="12"/>
            </w:pPr>
            <w:r>
              <w:t>163.94</w:t>
            </w:r>
          </w:p>
        </w:tc>
        <w:tc>
          <w:tcPr>
            <w:tcW w:w="2268" w:type="dxa"/>
            <w:vAlign w:val="center"/>
          </w:tcPr>
          <w:p w14:paraId="673661F3">
            <w:pPr>
              <w:pStyle w:val="10"/>
            </w:pPr>
            <w:r>
              <w:t>其他资金</w:t>
            </w:r>
          </w:p>
        </w:tc>
        <w:tc>
          <w:tcPr>
            <w:tcW w:w="1276" w:type="dxa"/>
            <w:vAlign w:val="center"/>
          </w:tcPr>
          <w:p w14:paraId="3DD503C9">
            <w:pPr>
              <w:pStyle w:val="12"/>
            </w:pPr>
            <w:r>
              <w:t xml:space="preserve"> </w:t>
            </w:r>
          </w:p>
        </w:tc>
      </w:tr>
      <w:tr w14:paraId="769C3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47CCE"/>
        </w:tc>
        <w:tc>
          <w:tcPr>
            <w:tcW w:w="14033" w:type="dxa"/>
            <w:gridSpan w:val="6"/>
            <w:vAlign w:val="center"/>
          </w:tcPr>
          <w:p w14:paraId="44AC0F86">
            <w:pPr>
              <w:pStyle w:val="12"/>
            </w:pPr>
            <w:r>
              <w:t>按标准收取学费住宿费，用于学校正常公用支出。</w:t>
            </w:r>
          </w:p>
        </w:tc>
      </w:tr>
      <w:tr w14:paraId="4D11D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7BBC0">
            <w:pPr>
              <w:pStyle w:val="10"/>
            </w:pPr>
            <w:r>
              <w:t>资金支出计划（%）</w:t>
            </w:r>
          </w:p>
        </w:tc>
        <w:tc>
          <w:tcPr>
            <w:tcW w:w="5103" w:type="dxa"/>
            <w:gridSpan w:val="2"/>
            <w:vAlign w:val="center"/>
          </w:tcPr>
          <w:p w14:paraId="09C1D7FE">
            <w:pPr>
              <w:pStyle w:val="10"/>
            </w:pPr>
            <w:r>
              <w:t>3月底</w:t>
            </w:r>
          </w:p>
        </w:tc>
        <w:tc>
          <w:tcPr>
            <w:tcW w:w="2835" w:type="dxa"/>
            <w:vAlign w:val="center"/>
          </w:tcPr>
          <w:p w14:paraId="72A2D679">
            <w:pPr>
              <w:pStyle w:val="10"/>
            </w:pPr>
            <w:r>
              <w:t>6月底</w:t>
            </w:r>
          </w:p>
        </w:tc>
        <w:tc>
          <w:tcPr>
            <w:tcW w:w="2551" w:type="dxa"/>
            <w:vAlign w:val="center"/>
          </w:tcPr>
          <w:p w14:paraId="6ECC612B">
            <w:pPr>
              <w:pStyle w:val="10"/>
            </w:pPr>
            <w:r>
              <w:t>10月底</w:t>
            </w:r>
          </w:p>
        </w:tc>
        <w:tc>
          <w:tcPr>
            <w:tcW w:w="3544" w:type="dxa"/>
            <w:gridSpan w:val="2"/>
            <w:vAlign w:val="center"/>
          </w:tcPr>
          <w:p w14:paraId="062E08D9">
            <w:pPr>
              <w:pStyle w:val="10"/>
            </w:pPr>
            <w:r>
              <w:t>12月底</w:t>
            </w:r>
          </w:p>
        </w:tc>
      </w:tr>
      <w:tr w14:paraId="5577F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8AD06"/>
        </w:tc>
        <w:tc>
          <w:tcPr>
            <w:tcW w:w="5103" w:type="dxa"/>
            <w:gridSpan w:val="2"/>
            <w:vAlign w:val="center"/>
          </w:tcPr>
          <w:p w14:paraId="785184D9">
            <w:pPr>
              <w:pStyle w:val="13"/>
            </w:pPr>
            <w:r>
              <w:t xml:space="preserve"> </w:t>
            </w:r>
          </w:p>
        </w:tc>
        <w:tc>
          <w:tcPr>
            <w:tcW w:w="2835" w:type="dxa"/>
            <w:vAlign w:val="center"/>
          </w:tcPr>
          <w:p w14:paraId="2E06BE42">
            <w:pPr>
              <w:pStyle w:val="13"/>
            </w:pPr>
            <w:r>
              <w:t>50%</w:t>
            </w:r>
          </w:p>
        </w:tc>
        <w:tc>
          <w:tcPr>
            <w:tcW w:w="2551" w:type="dxa"/>
            <w:vAlign w:val="center"/>
          </w:tcPr>
          <w:p w14:paraId="58747DC4">
            <w:pPr>
              <w:pStyle w:val="13"/>
            </w:pPr>
            <w:r>
              <w:t>50%</w:t>
            </w:r>
          </w:p>
        </w:tc>
        <w:tc>
          <w:tcPr>
            <w:tcW w:w="3544" w:type="dxa"/>
            <w:gridSpan w:val="2"/>
            <w:vAlign w:val="center"/>
          </w:tcPr>
          <w:p w14:paraId="4A3B5845">
            <w:pPr>
              <w:pStyle w:val="13"/>
            </w:pPr>
            <w:r>
              <w:t>100%</w:t>
            </w:r>
          </w:p>
        </w:tc>
      </w:tr>
      <w:tr w14:paraId="5CA1D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1FFBE">
            <w:pPr>
              <w:pStyle w:val="10"/>
            </w:pPr>
            <w:r>
              <w:t>绩效目标</w:t>
            </w:r>
          </w:p>
        </w:tc>
        <w:tc>
          <w:tcPr>
            <w:tcW w:w="14033" w:type="dxa"/>
            <w:gridSpan w:val="6"/>
            <w:vAlign w:val="center"/>
          </w:tcPr>
          <w:p w14:paraId="4168FF1D">
            <w:pPr>
              <w:pStyle w:val="12"/>
            </w:pPr>
            <w:r>
              <w:t>1.按标准收取学费住宿费，用于学校正常公用支出。</w:t>
            </w:r>
          </w:p>
        </w:tc>
      </w:tr>
    </w:tbl>
    <w:p w14:paraId="2A7D8A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F5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674EE">
            <w:pPr>
              <w:pStyle w:val="10"/>
            </w:pPr>
            <w:r>
              <w:t>一级指标</w:t>
            </w:r>
          </w:p>
        </w:tc>
        <w:tc>
          <w:tcPr>
            <w:tcW w:w="2268" w:type="dxa"/>
            <w:vAlign w:val="center"/>
          </w:tcPr>
          <w:p w14:paraId="25D96B58">
            <w:pPr>
              <w:pStyle w:val="10"/>
            </w:pPr>
            <w:r>
              <w:t>二级指标</w:t>
            </w:r>
          </w:p>
        </w:tc>
        <w:tc>
          <w:tcPr>
            <w:tcW w:w="2835" w:type="dxa"/>
            <w:vAlign w:val="center"/>
          </w:tcPr>
          <w:p w14:paraId="233D00DE">
            <w:pPr>
              <w:pStyle w:val="10"/>
            </w:pPr>
            <w:r>
              <w:t>三级指标</w:t>
            </w:r>
          </w:p>
        </w:tc>
        <w:tc>
          <w:tcPr>
            <w:tcW w:w="5386" w:type="dxa"/>
            <w:vAlign w:val="center"/>
          </w:tcPr>
          <w:p w14:paraId="1E15B3E7">
            <w:pPr>
              <w:pStyle w:val="10"/>
            </w:pPr>
            <w:r>
              <w:t>绩效指标描述</w:t>
            </w:r>
          </w:p>
        </w:tc>
        <w:tc>
          <w:tcPr>
            <w:tcW w:w="2268" w:type="dxa"/>
            <w:vAlign w:val="center"/>
          </w:tcPr>
          <w:p w14:paraId="52178A1B">
            <w:pPr>
              <w:pStyle w:val="10"/>
            </w:pPr>
            <w:r>
              <w:t>指标值</w:t>
            </w:r>
          </w:p>
        </w:tc>
        <w:tc>
          <w:tcPr>
            <w:tcW w:w="1276" w:type="dxa"/>
            <w:vAlign w:val="center"/>
          </w:tcPr>
          <w:p w14:paraId="2C46B7A0">
            <w:pPr>
              <w:pStyle w:val="10"/>
            </w:pPr>
            <w:r>
              <w:t>指标值确定依据</w:t>
            </w:r>
          </w:p>
        </w:tc>
      </w:tr>
      <w:tr w14:paraId="0A49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F99FB">
            <w:pPr>
              <w:pStyle w:val="13"/>
            </w:pPr>
            <w:r>
              <w:t>产出指标</w:t>
            </w:r>
          </w:p>
        </w:tc>
        <w:tc>
          <w:tcPr>
            <w:tcW w:w="2268" w:type="dxa"/>
            <w:vAlign w:val="center"/>
          </w:tcPr>
          <w:p w14:paraId="2FDC2487">
            <w:pPr>
              <w:pStyle w:val="12"/>
            </w:pPr>
            <w:r>
              <w:t>数量指标</w:t>
            </w:r>
          </w:p>
        </w:tc>
        <w:tc>
          <w:tcPr>
            <w:tcW w:w="2835" w:type="dxa"/>
            <w:vAlign w:val="center"/>
          </w:tcPr>
          <w:p w14:paraId="299B4DBE">
            <w:pPr>
              <w:pStyle w:val="12"/>
            </w:pPr>
            <w:r>
              <w:t>普高在校生</w:t>
            </w:r>
          </w:p>
        </w:tc>
        <w:tc>
          <w:tcPr>
            <w:tcW w:w="5386" w:type="dxa"/>
            <w:vAlign w:val="center"/>
          </w:tcPr>
          <w:p w14:paraId="15268F57">
            <w:pPr>
              <w:pStyle w:val="12"/>
            </w:pPr>
            <w:r>
              <w:t>普高在校生</w:t>
            </w:r>
          </w:p>
        </w:tc>
        <w:tc>
          <w:tcPr>
            <w:tcW w:w="2268" w:type="dxa"/>
            <w:vAlign w:val="center"/>
          </w:tcPr>
          <w:p w14:paraId="2247C39C">
            <w:pPr>
              <w:pStyle w:val="12"/>
            </w:pPr>
            <w:r>
              <w:t>≥960人</w:t>
            </w:r>
          </w:p>
        </w:tc>
        <w:tc>
          <w:tcPr>
            <w:tcW w:w="1276" w:type="dxa"/>
            <w:vAlign w:val="center"/>
          </w:tcPr>
          <w:p w14:paraId="51498633">
            <w:pPr>
              <w:pStyle w:val="12"/>
            </w:pPr>
            <w:r>
              <w:t>普通高中专项公用管理办法</w:t>
            </w:r>
          </w:p>
        </w:tc>
      </w:tr>
      <w:tr w14:paraId="01C3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BF217"/>
        </w:tc>
        <w:tc>
          <w:tcPr>
            <w:tcW w:w="2268" w:type="dxa"/>
            <w:vAlign w:val="center"/>
          </w:tcPr>
          <w:p w14:paraId="2944D8E2">
            <w:pPr>
              <w:pStyle w:val="12"/>
            </w:pPr>
            <w:r>
              <w:t>质量指标</w:t>
            </w:r>
          </w:p>
        </w:tc>
        <w:tc>
          <w:tcPr>
            <w:tcW w:w="2835" w:type="dxa"/>
            <w:vAlign w:val="center"/>
          </w:tcPr>
          <w:p w14:paraId="52803C0F">
            <w:pPr>
              <w:pStyle w:val="12"/>
            </w:pPr>
            <w:r>
              <w:t>按学期完成学费住宿费收缴</w:t>
            </w:r>
          </w:p>
        </w:tc>
        <w:tc>
          <w:tcPr>
            <w:tcW w:w="5386" w:type="dxa"/>
            <w:vAlign w:val="center"/>
          </w:tcPr>
          <w:p w14:paraId="253A893C">
            <w:pPr>
              <w:pStyle w:val="12"/>
            </w:pPr>
            <w:r>
              <w:t>按学期完成学费住宿费收缴</w:t>
            </w:r>
          </w:p>
        </w:tc>
        <w:tc>
          <w:tcPr>
            <w:tcW w:w="2268" w:type="dxa"/>
            <w:vAlign w:val="center"/>
          </w:tcPr>
          <w:p w14:paraId="6AA68BB3">
            <w:pPr>
              <w:pStyle w:val="12"/>
            </w:pPr>
            <w:r>
              <w:t>100%</w:t>
            </w:r>
          </w:p>
        </w:tc>
        <w:tc>
          <w:tcPr>
            <w:tcW w:w="1276" w:type="dxa"/>
            <w:vAlign w:val="center"/>
          </w:tcPr>
          <w:p w14:paraId="23A09DB8">
            <w:pPr>
              <w:pStyle w:val="12"/>
            </w:pPr>
            <w:r>
              <w:t>普通高中专项公用管理办法</w:t>
            </w:r>
          </w:p>
        </w:tc>
      </w:tr>
      <w:tr w14:paraId="518F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429B5"/>
        </w:tc>
        <w:tc>
          <w:tcPr>
            <w:tcW w:w="2268" w:type="dxa"/>
            <w:vAlign w:val="center"/>
          </w:tcPr>
          <w:p w14:paraId="67875CC4">
            <w:pPr>
              <w:pStyle w:val="12"/>
            </w:pPr>
            <w:r>
              <w:t>时效指标</w:t>
            </w:r>
          </w:p>
        </w:tc>
        <w:tc>
          <w:tcPr>
            <w:tcW w:w="2835" w:type="dxa"/>
            <w:vAlign w:val="center"/>
          </w:tcPr>
          <w:p w14:paraId="1E54A71D">
            <w:pPr>
              <w:pStyle w:val="12"/>
            </w:pPr>
            <w:r>
              <w:t>按照时序进度完成资金支付</w:t>
            </w:r>
          </w:p>
        </w:tc>
        <w:tc>
          <w:tcPr>
            <w:tcW w:w="5386" w:type="dxa"/>
            <w:vAlign w:val="center"/>
          </w:tcPr>
          <w:p w14:paraId="58E24154">
            <w:pPr>
              <w:pStyle w:val="12"/>
            </w:pPr>
            <w:r>
              <w:t>按照时序进度完成资金支付</w:t>
            </w:r>
          </w:p>
        </w:tc>
        <w:tc>
          <w:tcPr>
            <w:tcW w:w="2268" w:type="dxa"/>
            <w:vAlign w:val="center"/>
          </w:tcPr>
          <w:p w14:paraId="02F0F019">
            <w:pPr>
              <w:pStyle w:val="12"/>
            </w:pPr>
            <w:r>
              <w:t>100%</w:t>
            </w:r>
          </w:p>
        </w:tc>
        <w:tc>
          <w:tcPr>
            <w:tcW w:w="1276" w:type="dxa"/>
            <w:vAlign w:val="center"/>
          </w:tcPr>
          <w:p w14:paraId="1E9DA54C">
            <w:pPr>
              <w:pStyle w:val="12"/>
            </w:pPr>
            <w:r>
              <w:t>普通高中专项公用管理办法</w:t>
            </w:r>
          </w:p>
        </w:tc>
      </w:tr>
      <w:tr w14:paraId="32DB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83878"/>
        </w:tc>
        <w:tc>
          <w:tcPr>
            <w:tcW w:w="2268" w:type="dxa"/>
            <w:vAlign w:val="center"/>
          </w:tcPr>
          <w:p w14:paraId="05B7A5F8">
            <w:pPr>
              <w:pStyle w:val="12"/>
            </w:pPr>
            <w:r>
              <w:t>成本指标</w:t>
            </w:r>
          </w:p>
        </w:tc>
        <w:tc>
          <w:tcPr>
            <w:tcW w:w="2835" w:type="dxa"/>
            <w:vAlign w:val="center"/>
          </w:tcPr>
          <w:p w14:paraId="282831F9">
            <w:pPr>
              <w:pStyle w:val="12"/>
            </w:pPr>
            <w:r>
              <w:t>按照标准收取学费住宿费</w:t>
            </w:r>
          </w:p>
        </w:tc>
        <w:tc>
          <w:tcPr>
            <w:tcW w:w="5386" w:type="dxa"/>
            <w:vAlign w:val="center"/>
          </w:tcPr>
          <w:p w14:paraId="22640CC8">
            <w:pPr>
              <w:pStyle w:val="12"/>
            </w:pPr>
            <w:r>
              <w:t>按照标准收取学费住宿费</w:t>
            </w:r>
          </w:p>
        </w:tc>
        <w:tc>
          <w:tcPr>
            <w:tcW w:w="2268" w:type="dxa"/>
            <w:vAlign w:val="center"/>
          </w:tcPr>
          <w:p w14:paraId="54EBA86F">
            <w:pPr>
              <w:pStyle w:val="12"/>
            </w:pPr>
            <w:r>
              <w:t>1560元</w:t>
            </w:r>
          </w:p>
        </w:tc>
        <w:tc>
          <w:tcPr>
            <w:tcW w:w="1276" w:type="dxa"/>
            <w:vAlign w:val="center"/>
          </w:tcPr>
          <w:p w14:paraId="10ACDEE8">
            <w:pPr>
              <w:pStyle w:val="12"/>
            </w:pPr>
            <w:r>
              <w:t>邢价行费【2016】27号</w:t>
            </w:r>
          </w:p>
        </w:tc>
      </w:tr>
      <w:tr w14:paraId="3450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C2BA4">
            <w:pPr>
              <w:pStyle w:val="13"/>
            </w:pPr>
            <w:r>
              <w:t>效益指标</w:t>
            </w:r>
          </w:p>
        </w:tc>
        <w:tc>
          <w:tcPr>
            <w:tcW w:w="2268" w:type="dxa"/>
            <w:vAlign w:val="center"/>
          </w:tcPr>
          <w:p w14:paraId="686150FC">
            <w:pPr>
              <w:pStyle w:val="12"/>
            </w:pPr>
            <w:r>
              <w:t>经济效益指标</w:t>
            </w:r>
          </w:p>
        </w:tc>
        <w:tc>
          <w:tcPr>
            <w:tcW w:w="2835" w:type="dxa"/>
            <w:vAlign w:val="center"/>
          </w:tcPr>
          <w:p w14:paraId="4B84D3B9">
            <w:pPr>
              <w:pStyle w:val="12"/>
            </w:pPr>
            <w:r>
              <w:t>弥补日常公用经费不足</w:t>
            </w:r>
          </w:p>
        </w:tc>
        <w:tc>
          <w:tcPr>
            <w:tcW w:w="5386" w:type="dxa"/>
            <w:vAlign w:val="center"/>
          </w:tcPr>
          <w:p w14:paraId="5707B59F">
            <w:pPr>
              <w:pStyle w:val="12"/>
            </w:pPr>
            <w:r>
              <w:t>弥补日常公用经费不足</w:t>
            </w:r>
          </w:p>
        </w:tc>
        <w:tc>
          <w:tcPr>
            <w:tcW w:w="2268" w:type="dxa"/>
            <w:vAlign w:val="center"/>
          </w:tcPr>
          <w:p w14:paraId="58B9CBCC">
            <w:pPr>
              <w:pStyle w:val="12"/>
            </w:pPr>
            <w:r>
              <w:t>100%</w:t>
            </w:r>
          </w:p>
        </w:tc>
        <w:tc>
          <w:tcPr>
            <w:tcW w:w="1276" w:type="dxa"/>
            <w:vAlign w:val="center"/>
          </w:tcPr>
          <w:p w14:paraId="4D585816">
            <w:pPr>
              <w:pStyle w:val="12"/>
            </w:pPr>
            <w:r>
              <w:t>普通高中专项公用管理办法</w:t>
            </w:r>
          </w:p>
        </w:tc>
      </w:tr>
      <w:tr w14:paraId="69C8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02D46">
            <w:pPr>
              <w:pStyle w:val="13"/>
            </w:pPr>
            <w:r>
              <w:t>满意度指标</w:t>
            </w:r>
          </w:p>
        </w:tc>
        <w:tc>
          <w:tcPr>
            <w:tcW w:w="2268" w:type="dxa"/>
            <w:vAlign w:val="center"/>
          </w:tcPr>
          <w:p w14:paraId="4523379D">
            <w:pPr>
              <w:pStyle w:val="12"/>
            </w:pPr>
            <w:r>
              <w:t>服务对象满意度指标</w:t>
            </w:r>
          </w:p>
        </w:tc>
        <w:tc>
          <w:tcPr>
            <w:tcW w:w="2835" w:type="dxa"/>
            <w:vAlign w:val="center"/>
          </w:tcPr>
          <w:p w14:paraId="56DF2CC7">
            <w:pPr>
              <w:pStyle w:val="12"/>
            </w:pPr>
            <w:r>
              <w:t>学生家长及教师对学校工作满意</w:t>
            </w:r>
          </w:p>
        </w:tc>
        <w:tc>
          <w:tcPr>
            <w:tcW w:w="5386" w:type="dxa"/>
            <w:vAlign w:val="center"/>
          </w:tcPr>
          <w:p w14:paraId="00BA832E">
            <w:pPr>
              <w:pStyle w:val="12"/>
            </w:pPr>
            <w:r>
              <w:t>学生家长及教师对学校工作满意</w:t>
            </w:r>
          </w:p>
        </w:tc>
        <w:tc>
          <w:tcPr>
            <w:tcW w:w="2268" w:type="dxa"/>
            <w:vAlign w:val="center"/>
          </w:tcPr>
          <w:p w14:paraId="12F8A511">
            <w:pPr>
              <w:pStyle w:val="12"/>
            </w:pPr>
            <w:r>
              <w:t>≥98%</w:t>
            </w:r>
          </w:p>
        </w:tc>
        <w:tc>
          <w:tcPr>
            <w:tcW w:w="1276" w:type="dxa"/>
            <w:vAlign w:val="center"/>
          </w:tcPr>
          <w:p w14:paraId="218DE15C">
            <w:pPr>
              <w:pStyle w:val="12"/>
            </w:pPr>
            <w:r>
              <w:t>普通高中专项公用管理办法</w:t>
            </w:r>
          </w:p>
        </w:tc>
      </w:tr>
    </w:tbl>
    <w:p w14:paraId="2E0E80C6">
      <w:pPr>
        <w:sectPr>
          <w:pgSz w:w="16840" w:h="11900" w:orient="landscape"/>
          <w:pgMar w:top="1361" w:right="1020" w:bottom="1134" w:left="1020" w:header="720" w:footer="720" w:gutter="0"/>
          <w:cols w:space="720" w:num="1"/>
        </w:sectPr>
      </w:pPr>
    </w:p>
    <w:p w14:paraId="38D8D67E">
      <w:pPr>
        <w:spacing w:before="0" w:after="0"/>
        <w:ind w:firstLine="560"/>
        <w:jc w:val="left"/>
        <w:outlineLvl w:val="9"/>
      </w:pPr>
      <w:r>
        <w:rPr>
          <w:rFonts w:ascii="方正仿宋_GBK" w:hAnsi="方正仿宋_GBK" w:eastAsia="方正仿宋_GBK" w:cs="方正仿宋_GBK"/>
          <w:b/>
          <w:color w:val="000000"/>
          <w:sz w:val="28"/>
        </w:rPr>
        <w:t>16、县级配套/2026年普通高中三免（职教高中）建档立卡绩效目标表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35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5C5F2">
            <w:pPr>
              <w:pStyle w:val="11"/>
            </w:pPr>
            <w:r>
              <w:t>单位：万元</w:t>
            </w:r>
          </w:p>
        </w:tc>
      </w:tr>
      <w:tr w14:paraId="7954C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85B64">
            <w:pPr>
              <w:pStyle w:val="10"/>
            </w:pPr>
            <w:r>
              <w:t>项目编码</w:t>
            </w:r>
          </w:p>
        </w:tc>
        <w:tc>
          <w:tcPr>
            <w:tcW w:w="5103" w:type="dxa"/>
            <w:gridSpan w:val="2"/>
            <w:vAlign w:val="center"/>
          </w:tcPr>
          <w:p w14:paraId="5BDB02F1">
            <w:pPr>
              <w:pStyle w:val="12"/>
            </w:pPr>
            <w:r>
              <w:t>13052526P00001210040R</w:t>
            </w:r>
          </w:p>
        </w:tc>
        <w:tc>
          <w:tcPr>
            <w:tcW w:w="2835" w:type="dxa"/>
            <w:vAlign w:val="center"/>
          </w:tcPr>
          <w:p w14:paraId="73166F05">
            <w:pPr>
              <w:pStyle w:val="10"/>
            </w:pPr>
            <w:r>
              <w:t>项目名称</w:t>
            </w:r>
          </w:p>
        </w:tc>
        <w:tc>
          <w:tcPr>
            <w:tcW w:w="6095" w:type="dxa"/>
            <w:gridSpan w:val="3"/>
            <w:vAlign w:val="center"/>
          </w:tcPr>
          <w:p w14:paraId="4EB91C05">
            <w:pPr>
              <w:pStyle w:val="12"/>
            </w:pPr>
            <w:r>
              <w:t>县级配套/2026年普通高中三免（职教高中）建档立卡</w:t>
            </w:r>
          </w:p>
        </w:tc>
      </w:tr>
      <w:tr w14:paraId="6DE4E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23375">
            <w:pPr>
              <w:pStyle w:val="10"/>
            </w:pPr>
            <w:r>
              <w:t>预算规模及资金用途</w:t>
            </w:r>
          </w:p>
        </w:tc>
        <w:tc>
          <w:tcPr>
            <w:tcW w:w="2268" w:type="dxa"/>
            <w:vAlign w:val="center"/>
          </w:tcPr>
          <w:p w14:paraId="2F05D623">
            <w:pPr>
              <w:pStyle w:val="10"/>
            </w:pPr>
            <w:r>
              <w:t>预算数</w:t>
            </w:r>
          </w:p>
        </w:tc>
        <w:tc>
          <w:tcPr>
            <w:tcW w:w="2835" w:type="dxa"/>
            <w:vAlign w:val="center"/>
          </w:tcPr>
          <w:p w14:paraId="63AA528E">
            <w:pPr>
              <w:pStyle w:val="12"/>
            </w:pPr>
            <w:r>
              <w:t>1.79</w:t>
            </w:r>
          </w:p>
        </w:tc>
        <w:tc>
          <w:tcPr>
            <w:tcW w:w="2835" w:type="dxa"/>
            <w:vAlign w:val="center"/>
          </w:tcPr>
          <w:p w14:paraId="157BC546">
            <w:pPr>
              <w:pStyle w:val="10"/>
            </w:pPr>
            <w:r>
              <w:t>其中：财政    资金</w:t>
            </w:r>
          </w:p>
        </w:tc>
        <w:tc>
          <w:tcPr>
            <w:tcW w:w="2551" w:type="dxa"/>
            <w:vAlign w:val="center"/>
          </w:tcPr>
          <w:p w14:paraId="75A59519">
            <w:pPr>
              <w:pStyle w:val="12"/>
            </w:pPr>
            <w:r>
              <w:t>1.79</w:t>
            </w:r>
          </w:p>
        </w:tc>
        <w:tc>
          <w:tcPr>
            <w:tcW w:w="2268" w:type="dxa"/>
            <w:vAlign w:val="center"/>
          </w:tcPr>
          <w:p w14:paraId="43B61B70">
            <w:pPr>
              <w:pStyle w:val="10"/>
            </w:pPr>
            <w:r>
              <w:t>其他资金</w:t>
            </w:r>
          </w:p>
        </w:tc>
        <w:tc>
          <w:tcPr>
            <w:tcW w:w="1276" w:type="dxa"/>
            <w:vAlign w:val="center"/>
          </w:tcPr>
          <w:p w14:paraId="79F2B080">
            <w:pPr>
              <w:pStyle w:val="12"/>
            </w:pPr>
            <w:r>
              <w:t xml:space="preserve"> </w:t>
            </w:r>
          </w:p>
        </w:tc>
      </w:tr>
      <w:tr w14:paraId="52D2C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6E00B"/>
        </w:tc>
        <w:tc>
          <w:tcPr>
            <w:tcW w:w="14033" w:type="dxa"/>
            <w:gridSpan w:val="6"/>
            <w:vAlign w:val="center"/>
          </w:tcPr>
          <w:p w14:paraId="5772C0C5">
            <w:pPr>
              <w:pStyle w:val="12"/>
            </w:pPr>
            <w:r>
              <w:t>县级预算安排1.792万元普通高中三免资金，主要用于减免贫困生学费、住宿费、书费后经费不足。</w:t>
            </w:r>
          </w:p>
        </w:tc>
      </w:tr>
      <w:tr w14:paraId="7EAD2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7BE12">
            <w:pPr>
              <w:pStyle w:val="10"/>
            </w:pPr>
            <w:r>
              <w:t>资金支出计划（%）</w:t>
            </w:r>
          </w:p>
        </w:tc>
        <w:tc>
          <w:tcPr>
            <w:tcW w:w="5103" w:type="dxa"/>
            <w:gridSpan w:val="2"/>
            <w:vAlign w:val="center"/>
          </w:tcPr>
          <w:p w14:paraId="6813B684">
            <w:pPr>
              <w:pStyle w:val="10"/>
            </w:pPr>
            <w:r>
              <w:t>3月底</w:t>
            </w:r>
          </w:p>
        </w:tc>
        <w:tc>
          <w:tcPr>
            <w:tcW w:w="2835" w:type="dxa"/>
            <w:vAlign w:val="center"/>
          </w:tcPr>
          <w:p w14:paraId="142DA78E">
            <w:pPr>
              <w:pStyle w:val="10"/>
            </w:pPr>
            <w:r>
              <w:t>6月底</w:t>
            </w:r>
          </w:p>
        </w:tc>
        <w:tc>
          <w:tcPr>
            <w:tcW w:w="2551" w:type="dxa"/>
            <w:vAlign w:val="center"/>
          </w:tcPr>
          <w:p w14:paraId="1A5984CD">
            <w:pPr>
              <w:pStyle w:val="10"/>
            </w:pPr>
            <w:r>
              <w:t>10月底</w:t>
            </w:r>
          </w:p>
        </w:tc>
        <w:tc>
          <w:tcPr>
            <w:tcW w:w="3544" w:type="dxa"/>
            <w:gridSpan w:val="2"/>
            <w:vAlign w:val="center"/>
          </w:tcPr>
          <w:p w14:paraId="21BE77A3">
            <w:pPr>
              <w:pStyle w:val="10"/>
            </w:pPr>
            <w:r>
              <w:t>12月底</w:t>
            </w:r>
          </w:p>
        </w:tc>
      </w:tr>
      <w:tr w14:paraId="6317E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EA94B"/>
        </w:tc>
        <w:tc>
          <w:tcPr>
            <w:tcW w:w="5103" w:type="dxa"/>
            <w:gridSpan w:val="2"/>
            <w:vAlign w:val="center"/>
          </w:tcPr>
          <w:p w14:paraId="473E6837">
            <w:pPr>
              <w:pStyle w:val="13"/>
            </w:pPr>
            <w:r>
              <w:t xml:space="preserve"> </w:t>
            </w:r>
          </w:p>
        </w:tc>
        <w:tc>
          <w:tcPr>
            <w:tcW w:w="2835" w:type="dxa"/>
            <w:vAlign w:val="center"/>
          </w:tcPr>
          <w:p w14:paraId="69E0D95F">
            <w:pPr>
              <w:pStyle w:val="13"/>
            </w:pPr>
            <w:r>
              <w:t>50%</w:t>
            </w:r>
          </w:p>
        </w:tc>
        <w:tc>
          <w:tcPr>
            <w:tcW w:w="2551" w:type="dxa"/>
            <w:vAlign w:val="center"/>
          </w:tcPr>
          <w:p w14:paraId="037AC775">
            <w:pPr>
              <w:pStyle w:val="13"/>
            </w:pPr>
            <w:r>
              <w:t>50%</w:t>
            </w:r>
          </w:p>
        </w:tc>
        <w:tc>
          <w:tcPr>
            <w:tcW w:w="3544" w:type="dxa"/>
            <w:gridSpan w:val="2"/>
            <w:vAlign w:val="center"/>
          </w:tcPr>
          <w:p w14:paraId="54961E83">
            <w:pPr>
              <w:pStyle w:val="13"/>
            </w:pPr>
            <w:r>
              <w:t>100%</w:t>
            </w:r>
          </w:p>
        </w:tc>
      </w:tr>
      <w:tr w14:paraId="05339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73331">
            <w:pPr>
              <w:pStyle w:val="10"/>
            </w:pPr>
            <w:r>
              <w:t>绩效目标</w:t>
            </w:r>
          </w:p>
        </w:tc>
        <w:tc>
          <w:tcPr>
            <w:tcW w:w="14033" w:type="dxa"/>
            <w:gridSpan w:val="6"/>
            <w:vAlign w:val="center"/>
          </w:tcPr>
          <w:p w14:paraId="493C2955">
            <w:pPr>
              <w:pStyle w:val="12"/>
            </w:pPr>
            <w:r>
              <w:t>1.县级预算安排1.792万元普通高中三免资金，主要用于减免贫困生学费、住宿费、书费后经费不足。</w:t>
            </w:r>
          </w:p>
        </w:tc>
      </w:tr>
    </w:tbl>
    <w:p w14:paraId="5E34B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5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A8EEB">
            <w:pPr>
              <w:pStyle w:val="10"/>
            </w:pPr>
            <w:r>
              <w:t>一级指标</w:t>
            </w:r>
          </w:p>
        </w:tc>
        <w:tc>
          <w:tcPr>
            <w:tcW w:w="2268" w:type="dxa"/>
            <w:vAlign w:val="center"/>
          </w:tcPr>
          <w:p w14:paraId="5BE271BC">
            <w:pPr>
              <w:pStyle w:val="10"/>
            </w:pPr>
            <w:r>
              <w:t>二级指标</w:t>
            </w:r>
          </w:p>
        </w:tc>
        <w:tc>
          <w:tcPr>
            <w:tcW w:w="2835" w:type="dxa"/>
            <w:vAlign w:val="center"/>
          </w:tcPr>
          <w:p w14:paraId="6C925F73">
            <w:pPr>
              <w:pStyle w:val="10"/>
            </w:pPr>
            <w:r>
              <w:t>三级指标</w:t>
            </w:r>
          </w:p>
        </w:tc>
        <w:tc>
          <w:tcPr>
            <w:tcW w:w="5386" w:type="dxa"/>
            <w:vAlign w:val="center"/>
          </w:tcPr>
          <w:p w14:paraId="0E97B926">
            <w:pPr>
              <w:pStyle w:val="10"/>
            </w:pPr>
            <w:r>
              <w:t>绩效指标描述</w:t>
            </w:r>
          </w:p>
        </w:tc>
        <w:tc>
          <w:tcPr>
            <w:tcW w:w="2268" w:type="dxa"/>
            <w:vAlign w:val="center"/>
          </w:tcPr>
          <w:p w14:paraId="0EE7D79B">
            <w:pPr>
              <w:pStyle w:val="10"/>
            </w:pPr>
            <w:r>
              <w:t>指标值</w:t>
            </w:r>
          </w:p>
        </w:tc>
        <w:tc>
          <w:tcPr>
            <w:tcW w:w="1276" w:type="dxa"/>
            <w:vAlign w:val="center"/>
          </w:tcPr>
          <w:p w14:paraId="4A4EB8ED">
            <w:pPr>
              <w:pStyle w:val="10"/>
            </w:pPr>
            <w:r>
              <w:t>指标值确定依据</w:t>
            </w:r>
          </w:p>
        </w:tc>
      </w:tr>
      <w:tr w14:paraId="2B33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12506">
            <w:pPr>
              <w:pStyle w:val="13"/>
            </w:pPr>
            <w:r>
              <w:t>产出指标</w:t>
            </w:r>
          </w:p>
        </w:tc>
        <w:tc>
          <w:tcPr>
            <w:tcW w:w="2268" w:type="dxa"/>
            <w:vAlign w:val="center"/>
          </w:tcPr>
          <w:p w14:paraId="25A4B51C">
            <w:pPr>
              <w:pStyle w:val="12"/>
            </w:pPr>
            <w:r>
              <w:t>数量指标</w:t>
            </w:r>
          </w:p>
        </w:tc>
        <w:tc>
          <w:tcPr>
            <w:tcW w:w="2835" w:type="dxa"/>
            <w:vAlign w:val="center"/>
          </w:tcPr>
          <w:p w14:paraId="0DC3976A">
            <w:pPr>
              <w:pStyle w:val="12"/>
            </w:pPr>
            <w:r>
              <w:t>普通高中享受三免人数</w:t>
            </w:r>
          </w:p>
        </w:tc>
        <w:tc>
          <w:tcPr>
            <w:tcW w:w="5386" w:type="dxa"/>
            <w:vAlign w:val="center"/>
          </w:tcPr>
          <w:p w14:paraId="04E9CFF9">
            <w:pPr>
              <w:pStyle w:val="12"/>
            </w:pPr>
            <w:r>
              <w:t>普通高中享受免学费住宿费书费人数</w:t>
            </w:r>
          </w:p>
        </w:tc>
        <w:tc>
          <w:tcPr>
            <w:tcW w:w="2268" w:type="dxa"/>
            <w:vAlign w:val="center"/>
          </w:tcPr>
          <w:p w14:paraId="4FBBF66D">
            <w:pPr>
              <w:pStyle w:val="12"/>
            </w:pPr>
            <w:r>
              <w:t>58人</w:t>
            </w:r>
          </w:p>
        </w:tc>
        <w:tc>
          <w:tcPr>
            <w:tcW w:w="1276" w:type="dxa"/>
            <w:vAlign w:val="center"/>
          </w:tcPr>
          <w:p w14:paraId="4DA98E2D">
            <w:pPr>
              <w:pStyle w:val="12"/>
            </w:pPr>
            <w:r>
              <w:t>河北省建档立卡家庭经济困难学生资助管理暂行办法</w:t>
            </w:r>
          </w:p>
        </w:tc>
      </w:tr>
      <w:tr w14:paraId="05CA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458D3"/>
        </w:tc>
        <w:tc>
          <w:tcPr>
            <w:tcW w:w="2268" w:type="dxa"/>
            <w:vAlign w:val="center"/>
          </w:tcPr>
          <w:p w14:paraId="1B9558EE">
            <w:pPr>
              <w:pStyle w:val="12"/>
            </w:pPr>
            <w:r>
              <w:t>质量指标</w:t>
            </w:r>
          </w:p>
        </w:tc>
        <w:tc>
          <w:tcPr>
            <w:tcW w:w="2835" w:type="dxa"/>
            <w:vAlign w:val="center"/>
          </w:tcPr>
          <w:p w14:paraId="7AEEE610">
            <w:pPr>
              <w:pStyle w:val="12"/>
            </w:pPr>
            <w:r>
              <w:t>完成普高三免资金发放工作</w:t>
            </w:r>
          </w:p>
        </w:tc>
        <w:tc>
          <w:tcPr>
            <w:tcW w:w="5386" w:type="dxa"/>
            <w:vAlign w:val="center"/>
          </w:tcPr>
          <w:p w14:paraId="10AF45BB">
            <w:pPr>
              <w:pStyle w:val="12"/>
            </w:pPr>
            <w:r>
              <w:t>普高三免为建档立卡学生</w:t>
            </w:r>
          </w:p>
        </w:tc>
        <w:tc>
          <w:tcPr>
            <w:tcW w:w="2268" w:type="dxa"/>
            <w:vAlign w:val="center"/>
          </w:tcPr>
          <w:p w14:paraId="7547F9E7">
            <w:pPr>
              <w:pStyle w:val="12"/>
            </w:pPr>
            <w:r>
              <w:t>100%</w:t>
            </w:r>
          </w:p>
        </w:tc>
        <w:tc>
          <w:tcPr>
            <w:tcW w:w="1276" w:type="dxa"/>
            <w:vAlign w:val="center"/>
          </w:tcPr>
          <w:p w14:paraId="2329F60E">
            <w:pPr>
              <w:pStyle w:val="12"/>
            </w:pPr>
            <w:r>
              <w:t>河北省建档立卡家庭经济困难学生资助管理暂行办法</w:t>
            </w:r>
          </w:p>
        </w:tc>
      </w:tr>
      <w:tr w14:paraId="53FC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174CB"/>
        </w:tc>
        <w:tc>
          <w:tcPr>
            <w:tcW w:w="2268" w:type="dxa"/>
            <w:vAlign w:val="center"/>
          </w:tcPr>
          <w:p w14:paraId="7BD901BB">
            <w:pPr>
              <w:pStyle w:val="12"/>
            </w:pPr>
            <w:r>
              <w:t>时效指标</w:t>
            </w:r>
          </w:p>
        </w:tc>
        <w:tc>
          <w:tcPr>
            <w:tcW w:w="2835" w:type="dxa"/>
            <w:vAlign w:val="center"/>
          </w:tcPr>
          <w:p w14:paraId="538C0040">
            <w:pPr>
              <w:pStyle w:val="12"/>
            </w:pPr>
            <w:r>
              <w:t>补助资金及时足额发放率</w:t>
            </w:r>
          </w:p>
        </w:tc>
        <w:tc>
          <w:tcPr>
            <w:tcW w:w="5386" w:type="dxa"/>
            <w:vAlign w:val="center"/>
          </w:tcPr>
          <w:p w14:paraId="1335E2FA">
            <w:pPr>
              <w:pStyle w:val="12"/>
            </w:pPr>
            <w:r>
              <w:t>补助资金及时足额到位率</w:t>
            </w:r>
          </w:p>
        </w:tc>
        <w:tc>
          <w:tcPr>
            <w:tcW w:w="2268" w:type="dxa"/>
            <w:vAlign w:val="center"/>
          </w:tcPr>
          <w:p w14:paraId="375F0CD6">
            <w:pPr>
              <w:pStyle w:val="12"/>
            </w:pPr>
            <w:r>
              <w:t>100%</w:t>
            </w:r>
          </w:p>
        </w:tc>
        <w:tc>
          <w:tcPr>
            <w:tcW w:w="1276" w:type="dxa"/>
            <w:vAlign w:val="center"/>
          </w:tcPr>
          <w:p w14:paraId="0E954DB1">
            <w:pPr>
              <w:pStyle w:val="12"/>
            </w:pPr>
            <w:r>
              <w:t>河北省建档立卡家庭经济困难学生资助管理暂行办法</w:t>
            </w:r>
          </w:p>
        </w:tc>
      </w:tr>
      <w:tr w14:paraId="7125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E55E9"/>
        </w:tc>
        <w:tc>
          <w:tcPr>
            <w:tcW w:w="2268" w:type="dxa"/>
            <w:vAlign w:val="center"/>
          </w:tcPr>
          <w:p w14:paraId="20F7D552">
            <w:pPr>
              <w:pStyle w:val="12"/>
            </w:pPr>
            <w:r>
              <w:t>成本指标</w:t>
            </w:r>
          </w:p>
        </w:tc>
        <w:tc>
          <w:tcPr>
            <w:tcW w:w="2835" w:type="dxa"/>
            <w:vAlign w:val="center"/>
          </w:tcPr>
          <w:p w14:paraId="0249C70F">
            <w:pPr>
              <w:pStyle w:val="12"/>
            </w:pPr>
            <w:r>
              <w:t>免学费标准</w:t>
            </w:r>
          </w:p>
        </w:tc>
        <w:tc>
          <w:tcPr>
            <w:tcW w:w="5386" w:type="dxa"/>
            <w:vAlign w:val="center"/>
          </w:tcPr>
          <w:p w14:paraId="297804F7">
            <w:pPr>
              <w:pStyle w:val="12"/>
            </w:pPr>
            <w:r>
              <w:t>普高免学费住宿费书费2800元</w:t>
            </w:r>
          </w:p>
        </w:tc>
        <w:tc>
          <w:tcPr>
            <w:tcW w:w="2268" w:type="dxa"/>
            <w:vAlign w:val="center"/>
          </w:tcPr>
          <w:p w14:paraId="68B60673">
            <w:pPr>
              <w:pStyle w:val="12"/>
            </w:pPr>
            <w:r>
              <w:t>2800元/生/年</w:t>
            </w:r>
          </w:p>
        </w:tc>
        <w:tc>
          <w:tcPr>
            <w:tcW w:w="1276" w:type="dxa"/>
            <w:vAlign w:val="center"/>
          </w:tcPr>
          <w:p w14:paraId="52634E5D">
            <w:pPr>
              <w:pStyle w:val="12"/>
            </w:pPr>
            <w:r>
              <w:t>河北省建档立卡家庭经济困难学生资助管理暂行办法</w:t>
            </w:r>
          </w:p>
        </w:tc>
      </w:tr>
      <w:tr w14:paraId="3315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804B6">
            <w:pPr>
              <w:pStyle w:val="13"/>
            </w:pPr>
            <w:r>
              <w:t>效益指标</w:t>
            </w:r>
          </w:p>
        </w:tc>
        <w:tc>
          <w:tcPr>
            <w:tcW w:w="2268" w:type="dxa"/>
            <w:vAlign w:val="center"/>
          </w:tcPr>
          <w:p w14:paraId="18D08971">
            <w:pPr>
              <w:pStyle w:val="12"/>
            </w:pPr>
            <w:r>
              <w:t>经济效益指标</w:t>
            </w:r>
          </w:p>
        </w:tc>
        <w:tc>
          <w:tcPr>
            <w:tcW w:w="2835" w:type="dxa"/>
            <w:vAlign w:val="center"/>
          </w:tcPr>
          <w:p w14:paraId="7690D4CD">
            <w:pPr>
              <w:pStyle w:val="12"/>
            </w:pPr>
            <w:r>
              <w:t>减轻家庭负担</w:t>
            </w:r>
          </w:p>
        </w:tc>
        <w:tc>
          <w:tcPr>
            <w:tcW w:w="5386" w:type="dxa"/>
            <w:vAlign w:val="center"/>
          </w:tcPr>
          <w:p w14:paraId="7FCB29C5">
            <w:pPr>
              <w:pStyle w:val="12"/>
            </w:pPr>
            <w:r>
              <w:t>减轻建档立卡家庭学生家长经济负担</w:t>
            </w:r>
          </w:p>
        </w:tc>
        <w:tc>
          <w:tcPr>
            <w:tcW w:w="2268" w:type="dxa"/>
            <w:vAlign w:val="center"/>
          </w:tcPr>
          <w:p w14:paraId="1F78008C">
            <w:pPr>
              <w:pStyle w:val="12"/>
            </w:pPr>
            <w:r>
              <w:t>100%</w:t>
            </w:r>
          </w:p>
        </w:tc>
        <w:tc>
          <w:tcPr>
            <w:tcW w:w="1276" w:type="dxa"/>
            <w:vAlign w:val="center"/>
          </w:tcPr>
          <w:p w14:paraId="67F543A2">
            <w:pPr>
              <w:pStyle w:val="12"/>
            </w:pPr>
            <w:r>
              <w:t>隆财【2017】26号</w:t>
            </w:r>
          </w:p>
        </w:tc>
      </w:tr>
      <w:tr w14:paraId="71A4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6CD39"/>
        </w:tc>
        <w:tc>
          <w:tcPr>
            <w:tcW w:w="2268" w:type="dxa"/>
            <w:vAlign w:val="center"/>
          </w:tcPr>
          <w:p w14:paraId="1EE85A5C">
            <w:pPr>
              <w:pStyle w:val="12"/>
            </w:pPr>
            <w:r>
              <w:t>社会效益指标</w:t>
            </w:r>
          </w:p>
        </w:tc>
        <w:tc>
          <w:tcPr>
            <w:tcW w:w="2835" w:type="dxa"/>
            <w:vAlign w:val="center"/>
          </w:tcPr>
          <w:p w14:paraId="42FCD9E8">
            <w:pPr>
              <w:pStyle w:val="12"/>
            </w:pPr>
            <w:r>
              <w:t>高中运转</w:t>
            </w:r>
          </w:p>
        </w:tc>
        <w:tc>
          <w:tcPr>
            <w:tcW w:w="5386" w:type="dxa"/>
            <w:vAlign w:val="center"/>
          </w:tcPr>
          <w:p w14:paraId="02AF6CC1">
            <w:pPr>
              <w:pStyle w:val="12"/>
            </w:pPr>
            <w:r>
              <w:t>高中生受教育年限</w:t>
            </w:r>
          </w:p>
        </w:tc>
        <w:tc>
          <w:tcPr>
            <w:tcW w:w="2268" w:type="dxa"/>
            <w:vAlign w:val="center"/>
          </w:tcPr>
          <w:p w14:paraId="075709D0">
            <w:pPr>
              <w:pStyle w:val="12"/>
            </w:pPr>
            <w:r>
              <w:t>3年</w:t>
            </w:r>
          </w:p>
        </w:tc>
        <w:tc>
          <w:tcPr>
            <w:tcW w:w="1276" w:type="dxa"/>
            <w:vAlign w:val="center"/>
          </w:tcPr>
          <w:p w14:paraId="59A82947">
            <w:pPr>
              <w:pStyle w:val="12"/>
            </w:pPr>
            <w:r>
              <w:t>河北省建档立卡家庭经济困难学生资助管理暂行办法</w:t>
            </w:r>
          </w:p>
        </w:tc>
      </w:tr>
      <w:tr w14:paraId="1B8B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05E06">
            <w:pPr>
              <w:pStyle w:val="13"/>
            </w:pPr>
            <w:r>
              <w:t>满意度指标</w:t>
            </w:r>
          </w:p>
        </w:tc>
        <w:tc>
          <w:tcPr>
            <w:tcW w:w="2268" w:type="dxa"/>
            <w:vAlign w:val="center"/>
          </w:tcPr>
          <w:p w14:paraId="15B615C3">
            <w:pPr>
              <w:pStyle w:val="12"/>
            </w:pPr>
            <w:r>
              <w:t>服务对象满意度指标</w:t>
            </w:r>
          </w:p>
        </w:tc>
        <w:tc>
          <w:tcPr>
            <w:tcW w:w="2835" w:type="dxa"/>
            <w:vAlign w:val="center"/>
          </w:tcPr>
          <w:p w14:paraId="1BCE0A56">
            <w:pPr>
              <w:pStyle w:val="12"/>
            </w:pPr>
            <w:r>
              <w:t>提升幸福指数</w:t>
            </w:r>
          </w:p>
        </w:tc>
        <w:tc>
          <w:tcPr>
            <w:tcW w:w="5386" w:type="dxa"/>
            <w:vAlign w:val="center"/>
          </w:tcPr>
          <w:p w14:paraId="78632FF2">
            <w:pPr>
              <w:pStyle w:val="12"/>
            </w:pPr>
            <w:r>
              <w:t>提升贫困家庭学生的幸福指数学生家长满</w:t>
            </w:r>
            <w:r>
              <w:rPr>
                <w:rFonts w:hint="eastAsia"/>
                <w:lang w:eastAsia="zh-CN"/>
              </w:rPr>
              <w:t>意度</w:t>
            </w:r>
          </w:p>
        </w:tc>
        <w:tc>
          <w:tcPr>
            <w:tcW w:w="2268" w:type="dxa"/>
            <w:vAlign w:val="center"/>
          </w:tcPr>
          <w:p w14:paraId="088B0B01">
            <w:pPr>
              <w:pStyle w:val="12"/>
            </w:pPr>
            <w:r>
              <w:t>≥95%</w:t>
            </w:r>
          </w:p>
        </w:tc>
        <w:tc>
          <w:tcPr>
            <w:tcW w:w="1276" w:type="dxa"/>
            <w:vAlign w:val="center"/>
          </w:tcPr>
          <w:p w14:paraId="18B849E3">
            <w:pPr>
              <w:pStyle w:val="12"/>
            </w:pPr>
            <w:r>
              <w:t>河北省建档立卡家庭经济困难学生资助管理暂行办法</w:t>
            </w:r>
          </w:p>
        </w:tc>
      </w:tr>
    </w:tbl>
    <w:p w14:paraId="01415F1F">
      <w:pPr>
        <w:sectPr>
          <w:pgSz w:w="16840" w:h="11900" w:orient="landscape"/>
          <w:pgMar w:top="1361" w:right="1020" w:bottom="1134" w:left="1020" w:header="720" w:footer="720" w:gutter="0"/>
          <w:cols w:space="720" w:num="1"/>
        </w:sectPr>
      </w:pPr>
    </w:p>
    <w:p w14:paraId="76C71E72">
      <w:pPr>
        <w:spacing w:before="0" w:after="0"/>
        <w:ind w:firstLine="560"/>
        <w:jc w:val="left"/>
        <w:outlineLvl w:val="9"/>
      </w:pPr>
      <w:r>
        <w:rPr>
          <w:rFonts w:ascii="方正仿宋_GBK" w:hAnsi="方正仿宋_GBK" w:eastAsia="方正仿宋_GBK" w:cs="方正仿宋_GBK"/>
          <w:b/>
          <w:color w:val="000000"/>
          <w:sz w:val="28"/>
        </w:rPr>
        <w:t>17、县级配套/2026年中职两免（职教中职）建档立卡</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13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3C749">
            <w:pPr>
              <w:pStyle w:val="11"/>
            </w:pPr>
            <w:r>
              <w:t>单位：万元</w:t>
            </w:r>
          </w:p>
        </w:tc>
      </w:tr>
      <w:tr w14:paraId="52BA4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2F8EA">
            <w:pPr>
              <w:pStyle w:val="10"/>
            </w:pPr>
            <w:r>
              <w:t>项目编码</w:t>
            </w:r>
          </w:p>
        </w:tc>
        <w:tc>
          <w:tcPr>
            <w:tcW w:w="5103" w:type="dxa"/>
            <w:gridSpan w:val="2"/>
            <w:vAlign w:val="center"/>
          </w:tcPr>
          <w:p w14:paraId="3C1A0B7F">
            <w:pPr>
              <w:pStyle w:val="12"/>
            </w:pPr>
            <w:r>
              <w:t>13052526P00876010003Q</w:t>
            </w:r>
          </w:p>
        </w:tc>
        <w:tc>
          <w:tcPr>
            <w:tcW w:w="2835" w:type="dxa"/>
            <w:vAlign w:val="center"/>
          </w:tcPr>
          <w:p w14:paraId="7E16E37D">
            <w:pPr>
              <w:pStyle w:val="10"/>
            </w:pPr>
            <w:r>
              <w:t>项目名称</w:t>
            </w:r>
          </w:p>
        </w:tc>
        <w:tc>
          <w:tcPr>
            <w:tcW w:w="6095" w:type="dxa"/>
            <w:gridSpan w:val="3"/>
            <w:vAlign w:val="center"/>
          </w:tcPr>
          <w:p w14:paraId="79F96D75">
            <w:pPr>
              <w:pStyle w:val="12"/>
            </w:pPr>
            <w:r>
              <w:t>县级配套/2026年中职两免（职教中职）建档立卡</w:t>
            </w:r>
            <w:r>
              <w:tab/>
            </w:r>
          </w:p>
        </w:tc>
      </w:tr>
      <w:tr w14:paraId="366EE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61DCF">
            <w:pPr>
              <w:pStyle w:val="10"/>
            </w:pPr>
            <w:r>
              <w:t>预算规模及资金用途</w:t>
            </w:r>
          </w:p>
        </w:tc>
        <w:tc>
          <w:tcPr>
            <w:tcW w:w="2268" w:type="dxa"/>
            <w:vAlign w:val="center"/>
          </w:tcPr>
          <w:p w14:paraId="75E730CA">
            <w:pPr>
              <w:pStyle w:val="10"/>
            </w:pPr>
            <w:r>
              <w:t>预算数</w:t>
            </w:r>
          </w:p>
        </w:tc>
        <w:tc>
          <w:tcPr>
            <w:tcW w:w="2835" w:type="dxa"/>
            <w:vAlign w:val="center"/>
          </w:tcPr>
          <w:p w14:paraId="2CA38657">
            <w:pPr>
              <w:pStyle w:val="12"/>
            </w:pPr>
            <w:r>
              <w:t>2.88</w:t>
            </w:r>
          </w:p>
        </w:tc>
        <w:tc>
          <w:tcPr>
            <w:tcW w:w="2835" w:type="dxa"/>
            <w:vAlign w:val="center"/>
          </w:tcPr>
          <w:p w14:paraId="26F0E359">
            <w:pPr>
              <w:pStyle w:val="10"/>
            </w:pPr>
            <w:r>
              <w:t>其中：财政    资金</w:t>
            </w:r>
          </w:p>
        </w:tc>
        <w:tc>
          <w:tcPr>
            <w:tcW w:w="2551" w:type="dxa"/>
            <w:vAlign w:val="center"/>
          </w:tcPr>
          <w:p w14:paraId="3AB273F6">
            <w:pPr>
              <w:pStyle w:val="12"/>
            </w:pPr>
            <w:r>
              <w:t>2.88</w:t>
            </w:r>
          </w:p>
        </w:tc>
        <w:tc>
          <w:tcPr>
            <w:tcW w:w="2268" w:type="dxa"/>
            <w:vAlign w:val="center"/>
          </w:tcPr>
          <w:p w14:paraId="72762159">
            <w:pPr>
              <w:pStyle w:val="10"/>
            </w:pPr>
            <w:r>
              <w:t>其他资金</w:t>
            </w:r>
          </w:p>
        </w:tc>
        <w:tc>
          <w:tcPr>
            <w:tcW w:w="1276" w:type="dxa"/>
            <w:vAlign w:val="center"/>
          </w:tcPr>
          <w:p w14:paraId="7807032F">
            <w:pPr>
              <w:pStyle w:val="12"/>
            </w:pPr>
            <w:r>
              <w:t xml:space="preserve"> </w:t>
            </w:r>
          </w:p>
        </w:tc>
      </w:tr>
      <w:tr w14:paraId="28736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81B7B"/>
        </w:tc>
        <w:tc>
          <w:tcPr>
            <w:tcW w:w="14033" w:type="dxa"/>
            <w:gridSpan w:val="6"/>
            <w:vAlign w:val="center"/>
          </w:tcPr>
          <w:p w14:paraId="61062121">
            <w:pPr>
              <w:pStyle w:val="12"/>
            </w:pPr>
            <w:r>
              <w:t>中职两免资金县级2026年安排2.88万元，用于减免贫困学生书费、住宿费。</w:t>
            </w:r>
          </w:p>
        </w:tc>
      </w:tr>
      <w:tr w14:paraId="20083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5C693">
            <w:pPr>
              <w:pStyle w:val="10"/>
            </w:pPr>
            <w:r>
              <w:t>资金支出计划（%）</w:t>
            </w:r>
          </w:p>
        </w:tc>
        <w:tc>
          <w:tcPr>
            <w:tcW w:w="5103" w:type="dxa"/>
            <w:gridSpan w:val="2"/>
            <w:vAlign w:val="center"/>
          </w:tcPr>
          <w:p w14:paraId="5AD46BB6">
            <w:pPr>
              <w:pStyle w:val="10"/>
            </w:pPr>
            <w:r>
              <w:t>3月底</w:t>
            </w:r>
          </w:p>
        </w:tc>
        <w:tc>
          <w:tcPr>
            <w:tcW w:w="2835" w:type="dxa"/>
            <w:vAlign w:val="center"/>
          </w:tcPr>
          <w:p w14:paraId="65846454">
            <w:pPr>
              <w:pStyle w:val="10"/>
            </w:pPr>
            <w:r>
              <w:t>6月底</w:t>
            </w:r>
          </w:p>
        </w:tc>
        <w:tc>
          <w:tcPr>
            <w:tcW w:w="2551" w:type="dxa"/>
            <w:vAlign w:val="center"/>
          </w:tcPr>
          <w:p w14:paraId="5318421C">
            <w:pPr>
              <w:pStyle w:val="10"/>
            </w:pPr>
            <w:r>
              <w:t>10月底</w:t>
            </w:r>
          </w:p>
        </w:tc>
        <w:tc>
          <w:tcPr>
            <w:tcW w:w="3544" w:type="dxa"/>
            <w:gridSpan w:val="2"/>
            <w:vAlign w:val="center"/>
          </w:tcPr>
          <w:p w14:paraId="5D5ECD16">
            <w:pPr>
              <w:pStyle w:val="10"/>
            </w:pPr>
            <w:r>
              <w:t>12月底</w:t>
            </w:r>
          </w:p>
        </w:tc>
      </w:tr>
      <w:tr w14:paraId="72B53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E3468"/>
        </w:tc>
        <w:tc>
          <w:tcPr>
            <w:tcW w:w="5103" w:type="dxa"/>
            <w:gridSpan w:val="2"/>
            <w:vAlign w:val="center"/>
          </w:tcPr>
          <w:p w14:paraId="2934C8FE">
            <w:pPr>
              <w:pStyle w:val="13"/>
            </w:pPr>
            <w:r>
              <w:t xml:space="preserve"> </w:t>
            </w:r>
          </w:p>
        </w:tc>
        <w:tc>
          <w:tcPr>
            <w:tcW w:w="2835" w:type="dxa"/>
            <w:vAlign w:val="center"/>
          </w:tcPr>
          <w:p w14:paraId="108A9EB4">
            <w:pPr>
              <w:pStyle w:val="13"/>
            </w:pPr>
            <w:r>
              <w:t>50%</w:t>
            </w:r>
          </w:p>
        </w:tc>
        <w:tc>
          <w:tcPr>
            <w:tcW w:w="2551" w:type="dxa"/>
            <w:vAlign w:val="center"/>
          </w:tcPr>
          <w:p w14:paraId="58116648">
            <w:pPr>
              <w:pStyle w:val="13"/>
            </w:pPr>
            <w:r>
              <w:t>50%</w:t>
            </w:r>
          </w:p>
        </w:tc>
        <w:tc>
          <w:tcPr>
            <w:tcW w:w="3544" w:type="dxa"/>
            <w:gridSpan w:val="2"/>
            <w:vAlign w:val="center"/>
          </w:tcPr>
          <w:p w14:paraId="7545070F">
            <w:pPr>
              <w:pStyle w:val="13"/>
            </w:pPr>
            <w:r>
              <w:t>100%</w:t>
            </w:r>
          </w:p>
        </w:tc>
      </w:tr>
      <w:tr w14:paraId="213E7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24627">
            <w:pPr>
              <w:pStyle w:val="10"/>
            </w:pPr>
            <w:r>
              <w:t>绩效目标</w:t>
            </w:r>
          </w:p>
        </w:tc>
        <w:tc>
          <w:tcPr>
            <w:tcW w:w="14033" w:type="dxa"/>
            <w:gridSpan w:val="6"/>
            <w:vAlign w:val="center"/>
          </w:tcPr>
          <w:p w14:paraId="009F8107">
            <w:pPr>
              <w:pStyle w:val="12"/>
            </w:pPr>
            <w:r>
              <w:t>1.中职两免资金县级2026年安排2.88万元，用于减免贫困学生书费、住宿费。</w:t>
            </w:r>
          </w:p>
        </w:tc>
      </w:tr>
    </w:tbl>
    <w:p w14:paraId="40DCF8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B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D6829">
            <w:pPr>
              <w:pStyle w:val="10"/>
            </w:pPr>
            <w:r>
              <w:t>一级指标</w:t>
            </w:r>
          </w:p>
        </w:tc>
        <w:tc>
          <w:tcPr>
            <w:tcW w:w="2268" w:type="dxa"/>
            <w:vAlign w:val="center"/>
          </w:tcPr>
          <w:p w14:paraId="54D5C55A">
            <w:pPr>
              <w:pStyle w:val="10"/>
            </w:pPr>
            <w:r>
              <w:t>二级指标</w:t>
            </w:r>
          </w:p>
        </w:tc>
        <w:tc>
          <w:tcPr>
            <w:tcW w:w="2835" w:type="dxa"/>
            <w:vAlign w:val="center"/>
          </w:tcPr>
          <w:p w14:paraId="32EC9853">
            <w:pPr>
              <w:pStyle w:val="10"/>
            </w:pPr>
            <w:r>
              <w:t>三级指标</w:t>
            </w:r>
          </w:p>
        </w:tc>
        <w:tc>
          <w:tcPr>
            <w:tcW w:w="5386" w:type="dxa"/>
            <w:vAlign w:val="center"/>
          </w:tcPr>
          <w:p w14:paraId="6AB54DF2">
            <w:pPr>
              <w:pStyle w:val="10"/>
            </w:pPr>
            <w:r>
              <w:t>绩效指标描述</w:t>
            </w:r>
          </w:p>
        </w:tc>
        <w:tc>
          <w:tcPr>
            <w:tcW w:w="2268" w:type="dxa"/>
            <w:vAlign w:val="center"/>
          </w:tcPr>
          <w:p w14:paraId="4531E0C4">
            <w:pPr>
              <w:pStyle w:val="10"/>
            </w:pPr>
            <w:r>
              <w:t>指标值</w:t>
            </w:r>
          </w:p>
        </w:tc>
        <w:tc>
          <w:tcPr>
            <w:tcW w:w="1276" w:type="dxa"/>
            <w:vAlign w:val="center"/>
          </w:tcPr>
          <w:p w14:paraId="079DC272">
            <w:pPr>
              <w:pStyle w:val="10"/>
            </w:pPr>
            <w:r>
              <w:t>指标值确定依据</w:t>
            </w:r>
          </w:p>
        </w:tc>
      </w:tr>
      <w:tr w14:paraId="1E89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65634">
            <w:pPr>
              <w:pStyle w:val="13"/>
            </w:pPr>
            <w:r>
              <w:t>产出指标</w:t>
            </w:r>
          </w:p>
        </w:tc>
        <w:tc>
          <w:tcPr>
            <w:tcW w:w="2268" w:type="dxa"/>
            <w:vAlign w:val="center"/>
          </w:tcPr>
          <w:p w14:paraId="1B522422">
            <w:pPr>
              <w:pStyle w:val="12"/>
            </w:pPr>
            <w:r>
              <w:t>数量指标</w:t>
            </w:r>
          </w:p>
        </w:tc>
        <w:tc>
          <w:tcPr>
            <w:tcW w:w="2835" w:type="dxa"/>
            <w:vAlign w:val="center"/>
          </w:tcPr>
          <w:p w14:paraId="524AFFE1">
            <w:pPr>
              <w:pStyle w:val="12"/>
            </w:pPr>
            <w:r>
              <w:t>中职享受三免人数</w:t>
            </w:r>
          </w:p>
        </w:tc>
        <w:tc>
          <w:tcPr>
            <w:tcW w:w="5386" w:type="dxa"/>
            <w:vAlign w:val="center"/>
          </w:tcPr>
          <w:p w14:paraId="77131820">
            <w:pPr>
              <w:pStyle w:val="12"/>
            </w:pPr>
            <w:r>
              <w:t>中职享受住宿费书费人数</w:t>
            </w:r>
          </w:p>
        </w:tc>
        <w:tc>
          <w:tcPr>
            <w:tcW w:w="2268" w:type="dxa"/>
            <w:vAlign w:val="center"/>
          </w:tcPr>
          <w:p w14:paraId="0FD71F75">
            <w:pPr>
              <w:pStyle w:val="12"/>
            </w:pPr>
            <w:r>
              <w:t>31人</w:t>
            </w:r>
          </w:p>
        </w:tc>
        <w:tc>
          <w:tcPr>
            <w:tcW w:w="1276" w:type="dxa"/>
            <w:vAlign w:val="center"/>
          </w:tcPr>
          <w:p w14:paraId="58384E4F">
            <w:pPr>
              <w:pStyle w:val="12"/>
            </w:pPr>
            <w:r>
              <w:t>河北省建档立卡家庭经济困难学生资助管理暂行办法</w:t>
            </w:r>
          </w:p>
          <w:p w14:paraId="720E1F32">
            <w:pPr>
              <w:pStyle w:val="12"/>
            </w:pPr>
          </w:p>
        </w:tc>
      </w:tr>
      <w:tr w14:paraId="2D920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15B39"/>
        </w:tc>
        <w:tc>
          <w:tcPr>
            <w:tcW w:w="2268" w:type="dxa"/>
            <w:vAlign w:val="center"/>
          </w:tcPr>
          <w:p w14:paraId="43FA45AC">
            <w:pPr>
              <w:pStyle w:val="12"/>
            </w:pPr>
            <w:r>
              <w:t>质量指标</w:t>
            </w:r>
          </w:p>
        </w:tc>
        <w:tc>
          <w:tcPr>
            <w:tcW w:w="2835" w:type="dxa"/>
            <w:vAlign w:val="center"/>
          </w:tcPr>
          <w:p w14:paraId="6D335A68">
            <w:pPr>
              <w:pStyle w:val="12"/>
            </w:pPr>
            <w:r>
              <w:t>完成中职两免资金发放工作</w:t>
            </w:r>
          </w:p>
        </w:tc>
        <w:tc>
          <w:tcPr>
            <w:tcW w:w="5386" w:type="dxa"/>
            <w:vAlign w:val="center"/>
          </w:tcPr>
          <w:p w14:paraId="6850FAB9">
            <w:pPr>
              <w:pStyle w:val="12"/>
            </w:pPr>
            <w:r>
              <w:t>中职两免为建档立卡学生</w:t>
            </w:r>
          </w:p>
        </w:tc>
        <w:tc>
          <w:tcPr>
            <w:tcW w:w="2268" w:type="dxa"/>
            <w:vAlign w:val="center"/>
          </w:tcPr>
          <w:p w14:paraId="50BC1243">
            <w:pPr>
              <w:pStyle w:val="12"/>
            </w:pPr>
            <w:r>
              <w:t>100%</w:t>
            </w:r>
          </w:p>
        </w:tc>
        <w:tc>
          <w:tcPr>
            <w:tcW w:w="1276" w:type="dxa"/>
            <w:vAlign w:val="center"/>
          </w:tcPr>
          <w:p w14:paraId="6EA6F014">
            <w:pPr>
              <w:pStyle w:val="12"/>
            </w:pPr>
            <w:r>
              <w:t>河北省建档立卡家庭经济困难学生资助管理暂行办法</w:t>
            </w:r>
          </w:p>
        </w:tc>
      </w:tr>
      <w:tr w14:paraId="17BE0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19AA5"/>
        </w:tc>
        <w:tc>
          <w:tcPr>
            <w:tcW w:w="2268" w:type="dxa"/>
            <w:vAlign w:val="center"/>
          </w:tcPr>
          <w:p w14:paraId="5E6FE867">
            <w:pPr>
              <w:pStyle w:val="12"/>
            </w:pPr>
            <w:r>
              <w:t>时效指标</w:t>
            </w:r>
          </w:p>
        </w:tc>
        <w:tc>
          <w:tcPr>
            <w:tcW w:w="2835" w:type="dxa"/>
            <w:vAlign w:val="center"/>
          </w:tcPr>
          <w:p w14:paraId="5191B786">
            <w:pPr>
              <w:pStyle w:val="12"/>
            </w:pPr>
            <w:r>
              <w:t>补助资金及时足额发放率</w:t>
            </w:r>
          </w:p>
        </w:tc>
        <w:tc>
          <w:tcPr>
            <w:tcW w:w="5386" w:type="dxa"/>
            <w:vAlign w:val="center"/>
          </w:tcPr>
          <w:p w14:paraId="4AFFDAE1">
            <w:pPr>
              <w:pStyle w:val="12"/>
            </w:pPr>
            <w:r>
              <w:t>补助资金及时足额到位率</w:t>
            </w:r>
          </w:p>
        </w:tc>
        <w:tc>
          <w:tcPr>
            <w:tcW w:w="2268" w:type="dxa"/>
            <w:vAlign w:val="center"/>
          </w:tcPr>
          <w:p w14:paraId="1B33F02E">
            <w:pPr>
              <w:pStyle w:val="12"/>
            </w:pPr>
            <w:r>
              <w:t>100%</w:t>
            </w:r>
          </w:p>
        </w:tc>
        <w:tc>
          <w:tcPr>
            <w:tcW w:w="1276" w:type="dxa"/>
            <w:vAlign w:val="center"/>
          </w:tcPr>
          <w:p w14:paraId="08FB4734">
            <w:pPr>
              <w:pStyle w:val="12"/>
            </w:pPr>
            <w:r>
              <w:t>河北省建档立卡家庭经济困难学生资助管理暂行办法</w:t>
            </w:r>
          </w:p>
        </w:tc>
      </w:tr>
      <w:tr w14:paraId="15B4B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495B9"/>
        </w:tc>
        <w:tc>
          <w:tcPr>
            <w:tcW w:w="2268" w:type="dxa"/>
            <w:vAlign w:val="center"/>
          </w:tcPr>
          <w:p w14:paraId="7DDAE95D">
            <w:pPr>
              <w:pStyle w:val="12"/>
            </w:pPr>
            <w:r>
              <w:t>成本指标</w:t>
            </w:r>
          </w:p>
        </w:tc>
        <w:tc>
          <w:tcPr>
            <w:tcW w:w="2835" w:type="dxa"/>
            <w:vAlign w:val="center"/>
          </w:tcPr>
          <w:p w14:paraId="6F0DBECE">
            <w:pPr>
              <w:pStyle w:val="12"/>
            </w:pPr>
            <w:r>
              <w:t>免费标准</w:t>
            </w:r>
          </w:p>
        </w:tc>
        <w:tc>
          <w:tcPr>
            <w:tcW w:w="5386" w:type="dxa"/>
            <w:vAlign w:val="center"/>
          </w:tcPr>
          <w:p w14:paraId="6E824FB2">
            <w:pPr>
              <w:pStyle w:val="12"/>
            </w:pPr>
            <w:r>
              <w:t>中职住宿费书费800元</w:t>
            </w:r>
          </w:p>
        </w:tc>
        <w:tc>
          <w:tcPr>
            <w:tcW w:w="2268" w:type="dxa"/>
            <w:vAlign w:val="center"/>
          </w:tcPr>
          <w:p w14:paraId="073A45CD">
            <w:pPr>
              <w:pStyle w:val="12"/>
            </w:pPr>
            <w:r>
              <w:t>800/元生/年</w:t>
            </w:r>
          </w:p>
        </w:tc>
        <w:tc>
          <w:tcPr>
            <w:tcW w:w="1276" w:type="dxa"/>
            <w:vAlign w:val="center"/>
          </w:tcPr>
          <w:p w14:paraId="3C57260A">
            <w:pPr>
              <w:pStyle w:val="12"/>
            </w:pPr>
            <w:r>
              <w:t>河北省建档立卡家庭经济困难学生资助管理暂行办法</w:t>
            </w:r>
          </w:p>
        </w:tc>
      </w:tr>
      <w:tr w14:paraId="0C8C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1B720">
            <w:pPr>
              <w:pStyle w:val="13"/>
            </w:pPr>
            <w:r>
              <w:t>效益指标</w:t>
            </w:r>
          </w:p>
        </w:tc>
        <w:tc>
          <w:tcPr>
            <w:tcW w:w="2268" w:type="dxa"/>
            <w:vAlign w:val="center"/>
          </w:tcPr>
          <w:p w14:paraId="16F89527">
            <w:pPr>
              <w:pStyle w:val="12"/>
            </w:pPr>
            <w:r>
              <w:t>经济效益指标</w:t>
            </w:r>
          </w:p>
        </w:tc>
        <w:tc>
          <w:tcPr>
            <w:tcW w:w="2835" w:type="dxa"/>
            <w:vAlign w:val="center"/>
          </w:tcPr>
          <w:p w14:paraId="697FE2F6">
            <w:pPr>
              <w:pStyle w:val="12"/>
            </w:pPr>
            <w:r>
              <w:t>减轻家庭负担</w:t>
            </w:r>
          </w:p>
        </w:tc>
        <w:tc>
          <w:tcPr>
            <w:tcW w:w="5386" w:type="dxa"/>
            <w:vAlign w:val="center"/>
          </w:tcPr>
          <w:p w14:paraId="336D077B">
            <w:pPr>
              <w:pStyle w:val="12"/>
            </w:pPr>
            <w:r>
              <w:t>减轻贫困家庭经济负担</w:t>
            </w:r>
          </w:p>
        </w:tc>
        <w:tc>
          <w:tcPr>
            <w:tcW w:w="2268" w:type="dxa"/>
            <w:vAlign w:val="center"/>
          </w:tcPr>
          <w:p w14:paraId="5B746CC5">
            <w:pPr>
              <w:pStyle w:val="12"/>
            </w:pPr>
            <w:r>
              <w:t>≥98%</w:t>
            </w:r>
          </w:p>
        </w:tc>
        <w:tc>
          <w:tcPr>
            <w:tcW w:w="1276" w:type="dxa"/>
            <w:vAlign w:val="center"/>
          </w:tcPr>
          <w:p w14:paraId="6EC39C55">
            <w:pPr>
              <w:pStyle w:val="12"/>
            </w:pPr>
            <w:r>
              <w:t>河北省建档立卡家庭经济困难学生资助管理暂行办法</w:t>
            </w:r>
          </w:p>
        </w:tc>
      </w:tr>
      <w:tr w14:paraId="322D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A5264"/>
        </w:tc>
        <w:tc>
          <w:tcPr>
            <w:tcW w:w="2268" w:type="dxa"/>
            <w:vAlign w:val="center"/>
          </w:tcPr>
          <w:p w14:paraId="398BC133">
            <w:pPr>
              <w:pStyle w:val="12"/>
            </w:pPr>
            <w:r>
              <w:t>社会效益指标</w:t>
            </w:r>
          </w:p>
        </w:tc>
        <w:tc>
          <w:tcPr>
            <w:tcW w:w="2835" w:type="dxa"/>
            <w:vAlign w:val="center"/>
          </w:tcPr>
          <w:p w14:paraId="26ECF42E">
            <w:pPr>
              <w:pStyle w:val="12"/>
            </w:pPr>
            <w:r>
              <w:t>中职运转</w:t>
            </w:r>
          </w:p>
        </w:tc>
        <w:tc>
          <w:tcPr>
            <w:tcW w:w="5386" w:type="dxa"/>
            <w:vAlign w:val="center"/>
          </w:tcPr>
          <w:p w14:paraId="5818269B">
            <w:pPr>
              <w:pStyle w:val="12"/>
            </w:pPr>
            <w:r>
              <w:t>中职受教育年限</w:t>
            </w:r>
          </w:p>
        </w:tc>
        <w:tc>
          <w:tcPr>
            <w:tcW w:w="2268" w:type="dxa"/>
            <w:vAlign w:val="center"/>
          </w:tcPr>
          <w:p w14:paraId="6D1BFF16">
            <w:pPr>
              <w:pStyle w:val="12"/>
            </w:pPr>
            <w:r>
              <w:t>3年</w:t>
            </w:r>
          </w:p>
        </w:tc>
        <w:tc>
          <w:tcPr>
            <w:tcW w:w="1276" w:type="dxa"/>
            <w:vAlign w:val="center"/>
          </w:tcPr>
          <w:p w14:paraId="329DE806">
            <w:pPr>
              <w:pStyle w:val="12"/>
            </w:pPr>
            <w:r>
              <w:t>河北省建档立卡家庭经济困难学生资助管理暂行办法</w:t>
            </w:r>
          </w:p>
        </w:tc>
      </w:tr>
      <w:tr w14:paraId="1DC3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531D6">
            <w:pPr>
              <w:pStyle w:val="13"/>
            </w:pPr>
            <w:r>
              <w:t>满意度指标</w:t>
            </w:r>
          </w:p>
        </w:tc>
        <w:tc>
          <w:tcPr>
            <w:tcW w:w="2268" w:type="dxa"/>
            <w:vAlign w:val="center"/>
          </w:tcPr>
          <w:p w14:paraId="2D6207CE">
            <w:pPr>
              <w:pStyle w:val="12"/>
            </w:pPr>
            <w:r>
              <w:t>服务对象满意度指标</w:t>
            </w:r>
          </w:p>
        </w:tc>
        <w:tc>
          <w:tcPr>
            <w:tcW w:w="2835" w:type="dxa"/>
            <w:vAlign w:val="center"/>
          </w:tcPr>
          <w:p w14:paraId="1F09E72F">
            <w:pPr>
              <w:pStyle w:val="12"/>
            </w:pPr>
            <w:r>
              <w:t>提升幸福指数</w:t>
            </w:r>
          </w:p>
        </w:tc>
        <w:tc>
          <w:tcPr>
            <w:tcW w:w="5386" w:type="dxa"/>
            <w:vAlign w:val="center"/>
          </w:tcPr>
          <w:p w14:paraId="5221843C">
            <w:pPr>
              <w:pStyle w:val="12"/>
            </w:pPr>
            <w:r>
              <w:t>提升贫困家庭学生的幸福指数学生家长满</w:t>
            </w:r>
            <w:r>
              <w:rPr>
                <w:rFonts w:hint="eastAsia"/>
                <w:lang w:eastAsia="zh-CN"/>
              </w:rPr>
              <w:t>意度</w:t>
            </w:r>
          </w:p>
        </w:tc>
        <w:tc>
          <w:tcPr>
            <w:tcW w:w="2268" w:type="dxa"/>
            <w:vAlign w:val="center"/>
          </w:tcPr>
          <w:p w14:paraId="7ADCB3CC">
            <w:pPr>
              <w:pStyle w:val="12"/>
            </w:pPr>
            <w:r>
              <w:t>≥95%</w:t>
            </w:r>
          </w:p>
        </w:tc>
        <w:tc>
          <w:tcPr>
            <w:tcW w:w="1276" w:type="dxa"/>
            <w:vAlign w:val="center"/>
          </w:tcPr>
          <w:p w14:paraId="51C33A3A">
            <w:pPr>
              <w:pStyle w:val="12"/>
            </w:pPr>
            <w:r>
              <w:t>河北省建档立卡家庭经济困难学生资助管理暂行办法</w:t>
            </w:r>
          </w:p>
        </w:tc>
      </w:tr>
    </w:tbl>
    <w:p w14:paraId="61BD67DA">
      <w:pPr>
        <w:sectPr>
          <w:pgSz w:w="16840" w:h="11900" w:orient="landscape"/>
          <w:pgMar w:top="1361" w:right="1020" w:bottom="1134" w:left="1020" w:header="720" w:footer="720" w:gutter="0"/>
          <w:cols w:space="720" w:num="1"/>
        </w:sectPr>
      </w:pPr>
    </w:p>
    <w:p w14:paraId="23064E16">
      <w:pPr>
        <w:spacing w:before="0" w:after="0"/>
        <w:ind w:firstLine="560"/>
        <w:jc w:val="left"/>
        <w:outlineLvl w:val="9"/>
      </w:pPr>
      <w:r>
        <w:rPr>
          <w:rFonts w:ascii="方正仿宋_GBK" w:hAnsi="方正仿宋_GBK" w:eastAsia="方正仿宋_GBK" w:cs="方正仿宋_GBK"/>
          <w:b/>
          <w:color w:val="000000"/>
          <w:sz w:val="28"/>
        </w:rPr>
        <w:t>18、县级配套/2026年中职免学费（职教中职）绩效目标表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B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252DC">
            <w:pPr>
              <w:pStyle w:val="11"/>
            </w:pPr>
            <w:r>
              <w:t>单位：万元</w:t>
            </w:r>
          </w:p>
        </w:tc>
      </w:tr>
      <w:tr w14:paraId="12292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A337E">
            <w:pPr>
              <w:pStyle w:val="10"/>
            </w:pPr>
            <w:r>
              <w:t>项目编码</w:t>
            </w:r>
          </w:p>
        </w:tc>
        <w:tc>
          <w:tcPr>
            <w:tcW w:w="5103" w:type="dxa"/>
            <w:gridSpan w:val="2"/>
            <w:vAlign w:val="center"/>
          </w:tcPr>
          <w:p w14:paraId="54489A32">
            <w:pPr>
              <w:pStyle w:val="12"/>
            </w:pPr>
            <w:r>
              <w:t>13052526P000014100263</w:t>
            </w:r>
          </w:p>
        </w:tc>
        <w:tc>
          <w:tcPr>
            <w:tcW w:w="2835" w:type="dxa"/>
            <w:vAlign w:val="center"/>
          </w:tcPr>
          <w:p w14:paraId="52F12E66">
            <w:pPr>
              <w:pStyle w:val="10"/>
            </w:pPr>
            <w:r>
              <w:t>项目名称</w:t>
            </w:r>
          </w:p>
        </w:tc>
        <w:tc>
          <w:tcPr>
            <w:tcW w:w="6095" w:type="dxa"/>
            <w:gridSpan w:val="3"/>
            <w:vAlign w:val="center"/>
          </w:tcPr>
          <w:p w14:paraId="53030052">
            <w:pPr>
              <w:pStyle w:val="12"/>
            </w:pPr>
            <w:r>
              <w:t>县级配套/2026年中职免学费（职教中职）</w:t>
            </w:r>
          </w:p>
        </w:tc>
      </w:tr>
      <w:tr w14:paraId="7728F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F720F">
            <w:pPr>
              <w:pStyle w:val="10"/>
            </w:pPr>
            <w:r>
              <w:t>预算规模及资金用途</w:t>
            </w:r>
          </w:p>
        </w:tc>
        <w:tc>
          <w:tcPr>
            <w:tcW w:w="2268" w:type="dxa"/>
            <w:vAlign w:val="center"/>
          </w:tcPr>
          <w:p w14:paraId="3C6A4845">
            <w:pPr>
              <w:pStyle w:val="10"/>
            </w:pPr>
            <w:r>
              <w:t>预算数</w:t>
            </w:r>
          </w:p>
        </w:tc>
        <w:tc>
          <w:tcPr>
            <w:tcW w:w="2835" w:type="dxa"/>
            <w:vAlign w:val="center"/>
          </w:tcPr>
          <w:p w14:paraId="466CDA21">
            <w:pPr>
              <w:pStyle w:val="12"/>
            </w:pPr>
            <w:r>
              <w:t>68.00</w:t>
            </w:r>
          </w:p>
        </w:tc>
        <w:tc>
          <w:tcPr>
            <w:tcW w:w="2835" w:type="dxa"/>
            <w:vAlign w:val="center"/>
          </w:tcPr>
          <w:p w14:paraId="44A07CF8">
            <w:pPr>
              <w:pStyle w:val="10"/>
            </w:pPr>
            <w:r>
              <w:t>其中：财政    资金</w:t>
            </w:r>
          </w:p>
        </w:tc>
        <w:tc>
          <w:tcPr>
            <w:tcW w:w="2551" w:type="dxa"/>
            <w:vAlign w:val="center"/>
          </w:tcPr>
          <w:p w14:paraId="284361E5">
            <w:pPr>
              <w:pStyle w:val="12"/>
            </w:pPr>
            <w:r>
              <w:t>68.00</w:t>
            </w:r>
          </w:p>
        </w:tc>
        <w:tc>
          <w:tcPr>
            <w:tcW w:w="2268" w:type="dxa"/>
            <w:vAlign w:val="center"/>
          </w:tcPr>
          <w:p w14:paraId="0B31A2E7">
            <w:pPr>
              <w:pStyle w:val="10"/>
            </w:pPr>
            <w:r>
              <w:t>其他资金</w:t>
            </w:r>
          </w:p>
        </w:tc>
        <w:tc>
          <w:tcPr>
            <w:tcW w:w="1276" w:type="dxa"/>
            <w:vAlign w:val="center"/>
          </w:tcPr>
          <w:p w14:paraId="37F3CE11">
            <w:pPr>
              <w:pStyle w:val="12"/>
            </w:pPr>
            <w:r>
              <w:t xml:space="preserve"> </w:t>
            </w:r>
          </w:p>
        </w:tc>
      </w:tr>
      <w:tr w14:paraId="062EC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2E661"/>
        </w:tc>
        <w:tc>
          <w:tcPr>
            <w:tcW w:w="14033" w:type="dxa"/>
            <w:gridSpan w:val="6"/>
            <w:vAlign w:val="center"/>
          </w:tcPr>
          <w:p w14:paraId="7E5031A1">
            <w:pPr>
              <w:pStyle w:val="12"/>
            </w:pPr>
            <w:r>
              <w:t>2026年中职免学费县级安排68万元，用于减免涉农专业贫困学生及其他专业贫困学生学费后弥补办公经费不足。</w:t>
            </w:r>
          </w:p>
        </w:tc>
      </w:tr>
      <w:tr w14:paraId="3AB3D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05472">
            <w:pPr>
              <w:pStyle w:val="10"/>
            </w:pPr>
            <w:r>
              <w:t>资金支出计划（%）</w:t>
            </w:r>
          </w:p>
        </w:tc>
        <w:tc>
          <w:tcPr>
            <w:tcW w:w="5103" w:type="dxa"/>
            <w:gridSpan w:val="2"/>
            <w:vAlign w:val="center"/>
          </w:tcPr>
          <w:p w14:paraId="01D3E516">
            <w:pPr>
              <w:pStyle w:val="10"/>
            </w:pPr>
            <w:r>
              <w:t>3月底</w:t>
            </w:r>
          </w:p>
        </w:tc>
        <w:tc>
          <w:tcPr>
            <w:tcW w:w="2835" w:type="dxa"/>
            <w:vAlign w:val="center"/>
          </w:tcPr>
          <w:p w14:paraId="1920A942">
            <w:pPr>
              <w:pStyle w:val="10"/>
            </w:pPr>
            <w:r>
              <w:t>6月底</w:t>
            </w:r>
          </w:p>
        </w:tc>
        <w:tc>
          <w:tcPr>
            <w:tcW w:w="2551" w:type="dxa"/>
            <w:vAlign w:val="center"/>
          </w:tcPr>
          <w:p w14:paraId="1CDC5AA8">
            <w:pPr>
              <w:pStyle w:val="10"/>
            </w:pPr>
            <w:r>
              <w:t>10月底</w:t>
            </w:r>
          </w:p>
        </w:tc>
        <w:tc>
          <w:tcPr>
            <w:tcW w:w="3544" w:type="dxa"/>
            <w:gridSpan w:val="2"/>
            <w:vAlign w:val="center"/>
          </w:tcPr>
          <w:p w14:paraId="5E4BB48D">
            <w:pPr>
              <w:pStyle w:val="10"/>
            </w:pPr>
            <w:r>
              <w:t>12月底</w:t>
            </w:r>
          </w:p>
        </w:tc>
      </w:tr>
      <w:tr w14:paraId="0AFBD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F1CC2"/>
        </w:tc>
        <w:tc>
          <w:tcPr>
            <w:tcW w:w="5103" w:type="dxa"/>
            <w:gridSpan w:val="2"/>
            <w:vAlign w:val="center"/>
          </w:tcPr>
          <w:p w14:paraId="3E375ACA">
            <w:pPr>
              <w:pStyle w:val="13"/>
            </w:pPr>
            <w:r>
              <w:t xml:space="preserve"> </w:t>
            </w:r>
          </w:p>
        </w:tc>
        <w:tc>
          <w:tcPr>
            <w:tcW w:w="2835" w:type="dxa"/>
            <w:vAlign w:val="center"/>
          </w:tcPr>
          <w:p w14:paraId="6C91D79B">
            <w:pPr>
              <w:pStyle w:val="13"/>
            </w:pPr>
            <w:r>
              <w:t>50%</w:t>
            </w:r>
          </w:p>
        </w:tc>
        <w:tc>
          <w:tcPr>
            <w:tcW w:w="2551" w:type="dxa"/>
            <w:vAlign w:val="center"/>
          </w:tcPr>
          <w:p w14:paraId="566DA107">
            <w:pPr>
              <w:pStyle w:val="13"/>
            </w:pPr>
            <w:r>
              <w:t>50%</w:t>
            </w:r>
          </w:p>
        </w:tc>
        <w:tc>
          <w:tcPr>
            <w:tcW w:w="3544" w:type="dxa"/>
            <w:gridSpan w:val="2"/>
            <w:vAlign w:val="center"/>
          </w:tcPr>
          <w:p w14:paraId="25389A0C">
            <w:pPr>
              <w:pStyle w:val="13"/>
            </w:pPr>
            <w:r>
              <w:t>100%</w:t>
            </w:r>
          </w:p>
        </w:tc>
      </w:tr>
      <w:tr w14:paraId="2EFED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BEF46">
            <w:pPr>
              <w:pStyle w:val="10"/>
            </w:pPr>
            <w:r>
              <w:t>绩效目标</w:t>
            </w:r>
          </w:p>
        </w:tc>
        <w:tc>
          <w:tcPr>
            <w:tcW w:w="14033" w:type="dxa"/>
            <w:gridSpan w:val="6"/>
            <w:vAlign w:val="center"/>
          </w:tcPr>
          <w:p w14:paraId="71C15F6F">
            <w:pPr>
              <w:pStyle w:val="12"/>
            </w:pPr>
            <w:r>
              <w:t>1.2026年中职免学费县级安排68万元，用于减免涉农专业贫困学生及其他专业贫困学生学费后弥补办公经费不足。</w:t>
            </w:r>
          </w:p>
        </w:tc>
      </w:tr>
    </w:tbl>
    <w:p w14:paraId="12F45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6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94593">
            <w:pPr>
              <w:pStyle w:val="10"/>
            </w:pPr>
            <w:r>
              <w:t>一级指标</w:t>
            </w:r>
          </w:p>
        </w:tc>
        <w:tc>
          <w:tcPr>
            <w:tcW w:w="2268" w:type="dxa"/>
            <w:vAlign w:val="center"/>
          </w:tcPr>
          <w:p w14:paraId="73CD15B4">
            <w:pPr>
              <w:pStyle w:val="10"/>
            </w:pPr>
            <w:r>
              <w:t>二级指标</w:t>
            </w:r>
          </w:p>
        </w:tc>
        <w:tc>
          <w:tcPr>
            <w:tcW w:w="2835" w:type="dxa"/>
            <w:vAlign w:val="center"/>
          </w:tcPr>
          <w:p w14:paraId="3BB14879">
            <w:pPr>
              <w:pStyle w:val="10"/>
            </w:pPr>
            <w:r>
              <w:t>三级指标</w:t>
            </w:r>
          </w:p>
        </w:tc>
        <w:tc>
          <w:tcPr>
            <w:tcW w:w="5386" w:type="dxa"/>
            <w:vAlign w:val="center"/>
          </w:tcPr>
          <w:p w14:paraId="653913E0">
            <w:pPr>
              <w:pStyle w:val="10"/>
            </w:pPr>
            <w:r>
              <w:t>绩效指标描述</w:t>
            </w:r>
          </w:p>
        </w:tc>
        <w:tc>
          <w:tcPr>
            <w:tcW w:w="2268" w:type="dxa"/>
            <w:vAlign w:val="center"/>
          </w:tcPr>
          <w:p w14:paraId="27387E8E">
            <w:pPr>
              <w:pStyle w:val="10"/>
            </w:pPr>
            <w:r>
              <w:t>指标值</w:t>
            </w:r>
          </w:p>
        </w:tc>
        <w:tc>
          <w:tcPr>
            <w:tcW w:w="1276" w:type="dxa"/>
            <w:vAlign w:val="center"/>
          </w:tcPr>
          <w:p w14:paraId="42E7193F">
            <w:pPr>
              <w:pStyle w:val="10"/>
            </w:pPr>
            <w:r>
              <w:t>指标值确定依据</w:t>
            </w:r>
          </w:p>
        </w:tc>
      </w:tr>
      <w:tr w14:paraId="4141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650DA">
            <w:pPr>
              <w:pStyle w:val="13"/>
            </w:pPr>
            <w:r>
              <w:t>产出指标</w:t>
            </w:r>
          </w:p>
        </w:tc>
        <w:tc>
          <w:tcPr>
            <w:tcW w:w="2268" w:type="dxa"/>
            <w:vAlign w:val="center"/>
          </w:tcPr>
          <w:p w14:paraId="5DE4CE26">
            <w:pPr>
              <w:pStyle w:val="12"/>
            </w:pPr>
            <w:r>
              <w:t>数量指标</w:t>
            </w:r>
          </w:p>
        </w:tc>
        <w:tc>
          <w:tcPr>
            <w:tcW w:w="2835" w:type="dxa"/>
            <w:vAlign w:val="center"/>
          </w:tcPr>
          <w:p w14:paraId="1308755B">
            <w:pPr>
              <w:pStyle w:val="12"/>
            </w:pPr>
            <w:r>
              <w:t>免学费补助人数</w:t>
            </w:r>
          </w:p>
        </w:tc>
        <w:tc>
          <w:tcPr>
            <w:tcW w:w="5386" w:type="dxa"/>
            <w:vAlign w:val="center"/>
          </w:tcPr>
          <w:p w14:paraId="42CEDC27">
            <w:pPr>
              <w:pStyle w:val="12"/>
            </w:pPr>
            <w:r>
              <w:t>免学费补助人数</w:t>
            </w:r>
          </w:p>
        </w:tc>
        <w:tc>
          <w:tcPr>
            <w:tcW w:w="2268" w:type="dxa"/>
            <w:vAlign w:val="center"/>
          </w:tcPr>
          <w:p w14:paraId="789DDBD0">
            <w:pPr>
              <w:pStyle w:val="12"/>
            </w:pPr>
            <w:r>
              <w:t>1480人</w:t>
            </w:r>
          </w:p>
        </w:tc>
        <w:tc>
          <w:tcPr>
            <w:tcW w:w="1276" w:type="dxa"/>
            <w:vAlign w:val="center"/>
          </w:tcPr>
          <w:p w14:paraId="395C8977">
            <w:pPr>
              <w:pStyle w:val="12"/>
            </w:pPr>
            <w:r>
              <w:t>年度预算</w:t>
            </w:r>
          </w:p>
        </w:tc>
      </w:tr>
      <w:tr w14:paraId="2A47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378A7"/>
        </w:tc>
        <w:tc>
          <w:tcPr>
            <w:tcW w:w="2268" w:type="dxa"/>
            <w:vAlign w:val="center"/>
          </w:tcPr>
          <w:p w14:paraId="4F74A1BE">
            <w:pPr>
              <w:pStyle w:val="12"/>
            </w:pPr>
            <w:r>
              <w:t>质量指标</w:t>
            </w:r>
          </w:p>
        </w:tc>
        <w:tc>
          <w:tcPr>
            <w:tcW w:w="2835" w:type="dxa"/>
            <w:vAlign w:val="center"/>
          </w:tcPr>
          <w:p w14:paraId="7421EB14">
            <w:pPr>
              <w:pStyle w:val="12"/>
            </w:pPr>
            <w:r>
              <w:t>免学费全覆盖</w:t>
            </w:r>
          </w:p>
        </w:tc>
        <w:tc>
          <w:tcPr>
            <w:tcW w:w="5386" w:type="dxa"/>
            <w:vAlign w:val="center"/>
          </w:tcPr>
          <w:p w14:paraId="0703EFCC">
            <w:pPr>
              <w:pStyle w:val="12"/>
            </w:pPr>
            <w:r>
              <w:t>免学费一、二、三年级中职生</w:t>
            </w:r>
          </w:p>
        </w:tc>
        <w:tc>
          <w:tcPr>
            <w:tcW w:w="2268" w:type="dxa"/>
            <w:vAlign w:val="center"/>
          </w:tcPr>
          <w:p w14:paraId="103B409F">
            <w:pPr>
              <w:pStyle w:val="12"/>
            </w:pPr>
            <w:r>
              <w:t>100%</w:t>
            </w:r>
          </w:p>
        </w:tc>
        <w:tc>
          <w:tcPr>
            <w:tcW w:w="1276" w:type="dxa"/>
            <w:vAlign w:val="center"/>
          </w:tcPr>
          <w:p w14:paraId="1CB9BB57">
            <w:pPr>
              <w:pStyle w:val="12"/>
            </w:pPr>
            <w:r>
              <w:t>隆尧县中职免学费管理办法</w:t>
            </w:r>
          </w:p>
        </w:tc>
      </w:tr>
      <w:tr w14:paraId="1C4E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2B935"/>
        </w:tc>
        <w:tc>
          <w:tcPr>
            <w:tcW w:w="2268" w:type="dxa"/>
            <w:vAlign w:val="center"/>
          </w:tcPr>
          <w:p w14:paraId="36B9F427">
            <w:pPr>
              <w:pStyle w:val="12"/>
            </w:pPr>
            <w:r>
              <w:t>时效指标</w:t>
            </w:r>
          </w:p>
        </w:tc>
        <w:tc>
          <w:tcPr>
            <w:tcW w:w="2835" w:type="dxa"/>
            <w:vAlign w:val="center"/>
          </w:tcPr>
          <w:p w14:paraId="468AAB82">
            <w:pPr>
              <w:pStyle w:val="12"/>
            </w:pPr>
            <w:r>
              <w:t>免学费经费拨付率</w:t>
            </w:r>
          </w:p>
        </w:tc>
        <w:tc>
          <w:tcPr>
            <w:tcW w:w="5386" w:type="dxa"/>
            <w:vAlign w:val="center"/>
          </w:tcPr>
          <w:p w14:paraId="3167DD5F">
            <w:pPr>
              <w:pStyle w:val="12"/>
            </w:pPr>
            <w:r>
              <w:t>免学费经费及时拨付到位率</w:t>
            </w:r>
          </w:p>
        </w:tc>
        <w:tc>
          <w:tcPr>
            <w:tcW w:w="2268" w:type="dxa"/>
            <w:vAlign w:val="center"/>
          </w:tcPr>
          <w:p w14:paraId="39B595EE">
            <w:pPr>
              <w:pStyle w:val="12"/>
            </w:pPr>
            <w:r>
              <w:t>100%</w:t>
            </w:r>
          </w:p>
        </w:tc>
        <w:tc>
          <w:tcPr>
            <w:tcW w:w="1276" w:type="dxa"/>
            <w:vAlign w:val="center"/>
          </w:tcPr>
          <w:p w14:paraId="21889251">
            <w:pPr>
              <w:pStyle w:val="12"/>
            </w:pPr>
            <w:r>
              <w:t>隆尧县中职免学费管理办法</w:t>
            </w:r>
          </w:p>
        </w:tc>
      </w:tr>
      <w:tr w14:paraId="15DF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D5552"/>
        </w:tc>
        <w:tc>
          <w:tcPr>
            <w:tcW w:w="2268" w:type="dxa"/>
            <w:vAlign w:val="center"/>
          </w:tcPr>
          <w:p w14:paraId="1B3A4EA1">
            <w:pPr>
              <w:pStyle w:val="12"/>
            </w:pPr>
            <w:r>
              <w:t>成本指标</w:t>
            </w:r>
          </w:p>
        </w:tc>
        <w:tc>
          <w:tcPr>
            <w:tcW w:w="2835" w:type="dxa"/>
            <w:vAlign w:val="center"/>
          </w:tcPr>
          <w:p w14:paraId="63638398">
            <w:pPr>
              <w:pStyle w:val="12"/>
            </w:pPr>
            <w:r>
              <w:t>中职学校免学费补助标准</w:t>
            </w:r>
          </w:p>
        </w:tc>
        <w:tc>
          <w:tcPr>
            <w:tcW w:w="5386" w:type="dxa"/>
            <w:vAlign w:val="center"/>
          </w:tcPr>
          <w:p w14:paraId="22AF150D">
            <w:pPr>
              <w:pStyle w:val="12"/>
            </w:pPr>
            <w:r>
              <w:t>中职学校免学费补助标准</w:t>
            </w:r>
          </w:p>
        </w:tc>
        <w:tc>
          <w:tcPr>
            <w:tcW w:w="2268" w:type="dxa"/>
            <w:vAlign w:val="center"/>
          </w:tcPr>
          <w:p w14:paraId="698B88C0">
            <w:pPr>
              <w:pStyle w:val="12"/>
            </w:pPr>
            <w:r>
              <w:t>2000元/生/年</w:t>
            </w:r>
          </w:p>
        </w:tc>
        <w:tc>
          <w:tcPr>
            <w:tcW w:w="1276" w:type="dxa"/>
            <w:vAlign w:val="center"/>
          </w:tcPr>
          <w:p w14:paraId="48E67DA6">
            <w:pPr>
              <w:pStyle w:val="12"/>
            </w:pPr>
            <w:r>
              <w:t>隆尧县中职免学费管理办法</w:t>
            </w:r>
          </w:p>
        </w:tc>
      </w:tr>
      <w:tr w14:paraId="6DC6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F806C">
            <w:pPr>
              <w:pStyle w:val="13"/>
            </w:pPr>
            <w:r>
              <w:t>效益指标</w:t>
            </w:r>
          </w:p>
        </w:tc>
        <w:tc>
          <w:tcPr>
            <w:tcW w:w="2268" w:type="dxa"/>
            <w:vAlign w:val="center"/>
          </w:tcPr>
          <w:p w14:paraId="4C786630">
            <w:pPr>
              <w:pStyle w:val="12"/>
            </w:pPr>
            <w:r>
              <w:t>经济效益指标</w:t>
            </w:r>
          </w:p>
        </w:tc>
        <w:tc>
          <w:tcPr>
            <w:tcW w:w="2835" w:type="dxa"/>
            <w:vAlign w:val="center"/>
          </w:tcPr>
          <w:p w14:paraId="4AF9FAB7">
            <w:pPr>
              <w:pStyle w:val="12"/>
            </w:pPr>
            <w:r>
              <w:t>减轻家庭负担</w:t>
            </w:r>
          </w:p>
        </w:tc>
        <w:tc>
          <w:tcPr>
            <w:tcW w:w="5386" w:type="dxa"/>
            <w:vAlign w:val="center"/>
          </w:tcPr>
          <w:p w14:paraId="69074440">
            <w:pPr>
              <w:pStyle w:val="12"/>
            </w:pPr>
            <w:r>
              <w:t>增加贫困家庭经济收入</w:t>
            </w:r>
          </w:p>
        </w:tc>
        <w:tc>
          <w:tcPr>
            <w:tcW w:w="2268" w:type="dxa"/>
            <w:vAlign w:val="center"/>
          </w:tcPr>
          <w:p w14:paraId="0BFAF17C">
            <w:pPr>
              <w:pStyle w:val="12"/>
            </w:pPr>
            <w:r>
              <w:t>≥98%</w:t>
            </w:r>
          </w:p>
        </w:tc>
        <w:tc>
          <w:tcPr>
            <w:tcW w:w="1276" w:type="dxa"/>
            <w:vAlign w:val="center"/>
          </w:tcPr>
          <w:p w14:paraId="7D3277E8">
            <w:pPr>
              <w:pStyle w:val="12"/>
            </w:pPr>
            <w:r>
              <w:t>隆尧县中职免学费管理办法</w:t>
            </w:r>
          </w:p>
        </w:tc>
      </w:tr>
      <w:tr w14:paraId="7BB7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07BDD"/>
        </w:tc>
        <w:tc>
          <w:tcPr>
            <w:tcW w:w="2268" w:type="dxa"/>
            <w:vAlign w:val="center"/>
          </w:tcPr>
          <w:p w14:paraId="5DD73306">
            <w:pPr>
              <w:pStyle w:val="12"/>
            </w:pPr>
            <w:r>
              <w:t>社会效益指标</w:t>
            </w:r>
          </w:p>
        </w:tc>
        <w:tc>
          <w:tcPr>
            <w:tcW w:w="2835" w:type="dxa"/>
            <w:vAlign w:val="center"/>
          </w:tcPr>
          <w:p w14:paraId="6D3AE3E1">
            <w:pPr>
              <w:pStyle w:val="12"/>
            </w:pPr>
            <w:r>
              <w:t>中职运转</w:t>
            </w:r>
          </w:p>
        </w:tc>
        <w:tc>
          <w:tcPr>
            <w:tcW w:w="5386" w:type="dxa"/>
            <w:vAlign w:val="center"/>
          </w:tcPr>
          <w:p w14:paraId="5D286D68">
            <w:pPr>
              <w:pStyle w:val="12"/>
            </w:pPr>
            <w:r>
              <w:t>高中受教育年限</w:t>
            </w:r>
          </w:p>
        </w:tc>
        <w:tc>
          <w:tcPr>
            <w:tcW w:w="2268" w:type="dxa"/>
            <w:vAlign w:val="center"/>
          </w:tcPr>
          <w:p w14:paraId="4F4CFB14">
            <w:pPr>
              <w:pStyle w:val="12"/>
            </w:pPr>
            <w:r>
              <w:t>3年</w:t>
            </w:r>
          </w:p>
        </w:tc>
        <w:tc>
          <w:tcPr>
            <w:tcW w:w="1276" w:type="dxa"/>
            <w:vAlign w:val="center"/>
          </w:tcPr>
          <w:p w14:paraId="4DFBA977">
            <w:pPr>
              <w:pStyle w:val="12"/>
            </w:pPr>
            <w:r>
              <w:t>隆尧县中职免学费管理办法</w:t>
            </w:r>
          </w:p>
        </w:tc>
      </w:tr>
      <w:tr w14:paraId="7815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D614F">
            <w:pPr>
              <w:pStyle w:val="13"/>
            </w:pPr>
            <w:r>
              <w:t>满意度指标</w:t>
            </w:r>
          </w:p>
        </w:tc>
        <w:tc>
          <w:tcPr>
            <w:tcW w:w="2268" w:type="dxa"/>
            <w:vAlign w:val="center"/>
          </w:tcPr>
          <w:p w14:paraId="03F0DE05">
            <w:pPr>
              <w:pStyle w:val="12"/>
            </w:pPr>
            <w:r>
              <w:t>服务对象满意度指标</w:t>
            </w:r>
          </w:p>
        </w:tc>
        <w:tc>
          <w:tcPr>
            <w:tcW w:w="2835" w:type="dxa"/>
            <w:vAlign w:val="center"/>
          </w:tcPr>
          <w:p w14:paraId="20FF81E8">
            <w:pPr>
              <w:pStyle w:val="12"/>
            </w:pPr>
            <w:r>
              <w:t>提升幸福指数</w:t>
            </w:r>
          </w:p>
        </w:tc>
        <w:tc>
          <w:tcPr>
            <w:tcW w:w="5386" w:type="dxa"/>
            <w:vAlign w:val="center"/>
          </w:tcPr>
          <w:p w14:paraId="0A5E3331">
            <w:pPr>
              <w:pStyle w:val="12"/>
            </w:pPr>
            <w:r>
              <w:t>提升贫困家庭学生的幸福指数学生家长满</w:t>
            </w:r>
            <w:r>
              <w:rPr>
                <w:rFonts w:hint="eastAsia"/>
                <w:lang w:eastAsia="zh-CN"/>
              </w:rPr>
              <w:t>意度</w:t>
            </w:r>
          </w:p>
        </w:tc>
        <w:tc>
          <w:tcPr>
            <w:tcW w:w="2268" w:type="dxa"/>
            <w:vAlign w:val="center"/>
          </w:tcPr>
          <w:p w14:paraId="7835EB7B">
            <w:pPr>
              <w:pStyle w:val="12"/>
            </w:pPr>
            <w:r>
              <w:t>≥95%</w:t>
            </w:r>
          </w:p>
        </w:tc>
        <w:tc>
          <w:tcPr>
            <w:tcW w:w="1276" w:type="dxa"/>
            <w:vAlign w:val="center"/>
          </w:tcPr>
          <w:p w14:paraId="37AD8BB1">
            <w:pPr>
              <w:pStyle w:val="12"/>
            </w:pPr>
            <w:r>
              <w:t>隆尧县中职免学费管理办法</w:t>
            </w:r>
          </w:p>
        </w:tc>
      </w:tr>
    </w:tbl>
    <w:p w14:paraId="084A12C3">
      <w:pPr>
        <w:sectPr>
          <w:pgSz w:w="16840" w:h="11900" w:orient="landscape"/>
          <w:pgMar w:top="1361" w:right="1020" w:bottom="1134" w:left="1020" w:header="720" w:footer="720" w:gutter="0"/>
          <w:cols w:space="720" w:num="1"/>
        </w:sectPr>
      </w:pPr>
    </w:p>
    <w:p w14:paraId="7FBE9B3A">
      <w:pPr>
        <w:spacing w:before="0" w:after="0"/>
        <w:ind w:firstLine="560"/>
        <w:jc w:val="left"/>
        <w:outlineLvl w:val="9"/>
      </w:pPr>
      <w:r>
        <w:rPr>
          <w:rFonts w:ascii="方正仿宋_GBK" w:hAnsi="方正仿宋_GBK" w:eastAsia="方正仿宋_GBK" w:cs="方正仿宋_GBK"/>
          <w:b/>
          <w:color w:val="000000"/>
          <w:sz w:val="28"/>
        </w:rPr>
        <w:t>19、县级配套/资助/2026年普通高中助学金（职教高中）绩效目标表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79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CB481">
            <w:pPr>
              <w:pStyle w:val="11"/>
            </w:pPr>
            <w:r>
              <w:t>单位：万元</w:t>
            </w:r>
          </w:p>
        </w:tc>
      </w:tr>
      <w:tr w14:paraId="4914E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8A13F">
            <w:pPr>
              <w:pStyle w:val="10"/>
            </w:pPr>
            <w:r>
              <w:t>项目编码</w:t>
            </w:r>
          </w:p>
        </w:tc>
        <w:tc>
          <w:tcPr>
            <w:tcW w:w="5103" w:type="dxa"/>
            <w:gridSpan w:val="2"/>
            <w:vAlign w:val="center"/>
          </w:tcPr>
          <w:p w14:paraId="362470D1">
            <w:pPr>
              <w:pStyle w:val="12"/>
            </w:pPr>
            <w:r>
              <w:t>13052526P00001210036K</w:t>
            </w:r>
          </w:p>
        </w:tc>
        <w:tc>
          <w:tcPr>
            <w:tcW w:w="2835" w:type="dxa"/>
            <w:vAlign w:val="center"/>
          </w:tcPr>
          <w:p w14:paraId="3DFB8035">
            <w:pPr>
              <w:pStyle w:val="10"/>
            </w:pPr>
            <w:r>
              <w:t>项目名称</w:t>
            </w:r>
          </w:p>
        </w:tc>
        <w:tc>
          <w:tcPr>
            <w:tcW w:w="6095" w:type="dxa"/>
            <w:gridSpan w:val="3"/>
            <w:vAlign w:val="center"/>
          </w:tcPr>
          <w:p w14:paraId="08C5718A">
            <w:pPr>
              <w:pStyle w:val="12"/>
            </w:pPr>
            <w:r>
              <w:t>县级配套/资助/2026年普通高中助学金（职教高中）</w:t>
            </w:r>
          </w:p>
        </w:tc>
      </w:tr>
      <w:tr w14:paraId="06D59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4F537">
            <w:pPr>
              <w:pStyle w:val="10"/>
            </w:pPr>
            <w:r>
              <w:t>预算规模及资金用途</w:t>
            </w:r>
          </w:p>
        </w:tc>
        <w:tc>
          <w:tcPr>
            <w:tcW w:w="2268" w:type="dxa"/>
            <w:vAlign w:val="center"/>
          </w:tcPr>
          <w:p w14:paraId="685EC9E4">
            <w:pPr>
              <w:pStyle w:val="10"/>
            </w:pPr>
            <w:r>
              <w:t>预算数</w:t>
            </w:r>
          </w:p>
        </w:tc>
        <w:tc>
          <w:tcPr>
            <w:tcW w:w="2835" w:type="dxa"/>
            <w:vAlign w:val="center"/>
          </w:tcPr>
          <w:p w14:paraId="1CA85589">
            <w:pPr>
              <w:pStyle w:val="12"/>
            </w:pPr>
            <w:r>
              <w:t>5.57</w:t>
            </w:r>
          </w:p>
        </w:tc>
        <w:tc>
          <w:tcPr>
            <w:tcW w:w="2835" w:type="dxa"/>
            <w:vAlign w:val="center"/>
          </w:tcPr>
          <w:p w14:paraId="1A1718CC">
            <w:pPr>
              <w:pStyle w:val="10"/>
            </w:pPr>
            <w:r>
              <w:t>其中：财政    资金</w:t>
            </w:r>
          </w:p>
        </w:tc>
        <w:tc>
          <w:tcPr>
            <w:tcW w:w="2551" w:type="dxa"/>
            <w:vAlign w:val="center"/>
          </w:tcPr>
          <w:p w14:paraId="7F9B10FE">
            <w:pPr>
              <w:pStyle w:val="12"/>
            </w:pPr>
            <w:r>
              <w:t>5.57</w:t>
            </w:r>
          </w:p>
        </w:tc>
        <w:tc>
          <w:tcPr>
            <w:tcW w:w="2268" w:type="dxa"/>
            <w:vAlign w:val="center"/>
          </w:tcPr>
          <w:p w14:paraId="7145D456">
            <w:pPr>
              <w:pStyle w:val="10"/>
            </w:pPr>
            <w:r>
              <w:t>其他资金</w:t>
            </w:r>
          </w:p>
        </w:tc>
        <w:tc>
          <w:tcPr>
            <w:tcW w:w="1276" w:type="dxa"/>
            <w:vAlign w:val="center"/>
          </w:tcPr>
          <w:p w14:paraId="6356EE69">
            <w:pPr>
              <w:pStyle w:val="12"/>
            </w:pPr>
            <w:r>
              <w:t xml:space="preserve"> </w:t>
            </w:r>
          </w:p>
        </w:tc>
      </w:tr>
      <w:tr w14:paraId="14A73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426A5"/>
        </w:tc>
        <w:tc>
          <w:tcPr>
            <w:tcW w:w="14033" w:type="dxa"/>
            <w:gridSpan w:val="6"/>
            <w:vAlign w:val="center"/>
          </w:tcPr>
          <w:p w14:paraId="610D41CF">
            <w:pPr>
              <w:pStyle w:val="12"/>
            </w:pPr>
            <w:r>
              <w:t>县级安排5.566万元普通高中助学金主要用于帮助贫困学生完成学业。</w:t>
            </w:r>
          </w:p>
        </w:tc>
      </w:tr>
      <w:tr w14:paraId="3880B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D8CE6">
            <w:pPr>
              <w:pStyle w:val="10"/>
            </w:pPr>
            <w:r>
              <w:t>资金支出计划（%）</w:t>
            </w:r>
          </w:p>
        </w:tc>
        <w:tc>
          <w:tcPr>
            <w:tcW w:w="5103" w:type="dxa"/>
            <w:gridSpan w:val="2"/>
            <w:vAlign w:val="center"/>
          </w:tcPr>
          <w:p w14:paraId="3826829B">
            <w:pPr>
              <w:pStyle w:val="10"/>
            </w:pPr>
            <w:r>
              <w:t>3月底</w:t>
            </w:r>
          </w:p>
        </w:tc>
        <w:tc>
          <w:tcPr>
            <w:tcW w:w="2835" w:type="dxa"/>
            <w:vAlign w:val="center"/>
          </w:tcPr>
          <w:p w14:paraId="65914A62">
            <w:pPr>
              <w:pStyle w:val="10"/>
            </w:pPr>
            <w:r>
              <w:t>6月底</w:t>
            </w:r>
          </w:p>
        </w:tc>
        <w:tc>
          <w:tcPr>
            <w:tcW w:w="2551" w:type="dxa"/>
            <w:vAlign w:val="center"/>
          </w:tcPr>
          <w:p w14:paraId="6405AEC2">
            <w:pPr>
              <w:pStyle w:val="10"/>
            </w:pPr>
            <w:r>
              <w:t>10月底</w:t>
            </w:r>
          </w:p>
        </w:tc>
        <w:tc>
          <w:tcPr>
            <w:tcW w:w="3544" w:type="dxa"/>
            <w:gridSpan w:val="2"/>
            <w:vAlign w:val="center"/>
          </w:tcPr>
          <w:p w14:paraId="0E5F9DA2">
            <w:pPr>
              <w:pStyle w:val="10"/>
            </w:pPr>
            <w:r>
              <w:t>12月底</w:t>
            </w:r>
          </w:p>
        </w:tc>
      </w:tr>
      <w:tr w14:paraId="68C4B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618D3"/>
        </w:tc>
        <w:tc>
          <w:tcPr>
            <w:tcW w:w="5103" w:type="dxa"/>
            <w:gridSpan w:val="2"/>
            <w:vAlign w:val="center"/>
          </w:tcPr>
          <w:p w14:paraId="37410255">
            <w:pPr>
              <w:pStyle w:val="13"/>
            </w:pPr>
            <w:r>
              <w:t xml:space="preserve"> </w:t>
            </w:r>
          </w:p>
        </w:tc>
        <w:tc>
          <w:tcPr>
            <w:tcW w:w="2835" w:type="dxa"/>
            <w:vAlign w:val="center"/>
          </w:tcPr>
          <w:p w14:paraId="206BCF5A">
            <w:pPr>
              <w:pStyle w:val="13"/>
            </w:pPr>
            <w:r>
              <w:t>50%</w:t>
            </w:r>
          </w:p>
        </w:tc>
        <w:tc>
          <w:tcPr>
            <w:tcW w:w="2551" w:type="dxa"/>
            <w:vAlign w:val="center"/>
          </w:tcPr>
          <w:p w14:paraId="6C80DB26">
            <w:pPr>
              <w:pStyle w:val="13"/>
            </w:pPr>
            <w:r>
              <w:t>50%</w:t>
            </w:r>
          </w:p>
        </w:tc>
        <w:tc>
          <w:tcPr>
            <w:tcW w:w="3544" w:type="dxa"/>
            <w:gridSpan w:val="2"/>
            <w:vAlign w:val="center"/>
          </w:tcPr>
          <w:p w14:paraId="12BC43FE">
            <w:pPr>
              <w:pStyle w:val="13"/>
            </w:pPr>
            <w:r>
              <w:t>100%</w:t>
            </w:r>
          </w:p>
        </w:tc>
      </w:tr>
      <w:tr w14:paraId="1DFC2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F96F3">
            <w:pPr>
              <w:pStyle w:val="10"/>
            </w:pPr>
            <w:r>
              <w:t>绩效目标</w:t>
            </w:r>
          </w:p>
        </w:tc>
        <w:tc>
          <w:tcPr>
            <w:tcW w:w="14033" w:type="dxa"/>
            <w:gridSpan w:val="6"/>
            <w:vAlign w:val="center"/>
          </w:tcPr>
          <w:p w14:paraId="5B76A584">
            <w:pPr>
              <w:pStyle w:val="12"/>
            </w:pPr>
            <w:r>
              <w:t>1.县级安排5.566万元普通高中助学金主要用于帮助贫困学生完成学业。</w:t>
            </w:r>
          </w:p>
        </w:tc>
      </w:tr>
    </w:tbl>
    <w:p w14:paraId="0CD2CC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4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F5ED6">
            <w:pPr>
              <w:pStyle w:val="10"/>
            </w:pPr>
            <w:r>
              <w:t>一级指标</w:t>
            </w:r>
          </w:p>
        </w:tc>
        <w:tc>
          <w:tcPr>
            <w:tcW w:w="2268" w:type="dxa"/>
            <w:vAlign w:val="center"/>
          </w:tcPr>
          <w:p w14:paraId="3E13917F">
            <w:pPr>
              <w:pStyle w:val="10"/>
            </w:pPr>
            <w:r>
              <w:t>二级指标</w:t>
            </w:r>
          </w:p>
        </w:tc>
        <w:tc>
          <w:tcPr>
            <w:tcW w:w="2835" w:type="dxa"/>
            <w:vAlign w:val="center"/>
          </w:tcPr>
          <w:p w14:paraId="78F51533">
            <w:pPr>
              <w:pStyle w:val="10"/>
            </w:pPr>
            <w:r>
              <w:t>三级指标</w:t>
            </w:r>
          </w:p>
        </w:tc>
        <w:tc>
          <w:tcPr>
            <w:tcW w:w="5386" w:type="dxa"/>
            <w:vAlign w:val="center"/>
          </w:tcPr>
          <w:p w14:paraId="52C29368">
            <w:pPr>
              <w:pStyle w:val="10"/>
            </w:pPr>
            <w:r>
              <w:t>绩效指标描述</w:t>
            </w:r>
          </w:p>
        </w:tc>
        <w:tc>
          <w:tcPr>
            <w:tcW w:w="2268" w:type="dxa"/>
            <w:vAlign w:val="center"/>
          </w:tcPr>
          <w:p w14:paraId="622B28AE">
            <w:pPr>
              <w:pStyle w:val="10"/>
            </w:pPr>
            <w:r>
              <w:t>指标值</w:t>
            </w:r>
          </w:p>
        </w:tc>
        <w:tc>
          <w:tcPr>
            <w:tcW w:w="1276" w:type="dxa"/>
            <w:vAlign w:val="center"/>
          </w:tcPr>
          <w:p w14:paraId="5CDCBF9E">
            <w:pPr>
              <w:pStyle w:val="10"/>
            </w:pPr>
            <w:r>
              <w:t>指标值确定依据</w:t>
            </w:r>
          </w:p>
        </w:tc>
      </w:tr>
      <w:tr w14:paraId="2FD4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6DE95">
            <w:pPr>
              <w:pStyle w:val="13"/>
            </w:pPr>
            <w:r>
              <w:t>产出指标</w:t>
            </w:r>
          </w:p>
        </w:tc>
        <w:tc>
          <w:tcPr>
            <w:tcW w:w="2268" w:type="dxa"/>
            <w:vAlign w:val="center"/>
          </w:tcPr>
          <w:p w14:paraId="08781038">
            <w:pPr>
              <w:pStyle w:val="12"/>
            </w:pPr>
            <w:r>
              <w:t>数量指标</w:t>
            </w:r>
          </w:p>
        </w:tc>
        <w:tc>
          <w:tcPr>
            <w:tcW w:w="2835" w:type="dxa"/>
            <w:vAlign w:val="center"/>
          </w:tcPr>
          <w:p w14:paraId="37679774">
            <w:pPr>
              <w:pStyle w:val="12"/>
            </w:pPr>
            <w:r>
              <w:t>普通高中享受人数</w:t>
            </w:r>
          </w:p>
        </w:tc>
        <w:tc>
          <w:tcPr>
            <w:tcW w:w="5386" w:type="dxa"/>
            <w:vAlign w:val="center"/>
          </w:tcPr>
          <w:p w14:paraId="1806A452">
            <w:pPr>
              <w:pStyle w:val="12"/>
            </w:pPr>
            <w:r>
              <w:t>普通高中享受助学金人数</w:t>
            </w:r>
          </w:p>
        </w:tc>
        <w:tc>
          <w:tcPr>
            <w:tcW w:w="2268" w:type="dxa"/>
            <w:vAlign w:val="center"/>
          </w:tcPr>
          <w:p w14:paraId="3CE64630">
            <w:pPr>
              <w:pStyle w:val="12"/>
            </w:pPr>
            <w:r>
              <w:t>≥111人</w:t>
            </w:r>
          </w:p>
        </w:tc>
        <w:tc>
          <w:tcPr>
            <w:tcW w:w="1276" w:type="dxa"/>
            <w:vAlign w:val="center"/>
          </w:tcPr>
          <w:p w14:paraId="347ED547">
            <w:pPr>
              <w:pStyle w:val="12"/>
            </w:pPr>
            <w:r>
              <w:t>【隆尧县普通</w:t>
            </w:r>
            <w:r>
              <w:rPr>
                <w:rFonts w:hint="eastAsia"/>
                <w:lang w:eastAsia="zh-CN"/>
              </w:rPr>
              <w:t>高中</w:t>
            </w:r>
            <w:r>
              <w:t>国家助学金管理办法的通知】隆财【2018】105号，</w:t>
            </w:r>
          </w:p>
        </w:tc>
      </w:tr>
      <w:tr w14:paraId="30B3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24DA1"/>
        </w:tc>
        <w:tc>
          <w:tcPr>
            <w:tcW w:w="2268" w:type="dxa"/>
            <w:vAlign w:val="center"/>
          </w:tcPr>
          <w:p w14:paraId="130FADC6">
            <w:pPr>
              <w:pStyle w:val="12"/>
            </w:pPr>
            <w:r>
              <w:t>质量指标</w:t>
            </w:r>
          </w:p>
        </w:tc>
        <w:tc>
          <w:tcPr>
            <w:tcW w:w="2835" w:type="dxa"/>
            <w:vAlign w:val="center"/>
          </w:tcPr>
          <w:p w14:paraId="1C446544">
            <w:pPr>
              <w:pStyle w:val="12"/>
            </w:pPr>
            <w:r>
              <w:t>完成助学金发放工作</w:t>
            </w:r>
          </w:p>
        </w:tc>
        <w:tc>
          <w:tcPr>
            <w:tcW w:w="5386" w:type="dxa"/>
            <w:vAlign w:val="center"/>
          </w:tcPr>
          <w:p w14:paraId="1AFB1A0E">
            <w:pPr>
              <w:pStyle w:val="12"/>
            </w:pPr>
            <w:r>
              <w:t>普高助学金享受比例</w:t>
            </w:r>
          </w:p>
        </w:tc>
        <w:tc>
          <w:tcPr>
            <w:tcW w:w="2268" w:type="dxa"/>
            <w:vAlign w:val="center"/>
          </w:tcPr>
          <w:p w14:paraId="35668B54">
            <w:pPr>
              <w:pStyle w:val="12"/>
            </w:pPr>
            <w:r>
              <w:t>18%</w:t>
            </w:r>
          </w:p>
        </w:tc>
        <w:tc>
          <w:tcPr>
            <w:tcW w:w="1276" w:type="dxa"/>
            <w:vAlign w:val="center"/>
          </w:tcPr>
          <w:p w14:paraId="2A7C8A10">
            <w:pPr>
              <w:pStyle w:val="12"/>
            </w:pPr>
            <w:r>
              <w:t>【隆尧县普通</w:t>
            </w:r>
            <w:r>
              <w:rPr>
                <w:rFonts w:hint="eastAsia"/>
                <w:lang w:eastAsia="zh-CN"/>
              </w:rPr>
              <w:t>高中</w:t>
            </w:r>
            <w:r>
              <w:t>国家助学金管理办法的通知】隆财【2018】105号，</w:t>
            </w:r>
          </w:p>
        </w:tc>
      </w:tr>
      <w:tr w14:paraId="1B8E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90BB7"/>
        </w:tc>
        <w:tc>
          <w:tcPr>
            <w:tcW w:w="2268" w:type="dxa"/>
            <w:vAlign w:val="center"/>
          </w:tcPr>
          <w:p w14:paraId="35ABC957">
            <w:pPr>
              <w:pStyle w:val="12"/>
            </w:pPr>
            <w:r>
              <w:t>时效指标</w:t>
            </w:r>
          </w:p>
        </w:tc>
        <w:tc>
          <w:tcPr>
            <w:tcW w:w="2835" w:type="dxa"/>
            <w:vAlign w:val="center"/>
          </w:tcPr>
          <w:p w14:paraId="20CC2BC5">
            <w:pPr>
              <w:pStyle w:val="12"/>
            </w:pPr>
            <w:r>
              <w:t>助学金及时足额发放</w:t>
            </w:r>
          </w:p>
        </w:tc>
        <w:tc>
          <w:tcPr>
            <w:tcW w:w="5386" w:type="dxa"/>
            <w:vAlign w:val="center"/>
          </w:tcPr>
          <w:p w14:paraId="4E72143B">
            <w:pPr>
              <w:pStyle w:val="12"/>
            </w:pPr>
            <w:r>
              <w:t>助学金及时足额发放率</w:t>
            </w:r>
          </w:p>
        </w:tc>
        <w:tc>
          <w:tcPr>
            <w:tcW w:w="2268" w:type="dxa"/>
            <w:vAlign w:val="center"/>
          </w:tcPr>
          <w:p w14:paraId="61F3BBF0">
            <w:pPr>
              <w:pStyle w:val="12"/>
            </w:pPr>
            <w:r>
              <w:t>100%</w:t>
            </w:r>
          </w:p>
        </w:tc>
        <w:tc>
          <w:tcPr>
            <w:tcW w:w="1276" w:type="dxa"/>
            <w:vAlign w:val="center"/>
          </w:tcPr>
          <w:p w14:paraId="672BAAAE">
            <w:pPr>
              <w:pStyle w:val="12"/>
            </w:pPr>
            <w:r>
              <w:t>【隆尧县普通</w:t>
            </w:r>
            <w:r>
              <w:rPr>
                <w:rFonts w:hint="eastAsia"/>
                <w:lang w:eastAsia="zh-CN"/>
              </w:rPr>
              <w:t>高中</w:t>
            </w:r>
            <w:r>
              <w:t>国家助学金管理办法的通知】隆财【2018】105号，</w:t>
            </w:r>
          </w:p>
        </w:tc>
      </w:tr>
      <w:tr w14:paraId="0100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2DD3"/>
        </w:tc>
        <w:tc>
          <w:tcPr>
            <w:tcW w:w="2268" w:type="dxa"/>
            <w:vAlign w:val="center"/>
          </w:tcPr>
          <w:p w14:paraId="4E3E6C2F">
            <w:pPr>
              <w:pStyle w:val="12"/>
            </w:pPr>
            <w:r>
              <w:t>成本指标</w:t>
            </w:r>
          </w:p>
        </w:tc>
        <w:tc>
          <w:tcPr>
            <w:tcW w:w="2835" w:type="dxa"/>
            <w:vAlign w:val="center"/>
          </w:tcPr>
          <w:p w14:paraId="518D27B7">
            <w:pPr>
              <w:pStyle w:val="12"/>
            </w:pPr>
            <w:r>
              <w:t>普通高中助学金标准</w:t>
            </w:r>
          </w:p>
        </w:tc>
        <w:tc>
          <w:tcPr>
            <w:tcW w:w="5386" w:type="dxa"/>
            <w:vAlign w:val="center"/>
          </w:tcPr>
          <w:p w14:paraId="66CA5F9D">
            <w:pPr>
              <w:pStyle w:val="12"/>
            </w:pPr>
            <w:r>
              <w:t>普通高中助学金资助标准2300/生/年</w:t>
            </w:r>
          </w:p>
        </w:tc>
        <w:tc>
          <w:tcPr>
            <w:tcW w:w="2268" w:type="dxa"/>
            <w:vAlign w:val="center"/>
          </w:tcPr>
          <w:p w14:paraId="313B4B3C">
            <w:pPr>
              <w:pStyle w:val="12"/>
            </w:pPr>
            <w:r>
              <w:t>2300元</w:t>
            </w:r>
          </w:p>
        </w:tc>
        <w:tc>
          <w:tcPr>
            <w:tcW w:w="1276" w:type="dxa"/>
            <w:vAlign w:val="center"/>
          </w:tcPr>
          <w:p w14:paraId="5A07619D">
            <w:pPr>
              <w:pStyle w:val="12"/>
            </w:pPr>
            <w:r>
              <w:t>【隆尧县普通</w:t>
            </w:r>
            <w:r>
              <w:rPr>
                <w:rFonts w:hint="eastAsia"/>
                <w:lang w:eastAsia="zh-CN"/>
              </w:rPr>
              <w:t>高中</w:t>
            </w:r>
            <w:r>
              <w:t>国家助学金管理办法的通知】隆财【2018】105号，</w:t>
            </w:r>
          </w:p>
        </w:tc>
      </w:tr>
      <w:tr w14:paraId="7A1C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1A743">
            <w:pPr>
              <w:pStyle w:val="13"/>
            </w:pPr>
            <w:r>
              <w:t>效益指标</w:t>
            </w:r>
          </w:p>
        </w:tc>
        <w:tc>
          <w:tcPr>
            <w:tcW w:w="2268" w:type="dxa"/>
            <w:vAlign w:val="center"/>
          </w:tcPr>
          <w:p w14:paraId="5AFD057A">
            <w:pPr>
              <w:pStyle w:val="12"/>
            </w:pPr>
            <w:r>
              <w:t>经济效益指标</w:t>
            </w:r>
          </w:p>
        </w:tc>
        <w:tc>
          <w:tcPr>
            <w:tcW w:w="2835" w:type="dxa"/>
            <w:vAlign w:val="center"/>
          </w:tcPr>
          <w:p w14:paraId="29E6288F">
            <w:pPr>
              <w:pStyle w:val="12"/>
            </w:pPr>
            <w:r>
              <w:t>增加贫困家庭经济收入</w:t>
            </w:r>
          </w:p>
        </w:tc>
        <w:tc>
          <w:tcPr>
            <w:tcW w:w="5386" w:type="dxa"/>
            <w:vAlign w:val="center"/>
          </w:tcPr>
          <w:p w14:paraId="128A2FE9">
            <w:pPr>
              <w:pStyle w:val="12"/>
            </w:pPr>
            <w:r>
              <w:t>增加贫困家庭经济收入</w:t>
            </w:r>
          </w:p>
        </w:tc>
        <w:tc>
          <w:tcPr>
            <w:tcW w:w="2268" w:type="dxa"/>
            <w:vAlign w:val="center"/>
          </w:tcPr>
          <w:p w14:paraId="0023E458">
            <w:pPr>
              <w:pStyle w:val="12"/>
            </w:pPr>
            <w:r>
              <w:t>100%</w:t>
            </w:r>
          </w:p>
        </w:tc>
        <w:tc>
          <w:tcPr>
            <w:tcW w:w="1276" w:type="dxa"/>
            <w:vAlign w:val="center"/>
          </w:tcPr>
          <w:p w14:paraId="2FC5AB9F">
            <w:pPr>
              <w:pStyle w:val="12"/>
            </w:pPr>
            <w:r>
              <w:t>【隆尧县普通</w:t>
            </w:r>
            <w:r>
              <w:rPr>
                <w:rFonts w:hint="eastAsia"/>
                <w:lang w:eastAsia="zh-CN"/>
              </w:rPr>
              <w:t>高中</w:t>
            </w:r>
            <w:r>
              <w:t>国家助学金管理办法的通知】隆财【2018】105号，</w:t>
            </w:r>
          </w:p>
        </w:tc>
      </w:tr>
      <w:tr w14:paraId="6EDD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B2561"/>
        </w:tc>
        <w:tc>
          <w:tcPr>
            <w:tcW w:w="2268" w:type="dxa"/>
            <w:vAlign w:val="center"/>
          </w:tcPr>
          <w:p w14:paraId="2A3EA454">
            <w:pPr>
              <w:pStyle w:val="12"/>
            </w:pPr>
            <w:r>
              <w:t>社会效益指标</w:t>
            </w:r>
          </w:p>
        </w:tc>
        <w:tc>
          <w:tcPr>
            <w:tcW w:w="2835" w:type="dxa"/>
            <w:vAlign w:val="center"/>
          </w:tcPr>
          <w:p w14:paraId="3DD593B8">
            <w:pPr>
              <w:pStyle w:val="12"/>
            </w:pPr>
            <w:r>
              <w:t>高中运转</w:t>
            </w:r>
          </w:p>
        </w:tc>
        <w:tc>
          <w:tcPr>
            <w:tcW w:w="5386" w:type="dxa"/>
            <w:vAlign w:val="center"/>
          </w:tcPr>
          <w:p w14:paraId="57790DE7">
            <w:pPr>
              <w:pStyle w:val="12"/>
            </w:pPr>
            <w:r>
              <w:t>高中学生受教育年限</w:t>
            </w:r>
          </w:p>
        </w:tc>
        <w:tc>
          <w:tcPr>
            <w:tcW w:w="2268" w:type="dxa"/>
            <w:vAlign w:val="center"/>
          </w:tcPr>
          <w:p w14:paraId="408CE8C2">
            <w:pPr>
              <w:pStyle w:val="12"/>
            </w:pPr>
            <w:r>
              <w:t>3年</w:t>
            </w:r>
          </w:p>
        </w:tc>
        <w:tc>
          <w:tcPr>
            <w:tcW w:w="1276" w:type="dxa"/>
            <w:vAlign w:val="center"/>
          </w:tcPr>
          <w:p w14:paraId="024B8D8D">
            <w:pPr>
              <w:pStyle w:val="12"/>
            </w:pPr>
            <w:r>
              <w:t>【隆尧县普通</w:t>
            </w:r>
            <w:r>
              <w:rPr>
                <w:rFonts w:hint="eastAsia"/>
                <w:lang w:eastAsia="zh-CN"/>
              </w:rPr>
              <w:t>高中</w:t>
            </w:r>
            <w:r>
              <w:t>国家助学金管理办法的通知】隆财【2018】105号，</w:t>
            </w:r>
          </w:p>
        </w:tc>
      </w:tr>
      <w:tr w14:paraId="5ABDB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12A35">
            <w:pPr>
              <w:pStyle w:val="13"/>
            </w:pPr>
            <w:r>
              <w:t>满意度指标</w:t>
            </w:r>
          </w:p>
        </w:tc>
        <w:tc>
          <w:tcPr>
            <w:tcW w:w="2268" w:type="dxa"/>
            <w:vAlign w:val="center"/>
          </w:tcPr>
          <w:p w14:paraId="2D49473E">
            <w:pPr>
              <w:pStyle w:val="12"/>
            </w:pPr>
            <w:r>
              <w:t>服务对象满意度指标</w:t>
            </w:r>
          </w:p>
        </w:tc>
        <w:tc>
          <w:tcPr>
            <w:tcW w:w="2835" w:type="dxa"/>
            <w:vAlign w:val="center"/>
          </w:tcPr>
          <w:p w14:paraId="4A839BD0">
            <w:pPr>
              <w:pStyle w:val="12"/>
            </w:pPr>
            <w:r>
              <w:t>学生家长</w:t>
            </w:r>
          </w:p>
        </w:tc>
        <w:tc>
          <w:tcPr>
            <w:tcW w:w="5386" w:type="dxa"/>
            <w:vAlign w:val="center"/>
          </w:tcPr>
          <w:p w14:paraId="746389D6">
            <w:pPr>
              <w:pStyle w:val="12"/>
            </w:pPr>
            <w:r>
              <w:t>学生家长满意度</w:t>
            </w:r>
          </w:p>
        </w:tc>
        <w:tc>
          <w:tcPr>
            <w:tcW w:w="2268" w:type="dxa"/>
            <w:vAlign w:val="center"/>
          </w:tcPr>
          <w:p w14:paraId="48D0365D">
            <w:pPr>
              <w:pStyle w:val="12"/>
            </w:pPr>
            <w:r>
              <w:t>≥95%</w:t>
            </w:r>
          </w:p>
        </w:tc>
        <w:tc>
          <w:tcPr>
            <w:tcW w:w="1276" w:type="dxa"/>
            <w:vAlign w:val="center"/>
          </w:tcPr>
          <w:p w14:paraId="677CDCE9">
            <w:pPr>
              <w:pStyle w:val="12"/>
            </w:pPr>
            <w:r>
              <w:t>座谈会、调查问卷等</w:t>
            </w:r>
          </w:p>
        </w:tc>
      </w:tr>
    </w:tbl>
    <w:p w14:paraId="683E01AC">
      <w:pPr>
        <w:sectPr>
          <w:pgSz w:w="16840" w:h="11900" w:orient="landscape"/>
          <w:pgMar w:top="1361" w:right="1020" w:bottom="1134" w:left="1020" w:header="720" w:footer="720" w:gutter="0"/>
          <w:cols w:space="720" w:num="1"/>
        </w:sectPr>
      </w:pPr>
    </w:p>
    <w:p w14:paraId="50C6C834">
      <w:pPr>
        <w:spacing w:before="0" w:after="0"/>
        <w:ind w:firstLine="560"/>
        <w:jc w:val="left"/>
        <w:outlineLvl w:val="9"/>
      </w:pPr>
      <w:r>
        <w:rPr>
          <w:rFonts w:ascii="方正仿宋_GBK" w:hAnsi="方正仿宋_GBK" w:eastAsia="方正仿宋_GBK" w:cs="方正仿宋_GBK"/>
          <w:b/>
          <w:color w:val="000000"/>
          <w:sz w:val="28"/>
        </w:rPr>
        <w:t>20、县级配套/资助/2026年中职助学金（职教中职）</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F7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D99AE">
            <w:pPr>
              <w:pStyle w:val="11"/>
            </w:pPr>
            <w:r>
              <w:t>单位：万元</w:t>
            </w:r>
          </w:p>
        </w:tc>
      </w:tr>
      <w:tr w14:paraId="0D92E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AEB56">
            <w:pPr>
              <w:pStyle w:val="10"/>
            </w:pPr>
            <w:r>
              <w:t>项目编码</w:t>
            </w:r>
          </w:p>
        </w:tc>
        <w:tc>
          <w:tcPr>
            <w:tcW w:w="5103" w:type="dxa"/>
            <w:gridSpan w:val="2"/>
            <w:vAlign w:val="center"/>
          </w:tcPr>
          <w:p w14:paraId="3C2E609F">
            <w:pPr>
              <w:pStyle w:val="12"/>
            </w:pPr>
            <w:r>
              <w:t>13052526P000014100238</w:t>
            </w:r>
          </w:p>
        </w:tc>
        <w:tc>
          <w:tcPr>
            <w:tcW w:w="2835" w:type="dxa"/>
            <w:vAlign w:val="center"/>
          </w:tcPr>
          <w:p w14:paraId="26D8B59B">
            <w:pPr>
              <w:pStyle w:val="10"/>
            </w:pPr>
            <w:r>
              <w:t>项目名称</w:t>
            </w:r>
          </w:p>
        </w:tc>
        <w:tc>
          <w:tcPr>
            <w:tcW w:w="6095" w:type="dxa"/>
            <w:gridSpan w:val="3"/>
            <w:vAlign w:val="center"/>
          </w:tcPr>
          <w:p w14:paraId="06E3E107">
            <w:pPr>
              <w:pStyle w:val="12"/>
            </w:pPr>
            <w:r>
              <w:t>县级配套/资助/2026年中职助学金（职教中职）</w:t>
            </w:r>
            <w:r>
              <w:tab/>
            </w:r>
            <w:r>
              <w:tab/>
            </w:r>
          </w:p>
        </w:tc>
      </w:tr>
      <w:tr w14:paraId="7C48F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48CA7">
            <w:pPr>
              <w:pStyle w:val="10"/>
            </w:pPr>
            <w:r>
              <w:t>预算规模及资金用途</w:t>
            </w:r>
          </w:p>
        </w:tc>
        <w:tc>
          <w:tcPr>
            <w:tcW w:w="2268" w:type="dxa"/>
            <w:vAlign w:val="center"/>
          </w:tcPr>
          <w:p w14:paraId="7A9363FB">
            <w:pPr>
              <w:pStyle w:val="10"/>
            </w:pPr>
            <w:r>
              <w:t>预算数</w:t>
            </w:r>
          </w:p>
        </w:tc>
        <w:tc>
          <w:tcPr>
            <w:tcW w:w="2835" w:type="dxa"/>
            <w:vAlign w:val="center"/>
          </w:tcPr>
          <w:p w14:paraId="3B29F815">
            <w:pPr>
              <w:pStyle w:val="12"/>
            </w:pPr>
            <w:r>
              <w:t>26.86</w:t>
            </w:r>
          </w:p>
        </w:tc>
        <w:tc>
          <w:tcPr>
            <w:tcW w:w="2835" w:type="dxa"/>
            <w:vAlign w:val="center"/>
          </w:tcPr>
          <w:p w14:paraId="677C2853">
            <w:pPr>
              <w:pStyle w:val="10"/>
            </w:pPr>
            <w:r>
              <w:t>其中：财政    资金</w:t>
            </w:r>
          </w:p>
        </w:tc>
        <w:tc>
          <w:tcPr>
            <w:tcW w:w="2551" w:type="dxa"/>
            <w:vAlign w:val="center"/>
          </w:tcPr>
          <w:p w14:paraId="68AD6CD6">
            <w:pPr>
              <w:pStyle w:val="12"/>
            </w:pPr>
            <w:r>
              <w:t>26.86</w:t>
            </w:r>
          </w:p>
        </w:tc>
        <w:tc>
          <w:tcPr>
            <w:tcW w:w="2268" w:type="dxa"/>
            <w:vAlign w:val="center"/>
          </w:tcPr>
          <w:p w14:paraId="15D4893D">
            <w:pPr>
              <w:pStyle w:val="10"/>
            </w:pPr>
            <w:r>
              <w:t>其他资金</w:t>
            </w:r>
          </w:p>
        </w:tc>
        <w:tc>
          <w:tcPr>
            <w:tcW w:w="1276" w:type="dxa"/>
            <w:vAlign w:val="center"/>
          </w:tcPr>
          <w:p w14:paraId="1D8F142E">
            <w:pPr>
              <w:pStyle w:val="12"/>
            </w:pPr>
            <w:r>
              <w:t xml:space="preserve"> </w:t>
            </w:r>
          </w:p>
        </w:tc>
      </w:tr>
      <w:tr w14:paraId="73573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F104F"/>
        </w:tc>
        <w:tc>
          <w:tcPr>
            <w:tcW w:w="14033" w:type="dxa"/>
            <w:gridSpan w:val="6"/>
            <w:vAlign w:val="center"/>
          </w:tcPr>
          <w:p w14:paraId="41800BDC">
            <w:pPr>
              <w:pStyle w:val="12"/>
            </w:pPr>
            <w:r>
              <w:t>县级安排中职助学金26.864万元，用于资助涉农专业学生及其他专业贫困生完成学业。</w:t>
            </w:r>
          </w:p>
        </w:tc>
      </w:tr>
      <w:tr w14:paraId="56366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76205">
            <w:pPr>
              <w:pStyle w:val="10"/>
            </w:pPr>
            <w:r>
              <w:t>资金支出计划（%）</w:t>
            </w:r>
          </w:p>
        </w:tc>
        <w:tc>
          <w:tcPr>
            <w:tcW w:w="5103" w:type="dxa"/>
            <w:gridSpan w:val="2"/>
            <w:vAlign w:val="center"/>
          </w:tcPr>
          <w:p w14:paraId="5AE69A24">
            <w:pPr>
              <w:pStyle w:val="10"/>
            </w:pPr>
            <w:r>
              <w:t>3月底</w:t>
            </w:r>
          </w:p>
        </w:tc>
        <w:tc>
          <w:tcPr>
            <w:tcW w:w="2835" w:type="dxa"/>
            <w:vAlign w:val="center"/>
          </w:tcPr>
          <w:p w14:paraId="25B75C65">
            <w:pPr>
              <w:pStyle w:val="10"/>
            </w:pPr>
            <w:r>
              <w:t>6月底</w:t>
            </w:r>
          </w:p>
        </w:tc>
        <w:tc>
          <w:tcPr>
            <w:tcW w:w="2551" w:type="dxa"/>
            <w:vAlign w:val="center"/>
          </w:tcPr>
          <w:p w14:paraId="64E494F8">
            <w:pPr>
              <w:pStyle w:val="10"/>
            </w:pPr>
            <w:r>
              <w:t>10月底</w:t>
            </w:r>
          </w:p>
        </w:tc>
        <w:tc>
          <w:tcPr>
            <w:tcW w:w="3544" w:type="dxa"/>
            <w:gridSpan w:val="2"/>
            <w:vAlign w:val="center"/>
          </w:tcPr>
          <w:p w14:paraId="34545361">
            <w:pPr>
              <w:pStyle w:val="10"/>
            </w:pPr>
            <w:r>
              <w:t>12月底</w:t>
            </w:r>
          </w:p>
        </w:tc>
      </w:tr>
      <w:tr w14:paraId="13003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AE291"/>
        </w:tc>
        <w:tc>
          <w:tcPr>
            <w:tcW w:w="5103" w:type="dxa"/>
            <w:gridSpan w:val="2"/>
            <w:vAlign w:val="center"/>
          </w:tcPr>
          <w:p w14:paraId="0F4E02C8">
            <w:pPr>
              <w:pStyle w:val="13"/>
            </w:pPr>
            <w:r>
              <w:t xml:space="preserve"> </w:t>
            </w:r>
          </w:p>
        </w:tc>
        <w:tc>
          <w:tcPr>
            <w:tcW w:w="2835" w:type="dxa"/>
            <w:vAlign w:val="center"/>
          </w:tcPr>
          <w:p w14:paraId="2919DE3C">
            <w:pPr>
              <w:pStyle w:val="13"/>
            </w:pPr>
            <w:r>
              <w:t>50%</w:t>
            </w:r>
          </w:p>
        </w:tc>
        <w:tc>
          <w:tcPr>
            <w:tcW w:w="2551" w:type="dxa"/>
            <w:vAlign w:val="center"/>
          </w:tcPr>
          <w:p w14:paraId="21D0EB49">
            <w:pPr>
              <w:pStyle w:val="13"/>
            </w:pPr>
            <w:r>
              <w:t>50%</w:t>
            </w:r>
          </w:p>
        </w:tc>
        <w:tc>
          <w:tcPr>
            <w:tcW w:w="3544" w:type="dxa"/>
            <w:gridSpan w:val="2"/>
            <w:vAlign w:val="center"/>
          </w:tcPr>
          <w:p w14:paraId="1A9755B4">
            <w:pPr>
              <w:pStyle w:val="13"/>
            </w:pPr>
            <w:r>
              <w:t>100%</w:t>
            </w:r>
          </w:p>
        </w:tc>
      </w:tr>
      <w:tr w14:paraId="6D399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6950D">
            <w:pPr>
              <w:pStyle w:val="10"/>
            </w:pPr>
            <w:r>
              <w:t>绩效目标</w:t>
            </w:r>
          </w:p>
        </w:tc>
        <w:tc>
          <w:tcPr>
            <w:tcW w:w="14033" w:type="dxa"/>
            <w:gridSpan w:val="6"/>
            <w:vAlign w:val="center"/>
          </w:tcPr>
          <w:p w14:paraId="519FA4B1">
            <w:pPr>
              <w:pStyle w:val="12"/>
            </w:pPr>
            <w:r>
              <w:t>1.县级安排中职助学金26.864万元，用于资助涉农专业学生及其他专业贫困生完成学业。</w:t>
            </w:r>
          </w:p>
        </w:tc>
      </w:tr>
    </w:tbl>
    <w:p w14:paraId="7E397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7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23002">
            <w:pPr>
              <w:pStyle w:val="10"/>
            </w:pPr>
            <w:r>
              <w:t>一级指标</w:t>
            </w:r>
          </w:p>
        </w:tc>
        <w:tc>
          <w:tcPr>
            <w:tcW w:w="2268" w:type="dxa"/>
            <w:vAlign w:val="center"/>
          </w:tcPr>
          <w:p w14:paraId="32D1AF32">
            <w:pPr>
              <w:pStyle w:val="10"/>
            </w:pPr>
            <w:r>
              <w:t>二级指标</w:t>
            </w:r>
          </w:p>
        </w:tc>
        <w:tc>
          <w:tcPr>
            <w:tcW w:w="2835" w:type="dxa"/>
            <w:vAlign w:val="center"/>
          </w:tcPr>
          <w:p w14:paraId="1B97B4C5">
            <w:pPr>
              <w:pStyle w:val="10"/>
            </w:pPr>
            <w:r>
              <w:t>三级指标</w:t>
            </w:r>
          </w:p>
        </w:tc>
        <w:tc>
          <w:tcPr>
            <w:tcW w:w="5386" w:type="dxa"/>
            <w:vAlign w:val="center"/>
          </w:tcPr>
          <w:p w14:paraId="0DB733D1">
            <w:pPr>
              <w:pStyle w:val="10"/>
            </w:pPr>
            <w:r>
              <w:t>绩效指标描述</w:t>
            </w:r>
          </w:p>
        </w:tc>
        <w:tc>
          <w:tcPr>
            <w:tcW w:w="2268" w:type="dxa"/>
            <w:vAlign w:val="center"/>
          </w:tcPr>
          <w:p w14:paraId="07A2FE18">
            <w:pPr>
              <w:pStyle w:val="10"/>
            </w:pPr>
            <w:r>
              <w:t>指标值</w:t>
            </w:r>
          </w:p>
        </w:tc>
        <w:tc>
          <w:tcPr>
            <w:tcW w:w="1276" w:type="dxa"/>
            <w:vAlign w:val="center"/>
          </w:tcPr>
          <w:p w14:paraId="6DFEB8D7">
            <w:pPr>
              <w:pStyle w:val="10"/>
            </w:pPr>
            <w:r>
              <w:t>指标值确定依据</w:t>
            </w:r>
          </w:p>
        </w:tc>
      </w:tr>
      <w:tr w14:paraId="0C4F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9675B">
            <w:pPr>
              <w:pStyle w:val="13"/>
            </w:pPr>
            <w:r>
              <w:t>产出指标</w:t>
            </w:r>
          </w:p>
        </w:tc>
        <w:tc>
          <w:tcPr>
            <w:tcW w:w="2268" w:type="dxa"/>
            <w:vAlign w:val="center"/>
          </w:tcPr>
          <w:p w14:paraId="1E4CFC2E">
            <w:pPr>
              <w:pStyle w:val="12"/>
            </w:pPr>
            <w:r>
              <w:t>数量指标</w:t>
            </w:r>
          </w:p>
        </w:tc>
        <w:tc>
          <w:tcPr>
            <w:tcW w:w="2835" w:type="dxa"/>
            <w:vAlign w:val="center"/>
          </w:tcPr>
          <w:p w14:paraId="1A46326D">
            <w:pPr>
              <w:pStyle w:val="12"/>
            </w:pPr>
            <w:r>
              <w:t>中职享受助学金人数</w:t>
            </w:r>
          </w:p>
        </w:tc>
        <w:tc>
          <w:tcPr>
            <w:tcW w:w="5386" w:type="dxa"/>
            <w:vAlign w:val="center"/>
          </w:tcPr>
          <w:p w14:paraId="0BCDDCBF">
            <w:pPr>
              <w:pStyle w:val="12"/>
            </w:pPr>
            <w:r>
              <w:t>中职享受助学金人数</w:t>
            </w:r>
          </w:p>
        </w:tc>
        <w:tc>
          <w:tcPr>
            <w:tcW w:w="2268" w:type="dxa"/>
            <w:vAlign w:val="center"/>
          </w:tcPr>
          <w:p w14:paraId="5A2FCE0F">
            <w:pPr>
              <w:pStyle w:val="12"/>
            </w:pPr>
            <w:r>
              <w:t>567人</w:t>
            </w:r>
          </w:p>
        </w:tc>
        <w:tc>
          <w:tcPr>
            <w:tcW w:w="1276" w:type="dxa"/>
            <w:vAlign w:val="center"/>
          </w:tcPr>
          <w:p w14:paraId="59BB5E95">
            <w:pPr>
              <w:pStyle w:val="12"/>
            </w:pPr>
            <w:r>
              <w:t>【隆尧县中等职业学校国家助学金管理办法的通知】隆财【2018】105号，</w:t>
            </w:r>
          </w:p>
        </w:tc>
      </w:tr>
      <w:tr w14:paraId="6317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6E2AE"/>
        </w:tc>
        <w:tc>
          <w:tcPr>
            <w:tcW w:w="2268" w:type="dxa"/>
            <w:vAlign w:val="center"/>
          </w:tcPr>
          <w:p w14:paraId="7C3D5B28">
            <w:pPr>
              <w:pStyle w:val="12"/>
            </w:pPr>
            <w:r>
              <w:t>质量指标</w:t>
            </w:r>
          </w:p>
        </w:tc>
        <w:tc>
          <w:tcPr>
            <w:tcW w:w="2835" w:type="dxa"/>
            <w:vAlign w:val="center"/>
          </w:tcPr>
          <w:p w14:paraId="6F782553">
            <w:pPr>
              <w:pStyle w:val="12"/>
            </w:pPr>
            <w:r>
              <w:t>完成助学金发放工作</w:t>
            </w:r>
          </w:p>
        </w:tc>
        <w:tc>
          <w:tcPr>
            <w:tcW w:w="5386" w:type="dxa"/>
            <w:vAlign w:val="center"/>
          </w:tcPr>
          <w:p w14:paraId="644F0F7B">
            <w:pPr>
              <w:pStyle w:val="12"/>
            </w:pPr>
            <w:r>
              <w:t>涉农专业学生及其他专业贫困生</w:t>
            </w:r>
          </w:p>
        </w:tc>
        <w:tc>
          <w:tcPr>
            <w:tcW w:w="2268" w:type="dxa"/>
            <w:vAlign w:val="center"/>
          </w:tcPr>
          <w:p w14:paraId="5AE7147A">
            <w:pPr>
              <w:pStyle w:val="12"/>
            </w:pPr>
            <w:r>
              <w:t>604人</w:t>
            </w:r>
          </w:p>
        </w:tc>
        <w:tc>
          <w:tcPr>
            <w:tcW w:w="1276" w:type="dxa"/>
            <w:vAlign w:val="center"/>
          </w:tcPr>
          <w:p w14:paraId="3B8C32B4">
            <w:pPr>
              <w:pStyle w:val="12"/>
            </w:pPr>
            <w:r>
              <w:t>【隆尧县中等职业学校国家助学金管理办法的通知】隆财【2018】105号，</w:t>
            </w:r>
          </w:p>
        </w:tc>
      </w:tr>
      <w:tr w14:paraId="5755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0A9FB"/>
        </w:tc>
        <w:tc>
          <w:tcPr>
            <w:tcW w:w="2268" w:type="dxa"/>
            <w:vAlign w:val="center"/>
          </w:tcPr>
          <w:p w14:paraId="1DDE833C">
            <w:pPr>
              <w:pStyle w:val="12"/>
            </w:pPr>
            <w:r>
              <w:t>时效指标</w:t>
            </w:r>
          </w:p>
        </w:tc>
        <w:tc>
          <w:tcPr>
            <w:tcW w:w="2835" w:type="dxa"/>
            <w:vAlign w:val="center"/>
          </w:tcPr>
          <w:p w14:paraId="374DC7D3">
            <w:pPr>
              <w:pStyle w:val="12"/>
            </w:pPr>
            <w:r>
              <w:t>助学金及时足额发放</w:t>
            </w:r>
          </w:p>
        </w:tc>
        <w:tc>
          <w:tcPr>
            <w:tcW w:w="5386" w:type="dxa"/>
            <w:vAlign w:val="center"/>
          </w:tcPr>
          <w:p w14:paraId="503C2ABA">
            <w:pPr>
              <w:pStyle w:val="12"/>
            </w:pPr>
            <w:r>
              <w:t>助学金及时足额发放率</w:t>
            </w:r>
          </w:p>
        </w:tc>
        <w:tc>
          <w:tcPr>
            <w:tcW w:w="2268" w:type="dxa"/>
            <w:vAlign w:val="center"/>
          </w:tcPr>
          <w:p w14:paraId="6A74FC2D">
            <w:pPr>
              <w:pStyle w:val="12"/>
            </w:pPr>
            <w:r>
              <w:t>100%</w:t>
            </w:r>
          </w:p>
        </w:tc>
        <w:tc>
          <w:tcPr>
            <w:tcW w:w="1276" w:type="dxa"/>
            <w:vAlign w:val="center"/>
          </w:tcPr>
          <w:p w14:paraId="4243F65B">
            <w:pPr>
              <w:pStyle w:val="12"/>
            </w:pPr>
            <w:r>
              <w:t>【隆尧县中等职业学校国家助学金管理办法的通知】隆财【2018】105号，</w:t>
            </w:r>
          </w:p>
        </w:tc>
      </w:tr>
      <w:tr w14:paraId="082D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5B035"/>
        </w:tc>
        <w:tc>
          <w:tcPr>
            <w:tcW w:w="2268" w:type="dxa"/>
            <w:vAlign w:val="center"/>
          </w:tcPr>
          <w:p w14:paraId="3D9AE622">
            <w:pPr>
              <w:pStyle w:val="12"/>
            </w:pPr>
            <w:r>
              <w:t>成本指标</w:t>
            </w:r>
          </w:p>
        </w:tc>
        <w:tc>
          <w:tcPr>
            <w:tcW w:w="2835" w:type="dxa"/>
            <w:vAlign w:val="center"/>
          </w:tcPr>
          <w:p w14:paraId="7687DDA8">
            <w:pPr>
              <w:pStyle w:val="12"/>
            </w:pPr>
            <w:r>
              <w:t>中职助学金标准</w:t>
            </w:r>
          </w:p>
        </w:tc>
        <w:tc>
          <w:tcPr>
            <w:tcW w:w="5386" w:type="dxa"/>
            <w:vAlign w:val="center"/>
          </w:tcPr>
          <w:p w14:paraId="669F012D">
            <w:pPr>
              <w:pStyle w:val="12"/>
            </w:pPr>
            <w:r>
              <w:t>中职助学金资助标准2300/生/年</w:t>
            </w:r>
          </w:p>
        </w:tc>
        <w:tc>
          <w:tcPr>
            <w:tcW w:w="2268" w:type="dxa"/>
            <w:vAlign w:val="center"/>
          </w:tcPr>
          <w:p w14:paraId="2226CBB5">
            <w:pPr>
              <w:pStyle w:val="12"/>
            </w:pPr>
            <w:r>
              <w:t>2300元</w:t>
            </w:r>
          </w:p>
        </w:tc>
        <w:tc>
          <w:tcPr>
            <w:tcW w:w="1276" w:type="dxa"/>
            <w:vAlign w:val="center"/>
          </w:tcPr>
          <w:p w14:paraId="38504A59">
            <w:pPr>
              <w:pStyle w:val="12"/>
            </w:pPr>
            <w:r>
              <w:t>【隆尧县中等职业学校国家助学金管理办法的通知】隆财【2018】105号，</w:t>
            </w:r>
          </w:p>
        </w:tc>
      </w:tr>
      <w:tr w14:paraId="55CB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7F647">
            <w:pPr>
              <w:pStyle w:val="13"/>
            </w:pPr>
            <w:r>
              <w:t>效益指标</w:t>
            </w:r>
          </w:p>
        </w:tc>
        <w:tc>
          <w:tcPr>
            <w:tcW w:w="2268" w:type="dxa"/>
            <w:vAlign w:val="center"/>
          </w:tcPr>
          <w:p w14:paraId="02D2B88C">
            <w:pPr>
              <w:pStyle w:val="12"/>
            </w:pPr>
            <w:r>
              <w:t>经济效益指标</w:t>
            </w:r>
          </w:p>
        </w:tc>
        <w:tc>
          <w:tcPr>
            <w:tcW w:w="2835" w:type="dxa"/>
            <w:vAlign w:val="center"/>
          </w:tcPr>
          <w:p w14:paraId="73A08BDF">
            <w:pPr>
              <w:pStyle w:val="12"/>
            </w:pPr>
            <w:r>
              <w:t>减轻贫困家庭负担</w:t>
            </w:r>
          </w:p>
        </w:tc>
        <w:tc>
          <w:tcPr>
            <w:tcW w:w="5386" w:type="dxa"/>
            <w:vAlign w:val="center"/>
          </w:tcPr>
          <w:p w14:paraId="1B31C408">
            <w:pPr>
              <w:pStyle w:val="12"/>
            </w:pPr>
            <w:r>
              <w:t>减轻贫困家庭负担</w:t>
            </w:r>
          </w:p>
        </w:tc>
        <w:tc>
          <w:tcPr>
            <w:tcW w:w="2268" w:type="dxa"/>
            <w:vAlign w:val="center"/>
          </w:tcPr>
          <w:p w14:paraId="5D3BF9D5">
            <w:pPr>
              <w:pStyle w:val="12"/>
            </w:pPr>
            <w:r>
              <w:t>100%</w:t>
            </w:r>
          </w:p>
        </w:tc>
        <w:tc>
          <w:tcPr>
            <w:tcW w:w="1276" w:type="dxa"/>
            <w:vAlign w:val="center"/>
          </w:tcPr>
          <w:p w14:paraId="48474A1D">
            <w:pPr>
              <w:pStyle w:val="12"/>
            </w:pPr>
            <w:r>
              <w:t>【隆尧县中等职业学校国家助学金管理办法的通知】隆财【2018】105号，</w:t>
            </w:r>
          </w:p>
        </w:tc>
      </w:tr>
      <w:tr w14:paraId="7BDC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92824"/>
        </w:tc>
        <w:tc>
          <w:tcPr>
            <w:tcW w:w="2268" w:type="dxa"/>
            <w:vAlign w:val="center"/>
          </w:tcPr>
          <w:p w14:paraId="1674AB85">
            <w:pPr>
              <w:pStyle w:val="12"/>
            </w:pPr>
            <w:r>
              <w:t>社会效益指标</w:t>
            </w:r>
          </w:p>
        </w:tc>
        <w:tc>
          <w:tcPr>
            <w:tcW w:w="2835" w:type="dxa"/>
            <w:vAlign w:val="center"/>
          </w:tcPr>
          <w:p w14:paraId="58CDCC7D">
            <w:pPr>
              <w:pStyle w:val="12"/>
            </w:pPr>
            <w:r>
              <w:t>中职运转</w:t>
            </w:r>
          </w:p>
        </w:tc>
        <w:tc>
          <w:tcPr>
            <w:tcW w:w="5386" w:type="dxa"/>
            <w:vAlign w:val="center"/>
          </w:tcPr>
          <w:p w14:paraId="75E1968C">
            <w:pPr>
              <w:pStyle w:val="12"/>
            </w:pPr>
            <w:r>
              <w:t>中职生受教育年限</w:t>
            </w:r>
          </w:p>
        </w:tc>
        <w:tc>
          <w:tcPr>
            <w:tcW w:w="2268" w:type="dxa"/>
            <w:vAlign w:val="center"/>
          </w:tcPr>
          <w:p w14:paraId="12900F3C">
            <w:pPr>
              <w:pStyle w:val="12"/>
            </w:pPr>
            <w:r>
              <w:t>3年</w:t>
            </w:r>
          </w:p>
        </w:tc>
        <w:tc>
          <w:tcPr>
            <w:tcW w:w="1276" w:type="dxa"/>
            <w:vAlign w:val="center"/>
          </w:tcPr>
          <w:p w14:paraId="31AC6A74">
            <w:pPr>
              <w:pStyle w:val="12"/>
            </w:pPr>
            <w:r>
              <w:t>【隆尧县中等职业学校国家助学金管理办法的通知】隆财【2018】105号，</w:t>
            </w:r>
          </w:p>
        </w:tc>
      </w:tr>
      <w:tr w14:paraId="59C3E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238B2">
            <w:pPr>
              <w:pStyle w:val="13"/>
            </w:pPr>
            <w:r>
              <w:t>满意度指标</w:t>
            </w:r>
          </w:p>
        </w:tc>
        <w:tc>
          <w:tcPr>
            <w:tcW w:w="2268" w:type="dxa"/>
            <w:vAlign w:val="center"/>
          </w:tcPr>
          <w:p w14:paraId="79109108">
            <w:pPr>
              <w:pStyle w:val="12"/>
            </w:pPr>
            <w:r>
              <w:t>服务对象满意度指标</w:t>
            </w:r>
          </w:p>
        </w:tc>
        <w:tc>
          <w:tcPr>
            <w:tcW w:w="2835" w:type="dxa"/>
            <w:vAlign w:val="center"/>
          </w:tcPr>
          <w:p w14:paraId="365E3372">
            <w:pPr>
              <w:pStyle w:val="12"/>
            </w:pPr>
            <w:r>
              <w:t>学生家长</w:t>
            </w:r>
          </w:p>
        </w:tc>
        <w:tc>
          <w:tcPr>
            <w:tcW w:w="5386" w:type="dxa"/>
            <w:vAlign w:val="center"/>
          </w:tcPr>
          <w:p w14:paraId="3BBE8018">
            <w:pPr>
              <w:pStyle w:val="12"/>
            </w:pPr>
            <w:r>
              <w:t>学生家长满意度</w:t>
            </w:r>
          </w:p>
        </w:tc>
        <w:tc>
          <w:tcPr>
            <w:tcW w:w="2268" w:type="dxa"/>
            <w:vAlign w:val="center"/>
          </w:tcPr>
          <w:p w14:paraId="1D0C43DD">
            <w:pPr>
              <w:pStyle w:val="12"/>
            </w:pPr>
            <w:r>
              <w:t>≥95%</w:t>
            </w:r>
          </w:p>
        </w:tc>
        <w:tc>
          <w:tcPr>
            <w:tcW w:w="1276" w:type="dxa"/>
            <w:vAlign w:val="center"/>
          </w:tcPr>
          <w:p w14:paraId="3A18F4B3">
            <w:pPr>
              <w:pStyle w:val="12"/>
            </w:pPr>
            <w:r>
              <w:t>【隆尧县中等职业学校国家助学金管理办法的通知】隆财【2018】105号，</w:t>
            </w:r>
          </w:p>
        </w:tc>
      </w:tr>
    </w:tbl>
    <w:p w14:paraId="06D12FB9">
      <w:pPr>
        <w:sectPr>
          <w:pgSz w:w="16840" w:h="11900" w:orient="landscape"/>
          <w:pgMar w:top="1361" w:right="1020" w:bottom="1134" w:left="1020" w:header="720" w:footer="720" w:gutter="0"/>
          <w:cols w:space="720" w:num="1"/>
        </w:sectPr>
      </w:pPr>
    </w:p>
    <w:p w14:paraId="18A8EA97">
      <w:pPr>
        <w:spacing w:before="0" w:after="0"/>
        <w:ind w:firstLine="560"/>
        <w:jc w:val="left"/>
        <w:outlineLvl w:val="9"/>
      </w:pPr>
      <w:r>
        <w:rPr>
          <w:rFonts w:ascii="方正仿宋_GBK" w:hAnsi="方正仿宋_GBK" w:eastAsia="方正仿宋_GBK" w:cs="方正仿宋_GBK"/>
          <w:b/>
          <w:color w:val="000000"/>
          <w:sz w:val="28"/>
        </w:rPr>
        <w:t>21、中职公用经费/职教中心绩效目标表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37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49655">
            <w:pPr>
              <w:pStyle w:val="11"/>
            </w:pPr>
            <w:r>
              <w:t>单位：万元</w:t>
            </w:r>
          </w:p>
        </w:tc>
      </w:tr>
      <w:tr w14:paraId="5A16B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727DE">
            <w:pPr>
              <w:pStyle w:val="10"/>
            </w:pPr>
            <w:r>
              <w:t>项目编码</w:t>
            </w:r>
          </w:p>
        </w:tc>
        <w:tc>
          <w:tcPr>
            <w:tcW w:w="5103" w:type="dxa"/>
            <w:gridSpan w:val="2"/>
            <w:vAlign w:val="center"/>
          </w:tcPr>
          <w:p w14:paraId="02CF80E2">
            <w:pPr>
              <w:pStyle w:val="12"/>
            </w:pPr>
            <w:r>
              <w:t>13052526P00875910003L</w:t>
            </w:r>
          </w:p>
        </w:tc>
        <w:tc>
          <w:tcPr>
            <w:tcW w:w="2835" w:type="dxa"/>
            <w:vAlign w:val="center"/>
          </w:tcPr>
          <w:p w14:paraId="7554E265">
            <w:pPr>
              <w:pStyle w:val="10"/>
            </w:pPr>
            <w:r>
              <w:t>项目名称</w:t>
            </w:r>
          </w:p>
        </w:tc>
        <w:tc>
          <w:tcPr>
            <w:tcW w:w="6095" w:type="dxa"/>
            <w:gridSpan w:val="3"/>
            <w:vAlign w:val="center"/>
          </w:tcPr>
          <w:p w14:paraId="5404A5B6">
            <w:pPr>
              <w:pStyle w:val="12"/>
            </w:pPr>
            <w:r>
              <w:t>中职公用经费/职教中心</w:t>
            </w:r>
          </w:p>
        </w:tc>
      </w:tr>
      <w:tr w14:paraId="46D04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F9AFF">
            <w:pPr>
              <w:pStyle w:val="10"/>
            </w:pPr>
            <w:r>
              <w:t>预算规模及资金用途</w:t>
            </w:r>
          </w:p>
        </w:tc>
        <w:tc>
          <w:tcPr>
            <w:tcW w:w="2268" w:type="dxa"/>
            <w:vAlign w:val="center"/>
          </w:tcPr>
          <w:p w14:paraId="50F2DBB4">
            <w:pPr>
              <w:pStyle w:val="10"/>
            </w:pPr>
            <w:r>
              <w:t>预算数</w:t>
            </w:r>
          </w:p>
        </w:tc>
        <w:tc>
          <w:tcPr>
            <w:tcW w:w="2835" w:type="dxa"/>
            <w:vAlign w:val="center"/>
          </w:tcPr>
          <w:p w14:paraId="47A276DD">
            <w:pPr>
              <w:pStyle w:val="12"/>
            </w:pPr>
            <w:r>
              <w:t>148.00</w:t>
            </w:r>
          </w:p>
        </w:tc>
        <w:tc>
          <w:tcPr>
            <w:tcW w:w="2835" w:type="dxa"/>
            <w:vAlign w:val="center"/>
          </w:tcPr>
          <w:p w14:paraId="1F48DA00">
            <w:pPr>
              <w:pStyle w:val="10"/>
            </w:pPr>
            <w:r>
              <w:t>其中：财政    资金</w:t>
            </w:r>
          </w:p>
        </w:tc>
        <w:tc>
          <w:tcPr>
            <w:tcW w:w="2551" w:type="dxa"/>
            <w:vAlign w:val="center"/>
          </w:tcPr>
          <w:p w14:paraId="288D576C">
            <w:pPr>
              <w:pStyle w:val="12"/>
            </w:pPr>
            <w:r>
              <w:t>148.00</w:t>
            </w:r>
          </w:p>
        </w:tc>
        <w:tc>
          <w:tcPr>
            <w:tcW w:w="2268" w:type="dxa"/>
            <w:vAlign w:val="center"/>
          </w:tcPr>
          <w:p w14:paraId="0FE880F7">
            <w:pPr>
              <w:pStyle w:val="10"/>
            </w:pPr>
            <w:r>
              <w:t>其他资金</w:t>
            </w:r>
          </w:p>
        </w:tc>
        <w:tc>
          <w:tcPr>
            <w:tcW w:w="1276" w:type="dxa"/>
            <w:vAlign w:val="center"/>
          </w:tcPr>
          <w:p w14:paraId="4E43E53B">
            <w:pPr>
              <w:pStyle w:val="12"/>
            </w:pPr>
            <w:r>
              <w:t xml:space="preserve"> </w:t>
            </w:r>
          </w:p>
        </w:tc>
      </w:tr>
      <w:tr w14:paraId="5C16E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35206"/>
        </w:tc>
        <w:tc>
          <w:tcPr>
            <w:tcW w:w="14033" w:type="dxa"/>
            <w:gridSpan w:val="6"/>
            <w:vAlign w:val="center"/>
          </w:tcPr>
          <w:p w14:paraId="4C76BBF9">
            <w:pPr>
              <w:pStyle w:val="12"/>
            </w:pPr>
            <w:r>
              <w:t>2026年预算安排中职公用经费148万元，用于保障学校正常运转，改善办学条件。</w:t>
            </w:r>
          </w:p>
        </w:tc>
      </w:tr>
      <w:tr w14:paraId="7B959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A9E48">
            <w:pPr>
              <w:pStyle w:val="10"/>
            </w:pPr>
            <w:r>
              <w:t>资金支出计划（%）</w:t>
            </w:r>
          </w:p>
        </w:tc>
        <w:tc>
          <w:tcPr>
            <w:tcW w:w="5103" w:type="dxa"/>
            <w:gridSpan w:val="2"/>
            <w:vAlign w:val="center"/>
          </w:tcPr>
          <w:p w14:paraId="7471FB33">
            <w:pPr>
              <w:pStyle w:val="10"/>
            </w:pPr>
            <w:r>
              <w:t>3月底</w:t>
            </w:r>
          </w:p>
        </w:tc>
        <w:tc>
          <w:tcPr>
            <w:tcW w:w="2835" w:type="dxa"/>
            <w:vAlign w:val="center"/>
          </w:tcPr>
          <w:p w14:paraId="170E906E">
            <w:pPr>
              <w:pStyle w:val="10"/>
            </w:pPr>
            <w:r>
              <w:t>6月底</w:t>
            </w:r>
          </w:p>
        </w:tc>
        <w:tc>
          <w:tcPr>
            <w:tcW w:w="2551" w:type="dxa"/>
            <w:vAlign w:val="center"/>
          </w:tcPr>
          <w:p w14:paraId="28329B60">
            <w:pPr>
              <w:pStyle w:val="10"/>
            </w:pPr>
            <w:r>
              <w:t>10月底</w:t>
            </w:r>
          </w:p>
        </w:tc>
        <w:tc>
          <w:tcPr>
            <w:tcW w:w="3544" w:type="dxa"/>
            <w:gridSpan w:val="2"/>
            <w:vAlign w:val="center"/>
          </w:tcPr>
          <w:p w14:paraId="40A1C3D5">
            <w:pPr>
              <w:pStyle w:val="10"/>
            </w:pPr>
            <w:r>
              <w:t>12月底</w:t>
            </w:r>
          </w:p>
        </w:tc>
      </w:tr>
      <w:tr w14:paraId="09D00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0CE74"/>
        </w:tc>
        <w:tc>
          <w:tcPr>
            <w:tcW w:w="5103" w:type="dxa"/>
            <w:gridSpan w:val="2"/>
            <w:vAlign w:val="center"/>
          </w:tcPr>
          <w:p w14:paraId="124A5341">
            <w:pPr>
              <w:pStyle w:val="13"/>
            </w:pPr>
            <w:r>
              <w:t>25%</w:t>
            </w:r>
          </w:p>
        </w:tc>
        <w:tc>
          <w:tcPr>
            <w:tcW w:w="2835" w:type="dxa"/>
            <w:vAlign w:val="center"/>
          </w:tcPr>
          <w:p w14:paraId="41DC953A">
            <w:pPr>
              <w:pStyle w:val="13"/>
            </w:pPr>
            <w:r>
              <w:t>50%</w:t>
            </w:r>
          </w:p>
        </w:tc>
        <w:tc>
          <w:tcPr>
            <w:tcW w:w="2551" w:type="dxa"/>
            <w:vAlign w:val="center"/>
          </w:tcPr>
          <w:p w14:paraId="7B460EC7">
            <w:pPr>
              <w:pStyle w:val="13"/>
            </w:pPr>
            <w:r>
              <w:t>75%</w:t>
            </w:r>
          </w:p>
        </w:tc>
        <w:tc>
          <w:tcPr>
            <w:tcW w:w="3544" w:type="dxa"/>
            <w:gridSpan w:val="2"/>
            <w:vAlign w:val="center"/>
          </w:tcPr>
          <w:p w14:paraId="0D68CE82">
            <w:pPr>
              <w:pStyle w:val="13"/>
            </w:pPr>
            <w:r>
              <w:t>100%</w:t>
            </w:r>
          </w:p>
        </w:tc>
      </w:tr>
      <w:tr w14:paraId="3235C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B4CD8">
            <w:pPr>
              <w:pStyle w:val="10"/>
            </w:pPr>
            <w:r>
              <w:t>绩效目标</w:t>
            </w:r>
          </w:p>
        </w:tc>
        <w:tc>
          <w:tcPr>
            <w:tcW w:w="14033" w:type="dxa"/>
            <w:gridSpan w:val="6"/>
            <w:vAlign w:val="center"/>
          </w:tcPr>
          <w:p w14:paraId="76B6E772">
            <w:pPr>
              <w:pStyle w:val="12"/>
            </w:pPr>
            <w:r>
              <w:t>1.2026年预算安排中职公用经费148万元，用于保障学校正常运转，改善办学条件。</w:t>
            </w:r>
          </w:p>
        </w:tc>
      </w:tr>
    </w:tbl>
    <w:p w14:paraId="0C9AEA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A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B3383">
            <w:pPr>
              <w:pStyle w:val="10"/>
            </w:pPr>
            <w:r>
              <w:t>一级指标</w:t>
            </w:r>
          </w:p>
        </w:tc>
        <w:tc>
          <w:tcPr>
            <w:tcW w:w="2268" w:type="dxa"/>
            <w:vAlign w:val="center"/>
          </w:tcPr>
          <w:p w14:paraId="06DBF790">
            <w:pPr>
              <w:pStyle w:val="10"/>
            </w:pPr>
            <w:r>
              <w:t>二级指标</w:t>
            </w:r>
          </w:p>
        </w:tc>
        <w:tc>
          <w:tcPr>
            <w:tcW w:w="2835" w:type="dxa"/>
            <w:vAlign w:val="center"/>
          </w:tcPr>
          <w:p w14:paraId="6B15BA42">
            <w:pPr>
              <w:pStyle w:val="10"/>
            </w:pPr>
            <w:r>
              <w:t>三级指标</w:t>
            </w:r>
          </w:p>
        </w:tc>
        <w:tc>
          <w:tcPr>
            <w:tcW w:w="5386" w:type="dxa"/>
            <w:vAlign w:val="center"/>
          </w:tcPr>
          <w:p w14:paraId="34D1900F">
            <w:pPr>
              <w:pStyle w:val="10"/>
            </w:pPr>
            <w:r>
              <w:t>绩效指标描述</w:t>
            </w:r>
          </w:p>
        </w:tc>
        <w:tc>
          <w:tcPr>
            <w:tcW w:w="2268" w:type="dxa"/>
            <w:vAlign w:val="center"/>
          </w:tcPr>
          <w:p w14:paraId="067C7342">
            <w:pPr>
              <w:pStyle w:val="10"/>
            </w:pPr>
            <w:r>
              <w:t>指标值</w:t>
            </w:r>
          </w:p>
        </w:tc>
        <w:tc>
          <w:tcPr>
            <w:tcW w:w="1276" w:type="dxa"/>
            <w:vAlign w:val="center"/>
          </w:tcPr>
          <w:p w14:paraId="3F33A7FD">
            <w:pPr>
              <w:pStyle w:val="10"/>
            </w:pPr>
            <w:r>
              <w:t>指标值确定依据</w:t>
            </w:r>
          </w:p>
        </w:tc>
      </w:tr>
      <w:tr w14:paraId="213D4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BDF21">
            <w:pPr>
              <w:pStyle w:val="13"/>
            </w:pPr>
            <w:r>
              <w:t>产出指标</w:t>
            </w:r>
          </w:p>
        </w:tc>
        <w:tc>
          <w:tcPr>
            <w:tcW w:w="2268" w:type="dxa"/>
            <w:vAlign w:val="center"/>
          </w:tcPr>
          <w:p w14:paraId="1B52E943">
            <w:pPr>
              <w:pStyle w:val="12"/>
            </w:pPr>
            <w:r>
              <w:t>数量指标</w:t>
            </w:r>
          </w:p>
        </w:tc>
        <w:tc>
          <w:tcPr>
            <w:tcW w:w="2835" w:type="dxa"/>
            <w:vAlign w:val="center"/>
          </w:tcPr>
          <w:p w14:paraId="43824AC2">
            <w:pPr>
              <w:pStyle w:val="12"/>
            </w:pPr>
            <w:r>
              <w:t>中职在校学生数</w:t>
            </w:r>
          </w:p>
        </w:tc>
        <w:tc>
          <w:tcPr>
            <w:tcW w:w="5386" w:type="dxa"/>
            <w:vAlign w:val="center"/>
          </w:tcPr>
          <w:p w14:paraId="095D1EF9">
            <w:pPr>
              <w:pStyle w:val="12"/>
            </w:pPr>
            <w:r>
              <w:t>中职在校学生人数</w:t>
            </w:r>
          </w:p>
        </w:tc>
        <w:tc>
          <w:tcPr>
            <w:tcW w:w="2268" w:type="dxa"/>
            <w:vAlign w:val="center"/>
          </w:tcPr>
          <w:p w14:paraId="55458EAF">
            <w:pPr>
              <w:pStyle w:val="12"/>
            </w:pPr>
            <w:r>
              <w:t>≥1480人</w:t>
            </w:r>
          </w:p>
        </w:tc>
        <w:tc>
          <w:tcPr>
            <w:tcW w:w="1276" w:type="dxa"/>
            <w:vAlign w:val="center"/>
          </w:tcPr>
          <w:p w14:paraId="34D6E9AB">
            <w:pPr>
              <w:pStyle w:val="12"/>
            </w:pPr>
            <w:r>
              <w:t>中职公用经费管理办法</w:t>
            </w:r>
          </w:p>
        </w:tc>
      </w:tr>
      <w:tr w14:paraId="7F20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AC0DE"/>
        </w:tc>
        <w:tc>
          <w:tcPr>
            <w:tcW w:w="2268" w:type="dxa"/>
            <w:vAlign w:val="center"/>
          </w:tcPr>
          <w:p w14:paraId="2134F7CD">
            <w:pPr>
              <w:pStyle w:val="12"/>
            </w:pPr>
            <w:r>
              <w:t>质量指标</w:t>
            </w:r>
          </w:p>
        </w:tc>
        <w:tc>
          <w:tcPr>
            <w:tcW w:w="2835" w:type="dxa"/>
            <w:vAlign w:val="center"/>
          </w:tcPr>
          <w:p w14:paraId="73016409">
            <w:pPr>
              <w:pStyle w:val="12"/>
            </w:pPr>
            <w:r>
              <w:t>提升办学质量</w:t>
            </w:r>
          </w:p>
        </w:tc>
        <w:tc>
          <w:tcPr>
            <w:tcW w:w="5386" w:type="dxa"/>
            <w:vAlign w:val="center"/>
          </w:tcPr>
          <w:p w14:paraId="48EECF4F">
            <w:pPr>
              <w:pStyle w:val="12"/>
            </w:pPr>
            <w:r>
              <w:t>按学校实际工作运转，按季度办理</w:t>
            </w:r>
          </w:p>
        </w:tc>
        <w:tc>
          <w:tcPr>
            <w:tcW w:w="2268" w:type="dxa"/>
            <w:vAlign w:val="center"/>
          </w:tcPr>
          <w:p w14:paraId="2B8BAF9E">
            <w:pPr>
              <w:pStyle w:val="12"/>
            </w:pPr>
            <w:r>
              <w:t>100%</w:t>
            </w:r>
          </w:p>
        </w:tc>
        <w:tc>
          <w:tcPr>
            <w:tcW w:w="1276" w:type="dxa"/>
            <w:vAlign w:val="center"/>
          </w:tcPr>
          <w:p w14:paraId="7DB96C9B">
            <w:pPr>
              <w:pStyle w:val="12"/>
            </w:pPr>
            <w:r>
              <w:t>中职公用经费管理办法</w:t>
            </w:r>
          </w:p>
        </w:tc>
      </w:tr>
      <w:tr w14:paraId="6F97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0A696"/>
        </w:tc>
        <w:tc>
          <w:tcPr>
            <w:tcW w:w="2268" w:type="dxa"/>
            <w:vAlign w:val="center"/>
          </w:tcPr>
          <w:p w14:paraId="259EA23B">
            <w:pPr>
              <w:pStyle w:val="12"/>
            </w:pPr>
            <w:r>
              <w:t>时效指标</w:t>
            </w:r>
          </w:p>
        </w:tc>
        <w:tc>
          <w:tcPr>
            <w:tcW w:w="2835" w:type="dxa"/>
            <w:vAlign w:val="center"/>
          </w:tcPr>
          <w:p w14:paraId="37CAEF77">
            <w:pPr>
              <w:pStyle w:val="12"/>
            </w:pPr>
            <w:r>
              <w:t>资金支付率</w:t>
            </w:r>
          </w:p>
        </w:tc>
        <w:tc>
          <w:tcPr>
            <w:tcW w:w="5386" w:type="dxa"/>
            <w:vAlign w:val="center"/>
          </w:tcPr>
          <w:p w14:paraId="7A94FDC5">
            <w:pPr>
              <w:pStyle w:val="12"/>
            </w:pPr>
            <w:r>
              <w:t>按照项目进度完成资金支付</w:t>
            </w:r>
          </w:p>
        </w:tc>
        <w:tc>
          <w:tcPr>
            <w:tcW w:w="2268" w:type="dxa"/>
            <w:vAlign w:val="center"/>
          </w:tcPr>
          <w:p w14:paraId="62283C6A">
            <w:pPr>
              <w:pStyle w:val="12"/>
            </w:pPr>
            <w:r>
              <w:t>100%</w:t>
            </w:r>
          </w:p>
        </w:tc>
        <w:tc>
          <w:tcPr>
            <w:tcW w:w="1276" w:type="dxa"/>
            <w:vAlign w:val="center"/>
          </w:tcPr>
          <w:p w14:paraId="78ECDDAD">
            <w:pPr>
              <w:pStyle w:val="12"/>
            </w:pPr>
            <w:r>
              <w:t>中职公用经费管理办法</w:t>
            </w:r>
          </w:p>
        </w:tc>
      </w:tr>
      <w:tr w14:paraId="6423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153E8"/>
        </w:tc>
        <w:tc>
          <w:tcPr>
            <w:tcW w:w="2268" w:type="dxa"/>
            <w:vAlign w:val="center"/>
          </w:tcPr>
          <w:p w14:paraId="19993BCB">
            <w:pPr>
              <w:pStyle w:val="12"/>
            </w:pPr>
            <w:r>
              <w:t>成本指标</w:t>
            </w:r>
          </w:p>
        </w:tc>
        <w:tc>
          <w:tcPr>
            <w:tcW w:w="2835" w:type="dxa"/>
            <w:vAlign w:val="center"/>
          </w:tcPr>
          <w:p w14:paraId="6EAA2AFC">
            <w:pPr>
              <w:pStyle w:val="12"/>
            </w:pPr>
            <w:r>
              <w:t>生均财政投入</w:t>
            </w:r>
          </w:p>
        </w:tc>
        <w:tc>
          <w:tcPr>
            <w:tcW w:w="5386" w:type="dxa"/>
            <w:vAlign w:val="center"/>
          </w:tcPr>
          <w:p w14:paraId="2A3FD695">
            <w:pPr>
              <w:pStyle w:val="12"/>
            </w:pPr>
            <w:r>
              <w:t>中职公用经费最低标准</w:t>
            </w:r>
          </w:p>
        </w:tc>
        <w:tc>
          <w:tcPr>
            <w:tcW w:w="2268" w:type="dxa"/>
            <w:vAlign w:val="center"/>
          </w:tcPr>
          <w:p w14:paraId="0D245200">
            <w:pPr>
              <w:pStyle w:val="12"/>
            </w:pPr>
            <w:r>
              <w:t>1000元/生/年</w:t>
            </w:r>
          </w:p>
        </w:tc>
        <w:tc>
          <w:tcPr>
            <w:tcW w:w="1276" w:type="dxa"/>
            <w:vAlign w:val="center"/>
          </w:tcPr>
          <w:p w14:paraId="196313F9">
            <w:pPr>
              <w:pStyle w:val="12"/>
            </w:pPr>
            <w:r>
              <w:t>冀财教【2016】1号</w:t>
            </w:r>
          </w:p>
        </w:tc>
      </w:tr>
      <w:tr w14:paraId="6049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B329F">
            <w:pPr>
              <w:pStyle w:val="13"/>
            </w:pPr>
            <w:r>
              <w:t>效益指标</w:t>
            </w:r>
          </w:p>
        </w:tc>
        <w:tc>
          <w:tcPr>
            <w:tcW w:w="2268" w:type="dxa"/>
            <w:vAlign w:val="center"/>
          </w:tcPr>
          <w:p w14:paraId="44B8D8FC">
            <w:pPr>
              <w:pStyle w:val="12"/>
            </w:pPr>
            <w:r>
              <w:t>社会效益指标</w:t>
            </w:r>
          </w:p>
        </w:tc>
        <w:tc>
          <w:tcPr>
            <w:tcW w:w="2835" w:type="dxa"/>
            <w:vAlign w:val="center"/>
          </w:tcPr>
          <w:p w14:paraId="20EA46B8">
            <w:pPr>
              <w:pStyle w:val="12"/>
            </w:pPr>
            <w:r>
              <w:t>学校办学能力提升</w:t>
            </w:r>
          </w:p>
        </w:tc>
        <w:tc>
          <w:tcPr>
            <w:tcW w:w="5386" w:type="dxa"/>
            <w:vAlign w:val="center"/>
          </w:tcPr>
          <w:p w14:paraId="4EA56455">
            <w:pPr>
              <w:pStyle w:val="12"/>
            </w:pPr>
            <w:r>
              <w:t>改善办学条件，提高学生家长认可度</w:t>
            </w:r>
          </w:p>
        </w:tc>
        <w:tc>
          <w:tcPr>
            <w:tcW w:w="2268" w:type="dxa"/>
            <w:vAlign w:val="center"/>
          </w:tcPr>
          <w:p w14:paraId="4676EB4C">
            <w:pPr>
              <w:pStyle w:val="12"/>
            </w:pPr>
            <w:r>
              <w:t>100%</w:t>
            </w:r>
          </w:p>
        </w:tc>
        <w:tc>
          <w:tcPr>
            <w:tcW w:w="1276" w:type="dxa"/>
            <w:vAlign w:val="center"/>
          </w:tcPr>
          <w:p w14:paraId="52CD3189">
            <w:pPr>
              <w:pStyle w:val="12"/>
            </w:pPr>
            <w:r>
              <w:t>中职公用经费管理办法</w:t>
            </w:r>
          </w:p>
        </w:tc>
      </w:tr>
      <w:tr w14:paraId="7503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5A563">
            <w:pPr>
              <w:pStyle w:val="13"/>
            </w:pPr>
            <w:r>
              <w:t>满意度指标</w:t>
            </w:r>
          </w:p>
        </w:tc>
        <w:tc>
          <w:tcPr>
            <w:tcW w:w="2268" w:type="dxa"/>
            <w:vAlign w:val="center"/>
          </w:tcPr>
          <w:p w14:paraId="5D388463">
            <w:pPr>
              <w:pStyle w:val="12"/>
            </w:pPr>
            <w:r>
              <w:t>服务对象满意度指标</w:t>
            </w:r>
          </w:p>
        </w:tc>
        <w:tc>
          <w:tcPr>
            <w:tcW w:w="2835" w:type="dxa"/>
            <w:vAlign w:val="center"/>
          </w:tcPr>
          <w:p w14:paraId="6797256A">
            <w:pPr>
              <w:pStyle w:val="12"/>
            </w:pPr>
            <w:r>
              <w:t>学生及家长满意</w:t>
            </w:r>
          </w:p>
        </w:tc>
        <w:tc>
          <w:tcPr>
            <w:tcW w:w="5386" w:type="dxa"/>
            <w:vAlign w:val="center"/>
          </w:tcPr>
          <w:p w14:paraId="568BA492">
            <w:pPr>
              <w:pStyle w:val="12"/>
            </w:pPr>
            <w:r>
              <w:t>学生及家长满意度</w:t>
            </w:r>
          </w:p>
        </w:tc>
        <w:tc>
          <w:tcPr>
            <w:tcW w:w="2268" w:type="dxa"/>
            <w:vAlign w:val="center"/>
          </w:tcPr>
          <w:p w14:paraId="22D167DF">
            <w:pPr>
              <w:pStyle w:val="12"/>
            </w:pPr>
            <w:r>
              <w:t>≥95%</w:t>
            </w:r>
          </w:p>
        </w:tc>
        <w:tc>
          <w:tcPr>
            <w:tcW w:w="1276" w:type="dxa"/>
            <w:vAlign w:val="center"/>
          </w:tcPr>
          <w:p w14:paraId="1E06D867">
            <w:pPr>
              <w:pStyle w:val="12"/>
            </w:pPr>
            <w:r>
              <w:t>调查问卷</w:t>
            </w:r>
          </w:p>
        </w:tc>
      </w:tr>
    </w:tbl>
    <w:p w14:paraId="54D90F84">
      <w:pPr>
        <w:sectPr>
          <w:pgSz w:w="16840" w:h="11900" w:orient="landscape"/>
          <w:pgMar w:top="1361" w:right="1020" w:bottom="1134" w:left="1020" w:header="720" w:footer="720" w:gutter="0"/>
          <w:cols w:space="720" w:num="1"/>
        </w:sectPr>
      </w:pPr>
    </w:p>
    <w:p w14:paraId="2FF005D1">
      <w:pPr>
        <w:spacing w:before="0" w:after="0"/>
        <w:ind w:firstLine="560"/>
        <w:jc w:val="left"/>
        <w:outlineLvl w:val="9"/>
      </w:pPr>
      <w:r>
        <w:rPr>
          <w:rFonts w:ascii="方正仿宋_GBK" w:hAnsi="方正仿宋_GBK" w:eastAsia="方正仿宋_GBK" w:cs="方正仿宋_GBK"/>
          <w:b/>
          <w:color w:val="000000"/>
          <w:sz w:val="28"/>
        </w:rPr>
        <w:t>22、中职专项经费/职教中心绩效目标表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C3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A7BFF">
            <w:pPr>
              <w:pStyle w:val="11"/>
            </w:pPr>
            <w:r>
              <w:t>单位：万元</w:t>
            </w:r>
          </w:p>
        </w:tc>
      </w:tr>
      <w:tr w14:paraId="7A0FD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7179D">
            <w:pPr>
              <w:pStyle w:val="10"/>
            </w:pPr>
            <w:r>
              <w:t>项目编码</w:t>
            </w:r>
          </w:p>
        </w:tc>
        <w:tc>
          <w:tcPr>
            <w:tcW w:w="5103" w:type="dxa"/>
            <w:gridSpan w:val="2"/>
            <w:vAlign w:val="center"/>
          </w:tcPr>
          <w:p w14:paraId="01F1A2A4">
            <w:pPr>
              <w:pStyle w:val="12"/>
            </w:pPr>
            <w:r>
              <w:t>13052526P00000210035Q</w:t>
            </w:r>
          </w:p>
        </w:tc>
        <w:tc>
          <w:tcPr>
            <w:tcW w:w="2835" w:type="dxa"/>
            <w:vAlign w:val="center"/>
          </w:tcPr>
          <w:p w14:paraId="27B36ACE">
            <w:pPr>
              <w:pStyle w:val="10"/>
            </w:pPr>
            <w:r>
              <w:t>项目名称</w:t>
            </w:r>
          </w:p>
        </w:tc>
        <w:tc>
          <w:tcPr>
            <w:tcW w:w="6095" w:type="dxa"/>
            <w:gridSpan w:val="3"/>
            <w:vAlign w:val="center"/>
          </w:tcPr>
          <w:p w14:paraId="4ED22891">
            <w:pPr>
              <w:pStyle w:val="12"/>
            </w:pPr>
            <w:r>
              <w:t>中职专项经费/职教中心</w:t>
            </w:r>
          </w:p>
        </w:tc>
      </w:tr>
      <w:tr w14:paraId="0C02B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2C079">
            <w:pPr>
              <w:pStyle w:val="10"/>
            </w:pPr>
            <w:r>
              <w:t>预算规模及资金用途</w:t>
            </w:r>
          </w:p>
        </w:tc>
        <w:tc>
          <w:tcPr>
            <w:tcW w:w="2268" w:type="dxa"/>
            <w:vAlign w:val="center"/>
          </w:tcPr>
          <w:p w14:paraId="6A614E49">
            <w:pPr>
              <w:pStyle w:val="10"/>
            </w:pPr>
            <w:r>
              <w:t>预算数</w:t>
            </w:r>
          </w:p>
        </w:tc>
        <w:tc>
          <w:tcPr>
            <w:tcW w:w="2835" w:type="dxa"/>
            <w:vAlign w:val="center"/>
          </w:tcPr>
          <w:p w14:paraId="6D75A845">
            <w:pPr>
              <w:pStyle w:val="12"/>
            </w:pPr>
            <w:r>
              <w:t>91.26</w:t>
            </w:r>
          </w:p>
        </w:tc>
        <w:tc>
          <w:tcPr>
            <w:tcW w:w="2835" w:type="dxa"/>
            <w:vAlign w:val="center"/>
          </w:tcPr>
          <w:p w14:paraId="6D28686E">
            <w:pPr>
              <w:pStyle w:val="10"/>
            </w:pPr>
            <w:r>
              <w:t>其中：财政    资金</w:t>
            </w:r>
          </w:p>
        </w:tc>
        <w:tc>
          <w:tcPr>
            <w:tcW w:w="2551" w:type="dxa"/>
            <w:vAlign w:val="center"/>
          </w:tcPr>
          <w:p w14:paraId="5850D606">
            <w:pPr>
              <w:pStyle w:val="12"/>
            </w:pPr>
            <w:r>
              <w:t>91.26</w:t>
            </w:r>
          </w:p>
        </w:tc>
        <w:tc>
          <w:tcPr>
            <w:tcW w:w="2268" w:type="dxa"/>
            <w:vAlign w:val="center"/>
          </w:tcPr>
          <w:p w14:paraId="6115B7C1">
            <w:pPr>
              <w:pStyle w:val="10"/>
            </w:pPr>
            <w:r>
              <w:t>其他资金</w:t>
            </w:r>
          </w:p>
        </w:tc>
        <w:tc>
          <w:tcPr>
            <w:tcW w:w="1276" w:type="dxa"/>
            <w:vAlign w:val="center"/>
          </w:tcPr>
          <w:p w14:paraId="08611FE4">
            <w:pPr>
              <w:pStyle w:val="12"/>
            </w:pPr>
            <w:r>
              <w:t xml:space="preserve"> </w:t>
            </w:r>
          </w:p>
        </w:tc>
      </w:tr>
      <w:tr w14:paraId="63FFE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2AA02"/>
        </w:tc>
        <w:tc>
          <w:tcPr>
            <w:tcW w:w="14033" w:type="dxa"/>
            <w:gridSpan w:val="6"/>
            <w:vAlign w:val="center"/>
          </w:tcPr>
          <w:p w14:paraId="475DF2E3">
            <w:pPr>
              <w:pStyle w:val="12"/>
            </w:pPr>
            <w:r>
              <w:t>2026年中职预算收入91.26万元，用于学校正常公用支出。</w:t>
            </w:r>
          </w:p>
        </w:tc>
      </w:tr>
      <w:tr w14:paraId="6B4FE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ECBCE">
            <w:pPr>
              <w:pStyle w:val="10"/>
            </w:pPr>
            <w:r>
              <w:t>资金支出计划（%）</w:t>
            </w:r>
          </w:p>
        </w:tc>
        <w:tc>
          <w:tcPr>
            <w:tcW w:w="5103" w:type="dxa"/>
            <w:gridSpan w:val="2"/>
            <w:vAlign w:val="center"/>
          </w:tcPr>
          <w:p w14:paraId="0E94A8ED">
            <w:pPr>
              <w:pStyle w:val="10"/>
            </w:pPr>
            <w:r>
              <w:t>3月底</w:t>
            </w:r>
          </w:p>
        </w:tc>
        <w:tc>
          <w:tcPr>
            <w:tcW w:w="2835" w:type="dxa"/>
            <w:vAlign w:val="center"/>
          </w:tcPr>
          <w:p w14:paraId="3738549E">
            <w:pPr>
              <w:pStyle w:val="10"/>
            </w:pPr>
            <w:r>
              <w:t>6月底</w:t>
            </w:r>
          </w:p>
        </w:tc>
        <w:tc>
          <w:tcPr>
            <w:tcW w:w="2551" w:type="dxa"/>
            <w:vAlign w:val="center"/>
          </w:tcPr>
          <w:p w14:paraId="373EB600">
            <w:pPr>
              <w:pStyle w:val="10"/>
            </w:pPr>
            <w:r>
              <w:t>10月底</w:t>
            </w:r>
          </w:p>
        </w:tc>
        <w:tc>
          <w:tcPr>
            <w:tcW w:w="3544" w:type="dxa"/>
            <w:gridSpan w:val="2"/>
            <w:vAlign w:val="center"/>
          </w:tcPr>
          <w:p w14:paraId="050922B3">
            <w:pPr>
              <w:pStyle w:val="10"/>
            </w:pPr>
            <w:r>
              <w:t>12月底</w:t>
            </w:r>
          </w:p>
        </w:tc>
      </w:tr>
      <w:tr w14:paraId="43BA5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EB8C7"/>
        </w:tc>
        <w:tc>
          <w:tcPr>
            <w:tcW w:w="5103" w:type="dxa"/>
            <w:gridSpan w:val="2"/>
            <w:vAlign w:val="center"/>
          </w:tcPr>
          <w:p w14:paraId="0A690F46">
            <w:pPr>
              <w:pStyle w:val="13"/>
            </w:pPr>
            <w:r>
              <w:t xml:space="preserve"> </w:t>
            </w:r>
          </w:p>
        </w:tc>
        <w:tc>
          <w:tcPr>
            <w:tcW w:w="2835" w:type="dxa"/>
            <w:vAlign w:val="center"/>
          </w:tcPr>
          <w:p w14:paraId="24951EE7">
            <w:pPr>
              <w:pStyle w:val="13"/>
            </w:pPr>
            <w:r>
              <w:t>50%</w:t>
            </w:r>
          </w:p>
        </w:tc>
        <w:tc>
          <w:tcPr>
            <w:tcW w:w="2551" w:type="dxa"/>
            <w:vAlign w:val="center"/>
          </w:tcPr>
          <w:p w14:paraId="22B4B254">
            <w:pPr>
              <w:pStyle w:val="13"/>
            </w:pPr>
            <w:r>
              <w:t>50%</w:t>
            </w:r>
          </w:p>
        </w:tc>
        <w:tc>
          <w:tcPr>
            <w:tcW w:w="3544" w:type="dxa"/>
            <w:gridSpan w:val="2"/>
            <w:vAlign w:val="center"/>
          </w:tcPr>
          <w:p w14:paraId="3FB34645">
            <w:pPr>
              <w:pStyle w:val="13"/>
            </w:pPr>
            <w:r>
              <w:t>100%</w:t>
            </w:r>
          </w:p>
        </w:tc>
      </w:tr>
      <w:tr w14:paraId="4C555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6F4C7">
            <w:pPr>
              <w:pStyle w:val="10"/>
            </w:pPr>
            <w:r>
              <w:t>绩效目标</w:t>
            </w:r>
          </w:p>
        </w:tc>
        <w:tc>
          <w:tcPr>
            <w:tcW w:w="14033" w:type="dxa"/>
            <w:gridSpan w:val="6"/>
            <w:vAlign w:val="center"/>
          </w:tcPr>
          <w:p w14:paraId="1AA63AAB">
            <w:pPr>
              <w:pStyle w:val="12"/>
            </w:pPr>
            <w:r>
              <w:t>1.2026年中职预算收入91.26万元，用于学校正常公用支出。</w:t>
            </w:r>
          </w:p>
        </w:tc>
      </w:tr>
    </w:tbl>
    <w:p w14:paraId="08B81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B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CD0FA">
            <w:pPr>
              <w:pStyle w:val="10"/>
            </w:pPr>
            <w:r>
              <w:t>一级指标</w:t>
            </w:r>
          </w:p>
        </w:tc>
        <w:tc>
          <w:tcPr>
            <w:tcW w:w="2268" w:type="dxa"/>
            <w:vAlign w:val="center"/>
          </w:tcPr>
          <w:p w14:paraId="5708B462">
            <w:pPr>
              <w:pStyle w:val="10"/>
            </w:pPr>
            <w:r>
              <w:t>二级指标</w:t>
            </w:r>
          </w:p>
        </w:tc>
        <w:tc>
          <w:tcPr>
            <w:tcW w:w="2835" w:type="dxa"/>
            <w:vAlign w:val="center"/>
          </w:tcPr>
          <w:p w14:paraId="1637DFAC">
            <w:pPr>
              <w:pStyle w:val="10"/>
            </w:pPr>
            <w:r>
              <w:t>三级指标</w:t>
            </w:r>
          </w:p>
        </w:tc>
        <w:tc>
          <w:tcPr>
            <w:tcW w:w="5386" w:type="dxa"/>
            <w:vAlign w:val="center"/>
          </w:tcPr>
          <w:p w14:paraId="7DE76DD6">
            <w:pPr>
              <w:pStyle w:val="10"/>
            </w:pPr>
            <w:r>
              <w:t>绩效指标描述</w:t>
            </w:r>
          </w:p>
        </w:tc>
        <w:tc>
          <w:tcPr>
            <w:tcW w:w="2268" w:type="dxa"/>
            <w:vAlign w:val="center"/>
          </w:tcPr>
          <w:p w14:paraId="7F92C518">
            <w:pPr>
              <w:pStyle w:val="10"/>
            </w:pPr>
            <w:r>
              <w:t>指标值</w:t>
            </w:r>
          </w:p>
        </w:tc>
        <w:tc>
          <w:tcPr>
            <w:tcW w:w="1276" w:type="dxa"/>
            <w:vAlign w:val="center"/>
          </w:tcPr>
          <w:p w14:paraId="228CCAE4">
            <w:pPr>
              <w:pStyle w:val="10"/>
            </w:pPr>
            <w:r>
              <w:t>指标值确定依据</w:t>
            </w:r>
          </w:p>
        </w:tc>
      </w:tr>
      <w:tr w14:paraId="60D8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45C2F">
            <w:pPr>
              <w:pStyle w:val="13"/>
            </w:pPr>
            <w:r>
              <w:t>产出指标</w:t>
            </w:r>
          </w:p>
        </w:tc>
        <w:tc>
          <w:tcPr>
            <w:tcW w:w="2268" w:type="dxa"/>
            <w:vAlign w:val="center"/>
          </w:tcPr>
          <w:p w14:paraId="04FF59CE">
            <w:pPr>
              <w:pStyle w:val="12"/>
            </w:pPr>
            <w:r>
              <w:t>数量指标</w:t>
            </w:r>
          </w:p>
        </w:tc>
        <w:tc>
          <w:tcPr>
            <w:tcW w:w="2835" w:type="dxa"/>
            <w:vAlign w:val="center"/>
          </w:tcPr>
          <w:p w14:paraId="02C87151">
            <w:pPr>
              <w:pStyle w:val="12"/>
            </w:pPr>
            <w:r>
              <w:t>在校生人数</w:t>
            </w:r>
          </w:p>
        </w:tc>
        <w:tc>
          <w:tcPr>
            <w:tcW w:w="5386" w:type="dxa"/>
            <w:vAlign w:val="center"/>
          </w:tcPr>
          <w:p w14:paraId="1BB9C937">
            <w:pPr>
              <w:pStyle w:val="12"/>
            </w:pPr>
            <w:r>
              <w:t>中职在校学生人数</w:t>
            </w:r>
          </w:p>
        </w:tc>
        <w:tc>
          <w:tcPr>
            <w:tcW w:w="2268" w:type="dxa"/>
            <w:vAlign w:val="center"/>
          </w:tcPr>
          <w:p w14:paraId="7387D095">
            <w:pPr>
              <w:pStyle w:val="12"/>
            </w:pPr>
            <w:r>
              <w:t>1480人</w:t>
            </w:r>
          </w:p>
        </w:tc>
        <w:tc>
          <w:tcPr>
            <w:tcW w:w="1276" w:type="dxa"/>
            <w:vAlign w:val="center"/>
          </w:tcPr>
          <w:p w14:paraId="5598B767">
            <w:pPr>
              <w:pStyle w:val="12"/>
            </w:pPr>
            <w:r>
              <w:t>中职专项公用管理办法</w:t>
            </w:r>
          </w:p>
        </w:tc>
      </w:tr>
      <w:tr w14:paraId="3F8BA716">
        <w:tblPrEx>
          <w:tblCellMar>
            <w:top w:w="0" w:type="dxa"/>
            <w:left w:w="108" w:type="dxa"/>
            <w:bottom w:w="0" w:type="dxa"/>
            <w:right w:w="108" w:type="dxa"/>
          </w:tblCellMar>
        </w:tblPrEx>
        <w:trPr>
          <w:trHeight w:val="397" w:hRule="atLeast"/>
          <w:jc w:val="center"/>
        </w:trPr>
        <w:tc>
          <w:tcPr>
            <w:tcW w:w="1276" w:type="dxa"/>
            <w:vMerge w:val="continue"/>
            <w:vAlign w:val="center"/>
          </w:tcPr>
          <w:p w14:paraId="63958E47"/>
        </w:tc>
        <w:tc>
          <w:tcPr>
            <w:tcW w:w="2268" w:type="dxa"/>
            <w:vAlign w:val="center"/>
          </w:tcPr>
          <w:p w14:paraId="11EACDEB">
            <w:pPr>
              <w:pStyle w:val="12"/>
            </w:pPr>
            <w:r>
              <w:t>质量指标</w:t>
            </w:r>
          </w:p>
        </w:tc>
        <w:tc>
          <w:tcPr>
            <w:tcW w:w="2835" w:type="dxa"/>
            <w:vAlign w:val="center"/>
          </w:tcPr>
          <w:p w14:paraId="71EFFD42">
            <w:pPr>
              <w:pStyle w:val="12"/>
            </w:pPr>
            <w:r>
              <w:t>按学期上缴财政专户完成率</w:t>
            </w:r>
          </w:p>
        </w:tc>
        <w:tc>
          <w:tcPr>
            <w:tcW w:w="5386" w:type="dxa"/>
            <w:vAlign w:val="center"/>
          </w:tcPr>
          <w:p w14:paraId="09ED1E27">
            <w:pPr>
              <w:pStyle w:val="12"/>
            </w:pPr>
            <w:r>
              <w:t>按学期完成学费、住宿费上缴财政专户</w:t>
            </w:r>
          </w:p>
        </w:tc>
        <w:tc>
          <w:tcPr>
            <w:tcW w:w="2268" w:type="dxa"/>
            <w:vAlign w:val="center"/>
          </w:tcPr>
          <w:p w14:paraId="0D91CB5A">
            <w:pPr>
              <w:pStyle w:val="12"/>
            </w:pPr>
            <w:r>
              <w:t>100%</w:t>
            </w:r>
          </w:p>
        </w:tc>
        <w:tc>
          <w:tcPr>
            <w:tcW w:w="1276" w:type="dxa"/>
            <w:vAlign w:val="center"/>
          </w:tcPr>
          <w:p w14:paraId="5DC698C8">
            <w:pPr>
              <w:pStyle w:val="12"/>
            </w:pPr>
            <w:r>
              <w:t>中职专项公用管理办法</w:t>
            </w:r>
          </w:p>
        </w:tc>
      </w:tr>
      <w:tr w14:paraId="1B3F8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2602E"/>
        </w:tc>
        <w:tc>
          <w:tcPr>
            <w:tcW w:w="2268" w:type="dxa"/>
            <w:vAlign w:val="center"/>
          </w:tcPr>
          <w:p w14:paraId="3C571E5F">
            <w:pPr>
              <w:pStyle w:val="12"/>
            </w:pPr>
            <w:r>
              <w:t>时效指标</w:t>
            </w:r>
          </w:p>
        </w:tc>
        <w:tc>
          <w:tcPr>
            <w:tcW w:w="2835" w:type="dxa"/>
            <w:vAlign w:val="center"/>
          </w:tcPr>
          <w:p w14:paraId="629FCC42">
            <w:pPr>
              <w:pStyle w:val="12"/>
            </w:pPr>
            <w:r>
              <w:t>资金支付率</w:t>
            </w:r>
          </w:p>
        </w:tc>
        <w:tc>
          <w:tcPr>
            <w:tcW w:w="5386" w:type="dxa"/>
            <w:vAlign w:val="center"/>
          </w:tcPr>
          <w:p w14:paraId="11B60E35">
            <w:pPr>
              <w:pStyle w:val="12"/>
            </w:pPr>
            <w:r>
              <w:t>按照序时进度完成资金支付</w:t>
            </w:r>
          </w:p>
        </w:tc>
        <w:tc>
          <w:tcPr>
            <w:tcW w:w="2268" w:type="dxa"/>
            <w:vAlign w:val="center"/>
          </w:tcPr>
          <w:p w14:paraId="7EAE00D4">
            <w:pPr>
              <w:pStyle w:val="12"/>
            </w:pPr>
            <w:r>
              <w:t>100%</w:t>
            </w:r>
          </w:p>
        </w:tc>
        <w:tc>
          <w:tcPr>
            <w:tcW w:w="1276" w:type="dxa"/>
            <w:vAlign w:val="center"/>
          </w:tcPr>
          <w:p w14:paraId="62E09864">
            <w:pPr>
              <w:pStyle w:val="12"/>
            </w:pPr>
            <w:r>
              <w:t>中职专项公用管理办法</w:t>
            </w:r>
          </w:p>
        </w:tc>
      </w:tr>
      <w:tr w14:paraId="0A33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0FAF5"/>
        </w:tc>
        <w:tc>
          <w:tcPr>
            <w:tcW w:w="2268" w:type="dxa"/>
            <w:vAlign w:val="center"/>
          </w:tcPr>
          <w:p w14:paraId="3D3AB4A5">
            <w:pPr>
              <w:pStyle w:val="12"/>
            </w:pPr>
            <w:r>
              <w:t>成本指标</w:t>
            </w:r>
          </w:p>
        </w:tc>
        <w:tc>
          <w:tcPr>
            <w:tcW w:w="2835" w:type="dxa"/>
            <w:vAlign w:val="center"/>
          </w:tcPr>
          <w:p w14:paraId="7E976C62">
            <w:pPr>
              <w:pStyle w:val="12"/>
            </w:pPr>
            <w:r>
              <w:t>收费标准</w:t>
            </w:r>
          </w:p>
        </w:tc>
        <w:tc>
          <w:tcPr>
            <w:tcW w:w="5386" w:type="dxa"/>
            <w:vAlign w:val="center"/>
          </w:tcPr>
          <w:p w14:paraId="7FEA1E07">
            <w:pPr>
              <w:pStyle w:val="12"/>
            </w:pPr>
            <w:r>
              <w:t>按照发改局收费标准收取</w:t>
            </w:r>
            <w:r>
              <w:rPr>
                <w:rFonts w:hint="eastAsia"/>
                <w:lang w:eastAsia="zh-CN"/>
              </w:rPr>
              <w:t>学生</w:t>
            </w:r>
            <w:r>
              <w:t>住宿费公寓楼280元/生/学期、普通宿舍楼240元/生/学期，财政全额返还</w:t>
            </w:r>
          </w:p>
        </w:tc>
        <w:tc>
          <w:tcPr>
            <w:tcW w:w="2268" w:type="dxa"/>
            <w:vAlign w:val="center"/>
          </w:tcPr>
          <w:p w14:paraId="7DA052A1">
            <w:pPr>
              <w:pStyle w:val="12"/>
            </w:pPr>
            <w:r>
              <w:t>280元/生/学期</w:t>
            </w:r>
          </w:p>
        </w:tc>
        <w:tc>
          <w:tcPr>
            <w:tcW w:w="1276" w:type="dxa"/>
            <w:vAlign w:val="center"/>
          </w:tcPr>
          <w:p w14:paraId="210A27EA">
            <w:pPr>
              <w:pStyle w:val="12"/>
            </w:pPr>
            <w:r>
              <w:t>隆发改价格【2020】5号</w:t>
            </w:r>
          </w:p>
        </w:tc>
      </w:tr>
      <w:tr w14:paraId="486B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71169">
            <w:pPr>
              <w:pStyle w:val="13"/>
            </w:pPr>
            <w:r>
              <w:t>效益指标</w:t>
            </w:r>
          </w:p>
        </w:tc>
        <w:tc>
          <w:tcPr>
            <w:tcW w:w="2268" w:type="dxa"/>
            <w:vAlign w:val="center"/>
          </w:tcPr>
          <w:p w14:paraId="1E5DB09E">
            <w:pPr>
              <w:pStyle w:val="12"/>
            </w:pPr>
            <w:r>
              <w:t>经济效益指标</w:t>
            </w:r>
          </w:p>
        </w:tc>
        <w:tc>
          <w:tcPr>
            <w:tcW w:w="2835" w:type="dxa"/>
            <w:vAlign w:val="center"/>
          </w:tcPr>
          <w:p w14:paraId="4243195E">
            <w:pPr>
              <w:pStyle w:val="12"/>
            </w:pPr>
            <w:r>
              <w:t>学校毛入学率</w:t>
            </w:r>
          </w:p>
        </w:tc>
        <w:tc>
          <w:tcPr>
            <w:tcW w:w="5386" w:type="dxa"/>
            <w:vAlign w:val="center"/>
          </w:tcPr>
          <w:p w14:paraId="19A5C246">
            <w:pPr>
              <w:pStyle w:val="12"/>
            </w:pPr>
            <w:r>
              <w:t>改善 教学条件提升 学生入学率</w:t>
            </w:r>
          </w:p>
        </w:tc>
        <w:tc>
          <w:tcPr>
            <w:tcW w:w="2268" w:type="dxa"/>
            <w:vAlign w:val="center"/>
          </w:tcPr>
          <w:p w14:paraId="3CB11104">
            <w:pPr>
              <w:pStyle w:val="12"/>
            </w:pPr>
            <w:r>
              <w:t>≥90%</w:t>
            </w:r>
          </w:p>
        </w:tc>
        <w:tc>
          <w:tcPr>
            <w:tcW w:w="1276" w:type="dxa"/>
            <w:vAlign w:val="center"/>
          </w:tcPr>
          <w:p w14:paraId="3FD4ECAC">
            <w:pPr>
              <w:pStyle w:val="12"/>
            </w:pPr>
            <w:r>
              <w:t>中职专项公用管理办法</w:t>
            </w:r>
          </w:p>
        </w:tc>
      </w:tr>
      <w:tr w14:paraId="0201B483">
        <w:tblPrEx>
          <w:tblCellMar>
            <w:top w:w="0" w:type="dxa"/>
            <w:left w:w="108" w:type="dxa"/>
            <w:bottom w:w="0" w:type="dxa"/>
            <w:right w:w="108" w:type="dxa"/>
          </w:tblCellMar>
        </w:tblPrEx>
        <w:trPr>
          <w:trHeight w:val="397" w:hRule="atLeast"/>
          <w:jc w:val="center"/>
        </w:trPr>
        <w:tc>
          <w:tcPr>
            <w:tcW w:w="1276" w:type="dxa"/>
            <w:vAlign w:val="center"/>
          </w:tcPr>
          <w:p w14:paraId="372F6599">
            <w:pPr>
              <w:pStyle w:val="13"/>
            </w:pPr>
            <w:r>
              <w:t>满意度指标</w:t>
            </w:r>
          </w:p>
        </w:tc>
        <w:tc>
          <w:tcPr>
            <w:tcW w:w="2268" w:type="dxa"/>
            <w:vAlign w:val="center"/>
          </w:tcPr>
          <w:p w14:paraId="08C7A465">
            <w:pPr>
              <w:pStyle w:val="12"/>
            </w:pPr>
            <w:r>
              <w:t>服务对象满意度指标</w:t>
            </w:r>
          </w:p>
        </w:tc>
        <w:tc>
          <w:tcPr>
            <w:tcW w:w="2835" w:type="dxa"/>
            <w:vAlign w:val="center"/>
          </w:tcPr>
          <w:p w14:paraId="50D2EEBD">
            <w:pPr>
              <w:pStyle w:val="12"/>
            </w:pPr>
            <w:r>
              <w:t>学生及家长满意</w:t>
            </w:r>
          </w:p>
        </w:tc>
        <w:tc>
          <w:tcPr>
            <w:tcW w:w="5386" w:type="dxa"/>
            <w:vAlign w:val="center"/>
          </w:tcPr>
          <w:p w14:paraId="1C33C36F">
            <w:pPr>
              <w:pStyle w:val="12"/>
            </w:pPr>
            <w:r>
              <w:t>学生及家长满意</w:t>
            </w:r>
          </w:p>
        </w:tc>
        <w:tc>
          <w:tcPr>
            <w:tcW w:w="2268" w:type="dxa"/>
            <w:vAlign w:val="center"/>
          </w:tcPr>
          <w:p w14:paraId="7E16518D">
            <w:pPr>
              <w:pStyle w:val="12"/>
            </w:pPr>
            <w:r>
              <w:t>≥95%</w:t>
            </w:r>
          </w:p>
        </w:tc>
        <w:tc>
          <w:tcPr>
            <w:tcW w:w="1276" w:type="dxa"/>
            <w:vAlign w:val="center"/>
          </w:tcPr>
          <w:p w14:paraId="445763D8">
            <w:pPr>
              <w:pStyle w:val="12"/>
            </w:pPr>
            <w:r>
              <w:t>中职专项公用管理办法</w:t>
            </w:r>
          </w:p>
        </w:tc>
      </w:tr>
    </w:tbl>
    <w:p w14:paraId="2415BD35">
      <w:pPr>
        <w:sectPr>
          <w:pgSz w:w="16840" w:h="11900" w:orient="landscape"/>
          <w:pgMar w:top="1361" w:right="1020" w:bottom="1134" w:left="1020" w:header="720" w:footer="720" w:gutter="0"/>
          <w:cols w:space="720" w:num="1"/>
        </w:sectPr>
      </w:pPr>
    </w:p>
    <w:p w14:paraId="1D3AE734">
      <w:pPr>
        <w:spacing w:before="0" w:after="0"/>
        <w:ind w:firstLine="560"/>
        <w:jc w:val="left"/>
        <w:outlineLvl w:val="9"/>
      </w:pPr>
      <w:r>
        <w:rPr>
          <w:rFonts w:ascii="方正仿宋_GBK" w:hAnsi="方正仿宋_GBK" w:eastAsia="方正仿宋_GBK" w:cs="方正仿宋_GBK"/>
          <w:b/>
          <w:color w:val="000000"/>
          <w:sz w:val="28"/>
        </w:rPr>
        <w:t>23、专项债利息绩效目标表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F4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72D69">
            <w:pPr>
              <w:pStyle w:val="11"/>
            </w:pPr>
            <w:r>
              <w:t>单位：万元</w:t>
            </w:r>
          </w:p>
        </w:tc>
      </w:tr>
      <w:tr w14:paraId="618A1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E37DD">
            <w:pPr>
              <w:pStyle w:val="10"/>
            </w:pPr>
            <w:r>
              <w:t>项目编码</w:t>
            </w:r>
          </w:p>
        </w:tc>
        <w:tc>
          <w:tcPr>
            <w:tcW w:w="5103" w:type="dxa"/>
            <w:gridSpan w:val="2"/>
            <w:vAlign w:val="center"/>
          </w:tcPr>
          <w:p w14:paraId="6FCAE2A5">
            <w:pPr>
              <w:pStyle w:val="12"/>
            </w:pPr>
            <w:r>
              <w:t>13052526P00000210282U</w:t>
            </w:r>
          </w:p>
        </w:tc>
        <w:tc>
          <w:tcPr>
            <w:tcW w:w="2835" w:type="dxa"/>
            <w:vAlign w:val="center"/>
          </w:tcPr>
          <w:p w14:paraId="4103A292">
            <w:pPr>
              <w:pStyle w:val="10"/>
            </w:pPr>
            <w:r>
              <w:t>项目名称</w:t>
            </w:r>
          </w:p>
        </w:tc>
        <w:tc>
          <w:tcPr>
            <w:tcW w:w="6095" w:type="dxa"/>
            <w:gridSpan w:val="3"/>
            <w:vAlign w:val="center"/>
          </w:tcPr>
          <w:p w14:paraId="67BE8BFE">
            <w:pPr>
              <w:pStyle w:val="12"/>
            </w:pPr>
            <w:r>
              <w:t>专项债利息</w:t>
            </w:r>
          </w:p>
        </w:tc>
      </w:tr>
      <w:tr w14:paraId="40F59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2B176">
            <w:pPr>
              <w:pStyle w:val="10"/>
            </w:pPr>
            <w:r>
              <w:t>预算规模及资金用途</w:t>
            </w:r>
          </w:p>
        </w:tc>
        <w:tc>
          <w:tcPr>
            <w:tcW w:w="2268" w:type="dxa"/>
            <w:vAlign w:val="center"/>
          </w:tcPr>
          <w:p w14:paraId="2ECD7B87">
            <w:pPr>
              <w:pStyle w:val="10"/>
            </w:pPr>
            <w:r>
              <w:t>预算数</w:t>
            </w:r>
          </w:p>
        </w:tc>
        <w:tc>
          <w:tcPr>
            <w:tcW w:w="2835" w:type="dxa"/>
            <w:vAlign w:val="center"/>
          </w:tcPr>
          <w:p w14:paraId="6D46A47F">
            <w:pPr>
              <w:pStyle w:val="12"/>
            </w:pPr>
            <w:r>
              <w:t>35.40</w:t>
            </w:r>
          </w:p>
        </w:tc>
        <w:tc>
          <w:tcPr>
            <w:tcW w:w="2835" w:type="dxa"/>
            <w:vAlign w:val="center"/>
          </w:tcPr>
          <w:p w14:paraId="40687C15">
            <w:pPr>
              <w:pStyle w:val="10"/>
            </w:pPr>
            <w:r>
              <w:t>其中：财政    资金</w:t>
            </w:r>
          </w:p>
        </w:tc>
        <w:tc>
          <w:tcPr>
            <w:tcW w:w="2551" w:type="dxa"/>
            <w:vAlign w:val="center"/>
          </w:tcPr>
          <w:p w14:paraId="30BF4ABA">
            <w:pPr>
              <w:pStyle w:val="12"/>
            </w:pPr>
            <w:r>
              <w:t>35.40</w:t>
            </w:r>
          </w:p>
        </w:tc>
        <w:tc>
          <w:tcPr>
            <w:tcW w:w="2268" w:type="dxa"/>
            <w:vAlign w:val="center"/>
          </w:tcPr>
          <w:p w14:paraId="1A0AEFF4">
            <w:pPr>
              <w:pStyle w:val="10"/>
            </w:pPr>
            <w:r>
              <w:t>其他资金</w:t>
            </w:r>
          </w:p>
        </w:tc>
        <w:tc>
          <w:tcPr>
            <w:tcW w:w="1276" w:type="dxa"/>
            <w:vAlign w:val="center"/>
          </w:tcPr>
          <w:p w14:paraId="5B53988E">
            <w:pPr>
              <w:pStyle w:val="12"/>
            </w:pPr>
            <w:r>
              <w:t xml:space="preserve"> </w:t>
            </w:r>
          </w:p>
        </w:tc>
      </w:tr>
      <w:tr w14:paraId="2EA20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B176A"/>
        </w:tc>
        <w:tc>
          <w:tcPr>
            <w:tcW w:w="14033" w:type="dxa"/>
            <w:gridSpan w:val="6"/>
            <w:vAlign w:val="center"/>
          </w:tcPr>
          <w:p w14:paraId="383869C2">
            <w:pPr>
              <w:pStyle w:val="12"/>
            </w:pPr>
            <w:r>
              <w:t>根据国有资产管理办法及工作安排，预计收取租赁费35.4万元，用于偿还债务利息。</w:t>
            </w:r>
          </w:p>
        </w:tc>
      </w:tr>
      <w:tr w14:paraId="73DC0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0D4A2">
            <w:pPr>
              <w:pStyle w:val="10"/>
            </w:pPr>
            <w:r>
              <w:t>资金支出计划（%）</w:t>
            </w:r>
          </w:p>
        </w:tc>
        <w:tc>
          <w:tcPr>
            <w:tcW w:w="5103" w:type="dxa"/>
            <w:gridSpan w:val="2"/>
            <w:vAlign w:val="center"/>
          </w:tcPr>
          <w:p w14:paraId="65954444">
            <w:pPr>
              <w:pStyle w:val="10"/>
            </w:pPr>
            <w:r>
              <w:t>3月底</w:t>
            </w:r>
          </w:p>
        </w:tc>
        <w:tc>
          <w:tcPr>
            <w:tcW w:w="2835" w:type="dxa"/>
            <w:vAlign w:val="center"/>
          </w:tcPr>
          <w:p w14:paraId="3FDB933F">
            <w:pPr>
              <w:pStyle w:val="10"/>
            </w:pPr>
            <w:r>
              <w:t>6月底</w:t>
            </w:r>
          </w:p>
        </w:tc>
        <w:tc>
          <w:tcPr>
            <w:tcW w:w="2551" w:type="dxa"/>
            <w:vAlign w:val="center"/>
          </w:tcPr>
          <w:p w14:paraId="131AB9C0">
            <w:pPr>
              <w:pStyle w:val="10"/>
            </w:pPr>
            <w:r>
              <w:t>10月底</w:t>
            </w:r>
          </w:p>
        </w:tc>
        <w:tc>
          <w:tcPr>
            <w:tcW w:w="3544" w:type="dxa"/>
            <w:gridSpan w:val="2"/>
            <w:vAlign w:val="center"/>
          </w:tcPr>
          <w:p w14:paraId="5DF7A570">
            <w:pPr>
              <w:pStyle w:val="10"/>
            </w:pPr>
            <w:r>
              <w:t>12月底</w:t>
            </w:r>
          </w:p>
        </w:tc>
      </w:tr>
      <w:tr w14:paraId="541DC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6FBC0"/>
        </w:tc>
        <w:tc>
          <w:tcPr>
            <w:tcW w:w="5103" w:type="dxa"/>
            <w:gridSpan w:val="2"/>
            <w:vAlign w:val="center"/>
          </w:tcPr>
          <w:p w14:paraId="022211CA">
            <w:pPr>
              <w:pStyle w:val="13"/>
            </w:pPr>
            <w:r>
              <w:t xml:space="preserve"> </w:t>
            </w:r>
          </w:p>
        </w:tc>
        <w:tc>
          <w:tcPr>
            <w:tcW w:w="2835" w:type="dxa"/>
            <w:vAlign w:val="center"/>
          </w:tcPr>
          <w:p w14:paraId="0F4A29DC">
            <w:pPr>
              <w:pStyle w:val="13"/>
            </w:pPr>
            <w:r>
              <w:t>50%</w:t>
            </w:r>
          </w:p>
        </w:tc>
        <w:tc>
          <w:tcPr>
            <w:tcW w:w="2551" w:type="dxa"/>
            <w:vAlign w:val="center"/>
          </w:tcPr>
          <w:p w14:paraId="7F9D0F22">
            <w:pPr>
              <w:pStyle w:val="13"/>
            </w:pPr>
            <w:r>
              <w:t>50%</w:t>
            </w:r>
          </w:p>
        </w:tc>
        <w:tc>
          <w:tcPr>
            <w:tcW w:w="3544" w:type="dxa"/>
            <w:gridSpan w:val="2"/>
            <w:vAlign w:val="center"/>
          </w:tcPr>
          <w:p w14:paraId="4960CF97">
            <w:pPr>
              <w:pStyle w:val="13"/>
            </w:pPr>
            <w:r>
              <w:t>100%</w:t>
            </w:r>
          </w:p>
        </w:tc>
      </w:tr>
      <w:tr w14:paraId="74256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44930">
            <w:pPr>
              <w:pStyle w:val="10"/>
            </w:pPr>
            <w:r>
              <w:t>绩效目标</w:t>
            </w:r>
          </w:p>
        </w:tc>
        <w:tc>
          <w:tcPr>
            <w:tcW w:w="14033" w:type="dxa"/>
            <w:gridSpan w:val="6"/>
            <w:vAlign w:val="center"/>
          </w:tcPr>
          <w:p w14:paraId="109469D4">
            <w:pPr>
              <w:pStyle w:val="12"/>
            </w:pPr>
            <w:r>
              <w:t>1.根据国有资产管理办法及工作安排，预计收取租赁费35.4万元，用于偿还债务利息。</w:t>
            </w:r>
          </w:p>
        </w:tc>
      </w:tr>
    </w:tbl>
    <w:p w14:paraId="4FA7F5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3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9D16C">
            <w:pPr>
              <w:pStyle w:val="10"/>
            </w:pPr>
            <w:r>
              <w:t>一级指标</w:t>
            </w:r>
          </w:p>
        </w:tc>
        <w:tc>
          <w:tcPr>
            <w:tcW w:w="2268" w:type="dxa"/>
            <w:vAlign w:val="center"/>
          </w:tcPr>
          <w:p w14:paraId="3AE16505">
            <w:pPr>
              <w:pStyle w:val="10"/>
            </w:pPr>
            <w:r>
              <w:t>二级指标</w:t>
            </w:r>
          </w:p>
        </w:tc>
        <w:tc>
          <w:tcPr>
            <w:tcW w:w="2835" w:type="dxa"/>
            <w:vAlign w:val="center"/>
          </w:tcPr>
          <w:p w14:paraId="0843712B">
            <w:pPr>
              <w:pStyle w:val="10"/>
            </w:pPr>
            <w:r>
              <w:t>三级指标</w:t>
            </w:r>
          </w:p>
        </w:tc>
        <w:tc>
          <w:tcPr>
            <w:tcW w:w="5386" w:type="dxa"/>
            <w:vAlign w:val="center"/>
          </w:tcPr>
          <w:p w14:paraId="37556CA9">
            <w:pPr>
              <w:pStyle w:val="10"/>
            </w:pPr>
            <w:r>
              <w:t>绩效指标描述</w:t>
            </w:r>
          </w:p>
        </w:tc>
        <w:tc>
          <w:tcPr>
            <w:tcW w:w="2268" w:type="dxa"/>
            <w:vAlign w:val="center"/>
          </w:tcPr>
          <w:p w14:paraId="29084B0C">
            <w:pPr>
              <w:pStyle w:val="10"/>
            </w:pPr>
            <w:r>
              <w:t>指标值</w:t>
            </w:r>
          </w:p>
        </w:tc>
        <w:tc>
          <w:tcPr>
            <w:tcW w:w="1276" w:type="dxa"/>
            <w:vAlign w:val="center"/>
          </w:tcPr>
          <w:p w14:paraId="14C0DE67">
            <w:pPr>
              <w:pStyle w:val="10"/>
            </w:pPr>
            <w:r>
              <w:t>指标值确定依据</w:t>
            </w:r>
          </w:p>
        </w:tc>
      </w:tr>
      <w:tr w14:paraId="7706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75E26">
            <w:pPr>
              <w:pStyle w:val="13"/>
            </w:pPr>
            <w:r>
              <w:t>产出指标</w:t>
            </w:r>
          </w:p>
        </w:tc>
        <w:tc>
          <w:tcPr>
            <w:tcW w:w="2268" w:type="dxa"/>
            <w:vAlign w:val="center"/>
          </w:tcPr>
          <w:p w14:paraId="3FAF855F">
            <w:pPr>
              <w:pStyle w:val="12"/>
            </w:pPr>
            <w:r>
              <w:t>数量指标</w:t>
            </w:r>
          </w:p>
        </w:tc>
        <w:tc>
          <w:tcPr>
            <w:tcW w:w="2835" w:type="dxa"/>
            <w:vAlign w:val="center"/>
          </w:tcPr>
          <w:p w14:paraId="149AC0A3">
            <w:pPr>
              <w:pStyle w:val="12"/>
            </w:pPr>
            <w:r>
              <w:t>租赁费收入</w:t>
            </w:r>
          </w:p>
        </w:tc>
        <w:tc>
          <w:tcPr>
            <w:tcW w:w="5386" w:type="dxa"/>
            <w:vAlign w:val="center"/>
          </w:tcPr>
          <w:p w14:paraId="470DFB7F">
            <w:pPr>
              <w:pStyle w:val="12"/>
            </w:pPr>
            <w:r>
              <w:t>租赁场次</w:t>
            </w:r>
          </w:p>
        </w:tc>
        <w:tc>
          <w:tcPr>
            <w:tcW w:w="2268" w:type="dxa"/>
            <w:vAlign w:val="center"/>
          </w:tcPr>
          <w:p w14:paraId="08DEE2BB">
            <w:pPr>
              <w:pStyle w:val="12"/>
            </w:pPr>
            <w:r>
              <w:t>≥250场次</w:t>
            </w:r>
          </w:p>
        </w:tc>
        <w:tc>
          <w:tcPr>
            <w:tcW w:w="1276" w:type="dxa"/>
            <w:vAlign w:val="center"/>
          </w:tcPr>
          <w:p w14:paraId="4DBA4E1E">
            <w:pPr>
              <w:pStyle w:val="12"/>
            </w:pPr>
            <w:r>
              <w:t>国有资产管理办法</w:t>
            </w:r>
          </w:p>
        </w:tc>
      </w:tr>
      <w:tr w14:paraId="0FDC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02DBC"/>
        </w:tc>
        <w:tc>
          <w:tcPr>
            <w:tcW w:w="2268" w:type="dxa"/>
            <w:vAlign w:val="center"/>
          </w:tcPr>
          <w:p w14:paraId="3557ECC9">
            <w:pPr>
              <w:pStyle w:val="12"/>
            </w:pPr>
            <w:r>
              <w:t>质量指标</w:t>
            </w:r>
          </w:p>
        </w:tc>
        <w:tc>
          <w:tcPr>
            <w:tcW w:w="2835" w:type="dxa"/>
            <w:vAlign w:val="center"/>
          </w:tcPr>
          <w:p w14:paraId="5523B3E9">
            <w:pPr>
              <w:pStyle w:val="12"/>
            </w:pPr>
            <w:r>
              <w:t>按学期完成租赁费偿还债务付息</w:t>
            </w:r>
          </w:p>
        </w:tc>
        <w:tc>
          <w:tcPr>
            <w:tcW w:w="5386" w:type="dxa"/>
            <w:vAlign w:val="center"/>
          </w:tcPr>
          <w:p w14:paraId="45F561CF">
            <w:pPr>
              <w:pStyle w:val="12"/>
            </w:pPr>
            <w:r>
              <w:t>按学期完成租赁费偿还债务付息</w:t>
            </w:r>
          </w:p>
        </w:tc>
        <w:tc>
          <w:tcPr>
            <w:tcW w:w="2268" w:type="dxa"/>
            <w:vAlign w:val="center"/>
          </w:tcPr>
          <w:p w14:paraId="07D2FBD6">
            <w:pPr>
              <w:pStyle w:val="12"/>
            </w:pPr>
            <w:r>
              <w:t>100%</w:t>
            </w:r>
          </w:p>
        </w:tc>
        <w:tc>
          <w:tcPr>
            <w:tcW w:w="1276" w:type="dxa"/>
            <w:vAlign w:val="center"/>
          </w:tcPr>
          <w:p w14:paraId="5FE4E99B">
            <w:pPr>
              <w:pStyle w:val="12"/>
            </w:pPr>
            <w:r>
              <w:t>国有资产管理办法</w:t>
            </w:r>
          </w:p>
        </w:tc>
      </w:tr>
      <w:tr w14:paraId="34FD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634D4"/>
        </w:tc>
        <w:tc>
          <w:tcPr>
            <w:tcW w:w="2268" w:type="dxa"/>
            <w:vAlign w:val="center"/>
          </w:tcPr>
          <w:p w14:paraId="1115D7FB">
            <w:pPr>
              <w:pStyle w:val="12"/>
            </w:pPr>
            <w:r>
              <w:t>时效指标</w:t>
            </w:r>
          </w:p>
        </w:tc>
        <w:tc>
          <w:tcPr>
            <w:tcW w:w="2835" w:type="dxa"/>
            <w:vAlign w:val="center"/>
          </w:tcPr>
          <w:p w14:paraId="3FAB6EB5">
            <w:pPr>
              <w:pStyle w:val="12"/>
            </w:pPr>
            <w:r>
              <w:t>资金支付率</w:t>
            </w:r>
          </w:p>
        </w:tc>
        <w:tc>
          <w:tcPr>
            <w:tcW w:w="5386" w:type="dxa"/>
            <w:vAlign w:val="center"/>
          </w:tcPr>
          <w:p w14:paraId="4B049486">
            <w:pPr>
              <w:pStyle w:val="12"/>
            </w:pPr>
            <w:r>
              <w:t>按照序时进度完成资金支付</w:t>
            </w:r>
          </w:p>
        </w:tc>
        <w:tc>
          <w:tcPr>
            <w:tcW w:w="2268" w:type="dxa"/>
            <w:vAlign w:val="center"/>
          </w:tcPr>
          <w:p w14:paraId="28AD7661">
            <w:pPr>
              <w:pStyle w:val="12"/>
            </w:pPr>
            <w:r>
              <w:t>100%</w:t>
            </w:r>
          </w:p>
        </w:tc>
        <w:tc>
          <w:tcPr>
            <w:tcW w:w="1276" w:type="dxa"/>
            <w:vAlign w:val="center"/>
          </w:tcPr>
          <w:p w14:paraId="324CE2EB">
            <w:pPr>
              <w:pStyle w:val="12"/>
            </w:pPr>
            <w:r>
              <w:t>国有资产管理办法</w:t>
            </w:r>
          </w:p>
        </w:tc>
      </w:tr>
      <w:tr w14:paraId="0746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CCC29"/>
        </w:tc>
        <w:tc>
          <w:tcPr>
            <w:tcW w:w="2268" w:type="dxa"/>
            <w:vAlign w:val="center"/>
          </w:tcPr>
          <w:p w14:paraId="59C390AC">
            <w:pPr>
              <w:pStyle w:val="12"/>
            </w:pPr>
            <w:r>
              <w:t>成本指标</w:t>
            </w:r>
          </w:p>
        </w:tc>
        <w:tc>
          <w:tcPr>
            <w:tcW w:w="2835" w:type="dxa"/>
            <w:vAlign w:val="center"/>
          </w:tcPr>
          <w:p w14:paraId="3BBA2E07">
            <w:pPr>
              <w:pStyle w:val="12"/>
            </w:pPr>
            <w:r>
              <w:t>收费标准</w:t>
            </w:r>
          </w:p>
        </w:tc>
        <w:tc>
          <w:tcPr>
            <w:tcW w:w="5386" w:type="dxa"/>
            <w:vAlign w:val="center"/>
          </w:tcPr>
          <w:p w14:paraId="28694C67">
            <w:pPr>
              <w:pStyle w:val="12"/>
            </w:pPr>
            <w:r>
              <w:t>按照国有资产出租</w:t>
            </w:r>
            <w:r>
              <w:rPr>
                <w:rFonts w:hint="eastAsia"/>
                <w:lang w:eastAsia="zh-CN"/>
              </w:rPr>
              <w:t>出借</w:t>
            </w:r>
            <w:r>
              <w:t>规定收取</w:t>
            </w:r>
          </w:p>
        </w:tc>
        <w:tc>
          <w:tcPr>
            <w:tcW w:w="2268" w:type="dxa"/>
            <w:vAlign w:val="center"/>
          </w:tcPr>
          <w:p w14:paraId="3982B765">
            <w:pPr>
              <w:pStyle w:val="12"/>
            </w:pPr>
            <w:r>
              <w:t>35.4万元</w:t>
            </w:r>
          </w:p>
        </w:tc>
        <w:tc>
          <w:tcPr>
            <w:tcW w:w="1276" w:type="dxa"/>
            <w:vAlign w:val="center"/>
          </w:tcPr>
          <w:p w14:paraId="55D67515">
            <w:pPr>
              <w:pStyle w:val="12"/>
            </w:pPr>
            <w:r>
              <w:t>国有资产管理办法</w:t>
            </w:r>
          </w:p>
        </w:tc>
      </w:tr>
      <w:tr w14:paraId="0B18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E7034">
            <w:pPr>
              <w:pStyle w:val="13"/>
            </w:pPr>
            <w:r>
              <w:t>效益指标</w:t>
            </w:r>
          </w:p>
        </w:tc>
        <w:tc>
          <w:tcPr>
            <w:tcW w:w="2268" w:type="dxa"/>
            <w:vAlign w:val="center"/>
          </w:tcPr>
          <w:p w14:paraId="7350BCCD">
            <w:pPr>
              <w:pStyle w:val="12"/>
            </w:pPr>
            <w:r>
              <w:t>经济效益指标</w:t>
            </w:r>
          </w:p>
        </w:tc>
        <w:tc>
          <w:tcPr>
            <w:tcW w:w="2835" w:type="dxa"/>
            <w:vAlign w:val="center"/>
          </w:tcPr>
          <w:p w14:paraId="30896B0B">
            <w:pPr>
              <w:pStyle w:val="12"/>
            </w:pPr>
            <w:r>
              <w:t>资产利用率</w:t>
            </w:r>
          </w:p>
        </w:tc>
        <w:tc>
          <w:tcPr>
            <w:tcW w:w="5386" w:type="dxa"/>
            <w:vAlign w:val="center"/>
          </w:tcPr>
          <w:p w14:paraId="4DFCB586">
            <w:pPr>
              <w:pStyle w:val="12"/>
            </w:pPr>
            <w:r>
              <w:t>提升资产利用率</w:t>
            </w:r>
          </w:p>
        </w:tc>
        <w:tc>
          <w:tcPr>
            <w:tcW w:w="2268" w:type="dxa"/>
            <w:vAlign w:val="center"/>
          </w:tcPr>
          <w:p w14:paraId="4D54138D">
            <w:pPr>
              <w:pStyle w:val="12"/>
            </w:pPr>
            <w:r>
              <w:t>≥90%</w:t>
            </w:r>
          </w:p>
        </w:tc>
        <w:tc>
          <w:tcPr>
            <w:tcW w:w="1276" w:type="dxa"/>
            <w:vAlign w:val="center"/>
          </w:tcPr>
          <w:p w14:paraId="008DC4A5">
            <w:pPr>
              <w:pStyle w:val="12"/>
            </w:pPr>
            <w:r>
              <w:t>国有资产管理办法</w:t>
            </w:r>
          </w:p>
        </w:tc>
      </w:tr>
      <w:tr w14:paraId="5BA6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5713A">
            <w:pPr>
              <w:pStyle w:val="13"/>
            </w:pPr>
            <w:r>
              <w:t>满意度指标</w:t>
            </w:r>
          </w:p>
        </w:tc>
        <w:tc>
          <w:tcPr>
            <w:tcW w:w="2268" w:type="dxa"/>
            <w:vAlign w:val="center"/>
          </w:tcPr>
          <w:p w14:paraId="58327741">
            <w:pPr>
              <w:pStyle w:val="12"/>
            </w:pPr>
            <w:r>
              <w:t>服务对象满意度指标</w:t>
            </w:r>
          </w:p>
        </w:tc>
        <w:tc>
          <w:tcPr>
            <w:tcW w:w="2835" w:type="dxa"/>
            <w:vAlign w:val="center"/>
          </w:tcPr>
          <w:p w14:paraId="0638E849">
            <w:pPr>
              <w:pStyle w:val="12"/>
            </w:pPr>
            <w:r>
              <w:t>培训人员满意度</w:t>
            </w:r>
          </w:p>
        </w:tc>
        <w:tc>
          <w:tcPr>
            <w:tcW w:w="5386" w:type="dxa"/>
            <w:vAlign w:val="center"/>
          </w:tcPr>
          <w:p w14:paraId="2FB4D825">
            <w:pPr>
              <w:pStyle w:val="12"/>
            </w:pPr>
            <w:r>
              <w:t>培训人员满意度</w:t>
            </w:r>
          </w:p>
        </w:tc>
        <w:tc>
          <w:tcPr>
            <w:tcW w:w="2268" w:type="dxa"/>
            <w:vAlign w:val="center"/>
          </w:tcPr>
          <w:p w14:paraId="38E5F338">
            <w:pPr>
              <w:pStyle w:val="12"/>
            </w:pPr>
            <w:r>
              <w:t>≥95%</w:t>
            </w:r>
          </w:p>
        </w:tc>
        <w:tc>
          <w:tcPr>
            <w:tcW w:w="1276" w:type="dxa"/>
            <w:vAlign w:val="center"/>
          </w:tcPr>
          <w:p w14:paraId="4443697F">
            <w:pPr>
              <w:pStyle w:val="12"/>
            </w:pPr>
            <w:r>
              <w:t>调查问卷</w:t>
            </w:r>
          </w:p>
        </w:tc>
      </w:tr>
    </w:tbl>
    <w:p w14:paraId="5A8B21BA">
      <w:pPr>
        <w:sectPr>
          <w:pgSz w:w="16840" w:h="11900" w:orient="landscape"/>
          <w:pgMar w:top="1361" w:right="1020" w:bottom="1134" w:left="1020" w:header="720" w:footer="720" w:gutter="0"/>
          <w:cols w:space="720" w:num="1"/>
        </w:sectPr>
      </w:pPr>
    </w:p>
    <w:p w14:paraId="583623F7">
      <w:pPr>
        <w:spacing w:before="10" w:after="10" w:line="240" w:lineRule="auto"/>
        <w:ind w:firstLine="640"/>
        <w:jc w:val="left"/>
        <w:outlineLvl w:val="5"/>
      </w:pPr>
      <w:r>
        <w:rPr>
          <w:rFonts w:ascii="黑体" w:hAnsi="黑体" w:eastAsia="黑体" w:cs="黑体"/>
          <w:color w:val="000000"/>
          <w:sz w:val="32"/>
        </w:rPr>
        <w:t>六、政府采购预算情况</w:t>
      </w:r>
    </w:p>
    <w:p w14:paraId="6E31AA0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7A8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45453B">
            <w:pPr>
              <w:pStyle w:val="9"/>
            </w:pPr>
            <w:r>
              <w:t>360015隆尧县职业技术教育中心</w:t>
            </w:r>
          </w:p>
        </w:tc>
        <w:tc>
          <w:tcPr>
            <w:tcW w:w="8676" w:type="dxa"/>
            <w:gridSpan w:val="9"/>
            <w:tcBorders>
              <w:top w:val="single" w:color="FFFFFF" w:sz="6" w:space="0"/>
              <w:left w:val="single" w:color="FFFFFF" w:sz="6" w:space="0"/>
              <w:right w:val="single" w:color="FFFFFF" w:sz="6" w:space="0"/>
            </w:tcBorders>
            <w:vAlign w:val="center"/>
          </w:tcPr>
          <w:p w14:paraId="4837EA78">
            <w:pPr>
              <w:pStyle w:val="21"/>
            </w:pPr>
            <w:r>
              <w:t>单位：万元</w:t>
            </w:r>
          </w:p>
        </w:tc>
      </w:tr>
      <w:tr w14:paraId="6872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C6003B">
            <w:pPr>
              <w:pStyle w:val="10"/>
            </w:pPr>
            <w:r>
              <w:t>政府采购项目来源</w:t>
            </w:r>
          </w:p>
        </w:tc>
        <w:tc>
          <w:tcPr>
            <w:tcW w:w="1134" w:type="dxa"/>
            <w:vMerge w:val="restart"/>
            <w:vAlign w:val="center"/>
          </w:tcPr>
          <w:p w14:paraId="62B4632B">
            <w:pPr>
              <w:pStyle w:val="10"/>
            </w:pPr>
            <w:r>
              <w:t>采购物品名称</w:t>
            </w:r>
          </w:p>
        </w:tc>
        <w:tc>
          <w:tcPr>
            <w:tcW w:w="1134" w:type="dxa"/>
            <w:vMerge w:val="restart"/>
            <w:vAlign w:val="center"/>
          </w:tcPr>
          <w:p w14:paraId="69A15B9B">
            <w:pPr>
              <w:pStyle w:val="10"/>
            </w:pPr>
            <w:r>
              <w:t>政府采购目录序号</w:t>
            </w:r>
          </w:p>
        </w:tc>
        <w:tc>
          <w:tcPr>
            <w:tcW w:w="709" w:type="dxa"/>
            <w:vMerge w:val="restart"/>
            <w:vAlign w:val="center"/>
          </w:tcPr>
          <w:p w14:paraId="14983E97">
            <w:pPr>
              <w:pStyle w:val="10"/>
            </w:pPr>
            <w:r>
              <w:t>计量  单位</w:t>
            </w:r>
          </w:p>
        </w:tc>
        <w:tc>
          <w:tcPr>
            <w:tcW w:w="850" w:type="dxa"/>
            <w:vMerge w:val="restart"/>
            <w:vAlign w:val="center"/>
          </w:tcPr>
          <w:p w14:paraId="7B04A00D">
            <w:pPr>
              <w:pStyle w:val="10"/>
            </w:pPr>
            <w:r>
              <w:t>数量</w:t>
            </w:r>
          </w:p>
        </w:tc>
        <w:tc>
          <w:tcPr>
            <w:tcW w:w="850" w:type="dxa"/>
            <w:vMerge w:val="restart"/>
            <w:vAlign w:val="center"/>
          </w:tcPr>
          <w:p w14:paraId="48DCEFBA">
            <w:pPr>
              <w:pStyle w:val="10"/>
            </w:pPr>
            <w:r>
              <w:t>单价</w:t>
            </w:r>
          </w:p>
        </w:tc>
        <w:tc>
          <w:tcPr>
            <w:tcW w:w="7712" w:type="dxa"/>
            <w:gridSpan w:val="8"/>
            <w:vAlign w:val="center"/>
          </w:tcPr>
          <w:p w14:paraId="5CECA42A">
            <w:pPr>
              <w:pStyle w:val="10"/>
            </w:pPr>
            <w:r>
              <w:t>政府采购金额（当年部门预算安排资金）</w:t>
            </w:r>
          </w:p>
        </w:tc>
        <w:tc>
          <w:tcPr>
            <w:tcW w:w="964" w:type="dxa"/>
            <w:vMerge w:val="restart"/>
            <w:vAlign w:val="center"/>
          </w:tcPr>
          <w:p w14:paraId="13EE463E">
            <w:pPr>
              <w:pStyle w:val="10"/>
            </w:pPr>
            <w:r>
              <w:t>2026年  预留中  小微企  业份额</w:t>
            </w:r>
          </w:p>
        </w:tc>
      </w:tr>
      <w:tr w14:paraId="1330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119FAD">
            <w:pPr>
              <w:pStyle w:val="10"/>
            </w:pPr>
            <w:r>
              <w:t>项目名称</w:t>
            </w:r>
          </w:p>
        </w:tc>
        <w:tc>
          <w:tcPr>
            <w:tcW w:w="964" w:type="dxa"/>
            <w:vAlign w:val="center"/>
          </w:tcPr>
          <w:p w14:paraId="220D15E7">
            <w:pPr>
              <w:pStyle w:val="10"/>
            </w:pPr>
            <w:r>
              <w:t>预算    资金</w:t>
            </w:r>
          </w:p>
        </w:tc>
        <w:tc>
          <w:tcPr>
            <w:tcW w:w="1134" w:type="dxa"/>
            <w:vMerge w:val="continue"/>
          </w:tcPr>
          <w:p w14:paraId="6E8BEF30"/>
        </w:tc>
        <w:tc>
          <w:tcPr>
            <w:tcW w:w="1134" w:type="dxa"/>
            <w:vMerge w:val="continue"/>
          </w:tcPr>
          <w:p w14:paraId="3B993843"/>
        </w:tc>
        <w:tc>
          <w:tcPr>
            <w:tcW w:w="709" w:type="dxa"/>
            <w:vMerge w:val="continue"/>
          </w:tcPr>
          <w:p w14:paraId="7D4A94A1"/>
        </w:tc>
        <w:tc>
          <w:tcPr>
            <w:tcW w:w="850" w:type="dxa"/>
            <w:vMerge w:val="continue"/>
          </w:tcPr>
          <w:p w14:paraId="6E658BA9"/>
        </w:tc>
        <w:tc>
          <w:tcPr>
            <w:tcW w:w="850" w:type="dxa"/>
            <w:vMerge w:val="continue"/>
          </w:tcPr>
          <w:p w14:paraId="26905468"/>
        </w:tc>
        <w:tc>
          <w:tcPr>
            <w:tcW w:w="964" w:type="dxa"/>
            <w:vAlign w:val="center"/>
          </w:tcPr>
          <w:p w14:paraId="7E00303B">
            <w:pPr>
              <w:pStyle w:val="10"/>
            </w:pPr>
            <w:r>
              <w:t>合计</w:t>
            </w:r>
          </w:p>
        </w:tc>
        <w:tc>
          <w:tcPr>
            <w:tcW w:w="964" w:type="dxa"/>
            <w:vAlign w:val="center"/>
          </w:tcPr>
          <w:p w14:paraId="431286B8">
            <w:pPr>
              <w:pStyle w:val="10"/>
            </w:pPr>
            <w:r>
              <w:t>一般公共预算拨款</w:t>
            </w:r>
          </w:p>
        </w:tc>
        <w:tc>
          <w:tcPr>
            <w:tcW w:w="964" w:type="dxa"/>
            <w:vAlign w:val="center"/>
          </w:tcPr>
          <w:p w14:paraId="013C70E6">
            <w:pPr>
              <w:pStyle w:val="10"/>
            </w:pPr>
            <w:r>
              <w:t>基金预算拨款</w:t>
            </w:r>
          </w:p>
        </w:tc>
        <w:tc>
          <w:tcPr>
            <w:tcW w:w="964" w:type="dxa"/>
            <w:vAlign w:val="center"/>
          </w:tcPr>
          <w:p w14:paraId="441F1ADE">
            <w:pPr>
              <w:pStyle w:val="10"/>
            </w:pPr>
            <w:r>
              <w:t>国有资本经营预算拨款</w:t>
            </w:r>
          </w:p>
        </w:tc>
        <w:tc>
          <w:tcPr>
            <w:tcW w:w="964" w:type="dxa"/>
            <w:vAlign w:val="center"/>
          </w:tcPr>
          <w:p w14:paraId="79E2A679">
            <w:pPr>
              <w:pStyle w:val="10"/>
            </w:pPr>
            <w:r>
              <w:t>财政专户核拨</w:t>
            </w:r>
          </w:p>
        </w:tc>
        <w:tc>
          <w:tcPr>
            <w:tcW w:w="964" w:type="dxa"/>
            <w:vAlign w:val="center"/>
          </w:tcPr>
          <w:p w14:paraId="4A0421AD">
            <w:pPr>
              <w:pStyle w:val="10"/>
            </w:pPr>
            <w:r>
              <w:t>单位    资金</w:t>
            </w:r>
          </w:p>
        </w:tc>
        <w:tc>
          <w:tcPr>
            <w:tcW w:w="964" w:type="dxa"/>
            <w:vAlign w:val="center"/>
          </w:tcPr>
          <w:p w14:paraId="4CD56B60">
            <w:pPr>
              <w:pStyle w:val="10"/>
            </w:pPr>
            <w:r>
              <w:t>财政拨款结转</w:t>
            </w:r>
          </w:p>
        </w:tc>
        <w:tc>
          <w:tcPr>
            <w:tcW w:w="964" w:type="dxa"/>
            <w:vAlign w:val="center"/>
          </w:tcPr>
          <w:p w14:paraId="726603E6">
            <w:pPr>
              <w:pStyle w:val="10"/>
            </w:pPr>
            <w:r>
              <w:t>非财政拨款结余</w:t>
            </w:r>
          </w:p>
        </w:tc>
        <w:tc>
          <w:tcPr>
            <w:tcW w:w="964" w:type="dxa"/>
            <w:vMerge w:val="continue"/>
          </w:tcPr>
          <w:p w14:paraId="469AF0E0"/>
        </w:tc>
      </w:tr>
      <w:tr w14:paraId="3417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B1A736">
            <w:pPr>
              <w:pStyle w:val="14"/>
            </w:pPr>
            <w:r>
              <w:t>合  计</w:t>
            </w:r>
          </w:p>
        </w:tc>
        <w:tc>
          <w:tcPr>
            <w:tcW w:w="964" w:type="dxa"/>
            <w:vAlign w:val="center"/>
          </w:tcPr>
          <w:p w14:paraId="24F01221">
            <w:pPr>
              <w:pStyle w:val="15"/>
            </w:pPr>
          </w:p>
        </w:tc>
        <w:tc>
          <w:tcPr>
            <w:tcW w:w="1134" w:type="dxa"/>
            <w:vAlign w:val="center"/>
          </w:tcPr>
          <w:p w14:paraId="0DD717D5">
            <w:pPr>
              <w:pStyle w:val="16"/>
            </w:pPr>
          </w:p>
        </w:tc>
        <w:tc>
          <w:tcPr>
            <w:tcW w:w="1134" w:type="dxa"/>
            <w:vAlign w:val="center"/>
          </w:tcPr>
          <w:p w14:paraId="609C5D35">
            <w:pPr>
              <w:pStyle w:val="16"/>
            </w:pPr>
          </w:p>
        </w:tc>
        <w:tc>
          <w:tcPr>
            <w:tcW w:w="709" w:type="dxa"/>
            <w:vAlign w:val="center"/>
          </w:tcPr>
          <w:p w14:paraId="256F346C">
            <w:pPr>
              <w:pStyle w:val="14"/>
            </w:pPr>
          </w:p>
        </w:tc>
        <w:tc>
          <w:tcPr>
            <w:tcW w:w="850" w:type="dxa"/>
            <w:vAlign w:val="center"/>
          </w:tcPr>
          <w:p w14:paraId="0E452C95">
            <w:pPr>
              <w:pStyle w:val="15"/>
            </w:pPr>
          </w:p>
        </w:tc>
        <w:tc>
          <w:tcPr>
            <w:tcW w:w="850" w:type="dxa"/>
            <w:vAlign w:val="center"/>
          </w:tcPr>
          <w:p w14:paraId="74D93DE7">
            <w:pPr>
              <w:pStyle w:val="15"/>
            </w:pPr>
          </w:p>
        </w:tc>
        <w:tc>
          <w:tcPr>
            <w:tcW w:w="964" w:type="dxa"/>
            <w:vAlign w:val="center"/>
          </w:tcPr>
          <w:p w14:paraId="030ED5C1">
            <w:pPr>
              <w:pStyle w:val="15"/>
            </w:pPr>
            <w:r>
              <w:t>58.37</w:t>
            </w:r>
          </w:p>
        </w:tc>
        <w:tc>
          <w:tcPr>
            <w:tcW w:w="964" w:type="dxa"/>
            <w:vAlign w:val="center"/>
          </w:tcPr>
          <w:p w14:paraId="3383E2EC">
            <w:pPr>
              <w:pStyle w:val="15"/>
            </w:pPr>
            <w:r>
              <w:t>58.37</w:t>
            </w:r>
          </w:p>
        </w:tc>
        <w:tc>
          <w:tcPr>
            <w:tcW w:w="964" w:type="dxa"/>
            <w:vAlign w:val="center"/>
          </w:tcPr>
          <w:p w14:paraId="27521763">
            <w:pPr>
              <w:pStyle w:val="15"/>
            </w:pPr>
          </w:p>
        </w:tc>
        <w:tc>
          <w:tcPr>
            <w:tcW w:w="964" w:type="dxa"/>
            <w:vAlign w:val="center"/>
          </w:tcPr>
          <w:p w14:paraId="2DB51F82">
            <w:pPr>
              <w:pStyle w:val="15"/>
            </w:pPr>
          </w:p>
        </w:tc>
        <w:tc>
          <w:tcPr>
            <w:tcW w:w="964" w:type="dxa"/>
            <w:vAlign w:val="center"/>
          </w:tcPr>
          <w:p w14:paraId="52E8E627">
            <w:pPr>
              <w:pStyle w:val="15"/>
            </w:pPr>
          </w:p>
        </w:tc>
        <w:tc>
          <w:tcPr>
            <w:tcW w:w="964" w:type="dxa"/>
            <w:vAlign w:val="center"/>
          </w:tcPr>
          <w:p w14:paraId="2E2699CB">
            <w:pPr>
              <w:pStyle w:val="15"/>
            </w:pPr>
          </w:p>
        </w:tc>
        <w:tc>
          <w:tcPr>
            <w:tcW w:w="964" w:type="dxa"/>
            <w:vAlign w:val="center"/>
          </w:tcPr>
          <w:p w14:paraId="5F9672B6">
            <w:pPr>
              <w:pStyle w:val="15"/>
            </w:pPr>
          </w:p>
        </w:tc>
        <w:tc>
          <w:tcPr>
            <w:tcW w:w="964" w:type="dxa"/>
            <w:vAlign w:val="center"/>
          </w:tcPr>
          <w:p w14:paraId="2D3DA738">
            <w:pPr>
              <w:pStyle w:val="15"/>
            </w:pPr>
          </w:p>
        </w:tc>
        <w:tc>
          <w:tcPr>
            <w:tcW w:w="964" w:type="dxa"/>
            <w:vAlign w:val="center"/>
          </w:tcPr>
          <w:p w14:paraId="3B543F56">
            <w:pPr>
              <w:pStyle w:val="15"/>
            </w:pPr>
            <w:r>
              <w:t>58.37</w:t>
            </w:r>
          </w:p>
        </w:tc>
      </w:tr>
      <w:tr w14:paraId="1258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B6841E">
            <w:pPr>
              <w:pStyle w:val="14"/>
            </w:pPr>
            <w:r>
              <w:t>隆尧县职业技术教育中心小计</w:t>
            </w:r>
          </w:p>
        </w:tc>
        <w:tc>
          <w:tcPr>
            <w:tcW w:w="964" w:type="dxa"/>
            <w:vAlign w:val="center"/>
          </w:tcPr>
          <w:p w14:paraId="1094FBB8">
            <w:pPr>
              <w:pStyle w:val="15"/>
            </w:pPr>
          </w:p>
        </w:tc>
        <w:tc>
          <w:tcPr>
            <w:tcW w:w="1134" w:type="dxa"/>
            <w:vAlign w:val="center"/>
          </w:tcPr>
          <w:p w14:paraId="11099BE1">
            <w:pPr>
              <w:pStyle w:val="16"/>
            </w:pPr>
          </w:p>
        </w:tc>
        <w:tc>
          <w:tcPr>
            <w:tcW w:w="1134" w:type="dxa"/>
            <w:vAlign w:val="center"/>
          </w:tcPr>
          <w:p w14:paraId="274F6D42">
            <w:pPr>
              <w:pStyle w:val="16"/>
            </w:pPr>
          </w:p>
        </w:tc>
        <w:tc>
          <w:tcPr>
            <w:tcW w:w="709" w:type="dxa"/>
            <w:vAlign w:val="center"/>
          </w:tcPr>
          <w:p w14:paraId="0FCEC5BB">
            <w:pPr>
              <w:pStyle w:val="14"/>
            </w:pPr>
          </w:p>
        </w:tc>
        <w:tc>
          <w:tcPr>
            <w:tcW w:w="850" w:type="dxa"/>
            <w:vAlign w:val="center"/>
          </w:tcPr>
          <w:p w14:paraId="6FFEDD2B">
            <w:pPr>
              <w:pStyle w:val="15"/>
            </w:pPr>
          </w:p>
        </w:tc>
        <w:tc>
          <w:tcPr>
            <w:tcW w:w="850" w:type="dxa"/>
            <w:vAlign w:val="center"/>
          </w:tcPr>
          <w:p w14:paraId="4911BA95">
            <w:pPr>
              <w:pStyle w:val="15"/>
            </w:pPr>
          </w:p>
        </w:tc>
        <w:tc>
          <w:tcPr>
            <w:tcW w:w="964" w:type="dxa"/>
            <w:vAlign w:val="center"/>
          </w:tcPr>
          <w:p w14:paraId="7BDA7EBD">
            <w:pPr>
              <w:pStyle w:val="15"/>
            </w:pPr>
            <w:r>
              <w:t>58.37</w:t>
            </w:r>
          </w:p>
        </w:tc>
        <w:tc>
          <w:tcPr>
            <w:tcW w:w="964" w:type="dxa"/>
            <w:vAlign w:val="center"/>
          </w:tcPr>
          <w:p w14:paraId="13ED4A14">
            <w:pPr>
              <w:pStyle w:val="15"/>
            </w:pPr>
            <w:r>
              <w:t>58.37</w:t>
            </w:r>
          </w:p>
        </w:tc>
        <w:tc>
          <w:tcPr>
            <w:tcW w:w="964" w:type="dxa"/>
            <w:vAlign w:val="center"/>
          </w:tcPr>
          <w:p w14:paraId="0D9DDE51">
            <w:pPr>
              <w:pStyle w:val="15"/>
            </w:pPr>
          </w:p>
        </w:tc>
        <w:tc>
          <w:tcPr>
            <w:tcW w:w="964" w:type="dxa"/>
            <w:vAlign w:val="center"/>
          </w:tcPr>
          <w:p w14:paraId="5BB9F3DC">
            <w:pPr>
              <w:pStyle w:val="15"/>
            </w:pPr>
          </w:p>
        </w:tc>
        <w:tc>
          <w:tcPr>
            <w:tcW w:w="964" w:type="dxa"/>
            <w:vAlign w:val="center"/>
          </w:tcPr>
          <w:p w14:paraId="30EE330C">
            <w:pPr>
              <w:pStyle w:val="15"/>
            </w:pPr>
          </w:p>
        </w:tc>
        <w:tc>
          <w:tcPr>
            <w:tcW w:w="964" w:type="dxa"/>
            <w:vAlign w:val="center"/>
          </w:tcPr>
          <w:p w14:paraId="56A91E2B">
            <w:pPr>
              <w:pStyle w:val="15"/>
            </w:pPr>
          </w:p>
        </w:tc>
        <w:tc>
          <w:tcPr>
            <w:tcW w:w="964" w:type="dxa"/>
            <w:vAlign w:val="center"/>
          </w:tcPr>
          <w:p w14:paraId="67001911">
            <w:pPr>
              <w:pStyle w:val="15"/>
            </w:pPr>
          </w:p>
        </w:tc>
        <w:tc>
          <w:tcPr>
            <w:tcW w:w="964" w:type="dxa"/>
            <w:vAlign w:val="center"/>
          </w:tcPr>
          <w:p w14:paraId="661C5C05">
            <w:pPr>
              <w:pStyle w:val="15"/>
            </w:pPr>
          </w:p>
        </w:tc>
        <w:tc>
          <w:tcPr>
            <w:tcW w:w="964" w:type="dxa"/>
            <w:vAlign w:val="center"/>
          </w:tcPr>
          <w:p w14:paraId="1BDE082C">
            <w:pPr>
              <w:pStyle w:val="15"/>
            </w:pPr>
            <w:r>
              <w:t>58.37</w:t>
            </w:r>
          </w:p>
        </w:tc>
      </w:tr>
      <w:tr w14:paraId="77AB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D90607">
            <w:pPr>
              <w:pStyle w:val="12"/>
            </w:pPr>
            <w:r>
              <w:t>县级配套/2026年中职免学费（职教中职）</w:t>
            </w:r>
          </w:p>
        </w:tc>
        <w:tc>
          <w:tcPr>
            <w:tcW w:w="964" w:type="dxa"/>
            <w:vAlign w:val="center"/>
          </w:tcPr>
          <w:p w14:paraId="61518DE8">
            <w:pPr>
              <w:pStyle w:val="11"/>
            </w:pPr>
            <w:r>
              <w:t>68.00</w:t>
            </w:r>
          </w:p>
        </w:tc>
        <w:tc>
          <w:tcPr>
            <w:tcW w:w="1134" w:type="dxa"/>
            <w:vAlign w:val="center"/>
          </w:tcPr>
          <w:p w14:paraId="7EEBD0A8">
            <w:pPr>
              <w:pStyle w:val="12"/>
            </w:pPr>
            <w:r>
              <w:t>其他信息化设备</w:t>
            </w:r>
          </w:p>
        </w:tc>
        <w:tc>
          <w:tcPr>
            <w:tcW w:w="1134" w:type="dxa"/>
            <w:vAlign w:val="center"/>
          </w:tcPr>
          <w:p w14:paraId="1299C41D">
            <w:pPr>
              <w:pStyle w:val="12"/>
            </w:pPr>
            <w:r>
              <w:t>A02019900</w:t>
            </w:r>
          </w:p>
        </w:tc>
        <w:tc>
          <w:tcPr>
            <w:tcW w:w="709" w:type="dxa"/>
            <w:vAlign w:val="center"/>
          </w:tcPr>
          <w:p w14:paraId="672FBB13">
            <w:pPr>
              <w:pStyle w:val="13"/>
            </w:pPr>
            <w:r>
              <w:t>套</w:t>
            </w:r>
          </w:p>
        </w:tc>
        <w:tc>
          <w:tcPr>
            <w:tcW w:w="850" w:type="dxa"/>
            <w:vAlign w:val="center"/>
          </w:tcPr>
          <w:p w14:paraId="7A994F28">
            <w:pPr>
              <w:pStyle w:val="11"/>
            </w:pPr>
            <w:r>
              <w:t>1</w:t>
            </w:r>
          </w:p>
        </w:tc>
        <w:tc>
          <w:tcPr>
            <w:tcW w:w="850" w:type="dxa"/>
            <w:vAlign w:val="center"/>
          </w:tcPr>
          <w:p w14:paraId="22839436">
            <w:pPr>
              <w:pStyle w:val="11"/>
            </w:pPr>
            <w:r>
              <w:t>29.20</w:t>
            </w:r>
          </w:p>
        </w:tc>
        <w:tc>
          <w:tcPr>
            <w:tcW w:w="964" w:type="dxa"/>
            <w:vAlign w:val="center"/>
          </w:tcPr>
          <w:p w14:paraId="5D2949CA">
            <w:pPr>
              <w:pStyle w:val="11"/>
            </w:pPr>
            <w:r>
              <w:t>29.20</w:t>
            </w:r>
          </w:p>
        </w:tc>
        <w:tc>
          <w:tcPr>
            <w:tcW w:w="964" w:type="dxa"/>
            <w:vAlign w:val="center"/>
          </w:tcPr>
          <w:p w14:paraId="1C5B5632">
            <w:pPr>
              <w:pStyle w:val="11"/>
            </w:pPr>
            <w:r>
              <w:t>29.20</w:t>
            </w:r>
          </w:p>
        </w:tc>
        <w:tc>
          <w:tcPr>
            <w:tcW w:w="964" w:type="dxa"/>
            <w:vAlign w:val="center"/>
          </w:tcPr>
          <w:p w14:paraId="007BDF0F">
            <w:pPr>
              <w:pStyle w:val="11"/>
            </w:pPr>
          </w:p>
        </w:tc>
        <w:tc>
          <w:tcPr>
            <w:tcW w:w="964" w:type="dxa"/>
            <w:vAlign w:val="center"/>
          </w:tcPr>
          <w:p w14:paraId="36B07313">
            <w:pPr>
              <w:pStyle w:val="11"/>
            </w:pPr>
          </w:p>
        </w:tc>
        <w:tc>
          <w:tcPr>
            <w:tcW w:w="964" w:type="dxa"/>
            <w:vAlign w:val="center"/>
          </w:tcPr>
          <w:p w14:paraId="51B428B2">
            <w:pPr>
              <w:pStyle w:val="11"/>
            </w:pPr>
          </w:p>
        </w:tc>
        <w:tc>
          <w:tcPr>
            <w:tcW w:w="964" w:type="dxa"/>
            <w:vAlign w:val="center"/>
          </w:tcPr>
          <w:p w14:paraId="4FE11D79">
            <w:pPr>
              <w:pStyle w:val="11"/>
            </w:pPr>
          </w:p>
        </w:tc>
        <w:tc>
          <w:tcPr>
            <w:tcW w:w="964" w:type="dxa"/>
            <w:vAlign w:val="center"/>
          </w:tcPr>
          <w:p w14:paraId="5B2FD7EA">
            <w:pPr>
              <w:pStyle w:val="11"/>
            </w:pPr>
          </w:p>
        </w:tc>
        <w:tc>
          <w:tcPr>
            <w:tcW w:w="964" w:type="dxa"/>
            <w:vAlign w:val="center"/>
          </w:tcPr>
          <w:p w14:paraId="20602509">
            <w:pPr>
              <w:pStyle w:val="11"/>
            </w:pPr>
          </w:p>
        </w:tc>
        <w:tc>
          <w:tcPr>
            <w:tcW w:w="964" w:type="dxa"/>
            <w:vAlign w:val="center"/>
          </w:tcPr>
          <w:p w14:paraId="1081106A">
            <w:pPr>
              <w:pStyle w:val="11"/>
            </w:pPr>
            <w:r>
              <w:t>29.20</w:t>
            </w:r>
          </w:p>
        </w:tc>
      </w:tr>
      <w:tr w14:paraId="1C80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FC6B55">
            <w:pPr>
              <w:pStyle w:val="12"/>
            </w:pPr>
            <w:r>
              <w:t>县级配套/2026年中职免学费（职教中职）</w:t>
            </w:r>
          </w:p>
        </w:tc>
        <w:tc>
          <w:tcPr>
            <w:tcW w:w="964" w:type="dxa"/>
            <w:vAlign w:val="center"/>
          </w:tcPr>
          <w:p w14:paraId="3A07A642">
            <w:pPr>
              <w:pStyle w:val="11"/>
            </w:pPr>
            <w:r>
              <w:t>68.00</w:t>
            </w:r>
          </w:p>
        </w:tc>
        <w:tc>
          <w:tcPr>
            <w:tcW w:w="1134" w:type="dxa"/>
            <w:vAlign w:val="center"/>
          </w:tcPr>
          <w:p w14:paraId="61548728">
            <w:pPr>
              <w:pStyle w:val="12"/>
            </w:pPr>
            <w:r>
              <w:t>其他信息化设备</w:t>
            </w:r>
          </w:p>
        </w:tc>
        <w:tc>
          <w:tcPr>
            <w:tcW w:w="1134" w:type="dxa"/>
            <w:vAlign w:val="center"/>
          </w:tcPr>
          <w:p w14:paraId="0ADE2AFD">
            <w:pPr>
              <w:pStyle w:val="12"/>
            </w:pPr>
            <w:r>
              <w:t>A02019900</w:t>
            </w:r>
          </w:p>
        </w:tc>
        <w:tc>
          <w:tcPr>
            <w:tcW w:w="709" w:type="dxa"/>
            <w:vAlign w:val="center"/>
          </w:tcPr>
          <w:p w14:paraId="61035D49">
            <w:pPr>
              <w:pStyle w:val="13"/>
            </w:pPr>
            <w:r>
              <w:t>套</w:t>
            </w:r>
          </w:p>
        </w:tc>
        <w:tc>
          <w:tcPr>
            <w:tcW w:w="850" w:type="dxa"/>
            <w:vAlign w:val="center"/>
          </w:tcPr>
          <w:p w14:paraId="00A7135C">
            <w:pPr>
              <w:pStyle w:val="11"/>
            </w:pPr>
            <w:r>
              <w:t>1</w:t>
            </w:r>
          </w:p>
        </w:tc>
        <w:tc>
          <w:tcPr>
            <w:tcW w:w="850" w:type="dxa"/>
            <w:vAlign w:val="center"/>
          </w:tcPr>
          <w:p w14:paraId="70FC232B">
            <w:pPr>
              <w:pStyle w:val="11"/>
            </w:pPr>
            <w:r>
              <w:t>13.59</w:t>
            </w:r>
          </w:p>
        </w:tc>
        <w:tc>
          <w:tcPr>
            <w:tcW w:w="964" w:type="dxa"/>
            <w:vAlign w:val="center"/>
          </w:tcPr>
          <w:p w14:paraId="6D500FA3">
            <w:pPr>
              <w:pStyle w:val="11"/>
            </w:pPr>
            <w:r>
              <w:t>13.59</w:t>
            </w:r>
          </w:p>
        </w:tc>
        <w:tc>
          <w:tcPr>
            <w:tcW w:w="964" w:type="dxa"/>
            <w:vAlign w:val="center"/>
          </w:tcPr>
          <w:p w14:paraId="5C41AEDD">
            <w:pPr>
              <w:pStyle w:val="11"/>
            </w:pPr>
            <w:r>
              <w:t>13.59</w:t>
            </w:r>
          </w:p>
        </w:tc>
        <w:tc>
          <w:tcPr>
            <w:tcW w:w="964" w:type="dxa"/>
            <w:vAlign w:val="center"/>
          </w:tcPr>
          <w:p w14:paraId="41179F92">
            <w:pPr>
              <w:pStyle w:val="11"/>
            </w:pPr>
          </w:p>
        </w:tc>
        <w:tc>
          <w:tcPr>
            <w:tcW w:w="964" w:type="dxa"/>
            <w:vAlign w:val="center"/>
          </w:tcPr>
          <w:p w14:paraId="10BEB446">
            <w:pPr>
              <w:pStyle w:val="11"/>
            </w:pPr>
          </w:p>
        </w:tc>
        <w:tc>
          <w:tcPr>
            <w:tcW w:w="964" w:type="dxa"/>
            <w:vAlign w:val="center"/>
          </w:tcPr>
          <w:p w14:paraId="344A3805">
            <w:pPr>
              <w:pStyle w:val="11"/>
            </w:pPr>
          </w:p>
        </w:tc>
        <w:tc>
          <w:tcPr>
            <w:tcW w:w="964" w:type="dxa"/>
            <w:vAlign w:val="center"/>
          </w:tcPr>
          <w:p w14:paraId="0CAEEFD3">
            <w:pPr>
              <w:pStyle w:val="11"/>
            </w:pPr>
          </w:p>
        </w:tc>
        <w:tc>
          <w:tcPr>
            <w:tcW w:w="964" w:type="dxa"/>
            <w:vAlign w:val="center"/>
          </w:tcPr>
          <w:p w14:paraId="06FBDE6F">
            <w:pPr>
              <w:pStyle w:val="11"/>
            </w:pPr>
          </w:p>
        </w:tc>
        <w:tc>
          <w:tcPr>
            <w:tcW w:w="964" w:type="dxa"/>
            <w:vAlign w:val="center"/>
          </w:tcPr>
          <w:p w14:paraId="57233A12">
            <w:pPr>
              <w:pStyle w:val="11"/>
            </w:pPr>
          </w:p>
        </w:tc>
        <w:tc>
          <w:tcPr>
            <w:tcW w:w="964" w:type="dxa"/>
            <w:vAlign w:val="center"/>
          </w:tcPr>
          <w:p w14:paraId="0C36CC72">
            <w:pPr>
              <w:pStyle w:val="11"/>
            </w:pPr>
            <w:r>
              <w:t>13.59</w:t>
            </w:r>
          </w:p>
        </w:tc>
      </w:tr>
      <w:tr w14:paraId="7F37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6A69E4">
            <w:pPr>
              <w:pStyle w:val="12"/>
            </w:pPr>
            <w:r>
              <w:t>县级配套/2026年中职免学费（职教中职）</w:t>
            </w:r>
          </w:p>
        </w:tc>
        <w:tc>
          <w:tcPr>
            <w:tcW w:w="964" w:type="dxa"/>
            <w:vAlign w:val="center"/>
          </w:tcPr>
          <w:p w14:paraId="119A5C0D">
            <w:pPr>
              <w:pStyle w:val="11"/>
            </w:pPr>
            <w:r>
              <w:t>68.00</w:t>
            </w:r>
          </w:p>
        </w:tc>
        <w:tc>
          <w:tcPr>
            <w:tcW w:w="1134" w:type="dxa"/>
            <w:vAlign w:val="center"/>
          </w:tcPr>
          <w:p w14:paraId="0E34C22A">
            <w:pPr>
              <w:pStyle w:val="12"/>
            </w:pPr>
            <w:r>
              <w:t>其他信息化设备</w:t>
            </w:r>
          </w:p>
        </w:tc>
        <w:tc>
          <w:tcPr>
            <w:tcW w:w="1134" w:type="dxa"/>
            <w:vAlign w:val="center"/>
          </w:tcPr>
          <w:p w14:paraId="769E661B">
            <w:pPr>
              <w:pStyle w:val="12"/>
            </w:pPr>
            <w:r>
              <w:t>A02019900</w:t>
            </w:r>
          </w:p>
        </w:tc>
        <w:tc>
          <w:tcPr>
            <w:tcW w:w="709" w:type="dxa"/>
            <w:vAlign w:val="center"/>
          </w:tcPr>
          <w:p w14:paraId="0ECAABCB">
            <w:pPr>
              <w:pStyle w:val="13"/>
            </w:pPr>
            <w:r>
              <w:t>套</w:t>
            </w:r>
          </w:p>
        </w:tc>
        <w:tc>
          <w:tcPr>
            <w:tcW w:w="850" w:type="dxa"/>
            <w:vAlign w:val="center"/>
          </w:tcPr>
          <w:p w14:paraId="4154D2B5">
            <w:pPr>
              <w:pStyle w:val="11"/>
            </w:pPr>
            <w:r>
              <w:t>1</w:t>
            </w:r>
          </w:p>
        </w:tc>
        <w:tc>
          <w:tcPr>
            <w:tcW w:w="850" w:type="dxa"/>
            <w:vAlign w:val="center"/>
          </w:tcPr>
          <w:p w14:paraId="4001A718">
            <w:pPr>
              <w:pStyle w:val="11"/>
            </w:pPr>
            <w:r>
              <w:t>15.58</w:t>
            </w:r>
          </w:p>
        </w:tc>
        <w:tc>
          <w:tcPr>
            <w:tcW w:w="964" w:type="dxa"/>
            <w:vAlign w:val="center"/>
          </w:tcPr>
          <w:p w14:paraId="60012E2F">
            <w:pPr>
              <w:pStyle w:val="11"/>
            </w:pPr>
            <w:r>
              <w:t>15.58</w:t>
            </w:r>
          </w:p>
        </w:tc>
        <w:tc>
          <w:tcPr>
            <w:tcW w:w="964" w:type="dxa"/>
            <w:vAlign w:val="center"/>
          </w:tcPr>
          <w:p w14:paraId="28661A9E">
            <w:pPr>
              <w:pStyle w:val="11"/>
            </w:pPr>
            <w:r>
              <w:t>15.58</w:t>
            </w:r>
          </w:p>
        </w:tc>
        <w:tc>
          <w:tcPr>
            <w:tcW w:w="964" w:type="dxa"/>
            <w:vAlign w:val="center"/>
          </w:tcPr>
          <w:p w14:paraId="3F459F6E">
            <w:pPr>
              <w:pStyle w:val="11"/>
            </w:pPr>
          </w:p>
        </w:tc>
        <w:tc>
          <w:tcPr>
            <w:tcW w:w="964" w:type="dxa"/>
            <w:vAlign w:val="center"/>
          </w:tcPr>
          <w:p w14:paraId="1EF17EE2">
            <w:pPr>
              <w:pStyle w:val="11"/>
            </w:pPr>
          </w:p>
        </w:tc>
        <w:tc>
          <w:tcPr>
            <w:tcW w:w="964" w:type="dxa"/>
            <w:vAlign w:val="center"/>
          </w:tcPr>
          <w:p w14:paraId="72395B55">
            <w:pPr>
              <w:pStyle w:val="11"/>
            </w:pPr>
          </w:p>
        </w:tc>
        <w:tc>
          <w:tcPr>
            <w:tcW w:w="964" w:type="dxa"/>
            <w:vAlign w:val="center"/>
          </w:tcPr>
          <w:p w14:paraId="7B10E23D">
            <w:pPr>
              <w:pStyle w:val="11"/>
            </w:pPr>
          </w:p>
        </w:tc>
        <w:tc>
          <w:tcPr>
            <w:tcW w:w="964" w:type="dxa"/>
            <w:vAlign w:val="center"/>
          </w:tcPr>
          <w:p w14:paraId="66F523EE">
            <w:pPr>
              <w:pStyle w:val="11"/>
            </w:pPr>
          </w:p>
        </w:tc>
        <w:tc>
          <w:tcPr>
            <w:tcW w:w="964" w:type="dxa"/>
            <w:vAlign w:val="center"/>
          </w:tcPr>
          <w:p w14:paraId="7B78027C">
            <w:pPr>
              <w:pStyle w:val="11"/>
            </w:pPr>
          </w:p>
        </w:tc>
        <w:tc>
          <w:tcPr>
            <w:tcW w:w="964" w:type="dxa"/>
            <w:vAlign w:val="center"/>
          </w:tcPr>
          <w:p w14:paraId="6D2C9C81">
            <w:pPr>
              <w:pStyle w:val="11"/>
            </w:pPr>
            <w:r>
              <w:t>15.58</w:t>
            </w:r>
          </w:p>
        </w:tc>
      </w:tr>
    </w:tbl>
    <w:p w14:paraId="019646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6F7D44">
      <w:pPr>
        <w:spacing w:before="0" w:after="0"/>
        <w:ind w:firstLine="640"/>
        <w:jc w:val="left"/>
        <w:outlineLvl w:val="9"/>
      </w:pPr>
      <w:r>
        <w:rPr>
          <w:rFonts w:ascii="Times New Roman" w:hAnsi="Times New Roman" w:eastAsia="方正仿宋_GBK" w:cs="Times New Roman"/>
          <w:color w:val="000000"/>
          <w:sz w:val="32"/>
        </w:rPr>
        <w:t xml:space="preserve"> </w:t>
      </w:r>
    </w:p>
    <w:p w14:paraId="6646AB91">
      <w:pPr>
        <w:spacing w:before="10" w:after="10" w:line="240" w:lineRule="auto"/>
        <w:ind w:firstLine="640"/>
        <w:jc w:val="left"/>
        <w:outlineLvl w:val="5"/>
      </w:pPr>
      <w:r>
        <w:rPr>
          <w:rFonts w:ascii="黑体" w:hAnsi="黑体" w:eastAsia="黑体" w:cs="黑体"/>
          <w:color w:val="000000"/>
          <w:sz w:val="32"/>
        </w:rPr>
        <w:t>七、国有资产信息</w:t>
      </w:r>
    </w:p>
    <w:p w14:paraId="5DBE2B5C">
      <w:pPr>
        <w:spacing w:before="0" w:after="0" w:line="500" w:lineRule="exact"/>
        <w:ind w:firstLine="560"/>
        <w:jc w:val="left"/>
        <w:outlineLvl w:val="9"/>
      </w:pPr>
      <w:r>
        <w:rPr>
          <w:rFonts w:ascii="Times New Roman" w:hAnsi="Times New Roman" w:eastAsia="方正仿宋_GBK" w:cs="Times New Roman"/>
          <w:b w:val="0"/>
          <w:color w:val="000000"/>
          <w:sz w:val="28"/>
        </w:rPr>
        <w:t>隆尧县职业技术教育中心上年末固定资产金额为7767.40万元（详见下表）。本年度拟购置固定资产总额为762.74万元，已按要求列入政府采购预算，详见政府采购预算表。</w:t>
      </w:r>
    </w:p>
    <w:p w14:paraId="22B16AF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80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7AE15D">
            <w:pPr>
              <w:pStyle w:val="9"/>
            </w:pPr>
            <w:r>
              <w:t>360015隆尧县职业技术教育中心</w:t>
            </w:r>
          </w:p>
        </w:tc>
        <w:tc>
          <w:tcPr>
            <w:tcW w:w="5670" w:type="dxa"/>
            <w:gridSpan w:val="2"/>
            <w:tcBorders>
              <w:top w:val="single" w:color="FFFFFF" w:sz="6" w:space="0"/>
              <w:left w:val="single" w:color="FFFFFF" w:sz="6" w:space="0"/>
              <w:right w:val="single" w:color="FFFFFF" w:sz="6" w:space="0"/>
            </w:tcBorders>
            <w:vAlign w:val="center"/>
          </w:tcPr>
          <w:p w14:paraId="53FFB8E9">
            <w:pPr>
              <w:pStyle w:val="7"/>
            </w:pPr>
            <w:r>
              <w:t>截止时间：2025-12-31</w:t>
            </w:r>
          </w:p>
        </w:tc>
      </w:tr>
      <w:tr w14:paraId="280B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D4AF0B">
            <w:pPr>
              <w:pStyle w:val="10"/>
            </w:pPr>
            <w:r>
              <w:t>项   目</w:t>
            </w:r>
          </w:p>
        </w:tc>
        <w:tc>
          <w:tcPr>
            <w:tcW w:w="2835" w:type="dxa"/>
            <w:vAlign w:val="center"/>
          </w:tcPr>
          <w:p w14:paraId="36F05BCA">
            <w:pPr>
              <w:pStyle w:val="10"/>
            </w:pPr>
            <w:r>
              <w:t>数量</w:t>
            </w:r>
          </w:p>
        </w:tc>
        <w:tc>
          <w:tcPr>
            <w:tcW w:w="2835" w:type="dxa"/>
            <w:vAlign w:val="center"/>
          </w:tcPr>
          <w:p w14:paraId="4C835AF6">
            <w:pPr>
              <w:pStyle w:val="10"/>
            </w:pPr>
            <w:r>
              <w:t>价值（金额单位：万元）</w:t>
            </w:r>
          </w:p>
        </w:tc>
      </w:tr>
      <w:tr w14:paraId="5D09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F77F55">
            <w:pPr>
              <w:pStyle w:val="12"/>
            </w:pPr>
            <w:r>
              <w:t>资产总额</w:t>
            </w:r>
          </w:p>
        </w:tc>
        <w:tc>
          <w:tcPr>
            <w:tcW w:w="2835" w:type="dxa"/>
            <w:vAlign w:val="center"/>
          </w:tcPr>
          <w:p w14:paraId="0DF01AA2">
            <w:pPr>
              <w:pStyle w:val="13"/>
            </w:pPr>
          </w:p>
        </w:tc>
        <w:tc>
          <w:tcPr>
            <w:tcW w:w="2835" w:type="dxa"/>
            <w:vAlign w:val="center"/>
          </w:tcPr>
          <w:p w14:paraId="1BA8E3B1">
            <w:pPr>
              <w:pStyle w:val="11"/>
            </w:pPr>
            <w:r>
              <w:t>7767.40</w:t>
            </w:r>
          </w:p>
        </w:tc>
      </w:tr>
      <w:tr w14:paraId="466F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9A3D95">
            <w:pPr>
              <w:pStyle w:val="12"/>
            </w:pPr>
            <w:r>
              <w:t>1、房屋（平方米）</w:t>
            </w:r>
          </w:p>
        </w:tc>
        <w:tc>
          <w:tcPr>
            <w:tcW w:w="2835" w:type="dxa"/>
            <w:vAlign w:val="center"/>
          </w:tcPr>
          <w:p w14:paraId="348D7C8B">
            <w:pPr>
              <w:pStyle w:val="13"/>
            </w:pPr>
            <w:r>
              <w:t>41930.84</w:t>
            </w:r>
          </w:p>
        </w:tc>
        <w:tc>
          <w:tcPr>
            <w:tcW w:w="2835" w:type="dxa"/>
            <w:vAlign w:val="center"/>
          </w:tcPr>
          <w:p w14:paraId="581E43AC">
            <w:pPr>
              <w:pStyle w:val="11"/>
            </w:pPr>
            <w:r>
              <w:t>4483.11</w:t>
            </w:r>
          </w:p>
        </w:tc>
      </w:tr>
      <w:tr w14:paraId="7219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F34DDA">
            <w:pPr>
              <w:pStyle w:val="12"/>
            </w:pPr>
            <w:r>
              <w:t>　　其中：办公用房（平方米）</w:t>
            </w:r>
          </w:p>
        </w:tc>
        <w:tc>
          <w:tcPr>
            <w:tcW w:w="2835" w:type="dxa"/>
            <w:vAlign w:val="center"/>
          </w:tcPr>
          <w:p w14:paraId="576C4D15">
            <w:pPr>
              <w:pStyle w:val="13"/>
            </w:pPr>
            <w:r>
              <w:t>2259.06</w:t>
            </w:r>
          </w:p>
        </w:tc>
        <w:tc>
          <w:tcPr>
            <w:tcW w:w="2835" w:type="dxa"/>
            <w:vAlign w:val="center"/>
          </w:tcPr>
          <w:p w14:paraId="342035EA">
            <w:pPr>
              <w:pStyle w:val="11"/>
            </w:pPr>
            <w:r>
              <w:t>364.25</w:t>
            </w:r>
          </w:p>
        </w:tc>
      </w:tr>
      <w:tr w14:paraId="0732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DA73D9">
            <w:pPr>
              <w:pStyle w:val="12"/>
            </w:pPr>
            <w:r>
              <w:t>2、车辆（台、辆）</w:t>
            </w:r>
          </w:p>
        </w:tc>
        <w:tc>
          <w:tcPr>
            <w:tcW w:w="2835" w:type="dxa"/>
            <w:vAlign w:val="center"/>
          </w:tcPr>
          <w:p w14:paraId="63956F87">
            <w:pPr>
              <w:pStyle w:val="13"/>
            </w:pPr>
          </w:p>
        </w:tc>
        <w:tc>
          <w:tcPr>
            <w:tcW w:w="2835" w:type="dxa"/>
            <w:vAlign w:val="center"/>
          </w:tcPr>
          <w:p w14:paraId="20098356">
            <w:pPr>
              <w:pStyle w:val="11"/>
            </w:pPr>
          </w:p>
        </w:tc>
      </w:tr>
      <w:tr w14:paraId="5FC1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00940D">
            <w:pPr>
              <w:pStyle w:val="12"/>
            </w:pPr>
            <w:r>
              <w:t>3、单价在20万元以上的设备</w:t>
            </w:r>
          </w:p>
        </w:tc>
        <w:tc>
          <w:tcPr>
            <w:tcW w:w="2835" w:type="dxa"/>
            <w:vAlign w:val="center"/>
          </w:tcPr>
          <w:p w14:paraId="43CC81F9">
            <w:pPr>
              <w:pStyle w:val="13"/>
            </w:pPr>
            <w:r>
              <w:t>30</w:t>
            </w:r>
          </w:p>
        </w:tc>
        <w:tc>
          <w:tcPr>
            <w:tcW w:w="2835" w:type="dxa"/>
            <w:vAlign w:val="center"/>
          </w:tcPr>
          <w:p w14:paraId="049D09B5">
            <w:pPr>
              <w:pStyle w:val="11"/>
            </w:pPr>
            <w:r>
              <w:t>1479.59</w:t>
            </w:r>
          </w:p>
        </w:tc>
      </w:tr>
      <w:tr w14:paraId="4CF8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E6767C">
            <w:pPr>
              <w:pStyle w:val="12"/>
            </w:pPr>
            <w:r>
              <w:t>4、其他固定资产</w:t>
            </w:r>
          </w:p>
        </w:tc>
        <w:tc>
          <w:tcPr>
            <w:tcW w:w="2835" w:type="dxa"/>
            <w:vAlign w:val="center"/>
          </w:tcPr>
          <w:p w14:paraId="70671ECC">
            <w:pPr>
              <w:pStyle w:val="13"/>
            </w:pPr>
            <w:r>
              <w:t>1578</w:t>
            </w:r>
          </w:p>
        </w:tc>
        <w:tc>
          <w:tcPr>
            <w:tcW w:w="2835" w:type="dxa"/>
            <w:vAlign w:val="center"/>
          </w:tcPr>
          <w:p w14:paraId="63770915">
            <w:pPr>
              <w:pStyle w:val="11"/>
            </w:pPr>
            <w:r>
              <w:t>1804.70</w:t>
            </w:r>
          </w:p>
        </w:tc>
      </w:tr>
    </w:tbl>
    <w:p w14:paraId="7583B3EB">
      <w:pPr>
        <w:spacing w:before="0" w:after="0"/>
        <w:ind w:firstLine="640"/>
        <w:jc w:val="left"/>
        <w:outlineLvl w:val="9"/>
      </w:pPr>
      <w:r>
        <w:rPr>
          <w:rFonts w:ascii="Times New Roman" w:hAnsi="Times New Roman" w:eastAsia="方正仿宋_GBK" w:cs="Times New Roman"/>
          <w:color w:val="000000"/>
          <w:sz w:val="32"/>
        </w:rPr>
        <w:t xml:space="preserve"> </w:t>
      </w:r>
    </w:p>
    <w:p w14:paraId="0965C3E1">
      <w:pPr>
        <w:spacing w:before="10" w:after="10" w:line="240" w:lineRule="auto"/>
        <w:ind w:firstLine="640"/>
        <w:jc w:val="left"/>
        <w:outlineLvl w:val="5"/>
      </w:pPr>
      <w:r>
        <w:rPr>
          <w:rFonts w:ascii="黑体" w:hAnsi="黑体" w:eastAsia="黑体" w:cs="黑体"/>
          <w:color w:val="000000"/>
          <w:sz w:val="32"/>
        </w:rPr>
        <w:t>八、名词解释</w:t>
      </w:r>
    </w:p>
    <w:p w14:paraId="5B055D6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F3608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F73DA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6D79D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D3F4D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B8DAA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CA5B0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F72EE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77010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2D88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E0F3E4">
      <w:pPr>
        <w:spacing w:before="10" w:after="10" w:line="240" w:lineRule="auto"/>
        <w:ind w:firstLine="640"/>
        <w:jc w:val="left"/>
        <w:outlineLvl w:val="5"/>
      </w:pPr>
      <w:r>
        <w:rPr>
          <w:rFonts w:ascii="黑体" w:hAnsi="黑体" w:eastAsia="黑体" w:cs="黑体"/>
          <w:color w:val="000000"/>
          <w:sz w:val="32"/>
        </w:rPr>
        <w:t>九、其他需要说明的事项</w:t>
      </w:r>
    </w:p>
    <w:p w14:paraId="76DF6C2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BB59D06">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十五、隆尧县城关校区收支预算</w:t>
      </w:r>
      <w:bookmarkEnd w:id="14"/>
    </w:p>
    <w:p w14:paraId="0F4E7D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9D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1D3E48">
            <w:pPr>
              <w:pStyle w:val="9"/>
            </w:pPr>
            <w:r>
              <w:t>360016隆尧县城关校区</w:t>
            </w:r>
          </w:p>
        </w:tc>
        <w:tc>
          <w:tcPr>
            <w:tcW w:w="2126" w:type="dxa"/>
            <w:tcBorders>
              <w:top w:val="single" w:color="FFFFFF" w:sz="6" w:space="0"/>
              <w:left w:val="single" w:color="FFFFFF" w:sz="6" w:space="0"/>
              <w:right w:val="single" w:color="FFFFFF" w:sz="6" w:space="0"/>
            </w:tcBorders>
            <w:vAlign w:val="center"/>
          </w:tcPr>
          <w:p w14:paraId="244DDA7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C76AAC4">
            <w:pPr>
              <w:pStyle w:val="7"/>
            </w:pPr>
            <w:r>
              <w:t>单位：万元</w:t>
            </w:r>
          </w:p>
        </w:tc>
      </w:tr>
      <w:tr w14:paraId="436F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AB232">
            <w:pPr>
              <w:pStyle w:val="10"/>
            </w:pPr>
            <w:r>
              <w:t>序号</w:t>
            </w:r>
          </w:p>
        </w:tc>
        <w:tc>
          <w:tcPr>
            <w:tcW w:w="6661" w:type="dxa"/>
            <w:gridSpan w:val="2"/>
            <w:vAlign w:val="center"/>
          </w:tcPr>
          <w:p w14:paraId="70917F88">
            <w:pPr>
              <w:pStyle w:val="10"/>
            </w:pPr>
            <w:r>
              <w:t>收入</w:t>
            </w:r>
          </w:p>
        </w:tc>
        <w:tc>
          <w:tcPr>
            <w:tcW w:w="6661" w:type="dxa"/>
            <w:gridSpan w:val="2"/>
            <w:vAlign w:val="center"/>
          </w:tcPr>
          <w:p w14:paraId="43373F67">
            <w:pPr>
              <w:pStyle w:val="10"/>
            </w:pPr>
            <w:r>
              <w:t>支出</w:t>
            </w:r>
          </w:p>
        </w:tc>
      </w:tr>
      <w:tr w14:paraId="6F6F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F95A0D"/>
        </w:tc>
        <w:tc>
          <w:tcPr>
            <w:tcW w:w="4535" w:type="dxa"/>
            <w:vAlign w:val="center"/>
          </w:tcPr>
          <w:p w14:paraId="72BB80FE">
            <w:pPr>
              <w:pStyle w:val="10"/>
            </w:pPr>
            <w:r>
              <w:t>项  目</w:t>
            </w:r>
          </w:p>
        </w:tc>
        <w:tc>
          <w:tcPr>
            <w:tcW w:w="2126" w:type="dxa"/>
            <w:vAlign w:val="center"/>
          </w:tcPr>
          <w:p w14:paraId="476DE22F">
            <w:pPr>
              <w:pStyle w:val="10"/>
            </w:pPr>
            <w:r>
              <w:t>预算数</w:t>
            </w:r>
          </w:p>
        </w:tc>
        <w:tc>
          <w:tcPr>
            <w:tcW w:w="4535" w:type="dxa"/>
            <w:vAlign w:val="center"/>
          </w:tcPr>
          <w:p w14:paraId="0581B930">
            <w:pPr>
              <w:pStyle w:val="10"/>
            </w:pPr>
            <w:r>
              <w:t>项  目</w:t>
            </w:r>
          </w:p>
        </w:tc>
        <w:tc>
          <w:tcPr>
            <w:tcW w:w="2126" w:type="dxa"/>
            <w:vAlign w:val="center"/>
          </w:tcPr>
          <w:p w14:paraId="020579EC">
            <w:pPr>
              <w:pStyle w:val="10"/>
            </w:pPr>
            <w:r>
              <w:t>预算数</w:t>
            </w:r>
          </w:p>
        </w:tc>
      </w:tr>
      <w:tr w14:paraId="7D8B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52527">
            <w:pPr>
              <w:pStyle w:val="10"/>
            </w:pPr>
            <w:r>
              <w:t>栏次</w:t>
            </w:r>
          </w:p>
        </w:tc>
        <w:tc>
          <w:tcPr>
            <w:tcW w:w="4535" w:type="dxa"/>
            <w:vAlign w:val="center"/>
          </w:tcPr>
          <w:p w14:paraId="6A3831AB">
            <w:pPr>
              <w:pStyle w:val="10"/>
            </w:pPr>
            <w:r>
              <w:t>1</w:t>
            </w:r>
          </w:p>
        </w:tc>
        <w:tc>
          <w:tcPr>
            <w:tcW w:w="2126" w:type="dxa"/>
            <w:vAlign w:val="center"/>
          </w:tcPr>
          <w:p w14:paraId="07EF068A">
            <w:pPr>
              <w:pStyle w:val="10"/>
            </w:pPr>
            <w:r>
              <w:t>2</w:t>
            </w:r>
          </w:p>
        </w:tc>
        <w:tc>
          <w:tcPr>
            <w:tcW w:w="4535" w:type="dxa"/>
            <w:vAlign w:val="center"/>
          </w:tcPr>
          <w:p w14:paraId="6E3732F7">
            <w:pPr>
              <w:pStyle w:val="10"/>
            </w:pPr>
            <w:r>
              <w:t>3</w:t>
            </w:r>
          </w:p>
        </w:tc>
        <w:tc>
          <w:tcPr>
            <w:tcW w:w="2126" w:type="dxa"/>
            <w:vAlign w:val="center"/>
          </w:tcPr>
          <w:p w14:paraId="69F5AF8A">
            <w:pPr>
              <w:pStyle w:val="10"/>
            </w:pPr>
            <w:r>
              <w:t>4</w:t>
            </w:r>
          </w:p>
        </w:tc>
      </w:tr>
      <w:tr w14:paraId="031B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B77A2">
            <w:pPr>
              <w:pStyle w:val="13"/>
            </w:pPr>
            <w:r>
              <w:t>1</w:t>
            </w:r>
          </w:p>
        </w:tc>
        <w:tc>
          <w:tcPr>
            <w:tcW w:w="4535" w:type="dxa"/>
            <w:vAlign w:val="center"/>
          </w:tcPr>
          <w:p w14:paraId="70710D9C">
            <w:pPr>
              <w:pStyle w:val="12"/>
            </w:pPr>
            <w:r>
              <w:t>一、一般公共预算拨款收入</w:t>
            </w:r>
          </w:p>
        </w:tc>
        <w:tc>
          <w:tcPr>
            <w:tcW w:w="2126" w:type="dxa"/>
            <w:vAlign w:val="center"/>
          </w:tcPr>
          <w:p w14:paraId="1354F7C7">
            <w:pPr>
              <w:pStyle w:val="11"/>
            </w:pPr>
            <w:r>
              <w:t>6295.31</w:t>
            </w:r>
          </w:p>
        </w:tc>
        <w:tc>
          <w:tcPr>
            <w:tcW w:w="4535" w:type="dxa"/>
            <w:vAlign w:val="center"/>
          </w:tcPr>
          <w:p w14:paraId="0C7F2AE6">
            <w:pPr>
              <w:pStyle w:val="12"/>
            </w:pPr>
            <w:r>
              <w:t>一、一般公共服务支出</w:t>
            </w:r>
          </w:p>
        </w:tc>
        <w:tc>
          <w:tcPr>
            <w:tcW w:w="2126" w:type="dxa"/>
            <w:vAlign w:val="center"/>
          </w:tcPr>
          <w:p w14:paraId="7E2B31E6">
            <w:pPr>
              <w:pStyle w:val="11"/>
            </w:pPr>
          </w:p>
        </w:tc>
      </w:tr>
      <w:tr w14:paraId="5D8E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225F">
            <w:pPr>
              <w:pStyle w:val="13"/>
            </w:pPr>
            <w:r>
              <w:t>2</w:t>
            </w:r>
          </w:p>
        </w:tc>
        <w:tc>
          <w:tcPr>
            <w:tcW w:w="4535" w:type="dxa"/>
            <w:vAlign w:val="center"/>
          </w:tcPr>
          <w:p w14:paraId="5F8EF4BB">
            <w:pPr>
              <w:pStyle w:val="12"/>
            </w:pPr>
            <w:r>
              <w:t>二、政府性基金预算拨款收入</w:t>
            </w:r>
          </w:p>
        </w:tc>
        <w:tc>
          <w:tcPr>
            <w:tcW w:w="2126" w:type="dxa"/>
            <w:vAlign w:val="center"/>
          </w:tcPr>
          <w:p w14:paraId="557C9E59">
            <w:pPr>
              <w:pStyle w:val="11"/>
            </w:pPr>
          </w:p>
        </w:tc>
        <w:tc>
          <w:tcPr>
            <w:tcW w:w="4535" w:type="dxa"/>
            <w:vAlign w:val="center"/>
          </w:tcPr>
          <w:p w14:paraId="38E573AB">
            <w:pPr>
              <w:pStyle w:val="12"/>
            </w:pPr>
            <w:r>
              <w:t>二、外交支出</w:t>
            </w:r>
          </w:p>
        </w:tc>
        <w:tc>
          <w:tcPr>
            <w:tcW w:w="2126" w:type="dxa"/>
            <w:vAlign w:val="center"/>
          </w:tcPr>
          <w:p w14:paraId="11E3C223">
            <w:pPr>
              <w:pStyle w:val="11"/>
            </w:pPr>
          </w:p>
        </w:tc>
      </w:tr>
      <w:tr w14:paraId="2F2F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C082F">
            <w:pPr>
              <w:pStyle w:val="13"/>
            </w:pPr>
            <w:r>
              <w:t>3</w:t>
            </w:r>
          </w:p>
        </w:tc>
        <w:tc>
          <w:tcPr>
            <w:tcW w:w="4535" w:type="dxa"/>
            <w:vAlign w:val="center"/>
          </w:tcPr>
          <w:p w14:paraId="41E42BB7">
            <w:pPr>
              <w:pStyle w:val="12"/>
            </w:pPr>
            <w:r>
              <w:t>三、国有资本经营预算拨款收入</w:t>
            </w:r>
          </w:p>
        </w:tc>
        <w:tc>
          <w:tcPr>
            <w:tcW w:w="2126" w:type="dxa"/>
            <w:vAlign w:val="center"/>
          </w:tcPr>
          <w:p w14:paraId="68946F03">
            <w:pPr>
              <w:pStyle w:val="11"/>
            </w:pPr>
          </w:p>
        </w:tc>
        <w:tc>
          <w:tcPr>
            <w:tcW w:w="4535" w:type="dxa"/>
            <w:vAlign w:val="center"/>
          </w:tcPr>
          <w:p w14:paraId="0D8404CB">
            <w:pPr>
              <w:pStyle w:val="12"/>
            </w:pPr>
            <w:r>
              <w:t>三、国防支出</w:t>
            </w:r>
          </w:p>
        </w:tc>
        <w:tc>
          <w:tcPr>
            <w:tcW w:w="2126" w:type="dxa"/>
            <w:vAlign w:val="center"/>
          </w:tcPr>
          <w:p w14:paraId="18705EE5">
            <w:pPr>
              <w:pStyle w:val="11"/>
            </w:pPr>
          </w:p>
        </w:tc>
      </w:tr>
      <w:tr w14:paraId="4B81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D8D9">
            <w:pPr>
              <w:pStyle w:val="13"/>
            </w:pPr>
            <w:r>
              <w:t>4</w:t>
            </w:r>
          </w:p>
        </w:tc>
        <w:tc>
          <w:tcPr>
            <w:tcW w:w="4535" w:type="dxa"/>
            <w:vAlign w:val="center"/>
          </w:tcPr>
          <w:p w14:paraId="666F991E">
            <w:pPr>
              <w:pStyle w:val="12"/>
            </w:pPr>
            <w:r>
              <w:t>四、财政专户管理资金收入</w:t>
            </w:r>
          </w:p>
        </w:tc>
        <w:tc>
          <w:tcPr>
            <w:tcW w:w="2126" w:type="dxa"/>
            <w:vAlign w:val="center"/>
          </w:tcPr>
          <w:p w14:paraId="0CE29988">
            <w:pPr>
              <w:pStyle w:val="11"/>
            </w:pPr>
          </w:p>
        </w:tc>
        <w:tc>
          <w:tcPr>
            <w:tcW w:w="4535" w:type="dxa"/>
            <w:vAlign w:val="center"/>
          </w:tcPr>
          <w:p w14:paraId="1C321701">
            <w:pPr>
              <w:pStyle w:val="12"/>
            </w:pPr>
            <w:r>
              <w:t>四、公共安全支出</w:t>
            </w:r>
          </w:p>
        </w:tc>
        <w:tc>
          <w:tcPr>
            <w:tcW w:w="2126" w:type="dxa"/>
            <w:vAlign w:val="center"/>
          </w:tcPr>
          <w:p w14:paraId="3BA06A80">
            <w:pPr>
              <w:pStyle w:val="11"/>
            </w:pPr>
          </w:p>
        </w:tc>
      </w:tr>
      <w:tr w14:paraId="08BA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80847">
            <w:pPr>
              <w:pStyle w:val="13"/>
            </w:pPr>
            <w:r>
              <w:t>5</w:t>
            </w:r>
          </w:p>
        </w:tc>
        <w:tc>
          <w:tcPr>
            <w:tcW w:w="4535" w:type="dxa"/>
            <w:vAlign w:val="center"/>
          </w:tcPr>
          <w:p w14:paraId="47436FE4">
            <w:pPr>
              <w:pStyle w:val="12"/>
            </w:pPr>
            <w:r>
              <w:t>五、单位资金</w:t>
            </w:r>
          </w:p>
        </w:tc>
        <w:tc>
          <w:tcPr>
            <w:tcW w:w="2126" w:type="dxa"/>
            <w:vAlign w:val="center"/>
          </w:tcPr>
          <w:p w14:paraId="3F2FE784">
            <w:pPr>
              <w:pStyle w:val="11"/>
            </w:pPr>
          </w:p>
        </w:tc>
        <w:tc>
          <w:tcPr>
            <w:tcW w:w="4535" w:type="dxa"/>
            <w:vAlign w:val="center"/>
          </w:tcPr>
          <w:p w14:paraId="0F905BE2">
            <w:pPr>
              <w:pStyle w:val="12"/>
            </w:pPr>
            <w:r>
              <w:t>五、教育支出</w:t>
            </w:r>
          </w:p>
        </w:tc>
        <w:tc>
          <w:tcPr>
            <w:tcW w:w="2126" w:type="dxa"/>
            <w:vAlign w:val="center"/>
          </w:tcPr>
          <w:p w14:paraId="64A3BCAF">
            <w:pPr>
              <w:pStyle w:val="11"/>
            </w:pPr>
            <w:r>
              <w:t>6295.31</w:t>
            </w:r>
          </w:p>
        </w:tc>
      </w:tr>
      <w:tr w14:paraId="70A0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6D449">
            <w:pPr>
              <w:pStyle w:val="13"/>
            </w:pPr>
            <w:r>
              <w:t>6</w:t>
            </w:r>
          </w:p>
        </w:tc>
        <w:tc>
          <w:tcPr>
            <w:tcW w:w="4535" w:type="dxa"/>
            <w:vAlign w:val="center"/>
          </w:tcPr>
          <w:p w14:paraId="1F1D2DD1">
            <w:pPr>
              <w:pStyle w:val="12"/>
            </w:pPr>
          </w:p>
        </w:tc>
        <w:tc>
          <w:tcPr>
            <w:tcW w:w="2126" w:type="dxa"/>
            <w:vAlign w:val="center"/>
          </w:tcPr>
          <w:p w14:paraId="1365BE4D">
            <w:pPr>
              <w:pStyle w:val="11"/>
            </w:pPr>
          </w:p>
        </w:tc>
        <w:tc>
          <w:tcPr>
            <w:tcW w:w="4535" w:type="dxa"/>
            <w:vAlign w:val="center"/>
          </w:tcPr>
          <w:p w14:paraId="260AD0BE">
            <w:pPr>
              <w:pStyle w:val="12"/>
            </w:pPr>
            <w:r>
              <w:t>六、科学技术支出</w:t>
            </w:r>
          </w:p>
        </w:tc>
        <w:tc>
          <w:tcPr>
            <w:tcW w:w="2126" w:type="dxa"/>
            <w:vAlign w:val="center"/>
          </w:tcPr>
          <w:p w14:paraId="44595945">
            <w:pPr>
              <w:pStyle w:val="11"/>
            </w:pPr>
          </w:p>
        </w:tc>
      </w:tr>
      <w:tr w14:paraId="3311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C5AF6">
            <w:pPr>
              <w:pStyle w:val="13"/>
            </w:pPr>
            <w:r>
              <w:t>7</w:t>
            </w:r>
          </w:p>
        </w:tc>
        <w:tc>
          <w:tcPr>
            <w:tcW w:w="4535" w:type="dxa"/>
            <w:vAlign w:val="center"/>
          </w:tcPr>
          <w:p w14:paraId="7B88C6EA">
            <w:pPr>
              <w:pStyle w:val="12"/>
            </w:pPr>
          </w:p>
        </w:tc>
        <w:tc>
          <w:tcPr>
            <w:tcW w:w="2126" w:type="dxa"/>
            <w:vAlign w:val="center"/>
          </w:tcPr>
          <w:p w14:paraId="27825EFA">
            <w:pPr>
              <w:pStyle w:val="11"/>
            </w:pPr>
          </w:p>
        </w:tc>
        <w:tc>
          <w:tcPr>
            <w:tcW w:w="4535" w:type="dxa"/>
            <w:vAlign w:val="center"/>
          </w:tcPr>
          <w:p w14:paraId="6629E656">
            <w:pPr>
              <w:pStyle w:val="12"/>
            </w:pPr>
            <w:r>
              <w:t>七、文化旅游体育与传媒支出</w:t>
            </w:r>
          </w:p>
        </w:tc>
        <w:tc>
          <w:tcPr>
            <w:tcW w:w="2126" w:type="dxa"/>
            <w:vAlign w:val="center"/>
          </w:tcPr>
          <w:p w14:paraId="5D1DA1E9">
            <w:pPr>
              <w:pStyle w:val="11"/>
            </w:pPr>
          </w:p>
        </w:tc>
      </w:tr>
      <w:tr w14:paraId="1CA7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B9C61">
            <w:pPr>
              <w:pStyle w:val="13"/>
            </w:pPr>
            <w:r>
              <w:t>8</w:t>
            </w:r>
          </w:p>
        </w:tc>
        <w:tc>
          <w:tcPr>
            <w:tcW w:w="4535" w:type="dxa"/>
            <w:vAlign w:val="center"/>
          </w:tcPr>
          <w:p w14:paraId="6F98013B">
            <w:pPr>
              <w:pStyle w:val="12"/>
            </w:pPr>
          </w:p>
        </w:tc>
        <w:tc>
          <w:tcPr>
            <w:tcW w:w="2126" w:type="dxa"/>
            <w:vAlign w:val="center"/>
          </w:tcPr>
          <w:p w14:paraId="7022E43D">
            <w:pPr>
              <w:pStyle w:val="11"/>
            </w:pPr>
          </w:p>
        </w:tc>
        <w:tc>
          <w:tcPr>
            <w:tcW w:w="4535" w:type="dxa"/>
            <w:vAlign w:val="center"/>
          </w:tcPr>
          <w:p w14:paraId="19BE3618">
            <w:pPr>
              <w:pStyle w:val="12"/>
            </w:pPr>
            <w:r>
              <w:t>八、社会保障和就业支出</w:t>
            </w:r>
          </w:p>
        </w:tc>
        <w:tc>
          <w:tcPr>
            <w:tcW w:w="2126" w:type="dxa"/>
            <w:vAlign w:val="center"/>
          </w:tcPr>
          <w:p w14:paraId="315395C6">
            <w:pPr>
              <w:pStyle w:val="11"/>
            </w:pPr>
          </w:p>
        </w:tc>
      </w:tr>
      <w:tr w14:paraId="08FB1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CD4F1">
            <w:pPr>
              <w:pStyle w:val="13"/>
            </w:pPr>
            <w:r>
              <w:t>9</w:t>
            </w:r>
          </w:p>
        </w:tc>
        <w:tc>
          <w:tcPr>
            <w:tcW w:w="4535" w:type="dxa"/>
            <w:vAlign w:val="center"/>
          </w:tcPr>
          <w:p w14:paraId="267D7C40">
            <w:pPr>
              <w:pStyle w:val="12"/>
            </w:pPr>
          </w:p>
        </w:tc>
        <w:tc>
          <w:tcPr>
            <w:tcW w:w="2126" w:type="dxa"/>
            <w:vAlign w:val="center"/>
          </w:tcPr>
          <w:p w14:paraId="59E2FE23">
            <w:pPr>
              <w:pStyle w:val="11"/>
            </w:pPr>
          </w:p>
        </w:tc>
        <w:tc>
          <w:tcPr>
            <w:tcW w:w="4535" w:type="dxa"/>
            <w:vAlign w:val="center"/>
          </w:tcPr>
          <w:p w14:paraId="4440C99D">
            <w:pPr>
              <w:pStyle w:val="12"/>
            </w:pPr>
            <w:r>
              <w:t>九、社会保险基金支出</w:t>
            </w:r>
          </w:p>
        </w:tc>
        <w:tc>
          <w:tcPr>
            <w:tcW w:w="2126" w:type="dxa"/>
            <w:vAlign w:val="center"/>
          </w:tcPr>
          <w:p w14:paraId="064A03E8">
            <w:pPr>
              <w:pStyle w:val="11"/>
            </w:pPr>
          </w:p>
        </w:tc>
      </w:tr>
      <w:tr w14:paraId="0B4B7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11503">
            <w:pPr>
              <w:pStyle w:val="13"/>
            </w:pPr>
            <w:r>
              <w:t>10</w:t>
            </w:r>
          </w:p>
        </w:tc>
        <w:tc>
          <w:tcPr>
            <w:tcW w:w="4535" w:type="dxa"/>
            <w:vAlign w:val="center"/>
          </w:tcPr>
          <w:p w14:paraId="0290FD5F">
            <w:pPr>
              <w:pStyle w:val="12"/>
            </w:pPr>
          </w:p>
        </w:tc>
        <w:tc>
          <w:tcPr>
            <w:tcW w:w="2126" w:type="dxa"/>
            <w:vAlign w:val="center"/>
          </w:tcPr>
          <w:p w14:paraId="3E6521A7">
            <w:pPr>
              <w:pStyle w:val="11"/>
            </w:pPr>
          </w:p>
        </w:tc>
        <w:tc>
          <w:tcPr>
            <w:tcW w:w="4535" w:type="dxa"/>
            <w:vAlign w:val="center"/>
          </w:tcPr>
          <w:p w14:paraId="57396980">
            <w:pPr>
              <w:pStyle w:val="12"/>
            </w:pPr>
            <w:r>
              <w:t>十、卫生健康支出</w:t>
            </w:r>
          </w:p>
        </w:tc>
        <w:tc>
          <w:tcPr>
            <w:tcW w:w="2126" w:type="dxa"/>
            <w:vAlign w:val="center"/>
          </w:tcPr>
          <w:p w14:paraId="0AC71FD7">
            <w:pPr>
              <w:pStyle w:val="11"/>
            </w:pPr>
          </w:p>
        </w:tc>
      </w:tr>
      <w:tr w14:paraId="2C08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90F47">
            <w:pPr>
              <w:pStyle w:val="13"/>
            </w:pPr>
            <w:r>
              <w:t>11</w:t>
            </w:r>
          </w:p>
        </w:tc>
        <w:tc>
          <w:tcPr>
            <w:tcW w:w="4535" w:type="dxa"/>
            <w:vAlign w:val="center"/>
          </w:tcPr>
          <w:p w14:paraId="641153EA">
            <w:pPr>
              <w:pStyle w:val="12"/>
            </w:pPr>
          </w:p>
        </w:tc>
        <w:tc>
          <w:tcPr>
            <w:tcW w:w="2126" w:type="dxa"/>
            <w:vAlign w:val="center"/>
          </w:tcPr>
          <w:p w14:paraId="60CBF895">
            <w:pPr>
              <w:pStyle w:val="11"/>
            </w:pPr>
          </w:p>
        </w:tc>
        <w:tc>
          <w:tcPr>
            <w:tcW w:w="4535" w:type="dxa"/>
            <w:vAlign w:val="center"/>
          </w:tcPr>
          <w:p w14:paraId="0CDD49D8">
            <w:pPr>
              <w:pStyle w:val="12"/>
            </w:pPr>
            <w:r>
              <w:t>十一、节能环保支出</w:t>
            </w:r>
          </w:p>
        </w:tc>
        <w:tc>
          <w:tcPr>
            <w:tcW w:w="2126" w:type="dxa"/>
            <w:vAlign w:val="center"/>
          </w:tcPr>
          <w:p w14:paraId="679FEDBE">
            <w:pPr>
              <w:pStyle w:val="11"/>
            </w:pPr>
          </w:p>
        </w:tc>
      </w:tr>
      <w:tr w14:paraId="1B3A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9B796">
            <w:pPr>
              <w:pStyle w:val="13"/>
            </w:pPr>
            <w:r>
              <w:t>12</w:t>
            </w:r>
          </w:p>
        </w:tc>
        <w:tc>
          <w:tcPr>
            <w:tcW w:w="4535" w:type="dxa"/>
            <w:vAlign w:val="center"/>
          </w:tcPr>
          <w:p w14:paraId="621635FC">
            <w:pPr>
              <w:pStyle w:val="12"/>
            </w:pPr>
          </w:p>
        </w:tc>
        <w:tc>
          <w:tcPr>
            <w:tcW w:w="2126" w:type="dxa"/>
            <w:vAlign w:val="center"/>
          </w:tcPr>
          <w:p w14:paraId="503B3C0D">
            <w:pPr>
              <w:pStyle w:val="11"/>
            </w:pPr>
          </w:p>
        </w:tc>
        <w:tc>
          <w:tcPr>
            <w:tcW w:w="4535" w:type="dxa"/>
            <w:vAlign w:val="center"/>
          </w:tcPr>
          <w:p w14:paraId="6D3CF5B9">
            <w:pPr>
              <w:pStyle w:val="12"/>
            </w:pPr>
            <w:r>
              <w:t>十二、城乡社区支出</w:t>
            </w:r>
          </w:p>
        </w:tc>
        <w:tc>
          <w:tcPr>
            <w:tcW w:w="2126" w:type="dxa"/>
            <w:vAlign w:val="center"/>
          </w:tcPr>
          <w:p w14:paraId="53321A4D">
            <w:pPr>
              <w:pStyle w:val="11"/>
            </w:pPr>
          </w:p>
        </w:tc>
      </w:tr>
      <w:tr w14:paraId="3EAC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CE15A">
            <w:pPr>
              <w:pStyle w:val="13"/>
            </w:pPr>
            <w:r>
              <w:t>13</w:t>
            </w:r>
          </w:p>
        </w:tc>
        <w:tc>
          <w:tcPr>
            <w:tcW w:w="4535" w:type="dxa"/>
            <w:vAlign w:val="center"/>
          </w:tcPr>
          <w:p w14:paraId="34F3B082">
            <w:pPr>
              <w:pStyle w:val="12"/>
            </w:pPr>
          </w:p>
        </w:tc>
        <w:tc>
          <w:tcPr>
            <w:tcW w:w="2126" w:type="dxa"/>
            <w:vAlign w:val="center"/>
          </w:tcPr>
          <w:p w14:paraId="4B34C2CD">
            <w:pPr>
              <w:pStyle w:val="11"/>
            </w:pPr>
          </w:p>
        </w:tc>
        <w:tc>
          <w:tcPr>
            <w:tcW w:w="4535" w:type="dxa"/>
            <w:vAlign w:val="center"/>
          </w:tcPr>
          <w:p w14:paraId="1A9A612D">
            <w:pPr>
              <w:pStyle w:val="12"/>
            </w:pPr>
            <w:r>
              <w:t>十三、农林水支出</w:t>
            </w:r>
          </w:p>
        </w:tc>
        <w:tc>
          <w:tcPr>
            <w:tcW w:w="2126" w:type="dxa"/>
            <w:vAlign w:val="center"/>
          </w:tcPr>
          <w:p w14:paraId="3F7A38AD">
            <w:pPr>
              <w:pStyle w:val="11"/>
            </w:pPr>
          </w:p>
        </w:tc>
      </w:tr>
      <w:tr w14:paraId="19D5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9BC33">
            <w:pPr>
              <w:pStyle w:val="13"/>
            </w:pPr>
            <w:r>
              <w:t>14</w:t>
            </w:r>
          </w:p>
        </w:tc>
        <w:tc>
          <w:tcPr>
            <w:tcW w:w="4535" w:type="dxa"/>
            <w:vAlign w:val="center"/>
          </w:tcPr>
          <w:p w14:paraId="14A56559">
            <w:pPr>
              <w:pStyle w:val="12"/>
            </w:pPr>
          </w:p>
        </w:tc>
        <w:tc>
          <w:tcPr>
            <w:tcW w:w="2126" w:type="dxa"/>
            <w:vAlign w:val="center"/>
          </w:tcPr>
          <w:p w14:paraId="1DF7EBCB">
            <w:pPr>
              <w:pStyle w:val="11"/>
            </w:pPr>
          </w:p>
        </w:tc>
        <w:tc>
          <w:tcPr>
            <w:tcW w:w="4535" w:type="dxa"/>
            <w:vAlign w:val="center"/>
          </w:tcPr>
          <w:p w14:paraId="5A0B9270">
            <w:pPr>
              <w:pStyle w:val="12"/>
            </w:pPr>
            <w:r>
              <w:t>十四、交通运输支出</w:t>
            </w:r>
          </w:p>
        </w:tc>
        <w:tc>
          <w:tcPr>
            <w:tcW w:w="2126" w:type="dxa"/>
            <w:vAlign w:val="center"/>
          </w:tcPr>
          <w:p w14:paraId="22274583">
            <w:pPr>
              <w:pStyle w:val="11"/>
            </w:pPr>
          </w:p>
        </w:tc>
      </w:tr>
      <w:tr w14:paraId="2D8B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C69A0">
            <w:pPr>
              <w:pStyle w:val="13"/>
            </w:pPr>
            <w:r>
              <w:t>15</w:t>
            </w:r>
          </w:p>
        </w:tc>
        <w:tc>
          <w:tcPr>
            <w:tcW w:w="4535" w:type="dxa"/>
            <w:vAlign w:val="center"/>
          </w:tcPr>
          <w:p w14:paraId="19373221">
            <w:pPr>
              <w:pStyle w:val="12"/>
            </w:pPr>
          </w:p>
        </w:tc>
        <w:tc>
          <w:tcPr>
            <w:tcW w:w="2126" w:type="dxa"/>
            <w:vAlign w:val="center"/>
          </w:tcPr>
          <w:p w14:paraId="131E6130">
            <w:pPr>
              <w:pStyle w:val="11"/>
            </w:pPr>
          </w:p>
        </w:tc>
        <w:tc>
          <w:tcPr>
            <w:tcW w:w="4535" w:type="dxa"/>
            <w:vAlign w:val="center"/>
          </w:tcPr>
          <w:p w14:paraId="2EF21CE8">
            <w:pPr>
              <w:pStyle w:val="12"/>
            </w:pPr>
            <w:r>
              <w:t>十五、资源勘探工业信息等支出</w:t>
            </w:r>
          </w:p>
        </w:tc>
        <w:tc>
          <w:tcPr>
            <w:tcW w:w="2126" w:type="dxa"/>
            <w:vAlign w:val="center"/>
          </w:tcPr>
          <w:p w14:paraId="6FD8BF09">
            <w:pPr>
              <w:pStyle w:val="11"/>
            </w:pPr>
          </w:p>
        </w:tc>
      </w:tr>
      <w:tr w14:paraId="407B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8736B">
            <w:pPr>
              <w:pStyle w:val="13"/>
            </w:pPr>
            <w:r>
              <w:t>16</w:t>
            </w:r>
          </w:p>
        </w:tc>
        <w:tc>
          <w:tcPr>
            <w:tcW w:w="4535" w:type="dxa"/>
            <w:vAlign w:val="center"/>
          </w:tcPr>
          <w:p w14:paraId="7AA69674">
            <w:pPr>
              <w:pStyle w:val="12"/>
            </w:pPr>
          </w:p>
        </w:tc>
        <w:tc>
          <w:tcPr>
            <w:tcW w:w="2126" w:type="dxa"/>
            <w:vAlign w:val="center"/>
          </w:tcPr>
          <w:p w14:paraId="67377EF0">
            <w:pPr>
              <w:pStyle w:val="11"/>
            </w:pPr>
          </w:p>
        </w:tc>
        <w:tc>
          <w:tcPr>
            <w:tcW w:w="4535" w:type="dxa"/>
            <w:vAlign w:val="center"/>
          </w:tcPr>
          <w:p w14:paraId="18D7EF26">
            <w:pPr>
              <w:pStyle w:val="12"/>
            </w:pPr>
            <w:r>
              <w:t>十六、商业服务业等支出</w:t>
            </w:r>
          </w:p>
        </w:tc>
        <w:tc>
          <w:tcPr>
            <w:tcW w:w="2126" w:type="dxa"/>
            <w:vAlign w:val="center"/>
          </w:tcPr>
          <w:p w14:paraId="1C61AAD2">
            <w:pPr>
              <w:pStyle w:val="11"/>
            </w:pPr>
          </w:p>
        </w:tc>
      </w:tr>
      <w:tr w14:paraId="28C1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B1C98">
            <w:pPr>
              <w:pStyle w:val="13"/>
            </w:pPr>
            <w:r>
              <w:t>17</w:t>
            </w:r>
          </w:p>
        </w:tc>
        <w:tc>
          <w:tcPr>
            <w:tcW w:w="4535" w:type="dxa"/>
            <w:vAlign w:val="center"/>
          </w:tcPr>
          <w:p w14:paraId="1172256E">
            <w:pPr>
              <w:pStyle w:val="12"/>
            </w:pPr>
          </w:p>
        </w:tc>
        <w:tc>
          <w:tcPr>
            <w:tcW w:w="2126" w:type="dxa"/>
            <w:vAlign w:val="center"/>
          </w:tcPr>
          <w:p w14:paraId="52217770">
            <w:pPr>
              <w:pStyle w:val="11"/>
            </w:pPr>
          </w:p>
        </w:tc>
        <w:tc>
          <w:tcPr>
            <w:tcW w:w="4535" w:type="dxa"/>
            <w:vAlign w:val="center"/>
          </w:tcPr>
          <w:p w14:paraId="7A0CB367">
            <w:pPr>
              <w:pStyle w:val="12"/>
            </w:pPr>
            <w:r>
              <w:t>十七、金融支出</w:t>
            </w:r>
          </w:p>
        </w:tc>
        <w:tc>
          <w:tcPr>
            <w:tcW w:w="2126" w:type="dxa"/>
            <w:vAlign w:val="center"/>
          </w:tcPr>
          <w:p w14:paraId="655F2C80">
            <w:pPr>
              <w:pStyle w:val="11"/>
            </w:pPr>
          </w:p>
        </w:tc>
      </w:tr>
      <w:tr w14:paraId="5820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35E14">
            <w:pPr>
              <w:pStyle w:val="13"/>
            </w:pPr>
            <w:r>
              <w:t>18</w:t>
            </w:r>
          </w:p>
        </w:tc>
        <w:tc>
          <w:tcPr>
            <w:tcW w:w="4535" w:type="dxa"/>
            <w:vAlign w:val="center"/>
          </w:tcPr>
          <w:p w14:paraId="7A9B5164">
            <w:pPr>
              <w:pStyle w:val="12"/>
            </w:pPr>
          </w:p>
        </w:tc>
        <w:tc>
          <w:tcPr>
            <w:tcW w:w="2126" w:type="dxa"/>
            <w:vAlign w:val="center"/>
          </w:tcPr>
          <w:p w14:paraId="7AC47E0B">
            <w:pPr>
              <w:pStyle w:val="11"/>
            </w:pPr>
          </w:p>
        </w:tc>
        <w:tc>
          <w:tcPr>
            <w:tcW w:w="4535" w:type="dxa"/>
            <w:vAlign w:val="center"/>
          </w:tcPr>
          <w:p w14:paraId="7926B1EC">
            <w:pPr>
              <w:pStyle w:val="12"/>
            </w:pPr>
            <w:r>
              <w:t>十八、援助其他地区支出</w:t>
            </w:r>
          </w:p>
        </w:tc>
        <w:tc>
          <w:tcPr>
            <w:tcW w:w="2126" w:type="dxa"/>
            <w:vAlign w:val="center"/>
          </w:tcPr>
          <w:p w14:paraId="410016AE">
            <w:pPr>
              <w:pStyle w:val="11"/>
            </w:pPr>
          </w:p>
        </w:tc>
      </w:tr>
      <w:tr w14:paraId="1985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3ECD4">
            <w:pPr>
              <w:pStyle w:val="13"/>
            </w:pPr>
            <w:r>
              <w:t>19</w:t>
            </w:r>
          </w:p>
        </w:tc>
        <w:tc>
          <w:tcPr>
            <w:tcW w:w="4535" w:type="dxa"/>
            <w:vAlign w:val="center"/>
          </w:tcPr>
          <w:p w14:paraId="65C4DB73">
            <w:pPr>
              <w:pStyle w:val="12"/>
            </w:pPr>
          </w:p>
        </w:tc>
        <w:tc>
          <w:tcPr>
            <w:tcW w:w="2126" w:type="dxa"/>
            <w:vAlign w:val="center"/>
          </w:tcPr>
          <w:p w14:paraId="672307EA">
            <w:pPr>
              <w:pStyle w:val="11"/>
            </w:pPr>
          </w:p>
        </w:tc>
        <w:tc>
          <w:tcPr>
            <w:tcW w:w="4535" w:type="dxa"/>
            <w:vAlign w:val="center"/>
          </w:tcPr>
          <w:p w14:paraId="45C0FBFC">
            <w:pPr>
              <w:pStyle w:val="12"/>
            </w:pPr>
            <w:r>
              <w:t>十九、自然资源海洋气象等支出</w:t>
            </w:r>
          </w:p>
        </w:tc>
        <w:tc>
          <w:tcPr>
            <w:tcW w:w="2126" w:type="dxa"/>
            <w:vAlign w:val="center"/>
          </w:tcPr>
          <w:p w14:paraId="5A88A58D">
            <w:pPr>
              <w:pStyle w:val="11"/>
            </w:pPr>
          </w:p>
        </w:tc>
      </w:tr>
      <w:tr w14:paraId="20B4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2E20C">
            <w:pPr>
              <w:pStyle w:val="13"/>
            </w:pPr>
            <w:r>
              <w:t>20</w:t>
            </w:r>
          </w:p>
        </w:tc>
        <w:tc>
          <w:tcPr>
            <w:tcW w:w="4535" w:type="dxa"/>
            <w:vAlign w:val="center"/>
          </w:tcPr>
          <w:p w14:paraId="2423D7DE">
            <w:pPr>
              <w:pStyle w:val="12"/>
            </w:pPr>
          </w:p>
        </w:tc>
        <w:tc>
          <w:tcPr>
            <w:tcW w:w="2126" w:type="dxa"/>
            <w:vAlign w:val="center"/>
          </w:tcPr>
          <w:p w14:paraId="13CA1B1A">
            <w:pPr>
              <w:pStyle w:val="11"/>
            </w:pPr>
          </w:p>
        </w:tc>
        <w:tc>
          <w:tcPr>
            <w:tcW w:w="4535" w:type="dxa"/>
            <w:vAlign w:val="center"/>
          </w:tcPr>
          <w:p w14:paraId="3AEE7796">
            <w:pPr>
              <w:pStyle w:val="12"/>
            </w:pPr>
            <w:r>
              <w:t>二十、住房保障支出</w:t>
            </w:r>
          </w:p>
        </w:tc>
        <w:tc>
          <w:tcPr>
            <w:tcW w:w="2126" w:type="dxa"/>
            <w:vAlign w:val="center"/>
          </w:tcPr>
          <w:p w14:paraId="5C8A2F20">
            <w:pPr>
              <w:pStyle w:val="11"/>
            </w:pPr>
          </w:p>
        </w:tc>
      </w:tr>
      <w:tr w14:paraId="0128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B5AF9">
            <w:pPr>
              <w:pStyle w:val="13"/>
            </w:pPr>
            <w:r>
              <w:t>21</w:t>
            </w:r>
          </w:p>
        </w:tc>
        <w:tc>
          <w:tcPr>
            <w:tcW w:w="4535" w:type="dxa"/>
            <w:vAlign w:val="center"/>
          </w:tcPr>
          <w:p w14:paraId="5EBA4967">
            <w:pPr>
              <w:pStyle w:val="12"/>
            </w:pPr>
          </w:p>
        </w:tc>
        <w:tc>
          <w:tcPr>
            <w:tcW w:w="2126" w:type="dxa"/>
            <w:vAlign w:val="center"/>
          </w:tcPr>
          <w:p w14:paraId="6E33D78A">
            <w:pPr>
              <w:pStyle w:val="11"/>
            </w:pPr>
          </w:p>
        </w:tc>
        <w:tc>
          <w:tcPr>
            <w:tcW w:w="4535" w:type="dxa"/>
            <w:vAlign w:val="center"/>
          </w:tcPr>
          <w:p w14:paraId="00C66CA4">
            <w:pPr>
              <w:pStyle w:val="12"/>
            </w:pPr>
            <w:r>
              <w:t>二十一、粮油物资储备支出</w:t>
            </w:r>
          </w:p>
        </w:tc>
        <w:tc>
          <w:tcPr>
            <w:tcW w:w="2126" w:type="dxa"/>
            <w:vAlign w:val="center"/>
          </w:tcPr>
          <w:p w14:paraId="59887E81">
            <w:pPr>
              <w:pStyle w:val="11"/>
            </w:pPr>
          </w:p>
        </w:tc>
      </w:tr>
      <w:tr w14:paraId="0B88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03139">
            <w:pPr>
              <w:pStyle w:val="13"/>
            </w:pPr>
            <w:r>
              <w:t>22</w:t>
            </w:r>
          </w:p>
        </w:tc>
        <w:tc>
          <w:tcPr>
            <w:tcW w:w="4535" w:type="dxa"/>
            <w:vAlign w:val="center"/>
          </w:tcPr>
          <w:p w14:paraId="29031ED4">
            <w:pPr>
              <w:pStyle w:val="12"/>
            </w:pPr>
          </w:p>
        </w:tc>
        <w:tc>
          <w:tcPr>
            <w:tcW w:w="2126" w:type="dxa"/>
            <w:vAlign w:val="center"/>
          </w:tcPr>
          <w:p w14:paraId="6CE334A2">
            <w:pPr>
              <w:pStyle w:val="11"/>
            </w:pPr>
          </w:p>
        </w:tc>
        <w:tc>
          <w:tcPr>
            <w:tcW w:w="4535" w:type="dxa"/>
            <w:vAlign w:val="center"/>
          </w:tcPr>
          <w:p w14:paraId="2BC2D49B">
            <w:pPr>
              <w:pStyle w:val="12"/>
            </w:pPr>
            <w:r>
              <w:t>二十二、国有资本经营预算支出</w:t>
            </w:r>
          </w:p>
        </w:tc>
        <w:tc>
          <w:tcPr>
            <w:tcW w:w="2126" w:type="dxa"/>
            <w:vAlign w:val="center"/>
          </w:tcPr>
          <w:p w14:paraId="68711B96">
            <w:pPr>
              <w:pStyle w:val="11"/>
            </w:pPr>
          </w:p>
        </w:tc>
      </w:tr>
      <w:tr w14:paraId="64A3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AA01">
            <w:pPr>
              <w:pStyle w:val="13"/>
            </w:pPr>
            <w:r>
              <w:t>23</w:t>
            </w:r>
          </w:p>
        </w:tc>
        <w:tc>
          <w:tcPr>
            <w:tcW w:w="4535" w:type="dxa"/>
            <w:vAlign w:val="center"/>
          </w:tcPr>
          <w:p w14:paraId="186A83E5">
            <w:pPr>
              <w:pStyle w:val="12"/>
            </w:pPr>
          </w:p>
        </w:tc>
        <w:tc>
          <w:tcPr>
            <w:tcW w:w="2126" w:type="dxa"/>
            <w:vAlign w:val="center"/>
          </w:tcPr>
          <w:p w14:paraId="1CDC94D4">
            <w:pPr>
              <w:pStyle w:val="11"/>
            </w:pPr>
          </w:p>
        </w:tc>
        <w:tc>
          <w:tcPr>
            <w:tcW w:w="4535" w:type="dxa"/>
            <w:vAlign w:val="center"/>
          </w:tcPr>
          <w:p w14:paraId="4CE72C18">
            <w:pPr>
              <w:pStyle w:val="12"/>
            </w:pPr>
            <w:r>
              <w:t>二十三、灾害防治及应急管理支出</w:t>
            </w:r>
          </w:p>
        </w:tc>
        <w:tc>
          <w:tcPr>
            <w:tcW w:w="2126" w:type="dxa"/>
            <w:vAlign w:val="center"/>
          </w:tcPr>
          <w:p w14:paraId="48F3B340">
            <w:pPr>
              <w:pStyle w:val="11"/>
            </w:pPr>
          </w:p>
        </w:tc>
      </w:tr>
      <w:tr w14:paraId="18275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356B0">
            <w:pPr>
              <w:pStyle w:val="13"/>
            </w:pPr>
            <w:r>
              <w:t>24</w:t>
            </w:r>
          </w:p>
        </w:tc>
        <w:tc>
          <w:tcPr>
            <w:tcW w:w="4535" w:type="dxa"/>
            <w:vAlign w:val="center"/>
          </w:tcPr>
          <w:p w14:paraId="6C695084">
            <w:pPr>
              <w:pStyle w:val="12"/>
            </w:pPr>
          </w:p>
        </w:tc>
        <w:tc>
          <w:tcPr>
            <w:tcW w:w="2126" w:type="dxa"/>
            <w:vAlign w:val="center"/>
          </w:tcPr>
          <w:p w14:paraId="4FDEC547">
            <w:pPr>
              <w:pStyle w:val="11"/>
            </w:pPr>
          </w:p>
        </w:tc>
        <w:tc>
          <w:tcPr>
            <w:tcW w:w="4535" w:type="dxa"/>
            <w:vAlign w:val="center"/>
          </w:tcPr>
          <w:p w14:paraId="40F981AF">
            <w:pPr>
              <w:pStyle w:val="12"/>
            </w:pPr>
            <w:r>
              <w:t>二十四、预备费</w:t>
            </w:r>
          </w:p>
        </w:tc>
        <w:tc>
          <w:tcPr>
            <w:tcW w:w="2126" w:type="dxa"/>
            <w:vAlign w:val="center"/>
          </w:tcPr>
          <w:p w14:paraId="266CE432">
            <w:pPr>
              <w:pStyle w:val="11"/>
            </w:pPr>
          </w:p>
        </w:tc>
      </w:tr>
      <w:tr w14:paraId="2223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A3390">
            <w:pPr>
              <w:pStyle w:val="13"/>
            </w:pPr>
            <w:r>
              <w:t>25</w:t>
            </w:r>
          </w:p>
        </w:tc>
        <w:tc>
          <w:tcPr>
            <w:tcW w:w="4535" w:type="dxa"/>
            <w:vAlign w:val="center"/>
          </w:tcPr>
          <w:p w14:paraId="400F14F8">
            <w:pPr>
              <w:pStyle w:val="12"/>
            </w:pPr>
          </w:p>
        </w:tc>
        <w:tc>
          <w:tcPr>
            <w:tcW w:w="2126" w:type="dxa"/>
            <w:vAlign w:val="center"/>
          </w:tcPr>
          <w:p w14:paraId="7E67C9A0">
            <w:pPr>
              <w:pStyle w:val="11"/>
            </w:pPr>
          </w:p>
        </w:tc>
        <w:tc>
          <w:tcPr>
            <w:tcW w:w="4535" w:type="dxa"/>
            <w:vAlign w:val="center"/>
          </w:tcPr>
          <w:p w14:paraId="33B83096">
            <w:pPr>
              <w:pStyle w:val="12"/>
            </w:pPr>
            <w:r>
              <w:t>二十五、其他支出</w:t>
            </w:r>
          </w:p>
        </w:tc>
        <w:tc>
          <w:tcPr>
            <w:tcW w:w="2126" w:type="dxa"/>
            <w:vAlign w:val="center"/>
          </w:tcPr>
          <w:p w14:paraId="023941D3">
            <w:pPr>
              <w:pStyle w:val="11"/>
            </w:pPr>
          </w:p>
        </w:tc>
      </w:tr>
      <w:tr w14:paraId="0435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5080">
            <w:pPr>
              <w:pStyle w:val="13"/>
            </w:pPr>
            <w:r>
              <w:t>26</w:t>
            </w:r>
          </w:p>
        </w:tc>
        <w:tc>
          <w:tcPr>
            <w:tcW w:w="4535" w:type="dxa"/>
            <w:vAlign w:val="center"/>
          </w:tcPr>
          <w:p w14:paraId="0686C14A">
            <w:pPr>
              <w:pStyle w:val="12"/>
            </w:pPr>
          </w:p>
        </w:tc>
        <w:tc>
          <w:tcPr>
            <w:tcW w:w="2126" w:type="dxa"/>
            <w:vAlign w:val="center"/>
          </w:tcPr>
          <w:p w14:paraId="6FB8E53C">
            <w:pPr>
              <w:pStyle w:val="11"/>
            </w:pPr>
          </w:p>
        </w:tc>
        <w:tc>
          <w:tcPr>
            <w:tcW w:w="4535" w:type="dxa"/>
            <w:vAlign w:val="center"/>
          </w:tcPr>
          <w:p w14:paraId="46AA5F24">
            <w:pPr>
              <w:pStyle w:val="12"/>
            </w:pPr>
            <w:r>
              <w:t>二十六、转移性支出</w:t>
            </w:r>
          </w:p>
        </w:tc>
        <w:tc>
          <w:tcPr>
            <w:tcW w:w="2126" w:type="dxa"/>
            <w:vAlign w:val="center"/>
          </w:tcPr>
          <w:p w14:paraId="2F70CD43">
            <w:pPr>
              <w:pStyle w:val="11"/>
            </w:pPr>
          </w:p>
        </w:tc>
      </w:tr>
      <w:tr w14:paraId="6C26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9B912">
            <w:pPr>
              <w:pStyle w:val="13"/>
            </w:pPr>
            <w:r>
              <w:t>27</w:t>
            </w:r>
          </w:p>
        </w:tc>
        <w:tc>
          <w:tcPr>
            <w:tcW w:w="4535" w:type="dxa"/>
            <w:vAlign w:val="center"/>
          </w:tcPr>
          <w:p w14:paraId="5E32E5F7">
            <w:pPr>
              <w:pStyle w:val="12"/>
            </w:pPr>
          </w:p>
        </w:tc>
        <w:tc>
          <w:tcPr>
            <w:tcW w:w="2126" w:type="dxa"/>
            <w:vAlign w:val="center"/>
          </w:tcPr>
          <w:p w14:paraId="7CDFF04D">
            <w:pPr>
              <w:pStyle w:val="11"/>
            </w:pPr>
          </w:p>
        </w:tc>
        <w:tc>
          <w:tcPr>
            <w:tcW w:w="4535" w:type="dxa"/>
            <w:vAlign w:val="center"/>
          </w:tcPr>
          <w:p w14:paraId="1F48EFBA">
            <w:pPr>
              <w:pStyle w:val="12"/>
            </w:pPr>
            <w:r>
              <w:t>二十七、债务还本支出</w:t>
            </w:r>
          </w:p>
        </w:tc>
        <w:tc>
          <w:tcPr>
            <w:tcW w:w="2126" w:type="dxa"/>
            <w:vAlign w:val="center"/>
          </w:tcPr>
          <w:p w14:paraId="5DF175E7">
            <w:pPr>
              <w:pStyle w:val="11"/>
            </w:pPr>
          </w:p>
        </w:tc>
      </w:tr>
      <w:tr w14:paraId="7E232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E83B">
            <w:pPr>
              <w:pStyle w:val="13"/>
            </w:pPr>
            <w:r>
              <w:t>28</w:t>
            </w:r>
          </w:p>
        </w:tc>
        <w:tc>
          <w:tcPr>
            <w:tcW w:w="4535" w:type="dxa"/>
            <w:vAlign w:val="center"/>
          </w:tcPr>
          <w:p w14:paraId="516814B7">
            <w:pPr>
              <w:pStyle w:val="12"/>
            </w:pPr>
          </w:p>
        </w:tc>
        <w:tc>
          <w:tcPr>
            <w:tcW w:w="2126" w:type="dxa"/>
            <w:vAlign w:val="center"/>
          </w:tcPr>
          <w:p w14:paraId="7C99123F">
            <w:pPr>
              <w:pStyle w:val="11"/>
            </w:pPr>
          </w:p>
        </w:tc>
        <w:tc>
          <w:tcPr>
            <w:tcW w:w="4535" w:type="dxa"/>
            <w:vAlign w:val="center"/>
          </w:tcPr>
          <w:p w14:paraId="1A5EE83E">
            <w:pPr>
              <w:pStyle w:val="12"/>
            </w:pPr>
            <w:r>
              <w:t>二十八、债务付息支出</w:t>
            </w:r>
          </w:p>
        </w:tc>
        <w:tc>
          <w:tcPr>
            <w:tcW w:w="2126" w:type="dxa"/>
            <w:vAlign w:val="center"/>
          </w:tcPr>
          <w:p w14:paraId="543F0960">
            <w:pPr>
              <w:pStyle w:val="11"/>
            </w:pPr>
          </w:p>
        </w:tc>
      </w:tr>
      <w:tr w14:paraId="51F6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4FAE3">
            <w:pPr>
              <w:pStyle w:val="13"/>
            </w:pPr>
            <w:r>
              <w:t>29</w:t>
            </w:r>
          </w:p>
        </w:tc>
        <w:tc>
          <w:tcPr>
            <w:tcW w:w="4535" w:type="dxa"/>
            <w:vAlign w:val="center"/>
          </w:tcPr>
          <w:p w14:paraId="3BC5E089">
            <w:pPr>
              <w:pStyle w:val="12"/>
            </w:pPr>
          </w:p>
        </w:tc>
        <w:tc>
          <w:tcPr>
            <w:tcW w:w="2126" w:type="dxa"/>
            <w:vAlign w:val="center"/>
          </w:tcPr>
          <w:p w14:paraId="61F4FDE7">
            <w:pPr>
              <w:pStyle w:val="11"/>
            </w:pPr>
          </w:p>
        </w:tc>
        <w:tc>
          <w:tcPr>
            <w:tcW w:w="4535" w:type="dxa"/>
            <w:vAlign w:val="center"/>
          </w:tcPr>
          <w:p w14:paraId="6E2FB787">
            <w:pPr>
              <w:pStyle w:val="12"/>
            </w:pPr>
            <w:r>
              <w:t>二十九、债务发行费用支出</w:t>
            </w:r>
          </w:p>
        </w:tc>
        <w:tc>
          <w:tcPr>
            <w:tcW w:w="2126" w:type="dxa"/>
            <w:vAlign w:val="center"/>
          </w:tcPr>
          <w:p w14:paraId="5CAAB4FD">
            <w:pPr>
              <w:pStyle w:val="11"/>
            </w:pPr>
          </w:p>
        </w:tc>
      </w:tr>
      <w:tr w14:paraId="7407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741DA">
            <w:pPr>
              <w:pStyle w:val="13"/>
            </w:pPr>
            <w:r>
              <w:t>30</w:t>
            </w:r>
          </w:p>
        </w:tc>
        <w:tc>
          <w:tcPr>
            <w:tcW w:w="4535" w:type="dxa"/>
            <w:vAlign w:val="center"/>
          </w:tcPr>
          <w:p w14:paraId="59C1A004">
            <w:pPr>
              <w:pStyle w:val="12"/>
            </w:pPr>
          </w:p>
        </w:tc>
        <w:tc>
          <w:tcPr>
            <w:tcW w:w="2126" w:type="dxa"/>
            <w:vAlign w:val="center"/>
          </w:tcPr>
          <w:p w14:paraId="3D66C278">
            <w:pPr>
              <w:pStyle w:val="11"/>
            </w:pPr>
          </w:p>
        </w:tc>
        <w:tc>
          <w:tcPr>
            <w:tcW w:w="4535" w:type="dxa"/>
            <w:vAlign w:val="center"/>
          </w:tcPr>
          <w:p w14:paraId="5896BE84">
            <w:pPr>
              <w:pStyle w:val="12"/>
            </w:pPr>
            <w:r>
              <w:t>三十、抗疫特别国债安排的支出</w:t>
            </w:r>
          </w:p>
        </w:tc>
        <w:tc>
          <w:tcPr>
            <w:tcW w:w="2126" w:type="dxa"/>
            <w:vAlign w:val="center"/>
          </w:tcPr>
          <w:p w14:paraId="436FD3E3">
            <w:pPr>
              <w:pStyle w:val="11"/>
            </w:pPr>
          </w:p>
        </w:tc>
      </w:tr>
      <w:tr w14:paraId="5AAD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E0C9B">
            <w:pPr>
              <w:pStyle w:val="13"/>
            </w:pPr>
            <w:r>
              <w:t>31</w:t>
            </w:r>
          </w:p>
        </w:tc>
        <w:tc>
          <w:tcPr>
            <w:tcW w:w="4535" w:type="dxa"/>
            <w:vAlign w:val="center"/>
          </w:tcPr>
          <w:p w14:paraId="56312C91">
            <w:pPr>
              <w:pStyle w:val="14"/>
            </w:pPr>
            <w:r>
              <w:t>本年收入合计</w:t>
            </w:r>
          </w:p>
        </w:tc>
        <w:tc>
          <w:tcPr>
            <w:tcW w:w="2126" w:type="dxa"/>
            <w:vAlign w:val="center"/>
          </w:tcPr>
          <w:p w14:paraId="13BF11F2">
            <w:pPr>
              <w:pStyle w:val="15"/>
            </w:pPr>
            <w:r>
              <w:t>6295.31</w:t>
            </w:r>
          </w:p>
        </w:tc>
        <w:tc>
          <w:tcPr>
            <w:tcW w:w="4535" w:type="dxa"/>
            <w:vAlign w:val="center"/>
          </w:tcPr>
          <w:p w14:paraId="5AF3715C">
            <w:pPr>
              <w:pStyle w:val="14"/>
            </w:pPr>
            <w:r>
              <w:t>本年支出合计</w:t>
            </w:r>
          </w:p>
        </w:tc>
        <w:tc>
          <w:tcPr>
            <w:tcW w:w="2126" w:type="dxa"/>
            <w:vAlign w:val="center"/>
          </w:tcPr>
          <w:p w14:paraId="7723C7F0">
            <w:pPr>
              <w:pStyle w:val="15"/>
            </w:pPr>
            <w:r>
              <w:t>6295.31</w:t>
            </w:r>
          </w:p>
        </w:tc>
      </w:tr>
      <w:tr w14:paraId="2B251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0DC46">
            <w:pPr>
              <w:pStyle w:val="13"/>
            </w:pPr>
            <w:r>
              <w:t>32</w:t>
            </w:r>
          </w:p>
        </w:tc>
        <w:tc>
          <w:tcPr>
            <w:tcW w:w="4535" w:type="dxa"/>
            <w:vAlign w:val="center"/>
          </w:tcPr>
          <w:p w14:paraId="7A6DB27F">
            <w:pPr>
              <w:pStyle w:val="12"/>
            </w:pPr>
            <w:r>
              <w:t>上年结转结余</w:t>
            </w:r>
          </w:p>
        </w:tc>
        <w:tc>
          <w:tcPr>
            <w:tcW w:w="2126" w:type="dxa"/>
            <w:vAlign w:val="center"/>
          </w:tcPr>
          <w:p w14:paraId="24DF78D7">
            <w:pPr>
              <w:pStyle w:val="11"/>
            </w:pPr>
          </w:p>
        </w:tc>
        <w:tc>
          <w:tcPr>
            <w:tcW w:w="4535" w:type="dxa"/>
            <w:vAlign w:val="center"/>
          </w:tcPr>
          <w:p w14:paraId="301A5EF2">
            <w:pPr>
              <w:pStyle w:val="12"/>
            </w:pPr>
            <w:r>
              <w:t>年终结转结余</w:t>
            </w:r>
          </w:p>
        </w:tc>
        <w:tc>
          <w:tcPr>
            <w:tcW w:w="2126" w:type="dxa"/>
            <w:vAlign w:val="center"/>
          </w:tcPr>
          <w:p w14:paraId="220E8FF1">
            <w:pPr>
              <w:pStyle w:val="11"/>
            </w:pPr>
          </w:p>
        </w:tc>
      </w:tr>
      <w:tr w14:paraId="00A9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3680">
            <w:pPr>
              <w:pStyle w:val="13"/>
            </w:pPr>
            <w:r>
              <w:t>33</w:t>
            </w:r>
          </w:p>
        </w:tc>
        <w:tc>
          <w:tcPr>
            <w:tcW w:w="4535" w:type="dxa"/>
            <w:vAlign w:val="center"/>
          </w:tcPr>
          <w:p w14:paraId="04255E5A">
            <w:pPr>
              <w:pStyle w:val="14"/>
            </w:pPr>
            <w:r>
              <w:t>收入总计</w:t>
            </w:r>
          </w:p>
        </w:tc>
        <w:tc>
          <w:tcPr>
            <w:tcW w:w="2126" w:type="dxa"/>
            <w:vAlign w:val="center"/>
          </w:tcPr>
          <w:p w14:paraId="10C6D2BD">
            <w:pPr>
              <w:pStyle w:val="15"/>
            </w:pPr>
            <w:r>
              <w:t>6295.31</w:t>
            </w:r>
          </w:p>
        </w:tc>
        <w:tc>
          <w:tcPr>
            <w:tcW w:w="4535" w:type="dxa"/>
            <w:vAlign w:val="center"/>
          </w:tcPr>
          <w:p w14:paraId="18DFD717">
            <w:pPr>
              <w:pStyle w:val="14"/>
            </w:pPr>
            <w:r>
              <w:t>支出总计</w:t>
            </w:r>
          </w:p>
        </w:tc>
        <w:tc>
          <w:tcPr>
            <w:tcW w:w="2126" w:type="dxa"/>
            <w:vAlign w:val="center"/>
          </w:tcPr>
          <w:p w14:paraId="223AEABC">
            <w:pPr>
              <w:pStyle w:val="15"/>
            </w:pPr>
            <w:r>
              <w:t>6295.31</w:t>
            </w:r>
          </w:p>
        </w:tc>
      </w:tr>
    </w:tbl>
    <w:p w14:paraId="5D0ED360">
      <w:pPr>
        <w:sectPr>
          <w:pgSz w:w="16840" w:h="11900" w:orient="landscape"/>
          <w:pgMar w:top="1361" w:right="1020" w:bottom="1134" w:left="1020" w:header="720" w:footer="720" w:gutter="0"/>
          <w:cols w:space="720" w:num="1"/>
        </w:sectPr>
      </w:pPr>
    </w:p>
    <w:p w14:paraId="34E6CE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A5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9BB879">
            <w:pPr>
              <w:pStyle w:val="9"/>
            </w:pPr>
            <w:r>
              <w:t>360016隆尧县城关校区</w:t>
            </w:r>
          </w:p>
        </w:tc>
        <w:tc>
          <w:tcPr>
            <w:tcW w:w="3402" w:type="dxa"/>
            <w:gridSpan w:val="3"/>
            <w:tcBorders>
              <w:top w:val="single" w:color="FFFFFF" w:sz="6" w:space="0"/>
              <w:left w:val="single" w:color="FFFFFF" w:sz="6" w:space="0"/>
              <w:right w:val="single" w:color="FFFFFF" w:sz="6" w:space="0"/>
            </w:tcBorders>
            <w:vAlign w:val="center"/>
          </w:tcPr>
          <w:p w14:paraId="5BBC2A7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3491A98">
            <w:pPr>
              <w:pStyle w:val="7"/>
            </w:pPr>
            <w:r>
              <w:t>单位：万元</w:t>
            </w:r>
          </w:p>
        </w:tc>
      </w:tr>
      <w:tr w14:paraId="1DD7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A998E6">
            <w:pPr>
              <w:pStyle w:val="10"/>
            </w:pPr>
            <w:r>
              <w:t>序号</w:t>
            </w:r>
          </w:p>
        </w:tc>
        <w:tc>
          <w:tcPr>
            <w:tcW w:w="2551" w:type="dxa"/>
            <w:gridSpan w:val="2"/>
            <w:vAlign w:val="center"/>
          </w:tcPr>
          <w:p w14:paraId="7079ED12">
            <w:pPr>
              <w:pStyle w:val="10"/>
            </w:pPr>
            <w:r>
              <w:t>功能分类科目</w:t>
            </w:r>
          </w:p>
        </w:tc>
        <w:tc>
          <w:tcPr>
            <w:tcW w:w="1134" w:type="dxa"/>
            <w:vMerge w:val="restart"/>
            <w:vAlign w:val="center"/>
          </w:tcPr>
          <w:p w14:paraId="51044846">
            <w:pPr>
              <w:pStyle w:val="10"/>
            </w:pPr>
            <w:r>
              <w:t>合计</w:t>
            </w:r>
          </w:p>
        </w:tc>
        <w:tc>
          <w:tcPr>
            <w:tcW w:w="9072" w:type="dxa"/>
            <w:gridSpan w:val="8"/>
            <w:vAlign w:val="center"/>
          </w:tcPr>
          <w:p w14:paraId="2CB6FF2D">
            <w:pPr>
              <w:pStyle w:val="10"/>
            </w:pPr>
            <w:r>
              <w:t>本年收入</w:t>
            </w:r>
          </w:p>
        </w:tc>
        <w:tc>
          <w:tcPr>
            <w:tcW w:w="1134" w:type="dxa"/>
            <w:vMerge w:val="restart"/>
            <w:vAlign w:val="center"/>
          </w:tcPr>
          <w:p w14:paraId="5C8BA221">
            <w:pPr>
              <w:pStyle w:val="10"/>
            </w:pPr>
            <w:r>
              <w:t>上年结转</w:t>
            </w:r>
          </w:p>
        </w:tc>
      </w:tr>
      <w:tr w14:paraId="7735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134C4D"/>
        </w:tc>
        <w:tc>
          <w:tcPr>
            <w:tcW w:w="992" w:type="dxa"/>
            <w:vAlign w:val="center"/>
          </w:tcPr>
          <w:p w14:paraId="60B5B4E0">
            <w:pPr>
              <w:pStyle w:val="10"/>
            </w:pPr>
            <w:r>
              <w:t>科目    编码</w:t>
            </w:r>
          </w:p>
        </w:tc>
        <w:tc>
          <w:tcPr>
            <w:tcW w:w="1559" w:type="dxa"/>
            <w:vAlign w:val="center"/>
          </w:tcPr>
          <w:p w14:paraId="24813C86">
            <w:pPr>
              <w:pStyle w:val="10"/>
            </w:pPr>
            <w:r>
              <w:t>科目名称</w:t>
            </w:r>
          </w:p>
        </w:tc>
        <w:tc>
          <w:tcPr>
            <w:tcW w:w="1134" w:type="dxa"/>
            <w:vMerge w:val="continue"/>
          </w:tcPr>
          <w:p w14:paraId="741B3D4C"/>
        </w:tc>
        <w:tc>
          <w:tcPr>
            <w:tcW w:w="1134" w:type="dxa"/>
            <w:vAlign w:val="center"/>
          </w:tcPr>
          <w:p w14:paraId="1FAAC4DD">
            <w:pPr>
              <w:pStyle w:val="10"/>
            </w:pPr>
            <w:r>
              <w:t>小计</w:t>
            </w:r>
          </w:p>
        </w:tc>
        <w:tc>
          <w:tcPr>
            <w:tcW w:w="1134" w:type="dxa"/>
            <w:vAlign w:val="center"/>
          </w:tcPr>
          <w:p w14:paraId="65D16A55">
            <w:pPr>
              <w:pStyle w:val="10"/>
            </w:pPr>
            <w:r>
              <w:t>财政拨款 收入</w:t>
            </w:r>
          </w:p>
        </w:tc>
        <w:tc>
          <w:tcPr>
            <w:tcW w:w="1134" w:type="dxa"/>
            <w:vAlign w:val="center"/>
          </w:tcPr>
          <w:p w14:paraId="16E5A776">
            <w:pPr>
              <w:pStyle w:val="10"/>
            </w:pPr>
            <w:r>
              <w:t>财政专户 收入</w:t>
            </w:r>
          </w:p>
        </w:tc>
        <w:tc>
          <w:tcPr>
            <w:tcW w:w="1134" w:type="dxa"/>
            <w:vAlign w:val="center"/>
          </w:tcPr>
          <w:p w14:paraId="2DFC548B">
            <w:pPr>
              <w:pStyle w:val="10"/>
            </w:pPr>
            <w:r>
              <w:t>事业收入</w:t>
            </w:r>
          </w:p>
        </w:tc>
        <w:tc>
          <w:tcPr>
            <w:tcW w:w="1134" w:type="dxa"/>
            <w:vAlign w:val="center"/>
          </w:tcPr>
          <w:p w14:paraId="20D3AB71">
            <w:pPr>
              <w:pStyle w:val="10"/>
            </w:pPr>
            <w:r>
              <w:t>经营收入</w:t>
            </w:r>
          </w:p>
        </w:tc>
        <w:tc>
          <w:tcPr>
            <w:tcW w:w="1134" w:type="dxa"/>
            <w:vAlign w:val="center"/>
          </w:tcPr>
          <w:p w14:paraId="6BD05514">
            <w:pPr>
              <w:pStyle w:val="10"/>
            </w:pPr>
            <w:r>
              <w:t>上级补助收入</w:t>
            </w:r>
          </w:p>
        </w:tc>
        <w:tc>
          <w:tcPr>
            <w:tcW w:w="1134" w:type="dxa"/>
            <w:vAlign w:val="center"/>
          </w:tcPr>
          <w:p w14:paraId="2993972B">
            <w:pPr>
              <w:pStyle w:val="10"/>
            </w:pPr>
            <w:r>
              <w:t>附属单位上缴收入</w:t>
            </w:r>
          </w:p>
        </w:tc>
        <w:tc>
          <w:tcPr>
            <w:tcW w:w="1134" w:type="dxa"/>
            <w:vAlign w:val="center"/>
          </w:tcPr>
          <w:p w14:paraId="12BA68D9">
            <w:pPr>
              <w:pStyle w:val="10"/>
            </w:pPr>
            <w:r>
              <w:t>其他收入</w:t>
            </w:r>
          </w:p>
        </w:tc>
        <w:tc>
          <w:tcPr>
            <w:tcW w:w="1134" w:type="dxa"/>
            <w:vMerge w:val="continue"/>
          </w:tcPr>
          <w:p w14:paraId="2B4391AC"/>
        </w:tc>
      </w:tr>
      <w:tr w14:paraId="07721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781E91">
            <w:pPr>
              <w:pStyle w:val="10"/>
            </w:pPr>
            <w:r>
              <w:t>栏次</w:t>
            </w:r>
          </w:p>
        </w:tc>
        <w:tc>
          <w:tcPr>
            <w:tcW w:w="992" w:type="dxa"/>
            <w:vAlign w:val="center"/>
          </w:tcPr>
          <w:p w14:paraId="5CA668A0">
            <w:pPr>
              <w:pStyle w:val="10"/>
            </w:pPr>
            <w:r>
              <w:t>1</w:t>
            </w:r>
          </w:p>
        </w:tc>
        <w:tc>
          <w:tcPr>
            <w:tcW w:w="1559" w:type="dxa"/>
            <w:vAlign w:val="center"/>
          </w:tcPr>
          <w:p w14:paraId="660D60C4">
            <w:pPr>
              <w:pStyle w:val="10"/>
            </w:pPr>
            <w:r>
              <w:t>2</w:t>
            </w:r>
          </w:p>
        </w:tc>
        <w:tc>
          <w:tcPr>
            <w:tcW w:w="1134" w:type="dxa"/>
            <w:vAlign w:val="center"/>
          </w:tcPr>
          <w:p w14:paraId="075BD5C7">
            <w:pPr>
              <w:pStyle w:val="10"/>
            </w:pPr>
            <w:r>
              <w:t>3</w:t>
            </w:r>
          </w:p>
        </w:tc>
        <w:tc>
          <w:tcPr>
            <w:tcW w:w="1134" w:type="dxa"/>
            <w:vAlign w:val="center"/>
          </w:tcPr>
          <w:p w14:paraId="43EAFF35">
            <w:pPr>
              <w:pStyle w:val="10"/>
            </w:pPr>
            <w:r>
              <w:t>4</w:t>
            </w:r>
          </w:p>
        </w:tc>
        <w:tc>
          <w:tcPr>
            <w:tcW w:w="1134" w:type="dxa"/>
            <w:vAlign w:val="center"/>
          </w:tcPr>
          <w:p w14:paraId="383DC6AC">
            <w:pPr>
              <w:pStyle w:val="10"/>
            </w:pPr>
            <w:r>
              <w:t>5</w:t>
            </w:r>
          </w:p>
        </w:tc>
        <w:tc>
          <w:tcPr>
            <w:tcW w:w="1134" w:type="dxa"/>
            <w:vAlign w:val="center"/>
          </w:tcPr>
          <w:p w14:paraId="6E09C153">
            <w:pPr>
              <w:pStyle w:val="10"/>
            </w:pPr>
            <w:r>
              <w:t>6</w:t>
            </w:r>
          </w:p>
        </w:tc>
        <w:tc>
          <w:tcPr>
            <w:tcW w:w="1134" w:type="dxa"/>
            <w:vAlign w:val="center"/>
          </w:tcPr>
          <w:p w14:paraId="210B9262">
            <w:pPr>
              <w:pStyle w:val="10"/>
            </w:pPr>
            <w:r>
              <w:t>7</w:t>
            </w:r>
          </w:p>
        </w:tc>
        <w:tc>
          <w:tcPr>
            <w:tcW w:w="1134" w:type="dxa"/>
            <w:vAlign w:val="center"/>
          </w:tcPr>
          <w:p w14:paraId="1D0E7AB9">
            <w:pPr>
              <w:pStyle w:val="10"/>
            </w:pPr>
            <w:r>
              <w:t>8</w:t>
            </w:r>
          </w:p>
        </w:tc>
        <w:tc>
          <w:tcPr>
            <w:tcW w:w="1134" w:type="dxa"/>
            <w:vAlign w:val="center"/>
          </w:tcPr>
          <w:p w14:paraId="6821DE82">
            <w:pPr>
              <w:pStyle w:val="10"/>
            </w:pPr>
            <w:r>
              <w:t>9</w:t>
            </w:r>
          </w:p>
        </w:tc>
        <w:tc>
          <w:tcPr>
            <w:tcW w:w="1134" w:type="dxa"/>
            <w:vAlign w:val="center"/>
          </w:tcPr>
          <w:p w14:paraId="16C3E09B">
            <w:pPr>
              <w:pStyle w:val="10"/>
            </w:pPr>
            <w:r>
              <w:t>10</w:t>
            </w:r>
          </w:p>
        </w:tc>
        <w:tc>
          <w:tcPr>
            <w:tcW w:w="1134" w:type="dxa"/>
            <w:vAlign w:val="center"/>
          </w:tcPr>
          <w:p w14:paraId="48234C2C">
            <w:pPr>
              <w:pStyle w:val="10"/>
            </w:pPr>
            <w:r>
              <w:t>11</w:t>
            </w:r>
          </w:p>
        </w:tc>
        <w:tc>
          <w:tcPr>
            <w:tcW w:w="1134" w:type="dxa"/>
            <w:vAlign w:val="center"/>
          </w:tcPr>
          <w:p w14:paraId="20EFB2F7">
            <w:pPr>
              <w:pStyle w:val="10"/>
            </w:pPr>
            <w:r>
              <w:t>12</w:t>
            </w:r>
          </w:p>
        </w:tc>
      </w:tr>
      <w:tr w14:paraId="1FD6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6F108">
            <w:pPr>
              <w:pStyle w:val="13"/>
            </w:pPr>
            <w:r>
              <w:t>1</w:t>
            </w:r>
          </w:p>
        </w:tc>
        <w:tc>
          <w:tcPr>
            <w:tcW w:w="992" w:type="dxa"/>
            <w:vAlign w:val="center"/>
          </w:tcPr>
          <w:p w14:paraId="6BB775C9">
            <w:pPr>
              <w:pStyle w:val="16"/>
            </w:pPr>
          </w:p>
        </w:tc>
        <w:tc>
          <w:tcPr>
            <w:tcW w:w="1559" w:type="dxa"/>
            <w:vAlign w:val="center"/>
          </w:tcPr>
          <w:p w14:paraId="1A12BB14">
            <w:pPr>
              <w:pStyle w:val="14"/>
            </w:pPr>
            <w:r>
              <w:t>合计</w:t>
            </w:r>
          </w:p>
        </w:tc>
        <w:tc>
          <w:tcPr>
            <w:tcW w:w="1134" w:type="dxa"/>
            <w:vAlign w:val="center"/>
          </w:tcPr>
          <w:p w14:paraId="5DFA8B69">
            <w:pPr>
              <w:pStyle w:val="15"/>
            </w:pPr>
            <w:r>
              <w:t>6295.31</w:t>
            </w:r>
          </w:p>
        </w:tc>
        <w:tc>
          <w:tcPr>
            <w:tcW w:w="1134" w:type="dxa"/>
            <w:vAlign w:val="center"/>
          </w:tcPr>
          <w:p w14:paraId="39801F99">
            <w:pPr>
              <w:pStyle w:val="15"/>
            </w:pPr>
            <w:r>
              <w:t>6295.31</w:t>
            </w:r>
          </w:p>
        </w:tc>
        <w:tc>
          <w:tcPr>
            <w:tcW w:w="1134" w:type="dxa"/>
            <w:vAlign w:val="center"/>
          </w:tcPr>
          <w:p w14:paraId="3EBF6474">
            <w:pPr>
              <w:pStyle w:val="15"/>
            </w:pPr>
            <w:r>
              <w:t>6295.31</w:t>
            </w:r>
          </w:p>
        </w:tc>
        <w:tc>
          <w:tcPr>
            <w:tcW w:w="1134" w:type="dxa"/>
            <w:vAlign w:val="center"/>
          </w:tcPr>
          <w:p w14:paraId="0EB17E66">
            <w:pPr>
              <w:pStyle w:val="15"/>
            </w:pPr>
          </w:p>
        </w:tc>
        <w:tc>
          <w:tcPr>
            <w:tcW w:w="1134" w:type="dxa"/>
            <w:vAlign w:val="center"/>
          </w:tcPr>
          <w:p w14:paraId="6BC0A331">
            <w:pPr>
              <w:pStyle w:val="15"/>
            </w:pPr>
          </w:p>
        </w:tc>
        <w:tc>
          <w:tcPr>
            <w:tcW w:w="1134" w:type="dxa"/>
            <w:vAlign w:val="center"/>
          </w:tcPr>
          <w:p w14:paraId="40FA2509">
            <w:pPr>
              <w:pStyle w:val="15"/>
            </w:pPr>
          </w:p>
        </w:tc>
        <w:tc>
          <w:tcPr>
            <w:tcW w:w="1134" w:type="dxa"/>
            <w:vAlign w:val="center"/>
          </w:tcPr>
          <w:p w14:paraId="0A80142E">
            <w:pPr>
              <w:pStyle w:val="15"/>
            </w:pPr>
          </w:p>
        </w:tc>
        <w:tc>
          <w:tcPr>
            <w:tcW w:w="1134" w:type="dxa"/>
            <w:vAlign w:val="center"/>
          </w:tcPr>
          <w:p w14:paraId="7243014A">
            <w:pPr>
              <w:pStyle w:val="15"/>
            </w:pPr>
          </w:p>
        </w:tc>
        <w:tc>
          <w:tcPr>
            <w:tcW w:w="1134" w:type="dxa"/>
            <w:vAlign w:val="center"/>
          </w:tcPr>
          <w:p w14:paraId="5FE8F33A">
            <w:pPr>
              <w:pStyle w:val="15"/>
            </w:pPr>
          </w:p>
        </w:tc>
        <w:tc>
          <w:tcPr>
            <w:tcW w:w="1134" w:type="dxa"/>
            <w:vAlign w:val="center"/>
          </w:tcPr>
          <w:p w14:paraId="482D782E">
            <w:pPr>
              <w:pStyle w:val="15"/>
            </w:pPr>
          </w:p>
        </w:tc>
      </w:tr>
      <w:tr w14:paraId="386C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C0B96">
            <w:pPr>
              <w:pStyle w:val="13"/>
            </w:pPr>
            <w:r>
              <w:t>2</w:t>
            </w:r>
          </w:p>
        </w:tc>
        <w:tc>
          <w:tcPr>
            <w:tcW w:w="992" w:type="dxa"/>
            <w:vAlign w:val="center"/>
          </w:tcPr>
          <w:p w14:paraId="37D5BAFB">
            <w:pPr>
              <w:pStyle w:val="12"/>
            </w:pPr>
            <w:r>
              <w:t>205</w:t>
            </w:r>
          </w:p>
        </w:tc>
        <w:tc>
          <w:tcPr>
            <w:tcW w:w="1559" w:type="dxa"/>
            <w:vAlign w:val="center"/>
          </w:tcPr>
          <w:p w14:paraId="782B6735">
            <w:pPr>
              <w:pStyle w:val="12"/>
            </w:pPr>
            <w:r>
              <w:t>教育支出</w:t>
            </w:r>
          </w:p>
        </w:tc>
        <w:tc>
          <w:tcPr>
            <w:tcW w:w="1134" w:type="dxa"/>
            <w:vAlign w:val="center"/>
          </w:tcPr>
          <w:p w14:paraId="00EE6935">
            <w:pPr>
              <w:pStyle w:val="11"/>
            </w:pPr>
            <w:r>
              <w:t>6295.31</w:t>
            </w:r>
          </w:p>
        </w:tc>
        <w:tc>
          <w:tcPr>
            <w:tcW w:w="1134" w:type="dxa"/>
            <w:vAlign w:val="center"/>
          </w:tcPr>
          <w:p w14:paraId="43C9909F">
            <w:pPr>
              <w:pStyle w:val="11"/>
            </w:pPr>
            <w:r>
              <w:t>6295.31</w:t>
            </w:r>
          </w:p>
        </w:tc>
        <w:tc>
          <w:tcPr>
            <w:tcW w:w="1134" w:type="dxa"/>
            <w:vAlign w:val="center"/>
          </w:tcPr>
          <w:p w14:paraId="5BC0ACA2">
            <w:pPr>
              <w:pStyle w:val="11"/>
            </w:pPr>
            <w:r>
              <w:t>6295.31</w:t>
            </w:r>
          </w:p>
        </w:tc>
        <w:tc>
          <w:tcPr>
            <w:tcW w:w="1134" w:type="dxa"/>
            <w:vAlign w:val="center"/>
          </w:tcPr>
          <w:p w14:paraId="5A8E2C40">
            <w:pPr>
              <w:pStyle w:val="11"/>
            </w:pPr>
          </w:p>
        </w:tc>
        <w:tc>
          <w:tcPr>
            <w:tcW w:w="1134" w:type="dxa"/>
            <w:vAlign w:val="center"/>
          </w:tcPr>
          <w:p w14:paraId="434E16D8">
            <w:pPr>
              <w:pStyle w:val="11"/>
            </w:pPr>
          </w:p>
        </w:tc>
        <w:tc>
          <w:tcPr>
            <w:tcW w:w="1134" w:type="dxa"/>
            <w:vAlign w:val="center"/>
          </w:tcPr>
          <w:p w14:paraId="5AC46E99">
            <w:pPr>
              <w:pStyle w:val="11"/>
            </w:pPr>
          </w:p>
        </w:tc>
        <w:tc>
          <w:tcPr>
            <w:tcW w:w="1134" w:type="dxa"/>
            <w:vAlign w:val="center"/>
          </w:tcPr>
          <w:p w14:paraId="3D7389B7">
            <w:pPr>
              <w:pStyle w:val="11"/>
            </w:pPr>
          </w:p>
        </w:tc>
        <w:tc>
          <w:tcPr>
            <w:tcW w:w="1134" w:type="dxa"/>
            <w:vAlign w:val="center"/>
          </w:tcPr>
          <w:p w14:paraId="2A02B957">
            <w:pPr>
              <w:pStyle w:val="11"/>
            </w:pPr>
          </w:p>
        </w:tc>
        <w:tc>
          <w:tcPr>
            <w:tcW w:w="1134" w:type="dxa"/>
            <w:vAlign w:val="center"/>
          </w:tcPr>
          <w:p w14:paraId="41F13D97">
            <w:pPr>
              <w:pStyle w:val="11"/>
            </w:pPr>
          </w:p>
        </w:tc>
        <w:tc>
          <w:tcPr>
            <w:tcW w:w="1134" w:type="dxa"/>
            <w:vAlign w:val="center"/>
          </w:tcPr>
          <w:p w14:paraId="1D96F111">
            <w:pPr>
              <w:pStyle w:val="11"/>
            </w:pPr>
          </w:p>
        </w:tc>
      </w:tr>
      <w:tr w14:paraId="2009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560D1">
            <w:pPr>
              <w:pStyle w:val="13"/>
            </w:pPr>
            <w:r>
              <w:t>3</w:t>
            </w:r>
          </w:p>
        </w:tc>
        <w:tc>
          <w:tcPr>
            <w:tcW w:w="992" w:type="dxa"/>
            <w:vAlign w:val="center"/>
          </w:tcPr>
          <w:p w14:paraId="2F86BAE3">
            <w:pPr>
              <w:pStyle w:val="12"/>
            </w:pPr>
            <w:r>
              <w:t>20502</w:t>
            </w:r>
          </w:p>
        </w:tc>
        <w:tc>
          <w:tcPr>
            <w:tcW w:w="1559" w:type="dxa"/>
            <w:vAlign w:val="center"/>
          </w:tcPr>
          <w:p w14:paraId="6001D663">
            <w:pPr>
              <w:pStyle w:val="12"/>
            </w:pPr>
            <w:r>
              <w:t>普通教育</w:t>
            </w:r>
          </w:p>
        </w:tc>
        <w:tc>
          <w:tcPr>
            <w:tcW w:w="1134" w:type="dxa"/>
            <w:vAlign w:val="center"/>
          </w:tcPr>
          <w:p w14:paraId="1BF026FA">
            <w:pPr>
              <w:pStyle w:val="11"/>
            </w:pPr>
            <w:r>
              <w:t>6295.31</w:t>
            </w:r>
          </w:p>
        </w:tc>
        <w:tc>
          <w:tcPr>
            <w:tcW w:w="1134" w:type="dxa"/>
            <w:vAlign w:val="center"/>
          </w:tcPr>
          <w:p w14:paraId="372D4552">
            <w:pPr>
              <w:pStyle w:val="11"/>
            </w:pPr>
            <w:r>
              <w:t>6295.31</w:t>
            </w:r>
          </w:p>
        </w:tc>
        <w:tc>
          <w:tcPr>
            <w:tcW w:w="1134" w:type="dxa"/>
            <w:vAlign w:val="center"/>
          </w:tcPr>
          <w:p w14:paraId="0860F671">
            <w:pPr>
              <w:pStyle w:val="11"/>
            </w:pPr>
            <w:r>
              <w:t>6295.31</w:t>
            </w:r>
          </w:p>
        </w:tc>
        <w:tc>
          <w:tcPr>
            <w:tcW w:w="1134" w:type="dxa"/>
            <w:vAlign w:val="center"/>
          </w:tcPr>
          <w:p w14:paraId="7384637F">
            <w:pPr>
              <w:pStyle w:val="11"/>
            </w:pPr>
          </w:p>
        </w:tc>
        <w:tc>
          <w:tcPr>
            <w:tcW w:w="1134" w:type="dxa"/>
            <w:vAlign w:val="center"/>
          </w:tcPr>
          <w:p w14:paraId="135DBE04">
            <w:pPr>
              <w:pStyle w:val="11"/>
            </w:pPr>
          </w:p>
        </w:tc>
        <w:tc>
          <w:tcPr>
            <w:tcW w:w="1134" w:type="dxa"/>
            <w:vAlign w:val="center"/>
          </w:tcPr>
          <w:p w14:paraId="03A6A1BD">
            <w:pPr>
              <w:pStyle w:val="11"/>
            </w:pPr>
          </w:p>
        </w:tc>
        <w:tc>
          <w:tcPr>
            <w:tcW w:w="1134" w:type="dxa"/>
            <w:vAlign w:val="center"/>
          </w:tcPr>
          <w:p w14:paraId="67FD871B">
            <w:pPr>
              <w:pStyle w:val="11"/>
            </w:pPr>
          </w:p>
        </w:tc>
        <w:tc>
          <w:tcPr>
            <w:tcW w:w="1134" w:type="dxa"/>
            <w:vAlign w:val="center"/>
          </w:tcPr>
          <w:p w14:paraId="2297C7FE">
            <w:pPr>
              <w:pStyle w:val="11"/>
            </w:pPr>
          </w:p>
        </w:tc>
        <w:tc>
          <w:tcPr>
            <w:tcW w:w="1134" w:type="dxa"/>
            <w:vAlign w:val="center"/>
          </w:tcPr>
          <w:p w14:paraId="175156C2">
            <w:pPr>
              <w:pStyle w:val="11"/>
            </w:pPr>
          </w:p>
        </w:tc>
        <w:tc>
          <w:tcPr>
            <w:tcW w:w="1134" w:type="dxa"/>
            <w:vAlign w:val="center"/>
          </w:tcPr>
          <w:p w14:paraId="42073ADD">
            <w:pPr>
              <w:pStyle w:val="11"/>
            </w:pPr>
          </w:p>
        </w:tc>
      </w:tr>
      <w:tr w14:paraId="0312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631EB">
            <w:pPr>
              <w:pStyle w:val="13"/>
            </w:pPr>
            <w:r>
              <w:t>4</w:t>
            </w:r>
          </w:p>
        </w:tc>
        <w:tc>
          <w:tcPr>
            <w:tcW w:w="992" w:type="dxa"/>
            <w:vAlign w:val="center"/>
          </w:tcPr>
          <w:p w14:paraId="18699BF5">
            <w:pPr>
              <w:pStyle w:val="12"/>
            </w:pPr>
            <w:r>
              <w:t>2050201</w:t>
            </w:r>
          </w:p>
        </w:tc>
        <w:tc>
          <w:tcPr>
            <w:tcW w:w="1559" w:type="dxa"/>
            <w:vAlign w:val="center"/>
          </w:tcPr>
          <w:p w14:paraId="1B4B81EE">
            <w:pPr>
              <w:pStyle w:val="12"/>
            </w:pPr>
            <w:r>
              <w:t>学前教育</w:t>
            </w:r>
          </w:p>
        </w:tc>
        <w:tc>
          <w:tcPr>
            <w:tcW w:w="1134" w:type="dxa"/>
            <w:vAlign w:val="center"/>
          </w:tcPr>
          <w:p w14:paraId="06457A16">
            <w:pPr>
              <w:pStyle w:val="11"/>
            </w:pPr>
            <w:r>
              <w:t>780.18</w:t>
            </w:r>
          </w:p>
        </w:tc>
        <w:tc>
          <w:tcPr>
            <w:tcW w:w="1134" w:type="dxa"/>
            <w:vAlign w:val="center"/>
          </w:tcPr>
          <w:p w14:paraId="6DC4B758">
            <w:pPr>
              <w:pStyle w:val="11"/>
            </w:pPr>
            <w:r>
              <w:t>780.18</w:t>
            </w:r>
          </w:p>
        </w:tc>
        <w:tc>
          <w:tcPr>
            <w:tcW w:w="1134" w:type="dxa"/>
            <w:vAlign w:val="center"/>
          </w:tcPr>
          <w:p w14:paraId="7234F395">
            <w:pPr>
              <w:pStyle w:val="11"/>
            </w:pPr>
            <w:r>
              <w:t>780.18</w:t>
            </w:r>
          </w:p>
        </w:tc>
        <w:tc>
          <w:tcPr>
            <w:tcW w:w="1134" w:type="dxa"/>
            <w:vAlign w:val="center"/>
          </w:tcPr>
          <w:p w14:paraId="1604F3ED">
            <w:pPr>
              <w:pStyle w:val="11"/>
            </w:pPr>
          </w:p>
        </w:tc>
        <w:tc>
          <w:tcPr>
            <w:tcW w:w="1134" w:type="dxa"/>
            <w:vAlign w:val="center"/>
          </w:tcPr>
          <w:p w14:paraId="0E559B00">
            <w:pPr>
              <w:pStyle w:val="11"/>
            </w:pPr>
          </w:p>
        </w:tc>
        <w:tc>
          <w:tcPr>
            <w:tcW w:w="1134" w:type="dxa"/>
            <w:vAlign w:val="center"/>
          </w:tcPr>
          <w:p w14:paraId="219EEEFB">
            <w:pPr>
              <w:pStyle w:val="11"/>
            </w:pPr>
          </w:p>
        </w:tc>
        <w:tc>
          <w:tcPr>
            <w:tcW w:w="1134" w:type="dxa"/>
            <w:vAlign w:val="center"/>
          </w:tcPr>
          <w:p w14:paraId="289BCBE0">
            <w:pPr>
              <w:pStyle w:val="11"/>
            </w:pPr>
          </w:p>
        </w:tc>
        <w:tc>
          <w:tcPr>
            <w:tcW w:w="1134" w:type="dxa"/>
            <w:vAlign w:val="center"/>
          </w:tcPr>
          <w:p w14:paraId="3D5C6A15">
            <w:pPr>
              <w:pStyle w:val="11"/>
            </w:pPr>
          </w:p>
        </w:tc>
        <w:tc>
          <w:tcPr>
            <w:tcW w:w="1134" w:type="dxa"/>
            <w:vAlign w:val="center"/>
          </w:tcPr>
          <w:p w14:paraId="54E5EC6A">
            <w:pPr>
              <w:pStyle w:val="11"/>
            </w:pPr>
          </w:p>
        </w:tc>
        <w:tc>
          <w:tcPr>
            <w:tcW w:w="1134" w:type="dxa"/>
            <w:vAlign w:val="center"/>
          </w:tcPr>
          <w:p w14:paraId="63F6C31E">
            <w:pPr>
              <w:pStyle w:val="11"/>
            </w:pPr>
          </w:p>
        </w:tc>
      </w:tr>
      <w:tr w14:paraId="2265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5A98F">
            <w:pPr>
              <w:pStyle w:val="13"/>
            </w:pPr>
            <w:r>
              <w:t>5</w:t>
            </w:r>
          </w:p>
        </w:tc>
        <w:tc>
          <w:tcPr>
            <w:tcW w:w="992" w:type="dxa"/>
            <w:vAlign w:val="center"/>
          </w:tcPr>
          <w:p w14:paraId="0528ADE0">
            <w:pPr>
              <w:pStyle w:val="12"/>
            </w:pPr>
            <w:r>
              <w:t>2050202</w:t>
            </w:r>
          </w:p>
        </w:tc>
        <w:tc>
          <w:tcPr>
            <w:tcW w:w="1559" w:type="dxa"/>
            <w:vAlign w:val="center"/>
          </w:tcPr>
          <w:p w14:paraId="7FB127BB">
            <w:pPr>
              <w:pStyle w:val="12"/>
            </w:pPr>
            <w:r>
              <w:t>小学教育</w:t>
            </w:r>
          </w:p>
        </w:tc>
        <w:tc>
          <w:tcPr>
            <w:tcW w:w="1134" w:type="dxa"/>
            <w:vAlign w:val="center"/>
          </w:tcPr>
          <w:p w14:paraId="08BB789A">
            <w:pPr>
              <w:pStyle w:val="11"/>
            </w:pPr>
            <w:r>
              <w:t>5515.13</w:t>
            </w:r>
          </w:p>
        </w:tc>
        <w:tc>
          <w:tcPr>
            <w:tcW w:w="1134" w:type="dxa"/>
            <w:vAlign w:val="center"/>
          </w:tcPr>
          <w:p w14:paraId="042147A8">
            <w:pPr>
              <w:pStyle w:val="11"/>
            </w:pPr>
            <w:r>
              <w:t>5515.13</w:t>
            </w:r>
          </w:p>
        </w:tc>
        <w:tc>
          <w:tcPr>
            <w:tcW w:w="1134" w:type="dxa"/>
            <w:vAlign w:val="center"/>
          </w:tcPr>
          <w:p w14:paraId="369A4776">
            <w:pPr>
              <w:pStyle w:val="11"/>
            </w:pPr>
            <w:r>
              <w:t>5515.13</w:t>
            </w:r>
          </w:p>
        </w:tc>
        <w:tc>
          <w:tcPr>
            <w:tcW w:w="1134" w:type="dxa"/>
            <w:vAlign w:val="center"/>
          </w:tcPr>
          <w:p w14:paraId="0672F0F3">
            <w:pPr>
              <w:pStyle w:val="11"/>
            </w:pPr>
          </w:p>
        </w:tc>
        <w:tc>
          <w:tcPr>
            <w:tcW w:w="1134" w:type="dxa"/>
            <w:vAlign w:val="center"/>
          </w:tcPr>
          <w:p w14:paraId="5A3BBAC7">
            <w:pPr>
              <w:pStyle w:val="11"/>
            </w:pPr>
          </w:p>
        </w:tc>
        <w:tc>
          <w:tcPr>
            <w:tcW w:w="1134" w:type="dxa"/>
            <w:vAlign w:val="center"/>
          </w:tcPr>
          <w:p w14:paraId="28B47984">
            <w:pPr>
              <w:pStyle w:val="11"/>
            </w:pPr>
          </w:p>
        </w:tc>
        <w:tc>
          <w:tcPr>
            <w:tcW w:w="1134" w:type="dxa"/>
            <w:vAlign w:val="center"/>
          </w:tcPr>
          <w:p w14:paraId="63560839">
            <w:pPr>
              <w:pStyle w:val="11"/>
            </w:pPr>
          </w:p>
        </w:tc>
        <w:tc>
          <w:tcPr>
            <w:tcW w:w="1134" w:type="dxa"/>
            <w:vAlign w:val="center"/>
          </w:tcPr>
          <w:p w14:paraId="6B65C104">
            <w:pPr>
              <w:pStyle w:val="11"/>
            </w:pPr>
          </w:p>
        </w:tc>
        <w:tc>
          <w:tcPr>
            <w:tcW w:w="1134" w:type="dxa"/>
            <w:vAlign w:val="center"/>
          </w:tcPr>
          <w:p w14:paraId="353DC701">
            <w:pPr>
              <w:pStyle w:val="11"/>
            </w:pPr>
          </w:p>
        </w:tc>
        <w:tc>
          <w:tcPr>
            <w:tcW w:w="1134" w:type="dxa"/>
            <w:vAlign w:val="center"/>
          </w:tcPr>
          <w:p w14:paraId="1A99A194">
            <w:pPr>
              <w:pStyle w:val="11"/>
            </w:pPr>
          </w:p>
        </w:tc>
      </w:tr>
    </w:tbl>
    <w:p w14:paraId="3CC396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D732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53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7CDB2E">
            <w:pPr>
              <w:pStyle w:val="9"/>
            </w:pPr>
            <w:r>
              <w:t>360016隆尧县城关校区</w:t>
            </w:r>
          </w:p>
        </w:tc>
        <w:tc>
          <w:tcPr>
            <w:tcW w:w="2722" w:type="dxa"/>
            <w:gridSpan w:val="2"/>
            <w:tcBorders>
              <w:top w:val="single" w:color="FFFFFF" w:sz="6" w:space="0"/>
              <w:left w:val="single" w:color="FFFFFF" w:sz="6" w:space="0"/>
              <w:right w:val="single" w:color="FFFFFF" w:sz="6" w:space="0"/>
            </w:tcBorders>
            <w:vAlign w:val="center"/>
          </w:tcPr>
          <w:p w14:paraId="6A357FC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806BDC4">
            <w:pPr>
              <w:pStyle w:val="7"/>
            </w:pPr>
            <w:r>
              <w:t>单位：万元</w:t>
            </w:r>
          </w:p>
        </w:tc>
      </w:tr>
      <w:tr w14:paraId="5D01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3FF29">
            <w:pPr>
              <w:pStyle w:val="10"/>
            </w:pPr>
            <w:r>
              <w:t>序号</w:t>
            </w:r>
          </w:p>
        </w:tc>
        <w:tc>
          <w:tcPr>
            <w:tcW w:w="5527" w:type="dxa"/>
            <w:gridSpan w:val="2"/>
            <w:vAlign w:val="center"/>
          </w:tcPr>
          <w:p w14:paraId="333820EB">
            <w:pPr>
              <w:pStyle w:val="10"/>
            </w:pPr>
            <w:r>
              <w:t>功能分类科目</w:t>
            </w:r>
          </w:p>
        </w:tc>
        <w:tc>
          <w:tcPr>
            <w:tcW w:w="1361" w:type="dxa"/>
            <w:vMerge w:val="restart"/>
            <w:vAlign w:val="center"/>
          </w:tcPr>
          <w:p w14:paraId="64859AE6">
            <w:pPr>
              <w:pStyle w:val="10"/>
            </w:pPr>
            <w:r>
              <w:t>合计</w:t>
            </w:r>
          </w:p>
        </w:tc>
        <w:tc>
          <w:tcPr>
            <w:tcW w:w="1361" w:type="dxa"/>
            <w:vMerge w:val="restart"/>
            <w:vAlign w:val="center"/>
          </w:tcPr>
          <w:p w14:paraId="6C7B5892">
            <w:pPr>
              <w:pStyle w:val="10"/>
            </w:pPr>
            <w:r>
              <w:t>基本支出</w:t>
            </w:r>
          </w:p>
        </w:tc>
        <w:tc>
          <w:tcPr>
            <w:tcW w:w="1361" w:type="dxa"/>
            <w:vMerge w:val="restart"/>
            <w:vAlign w:val="center"/>
          </w:tcPr>
          <w:p w14:paraId="67B7A1F5">
            <w:pPr>
              <w:pStyle w:val="10"/>
            </w:pPr>
            <w:r>
              <w:t>项目支出</w:t>
            </w:r>
          </w:p>
        </w:tc>
        <w:tc>
          <w:tcPr>
            <w:tcW w:w="1361" w:type="dxa"/>
            <w:vMerge w:val="restart"/>
            <w:vAlign w:val="center"/>
          </w:tcPr>
          <w:p w14:paraId="0A79A81C">
            <w:pPr>
              <w:pStyle w:val="10"/>
            </w:pPr>
            <w:r>
              <w:t>经营支出</w:t>
            </w:r>
          </w:p>
        </w:tc>
        <w:tc>
          <w:tcPr>
            <w:tcW w:w="1361" w:type="dxa"/>
            <w:vMerge w:val="restart"/>
            <w:vAlign w:val="center"/>
          </w:tcPr>
          <w:p w14:paraId="6E4E9EFC">
            <w:pPr>
              <w:pStyle w:val="10"/>
            </w:pPr>
            <w:r>
              <w:t>上解上级     支出</w:t>
            </w:r>
          </w:p>
        </w:tc>
        <w:tc>
          <w:tcPr>
            <w:tcW w:w="1361" w:type="dxa"/>
            <w:vMerge w:val="restart"/>
            <w:vAlign w:val="center"/>
          </w:tcPr>
          <w:p w14:paraId="3A468ABB">
            <w:pPr>
              <w:pStyle w:val="10"/>
            </w:pPr>
            <w:r>
              <w:t>对附属单位补助支出</w:t>
            </w:r>
          </w:p>
        </w:tc>
      </w:tr>
      <w:tr w14:paraId="7FD49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D8C1C8"/>
        </w:tc>
        <w:tc>
          <w:tcPr>
            <w:tcW w:w="992" w:type="dxa"/>
            <w:vAlign w:val="center"/>
          </w:tcPr>
          <w:p w14:paraId="043AAB29">
            <w:pPr>
              <w:pStyle w:val="10"/>
            </w:pPr>
            <w:r>
              <w:t>科目    编码</w:t>
            </w:r>
          </w:p>
        </w:tc>
        <w:tc>
          <w:tcPr>
            <w:tcW w:w="4535" w:type="dxa"/>
            <w:vAlign w:val="center"/>
          </w:tcPr>
          <w:p w14:paraId="6A802C23">
            <w:pPr>
              <w:pStyle w:val="10"/>
            </w:pPr>
            <w:r>
              <w:t>科目名称</w:t>
            </w:r>
          </w:p>
        </w:tc>
        <w:tc>
          <w:tcPr>
            <w:tcW w:w="1361" w:type="dxa"/>
            <w:vMerge w:val="continue"/>
          </w:tcPr>
          <w:p w14:paraId="30DB9E30"/>
        </w:tc>
        <w:tc>
          <w:tcPr>
            <w:tcW w:w="1361" w:type="dxa"/>
            <w:vMerge w:val="continue"/>
          </w:tcPr>
          <w:p w14:paraId="00393D21"/>
        </w:tc>
        <w:tc>
          <w:tcPr>
            <w:tcW w:w="1361" w:type="dxa"/>
            <w:vMerge w:val="continue"/>
          </w:tcPr>
          <w:p w14:paraId="72D6EBA5"/>
        </w:tc>
        <w:tc>
          <w:tcPr>
            <w:tcW w:w="1361" w:type="dxa"/>
            <w:vMerge w:val="continue"/>
          </w:tcPr>
          <w:p w14:paraId="5E9EBA9C"/>
        </w:tc>
        <w:tc>
          <w:tcPr>
            <w:tcW w:w="1361" w:type="dxa"/>
            <w:vMerge w:val="continue"/>
          </w:tcPr>
          <w:p w14:paraId="252D017B"/>
        </w:tc>
        <w:tc>
          <w:tcPr>
            <w:tcW w:w="1361" w:type="dxa"/>
            <w:vMerge w:val="continue"/>
          </w:tcPr>
          <w:p w14:paraId="1EE3DD0F"/>
        </w:tc>
      </w:tr>
      <w:tr w14:paraId="58F8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441D15">
            <w:pPr>
              <w:pStyle w:val="10"/>
            </w:pPr>
            <w:r>
              <w:t>栏次</w:t>
            </w:r>
          </w:p>
        </w:tc>
        <w:tc>
          <w:tcPr>
            <w:tcW w:w="992" w:type="dxa"/>
            <w:vAlign w:val="center"/>
          </w:tcPr>
          <w:p w14:paraId="17064C6A">
            <w:pPr>
              <w:pStyle w:val="10"/>
            </w:pPr>
            <w:r>
              <w:t>1</w:t>
            </w:r>
          </w:p>
        </w:tc>
        <w:tc>
          <w:tcPr>
            <w:tcW w:w="4535" w:type="dxa"/>
            <w:vAlign w:val="center"/>
          </w:tcPr>
          <w:p w14:paraId="6A2A1252">
            <w:pPr>
              <w:pStyle w:val="10"/>
            </w:pPr>
            <w:r>
              <w:t>2</w:t>
            </w:r>
          </w:p>
        </w:tc>
        <w:tc>
          <w:tcPr>
            <w:tcW w:w="1361" w:type="dxa"/>
            <w:vAlign w:val="center"/>
          </w:tcPr>
          <w:p w14:paraId="29D219E3">
            <w:pPr>
              <w:pStyle w:val="10"/>
            </w:pPr>
            <w:r>
              <w:t>3</w:t>
            </w:r>
          </w:p>
        </w:tc>
        <w:tc>
          <w:tcPr>
            <w:tcW w:w="1361" w:type="dxa"/>
            <w:vAlign w:val="center"/>
          </w:tcPr>
          <w:p w14:paraId="42D9C266">
            <w:pPr>
              <w:pStyle w:val="10"/>
            </w:pPr>
            <w:r>
              <w:t>4</w:t>
            </w:r>
          </w:p>
        </w:tc>
        <w:tc>
          <w:tcPr>
            <w:tcW w:w="1361" w:type="dxa"/>
            <w:vAlign w:val="center"/>
          </w:tcPr>
          <w:p w14:paraId="540089B5">
            <w:pPr>
              <w:pStyle w:val="10"/>
            </w:pPr>
            <w:r>
              <w:t>5</w:t>
            </w:r>
          </w:p>
        </w:tc>
        <w:tc>
          <w:tcPr>
            <w:tcW w:w="1361" w:type="dxa"/>
            <w:vAlign w:val="center"/>
          </w:tcPr>
          <w:p w14:paraId="7D2E3CAF">
            <w:pPr>
              <w:pStyle w:val="10"/>
            </w:pPr>
            <w:r>
              <w:t>6</w:t>
            </w:r>
          </w:p>
        </w:tc>
        <w:tc>
          <w:tcPr>
            <w:tcW w:w="1361" w:type="dxa"/>
            <w:vAlign w:val="center"/>
          </w:tcPr>
          <w:p w14:paraId="402E09D4">
            <w:pPr>
              <w:pStyle w:val="10"/>
            </w:pPr>
            <w:r>
              <w:t>7</w:t>
            </w:r>
          </w:p>
        </w:tc>
        <w:tc>
          <w:tcPr>
            <w:tcW w:w="1361" w:type="dxa"/>
            <w:vAlign w:val="center"/>
          </w:tcPr>
          <w:p w14:paraId="2EEC8D36">
            <w:pPr>
              <w:pStyle w:val="10"/>
            </w:pPr>
            <w:r>
              <w:t>8</w:t>
            </w:r>
          </w:p>
        </w:tc>
      </w:tr>
      <w:tr w14:paraId="73B6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E54F">
            <w:pPr>
              <w:pStyle w:val="13"/>
            </w:pPr>
            <w:r>
              <w:t>1</w:t>
            </w:r>
          </w:p>
        </w:tc>
        <w:tc>
          <w:tcPr>
            <w:tcW w:w="992" w:type="dxa"/>
            <w:vAlign w:val="center"/>
          </w:tcPr>
          <w:p w14:paraId="0FFAC512">
            <w:pPr>
              <w:pStyle w:val="16"/>
            </w:pPr>
          </w:p>
        </w:tc>
        <w:tc>
          <w:tcPr>
            <w:tcW w:w="4535" w:type="dxa"/>
            <w:vAlign w:val="center"/>
          </w:tcPr>
          <w:p w14:paraId="373D8C66">
            <w:pPr>
              <w:pStyle w:val="14"/>
            </w:pPr>
            <w:r>
              <w:t>合计</w:t>
            </w:r>
          </w:p>
        </w:tc>
        <w:tc>
          <w:tcPr>
            <w:tcW w:w="1361" w:type="dxa"/>
            <w:vAlign w:val="center"/>
          </w:tcPr>
          <w:p w14:paraId="6A5A45EA">
            <w:pPr>
              <w:pStyle w:val="15"/>
            </w:pPr>
            <w:r>
              <w:t>6295.31</w:t>
            </w:r>
          </w:p>
        </w:tc>
        <w:tc>
          <w:tcPr>
            <w:tcW w:w="1361" w:type="dxa"/>
            <w:vAlign w:val="center"/>
          </w:tcPr>
          <w:p w14:paraId="785B860A">
            <w:pPr>
              <w:pStyle w:val="15"/>
            </w:pPr>
            <w:r>
              <w:t>4406.32</w:t>
            </w:r>
          </w:p>
        </w:tc>
        <w:tc>
          <w:tcPr>
            <w:tcW w:w="1361" w:type="dxa"/>
            <w:vAlign w:val="center"/>
          </w:tcPr>
          <w:p w14:paraId="00828095">
            <w:pPr>
              <w:pStyle w:val="15"/>
            </w:pPr>
            <w:r>
              <w:t>1888.99</w:t>
            </w:r>
          </w:p>
        </w:tc>
        <w:tc>
          <w:tcPr>
            <w:tcW w:w="1361" w:type="dxa"/>
            <w:vAlign w:val="center"/>
          </w:tcPr>
          <w:p w14:paraId="4432B64D">
            <w:pPr>
              <w:pStyle w:val="15"/>
            </w:pPr>
          </w:p>
        </w:tc>
        <w:tc>
          <w:tcPr>
            <w:tcW w:w="1361" w:type="dxa"/>
            <w:vAlign w:val="center"/>
          </w:tcPr>
          <w:p w14:paraId="2E63839D">
            <w:pPr>
              <w:pStyle w:val="15"/>
            </w:pPr>
          </w:p>
        </w:tc>
        <w:tc>
          <w:tcPr>
            <w:tcW w:w="1361" w:type="dxa"/>
            <w:vAlign w:val="center"/>
          </w:tcPr>
          <w:p w14:paraId="7D8250F5">
            <w:pPr>
              <w:pStyle w:val="15"/>
            </w:pPr>
          </w:p>
        </w:tc>
      </w:tr>
      <w:tr w14:paraId="17D8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805A">
            <w:pPr>
              <w:pStyle w:val="13"/>
            </w:pPr>
            <w:r>
              <w:t>2</w:t>
            </w:r>
          </w:p>
        </w:tc>
        <w:tc>
          <w:tcPr>
            <w:tcW w:w="992" w:type="dxa"/>
            <w:vAlign w:val="center"/>
          </w:tcPr>
          <w:p w14:paraId="56505FFB">
            <w:pPr>
              <w:pStyle w:val="12"/>
            </w:pPr>
            <w:r>
              <w:t>205</w:t>
            </w:r>
          </w:p>
        </w:tc>
        <w:tc>
          <w:tcPr>
            <w:tcW w:w="4535" w:type="dxa"/>
            <w:vAlign w:val="center"/>
          </w:tcPr>
          <w:p w14:paraId="6E5DC453">
            <w:pPr>
              <w:pStyle w:val="12"/>
            </w:pPr>
            <w:r>
              <w:t>教育支出</w:t>
            </w:r>
          </w:p>
        </w:tc>
        <w:tc>
          <w:tcPr>
            <w:tcW w:w="1361" w:type="dxa"/>
            <w:vAlign w:val="center"/>
          </w:tcPr>
          <w:p w14:paraId="6923568C">
            <w:pPr>
              <w:pStyle w:val="11"/>
            </w:pPr>
            <w:r>
              <w:t>6295.31</w:t>
            </w:r>
          </w:p>
        </w:tc>
        <w:tc>
          <w:tcPr>
            <w:tcW w:w="1361" w:type="dxa"/>
            <w:vAlign w:val="center"/>
          </w:tcPr>
          <w:p w14:paraId="267815CA">
            <w:pPr>
              <w:pStyle w:val="11"/>
            </w:pPr>
            <w:r>
              <w:t>4406.32</w:t>
            </w:r>
          </w:p>
        </w:tc>
        <w:tc>
          <w:tcPr>
            <w:tcW w:w="1361" w:type="dxa"/>
            <w:vAlign w:val="center"/>
          </w:tcPr>
          <w:p w14:paraId="34E29839">
            <w:pPr>
              <w:pStyle w:val="11"/>
            </w:pPr>
            <w:r>
              <w:t>1888.99</w:t>
            </w:r>
          </w:p>
        </w:tc>
        <w:tc>
          <w:tcPr>
            <w:tcW w:w="1361" w:type="dxa"/>
            <w:vAlign w:val="center"/>
          </w:tcPr>
          <w:p w14:paraId="114D29AF">
            <w:pPr>
              <w:pStyle w:val="11"/>
            </w:pPr>
          </w:p>
        </w:tc>
        <w:tc>
          <w:tcPr>
            <w:tcW w:w="1361" w:type="dxa"/>
            <w:vAlign w:val="center"/>
          </w:tcPr>
          <w:p w14:paraId="04CACCA6">
            <w:pPr>
              <w:pStyle w:val="11"/>
            </w:pPr>
          </w:p>
        </w:tc>
        <w:tc>
          <w:tcPr>
            <w:tcW w:w="1361" w:type="dxa"/>
            <w:vAlign w:val="center"/>
          </w:tcPr>
          <w:p w14:paraId="550F222A">
            <w:pPr>
              <w:pStyle w:val="11"/>
            </w:pPr>
          </w:p>
        </w:tc>
      </w:tr>
      <w:tr w14:paraId="5F23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299E">
            <w:pPr>
              <w:pStyle w:val="13"/>
            </w:pPr>
            <w:r>
              <w:t>3</w:t>
            </w:r>
          </w:p>
        </w:tc>
        <w:tc>
          <w:tcPr>
            <w:tcW w:w="992" w:type="dxa"/>
            <w:vAlign w:val="center"/>
          </w:tcPr>
          <w:p w14:paraId="1D71C984">
            <w:pPr>
              <w:pStyle w:val="12"/>
            </w:pPr>
            <w:r>
              <w:t>20502</w:t>
            </w:r>
          </w:p>
        </w:tc>
        <w:tc>
          <w:tcPr>
            <w:tcW w:w="4535" w:type="dxa"/>
            <w:vAlign w:val="center"/>
          </w:tcPr>
          <w:p w14:paraId="0065273D">
            <w:pPr>
              <w:pStyle w:val="12"/>
            </w:pPr>
            <w:r>
              <w:t>普通教育</w:t>
            </w:r>
          </w:p>
        </w:tc>
        <w:tc>
          <w:tcPr>
            <w:tcW w:w="1361" w:type="dxa"/>
            <w:vAlign w:val="center"/>
          </w:tcPr>
          <w:p w14:paraId="2FC8C533">
            <w:pPr>
              <w:pStyle w:val="11"/>
            </w:pPr>
            <w:r>
              <w:t>6295.31</w:t>
            </w:r>
          </w:p>
        </w:tc>
        <w:tc>
          <w:tcPr>
            <w:tcW w:w="1361" w:type="dxa"/>
            <w:vAlign w:val="center"/>
          </w:tcPr>
          <w:p w14:paraId="43B41D80">
            <w:pPr>
              <w:pStyle w:val="11"/>
            </w:pPr>
            <w:r>
              <w:t>4406.32</w:t>
            </w:r>
          </w:p>
        </w:tc>
        <w:tc>
          <w:tcPr>
            <w:tcW w:w="1361" w:type="dxa"/>
            <w:vAlign w:val="center"/>
          </w:tcPr>
          <w:p w14:paraId="2EE7BC6D">
            <w:pPr>
              <w:pStyle w:val="11"/>
            </w:pPr>
            <w:r>
              <w:t>1888.99</w:t>
            </w:r>
          </w:p>
        </w:tc>
        <w:tc>
          <w:tcPr>
            <w:tcW w:w="1361" w:type="dxa"/>
            <w:vAlign w:val="center"/>
          </w:tcPr>
          <w:p w14:paraId="054A3770">
            <w:pPr>
              <w:pStyle w:val="11"/>
            </w:pPr>
          </w:p>
        </w:tc>
        <w:tc>
          <w:tcPr>
            <w:tcW w:w="1361" w:type="dxa"/>
            <w:vAlign w:val="center"/>
          </w:tcPr>
          <w:p w14:paraId="2077531E">
            <w:pPr>
              <w:pStyle w:val="11"/>
            </w:pPr>
          </w:p>
        </w:tc>
        <w:tc>
          <w:tcPr>
            <w:tcW w:w="1361" w:type="dxa"/>
            <w:vAlign w:val="center"/>
          </w:tcPr>
          <w:p w14:paraId="2A349911">
            <w:pPr>
              <w:pStyle w:val="11"/>
            </w:pPr>
          </w:p>
        </w:tc>
      </w:tr>
      <w:tr w14:paraId="70D4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7343">
            <w:pPr>
              <w:pStyle w:val="13"/>
            </w:pPr>
            <w:r>
              <w:t>4</w:t>
            </w:r>
          </w:p>
        </w:tc>
        <w:tc>
          <w:tcPr>
            <w:tcW w:w="992" w:type="dxa"/>
            <w:vAlign w:val="center"/>
          </w:tcPr>
          <w:p w14:paraId="38482709">
            <w:pPr>
              <w:pStyle w:val="12"/>
            </w:pPr>
            <w:r>
              <w:t>2050201</w:t>
            </w:r>
          </w:p>
        </w:tc>
        <w:tc>
          <w:tcPr>
            <w:tcW w:w="4535" w:type="dxa"/>
            <w:vAlign w:val="center"/>
          </w:tcPr>
          <w:p w14:paraId="5A9BA28F">
            <w:pPr>
              <w:pStyle w:val="12"/>
            </w:pPr>
            <w:r>
              <w:t>学前教育</w:t>
            </w:r>
          </w:p>
        </w:tc>
        <w:tc>
          <w:tcPr>
            <w:tcW w:w="1361" w:type="dxa"/>
            <w:vAlign w:val="center"/>
          </w:tcPr>
          <w:p w14:paraId="2E973D0F">
            <w:pPr>
              <w:pStyle w:val="11"/>
            </w:pPr>
            <w:r>
              <w:t>780.18</w:t>
            </w:r>
          </w:p>
        </w:tc>
        <w:tc>
          <w:tcPr>
            <w:tcW w:w="1361" w:type="dxa"/>
            <w:vAlign w:val="center"/>
          </w:tcPr>
          <w:p w14:paraId="5395052D">
            <w:pPr>
              <w:pStyle w:val="11"/>
            </w:pPr>
          </w:p>
        </w:tc>
        <w:tc>
          <w:tcPr>
            <w:tcW w:w="1361" w:type="dxa"/>
            <w:vAlign w:val="center"/>
          </w:tcPr>
          <w:p w14:paraId="74D13604">
            <w:pPr>
              <w:pStyle w:val="11"/>
            </w:pPr>
            <w:r>
              <w:t>780.18</w:t>
            </w:r>
          </w:p>
        </w:tc>
        <w:tc>
          <w:tcPr>
            <w:tcW w:w="1361" w:type="dxa"/>
            <w:vAlign w:val="center"/>
          </w:tcPr>
          <w:p w14:paraId="0337253A">
            <w:pPr>
              <w:pStyle w:val="11"/>
            </w:pPr>
          </w:p>
        </w:tc>
        <w:tc>
          <w:tcPr>
            <w:tcW w:w="1361" w:type="dxa"/>
            <w:vAlign w:val="center"/>
          </w:tcPr>
          <w:p w14:paraId="25130757">
            <w:pPr>
              <w:pStyle w:val="11"/>
            </w:pPr>
          </w:p>
        </w:tc>
        <w:tc>
          <w:tcPr>
            <w:tcW w:w="1361" w:type="dxa"/>
            <w:vAlign w:val="center"/>
          </w:tcPr>
          <w:p w14:paraId="70279F8F">
            <w:pPr>
              <w:pStyle w:val="11"/>
            </w:pPr>
          </w:p>
        </w:tc>
      </w:tr>
      <w:tr w14:paraId="0EDF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6320">
            <w:pPr>
              <w:pStyle w:val="13"/>
            </w:pPr>
            <w:r>
              <w:t>5</w:t>
            </w:r>
          </w:p>
        </w:tc>
        <w:tc>
          <w:tcPr>
            <w:tcW w:w="992" w:type="dxa"/>
            <w:vAlign w:val="center"/>
          </w:tcPr>
          <w:p w14:paraId="681A995E">
            <w:pPr>
              <w:pStyle w:val="12"/>
            </w:pPr>
            <w:r>
              <w:t>2050202</w:t>
            </w:r>
          </w:p>
        </w:tc>
        <w:tc>
          <w:tcPr>
            <w:tcW w:w="4535" w:type="dxa"/>
            <w:vAlign w:val="center"/>
          </w:tcPr>
          <w:p w14:paraId="611840CD">
            <w:pPr>
              <w:pStyle w:val="12"/>
            </w:pPr>
            <w:r>
              <w:t>小学教育</w:t>
            </w:r>
          </w:p>
        </w:tc>
        <w:tc>
          <w:tcPr>
            <w:tcW w:w="1361" w:type="dxa"/>
            <w:vAlign w:val="center"/>
          </w:tcPr>
          <w:p w14:paraId="2AD48C7E">
            <w:pPr>
              <w:pStyle w:val="11"/>
            </w:pPr>
            <w:r>
              <w:t>5515.13</w:t>
            </w:r>
          </w:p>
        </w:tc>
        <w:tc>
          <w:tcPr>
            <w:tcW w:w="1361" w:type="dxa"/>
            <w:vAlign w:val="center"/>
          </w:tcPr>
          <w:p w14:paraId="1A5D8530">
            <w:pPr>
              <w:pStyle w:val="11"/>
            </w:pPr>
            <w:r>
              <w:t>4406.32</w:t>
            </w:r>
          </w:p>
        </w:tc>
        <w:tc>
          <w:tcPr>
            <w:tcW w:w="1361" w:type="dxa"/>
            <w:vAlign w:val="center"/>
          </w:tcPr>
          <w:p w14:paraId="03E520D9">
            <w:pPr>
              <w:pStyle w:val="11"/>
            </w:pPr>
            <w:r>
              <w:t>1108.81</w:t>
            </w:r>
          </w:p>
        </w:tc>
        <w:tc>
          <w:tcPr>
            <w:tcW w:w="1361" w:type="dxa"/>
            <w:vAlign w:val="center"/>
          </w:tcPr>
          <w:p w14:paraId="5853FFBA">
            <w:pPr>
              <w:pStyle w:val="11"/>
            </w:pPr>
          </w:p>
        </w:tc>
        <w:tc>
          <w:tcPr>
            <w:tcW w:w="1361" w:type="dxa"/>
            <w:vAlign w:val="center"/>
          </w:tcPr>
          <w:p w14:paraId="1DC9230B">
            <w:pPr>
              <w:pStyle w:val="11"/>
            </w:pPr>
          </w:p>
        </w:tc>
        <w:tc>
          <w:tcPr>
            <w:tcW w:w="1361" w:type="dxa"/>
            <w:vAlign w:val="center"/>
          </w:tcPr>
          <w:p w14:paraId="5AFD5D25">
            <w:pPr>
              <w:pStyle w:val="11"/>
            </w:pPr>
          </w:p>
        </w:tc>
      </w:tr>
    </w:tbl>
    <w:p w14:paraId="38E48D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994D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B8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75FB53">
            <w:pPr>
              <w:pStyle w:val="9"/>
            </w:pPr>
            <w:r>
              <w:t>360016隆尧县城关校区</w:t>
            </w:r>
          </w:p>
        </w:tc>
        <w:tc>
          <w:tcPr>
            <w:tcW w:w="3402" w:type="dxa"/>
            <w:tcBorders>
              <w:top w:val="single" w:color="FFFFFF" w:sz="6" w:space="0"/>
              <w:left w:val="single" w:color="FFFFFF" w:sz="6" w:space="0"/>
              <w:right w:val="single" w:color="FFFFFF" w:sz="6" w:space="0"/>
            </w:tcBorders>
            <w:vAlign w:val="center"/>
          </w:tcPr>
          <w:p w14:paraId="591CD09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D6D6A2">
            <w:pPr>
              <w:pStyle w:val="7"/>
            </w:pPr>
            <w:r>
              <w:t>单位：万元</w:t>
            </w:r>
          </w:p>
        </w:tc>
      </w:tr>
      <w:tr w14:paraId="7B5FF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C7173">
            <w:pPr>
              <w:pStyle w:val="10"/>
            </w:pPr>
            <w:r>
              <w:t>序号</w:t>
            </w:r>
          </w:p>
        </w:tc>
        <w:tc>
          <w:tcPr>
            <w:tcW w:w="4876" w:type="dxa"/>
            <w:gridSpan w:val="2"/>
            <w:vAlign w:val="center"/>
          </w:tcPr>
          <w:p w14:paraId="753C5AE6">
            <w:pPr>
              <w:pStyle w:val="10"/>
            </w:pPr>
            <w:r>
              <w:t>收入</w:t>
            </w:r>
          </w:p>
        </w:tc>
        <w:tc>
          <w:tcPr>
            <w:tcW w:w="9298" w:type="dxa"/>
            <w:gridSpan w:val="5"/>
            <w:vAlign w:val="center"/>
          </w:tcPr>
          <w:p w14:paraId="5B260763">
            <w:pPr>
              <w:pStyle w:val="10"/>
            </w:pPr>
            <w:r>
              <w:t>支出</w:t>
            </w:r>
          </w:p>
        </w:tc>
      </w:tr>
      <w:tr w14:paraId="49CE58CE">
        <w:tblPrEx>
          <w:tblCellMar>
            <w:top w:w="0" w:type="dxa"/>
            <w:left w:w="108" w:type="dxa"/>
            <w:bottom w:w="0" w:type="dxa"/>
            <w:right w:w="108" w:type="dxa"/>
          </w:tblCellMar>
        </w:tblPrEx>
        <w:trPr>
          <w:trHeight w:val="369" w:hRule="atLeast"/>
          <w:tblHeader/>
          <w:jc w:val="center"/>
        </w:trPr>
        <w:tc>
          <w:tcPr>
            <w:tcW w:w="850" w:type="dxa"/>
            <w:vMerge w:val="continue"/>
          </w:tcPr>
          <w:p w14:paraId="31B8F281"/>
        </w:tc>
        <w:tc>
          <w:tcPr>
            <w:tcW w:w="3402" w:type="dxa"/>
            <w:vAlign w:val="center"/>
          </w:tcPr>
          <w:p w14:paraId="0AEE88D0">
            <w:pPr>
              <w:pStyle w:val="10"/>
            </w:pPr>
            <w:r>
              <w:t>项  目</w:t>
            </w:r>
          </w:p>
        </w:tc>
        <w:tc>
          <w:tcPr>
            <w:tcW w:w="1474" w:type="dxa"/>
            <w:vAlign w:val="center"/>
          </w:tcPr>
          <w:p w14:paraId="3BBD274B">
            <w:pPr>
              <w:pStyle w:val="10"/>
            </w:pPr>
            <w:r>
              <w:t>金额</w:t>
            </w:r>
          </w:p>
        </w:tc>
        <w:tc>
          <w:tcPr>
            <w:tcW w:w="3402" w:type="dxa"/>
            <w:vAlign w:val="center"/>
          </w:tcPr>
          <w:p w14:paraId="62079033">
            <w:pPr>
              <w:pStyle w:val="10"/>
            </w:pPr>
            <w:r>
              <w:t>项  目</w:t>
            </w:r>
          </w:p>
        </w:tc>
        <w:tc>
          <w:tcPr>
            <w:tcW w:w="1474" w:type="dxa"/>
            <w:vAlign w:val="center"/>
          </w:tcPr>
          <w:p w14:paraId="164DECB9">
            <w:pPr>
              <w:pStyle w:val="10"/>
            </w:pPr>
            <w:r>
              <w:t>合计</w:t>
            </w:r>
          </w:p>
        </w:tc>
        <w:tc>
          <w:tcPr>
            <w:tcW w:w="1474" w:type="dxa"/>
            <w:vAlign w:val="center"/>
          </w:tcPr>
          <w:p w14:paraId="123CC9AB">
            <w:pPr>
              <w:pStyle w:val="10"/>
            </w:pPr>
            <w:r>
              <w:t>一般公共预算财政拨款</w:t>
            </w:r>
          </w:p>
        </w:tc>
        <w:tc>
          <w:tcPr>
            <w:tcW w:w="1474" w:type="dxa"/>
            <w:vAlign w:val="center"/>
          </w:tcPr>
          <w:p w14:paraId="5B6FA3ED">
            <w:pPr>
              <w:pStyle w:val="10"/>
            </w:pPr>
            <w:r>
              <w:t>政府性基金预算财政    拨款</w:t>
            </w:r>
          </w:p>
        </w:tc>
        <w:tc>
          <w:tcPr>
            <w:tcW w:w="1474" w:type="dxa"/>
            <w:vAlign w:val="center"/>
          </w:tcPr>
          <w:p w14:paraId="4680A554">
            <w:pPr>
              <w:pStyle w:val="10"/>
            </w:pPr>
            <w:r>
              <w:t>国有资本经营预算财政拨款</w:t>
            </w:r>
          </w:p>
        </w:tc>
      </w:tr>
      <w:tr w14:paraId="25A2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0D1182">
            <w:pPr>
              <w:pStyle w:val="10"/>
            </w:pPr>
            <w:r>
              <w:t>栏次</w:t>
            </w:r>
          </w:p>
        </w:tc>
        <w:tc>
          <w:tcPr>
            <w:tcW w:w="3402" w:type="dxa"/>
            <w:vAlign w:val="center"/>
          </w:tcPr>
          <w:p w14:paraId="3207D396">
            <w:pPr>
              <w:pStyle w:val="10"/>
            </w:pPr>
            <w:r>
              <w:t>1</w:t>
            </w:r>
          </w:p>
        </w:tc>
        <w:tc>
          <w:tcPr>
            <w:tcW w:w="1474" w:type="dxa"/>
            <w:vAlign w:val="center"/>
          </w:tcPr>
          <w:p w14:paraId="287A742C">
            <w:pPr>
              <w:pStyle w:val="10"/>
            </w:pPr>
            <w:r>
              <w:t>2</w:t>
            </w:r>
          </w:p>
        </w:tc>
        <w:tc>
          <w:tcPr>
            <w:tcW w:w="3402" w:type="dxa"/>
            <w:vAlign w:val="center"/>
          </w:tcPr>
          <w:p w14:paraId="7A34B4CD">
            <w:pPr>
              <w:pStyle w:val="10"/>
            </w:pPr>
            <w:r>
              <w:t>3</w:t>
            </w:r>
          </w:p>
        </w:tc>
        <w:tc>
          <w:tcPr>
            <w:tcW w:w="1474" w:type="dxa"/>
            <w:vAlign w:val="center"/>
          </w:tcPr>
          <w:p w14:paraId="71941433">
            <w:pPr>
              <w:pStyle w:val="10"/>
            </w:pPr>
            <w:r>
              <w:t>4</w:t>
            </w:r>
          </w:p>
        </w:tc>
        <w:tc>
          <w:tcPr>
            <w:tcW w:w="1474" w:type="dxa"/>
            <w:vAlign w:val="center"/>
          </w:tcPr>
          <w:p w14:paraId="1592B29A">
            <w:pPr>
              <w:pStyle w:val="10"/>
            </w:pPr>
            <w:r>
              <w:t>5</w:t>
            </w:r>
          </w:p>
        </w:tc>
        <w:tc>
          <w:tcPr>
            <w:tcW w:w="1474" w:type="dxa"/>
            <w:vAlign w:val="center"/>
          </w:tcPr>
          <w:p w14:paraId="10218ED5">
            <w:pPr>
              <w:pStyle w:val="10"/>
            </w:pPr>
            <w:r>
              <w:t>6</w:t>
            </w:r>
          </w:p>
        </w:tc>
        <w:tc>
          <w:tcPr>
            <w:tcW w:w="1474" w:type="dxa"/>
            <w:vAlign w:val="center"/>
          </w:tcPr>
          <w:p w14:paraId="68B59B2A">
            <w:pPr>
              <w:pStyle w:val="10"/>
            </w:pPr>
            <w:r>
              <w:t>7</w:t>
            </w:r>
          </w:p>
        </w:tc>
      </w:tr>
      <w:tr w14:paraId="16C0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CE922">
            <w:pPr>
              <w:pStyle w:val="13"/>
            </w:pPr>
            <w:r>
              <w:t>1</w:t>
            </w:r>
          </w:p>
        </w:tc>
        <w:tc>
          <w:tcPr>
            <w:tcW w:w="3402" w:type="dxa"/>
            <w:vAlign w:val="center"/>
          </w:tcPr>
          <w:p w14:paraId="410DBB0D">
            <w:pPr>
              <w:pStyle w:val="12"/>
            </w:pPr>
            <w:r>
              <w:t>一、一般公共预算拨款</w:t>
            </w:r>
          </w:p>
        </w:tc>
        <w:tc>
          <w:tcPr>
            <w:tcW w:w="1474" w:type="dxa"/>
            <w:vAlign w:val="center"/>
          </w:tcPr>
          <w:p w14:paraId="0873F10B">
            <w:pPr>
              <w:pStyle w:val="11"/>
            </w:pPr>
            <w:r>
              <w:t>6295.31</w:t>
            </w:r>
          </w:p>
        </w:tc>
        <w:tc>
          <w:tcPr>
            <w:tcW w:w="3402" w:type="dxa"/>
            <w:vAlign w:val="center"/>
          </w:tcPr>
          <w:p w14:paraId="0D39A325">
            <w:pPr>
              <w:pStyle w:val="12"/>
            </w:pPr>
            <w:r>
              <w:t>一、一般公共服务支出</w:t>
            </w:r>
          </w:p>
        </w:tc>
        <w:tc>
          <w:tcPr>
            <w:tcW w:w="1474" w:type="dxa"/>
            <w:vAlign w:val="center"/>
          </w:tcPr>
          <w:p w14:paraId="4D349371">
            <w:pPr>
              <w:pStyle w:val="11"/>
            </w:pPr>
          </w:p>
        </w:tc>
        <w:tc>
          <w:tcPr>
            <w:tcW w:w="1474" w:type="dxa"/>
            <w:vAlign w:val="center"/>
          </w:tcPr>
          <w:p w14:paraId="326E09D2">
            <w:pPr>
              <w:pStyle w:val="11"/>
            </w:pPr>
          </w:p>
        </w:tc>
        <w:tc>
          <w:tcPr>
            <w:tcW w:w="1474" w:type="dxa"/>
            <w:vAlign w:val="center"/>
          </w:tcPr>
          <w:p w14:paraId="7538B46C">
            <w:pPr>
              <w:pStyle w:val="11"/>
            </w:pPr>
          </w:p>
        </w:tc>
        <w:tc>
          <w:tcPr>
            <w:tcW w:w="1474" w:type="dxa"/>
            <w:vAlign w:val="center"/>
          </w:tcPr>
          <w:p w14:paraId="3A3D389C">
            <w:pPr>
              <w:pStyle w:val="11"/>
            </w:pPr>
          </w:p>
        </w:tc>
      </w:tr>
      <w:tr w14:paraId="2066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6A22">
            <w:pPr>
              <w:pStyle w:val="13"/>
            </w:pPr>
            <w:r>
              <w:t>2</w:t>
            </w:r>
          </w:p>
        </w:tc>
        <w:tc>
          <w:tcPr>
            <w:tcW w:w="3402" w:type="dxa"/>
            <w:vAlign w:val="center"/>
          </w:tcPr>
          <w:p w14:paraId="14546E46">
            <w:pPr>
              <w:pStyle w:val="12"/>
            </w:pPr>
            <w:r>
              <w:t>二、政府性基金预算拨款</w:t>
            </w:r>
          </w:p>
        </w:tc>
        <w:tc>
          <w:tcPr>
            <w:tcW w:w="1474" w:type="dxa"/>
            <w:vAlign w:val="center"/>
          </w:tcPr>
          <w:p w14:paraId="215F2DC6">
            <w:pPr>
              <w:pStyle w:val="11"/>
            </w:pPr>
          </w:p>
        </w:tc>
        <w:tc>
          <w:tcPr>
            <w:tcW w:w="3402" w:type="dxa"/>
            <w:vAlign w:val="center"/>
          </w:tcPr>
          <w:p w14:paraId="62A02526">
            <w:pPr>
              <w:pStyle w:val="12"/>
            </w:pPr>
            <w:r>
              <w:t>二、外交支出</w:t>
            </w:r>
          </w:p>
        </w:tc>
        <w:tc>
          <w:tcPr>
            <w:tcW w:w="1474" w:type="dxa"/>
            <w:vAlign w:val="center"/>
          </w:tcPr>
          <w:p w14:paraId="1E3AFE28">
            <w:pPr>
              <w:pStyle w:val="11"/>
            </w:pPr>
          </w:p>
        </w:tc>
        <w:tc>
          <w:tcPr>
            <w:tcW w:w="1474" w:type="dxa"/>
            <w:vAlign w:val="center"/>
          </w:tcPr>
          <w:p w14:paraId="738A2541">
            <w:pPr>
              <w:pStyle w:val="11"/>
            </w:pPr>
          </w:p>
        </w:tc>
        <w:tc>
          <w:tcPr>
            <w:tcW w:w="1474" w:type="dxa"/>
            <w:vAlign w:val="center"/>
          </w:tcPr>
          <w:p w14:paraId="5D466A6F">
            <w:pPr>
              <w:pStyle w:val="11"/>
            </w:pPr>
          </w:p>
        </w:tc>
        <w:tc>
          <w:tcPr>
            <w:tcW w:w="1474" w:type="dxa"/>
            <w:vAlign w:val="center"/>
          </w:tcPr>
          <w:p w14:paraId="4934D95D">
            <w:pPr>
              <w:pStyle w:val="11"/>
            </w:pPr>
          </w:p>
        </w:tc>
      </w:tr>
      <w:tr w14:paraId="3A0D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609E9">
            <w:pPr>
              <w:pStyle w:val="13"/>
            </w:pPr>
            <w:r>
              <w:t>3</w:t>
            </w:r>
          </w:p>
        </w:tc>
        <w:tc>
          <w:tcPr>
            <w:tcW w:w="3402" w:type="dxa"/>
            <w:vAlign w:val="center"/>
          </w:tcPr>
          <w:p w14:paraId="1F2C76C1">
            <w:pPr>
              <w:pStyle w:val="12"/>
            </w:pPr>
            <w:r>
              <w:t>三、国有资本经营预算拨款</w:t>
            </w:r>
          </w:p>
        </w:tc>
        <w:tc>
          <w:tcPr>
            <w:tcW w:w="1474" w:type="dxa"/>
            <w:vAlign w:val="center"/>
          </w:tcPr>
          <w:p w14:paraId="7DC4CC37">
            <w:pPr>
              <w:pStyle w:val="11"/>
            </w:pPr>
          </w:p>
        </w:tc>
        <w:tc>
          <w:tcPr>
            <w:tcW w:w="3402" w:type="dxa"/>
            <w:vAlign w:val="center"/>
          </w:tcPr>
          <w:p w14:paraId="26D5E92D">
            <w:pPr>
              <w:pStyle w:val="12"/>
            </w:pPr>
            <w:r>
              <w:t>三、国防支出</w:t>
            </w:r>
          </w:p>
        </w:tc>
        <w:tc>
          <w:tcPr>
            <w:tcW w:w="1474" w:type="dxa"/>
            <w:vAlign w:val="center"/>
          </w:tcPr>
          <w:p w14:paraId="175096EB">
            <w:pPr>
              <w:pStyle w:val="11"/>
            </w:pPr>
          </w:p>
        </w:tc>
        <w:tc>
          <w:tcPr>
            <w:tcW w:w="1474" w:type="dxa"/>
            <w:vAlign w:val="center"/>
          </w:tcPr>
          <w:p w14:paraId="301B7A90">
            <w:pPr>
              <w:pStyle w:val="11"/>
            </w:pPr>
          </w:p>
        </w:tc>
        <w:tc>
          <w:tcPr>
            <w:tcW w:w="1474" w:type="dxa"/>
            <w:vAlign w:val="center"/>
          </w:tcPr>
          <w:p w14:paraId="112A4603">
            <w:pPr>
              <w:pStyle w:val="11"/>
            </w:pPr>
          </w:p>
        </w:tc>
        <w:tc>
          <w:tcPr>
            <w:tcW w:w="1474" w:type="dxa"/>
            <w:vAlign w:val="center"/>
          </w:tcPr>
          <w:p w14:paraId="0E746B9D">
            <w:pPr>
              <w:pStyle w:val="11"/>
            </w:pPr>
          </w:p>
        </w:tc>
      </w:tr>
      <w:tr w14:paraId="2C1D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28E06">
            <w:pPr>
              <w:pStyle w:val="13"/>
            </w:pPr>
            <w:r>
              <w:t>4</w:t>
            </w:r>
          </w:p>
        </w:tc>
        <w:tc>
          <w:tcPr>
            <w:tcW w:w="3402" w:type="dxa"/>
            <w:vAlign w:val="center"/>
          </w:tcPr>
          <w:p w14:paraId="53914753">
            <w:pPr>
              <w:pStyle w:val="12"/>
            </w:pPr>
          </w:p>
        </w:tc>
        <w:tc>
          <w:tcPr>
            <w:tcW w:w="1474" w:type="dxa"/>
            <w:vAlign w:val="center"/>
          </w:tcPr>
          <w:p w14:paraId="0843849A">
            <w:pPr>
              <w:pStyle w:val="11"/>
            </w:pPr>
          </w:p>
        </w:tc>
        <w:tc>
          <w:tcPr>
            <w:tcW w:w="3402" w:type="dxa"/>
            <w:vAlign w:val="center"/>
          </w:tcPr>
          <w:p w14:paraId="180D77FB">
            <w:pPr>
              <w:pStyle w:val="12"/>
            </w:pPr>
            <w:r>
              <w:t>四、公共安全支出</w:t>
            </w:r>
          </w:p>
        </w:tc>
        <w:tc>
          <w:tcPr>
            <w:tcW w:w="1474" w:type="dxa"/>
            <w:vAlign w:val="center"/>
          </w:tcPr>
          <w:p w14:paraId="6C30E371">
            <w:pPr>
              <w:pStyle w:val="11"/>
            </w:pPr>
          </w:p>
        </w:tc>
        <w:tc>
          <w:tcPr>
            <w:tcW w:w="1474" w:type="dxa"/>
            <w:vAlign w:val="center"/>
          </w:tcPr>
          <w:p w14:paraId="029878C2">
            <w:pPr>
              <w:pStyle w:val="11"/>
            </w:pPr>
          </w:p>
        </w:tc>
        <w:tc>
          <w:tcPr>
            <w:tcW w:w="1474" w:type="dxa"/>
            <w:vAlign w:val="center"/>
          </w:tcPr>
          <w:p w14:paraId="0603859D">
            <w:pPr>
              <w:pStyle w:val="11"/>
            </w:pPr>
          </w:p>
        </w:tc>
        <w:tc>
          <w:tcPr>
            <w:tcW w:w="1474" w:type="dxa"/>
            <w:vAlign w:val="center"/>
          </w:tcPr>
          <w:p w14:paraId="299DE869">
            <w:pPr>
              <w:pStyle w:val="11"/>
            </w:pPr>
          </w:p>
        </w:tc>
      </w:tr>
      <w:tr w14:paraId="5506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FDC32">
            <w:pPr>
              <w:pStyle w:val="13"/>
            </w:pPr>
            <w:r>
              <w:t>5</w:t>
            </w:r>
          </w:p>
        </w:tc>
        <w:tc>
          <w:tcPr>
            <w:tcW w:w="3402" w:type="dxa"/>
            <w:vAlign w:val="center"/>
          </w:tcPr>
          <w:p w14:paraId="6E689452">
            <w:pPr>
              <w:pStyle w:val="12"/>
            </w:pPr>
          </w:p>
        </w:tc>
        <w:tc>
          <w:tcPr>
            <w:tcW w:w="1474" w:type="dxa"/>
            <w:vAlign w:val="center"/>
          </w:tcPr>
          <w:p w14:paraId="72211224">
            <w:pPr>
              <w:pStyle w:val="11"/>
            </w:pPr>
          </w:p>
        </w:tc>
        <w:tc>
          <w:tcPr>
            <w:tcW w:w="3402" w:type="dxa"/>
            <w:vAlign w:val="center"/>
          </w:tcPr>
          <w:p w14:paraId="1E58BA00">
            <w:pPr>
              <w:pStyle w:val="12"/>
            </w:pPr>
            <w:r>
              <w:t>五、教育支出</w:t>
            </w:r>
          </w:p>
        </w:tc>
        <w:tc>
          <w:tcPr>
            <w:tcW w:w="1474" w:type="dxa"/>
            <w:vAlign w:val="center"/>
          </w:tcPr>
          <w:p w14:paraId="0930E98C">
            <w:pPr>
              <w:pStyle w:val="11"/>
            </w:pPr>
            <w:r>
              <w:t>6295.31</w:t>
            </w:r>
          </w:p>
        </w:tc>
        <w:tc>
          <w:tcPr>
            <w:tcW w:w="1474" w:type="dxa"/>
            <w:vAlign w:val="center"/>
          </w:tcPr>
          <w:p w14:paraId="0954CCEE">
            <w:pPr>
              <w:pStyle w:val="11"/>
            </w:pPr>
            <w:r>
              <w:t>6295.31</w:t>
            </w:r>
          </w:p>
        </w:tc>
        <w:tc>
          <w:tcPr>
            <w:tcW w:w="1474" w:type="dxa"/>
            <w:vAlign w:val="center"/>
          </w:tcPr>
          <w:p w14:paraId="4817D111">
            <w:pPr>
              <w:pStyle w:val="11"/>
            </w:pPr>
          </w:p>
        </w:tc>
        <w:tc>
          <w:tcPr>
            <w:tcW w:w="1474" w:type="dxa"/>
            <w:vAlign w:val="center"/>
          </w:tcPr>
          <w:p w14:paraId="251F66F3">
            <w:pPr>
              <w:pStyle w:val="11"/>
            </w:pPr>
          </w:p>
        </w:tc>
      </w:tr>
      <w:tr w14:paraId="7800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4FC6">
            <w:pPr>
              <w:pStyle w:val="13"/>
            </w:pPr>
            <w:r>
              <w:t>6</w:t>
            </w:r>
          </w:p>
        </w:tc>
        <w:tc>
          <w:tcPr>
            <w:tcW w:w="3402" w:type="dxa"/>
            <w:vAlign w:val="center"/>
          </w:tcPr>
          <w:p w14:paraId="10373DDF">
            <w:pPr>
              <w:pStyle w:val="12"/>
            </w:pPr>
          </w:p>
        </w:tc>
        <w:tc>
          <w:tcPr>
            <w:tcW w:w="1474" w:type="dxa"/>
            <w:vAlign w:val="center"/>
          </w:tcPr>
          <w:p w14:paraId="1FFDE915">
            <w:pPr>
              <w:pStyle w:val="11"/>
            </w:pPr>
          </w:p>
        </w:tc>
        <w:tc>
          <w:tcPr>
            <w:tcW w:w="3402" w:type="dxa"/>
            <w:vAlign w:val="center"/>
          </w:tcPr>
          <w:p w14:paraId="4D5B9CC2">
            <w:pPr>
              <w:pStyle w:val="12"/>
            </w:pPr>
            <w:r>
              <w:t>六、科学技术支出</w:t>
            </w:r>
          </w:p>
        </w:tc>
        <w:tc>
          <w:tcPr>
            <w:tcW w:w="1474" w:type="dxa"/>
            <w:vAlign w:val="center"/>
          </w:tcPr>
          <w:p w14:paraId="1A2BD797">
            <w:pPr>
              <w:pStyle w:val="11"/>
            </w:pPr>
          </w:p>
        </w:tc>
        <w:tc>
          <w:tcPr>
            <w:tcW w:w="1474" w:type="dxa"/>
            <w:vAlign w:val="center"/>
          </w:tcPr>
          <w:p w14:paraId="595F34E1">
            <w:pPr>
              <w:pStyle w:val="11"/>
            </w:pPr>
          </w:p>
        </w:tc>
        <w:tc>
          <w:tcPr>
            <w:tcW w:w="1474" w:type="dxa"/>
            <w:vAlign w:val="center"/>
          </w:tcPr>
          <w:p w14:paraId="64A4876E">
            <w:pPr>
              <w:pStyle w:val="11"/>
            </w:pPr>
          </w:p>
        </w:tc>
        <w:tc>
          <w:tcPr>
            <w:tcW w:w="1474" w:type="dxa"/>
            <w:vAlign w:val="center"/>
          </w:tcPr>
          <w:p w14:paraId="490E055F">
            <w:pPr>
              <w:pStyle w:val="11"/>
            </w:pPr>
          </w:p>
        </w:tc>
      </w:tr>
      <w:tr w14:paraId="0298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D2F3">
            <w:pPr>
              <w:pStyle w:val="13"/>
            </w:pPr>
            <w:r>
              <w:t>7</w:t>
            </w:r>
          </w:p>
        </w:tc>
        <w:tc>
          <w:tcPr>
            <w:tcW w:w="3402" w:type="dxa"/>
            <w:vAlign w:val="center"/>
          </w:tcPr>
          <w:p w14:paraId="4BEB156D">
            <w:pPr>
              <w:pStyle w:val="12"/>
            </w:pPr>
          </w:p>
        </w:tc>
        <w:tc>
          <w:tcPr>
            <w:tcW w:w="1474" w:type="dxa"/>
            <w:vAlign w:val="center"/>
          </w:tcPr>
          <w:p w14:paraId="032BFE43">
            <w:pPr>
              <w:pStyle w:val="11"/>
            </w:pPr>
          </w:p>
        </w:tc>
        <w:tc>
          <w:tcPr>
            <w:tcW w:w="3402" w:type="dxa"/>
            <w:vAlign w:val="center"/>
          </w:tcPr>
          <w:p w14:paraId="546F1AFE">
            <w:pPr>
              <w:pStyle w:val="12"/>
            </w:pPr>
            <w:r>
              <w:t>七、文化旅游体育与传媒支出</w:t>
            </w:r>
          </w:p>
        </w:tc>
        <w:tc>
          <w:tcPr>
            <w:tcW w:w="1474" w:type="dxa"/>
            <w:vAlign w:val="center"/>
          </w:tcPr>
          <w:p w14:paraId="2FC2A8DA">
            <w:pPr>
              <w:pStyle w:val="11"/>
            </w:pPr>
          </w:p>
        </w:tc>
        <w:tc>
          <w:tcPr>
            <w:tcW w:w="1474" w:type="dxa"/>
            <w:vAlign w:val="center"/>
          </w:tcPr>
          <w:p w14:paraId="02437396">
            <w:pPr>
              <w:pStyle w:val="11"/>
            </w:pPr>
          </w:p>
        </w:tc>
        <w:tc>
          <w:tcPr>
            <w:tcW w:w="1474" w:type="dxa"/>
            <w:vAlign w:val="center"/>
          </w:tcPr>
          <w:p w14:paraId="63FD52A7">
            <w:pPr>
              <w:pStyle w:val="11"/>
            </w:pPr>
          </w:p>
        </w:tc>
        <w:tc>
          <w:tcPr>
            <w:tcW w:w="1474" w:type="dxa"/>
            <w:vAlign w:val="center"/>
          </w:tcPr>
          <w:p w14:paraId="757865FC">
            <w:pPr>
              <w:pStyle w:val="11"/>
            </w:pPr>
          </w:p>
        </w:tc>
      </w:tr>
      <w:tr w14:paraId="6E55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4274A">
            <w:pPr>
              <w:pStyle w:val="13"/>
            </w:pPr>
            <w:r>
              <w:t>8</w:t>
            </w:r>
          </w:p>
        </w:tc>
        <w:tc>
          <w:tcPr>
            <w:tcW w:w="3402" w:type="dxa"/>
            <w:vAlign w:val="center"/>
          </w:tcPr>
          <w:p w14:paraId="52BFFEA7">
            <w:pPr>
              <w:pStyle w:val="12"/>
            </w:pPr>
          </w:p>
        </w:tc>
        <w:tc>
          <w:tcPr>
            <w:tcW w:w="1474" w:type="dxa"/>
            <w:vAlign w:val="center"/>
          </w:tcPr>
          <w:p w14:paraId="3FF9B1E1">
            <w:pPr>
              <w:pStyle w:val="11"/>
            </w:pPr>
          </w:p>
        </w:tc>
        <w:tc>
          <w:tcPr>
            <w:tcW w:w="3402" w:type="dxa"/>
            <w:vAlign w:val="center"/>
          </w:tcPr>
          <w:p w14:paraId="61E74C9D">
            <w:pPr>
              <w:pStyle w:val="12"/>
            </w:pPr>
            <w:r>
              <w:t>八、社会保障和就业支出</w:t>
            </w:r>
          </w:p>
        </w:tc>
        <w:tc>
          <w:tcPr>
            <w:tcW w:w="1474" w:type="dxa"/>
            <w:vAlign w:val="center"/>
          </w:tcPr>
          <w:p w14:paraId="66FF5046">
            <w:pPr>
              <w:pStyle w:val="11"/>
            </w:pPr>
          </w:p>
        </w:tc>
        <w:tc>
          <w:tcPr>
            <w:tcW w:w="1474" w:type="dxa"/>
            <w:vAlign w:val="center"/>
          </w:tcPr>
          <w:p w14:paraId="2B3C7B16">
            <w:pPr>
              <w:pStyle w:val="11"/>
            </w:pPr>
          </w:p>
        </w:tc>
        <w:tc>
          <w:tcPr>
            <w:tcW w:w="1474" w:type="dxa"/>
            <w:vAlign w:val="center"/>
          </w:tcPr>
          <w:p w14:paraId="62A68685">
            <w:pPr>
              <w:pStyle w:val="11"/>
            </w:pPr>
          </w:p>
        </w:tc>
        <w:tc>
          <w:tcPr>
            <w:tcW w:w="1474" w:type="dxa"/>
            <w:vAlign w:val="center"/>
          </w:tcPr>
          <w:p w14:paraId="55A44F0F">
            <w:pPr>
              <w:pStyle w:val="11"/>
            </w:pPr>
          </w:p>
        </w:tc>
      </w:tr>
      <w:tr w14:paraId="6C19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3654">
            <w:pPr>
              <w:pStyle w:val="13"/>
            </w:pPr>
            <w:r>
              <w:t>9</w:t>
            </w:r>
          </w:p>
        </w:tc>
        <w:tc>
          <w:tcPr>
            <w:tcW w:w="3402" w:type="dxa"/>
            <w:vAlign w:val="center"/>
          </w:tcPr>
          <w:p w14:paraId="5C39E3B1">
            <w:pPr>
              <w:pStyle w:val="12"/>
            </w:pPr>
          </w:p>
        </w:tc>
        <w:tc>
          <w:tcPr>
            <w:tcW w:w="1474" w:type="dxa"/>
            <w:vAlign w:val="center"/>
          </w:tcPr>
          <w:p w14:paraId="3598B7D7">
            <w:pPr>
              <w:pStyle w:val="11"/>
            </w:pPr>
          </w:p>
        </w:tc>
        <w:tc>
          <w:tcPr>
            <w:tcW w:w="3402" w:type="dxa"/>
            <w:vAlign w:val="center"/>
          </w:tcPr>
          <w:p w14:paraId="747023AF">
            <w:pPr>
              <w:pStyle w:val="12"/>
            </w:pPr>
            <w:r>
              <w:t>九、社会保险基金支出</w:t>
            </w:r>
          </w:p>
        </w:tc>
        <w:tc>
          <w:tcPr>
            <w:tcW w:w="1474" w:type="dxa"/>
            <w:vAlign w:val="center"/>
          </w:tcPr>
          <w:p w14:paraId="737018A5">
            <w:pPr>
              <w:pStyle w:val="11"/>
            </w:pPr>
          </w:p>
        </w:tc>
        <w:tc>
          <w:tcPr>
            <w:tcW w:w="1474" w:type="dxa"/>
            <w:vAlign w:val="center"/>
          </w:tcPr>
          <w:p w14:paraId="08CA2D9A">
            <w:pPr>
              <w:pStyle w:val="11"/>
            </w:pPr>
          </w:p>
        </w:tc>
        <w:tc>
          <w:tcPr>
            <w:tcW w:w="1474" w:type="dxa"/>
            <w:vAlign w:val="center"/>
          </w:tcPr>
          <w:p w14:paraId="1E83D186">
            <w:pPr>
              <w:pStyle w:val="11"/>
            </w:pPr>
          </w:p>
        </w:tc>
        <w:tc>
          <w:tcPr>
            <w:tcW w:w="1474" w:type="dxa"/>
            <w:vAlign w:val="center"/>
          </w:tcPr>
          <w:p w14:paraId="3D8CE6C4">
            <w:pPr>
              <w:pStyle w:val="11"/>
            </w:pPr>
          </w:p>
        </w:tc>
      </w:tr>
      <w:tr w14:paraId="1FF4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77F9D">
            <w:pPr>
              <w:pStyle w:val="13"/>
            </w:pPr>
            <w:r>
              <w:t>10</w:t>
            </w:r>
          </w:p>
        </w:tc>
        <w:tc>
          <w:tcPr>
            <w:tcW w:w="3402" w:type="dxa"/>
            <w:vAlign w:val="center"/>
          </w:tcPr>
          <w:p w14:paraId="3946BD43">
            <w:pPr>
              <w:pStyle w:val="12"/>
            </w:pPr>
          </w:p>
        </w:tc>
        <w:tc>
          <w:tcPr>
            <w:tcW w:w="1474" w:type="dxa"/>
            <w:vAlign w:val="center"/>
          </w:tcPr>
          <w:p w14:paraId="0640E5F7">
            <w:pPr>
              <w:pStyle w:val="11"/>
            </w:pPr>
          </w:p>
        </w:tc>
        <w:tc>
          <w:tcPr>
            <w:tcW w:w="3402" w:type="dxa"/>
            <w:vAlign w:val="center"/>
          </w:tcPr>
          <w:p w14:paraId="20A7932F">
            <w:pPr>
              <w:pStyle w:val="12"/>
            </w:pPr>
            <w:r>
              <w:t>十、卫生健康支出</w:t>
            </w:r>
          </w:p>
        </w:tc>
        <w:tc>
          <w:tcPr>
            <w:tcW w:w="1474" w:type="dxa"/>
            <w:vAlign w:val="center"/>
          </w:tcPr>
          <w:p w14:paraId="7E7C69A9">
            <w:pPr>
              <w:pStyle w:val="11"/>
            </w:pPr>
          </w:p>
        </w:tc>
        <w:tc>
          <w:tcPr>
            <w:tcW w:w="1474" w:type="dxa"/>
            <w:vAlign w:val="center"/>
          </w:tcPr>
          <w:p w14:paraId="758931F2">
            <w:pPr>
              <w:pStyle w:val="11"/>
            </w:pPr>
          </w:p>
        </w:tc>
        <w:tc>
          <w:tcPr>
            <w:tcW w:w="1474" w:type="dxa"/>
            <w:vAlign w:val="center"/>
          </w:tcPr>
          <w:p w14:paraId="3FC3897E">
            <w:pPr>
              <w:pStyle w:val="11"/>
            </w:pPr>
          </w:p>
        </w:tc>
        <w:tc>
          <w:tcPr>
            <w:tcW w:w="1474" w:type="dxa"/>
            <w:vAlign w:val="center"/>
          </w:tcPr>
          <w:p w14:paraId="5374EEF7">
            <w:pPr>
              <w:pStyle w:val="11"/>
            </w:pPr>
          </w:p>
        </w:tc>
      </w:tr>
      <w:tr w14:paraId="38E0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6F47">
            <w:pPr>
              <w:pStyle w:val="13"/>
            </w:pPr>
            <w:r>
              <w:t>11</w:t>
            </w:r>
          </w:p>
        </w:tc>
        <w:tc>
          <w:tcPr>
            <w:tcW w:w="3402" w:type="dxa"/>
            <w:vAlign w:val="center"/>
          </w:tcPr>
          <w:p w14:paraId="6005E8ED">
            <w:pPr>
              <w:pStyle w:val="12"/>
            </w:pPr>
          </w:p>
        </w:tc>
        <w:tc>
          <w:tcPr>
            <w:tcW w:w="1474" w:type="dxa"/>
            <w:vAlign w:val="center"/>
          </w:tcPr>
          <w:p w14:paraId="7D501CD9">
            <w:pPr>
              <w:pStyle w:val="11"/>
            </w:pPr>
          </w:p>
        </w:tc>
        <w:tc>
          <w:tcPr>
            <w:tcW w:w="3402" w:type="dxa"/>
            <w:vAlign w:val="center"/>
          </w:tcPr>
          <w:p w14:paraId="60D38494">
            <w:pPr>
              <w:pStyle w:val="12"/>
            </w:pPr>
            <w:r>
              <w:t>十一、节能环保支出</w:t>
            </w:r>
          </w:p>
        </w:tc>
        <w:tc>
          <w:tcPr>
            <w:tcW w:w="1474" w:type="dxa"/>
            <w:vAlign w:val="center"/>
          </w:tcPr>
          <w:p w14:paraId="0BFF3C1F">
            <w:pPr>
              <w:pStyle w:val="11"/>
            </w:pPr>
          </w:p>
        </w:tc>
        <w:tc>
          <w:tcPr>
            <w:tcW w:w="1474" w:type="dxa"/>
            <w:vAlign w:val="center"/>
          </w:tcPr>
          <w:p w14:paraId="56F42868">
            <w:pPr>
              <w:pStyle w:val="11"/>
            </w:pPr>
          </w:p>
        </w:tc>
        <w:tc>
          <w:tcPr>
            <w:tcW w:w="1474" w:type="dxa"/>
            <w:vAlign w:val="center"/>
          </w:tcPr>
          <w:p w14:paraId="0F38B034">
            <w:pPr>
              <w:pStyle w:val="11"/>
            </w:pPr>
          </w:p>
        </w:tc>
        <w:tc>
          <w:tcPr>
            <w:tcW w:w="1474" w:type="dxa"/>
            <w:vAlign w:val="center"/>
          </w:tcPr>
          <w:p w14:paraId="1714ABB0">
            <w:pPr>
              <w:pStyle w:val="11"/>
            </w:pPr>
          </w:p>
        </w:tc>
      </w:tr>
      <w:tr w14:paraId="533FBCD4">
        <w:tblPrEx>
          <w:tblCellMar>
            <w:top w:w="0" w:type="dxa"/>
            <w:left w:w="108" w:type="dxa"/>
            <w:bottom w:w="0" w:type="dxa"/>
            <w:right w:w="108" w:type="dxa"/>
          </w:tblCellMar>
        </w:tblPrEx>
        <w:trPr>
          <w:trHeight w:val="369" w:hRule="atLeast"/>
          <w:jc w:val="center"/>
        </w:trPr>
        <w:tc>
          <w:tcPr>
            <w:tcW w:w="850" w:type="dxa"/>
            <w:vAlign w:val="center"/>
          </w:tcPr>
          <w:p w14:paraId="065292BA">
            <w:pPr>
              <w:pStyle w:val="13"/>
            </w:pPr>
            <w:r>
              <w:t>12</w:t>
            </w:r>
          </w:p>
        </w:tc>
        <w:tc>
          <w:tcPr>
            <w:tcW w:w="3402" w:type="dxa"/>
            <w:vAlign w:val="center"/>
          </w:tcPr>
          <w:p w14:paraId="18165D33">
            <w:pPr>
              <w:pStyle w:val="12"/>
            </w:pPr>
          </w:p>
        </w:tc>
        <w:tc>
          <w:tcPr>
            <w:tcW w:w="1474" w:type="dxa"/>
            <w:vAlign w:val="center"/>
          </w:tcPr>
          <w:p w14:paraId="13BF7A79">
            <w:pPr>
              <w:pStyle w:val="11"/>
            </w:pPr>
          </w:p>
        </w:tc>
        <w:tc>
          <w:tcPr>
            <w:tcW w:w="3402" w:type="dxa"/>
            <w:vAlign w:val="center"/>
          </w:tcPr>
          <w:p w14:paraId="1A7F0FFA">
            <w:pPr>
              <w:pStyle w:val="12"/>
            </w:pPr>
            <w:r>
              <w:t>十二、城乡社区支出</w:t>
            </w:r>
          </w:p>
        </w:tc>
        <w:tc>
          <w:tcPr>
            <w:tcW w:w="1474" w:type="dxa"/>
            <w:vAlign w:val="center"/>
          </w:tcPr>
          <w:p w14:paraId="3E0CA525">
            <w:pPr>
              <w:pStyle w:val="11"/>
            </w:pPr>
          </w:p>
        </w:tc>
        <w:tc>
          <w:tcPr>
            <w:tcW w:w="1474" w:type="dxa"/>
            <w:vAlign w:val="center"/>
          </w:tcPr>
          <w:p w14:paraId="44CD6259">
            <w:pPr>
              <w:pStyle w:val="11"/>
            </w:pPr>
          </w:p>
        </w:tc>
        <w:tc>
          <w:tcPr>
            <w:tcW w:w="1474" w:type="dxa"/>
            <w:vAlign w:val="center"/>
          </w:tcPr>
          <w:p w14:paraId="0BA700B8">
            <w:pPr>
              <w:pStyle w:val="11"/>
            </w:pPr>
          </w:p>
        </w:tc>
        <w:tc>
          <w:tcPr>
            <w:tcW w:w="1474" w:type="dxa"/>
            <w:vAlign w:val="center"/>
          </w:tcPr>
          <w:p w14:paraId="0CA51238">
            <w:pPr>
              <w:pStyle w:val="11"/>
            </w:pPr>
          </w:p>
        </w:tc>
      </w:tr>
      <w:tr w14:paraId="3753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7E7E2">
            <w:pPr>
              <w:pStyle w:val="13"/>
            </w:pPr>
            <w:r>
              <w:t>13</w:t>
            </w:r>
          </w:p>
        </w:tc>
        <w:tc>
          <w:tcPr>
            <w:tcW w:w="3402" w:type="dxa"/>
            <w:vAlign w:val="center"/>
          </w:tcPr>
          <w:p w14:paraId="4F3DBC4C">
            <w:pPr>
              <w:pStyle w:val="12"/>
            </w:pPr>
          </w:p>
        </w:tc>
        <w:tc>
          <w:tcPr>
            <w:tcW w:w="1474" w:type="dxa"/>
            <w:vAlign w:val="center"/>
          </w:tcPr>
          <w:p w14:paraId="5BA8B27B">
            <w:pPr>
              <w:pStyle w:val="11"/>
            </w:pPr>
          </w:p>
        </w:tc>
        <w:tc>
          <w:tcPr>
            <w:tcW w:w="3402" w:type="dxa"/>
            <w:vAlign w:val="center"/>
          </w:tcPr>
          <w:p w14:paraId="03FB4497">
            <w:pPr>
              <w:pStyle w:val="12"/>
            </w:pPr>
            <w:r>
              <w:t>十三、农林水支出</w:t>
            </w:r>
          </w:p>
        </w:tc>
        <w:tc>
          <w:tcPr>
            <w:tcW w:w="1474" w:type="dxa"/>
            <w:vAlign w:val="center"/>
          </w:tcPr>
          <w:p w14:paraId="28B28FE4">
            <w:pPr>
              <w:pStyle w:val="11"/>
            </w:pPr>
          </w:p>
        </w:tc>
        <w:tc>
          <w:tcPr>
            <w:tcW w:w="1474" w:type="dxa"/>
            <w:vAlign w:val="center"/>
          </w:tcPr>
          <w:p w14:paraId="79F11193">
            <w:pPr>
              <w:pStyle w:val="11"/>
            </w:pPr>
          </w:p>
        </w:tc>
        <w:tc>
          <w:tcPr>
            <w:tcW w:w="1474" w:type="dxa"/>
            <w:vAlign w:val="center"/>
          </w:tcPr>
          <w:p w14:paraId="03D5AD1F">
            <w:pPr>
              <w:pStyle w:val="11"/>
            </w:pPr>
          </w:p>
        </w:tc>
        <w:tc>
          <w:tcPr>
            <w:tcW w:w="1474" w:type="dxa"/>
            <w:vAlign w:val="center"/>
          </w:tcPr>
          <w:p w14:paraId="0A0E4103">
            <w:pPr>
              <w:pStyle w:val="11"/>
            </w:pPr>
          </w:p>
        </w:tc>
      </w:tr>
      <w:tr w14:paraId="456A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DB436">
            <w:pPr>
              <w:pStyle w:val="13"/>
            </w:pPr>
            <w:r>
              <w:t>14</w:t>
            </w:r>
          </w:p>
        </w:tc>
        <w:tc>
          <w:tcPr>
            <w:tcW w:w="3402" w:type="dxa"/>
            <w:vAlign w:val="center"/>
          </w:tcPr>
          <w:p w14:paraId="7DE10D17">
            <w:pPr>
              <w:pStyle w:val="12"/>
            </w:pPr>
          </w:p>
        </w:tc>
        <w:tc>
          <w:tcPr>
            <w:tcW w:w="1474" w:type="dxa"/>
            <w:vAlign w:val="center"/>
          </w:tcPr>
          <w:p w14:paraId="1A788649">
            <w:pPr>
              <w:pStyle w:val="11"/>
            </w:pPr>
          </w:p>
        </w:tc>
        <w:tc>
          <w:tcPr>
            <w:tcW w:w="3402" w:type="dxa"/>
            <w:vAlign w:val="center"/>
          </w:tcPr>
          <w:p w14:paraId="2C475038">
            <w:pPr>
              <w:pStyle w:val="12"/>
            </w:pPr>
            <w:r>
              <w:t>十四、交通运输支出</w:t>
            </w:r>
          </w:p>
        </w:tc>
        <w:tc>
          <w:tcPr>
            <w:tcW w:w="1474" w:type="dxa"/>
            <w:vAlign w:val="center"/>
          </w:tcPr>
          <w:p w14:paraId="1E0BE251">
            <w:pPr>
              <w:pStyle w:val="11"/>
            </w:pPr>
          </w:p>
        </w:tc>
        <w:tc>
          <w:tcPr>
            <w:tcW w:w="1474" w:type="dxa"/>
            <w:vAlign w:val="center"/>
          </w:tcPr>
          <w:p w14:paraId="1D6168A5">
            <w:pPr>
              <w:pStyle w:val="11"/>
            </w:pPr>
          </w:p>
        </w:tc>
        <w:tc>
          <w:tcPr>
            <w:tcW w:w="1474" w:type="dxa"/>
            <w:vAlign w:val="center"/>
          </w:tcPr>
          <w:p w14:paraId="667A760F">
            <w:pPr>
              <w:pStyle w:val="11"/>
            </w:pPr>
          </w:p>
        </w:tc>
        <w:tc>
          <w:tcPr>
            <w:tcW w:w="1474" w:type="dxa"/>
            <w:vAlign w:val="center"/>
          </w:tcPr>
          <w:p w14:paraId="1DBEBBCF">
            <w:pPr>
              <w:pStyle w:val="11"/>
            </w:pPr>
          </w:p>
        </w:tc>
      </w:tr>
      <w:tr w14:paraId="408C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2D5F">
            <w:pPr>
              <w:pStyle w:val="13"/>
            </w:pPr>
            <w:r>
              <w:t>15</w:t>
            </w:r>
          </w:p>
        </w:tc>
        <w:tc>
          <w:tcPr>
            <w:tcW w:w="3402" w:type="dxa"/>
            <w:vAlign w:val="center"/>
          </w:tcPr>
          <w:p w14:paraId="7D1D5BA7">
            <w:pPr>
              <w:pStyle w:val="12"/>
            </w:pPr>
          </w:p>
        </w:tc>
        <w:tc>
          <w:tcPr>
            <w:tcW w:w="1474" w:type="dxa"/>
            <w:vAlign w:val="center"/>
          </w:tcPr>
          <w:p w14:paraId="1C053285">
            <w:pPr>
              <w:pStyle w:val="11"/>
            </w:pPr>
          </w:p>
        </w:tc>
        <w:tc>
          <w:tcPr>
            <w:tcW w:w="3402" w:type="dxa"/>
            <w:vAlign w:val="center"/>
          </w:tcPr>
          <w:p w14:paraId="67B81AAE">
            <w:pPr>
              <w:pStyle w:val="12"/>
            </w:pPr>
            <w:r>
              <w:t>十五、资源勘探工业信息等支出</w:t>
            </w:r>
          </w:p>
        </w:tc>
        <w:tc>
          <w:tcPr>
            <w:tcW w:w="1474" w:type="dxa"/>
            <w:vAlign w:val="center"/>
          </w:tcPr>
          <w:p w14:paraId="57F483BE">
            <w:pPr>
              <w:pStyle w:val="11"/>
            </w:pPr>
          </w:p>
        </w:tc>
        <w:tc>
          <w:tcPr>
            <w:tcW w:w="1474" w:type="dxa"/>
            <w:vAlign w:val="center"/>
          </w:tcPr>
          <w:p w14:paraId="667DE798">
            <w:pPr>
              <w:pStyle w:val="11"/>
            </w:pPr>
          </w:p>
        </w:tc>
        <w:tc>
          <w:tcPr>
            <w:tcW w:w="1474" w:type="dxa"/>
            <w:vAlign w:val="center"/>
          </w:tcPr>
          <w:p w14:paraId="3145711F">
            <w:pPr>
              <w:pStyle w:val="11"/>
            </w:pPr>
          </w:p>
        </w:tc>
        <w:tc>
          <w:tcPr>
            <w:tcW w:w="1474" w:type="dxa"/>
            <w:vAlign w:val="center"/>
          </w:tcPr>
          <w:p w14:paraId="6581549E">
            <w:pPr>
              <w:pStyle w:val="11"/>
            </w:pPr>
          </w:p>
        </w:tc>
      </w:tr>
      <w:tr w14:paraId="2892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D9B0">
            <w:pPr>
              <w:pStyle w:val="13"/>
            </w:pPr>
            <w:r>
              <w:t>16</w:t>
            </w:r>
          </w:p>
        </w:tc>
        <w:tc>
          <w:tcPr>
            <w:tcW w:w="3402" w:type="dxa"/>
            <w:vAlign w:val="center"/>
          </w:tcPr>
          <w:p w14:paraId="3A94EF3D">
            <w:pPr>
              <w:pStyle w:val="12"/>
            </w:pPr>
          </w:p>
        </w:tc>
        <w:tc>
          <w:tcPr>
            <w:tcW w:w="1474" w:type="dxa"/>
            <w:vAlign w:val="center"/>
          </w:tcPr>
          <w:p w14:paraId="37CE4413">
            <w:pPr>
              <w:pStyle w:val="11"/>
            </w:pPr>
          </w:p>
        </w:tc>
        <w:tc>
          <w:tcPr>
            <w:tcW w:w="3402" w:type="dxa"/>
            <w:vAlign w:val="center"/>
          </w:tcPr>
          <w:p w14:paraId="6D630C01">
            <w:pPr>
              <w:pStyle w:val="12"/>
            </w:pPr>
            <w:r>
              <w:t>十六、商业服务业等支出</w:t>
            </w:r>
          </w:p>
        </w:tc>
        <w:tc>
          <w:tcPr>
            <w:tcW w:w="1474" w:type="dxa"/>
            <w:vAlign w:val="center"/>
          </w:tcPr>
          <w:p w14:paraId="55CD0502">
            <w:pPr>
              <w:pStyle w:val="11"/>
            </w:pPr>
          </w:p>
        </w:tc>
        <w:tc>
          <w:tcPr>
            <w:tcW w:w="1474" w:type="dxa"/>
            <w:vAlign w:val="center"/>
          </w:tcPr>
          <w:p w14:paraId="6CD9DBF2">
            <w:pPr>
              <w:pStyle w:val="11"/>
            </w:pPr>
          </w:p>
        </w:tc>
        <w:tc>
          <w:tcPr>
            <w:tcW w:w="1474" w:type="dxa"/>
            <w:vAlign w:val="center"/>
          </w:tcPr>
          <w:p w14:paraId="40F2C0B6">
            <w:pPr>
              <w:pStyle w:val="11"/>
            </w:pPr>
          </w:p>
        </w:tc>
        <w:tc>
          <w:tcPr>
            <w:tcW w:w="1474" w:type="dxa"/>
            <w:vAlign w:val="center"/>
          </w:tcPr>
          <w:p w14:paraId="422AA419">
            <w:pPr>
              <w:pStyle w:val="11"/>
            </w:pPr>
          </w:p>
        </w:tc>
      </w:tr>
      <w:tr w14:paraId="2265B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F5A8A">
            <w:pPr>
              <w:pStyle w:val="13"/>
            </w:pPr>
            <w:r>
              <w:t>17</w:t>
            </w:r>
          </w:p>
        </w:tc>
        <w:tc>
          <w:tcPr>
            <w:tcW w:w="3402" w:type="dxa"/>
            <w:vAlign w:val="center"/>
          </w:tcPr>
          <w:p w14:paraId="17E90C64">
            <w:pPr>
              <w:pStyle w:val="12"/>
            </w:pPr>
          </w:p>
        </w:tc>
        <w:tc>
          <w:tcPr>
            <w:tcW w:w="1474" w:type="dxa"/>
            <w:vAlign w:val="center"/>
          </w:tcPr>
          <w:p w14:paraId="0318788C">
            <w:pPr>
              <w:pStyle w:val="11"/>
            </w:pPr>
          </w:p>
        </w:tc>
        <w:tc>
          <w:tcPr>
            <w:tcW w:w="3402" w:type="dxa"/>
            <w:vAlign w:val="center"/>
          </w:tcPr>
          <w:p w14:paraId="3DF93C6F">
            <w:pPr>
              <w:pStyle w:val="12"/>
            </w:pPr>
            <w:r>
              <w:t>十七、金融支出</w:t>
            </w:r>
          </w:p>
        </w:tc>
        <w:tc>
          <w:tcPr>
            <w:tcW w:w="1474" w:type="dxa"/>
            <w:vAlign w:val="center"/>
          </w:tcPr>
          <w:p w14:paraId="562D6B45">
            <w:pPr>
              <w:pStyle w:val="11"/>
            </w:pPr>
          </w:p>
        </w:tc>
        <w:tc>
          <w:tcPr>
            <w:tcW w:w="1474" w:type="dxa"/>
            <w:vAlign w:val="center"/>
          </w:tcPr>
          <w:p w14:paraId="1631B3B4">
            <w:pPr>
              <w:pStyle w:val="11"/>
            </w:pPr>
          </w:p>
        </w:tc>
        <w:tc>
          <w:tcPr>
            <w:tcW w:w="1474" w:type="dxa"/>
            <w:vAlign w:val="center"/>
          </w:tcPr>
          <w:p w14:paraId="119DDA7E">
            <w:pPr>
              <w:pStyle w:val="11"/>
            </w:pPr>
          </w:p>
        </w:tc>
        <w:tc>
          <w:tcPr>
            <w:tcW w:w="1474" w:type="dxa"/>
            <w:vAlign w:val="center"/>
          </w:tcPr>
          <w:p w14:paraId="01F0250B">
            <w:pPr>
              <w:pStyle w:val="11"/>
            </w:pPr>
          </w:p>
        </w:tc>
      </w:tr>
      <w:tr w14:paraId="59873992">
        <w:tblPrEx>
          <w:tblCellMar>
            <w:top w:w="0" w:type="dxa"/>
            <w:left w:w="108" w:type="dxa"/>
            <w:bottom w:w="0" w:type="dxa"/>
            <w:right w:w="108" w:type="dxa"/>
          </w:tblCellMar>
        </w:tblPrEx>
        <w:trPr>
          <w:trHeight w:val="369" w:hRule="atLeast"/>
          <w:jc w:val="center"/>
        </w:trPr>
        <w:tc>
          <w:tcPr>
            <w:tcW w:w="850" w:type="dxa"/>
            <w:vAlign w:val="center"/>
          </w:tcPr>
          <w:p w14:paraId="34F03CAA">
            <w:pPr>
              <w:pStyle w:val="13"/>
            </w:pPr>
            <w:r>
              <w:t>18</w:t>
            </w:r>
          </w:p>
        </w:tc>
        <w:tc>
          <w:tcPr>
            <w:tcW w:w="3402" w:type="dxa"/>
            <w:vAlign w:val="center"/>
          </w:tcPr>
          <w:p w14:paraId="27C52DC1">
            <w:pPr>
              <w:pStyle w:val="12"/>
            </w:pPr>
          </w:p>
        </w:tc>
        <w:tc>
          <w:tcPr>
            <w:tcW w:w="1474" w:type="dxa"/>
            <w:vAlign w:val="center"/>
          </w:tcPr>
          <w:p w14:paraId="58C7B4ED">
            <w:pPr>
              <w:pStyle w:val="11"/>
            </w:pPr>
          </w:p>
        </w:tc>
        <w:tc>
          <w:tcPr>
            <w:tcW w:w="3402" w:type="dxa"/>
            <w:vAlign w:val="center"/>
          </w:tcPr>
          <w:p w14:paraId="555A2213">
            <w:pPr>
              <w:pStyle w:val="12"/>
            </w:pPr>
            <w:r>
              <w:t>十八、援助其他地区支出</w:t>
            </w:r>
          </w:p>
        </w:tc>
        <w:tc>
          <w:tcPr>
            <w:tcW w:w="1474" w:type="dxa"/>
            <w:vAlign w:val="center"/>
          </w:tcPr>
          <w:p w14:paraId="4BB8495E">
            <w:pPr>
              <w:pStyle w:val="11"/>
            </w:pPr>
          </w:p>
        </w:tc>
        <w:tc>
          <w:tcPr>
            <w:tcW w:w="1474" w:type="dxa"/>
            <w:vAlign w:val="center"/>
          </w:tcPr>
          <w:p w14:paraId="570FD4FA">
            <w:pPr>
              <w:pStyle w:val="11"/>
            </w:pPr>
          </w:p>
        </w:tc>
        <w:tc>
          <w:tcPr>
            <w:tcW w:w="1474" w:type="dxa"/>
            <w:vAlign w:val="center"/>
          </w:tcPr>
          <w:p w14:paraId="45C140DF">
            <w:pPr>
              <w:pStyle w:val="11"/>
            </w:pPr>
          </w:p>
        </w:tc>
        <w:tc>
          <w:tcPr>
            <w:tcW w:w="1474" w:type="dxa"/>
            <w:vAlign w:val="center"/>
          </w:tcPr>
          <w:p w14:paraId="0A77E67D">
            <w:pPr>
              <w:pStyle w:val="11"/>
            </w:pPr>
          </w:p>
        </w:tc>
      </w:tr>
      <w:tr w14:paraId="3EA4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5066F">
            <w:pPr>
              <w:pStyle w:val="13"/>
            </w:pPr>
            <w:r>
              <w:t>19</w:t>
            </w:r>
          </w:p>
        </w:tc>
        <w:tc>
          <w:tcPr>
            <w:tcW w:w="3402" w:type="dxa"/>
            <w:vAlign w:val="center"/>
          </w:tcPr>
          <w:p w14:paraId="63A5AD0A">
            <w:pPr>
              <w:pStyle w:val="12"/>
            </w:pPr>
          </w:p>
        </w:tc>
        <w:tc>
          <w:tcPr>
            <w:tcW w:w="1474" w:type="dxa"/>
            <w:vAlign w:val="center"/>
          </w:tcPr>
          <w:p w14:paraId="6CB9CA7C">
            <w:pPr>
              <w:pStyle w:val="11"/>
            </w:pPr>
          </w:p>
        </w:tc>
        <w:tc>
          <w:tcPr>
            <w:tcW w:w="3402" w:type="dxa"/>
            <w:vAlign w:val="center"/>
          </w:tcPr>
          <w:p w14:paraId="6100FB73">
            <w:pPr>
              <w:pStyle w:val="12"/>
            </w:pPr>
            <w:r>
              <w:t>十九、自然资源海洋气象等支出</w:t>
            </w:r>
          </w:p>
        </w:tc>
        <w:tc>
          <w:tcPr>
            <w:tcW w:w="1474" w:type="dxa"/>
            <w:vAlign w:val="center"/>
          </w:tcPr>
          <w:p w14:paraId="33940213">
            <w:pPr>
              <w:pStyle w:val="11"/>
            </w:pPr>
          </w:p>
        </w:tc>
        <w:tc>
          <w:tcPr>
            <w:tcW w:w="1474" w:type="dxa"/>
            <w:vAlign w:val="center"/>
          </w:tcPr>
          <w:p w14:paraId="2E4434B8">
            <w:pPr>
              <w:pStyle w:val="11"/>
            </w:pPr>
          </w:p>
        </w:tc>
        <w:tc>
          <w:tcPr>
            <w:tcW w:w="1474" w:type="dxa"/>
            <w:vAlign w:val="center"/>
          </w:tcPr>
          <w:p w14:paraId="0134D257">
            <w:pPr>
              <w:pStyle w:val="11"/>
            </w:pPr>
          </w:p>
        </w:tc>
        <w:tc>
          <w:tcPr>
            <w:tcW w:w="1474" w:type="dxa"/>
            <w:vAlign w:val="center"/>
          </w:tcPr>
          <w:p w14:paraId="333C4741">
            <w:pPr>
              <w:pStyle w:val="11"/>
            </w:pPr>
          </w:p>
        </w:tc>
      </w:tr>
      <w:tr w14:paraId="5D32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C838">
            <w:pPr>
              <w:pStyle w:val="13"/>
            </w:pPr>
            <w:r>
              <w:t>20</w:t>
            </w:r>
          </w:p>
        </w:tc>
        <w:tc>
          <w:tcPr>
            <w:tcW w:w="3402" w:type="dxa"/>
            <w:vAlign w:val="center"/>
          </w:tcPr>
          <w:p w14:paraId="27DE2701">
            <w:pPr>
              <w:pStyle w:val="12"/>
            </w:pPr>
          </w:p>
        </w:tc>
        <w:tc>
          <w:tcPr>
            <w:tcW w:w="1474" w:type="dxa"/>
            <w:vAlign w:val="center"/>
          </w:tcPr>
          <w:p w14:paraId="0212FD47">
            <w:pPr>
              <w:pStyle w:val="11"/>
            </w:pPr>
          </w:p>
        </w:tc>
        <w:tc>
          <w:tcPr>
            <w:tcW w:w="3402" w:type="dxa"/>
            <w:vAlign w:val="center"/>
          </w:tcPr>
          <w:p w14:paraId="00A0E0DD">
            <w:pPr>
              <w:pStyle w:val="12"/>
            </w:pPr>
            <w:r>
              <w:t>二十、住房保障支出</w:t>
            </w:r>
          </w:p>
        </w:tc>
        <w:tc>
          <w:tcPr>
            <w:tcW w:w="1474" w:type="dxa"/>
            <w:vAlign w:val="center"/>
          </w:tcPr>
          <w:p w14:paraId="2769DE01">
            <w:pPr>
              <w:pStyle w:val="11"/>
            </w:pPr>
          </w:p>
        </w:tc>
        <w:tc>
          <w:tcPr>
            <w:tcW w:w="1474" w:type="dxa"/>
            <w:vAlign w:val="center"/>
          </w:tcPr>
          <w:p w14:paraId="52C6E06D">
            <w:pPr>
              <w:pStyle w:val="11"/>
            </w:pPr>
          </w:p>
        </w:tc>
        <w:tc>
          <w:tcPr>
            <w:tcW w:w="1474" w:type="dxa"/>
            <w:vAlign w:val="center"/>
          </w:tcPr>
          <w:p w14:paraId="51A06345">
            <w:pPr>
              <w:pStyle w:val="11"/>
            </w:pPr>
          </w:p>
        </w:tc>
        <w:tc>
          <w:tcPr>
            <w:tcW w:w="1474" w:type="dxa"/>
            <w:vAlign w:val="center"/>
          </w:tcPr>
          <w:p w14:paraId="410B1DA1">
            <w:pPr>
              <w:pStyle w:val="11"/>
            </w:pPr>
          </w:p>
        </w:tc>
      </w:tr>
      <w:tr w14:paraId="1ED4DEF1">
        <w:tblPrEx>
          <w:tblCellMar>
            <w:top w:w="0" w:type="dxa"/>
            <w:left w:w="108" w:type="dxa"/>
            <w:bottom w:w="0" w:type="dxa"/>
            <w:right w:w="108" w:type="dxa"/>
          </w:tblCellMar>
        </w:tblPrEx>
        <w:trPr>
          <w:trHeight w:val="369" w:hRule="atLeast"/>
          <w:jc w:val="center"/>
        </w:trPr>
        <w:tc>
          <w:tcPr>
            <w:tcW w:w="850" w:type="dxa"/>
            <w:vAlign w:val="center"/>
          </w:tcPr>
          <w:p w14:paraId="3BFFB271">
            <w:pPr>
              <w:pStyle w:val="13"/>
            </w:pPr>
            <w:r>
              <w:t>21</w:t>
            </w:r>
          </w:p>
        </w:tc>
        <w:tc>
          <w:tcPr>
            <w:tcW w:w="3402" w:type="dxa"/>
            <w:vAlign w:val="center"/>
          </w:tcPr>
          <w:p w14:paraId="21E09408">
            <w:pPr>
              <w:pStyle w:val="12"/>
            </w:pPr>
          </w:p>
        </w:tc>
        <w:tc>
          <w:tcPr>
            <w:tcW w:w="1474" w:type="dxa"/>
            <w:vAlign w:val="center"/>
          </w:tcPr>
          <w:p w14:paraId="4A741741">
            <w:pPr>
              <w:pStyle w:val="11"/>
            </w:pPr>
          </w:p>
        </w:tc>
        <w:tc>
          <w:tcPr>
            <w:tcW w:w="3402" w:type="dxa"/>
            <w:vAlign w:val="center"/>
          </w:tcPr>
          <w:p w14:paraId="528320E3">
            <w:pPr>
              <w:pStyle w:val="12"/>
            </w:pPr>
            <w:r>
              <w:t>二十一、粮油物资储备支出</w:t>
            </w:r>
          </w:p>
        </w:tc>
        <w:tc>
          <w:tcPr>
            <w:tcW w:w="1474" w:type="dxa"/>
            <w:vAlign w:val="center"/>
          </w:tcPr>
          <w:p w14:paraId="4ABFB71C">
            <w:pPr>
              <w:pStyle w:val="11"/>
            </w:pPr>
          </w:p>
        </w:tc>
        <w:tc>
          <w:tcPr>
            <w:tcW w:w="1474" w:type="dxa"/>
            <w:vAlign w:val="center"/>
          </w:tcPr>
          <w:p w14:paraId="7E27DDC8">
            <w:pPr>
              <w:pStyle w:val="11"/>
            </w:pPr>
          </w:p>
        </w:tc>
        <w:tc>
          <w:tcPr>
            <w:tcW w:w="1474" w:type="dxa"/>
            <w:vAlign w:val="center"/>
          </w:tcPr>
          <w:p w14:paraId="3ADAB896">
            <w:pPr>
              <w:pStyle w:val="11"/>
            </w:pPr>
          </w:p>
        </w:tc>
        <w:tc>
          <w:tcPr>
            <w:tcW w:w="1474" w:type="dxa"/>
            <w:vAlign w:val="center"/>
          </w:tcPr>
          <w:p w14:paraId="3DD4533F">
            <w:pPr>
              <w:pStyle w:val="11"/>
            </w:pPr>
          </w:p>
        </w:tc>
      </w:tr>
      <w:tr w14:paraId="740C4B0B">
        <w:tblPrEx>
          <w:tblCellMar>
            <w:top w:w="0" w:type="dxa"/>
            <w:left w:w="108" w:type="dxa"/>
            <w:bottom w:w="0" w:type="dxa"/>
            <w:right w:w="108" w:type="dxa"/>
          </w:tblCellMar>
        </w:tblPrEx>
        <w:trPr>
          <w:trHeight w:val="369" w:hRule="atLeast"/>
          <w:jc w:val="center"/>
        </w:trPr>
        <w:tc>
          <w:tcPr>
            <w:tcW w:w="850" w:type="dxa"/>
            <w:vAlign w:val="center"/>
          </w:tcPr>
          <w:p w14:paraId="72958D2E">
            <w:pPr>
              <w:pStyle w:val="13"/>
            </w:pPr>
            <w:r>
              <w:t>22</w:t>
            </w:r>
          </w:p>
        </w:tc>
        <w:tc>
          <w:tcPr>
            <w:tcW w:w="3402" w:type="dxa"/>
            <w:vAlign w:val="center"/>
          </w:tcPr>
          <w:p w14:paraId="6B3C610B">
            <w:pPr>
              <w:pStyle w:val="12"/>
            </w:pPr>
          </w:p>
        </w:tc>
        <w:tc>
          <w:tcPr>
            <w:tcW w:w="1474" w:type="dxa"/>
            <w:vAlign w:val="center"/>
          </w:tcPr>
          <w:p w14:paraId="3EEC6C6C">
            <w:pPr>
              <w:pStyle w:val="11"/>
            </w:pPr>
          </w:p>
        </w:tc>
        <w:tc>
          <w:tcPr>
            <w:tcW w:w="3402" w:type="dxa"/>
            <w:vAlign w:val="center"/>
          </w:tcPr>
          <w:p w14:paraId="366C602C">
            <w:pPr>
              <w:pStyle w:val="12"/>
            </w:pPr>
            <w:r>
              <w:t>二十二、国有资本经营预算支出</w:t>
            </w:r>
          </w:p>
        </w:tc>
        <w:tc>
          <w:tcPr>
            <w:tcW w:w="1474" w:type="dxa"/>
            <w:vAlign w:val="center"/>
          </w:tcPr>
          <w:p w14:paraId="60E52110">
            <w:pPr>
              <w:pStyle w:val="11"/>
            </w:pPr>
          </w:p>
        </w:tc>
        <w:tc>
          <w:tcPr>
            <w:tcW w:w="1474" w:type="dxa"/>
            <w:vAlign w:val="center"/>
          </w:tcPr>
          <w:p w14:paraId="3C15C39C">
            <w:pPr>
              <w:pStyle w:val="11"/>
            </w:pPr>
          </w:p>
        </w:tc>
        <w:tc>
          <w:tcPr>
            <w:tcW w:w="1474" w:type="dxa"/>
            <w:vAlign w:val="center"/>
          </w:tcPr>
          <w:p w14:paraId="00B95372">
            <w:pPr>
              <w:pStyle w:val="11"/>
            </w:pPr>
          </w:p>
        </w:tc>
        <w:tc>
          <w:tcPr>
            <w:tcW w:w="1474" w:type="dxa"/>
            <w:vAlign w:val="center"/>
          </w:tcPr>
          <w:p w14:paraId="30CA0DC6">
            <w:pPr>
              <w:pStyle w:val="11"/>
            </w:pPr>
          </w:p>
        </w:tc>
      </w:tr>
      <w:tr w14:paraId="3F21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AB281">
            <w:pPr>
              <w:pStyle w:val="13"/>
            </w:pPr>
            <w:r>
              <w:t>23</w:t>
            </w:r>
          </w:p>
        </w:tc>
        <w:tc>
          <w:tcPr>
            <w:tcW w:w="3402" w:type="dxa"/>
            <w:vAlign w:val="center"/>
          </w:tcPr>
          <w:p w14:paraId="195C44DA">
            <w:pPr>
              <w:pStyle w:val="12"/>
            </w:pPr>
          </w:p>
        </w:tc>
        <w:tc>
          <w:tcPr>
            <w:tcW w:w="1474" w:type="dxa"/>
            <w:vAlign w:val="center"/>
          </w:tcPr>
          <w:p w14:paraId="24A0CF38">
            <w:pPr>
              <w:pStyle w:val="11"/>
            </w:pPr>
          </w:p>
        </w:tc>
        <w:tc>
          <w:tcPr>
            <w:tcW w:w="3402" w:type="dxa"/>
            <w:vAlign w:val="center"/>
          </w:tcPr>
          <w:p w14:paraId="2092E779">
            <w:pPr>
              <w:pStyle w:val="12"/>
            </w:pPr>
            <w:r>
              <w:t>二十三、灾害防治及应急管理支出</w:t>
            </w:r>
          </w:p>
        </w:tc>
        <w:tc>
          <w:tcPr>
            <w:tcW w:w="1474" w:type="dxa"/>
            <w:vAlign w:val="center"/>
          </w:tcPr>
          <w:p w14:paraId="4B65C57F">
            <w:pPr>
              <w:pStyle w:val="11"/>
            </w:pPr>
          </w:p>
        </w:tc>
        <w:tc>
          <w:tcPr>
            <w:tcW w:w="1474" w:type="dxa"/>
            <w:vAlign w:val="center"/>
          </w:tcPr>
          <w:p w14:paraId="15BB9DCD">
            <w:pPr>
              <w:pStyle w:val="11"/>
            </w:pPr>
          </w:p>
        </w:tc>
        <w:tc>
          <w:tcPr>
            <w:tcW w:w="1474" w:type="dxa"/>
            <w:vAlign w:val="center"/>
          </w:tcPr>
          <w:p w14:paraId="7CD65E6E">
            <w:pPr>
              <w:pStyle w:val="11"/>
            </w:pPr>
          </w:p>
        </w:tc>
        <w:tc>
          <w:tcPr>
            <w:tcW w:w="1474" w:type="dxa"/>
            <w:vAlign w:val="center"/>
          </w:tcPr>
          <w:p w14:paraId="1C657EE3">
            <w:pPr>
              <w:pStyle w:val="11"/>
            </w:pPr>
          </w:p>
        </w:tc>
      </w:tr>
      <w:tr w14:paraId="15F5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7539">
            <w:pPr>
              <w:pStyle w:val="13"/>
            </w:pPr>
            <w:r>
              <w:t>24</w:t>
            </w:r>
          </w:p>
        </w:tc>
        <w:tc>
          <w:tcPr>
            <w:tcW w:w="3402" w:type="dxa"/>
            <w:vAlign w:val="center"/>
          </w:tcPr>
          <w:p w14:paraId="607AB023">
            <w:pPr>
              <w:pStyle w:val="12"/>
            </w:pPr>
          </w:p>
        </w:tc>
        <w:tc>
          <w:tcPr>
            <w:tcW w:w="1474" w:type="dxa"/>
            <w:vAlign w:val="center"/>
          </w:tcPr>
          <w:p w14:paraId="5C984BC4">
            <w:pPr>
              <w:pStyle w:val="11"/>
            </w:pPr>
          </w:p>
        </w:tc>
        <w:tc>
          <w:tcPr>
            <w:tcW w:w="3402" w:type="dxa"/>
            <w:vAlign w:val="center"/>
          </w:tcPr>
          <w:p w14:paraId="42C6EC67">
            <w:pPr>
              <w:pStyle w:val="12"/>
            </w:pPr>
            <w:r>
              <w:t>二十四、预备费</w:t>
            </w:r>
          </w:p>
        </w:tc>
        <w:tc>
          <w:tcPr>
            <w:tcW w:w="1474" w:type="dxa"/>
            <w:vAlign w:val="center"/>
          </w:tcPr>
          <w:p w14:paraId="6747BE57">
            <w:pPr>
              <w:pStyle w:val="11"/>
            </w:pPr>
          </w:p>
        </w:tc>
        <w:tc>
          <w:tcPr>
            <w:tcW w:w="1474" w:type="dxa"/>
            <w:vAlign w:val="center"/>
          </w:tcPr>
          <w:p w14:paraId="75E1029D">
            <w:pPr>
              <w:pStyle w:val="11"/>
            </w:pPr>
          </w:p>
        </w:tc>
        <w:tc>
          <w:tcPr>
            <w:tcW w:w="1474" w:type="dxa"/>
            <w:vAlign w:val="center"/>
          </w:tcPr>
          <w:p w14:paraId="21550C6D">
            <w:pPr>
              <w:pStyle w:val="11"/>
            </w:pPr>
          </w:p>
        </w:tc>
        <w:tc>
          <w:tcPr>
            <w:tcW w:w="1474" w:type="dxa"/>
            <w:vAlign w:val="center"/>
          </w:tcPr>
          <w:p w14:paraId="2ED1B67B">
            <w:pPr>
              <w:pStyle w:val="11"/>
            </w:pPr>
          </w:p>
        </w:tc>
      </w:tr>
      <w:tr w14:paraId="3D4D81DD">
        <w:tblPrEx>
          <w:tblCellMar>
            <w:top w:w="0" w:type="dxa"/>
            <w:left w:w="108" w:type="dxa"/>
            <w:bottom w:w="0" w:type="dxa"/>
            <w:right w:w="108" w:type="dxa"/>
          </w:tblCellMar>
        </w:tblPrEx>
        <w:trPr>
          <w:trHeight w:val="369" w:hRule="atLeast"/>
          <w:jc w:val="center"/>
        </w:trPr>
        <w:tc>
          <w:tcPr>
            <w:tcW w:w="850" w:type="dxa"/>
            <w:vAlign w:val="center"/>
          </w:tcPr>
          <w:p w14:paraId="78E9291F">
            <w:pPr>
              <w:pStyle w:val="13"/>
            </w:pPr>
            <w:r>
              <w:t>25</w:t>
            </w:r>
          </w:p>
        </w:tc>
        <w:tc>
          <w:tcPr>
            <w:tcW w:w="3402" w:type="dxa"/>
            <w:vAlign w:val="center"/>
          </w:tcPr>
          <w:p w14:paraId="7D47D452">
            <w:pPr>
              <w:pStyle w:val="12"/>
            </w:pPr>
          </w:p>
        </w:tc>
        <w:tc>
          <w:tcPr>
            <w:tcW w:w="1474" w:type="dxa"/>
            <w:vAlign w:val="center"/>
          </w:tcPr>
          <w:p w14:paraId="229B93C2">
            <w:pPr>
              <w:pStyle w:val="11"/>
            </w:pPr>
          </w:p>
        </w:tc>
        <w:tc>
          <w:tcPr>
            <w:tcW w:w="3402" w:type="dxa"/>
            <w:vAlign w:val="center"/>
          </w:tcPr>
          <w:p w14:paraId="1DD071E4">
            <w:pPr>
              <w:pStyle w:val="12"/>
            </w:pPr>
            <w:r>
              <w:t>二十五、其他支出</w:t>
            </w:r>
          </w:p>
        </w:tc>
        <w:tc>
          <w:tcPr>
            <w:tcW w:w="1474" w:type="dxa"/>
            <w:vAlign w:val="center"/>
          </w:tcPr>
          <w:p w14:paraId="0D79FD0C">
            <w:pPr>
              <w:pStyle w:val="11"/>
            </w:pPr>
          </w:p>
        </w:tc>
        <w:tc>
          <w:tcPr>
            <w:tcW w:w="1474" w:type="dxa"/>
            <w:vAlign w:val="center"/>
          </w:tcPr>
          <w:p w14:paraId="480E50F4">
            <w:pPr>
              <w:pStyle w:val="11"/>
            </w:pPr>
          </w:p>
        </w:tc>
        <w:tc>
          <w:tcPr>
            <w:tcW w:w="1474" w:type="dxa"/>
            <w:vAlign w:val="center"/>
          </w:tcPr>
          <w:p w14:paraId="289C35E5">
            <w:pPr>
              <w:pStyle w:val="11"/>
            </w:pPr>
          </w:p>
        </w:tc>
        <w:tc>
          <w:tcPr>
            <w:tcW w:w="1474" w:type="dxa"/>
            <w:vAlign w:val="center"/>
          </w:tcPr>
          <w:p w14:paraId="13E68132">
            <w:pPr>
              <w:pStyle w:val="11"/>
            </w:pPr>
          </w:p>
        </w:tc>
      </w:tr>
      <w:tr w14:paraId="5238107F">
        <w:tblPrEx>
          <w:tblCellMar>
            <w:top w:w="0" w:type="dxa"/>
            <w:left w:w="108" w:type="dxa"/>
            <w:bottom w:w="0" w:type="dxa"/>
            <w:right w:w="108" w:type="dxa"/>
          </w:tblCellMar>
        </w:tblPrEx>
        <w:trPr>
          <w:trHeight w:val="369" w:hRule="atLeast"/>
          <w:jc w:val="center"/>
        </w:trPr>
        <w:tc>
          <w:tcPr>
            <w:tcW w:w="850" w:type="dxa"/>
            <w:vAlign w:val="center"/>
          </w:tcPr>
          <w:p w14:paraId="66746FCC">
            <w:pPr>
              <w:pStyle w:val="13"/>
            </w:pPr>
            <w:r>
              <w:t>26</w:t>
            </w:r>
          </w:p>
        </w:tc>
        <w:tc>
          <w:tcPr>
            <w:tcW w:w="3402" w:type="dxa"/>
            <w:vAlign w:val="center"/>
          </w:tcPr>
          <w:p w14:paraId="2A9FD994">
            <w:pPr>
              <w:pStyle w:val="12"/>
            </w:pPr>
          </w:p>
        </w:tc>
        <w:tc>
          <w:tcPr>
            <w:tcW w:w="1474" w:type="dxa"/>
            <w:vAlign w:val="center"/>
          </w:tcPr>
          <w:p w14:paraId="17053103">
            <w:pPr>
              <w:pStyle w:val="11"/>
            </w:pPr>
          </w:p>
        </w:tc>
        <w:tc>
          <w:tcPr>
            <w:tcW w:w="3402" w:type="dxa"/>
            <w:vAlign w:val="center"/>
          </w:tcPr>
          <w:p w14:paraId="29D989D7">
            <w:pPr>
              <w:pStyle w:val="12"/>
            </w:pPr>
            <w:r>
              <w:t>二十六、转移性支出</w:t>
            </w:r>
          </w:p>
        </w:tc>
        <w:tc>
          <w:tcPr>
            <w:tcW w:w="1474" w:type="dxa"/>
            <w:vAlign w:val="center"/>
          </w:tcPr>
          <w:p w14:paraId="1CF79F69">
            <w:pPr>
              <w:pStyle w:val="11"/>
            </w:pPr>
          </w:p>
        </w:tc>
        <w:tc>
          <w:tcPr>
            <w:tcW w:w="1474" w:type="dxa"/>
            <w:vAlign w:val="center"/>
          </w:tcPr>
          <w:p w14:paraId="23F7660C">
            <w:pPr>
              <w:pStyle w:val="11"/>
            </w:pPr>
          </w:p>
        </w:tc>
        <w:tc>
          <w:tcPr>
            <w:tcW w:w="1474" w:type="dxa"/>
            <w:vAlign w:val="center"/>
          </w:tcPr>
          <w:p w14:paraId="798360EF">
            <w:pPr>
              <w:pStyle w:val="11"/>
            </w:pPr>
          </w:p>
        </w:tc>
        <w:tc>
          <w:tcPr>
            <w:tcW w:w="1474" w:type="dxa"/>
            <w:vAlign w:val="center"/>
          </w:tcPr>
          <w:p w14:paraId="3E3C4F82">
            <w:pPr>
              <w:pStyle w:val="11"/>
            </w:pPr>
          </w:p>
        </w:tc>
      </w:tr>
      <w:tr w14:paraId="687C9E13">
        <w:tblPrEx>
          <w:tblCellMar>
            <w:top w:w="0" w:type="dxa"/>
            <w:left w:w="108" w:type="dxa"/>
            <w:bottom w:w="0" w:type="dxa"/>
            <w:right w:w="108" w:type="dxa"/>
          </w:tblCellMar>
        </w:tblPrEx>
        <w:trPr>
          <w:trHeight w:val="369" w:hRule="atLeast"/>
          <w:jc w:val="center"/>
        </w:trPr>
        <w:tc>
          <w:tcPr>
            <w:tcW w:w="850" w:type="dxa"/>
            <w:vAlign w:val="center"/>
          </w:tcPr>
          <w:p w14:paraId="1BE77DEB">
            <w:pPr>
              <w:pStyle w:val="13"/>
            </w:pPr>
            <w:r>
              <w:t>27</w:t>
            </w:r>
          </w:p>
        </w:tc>
        <w:tc>
          <w:tcPr>
            <w:tcW w:w="3402" w:type="dxa"/>
            <w:vAlign w:val="center"/>
          </w:tcPr>
          <w:p w14:paraId="34DD4224">
            <w:pPr>
              <w:pStyle w:val="12"/>
            </w:pPr>
          </w:p>
        </w:tc>
        <w:tc>
          <w:tcPr>
            <w:tcW w:w="1474" w:type="dxa"/>
            <w:vAlign w:val="center"/>
          </w:tcPr>
          <w:p w14:paraId="72D88CAF">
            <w:pPr>
              <w:pStyle w:val="11"/>
            </w:pPr>
          </w:p>
        </w:tc>
        <w:tc>
          <w:tcPr>
            <w:tcW w:w="3402" w:type="dxa"/>
            <w:vAlign w:val="center"/>
          </w:tcPr>
          <w:p w14:paraId="3136BAA4">
            <w:pPr>
              <w:pStyle w:val="12"/>
            </w:pPr>
            <w:r>
              <w:t>二十七、债务还本支出</w:t>
            </w:r>
          </w:p>
        </w:tc>
        <w:tc>
          <w:tcPr>
            <w:tcW w:w="1474" w:type="dxa"/>
            <w:vAlign w:val="center"/>
          </w:tcPr>
          <w:p w14:paraId="6D2C405C">
            <w:pPr>
              <w:pStyle w:val="11"/>
            </w:pPr>
          </w:p>
        </w:tc>
        <w:tc>
          <w:tcPr>
            <w:tcW w:w="1474" w:type="dxa"/>
            <w:vAlign w:val="center"/>
          </w:tcPr>
          <w:p w14:paraId="1365B8FD">
            <w:pPr>
              <w:pStyle w:val="11"/>
            </w:pPr>
          </w:p>
        </w:tc>
        <w:tc>
          <w:tcPr>
            <w:tcW w:w="1474" w:type="dxa"/>
            <w:vAlign w:val="center"/>
          </w:tcPr>
          <w:p w14:paraId="73AFE62A">
            <w:pPr>
              <w:pStyle w:val="11"/>
            </w:pPr>
          </w:p>
        </w:tc>
        <w:tc>
          <w:tcPr>
            <w:tcW w:w="1474" w:type="dxa"/>
            <w:vAlign w:val="center"/>
          </w:tcPr>
          <w:p w14:paraId="69213F53">
            <w:pPr>
              <w:pStyle w:val="11"/>
            </w:pPr>
          </w:p>
        </w:tc>
      </w:tr>
      <w:tr w14:paraId="7D6C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3E51">
            <w:pPr>
              <w:pStyle w:val="13"/>
            </w:pPr>
            <w:r>
              <w:t>28</w:t>
            </w:r>
          </w:p>
        </w:tc>
        <w:tc>
          <w:tcPr>
            <w:tcW w:w="3402" w:type="dxa"/>
            <w:vAlign w:val="center"/>
          </w:tcPr>
          <w:p w14:paraId="170629FB">
            <w:pPr>
              <w:pStyle w:val="12"/>
            </w:pPr>
          </w:p>
        </w:tc>
        <w:tc>
          <w:tcPr>
            <w:tcW w:w="1474" w:type="dxa"/>
            <w:vAlign w:val="center"/>
          </w:tcPr>
          <w:p w14:paraId="57E6261D">
            <w:pPr>
              <w:pStyle w:val="11"/>
            </w:pPr>
          </w:p>
        </w:tc>
        <w:tc>
          <w:tcPr>
            <w:tcW w:w="3402" w:type="dxa"/>
            <w:vAlign w:val="center"/>
          </w:tcPr>
          <w:p w14:paraId="55C69FD6">
            <w:pPr>
              <w:pStyle w:val="12"/>
            </w:pPr>
            <w:r>
              <w:t>二十八、债务付息支出</w:t>
            </w:r>
          </w:p>
        </w:tc>
        <w:tc>
          <w:tcPr>
            <w:tcW w:w="1474" w:type="dxa"/>
            <w:vAlign w:val="center"/>
          </w:tcPr>
          <w:p w14:paraId="35FC61A5">
            <w:pPr>
              <w:pStyle w:val="11"/>
            </w:pPr>
          </w:p>
        </w:tc>
        <w:tc>
          <w:tcPr>
            <w:tcW w:w="1474" w:type="dxa"/>
            <w:vAlign w:val="center"/>
          </w:tcPr>
          <w:p w14:paraId="29244FBD">
            <w:pPr>
              <w:pStyle w:val="11"/>
            </w:pPr>
          </w:p>
        </w:tc>
        <w:tc>
          <w:tcPr>
            <w:tcW w:w="1474" w:type="dxa"/>
            <w:vAlign w:val="center"/>
          </w:tcPr>
          <w:p w14:paraId="1A01FCB8">
            <w:pPr>
              <w:pStyle w:val="11"/>
            </w:pPr>
          </w:p>
        </w:tc>
        <w:tc>
          <w:tcPr>
            <w:tcW w:w="1474" w:type="dxa"/>
            <w:vAlign w:val="center"/>
          </w:tcPr>
          <w:p w14:paraId="5909C46B">
            <w:pPr>
              <w:pStyle w:val="11"/>
            </w:pPr>
          </w:p>
        </w:tc>
      </w:tr>
      <w:tr w14:paraId="0BF4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A049A">
            <w:pPr>
              <w:pStyle w:val="13"/>
            </w:pPr>
            <w:r>
              <w:t>29</w:t>
            </w:r>
          </w:p>
        </w:tc>
        <w:tc>
          <w:tcPr>
            <w:tcW w:w="3402" w:type="dxa"/>
            <w:vAlign w:val="center"/>
          </w:tcPr>
          <w:p w14:paraId="3C878699">
            <w:pPr>
              <w:pStyle w:val="12"/>
            </w:pPr>
          </w:p>
        </w:tc>
        <w:tc>
          <w:tcPr>
            <w:tcW w:w="1474" w:type="dxa"/>
            <w:vAlign w:val="center"/>
          </w:tcPr>
          <w:p w14:paraId="567BA43F">
            <w:pPr>
              <w:pStyle w:val="11"/>
            </w:pPr>
          </w:p>
        </w:tc>
        <w:tc>
          <w:tcPr>
            <w:tcW w:w="3402" w:type="dxa"/>
            <w:vAlign w:val="center"/>
          </w:tcPr>
          <w:p w14:paraId="3138F512">
            <w:pPr>
              <w:pStyle w:val="12"/>
            </w:pPr>
            <w:r>
              <w:t>二十九、债务发行费用支出</w:t>
            </w:r>
          </w:p>
        </w:tc>
        <w:tc>
          <w:tcPr>
            <w:tcW w:w="1474" w:type="dxa"/>
            <w:vAlign w:val="center"/>
          </w:tcPr>
          <w:p w14:paraId="1D344EB2">
            <w:pPr>
              <w:pStyle w:val="11"/>
            </w:pPr>
          </w:p>
        </w:tc>
        <w:tc>
          <w:tcPr>
            <w:tcW w:w="1474" w:type="dxa"/>
            <w:vAlign w:val="center"/>
          </w:tcPr>
          <w:p w14:paraId="6C8D9E1A">
            <w:pPr>
              <w:pStyle w:val="11"/>
            </w:pPr>
          </w:p>
        </w:tc>
        <w:tc>
          <w:tcPr>
            <w:tcW w:w="1474" w:type="dxa"/>
            <w:vAlign w:val="center"/>
          </w:tcPr>
          <w:p w14:paraId="7CF72F79">
            <w:pPr>
              <w:pStyle w:val="11"/>
            </w:pPr>
          </w:p>
        </w:tc>
        <w:tc>
          <w:tcPr>
            <w:tcW w:w="1474" w:type="dxa"/>
            <w:vAlign w:val="center"/>
          </w:tcPr>
          <w:p w14:paraId="340B0063">
            <w:pPr>
              <w:pStyle w:val="11"/>
            </w:pPr>
          </w:p>
        </w:tc>
      </w:tr>
      <w:tr w14:paraId="784E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6F63">
            <w:pPr>
              <w:pStyle w:val="13"/>
            </w:pPr>
            <w:r>
              <w:t>30</w:t>
            </w:r>
          </w:p>
        </w:tc>
        <w:tc>
          <w:tcPr>
            <w:tcW w:w="3402" w:type="dxa"/>
            <w:vAlign w:val="center"/>
          </w:tcPr>
          <w:p w14:paraId="593AD1DB">
            <w:pPr>
              <w:pStyle w:val="12"/>
            </w:pPr>
          </w:p>
        </w:tc>
        <w:tc>
          <w:tcPr>
            <w:tcW w:w="1474" w:type="dxa"/>
            <w:vAlign w:val="center"/>
          </w:tcPr>
          <w:p w14:paraId="7241A71E">
            <w:pPr>
              <w:pStyle w:val="11"/>
            </w:pPr>
          </w:p>
        </w:tc>
        <w:tc>
          <w:tcPr>
            <w:tcW w:w="3402" w:type="dxa"/>
            <w:vAlign w:val="center"/>
          </w:tcPr>
          <w:p w14:paraId="06A90CD4">
            <w:pPr>
              <w:pStyle w:val="12"/>
            </w:pPr>
            <w:r>
              <w:t>三十、抗疫特别国债安排的支出</w:t>
            </w:r>
          </w:p>
        </w:tc>
        <w:tc>
          <w:tcPr>
            <w:tcW w:w="1474" w:type="dxa"/>
            <w:vAlign w:val="center"/>
          </w:tcPr>
          <w:p w14:paraId="63096A1B">
            <w:pPr>
              <w:pStyle w:val="11"/>
            </w:pPr>
          </w:p>
        </w:tc>
        <w:tc>
          <w:tcPr>
            <w:tcW w:w="1474" w:type="dxa"/>
            <w:vAlign w:val="center"/>
          </w:tcPr>
          <w:p w14:paraId="0A0C67D8">
            <w:pPr>
              <w:pStyle w:val="11"/>
            </w:pPr>
          </w:p>
        </w:tc>
        <w:tc>
          <w:tcPr>
            <w:tcW w:w="1474" w:type="dxa"/>
            <w:vAlign w:val="center"/>
          </w:tcPr>
          <w:p w14:paraId="7038FBDF">
            <w:pPr>
              <w:pStyle w:val="11"/>
            </w:pPr>
          </w:p>
        </w:tc>
        <w:tc>
          <w:tcPr>
            <w:tcW w:w="1474" w:type="dxa"/>
            <w:vAlign w:val="center"/>
          </w:tcPr>
          <w:p w14:paraId="3B1F1867">
            <w:pPr>
              <w:pStyle w:val="11"/>
            </w:pPr>
          </w:p>
        </w:tc>
      </w:tr>
      <w:tr w14:paraId="44FA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00998">
            <w:pPr>
              <w:pStyle w:val="13"/>
            </w:pPr>
            <w:r>
              <w:t>31</w:t>
            </w:r>
          </w:p>
        </w:tc>
        <w:tc>
          <w:tcPr>
            <w:tcW w:w="3402" w:type="dxa"/>
            <w:vAlign w:val="center"/>
          </w:tcPr>
          <w:p w14:paraId="6C5EF7B0">
            <w:pPr>
              <w:pStyle w:val="12"/>
            </w:pPr>
          </w:p>
        </w:tc>
        <w:tc>
          <w:tcPr>
            <w:tcW w:w="1474" w:type="dxa"/>
            <w:vAlign w:val="center"/>
          </w:tcPr>
          <w:p w14:paraId="52F19A02">
            <w:pPr>
              <w:pStyle w:val="11"/>
            </w:pPr>
          </w:p>
        </w:tc>
        <w:tc>
          <w:tcPr>
            <w:tcW w:w="3402" w:type="dxa"/>
            <w:vAlign w:val="center"/>
          </w:tcPr>
          <w:p w14:paraId="0E01BA9D">
            <w:pPr>
              <w:pStyle w:val="12"/>
            </w:pPr>
            <w:r>
              <w:t>三十一、人行科目</w:t>
            </w:r>
          </w:p>
        </w:tc>
        <w:tc>
          <w:tcPr>
            <w:tcW w:w="1474" w:type="dxa"/>
            <w:vAlign w:val="center"/>
          </w:tcPr>
          <w:p w14:paraId="27FB46AF">
            <w:pPr>
              <w:pStyle w:val="11"/>
            </w:pPr>
          </w:p>
        </w:tc>
        <w:tc>
          <w:tcPr>
            <w:tcW w:w="1474" w:type="dxa"/>
            <w:vAlign w:val="center"/>
          </w:tcPr>
          <w:p w14:paraId="68DBD8BD">
            <w:pPr>
              <w:pStyle w:val="11"/>
            </w:pPr>
          </w:p>
        </w:tc>
        <w:tc>
          <w:tcPr>
            <w:tcW w:w="1474" w:type="dxa"/>
            <w:vAlign w:val="center"/>
          </w:tcPr>
          <w:p w14:paraId="78D55ECB">
            <w:pPr>
              <w:pStyle w:val="11"/>
            </w:pPr>
          </w:p>
        </w:tc>
        <w:tc>
          <w:tcPr>
            <w:tcW w:w="1474" w:type="dxa"/>
            <w:vAlign w:val="center"/>
          </w:tcPr>
          <w:p w14:paraId="33E51829">
            <w:pPr>
              <w:pStyle w:val="11"/>
            </w:pPr>
          </w:p>
        </w:tc>
      </w:tr>
      <w:tr w14:paraId="2A2579AD">
        <w:tblPrEx>
          <w:tblCellMar>
            <w:top w:w="0" w:type="dxa"/>
            <w:left w:w="108" w:type="dxa"/>
            <w:bottom w:w="0" w:type="dxa"/>
            <w:right w:w="108" w:type="dxa"/>
          </w:tblCellMar>
        </w:tblPrEx>
        <w:trPr>
          <w:trHeight w:val="369" w:hRule="atLeast"/>
          <w:jc w:val="center"/>
        </w:trPr>
        <w:tc>
          <w:tcPr>
            <w:tcW w:w="850" w:type="dxa"/>
            <w:vAlign w:val="center"/>
          </w:tcPr>
          <w:p w14:paraId="38FE9765">
            <w:pPr>
              <w:pStyle w:val="13"/>
            </w:pPr>
            <w:r>
              <w:t>32</w:t>
            </w:r>
          </w:p>
        </w:tc>
        <w:tc>
          <w:tcPr>
            <w:tcW w:w="3402" w:type="dxa"/>
            <w:vAlign w:val="center"/>
          </w:tcPr>
          <w:p w14:paraId="25483323">
            <w:pPr>
              <w:pStyle w:val="14"/>
            </w:pPr>
            <w:r>
              <w:t>本年收入合计</w:t>
            </w:r>
          </w:p>
        </w:tc>
        <w:tc>
          <w:tcPr>
            <w:tcW w:w="1474" w:type="dxa"/>
            <w:vAlign w:val="center"/>
          </w:tcPr>
          <w:p w14:paraId="4533D0AE">
            <w:pPr>
              <w:pStyle w:val="15"/>
            </w:pPr>
            <w:r>
              <w:t>6295.31</w:t>
            </w:r>
          </w:p>
        </w:tc>
        <w:tc>
          <w:tcPr>
            <w:tcW w:w="3402" w:type="dxa"/>
            <w:vAlign w:val="center"/>
          </w:tcPr>
          <w:p w14:paraId="2194CEFD">
            <w:pPr>
              <w:pStyle w:val="14"/>
            </w:pPr>
            <w:r>
              <w:t>本年支出合计</w:t>
            </w:r>
          </w:p>
        </w:tc>
        <w:tc>
          <w:tcPr>
            <w:tcW w:w="1474" w:type="dxa"/>
            <w:vAlign w:val="center"/>
          </w:tcPr>
          <w:p w14:paraId="6C2A315F">
            <w:pPr>
              <w:pStyle w:val="15"/>
            </w:pPr>
            <w:r>
              <w:t>6295.31</w:t>
            </w:r>
          </w:p>
        </w:tc>
        <w:tc>
          <w:tcPr>
            <w:tcW w:w="1474" w:type="dxa"/>
            <w:vAlign w:val="center"/>
          </w:tcPr>
          <w:p w14:paraId="59599388">
            <w:pPr>
              <w:pStyle w:val="15"/>
            </w:pPr>
            <w:r>
              <w:t>6295.31</w:t>
            </w:r>
          </w:p>
        </w:tc>
        <w:tc>
          <w:tcPr>
            <w:tcW w:w="1474" w:type="dxa"/>
            <w:vAlign w:val="center"/>
          </w:tcPr>
          <w:p w14:paraId="09E6779B">
            <w:pPr>
              <w:pStyle w:val="15"/>
            </w:pPr>
          </w:p>
        </w:tc>
        <w:tc>
          <w:tcPr>
            <w:tcW w:w="1474" w:type="dxa"/>
            <w:vAlign w:val="center"/>
          </w:tcPr>
          <w:p w14:paraId="3DBDF235">
            <w:pPr>
              <w:pStyle w:val="15"/>
            </w:pPr>
          </w:p>
        </w:tc>
      </w:tr>
      <w:tr w14:paraId="56D9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DE6DB">
            <w:pPr>
              <w:pStyle w:val="13"/>
            </w:pPr>
            <w:r>
              <w:t>33</w:t>
            </w:r>
          </w:p>
        </w:tc>
        <w:tc>
          <w:tcPr>
            <w:tcW w:w="3402" w:type="dxa"/>
            <w:vAlign w:val="center"/>
          </w:tcPr>
          <w:p w14:paraId="07EC35C8">
            <w:pPr>
              <w:pStyle w:val="12"/>
            </w:pPr>
            <w:r>
              <w:t>年初财政拨款结转和结余</w:t>
            </w:r>
          </w:p>
        </w:tc>
        <w:tc>
          <w:tcPr>
            <w:tcW w:w="1474" w:type="dxa"/>
            <w:vAlign w:val="center"/>
          </w:tcPr>
          <w:p w14:paraId="3D881C44">
            <w:pPr>
              <w:pStyle w:val="11"/>
            </w:pPr>
          </w:p>
        </w:tc>
        <w:tc>
          <w:tcPr>
            <w:tcW w:w="3402" w:type="dxa"/>
            <w:vAlign w:val="center"/>
          </w:tcPr>
          <w:p w14:paraId="56724E44">
            <w:pPr>
              <w:pStyle w:val="12"/>
            </w:pPr>
            <w:r>
              <w:t>年末财政拨款结转和结余</w:t>
            </w:r>
          </w:p>
        </w:tc>
        <w:tc>
          <w:tcPr>
            <w:tcW w:w="1474" w:type="dxa"/>
            <w:vAlign w:val="center"/>
          </w:tcPr>
          <w:p w14:paraId="3ED4A695">
            <w:pPr>
              <w:pStyle w:val="11"/>
            </w:pPr>
          </w:p>
        </w:tc>
        <w:tc>
          <w:tcPr>
            <w:tcW w:w="1474" w:type="dxa"/>
            <w:vAlign w:val="center"/>
          </w:tcPr>
          <w:p w14:paraId="079F723B">
            <w:pPr>
              <w:pStyle w:val="11"/>
            </w:pPr>
          </w:p>
        </w:tc>
        <w:tc>
          <w:tcPr>
            <w:tcW w:w="1474" w:type="dxa"/>
            <w:vAlign w:val="center"/>
          </w:tcPr>
          <w:p w14:paraId="0127C74F">
            <w:pPr>
              <w:pStyle w:val="11"/>
            </w:pPr>
          </w:p>
        </w:tc>
        <w:tc>
          <w:tcPr>
            <w:tcW w:w="1474" w:type="dxa"/>
            <w:vAlign w:val="center"/>
          </w:tcPr>
          <w:p w14:paraId="0E91230A">
            <w:pPr>
              <w:pStyle w:val="11"/>
            </w:pPr>
          </w:p>
        </w:tc>
      </w:tr>
      <w:tr w14:paraId="6025DDF0">
        <w:tblPrEx>
          <w:tblCellMar>
            <w:top w:w="0" w:type="dxa"/>
            <w:left w:w="108" w:type="dxa"/>
            <w:bottom w:w="0" w:type="dxa"/>
            <w:right w:w="108" w:type="dxa"/>
          </w:tblCellMar>
        </w:tblPrEx>
        <w:trPr>
          <w:trHeight w:val="369" w:hRule="atLeast"/>
          <w:jc w:val="center"/>
        </w:trPr>
        <w:tc>
          <w:tcPr>
            <w:tcW w:w="850" w:type="dxa"/>
            <w:vAlign w:val="center"/>
          </w:tcPr>
          <w:p w14:paraId="751A378C">
            <w:pPr>
              <w:pStyle w:val="13"/>
            </w:pPr>
            <w:r>
              <w:t>34</w:t>
            </w:r>
          </w:p>
        </w:tc>
        <w:tc>
          <w:tcPr>
            <w:tcW w:w="3402" w:type="dxa"/>
            <w:vAlign w:val="center"/>
          </w:tcPr>
          <w:p w14:paraId="2300FEAB">
            <w:pPr>
              <w:pStyle w:val="12"/>
            </w:pPr>
            <w:r>
              <w:t>一、一般公共预算拨款</w:t>
            </w:r>
          </w:p>
        </w:tc>
        <w:tc>
          <w:tcPr>
            <w:tcW w:w="1474" w:type="dxa"/>
            <w:vAlign w:val="center"/>
          </w:tcPr>
          <w:p w14:paraId="39328B80">
            <w:pPr>
              <w:pStyle w:val="11"/>
            </w:pPr>
          </w:p>
        </w:tc>
        <w:tc>
          <w:tcPr>
            <w:tcW w:w="3402" w:type="dxa"/>
            <w:vAlign w:val="center"/>
          </w:tcPr>
          <w:p w14:paraId="70E2F7AF">
            <w:pPr>
              <w:pStyle w:val="12"/>
            </w:pPr>
          </w:p>
        </w:tc>
        <w:tc>
          <w:tcPr>
            <w:tcW w:w="1474" w:type="dxa"/>
            <w:vAlign w:val="center"/>
          </w:tcPr>
          <w:p w14:paraId="415E4B60">
            <w:pPr>
              <w:pStyle w:val="11"/>
            </w:pPr>
          </w:p>
        </w:tc>
        <w:tc>
          <w:tcPr>
            <w:tcW w:w="1474" w:type="dxa"/>
            <w:vAlign w:val="center"/>
          </w:tcPr>
          <w:p w14:paraId="2E1C8173">
            <w:pPr>
              <w:pStyle w:val="11"/>
            </w:pPr>
          </w:p>
        </w:tc>
        <w:tc>
          <w:tcPr>
            <w:tcW w:w="1474" w:type="dxa"/>
            <w:vAlign w:val="center"/>
          </w:tcPr>
          <w:p w14:paraId="565D9FED">
            <w:pPr>
              <w:pStyle w:val="11"/>
            </w:pPr>
          </w:p>
        </w:tc>
        <w:tc>
          <w:tcPr>
            <w:tcW w:w="1474" w:type="dxa"/>
            <w:vAlign w:val="center"/>
          </w:tcPr>
          <w:p w14:paraId="3B57A211">
            <w:pPr>
              <w:pStyle w:val="11"/>
            </w:pPr>
          </w:p>
        </w:tc>
      </w:tr>
      <w:tr w14:paraId="548D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6AE9">
            <w:pPr>
              <w:pStyle w:val="13"/>
            </w:pPr>
            <w:r>
              <w:t>35</w:t>
            </w:r>
          </w:p>
        </w:tc>
        <w:tc>
          <w:tcPr>
            <w:tcW w:w="3402" w:type="dxa"/>
            <w:vAlign w:val="center"/>
          </w:tcPr>
          <w:p w14:paraId="0D2107BF">
            <w:pPr>
              <w:pStyle w:val="12"/>
            </w:pPr>
            <w:r>
              <w:t>二、政府性基金预算拨款</w:t>
            </w:r>
          </w:p>
        </w:tc>
        <w:tc>
          <w:tcPr>
            <w:tcW w:w="1474" w:type="dxa"/>
            <w:vAlign w:val="center"/>
          </w:tcPr>
          <w:p w14:paraId="1F43ADF0">
            <w:pPr>
              <w:pStyle w:val="11"/>
            </w:pPr>
          </w:p>
        </w:tc>
        <w:tc>
          <w:tcPr>
            <w:tcW w:w="3402" w:type="dxa"/>
            <w:vAlign w:val="center"/>
          </w:tcPr>
          <w:p w14:paraId="558860DC">
            <w:pPr>
              <w:pStyle w:val="12"/>
            </w:pPr>
          </w:p>
        </w:tc>
        <w:tc>
          <w:tcPr>
            <w:tcW w:w="1474" w:type="dxa"/>
            <w:vAlign w:val="center"/>
          </w:tcPr>
          <w:p w14:paraId="14CA8123">
            <w:pPr>
              <w:pStyle w:val="11"/>
            </w:pPr>
          </w:p>
        </w:tc>
        <w:tc>
          <w:tcPr>
            <w:tcW w:w="1474" w:type="dxa"/>
            <w:vAlign w:val="center"/>
          </w:tcPr>
          <w:p w14:paraId="1FB1AAB2">
            <w:pPr>
              <w:pStyle w:val="11"/>
            </w:pPr>
          </w:p>
        </w:tc>
        <w:tc>
          <w:tcPr>
            <w:tcW w:w="1474" w:type="dxa"/>
            <w:vAlign w:val="center"/>
          </w:tcPr>
          <w:p w14:paraId="56FA8696">
            <w:pPr>
              <w:pStyle w:val="11"/>
            </w:pPr>
          </w:p>
        </w:tc>
        <w:tc>
          <w:tcPr>
            <w:tcW w:w="1474" w:type="dxa"/>
            <w:vAlign w:val="center"/>
          </w:tcPr>
          <w:p w14:paraId="6C1B01A4">
            <w:pPr>
              <w:pStyle w:val="11"/>
            </w:pPr>
          </w:p>
        </w:tc>
      </w:tr>
      <w:tr w14:paraId="631B22D0">
        <w:tblPrEx>
          <w:tblCellMar>
            <w:top w:w="0" w:type="dxa"/>
            <w:left w:w="108" w:type="dxa"/>
            <w:bottom w:w="0" w:type="dxa"/>
            <w:right w:w="108" w:type="dxa"/>
          </w:tblCellMar>
        </w:tblPrEx>
        <w:trPr>
          <w:trHeight w:val="369" w:hRule="atLeast"/>
          <w:jc w:val="center"/>
        </w:trPr>
        <w:tc>
          <w:tcPr>
            <w:tcW w:w="850" w:type="dxa"/>
            <w:vAlign w:val="center"/>
          </w:tcPr>
          <w:p w14:paraId="39972883">
            <w:pPr>
              <w:pStyle w:val="13"/>
            </w:pPr>
            <w:r>
              <w:t>36</w:t>
            </w:r>
          </w:p>
        </w:tc>
        <w:tc>
          <w:tcPr>
            <w:tcW w:w="3402" w:type="dxa"/>
            <w:vAlign w:val="center"/>
          </w:tcPr>
          <w:p w14:paraId="4C79C4B2">
            <w:pPr>
              <w:pStyle w:val="12"/>
            </w:pPr>
            <w:r>
              <w:t>三、国有资本经营预算拨款</w:t>
            </w:r>
          </w:p>
        </w:tc>
        <w:tc>
          <w:tcPr>
            <w:tcW w:w="1474" w:type="dxa"/>
            <w:vAlign w:val="center"/>
          </w:tcPr>
          <w:p w14:paraId="69642873">
            <w:pPr>
              <w:pStyle w:val="11"/>
            </w:pPr>
          </w:p>
        </w:tc>
        <w:tc>
          <w:tcPr>
            <w:tcW w:w="3402" w:type="dxa"/>
            <w:vAlign w:val="center"/>
          </w:tcPr>
          <w:p w14:paraId="5AA7752F">
            <w:pPr>
              <w:pStyle w:val="12"/>
            </w:pPr>
          </w:p>
        </w:tc>
        <w:tc>
          <w:tcPr>
            <w:tcW w:w="1474" w:type="dxa"/>
            <w:vAlign w:val="center"/>
          </w:tcPr>
          <w:p w14:paraId="18FCA81B">
            <w:pPr>
              <w:pStyle w:val="11"/>
            </w:pPr>
          </w:p>
        </w:tc>
        <w:tc>
          <w:tcPr>
            <w:tcW w:w="1474" w:type="dxa"/>
            <w:vAlign w:val="center"/>
          </w:tcPr>
          <w:p w14:paraId="5181B80F">
            <w:pPr>
              <w:pStyle w:val="11"/>
            </w:pPr>
          </w:p>
        </w:tc>
        <w:tc>
          <w:tcPr>
            <w:tcW w:w="1474" w:type="dxa"/>
            <w:vAlign w:val="center"/>
          </w:tcPr>
          <w:p w14:paraId="50C9E91D">
            <w:pPr>
              <w:pStyle w:val="11"/>
            </w:pPr>
          </w:p>
        </w:tc>
        <w:tc>
          <w:tcPr>
            <w:tcW w:w="1474" w:type="dxa"/>
            <w:vAlign w:val="center"/>
          </w:tcPr>
          <w:p w14:paraId="7A977640">
            <w:pPr>
              <w:pStyle w:val="11"/>
            </w:pPr>
          </w:p>
        </w:tc>
      </w:tr>
      <w:tr w14:paraId="053B5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E1AE">
            <w:pPr>
              <w:pStyle w:val="13"/>
            </w:pPr>
            <w:r>
              <w:t>37</w:t>
            </w:r>
          </w:p>
        </w:tc>
        <w:tc>
          <w:tcPr>
            <w:tcW w:w="3402" w:type="dxa"/>
            <w:vAlign w:val="center"/>
          </w:tcPr>
          <w:p w14:paraId="319A3439">
            <w:pPr>
              <w:pStyle w:val="14"/>
            </w:pPr>
            <w:r>
              <w:t>收入总计</w:t>
            </w:r>
          </w:p>
        </w:tc>
        <w:tc>
          <w:tcPr>
            <w:tcW w:w="1474" w:type="dxa"/>
            <w:vAlign w:val="center"/>
          </w:tcPr>
          <w:p w14:paraId="0A6134A9">
            <w:pPr>
              <w:pStyle w:val="15"/>
            </w:pPr>
            <w:r>
              <w:t>6295.31</w:t>
            </w:r>
          </w:p>
        </w:tc>
        <w:tc>
          <w:tcPr>
            <w:tcW w:w="3402" w:type="dxa"/>
            <w:vAlign w:val="center"/>
          </w:tcPr>
          <w:p w14:paraId="68D4A790">
            <w:pPr>
              <w:pStyle w:val="14"/>
            </w:pPr>
            <w:r>
              <w:t>支出总计</w:t>
            </w:r>
          </w:p>
        </w:tc>
        <w:tc>
          <w:tcPr>
            <w:tcW w:w="1474" w:type="dxa"/>
            <w:vAlign w:val="center"/>
          </w:tcPr>
          <w:p w14:paraId="3C73450E">
            <w:pPr>
              <w:pStyle w:val="15"/>
            </w:pPr>
            <w:r>
              <w:t>6295.31</w:t>
            </w:r>
          </w:p>
        </w:tc>
        <w:tc>
          <w:tcPr>
            <w:tcW w:w="1474" w:type="dxa"/>
            <w:vAlign w:val="center"/>
          </w:tcPr>
          <w:p w14:paraId="2C926938">
            <w:pPr>
              <w:pStyle w:val="15"/>
            </w:pPr>
            <w:r>
              <w:t>6295.31</w:t>
            </w:r>
          </w:p>
        </w:tc>
        <w:tc>
          <w:tcPr>
            <w:tcW w:w="1474" w:type="dxa"/>
            <w:vAlign w:val="center"/>
          </w:tcPr>
          <w:p w14:paraId="74FF565E">
            <w:pPr>
              <w:pStyle w:val="15"/>
            </w:pPr>
          </w:p>
        </w:tc>
        <w:tc>
          <w:tcPr>
            <w:tcW w:w="1474" w:type="dxa"/>
            <w:vAlign w:val="center"/>
          </w:tcPr>
          <w:p w14:paraId="34C17988">
            <w:pPr>
              <w:pStyle w:val="15"/>
            </w:pPr>
          </w:p>
        </w:tc>
      </w:tr>
    </w:tbl>
    <w:p w14:paraId="2147A893">
      <w:pPr>
        <w:sectPr>
          <w:pgSz w:w="16840" w:h="11900" w:orient="landscape"/>
          <w:pgMar w:top="1361" w:right="1020" w:bottom="1134" w:left="1020" w:header="720" w:footer="720" w:gutter="0"/>
          <w:cols w:space="720" w:num="1"/>
        </w:sectPr>
      </w:pPr>
    </w:p>
    <w:p w14:paraId="12A88F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65B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3D2DB3">
            <w:pPr>
              <w:pStyle w:val="9"/>
            </w:pPr>
            <w:r>
              <w:t>360016隆尧县城关校区</w:t>
            </w:r>
          </w:p>
        </w:tc>
        <w:tc>
          <w:tcPr>
            <w:tcW w:w="2551" w:type="dxa"/>
            <w:tcBorders>
              <w:top w:val="single" w:color="FFFFFF" w:sz="6" w:space="0"/>
              <w:left w:val="single" w:color="FFFFFF" w:sz="6" w:space="0"/>
              <w:right w:val="single" w:color="FFFFFF" w:sz="6" w:space="0"/>
            </w:tcBorders>
            <w:vAlign w:val="center"/>
          </w:tcPr>
          <w:p w14:paraId="52CF5E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7610E1">
            <w:pPr>
              <w:pStyle w:val="7"/>
            </w:pPr>
            <w:r>
              <w:t>单位：万元</w:t>
            </w:r>
          </w:p>
        </w:tc>
      </w:tr>
      <w:tr w14:paraId="70FA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D14F3">
            <w:pPr>
              <w:pStyle w:val="10"/>
            </w:pPr>
            <w:r>
              <w:t>序号</w:t>
            </w:r>
          </w:p>
        </w:tc>
        <w:tc>
          <w:tcPr>
            <w:tcW w:w="5726" w:type="dxa"/>
            <w:gridSpan w:val="2"/>
            <w:vAlign w:val="center"/>
          </w:tcPr>
          <w:p w14:paraId="3C7E738C">
            <w:pPr>
              <w:pStyle w:val="10"/>
            </w:pPr>
            <w:r>
              <w:t>功能分类科目</w:t>
            </w:r>
          </w:p>
        </w:tc>
        <w:tc>
          <w:tcPr>
            <w:tcW w:w="2551" w:type="dxa"/>
            <w:vMerge w:val="restart"/>
            <w:vAlign w:val="center"/>
          </w:tcPr>
          <w:p w14:paraId="19FDAF19">
            <w:pPr>
              <w:pStyle w:val="10"/>
            </w:pPr>
            <w:r>
              <w:t>合计</w:t>
            </w:r>
          </w:p>
        </w:tc>
        <w:tc>
          <w:tcPr>
            <w:tcW w:w="2551" w:type="dxa"/>
            <w:vMerge w:val="restart"/>
            <w:vAlign w:val="center"/>
          </w:tcPr>
          <w:p w14:paraId="3B8DEC2F">
            <w:pPr>
              <w:pStyle w:val="10"/>
            </w:pPr>
            <w:r>
              <w:t>基本支出</w:t>
            </w:r>
          </w:p>
        </w:tc>
        <w:tc>
          <w:tcPr>
            <w:tcW w:w="2551" w:type="dxa"/>
            <w:vMerge w:val="restart"/>
            <w:vAlign w:val="center"/>
          </w:tcPr>
          <w:p w14:paraId="64386EA1">
            <w:pPr>
              <w:pStyle w:val="10"/>
            </w:pPr>
            <w:r>
              <w:t>项目支出</w:t>
            </w:r>
          </w:p>
        </w:tc>
      </w:tr>
      <w:tr w14:paraId="0FAED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1E046"/>
        </w:tc>
        <w:tc>
          <w:tcPr>
            <w:tcW w:w="1191" w:type="dxa"/>
            <w:vAlign w:val="center"/>
          </w:tcPr>
          <w:p w14:paraId="6C08240F">
            <w:pPr>
              <w:pStyle w:val="10"/>
            </w:pPr>
            <w:r>
              <w:t>科目编码</w:t>
            </w:r>
          </w:p>
        </w:tc>
        <w:tc>
          <w:tcPr>
            <w:tcW w:w="4535" w:type="dxa"/>
            <w:vAlign w:val="center"/>
          </w:tcPr>
          <w:p w14:paraId="2F5610F5">
            <w:pPr>
              <w:pStyle w:val="10"/>
            </w:pPr>
            <w:r>
              <w:t>科目名称</w:t>
            </w:r>
          </w:p>
        </w:tc>
        <w:tc>
          <w:tcPr>
            <w:tcW w:w="2551" w:type="dxa"/>
            <w:vMerge w:val="continue"/>
          </w:tcPr>
          <w:p w14:paraId="3B386762"/>
        </w:tc>
        <w:tc>
          <w:tcPr>
            <w:tcW w:w="2551" w:type="dxa"/>
            <w:vMerge w:val="continue"/>
          </w:tcPr>
          <w:p w14:paraId="2E3CDCB1"/>
        </w:tc>
        <w:tc>
          <w:tcPr>
            <w:tcW w:w="2551" w:type="dxa"/>
            <w:vMerge w:val="continue"/>
          </w:tcPr>
          <w:p w14:paraId="6347D091"/>
        </w:tc>
      </w:tr>
      <w:tr w14:paraId="4CB8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8B2A7">
            <w:pPr>
              <w:pStyle w:val="10"/>
            </w:pPr>
            <w:r>
              <w:t>栏次</w:t>
            </w:r>
          </w:p>
        </w:tc>
        <w:tc>
          <w:tcPr>
            <w:tcW w:w="1191" w:type="dxa"/>
            <w:vAlign w:val="center"/>
          </w:tcPr>
          <w:p w14:paraId="5233E200">
            <w:pPr>
              <w:pStyle w:val="10"/>
            </w:pPr>
            <w:r>
              <w:t>1</w:t>
            </w:r>
          </w:p>
        </w:tc>
        <w:tc>
          <w:tcPr>
            <w:tcW w:w="4535" w:type="dxa"/>
            <w:vAlign w:val="center"/>
          </w:tcPr>
          <w:p w14:paraId="33A6137C">
            <w:pPr>
              <w:pStyle w:val="10"/>
            </w:pPr>
            <w:r>
              <w:t>2</w:t>
            </w:r>
          </w:p>
        </w:tc>
        <w:tc>
          <w:tcPr>
            <w:tcW w:w="2551" w:type="dxa"/>
            <w:vAlign w:val="center"/>
          </w:tcPr>
          <w:p w14:paraId="3D4D7C85">
            <w:pPr>
              <w:pStyle w:val="10"/>
            </w:pPr>
            <w:r>
              <w:t>3</w:t>
            </w:r>
          </w:p>
        </w:tc>
        <w:tc>
          <w:tcPr>
            <w:tcW w:w="2551" w:type="dxa"/>
            <w:vAlign w:val="center"/>
          </w:tcPr>
          <w:p w14:paraId="617BFF62">
            <w:pPr>
              <w:pStyle w:val="10"/>
            </w:pPr>
            <w:r>
              <w:t>4</w:t>
            </w:r>
          </w:p>
        </w:tc>
        <w:tc>
          <w:tcPr>
            <w:tcW w:w="2551" w:type="dxa"/>
            <w:vAlign w:val="center"/>
          </w:tcPr>
          <w:p w14:paraId="27C8F4E7">
            <w:pPr>
              <w:pStyle w:val="10"/>
            </w:pPr>
            <w:r>
              <w:t>5</w:t>
            </w:r>
          </w:p>
        </w:tc>
      </w:tr>
      <w:tr w14:paraId="5DA9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31242">
            <w:pPr>
              <w:pStyle w:val="13"/>
            </w:pPr>
            <w:r>
              <w:t>1</w:t>
            </w:r>
          </w:p>
        </w:tc>
        <w:tc>
          <w:tcPr>
            <w:tcW w:w="1191" w:type="dxa"/>
            <w:vAlign w:val="center"/>
          </w:tcPr>
          <w:p w14:paraId="2F9B7805">
            <w:pPr>
              <w:pStyle w:val="16"/>
            </w:pPr>
          </w:p>
        </w:tc>
        <w:tc>
          <w:tcPr>
            <w:tcW w:w="4535" w:type="dxa"/>
            <w:vAlign w:val="center"/>
          </w:tcPr>
          <w:p w14:paraId="5EAB12AB">
            <w:pPr>
              <w:pStyle w:val="14"/>
            </w:pPr>
            <w:r>
              <w:t>合计</w:t>
            </w:r>
          </w:p>
        </w:tc>
        <w:tc>
          <w:tcPr>
            <w:tcW w:w="2551" w:type="dxa"/>
            <w:vAlign w:val="center"/>
          </w:tcPr>
          <w:p w14:paraId="4ACA42F9">
            <w:pPr>
              <w:pStyle w:val="15"/>
            </w:pPr>
            <w:r>
              <w:t>6295.31</w:t>
            </w:r>
          </w:p>
        </w:tc>
        <w:tc>
          <w:tcPr>
            <w:tcW w:w="2551" w:type="dxa"/>
            <w:vAlign w:val="center"/>
          </w:tcPr>
          <w:p w14:paraId="5C92082D">
            <w:pPr>
              <w:pStyle w:val="15"/>
            </w:pPr>
            <w:r>
              <w:t>4406.32</w:t>
            </w:r>
          </w:p>
        </w:tc>
        <w:tc>
          <w:tcPr>
            <w:tcW w:w="2551" w:type="dxa"/>
            <w:vAlign w:val="center"/>
          </w:tcPr>
          <w:p w14:paraId="5AAF00F6">
            <w:pPr>
              <w:pStyle w:val="15"/>
            </w:pPr>
            <w:r>
              <w:t>1888.99</w:t>
            </w:r>
          </w:p>
        </w:tc>
      </w:tr>
      <w:tr w14:paraId="0ED5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95B3">
            <w:pPr>
              <w:pStyle w:val="13"/>
            </w:pPr>
            <w:r>
              <w:t>2</w:t>
            </w:r>
          </w:p>
        </w:tc>
        <w:tc>
          <w:tcPr>
            <w:tcW w:w="1191" w:type="dxa"/>
            <w:vAlign w:val="center"/>
          </w:tcPr>
          <w:p w14:paraId="4A56B396">
            <w:pPr>
              <w:pStyle w:val="12"/>
            </w:pPr>
            <w:r>
              <w:t>205</w:t>
            </w:r>
          </w:p>
        </w:tc>
        <w:tc>
          <w:tcPr>
            <w:tcW w:w="4535" w:type="dxa"/>
            <w:vAlign w:val="center"/>
          </w:tcPr>
          <w:p w14:paraId="3EC690CC">
            <w:pPr>
              <w:pStyle w:val="12"/>
            </w:pPr>
            <w:r>
              <w:t>教育支出</w:t>
            </w:r>
          </w:p>
        </w:tc>
        <w:tc>
          <w:tcPr>
            <w:tcW w:w="2551" w:type="dxa"/>
            <w:vAlign w:val="center"/>
          </w:tcPr>
          <w:p w14:paraId="5CCC03E7">
            <w:pPr>
              <w:pStyle w:val="11"/>
            </w:pPr>
            <w:r>
              <w:t>6295.31</w:t>
            </w:r>
          </w:p>
        </w:tc>
        <w:tc>
          <w:tcPr>
            <w:tcW w:w="2551" w:type="dxa"/>
            <w:vAlign w:val="center"/>
          </w:tcPr>
          <w:p w14:paraId="015D14EF">
            <w:pPr>
              <w:pStyle w:val="11"/>
            </w:pPr>
            <w:r>
              <w:t>4406.32</w:t>
            </w:r>
          </w:p>
        </w:tc>
        <w:tc>
          <w:tcPr>
            <w:tcW w:w="2551" w:type="dxa"/>
            <w:vAlign w:val="center"/>
          </w:tcPr>
          <w:p w14:paraId="3909C4FD">
            <w:pPr>
              <w:pStyle w:val="11"/>
            </w:pPr>
            <w:r>
              <w:t>1888.99</w:t>
            </w:r>
          </w:p>
        </w:tc>
      </w:tr>
      <w:tr w14:paraId="58F3C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2B825">
            <w:pPr>
              <w:pStyle w:val="13"/>
            </w:pPr>
            <w:r>
              <w:t>3</w:t>
            </w:r>
          </w:p>
        </w:tc>
        <w:tc>
          <w:tcPr>
            <w:tcW w:w="1191" w:type="dxa"/>
            <w:vAlign w:val="center"/>
          </w:tcPr>
          <w:p w14:paraId="1F488045">
            <w:pPr>
              <w:pStyle w:val="12"/>
            </w:pPr>
            <w:r>
              <w:t>20502</w:t>
            </w:r>
          </w:p>
        </w:tc>
        <w:tc>
          <w:tcPr>
            <w:tcW w:w="4535" w:type="dxa"/>
            <w:vAlign w:val="center"/>
          </w:tcPr>
          <w:p w14:paraId="369E7FD3">
            <w:pPr>
              <w:pStyle w:val="12"/>
            </w:pPr>
            <w:r>
              <w:t>普通教育</w:t>
            </w:r>
          </w:p>
        </w:tc>
        <w:tc>
          <w:tcPr>
            <w:tcW w:w="2551" w:type="dxa"/>
            <w:vAlign w:val="center"/>
          </w:tcPr>
          <w:p w14:paraId="7519AB9D">
            <w:pPr>
              <w:pStyle w:val="11"/>
            </w:pPr>
            <w:r>
              <w:t>6295.31</w:t>
            </w:r>
          </w:p>
        </w:tc>
        <w:tc>
          <w:tcPr>
            <w:tcW w:w="2551" w:type="dxa"/>
            <w:vAlign w:val="center"/>
          </w:tcPr>
          <w:p w14:paraId="36A5350F">
            <w:pPr>
              <w:pStyle w:val="11"/>
            </w:pPr>
            <w:r>
              <w:t>4406.32</w:t>
            </w:r>
          </w:p>
        </w:tc>
        <w:tc>
          <w:tcPr>
            <w:tcW w:w="2551" w:type="dxa"/>
            <w:vAlign w:val="center"/>
          </w:tcPr>
          <w:p w14:paraId="7D04DBBB">
            <w:pPr>
              <w:pStyle w:val="11"/>
            </w:pPr>
            <w:r>
              <w:t>1888.99</w:t>
            </w:r>
          </w:p>
        </w:tc>
      </w:tr>
      <w:tr w14:paraId="6452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DE975">
            <w:pPr>
              <w:pStyle w:val="13"/>
            </w:pPr>
            <w:r>
              <w:t>4</w:t>
            </w:r>
          </w:p>
        </w:tc>
        <w:tc>
          <w:tcPr>
            <w:tcW w:w="1191" w:type="dxa"/>
            <w:vAlign w:val="center"/>
          </w:tcPr>
          <w:p w14:paraId="40508AF4">
            <w:pPr>
              <w:pStyle w:val="12"/>
            </w:pPr>
            <w:r>
              <w:t>2050201</w:t>
            </w:r>
          </w:p>
        </w:tc>
        <w:tc>
          <w:tcPr>
            <w:tcW w:w="4535" w:type="dxa"/>
            <w:vAlign w:val="center"/>
          </w:tcPr>
          <w:p w14:paraId="16191D59">
            <w:pPr>
              <w:pStyle w:val="12"/>
            </w:pPr>
            <w:r>
              <w:t>学前教育</w:t>
            </w:r>
          </w:p>
        </w:tc>
        <w:tc>
          <w:tcPr>
            <w:tcW w:w="2551" w:type="dxa"/>
            <w:vAlign w:val="center"/>
          </w:tcPr>
          <w:p w14:paraId="42D22142">
            <w:pPr>
              <w:pStyle w:val="11"/>
            </w:pPr>
            <w:r>
              <w:t>780.18</w:t>
            </w:r>
          </w:p>
        </w:tc>
        <w:tc>
          <w:tcPr>
            <w:tcW w:w="2551" w:type="dxa"/>
            <w:vAlign w:val="center"/>
          </w:tcPr>
          <w:p w14:paraId="7A6E5B05">
            <w:pPr>
              <w:pStyle w:val="11"/>
            </w:pPr>
          </w:p>
        </w:tc>
        <w:tc>
          <w:tcPr>
            <w:tcW w:w="2551" w:type="dxa"/>
            <w:vAlign w:val="center"/>
          </w:tcPr>
          <w:p w14:paraId="7E2681A5">
            <w:pPr>
              <w:pStyle w:val="11"/>
            </w:pPr>
            <w:r>
              <w:t>780.18</w:t>
            </w:r>
          </w:p>
        </w:tc>
      </w:tr>
      <w:tr w14:paraId="55DBA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0FD55">
            <w:pPr>
              <w:pStyle w:val="13"/>
            </w:pPr>
            <w:r>
              <w:t>5</w:t>
            </w:r>
          </w:p>
        </w:tc>
        <w:tc>
          <w:tcPr>
            <w:tcW w:w="1191" w:type="dxa"/>
            <w:vAlign w:val="center"/>
          </w:tcPr>
          <w:p w14:paraId="6F98FCD2">
            <w:pPr>
              <w:pStyle w:val="12"/>
            </w:pPr>
            <w:r>
              <w:t>2050202</w:t>
            </w:r>
          </w:p>
        </w:tc>
        <w:tc>
          <w:tcPr>
            <w:tcW w:w="4535" w:type="dxa"/>
            <w:vAlign w:val="center"/>
          </w:tcPr>
          <w:p w14:paraId="11D87F31">
            <w:pPr>
              <w:pStyle w:val="12"/>
            </w:pPr>
            <w:r>
              <w:t>小学教育</w:t>
            </w:r>
          </w:p>
        </w:tc>
        <w:tc>
          <w:tcPr>
            <w:tcW w:w="2551" w:type="dxa"/>
            <w:vAlign w:val="center"/>
          </w:tcPr>
          <w:p w14:paraId="348D598D">
            <w:pPr>
              <w:pStyle w:val="11"/>
            </w:pPr>
            <w:r>
              <w:t>5515.13</w:t>
            </w:r>
          </w:p>
        </w:tc>
        <w:tc>
          <w:tcPr>
            <w:tcW w:w="2551" w:type="dxa"/>
            <w:vAlign w:val="center"/>
          </w:tcPr>
          <w:p w14:paraId="0CD57F66">
            <w:pPr>
              <w:pStyle w:val="11"/>
            </w:pPr>
            <w:r>
              <w:t>4406.32</w:t>
            </w:r>
          </w:p>
        </w:tc>
        <w:tc>
          <w:tcPr>
            <w:tcW w:w="2551" w:type="dxa"/>
            <w:vAlign w:val="center"/>
          </w:tcPr>
          <w:p w14:paraId="0DF55EF4">
            <w:pPr>
              <w:pStyle w:val="11"/>
            </w:pPr>
            <w:r>
              <w:t>1108.81</w:t>
            </w:r>
          </w:p>
        </w:tc>
      </w:tr>
    </w:tbl>
    <w:p w14:paraId="647B03DD">
      <w:pPr>
        <w:sectPr>
          <w:pgSz w:w="16840" w:h="11900" w:orient="landscape"/>
          <w:pgMar w:top="1361" w:right="1020" w:bottom="1134" w:left="1020" w:header="720" w:footer="720" w:gutter="0"/>
          <w:cols w:space="720" w:num="1"/>
        </w:sectPr>
      </w:pPr>
    </w:p>
    <w:p w14:paraId="6B0399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6C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91134D">
            <w:pPr>
              <w:pStyle w:val="9"/>
            </w:pPr>
            <w:r>
              <w:t>360016隆尧县城关校区</w:t>
            </w:r>
          </w:p>
        </w:tc>
        <w:tc>
          <w:tcPr>
            <w:tcW w:w="2551" w:type="dxa"/>
            <w:tcBorders>
              <w:top w:val="single" w:color="FFFFFF" w:sz="6" w:space="0"/>
              <w:left w:val="single" w:color="FFFFFF" w:sz="6" w:space="0"/>
              <w:right w:val="single" w:color="FFFFFF" w:sz="6" w:space="0"/>
            </w:tcBorders>
            <w:vAlign w:val="center"/>
          </w:tcPr>
          <w:p w14:paraId="4D4245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C279E0">
            <w:pPr>
              <w:pStyle w:val="7"/>
            </w:pPr>
            <w:r>
              <w:t>单位：万元</w:t>
            </w:r>
          </w:p>
        </w:tc>
      </w:tr>
      <w:tr w14:paraId="101E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B0358">
            <w:pPr>
              <w:pStyle w:val="10"/>
            </w:pPr>
            <w:r>
              <w:t>序号</w:t>
            </w:r>
          </w:p>
        </w:tc>
        <w:tc>
          <w:tcPr>
            <w:tcW w:w="5726" w:type="dxa"/>
            <w:gridSpan w:val="2"/>
            <w:vAlign w:val="center"/>
          </w:tcPr>
          <w:p w14:paraId="178023BA">
            <w:pPr>
              <w:pStyle w:val="10"/>
            </w:pPr>
            <w:r>
              <w:t>支出部门经济分类科目</w:t>
            </w:r>
          </w:p>
        </w:tc>
        <w:tc>
          <w:tcPr>
            <w:tcW w:w="7653" w:type="dxa"/>
            <w:gridSpan w:val="3"/>
            <w:vAlign w:val="center"/>
          </w:tcPr>
          <w:p w14:paraId="30793472">
            <w:pPr>
              <w:pStyle w:val="10"/>
            </w:pPr>
            <w:r>
              <w:t>一般公共预算基本支出</w:t>
            </w:r>
          </w:p>
        </w:tc>
      </w:tr>
      <w:tr w14:paraId="0343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C55FE8"/>
        </w:tc>
        <w:tc>
          <w:tcPr>
            <w:tcW w:w="1191" w:type="dxa"/>
            <w:vAlign w:val="center"/>
          </w:tcPr>
          <w:p w14:paraId="1FC91A50">
            <w:pPr>
              <w:pStyle w:val="10"/>
            </w:pPr>
            <w:r>
              <w:t>科目编码</w:t>
            </w:r>
          </w:p>
        </w:tc>
        <w:tc>
          <w:tcPr>
            <w:tcW w:w="4535" w:type="dxa"/>
            <w:vAlign w:val="center"/>
          </w:tcPr>
          <w:p w14:paraId="7CBB3738">
            <w:pPr>
              <w:pStyle w:val="10"/>
            </w:pPr>
            <w:r>
              <w:t>科目名称</w:t>
            </w:r>
          </w:p>
        </w:tc>
        <w:tc>
          <w:tcPr>
            <w:tcW w:w="2551" w:type="dxa"/>
            <w:vAlign w:val="center"/>
          </w:tcPr>
          <w:p w14:paraId="4DD1996A">
            <w:pPr>
              <w:pStyle w:val="10"/>
            </w:pPr>
            <w:r>
              <w:t>合计</w:t>
            </w:r>
          </w:p>
        </w:tc>
        <w:tc>
          <w:tcPr>
            <w:tcW w:w="2551" w:type="dxa"/>
            <w:vAlign w:val="center"/>
          </w:tcPr>
          <w:p w14:paraId="34E5A43B">
            <w:pPr>
              <w:pStyle w:val="10"/>
            </w:pPr>
            <w:r>
              <w:t>人员经费</w:t>
            </w:r>
          </w:p>
        </w:tc>
        <w:tc>
          <w:tcPr>
            <w:tcW w:w="2551" w:type="dxa"/>
            <w:vAlign w:val="center"/>
          </w:tcPr>
          <w:p w14:paraId="7C5D8023">
            <w:pPr>
              <w:pStyle w:val="10"/>
            </w:pPr>
            <w:r>
              <w:t>公用经费</w:t>
            </w:r>
          </w:p>
        </w:tc>
      </w:tr>
      <w:tr w14:paraId="179E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F55873">
            <w:pPr>
              <w:pStyle w:val="10"/>
            </w:pPr>
            <w:r>
              <w:t>栏次</w:t>
            </w:r>
          </w:p>
        </w:tc>
        <w:tc>
          <w:tcPr>
            <w:tcW w:w="1191" w:type="dxa"/>
            <w:vAlign w:val="center"/>
          </w:tcPr>
          <w:p w14:paraId="689F8EDD">
            <w:pPr>
              <w:pStyle w:val="10"/>
            </w:pPr>
            <w:r>
              <w:t>1</w:t>
            </w:r>
          </w:p>
        </w:tc>
        <w:tc>
          <w:tcPr>
            <w:tcW w:w="4535" w:type="dxa"/>
            <w:vAlign w:val="center"/>
          </w:tcPr>
          <w:p w14:paraId="10364B4C">
            <w:pPr>
              <w:pStyle w:val="10"/>
            </w:pPr>
            <w:r>
              <w:t>2</w:t>
            </w:r>
          </w:p>
        </w:tc>
        <w:tc>
          <w:tcPr>
            <w:tcW w:w="2551" w:type="dxa"/>
            <w:vAlign w:val="center"/>
          </w:tcPr>
          <w:p w14:paraId="31235E33">
            <w:pPr>
              <w:pStyle w:val="10"/>
            </w:pPr>
            <w:r>
              <w:t>3</w:t>
            </w:r>
          </w:p>
        </w:tc>
        <w:tc>
          <w:tcPr>
            <w:tcW w:w="2551" w:type="dxa"/>
            <w:vAlign w:val="center"/>
          </w:tcPr>
          <w:p w14:paraId="4EA54198">
            <w:pPr>
              <w:pStyle w:val="10"/>
            </w:pPr>
            <w:r>
              <w:t>4</w:t>
            </w:r>
          </w:p>
        </w:tc>
        <w:tc>
          <w:tcPr>
            <w:tcW w:w="2551" w:type="dxa"/>
            <w:vAlign w:val="center"/>
          </w:tcPr>
          <w:p w14:paraId="4FBC6AA5">
            <w:pPr>
              <w:pStyle w:val="10"/>
            </w:pPr>
            <w:r>
              <w:t>5</w:t>
            </w:r>
          </w:p>
        </w:tc>
      </w:tr>
      <w:tr w14:paraId="28B3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F362">
            <w:pPr>
              <w:pStyle w:val="13"/>
            </w:pPr>
            <w:r>
              <w:t>1</w:t>
            </w:r>
          </w:p>
        </w:tc>
        <w:tc>
          <w:tcPr>
            <w:tcW w:w="1191" w:type="dxa"/>
            <w:vAlign w:val="center"/>
          </w:tcPr>
          <w:p w14:paraId="59FF7CE4">
            <w:pPr>
              <w:pStyle w:val="16"/>
            </w:pPr>
          </w:p>
        </w:tc>
        <w:tc>
          <w:tcPr>
            <w:tcW w:w="4535" w:type="dxa"/>
            <w:vAlign w:val="center"/>
          </w:tcPr>
          <w:p w14:paraId="40F32B8E">
            <w:pPr>
              <w:pStyle w:val="14"/>
            </w:pPr>
            <w:r>
              <w:t>合计</w:t>
            </w:r>
          </w:p>
        </w:tc>
        <w:tc>
          <w:tcPr>
            <w:tcW w:w="2551" w:type="dxa"/>
            <w:vAlign w:val="center"/>
          </w:tcPr>
          <w:p w14:paraId="680EF16D">
            <w:pPr>
              <w:pStyle w:val="15"/>
            </w:pPr>
            <w:r>
              <w:t>4406.32</w:t>
            </w:r>
          </w:p>
        </w:tc>
        <w:tc>
          <w:tcPr>
            <w:tcW w:w="2551" w:type="dxa"/>
            <w:vAlign w:val="center"/>
          </w:tcPr>
          <w:p w14:paraId="5116AC8F">
            <w:pPr>
              <w:pStyle w:val="15"/>
            </w:pPr>
            <w:r>
              <w:t>4406.32</w:t>
            </w:r>
          </w:p>
        </w:tc>
        <w:tc>
          <w:tcPr>
            <w:tcW w:w="2551" w:type="dxa"/>
            <w:vAlign w:val="center"/>
          </w:tcPr>
          <w:p w14:paraId="1CD07A22">
            <w:pPr>
              <w:pStyle w:val="15"/>
            </w:pPr>
          </w:p>
        </w:tc>
      </w:tr>
      <w:tr w14:paraId="614E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A8BBA">
            <w:pPr>
              <w:pStyle w:val="13"/>
            </w:pPr>
            <w:r>
              <w:t>2</w:t>
            </w:r>
          </w:p>
        </w:tc>
        <w:tc>
          <w:tcPr>
            <w:tcW w:w="1191" w:type="dxa"/>
            <w:vAlign w:val="center"/>
          </w:tcPr>
          <w:p w14:paraId="7725291F">
            <w:pPr>
              <w:pStyle w:val="12"/>
            </w:pPr>
            <w:r>
              <w:t>301</w:t>
            </w:r>
          </w:p>
        </w:tc>
        <w:tc>
          <w:tcPr>
            <w:tcW w:w="4535" w:type="dxa"/>
            <w:vAlign w:val="center"/>
          </w:tcPr>
          <w:p w14:paraId="06B765D2">
            <w:pPr>
              <w:pStyle w:val="12"/>
            </w:pPr>
            <w:r>
              <w:t>工资福利支出</w:t>
            </w:r>
          </w:p>
        </w:tc>
        <w:tc>
          <w:tcPr>
            <w:tcW w:w="2551" w:type="dxa"/>
            <w:vAlign w:val="center"/>
          </w:tcPr>
          <w:p w14:paraId="4512A388">
            <w:pPr>
              <w:pStyle w:val="11"/>
            </w:pPr>
            <w:r>
              <w:t>3882.61</w:t>
            </w:r>
          </w:p>
        </w:tc>
        <w:tc>
          <w:tcPr>
            <w:tcW w:w="2551" w:type="dxa"/>
            <w:vAlign w:val="center"/>
          </w:tcPr>
          <w:p w14:paraId="1E2B759D">
            <w:pPr>
              <w:pStyle w:val="11"/>
            </w:pPr>
            <w:r>
              <w:t>3882.61</w:t>
            </w:r>
          </w:p>
        </w:tc>
        <w:tc>
          <w:tcPr>
            <w:tcW w:w="2551" w:type="dxa"/>
            <w:vAlign w:val="center"/>
          </w:tcPr>
          <w:p w14:paraId="4AB498C0">
            <w:pPr>
              <w:pStyle w:val="11"/>
            </w:pPr>
          </w:p>
        </w:tc>
      </w:tr>
      <w:tr w14:paraId="5234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676BD">
            <w:pPr>
              <w:pStyle w:val="13"/>
            </w:pPr>
            <w:r>
              <w:t>3</w:t>
            </w:r>
          </w:p>
        </w:tc>
        <w:tc>
          <w:tcPr>
            <w:tcW w:w="1191" w:type="dxa"/>
            <w:vAlign w:val="center"/>
          </w:tcPr>
          <w:p w14:paraId="1086046C">
            <w:pPr>
              <w:pStyle w:val="12"/>
            </w:pPr>
            <w:r>
              <w:t>30101</w:t>
            </w:r>
          </w:p>
        </w:tc>
        <w:tc>
          <w:tcPr>
            <w:tcW w:w="4535" w:type="dxa"/>
            <w:vAlign w:val="center"/>
          </w:tcPr>
          <w:p w14:paraId="68BE6ADD">
            <w:pPr>
              <w:pStyle w:val="12"/>
            </w:pPr>
            <w:r>
              <w:t>基本工资</w:t>
            </w:r>
          </w:p>
        </w:tc>
        <w:tc>
          <w:tcPr>
            <w:tcW w:w="2551" w:type="dxa"/>
            <w:vAlign w:val="center"/>
          </w:tcPr>
          <w:p w14:paraId="039EC45A">
            <w:pPr>
              <w:pStyle w:val="11"/>
            </w:pPr>
            <w:r>
              <w:t>1774.49</w:t>
            </w:r>
          </w:p>
        </w:tc>
        <w:tc>
          <w:tcPr>
            <w:tcW w:w="2551" w:type="dxa"/>
            <w:vAlign w:val="center"/>
          </w:tcPr>
          <w:p w14:paraId="1CB11A7E">
            <w:pPr>
              <w:pStyle w:val="11"/>
            </w:pPr>
            <w:r>
              <w:t>1774.49</w:t>
            </w:r>
          </w:p>
        </w:tc>
        <w:tc>
          <w:tcPr>
            <w:tcW w:w="2551" w:type="dxa"/>
            <w:vAlign w:val="center"/>
          </w:tcPr>
          <w:p w14:paraId="1F92E7B9">
            <w:pPr>
              <w:pStyle w:val="11"/>
            </w:pPr>
          </w:p>
        </w:tc>
      </w:tr>
      <w:tr w14:paraId="4F3C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F22B">
            <w:pPr>
              <w:pStyle w:val="13"/>
            </w:pPr>
            <w:r>
              <w:t>4</w:t>
            </w:r>
          </w:p>
        </w:tc>
        <w:tc>
          <w:tcPr>
            <w:tcW w:w="1191" w:type="dxa"/>
            <w:vAlign w:val="center"/>
          </w:tcPr>
          <w:p w14:paraId="3C9C9695">
            <w:pPr>
              <w:pStyle w:val="12"/>
            </w:pPr>
            <w:r>
              <w:t>30102</w:t>
            </w:r>
          </w:p>
        </w:tc>
        <w:tc>
          <w:tcPr>
            <w:tcW w:w="4535" w:type="dxa"/>
            <w:vAlign w:val="center"/>
          </w:tcPr>
          <w:p w14:paraId="0B5C921B">
            <w:pPr>
              <w:pStyle w:val="12"/>
            </w:pPr>
            <w:r>
              <w:t>津贴补贴</w:t>
            </w:r>
          </w:p>
        </w:tc>
        <w:tc>
          <w:tcPr>
            <w:tcW w:w="2551" w:type="dxa"/>
            <w:vAlign w:val="center"/>
          </w:tcPr>
          <w:p w14:paraId="060EF630">
            <w:pPr>
              <w:pStyle w:val="11"/>
            </w:pPr>
            <w:r>
              <w:t>111.35</w:t>
            </w:r>
          </w:p>
        </w:tc>
        <w:tc>
          <w:tcPr>
            <w:tcW w:w="2551" w:type="dxa"/>
            <w:vAlign w:val="center"/>
          </w:tcPr>
          <w:p w14:paraId="04997A61">
            <w:pPr>
              <w:pStyle w:val="11"/>
            </w:pPr>
            <w:r>
              <w:t>111.35</w:t>
            </w:r>
          </w:p>
        </w:tc>
        <w:tc>
          <w:tcPr>
            <w:tcW w:w="2551" w:type="dxa"/>
            <w:vAlign w:val="center"/>
          </w:tcPr>
          <w:p w14:paraId="465AEDD6">
            <w:pPr>
              <w:pStyle w:val="11"/>
            </w:pPr>
          </w:p>
        </w:tc>
      </w:tr>
      <w:tr w14:paraId="5D38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F1D06">
            <w:pPr>
              <w:pStyle w:val="13"/>
            </w:pPr>
            <w:r>
              <w:t>5</w:t>
            </w:r>
          </w:p>
        </w:tc>
        <w:tc>
          <w:tcPr>
            <w:tcW w:w="1191" w:type="dxa"/>
            <w:vAlign w:val="center"/>
          </w:tcPr>
          <w:p w14:paraId="4F48C11F">
            <w:pPr>
              <w:pStyle w:val="12"/>
            </w:pPr>
            <w:r>
              <w:t>30107</w:t>
            </w:r>
          </w:p>
        </w:tc>
        <w:tc>
          <w:tcPr>
            <w:tcW w:w="4535" w:type="dxa"/>
            <w:vAlign w:val="center"/>
          </w:tcPr>
          <w:p w14:paraId="31A0D2DE">
            <w:pPr>
              <w:pStyle w:val="12"/>
            </w:pPr>
            <w:r>
              <w:t>绩效工资</w:t>
            </w:r>
          </w:p>
        </w:tc>
        <w:tc>
          <w:tcPr>
            <w:tcW w:w="2551" w:type="dxa"/>
            <w:vAlign w:val="center"/>
          </w:tcPr>
          <w:p w14:paraId="78F4FA73">
            <w:pPr>
              <w:pStyle w:val="11"/>
            </w:pPr>
            <w:r>
              <w:t>1125.20</w:t>
            </w:r>
          </w:p>
        </w:tc>
        <w:tc>
          <w:tcPr>
            <w:tcW w:w="2551" w:type="dxa"/>
            <w:vAlign w:val="center"/>
          </w:tcPr>
          <w:p w14:paraId="2ABA0C5F">
            <w:pPr>
              <w:pStyle w:val="11"/>
            </w:pPr>
            <w:r>
              <w:t>1125.20</w:t>
            </w:r>
          </w:p>
        </w:tc>
        <w:tc>
          <w:tcPr>
            <w:tcW w:w="2551" w:type="dxa"/>
            <w:vAlign w:val="center"/>
          </w:tcPr>
          <w:p w14:paraId="75B1C4A7">
            <w:pPr>
              <w:pStyle w:val="11"/>
            </w:pPr>
          </w:p>
        </w:tc>
      </w:tr>
      <w:tr w14:paraId="55A9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04F9">
            <w:pPr>
              <w:pStyle w:val="13"/>
            </w:pPr>
            <w:r>
              <w:t>6</w:t>
            </w:r>
          </w:p>
        </w:tc>
        <w:tc>
          <w:tcPr>
            <w:tcW w:w="1191" w:type="dxa"/>
            <w:vAlign w:val="center"/>
          </w:tcPr>
          <w:p w14:paraId="454BDE34">
            <w:pPr>
              <w:pStyle w:val="12"/>
            </w:pPr>
            <w:r>
              <w:t>30108</w:t>
            </w:r>
          </w:p>
        </w:tc>
        <w:tc>
          <w:tcPr>
            <w:tcW w:w="4535" w:type="dxa"/>
            <w:vAlign w:val="center"/>
          </w:tcPr>
          <w:p w14:paraId="4A92DBA2">
            <w:pPr>
              <w:pStyle w:val="12"/>
            </w:pPr>
            <w:r>
              <w:t>机关事业单位基本养老保险缴费</w:t>
            </w:r>
          </w:p>
        </w:tc>
        <w:tc>
          <w:tcPr>
            <w:tcW w:w="2551" w:type="dxa"/>
            <w:vAlign w:val="center"/>
          </w:tcPr>
          <w:p w14:paraId="33A66F57">
            <w:pPr>
              <w:pStyle w:val="11"/>
            </w:pPr>
            <w:r>
              <w:t>388.24</w:t>
            </w:r>
          </w:p>
        </w:tc>
        <w:tc>
          <w:tcPr>
            <w:tcW w:w="2551" w:type="dxa"/>
            <w:vAlign w:val="center"/>
          </w:tcPr>
          <w:p w14:paraId="2DC1F8BE">
            <w:pPr>
              <w:pStyle w:val="11"/>
            </w:pPr>
            <w:r>
              <w:t>388.24</w:t>
            </w:r>
          </w:p>
        </w:tc>
        <w:tc>
          <w:tcPr>
            <w:tcW w:w="2551" w:type="dxa"/>
            <w:vAlign w:val="center"/>
          </w:tcPr>
          <w:p w14:paraId="3B24841D">
            <w:pPr>
              <w:pStyle w:val="11"/>
            </w:pPr>
          </w:p>
        </w:tc>
      </w:tr>
      <w:tr w14:paraId="0288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4DB9F">
            <w:pPr>
              <w:pStyle w:val="13"/>
            </w:pPr>
            <w:r>
              <w:t>7</w:t>
            </w:r>
          </w:p>
        </w:tc>
        <w:tc>
          <w:tcPr>
            <w:tcW w:w="1191" w:type="dxa"/>
            <w:vAlign w:val="center"/>
          </w:tcPr>
          <w:p w14:paraId="50ADD54F">
            <w:pPr>
              <w:pStyle w:val="12"/>
            </w:pPr>
            <w:r>
              <w:t>30110</w:t>
            </w:r>
          </w:p>
        </w:tc>
        <w:tc>
          <w:tcPr>
            <w:tcW w:w="4535" w:type="dxa"/>
            <w:vAlign w:val="center"/>
          </w:tcPr>
          <w:p w14:paraId="130FCA48">
            <w:pPr>
              <w:pStyle w:val="12"/>
            </w:pPr>
            <w:r>
              <w:t>职工基本医疗保险缴费</w:t>
            </w:r>
          </w:p>
        </w:tc>
        <w:tc>
          <w:tcPr>
            <w:tcW w:w="2551" w:type="dxa"/>
            <w:vAlign w:val="center"/>
          </w:tcPr>
          <w:p w14:paraId="38984A1D">
            <w:pPr>
              <w:pStyle w:val="11"/>
            </w:pPr>
            <w:r>
              <w:t>181.25</w:t>
            </w:r>
          </w:p>
        </w:tc>
        <w:tc>
          <w:tcPr>
            <w:tcW w:w="2551" w:type="dxa"/>
            <w:vAlign w:val="center"/>
          </w:tcPr>
          <w:p w14:paraId="7FC60427">
            <w:pPr>
              <w:pStyle w:val="11"/>
            </w:pPr>
            <w:r>
              <w:t>181.25</w:t>
            </w:r>
          </w:p>
        </w:tc>
        <w:tc>
          <w:tcPr>
            <w:tcW w:w="2551" w:type="dxa"/>
            <w:vAlign w:val="center"/>
          </w:tcPr>
          <w:p w14:paraId="3CE2F568">
            <w:pPr>
              <w:pStyle w:val="11"/>
            </w:pPr>
          </w:p>
        </w:tc>
      </w:tr>
      <w:tr w14:paraId="4A66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6E6DA">
            <w:pPr>
              <w:pStyle w:val="13"/>
            </w:pPr>
            <w:r>
              <w:t>8</w:t>
            </w:r>
          </w:p>
        </w:tc>
        <w:tc>
          <w:tcPr>
            <w:tcW w:w="1191" w:type="dxa"/>
            <w:vAlign w:val="center"/>
          </w:tcPr>
          <w:p w14:paraId="038999F7">
            <w:pPr>
              <w:pStyle w:val="12"/>
            </w:pPr>
            <w:r>
              <w:t>30112</w:t>
            </w:r>
          </w:p>
        </w:tc>
        <w:tc>
          <w:tcPr>
            <w:tcW w:w="4535" w:type="dxa"/>
            <w:vAlign w:val="center"/>
          </w:tcPr>
          <w:p w14:paraId="392B9663">
            <w:pPr>
              <w:pStyle w:val="12"/>
            </w:pPr>
            <w:r>
              <w:t>其他社会保障缴费</w:t>
            </w:r>
          </w:p>
        </w:tc>
        <w:tc>
          <w:tcPr>
            <w:tcW w:w="2551" w:type="dxa"/>
            <w:vAlign w:val="center"/>
          </w:tcPr>
          <w:p w14:paraId="33DBEC71">
            <w:pPr>
              <w:pStyle w:val="11"/>
            </w:pPr>
            <w:r>
              <w:t>11.92</w:t>
            </w:r>
          </w:p>
        </w:tc>
        <w:tc>
          <w:tcPr>
            <w:tcW w:w="2551" w:type="dxa"/>
            <w:vAlign w:val="center"/>
          </w:tcPr>
          <w:p w14:paraId="013811E3">
            <w:pPr>
              <w:pStyle w:val="11"/>
            </w:pPr>
            <w:r>
              <w:t>11.92</w:t>
            </w:r>
          </w:p>
        </w:tc>
        <w:tc>
          <w:tcPr>
            <w:tcW w:w="2551" w:type="dxa"/>
            <w:vAlign w:val="center"/>
          </w:tcPr>
          <w:p w14:paraId="4D73D7A0">
            <w:pPr>
              <w:pStyle w:val="11"/>
            </w:pPr>
          </w:p>
        </w:tc>
      </w:tr>
      <w:tr w14:paraId="6A1AB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F8037">
            <w:pPr>
              <w:pStyle w:val="13"/>
            </w:pPr>
            <w:r>
              <w:t>9</w:t>
            </w:r>
          </w:p>
        </w:tc>
        <w:tc>
          <w:tcPr>
            <w:tcW w:w="1191" w:type="dxa"/>
            <w:vAlign w:val="center"/>
          </w:tcPr>
          <w:p w14:paraId="53009ECE">
            <w:pPr>
              <w:pStyle w:val="12"/>
            </w:pPr>
            <w:r>
              <w:t>30113</w:t>
            </w:r>
          </w:p>
        </w:tc>
        <w:tc>
          <w:tcPr>
            <w:tcW w:w="4535" w:type="dxa"/>
            <w:vAlign w:val="center"/>
          </w:tcPr>
          <w:p w14:paraId="5817CC99">
            <w:pPr>
              <w:pStyle w:val="12"/>
            </w:pPr>
            <w:r>
              <w:t>住房公积金</w:t>
            </w:r>
          </w:p>
        </w:tc>
        <w:tc>
          <w:tcPr>
            <w:tcW w:w="2551" w:type="dxa"/>
            <w:vAlign w:val="center"/>
          </w:tcPr>
          <w:p w14:paraId="3E83B514">
            <w:pPr>
              <w:pStyle w:val="11"/>
            </w:pPr>
            <w:r>
              <w:t>290.16</w:t>
            </w:r>
          </w:p>
        </w:tc>
        <w:tc>
          <w:tcPr>
            <w:tcW w:w="2551" w:type="dxa"/>
            <w:vAlign w:val="center"/>
          </w:tcPr>
          <w:p w14:paraId="71FCA713">
            <w:pPr>
              <w:pStyle w:val="11"/>
            </w:pPr>
            <w:r>
              <w:t>290.16</w:t>
            </w:r>
          </w:p>
        </w:tc>
        <w:tc>
          <w:tcPr>
            <w:tcW w:w="2551" w:type="dxa"/>
            <w:vAlign w:val="center"/>
          </w:tcPr>
          <w:p w14:paraId="4670A27F">
            <w:pPr>
              <w:pStyle w:val="11"/>
            </w:pPr>
          </w:p>
        </w:tc>
      </w:tr>
      <w:tr w14:paraId="523A9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2376">
            <w:pPr>
              <w:pStyle w:val="13"/>
            </w:pPr>
            <w:r>
              <w:t>10</w:t>
            </w:r>
          </w:p>
        </w:tc>
        <w:tc>
          <w:tcPr>
            <w:tcW w:w="1191" w:type="dxa"/>
            <w:vAlign w:val="center"/>
          </w:tcPr>
          <w:p w14:paraId="3210174B">
            <w:pPr>
              <w:pStyle w:val="12"/>
            </w:pPr>
            <w:r>
              <w:t>303</w:t>
            </w:r>
          </w:p>
        </w:tc>
        <w:tc>
          <w:tcPr>
            <w:tcW w:w="4535" w:type="dxa"/>
            <w:vAlign w:val="center"/>
          </w:tcPr>
          <w:p w14:paraId="04471E0F">
            <w:pPr>
              <w:pStyle w:val="12"/>
            </w:pPr>
            <w:r>
              <w:t>对个人和家庭的补助</w:t>
            </w:r>
          </w:p>
        </w:tc>
        <w:tc>
          <w:tcPr>
            <w:tcW w:w="2551" w:type="dxa"/>
            <w:vAlign w:val="center"/>
          </w:tcPr>
          <w:p w14:paraId="58CC861C">
            <w:pPr>
              <w:pStyle w:val="11"/>
            </w:pPr>
            <w:r>
              <w:t>523.70</w:t>
            </w:r>
          </w:p>
        </w:tc>
        <w:tc>
          <w:tcPr>
            <w:tcW w:w="2551" w:type="dxa"/>
            <w:vAlign w:val="center"/>
          </w:tcPr>
          <w:p w14:paraId="419C7E6C">
            <w:pPr>
              <w:pStyle w:val="11"/>
            </w:pPr>
            <w:r>
              <w:t>523.70</w:t>
            </w:r>
          </w:p>
        </w:tc>
        <w:tc>
          <w:tcPr>
            <w:tcW w:w="2551" w:type="dxa"/>
            <w:vAlign w:val="center"/>
          </w:tcPr>
          <w:p w14:paraId="7458B4DE">
            <w:pPr>
              <w:pStyle w:val="11"/>
            </w:pPr>
          </w:p>
        </w:tc>
      </w:tr>
      <w:tr w14:paraId="2B0A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48A5">
            <w:pPr>
              <w:pStyle w:val="13"/>
            </w:pPr>
            <w:r>
              <w:t>11</w:t>
            </w:r>
          </w:p>
        </w:tc>
        <w:tc>
          <w:tcPr>
            <w:tcW w:w="1191" w:type="dxa"/>
            <w:vAlign w:val="center"/>
          </w:tcPr>
          <w:p w14:paraId="64569FF0">
            <w:pPr>
              <w:pStyle w:val="12"/>
            </w:pPr>
            <w:r>
              <w:t>30302</w:t>
            </w:r>
          </w:p>
        </w:tc>
        <w:tc>
          <w:tcPr>
            <w:tcW w:w="4535" w:type="dxa"/>
            <w:vAlign w:val="center"/>
          </w:tcPr>
          <w:p w14:paraId="69739F55">
            <w:pPr>
              <w:pStyle w:val="12"/>
            </w:pPr>
            <w:r>
              <w:t>退休费</w:t>
            </w:r>
          </w:p>
        </w:tc>
        <w:tc>
          <w:tcPr>
            <w:tcW w:w="2551" w:type="dxa"/>
            <w:vAlign w:val="center"/>
          </w:tcPr>
          <w:p w14:paraId="4E5BEB9B">
            <w:pPr>
              <w:pStyle w:val="11"/>
            </w:pPr>
            <w:r>
              <w:t>506.82</w:t>
            </w:r>
          </w:p>
        </w:tc>
        <w:tc>
          <w:tcPr>
            <w:tcW w:w="2551" w:type="dxa"/>
            <w:vAlign w:val="center"/>
          </w:tcPr>
          <w:p w14:paraId="5086549A">
            <w:pPr>
              <w:pStyle w:val="11"/>
            </w:pPr>
            <w:r>
              <w:t>506.82</w:t>
            </w:r>
          </w:p>
        </w:tc>
        <w:tc>
          <w:tcPr>
            <w:tcW w:w="2551" w:type="dxa"/>
            <w:vAlign w:val="center"/>
          </w:tcPr>
          <w:p w14:paraId="57C9885A">
            <w:pPr>
              <w:pStyle w:val="11"/>
            </w:pPr>
          </w:p>
        </w:tc>
      </w:tr>
      <w:tr w14:paraId="1096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D2FE">
            <w:pPr>
              <w:pStyle w:val="13"/>
            </w:pPr>
            <w:r>
              <w:t>12</w:t>
            </w:r>
          </w:p>
        </w:tc>
        <w:tc>
          <w:tcPr>
            <w:tcW w:w="1191" w:type="dxa"/>
            <w:vAlign w:val="center"/>
          </w:tcPr>
          <w:p w14:paraId="79CB8824">
            <w:pPr>
              <w:pStyle w:val="12"/>
            </w:pPr>
            <w:r>
              <w:t>30305</w:t>
            </w:r>
          </w:p>
        </w:tc>
        <w:tc>
          <w:tcPr>
            <w:tcW w:w="4535" w:type="dxa"/>
            <w:vAlign w:val="center"/>
          </w:tcPr>
          <w:p w14:paraId="734217F6">
            <w:pPr>
              <w:pStyle w:val="12"/>
            </w:pPr>
            <w:r>
              <w:t>生活补助</w:t>
            </w:r>
          </w:p>
        </w:tc>
        <w:tc>
          <w:tcPr>
            <w:tcW w:w="2551" w:type="dxa"/>
            <w:vAlign w:val="center"/>
          </w:tcPr>
          <w:p w14:paraId="550CDD22">
            <w:pPr>
              <w:pStyle w:val="11"/>
            </w:pPr>
            <w:r>
              <w:t>16.88</w:t>
            </w:r>
          </w:p>
        </w:tc>
        <w:tc>
          <w:tcPr>
            <w:tcW w:w="2551" w:type="dxa"/>
            <w:vAlign w:val="center"/>
          </w:tcPr>
          <w:p w14:paraId="039D52E0">
            <w:pPr>
              <w:pStyle w:val="11"/>
            </w:pPr>
            <w:r>
              <w:t>16.88</w:t>
            </w:r>
          </w:p>
        </w:tc>
        <w:tc>
          <w:tcPr>
            <w:tcW w:w="2551" w:type="dxa"/>
            <w:vAlign w:val="center"/>
          </w:tcPr>
          <w:p w14:paraId="195DB810">
            <w:pPr>
              <w:pStyle w:val="11"/>
            </w:pPr>
          </w:p>
        </w:tc>
      </w:tr>
    </w:tbl>
    <w:p w14:paraId="6631070F">
      <w:pPr>
        <w:sectPr>
          <w:pgSz w:w="16840" w:h="11900" w:orient="landscape"/>
          <w:pgMar w:top="1361" w:right="1020" w:bottom="1134" w:left="1020" w:header="720" w:footer="720" w:gutter="0"/>
          <w:cols w:space="720" w:num="1"/>
        </w:sectPr>
      </w:pPr>
    </w:p>
    <w:p w14:paraId="4B0510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7C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2F7651">
            <w:pPr>
              <w:pStyle w:val="9"/>
            </w:pPr>
            <w:r>
              <w:t>360016隆尧县城关校区</w:t>
            </w:r>
          </w:p>
        </w:tc>
        <w:tc>
          <w:tcPr>
            <w:tcW w:w="2551" w:type="dxa"/>
            <w:tcBorders>
              <w:top w:val="single" w:color="FFFFFF" w:sz="6" w:space="0"/>
              <w:left w:val="single" w:color="FFFFFF" w:sz="6" w:space="0"/>
              <w:right w:val="single" w:color="FFFFFF" w:sz="6" w:space="0"/>
            </w:tcBorders>
            <w:vAlign w:val="center"/>
          </w:tcPr>
          <w:p w14:paraId="7DB0AA6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41AE51">
            <w:pPr>
              <w:pStyle w:val="7"/>
            </w:pPr>
            <w:r>
              <w:t>单位：万元</w:t>
            </w:r>
          </w:p>
        </w:tc>
      </w:tr>
      <w:tr w14:paraId="18B3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1942E0">
            <w:pPr>
              <w:pStyle w:val="10"/>
            </w:pPr>
            <w:r>
              <w:t>序号</w:t>
            </w:r>
          </w:p>
        </w:tc>
        <w:tc>
          <w:tcPr>
            <w:tcW w:w="5726" w:type="dxa"/>
            <w:gridSpan w:val="2"/>
            <w:vAlign w:val="center"/>
          </w:tcPr>
          <w:p w14:paraId="1BB98054">
            <w:pPr>
              <w:pStyle w:val="10"/>
            </w:pPr>
            <w:r>
              <w:t>功能分类科目</w:t>
            </w:r>
          </w:p>
        </w:tc>
        <w:tc>
          <w:tcPr>
            <w:tcW w:w="2551" w:type="dxa"/>
            <w:vMerge w:val="restart"/>
            <w:vAlign w:val="center"/>
          </w:tcPr>
          <w:p w14:paraId="60AA3247">
            <w:pPr>
              <w:pStyle w:val="10"/>
            </w:pPr>
            <w:r>
              <w:t>合计</w:t>
            </w:r>
          </w:p>
        </w:tc>
        <w:tc>
          <w:tcPr>
            <w:tcW w:w="2551" w:type="dxa"/>
            <w:vMerge w:val="restart"/>
            <w:vAlign w:val="center"/>
          </w:tcPr>
          <w:p w14:paraId="1F7C5EEE">
            <w:pPr>
              <w:pStyle w:val="10"/>
            </w:pPr>
            <w:r>
              <w:t>基本支出</w:t>
            </w:r>
          </w:p>
        </w:tc>
        <w:tc>
          <w:tcPr>
            <w:tcW w:w="2551" w:type="dxa"/>
            <w:vMerge w:val="restart"/>
            <w:vAlign w:val="center"/>
          </w:tcPr>
          <w:p w14:paraId="036C0305">
            <w:pPr>
              <w:pStyle w:val="10"/>
            </w:pPr>
            <w:r>
              <w:t>项目支出</w:t>
            </w:r>
          </w:p>
        </w:tc>
      </w:tr>
      <w:tr w14:paraId="54730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F61EDC"/>
        </w:tc>
        <w:tc>
          <w:tcPr>
            <w:tcW w:w="1191" w:type="dxa"/>
            <w:vAlign w:val="center"/>
          </w:tcPr>
          <w:p w14:paraId="6AAA380D">
            <w:pPr>
              <w:pStyle w:val="10"/>
            </w:pPr>
            <w:r>
              <w:t>科目编码</w:t>
            </w:r>
          </w:p>
        </w:tc>
        <w:tc>
          <w:tcPr>
            <w:tcW w:w="4535" w:type="dxa"/>
            <w:vAlign w:val="center"/>
          </w:tcPr>
          <w:p w14:paraId="15FFDEAC">
            <w:pPr>
              <w:pStyle w:val="10"/>
            </w:pPr>
            <w:r>
              <w:t>科目名称</w:t>
            </w:r>
          </w:p>
        </w:tc>
        <w:tc>
          <w:tcPr>
            <w:tcW w:w="2551" w:type="dxa"/>
            <w:vMerge w:val="continue"/>
          </w:tcPr>
          <w:p w14:paraId="3673AB40"/>
        </w:tc>
        <w:tc>
          <w:tcPr>
            <w:tcW w:w="2551" w:type="dxa"/>
            <w:vMerge w:val="continue"/>
          </w:tcPr>
          <w:p w14:paraId="699046EE"/>
        </w:tc>
        <w:tc>
          <w:tcPr>
            <w:tcW w:w="2551" w:type="dxa"/>
            <w:vMerge w:val="continue"/>
          </w:tcPr>
          <w:p w14:paraId="0840B425"/>
        </w:tc>
      </w:tr>
      <w:tr w14:paraId="2B41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F06839">
            <w:pPr>
              <w:pStyle w:val="10"/>
            </w:pPr>
            <w:r>
              <w:t>栏次</w:t>
            </w:r>
          </w:p>
        </w:tc>
        <w:tc>
          <w:tcPr>
            <w:tcW w:w="1191" w:type="dxa"/>
            <w:vAlign w:val="center"/>
          </w:tcPr>
          <w:p w14:paraId="268FD5D1">
            <w:pPr>
              <w:pStyle w:val="10"/>
            </w:pPr>
            <w:r>
              <w:t>1</w:t>
            </w:r>
          </w:p>
        </w:tc>
        <w:tc>
          <w:tcPr>
            <w:tcW w:w="4535" w:type="dxa"/>
            <w:vAlign w:val="center"/>
          </w:tcPr>
          <w:p w14:paraId="789D680F">
            <w:pPr>
              <w:pStyle w:val="10"/>
            </w:pPr>
            <w:r>
              <w:t>2</w:t>
            </w:r>
          </w:p>
        </w:tc>
        <w:tc>
          <w:tcPr>
            <w:tcW w:w="2551" w:type="dxa"/>
            <w:vAlign w:val="center"/>
          </w:tcPr>
          <w:p w14:paraId="0F5BD970">
            <w:pPr>
              <w:pStyle w:val="10"/>
            </w:pPr>
            <w:r>
              <w:t>3</w:t>
            </w:r>
          </w:p>
        </w:tc>
        <w:tc>
          <w:tcPr>
            <w:tcW w:w="2551" w:type="dxa"/>
            <w:vAlign w:val="center"/>
          </w:tcPr>
          <w:p w14:paraId="6B574A16">
            <w:pPr>
              <w:pStyle w:val="10"/>
            </w:pPr>
            <w:r>
              <w:t>4</w:t>
            </w:r>
          </w:p>
        </w:tc>
        <w:tc>
          <w:tcPr>
            <w:tcW w:w="2551" w:type="dxa"/>
            <w:vAlign w:val="center"/>
          </w:tcPr>
          <w:p w14:paraId="3EC700D3">
            <w:pPr>
              <w:pStyle w:val="10"/>
            </w:pPr>
            <w:r>
              <w:t>5</w:t>
            </w:r>
          </w:p>
        </w:tc>
      </w:tr>
      <w:tr w14:paraId="3889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842AE">
            <w:pPr>
              <w:pStyle w:val="13"/>
            </w:pPr>
          </w:p>
        </w:tc>
        <w:tc>
          <w:tcPr>
            <w:tcW w:w="1191" w:type="dxa"/>
            <w:vAlign w:val="center"/>
          </w:tcPr>
          <w:p w14:paraId="1D8E5C3D">
            <w:pPr>
              <w:pStyle w:val="12"/>
            </w:pPr>
          </w:p>
        </w:tc>
        <w:tc>
          <w:tcPr>
            <w:tcW w:w="4535" w:type="dxa"/>
            <w:vAlign w:val="center"/>
          </w:tcPr>
          <w:p w14:paraId="19B3DFDB">
            <w:pPr>
              <w:pStyle w:val="12"/>
            </w:pPr>
          </w:p>
        </w:tc>
        <w:tc>
          <w:tcPr>
            <w:tcW w:w="2551" w:type="dxa"/>
            <w:vAlign w:val="center"/>
          </w:tcPr>
          <w:p w14:paraId="2CB5635A">
            <w:pPr>
              <w:pStyle w:val="11"/>
            </w:pPr>
          </w:p>
        </w:tc>
        <w:tc>
          <w:tcPr>
            <w:tcW w:w="2551" w:type="dxa"/>
            <w:vAlign w:val="center"/>
          </w:tcPr>
          <w:p w14:paraId="70DDEC9B">
            <w:pPr>
              <w:pStyle w:val="11"/>
            </w:pPr>
          </w:p>
        </w:tc>
        <w:tc>
          <w:tcPr>
            <w:tcW w:w="2551" w:type="dxa"/>
            <w:vAlign w:val="center"/>
          </w:tcPr>
          <w:p w14:paraId="22569FEA">
            <w:pPr>
              <w:pStyle w:val="11"/>
            </w:pPr>
          </w:p>
        </w:tc>
      </w:tr>
    </w:tbl>
    <w:p w14:paraId="13FB96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10BD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A4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5A328E">
            <w:pPr>
              <w:pStyle w:val="9"/>
            </w:pPr>
            <w:r>
              <w:t>360016隆尧县城关校区</w:t>
            </w:r>
          </w:p>
        </w:tc>
        <w:tc>
          <w:tcPr>
            <w:tcW w:w="2551" w:type="dxa"/>
            <w:tcBorders>
              <w:top w:val="single" w:color="FFFFFF" w:sz="6" w:space="0"/>
              <w:left w:val="single" w:color="FFFFFF" w:sz="6" w:space="0"/>
              <w:right w:val="single" w:color="FFFFFF" w:sz="6" w:space="0"/>
            </w:tcBorders>
            <w:vAlign w:val="center"/>
          </w:tcPr>
          <w:p w14:paraId="29BCE1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BAAF00">
            <w:pPr>
              <w:pStyle w:val="7"/>
            </w:pPr>
            <w:r>
              <w:t>单位：万元</w:t>
            </w:r>
          </w:p>
        </w:tc>
      </w:tr>
      <w:tr w14:paraId="6A9F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DA6540">
            <w:pPr>
              <w:pStyle w:val="10"/>
            </w:pPr>
            <w:r>
              <w:t>序号</w:t>
            </w:r>
          </w:p>
        </w:tc>
        <w:tc>
          <w:tcPr>
            <w:tcW w:w="5726" w:type="dxa"/>
            <w:gridSpan w:val="2"/>
            <w:vAlign w:val="center"/>
          </w:tcPr>
          <w:p w14:paraId="6AB085EE">
            <w:pPr>
              <w:pStyle w:val="10"/>
            </w:pPr>
            <w:r>
              <w:t>功能分类科目</w:t>
            </w:r>
          </w:p>
        </w:tc>
        <w:tc>
          <w:tcPr>
            <w:tcW w:w="2551" w:type="dxa"/>
            <w:vMerge w:val="restart"/>
            <w:vAlign w:val="center"/>
          </w:tcPr>
          <w:p w14:paraId="0324F897">
            <w:pPr>
              <w:pStyle w:val="10"/>
            </w:pPr>
            <w:r>
              <w:t>合计</w:t>
            </w:r>
          </w:p>
        </w:tc>
        <w:tc>
          <w:tcPr>
            <w:tcW w:w="2551" w:type="dxa"/>
            <w:vMerge w:val="restart"/>
            <w:vAlign w:val="center"/>
          </w:tcPr>
          <w:p w14:paraId="502FD4C6">
            <w:pPr>
              <w:pStyle w:val="10"/>
            </w:pPr>
            <w:r>
              <w:t>基本支出</w:t>
            </w:r>
          </w:p>
        </w:tc>
        <w:tc>
          <w:tcPr>
            <w:tcW w:w="2551" w:type="dxa"/>
            <w:vMerge w:val="restart"/>
            <w:vAlign w:val="center"/>
          </w:tcPr>
          <w:p w14:paraId="6B0C27B3">
            <w:pPr>
              <w:pStyle w:val="10"/>
            </w:pPr>
            <w:r>
              <w:t>项目支出</w:t>
            </w:r>
          </w:p>
        </w:tc>
      </w:tr>
      <w:tr w14:paraId="449C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47DE8"/>
        </w:tc>
        <w:tc>
          <w:tcPr>
            <w:tcW w:w="1191" w:type="dxa"/>
            <w:vAlign w:val="center"/>
          </w:tcPr>
          <w:p w14:paraId="04EF180B">
            <w:pPr>
              <w:pStyle w:val="10"/>
            </w:pPr>
            <w:r>
              <w:t>科目编码</w:t>
            </w:r>
          </w:p>
        </w:tc>
        <w:tc>
          <w:tcPr>
            <w:tcW w:w="4535" w:type="dxa"/>
            <w:vAlign w:val="center"/>
          </w:tcPr>
          <w:p w14:paraId="27FB64A7">
            <w:pPr>
              <w:pStyle w:val="10"/>
            </w:pPr>
            <w:r>
              <w:t>科目名称</w:t>
            </w:r>
          </w:p>
        </w:tc>
        <w:tc>
          <w:tcPr>
            <w:tcW w:w="2551" w:type="dxa"/>
            <w:vMerge w:val="continue"/>
          </w:tcPr>
          <w:p w14:paraId="1E5BF883"/>
        </w:tc>
        <w:tc>
          <w:tcPr>
            <w:tcW w:w="2551" w:type="dxa"/>
            <w:vMerge w:val="continue"/>
          </w:tcPr>
          <w:p w14:paraId="261E75A7"/>
        </w:tc>
        <w:tc>
          <w:tcPr>
            <w:tcW w:w="2551" w:type="dxa"/>
            <w:vMerge w:val="continue"/>
          </w:tcPr>
          <w:p w14:paraId="3665EEC2"/>
        </w:tc>
      </w:tr>
      <w:tr w14:paraId="6A270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9698C">
            <w:pPr>
              <w:pStyle w:val="10"/>
            </w:pPr>
            <w:r>
              <w:t>栏次</w:t>
            </w:r>
          </w:p>
        </w:tc>
        <w:tc>
          <w:tcPr>
            <w:tcW w:w="1191" w:type="dxa"/>
            <w:vAlign w:val="center"/>
          </w:tcPr>
          <w:p w14:paraId="47A53008">
            <w:pPr>
              <w:pStyle w:val="10"/>
            </w:pPr>
            <w:r>
              <w:t>1</w:t>
            </w:r>
          </w:p>
        </w:tc>
        <w:tc>
          <w:tcPr>
            <w:tcW w:w="4535" w:type="dxa"/>
            <w:vAlign w:val="center"/>
          </w:tcPr>
          <w:p w14:paraId="13B27725">
            <w:pPr>
              <w:pStyle w:val="10"/>
            </w:pPr>
            <w:r>
              <w:t>2</w:t>
            </w:r>
          </w:p>
        </w:tc>
        <w:tc>
          <w:tcPr>
            <w:tcW w:w="2551" w:type="dxa"/>
            <w:vAlign w:val="center"/>
          </w:tcPr>
          <w:p w14:paraId="13E67BD8">
            <w:pPr>
              <w:pStyle w:val="10"/>
            </w:pPr>
            <w:r>
              <w:t>3</w:t>
            </w:r>
          </w:p>
        </w:tc>
        <w:tc>
          <w:tcPr>
            <w:tcW w:w="2551" w:type="dxa"/>
            <w:vAlign w:val="center"/>
          </w:tcPr>
          <w:p w14:paraId="7417748F">
            <w:pPr>
              <w:pStyle w:val="10"/>
            </w:pPr>
            <w:r>
              <w:t>4</w:t>
            </w:r>
          </w:p>
        </w:tc>
        <w:tc>
          <w:tcPr>
            <w:tcW w:w="2551" w:type="dxa"/>
            <w:vAlign w:val="center"/>
          </w:tcPr>
          <w:p w14:paraId="0561CE73">
            <w:pPr>
              <w:pStyle w:val="10"/>
            </w:pPr>
            <w:r>
              <w:t>5</w:t>
            </w:r>
          </w:p>
        </w:tc>
      </w:tr>
      <w:tr w14:paraId="3FDE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6B761">
            <w:pPr>
              <w:pStyle w:val="13"/>
            </w:pPr>
          </w:p>
        </w:tc>
        <w:tc>
          <w:tcPr>
            <w:tcW w:w="1191" w:type="dxa"/>
            <w:vAlign w:val="center"/>
          </w:tcPr>
          <w:p w14:paraId="65AF172E">
            <w:pPr>
              <w:pStyle w:val="12"/>
            </w:pPr>
          </w:p>
        </w:tc>
        <w:tc>
          <w:tcPr>
            <w:tcW w:w="4535" w:type="dxa"/>
            <w:vAlign w:val="center"/>
          </w:tcPr>
          <w:p w14:paraId="54B1C644">
            <w:pPr>
              <w:pStyle w:val="12"/>
            </w:pPr>
          </w:p>
        </w:tc>
        <w:tc>
          <w:tcPr>
            <w:tcW w:w="2551" w:type="dxa"/>
            <w:vAlign w:val="center"/>
          </w:tcPr>
          <w:p w14:paraId="78A07719">
            <w:pPr>
              <w:pStyle w:val="11"/>
            </w:pPr>
          </w:p>
        </w:tc>
        <w:tc>
          <w:tcPr>
            <w:tcW w:w="2551" w:type="dxa"/>
            <w:vAlign w:val="center"/>
          </w:tcPr>
          <w:p w14:paraId="49B74D41">
            <w:pPr>
              <w:pStyle w:val="11"/>
            </w:pPr>
          </w:p>
        </w:tc>
        <w:tc>
          <w:tcPr>
            <w:tcW w:w="2551" w:type="dxa"/>
            <w:vAlign w:val="center"/>
          </w:tcPr>
          <w:p w14:paraId="5C0D5251">
            <w:pPr>
              <w:pStyle w:val="11"/>
            </w:pPr>
          </w:p>
        </w:tc>
      </w:tr>
    </w:tbl>
    <w:p w14:paraId="77A1D3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768F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3EF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873C54">
            <w:pPr>
              <w:pStyle w:val="9"/>
            </w:pPr>
            <w:r>
              <w:t>360016隆尧县城关校区</w:t>
            </w:r>
          </w:p>
        </w:tc>
        <w:tc>
          <w:tcPr>
            <w:tcW w:w="2381" w:type="dxa"/>
            <w:tcBorders>
              <w:top w:val="single" w:color="FFFFFF" w:sz="6" w:space="0"/>
              <w:left w:val="single" w:color="FFFFFF" w:sz="6" w:space="0"/>
              <w:right w:val="single" w:color="FFFFFF" w:sz="6" w:space="0"/>
            </w:tcBorders>
            <w:vAlign w:val="center"/>
          </w:tcPr>
          <w:p w14:paraId="2714E4F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8DD27AB">
            <w:pPr>
              <w:pStyle w:val="7"/>
            </w:pPr>
            <w:r>
              <w:t>单位：万元</w:t>
            </w:r>
          </w:p>
        </w:tc>
      </w:tr>
      <w:tr w14:paraId="32A4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31111">
            <w:pPr>
              <w:pStyle w:val="10"/>
            </w:pPr>
            <w:r>
              <w:t>序号</w:t>
            </w:r>
          </w:p>
        </w:tc>
        <w:tc>
          <w:tcPr>
            <w:tcW w:w="3798" w:type="dxa"/>
            <w:vMerge w:val="restart"/>
            <w:vAlign w:val="center"/>
          </w:tcPr>
          <w:p w14:paraId="25278703">
            <w:pPr>
              <w:pStyle w:val="10"/>
            </w:pPr>
            <w:r>
              <w:t>项  目</w:t>
            </w:r>
          </w:p>
        </w:tc>
        <w:tc>
          <w:tcPr>
            <w:tcW w:w="9524" w:type="dxa"/>
            <w:gridSpan w:val="4"/>
            <w:vAlign w:val="center"/>
          </w:tcPr>
          <w:p w14:paraId="6211F5B6">
            <w:pPr>
              <w:pStyle w:val="10"/>
            </w:pPr>
            <w:r>
              <w:t>资 金 性 质</w:t>
            </w:r>
          </w:p>
        </w:tc>
      </w:tr>
      <w:tr w14:paraId="5B98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8D2408"/>
        </w:tc>
        <w:tc>
          <w:tcPr>
            <w:tcW w:w="3798" w:type="dxa"/>
            <w:vMerge w:val="continue"/>
          </w:tcPr>
          <w:p w14:paraId="7FE06D5C"/>
        </w:tc>
        <w:tc>
          <w:tcPr>
            <w:tcW w:w="2381" w:type="dxa"/>
            <w:vAlign w:val="center"/>
          </w:tcPr>
          <w:p w14:paraId="533DA53B">
            <w:pPr>
              <w:pStyle w:val="10"/>
            </w:pPr>
            <w:r>
              <w:t>合计</w:t>
            </w:r>
          </w:p>
        </w:tc>
        <w:tc>
          <w:tcPr>
            <w:tcW w:w="2381" w:type="dxa"/>
            <w:vAlign w:val="center"/>
          </w:tcPr>
          <w:p w14:paraId="129A8A15">
            <w:pPr>
              <w:pStyle w:val="10"/>
            </w:pPr>
            <w:r>
              <w:t>一般公共预算              财政拨款</w:t>
            </w:r>
          </w:p>
        </w:tc>
        <w:tc>
          <w:tcPr>
            <w:tcW w:w="2381" w:type="dxa"/>
            <w:vAlign w:val="center"/>
          </w:tcPr>
          <w:p w14:paraId="5617A057">
            <w:pPr>
              <w:pStyle w:val="10"/>
            </w:pPr>
            <w:r>
              <w:t>政府性基金                  预算拨款</w:t>
            </w:r>
          </w:p>
        </w:tc>
        <w:tc>
          <w:tcPr>
            <w:tcW w:w="2381" w:type="dxa"/>
            <w:vAlign w:val="center"/>
          </w:tcPr>
          <w:p w14:paraId="0626987B">
            <w:pPr>
              <w:pStyle w:val="10"/>
            </w:pPr>
            <w:r>
              <w:t>国有资本经营              预算财政拨款</w:t>
            </w:r>
          </w:p>
        </w:tc>
      </w:tr>
      <w:tr w14:paraId="67595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208AF9">
            <w:pPr>
              <w:pStyle w:val="10"/>
            </w:pPr>
            <w:r>
              <w:t>栏次</w:t>
            </w:r>
          </w:p>
        </w:tc>
        <w:tc>
          <w:tcPr>
            <w:tcW w:w="3798" w:type="dxa"/>
            <w:vAlign w:val="center"/>
          </w:tcPr>
          <w:p w14:paraId="59776473">
            <w:pPr>
              <w:pStyle w:val="10"/>
            </w:pPr>
            <w:r>
              <w:t>1</w:t>
            </w:r>
          </w:p>
        </w:tc>
        <w:tc>
          <w:tcPr>
            <w:tcW w:w="2381" w:type="dxa"/>
            <w:vAlign w:val="center"/>
          </w:tcPr>
          <w:p w14:paraId="0E7F5713">
            <w:pPr>
              <w:pStyle w:val="10"/>
            </w:pPr>
            <w:r>
              <w:t>2</w:t>
            </w:r>
          </w:p>
        </w:tc>
        <w:tc>
          <w:tcPr>
            <w:tcW w:w="2381" w:type="dxa"/>
            <w:vAlign w:val="center"/>
          </w:tcPr>
          <w:p w14:paraId="3D635EAA">
            <w:pPr>
              <w:pStyle w:val="10"/>
            </w:pPr>
            <w:r>
              <w:t>3</w:t>
            </w:r>
          </w:p>
        </w:tc>
        <w:tc>
          <w:tcPr>
            <w:tcW w:w="2381" w:type="dxa"/>
            <w:vAlign w:val="center"/>
          </w:tcPr>
          <w:p w14:paraId="65BE962D">
            <w:pPr>
              <w:pStyle w:val="10"/>
            </w:pPr>
            <w:r>
              <w:t>4</w:t>
            </w:r>
          </w:p>
        </w:tc>
        <w:tc>
          <w:tcPr>
            <w:tcW w:w="2381" w:type="dxa"/>
            <w:vAlign w:val="center"/>
          </w:tcPr>
          <w:p w14:paraId="6FFC35DB">
            <w:pPr>
              <w:pStyle w:val="10"/>
            </w:pPr>
            <w:r>
              <w:t>5</w:t>
            </w:r>
          </w:p>
        </w:tc>
      </w:tr>
      <w:tr w14:paraId="7F98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E1DC45">
            <w:pPr>
              <w:pStyle w:val="13"/>
            </w:pPr>
          </w:p>
        </w:tc>
        <w:tc>
          <w:tcPr>
            <w:tcW w:w="3798" w:type="dxa"/>
            <w:vAlign w:val="center"/>
          </w:tcPr>
          <w:p w14:paraId="109A6064">
            <w:pPr>
              <w:pStyle w:val="12"/>
            </w:pPr>
          </w:p>
        </w:tc>
        <w:tc>
          <w:tcPr>
            <w:tcW w:w="2381" w:type="dxa"/>
            <w:vAlign w:val="center"/>
          </w:tcPr>
          <w:p w14:paraId="0855D24D">
            <w:pPr>
              <w:pStyle w:val="11"/>
            </w:pPr>
          </w:p>
        </w:tc>
        <w:tc>
          <w:tcPr>
            <w:tcW w:w="2381" w:type="dxa"/>
            <w:vAlign w:val="center"/>
          </w:tcPr>
          <w:p w14:paraId="62780454">
            <w:pPr>
              <w:pStyle w:val="11"/>
            </w:pPr>
          </w:p>
        </w:tc>
        <w:tc>
          <w:tcPr>
            <w:tcW w:w="2381" w:type="dxa"/>
            <w:vAlign w:val="center"/>
          </w:tcPr>
          <w:p w14:paraId="0F3866AA">
            <w:pPr>
              <w:pStyle w:val="11"/>
            </w:pPr>
          </w:p>
        </w:tc>
        <w:tc>
          <w:tcPr>
            <w:tcW w:w="2381" w:type="dxa"/>
            <w:vAlign w:val="center"/>
          </w:tcPr>
          <w:p w14:paraId="753CA6C8">
            <w:pPr>
              <w:pStyle w:val="11"/>
            </w:pPr>
          </w:p>
        </w:tc>
      </w:tr>
    </w:tbl>
    <w:p w14:paraId="7B1EC4A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134811">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隆尧县城关校区2026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19A85BF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地方预决算公开操作规程》和《关于进一步推进预算公开工作的实施意见》规定，现将隆尧县城关校区2026年单位预算公开如下：</w:t>
      </w:r>
    </w:p>
    <w:p w14:paraId="04FAA435">
      <w:pPr>
        <w:spacing w:before="10" w:after="10" w:line="240" w:lineRule="auto"/>
        <w:ind w:firstLine="640"/>
        <w:jc w:val="left"/>
        <w:outlineLvl w:val="5"/>
      </w:pPr>
      <w:r>
        <w:rPr>
          <w:rFonts w:ascii="黑体" w:hAnsi="黑体" w:eastAsia="黑体" w:cs="黑体"/>
          <w:color w:val="000000"/>
          <w:sz w:val="32"/>
        </w:rPr>
        <w:t>一、单位职责及机构设置情况</w:t>
      </w:r>
    </w:p>
    <w:p w14:paraId="64C4B40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92D7AA">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贯彻落实基础教育的方针、政策，开展小学阶段教育教学工作，促进学生德、智、体、美、劳全面发展；负责学生安全教育和管理，确保学生身心健康；加强教师队伍建设和管理，为教育教学工作提供保障。</w:t>
      </w:r>
    </w:p>
    <w:p w14:paraId="677D86A9">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隆尧县城关校区事业编制298名，其中，校长1名（副科级），副校长3名（副股级）；经费形式为财政性资金基本保证。</w:t>
      </w:r>
    </w:p>
    <w:p w14:paraId="4F8E4D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0828F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3F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3E99D2">
            <w:pPr>
              <w:pStyle w:val="10"/>
            </w:pPr>
            <w:r>
              <w:t>单位名称</w:t>
            </w:r>
          </w:p>
        </w:tc>
        <w:tc>
          <w:tcPr>
            <w:tcW w:w="1843" w:type="dxa"/>
            <w:vAlign w:val="center"/>
          </w:tcPr>
          <w:p w14:paraId="1CF222CC">
            <w:pPr>
              <w:pStyle w:val="10"/>
            </w:pPr>
            <w:r>
              <w:t>单位性质</w:t>
            </w:r>
          </w:p>
        </w:tc>
        <w:tc>
          <w:tcPr>
            <w:tcW w:w="2126" w:type="dxa"/>
            <w:vAlign w:val="center"/>
          </w:tcPr>
          <w:p w14:paraId="522910FB">
            <w:pPr>
              <w:pStyle w:val="10"/>
            </w:pPr>
            <w:r>
              <w:t>单位规格</w:t>
            </w:r>
          </w:p>
        </w:tc>
        <w:tc>
          <w:tcPr>
            <w:tcW w:w="3827" w:type="dxa"/>
            <w:vAlign w:val="center"/>
          </w:tcPr>
          <w:p w14:paraId="1D322B3C">
            <w:pPr>
              <w:pStyle w:val="10"/>
            </w:pPr>
            <w:r>
              <w:t>经费保障形式</w:t>
            </w:r>
          </w:p>
        </w:tc>
      </w:tr>
      <w:tr w14:paraId="4B25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B4B998">
            <w:pPr>
              <w:pStyle w:val="12"/>
            </w:pPr>
            <w:r>
              <w:t>隆尧县城关校区</w:t>
            </w:r>
          </w:p>
        </w:tc>
        <w:tc>
          <w:tcPr>
            <w:tcW w:w="1843" w:type="dxa"/>
            <w:vAlign w:val="center"/>
          </w:tcPr>
          <w:p w14:paraId="073E6B1A">
            <w:pPr>
              <w:pStyle w:val="13"/>
            </w:pPr>
            <w:r>
              <w:t>事业</w:t>
            </w:r>
          </w:p>
        </w:tc>
        <w:tc>
          <w:tcPr>
            <w:tcW w:w="2126" w:type="dxa"/>
            <w:vAlign w:val="center"/>
          </w:tcPr>
          <w:p w14:paraId="680FC245">
            <w:pPr>
              <w:pStyle w:val="13"/>
            </w:pPr>
            <w:r>
              <w:t>股级</w:t>
            </w:r>
          </w:p>
        </w:tc>
        <w:tc>
          <w:tcPr>
            <w:tcW w:w="3827" w:type="dxa"/>
            <w:vAlign w:val="center"/>
          </w:tcPr>
          <w:p w14:paraId="0AEB574A">
            <w:pPr>
              <w:pStyle w:val="13"/>
            </w:pPr>
            <w:r>
              <w:t>财政性资金基本保证</w:t>
            </w:r>
          </w:p>
        </w:tc>
      </w:tr>
    </w:tbl>
    <w:p w14:paraId="72848228">
      <w:pPr>
        <w:spacing w:before="10" w:after="10" w:line="240" w:lineRule="auto"/>
        <w:ind w:firstLine="640"/>
        <w:jc w:val="left"/>
        <w:outlineLvl w:val="5"/>
      </w:pPr>
      <w:r>
        <w:rPr>
          <w:rFonts w:ascii="黑体" w:hAnsi="黑体" w:eastAsia="黑体" w:cs="黑体"/>
          <w:color w:val="000000"/>
          <w:sz w:val="32"/>
        </w:rPr>
        <w:t>二、单位预算安排的总体情况</w:t>
      </w:r>
    </w:p>
    <w:p w14:paraId="58A35C76">
      <w:pPr>
        <w:pStyle w:val="18"/>
      </w:pPr>
      <w:r>
        <w:t>二、单位预算安排的总体情况</w:t>
      </w:r>
    </w:p>
    <w:p w14:paraId="036A20CC">
      <w:pPr>
        <w:pStyle w:val="18"/>
      </w:pPr>
      <w:r>
        <w:t>按照预算管理有关规定，目前我校区单位预算的编制实行综合预算管理，即全部收入和支出都反映的预算中。隆尧县城关校区的收支包含在单位预算中。</w:t>
      </w:r>
    </w:p>
    <w:p w14:paraId="2F3496B8">
      <w:pPr>
        <w:pStyle w:val="18"/>
      </w:pPr>
      <w:r>
        <w:t>1、收入说明</w:t>
      </w:r>
    </w:p>
    <w:p w14:paraId="5F19CBE6">
      <w:pPr>
        <w:pStyle w:val="18"/>
      </w:pPr>
      <w:r>
        <w:t>反映本单位当年全部收入。2026年预算收入6295.31万元，其中：一般公共预算收入6295.31万元，基金预算收入0万元，上年结转收入0万元，财政专户收入0万元，其他来源收入0万元。</w:t>
      </w:r>
    </w:p>
    <w:p w14:paraId="2600500D">
      <w:pPr>
        <w:pStyle w:val="18"/>
      </w:pPr>
      <w:r>
        <w:t>2、支出说明</w:t>
      </w:r>
    </w:p>
    <w:p w14:paraId="388D7B49">
      <w:pPr>
        <w:pStyle w:val="18"/>
      </w:pPr>
      <w:r>
        <w:t>收支预算总表支出栏、基本支出表、项目支出表按经济分类和支出功能分类科目编制，反映我单位预算中支出预算的总体情况。2026年单位支出预算为6295.31万元，其中基本支出4406.32万元；项目支出1888.99万元。</w:t>
      </w:r>
    </w:p>
    <w:p w14:paraId="74B348B7">
      <w:pPr>
        <w:pStyle w:val="18"/>
      </w:pPr>
      <w:r>
        <w:t>3、比上年增减情况</w:t>
      </w:r>
    </w:p>
    <w:p w14:paraId="24B49A1D">
      <w:pPr>
        <w:pStyle w:val="18"/>
      </w:pPr>
      <w:r>
        <w:t>2026年部门预算收支安排6295.31万元，较2025年预算增加207.7万元，其中基本支出减少226.38万元，项目支出增加434.08万元。</w:t>
      </w:r>
    </w:p>
    <w:p w14:paraId="6386DB08">
      <w:pPr>
        <w:spacing w:before="10" w:after="10" w:line="240" w:lineRule="auto"/>
        <w:ind w:firstLine="640"/>
        <w:jc w:val="left"/>
        <w:outlineLvl w:val="5"/>
      </w:pPr>
      <w:r>
        <w:rPr>
          <w:rFonts w:ascii="黑体" w:hAnsi="黑体" w:eastAsia="黑体" w:cs="黑体"/>
          <w:color w:val="000000"/>
          <w:sz w:val="32"/>
        </w:rPr>
        <w:t>三、机关运行经费安排情况</w:t>
      </w:r>
    </w:p>
    <w:p w14:paraId="7D18464C">
      <w:pPr>
        <w:pStyle w:val="19"/>
      </w:pPr>
      <w:r>
        <w:t>三、机关运行经费安排情况</w:t>
      </w:r>
    </w:p>
    <w:p w14:paraId="2D2BAA5D">
      <w:pPr>
        <w:pStyle w:val="19"/>
      </w:pPr>
      <w:r>
        <w:t>机关运行经费安排情况</w:t>
      </w:r>
    </w:p>
    <w:p w14:paraId="18C4EA0A">
      <w:pPr>
        <w:pStyle w:val="19"/>
      </w:pPr>
      <w:r>
        <w:t>2025年我单位机关运行经费安排0万元</w:t>
      </w:r>
    </w:p>
    <w:p w14:paraId="0B8560E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F1A3CE">
      <w:pPr>
        <w:pStyle w:val="20"/>
      </w:pPr>
      <w:r>
        <w:t>四、财政拨款“三公”经费预算情况及增减变化原因</w:t>
      </w:r>
    </w:p>
    <w:p w14:paraId="7A80E9F7">
      <w:pPr>
        <w:pStyle w:val="20"/>
      </w:pPr>
      <w:r>
        <w:t>我单位未安排</w:t>
      </w:r>
      <w:r>
        <w:rPr>
          <w:rFonts w:hint="eastAsia"/>
          <w:lang w:eastAsia="zh-CN"/>
        </w:rPr>
        <w:t>“三公”经费</w:t>
      </w:r>
      <w:r>
        <w:t>。</w:t>
      </w:r>
    </w:p>
    <w:p w14:paraId="5BC3827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DEB4858">
      <w:pPr>
        <w:spacing w:before="0" w:after="0"/>
        <w:ind w:firstLine="560"/>
        <w:jc w:val="left"/>
        <w:outlineLvl w:val="9"/>
      </w:pPr>
      <w:r>
        <w:rPr>
          <w:rFonts w:ascii="方正仿宋_GBK" w:hAnsi="方正仿宋_GBK" w:eastAsia="方正仿宋_GBK" w:cs="方正仿宋_GBK"/>
          <w:b/>
          <w:color w:val="000000"/>
          <w:sz w:val="28"/>
        </w:rPr>
        <w:t>1、城关校区德兴路小学设备购置资金绩效目标表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F4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4DAD7">
            <w:pPr>
              <w:pStyle w:val="11"/>
            </w:pPr>
            <w:r>
              <w:t>单位：万元</w:t>
            </w:r>
          </w:p>
        </w:tc>
      </w:tr>
      <w:tr w14:paraId="44E9E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4CD37">
            <w:pPr>
              <w:pStyle w:val="10"/>
            </w:pPr>
            <w:r>
              <w:t>项目编码</w:t>
            </w:r>
          </w:p>
        </w:tc>
        <w:tc>
          <w:tcPr>
            <w:tcW w:w="5103" w:type="dxa"/>
            <w:gridSpan w:val="2"/>
            <w:vAlign w:val="center"/>
          </w:tcPr>
          <w:p w14:paraId="1EAE1F26">
            <w:pPr>
              <w:pStyle w:val="12"/>
            </w:pPr>
            <w:r>
              <w:t>13052526P000002102482</w:t>
            </w:r>
          </w:p>
        </w:tc>
        <w:tc>
          <w:tcPr>
            <w:tcW w:w="2835" w:type="dxa"/>
            <w:vAlign w:val="center"/>
          </w:tcPr>
          <w:p w14:paraId="585DFFC6">
            <w:pPr>
              <w:pStyle w:val="10"/>
            </w:pPr>
            <w:r>
              <w:t>项目名称</w:t>
            </w:r>
          </w:p>
        </w:tc>
        <w:tc>
          <w:tcPr>
            <w:tcW w:w="6095" w:type="dxa"/>
            <w:gridSpan w:val="3"/>
            <w:vAlign w:val="center"/>
          </w:tcPr>
          <w:p w14:paraId="773786EF">
            <w:pPr>
              <w:pStyle w:val="12"/>
            </w:pPr>
            <w:r>
              <w:t>城关校区德兴路小学设备购置资金</w:t>
            </w:r>
          </w:p>
        </w:tc>
      </w:tr>
      <w:tr w14:paraId="26605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923BC">
            <w:pPr>
              <w:pStyle w:val="10"/>
            </w:pPr>
            <w:r>
              <w:t>预算规模及资金用途</w:t>
            </w:r>
          </w:p>
        </w:tc>
        <w:tc>
          <w:tcPr>
            <w:tcW w:w="2268" w:type="dxa"/>
            <w:vAlign w:val="center"/>
          </w:tcPr>
          <w:p w14:paraId="2BDA0FE6">
            <w:pPr>
              <w:pStyle w:val="10"/>
            </w:pPr>
            <w:r>
              <w:t>预算数</w:t>
            </w:r>
          </w:p>
        </w:tc>
        <w:tc>
          <w:tcPr>
            <w:tcW w:w="2835" w:type="dxa"/>
            <w:vAlign w:val="center"/>
          </w:tcPr>
          <w:p w14:paraId="371AC428">
            <w:pPr>
              <w:pStyle w:val="12"/>
            </w:pPr>
            <w:r>
              <w:t>134.08</w:t>
            </w:r>
          </w:p>
        </w:tc>
        <w:tc>
          <w:tcPr>
            <w:tcW w:w="2835" w:type="dxa"/>
            <w:vAlign w:val="center"/>
          </w:tcPr>
          <w:p w14:paraId="3D081435">
            <w:pPr>
              <w:pStyle w:val="10"/>
            </w:pPr>
            <w:r>
              <w:t>其中：财政    资金</w:t>
            </w:r>
          </w:p>
        </w:tc>
        <w:tc>
          <w:tcPr>
            <w:tcW w:w="2551" w:type="dxa"/>
            <w:vAlign w:val="center"/>
          </w:tcPr>
          <w:p w14:paraId="72613DC0">
            <w:pPr>
              <w:pStyle w:val="12"/>
            </w:pPr>
            <w:r>
              <w:t>134.08</w:t>
            </w:r>
          </w:p>
        </w:tc>
        <w:tc>
          <w:tcPr>
            <w:tcW w:w="2268" w:type="dxa"/>
            <w:vAlign w:val="center"/>
          </w:tcPr>
          <w:p w14:paraId="068464AB">
            <w:pPr>
              <w:pStyle w:val="10"/>
            </w:pPr>
            <w:r>
              <w:t>其他资金</w:t>
            </w:r>
          </w:p>
        </w:tc>
        <w:tc>
          <w:tcPr>
            <w:tcW w:w="1276" w:type="dxa"/>
            <w:vAlign w:val="center"/>
          </w:tcPr>
          <w:p w14:paraId="24055EFF">
            <w:pPr>
              <w:pStyle w:val="12"/>
            </w:pPr>
            <w:r>
              <w:t xml:space="preserve"> </w:t>
            </w:r>
          </w:p>
        </w:tc>
      </w:tr>
      <w:tr w14:paraId="6E795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B1A12"/>
        </w:tc>
        <w:tc>
          <w:tcPr>
            <w:tcW w:w="14033" w:type="dxa"/>
            <w:gridSpan w:val="6"/>
            <w:vAlign w:val="center"/>
          </w:tcPr>
          <w:p w14:paraId="621E5CC1">
            <w:pPr>
              <w:pStyle w:val="12"/>
            </w:pPr>
            <w:r>
              <w:t>提高教学条件，提升教学水平，进一步提高学校</w:t>
            </w:r>
            <w:r>
              <w:rPr>
                <w:rFonts w:hint="eastAsia"/>
                <w:lang w:eastAsia="zh-CN"/>
              </w:rPr>
              <w:t>环境</w:t>
            </w:r>
            <w:r>
              <w:t>条件。</w:t>
            </w:r>
          </w:p>
        </w:tc>
      </w:tr>
      <w:tr w14:paraId="3887B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F0265">
            <w:pPr>
              <w:pStyle w:val="10"/>
            </w:pPr>
            <w:r>
              <w:t>资金支出计划（%）</w:t>
            </w:r>
          </w:p>
        </w:tc>
        <w:tc>
          <w:tcPr>
            <w:tcW w:w="5103" w:type="dxa"/>
            <w:gridSpan w:val="2"/>
            <w:vAlign w:val="center"/>
          </w:tcPr>
          <w:p w14:paraId="2E50FD4F">
            <w:pPr>
              <w:pStyle w:val="10"/>
            </w:pPr>
            <w:r>
              <w:t>3月底</w:t>
            </w:r>
          </w:p>
        </w:tc>
        <w:tc>
          <w:tcPr>
            <w:tcW w:w="2835" w:type="dxa"/>
            <w:vAlign w:val="center"/>
          </w:tcPr>
          <w:p w14:paraId="30BB9C1C">
            <w:pPr>
              <w:pStyle w:val="10"/>
            </w:pPr>
            <w:r>
              <w:t>6月底</w:t>
            </w:r>
          </w:p>
        </w:tc>
        <w:tc>
          <w:tcPr>
            <w:tcW w:w="2551" w:type="dxa"/>
            <w:vAlign w:val="center"/>
          </w:tcPr>
          <w:p w14:paraId="3D7A64D4">
            <w:pPr>
              <w:pStyle w:val="10"/>
            </w:pPr>
            <w:r>
              <w:t>10月底</w:t>
            </w:r>
          </w:p>
        </w:tc>
        <w:tc>
          <w:tcPr>
            <w:tcW w:w="3544" w:type="dxa"/>
            <w:gridSpan w:val="2"/>
            <w:vAlign w:val="center"/>
          </w:tcPr>
          <w:p w14:paraId="7F266410">
            <w:pPr>
              <w:pStyle w:val="10"/>
            </w:pPr>
            <w:r>
              <w:t>12月底</w:t>
            </w:r>
          </w:p>
        </w:tc>
      </w:tr>
      <w:tr w14:paraId="5DEDF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5AC67"/>
        </w:tc>
        <w:tc>
          <w:tcPr>
            <w:tcW w:w="5103" w:type="dxa"/>
            <w:gridSpan w:val="2"/>
            <w:vAlign w:val="center"/>
          </w:tcPr>
          <w:p w14:paraId="09A5CED1">
            <w:pPr>
              <w:pStyle w:val="13"/>
            </w:pPr>
            <w:r>
              <w:t>25%</w:t>
            </w:r>
          </w:p>
        </w:tc>
        <w:tc>
          <w:tcPr>
            <w:tcW w:w="2835" w:type="dxa"/>
            <w:vAlign w:val="center"/>
          </w:tcPr>
          <w:p w14:paraId="2ABDD4E6">
            <w:pPr>
              <w:pStyle w:val="13"/>
            </w:pPr>
            <w:r>
              <w:t>50%</w:t>
            </w:r>
          </w:p>
        </w:tc>
        <w:tc>
          <w:tcPr>
            <w:tcW w:w="2551" w:type="dxa"/>
            <w:vAlign w:val="center"/>
          </w:tcPr>
          <w:p w14:paraId="4A2DA474">
            <w:pPr>
              <w:pStyle w:val="13"/>
            </w:pPr>
            <w:r>
              <w:t>75%</w:t>
            </w:r>
          </w:p>
        </w:tc>
        <w:tc>
          <w:tcPr>
            <w:tcW w:w="3544" w:type="dxa"/>
            <w:gridSpan w:val="2"/>
            <w:vAlign w:val="center"/>
          </w:tcPr>
          <w:p w14:paraId="32005DBD">
            <w:pPr>
              <w:pStyle w:val="13"/>
            </w:pPr>
            <w:r>
              <w:t>100%</w:t>
            </w:r>
          </w:p>
        </w:tc>
      </w:tr>
      <w:tr w14:paraId="2707D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8C4CE">
            <w:pPr>
              <w:pStyle w:val="10"/>
            </w:pPr>
            <w:r>
              <w:t>绩效目标</w:t>
            </w:r>
          </w:p>
        </w:tc>
        <w:tc>
          <w:tcPr>
            <w:tcW w:w="14033" w:type="dxa"/>
            <w:gridSpan w:val="6"/>
            <w:vAlign w:val="center"/>
          </w:tcPr>
          <w:p w14:paraId="299E93CE">
            <w:pPr>
              <w:pStyle w:val="12"/>
            </w:pPr>
            <w:r>
              <w:t>1.提高教学条件，提升教学水平，进一步提高学校</w:t>
            </w:r>
            <w:r>
              <w:rPr>
                <w:rFonts w:hint="eastAsia"/>
                <w:lang w:eastAsia="zh-CN"/>
              </w:rPr>
              <w:t>环境</w:t>
            </w:r>
            <w:r>
              <w:t>条件。</w:t>
            </w:r>
          </w:p>
        </w:tc>
      </w:tr>
    </w:tbl>
    <w:p w14:paraId="18E32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0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096CB">
            <w:pPr>
              <w:pStyle w:val="10"/>
            </w:pPr>
            <w:r>
              <w:t>一级指标</w:t>
            </w:r>
          </w:p>
        </w:tc>
        <w:tc>
          <w:tcPr>
            <w:tcW w:w="2268" w:type="dxa"/>
            <w:vAlign w:val="center"/>
          </w:tcPr>
          <w:p w14:paraId="4740A55F">
            <w:pPr>
              <w:pStyle w:val="10"/>
            </w:pPr>
            <w:r>
              <w:t>二级指标</w:t>
            </w:r>
          </w:p>
        </w:tc>
        <w:tc>
          <w:tcPr>
            <w:tcW w:w="2835" w:type="dxa"/>
            <w:vAlign w:val="center"/>
          </w:tcPr>
          <w:p w14:paraId="0D1AE4F6">
            <w:pPr>
              <w:pStyle w:val="10"/>
            </w:pPr>
            <w:r>
              <w:t>三级指标</w:t>
            </w:r>
          </w:p>
        </w:tc>
        <w:tc>
          <w:tcPr>
            <w:tcW w:w="5386" w:type="dxa"/>
            <w:vAlign w:val="center"/>
          </w:tcPr>
          <w:p w14:paraId="738E2407">
            <w:pPr>
              <w:pStyle w:val="10"/>
            </w:pPr>
            <w:r>
              <w:t>绩效指标描述</w:t>
            </w:r>
          </w:p>
        </w:tc>
        <w:tc>
          <w:tcPr>
            <w:tcW w:w="2268" w:type="dxa"/>
            <w:vAlign w:val="center"/>
          </w:tcPr>
          <w:p w14:paraId="0B4D0EF1">
            <w:pPr>
              <w:pStyle w:val="10"/>
            </w:pPr>
            <w:r>
              <w:t>指标值</w:t>
            </w:r>
          </w:p>
        </w:tc>
        <w:tc>
          <w:tcPr>
            <w:tcW w:w="1276" w:type="dxa"/>
            <w:vAlign w:val="center"/>
          </w:tcPr>
          <w:p w14:paraId="01A3EA23">
            <w:pPr>
              <w:pStyle w:val="10"/>
            </w:pPr>
            <w:r>
              <w:t>指标值确定依据</w:t>
            </w:r>
          </w:p>
        </w:tc>
      </w:tr>
      <w:tr w14:paraId="7977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1DA9C">
            <w:pPr>
              <w:pStyle w:val="13"/>
            </w:pPr>
            <w:r>
              <w:t>产出指标</w:t>
            </w:r>
          </w:p>
        </w:tc>
        <w:tc>
          <w:tcPr>
            <w:tcW w:w="2268" w:type="dxa"/>
            <w:vAlign w:val="center"/>
          </w:tcPr>
          <w:p w14:paraId="575CD609">
            <w:pPr>
              <w:pStyle w:val="12"/>
            </w:pPr>
            <w:r>
              <w:t>数量指标</w:t>
            </w:r>
          </w:p>
        </w:tc>
        <w:tc>
          <w:tcPr>
            <w:tcW w:w="2835" w:type="dxa"/>
            <w:vAlign w:val="center"/>
          </w:tcPr>
          <w:p w14:paraId="6B4F8A49">
            <w:pPr>
              <w:pStyle w:val="12"/>
            </w:pPr>
            <w:r>
              <w:t>专用设备购置</w:t>
            </w:r>
          </w:p>
        </w:tc>
        <w:tc>
          <w:tcPr>
            <w:tcW w:w="5386" w:type="dxa"/>
            <w:vAlign w:val="center"/>
          </w:tcPr>
          <w:p w14:paraId="04AB9BC6">
            <w:pPr>
              <w:pStyle w:val="12"/>
            </w:pPr>
            <w:r>
              <w:t>学校购置办公桌椅、教学仪器、各种专室设备等</w:t>
            </w:r>
          </w:p>
        </w:tc>
        <w:tc>
          <w:tcPr>
            <w:tcW w:w="2268" w:type="dxa"/>
            <w:vAlign w:val="center"/>
          </w:tcPr>
          <w:p w14:paraId="6318C130">
            <w:pPr>
              <w:pStyle w:val="12"/>
            </w:pPr>
            <w:r>
              <w:t>1项</w:t>
            </w:r>
          </w:p>
        </w:tc>
        <w:tc>
          <w:tcPr>
            <w:tcW w:w="1276" w:type="dxa"/>
            <w:vAlign w:val="center"/>
          </w:tcPr>
          <w:p w14:paraId="34E02BA9">
            <w:pPr>
              <w:pStyle w:val="12"/>
            </w:pPr>
            <w:r>
              <w:t>项目规划</w:t>
            </w:r>
          </w:p>
        </w:tc>
      </w:tr>
      <w:tr w14:paraId="35D1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9EF62"/>
        </w:tc>
        <w:tc>
          <w:tcPr>
            <w:tcW w:w="2268" w:type="dxa"/>
            <w:vAlign w:val="center"/>
          </w:tcPr>
          <w:p w14:paraId="2AD40934">
            <w:pPr>
              <w:pStyle w:val="12"/>
            </w:pPr>
            <w:r>
              <w:t>质量指标</w:t>
            </w:r>
          </w:p>
        </w:tc>
        <w:tc>
          <w:tcPr>
            <w:tcW w:w="2835" w:type="dxa"/>
            <w:vAlign w:val="center"/>
          </w:tcPr>
          <w:p w14:paraId="1F99C47F">
            <w:pPr>
              <w:pStyle w:val="12"/>
            </w:pPr>
            <w:r>
              <w:t>购置设备收合格完成率</w:t>
            </w:r>
          </w:p>
        </w:tc>
        <w:tc>
          <w:tcPr>
            <w:tcW w:w="5386" w:type="dxa"/>
            <w:vAlign w:val="center"/>
          </w:tcPr>
          <w:p w14:paraId="5419670B">
            <w:pPr>
              <w:pStyle w:val="12"/>
            </w:pPr>
            <w:r>
              <w:t>学校购置设备数量与计划购置数量之比</w:t>
            </w:r>
          </w:p>
        </w:tc>
        <w:tc>
          <w:tcPr>
            <w:tcW w:w="2268" w:type="dxa"/>
            <w:vAlign w:val="center"/>
          </w:tcPr>
          <w:p w14:paraId="0605693E">
            <w:pPr>
              <w:pStyle w:val="12"/>
            </w:pPr>
            <w:r>
              <w:t>100%</w:t>
            </w:r>
          </w:p>
        </w:tc>
        <w:tc>
          <w:tcPr>
            <w:tcW w:w="1276" w:type="dxa"/>
            <w:vAlign w:val="center"/>
          </w:tcPr>
          <w:p w14:paraId="2FC861D2">
            <w:pPr>
              <w:pStyle w:val="12"/>
            </w:pPr>
            <w:r>
              <w:t>项目规划</w:t>
            </w:r>
          </w:p>
        </w:tc>
      </w:tr>
      <w:tr w14:paraId="7B89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6BCA0"/>
        </w:tc>
        <w:tc>
          <w:tcPr>
            <w:tcW w:w="2268" w:type="dxa"/>
            <w:vAlign w:val="center"/>
          </w:tcPr>
          <w:p w14:paraId="152784A9">
            <w:pPr>
              <w:pStyle w:val="12"/>
            </w:pPr>
            <w:r>
              <w:t>时效指标</w:t>
            </w:r>
          </w:p>
        </w:tc>
        <w:tc>
          <w:tcPr>
            <w:tcW w:w="2835" w:type="dxa"/>
            <w:vAlign w:val="center"/>
          </w:tcPr>
          <w:p w14:paraId="61AE0A5A">
            <w:pPr>
              <w:pStyle w:val="12"/>
            </w:pPr>
            <w:r>
              <w:t>购置设备完成率</w:t>
            </w:r>
          </w:p>
        </w:tc>
        <w:tc>
          <w:tcPr>
            <w:tcW w:w="5386" w:type="dxa"/>
            <w:vAlign w:val="center"/>
          </w:tcPr>
          <w:p w14:paraId="40890A1F">
            <w:pPr>
              <w:pStyle w:val="12"/>
            </w:pPr>
            <w:r>
              <w:t>学校购置设备完成情况</w:t>
            </w:r>
          </w:p>
        </w:tc>
        <w:tc>
          <w:tcPr>
            <w:tcW w:w="2268" w:type="dxa"/>
            <w:vAlign w:val="center"/>
          </w:tcPr>
          <w:p w14:paraId="01C8FED2">
            <w:pPr>
              <w:pStyle w:val="12"/>
            </w:pPr>
            <w:r>
              <w:t>100%</w:t>
            </w:r>
          </w:p>
        </w:tc>
        <w:tc>
          <w:tcPr>
            <w:tcW w:w="1276" w:type="dxa"/>
            <w:vAlign w:val="center"/>
          </w:tcPr>
          <w:p w14:paraId="7EA7ADA1">
            <w:pPr>
              <w:pStyle w:val="12"/>
            </w:pPr>
            <w:r>
              <w:t>项目规划</w:t>
            </w:r>
          </w:p>
        </w:tc>
      </w:tr>
      <w:tr w14:paraId="3295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FFB9B"/>
        </w:tc>
        <w:tc>
          <w:tcPr>
            <w:tcW w:w="2268" w:type="dxa"/>
            <w:vAlign w:val="center"/>
          </w:tcPr>
          <w:p w14:paraId="6C0DA514">
            <w:pPr>
              <w:pStyle w:val="12"/>
            </w:pPr>
            <w:r>
              <w:t>成本指标</w:t>
            </w:r>
          </w:p>
        </w:tc>
        <w:tc>
          <w:tcPr>
            <w:tcW w:w="2835" w:type="dxa"/>
            <w:vAlign w:val="center"/>
          </w:tcPr>
          <w:p w14:paraId="538BE3C2">
            <w:pPr>
              <w:pStyle w:val="12"/>
            </w:pPr>
            <w:r>
              <w:t>购置设备成本</w:t>
            </w:r>
          </w:p>
        </w:tc>
        <w:tc>
          <w:tcPr>
            <w:tcW w:w="5386" w:type="dxa"/>
            <w:vAlign w:val="center"/>
          </w:tcPr>
          <w:p w14:paraId="139FB527">
            <w:pPr>
              <w:pStyle w:val="12"/>
            </w:pPr>
            <w:r>
              <w:t>用于学校购置设备的资金投入</w:t>
            </w:r>
          </w:p>
        </w:tc>
        <w:tc>
          <w:tcPr>
            <w:tcW w:w="2268" w:type="dxa"/>
            <w:vAlign w:val="center"/>
          </w:tcPr>
          <w:p w14:paraId="31ABFCCE">
            <w:pPr>
              <w:pStyle w:val="12"/>
            </w:pPr>
            <w:r>
              <w:t>1340770元</w:t>
            </w:r>
          </w:p>
        </w:tc>
        <w:tc>
          <w:tcPr>
            <w:tcW w:w="1276" w:type="dxa"/>
            <w:vAlign w:val="center"/>
          </w:tcPr>
          <w:p w14:paraId="1C8D251D">
            <w:pPr>
              <w:pStyle w:val="12"/>
            </w:pPr>
            <w:r>
              <w:t>项目规划</w:t>
            </w:r>
          </w:p>
        </w:tc>
      </w:tr>
      <w:tr w14:paraId="6828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F7B37">
            <w:pPr>
              <w:pStyle w:val="13"/>
            </w:pPr>
            <w:r>
              <w:t>效益指标</w:t>
            </w:r>
          </w:p>
        </w:tc>
        <w:tc>
          <w:tcPr>
            <w:tcW w:w="2268" w:type="dxa"/>
            <w:vAlign w:val="center"/>
          </w:tcPr>
          <w:p w14:paraId="03036148">
            <w:pPr>
              <w:pStyle w:val="12"/>
            </w:pPr>
            <w:r>
              <w:t>可持续影响指标</w:t>
            </w:r>
          </w:p>
        </w:tc>
        <w:tc>
          <w:tcPr>
            <w:tcW w:w="2835" w:type="dxa"/>
            <w:vAlign w:val="center"/>
          </w:tcPr>
          <w:p w14:paraId="57903E07">
            <w:pPr>
              <w:pStyle w:val="12"/>
            </w:pPr>
            <w:r>
              <w:t>提升办学条件</w:t>
            </w:r>
          </w:p>
        </w:tc>
        <w:tc>
          <w:tcPr>
            <w:tcW w:w="5386" w:type="dxa"/>
            <w:vAlign w:val="center"/>
          </w:tcPr>
          <w:p w14:paraId="3F9D4204">
            <w:pPr>
              <w:pStyle w:val="12"/>
            </w:pPr>
            <w:r>
              <w:t>有效提高教学条件及教学环境提升</w:t>
            </w:r>
          </w:p>
        </w:tc>
        <w:tc>
          <w:tcPr>
            <w:tcW w:w="2268" w:type="dxa"/>
            <w:vAlign w:val="center"/>
          </w:tcPr>
          <w:p w14:paraId="20C44D12">
            <w:pPr>
              <w:pStyle w:val="12"/>
            </w:pPr>
            <w:r>
              <w:t>100%</w:t>
            </w:r>
          </w:p>
        </w:tc>
        <w:tc>
          <w:tcPr>
            <w:tcW w:w="1276" w:type="dxa"/>
            <w:vAlign w:val="center"/>
          </w:tcPr>
          <w:p w14:paraId="136F3C64">
            <w:pPr>
              <w:pStyle w:val="12"/>
            </w:pPr>
            <w:r>
              <w:t>项目规划</w:t>
            </w:r>
          </w:p>
        </w:tc>
      </w:tr>
      <w:tr w14:paraId="5794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0CDD1">
            <w:pPr>
              <w:pStyle w:val="13"/>
            </w:pPr>
            <w:r>
              <w:t>满意度指标</w:t>
            </w:r>
          </w:p>
        </w:tc>
        <w:tc>
          <w:tcPr>
            <w:tcW w:w="2268" w:type="dxa"/>
            <w:vAlign w:val="center"/>
          </w:tcPr>
          <w:p w14:paraId="566EBF77">
            <w:pPr>
              <w:pStyle w:val="12"/>
            </w:pPr>
            <w:r>
              <w:t>服务对象满意度指标</w:t>
            </w:r>
          </w:p>
        </w:tc>
        <w:tc>
          <w:tcPr>
            <w:tcW w:w="2835" w:type="dxa"/>
            <w:vAlign w:val="center"/>
          </w:tcPr>
          <w:p w14:paraId="21D7FF30">
            <w:pPr>
              <w:pStyle w:val="12"/>
            </w:pPr>
            <w:r>
              <w:t>学生满意度</w:t>
            </w:r>
          </w:p>
        </w:tc>
        <w:tc>
          <w:tcPr>
            <w:tcW w:w="5386" w:type="dxa"/>
            <w:vAlign w:val="center"/>
          </w:tcPr>
          <w:p w14:paraId="78D0B305">
            <w:pPr>
              <w:pStyle w:val="12"/>
            </w:pPr>
            <w:r>
              <w:t>学生对实施项目的满意度</w:t>
            </w:r>
          </w:p>
        </w:tc>
        <w:tc>
          <w:tcPr>
            <w:tcW w:w="2268" w:type="dxa"/>
            <w:vAlign w:val="center"/>
          </w:tcPr>
          <w:p w14:paraId="6C61789B">
            <w:pPr>
              <w:pStyle w:val="12"/>
            </w:pPr>
            <w:r>
              <w:t>≥95%</w:t>
            </w:r>
          </w:p>
        </w:tc>
        <w:tc>
          <w:tcPr>
            <w:tcW w:w="1276" w:type="dxa"/>
            <w:vAlign w:val="center"/>
          </w:tcPr>
          <w:p w14:paraId="5B8F3405">
            <w:pPr>
              <w:pStyle w:val="12"/>
            </w:pPr>
            <w:r>
              <w:t>调查问卷</w:t>
            </w:r>
          </w:p>
        </w:tc>
      </w:tr>
    </w:tbl>
    <w:p w14:paraId="6CB6030E">
      <w:pPr>
        <w:sectPr>
          <w:pgSz w:w="16840" w:h="11900" w:orient="landscape"/>
          <w:pgMar w:top="1361" w:right="1020" w:bottom="1134" w:left="1020" w:header="720" w:footer="720" w:gutter="0"/>
          <w:cols w:space="720" w:num="1"/>
        </w:sectPr>
      </w:pPr>
    </w:p>
    <w:p w14:paraId="7F53FF09">
      <w:pPr>
        <w:spacing w:before="0" w:after="0"/>
        <w:ind w:firstLine="560"/>
        <w:jc w:val="left"/>
        <w:outlineLvl w:val="9"/>
      </w:pPr>
      <w:r>
        <w:rPr>
          <w:rFonts w:ascii="方正仿宋_GBK" w:hAnsi="方正仿宋_GBK" w:eastAsia="方正仿宋_GBK" w:cs="方正仿宋_GBK"/>
          <w:b/>
          <w:color w:val="000000"/>
          <w:sz w:val="28"/>
        </w:rPr>
        <w:t>2、冀财教[2025]119号/中央/2026年薄弱学校改造/南柏舍小学平房及附属设施建设绩效目标表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E7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7550B">
            <w:pPr>
              <w:pStyle w:val="11"/>
            </w:pPr>
            <w:r>
              <w:t>单位：万元</w:t>
            </w:r>
          </w:p>
        </w:tc>
      </w:tr>
      <w:tr w14:paraId="24843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06C70">
            <w:pPr>
              <w:pStyle w:val="10"/>
            </w:pPr>
            <w:r>
              <w:t>项目编码</w:t>
            </w:r>
          </w:p>
        </w:tc>
        <w:tc>
          <w:tcPr>
            <w:tcW w:w="5103" w:type="dxa"/>
            <w:gridSpan w:val="2"/>
            <w:vAlign w:val="center"/>
          </w:tcPr>
          <w:p w14:paraId="0957FA02">
            <w:pPr>
              <w:pStyle w:val="12"/>
            </w:pPr>
            <w:r>
              <w:t>13052526P00877010020W</w:t>
            </w:r>
          </w:p>
        </w:tc>
        <w:tc>
          <w:tcPr>
            <w:tcW w:w="2835" w:type="dxa"/>
            <w:vAlign w:val="center"/>
          </w:tcPr>
          <w:p w14:paraId="7A561D11">
            <w:pPr>
              <w:pStyle w:val="10"/>
            </w:pPr>
            <w:r>
              <w:t>项目名称</w:t>
            </w:r>
          </w:p>
        </w:tc>
        <w:tc>
          <w:tcPr>
            <w:tcW w:w="6095" w:type="dxa"/>
            <w:gridSpan w:val="3"/>
            <w:vAlign w:val="center"/>
          </w:tcPr>
          <w:p w14:paraId="3F006B82">
            <w:pPr>
              <w:pStyle w:val="12"/>
            </w:pPr>
            <w:r>
              <w:t>冀财教[2025]119号/中央/2026年薄弱学校改造/南柏舍小学平房及附属设施建设</w:t>
            </w:r>
          </w:p>
        </w:tc>
      </w:tr>
      <w:tr w14:paraId="63B0E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A0412">
            <w:pPr>
              <w:pStyle w:val="10"/>
            </w:pPr>
            <w:r>
              <w:t>预算规模及资金用途</w:t>
            </w:r>
          </w:p>
        </w:tc>
        <w:tc>
          <w:tcPr>
            <w:tcW w:w="2268" w:type="dxa"/>
            <w:vAlign w:val="center"/>
          </w:tcPr>
          <w:p w14:paraId="10CC512A">
            <w:pPr>
              <w:pStyle w:val="10"/>
            </w:pPr>
            <w:r>
              <w:t>预算数</w:t>
            </w:r>
          </w:p>
        </w:tc>
        <w:tc>
          <w:tcPr>
            <w:tcW w:w="2835" w:type="dxa"/>
            <w:vAlign w:val="center"/>
          </w:tcPr>
          <w:p w14:paraId="55D9D703">
            <w:pPr>
              <w:pStyle w:val="12"/>
            </w:pPr>
            <w:r>
              <w:t>180.00</w:t>
            </w:r>
          </w:p>
        </w:tc>
        <w:tc>
          <w:tcPr>
            <w:tcW w:w="2835" w:type="dxa"/>
            <w:vAlign w:val="center"/>
          </w:tcPr>
          <w:p w14:paraId="4D93FF65">
            <w:pPr>
              <w:pStyle w:val="10"/>
            </w:pPr>
            <w:r>
              <w:t>其中：财政    资金</w:t>
            </w:r>
          </w:p>
        </w:tc>
        <w:tc>
          <w:tcPr>
            <w:tcW w:w="2551" w:type="dxa"/>
            <w:vAlign w:val="center"/>
          </w:tcPr>
          <w:p w14:paraId="2FC884A8">
            <w:pPr>
              <w:pStyle w:val="12"/>
            </w:pPr>
            <w:r>
              <w:t>180.00</w:t>
            </w:r>
          </w:p>
        </w:tc>
        <w:tc>
          <w:tcPr>
            <w:tcW w:w="2268" w:type="dxa"/>
            <w:vAlign w:val="center"/>
          </w:tcPr>
          <w:p w14:paraId="6B4E5324">
            <w:pPr>
              <w:pStyle w:val="10"/>
            </w:pPr>
            <w:r>
              <w:t>其他资金</w:t>
            </w:r>
          </w:p>
        </w:tc>
        <w:tc>
          <w:tcPr>
            <w:tcW w:w="1276" w:type="dxa"/>
            <w:vAlign w:val="center"/>
          </w:tcPr>
          <w:p w14:paraId="0E895C49">
            <w:pPr>
              <w:pStyle w:val="12"/>
            </w:pPr>
            <w:r>
              <w:t xml:space="preserve"> </w:t>
            </w:r>
          </w:p>
        </w:tc>
      </w:tr>
      <w:tr w14:paraId="0896D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6BE04"/>
        </w:tc>
        <w:tc>
          <w:tcPr>
            <w:tcW w:w="14033" w:type="dxa"/>
            <w:gridSpan w:val="6"/>
            <w:vAlign w:val="center"/>
          </w:tcPr>
          <w:p w14:paraId="6ECA20E1">
            <w:pPr>
              <w:pStyle w:val="12"/>
            </w:pPr>
            <w:r>
              <w:t>改善义务教育办学条件，进一步提升教育教学办学质量，南柏舍小学平房及附属设施建设项目资金1800000元，资金拨付率达100%</w:t>
            </w:r>
          </w:p>
        </w:tc>
      </w:tr>
      <w:tr w14:paraId="7398D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01F82">
            <w:pPr>
              <w:pStyle w:val="10"/>
            </w:pPr>
            <w:r>
              <w:t>资金支出计划（%）</w:t>
            </w:r>
          </w:p>
        </w:tc>
        <w:tc>
          <w:tcPr>
            <w:tcW w:w="5103" w:type="dxa"/>
            <w:gridSpan w:val="2"/>
            <w:vAlign w:val="center"/>
          </w:tcPr>
          <w:p w14:paraId="7C2499AB">
            <w:pPr>
              <w:pStyle w:val="10"/>
            </w:pPr>
            <w:r>
              <w:t>3月底</w:t>
            </w:r>
          </w:p>
        </w:tc>
        <w:tc>
          <w:tcPr>
            <w:tcW w:w="2835" w:type="dxa"/>
            <w:vAlign w:val="center"/>
          </w:tcPr>
          <w:p w14:paraId="100E2FB8">
            <w:pPr>
              <w:pStyle w:val="10"/>
            </w:pPr>
            <w:r>
              <w:t>6月底</w:t>
            </w:r>
          </w:p>
        </w:tc>
        <w:tc>
          <w:tcPr>
            <w:tcW w:w="2551" w:type="dxa"/>
            <w:vAlign w:val="center"/>
          </w:tcPr>
          <w:p w14:paraId="44FEF27C">
            <w:pPr>
              <w:pStyle w:val="10"/>
            </w:pPr>
            <w:r>
              <w:t>10月底</w:t>
            </w:r>
          </w:p>
        </w:tc>
        <w:tc>
          <w:tcPr>
            <w:tcW w:w="3544" w:type="dxa"/>
            <w:gridSpan w:val="2"/>
            <w:vAlign w:val="center"/>
          </w:tcPr>
          <w:p w14:paraId="53AB52B1">
            <w:pPr>
              <w:pStyle w:val="10"/>
            </w:pPr>
            <w:r>
              <w:t>12月底</w:t>
            </w:r>
          </w:p>
        </w:tc>
      </w:tr>
      <w:tr w14:paraId="3C824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0FCE9"/>
        </w:tc>
        <w:tc>
          <w:tcPr>
            <w:tcW w:w="5103" w:type="dxa"/>
            <w:gridSpan w:val="2"/>
            <w:vAlign w:val="center"/>
          </w:tcPr>
          <w:p w14:paraId="10A29F9F">
            <w:pPr>
              <w:pStyle w:val="13"/>
            </w:pPr>
            <w:r>
              <w:t xml:space="preserve"> </w:t>
            </w:r>
          </w:p>
        </w:tc>
        <w:tc>
          <w:tcPr>
            <w:tcW w:w="2835" w:type="dxa"/>
            <w:vAlign w:val="center"/>
          </w:tcPr>
          <w:p w14:paraId="10D382FA">
            <w:pPr>
              <w:pStyle w:val="13"/>
            </w:pPr>
            <w:r>
              <w:t xml:space="preserve"> </w:t>
            </w:r>
          </w:p>
        </w:tc>
        <w:tc>
          <w:tcPr>
            <w:tcW w:w="2551" w:type="dxa"/>
            <w:vAlign w:val="center"/>
          </w:tcPr>
          <w:p w14:paraId="1A05FF67">
            <w:pPr>
              <w:pStyle w:val="13"/>
            </w:pPr>
            <w:r>
              <w:t>100%</w:t>
            </w:r>
          </w:p>
        </w:tc>
        <w:tc>
          <w:tcPr>
            <w:tcW w:w="3544" w:type="dxa"/>
            <w:gridSpan w:val="2"/>
            <w:vAlign w:val="center"/>
          </w:tcPr>
          <w:p w14:paraId="4B0175A4">
            <w:pPr>
              <w:pStyle w:val="13"/>
            </w:pPr>
            <w:r>
              <w:t>100%</w:t>
            </w:r>
          </w:p>
        </w:tc>
      </w:tr>
      <w:tr w14:paraId="4A93C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82E5A">
            <w:pPr>
              <w:pStyle w:val="10"/>
            </w:pPr>
            <w:r>
              <w:t>绩效目标</w:t>
            </w:r>
          </w:p>
        </w:tc>
        <w:tc>
          <w:tcPr>
            <w:tcW w:w="14033" w:type="dxa"/>
            <w:gridSpan w:val="6"/>
            <w:vAlign w:val="center"/>
          </w:tcPr>
          <w:p w14:paraId="1AD30E4F">
            <w:pPr>
              <w:pStyle w:val="12"/>
            </w:pPr>
            <w:r>
              <w:t>1.改善义务教育办学条件，进一步提升教育教学办学质量</w:t>
            </w:r>
          </w:p>
          <w:p w14:paraId="555C5EE5">
            <w:pPr>
              <w:pStyle w:val="12"/>
            </w:pPr>
            <w:r>
              <w:t>2.南柏舍小学平房及附属设施建设项目资金1800000元，资金拨付率达100%</w:t>
            </w:r>
          </w:p>
        </w:tc>
      </w:tr>
    </w:tbl>
    <w:p w14:paraId="6EDFDC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8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04338">
            <w:pPr>
              <w:pStyle w:val="10"/>
            </w:pPr>
            <w:r>
              <w:t>一级指标</w:t>
            </w:r>
          </w:p>
        </w:tc>
        <w:tc>
          <w:tcPr>
            <w:tcW w:w="2268" w:type="dxa"/>
            <w:vAlign w:val="center"/>
          </w:tcPr>
          <w:p w14:paraId="713FFD84">
            <w:pPr>
              <w:pStyle w:val="10"/>
            </w:pPr>
            <w:r>
              <w:t>二级指标</w:t>
            </w:r>
          </w:p>
        </w:tc>
        <w:tc>
          <w:tcPr>
            <w:tcW w:w="2835" w:type="dxa"/>
            <w:vAlign w:val="center"/>
          </w:tcPr>
          <w:p w14:paraId="7D958325">
            <w:pPr>
              <w:pStyle w:val="10"/>
            </w:pPr>
            <w:r>
              <w:t>三级指标</w:t>
            </w:r>
          </w:p>
        </w:tc>
        <w:tc>
          <w:tcPr>
            <w:tcW w:w="5386" w:type="dxa"/>
            <w:vAlign w:val="center"/>
          </w:tcPr>
          <w:p w14:paraId="06416181">
            <w:pPr>
              <w:pStyle w:val="10"/>
            </w:pPr>
            <w:r>
              <w:t>绩效指标描述</w:t>
            </w:r>
          </w:p>
        </w:tc>
        <w:tc>
          <w:tcPr>
            <w:tcW w:w="2268" w:type="dxa"/>
            <w:vAlign w:val="center"/>
          </w:tcPr>
          <w:p w14:paraId="13DE3F57">
            <w:pPr>
              <w:pStyle w:val="10"/>
            </w:pPr>
            <w:r>
              <w:t>指标值</w:t>
            </w:r>
          </w:p>
        </w:tc>
        <w:tc>
          <w:tcPr>
            <w:tcW w:w="1276" w:type="dxa"/>
            <w:vAlign w:val="center"/>
          </w:tcPr>
          <w:p w14:paraId="7E3B2C5E">
            <w:pPr>
              <w:pStyle w:val="10"/>
            </w:pPr>
            <w:r>
              <w:t>指标值确定依据</w:t>
            </w:r>
          </w:p>
        </w:tc>
      </w:tr>
      <w:tr w14:paraId="6DB6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A5431">
            <w:pPr>
              <w:pStyle w:val="13"/>
            </w:pPr>
            <w:r>
              <w:t>产出指标</w:t>
            </w:r>
          </w:p>
        </w:tc>
        <w:tc>
          <w:tcPr>
            <w:tcW w:w="2268" w:type="dxa"/>
            <w:vAlign w:val="center"/>
          </w:tcPr>
          <w:p w14:paraId="0CE72028">
            <w:pPr>
              <w:pStyle w:val="12"/>
            </w:pPr>
            <w:r>
              <w:t>数量指标</w:t>
            </w:r>
          </w:p>
        </w:tc>
        <w:tc>
          <w:tcPr>
            <w:tcW w:w="2835" w:type="dxa"/>
            <w:vAlign w:val="center"/>
          </w:tcPr>
          <w:p w14:paraId="2CDF3F34">
            <w:pPr>
              <w:pStyle w:val="12"/>
            </w:pPr>
            <w:r>
              <w:t>南柏舍平房</w:t>
            </w:r>
          </w:p>
        </w:tc>
        <w:tc>
          <w:tcPr>
            <w:tcW w:w="5386" w:type="dxa"/>
            <w:vAlign w:val="center"/>
          </w:tcPr>
          <w:p w14:paraId="7547B4AB">
            <w:pPr>
              <w:pStyle w:val="12"/>
            </w:pPr>
            <w:r>
              <w:t>新建平房及附属设施建设</w:t>
            </w:r>
          </w:p>
        </w:tc>
        <w:tc>
          <w:tcPr>
            <w:tcW w:w="2268" w:type="dxa"/>
            <w:vAlign w:val="center"/>
          </w:tcPr>
          <w:p w14:paraId="458AEE6D">
            <w:pPr>
              <w:pStyle w:val="12"/>
            </w:pPr>
            <w:r>
              <w:t>≥900平方米</w:t>
            </w:r>
          </w:p>
        </w:tc>
        <w:tc>
          <w:tcPr>
            <w:tcW w:w="1276" w:type="dxa"/>
            <w:vAlign w:val="center"/>
          </w:tcPr>
          <w:p w14:paraId="7AB2E2AC">
            <w:pPr>
              <w:pStyle w:val="12"/>
            </w:pPr>
            <w:r>
              <w:t>项目规划</w:t>
            </w:r>
          </w:p>
        </w:tc>
      </w:tr>
      <w:tr w14:paraId="7B68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75E27"/>
        </w:tc>
        <w:tc>
          <w:tcPr>
            <w:tcW w:w="2268" w:type="dxa"/>
            <w:vAlign w:val="center"/>
          </w:tcPr>
          <w:p w14:paraId="2A3A6157">
            <w:pPr>
              <w:pStyle w:val="12"/>
            </w:pPr>
            <w:r>
              <w:t>质量指标</w:t>
            </w:r>
          </w:p>
        </w:tc>
        <w:tc>
          <w:tcPr>
            <w:tcW w:w="2835" w:type="dxa"/>
            <w:vAlign w:val="center"/>
          </w:tcPr>
          <w:p w14:paraId="33B5960B">
            <w:pPr>
              <w:pStyle w:val="12"/>
            </w:pPr>
            <w:r>
              <w:t>工程实施验收合格率</w:t>
            </w:r>
          </w:p>
        </w:tc>
        <w:tc>
          <w:tcPr>
            <w:tcW w:w="5386" w:type="dxa"/>
            <w:vAlign w:val="center"/>
          </w:tcPr>
          <w:p w14:paraId="577E34D4">
            <w:pPr>
              <w:pStyle w:val="12"/>
            </w:pPr>
            <w:r>
              <w:t>申报程序的合规，项目实施及资金使用符合项目规划</w:t>
            </w:r>
          </w:p>
        </w:tc>
        <w:tc>
          <w:tcPr>
            <w:tcW w:w="2268" w:type="dxa"/>
            <w:vAlign w:val="center"/>
          </w:tcPr>
          <w:p w14:paraId="2954D214">
            <w:pPr>
              <w:pStyle w:val="12"/>
            </w:pPr>
            <w:r>
              <w:t>100%</w:t>
            </w:r>
          </w:p>
        </w:tc>
        <w:tc>
          <w:tcPr>
            <w:tcW w:w="1276" w:type="dxa"/>
            <w:vAlign w:val="center"/>
          </w:tcPr>
          <w:p w14:paraId="621F23EA">
            <w:pPr>
              <w:pStyle w:val="12"/>
            </w:pPr>
            <w:r>
              <w:t>项目规划</w:t>
            </w:r>
          </w:p>
        </w:tc>
      </w:tr>
      <w:tr w14:paraId="6D98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CD621"/>
        </w:tc>
        <w:tc>
          <w:tcPr>
            <w:tcW w:w="2268" w:type="dxa"/>
            <w:vAlign w:val="center"/>
          </w:tcPr>
          <w:p w14:paraId="4558C3B5">
            <w:pPr>
              <w:pStyle w:val="12"/>
            </w:pPr>
            <w:r>
              <w:t>时效指标</w:t>
            </w:r>
          </w:p>
        </w:tc>
        <w:tc>
          <w:tcPr>
            <w:tcW w:w="2835" w:type="dxa"/>
            <w:vAlign w:val="center"/>
          </w:tcPr>
          <w:p w14:paraId="575783B7">
            <w:pPr>
              <w:pStyle w:val="12"/>
            </w:pPr>
            <w:r>
              <w:t>资金支付率</w:t>
            </w:r>
          </w:p>
        </w:tc>
        <w:tc>
          <w:tcPr>
            <w:tcW w:w="5386" w:type="dxa"/>
            <w:vAlign w:val="center"/>
          </w:tcPr>
          <w:p w14:paraId="19062516">
            <w:pPr>
              <w:pStyle w:val="12"/>
            </w:pPr>
            <w:r>
              <w:t>按照序时进度完成资金支付</w:t>
            </w:r>
          </w:p>
        </w:tc>
        <w:tc>
          <w:tcPr>
            <w:tcW w:w="2268" w:type="dxa"/>
            <w:vAlign w:val="center"/>
          </w:tcPr>
          <w:p w14:paraId="42A14758">
            <w:pPr>
              <w:pStyle w:val="12"/>
            </w:pPr>
            <w:r>
              <w:t>100%</w:t>
            </w:r>
          </w:p>
        </w:tc>
        <w:tc>
          <w:tcPr>
            <w:tcW w:w="1276" w:type="dxa"/>
            <w:vAlign w:val="center"/>
          </w:tcPr>
          <w:p w14:paraId="094E836D">
            <w:pPr>
              <w:pStyle w:val="12"/>
            </w:pPr>
            <w:r>
              <w:t>项目规划</w:t>
            </w:r>
          </w:p>
        </w:tc>
      </w:tr>
      <w:tr w14:paraId="0E36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56603"/>
        </w:tc>
        <w:tc>
          <w:tcPr>
            <w:tcW w:w="2268" w:type="dxa"/>
            <w:vAlign w:val="center"/>
          </w:tcPr>
          <w:p w14:paraId="6DF88FAE">
            <w:pPr>
              <w:pStyle w:val="12"/>
            </w:pPr>
            <w:r>
              <w:t>成本指标</w:t>
            </w:r>
          </w:p>
        </w:tc>
        <w:tc>
          <w:tcPr>
            <w:tcW w:w="2835" w:type="dxa"/>
            <w:vAlign w:val="center"/>
          </w:tcPr>
          <w:p w14:paraId="72913155">
            <w:pPr>
              <w:pStyle w:val="12"/>
            </w:pPr>
            <w:r>
              <w:t>项目成本控制情况</w:t>
            </w:r>
          </w:p>
        </w:tc>
        <w:tc>
          <w:tcPr>
            <w:tcW w:w="5386" w:type="dxa"/>
            <w:vAlign w:val="center"/>
          </w:tcPr>
          <w:p w14:paraId="2E5494A2">
            <w:pPr>
              <w:pStyle w:val="12"/>
            </w:pPr>
            <w:r>
              <w:t>严格按照招标价格及审计额进行</w:t>
            </w:r>
          </w:p>
        </w:tc>
        <w:tc>
          <w:tcPr>
            <w:tcW w:w="2268" w:type="dxa"/>
            <w:vAlign w:val="center"/>
          </w:tcPr>
          <w:p w14:paraId="37A0D5AD">
            <w:pPr>
              <w:pStyle w:val="12"/>
            </w:pPr>
            <w:r>
              <w:t>180万元</w:t>
            </w:r>
          </w:p>
        </w:tc>
        <w:tc>
          <w:tcPr>
            <w:tcW w:w="1276" w:type="dxa"/>
            <w:vAlign w:val="center"/>
          </w:tcPr>
          <w:p w14:paraId="66023F21">
            <w:pPr>
              <w:pStyle w:val="12"/>
            </w:pPr>
            <w:r>
              <w:t>项目规划</w:t>
            </w:r>
          </w:p>
        </w:tc>
      </w:tr>
      <w:tr w14:paraId="1573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27F43">
            <w:pPr>
              <w:pStyle w:val="13"/>
            </w:pPr>
            <w:r>
              <w:t>效益指标</w:t>
            </w:r>
          </w:p>
        </w:tc>
        <w:tc>
          <w:tcPr>
            <w:tcW w:w="2268" w:type="dxa"/>
            <w:vAlign w:val="center"/>
          </w:tcPr>
          <w:p w14:paraId="6A4E0A90">
            <w:pPr>
              <w:pStyle w:val="12"/>
            </w:pPr>
            <w:r>
              <w:t>可持续影响指标</w:t>
            </w:r>
          </w:p>
        </w:tc>
        <w:tc>
          <w:tcPr>
            <w:tcW w:w="2835" w:type="dxa"/>
            <w:vAlign w:val="center"/>
          </w:tcPr>
          <w:p w14:paraId="416F1E90">
            <w:pPr>
              <w:pStyle w:val="12"/>
            </w:pPr>
            <w:r>
              <w:t>学校办学能力提升</w:t>
            </w:r>
          </w:p>
        </w:tc>
        <w:tc>
          <w:tcPr>
            <w:tcW w:w="5386" w:type="dxa"/>
            <w:vAlign w:val="center"/>
          </w:tcPr>
          <w:p w14:paraId="126ABDEA">
            <w:pPr>
              <w:pStyle w:val="12"/>
            </w:pPr>
            <w:r>
              <w:t>学校办学能</w:t>
            </w:r>
            <w:r>
              <w:rPr>
                <w:rFonts w:hint="eastAsia"/>
                <w:lang w:eastAsia="zh-CN"/>
              </w:rPr>
              <w:t>力提</w:t>
            </w:r>
            <w:r>
              <w:t>升情况及教育教学工作等开展的情况</w:t>
            </w:r>
          </w:p>
        </w:tc>
        <w:tc>
          <w:tcPr>
            <w:tcW w:w="2268" w:type="dxa"/>
            <w:vAlign w:val="center"/>
          </w:tcPr>
          <w:p w14:paraId="6B375B1B">
            <w:pPr>
              <w:pStyle w:val="12"/>
            </w:pPr>
            <w:r>
              <w:t>98%</w:t>
            </w:r>
          </w:p>
        </w:tc>
        <w:tc>
          <w:tcPr>
            <w:tcW w:w="1276" w:type="dxa"/>
            <w:vAlign w:val="center"/>
          </w:tcPr>
          <w:p w14:paraId="2F997D6E">
            <w:pPr>
              <w:pStyle w:val="12"/>
            </w:pPr>
            <w:r>
              <w:t>项目规划</w:t>
            </w:r>
          </w:p>
        </w:tc>
      </w:tr>
      <w:tr w14:paraId="38FE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88986">
            <w:pPr>
              <w:pStyle w:val="13"/>
            </w:pPr>
            <w:r>
              <w:t>满意度指标</w:t>
            </w:r>
          </w:p>
        </w:tc>
        <w:tc>
          <w:tcPr>
            <w:tcW w:w="2268" w:type="dxa"/>
            <w:vAlign w:val="center"/>
          </w:tcPr>
          <w:p w14:paraId="5EB2994E">
            <w:pPr>
              <w:pStyle w:val="12"/>
            </w:pPr>
            <w:r>
              <w:t>服务对象满意度指标</w:t>
            </w:r>
          </w:p>
        </w:tc>
        <w:tc>
          <w:tcPr>
            <w:tcW w:w="2835" w:type="dxa"/>
            <w:vAlign w:val="center"/>
          </w:tcPr>
          <w:p w14:paraId="293CB008">
            <w:pPr>
              <w:pStyle w:val="12"/>
            </w:pPr>
            <w:r>
              <w:t>学生、教师及家长对学校教学环境满意度情况</w:t>
            </w:r>
          </w:p>
        </w:tc>
        <w:tc>
          <w:tcPr>
            <w:tcW w:w="5386" w:type="dxa"/>
            <w:vAlign w:val="center"/>
          </w:tcPr>
          <w:p w14:paraId="59F8A09F">
            <w:pPr>
              <w:pStyle w:val="12"/>
            </w:pPr>
            <w:r>
              <w:t>学生、教师及家长对学校教学环境满意度情况</w:t>
            </w:r>
          </w:p>
        </w:tc>
        <w:tc>
          <w:tcPr>
            <w:tcW w:w="2268" w:type="dxa"/>
            <w:vAlign w:val="center"/>
          </w:tcPr>
          <w:p w14:paraId="04B270B9">
            <w:pPr>
              <w:pStyle w:val="12"/>
            </w:pPr>
            <w:r>
              <w:t>≥95%</w:t>
            </w:r>
          </w:p>
        </w:tc>
        <w:tc>
          <w:tcPr>
            <w:tcW w:w="1276" w:type="dxa"/>
            <w:vAlign w:val="center"/>
          </w:tcPr>
          <w:p w14:paraId="06383EDC">
            <w:pPr>
              <w:pStyle w:val="12"/>
            </w:pPr>
            <w:r>
              <w:t>项目规划</w:t>
            </w:r>
          </w:p>
        </w:tc>
      </w:tr>
    </w:tbl>
    <w:p w14:paraId="3BC2E137">
      <w:pPr>
        <w:sectPr>
          <w:pgSz w:w="16840" w:h="11900" w:orient="landscape"/>
          <w:pgMar w:top="1361" w:right="1020" w:bottom="1134" w:left="1020" w:header="720" w:footer="720" w:gutter="0"/>
          <w:cols w:space="720" w:num="1"/>
        </w:sectPr>
      </w:pPr>
    </w:p>
    <w:p w14:paraId="5C5FF10F">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3、冀财教[2025]121号/中央/2026年义教补助经费/城关校区东甫小学公用经费绩效目标表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B3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4AAA7">
            <w:pPr>
              <w:pStyle w:val="11"/>
            </w:pPr>
            <w:r>
              <w:t>单位：万元</w:t>
            </w:r>
          </w:p>
        </w:tc>
      </w:tr>
      <w:tr w14:paraId="7B58E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72CE7">
            <w:pPr>
              <w:pStyle w:val="10"/>
            </w:pPr>
            <w:r>
              <w:t>项目编码</w:t>
            </w:r>
          </w:p>
        </w:tc>
        <w:tc>
          <w:tcPr>
            <w:tcW w:w="5103" w:type="dxa"/>
            <w:gridSpan w:val="2"/>
            <w:vAlign w:val="center"/>
          </w:tcPr>
          <w:p w14:paraId="3F6BFB0D">
            <w:pPr>
              <w:pStyle w:val="12"/>
            </w:pPr>
            <w:r>
              <w:t>13052526P000004102633</w:t>
            </w:r>
          </w:p>
        </w:tc>
        <w:tc>
          <w:tcPr>
            <w:tcW w:w="2835" w:type="dxa"/>
            <w:vAlign w:val="center"/>
          </w:tcPr>
          <w:p w14:paraId="4F6F95A3">
            <w:pPr>
              <w:pStyle w:val="10"/>
            </w:pPr>
            <w:r>
              <w:t>项目名称</w:t>
            </w:r>
          </w:p>
        </w:tc>
        <w:tc>
          <w:tcPr>
            <w:tcW w:w="6095" w:type="dxa"/>
            <w:gridSpan w:val="3"/>
            <w:vAlign w:val="center"/>
          </w:tcPr>
          <w:p w14:paraId="28005CC0">
            <w:pPr>
              <w:pStyle w:val="12"/>
            </w:pPr>
            <w:r>
              <w:t>冀财教[2025]121号/中央/2026年义教补助经费/城关校区东甫小学公用经费</w:t>
            </w:r>
          </w:p>
        </w:tc>
      </w:tr>
      <w:tr w14:paraId="5183B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AA43C">
            <w:pPr>
              <w:pStyle w:val="10"/>
            </w:pPr>
            <w:r>
              <w:t>预算规模及资金用途</w:t>
            </w:r>
          </w:p>
        </w:tc>
        <w:tc>
          <w:tcPr>
            <w:tcW w:w="2268" w:type="dxa"/>
            <w:vAlign w:val="center"/>
          </w:tcPr>
          <w:p w14:paraId="18BEF6CD">
            <w:pPr>
              <w:pStyle w:val="10"/>
            </w:pPr>
            <w:r>
              <w:t>预算数</w:t>
            </w:r>
          </w:p>
        </w:tc>
        <w:tc>
          <w:tcPr>
            <w:tcW w:w="2835" w:type="dxa"/>
            <w:vAlign w:val="center"/>
          </w:tcPr>
          <w:p w14:paraId="2B4BECFA">
            <w:pPr>
              <w:pStyle w:val="12"/>
            </w:pPr>
            <w:r>
              <w:t>102.60</w:t>
            </w:r>
          </w:p>
        </w:tc>
        <w:tc>
          <w:tcPr>
            <w:tcW w:w="2835" w:type="dxa"/>
            <w:vAlign w:val="center"/>
          </w:tcPr>
          <w:p w14:paraId="782541BD">
            <w:pPr>
              <w:pStyle w:val="10"/>
            </w:pPr>
            <w:r>
              <w:t>其中：财政    资金</w:t>
            </w:r>
          </w:p>
        </w:tc>
        <w:tc>
          <w:tcPr>
            <w:tcW w:w="2551" w:type="dxa"/>
            <w:vAlign w:val="center"/>
          </w:tcPr>
          <w:p w14:paraId="29712E69">
            <w:pPr>
              <w:pStyle w:val="12"/>
            </w:pPr>
            <w:r>
              <w:t>102.60</w:t>
            </w:r>
          </w:p>
        </w:tc>
        <w:tc>
          <w:tcPr>
            <w:tcW w:w="2268" w:type="dxa"/>
            <w:vAlign w:val="center"/>
          </w:tcPr>
          <w:p w14:paraId="608AF4A8">
            <w:pPr>
              <w:pStyle w:val="10"/>
            </w:pPr>
            <w:r>
              <w:t>其他资金</w:t>
            </w:r>
          </w:p>
        </w:tc>
        <w:tc>
          <w:tcPr>
            <w:tcW w:w="1276" w:type="dxa"/>
            <w:vAlign w:val="center"/>
          </w:tcPr>
          <w:p w14:paraId="1C0BB6CC">
            <w:pPr>
              <w:pStyle w:val="12"/>
            </w:pPr>
            <w:r>
              <w:t xml:space="preserve"> </w:t>
            </w:r>
          </w:p>
        </w:tc>
      </w:tr>
      <w:tr w14:paraId="4A6A0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7DB12"/>
        </w:tc>
        <w:tc>
          <w:tcPr>
            <w:tcW w:w="14033" w:type="dxa"/>
            <w:gridSpan w:val="6"/>
            <w:vAlign w:val="center"/>
          </w:tcPr>
          <w:p w14:paraId="35B40915">
            <w:pPr>
              <w:pStyle w:val="12"/>
            </w:pPr>
            <w:r>
              <w:t>保障义务教育学校正常运转，完成教育教学活动和其他日常工作任务等方面的费用支出。</w:t>
            </w:r>
          </w:p>
        </w:tc>
      </w:tr>
      <w:tr w14:paraId="0CB8A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5A9FC">
            <w:pPr>
              <w:pStyle w:val="10"/>
            </w:pPr>
            <w:r>
              <w:t>资金支出计划（%）</w:t>
            </w:r>
          </w:p>
        </w:tc>
        <w:tc>
          <w:tcPr>
            <w:tcW w:w="5103" w:type="dxa"/>
            <w:gridSpan w:val="2"/>
            <w:vAlign w:val="center"/>
          </w:tcPr>
          <w:p w14:paraId="0BFFA0DB">
            <w:pPr>
              <w:pStyle w:val="10"/>
            </w:pPr>
            <w:r>
              <w:t>3月底</w:t>
            </w:r>
          </w:p>
        </w:tc>
        <w:tc>
          <w:tcPr>
            <w:tcW w:w="2835" w:type="dxa"/>
            <w:vAlign w:val="center"/>
          </w:tcPr>
          <w:p w14:paraId="0AE39E85">
            <w:pPr>
              <w:pStyle w:val="10"/>
            </w:pPr>
            <w:r>
              <w:t>6月底</w:t>
            </w:r>
          </w:p>
        </w:tc>
        <w:tc>
          <w:tcPr>
            <w:tcW w:w="2551" w:type="dxa"/>
            <w:vAlign w:val="center"/>
          </w:tcPr>
          <w:p w14:paraId="74575AD2">
            <w:pPr>
              <w:pStyle w:val="10"/>
            </w:pPr>
            <w:r>
              <w:t>10月底</w:t>
            </w:r>
          </w:p>
        </w:tc>
        <w:tc>
          <w:tcPr>
            <w:tcW w:w="3544" w:type="dxa"/>
            <w:gridSpan w:val="2"/>
            <w:vAlign w:val="center"/>
          </w:tcPr>
          <w:p w14:paraId="700A813E">
            <w:pPr>
              <w:pStyle w:val="10"/>
            </w:pPr>
            <w:r>
              <w:t>12月底</w:t>
            </w:r>
          </w:p>
        </w:tc>
      </w:tr>
      <w:tr w14:paraId="347E0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961C0"/>
        </w:tc>
        <w:tc>
          <w:tcPr>
            <w:tcW w:w="5103" w:type="dxa"/>
            <w:gridSpan w:val="2"/>
            <w:vAlign w:val="center"/>
          </w:tcPr>
          <w:p w14:paraId="4D680142">
            <w:pPr>
              <w:pStyle w:val="13"/>
            </w:pPr>
            <w:r>
              <w:t>25%</w:t>
            </w:r>
          </w:p>
        </w:tc>
        <w:tc>
          <w:tcPr>
            <w:tcW w:w="2835" w:type="dxa"/>
            <w:vAlign w:val="center"/>
          </w:tcPr>
          <w:p w14:paraId="09385A18">
            <w:pPr>
              <w:pStyle w:val="13"/>
            </w:pPr>
            <w:r>
              <w:t>50%</w:t>
            </w:r>
          </w:p>
        </w:tc>
        <w:tc>
          <w:tcPr>
            <w:tcW w:w="2551" w:type="dxa"/>
            <w:vAlign w:val="center"/>
          </w:tcPr>
          <w:p w14:paraId="19FA2AE1">
            <w:pPr>
              <w:pStyle w:val="13"/>
            </w:pPr>
            <w:r>
              <w:t>75%</w:t>
            </w:r>
          </w:p>
        </w:tc>
        <w:tc>
          <w:tcPr>
            <w:tcW w:w="3544" w:type="dxa"/>
            <w:gridSpan w:val="2"/>
            <w:vAlign w:val="center"/>
          </w:tcPr>
          <w:p w14:paraId="09E12CA4">
            <w:pPr>
              <w:pStyle w:val="13"/>
            </w:pPr>
            <w:r>
              <w:t>100%</w:t>
            </w:r>
          </w:p>
        </w:tc>
      </w:tr>
      <w:tr w14:paraId="58546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5865C">
            <w:pPr>
              <w:pStyle w:val="10"/>
            </w:pPr>
            <w:r>
              <w:t>绩效目标</w:t>
            </w:r>
          </w:p>
        </w:tc>
        <w:tc>
          <w:tcPr>
            <w:tcW w:w="14033" w:type="dxa"/>
            <w:gridSpan w:val="6"/>
            <w:vAlign w:val="center"/>
          </w:tcPr>
          <w:p w14:paraId="4F87EE12">
            <w:pPr>
              <w:pStyle w:val="12"/>
            </w:pPr>
            <w:r>
              <w:t>1.按季度分批次拨付公用经费</w:t>
            </w:r>
            <w:r>
              <w:rPr>
                <w:rFonts w:hint="eastAsia"/>
                <w:lang w:eastAsia="zh-CN"/>
              </w:rPr>
              <w:t>资金</w:t>
            </w:r>
            <w:r>
              <w:t>1026000元，资金拨付率达到100%。</w:t>
            </w:r>
          </w:p>
          <w:p w14:paraId="05E0FF97">
            <w:pPr>
              <w:pStyle w:val="12"/>
            </w:pPr>
            <w:r>
              <w:t>2.保障义务教育学校正常运转，完成教育教学活动和其他日常工作任务等方面的费用支出。</w:t>
            </w:r>
          </w:p>
        </w:tc>
      </w:tr>
    </w:tbl>
    <w:p w14:paraId="49DBF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C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BE742">
            <w:pPr>
              <w:pStyle w:val="10"/>
            </w:pPr>
            <w:r>
              <w:t>一级指标</w:t>
            </w:r>
          </w:p>
        </w:tc>
        <w:tc>
          <w:tcPr>
            <w:tcW w:w="2268" w:type="dxa"/>
            <w:vAlign w:val="center"/>
          </w:tcPr>
          <w:p w14:paraId="0033FCBF">
            <w:pPr>
              <w:pStyle w:val="10"/>
            </w:pPr>
            <w:r>
              <w:t>二级指标</w:t>
            </w:r>
          </w:p>
        </w:tc>
        <w:tc>
          <w:tcPr>
            <w:tcW w:w="2835" w:type="dxa"/>
            <w:vAlign w:val="center"/>
          </w:tcPr>
          <w:p w14:paraId="65E75FAE">
            <w:pPr>
              <w:pStyle w:val="10"/>
            </w:pPr>
            <w:r>
              <w:t>三级指标</w:t>
            </w:r>
          </w:p>
        </w:tc>
        <w:tc>
          <w:tcPr>
            <w:tcW w:w="5386" w:type="dxa"/>
            <w:vAlign w:val="center"/>
          </w:tcPr>
          <w:p w14:paraId="42157953">
            <w:pPr>
              <w:pStyle w:val="10"/>
            </w:pPr>
            <w:r>
              <w:t>绩效指标描述</w:t>
            </w:r>
          </w:p>
        </w:tc>
        <w:tc>
          <w:tcPr>
            <w:tcW w:w="2268" w:type="dxa"/>
            <w:vAlign w:val="center"/>
          </w:tcPr>
          <w:p w14:paraId="3BDF52D4">
            <w:pPr>
              <w:pStyle w:val="10"/>
            </w:pPr>
            <w:r>
              <w:t>指标值</w:t>
            </w:r>
          </w:p>
        </w:tc>
        <w:tc>
          <w:tcPr>
            <w:tcW w:w="1276" w:type="dxa"/>
            <w:vAlign w:val="center"/>
          </w:tcPr>
          <w:p w14:paraId="5F1050ED">
            <w:pPr>
              <w:pStyle w:val="10"/>
            </w:pPr>
            <w:r>
              <w:t>指标值确定依据</w:t>
            </w:r>
          </w:p>
        </w:tc>
      </w:tr>
      <w:tr w14:paraId="2C56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6B3E0">
            <w:pPr>
              <w:pStyle w:val="13"/>
            </w:pPr>
            <w:r>
              <w:t>产出指标</w:t>
            </w:r>
          </w:p>
        </w:tc>
        <w:tc>
          <w:tcPr>
            <w:tcW w:w="2268" w:type="dxa"/>
            <w:vAlign w:val="center"/>
          </w:tcPr>
          <w:p w14:paraId="763FD0FC">
            <w:pPr>
              <w:pStyle w:val="12"/>
            </w:pPr>
            <w:r>
              <w:t>数量指标</w:t>
            </w:r>
          </w:p>
        </w:tc>
        <w:tc>
          <w:tcPr>
            <w:tcW w:w="2835" w:type="dxa"/>
            <w:vAlign w:val="center"/>
          </w:tcPr>
          <w:p w14:paraId="6775EEE5">
            <w:pPr>
              <w:pStyle w:val="12"/>
            </w:pPr>
            <w:r>
              <w:t>适龄在校生</w:t>
            </w:r>
          </w:p>
        </w:tc>
        <w:tc>
          <w:tcPr>
            <w:tcW w:w="5386" w:type="dxa"/>
            <w:vAlign w:val="center"/>
          </w:tcPr>
          <w:p w14:paraId="5CDAC8B2">
            <w:pPr>
              <w:pStyle w:val="12"/>
            </w:pPr>
            <w:r>
              <w:t>适龄在校就读学生人数</w:t>
            </w:r>
          </w:p>
        </w:tc>
        <w:tc>
          <w:tcPr>
            <w:tcW w:w="2268" w:type="dxa"/>
            <w:vAlign w:val="center"/>
          </w:tcPr>
          <w:p w14:paraId="555F99DB">
            <w:pPr>
              <w:pStyle w:val="12"/>
            </w:pPr>
            <w:r>
              <w:t>≥1627人</w:t>
            </w:r>
          </w:p>
        </w:tc>
        <w:tc>
          <w:tcPr>
            <w:tcW w:w="1276" w:type="dxa"/>
            <w:vAlign w:val="center"/>
          </w:tcPr>
          <w:p w14:paraId="6EBD4AAC">
            <w:pPr>
              <w:pStyle w:val="12"/>
            </w:pPr>
            <w:r>
              <w:t>城乡义务教育公用经费管理办法</w:t>
            </w:r>
          </w:p>
        </w:tc>
      </w:tr>
      <w:tr w14:paraId="4E00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B6EAA"/>
        </w:tc>
        <w:tc>
          <w:tcPr>
            <w:tcW w:w="2268" w:type="dxa"/>
            <w:vAlign w:val="center"/>
          </w:tcPr>
          <w:p w14:paraId="0C6E03A9">
            <w:pPr>
              <w:pStyle w:val="12"/>
            </w:pPr>
            <w:r>
              <w:t>质量指标</w:t>
            </w:r>
          </w:p>
        </w:tc>
        <w:tc>
          <w:tcPr>
            <w:tcW w:w="2835" w:type="dxa"/>
            <w:vAlign w:val="center"/>
          </w:tcPr>
          <w:p w14:paraId="42078192">
            <w:pPr>
              <w:pStyle w:val="12"/>
            </w:pPr>
            <w:r>
              <w:t>公用经费拨付完成率</w:t>
            </w:r>
          </w:p>
        </w:tc>
        <w:tc>
          <w:tcPr>
            <w:tcW w:w="5386" w:type="dxa"/>
            <w:vAlign w:val="center"/>
          </w:tcPr>
          <w:p w14:paraId="4F96547C">
            <w:pPr>
              <w:pStyle w:val="12"/>
            </w:pPr>
            <w:r>
              <w:t>公用经费拨付完成率达到需时进度</w:t>
            </w:r>
          </w:p>
        </w:tc>
        <w:tc>
          <w:tcPr>
            <w:tcW w:w="2268" w:type="dxa"/>
            <w:vAlign w:val="center"/>
          </w:tcPr>
          <w:p w14:paraId="5067FDCE">
            <w:pPr>
              <w:pStyle w:val="12"/>
            </w:pPr>
            <w:r>
              <w:t>100%</w:t>
            </w:r>
          </w:p>
        </w:tc>
        <w:tc>
          <w:tcPr>
            <w:tcW w:w="1276" w:type="dxa"/>
            <w:vAlign w:val="center"/>
          </w:tcPr>
          <w:p w14:paraId="6613E857">
            <w:pPr>
              <w:pStyle w:val="12"/>
            </w:pPr>
            <w:r>
              <w:t>城乡义务教育公用经费管理办法</w:t>
            </w:r>
          </w:p>
        </w:tc>
      </w:tr>
      <w:tr w14:paraId="1AC7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62D72"/>
        </w:tc>
        <w:tc>
          <w:tcPr>
            <w:tcW w:w="2268" w:type="dxa"/>
            <w:vAlign w:val="center"/>
          </w:tcPr>
          <w:p w14:paraId="16E2CBBA">
            <w:pPr>
              <w:pStyle w:val="12"/>
            </w:pPr>
            <w:r>
              <w:t>时效指标</w:t>
            </w:r>
          </w:p>
        </w:tc>
        <w:tc>
          <w:tcPr>
            <w:tcW w:w="2835" w:type="dxa"/>
            <w:vAlign w:val="center"/>
          </w:tcPr>
          <w:p w14:paraId="3B0D0D3C">
            <w:pPr>
              <w:pStyle w:val="12"/>
            </w:pPr>
            <w:r>
              <w:t>资金支付率</w:t>
            </w:r>
          </w:p>
        </w:tc>
        <w:tc>
          <w:tcPr>
            <w:tcW w:w="5386" w:type="dxa"/>
            <w:vAlign w:val="center"/>
          </w:tcPr>
          <w:p w14:paraId="240A3F75">
            <w:pPr>
              <w:pStyle w:val="12"/>
            </w:pPr>
            <w:r>
              <w:t>按照序时进度完成资金支付</w:t>
            </w:r>
          </w:p>
        </w:tc>
        <w:tc>
          <w:tcPr>
            <w:tcW w:w="2268" w:type="dxa"/>
            <w:vAlign w:val="center"/>
          </w:tcPr>
          <w:p w14:paraId="5598EF15">
            <w:pPr>
              <w:pStyle w:val="12"/>
            </w:pPr>
            <w:r>
              <w:t>100%</w:t>
            </w:r>
          </w:p>
        </w:tc>
        <w:tc>
          <w:tcPr>
            <w:tcW w:w="1276" w:type="dxa"/>
            <w:vAlign w:val="center"/>
          </w:tcPr>
          <w:p w14:paraId="57AC5E31">
            <w:pPr>
              <w:pStyle w:val="12"/>
            </w:pPr>
            <w:r>
              <w:t>城乡义务教育公用经费管理办法</w:t>
            </w:r>
          </w:p>
        </w:tc>
      </w:tr>
      <w:tr w14:paraId="71F0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9F16E"/>
        </w:tc>
        <w:tc>
          <w:tcPr>
            <w:tcW w:w="2268" w:type="dxa"/>
            <w:vAlign w:val="center"/>
          </w:tcPr>
          <w:p w14:paraId="37D54248">
            <w:pPr>
              <w:pStyle w:val="12"/>
            </w:pPr>
            <w:r>
              <w:t>成本指标</w:t>
            </w:r>
          </w:p>
        </w:tc>
        <w:tc>
          <w:tcPr>
            <w:tcW w:w="2835" w:type="dxa"/>
            <w:vAlign w:val="center"/>
          </w:tcPr>
          <w:p w14:paraId="5D0A4628">
            <w:pPr>
              <w:pStyle w:val="12"/>
            </w:pPr>
            <w:r>
              <w:t>生均拨款标准</w:t>
            </w:r>
          </w:p>
        </w:tc>
        <w:tc>
          <w:tcPr>
            <w:tcW w:w="5386" w:type="dxa"/>
            <w:vAlign w:val="center"/>
          </w:tcPr>
          <w:p w14:paraId="1BFA34B1">
            <w:pPr>
              <w:pStyle w:val="12"/>
            </w:pPr>
            <w:r>
              <w:t>小学：（基本标准720元、寄宿生300元、取暖费120元）/生/学年；特教、随班就读学生：标准7000元/生/学年。</w:t>
            </w:r>
          </w:p>
        </w:tc>
        <w:tc>
          <w:tcPr>
            <w:tcW w:w="2268" w:type="dxa"/>
            <w:vAlign w:val="center"/>
          </w:tcPr>
          <w:p w14:paraId="170C7CF1">
            <w:pPr>
              <w:pStyle w:val="12"/>
            </w:pPr>
            <w:r>
              <w:t>1026000元</w:t>
            </w:r>
          </w:p>
        </w:tc>
        <w:tc>
          <w:tcPr>
            <w:tcW w:w="1276" w:type="dxa"/>
            <w:vAlign w:val="center"/>
          </w:tcPr>
          <w:p w14:paraId="0BE93C1C">
            <w:pPr>
              <w:pStyle w:val="12"/>
            </w:pPr>
            <w:r>
              <w:t>城乡义务教育公用经费管理办法</w:t>
            </w:r>
          </w:p>
        </w:tc>
      </w:tr>
      <w:tr w14:paraId="29A1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2048E">
            <w:pPr>
              <w:pStyle w:val="13"/>
            </w:pPr>
            <w:r>
              <w:t>效益指标</w:t>
            </w:r>
          </w:p>
        </w:tc>
        <w:tc>
          <w:tcPr>
            <w:tcW w:w="2268" w:type="dxa"/>
            <w:vAlign w:val="center"/>
          </w:tcPr>
          <w:p w14:paraId="2EBEA99A">
            <w:pPr>
              <w:pStyle w:val="12"/>
            </w:pPr>
            <w:r>
              <w:t>经济效益指标</w:t>
            </w:r>
          </w:p>
        </w:tc>
        <w:tc>
          <w:tcPr>
            <w:tcW w:w="2835" w:type="dxa"/>
            <w:vAlign w:val="center"/>
          </w:tcPr>
          <w:p w14:paraId="57CC0CFA">
            <w:pPr>
              <w:pStyle w:val="12"/>
            </w:pPr>
            <w:r>
              <w:t>项目实施成果</w:t>
            </w:r>
          </w:p>
        </w:tc>
        <w:tc>
          <w:tcPr>
            <w:tcW w:w="5386" w:type="dxa"/>
            <w:vAlign w:val="center"/>
          </w:tcPr>
          <w:p w14:paraId="14E72CEA">
            <w:pPr>
              <w:pStyle w:val="12"/>
            </w:pPr>
            <w:r>
              <w:t>减轻受教育学生家庭经济负担</w:t>
            </w:r>
          </w:p>
        </w:tc>
        <w:tc>
          <w:tcPr>
            <w:tcW w:w="2268" w:type="dxa"/>
            <w:vAlign w:val="center"/>
          </w:tcPr>
          <w:p w14:paraId="4315CD69">
            <w:pPr>
              <w:pStyle w:val="12"/>
            </w:pPr>
            <w:r>
              <w:t>100%</w:t>
            </w:r>
          </w:p>
        </w:tc>
        <w:tc>
          <w:tcPr>
            <w:tcW w:w="1276" w:type="dxa"/>
            <w:vAlign w:val="center"/>
          </w:tcPr>
          <w:p w14:paraId="7F879D4C">
            <w:pPr>
              <w:pStyle w:val="12"/>
            </w:pPr>
            <w:r>
              <w:t>城乡义务教育公用经费管理办法</w:t>
            </w:r>
          </w:p>
        </w:tc>
      </w:tr>
      <w:tr w14:paraId="221F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E9615"/>
        </w:tc>
        <w:tc>
          <w:tcPr>
            <w:tcW w:w="2268" w:type="dxa"/>
            <w:vAlign w:val="center"/>
          </w:tcPr>
          <w:p w14:paraId="327A1E87">
            <w:pPr>
              <w:pStyle w:val="12"/>
            </w:pPr>
            <w:r>
              <w:t>社会效益指标</w:t>
            </w:r>
          </w:p>
        </w:tc>
        <w:tc>
          <w:tcPr>
            <w:tcW w:w="2835" w:type="dxa"/>
            <w:vAlign w:val="center"/>
          </w:tcPr>
          <w:p w14:paraId="059FED14">
            <w:pPr>
              <w:pStyle w:val="12"/>
            </w:pPr>
            <w:r>
              <w:t>学校办学能力提升</w:t>
            </w:r>
          </w:p>
        </w:tc>
        <w:tc>
          <w:tcPr>
            <w:tcW w:w="5386" w:type="dxa"/>
            <w:vAlign w:val="center"/>
          </w:tcPr>
          <w:p w14:paraId="4FD6D336">
            <w:pPr>
              <w:pStyle w:val="12"/>
            </w:pPr>
            <w:r>
              <w:t>学校办学能</w:t>
            </w:r>
            <w:r>
              <w:rPr>
                <w:rFonts w:hint="eastAsia"/>
                <w:lang w:eastAsia="zh-CN"/>
              </w:rPr>
              <w:t>力提</w:t>
            </w:r>
            <w:r>
              <w:t>升情况及教育教学工作等开展的情况</w:t>
            </w:r>
          </w:p>
        </w:tc>
        <w:tc>
          <w:tcPr>
            <w:tcW w:w="2268" w:type="dxa"/>
            <w:vAlign w:val="center"/>
          </w:tcPr>
          <w:p w14:paraId="6F39DBFE">
            <w:pPr>
              <w:pStyle w:val="12"/>
            </w:pPr>
            <w:r>
              <w:t>100%</w:t>
            </w:r>
          </w:p>
        </w:tc>
        <w:tc>
          <w:tcPr>
            <w:tcW w:w="1276" w:type="dxa"/>
            <w:vAlign w:val="center"/>
          </w:tcPr>
          <w:p w14:paraId="3F538882">
            <w:pPr>
              <w:pStyle w:val="12"/>
            </w:pPr>
            <w:r>
              <w:t>城乡义务教育公用经费管理办法</w:t>
            </w:r>
          </w:p>
        </w:tc>
      </w:tr>
      <w:tr w14:paraId="4B6EC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0464"/>
        </w:tc>
        <w:tc>
          <w:tcPr>
            <w:tcW w:w="2268" w:type="dxa"/>
            <w:vAlign w:val="center"/>
          </w:tcPr>
          <w:p w14:paraId="1FF1DC1C">
            <w:pPr>
              <w:pStyle w:val="12"/>
            </w:pPr>
            <w:r>
              <w:t>可持续影响指标</w:t>
            </w:r>
          </w:p>
        </w:tc>
        <w:tc>
          <w:tcPr>
            <w:tcW w:w="2835" w:type="dxa"/>
            <w:vAlign w:val="center"/>
          </w:tcPr>
          <w:p w14:paraId="7BAE5303">
            <w:pPr>
              <w:pStyle w:val="12"/>
            </w:pPr>
            <w:r>
              <w:t>教育发展水平</w:t>
            </w:r>
          </w:p>
        </w:tc>
        <w:tc>
          <w:tcPr>
            <w:tcW w:w="5386" w:type="dxa"/>
            <w:vAlign w:val="center"/>
          </w:tcPr>
          <w:p w14:paraId="37A6B74A">
            <w:pPr>
              <w:pStyle w:val="12"/>
            </w:pPr>
            <w:r>
              <w:t>辖区内教育环境明显好转</w:t>
            </w:r>
          </w:p>
        </w:tc>
        <w:tc>
          <w:tcPr>
            <w:tcW w:w="2268" w:type="dxa"/>
            <w:vAlign w:val="center"/>
          </w:tcPr>
          <w:p w14:paraId="1C0E4DEF">
            <w:pPr>
              <w:pStyle w:val="12"/>
            </w:pPr>
            <w:r>
              <w:t>100%</w:t>
            </w:r>
          </w:p>
        </w:tc>
        <w:tc>
          <w:tcPr>
            <w:tcW w:w="1276" w:type="dxa"/>
            <w:vAlign w:val="center"/>
          </w:tcPr>
          <w:p w14:paraId="51097E6B">
            <w:pPr>
              <w:pStyle w:val="12"/>
            </w:pPr>
            <w:r>
              <w:t>城乡义务教育公用经费管理办法</w:t>
            </w:r>
          </w:p>
        </w:tc>
      </w:tr>
      <w:tr w14:paraId="2D12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69406">
            <w:pPr>
              <w:pStyle w:val="13"/>
            </w:pPr>
            <w:r>
              <w:t>满意度指标</w:t>
            </w:r>
          </w:p>
        </w:tc>
        <w:tc>
          <w:tcPr>
            <w:tcW w:w="2268" w:type="dxa"/>
            <w:vAlign w:val="center"/>
          </w:tcPr>
          <w:p w14:paraId="0B5BD0BF">
            <w:pPr>
              <w:pStyle w:val="12"/>
            </w:pPr>
            <w:r>
              <w:t>服务对象满意度指标</w:t>
            </w:r>
          </w:p>
        </w:tc>
        <w:tc>
          <w:tcPr>
            <w:tcW w:w="2835" w:type="dxa"/>
            <w:vAlign w:val="center"/>
          </w:tcPr>
          <w:p w14:paraId="384CAC46">
            <w:pPr>
              <w:pStyle w:val="12"/>
            </w:pPr>
            <w:r>
              <w:t>受益学生家长及调查满意度</w:t>
            </w:r>
          </w:p>
        </w:tc>
        <w:tc>
          <w:tcPr>
            <w:tcW w:w="5386" w:type="dxa"/>
            <w:vAlign w:val="center"/>
          </w:tcPr>
          <w:p w14:paraId="5E7CD16E">
            <w:pPr>
              <w:pStyle w:val="12"/>
            </w:pPr>
            <w:r>
              <w:t>学生、教师及家长对学校保教保育工作满意度情况</w:t>
            </w:r>
          </w:p>
        </w:tc>
        <w:tc>
          <w:tcPr>
            <w:tcW w:w="2268" w:type="dxa"/>
            <w:vAlign w:val="center"/>
          </w:tcPr>
          <w:p w14:paraId="303F0E8B">
            <w:pPr>
              <w:pStyle w:val="12"/>
            </w:pPr>
            <w:r>
              <w:t>≥95%</w:t>
            </w:r>
          </w:p>
        </w:tc>
        <w:tc>
          <w:tcPr>
            <w:tcW w:w="1276" w:type="dxa"/>
            <w:vAlign w:val="center"/>
          </w:tcPr>
          <w:p w14:paraId="283D5DC4">
            <w:pPr>
              <w:pStyle w:val="12"/>
            </w:pPr>
            <w:r>
              <w:t>调查问卷</w:t>
            </w:r>
          </w:p>
        </w:tc>
      </w:tr>
    </w:tbl>
    <w:p w14:paraId="3C439FF0">
      <w:pPr>
        <w:sectPr>
          <w:pgSz w:w="16840" w:h="11900" w:orient="landscape"/>
          <w:pgMar w:top="1361" w:right="1020" w:bottom="1134" w:left="1020" w:header="720" w:footer="720" w:gutter="0"/>
          <w:cols w:space="720" w:num="1"/>
        </w:sectPr>
      </w:pPr>
    </w:p>
    <w:p w14:paraId="2F6DFD0D">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4、冀财教[2025]121号/中央/2026年义教补助经费/城关校区柳行小学公用经费绩效目标表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D7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3C07C">
            <w:pPr>
              <w:pStyle w:val="11"/>
            </w:pPr>
            <w:r>
              <w:t>单位：万元</w:t>
            </w:r>
          </w:p>
        </w:tc>
      </w:tr>
      <w:tr w14:paraId="1182A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6E274">
            <w:pPr>
              <w:pStyle w:val="10"/>
            </w:pPr>
            <w:r>
              <w:t>项目编码</w:t>
            </w:r>
          </w:p>
        </w:tc>
        <w:tc>
          <w:tcPr>
            <w:tcW w:w="5103" w:type="dxa"/>
            <w:gridSpan w:val="2"/>
            <w:vAlign w:val="center"/>
          </w:tcPr>
          <w:p w14:paraId="1BF93B0D">
            <w:pPr>
              <w:pStyle w:val="12"/>
            </w:pPr>
            <w:r>
              <w:t>13052526P00000410266X</w:t>
            </w:r>
          </w:p>
        </w:tc>
        <w:tc>
          <w:tcPr>
            <w:tcW w:w="2835" w:type="dxa"/>
            <w:vAlign w:val="center"/>
          </w:tcPr>
          <w:p w14:paraId="42224320">
            <w:pPr>
              <w:pStyle w:val="10"/>
            </w:pPr>
            <w:r>
              <w:t>项目名称</w:t>
            </w:r>
          </w:p>
        </w:tc>
        <w:tc>
          <w:tcPr>
            <w:tcW w:w="6095" w:type="dxa"/>
            <w:gridSpan w:val="3"/>
            <w:vAlign w:val="center"/>
          </w:tcPr>
          <w:p w14:paraId="20F8F313">
            <w:pPr>
              <w:pStyle w:val="12"/>
            </w:pPr>
            <w:r>
              <w:t>冀财教[2025]121号/中央/2026年义教补助经费/城关校区柳行小学公用经费</w:t>
            </w:r>
          </w:p>
        </w:tc>
      </w:tr>
      <w:tr w14:paraId="0A1F0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91B7F">
            <w:pPr>
              <w:pStyle w:val="10"/>
            </w:pPr>
            <w:r>
              <w:t>预算规模及资金用途</w:t>
            </w:r>
          </w:p>
        </w:tc>
        <w:tc>
          <w:tcPr>
            <w:tcW w:w="2268" w:type="dxa"/>
            <w:vAlign w:val="center"/>
          </w:tcPr>
          <w:p w14:paraId="4C0471E9">
            <w:pPr>
              <w:pStyle w:val="10"/>
            </w:pPr>
            <w:r>
              <w:t>预算数</w:t>
            </w:r>
          </w:p>
        </w:tc>
        <w:tc>
          <w:tcPr>
            <w:tcW w:w="2835" w:type="dxa"/>
            <w:vAlign w:val="center"/>
          </w:tcPr>
          <w:p w14:paraId="005824FD">
            <w:pPr>
              <w:pStyle w:val="12"/>
            </w:pPr>
            <w:r>
              <w:t>38.02</w:t>
            </w:r>
          </w:p>
        </w:tc>
        <w:tc>
          <w:tcPr>
            <w:tcW w:w="2835" w:type="dxa"/>
            <w:vAlign w:val="center"/>
          </w:tcPr>
          <w:p w14:paraId="2F0A9EFF">
            <w:pPr>
              <w:pStyle w:val="10"/>
            </w:pPr>
            <w:r>
              <w:t>其中：财政    资金</w:t>
            </w:r>
          </w:p>
        </w:tc>
        <w:tc>
          <w:tcPr>
            <w:tcW w:w="2551" w:type="dxa"/>
            <w:vAlign w:val="center"/>
          </w:tcPr>
          <w:p w14:paraId="04D93947">
            <w:pPr>
              <w:pStyle w:val="12"/>
            </w:pPr>
            <w:r>
              <w:t>38.02</w:t>
            </w:r>
          </w:p>
        </w:tc>
        <w:tc>
          <w:tcPr>
            <w:tcW w:w="2268" w:type="dxa"/>
            <w:vAlign w:val="center"/>
          </w:tcPr>
          <w:p w14:paraId="1332EF26">
            <w:pPr>
              <w:pStyle w:val="10"/>
            </w:pPr>
            <w:r>
              <w:t>其他资金</w:t>
            </w:r>
          </w:p>
        </w:tc>
        <w:tc>
          <w:tcPr>
            <w:tcW w:w="1276" w:type="dxa"/>
            <w:vAlign w:val="center"/>
          </w:tcPr>
          <w:p w14:paraId="7C097B0F">
            <w:pPr>
              <w:pStyle w:val="12"/>
            </w:pPr>
            <w:r>
              <w:t xml:space="preserve"> </w:t>
            </w:r>
          </w:p>
        </w:tc>
      </w:tr>
      <w:tr w14:paraId="22BE1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D9C3D"/>
        </w:tc>
        <w:tc>
          <w:tcPr>
            <w:tcW w:w="14033" w:type="dxa"/>
            <w:gridSpan w:val="6"/>
            <w:vAlign w:val="center"/>
          </w:tcPr>
          <w:p w14:paraId="4FFE7461">
            <w:pPr>
              <w:pStyle w:val="12"/>
            </w:pPr>
            <w:r>
              <w:t>保障义务教育学校正常运转，完成教育教学活动和其他日常工作任务等方面的费用支出。</w:t>
            </w:r>
          </w:p>
        </w:tc>
      </w:tr>
      <w:tr w14:paraId="57E91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E4ED8">
            <w:pPr>
              <w:pStyle w:val="10"/>
            </w:pPr>
            <w:r>
              <w:t>资金支出计划（%）</w:t>
            </w:r>
          </w:p>
        </w:tc>
        <w:tc>
          <w:tcPr>
            <w:tcW w:w="5103" w:type="dxa"/>
            <w:gridSpan w:val="2"/>
            <w:vAlign w:val="center"/>
          </w:tcPr>
          <w:p w14:paraId="1F6F7914">
            <w:pPr>
              <w:pStyle w:val="10"/>
            </w:pPr>
            <w:r>
              <w:t>3月底</w:t>
            </w:r>
          </w:p>
        </w:tc>
        <w:tc>
          <w:tcPr>
            <w:tcW w:w="2835" w:type="dxa"/>
            <w:vAlign w:val="center"/>
          </w:tcPr>
          <w:p w14:paraId="6CA8DDD0">
            <w:pPr>
              <w:pStyle w:val="10"/>
            </w:pPr>
            <w:r>
              <w:t>6月底</w:t>
            </w:r>
          </w:p>
        </w:tc>
        <w:tc>
          <w:tcPr>
            <w:tcW w:w="2551" w:type="dxa"/>
            <w:vAlign w:val="center"/>
          </w:tcPr>
          <w:p w14:paraId="264C8D69">
            <w:pPr>
              <w:pStyle w:val="10"/>
            </w:pPr>
            <w:r>
              <w:t>10月底</w:t>
            </w:r>
          </w:p>
        </w:tc>
        <w:tc>
          <w:tcPr>
            <w:tcW w:w="3544" w:type="dxa"/>
            <w:gridSpan w:val="2"/>
            <w:vAlign w:val="center"/>
          </w:tcPr>
          <w:p w14:paraId="3BAA23BB">
            <w:pPr>
              <w:pStyle w:val="10"/>
            </w:pPr>
            <w:r>
              <w:t>12月底</w:t>
            </w:r>
          </w:p>
        </w:tc>
      </w:tr>
      <w:tr w14:paraId="69EFD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1D0E7"/>
        </w:tc>
        <w:tc>
          <w:tcPr>
            <w:tcW w:w="5103" w:type="dxa"/>
            <w:gridSpan w:val="2"/>
            <w:vAlign w:val="center"/>
          </w:tcPr>
          <w:p w14:paraId="26C6270A">
            <w:pPr>
              <w:pStyle w:val="13"/>
            </w:pPr>
            <w:r>
              <w:t>25%</w:t>
            </w:r>
          </w:p>
        </w:tc>
        <w:tc>
          <w:tcPr>
            <w:tcW w:w="2835" w:type="dxa"/>
            <w:vAlign w:val="center"/>
          </w:tcPr>
          <w:p w14:paraId="4A2B58AE">
            <w:pPr>
              <w:pStyle w:val="13"/>
            </w:pPr>
            <w:r>
              <w:t>50%</w:t>
            </w:r>
          </w:p>
        </w:tc>
        <w:tc>
          <w:tcPr>
            <w:tcW w:w="2551" w:type="dxa"/>
            <w:vAlign w:val="center"/>
          </w:tcPr>
          <w:p w14:paraId="368369D1">
            <w:pPr>
              <w:pStyle w:val="13"/>
            </w:pPr>
            <w:r>
              <w:t>75%</w:t>
            </w:r>
          </w:p>
        </w:tc>
        <w:tc>
          <w:tcPr>
            <w:tcW w:w="3544" w:type="dxa"/>
            <w:gridSpan w:val="2"/>
            <w:vAlign w:val="center"/>
          </w:tcPr>
          <w:p w14:paraId="5379A439">
            <w:pPr>
              <w:pStyle w:val="13"/>
            </w:pPr>
            <w:r>
              <w:t>100%</w:t>
            </w:r>
          </w:p>
        </w:tc>
      </w:tr>
      <w:tr w14:paraId="3E3F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19C37">
            <w:pPr>
              <w:pStyle w:val="10"/>
            </w:pPr>
            <w:r>
              <w:t>绩效目标</w:t>
            </w:r>
          </w:p>
        </w:tc>
        <w:tc>
          <w:tcPr>
            <w:tcW w:w="14033" w:type="dxa"/>
            <w:gridSpan w:val="6"/>
            <w:vAlign w:val="center"/>
          </w:tcPr>
          <w:p w14:paraId="4892583D">
            <w:pPr>
              <w:pStyle w:val="12"/>
            </w:pPr>
            <w:r>
              <w:t>1.按季度分批次拨付公用经费资金380200元，资金拨付率达到100%。</w:t>
            </w:r>
          </w:p>
          <w:p w14:paraId="5D1D30B5">
            <w:pPr>
              <w:pStyle w:val="12"/>
            </w:pPr>
            <w:r>
              <w:t>2.保障义务教育学校正常运转，完成教育教学活动和其他日常工作任务等方面的费用支出。</w:t>
            </w:r>
          </w:p>
        </w:tc>
      </w:tr>
    </w:tbl>
    <w:p w14:paraId="149396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B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95765">
            <w:pPr>
              <w:pStyle w:val="10"/>
            </w:pPr>
            <w:r>
              <w:t>一级指标</w:t>
            </w:r>
          </w:p>
        </w:tc>
        <w:tc>
          <w:tcPr>
            <w:tcW w:w="2268" w:type="dxa"/>
            <w:vAlign w:val="center"/>
          </w:tcPr>
          <w:p w14:paraId="0566C32D">
            <w:pPr>
              <w:pStyle w:val="10"/>
            </w:pPr>
            <w:r>
              <w:t>二级指标</w:t>
            </w:r>
          </w:p>
        </w:tc>
        <w:tc>
          <w:tcPr>
            <w:tcW w:w="2835" w:type="dxa"/>
            <w:vAlign w:val="center"/>
          </w:tcPr>
          <w:p w14:paraId="763C8A13">
            <w:pPr>
              <w:pStyle w:val="10"/>
            </w:pPr>
            <w:r>
              <w:t>三级指标</w:t>
            </w:r>
          </w:p>
        </w:tc>
        <w:tc>
          <w:tcPr>
            <w:tcW w:w="5386" w:type="dxa"/>
            <w:vAlign w:val="center"/>
          </w:tcPr>
          <w:p w14:paraId="4D3F025C">
            <w:pPr>
              <w:pStyle w:val="10"/>
            </w:pPr>
            <w:r>
              <w:t>绩效指标描述</w:t>
            </w:r>
          </w:p>
        </w:tc>
        <w:tc>
          <w:tcPr>
            <w:tcW w:w="2268" w:type="dxa"/>
            <w:vAlign w:val="center"/>
          </w:tcPr>
          <w:p w14:paraId="0390E0C7">
            <w:pPr>
              <w:pStyle w:val="10"/>
            </w:pPr>
            <w:r>
              <w:t>指标值</w:t>
            </w:r>
          </w:p>
        </w:tc>
        <w:tc>
          <w:tcPr>
            <w:tcW w:w="1276" w:type="dxa"/>
            <w:vAlign w:val="center"/>
          </w:tcPr>
          <w:p w14:paraId="4ADB0A77">
            <w:pPr>
              <w:pStyle w:val="10"/>
            </w:pPr>
            <w:r>
              <w:t>指标值确定依据</w:t>
            </w:r>
          </w:p>
        </w:tc>
      </w:tr>
      <w:tr w14:paraId="50FB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A7C77">
            <w:pPr>
              <w:pStyle w:val="13"/>
            </w:pPr>
            <w:r>
              <w:t>产出指标</w:t>
            </w:r>
          </w:p>
        </w:tc>
        <w:tc>
          <w:tcPr>
            <w:tcW w:w="2268" w:type="dxa"/>
            <w:vAlign w:val="center"/>
          </w:tcPr>
          <w:p w14:paraId="7F1A4080">
            <w:pPr>
              <w:pStyle w:val="12"/>
            </w:pPr>
            <w:r>
              <w:t>数量指标</w:t>
            </w:r>
          </w:p>
        </w:tc>
        <w:tc>
          <w:tcPr>
            <w:tcW w:w="2835" w:type="dxa"/>
            <w:vAlign w:val="center"/>
          </w:tcPr>
          <w:p w14:paraId="6B440343">
            <w:pPr>
              <w:pStyle w:val="12"/>
            </w:pPr>
            <w:r>
              <w:t>适龄在校生</w:t>
            </w:r>
          </w:p>
        </w:tc>
        <w:tc>
          <w:tcPr>
            <w:tcW w:w="5386" w:type="dxa"/>
            <w:vAlign w:val="center"/>
          </w:tcPr>
          <w:p w14:paraId="2F69972C">
            <w:pPr>
              <w:pStyle w:val="12"/>
            </w:pPr>
            <w:r>
              <w:t>适龄在校就读学生人数</w:t>
            </w:r>
          </w:p>
        </w:tc>
        <w:tc>
          <w:tcPr>
            <w:tcW w:w="2268" w:type="dxa"/>
            <w:vAlign w:val="center"/>
          </w:tcPr>
          <w:p w14:paraId="3A733F72">
            <w:pPr>
              <w:pStyle w:val="12"/>
            </w:pPr>
            <w:r>
              <w:t>≥540人</w:t>
            </w:r>
          </w:p>
        </w:tc>
        <w:tc>
          <w:tcPr>
            <w:tcW w:w="1276" w:type="dxa"/>
            <w:vAlign w:val="center"/>
          </w:tcPr>
          <w:p w14:paraId="4F5F7810">
            <w:pPr>
              <w:pStyle w:val="12"/>
            </w:pPr>
            <w:r>
              <w:t>城乡义务教育公用经费管理办法</w:t>
            </w:r>
          </w:p>
        </w:tc>
      </w:tr>
      <w:tr w14:paraId="3CB0D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08B7F"/>
        </w:tc>
        <w:tc>
          <w:tcPr>
            <w:tcW w:w="2268" w:type="dxa"/>
            <w:vAlign w:val="center"/>
          </w:tcPr>
          <w:p w14:paraId="18D1AA3D">
            <w:pPr>
              <w:pStyle w:val="12"/>
            </w:pPr>
            <w:r>
              <w:t>质量指标</w:t>
            </w:r>
          </w:p>
        </w:tc>
        <w:tc>
          <w:tcPr>
            <w:tcW w:w="2835" w:type="dxa"/>
            <w:vAlign w:val="center"/>
          </w:tcPr>
          <w:p w14:paraId="758C819B">
            <w:pPr>
              <w:pStyle w:val="12"/>
            </w:pPr>
            <w:r>
              <w:t>公用经费拨付完成率</w:t>
            </w:r>
          </w:p>
        </w:tc>
        <w:tc>
          <w:tcPr>
            <w:tcW w:w="5386" w:type="dxa"/>
            <w:vAlign w:val="center"/>
          </w:tcPr>
          <w:p w14:paraId="235064FB">
            <w:pPr>
              <w:pStyle w:val="12"/>
            </w:pPr>
            <w:r>
              <w:t>公用经费拨付完成率达到需时进度</w:t>
            </w:r>
          </w:p>
        </w:tc>
        <w:tc>
          <w:tcPr>
            <w:tcW w:w="2268" w:type="dxa"/>
            <w:vAlign w:val="center"/>
          </w:tcPr>
          <w:p w14:paraId="006EE822">
            <w:pPr>
              <w:pStyle w:val="12"/>
            </w:pPr>
            <w:r>
              <w:t>100%</w:t>
            </w:r>
          </w:p>
        </w:tc>
        <w:tc>
          <w:tcPr>
            <w:tcW w:w="1276" w:type="dxa"/>
            <w:vAlign w:val="center"/>
          </w:tcPr>
          <w:p w14:paraId="2566A736">
            <w:pPr>
              <w:pStyle w:val="12"/>
            </w:pPr>
            <w:r>
              <w:t>城乡义务教育公用经费管理办法</w:t>
            </w:r>
          </w:p>
        </w:tc>
      </w:tr>
      <w:tr w14:paraId="5D9E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65553"/>
        </w:tc>
        <w:tc>
          <w:tcPr>
            <w:tcW w:w="2268" w:type="dxa"/>
            <w:vAlign w:val="center"/>
          </w:tcPr>
          <w:p w14:paraId="603A7D82">
            <w:pPr>
              <w:pStyle w:val="12"/>
            </w:pPr>
            <w:r>
              <w:t>时效指标</w:t>
            </w:r>
          </w:p>
        </w:tc>
        <w:tc>
          <w:tcPr>
            <w:tcW w:w="2835" w:type="dxa"/>
            <w:vAlign w:val="center"/>
          </w:tcPr>
          <w:p w14:paraId="223545DD">
            <w:pPr>
              <w:pStyle w:val="12"/>
            </w:pPr>
            <w:r>
              <w:t>资金支付率</w:t>
            </w:r>
          </w:p>
        </w:tc>
        <w:tc>
          <w:tcPr>
            <w:tcW w:w="5386" w:type="dxa"/>
            <w:vAlign w:val="center"/>
          </w:tcPr>
          <w:p w14:paraId="523D7596">
            <w:pPr>
              <w:pStyle w:val="12"/>
            </w:pPr>
            <w:r>
              <w:t>按照序时进度完成资金支付</w:t>
            </w:r>
          </w:p>
        </w:tc>
        <w:tc>
          <w:tcPr>
            <w:tcW w:w="2268" w:type="dxa"/>
            <w:vAlign w:val="center"/>
          </w:tcPr>
          <w:p w14:paraId="0761D915">
            <w:pPr>
              <w:pStyle w:val="12"/>
            </w:pPr>
            <w:r>
              <w:t>100%</w:t>
            </w:r>
          </w:p>
        </w:tc>
        <w:tc>
          <w:tcPr>
            <w:tcW w:w="1276" w:type="dxa"/>
            <w:vAlign w:val="center"/>
          </w:tcPr>
          <w:p w14:paraId="134B64D8">
            <w:pPr>
              <w:pStyle w:val="12"/>
            </w:pPr>
            <w:r>
              <w:t>城乡义务教育公用经费管理办法</w:t>
            </w:r>
          </w:p>
        </w:tc>
      </w:tr>
      <w:tr w14:paraId="0F53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7C431"/>
        </w:tc>
        <w:tc>
          <w:tcPr>
            <w:tcW w:w="2268" w:type="dxa"/>
            <w:vAlign w:val="center"/>
          </w:tcPr>
          <w:p w14:paraId="33DCB6D3">
            <w:pPr>
              <w:pStyle w:val="12"/>
            </w:pPr>
            <w:r>
              <w:t>成本指标</w:t>
            </w:r>
          </w:p>
        </w:tc>
        <w:tc>
          <w:tcPr>
            <w:tcW w:w="2835" w:type="dxa"/>
            <w:vAlign w:val="center"/>
          </w:tcPr>
          <w:p w14:paraId="103E5697">
            <w:pPr>
              <w:pStyle w:val="12"/>
            </w:pPr>
            <w:r>
              <w:t>生均拨款标准</w:t>
            </w:r>
          </w:p>
        </w:tc>
        <w:tc>
          <w:tcPr>
            <w:tcW w:w="5386" w:type="dxa"/>
            <w:vAlign w:val="center"/>
          </w:tcPr>
          <w:p w14:paraId="02EF630C">
            <w:pPr>
              <w:pStyle w:val="12"/>
            </w:pPr>
            <w:r>
              <w:t>小学：（基本标准720元、寄宿生300元、取暖费120元）/生/学年；特教、随班就读学生：标准7000元/生/学年。</w:t>
            </w:r>
          </w:p>
        </w:tc>
        <w:tc>
          <w:tcPr>
            <w:tcW w:w="2268" w:type="dxa"/>
            <w:vAlign w:val="center"/>
          </w:tcPr>
          <w:p w14:paraId="54296C9A">
            <w:pPr>
              <w:pStyle w:val="12"/>
            </w:pPr>
            <w:r>
              <w:t>380200元</w:t>
            </w:r>
          </w:p>
        </w:tc>
        <w:tc>
          <w:tcPr>
            <w:tcW w:w="1276" w:type="dxa"/>
            <w:vAlign w:val="center"/>
          </w:tcPr>
          <w:p w14:paraId="3AB06B9F">
            <w:pPr>
              <w:pStyle w:val="12"/>
            </w:pPr>
            <w:r>
              <w:t>城乡义务教育公用经费管理办法</w:t>
            </w:r>
          </w:p>
        </w:tc>
      </w:tr>
      <w:tr w14:paraId="6A46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68C71">
            <w:pPr>
              <w:pStyle w:val="13"/>
            </w:pPr>
            <w:r>
              <w:t>效益指标</w:t>
            </w:r>
          </w:p>
        </w:tc>
        <w:tc>
          <w:tcPr>
            <w:tcW w:w="2268" w:type="dxa"/>
            <w:vAlign w:val="center"/>
          </w:tcPr>
          <w:p w14:paraId="33FDA450">
            <w:pPr>
              <w:pStyle w:val="12"/>
            </w:pPr>
            <w:r>
              <w:t>经济效益指标</w:t>
            </w:r>
          </w:p>
        </w:tc>
        <w:tc>
          <w:tcPr>
            <w:tcW w:w="2835" w:type="dxa"/>
            <w:vAlign w:val="center"/>
          </w:tcPr>
          <w:p w14:paraId="732F12F0">
            <w:pPr>
              <w:pStyle w:val="12"/>
            </w:pPr>
            <w:r>
              <w:t>项目实施成果</w:t>
            </w:r>
          </w:p>
        </w:tc>
        <w:tc>
          <w:tcPr>
            <w:tcW w:w="5386" w:type="dxa"/>
            <w:vAlign w:val="center"/>
          </w:tcPr>
          <w:p w14:paraId="6EB44A92">
            <w:pPr>
              <w:pStyle w:val="12"/>
            </w:pPr>
            <w:r>
              <w:t>减轻受教育学生家庭经济负担</w:t>
            </w:r>
          </w:p>
        </w:tc>
        <w:tc>
          <w:tcPr>
            <w:tcW w:w="2268" w:type="dxa"/>
            <w:vAlign w:val="center"/>
          </w:tcPr>
          <w:p w14:paraId="4E35966C">
            <w:pPr>
              <w:pStyle w:val="12"/>
            </w:pPr>
            <w:r>
              <w:t>100%</w:t>
            </w:r>
          </w:p>
        </w:tc>
        <w:tc>
          <w:tcPr>
            <w:tcW w:w="1276" w:type="dxa"/>
            <w:vAlign w:val="center"/>
          </w:tcPr>
          <w:p w14:paraId="34086589">
            <w:pPr>
              <w:pStyle w:val="12"/>
            </w:pPr>
            <w:r>
              <w:t>城乡义务教育公用经费管理办法</w:t>
            </w:r>
          </w:p>
        </w:tc>
      </w:tr>
      <w:tr w14:paraId="171A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19687"/>
        </w:tc>
        <w:tc>
          <w:tcPr>
            <w:tcW w:w="2268" w:type="dxa"/>
            <w:vAlign w:val="center"/>
          </w:tcPr>
          <w:p w14:paraId="0E5F8A8C">
            <w:pPr>
              <w:pStyle w:val="12"/>
            </w:pPr>
            <w:r>
              <w:t>社会效益指标</w:t>
            </w:r>
          </w:p>
        </w:tc>
        <w:tc>
          <w:tcPr>
            <w:tcW w:w="2835" w:type="dxa"/>
            <w:vAlign w:val="center"/>
          </w:tcPr>
          <w:p w14:paraId="558D8BCA">
            <w:pPr>
              <w:pStyle w:val="12"/>
            </w:pPr>
            <w:r>
              <w:t>学校办学能力提升</w:t>
            </w:r>
          </w:p>
        </w:tc>
        <w:tc>
          <w:tcPr>
            <w:tcW w:w="5386" w:type="dxa"/>
            <w:vAlign w:val="center"/>
          </w:tcPr>
          <w:p w14:paraId="540F1076">
            <w:pPr>
              <w:pStyle w:val="12"/>
            </w:pPr>
            <w:r>
              <w:t>学校办学能</w:t>
            </w:r>
            <w:r>
              <w:rPr>
                <w:rFonts w:hint="eastAsia"/>
                <w:lang w:eastAsia="zh-CN"/>
              </w:rPr>
              <w:t>力提</w:t>
            </w:r>
            <w:r>
              <w:t>升情况及教育教学工作等开展的情况</w:t>
            </w:r>
          </w:p>
        </w:tc>
        <w:tc>
          <w:tcPr>
            <w:tcW w:w="2268" w:type="dxa"/>
            <w:vAlign w:val="center"/>
          </w:tcPr>
          <w:p w14:paraId="34879B60">
            <w:pPr>
              <w:pStyle w:val="12"/>
            </w:pPr>
            <w:r>
              <w:t>100%</w:t>
            </w:r>
          </w:p>
        </w:tc>
        <w:tc>
          <w:tcPr>
            <w:tcW w:w="1276" w:type="dxa"/>
            <w:vAlign w:val="center"/>
          </w:tcPr>
          <w:p w14:paraId="26991AA5">
            <w:pPr>
              <w:pStyle w:val="12"/>
            </w:pPr>
            <w:r>
              <w:t>城乡义务教育公用经费管理办法</w:t>
            </w:r>
          </w:p>
        </w:tc>
      </w:tr>
      <w:tr w14:paraId="5C1A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27232"/>
        </w:tc>
        <w:tc>
          <w:tcPr>
            <w:tcW w:w="2268" w:type="dxa"/>
            <w:vAlign w:val="center"/>
          </w:tcPr>
          <w:p w14:paraId="6AAB22EE">
            <w:pPr>
              <w:pStyle w:val="12"/>
            </w:pPr>
            <w:r>
              <w:t>可持续影响指标</w:t>
            </w:r>
          </w:p>
        </w:tc>
        <w:tc>
          <w:tcPr>
            <w:tcW w:w="2835" w:type="dxa"/>
            <w:vAlign w:val="center"/>
          </w:tcPr>
          <w:p w14:paraId="072165B1">
            <w:pPr>
              <w:pStyle w:val="12"/>
            </w:pPr>
            <w:r>
              <w:t>教育发展水平</w:t>
            </w:r>
          </w:p>
        </w:tc>
        <w:tc>
          <w:tcPr>
            <w:tcW w:w="5386" w:type="dxa"/>
            <w:vAlign w:val="center"/>
          </w:tcPr>
          <w:p w14:paraId="1A69D088">
            <w:pPr>
              <w:pStyle w:val="12"/>
            </w:pPr>
            <w:r>
              <w:t>辖区内教育环境明显好转</w:t>
            </w:r>
          </w:p>
        </w:tc>
        <w:tc>
          <w:tcPr>
            <w:tcW w:w="2268" w:type="dxa"/>
            <w:vAlign w:val="center"/>
          </w:tcPr>
          <w:p w14:paraId="6CFD3C80">
            <w:pPr>
              <w:pStyle w:val="12"/>
            </w:pPr>
            <w:r>
              <w:t>100%</w:t>
            </w:r>
          </w:p>
        </w:tc>
        <w:tc>
          <w:tcPr>
            <w:tcW w:w="1276" w:type="dxa"/>
            <w:vAlign w:val="center"/>
          </w:tcPr>
          <w:p w14:paraId="1875CE69">
            <w:pPr>
              <w:pStyle w:val="12"/>
            </w:pPr>
            <w:r>
              <w:t>城乡义务教育公用经费管理办法</w:t>
            </w:r>
          </w:p>
        </w:tc>
      </w:tr>
      <w:tr w14:paraId="6B9F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DD6C5">
            <w:pPr>
              <w:pStyle w:val="13"/>
            </w:pPr>
            <w:r>
              <w:t>满意度指标</w:t>
            </w:r>
          </w:p>
        </w:tc>
        <w:tc>
          <w:tcPr>
            <w:tcW w:w="2268" w:type="dxa"/>
            <w:vAlign w:val="center"/>
          </w:tcPr>
          <w:p w14:paraId="648819C4">
            <w:pPr>
              <w:pStyle w:val="12"/>
            </w:pPr>
            <w:r>
              <w:t>服务对象满意度指标</w:t>
            </w:r>
          </w:p>
        </w:tc>
        <w:tc>
          <w:tcPr>
            <w:tcW w:w="2835" w:type="dxa"/>
            <w:vAlign w:val="center"/>
          </w:tcPr>
          <w:p w14:paraId="6DB7F9E0">
            <w:pPr>
              <w:pStyle w:val="12"/>
            </w:pPr>
            <w:r>
              <w:t>受益学生家长及调查满意度</w:t>
            </w:r>
          </w:p>
        </w:tc>
        <w:tc>
          <w:tcPr>
            <w:tcW w:w="5386" w:type="dxa"/>
            <w:vAlign w:val="center"/>
          </w:tcPr>
          <w:p w14:paraId="15E42A0D">
            <w:pPr>
              <w:pStyle w:val="12"/>
            </w:pPr>
            <w:r>
              <w:t>学生、教师及家长对学校保教保育工作满意度情况</w:t>
            </w:r>
          </w:p>
        </w:tc>
        <w:tc>
          <w:tcPr>
            <w:tcW w:w="2268" w:type="dxa"/>
            <w:vAlign w:val="center"/>
          </w:tcPr>
          <w:p w14:paraId="6CB24FA5">
            <w:pPr>
              <w:pStyle w:val="12"/>
            </w:pPr>
            <w:r>
              <w:t>95%</w:t>
            </w:r>
          </w:p>
        </w:tc>
        <w:tc>
          <w:tcPr>
            <w:tcW w:w="1276" w:type="dxa"/>
            <w:vAlign w:val="center"/>
          </w:tcPr>
          <w:p w14:paraId="7934DE5F">
            <w:pPr>
              <w:pStyle w:val="12"/>
            </w:pPr>
            <w:r>
              <w:t>调查问卷</w:t>
            </w:r>
          </w:p>
        </w:tc>
      </w:tr>
    </w:tbl>
    <w:p w14:paraId="385BECF7">
      <w:pPr>
        <w:sectPr>
          <w:pgSz w:w="16840" w:h="11900" w:orient="landscape"/>
          <w:pgMar w:top="1361" w:right="1020" w:bottom="1134" w:left="1020" w:header="720" w:footer="720" w:gutter="0"/>
          <w:cols w:space="720" w:num="1"/>
        </w:sectPr>
      </w:pPr>
    </w:p>
    <w:p w14:paraId="76BDADD7">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5、冀财教[2025]121号/中央/2026年义教补助经费/城关校区南柏舍小学公用经费绩效目标表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4A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48B1F">
            <w:pPr>
              <w:pStyle w:val="11"/>
            </w:pPr>
            <w:r>
              <w:t>单位：万元</w:t>
            </w:r>
          </w:p>
        </w:tc>
      </w:tr>
      <w:tr w14:paraId="352F1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A0F49">
            <w:pPr>
              <w:pStyle w:val="10"/>
            </w:pPr>
            <w:r>
              <w:t>项目编码</w:t>
            </w:r>
          </w:p>
        </w:tc>
        <w:tc>
          <w:tcPr>
            <w:tcW w:w="5103" w:type="dxa"/>
            <w:gridSpan w:val="2"/>
            <w:vAlign w:val="center"/>
          </w:tcPr>
          <w:p w14:paraId="560A5A02">
            <w:pPr>
              <w:pStyle w:val="12"/>
            </w:pPr>
            <w:r>
              <w:t>13052526P00000410265A</w:t>
            </w:r>
          </w:p>
        </w:tc>
        <w:tc>
          <w:tcPr>
            <w:tcW w:w="2835" w:type="dxa"/>
            <w:vAlign w:val="center"/>
          </w:tcPr>
          <w:p w14:paraId="69EBDDB3">
            <w:pPr>
              <w:pStyle w:val="10"/>
            </w:pPr>
            <w:r>
              <w:t>项目名称</w:t>
            </w:r>
          </w:p>
        </w:tc>
        <w:tc>
          <w:tcPr>
            <w:tcW w:w="6095" w:type="dxa"/>
            <w:gridSpan w:val="3"/>
            <w:vAlign w:val="center"/>
          </w:tcPr>
          <w:p w14:paraId="4EFF201E">
            <w:pPr>
              <w:pStyle w:val="12"/>
            </w:pPr>
            <w:r>
              <w:t>冀财教[2025]121号/中央/2026年义教补助经费/城关校区南柏舍小学公用经费</w:t>
            </w:r>
          </w:p>
        </w:tc>
      </w:tr>
      <w:tr w14:paraId="70A70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987AD">
            <w:pPr>
              <w:pStyle w:val="10"/>
            </w:pPr>
            <w:r>
              <w:t>预算规模及资金用途</w:t>
            </w:r>
          </w:p>
        </w:tc>
        <w:tc>
          <w:tcPr>
            <w:tcW w:w="2268" w:type="dxa"/>
            <w:vAlign w:val="center"/>
          </w:tcPr>
          <w:p w14:paraId="25AFB118">
            <w:pPr>
              <w:pStyle w:val="10"/>
            </w:pPr>
            <w:r>
              <w:t>预算数</w:t>
            </w:r>
          </w:p>
        </w:tc>
        <w:tc>
          <w:tcPr>
            <w:tcW w:w="2835" w:type="dxa"/>
            <w:vAlign w:val="center"/>
          </w:tcPr>
          <w:p w14:paraId="5E9ACC91">
            <w:pPr>
              <w:pStyle w:val="12"/>
            </w:pPr>
            <w:r>
              <w:t>80.05</w:t>
            </w:r>
          </w:p>
        </w:tc>
        <w:tc>
          <w:tcPr>
            <w:tcW w:w="2835" w:type="dxa"/>
            <w:vAlign w:val="center"/>
          </w:tcPr>
          <w:p w14:paraId="7D68773A">
            <w:pPr>
              <w:pStyle w:val="10"/>
            </w:pPr>
            <w:r>
              <w:t>其中：财政    资金</w:t>
            </w:r>
          </w:p>
        </w:tc>
        <w:tc>
          <w:tcPr>
            <w:tcW w:w="2551" w:type="dxa"/>
            <w:vAlign w:val="center"/>
          </w:tcPr>
          <w:p w14:paraId="5B9F48C0">
            <w:pPr>
              <w:pStyle w:val="12"/>
            </w:pPr>
            <w:r>
              <w:t>80.05</w:t>
            </w:r>
          </w:p>
        </w:tc>
        <w:tc>
          <w:tcPr>
            <w:tcW w:w="2268" w:type="dxa"/>
            <w:vAlign w:val="center"/>
          </w:tcPr>
          <w:p w14:paraId="0F1D0BEC">
            <w:pPr>
              <w:pStyle w:val="10"/>
            </w:pPr>
            <w:r>
              <w:t>其他资金</w:t>
            </w:r>
          </w:p>
        </w:tc>
        <w:tc>
          <w:tcPr>
            <w:tcW w:w="1276" w:type="dxa"/>
            <w:vAlign w:val="center"/>
          </w:tcPr>
          <w:p w14:paraId="66395142">
            <w:pPr>
              <w:pStyle w:val="12"/>
            </w:pPr>
            <w:r>
              <w:t xml:space="preserve"> </w:t>
            </w:r>
          </w:p>
        </w:tc>
      </w:tr>
      <w:tr w14:paraId="52075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4E3B6"/>
        </w:tc>
        <w:tc>
          <w:tcPr>
            <w:tcW w:w="14033" w:type="dxa"/>
            <w:gridSpan w:val="6"/>
            <w:vAlign w:val="center"/>
          </w:tcPr>
          <w:p w14:paraId="4E53B747">
            <w:pPr>
              <w:pStyle w:val="12"/>
            </w:pPr>
            <w:r>
              <w:t>保障义务教育学校正常运转，完成教育教学活动和其他日常工作任务等方面的费用支出。</w:t>
            </w:r>
          </w:p>
        </w:tc>
      </w:tr>
      <w:tr w14:paraId="2E1A0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7A0EB">
            <w:pPr>
              <w:pStyle w:val="10"/>
            </w:pPr>
            <w:r>
              <w:t>资金支出计划（%）</w:t>
            </w:r>
          </w:p>
        </w:tc>
        <w:tc>
          <w:tcPr>
            <w:tcW w:w="5103" w:type="dxa"/>
            <w:gridSpan w:val="2"/>
            <w:vAlign w:val="center"/>
          </w:tcPr>
          <w:p w14:paraId="230460A8">
            <w:pPr>
              <w:pStyle w:val="10"/>
            </w:pPr>
            <w:r>
              <w:t>3月底</w:t>
            </w:r>
          </w:p>
        </w:tc>
        <w:tc>
          <w:tcPr>
            <w:tcW w:w="2835" w:type="dxa"/>
            <w:vAlign w:val="center"/>
          </w:tcPr>
          <w:p w14:paraId="544A5AE6">
            <w:pPr>
              <w:pStyle w:val="10"/>
            </w:pPr>
            <w:r>
              <w:t>6月底</w:t>
            </w:r>
          </w:p>
        </w:tc>
        <w:tc>
          <w:tcPr>
            <w:tcW w:w="2551" w:type="dxa"/>
            <w:vAlign w:val="center"/>
          </w:tcPr>
          <w:p w14:paraId="56B8AF38">
            <w:pPr>
              <w:pStyle w:val="10"/>
            </w:pPr>
            <w:r>
              <w:t>10月底</w:t>
            </w:r>
          </w:p>
        </w:tc>
        <w:tc>
          <w:tcPr>
            <w:tcW w:w="3544" w:type="dxa"/>
            <w:gridSpan w:val="2"/>
            <w:vAlign w:val="center"/>
          </w:tcPr>
          <w:p w14:paraId="5BE8C91A">
            <w:pPr>
              <w:pStyle w:val="10"/>
            </w:pPr>
            <w:r>
              <w:t>12月底</w:t>
            </w:r>
          </w:p>
        </w:tc>
      </w:tr>
      <w:tr w14:paraId="5D3D2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40B7A"/>
        </w:tc>
        <w:tc>
          <w:tcPr>
            <w:tcW w:w="5103" w:type="dxa"/>
            <w:gridSpan w:val="2"/>
            <w:vAlign w:val="center"/>
          </w:tcPr>
          <w:p w14:paraId="419466AD">
            <w:pPr>
              <w:pStyle w:val="13"/>
            </w:pPr>
            <w:r>
              <w:t>25%</w:t>
            </w:r>
          </w:p>
        </w:tc>
        <w:tc>
          <w:tcPr>
            <w:tcW w:w="2835" w:type="dxa"/>
            <w:vAlign w:val="center"/>
          </w:tcPr>
          <w:p w14:paraId="7974B219">
            <w:pPr>
              <w:pStyle w:val="13"/>
            </w:pPr>
            <w:r>
              <w:t>50%</w:t>
            </w:r>
          </w:p>
        </w:tc>
        <w:tc>
          <w:tcPr>
            <w:tcW w:w="2551" w:type="dxa"/>
            <w:vAlign w:val="center"/>
          </w:tcPr>
          <w:p w14:paraId="6E5E3F33">
            <w:pPr>
              <w:pStyle w:val="13"/>
            </w:pPr>
            <w:r>
              <w:t>75%</w:t>
            </w:r>
          </w:p>
        </w:tc>
        <w:tc>
          <w:tcPr>
            <w:tcW w:w="3544" w:type="dxa"/>
            <w:gridSpan w:val="2"/>
            <w:vAlign w:val="center"/>
          </w:tcPr>
          <w:p w14:paraId="2E8DCD97">
            <w:pPr>
              <w:pStyle w:val="13"/>
            </w:pPr>
            <w:r>
              <w:t>100%</w:t>
            </w:r>
          </w:p>
        </w:tc>
      </w:tr>
      <w:tr w14:paraId="03F83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BE00A">
            <w:pPr>
              <w:pStyle w:val="10"/>
            </w:pPr>
            <w:r>
              <w:t>绩效目标</w:t>
            </w:r>
          </w:p>
        </w:tc>
        <w:tc>
          <w:tcPr>
            <w:tcW w:w="14033" w:type="dxa"/>
            <w:gridSpan w:val="6"/>
            <w:vAlign w:val="center"/>
          </w:tcPr>
          <w:p w14:paraId="246DC863">
            <w:pPr>
              <w:pStyle w:val="12"/>
            </w:pPr>
            <w:r>
              <w:t>1.按季度分批次拨付公用经费资金800500元，资金拨付率达到100%。</w:t>
            </w:r>
          </w:p>
          <w:p w14:paraId="28FAD287">
            <w:pPr>
              <w:pStyle w:val="12"/>
            </w:pPr>
            <w:r>
              <w:t>2.保障义务教育学校正常运转，完成教育教学活动和其他日常工作任务等方面的费用支出。</w:t>
            </w:r>
          </w:p>
        </w:tc>
      </w:tr>
    </w:tbl>
    <w:p w14:paraId="600FE1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9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1B7C9">
            <w:pPr>
              <w:pStyle w:val="10"/>
            </w:pPr>
            <w:r>
              <w:t>一级指标</w:t>
            </w:r>
          </w:p>
        </w:tc>
        <w:tc>
          <w:tcPr>
            <w:tcW w:w="2268" w:type="dxa"/>
            <w:vAlign w:val="center"/>
          </w:tcPr>
          <w:p w14:paraId="67939452">
            <w:pPr>
              <w:pStyle w:val="10"/>
            </w:pPr>
            <w:r>
              <w:t>二级指标</w:t>
            </w:r>
          </w:p>
        </w:tc>
        <w:tc>
          <w:tcPr>
            <w:tcW w:w="2835" w:type="dxa"/>
            <w:vAlign w:val="center"/>
          </w:tcPr>
          <w:p w14:paraId="38CB06AA">
            <w:pPr>
              <w:pStyle w:val="10"/>
            </w:pPr>
            <w:r>
              <w:t>三级指标</w:t>
            </w:r>
          </w:p>
        </w:tc>
        <w:tc>
          <w:tcPr>
            <w:tcW w:w="5386" w:type="dxa"/>
            <w:vAlign w:val="center"/>
          </w:tcPr>
          <w:p w14:paraId="00A11821">
            <w:pPr>
              <w:pStyle w:val="10"/>
            </w:pPr>
            <w:r>
              <w:t>绩效指标描述</w:t>
            </w:r>
          </w:p>
        </w:tc>
        <w:tc>
          <w:tcPr>
            <w:tcW w:w="2268" w:type="dxa"/>
            <w:vAlign w:val="center"/>
          </w:tcPr>
          <w:p w14:paraId="1C42A4BD">
            <w:pPr>
              <w:pStyle w:val="10"/>
            </w:pPr>
            <w:r>
              <w:t>指标值</w:t>
            </w:r>
          </w:p>
        </w:tc>
        <w:tc>
          <w:tcPr>
            <w:tcW w:w="1276" w:type="dxa"/>
            <w:vAlign w:val="center"/>
          </w:tcPr>
          <w:p w14:paraId="49165957">
            <w:pPr>
              <w:pStyle w:val="10"/>
            </w:pPr>
            <w:r>
              <w:t>指标值确定依据</w:t>
            </w:r>
          </w:p>
        </w:tc>
      </w:tr>
      <w:tr w14:paraId="3A035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20602">
            <w:pPr>
              <w:pStyle w:val="13"/>
            </w:pPr>
            <w:r>
              <w:t>产出指标</w:t>
            </w:r>
          </w:p>
        </w:tc>
        <w:tc>
          <w:tcPr>
            <w:tcW w:w="2268" w:type="dxa"/>
            <w:vAlign w:val="center"/>
          </w:tcPr>
          <w:p w14:paraId="0A7F7DB1">
            <w:pPr>
              <w:pStyle w:val="12"/>
            </w:pPr>
            <w:r>
              <w:t>数量指标</w:t>
            </w:r>
          </w:p>
        </w:tc>
        <w:tc>
          <w:tcPr>
            <w:tcW w:w="2835" w:type="dxa"/>
            <w:vAlign w:val="center"/>
          </w:tcPr>
          <w:p w14:paraId="1EA031EC">
            <w:pPr>
              <w:pStyle w:val="12"/>
            </w:pPr>
            <w:r>
              <w:t>适龄在校生</w:t>
            </w:r>
          </w:p>
        </w:tc>
        <w:tc>
          <w:tcPr>
            <w:tcW w:w="5386" w:type="dxa"/>
            <w:vAlign w:val="center"/>
          </w:tcPr>
          <w:p w14:paraId="138DC46D">
            <w:pPr>
              <w:pStyle w:val="12"/>
            </w:pPr>
            <w:r>
              <w:t>适龄在校就读学生人数</w:t>
            </w:r>
          </w:p>
        </w:tc>
        <w:tc>
          <w:tcPr>
            <w:tcW w:w="2268" w:type="dxa"/>
            <w:vAlign w:val="center"/>
          </w:tcPr>
          <w:p w14:paraId="4B74E542">
            <w:pPr>
              <w:pStyle w:val="12"/>
            </w:pPr>
            <w:r>
              <w:t>≥1475人</w:t>
            </w:r>
          </w:p>
        </w:tc>
        <w:tc>
          <w:tcPr>
            <w:tcW w:w="1276" w:type="dxa"/>
            <w:vAlign w:val="center"/>
          </w:tcPr>
          <w:p w14:paraId="7D62D464">
            <w:pPr>
              <w:pStyle w:val="12"/>
            </w:pPr>
            <w:r>
              <w:t>城乡义务教育公用经费管理办法</w:t>
            </w:r>
          </w:p>
        </w:tc>
      </w:tr>
      <w:tr w14:paraId="0AC0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130A"/>
        </w:tc>
        <w:tc>
          <w:tcPr>
            <w:tcW w:w="2268" w:type="dxa"/>
            <w:vAlign w:val="center"/>
          </w:tcPr>
          <w:p w14:paraId="4470FED5">
            <w:pPr>
              <w:pStyle w:val="12"/>
            </w:pPr>
            <w:r>
              <w:t>质量指标</w:t>
            </w:r>
          </w:p>
        </w:tc>
        <w:tc>
          <w:tcPr>
            <w:tcW w:w="2835" w:type="dxa"/>
            <w:vAlign w:val="center"/>
          </w:tcPr>
          <w:p w14:paraId="46E2E9D6">
            <w:pPr>
              <w:pStyle w:val="12"/>
            </w:pPr>
            <w:r>
              <w:t>公用经费拨付完成率</w:t>
            </w:r>
          </w:p>
        </w:tc>
        <w:tc>
          <w:tcPr>
            <w:tcW w:w="5386" w:type="dxa"/>
            <w:vAlign w:val="center"/>
          </w:tcPr>
          <w:p w14:paraId="5B558919">
            <w:pPr>
              <w:pStyle w:val="12"/>
            </w:pPr>
            <w:r>
              <w:t>公用经费拨付完成率达到需时进度</w:t>
            </w:r>
          </w:p>
        </w:tc>
        <w:tc>
          <w:tcPr>
            <w:tcW w:w="2268" w:type="dxa"/>
            <w:vAlign w:val="center"/>
          </w:tcPr>
          <w:p w14:paraId="32709363">
            <w:pPr>
              <w:pStyle w:val="12"/>
            </w:pPr>
            <w:r>
              <w:t>100%</w:t>
            </w:r>
          </w:p>
        </w:tc>
        <w:tc>
          <w:tcPr>
            <w:tcW w:w="1276" w:type="dxa"/>
            <w:vAlign w:val="center"/>
          </w:tcPr>
          <w:p w14:paraId="25B8EF00">
            <w:pPr>
              <w:pStyle w:val="12"/>
            </w:pPr>
            <w:r>
              <w:t>城乡义务教育公用经费管理办法</w:t>
            </w:r>
          </w:p>
        </w:tc>
      </w:tr>
      <w:tr w14:paraId="1784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4C172"/>
        </w:tc>
        <w:tc>
          <w:tcPr>
            <w:tcW w:w="2268" w:type="dxa"/>
            <w:vAlign w:val="center"/>
          </w:tcPr>
          <w:p w14:paraId="5D2FE21D">
            <w:pPr>
              <w:pStyle w:val="12"/>
            </w:pPr>
            <w:r>
              <w:t>时效指标</w:t>
            </w:r>
          </w:p>
        </w:tc>
        <w:tc>
          <w:tcPr>
            <w:tcW w:w="2835" w:type="dxa"/>
            <w:vAlign w:val="center"/>
          </w:tcPr>
          <w:p w14:paraId="60F97405">
            <w:pPr>
              <w:pStyle w:val="12"/>
            </w:pPr>
            <w:r>
              <w:t>资金支付率</w:t>
            </w:r>
          </w:p>
        </w:tc>
        <w:tc>
          <w:tcPr>
            <w:tcW w:w="5386" w:type="dxa"/>
            <w:vAlign w:val="center"/>
          </w:tcPr>
          <w:p w14:paraId="029F049E">
            <w:pPr>
              <w:pStyle w:val="12"/>
            </w:pPr>
            <w:r>
              <w:t>按照序时进度完成资金支付</w:t>
            </w:r>
          </w:p>
        </w:tc>
        <w:tc>
          <w:tcPr>
            <w:tcW w:w="2268" w:type="dxa"/>
            <w:vAlign w:val="center"/>
          </w:tcPr>
          <w:p w14:paraId="58113731">
            <w:pPr>
              <w:pStyle w:val="12"/>
            </w:pPr>
            <w:r>
              <w:t>100%</w:t>
            </w:r>
          </w:p>
        </w:tc>
        <w:tc>
          <w:tcPr>
            <w:tcW w:w="1276" w:type="dxa"/>
            <w:vAlign w:val="center"/>
          </w:tcPr>
          <w:p w14:paraId="301E34E9">
            <w:pPr>
              <w:pStyle w:val="12"/>
            </w:pPr>
            <w:r>
              <w:t>城乡义务教育公用经费管理办法</w:t>
            </w:r>
          </w:p>
        </w:tc>
      </w:tr>
      <w:tr w14:paraId="26EAC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7A210"/>
        </w:tc>
        <w:tc>
          <w:tcPr>
            <w:tcW w:w="2268" w:type="dxa"/>
            <w:vAlign w:val="center"/>
          </w:tcPr>
          <w:p w14:paraId="7CB02724">
            <w:pPr>
              <w:pStyle w:val="12"/>
            </w:pPr>
            <w:r>
              <w:t>成本指标</w:t>
            </w:r>
          </w:p>
        </w:tc>
        <w:tc>
          <w:tcPr>
            <w:tcW w:w="2835" w:type="dxa"/>
            <w:vAlign w:val="center"/>
          </w:tcPr>
          <w:p w14:paraId="67C3A595">
            <w:pPr>
              <w:pStyle w:val="12"/>
            </w:pPr>
            <w:r>
              <w:t>生均拨款标准</w:t>
            </w:r>
          </w:p>
        </w:tc>
        <w:tc>
          <w:tcPr>
            <w:tcW w:w="5386" w:type="dxa"/>
            <w:vAlign w:val="center"/>
          </w:tcPr>
          <w:p w14:paraId="7CF73175">
            <w:pPr>
              <w:pStyle w:val="12"/>
            </w:pPr>
            <w:r>
              <w:t>小学：（基本标准720元、寄宿生300元、取暖费120元）/生/学年；特教、随班就读学生：标准7000元/生/学年。</w:t>
            </w:r>
          </w:p>
        </w:tc>
        <w:tc>
          <w:tcPr>
            <w:tcW w:w="2268" w:type="dxa"/>
            <w:vAlign w:val="center"/>
          </w:tcPr>
          <w:p w14:paraId="0C4AF97D">
            <w:pPr>
              <w:pStyle w:val="12"/>
            </w:pPr>
            <w:r>
              <w:t>800500元</w:t>
            </w:r>
          </w:p>
        </w:tc>
        <w:tc>
          <w:tcPr>
            <w:tcW w:w="1276" w:type="dxa"/>
            <w:vAlign w:val="center"/>
          </w:tcPr>
          <w:p w14:paraId="6A9581CF">
            <w:pPr>
              <w:pStyle w:val="12"/>
            </w:pPr>
            <w:r>
              <w:t>城乡义务教育公用经费管理办法</w:t>
            </w:r>
          </w:p>
        </w:tc>
      </w:tr>
      <w:tr w14:paraId="66DB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27603">
            <w:pPr>
              <w:pStyle w:val="13"/>
            </w:pPr>
            <w:r>
              <w:t>效益指标</w:t>
            </w:r>
          </w:p>
        </w:tc>
        <w:tc>
          <w:tcPr>
            <w:tcW w:w="2268" w:type="dxa"/>
            <w:vAlign w:val="center"/>
          </w:tcPr>
          <w:p w14:paraId="59CD80A7">
            <w:pPr>
              <w:pStyle w:val="12"/>
            </w:pPr>
            <w:r>
              <w:t>经济效益指标</w:t>
            </w:r>
          </w:p>
        </w:tc>
        <w:tc>
          <w:tcPr>
            <w:tcW w:w="2835" w:type="dxa"/>
            <w:vAlign w:val="center"/>
          </w:tcPr>
          <w:p w14:paraId="066EB76A">
            <w:pPr>
              <w:pStyle w:val="12"/>
            </w:pPr>
            <w:r>
              <w:t>项目实施成果</w:t>
            </w:r>
          </w:p>
        </w:tc>
        <w:tc>
          <w:tcPr>
            <w:tcW w:w="5386" w:type="dxa"/>
            <w:vAlign w:val="center"/>
          </w:tcPr>
          <w:p w14:paraId="72753C42">
            <w:pPr>
              <w:pStyle w:val="12"/>
            </w:pPr>
            <w:r>
              <w:t>减轻受教育学生家庭经济负担</w:t>
            </w:r>
          </w:p>
        </w:tc>
        <w:tc>
          <w:tcPr>
            <w:tcW w:w="2268" w:type="dxa"/>
            <w:vAlign w:val="center"/>
          </w:tcPr>
          <w:p w14:paraId="6576FDF7">
            <w:pPr>
              <w:pStyle w:val="12"/>
            </w:pPr>
            <w:r>
              <w:t>100%</w:t>
            </w:r>
          </w:p>
        </w:tc>
        <w:tc>
          <w:tcPr>
            <w:tcW w:w="1276" w:type="dxa"/>
            <w:vAlign w:val="center"/>
          </w:tcPr>
          <w:p w14:paraId="2E1E251C">
            <w:pPr>
              <w:pStyle w:val="12"/>
            </w:pPr>
            <w:r>
              <w:t>城乡义务教育公用经费管理办法</w:t>
            </w:r>
          </w:p>
        </w:tc>
      </w:tr>
      <w:tr w14:paraId="72B7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317E6"/>
        </w:tc>
        <w:tc>
          <w:tcPr>
            <w:tcW w:w="2268" w:type="dxa"/>
            <w:vAlign w:val="center"/>
          </w:tcPr>
          <w:p w14:paraId="018D387F">
            <w:pPr>
              <w:pStyle w:val="12"/>
            </w:pPr>
            <w:r>
              <w:t>社会效益指标</w:t>
            </w:r>
          </w:p>
        </w:tc>
        <w:tc>
          <w:tcPr>
            <w:tcW w:w="2835" w:type="dxa"/>
            <w:vAlign w:val="center"/>
          </w:tcPr>
          <w:p w14:paraId="2923107E">
            <w:pPr>
              <w:pStyle w:val="12"/>
            </w:pPr>
            <w:r>
              <w:t>学校办学能力提升</w:t>
            </w:r>
          </w:p>
        </w:tc>
        <w:tc>
          <w:tcPr>
            <w:tcW w:w="5386" w:type="dxa"/>
            <w:vAlign w:val="center"/>
          </w:tcPr>
          <w:p w14:paraId="64843134">
            <w:pPr>
              <w:pStyle w:val="12"/>
            </w:pPr>
            <w:r>
              <w:t>学校办学能</w:t>
            </w:r>
            <w:r>
              <w:rPr>
                <w:rFonts w:hint="eastAsia"/>
                <w:lang w:eastAsia="zh-CN"/>
              </w:rPr>
              <w:t>力提</w:t>
            </w:r>
            <w:r>
              <w:t>升情况及教育教学工作等开展的情况</w:t>
            </w:r>
          </w:p>
        </w:tc>
        <w:tc>
          <w:tcPr>
            <w:tcW w:w="2268" w:type="dxa"/>
            <w:vAlign w:val="center"/>
          </w:tcPr>
          <w:p w14:paraId="33842FC2">
            <w:pPr>
              <w:pStyle w:val="12"/>
            </w:pPr>
            <w:r>
              <w:t>100%</w:t>
            </w:r>
          </w:p>
        </w:tc>
        <w:tc>
          <w:tcPr>
            <w:tcW w:w="1276" w:type="dxa"/>
            <w:vAlign w:val="center"/>
          </w:tcPr>
          <w:p w14:paraId="2BA77388">
            <w:pPr>
              <w:pStyle w:val="12"/>
            </w:pPr>
            <w:r>
              <w:t>城乡义务教育公用经费管理办法</w:t>
            </w:r>
          </w:p>
        </w:tc>
      </w:tr>
      <w:tr w14:paraId="357C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74509"/>
        </w:tc>
        <w:tc>
          <w:tcPr>
            <w:tcW w:w="2268" w:type="dxa"/>
            <w:vAlign w:val="center"/>
          </w:tcPr>
          <w:p w14:paraId="79FD13BD">
            <w:pPr>
              <w:pStyle w:val="12"/>
            </w:pPr>
            <w:r>
              <w:t>可持续影响指标</w:t>
            </w:r>
          </w:p>
        </w:tc>
        <w:tc>
          <w:tcPr>
            <w:tcW w:w="2835" w:type="dxa"/>
            <w:vAlign w:val="center"/>
          </w:tcPr>
          <w:p w14:paraId="017E83CD">
            <w:pPr>
              <w:pStyle w:val="12"/>
            </w:pPr>
            <w:r>
              <w:t>教育发展水平</w:t>
            </w:r>
          </w:p>
        </w:tc>
        <w:tc>
          <w:tcPr>
            <w:tcW w:w="5386" w:type="dxa"/>
            <w:vAlign w:val="center"/>
          </w:tcPr>
          <w:p w14:paraId="7F2140C4">
            <w:pPr>
              <w:pStyle w:val="12"/>
            </w:pPr>
            <w:r>
              <w:t>辖区内教育环境明显好转</w:t>
            </w:r>
          </w:p>
        </w:tc>
        <w:tc>
          <w:tcPr>
            <w:tcW w:w="2268" w:type="dxa"/>
            <w:vAlign w:val="center"/>
          </w:tcPr>
          <w:p w14:paraId="57E08006">
            <w:pPr>
              <w:pStyle w:val="12"/>
            </w:pPr>
            <w:r>
              <w:t>100%</w:t>
            </w:r>
          </w:p>
        </w:tc>
        <w:tc>
          <w:tcPr>
            <w:tcW w:w="1276" w:type="dxa"/>
            <w:vAlign w:val="center"/>
          </w:tcPr>
          <w:p w14:paraId="021FC03E">
            <w:pPr>
              <w:pStyle w:val="12"/>
            </w:pPr>
            <w:r>
              <w:t>城乡义务教育公用经费管理办法</w:t>
            </w:r>
          </w:p>
        </w:tc>
      </w:tr>
      <w:tr w14:paraId="5769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E9F8D">
            <w:pPr>
              <w:pStyle w:val="13"/>
            </w:pPr>
            <w:r>
              <w:t>满意度指标</w:t>
            </w:r>
          </w:p>
        </w:tc>
        <w:tc>
          <w:tcPr>
            <w:tcW w:w="2268" w:type="dxa"/>
            <w:vAlign w:val="center"/>
          </w:tcPr>
          <w:p w14:paraId="3F2F7099">
            <w:pPr>
              <w:pStyle w:val="12"/>
            </w:pPr>
            <w:r>
              <w:t>服务对象满意度指标</w:t>
            </w:r>
          </w:p>
        </w:tc>
        <w:tc>
          <w:tcPr>
            <w:tcW w:w="2835" w:type="dxa"/>
            <w:vAlign w:val="center"/>
          </w:tcPr>
          <w:p w14:paraId="54BC679E">
            <w:pPr>
              <w:pStyle w:val="12"/>
            </w:pPr>
            <w:r>
              <w:t>受益学生家长及调查满意度</w:t>
            </w:r>
          </w:p>
        </w:tc>
        <w:tc>
          <w:tcPr>
            <w:tcW w:w="5386" w:type="dxa"/>
            <w:vAlign w:val="center"/>
          </w:tcPr>
          <w:p w14:paraId="1D51BA1C">
            <w:pPr>
              <w:pStyle w:val="12"/>
            </w:pPr>
            <w:r>
              <w:t>学生、教师及家长对学校保教保育工作满意度情况</w:t>
            </w:r>
          </w:p>
        </w:tc>
        <w:tc>
          <w:tcPr>
            <w:tcW w:w="2268" w:type="dxa"/>
            <w:vAlign w:val="center"/>
          </w:tcPr>
          <w:p w14:paraId="37C7709D">
            <w:pPr>
              <w:pStyle w:val="12"/>
            </w:pPr>
            <w:r>
              <w:t>95%</w:t>
            </w:r>
          </w:p>
        </w:tc>
        <w:tc>
          <w:tcPr>
            <w:tcW w:w="1276" w:type="dxa"/>
            <w:vAlign w:val="center"/>
          </w:tcPr>
          <w:p w14:paraId="065F5F54">
            <w:pPr>
              <w:pStyle w:val="12"/>
            </w:pPr>
            <w:r>
              <w:t>调查问卷</w:t>
            </w:r>
          </w:p>
        </w:tc>
      </w:tr>
    </w:tbl>
    <w:p w14:paraId="7503D92E">
      <w:pPr>
        <w:sectPr>
          <w:pgSz w:w="16840" w:h="11900" w:orient="landscape"/>
          <w:pgMar w:top="1361" w:right="1020" w:bottom="1134" w:left="1020" w:header="720" w:footer="720" w:gutter="0"/>
          <w:cols w:space="720" w:num="1"/>
        </w:sectPr>
      </w:pPr>
    </w:p>
    <w:p w14:paraId="63CB0F01">
      <w:pPr>
        <w:spacing w:before="0" w:after="0"/>
        <w:ind w:firstLine="560"/>
        <w:jc w:val="left"/>
        <w:outlineLvl w:val="9"/>
      </w:pPr>
      <w:r>
        <w:rPr>
          <w:rFonts w:ascii="方正仿宋_GBK" w:hAnsi="方正仿宋_GBK" w:eastAsia="方正仿宋_GBK" w:cs="方正仿宋_GBK"/>
          <w:b/>
          <w:color w:val="000000"/>
          <w:sz w:val="28"/>
        </w:rPr>
        <w:t>6、冀财教[2025]121号/中央/2026年义教补助经费/城关校区义丰小学公用经费绩效目标表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C9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C3074">
            <w:pPr>
              <w:pStyle w:val="11"/>
            </w:pPr>
            <w:r>
              <w:t>单位：万元</w:t>
            </w:r>
          </w:p>
        </w:tc>
      </w:tr>
      <w:tr w14:paraId="58BCE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B9CC0">
            <w:pPr>
              <w:pStyle w:val="10"/>
            </w:pPr>
            <w:r>
              <w:t>项目编码</w:t>
            </w:r>
          </w:p>
        </w:tc>
        <w:tc>
          <w:tcPr>
            <w:tcW w:w="5103" w:type="dxa"/>
            <w:gridSpan w:val="2"/>
            <w:vAlign w:val="center"/>
          </w:tcPr>
          <w:p w14:paraId="170DD59F">
            <w:pPr>
              <w:pStyle w:val="12"/>
            </w:pPr>
            <w:r>
              <w:t>13052526P00000410264N</w:t>
            </w:r>
          </w:p>
        </w:tc>
        <w:tc>
          <w:tcPr>
            <w:tcW w:w="2835" w:type="dxa"/>
            <w:vAlign w:val="center"/>
          </w:tcPr>
          <w:p w14:paraId="6821D71D">
            <w:pPr>
              <w:pStyle w:val="10"/>
            </w:pPr>
            <w:r>
              <w:t>项目名称</w:t>
            </w:r>
          </w:p>
        </w:tc>
        <w:tc>
          <w:tcPr>
            <w:tcW w:w="6095" w:type="dxa"/>
            <w:gridSpan w:val="3"/>
            <w:vAlign w:val="center"/>
          </w:tcPr>
          <w:p w14:paraId="0114316B">
            <w:pPr>
              <w:pStyle w:val="12"/>
            </w:pPr>
            <w:r>
              <w:t>冀财教[2025]121号/中央/2026年义教补助经费/城关校区义丰小学公用经费</w:t>
            </w:r>
          </w:p>
        </w:tc>
      </w:tr>
      <w:tr w14:paraId="30C40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5E190">
            <w:pPr>
              <w:pStyle w:val="10"/>
            </w:pPr>
            <w:r>
              <w:t>预算规模及资金用途</w:t>
            </w:r>
          </w:p>
        </w:tc>
        <w:tc>
          <w:tcPr>
            <w:tcW w:w="2268" w:type="dxa"/>
            <w:vAlign w:val="center"/>
          </w:tcPr>
          <w:p w14:paraId="0D553B5E">
            <w:pPr>
              <w:pStyle w:val="10"/>
            </w:pPr>
            <w:r>
              <w:t>预算数</w:t>
            </w:r>
          </w:p>
        </w:tc>
        <w:tc>
          <w:tcPr>
            <w:tcW w:w="2835" w:type="dxa"/>
            <w:vAlign w:val="center"/>
          </w:tcPr>
          <w:p w14:paraId="67FDB664">
            <w:pPr>
              <w:pStyle w:val="12"/>
            </w:pPr>
            <w:r>
              <w:t>125.55</w:t>
            </w:r>
          </w:p>
        </w:tc>
        <w:tc>
          <w:tcPr>
            <w:tcW w:w="2835" w:type="dxa"/>
            <w:vAlign w:val="center"/>
          </w:tcPr>
          <w:p w14:paraId="5DC27A33">
            <w:pPr>
              <w:pStyle w:val="10"/>
            </w:pPr>
            <w:r>
              <w:t>其中：财政    资金</w:t>
            </w:r>
          </w:p>
        </w:tc>
        <w:tc>
          <w:tcPr>
            <w:tcW w:w="2551" w:type="dxa"/>
            <w:vAlign w:val="center"/>
          </w:tcPr>
          <w:p w14:paraId="578443B1">
            <w:pPr>
              <w:pStyle w:val="12"/>
            </w:pPr>
            <w:r>
              <w:t>125.55</w:t>
            </w:r>
          </w:p>
        </w:tc>
        <w:tc>
          <w:tcPr>
            <w:tcW w:w="2268" w:type="dxa"/>
            <w:vAlign w:val="center"/>
          </w:tcPr>
          <w:p w14:paraId="4DDC030C">
            <w:pPr>
              <w:pStyle w:val="10"/>
            </w:pPr>
            <w:r>
              <w:t>其他资金</w:t>
            </w:r>
          </w:p>
        </w:tc>
        <w:tc>
          <w:tcPr>
            <w:tcW w:w="1276" w:type="dxa"/>
            <w:vAlign w:val="center"/>
          </w:tcPr>
          <w:p w14:paraId="3E557C2A">
            <w:pPr>
              <w:pStyle w:val="12"/>
            </w:pPr>
            <w:r>
              <w:t xml:space="preserve"> </w:t>
            </w:r>
          </w:p>
        </w:tc>
      </w:tr>
      <w:tr w14:paraId="0CB7B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0D800"/>
        </w:tc>
        <w:tc>
          <w:tcPr>
            <w:tcW w:w="14033" w:type="dxa"/>
            <w:gridSpan w:val="6"/>
            <w:vAlign w:val="center"/>
          </w:tcPr>
          <w:p w14:paraId="60BC3068">
            <w:pPr>
              <w:pStyle w:val="12"/>
            </w:pPr>
            <w:r>
              <w:t>保障义务教育学校正常运转，完成教育教学活动和其他日常工作任务等方面的费用支出。</w:t>
            </w:r>
          </w:p>
        </w:tc>
      </w:tr>
      <w:tr w14:paraId="0E985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106B3">
            <w:pPr>
              <w:pStyle w:val="10"/>
            </w:pPr>
            <w:r>
              <w:t>资金支出计划（%）</w:t>
            </w:r>
          </w:p>
        </w:tc>
        <w:tc>
          <w:tcPr>
            <w:tcW w:w="5103" w:type="dxa"/>
            <w:gridSpan w:val="2"/>
            <w:vAlign w:val="center"/>
          </w:tcPr>
          <w:p w14:paraId="04972DB8">
            <w:pPr>
              <w:pStyle w:val="10"/>
            </w:pPr>
            <w:r>
              <w:t>3月底</w:t>
            </w:r>
          </w:p>
        </w:tc>
        <w:tc>
          <w:tcPr>
            <w:tcW w:w="2835" w:type="dxa"/>
            <w:vAlign w:val="center"/>
          </w:tcPr>
          <w:p w14:paraId="18A5CF8D">
            <w:pPr>
              <w:pStyle w:val="10"/>
            </w:pPr>
            <w:r>
              <w:t>6月底</w:t>
            </w:r>
          </w:p>
        </w:tc>
        <w:tc>
          <w:tcPr>
            <w:tcW w:w="2551" w:type="dxa"/>
            <w:vAlign w:val="center"/>
          </w:tcPr>
          <w:p w14:paraId="31A6DB01">
            <w:pPr>
              <w:pStyle w:val="10"/>
            </w:pPr>
            <w:r>
              <w:t>10月底</w:t>
            </w:r>
          </w:p>
        </w:tc>
        <w:tc>
          <w:tcPr>
            <w:tcW w:w="3544" w:type="dxa"/>
            <w:gridSpan w:val="2"/>
            <w:vAlign w:val="center"/>
          </w:tcPr>
          <w:p w14:paraId="39457CE7">
            <w:pPr>
              <w:pStyle w:val="10"/>
            </w:pPr>
            <w:r>
              <w:t>12月底</w:t>
            </w:r>
          </w:p>
        </w:tc>
      </w:tr>
      <w:tr w14:paraId="346C4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8EB9A"/>
        </w:tc>
        <w:tc>
          <w:tcPr>
            <w:tcW w:w="5103" w:type="dxa"/>
            <w:gridSpan w:val="2"/>
            <w:vAlign w:val="center"/>
          </w:tcPr>
          <w:p w14:paraId="102301C0">
            <w:pPr>
              <w:pStyle w:val="13"/>
            </w:pPr>
            <w:r>
              <w:t>25%</w:t>
            </w:r>
          </w:p>
        </w:tc>
        <w:tc>
          <w:tcPr>
            <w:tcW w:w="2835" w:type="dxa"/>
            <w:vAlign w:val="center"/>
          </w:tcPr>
          <w:p w14:paraId="186A9958">
            <w:pPr>
              <w:pStyle w:val="13"/>
            </w:pPr>
            <w:r>
              <w:t>50%</w:t>
            </w:r>
          </w:p>
        </w:tc>
        <w:tc>
          <w:tcPr>
            <w:tcW w:w="2551" w:type="dxa"/>
            <w:vAlign w:val="center"/>
          </w:tcPr>
          <w:p w14:paraId="3C275D21">
            <w:pPr>
              <w:pStyle w:val="13"/>
            </w:pPr>
            <w:r>
              <w:t>75%</w:t>
            </w:r>
          </w:p>
        </w:tc>
        <w:tc>
          <w:tcPr>
            <w:tcW w:w="3544" w:type="dxa"/>
            <w:gridSpan w:val="2"/>
            <w:vAlign w:val="center"/>
          </w:tcPr>
          <w:p w14:paraId="27058AFA">
            <w:pPr>
              <w:pStyle w:val="13"/>
            </w:pPr>
            <w:r>
              <w:t>100%</w:t>
            </w:r>
          </w:p>
        </w:tc>
      </w:tr>
      <w:tr w14:paraId="78EBC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FCBE4">
            <w:pPr>
              <w:pStyle w:val="10"/>
            </w:pPr>
            <w:r>
              <w:t>绩效目标</w:t>
            </w:r>
          </w:p>
        </w:tc>
        <w:tc>
          <w:tcPr>
            <w:tcW w:w="14033" w:type="dxa"/>
            <w:gridSpan w:val="6"/>
            <w:vAlign w:val="center"/>
          </w:tcPr>
          <w:p w14:paraId="4739925A">
            <w:pPr>
              <w:pStyle w:val="12"/>
            </w:pPr>
            <w:r>
              <w:t>1.按季度分批次拨付公用经费资金1255500元，资金拨付率达到100%。</w:t>
            </w:r>
          </w:p>
          <w:p w14:paraId="6FBE4E17">
            <w:pPr>
              <w:pStyle w:val="12"/>
            </w:pPr>
            <w:r>
              <w:t>2.保障义务教育学校正常运转，完成教育教学活动和其他日常工作任务等方面的费用支出。</w:t>
            </w:r>
          </w:p>
        </w:tc>
      </w:tr>
    </w:tbl>
    <w:p w14:paraId="4559E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B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470BD">
            <w:pPr>
              <w:pStyle w:val="10"/>
            </w:pPr>
            <w:r>
              <w:t>一级指标</w:t>
            </w:r>
          </w:p>
        </w:tc>
        <w:tc>
          <w:tcPr>
            <w:tcW w:w="2268" w:type="dxa"/>
            <w:vAlign w:val="center"/>
          </w:tcPr>
          <w:p w14:paraId="15AA2DB4">
            <w:pPr>
              <w:pStyle w:val="10"/>
            </w:pPr>
            <w:r>
              <w:t>二级指标</w:t>
            </w:r>
          </w:p>
        </w:tc>
        <w:tc>
          <w:tcPr>
            <w:tcW w:w="2835" w:type="dxa"/>
            <w:vAlign w:val="center"/>
          </w:tcPr>
          <w:p w14:paraId="56760FFD">
            <w:pPr>
              <w:pStyle w:val="10"/>
            </w:pPr>
            <w:r>
              <w:t>三级指标</w:t>
            </w:r>
          </w:p>
        </w:tc>
        <w:tc>
          <w:tcPr>
            <w:tcW w:w="5386" w:type="dxa"/>
            <w:vAlign w:val="center"/>
          </w:tcPr>
          <w:p w14:paraId="3F9FA6F8">
            <w:pPr>
              <w:pStyle w:val="10"/>
            </w:pPr>
            <w:r>
              <w:t>绩效指标描述</w:t>
            </w:r>
          </w:p>
        </w:tc>
        <w:tc>
          <w:tcPr>
            <w:tcW w:w="2268" w:type="dxa"/>
            <w:vAlign w:val="center"/>
          </w:tcPr>
          <w:p w14:paraId="565D096A">
            <w:pPr>
              <w:pStyle w:val="10"/>
            </w:pPr>
            <w:r>
              <w:t>指标值</w:t>
            </w:r>
          </w:p>
        </w:tc>
        <w:tc>
          <w:tcPr>
            <w:tcW w:w="1276" w:type="dxa"/>
            <w:vAlign w:val="center"/>
          </w:tcPr>
          <w:p w14:paraId="58DC42B2">
            <w:pPr>
              <w:pStyle w:val="10"/>
            </w:pPr>
            <w:r>
              <w:t>指标值确定依据</w:t>
            </w:r>
          </w:p>
        </w:tc>
      </w:tr>
      <w:tr w14:paraId="06A1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C42F8">
            <w:pPr>
              <w:pStyle w:val="13"/>
            </w:pPr>
            <w:r>
              <w:t>产出指标</w:t>
            </w:r>
          </w:p>
        </w:tc>
        <w:tc>
          <w:tcPr>
            <w:tcW w:w="2268" w:type="dxa"/>
            <w:vAlign w:val="center"/>
          </w:tcPr>
          <w:p w14:paraId="5F663ED7">
            <w:pPr>
              <w:pStyle w:val="12"/>
            </w:pPr>
            <w:r>
              <w:t>数量指标</w:t>
            </w:r>
          </w:p>
        </w:tc>
        <w:tc>
          <w:tcPr>
            <w:tcW w:w="2835" w:type="dxa"/>
            <w:vAlign w:val="center"/>
          </w:tcPr>
          <w:p w14:paraId="3589948C">
            <w:pPr>
              <w:pStyle w:val="12"/>
            </w:pPr>
            <w:r>
              <w:t>适龄在校生</w:t>
            </w:r>
          </w:p>
        </w:tc>
        <w:tc>
          <w:tcPr>
            <w:tcW w:w="5386" w:type="dxa"/>
            <w:vAlign w:val="center"/>
          </w:tcPr>
          <w:p w14:paraId="541508DC">
            <w:pPr>
              <w:pStyle w:val="12"/>
            </w:pPr>
            <w:r>
              <w:t>适龄在校就读学生人数</w:t>
            </w:r>
          </w:p>
        </w:tc>
        <w:tc>
          <w:tcPr>
            <w:tcW w:w="2268" w:type="dxa"/>
            <w:vAlign w:val="center"/>
          </w:tcPr>
          <w:p w14:paraId="00B8C95E">
            <w:pPr>
              <w:pStyle w:val="12"/>
            </w:pPr>
            <w:r>
              <w:t>≥2366人</w:t>
            </w:r>
          </w:p>
        </w:tc>
        <w:tc>
          <w:tcPr>
            <w:tcW w:w="1276" w:type="dxa"/>
            <w:vAlign w:val="center"/>
          </w:tcPr>
          <w:p w14:paraId="146035C3">
            <w:pPr>
              <w:pStyle w:val="12"/>
            </w:pPr>
            <w:r>
              <w:t>城乡义务教育公用经费管理办法</w:t>
            </w:r>
          </w:p>
        </w:tc>
      </w:tr>
      <w:tr w14:paraId="55D5F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C6D4B"/>
        </w:tc>
        <w:tc>
          <w:tcPr>
            <w:tcW w:w="2268" w:type="dxa"/>
            <w:vAlign w:val="center"/>
          </w:tcPr>
          <w:p w14:paraId="7D7D5D97">
            <w:pPr>
              <w:pStyle w:val="12"/>
            </w:pPr>
            <w:r>
              <w:t>质量指标</w:t>
            </w:r>
          </w:p>
        </w:tc>
        <w:tc>
          <w:tcPr>
            <w:tcW w:w="2835" w:type="dxa"/>
            <w:vAlign w:val="center"/>
          </w:tcPr>
          <w:p w14:paraId="6A63A28C">
            <w:pPr>
              <w:pStyle w:val="12"/>
            </w:pPr>
            <w:r>
              <w:t>公用经费拨付完成率</w:t>
            </w:r>
          </w:p>
        </w:tc>
        <w:tc>
          <w:tcPr>
            <w:tcW w:w="5386" w:type="dxa"/>
            <w:vAlign w:val="center"/>
          </w:tcPr>
          <w:p w14:paraId="53B1CD5C">
            <w:pPr>
              <w:pStyle w:val="12"/>
            </w:pPr>
            <w:r>
              <w:t>公用经费拨付完成率达到需时进度</w:t>
            </w:r>
          </w:p>
        </w:tc>
        <w:tc>
          <w:tcPr>
            <w:tcW w:w="2268" w:type="dxa"/>
            <w:vAlign w:val="center"/>
          </w:tcPr>
          <w:p w14:paraId="22BA6451">
            <w:pPr>
              <w:pStyle w:val="12"/>
            </w:pPr>
            <w:r>
              <w:t>100%</w:t>
            </w:r>
          </w:p>
        </w:tc>
        <w:tc>
          <w:tcPr>
            <w:tcW w:w="1276" w:type="dxa"/>
            <w:vAlign w:val="center"/>
          </w:tcPr>
          <w:p w14:paraId="362A32AC">
            <w:pPr>
              <w:pStyle w:val="12"/>
            </w:pPr>
            <w:r>
              <w:t>城乡义务教育公用经费管理办法</w:t>
            </w:r>
          </w:p>
        </w:tc>
      </w:tr>
      <w:tr w14:paraId="4722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C54A"/>
        </w:tc>
        <w:tc>
          <w:tcPr>
            <w:tcW w:w="2268" w:type="dxa"/>
            <w:vAlign w:val="center"/>
          </w:tcPr>
          <w:p w14:paraId="22D21F64">
            <w:pPr>
              <w:pStyle w:val="12"/>
            </w:pPr>
            <w:r>
              <w:t>时效指标</w:t>
            </w:r>
          </w:p>
        </w:tc>
        <w:tc>
          <w:tcPr>
            <w:tcW w:w="2835" w:type="dxa"/>
            <w:vAlign w:val="center"/>
          </w:tcPr>
          <w:p w14:paraId="7A801D17">
            <w:pPr>
              <w:pStyle w:val="12"/>
            </w:pPr>
            <w:r>
              <w:t>资金支付率</w:t>
            </w:r>
          </w:p>
        </w:tc>
        <w:tc>
          <w:tcPr>
            <w:tcW w:w="5386" w:type="dxa"/>
            <w:vAlign w:val="center"/>
          </w:tcPr>
          <w:p w14:paraId="47AC29A0">
            <w:pPr>
              <w:pStyle w:val="12"/>
            </w:pPr>
            <w:r>
              <w:t>按照序时进度完成资金支付</w:t>
            </w:r>
          </w:p>
        </w:tc>
        <w:tc>
          <w:tcPr>
            <w:tcW w:w="2268" w:type="dxa"/>
            <w:vAlign w:val="center"/>
          </w:tcPr>
          <w:p w14:paraId="73EAEAAA">
            <w:pPr>
              <w:pStyle w:val="12"/>
            </w:pPr>
            <w:r>
              <w:t>100%</w:t>
            </w:r>
          </w:p>
        </w:tc>
        <w:tc>
          <w:tcPr>
            <w:tcW w:w="1276" w:type="dxa"/>
            <w:vAlign w:val="center"/>
          </w:tcPr>
          <w:p w14:paraId="2DDCC49E">
            <w:pPr>
              <w:pStyle w:val="12"/>
            </w:pPr>
            <w:r>
              <w:t>城乡义务教育公用经费管理办法</w:t>
            </w:r>
          </w:p>
        </w:tc>
      </w:tr>
      <w:tr w14:paraId="5572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B7685"/>
        </w:tc>
        <w:tc>
          <w:tcPr>
            <w:tcW w:w="2268" w:type="dxa"/>
            <w:vAlign w:val="center"/>
          </w:tcPr>
          <w:p w14:paraId="7FC1FEEB">
            <w:pPr>
              <w:pStyle w:val="12"/>
            </w:pPr>
            <w:r>
              <w:t>成本指标</w:t>
            </w:r>
          </w:p>
        </w:tc>
        <w:tc>
          <w:tcPr>
            <w:tcW w:w="2835" w:type="dxa"/>
            <w:vAlign w:val="center"/>
          </w:tcPr>
          <w:p w14:paraId="2C511AF1">
            <w:pPr>
              <w:pStyle w:val="12"/>
            </w:pPr>
            <w:r>
              <w:t>生均拨款标准</w:t>
            </w:r>
          </w:p>
        </w:tc>
        <w:tc>
          <w:tcPr>
            <w:tcW w:w="5386" w:type="dxa"/>
            <w:vAlign w:val="center"/>
          </w:tcPr>
          <w:p w14:paraId="1C268845">
            <w:pPr>
              <w:pStyle w:val="12"/>
            </w:pPr>
            <w:r>
              <w:t>小学：（基本标准720元、寄宿生300元、取暖费120元）/生/学年；特教、随班就读学生：标准7000元/生/学年。</w:t>
            </w:r>
          </w:p>
        </w:tc>
        <w:tc>
          <w:tcPr>
            <w:tcW w:w="2268" w:type="dxa"/>
            <w:vAlign w:val="center"/>
          </w:tcPr>
          <w:p w14:paraId="374F52A1">
            <w:pPr>
              <w:pStyle w:val="12"/>
            </w:pPr>
            <w:r>
              <w:t>1255500元</w:t>
            </w:r>
          </w:p>
        </w:tc>
        <w:tc>
          <w:tcPr>
            <w:tcW w:w="1276" w:type="dxa"/>
            <w:vAlign w:val="center"/>
          </w:tcPr>
          <w:p w14:paraId="328FDF5E">
            <w:pPr>
              <w:pStyle w:val="12"/>
            </w:pPr>
            <w:r>
              <w:t>城乡义务教育公用经费管理办法</w:t>
            </w:r>
          </w:p>
        </w:tc>
      </w:tr>
      <w:tr w14:paraId="1A77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D730C">
            <w:pPr>
              <w:pStyle w:val="13"/>
            </w:pPr>
            <w:r>
              <w:t>效益指标</w:t>
            </w:r>
          </w:p>
        </w:tc>
        <w:tc>
          <w:tcPr>
            <w:tcW w:w="2268" w:type="dxa"/>
            <w:vAlign w:val="center"/>
          </w:tcPr>
          <w:p w14:paraId="7A4EC2A0">
            <w:pPr>
              <w:pStyle w:val="12"/>
            </w:pPr>
            <w:r>
              <w:t>经济效益指标</w:t>
            </w:r>
          </w:p>
        </w:tc>
        <w:tc>
          <w:tcPr>
            <w:tcW w:w="2835" w:type="dxa"/>
            <w:vAlign w:val="center"/>
          </w:tcPr>
          <w:p w14:paraId="0BCCAD77">
            <w:pPr>
              <w:pStyle w:val="12"/>
            </w:pPr>
            <w:r>
              <w:t>项目实施成果</w:t>
            </w:r>
          </w:p>
        </w:tc>
        <w:tc>
          <w:tcPr>
            <w:tcW w:w="5386" w:type="dxa"/>
            <w:vAlign w:val="center"/>
          </w:tcPr>
          <w:p w14:paraId="4FF4D2DC">
            <w:pPr>
              <w:pStyle w:val="12"/>
            </w:pPr>
            <w:r>
              <w:t>减轻受教育学生家庭经济负担</w:t>
            </w:r>
          </w:p>
        </w:tc>
        <w:tc>
          <w:tcPr>
            <w:tcW w:w="2268" w:type="dxa"/>
            <w:vAlign w:val="center"/>
          </w:tcPr>
          <w:p w14:paraId="181795D4">
            <w:pPr>
              <w:pStyle w:val="12"/>
            </w:pPr>
            <w:r>
              <w:t>100%</w:t>
            </w:r>
          </w:p>
        </w:tc>
        <w:tc>
          <w:tcPr>
            <w:tcW w:w="1276" w:type="dxa"/>
            <w:vAlign w:val="center"/>
          </w:tcPr>
          <w:p w14:paraId="4D33B82C">
            <w:pPr>
              <w:pStyle w:val="12"/>
            </w:pPr>
            <w:r>
              <w:t>城乡义务教育公用经费管理办法</w:t>
            </w:r>
          </w:p>
        </w:tc>
      </w:tr>
      <w:tr w14:paraId="0CE9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3DE62"/>
        </w:tc>
        <w:tc>
          <w:tcPr>
            <w:tcW w:w="2268" w:type="dxa"/>
            <w:vAlign w:val="center"/>
          </w:tcPr>
          <w:p w14:paraId="2F27E224">
            <w:pPr>
              <w:pStyle w:val="12"/>
            </w:pPr>
            <w:r>
              <w:t>社会效益指标</w:t>
            </w:r>
          </w:p>
        </w:tc>
        <w:tc>
          <w:tcPr>
            <w:tcW w:w="2835" w:type="dxa"/>
            <w:vAlign w:val="center"/>
          </w:tcPr>
          <w:p w14:paraId="6971EB7C">
            <w:pPr>
              <w:pStyle w:val="12"/>
            </w:pPr>
            <w:r>
              <w:t>学校办学能力提升</w:t>
            </w:r>
          </w:p>
        </w:tc>
        <w:tc>
          <w:tcPr>
            <w:tcW w:w="5386" w:type="dxa"/>
            <w:vAlign w:val="center"/>
          </w:tcPr>
          <w:p w14:paraId="445C45D6">
            <w:pPr>
              <w:pStyle w:val="12"/>
            </w:pPr>
            <w:r>
              <w:t>学校办学能</w:t>
            </w:r>
            <w:r>
              <w:rPr>
                <w:rFonts w:hint="eastAsia"/>
                <w:lang w:eastAsia="zh-CN"/>
              </w:rPr>
              <w:t>力提</w:t>
            </w:r>
            <w:r>
              <w:t>升情况及教育教学工作等开展的情况</w:t>
            </w:r>
          </w:p>
        </w:tc>
        <w:tc>
          <w:tcPr>
            <w:tcW w:w="2268" w:type="dxa"/>
            <w:vAlign w:val="center"/>
          </w:tcPr>
          <w:p w14:paraId="0029DFFA">
            <w:pPr>
              <w:pStyle w:val="12"/>
            </w:pPr>
            <w:r>
              <w:t>100%</w:t>
            </w:r>
          </w:p>
        </w:tc>
        <w:tc>
          <w:tcPr>
            <w:tcW w:w="1276" w:type="dxa"/>
            <w:vAlign w:val="center"/>
          </w:tcPr>
          <w:p w14:paraId="65F30AA7">
            <w:pPr>
              <w:pStyle w:val="12"/>
            </w:pPr>
            <w:r>
              <w:t>城乡义务教育公用经费管理办法</w:t>
            </w:r>
          </w:p>
        </w:tc>
      </w:tr>
      <w:tr w14:paraId="28418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77FA0"/>
        </w:tc>
        <w:tc>
          <w:tcPr>
            <w:tcW w:w="2268" w:type="dxa"/>
            <w:vAlign w:val="center"/>
          </w:tcPr>
          <w:p w14:paraId="0D4CB981">
            <w:pPr>
              <w:pStyle w:val="12"/>
            </w:pPr>
            <w:r>
              <w:t>可持续影响指标</w:t>
            </w:r>
          </w:p>
        </w:tc>
        <w:tc>
          <w:tcPr>
            <w:tcW w:w="2835" w:type="dxa"/>
            <w:vAlign w:val="center"/>
          </w:tcPr>
          <w:p w14:paraId="49E70B53">
            <w:pPr>
              <w:pStyle w:val="12"/>
            </w:pPr>
            <w:r>
              <w:t>教育发展水平</w:t>
            </w:r>
          </w:p>
        </w:tc>
        <w:tc>
          <w:tcPr>
            <w:tcW w:w="5386" w:type="dxa"/>
            <w:vAlign w:val="center"/>
          </w:tcPr>
          <w:p w14:paraId="3061A57D">
            <w:pPr>
              <w:pStyle w:val="12"/>
            </w:pPr>
            <w:r>
              <w:t>辖区内教育环境明显好转</w:t>
            </w:r>
          </w:p>
        </w:tc>
        <w:tc>
          <w:tcPr>
            <w:tcW w:w="2268" w:type="dxa"/>
            <w:vAlign w:val="center"/>
          </w:tcPr>
          <w:p w14:paraId="6F79B0BC">
            <w:pPr>
              <w:pStyle w:val="12"/>
            </w:pPr>
            <w:r>
              <w:t>100%</w:t>
            </w:r>
          </w:p>
        </w:tc>
        <w:tc>
          <w:tcPr>
            <w:tcW w:w="1276" w:type="dxa"/>
            <w:vAlign w:val="center"/>
          </w:tcPr>
          <w:p w14:paraId="32FFC3EB">
            <w:pPr>
              <w:pStyle w:val="12"/>
            </w:pPr>
            <w:r>
              <w:t>城乡义务教育公用经费管理办法</w:t>
            </w:r>
          </w:p>
        </w:tc>
      </w:tr>
      <w:tr w14:paraId="232B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A34D9">
            <w:pPr>
              <w:pStyle w:val="13"/>
            </w:pPr>
            <w:r>
              <w:t>满意度指标</w:t>
            </w:r>
          </w:p>
        </w:tc>
        <w:tc>
          <w:tcPr>
            <w:tcW w:w="2268" w:type="dxa"/>
            <w:vAlign w:val="center"/>
          </w:tcPr>
          <w:p w14:paraId="790D1216">
            <w:pPr>
              <w:pStyle w:val="12"/>
            </w:pPr>
            <w:r>
              <w:t>服务对象满意度指标</w:t>
            </w:r>
          </w:p>
        </w:tc>
        <w:tc>
          <w:tcPr>
            <w:tcW w:w="2835" w:type="dxa"/>
            <w:vAlign w:val="center"/>
          </w:tcPr>
          <w:p w14:paraId="4879F0FE">
            <w:pPr>
              <w:pStyle w:val="12"/>
            </w:pPr>
            <w:r>
              <w:t>受益学生家长及调查满意度</w:t>
            </w:r>
          </w:p>
        </w:tc>
        <w:tc>
          <w:tcPr>
            <w:tcW w:w="5386" w:type="dxa"/>
            <w:vAlign w:val="center"/>
          </w:tcPr>
          <w:p w14:paraId="4D54CB89">
            <w:pPr>
              <w:pStyle w:val="12"/>
            </w:pPr>
            <w:r>
              <w:t>学生、教师及家长对学校保教保育工作满意度情况</w:t>
            </w:r>
          </w:p>
        </w:tc>
        <w:tc>
          <w:tcPr>
            <w:tcW w:w="2268" w:type="dxa"/>
            <w:vAlign w:val="center"/>
          </w:tcPr>
          <w:p w14:paraId="2374C330">
            <w:pPr>
              <w:pStyle w:val="12"/>
            </w:pPr>
            <w:r>
              <w:t>≥95%</w:t>
            </w:r>
          </w:p>
        </w:tc>
        <w:tc>
          <w:tcPr>
            <w:tcW w:w="1276" w:type="dxa"/>
            <w:vAlign w:val="center"/>
          </w:tcPr>
          <w:p w14:paraId="6762700A">
            <w:pPr>
              <w:pStyle w:val="12"/>
            </w:pPr>
            <w:r>
              <w:t>调查问卷</w:t>
            </w:r>
          </w:p>
        </w:tc>
      </w:tr>
    </w:tbl>
    <w:p w14:paraId="4CDD3B0B">
      <w:pPr>
        <w:sectPr>
          <w:pgSz w:w="16840" w:h="11900" w:orient="landscape"/>
          <w:pgMar w:top="1361" w:right="1020" w:bottom="1134" w:left="1020" w:header="720" w:footer="720" w:gutter="0"/>
          <w:cols w:space="720" w:num="1"/>
        </w:sectPr>
      </w:pPr>
    </w:p>
    <w:p w14:paraId="5A8C9774">
      <w:pPr>
        <w:spacing w:before="0" w:after="0"/>
        <w:ind w:firstLine="560"/>
        <w:jc w:val="left"/>
        <w:outlineLvl w:val="9"/>
      </w:pPr>
      <w:r>
        <w:rPr>
          <w:rFonts w:ascii="方正仿宋_GBK" w:hAnsi="方正仿宋_GBK" w:eastAsia="方正仿宋_GBK" w:cs="方正仿宋_GBK"/>
          <w:b/>
          <w:color w:val="000000"/>
          <w:sz w:val="28"/>
        </w:rPr>
        <w:t>7、冀财教[2025]121号/中央/义教/2026年校舍安全/东关小学地面硬化绩效目标表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2E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9C0E8">
            <w:pPr>
              <w:pStyle w:val="11"/>
            </w:pPr>
            <w:r>
              <w:t>单位：万元</w:t>
            </w:r>
          </w:p>
        </w:tc>
      </w:tr>
      <w:tr w14:paraId="7DF6A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11AD6">
            <w:pPr>
              <w:pStyle w:val="10"/>
            </w:pPr>
            <w:r>
              <w:t>项目编码</w:t>
            </w:r>
          </w:p>
        </w:tc>
        <w:tc>
          <w:tcPr>
            <w:tcW w:w="5103" w:type="dxa"/>
            <w:gridSpan w:val="2"/>
            <w:vAlign w:val="center"/>
          </w:tcPr>
          <w:p w14:paraId="2BB1BF8D">
            <w:pPr>
              <w:pStyle w:val="12"/>
            </w:pPr>
            <w:r>
              <w:t>13052526P00876210079W</w:t>
            </w:r>
          </w:p>
        </w:tc>
        <w:tc>
          <w:tcPr>
            <w:tcW w:w="2835" w:type="dxa"/>
            <w:vAlign w:val="center"/>
          </w:tcPr>
          <w:p w14:paraId="70E1B71E">
            <w:pPr>
              <w:pStyle w:val="10"/>
            </w:pPr>
            <w:r>
              <w:t>项目名称</w:t>
            </w:r>
          </w:p>
        </w:tc>
        <w:tc>
          <w:tcPr>
            <w:tcW w:w="6095" w:type="dxa"/>
            <w:gridSpan w:val="3"/>
            <w:vAlign w:val="center"/>
          </w:tcPr>
          <w:p w14:paraId="19233327">
            <w:pPr>
              <w:pStyle w:val="12"/>
            </w:pPr>
            <w:r>
              <w:t>冀财教[2025]121号/中央/义教/2026年校舍安全/东关小学地面硬化</w:t>
            </w:r>
          </w:p>
        </w:tc>
      </w:tr>
      <w:tr w14:paraId="111B8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26384">
            <w:pPr>
              <w:pStyle w:val="10"/>
            </w:pPr>
            <w:r>
              <w:t>预算规模及资金用途</w:t>
            </w:r>
          </w:p>
        </w:tc>
        <w:tc>
          <w:tcPr>
            <w:tcW w:w="2268" w:type="dxa"/>
            <w:vAlign w:val="center"/>
          </w:tcPr>
          <w:p w14:paraId="06376C88">
            <w:pPr>
              <w:pStyle w:val="10"/>
            </w:pPr>
            <w:r>
              <w:t>预算数</w:t>
            </w:r>
          </w:p>
        </w:tc>
        <w:tc>
          <w:tcPr>
            <w:tcW w:w="2835" w:type="dxa"/>
            <w:vAlign w:val="center"/>
          </w:tcPr>
          <w:p w14:paraId="322C385E">
            <w:pPr>
              <w:pStyle w:val="12"/>
            </w:pPr>
            <w:r>
              <w:t>18.30</w:t>
            </w:r>
          </w:p>
        </w:tc>
        <w:tc>
          <w:tcPr>
            <w:tcW w:w="2835" w:type="dxa"/>
            <w:vAlign w:val="center"/>
          </w:tcPr>
          <w:p w14:paraId="1FC8FF9B">
            <w:pPr>
              <w:pStyle w:val="10"/>
            </w:pPr>
            <w:r>
              <w:t>其中：财政    资金</w:t>
            </w:r>
          </w:p>
        </w:tc>
        <w:tc>
          <w:tcPr>
            <w:tcW w:w="2551" w:type="dxa"/>
            <w:vAlign w:val="center"/>
          </w:tcPr>
          <w:p w14:paraId="275BD98F">
            <w:pPr>
              <w:pStyle w:val="12"/>
            </w:pPr>
            <w:r>
              <w:t>18.30</w:t>
            </w:r>
          </w:p>
        </w:tc>
        <w:tc>
          <w:tcPr>
            <w:tcW w:w="2268" w:type="dxa"/>
            <w:vAlign w:val="center"/>
          </w:tcPr>
          <w:p w14:paraId="582DF88A">
            <w:pPr>
              <w:pStyle w:val="10"/>
            </w:pPr>
            <w:r>
              <w:t>其他资金</w:t>
            </w:r>
          </w:p>
        </w:tc>
        <w:tc>
          <w:tcPr>
            <w:tcW w:w="1276" w:type="dxa"/>
            <w:vAlign w:val="center"/>
          </w:tcPr>
          <w:p w14:paraId="61D0C92E">
            <w:pPr>
              <w:pStyle w:val="12"/>
            </w:pPr>
            <w:r>
              <w:t xml:space="preserve"> </w:t>
            </w:r>
          </w:p>
        </w:tc>
      </w:tr>
      <w:tr w14:paraId="4D9FE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B5CA6"/>
        </w:tc>
        <w:tc>
          <w:tcPr>
            <w:tcW w:w="14033" w:type="dxa"/>
            <w:gridSpan w:val="6"/>
            <w:vAlign w:val="center"/>
          </w:tcPr>
          <w:p w14:paraId="1F6E86A6">
            <w:pPr>
              <w:pStyle w:val="12"/>
            </w:pPr>
            <w:r>
              <w:t>改善义务教育办学条件，进一步提升教育教学办学质量，东关小学地面硬化项目资金183000元，资金拨付率达100%</w:t>
            </w:r>
          </w:p>
        </w:tc>
      </w:tr>
      <w:tr w14:paraId="11D85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59528">
            <w:pPr>
              <w:pStyle w:val="10"/>
            </w:pPr>
            <w:r>
              <w:t>资金支出计划（%）</w:t>
            </w:r>
          </w:p>
        </w:tc>
        <w:tc>
          <w:tcPr>
            <w:tcW w:w="5103" w:type="dxa"/>
            <w:gridSpan w:val="2"/>
            <w:vAlign w:val="center"/>
          </w:tcPr>
          <w:p w14:paraId="4E511F45">
            <w:pPr>
              <w:pStyle w:val="10"/>
            </w:pPr>
            <w:r>
              <w:t>3月底</w:t>
            </w:r>
          </w:p>
        </w:tc>
        <w:tc>
          <w:tcPr>
            <w:tcW w:w="2835" w:type="dxa"/>
            <w:vAlign w:val="center"/>
          </w:tcPr>
          <w:p w14:paraId="721EEE65">
            <w:pPr>
              <w:pStyle w:val="10"/>
            </w:pPr>
            <w:r>
              <w:t>6月底</w:t>
            </w:r>
          </w:p>
        </w:tc>
        <w:tc>
          <w:tcPr>
            <w:tcW w:w="2551" w:type="dxa"/>
            <w:vAlign w:val="center"/>
          </w:tcPr>
          <w:p w14:paraId="1DED0AFC">
            <w:pPr>
              <w:pStyle w:val="10"/>
            </w:pPr>
            <w:r>
              <w:t>10月底</w:t>
            </w:r>
          </w:p>
        </w:tc>
        <w:tc>
          <w:tcPr>
            <w:tcW w:w="3544" w:type="dxa"/>
            <w:gridSpan w:val="2"/>
            <w:vAlign w:val="center"/>
          </w:tcPr>
          <w:p w14:paraId="1F22F7DB">
            <w:pPr>
              <w:pStyle w:val="10"/>
            </w:pPr>
            <w:r>
              <w:t>12月底</w:t>
            </w:r>
          </w:p>
        </w:tc>
      </w:tr>
      <w:tr w14:paraId="15187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D35A3"/>
        </w:tc>
        <w:tc>
          <w:tcPr>
            <w:tcW w:w="5103" w:type="dxa"/>
            <w:gridSpan w:val="2"/>
            <w:vAlign w:val="center"/>
          </w:tcPr>
          <w:p w14:paraId="58DCFA7D">
            <w:pPr>
              <w:pStyle w:val="13"/>
            </w:pPr>
            <w:r>
              <w:t xml:space="preserve"> </w:t>
            </w:r>
          </w:p>
        </w:tc>
        <w:tc>
          <w:tcPr>
            <w:tcW w:w="2835" w:type="dxa"/>
            <w:vAlign w:val="center"/>
          </w:tcPr>
          <w:p w14:paraId="3392EC15">
            <w:pPr>
              <w:pStyle w:val="13"/>
            </w:pPr>
            <w:r>
              <w:t>100%</w:t>
            </w:r>
          </w:p>
        </w:tc>
        <w:tc>
          <w:tcPr>
            <w:tcW w:w="2551" w:type="dxa"/>
            <w:vAlign w:val="center"/>
          </w:tcPr>
          <w:p w14:paraId="3465D050">
            <w:pPr>
              <w:pStyle w:val="13"/>
            </w:pPr>
            <w:r>
              <w:t>100%</w:t>
            </w:r>
          </w:p>
        </w:tc>
        <w:tc>
          <w:tcPr>
            <w:tcW w:w="3544" w:type="dxa"/>
            <w:gridSpan w:val="2"/>
            <w:vAlign w:val="center"/>
          </w:tcPr>
          <w:p w14:paraId="3C184189">
            <w:pPr>
              <w:pStyle w:val="13"/>
            </w:pPr>
            <w:r>
              <w:t>100%</w:t>
            </w:r>
          </w:p>
        </w:tc>
      </w:tr>
      <w:tr w14:paraId="0116E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975B8">
            <w:pPr>
              <w:pStyle w:val="10"/>
            </w:pPr>
            <w:r>
              <w:t>绩效目标</w:t>
            </w:r>
          </w:p>
        </w:tc>
        <w:tc>
          <w:tcPr>
            <w:tcW w:w="14033" w:type="dxa"/>
            <w:gridSpan w:val="6"/>
            <w:vAlign w:val="center"/>
          </w:tcPr>
          <w:p w14:paraId="68A01953">
            <w:pPr>
              <w:pStyle w:val="12"/>
            </w:pPr>
            <w:r>
              <w:t>1.改善义务教育办学条件，进一步提升教育教学办学质量</w:t>
            </w:r>
          </w:p>
          <w:p w14:paraId="1E0E888E">
            <w:pPr>
              <w:pStyle w:val="12"/>
            </w:pPr>
            <w:r>
              <w:t>2.东关小学地面硬化项目资金183000元，资金拨付率达100%</w:t>
            </w:r>
          </w:p>
        </w:tc>
      </w:tr>
    </w:tbl>
    <w:p w14:paraId="65AFB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3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E26F7">
            <w:pPr>
              <w:pStyle w:val="10"/>
            </w:pPr>
            <w:r>
              <w:t>一级指标</w:t>
            </w:r>
          </w:p>
        </w:tc>
        <w:tc>
          <w:tcPr>
            <w:tcW w:w="2268" w:type="dxa"/>
            <w:vAlign w:val="center"/>
          </w:tcPr>
          <w:p w14:paraId="046D32D1">
            <w:pPr>
              <w:pStyle w:val="10"/>
            </w:pPr>
            <w:r>
              <w:t>二级指标</w:t>
            </w:r>
          </w:p>
        </w:tc>
        <w:tc>
          <w:tcPr>
            <w:tcW w:w="2835" w:type="dxa"/>
            <w:vAlign w:val="center"/>
          </w:tcPr>
          <w:p w14:paraId="1F0B785A">
            <w:pPr>
              <w:pStyle w:val="10"/>
            </w:pPr>
            <w:r>
              <w:t>三级指标</w:t>
            </w:r>
          </w:p>
        </w:tc>
        <w:tc>
          <w:tcPr>
            <w:tcW w:w="5386" w:type="dxa"/>
            <w:vAlign w:val="center"/>
          </w:tcPr>
          <w:p w14:paraId="7B26DC14">
            <w:pPr>
              <w:pStyle w:val="10"/>
            </w:pPr>
            <w:r>
              <w:t>绩效指标描述</w:t>
            </w:r>
          </w:p>
        </w:tc>
        <w:tc>
          <w:tcPr>
            <w:tcW w:w="2268" w:type="dxa"/>
            <w:vAlign w:val="center"/>
          </w:tcPr>
          <w:p w14:paraId="7EB7DBAB">
            <w:pPr>
              <w:pStyle w:val="10"/>
            </w:pPr>
            <w:r>
              <w:t>指标值</w:t>
            </w:r>
          </w:p>
        </w:tc>
        <w:tc>
          <w:tcPr>
            <w:tcW w:w="1276" w:type="dxa"/>
            <w:vAlign w:val="center"/>
          </w:tcPr>
          <w:p w14:paraId="30119530">
            <w:pPr>
              <w:pStyle w:val="10"/>
            </w:pPr>
            <w:r>
              <w:t>指标值确定依据</w:t>
            </w:r>
          </w:p>
        </w:tc>
      </w:tr>
      <w:tr w14:paraId="6C1D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77D55">
            <w:pPr>
              <w:pStyle w:val="13"/>
            </w:pPr>
            <w:r>
              <w:t>产出指标</w:t>
            </w:r>
          </w:p>
        </w:tc>
        <w:tc>
          <w:tcPr>
            <w:tcW w:w="2268" w:type="dxa"/>
            <w:vAlign w:val="center"/>
          </w:tcPr>
          <w:p w14:paraId="2C666915">
            <w:pPr>
              <w:pStyle w:val="12"/>
            </w:pPr>
            <w:r>
              <w:t>数量指标</w:t>
            </w:r>
          </w:p>
        </w:tc>
        <w:tc>
          <w:tcPr>
            <w:tcW w:w="2835" w:type="dxa"/>
            <w:vAlign w:val="center"/>
          </w:tcPr>
          <w:p w14:paraId="79775FB7">
            <w:pPr>
              <w:pStyle w:val="12"/>
            </w:pPr>
            <w:r>
              <w:t>地面硬化</w:t>
            </w:r>
          </w:p>
        </w:tc>
        <w:tc>
          <w:tcPr>
            <w:tcW w:w="5386" w:type="dxa"/>
            <w:vAlign w:val="center"/>
          </w:tcPr>
          <w:p w14:paraId="3A438511">
            <w:pPr>
              <w:pStyle w:val="12"/>
            </w:pPr>
            <w:r>
              <w:t>铺设地面沥青硬化</w:t>
            </w:r>
          </w:p>
        </w:tc>
        <w:tc>
          <w:tcPr>
            <w:tcW w:w="2268" w:type="dxa"/>
            <w:vAlign w:val="center"/>
          </w:tcPr>
          <w:p w14:paraId="382532C9">
            <w:pPr>
              <w:pStyle w:val="12"/>
            </w:pPr>
            <w:r>
              <w:t>≥2029平方米</w:t>
            </w:r>
          </w:p>
        </w:tc>
        <w:tc>
          <w:tcPr>
            <w:tcW w:w="1276" w:type="dxa"/>
            <w:vAlign w:val="center"/>
          </w:tcPr>
          <w:p w14:paraId="1B5D25C6">
            <w:pPr>
              <w:pStyle w:val="12"/>
            </w:pPr>
            <w:r>
              <w:t>项目规划</w:t>
            </w:r>
          </w:p>
        </w:tc>
      </w:tr>
      <w:tr w14:paraId="5066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75572"/>
        </w:tc>
        <w:tc>
          <w:tcPr>
            <w:tcW w:w="2268" w:type="dxa"/>
            <w:vAlign w:val="center"/>
          </w:tcPr>
          <w:p w14:paraId="18B39674">
            <w:pPr>
              <w:pStyle w:val="12"/>
            </w:pPr>
            <w:r>
              <w:t>质量指标</w:t>
            </w:r>
          </w:p>
        </w:tc>
        <w:tc>
          <w:tcPr>
            <w:tcW w:w="2835" w:type="dxa"/>
            <w:vAlign w:val="center"/>
          </w:tcPr>
          <w:p w14:paraId="6897FE2B">
            <w:pPr>
              <w:pStyle w:val="12"/>
            </w:pPr>
            <w:r>
              <w:t>工程实施验收合格率</w:t>
            </w:r>
          </w:p>
        </w:tc>
        <w:tc>
          <w:tcPr>
            <w:tcW w:w="5386" w:type="dxa"/>
            <w:vAlign w:val="center"/>
          </w:tcPr>
          <w:p w14:paraId="71066C19">
            <w:pPr>
              <w:pStyle w:val="12"/>
            </w:pPr>
            <w:r>
              <w:t>申报程序的合规，项目实施及资金使用符合项目规划</w:t>
            </w:r>
          </w:p>
        </w:tc>
        <w:tc>
          <w:tcPr>
            <w:tcW w:w="2268" w:type="dxa"/>
            <w:vAlign w:val="center"/>
          </w:tcPr>
          <w:p w14:paraId="56AD40B7">
            <w:pPr>
              <w:pStyle w:val="12"/>
            </w:pPr>
            <w:r>
              <w:t>100%</w:t>
            </w:r>
          </w:p>
        </w:tc>
        <w:tc>
          <w:tcPr>
            <w:tcW w:w="1276" w:type="dxa"/>
            <w:vAlign w:val="center"/>
          </w:tcPr>
          <w:p w14:paraId="56716E87">
            <w:pPr>
              <w:pStyle w:val="12"/>
            </w:pPr>
            <w:r>
              <w:t>项目规划</w:t>
            </w:r>
          </w:p>
        </w:tc>
      </w:tr>
      <w:tr w14:paraId="6E54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EE5AA"/>
        </w:tc>
        <w:tc>
          <w:tcPr>
            <w:tcW w:w="2268" w:type="dxa"/>
            <w:vAlign w:val="center"/>
          </w:tcPr>
          <w:p w14:paraId="11B98C57">
            <w:pPr>
              <w:pStyle w:val="12"/>
            </w:pPr>
            <w:r>
              <w:t>时效指标</w:t>
            </w:r>
          </w:p>
        </w:tc>
        <w:tc>
          <w:tcPr>
            <w:tcW w:w="2835" w:type="dxa"/>
            <w:vAlign w:val="center"/>
          </w:tcPr>
          <w:p w14:paraId="35AEC824">
            <w:pPr>
              <w:pStyle w:val="12"/>
            </w:pPr>
            <w:r>
              <w:t>资金支付率</w:t>
            </w:r>
          </w:p>
        </w:tc>
        <w:tc>
          <w:tcPr>
            <w:tcW w:w="5386" w:type="dxa"/>
            <w:vAlign w:val="center"/>
          </w:tcPr>
          <w:p w14:paraId="628A1FC9">
            <w:pPr>
              <w:pStyle w:val="12"/>
            </w:pPr>
            <w:r>
              <w:t>按照序时进度完成资金支付</w:t>
            </w:r>
          </w:p>
        </w:tc>
        <w:tc>
          <w:tcPr>
            <w:tcW w:w="2268" w:type="dxa"/>
            <w:vAlign w:val="center"/>
          </w:tcPr>
          <w:p w14:paraId="2F64D935">
            <w:pPr>
              <w:pStyle w:val="12"/>
            </w:pPr>
            <w:r>
              <w:t>100%</w:t>
            </w:r>
          </w:p>
        </w:tc>
        <w:tc>
          <w:tcPr>
            <w:tcW w:w="1276" w:type="dxa"/>
            <w:vAlign w:val="center"/>
          </w:tcPr>
          <w:p w14:paraId="1AA8A11A">
            <w:pPr>
              <w:pStyle w:val="12"/>
            </w:pPr>
            <w:r>
              <w:t>项目规划</w:t>
            </w:r>
          </w:p>
        </w:tc>
      </w:tr>
      <w:tr w14:paraId="45B2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38C61"/>
        </w:tc>
        <w:tc>
          <w:tcPr>
            <w:tcW w:w="2268" w:type="dxa"/>
            <w:vAlign w:val="center"/>
          </w:tcPr>
          <w:p w14:paraId="451B506D">
            <w:pPr>
              <w:pStyle w:val="12"/>
            </w:pPr>
            <w:r>
              <w:t>成本指标</w:t>
            </w:r>
          </w:p>
        </w:tc>
        <w:tc>
          <w:tcPr>
            <w:tcW w:w="2835" w:type="dxa"/>
            <w:vAlign w:val="center"/>
          </w:tcPr>
          <w:p w14:paraId="6956E0B2">
            <w:pPr>
              <w:pStyle w:val="12"/>
            </w:pPr>
            <w:r>
              <w:t>项目成本控制情况</w:t>
            </w:r>
          </w:p>
        </w:tc>
        <w:tc>
          <w:tcPr>
            <w:tcW w:w="5386" w:type="dxa"/>
            <w:vAlign w:val="center"/>
          </w:tcPr>
          <w:p w14:paraId="4435EEA6">
            <w:pPr>
              <w:pStyle w:val="12"/>
            </w:pPr>
            <w:r>
              <w:t>严格按照招标价格及审计额进行</w:t>
            </w:r>
          </w:p>
        </w:tc>
        <w:tc>
          <w:tcPr>
            <w:tcW w:w="2268" w:type="dxa"/>
            <w:vAlign w:val="center"/>
          </w:tcPr>
          <w:p w14:paraId="7C1A9D92">
            <w:pPr>
              <w:pStyle w:val="12"/>
            </w:pPr>
            <w:r>
              <w:t>18.3万元</w:t>
            </w:r>
          </w:p>
        </w:tc>
        <w:tc>
          <w:tcPr>
            <w:tcW w:w="1276" w:type="dxa"/>
            <w:vAlign w:val="center"/>
          </w:tcPr>
          <w:p w14:paraId="37534BF6">
            <w:pPr>
              <w:pStyle w:val="12"/>
            </w:pPr>
            <w:r>
              <w:t>项目规划</w:t>
            </w:r>
          </w:p>
        </w:tc>
      </w:tr>
      <w:tr w14:paraId="53FB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BB969">
            <w:pPr>
              <w:pStyle w:val="13"/>
            </w:pPr>
            <w:r>
              <w:t>效益指标</w:t>
            </w:r>
          </w:p>
        </w:tc>
        <w:tc>
          <w:tcPr>
            <w:tcW w:w="2268" w:type="dxa"/>
            <w:vAlign w:val="center"/>
          </w:tcPr>
          <w:p w14:paraId="5F71DCD9">
            <w:pPr>
              <w:pStyle w:val="12"/>
            </w:pPr>
            <w:r>
              <w:t>可持续影响指标</w:t>
            </w:r>
          </w:p>
        </w:tc>
        <w:tc>
          <w:tcPr>
            <w:tcW w:w="2835" w:type="dxa"/>
            <w:vAlign w:val="center"/>
          </w:tcPr>
          <w:p w14:paraId="56972B7B">
            <w:pPr>
              <w:pStyle w:val="12"/>
            </w:pPr>
            <w:r>
              <w:t>学校办学能力提升</w:t>
            </w:r>
          </w:p>
        </w:tc>
        <w:tc>
          <w:tcPr>
            <w:tcW w:w="5386" w:type="dxa"/>
            <w:vAlign w:val="center"/>
          </w:tcPr>
          <w:p w14:paraId="1190EDC6">
            <w:pPr>
              <w:pStyle w:val="12"/>
            </w:pPr>
            <w:r>
              <w:t>学校办学能</w:t>
            </w:r>
            <w:r>
              <w:rPr>
                <w:rFonts w:hint="eastAsia"/>
                <w:lang w:eastAsia="zh-CN"/>
              </w:rPr>
              <w:t>力提</w:t>
            </w:r>
            <w:r>
              <w:t>升情况及教育教学工作等开展的情况</w:t>
            </w:r>
          </w:p>
        </w:tc>
        <w:tc>
          <w:tcPr>
            <w:tcW w:w="2268" w:type="dxa"/>
            <w:vAlign w:val="center"/>
          </w:tcPr>
          <w:p w14:paraId="3FBA2C97">
            <w:pPr>
              <w:pStyle w:val="12"/>
            </w:pPr>
            <w:r>
              <w:t>≥98%</w:t>
            </w:r>
          </w:p>
        </w:tc>
        <w:tc>
          <w:tcPr>
            <w:tcW w:w="1276" w:type="dxa"/>
            <w:vAlign w:val="center"/>
          </w:tcPr>
          <w:p w14:paraId="68253988">
            <w:pPr>
              <w:pStyle w:val="12"/>
            </w:pPr>
            <w:r>
              <w:t>项目规划</w:t>
            </w:r>
          </w:p>
        </w:tc>
      </w:tr>
      <w:tr w14:paraId="70572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461B0">
            <w:pPr>
              <w:pStyle w:val="13"/>
            </w:pPr>
            <w:r>
              <w:t>满意度指标</w:t>
            </w:r>
          </w:p>
        </w:tc>
        <w:tc>
          <w:tcPr>
            <w:tcW w:w="2268" w:type="dxa"/>
            <w:vAlign w:val="center"/>
          </w:tcPr>
          <w:p w14:paraId="40539347">
            <w:pPr>
              <w:pStyle w:val="12"/>
            </w:pPr>
            <w:r>
              <w:t>服务对象满意度指标</w:t>
            </w:r>
          </w:p>
        </w:tc>
        <w:tc>
          <w:tcPr>
            <w:tcW w:w="2835" w:type="dxa"/>
            <w:vAlign w:val="center"/>
          </w:tcPr>
          <w:p w14:paraId="612E5386">
            <w:pPr>
              <w:pStyle w:val="12"/>
            </w:pPr>
            <w:r>
              <w:t>学生、教师及家长对学校教学环境满意度情况</w:t>
            </w:r>
          </w:p>
        </w:tc>
        <w:tc>
          <w:tcPr>
            <w:tcW w:w="5386" w:type="dxa"/>
            <w:vAlign w:val="center"/>
          </w:tcPr>
          <w:p w14:paraId="1ED18965">
            <w:pPr>
              <w:pStyle w:val="12"/>
            </w:pPr>
            <w:r>
              <w:t>学生、教师及家长对学校教学环境满意度情况</w:t>
            </w:r>
          </w:p>
        </w:tc>
        <w:tc>
          <w:tcPr>
            <w:tcW w:w="2268" w:type="dxa"/>
            <w:vAlign w:val="center"/>
          </w:tcPr>
          <w:p w14:paraId="68C32033">
            <w:pPr>
              <w:pStyle w:val="12"/>
            </w:pPr>
            <w:r>
              <w:t>≥95%</w:t>
            </w:r>
          </w:p>
        </w:tc>
        <w:tc>
          <w:tcPr>
            <w:tcW w:w="1276" w:type="dxa"/>
            <w:vAlign w:val="center"/>
          </w:tcPr>
          <w:p w14:paraId="530E9DD3">
            <w:pPr>
              <w:pStyle w:val="12"/>
            </w:pPr>
            <w:r>
              <w:t>项目规划</w:t>
            </w:r>
          </w:p>
        </w:tc>
      </w:tr>
    </w:tbl>
    <w:p w14:paraId="45DDA47C">
      <w:pPr>
        <w:sectPr>
          <w:pgSz w:w="16840" w:h="11900" w:orient="landscape"/>
          <w:pgMar w:top="1361" w:right="1020" w:bottom="1134" w:left="1020" w:header="720" w:footer="720" w:gutter="0"/>
          <w:cols w:space="720" w:num="1"/>
        </w:sectPr>
      </w:pPr>
    </w:p>
    <w:p w14:paraId="34622957">
      <w:pPr>
        <w:spacing w:before="0" w:after="0"/>
        <w:ind w:firstLine="560"/>
        <w:jc w:val="left"/>
        <w:outlineLvl w:val="9"/>
      </w:pPr>
      <w:r>
        <w:rPr>
          <w:rFonts w:ascii="方正仿宋_GBK" w:hAnsi="方正仿宋_GBK" w:eastAsia="方正仿宋_GBK" w:cs="方正仿宋_GBK"/>
          <w:b/>
          <w:color w:val="000000"/>
          <w:sz w:val="28"/>
        </w:rPr>
        <w:t>8、冀财教[2025]121号/中央/义教/2026年校舍安全/丘底小学教学楼修缮绩效目标表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AC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05A3B">
            <w:pPr>
              <w:pStyle w:val="11"/>
            </w:pPr>
            <w:r>
              <w:t>单位：万元</w:t>
            </w:r>
          </w:p>
        </w:tc>
      </w:tr>
      <w:tr w14:paraId="15EAC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C81BA">
            <w:pPr>
              <w:pStyle w:val="10"/>
            </w:pPr>
            <w:r>
              <w:t>项目编码</w:t>
            </w:r>
          </w:p>
        </w:tc>
        <w:tc>
          <w:tcPr>
            <w:tcW w:w="5103" w:type="dxa"/>
            <w:gridSpan w:val="2"/>
            <w:vAlign w:val="center"/>
          </w:tcPr>
          <w:p w14:paraId="7D4CBA9C">
            <w:pPr>
              <w:pStyle w:val="12"/>
            </w:pPr>
            <w:r>
              <w:t>13052526P008762100789</w:t>
            </w:r>
          </w:p>
        </w:tc>
        <w:tc>
          <w:tcPr>
            <w:tcW w:w="2835" w:type="dxa"/>
            <w:vAlign w:val="center"/>
          </w:tcPr>
          <w:p w14:paraId="77AA4A94">
            <w:pPr>
              <w:pStyle w:val="10"/>
            </w:pPr>
            <w:r>
              <w:t>项目名称</w:t>
            </w:r>
          </w:p>
        </w:tc>
        <w:tc>
          <w:tcPr>
            <w:tcW w:w="6095" w:type="dxa"/>
            <w:gridSpan w:val="3"/>
            <w:vAlign w:val="center"/>
          </w:tcPr>
          <w:p w14:paraId="3303AF0B">
            <w:pPr>
              <w:pStyle w:val="12"/>
            </w:pPr>
            <w:r>
              <w:t>冀财教[2025]121号/中央/义教/2026年校舍安全/丘底小学教学楼修缮</w:t>
            </w:r>
          </w:p>
        </w:tc>
      </w:tr>
      <w:tr w14:paraId="03F0E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A038E">
            <w:pPr>
              <w:pStyle w:val="10"/>
            </w:pPr>
            <w:r>
              <w:t>预算规模及资金用途</w:t>
            </w:r>
          </w:p>
        </w:tc>
        <w:tc>
          <w:tcPr>
            <w:tcW w:w="2268" w:type="dxa"/>
            <w:vAlign w:val="center"/>
          </w:tcPr>
          <w:p w14:paraId="0297D2F8">
            <w:pPr>
              <w:pStyle w:val="10"/>
            </w:pPr>
            <w:r>
              <w:t>预算数</w:t>
            </w:r>
          </w:p>
        </w:tc>
        <w:tc>
          <w:tcPr>
            <w:tcW w:w="2835" w:type="dxa"/>
            <w:vAlign w:val="center"/>
          </w:tcPr>
          <w:p w14:paraId="12F2A19E">
            <w:pPr>
              <w:pStyle w:val="12"/>
            </w:pPr>
            <w:r>
              <w:t>19.20</w:t>
            </w:r>
          </w:p>
        </w:tc>
        <w:tc>
          <w:tcPr>
            <w:tcW w:w="2835" w:type="dxa"/>
            <w:vAlign w:val="center"/>
          </w:tcPr>
          <w:p w14:paraId="296E5415">
            <w:pPr>
              <w:pStyle w:val="10"/>
            </w:pPr>
            <w:r>
              <w:t>其中：财政    资金</w:t>
            </w:r>
          </w:p>
        </w:tc>
        <w:tc>
          <w:tcPr>
            <w:tcW w:w="2551" w:type="dxa"/>
            <w:vAlign w:val="center"/>
          </w:tcPr>
          <w:p w14:paraId="32EA1A9C">
            <w:pPr>
              <w:pStyle w:val="12"/>
            </w:pPr>
            <w:r>
              <w:t>19.20</w:t>
            </w:r>
          </w:p>
        </w:tc>
        <w:tc>
          <w:tcPr>
            <w:tcW w:w="2268" w:type="dxa"/>
            <w:vAlign w:val="center"/>
          </w:tcPr>
          <w:p w14:paraId="79537B1E">
            <w:pPr>
              <w:pStyle w:val="10"/>
            </w:pPr>
            <w:r>
              <w:t>其他资金</w:t>
            </w:r>
          </w:p>
        </w:tc>
        <w:tc>
          <w:tcPr>
            <w:tcW w:w="1276" w:type="dxa"/>
            <w:vAlign w:val="center"/>
          </w:tcPr>
          <w:p w14:paraId="5448BD84">
            <w:pPr>
              <w:pStyle w:val="12"/>
            </w:pPr>
            <w:r>
              <w:t xml:space="preserve"> </w:t>
            </w:r>
          </w:p>
        </w:tc>
      </w:tr>
      <w:tr w14:paraId="650ED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54F7B"/>
        </w:tc>
        <w:tc>
          <w:tcPr>
            <w:tcW w:w="14033" w:type="dxa"/>
            <w:gridSpan w:val="6"/>
            <w:vAlign w:val="center"/>
          </w:tcPr>
          <w:p w14:paraId="453CCD46">
            <w:pPr>
              <w:pStyle w:val="12"/>
            </w:pPr>
            <w:r>
              <w:t>改善义务教育办学条件，进一步提升教育教学办学质量，丘底小学教学楼修缮项目资金192000元，资金拨付率达100%</w:t>
            </w:r>
          </w:p>
        </w:tc>
      </w:tr>
      <w:tr w14:paraId="2438D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C4D9E">
            <w:pPr>
              <w:pStyle w:val="10"/>
            </w:pPr>
            <w:r>
              <w:t>资金支出计划（%）</w:t>
            </w:r>
          </w:p>
        </w:tc>
        <w:tc>
          <w:tcPr>
            <w:tcW w:w="5103" w:type="dxa"/>
            <w:gridSpan w:val="2"/>
            <w:vAlign w:val="center"/>
          </w:tcPr>
          <w:p w14:paraId="306BBBFB">
            <w:pPr>
              <w:pStyle w:val="10"/>
            </w:pPr>
            <w:r>
              <w:t>3月底</w:t>
            </w:r>
          </w:p>
        </w:tc>
        <w:tc>
          <w:tcPr>
            <w:tcW w:w="2835" w:type="dxa"/>
            <w:vAlign w:val="center"/>
          </w:tcPr>
          <w:p w14:paraId="0B3F4662">
            <w:pPr>
              <w:pStyle w:val="10"/>
            </w:pPr>
            <w:r>
              <w:t>6月底</w:t>
            </w:r>
          </w:p>
        </w:tc>
        <w:tc>
          <w:tcPr>
            <w:tcW w:w="2551" w:type="dxa"/>
            <w:vAlign w:val="center"/>
          </w:tcPr>
          <w:p w14:paraId="79FFEE8F">
            <w:pPr>
              <w:pStyle w:val="10"/>
            </w:pPr>
            <w:r>
              <w:t>10月底</w:t>
            </w:r>
          </w:p>
        </w:tc>
        <w:tc>
          <w:tcPr>
            <w:tcW w:w="3544" w:type="dxa"/>
            <w:gridSpan w:val="2"/>
            <w:vAlign w:val="center"/>
          </w:tcPr>
          <w:p w14:paraId="0062A956">
            <w:pPr>
              <w:pStyle w:val="10"/>
            </w:pPr>
            <w:r>
              <w:t>12月底</w:t>
            </w:r>
          </w:p>
        </w:tc>
      </w:tr>
      <w:tr w14:paraId="62232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D8568"/>
        </w:tc>
        <w:tc>
          <w:tcPr>
            <w:tcW w:w="5103" w:type="dxa"/>
            <w:gridSpan w:val="2"/>
            <w:vAlign w:val="center"/>
          </w:tcPr>
          <w:p w14:paraId="06B6F9B7">
            <w:pPr>
              <w:pStyle w:val="13"/>
            </w:pPr>
            <w:r>
              <w:t xml:space="preserve"> </w:t>
            </w:r>
          </w:p>
        </w:tc>
        <w:tc>
          <w:tcPr>
            <w:tcW w:w="2835" w:type="dxa"/>
            <w:vAlign w:val="center"/>
          </w:tcPr>
          <w:p w14:paraId="75AB8B49">
            <w:pPr>
              <w:pStyle w:val="13"/>
            </w:pPr>
            <w:r>
              <w:t xml:space="preserve"> </w:t>
            </w:r>
          </w:p>
        </w:tc>
        <w:tc>
          <w:tcPr>
            <w:tcW w:w="2551" w:type="dxa"/>
            <w:vAlign w:val="center"/>
          </w:tcPr>
          <w:p w14:paraId="7F5B6034">
            <w:pPr>
              <w:pStyle w:val="13"/>
            </w:pPr>
            <w:r>
              <w:t>100%</w:t>
            </w:r>
          </w:p>
        </w:tc>
        <w:tc>
          <w:tcPr>
            <w:tcW w:w="3544" w:type="dxa"/>
            <w:gridSpan w:val="2"/>
            <w:vAlign w:val="center"/>
          </w:tcPr>
          <w:p w14:paraId="08D6261C">
            <w:pPr>
              <w:pStyle w:val="13"/>
            </w:pPr>
            <w:r>
              <w:t>100%</w:t>
            </w:r>
          </w:p>
        </w:tc>
      </w:tr>
      <w:tr w14:paraId="7A062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2460B">
            <w:pPr>
              <w:pStyle w:val="10"/>
            </w:pPr>
            <w:r>
              <w:t>绩效目标</w:t>
            </w:r>
          </w:p>
        </w:tc>
        <w:tc>
          <w:tcPr>
            <w:tcW w:w="14033" w:type="dxa"/>
            <w:gridSpan w:val="6"/>
            <w:vAlign w:val="center"/>
          </w:tcPr>
          <w:p w14:paraId="627E12BB">
            <w:pPr>
              <w:pStyle w:val="12"/>
            </w:pPr>
            <w:r>
              <w:t>1.改善义务教育办学条件，进一步提升教育教学办学质量</w:t>
            </w:r>
          </w:p>
          <w:p w14:paraId="6F31115D">
            <w:pPr>
              <w:pStyle w:val="12"/>
            </w:pPr>
            <w:r>
              <w:t>2.丘底小学教学楼修缮项目资金192000元，资金拨付率达100%</w:t>
            </w:r>
          </w:p>
        </w:tc>
      </w:tr>
    </w:tbl>
    <w:p w14:paraId="3111F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E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FB09D">
            <w:pPr>
              <w:pStyle w:val="10"/>
            </w:pPr>
            <w:r>
              <w:t>一级指标</w:t>
            </w:r>
          </w:p>
        </w:tc>
        <w:tc>
          <w:tcPr>
            <w:tcW w:w="2268" w:type="dxa"/>
            <w:vAlign w:val="center"/>
          </w:tcPr>
          <w:p w14:paraId="2653446E">
            <w:pPr>
              <w:pStyle w:val="10"/>
            </w:pPr>
            <w:r>
              <w:t>二级指标</w:t>
            </w:r>
          </w:p>
        </w:tc>
        <w:tc>
          <w:tcPr>
            <w:tcW w:w="2835" w:type="dxa"/>
            <w:vAlign w:val="center"/>
          </w:tcPr>
          <w:p w14:paraId="7ED8411D">
            <w:pPr>
              <w:pStyle w:val="10"/>
            </w:pPr>
            <w:r>
              <w:t>三级指标</w:t>
            </w:r>
          </w:p>
        </w:tc>
        <w:tc>
          <w:tcPr>
            <w:tcW w:w="5386" w:type="dxa"/>
            <w:vAlign w:val="center"/>
          </w:tcPr>
          <w:p w14:paraId="3E68ABDA">
            <w:pPr>
              <w:pStyle w:val="10"/>
            </w:pPr>
            <w:r>
              <w:t>绩效指标描述</w:t>
            </w:r>
          </w:p>
        </w:tc>
        <w:tc>
          <w:tcPr>
            <w:tcW w:w="2268" w:type="dxa"/>
            <w:vAlign w:val="center"/>
          </w:tcPr>
          <w:p w14:paraId="129C708A">
            <w:pPr>
              <w:pStyle w:val="10"/>
            </w:pPr>
            <w:r>
              <w:t>指标值</w:t>
            </w:r>
          </w:p>
        </w:tc>
        <w:tc>
          <w:tcPr>
            <w:tcW w:w="1276" w:type="dxa"/>
            <w:vAlign w:val="center"/>
          </w:tcPr>
          <w:p w14:paraId="660930D3">
            <w:pPr>
              <w:pStyle w:val="10"/>
            </w:pPr>
            <w:r>
              <w:t>指标值确定依据</w:t>
            </w:r>
          </w:p>
        </w:tc>
      </w:tr>
      <w:tr w14:paraId="28CC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75B02">
            <w:pPr>
              <w:pStyle w:val="13"/>
            </w:pPr>
            <w:r>
              <w:t>产出指标</w:t>
            </w:r>
          </w:p>
        </w:tc>
        <w:tc>
          <w:tcPr>
            <w:tcW w:w="2268" w:type="dxa"/>
            <w:vAlign w:val="center"/>
          </w:tcPr>
          <w:p w14:paraId="116798B9">
            <w:pPr>
              <w:pStyle w:val="12"/>
            </w:pPr>
            <w:r>
              <w:t>数量指标</w:t>
            </w:r>
          </w:p>
        </w:tc>
        <w:tc>
          <w:tcPr>
            <w:tcW w:w="2835" w:type="dxa"/>
            <w:vAlign w:val="center"/>
          </w:tcPr>
          <w:p w14:paraId="5FE3887F">
            <w:pPr>
              <w:pStyle w:val="12"/>
            </w:pPr>
            <w:r>
              <w:t>教学楼修缮</w:t>
            </w:r>
          </w:p>
        </w:tc>
        <w:tc>
          <w:tcPr>
            <w:tcW w:w="5386" w:type="dxa"/>
            <w:vAlign w:val="center"/>
          </w:tcPr>
          <w:p w14:paraId="39C1C18E">
            <w:pPr>
              <w:pStyle w:val="12"/>
            </w:pPr>
            <w:r>
              <w:t>铝合金封阳台，教室更换断桥铝门窗，教室内及楼道用地坪漆粉刷</w:t>
            </w:r>
          </w:p>
        </w:tc>
        <w:tc>
          <w:tcPr>
            <w:tcW w:w="2268" w:type="dxa"/>
            <w:vAlign w:val="center"/>
          </w:tcPr>
          <w:p w14:paraId="01C03954">
            <w:pPr>
              <w:pStyle w:val="12"/>
            </w:pPr>
            <w:r>
              <w:t>≥407平方米</w:t>
            </w:r>
          </w:p>
        </w:tc>
        <w:tc>
          <w:tcPr>
            <w:tcW w:w="1276" w:type="dxa"/>
            <w:vAlign w:val="center"/>
          </w:tcPr>
          <w:p w14:paraId="4A4DA23D">
            <w:pPr>
              <w:pStyle w:val="12"/>
            </w:pPr>
            <w:r>
              <w:t>项目规划</w:t>
            </w:r>
          </w:p>
        </w:tc>
      </w:tr>
      <w:tr w14:paraId="0BF3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BA1EB"/>
        </w:tc>
        <w:tc>
          <w:tcPr>
            <w:tcW w:w="2268" w:type="dxa"/>
            <w:vAlign w:val="center"/>
          </w:tcPr>
          <w:p w14:paraId="1232FE38">
            <w:pPr>
              <w:pStyle w:val="12"/>
            </w:pPr>
            <w:r>
              <w:t>质量指标</w:t>
            </w:r>
          </w:p>
        </w:tc>
        <w:tc>
          <w:tcPr>
            <w:tcW w:w="2835" w:type="dxa"/>
            <w:vAlign w:val="center"/>
          </w:tcPr>
          <w:p w14:paraId="739CBD11">
            <w:pPr>
              <w:pStyle w:val="12"/>
            </w:pPr>
            <w:r>
              <w:t>工程实施验收合格率</w:t>
            </w:r>
          </w:p>
        </w:tc>
        <w:tc>
          <w:tcPr>
            <w:tcW w:w="5386" w:type="dxa"/>
            <w:vAlign w:val="center"/>
          </w:tcPr>
          <w:p w14:paraId="3845AB5A">
            <w:pPr>
              <w:pStyle w:val="12"/>
            </w:pPr>
            <w:r>
              <w:t>申报程序的合规，项目实施及资金使用符合项目规划</w:t>
            </w:r>
          </w:p>
        </w:tc>
        <w:tc>
          <w:tcPr>
            <w:tcW w:w="2268" w:type="dxa"/>
            <w:vAlign w:val="center"/>
          </w:tcPr>
          <w:p w14:paraId="738F8C79">
            <w:pPr>
              <w:pStyle w:val="12"/>
            </w:pPr>
            <w:r>
              <w:t>100%</w:t>
            </w:r>
          </w:p>
        </w:tc>
        <w:tc>
          <w:tcPr>
            <w:tcW w:w="1276" w:type="dxa"/>
            <w:vAlign w:val="center"/>
          </w:tcPr>
          <w:p w14:paraId="44967E2C">
            <w:pPr>
              <w:pStyle w:val="12"/>
            </w:pPr>
            <w:r>
              <w:t>项目规划</w:t>
            </w:r>
          </w:p>
        </w:tc>
      </w:tr>
      <w:tr w14:paraId="4990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3C4F8"/>
        </w:tc>
        <w:tc>
          <w:tcPr>
            <w:tcW w:w="2268" w:type="dxa"/>
            <w:vAlign w:val="center"/>
          </w:tcPr>
          <w:p w14:paraId="6509E26E">
            <w:pPr>
              <w:pStyle w:val="12"/>
            </w:pPr>
            <w:r>
              <w:t>时效指标</w:t>
            </w:r>
          </w:p>
        </w:tc>
        <w:tc>
          <w:tcPr>
            <w:tcW w:w="2835" w:type="dxa"/>
            <w:vAlign w:val="center"/>
          </w:tcPr>
          <w:p w14:paraId="657A1FEE">
            <w:pPr>
              <w:pStyle w:val="12"/>
            </w:pPr>
            <w:r>
              <w:t>资金支付率</w:t>
            </w:r>
          </w:p>
        </w:tc>
        <w:tc>
          <w:tcPr>
            <w:tcW w:w="5386" w:type="dxa"/>
            <w:vAlign w:val="center"/>
          </w:tcPr>
          <w:p w14:paraId="65134F1D">
            <w:pPr>
              <w:pStyle w:val="12"/>
            </w:pPr>
            <w:r>
              <w:t>按照序时进度完成资金支付</w:t>
            </w:r>
          </w:p>
        </w:tc>
        <w:tc>
          <w:tcPr>
            <w:tcW w:w="2268" w:type="dxa"/>
            <w:vAlign w:val="center"/>
          </w:tcPr>
          <w:p w14:paraId="70F04FF5">
            <w:pPr>
              <w:pStyle w:val="12"/>
            </w:pPr>
            <w:r>
              <w:t>100%</w:t>
            </w:r>
          </w:p>
        </w:tc>
        <w:tc>
          <w:tcPr>
            <w:tcW w:w="1276" w:type="dxa"/>
            <w:vAlign w:val="center"/>
          </w:tcPr>
          <w:p w14:paraId="0B5E21A2">
            <w:pPr>
              <w:pStyle w:val="12"/>
            </w:pPr>
            <w:r>
              <w:t>项目规划</w:t>
            </w:r>
          </w:p>
        </w:tc>
      </w:tr>
      <w:tr w14:paraId="4650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6D77A"/>
        </w:tc>
        <w:tc>
          <w:tcPr>
            <w:tcW w:w="2268" w:type="dxa"/>
            <w:vAlign w:val="center"/>
          </w:tcPr>
          <w:p w14:paraId="4D9EF39C">
            <w:pPr>
              <w:pStyle w:val="12"/>
            </w:pPr>
            <w:r>
              <w:t>成本指标</w:t>
            </w:r>
          </w:p>
        </w:tc>
        <w:tc>
          <w:tcPr>
            <w:tcW w:w="2835" w:type="dxa"/>
            <w:vAlign w:val="center"/>
          </w:tcPr>
          <w:p w14:paraId="1FAB2CDE">
            <w:pPr>
              <w:pStyle w:val="12"/>
            </w:pPr>
            <w:r>
              <w:t>项目成本控制情况</w:t>
            </w:r>
          </w:p>
        </w:tc>
        <w:tc>
          <w:tcPr>
            <w:tcW w:w="5386" w:type="dxa"/>
            <w:vAlign w:val="center"/>
          </w:tcPr>
          <w:p w14:paraId="28CE597F">
            <w:pPr>
              <w:pStyle w:val="12"/>
            </w:pPr>
            <w:r>
              <w:t>严格按照招标价格及审计额进行</w:t>
            </w:r>
          </w:p>
        </w:tc>
        <w:tc>
          <w:tcPr>
            <w:tcW w:w="2268" w:type="dxa"/>
            <w:vAlign w:val="center"/>
          </w:tcPr>
          <w:p w14:paraId="485DACA1">
            <w:pPr>
              <w:pStyle w:val="12"/>
            </w:pPr>
            <w:r>
              <w:t>19.2万元</w:t>
            </w:r>
          </w:p>
        </w:tc>
        <w:tc>
          <w:tcPr>
            <w:tcW w:w="1276" w:type="dxa"/>
            <w:vAlign w:val="center"/>
          </w:tcPr>
          <w:p w14:paraId="239EC7B7">
            <w:pPr>
              <w:pStyle w:val="12"/>
            </w:pPr>
            <w:r>
              <w:t>项目规划</w:t>
            </w:r>
          </w:p>
        </w:tc>
      </w:tr>
      <w:tr w14:paraId="3FF6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FFEED">
            <w:pPr>
              <w:pStyle w:val="13"/>
            </w:pPr>
            <w:r>
              <w:t>效益指标</w:t>
            </w:r>
          </w:p>
        </w:tc>
        <w:tc>
          <w:tcPr>
            <w:tcW w:w="2268" w:type="dxa"/>
            <w:vAlign w:val="center"/>
          </w:tcPr>
          <w:p w14:paraId="68F07075">
            <w:pPr>
              <w:pStyle w:val="12"/>
            </w:pPr>
            <w:r>
              <w:t>可持续影响指标</w:t>
            </w:r>
          </w:p>
        </w:tc>
        <w:tc>
          <w:tcPr>
            <w:tcW w:w="2835" w:type="dxa"/>
            <w:vAlign w:val="center"/>
          </w:tcPr>
          <w:p w14:paraId="7FD4C3DA">
            <w:pPr>
              <w:pStyle w:val="12"/>
            </w:pPr>
            <w:r>
              <w:t>学校办学能力提升</w:t>
            </w:r>
          </w:p>
        </w:tc>
        <w:tc>
          <w:tcPr>
            <w:tcW w:w="5386" w:type="dxa"/>
            <w:vAlign w:val="center"/>
          </w:tcPr>
          <w:p w14:paraId="64DA0023">
            <w:pPr>
              <w:pStyle w:val="12"/>
            </w:pPr>
            <w:r>
              <w:t>学校办学能</w:t>
            </w:r>
            <w:r>
              <w:rPr>
                <w:rFonts w:hint="eastAsia"/>
                <w:lang w:eastAsia="zh-CN"/>
              </w:rPr>
              <w:t>力提</w:t>
            </w:r>
            <w:r>
              <w:t>升情况及教育教学工作等开展的情况</w:t>
            </w:r>
          </w:p>
        </w:tc>
        <w:tc>
          <w:tcPr>
            <w:tcW w:w="2268" w:type="dxa"/>
            <w:vAlign w:val="center"/>
          </w:tcPr>
          <w:p w14:paraId="73B89A2D">
            <w:pPr>
              <w:pStyle w:val="12"/>
            </w:pPr>
            <w:r>
              <w:t>≥98%</w:t>
            </w:r>
          </w:p>
        </w:tc>
        <w:tc>
          <w:tcPr>
            <w:tcW w:w="1276" w:type="dxa"/>
            <w:vAlign w:val="center"/>
          </w:tcPr>
          <w:p w14:paraId="2A7BDB5D">
            <w:pPr>
              <w:pStyle w:val="12"/>
            </w:pPr>
            <w:r>
              <w:t>项目规划</w:t>
            </w:r>
          </w:p>
        </w:tc>
      </w:tr>
      <w:tr w14:paraId="0AA9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193F7">
            <w:pPr>
              <w:pStyle w:val="13"/>
            </w:pPr>
            <w:r>
              <w:t>满意度指标</w:t>
            </w:r>
          </w:p>
        </w:tc>
        <w:tc>
          <w:tcPr>
            <w:tcW w:w="2268" w:type="dxa"/>
            <w:vAlign w:val="center"/>
          </w:tcPr>
          <w:p w14:paraId="54B143E8">
            <w:pPr>
              <w:pStyle w:val="12"/>
            </w:pPr>
            <w:r>
              <w:t>服务对象满意度指标</w:t>
            </w:r>
          </w:p>
        </w:tc>
        <w:tc>
          <w:tcPr>
            <w:tcW w:w="2835" w:type="dxa"/>
            <w:vAlign w:val="center"/>
          </w:tcPr>
          <w:p w14:paraId="507DAA40">
            <w:pPr>
              <w:pStyle w:val="12"/>
            </w:pPr>
            <w:r>
              <w:t>学生、教师及家长对学校教学环境满意度情况</w:t>
            </w:r>
          </w:p>
        </w:tc>
        <w:tc>
          <w:tcPr>
            <w:tcW w:w="5386" w:type="dxa"/>
            <w:vAlign w:val="center"/>
          </w:tcPr>
          <w:p w14:paraId="5BD8959A">
            <w:pPr>
              <w:pStyle w:val="12"/>
            </w:pPr>
            <w:r>
              <w:t>学生、教师及家长对学校教学环境满意度情况</w:t>
            </w:r>
          </w:p>
        </w:tc>
        <w:tc>
          <w:tcPr>
            <w:tcW w:w="2268" w:type="dxa"/>
            <w:vAlign w:val="center"/>
          </w:tcPr>
          <w:p w14:paraId="0A63C643">
            <w:pPr>
              <w:pStyle w:val="12"/>
            </w:pPr>
            <w:r>
              <w:t>≥95%</w:t>
            </w:r>
          </w:p>
        </w:tc>
        <w:tc>
          <w:tcPr>
            <w:tcW w:w="1276" w:type="dxa"/>
            <w:vAlign w:val="center"/>
          </w:tcPr>
          <w:p w14:paraId="32D269C2">
            <w:pPr>
              <w:pStyle w:val="12"/>
            </w:pPr>
            <w:r>
              <w:t>项目规划</w:t>
            </w:r>
          </w:p>
        </w:tc>
      </w:tr>
    </w:tbl>
    <w:p w14:paraId="48ED6A0A">
      <w:pPr>
        <w:sectPr>
          <w:pgSz w:w="16840" w:h="11900" w:orient="landscape"/>
          <w:pgMar w:top="1361" w:right="1020" w:bottom="1134" w:left="1020" w:header="720" w:footer="720" w:gutter="0"/>
          <w:cols w:space="720" w:num="1"/>
        </w:sectPr>
      </w:pPr>
    </w:p>
    <w:p w14:paraId="4FDE8E6A">
      <w:pPr>
        <w:spacing w:before="0" w:after="0"/>
        <w:ind w:firstLine="560"/>
        <w:jc w:val="left"/>
        <w:outlineLvl w:val="9"/>
      </w:pPr>
      <w:r>
        <w:rPr>
          <w:rFonts w:ascii="方正仿宋_GBK" w:hAnsi="方正仿宋_GBK" w:eastAsia="方正仿宋_GBK" w:cs="方正仿宋_GBK"/>
          <w:b/>
          <w:color w:val="000000"/>
          <w:sz w:val="28"/>
        </w:rPr>
        <w:t>9、冀财教[2025]122号/中央/2026年学前发展资金/城关校区学前教育幼儿资助绩效目标表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79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B0791">
            <w:pPr>
              <w:pStyle w:val="11"/>
            </w:pPr>
            <w:r>
              <w:t>单位：万元</w:t>
            </w:r>
          </w:p>
        </w:tc>
      </w:tr>
      <w:tr w14:paraId="52FB1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226BF">
            <w:pPr>
              <w:pStyle w:val="10"/>
            </w:pPr>
            <w:r>
              <w:t>项目编码</w:t>
            </w:r>
          </w:p>
        </w:tc>
        <w:tc>
          <w:tcPr>
            <w:tcW w:w="5103" w:type="dxa"/>
            <w:gridSpan w:val="2"/>
            <w:vAlign w:val="center"/>
          </w:tcPr>
          <w:p w14:paraId="5069AB05">
            <w:pPr>
              <w:pStyle w:val="12"/>
            </w:pPr>
            <w:r>
              <w:t>13052526P000002100512</w:t>
            </w:r>
          </w:p>
        </w:tc>
        <w:tc>
          <w:tcPr>
            <w:tcW w:w="2835" w:type="dxa"/>
            <w:vAlign w:val="center"/>
          </w:tcPr>
          <w:p w14:paraId="17B6807F">
            <w:pPr>
              <w:pStyle w:val="10"/>
            </w:pPr>
            <w:r>
              <w:t>项目名称</w:t>
            </w:r>
          </w:p>
        </w:tc>
        <w:tc>
          <w:tcPr>
            <w:tcW w:w="6095" w:type="dxa"/>
            <w:gridSpan w:val="3"/>
            <w:vAlign w:val="center"/>
          </w:tcPr>
          <w:p w14:paraId="177C5D46">
            <w:pPr>
              <w:pStyle w:val="12"/>
            </w:pPr>
            <w:r>
              <w:t>冀财教[2025]122号/中央/2026年学前发展资金/城关校区学前教育幼儿资助</w:t>
            </w:r>
          </w:p>
        </w:tc>
      </w:tr>
      <w:tr w14:paraId="4CECB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01BA2">
            <w:pPr>
              <w:pStyle w:val="10"/>
            </w:pPr>
            <w:r>
              <w:t>预算规模及资金用途</w:t>
            </w:r>
          </w:p>
        </w:tc>
        <w:tc>
          <w:tcPr>
            <w:tcW w:w="2268" w:type="dxa"/>
            <w:vAlign w:val="center"/>
          </w:tcPr>
          <w:p w14:paraId="5E291507">
            <w:pPr>
              <w:pStyle w:val="10"/>
            </w:pPr>
            <w:r>
              <w:t>预算数</w:t>
            </w:r>
          </w:p>
        </w:tc>
        <w:tc>
          <w:tcPr>
            <w:tcW w:w="2835" w:type="dxa"/>
            <w:vAlign w:val="center"/>
          </w:tcPr>
          <w:p w14:paraId="42DA0210">
            <w:pPr>
              <w:pStyle w:val="12"/>
            </w:pPr>
            <w:r>
              <w:t>7.56</w:t>
            </w:r>
          </w:p>
        </w:tc>
        <w:tc>
          <w:tcPr>
            <w:tcW w:w="2835" w:type="dxa"/>
            <w:vAlign w:val="center"/>
          </w:tcPr>
          <w:p w14:paraId="3A0F10AA">
            <w:pPr>
              <w:pStyle w:val="10"/>
            </w:pPr>
            <w:r>
              <w:t>其中：财政    资金</w:t>
            </w:r>
          </w:p>
        </w:tc>
        <w:tc>
          <w:tcPr>
            <w:tcW w:w="2551" w:type="dxa"/>
            <w:vAlign w:val="center"/>
          </w:tcPr>
          <w:p w14:paraId="4E9829ED">
            <w:pPr>
              <w:pStyle w:val="12"/>
            </w:pPr>
            <w:r>
              <w:t>7.56</w:t>
            </w:r>
          </w:p>
        </w:tc>
        <w:tc>
          <w:tcPr>
            <w:tcW w:w="2268" w:type="dxa"/>
            <w:vAlign w:val="center"/>
          </w:tcPr>
          <w:p w14:paraId="3B8047F1">
            <w:pPr>
              <w:pStyle w:val="10"/>
            </w:pPr>
            <w:r>
              <w:t>其他资金</w:t>
            </w:r>
          </w:p>
        </w:tc>
        <w:tc>
          <w:tcPr>
            <w:tcW w:w="1276" w:type="dxa"/>
            <w:vAlign w:val="center"/>
          </w:tcPr>
          <w:p w14:paraId="2CBC654A">
            <w:pPr>
              <w:pStyle w:val="12"/>
            </w:pPr>
            <w:r>
              <w:t xml:space="preserve"> </w:t>
            </w:r>
          </w:p>
        </w:tc>
      </w:tr>
      <w:tr w14:paraId="0F8D3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FABC7"/>
        </w:tc>
        <w:tc>
          <w:tcPr>
            <w:tcW w:w="14033" w:type="dxa"/>
            <w:gridSpan w:val="6"/>
            <w:vAlign w:val="center"/>
          </w:tcPr>
          <w:p w14:paraId="32084085">
            <w:pPr>
              <w:pStyle w:val="12"/>
            </w:pPr>
            <w:r>
              <w:t>保障落实建档立卡及家庭经济困难儿童资助所需资金，确保建档立卡等家庭经济困难幼儿优先获得资助</w:t>
            </w:r>
          </w:p>
        </w:tc>
      </w:tr>
      <w:tr w14:paraId="37FF4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E7067">
            <w:pPr>
              <w:pStyle w:val="10"/>
            </w:pPr>
            <w:r>
              <w:t>资金支出计划（%）</w:t>
            </w:r>
          </w:p>
        </w:tc>
        <w:tc>
          <w:tcPr>
            <w:tcW w:w="5103" w:type="dxa"/>
            <w:gridSpan w:val="2"/>
            <w:vAlign w:val="center"/>
          </w:tcPr>
          <w:p w14:paraId="2D440E7B">
            <w:pPr>
              <w:pStyle w:val="10"/>
            </w:pPr>
            <w:r>
              <w:t>3月底</w:t>
            </w:r>
          </w:p>
        </w:tc>
        <w:tc>
          <w:tcPr>
            <w:tcW w:w="2835" w:type="dxa"/>
            <w:vAlign w:val="center"/>
          </w:tcPr>
          <w:p w14:paraId="51198D34">
            <w:pPr>
              <w:pStyle w:val="10"/>
            </w:pPr>
            <w:r>
              <w:t>6月底</w:t>
            </w:r>
          </w:p>
        </w:tc>
        <w:tc>
          <w:tcPr>
            <w:tcW w:w="2551" w:type="dxa"/>
            <w:vAlign w:val="center"/>
          </w:tcPr>
          <w:p w14:paraId="03052475">
            <w:pPr>
              <w:pStyle w:val="10"/>
            </w:pPr>
            <w:r>
              <w:t>10月底</w:t>
            </w:r>
          </w:p>
        </w:tc>
        <w:tc>
          <w:tcPr>
            <w:tcW w:w="3544" w:type="dxa"/>
            <w:gridSpan w:val="2"/>
            <w:vAlign w:val="center"/>
          </w:tcPr>
          <w:p w14:paraId="3F681B8E">
            <w:pPr>
              <w:pStyle w:val="10"/>
            </w:pPr>
            <w:r>
              <w:t>12月底</w:t>
            </w:r>
          </w:p>
        </w:tc>
      </w:tr>
      <w:tr w14:paraId="20D39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F2CFA"/>
        </w:tc>
        <w:tc>
          <w:tcPr>
            <w:tcW w:w="5103" w:type="dxa"/>
            <w:gridSpan w:val="2"/>
            <w:vAlign w:val="center"/>
          </w:tcPr>
          <w:p w14:paraId="03CC73BF">
            <w:pPr>
              <w:pStyle w:val="13"/>
            </w:pPr>
            <w:r>
              <w:t xml:space="preserve"> </w:t>
            </w:r>
          </w:p>
        </w:tc>
        <w:tc>
          <w:tcPr>
            <w:tcW w:w="2835" w:type="dxa"/>
            <w:vAlign w:val="center"/>
          </w:tcPr>
          <w:p w14:paraId="4D542F82">
            <w:pPr>
              <w:pStyle w:val="13"/>
            </w:pPr>
            <w:r>
              <w:t>50%</w:t>
            </w:r>
          </w:p>
        </w:tc>
        <w:tc>
          <w:tcPr>
            <w:tcW w:w="2551" w:type="dxa"/>
            <w:vAlign w:val="center"/>
          </w:tcPr>
          <w:p w14:paraId="55EDF33E">
            <w:pPr>
              <w:pStyle w:val="13"/>
            </w:pPr>
            <w:r>
              <w:t>50%</w:t>
            </w:r>
          </w:p>
        </w:tc>
        <w:tc>
          <w:tcPr>
            <w:tcW w:w="3544" w:type="dxa"/>
            <w:gridSpan w:val="2"/>
            <w:vAlign w:val="center"/>
          </w:tcPr>
          <w:p w14:paraId="16A86968">
            <w:pPr>
              <w:pStyle w:val="13"/>
            </w:pPr>
            <w:r>
              <w:t>100%</w:t>
            </w:r>
          </w:p>
        </w:tc>
      </w:tr>
      <w:tr w14:paraId="438B4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18178">
            <w:pPr>
              <w:pStyle w:val="10"/>
            </w:pPr>
            <w:r>
              <w:t>绩效目标</w:t>
            </w:r>
          </w:p>
        </w:tc>
        <w:tc>
          <w:tcPr>
            <w:tcW w:w="14033" w:type="dxa"/>
            <w:gridSpan w:val="6"/>
            <w:vAlign w:val="center"/>
          </w:tcPr>
          <w:p w14:paraId="5ED9D9AA">
            <w:pPr>
              <w:pStyle w:val="12"/>
            </w:pPr>
            <w:r>
              <w:t>1.保障落实建档立卡及家庭经济困难儿童资助所需资金，确保建档立卡等家庭经济困难幼儿优先获得资助</w:t>
            </w:r>
          </w:p>
          <w:p w14:paraId="42FFE1F9">
            <w:pPr>
              <w:pStyle w:val="12"/>
            </w:pPr>
            <w:r>
              <w:t>2.保证本年度资助经费足额落实到位，符合享受资助条件的学生应助尽助。</w:t>
            </w:r>
          </w:p>
        </w:tc>
      </w:tr>
    </w:tbl>
    <w:p w14:paraId="308840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5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407A1">
            <w:pPr>
              <w:pStyle w:val="10"/>
            </w:pPr>
            <w:r>
              <w:t>一级指标</w:t>
            </w:r>
          </w:p>
        </w:tc>
        <w:tc>
          <w:tcPr>
            <w:tcW w:w="2268" w:type="dxa"/>
            <w:vAlign w:val="center"/>
          </w:tcPr>
          <w:p w14:paraId="066D2D20">
            <w:pPr>
              <w:pStyle w:val="10"/>
            </w:pPr>
            <w:r>
              <w:t>二级指标</w:t>
            </w:r>
          </w:p>
        </w:tc>
        <w:tc>
          <w:tcPr>
            <w:tcW w:w="2835" w:type="dxa"/>
            <w:vAlign w:val="center"/>
          </w:tcPr>
          <w:p w14:paraId="1CC29CF4">
            <w:pPr>
              <w:pStyle w:val="10"/>
            </w:pPr>
            <w:r>
              <w:t>三级指标</w:t>
            </w:r>
          </w:p>
        </w:tc>
        <w:tc>
          <w:tcPr>
            <w:tcW w:w="5386" w:type="dxa"/>
            <w:vAlign w:val="center"/>
          </w:tcPr>
          <w:p w14:paraId="48425B03">
            <w:pPr>
              <w:pStyle w:val="10"/>
            </w:pPr>
            <w:r>
              <w:t>绩效指标描述</w:t>
            </w:r>
          </w:p>
        </w:tc>
        <w:tc>
          <w:tcPr>
            <w:tcW w:w="2268" w:type="dxa"/>
            <w:vAlign w:val="center"/>
          </w:tcPr>
          <w:p w14:paraId="38355563">
            <w:pPr>
              <w:pStyle w:val="10"/>
            </w:pPr>
            <w:r>
              <w:t>指标值</w:t>
            </w:r>
          </w:p>
        </w:tc>
        <w:tc>
          <w:tcPr>
            <w:tcW w:w="1276" w:type="dxa"/>
            <w:vAlign w:val="center"/>
          </w:tcPr>
          <w:p w14:paraId="763C002C">
            <w:pPr>
              <w:pStyle w:val="10"/>
            </w:pPr>
            <w:r>
              <w:t>指标值确定依据</w:t>
            </w:r>
          </w:p>
        </w:tc>
      </w:tr>
      <w:tr w14:paraId="361A8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BE291">
            <w:pPr>
              <w:pStyle w:val="13"/>
            </w:pPr>
            <w:r>
              <w:t>产出指标</w:t>
            </w:r>
          </w:p>
        </w:tc>
        <w:tc>
          <w:tcPr>
            <w:tcW w:w="2268" w:type="dxa"/>
            <w:vAlign w:val="center"/>
          </w:tcPr>
          <w:p w14:paraId="1C1D273F">
            <w:pPr>
              <w:pStyle w:val="12"/>
            </w:pPr>
            <w:r>
              <w:t>数量指标</w:t>
            </w:r>
          </w:p>
        </w:tc>
        <w:tc>
          <w:tcPr>
            <w:tcW w:w="2835" w:type="dxa"/>
            <w:vAlign w:val="center"/>
          </w:tcPr>
          <w:p w14:paraId="310880DC">
            <w:pPr>
              <w:pStyle w:val="12"/>
            </w:pPr>
            <w:r>
              <w:t>幼儿资助比例</w:t>
            </w:r>
          </w:p>
        </w:tc>
        <w:tc>
          <w:tcPr>
            <w:tcW w:w="5386" w:type="dxa"/>
            <w:vAlign w:val="center"/>
          </w:tcPr>
          <w:p w14:paraId="2DBE1FA5">
            <w:pPr>
              <w:pStyle w:val="12"/>
            </w:pPr>
            <w:r>
              <w:t>按学前适龄在园儿童10%测算</w:t>
            </w:r>
          </w:p>
        </w:tc>
        <w:tc>
          <w:tcPr>
            <w:tcW w:w="2268" w:type="dxa"/>
            <w:vAlign w:val="center"/>
          </w:tcPr>
          <w:p w14:paraId="0586536E">
            <w:pPr>
              <w:pStyle w:val="12"/>
            </w:pPr>
            <w:r>
              <w:t>≥10%</w:t>
            </w:r>
          </w:p>
        </w:tc>
        <w:tc>
          <w:tcPr>
            <w:tcW w:w="1276" w:type="dxa"/>
            <w:vAlign w:val="center"/>
          </w:tcPr>
          <w:p w14:paraId="0B82A9C7">
            <w:pPr>
              <w:pStyle w:val="12"/>
            </w:pPr>
            <w:r>
              <w:t>幼儿资助经费管理办法</w:t>
            </w:r>
          </w:p>
        </w:tc>
      </w:tr>
      <w:tr w14:paraId="2846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203EB"/>
        </w:tc>
        <w:tc>
          <w:tcPr>
            <w:tcW w:w="2268" w:type="dxa"/>
            <w:vAlign w:val="center"/>
          </w:tcPr>
          <w:p w14:paraId="72E10197">
            <w:pPr>
              <w:pStyle w:val="12"/>
            </w:pPr>
            <w:r>
              <w:t>质量指标</w:t>
            </w:r>
          </w:p>
        </w:tc>
        <w:tc>
          <w:tcPr>
            <w:tcW w:w="2835" w:type="dxa"/>
            <w:vAlign w:val="center"/>
          </w:tcPr>
          <w:p w14:paraId="279BCBCB">
            <w:pPr>
              <w:pStyle w:val="12"/>
            </w:pPr>
            <w:r>
              <w:t>学前教育资助制度落实情况</w:t>
            </w:r>
          </w:p>
        </w:tc>
        <w:tc>
          <w:tcPr>
            <w:tcW w:w="5386" w:type="dxa"/>
            <w:vAlign w:val="center"/>
          </w:tcPr>
          <w:p w14:paraId="771F68C2">
            <w:pPr>
              <w:pStyle w:val="12"/>
            </w:pPr>
            <w:r>
              <w:t>符合享受资助条件的学生应助尽助</w:t>
            </w:r>
          </w:p>
        </w:tc>
        <w:tc>
          <w:tcPr>
            <w:tcW w:w="2268" w:type="dxa"/>
            <w:vAlign w:val="center"/>
          </w:tcPr>
          <w:p w14:paraId="01C1D0AA">
            <w:pPr>
              <w:pStyle w:val="12"/>
            </w:pPr>
            <w:r>
              <w:t>100%</w:t>
            </w:r>
          </w:p>
        </w:tc>
        <w:tc>
          <w:tcPr>
            <w:tcW w:w="1276" w:type="dxa"/>
            <w:vAlign w:val="center"/>
          </w:tcPr>
          <w:p w14:paraId="53034363">
            <w:pPr>
              <w:pStyle w:val="12"/>
            </w:pPr>
            <w:r>
              <w:t>幼儿资助经费管理办法</w:t>
            </w:r>
          </w:p>
        </w:tc>
      </w:tr>
      <w:tr w14:paraId="18F6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23133"/>
        </w:tc>
        <w:tc>
          <w:tcPr>
            <w:tcW w:w="2268" w:type="dxa"/>
            <w:vAlign w:val="center"/>
          </w:tcPr>
          <w:p w14:paraId="0F723162">
            <w:pPr>
              <w:pStyle w:val="12"/>
            </w:pPr>
            <w:r>
              <w:t>时效指标</w:t>
            </w:r>
          </w:p>
        </w:tc>
        <w:tc>
          <w:tcPr>
            <w:tcW w:w="2835" w:type="dxa"/>
            <w:vAlign w:val="center"/>
          </w:tcPr>
          <w:p w14:paraId="26A06A03">
            <w:pPr>
              <w:pStyle w:val="12"/>
            </w:pPr>
            <w:r>
              <w:t>资金拨付率</w:t>
            </w:r>
          </w:p>
        </w:tc>
        <w:tc>
          <w:tcPr>
            <w:tcW w:w="5386" w:type="dxa"/>
            <w:vAlign w:val="center"/>
          </w:tcPr>
          <w:p w14:paraId="63570AFD">
            <w:pPr>
              <w:pStyle w:val="12"/>
            </w:pPr>
            <w:r>
              <w:t>所有项目资金支付进度</w:t>
            </w:r>
          </w:p>
        </w:tc>
        <w:tc>
          <w:tcPr>
            <w:tcW w:w="2268" w:type="dxa"/>
            <w:vAlign w:val="center"/>
          </w:tcPr>
          <w:p w14:paraId="3F0E5F41">
            <w:pPr>
              <w:pStyle w:val="12"/>
            </w:pPr>
            <w:r>
              <w:t>100%</w:t>
            </w:r>
          </w:p>
        </w:tc>
        <w:tc>
          <w:tcPr>
            <w:tcW w:w="1276" w:type="dxa"/>
            <w:vAlign w:val="center"/>
          </w:tcPr>
          <w:p w14:paraId="17A44BFF">
            <w:pPr>
              <w:pStyle w:val="12"/>
            </w:pPr>
            <w:r>
              <w:t>幼儿资助经费管理办法</w:t>
            </w:r>
          </w:p>
        </w:tc>
      </w:tr>
      <w:tr w14:paraId="6491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23EC5"/>
        </w:tc>
        <w:tc>
          <w:tcPr>
            <w:tcW w:w="2268" w:type="dxa"/>
            <w:vAlign w:val="center"/>
          </w:tcPr>
          <w:p w14:paraId="6349322F">
            <w:pPr>
              <w:pStyle w:val="12"/>
            </w:pPr>
            <w:r>
              <w:t>成本指标</w:t>
            </w:r>
          </w:p>
        </w:tc>
        <w:tc>
          <w:tcPr>
            <w:tcW w:w="2835" w:type="dxa"/>
            <w:vAlign w:val="center"/>
          </w:tcPr>
          <w:p w14:paraId="78C0E788">
            <w:pPr>
              <w:pStyle w:val="12"/>
            </w:pPr>
            <w:r>
              <w:t>幼儿园资助标准</w:t>
            </w:r>
          </w:p>
        </w:tc>
        <w:tc>
          <w:tcPr>
            <w:tcW w:w="5386" w:type="dxa"/>
            <w:vAlign w:val="center"/>
          </w:tcPr>
          <w:p w14:paraId="243870E6">
            <w:pPr>
              <w:pStyle w:val="12"/>
            </w:pPr>
            <w:r>
              <w:t>按照幼儿园资助标准1000元/生/年</w:t>
            </w:r>
          </w:p>
        </w:tc>
        <w:tc>
          <w:tcPr>
            <w:tcW w:w="2268" w:type="dxa"/>
            <w:vAlign w:val="center"/>
          </w:tcPr>
          <w:p w14:paraId="61F8375D">
            <w:pPr>
              <w:pStyle w:val="12"/>
            </w:pPr>
            <w:r>
              <w:t>75600元</w:t>
            </w:r>
          </w:p>
        </w:tc>
        <w:tc>
          <w:tcPr>
            <w:tcW w:w="1276" w:type="dxa"/>
            <w:vAlign w:val="center"/>
          </w:tcPr>
          <w:p w14:paraId="6997D5F6">
            <w:pPr>
              <w:pStyle w:val="12"/>
            </w:pPr>
            <w:r>
              <w:t>幼儿资助经费管理办法</w:t>
            </w:r>
          </w:p>
        </w:tc>
      </w:tr>
      <w:tr w14:paraId="327A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ED1AF">
            <w:pPr>
              <w:pStyle w:val="13"/>
            </w:pPr>
            <w:r>
              <w:t>效益指标</w:t>
            </w:r>
          </w:p>
        </w:tc>
        <w:tc>
          <w:tcPr>
            <w:tcW w:w="2268" w:type="dxa"/>
            <w:vAlign w:val="center"/>
          </w:tcPr>
          <w:p w14:paraId="416D6FC3">
            <w:pPr>
              <w:pStyle w:val="12"/>
            </w:pPr>
            <w:r>
              <w:t>可持续影响指标</w:t>
            </w:r>
          </w:p>
        </w:tc>
        <w:tc>
          <w:tcPr>
            <w:tcW w:w="2835" w:type="dxa"/>
            <w:vAlign w:val="center"/>
          </w:tcPr>
          <w:p w14:paraId="0C35DF98">
            <w:pPr>
              <w:pStyle w:val="12"/>
            </w:pPr>
            <w:r>
              <w:t>幼儿园运转</w:t>
            </w:r>
          </w:p>
        </w:tc>
        <w:tc>
          <w:tcPr>
            <w:tcW w:w="5386" w:type="dxa"/>
            <w:vAlign w:val="center"/>
          </w:tcPr>
          <w:p w14:paraId="55C9F7BD">
            <w:pPr>
              <w:pStyle w:val="12"/>
            </w:pPr>
            <w:r>
              <w:t>幼儿受教育年限</w:t>
            </w:r>
          </w:p>
        </w:tc>
        <w:tc>
          <w:tcPr>
            <w:tcW w:w="2268" w:type="dxa"/>
            <w:vAlign w:val="center"/>
          </w:tcPr>
          <w:p w14:paraId="06FC8FA0">
            <w:pPr>
              <w:pStyle w:val="12"/>
            </w:pPr>
            <w:r>
              <w:t>3年</w:t>
            </w:r>
          </w:p>
        </w:tc>
        <w:tc>
          <w:tcPr>
            <w:tcW w:w="1276" w:type="dxa"/>
            <w:vAlign w:val="center"/>
          </w:tcPr>
          <w:p w14:paraId="1B3AC74D">
            <w:pPr>
              <w:pStyle w:val="12"/>
            </w:pPr>
            <w:r>
              <w:t>幼儿资助经费管理办法</w:t>
            </w:r>
          </w:p>
        </w:tc>
      </w:tr>
      <w:tr w14:paraId="0CE9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11A54">
            <w:pPr>
              <w:pStyle w:val="13"/>
            </w:pPr>
            <w:r>
              <w:t>满意度指标</w:t>
            </w:r>
          </w:p>
        </w:tc>
        <w:tc>
          <w:tcPr>
            <w:tcW w:w="2268" w:type="dxa"/>
            <w:vAlign w:val="center"/>
          </w:tcPr>
          <w:p w14:paraId="5971DEE5">
            <w:pPr>
              <w:pStyle w:val="12"/>
            </w:pPr>
            <w:r>
              <w:t>服务对象满意度指标</w:t>
            </w:r>
          </w:p>
        </w:tc>
        <w:tc>
          <w:tcPr>
            <w:tcW w:w="2835" w:type="dxa"/>
            <w:vAlign w:val="center"/>
          </w:tcPr>
          <w:p w14:paraId="7342C0DB">
            <w:pPr>
              <w:pStyle w:val="12"/>
            </w:pPr>
            <w:r>
              <w:t>受益幼儿家长及调查满意度</w:t>
            </w:r>
          </w:p>
        </w:tc>
        <w:tc>
          <w:tcPr>
            <w:tcW w:w="5386" w:type="dxa"/>
            <w:vAlign w:val="center"/>
          </w:tcPr>
          <w:p w14:paraId="2D56DA6F">
            <w:pPr>
              <w:pStyle w:val="12"/>
            </w:pPr>
            <w:r>
              <w:t>学生、教师及家长对学校保教保育工作满意度情况</w:t>
            </w:r>
          </w:p>
        </w:tc>
        <w:tc>
          <w:tcPr>
            <w:tcW w:w="2268" w:type="dxa"/>
            <w:vAlign w:val="center"/>
          </w:tcPr>
          <w:p w14:paraId="788D15F6">
            <w:pPr>
              <w:pStyle w:val="12"/>
            </w:pPr>
            <w:r>
              <w:t>≥95%</w:t>
            </w:r>
          </w:p>
        </w:tc>
        <w:tc>
          <w:tcPr>
            <w:tcW w:w="1276" w:type="dxa"/>
            <w:vAlign w:val="center"/>
          </w:tcPr>
          <w:p w14:paraId="0C94083B">
            <w:pPr>
              <w:pStyle w:val="12"/>
            </w:pPr>
            <w:r>
              <w:t>幼儿资助经费管理办法</w:t>
            </w:r>
          </w:p>
        </w:tc>
      </w:tr>
    </w:tbl>
    <w:p w14:paraId="2E69A863">
      <w:pPr>
        <w:sectPr>
          <w:pgSz w:w="16840" w:h="11900" w:orient="landscape"/>
          <w:pgMar w:top="1361" w:right="1020" w:bottom="1134" w:left="1020" w:header="720" w:footer="720" w:gutter="0"/>
          <w:cols w:space="720" w:num="1"/>
        </w:sectPr>
      </w:pPr>
    </w:p>
    <w:p w14:paraId="4CF05EA9">
      <w:pPr>
        <w:spacing w:before="0" w:after="0"/>
        <w:ind w:firstLine="560"/>
        <w:jc w:val="left"/>
        <w:outlineLvl w:val="9"/>
      </w:pPr>
      <w:r>
        <w:rPr>
          <w:rFonts w:ascii="方正仿宋_GBK" w:hAnsi="方正仿宋_GBK" w:eastAsia="方正仿宋_GBK" w:cs="方正仿宋_GBK"/>
          <w:b/>
          <w:color w:val="000000"/>
          <w:sz w:val="28"/>
        </w:rPr>
        <w:t>10、冀财教[2025]122号/中央/2026年学前发展资金/城关校区幼儿园免保育教育费补助绩效目标表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AF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887CD">
            <w:pPr>
              <w:pStyle w:val="11"/>
            </w:pPr>
            <w:r>
              <w:t>单位：万元</w:t>
            </w:r>
          </w:p>
        </w:tc>
      </w:tr>
      <w:tr w14:paraId="0A476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8D95D">
            <w:pPr>
              <w:pStyle w:val="10"/>
            </w:pPr>
            <w:r>
              <w:t>项目编码</w:t>
            </w:r>
          </w:p>
        </w:tc>
        <w:tc>
          <w:tcPr>
            <w:tcW w:w="5103" w:type="dxa"/>
            <w:gridSpan w:val="2"/>
            <w:vAlign w:val="center"/>
          </w:tcPr>
          <w:p w14:paraId="669EBABC">
            <w:pPr>
              <w:pStyle w:val="12"/>
            </w:pPr>
            <w:r>
              <w:t>13052526P00876910134C</w:t>
            </w:r>
          </w:p>
        </w:tc>
        <w:tc>
          <w:tcPr>
            <w:tcW w:w="2835" w:type="dxa"/>
            <w:vAlign w:val="center"/>
          </w:tcPr>
          <w:p w14:paraId="67FBDC92">
            <w:pPr>
              <w:pStyle w:val="10"/>
            </w:pPr>
            <w:r>
              <w:t>项目名称</w:t>
            </w:r>
          </w:p>
        </w:tc>
        <w:tc>
          <w:tcPr>
            <w:tcW w:w="6095" w:type="dxa"/>
            <w:gridSpan w:val="3"/>
            <w:vAlign w:val="center"/>
          </w:tcPr>
          <w:p w14:paraId="0BC293DB">
            <w:pPr>
              <w:pStyle w:val="12"/>
            </w:pPr>
            <w:r>
              <w:t>冀财教[2025]122号/中央/2026年学前发展资金/城关校区幼儿园免保育教育费补助</w:t>
            </w:r>
          </w:p>
        </w:tc>
      </w:tr>
      <w:tr w14:paraId="0C922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DEA09">
            <w:pPr>
              <w:pStyle w:val="10"/>
            </w:pPr>
            <w:r>
              <w:t>预算规模及资金用途</w:t>
            </w:r>
          </w:p>
        </w:tc>
        <w:tc>
          <w:tcPr>
            <w:tcW w:w="2268" w:type="dxa"/>
            <w:vAlign w:val="center"/>
          </w:tcPr>
          <w:p w14:paraId="7DB0A60E">
            <w:pPr>
              <w:pStyle w:val="10"/>
            </w:pPr>
            <w:r>
              <w:t>预算数</w:t>
            </w:r>
          </w:p>
        </w:tc>
        <w:tc>
          <w:tcPr>
            <w:tcW w:w="2835" w:type="dxa"/>
            <w:vAlign w:val="center"/>
          </w:tcPr>
          <w:p w14:paraId="1230D12B">
            <w:pPr>
              <w:pStyle w:val="12"/>
            </w:pPr>
            <w:r>
              <w:t>26.12</w:t>
            </w:r>
          </w:p>
        </w:tc>
        <w:tc>
          <w:tcPr>
            <w:tcW w:w="2835" w:type="dxa"/>
            <w:vAlign w:val="center"/>
          </w:tcPr>
          <w:p w14:paraId="568A1CCA">
            <w:pPr>
              <w:pStyle w:val="10"/>
            </w:pPr>
            <w:r>
              <w:t>其中：财政    资金</w:t>
            </w:r>
          </w:p>
        </w:tc>
        <w:tc>
          <w:tcPr>
            <w:tcW w:w="2551" w:type="dxa"/>
            <w:vAlign w:val="center"/>
          </w:tcPr>
          <w:p w14:paraId="60DD57D4">
            <w:pPr>
              <w:pStyle w:val="12"/>
            </w:pPr>
            <w:r>
              <w:t>26.12</w:t>
            </w:r>
          </w:p>
        </w:tc>
        <w:tc>
          <w:tcPr>
            <w:tcW w:w="2268" w:type="dxa"/>
            <w:vAlign w:val="center"/>
          </w:tcPr>
          <w:p w14:paraId="1F81C2D2">
            <w:pPr>
              <w:pStyle w:val="10"/>
            </w:pPr>
            <w:r>
              <w:t>其他资金</w:t>
            </w:r>
          </w:p>
        </w:tc>
        <w:tc>
          <w:tcPr>
            <w:tcW w:w="1276" w:type="dxa"/>
            <w:vAlign w:val="center"/>
          </w:tcPr>
          <w:p w14:paraId="607EC4EE">
            <w:pPr>
              <w:pStyle w:val="12"/>
            </w:pPr>
            <w:r>
              <w:t xml:space="preserve"> </w:t>
            </w:r>
          </w:p>
        </w:tc>
      </w:tr>
      <w:tr w14:paraId="22959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62F9E"/>
        </w:tc>
        <w:tc>
          <w:tcPr>
            <w:tcW w:w="14033" w:type="dxa"/>
            <w:gridSpan w:val="6"/>
            <w:vAlign w:val="center"/>
          </w:tcPr>
          <w:p w14:paraId="44034FD9">
            <w:pPr>
              <w:pStyle w:val="12"/>
            </w:pPr>
            <w:r>
              <w:t xml:space="preserve"> 保障幼儿园正常运转，完成教育教学活动和其他日常工作任务等方面的费用支出。</w:t>
            </w:r>
          </w:p>
        </w:tc>
      </w:tr>
      <w:tr w14:paraId="2C47B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A2E01">
            <w:pPr>
              <w:pStyle w:val="10"/>
            </w:pPr>
            <w:r>
              <w:t>资金支出计划（%）</w:t>
            </w:r>
          </w:p>
        </w:tc>
        <w:tc>
          <w:tcPr>
            <w:tcW w:w="5103" w:type="dxa"/>
            <w:gridSpan w:val="2"/>
            <w:vAlign w:val="center"/>
          </w:tcPr>
          <w:p w14:paraId="3AD9FE17">
            <w:pPr>
              <w:pStyle w:val="10"/>
            </w:pPr>
            <w:r>
              <w:t>3月底</w:t>
            </w:r>
          </w:p>
        </w:tc>
        <w:tc>
          <w:tcPr>
            <w:tcW w:w="2835" w:type="dxa"/>
            <w:vAlign w:val="center"/>
          </w:tcPr>
          <w:p w14:paraId="72A37B45">
            <w:pPr>
              <w:pStyle w:val="10"/>
            </w:pPr>
            <w:r>
              <w:t>6月底</w:t>
            </w:r>
          </w:p>
        </w:tc>
        <w:tc>
          <w:tcPr>
            <w:tcW w:w="2551" w:type="dxa"/>
            <w:vAlign w:val="center"/>
          </w:tcPr>
          <w:p w14:paraId="1B4B9B70">
            <w:pPr>
              <w:pStyle w:val="10"/>
            </w:pPr>
            <w:r>
              <w:t>10月底</w:t>
            </w:r>
          </w:p>
        </w:tc>
        <w:tc>
          <w:tcPr>
            <w:tcW w:w="3544" w:type="dxa"/>
            <w:gridSpan w:val="2"/>
            <w:vAlign w:val="center"/>
          </w:tcPr>
          <w:p w14:paraId="5E4F2A43">
            <w:pPr>
              <w:pStyle w:val="10"/>
            </w:pPr>
            <w:r>
              <w:t>12月底</w:t>
            </w:r>
          </w:p>
        </w:tc>
      </w:tr>
      <w:tr w14:paraId="4ABB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BF85A"/>
        </w:tc>
        <w:tc>
          <w:tcPr>
            <w:tcW w:w="5103" w:type="dxa"/>
            <w:gridSpan w:val="2"/>
            <w:vAlign w:val="center"/>
          </w:tcPr>
          <w:p w14:paraId="0B38D0C9">
            <w:pPr>
              <w:pStyle w:val="13"/>
            </w:pPr>
            <w:r>
              <w:t>25%</w:t>
            </w:r>
          </w:p>
        </w:tc>
        <w:tc>
          <w:tcPr>
            <w:tcW w:w="2835" w:type="dxa"/>
            <w:vAlign w:val="center"/>
          </w:tcPr>
          <w:p w14:paraId="3B2D87D3">
            <w:pPr>
              <w:pStyle w:val="13"/>
            </w:pPr>
            <w:r>
              <w:t>50%</w:t>
            </w:r>
          </w:p>
        </w:tc>
        <w:tc>
          <w:tcPr>
            <w:tcW w:w="2551" w:type="dxa"/>
            <w:vAlign w:val="center"/>
          </w:tcPr>
          <w:p w14:paraId="20193285">
            <w:pPr>
              <w:pStyle w:val="13"/>
            </w:pPr>
            <w:r>
              <w:t>75%</w:t>
            </w:r>
          </w:p>
        </w:tc>
        <w:tc>
          <w:tcPr>
            <w:tcW w:w="3544" w:type="dxa"/>
            <w:gridSpan w:val="2"/>
            <w:vAlign w:val="center"/>
          </w:tcPr>
          <w:p w14:paraId="6B28D357">
            <w:pPr>
              <w:pStyle w:val="13"/>
            </w:pPr>
            <w:r>
              <w:t>100%</w:t>
            </w:r>
          </w:p>
        </w:tc>
      </w:tr>
      <w:tr w14:paraId="4EABB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5264F">
            <w:pPr>
              <w:pStyle w:val="10"/>
            </w:pPr>
            <w:r>
              <w:t>绩效目标</w:t>
            </w:r>
          </w:p>
        </w:tc>
        <w:tc>
          <w:tcPr>
            <w:tcW w:w="14033" w:type="dxa"/>
            <w:gridSpan w:val="6"/>
            <w:vAlign w:val="center"/>
          </w:tcPr>
          <w:p w14:paraId="74813DA2">
            <w:pPr>
              <w:pStyle w:val="12"/>
            </w:pPr>
            <w:r>
              <w:t>1. 保障幼儿园正常运转，完成教育教学活动和其他日常工作任务等方面的费用支出。</w:t>
            </w:r>
          </w:p>
        </w:tc>
      </w:tr>
    </w:tbl>
    <w:p w14:paraId="6EE26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5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93F4D">
            <w:pPr>
              <w:pStyle w:val="10"/>
            </w:pPr>
            <w:r>
              <w:t>一级指标</w:t>
            </w:r>
          </w:p>
        </w:tc>
        <w:tc>
          <w:tcPr>
            <w:tcW w:w="2268" w:type="dxa"/>
            <w:vAlign w:val="center"/>
          </w:tcPr>
          <w:p w14:paraId="297A88ED">
            <w:pPr>
              <w:pStyle w:val="10"/>
            </w:pPr>
            <w:r>
              <w:t>二级指标</w:t>
            </w:r>
          </w:p>
        </w:tc>
        <w:tc>
          <w:tcPr>
            <w:tcW w:w="2835" w:type="dxa"/>
            <w:vAlign w:val="center"/>
          </w:tcPr>
          <w:p w14:paraId="4602C22B">
            <w:pPr>
              <w:pStyle w:val="10"/>
            </w:pPr>
            <w:r>
              <w:t>三级指标</w:t>
            </w:r>
          </w:p>
        </w:tc>
        <w:tc>
          <w:tcPr>
            <w:tcW w:w="5386" w:type="dxa"/>
            <w:vAlign w:val="center"/>
          </w:tcPr>
          <w:p w14:paraId="48876B53">
            <w:pPr>
              <w:pStyle w:val="10"/>
            </w:pPr>
            <w:r>
              <w:t>绩效指标描述</w:t>
            </w:r>
          </w:p>
        </w:tc>
        <w:tc>
          <w:tcPr>
            <w:tcW w:w="2268" w:type="dxa"/>
            <w:vAlign w:val="center"/>
          </w:tcPr>
          <w:p w14:paraId="37C8AA52">
            <w:pPr>
              <w:pStyle w:val="10"/>
            </w:pPr>
            <w:r>
              <w:t>指标值</w:t>
            </w:r>
          </w:p>
        </w:tc>
        <w:tc>
          <w:tcPr>
            <w:tcW w:w="1276" w:type="dxa"/>
            <w:vAlign w:val="center"/>
          </w:tcPr>
          <w:p w14:paraId="318491DE">
            <w:pPr>
              <w:pStyle w:val="10"/>
            </w:pPr>
            <w:r>
              <w:t>指标值确定依据</w:t>
            </w:r>
          </w:p>
        </w:tc>
      </w:tr>
      <w:tr w14:paraId="1582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2A80E">
            <w:pPr>
              <w:pStyle w:val="13"/>
            </w:pPr>
            <w:r>
              <w:t>产出指标</w:t>
            </w:r>
          </w:p>
        </w:tc>
        <w:tc>
          <w:tcPr>
            <w:tcW w:w="2268" w:type="dxa"/>
            <w:vAlign w:val="center"/>
          </w:tcPr>
          <w:p w14:paraId="320CAD35">
            <w:pPr>
              <w:pStyle w:val="12"/>
            </w:pPr>
            <w:r>
              <w:t>数量指标</w:t>
            </w:r>
          </w:p>
        </w:tc>
        <w:tc>
          <w:tcPr>
            <w:tcW w:w="2835" w:type="dxa"/>
            <w:vAlign w:val="center"/>
          </w:tcPr>
          <w:p w14:paraId="12A88496">
            <w:pPr>
              <w:pStyle w:val="12"/>
            </w:pPr>
            <w:r>
              <w:t>适龄在园生</w:t>
            </w:r>
          </w:p>
        </w:tc>
        <w:tc>
          <w:tcPr>
            <w:tcW w:w="5386" w:type="dxa"/>
            <w:vAlign w:val="center"/>
          </w:tcPr>
          <w:p w14:paraId="136D9D74">
            <w:pPr>
              <w:pStyle w:val="12"/>
            </w:pPr>
            <w:r>
              <w:t>适龄在园学生人数</w:t>
            </w:r>
          </w:p>
        </w:tc>
        <w:tc>
          <w:tcPr>
            <w:tcW w:w="2268" w:type="dxa"/>
            <w:vAlign w:val="center"/>
          </w:tcPr>
          <w:p w14:paraId="13DCBEAD">
            <w:pPr>
              <w:pStyle w:val="12"/>
            </w:pPr>
            <w:r>
              <w:t>100%</w:t>
            </w:r>
          </w:p>
        </w:tc>
        <w:tc>
          <w:tcPr>
            <w:tcW w:w="1276" w:type="dxa"/>
            <w:vAlign w:val="center"/>
          </w:tcPr>
          <w:p w14:paraId="6D453F8B">
            <w:pPr>
              <w:pStyle w:val="12"/>
            </w:pPr>
            <w:r>
              <w:t>支持学前教育发展资金管理方法</w:t>
            </w:r>
          </w:p>
        </w:tc>
      </w:tr>
      <w:tr w14:paraId="5B31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EF5C1"/>
        </w:tc>
        <w:tc>
          <w:tcPr>
            <w:tcW w:w="2268" w:type="dxa"/>
            <w:vAlign w:val="center"/>
          </w:tcPr>
          <w:p w14:paraId="6FAFEB4B">
            <w:pPr>
              <w:pStyle w:val="12"/>
            </w:pPr>
            <w:r>
              <w:t>质量指标</w:t>
            </w:r>
          </w:p>
        </w:tc>
        <w:tc>
          <w:tcPr>
            <w:tcW w:w="2835" w:type="dxa"/>
            <w:vAlign w:val="center"/>
          </w:tcPr>
          <w:p w14:paraId="1DBAB93C">
            <w:pPr>
              <w:pStyle w:val="12"/>
            </w:pPr>
            <w:r>
              <w:t>公用经费使用率</w:t>
            </w:r>
          </w:p>
        </w:tc>
        <w:tc>
          <w:tcPr>
            <w:tcW w:w="5386" w:type="dxa"/>
            <w:vAlign w:val="center"/>
          </w:tcPr>
          <w:p w14:paraId="07C7606C">
            <w:pPr>
              <w:pStyle w:val="12"/>
            </w:pPr>
            <w:r>
              <w:t>用于弥补经费不足，改善办学条件</w:t>
            </w:r>
          </w:p>
        </w:tc>
        <w:tc>
          <w:tcPr>
            <w:tcW w:w="2268" w:type="dxa"/>
            <w:vAlign w:val="center"/>
          </w:tcPr>
          <w:p w14:paraId="22F2C2A0">
            <w:pPr>
              <w:pStyle w:val="12"/>
            </w:pPr>
            <w:r>
              <w:t>100%</w:t>
            </w:r>
          </w:p>
        </w:tc>
        <w:tc>
          <w:tcPr>
            <w:tcW w:w="1276" w:type="dxa"/>
            <w:vAlign w:val="center"/>
          </w:tcPr>
          <w:p w14:paraId="45E0D475">
            <w:pPr>
              <w:pStyle w:val="12"/>
            </w:pPr>
            <w:r>
              <w:t>支持学前教育发展资金管理方法</w:t>
            </w:r>
          </w:p>
        </w:tc>
      </w:tr>
      <w:tr w14:paraId="0A5A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EC580"/>
        </w:tc>
        <w:tc>
          <w:tcPr>
            <w:tcW w:w="2268" w:type="dxa"/>
            <w:vAlign w:val="center"/>
          </w:tcPr>
          <w:p w14:paraId="1EAD699D">
            <w:pPr>
              <w:pStyle w:val="12"/>
            </w:pPr>
            <w:r>
              <w:t>时效指标</w:t>
            </w:r>
          </w:p>
        </w:tc>
        <w:tc>
          <w:tcPr>
            <w:tcW w:w="2835" w:type="dxa"/>
            <w:vAlign w:val="center"/>
          </w:tcPr>
          <w:p w14:paraId="7DC5188E">
            <w:pPr>
              <w:pStyle w:val="12"/>
            </w:pPr>
            <w:r>
              <w:t>资金支付率</w:t>
            </w:r>
          </w:p>
        </w:tc>
        <w:tc>
          <w:tcPr>
            <w:tcW w:w="5386" w:type="dxa"/>
            <w:vAlign w:val="center"/>
          </w:tcPr>
          <w:p w14:paraId="18B4BC51">
            <w:pPr>
              <w:pStyle w:val="12"/>
            </w:pPr>
            <w:r>
              <w:t>按照序时进度完成资金支付</w:t>
            </w:r>
          </w:p>
        </w:tc>
        <w:tc>
          <w:tcPr>
            <w:tcW w:w="2268" w:type="dxa"/>
            <w:vAlign w:val="center"/>
          </w:tcPr>
          <w:p w14:paraId="1FDACB50">
            <w:pPr>
              <w:pStyle w:val="12"/>
            </w:pPr>
            <w:r>
              <w:t>100%</w:t>
            </w:r>
          </w:p>
        </w:tc>
        <w:tc>
          <w:tcPr>
            <w:tcW w:w="1276" w:type="dxa"/>
            <w:vAlign w:val="center"/>
          </w:tcPr>
          <w:p w14:paraId="11B76BA6">
            <w:pPr>
              <w:pStyle w:val="12"/>
            </w:pPr>
            <w:r>
              <w:t>支持学前教育发展资金管理方法</w:t>
            </w:r>
          </w:p>
        </w:tc>
      </w:tr>
      <w:tr w14:paraId="2222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D6E29"/>
        </w:tc>
        <w:tc>
          <w:tcPr>
            <w:tcW w:w="2268" w:type="dxa"/>
            <w:vAlign w:val="center"/>
          </w:tcPr>
          <w:p w14:paraId="7F1816AF">
            <w:pPr>
              <w:pStyle w:val="12"/>
            </w:pPr>
            <w:r>
              <w:t>成本指标</w:t>
            </w:r>
          </w:p>
        </w:tc>
        <w:tc>
          <w:tcPr>
            <w:tcW w:w="2835" w:type="dxa"/>
            <w:vAlign w:val="center"/>
          </w:tcPr>
          <w:p w14:paraId="35A5FE3E">
            <w:pPr>
              <w:pStyle w:val="12"/>
            </w:pPr>
            <w:r>
              <w:t>生均拨款标准</w:t>
            </w:r>
          </w:p>
        </w:tc>
        <w:tc>
          <w:tcPr>
            <w:tcW w:w="5386" w:type="dxa"/>
            <w:vAlign w:val="center"/>
          </w:tcPr>
          <w:p w14:paraId="50A06FF5">
            <w:pPr>
              <w:pStyle w:val="12"/>
            </w:pPr>
            <w:r>
              <w:t>根据各学校学前保育费标准进行补助</w:t>
            </w:r>
          </w:p>
        </w:tc>
        <w:tc>
          <w:tcPr>
            <w:tcW w:w="2268" w:type="dxa"/>
            <w:vAlign w:val="center"/>
          </w:tcPr>
          <w:p w14:paraId="04D9CFA8">
            <w:pPr>
              <w:pStyle w:val="12"/>
            </w:pPr>
            <w:r>
              <w:t>261188元</w:t>
            </w:r>
          </w:p>
        </w:tc>
        <w:tc>
          <w:tcPr>
            <w:tcW w:w="1276" w:type="dxa"/>
            <w:vAlign w:val="center"/>
          </w:tcPr>
          <w:p w14:paraId="544B48DE">
            <w:pPr>
              <w:pStyle w:val="12"/>
            </w:pPr>
            <w:r>
              <w:t>支持学前教育发展资金管理方法</w:t>
            </w:r>
          </w:p>
        </w:tc>
      </w:tr>
      <w:tr w14:paraId="738E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D85A2">
            <w:pPr>
              <w:pStyle w:val="13"/>
            </w:pPr>
            <w:r>
              <w:t>效益指标</w:t>
            </w:r>
          </w:p>
        </w:tc>
        <w:tc>
          <w:tcPr>
            <w:tcW w:w="2268" w:type="dxa"/>
            <w:vAlign w:val="center"/>
          </w:tcPr>
          <w:p w14:paraId="119949B0">
            <w:pPr>
              <w:pStyle w:val="12"/>
            </w:pPr>
            <w:r>
              <w:t>可持续影响指标</w:t>
            </w:r>
          </w:p>
        </w:tc>
        <w:tc>
          <w:tcPr>
            <w:tcW w:w="2835" w:type="dxa"/>
            <w:vAlign w:val="center"/>
          </w:tcPr>
          <w:p w14:paraId="2DA43018">
            <w:pPr>
              <w:pStyle w:val="12"/>
            </w:pPr>
            <w:r>
              <w:t>学校运转得到提高</w:t>
            </w:r>
          </w:p>
        </w:tc>
        <w:tc>
          <w:tcPr>
            <w:tcW w:w="5386" w:type="dxa"/>
            <w:vAlign w:val="center"/>
          </w:tcPr>
          <w:p w14:paraId="7FCE4D52">
            <w:pPr>
              <w:pStyle w:val="12"/>
            </w:pPr>
            <w:r>
              <w:t>学生受教育年限</w:t>
            </w:r>
          </w:p>
        </w:tc>
        <w:tc>
          <w:tcPr>
            <w:tcW w:w="2268" w:type="dxa"/>
            <w:vAlign w:val="center"/>
          </w:tcPr>
          <w:p w14:paraId="155EFD02">
            <w:pPr>
              <w:pStyle w:val="12"/>
            </w:pPr>
            <w:r>
              <w:t>3年</w:t>
            </w:r>
          </w:p>
        </w:tc>
        <w:tc>
          <w:tcPr>
            <w:tcW w:w="1276" w:type="dxa"/>
            <w:vAlign w:val="center"/>
          </w:tcPr>
          <w:p w14:paraId="54BD2AAA">
            <w:pPr>
              <w:pStyle w:val="12"/>
            </w:pPr>
            <w:r>
              <w:t>支持学前教育发展资金管理方法</w:t>
            </w:r>
          </w:p>
        </w:tc>
      </w:tr>
      <w:tr w14:paraId="0184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821D1">
            <w:pPr>
              <w:pStyle w:val="13"/>
            </w:pPr>
            <w:r>
              <w:t>满意度指标</w:t>
            </w:r>
          </w:p>
        </w:tc>
        <w:tc>
          <w:tcPr>
            <w:tcW w:w="2268" w:type="dxa"/>
            <w:vAlign w:val="center"/>
          </w:tcPr>
          <w:p w14:paraId="02057413">
            <w:pPr>
              <w:pStyle w:val="12"/>
            </w:pPr>
            <w:r>
              <w:t>服务对象满意度指标</w:t>
            </w:r>
          </w:p>
        </w:tc>
        <w:tc>
          <w:tcPr>
            <w:tcW w:w="2835" w:type="dxa"/>
            <w:vAlign w:val="center"/>
          </w:tcPr>
          <w:p w14:paraId="1A762DAA">
            <w:pPr>
              <w:pStyle w:val="12"/>
            </w:pPr>
            <w:r>
              <w:t>受益学生家长及调查满意度</w:t>
            </w:r>
          </w:p>
        </w:tc>
        <w:tc>
          <w:tcPr>
            <w:tcW w:w="5386" w:type="dxa"/>
            <w:vAlign w:val="center"/>
          </w:tcPr>
          <w:p w14:paraId="7D78A525">
            <w:pPr>
              <w:pStyle w:val="12"/>
            </w:pPr>
            <w:r>
              <w:t>学生、教师及家长对学校保教保育工作满意度情况</w:t>
            </w:r>
          </w:p>
        </w:tc>
        <w:tc>
          <w:tcPr>
            <w:tcW w:w="2268" w:type="dxa"/>
            <w:vAlign w:val="center"/>
          </w:tcPr>
          <w:p w14:paraId="6CEB8DB2">
            <w:pPr>
              <w:pStyle w:val="12"/>
            </w:pPr>
            <w:r>
              <w:t>≥95%</w:t>
            </w:r>
          </w:p>
        </w:tc>
        <w:tc>
          <w:tcPr>
            <w:tcW w:w="1276" w:type="dxa"/>
            <w:vAlign w:val="center"/>
          </w:tcPr>
          <w:p w14:paraId="3EEAEA57">
            <w:pPr>
              <w:pStyle w:val="12"/>
            </w:pPr>
            <w:r>
              <w:t>支持学前教育发展资金管理方法</w:t>
            </w:r>
          </w:p>
        </w:tc>
      </w:tr>
    </w:tbl>
    <w:p w14:paraId="011D4C2B">
      <w:pPr>
        <w:sectPr>
          <w:pgSz w:w="16840" w:h="11900" w:orient="landscape"/>
          <w:pgMar w:top="1361" w:right="1020" w:bottom="1134" w:left="1020" w:header="720" w:footer="720" w:gutter="0"/>
          <w:cols w:space="720" w:num="1"/>
        </w:sectPr>
      </w:pPr>
    </w:p>
    <w:p w14:paraId="33DE15A7">
      <w:pPr>
        <w:spacing w:before="0" w:after="0"/>
        <w:ind w:firstLine="560"/>
        <w:jc w:val="left"/>
        <w:outlineLvl w:val="9"/>
      </w:pPr>
      <w:r>
        <w:rPr>
          <w:rFonts w:ascii="方正仿宋_GBK" w:hAnsi="方正仿宋_GBK" w:eastAsia="方正仿宋_GBK" w:cs="方正仿宋_GBK"/>
          <w:b/>
          <w:color w:val="000000"/>
          <w:sz w:val="28"/>
        </w:rPr>
        <w:t>11、冀财教[2025]122号/中央/支持学前教育发展/城关校区幼儿园设备购置绩效目标表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AE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BF0B5">
            <w:pPr>
              <w:pStyle w:val="11"/>
            </w:pPr>
            <w:r>
              <w:t>单位：万元</w:t>
            </w:r>
          </w:p>
        </w:tc>
      </w:tr>
      <w:tr w14:paraId="3ADFD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071ED">
            <w:pPr>
              <w:pStyle w:val="10"/>
            </w:pPr>
            <w:r>
              <w:t>项目编码</w:t>
            </w:r>
          </w:p>
        </w:tc>
        <w:tc>
          <w:tcPr>
            <w:tcW w:w="5103" w:type="dxa"/>
            <w:gridSpan w:val="2"/>
            <w:vAlign w:val="center"/>
          </w:tcPr>
          <w:p w14:paraId="3AB8C6E7">
            <w:pPr>
              <w:pStyle w:val="12"/>
            </w:pPr>
            <w:r>
              <w:t>13052526P00876910178A</w:t>
            </w:r>
          </w:p>
        </w:tc>
        <w:tc>
          <w:tcPr>
            <w:tcW w:w="2835" w:type="dxa"/>
            <w:vAlign w:val="center"/>
          </w:tcPr>
          <w:p w14:paraId="67738F0C">
            <w:pPr>
              <w:pStyle w:val="10"/>
            </w:pPr>
            <w:r>
              <w:t>项目名称</w:t>
            </w:r>
          </w:p>
        </w:tc>
        <w:tc>
          <w:tcPr>
            <w:tcW w:w="6095" w:type="dxa"/>
            <w:gridSpan w:val="3"/>
            <w:vAlign w:val="center"/>
          </w:tcPr>
          <w:p w14:paraId="5ED012A1">
            <w:pPr>
              <w:pStyle w:val="12"/>
            </w:pPr>
            <w:r>
              <w:t>冀财教[2025]122号/中央/支持学前教育发展/城关校区幼儿园设备购置</w:t>
            </w:r>
          </w:p>
        </w:tc>
      </w:tr>
      <w:tr w14:paraId="16F1C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D1C72">
            <w:pPr>
              <w:pStyle w:val="10"/>
            </w:pPr>
            <w:r>
              <w:t>预算规模及资金用途</w:t>
            </w:r>
          </w:p>
        </w:tc>
        <w:tc>
          <w:tcPr>
            <w:tcW w:w="2268" w:type="dxa"/>
            <w:vAlign w:val="center"/>
          </w:tcPr>
          <w:p w14:paraId="6C8AFB26">
            <w:pPr>
              <w:pStyle w:val="10"/>
            </w:pPr>
            <w:r>
              <w:t>预算数</w:t>
            </w:r>
          </w:p>
        </w:tc>
        <w:tc>
          <w:tcPr>
            <w:tcW w:w="2835" w:type="dxa"/>
            <w:vAlign w:val="center"/>
          </w:tcPr>
          <w:p w14:paraId="1E550397">
            <w:pPr>
              <w:pStyle w:val="12"/>
            </w:pPr>
            <w:r>
              <w:t>82.71</w:t>
            </w:r>
          </w:p>
        </w:tc>
        <w:tc>
          <w:tcPr>
            <w:tcW w:w="2835" w:type="dxa"/>
            <w:vAlign w:val="center"/>
          </w:tcPr>
          <w:p w14:paraId="5A6845E0">
            <w:pPr>
              <w:pStyle w:val="10"/>
            </w:pPr>
            <w:r>
              <w:t>其中：财政    资金</w:t>
            </w:r>
          </w:p>
        </w:tc>
        <w:tc>
          <w:tcPr>
            <w:tcW w:w="2551" w:type="dxa"/>
            <w:vAlign w:val="center"/>
          </w:tcPr>
          <w:p w14:paraId="1EE473FD">
            <w:pPr>
              <w:pStyle w:val="12"/>
            </w:pPr>
            <w:r>
              <w:t>82.71</w:t>
            </w:r>
          </w:p>
        </w:tc>
        <w:tc>
          <w:tcPr>
            <w:tcW w:w="2268" w:type="dxa"/>
            <w:vAlign w:val="center"/>
          </w:tcPr>
          <w:p w14:paraId="41A7EA8D">
            <w:pPr>
              <w:pStyle w:val="10"/>
            </w:pPr>
            <w:r>
              <w:t>其他资金</w:t>
            </w:r>
          </w:p>
        </w:tc>
        <w:tc>
          <w:tcPr>
            <w:tcW w:w="1276" w:type="dxa"/>
            <w:vAlign w:val="center"/>
          </w:tcPr>
          <w:p w14:paraId="25B8838E">
            <w:pPr>
              <w:pStyle w:val="12"/>
            </w:pPr>
            <w:r>
              <w:t xml:space="preserve"> </w:t>
            </w:r>
          </w:p>
        </w:tc>
      </w:tr>
      <w:tr w14:paraId="03D2C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AEE55"/>
        </w:tc>
        <w:tc>
          <w:tcPr>
            <w:tcW w:w="14033" w:type="dxa"/>
            <w:gridSpan w:val="6"/>
            <w:vAlign w:val="center"/>
          </w:tcPr>
          <w:p w14:paraId="529FDA39">
            <w:pPr>
              <w:pStyle w:val="12"/>
            </w:pPr>
            <w:r>
              <w:t>保障幼儿园正常运转，完成教育教学活动和其他日常工作任务等方面的费用支出。</w:t>
            </w:r>
          </w:p>
        </w:tc>
      </w:tr>
      <w:tr w14:paraId="4EAA6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BA118">
            <w:pPr>
              <w:pStyle w:val="10"/>
            </w:pPr>
            <w:r>
              <w:t>资金支出计划（%）</w:t>
            </w:r>
          </w:p>
        </w:tc>
        <w:tc>
          <w:tcPr>
            <w:tcW w:w="5103" w:type="dxa"/>
            <w:gridSpan w:val="2"/>
            <w:vAlign w:val="center"/>
          </w:tcPr>
          <w:p w14:paraId="0D3FD62C">
            <w:pPr>
              <w:pStyle w:val="10"/>
            </w:pPr>
            <w:r>
              <w:t>3月底</w:t>
            </w:r>
          </w:p>
        </w:tc>
        <w:tc>
          <w:tcPr>
            <w:tcW w:w="2835" w:type="dxa"/>
            <w:vAlign w:val="center"/>
          </w:tcPr>
          <w:p w14:paraId="49D972AC">
            <w:pPr>
              <w:pStyle w:val="10"/>
            </w:pPr>
            <w:r>
              <w:t>6月底</w:t>
            </w:r>
          </w:p>
        </w:tc>
        <w:tc>
          <w:tcPr>
            <w:tcW w:w="2551" w:type="dxa"/>
            <w:vAlign w:val="center"/>
          </w:tcPr>
          <w:p w14:paraId="324A415A">
            <w:pPr>
              <w:pStyle w:val="10"/>
            </w:pPr>
            <w:r>
              <w:t>10月底</w:t>
            </w:r>
          </w:p>
        </w:tc>
        <w:tc>
          <w:tcPr>
            <w:tcW w:w="3544" w:type="dxa"/>
            <w:gridSpan w:val="2"/>
            <w:vAlign w:val="center"/>
          </w:tcPr>
          <w:p w14:paraId="4D23FF9D">
            <w:pPr>
              <w:pStyle w:val="10"/>
            </w:pPr>
            <w:r>
              <w:t>12月底</w:t>
            </w:r>
          </w:p>
        </w:tc>
      </w:tr>
      <w:tr w14:paraId="5C74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9688A"/>
        </w:tc>
        <w:tc>
          <w:tcPr>
            <w:tcW w:w="5103" w:type="dxa"/>
            <w:gridSpan w:val="2"/>
            <w:vAlign w:val="center"/>
          </w:tcPr>
          <w:p w14:paraId="699490E5">
            <w:pPr>
              <w:pStyle w:val="13"/>
            </w:pPr>
            <w:r>
              <w:t xml:space="preserve"> </w:t>
            </w:r>
          </w:p>
        </w:tc>
        <w:tc>
          <w:tcPr>
            <w:tcW w:w="2835" w:type="dxa"/>
            <w:vAlign w:val="center"/>
          </w:tcPr>
          <w:p w14:paraId="432BE2C7">
            <w:pPr>
              <w:pStyle w:val="13"/>
            </w:pPr>
            <w:r>
              <w:t>100%</w:t>
            </w:r>
          </w:p>
        </w:tc>
        <w:tc>
          <w:tcPr>
            <w:tcW w:w="2551" w:type="dxa"/>
            <w:vAlign w:val="center"/>
          </w:tcPr>
          <w:p w14:paraId="362F70F9">
            <w:pPr>
              <w:pStyle w:val="13"/>
            </w:pPr>
            <w:r>
              <w:t>100%</w:t>
            </w:r>
          </w:p>
        </w:tc>
        <w:tc>
          <w:tcPr>
            <w:tcW w:w="3544" w:type="dxa"/>
            <w:gridSpan w:val="2"/>
            <w:vAlign w:val="center"/>
          </w:tcPr>
          <w:p w14:paraId="6F6FB96B">
            <w:pPr>
              <w:pStyle w:val="13"/>
            </w:pPr>
            <w:r>
              <w:t>100%</w:t>
            </w:r>
          </w:p>
        </w:tc>
      </w:tr>
      <w:tr w14:paraId="1EDB2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AAC33">
            <w:pPr>
              <w:pStyle w:val="10"/>
            </w:pPr>
            <w:r>
              <w:t>绩效目标</w:t>
            </w:r>
          </w:p>
        </w:tc>
        <w:tc>
          <w:tcPr>
            <w:tcW w:w="14033" w:type="dxa"/>
            <w:gridSpan w:val="6"/>
            <w:vAlign w:val="center"/>
          </w:tcPr>
          <w:p w14:paraId="03FF7DC1">
            <w:pPr>
              <w:pStyle w:val="12"/>
            </w:pPr>
            <w:r>
              <w:t>1.保障幼儿园正常运转，完成教育教学活动和其他日常工作任务等方面的费用支出。</w:t>
            </w:r>
          </w:p>
          <w:p w14:paraId="58C35C80">
            <w:pPr>
              <w:pStyle w:val="12"/>
            </w:pPr>
            <w:r>
              <w:t>2.按季度分批次拨付公用经费资金，资金拨付率达到100%。</w:t>
            </w:r>
          </w:p>
        </w:tc>
      </w:tr>
    </w:tbl>
    <w:p w14:paraId="132692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6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EA9D185">
            <w:pPr>
              <w:pStyle w:val="10"/>
            </w:pPr>
            <w:r>
              <w:t>一级指标</w:t>
            </w:r>
          </w:p>
        </w:tc>
        <w:tc>
          <w:tcPr>
            <w:tcW w:w="2268" w:type="dxa"/>
            <w:vAlign w:val="center"/>
          </w:tcPr>
          <w:p w14:paraId="04E9EA13">
            <w:pPr>
              <w:pStyle w:val="10"/>
            </w:pPr>
            <w:r>
              <w:t>二级指标</w:t>
            </w:r>
          </w:p>
        </w:tc>
        <w:tc>
          <w:tcPr>
            <w:tcW w:w="2835" w:type="dxa"/>
            <w:vAlign w:val="center"/>
          </w:tcPr>
          <w:p w14:paraId="39A6F0A7">
            <w:pPr>
              <w:pStyle w:val="10"/>
            </w:pPr>
            <w:r>
              <w:t>三级指标</w:t>
            </w:r>
          </w:p>
        </w:tc>
        <w:tc>
          <w:tcPr>
            <w:tcW w:w="5386" w:type="dxa"/>
            <w:vAlign w:val="center"/>
          </w:tcPr>
          <w:p w14:paraId="5639AB69">
            <w:pPr>
              <w:pStyle w:val="10"/>
            </w:pPr>
            <w:r>
              <w:t>绩效指标描述</w:t>
            </w:r>
          </w:p>
        </w:tc>
        <w:tc>
          <w:tcPr>
            <w:tcW w:w="2268" w:type="dxa"/>
            <w:vAlign w:val="center"/>
          </w:tcPr>
          <w:p w14:paraId="4F4AD6BB">
            <w:pPr>
              <w:pStyle w:val="10"/>
            </w:pPr>
            <w:r>
              <w:t>指标值</w:t>
            </w:r>
          </w:p>
        </w:tc>
        <w:tc>
          <w:tcPr>
            <w:tcW w:w="1276" w:type="dxa"/>
            <w:vAlign w:val="center"/>
          </w:tcPr>
          <w:p w14:paraId="333B5BE8">
            <w:pPr>
              <w:pStyle w:val="10"/>
            </w:pPr>
            <w:r>
              <w:t>指标值确定依据</w:t>
            </w:r>
          </w:p>
        </w:tc>
      </w:tr>
      <w:tr w14:paraId="65FE1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717B5">
            <w:pPr>
              <w:pStyle w:val="13"/>
            </w:pPr>
            <w:r>
              <w:t>产出指标</w:t>
            </w:r>
          </w:p>
        </w:tc>
        <w:tc>
          <w:tcPr>
            <w:tcW w:w="2268" w:type="dxa"/>
            <w:vAlign w:val="center"/>
          </w:tcPr>
          <w:p w14:paraId="6D8E4743">
            <w:pPr>
              <w:pStyle w:val="12"/>
            </w:pPr>
            <w:r>
              <w:t>数量指标</w:t>
            </w:r>
          </w:p>
        </w:tc>
        <w:tc>
          <w:tcPr>
            <w:tcW w:w="2835" w:type="dxa"/>
            <w:vAlign w:val="center"/>
          </w:tcPr>
          <w:p w14:paraId="477F04CD">
            <w:pPr>
              <w:pStyle w:val="12"/>
            </w:pPr>
            <w:r>
              <w:t>教学设备</w:t>
            </w:r>
          </w:p>
        </w:tc>
        <w:tc>
          <w:tcPr>
            <w:tcW w:w="5386" w:type="dxa"/>
            <w:vAlign w:val="center"/>
          </w:tcPr>
          <w:p w14:paraId="35347891">
            <w:pPr>
              <w:pStyle w:val="12"/>
            </w:pPr>
            <w:r>
              <w:t>幼儿园设备购置</w:t>
            </w:r>
          </w:p>
        </w:tc>
        <w:tc>
          <w:tcPr>
            <w:tcW w:w="2268" w:type="dxa"/>
            <w:vAlign w:val="center"/>
          </w:tcPr>
          <w:p w14:paraId="20AEC64D">
            <w:pPr>
              <w:pStyle w:val="12"/>
            </w:pPr>
            <w:r>
              <w:t>≥1套</w:t>
            </w:r>
          </w:p>
        </w:tc>
        <w:tc>
          <w:tcPr>
            <w:tcW w:w="1276" w:type="dxa"/>
            <w:vAlign w:val="center"/>
          </w:tcPr>
          <w:p w14:paraId="0F0C0F48">
            <w:pPr>
              <w:pStyle w:val="12"/>
            </w:pPr>
            <w:r>
              <w:t>项目规划</w:t>
            </w:r>
          </w:p>
        </w:tc>
      </w:tr>
      <w:tr w14:paraId="36DA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FA1CC"/>
        </w:tc>
        <w:tc>
          <w:tcPr>
            <w:tcW w:w="2268" w:type="dxa"/>
            <w:vAlign w:val="center"/>
          </w:tcPr>
          <w:p w14:paraId="10F1DEA0">
            <w:pPr>
              <w:pStyle w:val="12"/>
            </w:pPr>
            <w:r>
              <w:t>质量指标</w:t>
            </w:r>
          </w:p>
        </w:tc>
        <w:tc>
          <w:tcPr>
            <w:tcW w:w="2835" w:type="dxa"/>
            <w:vAlign w:val="center"/>
          </w:tcPr>
          <w:p w14:paraId="1A3207C2">
            <w:pPr>
              <w:pStyle w:val="12"/>
            </w:pPr>
            <w:r>
              <w:t>购置项目质量合格率</w:t>
            </w:r>
          </w:p>
        </w:tc>
        <w:tc>
          <w:tcPr>
            <w:tcW w:w="5386" w:type="dxa"/>
            <w:vAlign w:val="center"/>
          </w:tcPr>
          <w:p w14:paraId="0A48D9EA">
            <w:pPr>
              <w:pStyle w:val="12"/>
            </w:pPr>
            <w:r>
              <w:t>专用设备购置质量合格率</w:t>
            </w:r>
          </w:p>
        </w:tc>
        <w:tc>
          <w:tcPr>
            <w:tcW w:w="2268" w:type="dxa"/>
            <w:vAlign w:val="center"/>
          </w:tcPr>
          <w:p w14:paraId="27F65107">
            <w:pPr>
              <w:pStyle w:val="12"/>
            </w:pPr>
            <w:r>
              <w:t>100%</w:t>
            </w:r>
          </w:p>
        </w:tc>
        <w:tc>
          <w:tcPr>
            <w:tcW w:w="1276" w:type="dxa"/>
            <w:vAlign w:val="center"/>
          </w:tcPr>
          <w:p w14:paraId="07C916D4">
            <w:pPr>
              <w:pStyle w:val="12"/>
            </w:pPr>
            <w:r>
              <w:t>项目规划</w:t>
            </w:r>
          </w:p>
        </w:tc>
      </w:tr>
      <w:tr w14:paraId="356C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BBA2"/>
        </w:tc>
        <w:tc>
          <w:tcPr>
            <w:tcW w:w="2268" w:type="dxa"/>
            <w:vAlign w:val="center"/>
          </w:tcPr>
          <w:p w14:paraId="4E16D839">
            <w:pPr>
              <w:pStyle w:val="12"/>
            </w:pPr>
            <w:r>
              <w:t>时效指标</w:t>
            </w:r>
          </w:p>
        </w:tc>
        <w:tc>
          <w:tcPr>
            <w:tcW w:w="2835" w:type="dxa"/>
            <w:vAlign w:val="center"/>
          </w:tcPr>
          <w:p w14:paraId="56BE2FA8">
            <w:pPr>
              <w:pStyle w:val="12"/>
            </w:pPr>
            <w:r>
              <w:t>按时完成率</w:t>
            </w:r>
          </w:p>
        </w:tc>
        <w:tc>
          <w:tcPr>
            <w:tcW w:w="5386" w:type="dxa"/>
            <w:vAlign w:val="center"/>
          </w:tcPr>
          <w:p w14:paraId="780F6876">
            <w:pPr>
              <w:pStyle w:val="12"/>
            </w:pPr>
            <w:r>
              <w:t>购置项目按时序进度完成比例</w:t>
            </w:r>
          </w:p>
        </w:tc>
        <w:tc>
          <w:tcPr>
            <w:tcW w:w="2268" w:type="dxa"/>
            <w:vAlign w:val="center"/>
          </w:tcPr>
          <w:p w14:paraId="4D852E10">
            <w:pPr>
              <w:pStyle w:val="12"/>
            </w:pPr>
            <w:r>
              <w:t>100%</w:t>
            </w:r>
          </w:p>
        </w:tc>
        <w:tc>
          <w:tcPr>
            <w:tcW w:w="1276" w:type="dxa"/>
            <w:vAlign w:val="center"/>
          </w:tcPr>
          <w:p w14:paraId="3C319F9A">
            <w:pPr>
              <w:pStyle w:val="12"/>
            </w:pPr>
            <w:r>
              <w:t>项目规划</w:t>
            </w:r>
          </w:p>
        </w:tc>
      </w:tr>
      <w:tr w14:paraId="01D7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6E308"/>
        </w:tc>
        <w:tc>
          <w:tcPr>
            <w:tcW w:w="2268" w:type="dxa"/>
            <w:vAlign w:val="center"/>
          </w:tcPr>
          <w:p w14:paraId="639FCACF">
            <w:pPr>
              <w:pStyle w:val="12"/>
            </w:pPr>
            <w:r>
              <w:t>成本指标</w:t>
            </w:r>
          </w:p>
        </w:tc>
        <w:tc>
          <w:tcPr>
            <w:tcW w:w="2835" w:type="dxa"/>
            <w:vAlign w:val="center"/>
          </w:tcPr>
          <w:p w14:paraId="5F8D5024">
            <w:pPr>
              <w:pStyle w:val="12"/>
            </w:pPr>
            <w:r>
              <w:t>系统安装成本</w:t>
            </w:r>
          </w:p>
        </w:tc>
        <w:tc>
          <w:tcPr>
            <w:tcW w:w="5386" w:type="dxa"/>
            <w:vAlign w:val="center"/>
          </w:tcPr>
          <w:p w14:paraId="7CE83EB9">
            <w:pPr>
              <w:pStyle w:val="12"/>
            </w:pPr>
            <w:r>
              <w:t>专用设备购置安装成本</w:t>
            </w:r>
          </w:p>
        </w:tc>
        <w:tc>
          <w:tcPr>
            <w:tcW w:w="2268" w:type="dxa"/>
            <w:vAlign w:val="center"/>
          </w:tcPr>
          <w:p w14:paraId="73E6BCC8">
            <w:pPr>
              <w:pStyle w:val="12"/>
            </w:pPr>
            <w:r>
              <w:t>82.71万元</w:t>
            </w:r>
          </w:p>
        </w:tc>
        <w:tc>
          <w:tcPr>
            <w:tcW w:w="1276" w:type="dxa"/>
            <w:vAlign w:val="center"/>
          </w:tcPr>
          <w:p w14:paraId="19E731E7">
            <w:pPr>
              <w:pStyle w:val="12"/>
            </w:pPr>
            <w:r>
              <w:t>项目规划</w:t>
            </w:r>
          </w:p>
        </w:tc>
      </w:tr>
      <w:tr w14:paraId="1FFE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47471">
            <w:pPr>
              <w:pStyle w:val="13"/>
            </w:pPr>
            <w:r>
              <w:t>效益指标</w:t>
            </w:r>
          </w:p>
        </w:tc>
        <w:tc>
          <w:tcPr>
            <w:tcW w:w="2268" w:type="dxa"/>
            <w:vAlign w:val="center"/>
          </w:tcPr>
          <w:p w14:paraId="48CAE8E3">
            <w:pPr>
              <w:pStyle w:val="12"/>
            </w:pPr>
            <w:r>
              <w:t>社会效益指标</w:t>
            </w:r>
          </w:p>
        </w:tc>
        <w:tc>
          <w:tcPr>
            <w:tcW w:w="2835" w:type="dxa"/>
            <w:vAlign w:val="center"/>
          </w:tcPr>
          <w:p w14:paraId="3C77FB54">
            <w:pPr>
              <w:pStyle w:val="12"/>
            </w:pPr>
            <w:r>
              <w:t>学校运转得到提升</w:t>
            </w:r>
          </w:p>
        </w:tc>
        <w:tc>
          <w:tcPr>
            <w:tcW w:w="5386" w:type="dxa"/>
            <w:vAlign w:val="center"/>
          </w:tcPr>
          <w:p w14:paraId="05DF7095">
            <w:pPr>
              <w:pStyle w:val="12"/>
            </w:pPr>
            <w:r>
              <w:t>幼儿受教育年限</w:t>
            </w:r>
          </w:p>
        </w:tc>
        <w:tc>
          <w:tcPr>
            <w:tcW w:w="2268" w:type="dxa"/>
            <w:vAlign w:val="center"/>
          </w:tcPr>
          <w:p w14:paraId="0CBC2436">
            <w:pPr>
              <w:pStyle w:val="12"/>
            </w:pPr>
            <w:r>
              <w:t>3年</w:t>
            </w:r>
          </w:p>
        </w:tc>
        <w:tc>
          <w:tcPr>
            <w:tcW w:w="1276" w:type="dxa"/>
            <w:vAlign w:val="center"/>
          </w:tcPr>
          <w:p w14:paraId="0FC195F6">
            <w:pPr>
              <w:pStyle w:val="12"/>
            </w:pPr>
            <w:r>
              <w:t>项目规划</w:t>
            </w:r>
          </w:p>
        </w:tc>
      </w:tr>
      <w:tr w14:paraId="214B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7A2DF">
            <w:pPr>
              <w:pStyle w:val="13"/>
            </w:pPr>
            <w:r>
              <w:t>满意度指标</w:t>
            </w:r>
          </w:p>
        </w:tc>
        <w:tc>
          <w:tcPr>
            <w:tcW w:w="2268" w:type="dxa"/>
            <w:vAlign w:val="center"/>
          </w:tcPr>
          <w:p w14:paraId="16781107">
            <w:pPr>
              <w:pStyle w:val="12"/>
            </w:pPr>
            <w:r>
              <w:t>服务对象满意度指标</w:t>
            </w:r>
          </w:p>
        </w:tc>
        <w:tc>
          <w:tcPr>
            <w:tcW w:w="2835" w:type="dxa"/>
            <w:vAlign w:val="center"/>
          </w:tcPr>
          <w:p w14:paraId="1B4AE9FE">
            <w:pPr>
              <w:pStyle w:val="12"/>
            </w:pPr>
            <w:r>
              <w:t>家长和学生满意度</w:t>
            </w:r>
          </w:p>
        </w:tc>
        <w:tc>
          <w:tcPr>
            <w:tcW w:w="5386" w:type="dxa"/>
            <w:vAlign w:val="center"/>
          </w:tcPr>
          <w:p w14:paraId="3D05F28D">
            <w:pPr>
              <w:pStyle w:val="12"/>
            </w:pPr>
            <w:r>
              <w:t>家长和学生满意度</w:t>
            </w:r>
          </w:p>
        </w:tc>
        <w:tc>
          <w:tcPr>
            <w:tcW w:w="2268" w:type="dxa"/>
            <w:vAlign w:val="center"/>
          </w:tcPr>
          <w:p w14:paraId="03B72BEF">
            <w:pPr>
              <w:pStyle w:val="12"/>
            </w:pPr>
            <w:r>
              <w:t>≥95%</w:t>
            </w:r>
          </w:p>
        </w:tc>
        <w:tc>
          <w:tcPr>
            <w:tcW w:w="1276" w:type="dxa"/>
            <w:vAlign w:val="center"/>
          </w:tcPr>
          <w:p w14:paraId="57639526">
            <w:pPr>
              <w:pStyle w:val="12"/>
            </w:pPr>
            <w:r>
              <w:t>项目规划</w:t>
            </w:r>
          </w:p>
        </w:tc>
      </w:tr>
    </w:tbl>
    <w:p w14:paraId="11284F50">
      <w:pPr>
        <w:sectPr>
          <w:pgSz w:w="16840" w:h="11900" w:orient="landscape"/>
          <w:pgMar w:top="1361" w:right="1020" w:bottom="1134" w:left="1020" w:header="720" w:footer="720" w:gutter="0"/>
          <w:cols w:space="720" w:num="1"/>
        </w:sectPr>
      </w:pPr>
    </w:p>
    <w:p w14:paraId="26F3BA04">
      <w:pPr>
        <w:spacing w:before="0" w:after="0"/>
        <w:ind w:firstLine="560"/>
        <w:jc w:val="left"/>
        <w:outlineLvl w:val="9"/>
      </w:pPr>
      <w:r>
        <w:rPr>
          <w:rFonts w:ascii="方正仿宋_GBK" w:hAnsi="方正仿宋_GBK" w:eastAsia="方正仿宋_GBK" w:cs="方正仿宋_GBK"/>
          <w:b/>
          <w:color w:val="000000"/>
          <w:sz w:val="28"/>
        </w:rPr>
        <w:t>12、冀财教[2025]122号/中央/支持学前教育发展/城关校区幼儿园校园维修改造绩效目标表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C3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90929">
            <w:pPr>
              <w:pStyle w:val="11"/>
            </w:pPr>
            <w:r>
              <w:t>单位：万元</w:t>
            </w:r>
          </w:p>
        </w:tc>
      </w:tr>
      <w:tr w14:paraId="47326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5F232">
            <w:pPr>
              <w:pStyle w:val="10"/>
            </w:pPr>
            <w:r>
              <w:t>项目编码</w:t>
            </w:r>
          </w:p>
        </w:tc>
        <w:tc>
          <w:tcPr>
            <w:tcW w:w="5103" w:type="dxa"/>
            <w:gridSpan w:val="2"/>
            <w:vAlign w:val="center"/>
          </w:tcPr>
          <w:p w14:paraId="05028D99">
            <w:pPr>
              <w:pStyle w:val="12"/>
            </w:pPr>
            <w:r>
              <w:t>13052526P00876910212N</w:t>
            </w:r>
          </w:p>
        </w:tc>
        <w:tc>
          <w:tcPr>
            <w:tcW w:w="2835" w:type="dxa"/>
            <w:vAlign w:val="center"/>
          </w:tcPr>
          <w:p w14:paraId="3A1E7346">
            <w:pPr>
              <w:pStyle w:val="10"/>
            </w:pPr>
            <w:r>
              <w:t>项目名称</w:t>
            </w:r>
          </w:p>
        </w:tc>
        <w:tc>
          <w:tcPr>
            <w:tcW w:w="6095" w:type="dxa"/>
            <w:gridSpan w:val="3"/>
            <w:vAlign w:val="center"/>
          </w:tcPr>
          <w:p w14:paraId="48AF72D4">
            <w:pPr>
              <w:pStyle w:val="12"/>
            </w:pPr>
            <w:r>
              <w:t>冀财教[2025]122号/中央/支持学前教育发展/城关校区幼儿园校园维修改造</w:t>
            </w:r>
          </w:p>
        </w:tc>
      </w:tr>
      <w:tr w14:paraId="3D278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D0CB8">
            <w:pPr>
              <w:pStyle w:val="10"/>
            </w:pPr>
            <w:r>
              <w:t>预算规模及资金用途</w:t>
            </w:r>
          </w:p>
        </w:tc>
        <w:tc>
          <w:tcPr>
            <w:tcW w:w="2268" w:type="dxa"/>
            <w:vAlign w:val="center"/>
          </w:tcPr>
          <w:p w14:paraId="4635B5F1">
            <w:pPr>
              <w:pStyle w:val="10"/>
            </w:pPr>
            <w:r>
              <w:t>预算数</w:t>
            </w:r>
          </w:p>
        </w:tc>
        <w:tc>
          <w:tcPr>
            <w:tcW w:w="2835" w:type="dxa"/>
            <w:vAlign w:val="center"/>
          </w:tcPr>
          <w:p w14:paraId="2F83EA1D">
            <w:pPr>
              <w:pStyle w:val="12"/>
            </w:pPr>
            <w:r>
              <w:t>58.00</w:t>
            </w:r>
          </w:p>
        </w:tc>
        <w:tc>
          <w:tcPr>
            <w:tcW w:w="2835" w:type="dxa"/>
            <w:vAlign w:val="center"/>
          </w:tcPr>
          <w:p w14:paraId="094F7C97">
            <w:pPr>
              <w:pStyle w:val="10"/>
            </w:pPr>
            <w:r>
              <w:t>其中：财政    资金</w:t>
            </w:r>
          </w:p>
        </w:tc>
        <w:tc>
          <w:tcPr>
            <w:tcW w:w="2551" w:type="dxa"/>
            <w:vAlign w:val="center"/>
          </w:tcPr>
          <w:p w14:paraId="4B68C17E">
            <w:pPr>
              <w:pStyle w:val="12"/>
            </w:pPr>
            <w:r>
              <w:t>58.00</w:t>
            </w:r>
          </w:p>
        </w:tc>
        <w:tc>
          <w:tcPr>
            <w:tcW w:w="2268" w:type="dxa"/>
            <w:vAlign w:val="center"/>
          </w:tcPr>
          <w:p w14:paraId="2C9EE64D">
            <w:pPr>
              <w:pStyle w:val="10"/>
            </w:pPr>
            <w:r>
              <w:t>其他资金</w:t>
            </w:r>
          </w:p>
        </w:tc>
        <w:tc>
          <w:tcPr>
            <w:tcW w:w="1276" w:type="dxa"/>
            <w:vAlign w:val="center"/>
          </w:tcPr>
          <w:p w14:paraId="052B582E">
            <w:pPr>
              <w:pStyle w:val="12"/>
            </w:pPr>
            <w:r>
              <w:t xml:space="preserve"> </w:t>
            </w:r>
          </w:p>
        </w:tc>
      </w:tr>
      <w:tr w14:paraId="357D1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277E3"/>
        </w:tc>
        <w:tc>
          <w:tcPr>
            <w:tcW w:w="14033" w:type="dxa"/>
            <w:gridSpan w:val="6"/>
            <w:vAlign w:val="center"/>
          </w:tcPr>
          <w:p w14:paraId="28F0D9B5">
            <w:pPr>
              <w:pStyle w:val="12"/>
            </w:pPr>
            <w:r>
              <w:t>改善就学条件，提升学校形象，保障学前教育阶段教学安全，创造良好的校园环境。</w:t>
            </w:r>
          </w:p>
        </w:tc>
      </w:tr>
      <w:tr w14:paraId="6171D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D2CDA">
            <w:pPr>
              <w:pStyle w:val="10"/>
            </w:pPr>
            <w:r>
              <w:t>资金支出计划（%）</w:t>
            </w:r>
          </w:p>
        </w:tc>
        <w:tc>
          <w:tcPr>
            <w:tcW w:w="5103" w:type="dxa"/>
            <w:gridSpan w:val="2"/>
            <w:vAlign w:val="center"/>
          </w:tcPr>
          <w:p w14:paraId="4988A095">
            <w:pPr>
              <w:pStyle w:val="10"/>
            </w:pPr>
            <w:r>
              <w:t>3月底</w:t>
            </w:r>
          </w:p>
        </w:tc>
        <w:tc>
          <w:tcPr>
            <w:tcW w:w="2835" w:type="dxa"/>
            <w:vAlign w:val="center"/>
          </w:tcPr>
          <w:p w14:paraId="711BE7AC">
            <w:pPr>
              <w:pStyle w:val="10"/>
            </w:pPr>
            <w:r>
              <w:t>6月底</w:t>
            </w:r>
          </w:p>
        </w:tc>
        <w:tc>
          <w:tcPr>
            <w:tcW w:w="2551" w:type="dxa"/>
            <w:vAlign w:val="center"/>
          </w:tcPr>
          <w:p w14:paraId="405C840D">
            <w:pPr>
              <w:pStyle w:val="10"/>
            </w:pPr>
            <w:r>
              <w:t>10月底</w:t>
            </w:r>
          </w:p>
        </w:tc>
        <w:tc>
          <w:tcPr>
            <w:tcW w:w="3544" w:type="dxa"/>
            <w:gridSpan w:val="2"/>
            <w:vAlign w:val="center"/>
          </w:tcPr>
          <w:p w14:paraId="4365FA9F">
            <w:pPr>
              <w:pStyle w:val="10"/>
            </w:pPr>
            <w:r>
              <w:t>12月底</w:t>
            </w:r>
          </w:p>
        </w:tc>
      </w:tr>
      <w:tr w14:paraId="5172E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08E67"/>
        </w:tc>
        <w:tc>
          <w:tcPr>
            <w:tcW w:w="5103" w:type="dxa"/>
            <w:gridSpan w:val="2"/>
            <w:vAlign w:val="center"/>
          </w:tcPr>
          <w:p w14:paraId="1BDB3DD9">
            <w:pPr>
              <w:pStyle w:val="13"/>
            </w:pPr>
            <w:r>
              <w:t xml:space="preserve"> </w:t>
            </w:r>
          </w:p>
        </w:tc>
        <w:tc>
          <w:tcPr>
            <w:tcW w:w="2835" w:type="dxa"/>
            <w:vAlign w:val="center"/>
          </w:tcPr>
          <w:p w14:paraId="04CA05C5">
            <w:pPr>
              <w:pStyle w:val="13"/>
            </w:pPr>
            <w:r>
              <w:t>100%</w:t>
            </w:r>
          </w:p>
        </w:tc>
        <w:tc>
          <w:tcPr>
            <w:tcW w:w="2551" w:type="dxa"/>
            <w:vAlign w:val="center"/>
          </w:tcPr>
          <w:p w14:paraId="4CA202BF">
            <w:pPr>
              <w:pStyle w:val="13"/>
            </w:pPr>
            <w:r>
              <w:t>100%</w:t>
            </w:r>
          </w:p>
        </w:tc>
        <w:tc>
          <w:tcPr>
            <w:tcW w:w="3544" w:type="dxa"/>
            <w:gridSpan w:val="2"/>
            <w:vAlign w:val="center"/>
          </w:tcPr>
          <w:p w14:paraId="0B96D48E">
            <w:pPr>
              <w:pStyle w:val="13"/>
            </w:pPr>
            <w:r>
              <w:t>100%</w:t>
            </w:r>
          </w:p>
        </w:tc>
      </w:tr>
      <w:tr w14:paraId="0E025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B71B7">
            <w:pPr>
              <w:pStyle w:val="10"/>
            </w:pPr>
            <w:r>
              <w:t>绩效目标</w:t>
            </w:r>
          </w:p>
        </w:tc>
        <w:tc>
          <w:tcPr>
            <w:tcW w:w="14033" w:type="dxa"/>
            <w:gridSpan w:val="6"/>
            <w:vAlign w:val="center"/>
          </w:tcPr>
          <w:p w14:paraId="73E5FE6C">
            <w:pPr>
              <w:pStyle w:val="12"/>
            </w:pPr>
            <w:r>
              <w:t>1.项目需资金58万元，资金拨付率达到100%。</w:t>
            </w:r>
          </w:p>
          <w:p w14:paraId="1200D25A">
            <w:pPr>
              <w:pStyle w:val="12"/>
            </w:pPr>
            <w:r>
              <w:t>2.改善就学条件，提升学校形象，保障学前教育阶段教学安全，创造良好的校园环境。</w:t>
            </w:r>
          </w:p>
        </w:tc>
      </w:tr>
    </w:tbl>
    <w:p w14:paraId="5B7E9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D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08697">
            <w:pPr>
              <w:pStyle w:val="10"/>
            </w:pPr>
            <w:r>
              <w:t>一级指标</w:t>
            </w:r>
          </w:p>
        </w:tc>
        <w:tc>
          <w:tcPr>
            <w:tcW w:w="2268" w:type="dxa"/>
            <w:vAlign w:val="center"/>
          </w:tcPr>
          <w:p w14:paraId="3D9D8C67">
            <w:pPr>
              <w:pStyle w:val="10"/>
            </w:pPr>
            <w:r>
              <w:t>二级指标</w:t>
            </w:r>
          </w:p>
        </w:tc>
        <w:tc>
          <w:tcPr>
            <w:tcW w:w="2835" w:type="dxa"/>
            <w:vAlign w:val="center"/>
          </w:tcPr>
          <w:p w14:paraId="0BB39C2C">
            <w:pPr>
              <w:pStyle w:val="10"/>
            </w:pPr>
            <w:r>
              <w:t>三级指标</w:t>
            </w:r>
          </w:p>
        </w:tc>
        <w:tc>
          <w:tcPr>
            <w:tcW w:w="5386" w:type="dxa"/>
            <w:vAlign w:val="center"/>
          </w:tcPr>
          <w:p w14:paraId="62F365FD">
            <w:pPr>
              <w:pStyle w:val="10"/>
            </w:pPr>
            <w:r>
              <w:t>绩效指标描述</w:t>
            </w:r>
          </w:p>
        </w:tc>
        <w:tc>
          <w:tcPr>
            <w:tcW w:w="2268" w:type="dxa"/>
            <w:vAlign w:val="center"/>
          </w:tcPr>
          <w:p w14:paraId="7D75DB0E">
            <w:pPr>
              <w:pStyle w:val="10"/>
            </w:pPr>
            <w:r>
              <w:t>指标值</w:t>
            </w:r>
          </w:p>
        </w:tc>
        <w:tc>
          <w:tcPr>
            <w:tcW w:w="1276" w:type="dxa"/>
            <w:vAlign w:val="center"/>
          </w:tcPr>
          <w:p w14:paraId="79FA4F45">
            <w:pPr>
              <w:pStyle w:val="10"/>
            </w:pPr>
            <w:r>
              <w:t>指标值确定依据</w:t>
            </w:r>
          </w:p>
        </w:tc>
      </w:tr>
      <w:tr w14:paraId="56BB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E9492">
            <w:pPr>
              <w:pStyle w:val="13"/>
            </w:pPr>
            <w:r>
              <w:t>产出指标</w:t>
            </w:r>
          </w:p>
        </w:tc>
        <w:tc>
          <w:tcPr>
            <w:tcW w:w="2268" w:type="dxa"/>
            <w:vAlign w:val="center"/>
          </w:tcPr>
          <w:p w14:paraId="193E0DA4">
            <w:pPr>
              <w:pStyle w:val="12"/>
            </w:pPr>
            <w:r>
              <w:t>数量指标</w:t>
            </w:r>
          </w:p>
        </w:tc>
        <w:tc>
          <w:tcPr>
            <w:tcW w:w="2835" w:type="dxa"/>
            <w:vAlign w:val="center"/>
          </w:tcPr>
          <w:p w14:paraId="3A5CBC03">
            <w:pPr>
              <w:pStyle w:val="12"/>
            </w:pPr>
            <w:r>
              <w:t>各幼儿园维修改造</w:t>
            </w:r>
          </w:p>
        </w:tc>
        <w:tc>
          <w:tcPr>
            <w:tcW w:w="5386" w:type="dxa"/>
            <w:vAlign w:val="center"/>
          </w:tcPr>
          <w:p w14:paraId="5F9CDEE9">
            <w:pPr>
              <w:pStyle w:val="12"/>
            </w:pPr>
            <w:r>
              <w:t>门窗、线路、监控、院落硬化、教学楼维修等</w:t>
            </w:r>
          </w:p>
        </w:tc>
        <w:tc>
          <w:tcPr>
            <w:tcW w:w="2268" w:type="dxa"/>
            <w:vAlign w:val="center"/>
          </w:tcPr>
          <w:p w14:paraId="72EEB965">
            <w:pPr>
              <w:pStyle w:val="12"/>
            </w:pPr>
            <w:r>
              <w:t>≥9项</w:t>
            </w:r>
          </w:p>
        </w:tc>
        <w:tc>
          <w:tcPr>
            <w:tcW w:w="1276" w:type="dxa"/>
            <w:vAlign w:val="center"/>
          </w:tcPr>
          <w:p w14:paraId="61088ED7">
            <w:pPr>
              <w:pStyle w:val="12"/>
            </w:pPr>
            <w:r>
              <w:t>项目规划</w:t>
            </w:r>
          </w:p>
        </w:tc>
      </w:tr>
      <w:tr w14:paraId="6A06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3663"/>
        </w:tc>
        <w:tc>
          <w:tcPr>
            <w:tcW w:w="2268" w:type="dxa"/>
            <w:vAlign w:val="center"/>
          </w:tcPr>
          <w:p w14:paraId="37581155">
            <w:pPr>
              <w:pStyle w:val="12"/>
            </w:pPr>
            <w:r>
              <w:t>质量指标</w:t>
            </w:r>
          </w:p>
        </w:tc>
        <w:tc>
          <w:tcPr>
            <w:tcW w:w="2835" w:type="dxa"/>
            <w:vAlign w:val="center"/>
          </w:tcPr>
          <w:p w14:paraId="08A77441">
            <w:pPr>
              <w:pStyle w:val="12"/>
            </w:pPr>
            <w:r>
              <w:t>工程实施验收合格率</w:t>
            </w:r>
          </w:p>
        </w:tc>
        <w:tc>
          <w:tcPr>
            <w:tcW w:w="5386" w:type="dxa"/>
            <w:vAlign w:val="center"/>
          </w:tcPr>
          <w:p w14:paraId="5FC8DF52">
            <w:pPr>
              <w:pStyle w:val="12"/>
            </w:pPr>
            <w:r>
              <w:t>申报程序的合规，项目实施及资金使用符合项目规划</w:t>
            </w:r>
          </w:p>
        </w:tc>
        <w:tc>
          <w:tcPr>
            <w:tcW w:w="2268" w:type="dxa"/>
            <w:vAlign w:val="center"/>
          </w:tcPr>
          <w:p w14:paraId="042287D7">
            <w:pPr>
              <w:pStyle w:val="12"/>
            </w:pPr>
            <w:r>
              <w:t>100%</w:t>
            </w:r>
          </w:p>
        </w:tc>
        <w:tc>
          <w:tcPr>
            <w:tcW w:w="1276" w:type="dxa"/>
            <w:vAlign w:val="center"/>
          </w:tcPr>
          <w:p w14:paraId="7087CCD0">
            <w:pPr>
              <w:pStyle w:val="12"/>
            </w:pPr>
            <w:r>
              <w:t>项目规划</w:t>
            </w:r>
          </w:p>
        </w:tc>
      </w:tr>
      <w:tr w14:paraId="4408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2C486"/>
        </w:tc>
        <w:tc>
          <w:tcPr>
            <w:tcW w:w="2268" w:type="dxa"/>
            <w:vAlign w:val="center"/>
          </w:tcPr>
          <w:p w14:paraId="645F9BAB">
            <w:pPr>
              <w:pStyle w:val="12"/>
            </w:pPr>
            <w:r>
              <w:t>时效指标</w:t>
            </w:r>
          </w:p>
        </w:tc>
        <w:tc>
          <w:tcPr>
            <w:tcW w:w="2835" w:type="dxa"/>
            <w:vAlign w:val="center"/>
          </w:tcPr>
          <w:p w14:paraId="6B3FE9C7">
            <w:pPr>
              <w:pStyle w:val="12"/>
            </w:pPr>
            <w:r>
              <w:t>资金支付率</w:t>
            </w:r>
          </w:p>
        </w:tc>
        <w:tc>
          <w:tcPr>
            <w:tcW w:w="5386" w:type="dxa"/>
            <w:vAlign w:val="center"/>
          </w:tcPr>
          <w:p w14:paraId="4783FB72">
            <w:pPr>
              <w:pStyle w:val="12"/>
            </w:pPr>
            <w:r>
              <w:t>按照序时进度完成资金支付</w:t>
            </w:r>
          </w:p>
        </w:tc>
        <w:tc>
          <w:tcPr>
            <w:tcW w:w="2268" w:type="dxa"/>
            <w:vAlign w:val="center"/>
          </w:tcPr>
          <w:p w14:paraId="118630FB">
            <w:pPr>
              <w:pStyle w:val="12"/>
            </w:pPr>
            <w:r>
              <w:t>100%</w:t>
            </w:r>
          </w:p>
        </w:tc>
        <w:tc>
          <w:tcPr>
            <w:tcW w:w="1276" w:type="dxa"/>
            <w:vAlign w:val="center"/>
          </w:tcPr>
          <w:p w14:paraId="14E19EA8">
            <w:pPr>
              <w:pStyle w:val="12"/>
            </w:pPr>
            <w:r>
              <w:t>项目规划</w:t>
            </w:r>
          </w:p>
        </w:tc>
      </w:tr>
      <w:tr w14:paraId="35336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06C3B"/>
        </w:tc>
        <w:tc>
          <w:tcPr>
            <w:tcW w:w="2268" w:type="dxa"/>
            <w:vAlign w:val="center"/>
          </w:tcPr>
          <w:p w14:paraId="3330625F">
            <w:pPr>
              <w:pStyle w:val="12"/>
            </w:pPr>
            <w:r>
              <w:t>成本指标</w:t>
            </w:r>
          </w:p>
        </w:tc>
        <w:tc>
          <w:tcPr>
            <w:tcW w:w="2835" w:type="dxa"/>
            <w:vAlign w:val="center"/>
          </w:tcPr>
          <w:p w14:paraId="2323CA31">
            <w:pPr>
              <w:pStyle w:val="12"/>
            </w:pPr>
            <w:r>
              <w:t>项目成本控制情况</w:t>
            </w:r>
          </w:p>
        </w:tc>
        <w:tc>
          <w:tcPr>
            <w:tcW w:w="5386" w:type="dxa"/>
            <w:vAlign w:val="center"/>
          </w:tcPr>
          <w:p w14:paraId="7D1CA162">
            <w:pPr>
              <w:pStyle w:val="12"/>
            </w:pPr>
            <w:r>
              <w:t>严格按照招标价格及审计额进行</w:t>
            </w:r>
          </w:p>
        </w:tc>
        <w:tc>
          <w:tcPr>
            <w:tcW w:w="2268" w:type="dxa"/>
            <w:vAlign w:val="center"/>
          </w:tcPr>
          <w:p w14:paraId="56197B7E">
            <w:pPr>
              <w:pStyle w:val="12"/>
            </w:pPr>
            <w:r>
              <w:t>58万元</w:t>
            </w:r>
          </w:p>
        </w:tc>
        <w:tc>
          <w:tcPr>
            <w:tcW w:w="1276" w:type="dxa"/>
            <w:vAlign w:val="center"/>
          </w:tcPr>
          <w:p w14:paraId="18D389E9">
            <w:pPr>
              <w:pStyle w:val="12"/>
            </w:pPr>
            <w:r>
              <w:t>项目规划</w:t>
            </w:r>
          </w:p>
        </w:tc>
      </w:tr>
      <w:tr w14:paraId="1491A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6B37A">
            <w:pPr>
              <w:pStyle w:val="13"/>
            </w:pPr>
            <w:r>
              <w:t>效益指标</w:t>
            </w:r>
          </w:p>
        </w:tc>
        <w:tc>
          <w:tcPr>
            <w:tcW w:w="2268" w:type="dxa"/>
            <w:vAlign w:val="center"/>
          </w:tcPr>
          <w:p w14:paraId="728FD44F">
            <w:pPr>
              <w:pStyle w:val="12"/>
            </w:pPr>
            <w:r>
              <w:t>社会效益指标</w:t>
            </w:r>
          </w:p>
        </w:tc>
        <w:tc>
          <w:tcPr>
            <w:tcW w:w="2835" w:type="dxa"/>
            <w:vAlign w:val="center"/>
          </w:tcPr>
          <w:p w14:paraId="79035558">
            <w:pPr>
              <w:pStyle w:val="12"/>
            </w:pPr>
            <w:r>
              <w:t>学校办学环境提升</w:t>
            </w:r>
          </w:p>
        </w:tc>
        <w:tc>
          <w:tcPr>
            <w:tcW w:w="5386" w:type="dxa"/>
            <w:vAlign w:val="center"/>
          </w:tcPr>
          <w:p w14:paraId="5C575D15">
            <w:pPr>
              <w:pStyle w:val="12"/>
            </w:pPr>
            <w:r>
              <w:t>学校教学环境提升优化率</w:t>
            </w:r>
          </w:p>
        </w:tc>
        <w:tc>
          <w:tcPr>
            <w:tcW w:w="2268" w:type="dxa"/>
            <w:vAlign w:val="center"/>
          </w:tcPr>
          <w:p w14:paraId="39518112">
            <w:pPr>
              <w:pStyle w:val="12"/>
            </w:pPr>
            <w:r>
              <w:t>100%</w:t>
            </w:r>
          </w:p>
        </w:tc>
        <w:tc>
          <w:tcPr>
            <w:tcW w:w="1276" w:type="dxa"/>
            <w:vAlign w:val="center"/>
          </w:tcPr>
          <w:p w14:paraId="713963AA">
            <w:pPr>
              <w:pStyle w:val="12"/>
            </w:pPr>
            <w:r>
              <w:t>项目规划</w:t>
            </w:r>
          </w:p>
        </w:tc>
      </w:tr>
      <w:tr w14:paraId="0430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DDE2B">
            <w:pPr>
              <w:pStyle w:val="13"/>
            </w:pPr>
            <w:r>
              <w:t>满意度指标</w:t>
            </w:r>
          </w:p>
        </w:tc>
        <w:tc>
          <w:tcPr>
            <w:tcW w:w="2268" w:type="dxa"/>
            <w:vAlign w:val="center"/>
          </w:tcPr>
          <w:p w14:paraId="5AF2755F">
            <w:pPr>
              <w:pStyle w:val="12"/>
            </w:pPr>
            <w:r>
              <w:t>服务对象满意度指标</w:t>
            </w:r>
          </w:p>
        </w:tc>
        <w:tc>
          <w:tcPr>
            <w:tcW w:w="2835" w:type="dxa"/>
            <w:vAlign w:val="center"/>
          </w:tcPr>
          <w:p w14:paraId="65B4B322">
            <w:pPr>
              <w:pStyle w:val="12"/>
            </w:pPr>
            <w:r>
              <w:t>受益学生家长及调查满意度</w:t>
            </w:r>
          </w:p>
        </w:tc>
        <w:tc>
          <w:tcPr>
            <w:tcW w:w="5386" w:type="dxa"/>
            <w:vAlign w:val="center"/>
          </w:tcPr>
          <w:p w14:paraId="412BCB37">
            <w:pPr>
              <w:pStyle w:val="12"/>
            </w:pPr>
            <w:r>
              <w:t>学生、教师及家长对学校教学环境满意度情况</w:t>
            </w:r>
          </w:p>
        </w:tc>
        <w:tc>
          <w:tcPr>
            <w:tcW w:w="2268" w:type="dxa"/>
            <w:vAlign w:val="center"/>
          </w:tcPr>
          <w:p w14:paraId="28CE4994">
            <w:pPr>
              <w:pStyle w:val="12"/>
            </w:pPr>
            <w:r>
              <w:t>≥95%</w:t>
            </w:r>
          </w:p>
        </w:tc>
        <w:tc>
          <w:tcPr>
            <w:tcW w:w="1276" w:type="dxa"/>
            <w:vAlign w:val="center"/>
          </w:tcPr>
          <w:p w14:paraId="4D0C4B7F">
            <w:pPr>
              <w:pStyle w:val="12"/>
            </w:pPr>
            <w:r>
              <w:t>项目规划</w:t>
            </w:r>
          </w:p>
        </w:tc>
      </w:tr>
    </w:tbl>
    <w:p w14:paraId="6F72E4DE">
      <w:pPr>
        <w:sectPr>
          <w:pgSz w:w="16840" w:h="11900" w:orient="landscape"/>
          <w:pgMar w:top="1361" w:right="1020" w:bottom="1134" w:left="1020" w:header="720" w:footer="720" w:gutter="0"/>
          <w:cols w:space="720" w:num="1"/>
        </w:sectPr>
      </w:pPr>
    </w:p>
    <w:p w14:paraId="4F7E33D0">
      <w:pPr>
        <w:spacing w:before="0" w:after="0"/>
        <w:ind w:firstLine="560"/>
        <w:jc w:val="left"/>
        <w:outlineLvl w:val="9"/>
      </w:pPr>
      <w:r>
        <w:rPr>
          <w:rFonts w:ascii="方正仿宋_GBK" w:hAnsi="方正仿宋_GBK" w:eastAsia="方正仿宋_GBK" w:cs="方正仿宋_GBK"/>
          <w:b/>
          <w:color w:val="000000"/>
          <w:sz w:val="28"/>
        </w:rPr>
        <w:t>13、冀财教[2025]145号/省级/2026年薄弱学校改造/柳行小学食堂建设绩效目标表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21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34A12">
            <w:pPr>
              <w:pStyle w:val="11"/>
            </w:pPr>
            <w:r>
              <w:t>单位：万元</w:t>
            </w:r>
          </w:p>
        </w:tc>
      </w:tr>
      <w:tr w14:paraId="2A2CA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EAA36">
            <w:pPr>
              <w:pStyle w:val="10"/>
            </w:pPr>
            <w:r>
              <w:t>项目编码</w:t>
            </w:r>
          </w:p>
        </w:tc>
        <w:tc>
          <w:tcPr>
            <w:tcW w:w="5103" w:type="dxa"/>
            <w:gridSpan w:val="2"/>
            <w:vAlign w:val="center"/>
          </w:tcPr>
          <w:p w14:paraId="3050B5D0">
            <w:pPr>
              <w:pStyle w:val="12"/>
            </w:pPr>
            <w:r>
              <w:t>13052526P00877010025Y</w:t>
            </w:r>
          </w:p>
        </w:tc>
        <w:tc>
          <w:tcPr>
            <w:tcW w:w="2835" w:type="dxa"/>
            <w:vAlign w:val="center"/>
          </w:tcPr>
          <w:p w14:paraId="06A43D04">
            <w:pPr>
              <w:pStyle w:val="10"/>
            </w:pPr>
            <w:r>
              <w:t>项目名称</w:t>
            </w:r>
          </w:p>
        </w:tc>
        <w:tc>
          <w:tcPr>
            <w:tcW w:w="6095" w:type="dxa"/>
            <w:gridSpan w:val="3"/>
            <w:vAlign w:val="center"/>
          </w:tcPr>
          <w:p w14:paraId="7B5FCB2B">
            <w:pPr>
              <w:pStyle w:val="12"/>
            </w:pPr>
            <w:r>
              <w:t>冀财教[2025]145号/省级/2026年薄弱学校改造/柳行小学食堂建设</w:t>
            </w:r>
          </w:p>
        </w:tc>
      </w:tr>
      <w:tr w14:paraId="0ADF7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F7A7B">
            <w:pPr>
              <w:pStyle w:val="10"/>
            </w:pPr>
            <w:r>
              <w:t>预算规模及资金用途</w:t>
            </w:r>
          </w:p>
        </w:tc>
        <w:tc>
          <w:tcPr>
            <w:tcW w:w="2268" w:type="dxa"/>
            <w:vAlign w:val="center"/>
          </w:tcPr>
          <w:p w14:paraId="496AC1C7">
            <w:pPr>
              <w:pStyle w:val="10"/>
            </w:pPr>
            <w:r>
              <w:t>预算数</w:t>
            </w:r>
          </w:p>
        </w:tc>
        <w:tc>
          <w:tcPr>
            <w:tcW w:w="2835" w:type="dxa"/>
            <w:vAlign w:val="center"/>
          </w:tcPr>
          <w:p w14:paraId="2DA9D0F8">
            <w:pPr>
              <w:pStyle w:val="12"/>
            </w:pPr>
            <w:r>
              <w:t>35.00</w:t>
            </w:r>
          </w:p>
        </w:tc>
        <w:tc>
          <w:tcPr>
            <w:tcW w:w="2835" w:type="dxa"/>
            <w:vAlign w:val="center"/>
          </w:tcPr>
          <w:p w14:paraId="24D88D2E">
            <w:pPr>
              <w:pStyle w:val="10"/>
            </w:pPr>
            <w:r>
              <w:t>其中：财政    资金</w:t>
            </w:r>
          </w:p>
        </w:tc>
        <w:tc>
          <w:tcPr>
            <w:tcW w:w="2551" w:type="dxa"/>
            <w:vAlign w:val="center"/>
          </w:tcPr>
          <w:p w14:paraId="7C92CD42">
            <w:pPr>
              <w:pStyle w:val="12"/>
            </w:pPr>
            <w:r>
              <w:t>35.00</w:t>
            </w:r>
          </w:p>
        </w:tc>
        <w:tc>
          <w:tcPr>
            <w:tcW w:w="2268" w:type="dxa"/>
            <w:vAlign w:val="center"/>
          </w:tcPr>
          <w:p w14:paraId="1D9C4D57">
            <w:pPr>
              <w:pStyle w:val="10"/>
            </w:pPr>
            <w:r>
              <w:t>其他资金</w:t>
            </w:r>
          </w:p>
        </w:tc>
        <w:tc>
          <w:tcPr>
            <w:tcW w:w="1276" w:type="dxa"/>
            <w:vAlign w:val="center"/>
          </w:tcPr>
          <w:p w14:paraId="69465F8F">
            <w:pPr>
              <w:pStyle w:val="12"/>
            </w:pPr>
            <w:r>
              <w:t xml:space="preserve"> </w:t>
            </w:r>
          </w:p>
        </w:tc>
      </w:tr>
      <w:tr w14:paraId="4660F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C6810"/>
        </w:tc>
        <w:tc>
          <w:tcPr>
            <w:tcW w:w="14033" w:type="dxa"/>
            <w:gridSpan w:val="6"/>
            <w:vAlign w:val="center"/>
          </w:tcPr>
          <w:p w14:paraId="7DC75AEE">
            <w:pPr>
              <w:pStyle w:val="12"/>
            </w:pPr>
            <w:r>
              <w:t>改善义务教育办学条件，进一步提升教育教学办学质量，柳行小学食堂建设项目资金350000元，资金拨付率达100%</w:t>
            </w:r>
          </w:p>
        </w:tc>
      </w:tr>
      <w:tr w14:paraId="5F285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04C6E">
            <w:pPr>
              <w:pStyle w:val="10"/>
            </w:pPr>
            <w:r>
              <w:t>资金支出计划（%）</w:t>
            </w:r>
          </w:p>
        </w:tc>
        <w:tc>
          <w:tcPr>
            <w:tcW w:w="5103" w:type="dxa"/>
            <w:gridSpan w:val="2"/>
            <w:vAlign w:val="center"/>
          </w:tcPr>
          <w:p w14:paraId="662065C2">
            <w:pPr>
              <w:pStyle w:val="10"/>
            </w:pPr>
            <w:r>
              <w:t>3月底</w:t>
            </w:r>
          </w:p>
        </w:tc>
        <w:tc>
          <w:tcPr>
            <w:tcW w:w="2835" w:type="dxa"/>
            <w:vAlign w:val="center"/>
          </w:tcPr>
          <w:p w14:paraId="5C428CBA">
            <w:pPr>
              <w:pStyle w:val="10"/>
            </w:pPr>
            <w:r>
              <w:t>6月底</w:t>
            </w:r>
          </w:p>
        </w:tc>
        <w:tc>
          <w:tcPr>
            <w:tcW w:w="2551" w:type="dxa"/>
            <w:vAlign w:val="center"/>
          </w:tcPr>
          <w:p w14:paraId="35DF491D">
            <w:pPr>
              <w:pStyle w:val="10"/>
            </w:pPr>
            <w:r>
              <w:t>10月底</w:t>
            </w:r>
          </w:p>
        </w:tc>
        <w:tc>
          <w:tcPr>
            <w:tcW w:w="3544" w:type="dxa"/>
            <w:gridSpan w:val="2"/>
            <w:vAlign w:val="center"/>
          </w:tcPr>
          <w:p w14:paraId="14384DDD">
            <w:pPr>
              <w:pStyle w:val="10"/>
            </w:pPr>
            <w:r>
              <w:t>12月底</w:t>
            </w:r>
          </w:p>
        </w:tc>
      </w:tr>
      <w:tr w14:paraId="4C5CF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0575C"/>
        </w:tc>
        <w:tc>
          <w:tcPr>
            <w:tcW w:w="5103" w:type="dxa"/>
            <w:gridSpan w:val="2"/>
            <w:vAlign w:val="center"/>
          </w:tcPr>
          <w:p w14:paraId="5A489933">
            <w:pPr>
              <w:pStyle w:val="13"/>
            </w:pPr>
            <w:r>
              <w:t xml:space="preserve"> </w:t>
            </w:r>
          </w:p>
        </w:tc>
        <w:tc>
          <w:tcPr>
            <w:tcW w:w="2835" w:type="dxa"/>
            <w:vAlign w:val="center"/>
          </w:tcPr>
          <w:p w14:paraId="39642C44">
            <w:pPr>
              <w:pStyle w:val="13"/>
            </w:pPr>
            <w:r>
              <w:t>100%</w:t>
            </w:r>
          </w:p>
        </w:tc>
        <w:tc>
          <w:tcPr>
            <w:tcW w:w="2551" w:type="dxa"/>
            <w:vAlign w:val="center"/>
          </w:tcPr>
          <w:p w14:paraId="0E90EB63">
            <w:pPr>
              <w:pStyle w:val="13"/>
            </w:pPr>
            <w:r>
              <w:t>100%</w:t>
            </w:r>
          </w:p>
        </w:tc>
        <w:tc>
          <w:tcPr>
            <w:tcW w:w="3544" w:type="dxa"/>
            <w:gridSpan w:val="2"/>
            <w:vAlign w:val="center"/>
          </w:tcPr>
          <w:p w14:paraId="0CD1439E">
            <w:pPr>
              <w:pStyle w:val="13"/>
            </w:pPr>
            <w:r>
              <w:t>100%</w:t>
            </w:r>
          </w:p>
        </w:tc>
      </w:tr>
      <w:tr w14:paraId="05970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C990E">
            <w:pPr>
              <w:pStyle w:val="10"/>
            </w:pPr>
            <w:r>
              <w:t>绩效目标</w:t>
            </w:r>
          </w:p>
        </w:tc>
        <w:tc>
          <w:tcPr>
            <w:tcW w:w="14033" w:type="dxa"/>
            <w:gridSpan w:val="6"/>
            <w:vAlign w:val="center"/>
          </w:tcPr>
          <w:p w14:paraId="7DF3111B">
            <w:pPr>
              <w:pStyle w:val="12"/>
            </w:pPr>
            <w:r>
              <w:t>1.改善义务教育办学条件，进一步提升教育教学办学质量</w:t>
            </w:r>
          </w:p>
          <w:p w14:paraId="2FAB5CB1">
            <w:pPr>
              <w:pStyle w:val="12"/>
            </w:pPr>
            <w:r>
              <w:t>2.柳行小学食堂建设项目资金350000元，资金拨付率达100%</w:t>
            </w:r>
          </w:p>
        </w:tc>
      </w:tr>
    </w:tbl>
    <w:p w14:paraId="50223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2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356B0">
            <w:pPr>
              <w:pStyle w:val="10"/>
            </w:pPr>
            <w:r>
              <w:t>一级指标</w:t>
            </w:r>
          </w:p>
        </w:tc>
        <w:tc>
          <w:tcPr>
            <w:tcW w:w="2268" w:type="dxa"/>
            <w:vAlign w:val="center"/>
          </w:tcPr>
          <w:p w14:paraId="717464BC">
            <w:pPr>
              <w:pStyle w:val="10"/>
            </w:pPr>
            <w:r>
              <w:t>二级指标</w:t>
            </w:r>
          </w:p>
        </w:tc>
        <w:tc>
          <w:tcPr>
            <w:tcW w:w="2835" w:type="dxa"/>
            <w:vAlign w:val="center"/>
          </w:tcPr>
          <w:p w14:paraId="1C610DC6">
            <w:pPr>
              <w:pStyle w:val="10"/>
            </w:pPr>
            <w:r>
              <w:t>三级指标</w:t>
            </w:r>
          </w:p>
        </w:tc>
        <w:tc>
          <w:tcPr>
            <w:tcW w:w="5386" w:type="dxa"/>
            <w:vAlign w:val="center"/>
          </w:tcPr>
          <w:p w14:paraId="0E42F4D8">
            <w:pPr>
              <w:pStyle w:val="10"/>
            </w:pPr>
            <w:r>
              <w:t>绩效指标描述</w:t>
            </w:r>
          </w:p>
        </w:tc>
        <w:tc>
          <w:tcPr>
            <w:tcW w:w="2268" w:type="dxa"/>
            <w:vAlign w:val="center"/>
          </w:tcPr>
          <w:p w14:paraId="2AB41C6C">
            <w:pPr>
              <w:pStyle w:val="10"/>
            </w:pPr>
            <w:r>
              <w:t>指标值</w:t>
            </w:r>
          </w:p>
        </w:tc>
        <w:tc>
          <w:tcPr>
            <w:tcW w:w="1276" w:type="dxa"/>
            <w:vAlign w:val="center"/>
          </w:tcPr>
          <w:p w14:paraId="29092E45">
            <w:pPr>
              <w:pStyle w:val="10"/>
            </w:pPr>
            <w:r>
              <w:t>指标值确定依据</w:t>
            </w:r>
          </w:p>
        </w:tc>
      </w:tr>
      <w:tr w14:paraId="42BF8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55CCE">
            <w:pPr>
              <w:pStyle w:val="13"/>
            </w:pPr>
            <w:r>
              <w:t>产出指标</w:t>
            </w:r>
          </w:p>
        </w:tc>
        <w:tc>
          <w:tcPr>
            <w:tcW w:w="2268" w:type="dxa"/>
            <w:vAlign w:val="center"/>
          </w:tcPr>
          <w:p w14:paraId="50E01239">
            <w:pPr>
              <w:pStyle w:val="12"/>
            </w:pPr>
            <w:r>
              <w:t>数量指标</w:t>
            </w:r>
          </w:p>
        </w:tc>
        <w:tc>
          <w:tcPr>
            <w:tcW w:w="2835" w:type="dxa"/>
            <w:vAlign w:val="center"/>
          </w:tcPr>
          <w:p w14:paraId="19974F65">
            <w:pPr>
              <w:pStyle w:val="12"/>
            </w:pPr>
            <w:r>
              <w:t>食堂建设</w:t>
            </w:r>
          </w:p>
        </w:tc>
        <w:tc>
          <w:tcPr>
            <w:tcW w:w="5386" w:type="dxa"/>
            <w:vAlign w:val="center"/>
          </w:tcPr>
          <w:p w14:paraId="256D632B">
            <w:pPr>
              <w:pStyle w:val="12"/>
            </w:pPr>
            <w:r>
              <w:t>新建食堂</w:t>
            </w:r>
          </w:p>
        </w:tc>
        <w:tc>
          <w:tcPr>
            <w:tcW w:w="2268" w:type="dxa"/>
            <w:vAlign w:val="center"/>
          </w:tcPr>
          <w:p w14:paraId="65BE77A0">
            <w:pPr>
              <w:pStyle w:val="12"/>
            </w:pPr>
            <w:r>
              <w:t>≥207平方米</w:t>
            </w:r>
          </w:p>
        </w:tc>
        <w:tc>
          <w:tcPr>
            <w:tcW w:w="1276" w:type="dxa"/>
            <w:vAlign w:val="center"/>
          </w:tcPr>
          <w:p w14:paraId="5DF34F32">
            <w:pPr>
              <w:pStyle w:val="12"/>
            </w:pPr>
            <w:r>
              <w:t>项目规划</w:t>
            </w:r>
          </w:p>
        </w:tc>
      </w:tr>
      <w:tr w14:paraId="35A2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5046B"/>
        </w:tc>
        <w:tc>
          <w:tcPr>
            <w:tcW w:w="2268" w:type="dxa"/>
            <w:vAlign w:val="center"/>
          </w:tcPr>
          <w:p w14:paraId="28D383DE">
            <w:pPr>
              <w:pStyle w:val="12"/>
            </w:pPr>
            <w:r>
              <w:t>质量指标</w:t>
            </w:r>
          </w:p>
        </w:tc>
        <w:tc>
          <w:tcPr>
            <w:tcW w:w="2835" w:type="dxa"/>
            <w:vAlign w:val="center"/>
          </w:tcPr>
          <w:p w14:paraId="5D01C188">
            <w:pPr>
              <w:pStyle w:val="12"/>
            </w:pPr>
            <w:r>
              <w:t>工程实施验收合格率</w:t>
            </w:r>
          </w:p>
        </w:tc>
        <w:tc>
          <w:tcPr>
            <w:tcW w:w="5386" w:type="dxa"/>
            <w:vAlign w:val="center"/>
          </w:tcPr>
          <w:p w14:paraId="2415D37C">
            <w:pPr>
              <w:pStyle w:val="12"/>
            </w:pPr>
            <w:r>
              <w:t>申报程序的合规，项目实施及资金使用符合项目规划</w:t>
            </w:r>
          </w:p>
        </w:tc>
        <w:tc>
          <w:tcPr>
            <w:tcW w:w="2268" w:type="dxa"/>
            <w:vAlign w:val="center"/>
          </w:tcPr>
          <w:p w14:paraId="71A8B82A">
            <w:pPr>
              <w:pStyle w:val="12"/>
            </w:pPr>
            <w:r>
              <w:t>100%</w:t>
            </w:r>
          </w:p>
        </w:tc>
        <w:tc>
          <w:tcPr>
            <w:tcW w:w="1276" w:type="dxa"/>
            <w:vAlign w:val="center"/>
          </w:tcPr>
          <w:p w14:paraId="33CDE7E6">
            <w:pPr>
              <w:pStyle w:val="12"/>
            </w:pPr>
            <w:r>
              <w:t>项目规划</w:t>
            </w:r>
          </w:p>
        </w:tc>
      </w:tr>
      <w:tr w14:paraId="038D2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249F0"/>
        </w:tc>
        <w:tc>
          <w:tcPr>
            <w:tcW w:w="2268" w:type="dxa"/>
            <w:vAlign w:val="center"/>
          </w:tcPr>
          <w:p w14:paraId="34EDD50A">
            <w:pPr>
              <w:pStyle w:val="12"/>
            </w:pPr>
            <w:r>
              <w:t>时效指标</w:t>
            </w:r>
          </w:p>
        </w:tc>
        <w:tc>
          <w:tcPr>
            <w:tcW w:w="2835" w:type="dxa"/>
            <w:vAlign w:val="center"/>
          </w:tcPr>
          <w:p w14:paraId="19F0EE19">
            <w:pPr>
              <w:pStyle w:val="12"/>
            </w:pPr>
            <w:r>
              <w:t>资金支付率</w:t>
            </w:r>
          </w:p>
        </w:tc>
        <w:tc>
          <w:tcPr>
            <w:tcW w:w="5386" w:type="dxa"/>
            <w:vAlign w:val="center"/>
          </w:tcPr>
          <w:p w14:paraId="5442DD0E">
            <w:pPr>
              <w:pStyle w:val="12"/>
            </w:pPr>
            <w:r>
              <w:t>按照序时进度完成资金支付</w:t>
            </w:r>
          </w:p>
        </w:tc>
        <w:tc>
          <w:tcPr>
            <w:tcW w:w="2268" w:type="dxa"/>
            <w:vAlign w:val="center"/>
          </w:tcPr>
          <w:p w14:paraId="5F1DF554">
            <w:pPr>
              <w:pStyle w:val="12"/>
            </w:pPr>
            <w:r>
              <w:t>100%</w:t>
            </w:r>
          </w:p>
        </w:tc>
        <w:tc>
          <w:tcPr>
            <w:tcW w:w="1276" w:type="dxa"/>
            <w:vAlign w:val="center"/>
          </w:tcPr>
          <w:p w14:paraId="7B544662">
            <w:pPr>
              <w:pStyle w:val="12"/>
            </w:pPr>
            <w:r>
              <w:t>项目规划</w:t>
            </w:r>
          </w:p>
        </w:tc>
      </w:tr>
      <w:tr w14:paraId="6241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21C2C"/>
        </w:tc>
        <w:tc>
          <w:tcPr>
            <w:tcW w:w="2268" w:type="dxa"/>
            <w:vAlign w:val="center"/>
          </w:tcPr>
          <w:p w14:paraId="0EC663EF">
            <w:pPr>
              <w:pStyle w:val="12"/>
            </w:pPr>
            <w:r>
              <w:t>成本指标</w:t>
            </w:r>
          </w:p>
        </w:tc>
        <w:tc>
          <w:tcPr>
            <w:tcW w:w="2835" w:type="dxa"/>
            <w:vAlign w:val="center"/>
          </w:tcPr>
          <w:p w14:paraId="47AB4110">
            <w:pPr>
              <w:pStyle w:val="12"/>
            </w:pPr>
            <w:r>
              <w:t>项目成本控制情况</w:t>
            </w:r>
          </w:p>
        </w:tc>
        <w:tc>
          <w:tcPr>
            <w:tcW w:w="5386" w:type="dxa"/>
            <w:vAlign w:val="center"/>
          </w:tcPr>
          <w:p w14:paraId="5D139CD1">
            <w:pPr>
              <w:pStyle w:val="12"/>
            </w:pPr>
            <w:r>
              <w:t>严格按照招标价格及审计额进行</w:t>
            </w:r>
          </w:p>
        </w:tc>
        <w:tc>
          <w:tcPr>
            <w:tcW w:w="2268" w:type="dxa"/>
            <w:vAlign w:val="center"/>
          </w:tcPr>
          <w:p w14:paraId="31953624">
            <w:pPr>
              <w:pStyle w:val="12"/>
            </w:pPr>
            <w:r>
              <w:t>35万元</w:t>
            </w:r>
          </w:p>
        </w:tc>
        <w:tc>
          <w:tcPr>
            <w:tcW w:w="1276" w:type="dxa"/>
            <w:vAlign w:val="center"/>
          </w:tcPr>
          <w:p w14:paraId="52124185">
            <w:pPr>
              <w:pStyle w:val="12"/>
            </w:pPr>
            <w:r>
              <w:t>项目规划</w:t>
            </w:r>
          </w:p>
        </w:tc>
      </w:tr>
      <w:tr w14:paraId="5997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C964C">
            <w:pPr>
              <w:pStyle w:val="13"/>
            </w:pPr>
            <w:r>
              <w:t>效益指标</w:t>
            </w:r>
          </w:p>
        </w:tc>
        <w:tc>
          <w:tcPr>
            <w:tcW w:w="2268" w:type="dxa"/>
            <w:vAlign w:val="center"/>
          </w:tcPr>
          <w:p w14:paraId="74C2F05E">
            <w:pPr>
              <w:pStyle w:val="12"/>
            </w:pPr>
            <w:r>
              <w:t>可持续影响指标</w:t>
            </w:r>
          </w:p>
        </w:tc>
        <w:tc>
          <w:tcPr>
            <w:tcW w:w="2835" w:type="dxa"/>
            <w:vAlign w:val="center"/>
          </w:tcPr>
          <w:p w14:paraId="31F1DBA9">
            <w:pPr>
              <w:pStyle w:val="12"/>
            </w:pPr>
            <w:r>
              <w:t>学校办学能力提升</w:t>
            </w:r>
          </w:p>
        </w:tc>
        <w:tc>
          <w:tcPr>
            <w:tcW w:w="5386" w:type="dxa"/>
            <w:vAlign w:val="center"/>
          </w:tcPr>
          <w:p w14:paraId="6D7564AD">
            <w:pPr>
              <w:pStyle w:val="12"/>
            </w:pPr>
            <w:r>
              <w:t>学校办学能</w:t>
            </w:r>
            <w:r>
              <w:rPr>
                <w:rFonts w:hint="eastAsia"/>
                <w:lang w:eastAsia="zh-CN"/>
              </w:rPr>
              <w:t>力提</w:t>
            </w:r>
            <w:r>
              <w:t>升情况及教育教学工作等开展的情况</w:t>
            </w:r>
          </w:p>
        </w:tc>
        <w:tc>
          <w:tcPr>
            <w:tcW w:w="2268" w:type="dxa"/>
            <w:vAlign w:val="center"/>
          </w:tcPr>
          <w:p w14:paraId="2D349BF0">
            <w:pPr>
              <w:pStyle w:val="12"/>
            </w:pPr>
            <w:r>
              <w:t>≥98%</w:t>
            </w:r>
          </w:p>
        </w:tc>
        <w:tc>
          <w:tcPr>
            <w:tcW w:w="1276" w:type="dxa"/>
            <w:vAlign w:val="center"/>
          </w:tcPr>
          <w:p w14:paraId="543FE1B0">
            <w:pPr>
              <w:pStyle w:val="12"/>
            </w:pPr>
            <w:r>
              <w:t>项目规划</w:t>
            </w:r>
          </w:p>
        </w:tc>
      </w:tr>
      <w:tr w14:paraId="6905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4C150">
            <w:pPr>
              <w:pStyle w:val="13"/>
            </w:pPr>
            <w:r>
              <w:t>满意度指标</w:t>
            </w:r>
          </w:p>
        </w:tc>
        <w:tc>
          <w:tcPr>
            <w:tcW w:w="2268" w:type="dxa"/>
            <w:vAlign w:val="center"/>
          </w:tcPr>
          <w:p w14:paraId="67321288">
            <w:pPr>
              <w:pStyle w:val="12"/>
            </w:pPr>
            <w:r>
              <w:t>服务对象满意度指标</w:t>
            </w:r>
          </w:p>
        </w:tc>
        <w:tc>
          <w:tcPr>
            <w:tcW w:w="2835" w:type="dxa"/>
            <w:vAlign w:val="center"/>
          </w:tcPr>
          <w:p w14:paraId="30C679D3">
            <w:pPr>
              <w:pStyle w:val="12"/>
            </w:pPr>
            <w:r>
              <w:t>学生、教师及家长对学校教学环境满意度情况</w:t>
            </w:r>
          </w:p>
        </w:tc>
        <w:tc>
          <w:tcPr>
            <w:tcW w:w="5386" w:type="dxa"/>
            <w:vAlign w:val="center"/>
          </w:tcPr>
          <w:p w14:paraId="6293E077">
            <w:pPr>
              <w:pStyle w:val="12"/>
            </w:pPr>
            <w:r>
              <w:t>学生、教师及家长对学校教学环境满意度情况</w:t>
            </w:r>
          </w:p>
        </w:tc>
        <w:tc>
          <w:tcPr>
            <w:tcW w:w="2268" w:type="dxa"/>
            <w:vAlign w:val="center"/>
          </w:tcPr>
          <w:p w14:paraId="10B0C80E">
            <w:pPr>
              <w:pStyle w:val="12"/>
            </w:pPr>
            <w:r>
              <w:t>≥95%</w:t>
            </w:r>
          </w:p>
        </w:tc>
        <w:tc>
          <w:tcPr>
            <w:tcW w:w="1276" w:type="dxa"/>
            <w:vAlign w:val="center"/>
          </w:tcPr>
          <w:p w14:paraId="60D54733">
            <w:pPr>
              <w:pStyle w:val="12"/>
            </w:pPr>
            <w:r>
              <w:t>项目规划</w:t>
            </w:r>
          </w:p>
        </w:tc>
      </w:tr>
    </w:tbl>
    <w:p w14:paraId="09B8D8A1">
      <w:pPr>
        <w:sectPr>
          <w:pgSz w:w="16840" w:h="11900" w:orient="landscape"/>
          <w:pgMar w:top="1361" w:right="1020" w:bottom="1134" w:left="1020" w:header="720" w:footer="720" w:gutter="0"/>
          <w:cols w:space="720" w:num="1"/>
        </w:sectPr>
      </w:pPr>
    </w:p>
    <w:p w14:paraId="466C5721">
      <w:pPr>
        <w:spacing w:before="0" w:after="0"/>
        <w:ind w:firstLine="560"/>
        <w:jc w:val="left"/>
        <w:outlineLvl w:val="9"/>
      </w:pPr>
      <w:r>
        <w:rPr>
          <w:rFonts w:ascii="方正仿宋_GBK" w:hAnsi="方正仿宋_GBK" w:eastAsia="方正仿宋_GBK" w:cs="方正仿宋_GBK"/>
          <w:b/>
          <w:color w:val="000000"/>
          <w:sz w:val="28"/>
        </w:rPr>
        <w:t>14、冀财教[2025]147号/省级/2026年义教补助经费/城关校区东甫小学公用经费绩效目标表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BA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1C765">
            <w:pPr>
              <w:pStyle w:val="11"/>
            </w:pPr>
            <w:r>
              <w:t>单位：万元</w:t>
            </w:r>
          </w:p>
        </w:tc>
      </w:tr>
      <w:tr w14:paraId="64857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C889E">
            <w:pPr>
              <w:pStyle w:val="10"/>
            </w:pPr>
            <w:r>
              <w:t>项目编码</w:t>
            </w:r>
          </w:p>
        </w:tc>
        <w:tc>
          <w:tcPr>
            <w:tcW w:w="5103" w:type="dxa"/>
            <w:gridSpan w:val="2"/>
            <w:vAlign w:val="center"/>
          </w:tcPr>
          <w:p w14:paraId="5F4735B3">
            <w:pPr>
              <w:pStyle w:val="12"/>
            </w:pPr>
            <w:r>
              <w:t>13052526P00000410343L</w:t>
            </w:r>
          </w:p>
        </w:tc>
        <w:tc>
          <w:tcPr>
            <w:tcW w:w="2835" w:type="dxa"/>
            <w:vAlign w:val="center"/>
          </w:tcPr>
          <w:p w14:paraId="68CC2D3D">
            <w:pPr>
              <w:pStyle w:val="10"/>
            </w:pPr>
            <w:r>
              <w:t>项目名称</w:t>
            </w:r>
          </w:p>
        </w:tc>
        <w:tc>
          <w:tcPr>
            <w:tcW w:w="6095" w:type="dxa"/>
            <w:gridSpan w:val="3"/>
            <w:vAlign w:val="center"/>
          </w:tcPr>
          <w:p w14:paraId="66323595">
            <w:pPr>
              <w:pStyle w:val="12"/>
            </w:pPr>
            <w:r>
              <w:t>冀财教[2025]147号/省级/2026年义教补助经费/城关校区东甫小学公用经费</w:t>
            </w:r>
          </w:p>
        </w:tc>
      </w:tr>
      <w:tr w14:paraId="05E2B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94A16">
            <w:pPr>
              <w:pStyle w:val="10"/>
            </w:pPr>
            <w:r>
              <w:t>预算规模及资金用途</w:t>
            </w:r>
          </w:p>
        </w:tc>
        <w:tc>
          <w:tcPr>
            <w:tcW w:w="2268" w:type="dxa"/>
            <w:vAlign w:val="center"/>
          </w:tcPr>
          <w:p w14:paraId="6F45AC72">
            <w:pPr>
              <w:pStyle w:val="10"/>
            </w:pPr>
            <w:r>
              <w:t>预算数</w:t>
            </w:r>
          </w:p>
        </w:tc>
        <w:tc>
          <w:tcPr>
            <w:tcW w:w="2835" w:type="dxa"/>
            <w:vAlign w:val="center"/>
          </w:tcPr>
          <w:p w14:paraId="5CFB42C3">
            <w:pPr>
              <w:pStyle w:val="12"/>
            </w:pPr>
            <w:r>
              <w:t>53.40</w:t>
            </w:r>
          </w:p>
        </w:tc>
        <w:tc>
          <w:tcPr>
            <w:tcW w:w="2835" w:type="dxa"/>
            <w:vAlign w:val="center"/>
          </w:tcPr>
          <w:p w14:paraId="76B3459D">
            <w:pPr>
              <w:pStyle w:val="10"/>
            </w:pPr>
            <w:r>
              <w:t>其中：财政    资金</w:t>
            </w:r>
          </w:p>
        </w:tc>
        <w:tc>
          <w:tcPr>
            <w:tcW w:w="2551" w:type="dxa"/>
            <w:vAlign w:val="center"/>
          </w:tcPr>
          <w:p w14:paraId="13982CCF">
            <w:pPr>
              <w:pStyle w:val="12"/>
            </w:pPr>
            <w:r>
              <w:t>53.40</w:t>
            </w:r>
          </w:p>
        </w:tc>
        <w:tc>
          <w:tcPr>
            <w:tcW w:w="2268" w:type="dxa"/>
            <w:vAlign w:val="center"/>
          </w:tcPr>
          <w:p w14:paraId="5E951EC8">
            <w:pPr>
              <w:pStyle w:val="10"/>
            </w:pPr>
            <w:r>
              <w:t>其他资金</w:t>
            </w:r>
          </w:p>
        </w:tc>
        <w:tc>
          <w:tcPr>
            <w:tcW w:w="1276" w:type="dxa"/>
            <w:vAlign w:val="center"/>
          </w:tcPr>
          <w:p w14:paraId="2FB18655">
            <w:pPr>
              <w:pStyle w:val="12"/>
            </w:pPr>
            <w:r>
              <w:t xml:space="preserve"> </w:t>
            </w:r>
          </w:p>
        </w:tc>
      </w:tr>
      <w:tr w14:paraId="38F1C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0117F"/>
        </w:tc>
        <w:tc>
          <w:tcPr>
            <w:tcW w:w="14033" w:type="dxa"/>
            <w:gridSpan w:val="6"/>
            <w:vAlign w:val="center"/>
          </w:tcPr>
          <w:p w14:paraId="23A89773">
            <w:pPr>
              <w:pStyle w:val="12"/>
            </w:pPr>
            <w:r>
              <w:t>保障义务教育学校正常运转，完成教育教学活动和其他日常工作任务等方面的费用支出。</w:t>
            </w:r>
          </w:p>
        </w:tc>
      </w:tr>
      <w:tr w14:paraId="654B1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A1063">
            <w:pPr>
              <w:pStyle w:val="10"/>
            </w:pPr>
            <w:r>
              <w:t>资金支出计划（%）</w:t>
            </w:r>
          </w:p>
        </w:tc>
        <w:tc>
          <w:tcPr>
            <w:tcW w:w="5103" w:type="dxa"/>
            <w:gridSpan w:val="2"/>
            <w:vAlign w:val="center"/>
          </w:tcPr>
          <w:p w14:paraId="50B7C3B5">
            <w:pPr>
              <w:pStyle w:val="10"/>
            </w:pPr>
            <w:r>
              <w:t>3月底</w:t>
            </w:r>
          </w:p>
        </w:tc>
        <w:tc>
          <w:tcPr>
            <w:tcW w:w="2835" w:type="dxa"/>
            <w:vAlign w:val="center"/>
          </w:tcPr>
          <w:p w14:paraId="75691BC2">
            <w:pPr>
              <w:pStyle w:val="10"/>
            </w:pPr>
            <w:r>
              <w:t>6月底</w:t>
            </w:r>
          </w:p>
        </w:tc>
        <w:tc>
          <w:tcPr>
            <w:tcW w:w="2551" w:type="dxa"/>
            <w:vAlign w:val="center"/>
          </w:tcPr>
          <w:p w14:paraId="7674897B">
            <w:pPr>
              <w:pStyle w:val="10"/>
            </w:pPr>
            <w:r>
              <w:t>10月底</w:t>
            </w:r>
          </w:p>
        </w:tc>
        <w:tc>
          <w:tcPr>
            <w:tcW w:w="3544" w:type="dxa"/>
            <w:gridSpan w:val="2"/>
            <w:vAlign w:val="center"/>
          </w:tcPr>
          <w:p w14:paraId="66512DBA">
            <w:pPr>
              <w:pStyle w:val="10"/>
            </w:pPr>
            <w:r>
              <w:t>12月底</w:t>
            </w:r>
          </w:p>
        </w:tc>
      </w:tr>
      <w:tr w14:paraId="042A5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30D3A"/>
        </w:tc>
        <w:tc>
          <w:tcPr>
            <w:tcW w:w="5103" w:type="dxa"/>
            <w:gridSpan w:val="2"/>
            <w:vAlign w:val="center"/>
          </w:tcPr>
          <w:p w14:paraId="481A6F2C">
            <w:pPr>
              <w:pStyle w:val="13"/>
            </w:pPr>
            <w:r>
              <w:t>25%</w:t>
            </w:r>
          </w:p>
        </w:tc>
        <w:tc>
          <w:tcPr>
            <w:tcW w:w="2835" w:type="dxa"/>
            <w:vAlign w:val="center"/>
          </w:tcPr>
          <w:p w14:paraId="53876D80">
            <w:pPr>
              <w:pStyle w:val="13"/>
            </w:pPr>
            <w:r>
              <w:t>50%</w:t>
            </w:r>
          </w:p>
        </w:tc>
        <w:tc>
          <w:tcPr>
            <w:tcW w:w="2551" w:type="dxa"/>
            <w:vAlign w:val="center"/>
          </w:tcPr>
          <w:p w14:paraId="2B10F195">
            <w:pPr>
              <w:pStyle w:val="13"/>
            </w:pPr>
            <w:r>
              <w:t>75%</w:t>
            </w:r>
          </w:p>
        </w:tc>
        <w:tc>
          <w:tcPr>
            <w:tcW w:w="3544" w:type="dxa"/>
            <w:gridSpan w:val="2"/>
            <w:vAlign w:val="center"/>
          </w:tcPr>
          <w:p w14:paraId="760DCD91">
            <w:pPr>
              <w:pStyle w:val="13"/>
            </w:pPr>
            <w:r>
              <w:t>100%</w:t>
            </w:r>
          </w:p>
        </w:tc>
      </w:tr>
      <w:tr w14:paraId="439D3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4DCCA">
            <w:pPr>
              <w:pStyle w:val="10"/>
            </w:pPr>
            <w:r>
              <w:t>绩效目标</w:t>
            </w:r>
          </w:p>
        </w:tc>
        <w:tc>
          <w:tcPr>
            <w:tcW w:w="14033" w:type="dxa"/>
            <w:gridSpan w:val="6"/>
            <w:vAlign w:val="center"/>
          </w:tcPr>
          <w:p w14:paraId="4990EEF0">
            <w:pPr>
              <w:pStyle w:val="12"/>
            </w:pPr>
            <w:r>
              <w:t>1.按季度分批次拨付公用经费资金534000元，资金拨付率达到100%。</w:t>
            </w:r>
          </w:p>
          <w:p w14:paraId="441357C5">
            <w:pPr>
              <w:pStyle w:val="12"/>
            </w:pPr>
            <w:r>
              <w:t>2.保障义务教育学校正常运转，完成教育教学活动和其他日常工作任务等方面的费用支出。</w:t>
            </w:r>
          </w:p>
        </w:tc>
      </w:tr>
    </w:tbl>
    <w:p w14:paraId="39DC2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A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6B9B5">
            <w:pPr>
              <w:pStyle w:val="10"/>
            </w:pPr>
            <w:r>
              <w:t>一级指标</w:t>
            </w:r>
          </w:p>
        </w:tc>
        <w:tc>
          <w:tcPr>
            <w:tcW w:w="2268" w:type="dxa"/>
            <w:vAlign w:val="center"/>
          </w:tcPr>
          <w:p w14:paraId="0349F08D">
            <w:pPr>
              <w:pStyle w:val="10"/>
            </w:pPr>
            <w:r>
              <w:t>二级指标</w:t>
            </w:r>
          </w:p>
        </w:tc>
        <w:tc>
          <w:tcPr>
            <w:tcW w:w="2835" w:type="dxa"/>
            <w:vAlign w:val="center"/>
          </w:tcPr>
          <w:p w14:paraId="70D46869">
            <w:pPr>
              <w:pStyle w:val="10"/>
            </w:pPr>
            <w:r>
              <w:t>三级指标</w:t>
            </w:r>
          </w:p>
        </w:tc>
        <w:tc>
          <w:tcPr>
            <w:tcW w:w="5386" w:type="dxa"/>
            <w:vAlign w:val="center"/>
          </w:tcPr>
          <w:p w14:paraId="0DDBE14B">
            <w:pPr>
              <w:pStyle w:val="10"/>
            </w:pPr>
            <w:r>
              <w:t>绩效指标描述</w:t>
            </w:r>
          </w:p>
        </w:tc>
        <w:tc>
          <w:tcPr>
            <w:tcW w:w="2268" w:type="dxa"/>
            <w:vAlign w:val="center"/>
          </w:tcPr>
          <w:p w14:paraId="24F3D948">
            <w:pPr>
              <w:pStyle w:val="10"/>
            </w:pPr>
            <w:r>
              <w:t>指标值</w:t>
            </w:r>
          </w:p>
        </w:tc>
        <w:tc>
          <w:tcPr>
            <w:tcW w:w="1276" w:type="dxa"/>
            <w:vAlign w:val="center"/>
          </w:tcPr>
          <w:p w14:paraId="5AA310AC">
            <w:pPr>
              <w:pStyle w:val="10"/>
            </w:pPr>
            <w:r>
              <w:t>指标值确定依据</w:t>
            </w:r>
          </w:p>
        </w:tc>
      </w:tr>
      <w:tr w14:paraId="36E2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5E558">
            <w:pPr>
              <w:pStyle w:val="13"/>
            </w:pPr>
            <w:r>
              <w:t>产出指标</w:t>
            </w:r>
          </w:p>
        </w:tc>
        <w:tc>
          <w:tcPr>
            <w:tcW w:w="2268" w:type="dxa"/>
            <w:vAlign w:val="center"/>
          </w:tcPr>
          <w:p w14:paraId="4879D60A">
            <w:pPr>
              <w:pStyle w:val="12"/>
            </w:pPr>
            <w:r>
              <w:t>数量指标</w:t>
            </w:r>
          </w:p>
        </w:tc>
        <w:tc>
          <w:tcPr>
            <w:tcW w:w="2835" w:type="dxa"/>
            <w:vAlign w:val="center"/>
          </w:tcPr>
          <w:p w14:paraId="61CE6665">
            <w:pPr>
              <w:pStyle w:val="12"/>
            </w:pPr>
            <w:r>
              <w:t>适龄在校生</w:t>
            </w:r>
          </w:p>
        </w:tc>
        <w:tc>
          <w:tcPr>
            <w:tcW w:w="5386" w:type="dxa"/>
            <w:vAlign w:val="center"/>
          </w:tcPr>
          <w:p w14:paraId="02E44591">
            <w:pPr>
              <w:pStyle w:val="12"/>
            </w:pPr>
            <w:r>
              <w:t>适龄在校就读学生人数</w:t>
            </w:r>
          </w:p>
        </w:tc>
        <w:tc>
          <w:tcPr>
            <w:tcW w:w="2268" w:type="dxa"/>
            <w:vAlign w:val="center"/>
          </w:tcPr>
          <w:p w14:paraId="0E33AA3D">
            <w:pPr>
              <w:pStyle w:val="12"/>
            </w:pPr>
            <w:r>
              <w:t>≤1627人</w:t>
            </w:r>
          </w:p>
        </w:tc>
        <w:tc>
          <w:tcPr>
            <w:tcW w:w="1276" w:type="dxa"/>
            <w:vAlign w:val="center"/>
          </w:tcPr>
          <w:p w14:paraId="75ECDFC8">
            <w:pPr>
              <w:pStyle w:val="12"/>
            </w:pPr>
            <w:r>
              <w:t>城乡义务教育公用经费管理办法</w:t>
            </w:r>
          </w:p>
        </w:tc>
      </w:tr>
      <w:tr w14:paraId="412E8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D3C81"/>
        </w:tc>
        <w:tc>
          <w:tcPr>
            <w:tcW w:w="2268" w:type="dxa"/>
            <w:vAlign w:val="center"/>
          </w:tcPr>
          <w:p w14:paraId="6E2BC6C3">
            <w:pPr>
              <w:pStyle w:val="12"/>
            </w:pPr>
            <w:r>
              <w:t>质量指标</w:t>
            </w:r>
          </w:p>
        </w:tc>
        <w:tc>
          <w:tcPr>
            <w:tcW w:w="2835" w:type="dxa"/>
            <w:vAlign w:val="center"/>
          </w:tcPr>
          <w:p w14:paraId="734877DF">
            <w:pPr>
              <w:pStyle w:val="12"/>
            </w:pPr>
            <w:r>
              <w:t>公用经费拨付完成率</w:t>
            </w:r>
          </w:p>
        </w:tc>
        <w:tc>
          <w:tcPr>
            <w:tcW w:w="5386" w:type="dxa"/>
            <w:vAlign w:val="center"/>
          </w:tcPr>
          <w:p w14:paraId="62440C3E">
            <w:pPr>
              <w:pStyle w:val="12"/>
            </w:pPr>
            <w:r>
              <w:t>公用经费拨付完成率达到需时进度</w:t>
            </w:r>
          </w:p>
        </w:tc>
        <w:tc>
          <w:tcPr>
            <w:tcW w:w="2268" w:type="dxa"/>
            <w:vAlign w:val="center"/>
          </w:tcPr>
          <w:p w14:paraId="4566DA02">
            <w:pPr>
              <w:pStyle w:val="12"/>
            </w:pPr>
            <w:r>
              <w:t>100%</w:t>
            </w:r>
          </w:p>
        </w:tc>
        <w:tc>
          <w:tcPr>
            <w:tcW w:w="1276" w:type="dxa"/>
            <w:vAlign w:val="center"/>
          </w:tcPr>
          <w:p w14:paraId="3C3A1D4C">
            <w:pPr>
              <w:pStyle w:val="12"/>
            </w:pPr>
            <w:r>
              <w:t>城乡义务教育公用经费管理办法</w:t>
            </w:r>
          </w:p>
        </w:tc>
      </w:tr>
      <w:tr w14:paraId="7E9D9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6B19F"/>
        </w:tc>
        <w:tc>
          <w:tcPr>
            <w:tcW w:w="2268" w:type="dxa"/>
            <w:vAlign w:val="center"/>
          </w:tcPr>
          <w:p w14:paraId="07CCE678">
            <w:pPr>
              <w:pStyle w:val="12"/>
            </w:pPr>
            <w:r>
              <w:t>时效指标</w:t>
            </w:r>
          </w:p>
        </w:tc>
        <w:tc>
          <w:tcPr>
            <w:tcW w:w="2835" w:type="dxa"/>
            <w:vAlign w:val="center"/>
          </w:tcPr>
          <w:p w14:paraId="7B11BCA0">
            <w:pPr>
              <w:pStyle w:val="12"/>
            </w:pPr>
            <w:r>
              <w:t>资金支付率</w:t>
            </w:r>
          </w:p>
        </w:tc>
        <w:tc>
          <w:tcPr>
            <w:tcW w:w="5386" w:type="dxa"/>
            <w:vAlign w:val="center"/>
          </w:tcPr>
          <w:p w14:paraId="22D4C58E">
            <w:pPr>
              <w:pStyle w:val="12"/>
            </w:pPr>
            <w:r>
              <w:t>按照序时进度完成资金支付</w:t>
            </w:r>
          </w:p>
        </w:tc>
        <w:tc>
          <w:tcPr>
            <w:tcW w:w="2268" w:type="dxa"/>
            <w:vAlign w:val="center"/>
          </w:tcPr>
          <w:p w14:paraId="0EACDF9B">
            <w:pPr>
              <w:pStyle w:val="12"/>
            </w:pPr>
            <w:r>
              <w:t>100%</w:t>
            </w:r>
          </w:p>
        </w:tc>
        <w:tc>
          <w:tcPr>
            <w:tcW w:w="1276" w:type="dxa"/>
            <w:vAlign w:val="center"/>
          </w:tcPr>
          <w:p w14:paraId="3CA69C9E">
            <w:pPr>
              <w:pStyle w:val="12"/>
            </w:pPr>
            <w:r>
              <w:t>城乡义务教育公用经费管理办法</w:t>
            </w:r>
          </w:p>
        </w:tc>
      </w:tr>
      <w:tr w14:paraId="6B4A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E8718"/>
        </w:tc>
        <w:tc>
          <w:tcPr>
            <w:tcW w:w="2268" w:type="dxa"/>
            <w:vAlign w:val="center"/>
          </w:tcPr>
          <w:p w14:paraId="36FFCD45">
            <w:pPr>
              <w:pStyle w:val="12"/>
            </w:pPr>
            <w:r>
              <w:t>成本指标</w:t>
            </w:r>
          </w:p>
        </w:tc>
        <w:tc>
          <w:tcPr>
            <w:tcW w:w="2835" w:type="dxa"/>
            <w:vAlign w:val="center"/>
          </w:tcPr>
          <w:p w14:paraId="7D37EE13">
            <w:pPr>
              <w:pStyle w:val="12"/>
            </w:pPr>
            <w:r>
              <w:t>生均拨款标准</w:t>
            </w:r>
          </w:p>
        </w:tc>
        <w:tc>
          <w:tcPr>
            <w:tcW w:w="5386" w:type="dxa"/>
            <w:vAlign w:val="center"/>
          </w:tcPr>
          <w:p w14:paraId="131EE6F3">
            <w:pPr>
              <w:pStyle w:val="12"/>
            </w:pPr>
            <w:r>
              <w:t>小学：（基本标准720元、寄宿生300元、取暖费120元）/生/学年；特教、随班就读学生：标准7000元/生/学年。</w:t>
            </w:r>
          </w:p>
        </w:tc>
        <w:tc>
          <w:tcPr>
            <w:tcW w:w="2268" w:type="dxa"/>
            <w:vAlign w:val="center"/>
          </w:tcPr>
          <w:p w14:paraId="49C820BA">
            <w:pPr>
              <w:pStyle w:val="12"/>
            </w:pPr>
            <w:r>
              <w:t>534000元</w:t>
            </w:r>
          </w:p>
        </w:tc>
        <w:tc>
          <w:tcPr>
            <w:tcW w:w="1276" w:type="dxa"/>
            <w:vAlign w:val="center"/>
          </w:tcPr>
          <w:p w14:paraId="515A5B7E">
            <w:pPr>
              <w:pStyle w:val="12"/>
            </w:pPr>
            <w:r>
              <w:t>城乡义务教育公用经费管理办法</w:t>
            </w:r>
          </w:p>
        </w:tc>
      </w:tr>
      <w:tr w14:paraId="5900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68234">
            <w:pPr>
              <w:pStyle w:val="13"/>
            </w:pPr>
            <w:r>
              <w:t>效益指标</w:t>
            </w:r>
          </w:p>
        </w:tc>
        <w:tc>
          <w:tcPr>
            <w:tcW w:w="2268" w:type="dxa"/>
            <w:vAlign w:val="center"/>
          </w:tcPr>
          <w:p w14:paraId="5F5AB03F">
            <w:pPr>
              <w:pStyle w:val="12"/>
            </w:pPr>
            <w:r>
              <w:t>经济效益指标</w:t>
            </w:r>
          </w:p>
        </w:tc>
        <w:tc>
          <w:tcPr>
            <w:tcW w:w="2835" w:type="dxa"/>
            <w:vAlign w:val="center"/>
          </w:tcPr>
          <w:p w14:paraId="318C065F">
            <w:pPr>
              <w:pStyle w:val="12"/>
            </w:pPr>
            <w:r>
              <w:t>项目实施成果</w:t>
            </w:r>
          </w:p>
        </w:tc>
        <w:tc>
          <w:tcPr>
            <w:tcW w:w="5386" w:type="dxa"/>
            <w:vAlign w:val="center"/>
          </w:tcPr>
          <w:p w14:paraId="4CB1859D">
            <w:pPr>
              <w:pStyle w:val="12"/>
            </w:pPr>
            <w:r>
              <w:t>减轻受教育学生家庭经济负担</w:t>
            </w:r>
          </w:p>
        </w:tc>
        <w:tc>
          <w:tcPr>
            <w:tcW w:w="2268" w:type="dxa"/>
            <w:vAlign w:val="center"/>
          </w:tcPr>
          <w:p w14:paraId="044AC58A">
            <w:pPr>
              <w:pStyle w:val="12"/>
            </w:pPr>
            <w:r>
              <w:t>100%</w:t>
            </w:r>
          </w:p>
        </w:tc>
        <w:tc>
          <w:tcPr>
            <w:tcW w:w="1276" w:type="dxa"/>
            <w:vAlign w:val="center"/>
          </w:tcPr>
          <w:p w14:paraId="499DE19A">
            <w:pPr>
              <w:pStyle w:val="12"/>
            </w:pPr>
            <w:r>
              <w:t>城乡义务教育公用经费管理办法</w:t>
            </w:r>
          </w:p>
        </w:tc>
      </w:tr>
      <w:tr w14:paraId="12D5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7AAEE"/>
        </w:tc>
        <w:tc>
          <w:tcPr>
            <w:tcW w:w="2268" w:type="dxa"/>
            <w:vAlign w:val="center"/>
          </w:tcPr>
          <w:p w14:paraId="6F8C3C7B">
            <w:pPr>
              <w:pStyle w:val="12"/>
            </w:pPr>
            <w:r>
              <w:t>社会效益指标</w:t>
            </w:r>
          </w:p>
        </w:tc>
        <w:tc>
          <w:tcPr>
            <w:tcW w:w="2835" w:type="dxa"/>
            <w:vAlign w:val="center"/>
          </w:tcPr>
          <w:p w14:paraId="4B3AE937">
            <w:pPr>
              <w:pStyle w:val="12"/>
            </w:pPr>
            <w:r>
              <w:t>学校办学能力提升</w:t>
            </w:r>
          </w:p>
        </w:tc>
        <w:tc>
          <w:tcPr>
            <w:tcW w:w="5386" w:type="dxa"/>
            <w:vAlign w:val="center"/>
          </w:tcPr>
          <w:p w14:paraId="72FAEFBC">
            <w:pPr>
              <w:pStyle w:val="12"/>
            </w:pPr>
            <w:r>
              <w:t>学校办学能</w:t>
            </w:r>
            <w:r>
              <w:rPr>
                <w:rFonts w:hint="eastAsia"/>
                <w:lang w:eastAsia="zh-CN"/>
              </w:rPr>
              <w:t>力提</w:t>
            </w:r>
            <w:r>
              <w:t>升情况及教育教学工作等开展的情况</w:t>
            </w:r>
          </w:p>
        </w:tc>
        <w:tc>
          <w:tcPr>
            <w:tcW w:w="2268" w:type="dxa"/>
            <w:vAlign w:val="center"/>
          </w:tcPr>
          <w:p w14:paraId="53189180">
            <w:pPr>
              <w:pStyle w:val="12"/>
            </w:pPr>
            <w:r>
              <w:t>100%</w:t>
            </w:r>
          </w:p>
        </w:tc>
        <w:tc>
          <w:tcPr>
            <w:tcW w:w="1276" w:type="dxa"/>
            <w:vAlign w:val="center"/>
          </w:tcPr>
          <w:p w14:paraId="002CB439">
            <w:pPr>
              <w:pStyle w:val="12"/>
            </w:pPr>
            <w:r>
              <w:t>城乡义务教育公用经费管理办法</w:t>
            </w:r>
          </w:p>
        </w:tc>
      </w:tr>
      <w:tr w14:paraId="4B6C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1F4F2"/>
        </w:tc>
        <w:tc>
          <w:tcPr>
            <w:tcW w:w="2268" w:type="dxa"/>
            <w:vAlign w:val="center"/>
          </w:tcPr>
          <w:p w14:paraId="473EC26B">
            <w:pPr>
              <w:pStyle w:val="12"/>
            </w:pPr>
            <w:r>
              <w:t>可持续影响指标</w:t>
            </w:r>
          </w:p>
        </w:tc>
        <w:tc>
          <w:tcPr>
            <w:tcW w:w="2835" w:type="dxa"/>
            <w:vAlign w:val="center"/>
          </w:tcPr>
          <w:p w14:paraId="2A131258">
            <w:pPr>
              <w:pStyle w:val="12"/>
            </w:pPr>
            <w:r>
              <w:t>教育发展水平</w:t>
            </w:r>
          </w:p>
        </w:tc>
        <w:tc>
          <w:tcPr>
            <w:tcW w:w="5386" w:type="dxa"/>
            <w:vAlign w:val="center"/>
          </w:tcPr>
          <w:p w14:paraId="1B8CDAF4">
            <w:pPr>
              <w:pStyle w:val="12"/>
            </w:pPr>
            <w:r>
              <w:t>辖区内教育环境明显好转</w:t>
            </w:r>
          </w:p>
        </w:tc>
        <w:tc>
          <w:tcPr>
            <w:tcW w:w="2268" w:type="dxa"/>
            <w:vAlign w:val="center"/>
          </w:tcPr>
          <w:p w14:paraId="0196977F">
            <w:pPr>
              <w:pStyle w:val="12"/>
            </w:pPr>
            <w:r>
              <w:t>100%</w:t>
            </w:r>
          </w:p>
        </w:tc>
        <w:tc>
          <w:tcPr>
            <w:tcW w:w="1276" w:type="dxa"/>
            <w:vAlign w:val="center"/>
          </w:tcPr>
          <w:p w14:paraId="48545338">
            <w:pPr>
              <w:pStyle w:val="12"/>
            </w:pPr>
            <w:r>
              <w:t>城乡义务教育公用经费管理办法</w:t>
            </w:r>
          </w:p>
        </w:tc>
      </w:tr>
      <w:tr w14:paraId="28BD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8F0D8">
            <w:pPr>
              <w:pStyle w:val="13"/>
            </w:pPr>
            <w:r>
              <w:t>满意度指标</w:t>
            </w:r>
          </w:p>
        </w:tc>
        <w:tc>
          <w:tcPr>
            <w:tcW w:w="2268" w:type="dxa"/>
            <w:vAlign w:val="center"/>
          </w:tcPr>
          <w:p w14:paraId="63F4C56E">
            <w:pPr>
              <w:pStyle w:val="12"/>
            </w:pPr>
            <w:r>
              <w:t>服务对象满意度指标</w:t>
            </w:r>
          </w:p>
        </w:tc>
        <w:tc>
          <w:tcPr>
            <w:tcW w:w="2835" w:type="dxa"/>
            <w:vAlign w:val="center"/>
          </w:tcPr>
          <w:p w14:paraId="3C5E1C19">
            <w:pPr>
              <w:pStyle w:val="12"/>
            </w:pPr>
            <w:r>
              <w:t>受益学生家长及调查满意度</w:t>
            </w:r>
          </w:p>
        </w:tc>
        <w:tc>
          <w:tcPr>
            <w:tcW w:w="5386" w:type="dxa"/>
            <w:vAlign w:val="center"/>
          </w:tcPr>
          <w:p w14:paraId="373C3299">
            <w:pPr>
              <w:pStyle w:val="12"/>
            </w:pPr>
            <w:r>
              <w:t>学生、教师及家长对学校保教保育工作满意度情况</w:t>
            </w:r>
          </w:p>
        </w:tc>
        <w:tc>
          <w:tcPr>
            <w:tcW w:w="2268" w:type="dxa"/>
            <w:vAlign w:val="center"/>
          </w:tcPr>
          <w:p w14:paraId="7D61F204">
            <w:pPr>
              <w:pStyle w:val="12"/>
            </w:pPr>
            <w:r>
              <w:t>≥95%</w:t>
            </w:r>
          </w:p>
        </w:tc>
        <w:tc>
          <w:tcPr>
            <w:tcW w:w="1276" w:type="dxa"/>
            <w:vAlign w:val="center"/>
          </w:tcPr>
          <w:p w14:paraId="6F2E0E41">
            <w:pPr>
              <w:pStyle w:val="12"/>
            </w:pPr>
            <w:r>
              <w:t>调查问卷</w:t>
            </w:r>
          </w:p>
        </w:tc>
      </w:tr>
    </w:tbl>
    <w:p w14:paraId="10195976">
      <w:pPr>
        <w:sectPr>
          <w:pgSz w:w="16840" w:h="11900" w:orient="landscape"/>
          <w:pgMar w:top="1361" w:right="1020" w:bottom="1134" w:left="1020" w:header="720" w:footer="720" w:gutter="0"/>
          <w:cols w:space="720" w:num="1"/>
        </w:sectPr>
      </w:pPr>
    </w:p>
    <w:p w14:paraId="32B0F842">
      <w:pPr>
        <w:spacing w:before="0" w:after="0"/>
        <w:ind w:firstLine="560"/>
        <w:jc w:val="left"/>
        <w:outlineLvl w:val="9"/>
      </w:pPr>
      <w:r>
        <w:rPr>
          <w:rFonts w:ascii="方正仿宋_GBK" w:hAnsi="方正仿宋_GBK" w:eastAsia="方正仿宋_GBK" w:cs="方正仿宋_GBK"/>
          <w:b/>
          <w:color w:val="000000"/>
          <w:sz w:val="28"/>
        </w:rPr>
        <w:t>15、冀财教[2025]147号/省级/2026年义教补助经费/城关校区柳行小学公用经费绩效目标表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5F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8A3F7">
            <w:pPr>
              <w:pStyle w:val="11"/>
            </w:pPr>
            <w:r>
              <w:t>单位：万元</w:t>
            </w:r>
          </w:p>
        </w:tc>
      </w:tr>
      <w:tr w14:paraId="08701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57D23">
            <w:pPr>
              <w:pStyle w:val="10"/>
            </w:pPr>
            <w:r>
              <w:t>项目编码</w:t>
            </w:r>
          </w:p>
        </w:tc>
        <w:tc>
          <w:tcPr>
            <w:tcW w:w="5103" w:type="dxa"/>
            <w:gridSpan w:val="2"/>
            <w:vAlign w:val="center"/>
          </w:tcPr>
          <w:p w14:paraId="36BD5F4C">
            <w:pPr>
              <w:pStyle w:val="12"/>
            </w:pPr>
            <w:r>
              <w:t>13052526P00000410346F</w:t>
            </w:r>
          </w:p>
        </w:tc>
        <w:tc>
          <w:tcPr>
            <w:tcW w:w="2835" w:type="dxa"/>
            <w:vAlign w:val="center"/>
          </w:tcPr>
          <w:p w14:paraId="677CC126">
            <w:pPr>
              <w:pStyle w:val="10"/>
            </w:pPr>
            <w:r>
              <w:t>项目名称</w:t>
            </w:r>
          </w:p>
        </w:tc>
        <w:tc>
          <w:tcPr>
            <w:tcW w:w="6095" w:type="dxa"/>
            <w:gridSpan w:val="3"/>
            <w:vAlign w:val="center"/>
          </w:tcPr>
          <w:p w14:paraId="7ADF7F6C">
            <w:pPr>
              <w:pStyle w:val="12"/>
            </w:pPr>
            <w:r>
              <w:t>冀财教[2025]147号/省级/2026年义教补助经费/城关校区柳行小学公用经费</w:t>
            </w:r>
          </w:p>
        </w:tc>
      </w:tr>
      <w:tr w14:paraId="79AD8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F863C">
            <w:pPr>
              <w:pStyle w:val="10"/>
            </w:pPr>
            <w:r>
              <w:t>预算规模及资金用途</w:t>
            </w:r>
          </w:p>
        </w:tc>
        <w:tc>
          <w:tcPr>
            <w:tcW w:w="2268" w:type="dxa"/>
            <w:vAlign w:val="center"/>
          </w:tcPr>
          <w:p w14:paraId="0B3D5B15">
            <w:pPr>
              <w:pStyle w:val="10"/>
            </w:pPr>
            <w:r>
              <w:t>预算数</w:t>
            </w:r>
          </w:p>
        </w:tc>
        <w:tc>
          <w:tcPr>
            <w:tcW w:w="2835" w:type="dxa"/>
            <w:vAlign w:val="center"/>
          </w:tcPr>
          <w:p w14:paraId="480316F2">
            <w:pPr>
              <w:pStyle w:val="12"/>
            </w:pPr>
            <w:r>
              <w:t>14.09</w:t>
            </w:r>
          </w:p>
        </w:tc>
        <w:tc>
          <w:tcPr>
            <w:tcW w:w="2835" w:type="dxa"/>
            <w:vAlign w:val="center"/>
          </w:tcPr>
          <w:p w14:paraId="648E8672">
            <w:pPr>
              <w:pStyle w:val="10"/>
            </w:pPr>
            <w:r>
              <w:t>其中：财政    资金</w:t>
            </w:r>
          </w:p>
        </w:tc>
        <w:tc>
          <w:tcPr>
            <w:tcW w:w="2551" w:type="dxa"/>
            <w:vAlign w:val="center"/>
          </w:tcPr>
          <w:p w14:paraId="07CEC81C">
            <w:pPr>
              <w:pStyle w:val="12"/>
            </w:pPr>
            <w:r>
              <w:t>14.09</w:t>
            </w:r>
          </w:p>
        </w:tc>
        <w:tc>
          <w:tcPr>
            <w:tcW w:w="2268" w:type="dxa"/>
            <w:vAlign w:val="center"/>
          </w:tcPr>
          <w:p w14:paraId="28203DC9">
            <w:pPr>
              <w:pStyle w:val="10"/>
            </w:pPr>
            <w:r>
              <w:t>其他资金</w:t>
            </w:r>
          </w:p>
        </w:tc>
        <w:tc>
          <w:tcPr>
            <w:tcW w:w="1276" w:type="dxa"/>
            <w:vAlign w:val="center"/>
          </w:tcPr>
          <w:p w14:paraId="04F2FC5F">
            <w:pPr>
              <w:pStyle w:val="12"/>
            </w:pPr>
            <w:r>
              <w:t xml:space="preserve"> </w:t>
            </w:r>
          </w:p>
        </w:tc>
      </w:tr>
      <w:tr w14:paraId="4D868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DFE40"/>
        </w:tc>
        <w:tc>
          <w:tcPr>
            <w:tcW w:w="14033" w:type="dxa"/>
            <w:gridSpan w:val="6"/>
            <w:vAlign w:val="center"/>
          </w:tcPr>
          <w:p w14:paraId="1EDC7F44">
            <w:pPr>
              <w:pStyle w:val="12"/>
            </w:pPr>
            <w:r>
              <w:t>保障义务教育学校正常运转，完成教育教学活动和其他日常工作任务等方面的费用支出。</w:t>
            </w:r>
          </w:p>
        </w:tc>
      </w:tr>
      <w:tr w14:paraId="28CCE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524C7">
            <w:pPr>
              <w:pStyle w:val="10"/>
            </w:pPr>
            <w:r>
              <w:t>资金支出计划（%）</w:t>
            </w:r>
          </w:p>
        </w:tc>
        <w:tc>
          <w:tcPr>
            <w:tcW w:w="5103" w:type="dxa"/>
            <w:gridSpan w:val="2"/>
            <w:vAlign w:val="center"/>
          </w:tcPr>
          <w:p w14:paraId="630D6F36">
            <w:pPr>
              <w:pStyle w:val="10"/>
            </w:pPr>
            <w:r>
              <w:t>3月底</w:t>
            </w:r>
          </w:p>
        </w:tc>
        <w:tc>
          <w:tcPr>
            <w:tcW w:w="2835" w:type="dxa"/>
            <w:vAlign w:val="center"/>
          </w:tcPr>
          <w:p w14:paraId="0840E2AB">
            <w:pPr>
              <w:pStyle w:val="10"/>
            </w:pPr>
            <w:r>
              <w:t>6月底</w:t>
            </w:r>
          </w:p>
        </w:tc>
        <w:tc>
          <w:tcPr>
            <w:tcW w:w="2551" w:type="dxa"/>
            <w:vAlign w:val="center"/>
          </w:tcPr>
          <w:p w14:paraId="18B93FFD">
            <w:pPr>
              <w:pStyle w:val="10"/>
            </w:pPr>
            <w:r>
              <w:t>10月底</w:t>
            </w:r>
          </w:p>
        </w:tc>
        <w:tc>
          <w:tcPr>
            <w:tcW w:w="3544" w:type="dxa"/>
            <w:gridSpan w:val="2"/>
            <w:vAlign w:val="center"/>
          </w:tcPr>
          <w:p w14:paraId="21022B56">
            <w:pPr>
              <w:pStyle w:val="10"/>
            </w:pPr>
            <w:r>
              <w:t>12月底</w:t>
            </w:r>
          </w:p>
        </w:tc>
      </w:tr>
      <w:tr w14:paraId="6DE61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D770F"/>
        </w:tc>
        <w:tc>
          <w:tcPr>
            <w:tcW w:w="5103" w:type="dxa"/>
            <w:gridSpan w:val="2"/>
            <w:vAlign w:val="center"/>
          </w:tcPr>
          <w:p w14:paraId="14BCDB07">
            <w:pPr>
              <w:pStyle w:val="13"/>
            </w:pPr>
            <w:r>
              <w:t>25%</w:t>
            </w:r>
          </w:p>
        </w:tc>
        <w:tc>
          <w:tcPr>
            <w:tcW w:w="2835" w:type="dxa"/>
            <w:vAlign w:val="center"/>
          </w:tcPr>
          <w:p w14:paraId="6CF6FC82">
            <w:pPr>
              <w:pStyle w:val="13"/>
            </w:pPr>
            <w:r>
              <w:t>50%</w:t>
            </w:r>
          </w:p>
        </w:tc>
        <w:tc>
          <w:tcPr>
            <w:tcW w:w="2551" w:type="dxa"/>
            <w:vAlign w:val="center"/>
          </w:tcPr>
          <w:p w14:paraId="1AF1C65A">
            <w:pPr>
              <w:pStyle w:val="13"/>
            </w:pPr>
            <w:r>
              <w:t>75%</w:t>
            </w:r>
          </w:p>
        </w:tc>
        <w:tc>
          <w:tcPr>
            <w:tcW w:w="3544" w:type="dxa"/>
            <w:gridSpan w:val="2"/>
            <w:vAlign w:val="center"/>
          </w:tcPr>
          <w:p w14:paraId="359CDE7A">
            <w:pPr>
              <w:pStyle w:val="13"/>
            </w:pPr>
            <w:r>
              <w:t>100%</w:t>
            </w:r>
          </w:p>
        </w:tc>
      </w:tr>
      <w:tr w14:paraId="5FEC4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F5956">
            <w:pPr>
              <w:pStyle w:val="10"/>
            </w:pPr>
            <w:r>
              <w:t>绩效目标</w:t>
            </w:r>
          </w:p>
        </w:tc>
        <w:tc>
          <w:tcPr>
            <w:tcW w:w="14033" w:type="dxa"/>
            <w:gridSpan w:val="6"/>
            <w:vAlign w:val="center"/>
          </w:tcPr>
          <w:p w14:paraId="4C6D8852">
            <w:pPr>
              <w:pStyle w:val="12"/>
            </w:pPr>
            <w:r>
              <w:t>1.按季度分批次拨付公用经费资金140900元，资金拨付率达到100%。</w:t>
            </w:r>
          </w:p>
          <w:p w14:paraId="7523652F">
            <w:pPr>
              <w:pStyle w:val="12"/>
            </w:pPr>
            <w:r>
              <w:t>2.保障义务教育学校正常运转，完成教育教学活动和其他日常工作任务等方面的费用支出。</w:t>
            </w:r>
          </w:p>
        </w:tc>
      </w:tr>
    </w:tbl>
    <w:p w14:paraId="351A6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8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032A3">
            <w:pPr>
              <w:pStyle w:val="10"/>
            </w:pPr>
            <w:r>
              <w:t>一级指标</w:t>
            </w:r>
          </w:p>
        </w:tc>
        <w:tc>
          <w:tcPr>
            <w:tcW w:w="2268" w:type="dxa"/>
            <w:vAlign w:val="center"/>
          </w:tcPr>
          <w:p w14:paraId="0F8A5DAB">
            <w:pPr>
              <w:pStyle w:val="10"/>
            </w:pPr>
            <w:r>
              <w:t>二级指标</w:t>
            </w:r>
          </w:p>
        </w:tc>
        <w:tc>
          <w:tcPr>
            <w:tcW w:w="2835" w:type="dxa"/>
            <w:vAlign w:val="center"/>
          </w:tcPr>
          <w:p w14:paraId="46235C64">
            <w:pPr>
              <w:pStyle w:val="10"/>
            </w:pPr>
            <w:r>
              <w:t>三级指标</w:t>
            </w:r>
          </w:p>
        </w:tc>
        <w:tc>
          <w:tcPr>
            <w:tcW w:w="5386" w:type="dxa"/>
            <w:vAlign w:val="center"/>
          </w:tcPr>
          <w:p w14:paraId="41BC5315">
            <w:pPr>
              <w:pStyle w:val="10"/>
            </w:pPr>
            <w:r>
              <w:t>绩效指标描述</w:t>
            </w:r>
          </w:p>
        </w:tc>
        <w:tc>
          <w:tcPr>
            <w:tcW w:w="2268" w:type="dxa"/>
            <w:vAlign w:val="center"/>
          </w:tcPr>
          <w:p w14:paraId="0157ABF6">
            <w:pPr>
              <w:pStyle w:val="10"/>
            </w:pPr>
            <w:r>
              <w:t>指标值</w:t>
            </w:r>
          </w:p>
        </w:tc>
        <w:tc>
          <w:tcPr>
            <w:tcW w:w="1276" w:type="dxa"/>
            <w:vAlign w:val="center"/>
          </w:tcPr>
          <w:p w14:paraId="57D0314A">
            <w:pPr>
              <w:pStyle w:val="10"/>
            </w:pPr>
            <w:r>
              <w:t>指标值确定依据</w:t>
            </w:r>
          </w:p>
        </w:tc>
      </w:tr>
      <w:tr w14:paraId="6EF1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E4226">
            <w:pPr>
              <w:pStyle w:val="13"/>
            </w:pPr>
            <w:r>
              <w:t>产出指标</w:t>
            </w:r>
          </w:p>
        </w:tc>
        <w:tc>
          <w:tcPr>
            <w:tcW w:w="2268" w:type="dxa"/>
            <w:vAlign w:val="center"/>
          </w:tcPr>
          <w:p w14:paraId="21709868">
            <w:pPr>
              <w:pStyle w:val="12"/>
            </w:pPr>
            <w:r>
              <w:t>数量指标</w:t>
            </w:r>
          </w:p>
        </w:tc>
        <w:tc>
          <w:tcPr>
            <w:tcW w:w="2835" w:type="dxa"/>
            <w:vAlign w:val="center"/>
          </w:tcPr>
          <w:p w14:paraId="404B945B">
            <w:pPr>
              <w:pStyle w:val="12"/>
            </w:pPr>
            <w:r>
              <w:t>适龄在校生</w:t>
            </w:r>
          </w:p>
        </w:tc>
        <w:tc>
          <w:tcPr>
            <w:tcW w:w="5386" w:type="dxa"/>
            <w:vAlign w:val="center"/>
          </w:tcPr>
          <w:p w14:paraId="327939A0">
            <w:pPr>
              <w:pStyle w:val="12"/>
            </w:pPr>
            <w:r>
              <w:t>适龄在校就读学生人数</w:t>
            </w:r>
          </w:p>
        </w:tc>
        <w:tc>
          <w:tcPr>
            <w:tcW w:w="2268" w:type="dxa"/>
            <w:vAlign w:val="center"/>
          </w:tcPr>
          <w:p w14:paraId="10ED6C0C">
            <w:pPr>
              <w:pStyle w:val="12"/>
            </w:pPr>
            <w:r>
              <w:t>≥540人</w:t>
            </w:r>
          </w:p>
        </w:tc>
        <w:tc>
          <w:tcPr>
            <w:tcW w:w="1276" w:type="dxa"/>
            <w:vAlign w:val="center"/>
          </w:tcPr>
          <w:p w14:paraId="3AB37334">
            <w:pPr>
              <w:pStyle w:val="12"/>
            </w:pPr>
            <w:r>
              <w:t>城乡义务教育公用经费管理办法</w:t>
            </w:r>
          </w:p>
        </w:tc>
      </w:tr>
      <w:tr w14:paraId="7CA0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C1395"/>
        </w:tc>
        <w:tc>
          <w:tcPr>
            <w:tcW w:w="2268" w:type="dxa"/>
            <w:vAlign w:val="center"/>
          </w:tcPr>
          <w:p w14:paraId="20FC7304">
            <w:pPr>
              <w:pStyle w:val="12"/>
            </w:pPr>
            <w:r>
              <w:t>质量指标</w:t>
            </w:r>
          </w:p>
        </w:tc>
        <w:tc>
          <w:tcPr>
            <w:tcW w:w="2835" w:type="dxa"/>
            <w:vAlign w:val="center"/>
          </w:tcPr>
          <w:p w14:paraId="219790EB">
            <w:pPr>
              <w:pStyle w:val="12"/>
            </w:pPr>
            <w:r>
              <w:t>公用经费拨付完成率</w:t>
            </w:r>
          </w:p>
        </w:tc>
        <w:tc>
          <w:tcPr>
            <w:tcW w:w="5386" w:type="dxa"/>
            <w:vAlign w:val="center"/>
          </w:tcPr>
          <w:p w14:paraId="63E81C0A">
            <w:pPr>
              <w:pStyle w:val="12"/>
            </w:pPr>
            <w:r>
              <w:t>公用经费拨付完成率达到需时进度</w:t>
            </w:r>
          </w:p>
        </w:tc>
        <w:tc>
          <w:tcPr>
            <w:tcW w:w="2268" w:type="dxa"/>
            <w:vAlign w:val="center"/>
          </w:tcPr>
          <w:p w14:paraId="7279AA82">
            <w:pPr>
              <w:pStyle w:val="12"/>
            </w:pPr>
            <w:r>
              <w:t>100%</w:t>
            </w:r>
          </w:p>
        </w:tc>
        <w:tc>
          <w:tcPr>
            <w:tcW w:w="1276" w:type="dxa"/>
            <w:vAlign w:val="center"/>
          </w:tcPr>
          <w:p w14:paraId="0B87AC42">
            <w:pPr>
              <w:pStyle w:val="12"/>
            </w:pPr>
            <w:r>
              <w:t>城乡义务教育公用经费管理办法</w:t>
            </w:r>
          </w:p>
        </w:tc>
      </w:tr>
      <w:tr w14:paraId="2A53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D1CA0"/>
        </w:tc>
        <w:tc>
          <w:tcPr>
            <w:tcW w:w="2268" w:type="dxa"/>
            <w:vAlign w:val="center"/>
          </w:tcPr>
          <w:p w14:paraId="1EF2126A">
            <w:pPr>
              <w:pStyle w:val="12"/>
            </w:pPr>
            <w:r>
              <w:t>时效指标</w:t>
            </w:r>
          </w:p>
        </w:tc>
        <w:tc>
          <w:tcPr>
            <w:tcW w:w="2835" w:type="dxa"/>
            <w:vAlign w:val="center"/>
          </w:tcPr>
          <w:p w14:paraId="55F2D9B4">
            <w:pPr>
              <w:pStyle w:val="12"/>
            </w:pPr>
            <w:r>
              <w:t>资金支付率</w:t>
            </w:r>
          </w:p>
        </w:tc>
        <w:tc>
          <w:tcPr>
            <w:tcW w:w="5386" w:type="dxa"/>
            <w:vAlign w:val="center"/>
          </w:tcPr>
          <w:p w14:paraId="7FE225DE">
            <w:pPr>
              <w:pStyle w:val="12"/>
            </w:pPr>
            <w:r>
              <w:t>按照序时进度完成资金支付</w:t>
            </w:r>
          </w:p>
        </w:tc>
        <w:tc>
          <w:tcPr>
            <w:tcW w:w="2268" w:type="dxa"/>
            <w:vAlign w:val="center"/>
          </w:tcPr>
          <w:p w14:paraId="5727C24A">
            <w:pPr>
              <w:pStyle w:val="12"/>
            </w:pPr>
            <w:r>
              <w:t>100%</w:t>
            </w:r>
          </w:p>
        </w:tc>
        <w:tc>
          <w:tcPr>
            <w:tcW w:w="1276" w:type="dxa"/>
            <w:vAlign w:val="center"/>
          </w:tcPr>
          <w:p w14:paraId="3DA5F908">
            <w:pPr>
              <w:pStyle w:val="12"/>
            </w:pPr>
            <w:r>
              <w:t>城乡义务教育公用经费管理办法</w:t>
            </w:r>
          </w:p>
        </w:tc>
      </w:tr>
      <w:tr w14:paraId="5BE5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C7E7C"/>
        </w:tc>
        <w:tc>
          <w:tcPr>
            <w:tcW w:w="2268" w:type="dxa"/>
            <w:vAlign w:val="center"/>
          </w:tcPr>
          <w:p w14:paraId="3F2DBE3B">
            <w:pPr>
              <w:pStyle w:val="12"/>
            </w:pPr>
            <w:r>
              <w:t>成本指标</w:t>
            </w:r>
          </w:p>
        </w:tc>
        <w:tc>
          <w:tcPr>
            <w:tcW w:w="2835" w:type="dxa"/>
            <w:vAlign w:val="center"/>
          </w:tcPr>
          <w:p w14:paraId="4F61BC1C">
            <w:pPr>
              <w:pStyle w:val="12"/>
            </w:pPr>
            <w:r>
              <w:t>生均拨款标准</w:t>
            </w:r>
          </w:p>
        </w:tc>
        <w:tc>
          <w:tcPr>
            <w:tcW w:w="5386" w:type="dxa"/>
            <w:vAlign w:val="center"/>
          </w:tcPr>
          <w:p w14:paraId="7BF3513B">
            <w:pPr>
              <w:pStyle w:val="12"/>
            </w:pPr>
            <w:r>
              <w:t>小学：（基本标准720元、寄宿生300元、取暖费120元）/生/学年；特教、随班就读学生：标准7000元/生/学年。</w:t>
            </w:r>
          </w:p>
        </w:tc>
        <w:tc>
          <w:tcPr>
            <w:tcW w:w="2268" w:type="dxa"/>
            <w:vAlign w:val="center"/>
          </w:tcPr>
          <w:p w14:paraId="3D3DD0B9">
            <w:pPr>
              <w:pStyle w:val="12"/>
            </w:pPr>
            <w:r>
              <w:t>140900元</w:t>
            </w:r>
          </w:p>
        </w:tc>
        <w:tc>
          <w:tcPr>
            <w:tcW w:w="1276" w:type="dxa"/>
            <w:vAlign w:val="center"/>
          </w:tcPr>
          <w:p w14:paraId="73D3A62E">
            <w:pPr>
              <w:pStyle w:val="12"/>
            </w:pPr>
            <w:r>
              <w:t>城乡义务教育公用经费管理办法</w:t>
            </w:r>
          </w:p>
        </w:tc>
      </w:tr>
      <w:tr w14:paraId="5C5E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F0784">
            <w:pPr>
              <w:pStyle w:val="13"/>
            </w:pPr>
            <w:r>
              <w:t>效益指标</w:t>
            </w:r>
          </w:p>
        </w:tc>
        <w:tc>
          <w:tcPr>
            <w:tcW w:w="2268" w:type="dxa"/>
            <w:vAlign w:val="center"/>
          </w:tcPr>
          <w:p w14:paraId="1872196E">
            <w:pPr>
              <w:pStyle w:val="12"/>
            </w:pPr>
            <w:r>
              <w:t>经济效益指标</w:t>
            </w:r>
          </w:p>
        </w:tc>
        <w:tc>
          <w:tcPr>
            <w:tcW w:w="2835" w:type="dxa"/>
            <w:vAlign w:val="center"/>
          </w:tcPr>
          <w:p w14:paraId="37B659C6">
            <w:pPr>
              <w:pStyle w:val="12"/>
            </w:pPr>
            <w:r>
              <w:t>项目实施成果</w:t>
            </w:r>
          </w:p>
        </w:tc>
        <w:tc>
          <w:tcPr>
            <w:tcW w:w="5386" w:type="dxa"/>
            <w:vAlign w:val="center"/>
          </w:tcPr>
          <w:p w14:paraId="4ABDA333">
            <w:pPr>
              <w:pStyle w:val="12"/>
            </w:pPr>
            <w:r>
              <w:t>减轻受教育学生家庭经济负担</w:t>
            </w:r>
          </w:p>
        </w:tc>
        <w:tc>
          <w:tcPr>
            <w:tcW w:w="2268" w:type="dxa"/>
            <w:vAlign w:val="center"/>
          </w:tcPr>
          <w:p w14:paraId="6F386EBD">
            <w:pPr>
              <w:pStyle w:val="12"/>
            </w:pPr>
            <w:r>
              <w:t>100%</w:t>
            </w:r>
          </w:p>
        </w:tc>
        <w:tc>
          <w:tcPr>
            <w:tcW w:w="1276" w:type="dxa"/>
            <w:vAlign w:val="center"/>
          </w:tcPr>
          <w:p w14:paraId="2B2D6923">
            <w:pPr>
              <w:pStyle w:val="12"/>
            </w:pPr>
            <w:r>
              <w:t>城乡义务教育公用经费管理办法</w:t>
            </w:r>
          </w:p>
        </w:tc>
      </w:tr>
      <w:tr w14:paraId="3781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27E82"/>
        </w:tc>
        <w:tc>
          <w:tcPr>
            <w:tcW w:w="2268" w:type="dxa"/>
            <w:vAlign w:val="center"/>
          </w:tcPr>
          <w:p w14:paraId="517FC39C">
            <w:pPr>
              <w:pStyle w:val="12"/>
            </w:pPr>
            <w:r>
              <w:t>社会效益指标</w:t>
            </w:r>
          </w:p>
        </w:tc>
        <w:tc>
          <w:tcPr>
            <w:tcW w:w="2835" w:type="dxa"/>
            <w:vAlign w:val="center"/>
          </w:tcPr>
          <w:p w14:paraId="5A861E48">
            <w:pPr>
              <w:pStyle w:val="12"/>
            </w:pPr>
            <w:r>
              <w:t>学校办学能力提升</w:t>
            </w:r>
          </w:p>
        </w:tc>
        <w:tc>
          <w:tcPr>
            <w:tcW w:w="5386" w:type="dxa"/>
            <w:vAlign w:val="center"/>
          </w:tcPr>
          <w:p w14:paraId="17FDE9A3">
            <w:pPr>
              <w:pStyle w:val="12"/>
            </w:pPr>
            <w:r>
              <w:t>学校办学能</w:t>
            </w:r>
            <w:r>
              <w:rPr>
                <w:rFonts w:hint="eastAsia"/>
                <w:lang w:eastAsia="zh-CN"/>
              </w:rPr>
              <w:t>力提</w:t>
            </w:r>
            <w:r>
              <w:t>升情况及教育教学工作等开展的情况</w:t>
            </w:r>
          </w:p>
        </w:tc>
        <w:tc>
          <w:tcPr>
            <w:tcW w:w="2268" w:type="dxa"/>
            <w:vAlign w:val="center"/>
          </w:tcPr>
          <w:p w14:paraId="015CA1B5">
            <w:pPr>
              <w:pStyle w:val="12"/>
            </w:pPr>
            <w:r>
              <w:t>100%</w:t>
            </w:r>
          </w:p>
        </w:tc>
        <w:tc>
          <w:tcPr>
            <w:tcW w:w="1276" w:type="dxa"/>
            <w:vAlign w:val="center"/>
          </w:tcPr>
          <w:p w14:paraId="73CBB9B6">
            <w:pPr>
              <w:pStyle w:val="12"/>
            </w:pPr>
            <w:r>
              <w:t>城乡义务教育公用经费管理办法</w:t>
            </w:r>
          </w:p>
        </w:tc>
      </w:tr>
      <w:tr w14:paraId="7720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1179B"/>
        </w:tc>
        <w:tc>
          <w:tcPr>
            <w:tcW w:w="2268" w:type="dxa"/>
            <w:vAlign w:val="center"/>
          </w:tcPr>
          <w:p w14:paraId="6F6DB449">
            <w:pPr>
              <w:pStyle w:val="12"/>
            </w:pPr>
            <w:r>
              <w:t>可持续影响指标</w:t>
            </w:r>
          </w:p>
        </w:tc>
        <w:tc>
          <w:tcPr>
            <w:tcW w:w="2835" w:type="dxa"/>
            <w:vAlign w:val="center"/>
          </w:tcPr>
          <w:p w14:paraId="1228D733">
            <w:pPr>
              <w:pStyle w:val="12"/>
            </w:pPr>
            <w:r>
              <w:t>教育发展水平</w:t>
            </w:r>
          </w:p>
        </w:tc>
        <w:tc>
          <w:tcPr>
            <w:tcW w:w="5386" w:type="dxa"/>
            <w:vAlign w:val="center"/>
          </w:tcPr>
          <w:p w14:paraId="2E2FE7CA">
            <w:pPr>
              <w:pStyle w:val="12"/>
            </w:pPr>
            <w:r>
              <w:t>辖区内教育环境明显好转</w:t>
            </w:r>
          </w:p>
        </w:tc>
        <w:tc>
          <w:tcPr>
            <w:tcW w:w="2268" w:type="dxa"/>
            <w:vAlign w:val="center"/>
          </w:tcPr>
          <w:p w14:paraId="408F0859">
            <w:pPr>
              <w:pStyle w:val="12"/>
            </w:pPr>
            <w:r>
              <w:t>100%</w:t>
            </w:r>
          </w:p>
        </w:tc>
        <w:tc>
          <w:tcPr>
            <w:tcW w:w="1276" w:type="dxa"/>
            <w:vAlign w:val="center"/>
          </w:tcPr>
          <w:p w14:paraId="39AD6AF1">
            <w:pPr>
              <w:pStyle w:val="12"/>
            </w:pPr>
            <w:r>
              <w:t>城乡义务教育公用经费管理办法</w:t>
            </w:r>
          </w:p>
        </w:tc>
      </w:tr>
      <w:tr w14:paraId="5C0FC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DC7DE">
            <w:pPr>
              <w:pStyle w:val="13"/>
            </w:pPr>
            <w:r>
              <w:t>满意度指标</w:t>
            </w:r>
          </w:p>
        </w:tc>
        <w:tc>
          <w:tcPr>
            <w:tcW w:w="2268" w:type="dxa"/>
            <w:vAlign w:val="center"/>
          </w:tcPr>
          <w:p w14:paraId="5B19F8A9">
            <w:pPr>
              <w:pStyle w:val="12"/>
            </w:pPr>
            <w:r>
              <w:t>服务对象满意度指标</w:t>
            </w:r>
          </w:p>
        </w:tc>
        <w:tc>
          <w:tcPr>
            <w:tcW w:w="2835" w:type="dxa"/>
            <w:vAlign w:val="center"/>
          </w:tcPr>
          <w:p w14:paraId="33515AAD">
            <w:pPr>
              <w:pStyle w:val="12"/>
            </w:pPr>
            <w:r>
              <w:t>受益学生家长及调查满意度</w:t>
            </w:r>
          </w:p>
        </w:tc>
        <w:tc>
          <w:tcPr>
            <w:tcW w:w="5386" w:type="dxa"/>
            <w:vAlign w:val="center"/>
          </w:tcPr>
          <w:p w14:paraId="004413E5">
            <w:pPr>
              <w:pStyle w:val="12"/>
            </w:pPr>
            <w:r>
              <w:t>学生、教师及家长对学校保教保育工作满意度情况</w:t>
            </w:r>
          </w:p>
        </w:tc>
        <w:tc>
          <w:tcPr>
            <w:tcW w:w="2268" w:type="dxa"/>
            <w:vAlign w:val="center"/>
          </w:tcPr>
          <w:p w14:paraId="1E890215">
            <w:pPr>
              <w:pStyle w:val="12"/>
            </w:pPr>
            <w:r>
              <w:t>≥95%</w:t>
            </w:r>
          </w:p>
        </w:tc>
        <w:tc>
          <w:tcPr>
            <w:tcW w:w="1276" w:type="dxa"/>
            <w:vAlign w:val="center"/>
          </w:tcPr>
          <w:p w14:paraId="48EAEC55">
            <w:pPr>
              <w:pStyle w:val="12"/>
            </w:pPr>
            <w:r>
              <w:t>调查问卷</w:t>
            </w:r>
          </w:p>
        </w:tc>
      </w:tr>
    </w:tbl>
    <w:p w14:paraId="6B62F841">
      <w:pPr>
        <w:sectPr>
          <w:pgSz w:w="16840" w:h="11900" w:orient="landscape"/>
          <w:pgMar w:top="1361" w:right="1020" w:bottom="1134" w:left="1020" w:header="720" w:footer="720" w:gutter="0"/>
          <w:cols w:space="720" w:num="1"/>
        </w:sectPr>
      </w:pPr>
    </w:p>
    <w:p w14:paraId="6FCEBB32">
      <w:pPr>
        <w:spacing w:before="0" w:after="0"/>
        <w:ind w:firstLine="560"/>
        <w:jc w:val="left"/>
        <w:outlineLvl w:val="9"/>
      </w:pPr>
      <w:r>
        <w:rPr>
          <w:rFonts w:ascii="方正仿宋_GBK" w:hAnsi="方正仿宋_GBK" w:eastAsia="方正仿宋_GBK" w:cs="方正仿宋_GBK"/>
          <w:b/>
          <w:color w:val="000000"/>
          <w:sz w:val="28"/>
        </w:rPr>
        <w:t>16、冀财教[2025]147号/省级/2026年义教补助经费/城关校区南柏舍小学公用经费绩效目标表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77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4A1A1">
            <w:pPr>
              <w:pStyle w:val="11"/>
            </w:pPr>
            <w:r>
              <w:t>单位：万元</w:t>
            </w:r>
          </w:p>
        </w:tc>
      </w:tr>
      <w:tr w14:paraId="69BBA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5B16F">
            <w:pPr>
              <w:pStyle w:val="10"/>
            </w:pPr>
            <w:r>
              <w:t>项目编码</w:t>
            </w:r>
          </w:p>
        </w:tc>
        <w:tc>
          <w:tcPr>
            <w:tcW w:w="5103" w:type="dxa"/>
            <w:gridSpan w:val="2"/>
            <w:vAlign w:val="center"/>
          </w:tcPr>
          <w:p w14:paraId="67CE22B2">
            <w:pPr>
              <w:pStyle w:val="12"/>
            </w:pPr>
            <w:r>
              <w:t>13052526P00000410345U</w:t>
            </w:r>
          </w:p>
        </w:tc>
        <w:tc>
          <w:tcPr>
            <w:tcW w:w="2835" w:type="dxa"/>
            <w:vAlign w:val="center"/>
          </w:tcPr>
          <w:p w14:paraId="549AB24B">
            <w:pPr>
              <w:pStyle w:val="10"/>
            </w:pPr>
            <w:r>
              <w:t>项目名称</w:t>
            </w:r>
          </w:p>
        </w:tc>
        <w:tc>
          <w:tcPr>
            <w:tcW w:w="6095" w:type="dxa"/>
            <w:gridSpan w:val="3"/>
            <w:vAlign w:val="center"/>
          </w:tcPr>
          <w:p w14:paraId="77BCABAC">
            <w:pPr>
              <w:pStyle w:val="12"/>
            </w:pPr>
            <w:r>
              <w:t>冀财教[2025]147号/省级/2026年义教补助经费/城关校区南柏舍小学公用经费</w:t>
            </w:r>
          </w:p>
        </w:tc>
      </w:tr>
      <w:tr w14:paraId="5BFD0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E9885">
            <w:pPr>
              <w:pStyle w:val="10"/>
            </w:pPr>
            <w:r>
              <w:t>预算规模及资金用途</w:t>
            </w:r>
          </w:p>
        </w:tc>
        <w:tc>
          <w:tcPr>
            <w:tcW w:w="2268" w:type="dxa"/>
            <w:vAlign w:val="center"/>
          </w:tcPr>
          <w:p w14:paraId="6C7255F9">
            <w:pPr>
              <w:pStyle w:val="10"/>
            </w:pPr>
            <w:r>
              <w:t>预算数</w:t>
            </w:r>
          </w:p>
        </w:tc>
        <w:tc>
          <w:tcPr>
            <w:tcW w:w="2835" w:type="dxa"/>
            <w:vAlign w:val="center"/>
          </w:tcPr>
          <w:p w14:paraId="4821AF2A">
            <w:pPr>
              <w:pStyle w:val="12"/>
            </w:pPr>
            <w:r>
              <w:t>39.44</w:t>
            </w:r>
          </w:p>
        </w:tc>
        <w:tc>
          <w:tcPr>
            <w:tcW w:w="2835" w:type="dxa"/>
            <w:vAlign w:val="center"/>
          </w:tcPr>
          <w:p w14:paraId="642BA16D">
            <w:pPr>
              <w:pStyle w:val="10"/>
            </w:pPr>
            <w:r>
              <w:t>其中：财政    资金</w:t>
            </w:r>
          </w:p>
        </w:tc>
        <w:tc>
          <w:tcPr>
            <w:tcW w:w="2551" w:type="dxa"/>
            <w:vAlign w:val="center"/>
          </w:tcPr>
          <w:p w14:paraId="5791C7AB">
            <w:pPr>
              <w:pStyle w:val="12"/>
            </w:pPr>
            <w:r>
              <w:t>39.44</w:t>
            </w:r>
          </w:p>
        </w:tc>
        <w:tc>
          <w:tcPr>
            <w:tcW w:w="2268" w:type="dxa"/>
            <w:vAlign w:val="center"/>
          </w:tcPr>
          <w:p w14:paraId="5B1260A6">
            <w:pPr>
              <w:pStyle w:val="10"/>
            </w:pPr>
            <w:r>
              <w:t>其他资金</w:t>
            </w:r>
          </w:p>
        </w:tc>
        <w:tc>
          <w:tcPr>
            <w:tcW w:w="1276" w:type="dxa"/>
            <w:vAlign w:val="center"/>
          </w:tcPr>
          <w:p w14:paraId="170B92E6">
            <w:pPr>
              <w:pStyle w:val="12"/>
            </w:pPr>
            <w:r>
              <w:t xml:space="preserve"> </w:t>
            </w:r>
          </w:p>
        </w:tc>
      </w:tr>
      <w:tr w14:paraId="7F665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56E2C"/>
        </w:tc>
        <w:tc>
          <w:tcPr>
            <w:tcW w:w="14033" w:type="dxa"/>
            <w:gridSpan w:val="6"/>
            <w:vAlign w:val="center"/>
          </w:tcPr>
          <w:p w14:paraId="589DCEB0">
            <w:pPr>
              <w:pStyle w:val="12"/>
            </w:pPr>
            <w:r>
              <w:t>保障义务教育学校正常运转，完成教育教学活动和其他日常工作任务等方面的费用支出。</w:t>
            </w:r>
          </w:p>
        </w:tc>
      </w:tr>
      <w:tr w14:paraId="3230F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CB8C6">
            <w:pPr>
              <w:pStyle w:val="10"/>
            </w:pPr>
            <w:r>
              <w:t>资金支出计划（%）</w:t>
            </w:r>
          </w:p>
        </w:tc>
        <w:tc>
          <w:tcPr>
            <w:tcW w:w="5103" w:type="dxa"/>
            <w:gridSpan w:val="2"/>
            <w:vAlign w:val="center"/>
          </w:tcPr>
          <w:p w14:paraId="16ED969B">
            <w:pPr>
              <w:pStyle w:val="10"/>
            </w:pPr>
            <w:r>
              <w:t>3月底</w:t>
            </w:r>
          </w:p>
        </w:tc>
        <w:tc>
          <w:tcPr>
            <w:tcW w:w="2835" w:type="dxa"/>
            <w:vAlign w:val="center"/>
          </w:tcPr>
          <w:p w14:paraId="125CD8D1">
            <w:pPr>
              <w:pStyle w:val="10"/>
            </w:pPr>
            <w:r>
              <w:t>6月底</w:t>
            </w:r>
          </w:p>
        </w:tc>
        <w:tc>
          <w:tcPr>
            <w:tcW w:w="2551" w:type="dxa"/>
            <w:vAlign w:val="center"/>
          </w:tcPr>
          <w:p w14:paraId="70A95A4D">
            <w:pPr>
              <w:pStyle w:val="10"/>
            </w:pPr>
            <w:r>
              <w:t>10月底</w:t>
            </w:r>
          </w:p>
        </w:tc>
        <w:tc>
          <w:tcPr>
            <w:tcW w:w="3544" w:type="dxa"/>
            <w:gridSpan w:val="2"/>
            <w:vAlign w:val="center"/>
          </w:tcPr>
          <w:p w14:paraId="0889ACAF">
            <w:pPr>
              <w:pStyle w:val="10"/>
            </w:pPr>
            <w:r>
              <w:t>12月底</w:t>
            </w:r>
          </w:p>
        </w:tc>
      </w:tr>
      <w:tr w14:paraId="35AC2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EF928"/>
        </w:tc>
        <w:tc>
          <w:tcPr>
            <w:tcW w:w="5103" w:type="dxa"/>
            <w:gridSpan w:val="2"/>
            <w:vAlign w:val="center"/>
          </w:tcPr>
          <w:p w14:paraId="43D9F75D">
            <w:pPr>
              <w:pStyle w:val="13"/>
            </w:pPr>
            <w:r>
              <w:t>25%</w:t>
            </w:r>
          </w:p>
        </w:tc>
        <w:tc>
          <w:tcPr>
            <w:tcW w:w="2835" w:type="dxa"/>
            <w:vAlign w:val="center"/>
          </w:tcPr>
          <w:p w14:paraId="2DCFF5CF">
            <w:pPr>
              <w:pStyle w:val="13"/>
            </w:pPr>
            <w:r>
              <w:t>50%</w:t>
            </w:r>
          </w:p>
        </w:tc>
        <w:tc>
          <w:tcPr>
            <w:tcW w:w="2551" w:type="dxa"/>
            <w:vAlign w:val="center"/>
          </w:tcPr>
          <w:p w14:paraId="28D956DF">
            <w:pPr>
              <w:pStyle w:val="13"/>
            </w:pPr>
            <w:r>
              <w:t>75%</w:t>
            </w:r>
          </w:p>
        </w:tc>
        <w:tc>
          <w:tcPr>
            <w:tcW w:w="3544" w:type="dxa"/>
            <w:gridSpan w:val="2"/>
            <w:vAlign w:val="center"/>
          </w:tcPr>
          <w:p w14:paraId="283F6F07">
            <w:pPr>
              <w:pStyle w:val="13"/>
            </w:pPr>
            <w:r>
              <w:t>100%</w:t>
            </w:r>
          </w:p>
        </w:tc>
      </w:tr>
      <w:tr w14:paraId="30B63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5365D">
            <w:pPr>
              <w:pStyle w:val="10"/>
            </w:pPr>
            <w:r>
              <w:t>绩效目标</w:t>
            </w:r>
          </w:p>
        </w:tc>
        <w:tc>
          <w:tcPr>
            <w:tcW w:w="14033" w:type="dxa"/>
            <w:gridSpan w:val="6"/>
            <w:vAlign w:val="center"/>
          </w:tcPr>
          <w:p w14:paraId="095383D0">
            <w:pPr>
              <w:pStyle w:val="12"/>
            </w:pPr>
            <w:r>
              <w:t>1.按季度分批次拨付公用经费资金394400元，资金拨付率达到100%。</w:t>
            </w:r>
          </w:p>
          <w:p w14:paraId="5581A016">
            <w:pPr>
              <w:pStyle w:val="12"/>
            </w:pPr>
            <w:r>
              <w:t>2.保障义务教育学校正常运转，完成教育教学活动和其他日常工作任务等方面的费用支出。</w:t>
            </w:r>
          </w:p>
        </w:tc>
      </w:tr>
    </w:tbl>
    <w:p w14:paraId="207A38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9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A84C8">
            <w:pPr>
              <w:pStyle w:val="10"/>
            </w:pPr>
            <w:r>
              <w:t>一级指标</w:t>
            </w:r>
          </w:p>
        </w:tc>
        <w:tc>
          <w:tcPr>
            <w:tcW w:w="2268" w:type="dxa"/>
            <w:vAlign w:val="center"/>
          </w:tcPr>
          <w:p w14:paraId="3FA8ADC5">
            <w:pPr>
              <w:pStyle w:val="10"/>
            </w:pPr>
            <w:r>
              <w:t>二级指标</w:t>
            </w:r>
          </w:p>
        </w:tc>
        <w:tc>
          <w:tcPr>
            <w:tcW w:w="2835" w:type="dxa"/>
            <w:vAlign w:val="center"/>
          </w:tcPr>
          <w:p w14:paraId="3013EC14">
            <w:pPr>
              <w:pStyle w:val="10"/>
            </w:pPr>
            <w:r>
              <w:t>三级指标</w:t>
            </w:r>
          </w:p>
        </w:tc>
        <w:tc>
          <w:tcPr>
            <w:tcW w:w="5386" w:type="dxa"/>
            <w:vAlign w:val="center"/>
          </w:tcPr>
          <w:p w14:paraId="1E367AF5">
            <w:pPr>
              <w:pStyle w:val="10"/>
            </w:pPr>
            <w:r>
              <w:t>绩效指标描述</w:t>
            </w:r>
          </w:p>
        </w:tc>
        <w:tc>
          <w:tcPr>
            <w:tcW w:w="2268" w:type="dxa"/>
            <w:vAlign w:val="center"/>
          </w:tcPr>
          <w:p w14:paraId="3ABD21EB">
            <w:pPr>
              <w:pStyle w:val="10"/>
            </w:pPr>
            <w:r>
              <w:t>指标值</w:t>
            </w:r>
          </w:p>
        </w:tc>
        <w:tc>
          <w:tcPr>
            <w:tcW w:w="1276" w:type="dxa"/>
            <w:vAlign w:val="center"/>
          </w:tcPr>
          <w:p w14:paraId="2BB3E024">
            <w:pPr>
              <w:pStyle w:val="10"/>
            </w:pPr>
            <w:r>
              <w:t>指标值确定依据</w:t>
            </w:r>
          </w:p>
        </w:tc>
      </w:tr>
      <w:tr w14:paraId="5C76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820D9">
            <w:pPr>
              <w:pStyle w:val="13"/>
            </w:pPr>
            <w:r>
              <w:t>产出指标</w:t>
            </w:r>
          </w:p>
        </w:tc>
        <w:tc>
          <w:tcPr>
            <w:tcW w:w="2268" w:type="dxa"/>
            <w:vAlign w:val="center"/>
          </w:tcPr>
          <w:p w14:paraId="6F499F14">
            <w:pPr>
              <w:pStyle w:val="12"/>
            </w:pPr>
            <w:r>
              <w:t>数量指标</w:t>
            </w:r>
          </w:p>
        </w:tc>
        <w:tc>
          <w:tcPr>
            <w:tcW w:w="2835" w:type="dxa"/>
            <w:vAlign w:val="center"/>
          </w:tcPr>
          <w:p w14:paraId="44A4F0B8">
            <w:pPr>
              <w:pStyle w:val="12"/>
            </w:pPr>
            <w:r>
              <w:t>适龄在校生</w:t>
            </w:r>
          </w:p>
        </w:tc>
        <w:tc>
          <w:tcPr>
            <w:tcW w:w="5386" w:type="dxa"/>
            <w:vAlign w:val="center"/>
          </w:tcPr>
          <w:p w14:paraId="1B2374ED">
            <w:pPr>
              <w:pStyle w:val="12"/>
            </w:pPr>
            <w:r>
              <w:t>适龄在校就读学生人数</w:t>
            </w:r>
          </w:p>
        </w:tc>
        <w:tc>
          <w:tcPr>
            <w:tcW w:w="2268" w:type="dxa"/>
            <w:vAlign w:val="center"/>
          </w:tcPr>
          <w:p w14:paraId="72DD3C5E">
            <w:pPr>
              <w:pStyle w:val="12"/>
            </w:pPr>
            <w:r>
              <w:t>≥1475人</w:t>
            </w:r>
          </w:p>
        </w:tc>
        <w:tc>
          <w:tcPr>
            <w:tcW w:w="1276" w:type="dxa"/>
            <w:vAlign w:val="center"/>
          </w:tcPr>
          <w:p w14:paraId="025B5215">
            <w:pPr>
              <w:pStyle w:val="12"/>
            </w:pPr>
            <w:r>
              <w:t>城乡义务教育公用经费管理办法</w:t>
            </w:r>
          </w:p>
        </w:tc>
      </w:tr>
      <w:tr w14:paraId="7A06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AA048"/>
        </w:tc>
        <w:tc>
          <w:tcPr>
            <w:tcW w:w="2268" w:type="dxa"/>
            <w:vAlign w:val="center"/>
          </w:tcPr>
          <w:p w14:paraId="280C1480">
            <w:pPr>
              <w:pStyle w:val="12"/>
            </w:pPr>
            <w:r>
              <w:t>质量指标</w:t>
            </w:r>
          </w:p>
        </w:tc>
        <w:tc>
          <w:tcPr>
            <w:tcW w:w="2835" w:type="dxa"/>
            <w:vAlign w:val="center"/>
          </w:tcPr>
          <w:p w14:paraId="5BDB8A73">
            <w:pPr>
              <w:pStyle w:val="12"/>
            </w:pPr>
            <w:r>
              <w:t>公用经费拨付完成率</w:t>
            </w:r>
          </w:p>
        </w:tc>
        <w:tc>
          <w:tcPr>
            <w:tcW w:w="5386" w:type="dxa"/>
            <w:vAlign w:val="center"/>
          </w:tcPr>
          <w:p w14:paraId="0592687E">
            <w:pPr>
              <w:pStyle w:val="12"/>
            </w:pPr>
            <w:r>
              <w:t>公用经费拨付完成率达到需时进度</w:t>
            </w:r>
          </w:p>
        </w:tc>
        <w:tc>
          <w:tcPr>
            <w:tcW w:w="2268" w:type="dxa"/>
            <w:vAlign w:val="center"/>
          </w:tcPr>
          <w:p w14:paraId="67492CB2">
            <w:pPr>
              <w:pStyle w:val="12"/>
            </w:pPr>
            <w:r>
              <w:t>100%</w:t>
            </w:r>
          </w:p>
        </w:tc>
        <w:tc>
          <w:tcPr>
            <w:tcW w:w="1276" w:type="dxa"/>
            <w:vAlign w:val="center"/>
          </w:tcPr>
          <w:p w14:paraId="0E3D4B72">
            <w:pPr>
              <w:pStyle w:val="12"/>
            </w:pPr>
            <w:r>
              <w:t>城乡义务教育公用经费管理办法</w:t>
            </w:r>
          </w:p>
        </w:tc>
      </w:tr>
      <w:tr w14:paraId="3A85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0CB3F"/>
        </w:tc>
        <w:tc>
          <w:tcPr>
            <w:tcW w:w="2268" w:type="dxa"/>
            <w:vAlign w:val="center"/>
          </w:tcPr>
          <w:p w14:paraId="4BA084E4">
            <w:pPr>
              <w:pStyle w:val="12"/>
            </w:pPr>
            <w:r>
              <w:t>时效指标</w:t>
            </w:r>
          </w:p>
        </w:tc>
        <w:tc>
          <w:tcPr>
            <w:tcW w:w="2835" w:type="dxa"/>
            <w:vAlign w:val="center"/>
          </w:tcPr>
          <w:p w14:paraId="319BCF65">
            <w:pPr>
              <w:pStyle w:val="12"/>
            </w:pPr>
            <w:r>
              <w:t>资金支付率</w:t>
            </w:r>
          </w:p>
        </w:tc>
        <w:tc>
          <w:tcPr>
            <w:tcW w:w="5386" w:type="dxa"/>
            <w:vAlign w:val="center"/>
          </w:tcPr>
          <w:p w14:paraId="6A7B7B4A">
            <w:pPr>
              <w:pStyle w:val="12"/>
            </w:pPr>
            <w:r>
              <w:t>按照序时进度完成资金支付</w:t>
            </w:r>
          </w:p>
        </w:tc>
        <w:tc>
          <w:tcPr>
            <w:tcW w:w="2268" w:type="dxa"/>
            <w:vAlign w:val="center"/>
          </w:tcPr>
          <w:p w14:paraId="10699CD4">
            <w:pPr>
              <w:pStyle w:val="12"/>
            </w:pPr>
            <w:r>
              <w:t>100%</w:t>
            </w:r>
          </w:p>
        </w:tc>
        <w:tc>
          <w:tcPr>
            <w:tcW w:w="1276" w:type="dxa"/>
            <w:vAlign w:val="center"/>
          </w:tcPr>
          <w:p w14:paraId="639861AF">
            <w:pPr>
              <w:pStyle w:val="12"/>
            </w:pPr>
            <w:r>
              <w:t>城乡义务教育公用经费管理办法</w:t>
            </w:r>
          </w:p>
        </w:tc>
      </w:tr>
      <w:tr w14:paraId="6BB6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EA11"/>
        </w:tc>
        <w:tc>
          <w:tcPr>
            <w:tcW w:w="2268" w:type="dxa"/>
            <w:vAlign w:val="center"/>
          </w:tcPr>
          <w:p w14:paraId="7153C5C4">
            <w:pPr>
              <w:pStyle w:val="12"/>
            </w:pPr>
            <w:r>
              <w:t>成本指标</w:t>
            </w:r>
          </w:p>
        </w:tc>
        <w:tc>
          <w:tcPr>
            <w:tcW w:w="2835" w:type="dxa"/>
            <w:vAlign w:val="center"/>
          </w:tcPr>
          <w:p w14:paraId="05BB8666">
            <w:pPr>
              <w:pStyle w:val="12"/>
            </w:pPr>
            <w:r>
              <w:t>生均拨款标准</w:t>
            </w:r>
          </w:p>
        </w:tc>
        <w:tc>
          <w:tcPr>
            <w:tcW w:w="5386" w:type="dxa"/>
            <w:vAlign w:val="center"/>
          </w:tcPr>
          <w:p w14:paraId="53E00FAA">
            <w:pPr>
              <w:pStyle w:val="12"/>
            </w:pPr>
            <w:r>
              <w:t>小学：（基本标准720元、寄宿生300元、取暖费120元）/生/学年；特教、随班就读学生：标准7000元/生/学年。</w:t>
            </w:r>
          </w:p>
        </w:tc>
        <w:tc>
          <w:tcPr>
            <w:tcW w:w="2268" w:type="dxa"/>
            <w:vAlign w:val="center"/>
          </w:tcPr>
          <w:p w14:paraId="1AE6B34A">
            <w:pPr>
              <w:pStyle w:val="12"/>
            </w:pPr>
            <w:r>
              <w:t>394400元</w:t>
            </w:r>
          </w:p>
        </w:tc>
        <w:tc>
          <w:tcPr>
            <w:tcW w:w="1276" w:type="dxa"/>
            <w:vAlign w:val="center"/>
          </w:tcPr>
          <w:p w14:paraId="76B6BB4B">
            <w:pPr>
              <w:pStyle w:val="12"/>
            </w:pPr>
            <w:r>
              <w:t>城乡义务教育公用经费管理办法</w:t>
            </w:r>
          </w:p>
        </w:tc>
      </w:tr>
      <w:tr w14:paraId="794E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B6FB7">
            <w:pPr>
              <w:pStyle w:val="13"/>
            </w:pPr>
            <w:r>
              <w:t>效益指标</w:t>
            </w:r>
          </w:p>
        </w:tc>
        <w:tc>
          <w:tcPr>
            <w:tcW w:w="2268" w:type="dxa"/>
            <w:vAlign w:val="center"/>
          </w:tcPr>
          <w:p w14:paraId="6A518C67">
            <w:pPr>
              <w:pStyle w:val="12"/>
            </w:pPr>
            <w:r>
              <w:t>经济效益指标</w:t>
            </w:r>
          </w:p>
        </w:tc>
        <w:tc>
          <w:tcPr>
            <w:tcW w:w="2835" w:type="dxa"/>
            <w:vAlign w:val="center"/>
          </w:tcPr>
          <w:p w14:paraId="07D975AB">
            <w:pPr>
              <w:pStyle w:val="12"/>
            </w:pPr>
            <w:r>
              <w:t>项目实施成果</w:t>
            </w:r>
          </w:p>
        </w:tc>
        <w:tc>
          <w:tcPr>
            <w:tcW w:w="5386" w:type="dxa"/>
            <w:vAlign w:val="center"/>
          </w:tcPr>
          <w:p w14:paraId="40457F5F">
            <w:pPr>
              <w:pStyle w:val="12"/>
            </w:pPr>
            <w:r>
              <w:t>减轻受教育学生家庭经济负担</w:t>
            </w:r>
          </w:p>
        </w:tc>
        <w:tc>
          <w:tcPr>
            <w:tcW w:w="2268" w:type="dxa"/>
            <w:vAlign w:val="center"/>
          </w:tcPr>
          <w:p w14:paraId="032B10CB">
            <w:pPr>
              <w:pStyle w:val="12"/>
            </w:pPr>
            <w:r>
              <w:t>100%</w:t>
            </w:r>
          </w:p>
        </w:tc>
        <w:tc>
          <w:tcPr>
            <w:tcW w:w="1276" w:type="dxa"/>
            <w:vAlign w:val="center"/>
          </w:tcPr>
          <w:p w14:paraId="57733093">
            <w:pPr>
              <w:pStyle w:val="12"/>
            </w:pPr>
            <w:r>
              <w:t>城乡义务教育公用经费管理办法</w:t>
            </w:r>
          </w:p>
        </w:tc>
      </w:tr>
      <w:tr w14:paraId="23FD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12076"/>
        </w:tc>
        <w:tc>
          <w:tcPr>
            <w:tcW w:w="2268" w:type="dxa"/>
            <w:vAlign w:val="center"/>
          </w:tcPr>
          <w:p w14:paraId="49E70C6B">
            <w:pPr>
              <w:pStyle w:val="12"/>
            </w:pPr>
            <w:r>
              <w:t>社会效益指标</w:t>
            </w:r>
          </w:p>
        </w:tc>
        <w:tc>
          <w:tcPr>
            <w:tcW w:w="2835" w:type="dxa"/>
            <w:vAlign w:val="center"/>
          </w:tcPr>
          <w:p w14:paraId="6794FF97">
            <w:pPr>
              <w:pStyle w:val="12"/>
            </w:pPr>
            <w:r>
              <w:t>学校办学能力提升</w:t>
            </w:r>
          </w:p>
        </w:tc>
        <w:tc>
          <w:tcPr>
            <w:tcW w:w="5386" w:type="dxa"/>
            <w:vAlign w:val="center"/>
          </w:tcPr>
          <w:p w14:paraId="4A64BFD2">
            <w:pPr>
              <w:pStyle w:val="12"/>
            </w:pPr>
            <w:r>
              <w:t>学校办学能</w:t>
            </w:r>
            <w:r>
              <w:rPr>
                <w:rFonts w:hint="eastAsia"/>
                <w:lang w:eastAsia="zh-CN"/>
              </w:rPr>
              <w:t>力提</w:t>
            </w:r>
            <w:r>
              <w:t>升情况及教育教学工作等开展的情况</w:t>
            </w:r>
          </w:p>
        </w:tc>
        <w:tc>
          <w:tcPr>
            <w:tcW w:w="2268" w:type="dxa"/>
            <w:vAlign w:val="center"/>
          </w:tcPr>
          <w:p w14:paraId="0D686A0A">
            <w:pPr>
              <w:pStyle w:val="12"/>
            </w:pPr>
            <w:r>
              <w:t>100%</w:t>
            </w:r>
          </w:p>
        </w:tc>
        <w:tc>
          <w:tcPr>
            <w:tcW w:w="1276" w:type="dxa"/>
            <w:vAlign w:val="center"/>
          </w:tcPr>
          <w:p w14:paraId="16CE48C5">
            <w:pPr>
              <w:pStyle w:val="12"/>
            </w:pPr>
            <w:r>
              <w:t>城乡义务教育公用经费管理办法</w:t>
            </w:r>
          </w:p>
        </w:tc>
      </w:tr>
      <w:tr w14:paraId="3362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28332"/>
        </w:tc>
        <w:tc>
          <w:tcPr>
            <w:tcW w:w="2268" w:type="dxa"/>
            <w:vAlign w:val="center"/>
          </w:tcPr>
          <w:p w14:paraId="5E32ED59">
            <w:pPr>
              <w:pStyle w:val="12"/>
            </w:pPr>
            <w:r>
              <w:t>可持续影响指标</w:t>
            </w:r>
          </w:p>
        </w:tc>
        <w:tc>
          <w:tcPr>
            <w:tcW w:w="2835" w:type="dxa"/>
            <w:vAlign w:val="center"/>
          </w:tcPr>
          <w:p w14:paraId="1089F4F3">
            <w:pPr>
              <w:pStyle w:val="12"/>
            </w:pPr>
            <w:r>
              <w:t>教育发展水平</w:t>
            </w:r>
          </w:p>
        </w:tc>
        <w:tc>
          <w:tcPr>
            <w:tcW w:w="5386" w:type="dxa"/>
            <w:vAlign w:val="center"/>
          </w:tcPr>
          <w:p w14:paraId="69A6502D">
            <w:pPr>
              <w:pStyle w:val="12"/>
            </w:pPr>
            <w:r>
              <w:t>辖区内教育环境明显好转</w:t>
            </w:r>
          </w:p>
        </w:tc>
        <w:tc>
          <w:tcPr>
            <w:tcW w:w="2268" w:type="dxa"/>
            <w:vAlign w:val="center"/>
          </w:tcPr>
          <w:p w14:paraId="5F534876">
            <w:pPr>
              <w:pStyle w:val="12"/>
            </w:pPr>
            <w:r>
              <w:t>100%</w:t>
            </w:r>
          </w:p>
        </w:tc>
        <w:tc>
          <w:tcPr>
            <w:tcW w:w="1276" w:type="dxa"/>
            <w:vAlign w:val="center"/>
          </w:tcPr>
          <w:p w14:paraId="6DFD65FC">
            <w:pPr>
              <w:pStyle w:val="12"/>
            </w:pPr>
            <w:r>
              <w:t>城乡义务教育公用经费管理办法</w:t>
            </w:r>
          </w:p>
        </w:tc>
      </w:tr>
      <w:tr w14:paraId="0A6E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0A276">
            <w:pPr>
              <w:pStyle w:val="13"/>
            </w:pPr>
            <w:r>
              <w:t>满意度指标</w:t>
            </w:r>
          </w:p>
        </w:tc>
        <w:tc>
          <w:tcPr>
            <w:tcW w:w="2268" w:type="dxa"/>
            <w:vAlign w:val="center"/>
          </w:tcPr>
          <w:p w14:paraId="353ACBE2">
            <w:pPr>
              <w:pStyle w:val="12"/>
            </w:pPr>
            <w:r>
              <w:t>服务对象满意度指标</w:t>
            </w:r>
          </w:p>
        </w:tc>
        <w:tc>
          <w:tcPr>
            <w:tcW w:w="2835" w:type="dxa"/>
            <w:vAlign w:val="center"/>
          </w:tcPr>
          <w:p w14:paraId="25F4FFFB">
            <w:pPr>
              <w:pStyle w:val="12"/>
            </w:pPr>
            <w:r>
              <w:t>受益学生家长及调查满意度</w:t>
            </w:r>
          </w:p>
        </w:tc>
        <w:tc>
          <w:tcPr>
            <w:tcW w:w="5386" w:type="dxa"/>
            <w:vAlign w:val="center"/>
          </w:tcPr>
          <w:p w14:paraId="0C90A73C">
            <w:pPr>
              <w:pStyle w:val="12"/>
            </w:pPr>
            <w:r>
              <w:t>学生、教师及家长对学校保教保育工作满意度情况</w:t>
            </w:r>
          </w:p>
        </w:tc>
        <w:tc>
          <w:tcPr>
            <w:tcW w:w="2268" w:type="dxa"/>
            <w:vAlign w:val="center"/>
          </w:tcPr>
          <w:p w14:paraId="601F53EA">
            <w:pPr>
              <w:pStyle w:val="12"/>
            </w:pPr>
            <w:r>
              <w:t>≥95%</w:t>
            </w:r>
          </w:p>
        </w:tc>
        <w:tc>
          <w:tcPr>
            <w:tcW w:w="1276" w:type="dxa"/>
            <w:vAlign w:val="center"/>
          </w:tcPr>
          <w:p w14:paraId="16B09016">
            <w:pPr>
              <w:pStyle w:val="12"/>
            </w:pPr>
            <w:r>
              <w:t>调查问卷</w:t>
            </w:r>
          </w:p>
        </w:tc>
      </w:tr>
    </w:tbl>
    <w:p w14:paraId="1DF12669">
      <w:pPr>
        <w:sectPr>
          <w:pgSz w:w="16840" w:h="11900" w:orient="landscape"/>
          <w:pgMar w:top="1361" w:right="1020" w:bottom="1134" w:left="1020" w:header="720" w:footer="720" w:gutter="0"/>
          <w:cols w:space="720" w:num="1"/>
        </w:sectPr>
      </w:pPr>
    </w:p>
    <w:p w14:paraId="739C95C5">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17、冀财教[2025]147号/省级/2026年义教补助经费/城关校区义丰小学公用经费绩效目标表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7C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2AEC6">
            <w:pPr>
              <w:pStyle w:val="11"/>
            </w:pPr>
            <w:r>
              <w:t>单位：万元</w:t>
            </w:r>
          </w:p>
        </w:tc>
      </w:tr>
      <w:tr w14:paraId="0FB72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6E43D">
            <w:pPr>
              <w:pStyle w:val="10"/>
            </w:pPr>
            <w:r>
              <w:t>项目编码</w:t>
            </w:r>
          </w:p>
        </w:tc>
        <w:tc>
          <w:tcPr>
            <w:tcW w:w="5103" w:type="dxa"/>
            <w:gridSpan w:val="2"/>
            <w:vAlign w:val="center"/>
          </w:tcPr>
          <w:p w14:paraId="7C3967FD">
            <w:pPr>
              <w:pStyle w:val="12"/>
            </w:pPr>
            <w:r>
              <w:t>13052526P000004103448</w:t>
            </w:r>
          </w:p>
        </w:tc>
        <w:tc>
          <w:tcPr>
            <w:tcW w:w="2835" w:type="dxa"/>
            <w:vAlign w:val="center"/>
          </w:tcPr>
          <w:p w14:paraId="289798C0">
            <w:pPr>
              <w:pStyle w:val="10"/>
            </w:pPr>
            <w:r>
              <w:t>项目名称</w:t>
            </w:r>
          </w:p>
        </w:tc>
        <w:tc>
          <w:tcPr>
            <w:tcW w:w="6095" w:type="dxa"/>
            <w:gridSpan w:val="3"/>
            <w:vAlign w:val="center"/>
          </w:tcPr>
          <w:p w14:paraId="21D56EC1">
            <w:pPr>
              <w:pStyle w:val="12"/>
            </w:pPr>
            <w:r>
              <w:t>冀财教[2025]147号/省级/2026年义教补助经费/城关校区义丰小学公用经费</w:t>
            </w:r>
          </w:p>
        </w:tc>
      </w:tr>
      <w:tr w14:paraId="50FC8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F0CD4">
            <w:pPr>
              <w:pStyle w:val="10"/>
            </w:pPr>
            <w:r>
              <w:t>预算规模及资金用途</w:t>
            </w:r>
          </w:p>
        </w:tc>
        <w:tc>
          <w:tcPr>
            <w:tcW w:w="2268" w:type="dxa"/>
            <w:vAlign w:val="center"/>
          </w:tcPr>
          <w:p w14:paraId="5A99A5F4">
            <w:pPr>
              <w:pStyle w:val="10"/>
            </w:pPr>
            <w:r>
              <w:t>预算数</w:t>
            </w:r>
          </w:p>
        </w:tc>
        <w:tc>
          <w:tcPr>
            <w:tcW w:w="2835" w:type="dxa"/>
            <w:vAlign w:val="center"/>
          </w:tcPr>
          <w:p w14:paraId="6C6D0ACB">
            <w:pPr>
              <w:pStyle w:val="12"/>
            </w:pPr>
            <w:r>
              <w:t>65.98</w:t>
            </w:r>
          </w:p>
        </w:tc>
        <w:tc>
          <w:tcPr>
            <w:tcW w:w="2835" w:type="dxa"/>
            <w:vAlign w:val="center"/>
          </w:tcPr>
          <w:p w14:paraId="0CD0A185">
            <w:pPr>
              <w:pStyle w:val="10"/>
            </w:pPr>
            <w:r>
              <w:t>其中：财政    资金</w:t>
            </w:r>
          </w:p>
        </w:tc>
        <w:tc>
          <w:tcPr>
            <w:tcW w:w="2551" w:type="dxa"/>
            <w:vAlign w:val="center"/>
          </w:tcPr>
          <w:p w14:paraId="58412710">
            <w:pPr>
              <w:pStyle w:val="12"/>
            </w:pPr>
            <w:r>
              <w:t>65.98</w:t>
            </w:r>
          </w:p>
        </w:tc>
        <w:tc>
          <w:tcPr>
            <w:tcW w:w="2268" w:type="dxa"/>
            <w:vAlign w:val="center"/>
          </w:tcPr>
          <w:p w14:paraId="30117C64">
            <w:pPr>
              <w:pStyle w:val="10"/>
            </w:pPr>
            <w:r>
              <w:t>其他资金</w:t>
            </w:r>
          </w:p>
        </w:tc>
        <w:tc>
          <w:tcPr>
            <w:tcW w:w="1276" w:type="dxa"/>
            <w:vAlign w:val="center"/>
          </w:tcPr>
          <w:p w14:paraId="11BDDE17">
            <w:pPr>
              <w:pStyle w:val="12"/>
            </w:pPr>
            <w:r>
              <w:t xml:space="preserve"> </w:t>
            </w:r>
          </w:p>
        </w:tc>
      </w:tr>
      <w:tr w14:paraId="37124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95F1A"/>
        </w:tc>
        <w:tc>
          <w:tcPr>
            <w:tcW w:w="14033" w:type="dxa"/>
            <w:gridSpan w:val="6"/>
            <w:vAlign w:val="center"/>
          </w:tcPr>
          <w:p w14:paraId="7A2C1DD7">
            <w:pPr>
              <w:pStyle w:val="12"/>
            </w:pPr>
            <w:r>
              <w:t>保障义务教育学校正常运转，完成教育教学活动和其他日常工作任务等方面的费用支出。</w:t>
            </w:r>
          </w:p>
        </w:tc>
      </w:tr>
      <w:tr w14:paraId="5E02D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EF15E">
            <w:pPr>
              <w:pStyle w:val="10"/>
            </w:pPr>
            <w:r>
              <w:t>资金支出计划（%）</w:t>
            </w:r>
          </w:p>
        </w:tc>
        <w:tc>
          <w:tcPr>
            <w:tcW w:w="5103" w:type="dxa"/>
            <w:gridSpan w:val="2"/>
            <w:vAlign w:val="center"/>
          </w:tcPr>
          <w:p w14:paraId="5EAA6174">
            <w:pPr>
              <w:pStyle w:val="10"/>
            </w:pPr>
            <w:r>
              <w:t>3月底</w:t>
            </w:r>
          </w:p>
        </w:tc>
        <w:tc>
          <w:tcPr>
            <w:tcW w:w="2835" w:type="dxa"/>
            <w:vAlign w:val="center"/>
          </w:tcPr>
          <w:p w14:paraId="58B5C382">
            <w:pPr>
              <w:pStyle w:val="10"/>
            </w:pPr>
            <w:r>
              <w:t>6月底</w:t>
            </w:r>
          </w:p>
        </w:tc>
        <w:tc>
          <w:tcPr>
            <w:tcW w:w="2551" w:type="dxa"/>
            <w:vAlign w:val="center"/>
          </w:tcPr>
          <w:p w14:paraId="6C551A37">
            <w:pPr>
              <w:pStyle w:val="10"/>
            </w:pPr>
            <w:r>
              <w:t>10月底</w:t>
            </w:r>
          </w:p>
        </w:tc>
        <w:tc>
          <w:tcPr>
            <w:tcW w:w="3544" w:type="dxa"/>
            <w:gridSpan w:val="2"/>
            <w:vAlign w:val="center"/>
          </w:tcPr>
          <w:p w14:paraId="46E68FA3">
            <w:pPr>
              <w:pStyle w:val="10"/>
            </w:pPr>
            <w:r>
              <w:t>12月底</w:t>
            </w:r>
          </w:p>
        </w:tc>
      </w:tr>
      <w:tr w14:paraId="1F5FE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A9D28"/>
        </w:tc>
        <w:tc>
          <w:tcPr>
            <w:tcW w:w="5103" w:type="dxa"/>
            <w:gridSpan w:val="2"/>
            <w:vAlign w:val="center"/>
          </w:tcPr>
          <w:p w14:paraId="55F0824D">
            <w:pPr>
              <w:pStyle w:val="13"/>
            </w:pPr>
            <w:r>
              <w:t>25%</w:t>
            </w:r>
          </w:p>
        </w:tc>
        <w:tc>
          <w:tcPr>
            <w:tcW w:w="2835" w:type="dxa"/>
            <w:vAlign w:val="center"/>
          </w:tcPr>
          <w:p w14:paraId="3787EBAA">
            <w:pPr>
              <w:pStyle w:val="13"/>
            </w:pPr>
            <w:r>
              <w:t>50%</w:t>
            </w:r>
          </w:p>
        </w:tc>
        <w:tc>
          <w:tcPr>
            <w:tcW w:w="2551" w:type="dxa"/>
            <w:vAlign w:val="center"/>
          </w:tcPr>
          <w:p w14:paraId="2CF058EA">
            <w:pPr>
              <w:pStyle w:val="13"/>
            </w:pPr>
            <w:r>
              <w:t>75%</w:t>
            </w:r>
          </w:p>
        </w:tc>
        <w:tc>
          <w:tcPr>
            <w:tcW w:w="3544" w:type="dxa"/>
            <w:gridSpan w:val="2"/>
            <w:vAlign w:val="center"/>
          </w:tcPr>
          <w:p w14:paraId="3A252CA6">
            <w:pPr>
              <w:pStyle w:val="13"/>
            </w:pPr>
            <w:r>
              <w:t>100%</w:t>
            </w:r>
          </w:p>
        </w:tc>
      </w:tr>
      <w:tr w14:paraId="5E5CF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90AC8">
            <w:pPr>
              <w:pStyle w:val="10"/>
            </w:pPr>
            <w:r>
              <w:t>绩效目标</w:t>
            </w:r>
          </w:p>
        </w:tc>
        <w:tc>
          <w:tcPr>
            <w:tcW w:w="14033" w:type="dxa"/>
            <w:gridSpan w:val="6"/>
            <w:vAlign w:val="center"/>
          </w:tcPr>
          <w:p w14:paraId="4E5F50AC">
            <w:pPr>
              <w:pStyle w:val="12"/>
            </w:pPr>
            <w:r>
              <w:t>1.按季度分批次拨付公用经费资金659800元，资金拨付率达到100%。</w:t>
            </w:r>
          </w:p>
          <w:p w14:paraId="79A6FBEC">
            <w:pPr>
              <w:pStyle w:val="12"/>
            </w:pPr>
            <w:r>
              <w:t>2.保障义务教育学校正常运转，完成教育教学活动和其他日常工作任务等方面的费用支出。</w:t>
            </w:r>
          </w:p>
        </w:tc>
      </w:tr>
    </w:tbl>
    <w:p w14:paraId="53124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5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A87E7">
            <w:pPr>
              <w:pStyle w:val="10"/>
            </w:pPr>
            <w:r>
              <w:t>一级指标</w:t>
            </w:r>
          </w:p>
        </w:tc>
        <w:tc>
          <w:tcPr>
            <w:tcW w:w="2268" w:type="dxa"/>
            <w:vAlign w:val="center"/>
          </w:tcPr>
          <w:p w14:paraId="78A5ABB0">
            <w:pPr>
              <w:pStyle w:val="10"/>
            </w:pPr>
            <w:r>
              <w:t>二级指标</w:t>
            </w:r>
          </w:p>
        </w:tc>
        <w:tc>
          <w:tcPr>
            <w:tcW w:w="2835" w:type="dxa"/>
            <w:vAlign w:val="center"/>
          </w:tcPr>
          <w:p w14:paraId="59C9798C">
            <w:pPr>
              <w:pStyle w:val="10"/>
            </w:pPr>
            <w:r>
              <w:t>三级指标</w:t>
            </w:r>
          </w:p>
        </w:tc>
        <w:tc>
          <w:tcPr>
            <w:tcW w:w="5386" w:type="dxa"/>
            <w:vAlign w:val="center"/>
          </w:tcPr>
          <w:p w14:paraId="680DF2EA">
            <w:pPr>
              <w:pStyle w:val="10"/>
            </w:pPr>
            <w:r>
              <w:t>绩效指标描述</w:t>
            </w:r>
          </w:p>
        </w:tc>
        <w:tc>
          <w:tcPr>
            <w:tcW w:w="2268" w:type="dxa"/>
            <w:vAlign w:val="center"/>
          </w:tcPr>
          <w:p w14:paraId="7B81DE1A">
            <w:pPr>
              <w:pStyle w:val="10"/>
            </w:pPr>
            <w:r>
              <w:t>指标值</w:t>
            </w:r>
          </w:p>
        </w:tc>
        <w:tc>
          <w:tcPr>
            <w:tcW w:w="1276" w:type="dxa"/>
            <w:vAlign w:val="center"/>
          </w:tcPr>
          <w:p w14:paraId="3FDE0B5D">
            <w:pPr>
              <w:pStyle w:val="10"/>
            </w:pPr>
            <w:r>
              <w:t>指标值确定依据</w:t>
            </w:r>
          </w:p>
        </w:tc>
      </w:tr>
      <w:tr w14:paraId="0586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D9B5C">
            <w:pPr>
              <w:pStyle w:val="13"/>
            </w:pPr>
            <w:r>
              <w:t>产出指标</w:t>
            </w:r>
          </w:p>
        </w:tc>
        <w:tc>
          <w:tcPr>
            <w:tcW w:w="2268" w:type="dxa"/>
            <w:vAlign w:val="center"/>
          </w:tcPr>
          <w:p w14:paraId="1BEAB2B5">
            <w:pPr>
              <w:pStyle w:val="12"/>
            </w:pPr>
            <w:r>
              <w:t>数量指标</w:t>
            </w:r>
          </w:p>
        </w:tc>
        <w:tc>
          <w:tcPr>
            <w:tcW w:w="2835" w:type="dxa"/>
            <w:vAlign w:val="center"/>
          </w:tcPr>
          <w:p w14:paraId="6AB152B3">
            <w:pPr>
              <w:pStyle w:val="12"/>
            </w:pPr>
            <w:r>
              <w:t>适龄在校生</w:t>
            </w:r>
          </w:p>
        </w:tc>
        <w:tc>
          <w:tcPr>
            <w:tcW w:w="5386" w:type="dxa"/>
            <w:vAlign w:val="center"/>
          </w:tcPr>
          <w:p w14:paraId="21986350">
            <w:pPr>
              <w:pStyle w:val="12"/>
            </w:pPr>
            <w:r>
              <w:t>适龄在校就读学生人数</w:t>
            </w:r>
          </w:p>
        </w:tc>
        <w:tc>
          <w:tcPr>
            <w:tcW w:w="2268" w:type="dxa"/>
            <w:vAlign w:val="center"/>
          </w:tcPr>
          <w:p w14:paraId="3FE1CFE9">
            <w:pPr>
              <w:pStyle w:val="12"/>
            </w:pPr>
            <w:r>
              <w:t>≥2366人</w:t>
            </w:r>
          </w:p>
        </w:tc>
        <w:tc>
          <w:tcPr>
            <w:tcW w:w="1276" w:type="dxa"/>
            <w:vAlign w:val="center"/>
          </w:tcPr>
          <w:p w14:paraId="075B3C7D">
            <w:pPr>
              <w:pStyle w:val="12"/>
            </w:pPr>
            <w:r>
              <w:t>城乡义务教育公用经费管理办法</w:t>
            </w:r>
          </w:p>
        </w:tc>
      </w:tr>
      <w:tr w14:paraId="072B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4A681"/>
        </w:tc>
        <w:tc>
          <w:tcPr>
            <w:tcW w:w="2268" w:type="dxa"/>
            <w:vAlign w:val="center"/>
          </w:tcPr>
          <w:p w14:paraId="440417CF">
            <w:pPr>
              <w:pStyle w:val="12"/>
            </w:pPr>
            <w:r>
              <w:t>质量指标</w:t>
            </w:r>
          </w:p>
        </w:tc>
        <w:tc>
          <w:tcPr>
            <w:tcW w:w="2835" w:type="dxa"/>
            <w:vAlign w:val="center"/>
          </w:tcPr>
          <w:p w14:paraId="24798194">
            <w:pPr>
              <w:pStyle w:val="12"/>
            </w:pPr>
            <w:r>
              <w:t>公用经费拨付完成率</w:t>
            </w:r>
          </w:p>
        </w:tc>
        <w:tc>
          <w:tcPr>
            <w:tcW w:w="5386" w:type="dxa"/>
            <w:vAlign w:val="center"/>
          </w:tcPr>
          <w:p w14:paraId="349CA72B">
            <w:pPr>
              <w:pStyle w:val="12"/>
            </w:pPr>
            <w:r>
              <w:t>公用经费拨付完成率达到需时进度</w:t>
            </w:r>
          </w:p>
        </w:tc>
        <w:tc>
          <w:tcPr>
            <w:tcW w:w="2268" w:type="dxa"/>
            <w:vAlign w:val="center"/>
          </w:tcPr>
          <w:p w14:paraId="6212625D">
            <w:pPr>
              <w:pStyle w:val="12"/>
            </w:pPr>
            <w:r>
              <w:t>100%</w:t>
            </w:r>
          </w:p>
        </w:tc>
        <w:tc>
          <w:tcPr>
            <w:tcW w:w="1276" w:type="dxa"/>
            <w:vAlign w:val="center"/>
          </w:tcPr>
          <w:p w14:paraId="7AD68295">
            <w:pPr>
              <w:pStyle w:val="12"/>
            </w:pPr>
            <w:r>
              <w:t>城乡义务教育公用经费管理办法</w:t>
            </w:r>
          </w:p>
        </w:tc>
      </w:tr>
      <w:tr w14:paraId="3BA1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7759E"/>
        </w:tc>
        <w:tc>
          <w:tcPr>
            <w:tcW w:w="2268" w:type="dxa"/>
            <w:vAlign w:val="center"/>
          </w:tcPr>
          <w:p w14:paraId="442F917D">
            <w:pPr>
              <w:pStyle w:val="12"/>
            </w:pPr>
            <w:r>
              <w:t>时效指标</w:t>
            </w:r>
          </w:p>
        </w:tc>
        <w:tc>
          <w:tcPr>
            <w:tcW w:w="2835" w:type="dxa"/>
            <w:vAlign w:val="center"/>
          </w:tcPr>
          <w:p w14:paraId="01A66512">
            <w:pPr>
              <w:pStyle w:val="12"/>
            </w:pPr>
            <w:r>
              <w:t>资金支付率</w:t>
            </w:r>
          </w:p>
        </w:tc>
        <w:tc>
          <w:tcPr>
            <w:tcW w:w="5386" w:type="dxa"/>
            <w:vAlign w:val="center"/>
          </w:tcPr>
          <w:p w14:paraId="62980E8A">
            <w:pPr>
              <w:pStyle w:val="12"/>
            </w:pPr>
            <w:r>
              <w:t>按照序时进度完成资金支付</w:t>
            </w:r>
          </w:p>
        </w:tc>
        <w:tc>
          <w:tcPr>
            <w:tcW w:w="2268" w:type="dxa"/>
            <w:vAlign w:val="center"/>
          </w:tcPr>
          <w:p w14:paraId="50683C01">
            <w:pPr>
              <w:pStyle w:val="12"/>
            </w:pPr>
            <w:r>
              <w:t>100%</w:t>
            </w:r>
          </w:p>
        </w:tc>
        <w:tc>
          <w:tcPr>
            <w:tcW w:w="1276" w:type="dxa"/>
            <w:vAlign w:val="center"/>
          </w:tcPr>
          <w:p w14:paraId="4EF0BB39">
            <w:pPr>
              <w:pStyle w:val="12"/>
            </w:pPr>
            <w:r>
              <w:t>城乡义务教育公用经费管理办法</w:t>
            </w:r>
          </w:p>
        </w:tc>
      </w:tr>
      <w:tr w14:paraId="11607977">
        <w:tblPrEx>
          <w:tblCellMar>
            <w:top w:w="0" w:type="dxa"/>
            <w:left w:w="108" w:type="dxa"/>
            <w:bottom w:w="0" w:type="dxa"/>
            <w:right w:w="108" w:type="dxa"/>
          </w:tblCellMar>
        </w:tblPrEx>
        <w:trPr>
          <w:trHeight w:val="397" w:hRule="atLeast"/>
          <w:jc w:val="center"/>
        </w:trPr>
        <w:tc>
          <w:tcPr>
            <w:tcW w:w="1276" w:type="dxa"/>
            <w:vMerge w:val="continue"/>
            <w:vAlign w:val="center"/>
          </w:tcPr>
          <w:p w14:paraId="5AC576ED"/>
        </w:tc>
        <w:tc>
          <w:tcPr>
            <w:tcW w:w="2268" w:type="dxa"/>
            <w:vAlign w:val="center"/>
          </w:tcPr>
          <w:p w14:paraId="1E637705">
            <w:pPr>
              <w:pStyle w:val="12"/>
            </w:pPr>
            <w:r>
              <w:t>成本指标</w:t>
            </w:r>
          </w:p>
        </w:tc>
        <w:tc>
          <w:tcPr>
            <w:tcW w:w="2835" w:type="dxa"/>
            <w:vAlign w:val="center"/>
          </w:tcPr>
          <w:p w14:paraId="647ABA07">
            <w:pPr>
              <w:pStyle w:val="12"/>
            </w:pPr>
            <w:r>
              <w:t>生均拨款标准</w:t>
            </w:r>
          </w:p>
        </w:tc>
        <w:tc>
          <w:tcPr>
            <w:tcW w:w="5386" w:type="dxa"/>
            <w:vAlign w:val="center"/>
          </w:tcPr>
          <w:p w14:paraId="286C68EC">
            <w:pPr>
              <w:pStyle w:val="12"/>
            </w:pPr>
            <w:r>
              <w:t>小学：（基本标准720元、寄宿生300元、取暖费120元）/生/学年；特教、随班就读学生：标准7000元/生/学年。</w:t>
            </w:r>
          </w:p>
        </w:tc>
        <w:tc>
          <w:tcPr>
            <w:tcW w:w="2268" w:type="dxa"/>
            <w:vAlign w:val="center"/>
          </w:tcPr>
          <w:p w14:paraId="1B51B472">
            <w:pPr>
              <w:pStyle w:val="12"/>
            </w:pPr>
            <w:r>
              <w:t>659800元</w:t>
            </w:r>
          </w:p>
        </w:tc>
        <w:tc>
          <w:tcPr>
            <w:tcW w:w="1276" w:type="dxa"/>
            <w:vAlign w:val="center"/>
          </w:tcPr>
          <w:p w14:paraId="56023FF6">
            <w:pPr>
              <w:pStyle w:val="12"/>
            </w:pPr>
            <w:r>
              <w:t>城乡义务教育公用经费管理办法</w:t>
            </w:r>
          </w:p>
        </w:tc>
      </w:tr>
      <w:tr w14:paraId="1204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28E25">
            <w:pPr>
              <w:pStyle w:val="13"/>
            </w:pPr>
            <w:r>
              <w:t>效益指标</w:t>
            </w:r>
          </w:p>
        </w:tc>
        <w:tc>
          <w:tcPr>
            <w:tcW w:w="2268" w:type="dxa"/>
            <w:vAlign w:val="center"/>
          </w:tcPr>
          <w:p w14:paraId="5E226446">
            <w:pPr>
              <w:pStyle w:val="12"/>
            </w:pPr>
            <w:r>
              <w:t>经济效益指标</w:t>
            </w:r>
          </w:p>
        </w:tc>
        <w:tc>
          <w:tcPr>
            <w:tcW w:w="2835" w:type="dxa"/>
            <w:vAlign w:val="center"/>
          </w:tcPr>
          <w:p w14:paraId="433D4FCF">
            <w:pPr>
              <w:pStyle w:val="12"/>
            </w:pPr>
            <w:r>
              <w:t>项目实施成果</w:t>
            </w:r>
          </w:p>
        </w:tc>
        <w:tc>
          <w:tcPr>
            <w:tcW w:w="5386" w:type="dxa"/>
            <w:vAlign w:val="center"/>
          </w:tcPr>
          <w:p w14:paraId="1D4B8706">
            <w:pPr>
              <w:pStyle w:val="12"/>
            </w:pPr>
            <w:r>
              <w:t>减轻受教育学生家庭经济负担</w:t>
            </w:r>
          </w:p>
        </w:tc>
        <w:tc>
          <w:tcPr>
            <w:tcW w:w="2268" w:type="dxa"/>
            <w:vAlign w:val="center"/>
          </w:tcPr>
          <w:p w14:paraId="7A53D4B4">
            <w:pPr>
              <w:pStyle w:val="12"/>
            </w:pPr>
            <w:r>
              <w:t>100%</w:t>
            </w:r>
          </w:p>
        </w:tc>
        <w:tc>
          <w:tcPr>
            <w:tcW w:w="1276" w:type="dxa"/>
            <w:vAlign w:val="center"/>
          </w:tcPr>
          <w:p w14:paraId="55CE3301">
            <w:pPr>
              <w:pStyle w:val="12"/>
            </w:pPr>
            <w:r>
              <w:t>城乡义务教育公用经费管理办法</w:t>
            </w:r>
          </w:p>
        </w:tc>
      </w:tr>
      <w:tr w14:paraId="21F0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28042"/>
        </w:tc>
        <w:tc>
          <w:tcPr>
            <w:tcW w:w="2268" w:type="dxa"/>
            <w:vAlign w:val="center"/>
          </w:tcPr>
          <w:p w14:paraId="593D8620">
            <w:pPr>
              <w:pStyle w:val="12"/>
            </w:pPr>
            <w:r>
              <w:t>社会效益指标</w:t>
            </w:r>
          </w:p>
        </w:tc>
        <w:tc>
          <w:tcPr>
            <w:tcW w:w="2835" w:type="dxa"/>
            <w:vAlign w:val="center"/>
          </w:tcPr>
          <w:p w14:paraId="69C393D5">
            <w:pPr>
              <w:pStyle w:val="12"/>
            </w:pPr>
            <w:r>
              <w:t>学校办学能力提升</w:t>
            </w:r>
          </w:p>
        </w:tc>
        <w:tc>
          <w:tcPr>
            <w:tcW w:w="5386" w:type="dxa"/>
            <w:vAlign w:val="center"/>
          </w:tcPr>
          <w:p w14:paraId="42C87B1C">
            <w:pPr>
              <w:pStyle w:val="12"/>
            </w:pPr>
            <w:r>
              <w:t>学校办学能</w:t>
            </w:r>
            <w:r>
              <w:rPr>
                <w:rFonts w:hint="eastAsia"/>
                <w:lang w:eastAsia="zh-CN"/>
              </w:rPr>
              <w:t>力提</w:t>
            </w:r>
            <w:r>
              <w:t>升情况及教育教学工作等开展的情况</w:t>
            </w:r>
          </w:p>
        </w:tc>
        <w:tc>
          <w:tcPr>
            <w:tcW w:w="2268" w:type="dxa"/>
            <w:vAlign w:val="center"/>
          </w:tcPr>
          <w:p w14:paraId="1D838E5E">
            <w:pPr>
              <w:pStyle w:val="12"/>
            </w:pPr>
            <w:r>
              <w:t>100%</w:t>
            </w:r>
          </w:p>
        </w:tc>
        <w:tc>
          <w:tcPr>
            <w:tcW w:w="1276" w:type="dxa"/>
            <w:vAlign w:val="center"/>
          </w:tcPr>
          <w:p w14:paraId="79448B2E">
            <w:pPr>
              <w:pStyle w:val="12"/>
            </w:pPr>
            <w:r>
              <w:t>城乡义务教育公用经费管理办法</w:t>
            </w:r>
          </w:p>
        </w:tc>
      </w:tr>
      <w:tr w14:paraId="46D8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86DFD"/>
        </w:tc>
        <w:tc>
          <w:tcPr>
            <w:tcW w:w="2268" w:type="dxa"/>
            <w:vAlign w:val="center"/>
          </w:tcPr>
          <w:p w14:paraId="4F184DD5">
            <w:pPr>
              <w:pStyle w:val="12"/>
            </w:pPr>
            <w:r>
              <w:t>可持续影响指标</w:t>
            </w:r>
          </w:p>
        </w:tc>
        <w:tc>
          <w:tcPr>
            <w:tcW w:w="2835" w:type="dxa"/>
            <w:vAlign w:val="center"/>
          </w:tcPr>
          <w:p w14:paraId="70B56852">
            <w:pPr>
              <w:pStyle w:val="12"/>
            </w:pPr>
            <w:r>
              <w:t>教育发展水平</w:t>
            </w:r>
          </w:p>
        </w:tc>
        <w:tc>
          <w:tcPr>
            <w:tcW w:w="5386" w:type="dxa"/>
            <w:vAlign w:val="center"/>
          </w:tcPr>
          <w:p w14:paraId="079D43B0">
            <w:pPr>
              <w:pStyle w:val="12"/>
            </w:pPr>
            <w:r>
              <w:t>辖区内教育环境明显好转</w:t>
            </w:r>
          </w:p>
        </w:tc>
        <w:tc>
          <w:tcPr>
            <w:tcW w:w="2268" w:type="dxa"/>
            <w:vAlign w:val="center"/>
          </w:tcPr>
          <w:p w14:paraId="3EBC1DA4">
            <w:pPr>
              <w:pStyle w:val="12"/>
            </w:pPr>
            <w:r>
              <w:t>100%</w:t>
            </w:r>
          </w:p>
        </w:tc>
        <w:tc>
          <w:tcPr>
            <w:tcW w:w="1276" w:type="dxa"/>
            <w:vAlign w:val="center"/>
          </w:tcPr>
          <w:p w14:paraId="4A7321FC">
            <w:pPr>
              <w:pStyle w:val="12"/>
            </w:pPr>
            <w:r>
              <w:t>城乡义务教育公用经费管理办法</w:t>
            </w:r>
          </w:p>
        </w:tc>
      </w:tr>
      <w:tr w14:paraId="1A12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33E02">
            <w:pPr>
              <w:pStyle w:val="13"/>
            </w:pPr>
            <w:r>
              <w:t>满意度指标</w:t>
            </w:r>
          </w:p>
        </w:tc>
        <w:tc>
          <w:tcPr>
            <w:tcW w:w="2268" w:type="dxa"/>
            <w:vAlign w:val="center"/>
          </w:tcPr>
          <w:p w14:paraId="2452D887">
            <w:pPr>
              <w:pStyle w:val="12"/>
            </w:pPr>
            <w:r>
              <w:t>服务对象满意度指标</w:t>
            </w:r>
          </w:p>
        </w:tc>
        <w:tc>
          <w:tcPr>
            <w:tcW w:w="2835" w:type="dxa"/>
            <w:vAlign w:val="center"/>
          </w:tcPr>
          <w:p w14:paraId="109E85AF">
            <w:pPr>
              <w:pStyle w:val="12"/>
            </w:pPr>
            <w:r>
              <w:t>受益学生家长及调查满意度</w:t>
            </w:r>
          </w:p>
        </w:tc>
        <w:tc>
          <w:tcPr>
            <w:tcW w:w="5386" w:type="dxa"/>
            <w:vAlign w:val="center"/>
          </w:tcPr>
          <w:p w14:paraId="7FDAEF63">
            <w:pPr>
              <w:pStyle w:val="12"/>
            </w:pPr>
            <w:r>
              <w:t>学生、教师及家长对学校保教保育工作满意度情况</w:t>
            </w:r>
          </w:p>
        </w:tc>
        <w:tc>
          <w:tcPr>
            <w:tcW w:w="2268" w:type="dxa"/>
            <w:vAlign w:val="center"/>
          </w:tcPr>
          <w:p w14:paraId="18A938C3">
            <w:pPr>
              <w:pStyle w:val="12"/>
            </w:pPr>
            <w:r>
              <w:t>≥95%</w:t>
            </w:r>
          </w:p>
        </w:tc>
        <w:tc>
          <w:tcPr>
            <w:tcW w:w="1276" w:type="dxa"/>
            <w:vAlign w:val="center"/>
          </w:tcPr>
          <w:p w14:paraId="79B349E3">
            <w:pPr>
              <w:pStyle w:val="12"/>
            </w:pPr>
            <w:r>
              <w:t>调查问卷</w:t>
            </w:r>
          </w:p>
        </w:tc>
      </w:tr>
    </w:tbl>
    <w:p w14:paraId="67E8AFF8">
      <w:pPr>
        <w:sectPr>
          <w:pgSz w:w="16840" w:h="11900" w:orient="landscape"/>
          <w:pgMar w:top="1361" w:right="1020" w:bottom="1134" w:left="1020" w:header="720" w:footer="720" w:gutter="0"/>
          <w:cols w:space="720" w:num="1"/>
        </w:sectPr>
      </w:pPr>
    </w:p>
    <w:p w14:paraId="38193C88">
      <w:pPr>
        <w:spacing w:before="0" w:after="0"/>
        <w:ind w:firstLine="560"/>
        <w:jc w:val="left"/>
        <w:outlineLvl w:val="9"/>
      </w:pPr>
      <w:r>
        <w:rPr>
          <w:rFonts w:ascii="方正仿宋_GBK" w:hAnsi="方正仿宋_GBK" w:eastAsia="方正仿宋_GBK" w:cs="方正仿宋_GBK"/>
          <w:b/>
          <w:color w:val="000000"/>
          <w:sz w:val="28"/>
        </w:rPr>
        <w:t>18、冀财教[2025]147号/省级/义教/2026年校舍安全/义丰小学附属工程建设绩效目标表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A6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D3C68">
            <w:pPr>
              <w:pStyle w:val="11"/>
            </w:pPr>
            <w:r>
              <w:t>单位：万元</w:t>
            </w:r>
          </w:p>
        </w:tc>
      </w:tr>
      <w:tr w14:paraId="25F38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E79E0">
            <w:pPr>
              <w:pStyle w:val="10"/>
            </w:pPr>
            <w:r>
              <w:t>项目编码</w:t>
            </w:r>
          </w:p>
        </w:tc>
        <w:tc>
          <w:tcPr>
            <w:tcW w:w="5103" w:type="dxa"/>
            <w:gridSpan w:val="2"/>
            <w:vAlign w:val="center"/>
          </w:tcPr>
          <w:p w14:paraId="0957CBDD">
            <w:pPr>
              <w:pStyle w:val="12"/>
            </w:pPr>
            <w:r>
              <w:t>13052526P00876210100J</w:t>
            </w:r>
          </w:p>
        </w:tc>
        <w:tc>
          <w:tcPr>
            <w:tcW w:w="2835" w:type="dxa"/>
            <w:vAlign w:val="center"/>
          </w:tcPr>
          <w:p w14:paraId="3DBC79FC">
            <w:pPr>
              <w:pStyle w:val="10"/>
            </w:pPr>
            <w:r>
              <w:t>项目名称</w:t>
            </w:r>
          </w:p>
        </w:tc>
        <w:tc>
          <w:tcPr>
            <w:tcW w:w="6095" w:type="dxa"/>
            <w:gridSpan w:val="3"/>
            <w:vAlign w:val="center"/>
          </w:tcPr>
          <w:p w14:paraId="55669D1A">
            <w:pPr>
              <w:pStyle w:val="12"/>
            </w:pPr>
            <w:r>
              <w:t>冀财教[2025]147号/省级/义教/2026年校舍安全/义丰小学附属工程建设</w:t>
            </w:r>
          </w:p>
        </w:tc>
      </w:tr>
      <w:tr w14:paraId="1CC9D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E0902">
            <w:pPr>
              <w:pStyle w:val="10"/>
            </w:pPr>
            <w:r>
              <w:t>预算规模及资金用途</w:t>
            </w:r>
          </w:p>
        </w:tc>
        <w:tc>
          <w:tcPr>
            <w:tcW w:w="2268" w:type="dxa"/>
            <w:vAlign w:val="center"/>
          </w:tcPr>
          <w:p w14:paraId="33F5FA41">
            <w:pPr>
              <w:pStyle w:val="10"/>
            </w:pPr>
            <w:r>
              <w:t>预算数</w:t>
            </w:r>
          </w:p>
        </w:tc>
        <w:tc>
          <w:tcPr>
            <w:tcW w:w="2835" w:type="dxa"/>
            <w:vAlign w:val="center"/>
          </w:tcPr>
          <w:p w14:paraId="03D39AF7">
            <w:pPr>
              <w:pStyle w:val="12"/>
            </w:pPr>
            <w:r>
              <w:t>49.00</w:t>
            </w:r>
          </w:p>
        </w:tc>
        <w:tc>
          <w:tcPr>
            <w:tcW w:w="2835" w:type="dxa"/>
            <w:vAlign w:val="center"/>
          </w:tcPr>
          <w:p w14:paraId="515F3CF0">
            <w:pPr>
              <w:pStyle w:val="10"/>
            </w:pPr>
            <w:r>
              <w:t>其中：财政    资金</w:t>
            </w:r>
          </w:p>
        </w:tc>
        <w:tc>
          <w:tcPr>
            <w:tcW w:w="2551" w:type="dxa"/>
            <w:vAlign w:val="center"/>
          </w:tcPr>
          <w:p w14:paraId="16D1DD48">
            <w:pPr>
              <w:pStyle w:val="12"/>
            </w:pPr>
            <w:r>
              <w:t>49.00</w:t>
            </w:r>
          </w:p>
        </w:tc>
        <w:tc>
          <w:tcPr>
            <w:tcW w:w="2268" w:type="dxa"/>
            <w:vAlign w:val="center"/>
          </w:tcPr>
          <w:p w14:paraId="3B6DC1CB">
            <w:pPr>
              <w:pStyle w:val="10"/>
            </w:pPr>
            <w:r>
              <w:t>其他资金</w:t>
            </w:r>
          </w:p>
        </w:tc>
        <w:tc>
          <w:tcPr>
            <w:tcW w:w="1276" w:type="dxa"/>
            <w:vAlign w:val="center"/>
          </w:tcPr>
          <w:p w14:paraId="607C6001">
            <w:pPr>
              <w:pStyle w:val="12"/>
            </w:pPr>
            <w:r>
              <w:t xml:space="preserve"> </w:t>
            </w:r>
          </w:p>
        </w:tc>
      </w:tr>
      <w:tr w14:paraId="1FB4A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5CA90"/>
        </w:tc>
        <w:tc>
          <w:tcPr>
            <w:tcW w:w="14033" w:type="dxa"/>
            <w:gridSpan w:val="6"/>
            <w:vAlign w:val="center"/>
          </w:tcPr>
          <w:p w14:paraId="6700C8D3">
            <w:pPr>
              <w:pStyle w:val="12"/>
            </w:pPr>
            <w:r>
              <w:t>改善义务教育办学条件，进一步提升教育教学办学质量，义丰小学附属工程项目资金490000元，资金拨付率达100%</w:t>
            </w:r>
          </w:p>
        </w:tc>
      </w:tr>
      <w:tr w14:paraId="6AC51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E33B1">
            <w:pPr>
              <w:pStyle w:val="10"/>
            </w:pPr>
            <w:r>
              <w:t>资金支出计划（%）</w:t>
            </w:r>
          </w:p>
        </w:tc>
        <w:tc>
          <w:tcPr>
            <w:tcW w:w="5103" w:type="dxa"/>
            <w:gridSpan w:val="2"/>
            <w:vAlign w:val="center"/>
          </w:tcPr>
          <w:p w14:paraId="431C8EE7">
            <w:pPr>
              <w:pStyle w:val="10"/>
            </w:pPr>
            <w:r>
              <w:t>3月底</w:t>
            </w:r>
          </w:p>
        </w:tc>
        <w:tc>
          <w:tcPr>
            <w:tcW w:w="2835" w:type="dxa"/>
            <w:vAlign w:val="center"/>
          </w:tcPr>
          <w:p w14:paraId="039D4265">
            <w:pPr>
              <w:pStyle w:val="10"/>
            </w:pPr>
            <w:r>
              <w:t>6月底</w:t>
            </w:r>
          </w:p>
        </w:tc>
        <w:tc>
          <w:tcPr>
            <w:tcW w:w="2551" w:type="dxa"/>
            <w:vAlign w:val="center"/>
          </w:tcPr>
          <w:p w14:paraId="2E35F543">
            <w:pPr>
              <w:pStyle w:val="10"/>
            </w:pPr>
            <w:r>
              <w:t>10月底</w:t>
            </w:r>
          </w:p>
        </w:tc>
        <w:tc>
          <w:tcPr>
            <w:tcW w:w="3544" w:type="dxa"/>
            <w:gridSpan w:val="2"/>
            <w:vAlign w:val="center"/>
          </w:tcPr>
          <w:p w14:paraId="4036901D">
            <w:pPr>
              <w:pStyle w:val="10"/>
            </w:pPr>
            <w:r>
              <w:t>12月底</w:t>
            </w:r>
          </w:p>
        </w:tc>
      </w:tr>
      <w:tr w14:paraId="51FA5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201D7"/>
        </w:tc>
        <w:tc>
          <w:tcPr>
            <w:tcW w:w="5103" w:type="dxa"/>
            <w:gridSpan w:val="2"/>
            <w:vAlign w:val="center"/>
          </w:tcPr>
          <w:p w14:paraId="2813FB1D">
            <w:pPr>
              <w:pStyle w:val="13"/>
            </w:pPr>
            <w:r>
              <w:t xml:space="preserve"> </w:t>
            </w:r>
          </w:p>
        </w:tc>
        <w:tc>
          <w:tcPr>
            <w:tcW w:w="2835" w:type="dxa"/>
            <w:vAlign w:val="center"/>
          </w:tcPr>
          <w:p w14:paraId="3F21F8A0">
            <w:pPr>
              <w:pStyle w:val="13"/>
            </w:pPr>
            <w:r>
              <w:t>100%</w:t>
            </w:r>
          </w:p>
        </w:tc>
        <w:tc>
          <w:tcPr>
            <w:tcW w:w="2551" w:type="dxa"/>
            <w:vAlign w:val="center"/>
          </w:tcPr>
          <w:p w14:paraId="66279F76">
            <w:pPr>
              <w:pStyle w:val="13"/>
            </w:pPr>
            <w:r>
              <w:t>100%</w:t>
            </w:r>
          </w:p>
        </w:tc>
        <w:tc>
          <w:tcPr>
            <w:tcW w:w="3544" w:type="dxa"/>
            <w:gridSpan w:val="2"/>
            <w:vAlign w:val="center"/>
          </w:tcPr>
          <w:p w14:paraId="6CB9A938">
            <w:pPr>
              <w:pStyle w:val="13"/>
            </w:pPr>
            <w:r>
              <w:t>100%</w:t>
            </w:r>
          </w:p>
        </w:tc>
      </w:tr>
      <w:tr w14:paraId="11FAE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75E6A">
            <w:pPr>
              <w:pStyle w:val="10"/>
            </w:pPr>
            <w:r>
              <w:t>绩效目标</w:t>
            </w:r>
          </w:p>
        </w:tc>
        <w:tc>
          <w:tcPr>
            <w:tcW w:w="14033" w:type="dxa"/>
            <w:gridSpan w:val="6"/>
            <w:vAlign w:val="center"/>
          </w:tcPr>
          <w:p w14:paraId="4A55A0C9">
            <w:pPr>
              <w:pStyle w:val="12"/>
            </w:pPr>
            <w:r>
              <w:t>1.改善义务教育办学条件，进一步提升教育教学办学质量</w:t>
            </w:r>
          </w:p>
          <w:p w14:paraId="0AC6640D">
            <w:pPr>
              <w:pStyle w:val="12"/>
            </w:pPr>
            <w:r>
              <w:t>2.义丰小学附属工程项目资金490000元，资金拨付率达100%</w:t>
            </w:r>
          </w:p>
        </w:tc>
      </w:tr>
    </w:tbl>
    <w:p w14:paraId="307F1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A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E5386">
            <w:pPr>
              <w:pStyle w:val="10"/>
            </w:pPr>
            <w:r>
              <w:t>一级指标</w:t>
            </w:r>
          </w:p>
        </w:tc>
        <w:tc>
          <w:tcPr>
            <w:tcW w:w="2268" w:type="dxa"/>
            <w:vAlign w:val="center"/>
          </w:tcPr>
          <w:p w14:paraId="01C9AB4A">
            <w:pPr>
              <w:pStyle w:val="10"/>
            </w:pPr>
            <w:r>
              <w:t>二级指标</w:t>
            </w:r>
          </w:p>
        </w:tc>
        <w:tc>
          <w:tcPr>
            <w:tcW w:w="2835" w:type="dxa"/>
            <w:vAlign w:val="center"/>
          </w:tcPr>
          <w:p w14:paraId="5B62CBC1">
            <w:pPr>
              <w:pStyle w:val="10"/>
            </w:pPr>
            <w:r>
              <w:t>三级指标</w:t>
            </w:r>
          </w:p>
        </w:tc>
        <w:tc>
          <w:tcPr>
            <w:tcW w:w="5386" w:type="dxa"/>
            <w:vAlign w:val="center"/>
          </w:tcPr>
          <w:p w14:paraId="1AA5F38E">
            <w:pPr>
              <w:pStyle w:val="10"/>
            </w:pPr>
            <w:r>
              <w:t>绩效指标描述</w:t>
            </w:r>
          </w:p>
        </w:tc>
        <w:tc>
          <w:tcPr>
            <w:tcW w:w="2268" w:type="dxa"/>
            <w:vAlign w:val="center"/>
          </w:tcPr>
          <w:p w14:paraId="1DD6D422">
            <w:pPr>
              <w:pStyle w:val="10"/>
            </w:pPr>
            <w:r>
              <w:t>指标值</w:t>
            </w:r>
          </w:p>
        </w:tc>
        <w:tc>
          <w:tcPr>
            <w:tcW w:w="1276" w:type="dxa"/>
            <w:vAlign w:val="center"/>
          </w:tcPr>
          <w:p w14:paraId="3732AAD1">
            <w:pPr>
              <w:pStyle w:val="10"/>
            </w:pPr>
            <w:r>
              <w:t>指标值确定依据</w:t>
            </w:r>
          </w:p>
        </w:tc>
      </w:tr>
      <w:tr w14:paraId="78B2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D5712">
            <w:pPr>
              <w:pStyle w:val="13"/>
            </w:pPr>
            <w:r>
              <w:t>产出指标</w:t>
            </w:r>
          </w:p>
        </w:tc>
        <w:tc>
          <w:tcPr>
            <w:tcW w:w="2268" w:type="dxa"/>
            <w:vAlign w:val="center"/>
          </w:tcPr>
          <w:p w14:paraId="22A4E16C">
            <w:pPr>
              <w:pStyle w:val="12"/>
            </w:pPr>
            <w:r>
              <w:t>数量指标</w:t>
            </w:r>
          </w:p>
        </w:tc>
        <w:tc>
          <w:tcPr>
            <w:tcW w:w="2835" w:type="dxa"/>
            <w:vAlign w:val="center"/>
          </w:tcPr>
          <w:p w14:paraId="5DBBD2A1">
            <w:pPr>
              <w:pStyle w:val="12"/>
            </w:pPr>
            <w:r>
              <w:t>操场附属工程</w:t>
            </w:r>
          </w:p>
        </w:tc>
        <w:tc>
          <w:tcPr>
            <w:tcW w:w="5386" w:type="dxa"/>
            <w:vAlign w:val="center"/>
          </w:tcPr>
          <w:p w14:paraId="5505CC3A">
            <w:pPr>
              <w:pStyle w:val="12"/>
            </w:pPr>
            <w:r>
              <w:t>对操场附属工程进行改造修缮</w:t>
            </w:r>
          </w:p>
        </w:tc>
        <w:tc>
          <w:tcPr>
            <w:tcW w:w="2268" w:type="dxa"/>
            <w:vAlign w:val="center"/>
          </w:tcPr>
          <w:p w14:paraId="0A88CA1D">
            <w:pPr>
              <w:pStyle w:val="12"/>
            </w:pPr>
            <w:r>
              <w:t>1项</w:t>
            </w:r>
          </w:p>
        </w:tc>
        <w:tc>
          <w:tcPr>
            <w:tcW w:w="1276" w:type="dxa"/>
            <w:vAlign w:val="center"/>
          </w:tcPr>
          <w:p w14:paraId="2795DC03">
            <w:pPr>
              <w:pStyle w:val="12"/>
            </w:pPr>
            <w:r>
              <w:t>项目规划</w:t>
            </w:r>
          </w:p>
        </w:tc>
      </w:tr>
      <w:tr w14:paraId="0B28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DDFF8"/>
        </w:tc>
        <w:tc>
          <w:tcPr>
            <w:tcW w:w="2268" w:type="dxa"/>
            <w:vAlign w:val="center"/>
          </w:tcPr>
          <w:p w14:paraId="6892285E">
            <w:pPr>
              <w:pStyle w:val="12"/>
            </w:pPr>
            <w:r>
              <w:t>质量指标</w:t>
            </w:r>
          </w:p>
        </w:tc>
        <w:tc>
          <w:tcPr>
            <w:tcW w:w="2835" w:type="dxa"/>
            <w:vAlign w:val="center"/>
          </w:tcPr>
          <w:p w14:paraId="5E78F62C">
            <w:pPr>
              <w:pStyle w:val="12"/>
            </w:pPr>
            <w:r>
              <w:t>工程实施验收合格率</w:t>
            </w:r>
          </w:p>
        </w:tc>
        <w:tc>
          <w:tcPr>
            <w:tcW w:w="5386" w:type="dxa"/>
            <w:vAlign w:val="center"/>
          </w:tcPr>
          <w:p w14:paraId="29C64F45">
            <w:pPr>
              <w:pStyle w:val="12"/>
            </w:pPr>
            <w:r>
              <w:t>申报程序的合规，项目实施及资金使用符合项目规划</w:t>
            </w:r>
          </w:p>
        </w:tc>
        <w:tc>
          <w:tcPr>
            <w:tcW w:w="2268" w:type="dxa"/>
            <w:vAlign w:val="center"/>
          </w:tcPr>
          <w:p w14:paraId="7EF79A62">
            <w:pPr>
              <w:pStyle w:val="12"/>
            </w:pPr>
            <w:r>
              <w:t>100%</w:t>
            </w:r>
          </w:p>
        </w:tc>
        <w:tc>
          <w:tcPr>
            <w:tcW w:w="1276" w:type="dxa"/>
            <w:vAlign w:val="center"/>
          </w:tcPr>
          <w:p w14:paraId="30998765">
            <w:pPr>
              <w:pStyle w:val="12"/>
            </w:pPr>
            <w:r>
              <w:t>项目规划</w:t>
            </w:r>
          </w:p>
        </w:tc>
      </w:tr>
      <w:tr w14:paraId="30D6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AC2B8"/>
        </w:tc>
        <w:tc>
          <w:tcPr>
            <w:tcW w:w="2268" w:type="dxa"/>
            <w:vAlign w:val="center"/>
          </w:tcPr>
          <w:p w14:paraId="32359244">
            <w:pPr>
              <w:pStyle w:val="12"/>
            </w:pPr>
            <w:r>
              <w:t>时效指标</w:t>
            </w:r>
          </w:p>
        </w:tc>
        <w:tc>
          <w:tcPr>
            <w:tcW w:w="2835" w:type="dxa"/>
            <w:vAlign w:val="center"/>
          </w:tcPr>
          <w:p w14:paraId="09E48211">
            <w:pPr>
              <w:pStyle w:val="12"/>
            </w:pPr>
            <w:r>
              <w:t>资金支付率</w:t>
            </w:r>
          </w:p>
        </w:tc>
        <w:tc>
          <w:tcPr>
            <w:tcW w:w="5386" w:type="dxa"/>
            <w:vAlign w:val="center"/>
          </w:tcPr>
          <w:p w14:paraId="5F84F541">
            <w:pPr>
              <w:pStyle w:val="12"/>
            </w:pPr>
            <w:r>
              <w:t>按照序时进度完成资金支付</w:t>
            </w:r>
          </w:p>
        </w:tc>
        <w:tc>
          <w:tcPr>
            <w:tcW w:w="2268" w:type="dxa"/>
            <w:vAlign w:val="center"/>
          </w:tcPr>
          <w:p w14:paraId="3A834618">
            <w:pPr>
              <w:pStyle w:val="12"/>
            </w:pPr>
            <w:r>
              <w:t>100%</w:t>
            </w:r>
          </w:p>
        </w:tc>
        <w:tc>
          <w:tcPr>
            <w:tcW w:w="1276" w:type="dxa"/>
            <w:vAlign w:val="center"/>
          </w:tcPr>
          <w:p w14:paraId="79B189A9">
            <w:pPr>
              <w:pStyle w:val="12"/>
            </w:pPr>
            <w:r>
              <w:t>项目规划</w:t>
            </w:r>
          </w:p>
        </w:tc>
      </w:tr>
      <w:tr w14:paraId="0324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AEC7A"/>
        </w:tc>
        <w:tc>
          <w:tcPr>
            <w:tcW w:w="2268" w:type="dxa"/>
            <w:vAlign w:val="center"/>
          </w:tcPr>
          <w:p w14:paraId="40D32BB4">
            <w:pPr>
              <w:pStyle w:val="12"/>
            </w:pPr>
            <w:r>
              <w:t>成本指标</w:t>
            </w:r>
          </w:p>
        </w:tc>
        <w:tc>
          <w:tcPr>
            <w:tcW w:w="2835" w:type="dxa"/>
            <w:vAlign w:val="center"/>
          </w:tcPr>
          <w:p w14:paraId="0F2AFDCB">
            <w:pPr>
              <w:pStyle w:val="12"/>
            </w:pPr>
            <w:r>
              <w:t>项目成本控制情况</w:t>
            </w:r>
          </w:p>
        </w:tc>
        <w:tc>
          <w:tcPr>
            <w:tcW w:w="5386" w:type="dxa"/>
            <w:vAlign w:val="center"/>
          </w:tcPr>
          <w:p w14:paraId="0B9B2467">
            <w:pPr>
              <w:pStyle w:val="12"/>
            </w:pPr>
            <w:r>
              <w:t>严格按照招标价格及审计额进行</w:t>
            </w:r>
          </w:p>
        </w:tc>
        <w:tc>
          <w:tcPr>
            <w:tcW w:w="2268" w:type="dxa"/>
            <w:vAlign w:val="center"/>
          </w:tcPr>
          <w:p w14:paraId="55BEB145">
            <w:pPr>
              <w:pStyle w:val="12"/>
            </w:pPr>
            <w:r>
              <w:t>49万元</w:t>
            </w:r>
          </w:p>
        </w:tc>
        <w:tc>
          <w:tcPr>
            <w:tcW w:w="1276" w:type="dxa"/>
            <w:vAlign w:val="center"/>
          </w:tcPr>
          <w:p w14:paraId="0766EF1D">
            <w:pPr>
              <w:pStyle w:val="12"/>
            </w:pPr>
            <w:r>
              <w:t>项目规划</w:t>
            </w:r>
          </w:p>
        </w:tc>
      </w:tr>
      <w:tr w14:paraId="60B1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A9BB0">
            <w:pPr>
              <w:pStyle w:val="13"/>
            </w:pPr>
            <w:r>
              <w:t>效益指标</w:t>
            </w:r>
          </w:p>
        </w:tc>
        <w:tc>
          <w:tcPr>
            <w:tcW w:w="2268" w:type="dxa"/>
            <w:vAlign w:val="center"/>
          </w:tcPr>
          <w:p w14:paraId="5CEC92B1">
            <w:pPr>
              <w:pStyle w:val="12"/>
            </w:pPr>
            <w:r>
              <w:t>可持续影响指标</w:t>
            </w:r>
          </w:p>
        </w:tc>
        <w:tc>
          <w:tcPr>
            <w:tcW w:w="2835" w:type="dxa"/>
            <w:vAlign w:val="center"/>
          </w:tcPr>
          <w:p w14:paraId="0DE90492">
            <w:pPr>
              <w:pStyle w:val="12"/>
            </w:pPr>
            <w:r>
              <w:t>学校办学能力提升</w:t>
            </w:r>
          </w:p>
        </w:tc>
        <w:tc>
          <w:tcPr>
            <w:tcW w:w="5386" w:type="dxa"/>
            <w:vAlign w:val="center"/>
          </w:tcPr>
          <w:p w14:paraId="4A6F2F0F">
            <w:pPr>
              <w:pStyle w:val="12"/>
            </w:pPr>
            <w:r>
              <w:t>学校办学能</w:t>
            </w:r>
            <w:r>
              <w:rPr>
                <w:rFonts w:hint="eastAsia"/>
                <w:lang w:eastAsia="zh-CN"/>
              </w:rPr>
              <w:t>力提</w:t>
            </w:r>
            <w:r>
              <w:t>升情况及教育教学工作等开展的情况</w:t>
            </w:r>
          </w:p>
        </w:tc>
        <w:tc>
          <w:tcPr>
            <w:tcW w:w="2268" w:type="dxa"/>
            <w:vAlign w:val="center"/>
          </w:tcPr>
          <w:p w14:paraId="5C0B9387">
            <w:pPr>
              <w:pStyle w:val="12"/>
            </w:pPr>
            <w:r>
              <w:t>≥98%</w:t>
            </w:r>
          </w:p>
        </w:tc>
        <w:tc>
          <w:tcPr>
            <w:tcW w:w="1276" w:type="dxa"/>
            <w:vAlign w:val="center"/>
          </w:tcPr>
          <w:p w14:paraId="0336240F">
            <w:pPr>
              <w:pStyle w:val="12"/>
            </w:pPr>
            <w:r>
              <w:t>项目规划</w:t>
            </w:r>
          </w:p>
        </w:tc>
      </w:tr>
      <w:tr w14:paraId="5BA4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793D6">
            <w:pPr>
              <w:pStyle w:val="13"/>
            </w:pPr>
            <w:r>
              <w:t>满意度指标</w:t>
            </w:r>
          </w:p>
        </w:tc>
        <w:tc>
          <w:tcPr>
            <w:tcW w:w="2268" w:type="dxa"/>
            <w:vAlign w:val="center"/>
          </w:tcPr>
          <w:p w14:paraId="56DA6AC7">
            <w:pPr>
              <w:pStyle w:val="12"/>
            </w:pPr>
            <w:r>
              <w:t>服务对象满意度指标</w:t>
            </w:r>
          </w:p>
        </w:tc>
        <w:tc>
          <w:tcPr>
            <w:tcW w:w="2835" w:type="dxa"/>
            <w:vAlign w:val="center"/>
          </w:tcPr>
          <w:p w14:paraId="263A9B9E">
            <w:pPr>
              <w:pStyle w:val="12"/>
            </w:pPr>
            <w:r>
              <w:t>学生、教师及家长对学校教学环境满意度情况</w:t>
            </w:r>
          </w:p>
        </w:tc>
        <w:tc>
          <w:tcPr>
            <w:tcW w:w="5386" w:type="dxa"/>
            <w:vAlign w:val="center"/>
          </w:tcPr>
          <w:p w14:paraId="4B5E978A">
            <w:pPr>
              <w:pStyle w:val="12"/>
            </w:pPr>
            <w:r>
              <w:t>学生、教师及家长对学校教学环境满意度情况</w:t>
            </w:r>
          </w:p>
        </w:tc>
        <w:tc>
          <w:tcPr>
            <w:tcW w:w="2268" w:type="dxa"/>
            <w:vAlign w:val="center"/>
          </w:tcPr>
          <w:p w14:paraId="7C8E2FF6">
            <w:pPr>
              <w:pStyle w:val="12"/>
            </w:pPr>
            <w:r>
              <w:t>≥95%</w:t>
            </w:r>
          </w:p>
        </w:tc>
        <w:tc>
          <w:tcPr>
            <w:tcW w:w="1276" w:type="dxa"/>
            <w:vAlign w:val="center"/>
          </w:tcPr>
          <w:p w14:paraId="65154CAE">
            <w:pPr>
              <w:pStyle w:val="12"/>
            </w:pPr>
            <w:r>
              <w:t>项目规划</w:t>
            </w:r>
          </w:p>
        </w:tc>
      </w:tr>
    </w:tbl>
    <w:p w14:paraId="1C11AFA6">
      <w:pPr>
        <w:sectPr>
          <w:pgSz w:w="16840" w:h="11900" w:orient="landscape"/>
          <w:pgMar w:top="1361" w:right="1020" w:bottom="1134" w:left="1020" w:header="720" w:footer="720" w:gutter="0"/>
          <w:cols w:space="720" w:num="1"/>
        </w:sectPr>
      </w:pPr>
    </w:p>
    <w:p w14:paraId="3B7CE997">
      <w:pPr>
        <w:spacing w:before="0" w:after="0"/>
        <w:ind w:firstLine="560"/>
        <w:jc w:val="left"/>
        <w:outlineLvl w:val="9"/>
      </w:pPr>
      <w:r>
        <w:rPr>
          <w:rFonts w:ascii="方正仿宋_GBK" w:hAnsi="方正仿宋_GBK" w:eastAsia="方正仿宋_GBK" w:cs="方正仿宋_GBK"/>
          <w:b/>
          <w:color w:val="000000"/>
          <w:sz w:val="28"/>
        </w:rPr>
        <w:t>19、冀财教[2025]148号/支持义务教育发展/城关校区东甫小学录播室项目绩效目标表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84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A18CB">
            <w:pPr>
              <w:pStyle w:val="11"/>
            </w:pPr>
            <w:r>
              <w:t>单位：万元</w:t>
            </w:r>
          </w:p>
        </w:tc>
      </w:tr>
      <w:tr w14:paraId="2FEF8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40FB2">
            <w:pPr>
              <w:pStyle w:val="10"/>
            </w:pPr>
            <w:r>
              <w:t>项目编码</w:t>
            </w:r>
          </w:p>
        </w:tc>
        <w:tc>
          <w:tcPr>
            <w:tcW w:w="5103" w:type="dxa"/>
            <w:gridSpan w:val="2"/>
            <w:vAlign w:val="center"/>
          </w:tcPr>
          <w:p w14:paraId="09D69C0F">
            <w:pPr>
              <w:pStyle w:val="12"/>
            </w:pPr>
            <w:r>
              <w:t>13052526P00000210123Y</w:t>
            </w:r>
          </w:p>
        </w:tc>
        <w:tc>
          <w:tcPr>
            <w:tcW w:w="2835" w:type="dxa"/>
            <w:vAlign w:val="center"/>
          </w:tcPr>
          <w:p w14:paraId="3DBDA50F">
            <w:pPr>
              <w:pStyle w:val="10"/>
            </w:pPr>
            <w:r>
              <w:t>项目名称</w:t>
            </w:r>
          </w:p>
        </w:tc>
        <w:tc>
          <w:tcPr>
            <w:tcW w:w="6095" w:type="dxa"/>
            <w:gridSpan w:val="3"/>
            <w:vAlign w:val="center"/>
          </w:tcPr>
          <w:p w14:paraId="2B5E39B0">
            <w:pPr>
              <w:pStyle w:val="12"/>
            </w:pPr>
            <w:r>
              <w:t>冀财教[2025]148号/支持义务教育发展/城关校区东甫小学录播室项目</w:t>
            </w:r>
          </w:p>
        </w:tc>
      </w:tr>
      <w:tr w14:paraId="7F1EB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22694">
            <w:pPr>
              <w:pStyle w:val="10"/>
            </w:pPr>
            <w:r>
              <w:t>预算规模及资金用途</w:t>
            </w:r>
          </w:p>
        </w:tc>
        <w:tc>
          <w:tcPr>
            <w:tcW w:w="2268" w:type="dxa"/>
            <w:vAlign w:val="center"/>
          </w:tcPr>
          <w:p w14:paraId="0FF27A4B">
            <w:pPr>
              <w:pStyle w:val="10"/>
            </w:pPr>
            <w:r>
              <w:t>预算数</w:t>
            </w:r>
          </w:p>
        </w:tc>
        <w:tc>
          <w:tcPr>
            <w:tcW w:w="2835" w:type="dxa"/>
            <w:vAlign w:val="center"/>
          </w:tcPr>
          <w:p w14:paraId="3048DBEF">
            <w:pPr>
              <w:pStyle w:val="12"/>
            </w:pPr>
            <w:r>
              <w:t>25.00</w:t>
            </w:r>
          </w:p>
        </w:tc>
        <w:tc>
          <w:tcPr>
            <w:tcW w:w="2835" w:type="dxa"/>
            <w:vAlign w:val="center"/>
          </w:tcPr>
          <w:p w14:paraId="2D99D7D7">
            <w:pPr>
              <w:pStyle w:val="10"/>
            </w:pPr>
            <w:r>
              <w:t>其中：财政    资金</w:t>
            </w:r>
          </w:p>
        </w:tc>
        <w:tc>
          <w:tcPr>
            <w:tcW w:w="2551" w:type="dxa"/>
            <w:vAlign w:val="center"/>
          </w:tcPr>
          <w:p w14:paraId="626DA3B8">
            <w:pPr>
              <w:pStyle w:val="12"/>
            </w:pPr>
            <w:r>
              <w:t>25.00</w:t>
            </w:r>
          </w:p>
        </w:tc>
        <w:tc>
          <w:tcPr>
            <w:tcW w:w="2268" w:type="dxa"/>
            <w:vAlign w:val="center"/>
          </w:tcPr>
          <w:p w14:paraId="5CBC96A8">
            <w:pPr>
              <w:pStyle w:val="10"/>
            </w:pPr>
            <w:r>
              <w:t>其他资金</w:t>
            </w:r>
          </w:p>
        </w:tc>
        <w:tc>
          <w:tcPr>
            <w:tcW w:w="1276" w:type="dxa"/>
            <w:vAlign w:val="center"/>
          </w:tcPr>
          <w:p w14:paraId="4B0630E2">
            <w:pPr>
              <w:pStyle w:val="12"/>
            </w:pPr>
            <w:r>
              <w:t xml:space="preserve"> </w:t>
            </w:r>
          </w:p>
        </w:tc>
      </w:tr>
      <w:tr w14:paraId="1588A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73392"/>
        </w:tc>
        <w:tc>
          <w:tcPr>
            <w:tcW w:w="14033" w:type="dxa"/>
            <w:gridSpan w:val="6"/>
            <w:vAlign w:val="center"/>
          </w:tcPr>
          <w:p w14:paraId="72962544">
            <w:pPr>
              <w:pStyle w:val="12"/>
            </w:pPr>
            <w:r>
              <w:t>提高教学条件，提升教学质量，保障义务教育阶段教学安全，创造良好的校园环境。</w:t>
            </w:r>
          </w:p>
        </w:tc>
      </w:tr>
      <w:tr w14:paraId="2EED9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F2945">
            <w:pPr>
              <w:pStyle w:val="10"/>
            </w:pPr>
            <w:r>
              <w:t>资金支出计划（%）</w:t>
            </w:r>
          </w:p>
        </w:tc>
        <w:tc>
          <w:tcPr>
            <w:tcW w:w="5103" w:type="dxa"/>
            <w:gridSpan w:val="2"/>
            <w:vAlign w:val="center"/>
          </w:tcPr>
          <w:p w14:paraId="1634FD3F">
            <w:pPr>
              <w:pStyle w:val="10"/>
            </w:pPr>
            <w:r>
              <w:t>3月底</w:t>
            </w:r>
          </w:p>
        </w:tc>
        <w:tc>
          <w:tcPr>
            <w:tcW w:w="2835" w:type="dxa"/>
            <w:vAlign w:val="center"/>
          </w:tcPr>
          <w:p w14:paraId="69E7B49F">
            <w:pPr>
              <w:pStyle w:val="10"/>
            </w:pPr>
            <w:r>
              <w:t>6月底</w:t>
            </w:r>
          </w:p>
        </w:tc>
        <w:tc>
          <w:tcPr>
            <w:tcW w:w="2551" w:type="dxa"/>
            <w:vAlign w:val="center"/>
          </w:tcPr>
          <w:p w14:paraId="07422D3C">
            <w:pPr>
              <w:pStyle w:val="10"/>
            </w:pPr>
            <w:r>
              <w:t>10月底</w:t>
            </w:r>
          </w:p>
        </w:tc>
        <w:tc>
          <w:tcPr>
            <w:tcW w:w="3544" w:type="dxa"/>
            <w:gridSpan w:val="2"/>
            <w:vAlign w:val="center"/>
          </w:tcPr>
          <w:p w14:paraId="3778182F">
            <w:pPr>
              <w:pStyle w:val="10"/>
            </w:pPr>
            <w:r>
              <w:t>12月底</w:t>
            </w:r>
          </w:p>
        </w:tc>
      </w:tr>
      <w:tr w14:paraId="71A80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36CF7"/>
        </w:tc>
        <w:tc>
          <w:tcPr>
            <w:tcW w:w="5103" w:type="dxa"/>
            <w:gridSpan w:val="2"/>
            <w:vAlign w:val="center"/>
          </w:tcPr>
          <w:p w14:paraId="54B165B3">
            <w:pPr>
              <w:pStyle w:val="13"/>
            </w:pPr>
            <w:r>
              <w:t xml:space="preserve"> </w:t>
            </w:r>
          </w:p>
        </w:tc>
        <w:tc>
          <w:tcPr>
            <w:tcW w:w="2835" w:type="dxa"/>
            <w:vAlign w:val="center"/>
          </w:tcPr>
          <w:p w14:paraId="7CC393D1">
            <w:pPr>
              <w:pStyle w:val="13"/>
            </w:pPr>
            <w:r>
              <w:t>50%</w:t>
            </w:r>
          </w:p>
        </w:tc>
        <w:tc>
          <w:tcPr>
            <w:tcW w:w="2551" w:type="dxa"/>
            <w:vAlign w:val="center"/>
          </w:tcPr>
          <w:p w14:paraId="4C8293BC">
            <w:pPr>
              <w:pStyle w:val="13"/>
            </w:pPr>
            <w:r>
              <w:t>100%</w:t>
            </w:r>
          </w:p>
        </w:tc>
        <w:tc>
          <w:tcPr>
            <w:tcW w:w="3544" w:type="dxa"/>
            <w:gridSpan w:val="2"/>
            <w:vAlign w:val="center"/>
          </w:tcPr>
          <w:p w14:paraId="14DC4369">
            <w:pPr>
              <w:pStyle w:val="13"/>
            </w:pPr>
            <w:r>
              <w:t>100%</w:t>
            </w:r>
          </w:p>
        </w:tc>
      </w:tr>
      <w:tr w14:paraId="4616F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3DA86">
            <w:pPr>
              <w:pStyle w:val="10"/>
            </w:pPr>
            <w:r>
              <w:t>绩效目标</w:t>
            </w:r>
          </w:p>
        </w:tc>
        <w:tc>
          <w:tcPr>
            <w:tcW w:w="14033" w:type="dxa"/>
            <w:gridSpan w:val="6"/>
            <w:vAlign w:val="center"/>
          </w:tcPr>
          <w:p w14:paraId="110CD51A">
            <w:pPr>
              <w:pStyle w:val="12"/>
            </w:pPr>
            <w:r>
              <w:t>1.提高教学条件，提升教学质量，保障义务教育阶段教学安全，创造良好的校园环境。</w:t>
            </w:r>
          </w:p>
          <w:p w14:paraId="099684A1">
            <w:pPr>
              <w:pStyle w:val="12"/>
            </w:pPr>
            <w:r>
              <w:t>2.项目需资金25万元，资金拨付率达到100%。</w:t>
            </w:r>
          </w:p>
        </w:tc>
      </w:tr>
    </w:tbl>
    <w:p w14:paraId="5A56B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E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9155A">
            <w:pPr>
              <w:pStyle w:val="10"/>
            </w:pPr>
            <w:r>
              <w:t>一级指标</w:t>
            </w:r>
          </w:p>
        </w:tc>
        <w:tc>
          <w:tcPr>
            <w:tcW w:w="2268" w:type="dxa"/>
            <w:vAlign w:val="center"/>
          </w:tcPr>
          <w:p w14:paraId="76E5E7FF">
            <w:pPr>
              <w:pStyle w:val="10"/>
            </w:pPr>
            <w:r>
              <w:t>二级指标</w:t>
            </w:r>
          </w:p>
        </w:tc>
        <w:tc>
          <w:tcPr>
            <w:tcW w:w="2835" w:type="dxa"/>
            <w:vAlign w:val="center"/>
          </w:tcPr>
          <w:p w14:paraId="0827AB0A">
            <w:pPr>
              <w:pStyle w:val="10"/>
            </w:pPr>
            <w:r>
              <w:t>三级指标</w:t>
            </w:r>
          </w:p>
        </w:tc>
        <w:tc>
          <w:tcPr>
            <w:tcW w:w="5386" w:type="dxa"/>
            <w:vAlign w:val="center"/>
          </w:tcPr>
          <w:p w14:paraId="485A9FD5">
            <w:pPr>
              <w:pStyle w:val="10"/>
            </w:pPr>
            <w:r>
              <w:t>绩效指标描述</w:t>
            </w:r>
          </w:p>
        </w:tc>
        <w:tc>
          <w:tcPr>
            <w:tcW w:w="2268" w:type="dxa"/>
            <w:vAlign w:val="center"/>
          </w:tcPr>
          <w:p w14:paraId="40C5E77E">
            <w:pPr>
              <w:pStyle w:val="10"/>
            </w:pPr>
            <w:r>
              <w:t>指标值</w:t>
            </w:r>
          </w:p>
        </w:tc>
        <w:tc>
          <w:tcPr>
            <w:tcW w:w="1276" w:type="dxa"/>
            <w:vAlign w:val="center"/>
          </w:tcPr>
          <w:p w14:paraId="7A646D70">
            <w:pPr>
              <w:pStyle w:val="10"/>
            </w:pPr>
            <w:r>
              <w:t>指标值确定依据</w:t>
            </w:r>
          </w:p>
        </w:tc>
      </w:tr>
      <w:tr w14:paraId="33E4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A38FA">
            <w:pPr>
              <w:pStyle w:val="13"/>
            </w:pPr>
            <w:r>
              <w:t>产出指标</w:t>
            </w:r>
          </w:p>
        </w:tc>
        <w:tc>
          <w:tcPr>
            <w:tcW w:w="2268" w:type="dxa"/>
            <w:vAlign w:val="center"/>
          </w:tcPr>
          <w:p w14:paraId="4A51B3A4">
            <w:pPr>
              <w:pStyle w:val="12"/>
            </w:pPr>
            <w:r>
              <w:t>数量指标</w:t>
            </w:r>
          </w:p>
        </w:tc>
        <w:tc>
          <w:tcPr>
            <w:tcW w:w="2835" w:type="dxa"/>
            <w:vAlign w:val="center"/>
          </w:tcPr>
          <w:p w14:paraId="23F6BF39">
            <w:pPr>
              <w:pStyle w:val="12"/>
            </w:pPr>
            <w:r>
              <w:t>东甫小学录播室项目</w:t>
            </w:r>
          </w:p>
        </w:tc>
        <w:tc>
          <w:tcPr>
            <w:tcW w:w="5386" w:type="dxa"/>
            <w:vAlign w:val="center"/>
          </w:tcPr>
          <w:p w14:paraId="03BB6184">
            <w:pPr>
              <w:pStyle w:val="12"/>
            </w:pPr>
            <w:r>
              <w:t>录播室系统等</w:t>
            </w:r>
          </w:p>
        </w:tc>
        <w:tc>
          <w:tcPr>
            <w:tcW w:w="2268" w:type="dxa"/>
            <w:vAlign w:val="center"/>
          </w:tcPr>
          <w:p w14:paraId="748F7177">
            <w:pPr>
              <w:pStyle w:val="12"/>
            </w:pPr>
            <w:r>
              <w:t>≥1项</w:t>
            </w:r>
          </w:p>
        </w:tc>
        <w:tc>
          <w:tcPr>
            <w:tcW w:w="1276" w:type="dxa"/>
            <w:vAlign w:val="center"/>
          </w:tcPr>
          <w:p w14:paraId="0F2D4B15">
            <w:pPr>
              <w:pStyle w:val="12"/>
            </w:pPr>
            <w:r>
              <w:t>项目规划</w:t>
            </w:r>
          </w:p>
        </w:tc>
      </w:tr>
      <w:tr w14:paraId="61C0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0803A"/>
        </w:tc>
        <w:tc>
          <w:tcPr>
            <w:tcW w:w="2268" w:type="dxa"/>
            <w:vAlign w:val="center"/>
          </w:tcPr>
          <w:p w14:paraId="61615332">
            <w:pPr>
              <w:pStyle w:val="12"/>
            </w:pPr>
            <w:r>
              <w:t>质量指标</w:t>
            </w:r>
          </w:p>
        </w:tc>
        <w:tc>
          <w:tcPr>
            <w:tcW w:w="2835" w:type="dxa"/>
            <w:vAlign w:val="center"/>
          </w:tcPr>
          <w:p w14:paraId="4DBA4D75">
            <w:pPr>
              <w:pStyle w:val="12"/>
            </w:pPr>
            <w:r>
              <w:t>工程实施验收合格率</w:t>
            </w:r>
          </w:p>
        </w:tc>
        <w:tc>
          <w:tcPr>
            <w:tcW w:w="5386" w:type="dxa"/>
            <w:vAlign w:val="center"/>
          </w:tcPr>
          <w:p w14:paraId="060C6623">
            <w:pPr>
              <w:pStyle w:val="12"/>
            </w:pPr>
            <w:r>
              <w:t>申报程序的合规，项目实施及资金使用符合项目规划</w:t>
            </w:r>
          </w:p>
        </w:tc>
        <w:tc>
          <w:tcPr>
            <w:tcW w:w="2268" w:type="dxa"/>
            <w:vAlign w:val="center"/>
          </w:tcPr>
          <w:p w14:paraId="0679A86B">
            <w:pPr>
              <w:pStyle w:val="12"/>
            </w:pPr>
            <w:r>
              <w:t>100%</w:t>
            </w:r>
          </w:p>
        </w:tc>
        <w:tc>
          <w:tcPr>
            <w:tcW w:w="1276" w:type="dxa"/>
            <w:vAlign w:val="center"/>
          </w:tcPr>
          <w:p w14:paraId="71621079">
            <w:pPr>
              <w:pStyle w:val="12"/>
            </w:pPr>
            <w:r>
              <w:t>项目规划</w:t>
            </w:r>
          </w:p>
        </w:tc>
      </w:tr>
      <w:tr w14:paraId="3982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B012E"/>
        </w:tc>
        <w:tc>
          <w:tcPr>
            <w:tcW w:w="2268" w:type="dxa"/>
            <w:vAlign w:val="center"/>
          </w:tcPr>
          <w:p w14:paraId="1EA78A58">
            <w:pPr>
              <w:pStyle w:val="12"/>
            </w:pPr>
            <w:r>
              <w:t>时效指标</w:t>
            </w:r>
          </w:p>
        </w:tc>
        <w:tc>
          <w:tcPr>
            <w:tcW w:w="2835" w:type="dxa"/>
            <w:vAlign w:val="center"/>
          </w:tcPr>
          <w:p w14:paraId="246CDB28">
            <w:pPr>
              <w:pStyle w:val="12"/>
            </w:pPr>
            <w:r>
              <w:t>资金支付率</w:t>
            </w:r>
          </w:p>
        </w:tc>
        <w:tc>
          <w:tcPr>
            <w:tcW w:w="5386" w:type="dxa"/>
            <w:vAlign w:val="center"/>
          </w:tcPr>
          <w:p w14:paraId="5B1BF2E8">
            <w:pPr>
              <w:pStyle w:val="12"/>
            </w:pPr>
            <w:r>
              <w:t>按照序时进度完成资金支付</w:t>
            </w:r>
          </w:p>
        </w:tc>
        <w:tc>
          <w:tcPr>
            <w:tcW w:w="2268" w:type="dxa"/>
            <w:vAlign w:val="center"/>
          </w:tcPr>
          <w:p w14:paraId="5F6616D2">
            <w:pPr>
              <w:pStyle w:val="12"/>
            </w:pPr>
            <w:r>
              <w:t>100%</w:t>
            </w:r>
          </w:p>
        </w:tc>
        <w:tc>
          <w:tcPr>
            <w:tcW w:w="1276" w:type="dxa"/>
            <w:vAlign w:val="center"/>
          </w:tcPr>
          <w:p w14:paraId="6C140919">
            <w:pPr>
              <w:pStyle w:val="12"/>
            </w:pPr>
            <w:r>
              <w:t>项目规划</w:t>
            </w:r>
          </w:p>
        </w:tc>
      </w:tr>
      <w:tr w14:paraId="136E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A874"/>
        </w:tc>
        <w:tc>
          <w:tcPr>
            <w:tcW w:w="2268" w:type="dxa"/>
            <w:vAlign w:val="center"/>
          </w:tcPr>
          <w:p w14:paraId="2A6D5528">
            <w:pPr>
              <w:pStyle w:val="12"/>
            </w:pPr>
            <w:r>
              <w:t>成本指标</w:t>
            </w:r>
          </w:p>
        </w:tc>
        <w:tc>
          <w:tcPr>
            <w:tcW w:w="2835" w:type="dxa"/>
            <w:vAlign w:val="center"/>
          </w:tcPr>
          <w:p w14:paraId="2BCC4826">
            <w:pPr>
              <w:pStyle w:val="12"/>
            </w:pPr>
            <w:r>
              <w:t>项目成本控制情况</w:t>
            </w:r>
          </w:p>
        </w:tc>
        <w:tc>
          <w:tcPr>
            <w:tcW w:w="5386" w:type="dxa"/>
            <w:vAlign w:val="center"/>
          </w:tcPr>
          <w:p w14:paraId="41E39CFD">
            <w:pPr>
              <w:pStyle w:val="12"/>
            </w:pPr>
            <w:r>
              <w:t>严格按照招标价格及审计额进行</w:t>
            </w:r>
          </w:p>
        </w:tc>
        <w:tc>
          <w:tcPr>
            <w:tcW w:w="2268" w:type="dxa"/>
            <w:vAlign w:val="center"/>
          </w:tcPr>
          <w:p w14:paraId="4D4A4F08">
            <w:pPr>
              <w:pStyle w:val="12"/>
            </w:pPr>
            <w:r>
              <w:t>25万元</w:t>
            </w:r>
          </w:p>
        </w:tc>
        <w:tc>
          <w:tcPr>
            <w:tcW w:w="1276" w:type="dxa"/>
            <w:vAlign w:val="center"/>
          </w:tcPr>
          <w:p w14:paraId="24D02DA6">
            <w:pPr>
              <w:pStyle w:val="12"/>
            </w:pPr>
            <w:r>
              <w:t>项目规划</w:t>
            </w:r>
          </w:p>
        </w:tc>
      </w:tr>
      <w:tr w14:paraId="41C5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BF961">
            <w:pPr>
              <w:pStyle w:val="13"/>
            </w:pPr>
            <w:r>
              <w:t>效益指标</w:t>
            </w:r>
          </w:p>
        </w:tc>
        <w:tc>
          <w:tcPr>
            <w:tcW w:w="2268" w:type="dxa"/>
            <w:vAlign w:val="center"/>
          </w:tcPr>
          <w:p w14:paraId="797CB6F6">
            <w:pPr>
              <w:pStyle w:val="12"/>
            </w:pPr>
            <w:r>
              <w:t>社会效益指标</w:t>
            </w:r>
          </w:p>
        </w:tc>
        <w:tc>
          <w:tcPr>
            <w:tcW w:w="2835" w:type="dxa"/>
            <w:vAlign w:val="center"/>
          </w:tcPr>
          <w:p w14:paraId="7B1E15DC">
            <w:pPr>
              <w:pStyle w:val="12"/>
            </w:pPr>
            <w:r>
              <w:t>学校办学环境提升</w:t>
            </w:r>
          </w:p>
        </w:tc>
        <w:tc>
          <w:tcPr>
            <w:tcW w:w="5386" w:type="dxa"/>
            <w:vAlign w:val="center"/>
          </w:tcPr>
          <w:p w14:paraId="22ED152F">
            <w:pPr>
              <w:pStyle w:val="12"/>
            </w:pPr>
            <w:r>
              <w:t>学校教学环境提升优化率</w:t>
            </w:r>
          </w:p>
        </w:tc>
        <w:tc>
          <w:tcPr>
            <w:tcW w:w="2268" w:type="dxa"/>
            <w:vAlign w:val="center"/>
          </w:tcPr>
          <w:p w14:paraId="39C39B77">
            <w:pPr>
              <w:pStyle w:val="12"/>
            </w:pPr>
            <w:r>
              <w:t>100%</w:t>
            </w:r>
          </w:p>
        </w:tc>
        <w:tc>
          <w:tcPr>
            <w:tcW w:w="1276" w:type="dxa"/>
            <w:vAlign w:val="center"/>
          </w:tcPr>
          <w:p w14:paraId="66C533DC">
            <w:pPr>
              <w:pStyle w:val="12"/>
            </w:pPr>
            <w:r>
              <w:t>项目规划</w:t>
            </w:r>
          </w:p>
        </w:tc>
      </w:tr>
      <w:tr w14:paraId="313D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66F86">
            <w:pPr>
              <w:pStyle w:val="13"/>
            </w:pPr>
            <w:r>
              <w:t>满意度指标</w:t>
            </w:r>
          </w:p>
        </w:tc>
        <w:tc>
          <w:tcPr>
            <w:tcW w:w="2268" w:type="dxa"/>
            <w:vAlign w:val="center"/>
          </w:tcPr>
          <w:p w14:paraId="37CBC75B">
            <w:pPr>
              <w:pStyle w:val="12"/>
            </w:pPr>
            <w:r>
              <w:t>服务对象满意度指标</w:t>
            </w:r>
          </w:p>
        </w:tc>
        <w:tc>
          <w:tcPr>
            <w:tcW w:w="2835" w:type="dxa"/>
            <w:vAlign w:val="center"/>
          </w:tcPr>
          <w:p w14:paraId="273BFEC8">
            <w:pPr>
              <w:pStyle w:val="12"/>
            </w:pPr>
            <w:r>
              <w:t>受益学生家长及调查满意度</w:t>
            </w:r>
          </w:p>
        </w:tc>
        <w:tc>
          <w:tcPr>
            <w:tcW w:w="5386" w:type="dxa"/>
            <w:vAlign w:val="center"/>
          </w:tcPr>
          <w:p w14:paraId="69AABB56">
            <w:pPr>
              <w:pStyle w:val="12"/>
            </w:pPr>
            <w:r>
              <w:t>学生、教师及家长对学校教学环境满意度情况</w:t>
            </w:r>
          </w:p>
        </w:tc>
        <w:tc>
          <w:tcPr>
            <w:tcW w:w="2268" w:type="dxa"/>
            <w:vAlign w:val="center"/>
          </w:tcPr>
          <w:p w14:paraId="6D789878">
            <w:pPr>
              <w:pStyle w:val="12"/>
            </w:pPr>
            <w:r>
              <w:t>≥95%</w:t>
            </w:r>
          </w:p>
        </w:tc>
        <w:tc>
          <w:tcPr>
            <w:tcW w:w="1276" w:type="dxa"/>
            <w:vAlign w:val="center"/>
          </w:tcPr>
          <w:p w14:paraId="75FC9F5E">
            <w:pPr>
              <w:pStyle w:val="12"/>
            </w:pPr>
            <w:r>
              <w:t>项目规划</w:t>
            </w:r>
          </w:p>
        </w:tc>
      </w:tr>
    </w:tbl>
    <w:p w14:paraId="56AD52BB">
      <w:pPr>
        <w:sectPr>
          <w:pgSz w:w="16840" w:h="11900" w:orient="landscape"/>
          <w:pgMar w:top="1361" w:right="1020" w:bottom="1134" w:left="1020" w:header="720" w:footer="720" w:gutter="0"/>
          <w:cols w:space="720" w:num="1"/>
        </w:sectPr>
      </w:pPr>
    </w:p>
    <w:p w14:paraId="2AF3BF4C">
      <w:pPr>
        <w:spacing w:before="0" w:after="0"/>
        <w:ind w:firstLine="560"/>
        <w:jc w:val="left"/>
        <w:outlineLvl w:val="9"/>
      </w:pPr>
      <w:r>
        <w:rPr>
          <w:rFonts w:ascii="方正仿宋_GBK" w:hAnsi="方正仿宋_GBK" w:eastAsia="方正仿宋_GBK" w:cs="方正仿宋_GBK"/>
          <w:b/>
          <w:color w:val="000000"/>
          <w:sz w:val="28"/>
        </w:rPr>
        <w:t>20、冀财教[2025]148号/支持义务教育发展/城关校区东关小学公用经费绩效目标表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E6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DA86B">
            <w:pPr>
              <w:pStyle w:val="11"/>
            </w:pPr>
            <w:r>
              <w:t>单位：万元</w:t>
            </w:r>
          </w:p>
        </w:tc>
      </w:tr>
      <w:tr w14:paraId="27532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7CBA7">
            <w:pPr>
              <w:pStyle w:val="10"/>
            </w:pPr>
            <w:r>
              <w:t>项目编码</w:t>
            </w:r>
          </w:p>
        </w:tc>
        <w:tc>
          <w:tcPr>
            <w:tcW w:w="5103" w:type="dxa"/>
            <w:gridSpan w:val="2"/>
            <w:vAlign w:val="center"/>
          </w:tcPr>
          <w:p w14:paraId="07643443">
            <w:pPr>
              <w:pStyle w:val="12"/>
            </w:pPr>
            <w:r>
              <w:t>13052526P00000210126R</w:t>
            </w:r>
          </w:p>
        </w:tc>
        <w:tc>
          <w:tcPr>
            <w:tcW w:w="2835" w:type="dxa"/>
            <w:vAlign w:val="center"/>
          </w:tcPr>
          <w:p w14:paraId="1EF6BD7B">
            <w:pPr>
              <w:pStyle w:val="10"/>
            </w:pPr>
            <w:r>
              <w:t>项目名称</w:t>
            </w:r>
          </w:p>
        </w:tc>
        <w:tc>
          <w:tcPr>
            <w:tcW w:w="6095" w:type="dxa"/>
            <w:gridSpan w:val="3"/>
            <w:vAlign w:val="center"/>
          </w:tcPr>
          <w:p w14:paraId="568B8F4E">
            <w:pPr>
              <w:pStyle w:val="12"/>
            </w:pPr>
            <w:r>
              <w:t>冀财教[2025]148号/支持义务教育发展/城关校区东关小学公用经费</w:t>
            </w:r>
          </w:p>
        </w:tc>
      </w:tr>
      <w:tr w14:paraId="656C5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D980B">
            <w:pPr>
              <w:pStyle w:val="10"/>
            </w:pPr>
            <w:r>
              <w:t>预算规模及资金用途</w:t>
            </w:r>
          </w:p>
        </w:tc>
        <w:tc>
          <w:tcPr>
            <w:tcW w:w="2268" w:type="dxa"/>
            <w:vAlign w:val="center"/>
          </w:tcPr>
          <w:p w14:paraId="7CEE38DD">
            <w:pPr>
              <w:pStyle w:val="10"/>
            </w:pPr>
            <w:r>
              <w:t>预算数</w:t>
            </w:r>
          </w:p>
        </w:tc>
        <w:tc>
          <w:tcPr>
            <w:tcW w:w="2835" w:type="dxa"/>
            <w:vAlign w:val="center"/>
          </w:tcPr>
          <w:p w14:paraId="795076BE">
            <w:pPr>
              <w:pStyle w:val="12"/>
            </w:pPr>
            <w:r>
              <w:t>26.00</w:t>
            </w:r>
          </w:p>
        </w:tc>
        <w:tc>
          <w:tcPr>
            <w:tcW w:w="2835" w:type="dxa"/>
            <w:vAlign w:val="center"/>
          </w:tcPr>
          <w:p w14:paraId="61382465">
            <w:pPr>
              <w:pStyle w:val="10"/>
            </w:pPr>
            <w:r>
              <w:t>其中：财政    资金</w:t>
            </w:r>
          </w:p>
        </w:tc>
        <w:tc>
          <w:tcPr>
            <w:tcW w:w="2551" w:type="dxa"/>
            <w:vAlign w:val="center"/>
          </w:tcPr>
          <w:p w14:paraId="54E82CAC">
            <w:pPr>
              <w:pStyle w:val="12"/>
            </w:pPr>
            <w:r>
              <w:t>26.00</w:t>
            </w:r>
          </w:p>
        </w:tc>
        <w:tc>
          <w:tcPr>
            <w:tcW w:w="2268" w:type="dxa"/>
            <w:vAlign w:val="center"/>
          </w:tcPr>
          <w:p w14:paraId="2E551DFD">
            <w:pPr>
              <w:pStyle w:val="10"/>
            </w:pPr>
            <w:r>
              <w:t>其他资金</w:t>
            </w:r>
          </w:p>
        </w:tc>
        <w:tc>
          <w:tcPr>
            <w:tcW w:w="1276" w:type="dxa"/>
            <w:vAlign w:val="center"/>
          </w:tcPr>
          <w:p w14:paraId="5333C556">
            <w:pPr>
              <w:pStyle w:val="12"/>
            </w:pPr>
            <w:r>
              <w:t xml:space="preserve"> </w:t>
            </w:r>
          </w:p>
        </w:tc>
      </w:tr>
      <w:tr w14:paraId="15567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85679"/>
        </w:tc>
        <w:tc>
          <w:tcPr>
            <w:tcW w:w="14033" w:type="dxa"/>
            <w:gridSpan w:val="6"/>
            <w:vAlign w:val="center"/>
          </w:tcPr>
          <w:p w14:paraId="4813F7D2">
            <w:pPr>
              <w:pStyle w:val="12"/>
            </w:pPr>
            <w:r>
              <w:t>完成东关小学智慧黑板购置项目，进一步提升教育质量及教学条件。</w:t>
            </w:r>
          </w:p>
        </w:tc>
      </w:tr>
      <w:tr w14:paraId="59339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9F432">
            <w:pPr>
              <w:pStyle w:val="10"/>
            </w:pPr>
            <w:r>
              <w:t>资金支出计划（%）</w:t>
            </w:r>
          </w:p>
        </w:tc>
        <w:tc>
          <w:tcPr>
            <w:tcW w:w="5103" w:type="dxa"/>
            <w:gridSpan w:val="2"/>
            <w:vAlign w:val="center"/>
          </w:tcPr>
          <w:p w14:paraId="533A5A12">
            <w:pPr>
              <w:pStyle w:val="10"/>
            </w:pPr>
            <w:r>
              <w:t>3月底</w:t>
            </w:r>
          </w:p>
        </w:tc>
        <w:tc>
          <w:tcPr>
            <w:tcW w:w="2835" w:type="dxa"/>
            <w:vAlign w:val="center"/>
          </w:tcPr>
          <w:p w14:paraId="7A535369">
            <w:pPr>
              <w:pStyle w:val="10"/>
            </w:pPr>
            <w:r>
              <w:t>6月底</w:t>
            </w:r>
          </w:p>
        </w:tc>
        <w:tc>
          <w:tcPr>
            <w:tcW w:w="2551" w:type="dxa"/>
            <w:vAlign w:val="center"/>
          </w:tcPr>
          <w:p w14:paraId="043A3A7F">
            <w:pPr>
              <w:pStyle w:val="10"/>
            </w:pPr>
            <w:r>
              <w:t>10月底</w:t>
            </w:r>
          </w:p>
        </w:tc>
        <w:tc>
          <w:tcPr>
            <w:tcW w:w="3544" w:type="dxa"/>
            <w:gridSpan w:val="2"/>
            <w:vAlign w:val="center"/>
          </w:tcPr>
          <w:p w14:paraId="03CE46DF">
            <w:pPr>
              <w:pStyle w:val="10"/>
            </w:pPr>
            <w:r>
              <w:t>12月底</w:t>
            </w:r>
          </w:p>
        </w:tc>
      </w:tr>
      <w:tr w14:paraId="46CDA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BBC90"/>
        </w:tc>
        <w:tc>
          <w:tcPr>
            <w:tcW w:w="5103" w:type="dxa"/>
            <w:gridSpan w:val="2"/>
            <w:vAlign w:val="center"/>
          </w:tcPr>
          <w:p w14:paraId="477009D5">
            <w:pPr>
              <w:pStyle w:val="13"/>
            </w:pPr>
            <w:r>
              <w:t xml:space="preserve"> </w:t>
            </w:r>
          </w:p>
        </w:tc>
        <w:tc>
          <w:tcPr>
            <w:tcW w:w="2835" w:type="dxa"/>
            <w:vAlign w:val="center"/>
          </w:tcPr>
          <w:p w14:paraId="37D5A6EF">
            <w:pPr>
              <w:pStyle w:val="13"/>
            </w:pPr>
            <w:r>
              <w:t>50%</w:t>
            </w:r>
          </w:p>
        </w:tc>
        <w:tc>
          <w:tcPr>
            <w:tcW w:w="2551" w:type="dxa"/>
            <w:vAlign w:val="center"/>
          </w:tcPr>
          <w:p w14:paraId="6207BAF0">
            <w:pPr>
              <w:pStyle w:val="13"/>
            </w:pPr>
            <w:r>
              <w:t>100%</w:t>
            </w:r>
          </w:p>
        </w:tc>
        <w:tc>
          <w:tcPr>
            <w:tcW w:w="3544" w:type="dxa"/>
            <w:gridSpan w:val="2"/>
            <w:vAlign w:val="center"/>
          </w:tcPr>
          <w:p w14:paraId="5DDF42EA">
            <w:pPr>
              <w:pStyle w:val="13"/>
            </w:pPr>
            <w:r>
              <w:t xml:space="preserve"> </w:t>
            </w:r>
          </w:p>
        </w:tc>
      </w:tr>
      <w:tr w14:paraId="6DBF0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9D14B">
            <w:pPr>
              <w:pStyle w:val="10"/>
            </w:pPr>
            <w:r>
              <w:t>绩效目标</w:t>
            </w:r>
          </w:p>
        </w:tc>
        <w:tc>
          <w:tcPr>
            <w:tcW w:w="14033" w:type="dxa"/>
            <w:gridSpan w:val="6"/>
            <w:vAlign w:val="center"/>
          </w:tcPr>
          <w:p w14:paraId="46CEBAFE">
            <w:pPr>
              <w:pStyle w:val="12"/>
            </w:pPr>
            <w:r>
              <w:t>1.按照工程时序进度完成资金拨付，资金拨付率达100%</w:t>
            </w:r>
          </w:p>
          <w:p w14:paraId="470872D9">
            <w:pPr>
              <w:pStyle w:val="12"/>
            </w:pPr>
            <w:r>
              <w:t>2.完成东关小学智慧黑板购置项目，进一步提升教育质量及教学条件。</w:t>
            </w:r>
          </w:p>
        </w:tc>
      </w:tr>
    </w:tbl>
    <w:p w14:paraId="14BAD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9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E4836">
            <w:pPr>
              <w:pStyle w:val="10"/>
            </w:pPr>
            <w:r>
              <w:t>一级指标</w:t>
            </w:r>
          </w:p>
        </w:tc>
        <w:tc>
          <w:tcPr>
            <w:tcW w:w="2268" w:type="dxa"/>
            <w:vAlign w:val="center"/>
          </w:tcPr>
          <w:p w14:paraId="6C04D6B7">
            <w:pPr>
              <w:pStyle w:val="10"/>
            </w:pPr>
            <w:r>
              <w:t>二级指标</w:t>
            </w:r>
          </w:p>
        </w:tc>
        <w:tc>
          <w:tcPr>
            <w:tcW w:w="2835" w:type="dxa"/>
            <w:vAlign w:val="center"/>
          </w:tcPr>
          <w:p w14:paraId="546897F1">
            <w:pPr>
              <w:pStyle w:val="10"/>
            </w:pPr>
            <w:r>
              <w:t>三级指标</w:t>
            </w:r>
          </w:p>
        </w:tc>
        <w:tc>
          <w:tcPr>
            <w:tcW w:w="5386" w:type="dxa"/>
            <w:vAlign w:val="center"/>
          </w:tcPr>
          <w:p w14:paraId="1149B754">
            <w:pPr>
              <w:pStyle w:val="10"/>
            </w:pPr>
            <w:r>
              <w:t>绩效指标描述</w:t>
            </w:r>
          </w:p>
        </w:tc>
        <w:tc>
          <w:tcPr>
            <w:tcW w:w="2268" w:type="dxa"/>
            <w:vAlign w:val="center"/>
          </w:tcPr>
          <w:p w14:paraId="2374F512">
            <w:pPr>
              <w:pStyle w:val="10"/>
            </w:pPr>
            <w:r>
              <w:t>指标值</w:t>
            </w:r>
          </w:p>
        </w:tc>
        <w:tc>
          <w:tcPr>
            <w:tcW w:w="1276" w:type="dxa"/>
            <w:vAlign w:val="center"/>
          </w:tcPr>
          <w:p w14:paraId="178379DE">
            <w:pPr>
              <w:pStyle w:val="10"/>
            </w:pPr>
            <w:r>
              <w:t>指标值确定依据</w:t>
            </w:r>
          </w:p>
        </w:tc>
      </w:tr>
      <w:tr w14:paraId="4558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6D2F5">
            <w:pPr>
              <w:pStyle w:val="13"/>
            </w:pPr>
            <w:r>
              <w:t>产出指标</w:t>
            </w:r>
          </w:p>
        </w:tc>
        <w:tc>
          <w:tcPr>
            <w:tcW w:w="2268" w:type="dxa"/>
            <w:vAlign w:val="center"/>
          </w:tcPr>
          <w:p w14:paraId="62F47899">
            <w:pPr>
              <w:pStyle w:val="12"/>
            </w:pPr>
            <w:r>
              <w:t>数量指标</w:t>
            </w:r>
          </w:p>
        </w:tc>
        <w:tc>
          <w:tcPr>
            <w:tcW w:w="2835" w:type="dxa"/>
            <w:vAlign w:val="center"/>
          </w:tcPr>
          <w:p w14:paraId="33E77A9F">
            <w:pPr>
              <w:pStyle w:val="12"/>
            </w:pPr>
            <w:r>
              <w:t>专用设备购置</w:t>
            </w:r>
          </w:p>
        </w:tc>
        <w:tc>
          <w:tcPr>
            <w:tcW w:w="5386" w:type="dxa"/>
            <w:vAlign w:val="center"/>
          </w:tcPr>
          <w:p w14:paraId="4D257FE0">
            <w:pPr>
              <w:pStyle w:val="12"/>
            </w:pPr>
            <w:r>
              <w:t>学校智慧黑板设备购置</w:t>
            </w:r>
          </w:p>
        </w:tc>
        <w:tc>
          <w:tcPr>
            <w:tcW w:w="2268" w:type="dxa"/>
            <w:vAlign w:val="center"/>
          </w:tcPr>
          <w:p w14:paraId="6C814E5F">
            <w:pPr>
              <w:pStyle w:val="12"/>
            </w:pPr>
            <w:r>
              <w:t>≥1项</w:t>
            </w:r>
          </w:p>
        </w:tc>
        <w:tc>
          <w:tcPr>
            <w:tcW w:w="1276" w:type="dxa"/>
            <w:vAlign w:val="center"/>
          </w:tcPr>
          <w:p w14:paraId="2645C66C">
            <w:pPr>
              <w:pStyle w:val="12"/>
            </w:pPr>
            <w:r>
              <w:t>项目规划</w:t>
            </w:r>
          </w:p>
        </w:tc>
      </w:tr>
      <w:tr w14:paraId="0BFC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2185F"/>
        </w:tc>
        <w:tc>
          <w:tcPr>
            <w:tcW w:w="2268" w:type="dxa"/>
            <w:vAlign w:val="center"/>
          </w:tcPr>
          <w:p w14:paraId="28D3C143">
            <w:pPr>
              <w:pStyle w:val="12"/>
            </w:pPr>
            <w:r>
              <w:t>质量指标</w:t>
            </w:r>
          </w:p>
        </w:tc>
        <w:tc>
          <w:tcPr>
            <w:tcW w:w="2835" w:type="dxa"/>
            <w:vAlign w:val="center"/>
          </w:tcPr>
          <w:p w14:paraId="7F9E8195">
            <w:pPr>
              <w:pStyle w:val="12"/>
            </w:pPr>
            <w:r>
              <w:t>购置项目质量合格率</w:t>
            </w:r>
          </w:p>
        </w:tc>
        <w:tc>
          <w:tcPr>
            <w:tcW w:w="5386" w:type="dxa"/>
            <w:vAlign w:val="center"/>
          </w:tcPr>
          <w:p w14:paraId="33426A52">
            <w:pPr>
              <w:pStyle w:val="12"/>
            </w:pPr>
            <w:r>
              <w:t>专用设备购置质量合格率</w:t>
            </w:r>
          </w:p>
        </w:tc>
        <w:tc>
          <w:tcPr>
            <w:tcW w:w="2268" w:type="dxa"/>
            <w:vAlign w:val="center"/>
          </w:tcPr>
          <w:p w14:paraId="250DEAEB">
            <w:pPr>
              <w:pStyle w:val="12"/>
            </w:pPr>
            <w:r>
              <w:t>100%</w:t>
            </w:r>
          </w:p>
        </w:tc>
        <w:tc>
          <w:tcPr>
            <w:tcW w:w="1276" w:type="dxa"/>
            <w:vAlign w:val="center"/>
          </w:tcPr>
          <w:p w14:paraId="0D0E5CB7">
            <w:pPr>
              <w:pStyle w:val="12"/>
            </w:pPr>
            <w:r>
              <w:t>项目规划</w:t>
            </w:r>
          </w:p>
        </w:tc>
      </w:tr>
      <w:tr w14:paraId="494C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0F354"/>
        </w:tc>
        <w:tc>
          <w:tcPr>
            <w:tcW w:w="2268" w:type="dxa"/>
            <w:vAlign w:val="center"/>
          </w:tcPr>
          <w:p w14:paraId="0FD4931A">
            <w:pPr>
              <w:pStyle w:val="12"/>
            </w:pPr>
            <w:r>
              <w:t>时效指标</w:t>
            </w:r>
          </w:p>
        </w:tc>
        <w:tc>
          <w:tcPr>
            <w:tcW w:w="2835" w:type="dxa"/>
            <w:vAlign w:val="center"/>
          </w:tcPr>
          <w:p w14:paraId="53E5B0CD">
            <w:pPr>
              <w:pStyle w:val="12"/>
            </w:pPr>
            <w:r>
              <w:t>按时完成率</w:t>
            </w:r>
          </w:p>
        </w:tc>
        <w:tc>
          <w:tcPr>
            <w:tcW w:w="5386" w:type="dxa"/>
            <w:vAlign w:val="center"/>
          </w:tcPr>
          <w:p w14:paraId="10910BCF">
            <w:pPr>
              <w:pStyle w:val="12"/>
            </w:pPr>
            <w:r>
              <w:t>购置项目按时序进度完成比例</w:t>
            </w:r>
          </w:p>
        </w:tc>
        <w:tc>
          <w:tcPr>
            <w:tcW w:w="2268" w:type="dxa"/>
            <w:vAlign w:val="center"/>
          </w:tcPr>
          <w:p w14:paraId="03372BC6">
            <w:pPr>
              <w:pStyle w:val="12"/>
            </w:pPr>
            <w:r>
              <w:t>100%</w:t>
            </w:r>
          </w:p>
        </w:tc>
        <w:tc>
          <w:tcPr>
            <w:tcW w:w="1276" w:type="dxa"/>
            <w:vAlign w:val="center"/>
          </w:tcPr>
          <w:p w14:paraId="62FBE51A">
            <w:pPr>
              <w:pStyle w:val="12"/>
            </w:pPr>
            <w:r>
              <w:t>项目规划</w:t>
            </w:r>
          </w:p>
        </w:tc>
      </w:tr>
      <w:tr w14:paraId="315E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0D267"/>
        </w:tc>
        <w:tc>
          <w:tcPr>
            <w:tcW w:w="2268" w:type="dxa"/>
            <w:vAlign w:val="center"/>
          </w:tcPr>
          <w:p w14:paraId="2D2DDC47">
            <w:pPr>
              <w:pStyle w:val="12"/>
            </w:pPr>
            <w:r>
              <w:t>成本指标</w:t>
            </w:r>
          </w:p>
        </w:tc>
        <w:tc>
          <w:tcPr>
            <w:tcW w:w="2835" w:type="dxa"/>
            <w:vAlign w:val="center"/>
          </w:tcPr>
          <w:p w14:paraId="024673E9">
            <w:pPr>
              <w:pStyle w:val="12"/>
            </w:pPr>
            <w:r>
              <w:t>系统安装成本</w:t>
            </w:r>
          </w:p>
        </w:tc>
        <w:tc>
          <w:tcPr>
            <w:tcW w:w="5386" w:type="dxa"/>
            <w:vAlign w:val="center"/>
          </w:tcPr>
          <w:p w14:paraId="493DA034">
            <w:pPr>
              <w:pStyle w:val="12"/>
            </w:pPr>
            <w:r>
              <w:t>专用设备购置安装成本</w:t>
            </w:r>
          </w:p>
        </w:tc>
        <w:tc>
          <w:tcPr>
            <w:tcW w:w="2268" w:type="dxa"/>
            <w:vAlign w:val="center"/>
          </w:tcPr>
          <w:p w14:paraId="1A56D87C">
            <w:pPr>
              <w:pStyle w:val="12"/>
            </w:pPr>
            <w:r>
              <w:t>26万元</w:t>
            </w:r>
          </w:p>
        </w:tc>
        <w:tc>
          <w:tcPr>
            <w:tcW w:w="1276" w:type="dxa"/>
            <w:vAlign w:val="center"/>
          </w:tcPr>
          <w:p w14:paraId="225D38A5">
            <w:pPr>
              <w:pStyle w:val="12"/>
            </w:pPr>
            <w:r>
              <w:t>项目规划</w:t>
            </w:r>
          </w:p>
        </w:tc>
      </w:tr>
      <w:tr w14:paraId="2864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66E5E">
            <w:pPr>
              <w:pStyle w:val="13"/>
            </w:pPr>
            <w:r>
              <w:t>效益指标</w:t>
            </w:r>
          </w:p>
        </w:tc>
        <w:tc>
          <w:tcPr>
            <w:tcW w:w="2268" w:type="dxa"/>
            <w:vAlign w:val="center"/>
          </w:tcPr>
          <w:p w14:paraId="7343E118">
            <w:pPr>
              <w:pStyle w:val="12"/>
            </w:pPr>
            <w:r>
              <w:t>社会效益指标</w:t>
            </w:r>
          </w:p>
        </w:tc>
        <w:tc>
          <w:tcPr>
            <w:tcW w:w="2835" w:type="dxa"/>
            <w:vAlign w:val="center"/>
          </w:tcPr>
          <w:p w14:paraId="7A71694C">
            <w:pPr>
              <w:pStyle w:val="12"/>
            </w:pPr>
            <w:r>
              <w:t>学校运转得到提高</w:t>
            </w:r>
          </w:p>
        </w:tc>
        <w:tc>
          <w:tcPr>
            <w:tcW w:w="5386" w:type="dxa"/>
            <w:vAlign w:val="center"/>
          </w:tcPr>
          <w:p w14:paraId="0101AF7A">
            <w:pPr>
              <w:pStyle w:val="12"/>
            </w:pPr>
            <w:r>
              <w:t>学生受教育年限</w:t>
            </w:r>
          </w:p>
        </w:tc>
        <w:tc>
          <w:tcPr>
            <w:tcW w:w="2268" w:type="dxa"/>
            <w:vAlign w:val="center"/>
          </w:tcPr>
          <w:p w14:paraId="360CDB68">
            <w:pPr>
              <w:pStyle w:val="12"/>
            </w:pPr>
            <w:r>
              <w:t>6年</w:t>
            </w:r>
          </w:p>
        </w:tc>
        <w:tc>
          <w:tcPr>
            <w:tcW w:w="1276" w:type="dxa"/>
            <w:vAlign w:val="center"/>
          </w:tcPr>
          <w:p w14:paraId="0260A182">
            <w:pPr>
              <w:pStyle w:val="12"/>
            </w:pPr>
            <w:r>
              <w:t>项目规划</w:t>
            </w:r>
          </w:p>
        </w:tc>
      </w:tr>
      <w:tr w14:paraId="6749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11CD3">
            <w:pPr>
              <w:pStyle w:val="13"/>
            </w:pPr>
            <w:r>
              <w:t>满意度指标</w:t>
            </w:r>
          </w:p>
        </w:tc>
        <w:tc>
          <w:tcPr>
            <w:tcW w:w="2268" w:type="dxa"/>
            <w:vAlign w:val="center"/>
          </w:tcPr>
          <w:p w14:paraId="14D7BA53">
            <w:pPr>
              <w:pStyle w:val="12"/>
            </w:pPr>
            <w:r>
              <w:t>服务对象满意度指标</w:t>
            </w:r>
          </w:p>
        </w:tc>
        <w:tc>
          <w:tcPr>
            <w:tcW w:w="2835" w:type="dxa"/>
            <w:vAlign w:val="center"/>
          </w:tcPr>
          <w:p w14:paraId="241C40F4">
            <w:pPr>
              <w:pStyle w:val="12"/>
            </w:pPr>
            <w:r>
              <w:t>学生和学生家长满意度</w:t>
            </w:r>
          </w:p>
        </w:tc>
        <w:tc>
          <w:tcPr>
            <w:tcW w:w="5386" w:type="dxa"/>
            <w:vAlign w:val="center"/>
          </w:tcPr>
          <w:p w14:paraId="17D7AC16">
            <w:pPr>
              <w:pStyle w:val="12"/>
            </w:pPr>
            <w:r>
              <w:t>大幅提高学生和学生家长满意度</w:t>
            </w:r>
          </w:p>
        </w:tc>
        <w:tc>
          <w:tcPr>
            <w:tcW w:w="2268" w:type="dxa"/>
            <w:vAlign w:val="center"/>
          </w:tcPr>
          <w:p w14:paraId="5E90D35C">
            <w:pPr>
              <w:pStyle w:val="12"/>
            </w:pPr>
            <w:r>
              <w:t>≥98%</w:t>
            </w:r>
          </w:p>
        </w:tc>
        <w:tc>
          <w:tcPr>
            <w:tcW w:w="1276" w:type="dxa"/>
            <w:vAlign w:val="center"/>
          </w:tcPr>
          <w:p w14:paraId="208443AC">
            <w:pPr>
              <w:pStyle w:val="12"/>
            </w:pPr>
            <w:r>
              <w:t>项目规划</w:t>
            </w:r>
          </w:p>
        </w:tc>
      </w:tr>
    </w:tbl>
    <w:p w14:paraId="5125D62A">
      <w:pPr>
        <w:sectPr>
          <w:pgSz w:w="16840" w:h="11900" w:orient="landscape"/>
          <w:pgMar w:top="1361" w:right="1020" w:bottom="1134" w:left="1020" w:header="720" w:footer="720" w:gutter="0"/>
          <w:cols w:space="720" w:num="1"/>
        </w:sectPr>
      </w:pPr>
    </w:p>
    <w:p w14:paraId="3788A6C2">
      <w:pPr>
        <w:spacing w:before="0" w:after="0"/>
        <w:ind w:firstLine="560"/>
        <w:jc w:val="left"/>
        <w:outlineLvl w:val="9"/>
      </w:pPr>
      <w:r>
        <w:rPr>
          <w:rFonts w:ascii="方正仿宋_GBK" w:hAnsi="方正仿宋_GBK" w:eastAsia="方正仿宋_GBK" w:cs="方正仿宋_GBK"/>
          <w:b/>
          <w:color w:val="000000"/>
          <w:sz w:val="28"/>
        </w:rPr>
        <w:t>21、冀财教[2025]148号/支持义务教育发展/城关校区南柏舍小学录播室项目绩效目标表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01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B2265">
            <w:pPr>
              <w:pStyle w:val="11"/>
            </w:pPr>
            <w:r>
              <w:t>单位：万元</w:t>
            </w:r>
          </w:p>
        </w:tc>
      </w:tr>
      <w:tr w14:paraId="24E27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B0E61">
            <w:pPr>
              <w:pStyle w:val="10"/>
            </w:pPr>
            <w:r>
              <w:t>项目编码</w:t>
            </w:r>
          </w:p>
        </w:tc>
        <w:tc>
          <w:tcPr>
            <w:tcW w:w="5103" w:type="dxa"/>
            <w:gridSpan w:val="2"/>
            <w:vAlign w:val="center"/>
          </w:tcPr>
          <w:p w14:paraId="766FCC50">
            <w:pPr>
              <w:pStyle w:val="12"/>
            </w:pPr>
            <w:r>
              <w:t>13052526P00000210124J</w:t>
            </w:r>
          </w:p>
        </w:tc>
        <w:tc>
          <w:tcPr>
            <w:tcW w:w="2835" w:type="dxa"/>
            <w:vAlign w:val="center"/>
          </w:tcPr>
          <w:p w14:paraId="1671A7FC">
            <w:pPr>
              <w:pStyle w:val="10"/>
            </w:pPr>
            <w:r>
              <w:t>项目名称</w:t>
            </w:r>
          </w:p>
        </w:tc>
        <w:tc>
          <w:tcPr>
            <w:tcW w:w="6095" w:type="dxa"/>
            <w:gridSpan w:val="3"/>
            <w:vAlign w:val="center"/>
          </w:tcPr>
          <w:p w14:paraId="7728A65C">
            <w:pPr>
              <w:pStyle w:val="12"/>
            </w:pPr>
            <w:r>
              <w:t>冀财教[2025]148号/支持义务教育发展/城关校区南柏舍小学录播室项目</w:t>
            </w:r>
          </w:p>
        </w:tc>
      </w:tr>
      <w:tr w14:paraId="321B5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6E0AB">
            <w:pPr>
              <w:pStyle w:val="10"/>
            </w:pPr>
            <w:r>
              <w:t>预算规模及资金用途</w:t>
            </w:r>
          </w:p>
        </w:tc>
        <w:tc>
          <w:tcPr>
            <w:tcW w:w="2268" w:type="dxa"/>
            <w:vAlign w:val="center"/>
          </w:tcPr>
          <w:p w14:paraId="1931B230">
            <w:pPr>
              <w:pStyle w:val="10"/>
            </w:pPr>
            <w:r>
              <w:t>预算数</w:t>
            </w:r>
          </w:p>
        </w:tc>
        <w:tc>
          <w:tcPr>
            <w:tcW w:w="2835" w:type="dxa"/>
            <w:vAlign w:val="center"/>
          </w:tcPr>
          <w:p w14:paraId="4D4F0DBD">
            <w:pPr>
              <w:pStyle w:val="12"/>
            </w:pPr>
            <w:r>
              <w:t>25.00</w:t>
            </w:r>
          </w:p>
        </w:tc>
        <w:tc>
          <w:tcPr>
            <w:tcW w:w="2835" w:type="dxa"/>
            <w:vAlign w:val="center"/>
          </w:tcPr>
          <w:p w14:paraId="32639A3A">
            <w:pPr>
              <w:pStyle w:val="10"/>
            </w:pPr>
            <w:r>
              <w:t>其中：财政    资金</w:t>
            </w:r>
          </w:p>
        </w:tc>
        <w:tc>
          <w:tcPr>
            <w:tcW w:w="2551" w:type="dxa"/>
            <w:vAlign w:val="center"/>
          </w:tcPr>
          <w:p w14:paraId="06C57062">
            <w:pPr>
              <w:pStyle w:val="12"/>
            </w:pPr>
            <w:r>
              <w:t>25.00</w:t>
            </w:r>
          </w:p>
        </w:tc>
        <w:tc>
          <w:tcPr>
            <w:tcW w:w="2268" w:type="dxa"/>
            <w:vAlign w:val="center"/>
          </w:tcPr>
          <w:p w14:paraId="3401EE13">
            <w:pPr>
              <w:pStyle w:val="10"/>
            </w:pPr>
            <w:r>
              <w:t>其他资金</w:t>
            </w:r>
          </w:p>
        </w:tc>
        <w:tc>
          <w:tcPr>
            <w:tcW w:w="1276" w:type="dxa"/>
            <w:vAlign w:val="center"/>
          </w:tcPr>
          <w:p w14:paraId="0F737942">
            <w:pPr>
              <w:pStyle w:val="12"/>
            </w:pPr>
            <w:r>
              <w:t xml:space="preserve"> </w:t>
            </w:r>
          </w:p>
        </w:tc>
      </w:tr>
      <w:tr w14:paraId="0C6B2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EB311"/>
        </w:tc>
        <w:tc>
          <w:tcPr>
            <w:tcW w:w="14033" w:type="dxa"/>
            <w:gridSpan w:val="6"/>
            <w:vAlign w:val="center"/>
          </w:tcPr>
          <w:p w14:paraId="27BB80C8">
            <w:pPr>
              <w:pStyle w:val="12"/>
            </w:pPr>
            <w:r>
              <w:t>项目需资金25万元，资金拨付率达到100%，提高教学条件，提升教学质量，保障义务教育阶段教学安全，创造良好的校园环境。</w:t>
            </w:r>
          </w:p>
        </w:tc>
      </w:tr>
      <w:tr w14:paraId="64B41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49DAB">
            <w:pPr>
              <w:pStyle w:val="10"/>
            </w:pPr>
            <w:r>
              <w:t>资金支出计划（%）</w:t>
            </w:r>
          </w:p>
        </w:tc>
        <w:tc>
          <w:tcPr>
            <w:tcW w:w="5103" w:type="dxa"/>
            <w:gridSpan w:val="2"/>
            <w:vAlign w:val="center"/>
          </w:tcPr>
          <w:p w14:paraId="61188DF8">
            <w:pPr>
              <w:pStyle w:val="10"/>
            </w:pPr>
            <w:r>
              <w:t>3月底</w:t>
            </w:r>
          </w:p>
        </w:tc>
        <w:tc>
          <w:tcPr>
            <w:tcW w:w="2835" w:type="dxa"/>
            <w:vAlign w:val="center"/>
          </w:tcPr>
          <w:p w14:paraId="7886F530">
            <w:pPr>
              <w:pStyle w:val="10"/>
            </w:pPr>
            <w:r>
              <w:t>6月底</w:t>
            </w:r>
          </w:p>
        </w:tc>
        <w:tc>
          <w:tcPr>
            <w:tcW w:w="2551" w:type="dxa"/>
            <w:vAlign w:val="center"/>
          </w:tcPr>
          <w:p w14:paraId="05E06089">
            <w:pPr>
              <w:pStyle w:val="10"/>
            </w:pPr>
            <w:r>
              <w:t>10月底</w:t>
            </w:r>
          </w:p>
        </w:tc>
        <w:tc>
          <w:tcPr>
            <w:tcW w:w="3544" w:type="dxa"/>
            <w:gridSpan w:val="2"/>
            <w:vAlign w:val="center"/>
          </w:tcPr>
          <w:p w14:paraId="1590D929">
            <w:pPr>
              <w:pStyle w:val="10"/>
            </w:pPr>
            <w:r>
              <w:t>12月底</w:t>
            </w:r>
          </w:p>
        </w:tc>
      </w:tr>
      <w:tr w14:paraId="564D7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93440"/>
        </w:tc>
        <w:tc>
          <w:tcPr>
            <w:tcW w:w="5103" w:type="dxa"/>
            <w:gridSpan w:val="2"/>
            <w:vAlign w:val="center"/>
          </w:tcPr>
          <w:p w14:paraId="11721AAC">
            <w:pPr>
              <w:pStyle w:val="13"/>
            </w:pPr>
            <w:r>
              <w:t xml:space="preserve"> </w:t>
            </w:r>
          </w:p>
        </w:tc>
        <w:tc>
          <w:tcPr>
            <w:tcW w:w="2835" w:type="dxa"/>
            <w:vAlign w:val="center"/>
          </w:tcPr>
          <w:p w14:paraId="0700B9A0">
            <w:pPr>
              <w:pStyle w:val="13"/>
            </w:pPr>
            <w:r>
              <w:t>50%</w:t>
            </w:r>
          </w:p>
        </w:tc>
        <w:tc>
          <w:tcPr>
            <w:tcW w:w="2551" w:type="dxa"/>
            <w:vAlign w:val="center"/>
          </w:tcPr>
          <w:p w14:paraId="628E20F7">
            <w:pPr>
              <w:pStyle w:val="13"/>
            </w:pPr>
            <w:r>
              <w:t>100%</w:t>
            </w:r>
          </w:p>
        </w:tc>
        <w:tc>
          <w:tcPr>
            <w:tcW w:w="3544" w:type="dxa"/>
            <w:gridSpan w:val="2"/>
            <w:vAlign w:val="center"/>
          </w:tcPr>
          <w:p w14:paraId="073C00BE">
            <w:pPr>
              <w:pStyle w:val="13"/>
            </w:pPr>
            <w:r>
              <w:t>100%</w:t>
            </w:r>
          </w:p>
        </w:tc>
      </w:tr>
      <w:tr w14:paraId="64D6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DC96F">
            <w:pPr>
              <w:pStyle w:val="10"/>
            </w:pPr>
            <w:r>
              <w:t>绩效目标</w:t>
            </w:r>
          </w:p>
        </w:tc>
        <w:tc>
          <w:tcPr>
            <w:tcW w:w="14033" w:type="dxa"/>
            <w:gridSpan w:val="6"/>
            <w:vAlign w:val="center"/>
          </w:tcPr>
          <w:p w14:paraId="413A8749">
            <w:pPr>
              <w:pStyle w:val="12"/>
            </w:pPr>
            <w:r>
              <w:t>1.项目需资金25万元，资金拨付率达到100%。</w:t>
            </w:r>
          </w:p>
          <w:p w14:paraId="687931AB">
            <w:pPr>
              <w:pStyle w:val="12"/>
            </w:pPr>
            <w:r>
              <w:t>2.提高教学条件，提升教学质量，保障义务教育阶段教学安全，创造良好的校园环境。</w:t>
            </w:r>
          </w:p>
        </w:tc>
      </w:tr>
    </w:tbl>
    <w:p w14:paraId="4C3B4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E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5D3A6">
            <w:pPr>
              <w:pStyle w:val="10"/>
            </w:pPr>
            <w:r>
              <w:t>一级指标</w:t>
            </w:r>
          </w:p>
        </w:tc>
        <w:tc>
          <w:tcPr>
            <w:tcW w:w="2268" w:type="dxa"/>
            <w:vAlign w:val="center"/>
          </w:tcPr>
          <w:p w14:paraId="229D3697">
            <w:pPr>
              <w:pStyle w:val="10"/>
            </w:pPr>
            <w:r>
              <w:t>二级指标</w:t>
            </w:r>
          </w:p>
        </w:tc>
        <w:tc>
          <w:tcPr>
            <w:tcW w:w="2835" w:type="dxa"/>
            <w:vAlign w:val="center"/>
          </w:tcPr>
          <w:p w14:paraId="7D3D17ED">
            <w:pPr>
              <w:pStyle w:val="10"/>
            </w:pPr>
            <w:r>
              <w:t>三级指标</w:t>
            </w:r>
          </w:p>
        </w:tc>
        <w:tc>
          <w:tcPr>
            <w:tcW w:w="5386" w:type="dxa"/>
            <w:vAlign w:val="center"/>
          </w:tcPr>
          <w:p w14:paraId="078039CE">
            <w:pPr>
              <w:pStyle w:val="10"/>
            </w:pPr>
            <w:r>
              <w:t>绩效指标描述</w:t>
            </w:r>
          </w:p>
        </w:tc>
        <w:tc>
          <w:tcPr>
            <w:tcW w:w="2268" w:type="dxa"/>
            <w:vAlign w:val="center"/>
          </w:tcPr>
          <w:p w14:paraId="5E8E44EA">
            <w:pPr>
              <w:pStyle w:val="10"/>
            </w:pPr>
            <w:r>
              <w:t>指标值</w:t>
            </w:r>
          </w:p>
        </w:tc>
        <w:tc>
          <w:tcPr>
            <w:tcW w:w="1276" w:type="dxa"/>
            <w:vAlign w:val="center"/>
          </w:tcPr>
          <w:p w14:paraId="00B6199A">
            <w:pPr>
              <w:pStyle w:val="10"/>
            </w:pPr>
            <w:r>
              <w:t>指标值确定依据</w:t>
            </w:r>
          </w:p>
        </w:tc>
      </w:tr>
      <w:tr w14:paraId="54CF7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C679A">
            <w:pPr>
              <w:pStyle w:val="13"/>
            </w:pPr>
            <w:r>
              <w:t>产出指标</w:t>
            </w:r>
          </w:p>
        </w:tc>
        <w:tc>
          <w:tcPr>
            <w:tcW w:w="2268" w:type="dxa"/>
            <w:vAlign w:val="center"/>
          </w:tcPr>
          <w:p w14:paraId="7FFF2AD0">
            <w:pPr>
              <w:pStyle w:val="12"/>
            </w:pPr>
            <w:r>
              <w:t>数量指标</w:t>
            </w:r>
          </w:p>
        </w:tc>
        <w:tc>
          <w:tcPr>
            <w:tcW w:w="2835" w:type="dxa"/>
            <w:vAlign w:val="center"/>
          </w:tcPr>
          <w:p w14:paraId="4AFD6291">
            <w:pPr>
              <w:pStyle w:val="12"/>
            </w:pPr>
            <w:r>
              <w:t>录播室项目</w:t>
            </w:r>
          </w:p>
        </w:tc>
        <w:tc>
          <w:tcPr>
            <w:tcW w:w="5386" w:type="dxa"/>
            <w:vAlign w:val="center"/>
          </w:tcPr>
          <w:p w14:paraId="42FC5D26">
            <w:pPr>
              <w:pStyle w:val="12"/>
            </w:pPr>
            <w:r>
              <w:t>录播室系统等</w:t>
            </w:r>
          </w:p>
        </w:tc>
        <w:tc>
          <w:tcPr>
            <w:tcW w:w="2268" w:type="dxa"/>
            <w:vAlign w:val="center"/>
          </w:tcPr>
          <w:p w14:paraId="7F063B5B">
            <w:pPr>
              <w:pStyle w:val="12"/>
            </w:pPr>
            <w:r>
              <w:t>≥1项</w:t>
            </w:r>
          </w:p>
        </w:tc>
        <w:tc>
          <w:tcPr>
            <w:tcW w:w="1276" w:type="dxa"/>
            <w:vAlign w:val="center"/>
          </w:tcPr>
          <w:p w14:paraId="3B2AF9FB">
            <w:pPr>
              <w:pStyle w:val="12"/>
            </w:pPr>
            <w:r>
              <w:t>项目规划</w:t>
            </w:r>
          </w:p>
        </w:tc>
      </w:tr>
      <w:tr w14:paraId="363CB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10BD1"/>
        </w:tc>
        <w:tc>
          <w:tcPr>
            <w:tcW w:w="2268" w:type="dxa"/>
            <w:vAlign w:val="center"/>
          </w:tcPr>
          <w:p w14:paraId="6D240546">
            <w:pPr>
              <w:pStyle w:val="12"/>
            </w:pPr>
            <w:r>
              <w:t>质量指标</w:t>
            </w:r>
          </w:p>
        </w:tc>
        <w:tc>
          <w:tcPr>
            <w:tcW w:w="2835" w:type="dxa"/>
            <w:vAlign w:val="center"/>
          </w:tcPr>
          <w:p w14:paraId="6B54D9FA">
            <w:pPr>
              <w:pStyle w:val="12"/>
            </w:pPr>
            <w:r>
              <w:t>工程实施验收合格率</w:t>
            </w:r>
          </w:p>
        </w:tc>
        <w:tc>
          <w:tcPr>
            <w:tcW w:w="5386" w:type="dxa"/>
            <w:vAlign w:val="center"/>
          </w:tcPr>
          <w:p w14:paraId="76733430">
            <w:pPr>
              <w:pStyle w:val="12"/>
            </w:pPr>
            <w:r>
              <w:t>申报程序的合规，项目实施及资金使用符合项目规划</w:t>
            </w:r>
          </w:p>
        </w:tc>
        <w:tc>
          <w:tcPr>
            <w:tcW w:w="2268" w:type="dxa"/>
            <w:vAlign w:val="center"/>
          </w:tcPr>
          <w:p w14:paraId="2E2FB3E5">
            <w:pPr>
              <w:pStyle w:val="12"/>
            </w:pPr>
            <w:r>
              <w:t>100%</w:t>
            </w:r>
          </w:p>
        </w:tc>
        <w:tc>
          <w:tcPr>
            <w:tcW w:w="1276" w:type="dxa"/>
            <w:vAlign w:val="center"/>
          </w:tcPr>
          <w:p w14:paraId="2FFC7EED">
            <w:pPr>
              <w:pStyle w:val="12"/>
            </w:pPr>
            <w:r>
              <w:t>项目规划</w:t>
            </w:r>
          </w:p>
        </w:tc>
      </w:tr>
      <w:tr w14:paraId="4A2AE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72323"/>
        </w:tc>
        <w:tc>
          <w:tcPr>
            <w:tcW w:w="2268" w:type="dxa"/>
            <w:vAlign w:val="center"/>
          </w:tcPr>
          <w:p w14:paraId="4E82795C">
            <w:pPr>
              <w:pStyle w:val="12"/>
            </w:pPr>
            <w:r>
              <w:t>时效指标</w:t>
            </w:r>
          </w:p>
        </w:tc>
        <w:tc>
          <w:tcPr>
            <w:tcW w:w="2835" w:type="dxa"/>
            <w:vAlign w:val="center"/>
          </w:tcPr>
          <w:p w14:paraId="35061B61">
            <w:pPr>
              <w:pStyle w:val="12"/>
            </w:pPr>
            <w:r>
              <w:t>资金支付率</w:t>
            </w:r>
          </w:p>
        </w:tc>
        <w:tc>
          <w:tcPr>
            <w:tcW w:w="5386" w:type="dxa"/>
            <w:vAlign w:val="center"/>
          </w:tcPr>
          <w:p w14:paraId="146FBDCA">
            <w:pPr>
              <w:pStyle w:val="12"/>
            </w:pPr>
            <w:r>
              <w:t>按照序时进度完成资金支付</w:t>
            </w:r>
          </w:p>
        </w:tc>
        <w:tc>
          <w:tcPr>
            <w:tcW w:w="2268" w:type="dxa"/>
            <w:vAlign w:val="center"/>
          </w:tcPr>
          <w:p w14:paraId="0412A220">
            <w:pPr>
              <w:pStyle w:val="12"/>
            </w:pPr>
            <w:r>
              <w:t>100%</w:t>
            </w:r>
          </w:p>
        </w:tc>
        <w:tc>
          <w:tcPr>
            <w:tcW w:w="1276" w:type="dxa"/>
            <w:vAlign w:val="center"/>
          </w:tcPr>
          <w:p w14:paraId="7EF09BBE">
            <w:pPr>
              <w:pStyle w:val="12"/>
            </w:pPr>
            <w:r>
              <w:t>项目规划</w:t>
            </w:r>
          </w:p>
        </w:tc>
      </w:tr>
      <w:tr w14:paraId="60D2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4415C"/>
        </w:tc>
        <w:tc>
          <w:tcPr>
            <w:tcW w:w="2268" w:type="dxa"/>
            <w:vAlign w:val="center"/>
          </w:tcPr>
          <w:p w14:paraId="3A316BF0">
            <w:pPr>
              <w:pStyle w:val="12"/>
            </w:pPr>
            <w:r>
              <w:t>成本指标</w:t>
            </w:r>
          </w:p>
        </w:tc>
        <w:tc>
          <w:tcPr>
            <w:tcW w:w="2835" w:type="dxa"/>
            <w:vAlign w:val="center"/>
          </w:tcPr>
          <w:p w14:paraId="096756CE">
            <w:pPr>
              <w:pStyle w:val="12"/>
            </w:pPr>
            <w:r>
              <w:t>项目成本控制情况</w:t>
            </w:r>
          </w:p>
        </w:tc>
        <w:tc>
          <w:tcPr>
            <w:tcW w:w="5386" w:type="dxa"/>
            <w:vAlign w:val="center"/>
          </w:tcPr>
          <w:p w14:paraId="1FC07A83">
            <w:pPr>
              <w:pStyle w:val="12"/>
            </w:pPr>
            <w:r>
              <w:t>严格按照招标价格及审计额进行</w:t>
            </w:r>
          </w:p>
        </w:tc>
        <w:tc>
          <w:tcPr>
            <w:tcW w:w="2268" w:type="dxa"/>
            <w:vAlign w:val="center"/>
          </w:tcPr>
          <w:p w14:paraId="6A6EB66A">
            <w:pPr>
              <w:pStyle w:val="12"/>
            </w:pPr>
            <w:r>
              <w:t>25万元</w:t>
            </w:r>
          </w:p>
        </w:tc>
        <w:tc>
          <w:tcPr>
            <w:tcW w:w="1276" w:type="dxa"/>
            <w:vAlign w:val="center"/>
          </w:tcPr>
          <w:p w14:paraId="3BD3A4FE">
            <w:pPr>
              <w:pStyle w:val="12"/>
            </w:pPr>
            <w:r>
              <w:t>项目规划</w:t>
            </w:r>
          </w:p>
        </w:tc>
      </w:tr>
      <w:tr w14:paraId="67EC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F8DCF">
            <w:pPr>
              <w:pStyle w:val="13"/>
            </w:pPr>
            <w:r>
              <w:t>效益指标</w:t>
            </w:r>
          </w:p>
        </w:tc>
        <w:tc>
          <w:tcPr>
            <w:tcW w:w="2268" w:type="dxa"/>
            <w:vAlign w:val="center"/>
          </w:tcPr>
          <w:p w14:paraId="6D13DDB0">
            <w:pPr>
              <w:pStyle w:val="12"/>
            </w:pPr>
            <w:r>
              <w:t>社会效益指标</w:t>
            </w:r>
          </w:p>
        </w:tc>
        <w:tc>
          <w:tcPr>
            <w:tcW w:w="2835" w:type="dxa"/>
            <w:vAlign w:val="center"/>
          </w:tcPr>
          <w:p w14:paraId="0FEE3C88">
            <w:pPr>
              <w:pStyle w:val="12"/>
            </w:pPr>
            <w:r>
              <w:t>学校办学环境提升</w:t>
            </w:r>
          </w:p>
        </w:tc>
        <w:tc>
          <w:tcPr>
            <w:tcW w:w="5386" w:type="dxa"/>
            <w:vAlign w:val="center"/>
          </w:tcPr>
          <w:p w14:paraId="340CA45E">
            <w:pPr>
              <w:pStyle w:val="12"/>
            </w:pPr>
            <w:r>
              <w:t>学校教学环境提升优化率</w:t>
            </w:r>
          </w:p>
        </w:tc>
        <w:tc>
          <w:tcPr>
            <w:tcW w:w="2268" w:type="dxa"/>
            <w:vAlign w:val="center"/>
          </w:tcPr>
          <w:p w14:paraId="63997649">
            <w:pPr>
              <w:pStyle w:val="12"/>
            </w:pPr>
            <w:r>
              <w:t>100%</w:t>
            </w:r>
          </w:p>
        </w:tc>
        <w:tc>
          <w:tcPr>
            <w:tcW w:w="1276" w:type="dxa"/>
            <w:vAlign w:val="center"/>
          </w:tcPr>
          <w:p w14:paraId="3D27EFFF">
            <w:pPr>
              <w:pStyle w:val="12"/>
            </w:pPr>
            <w:r>
              <w:t>项目规划</w:t>
            </w:r>
          </w:p>
        </w:tc>
      </w:tr>
      <w:tr w14:paraId="0425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95393">
            <w:pPr>
              <w:pStyle w:val="13"/>
            </w:pPr>
            <w:r>
              <w:t>满意度指标</w:t>
            </w:r>
          </w:p>
        </w:tc>
        <w:tc>
          <w:tcPr>
            <w:tcW w:w="2268" w:type="dxa"/>
            <w:vAlign w:val="center"/>
          </w:tcPr>
          <w:p w14:paraId="283B5378">
            <w:pPr>
              <w:pStyle w:val="12"/>
            </w:pPr>
            <w:r>
              <w:t>服务对象满意度指标</w:t>
            </w:r>
          </w:p>
        </w:tc>
        <w:tc>
          <w:tcPr>
            <w:tcW w:w="2835" w:type="dxa"/>
            <w:vAlign w:val="center"/>
          </w:tcPr>
          <w:p w14:paraId="67F38EAC">
            <w:pPr>
              <w:pStyle w:val="12"/>
            </w:pPr>
            <w:r>
              <w:t>受益学生家长及调查满意度</w:t>
            </w:r>
          </w:p>
        </w:tc>
        <w:tc>
          <w:tcPr>
            <w:tcW w:w="5386" w:type="dxa"/>
            <w:vAlign w:val="center"/>
          </w:tcPr>
          <w:p w14:paraId="710FC5E2">
            <w:pPr>
              <w:pStyle w:val="12"/>
            </w:pPr>
            <w:r>
              <w:t>学生、教师及家长对学校教学环境满意度情况</w:t>
            </w:r>
          </w:p>
        </w:tc>
        <w:tc>
          <w:tcPr>
            <w:tcW w:w="2268" w:type="dxa"/>
            <w:vAlign w:val="center"/>
          </w:tcPr>
          <w:p w14:paraId="29CA95D7">
            <w:pPr>
              <w:pStyle w:val="12"/>
            </w:pPr>
            <w:r>
              <w:t>≥95%</w:t>
            </w:r>
          </w:p>
        </w:tc>
        <w:tc>
          <w:tcPr>
            <w:tcW w:w="1276" w:type="dxa"/>
            <w:vAlign w:val="center"/>
          </w:tcPr>
          <w:p w14:paraId="17F03BC8">
            <w:pPr>
              <w:pStyle w:val="12"/>
            </w:pPr>
            <w:r>
              <w:t>项目规划</w:t>
            </w:r>
          </w:p>
        </w:tc>
      </w:tr>
    </w:tbl>
    <w:p w14:paraId="73EBF837">
      <w:pPr>
        <w:sectPr>
          <w:pgSz w:w="16840" w:h="11900" w:orient="landscape"/>
          <w:pgMar w:top="1361" w:right="1020" w:bottom="1134" w:left="1020" w:header="720" w:footer="720" w:gutter="0"/>
          <w:cols w:space="720" w:num="1"/>
        </w:sectPr>
      </w:pPr>
    </w:p>
    <w:p w14:paraId="10B3DA7D">
      <w:pPr>
        <w:spacing w:before="0" w:after="0"/>
        <w:ind w:firstLine="560"/>
        <w:jc w:val="left"/>
        <w:outlineLvl w:val="9"/>
      </w:pPr>
      <w:r>
        <w:rPr>
          <w:rFonts w:ascii="方正仿宋_GBK" w:hAnsi="方正仿宋_GBK" w:eastAsia="方正仿宋_GBK" w:cs="方正仿宋_GBK"/>
          <w:b/>
          <w:color w:val="000000"/>
          <w:sz w:val="28"/>
        </w:rPr>
        <w:t>22、冀财教[2025]148号/支持义务教育发展/城关校区义丰小学微机室电脑购置绩效目标表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94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FA4F1">
            <w:pPr>
              <w:pStyle w:val="11"/>
            </w:pPr>
            <w:r>
              <w:t>单位：万元</w:t>
            </w:r>
          </w:p>
        </w:tc>
      </w:tr>
      <w:tr w14:paraId="3E302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852BD">
            <w:pPr>
              <w:pStyle w:val="10"/>
            </w:pPr>
            <w:r>
              <w:t>项目编码</w:t>
            </w:r>
          </w:p>
        </w:tc>
        <w:tc>
          <w:tcPr>
            <w:tcW w:w="5103" w:type="dxa"/>
            <w:gridSpan w:val="2"/>
            <w:vAlign w:val="center"/>
          </w:tcPr>
          <w:p w14:paraId="5605A989">
            <w:pPr>
              <w:pStyle w:val="12"/>
            </w:pPr>
            <w:r>
              <w:t>13052526P000002101256</w:t>
            </w:r>
          </w:p>
        </w:tc>
        <w:tc>
          <w:tcPr>
            <w:tcW w:w="2835" w:type="dxa"/>
            <w:vAlign w:val="center"/>
          </w:tcPr>
          <w:p w14:paraId="5D5DFF6D">
            <w:pPr>
              <w:pStyle w:val="10"/>
            </w:pPr>
            <w:r>
              <w:t>项目名称</w:t>
            </w:r>
          </w:p>
        </w:tc>
        <w:tc>
          <w:tcPr>
            <w:tcW w:w="6095" w:type="dxa"/>
            <w:gridSpan w:val="3"/>
            <w:vAlign w:val="center"/>
          </w:tcPr>
          <w:p w14:paraId="4A29DF77">
            <w:pPr>
              <w:pStyle w:val="12"/>
            </w:pPr>
            <w:r>
              <w:t>冀财教[2025]148号/支持义务教育发展/城关校区义丰小学微机室电脑购置</w:t>
            </w:r>
          </w:p>
        </w:tc>
      </w:tr>
      <w:tr w14:paraId="41AE1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35633">
            <w:pPr>
              <w:pStyle w:val="10"/>
            </w:pPr>
            <w:r>
              <w:t>预算规模及资金用途</w:t>
            </w:r>
          </w:p>
        </w:tc>
        <w:tc>
          <w:tcPr>
            <w:tcW w:w="2268" w:type="dxa"/>
            <w:vAlign w:val="center"/>
          </w:tcPr>
          <w:p w14:paraId="54CCDB9F">
            <w:pPr>
              <w:pStyle w:val="10"/>
            </w:pPr>
            <w:r>
              <w:t>预算数</w:t>
            </w:r>
          </w:p>
        </w:tc>
        <w:tc>
          <w:tcPr>
            <w:tcW w:w="2835" w:type="dxa"/>
            <w:vAlign w:val="center"/>
          </w:tcPr>
          <w:p w14:paraId="465836CC">
            <w:pPr>
              <w:pStyle w:val="12"/>
            </w:pPr>
            <w:r>
              <w:t>20.40</w:t>
            </w:r>
          </w:p>
        </w:tc>
        <w:tc>
          <w:tcPr>
            <w:tcW w:w="2835" w:type="dxa"/>
            <w:vAlign w:val="center"/>
          </w:tcPr>
          <w:p w14:paraId="196F46C9">
            <w:pPr>
              <w:pStyle w:val="10"/>
            </w:pPr>
            <w:r>
              <w:t>其中：财政    资金</w:t>
            </w:r>
          </w:p>
        </w:tc>
        <w:tc>
          <w:tcPr>
            <w:tcW w:w="2551" w:type="dxa"/>
            <w:vAlign w:val="center"/>
          </w:tcPr>
          <w:p w14:paraId="3BBFFBCB">
            <w:pPr>
              <w:pStyle w:val="12"/>
            </w:pPr>
            <w:r>
              <w:t>20.40</w:t>
            </w:r>
          </w:p>
        </w:tc>
        <w:tc>
          <w:tcPr>
            <w:tcW w:w="2268" w:type="dxa"/>
            <w:vAlign w:val="center"/>
          </w:tcPr>
          <w:p w14:paraId="3F2F8ECC">
            <w:pPr>
              <w:pStyle w:val="10"/>
            </w:pPr>
            <w:r>
              <w:t>其他资金</w:t>
            </w:r>
          </w:p>
        </w:tc>
        <w:tc>
          <w:tcPr>
            <w:tcW w:w="1276" w:type="dxa"/>
            <w:vAlign w:val="center"/>
          </w:tcPr>
          <w:p w14:paraId="3CE3B1A9">
            <w:pPr>
              <w:pStyle w:val="12"/>
            </w:pPr>
            <w:r>
              <w:t xml:space="preserve"> </w:t>
            </w:r>
          </w:p>
        </w:tc>
      </w:tr>
      <w:tr w14:paraId="44940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45E82"/>
        </w:tc>
        <w:tc>
          <w:tcPr>
            <w:tcW w:w="14033" w:type="dxa"/>
            <w:gridSpan w:val="6"/>
            <w:vAlign w:val="center"/>
          </w:tcPr>
          <w:p w14:paraId="2BCF8EA4">
            <w:pPr>
              <w:pStyle w:val="12"/>
            </w:pPr>
            <w:r>
              <w:t>按照工程时序进度完成资金拨付，资金拨付率达100%，完成义丰小学微机室电脑购置项目，进一步提升教育质量及教学条件。</w:t>
            </w:r>
          </w:p>
        </w:tc>
      </w:tr>
      <w:tr w14:paraId="4426D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DAE93">
            <w:pPr>
              <w:pStyle w:val="10"/>
            </w:pPr>
            <w:r>
              <w:t>资金支出计划（%）</w:t>
            </w:r>
          </w:p>
        </w:tc>
        <w:tc>
          <w:tcPr>
            <w:tcW w:w="5103" w:type="dxa"/>
            <w:gridSpan w:val="2"/>
            <w:vAlign w:val="center"/>
          </w:tcPr>
          <w:p w14:paraId="65624133">
            <w:pPr>
              <w:pStyle w:val="10"/>
            </w:pPr>
            <w:r>
              <w:t>3月底</w:t>
            </w:r>
          </w:p>
        </w:tc>
        <w:tc>
          <w:tcPr>
            <w:tcW w:w="2835" w:type="dxa"/>
            <w:vAlign w:val="center"/>
          </w:tcPr>
          <w:p w14:paraId="0FC37645">
            <w:pPr>
              <w:pStyle w:val="10"/>
            </w:pPr>
            <w:r>
              <w:t>6月底</w:t>
            </w:r>
          </w:p>
        </w:tc>
        <w:tc>
          <w:tcPr>
            <w:tcW w:w="2551" w:type="dxa"/>
            <w:vAlign w:val="center"/>
          </w:tcPr>
          <w:p w14:paraId="28F6B82A">
            <w:pPr>
              <w:pStyle w:val="10"/>
            </w:pPr>
            <w:r>
              <w:t>10月底</w:t>
            </w:r>
          </w:p>
        </w:tc>
        <w:tc>
          <w:tcPr>
            <w:tcW w:w="3544" w:type="dxa"/>
            <w:gridSpan w:val="2"/>
            <w:vAlign w:val="center"/>
          </w:tcPr>
          <w:p w14:paraId="25FE10F0">
            <w:pPr>
              <w:pStyle w:val="10"/>
            </w:pPr>
            <w:r>
              <w:t>12月底</w:t>
            </w:r>
          </w:p>
        </w:tc>
      </w:tr>
      <w:tr w14:paraId="7ACFC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5263F"/>
        </w:tc>
        <w:tc>
          <w:tcPr>
            <w:tcW w:w="5103" w:type="dxa"/>
            <w:gridSpan w:val="2"/>
            <w:vAlign w:val="center"/>
          </w:tcPr>
          <w:p w14:paraId="3D9ABF4D">
            <w:pPr>
              <w:pStyle w:val="13"/>
            </w:pPr>
            <w:r>
              <w:t xml:space="preserve"> </w:t>
            </w:r>
          </w:p>
        </w:tc>
        <w:tc>
          <w:tcPr>
            <w:tcW w:w="2835" w:type="dxa"/>
            <w:vAlign w:val="center"/>
          </w:tcPr>
          <w:p w14:paraId="735DB9B0">
            <w:pPr>
              <w:pStyle w:val="13"/>
            </w:pPr>
            <w:r>
              <w:t>100%</w:t>
            </w:r>
          </w:p>
        </w:tc>
        <w:tc>
          <w:tcPr>
            <w:tcW w:w="2551" w:type="dxa"/>
            <w:vAlign w:val="center"/>
          </w:tcPr>
          <w:p w14:paraId="0760AFC2">
            <w:pPr>
              <w:pStyle w:val="13"/>
            </w:pPr>
            <w:r>
              <w:t>100%</w:t>
            </w:r>
          </w:p>
        </w:tc>
        <w:tc>
          <w:tcPr>
            <w:tcW w:w="3544" w:type="dxa"/>
            <w:gridSpan w:val="2"/>
            <w:vAlign w:val="center"/>
          </w:tcPr>
          <w:p w14:paraId="11F78FDA">
            <w:pPr>
              <w:pStyle w:val="13"/>
            </w:pPr>
            <w:r>
              <w:t>100%</w:t>
            </w:r>
          </w:p>
        </w:tc>
      </w:tr>
      <w:tr w14:paraId="60E25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C1703">
            <w:pPr>
              <w:pStyle w:val="10"/>
            </w:pPr>
            <w:r>
              <w:t>绩效目标</w:t>
            </w:r>
          </w:p>
        </w:tc>
        <w:tc>
          <w:tcPr>
            <w:tcW w:w="14033" w:type="dxa"/>
            <w:gridSpan w:val="6"/>
            <w:vAlign w:val="center"/>
          </w:tcPr>
          <w:p w14:paraId="3403B88C">
            <w:pPr>
              <w:pStyle w:val="12"/>
            </w:pPr>
            <w:r>
              <w:t>1.按照工程时序进度完成资金拨付，资金拨付率达100%</w:t>
            </w:r>
          </w:p>
          <w:p w14:paraId="61F76A02">
            <w:pPr>
              <w:pStyle w:val="12"/>
            </w:pPr>
            <w:r>
              <w:t>2.完成义丰小学微机室电脑购置项目，进一步提升教育质量及教学条件。</w:t>
            </w:r>
          </w:p>
        </w:tc>
      </w:tr>
    </w:tbl>
    <w:p w14:paraId="48737F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8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93C7A">
            <w:pPr>
              <w:pStyle w:val="10"/>
            </w:pPr>
            <w:r>
              <w:t>一级指标</w:t>
            </w:r>
          </w:p>
        </w:tc>
        <w:tc>
          <w:tcPr>
            <w:tcW w:w="2268" w:type="dxa"/>
            <w:vAlign w:val="center"/>
          </w:tcPr>
          <w:p w14:paraId="054A0AD5">
            <w:pPr>
              <w:pStyle w:val="10"/>
            </w:pPr>
            <w:r>
              <w:t>二级指标</w:t>
            </w:r>
          </w:p>
        </w:tc>
        <w:tc>
          <w:tcPr>
            <w:tcW w:w="2835" w:type="dxa"/>
            <w:vAlign w:val="center"/>
          </w:tcPr>
          <w:p w14:paraId="43EB98B4">
            <w:pPr>
              <w:pStyle w:val="10"/>
            </w:pPr>
            <w:r>
              <w:t>三级指标</w:t>
            </w:r>
          </w:p>
        </w:tc>
        <w:tc>
          <w:tcPr>
            <w:tcW w:w="5386" w:type="dxa"/>
            <w:vAlign w:val="center"/>
          </w:tcPr>
          <w:p w14:paraId="55160E8A">
            <w:pPr>
              <w:pStyle w:val="10"/>
            </w:pPr>
            <w:r>
              <w:t>绩效指标描述</w:t>
            </w:r>
          </w:p>
        </w:tc>
        <w:tc>
          <w:tcPr>
            <w:tcW w:w="2268" w:type="dxa"/>
            <w:vAlign w:val="center"/>
          </w:tcPr>
          <w:p w14:paraId="118ABC11">
            <w:pPr>
              <w:pStyle w:val="10"/>
            </w:pPr>
            <w:r>
              <w:t>指标值</w:t>
            </w:r>
          </w:p>
        </w:tc>
        <w:tc>
          <w:tcPr>
            <w:tcW w:w="1276" w:type="dxa"/>
            <w:vAlign w:val="center"/>
          </w:tcPr>
          <w:p w14:paraId="1E18647F">
            <w:pPr>
              <w:pStyle w:val="10"/>
            </w:pPr>
            <w:r>
              <w:t>指标值确定依据</w:t>
            </w:r>
          </w:p>
        </w:tc>
      </w:tr>
      <w:tr w14:paraId="5CEF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8C7D">
            <w:pPr>
              <w:pStyle w:val="13"/>
            </w:pPr>
            <w:r>
              <w:t>产出指标</w:t>
            </w:r>
          </w:p>
        </w:tc>
        <w:tc>
          <w:tcPr>
            <w:tcW w:w="2268" w:type="dxa"/>
            <w:vAlign w:val="center"/>
          </w:tcPr>
          <w:p w14:paraId="008BF2B2">
            <w:pPr>
              <w:pStyle w:val="12"/>
            </w:pPr>
            <w:r>
              <w:t>数量指标</w:t>
            </w:r>
          </w:p>
        </w:tc>
        <w:tc>
          <w:tcPr>
            <w:tcW w:w="2835" w:type="dxa"/>
            <w:vAlign w:val="center"/>
          </w:tcPr>
          <w:p w14:paraId="769D6039">
            <w:pPr>
              <w:pStyle w:val="12"/>
            </w:pPr>
            <w:r>
              <w:t>购置电脑设备</w:t>
            </w:r>
          </w:p>
        </w:tc>
        <w:tc>
          <w:tcPr>
            <w:tcW w:w="5386" w:type="dxa"/>
            <w:vAlign w:val="center"/>
          </w:tcPr>
          <w:p w14:paraId="0A3927E6">
            <w:pPr>
              <w:pStyle w:val="12"/>
            </w:pPr>
            <w:r>
              <w:t>微机专用教室设备购置</w:t>
            </w:r>
          </w:p>
        </w:tc>
        <w:tc>
          <w:tcPr>
            <w:tcW w:w="2268" w:type="dxa"/>
            <w:vAlign w:val="center"/>
          </w:tcPr>
          <w:p w14:paraId="3B18AA01">
            <w:pPr>
              <w:pStyle w:val="12"/>
            </w:pPr>
            <w:r>
              <w:t>≥1项</w:t>
            </w:r>
          </w:p>
        </w:tc>
        <w:tc>
          <w:tcPr>
            <w:tcW w:w="1276" w:type="dxa"/>
            <w:vAlign w:val="center"/>
          </w:tcPr>
          <w:p w14:paraId="1D85E533">
            <w:pPr>
              <w:pStyle w:val="12"/>
            </w:pPr>
            <w:r>
              <w:t>项目规划</w:t>
            </w:r>
          </w:p>
        </w:tc>
      </w:tr>
      <w:tr w14:paraId="7244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EFFE1"/>
        </w:tc>
        <w:tc>
          <w:tcPr>
            <w:tcW w:w="2268" w:type="dxa"/>
            <w:vAlign w:val="center"/>
          </w:tcPr>
          <w:p w14:paraId="5C6EF6C7">
            <w:pPr>
              <w:pStyle w:val="12"/>
            </w:pPr>
            <w:r>
              <w:t>质量指标</w:t>
            </w:r>
          </w:p>
        </w:tc>
        <w:tc>
          <w:tcPr>
            <w:tcW w:w="2835" w:type="dxa"/>
            <w:vAlign w:val="center"/>
          </w:tcPr>
          <w:p w14:paraId="649671E5">
            <w:pPr>
              <w:pStyle w:val="12"/>
            </w:pPr>
            <w:r>
              <w:t>购置项目质量合格率</w:t>
            </w:r>
          </w:p>
        </w:tc>
        <w:tc>
          <w:tcPr>
            <w:tcW w:w="5386" w:type="dxa"/>
            <w:vAlign w:val="center"/>
          </w:tcPr>
          <w:p w14:paraId="7583E995">
            <w:pPr>
              <w:pStyle w:val="12"/>
            </w:pPr>
            <w:r>
              <w:t>专用设备购置质量合格率</w:t>
            </w:r>
          </w:p>
        </w:tc>
        <w:tc>
          <w:tcPr>
            <w:tcW w:w="2268" w:type="dxa"/>
            <w:vAlign w:val="center"/>
          </w:tcPr>
          <w:p w14:paraId="4E9C0016">
            <w:pPr>
              <w:pStyle w:val="12"/>
            </w:pPr>
            <w:r>
              <w:t>100%</w:t>
            </w:r>
          </w:p>
        </w:tc>
        <w:tc>
          <w:tcPr>
            <w:tcW w:w="1276" w:type="dxa"/>
            <w:vAlign w:val="center"/>
          </w:tcPr>
          <w:p w14:paraId="34440999">
            <w:pPr>
              <w:pStyle w:val="12"/>
            </w:pPr>
            <w:r>
              <w:t>项目规划</w:t>
            </w:r>
          </w:p>
        </w:tc>
      </w:tr>
      <w:tr w14:paraId="7506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7C47A"/>
        </w:tc>
        <w:tc>
          <w:tcPr>
            <w:tcW w:w="2268" w:type="dxa"/>
            <w:vAlign w:val="center"/>
          </w:tcPr>
          <w:p w14:paraId="66E26390">
            <w:pPr>
              <w:pStyle w:val="12"/>
            </w:pPr>
            <w:r>
              <w:t>时效指标</w:t>
            </w:r>
          </w:p>
        </w:tc>
        <w:tc>
          <w:tcPr>
            <w:tcW w:w="2835" w:type="dxa"/>
            <w:vAlign w:val="center"/>
          </w:tcPr>
          <w:p w14:paraId="747DBE2B">
            <w:pPr>
              <w:pStyle w:val="12"/>
            </w:pPr>
            <w:r>
              <w:t>按时完成率</w:t>
            </w:r>
          </w:p>
        </w:tc>
        <w:tc>
          <w:tcPr>
            <w:tcW w:w="5386" w:type="dxa"/>
            <w:vAlign w:val="center"/>
          </w:tcPr>
          <w:p w14:paraId="529E62BB">
            <w:pPr>
              <w:pStyle w:val="12"/>
            </w:pPr>
            <w:r>
              <w:t>购置项目按时序进度完成比例</w:t>
            </w:r>
          </w:p>
        </w:tc>
        <w:tc>
          <w:tcPr>
            <w:tcW w:w="2268" w:type="dxa"/>
            <w:vAlign w:val="center"/>
          </w:tcPr>
          <w:p w14:paraId="3726C78C">
            <w:pPr>
              <w:pStyle w:val="12"/>
            </w:pPr>
            <w:r>
              <w:t>100%</w:t>
            </w:r>
          </w:p>
        </w:tc>
        <w:tc>
          <w:tcPr>
            <w:tcW w:w="1276" w:type="dxa"/>
            <w:vAlign w:val="center"/>
          </w:tcPr>
          <w:p w14:paraId="4501E0E9">
            <w:pPr>
              <w:pStyle w:val="12"/>
            </w:pPr>
            <w:r>
              <w:t>项目规划</w:t>
            </w:r>
          </w:p>
        </w:tc>
      </w:tr>
      <w:tr w14:paraId="28AB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556AA"/>
        </w:tc>
        <w:tc>
          <w:tcPr>
            <w:tcW w:w="2268" w:type="dxa"/>
            <w:vAlign w:val="center"/>
          </w:tcPr>
          <w:p w14:paraId="53544B9A">
            <w:pPr>
              <w:pStyle w:val="12"/>
            </w:pPr>
            <w:r>
              <w:t>成本指标</w:t>
            </w:r>
          </w:p>
        </w:tc>
        <w:tc>
          <w:tcPr>
            <w:tcW w:w="2835" w:type="dxa"/>
            <w:vAlign w:val="center"/>
          </w:tcPr>
          <w:p w14:paraId="1CE61428">
            <w:pPr>
              <w:pStyle w:val="12"/>
            </w:pPr>
            <w:r>
              <w:t>系统安装成本</w:t>
            </w:r>
          </w:p>
        </w:tc>
        <w:tc>
          <w:tcPr>
            <w:tcW w:w="5386" w:type="dxa"/>
            <w:vAlign w:val="center"/>
          </w:tcPr>
          <w:p w14:paraId="6CF27F57">
            <w:pPr>
              <w:pStyle w:val="12"/>
            </w:pPr>
            <w:r>
              <w:t>专用设备购置安装成本</w:t>
            </w:r>
          </w:p>
        </w:tc>
        <w:tc>
          <w:tcPr>
            <w:tcW w:w="2268" w:type="dxa"/>
            <w:vAlign w:val="center"/>
          </w:tcPr>
          <w:p w14:paraId="6114F796">
            <w:pPr>
              <w:pStyle w:val="12"/>
            </w:pPr>
            <w:r>
              <w:t>20.4万元</w:t>
            </w:r>
          </w:p>
        </w:tc>
        <w:tc>
          <w:tcPr>
            <w:tcW w:w="1276" w:type="dxa"/>
            <w:vAlign w:val="center"/>
          </w:tcPr>
          <w:p w14:paraId="23E40109">
            <w:pPr>
              <w:pStyle w:val="12"/>
            </w:pPr>
            <w:r>
              <w:t>项目规划</w:t>
            </w:r>
          </w:p>
        </w:tc>
      </w:tr>
      <w:tr w14:paraId="25210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8681F">
            <w:pPr>
              <w:pStyle w:val="13"/>
            </w:pPr>
            <w:r>
              <w:t>效益指标</w:t>
            </w:r>
          </w:p>
        </w:tc>
        <w:tc>
          <w:tcPr>
            <w:tcW w:w="2268" w:type="dxa"/>
            <w:vAlign w:val="center"/>
          </w:tcPr>
          <w:p w14:paraId="258C1DE3">
            <w:pPr>
              <w:pStyle w:val="12"/>
            </w:pPr>
            <w:r>
              <w:t>社会效益指标</w:t>
            </w:r>
          </w:p>
        </w:tc>
        <w:tc>
          <w:tcPr>
            <w:tcW w:w="2835" w:type="dxa"/>
            <w:vAlign w:val="center"/>
          </w:tcPr>
          <w:p w14:paraId="213AA8D9">
            <w:pPr>
              <w:pStyle w:val="12"/>
            </w:pPr>
            <w:r>
              <w:t>学校运转得到提高</w:t>
            </w:r>
          </w:p>
        </w:tc>
        <w:tc>
          <w:tcPr>
            <w:tcW w:w="5386" w:type="dxa"/>
            <w:vAlign w:val="center"/>
          </w:tcPr>
          <w:p w14:paraId="4D2C452A">
            <w:pPr>
              <w:pStyle w:val="12"/>
            </w:pPr>
            <w:r>
              <w:t>学生受教育年限</w:t>
            </w:r>
          </w:p>
        </w:tc>
        <w:tc>
          <w:tcPr>
            <w:tcW w:w="2268" w:type="dxa"/>
            <w:vAlign w:val="center"/>
          </w:tcPr>
          <w:p w14:paraId="4342B47E">
            <w:pPr>
              <w:pStyle w:val="12"/>
            </w:pPr>
            <w:r>
              <w:t>6年</w:t>
            </w:r>
          </w:p>
        </w:tc>
        <w:tc>
          <w:tcPr>
            <w:tcW w:w="1276" w:type="dxa"/>
            <w:vAlign w:val="center"/>
          </w:tcPr>
          <w:p w14:paraId="782DC7E5">
            <w:pPr>
              <w:pStyle w:val="12"/>
            </w:pPr>
            <w:r>
              <w:t>项目规划</w:t>
            </w:r>
          </w:p>
        </w:tc>
      </w:tr>
      <w:tr w14:paraId="36A9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E2A29">
            <w:pPr>
              <w:pStyle w:val="13"/>
            </w:pPr>
            <w:r>
              <w:t>满意度指标</w:t>
            </w:r>
          </w:p>
        </w:tc>
        <w:tc>
          <w:tcPr>
            <w:tcW w:w="2268" w:type="dxa"/>
            <w:vAlign w:val="center"/>
          </w:tcPr>
          <w:p w14:paraId="4E45D9AF">
            <w:pPr>
              <w:pStyle w:val="12"/>
            </w:pPr>
            <w:r>
              <w:t>服务对象满意度指标</w:t>
            </w:r>
          </w:p>
        </w:tc>
        <w:tc>
          <w:tcPr>
            <w:tcW w:w="2835" w:type="dxa"/>
            <w:vAlign w:val="center"/>
          </w:tcPr>
          <w:p w14:paraId="4CCB22B9">
            <w:pPr>
              <w:pStyle w:val="12"/>
            </w:pPr>
            <w:r>
              <w:t>学生和学生家长满意度</w:t>
            </w:r>
          </w:p>
        </w:tc>
        <w:tc>
          <w:tcPr>
            <w:tcW w:w="5386" w:type="dxa"/>
            <w:vAlign w:val="center"/>
          </w:tcPr>
          <w:p w14:paraId="477B1A06">
            <w:pPr>
              <w:pStyle w:val="12"/>
            </w:pPr>
            <w:r>
              <w:t>大幅提高学生和学生家长满意度</w:t>
            </w:r>
          </w:p>
        </w:tc>
        <w:tc>
          <w:tcPr>
            <w:tcW w:w="2268" w:type="dxa"/>
            <w:vAlign w:val="center"/>
          </w:tcPr>
          <w:p w14:paraId="00CF1280">
            <w:pPr>
              <w:pStyle w:val="12"/>
            </w:pPr>
            <w:r>
              <w:t>≥98%</w:t>
            </w:r>
          </w:p>
        </w:tc>
        <w:tc>
          <w:tcPr>
            <w:tcW w:w="1276" w:type="dxa"/>
            <w:vAlign w:val="center"/>
          </w:tcPr>
          <w:p w14:paraId="6855B49D">
            <w:pPr>
              <w:pStyle w:val="12"/>
            </w:pPr>
            <w:r>
              <w:t>项目规划</w:t>
            </w:r>
          </w:p>
        </w:tc>
      </w:tr>
    </w:tbl>
    <w:p w14:paraId="159BB4B6">
      <w:pPr>
        <w:sectPr>
          <w:pgSz w:w="16840" w:h="11900" w:orient="landscape"/>
          <w:pgMar w:top="1361" w:right="1020" w:bottom="1134" w:left="1020" w:header="720" w:footer="720" w:gutter="0"/>
          <w:cols w:space="720" w:num="1"/>
        </w:sectPr>
      </w:pPr>
    </w:p>
    <w:p w14:paraId="0A1A39BE">
      <w:pPr>
        <w:spacing w:before="0" w:after="0"/>
        <w:ind w:firstLine="560"/>
        <w:jc w:val="left"/>
        <w:outlineLvl w:val="9"/>
      </w:pPr>
      <w:r>
        <w:rPr>
          <w:rFonts w:ascii="方正仿宋_GBK" w:hAnsi="方正仿宋_GBK" w:eastAsia="方正仿宋_GBK" w:cs="方正仿宋_GBK"/>
          <w:b/>
          <w:color w:val="000000"/>
          <w:sz w:val="28"/>
        </w:rPr>
        <w:t>23、冀财教[2025]149号/省级/2026年学前发展资金/城关校区学前教育公用经费绩效目标表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2D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56EC5">
            <w:pPr>
              <w:pStyle w:val="11"/>
            </w:pPr>
            <w:r>
              <w:t>单位：万元</w:t>
            </w:r>
          </w:p>
        </w:tc>
      </w:tr>
      <w:tr w14:paraId="0B180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FFEAE">
            <w:pPr>
              <w:pStyle w:val="10"/>
            </w:pPr>
            <w:r>
              <w:t>项目编码</w:t>
            </w:r>
          </w:p>
        </w:tc>
        <w:tc>
          <w:tcPr>
            <w:tcW w:w="5103" w:type="dxa"/>
            <w:gridSpan w:val="2"/>
            <w:vAlign w:val="center"/>
          </w:tcPr>
          <w:p w14:paraId="23FE77CD">
            <w:pPr>
              <w:pStyle w:val="12"/>
            </w:pPr>
            <w:r>
              <w:t>13052526P00875710103J</w:t>
            </w:r>
          </w:p>
        </w:tc>
        <w:tc>
          <w:tcPr>
            <w:tcW w:w="2835" w:type="dxa"/>
            <w:vAlign w:val="center"/>
          </w:tcPr>
          <w:p w14:paraId="3CCAD1F4">
            <w:pPr>
              <w:pStyle w:val="10"/>
            </w:pPr>
            <w:r>
              <w:t>项目名称</w:t>
            </w:r>
          </w:p>
        </w:tc>
        <w:tc>
          <w:tcPr>
            <w:tcW w:w="6095" w:type="dxa"/>
            <w:gridSpan w:val="3"/>
            <w:vAlign w:val="center"/>
          </w:tcPr>
          <w:p w14:paraId="634FB3CE">
            <w:pPr>
              <w:pStyle w:val="12"/>
            </w:pPr>
            <w:r>
              <w:t>冀财教[2025]149号/省级/2026年学前发展资金/城关校区学前教育公用经费</w:t>
            </w:r>
          </w:p>
        </w:tc>
      </w:tr>
      <w:tr w14:paraId="03372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8E676">
            <w:pPr>
              <w:pStyle w:val="10"/>
            </w:pPr>
            <w:r>
              <w:t>预算规模及资金用途</w:t>
            </w:r>
          </w:p>
        </w:tc>
        <w:tc>
          <w:tcPr>
            <w:tcW w:w="2268" w:type="dxa"/>
            <w:vAlign w:val="center"/>
          </w:tcPr>
          <w:p w14:paraId="00BD7366">
            <w:pPr>
              <w:pStyle w:val="10"/>
            </w:pPr>
            <w:r>
              <w:t>预算数</w:t>
            </w:r>
          </w:p>
        </w:tc>
        <w:tc>
          <w:tcPr>
            <w:tcW w:w="2835" w:type="dxa"/>
            <w:vAlign w:val="center"/>
          </w:tcPr>
          <w:p w14:paraId="7B39257C">
            <w:pPr>
              <w:pStyle w:val="12"/>
            </w:pPr>
            <w:r>
              <w:t>45.48</w:t>
            </w:r>
          </w:p>
        </w:tc>
        <w:tc>
          <w:tcPr>
            <w:tcW w:w="2835" w:type="dxa"/>
            <w:vAlign w:val="center"/>
          </w:tcPr>
          <w:p w14:paraId="1C1162EC">
            <w:pPr>
              <w:pStyle w:val="10"/>
            </w:pPr>
            <w:r>
              <w:t>其中：财政    资金</w:t>
            </w:r>
          </w:p>
        </w:tc>
        <w:tc>
          <w:tcPr>
            <w:tcW w:w="2551" w:type="dxa"/>
            <w:vAlign w:val="center"/>
          </w:tcPr>
          <w:p w14:paraId="3B4D4EDC">
            <w:pPr>
              <w:pStyle w:val="12"/>
            </w:pPr>
            <w:r>
              <w:t>45.48</w:t>
            </w:r>
          </w:p>
        </w:tc>
        <w:tc>
          <w:tcPr>
            <w:tcW w:w="2268" w:type="dxa"/>
            <w:vAlign w:val="center"/>
          </w:tcPr>
          <w:p w14:paraId="719303DA">
            <w:pPr>
              <w:pStyle w:val="10"/>
            </w:pPr>
            <w:r>
              <w:t>其他资金</w:t>
            </w:r>
          </w:p>
        </w:tc>
        <w:tc>
          <w:tcPr>
            <w:tcW w:w="1276" w:type="dxa"/>
            <w:vAlign w:val="center"/>
          </w:tcPr>
          <w:p w14:paraId="0253FDB3">
            <w:pPr>
              <w:pStyle w:val="12"/>
            </w:pPr>
            <w:r>
              <w:t xml:space="preserve"> </w:t>
            </w:r>
          </w:p>
        </w:tc>
      </w:tr>
      <w:tr w14:paraId="39A4C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D206B"/>
        </w:tc>
        <w:tc>
          <w:tcPr>
            <w:tcW w:w="14033" w:type="dxa"/>
            <w:gridSpan w:val="6"/>
            <w:vAlign w:val="center"/>
          </w:tcPr>
          <w:p w14:paraId="2EADB46A">
            <w:pPr>
              <w:pStyle w:val="12"/>
            </w:pPr>
            <w:r>
              <w:t>保障幼儿园正常运转，完成教育教学活动和其他日常工作任务等方面的费用支出，按季度分批次拨付公用经费资金，资金拨付率达到100%。</w:t>
            </w:r>
          </w:p>
        </w:tc>
      </w:tr>
      <w:tr w14:paraId="3244B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98B09">
            <w:pPr>
              <w:pStyle w:val="10"/>
            </w:pPr>
            <w:r>
              <w:t>资金支出计划（%）</w:t>
            </w:r>
          </w:p>
        </w:tc>
        <w:tc>
          <w:tcPr>
            <w:tcW w:w="5103" w:type="dxa"/>
            <w:gridSpan w:val="2"/>
            <w:vAlign w:val="center"/>
          </w:tcPr>
          <w:p w14:paraId="5FA7D1F1">
            <w:pPr>
              <w:pStyle w:val="10"/>
            </w:pPr>
            <w:r>
              <w:t>3月底</w:t>
            </w:r>
          </w:p>
        </w:tc>
        <w:tc>
          <w:tcPr>
            <w:tcW w:w="2835" w:type="dxa"/>
            <w:vAlign w:val="center"/>
          </w:tcPr>
          <w:p w14:paraId="1C07D098">
            <w:pPr>
              <w:pStyle w:val="10"/>
            </w:pPr>
            <w:r>
              <w:t>6月底</w:t>
            </w:r>
          </w:p>
        </w:tc>
        <w:tc>
          <w:tcPr>
            <w:tcW w:w="2551" w:type="dxa"/>
            <w:vAlign w:val="center"/>
          </w:tcPr>
          <w:p w14:paraId="6F454BE7">
            <w:pPr>
              <w:pStyle w:val="10"/>
            </w:pPr>
            <w:r>
              <w:t>10月底</w:t>
            </w:r>
          </w:p>
        </w:tc>
        <w:tc>
          <w:tcPr>
            <w:tcW w:w="3544" w:type="dxa"/>
            <w:gridSpan w:val="2"/>
            <w:vAlign w:val="center"/>
          </w:tcPr>
          <w:p w14:paraId="3C038079">
            <w:pPr>
              <w:pStyle w:val="10"/>
            </w:pPr>
            <w:r>
              <w:t>12月底</w:t>
            </w:r>
          </w:p>
        </w:tc>
      </w:tr>
      <w:tr w14:paraId="3DA57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79FCA"/>
        </w:tc>
        <w:tc>
          <w:tcPr>
            <w:tcW w:w="5103" w:type="dxa"/>
            <w:gridSpan w:val="2"/>
            <w:vAlign w:val="center"/>
          </w:tcPr>
          <w:p w14:paraId="68B5029B">
            <w:pPr>
              <w:pStyle w:val="13"/>
            </w:pPr>
            <w:r>
              <w:t>25%</w:t>
            </w:r>
          </w:p>
        </w:tc>
        <w:tc>
          <w:tcPr>
            <w:tcW w:w="2835" w:type="dxa"/>
            <w:vAlign w:val="center"/>
          </w:tcPr>
          <w:p w14:paraId="7824375F">
            <w:pPr>
              <w:pStyle w:val="13"/>
            </w:pPr>
            <w:r>
              <w:t>50%</w:t>
            </w:r>
          </w:p>
        </w:tc>
        <w:tc>
          <w:tcPr>
            <w:tcW w:w="2551" w:type="dxa"/>
            <w:vAlign w:val="center"/>
          </w:tcPr>
          <w:p w14:paraId="0A55A2EA">
            <w:pPr>
              <w:pStyle w:val="13"/>
            </w:pPr>
            <w:r>
              <w:t>75%</w:t>
            </w:r>
          </w:p>
        </w:tc>
        <w:tc>
          <w:tcPr>
            <w:tcW w:w="3544" w:type="dxa"/>
            <w:gridSpan w:val="2"/>
            <w:vAlign w:val="center"/>
          </w:tcPr>
          <w:p w14:paraId="7ED37758">
            <w:pPr>
              <w:pStyle w:val="13"/>
            </w:pPr>
            <w:r>
              <w:t>100%</w:t>
            </w:r>
          </w:p>
        </w:tc>
      </w:tr>
      <w:tr w14:paraId="26128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952BB">
            <w:pPr>
              <w:pStyle w:val="10"/>
            </w:pPr>
            <w:r>
              <w:t>绩效目标</w:t>
            </w:r>
          </w:p>
        </w:tc>
        <w:tc>
          <w:tcPr>
            <w:tcW w:w="14033" w:type="dxa"/>
            <w:gridSpan w:val="6"/>
            <w:vAlign w:val="center"/>
          </w:tcPr>
          <w:p w14:paraId="6B35CE45">
            <w:pPr>
              <w:pStyle w:val="12"/>
            </w:pPr>
            <w:r>
              <w:t>1.保障幼儿园正常运转，完成教育教学活动和其他日常工作任务等方面的费用支出。</w:t>
            </w:r>
          </w:p>
          <w:p w14:paraId="22065D78">
            <w:pPr>
              <w:pStyle w:val="12"/>
            </w:pPr>
            <w:r>
              <w:t>2.按季度分批次拨付公用经费资金，资金拨付率达到100%。</w:t>
            </w:r>
          </w:p>
        </w:tc>
      </w:tr>
    </w:tbl>
    <w:p w14:paraId="05BD3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5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4BDEB">
            <w:pPr>
              <w:pStyle w:val="10"/>
            </w:pPr>
            <w:r>
              <w:t>一级指标</w:t>
            </w:r>
          </w:p>
        </w:tc>
        <w:tc>
          <w:tcPr>
            <w:tcW w:w="2268" w:type="dxa"/>
            <w:vAlign w:val="center"/>
          </w:tcPr>
          <w:p w14:paraId="07534669">
            <w:pPr>
              <w:pStyle w:val="10"/>
            </w:pPr>
            <w:r>
              <w:t>二级指标</w:t>
            </w:r>
          </w:p>
        </w:tc>
        <w:tc>
          <w:tcPr>
            <w:tcW w:w="2835" w:type="dxa"/>
            <w:vAlign w:val="center"/>
          </w:tcPr>
          <w:p w14:paraId="10B2C0AB">
            <w:pPr>
              <w:pStyle w:val="10"/>
            </w:pPr>
            <w:r>
              <w:t>三级指标</w:t>
            </w:r>
          </w:p>
        </w:tc>
        <w:tc>
          <w:tcPr>
            <w:tcW w:w="5386" w:type="dxa"/>
            <w:vAlign w:val="center"/>
          </w:tcPr>
          <w:p w14:paraId="4E6147EC">
            <w:pPr>
              <w:pStyle w:val="10"/>
            </w:pPr>
            <w:r>
              <w:t>绩效指标描述</w:t>
            </w:r>
          </w:p>
        </w:tc>
        <w:tc>
          <w:tcPr>
            <w:tcW w:w="2268" w:type="dxa"/>
            <w:vAlign w:val="center"/>
          </w:tcPr>
          <w:p w14:paraId="3E340F9B">
            <w:pPr>
              <w:pStyle w:val="10"/>
            </w:pPr>
            <w:r>
              <w:t>指标值</w:t>
            </w:r>
          </w:p>
        </w:tc>
        <w:tc>
          <w:tcPr>
            <w:tcW w:w="1276" w:type="dxa"/>
            <w:vAlign w:val="center"/>
          </w:tcPr>
          <w:p w14:paraId="1801FAF6">
            <w:pPr>
              <w:pStyle w:val="10"/>
            </w:pPr>
            <w:r>
              <w:t>指标值确定依据</w:t>
            </w:r>
          </w:p>
        </w:tc>
      </w:tr>
      <w:tr w14:paraId="37B4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F887E">
            <w:pPr>
              <w:pStyle w:val="13"/>
            </w:pPr>
            <w:r>
              <w:t>产出指标</w:t>
            </w:r>
          </w:p>
        </w:tc>
        <w:tc>
          <w:tcPr>
            <w:tcW w:w="2268" w:type="dxa"/>
            <w:vAlign w:val="center"/>
          </w:tcPr>
          <w:p w14:paraId="3E538BCE">
            <w:pPr>
              <w:pStyle w:val="12"/>
            </w:pPr>
            <w:r>
              <w:t>数量指标</w:t>
            </w:r>
          </w:p>
        </w:tc>
        <w:tc>
          <w:tcPr>
            <w:tcW w:w="2835" w:type="dxa"/>
            <w:vAlign w:val="center"/>
          </w:tcPr>
          <w:p w14:paraId="1F46CCE1">
            <w:pPr>
              <w:pStyle w:val="12"/>
            </w:pPr>
            <w:r>
              <w:t>就读学生数</w:t>
            </w:r>
          </w:p>
        </w:tc>
        <w:tc>
          <w:tcPr>
            <w:tcW w:w="5386" w:type="dxa"/>
            <w:vAlign w:val="center"/>
          </w:tcPr>
          <w:p w14:paraId="5DF3F04A">
            <w:pPr>
              <w:pStyle w:val="12"/>
            </w:pPr>
            <w:r>
              <w:t>辐射区域内适龄学生人数</w:t>
            </w:r>
          </w:p>
        </w:tc>
        <w:tc>
          <w:tcPr>
            <w:tcW w:w="2268" w:type="dxa"/>
            <w:vAlign w:val="center"/>
          </w:tcPr>
          <w:p w14:paraId="5DB7E0C6">
            <w:pPr>
              <w:pStyle w:val="12"/>
            </w:pPr>
            <w:r>
              <w:t>≥1904人</w:t>
            </w:r>
          </w:p>
        </w:tc>
        <w:tc>
          <w:tcPr>
            <w:tcW w:w="1276" w:type="dxa"/>
            <w:vAlign w:val="center"/>
          </w:tcPr>
          <w:p w14:paraId="09E0C4A6">
            <w:pPr>
              <w:pStyle w:val="12"/>
            </w:pPr>
            <w:r>
              <w:t>支持学前教育发展资金管理方法</w:t>
            </w:r>
          </w:p>
        </w:tc>
      </w:tr>
      <w:tr w14:paraId="3A39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45E9B"/>
        </w:tc>
        <w:tc>
          <w:tcPr>
            <w:tcW w:w="2268" w:type="dxa"/>
            <w:vAlign w:val="center"/>
          </w:tcPr>
          <w:p w14:paraId="06F79D04">
            <w:pPr>
              <w:pStyle w:val="12"/>
            </w:pPr>
            <w:r>
              <w:t>质量指标</w:t>
            </w:r>
          </w:p>
        </w:tc>
        <w:tc>
          <w:tcPr>
            <w:tcW w:w="2835" w:type="dxa"/>
            <w:vAlign w:val="center"/>
          </w:tcPr>
          <w:p w14:paraId="3C2BE7A5">
            <w:pPr>
              <w:pStyle w:val="12"/>
            </w:pPr>
            <w:r>
              <w:t>预算控制率</w:t>
            </w:r>
          </w:p>
        </w:tc>
        <w:tc>
          <w:tcPr>
            <w:tcW w:w="5386" w:type="dxa"/>
            <w:vAlign w:val="center"/>
          </w:tcPr>
          <w:p w14:paraId="379A1714">
            <w:pPr>
              <w:pStyle w:val="12"/>
            </w:pPr>
            <w:r>
              <w:t>预算执行</w:t>
            </w:r>
          </w:p>
        </w:tc>
        <w:tc>
          <w:tcPr>
            <w:tcW w:w="2268" w:type="dxa"/>
            <w:vAlign w:val="center"/>
          </w:tcPr>
          <w:p w14:paraId="568F4B6E">
            <w:pPr>
              <w:pStyle w:val="12"/>
            </w:pPr>
            <w:r>
              <w:t>≥95%</w:t>
            </w:r>
          </w:p>
        </w:tc>
        <w:tc>
          <w:tcPr>
            <w:tcW w:w="1276" w:type="dxa"/>
            <w:vAlign w:val="center"/>
          </w:tcPr>
          <w:p w14:paraId="7610F6DE">
            <w:pPr>
              <w:pStyle w:val="12"/>
            </w:pPr>
            <w:r>
              <w:t>支持学前教育发展资金管理方法</w:t>
            </w:r>
          </w:p>
        </w:tc>
      </w:tr>
      <w:tr w14:paraId="54AC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AAC5D"/>
        </w:tc>
        <w:tc>
          <w:tcPr>
            <w:tcW w:w="2268" w:type="dxa"/>
            <w:vAlign w:val="center"/>
          </w:tcPr>
          <w:p w14:paraId="2A7CE4EA">
            <w:pPr>
              <w:pStyle w:val="12"/>
            </w:pPr>
            <w:r>
              <w:t>时效指标</w:t>
            </w:r>
          </w:p>
        </w:tc>
        <w:tc>
          <w:tcPr>
            <w:tcW w:w="2835" w:type="dxa"/>
            <w:vAlign w:val="center"/>
          </w:tcPr>
          <w:p w14:paraId="717E087F">
            <w:pPr>
              <w:pStyle w:val="12"/>
            </w:pPr>
            <w:r>
              <w:t>义教经费支付完成率</w:t>
            </w:r>
          </w:p>
        </w:tc>
        <w:tc>
          <w:tcPr>
            <w:tcW w:w="5386" w:type="dxa"/>
            <w:vAlign w:val="center"/>
          </w:tcPr>
          <w:p w14:paraId="55B4FEA1">
            <w:pPr>
              <w:pStyle w:val="12"/>
            </w:pPr>
            <w:r>
              <w:t>按照序时进度完成资金支付</w:t>
            </w:r>
          </w:p>
        </w:tc>
        <w:tc>
          <w:tcPr>
            <w:tcW w:w="2268" w:type="dxa"/>
            <w:vAlign w:val="center"/>
          </w:tcPr>
          <w:p w14:paraId="454BA1F9">
            <w:pPr>
              <w:pStyle w:val="12"/>
            </w:pPr>
            <w:r>
              <w:t>100%</w:t>
            </w:r>
          </w:p>
        </w:tc>
        <w:tc>
          <w:tcPr>
            <w:tcW w:w="1276" w:type="dxa"/>
            <w:vAlign w:val="center"/>
          </w:tcPr>
          <w:p w14:paraId="68068DB2">
            <w:pPr>
              <w:pStyle w:val="12"/>
            </w:pPr>
            <w:r>
              <w:t>支持学前教育发展资金管理方法</w:t>
            </w:r>
          </w:p>
        </w:tc>
      </w:tr>
      <w:tr w14:paraId="5E04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773DA"/>
        </w:tc>
        <w:tc>
          <w:tcPr>
            <w:tcW w:w="2268" w:type="dxa"/>
            <w:vAlign w:val="center"/>
          </w:tcPr>
          <w:p w14:paraId="78D52896">
            <w:pPr>
              <w:pStyle w:val="12"/>
            </w:pPr>
            <w:r>
              <w:t>成本指标</w:t>
            </w:r>
          </w:p>
        </w:tc>
        <w:tc>
          <w:tcPr>
            <w:tcW w:w="2835" w:type="dxa"/>
            <w:vAlign w:val="center"/>
          </w:tcPr>
          <w:p w14:paraId="6D5AEA82">
            <w:pPr>
              <w:pStyle w:val="12"/>
            </w:pPr>
            <w:r>
              <w:t>生均拨款标准</w:t>
            </w:r>
          </w:p>
        </w:tc>
        <w:tc>
          <w:tcPr>
            <w:tcW w:w="5386" w:type="dxa"/>
            <w:vAlign w:val="center"/>
          </w:tcPr>
          <w:p w14:paraId="6DF58E98">
            <w:pPr>
              <w:pStyle w:val="12"/>
            </w:pPr>
            <w:r>
              <w:t>学前：（基本标准600元/生/学年）</w:t>
            </w:r>
          </w:p>
        </w:tc>
        <w:tc>
          <w:tcPr>
            <w:tcW w:w="2268" w:type="dxa"/>
            <w:vAlign w:val="center"/>
          </w:tcPr>
          <w:p w14:paraId="6F6FDD2E">
            <w:pPr>
              <w:pStyle w:val="12"/>
            </w:pPr>
            <w:r>
              <w:t>600元</w:t>
            </w:r>
          </w:p>
        </w:tc>
        <w:tc>
          <w:tcPr>
            <w:tcW w:w="1276" w:type="dxa"/>
            <w:vAlign w:val="center"/>
          </w:tcPr>
          <w:p w14:paraId="3B92336D">
            <w:pPr>
              <w:pStyle w:val="12"/>
            </w:pPr>
            <w:r>
              <w:t>支持学前教育发展资金管理方法</w:t>
            </w:r>
          </w:p>
        </w:tc>
      </w:tr>
      <w:tr w14:paraId="6DBB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CBCCB">
            <w:pPr>
              <w:pStyle w:val="13"/>
            </w:pPr>
            <w:r>
              <w:t>效益指标</w:t>
            </w:r>
          </w:p>
        </w:tc>
        <w:tc>
          <w:tcPr>
            <w:tcW w:w="2268" w:type="dxa"/>
            <w:vAlign w:val="center"/>
          </w:tcPr>
          <w:p w14:paraId="2A45C943">
            <w:pPr>
              <w:pStyle w:val="12"/>
            </w:pPr>
            <w:r>
              <w:t>可持续影响指标</w:t>
            </w:r>
          </w:p>
        </w:tc>
        <w:tc>
          <w:tcPr>
            <w:tcW w:w="2835" w:type="dxa"/>
            <w:vAlign w:val="center"/>
          </w:tcPr>
          <w:p w14:paraId="3D177FE5">
            <w:pPr>
              <w:pStyle w:val="12"/>
            </w:pPr>
            <w:r>
              <w:t>学校运转得到提升</w:t>
            </w:r>
          </w:p>
        </w:tc>
        <w:tc>
          <w:tcPr>
            <w:tcW w:w="5386" w:type="dxa"/>
            <w:vAlign w:val="center"/>
          </w:tcPr>
          <w:p w14:paraId="6D806E40">
            <w:pPr>
              <w:pStyle w:val="12"/>
            </w:pPr>
            <w:r>
              <w:t>幼儿受教育年限</w:t>
            </w:r>
          </w:p>
        </w:tc>
        <w:tc>
          <w:tcPr>
            <w:tcW w:w="2268" w:type="dxa"/>
            <w:vAlign w:val="center"/>
          </w:tcPr>
          <w:p w14:paraId="155E8091">
            <w:pPr>
              <w:pStyle w:val="12"/>
            </w:pPr>
            <w:r>
              <w:t>3年</w:t>
            </w:r>
          </w:p>
        </w:tc>
        <w:tc>
          <w:tcPr>
            <w:tcW w:w="1276" w:type="dxa"/>
            <w:vAlign w:val="center"/>
          </w:tcPr>
          <w:p w14:paraId="325C34E2">
            <w:pPr>
              <w:pStyle w:val="12"/>
            </w:pPr>
            <w:r>
              <w:t>支持学前教育发展资金管理方法</w:t>
            </w:r>
          </w:p>
        </w:tc>
      </w:tr>
      <w:tr w14:paraId="19E6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84A30">
            <w:pPr>
              <w:pStyle w:val="13"/>
            </w:pPr>
            <w:r>
              <w:t>满意度指标</w:t>
            </w:r>
          </w:p>
        </w:tc>
        <w:tc>
          <w:tcPr>
            <w:tcW w:w="2268" w:type="dxa"/>
            <w:vAlign w:val="center"/>
          </w:tcPr>
          <w:p w14:paraId="64341F12">
            <w:pPr>
              <w:pStyle w:val="12"/>
            </w:pPr>
            <w:r>
              <w:t>服务对象满意度指标</w:t>
            </w:r>
          </w:p>
        </w:tc>
        <w:tc>
          <w:tcPr>
            <w:tcW w:w="2835" w:type="dxa"/>
            <w:vAlign w:val="center"/>
          </w:tcPr>
          <w:p w14:paraId="5C3F0A24">
            <w:pPr>
              <w:pStyle w:val="12"/>
            </w:pPr>
            <w:r>
              <w:t>家长和学生满意度</w:t>
            </w:r>
          </w:p>
        </w:tc>
        <w:tc>
          <w:tcPr>
            <w:tcW w:w="5386" w:type="dxa"/>
            <w:vAlign w:val="center"/>
          </w:tcPr>
          <w:p w14:paraId="308C4CDD">
            <w:pPr>
              <w:pStyle w:val="12"/>
            </w:pPr>
            <w:r>
              <w:t>家长和学生满意度</w:t>
            </w:r>
          </w:p>
        </w:tc>
        <w:tc>
          <w:tcPr>
            <w:tcW w:w="2268" w:type="dxa"/>
            <w:vAlign w:val="center"/>
          </w:tcPr>
          <w:p w14:paraId="3C0D9B48">
            <w:pPr>
              <w:pStyle w:val="12"/>
            </w:pPr>
            <w:r>
              <w:t>≥95%</w:t>
            </w:r>
          </w:p>
        </w:tc>
        <w:tc>
          <w:tcPr>
            <w:tcW w:w="1276" w:type="dxa"/>
            <w:vAlign w:val="center"/>
          </w:tcPr>
          <w:p w14:paraId="079EE602">
            <w:pPr>
              <w:pStyle w:val="12"/>
            </w:pPr>
            <w:r>
              <w:t>支持学前教育发展资金管理方法</w:t>
            </w:r>
          </w:p>
        </w:tc>
      </w:tr>
    </w:tbl>
    <w:p w14:paraId="32609AA9">
      <w:pPr>
        <w:sectPr>
          <w:pgSz w:w="16840" w:h="11900" w:orient="landscape"/>
          <w:pgMar w:top="1361" w:right="1020" w:bottom="1134" w:left="1020" w:header="720" w:footer="720" w:gutter="0"/>
          <w:cols w:space="720" w:num="1"/>
        </w:sectPr>
      </w:pPr>
    </w:p>
    <w:p w14:paraId="425B29F2">
      <w:pPr>
        <w:spacing w:before="0" w:after="0"/>
        <w:ind w:firstLine="560"/>
        <w:jc w:val="left"/>
        <w:outlineLvl w:val="9"/>
      </w:pPr>
      <w:r>
        <w:rPr>
          <w:rFonts w:ascii="方正仿宋_GBK" w:hAnsi="方正仿宋_GBK" w:eastAsia="方正仿宋_GBK" w:cs="方正仿宋_GBK"/>
          <w:b/>
          <w:color w:val="000000"/>
          <w:sz w:val="28"/>
        </w:rPr>
        <w:t>24、冀财教[2025]149号/省级/2026年学前发展资金/城关校区学前教育幼儿资助绩效目标表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D6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F37B5">
            <w:pPr>
              <w:pStyle w:val="11"/>
            </w:pPr>
            <w:r>
              <w:t>单位：万元</w:t>
            </w:r>
          </w:p>
        </w:tc>
      </w:tr>
      <w:tr w14:paraId="3FA7F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E77BE">
            <w:pPr>
              <w:pStyle w:val="10"/>
            </w:pPr>
            <w:r>
              <w:t>项目编码</w:t>
            </w:r>
          </w:p>
        </w:tc>
        <w:tc>
          <w:tcPr>
            <w:tcW w:w="5103" w:type="dxa"/>
            <w:gridSpan w:val="2"/>
            <w:vAlign w:val="center"/>
          </w:tcPr>
          <w:p w14:paraId="3E7F5650">
            <w:pPr>
              <w:pStyle w:val="12"/>
            </w:pPr>
            <w:r>
              <w:t>13052526P000002100660</w:t>
            </w:r>
          </w:p>
        </w:tc>
        <w:tc>
          <w:tcPr>
            <w:tcW w:w="2835" w:type="dxa"/>
            <w:vAlign w:val="center"/>
          </w:tcPr>
          <w:p w14:paraId="77DEA938">
            <w:pPr>
              <w:pStyle w:val="10"/>
            </w:pPr>
            <w:r>
              <w:t>项目名称</w:t>
            </w:r>
          </w:p>
        </w:tc>
        <w:tc>
          <w:tcPr>
            <w:tcW w:w="6095" w:type="dxa"/>
            <w:gridSpan w:val="3"/>
            <w:vAlign w:val="center"/>
          </w:tcPr>
          <w:p w14:paraId="61DDAB0F">
            <w:pPr>
              <w:pStyle w:val="12"/>
            </w:pPr>
            <w:r>
              <w:t>冀财教[2025]149号/省级/2026年学前发展资金/城关校区学前教育幼儿资助</w:t>
            </w:r>
          </w:p>
        </w:tc>
      </w:tr>
      <w:tr w14:paraId="791B9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E89F2">
            <w:pPr>
              <w:pStyle w:val="10"/>
            </w:pPr>
            <w:r>
              <w:t>预算规模及资金用途</w:t>
            </w:r>
          </w:p>
        </w:tc>
        <w:tc>
          <w:tcPr>
            <w:tcW w:w="2268" w:type="dxa"/>
            <w:vAlign w:val="center"/>
          </w:tcPr>
          <w:p w14:paraId="262E2E72">
            <w:pPr>
              <w:pStyle w:val="10"/>
            </w:pPr>
            <w:r>
              <w:t>预算数</w:t>
            </w:r>
          </w:p>
        </w:tc>
        <w:tc>
          <w:tcPr>
            <w:tcW w:w="2835" w:type="dxa"/>
            <w:vAlign w:val="center"/>
          </w:tcPr>
          <w:p w14:paraId="62305B86">
            <w:pPr>
              <w:pStyle w:val="12"/>
            </w:pPr>
            <w:r>
              <w:t>2.52</w:t>
            </w:r>
          </w:p>
        </w:tc>
        <w:tc>
          <w:tcPr>
            <w:tcW w:w="2835" w:type="dxa"/>
            <w:vAlign w:val="center"/>
          </w:tcPr>
          <w:p w14:paraId="2181453B">
            <w:pPr>
              <w:pStyle w:val="10"/>
            </w:pPr>
            <w:r>
              <w:t>其中：财政    资金</w:t>
            </w:r>
          </w:p>
        </w:tc>
        <w:tc>
          <w:tcPr>
            <w:tcW w:w="2551" w:type="dxa"/>
            <w:vAlign w:val="center"/>
          </w:tcPr>
          <w:p w14:paraId="16B934DC">
            <w:pPr>
              <w:pStyle w:val="12"/>
            </w:pPr>
            <w:r>
              <w:t>2.52</w:t>
            </w:r>
          </w:p>
        </w:tc>
        <w:tc>
          <w:tcPr>
            <w:tcW w:w="2268" w:type="dxa"/>
            <w:vAlign w:val="center"/>
          </w:tcPr>
          <w:p w14:paraId="23A9510E">
            <w:pPr>
              <w:pStyle w:val="10"/>
            </w:pPr>
            <w:r>
              <w:t>其他资金</w:t>
            </w:r>
          </w:p>
        </w:tc>
        <w:tc>
          <w:tcPr>
            <w:tcW w:w="1276" w:type="dxa"/>
            <w:vAlign w:val="center"/>
          </w:tcPr>
          <w:p w14:paraId="3F9F9EB3">
            <w:pPr>
              <w:pStyle w:val="12"/>
            </w:pPr>
            <w:r>
              <w:t xml:space="preserve"> </w:t>
            </w:r>
          </w:p>
        </w:tc>
      </w:tr>
      <w:tr w14:paraId="73AA7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CF8CF"/>
        </w:tc>
        <w:tc>
          <w:tcPr>
            <w:tcW w:w="14033" w:type="dxa"/>
            <w:gridSpan w:val="6"/>
            <w:vAlign w:val="center"/>
          </w:tcPr>
          <w:p w14:paraId="7DF21BBA">
            <w:pPr>
              <w:pStyle w:val="12"/>
            </w:pPr>
            <w:r>
              <w:t>保障落实建档立卡及家庭经济困难儿童资助所需资金，确保建档立卡等家庭经济困难幼儿优先获得资助</w:t>
            </w:r>
          </w:p>
        </w:tc>
      </w:tr>
      <w:tr w14:paraId="19696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D0309">
            <w:pPr>
              <w:pStyle w:val="10"/>
            </w:pPr>
            <w:r>
              <w:t>资金支出计划（%）</w:t>
            </w:r>
          </w:p>
        </w:tc>
        <w:tc>
          <w:tcPr>
            <w:tcW w:w="5103" w:type="dxa"/>
            <w:gridSpan w:val="2"/>
            <w:vAlign w:val="center"/>
          </w:tcPr>
          <w:p w14:paraId="466E3B70">
            <w:pPr>
              <w:pStyle w:val="10"/>
            </w:pPr>
            <w:r>
              <w:t>3月底</w:t>
            </w:r>
          </w:p>
        </w:tc>
        <w:tc>
          <w:tcPr>
            <w:tcW w:w="2835" w:type="dxa"/>
            <w:vAlign w:val="center"/>
          </w:tcPr>
          <w:p w14:paraId="77DCCC7D">
            <w:pPr>
              <w:pStyle w:val="10"/>
            </w:pPr>
            <w:r>
              <w:t>6月底</w:t>
            </w:r>
          </w:p>
        </w:tc>
        <w:tc>
          <w:tcPr>
            <w:tcW w:w="2551" w:type="dxa"/>
            <w:vAlign w:val="center"/>
          </w:tcPr>
          <w:p w14:paraId="529DE933">
            <w:pPr>
              <w:pStyle w:val="10"/>
            </w:pPr>
            <w:r>
              <w:t>10月底</w:t>
            </w:r>
          </w:p>
        </w:tc>
        <w:tc>
          <w:tcPr>
            <w:tcW w:w="3544" w:type="dxa"/>
            <w:gridSpan w:val="2"/>
            <w:vAlign w:val="center"/>
          </w:tcPr>
          <w:p w14:paraId="2F71B2AB">
            <w:pPr>
              <w:pStyle w:val="10"/>
            </w:pPr>
            <w:r>
              <w:t>12月底</w:t>
            </w:r>
          </w:p>
        </w:tc>
      </w:tr>
      <w:tr w14:paraId="2BA32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19CB1"/>
        </w:tc>
        <w:tc>
          <w:tcPr>
            <w:tcW w:w="5103" w:type="dxa"/>
            <w:gridSpan w:val="2"/>
            <w:vAlign w:val="center"/>
          </w:tcPr>
          <w:p w14:paraId="5580AA30">
            <w:pPr>
              <w:pStyle w:val="13"/>
            </w:pPr>
            <w:r>
              <w:t xml:space="preserve"> </w:t>
            </w:r>
          </w:p>
        </w:tc>
        <w:tc>
          <w:tcPr>
            <w:tcW w:w="2835" w:type="dxa"/>
            <w:vAlign w:val="center"/>
          </w:tcPr>
          <w:p w14:paraId="1C5E559F">
            <w:pPr>
              <w:pStyle w:val="13"/>
            </w:pPr>
            <w:r>
              <w:t>50%</w:t>
            </w:r>
          </w:p>
        </w:tc>
        <w:tc>
          <w:tcPr>
            <w:tcW w:w="2551" w:type="dxa"/>
            <w:vAlign w:val="center"/>
          </w:tcPr>
          <w:p w14:paraId="2BED2AED">
            <w:pPr>
              <w:pStyle w:val="13"/>
            </w:pPr>
            <w:r>
              <w:t>50%</w:t>
            </w:r>
          </w:p>
        </w:tc>
        <w:tc>
          <w:tcPr>
            <w:tcW w:w="3544" w:type="dxa"/>
            <w:gridSpan w:val="2"/>
            <w:vAlign w:val="center"/>
          </w:tcPr>
          <w:p w14:paraId="1A0CF2B8">
            <w:pPr>
              <w:pStyle w:val="13"/>
            </w:pPr>
            <w:r>
              <w:t>100%</w:t>
            </w:r>
          </w:p>
        </w:tc>
      </w:tr>
      <w:tr w14:paraId="5BF0E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7AE99">
            <w:pPr>
              <w:pStyle w:val="10"/>
            </w:pPr>
            <w:r>
              <w:t>绩效目标</w:t>
            </w:r>
          </w:p>
        </w:tc>
        <w:tc>
          <w:tcPr>
            <w:tcW w:w="14033" w:type="dxa"/>
            <w:gridSpan w:val="6"/>
            <w:vAlign w:val="center"/>
          </w:tcPr>
          <w:p w14:paraId="2B26E2E1">
            <w:pPr>
              <w:pStyle w:val="12"/>
            </w:pPr>
            <w:r>
              <w:t>1.保障落实建档立卡及家庭经济困难儿童资助所需资金，确保建档立卡等家庭经济困难幼儿优先获得资助</w:t>
            </w:r>
          </w:p>
          <w:p w14:paraId="6BAB5FD8">
            <w:pPr>
              <w:pStyle w:val="12"/>
            </w:pPr>
            <w:r>
              <w:t>2.保证本年度资助经费足额落实到位，符合享受资助条件的学生应助尽助。</w:t>
            </w:r>
          </w:p>
        </w:tc>
      </w:tr>
    </w:tbl>
    <w:p w14:paraId="0DE2DF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C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6C57D">
            <w:pPr>
              <w:pStyle w:val="10"/>
            </w:pPr>
            <w:r>
              <w:t>一级指标</w:t>
            </w:r>
          </w:p>
        </w:tc>
        <w:tc>
          <w:tcPr>
            <w:tcW w:w="2268" w:type="dxa"/>
            <w:vAlign w:val="center"/>
          </w:tcPr>
          <w:p w14:paraId="3B87F784">
            <w:pPr>
              <w:pStyle w:val="10"/>
            </w:pPr>
            <w:r>
              <w:t>二级指标</w:t>
            </w:r>
          </w:p>
        </w:tc>
        <w:tc>
          <w:tcPr>
            <w:tcW w:w="2835" w:type="dxa"/>
            <w:vAlign w:val="center"/>
          </w:tcPr>
          <w:p w14:paraId="012B6FAE">
            <w:pPr>
              <w:pStyle w:val="10"/>
            </w:pPr>
            <w:r>
              <w:t>三级指标</w:t>
            </w:r>
          </w:p>
        </w:tc>
        <w:tc>
          <w:tcPr>
            <w:tcW w:w="5386" w:type="dxa"/>
            <w:vAlign w:val="center"/>
          </w:tcPr>
          <w:p w14:paraId="33F69129">
            <w:pPr>
              <w:pStyle w:val="10"/>
            </w:pPr>
            <w:r>
              <w:t>绩效指标描述</w:t>
            </w:r>
          </w:p>
        </w:tc>
        <w:tc>
          <w:tcPr>
            <w:tcW w:w="2268" w:type="dxa"/>
            <w:vAlign w:val="center"/>
          </w:tcPr>
          <w:p w14:paraId="62601DFF">
            <w:pPr>
              <w:pStyle w:val="10"/>
            </w:pPr>
            <w:r>
              <w:t>指标值</w:t>
            </w:r>
          </w:p>
        </w:tc>
        <w:tc>
          <w:tcPr>
            <w:tcW w:w="1276" w:type="dxa"/>
            <w:vAlign w:val="center"/>
          </w:tcPr>
          <w:p w14:paraId="5E7E76A8">
            <w:pPr>
              <w:pStyle w:val="10"/>
            </w:pPr>
            <w:r>
              <w:t>指标值确定依据</w:t>
            </w:r>
          </w:p>
        </w:tc>
      </w:tr>
      <w:tr w14:paraId="4A34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5CE21">
            <w:pPr>
              <w:pStyle w:val="13"/>
            </w:pPr>
            <w:r>
              <w:t>产出指标</w:t>
            </w:r>
          </w:p>
        </w:tc>
        <w:tc>
          <w:tcPr>
            <w:tcW w:w="2268" w:type="dxa"/>
            <w:vAlign w:val="center"/>
          </w:tcPr>
          <w:p w14:paraId="4F0B7429">
            <w:pPr>
              <w:pStyle w:val="12"/>
            </w:pPr>
            <w:r>
              <w:t>数量指标</w:t>
            </w:r>
          </w:p>
        </w:tc>
        <w:tc>
          <w:tcPr>
            <w:tcW w:w="2835" w:type="dxa"/>
            <w:vAlign w:val="center"/>
          </w:tcPr>
          <w:p w14:paraId="1F210530">
            <w:pPr>
              <w:pStyle w:val="12"/>
            </w:pPr>
            <w:r>
              <w:t>幼儿资助比例</w:t>
            </w:r>
          </w:p>
        </w:tc>
        <w:tc>
          <w:tcPr>
            <w:tcW w:w="5386" w:type="dxa"/>
            <w:vAlign w:val="center"/>
          </w:tcPr>
          <w:p w14:paraId="5CA489D2">
            <w:pPr>
              <w:pStyle w:val="12"/>
            </w:pPr>
            <w:r>
              <w:t>按学前适龄在园儿童10%测算</w:t>
            </w:r>
          </w:p>
        </w:tc>
        <w:tc>
          <w:tcPr>
            <w:tcW w:w="2268" w:type="dxa"/>
            <w:vAlign w:val="center"/>
          </w:tcPr>
          <w:p w14:paraId="0481336C">
            <w:pPr>
              <w:pStyle w:val="12"/>
            </w:pPr>
            <w:r>
              <w:t>≥10%</w:t>
            </w:r>
          </w:p>
        </w:tc>
        <w:tc>
          <w:tcPr>
            <w:tcW w:w="1276" w:type="dxa"/>
            <w:vAlign w:val="center"/>
          </w:tcPr>
          <w:p w14:paraId="33971C5A">
            <w:pPr>
              <w:pStyle w:val="12"/>
            </w:pPr>
            <w:r>
              <w:t>幼儿资助经费管理办法</w:t>
            </w:r>
          </w:p>
        </w:tc>
      </w:tr>
      <w:tr w14:paraId="595A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4104A"/>
        </w:tc>
        <w:tc>
          <w:tcPr>
            <w:tcW w:w="2268" w:type="dxa"/>
            <w:vAlign w:val="center"/>
          </w:tcPr>
          <w:p w14:paraId="251DFF3D">
            <w:pPr>
              <w:pStyle w:val="12"/>
            </w:pPr>
            <w:r>
              <w:t>质量指标</w:t>
            </w:r>
          </w:p>
        </w:tc>
        <w:tc>
          <w:tcPr>
            <w:tcW w:w="2835" w:type="dxa"/>
            <w:vAlign w:val="center"/>
          </w:tcPr>
          <w:p w14:paraId="3379AD40">
            <w:pPr>
              <w:pStyle w:val="12"/>
            </w:pPr>
            <w:r>
              <w:t>学前教育资助制度落实情况</w:t>
            </w:r>
          </w:p>
        </w:tc>
        <w:tc>
          <w:tcPr>
            <w:tcW w:w="5386" w:type="dxa"/>
            <w:vAlign w:val="center"/>
          </w:tcPr>
          <w:p w14:paraId="45FFE440">
            <w:pPr>
              <w:pStyle w:val="12"/>
            </w:pPr>
            <w:r>
              <w:t>符合享受资助条件的学生应助尽助</w:t>
            </w:r>
          </w:p>
        </w:tc>
        <w:tc>
          <w:tcPr>
            <w:tcW w:w="2268" w:type="dxa"/>
            <w:vAlign w:val="center"/>
          </w:tcPr>
          <w:p w14:paraId="3BD8A85D">
            <w:pPr>
              <w:pStyle w:val="12"/>
            </w:pPr>
            <w:r>
              <w:t>100%</w:t>
            </w:r>
          </w:p>
        </w:tc>
        <w:tc>
          <w:tcPr>
            <w:tcW w:w="1276" w:type="dxa"/>
            <w:vAlign w:val="center"/>
          </w:tcPr>
          <w:p w14:paraId="7E2F4F59">
            <w:pPr>
              <w:pStyle w:val="12"/>
            </w:pPr>
            <w:r>
              <w:t>幼儿资助经费管理办法</w:t>
            </w:r>
          </w:p>
        </w:tc>
      </w:tr>
      <w:tr w14:paraId="147B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6F38A"/>
        </w:tc>
        <w:tc>
          <w:tcPr>
            <w:tcW w:w="2268" w:type="dxa"/>
            <w:vAlign w:val="center"/>
          </w:tcPr>
          <w:p w14:paraId="50CAB958">
            <w:pPr>
              <w:pStyle w:val="12"/>
            </w:pPr>
            <w:r>
              <w:t>时效指标</w:t>
            </w:r>
          </w:p>
        </w:tc>
        <w:tc>
          <w:tcPr>
            <w:tcW w:w="2835" w:type="dxa"/>
            <w:vAlign w:val="center"/>
          </w:tcPr>
          <w:p w14:paraId="3C691FCA">
            <w:pPr>
              <w:pStyle w:val="12"/>
            </w:pPr>
            <w:r>
              <w:t>资金拨付率</w:t>
            </w:r>
          </w:p>
        </w:tc>
        <w:tc>
          <w:tcPr>
            <w:tcW w:w="5386" w:type="dxa"/>
            <w:vAlign w:val="center"/>
          </w:tcPr>
          <w:p w14:paraId="55057D16">
            <w:pPr>
              <w:pStyle w:val="12"/>
            </w:pPr>
            <w:r>
              <w:t>所有项目资金支付进度</w:t>
            </w:r>
          </w:p>
        </w:tc>
        <w:tc>
          <w:tcPr>
            <w:tcW w:w="2268" w:type="dxa"/>
            <w:vAlign w:val="center"/>
          </w:tcPr>
          <w:p w14:paraId="265F1C9E">
            <w:pPr>
              <w:pStyle w:val="12"/>
            </w:pPr>
            <w:r>
              <w:t>100%</w:t>
            </w:r>
          </w:p>
        </w:tc>
        <w:tc>
          <w:tcPr>
            <w:tcW w:w="1276" w:type="dxa"/>
            <w:vAlign w:val="center"/>
          </w:tcPr>
          <w:p w14:paraId="6AF6D0E4">
            <w:pPr>
              <w:pStyle w:val="12"/>
            </w:pPr>
            <w:r>
              <w:t>幼儿资助经费管理办法</w:t>
            </w:r>
          </w:p>
        </w:tc>
      </w:tr>
      <w:tr w14:paraId="167C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4DDF7"/>
        </w:tc>
        <w:tc>
          <w:tcPr>
            <w:tcW w:w="2268" w:type="dxa"/>
            <w:vAlign w:val="center"/>
          </w:tcPr>
          <w:p w14:paraId="6AB089EC">
            <w:pPr>
              <w:pStyle w:val="12"/>
            </w:pPr>
            <w:r>
              <w:t>成本指标</w:t>
            </w:r>
          </w:p>
        </w:tc>
        <w:tc>
          <w:tcPr>
            <w:tcW w:w="2835" w:type="dxa"/>
            <w:vAlign w:val="center"/>
          </w:tcPr>
          <w:p w14:paraId="6756D5A1">
            <w:pPr>
              <w:pStyle w:val="12"/>
            </w:pPr>
            <w:r>
              <w:t>幼儿园资助标准</w:t>
            </w:r>
          </w:p>
        </w:tc>
        <w:tc>
          <w:tcPr>
            <w:tcW w:w="5386" w:type="dxa"/>
            <w:vAlign w:val="center"/>
          </w:tcPr>
          <w:p w14:paraId="1EC32A75">
            <w:pPr>
              <w:pStyle w:val="12"/>
            </w:pPr>
            <w:r>
              <w:t>按照幼儿园资助标准1000元/生/年</w:t>
            </w:r>
          </w:p>
        </w:tc>
        <w:tc>
          <w:tcPr>
            <w:tcW w:w="2268" w:type="dxa"/>
            <w:vAlign w:val="center"/>
          </w:tcPr>
          <w:p w14:paraId="74CA9759">
            <w:pPr>
              <w:pStyle w:val="12"/>
            </w:pPr>
            <w:r>
              <w:t>24800元</w:t>
            </w:r>
          </w:p>
        </w:tc>
        <w:tc>
          <w:tcPr>
            <w:tcW w:w="1276" w:type="dxa"/>
            <w:vAlign w:val="center"/>
          </w:tcPr>
          <w:p w14:paraId="7A1DF9A1">
            <w:pPr>
              <w:pStyle w:val="12"/>
            </w:pPr>
            <w:r>
              <w:t>幼儿资助经费管理办法</w:t>
            </w:r>
          </w:p>
        </w:tc>
      </w:tr>
      <w:tr w14:paraId="4BC7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9510C">
            <w:pPr>
              <w:pStyle w:val="13"/>
            </w:pPr>
            <w:r>
              <w:t>效益指标</w:t>
            </w:r>
          </w:p>
        </w:tc>
        <w:tc>
          <w:tcPr>
            <w:tcW w:w="2268" w:type="dxa"/>
            <w:vAlign w:val="center"/>
          </w:tcPr>
          <w:p w14:paraId="29282135">
            <w:pPr>
              <w:pStyle w:val="12"/>
            </w:pPr>
            <w:r>
              <w:t>可持续影响指标</w:t>
            </w:r>
          </w:p>
        </w:tc>
        <w:tc>
          <w:tcPr>
            <w:tcW w:w="2835" w:type="dxa"/>
            <w:vAlign w:val="center"/>
          </w:tcPr>
          <w:p w14:paraId="1276DDE7">
            <w:pPr>
              <w:pStyle w:val="12"/>
            </w:pPr>
            <w:r>
              <w:t>幼儿园运转</w:t>
            </w:r>
          </w:p>
        </w:tc>
        <w:tc>
          <w:tcPr>
            <w:tcW w:w="5386" w:type="dxa"/>
            <w:vAlign w:val="center"/>
          </w:tcPr>
          <w:p w14:paraId="3A7E44F4">
            <w:pPr>
              <w:pStyle w:val="12"/>
            </w:pPr>
            <w:r>
              <w:t>幼儿受教育年限</w:t>
            </w:r>
          </w:p>
        </w:tc>
        <w:tc>
          <w:tcPr>
            <w:tcW w:w="2268" w:type="dxa"/>
            <w:vAlign w:val="center"/>
          </w:tcPr>
          <w:p w14:paraId="59AACB4F">
            <w:pPr>
              <w:pStyle w:val="12"/>
            </w:pPr>
            <w:r>
              <w:t>3年</w:t>
            </w:r>
          </w:p>
        </w:tc>
        <w:tc>
          <w:tcPr>
            <w:tcW w:w="1276" w:type="dxa"/>
            <w:vAlign w:val="center"/>
          </w:tcPr>
          <w:p w14:paraId="3DEBA657">
            <w:pPr>
              <w:pStyle w:val="12"/>
            </w:pPr>
            <w:r>
              <w:t>幼儿资助经费管理办法</w:t>
            </w:r>
          </w:p>
        </w:tc>
      </w:tr>
      <w:tr w14:paraId="70BB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2A793">
            <w:pPr>
              <w:pStyle w:val="13"/>
            </w:pPr>
            <w:r>
              <w:t>满意度指标</w:t>
            </w:r>
          </w:p>
        </w:tc>
        <w:tc>
          <w:tcPr>
            <w:tcW w:w="2268" w:type="dxa"/>
            <w:vAlign w:val="center"/>
          </w:tcPr>
          <w:p w14:paraId="28B3A1E4">
            <w:pPr>
              <w:pStyle w:val="12"/>
            </w:pPr>
            <w:r>
              <w:t>服务对象满意度指标</w:t>
            </w:r>
          </w:p>
        </w:tc>
        <w:tc>
          <w:tcPr>
            <w:tcW w:w="2835" w:type="dxa"/>
            <w:vAlign w:val="center"/>
          </w:tcPr>
          <w:p w14:paraId="0E102225">
            <w:pPr>
              <w:pStyle w:val="12"/>
            </w:pPr>
            <w:r>
              <w:t>受益幼儿家长及调查满意度</w:t>
            </w:r>
          </w:p>
        </w:tc>
        <w:tc>
          <w:tcPr>
            <w:tcW w:w="5386" w:type="dxa"/>
            <w:vAlign w:val="center"/>
          </w:tcPr>
          <w:p w14:paraId="08E078A2">
            <w:pPr>
              <w:pStyle w:val="12"/>
            </w:pPr>
            <w:r>
              <w:t>学生、教师及家长对学校保教保育工作满意度情况</w:t>
            </w:r>
          </w:p>
        </w:tc>
        <w:tc>
          <w:tcPr>
            <w:tcW w:w="2268" w:type="dxa"/>
            <w:vAlign w:val="center"/>
          </w:tcPr>
          <w:p w14:paraId="0C3A5667">
            <w:pPr>
              <w:pStyle w:val="12"/>
            </w:pPr>
            <w:r>
              <w:t>≥95%</w:t>
            </w:r>
          </w:p>
        </w:tc>
        <w:tc>
          <w:tcPr>
            <w:tcW w:w="1276" w:type="dxa"/>
            <w:vAlign w:val="center"/>
          </w:tcPr>
          <w:p w14:paraId="66C37E99">
            <w:pPr>
              <w:pStyle w:val="12"/>
            </w:pPr>
            <w:r>
              <w:t>幼儿资助经费管理办法</w:t>
            </w:r>
          </w:p>
        </w:tc>
      </w:tr>
    </w:tbl>
    <w:p w14:paraId="0F04DDCB">
      <w:pPr>
        <w:sectPr>
          <w:pgSz w:w="16840" w:h="11900" w:orient="landscape"/>
          <w:pgMar w:top="1361" w:right="1020" w:bottom="1134" w:left="1020" w:header="720" w:footer="720" w:gutter="0"/>
          <w:cols w:space="720" w:num="1"/>
        </w:sectPr>
      </w:pPr>
    </w:p>
    <w:p w14:paraId="17F9AE9F">
      <w:pPr>
        <w:spacing w:before="0" w:after="0"/>
        <w:ind w:firstLine="560"/>
        <w:jc w:val="left"/>
        <w:outlineLvl w:val="9"/>
      </w:pPr>
      <w:r>
        <w:rPr>
          <w:rFonts w:ascii="方正仿宋_GBK" w:hAnsi="方正仿宋_GBK" w:eastAsia="方正仿宋_GBK" w:cs="方正仿宋_GBK"/>
          <w:b/>
          <w:color w:val="000000"/>
          <w:sz w:val="28"/>
        </w:rPr>
        <w:t>25、冀财教[2025]149号/省级/2026年学前发展资金/城关校区幼儿园免保育教育费补助绩效目标表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51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0D4C7">
            <w:pPr>
              <w:pStyle w:val="11"/>
            </w:pPr>
            <w:r>
              <w:t>单位：万元</w:t>
            </w:r>
          </w:p>
        </w:tc>
      </w:tr>
      <w:tr w14:paraId="129FD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6ABBD">
            <w:pPr>
              <w:pStyle w:val="10"/>
            </w:pPr>
            <w:r>
              <w:t>项目编码</w:t>
            </w:r>
          </w:p>
        </w:tc>
        <w:tc>
          <w:tcPr>
            <w:tcW w:w="5103" w:type="dxa"/>
            <w:gridSpan w:val="2"/>
            <w:vAlign w:val="center"/>
          </w:tcPr>
          <w:p w14:paraId="763C0458">
            <w:pPr>
              <w:pStyle w:val="12"/>
            </w:pPr>
            <w:r>
              <w:t>13052526P00876910149A</w:t>
            </w:r>
          </w:p>
        </w:tc>
        <w:tc>
          <w:tcPr>
            <w:tcW w:w="2835" w:type="dxa"/>
            <w:vAlign w:val="center"/>
          </w:tcPr>
          <w:p w14:paraId="282C97F9">
            <w:pPr>
              <w:pStyle w:val="10"/>
            </w:pPr>
            <w:r>
              <w:t>项目名称</w:t>
            </w:r>
          </w:p>
        </w:tc>
        <w:tc>
          <w:tcPr>
            <w:tcW w:w="6095" w:type="dxa"/>
            <w:gridSpan w:val="3"/>
            <w:vAlign w:val="center"/>
          </w:tcPr>
          <w:p w14:paraId="511063FA">
            <w:pPr>
              <w:pStyle w:val="12"/>
            </w:pPr>
            <w:r>
              <w:t>冀财教[2025]149号/省级/2026年学前发展资金/城关校区幼儿园免保育教育费补助</w:t>
            </w:r>
          </w:p>
        </w:tc>
      </w:tr>
      <w:tr w14:paraId="0B9FA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DF426">
            <w:pPr>
              <w:pStyle w:val="10"/>
            </w:pPr>
            <w:r>
              <w:t>预算规模及资金用途</w:t>
            </w:r>
          </w:p>
        </w:tc>
        <w:tc>
          <w:tcPr>
            <w:tcW w:w="2268" w:type="dxa"/>
            <w:vAlign w:val="center"/>
          </w:tcPr>
          <w:p w14:paraId="6BD08BD9">
            <w:pPr>
              <w:pStyle w:val="10"/>
            </w:pPr>
            <w:r>
              <w:t>预算数</w:t>
            </w:r>
          </w:p>
        </w:tc>
        <w:tc>
          <w:tcPr>
            <w:tcW w:w="2835" w:type="dxa"/>
            <w:vAlign w:val="center"/>
          </w:tcPr>
          <w:p w14:paraId="666365A5">
            <w:pPr>
              <w:pStyle w:val="12"/>
            </w:pPr>
            <w:r>
              <w:t>47.93</w:t>
            </w:r>
          </w:p>
        </w:tc>
        <w:tc>
          <w:tcPr>
            <w:tcW w:w="2835" w:type="dxa"/>
            <w:vAlign w:val="center"/>
          </w:tcPr>
          <w:p w14:paraId="49E9A39B">
            <w:pPr>
              <w:pStyle w:val="10"/>
            </w:pPr>
            <w:r>
              <w:t>其中：财政    资金</w:t>
            </w:r>
          </w:p>
        </w:tc>
        <w:tc>
          <w:tcPr>
            <w:tcW w:w="2551" w:type="dxa"/>
            <w:vAlign w:val="center"/>
          </w:tcPr>
          <w:p w14:paraId="4DA97A5B">
            <w:pPr>
              <w:pStyle w:val="12"/>
            </w:pPr>
            <w:r>
              <w:t>47.93</w:t>
            </w:r>
          </w:p>
        </w:tc>
        <w:tc>
          <w:tcPr>
            <w:tcW w:w="2268" w:type="dxa"/>
            <w:vAlign w:val="center"/>
          </w:tcPr>
          <w:p w14:paraId="1D3EC501">
            <w:pPr>
              <w:pStyle w:val="10"/>
            </w:pPr>
            <w:r>
              <w:t>其他资金</w:t>
            </w:r>
          </w:p>
        </w:tc>
        <w:tc>
          <w:tcPr>
            <w:tcW w:w="1276" w:type="dxa"/>
            <w:vAlign w:val="center"/>
          </w:tcPr>
          <w:p w14:paraId="12EDDA05">
            <w:pPr>
              <w:pStyle w:val="12"/>
            </w:pPr>
            <w:r>
              <w:t xml:space="preserve"> </w:t>
            </w:r>
          </w:p>
        </w:tc>
      </w:tr>
      <w:tr w14:paraId="214AF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68769"/>
        </w:tc>
        <w:tc>
          <w:tcPr>
            <w:tcW w:w="14033" w:type="dxa"/>
            <w:gridSpan w:val="6"/>
            <w:vAlign w:val="center"/>
          </w:tcPr>
          <w:p w14:paraId="233FA67D">
            <w:pPr>
              <w:pStyle w:val="12"/>
            </w:pPr>
            <w:r>
              <w:t xml:space="preserve"> 保障幼儿园正常运转，完成教育教学活动和其他日常工作任务等方面的费用支出。</w:t>
            </w:r>
          </w:p>
        </w:tc>
      </w:tr>
      <w:tr w14:paraId="678CC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E0708">
            <w:pPr>
              <w:pStyle w:val="10"/>
            </w:pPr>
            <w:r>
              <w:t>资金支出计划（%）</w:t>
            </w:r>
          </w:p>
        </w:tc>
        <w:tc>
          <w:tcPr>
            <w:tcW w:w="5103" w:type="dxa"/>
            <w:gridSpan w:val="2"/>
            <w:vAlign w:val="center"/>
          </w:tcPr>
          <w:p w14:paraId="1AE8249D">
            <w:pPr>
              <w:pStyle w:val="10"/>
            </w:pPr>
            <w:r>
              <w:t>3月底</w:t>
            </w:r>
          </w:p>
        </w:tc>
        <w:tc>
          <w:tcPr>
            <w:tcW w:w="2835" w:type="dxa"/>
            <w:vAlign w:val="center"/>
          </w:tcPr>
          <w:p w14:paraId="059901B0">
            <w:pPr>
              <w:pStyle w:val="10"/>
            </w:pPr>
            <w:r>
              <w:t>6月底</w:t>
            </w:r>
          </w:p>
        </w:tc>
        <w:tc>
          <w:tcPr>
            <w:tcW w:w="2551" w:type="dxa"/>
            <w:vAlign w:val="center"/>
          </w:tcPr>
          <w:p w14:paraId="76AC881C">
            <w:pPr>
              <w:pStyle w:val="10"/>
            </w:pPr>
            <w:r>
              <w:t>10月底</w:t>
            </w:r>
          </w:p>
        </w:tc>
        <w:tc>
          <w:tcPr>
            <w:tcW w:w="3544" w:type="dxa"/>
            <w:gridSpan w:val="2"/>
            <w:vAlign w:val="center"/>
          </w:tcPr>
          <w:p w14:paraId="4A594F37">
            <w:pPr>
              <w:pStyle w:val="10"/>
            </w:pPr>
            <w:r>
              <w:t>12月底</w:t>
            </w:r>
          </w:p>
        </w:tc>
      </w:tr>
      <w:tr w14:paraId="4E792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F0BB6"/>
        </w:tc>
        <w:tc>
          <w:tcPr>
            <w:tcW w:w="5103" w:type="dxa"/>
            <w:gridSpan w:val="2"/>
            <w:vAlign w:val="center"/>
          </w:tcPr>
          <w:p w14:paraId="77D7AF06">
            <w:pPr>
              <w:pStyle w:val="13"/>
            </w:pPr>
            <w:r>
              <w:t>25%</w:t>
            </w:r>
          </w:p>
        </w:tc>
        <w:tc>
          <w:tcPr>
            <w:tcW w:w="2835" w:type="dxa"/>
            <w:vAlign w:val="center"/>
          </w:tcPr>
          <w:p w14:paraId="7CBBF10A">
            <w:pPr>
              <w:pStyle w:val="13"/>
            </w:pPr>
            <w:r>
              <w:t>50%</w:t>
            </w:r>
          </w:p>
        </w:tc>
        <w:tc>
          <w:tcPr>
            <w:tcW w:w="2551" w:type="dxa"/>
            <w:vAlign w:val="center"/>
          </w:tcPr>
          <w:p w14:paraId="7CA77AD5">
            <w:pPr>
              <w:pStyle w:val="13"/>
            </w:pPr>
            <w:r>
              <w:t>75%</w:t>
            </w:r>
          </w:p>
        </w:tc>
        <w:tc>
          <w:tcPr>
            <w:tcW w:w="3544" w:type="dxa"/>
            <w:gridSpan w:val="2"/>
            <w:vAlign w:val="center"/>
          </w:tcPr>
          <w:p w14:paraId="2314C793">
            <w:pPr>
              <w:pStyle w:val="13"/>
            </w:pPr>
            <w:r>
              <w:t>100%</w:t>
            </w:r>
          </w:p>
        </w:tc>
      </w:tr>
      <w:tr w14:paraId="5B4E4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84296">
            <w:pPr>
              <w:pStyle w:val="10"/>
            </w:pPr>
            <w:r>
              <w:t>绩效目标</w:t>
            </w:r>
          </w:p>
        </w:tc>
        <w:tc>
          <w:tcPr>
            <w:tcW w:w="14033" w:type="dxa"/>
            <w:gridSpan w:val="6"/>
            <w:vAlign w:val="center"/>
          </w:tcPr>
          <w:p w14:paraId="24FFE20C">
            <w:pPr>
              <w:pStyle w:val="12"/>
            </w:pPr>
            <w:r>
              <w:t>1. 保障幼儿园正常运转，完成教育教学活动和其他日常工作任务等方面的费用支出。</w:t>
            </w:r>
          </w:p>
        </w:tc>
      </w:tr>
    </w:tbl>
    <w:p w14:paraId="198B81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F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09C82">
            <w:pPr>
              <w:pStyle w:val="10"/>
            </w:pPr>
            <w:r>
              <w:t>一级指标</w:t>
            </w:r>
          </w:p>
        </w:tc>
        <w:tc>
          <w:tcPr>
            <w:tcW w:w="2268" w:type="dxa"/>
            <w:vAlign w:val="center"/>
          </w:tcPr>
          <w:p w14:paraId="7EF46E21">
            <w:pPr>
              <w:pStyle w:val="10"/>
            </w:pPr>
            <w:r>
              <w:t>二级指标</w:t>
            </w:r>
          </w:p>
        </w:tc>
        <w:tc>
          <w:tcPr>
            <w:tcW w:w="2835" w:type="dxa"/>
            <w:vAlign w:val="center"/>
          </w:tcPr>
          <w:p w14:paraId="518A0EBC">
            <w:pPr>
              <w:pStyle w:val="10"/>
            </w:pPr>
            <w:r>
              <w:t>三级指标</w:t>
            </w:r>
          </w:p>
        </w:tc>
        <w:tc>
          <w:tcPr>
            <w:tcW w:w="5386" w:type="dxa"/>
            <w:vAlign w:val="center"/>
          </w:tcPr>
          <w:p w14:paraId="584386E2">
            <w:pPr>
              <w:pStyle w:val="10"/>
            </w:pPr>
            <w:r>
              <w:t>绩效指标描述</w:t>
            </w:r>
          </w:p>
        </w:tc>
        <w:tc>
          <w:tcPr>
            <w:tcW w:w="2268" w:type="dxa"/>
            <w:vAlign w:val="center"/>
          </w:tcPr>
          <w:p w14:paraId="1759D71A">
            <w:pPr>
              <w:pStyle w:val="10"/>
            </w:pPr>
            <w:r>
              <w:t>指标值</w:t>
            </w:r>
          </w:p>
        </w:tc>
        <w:tc>
          <w:tcPr>
            <w:tcW w:w="1276" w:type="dxa"/>
            <w:vAlign w:val="center"/>
          </w:tcPr>
          <w:p w14:paraId="6B95AA5F">
            <w:pPr>
              <w:pStyle w:val="10"/>
            </w:pPr>
            <w:r>
              <w:t>指标值确定依据</w:t>
            </w:r>
          </w:p>
        </w:tc>
      </w:tr>
      <w:tr w14:paraId="5EEC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17C6B">
            <w:pPr>
              <w:pStyle w:val="13"/>
            </w:pPr>
            <w:r>
              <w:t>产出指标</w:t>
            </w:r>
          </w:p>
        </w:tc>
        <w:tc>
          <w:tcPr>
            <w:tcW w:w="2268" w:type="dxa"/>
            <w:vAlign w:val="center"/>
          </w:tcPr>
          <w:p w14:paraId="4B902AEF">
            <w:pPr>
              <w:pStyle w:val="12"/>
            </w:pPr>
            <w:r>
              <w:t>数量指标</w:t>
            </w:r>
          </w:p>
        </w:tc>
        <w:tc>
          <w:tcPr>
            <w:tcW w:w="2835" w:type="dxa"/>
            <w:vAlign w:val="center"/>
          </w:tcPr>
          <w:p w14:paraId="01D2D53D">
            <w:pPr>
              <w:pStyle w:val="12"/>
            </w:pPr>
            <w:r>
              <w:t>适龄在园生</w:t>
            </w:r>
          </w:p>
        </w:tc>
        <w:tc>
          <w:tcPr>
            <w:tcW w:w="5386" w:type="dxa"/>
            <w:vAlign w:val="center"/>
          </w:tcPr>
          <w:p w14:paraId="2A5632AB">
            <w:pPr>
              <w:pStyle w:val="12"/>
            </w:pPr>
            <w:r>
              <w:t>适龄在园学生人数</w:t>
            </w:r>
          </w:p>
        </w:tc>
        <w:tc>
          <w:tcPr>
            <w:tcW w:w="2268" w:type="dxa"/>
            <w:vAlign w:val="center"/>
          </w:tcPr>
          <w:p w14:paraId="412D403A">
            <w:pPr>
              <w:pStyle w:val="12"/>
            </w:pPr>
            <w:r>
              <w:t>100%</w:t>
            </w:r>
          </w:p>
        </w:tc>
        <w:tc>
          <w:tcPr>
            <w:tcW w:w="1276" w:type="dxa"/>
            <w:vAlign w:val="center"/>
          </w:tcPr>
          <w:p w14:paraId="69A54E46">
            <w:pPr>
              <w:pStyle w:val="12"/>
            </w:pPr>
            <w:r>
              <w:t>支持学前教育发展资金管理方法</w:t>
            </w:r>
          </w:p>
        </w:tc>
      </w:tr>
      <w:tr w14:paraId="0EBC8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2C0C4"/>
        </w:tc>
        <w:tc>
          <w:tcPr>
            <w:tcW w:w="2268" w:type="dxa"/>
            <w:vAlign w:val="center"/>
          </w:tcPr>
          <w:p w14:paraId="339E2EF3">
            <w:pPr>
              <w:pStyle w:val="12"/>
            </w:pPr>
            <w:r>
              <w:t>质量指标</w:t>
            </w:r>
          </w:p>
        </w:tc>
        <w:tc>
          <w:tcPr>
            <w:tcW w:w="2835" w:type="dxa"/>
            <w:vAlign w:val="center"/>
          </w:tcPr>
          <w:p w14:paraId="3C60CF31">
            <w:pPr>
              <w:pStyle w:val="12"/>
            </w:pPr>
            <w:r>
              <w:t>公用经费使用率</w:t>
            </w:r>
          </w:p>
        </w:tc>
        <w:tc>
          <w:tcPr>
            <w:tcW w:w="5386" w:type="dxa"/>
            <w:vAlign w:val="center"/>
          </w:tcPr>
          <w:p w14:paraId="3F338337">
            <w:pPr>
              <w:pStyle w:val="12"/>
            </w:pPr>
            <w:r>
              <w:t>用于弥补经费不足，改善办学条件</w:t>
            </w:r>
          </w:p>
        </w:tc>
        <w:tc>
          <w:tcPr>
            <w:tcW w:w="2268" w:type="dxa"/>
            <w:vAlign w:val="center"/>
          </w:tcPr>
          <w:p w14:paraId="3EBC27C0">
            <w:pPr>
              <w:pStyle w:val="12"/>
            </w:pPr>
            <w:r>
              <w:t>100%</w:t>
            </w:r>
          </w:p>
        </w:tc>
        <w:tc>
          <w:tcPr>
            <w:tcW w:w="1276" w:type="dxa"/>
            <w:vAlign w:val="center"/>
          </w:tcPr>
          <w:p w14:paraId="385608CA">
            <w:pPr>
              <w:pStyle w:val="12"/>
            </w:pPr>
            <w:r>
              <w:t>支持学前教育发展资金管理方法</w:t>
            </w:r>
          </w:p>
        </w:tc>
      </w:tr>
      <w:tr w14:paraId="4B62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AE5A8"/>
        </w:tc>
        <w:tc>
          <w:tcPr>
            <w:tcW w:w="2268" w:type="dxa"/>
            <w:vAlign w:val="center"/>
          </w:tcPr>
          <w:p w14:paraId="0DA5AA95">
            <w:pPr>
              <w:pStyle w:val="12"/>
            </w:pPr>
            <w:r>
              <w:t>时效指标</w:t>
            </w:r>
          </w:p>
        </w:tc>
        <w:tc>
          <w:tcPr>
            <w:tcW w:w="2835" w:type="dxa"/>
            <w:vAlign w:val="center"/>
          </w:tcPr>
          <w:p w14:paraId="66589EE4">
            <w:pPr>
              <w:pStyle w:val="12"/>
            </w:pPr>
            <w:r>
              <w:t>资金支付率</w:t>
            </w:r>
          </w:p>
        </w:tc>
        <w:tc>
          <w:tcPr>
            <w:tcW w:w="5386" w:type="dxa"/>
            <w:vAlign w:val="center"/>
          </w:tcPr>
          <w:p w14:paraId="0669B9FC">
            <w:pPr>
              <w:pStyle w:val="12"/>
            </w:pPr>
            <w:r>
              <w:t>按照序时进度完成资金支付</w:t>
            </w:r>
          </w:p>
        </w:tc>
        <w:tc>
          <w:tcPr>
            <w:tcW w:w="2268" w:type="dxa"/>
            <w:vAlign w:val="center"/>
          </w:tcPr>
          <w:p w14:paraId="737F1382">
            <w:pPr>
              <w:pStyle w:val="12"/>
            </w:pPr>
            <w:r>
              <w:t>100%</w:t>
            </w:r>
          </w:p>
        </w:tc>
        <w:tc>
          <w:tcPr>
            <w:tcW w:w="1276" w:type="dxa"/>
            <w:vAlign w:val="center"/>
          </w:tcPr>
          <w:p w14:paraId="10BA974F">
            <w:pPr>
              <w:pStyle w:val="12"/>
            </w:pPr>
            <w:r>
              <w:t>支持学前教育发展资金管理方法</w:t>
            </w:r>
          </w:p>
        </w:tc>
      </w:tr>
      <w:tr w14:paraId="168E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489B7"/>
        </w:tc>
        <w:tc>
          <w:tcPr>
            <w:tcW w:w="2268" w:type="dxa"/>
            <w:vAlign w:val="center"/>
          </w:tcPr>
          <w:p w14:paraId="46758603">
            <w:pPr>
              <w:pStyle w:val="12"/>
            </w:pPr>
            <w:r>
              <w:t>成本指标</w:t>
            </w:r>
          </w:p>
        </w:tc>
        <w:tc>
          <w:tcPr>
            <w:tcW w:w="2835" w:type="dxa"/>
            <w:vAlign w:val="center"/>
          </w:tcPr>
          <w:p w14:paraId="22EDB94F">
            <w:pPr>
              <w:pStyle w:val="12"/>
            </w:pPr>
            <w:r>
              <w:t>生均拨款标准</w:t>
            </w:r>
          </w:p>
        </w:tc>
        <w:tc>
          <w:tcPr>
            <w:tcW w:w="5386" w:type="dxa"/>
            <w:vAlign w:val="center"/>
          </w:tcPr>
          <w:p w14:paraId="07231336">
            <w:pPr>
              <w:pStyle w:val="12"/>
            </w:pPr>
            <w:r>
              <w:t>根据各学校学前保育费标准进行补助</w:t>
            </w:r>
          </w:p>
        </w:tc>
        <w:tc>
          <w:tcPr>
            <w:tcW w:w="2268" w:type="dxa"/>
            <w:vAlign w:val="center"/>
          </w:tcPr>
          <w:p w14:paraId="41E17EB8">
            <w:pPr>
              <w:pStyle w:val="12"/>
            </w:pPr>
            <w:r>
              <w:t>479295元</w:t>
            </w:r>
          </w:p>
        </w:tc>
        <w:tc>
          <w:tcPr>
            <w:tcW w:w="1276" w:type="dxa"/>
            <w:vAlign w:val="center"/>
          </w:tcPr>
          <w:p w14:paraId="67C060D5">
            <w:pPr>
              <w:pStyle w:val="12"/>
            </w:pPr>
            <w:r>
              <w:t>支持学前教育发展资金管理方法</w:t>
            </w:r>
          </w:p>
        </w:tc>
      </w:tr>
      <w:tr w14:paraId="316D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D913B">
            <w:pPr>
              <w:pStyle w:val="13"/>
            </w:pPr>
            <w:r>
              <w:t>效益指标</w:t>
            </w:r>
          </w:p>
        </w:tc>
        <w:tc>
          <w:tcPr>
            <w:tcW w:w="2268" w:type="dxa"/>
            <w:vAlign w:val="center"/>
          </w:tcPr>
          <w:p w14:paraId="50DDAE9F">
            <w:pPr>
              <w:pStyle w:val="12"/>
            </w:pPr>
            <w:r>
              <w:t>可持续影响指标</w:t>
            </w:r>
          </w:p>
        </w:tc>
        <w:tc>
          <w:tcPr>
            <w:tcW w:w="2835" w:type="dxa"/>
            <w:vAlign w:val="center"/>
          </w:tcPr>
          <w:p w14:paraId="11684451">
            <w:pPr>
              <w:pStyle w:val="12"/>
            </w:pPr>
            <w:r>
              <w:t>学校运转得到提高</w:t>
            </w:r>
          </w:p>
        </w:tc>
        <w:tc>
          <w:tcPr>
            <w:tcW w:w="5386" w:type="dxa"/>
            <w:vAlign w:val="center"/>
          </w:tcPr>
          <w:p w14:paraId="77B2C08F">
            <w:pPr>
              <w:pStyle w:val="12"/>
            </w:pPr>
            <w:r>
              <w:t>学生受教育年限</w:t>
            </w:r>
          </w:p>
        </w:tc>
        <w:tc>
          <w:tcPr>
            <w:tcW w:w="2268" w:type="dxa"/>
            <w:vAlign w:val="center"/>
          </w:tcPr>
          <w:p w14:paraId="646212E9">
            <w:pPr>
              <w:pStyle w:val="12"/>
            </w:pPr>
            <w:r>
              <w:t>3年</w:t>
            </w:r>
          </w:p>
        </w:tc>
        <w:tc>
          <w:tcPr>
            <w:tcW w:w="1276" w:type="dxa"/>
            <w:vAlign w:val="center"/>
          </w:tcPr>
          <w:p w14:paraId="1D610967">
            <w:pPr>
              <w:pStyle w:val="12"/>
            </w:pPr>
            <w:r>
              <w:t>支持学前教育发展资金管理方法</w:t>
            </w:r>
          </w:p>
        </w:tc>
      </w:tr>
      <w:tr w14:paraId="5964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2D526">
            <w:pPr>
              <w:pStyle w:val="13"/>
            </w:pPr>
            <w:r>
              <w:t>满意度指标</w:t>
            </w:r>
          </w:p>
        </w:tc>
        <w:tc>
          <w:tcPr>
            <w:tcW w:w="2268" w:type="dxa"/>
            <w:vAlign w:val="center"/>
          </w:tcPr>
          <w:p w14:paraId="0BC2CC16">
            <w:pPr>
              <w:pStyle w:val="12"/>
            </w:pPr>
            <w:r>
              <w:t>服务对象满意度指标</w:t>
            </w:r>
          </w:p>
        </w:tc>
        <w:tc>
          <w:tcPr>
            <w:tcW w:w="2835" w:type="dxa"/>
            <w:vAlign w:val="center"/>
          </w:tcPr>
          <w:p w14:paraId="23D39B12">
            <w:pPr>
              <w:pStyle w:val="12"/>
            </w:pPr>
            <w:r>
              <w:t>受益学生家长及调查满意度</w:t>
            </w:r>
          </w:p>
        </w:tc>
        <w:tc>
          <w:tcPr>
            <w:tcW w:w="5386" w:type="dxa"/>
            <w:vAlign w:val="center"/>
          </w:tcPr>
          <w:p w14:paraId="66A087F8">
            <w:pPr>
              <w:pStyle w:val="12"/>
            </w:pPr>
            <w:r>
              <w:t>学生、教师及家长对学校保教保育工作满意度情况</w:t>
            </w:r>
          </w:p>
        </w:tc>
        <w:tc>
          <w:tcPr>
            <w:tcW w:w="2268" w:type="dxa"/>
            <w:vAlign w:val="center"/>
          </w:tcPr>
          <w:p w14:paraId="5D506304">
            <w:pPr>
              <w:pStyle w:val="12"/>
            </w:pPr>
            <w:r>
              <w:t>≥95%</w:t>
            </w:r>
          </w:p>
        </w:tc>
        <w:tc>
          <w:tcPr>
            <w:tcW w:w="1276" w:type="dxa"/>
            <w:vAlign w:val="center"/>
          </w:tcPr>
          <w:p w14:paraId="57A707CD">
            <w:pPr>
              <w:pStyle w:val="12"/>
            </w:pPr>
            <w:r>
              <w:t>支持学前教育发展资金管理方法</w:t>
            </w:r>
          </w:p>
        </w:tc>
      </w:tr>
    </w:tbl>
    <w:p w14:paraId="71806E6E">
      <w:pPr>
        <w:sectPr>
          <w:pgSz w:w="16840" w:h="11900" w:orient="landscape"/>
          <w:pgMar w:top="1361" w:right="1020" w:bottom="1134" w:left="1020" w:header="720" w:footer="720" w:gutter="0"/>
          <w:cols w:space="720" w:num="1"/>
        </w:sectPr>
      </w:pPr>
    </w:p>
    <w:p w14:paraId="7FB870DD">
      <w:pPr>
        <w:spacing w:before="0" w:after="0"/>
        <w:ind w:firstLine="560"/>
        <w:jc w:val="left"/>
        <w:outlineLvl w:val="9"/>
      </w:pPr>
      <w:r>
        <w:rPr>
          <w:rFonts w:ascii="方正仿宋_GBK" w:hAnsi="方正仿宋_GBK" w:eastAsia="方正仿宋_GBK" w:cs="方正仿宋_GBK"/>
          <w:b/>
          <w:color w:val="000000"/>
          <w:sz w:val="28"/>
        </w:rPr>
        <w:t>26、冀财教[2025]149号/省级/支持学前教育发展/柳行幼儿园活动室改造绩效目标表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55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797B2">
            <w:pPr>
              <w:pStyle w:val="11"/>
            </w:pPr>
            <w:r>
              <w:t>单位：万元</w:t>
            </w:r>
          </w:p>
        </w:tc>
      </w:tr>
      <w:tr w14:paraId="717AB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8F2B9">
            <w:pPr>
              <w:pStyle w:val="10"/>
            </w:pPr>
            <w:r>
              <w:t>项目编码</w:t>
            </w:r>
          </w:p>
        </w:tc>
        <w:tc>
          <w:tcPr>
            <w:tcW w:w="5103" w:type="dxa"/>
            <w:gridSpan w:val="2"/>
            <w:vAlign w:val="center"/>
          </w:tcPr>
          <w:p w14:paraId="1B96D7F4">
            <w:pPr>
              <w:pStyle w:val="12"/>
            </w:pPr>
            <w:r>
              <w:t>13052526P008769102069</w:t>
            </w:r>
          </w:p>
        </w:tc>
        <w:tc>
          <w:tcPr>
            <w:tcW w:w="2835" w:type="dxa"/>
            <w:vAlign w:val="center"/>
          </w:tcPr>
          <w:p w14:paraId="300E7903">
            <w:pPr>
              <w:pStyle w:val="10"/>
            </w:pPr>
            <w:r>
              <w:t>项目名称</w:t>
            </w:r>
          </w:p>
        </w:tc>
        <w:tc>
          <w:tcPr>
            <w:tcW w:w="6095" w:type="dxa"/>
            <w:gridSpan w:val="3"/>
            <w:vAlign w:val="center"/>
          </w:tcPr>
          <w:p w14:paraId="30FDF1D0">
            <w:pPr>
              <w:pStyle w:val="12"/>
            </w:pPr>
            <w:r>
              <w:t>冀财教[2025]149号/省级/支持学前教育发展/柳行幼儿园活动室改造</w:t>
            </w:r>
          </w:p>
        </w:tc>
      </w:tr>
      <w:tr w14:paraId="66555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33486">
            <w:pPr>
              <w:pStyle w:val="10"/>
            </w:pPr>
            <w:r>
              <w:t>预算规模及资金用途</w:t>
            </w:r>
          </w:p>
        </w:tc>
        <w:tc>
          <w:tcPr>
            <w:tcW w:w="2268" w:type="dxa"/>
            <w:vAlign w:val="center"/>
          </w:tcPr>
          <w:p w14:paraId="1D10C803">
            <w:pPr>
              <w:pStyle w:val="10"/>
            </w:pPr>
            <w:r>
              <w:t>预算数</w:t>
            </w:r>
          </w:p>
        </w:tc>
        <w:tc>
          <w:tcPr>
            <w:tcW w:w="2835" w:type="dxa"/>
            <w:vAlign w:val="center"/>
          </w:tcPr>
          <w:p w14:paraId="5A7A92A2">
            <w:pPr>
              <w:pStyle w:val="12"/>
            </w:pPr>
            <w:r>
              <w:t>5.00</w:t>
            </w:r>
          </w:p>
        </w:tc>
        <w:tc>
          <w:tcPr>
            <w:tcW w:w="2835" w:type="dxa"/>
            <w:vAlign w:val="center"/>
          </w:tcPr>
          <w:p w14:paraId="00717A91">
            <w:pPr>
              <w:pStyle w:val="10"/>
            </w:pPr>
            <w:r>
              <w:t>其中：财政    资金</w:t>
            </w:r>
          </w:p>
        </w:tc>
        <w:tc>
          <w:tcPr>
            <w:tcW w:w="2551" w:type="dxa"/>
            <w:vAlign w:val="center"/>
          </w:tcPr>
          <w:p w14:paraId="28B3B22A">
            <w:pPr>
              <w:pStyle w:val="12"/>
            </w:pPr>
            <w:r>
              <w:t>5.00</w:t>
            </w:r>
          </w:p>
        </w:tc>
        <w:tc>
          <w:tcPr>
            <w:tcW w:w="2268" w:type="dxa"/>
            <w:vAlign w:val="center"/>
          </w:tcPr>
          <w:p w14:paraId="49A7C785">
            <w:pPr>
              <w:pStyle w:val="10"/>
            </w:pPr>
            <w:r>
              <w:t>其他资金</w:t>
            </w:r>
          </w:p>
        </w:tc>
        <w:tc>
          <w:tcPr>
            <w:tcW w:w="1276" w:type="dxa"/>
            <w:vAlign w:val="center"/>
          </w:tcPr>
          <w:p w14:paraId="0EA745EF">
            <w:pPr>
              <w:pStyle w:val="12"/>
            </w:pPr>
            <w:r>
              <w:t xml:space="preserve"> </w:t>
            </w:r>
          </w:p>
        </w:tc>
      </w:tr>
      <w:tr w14:paraId="7D19E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DB777"/>
        </w:tc>
        <w:tc>
          <w:tcPr>
            <w:tcW w:w="14033" w:type="dxa"/>
            <w:gridSpan w:val="6"/>
            <w:vAlign w:val="center"/>
          </w:tcPr>
          <w:p w14:paraId="7F535C2C">
            <w:pPr>
              <w:pStyle w:val="12"/>
            </w:pPr>
            <w:r>
              <w:t>项目需资金5万元，资金拨付率达到100%，改善就学条件，提升学校形象，保障学前教育阶段教学安全，创造良好的校园环境。</w:t>
            </w:r>
          </w:p>
        </w:tc>
      </w:tr>
      <w:tr w14:paraId="3466B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349E6">
            <w:pPr>
              <w:pStyle w:val="10"/>
            </w:pPr>
            <w:r>
              <w:t>资金支出计划（%）</w:t>
            </w:r>
          </w:p>
        </w:tc>
        <w:tc>
          <w:tcPr>
            <w:tcW w:w="5103" w:type="dxa"/>
            <w:gridSpan w:val="2"/>
            <w:vAlign w:val="center"/>
          </w:tcPr>
          <w:p w14:paraId="38EF89D4">
            <w:pPr>
              <w:pStyle w:val="10"/>
            </w:pPr>
            <w:r>
              <w:t>3月底</w:t>
            </w:r>
          </w:p>
        </w:tc>
        <w:tc>
          <w:tcPr>
            <w:tcW w:w="2835" w:type="dxa"/>
            <w:vAlign w:val="center"/>
          </w:tcPr>
          <w:p w14:paraId="04C69A4E">
            <w:pPr>
              <w:pStyle w:val="10"/>
            </w:pPr>
            <w:r>
              <w:t>6月底</w:t>
            </w:r>
          </w:p>
        </w:tc>
        <w:tc>
          <w:tcPr>
            <w:tcW w:w="2551" w:type="dxa"/>
            <w:vAlign w:val="center"/>
          </w:tcPr>
          <w:p w14:paraId="6AB51B10">
            <w:pPr>
              <w:pStyle w:val="10"/>
            </w:pPr>
            <w:r>
              <w:t>10月底</w:t>
            </w:r>
          </w:p>
        </w:tc>
        <w:tc>
          <w:tcPr>
            <w:tcW w:w="3544" w:type="dxa"/>
            <w:gridSpan w:val="2"/>
            <w:vAlign w:val="center"/>
          </w:tcPr>
          <w:p w14:paraId="5A72EFF8">
            <w:pPr>
              <w:pStyle w:val="10"/>
            </w:pPr>
            <w:r>
              <w:t>12月底</w:t>
            </w:r>
          </w:p>
        </w:tc>
      </w:tr>
      <w:tr w14:paraId="31C98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636AB"/>
        </w:tc>
        <w:tc>
          <w:tcPr>
            <w:tcW w:w="5103" w:type="dxa"/>
            <w:gridSpan w:val="2"/>
            <w:vAlign w:val="center"/>
          </w:tcPr>
          <w:p w14:paraId="0735940C">
            <w:pPr>
              <w:pStyle w:val="13"/>
            </w:pPr>
            <w:r>
              <w:t xml:space="preserve"> </w:t>
            </w:r>
          </w:p>
        </w:tc>
        <w:tc>
          <w:tcPr>
            <w:tcW w:w="2835" w:type="dxa"/>
            <w:vAlign w:val="center"/>
          </w:tcPr>
          <w:p w14:paraId="56E8D81B">
            <w:pPr>
              <w:pStyle w:val="13"/>
            </w:pPr>
            <w:r>
              <w:t>50%</w:t>
            </w:r>
          </w:p>
        </w:tc>
        <w:tc>
          <w:tcPr>
            <w:tcW w:w="2551" w:type="dxa"/>
            <w:vAlign w:val="center"/>
          </w:tcPr>
          <w:p w14:paraId="504FA5CD">
            <w:pPr>
              <w:pStyle w:val="13"/>
            </w:pPr>
            <w:r>
              <w:t>100%</w:t>
            </w:r>
          </w:p>
        </w:tc>
        <w:tc>
          <w:tcPr>
            <w:tcW w:w="3544" w:type="dxa"/>
            <w:gridSpan w:val="2"/>
            <w:vAlign w:val="center"/>
          </w:tcPr>
          <w:p w14:paraId="0395A16C">
            <w:pPr>
              <w:pStyle w:val="13"/>
            </w:pPr>
            <w:r>
              <w:t>100%</w:t>
            </w:r>
          </w:p>
        </w:tc>
      </w:tr>
      <w:tr w14:paraId="6A56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6FC37">
            <w:pPr>
              <w:pStyle w:val="10"/>
            </w:pPr>
            <w:r>
              <w:t>绩效目标</w:t>
            </w:r>
          </w:p>
        </w:tc>
        <w:tc>
          <w:tcPr>
            <w:tcW w:w="14033" w:type="dxa"/>
            <w:gridSpan w:val="6"/>
            <w:vAlign w:val="center"/>
          </w:tcPr>
          <w:p w14:paraId="6CCB77C0">
            <w:pPr>
              <w:pStyle w:val="12"/>
            </w:pPr>
            <w:r>
              <w:t>1.项目需资金5万元，资金拨付率达到100%。</w:t>
            </w:r>
          </w:p>
          <w:p w14:paraId="17E8B240">
            <w:pPr>
              <w:pStyle w:val="12"/>
            </w:pPr>
            <w:r>
              <w:t>2.改善就学条件，提升学校形象，保障学前教育阶段教学安全，创造良好的校园环境。</w:t>
            </w:r>
          </w:p>
        </w:tc>
      </w:tr>
    </w:tbl>
    <w:p w14:paraId="7E4803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8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ABDA5">
            <w:pPr>
              <w:pStyle w:val="10"/>
            </w:pPr>
            <w:r>
              <w:t>一级指标</w:t>
            </w:r>
          </w:p>
        </w:tc>
        <w:tc>
          <w:tcPr>
            <w:tcW w:w="2268" w:type="dxa"/>
            <w:vAlign w:val="center"/>
          </w:tcPr>
          <w:p w14:paraId="5873FFDD">
            <w:pPr>
              <w:pStyle w:val="10"/>
            </w:pPr>
            <w:r>
              <w:t>二级指标</w:t>
            </w:r>
          </w:p>
        </w:tc>
        <w:tc>
          <w:tcPr>
            <w:tcW w:w="2835" w:type="dxa"/>
            <w:vAlign w:val="center"/>
          </w:tcPr>
          <w:p w14:paraId="4B510F73">
            <w:pPr>
              <w:pStyle w:val="10"/>
            </w:pPr>
            <w:r>
              <w:t>三级指标</w:t>
            </w:r>
          </w:p>
        </w:tc>
        <w:tc>
          <w:tcPr>
            <w:tcW w:w="5386" w:type="dxa"/>
            <w:vAlign w:val="center"/>
          </w:tcPr>
          <w:p w14:paraId="1C2BDDAB">
            <w:pPr>
              <w:pStyle w:val="10"/>
            </w:pPr>
            <w:r>
              <w:t>绩效指标描述</w:t>
            </w:r>
          </w:p>
        </w:tc>
        <w:tc>
          <w:tcPr>
            <w:tcW w:w="2268" w:type="dxa"/>
            <w:vAlign w:val="center"/>
          </w:tcPr>
          <w:p w14:paraId="565F2151">
            <w:pPr>
              <w:pStyle w:val="10"/>
            </w:pPr>
            <w:r>
              <w:t>指标值</w:t>
            </w:r>
          </w:p>
        </w:tc>
        <w:tc>
          <w:tcPr>
            <w:tcW w:w="1276" w:type="dxa"/>
            <w:vAlign w:val="center"/>
          </w:tcPr>
          <w:p w14:paraId="00F2FFB4">
            <w:pPr>
              <w:pStyle w:val="10"/>
            </w:pPr>
            <w:r>
              <w:t>指标值确定依据</w:t>
            </w:r>
          </w:p>
        </w:tc>
      </w:tr>
      <w:tr w14:paraId="7710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4C793">
            <w:pPr>
              <w:pStyle w:val="13"/>
            </w:pPr>
            <w:r>
              <w:t>产出指标</w:t>
            </w:r>
          </w:p>
        </w:tc>
        <w:tc>
          <w:tcPr>
            <w:tcW w:w="2268" w:type="dxa"/>
            <w:vAlign w:val="center"/>
          </w:tcPr>
          <w:p w14:paraId="12DA5DD4">
            <w:pPr>
              <w:pStyle w:val="12"/>
            </w:pPr>
            <w:r>
              <w:t>数量指标</w:t>
            </w:r>
          </w:p>
        </w:tc>
        <w:tc>
          <w:tcPr>
            <w:tcW w:w="2835" w:type="dxa"/>
            <w:vAlign w:val="center"/>
          </w:tcPr>
          <w:p w14:paraId="5F7BC8B7">
            <w:pPr>
              <w:pStyle w:val="12"/>
            </w:pPr>
            <w:r>
              <w:t>幼儿园活动室改造</w:t>
            </w:r>
          </w:p>
        </w:tc>
        <w:tc>
          <w:tcPr>
            <w:tcW w:w="5386" w:type="dxa"/>
            <w:vAlign w:val="center"/>
          </w:tcPr>
          <w:p w14:paraId="2525BFD8">
            <w:pPr>
              <w:pStyle w:val="12"/>
            </w:pPr>
            <w:r>
              <w:t>活动室内舞台维修等</w:t>
            </w:r>
          </w:p>
        </w:tc>
        <w:tc>
          <w:tcPr>
            <w:tcW w:w="2268" w:type="dxa"/>
            <w:vAlign w:val="center"/>
          </w:tcPr>
          <w:p w14:paraId="27CA24BD">
            <w:pPr>
              <w:pStyle w:val="12"/>
            </w:pPr>
            <w:r>
              <w:t>≥1项</w:t>
            </w:r>
          </w:p>
        </w:tc>
        <w:tc>
          <w:tcPr>
            <w:tcW w:w="1276" w:type="dxa"/>
            <w:vAlign w:val="center"/>
          </w:tcPr>
          <w:p w14:paraId="2E04F6C1">
            <w:pPr>
              <w:pStyle w:val="12"/>
            </w:pPr>
            <w:r>
              <w:t>项目规划</w:t>
            </w:r>
          </w:p>
        </w:tc>
      </w:tr>
      <w:tr w14:paraId="61120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C268D"/>
        </w:tc>
        <w:tc>
          <w:tcPr>
            <w:tcW w:w="2268" w:type="dxa"/>
            <w:vAlign w:val="center"/>
          </w:tcPr>
          <w:p w14:paraId="7CCEC5EB">
            <w:pPr>
              <w:pStyle w:val="12"/>
            </w:pPr>
            <w:r>
              <w:t>质量指标</w:t>
            </w:r>
          </w:p>
        </w:tc>
        <w:tc>
          <w:tcPr>
            <w:tcW w:w="2835" w:type="dxa"/>
            <w:vAlign w:val="center"/>
          </w:tcPr>
          <w:p w14:paraId="6B3115B0">
            <w:pPr>
              <w:pStyle w:val="12"/>
            </w:pPr>
            <w:r>
              <w:t>工程实施验收合格率</w:t>
            </w:r>
          </w:p>
        </w:tc>
        <w:tc>
          <w:tcPr>
            <w:tcW w:w="5386" w:type="dxa"/>
            <w:vAlign w:val="center"/>
          </w:tcPr>
          <w:p w14:paraId="4BDF1618">
            <w:pPr>
              <w:pStyle w:val="12"/>
            </w:pPr>
            <w:r>
              <w:t>申报程序的合规，项目实施及资金使用符合项目规划</w:t>
            </w:r>
          </w:p>
        </w:tc>
        <w:tc>
          <w:tcPr>
            <w:tcW w:w="2268" w:type="dxa"/>
            <w:vAlign w:val="center"/>
          </w:tcPr>
          <w:p w14:paraId="19C8D7F1">
            <w:pPr>
              <w:pStyle w:val="12"/>
            </w:pPr>
            <w:r>
              <w:t>100%</w:t>
            </w:r>
          </w:p>
        </w:tc>
        <w:tc>
          <w:tcPr>
            <w:tcW w:w="1276" w:type="dxa"/>
            <w:vAlign w:val="center"/>
          </w:tcPr>
          <w:p w14:paraId="7602B39D">
            <w:pPr>
              <w:pStyle w:val="12"/>
            </w:pPr>
            <w:r>
              <w:t>项目规划</w:t>
            </w:r>
          </w:p>
        </w:tc>
      </w:tr>
      <w:tr w14:paraId="3DC0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9C4E0"/>
        </w:tc>
        <w:tc>
          <w:tcPr>
            <w:tcW w:w="2268" w:type="dxa"/>
            <w:vAlign w:val="center"/>
          </w:tcPr>
          <w:p w14:paraId="1B007B25">
            <w:pPr>
              <w:pStyle w:val="12"/>
            </w:pPr>
            <w:r>
              <w:t>时效指标</w:t>
            </w:r>
          </w:p>
        </w:tc>
        <w:tc>
          <w:tcPr>
            <w:tcW w:w="2835" w:type="dxa"/>
            <w:vAlign w:val="center"/>
          </w:tcPr>
          <w:p w14:paraId="0567C1E6">
            <w:pPr>
              <w:pStyle w:val="12"/>
            </w:pPr>
            <w:r>
              <w:t>资金支付率</w:t>
            </w:r>
          </w:p>
        </w:tc>
        <w:tc>
          <w:tcPr>
            <w:tcW w:w="5386" w:type="dxa"/>
            <w:vAlign w:val="center"/>
          </w:tcPr>
          <w:p w14:paraId="3374E7E3">
            <w:pPr>
              <w:pStyle w:val="12"/>
            </w:pPr>
            <w:r>
              <w:t>按照序时进度完成资金支付</w:t>
            </w:r>
          </w:p>
        </w:tc>
        <w:tc>
          <w:tcPr>
            <w:tcW w:w="2268" w:type="dxa"/>
            <w:vAlign w:val="center"/>
          </w:tcPr>
          <w:p w14:paraId="298B4CE1">
            <w:pPr>
              <w:pStyle w:val="12"/>
            </w:pPr>
            <w:r>
              <w:t>100%</w:t>
            </w:r>
          </w:p>
        </w:tc>
        <w:tc>
          <w:tcPr>
            <w:tcW w:w="1276" w:type="dxa"/>
            <w:vAlign w:val="center"/>
          </w:tcPr>
          <w:p w14:paraId="25498C21">
            <w:pPr>
              <w:pStyle w:val="12"/>
            </w:pPr>
            <w:r>
              <w:t>项目规划</w:t>
            </w:r>
          </w:p>
        </w:tc>
      </w:tr>
      <w:tr w14:paraId="1929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A83F4"/>
        </w:tc>
        <w:tc>
          <w:tcPr>
            <w:tcW w:w="2268" w:type="dxa"/>
            <w:vAlign w:val="center"/>
          </w:tcPr>
          <w:p w14:paraId="174CD0A9">
            <w:pPr>
              <w:pStyle w:val="12"/>
            </w:pPr>
            <w:r>
              <w:t>成本指标</w:t>
            </w:r>
          </w:p>
        </w:tc>
        <w:tc>
          <w:tcPr>
            <w:tcW w:w="2835" w:type="dxa"/>
            <w:vAlign w:val="center"/>
          </w:tcPr>
          <w:p w14:paraId="1C77D176">
            <w:pPr>
              <w:pStyle w:val="12"/>
            </w:pPr>
            <w:r>
              <w:t>项目成本控制情况</w:t>
            </w:r>
          </w:p>
        </w:tc>
        <w:tc>
          <w:tcPr>
            <w:tcW w:w="5386" w:type="dxa"/>
            <w:vAlign w:val="center"/>
          </w:tcPr>
          <w:p w14:paraId="03DC6F9D">
            <w:pPr>
              <w:pStyle w:val="12"/>
            </w:pPr>
            <w:r>
              <w:t>严格按照招标价格及审计额进行</w:t>
            </w:r>
          </w:p>
        </w:tc>
        <w:tc>
          <w:tcPr>
            <w:tcW w:w="2268" w:type="dxa"/>
            <w:vAlign w:val="center"/>
          </w:tcPr>
          <w:p w14:paraId="446BADA5">
            <w:pPr>
              <w:pStyle w:val="12"/>
            </w:pPr>
            <w:r>
              <w:t>5万元</w:t>
            </w:r>
          </w:p>
        </w:tc>
        <w:tc>
          <w:tcPr>
            <w:tcW w:w="1276" w:type="dxa"/>
            <w:vAlign w:val="center"/>
          </w:tcPr>
          <w:p w14:paraId="0069E25A">
            <w:pPr>
              <w:pStyle w:val="12"/>
            </w:pPr>
            <w:r>
              <w:t>项目规划</w:t>
            </w:r>
          </w:p>
        </w:tc>
      </w:tr>
      <w:tr w14:paraId="28A4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B7926">
            <w:pPr>
              <w:pStyle w:val="13"/>
            </w:pPr>
            <w:r>
              <w:t>效益指标</w:t>
            </w:r>
          </w:p>
        </w:tc>
        <w:tc>
          <w:tcPr>
            <w:tcW w:w="2268" w:type="dxa"/>
            <w:vAlign w:val="center"/>
          </w:tcPr>
          <w:p w14:paraId="2C49AF3A">
            <w:pPr>
              <w:pStyle w:val="12"/>
            </w:pPr>
            <w:r>
              <w:t>社会效益指标</w:t>
            </w:r>
          </w:p>
        </w:tc>
        <w:tc>
          <w:tcPr>
            <w:tcW w:w="2835" w:type="dxa"/>
            <w:vAlign w:val="center"/>
          </w:tcPr>
          <w:p w14:paraId="4686DFB1">
            <w:pPr>
              <w:pStyle w:val="12"/>
            </w:pPr>
            <w:r>
              <w:t>学校办学环境提升</w:t>
            </w:r>
          </w:p>
        </w:tc>
        <w:tc>
          <w:tcPr>
            <w:tcW w:w="5386" w:type="dxa"/>
            <w:vAlign w:val="center"/>
          </w:tcPr>
          <w:p w14:paraId="796F1C58">
            <w:pPr>
              <w:pStyle w:val="12"/>
            </w:pPr>
            <w:r>
              <w:t>学校教学环境提升优化率</w:t>
            </w:r>
          </w:p>
        </w:tc>
        <w:tc>
          <w:tcPr>
            <w:tcW w:w="2268" w:type="dxa"/>
            <w:vAlign w:val="center"/>
          </w:tcPr>
          <w:p w14:paraId="17E750B6">
            <w:pPr>
              <w:pStyle w:val="12"/>
            </w:pPr>
            <w:r>
              <w:t>100%</w:t>
            </w:r>
          </w:p>
        </w:tc>
        <w:tc>
          <w:tcPr>
            <w:tcW w:w="1276" w:type="dxa"/>
            <w:vAlign w:val="center"/>
          </w:tcPr>
          <w:p w14:paraId="548C0BCC">
            <w:pPr>
              <w:pStyle w:val="12"/>
            </w:pPr>
            <w:r>
              <w:t>项目规划</w:t>
            </w:r>
          </w:p>
        </w:tc>
      </w:tr>
      <w:tr w14:paraId="5594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25516">
            <w:pPr>
              <w:pStyle w:val="13"/>
            </w:pPr>
            <w:r>
              <w:t>满意度指标</w:t>
            </w:r>
          </w:p>
        </w:tc>
        <w:tc>
          <w:tcPr>
            <w:tcW w:w="2268" w:type="dxa"/>
            <w:vAlign w:val="center"/>
          </w:tcPr>
          <w:p w14:paraId="182ED800">
            <w:pPr>
              <w:pStyle w:val="12"/>
            </w:pPr>
            <w:r>
              <w:t>服务对象满意度指标</w:t>
            </w:r>
          </w:p>
        </w:tc>
        <w:tc>
          <w:tcPr>
            <w:tcW w:w="2835" w:type="dxa"/>
            <w:vAlign w:val="center"/>
          </w:tcPr>
          <w:p w14:paraId="4F8CAAB3">
            <w:pPr>
              <w:pStyle w:val="12"/>
            </w:pPr>
            <w:r>
              <w:t>受益学生家长及调查满意度</w:t>
            </w:r>
          </w:p>
        </w:tc>
        <w:tc>
          <w:tcPr>
            <w:tcW w:w="5386" w:type="dxa"/>
            <w:vAlign w:val="center"/>
          </w:tcPr>
          <w:p w14:paraId="773C9FD5">
            <w:pPr>
              <w:pStyle w:val="12"/>
            </w:pPr>
            <w:r>
              <w:t>学生、教师及家长对学校教学环境满意度情况</w:t>
            </w:r>
          </w:p>
        </w:tc>
        <w:tc>
          <w:tcPr>
            <w:tcW w:w="2268" w:type="dxa"/>
            <w:vAlign w:val="center"/>
          </w:tcPr>
          <w:p w14:paraId="0A0386C2">
            <w:pPr>
              <w:pStyle w:val="12"/>
            </w:pPr>
            <w:r>
              <w:t>≥95%</w:t>
            </w:r>
          </w:p>
        </w:tc>
        <w:tc>
          <w:tcPr>
            <w:tcW w:w="1276" w:type="dxa"/>
            <w:vAlign w:val="center"/>
          </w:tcPr>
          <w:p w14:paraId="18C7F4DB">
            <w:pPr>
              <w:pStyle w:val="12"/>
            </w:pPr>
            <w:r>
              <w:t>项目规划</w:t>
            </w:r>
          </w:p>
        </w:tc>
      </w:tr>
    </w:tbl>
    <w:p w14:paraId="0ECAF62B">
      <w:pPr>
        <w:sectPr>
          <w:pgSz w:w="16840" w:h="11900" w:orient="landscape"/>
          <w:pgMar w:top="1361" w:right="1020" w:bottom="1134" w:left="1020" w:header="720" w:footer="720" w:gutter="0"/>
          <w:cols w:space="720" w:num="1"/>
        </w:sectPr>
      </w:pPr>
    </w:p>
    <w:p w14:paraId="38F23074">
      <w:pPr>
        <w:spacing w:before="0" w:after="0"/>
        <w:ind w:firstLine="560"/>
        <w:jc w:val="left"/>
        <w:outlineLvl w:val="9"/>
      </w:pPr>
      <w:r>
        <w:rPr>
          <w:rFonts w:ascii="方正仿宋_GBK" w:hAnsi="方正仿宋_GBK" w:eastAsia="方正仿宋_GBK" w:cs="方正仿宋_GBK"/>
          <w:b/>
          <w:color w:val="000000"/>
          <w:sz w:val="28"/>
        </w:rPr>
        <w:t>27、冀财教[2025]149号/省级/支持学前教育发展/柳行幼儿园活动室设备购置绩效目标表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CD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64CA2">
            <w:pPr>
              <w:pStyle w:val="11"/>
            </w:pPr>
            <w:r>
              <w:t>单位：万元</w:t>
            </w:r>
          </w:p>
        </w:tc>
      </w:tr>
      <w:tr w14:paraId="6D764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27C90">
            <w:pPr>
              <w:pStyle w:val="10"/>
            </w:pPr>
            <w:r>
              <w:t>项目编码</w:t>
            </w:r>
          </w:p>
        </w:tc>
        <w:tc>
          <w:tcPr>
            <w:tcW w:w="5103" w:type="dxa"/>
            <w:gridSpan w:val="2"/>
            <w:vAlign w:val="center"/>
          </w:tcPr>
          <w:p w14:paraId="1DC20312">
            <w:pPr>
              <w:pStyle w:val="12"/>
            </w:pPr>
            <w:r>
              <w:t>13052526P008769102094</w:t>
            </w:r>
          </w:p>
        </w:tc>
        <w:tc>
          <w:tcPr>
            <w:tcW w:w="2835" w:type="dxa"/>
            <w:vAlign w:val="center"/>
          </w:tcPr>
          <w:p w14:paraId="6F1DF99F">
            <w:pPr>
              <w:pStyle w:val="10"/>
            </w:pPr>
            <w:r>
              <w:t>项目名称</w:t>
            </w:r>
          </w:p>
        </w:tc>
        <w:tc>
          <w:tcPr>
            <w:tcW w:w="6095" w:type="dxa"/>
            <w:gridSpan w:val="3"/>
            <w:vAlign w:val="center"/>
          </w:tcPr>
          <w:p w14:paraId="1AE09CB3">
            <w:pPr>
              <w:pStyle w:val="12"/>
            </w:pPr>
            <w:r>
              <w:t>冀财教[2025]149号/省级/支持学前教育发展/柳行幼儿园活动室设备购置</w:t>
            </w:r>
          </w:p>
        </w:tc>
      </w:tr>
      <w:tr w14:paraId="76D68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40A91">
            <w:pPr>
              <w:pStyle w:val="10"/>
            </w:pPr>
            <w:r>
              <w:t>预算规模及资金用途</w:t>
            </w:r>
          </w:p>
        </w:tc>
        <w:tc>
          <w:tcPr>
            <w:tcW w:w="2268" w:type="dxa"/>
            <w:vAlign w:val="center"/>
          </w:tcPr>
          <w:p w14:paraId="579A016E">
            <w:pPr>
              <w:pStyle w:val="10"/>
            </w:pPr>
            <w:r>
              <w:t>预算数</w:t>
            </w:r>
          </w:p>
        </w:tc>
        <w:tc>
          <w:tcPr>
            <w:tcW w:w="2835" w:type="dxa"/>
            <w:vAlign w:val="center"/>
          </w:tcPr>
          <w:p w14:paraId="0B7C590A">
            <w:pPr>
              <w:pStyle w:val="12"/>
            </w:pPr>
            <w:r>
              <w:t>28.00</w:t>
            </w:r>
          </w:p>
        </w:tc>
        <w:tc>
          <w:tcPr>
            <w:tcW w:w="2835" w:type="dxa"/>
            <w:vAlign w:val="center"/>
          </w:tcPr>
          <w:p w14:paraId="7CD9260F">
            <w:pPr>
              <w:pStyle w:val="10"/>
            </w:pPr>
            <w:r>
              <w:t>其中：财政    资金</w:t>
            </w:r>
          </w:p>
        </w:tc>
        <w:tc>
          <w:tcPr>
            <w:tcW w:w="2551" w:type="dxa"/>
            <w:vAlign w:val="center"/>
          </w:tcPr>
          <w:p w14:paraId="209C5988">
            <w:pPr>
              <w:pStyle w:val="12"/>
            </w:pPr>
            <w:r>
              <w:t>28.00</w:t>
            </w:r>
          </w:p>
        </w:tc>
        <w:tc>
          <w:tcPr>
            <w:tcW w:w="2268" w:type="dxa"/>
            <w:vAlign w:val="center"/>
          </w:tcPr>
          <w:p w14:paraId="7C3EE544">
            <w:pPr>
              <w:pStyle w:val="10"/>
            </w:pPr>
            <w:r>
              <w:t>其他资金</w:t>
            </w:r>
          </w:p>
        </w:tc>
        <w:tc>
          <w:tcPr>
            <w:tcW w:w="1276" w:type="dxa"/>
            <w:vAlign w:val="center"/>
          </w:tcPr>
          <w:p w14:paraId="258E6A14">
            <w:pPr>
              <w:pStyle w:val="12"/>
            </w:pPr>
            <w:r>
              <w:t xml:space="preserve"> </w:t>
            </w:r>
          </w:p>
        </w:tc>
      </w:tr>
      <w:tr w14:paraId="78DE6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81168"/>
        </w:tc>
        <w:tc>
          <w:tcPr>
            <w:tcW w:w="14033" w:type="dxa"/>
            <w:gridSpan w:val="6"/>
            <w:vAlign w:val="center"/>
          </w:tcPr>
          <w:p w14:paraId="068F9D51">
            <w:pPr>
              <w:pStyle w:val="12"/>
            </w:pPr>
            <w:r>
              <w:t>保障幼儿园正常运转，完成教育教学活动和其他日常工作任务等方面的费用支出。</w:t>
            </w:r>
          </w:p>
        </w:tc>
      </w:tr>
      <w:tr w14:paraId="255E4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672B9">
            <w:pPr>
              <w:pStyle w:val="10"/>
            </w:pPr>
            <w:r>
              <w:t>资金支出计划（%）</w:t>
            </w:r>
          </w:p>
        </w:tc>
        <w:tc>
          <w:tcPr>
            <w:tcW w:w="5103" w:type="dxa"/>
            <w:gridSpan w:val="2"/>
            <w:vAlign w:val="center"/>
          </w:tcPr>
          <w:p w14:paraId="19033370">
            <w:pPr>
              <w:pStyle w:val="10"/>
            </w:pPr>
            <w:r>
              <w:t>3月底</w:t>
            </w:r>
          </w:p>
        </w:tc>
        <w:tc>
          <w:tcPr>
            <w:tcW w:w="2835" w:type="dxa"/>
            <w:vAlign w:val="center"/>
          </w:tcPr>
          <w:p w14:paraId="639A3672">
            <w:pPr>
              <w:pStyle w:val="10"/>
            </w:pPr>
            <w:r>
              <w:t>6月底</w:t>
            </w:r>
          </w:p>
        </w:tc>
        <w:tc>
          <w:tcPr>
            <w:tcW w:w="2551" w:type="dxa"/>
            <w:vAlign w:val="center"/>
          </w:tcPr>
          <w:p w14:paraId="4725561B">
            <w:pPr>
              <w:pStyle w:val="10"/>
            </w:pPr>
            <w:r>
              <w:t>10月底</w:t>
            </w:r>
          </w:p>
        </w:tc>
        <w:tc>
          <w:tcPr>
            <w:tcW w:w="3544" w:type="dxa"/>
            <w:gridSpan w:val="2"/>
            <w:vAlign w:val="center"/>
          </w:tcPr>
          <w:p w14:paraId="59DC002F">
            <w:pPr>
              <w:pStyle w:val="10"/>
            </w:pPr>
            <w:r>
              <w:t>12月底</w:t>
            </w:r>
          </w:p>
        </w:tc>
      </w:tr>
      <w:tr w14:paraId="616BB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242DA"/>
        </w:tc>
        <w:tc>
          <w:tcPr>
            <w:tcW w:w="5103" w:type="dxa"/>
            <w:gridSpan w:val="2"/>
            <w:vAlign w:val="center"/>
          </w:tcPr>
          <w:p w14:paraId="08F0BA9B">
            <w:pPr>
              <w:pStyle w:val="13"/>
            </w:pPr>
            <w:r>
              <w:t xml:space="preserve"> </w:t>
            </w:r>
          </w:p>
        </w:tc>
        <w:tc>
          <w:tcPr>
            <w:tcW w:w="2835" w:type="dxa"/>
            <w:vAlign w:val="center"/>
          </w:tcPr>
          <w:p w14:paraId="2D084CE7">
            <w:pPr>
              <w:pStyle w:val="13"/>
            </w:pPr>
            <w:r>
              <w:t>50%</w:t>
            </w:r>
          </w:p>
        </w:tc>
        <w:tc>
          <w:tcPr>
            <w:tcW w:w="2551" w:type="dxa"/>
            <w:vAlign w:val="center"/>
          </w:tcPr>
          <w:p w14:paraId="519A7C0C">
            <w:pPr>
              <w:pStyle w:val="13"/>
            </w:pPr>
            <w:r>
              <w:t>100%</w:t>
            </w:r>
          </w:p>
        </w:tc>
        <w:tc>
          <w:tcPr>
            <w:tcW w:w="3544" w:type="dxa"/>
            <w:gridSpan w:val="2"/>
            <w:vAlign w:val="center"/>
          </w:tcPr>
          <w:p w14:paraId="4A1B2291">
            <w:pPr>
              <w:pStyle w:val="13"/>
            </w:pPr>
            <w:r>
              <w:t>100%</w:t>
            </w:r>
          </w:p>
        </w:tc>
      </w:tr>
      <w:tr w14:paraId="3E63C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A64BC">
            <w:pPr>
              <w:pStyle w:val="10"/>
            </w:pPr>
            <w:r>
              <w:t>绩效目标</w:t>
            </w:r>
          </w:p>
        </w:tc>
        <w:tc>
          <w:tcPr>
            <w:tcW w:w="14033" w:type="dxa"/>
            <w:gridSpan w:val="6"/>
            <w:vAlign w:val="center"/>
          </w:tcPr>
          <w:p w14:paraId="4EB94179">
            <w:pPr>
              <w:pStyle w:val="12"/>
            </w:pPr>
            <w:r>
              <w:t>1.保障幼儿园正常运转，完成教育教学活动和其他日常工作任务等方面的费用支出。</w:t>
            </w:r>
          </w:p>
          <w:p w14:paraId="168E6518">
            <w:pPr>
              <w:pStyle w:val="12"/>
            </w:pPr>
            <w:r>
              <w:t>2.按季度分批次拨付公用经费资金，资金拨付率达到100%。</w:t>
            </w:r>
          </w:p>
        </w:tc>
      </w:tr>
    </w:tbl>
    <w:p w14:paraId="417ED2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C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ADC87">
            <w:pPr>
              <w:pStyle w:val="10"/>
            </w:pPr>
            <w:r>
              <w:t>一级指标</w:t>
            </w:r>
          </w:p>
        </w:tc>
        <w:tc>
          <w:tcPr>
            <w:tcW w:w="2268" w:type="dxa"/>
            <w:vAlign w:val="center"/>
          </w:tcPr>
          <w:p w14:paraId="5B0D4AFE">
            <w:pPr>
              <w:pStyle w:val="10"/>
            </w:pPr>
            <w:r>
              <w:t>二级指标</w:t>
            </w:r>
          </w:p>
        </w:tc>
        <w:tc>
          <w:tcPr>
            <w:tcW w:w="2835" w:type="dxa"/>
            <w:vAlign w:val="center"/>
          </w:tcPr>
          <w:p w14:paraId="4CE7033F">
            <w:pPr>
              <w:pStyle w:val="10"/>
            </w:pPr>
            <w:r>
              <w:t>三级指标</w:t>
            </w:r>
          </w:p>
        </w:tc>
        <w:tc>
          <w:tcPr>
            <w:tcW w:w="5386" w:type="dxa"/>
            <w:vAlign w:val="center"/>
          </w:tcPr>
          <w:p w14:paraId="25ABBBB2">
            <w:pPr>
              <w:pStyle w:val="10"/>
            </w:pPr>
            <w:r>
              <w:t>绩效指标描述</w:t>
            </w:r>
          </w:p>
        </w:tc>
        <w:tc>
          <w:tcPr>
            <w:tcW w:w="2268" w:type="dxa"/>
            <w:vAlign w:val="center"/>
          </w:tcPr>
          <w:p w14:paraId="1DA6A325">
            <w:pPr>
              <w:pStyle w:val="10"/>
            </w:pPr>
            <w:r>
              <w:t>指标值</w:t>
            </w:r>
          </w:p>
        </w:tc>
        <w:tc>
          <w:tcPr>
            <w:tcW w:w="1276" w:type="dxa"/>
            <w:vAlign w:val="center"/>
          </w:tcPr>
          <w:p w14:paraId="08597F59">
            <w:pPr>
              <w:pStyle w:val="10"/>
            </w:pPr>
            <w:r>
              <w:t>指标值确定依据</w:t>
            </w:r>
          </w:p>
        </w:tc>
      </w:tr>
      <w:tr w14:paraId="32F8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1F91E">
            <w:pPr>
              <w:pStyle w:val="13"/>
            </w:pPr>
            <w:r>
              <w:t>产出指标</w:t>
            </w:r>
          </w:p>
        </w:tc>
        <w:tc>
          <w:tcPr>
            <w:tcW w:w="2268" w:type="dxa"/>
            <w:vAlign w:val="center"/>
          </w:tcPr>
          <w:p w14:paraId="51B4FC75">
            <w:pPr>
              <w:pStyle w:val="12"/>
            </w:pPr>
            <w:r>
              <w:t>数量指标</w:t>
            </w:r>
          </w:p>
        </w:tc>
        <w:tc>
          <w:tcPr>
            <w:tcW w:w="2835" w:type="dxa"/>
            <w:vAlign w:val="center"/>
          </w:tcPr>
          <w:p w14:paraId="5CBFBCF9">
            <w:pPr>
              <w:pStyle w:val="12"/>
            </w:pPr>
            <w:r>
              <w:t>购置活动室设备</w:t>
            </w:r>
          </w:p>
        </w:tc>
        <w:tc>
          <w:tcPr>
            <w:tcW w:w="5386" w:type="dxa"/>
            <w:vAlign w:val="center"/>
          </w:tcPr>
          <w:p w14:paraId="2DC22C68">
            <w:pPr>
              <w:pStyle w:val="12"/>
            </w:pPr>
            <w:r>
              <w:t>智慧校园管理平台、智能卡系统等专用设备购置</w:t>
            </w:r>
          </w:p>
        </w:tc>
        <w:tc>
          <w:tcPr>
            <w:tcW w:w="2268" w:type="dxa"/>
            <w:vAlign w:val="center"/>
          </w:tcPr>
          <w:p w14:paraId="6644C829">
            <w:pPr>
              <w:pStyle w:val="12"/>
            </w:pPr>
            <w:r>
              <w:t>≥1项</w:t>
            </w:r>
          </w:p>
        </w:tc>
        <w:tc>
          <w:tcPr>
            <w:tcW w:w="1276" w:type="dxa"/>
            <w:vAlign w:val="center"/>
          </w:tcPr>
          <w:p w14:paraId="498F05ED">
            <w:pPr>
              <w:pStyle w:val="12"/>
            </w:pPr>
            <w:r>
              <w:t>项目规划</w:t>
            </w:r>
          </w:p>
        </w:tc>
      </w:tr>
      <w:tr w14:paraId="04FD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B8ECB"/>
        </w:tc>
        <w:tc>
          <w:tcPr>
            <w:tcW w:w="2268" w:type="dxa"/>
            <w:vAlign w:val="center"/>
          </w:tcPr>
          <w:p w14:paraId="7FB0863D">
            <w:pPr>
              <w:pStyle w:val="12"/>
            </w:pPr>
            <w:r>
              <w:t>质量指标</w:t>
            </w:r>
          </w:p>
        </w:tc>
        <w:tc>
          <w:tcPr>
            <w:tcW w:w="2835" w:type="dxa"/>
            <w:vAlign w:val="center"/>
          </w:tcPr>
          <w:p w14:paraId="1E142506">
            <w:pPr>
              <w:pStyle w:val="12"/>
            </w:pPr>
            <w:r>
              <w:t>购置项目质量合格率</w:t>
            </w:r>
          </w:p>
        </w:tc>
        <w:tc>
          <w:tcPr>
            <w:tcW w:w="5386" w:type="dxa"/>
            <w:vAlign w:val="center"/>
          </w:tcPr>
          <w:p w14:paraId="0EC1782F">
            <w:pPr>
              <w:pStyle w:val="12"/>
            </w:pPr>
            <w:r>
              <w:t>专用设备购置质量合格率</w:t>
            </w:r>
          </w:p>
        </w:tc>
        <w:tc>
          <w:tcPr>
            <w:tcW w:w="2268" w:type="dxa"/>
            <w:vAlign w:val="center"/>
          </w:tcPr>
          <w:p w14:paraId="13A44286">
            <w:pPr>
              <w:pStyle w:val="12"/>
            </w:pPr>
            <w:r>
              <w:t>100%</w:t>
            </w:r>
          </w:p>
        </w:tc>
        <w:tc>
          <w:tcPr>
            <w:tcW w:w="1276" w:type="dxa"/>
            <w:vAlign w:val="center"/>
          </w:tcPr>
          <w:p w14:paraId="14F59226">
            <w:pPr>
              <w:pStyle w:val="12"/>
            </w:pPr>
            <w:r>
              <w:t>项目规划</w:t>
            </w:r>
          </w:p>
        </w:tc>
      </w:tr>
      <w:tr w14:paraId="522D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0D4E2"/>
        </w:tc>
        <w:tc>
          <w:tcPr>
            <w:tcW w:w="2268" w:type="dxa"/>
            <w:vAlign w:val="center"/>
          </w:tcPr>
          <w:p w14:paraId="0907C296">
            <w:pPr>
              <w:pStyle w:val="12"/>
            </w:pPr>
            <w:r>
              <w:t>时效指标</w:t>
            </w:r>
          </w:p>
        </w:tc>
        <w:tc>
          <w:tcPr>
            <w:tcW w:w="2835" w:type="dxa"/>
            <w:vAlign w:val="center"/>
          </w:tcPr>
          <w:p w14:paraId="73D534B2">
            <w:pPr>
              <w:pStyle w:val="12"/>
            </w:pPr>
            <w:r>
              <w:t>按时完成率</w:t>
            </w:r>
          </w:p>
        </w:tc>
        <w:tc>
          <w:tcPr>
            <w:tcW w:w="5386" w:type="dxa"/>
            <w:vAlign w:val="center"/>
          </w:tcPr>
          <w:p w14:paraId="72290C75">
            <w:pPr>
              <w:pStyle w:val="12"/>
            </w:pPr>
            <w:r>
              <w:t>购置项目按时序进度完成比例</w:t>
            </w:r>
          </w:p>
        </w:tc>
        <w:tc>
          <w:tcPr>
            <w:tcW w:w="2268" w:type="dxa"/>
            <w:vAlign w:val="center"/>
          </w:tcPr>
          <w:p w14:paraId="61E60D15">
            <w:pPr>
              <w:pStyle w:val="12"/>
            </w:pPr>
            <w:r>
              <w:t>100%</w:t>
            </w:r>
          </w:p>
        </w:tc>
        <w:tc>
          <w:tcPr>
            <w:tcW w:w="1276" w:type="dxa"/>
            <w:vAlign w:val="center"/>
          </w:tcPr>
          <w:p w14:paraId="7AF26232">
            <w:pPr>
              <w:pStyle w:val="12"/>
            </w:pPr>
            <w:r>
              <w:t>项目规划</w:t>
            </w:r>
          </w:p>
        </w:tc>
      </w:tr>
      <w:tr w14:paraId="1751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F22E1"/>
        </w:tc>
        <w:tc>
          <w:tcPr>
            <w:tcW w:w="2268" w:type="dxa"/>
            <w:vAlign w:val="center"/>
          </w:tcPr>
          <w:p w14:paraId="1F0B9DF1">
            <w:pPr>
              <w:pStyle w:val="12"/>
            </w:pPr>
            <w:r>
              <w:t>成本指标</w:t>
            </w:r>
          </w:p>
        </w:tc>
        <w:tc>
          <w:tcPr>
            <w:tcW w:w="2835" w:type="dxa"/>
            <w:vAlign w:val="center"/>
          </w:tcPr>
          <w:p w14:paraId="2C9318D1">
            <w:pPr>
              <w:pStyle w:val="12"/>
            </w:pPr>
            <w:r>
              <w:t>系统安装成本</w:t>
            </w:r>
          </w:p>
        </w:tc>
        <w:tc>
          <w:tcPr>
            <w:tcW w:w="5386" w:type="dxa"/>
            <w:vAlign w:val="center"/>
          </w:tcPr>
          <w:p w14:paraId="4153BA1C">
            <w:pPr>
              <w:pStyle w:val="12"/>
            </w:pPr>
            <w:r>
              <w:t>专用设备购置安装成本</w:t>
            </w:r>
          </w:p>
        </w:tc>
        <w:tc>
          <w:tcPr>
            <w:tcW w:w="2268" w:type="dxa"/>
            <w:vAlign w:val="center"/>
          </w:tcPr>
          <w:p w14:paraId="0C4A8B8C">
            <w:pPr>
              <w:pStyle w:val="12"/>
            </w:pPr>
            <w:r>
              <w:t>28万元</w:t>
            </w:r>
          </w:p>
        </w:tc>
        <w:tc>
          <w:tcPr>
            <w:tcW w:w="1276" w:type="dxa"/>
            <w:vAlign w:val="center"/>
          </w:tcPr>
          <w:p w14:paraId="453F46CC">
            <w:pPr>
              <w:pStyle w:val="12"/>
            </w:pPr>
            <w:r>
              <w:t>项目规划</w:t>
            </w:r>
          </w:p>
        </w:tc>
      </w:tr>
      <w:tr w14:paraId="1166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F4255">
            <w:pPr>
              <w:pStyle w:val="13"/>
            </w:pPr>
            <w:r>
              <w:t>效益指标</w:t>
            </w:r>
          </w:p>
        </w:tc>
        <w:tc>
          <w:tcPr>
            <w:tcW w:w="2268" w:type="dxa"/>
            <w:vAlign w:val="center"/>
          </w:tcPr>
          <w:p w14:paraId="12F507C4">
            <w:pPr>
              <w:pStyle w:val="12"/>
            </w:pPr>
            <w:r>
              <w:t>社会效益指标</w:t>
            </w:r>
          </w:p>
        </w:tc>
        <w:tc>
          <w:tcPr>
            <w:tcW w:w="2835" w:type="dxa"/>
            <w:vAlign w:val="center"/>
          </w:tcPr>
          <w:p w14:paraId="7A950EC4">
            <w:pPr>
              <w:pStyle w:val="12"/>
            </w:pPr>
            <w:r>
              <w:t>学校运转得到提高</w:t>
            </w:r>
          </w:p>
        </w:tc>
        <w:tc>
          <w:tcPr>
            <w:tcW w:w="5386" w:type="dxa"/>
            <w:vAlign w:val="center"/>
          </w:tcPr>
          <w:p w14:paraId="66A94350">
            <w:pPr>
              <w:pStyle w:val="12"/>
            </w:pPr>
            <w:r>
              <w:t>学生受教育年限</w:t>
            </w:r>
          </w:p>
        </w:tc>
        <w:tc>
          <w:tcPr>
            <w:tcW w:w="2268" w:type="dxa"/>
            <w:vAlign w:val="center"/>
          </w:tcPr>
          <w:p w14:paraId="5768ECC8">
            <w:pPr>
              <w:pStyle w:val="12"/>
            </w:pPr>
            <w:r>
              <w:t>3年</w:t>
            </w:r>
          </w:p>
        </w:tc>
        <w:tc>
          <w:tcPr>
            <w:tcW w:w="1276" w:type="dxa"/>
            <w:vAlign w:val="center"/>
          </w:tcPr>
          <w:p w14:paraId="3DC3F344">
            <w:pPr>
              <w:pStyle w:val="12"/>
            </w:pPr>
            <w:r>
              <w:t>项目规划</w:t>
            </w:r>
          </w:p>
        </w:tc>
      </w:tr>
      <w:tr w14:paraId="3472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D6A2F">
            <w:pPr>
              <w:pStyle w:val="13"/>
            </w:pPr>
            <w:r>
              <w:t>满意度指标</w:t>
            </w:r>
          </w:p>
        </w:tc>
        <w:tc>
          <w:tcPr>
            <w:tcW w:w="2268" w:type="dxa"/>
            <w:vAlign w:val="center"/>
          </w:tcPr>
          <w:p w14:paraId="4AB37A54">
            <w:pPr>
              <w:pStyle w:val="12"/>
            </w:pPr>
            <w:r>
              <w:t>服务对象满意度指标</w:t>
            </w:r>
          </w:p>
        </w:tc>
        <w:tc>
          <w:tcPr>
            <w:tcW w:w="2835" w:type="dxa"/>
            <w:vAlign w:val="center"/>
          </w:tcPr>
          <w:p w14:paraId="1516B41F">
            <w:pPr>
              <w:pStyle w:val="12"/>
            </w:pPr>
            <w:r>
              <w:t>学生和学生家长满意度</w:t>
            </w:r>
          </w:p>
        </w:tc>
        <w:tc>
          <w:tcPr>
            <w:tcW w:w="5386" w:type="dxa"/>
            <w:vAlign w:val="center"/>
          </w:tcPr>
          <w:p w14:paraId="5375645C">
            <w:pPr>
              <w:pStyle w:val="12"/>
            </w:pPr>
            <w:r>
              <w:t>大幅提高学生和学生家长满意度</w:t>
            </w:r>
          </w:p>
        </w:tc>
        <w:tc>
          <w:tcPr>
            <w:tcW w:w="2268" w:type="dxa"/>
            <w:vAlign w:val="center"/>
          </w:tcPr>
          <w:p w14:paraId="5BF865F8">
            <w:pPr>
              <w:pStyle w:val="12"/>
            </w:pPr>
            <w:r>
              <w:t>≥95%</w:t>
            </w:r>
          </w:p>
        </w:tc>
        <w:tc>
          <w:tcPr>
            <w:tcW w:w="1276" w:type="dxa"/>
            <w:vAlign w:val="center"/>
          </w:tcPr>
          <w:p w14:paraId="24EC2A03">
            <w:pPr>
              <w:pStyle w:val="12"/>
            </w:pPr>
            <w:r>
              <w:t>项目规划</w:t>
            </w:r>
          </w:p>
        </w:tc>
      </w:tr>
    </w:tbl>
    <w:p w14:paraId="6FD2E4A5">
      <w:pPr>
        <w:sectPr>
          <w:pgSz w:w="16840" w:h="11900" w:orient="landscape"/>
          <w:pgMar w:top="1361" w:right="1020" w:bottom="1134" w:left="1020" w:header="720" w:footer="720" w:gutter="0"/>
          <w:cols w:space="720" w:num="1"/>
        </w:sectPr>
      </w:pPr>
    </w:p>
    <w:p w14:paraId="70180333">
      <w:pPr>
        <w:spacing w:before="0" w:after="0"/>
        <w:ind w:firstLine="560"/>
        <w:jc w:val="left"/>
        <w:outlineLvl w:val="9"/>
      </w:pPr>
      <w:r>
        <w:rPr>
          <w:rFonts w:ascii="方正仿宋_GBK" w:hAnsi="方正仿宋_GBK" w:eastAsia="方正仿宋_GBK" w:cs="方正仿宋_GBK"/>
          <w:b/>
          <w:color w:val="000000"/>
          <w:sz w:val="28"/>
        </w:rPr>
        <w:t>28、隆尧县城关校区唐尧街小学附属幼儿园建设项目绩效目标表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83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60E66">
            <w:pPr>
              <w:pStyle w:val="11"/>
            </w:pPr>
            <w:r>
              <w:t>单位：万元</w:t>
            </w:r>
          </w:p>
        </w:tc>
      </w:tr>
      <w:tr w14:paraId="7983E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5761B">
            <w:pPr>
              <w:pStyle w:val="10"/>
            </w:pPr>
            <w:r>
              <w:t>项目编码</w:t>
            </w:r>
          </w:p>
        </w:tc>
        <w:tc>
          <w:tcPr>
            <w:tcW w:w="5103" w:type="dxa"/>
            <w:gridSpan w:val="2"/>
            <w:vAlign w:val="center"/>
          </w:tcPr>
          <w:p w14:paraId="5B01F8E0">
            <w:pPr>
              <w:pStyle w:val="12"/>
            </w:pPr>
            <w:r>
              <w:t>13052526P000002102457</w:t>
            </w:r>
          </w:p>
        </w:tc>
        <w:tc>
          <w:tcPr>
            <w:tcW w:w="2835" w:type="dxa"/>
            <w:vAlign w:val="center"/>
          </w:tcPr>
          <w:p w14:paraId="23304BDC">
            <w:pPr>
              <w:pStyle w:val="10"/>
            </w:pPr>
            <w:r>
              <w:t>项目名称</w:t>
            </w:r>
          </w:p>
        </w:tc>
        <w:tc>
          <w:tcPr>
            <w:tcW w:w="6095" w:type="dxa"/>
            <w:gridSpan w:val="3"/>
            <w:vAlign w:val="center"/>
          </w:tcPr>
          <w:p w14:paraId="5FEA32E8">
            <w:pPr>
              <w:pStyle w:val="12"/>
            </w:pPr>
            <w:r>
              <w:t>隆尧县城关校区唐尧街小学附属幼儿园建设项目</w:t>
            </w:r>
          </w:p>
        </w:tc>
      </w:tr>
      <w:tr w14:paraId="2C58F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A1018">
            <w:pPr>
              <w:pStyle w:val="10"/>
            </w:pPr>
            <w:r>
              <w:t>预算规模及资金用途</w:t>
            </w:r>
          </w:p>
        </w:tc>
        <w:tc>
          <w:tcPr>
            <w:tcW w:w="2268" w:type="dxa"/>
            <w:vAlign w:val="center"/>
          </w:tcPr>
          <w:p w14:paraId="40B9DD4F">
            <w:pPr>
              <w:pStyle w:val="10"/>
            </w:pPr>
            <w:r>
              <w:t>预算数</w:t>
            </w:r>
          </w:p>
        </w:tc>
        <w:tc>
          <w:tcPr>
            <w:tcW w:w="2835" w:type="dxa"/>
            <w:vAlign w:val="center"/>
          </w:tcPr>
          <w:p w14:paraId="2ED6CF06">
            <w:pPr>
              <w:pStyle w:val="12"/>
            </w:pPr>
            <w:r>
              <w:t>118.72</w:t>
            </w:r>
          </w:p>
        </w:tc>
        <w:tc>
          <w:tcPr>
            <w:tcW w:w="2835" w:type="dxa"/>
            <w:vAlign w:val="center"/>
          </w:tcPr>
          <w:p w14:paraId="3698DBDE">
            <w:pPr>
              <w:pStyle w:val="10"/>
            </w:pPr>
            <w:r>
              <w:t>其中：财政    资金</w:t>
            </w:r>
          </w:p>
        </w:tc>
        <w:tc>
          <w:tcPr>
            <w:tcW w:w="2551" w:type="dxa"/>
            <w:vAlign w:val="center"/>
          </w:tcPr>
          <w:p w14:paraId="473BE17F">
            <w:pPr>
              <w:pStyle w:val="12"/>
            </w:pPr>
            <w:r>
              <w:t>118.72</w:t>
            </w:r>
          </w:p>
        </w:tc>
        <w:tc>
          <w:tcPr>
            <w:tcW w:w="2268" w:type="dxa"/>
            <w:vAlign w:val="center"/>
          </w:tcPr>
          <w:p w14:paraId="4DB69538">
            <w:pPr>
              <w:pStyle w:val="10"/>
            </w:pPr>
            <w:r>
              <w:t>其他资金</w:t>
            </w:r>
          </w:p>
        </w:tc>
        <w:tc>
          <w:tcPr>
            <w:tcW w:w="1276" w:type="dxa"/>
            <w:vAlign w:val="center"/>
          </w:tcPr>
          <w:p w14:paraId="7DE8D77D">
            <w:pPr>
              <w:pStyle w:val="12"/>
            </w:pPr>
            <w:r>
              <w:t xml:space="preserve"> </w:t>
            </w:r>
          </w:p>
        </w:tc>
      </w:tr>
      <w:tr w14:paraId="1BFA2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C8303"/>
        </w:tc>
        <w:tc>
          <w:tcPr>
            <w:tcW w:w="14033" w:type="dxa"/>
            <w:gridSpan w:val="6"/>
            <w:vAlign w:val="center"/>
          </w:tcPr>
          <w:p w14:paraId="650DA926">
            <w:pPr>
              <w:pStyle w:val="12"/>
            </w:pPr>
            <w:r>
              <w:t>为提高教学环境，促进</w:t>
            </w:r>
            <w:r>
              <w:rPr>
                <w:rFonts w:hint="eastAsia"/>
                <w:lang w:eastAsia="zh-CN"/>
              </w:rPr>
              <w:t>教学</w:t>
            </w:r>
            <w:r>
              <w:t>发展，新建唐尧街小学附属幼儿园一栋。</w:t>
            </w:r>
          </w:p>
        </w:tc>
      </w:tr>
      <w:tr w14:paraId="32B43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F8CBC">
            <w:pPr>
              <w:pStyle w:val="10"/>
            </w:pPr>
            <w:r>
              <w:t>资金支出计划（%）</w:t>
            </w:r>
          </w:p>
        </w:tc>
        <w:tc>
          <w:tcPr>
            <w:tcW w:w="5103" w:type="dxa"/>
            <w:gridSpan w:val="2"/>
            <w:vAlign w:val="center"/>
          </w:tcPr>
          <w:p w14:paraId="4FFE3B5A">
            <w:pPr>
              <w:pStyle w:val="10"/>
            </w:pPr>
            <w:r>
              <w:t>3月底</w:t>
            </w:r>
          </w:p>
        </w:tc>
        <w:tc>
          <w:tcPr>
            <w:tcW w:w="2835" w:type="dxa"/>
            <w:vAlign w:val="center"/>
          </w:tcPr>
          <w:p w14:paraId="6E2C9BD4">
            <w:pPr>
              <w:pStyle w:val="10"/>
            </w:pPr>
            <w:r>
              <w:t>6月底</w:t>
            </w:r>
          </w:p>
        </w:tc>
        <w:tc>
          <w:tcPr>
            <w:tcW w:w="2551" w:type="dxa"/>
            <w:vAlign w:val="center"/>
          </w:tcPr>
          <w:p w14:paraId="5EF9EFA8">
            <w:pPr>
              <w:pStyle w:val="10"/>
            </w:pPr>
            <w:r>
              <w:t>10月底</w:t>
            </w:r>
          </w:p>
        </w:tc>
        <w:tc>
          <w:tcPr>
            <w:tcW w:w="3544" w:type="dxa"/>
            <w:gridSpan w:val="2"/>
            <w:vAlign w:val="center"/>
          </w:tcPr>
          <w:p w14:paraId="2C4E0B73">
            <w:pPr>
              <w:pStyle w:val="10"/>
            </w:pPr>
            <w:r>
              <w:t>12月底</w:t>
            </w:r>
          </w:p>
        </w:tc>
      </w:tr>
      <w:tr w14:paraId="1A3E1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C2C69"/>
        </w:tc>
        <w:tc>
          <w:tcPr>
            <w:tcW w:w="5103" w:type="dxa"/>
            <w:gridSpan w:val="2"/>
            <w:vAlign w:val="center"/>
          </w:tcPr>
          <w:p w14:paraId="3D1FDF1B">
            <w:pPr>
              <w:pStyle w:val="13"/>
            </w:pPr>
            <w:r>
              <w:t>25%</w:t>
            </w:r>
          </w:p>
        </w:tc>
        <w:tc>
          <w:tcPr>
            <w:tcW w:w="2835" w:type="dxa"/>
            <w:vAlign w:val="center"/>
          </w:tcPr>
          <w:p w14:paraId="3274A2B5">
            <w:pPr>
              <w:pStyle w:val="13"/>
            </w:pPr>
            <w:r>
              <w:t>50%</w:t>
            </w:r>
          </w:p>
        </w:tc>
        <w:tc>
          <w:tcPr>
            <w:tcW w:w="2551" w:type="dxa"/>
            <w:vAlign w:val="center"/>
          </w:tcPr>
          <w:p w14:paraId="05EDD4D6">
            <w:pPr>
              <w:pStyle w:val="13"/>
            </w:pPr>
            <w:r>
              <w:t>75%</w:t>
            </w:r>
          </w:p>
        </w:tc>
        <w:tc>
          <w:tcPr>
            <w:tcW w:w="3544" w:type="dxa"/>
            <w:gridSpan w:val="2"/>
            <w:vAlign w:val="center"/>
          </w:tcPr>
          <w:p w14:paraId="5D2B98E6">
            <w:pPr>
              <w:pStyle w:val="13"/>
            </w:pPr>
            <w:r>
              <w:t>100%</w:t>
            </w:r>
          </w:p>
        </w:tc>
      </w:tr>
      <w:tr w14:paraId="143F3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E5B37">
            <w:pPr>
              <w:pStyle w:val="10"/>
            </w:pPr>
            <w:r>
              <w:t>绩效目标</w:t>
            </w:r>
          </w:p>
        </w:tc>
        <w:tc>
          <w:tcPr>
            <w:tcW w:w="14033" w:type="dxa"/>
            <w:gridSpan w:val="6"/>
            <w:vAlign w:val="center"/>
          </w:tcPr>
          <w:p w14:paraId="7C4A1BD7">
            <w:pPr>
              <w:pStyle w:val="12"/>
            </w:pPr>
            <w:r>
              <w:t>1.为提高教学环境，促进</w:t>
            </w:r>
            <w:r>
              <w:rPr>
                <w:rFonts w:hint="eastAsia"/>
                <w:lang w:eastAsia="zh-CN"/>
              </w:rPr>
              <w:t>教学</w:t>
            </w:r>
            <w:r>
              <w:t>发展，新建唐尧街小学附属幼儿园一栋。</w:t>
            </w:r>
          </w:p>
        </w:tc>
      </w:tr>
    </w:tbl>
    <w:p w14:paraId="46F21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6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F262674">
            <w:pPr>
              <w:pStyle w:val="10"/>
            </w:pPr>
            <w:r>
              <w:t>一级指标</w:t>
            </w:r>
          </w:p>
        </w:tc>
        <w:tc>
          <w:tcPr>
            <w:tcW w:w="2268" w:type="dxa"/>
            <w:vAlign w:val="center"/>
          </w:tcPr>
          <w:p w14:paraId="20BA9895">
            <w:pPr>
              <w:pStyle w:val="10"/>
            </w:pPr>
            <w:r>
              <w:t>二级指标</w:t>
            </w:r>
          </w:p>
        </w:tc>
        <w:tc>
          <w:tcPr>
            <w:tcW w:w="2835" w:type="dxa"/>
            <w:vAlign w:val="center"/>
          </w:tcPr>
          <w:p w14:paraId="041BFB15">
            <w:pPr>
              <w:pStyle w:val="10"/>
            </w:pPr>
            <w:r>
              <w:t>三级指标</w:t>
            </w:r>
          </w:p>
        </w:tc>
        <w:tc>
          <w:tcPr>
            <w:tcW w:w="5386" w:type="dxa"/>
            <w:vAlign w:val="center"/>
          </w:tcPr>
          <w:p w14:paraId="72710326">
            <w:pPr>
              <w:pStyle w:val="10"/>
            </w:pPr>
            <w:r>
              <w:t>绩效指标描述</w:t>
            </w:r>
          </w:p>
        </w:tc>
        <w:tc>
          <w:tcPr>
            <w:tcW w:w="2268" w:type="dxa"/>
            <w:vAlign w:val="center"/>
          </w:tcPr>
          <w:p w14:paraId="51EE8B95">
            <w:pPr>
              <w:pStyle w:val="10"/>
            </w:pPr>
            <w:r>
              <w:t>指标值</w:t>
            </w:r>
          </w:p>
        </w:tc>
        <w:tc>
          <w:tcPr>
            <w:tcW w:w="1276" w:type="dxa"/>
            <w:vAlign w:val="center"/>
          </w:tcPr>
          <w:p w14:paraId="5F257B69">
            <w:pPr>
              <w:pStyle w:val="10"/>
            </w:pPr>
            <w:r>
              <w:t>指标值确定依据</w:t>
            </w:r>
          </w:p>
        </w:tc>
      </w:tr>
      <w:tr w14:paraId="7AFF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6B43A">
            <w:pPr>
              <w:pStyle w:val="13"/>
            </w:pPr>
            <w:r>
              <w:t>产出指标</w:t>
            </w:r>
          </w:p>
        </w:tc>
        <w:tc>
          <w:tcPr>
            <w:tcW w:w="2268" w:type="dxa"/>
            <w:vAlign w:val="center"/>
          </w:tcPr>
          <w:p w14:paraId="7711E475">
            <w:pPr>
              <w:pStyle w:val="12"/>
            </w:pPr>
            <w:r>
              <w:t>数量指标</w:t>
            </w:r>
          </w:p>
        </w:tc>
        <w:tc>
          <w:tcPr>
            <w:tcW w:w="2835" w:type="dxa"/>
            <w:vAlign w:val="center"/>
          </w:tcPr>
          <w:p w14:paraId="4833B5ED">
            <w:pPr>
              <w:pStyle w:val="12"/>
            </w:pPr>
            <w:r>
              <w:t>唐尧街小学附属幼儿园建设项目</w:t>
            </w:r>
          </w:p>
        </w:tc>
        <w:tc>
          <w:tcPr>
            <w:tcW w:w="5386" w:type="dxa"/>
            <w:vAlign w:val="center"/>
          </w:tcPr>
          <w:p w14:paraId="3A9FA068">
            <w:pPr>
              <w:pStyle w:val="12"/>
            </w:pPr>
            <w:r>
              <w:t>唐尧街小学附属幼儿园建设面积</w:t>
            </w:r>
          </w:p>
        </w:tc>
        <w:tc>
          <w:tcPr>
            <w:tcW w:w="2268" w:type="dxa"/>
            <w:vAlign w:val="center"/>
          </w:tcPr>
          <w:p w14:paraId="23B8214B">
            <w:pPr>
              <w:pStyle w:val="12"/>
            </w:pPr>
            <w:r>
              <w:t>4767.23平方米</w:t>
            </w:r>
          </w:p>
        </w:tc>
        <w:tc>
          <w:tcPr>
            <w:tcW w:w="1276" w:type="dxa"/>
            <w:vAlign w:val="center"/>
          </w:tcPr>
          <w:p w14:paraId="12D3DFC9">
            <w:pPr>
              <w:pStyle w:val="12"/>
            </w:pPr>
            <w:r>
              <w:t>项目规划</w:t>
            </w:r>
          </w:p>
        </w:tc>
      </w:tr>
      <w:tr w14:paraId="4588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8230D"/>
        </w:tc>
        <w:tc>
          <w:tcPr>
            <w:tcW w:w="2268" w:type="dxa"/>
            <w:vAlign w:val="center"/>
          </w:tcPr>
          <w:p w14:paraId="1533687B">
            <w:pPr>
              <w:pStyle w:val="12"/>
            </w:pPr>
            <w:r>
              <w:t>质量指标</w:t>
            </w:r>
          </w:p>
        </w:tc>
        <w:tc>
          <w:tcPr>
            <w:tcW w:w="2835" w:type="dxa"/>
            <w:vAlign w:val="center"/>
          </w:tcPr>
          <w:p w14:paraId="46701276">
            <w:pPr>
              <w:pStyle w:val="12"/>
            </w:pPr>
            <w:r>
              <w:t>工程验收实施合格率</w:t>
            </w:r>
          </w:p>
        </w:tc>
        <w:tc>
          <w:tcPr>
            <w:tcW w:w="5386" w:type="dxa"/>
            <w:vAlign w:val="center"/>
          </w:tcPr>
          <w:p w14:paraId="284E49B1">
            <w:pPr>
              <w:pStyle w:val="12"/>
            </w:pPr>
            <w:r>
              <w:t>申报程序的合规，项目实施及资金使用</w:t>
            </w:r>
          </w:p>
        </w:tc>
        <w:tc>
          <w:tcPr>
            <w:tcW w:w="2268" w:type="dxa"/>
            <w:vAlign w:val="center"/>
          </w:tcPr>
          <w:p w14:paraId="57FECA42">
            <w:pPr>
              <w:pStyle w:val="12"/>
            </w:pPr>
            <w:r>
              <w:t>100%</w:t>
            </w:r>
          </w:p>
        </w:tc>
        <w:tc>
          <w:tcPr>
            <w:tcW w:w="1276" w:type="dxa"/>
            <w:vAlign w:val="center"/>
          </w:tcPr>
          <w:p w14:paraId="6B2CA27B">
            <w:pPr>
              <w:pStyle w:val="12"/>
            </w:pPr>
            <w:r>
              <w:t>项目规划</w:t>
            </w:r>
          </w:p>
        </w:tc>
      </w:tr>
      <w:tr w14:paraId="724F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CE4A5"/>
        </w:tc>
        <w:tc>
          <w:tcPr>
            <w:tcW w:w="2268" w:type="dxa"/>
            <w:vAlign w:val="center"/>
          </w:tcPr>
          <w:p w14:paraId="2D16C2E8">
            <w:pPr>
              <w:pStyle w:val="12"/>
            </w:pPr>
            <w:r>
              <w:t>时效指标</w:t>
            </w:r>
          </w:p>
        </w:tc>
        <w:tc>
          <w:tcPr>
            <w:tcW w:w="2835" w:type="dxa"/>
            <w:vAlign w:val="center"/>
          </w:tcPr>
          <w:p w14:paraId="69F318ED">
            <w:pPr>
              <w:pStyle w:val="12"/>
            </w:pPr>
            <w:r>
              <w:t>资金支付率</w:t>
            </w:r>
          </w:p>
        </w:tc>
        <w:tc>
          <w:tcPr>
            <w:tcW w:w="5386" w:type="dxa"/>
            <w:vAlign w:val="center"/>
          </w:tcPr>
          <w:p w14:paraId="5CCE4834">
            <w:pPr>
              <w:pStyle w:val="12"/>
            </w:pPr>
            <w:r>
              <w:t>按照时序进度完成资金支付</w:t>
            </w:r>
          </w:p>
        </w:tc>
        <w:tc>
          <w:tcPr>
            <w:tcW w:w="2268" w:type="dxa"/>
            <w:vAlign w:val="center"/>
          </w:tcPr>
          <w:p w14:paraId="228A536A">
            <w:pPr>
              <w:pStyle w:val="12"/>
            </w:pPr>
            <w:r>
              <w:t>100%</w:t>
            </w:r>
          </w:p>
        </w:tc>
        <w:tc>
          <w:tcPr>
            <w:tcW w:w="1276" w:type="dxa"/>
            <w:vAlign w:val="center"/>
          </w:tcPr>
          <w:p w14:paraId="1BFA2404">
            <w:pPr>
              <w:pStyle w:val="12"/>
            </w:pPr>
            <w:r>
              <w:t>项目规划</w:t>
            </w:r>
          </w:p>
        </w:tc>
      </w:tr>
      <w:tr w14:paraId="181E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EF5C3"/>
        </w:tc>
        <w:tc>
          <w:tcPr>
            <w:tcW w:w="2268" w:type="dxa"/>
            <w:vAlign w:val="center"/>
          </w:tcPr>
          <w:p w14:paraId="39C7CB29">
            <w:pPr>
              <w:pStyle w:val="12"/>
            </w:pPr>
            <w:r>
              <w:t>成本指标</w:t>
            </w:r>
          </w:p>
        </w:tc>
        <w:tc>
          <w:tcPr>
            <w:tcW w:w="2835" w:type="dxa"/>
            <w:vAlign w:val="center"/>
          </w:tcPr>
          <w:p w14:paraId="6813C2CA">
            <w:pPr>
              <w:pStyle w:val="12"/>
            </w:pPr>
            <w:r>
              <w:t>项目成本控制情况</w:t>
            </w:r>
          </w:p>
        </w:tc>
        <w:tc>
          <w:tcPr>
            <w:tcW w:w="5386" w:type="dxa"/>
            <w:vAlign w:val="center"/>
          </w:tcPr>
          <w:p w14:paraId="3172E1D4">
            <w:pPr>
              <w:pStyle w:val="12"/>
            </w:pPr>
            <w:r>
              <w:t>严格按照招标价及审计额进行</w:t>
            </w:r>
          </w:p>
        </w:tc>
        <w:tc>
          <w:tcPr>
            <w:tcW w:w="2268" w:type="dxa"/>
            <w:vAlign w:val="center"/>
          </w:tcPr>
          <w:p w14:paraId="33BE2FE5">
            <w:pPr>
              <w:pStyle w:val="12"/>
            </w:pPr>
            <w:r>
              <w:t>1187240.6元</w:t>
            </w:r>
          </w:p>
        </w:tc>
        <w:tc>
          <w:tcPr>
            <w:tcW w:w="1276" w:type="dxa"/>
            <w:vAlign w:val="center"/>
          </w:tcPr>
          <w:p w14:paraId="455FA77F">
            <w:pPr>
              <w:pStyle w:val="12"/>
            </w:pPr>
            <w:r>
              <w:t>项目规划</w:t>
            </w:r>
          </w:p>
        </w:tc>
      </w:tr>
      <w:tr w14:paraId="13CA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27EEC">
            <w:pPr>
              <w:pStyle w:val="13"/>
            </w:pPr>
            <w:r>
              <w:t>效益指标</w:t>
            </w:r>
          </w:p>
        </w:tc>
        <w:tc>
          <w:tcPr>
            <w:tcW w:w="2268" w:type="dxa"/>
            <w:vAlign w:val="center"/>
          </w:tcPr>
          <w:p w14:paraId="6E9D3B4F">
            <w:pPr>
              <w:pStyle w:val="12"/>
            </w:pPr>
            <w:r>
              <w:t>可持续影响指标</w:t>
            </w:r>
          </w:p>
        </w:tc>
        <w:tc>
          <w:tcPr>
            <w:tcW w:w="2835" w:type="dxa"/>
            <w:vAlign w:val="center"/>
          </w:tcPr>
          <w:p w14:paraId="34AE8656">
            <w:pPr>
              <w:pStyle w:val="12"/>
            </w:pPr>
            <w:r>
              <w:t>学校运转得到提高</w:t>
            </w:r>
          </w:p>
        </w:tc>
        <w:tc>
          <w:tcPr>
            <w:tcW w:w="5386" w:type="dxa"/>
            <w:vAlign w:val="center"/>
          </w:tcPr>
          <w:p w14:paraId="0AB3B41B">
            <w:pPr>
              <w:pStyle w:val="12"/>
            </w:pPr>
            <w:r>
              <w:t>学生受教育年限</w:t>
            </w:r>
          </w:p>
        </w:tc>
        <w:tc>
          <w:tcPr>
            <w:tcW w:w="2268" w:type="dxa"/>
            <w:vAlign w:val="center"/>
          </w:tcPr>
          <w:p w14:paraId="05378858">
            <w:pPr>
              <w:pStyle w:val="12"/>
            </w:pPr>
            <w:r>
              <w:t>3年</w:t>
            </w:r>
          </w:p>
        </w:tc>
        <w:tc>
          <w:tcPr>
            <w:tcW w:w="1276" w:type="dxa"/>
            <w:vAlign w:val="center"/>
          </w:tcPr>
          <w:p w14:paraId="0D7F9123">
            <w:pPr>
              <w:pStyle w:val="12"/>
            </w:pPr>
            <w:r>
              <w:t>项目规划</w:t>
            </w:r>
          </w:p>
        </w:tc>
      </w:tr>
      <w:tr w14:paraId="6BBAE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90C3D">
            <w:pPr>
              <w:pStyle w:val="13"/>
            </w:pPr>
            <w:r>
              <w:t>满意度指标</w:t>
            </w:r>
          </w:p>
        </w:tc>
        <w:tc>
          <w:tcPr>
            <w:tcW w:w="2268" w:type="dxa"/>
            <w:vAlign w:val="center"/>
          </w:tcPr>
          <w:p w14:paraId="215E4376">
            <w:pPr>
              <w:pStyle w:val="12"/>
            </w:pPr>
            <w:r>
              <w:t>服务对象满意度指标</w:t>
            </w:r>
          </w:p>
        </w:tc>
        <w:tc>
          <w:tcPr>
            <w:tcW w:w="2835" w:type="dxa"/>
            <w:vAlign w:val="center"/>
          </w:tcPr>
          <w:p w14:paraId="24495654">
            <w:pPr>
              <w:pStyle w:val="12"/>
            </w:pPr>
            <w:r>
              <w:t>受益学生及家长满意度</w:t>
            </w:r>
          </w:p>
        </w:tc>
        <w:tc>
          <w:tcPr>
            <w:tcW w:w="5386" w:type="dxa"/>
            <w:vAlign w:val="center"/>
          </w:tcPr>
          <w:p w14:paraId="5365214E">
            <w:pPr>
              <w:pStyle w:val="12"/>
            </w:pPr>
            <w:r>
              <w:t>大幅提高学生和学生家长满意度</w:t>
            </w:r>
          </w:p>
        </w:tc>
        <w:tc>
          <w:tcPr>
            <w:tcW w:w="2268" w:type="dxa"/>
            <w:vAlign w:val="center"/>
          </w:tcPr>
          <w:p w14:paraId="2B87DDF4">
            <w:pPr>
              <w:pStyle w:val="12"/>
            </w:pPr>
            <w:r>
              <w:t>≥95%</w:t>
            </w:r>
          </w:p>
        </w:tc>
        <w:tc>
          <w:tcPr>
            <w:tcW w:w="1276" w:type="dxa"/>
            <w:vAlign w:val="center"/>
          </w:tcPr>
          <w:p w14:paraId="2E584414">
            <w:pPr>
              <w:pStyle w:val="12"/>
            </w:pPr>
            <w:r>
              <w:t>调查问卷</w:t>
            </w:r>
          </w:p>
        </w:tc>
      </w:tr>
    </w:tbl>
    <w:p w14:paraId="23E9BDE2">
      <w:pPr>
        <w:sectPr>
          <w:pgSz w:w="16840" w:h="11900" w:orient="landscape"/>
          <w:pgMar w:top="1361" w:right="1020" w:bottom="1134" w:left="1020" w:header="720" w:footer="720" w:gutter="0"/>
          <w:cols w:space="720" w:num="1"/>
        </w:sectPr>
      </w:pPr>
    </w:p>
    <w:p w14:paraId="75FDD685">
      <w:pPr>
        <w:spacing w:before="0" w:after="0"/>
        <w:ind w:firstLine="560"/>
        <w:jc w:val="left"/>
        <w:outlineLvl w:val="9"/>
      </w:pPr>
      <w:r>
        <w:rPr>
          <w:rFonts w:ascii="方正仿宋_GBK" w:hAnsi="方正仿宋_GBK" w:eastAsia="方正仿宋_GBK" w:cs="方正仿宋_GBK"/>
          <w:b/>
          <w:color w:val="000000"/>
          <w:sz w:val="28"/>
        </w:rPr>
        <w:t>29、县级配套/2026年/城关校区幼儿园免保育教育费补助绩效目标表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AF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C88FF">
            <w:pPr>
              <w:pStyle w:val="11"/>
            </w:pPr>
            <w:r>
              <w:t>单位：万元</w:t>
            </w:r>
          </w:p>
        </w:tc>
      </w:tr>
      <w:tr w14:paraId="08EC8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AC628">
            <w:pPr>
              <w:pStyle w:val="10"/>
            </w:pPr>
            <w:r>
              <w:t>项目编码</w:t>
            </w:r>
          </w:p>
        </w:tc>
        <w:tc>
          <w:tcPr>
            <w:tcW w:w="5103" w:type="dxa"/>
            <w:gridSpan w:val="2"/>
            <w:vAlign w:val="center"/>
          </w:tcPr>
          <w:p w14:paraId="44447C96">
            <w:pPr>
              <w:pStyle w:val="12"/>
            </w:pPr>
            <w:r>
              <w:t>13052526P008769101640</w:t>
            </w:r>
          </w:p>
        </w:tc>
        <w:tc>
          <w:tcPr>
            <w:tcW w:w="2835" w:type="dxa"/>
            <w:vAlign w:val="center"/>
          </w:tcPr>
          <w:p w14:paraId="557F0224">
            <w:pPr>
              <w:pStyle w:val="10"/>
            </w:pPr>
            <w:r>
              <w:t>项目名称</w:t>
            </w:r>
          </w:p>
        </w:tc>
        <w:tc>
          <w:tcPr>
            <w:tcW w:w="6095" w:type="dxa"/>
            <w:gridSpan w:val="3"/>
            <w:vAlign w:val="center"/>
          </w:tcPr>
          <w:p w14:paraId="2D0A4C36">
            <w:pPr>
              <w:pStyle w:val="12"/>
            </w:pPr>
            <w:r>
              <w:t>县级配套/2026年/城关校区幼儿园免保育教育费补助</w:t>
            </w:r>
          </w:p>
        </w:tc>
      </w:tr>
      <w:tr w14:paraId="6B5BA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ADF6E">
            <w:pPr>
              <w:pStyle w:val="10"/>
            </w:pPr>
            <w:r>
              <w:t>预算规模及资金用途</w:t>
            </w:r>
          </w:p>
        </w:tc>
        <w:tc>
          <w:tcPr>
            <w:tcW w:w="2268" w:type="dxa"/>
            <w:vAlign w:val="center"/>
          </w:tcPr>
          <w:p w14:paraId="56305354">
            <w:pPr>
              <w:pStyle w:val="10"/>
            </w:pPr>
            <w:r>
              <w:t>预算数</w:t>
            </w:r>
          </w:p>
        </w:tc>
        <w:tc>
          <w:tcPr>
            <w:tcW w:w="2835" w:type="dxa"/>
            <w:vAlign w:val="center"/>
          </w:tcPr>
          <w:p w14:paraId="34E2990E">
            <w:pPr>
              <w:pStyle w:val="12"/>
            </w:pPr>
            <w:r>
              <w:t>17.39</w:t>
            </w:r>
          </w:p>
        </w:tc>
        <w:tc>
          <w:tcPr>
            <w:tcW w:w="2835" w:type="dxa"/>
            <w:vAlign w:val="center"/>
          </w:tcPr>
          <w:p w14:paraId="797ECF99">
            <w:pPr>
              <w:pStyle w:val="10"/>
            </w:pPr>
            <w:r>
              <w:t>其中：财政    资金</w:t>
            </w:r>
          </w:p>
        </w:tc>
        <w:tc>
          <w:tcPr>
            <w:tcW w:w="2551" w:type="dxa"/>
            <w:vAlign w:val="center"/>
          </w:tcPr>
          <w:p w14:paraId="0C6AAE59">
            <w:pPr>
              <w:pStyle w:val="12"/>
            </w:pPr>
            <w:r>
              <w:t>17.39</w:t>
            </w:r>
          </w:p>
        </w:tc>
        <w:tc>
          <w:tcPr>
            <w:tcW w:w="2268" w:type="dxa"/>
            <w:vAlign w:val="center"/>
          </w:tcPr>
          <w:p w14:paraId="4807089C">
            <w:pPr>
              <w:pStyle w:val="10"/>
            </w:pPr>
            <w:r>
              <w:t>其他资金</w:t>
            </w:r>
          </w:p>
        </w:tc>
        <w:tc>
          <w:tcPr>
            <w:tcW w:w="1276" w:type="dxa"/>
            <w:vAlign w:val="center"/>
          </w:tcPr>
          <w:p w14:paraId="4EC64E01">
            <w:pPr>
              <w:pStyle w:val="12"/>
            </w:pPr>
            <w:r>
              <w:t xml:space="preserve"> </w:t>
            </w:r>
          </w:p>
        </w:tc>
      </w:tr>
      <w:tr w14:paraId="4D8B0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A29EE"/>
        </w:tc>
        <w:tc>
          <w:tcPr>
            <w:tcW w:w="14033" w:type="dxa"/>
            <w:gridSpan w:val="6"/>
            <w:vAlign w:val="center"/>
          </w:tcPr>
          <w:p w14:paraId="0ED23BF8">
            <w:pPr>
              <w:pStyle w:val="12"/>
            </w:pPr>
            <w:r>
              <w:t>保障幼儿园正常运转，完成教育教学活动和其他日常工作任务等方面的费用支出。</w:t>
            </w:r>
          </w:p>
        </w:tc>
      </w:tr>
      <w:tr w14:paraId="25735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FE814">
            <w:pPr>
              <w:pStyle w:val="10"/>
            </w:pPr>
            <w:r>
              <w:t>资金支出计划（%）</w:t>
            </w:r>
          </w:p>
        </w:tc>
        <w:tc>
          <w:tcPr>
            <w:tcW w:w="5103" w:type="dxa"/>
            <w:gridSpan w:val="2"/>
            <w:vAlign w:val="center"/>
          </w:tcPr>
          <w:p w14:paraId="4515C4F8">
            <w:pPr>
              <w:pStyle w:val="10"/>
            </w:pPr>
            <w:r>
              <w:t>3月底</w:t>
            </w:r>
          </w:p>
        </w:tc>
        <w:tc>
          <w:tcPr>
            <w:tcW w:w="2835" w:type="dxa"/>
            <w:vAlign w:val="center"/>
          </w:tcPr>
          <w:p w14:paraId="6ACB48C3">
            <w:pPr>
              <w:pStyle w:val="10"/>
            </w:pPr>
            <w:r>
              <w:t>6月底</w:t>
            </w:r>
          </w:p>
        </w:tc>
        <w:tc>
          <w:tcPr>
            <w:tcW w:w="2551" w:type="dxa"/>
            <w:vAlign w:val="center"/>
          </w:tcPr>
          <w:p w14:paraId="68B7A269">
            <w:pPr>
              <w:pStyle w:val="10"/>
            </w:pPr>
            <w:r>
              <w:t>10月底</w:t>
            </w:r>
          </w:p>
        </w:tc>
        <w:tc>
          <w:tcPr>
            <w:tcW w:w="3544" w:type="dxa"/>
            <w:gridSpan w:val="2"/>
            <w:vAlign w:val="center"/>
          </w:tcPr>
          <w:p w14:paraId="1C8C3AA4">
            <w:pPr>
              <w:pStyle w:val="10"/>
            </w:pPr>
            <w:r>
              <w:t>12月底</w:t>
            </w:r>
          </w:p>
        </w:tc>
      </w:tr>
      <w:tr w14:paraId="5AFB8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74A53"/>
        </w:tc>
        <w:tc>
          <w:tcPr>
            <w:tcW w:w="5103" w:type="dxa"/>
            <w:gridSpan w:val="2"/>
            <w:vAlign w:val="center"/>
          </w:tcPr>
          <w:p w14:paraId="73F119DF">
            <w:pPr>
              <w:pStyle w:val="13"/>
            </w:pPr>
            <w:r>
              <w:t>25%</w:t>
            </w:r>
          </w:p>
        </w:tc>
        <w:tc>
          <w:tcPr>
            <w:tcW w:w="2835" w:type="dxa"/>
            <w:vAlign w:val="center"/>
          </w:tcPr>
          <w:p w14:paraId="652F5647">
            <w:pPr>
              <w:pStyle w:val="13"/>
            </w:pPr>
            <w:r>
              <w:t>50%</w:t>
            </w:r>
          </w:p>
        </w:tc>
        <w:tc>
          <w:tcPr>
            <w:tcW w:w="2551" w:type="dxa"/>
            <w:vAlign w:val="center"/>
          </w:tcPr>
          <w:p w14:paraId="277A962B">
            <w:pPr>
              <w:pStyle w:val="13"/>
            </w:pPr>
            <w:r>
              <w:t>75%</w:t>
            </w:r>
          </w:p>
        </w:tc>
        <w:tc>
          <w:tcPr>
            <w:tcW w:w="3544" w:type="dxa"/>
            <w:gridSpan w:val="2"/>
            <w:vAlign w:val="center"/>
          </w:tcPr>
          <w:p w14:paraId="0F8EC0E1">
            <w:pPr>
              <w:pStyle w:val="13"/>
            </w:pPr>
            <w:r>
              <w:t>100%</w:t>
            </w:r>
          </w:p>
        </w:tc>
      </w:tr>
      <w:tr w14:paraId="08485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E436D">
            <w:pPr>
              <w:pStyle w:val="10"/>
            </w:pPr>
            <w:r>
              <w:t>绩效目标</w:t>
            </w:r>
          </w:p>
        </w:tc>
        <w:tc>
          <w:tcPr>
            <w:tcW w:w="14033" w:type="dxa"/>
            <w:gridSpan w:val="6"/>
            <w:vAlign w:val="center"/>
          </w:tcPr>
          <w:p w14:paraId="6E8B5CB5">
            <w:pPr>
              <w:pStyle w:val="12"/>
            </w:pPr>
            <w:r>
              <w:t>1.保障幼儿园正常运转，完成教育教学活动和其他日常工作任务等方面的费用支出。</w:t>
            </w:r>
          </w:p>
        </w:tc>
      </w:tr>
    </w:tbl>
    <w:p w14:paraId="3948E7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6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F2C4B">
            <w:pPr>
              <w:pStyle w:val="10"/>
            </w:pPr>
            <w:r>
              <w:t>一级指标</w:t>
            </w:r>
          </w:p>
        </w:tc>
        <w:tc>
          <w:tcPr>
            <w:tcW w:w="2268" w:type="dxa"/>
            <w:vAlign w:val="center"/>
          </w:tcPr>
          <w:p w14:paraId="0DE6A752">
            <w:pPr>
              <w:pStyle w:val="10"/>
            </w:pPr>
            <w:r>
              <w:t>二级指标</w:t>
            </w:r>
          </w:p>
        </w:tc>
        <w:tc>
          <w:tcPr>
            <w:tcW w:w="2835" w:type="dxa"/>
            <w:vAlign w:val="center"/>
          </w:tcPr>
          <w:p w14:paraId="680992AB">
            <w:pPr>
              <w:pStyle w:val="10"/>
            </w:pPr>
            <w:r>
              <w:t>三级指标</w:t>
            </w:r>
          </w:p>
        </w:tc>
        <w:tc>
          <w:tcPr>
            <w:tcW w:w="5386" w:type="dxa"/>
            <w:vAlign w:val="center"/>
          </w:tcPr>
          <w:p w14:paraId="08F84037">
            <w:pPr>
              <w:pStyle w:val="10"/>
            </w:pPr>
            <w:r>
              <w:t>绩效指标描述</w:t>
            </w:r>
          </w:p>
        </w:tc>
        <w:tc>
          <w:tcPr>
            <w:tcW w:w="2268" w:type="dxa"/>
            <w:vAlign w:val="center"/>
          </w:tcPr>
          <w:p w14:paraId="708FB095">
            <w:pPr>
              <w:pStyle w:val="10"/>
            </w:pPr>
            <w:r>
              <w:t>指标值</w:t>
            </w:r>
          </w:p>
        </w:tc>
        <w:tc>
          <w:tcPr>
            <w:tcW w:w="1276" w:type="dxa"/>
            <w:vAlign w:val="center"/>
          </w:tcPr>
          <w:p w14:paraId="0118FE82">
            <w:pPr>
              <w:pStyle w:val="10"/>
            </w:pPr>
            <w:r>
              <w:t>指标值确定依据</w:t>
            </w:r>
          </w:p>
        </w:tc>
      </w:tr>
      <w:tr w14:paraId="67BD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6C236">
            <w:pPr>
              <w:pStyle w:val="13"/>
            </w:pPr>
            <w:r>
              <w:t>产出指标</w:t>
            </w:r>
          </w:p>
        </w:tc>
        <w:tc>
          <w:tcPr>
            <w:tcW w:w="2268" w:type="dxa"/>
            <w:vAlign w:val="center"/>
          </w:tcPr>
          <w:p w14:paraId="24F53ABE">
            <w:pPr>
              <w:pStyle w:val="12"/>
            </w:pPr>
            <w:r>
              <w:t>数量指标</w:t>
            </w:r>
          </w:p>
        </w:tc>
        <w:tc>
          <w:tcPr>
            <w:tcW w:w="2835" w:type="dxa"/>
            <w:vAlign w:val="center"/>
          </w:tcPr>
          <w:p w14:paraId="5F0F35BC">
            <w:pPr>
              <w:pStyle w:val="12"/>
            </w:pPr>
            <w:r>
              <w:t>适龄在园生</w:t>
            </w:r>
          </w:p>
        </w:tc>
        <w:tc>
          <w:tcPr>
            <w:tcW w:w="5386" w:type="dxa"/>
            <w:vAlign w:val="center"/>
          </w:tcPr>
          <w:p w14:paraId="1677531A">
            <w:pPr>
              <w:pStyle w:val="12"/>
            </w:pPr>
            <w:r>
              <w:t>适龄在园学生人数</w:t>
            </w:r>
          </w:p>
        </w:tc>
        <w:tc>
          <w:tcPr>
            <w:tcW w:w="2268" w:type="dxa"/>
            <w:vAlign w:val="center"/>
          </w:tcPr>
          <w:p w14:paraId="278D3FF4">
            <w:pPr>
              <w:pStyle w:val="12"/>
            </w:pPr>
            <w:r>
              <w:t>100%</w:t>
            </w:r>
          </w:p>
        </w:tc>
        <w:tc>
          <w:tcPr>
            <w:tcW w:w="1276" w:type="dxa"/>
            <w:vAlign w:val="center"/>
          </w:tcPr>
          <w:p w14:paraId="46679B83">
            <w:pPr>
              <w:pStyle w:val="12"/>
            </w:pPr>
            <w:r>
              <w:t>支持学前教育发展资金管理方法</w:t>
            </w:r>
          </w:p>
        </w:tc>
      </w:tr>
      <w:tr w14:paraId="1C25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B1360"/>
        </w:tc>
        <w:tc>
          <w:tcPr>
            <w:tcW w:w="2268" w:type="dxa"/>
            <w:vAlign w:val="center"/>
          </w:tcPr>
          <w:p w14:paraId="0CFC9818">
            <w:pPr>
              <w:pStyle w:val="12"/>
            </w:pPr>
            <w:r>
              <w:t>质量指标</w:t>
            </w:r>
          </w:p>
        </w:tc>
        <w:tc>
          <w:tcPr>
            <w:tcW w:w="2835" w:type="dxa"/>
            <w:vAlign w:val="center"/>
          </w:tcPr>
          <w:p w14:paraId="4522EB30">
            <w:pPr>
              <w:pStyle w:val="12"/>
            </w:pPr>
            <w:r>
              <w:t>公用经费使用率</w:t>
            </w:r>
          </w:p>
        </w:tc>
        <w:tc>
          <w:tcPr>
            <w:tcW w:w="5386" w:type="dxa"/>
            <w:vAlign w:val="center"/>
          </w:tcPr>
          <w:p w14:paraId="6B7270EE">
            <w:pPr>
              <w:pStyle w:val="12"/>
            </w:pPr>
            <w:r>
              <w:t>用于弥补经费不足，改善办学条件</w:t>
            </w:r>
          </w:p>
        </w:tc>
        <w:tc>
          <w:tcPr>
            <w:tcW w:w="2268" w:type="dxa"/>
            <w:vAlign w:val="center"/>
          </w:tcPr>
          <w:p w14:paraId="3FC83FBE">
            <w:pPr>
              <w:pStyle w:val="12"/>
            </w:pPr>
            <w:r>
              <w:t>100%</w:t>
            </w:r>
          </w:p>
        </w:tc>
        <w:tc>
          <w:tcPr>
            <w:tcW w:w="1276" w:type="dxa"/>
            <w:vAlign w:val="center"/>
          </w:tcPr>
          <w:p w14:paraId="55F7176D">
            <w:pPr>
              <w:pStyle w:val="12"/>
            </w:pPr>
            <w:r>
              <w:t>支持学前教育发展资金管理方法</w:t>
            </w:r>
          </w:p>
        </w:tc>
      </w:tr>
      <w:tr w14:paraId="4D02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B141C"/>
        </w:tc>
        <w:tc>
          <w:tcPr>
            <w:tcW w:w="2268" w:type="dxa"/>
            <w:vAlign w:val="center"/>
          </w:tcPr>
          <w:p w14:paraId="29A603FD">
            <w:pPr>
              <w:pStyle w:val="12"/>
            </w:pPr>
            <w:r>
              <w:t>时效指标</w:t>
            </w:r>
          </w:p>
        </w:tc>
        <w:tc>
          <w:tcPr>
            <w:tcW w:w="2835" w:type="dxa"/>
            <w:vAlign w:val="center"/>
          </w:tcPr>
          <w:p w14:paraId="1D7E0121">
            <w:pPr>
              <w:pStyle w:val="12"/>
            </w:pPr>
            <w:r>
              <w:t>资金支付率</w:t>
            </w:r>
          </w:p>
        </w:tc>
        <w:tc>
          <w:tcPr>
            <w:tcW w:w="5386" w:type="dxa"/>
            <w:vAlign w:val="center"/>
          </w:tcPr>
          <w:p w14:paraId="2C27B578">
            <w:pPr>
              <w:pStyle w:val="12"/>
            </w:pPr>
            <w:r>
              <w:t>按照序时进度完成资金支付</w:t>
            </w:r>
          </w:p>
        </w:tc>
        <w:tc>
          <w:tcPr>
            <w:tcW w:w="2268" w:type="dxa"/>
            <w:vAlign w:val="center"/>
          </w:tcPr>
          <w:p w14:paraId="1FC79206">
            <w:pPr>
              <w:pStyle w:val="12"/>
            </w:pPr>
            <w:r>
              <w:t>100%</w:t>
            </w:r>
          </w:p>
        </w:tc>
        <w:tc>
          <w:tcPr>
            <w:tcW w:w="1276" w:type="dxa"/>
            <w:vAlign w:val="center"/>
          </w:tcPr>
          <w:p w14:paraId="1E172F27">
            <w:pPr>
              <w:pStyle w:val="12"/>
            </w:pPr>
            <w:r>
              <w:t>支持学前教育发展资金管理方法</w:t>
            </w:r>
          </w:p>
        </w:tc>
      </w:tr>
      <w:tr w14:paraId="2325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1DB39"/>
        </w:tc>
        <w:tc>
          <w:tcPr>
            <w:tcW w:w="2268" w:type="dxa"/>
            <w:vAlign w:val="center"/>
          </w:tcPr>
          <w:p w14:paraId="51E05CAA">
            <w:pPr>
              <w:pStyle w:val="12"/>
            </w:pPr>
            <w:r>
              <w:t>成本指标</w:t>
            </w:r>
          </w:p>
        </w:tc>
        <w:tc>
          <w:tcPr>
            <w:tcW w:w="2835" w:type="dxa"/>
            <w:vAlign w:val="center"/>
          </w:tcPr>
          <w:p w14:paraId="51E98D07">
            <w:pPr>
              <w:pStyle w:val="12"/>
            </w:pPr>
            <w:r>
              <w:t>生均拨款标准</w:t>
            </w:r>
          </w:p>
        </w:tc>
        <w:tc>
          <w:tcPr>
            <w:tcW w:w="5386" w:type="dxa"/>
            <w:vAlign w:val="center"/>
          </w:tcPr>
          <w:p w14:paraId="2AF45626">
            <w:pPr>
              <w:pStyle w:val="12"/>
            </w:pPr>
            <w:r>
              <w:t>根据各学校学前保育费标准进行补助</w:t>
            </w:r>
          </w:p>
        </w:tc>
        <w:tc>
          <w:tcPr>
            <w:tcW w:w="2268" w:type="dxa"/>
            <w:vAlign w:val="center"/>
          </w:tcPr>
          <w:p w14:paraId="5F0BE13B">
            <w:pPr>
              <w:pStyle w:val="12"/>
            </w:pPr>
            <w:r>
              <w:t>173922元</w:t>
            </w:r>
          </w:p>
        </w:tc>
        <w:tc>
          <w:tcPr>
            <w:tcW w:w="1276" w:type="dxa"/>
            <w:vAlign w:val="center"/>
          </w:tcPr>
          <w:p w14:paraId="2D34629D">
            <w:pPr>
              <w:pStyle w:val="12"/>
            </w:pPr>
            <w:r>
              <w:t>支持学前教育发展资金管理方法</w:t>
            </w:r>
          </w:p>
        </w:tc>
      </w:tr>
      <w:tr w14:paraId="2222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EF065">
            <w:pPr>
              <w:pStyle w:val="13"/>
            </w:pPr>
            <w:r>
              <w:t>效益指标</w:t>
            </w:r>
          </w:p>
        </w:tc>
        <w:tc>
          <w:tcPr>
            <w:tcW w:w="2268" w:type="dxa"/>
            <w:vAlign w:val="center"/>
          </w:tcPr>
          <w:p w14:paraId="7D01CA81">
            <w:pPr>
              <w:pStyle w:val="12"/>
            </w:pPr>
            <w:r>
              <w:t>可持续影响指标</w:t>
            </w:r>
          </w:p>
        </w:tc>
        <w:tc>
          <w:tcPr>
            <w:tcW w:w="2835" w:type="dxa"/>
            <w:vAlign w:val="center"/>
          </w:tcPr>
          <w:p w14:paraId="11C3E5A8">
            <w:pPr>
              <w:pStyle w:val="12"/>
            </w:pPr>
            <w:r>
              <w:t>学校运转得到提高</w:t>
            </w:r>
          </w:p>
        </w:tc>
        <w:tc>
          <w:tcPr>
            <w:tcW w:w="5386" w:type="dxa"/>
            <w:vAlign w:val="center"/>
          </w:tcPr>
          <w:p w14:paraId="2BB080F7">
            <w:pPr>
              <w:pStyle w:val="12"/>
            </w:pPr>
            <w:r>
              <w:t>学生受教育年限</w:t>
            </w:r>
          </w:p>
        </w:tc>
        <w:tc>
          <w:tcPr>
            <w:tcW w:w="2268" w:type="dxa"/>
            <w:vAlign w:val="center"/>
          </w:tcPr>
          <w:p w14:paraId="5D51A4FB">
            <w:pPr>
              <w:pStyle w:val="12"/>
            </w:pPr>
            <w:r>
              <w:t>3年</w:t>
            </w:r>
          </w:p>
        </w:tc>
        <w:tc>
          <w:tcPr>
            <w:tcW w:w="1276" w:type="dxa"/>
            <w:vAlign w:val="center"/>
          </w:tcPr>
          <w:p w14:paraId="1E03FA7B">
            <w:pPr>
              <w:pStyle w:val="12"/>
            </w:pPr>
            <w:r>
              <w:t>支持学前教育发展资金管理方法</w:t>
            </w:r>
          </w:p>
        </w:tc>
      </w:tr>
      <w:tr w14:paraId="326D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A2354">
            <w:pPr>
              <w:pStyle w:val="13"/>
            </w:pPr>
            <w:r>
              <w:t>满意度指标</w:t>
            </w:r>
          </w:p>
        </w:tc>
        <w:tc>
          <w:tcPr>
            <w:tcW w:w="2268" w:type="dxa"/>
            <w:vAlign w:val="center"/>
          </w:tcPr>
          <w:p w14:paraId="6BAD7B53">
            <w:pPr>
              <w:pStyle w:val="12"/>
            </w:pPr>
            <w:r>
              <w:t>服务对象满意度指标</w:t>
            </w:r>
          </w:p>
        </w:tc>
        <w:tc>
          <w:tcPr>
            <w:tcW w:w="2835" w:type="dxa"/>
            <w:vAlign w:val="center"/>
          </w:tcPr>
          <w:p w14:paraId="4A4FAEF6">
            <w:pPr>
              <w:pStyle w:val="12"/>
            </w:pPr>
            <w:r>
              <w:t>受益学生家长及调查满意度</w:t>
            </w:r>
          </w:p>
        </w:tc>
        <w:tc>
          <w:tcPr>
            <w:tcW w:w="5386" w:type="dxa"/>
            <w:vAlign w:val="center"/>
          </w:tcPr>
          <w:p w14:paraId="13FB1A33">
            <w:pPr>
              <w:pStyle w:val="12"/>
            </w:pPr>
            <w:r>
              <w:t>学生、教师及家长对学校保教保育工作满意度情况</w:t>
            </w:r>
          </w:p>
        </w:tc>
        <w:tc>
          <w:tcPr>
            <w:tcW w:w="2268" w:type="dxa"/>
            <w:vAlign w:val="center"/>
          </w:tcPr>
          <w:p w14:paraId="58D54A58">
            <w:pPr>
              <w:pStyle w:val="12"/>
            </w:pPr>
            <w:r>
              <w:t>≥95%</w:t>
            </w:r>
          </w:p>
        </w:tc>
        <w:tc>
          <w:tcPr>
            <w:tcW w:w="1276" w:type="dxa"/>
            <w:vAlign w:val="center"/>
          </w:tcPr>
          <w:p w14:paraId="67C7D735">
            <w:pPr>
              <w:pStyle w:val="12"/>
            </w:pPr>
            <w:r>
              <w:t>支持学前教育发展资金管理方法</w:t>
            </w:r>
          </w:p>
        </w:tc>
      </w:tr>
    </w:tbl>
    <w:p w14:paraId="07C82877">
      <w:pPr>
        <w:sectPr>
          <w:pgSz w:w="16840" w:h="11900" w:orient="landscape"/>
          <w:pgMar w:top="1361" w:right="1020" w:bottom="1134" w:left="1020" w:header="720" w:footer="720" w:gutter="0"/>
          <w:cols w:space="720" w:num="1"/>
        </w:sectPr>
      </w:pPr>
    </w:p>
    <w:p w14:paraId="5B832D72">
      <w:pPr>
        <w:spacing w:before="0" w:after="0"/>
        <w:ind w:firstLine="560"/>
        <w:jc w:val="left"/>
        <w:outlineLvl w:val="9"/>
      </w:pPr>
      <w:r>
        <w:rPr>
          <w:rFonts w:ascii="方正仿宋_GBK" w:hAnsi="方正仿宋_GBK" w:eastAsia="方正仿宋_GBK" w:cs="方正仿宋_GBK"/>
          <w:b/>
          <w:color w:val="000000"/>
          <w:sz w:val="28"/>
        </w:rPr>
        <w:t>30、县级配套/城关校区东甫小学公用经费绩效目标表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B1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9BB3D">
            <w:pPr>
              <w:pStyle w:val="11"/>
            </w:pPr>
            <w:r>
              <w:t>单位：万元</w:t>
            </w:r>
          </w:p>
        </w:tc>
      </w:tr>
      <w:tr w14:paraId="4EFB1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3FD3B">
            <w:pPr>
              <w:pStyle w:val="10"/>
            </w:pPr>
            <w:r>
              <w:t>项目编码</w:t>
            </w:r>
          </w:p>
        </w:tc>
        <w:tc>
          <w:tcPr>
            <w:tcW w:w="5103" w:type="dxa"/>
            <w:gridSpan w:val="2"/>
            <w:vAlign w:val="center"/>
          </w:tcPr>
          <w:p w14:paraId="54E5F1C7">
            <w:pPr>
              <w:pStyle w:val="12"/>
            </w:pPr>
            <w:r>
              <w:t>13052526P000004104236</w:t>
            </w:r>
          </w:p>
        </w:tc>
        <w:tc>
          <w:tcPr>
            <w:tcW w:w="2835" w:type="dxa"/>
            <w:vAlign w:val="center"/>
          </w:tcPr>
          <w:p w14:paraId="2CD5205D">
            <w:pPr>
              <w:pStyle w:val="10"/>
            </w:pPr>
            <w:r>
              <w:t>项目名称</w:t>
            </w:r>
          </w:p>
        </w:tc>
        <w:tc>
          <w:tcPr>
            <w:tcW w:w="6095" w:type="dxa"/>
            <w:gridSpan w:val="3"/>
            <w:vAlign w:val="center"/>
          </w:tcPr>
          <w:p w14:paraId="6F1C6E59">
            <w:pPr>
              <w:pStyle w:val="12"/>
            </w:pPr>
            <w:r>
              <w:t>县级配套/城关校区东甫小学公用经费</w:t>
            </w:r>
          </w:p>
        </w:tc>
      </w:tr>
      <w:tr w14:paraId="5E252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44180">
            <w:pPr>
              <w:pStyle w:val="10"/>
            </w:pPr>
            <w:r>
              <w:t>预算规模及资金用途</w:t>
            </w:r>
          </w:p>
        </w:tc>
        <w:tc>
          <w:tcPr>
            <w:tcW w:w="2268" w:type="dxa"/>
            <w:vAlign w:val="center"/>
          </w:tcPr>
          <w:p w14:paraId="0116C84D">
            <w:pPr>
              <w:pStyle w:val="10"/>
            </w:pPr>
            <w:r>
              <w:t>预算数</w:t>
            </w:r>
          </w:p>
        </w:tc>
        <w:tc>
          <w:tcPr>
            <w:tcW w:w="2835" w:type="dxa"/>
            <w:vAlign w:val="center"/>
          </w:tcPr>
          <w:p w14:paraId="6770BD0E">
            <w:pPr>
              <w:pStyle w:val="12"/>
            </w:pPr>
            <w:r>
              <w:t>15.41</w:t>
            </w:r>
          </w:p>
        </w:tc>
        <w:tc>
          <w:tcPr>
            <w:tcW w:w="2835" w:type="dxa"/>
            <w:vAlign w:val="center"/>
          </w:tcPr>
          <w:p w14:paraId="6D4F700B">
            <w:pPr>
              <w:pStyle w:val="10"/>
            </w:pPr>
            <w:r>
              <w:t>其中：财政    资金</w:t>
            </w:r>
          </w:p>
        </w:tc>
        <w:tc>
          <w:tcPr>
            <w:tcW w:w="2551" w:type="dxa"/>
            <w:vAlign w:val="center"/>
          </w:tcPr>
          <w:p w14:paraId="5803253C">
            <w:pPr>
              <w:pStyle w:val="12"/>
            </w:pPr>
            <w:r>
              <w:t>15.41</w:t>
            </w:r>
          </w:p>
        </w:tc>
        <w:tc>
          <w:tcPr>
            <w:tcW w:w="2268" w:type="dxa"/>
            <w:vAlign w:val="center"/>
          </w:tcPr>
          <w:p w14:paraId="5FB2602A">
            <w:pPr>
              <w:pStyle w:val="10"/>
            </w:pPr>
            <w:r>
              <w:t>其他资金</w:t>
            </w:r>
          </w:p>
        </w:tc>
        <w:tc>
          <w:tcPr>
            <w:tcW w:w="1276" w:type="dxa"/>
            <w:vAlign w:val="center"/>
          </w:tcPr>
          <w:p w14:paraId="401AEC0A">
            <w:pPr>
              <w:pStyle w:val="12"/>
            </w:pPr>
            <w:r>
              <w:t xml:space="preserve"> </w:t>
            </w:r>
          </w:p>
        </w:tc>
      </w:tr>
      <w:tr w14:paraId="499DB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DD6C8"/>
        </w:tc>
        <w:tc>
          <w:tcPr>
            <w:tcW w:w="14033" w:type="dxa"/>
            <w:gridSpan w:val="6"/>
            <w:vAlign w:val="center"/>
          </w:tcPr>
          <w:p w14:paraId="2F1B41EB">
            <w:pPr>
              <w:pStyle w:val="12"/>
            </w:pPr>
            <w:r>
              <w:t>保障义务教育学校正常运转，完成教育教学活动和其他日常工作任务等方面的费用支出。</w:t>
            </w:r>
          </w:p>
        </w:tc>
      </w:tr>
      <w:tr w14:paraId="4BC4F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4C959">
            <w:pPr>
              <w:pStyle w:val="10"/>
            </w:pPr>
            <w:r>
              <w:t>资金支出计划（%）</w:t>
            </w:r>
          </w:p>
        </w:tc>
        <w:tc>
          <w:tcPr>
            <w:tcW w:w="5103" w:type="dxa"/>
            <w:gridSpan w:val="2"/>
            <w:vAlign w:val="center"/>
          </w:tcPr>
          <w:p w14:paraId="36A411A1">
            <w:pPr>
              <w:pStyle w:val="10"/>
            </w:pPr>
            <w:r>
              <w:t>3月底</w:t>
            </w:r>
          </w:p>
        </w:tc>
        <w:tc>
          <w:tcPr>
            <w:tcW w:w="2835" w:type="dxa"/>
            <w:vAlign w:val="center"/>
          </w:tcPr>
          <w:p w14:paraId="7A8B6C5D">
            <w:pPr>
              <w:pStyle w:val="10"/>
            </w:pPr>
            <w:r>
              <w:t>6月底</w:t>
            </w:r>
          </w:p>
        </w:tc>
        <w:tc>
          <w:tcPr>
            <w:tcW w:w="2551" w:type="dxa"/>
            <w:vAlign w:val="center"/>
          </w:tcPr>
          <w:p w14:paraId="21F80AC0">
            <w:pPr>
              <w:pStyle w:val="10"/>
            </w:pPr>
            <w:r>
              <w:t>10月底</w:t>
            </w:r>
          </w:p>
        </w:tc>
        <w:tc>
          <w:tcPr>
            <w:tcW w:w="3544" w:type="dxa"/>
            <w:gridSpan w:val="2"/>
            <w:vAlign w:val="center"/>
          </w:tcPr>
          <w:p w14:paraId="1C49271C">
            <w:pPr>
              <w:pStyle w:val="10"/>
            </w:pPr>
            <w:r>
              <w:t>12月底</w:t>
            </w:r>
          </w:p>
        </w:tc>
      </w:tr>
      <w:tr w14:paraId="4516B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6C776"/>
        </w:tc>
        <w:tc>
          <w:tcPr>
            <w:tcW w:w="5103" w:type="dxa"/>
            <w:gridSpan w:val="2"/>
            <w:vAlign w:val="center"/>
          </w:tcPr>
          <w:p w14:paraId="6C802B44">
            <w:pPr>
              <w:pStyle w:val="13"/>
            </w:pPr>
            <w:r>
              <w:t>25%</w:t>
            </w:r>
          </w:p>
        </w:tc>
        <w:tc>
          <w:tcPr>
            <w:tcW w:w="2835" w:type="dxa"/>
            <w:vAlign w:val="center"/>
          </w:tcPr>
          <w:p w14:paraId="5979B872">
            <w:pPr>
              <w:pStyle w:val="13"/>
            </w:pPr>
            <w:r>
              <w:t>50%</w:t>
            </w:r>
          </w:p>
        </w:tc>
        <w:tc>
          <w:tcPr>
            <w:tcW w:w="2551" w:type="dxa"/>
            <w:vAlign w:val="center"/>
          </w:tcPr>
          <w:p w14:paraId="03DD82FE">
            <w:pPr>
              <w:pStyle w:val="13"/>
            </w:pPr>
            <w:r>
              <w:t>75%</w:t>
            </w:r>
          </w:p>
        </w:tc>
        <w:tc>
          <w:tcPr>
            <w:tcW w:w="3544" w:type="dxa"/>
            <w:gridSpan w:val="2"/>
            <w:vAlign w:val="center"/>
          </w:tcPr>
          <w:p w14:paraId="6481D725">
            <w:pPr>
              <w:pStyle w:val="13"/>
            </w:pPr>
            <w:r>
              <w:t>100%</w:t>
            </w:r>
          </w:p>
        </w:tc>
      </w:tr>
      <w:tr w14:paraId="14599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040A5">
            <w:pPr>
              <w:pStyle w:val="10"/>
            </w:pPr>
            <w:r>
              <w:t>绩效目标</w:t>
            </w:r>
          </w:p>
        </w:tc>
        <w:tc>
          <w:tcPr>
            <w:tcW w:w="14033" w:type="dxa"/>
            <w:gridSpan w:val="6"/>
            <w:vAlign w:val="center"/>
          </w:tcPr>
          <w:p w14:paraId="580063B4">
            <w:pPr>
              <w:pStyle w:val="12"/>
            </w:pPr>
            <w:r>
              <w:t>1.按季度分批次拨付公用经费资金154080元，资金拨付率达到100%。</w:t>
            </w:r>
          </w:p>
          <w:p w14:paraId="0189CFEA">
            <w:pPr>
              <w:pStyle w:val="12"/>
            </w:pPr>
            <w:r>
              <w:t>2.保障义务教育学校正常运转，完成教育教学活动和其他日常工作任务等方面的费用支出。</w:t>
            </w:r>
          </w:p>
        </w:tc>
      </w:tr>
    </w:tbl>
    <w:p w14:paraId="0D6012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E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E610C">
            <w:pPr>
              <w:pStyle w:val="10"/>
            </w:pPr>
            <w:r>
              <w:t>一级指标</w:t>
            </w:r>
          </w:p>
        </w:tc>
        <w:tc>
          <w:tcPr>
            <w:tcW w:w="2268" w:type="dxa"/>
            <w:vAlign w:val="center"/>
          </w:tcPr>
          <w:p w14:paraId="10CAF1BC">
            <w:pPr>
              <w:pStyle w:val="10"/>
            </w:pPr>
            <w:r>
              <w:t>二级指标</w:t>
            </w:r>
          </w:p>
        </w:tc>
        <w:tc>
          <w:tcPr>
            <w:tcW w:w="2835" w:type="dxa"/>
            <w:vAlign w:val="center"/>
          </w:tcPr>
          <w:p w14:paraId="36E75E14">
            <w:pPr>
              <w:pStyle w:val="10"/>
            </w:pPr>
            <w:r>
              <w:t>三级指标</w:t>
            </w:r>
          </w:p>
        </w:tc>
        <w:tc>
          <w:tcPr>
            <w:tcW w:w="5386" w:type="dxa"/>
            <w:vAlign w:val="center"/>
          </w:tcPr>
          <w:p w14:paraId="377ECA7C">
            <w:pPr>
              <w:pStyle w:val="10"/>
            </w:pPr>
            <w:r>
              <w:t>绩效指标描述</w:t>
            </w:r>
          </w:p>
        </w:tc>
        <w:tc>
          <w:tcPr>
            <w:tcW w:w="2268" w:type="dxa"/>
            <w:vAlign w:val="center"/>
          </w:tcPr>
          <w:p w14:paraId="41425123">
            <w:pPr>
              <w:pStyle w:val="10"/>
            </w:pPr>
            <w:r>
              <w:t>指标值</w:t>
            </w:r>
          </w:p>
        </w:tc>
        <w:tc>
          <w:tcPr>
            <w:tcW w:w="1276" w:type="dxa"/>
            <w:vAlign w:val="center"/>
          </w:tcPr>
          <w:p w14:paraId="6891E346">
            <w:pPr>
              <w:pStyle w:val="10"/>
            </w:pPr>
            <w:r>
              <w:t>指标值确定依据</w:t>
            </w:r>
          </w:p>
        </w:tc>
      </w:tr>
      <w:tr w14:paraId="4227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247FD">
            <w:pPr>
              <w:pStyle w:val="13"/>
            </w:pPr>
            <w:r>
              <w:t>产出指标</w:t>
            </w:r>
          </w:p>
        </w:tc>
        <w:tc>
          <w:tcPr>
            <w:tcW w:w="2268" w:type="dxa"/>
            <w:vAlign w:val="center"/>
          </w:tcPr>
          <w:p w14:paraId="5A13CF51">
            <w:pPr>
              <w:pStyle w:val="12"/>
            </w:pPr>
            <w:r>
              <w:t>数量指标</w:t>
            </w:r>
          </w:p>
        </w:tc>
        <w:tc>
          <w:tcPr>
            <w:tcW w:w="2835" w:type="dxa"/>
            <w:vAlign w:val="center"/>
          </w:tcPr>
          <w:p w14:paraId="1C6ABE48">
            <w:pPr>
              <w:pStyle w:val="12"/>
            </w:pPr>
            <w:r>
              <w:t>适龄在校生</w:t>
            </w:r>
          </w:p>
        </w:tc>
        <w:tc>
          <w:tcPr>
            <w:tcW w:w="5386" w:type="dxa"/>
            <w:vAlign w:val="center"/>
          </w:tcPr>
          <w:p w14:paraId="12BC82DF">
            <w:pPr>
              <w:pStyle w:val="12"/>
            </w:pPr>
            <w:r>
              <w:t>适龄在校就读学生人数</w:t>
            </w:r>
          </w:p>
        </w:tc>
        <w:tc>
          <w:tcPr>
            <w:tcW w:w="2268" w:type="dxa"/>
            <w:vAlign w:val="center"/>
          </w:tcPr>
          <w:p w14:paraId="5B11E763">
            <w:pPr>
              <w:pStyle w:val="12"/>
            </w:pPr>
            <w:r>
              <w:t>≤1627人</w:t>
            </w:r>
          </w:p>
        </w:tc>
        <w:tc>
          <w:tcPr>
            <w:tcW w:w="1276" w:type="dxa"/>
            <w:vAlign w:val="center"/>
          </w:tcPr>
          <w:p w14:paraId="6CA4E282">
            <w:pPr>
              <w:pStyle w:val="12"/>
            </w:pPr>
            <w:r>
              <w:t>城乡义务教育公用经费管理办法</w:t>
            </w:r>
          </w:p>
        </w:tc>
      </w:tr>
      <w:tr w14:paraId="4755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C0E24"/>
        </w:tc>
        <w:tc>
          <w:tcPr>
            <w:tcW w:w="2268" w:type="dxa"/>
            <w:vAlign w:val="center"/>
          </w:tcPr>
          <w:p w14:paraId="5B789AF2">
            <w:pPr>
              <w:pStyle w:val="12"/>
            </w:pPr>
            <w:r>
              <w:t>质量指标</w:t>
            </w:r>
          </w:p>
        </w:tc>
        <w:tc>
          <w:tcPr>
            <w:tcW w:w="2835" w:type="dxa"/>
            <w:vAlign w:val="center"/>
          </w:tcPr>
          <w:p w14:paraId="29E24F00">
            <w:pPr>
              <w:pStyle w:val="12"/>
            </w:pPr>
            <w:r>
              <w:t>公用经费拨付完成率</w:t>
            </w:r>
          </w:p>
        </w:tc>
        <w:tc>
          <w:tcPr>
            <w:tcW w:w="5386" w:type="dxa"/>
            <w:vAlign w:val="center"/>
          </w:tcPr>
          <w:p w14:paraId="6969089A">
            <w:pPr>
              <w:pStyle w:val="12"/>
            </w:pPr>
            <w:r>
              <w:t>公用经费拨付完成率达到需时进度</w:t>
            </w:r>
          </w:p>
        </w:tc>
        <w:tc>
          <w:tcPr>
            <w:tcW w:w="2268" w:type="dxa"/>
            <w:vAlign w:val="center"/>
          </w:tcPr>
          <w:p w14:paraId="1B09AA6A">
            <w:pPr>
              <w:pStyle w:val="12"/>
            </w:pPr>
            <w:r>
              <w:t>100%</w:t>
            </w:r>
          </w:p>
        </w:tc>
        <w:tc>
          <w:tcPr>
            <w:tcW w:w="1276" w:type="dxa"/>
            <w:vAlign w:val="center"/>
          </w:tcPr>
          <w:p w14:paraId="62AC8063">
            <w:pPr>
              <w:pStyle w:val="12"/>
            </w:pPr>
            <w:r>
              <w:t>城乡义务教育公用经费管理办法</w:t>
            </w:r>
          </w:p>
        </w:tc>
      </w:tr>
      <w:tr w14:paraId="16F3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A5F0C"/>
        </w:tc>
        <w:tc>
          <w:tcPr>
            <w:tcW w:w="2268" w:type="dxa"/>
            <w:vAlign w:val="center"/>
          </w:tcPr>
          <w:p w14:paraId="1B49A8E0">
            <w:pPr>
              <w:pStyle w:val="12"/>
            </w:pPr>
            <w:r>
              <w:t>时效指标</w:t>
            </w:r>
          </w:p>
        </w:tc>
        <w:tc>
          <w:tcPr>
            <w:tcW w:w="2835" w:type="dxa"/>
            <w:vAlign w:val="center"/>
          </w:tcPr>
          <w:p w14:paraId="1DB81F6B">
            <w:pPr>
              <w:pStyle w:val="12"/>
            </w:pPr>
            <w:r>
              <w:t>资金支付率</w:t>
            </w:r>
          </w:p>
        </w:tc>
        <w:tc>
          <w:tcPr>
            <w:tcW w:w="5386" w:type="dxa"/>
            <w:vAlign w:val="center"/>
          </w:tcPr>
          <w:p w14:paraId="31EB1F6F">
            <w:pPr>
              <w:pStyle w:val="12"/>
            </w:pPr>
            <w:r>
              <w:t>按照序时进度完成资金支付</w:t>
            </w:r>
          </w:p>
        </w:tc>
        <w:tc>
          <w:tcPr>
            <w:tcW w:w="2268" w:type="dxa"/>
            <w:vAlign w:val="center"/>
          </w:tcPr>
          <w:p w14:paraId="77085698">
            <w:pPr>
              <w:pStyle w:val="12"/>
            </w:pPr>
            <w:r>
              <w:t>100%</w:t>
            </w:r>
          </w:p>
        </w:tc>
        <w:tc>
          <w:tcPr>
            <w:tcW w:w="1276" w:type="dxa"/>
            <w:vAlign w:val="center"/>
          </w:tcPr>
          <w:p w14:paraId="11EA431A">
            <w:pPr>
              <w:pStyle w:val="12"/>
            </w:pPr>
            <w:r>
              <w:t>城乡义务教育公用经费管理办法</w:t>
            </w:r>
          </w:p>
        </w:tc>
      </w:tr>
      <w:tr w14:paraId="158B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88E5B"/>
        </w:tc>
        <w:tc>
          <w:tcPr>
            <w:tcW w:w="2268" w:type="dxa"/>
            <w:vAlign w:val="center"/>
          </w:tcPr>
          <w:p w14:paraId="2681348D">
            <w:pPr>
              <w:pStyle w:val="12"/>
            </w:pPr>
            <w:r>
              <w:t>成本指标</w:t>
            </w:r>
          </w:p>
        </w:tc>
        <w:tc>
          <w:tcPr>
            <w:tcW w:w="2835" w:type="dxa"/>
            <w:vAlign w:val="center"/>
          </w:tcPr>
          <w:p w14:paraId="3A2BEAAA">
            <w:pPr>
              <w:pStyle w:val="12"/>
            </w:pPr>
            <w:r>
              <w:t>生均拨款标准</w:t>
            </w:r>
          </w:p>
        </w:tc>
        <w:tc>
          <w:tcPr>
            <w:tcW w:w="5386" w:type="dxa"/>
            <w:vAlign w:val="center"/>
          </w:tcPr>
          <w:p w14:paraId="49CF2C05">
            <w:pPr>
              <w:pStyle w:val="12"/>
            </w:pPr>
            <w:r>
              <w:t>小学：（基本标准720元、寄宿生300元、取暖费120元）/生/学年；特教、随班就读学生：标准7000元/生/学年。</w:t>
            </w:r>
          </w:p>
        </w:tc>
        <w:tc>
          <w:tcPr>
            <w:tcW w:w="2268" w:type="dxa"/>
            <w:vAlign w:val="center"/>
          </w:tcPr>
          <w:p w14:paraId="5A7510AF">
            <w:pPr>
              <w:pStyle w:val="12"/>
            </w:pPr>
            <w:r>
              <w:t>154080元</w:t>
            </w:r>
          </w:p>
        </w:tc>
        <w:tc>
          <w:tcPr>
            <w:tcW w:w="1276" w:type="dxa"/>
            <w:vAlign w:val="center"/>
          </w:tcPr>
          <w:p w14:paraId="10E7756C">
            <w:pPr>
              <w:pStyle w:val="12"/>
            </w:pPr>
            <w:r>
              <w:t>城乡义务教育公用经费管理办法</w:t>
            </w:r>
          </w:p>
        </w:tc>
      </w:tr>
      <w:tr w14:paraId="25E0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F2EAF">
            <w:pPr>
              <w:pStyle w:val="13"/>
            </w:pPr>
            <w:r>
              <w:t>效益指标</w:t>
            </w:r>
          </w:p>
        </w:tc>
        <w:tc>
          <w:tcPr>
            <w:tcW w:w="2268" w:type="dxa"/>
            <w:vAlign w:val="center"/>
          </w:tcPr>
          <w:p w14:paraId="3D60EBFC">
            <w:pPr>
              <w:pStyle w:val="12"/>
            </w:pPr>
            <w:r>
              <w:t>经济效益指标</w:t>
            </w:r>
          </w:p>
        </w:tc>
        <w:tc>
          <w:tcPr>
            <w:tcW w:w="2835" w:type="dxa"/>
            <w:vAlign w:val="center"/>
          </w:tcPr>
          <w:p w14:paraId="54B1D413">
            <w:pPr>
              <w:pStyle w:val="12"/>
            </w:pPr>
            <w:r>
              <w:t>项目实施成果</w:t>
            </w:r>
          </w:p>
        </w:tc>
        <w:tc>
          <w:tcPr>
            <w:tcW w:w="5386" w:type="dxa"/>
            <w:vAlign w:val="center"/>
          </w:tcPr>
          <w:p w14:paraId="6AE21E12">
            <w:pPr>
              <w:pStyle w:val="12"/>
            </w:pPr>
            <w:r>
              <w:t>减轻受教育学生家庭经济负担</w:t>
            </w:r>
          </w:p>
        </w:tc>
        <w:tc>
          <w:tcPr>
            <w:tcW w:w="2268" w:type="dxa"/>
            <w:vAlign w:val="center"/>
          </w:tcPr>
          <w:p w14:paraId="3E76DF3C">
            <w:pPr>
              <w:pStyle w:val="12"/>
            </w:pPr>
            <w:r>
              <w:t>100%</w:t>
            </w:r>
          </w:p>
        </w:tc>
        <w:tc>
          <w:tcPr>
            <w:tcW w:w="1276" w:type="dxa"/>
            <w:vAlign w:val="center"/>
          </w:tcPr>
          <w:p w14:paraId="25C24E1C">
            <w:pPr>
              <w:pStyle w:val="12"/>
            </w:pPr>
            <w:r>
              <w:t>城乡义务教育公用经费管理办法</w:t>
            </w:r>
          </w:p>
        </w:tc>
      </w:tr>
      <w:tr w14:paraId="7DAF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B98F7"/>
        </w:tc>
        <w:tc>
          <w:tcPr>
            <w:tcW w:w="2268" w:type="dxa"/>
            <w:vAlign w:val="center"/>
          </w:tcPr>
          <w:p w14:paraId="47FD8942">
            <w:pPr>
              <w:pStyle w:val="12"/>
            </w:pPr>
            <w:r>
              <w:t>社会效益指标</w:t>
            </w:r>
          </w:p>
        </w:tc>
        <w:tc>
          <w:tcPr>
            <w:tcW w:w="2835" w:type="dxa"/>
            <w:vAlign w:val="center"/>
          </w:tcPr>
          <w:p w14:paraId="286C2429">
            <w:pPr>
              <w:pStyle w:val="12"/>
            </w:pPr>
            <w:r>
              <w:t>学校办学能力提升</w:t>
            </w:r>
          </w:p>
        </w:tc>
        <w:tc>
          <w:tcPr>
            <w:tcW w:w="5386" w:type="dxa"/>
            <w:vAlign w:val="center"/>
          </w:tcPr>
          <w:p w14:paraId="515B4A4F">
            <w:pPr>
              <w:pStyle w:val="12"/>
            </w:pPr>
            <w:r>
              <w:t>学校办学能</w:t>
            </w:r>
            <w:r>
              <w:rPr>
                <w:rFonts w:hint="eastAsia"/>
                <w:lang w:eastAsia="zh-CN"/>
              </w:rPr>
              <w:t>力提</w:t>
            </w:r>
            <w:r>
              <w:t>升情况及教育教学工作等开展的情况</w:t>
            </w:r>
          </w:p>
        </w:tc>
        <w:tc>
          <w:tcPr>
            <w:tcW w:w="2268" w:type="dxa"/>
            <w:vAlign w:val="center"/>
          </w:tcPr>
          <w:p w14:paraId="35047486">
            <w:pPr>
              <w:pStyle w:val="12"/>
            </w:pPr>
            <w:r>
              <w:t>100%</w:t>
            </w:r>
          </w:p>
        </w:tc>
        <w:tc>
          <w:tcPr>
            <w:tcW w:w="1276" w:type="dxa"/>
            <w:vAlign w:val="center"/>
          </w:tcPr>
          <w:p w14:paraId="26DBB6E4">
            <w:pPr>
              <w:pStyle w:val="12"/>
            </w:pPr>
            <w:r>
              <w:t>城乡义务教育公用经费管理办法</w:t>
            </w:r>
          </w:p>
        </w:tc>
      </w:tr>
      <w:tr w14:paraId="0250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6846F"/>
        </w:tc>
        <w:tc>
          <w:tcPr>
            <w:tcW w:w="2268" w:type="dxa"/>
            <w:vAlign w:val="center"/>
          </w:tcPr>
          <w:p w14:paraId="6569D642">
            <w:pPr>
              <w:pStyle w:val="12"/>
            </w:pPr>
            <w:r>
              <w:t>可持续影响指标</w:t>
            </w:r>
          </w:p>
        </w:tc>
        <w:tc>
          <w:tcPr>
            <w:tcW w:w="2835" w:type="dxa"/>
            <w:vAlign w:val="center"/>
          </w:tcPr>
          <w:p w14:paraId="67D65F4F">
            <w:pPr>
              <w:pStyle w:val="12"/>
            </w:pPr>
            <w:r>
              <w:t>教育发展水平</w:t>
            </w:r>
          </w:p>
        </w:tc>
        <w:tc>
          <w:tcPr>
            <w:tcW w:w="5386" w:type="dxa"/>
            <w:vAlign w:val="center"/>
          </w:tcPr>
          <w:p w14:paraId="4A5ED3F6">
            <w:pPr>
              <w:pStyle w:val="12"/>
            </w:pPr>
            <w:r>
              <w:t>辖区内教育环境明显好转</w:t>
            </w:r>
          </w:p>
        </w:tc>
        <w:tc>
          <w:tcPr>
            <w:tcW w:w="2268" w:type="dxa"/>
            <w:vAlign w:val="center"/>
          </w:tcPr>
          <w:p w14:paraId="5C64F557">
            <w:pPr>
              <w:pStyle w:val="12"/>
            </w:pPr>
            <w:r>
              <w:t>100%</w:t>
            </w:r>
          </w:p>
        </w:tc>
        <w:tc>
          <w:tcPr>
            <w:tcW w:w="1276" w:type="dxa"/>
            <w:vAlign w:val="center"/>
          </w:tcPr>
          <w:p w14:paraId="5839E14A">
            <w:pPr>
              <w:pStyle w:val="12"/>
            </w:pPr>
            <w:r>
              <w:t>城乡义务教育公用经费管理办法</w:t>
            </w:r>
          </w:p>
        </w:tc>
      </w:tr>
      <w:tr w14:paraId="59D46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0E79C">
            <w:pPr>
              <w:pStyle w:val="13"/>
            </w:pPr>
            <w:r>
              <w:t>满意度指标</w:t>
            </w:r>
          </w:p>
        </w:tc>
        <w:tc>
          <w:tcPr>
            <w:tcW w:w="2268" w:type="dxa"/>
            <w:vAlign w:val="center"/>
          </w:tcPr>
          <w:p w14:paraId="5358FD98">
            <w:pPr>
              <w:pStyle w:val="12"/>
            </w:pPr>
            <w:r>
              <w:t>服务对象满意度指标</w:t>
            </w:r>
          </w:p>
        </w:tc>
        <w:tc>
          <w:tcPr>
            <w:tcW w:w="2835" w:type="dxa"/>
            <w:vAlign w:val="center"/>
          </w:tcPr>
          <w:p w14:paraId="764F58B9">
            <w:pPr>
              <w:pStyle w:val="12"/>
            </w:pPr>
            <w:r>
              <w:t>受益学生家长及调查满意度</w:t>
            </w:r>
          </w:p>
        </w:tc>
        <w:tc>
          <w:tcPr>
            <w:tcW w:w="5386" w:type="dxa"/>
            <w:vAlign w:val="center"/>
          </w:tcPr>
          <w:p w14:paraId="546E9AB2">
            <w:pPr>
              <w:pStyle w:val="12"/>
            </w:pPr>
            <w:r>
              <w:t>学生、教师及家长对学校保教保育工作满意度情况</w:t>
            </w:r>
          </w:p>
        </w:tc>
        <w:tc>
          <w:tcPr>
            <w:tcW w:w="2268" w:type="dxa"/>
            <w:vAlign w:val="center"/>
          </w:tcPr>
          <w:p w14:paraId="734B33DB">
            <w:pPr>
              <w:pStyle w:val="12"/>
            </w:pPr>
            <w:r>
              <w:t>≥95%</w:t>
            </w:r>
          </w:p>
        </w:tc>
        <w:tc>
          <w:tcPr>
            <w:tcW w:w="1276" w:type="dxa"/>
            <w:vAlign w:val="center"/>
          </w:tcPr>
          <w:p w14:paraId="28D80CC7">
            <w:pPr>
              <w:pStyle w:val="12"/>
            </w:pPr>
            <w:r>
              <w:t>调查问卷</w:t>
            </w:r>
          </w:p>
        </w:tc>
      </w:tr>
    </w:tbl>
    <w:p w14:paraId="733964D5">
      <w:pPr>
        <w:sectPr>
          <w:pgSz w:w="16840" w:h="11900" w:orient="landscape"/>
          <w:pgMar w:top="1361" w:right="1020" w:bottom="1134" w:left="1020" w:header="720" w:footer="720" w:gutter="0"/>
          <w:cols w:space="720" w:num="1"/>
        </w:sectPr>
      </w:pPr>
    </w:p>
    <w:p w14:paraId="66601704">
      <w:pPr>
        <w:spacing w:before="0" w:after="0"/>
        <w:ind w:firstLine="560"/>
        <w:jc w:val="left"/>
        <w:outlineLvl w:val="9"/>
      </w:pPr>
      <w:r>
        <w:rPr>
          <w:rFonts w:ascii="方正仿宋_GBK" w:hAnsi="方正仿宋_GBK" w:eastAsia="方正仿宋_GBK" w:cs="方正仿宋_GBK"/>
          <w:b/>
          <w:color w:val="000000"/>
          <w:sz w:val="28"/>
        </w:rPr>
        <w:t>31、县级配套/城关校区柳行小学公用经费绩效目标表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8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EB1A2">
            <w:pPr>
              <w:pStyle w:val="11"/>
            </w:pPr>
            <w:r>
              <w:t>单位：万元</w:t>
            </w:r>
          </w:p>
        </w:tc>
      </w:tr>
      <w:tr w14:paraId="15BCF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F8F7D">
            <w:pPr>
              <w:pStyle w:val="10"/>
            </w:pPr>
            <w:r>
              <w:t>项目编码</w:t>
            </w:r>
          </w:p>
        </w:tc>
        <w:tc>
          <w:tcPr>
            <w:tcW w:w="5103" w:type="dxa"/>
            <w:gridSpan w:val="2"/>
            <w:vAlign w:val="center"/>
          </w:tcPr>
          <w:p w14:paraId="4D78DE69">
            <w:pPr>
              <w:pStyle w:val="12"/>
            </w:pPr>
            <w:r>
              <w:t>13052526P000004104261</w:t>
            </w:r>
          </w:p>
        </w:tc>
        <w:tc>
          <w:tcPr>
            <w:tcW w:w="2835" w:type="dxa"/>
            <w:vAlign w:val="center"/>
          </w:tcPr>
          <w:p w14:paraId="3889AC7A">
            <w:pPr>
              <w:pStyle w:val="10"/>
            </w:pPr>
            <w:r>
              <w:t>项目名称</w:t>
            </w:r>
          </w:p>
        </w:tc>
        <w:tc>
          <w:tcPr>
            <w:tcW w:w="6095" w:type="dxa"/>
            <w:gridSpan w:val="3"/>
            <w:vAlign w:val="center"/>
          </w:tcPr>
          <w:p w14:paraId="3E224F8E">
            <w:pPr>
              <w:pStyle w:val="12"/>
            </w:pPr>
            <w:r>
              <w:t>县级配套/城关校区柳行小学公用经费</w:t>
            </w:r>
          </w:p>
        </w:tc>
      </w:tr>
      <w:tr w14:paraId="4394A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FB142">
            <w:pPr>
              <w:pStyle w:val="10"/>
            </w:pPr>
            <w:r>
              <w:t>预算规模及资金用途</w:t>
            </w:r>
          </w:p>
        </w:tc>
        <w:tc>
          <w:tcPr>
            <w:tcW w:w="2268" w:type="dxa"/>
            <w:vAlign w:val="center"/>
          </w:tcPr>
          <w:p w14:paraId="3D555708">
            <w:pPr>
              <w:pStyle w:val="10"/>
            </w:pPr>
            <w:r>
              <w:t>预算数</w:t>
            </w:r>
          </w:p>
        </w:tc>
        <w:tc>
          <w:tcPr>
            <w:tcW w:w="2835" w:type="dxa"/>
            <w:vAlign w:val="center"/>
          </w:tcPr>
          <w:p w14:paraId="682636C3">
            <w:pPr>
              <w:pStyle w:val="12"/>
            </w:pPr>
            <w:r>
              <w:t>8.90</w:t>
            </w:r>
          </w:p>
        </w:tc>
        <w:tc>
          <w:tcPr>
            <w:tcW w:w="2835" w:type="dxa"/>
            <w:vAlign w:val="center"/>
          </w:tcPr>
          <w:p w14:paraId="1E2C87CB">
            <w:pPr>
              <w:pStyle w:val="10"/>
            </w:pPr>
            <w:r>
              <w:t>其中：财政    资金</w:t>
            </w:r>
          </w:p>
        </w:tc>
        <w:tc>
          <w:tcPr>
            <w:tcW w:w="2551" w:type="dxa"/>
            <w:vAlign w:val="center"/>
          </w:tcPr>
          <w:p w14:paraId="51F502C6">
            <w:pPr>
              <w:pStyle w:val="12"/>
            </w:pPr>
            <w:r>
              <w:t>8.90</w:t>
            </w:r>
          </w:p>
        </w:tc>
        <w:tc>
          <w:tcPr>
            <w:tcW w:w="2268" w:type="dxa"/>
            <w:vAlign w:val="center"/>
          </w:tcPr>
          <w:p w14:paraId="67609A27">
            <w:pPr>
              <w:pStyle w:val="10"/>
            </w:pPr>
            <w:r>
              <w:t>其他资金</w:t>
            </w:r>
          </w:p>
        </w:tc>
        <w:tc>
          <w:tcPr>
            <w:tcW w:w="1276" w:type="dxa"/>
            <w:vAlign w:val="center"/>
          </w:tcPr>
          <w:p w14:paraId="66B5AA3C">
            <w:pPr>
              <w:pStyle w:val="12"/>
            </w:pPr>
            <w:r>
              <w:t xml:space="preserve"> </w:t>
            </w:r>
          </w:p>
        </w:tc>
      </w:tr>
      <w:tr w14:paraId="2B353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F6AC9"/>
        </w:tc>
        <w:tc>
          <w:tcPr>
            <w:tcW w:w="14033" w:type="dxa"/>
            <w:gridSpan w:val="6"/>
            <w:vAlign w:val="center"/>
          </w:tcPr>
          <w:p w14:paraId="4EF085FA">
            <w:pPr>
              <w:pStyle w:val="12"/>
            </w:pPr>
            <w:r>
              <w:t>保障义务教育学校正常运转，完成教育教学活动和其他日常工作任务等方面的费用支出。</w:t>
            </w:r>
          </w:p>
        </w:tc>
      </w:tr>
      <w:tr w14:paraId="2F600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6ECFF">
            <w:pPr>
              <w:pStyle w:val="10"/>
            </w:pPr>
            <w:r>
              <w:t>资金支出计划（%）</w:t>
            </w:r>
          </w:p>
        </w:tc>
        <w:tc>
          <w:tcPr>
            <w:tcW w:w="5103" w:type="dxa"/>
            <w:gridSpan w:val="2"/>
            <w:vAlign w:val="center"/>
          </w:tcPr>
          <w:p w14:paraId="09EC45ED">
            <w:pPr>
              <w:pStyle w:val="10"/>
            </w:pPr>
            <w:r>
              <w:t>3月底</w:t>
            </w:r>
          </w:p>
        </w:tc>
        <w:tc>
          <w:tcPr>
            <w:tcW w:w="2835" w:type="dxa"/>
            <w:vAlign w:val="center"/>
          </w:tcPr>
          <w:p w14:paraId="425A5868">
            <w:pPr>
              <w:pStyle w:val="10"/>
            </w:pPr>
            <w:r>
              <w:t>6月底</w:t>
            </w:r>
          </w:p>
        </w:tc>
        <w:tc>
          <w:tcPr>
            <w:tcW w:w="2551" w:type="dxa"/>
            <w:vAlign w:val="center"/>
          </w:tcPr>
          <w:p w14:paraId="1B17BA63">
            <w:pPr>
              <w:pStyle w:val="10"/>
            </w:pPr>
            <w:r>
              <w:t>10月底</w:t>
            </w:r>
          </w:p>
        </w:tc>
        <w:tc>
          <w:tcPr>
            <w:tcW w:w="3544" w:type="dxa"/>
            <w:gridSpan w:val="2"/>
            <w:vAlign w:val="center"/>
          </w:tcPr>
          <w:p w14:paraId="165BC186">
            <w:pPr>
              <w:pStyle w:val="10"/>
            </w:pPr>
            <w:r>
              <w:t>12月底</w:t>
            </w:r>
          </w:p>
        </w:tc>
      </w:tr>
      <w:tr w14:paraId="078DC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3B51F"/>
        </w:tc>
        <w:tc>
          <w:tcPr>
            <w:tcW w:w="5103" w:type="dxa"/>
            <w:gridSpan w:val="2"/>
            <w:vAlign w:val="center"/>
          </w:tcPr>
          <w:p w14:paraId="66CD595E">
            <w:pPr>
              <w:pStyle w:val="13"/>
            </w:pPr>
            <w:r>
              <w:t>25%</w:t>
            </w:r>
          </w:p>
        </w:tc>
        <w:tc>
          <w:tcPr>
            <w:tcW w:w="2835" w:type="dxa"/>
            <w:vAlign w:val="center"/>
          </w:tcPr>
          <w:p w14:paraId="3EE15710">
            <w:pPr>
              <w:pStyle w:val="13"/>
            </w:pPr>
            <w:r>
              <w:t>50%</w:t>
            </w:r>
          </w:p>
        </w:tc>
        <w:tc>
          <w:tcPr>
            <w:tcW w:w="2551" w:type="dxa"/>
            <w:vAlign w:val="center"/>
          </w:tcPr>
          <w:p w14:paraId="21A52F70">
            <w:pPr>
              <w:pStyle w:val="13"/>
            </w:pPr>
            <w:r>
              <w:t>75%</w:t>
            </w:r>
          </w:p>
        </w:tc>
        <w:tc>
          <w:tcPr>
            <w:tcW w:w="3544" w:type="dxa"/>
            <w:gridSpan w:val="2"/>
            <w:vAlign w:val="center"/>
          </w:tcPr>
          <w:p w14:paraId="16515E0A">
            <w:pPr>
              <w:pStyle w:val="13"/>
            </w:pPr>
            <w:r>
              <w:t>100%</w:t>
            </w:r>
          </w:p>
        </w:tc>
      </w:tr>
      <w:tr w14:paraId="20FBB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AD32C">
            <w:pPr>
              <w:pStyle w:val="10"/>
            </w:pPr>
            <w:r>
              <w:t>绩效目标</w:t>
            </w:r>
          </w:p>
        </w:tc>
        <w:tc>
          <w:tcPr>
            <w:tcW w:w="14033" w:type="dxa"/>
            <w:gridSpan w:val="6"/>
            <w:vAlign w:val="center"/>
          </w:tcPr>
          <w:p w14:paraId="65639ACC">
            <w:pPr>
              <w:pStyle w:val="12"/>
            </w:pPr>
            <w:r>
              <w:t>1.按季度分批次拨付公用经费资金88956元，资金拨付率达到100%。</w:t>
            </w:r>
          </w:p>
          <w:p w14:paraId="01ADA523">
            <w:pPr>
              <w:pStyle w:val="12"/>
            </w:pPr>
            <w:r>
              <w:t>2.保障义务教育学校正常运转，完成教育教学活动和其他日常工作任务等方面的费用支出。</w:t>
            </w:r>
          </w:p>
        </w:tc>
      </w:tr>
    </w:tbl>
    <w:p w14:paraId="70337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0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7E8D9">
            <w:pPr>
              <w:pStyle w:val="10"/>
            </w:pPr>
            <w:r>
              <w:t>一级指标</w:t>
            </w:r>
          </w:p>
        </w:tc>
        <w:tc>
          <w:tcPr>
            <w:tcW w:w="2268" w:type="dxa"/>
            <w:vAlign w:val="center"/>
          </w:tcPr>
          <w:p w14:paraId="7066CA44">
            <w:pPr>
              <w:pStyle w:val="10"/>
            </w:pPr>
            <w:r>
              <w:t>二级指标</w:t>
            </w:r>
          </w:p>
        </w:tc>
        <w:tc>
          <w:tcPr>
            <w:tcW w:w="2835" w:type="dxa"/>
            <w:vAlign w:val="center"/>
          </w:tcPr>
          <w:p w14:paraId="3E905C98">
            <w:pPr>
              <w:pStyle w:val="10"/>
            </w:pPr>
            <w:r>
              <w:t>三级指标</w:t>
            </w:r>
          </w:p>
        </w:tc>
        <w:tc>
          <w:tcPr>
            <w:tcW w:w="5386" w:type="dxa"/>
            <w:vAlign w:val="center"/>
          </w:tcPr>
          <w:p w14:paraId="6EE314A5">
            <w:pPr>
              <w:pStyle w:val="10"/>
            </w:pPr>
            <w:r>
              <w:t>绩效指标描述</w:t>
            </w:r>
          </w:p>
        </w:tc>
        <w:tc>
          <w:tcPr>
            <w:tcW w:w="2268" w:type="dxa"/>
            <w:vAlign w:val="center"/>
          </w:tcPr>
          <w:p w14:paraId="0FDBC1AD">
            <w:pPr>
              <w:pStyle w:val="10"/>
            </w:pPr>
            <w:r>
              <w:t>指标值</w:t>
            </w:r>
          </w:p>
        </w:tc>
        <w:tc>
          <w:tcPr>
            <w:tcW w:w="1276" w:type="dxa"/>
            <w:vAlign w:val="center"/>
          </w:tcPr>
          <w:p w14:paraId="7F9B95FA">
            <w:pPr>
              <w:pStyle w:val="10"/>
            </w:pPr>
            <w:r>
              <w:t>指标值确定依据</w:t>
            </w:r>
          </w:p>
        </w:tc>
      </w:tr>
      <w:tr w14:paraId="5251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6BD82">
            <w:pPr>
              <w:pStyle w:val="13"/>
            </w:pPr>
            <w:r>
              <w:t>产出指标</w:t>
            </w:r>
          </w:p>
        </w:tc>
        <w:tc>
          <w:tcPr>
            <w:tcW w:w="2268" w:type="dxa"/>
            <w:vAlign w:val="center"/>
          </w:tcPr>
          <w:p w14:paraId="5A05CEAC">
            <w:pPr>
              <w:pStyle w:val="12"/>
            </w:pPr>
            <w:r>
              <w:t>数量指标</w:t>
            </w:r>
          </w:p>
        </w:tc>
        <w:tc>
          <w:tcPr>
            <w:tcW w:w="2835" w:type="dxa"/>
            <w:vAlign w:val="center"/>
          </w:tcPr>
          <w:p w14:paraId="169E07DE">
            <w:pPr>
              <w:pStyle w:val="12"/>
            </w:pPr>
            <w:r>
              <w:t>适龄在校生</w:t>
            </w:r>
          </w:p>
        </w:tc>
        <w:tc>
          <w:tcPr>
            <w:tcW w:w="5386" w:type="dxa"/>
            <w:vAlign w:val="center"/>
          </w:tcPr>
          <w:p w14:paraId="54498310">
            <w:pPr>
              <w:pStyle w:val="12"/>
            </w:pPr>
            <w:r>
              <w:t>适龄在校就读学生人数</w:t>
            </w:r>
          </w:p>
        </w:tc>
        <w:tc>
          <w:tcPr>
            <w:tcW w:w="2268" w:type="dxa"/>
            <w:vAlign w:val="center"/>
          </w:tcPr>
          <w:p w14:paraId="1C420CCD">
            <w:pPr>
              <w:pStyle w:val="12"/>
            </w:pPr>
            <w:r>
              <w:t>≥540人</w:t>
            </w:r>
          </w:p>
        </w:tc>
        <w:tc>
          <w:tcPr>
            <w:tcW w:w="1276" w:type="dxa"/>
            <w:vAlign w:val="center"/>
          </w:tcPr>
          <w:p w14:paraId="644FE26B">
            <w:pPr>
              <w:pStyle w:val="12"/>
            </w:pPr>
            <w:r>
              <w:t>城乡义务教育公用经费管理办法</w:t>
            </w:r>
          </w:p>
        </w:tc>
      </w:tr>
      <w:tr w14:paraId="7184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F596"/>
        </w:tc>
        <w:tc>
          <w:tcPr>
            <w:tcW w:w="2268" w:type="dxa"/>
            <w:vAlign w:val="center"/>
          </w:tcPr>
          <w:p w14:paraId="50B43E53">
            <w:pPr>
              <w:pStyle w:val="12"/>
            </w:pPr>
            <w:r>
              <w:t>质量指标</w:t>
            </w:r>
          </w:p>
        </w:tc>
        <w:tc>
          <w:tcPr>
            <w:tcW w:w="2835" w:type="dxa"/>
            <w:vAlign w:val="center"/>
          </w:tcPr>
          <w:p w14:paraId="3FD14138">
            <w:pPr>
              <w:pStyle w:val="12"/>
            </w:pPr>
            <w:r>
              <w:t>公用经费拨付完成率</w:t>
            </w:r>
          </w:p>
        </w:tc>
        <w:tc>
          <w:tcPr>
            <w:tcW w:w="5386" w:type="dxa"/>
            <w:vAlign w:val="center"/>
          </w:tcPr>
          <w:p w14:paraId="1910996A">
            <w:pPr>
              <w:pStyle w:val="12"/>
            </w:pPr>
            <w:r>
              <w:t>公用经费拨付完成率达到需时进度</w:t>
            </w:r>
          </w:p>
        </w:tc>
        <w:tc>
          <w:tcPr>
            <w:tcW w:w="2268" w:type="dxa"/>
            <w:vAlign w:val="center"/>
          </w:tcPr>
          <w:p w14:paraId="72847315">
            <w:pPr>
              <w:pStyle w:val="12"/>
            </w:pPr>
            <w:r>
              <w:t>100%</w:t>
            </w:r>
          </w:p>
        </w:tc>
        <w:tc>
          <w:tcPr>
            <w:tcW w:w="1276" w:type="dxa"/>
            <w:vAlign w:val="center"/>
          </w:tcPr>
          <w:p w14:paraId="2F46B824">
            <w:pPr>
              <w:pStyle w:val="12"/>
            </w:pPr>
            <w:r>
              <w:t>城乡义务教育公用经费管理办法</w:t>
            </w:r>
          </w:p>
        </w:tc>
      </w:tr>
      <w:tr w14:paraId="2D0D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4A9A6"/>
        </w:tc>
        <w:tc>
          <w:tcPr>
            <w:tcW w:w="2268" w:type="dxa"/>
            <w:vAlign w:val="center"/>
          </w:tcPr>
          <w:p w14:paraId="61BC3BAC">
            <w:pPr>
              <w:pStyle w:val="12"/>
            </w:pPr>
            <w:r>
              <w:t>时效指标</w:t>
            </w:r>
          </w:p>
        </w:tc>
        <w:tc>
          <w:tcPr>
            <w:tcW w:w="2835" w:type="dxa"/>
            <w:vAlign w:val="center"/>
          </w:tcPr>
          <w:p w14:paraId="0D34F019">
            <w:pPr>
              <w:pStyle w:val="12"/>
            </w:pPr>
            <w:r>
              <w:t>资金支付率</w:t>
            </w:r>
          </w:p>
        </w:tc>
        <w:tc>
          <w:tcPr>
            <w:tcW w:w="5386" w:type="dxa"/>
            <w:vAlign w:val="center"/>
          </w:tcPr>
          <w:p w14:paraId="68B000BA">
            <w:pPr>
              <w:pStyle w:val="12"/>
            </w:pPr>
            <w:r>
              <w:t>按照序时进度完成资金支付</w:t>
            </w:r>
          </w:p>
        </w:tc>
        <w:tc>
          <w:tcPr>
            <w:tcW w:w="2268" w:type="dxa"/>
            <w:vAlign w:val="center"/>
          </w:tcPr>
          <w:p w14:paraId="392A48BB">
            <w:pPr>
              <w:pStyle w:val="12"/>
            </w:pPr>
            <w:r>
              <w:t>100%</w:t>
            </w:r>
          </w:p>
        </w:tc>
        <w:tc>
          <w:tcPr>
            <w:tcW w:w="1276" w:type="dxa"/>
            <w:vAlign w:val="center"/>
          </w:tcPr>
          <w:p w14:paraId="42B98E70">
            <w:pPr>
              <w:pStyle w:val="12"/>
            </w:pPr>
            <w:r>
              <w:t>城乡义务教育公用经费管理办法</w:t>
            </w:r>
          </w:p>
        </w:tc>
      </w:tr>
      <w:tr w14:paraId="53C8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A9E71"/>
        </w:tc>
        <w:tc>
          <w:tcPr>
            <w:tcW w:w="2268" w:type="dxa"/>
            <w:vAlign w:val="center"/>
          </w:tcPr>
          <w:p w14:paraId="45DE262F">
            <w:pPr>
              <w:pStyle w:val="12"/>
            </w:pPr>
            <w:r>
              <w:t>成本指标</w:t>
            </w:r>
          </w:p>
        </w:tc>
        <w:tc>
          <w:tcPr>
            <w:tcW w:w="2835" w:type="dxa"/>
            <w:vAlign w:val="center"/>
          </w:tcPr>
          <w:p w14:paraId="7DAA4430">
            <w:pPr>
              <w:pStyle w:val="12"/>
            </w:pPr>
            <w:r>
              <w:t>生均拨款标准</w:t>
            </w:r>
          </w:p>
        </w:tc>
        <w:tc>
          <w:tcPr>
            <w:tcW w:w="5386" w:type="dxa"/>
            <w:vAlign w:val="center"/>
          </w:tcPr>
          <w:p w14:paraId="3DD3BF17">
            <w:pPr>
              <w:pStyle w:val="12"/>
            </w:pPr>
            <w:r>
              <w:t>小学：（基本标准720元、寄宿生300元、取暖费120元）/生/学年；特教、随班就读学生：标准7000元/生/学年。</w:t>
            </w:r>
          </w:p>
        </w:tc>
        <w:tc>
          <w:tcPr>
            <w:tcW w:w="2268" w:type="dxa"/>
            <w:vAlign w:val="center"/>
          </w:tcPr>
          <w:p w14:paraId="4DE0BB5B">
            <w:pPr>
              <w:pStyle w:val="12"/>
            </w:pPr>
            <w:r>
              <w:t>88956元</w:t>
            </w:r>
          </w:p>
        </w:tc>
        <w:tc>
          <w:tcPr>
            <w:tcW w:w="1276" w:type="dxa"/>
            <w:vAlign w:val="center"/>
          </w:tcPr>
          <w:p w14:paraId="38CDD2F2">
            <w:pPr>
              <w:pStyle w:val="12"/>
            </w:pPr>
            <w:r>
              <w:t>城乡义务教育公用经费管理办法</w:t>
            </w:r>
          </w:p>
        </w:tc>
      </w:tr>
      <w:tr w14:paraId="6A78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9D6E3">
            <w:pPr>
              <w:pStyle w:val="13"/>
            </w:pPr>
            <w:r>
              <w:t>效益指标</w:t>
            </w:r>
          </w:p>
        </w:tc>
        <w:tc>
          <w:tcPr>
            <w:tcW w:w="2268" w:type="dxa"/>
            <w:vAlign w:val="center"/>
          </w:tcPr>
          <w:p w14:paraId="38F7078F">
            <w:pPr>
              <w:pStyle w:val="12"/>
            </w:pPr>
            <w:r>
              <w:t>经济效益指标</w:t>
            </w:r>
          </w:p>
        </w:tc>
        <w:tc>
          <w:tcPr>
            <w:tcW w:w="2835" w:type="dxa"/>
            <w:vAlign w:val="center"/>
          </w:tcPr>
          <w:p w14:paraId="51F017F3">
            <w:pPr>
              <w:pStyle w:val="12"/>
            </w:pPr>
            <w:r>
              <w:t>项目实施成果</w:t>
            </w:r>
          </w:p>
        </w:tc>
        <w:tc>
          <w:tcPr>
            <w:tcW w:w="5386" w:type="dxa"/>
            <w:vAlign w:val="center"/>
          </w:tcPr>
          <w:p w14:paraId="3D0FEC43">
            <w:pPr>
              <w:pStyle w:val="12"/>
            </w:pPr>
            <w:r>
              <w:t>减轻受教育学生家庭经济负担</w:t>
            </w:r>
          </w:p>
        </w:tc>
        <w:tc>
          <w:tcPr>
            <w:tcW w:w="2268" w:type="dxa"/>
            <w:vAlign w:val="center"/>
          </w:tcPr>
          <w:p w14:paraId="7977C4D9">
            <w:pPr>
              <w:pStyle w:val="12"/>
            </w:pPr>
            <w:r>
              <w:t>100%</w:t>
            </w:r>
          </w:p>
        </w:tc>
        <w:tc>
          <w:tcPr>
            <w:tcW w:w="1276" w:type="dxa"/>
            <w:vAlign w:val="center"/>
          </w:tcPr>
          <w:p w14:paraId="712FDF7C">
            <w:pPr>
              <w:pStyle w:val="12"/>
            </w:pPr>
            <w:r>
              <w:t>城乡义务教育公用经费管理办法</w:t>
            </w:r>
          </w:p>
        </w:tc>
      </w:tr>
      <w:tr w14:paraId="0CED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8EE99"/>
        </w:tc>
        <w:tc>
          <w:tcPr>
            <w:tcW w:w="2268" w:type="dxa"/>
            <w:vAlign w:val="center"/>
          </w:tcPr>
          <w:p w14:paraId="787E1DF2">
            <w:pPr>
              <w:pStyle w:val="12"/>
            </w:pPr>
            <w:r>
              <w:t>社会效益指标</w:t>
            </w:r>
          </w:p>
        </w:tc>
        <w:tc>
          <w:tcPr>
            <w:tcW w:w="2835" w:type="dxa"/>
            <w:vAlign w:val="center"/>
          </w:tcPr>
          <w:p w14:paraId="61E5511A">
            <w:pPr>
              <w:pStyle w:val="12"/>
            </w:pPr>
            <w:r>
              <w:t>学校办学能力提升</w:t>
            </w:r>
          </w:p>
        </w:tc>
        <w:tc>
          <w:tcPr>
            <w:tcW w:w="5386" w:type="dxa"/>
            <w:vAlign w:val="center"/>
          </w:tcPr>
          <w:p w14:paraId="0D8BDCBA">
            <w:pPr>
              <w:pStyle w:val="12"/>
            </w:pPr>
            <w:r>
              <w:t>学校办学能</w:t>
            </w:r>
            <w:r>
              <w:rPr>
                <w:rFonts w:hint="eastAsia"/>
                <w:lang w:eastAsia="zh-CN"/>
              </w:rPr>
              <w:t>力提</w:t>
            </w:r>
            <w:r>
              <w:t>升情况及教育教学工作等开展的情况</w:t>
            </w:r>
          </w:p>
        </w:tc>
        <w:tc>
          <w:tcPr>
            <w:tcW w:w="2268" w:type="dxa"/>
            <w:vAlign w:val="center"/>
          </w:tcPr>
          <w:p w14:paraId="4E1681D7">
            <w:pPr>
              <w:pStyle w:val="12"/>
            </w:pPr>
            <w:r>
              <w:t>100%</w:t>
            </w:r>
          </w:p>
        </w:tc>
        <w:tc>
          <w:tcPr>
            <w:tcW w:w="1276" w:type="dxa"/>
            <w:vAlign w:val="center"/>
          </w:tcPr>
          <w:p w14:paraId="10EE73D7">
            <w:pPr>
              <w:pStyle w:val="12"/>
            </w:pPr>
            <w:r>
              <w:t>城乡义务教育公用经费管理办法</w:t>
            </w:r>
          </w:p>
        </w:tc>
      </w:tr>
      <w:tr w14:paraId="287C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20590"/>
        </w:tc>
        <w:tc>
          <w:tcPr>
            <w:tcW w:w="2268" w:type="dxa"/>
            <w:vAlign w:val="center"/>
          </w:tcPr>
          <w:p w14:paraId="77D63D38">
            <w:pPr>
              <w:pStyle w:val="12"/>
            </w:pPr>
            <w:r>
              <w:t>可持续影响指标</w:t>
            </w:r>
          </w:p>
        </w:tc>
        <w:tc>
          <w:tcPr>
            <w:tcW w:w="2835" w:type="dxa"/>
            <w:vAlign w:val="center"/>
          </w:tcPr>
          <w:p w14:paraId="28A96CD1">
            <w:pPr>
              <w:pStyle w:val="12"/>
            </w:pPr>
            <w:r>
              <w:t>教育发展水平</w:t>
            </w:r>
          </w:p>
        </w:tc>
        <w:tc>
          <w:tcPr>
            <w:tcW w:w="5386" w:type="dxa"/>
            <w:vAlign w:val="center"/>
          </w:tcPr>
          <w:p w14:paraId="17E10150">
            <w:pPr>
              <w:pStyle w:val="12"/>
            </w:pPr>
            <w:r>
              <w:t>辖区内教育环境明显好转</w:t>
            </w:r>
          </w:p>
        </w:tc>
        <w:tc>
          <w:tcPr>
            <w:tcW w:w="2268" w:type="dxa"/>
            <w:vAlign w:val="center"/>
          </w:tcPr>
          <w:p w14:paraId="6F304FE2">
            <w:pPr>
              <w:pStyle w:val="12"/>
            </w:pPr>
            <w:r>
              <w:t>100%</w:t>
            </w:r>
          </w:p>
        </w:tc>
        <w:tc>
          <w:tcPr>
            <w:tcW w:w="1276" w:type="dxa"/>
            <w:vAlign w:val="center"/>
          </w:tcPr>
          <w:p w14:paraId="1D39B658">
            <w:pPr>
              <w:pStyle w:val="12"/>
            </w:pPr>
            <w:r>
              <w:t>城乡义务教育公用经费管理办法</w:t>
            </w:r>
          </w:p>
        </w:tc>
      </w:tr>
      <w:tr w14:paraId="0F4B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05D17">
            <w:pPr>
              <w:pStyle w:val="13"/>
            </w:pPr>
            <w:r>
              <w:t>满意度指标</w:t>
            </w:r>
          </w:p>
        </w:tc>
        <w:tc>
          <w:tcPr>
            <w:tcW w:w="2268" w:type="dxa"/>
            <w:vAlign w:val="center"/>
          </w:tcPr>
          <w:p w14:paraId="05C8BC90">
            <w:pPr>
              <w:pStyle w:val="12"/>
            </w:pPr>
            <w:r>
              <w:t>服务对象满意度指标</w:t>
            </w:r>
          </w:p>
        </w:tc>
        <w:tc>
          <w:tcPr>
            <w:tcW w:w="2835" w:type="dxa"/>
            <w:vAlign w:val="center"/>
          </w:tcPr>
          <w:p w14:paraId="5C1ED4B5">
            <w:pPr>
              <w:pStyle w:val="12"/>
            </w:pPr>
            <w:r>
              <w:t>受益学生家长及调查满意度</w:t>
            </w:r>
          </w:p>
        </w:tc>
        <w:tc>
          <w:tcPr>
            <w:tcW w:w="5386" w:type="dxa"/>
            <w:vAlign w:val="center"/>
          </w:tcPr>
          <w:p w14:paraId="521C152A">
            <w:pPr>
              <w:pStyle w:val="12"/>
            </w:pPr>
            <w:r>
              <w:t>学生、教师及家长对学校保教保育工作满意度情况</w:t>
            </w:r>
          </w:p>
        </w:tc>
        <w:tc>
          <w:tcPr>
            <w:tcW w:w="2268" w:type="dxa"/>
            <w:vAlign w:val="center"/>
          </w:tcPr>
          <w:p w14:paraId="5467FE66">
            <w:pPr>
              <w:pStyle w:val="12"/>
            </w:pPr>
            <w:r>
              <w:t>≥95%</w:t>
            </w:r>
          </w:p>
        </w:tc>
        <w:tc>
          <w:tcPr>
            <w:tcW w:w="1276" w:type="dxa"/>
            <w:vAlign w:val="center"/>
          </w:tcPr>
          <w:p w14:paraId="789441FA">
            <w:pPr>
              <w:pStyle w:val="12"/>
            </w:pPr>
            <w:r>
              <w:t>调查问卷</w:t>
            </w:r>
          </w:p>
        </w:tc>
      </w:tr>
    </w:tbl>
    <w:p w14:paraId="05F38106">
      <w:pPr>
        <w:sectPr>
          <w:pgSz w:w="16840" w:h="11900" w:orient="landscape"/>
          <w:pgMar w:top="1361" w:right="1020" w:bottom="1134" w:left="1020" w:header="720" w:footer="720" w:gutter="0"/>
          <w:cols w:space="720" w:num="1"/>
        </w:sectPr>
      </w:pPr>
    </w:p>
    <w:p w14:paraId="26DD4174">
      <w:pPr>
        <w:spacing w:before="0" w:after="0"/>
        <w:ind w:firstLine="560"/>
        <w:jc w:val="left"/>
        <w:outlineLvl w:val="9"/>
      </w:pPr>
      <w:r>
        <w:rPr>
          <w:rFonts w:ascii="方正仿宋_GBK" w:hAnsi="方正仿宋_GBK" w:eastAsia="方正仿宋_GBK" w:cs="方正仿宋_GBK"/>
          <w:b/>
          <w:color w:val="000000"/>
          <w:sz w:val="28"/>
        </w:rPr>
        <w:t>32、县级配套/城关校区南柏舍小学公用经费绩效目标表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6F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0E3AD">
            <w:pPr>
              <w:pStyle w:val="11"/>
            </w:pPr>
            <w:r>
              <w:t>单位：万元</w:t>
            </w:r>
          </w:p>
        </w:tc>
      </w:tr>
      <w:tr w14:paraId="7FDCA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7C663">
            <w:pPr>
              <w:pStyle w:val="10"/>
            </w:pPr>
            <w:r>
              <w:t>项目编码</w:t>
            </w:r>
          </w:p>
        </w:tc>
        <w:tc>
          <w:tcPr>
            <w:tcW w:w="5103" w:type="dxa"/>
            <w:gridSpan w:val="2"/>
            <w:vAlign w:val="center"/>
          </w:tcPr>
          <w:p w14:paraId="58404FA6">
            <w:pPr>
              <w:pStyle w:val="12"/>
            </w:pPr>
            <w:r>
              <w:t>13052526P00000410425D</w:t>
            </w:r>
          </w:p>
        </w:tc>
        <w:tc>
          <w:tcPr>
            <w:tcW w:w="2835" w:type="dxa"/>
            <w:vAlign w:val="center"/>
          </w:tcPr>
          <w:p w14:paraId="7AAB2A08">
            <w:pPr>
              <w:pStyle w:val="10"/>
            </w:pPr>
            <w:r>
              <w:t>项目名称</w:t>
            </w:r>
          </w:p>
        </w:tc>
        <w:tc>
          <w:tcPr>
            <w:tcW w:w="6095" w:type="dxa"/>
            <w:gridSpan w:val="3"/>
            <w:vAlign w:val="center"/>
          </w:tcPr>
          <w:p w14:paraId="15CADDA2">
            <w:pPr>
              <w:pStyle w:val="12"/>
            </w:pPr>
            <w:r>
              <w:t>县级配套/城关校区南柏舍小学公用经费</w:t>
            </w:r>
          </w:p>
        </w:tc>
      </w:tr>
      <w:tr w14:paraId="50228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D5CC7">
            <w:pPr>
              <w:pStyle w:val="10"/>
            </w:pPr>
            <w:r>
              <w:t>预算规模及资金用途</w:t>
            </w:r>
          </w:p>
        </w:tc>
        <w:tc>
          <w:tcPr>
            <w:tcW w:w="2268" w:type="dxa"/>
            <w:vAlign w:val="center"/>
          </w:tcPr>
          <w:p w14:paraId="407A0655">
            <w:pPr>
              <w:pStyle w:val="10"/>
            </w:pPr>
            <w:r>
              <w:t>预算数</w:t>
            </w:r>
          </w:p>
        </w:tc>
        <w:tc>
          <w:tcPr>
            <w:tcW w:w="2835" w:type="dxa"/>
            <w:vAlign w:val="center"/>
          </w:tcPr>
          <w:p w14:paraId="30D75713">
            <w:pPr>
              <w:pStyle w:val="12"/>
            </w:pPr>
            <w:r>
              <w:t>12.49</w:t>
            </w:r>
          </w:p>
        </w:tc>
        <w:tc>
          <w:tcPr>
            <w:tcW w:w="2835" w:type="dxa"/>
            <w:vAlign w:val="center"/>
          </w:tcPr>
          <w:p w14:paraId="2697C864">
            <w:pPr>
              <w:pStyle w:val="10"/>
            </w:pPr>
            <w:r>
              <w:t>其中：财政    资金</w:t>
            </w:r>
          </w:p>
        </w:tc>
        <w:tc>
          <w:tcPr>
            <w:tcW w:w="2551" w:type="dxa"/>
            <w:vAlign w:val="center"/>
          </w:tcPr>
          <w:p w14:paraId="708ED019">
            <w:pPr>
              <w:pStyle w:val="12"/>
            </w:pPr>
            <w:r>
              <w:t>12.49</w:t>
            </w:r>
          </w:p>
        </w:tc>
        <w:tc>
          <w:tcPr>
            <w:tcW w:w="2268" w:type="dxa"/>
            <w:vAlign w:val="center"/>
          </w:tcPr>
          <w:p w14:paraId="4752D908">
            <w:pPr>
              <w:pStyle w:val="10"/>
            </w:pPr>
            <w:r>
              <w:t>其他资金</w:t>
            </w:r>
          </w:p>
        </w:tc>
        <w:tc>
          <w:tcPr>
            <w:tcW w:w="1276" w:type="dxa"/>
            <w:vAlign w:val="center"/>
          </w:tcPr>
          <w:p w14:paraId="6E11418A">
            <w:pPr>
              <w:pStyle w:val="12"/>
            </w:pPr>
            <w:r>
              <w:t xml:space="preserve"> </w:t>
            </w:r>
          </w:p>
        </w:tc>
      </w:tr>
      <w:tr w14:paraId="449F1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06261"/>
        </w:tc>
        <w:tc>
          <w:tcPr>
            <w:tcW w:w="14033" w:type="dxa"/>
            <w:gridSpan w:val="6"/>
            <w:vAlign w:val="center"/>
          </w:tcPr>
          <w:p w14:paraId="0E4C79BA">
            <w:pPr>
              <w:pStyle w:val="12"/>
            </w:pPr>
            <w:r>
              <w:t>保障义务教育学校正常运转，完成教育教学活动和其他日常工作任务等方面的费用支出。</w:t>
            </w:r>
          </w:p>
        </w:tc>
      </w:tr>
      <w:tr w14:paraId="422B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47F16">
            <w:pPr>
              <w:pStyle w:val="10"/>
            </w:pPr>
            <w:r>
              <w:t>资金支出计划（%）</w:t>
            </w:r>
          </w:p>
        </w:tc>
        <w:tc>
          <w:tcPr>
            <w:tcW w:w="5103" w:type="dxa"/>
            <w:gridSpan w:val="2"/>
            <w:vAlign w:val="center"/>
          </w:tcPr>
          <w:p w14:paraId="68AD72FF">
            <w:pPr>
              <w:pStyle w:val="10"/>
            </w:pPr>
            <w:r>
              <w:t>3月底</w:t>
            </w:r>
          </w:p>
        </w:tc>
        <w:tc>
          <w:tcPr>
            <w:tcW w:w="2835" w:type="dxa"/>
            <w:vAlign w:val="center"/>
          </w:tcPr>
          <w:p w14:paraId="2D69BE2E">
            <w:pPr>
              <w:pStyle w:val="10"/>
            </w:pPr>
            <w:r>
              <w:t>6月底</w:t>
            </w:r>
          </w:p>
        </w:tc>
        <w:tc>
          <w:tcPr>
            <w:tcW w:w="2551" w:type="dxa"/>
            <w:vAlign w:val="center"/>
          </w:tcPr>
          <w:p w14:paraId="19EBBDB2">
            <w:pPr>
              <w:pStyle w:val="10"/>
            </w:pPr>
            <w:r>
              <w:t>10月底</w:t>
            </w:r>
          </w:p>
        </w:tc>
        <w:tc>
          <w:tcPr>
            <w:tcW w:w="3544" w:type="dxa"/>
            <w:gridSpan w:val="2"/>
            <w:vAlign w:val="center"/>
          </w:tcPr>
          <w:p w14:paraId="5686DCC7">
            <w:pPr>
              <w:pStyle w:val="10"/>
            </w:pPr>
            <w:r>
              <w:t>12月底</w:t>
            </w:r>
          </w:p>
        </w:tc>
      </w:tr>
      <w:tr w14:paraId="0121B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0F7B1"/>
        </w:tc>
        <w:tc>
          <w:tcPr>
            <w:tcW w:w="5103" w:type="dxa"/>
            <w:gridSpan w:val="2"/>
            <w:vAlign w:val="center"/>
          </w:tcPr>
          <w:p w14:paraId="0C9D90BA">
            <w:pPr>
              <w:pStyle w:val="13"/>
            </w:pPr>
            <w:r>
              <w:t>25%</w:t>
            </w:r>
          </w:p>
        </w:tc>
        <w:tc>
          <w:tcPr>
            <w:tcW w:w="2835" w:type="dxa"/>
            <w:vAlign w:val="center"/>
          </w:tcPr>
          <w:p w14:paraId="438514C3">
            <w:pPr>
              <w:pStyle w:val="13"/>
            </w:pPr>
            <w:r>
              <w:t>50%</w:t>
            </w:r>
          </w:p>
        </w:tc>
        <w:tc>
          <w:tcPr>
            <w:tcW w:w="2551" w:type="dxa"/>
            <w:vAlign w:val="center"/>
          </w:tcPr>
          <w:p w14:paraId="4B548E57">
            <w:pPr>
              <w:pStyle w:val="13"/>
            </w:pPr>
            <w:r>
              <w:t>75%</w:t>
            </w:r>
          </w:p>
        </w:tc>
        <w:tc>
          <w:tcPr>
            <w:tcW w:w="3544" w:type="dxa"/>
            <w:gridSpan w:val="2"/>
            <w:vAlign w:val="center"/>
          </w:tcPr>
          <w:p w14:paraId="3C42DDA4">
            <w:pPr>
              <w:pStyle w:val="13"/>
            </w:pPr>
            <w:r>
              <w:t>100%</w:t>
            </w:r>
          </w:p>
        </w:tc>
      </w:tr>
      <w:tr w14:paraId="0A018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47CE5">
            <w:pPr>
              <w:pStyle w:val="10"/>
            </w:pPr>
            <w:r>
              <w:t>绩效目标</w:t>
            </w:r>
          </w:p>
        </w:tc>
        <w:tc>
          <w:tcPr>
            <w:tcW w:w="14033" w:type="dxa"/>
            <w:gridSpan w:val="6"/>
            <w:vAlign w:val="center"/>
          </w:tcPr>
          <w:p w14:paraId="20B0A402">
            <w:pPr>
              <w:pStyle w:val="12"/>
            </w:pPr>
            <w:r>
              <w:t>1.按季度分批次拨付公用经费资金124900元，资金拨付率达到100%。</w:t>
            </w:r>
          </w:p>
          <w:p w14:paraId="3E459F32">
            <w:pPr>
              <w:pStyle w:val="12"/>
            </w:pPr>
            <w:r>
              <w:t>2.保障义务教育学校正常运转，完成教育教学活动和其他日常工作任务等方面的费用支出。</w:t>
            </w:r>
          </w:p>
        </w:tc>
      </w:tr>
    </w:tbl>
    <w:p w14:paraId="15080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4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2D11D">
            <w:pPr>
              <w:pStyle w:val="10"/>
            </w:pPr>
            <w:r>
              <w:t>一级指标</w:t>
            </w:r>
          </w:p>
        </w:tc>
        <w:tc>
          <w:tcPr>
            <w:tcW w:w="2268" w:type="dxa"/>
            <w:vAlign w:val="center"/>
          </w:tcPr>
          <w:p w14:paraId="1862C2BB">
            <w:pPr>
              <w:pStyle w:val="10"/>
            </w:pPr>
            <w:r>
              <w:t>二级指标</w:t>
            </w:r>
          </w:p>
        </w:tc>
        <w:tc>
          <w:tcPr>
            <w:tcW w:w="2835" w:type="dxa"/>
            <w:vAlign w:val="center"/>
          </w:tcPr>
          <w:p w14:paraId="356A4B65">
            <w:pPr>
              <w:pStyle w:val="10"/>
            </w:pPr>
            <w:r>
              <w:t>三级指标</w:t>
            </w:r>
          </w:p>
        </w:tc>
        <w:tc>
          <w:tcPr>
            <w:tcW w:w="5386" w:type="dxa"/>
            <w:vAlign w:val="center"/>
          </w:tcPr>
          <w:p w14:paraId="3795D1CD">
            <w:pPr>
              <w:pStyle w:val="10"/>
            </w:pPr>
            <w:r>
              <w:t>绩效指标描述</w:t>
            </w:r>
          </w:p>
        </w:tc>
        <w:tc>
          <w:tcPr>
            <w:tcW w:w="2268" w:type="dxa"/>
            <w:vAlign w:val="center"/>
          </w:tcPr>
          <w:p w14:paraId="55F502FD">
            <w:pPr>
              <w:pStyle w:val="10"/>
            </w:pPr>
            <w:r>
              <w:t>指标值</w:t>
            </w:r>
          </w:p>
        </w:tc>
        <w:tc>
          <w:tcPr>
            <w:tcW w:w="1276" w:type="dxa"/>
            <w:vAlign w:val="center"/>
          </w:tcPr>
          <w:p w14:paraId="17E56FAA">
            <w:pPr>
              <w:pStyle w:val="10"/>
            </w:pPr>
            <w:r>
              <w:t>指标值确定依据</w:t>
            </w:r>
          </w:p>
        </w:tc>
      </w:tr>
      <w:tr w14:paraId="3238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097C5">
            <w:pPr>
              <w:pStyle w:val="13"/>
            </w:pPr>
            <w:r>
              <w:t>产出指标</w:t>
            </w:r>
          </w:p>
        </w:tc>
        <w:tc>
          <w:tcPr>
            <w:tcW w:w="2268" w:type="dxa"/>
            <w:vAlign w:val="center"/>
          </w:tcPr>
          <w:p w14:paraId="737469D9">
            <w:pPr>
              <w:pStyle w:val="12"/>
            </w:pPr>
            <w:r>
              <w:t>数量指标</w:t>
            </w:r>
          </w:p>
        </w:tc>
        <w:tc>
          <w:tcPr>
            <w:tcW w:w="2835" w:type="dxa"/>
            <w:vAlign w:val="center"/>
          </w:tcPr>
          <w:p w14:paraId="392F7B5D">
            <w:pPr>
              <w:pStyle w:val="12"/>
            </w:pPr>
            <w:r>
              <w:t>适龄在校生</w:t>
            </w:r>
          </w:p>
        </w:tc>
        <w:tc>
          <w:tcPr>
            <w:tcW w:w="5386" w:type="dxa"/>
            <w:vAlign w:val="center"/>
          </w:tcPr>
          <w:p w14:paraId="1586C5F3">
            <w:pPr>
              <w:pStyle w:val="12"/>
            </w:pPr>
            <w:r>
              <w:t>适龄在校就读学生人数</w:t>
            </w:r>
          </w:p>
        </w:tc>
        <w:tc>
          <w:tcPr>
            <w:tcW w:w="2268" w:type="dxa"/>
            <w:vAlign w:val="center"/>
          </w:tcPr>
          <w:p w14:paraId="7F239993">
            <w:pPr>
              <w:pStyle w:val="12"/>
            </w:pPr>
            <w:r>
              <w:t>≥1475人</w:t>
            </w:r>
          </w:p>
        </w:tc>
        <w:tc>
          <w:tcPr>
            <w:tcW w:w="1276" w:type="dxa"/>
            <w:vAlign w:val="center"/>
          </w:tcPr>
          <w:p w14:paraId="2BBA427D">
            <w:pPr>
              <w:pStyle w:val="12"/>
            </w:pPr>
            <w:r>
              <w:t>城乡义务教育公用经费管理办法</w:t>
            </w:r>
          </w:p>
        </w:tc>
      </w:tr>
      <w:tr w14:paraId="7093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60A37"/>
        </w:tc>
        <w:tc>
          <w:tcPr>
            <w:tcW w:w="2268" w:type="dxa"/>
            <w:vAlign w:val="center"/>
          </w:tcPr>
          <w:p w14:paraId="208415EB">
            <w:pPr>
              <w:pStyle w:val="12"/>
            </w:pPr>
            <w:r>
              <w:t>质量指标</w:t>
            </w:r>
          </w:p>
        </w:tc>
        <w:tc>
          <w:tcPr>
            <w:tcW w:w="2835" w:type="dxa"/>
            <w:vAlign w:val="center"/>
          </w:tcPr>
          <w:p w14:paraId="39AB9680">
            <w:pPr>
              <w:pStyle w:val="12"/>
            </w:pPr>
            <w:r>
              <w:t>公用经费拨付完成率</w:t>
            </w:r>
          </w:p>
        </w:tc>
        <w:tc>
          <w:tcPr>
            <w:tcW w:w="5386" w:type="dxa"/>
            <w:vAlign w:val="center"/>
          </w:tcPr>
          <w:p w14:paraId="3BA62853">
            <w:pPr>
              <w:pStyle w:val="12"/>
            </w:pPr>
            <w:r>
              <w:t>公用经费拨付完成率达到需时进度</w:t>
            </w:r>
          </w:p>
        </w:tc>
        <w:tc>
          <w:tcPr>
            <w:tcW w:w="2268" w:type="dxa"/>
            <w:vAlign w:val="center"/>
          </w:tcPr>
          <w:p w14:paraId="1B4249CE">
            <w:pPr>
              <w:pStyle w:val="12"/>
            </w:pPr>
            <w:r>
              <w:t>100%</w:t>
            </w:r>
          </w:p>
        </w:tc>
        <w:tc>
          <w:tcPr>
            <w:tcW w:w="1276" w:type="dxa"/>
            <w:vAlign w:val="center"/>
          </w:tcPr>
          <w:p w14:paraId="17E14412">
            <w:pPr>
              <w:pStyle w:val="12"/>
            </w:pPr>
            <w:r>
              <w:t>城乡义务教育公用经费管理办法</w:t>
            </w:r>
          </w:p>
        </w:tc>
      </w:tr>
      <w:tr w14:paraId="1842B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850BA"/>
        </w:tc>
        <w:tc>
          <w:tcPr>
            <w:tcW w:w="2268" w:type="dxa"/>
            <w:vAlign w:val="center"/>
          </w:tcPr>
          <w:p w14:paraId="397F6537">
            <w:pPr>
              <w:pStyle w:val="12"/>
            </w:pPr>
            <w:r>
              <w:t>时效指标</w:t>
            </w:r>
          </w:p>
        </w:tc>
        <w:tc>
          <w:tcPr>
            <w:tcW w:w="2835" w:type="dxa"/>
            <w:vAlign w:val="center"/>
          </w:tcPr>
          <w:p w14:paraId="549AAAC8">
            <w:pPr>
              <w:pStyle w:val="12"/>
            </w:pPr>
            <w:r>
              <w:t>资金支付率</w:t>
            </w:r>
          </w:p>
        </w:tc>
        <w:tc>
          <w:tcPr>
            <w:tcW w:w="5386" w:type="dxa"/>
            <w:vAlign w:val="center"/>
          </w:tcPr>
          <w:p w14:paraId="085C3C25">
            <w:pPr>
              <w:pStyle w:val="12"/>
            </w:pPr>
            <w:r>
              <w:t>按照序时进度完成资金支付</w:t>
            </w:r>
          </w:p>
        </w:tc>
        <w:tc>
          <w:tcPr>
            <w:tcW w:w="2268" w:type="dxa"/>
            <w:vAlign w:val="center"/>
          </w:tcPr>
          <w:p w14:paraId="09AA7D5E">
            <w:pPr>
              <w:pStyle w:val="12"/>
            </w:pPr>
            <w:r>
              <w:t>100%</w:t>
            </w:r>
          </w:p>
        </w:tc>
        <w:tc>
          <w:tcPr>
            <w:tcW w:w="1276" w:type="dxa"/>
            <w:vAlign w:val="center"/>
          </w:tcPr>
          <w:p w14:paraId="5B6447C8">
            <w:pPr>
              <w:pStyle w:val="12"/>
            </w:pPr>
            <w:r>
              <w:t>城乡义务教育公用经费管理办法</w:t>
            </w:r>
          </w:p>
        </w:tc>
      </w:tr>
      <w:tr w14:paraId="148C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56666"/>
        </w:tc>
        <w:tc>
          <w:tcPr>
            <w:tcW w:w="2268" w:type="dxa"/>
            <w:vAlign w:val="center"/>
          </w:tcPr>
          <w:p w14:paraId="4099BD79">
            <w:pPr>
              <w:pStyle w:val="12"/>
            </w:pPr>
            <w:r>
              <w:t>成本指标</w:t>
            </w:r>
          </w:p>
        </w:tc>
        <w:tc>
          <w:tcPr>
            <w:tcW w:w="2835" w:type="dxa"/>
            <w:vAlign w:val="center"/>
          </w:tcPr>
          <w:p w14:paraId="3E6F667E">
            <w:pPr>
              <w:pStyle w:val="12"/>
            </w:pPr>
            <w:r>
              <w:t>生均拨款标准</w:t>
            </w:r>
          </w:p>
        </w:tc>
        <w:tc>
          <w:tcPr>
            <w:tcW w:w="5386" w:type="dxa"/>
            <w:vAlign w:val="center"/>
          </w:tcPr>
          <w:p w14:paraId="7602234F">
            <w:pPr>
              <w:pStyle w:val="12"/>
            </w:pPr>
            <w:r>
              <w:t>小学：（基本标准720元、寄宿生300元、取暖费120元）/生/学年；特教、随班就读学生：标准7000元/生/学年。</w:t>
            </w:r>
          </w:p>
        </w:tc>
        <w:tc>
          <w:tcPr>
            <w:tcW w:w="2268" w:type="dxa"/>
            <w:vAlign w:val="center"/>
          </w:tcPr>
          <w:p w14:paraId="2D43E338">
            <w:pPr>
              <w:pStyle w:val="12"/>
            </w:pPr>
            <w:r>
              <w:t>124900元</w:t>
            </w:r>
          </w:p>
        </w:tc>
        <w:tc>
          <w:tcPr>
            <w:tcW w:w="1276" w:type="dxa"/>
            <w:vAlign w:val="center"/>
          </w:tcPr>
          <w:p w14:paraId="2BB36337">
            <w:pPr>
              <w:pStyle w:val="12"/>
            </w:pPr>
            <w:r>
              <w:t>城乡义务教育公用经费管理办法</w:t>
            </w:r>
          </w:p>
        </w:tc>
      </w:tr>
      <w:tr w14:paraId="596F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017AC">
            <w:pPr>
              <w:pStyle w:val="13"/>
            </w:pPr>
            <w:r>
              <w:t>效益指标</w:t>
            </w:r>
          </w:p>
        </w:tc>
        <w:tc>
          <w:tcPr>
            <w:tcW w:w="2268" w:type="dxa"/>
            <w:vAlign w:val="center"/>
          </w:tcPr>
          <w:p w14:paraId="325BC025">
            <w:pPr>
              <w:pStyle w:val="12"/>
            </w:pPr>
            <w:r>
              <w:t>经济效益指标</w:t>
            </w:r>
          </w:p>
        </w:tc>
        <w:tc>
          <w:tcPr>
            <w:tcW w:w="2835" w:type="dxa"/>
            <w:vAlign w:val="center"/>
          </w:tcPr>
          <w:p w14:paraId="39639E51">
            <w:pPr>
              <w:pStyle w:val="12"/>
            </w:pPr>
            <w:r>
              <w:t>项目实施成果</w:t>
            </w:r>
          </w:p>
        </w:tc>
        <w:tc>
          <w:tcPr>
            <w:tcW w:w="5386" w:type="dxa"/>
            <w:vAlign w:val="center"/>
          </w:tcPr>
          <w:p w14:paraId="6C390B5C">
            <w:pPr>
              <w:pStyle w:val="12"/>
            </w:pPr>
            <w:r>
              <w:t>减轻受教育学生家庭经济负担</w:t>
            </w:r>
          </w:p>
        </w:tc>
        <w:tc>
          <w:tcPr>
            <w:tcW w:w="2268" w:type="dxa"/>
            <w:vAlign w:val="center"/>
          </w:tcPr>
          <w:p w14:paraId="7D404EF6">
            <w:pPr>
              <w:pStyle w:val="12"/>
            </w:pPr>
            <w:r>
              <w:t>100%</w:t>
            </w:r>
          </w:p>
        </w:tc>
        <w:tc>
          <w:tcPr>
            <w:tcW w:w="1276" w:type="dxa"/>
            <w:vAlign w:val="center"/>
          </w:tcPr>
          <w:p w14:paraId="7E758935">
            <w:pPr>
              <w:pStyle w:val="12"/>
            </w:pPr>
            <w:r>
              <w:t>城乡义务教育公用经费管理办法</w:t>
            </w:r>
          </w:p>
        </w:tc>
      </w:tr>
      <w:tr w14:paraId="1CDD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66E94"/>
        </w:tc>
        <w:tc>
          <w:tcPr>
            <w:tcW w:w="2268" w:type="dxa"/>
            <w:vAlign w:val="center"/>
          </w:tcPr>
          <w:p w14:paraId="2B8383A2">
            <w:pPr>
              <w:pStyle w:val="12"/>
            </w:pPr>
            <w:r>
              <w:t>社会效益指标</w:t>
            </w:r>
          </w:p>
        </w:tc>
        <w:tc>
          <w:tcPr>
            <w:tcW w:w="2835" w:type="dxa"/>
            <w:vAlign w:val="center"/>
          </w:tcPr>
          <w:p w14:paraId="7B1F6D4D">
            <w:pPr>
              <w:pStyle w:val="12"/>
            </w:pPr>
            <w:r>
              <w:t>学校办学能力提升</w:t>
            </w:r>
          </w:p>
        </w:tc>
        <w:tc>
          <w:tcPr>
            <w:tcW w:w="5386" w:type="dxa"/>
            <w:vAlign w:val="center"/>
          </w:tcPr>
          <w:p w14:paraId="3ED05356">
            <w:pPr>
              <w:pStyle w:val="12"/>
            </w:pPr>
            <w:r>
              <w:t>学校办学能</w:t>
            </w:r>
            <w:r>
              <w:rPr>
                <w:rFonts w:hint="eastAsia"/>
                <w:lang w:eastAsia="zh-CN"/>
              </w:rPr>
              <w:t>力提</w:t>
            </w:r>
            <w:r>
              <w:t>升情况及教育教学工作等开展的情况</w:t>
            </w:r>
          </w:p>
        </w:tc>
        <w:tc>
          <w:tcPr>
            <w:tcW w:w="2268" w:type="dxa"/>
            <w:vAlign w:val="center"/>
          </w:tcPr>
          <w:p w14:paraId="44D84D49">
            <w:pPr>
              <w:pStyle w:val="12"/>
            </w:pPr>
            <w:r>
              <w:t>100%</w:t>
            </w:r>
          </w:p>
        </w:tc>
        <w:tc>
          <w:tcPr>
            <w:tcW w:w="1276" w:type="dxa"/>
            <w:vAlign w:val="center"/>
          </w:tcPr>
          <w:p w14:paraId="0D2BBF46">
            <w:pPr>
              <w:pStyle w:val="12"/>
            </w:pPr>
            <w:r>
              <w:t>城乡义务教育公用经费管理办法</w:t>
            </w:r>
          </w:p>
        </w:tc>
      </w:tr>
      <w:tr w14:paraId="70AF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19DBE"/>
        </w:tc>
        <w:tc>
          <w:tcPr>
            <w:tcW w:w="2268" w:type="dxa"/>
            <w:vAlign w:val="center"/>
          </w:tcPr>
          <w:p w14:paraId="13FC6B47">
            <w:pPr>
              <w:pStyle w:val="12"/>
            </w:pPr>
            <w:r>
              <w:t>可持续影响指标</w:t>
            </w:r>
          </w:p>
        </w:tc>
        <w:tc>
          <w:tcPr>
            <w:tcW w:w="2835" w:type="dxa"/>
            <w:vAlign w:val="center"/>
          </w:tcPr>
          <w:p w14:paraId="5715A22B">
            <w:pPr>
              <w:pStyle w:val="12"/>
            </w:pPr>
            <w:r>
              <w:t>教育发展水平</w:t>
            </w:r>
          </w:p>
        </w:tc>
        <w:tc>
          <w:tcPr>
            <w:tcW w:w="5386" w:type="dxa"/>
            <w:vAlign w:val="center"/>
          </w:tcPr>
          <w:p w14:paraId="77DCDF1B">
            <w:pPr>
              <w:pStyle w:val="12"/>
            </w:pPr>
            <w:r>
              <w:t>辖区内教育环境明显好转</w:t>
            </w:r>
          </w:p>
        </w:tc>
        <w:tc>
          <w:tcPr>
            <w:tcW w:w="2268" w:type="dxa"/>
            <w:vAlign w:val="center"/>
          </w:tcPr>
          <w:p w14:paraId="16C03C26">
            <w:pPr>
              <w:pStyle w:val="12"/>
            </w:pPr>
            <w:r>
              <w:t>100%</w:t>
            </w:r>
          </w:p>
        </w:tc>
        <w:tc>
          <w:tcPr>
            <w:tcW w:w="1276" w:type="dxa"/>
            <w:vAlign w:val="center"/>
          </w:tcPr>
          <w:p w14:paraId="031AB106">
            <w:pPr>
              <w:pStyle w:val="12"/>
            </w:pPr>
            <w:r>
              <w:t>城乡义务教育公用经费管理办法</w:t>
            </w:r>
          </w:p>
        </w:tc>
      </w:tr>
      <w:tr w14:paraId="122A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1840D">
            <w:pPr>
              <w:pStyle w:val="13"/>
            </w:pPr>
            <w:r>
              <w:t>满意度指标</w:t>
            </w:r>
          </w:p>
        </w:tc>
        <w:tc>
          <w:tcPr>
            <w:tcW w:w="2268" w:type="dxa"/>
            <w:vAlign w:val="center"/>
          </w:tcPr>
          <w:p w14:paraId="0590B641">
            <w:pPr>
              <w:pStyle w:val="12"/>
            </w:pPr>
            <w:r>
              <w:t>服务对象满意度指标</w:t>
            </w:r>
          </w:p>
        </w:tc>
        <w:tc>
          <w:tcPr>
            <w:tcW w:w="2835" w:type="dxa"/>
            <w:vAlign w:val="center"/>
          </w:tcPr>
          <w:p w14:paraId="41452CBB">
            <w:pPr>
              <w:pStyle w:val="12"/>
            </w:pPr>
            <w:r>
              <w:t>受益学生家长及调查满意度</w:t>
            </w:r>
          </w:p>
        </w:tc>
        <w:tc>
          <w:tcPr>
            <w:tcW w:w="5386" w:type="dxa"/>
            <w:vAlign w:val="center"/>
          </w:tcPr>
          <w:p w14:paraId="7A9658C3">
            <w:pPr>
              <w:pStyle w:val="12"/>
            </w:pPr>
            <w:r>
              <w:t>学生、教师及家长对学校保教保育工作满意度情况</w:t>
            </w:r>
          </w:p>
        </w:tc>
        <w:tc>
          <w:tcPr>
            <w:tcW w:w="2268" w:type="dxa"/>
            <w:vAlign w:val="center"/>
          </w:tcPr>
          <w:p w14:paraId="09798CE9">
            <w:pPr>
              <w:pStyle w:val="12"/>
            </w:pPr>
            <w:r>
              <w:t>≥95%</w:t>
            </w:r>
          </w:p>
        </w:tc>
        <w:tc>
          <w:tcPr>
            <w:tcW w:w="1276" w:type="dxa"/>
            <w:vAlign w:val="center"/>
          </w:tcPr>
          <w:p w14:paraId="78A239B2">
            <w:pPr>
              <w:pStyle w:val="12"/>
            </w:pPr>
            <w:r>
              <w:t>调查问卷</w:t>
            </w:r>
          </w:p>
        </w:tc>
      </w:tr>
    </w:tbl>
    <w:p w14:paraId="3EE8142B">
      <w:pPr>
        <w:sectPr>
          <w:pgSz w:w="16840" w:h="11900" w:orient="landscape"/>
          <w:pgMar w:top="1361" w:right="1020" w:bottom="1134" w:left="1020" w:header="720" w:footer="720" w:gutter="0"/>
          <w:cols w:space="720" w:num="1"/>
        </w:sectPr>
      </w:pPr>
    </w:p>
    <w:p w14:paraId="0079B477">
      <w:pPr>
        <w:spacing w:before="0" w:after="0"/>
        <w:ind w:firstLine="560"/>
        <w:jc w:val="left"/>
        <w:outlineLvl w:val="9"/>
      </w:pPr>
      <w:r>
        <w:rPr>
          <w:rFonts w:ascii="方正仿宋_GBK" w:hAnsi="方正仿宋_GBK" w:eastAsia="方正仿宋_GBK" w:cs="方正仿宋_GBK"/>
          <w:b/>
          <w:color w:val="000000"/>
          <w:sz w:val="28"/>
        </w:rPr>
        <w:t>33、县级配套/城关校区学前教育幼儿资助绩效目标表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7E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97956">
            <w:pPr>
              <w:pStyle w:val="11"/>
            </w:pPr>
            <w:r>
              <w:t>单位：万元</w:t>
            </w:r>
          </w:p>
        </w:tc>
      </w:tr>
      <w:tr w14:paraId="7CC9B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6FC90">
            <w:pPr>
              <w:pStyle w:val="10"/>
            </w:pPr>
            <w:r>
              <w:t>项目编码</w:t>
            </w:r>
          </w:p>
        </w:tc>
        <w:tc>
          <w:tcPr>
            <w:tcW w:w="5103" w:type="dxa"/>
            <w:gridSpan w:val="2"/>
            <w:vAlign w:val="center"/>
          </w:tcPr>
          <w:p w14:paraId="06A0619F">
            <w:pPr>
              <w:pStyle w:val="12"/>
            </w:pPr>
            <w:r>
              <w:t>13052526P000002100802</w:t>
            </w:r>
          </w:p>
        </w:tc>
        <w:tc>
          <w:tcPr>
            <w:tcW w:w="2835" w:type="dxa"/>
            <w:vAlign w:val="center"/>
          </w:tcPr>
          <w:p w14:paraId="35993FDE">
            <w:pPr>
              <w:pStyle w:val="10"/>
            </w:pPr>
            <w:r>
              <w:t>项目名称</w:t>
            </w:r>
          </w:p>
        </w:tc>
        <w:tc>
          <w:tcPr>
            <w:tcW w:w="6095" w:type="dxa"/>
            <w:gridSpan w:val="3"/>
            <w:vAlign w:val="center"/>
          </w:tcPr>
          <w:p w14:paraId="6A015404">
            <w:pPr>
              <w:pStyle w:val="12"/>
            </w:pPr>
            <w:r>
              <w:t>县级配套/城关校区学前教育幼儿资助</w:t>
            </w:r>
          </w:p>
        </w:tc>
      </w:tr>
      <w:tr w14:paraId="2DE90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B5266">
            <w:pPr>
              <w:pStyle w:val="10"/>
            </w:pPr>
            <w:r>
              <w:t>预算规模及资金用途</w:t>
            </w:r>
          </w:p>
        </w:tc>
        <w:tc>
          <w:tcPr>
            <w:tcW w:w="2268" w:type="dxa"/>
            <w:vAlign w:val="center"/>
          </w:tcPr>
          <w:p w14:paraId="30EF4E39">
            <w:pPr>
              <w:pStyle w:val="10"/>
            </w:pPr>
            <w:r>
              <w:t>预算数</w:t>
            </w:r>
          </w:p>
        </w:tc>
        <w:tc>
          <w:tcPr>
            <w:tcW w:w="2835" w:type="dxa"/>
            <w:vAlign w:val="center"/>
          </w:tcPr>
          <w:p w14:paraId="6AEFB226">
            <w:pPr>
              <w:pStyle w:val="12"/>
            </w:pPr>
            <w:r>
              <w:t>2.52</w:t>
            </w:r>
          </w:p>
        </w:tc>
        <w:tc>
          <w:tcPr>
            <w:tcW w:w="2835" w:type="dxa"/>
            <w:vAlign w:val="center"/>
          </w:tcPr>
          <w:p w14:paraId="54C30457">
            <w:pPr>
              <w:pStyle w:val="10"/>
            </w:pPr>
            <w:r>
              <w:t>其中：财政    资金</w:t>
            </w:r>
          </w:p>
        </w:tc>
        <w:tc>
          <w:tcPr>
            <w:tcW w:w="2551" w:type="dxa"/>
            <w:vAlign w:val="center"/>
          </w:tcPr>
          <w:p w14:paraId="28087E1B">
            <w:pPr>
              <w:pStyle w:val="12"/>
            </w:pPr>
            <w:r>
              <w:t>2.52</w:t>
            </w:r>
          </w:p>
        </w:tc>
        <w:tc>
          <w:tcPr>
            <w:tcW w:w="2268" w:type="dxa"/>
            <w:vAlign w:val="center"/>
          </w:tcPr>
          <w:p w14:paraId="291DCA1C">
            <w:pPr>
              <w:pStyle w:val="10"/>
            </w:pPr>
            <w:r>
              <w:t>其他资金</w:t>
            </w:r>
          </w:p>
        </w:tc>
        <w:tc>
          <w:tcPr>
            <w:tcW w:w="1276" w:type="dxa"/>
            <w:vAlign w:val="center"/>
          </w:tcPr>
          <w:p w14:paraId="4C05ED65">
            <w:pPr>
              <w:pStyle w:val="12"/>
            </w:pPr>
            <w:r>
              <w:t xml:space="preserve"> </w:t>
            </w:r>
          </w:p>
        </w:tc>
      </w:tr>
      <w:tr w14:paraId="556EF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D0B9F"/>
        </w:tc>
        <w:tc>
          <w:tcPr>
            <w:tcW w:w="14033" w:type="dxa"/>
            <w:gridSpan w:val="6"/>
            <w:vAlign w:val="center"/>
          </w:tcPr>
          <w:p w14:paraId="3DAE231F">
            <w:pPr>
              <w:pStyle w:val="12"/>
            </w:pPr>
            <w:r>
              <w:t>保障落实建档立卡及家庭经济困难儿童资助所需资金，确保建档立卡等家庭经济困难幼儿优先获得资助</w:t>
            </w:r>
          </w:p>
        </w:tc>
      </w:tr>
      <w:tr w14:paraId="4C554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1301F">
            <w:pPr>
              <w:pStyle w:val="10"/>
            </w:pPr>
            <w:r>
              <w:t>资金支出计划（%）</w:t>
            </w:r>
          </w:p>
        </w:tc>
        <w:tc>
          <w:tcPr>
            <w:tcW w:w="5103" w:type="dxa"/>
            <w:gridSpan w:val="2"/>
            <w:vAlign w:val="center"/>
          </w:tcPr>
          <w:p w14:paraId="67CBA566">
            <w:pPr>
              <w:pStyle w:val="10"/>
            </w:pPr>
            <w:r>
              <w:t>3月底</w:t>
            </w:r>
          </w:p>
        </w:tc>
        <w:tc>
          <w:tcPr>
            <w:tcW w:w="2835" w:type="dxa"/>
            <w:vAlign w:val="center"/>
          </w:tcPr>
          <w:p w14:paraId="4E4A07F3">
            <w:pPr>
              <w:pStyle w:val="10"/>
            </w:pPr>
            <w:r>
              <w:t>6月底</w:t>
            </w:r>
          </w:p>
        </w:tc>
        <w:tc>
          <w:tcPr>
            <w:tcW w:w="2551" w:type="dxa"/>
            <w:vAlign w:val="center"/>
          </w:tcPr>
          <w:p w14:paraId="5DBF629A">
            <w:pPr>
              <w:pStyle w:val="10"/>
            </w:pPr>
            <w:r>
              <w:t>10月底</w:t>
            </w:r>
          </w:p>
        </w:tc>
        <w:tc>
          <w:tcPr>
            <w:tcW w:w="3544" w:type="dxa"/>
            <w:gridSpan w:val="2"/>
            <w:vAlign w:val="center"/>
          </w:tcPr>
          <w:p w14:paraId="7B586509">
            <w:pPr>
              <w:pStyle w:val="10"/>
            </w:pPr>
            <w:r>
              <w:t>12月底</w:t>
            </w:r>
          </w:p>
        </w:tc>
      </w:tr>
      <w:tr w14:paraId="574BC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54AE0"/>
        </w:tc>
        <w:tc>
          <w:tcPr>
            <w:tcW w:w="5103" w:type="dxa"/>
            <w:gridSpan w:val="2"/>
            <w:vAlign w:val="center"/>
          </w:tcPr>
          <w:p w14:paraId="31171975">
            <w:pPr>
              <w:pStyle w:val="13"/>
            </w:pPr>
            <w:r>
              <w:t xml:space="preserve"> </w:t>
            </w:r>
          </w:p>
        </w:tc>
        <w:tc>
          <w:tcPr>
            <w:tcW w:w="2835" w:type="dxa"/>
            <w:vAlign w:val="center"/>
          </w:tcPr>
          <w:p w14:paraId="621D1651">
            <w:pPr>
              <w:pStyle w:val="13"/>
            </w:pPr>
            <w:r>
              <w:t>50%</w:t>
            </w:r>
          </w:p>
        </w:tc>
        <w:tc>
          <w:tcPr>
            <w:tcW w:w="2551" w:type="dxa"/>
            <w:vAlign w:val="center"/>
          </w:tcPr>
          <w:p w14:paraId="259E243B">
            <w:pPr>
              <w:pStyle w:val="13"/>
            </w:pPr>
            <w:r>
              <w:t>50%</w:t>
            </w:r>
          </w:p>
        </w:tc>
        <w:tc>
          <w:tcPr>
            <w:tcW w:w="3544" w:type="dxa"/>
            <w:gridSpan w:val="2"/>
            <w:vAlign w:val="center"/>
          </w:tcPr>
          <w:p w14:paraId="77BEE49C">
            <w:pPr>
              <w:pStyle w:val="13"/>
            </w:pPr>
            <w:r>
              <w:t>100%</w:t>
            </w:r>
          </w:p>
        </w:tc>
      </w:tr>
      <w:tr w14:paraId="3423A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38412">
            <w:pPr>
              <w:pStyle w:val="10"/>
            </w:pPr>
            <w:r>
              <w:t>绩效目标</w:t>
            </w:r>
          </w:p>
        </w:tc>
        <w:tc>
          <w:tcPr>
            <w:tcW w:w="14033" w:type="dxa"/>
            <w:gridSpan w:val="6"/>
            <w:vAlign w:val="center"/>
          </w:tcPr>
          <w:p w14:paraId="07692A0A">
            <w:pPr>
              <w:pStyle w:val="12"/>
            </w:pPr>
            <w:r>
              <w:t>1.保障落实建档立卡及家庭经济困难儿童资助所需资金，确保建档立卡等家庭经济困难幼儿优先获得资助</w:t>
            </w:r>
          </w:p>
          <w:p w14:paraId="355613D1">
            <w:pPr>
              <w:pStyle w:val="12"/>
            </w:pPr>
            <w:r>
              <w:t>2.保证本年度资助经费足额落实到位，符合享受资助条件的学生应助尽助。</w:t>
            </w:r>
          </w:p>
        </w:tc>
      </w:tr>
    </w:tbl>
    <w:p w14:paraId="50418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4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210B6">
            <w:pPr>
              <w:pStyle w:val="10"/>
            </w:pPr>
            <w:r>
              <w:t>一级指标</w:t>
            </w:r>
          </w:p>
        </w:tc>
        <w:tc>
          <w:tcPr>
            <w:tcW w:w="2268" w:type="dxa"/>
            <w:vAlign w:val="center"/>
          </w:tcPr>
          <w:p w14:paraId="3FDE44EE">
            <w:pPr>
              <w:pStyle w:val="10"/>
            </w:pPr>
            <w:r>
              <w:t>二级指标</w:t>
            </w:r>
          </w:p>
        </w:tc>
        <w:tc>
          <w:tcPr>
            <w:tcW w:w="2835" w:type="dxa"/>
            <w:vAlign w:val="center"/>
          </w:tcPr>
          <w:p w14:paraId="41EDFF4C">
            <w:pPr>
              <w:pStyle w:val="10"/>
            </w:pPr>
            <w:r>
              <w:t>三级指标</w:t>
            </w:r>
          </w:p>
        </w:tc>
        <w:tc>
          <w:tcPr>
            <w:tcW w:w="5386" w:type="dxa"/>
            <w:vAlign w:val="center"/>
          </w:tcPr>
          <w:p w14:paraId="3F11B2C2">
            <w:pPr>
              <w:pStyle w:val="10"/>
            </w:pPr>
            <w:r>
              <w:t>绩效指标描述</w:t>
            </w:r>
          </w:p>
        </w:tc>
        <w:tc>
          <w:tcPr>
            <w:tcW w:w="2268" w:type="dxa"/>
            <w:vAlign w:val="center"/>
          </w:tcPr>
          <w:p w14:paraId="58492851">
            <w:pPr>
              <w:pStyle w:val="10"/>
            </w:pPr>
            <w:r>
              <w:t>指标值</w:t>
            </w:r>
          </w:p>
        </w:tc>
        <w:tc>
          <w:tcPr>
            <w:tcW w:w="1276" w:type="dxa"/>
            <w:vAlign w:val="center"/>
          </w:tcPr>
          <w:p w14:paraId="1D5F08DE">
            <w:pPr>
              <w:pStyle w:val="10"/>
            </w:pPr>
            <w:r>
              <w:t>指标值确定依据</w:t>
            </w:r>
          </w:p>
        </w:tc>
      </w:tr>
      <w:tr w14:paraId="1270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1C84D">
            <w:pPr>
              <w:pStyle w:val="13"/>
            </w:pPr>
            <w:r>
              <w:t>产出指标</w:t>
            </w:r>
          </w:p>
        </w:tc>
        <w:tc>
          <w:tcPr>
            <w:tcW w:w="2268" w:type="dxa"/>
            <w:vAlign w:val="center"/>
          </w:tcPr>
          <w:p w14:paraId="7F85B9B6">
            <w:pPr>
              <w:pStyle w:val="12"/>
            </w:pPr>
            <w:r>
              <w:t>数量指标</w:t>
            </w:r>
          </w:p>
        </w:tc>
        <w:tc>
          <w:tcPr>
            <w:tcW w:w="2835" w:type="dxa"/>
            <w:vAlign w:val="center"/>
          </w:tcPr>
          <w:p w14:paraId="6C30CCA2">
            <w:pPr>
              <w:pStyle w:val="12"/>
            </w:pPr>
            <w:r>
              <w:t>幼儿资助比例</w:t>
            </w:r>
          </w:p>
        </w:tc>
        <w:tc>
          <w:tcPr>
            <w:tcW w:w="5386" w:type="dxa"/>
            <w:vAlign w:val="center"/>
          </w:tcPr>
          <w:p w14:paraId="74F444B5">
            <w:pPr>
              <w:pStyle w:val="12"/>
            </w:pPr>
            <w:r>
              <w:t>按学前适龄在园儿童10%测算</w:t>
            </w:r>
          </w:p>
        </w:tc>
        <w:tc>
          <w:tcPr>
            <w:tcW w:w="2268" w:type="dxa"/>
            <w:vAlign w:val="center"/>
          </w:tcPr>
          <w:p w14:paraId="5CAEE46B">
            <w:pPr>
              <w:pStyle w:val="12"/>
            </w:pPr>
            <w:r>
              <w:t>≥10%</w:t>
            </w:r>
          </w:p>
        </w:tc>
        <w:tc>
          <w:tcPr>
            <w:tcW w:w="1276" w:type="dxa"/>
            <w:vAlign w:val="center"/>
          </w:tcPr>
          <w:p w14:paraId="6D3BC4BF">
            <w:pPr>
              <w:pStyle w:val="12"/>
            </w:pPr>
            <w:r>
              <w:t>幼儿资助经费管理办法</w:t>
            </w:r>
          </w:p>
        </w:tc>
      </w:tr>
      <w:tr w14:paraId="1068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F8E38"/>
        </w:tc>
        <w:tc>
          <w:tcPr>
            <w:tcW w:w="2268" w:type="dxa"/>
            <w:vAlign w:val="center"/>
          </w:tcPr>
          <w:p w14:paraId="73BA5F5F">
            <w:pPr>
              <w:pStyle w:val="12"/>
            </w:pPr>
            <w:r>
              <w:t>质量指标</w:t>
            </w:r>
          </w:p>
        </w:tc>
        <w:tc>
          <w:tcPr>
            <w:tcW w:w="2835" w:type="dxa"/>
            <w:vAlign w:val="center"/>
          </w:tcPr>
          <w:p w14:paraId="5422E294">
            <w:pPr>
              <w:pStyle w:val="12"/>
            </w:pPr>
            <w:r>
              <w:t>学前教育资助制度落实情况</w:t>
            </w:r>
          </w:p>
        </w:tc>
        <w:tc>
          <w:tcPr>
            <w:tcW w:w="5386" w:type="dxa"/>
            <w:vAlign w:val="center"/>
          </w:tcPr>
          <w:p w14:paraId="6F6522A8">
            <w:pPr>
              <w:pStyle w:val="12"/>
            </w:pPr>
            <w:r>
              <w:t>符合享受资助条件的学生应助尽助</w:t>
            </w:r>
          </w:p>
        </w:tc>
        <w:tc>
          <w:tcPr>
            <w:tcW w:w="2268" w:type="dxa"/>
            <w:vAlign w:val="center"/>
          </w:tcPr>
          <w:p w14:paraId="020ABDA1">
            <w:pPr>
              <w:pStyle w:val="12"/>
            </w:pPr>
            <w:r>
              <w:t>100%</w:t>
            </w:r>
          </w:p>
        </w:tc>
        <w:tc>
          <w:tcPr>
            <w:tcW w:w="1276" w:type="dxa"/>
            <w:vAlign w:val="center"/>
          </w:tcPr>
          <w:p w14:paraId="5078769B">
            <w:pPr>
              <w:pStyle w:val="12"/>
            </w:pPr>
            <w:r>
              <w:t>幼儿资助经费管理办法</w:t>
            </w:r>
          </w:p>
        </w:tc>
      </w:tr>
      <w:tr w14:paraId="2CBB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558D3"/>
        </w:tc>
        <w:tc>
          <w:tcPr>
            <w:tcW w:w="2268" w:type="dxa"/>
            <w:vAlign w:val="center"/>
          </w:tcPr>
          <w:p w14:paraId="38190112">
            <w:pPr>
              <w:pStyle w:val="12"/>
            </w:pPr>
            <w:r>
              <w:t>时效指标</w:t>
            </w:r>
          </w:p>
        </w:tc>
        <w:tc>
          <w:tcPr>
            <w:tcW w:w="2835" w:type="dxa"/>
            <w:vAlign w:val="center"/>
          </w:tcPr>
          <w:p w14:paraId="33B05537">
            <w:pPr>
              <w:pStyle w:val="12"/>
            </w:pPr>
            <w:r>
              <w:t>资金拨付率</w:t>
            </w:r>
          </w:p>
        </w:tc>
        <w:tc>
          <w:tcPr>
            <w:tcW w:w="5386" w:type="dxa"/>
            <w:vAlign w:val="center"/>
          </w:tcPr>
          <w:p w14:paraId="7EF06D22">
            <w:pPr>
              <w:pStyle w:val="12"/>
            </w:pPr>
            <w:r>
              <w:t>所有项目资金支付进度</w:t>
            </w:r>
          </w:p>
        </w:tc>
        <w:tc>
          <w:tcPr>
            <w:tcW w:w="2268" w:type="dxa"/>
            <w:vAlign w:val="center"/>
          </w:tcPr>
          <w:p w14:paraId="4AA1FF4A">
            <w:pPr>
              <w:pStyle w:val="12"/>
            </w:pPr>
            <w:r>
              <w:t>100%</w:t>
            </w:r>
          </w:p>
        </w:tc>
        <w:tc>
          <w:tcPr>
            <w:tcW w:w="1276" w:type="dxa"/>
            <w:vAlign w:val="center"/>
          </w:tcPr>
          <w:p w14:paraId="08FEE8CF">
            <w:pPr>
              <w:pStyle w:val="12"/>
            </w:pPr>
            <w:r>
              <w:t>幼儿资助经费管理办法</w:t>
            </w:r>
          </w:p>
        </w:tc>
      </w:tr>
      <w:tr w14:paraId="015B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136A3"/>
        </w:tc>
        <w:tc>
          <w:tcPr>
            <w:tcW w:w="2268" w:type="dxa"/>
            <w:vAlign w:val="center"/>
          </w:tcPr>
          <w:p w14:paraId="258EC41C">
            <w:pPr>
              <w:pStyle w:val="12"/>
            </w:pPr>
            <w:r>
              <w:t>成本指标</w:t>
            </w:r>
          </w:p>
        </w:tc>
        <w:tc>
          <w:tcPr>
            <w:tcW w:w="2835" w:type="dxa"/>
            <w:vAlign w:val="center"/>
          </w:tcPr>
          <w:p w14:paraId="6BD9A092">
            <w:pPr>
              <w:pStyle w:val="12"/>
            </w:pPr>
            <w:r>
              <w:t>幼儿园资助标准</w:t>
            </w:r>
          </w:p>
        </w:tc>
        <w:tc>
          <w:tcPr>
            <w:tcW w:w="5386" w:type="dxa"/>
            <w:vAlign w:val="center"/>
          </w:tcPr>
          <w:p w14:paraId="44179793">
            <w:pPr>
              <w:pStyle w:val="12"/>
            </w:pPr>
            <w:r>
              <w:t>按照幼儿园资助标准1000元/生/年</w:t>
            </w:r>
          </w:p>
        </w:tc>
        <w:tc>
          <w:tcPr>
            <w:tcW w:w="2268" w:type="dxa"/>
            <w:vAlign w:val="center"/>
          </w:tcPr>
          <w:p w14:paraId="4F268541">
            <w:pPr>
              <w:pStyle w:val="12"/>
            </w:pPr>
            <w:r>
              <w:t>25200元</w:t>
            </w:r>
          </w:p>
        </w:tc>
        <w:tc>
          <w:tcPr>
            <w:tcW w:w="1276" w:type="dxa"/>
            <w:vAlign w:val="center"/>
          </w:tcPr>
          <w:p w14:paraId="5E952F9C">
            <w:pPr>
              <w:pStyle w:val="12"/>
            </w:pPr>
            <w:r>
              <w:t>幼儿资助经费管理办法</w:t>
            </w:r>
          </w:p>
        </w:tc>
      </w:tr>
      <w:tr w14:paraId="3242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77400">
            <w:pPr>
              <w:pStyle w:val="13"/>
            </w:pPr>
            <w:r>
              <w:t>效益指标</w:t>
            </w:r>
          </w:p>
        </w:tc>
        <w:tc>
          <w:tcPr>
            <w:tcW w:w="2268" w:type="dxa"/>
            <w:vAlign w:val="center"/>
          </w:tcPr>
          <w:p w14:paraId="26A17ADA">
            <w:pPr>
              <w:pStyle w:val="12"/>
            </w:pPr>
            <w:r>
              <w:t>可持续影响指标</w:t>
            </w:r>
          </w:p>
        </w:tc>
        <w:tc>
          <w:tcPr>
            <w:tcW w:w="2835" w:type="dxa"/>
            <w:vAlign w:val="center"/>
          </w:tcPr>
          <w:p w14:paraId="0F7C14B4">
            <w:pPr>
              <w:pStyle w:val="12"/>
            </w:pPr>
            <w:r>
              <w:t>幼儿园运转</w:t>
            </w:r>
          </w:p>
        </w:tc>
        <w:tc>
          <w:tcPr>
            <w:tcW w:w="5386" w:type="dxa"/>
            <w:vAlign w:val="center"/>
          </w:tcPr>
          <w:p w14:paraId="3226B98C">
            <w:pPr>
              <w:pStyle w:val="12"/>
            </w:pPr>
            <w:r>
              <w:t>幼儿受教育年限</w:t>
            </w:r>
          </w:p>
        </w:tc>
        <w:tc>
          <w:tcPr>
            <w:tcW w:w="2268" w:type="dxa"/>
            <w:vAlign w:val="center"/>
          </w:tcPr>
          <w:p w14:paraId="543D88F3">
            <w:pPr>
              <w:pStyle w:val="12"/>
            </w:pPr>
            <w:r>
              <w:t>3年</w:t>
            </w:r>
          </w:p>
        </w:tc>
        <w:tc>
          <w:tcPr>
            <w:tcW w:w="1276" w:type="dxa"/>
            <w:vAlign w:val="center"/>
          </w:tcPr>
          <w:p w14:paraId="3338E241">
            <w:pPr>
              <w:pStyle w:val="12"/>
            </w:pPr>
            <w:r>
              <w:t>幼儿资助经费管理办法</w:t>
            </w:r>
          </w:p>
        </w:tc>
      </w:tr>
      <w:tr w14:paraId="21DD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B2DB9">
            <w:pPr>
              <w:pStyle w:val="13"/>
            </w:pPr>
            <w:r>
              <w:t>满意度指标</w:t>
            </w:r>
          </w:p>
        </w:tc>
        <w:tc>
          <w:tcPr>
            <w:tcW w:w="2268" w:type="dxa"/>
            <w:vAlign w:val="center"/>
          </w:tcPr>
          <w:p w14:paraId="5472C1BE">
            <w:pPr>
              <w:pStyle w:val="12"/>
            </w:pPr>
            <w:r>
              <w:t>服务对象满意度指标</w:t>
            </w:r>
          </w:p>
        </w:tc>
        <w:tc>
          <w:tcPr>
            <w:tcW w:w="2835" w:type="dxa"/>
            <w:vAlign w:val="center"/>
          </w:tcPr>
          <w:p w14:paraId="5879771F">
            <w:pPr>
              <w:pStyle w:val="12"/>
            </w:pPr>
            <w:r>
              <w:t>受益幼儿家长及调查满意度</w:t>
            </w:r>
          </w:p>
        </w:tc>
        <w:tc>
          <w:tcPr>
            <w:tcW w:w="5386" w:type="dxa"/>
            <w:vAlign w:val="center"/>
          </w:tcPr>
          <w:p w14:paraId="0B010CAA">
            <w:pPr>
              <w:pStyle w:val="12"/>
            </w:pPr>
            <w:r>
              <w:t>学生、教师及家长对学校保教保育工作满意度情况</w:t>
            </w:r>
          </w:p>
        </w:tc>
        <w:tc>
          <w:tcPr>
            <w:tcW w:w="2268" w:type="dxa"/>
            <w:vAlign w:val="center"/>
          </w:tcPr>
          <w:p w14:paraId="7FAC81D6">
            <w:pPr>
              <w:pStyle w:val="12"/>
            </w:pPr>
            <w:r>
              <w:t>≥95%</w:t>
            </w:r>
          </w:p>
        </w:tc>
        <w:tc>
          <w:tcPr>
            <w:tcW w:w="1276" w:type="dxa"/>
            <w:vAlign w:val="center"/>
          </w:tcPr>
          <w:p w14:paraId="020901A4">
            <w:pPr>
              <w:pStyle w:val="12"/>
            </w:pPr>
            <w:r>
              <w:t>幼儿资助经费管理办法</w:t>
            </w:r>
          </w:p>
        </w:tc>
      </w:tr>
    </w:tbl>
    <w:p w14:paraId="3D873C10">
      <w:pPr>
        <w:sectPr>
          <w:pgSz w:w="16840" w:h="11900" w:orient="landscape"/>
          <w:pgMar w:top="1361" w:right="1020" w:bottom="1134" w:left="1020" w:header="720" w:footer="720" w:gutter="0"/>
          <w:cols w:space="720" w:num="1"/>
        </w:sectPr>
      </w:pPr>
    </w:p>
    <w:p w14:paraId="18779172">
      <w:pPr>
        <w:spacing w:before="0" w:after="0"/>
        <w:ind w:firstLine="560"/>
        <w:jc w:val="left"/>
        <w:outlineLvl w:val="9"/>
      </w:pPr>
      <w:r>
        <w:rPr>
          <w:rFonts w:ascii="方正仿宋_GBK" w:hAnsi="方正仿宋_GBK" w:eastAsia="方正仿宋_GBK" w:cs="方正仿宋_GBK"/>
          <w:b/>
          <w:color w:val="000000"/>
          <w:sz w:val="28"/>
        </w:rPr>
        <w:t>34、县级配套/城关校区义丰小学公用经费绩效目标表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CD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5FB87">
            <w:pPr>
              <w:pStyle w:val="11"/>
            </w:pPr>
            <w:r>
              <w:t>单位：万元</w:t>
            </w:r>
          </w:p>
        </w:tc>
      </w:tr>
      <w:tr w14:paraId="5B327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08E1D">
            <w:pPr>
              <w:pStyle w:val="10"/>
            </w:pPr>
            <w:r>
              <w:t>项目编码</w:t>
            </w:r>
          </w:p>
        </w:tc>
        <w:tc>
          <w:tcPr>
            <w:tcW w:w="5103" w:type="dxa"/>
            <w:gridSpan w:val="2"/>
            <w:vAlign w:val="center"/>
          </w:tcPr>
          <w:p w14:paraId="63E1E4F8">
            <w:pPr>
              <w:pStyle w:val="12"/>
            </w:pPr>
            <w:r>
              <w:t>13052526P00000410424R</w:t>
            </w:r>
          </w:p>
        </w:tc>
        <w:tc>
          <w:tcPr>
            <w:tcW w:w="2835" w:type="dxa"/>
            <w:vAlign w:val="center"/>
          </w:tcPr>
          <w:p w14:paraId="0E156B9E">
            <w:pPr>
              <w:pStyle w:val="10"/>
            </w:pPr>
            <w:r>
              <w:t>项目名称</w:t>
            </w:r>
          </w:p>
        </w:tc>
        <w:tc>
          <w:tcPr>
            <w:tcW w:w="6095" w:type="dxa"/>
            <w:gridSpan w:val="3"/>
            <w:vAlign w:val="center"/>
          </w:tcPr>
          <w:p w14:paraId="3E6342DE">
            <w:pPr>
              <w:pStyle w:val="12"/>
            </w:pPr>
            <w:r>
              <w:t>县级配套/城关校区义丰小学公用经费</w:t>
            </w:r>
          </w:p>
        </w:tc>
      </w:tr>
      <w:tr w14:paraId="25DB5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407B3">
            <w:pPr>
              <w:pStyle w:val="10"/>
            </w:pPr>
            <w:r>
              <w:t>预算规模及资金用途</w:t>
            </w:r>
          </w:p>
        </w:tc>
        <w:tc>
          <w:tcPr>
            <w:tcW w:w="2268" w:type="dxa"/>
            <w:vAlign w:val="center"/>
          </w:tcPr>
          <w:p w14:paraId="2EC39DCC">
            <w:pPr>
              <w:pStyle w:val="10"/>
            </w:pPr>
            <w:r>
              <w:t>预算数</w:t>
            </w:r>
          </w:p>
        </w:tc>
        <w:tc>
          <w:tcPr>
            <w:tcW w:w="2835" w:type="dxa"/>
            <w:vAlign w:val="center"/>
          </w:tcPr>
          <w:p w14:paraId="6B3F6172">
            <w:pPr>
              <w:pStyle w:val="12"/>
            </w:pPr>
            <w:r>
              <w:t>20.91</w:t>
            </w:r>
          </w:p>
        </w:tc>
        <w:tc>
          <w:tcPr>
            <w:tcW w:w="2835" w:type="dxa"/>
            <w:vAlign w:val="center"/>
          </w:tcPr>
          <w:p w14:paraId="54696D0F">
            <w:pPr>
              <w:pStyle w:val="10"/>
            </w:pPr>
            <w:r>
              <w:t>其中：财政    资金</w:t>
            </w:r>
          </w:p>
        </w:tc>
        <w:tc>
          <w:tcPr>
            <w:tcW w:w="2551" w:type="dxa"/>
            <w:vAlign w:val="center"/>
          </w:tcPr>
          <w:p w14:paraId="21948D9F">
            <w:pPr>
              <w:pStyle w:val="12"/>
            </w:pPr>
            <w:r>
              <w:t>20.91</w:t>
            </w:r>
          </w:p>
        </w:tc>
        <w:tc>
          <w:tcPr>
            <w:tcW w:w="2268" w:type="dxa"/>
            <w:vAlign w:val="center"/>
          </w:tcPr>
          <w:p w14:paraId="516E0E58">
            <w:pPr>
              <w:pStyle w:val="10"/>
            </w:pPr>
            <w:r>
              <w:t>其他资金</w:t>
            </w:r>
          </w:p>
        </w:tc>
        <w:tc>
          <w:tcPr>
            <w:tcW w:w="1276" w:type="dxa"/>
            <w:vAlign w:val="center"/>
          </w:tcPr>
          <w:p w14:paraId="5892B612">
            <w:pPr>
              <w:pStyle w:val="12"/>
            </w:pPr>
            <w:r>
              <w:t xml:space="preserve"> </w:t>
            </w:r>
          </w:p>
        </w:tc>
      </w:tr>
      <w:tr w14:paraId="3F5E4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3F94E"/>
        </w:tc>
        <w:tc>
          <w:tcPr>
            <w:tcW w:w="14033" w:type="dxa"/>
            <w:gridSpan w:val="6"/>
            <w:vAlign w:val="center"/>
          </w:tcPr>
          <w:p w14:paraId="44B88957">
            <w:pPr>
              <w:pStyle w:val="12"/>
            </w:pPr>
            <w:r>
              <w:t>保障义务教育学校正常运转，完成教育教学活动和其他日常工作任务等方面的费用支出。</w:t>
            </w:r>
          </w:p>
        </w:tc>
      </w:tr>
      <w:tr w14:paraId="287B2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248EB">
            <w:pPr>
              <w:pStyle w:val="10"/>
            </w:pPr>
            <w:r>
              <w:t>资金支出计划（%）</w:t>
            </w:r>
          </w:p>
        </w:tc>
        <w:tc>
          <w:tcPr>
            <w:tcW w:w="5103" w:type="dxa"/>
            <w:gridSpan w:val="2"/>
            <w:vAlign w:val="center"/>
          </w:tcPr>
          <w:p w14:paraId="103661BD">
            <w:pPr>
              <w:pStyle w:val="10"/>
            </w:pPr>
            <w:r>
              <w:t>3月底</w:t>
            </w:r>
          </w:p>
        </w:tc>
        <w:tc>
          <w:tcPr>
            <w:tcW w:w="2835" w:type="dxa"/>
            <w:vAlign w:val="center"/>
          </w:tcPr>
          <w:p w14:paraId="0D9D22CC">
            <w:pPr>
              <w:pStyle w:val="10"/>
            </w:pPr>
            <w:r>
              <w:t>6月底</w:t>
            </w:r>
          </w:p>
        </w:tc>
        <w:tc>
          <w:tcPr>
            <w:tcW w:w="2551" w:type="dxa"/>
            <w:vAlign w:val="center"/>
          </w:tcPr>
          <w:p w14:paraId="0498E4FC">
            <w:pPr>
              <w:pStyle w:val="10"/>
            </w:pPr>
            <w:r>
              <w:t>10月底</w:t>
            </w:r>
          </w:p>
        </w:tc>
        <w:tc>
          <w:tcPr>
            <w:tcW w:w="3544" w:type="dxa"/>
            <w:gridSpan w:val="2"/>
            <w:vAlign w:val="center"/>
          </w:tcPr>
          <w:p w14:paraId="47F25536">
            <w:pPr>
              <w:pStyle w:val="10"/>
            </w:pPr>
            <w:r>
              <w:t>12月底</w:t>
            </w:r>
          </w:p>
        </w:tc>
      </w:tr>
      <w:tr w14:paraId="2B74A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104D3"/>
        </w:tc>
        <w:tc>
          <w:tcPr>
            <w:tcW w:w="5103" w:type="dxa"/>
            <w:gridSpan w:val="2"/>
            <w:vAlign w:val="center"/>
          </w:tcPr>
          <w:p w14:paraId="5C2EAE89">
            <w:pPr>
              <w:pStyle w:val="13"/>
            </w:pPr>
            <w:r>
              <w:t>25%</w:t>
            </w:r>
          </w:p>
        </w:tc>
        <w:tc>
          <w:tcPr>
            <w:tcW w:w="2835" w:type="dxa"/>
            <w:vAlign w:val="center"/>
          </w:tcPr>
          <w:p w14:paraId="2C0B9E9F">
            <w:pPr>
              <w:pStyle w:val="13"/>
            </w:pPr>
            <w:r>
              <w:t>50%</w:t>
            </w:r>
          </w:p>
        </w:tc>
        <w:tc>
          <w:tcPr>
            <w:tcW w:w="2551" w:type="dxa"/>
            <w:vAlign w:val="center"/>
          </w:tcPr>
          <w:p w14:paraId="05E1E95E">
            <w:pPr>
              <w:pStyle w:val="13"/>
            </w:pPr>
            <w:r>
              <w:t>75%</w:t>
            </w:r>
          </w:p>
        </w:tc>
        <w:tc>
          <w:tcPr>
            <w:tcW w:w="3544" w:type="dxa"/>
            <w:gridSpan w:val="2"/>
            <w:vAlign w:val="center"/>
          </w:tcPr>
          <w:p w14:paraId="10BAACA8">
            <w:pPr>
              <w:pStyle w:val="13"/>
            </w:pPr>
            <w:r>
              <w:t>100%</w:t>
            </w:r>
          </w:p>
        </w:tc>
      </w:tr>
      <w:tr w14:paraId="1E2AE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48C8E">
            <w:pPr>
              <w:pStyle w:val="10"/>
            </w:pPr>
            <w:r>
              <w:t>绩效目标</w:t>
            </w:r>
          </w:p>
        </w:tc>
        <w:tc>
          <w:tcPr>
            <w:tcW w:w="14033" w:type="dxa"/>
            <w:gridSpan w:val="6"/>
            <w:vAlign w:val="center"/>
          </w:tcPr>
          <w:p w14:paraId="34B4FA1C">
            <w:pPr>
              <w:pStyle w:val="12"/>
            </w:pPr>
            <w:r>
              <w:t>1.按季度分批次拨付公用经费资金209100元，资金拨付率达到100%。</w:t>
            </w:r>
          </w:p>
          <w:p w14:paraId="5A2294C9">
            <w:pPr>
              <w:pStyle w:val="12"/>
            </w:pPr>
            <w:r>
              <w:t>2.保障义务教育学校正常运转，完成教育教学活动和其他日常工作任务等方面的费用支出。</w:t>
            </w:r>
          </w:p>
        </w:tc>
      </w:tr>
    </w:tbl>
    <w:p w14:paraId="120F0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3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32734">
            <w:pPr>
              <w:pStyle w:val="10"/>
            </w:pPr>
            <w:r>
              <w:t>一级指标</w:t>
            </w:r>
          </w:p>
        </w:tc>
        <w:tc>
          <w:tcPr>
            <w:tcW w:w="2268" w:type="dxa"/>
            <w:vAlign w:val="center"/>
          </w:tcPr>
          <w:p w14:paraId="5770EDF9">
            <w:pPr>
              <w:pStyle w:val="10"/>
            </w:pPr>
            <w:r>
              <w:t>二级指标</w:t>
            </w:r>
          </w:p>
        </w:tc>
        <w:tc>
          <w:tcPr>
            <w:tcW w:w="2835" w:type="dxa"/>
            <w:vAlign w:val="center"/>
          </w:tcPr>
          <w:p w14:paraId="345A92AD">
            <w:pPr>
              <w:pStyle w:val="10"/>
            </w:pPr>
            <w:r>
              <w:t>三级指标</w:t>
            </w:r>
          </w:p>
        </w:tc>
        <w:tc>
          <w:tcPr>
            <w:tcW w:w="5386" w:type="dxa"/>
            <w:vAlign w:val="center"/>
          </w:tcPr>
          <w:p w14:paraId="776760B0">
            <w:pPr>
              <w:pStyle w:val="10"/>
            </w:pPr>
            <w:r>
              <w:t>绩效指标描述</w:t>
            </w:r>
          </w:p>
        </w:tc>
        <w:tc>
          <w:tcPr>
            <w:tcW w:w="2268" w:type="dxa"/>
            <w:vAlign w:val="center"/>
          </w:tcPr>
          <w:p w14:paraId="01135BE6">
            <w:pPr>
              <w:pStyle w:val="10"/>
            </w:pPr>
            <w:r>
              <w:t>指标值</w:t>
            </w:r>
          </w:p>
        </w:tc>
        <w:tc>
          <w:tcPr>
            <w:tcW w:w="1276" w:type="dxa"/>
            <w:vAlign w:val="center"/>
          </w:tcPr>
          <w:p w14:paraId="366666D7">
            <w:pPr>
              <w:pStyle w:val="10"/>
            </w:pPr>
            <w:r>
              <w:t>指标值确定依据</w:t>
            </w:r>
          </w:p>
        </w:tc>
      </w:tr>
      <w:tr w14:paraId="5021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60D0A">
            <w:pPr>
              <w:pStyle w:val="13"/>
            </w:pPr>
            <w:r>
              <w:t>产出指标</w:t>
            </w:r>
          </w:p>
        </w:tc>
        <w:tc>
          <w:tcPr>
            <w:tcW w:w="2268" w:type="dxa"/>
            <w:vAlign w:val="center"/>
          </w:tcPr>
          <w:p w14:paraId="2D3A5FF5">
            <w:pPr>
              <w:pStyle w:val="12"/>
            </w:pPr>
            <w:r>
              <w:t>数量指标</w:t>
            </w:r>
          </w:p>
        </w:tc>
        <w:tc>
          <w:tcPr>
            <w:tcW w:w="2835" w:type="dxa"/>
            <w:vAlign w:val="center"/>
          </w:tcPr>
          <w:p w14:paraId="3B6CF3CD">
            <w:pPr>
              <w:pStyle w:val="12"/>
            </w:pPr>
            <w:r>
              <w:t>适龄在校生</w:t>
            </w:r>
          </w:p>
        </w:tc>
        <w:tc>
          <w:tcPr>
            <w:tcW w:w="5386" w:type="dxa"/>
            <w:vAlign w:val="center"/>
          </w:tcPr>
          <w:p w14:paraId="4C8BDEB5">
            <w:pPr>
              <w:pStyle w:val="12"/>
            </w:pPr>
            <w:r>
              <w:t>适龄在校就读学生人数</w:t>
            </w:r>
          </w:p>
        </w:tc>
        <w:tc>
          <w:tcPr>
            <w:tcW w:w="2268" w:type="dxa"/>
            <w:vAlign w:val="center"/>
          </w:tcPr>
          <w:p w14:paraId="5AF0EC30">
            <w:pPr>
              <w:pStyle w:val="12"/>
            </w:pPr>
            <w:r>
              <w:t>≥2366人</w:t>
            </w:r>
          </w:p>
        </w:tc>
        <w:tc>
          <w:tcPr>
            <w:tcW w:w="1276" w:type="dxa"/>
            <w:vAlign w:val="center"/>
          </w:tcPr>
          <w:p w14:paraId="181DBE22">
            <w:pPr>
              <w:pStyle w:val="12"/>
            </w:pPr>
            <w:r>
              <w:t>城乡义务教育公用经费管理办法</w:t>
            </w:r>
          </w:p>
        </w:tc>
      </w:tr>
      <w:tr w14:paraId="66D5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F0957"/>
        </w:tc>
        <w:tc>
          <w:tcPr>
            <w:tcW w:w="2268" w:type="dxa"/>
            <w:vAlign w:val="center"/>
          </w:tcPr>
          <w:p w14:paraId="65BDA3CD">
            <w:pPr>
              <w:pStyle w:val="12"/>
            </w:pPr>
            <w:r>
              <w:t>质量指标</w:t>
            </w:r>
          </w:p>
        </w:tc>
        <w:tc>
          <w:tcPr>
            <w:tcW w:w="2835" w:type="dxa"/>
            <w:vAlign w:val="center"/>
          </w:tcPr>
          <w:p w14:paraId="06113BAC">
            <w:pPr>
              <w:pStyle w:val="12"/>
            </w:pPr>
            <w:r>
              <w:t>公用经费拨付完成率</w:t>
            </w:r>
          </w:p>
        </w:tc>
        <w:tc>
          <w:tcPr>
            <w:tcW w:w="5386" w:type="dxa"/>
            <w:vAlign w:val="center"/>
          </w:tcPr>
          <w:p w14:paraId="2B26BA10">
            <w:pPr>
              <w:pStyle w:val="12"/>
            </w:pPr>
            <w:r>
              <w:t>公用经费拨付完成率达到需时进度</w:t>
            </w:r>
          </w:p>
        </w:tc>
        <w:tc>
          <w:tcPr>
            <w:tcW w:w="2268" w:type="dxa"/>
            <w:vAlign w:val="center"/>
          </w:tcPr>
          <w:p w14:paraId="62E93288">
            <w:pPr>
              <w:pStyle w:val="12"/>
            </w:pPr>
            <w:r>
              <w:t>100%</w:t>
            </w:r>
          </w:p>
        </w:tc>
        <w:tc>
          <w:tcPr>
            <w:tcW w:w="1276" w:type="dxa"/>
            <w:vAlign w:val="center"/>
          </w:tcPr>
          <w:p w14:paraId="612379C5">
            <w:pPr>
              <w:pStyle w:val="12"/>
            </w:pPr>
            <w:r>
              <w:t>城乡义务教育公用经费管理办法</w:t>
            </w:r>
          </w:p>
        </w:tc>
      </w:tr>
      <w:tr w14:paraId="37C2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3832A"/>
        </w:tc>
        <w:tc>
          <w:tcPr>
            <w:tcW w:w="2268" w:type="dxa"/>
            <w:vAlign w:val="center"/>
          </w:tcPr>
          <w:p w14:paraId="5A52C73C">
            <w:pPr>
              <w:pStyle w:val="12"/>
            </w:pPr>
            <w:r>
              <w:t>时效指标</w:t>
            </w:r>
          </w:p>
        </w:tc>
        <w:tc>
          <w:tcPr>
            <w:tcW w:w="2835" w:type="dxa"/>
            <w:vAlign w:val="center"/>
          </w:tcPr>
          <w:p w14:paraId="5D6E367D">
            <w:pPr>
              <w:pStyle w:val="12"/>
            </w:pPr>
            <w:r>
              <w:t>资金支付率</w:t>
            </w:r>
          </w:p>
        </w:tc>
        <w:tc>
          <w:tcPr>
            <w:tcW w:w="5386" w:type="dxa"/>
            <w:vAlign w:val="center"/>
          </w:tcPr>
          <w:p w14:paraId="203F6AFA">
            <w:pPr>
              <w:pStyle w:val="12"/>
            </w:pPr>
            <w:r>
              <w:t>按照序时进度完成资金支付</w:t>
            </w:r>
          </w:p>
        </w:tc>
        <w:tc>
          <w:tcPr>
            <w:tcW w:w="2268" w:type="dxa"/>
            <w:vAlign w:val="center"/>
          </w:tcPr>
          <w:p w14:paraId="2DB0A43D">
            <w:pPr>
              <w:pStyle w:val="12"/>
            </w:pPr>
            <w:r>
              <w:t>100%</w:t>
            </w:r>
          </w:p>
        </w:tc>
        <w:tc>
          <w:tcPr>
            <w:tcW w:w="1276" w:type="dxa"/>
            <w:vAlign w:val="center"/>
          </w:tcPr>
          <w:p w14:paraId="788E2D0E">
            <w:pPr>
              <w:pStyle w:val="12"/>
            </w:pPr>
            <w:r>
              <w:t>城乡义务教育公用经费管理办法</w:t>
            </w:r>
          </w:p>
        </w:tc>
      </w:tr>
      <w:tr w14:paraId="4DDB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0B817"/>
        </w:tc>
        <w:tc>
          <w:tcPr>
            <w:tcW w:w="2268" w:type="dxa"/>
            <w:vAlign w:val="center"/>
          </w:tcPr>
          <w:p w14:paraId="194DA734">
            <w:pPr>
              <w:pStyle w:val="12"/>
            </w:pPr>
            <w:r>
              <w:t>成本指标</w:t>
            </w:r>
          </w:p>
        </w:tc>
        <w:tc>
          <w:tcPr>
            <w:tcW w:w="2835" w:type="dxa"/>
            <w:vAlign w:val="center"/>
          </w:tcPr>
          <w:p w14:paraId="7630E3D1">
            <w:pPr>
              <w:pStyle w:val="12"/>
            </w:pPr>
            <w:r>
              <w:t>生均拨款标准</w:t>
            </w:r>
          </w:p>
        </w:tc>
        <w:tc>
          <w:tcPr>
            <w:tcW w:w="5386" w:type="dxa"/>
            <w:vAlign w:val="center"/>
          </w:tcPr>
          <w:p w14:paraId="14F02313">
            <w:pPr>
              <w:pStyle w:val="12"/>
            </w:pPr>
            <w:r>
              <w:t>小学：（基本标准720元、寄宿生300元、取暖费120元）/生/学年；特教、随班就读学生：标准7000元/生/学年。</w:t>
            </w:r>
          </w:p>
        </w:tc>
        <w:tc>
          <w:tcPr>
            <w:tcW w:w="2268" w:type="dxa"/>
            <w:vAlign w:val="center"/>
          </w:tcPr>
          <w:p w14:paraId="069D3E4D">
            <w:pPr>
              <w:pStyle w:val="12"/>
            </w:pPr>
            <w:r>
              <w:t>209100元</w:t>
            </w:r>
          </w:p>
        </w:tc>
        <w:tc>
          <w:tcPr>
            <w:tcW w:w="1276" w:type="dxa"/>
            <w:vAlign w:val="center"/>
          </w:tcPr>
          <w:p w14:paraId="0520C2C8">
            <w:pPr>
              <w:pStyle w:val="12"/>
            </w:pPr>
            <w:r>
              <w:t>城乡义务教育公用经费管理办法</w:t>
            </w:r>
          </w:p>
        </w:tc>
      </w:tr>
      <w:tr w14:paraId="04D4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86BCC">
            <w:pPr>
              <w:pStyle w:val="13"/>
            </w:pPr>
            <w:r>
              <w:t>效益指标</w:t>
            </w:r>
          </w:p>
        </w:tc>
        <w:tc>
          <w:tcPr>
            <w:tcW w:w="2268" w:type="dxa"/>
            <w:vAlign w:val="center"/>
          </w:tcPr>
          <w:p w14:paraId="5CBC2CE6">
            <w:pPr>
              <w:pStyle w:val="12"/>
            </w:pPr>
            <w:r>
              <w:t>经济效益指标</w:t>
            </w:r>
          </w:p>
        </w:tc>
        <w:tc>
          <w:tcPr>
            <w:tcW w:w="2835" w:type="dxa"/>
            <w:vAlign w:val="center"/>
          </w:tcPr>
          <w:p w14:paraId="20338836">
            <w:pPr>
              <w:pStyle w:val="12"/>
            </w:pPr>
            <w:r>
              <w:t>项目实施成果</w:t>
            </w:r>
          </w:p>
        </w:tc>
        <w:tc>
          <w:tcPr>
            <w:tcW w:w="5386" w:type="dxa"/>
            <w:vAlign w:val="center"/>
          </w:tcPr>
          <w:p w14:paraId="5DD20C19">
            <w:pPr>
              <w:pStyle w:val="12"/>
            </w:pPr>
            <w:r>
              <w:t>减轻受教育学生家庭经济负担</w:t>
            </w:r>
          </w:p>
        </w:tc>
        <w:tc>
          <w:tcPr>
            <w:tcW w:w="2268" w:type="dxa"/>
            <w:vAlign w:val="center"/>
          </w:tcPr>
          <w:p w14:paraId="495C0008">
            <w:pPr>
              <w:pStyle w:val="12"/>
            </w:pPr>
            <w:r>
              <w:t>100%</w:t>
            </w:r>
          </w:p>
        </w:tc>
        <w:tc>
          <w:tcPr>
            <w:tcW w:w="1276" w:type="dxa"/>
            <w:vAlign w:val="center"/>
          </w:tcPr>
          <w:p w14:paraId="3CF4C8B0">
            <w:pPr>
              <w:pStyle w:val="12"/>
            </w:pPr>
            <w:r>
              <w:t>城乡义务教育公用经费管理办法</w:t>
            </w:r>
          </w:p>
        </w:tc>
      </w:tr>
      <w:tr w14:paraId="6EF1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BF87F"/>
        </w:tc>
        <w:tc>
          <w:tcPr>
            <w:tcW w:w="2268" w:type="dxa"/>
            <w:vAlign w:val="center"/>
          </w:tcPr>
          <w:p w14:paraId="299176F1">
            <w:pPr>
              <w:pStyle w:val="12"/>
            </w:pPr>
            <w:r>
              <w:t>社会效益指标</w:t>
            </w:r>
          </w:p>
        </w:tc>
        <w:tc>
          <w:tcPr>
            <w:tcW w:w="2835" w:type="dxa"/>
            <w:vAlign w:val="center"/>
          </w:tcPr>
          <w:p w14:paraId="75B90FF3">
            <w:pPr>
              <w:pStyle w:val="12"/>
            </w:pPr>
            <w:r>
              <w:t>学校办学能力提升</w:t>
            </w:r>
          </w:p>
        </w:tc>
        <w:tc>
          <w:tcPr>
            <w:tcW w:w="5386" w:type="dxa"/>
            <w:vAlign w:val="center"/>
          </w:tcPr>
          <w:p w14:paraId="03A170CB">
            <w:pPr>
              <w:pStyle w:val="12"/>
            </w:pPr>
            <w:r>
              <w:t>学校办学能</w:t>
            </w:r>
            <w:r>
              <w:rPr>
                <w:rFonts w:hint="eastAsia"/>
                <w:lang w:eastAsia="zh-CN"/>
              </w:rPr>
              <w:t>力提</w:t>
            </w:r>
            <w:r>
              <w:t>升情况及教育教学工作等开展的情况</w:t>
            </w:r>
          </w:p>
        </w:tc>
        <w:tc>
          <w:tcPr>
            <w:tcW w:w="2268" w:type="dxa"/>
            <w:vAlign w:val="center"/>
          </w:tcPr>
          <w:p w14:paraId="506BA52E">
            <w:pPr>
              <w:pStyle w:val="12"/>
            </w:pPr>
            <w:r>
              <w:t>100%</w:t>
            </w:r>
          </w:p>
        </w:tc>
        <w:tc>
          <w:tcPr>
            <w:tcW w:w="1276" w:type="dxa"/>
            <w:vAlign w:val="center"/>
          </w:tcPr>
          <w:p w14:paraId="2D80089C">
            <w:pPr>
              <w:pStyle w:val="12"/>
            </w:pPr>
            <w:r>
              <w:t>城乡义务教育公用经费管理办法</w:t>
            </w:r>
          </w:p>
        </w:tc>
      </w:tr>
      <w:tr w14:paraId="305C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EFE7B"/>
        </w:tc>
        <w:tc>
          <w:tcPr>
            <w:tcW w:w="2268" w:type="dxa"/>
            <w:vAlign w:val="center"/>
          </w:tcPr>
          <w:p w14:paraId="14C3950B">
            <w:pPr>
              <w:pStyle w:val="12"/>
            </w:pPr>
            <w:r>
              <w:t>可持续影响指标</w:t>
            </w:r>
          </w:p>
        </w:tc>
        <w:tc>
          <w:tcPr>
            <w:tcW w:w="2835" w:type="dxa"/>
            <w:vAlign w:val="center"/>
          </w:tcPr>
          <w:p w14:paraId="53D03A22">
            <w:pPr>
              <w:pStyle w:val="12"/>
            </w:pPr>
            <w:r>
              <w:t>教育发展水平</w:t>
            </w:r>
          </w:p>
        </w:tc>
        <w:tc>
          <w:tcPr>
            <w:tcW w:w="5386" w:type="dxa"/>
            <w:vAlign w:val="center"/>
          </w:tcPr>
          <w:p w14:paraId="1DA4C3F4">
            <w:pPr>
              <w:pStyle w:val="12"/>
            </w:pPr>
            <w:r>
              <w:t>辖区内教育环境明显好转</w:t>
            </w:r>
          </w:p>
        </w:tc>
        <w:tc>
          <w:tcPr>
            <w:tcW w:w="2268" w:type="dxa"/>
            <w:vAlign w:val="center"/>
          </w:tcPr>
          <w:p w14:paraId="7F8B53E9">
            <w:pPr>
              <w:pStyle w:val="12"/>
            </w:pPr>
            <w:r>
              <w:t>100%</w:t>
            </w:r>
          </w:p>
        </w:tc>
        <w:tc>
          <w:tcPr>
            <w:tcW w:w="1276" w:type="dxa"/>
            <w:vAlign w:val="center"/>
          </w:tcPr>
          <w:p w14:paraId="10D56439">
            <w:pPr>
              <w:pStyle w:val="12"/>
            </w:pPr>
            <w:r>
              <w:t>城乡义务教育公用经费管理办法</w:t>
            </w:r>
          </w:p>
        </w:tc>
      </w:tr>
      <w:tr w14:paraId="4268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37123">
            <w:pPr>
              <w:pStyle w:val="13"/>
            </w:pPr>
            <w:r>
              <w:t>满意度指标</w:t>
            </w:r>
          </w:p>
        </w:tc>
        <w:tc>
          <w:tcPr>
            <w:tcW w:w="2268" w:type="dxa"/>
            <w:vAlign w:val="center"/>
          </w:tcPr>
          <w:p w14:paraId="36C1F81A">
            <w:pPr>
              <w:pStyle w:val="12"/>
            </w:pPr>
            <w:r>
              <w:t>服务对象满意度指标</w:t>
            </w:r>
          </w:p>
        </w:tc>
        <w:tc>
          <w:tcPr>
            <w:tcW w:w="2835" w:type="dxa"/>
            <w:vAlign w:val="center"/>
          </w:tcPr>
          <w:p w14:paraId="4229964B">
            <w:pPr>
              <w:pStyle w:val="12"/>
            </w:pPr>
            <w:r>
              <w:t>受益学生家长及调查满意度</w:t>
            </w:r>
          </w:p>
        </w:tc>
        <w:tc>
          <w:tcPr>
            <w:tcW w:w="5386" w:type="dxa"/>
            <w:vAlign w:val="center"/>
          </w:tcPr>
          <w:p w14:paraId="6DE0F4CC">
            <w:pPr>
              <w:pStyle w:val="12"/>
            </w:pPr>
            <w:r>
              <w:t>学生、教师及家长对学校保教保育工作满意度情况</w:t>
            </w:r>
          </w:p>
        </w:tc>
        <w:tc>
          <w:tcPr>
            <w:tcW w:w="2268" w:type="dxa"/>
            <w:vAlign w:val="center"/>
          </w:tcPr>
          <w:p w14:paraId="021042D2">
            <w:pPr>
              <w:pStyle w:val="12"/>
            </w:pPr>
            <w:r>
              <w:t>≥95%</w:t>
            </w:r>
          </w:p>
        </w:tc>
        <w:tc>
          <w:tcPr>
            <w:tcW w:w="1276" w:type="dxa"/>
            <w:vAlign w:val="center"/>
          </w:tcPr>
          <w:p w14:paraId="75A81807">
            <w:pPr>
              <w:pStyle w:val="12"/>
            </w:pPr>
            <w:r>
              <w:t>调查问卷</w:t>
            </w:r>
          </w:p>
        </w:tc>
      </w:tr>
    </w:tbl>
    <w:p w14:paraId="7EA442EC">
      <w:pPr>
        <w:sectPr>
          <w:pgSz w:w="16840" w:h="11900" w:orient="landscape"/>
          <w:pgMar w:top="1361" w:right="1020" w:bottom="1134" w:left="1020" w:header="720" w:footer="720" w:gutter="0"/>
          <w:cols w:space="720" w:num="1"/>
        </w:sectPr>
      </w:pPr>
    </w:p>
    <w:p w14:paraId="09F73B4F">
      <w:pPr>
        <w:spacing w:before="0" w:after="0"/>
        <w:ind w:firstLine="560"/>
        <w:jc w:val="left"/>
        <w:outlineLvl w:val="9"/>
      </w:pPr>
      <w:r>
        <w:rPr>
          <w:rFonts w:ascii="方正仿宋_GBK" w:hAnsi="方正仿宋_GBK" w:eastAsia="方正仿宋_GBK" w:cs="方正仿宋_GBK"/>
          <w:b/>
          <w:color w:val="000000"/>
          <w:sz w:val="28"/>
        </w:rPr>
        <w:t>35、县级资金/2024年城关校区学前教育公用经费绩效目标表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1A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8FC98">
            <w:pPr>
              <w:pStyle w:val="11"/>
            </w:pPr>
            <w:r>
              <w:t>单位：万元</w:t>
            </w:r>
          </w:p>
        </w:tc>
      </w:tr>
      <w:tr w14:paraId="5F259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D2840">
            <w:pPr>
              <w:pStyle w:val="10"/>
            </w:pPr>
            <w:r>
              <w:t>项目编码</w:t>
            </w:r>
          </w:p>
        </w:tc>
        <w:tc>
          <w:tcPr>
            <w:tcW w:w="5103" w:type="dxa"/>
            <w:gridSpan w:val="2"/>
            <w:vAlign w:val="center"/>
          </w:tcPr>
          <w:p w14:paraId="76A87576">
            <w:pPr>
              <w:pStyle w:val="12"/>
            </w:pPr>
            <w:r>
              <w:t>13052526P00875710131Y</w:t>
            </w:r>
          </w:p>
        </w:tc>
        <w:tc>
          <w:tcPr>
            <w:tcW w:w="2835" w:type="dxa"/>
            <w:vAlign w:val="center"/>
          </w:tcPr>
          <w:p w14:paraId="60A6AD82">
            <w:pPr>
              <w:pStyle w:val="10"/>
            </w:pPr>
            <w:r>
              <w:t>项目名称</w:t>
            </w:r>
          </w:p>
        </w:tc>
        <w:tc>
          <w:tcPr>
            <w:tcW w:w="6095" w:type="dxa"/>
            <w:gridSpan w:val="3"/>
            <w:vAlign w:val="center"/>
          </w:tcPr>
          <w:p w14:paraId="1A71DE7A">
            <w:pPr>
              <w:pStyle w:val="12"/>
            </w:pPr>
            <w:r>
              <w:t>县级资金/2024年城关校区学前教育公用经费</w:t>
            </w:r>
          </w:p>
        </w:tc>
      </w:tr>
      <w:tr w14:paraId="301A0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31BE2">
            <w:pPr>
              <w:pStyle w:val="10"/>
            </w:pPr>
            <w:r>
              <w:t>预算规模及资金用途</w:t>
            </w:r>
          </w:p>
        </w:tc>
        <w:tc>
          <w:tcPr>
            <w:tcW w:w="2268" w:type="dxa"/>
            <w:vAlign w:val="center"/>
          </w:tcPr>
          <w:p w14:paraId="1A6AB50B">
            <w:pPr>
              <w:pStyle w:val="10"/>
            </w:pPr>
            <w:r>
              <w:t>预算数</w:t>
            </w:r>
          </w:p>
        </w:tc>
        <w:tc>
          <w:tcPr>
            <w:tcW w:w="2835" w:type="dxa"/>
            <w:vAlign w:val="center"/>
          </w:tcPr>
          <w:p w14:paraId="77F5E7F2">
            <w:pPr>
              <w:pStyle w:val="12"/>
            </w:pPr>
            <w:r>
              <w:t>136.08</w:t>
            </w:r>
          </w:p>
        </w:tc>
        <w:tc>
          <w:tcPr>
            <w:tcW w:w="2835" w:type="dxa"/>
            <w:vAlign w:val="center"/>
          </w:tcPr>
          <w:p w14:paraId="2F6EFC0B">
            <w:pPr>
              <w:pStyle w:val="10"/>
            </w:pPr>
            <w:r>
              <w:t>其中：财政    资金</w:t>
            </w:r>
          </w:p>
        </w:tc>
        <w:tc>
          <w:tcPr>
            <w:tcW w:w="2551" w:type="dxa"/>
            <w:vAlign w:val="center"/>
          </w:tcPr>
          <w:p w14:paraId="1C80D46C">
            <w:pPr>
              <w:pStyle w:val="12"/>
            </w:pPr>
            <w:r>
              <w:t>136.08</w:t>
            </w:r>
          </w:p>
        </w:tc>
        <w:tc>
          <w:tcPr>
            <w:tcW w:w="2268" w:type="dxa"/>
            <w:vAlign w:val="center"/>
          </w:tcPr>
          <w:p w14:paraId="0294A4BB">
            <w:pPr>
              <w:pStyle w:val="10"/>
            </w:pPr>
            <w:r>
              <w:t>其他资金</w:t>
            </w:r>
          </w:p>
        </w:tc>
        <w:tc>
          <w:tcPr>
            <w:tcW w:w="1276" w:type="dxa"/>
            <w:vAlign w:val="center"/>
          </w:tcPr>
          <w:p w14:paraId="244AB54B">
            <w:pPr>
              <w:pStyle w:val="12"/>
            </w:pPr>
            <w:r>
              <w:t xml:space="preserve"> </w:t>
            </w:r>
          </w:p>
        </w:tc>
      </w:tr>
      <w:tr w14:paraId="48E50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2B463"/>
        </w:tc>
        <w:tc>
          <w:tcPr>
            <w:tcW w:w="14033" w:type="dxa"/>
            <w:gridSpan w:val="6"/>
            <w:vAlign w:val="center"/>
          </w:tcPr>
          <w:p w14:paraId="7AEED0DB">
            <w:pPr>
              <w:pStyle w:val="12"/>
            </w:pPr>
            <w:r>
              <w:t>保障幼儿园正常运转，完成教育教学活动和其他日常工作任务等方面的费用支出，</w:t>
            </w:r>
            <w:r>
              <w:tab/>
            </w:r>
            <w:r>
              <w:tab/>
            </w:r>
            <w:r>
              <w:tab/>
            </w:r>
            <w:r>
              <w:tab/>
            </w:r>
            <w:r>
              <w:tab/>
            </w:r>
            <w:r>
              <w:tab/>
            </w:r>
          </w:p>
          <w:p w14:paraId="1A06797E">
            <w:pPr>
              <w:pStyle w:val="12"/>
            </w:pPr>
            <w:r>
              <w:t>按季度分批次拨付公用经费资金，资金拨付率达到100%。</w:t>
            </w:r>
            <w:r>
              <w:tab/>
            </w:r>
            <w:r>
              <w:tab/>
            </w:r>
          </w:p>
        </w:tc>
      </w:tr>
      <w:tr w14:paraId="06A3B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D3E58">
            <w:pPr>
              <w:pStyle w:val="10"/>
            </w:pPr>
            <w:r>
              <w:t>资金支出计划（%）</w:t>
            </w:r>
          </w:p>
        </w:tc>
        <w:tc>
          <w:tcPr>
            <w:tcW w:w="5103" w:type="dxa"/>
            <w:gridSpan w:val="2"/>
            <w:vAlign w:val="center"/>
          </w:tcPr>
          <w:p w14:paraId="472D8C61">
            <w:pPr>
              <w:pStyle w:val="10"/>
            </w:pPr>
            <w:r>
              <w:t>3月底</w:t>
            </w:r>
          </w:p>
        </w:tc>
        <w:tc>
          <w:tcPr>
            <w:tcW w:w="2835" w:type="dxa"/>
            <w:vAlign w:val="center"/>
          </w:tcPr>
          <w:p w14:paraId="10D97561">
            <w:pPr>
              <w:pStyle w:val="10"/>
            </w:pPr>
            <w:r>
              <w:t>6月底</w:t>
            </w:r>
          </w:p>
        </w:tc>
        <w:tc>
          <w:tcPr>
            <w:tcW w:w="2551" w:type="dxa"/>
            <w:vAlign w:val="center"/>
          </w:tcPr>
          <w:p w14:paraId="03579D81">
            <w:pPr>
              <w:pStyle w:val="10"/>
            </w:pPr>
            <w:r>
              <w:t>10月底</w:t>
            </w:r>
          </w:p>
        </w:tc>
        <w:tc>
          <w:tcPr>
            <w:tcW w:w="3544" w:type="dxa"/>
            <w:gridSpan w:val="2"/>
            <w:vAlign w:val="center"/>
          </w:tcPr>
          <w:p w14:paraId="5F542058">
            <w:pPr>
              <w:pStyle w:val="10"/>
            </w:pPr>
            <w:r>
              <w:t>12月底</w:t>
            </w:r>
          </w:p>
        </w:tc>
      </w:tr>
      <w:tr w14:paraId="34A03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FBB2A"/>
        </w:tc>
        <w:tc>
          <w:tcPr>
            <w:tcW w:w="5103" w:type="dxa"/>
            <w:gridSpan w:val="2"/>
            <w:vAlign w:val="center"/>
          </w:tcPr>
          <w:p w14:paraId="4776795E">
            <w:pPr>
              <w:pStyle w:val="13"/>
            </w:pPr>
            <w:r>
              <w:t>25%</w:t>
            </w:r>
          </w:p>
        </w:tc>
        <w:tc>
          <w:tcPr>
            <w:tcW w:w="2835" w:type="dxa"/>
            <w:vAlign w:val="center"/>
          </w:tcPr>
          <w:p w14:paraId="7D8715DF">
            <w:pPr>
              <w:pStyle w:val="13"/>
            </w:pPr>
            <w:r>
              <w:t>50%</w:t>
            </w:r>
          </w:p>
        </w:tc>
        <w:tc>
          <w:tcPr>
            <w:tcW w:w="2551" w:type="dxa"/>
            <w:vAlign w:val="center"/>
          </w:tcPr>
          <w:p w14:paraId="177CC3D1">
            <w:pPr>
              <w:pStyle w:val="13"/>
            </w:pPr>
            <w:r>
              <w:t>75%</w:t>
            </w:r>
          </w:p>
        </w:tc>
        <w:tc>
          <w:tcPr>
            <w:tcW w:w="3544" w:type="dxa"/>
            <w:gridSpan w:val="2"/>
            <w:vAlign w:val="center"/>
          </w:tcPr>
          <w:p w14:paraId="52F1CA99">
            <w:pPr>
              <w:pStyle w:val="13"/>
            </w:pPr>
            <w:r>
              <w:t>100%</w:t>
            </w:r>
          </w:p>
        </w:tc>
      </w:tr>
      <w:tr w14:paraId="7684C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604D3">
            <w:pPr>
              <w:pStyle w:val="10"/>
            </w:pPr>
            <w:r>
              <w:t>绩效目标</w:t>
            </w:r>
          </w:p>
        </w:tc>
        <w:tc>
          <w:tcPr>
            <w:tcW w:w="14033" w:type="dxa"/>
            <w:gridSpan w:val="6"/>
            <w:vAlign w:val="center"/>
          </w:tcPr>
          <w:p w14:paraId="14007D8D">
            <w:pPr>
              <w:pStyle w:val="12"/>
            </w:pPr>
            <w:r>
              <w:t>1.保障幼儿园正常运转，完成教育教学活动和其他日常工作任务等方面的费用支出。</w:t>
            </w:r>
            <w:r>
              <w:tab/>
            </w:r>
            <w:r>
              <w:tab/>
            </w:r>
            <w:r>
              <w:tab/>
            </w:r>
            <w:r>
              <w:tab/>
            </w:r>
            <w:r>
              <w:tab/>
            </w:r>
            <w:r>
              <w:tab/>
            </w:r>
          </w:p>
          <w:p w14:paraId="50570423">
            <w:pPr>
              <w:pStyle w:val="12"/>
            </w:pPr>
          </w:p>
          <w:p w14:paraId="6E8AAC59">
            <w:pPr>
              <w:pStyle w:val="12"/>
            </w:pPr>
            <w:r>
              <w:t>2.按季度分批次拨付公用经费资金，资金拨付率达到100%。</w:t>
            </w:r>
            <w:r>
              <w:tab/>
            </w:r>
            <w:r>
              <w:tab/>
            </w:r>
            <w:r>
              <w:tab/>
            </w:r>
            <w:r>
              <w:tab/>
            </w:r>
            <w:r>
              <w:tab/>
            </w:r>
            <w:r>
              <w:tab/>
            </w:r>
          </w:p>
          <w:p w14:paraId="2DF63260">
            <w:pPr>
              <w:pStyle w:val="12"/>
            </w:pPr>
          </w:p>
        </w:tc>
      </w:tr>
    </w:tbl>
    <w:p w14:paraId="6F2C00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5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6AE60">
            <w:pPr>
              <w:pStyle w:val="10"/>
            </w:pPr>
            <w:r>
              <w:t>一级指标</w:t>
            </w:r>
          </w:p>
        </w:tc>
        <w:tc>
          <w:tcPr>
            <w:tcW w:w="2268" w:type="dxa"/>
            <w:vAlign w:val="center"/>
          </w:tcPr>
          <w:p w14:paraId="556129B3">
            <w:pPr>
              <w:pStyle w:val="10"/>
            </w:pPr>
            <w:r>
              <w:t>二级指标</w:t>
            </w:r>
          </w:p>
        </w:tc>
        <w:tc>
          <w:tcPr>
            <w:tcW w:w="2835" w:type="dxa"/>
            <w:vAlign w:val="center"/>
          </w:tcPr>
          <w:p w14:paraId="27C8780D">
            <w:pPr>
              <w:pStyle w:val="10"/>
            </w:pPr>
            <w:r>
              <w:t>三级指标</w:t>
            </w:r>
          </w:p>
        </w:tc>
        <w:tc>
          <w:tcPr>
            <w:tcW w:w="5386" w:type="dxa"/>
            <w:vAlign w:val="center"/>
          </w:tcPr>
          <w:p w14:paraId="591B7527">
            <w:pPr>
              <w:pStyle w:val="10"/>
            </w:pPr>
            <w:r>
              <w:t>绩效指标描述</w:t>
            </w:r>
          </w:p>
        </w:tc>
        <w:tc>
          <w:tcPr>
            <w:tcW w:w="2268" w:type="dxa"/>
            <w:vAlign w:val="center"/>
          </w:tcPr>
          <w:p w14:paraId="6C77A941">
            <w:pPr>
              <w:pStyle w:val="10"/>
            </w:pPr>
            <w:r>
              <w:t>指标值</w:t>
            </w:r>
          </w:p>
        </w:tc>
        <w:tc>
          <w:tcPr>
            <w:tcW w:w="1276" w:type="dxa"/>
            <w:vAlign w:val="center"/>
          </w:tcPr>
          <w:p w14:paraId="7E2A9282">
            <w:pPr>
              <w:pStyle w:val="10"/>
            </w:pPr>
            <w:r>
              <w:t>指标值确定依据</w:t>
            </w:r>
          </w:p>
        </w:tc>
      </w:tr>
      <w:tr w14:paraId="1E65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8B200">
            <w:pPr>
              <w:pStyle w:val="13"/>
            </w:pPr>
            <w:r>
              <w:t>产出指标</w:t>
            </w:r>
          </w:p>
        </w:tc>
        <w:tc>
          <w:tcPr>
            <w:tcW w:w="2268" w:type="dxa"/>
            <w:vAlign w:val="center"/>
          </w:tcPr>
          <w:p w14:paraId="66DCA1C3">
            <w:pPr>
              <w:pStyle w:val="12"/>
            </w:pPr>
            <w:r>
              <w:t>数量指标</w:t>
            </w:r>
          </w:p>
        </w:tc>
        <w:tc>
          <w:tcPr>
            <w:tcW w:w="2835" w:type="dxa"/>
            <w:vAlign w:val="center"/>
          </w:tcPr>
          <w:p w14:paraId="3A4A86DF">
            <w:pPr>
              <w:pStyle w:val="12"/>
            </w:pPr>
            <w:r>
              <w:t>幼儿资助比例</w:t>
            </w:r>
          </w:p>
        </w:tc>
        <w:tc>
          <w:tcPr>
            <w:tcW w:w="5386" w:type="dxa"/>
            <w:vAlign w:val="center"/>
          </w:tcPr>
          <w:p w14:paraId="5C6D7024">
            <w:pPr>
              <w:pStyle w:val="12"/>
            </w:pPr>
            <w:r>
              <w:t>辐射区域内适龄学生人数</w:t>
            </w:r>
          </w:p>
        </w:tc>
        <w:tc>
          <w:tcPr>
            <w:tcW w:w="2268" w:type="dxa"/>
            <w:vAlign w:val="center"/>
          </w:tcPr>
          <w:p w14:paraId="35A657C8">
            <w:pPr>
              <w:pStyle w:val="12"/>
            </w:pPr>
            <w:r>
              <w:t>≥1328人</w:t>
            </w:r>
          </w:p>
        </w:tc>
        <w:tc>
          <w:tcPr>
            <w:tcW w:w="1276" w:type="dxa"/>
            <w:vAlign w:val="center"/>
          </w:tcPr>
          <w:p w14:paraId="0CD4D694">
            <w:pPr>
              <w:pStyle w:val="12"/>
            </w:pPr>
            <w:r>
              <w:t>幼儿资助经费管理办法</w:t>
            </w:r>
          </w:p>
        </w:tc>
      </w:tr>
      <w:tr w14:paraId="1A5A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F2AD"/>
        </w:tc>
        <w:tc>
          <w:tcPr>
            <w:tcW w:w="2268" w:type="dxa"/>
            <w:vAlign w:val="center"/>
          </w:tcPr>
          <w:p w14:paraId="6B87EBB2">
            <w:pPr>
              <w:pStyle w:val="12"/>
            </w:pPr>
            <w:r>
              <w:t>质量指标</w:t>
            </w:r>
          </w:p>
        </w:tc>
        <w:tc>
          <w:tcPr>
            <w:tcW w:w="2835" w:type="dxa"/>
            <w:vAlign w:val="center"/>
          </w:tcPr>
          <w:p w14:paraId="24017386">
            <w:pPr>
              <w:pStyle w:val="12"/>
            </w:pPr>
            <w:r>
              <w:t>资助资金使用率</w:t>
            </w:r>
          </w:p>
        </w:tc>
        <w:tc>
          <w:tcPr>
            <w:tcW w:w="5386" w:type="dxa"/>
            <w:vAlign w:val="center"/>
          </w:tcPr>
          <w:p w14:paraId="6549461E">
            <w:pPr>
              <w:pStyle w:val="12"/>
            </w:pPr>
            <w:r>
              <w:t>预算执行</w:t>
            </w:r>
          </w:p>
        </w:tc>
        <w:tc>
          <w:tcPr>
            <w:tcW w:w="2268" w:type="dxa"/>
            <w:vAlign w:val="center"/>
          </w:tcPr>
          <w:p w14:paraId="4FD5D703">
            <w:pPr>
              <w:pStyle w:val="12"/>
            </w:pPr>
            <w:r>
              <w:t>95%</w:t>
            </w:r>
          </w:p>
        </w:tc>
        <w:tc>
          <w:tcPr>
            <w:tcW w:w="1276" w:type="dxa"/>
            <w:vAlign w:val="center"/>
          </w:tcPr>
          <w:p w14:paraId="4C325E14">
            <w:pPr>
              <w:pStyle w:val="12"/>
            </w:pPr>
            <w:r>
              <w:t>幼儿资助经费管理办法</w:t>
            </w:r>
          </w:p>
        </w:tc>
      </w:tr>
      <w:tr w14:paraId="36B2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A4611"/>
        </w:tc>
        <w:tc>
          <w:tcPr>
            <w:tcW w:w="2268" w:type="dxa"/>
            <w:vAlign w:val="center"/>
          </w:tcPr>
          <w:p w14:paraId="72E4E88D">
            <w:pPr>
              <w:pStyle w:val="12"/>
            </w:pPr>
            <w:r>
              <w:t>时效指标</w:t>
            </w:r>
          </w:p>
        </w:tc>
        <w:tc>
          <w:tcPr>
            <w:tcW w:w="2835" w:type="dxa"/>
            <w:vAlign w:val="center"/>
          </w:tcPr>
          <w:p w14:paraId="7CEC4CC6">
            <w:pPr>
              <w:pStyle w:val="12"/>
            </w:pPr>
            <w:r>
              <w:t>资金拨付率</w:t>
            </w:r>
          </w:p>
        </w:tc>
        <w:tc>
          <w:tcPr>
            <w:tcW w:w="5386" w:type="dxa"/>
            <w:vAlign w:val="center"/>
          </w:tcPr>
          <w:p w14:paraId="0C9DA76E">
            <w:pPr>
              <w:pStyle w:val="12"/>
            </w:pPr>
            <w:r>
              <w:t>按照序时进度完成资金支付</w:t>
            </w:r>
          </w:p>
        </w:tc>
        <w:tc>
          <w:tcPr>
            <w:tcW w:w="2268" w:type="dxa"/>
            <w:vAlign w:val="center"/>
          </w:tcPr>
          <w:p w14:paraId="1CD06897">
            <w:pPr>
              <w:pStyle w:val="12"/>
            </w:pPr>
            <w:r>
              <w:t>100%</w:t>
            </w:r>
          </w:p>
        </w:tc>
        <w:tc>
          <w:tcPr>
            <w:tcW w:w="1276" w:type="dxa"/>
            <w:vAlign w:val="center"/>
          </w:tcPr>
          <w:p w14:paraId="3D7BC78D">
            <w:pPr>
              <w:pStyle w:val="12"/>
            </w:pPr>
            <w:r>
              <w:t>幼儿资助经费管理办法</w:t>
            </w:r>
          </w:p>
        </w:tc>
      </w:tr>
      <w:tr w14:paraId="44F2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678DA"/>
        </w:tc>
        <w:tc>
          <w:tcPr>
            <w:tcW w:w="2268" w:type="dxa"/>
            <w:vAlign w:val="center"/>
          </w:tcPr>
          <w:p w14:paraId="78D3CD51">
            <w:pPr>
              <w:pStyle w:val="12"/>
            </w:pPr>
            <w:r>
              <w:t>成本指标</w:t>
            </w:r>
          </w:p>
        </w:tc>
        <w:tc>
          <w:tcPr>
            <w:tcW w:w="2835" w:type="dxa"/>
            <w:vAlign w:val="center"/>
          </w:tcPr>
          <w:p w14:paraId="46FDB4CD">
            <w:pPr>
              <w:pStyle w:val="12"/>
            </w:pPr>
            <w:r>
              <w:t>幼儿园生均成本</w:t>
            </w:r>
          </w:p>
        </w:tc>
        <w:tc>
          <w:tcPr>
            <w:tcW w:w="5386" w:type="dxa"/>
            <w:vAlign w:val="center"/>
          </w:tcPr>
          <w:p w14:paraId="5D232839">
            <w:pPr>
              <w:pStyle w:val="12"/>
            </w:pPr>
            <w:r>
              <w:t>学前：（基本标准600元/生/学年）</w:t>
            </w:r>
          </w:p>
        </w:tc>
        <w:tc>
          <w:tcPr>
            <w:tcW w:w="2268" w:type="dxa"/>
            <w:vAlign w:val="center"/>
          </w:tcPr>
          <w:p w14:paraId="03534B16">
            <w:pPr>
              <w:pStyle w:val="12"/>
            </w:pPr>
            <w:r>
              <w:t>600元</w:t>
            </w:r>
          </w:p>
        </w:tc>
        <w:tc>
          <w:tcPr>
            <w:tcW w:w="1276" w:type="dxa"/>
            <w:vAlign w:val="center"/>
          </w:tcPr>
          <w:p w14:paraId="0B72942C">
            <w:pPr>
              <w:pStyle w:val="12"/>
            </w:pPr>
            <w:r>
              <w:t>幼儿资助经费管理办法</w:t>
            </w:r>
          </w:p>
        </w:tc>
      </w:tr>
      <w:tr w14:paraId="5BA7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39E23">
            <w:pPr>
              <w:pStyle w:val="13"/>
            </w:pPr>
            <w:r>
              <w:t>效益指标</w:t>
            </w:r>
          </w:p>
        </w:tc>
        <w:tc>
          <w:tcPr>
            <w:tcW w:w="2268" w:type="dxa"/>
            <w:vAlign w:val="center"/>
          </w:tcPr>
          <w:p w14:paraId="6028F456">
            <w:pPr>
              <w:pStyle w:val="12"/>
            </w:pPr>
            <w:r>
              <w:t>可持续影响指标</w:t>
            </w:r>
          </w:p>
        </w:tc>
        <w:tc>
          <w:tcPr>
            <w:tcW w:w="2835" w:type="dxa"/>
            <w:vAlign w:val="center"/>
          </w:tcPr>
          <w:p w14:paraId="077A31AE">
            <w:pPr>
              <w:pStyle w:val="12"/>
            </w:pPr>
            <w:r>
              <w:t>幼儿园正常运转</w:t>
            </w:r>
          </w:p>
        </w:tc>
        <w:tc>
          <w:tcPr>
            <w:tcW w:w="5386" w:type="dxa"/>
            <w:vAlign w:val="center"/>
          </w:tcPr>
          <w:p w14:paraId="402636C1">
            <w:pPr>
              <w:pStyle w:val="12"/>
            </w:pPr>
            <w:r>
              <w:t>幼儿受教育年限</w:t>
            </w:r>
          </w:p>
        </w:tc>
        <w:tc>
          <w:tcPr>
            <w:tcW w:w="2268" w:type="dxa"/>
            <w:vAlign w:val="center"/>
          </w:tcPr>
          <w:p w14:paraId="1E5E2EB8">
            <w:pPr>
              <w:pStyle w:val="12"/>
            </w:pPr>
            <w:r>
              <w:t>3年</w:t>
            </w:r>
          </w:p>
        </w:tc>
        <w:tc>
          <w:tcPr>
            <w:tcW w:w="1276" w:type="dxa"/>
            <w:vAlign w:val="center"/>
          </w:tcPr>
          <w:p w14:paraId="10B842D7">
            <w:pPr>
              <w:pStyle w:val="12"/>
            </w:pPr>
            <w:r>
              <w:t>幼儿资助经费管理办法</w:t>
            </w:r>
          </w:p>
        </w:tc>
      </w:tr>
      <w:tr w14:paraId="37D5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5D250">
            <w:pPr>
              <w:pStyle w:val="13"/>
            </w:pPr>
            <w:r>
              <w:t>满意度指标</w:t>
            </w:r>
          </w:p>
        </w:tc>
        <w:tc>
          <w:tcPr>
            <w:tcW w:w="2268" w:type="dxa"/>
            <w:vAlign w:val="center"/>
          </w:tcPr>
          <w:p w14:paraId="2C741357">
            <w:pPr>
              <w:pStyle w:val="12"/>
            </w:pPr>
            <w:r>
              <w:t>服务对象满意度指标</w:t>
            </w:r>
          </w:p>
        </w:tc>
        <w:tc>
          <w:tcPr>
            <w:tcW w:w="2835" w:type="dxa"/>
            <w:vAlign w:val="center"/>
          </w:tcPr>
          <w:p w14:paraId="14F6ECAA">
            <w:pPr>
              <w:pStyle w:val="12"/>
            </w:pPr>
            <w:r>
              <w:t>受益幼儿家长及调查满意度</w:t>
            </w:r>
          </w:p>
        </w:tc>
        <w:tc>
          <w:tcPr>
            <w:tcW w:w="5386" w:type="dxa"/>
            <w:vAlign w:val="center"/>
          </w:tcPr>
          <w:p w14:paraId="1D4E9237">
            <w:pPr>
              <w:pStyle w:val="12"/>
            </w:pPr>
            <w:r>
              <w:t>家长和学生满意度</w:t>
            </w:r>
          </w:p>
        </w:tc>
        <w:tc>
          <w:tcPr>
            <w:tcW w:w="2268" w:type="dxa"/>
            <w:vAlign w:val="center"/>
          </w:tcPr>
          <w:p w14:paraId="092E15D9">
            <w:pPr>
              <w:pStyle w:val="12"/>
            </w:pPr>
            <w:r>
              <w:t>≥95%</w:t>
            </w:r>
          </w:p>
        </w:tc>
        <w:tc>
          <w:tcPr>
            <w:tcW w:w="1276" w:type="dxa"/>
            <w:vAlign w:val="center"/>
          </w:tcPr>
          <w:p w14:paraId="6C45D842">
            <w:pPr>
              <w:pStyle w:val="12"/>
            </w:pPr>
            <w:r>
              <w:t>幼儿资助经费管理办法</w:t>
            </w:r>
          </w:p>
        </w:tc>
      </w:tr>
    </w:tbl>
    <w:p w14:paraId="1494DA11">
      <w:pPr>
        <w:sectPr>
          <w:pgSz w:w="16840" w:h="11900" w:orient="landscape"/>
          <w:pgMar w:top="1361" w:right="1020" w:bottom="1134" w:left="1020" w:header="720" w:footer="720" w:gutter="0"/>
          <w:cols w:space="720" w:num="1"/>
        </w:sectPr>
      </w:pPr>
    </w:p>
    <w:p w14:paraId="56C1F3E0">
      <w:pPr>
        <w:spacing w:before="0" w:after="0"/>
        <w:ind w:firstLine="560"/>
        <w:jc w:val="left"/>
        <w:outlineLvl w:val="9"/>
      </w:pPr>
      <w:r>
        <w:rPr>
          <w:rFonts w:ascii="方正仿宋_GBK" w:hAnsi="方正仿宋_GBK" w:eastAsia="方正仿宋_GBK" w:cs="方正仿宋_GBK"/>
          <w:b/>
          <w:color w:val="000000"/>
          <w:sz w:val="28"/>
        </w:rPr>
        <w:t>36、县级资金/2026年城关校区学前教育公用经费绩效目标表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19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E900C">
            <w:pPr>
              <w:pStyle w:val="11"/>
            </w:pPr>
            <w:r>
              <w:t>单位：万元</w:t>
            </w:r>
          </w:p>
        </w:tc>
      </w:tr>
      <w:tr w14:paraId="13DBC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268AA">
            <w:pPr>
              <w:pStyle w:val="10"/>
            </w:pPr>
            <w:r>
              <w:t>项目编码</w:t>
            </w:r>
          </w:p>
        </w:tc>
        <w:tc>
          <w:tcPr>
            <w:tcW w:w="5103" w:type="dxa"/>
            <w:gridSpan w:val="2"/>
            <w:vAlign w:val="center"/>
          </w:tcPr>
          <w:p w14:paraId="18EB7688">
            <w:pPr>
              <w:pStyle w:val="12"/>
            </w:pPr>
            <w:r>
              <w:t>13052526P00875710117W</w:t>
            </w:r>
          </w:p>
        </w:tc>
        <w:tc>
          <w:tcPr>
            <w:tcW w:w="2835" w:type="dxa"/>
            <w:vAlign w:val="center"/>
          </w:tcPr>
          <w:p w14:paraId="67DCD412">
            <w:pPr>
              <w:pStyle w:val="10"/>
            </w:pPr>
            <w:r>
              <w:t>项目名称</w:t>
            </w:r>
          </w:p>
        </w:tc>
        <w:tc>
          <w:tcPr>
            <w:tcW w:w="6095" w:type="dxa"/>
            <w:gridSpan w:val="3"/>
            <w:vAlign w:val="center"/>
          </w:tcPr>
          <w:p w14:paraId="610613AD">
            <w:pPr>
              <w:pStyle w:val="12"/>
            </w:pPr>
            <w:r>
              <w:t>县级资金/2026年城关校区学前教育公用经费</w:t>
            </w:r>
          </w:p>
        </w:tc>
      </w:tr>
      <w:tr w14:paraId="17D8B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3EE29">
            <w:pPr>
              <w:pStyle w:val="10"/>
            </w:pPr>
            <w:r>
              <w:t>预算规模及资金用途</w:t>
            </w:r>
          </w:p>
        </w:tc>
        <w:tc>
          <w:tcPr>
            <w:tcW w:w="2268" w:type="dxa"/>
            <w:vAlign w:val="center"/>
          </w:tcPr>
          <w:p w14:paraId="6CFC902A">
            <w:pPr>
              <w:pStyle w:val="10"/>
            </w:pPr>
            <w:r>
              <w:t>预算数</w:t>
            </w:r>
          </w:p>
        </w:tc>
        <w:tc>
          <w:tcPr>
            <w:tcW w:w="2835" w:type="dxa"/>
            <w:vAlign w:val="center"/>
          </w:tcPr>
          <w:p w14:paraId="3E70145A">
            <w:pPr>
              <w:pStyle w:val="12"/>
            </w:pPr>
            <w:r>
              <w:t>54.33</w:t>
            </w:r>
          </w:p>
        </w:tc>
        <w:tc>
          <w:tcPr>
            <w:tcW w:w="2835" w:type="dxa"/>
            <w:vAlign w:val="center"/>
          </w:tcPr>
          <w:p w14:paraId="6978A681">
            <w:pPr>
              <w:pStyle w:val="10"/>
            </w:pPr>
            <w:r>
              <w:t>其中：财政    资金</w:t>
            </w:r>
          </w:p>
        </w:tc>
        <w:tc>
          <w:tcPr>
            <w:tcW w:w="2551" w:type="dxa"/>
            <w:vAlign w:val="center"/>
          </w:tcPr>
          <w:p w14:paraId="1E21361D">
            <w:pPr>
              <w:pStyle w:val="12"/>
            </w:pPr>
            <w:r>
              <w:t>54.33</w:t>
            </w:r>
          </w:p>
        </w:tc>
        <w:tc>
          <w:tcPr>
            <w:tcW w:w="2268" w:type="dxa"/>
            <w:vAlign w:val="center"/>
          </w:tcPr>
          <w:p w14:paraId="109FFBFB">
            <w:pPr>
              <w:pStyle w:val="10"/>
            </w:pPr>
            <w:r>
              <w:t>其他资金</w:t>
            </w:r>
          </w:p>
        </w:tc>
        <w:tc>
          <w:tcPr>
            <w:tcW w:w="1276" w:type="dxa"/>
            <w:vAlign w:val="center"/>
          </w:tcPr>
          <w:p w14:paraId="630DE59E">
            <w:pPr>
              <w:pStyle w:val="12"/>
            </w:pPr>
            <w:r>
              <w:t xml:space="preserve"> </w:t>
            </w:r>
          </w:p>
        </w:tc>
      </w:tr>
      <w:tr w14:paraId="483F5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DBE67"/>
        </w:tc>
        <w:tc>
          <w:tcPr>
            <w:tcW w:w="14033" w:type="dxa"/>
            <w:gridSpan w:val="6"/>
            <w:vAlign w:val="center"/>
          </w:tcPr>
          <w:p w14:paraId="48559438">
            <w:pPr>
              <w:pStyle w:val="12"/>
            </w:pPr>
            <w:r>
              <w:t xml:space="preserve"> 保障幼儿园正常运转，完成教育教学活动和其他日常工作任务等方面的费用支出，按季度分批次拨付公用经费资金，资金拨付率达到100%。</w:t>
            </w:r>
          </w:p>
        </w:tc>
      </w:tr>
      <w:tr w14:paraId="1464F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2CF25">
            <w:pPr>
              <w:pStyle w:val="10"/>
            </w:pPr>
            <w:r>
              <w:t>资金支出计划（%）</w:t>
            </w:r>
          </w:p>
        </w:tc>
        <w:tc>
          <w:tcPr>
            <w:tcW w:w="5103" w:type="dxa"/>
            <w:gridSpan w:val="2"/>
            <w:vAlign w:val="center"/>
          </w:tcPr>
          <w:p w14:paraId="6E814B17">
            <w:pPr>
              <w:pStyle w:val="10"/>
            </w:pPr>
            <w:r>
              <w:t>3月底</w:t>
            </w:r>
          </w:p>
        </w:tc>
        <w:tc>
          <w:tcPr>
            <w:tcW w:w="2835" w:type="dxa"/>
            <w:vAlign w:val="center"/>
          </w:tcPr>
          <w:p w14:paraId="69D1EDCE">
            <w:pPr>
              <w:pStyle w:val="10"/>
            </w:pPr>
            <w:r>
              <w:t>6月底</w:t>
            </w:r>
          </w:p>
        </w:tc>
        <w:tc>
          <w:tcPr>
            <w:tcW w:w="2551" w:type="dxa"/>
            <w:vAlign w:val="center"/>
          </w:tcPr>
          <w:p w14:paraId="047FD94C">
            <w:pPr>
              <w:pStyle w:val="10"/>
            </w:pPr>
            <w:r>
              <w:t>10月底</w:t>
            </w:r>
          </w:p>
        </w:tc>
        <w:tc>
          <w:tcPr>
            <w:tcW w:w="3544" w:type="dxa"/>
            <w:gridSpan w:val="2"/>
            <w:vAlign w:val="center"/>
          </w:tcPr>
          <w:p w14:paraId="638E4D1F">
            <w:pPr>
              <w:pStyle w:val="10"/>
            </w:pPr>
            <w:r>
              <w:t>12月底</w:t>
            </w:r>
          </w:p>
        </w:tc>
      </w:tr>
      <w:tr w14:paraId="6355B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7488A"/>
        </w:tc>
        <w:tc>
          <w:tcPr>
            <w:tcW w:w="5103" w:type="dxa"/>
            <w:gridSpan w:val="2"/>
            <w:vAlign w:val="center"/>
          </w:tcPr>
          <w:p w14:paraId="7B3C1190">
            <w:pPr>
              <w:pStyle w:val="13"/>
            </w:pPr>
            <w:r>
              <w:t>25%</w:t>
            </w:r>
          </w:p>
        </w:tc>
        <w:tc>
          <w:tcPr>
            <w:tcW w:w="2835" w:type="dxa"/>
            <w:vAlign w:val="center"/>
          </w:tcPr>
          <w:p w14:paraId="687C8840">
            <w:pPr>
              <w:pStyle w:val="13"/>
            </w:pPr>
            <w:r>
              <w:t>50%</w:t>
            </w:r>
          </w:p>
        </w:tc>
        <w:tc>
          <w:tcPr>
            <w:tcW w:w="2551" w:type="dxa"/>
            <w:vAlign w:val="center"/>
          </w:tcPr>
          <w:p w14:paraId="34D3C63E">
            <w:pPr>
              <w:pStyle w:val="13"/>
            </w:pPr>
            <w:r>
              <w:t>75%</w:t>
            </w:r>
          </w:p>
        </w:tc>
        <w:tc>
          <w:tcPr>
            <w:tcW w:w="3544" w:type="dxa"/>
            <w:gridSpan w:val="2"/>
            <w:vAlign w:val="center"/>
          </w:tcPr>
          <w:p w14:paraId="7A1C218A">
            <w:pPr>
              <w:pStyle w:val="13"/>
            </w:pPr>
            <w:r>
              <w:t>100%</w:t>
            </w:r>
          </w:p>
        </w:tc>
      </w:tr>
      <w:tr w14:paraId="1A224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BDB07">
            <w:pPr>
              <w:pStyle w:val="10"/>
            </w:pPr>
            <w:r>
              <w:t>绩效目标</w:t>
            </w:r>
          </w:p>
        </w:tc>
        <w:tc>
          <w:tcPr>
            <w:tcW w:w="14033" w:type="dxa"/>
            <w:gridSpan w:val="6"/>
            <w:vAlign w:val="center"/>
          </w:tcPr>
          <w:p w14:paraId="15A40DC3">
            <w:pPr>
              <w:pStyle w:val="12"/>
            </w:pPr>
            <w:r>
              <w:t>1. 保障幼儿园正常运转，完成教育教学活动和其他日常工作任务等方面的费用支出。</w:t>
            </w:r>
          </w:p>
          <w:p w14:paraId="5B20FE43">
            <w:pPr>
              <w:pStyle w:val="12"/>
            </w:pPr>
            <w:r>
              <w:t>2.按季度分批次拨付公用经费资金，资金拨付率达到100%。</w:t>
            </w:r>
          </w:p>
        </w:tc>
      </w:tr>
    </w:tbl>
    <w:p w14:paraId="03263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4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98FB0">
            <w:pPr>
              <w:pStyle w:val="10"/>
            </w:pPr>
            <w:r>
              <w:t>一级指标</w:t>
            </w:r>
          </w:p>
        </w:tc>
        <w:tc>
          <w:tcPr>
            <w:tcW w:w="2268" w:type="dxa"/>
            <w:vAlign w:val="center"/>
          </w:tcPr>
          <w:p w14:paraId="15A7336D">
            <w:pPr>
              <w:pStyle w:val="10"/>
            </w:pPr>
            <w:r>
              <w:t>二级指标</w:t>
            </w:r>
          </w:p>
        </w:tc>
        <w:tc>
          <w:tcPr>
            <w:tcW w:w="2835" w:type="dxa"/>
            <w:vAlign w:val="center"/>
          </w:tcPr>
          <w:p w14:paraId="3F88C3AD">
            <w:pPr>
              <w:pStyle w:val="10"/>
            </w:pPr>
            <w:r>
              <w:t>三级指标</w:t>
            </w:r>
          </w:p>
        </w:tc>
        <w:tc>
          <w:tcPr>
            <w:tcW w:w="5386" w:type="dxa"/>
            <w:vAlign w:val="center"/>
          </w:tcPr>
          <w:p w14:paraId="7BF8AEEE">
            <w:pPr>
              <w:pStyle w:val="10"/>
            </w:pPr>
            <w:r>
              <w:t>绩效指标描述</w:t>
            </w:r>
          </w:p>
        </w:tc>
        <w:tc>
          <w:tcPr>
            <w:tcW w:w="2268" w:type="dxa"/>
            <w:vAlign w:val="center"/>
          </w:tcPr>
          <w:p w14:paraId="4E4397C6">
            <w:pPr>
              <w:pStyle w:val="10"/>
            </w:pPr>
            <w:r>
              <w:t>指标值</w:t>
            </w:r>
          </w:p>
        </w:tc>
        <w:tc>
          <w:tcPr>
            <w:tcW w:w="1276" w:type="dxa"/>
            <w:vAlign w:val="center"/>
          </w:tcPr>
          <w:p w14:paraId="595E3D58">
            <w:pPr>
              <w:pStyle w:val="10"/>
            </w:pPr>
            <w:r>
              <w:t>指标值确定依据</w:t>
            </w:r>
          </w:p>
        </w:tc>
      </w:tr>
      <w:tr w14:paraId="3EF5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6DE3B">
            <w:pPr>
              <w:pStyle w:val="13"/>
            </w:pPr>
            <w:r>
              <w:t>产出指标</w:t>
            </w:r>
          </w:p>
        </w:tc>
        <w:tc>
          <w:tcPr>
            <w:tcW w:w="2268" w:type="dxa"/>
            <w:vAlign w:val="center"/>
          </w:tcPr>
          <w:p w14:paraId="3F4A3A78">
            <w:pPr>
              <w:pStyle w:val="12"/>
            </w:pPr>
            <w:r>
              <w:t>数量指标</w:t>
            </w:r>
          </w:p>
        </w:tc>
        <w:tc>
          <w:tcPr>
            <w:tcW w:w="2835" w:type="dxa"/>
            <w:vAlign w:val="center"/>
          </w:tcPr>
          <w:p w14:paraId="3D54B72B">
            <w:pPr>
              <w:pStyle w:val="12"/>
            </w:pPr>
            <w:r>
              <w:t>适龄在园生</w:t>
            </w:r>
          </w:p>
        </w:tc>
        <w:tc>
          <w:tcPr>
            <w:tcW w:w="5386" w:type="dxa"/>
            <w:vAlign w:val="center"/>
          </w:tcPr>
          <w:p w14:paraId="6ADBF572">
            <w:pPr>
              <w:pStyle w:val="12"/>
            </w:pPr>
            <w:r>
              <w:t>适龄在园学生人数</w:t>
            </w:r>
          </w:p>
        </w:tc>
        <w:tc>
          <w:tcPr>
            <w:tcW w:w="2268" w:type="dxa"/>
            <w:vAlign w:val="center"/>
          </w:tcPr>
          <w:p w14:paraId="41F42321">
            <w:pPr>
              <w:pStyle w:val="12"/>
            </w:pPr>
            <w:r>
              <w:t>≥1904人</w:t>
            </w:r>
          </w:p>
        </w:tc>
        <w:tc>
          <w:tcPr>
            <w:tcW w:w="1276" w:type="dxa"/>
            <w:vAlign w:val="center"/>
          </w:tcPr>
          <w:p w14:paraId="13A73588">
            <w:pPr>
              <w:pStyle w:val="12"/>
            </w:pPr>
            <w:r>
              <w:t>支持学前教育发展县级资金管理方法</w:t>
            </w:r>
          </w:p>
        </w:tc>
      </w:tr>
      <w:tr w14:paraId="45574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D4C47"/>
        </w:tc>
        <w:tc>
          <w:tcPr>
            <w:tcW w:w="2268" w:type="dxa"/>
            <w:vAlign w:val="center"/>
          </w:tcPr>
          <w:p w14:paraId="1E58DFC7">
            <w:pPr>
              <w:pStyle w:val="12"/>
            </w:pPr>
            <w:r>
              <w:t>质量指标</w:t>
            </w:r>
          </w:p>
        </w:tc>
        <w:tc>
          <w:tcPr>
            <w:tcW w:w="2835" w:type="dxa"/>
            <w:vAlign w:val="center"/>
          </w:tcPr>
          <w:p w14:paraId="56E722A8">
            <w:pPr>
              <w:pStyle w:val="12"/>
            </w:pPr>
            <w:r>
              <w:t>预算控制率</w:t>
            </w:r>
          </w:p>
        </w:tc>
        <w:tc>
          <w:tcPr>
            <w:tcW w:w="5386" w:type="dxa"/>
            <w:vAlign w:val="center"/>
          </w:tcPr>
          <w:p w14:paraId="201E2023">
            <w:pPr>
              <w:pStyle w:val="12"/>
            </w:pPr>
            <w:r>
              <w:t>预算执行</w:t>
            </w:r>
          </w:p>
        </w:tc>
        <w:tc>
          <w:tcPr>
            <w:tcW w:w="2268" w:type="dxa"/>
            <w:vAlign w:val="center"/>
          </w:tcPr>
          <w:p w14:paraId="5E7F10E7">
            <w:pPr>
              <w:pStyle w:val="12"/>
            </w:pPr>
            <w:r>
              <w:t>≥95%</w:t>
            </w:r>
          </w:p>
        </w:tc>
        <w:tc>
          <w:tcPr>
            <w:tcW w:w="1276" w:type="dxa"/>
            <w:vAlign w:val="center"/>
          </w:tcPr>
          <w:p w14:paraId="0B409D67">
            <w:pPr>
              <w:pStyle w:val="12"/>
            </w:pPr>
            <w:r>
              <w:t>支持学前教育发展县级资金管理方法</w:t>
            </w:r>
          </w:p>
        </w:tc>
      </w:tr>
      <w:tr w14:paraId="291F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FA127"/>
        </w:tc>
        <w:tc>
          <w:tcPr>
            <w:tcW w:w="2268" w:type="dxa"/>
            <w:vAlign w:val="center"/>
          </w:tcPr>
          <w:p w14:paraId="710C42A8">
            <w:pPr>
              <w:pStyle w:val="12"/>
            </w:pPr>
            <w:r>
              <w:t>时效指标</w:t>
            </w:r>
          </w:p>
        </w:tc>
        <w:tc>
          <w:tcPr>
            <w:tcW w:w="2835" w:type="dxa"/>
            <w:vAlign w:val="center"/>
          </w:tcPr>
          <w:p w14:paraId="38D39046">
            <w:pPr>
              <w:pStyle w:val="12"/>
            </w:pPr>
            <w:r>
              <w:t>资金支付率</w:t>
            </w:r>
          </w:p>
        </w:tc>
        <w:tc>
          <w:tcPr>
            <w:tcW w:w="5386" w:type="dxa"/>
            <w:vAlign w:val="center"/>
          </w:tcPr>
          <w:p w14:paraId="6D52D5BB">
            <w:pPr>
              <w:pStyle w:val="12"/>
            </w:pPr>
            <w:r>
              <w:t>按照序时进度完成资金支付</w:t>
            </w:r>
          </w:p>
        </w:tc>
        <w:tc>
          <w:tcPr>
            <w:tcW w:w="2268" w:type="dxa"/>
            <w:vAlign w:val="center"/>
          </w:tcPr>
          <w:p w14:paraId="3740A491">
            <w:pPr>
              <w:pStyle w:val="12"/>
            </w:pPr>
            <w:r>
              <w:t>100%</w:t>
            </w:r>
          </w:p>
        </w:tc>
        <w:tc>
          <w:tcPr>
            <w:tcW w:w="1276" w:type="dxa"/>
            <w:vAlign w:val="center"/>
          </w:tcPr>
          <w:p w14:paraId="5099E8E9">
            <w:pPr>
              <w:pStyle w:val="12"/>
            </w:pPr>
            <w:r>
              <w:t>支持学前教育发展县级资金管理方法</w:t>
            </w:r>
          </w:p>
        </w:tc>
      </w:tr>
      <w:tr w14:paraId="5F69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CFF6F"/>
        </w:tc>
        <w:tc>
          <w:tcPr>
            <w:tcW w:w="2268" w:type="dxa"/>
            <w:vAlign w:val="center"/>
          </w:tcPr>
          <w:p w14:paraId="4CF44E70">
            <w:pPr>
              <w:pStyle w:val="12"/>
            </w:pPr>
            <w:r>
              <w:t>成本指标</w:t>
            </w:r>
          </w:p>
        </w:tc>
        <w:tc>
          <w:tcPr>
            <w:tcW w:w="2835" w:type="dxa"/>
            <w:vAlign w:val="center"/>
          </w:tcPr>
          <w:p w14:paraId="016B486E">
            <w:pPr>
              <w:pStyle w:val="12"/>
            </w:pPr>
            <w:r>
              <w:t>生均拨款标准</w:t>
            </w:r>
          </w:p>
        </w:tc>
        <w:tc>
          <w:tcPr>
            <w:tcW w:w="5386" w:type="dxa"/>
            <w:vAlign w:val="center"/>
          </w:tcPr>
          <w:p w14:paraId="3E51E532">
            <w:pPr>
              <w:pStyle w:val="12"/>
            </w:pPr>
            <w:r>
              <w:t>学前：（基本标准600元/生/学年）</w:t>
            </w:r>
          </w:p>
        </w:tc>
        <w:tc>
          <w:tcPr>
            <w:tcW w:w="2268" w:type="dxa"/>
            <w:vAlign w:val="center"/>
          </w:tcPr>
          <w:p w14:paraId="2F3E5CF3">
            <w:pPr>
              <w:pStyle w:val="12"/>
            </w:pPr>
            <w:r>
              <w:t>600元</w:t>
            </w:r>
          </w:p>
        </w:tc>
        <w:tc>
          <w:tcPr>
            <w:tcW w:w="1276" w:type="dxa"/>
            <w:vAlign w:val="center"/>
          </w:tcPr>
          <w:p w14:paraId="55DAE219">
            <w:pPr>
              <w:pStyle w:val="12"/>
            </w:pPr>
            <w:r>
              <w:t>支持学前教育发展县级资金管理方法</w:t>
            </w:r>
          </w:p>
        </w:tc>
      </w:tr>
      <w:tr w14:paraId="09D6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28B1E">
            <w:pPr>
              <w:pStyle w:val="13"/>
            </w:pPr>
            <w:r>
              <w:t>效益指标</w:t>
            </w:r>
          </w:p>
        </w:tc>
        <w:tc>
          <w:tcPr>
            <w:tcW w:w="2268" w:type="dxa"/>
            <w:vAlign w:val="center"/>
          </w:tcPr>
          <w:p w14:paraId="536CD01B">
            <w:pPr>
              <w:pStyle w:val="12"/>
            </w:pPr>
            <w:r>
              <w:t>社会效益指标</w:t>
            </w:r>
          </w:p>
        </w:tc>
        <w:tc>
          <w:tcPr>
            <w:tcW w:w="2835" w:type="dxa"/>
            <w:vAlign w:val="center"/>
          </w:tcPr>
          <w:p w14:paraId="292DD3CA">
            <w:pPr>
              <w:pStyle w:val="12"/>
            </w:pPr>
            <w:r>
              <w:t>学校运转得到提升</w:t>
            </w:r>
          </w:p>
        </w:tc>
        <w:tc>
          <w:tcPr>
            <w:tcW w:w="5386" w:type="dxa"/>
            <w:vAlign w:val="center"/>
          </w:tcPr>
          <w:p w14:paraId="474ED5DE">
            <w:pPr>
              <w:pStyle w:val="12"/>
            </w:pPr>
            <w:r>
              <w:t>幼儿受教育年限</w:t>
            </w:r>
          </w:p>
        </w:tc>
        <w:tc>
          <w:tcPr>
            <w:tcW w:w="2268" w:type="dxa"/>
            <w:vAlign w:val="center"/>
          </w:tcPr>
          <w:p w14:paraId="7419AC49">
            <w:pPr>
              <w:pStyle w:val="12"/>
            </w:pPr>
            <w:r>
              <w:t>3年</w:t>
            </w:r>
          </w:p>
        </w:tc>
        <w:tc>
          <w:tcPr>
            <w:tcW w:w="1276" w:type="dxa"/>
            <w:vAlign w:val="center"/>
          </w:tcPr>
          <w:p w14:paraId="35E6D6D9">
            <w:pPr>
              <w:pStyle w:val="12"/>
            </w:pPr>
            <w:r>
              <w:t>支持学前教育发展县级资金管理方法</w:t>
            </w:r>
          </w:p>
        </w:tc>
      </w:tr>
      <w:tr w14:paraId="3892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1FF48">
            <w:pPr>
              <w:pStyle w:val="13"/>
            </w:pPr>
            <w:r>
              <w:t>满意度指标</w:t>
            </w:r>
          </w:p>
        </w:tc>
        <w:tc>
          <w:tcPr>
            <w:tcW w:w="2268" w:type="dxa"/>
            <w:vAlign w:val="center"/>
          </w:tcPr>
          <w:p w14:paraId="7BC16059">
            <w:pPr>
              <w:pStyle w:val="12"/>
            </w:pPr>
            <w:r>
              <w:t>服务对象满意度指标</w:t>
            </w:r>
          </w:p>
        </w:tc>
        <w:tc>
          <w:tcPr>
            <w:tcW w:w="2835" w:type="dxa"/>
            <w:vAlign w:val="center"/>
          </w:tcPr>
          <w:p w14:paraId="3A0905D7">
            <w:pPr>
              <w:pStyle w:val="12"/>
            </w:pPr>
            <w:r>
              <w:t>受益学生家长及调查满意度</w:t>
            </w:r>
          </w:p>
        </w:tc>
        <w:tc>
          <w:tcPr>
            <w:tcW w:w="5386" w:type="dxa"/>
            <w:vAlign w:val="center"/>
          </w:tcPr>
          <w:p w14:paraId="0E461D11">
            <w:pPr>
              <w:pStyle w:val="12"/>
            </w:pPr>
            <w:r>
              <w:t>学生、教师及家长对学校保教保育工作满意度情况</w:t>
            </w:r>
          </w:p>
        </w:tc>
        <w:tc>
          <w:tcPr>
            <w:tcW w:w="2268" w:type="dxa"/>
            <w:vAlign w:val="center"/>
          </w:tcPr>
          <w:p w14:paraId="735D78BA">
            <w:pPr>
              <w:pStyle w:val="12"/>
            </w:pPr>
            <w:r>
              <w:t>≥95%</w:t>
            </w:r>
          </w:p>
        </w:tc>
        <w:tc>
          <w:tcPr>
            <w:tcW w:w="1276" w:type="dxa"/>
            <w:vAlign w:val="center"/>
          </w:tcPr>
          <w:p w14:paraId="62CAB403">
            <w:pPr>
              <w:pStyle w:val="12"/>
            </w:pPr>
            <w:r>
              <w:t>支持学前教育发展县级资金管理方法</w:t>
            </w:r>
          </w:p>
        </w:tc>
      </w:tr>
    </w:tbl>
    <w:p w14:paraId="708FD859">
      <w:pPr>
        <w:sectPr>
          <w:pgSz w:w="16840" w:h="11900" w:orient="landscape"/>
          <w:pgMar w:top="1361" w:right="1020" w:bottom="1134" w:left="1020" w:header="720" w:footer="720" w:gutter="0"/>
          <w:cols w:space="720" w:num="1"/>
        </w:sectPr>
      </w:pPr>
    </w:p>
    <w:p w14:paraId="0A9F5D7A">
      <w:pPr>
        <w:spacing w:before="0" w:after="0"/>
        <w:ind w:firstLine="560"/>
        <w:jc w:val="left"/>
        <w:outlineLvl w:val="9"/>
      </w:pPr>
      <w:r>
        <w:rPr>
          <w:rFonts w:ascii="方正仿宋_GBK" w:hAnsi="方正仿宋_GBK" w:eastAsia="方正仿宋_GBK" w:cs="方正仿宋_GBK"/>
          <w:b/>
          <w:color w:val="000000"/>
          <w:sz w:val="28"/>
        </w:rPr>
        <w:t>37、学前专项经费/城关校区绩效目标表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E8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6FD08">
            <w:pPr>
              <w:pStyle w:val="11"/>
            </w:pPr>
            <w:r>
              <w:t>单位：万元</w:t>
            </w:r>
          </w:p>
        </w:tc>
      </w:tr>
      <w:tr w14:paraId="16713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0BE68">
            <w:pPr>
              <w:pStyle w:val="10"/>
            </w:pPr>
            <w:r>
              <w:t>项目编码</w:t>
            </w:r>
          </w:p>
        </w:tc>
        <w:tc>
          <w:tcPr>
            <w:tcW w:w="5103" w:type="dxa"/>
            <w:gridSpan w:val="2"/>
            <w:vAlign w:val="center"/>
          </w:tcPr>
          <w:p w14:paraId="518947DF">
            <w:pPr>
              <w:pStyle w:val="12"/>
            </w:pPr>
            <w:r>
              <w:t>13052526P00000210050E</w:t>
            </w:r>
          </w:p>
        </w:tc>
        <w:tc>
          <w:tcPr>
            <w:tcW w:w="2835" w:type="dxa"/>
            <w:vAlign w:val="center"/>
          </w:tcPr>
          <w:p w14:paraId="0143308F">
            <w:pPr>
              <w:pStyle w:val="10"/>
            </w:pPr>
            <w:r>
              <w:t>项目名称</w:t>
            </w:r>
          </w:p>
        </w:tc>
        <w:tc>
          <w:tcPr>
            <w:tcW w:w="6095" w:type="dxa"/>
            <w:gridSpan w:val="3"/>
            <w:vAlign w:val="center"/>
          </w:tcPr>
          <w:p w14:paraId="27FBF841">
            <w:pPr>
              <w:pStyle w:val="12"/>
            </w:pPr>
            <w:r>
              <w:t>学前专项经费/城关校区</w:t>
            </w:r>
          </w:p>
        </w:tc>
      </w:tr>
      <w:tr w14:paraId="1F55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53DC8">
            <w:pPr>
              <w:pStyle w:val="10"/>
            </w:pPr>
            <w:r>
              <w:t>预算规模及资金用途</w:t>
            </w:r>
          </w:p>
        </w:tc>
        <w:tc>
          <w:tcPr>
            <w:tcW w:w="2268" w:type="dxa"/>
            <w:vAlign w:val="center"/>
          </w:tcPr>
          <w:p w14:paraId="0B0C3750">
            <w:pPr>
              <w:pStyle w:val="10"/>
            </w:pPr>
            <w:r>
              <w:t>预算数</w:t>
            </w:r>
          </w:p>
        </w:tc>
        <w:tc>
          <w:tcPr>
            <w:tcW w:w="2835" w:type="dxa"/>
            <w:vAlign w:val="center"/>
          </w:tcPr>
          <w:p w14:paraId="0B8F475F">
            <w:pPr>
              <w:pStyle w:val="12"/>
            </w:pPr>
            <w:r>
              <w:t>147.83</w:t>
            </w:r>
          </w:p>
        </w:tc>
        <w:tc>
          <w:tcPr>
            <w:tcW w:w="2835" w:type="dxa"/>
            <w:vAlign w:val="center"/>
          </w:tcPr>
          <w:p w14:paraId="36A7F827">
            <w:pPr>
              <w:pStyle w:val="10"/>
            </w:pPr>
            <w:r>
              <w:t>其中：财政    资金</w:t>
            </w:r>
          </w:p>
        </w:tc>
        <w:tc>
          <w:tcPr>
            <w:tcW w:w="2551" w:type="dxa"/>
            <w:vAlign w:val="center"/>
          </w:tcPr>
          <w:p w14:paraId="168FD107">
            <w:pPr>
              <w:pStyle w:val="12"/>
            </w:pPr>
            <w:r>
              <w:t>147.83</w:t>
            </w:r>
          </w:p>
        </w:tc>
        <w:tc>
          <w:tcPr>
            <w:tcW w:w="2268" w:type="dxa"/>
            <w:vAlign w:val="center"/>
          </w:tcPr>
          <w:p w14:paraId="677877F7">
            <w:pPr>
              <w:pStyle w:val="10"/>
            </w:pPr>
            <w:r>
              <w:t>其他资金</w:t>
            </w:r>
          </w:p>
        </w:tc>
        <w:tc>
          <w:tcPr>
            <w:tcW w:w="1276" w:type="dxa"/>
            <w:vAlign w:val="center"/>
          </w:tcPr>
          <w:p w14:paraId="4DF086ED">
            <w:pPr>
              <w:pStyle w:val="12"/>
            </w:pPr>
            <w:r>
              <w:t xml:space="preserve"> </w:t>
            </w:r>
          </w:p>
        </w:tc>
      </w:tr>
      <w:tr w14:paraId="1DE1E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4E092"/>
        </w:tc>
        <w:tc>
          <w:tcPr>
            <w:tcW w:w="14033" w:type="dxa"/>
            <w:gridSpan w:val="6"/>
            <w:vAlign w:val="center"/>
          </w:tcPr>
          <w:p w14:paraId="146AC9AF">
            <w:pPr>
              <w:pStyle w:val="12"/>
            </w:pPr>
            <w:r>
              <w:t xml:space="preserve">按要求完成公立幼儿园保育费按月/季度上缴财政，按上缴财政序时进度完成公立幼儿园保育费支出，按预算要求完成2026年度学前教学任务提升及教学质量提高。 </w:t>
            </w:r>
          </w:p>
        </w:tc>
      </w:tr>
      <w:tr w14:paraId="36861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99D58">
            <w:pPr>
              <w:pStyle w:val="10"/>
            </w:pPr>
            <w:r>
              <w:t>资金支出计划（%）</w:t>
            </w:r>
          </w:p>
        </w:tc>
        <w:tc>
          <w:tcPr>
            <w:tcW w:w="5103" w:type="dxa"/>
            <w:gridSpan w:val="2"/>
            <w:vAlign w:val="center"/>
          </w:tcPr>
          <w:p w14:paraId="5ABDFF02">
            <w:pPr>
              <w:pStyle w:val="10"/>
            </w:pPr>
            <w:r>
              <w:t>3月底</w:t>
            </w:r>
          </w:p>
        </w:tc>
        <w:tc>
          <w:tcPr>
            <w:tcW w:w="2835" w:type="dxa"/>
            <w:vAlign w:val="center"/>
          </w:tcPr>
          <w:p w14:paraId="7226E94D">
            <w:pPr>
              <w:pStyle w:val="10"/>
            </w:pPr>
            <w:r>
              <w:t>6月底</w:t>
            </w:r>
          </w:p>
        </w:tc>
        <w:tc>
          <w:tcPr>
            <w:tcW w:w="2551" w:type="dxa"/>
            <w:vAlign w:val="center"/>
          </w:tcPr>
          <w:p w14:paraId="578802B4">
            <w:pPr>
              <w:pStyle w:val="10"/>
            </w:pPr>
            <w:r>
              <w:t>10月底</w:t>
            </w:r>
          </w:p>
        </w:tc>
        <w:tc>
          <w:tcPr>
            <w:tcW w:w="3544" w:type="dxa"/>
            <w:gridSpan w:val="2"/>
            <w:vAlign w:val="center"/>
          </w:tcPr>
          <w:p w14:paraId="7ABB20E7">
            <w:pPr>
              <w:pStyle w:val="10"/>
            </w:pPr>
            <w:r>
              <w:t>12月底</w:t>
            </w:r>
          </w:p>
        </w:tc>
      </w:tr>
      <w:tr w14:paraId="45AA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8DCC9"/>
        </w:tc>
        <w:tc>
          <w:tcPr>
            <w:tcW w:w="5103" w:type="dxa"/>
            <w:gridSpan w:val="2"/>
            <w:vAlign w:val="center"/>
          </w:tcPr>
          <w:p w14:paraId="681CE9A2">
            <w:pPr>
              <w:pStyle w:val="13"/>
            </w:pPr>
            <w:r>
              <w:t xml:space="preserve"> </w:t>
            </w:r>
          </w:p>
        </w:tc>
        <w:tc>
          <w:tcPr>
            <w:tcW w:w="2835" w:type="dxa"/>
            <w:vAlign w:val="center"/>
          </w:tcPr>
          <w:p w14:paraId="2D588913">
            <w:pPr>
              <w:pStyle w:val="13"/>
            </w:pPr>
            <w:r>
              <w:t>50%</w:t>
            </w:r>
          </w:p>
        </w:tc>
        <w:tc>
          <w:tcPr>
            <w:tcW w:w="2551" w:type="dxa"/>
            <w:vAlign w:val="center"/>
          </w:tcPr>
          <w:p w14:paraId="5523233B">
            <w:pPr>
              <w:pStyle w:val="13"/>
            </w:pPr>
            <w:r>
              <w:t>75%</w:t>
            </w:r>
          </w:p>
        </w:tc>
        <w:tc>
          <w:tcPr>
            <w:tcW w:w="3544" w:type="dxa"/>
            <w:gridSpan w:val="2"/>
            <w:vAlign w:val="center"/>
          </w:tcPr>
          <w:p w14:paraId="1A74FAEC">
            <w:pPr>
              <w:pStyle w:val="13"/>
            </w:pPr>
            <w:r>
              <w:t>100%</w:t>
            </w:r>
          </w:p>
        </w:tc>
      </w:tr>
      <w:tr w14:paraId="1B6CA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8DD03">
            <w:pPr>
              <w:pStyle w:val="10"/>
            </w:pPr>
            <w:r>
              <w:t>绩效目标</w:t>
            </w:r>
          </w:p>
        </w:tc>
        <w:tc>
          <w:tcPr>
            <w:tcW w:w="14033" w:type="dxa"/>
            <w:gridSpan w:val="6"/>
            <w:vAlign w:val="center"/>
          </w:tcPr>
          <w:p w14:paraId="1D5273F4">
            <w:pPr>
              <w:pStyle w:val="12"/>
            </w:pPr>
            <w:r>
              <w:t>1.按要求完成公立幼儿园保育费按月/季度上缴财政。</w:t>
            </w:r>
          </w:p>
          <w:p w14:paraId="27CCC113">
            <w:pPr>
              <w:pStyle w:val="12"/>
            </w:pPr>
            <w:r>
              <w:t>2.按上缴财政序时进度完成公立幼儿园保育费支出。</w:t>
            </w:r>
          </w:p>
          <w:p w14:paraId="3EEDDB4E">
            <w:pPr>
              <w:pStyle w:val="12"/>
            </w:pPr>
            <w:r>
              <w:t>3.按预算要求完成2026年度学前教学任务提升及教学质量提高。</w:t>
            </w:r>
          </w:p>
        </w:tc>
      </w:tr>
    </w:tbl>
    <w:p w14:paraId="1B120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2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E6AF94F">
            <w:pPr>
              <w:pStyle w:val="10"/>
            </w:pPr>
            <w:r>
              <w:t>一级指标</w:t>
            </w:r>
          </w:p>
        </w:tc>
        <w:tc>
          <w:tcPr>
            <w:tcW w:w="2268" w:type="dxa"/>
            <w:vAlign w:val="center"/>
          </w:tcPr>
          <w:p w14:paraId="042F901E">
            <w:pPr>
              <w:pStyle w:val="10"/>
            </w:pPr>
            <w:r>
              <w:t>二级指标</w:t>
            </w:r>
          </w:p>
        </w:tc>
        <w:tc>
          <w:tcPr>
            <w:tcW w:w="2835" w:type="dxa"/>
            <w:vAlign w:val="center"/>
          </w:tcPr>
          <w:p w14:paraId="1D63AF4E">
            <w:pPr>
              <w:pStyle w:val="10"/>
            </w:pPr>
            <w:r>
              <w:t>三级指标</w:t>
            </w:r>
          </w:p>
        </w:tc>
        <w:tc>
          <w:tcPr>
            <w:tcW w:w="5386" w:type="dxa"/>
            <w:vAlign w:val="center"/>
          </w:tcPr>
          <w:p w14:paraId="31F8295B">
            <w:pPr>
              <w:pStyle w:val="10"/>
            </w:pPr>
            <w:r>
              <w:t>绩效指标描述</w:t>
            </w:r>
          </w:p>
        </w:tc>
        <w:tc>
          <w:tcPr>
            <w:tcW w:w="2268" w:type="dxa"/>
            <w:vAlign w:val="center"/>
          </w:tcPr>
          <w:p w14:paraId="5F7ADB33">
            <w:pPr>
              <w:pStyle w:val="10"/>
            </w:pPr>
            <w:r>
              <w:t>指标值</w:t>
            </w:r>
          </w:p>
        </w:tc>
        <w:tc>
          <w:tcPr>
            <w:tcW w:w="1276" w:type="dxa"/>
            <w:vAlign w:val="center"/>
          </w:tcPr>
          <w:p w14:paraId="4F93E8EF">
            <w:pPr>
              <w:pStyle w:val="10"/>
            </w:pPr>
            <w:r>
              <w:t>指标值确定依据</w:t>
            </w:r>
          </w:p>
        </w:tc>
      </w:tr>
      <w:tr w14:paraId="7B6C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76C96">
            <w:pPr>
              <w:pStyle w:val="13"/>
            </w:pPr>
            <w:r>
              <w:t>产出指标</w:t>
            </w:r>
          </w:p>
        </w:tc>
        <w:tc>
          <w:tcPr>
            <w:tcW w:w="2268" w:type="dxa"/>
            <w:vAlign w:val="center"/>
          </w:tcPr>
          <w:p w14:paraId="18328090">
            <w:pPr>
              <w:pStyle w:val="12"/>
            </w:pPr>
            <w:r>
              <w:t>数量指标</w:t>
            </w:r>
          </w:p>
        </w:tc>
        <w:tc>
          <w:tcPr>
            <w:tcW w:w="2835" w:type="dxa"/>
            <w:vAlign w:val="center"/>
          </w:tcPr>
          <w:p w14:paraId="12E96CD8">
            <w:pPr>
              <w:pStyle w:val="12"/>
            </w:pPr>
            <w:r>
              <w:t>适龄在校生</w:t>
            </w:r>
          </w:p>
        </w:tc>
        <w:tc>
          <w:tcPr>
            <w:tcW w:w="5386" w:type="dxa"/>
            <w:vAlign w:val="center"/>
          </w:tcPr>
          <w:p w14:paraId="5810449F">
            <w:pPr>
              <w:pStyle w:val="12"/>
            </w:pPr>
            <w:r>
              <w:t>适龄在校就读学生人数</w:t>
            </w:r>
          </w:p>
        </w:tc>
        <w:tc>
          <w:tcPr>
            <w:tcW w:w="2268" w:type="dxa"/>
            <w:vAlign w:val="center"/>
          </w:tcPr>
          <w:p w14:paraId="14091177">
            <w:pPr>
              <w:pStyle w:val="12"/>
            </w:pPr>
            <w:r>
              <w:t>≥1234人</w:t>
            </w:r>
          </w:p>
        </w:tc>
        <w:tc>
          <w:tcPr>
            <w:tcW w:w="1276" w:type="dxa"/>
            <w:vAlign w:val="center"/>
          </w:tcPr>
          <w:p w14:paraId="57AD2D12">
            <w:pPr>
              <w:pStyle w:val="12"/>
            </w:pPr>
            <w:r>
              <w:t>年度工作计划</w:t>
            </w:r>
          </w:p>
        </w:tc>
      </w:tr>
      <w:tr w14:paraId="25E1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B177B"/>
        </w:tc>
        <w:tc>
          <w:tcPr>
            <w:tcW w:w="2268" w:type="dxa"/>
            <w:vAlign w:val="center"/>
          </w:tcPr>
          <w:p w14:paraId="0C358798">
            <w:pPr>
              <w:pStyle w:val="12"/>
            </w:pPr>
            <w:r>
              <w:t>质量指标</w:t>
            </w:r>
          </w:p>
        </w:tc>
        <w:tc>
          <w:tcPr>
            <w:tcW w:w="2835" w:type="dxa"/>
            <w:vAlign w:val="center"/>
          </w:tcPr>
          <w:p w14:paraId="388945E8">
            <w:pPr>
              <w:pStyle w:val="12"/>
            </w:pPr>
            <w:r>
              <w:t>按月上缴财政完成率</w:t>
            </w:r>
          </w:p>
        </w:tc>
        <w:tc>
          <w:tcPr>
            <w:tcW w:w="5386" w:type="dxa"/>
            <w:vAlign w:val="center"/>
          </w:tcPr>
          <w:p w14:paraId="30F821C3">
            <w:pPr>
              <w:pStyle w:val="12"/>
            </w:pPr>
            <w:r>
              <w:t>按月完成公立幼儿园保育费上缴财政</w:t>
            </w:r>
          </w:p>
        </w:tc>
        <w:tc>
          <w:tcPr>
            <w:tcW w:w="2268" w:type="dxa"/>
            <w:vAlign w:val="center"/>
          </w:tcPr>
          <w:p w14:paraId="7F802ABD">
            <w:pPr>
              <w:pStyle w:val="12"/>
            </w:pPr>
            <w:r>
              <w:t>100%</w:t>
            </w:r>
          </w:p>
        </w:tc>
        <w:tc>
          <w:tcPr>
            <w:tcW w:w="1276" w:type="dxa"/>
            <w:vAlign w:val="center"/>
          </w:tcPr>
          <w:p w14:paraId="389793CB">
            <w:pPr>
              <w:pStyle w:val="12"/>
            </w:pPr>
            <w:r>
              <w:t>年度工作计划</w:t>
            </w:r>
          </w:p>
        </w:tc>
      </w:tr>
      <w:tr w14:paraId="5EB7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C6F48"/>
        </w:tc>
        <w:tc>
          <w:tcPr>
            <w:tcW w:w="2268" w:type="dxa"/>
            <w:vAlign w:val="center"/>
          </w:tcPr>
          <w:p w14:paraId="54BE2A97">
            <w:pPr>
              <w:pStyle w:val="12"/>
            </w:pPr>
            <w:r>
              <w:t>时效指标</w:t>
            </w:r>
          </w:p>
        </w:tc>
        <w:tc>
          <w:tcPr>
            <w:tcW w:w="2835" w:type="dxa"/>
            <w:vAlign w:val="center"/>
          </w:tcPr>
          <w:p w14:paraId="0AD1CB3F">
            <w:pPr>
              <w:pStyle w:val="12"/>
            </w:pPr>
            <w:r>
              <w:t>资金支付率</w:t>
            </w:r>
          </w:p>
        </w:tc>
        <w:tc>
          <w:tcPr>
            <w:tcW w:w="5386" w:type="dxa"/>
            <w:vAlign w:val="center"/>
          </w:tcPr>
          <w:p w14:paraId="0B3967FE">
            <w:pPr>
              <w:pStyle w:val="12"/>
            </w:pPr>
            <w:r>
              <w:t>按照上缴财政进度完成公立幼儿园保育费支付</w:t>
            </w:r>
          </w:p>
        </w:tc>
        <w:tc>
          <w:tcPr>
            <w:tcW w:w="2268" w:type="dxa"/>
            <w:vAlign w:val="center"/>
          </w:tcPr>
          <w:p w14:paraId="588C2CD0">
            <w:pPr>
              <w:pStyle w:val="12"/>
            </w:pPr>
            <w:r>
              <w:t>100%</w:t>
            </w:r>
          </w:p>
        </w:tc>
        <w:tc>
          <w:tcPr>
            <w:tcW w:w="1276" w:type="dxa"/>
            <w:vAlign w:val="center"/>
          </w:tcPr>
          <w:p w14:paraId="6682BC25">
            <w:pPr>
              <w:pStyle w:val="12"/>
            </w:pPr>
            <w:r>
              <w:t>年度工作计划</w:t>
            </w:r>
          </w:p>
        </w:tc>
      </w:tr>
      <w:tr w14:paraId="2D82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B6B93"/>
        </w:tc>
        <w:tc>
          <w:tcPr>
            <w:tcW w:w="2268" w:type="dxa"/>
            <w:vAlign w:val="center"/>
          </w:tcPr>
          <w:p w14:paraId="7024657F">
            <w:pPr>
              <w:pStyle w:val="12"/>
            </w:pPr>
            <w:r>
              <w:t>成本指标</w:t>
            </w:r>
          </w:p>
        </w:tc>
        <w:tc>
          <w:tcPr>
            <w:tcW w:w="2835" w:type="dxa"/>
            <w:vAlign w:val="center"/>
          </w:tcPr>
          <w:p w14:paraId="5CD96F39">
            <w:pPr>
              <w:pStyle w:val="12"/>
            </w:pPr>
            <w:r>
              <w:t>生均拨款标准拨付率</w:t>
            </w:r>
          </w:p>
        </w:tc>
        <w:tc>
          <w:tcPr>
            <w:tcW w:w="5386" w:type="dxa"/>
            <w:vAlign w:val="center"/>
          </w:tcPr>
          <w:p w14:paraId="3301B5D4">
            <w:pPr>
              <w:pStyle w:val="12"/>
            </w:pPr>
            <w:r>
              <w:t>城市一类园280元/月/生，城市二类园230元/月/生。城市三类200元/月/生，农村一类园150元/月/生，农村二类园130元/月/生，农村三类园100元/月/生</w:t>
            </w:r>
          </w:p>
        </w:tc>
        <w:tc>
          <w:tcPr>
            <w:tcW w:w="2268" w:type="dxa"/>
            <w:vAlign w:val="center"/>
          </w:tcPr>
          <w:p w14:paraId="408023A3">
            <w:pPr>
              <w:pStyle w:val="12"/>
            </w:pPr>
            <w:r>
              <w:t>100%</w:t>
            </w:r>
          </w:p>
        </w:tc>
        <w:tc>
          <w:tcPr>
            <w:tcW w:w="1276" w:type="dxa"/>
            <w:vAlign w:val="center"/>
          </w:tcPr>
          <w:p w14:paraId="60BA8D70">
            <w:pPr>
              <w:pStyle w:val="12"/>
            </w:pPr>
            <w:r>
              <w:t>年度工作计划</w:t>
            </w:r>
          </w:p>
        </w:tc>
      </w:tr>
      <w:tr w14:paraId="31BA1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45166">
            <w:pPr>
              <w:pStyle w:val="13"/>
            </w:pPr>
            <w:r>
              <w:t>效益指标</w:t>
            </w:r>
          </w:p>
        </w:tc>
        <w:tc>
          <w:tcPr>
            <w:tcW w:w="2268" w:type="dxa"/>
            <w:vAlign w:val="center"/>
          </w:tcPr>
          <w:p w14:paraId="0712D7E5">
            <w:pPr>
              <w:pStyle w:val="12"/>
            </w:pPr>
            <w:r>
              <w:t>社会效益指标</w:t>
            </w:r>
          </w:p>
        </w:tc>
        <w:tc>
          <w:tcPr>
            <w:tcW w:w="2835" w:type="dxa"/>
            <w:vAlign w:val="center"/>
          </w:tcPr>
          <w:p w14:paraId="744BE48F">
            <w:pPr>
              <w:pStyle w:val="12"/>
            </w:pPr>
            <w:r>
              <w:t>幼儿园办园能力提升</w:t>
            </w:r>
          </w:p>
        </w:tc>
        <w:tc>
          <w:tcPr>
            <w:tcW w:w="5386" w:type="dxa"/>
            <w:vAlign w:val="center"/>
          </w:tcPr>
          <w:p w14:paraId="1AFCD947">
            <w:pPr>
              <w:pStyle w:val="12"/>
            </w:pPr>
            <w:r>
              <w:t>幼儿园办园能力提升情况及教育教学工作等开展的情况</w:t>
            </w:r>
          </w:p>
        </w:tc>
        <w:tc>
          <w:tcPr>
            <w:tcW w:w="2268" w:type="dxa"/>
            <w:vAlign w:val="center"/>
          </w:tcPr>
          <w:p w14:paraId="6DBF7F02">
            <w:pPr>
              <w:pStyle w:val="12"/>
            </w:pPr>
            <w:r>
              <w:t>100%</w:t>
            </w:r>
          </w:p>
        </w:tc>
        <w:tc>
          <w:tcPr>
            <w:tcW w:w="1276" w:type="dxa"/>
            <w:vAlign w:val="center"/>
          </w:tcPr>
          <w:p w14:paraId="0B570C7B">
            <w:pPr>
              <w:pStyle w:val="12"/>
            </w:pPr>
            <w:r>
              <w:t>年度工作计划</w:t>
            </w:r>
          </w:p>
        </w:tc>
      </w:tr>
      <w:tr w14:paraId="582B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49FB6">
            <w:pPr>
              <w:pStyle w:val="13"/>
            </w:pPr>
            <w:r>
              <w:t>满意度指标</w:t>
            </w:r>
          </w:p>
        </w:tc>
        <w:tc>
          <w:tcPr>
            <w:tcW w:w="2268" w:type="dxa"/>
            <w:vAlign w:val="center"/>
          </w:tcPr>
          <w:p w14:paraId="0964E0CF">
            <w:pPr>
              <w:pStyle w:val="12"/>
            </w:pPr>
            <w:r>
              <w:t>服务对象满意度指标</w:t>
            </w:r>
          </w:p>
        </w:tc>
        <w:tc>
          <w:tcPr>
            <w:tcW w:w="2835" w:type="dxa"/>
            <w:vAlign w:val="center"/>
          </w:tcPr>
          <w:p w14:paraId="0B45178B">
            <w:pPr>
              <w:pStyle w:val="12"/>
            </w:pPr>
            <w:r>
              <w:t>受益学生家长及调查满意度</w:t>
            </w:r>
          </w:p>
        </w:tc>
        <w:tc>
          <w:tcPr>
            <w:tcW w:w="5386" w:type="dxa"/>
            <w:vAlign w:val="center"/>
          </w:tcPr>
          <w:p w14:paraId="3E9BDB49">
            <w:pPr>
              <w:pStyle w:val="12"/>
            </w:pPr>
            <w:r>
              <w:t>幼儿、教师及家长对学校保教保育工作满意度情况</w:t>
            </w:r>
          </w:p>
        </w:tc>
        <w:tc>
          <w:tcPr>
            <w:tcW w:w="2268" w:type="dxa"/>
            <w:vAlign w:val="center"/>
          </w:tcPr>
          <w:p w14:paraId="269B6183">
            <w:pPr>
              <w:pStyle w:val="12"/>
            </w:pPr>
            <w:r>
              <w:t>≥95%</w:t>
            </w:r>
          </w:p>
        </w:tc>
        <w:tc>
          <w:tcPr>
            <w:tcW w:w="1276" w:type="dxa"/>
            <w:vAlign w:val="center"/>
          </w:tcPr>
          <w:p w14:paraId="6C85323C">
            <w:pPr>
              <w:pStyle w:val="12"/>
            </w:pPr>
            <w:r>
              <w:t>年度工作计划</w:t>
            </w:r>
          </w:p>
        </w:tc>
      </w:tr>
    </w:tbl>
    <w:p w14:paraId="7BDC8EC6">
      <w:pPr>
        <w:sectPr>
          <w:pgSz w:w="16840" w:h="11900" w:orient="landscape"/>
          <w:pgMar w:top="1361" w:right="1020" w:bottom="1134" w:left="1020" w:header="720" w:footer="720" w:gutter="0"/>
          <w:cols w:space="720" w:num="1"/>
        </w:sectPr>
      </w:pPr>
    </w:p>
    <w:p w14:paraId="52C7F35E">
      <w:pPr>
        <w:spacing w:before="10" w:after="10" w:line="240" w:lineRule="auto"/>
        <w:ind w:firstLine="640"/>
        <w:jc w:val="left"/>
        <w:outlineLvl w:val="5"/>
      </w:pPr>
      <w:r>
        <w:rPr>
          <w:rFonts w:ascii="黑体" w:hAnsi="黑体" w:eastAsia="黑体" w:cs="黑体"/>
          <w:color w:val="000000"/>
          <w:sz w:val="32"/>
        </w:rPr>
        <w:t>六、政府采购预算情况</w:t>
      </w:r>
    </w:p>
    <w:p w14:paraId="13AE473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E74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850C02">
            <w:pPr>
              <w:pStyle w:val="9"/>
            </w:pPr>
            <w:r>
              <w:t>360016隆尧县城关校区</w:t>
            </w:r>
          </w:p>
        </w:tc>
        <w:tc>
          <w:tcPr>
            <w:tcW w:w="8676" w:type="dxa"/>
            <w:gridSpan w:val="9"/>
            <w:tcBorders>
              <w:top w:val="single" w:color="FFFFFF" w:sz="6" w:space="0"/>
              <w:left w:val="single" w:color="FFFFFF" w:sz="6" w:space="0"/>
              <w:right w:val="single" w:color="FFFFFF" w:sz="6" w:space="0"/>
            </w:tcBorders>
            <w:vAlign w:val="center"/>
          </w:tcPr>
          <w:p w14:paraId="381A9EE0">
            <w:pPr>
              <w:pStyle w:val="21"/>
            </w:pPr>
            <w:r>
              <w:t>单位：万元</w:t>
            </w:r>
          </w:p>
        </w:tc>
      </w:tr>
      <w:tr w14:paraId="43A8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3CEF7E">
            <w:pPr>
              <w:pStyle w:val="10"/>
            </w:pPr>
            <w:r>
              <w:t>政府采购项目来源</w:t>
            </w:r>
          </w:p>
        </w:tc>
        <w:tc>
          <w:tcPr>
            <w:tcW w:w="1134" w:type="dxa"/>
            <w:vMerge w:val="restart"/>
            <w:vAlign w:val="center"/>
          </w:tcPr>
          <w:p w14:paraId="2DE39B3F">
            <w:pPr>
              <w:pStyle w:val="10"/>
            </w:pPr>
            <w:r>
              <w:t>采购物品名称</w:t>
            </w:r>
          </w:p>
        </w:tc>
        <w:tc>
          <w:tcPr>
            <w:tcW w:w="1134" w:type="dxa"/>
            <w:vMerge w:val="restart"/>
            <w:vAlign w:val="center"/>
          </w:tcPr>
          <w:p w14:paraId="18E5981F">
            <w:pPr>
              <w:pStyle w:val="10"/>
            </w:pPr>
            <w:r>
              <w:t>政府采购目录序号</w:t>
            </w:r>
          </w:p>
        </w:tc>
        <w:tc>
          <w:tcPr>
            <w:tcW w:w="709" w:type="dxa"/>
            <w:vMerge w:val="restart"/>
            <w:vAlign w:val="center"/>
          </w:tcPr>
          <w:p w14:paraId="0094C0E3">
            <w:pPr>
              <w:pStyle w:val="10"/>
            </w:pPr>
            <w:r>
              <w:t>计量  单位</w:t>
            </w:r>
          </w:p>
        </w:tc>
        <w:tc>
          <w:tcPr>
            <w:tcW w:w="850" w:type="dxa"/>
            <w:vMerge w:val="restart"/>
            <w:vAlign w:val="center"/>
          </w:tcPr>
          <w:p w14:paraId="660DDDBA">
            <w:pPr>
              <w:pStyle w:val="10"/>
            </w:pPr>
            <w:r>
              <w:t>数量</w:t>
            </w:r>
          </w:p>
        </w:tc>
        <w:tc>
          <w:tcPr>
            <w:tcW w:w="850" w:type="dxa"/>
            <w:vMerge w:val="restart"/>
            <w:vAlign w:val="center"/>
          </w:tcPr>
          <w:p w14:paraId="5DDC791E">
            <w:pPr>
              <w:pStyle w:val="10"/>
            </w:pPr>
            <w:r>
              <w:t>单价</w:t>
            </w:r>
          </w:p>
        </w:tc>
        <w:tc>
          <w:tcPr>
            <w:tcW w:w="7712" w:type="dxa"/>
            <w:gridSpan w:val="8"/>
            <w:vAlign w:val="center"/>
          </w:tcPr>
          <w:p w14:paraId="69023552">
            <w:pPr>
              <w:pStyle w:val="10"/>
            </w:pPr>
            <w:r>
              <w:t>政府采购金额（当年部门预算安排资金）</w:t>
            </w:r>
          </w:p>
        </w:tc>
        <w:tc>
          <w:tcPr>
            <w:tcW w:w="964" w:type="dxa"/>
            <w:vMerge w:val="restart"/>
            <w:vAlign w:val="center"/>
          </w:tcPr>
          <w:p w14:paraId="7882C5C1">
            <w:pPr>
              <w:pStyle w:val="10"/>
            </w:pPr>
            <w:r>
              <w:t>2026年  预留中  小微企  业份额</w:t>
            </w:r>
          </w:p>
        </w:tc>
      </w:tr>
      <w:tr w14:paraId="2BFC9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D53BED">
            <w:pPr>
              <w:pStyle w:val="10"/>
            </w:pPr>
            <w:r>
              <w:t>项目名称</w:t>
            </w:r>
          </w:p>
        </w:tc>
        <w:tc>
          <w:tcPr>
            <w:tcW w:w="964" w:type="dxa"/>
            <w:vAlign w:val="center"/>
          </w:tcPr>
          <w:p w14:paraId="4991BB96">
            <w:pPr>
              <w:pStyle w:val="10"/>
            </w:pPr>
            <w:r>
              <w:t>预算    资金</w:t>
            </w:r>
          </w:p>
        </w:tc>
        <w:tc>
          <w:tcPr>
            <w:tcW w:w="1134" w:type="dxa"/>
            <w:vMerge w:val="continue"/>
          </w:tcPr>
          <w:p w14:paraId="398629BF"/>
        </w:tc>
        <w:tc>
          <w:tcPr>
            <w:tcW w:w="1134" w:type="dxa"/>
            <w:vMerge w:val="continue"/>
          </w:tcPr>
          <w:p w14:paraId="09B31B29"/>
        </w:tc>
        <w:tc>
          <w:tcPr>
            <w:tcW w:w="709" w:type="dxa"/>
            <w:vMerge w:val="continue"/>
          </w:tcPr>
          <w:p w14:paraId="64E4E38C"/>
        </w:tc>
        <w:tc>
          <w:tcPr>
            <w:tcW w:w="850" w:type="dxa"/>
            <w:vMerge w:val="continue"/>
          </w:tcPr>
          <w:p w14:paraId="2308E02C"/>
        </w:tc>
        <w:tc>
          <w:tcPr>
            <w:tcW w:w="850" w:type="dxa"/>
            <w:vMerge w:val="continue"/>
          </w:tcPr>
          <w:p w14:paraId="2EF1A6FB"/>
        </w:tc>
        <w:tc>
          <w:tcPr>
            <w:tcW w:w="964" w:type="dxa"/>
            <w:vAlign w:val="center"/>
          </w:tcPr>
          <w:p w14:paraId="29887DA0">
            <w:pPr>
              <w:pStyle w:val="10"/>
            </w:pPr>
            <w:r>
              <w:t>合计</w:t>
            </w:r>
          </w:p>
        </w:tc>
        <w:tc>
          <w:tcPr>
            <w:tcW w:w="964" w:type="dxa"/>
            <w:vAlign w:val="center"/>
          </w:tcPr>
          <w:p w14:paraId="172EBF14">
            <w:pPr>
              <w:pStyle w:val="10"/>
            </w:pPr>
            <w:r>
              <w:t>一般公共预算拨款</w:t>
            </w:r>
          </w:p>
        </w:tc>
        <w:tc>
          <w:tcPr>
            <w:tcW w:w="964" w:type="dxa"/>
            <w:vAlign w:val="center"/>
          </w:tcPr>
          <w:p w14:paraId="06D5F448">
            <w:pPr>
              <w:pStyle w:val="10"/>
            </w:pPr>
            <w:r>
              <w:t>基金预算拨款</w:t>
            </w:r>
          </w:p>
        </w:tc>
        <w:tc>
          <w:tcPr>
            <w:tcW w:w="964" w:type="dxa"/>
            <w:vAlign w:val="center"/>
          </w:tcPr>
          <w:p w14:paraId="692F7CF7">
            <w:pPr>
              <w:pStyle w:val="10"/>
            </w:pPr>
            <w:r>
              <w:t>国有资本经营预算拨款</w:t>
            </w:r>
          </w:p>
        </w:tc>
        <w:tc>
          <w:tcPr>
            <w:tcW w:w="964" w:type="dxa"/>
            <w:vAlign w:val="center"/>
          </w:tcPr>
          <w:p w14:paraId="30C31214">
            <w:pPr>
              <w:pStyle w:val="10"/>
            </w:pPr>
            <w:r>
              <w:t>财政专户核拨</w:t>
            </w:r>
          </w:p>
        </w:tc>
        <w:tc>
          <w:tcPr>
            <w:tcW w:w="964" w:type="dxa"/>
            <w:vAlign w:val="center"/>
          </w:tcPr>
          <w:p w14:paraId="0FDF9172">
            <w:pPr>
              <w:pStyle w:val="10"/>
            </w:pPr>
            <w:r>
              <w:t>单位    资金</w:t>
            </w:r>
          </w:p>
        </w:tc>
        <w:tc>
          <w:tcPr>
            <w:tcW w:w="964" w:type="dxa"/>
            <w:vAlign w:val="center"/>
          </w:tcPr>
          <w:p w14:paraId="5FDFC26D">
            <w:pPr>
              <w:pStyle w:val="10"/>
            </w:pPr>
            <w:r>
              <w:t>财政拨款结转</w:t>
            </w:r>
          </w:p>
        </w:tc>
        <w:tc>
          <w:tcPr>
            <w:tcW w:w="964" w:type="dxa"/>
            <w:vAlign w:val="center"/>
          </w:tcPr>
          <w:p w14:paraId="37729491">
            <w:pPr>
              <w:pStyle w:val="10"/>
            </w:pPr>
            <w:r>
              <w:t>非财政拨款结余</w:t>
            </w:r>
          </w:p>
        </w:tc>
        <w:tc>
          <w:tcPr>
            <w:tcW w:w="964" w:type="dxa"/>
            <w:vMerge w:val="continue"/>
          </w:tcPr>
          <w:p w14:paraId="29847810"/>
        </w:tc>
      </w:tr>
      <w:tr w14:paraId="7D92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EAA10F">
            <w:pPr>
              <w:pStyle w:val="14"/>
            </w:pPr>
            <w:r>
              <w:t>合  计</w:t>
            </w:r>
          </w:p>
        </w:tc>
        <w:tc>
          <w:tcPr>
            <w:tcW w:w="964" w:type="dxa"/>
            <w:vAlign w:val="center"/>
          </w:tcPr>
          <w:p w14:paraId="6C37CC67">
            <w:pPr>
              <w:pStyle w:val="15"/>
            </w:pPr>
          </w:p>
        </w:tc>
        <w:tc>
          <w:tcPr>
            <w:tcW w:w="1134" w:type="dxa"/>
            <w:vAlign w:val="center"/>
          </w:tcPr>
          <w:p w14:paraId="5D2815ED">
            <w:pPr>
              <w:pStyle w:val="16"/>
            </w:pPr>
          </w:p>
        </w:tc>
        <w:tc>
          <w:tcPr>
            <w:tcW w:w="1134" w:type="dxa"/>
            <w:vAlign w:val="center"/>
          </w:tcPr>
          <w:p w14:paraId="6042F4D8">
            <w:pPr>
              <w:pStyle w:val="16"/>
            </w:pPr>
          </w:p>
        </w:tc>
        <w:tc>
          <w:tcPr>
            <w:tcW w:w="709" w:type="dxa"/>
            <w:vAlign w:val="center"/>
          </w:tcPr>
          <w:p w14:paraId="5121920B">
            <w:pPr>
              <w:pStyle w:val="14"/>
            </w:pPr>
          </w:p>
        </w:tc>
        <w:tc>
          <w:tcPr>
            <w:tcW w:w="850" w:type="dxa"/>
            <w:vAlign w:val="center"/>
          </w:tcPr>
          <w:p w14:paraId="23812E12">
            <w:pPr>
              <w:pStyle w:val="15"/>
            </w:pPr>
          </w:p>
        </w:tc>
        <w:tc>
          <w:tcPr>
            <w:tcW w:w="850" w:type="dxa"/>
            <w:vAlign w:val="center"/>
          </w:tcPr>
          <w:p w14:paraId="1B8F34B9">
            <w:pPr>
              <w:pStyle w:val="15"/>
            </w:pPr>
          </w:p>
        </w:tc>
        <w:tc>
          <w:tcPr>
            <w:tcW w:w="964" w:type="dxa"/>
            <w:vAlign w:val="center"/>
          </w:tcPr>
          <w:p w14:paraId="3AFEA0E8">
            <w:pPr>
              <w:pStyle w:val="15"/>
            </w:pPr>
            <w:r>
              <w:t>249.17</w:t>
            </w:r>
          </w:p>
        </w:tc>
        <w:tc>
          <w:tcPr>
            <w:tcW w:w="964" w:type="dxa"/>
            <w:vAlign w:val="center"/>
          </w:tcPr>
          <w:p w14:paraId="44003C2B">
            <w:pPr>
              <w:pStyle w:val="15"/>
            </w:pPr>
            <w:r>
              <w:t>249.17</w:t>
            </w:r>
          </w:p>
        </w:tc>
        <w:tc>
          <w:tcPr>
            <w:tcW w:w="964" w:type="dxa"/>
            <w:vAlign w:val="center"/>
          </w:tcPr>
          <w:p w14:paraId="70FD2B16">
            <w:pPr>
              <w:pStyle w:val="15"/>
            </w:pPr>
          </w:p>
        </w:tc>
        <w:tc>
          <w:tcPr>
            <w:tcW w:w="964" w:type="dxa"/>
            <w:vAlign w:val="center"/>
          </w:tcPr>
          <w:p w14:paraId="5CAC27CA">
            <w:pPr>
              <w:pStyle w:val="15"/>
            </w:pPr>
          </w:p>
        </w:tc>
        <w:tc>
          <w:tcPr>
            <w:tcW w:w="964" w:type="dxa"/>
            <w:vAlign w:val="center"/>
          </w:tcPr>
          <w:p w14:paraId="1BB753B3">
            <w:pPr>
              <w:pStyle w:val="15"/>
            </w:pPr>
          </w:p>
        </w:tc>
        <w:tc>
          <w:tcPr>
            <w:tcW w:w="964" w:type="dxa"/>
            <w:vAlign w:val="center"/>
          </w:tcPr>
          <w:p w14:paraId="6FB830E3">
            <w:pPr>
              <w:pStyle w:val="15"/>
            </w:pPr>
          </w:p>
        </w:tc>
        <w:tc>
          <w:tcPr>
            <w:tcW w:w="964" w:type="dxa"/>
            <w:vAlign w:val="center"/>
          </w:tcPr>
          <w:p w14:paraId="55F2B685">
            <w:pPr>
              <w:pStyle w:val="15"/>
            </w:pPr>
          </w:p>
        </w:tc>
        <w:tc>
          <w:tcPr>
            <w:tcW w:w="964" w:type="dxa"/>
            <w:vAlign w:val="center"/>
          </w:tcPr>
          <w:p w14:paraId="6F5497A8">
            <w:pPr>
              <w:pStyle w:val="15"/>
            </w:pPr>
          </w:p>
        </w:tc>
        <w:tc>
          <w:tcPr>
            <w:tcW w:w="964" w:type="dxa"/>
            <w:vAlign w:val="center"/>
          </w:tcPr>
          <w:p w14:paraId="5778C8BF">
            <w:pPr>
              <w:pStyle w:val="15"/>
            </w:pPr>
            <w:r>
              <w:t>249.17</w:t>
            </w:r>
          </w:p>
        </w:tc>
      </w:tr>
      <w:tr w14:paraId="4CB6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C3866B">
            <w:pPr>
              <w:pStyle w:val="14"/>
            </w:pPr>
            <w:r>
              <w:t>隆尧县城关校区小计</w:t>
            </w:r>
          </w:p>
        </w:tc>
        <w:tc>
          <w:tcPr>
            <w:tcW w:w="964" w:type="dxa"/>
            <w:vAlign w:val="center"/>
          </w:tcPr>
          <w:p w14:paraId="218C9482">
            <w:pPr>
              <w:pStyle w:val="15"/>
            </w:pPr>
          </w:p>
        </w:tc>
        <w:tc>
          <w:tcPr>
            <w:tcW w:w="1134" w:type="dxa"/>
            <w:vAlign w:val="center"/>
          </w:tcPr>
          <w:p w14:paraId="34D5D4E3">
            <w:pPr>
              <w:pStyle w:val="16"/>
            </w:pPr>
          </w:p>
        </w:tc>
        <w:tc>
          <w:tcPr>
            <w:tcW w:w="1134" w:type="dxa"/>
            <w:vAlign w:val="center"/>
          </w:tcPr>
          <w:p w14:paraId="6AA637E4">
            <w:pPr>
              <w:pStyle w:val="16"/>
            </w:pPr>
          </w:p>
        </w:tc>
        <w:tc>
          <w:tcPr>
            <w:tcW w:w="709" w:type="dxa"/>
            <w:vAlign w:val="center"/>
          </w:tcPr>
          <w:p w14:paraId="5F70BD83">
            <w:pPr>
              <w:pStyle w:val="14"/>
            </w:pPr>
          </w:p>
        </w:tc>
        <w:tc>
          <w:tcPr>
            <w:tcW w:w="850" w:type="dxa"/>
            <w:vAlign w:val="center"/>
          </w:tcPr>
          <w:p w14:paraId="28956F6C">
            <w:pPr>
              <w:pStyle w:val="15"/>
            </w:pPr>
          </w:p>
        </w:tc>
        <w:tc>
          <w:tcPr>
            <w:tcW w:w="850" w:type="dxa"/>
            <w:vAlign w:val="center"/>
          </w:tcPr>
          <w:p w14:paraId="01F04DB2">
            <w:pPr>
              <w:pStyle w:val="15"/>
            </w:pPr>
          </w:p>
        </w:tc>
        <w:tc>
          <w:tcPr>
            <w:tcW w:w="964" w:type="dxa"/>
            <w:vAlign w:val="center"/>
          </w:tcPr>
          <w:p w14:paraId="2B29F620">
            <w:pPr>
              <w:pStyle w:val="15"/>
            </w:pPr>
            <w:r>
              <w:t>249.17</w:t>
            </w:r>
          </w:p>
        </w:tc>
        <w:tc>
          <w:tcPr>
            <w:tcW w:w="964" w:type="dxa"/>
            <w:vAlign w:val="center"/>
          </w:tcPr>
          <w:p w14:paraId="7C1315CA">
            <w:pPr>
              <w:pStyle w:val="15"/>
            </w:pPr>
            <w:r>
              <w:t>249.17</w:t>
            </w:r>
          </w:p>
        </w:tc>
        <w:tc>
          <w:tcPr>
            <w:tcW w:w="964" w:type="dxa"/>
            <w:vAlign w:val="center"/>
          </w:tcPr>
          <w:p w14:paraId="607485EF">
            <w:pPr>
              <w:pStyle w:val="15"/>
            </w:pPr>
          </w:p>
        </w:tc>
        <w:tc>
          <w:tcPr>
            <w:tcW w:w="964" w:type="dxa"/>
            <w:vAlign w:val="center"/>
          </w:tcPr>
          <w:p w14:paraId="1A5AB6E5">
            <w:pPr>
              <w:pStyle w:val="15"/>
            </w:pPr>
          </w:p>
        </w:tc>
        <w:tc>
          <w:tcPr>
            <w:tcW w:w="964" w:type="dxa"/>
            <w:vAlign w:val="center"/>
          </w:tcPr>
          <w:p w14:paraId="74CC6EAF">
            <w:pPr>
              <w:pStyle w:val="15"/>
            </w:pPr>
          </w:p>
        </w:tc>
        <w:tc>
          <w:tcPr>
            <w:tcW w:w="964" w:type="dxa"/>
            <w:vAlign w:val="center"/>
          </w:tcPr>
          <w:p w14:paraId="06E60192">
            <w:pPr>
              <w:pStyle w:val="15"/>
            </w:pPr>
          </w:p>
        </w:tc>
        <w:tc>
          <w:tcPr>
            <w:tcW w:w="964" w:type="dxa"/>
            <w:vAlign w:val="center"/>
          </w:tcPr>
          <w:p w14:paraId="1F68479B">
            <w:pPr>
              <w:pStyle w:val="15"/>
            </w:pPr>
          </w:p>
        </w:tc>
        <w:tc>
          <w:tcPr>
            <w:tcW w:w="964" w:type="dxa"/>
            <w:vAlign w:val="center"/>
          </w:tcPr>
          <w:p w14:paraId="3AE80CB6">
            <w:pPr>
              <w:pStyle w:val="15"/>
            </w:pPr>
          </w:p>
        </w:tc>
        <w:tc>
          <w:tcPr>
            <w:tcW w:w="964" w:type="dxa"/>
            <w:vAlign w:val="center"/>
          </w:tcPr>
          <w:p w14:paraId="60F57ADE">
            <w:pPr>
              <w:pStyle w:val="15"/>
            </w:pPr>
            <w:r>
              <w:t>249.17</w:t>
            </w:r>
          </w:p>
        </w:tc>
      </w:tr>
      <w:tr w14:paraId="0359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491D13">
            <w:pPr>
              <w:pStyle w:val="12"/>
            </w:pPr>
            <w:r>
              <w:t>冀财教[2025]119号/中央/2026年薄弱学校改造/南柏舍小学平房及附属设施建设</w:t>
            </w:r>
          </w:p>
        </w:tc>
        <w:tc>
          <w:tcPr>
            <w:tcW w:w="964" w:type="dxa"/>
            <w:vAlign w:val="center"/>
          </w:tcPr>
          <w:p w14:paraId="2DB03A57">
            <w:pPr>
              <w:pStyle w:val="11"/>
            </w:pPr>
            <w:r>
              <w:t>180.00</w:t>
            </w:r>
          </w:p>
        </w:tc>
        <w:tc>
          <w:tcPr>
            <w:tcW w:w="1134" w:type="dxa"/>
            <w:vAlign w:val="center"/>
          </w:tcPr>
          <w:p w14:paraId="217FDB96">
            <w:pPr>
              <w:pStyle w:val="12"/>
            </w:pPr>
            <w:r>
              <w:t>教育用房施工</w:t>
            </w:r>
          </w:p>
        </w:tc>
        <w:tc>
          <w:tcPr>
            <w:tcW w:w="1134" w:type="dxa"/>
            <w:vAlign w:val="center"/>
          </w:tcPr>
          <w:p w14:paraId="45B2151E">
            <w:pPr>
              <w:pStyle w:val="12"/>
            </w:pPr>
            <w:r>
              <w:t>B01021100</w:t>
            </w:r>
          </w:p>
        </w:tc>
        <w:tc>
          <w:tcPr>
            <w:tcW w:w="709" w:type="dxa"/>
            <w:vAlign w:val="center"/>
          </w:tcPr>
          <w:p w14:paraId="75AB166F">
            <w:pPr>
              <w:pStyle w:val="13"/>
            </w:pPr>
            <w:r>
              <w:t>年</w:t>
            </w:r>
          </w:p>
        </w:tc>
        <w:tc>
          <w:tcPr>
            <w:tcW w:w="850" w:type="dxa"/>
            <w:vAlign w:val="center"/>
          </w:tcPr>
          <w:p w14:paraId="14B645D9">
            <w:pPr>
              <w:pStyle w:val="11"/>
            </w:pPr>
            <w:r>
              <w:t>1</w:t>
            </w:r>
          </w:p>
        </w:tc>
        <w:tc>
          <w:tcPr>
            <w:tcW w:w="850" w:type="dxa"/>
            <w:vAlign w:val="center"/>
          </w:tcPr>
          <w:p w14:paraId="72066475">
            <w:pPr>
              <w:pStyle w:val="11"/>
            </w:pPr>
            <w:r>
              <w:t>180.00</w:t>
            </w:r>
          </w:p>
        </w:tc>
        <w:tc>
          <w:tcPr>
            <w:tcW w:w="964" w:type="dxa"/>
            <w:vAlign w:val="center"/>
          </w:tcPr>
          <w:p w14:paraId="4D6AEF69">
            <w:pPr>
              <w:pStyle w:val="11"/>
            </w:pPr>
            <w:r>
              <w:t>180.00</w:t>
            </w:r>
          </w:p>
        </w:tc>
        <w:tc>
          <w:tcPr>
            <w:tcW w:w="964" w:type="dxa"/>
            <w:vAlign w:val="center"/>
          </w:tcPr>
          <w:p w14:paraId="1C7FB5AC">
            <w:pPr>
              <w:pStyle w:val="11"/>
            </w:pPr>
            <w:r>
              <w:t>180.00</w:t>
            </w:r>
          </w:p>
        </w:tc>
        <w:tc>
          <w:tcPr>
            <w:tcW w:w="964" w:type="dxa"/>
            <w:vAlign w:val="center"/>
          </w:tcPr>
          <w:p w14:paraId="5A093962">
            <w:pPr>
              <w:pStyle w:val="11"/>
            </w:pPr>
          </w:p>
        </w:tc>
        <w:tc>
          <w:tcPr>
            <w:tcW w:w="964" w:type="dxa"/>
            <w:vAlign w:val="center"/>
          </w:tcPr>
          <w:p w14:paraId="51AE0F98">
            <w:pPr>
              <w:pStyle w:val="11"/>
            </w:pPr>
          </w:p>
        </w:tc>
        <w:tc>
          <w:tcPr>
            <w:tcW w:w="964" w:type="dxa"/>
            <w:vAlign w:val="center"/>
          </w:tcPr>
          <w:p w14:paraId="46516482">
            <w:pPr>
              <w:pStyle w:val="11"/>
            </w:pPr>
          </w:p>
        </w:tc>
        <w:tc>
          <w:tcPr>
            <w:tcW w:w="964" w:type="dxa"/>
            <w:vAlign w:val="center"/>
          </w:tcPr>
          <w:p w14:paraId="456B8D91">
            <w:pPr>
              <w:pStyle w:val="11"/>
            </w:pPr>
          </w:p>
        </w:tc>
        <w:tc>
          <w:tcPr>
            <w:tcW w:w="964" w:type="dxa"/>
            <w:vAlign w:val="center"/>
          </w:tcPr>
          <w:p w14:paraId="5637B348">
            <w:pPr>
              <w:pStyle w:val="11"/>
            </w:pPr>
          </w:p>
        </w:tc>
        <w:tc>
          <w:tcPr>
            <w:tcW w:w="964" w:type="dxa"/>
            <w:vAlign w:val="center"/>
          </w:tcPr>
          <w:p w14:paraId="5C4F367A">
            <w:pPr>
              <w:pStyle w:val="11"/>
            </w:pPr>
          </w:p>
        </w:tc>
        <w:tc>
          <w:tcPr>
            <w:tcW w:w="964" w:type="dxa"/>
            <w:vAlign w:val="center"/>
          </w:tcPr>
          <w:p w14:paraId="4EFC1D73">
            <w:pPr>
              <w:pStyle w:val="11"/>
            </w:pPr>
            <w:r>
              <w:t>180.00</w:t>
            </w:r>
          </w:p>
        </w:tc>
      </w:tr>
      <w:tr w14:paraId="4E0C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BB02CE">
            <w:pPr>
              <w:pStyle w:val="12"/>
            </w:pPr>
            <w:r>
              <w:t>冀财教[2025]121号/中央/2026年义教补助经费/城关校区东甫小学公用经费</w:t>
            </w:r>
          </w:p>
        </w:tc>
        <w:tc>
          <w:tcPr>
            <w:tcW w:w="964" w:type="dxa"/>
            <w:vAlign w:val="center"/>
          </w:tcPr>
          <w:p w14:paraId="28F96379">
            <w:pPr>
              <w:pStyle w:val="11"/>
            </w:pPr>
            <w:r>
              <w:t>102.60</w:t>
            </w:r>
          </w:p>
        </w:tc>
        <w:tc>
          <w:tcPr>
            <w:tcW w:w="1134" w:type="dxa"/>
            <w:vAlign w:val="center"/>
          </w:tcPr>
          <w:p w14:paraId="7AB13DFD">
            <w:pPr>
              <w:pStyle w:val="12"/>
            </w:pPr>
            <w:r>
              <w:t>办公桌</w:t>
            </w:r>
          </w:p>
        </w:tc>
        <w:tc>
          <w:tcPr>
            <w:tcW w:w="1134" w:type="dxa"/>
            <w:vAlign w:val="center"/>
          </w:tcPr>
          <w:p w14:paraId="1BAF57AB">
            <w:pPr>
              <w:pStyle w:val="12"/>
            </w:pPr>
            <w:r>
              <w:t>A05010201</w:t>
            </w:r>
          </w:p>
        </w:tc>
        <w:tc>
          <w:tcPr>
            <w:tcW w:w="709" w:type="dxa"/>
            <w:vAlign w:val="center"/>
          </w:tcPr>
          <w:p w14:paraId="20DC72D2">
            <w:pPr>
              <w:pStyle w:val="13"/>
            </w:pPr>
            <w:r>
              <w:t>套</w:t>
            </w:r>
          </w:p>
        </w:tc>
        <w:tc>
          <w:tcPr>
            <w:tcW w:w="850" w:type="dxa"/>
            <w:vAlign w:val="center"/>
          </w:tcPr>
          <w:p w14:paraId="7F2DC61A">
            <w:pPr>
              <w:pStyle w:val="11"/>
            </w:pPr>
            <w:r>
              <w:t>15</w:t>
            </w:r>
          </w:p>
        </w:tc>
        <w:tc>
          <w:tcPr>
            <w:tcW w:w="850" w:type="dxa"/>
            <w:vAlign w:val="center"/>
          </w:tcPr>
          <w:p w14:paraId="38A05D04">
            <w:pPr>
              <w:pStyle w:val="11"/>
            </w:pPr>
            <w:r>
              <w:t>0.08</w:t>
            </w:r>
          </w:p>
        </w:tc>
        <w:tc>
          <w:tcPr>
            <w:tcW w:w="964" w:type="dxa"/>
            <w:vAlign w:val="center"/>
          </w:tcPr>
          <w:p w14:paraId="0AD10981">
            <w:pPr>
              <w:pStyle w:val="11"/>
            </w:pPr>
            <w:r>
              <w:t>1.20</w:t>
            </w:r>
          </w:p>
        </w:tc>
        <w:tc>
          <w:tcPr>
            <w:tcW w:w="964" w:type="dxa"/>
            <w:vAlign w:val="center"/>
          </w:tcPr>
          <w:p w14:paraId="39F63FA6">
            <w:pPr>
              <w:pStyle w:val="11"/>
            </w:pPr>
            <w:r>
              <w:t>1.20</w:t>
            </w:r>
          </w:p>
        </w:tc>
        <w:tc>
          <w:tcPr>
            <w:tcW w:w="964" w:type="dxa"/>
            <w:vAlign w:val="center"/>
          </w:tcPr>
          <w:p w14:paraId="0C2D86C6">
            <w:pPr>
              <w:pStyle w:val="11"/>
            </w:pPr>
          </w:p>
        </w:tc>
        <w:tc>
          <w:tcPr>
            <w:tcW w:w="964" w:type="dxa"/>
            <w:vAlign w:val="center"/>
          </w:tcPr>
          <w:p w14:paraId="56B7D9A4">
            <w:pPr>
              <w:pStyle w:val="11"/>
            </w:pPr>
          </w:p>
        </w:tc>
        <w:tc>
          <w:tcPr>
            <w:tcW w:w="964" w:type="dxa"/>
            <w:vAlign w:val="center"/>
          </w:tcPr>
          <w:p w14:paraId="0F9C3FA3">
            <w:pPr>
              <w:pStyle w:val="11"/>
            </w:pPr>
          </w:p>
        </w:tc>
        <w:tc>
          <w:tcPr>
            <w:tcW w:w="964" w:type="dxa"/>
            <w:vAlign w:val="center"/>
          </w:tcPr>
          <w:p w14:paraId="21A2A25A">
            <w:pPr>
              <w:pStyle w:val="11"/>
            </w:pPr>
          </w:p>
        </w:tc>
        <w:tc>
          <w:tcPr>
            <w:tcW w:w="964" w:type="dxa"/>
            <w:vAlign w:val="center"/>
          </w:tcPr>
          <w:p w14:paraId="10FA4F60">
            <w:pPr>
              <w:pStyle w:val="11"/>
            </w:pPr>
          </w:p>
        </w:tc>
        <w:tc>
          <w:tcPr>
            <w:tcW w:w="964" w:type="dxa"/>
            <w:vAlign w:val="center"/>
          </w:tcPr>
          <w:p w14:paraId="0EE8AD78">
            <w:pPr>
              <w:pStyle w:val="11"/>
            </w:pPr>
          </w:p>
        </w:tc>
        <w:tc>
          <w:tcPr>
            <w:tcW w:w="964" w:type="dxa"/>
            <w:vAlign w:val="center"/>
          </w:tcPr>
          <w:p w14:paraId="12CAA9C0">
            <w:pPr>
              <w:pStyle w:val="11"/>
            </w:pPr>
            <w:r>
              <w:t>1.20</w:t>
            </w:r>
          </w:p>
        </w:tc>
      </w:tr>
      <w:tr w14:paraId="6392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61559">
            <w:pPr>
              <w:pStyle w:val="12"/>
            </w:pPr>
            <w:r>
              <w:t>冀财教[2025]121号/中央/2026年义教补助经费/城关校区义丰小学公用经费</w:t>
            </w:r>
          </w:p>
        </w:tc>
        <w:tc>
          <w:tcPr>
            <w:tcW w:w="964" w:type="dxa"/>
            <w:vAlign w:val="center"/>
          </w:tcPr>
          <w:p w14:paraId="65EBF158">
            <w:pPr>
              <w:pStyle w:val="11"/>
            </w:pPr>
            <w:r>
              <w:t>125.55</w:t>
            </w:r>
          </w:p>
        </w:tc>
        <w:tc>
          <w:tcPr>
            <w:tcW w:w="1134" w:type="dxa"/>
            <w:vAlign w:val="center"/>
          </w:tcPr>
          <w:p w14:paraId="1678DD33">
            <w:pPr>
              <w:pStyle w:val="12"/>
            </w:pPr>
            <w:r>
              <w:t>LED 显示屏</w:t>
            </w:r>
          </w:p>
        </w:tc>
        <w:tc>
          <w:tcPr>
            <w:tcW w:w="1134" w:type="dxa"/>
            <w:vAlign w:val="center"/>
          </w:tcPr>
          <w:p w14:paraId="73712982">
            <w:pPr>
              <w:pStyle w:val="12"/>
            </w:pPr>
            <w:r>
              <w:t>A02021103</w:t>
            </w:r>
          </w:p>
        </w:tc>
        <w:tc>
          <w:tcPr>
            <w:tcW w:w="709" w:type="dxa"/>
            <w:vAlign w:val="center"/>
          </w:tcPr>
          <w:p w14:paraId="4C4862F7">
            <w:pPr>
              <w:pStyle w:val="13"/>
            </w:pPr>
            <w:r>
              <w:t>套</w:t>
            </w:r>
          </w:p>
        </w:tc>
        <w:tc>
          <w:tcPr>
            <w:tcW w:w="850" w:type="dxa"/>
            <w:vAlign w:val="center"/>
          </w:tcPr>
          <w:p w14:paraId="4F5C75E2">
            <w:pPr>
              <w:pStyle w:val="11"/>
            </w:pPr>
            <w:r>
              <w:t>1</w:t>
            </w:r>
          </w:p>
        </w:tc>
        <w:tc>
          <w:tcPr>
            <w:tcW w:w="850" w:type="dxa"/>
            <w:vAlign w:val="center"/>
          </w:tcPr>
          <w:p w14:paraId="731B7278">
            <w:pPr>
              <w:pStyle w:val="11"/>
            </w:pPr>
            <w:r>
              <w:t>2.89</w:t>
            </w:r>
          </w:p>
        </w:tc>
        <w:tc>
          <w:tcPr>
            <w:tcW w:w="964" w:type="dxa"/>
            <w:vAlign w:val="center"/>
          </w:tcPr>
          <w:p w14:paraId="5E0FE473">
            <w:pPr>
              <w:pStyle w:val="11"/>
            </w:pPr>
            <w:r>
              <w:t>2.89</w:t>
            </w:r>
          </w:p>
        </w:tc>
        <w:tc>
          <w:tcPr>
            <w:tcW w:w="964" w:type="dxa"/>
            <w:vAlign w:val="center"/>
          </w:tcPr>
          <w:p w14:paraId="629C0935">
            <w:pPr>
              <w:pStyle w:val="11"/>
            </w:pPr>
            <w:r>
              <w:t>2.89</w:t>
            </w:r>
          </w:p>
        </w:tc>
        <w:tc>
          <w:tcPr>
            <w:tcW w:w="964" w:type="dxa"/>
            <w:vAlign w:val="center"/>
          </w:tcPr>
          <w:p w14:paraId="5BAA670A">
            <w:pPr>
              <w:pStyle w:val="11"/>
            </w:pPr>
          </w:p>
        </w:tc>
        <w:tc>
          <w:tcPr>
            <w:tcW w:w="964" w:type="dxa"/>
            <w:vAlign w:val="center"/>
          </w:tcPr>
          <w:p w14:paraId="61EF8E7C">
            <w:pPr>
              <w:pStyle w:val="11"/>
            </w:pPr>
          </w:p>
        </w:tc>
        <w:tc>
          <w:tcPr>
            <w:tcW w:w="964" w:type="dxa"/>
            <w:vAlign w:val="center"/>
          </w:tcPr>
          <w:p w14:paraId="7A4702CF">
            <w:pPr>
              <w:pStyle w:val="11"/>
            </w:pPr>
          </w:p>
        </w:tc>
        <w:tc>
          <w:tcPr>
            <w:tcW w:w="964" w:type="dxa"/>
            <w:vAlign w:val="center"/>
          </w:tcPr>
          <w:p w14:paraId="7B4A6D26">
            <w:pPr>
              <w:pStyle w:val="11"/>
            </w:pPr>
          </w:p>
        </w:tc>
        <w:tc>
          <w:tcPr>
            <w:tcW w:w="964" w:type="dxa"/>
            <w:vAlign w:val="center"/>
          </w:tcPr>
          <w:p w14:paraId="11B33D01">
            <w:pPr>
              <w:pStyle w:val="11"/>
            </w:pPr>
          </w:p>
        </w:tc>
        <w:tc>
          <w:tcPr>
            <w:tcW w:w="964" w:type="dxa"/>
            <w:vAlign w:val="center"/>
          </w:tcPr>
          <w:p w14:paraId="248BAD89">
            <w:pPr>
              <w:pStyle w:val="11"/>
            </w:pPr>
          </w:p>
        </w:tc>
        <w:tc>
          <w:tcPr>
            <w:tcW w:w="964" w:type="dxa"/>
            <w:vAlign w:val="center"/>
          </w:tcPr>
          <w:p w14:paraId="1E604AA0">
            <w:pPr>
              <w:pStyle w:val="11"/>
            </w:pPr>
            <w:r>
              <w:t>2.89</w:t>
            </w:r>
          </w:p>
        </w:tc>
      </w:tr>
      <w:tr w14:paraId="2E585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8AEEB0">
            <w:pPr>
              <w:pStyle w:val="12"/>
            </w:pPr>
            <w:r>
              <w:t>冀财教[2025]121号/中央/2026年义教补助经费/城关校区义丰小学公用经费</w:t>
            </w:r>
          </w:p>
        </w:tc>
        <w:tc>
          <w:tcPr>
            <w:tcW w:w="964" w:type="dxa"/>
            <w:vAlign w:val="center"/>
          </w:tcPr>
          <w:p w14:paraId="5C5C9E4B">
            <w:pPr>
              <w:pStyle w:val="11"/>
            </w:pPr>
            <w:r>
              <w:t>125.55</w:t>
            </w:r>
          </w:p>
        </w:tc>
        <w:tc>
          <w:tcPr>
            <w:tcW w:w="1134" w:type="dxa"/>
            <w:vAlign w:val="center"/>
          </w:tcPr>
          <w:p w14:paraId="4E799EB7">
            <w:pPr>
              <w:pStyle w:val="12"/>
            </w:pPr>
            <w:r>
              <w:t>会议桌</w:t>
            </w:r>
          </w:p>
        </w:tc>
        <w:tc>
          <w:tcPr>
            <w:tcW w:w="1134" w:type="dxa"/>
            <w:vAlign w:val="center"/>
          </w:tcPr>
          <w:p w14:paraId="16039281">
            <w:pPr>
              <w:pStyle w:val="12"/>
            </w:pPr>
            <w:r>
              <w:t>A05010202</w:t>
            </w:r>
          </w:p>
        </w:tc>
        <w:tc>
          <w:tcPr>
            <w:tcW w:w="709" w:type="dxa"/>
            <w:vAlign w:val="center"/>
          </w:tcPr>
          <w:p w14:paraId="1E862EA7">
            <w:pPr>
              <w:pStyle w:val="13"/>
            </w:pPr>
            <w:r>
              <w:t>张</w:t>
            </w:r>
          </w:p>
        </w:tc>
        <w:tc>
          <w:tcPr>
            <w:tcW w:w="850" w:type="dxa"/>
            <w:vAlign w:val="center"/>
          </w:tcPr>
          <w:p w14:paraId="48265E00">
            <w:pPr>
              <w:pStyle w:val="11"/>
            </w:pPr>
            <w:r>
              <w:t>30</w:t>
            </w:r>
          </w:p>
        </w:tc>
        <w:tc>
          <w:tcPr>
            <w:tcW w:w="850" w:type="dxa"/>
            <w:vAlign w:val="center"/>
          </w:tcPr>
          <w:p w14:paraId="4560DC11">
            <w:pPr>
              <w:pStyle w:val="11"/>
            </w:pPr>
            <w:r>
              <w:t>0.06</w:t>
            </w:r>
          </w:p>
        </w:tc>
        <w:tc>
          <w:tcPr>
            <w:tcW w:w="964" w:type="dxa"/>
            <w:vAlign w:val="center"/>
          </w:tcPr>
          <w:p w14:paraId="6D217258">
            <w:pPr>
              <w:pStyle w:val="11"/>
            </w:pPr>
            <w:r>
              <w:t>1.68</w:t>
            </w:r>
          </w:p>
        </w:tc>
        <w:tc>
          <w:tcPr>
            <w:tcW w:w="964" w:type="dxa"/>
            <w:vAlign w:val="center"/>
          </w:tcPr>
          <w:p w14:paraId="3FAFAEA1">
            <w:pPr>
              <w:pStyle w:val="11"/>
            </w:pPr>
            <w:r>
              <w:t>1.68</w:t>
            </w:r>
          </w:p>
        </w:tc>
        <w:tc>
          <w:tcPr>
            <w:tcW w:w="964" w:type="dxa"/>
            <w:vAlign w:val="center"/>
          </w:tcPr>
          <w:p w14:paraId="2A82812C">
            <w:pPr>
              <w:pStyle w:val="11"/>
            </w:pPr>
          </w:p>
        </w:tc>
        <w:tc>
          <w:tcPr>
            <w:tcW w:w="964" w:type="dxa"/>
            <w:vAlign w:val="center"/>
          </w:tcPr>
          <w:p w14:paraId="6E7E21C5">
            <w:pPr>
              <w:pStyle w:val="11"/>
            </w:pPr>
          </w:p>
        </w:tc>
        <w:tc>
          <w:tcPr>
            <w:tcW w:w="964" w:type="dxa"/>
            <w:vAlign w:val="center"/>
          </w:tcPr>
          <w:p w14:paraId="38E1183F">
            <w:pPr>
              <w:pStyle w:val="11"/>
            </w:pPr>
          </w:p>
        </w:tc>
        <w:tc>
          <w:tcPr>
            <w:tcW w:w="964" w:type="dxa"/>
            <w:vAlign w:val="center"/>
          </w:tcPr>
          <w:p w14:paraId="4ECC543A">
            <w:pPr>
              <w:pStyle w:val="11"/>
            </w:pPr>
          </w:p>
        </w:tc>
        <w:tc>
          <w:tcPr>
            <w:tcW w:w="964" w:type="dxa"/>
            <w:vAlign w:val="center"/>
          </w:tcPr>
          <w:p w14:paraId="6090F5E2">
            <w:pPr>
              <w:pStyle w:val="11"/>
            </w:pPr>
          </w:p>
        </w:tc>
        <w:tc>
          <w:tcPr>
            <w:tcW w:w="964" w:type="dxa"/>
            <w:vAlign w:val="center"/>
          </w:tcPr>
          <w:p w14:paraId="5CDD264B">
            <w:pPr>
              <w:pStyle w:val="11"/>
            </w:pPr>
          </w:p>
        </w:tc>
        <w:tc>
          <w:tcPr>
            <w:tcW w:w="964" w:type="dxa"/>
            <w:vAlign w:val="center"/>
          </w:tcPr>
          <w:p w14:paraId="727F9095">
            <w:pPr>
              <w:pStyle w:val="11"/>
            </w:pPr>
            <w:r>
              <w:t>1.68</w:t>
            </w:r>
          </w:p>
        </w:tc>
      </w:tr>
      <w:tr w14:paraId="050B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E2B81">
            <w:pPr>
              <w:pStyle w:val="12"/>
            </w:pPr>
            <w:r>
              <w:t>冀财教[2025]121号/中央/2026年义教补助经费/城关校区义丰小学公用经费</w:t>
            </w:r>
          </w:p>
        </w:tc>
        <w:tc>
          <w:tcPr>
            <w:tcW w:w="964" w:type="dxa"/>
            <w:vAlign w:val="center"/>
          </w:tcPr>
          <w:p w14:paraId="184D8E2C">
            <w:pPr>
              <w:pStyle w:val="11"/>
            </w:pPr>
            <w:r>
              <w:t>125.55</w:t>
            </w:r>
          </w:p>
        </w:tc>
        <w:tc>
          <w:tcPr>
            <w:tcW w:w="1134" w:type="dxa"/>
            <w:vAlign w:val="center"/>
          </w:tcPr>
          <w:p w14:paraId="6157E87D">
            <w:pPr>
              <w:pStyle w:val="12"/>
            </w:pPr>
            <w:r>
              <w:t>会议椅</w:t>
            </w:r>
          </w:p>
        </w:tc>
        <w:tc>
          <w:tcPr>
            <w:tcW w:w="1134" w:type="dxa"/>
            <w:vAlign w:val="center"/>
          </w:tcPr>
          <w:p w14:paraId="4E4932C2">
            <w:pPr>
              <w:pStyle w:val="12"/>
            </w:pPr>
            <w:r>
              <w:t>A05010303</w:t>
            </w:r>
          </w:p>
        </w:tc>
        <w:tc>
          <w:tcPr>
            <w:tcW w:w="709" w:type="dxa"/>
            <w:vAlign w:val="center"/>
          </w:tcPr>
          <w:p w14:paraId="16682D92">
            <w:pPr>
              <w:pStyle w:val="13"/>
            </w:pPr>
            <w:r>
              <w:t>把</w:t>
            </w:r>
          </w:p>
        </w:tc>
        <w:tc>
          <w:tcPr>
            <w:tcW w:w="850" w:type="dxa"/>
            <w:vAlign w:val="center"/>
          </w:tcPr>
          <w:p w14:paraId="7F6391B1">
            <w:pPr>
              <w:pStyle w:val="11"/>
            </w:pPr>
            <w:r>
              <w:t>60</w:t>
            </w:r>
          </w:p>
        </w:tc>
        <w:tc>
          <w:tcPr>
            <w:tcW w:w="850" w:type="dxa"/>
            <w:vAlign w:val="center"/>
          </w:tcPr>
          <w:p w14:paraId="63CA8149">
            <w:pPr>
              <w:pStyle w:val="11"/>
            </w:pPr>
            <w:r>
              <w:t>0.02</w:t>
            </w:r>
          </w:p>
        </w:tc>
        <w:tc>
          <w:tcPr>
            <w:tcW w:w="964" w:type="dxa"/>
            <w:vAlign w:val="center"/>
          </w:tcPr>
          <w:p w14:paraId="71E8FD6A">
            <w:pPr>
              <w:pStyle w:val="11"/>
            </w:pPr>
            <w:r>
              <w:t>1.20</w:t>
            </w:r>
          </w:p>
        </w:tc>
        <w:tc>
          <w:tcPr>
            <w:tcW w:w="964" w:type="dxa"/>
            <w:vAlign w:val="center"/>
          </w:tcPr>
          <w:p w14:paraId="396F09CF">
            <w:pPr>
              <w:pStyle w:val="11"/>
            </w:pPr>
            <w:r>
              <w:t>1.20</w:t>
            </w:r>
          </w:p>
        </w:tc>
        <w:tc>
          <w:tcPr>
            <w:tcW w:w="964" w:type="dxa"/>
            <w:vAlign w:val="center"/>
          </w:tcPr>
          <w:p w14:paraId="3BE16A65">
            <w:pPr>
              <w:pStyle w:val="11"/>
            </w:pPr>
          </w:p>
        </w:tc>
        <w:tc>
          <w:tcPr>
            <w:tcW w:w="964" w:type="dxa"/>
            <w:vAlign w:val="center"/>
          </w:tcPr>
          <w:p w14:paraId="7232CC1E">
            <w:pPr>
              <w:pStyle w:val="11"/>
            </w:pPr>
          </w:p>
        </w:tc>
        <w:tc>
          <w:tcPr>
            <w:tcW w:w="964" w:type="dxa"/>
            <w:vAlign w:val="center"/>
          </w:tcPr>
          <w:p w14:paraId="15A63B15">
            <w:pPr>
              <w:pStyle w:val="11"/>
            </w:pPr>
          </w:p>
        </w:tc>
        <w:tc>
          <w:tcPr>
            <w:tcW w:w="964" w:type="dxa"/>
            <w:vAlign w:val="center"/>
          </w:tcPr>
          <w:p w14:paraId="08A9B0B9">
            <w:pPr>
              <w:pStyle w:val="11"/>
            </w:pPr>
          </w:p>
        </w:tc>
        <w:tc>
          <w:tcPr>
            <w:tcW w:w="964" w:type="dxa"/>
            <w:vAlign w:val="center"/>
          </w:tcPr>
          <w:p w14:paraId="4EA7631A">
            <w:pPr>
              <w:pStyle w:val="11"/>
            </w:pPr>
          </w:p>
        </w:tc>
        <w:tc>
          <w:tcPr>
            <w:tcW w:w="964" w:type="dxa"/>
            <w:vAlign w:val="center"/>
          </w:tcPr>
          <w:p w14:paraId="6196C019">
            <w:pPr>
              <w:pStyle w:val="11"/>
            </w:pPr>
          </w:p>
        </w:tc>
        <w:tc>
          <w:tcPr>
            <w:tcW w:w="964" w:type="dxa"/>
            <w:vAlign w:val="center"/>
          </w:tcPr>
          <w:p w14:paraId="2B46222D">
            <w:pPr>
              <w:pStyle w:val="11"/>
            </w:pPr>
            <w:r>
              <w:t>1.20</w:t>
            </w:r>
          </w:p>
        </w:tc>
      </w:tr>
      <w:tr w14:paraId="03B17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976391">
            <w:pPr>
              <w:pStyle w:val="12"/>
            </w:pPr>
            <w:r>
              <w:t>冀财教[2025]122号/中央/支持学前教育发展/城关校区幼儿园设备购置</w:t>
            </w:r>
          </w:p>
        </w:tc>
        <w:tc>
          <w:tcPr>
            <w:tcW w:w="964" w:type="dxa"/>
            <w:vAlign w:val="center"/>
          </w:tcPr>
          <w:p w14:paraId="20095D1B">
            <w:pPr>
              <w:pStyle w:val="11"/>
            </w:pPr>
            <w:r>
              <w:t>82.71</w:t>
            </w:r>
          </w:p>
        </w:tc>
        <w:tc>
          <w:tcPr>
            <w:tcW w:w="1134" w:type="dxa"/>
            <w:vAlign w:val="center"/>
          </w:tcPr>
          <w:p w14:paraId="78C20B8C">
            <w:pPr>
              <w:pStyle w:val="12"/>
            </w:pPr>
            <w:r>
              <w:t>台式计算机</w:t>
            </w:r>
          </w:p>
        </w:tc>
        <w:tc>
          <w:tcPr>
            <w:tcW w:w="1134" w:type="dxa"/>
            <w:vAlign w:val="center"/>
          </w:tcPr>
          <w:p w14:paraId="2661C4CC">
            <w:pPr>
              <w:pStyle w:val="12"/>
            </w:pPr>
            <w:r>
              <w:t>A02010105</w:t>
            </w:r>
          </w:p>
        </w:tc>
        <w:tc>
          <w:tcPr>
            <w:tcW w:w="709" w:type="dxa"/>
            <w:vAlign w:val="center"/>
          </w:tcPr>
          <w:p w14:paraId="2BCF67F3">
            <w:pPr>
              <w:pStyle w:val="13"/>
            </w:pPr>
            <w:r>
              <w:t>万元</w:t>
            </w:r>
          </w:p>
        </w:tc>
        <w:tc>
          <w:tcPr>
            <w:tcW w:w="850" w:type="dxa"/>
            <w:vAlign w:val="center"/>
          </w:tcPr>
          <w:p w14:paraId="41279054">
            <w:pPr>
              <w:pStyle w:val="11"/>
            </w:pPr>
            <w:r>
              <w:t>4</w:t>
            </w:r>
          </w:p>
        </w:tc>
        <w:tc>
          <w:tcPr>
            <w:tcW w:w="850" w:type="dxa"/>
            <w:vAlign w:val="center"/>
          </w:tcPr>
          <w:p w14:paraId="26B4C49B">
            <w:pPr>
              <w:pStyle w:val="11"/>
            </w:pPr>
            <w:r>
              <w:t>0.35</w:t>
            </w:r>
          </w:p>
        </w:tc>
        <w:tc>
          <w:tcPr>
            <w:tcW w:w="964" w:type="dxa"/>
            <w:vAlign w:val="center"/>
          </w:tcPr>
          <w:p w14:paraId="10FC9297">
            <w:pPr>
              <w:pStyle w:val="11"/>
            </w:pPr>
            <w:r>
              <w:t>1.40</w:t>
            </w:r>
          </w:p>
        </w:tc>
        <w:tc>
          <w:tcPr>
            <w:tcW w:w="964" w:type="dxa"/>
            <w:vAlign w:val="center"/>
          </w:tcPr>
          <w:p w14:paraId="76264B34">
            <w:pPr>
              <w:pStyle w:val="11"/>
            </w:pPr>
            <w:r>
              <w:t>1.40</w:t>
            </w:r>
          </w:p>
        </w:tc>
        <w:tc>
          <w:tcPr>
            <w:tcW w:w="964" w:type="dxa"/>
            <w:vAlign w:val="center"/>
          </w:tcPr>
          <w:p w14:paraId="6355864D">
            <w:pPr>
              <w:pStyle w:val="11"/>
            </w:pPr>
          </w:p>
        </w:tc>
        <w:tc>
          <w:tcPr>
            <w:tcW w:w="964" w:type="dxa"/>
            <w:vAlign w:val="center"/>
          </w:tcPr>
          <w:p w14:paraId="7337AA58">
            <w:pPr>
              <w:pStyle w:val="11"/>
            </w:pPr>
          </w:p>
        </w:tc>
        <w:tc>
          <w:tcPr>
            <w:tcW w:w="964" w:type="dxa"/>
            <w:vAlign w:val="center"/>
          </w:tcPr>
          <w:p w14:paraId="0FFEE0DA">
            <w:pPr>
              <w:pStyle w:val="11"/>
            </w:pPr>
          </w:p>
        </w:tc>
        <w:tc>
          <w:tcPr>
            <w:tcW w:w="964" w:type="dxa"/>
            <w:vAlign w:val="center"/>
          </w:tcPr>
          <w:p w14:paraId="26DBD97B">
            <w:pPr>
              <w:pStyle w:val="11"/>
            </w:pPr>
          </w:p>
        </w:tc>
        <w:tc>
          <w:tcPr>
            <w:tcW w:w="964" w:type="dxa"/>
            <w:vAlign w:val="center"/>
          </w:tcPr>
          <w:p w14:paraId="7DA24F44">
            <w:pPr>
              <w:pStyle w:val="11"/>
            </w:pPr>
          </w:p>
        </w:tc>
        <w:tc>
          <w:tcPr>
            <w:tcW w:w="964" w:type="dxa"/>
            <w:vAlign w:val="center"/>
          </w:tcPr>
          <w:p w14:paraId="72801631">
            <w:pPr>
              <w:pStyle w:val="11"/>
            </w:pPr>
          </w:p>
        </w:tc>
        <w:tc>
          <w:tcPr>
            <w:tcW w:w="964" w:type="dxa"/>
            <w:vAlign w:val="center"/>
          </w:tcPr>
          <w:p w14:paraId="29218BF8">
            <w:pPr>
              <w:pStyle w:val="11"/>
            </w:pPr>
            <w:r>
              <w:t>1.40</w:t>
            </w:r>
          </w:p>
        </w:tc>
      </w:tr>
      <w:tr w14:paraId="0246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70704B">
            <w:pPr>
              <w:pStyle w:val="12"/>
            </w:pPr>
            <w:r>
              <w:t>冀财教[2025]122号/中央/支持学前教育发展/城关校区幼儿园设备购置</w:t>
            </w:r>
          </w:p>
        </w:tc>
        <w:tc>
          <w:tcPr>
            <w:tcW w:w="964" w:type="dxa"/>
            <w:vAlign w:val="center"/>
          </w:tcPr>
          <w:p w14:paraId="3C71803B">
            <w:pPr>
              <w:pStyle w:val="11"/>
            </w:pPr>
            <w:r>
              <w:t>82.71</w:t>
            </w:r>
          </w:p>
        </w:tc>
        <w:tc>
          <w:tcPr>
            <w:tcW w:w="1134" w:type="dxa"/>
            <w:vAlign w:val="center"/>
          </w:tcPr>
          <w:p w14:paraId="0E548973">
            <w:pPr>
              <w:pStyle w:val="12"/>
            </w:pPr>
            <w:r>
              <w:t>触控一体机</w:t>
            </w:r>
          </w:p>
        </w:tc>
        <w:tc>
          <w:tcPr>
            <w:tcW w:w="1134" w:type="dxa"/>
            <w:vAlign w:val="center"/>
          </w:tcPr>
          <w:p w14:paraId="6FEB68D3">
            <w:pPr>
              <w:pStyle w:val="12"/>
            </w:pPr>
            <w:r>
              <w:t>A02020800</w:t>
            </w:r>
          </w:p>
        </w:tc>
        <w:tc>
          <w:tcPr>
            <w:tcW w:w="709" w:type="dxa"/>
            <w:vAlign w:val="center"/>
          </w:tcPr>
          <w:p w14:paraId="3030E41B">
            <w:pPr>
              <w:pStyle w:val="13"/>
            </w:pPr>
            <w:r>
              <w:t>万元</w:t>
            </w:r>
          </w:p>
        </w:tc>
        <w:tc>
          <w:tcPr>
            <w:tcW w:w="850" w:type="dxa"/>
            <w:vAlign w:val="center"/>
          </w:tcPr>
          <w:p w14:paraId="286044DD">
            <w:pPr>
              <w:pStyle w:val="11"/>
            </w:pPr>
            <w:r>
              <w:t>6</w:t>
            </w:r>
          </w:p>
        </w:tc>
        <w:tc>
          <w:tcPr>
            <w:tcW w:w="850" w:type="dxa"/>
            <w:vAlign w:val="center"/>
          </w:tcPr>
          <w:p w14:paraId="7A5B7A36">
            <w:pPr>
              <w:pStyle w:val="11"/>
            </w:pPr>
            <w:r>
              <w:t>1.50</w:t>
            </w:r>
          </w:p>
        </w:tc>
        <w:tc>
          <w:tcPr>
            <w:tcW w:w="964" w:type="dxa"/>
            <w:vAlign w:val="center"/>
          </w:tcPr>
          <w:p w14:paraId="7C702653">
            <w:pPr>
              <w:pStyle w:val="11"/>
            </w:pPr>
            <w:r>
              <w:t>9.00</w:t>
            </w:r>
          </w:p>
        </w:tc>
        <w:tc>
          <w:tcPr>
            <w:tcW w:w="964" w:type="dxa"/>
            <w:vAlign w:val="center"/>
          </w:tcPr>
          <w:p w14:paraId="491C2E78">
            <w:pPr>
              <w:pStyle w:val="11"/>
            </w:pPr>
            <w:r>
              <w:t>9.00</w:t>
            </w:r>
          </w:p>
        </w:tc>
        <w:tc>
          <w:tcPr>
            <w:tcW w:w="964" w:type="dxa"/>
            <w:vAlign w:val="center"/>
          </w:tcPr>
          <w:p w14:paraId="62E5367F">
            <w:pPr>
              <w:pStyle w:val="11"/>
            </w:pPr>
          </w:p>
        </w:tc>
        <w:tc>
          <w:tcPr>
            <w:tcW w:w="964" w:type="dxa"/>
            <w:vAlign w:val="center"/>
          </w:tcPr>
          <w:p w14:paraId="752CE7AF">
            <w:pPr>
              <w:pStyle w:val="11"/>
            </w:pPr>
          </w:p>
        </w:tc>
        <w:tc>
          <w:tcPr>
            <w:tcW w:w="964" w:type="dxa"/>
            <w:vAlign w:val="center"/>
          </w:tcPr>
          <w:p w14:paraId="5BD55B32">
            <w:pPr>
              <w:pStyle w:val="11"/>
            </w:pPr>
          </w:p>
        </w:tc>
        <w:tc>
          <w:tcPr>
            <w:tcW w:w="964" w:type="dxa"/>
            <w:vAlign w:val="center"/>
          </w:tcPr>
          <w:p w14:paraId="0FCA0424">
            <w:pPr>
              <w:pStyle w:val="11"/>
            </w:pPr>
          </w:p>
        </w:tc>
        <w:tc>
          <w:tcPr>
            <w:tcW w:w="964" w:type="dxa"/>
            <w:vAlign w:val="center"/>
          </w:tcPr>
          <w:p w14:paraId="3B8751D2">
            <w:pPr>
              <w:pStyle w:val="11"/>
            </w:pPr>
          </w:p>
        </w:tc>
        <w:tc>
          <w:tcPr>
            <w:tcW w:w="964" w:type="dxa"/>
            <w:vAlign w:val="center"/>
          </w:tcPr>
          <w:p w14:paraId="3123B288">
            <w:pPr>
              <w:pStyle w:val="11"/>
            </w:pPr>
          </w:p>
        </w:tc>
        <w:tc>
          <w:tcPr>
            <w:tcW w:w="964" w:type="dxa"/>
            <w:vAlign w:val="center"/>
          </w:tcPr>
          <w:p w14:paraId="4BB5D02A">
            <w:pPr>
              <w:pStyle w:val="11"/>
            </w:pPr>
            <w:r>
              <w:t>9.00</w:t>
            </w:r>
          </w:p>
        </w:tc>
      </w:tr>
      <w:tr w14:paraId="68D9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95934B">
            <w:pPr>
              <w:pStyle w:val="12"/>
            </w:pPr>
            <w:r>
              <w:t>冀财教[2025]122号/中央/支持学前教育发展/城关校区幼儿园设备购置</w:t>
            </w:r>
          </w:p>
        </w:tc>
        <w:tc>
          <w:tcPr>
            <w:tcW w:w="964" w:type="dxa"/>
            <w:vAlign w:val="center"/>
          </w:tcPr>
          <w:p w14:paraId="4A0BAC88">
            <w:pPr>
              <w:pStyle w:val="11"/>
            </w:pPr>
            <w:r>
              <w:t>82.71</w:t>
            </w:r>
          </w:p>
        </w:tc>
        <w:tc>
          <w:tcPr>
            <w:tcW w:w="1134" w:type="dxa"/>
            <w:vAlign w:val="center"/>
          </w:tcPr>
          <w:p w14:paraId="70C05DED">
            <w:pPr>
              <w:pStyle w:val="12"/>
            </w:pPr>
            <w:r>
              <w:t>A4 彩色打印机</w:t>
            </w:r>
          </w:p>
        </w:tc>
        <w:tc>
          <w:tcPr>
            <w:tcW w:w="1134" w:type="dxa"/>
            <w:vAlign w:val="center"/>
          </w:tcPr>
          <w:p w14:paraId="6C9D2B04">
            <w:pPr>
              <w:pStyle w:val="12"/>
            </w:pPr>
            <w:r>
              <w:t>A02021004</w:t>
            </w:r>
          </w:p>
        </w:tc>
        <w:tc>
          <w:tcPr>
            <w:tcW w:w="709" w:type="dxa"/>
            <w:vAlign w:val="center"/>
          </w:tcPr>
          <w:p w14:paraId="6D745C55">
            <w:pPr>
              <w:pStyle w:val="13"/>
            </w:pPr>
            <w:r>
              <w:t>万元</w:t>
            </w:r>
          </w:p>
        </w:tc>
        <w:tc>
          <w:tcPr>
            <w:tcW w:w="850" w:type="dxa"/>
            <w:vAlign w:val="center"/>
          </w:tcPr>
          <w:p w14:paraId="0ADC5D1B">
            <w:pPr>
              <w:pStyle w:val="11"/>
            </w:pPr>
            <w:r>
              <w:t>1</w:t>
            </w:r>
          </w:p>
        </w:tc>
        <w:tc>
          <w:tcPr>
            <w:tcW w:w="850" w:type="dxa"/>
            <w:vAlign w:val="center"/>
          </w:tcPr>
          <w:p w14:paraId="06A4E57C">
            <w:pPr>
              <w:pStyle w:val="11"/>
            </w:pPr>
            <w:r>
              <w:t>0.50</w:t>
            </w:r>
          </w:p>
        </w:tc>
        <w:tc>
          <w:tcPr>
            <w:tcW w:w="964" w:type="dxa"/>
            <w:vAlign w:val="center"/>
          </w:tcPr>
          <w:p w14:paraId="6797D3C2">
            <w:pPr>
              <w:pStyle w:val="11"/>
            </w:pPr>
            <w:r>
              <w:t>0.50</w:t>
            </w:r>
          </w:p>
        </w:tc>
        <w:tc>
          <w:tcPr>
            <w:tcW w:w="964" w:type="dxa"/>
            <w:vAlign w:val="center"/>
          </w:tcPr>
          <w:p w14:paraId="7C9CA91C">
            <w:pPr>
              <w:pStyle w:val="11"/>
            </w:pPr>
            <w:r>
              <w:t>0.50</w:t>
            </w:r>
          </w:p>
        </w:tc>
        <w:tc>
          <w:tcPr>
            <w:tcW w:w="964" w:type="dxa"/>
            <w:vAlign w:val="center"/>
          </w:tcPr>
          <w:p w14:paraId="4D53D40B">
            <w:pPr>
              <w:pStyle w:val="11"/>
            </w:pPr>
          </w:p>
        </w:tc>
        <w:tc>
          <w:tcPr>
            <w:tcW w:w="964" w:type="dxa"/>
            <w:vAlign w:val="center"/>
          </w:tcPr>
          <w:p w14:paraId="41965D7E">
            <w:pPr>
              <w:pStyle w:val="11"/>
            </w:pPr>
          </w:p>
        </w:tc>
        <w:tc>
          <w:tcPr>
            <w:tcW w:w="964" w:type="dxa"/>
            <w:vAlign w:val="center"/>
          </w:tcPr>
          <w:p w14:paraId="36BB5436">
            <w:pPr>
              <w:pStyle w:val="11"/>
            </w:pPr>
          </w:p>
        </w:tc>
        <w:tc>
          <w:tcPr>
            <w:tcW w:w="964" w:type="dxa"/>
            <w:vAlign w:val="center"/>
          </w:tcPr>
          <w:p w14:paraId="7ED78F36">
            <w:pPr>
              <w:pStyle w:val="11"/>
            </w:pPr>
          </w:p>
        </w:tc>
        <w:tc>
          <w:tcPr>
            <w:tcW w:w="964" w:type="dxa"/>
            <w:vAlign w:val="center"/>
          </w:tcPr>
          <w:p w14:paraId="7507B4C7">
            <w:pPr>
              <w:pStyle w:val="11"/>
            </w:pPr>
          </w:p>
        </w:tc>
        <w:tc>
          <w:tcPr>
            <w:tcW w:w="964" w:type="dxa"/>
            <w:vAlign w:val="center"/>
          </w:tcPr>
          <w:p w14:paraId="7CBBB73E">
            <w:pPr>
              <w:pStyle w:val="11"/>
            </w:pPr>
          </w:p>
        </w:tc>
        <w:tc>
          <w:tcPr>
            <w:tcW w:w="964" w:type="dxa"/>
            <w:vAlign w:val="center"/>
          </w:tcPr>
          <w:p w14:paraId="5F917297">
            <w:pPr>
              <w:pStyle w:val="11"/>
            </w:pPr>
            <w:r>
              <w:t>0.50</w:t>
            </w:r>
          </w:p>
        </w:tc>
      </w:tr>
      <w:tr w14:paraId="7B0AA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6EE396">
            <w:pPr>
              <w:pStyle w:val="12"/>
            </w:pPr>
            <w:r>
              <w:t>冀财教[2025]122号/中央/支持学前教育发展/城关校区幼儿园设备购置</w:t>
            </w:r>
          </w:p>
        </w:tc>
        <w:tc>
          <w:tcPr>
            <w:tcW w:w="964" w:type="dxa"/>
            <w:vAlign w:val="center"/>
          </w:tcPr>
          <w:p w14:paraId="0C68F7A0">
            <w:pPr>
              <w:pStyle w:val="11"/>
            </w:pPr>
            <w:r>
              <w:t>82.71</w:t>
            </w:r>
          </w:p>
        </w:tc>
        <w:tc>
          <w:tcPr>
            <w:tcW w:w="1134" w:type="dxa"/>
            <w:vAlign w:val="center"/>
          </w:tcPr>
          <w:p w14:paraId="27B9F4A6">
            <w:pPr>
              <w:pStyle w:val="12"/>
            </w:pPr>
            <w:r>
              <w:t>LED 显示屏</w:t>
            </w:r>
          </w:p>
        </w:tc>
        <w:tc>
          <w:tcPr>
            <w:tcW w:w="1134" w:type="dxa"/>
            <w:vAlign w:val="center"/>
          </w:tcPr>
          <w:p w14:paraId="47C84C8A">
            <w:pPr>
              <w:pStyle w:val="12"/>
            </w:pPr>
            <w:r>
              <w:t>A02021103</w:t>
            </w:r>
          </w:p>
        </w:tc>
        <w:tc>
          <w:tcPr>
            <w:tcW w:w="709" w:type="dxa"/>
            <w:vAlign w:val="center"/>
          </w:tcPr>
          <w:p w14:paraId="3ED03E00">
            <w:pPr>
              <w:pStyle w:val="13"/>
            </w:pPr>
            <w:r>
              <w:t>万元</w:t>
            </w:r>
          </w:p>
        </w:tc>
        <w:tc>
          <w:tcPr>
            <w:tcW w:w="850" w:type="dxa"/>
            <w:vAlign w:val="center"/>
          </w:tcPr>
          <w:p w14:paraId="0785A03F">
            <w:pPr>
              <w:pStyle w:val="11"/>
            </w:pPr>
            <w:r>
              <w:t>25</w:t>
            </w:r>
          </w:p>
        </w:tc>
        <w:tc>
          <w:tcPr>
            <w:tcW w:w="850" w:type="dxa"/>
            <w:vAlign w:val="center"/>
          </w:tcPr>
          <w:p w14:paraId="0FFD3037">
            <w:pPr>
              <w:pStyle w:val="11"/>
            </w:pPr>
            <w:r>
              <w:t>0.45</w:t>
            </w:r>
          </w:p>
        </w:tc>
        <w:tc>
          <w:tcPr>
            <w:tcW w:w="964" w:type="dxa"/>
            <w:vAlign w:val="center"/>
          </w:tcPr>
          <w:p w14:paraId="006BB1C2">
            <w:pPr>
              <w:pStyle w:val="11"/>
            </w:pPr>
            <w:r>
              <w:t>11.25</w:t>
            </w:r>
          </w:p>
        </w:tc>
        <w:tc>
          <w:tcPr>
            <w:tcW w:w="964" w:type="dxa"/>
            <w:vAlign w:val="center"/>
          </w:tcPr>
          <w:p w14:paraId="2D2FFF32">
            <w:pPr>
              <w:pStyle w:val="11"/>
            </w:pPr>
            <w:r>
              <w:t>11.25</w:t>
            </w:r>
          </w:p>
        </w:tc>
        <w:tc>
          <w:tcPr>
            <w:tcW w:w="964" w:type="dxa"/>
            <w:vAlign w:val="center"/>
          </w:tcPr>
          <w:p w14:paraId="48C60372">
            <w:pPr>
              <w:pStyle w:val="11"/>
            </w:pPr>
          </w:p>
        </w:tc>
        <w:tc>
          <w:tcPr>
            <w:tcW w:w="964" w:type="dxa"/>
            <w:vAlign w:val="center"/>
          </w:tcPr>
          <w:p w14:paraId="61F3764E">
            <w:pPr>
              <w:pStyle w:val="11"/>
            </w:pPr>
          </w:p>
        </w:tc>
        <w:tc>
          <w:tcPr>
            <w:tcW w:w="964" w:type="dxa"/>
            <w:vAlign w:val="center"/>
          </w:tcPr>
          <w:p w14:paraId="64C4FF41">
            <w:pPr>
              <w:pStyle w:val="11"/>
            </w:pPr>
          </w:p>
        </w:tc>
        <w:tc>
          <w:tcPr>
            <w:tcW w:w="964" w:type="dxa"/>
            <w:vAlign w:val="center"/>
          </w:tcPr>
          <w:p w14:paraId="292374D8">
            <w:pPr>
              <w:pStyle w:val="11"/>
            </w:pPr>
          </w:p>
        </w:tc>
        <w:tc>
          <w:tcPr>
            <w:tcW w:w="964" w:type="dxa"/>
            <w:vAlign w:val="center"/>
          </w:tcPr>
          <w:p w14:paraId="0AA5872E">
            <w:pPr>
              <w:pStyle w:val="11"/>
            </w:pPr>
          </w:p>
        </w:tc>
        <w:tc>
          <w:tcPr>
            <w:tcW w:w="964" w:type="dxa"/>
            <w:vAlign w:val="center"/>
          </w:tcPr>
          <w:p w14:paraId="64D1E773">
            <w:pPr>
              <w:pStyle w:val="11"/>
            </w:pPr>
          </w:p>
        </w:tc>
        <w:tc>
          <w:tcPr>
            <w:tcW w:w="964" w:type="dxa"/>
            <w:vAlign w:val="center"/>
          </w:tcPr>
          <w:p w14:paraId="37CD52B7">
            <w:pPr>
              <w:pStyle w:val="11"/>
            </w:pPr>
            <w:r>
              <w:t>11.25</w:t>
            </w:r>
          </w:p>
        </w:tc>
      </w:tr>
      <w:tr w14:paraId="41B0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28FACB">
            <w:pPr>
              <w:pStyle w:val="12"/>
            </w:pPr>
            <w:r>
              <w:t>冀财教[2025]122号/中央/支持学前教育发展/城关校区幼儿园设备购置</w:t>
            </w:r>
          </w:p>
        </w:tc>
        <w:tc>
          <w:tcPr>
            <w:tcW w:w="964" w:type="dxa"/>
            <w:vAlign w:val="center"/>
          </w:tcPr>
          <w:p w14:paraId="47694E34">
            <w:pPr>
              <w:pStyle w:val="11"/>
            </w:pPr>
            <w:r>
              <w:t>82.71</w:t>
            </w:r>
          </w:p>
        </w:tc>
        <w:tc>
          <w:tcPr>
            <w:tcW w:w="1134" w:type="dxa"/>
            <w:vAlign w:val="center"/>
          </w:tcPr>
          <w:p w14:paraId="0E7E9FA7">
            <w:pPr>
              <w:pStyle w:val="12"/>
            </w:pPr>
            <w:r>
              <w:t>LED 显示屏</w:t>
            </w:r>
          </w:p>
        </w:tc>
        <w:tc>
          <w:tcPr>
            <w:tcW w:w="1134" w:type="dxa"/>
            <w:vAlign w:val="center"/>
          </w:tcPr>
          <w:p w14:paraId="6FADED0C">
            <w:pPr>
              <w:pStyle w:val="12"/>
            </w:pPr>
            <w:r>
              <w:t>A02021103</w:t>
            </w:r>
          </w:p>
        </w:tc>
        <w:tc>
          <w:tcPr>
            <w:tcW w:w="709" w:type="dxa"/>
            <w:vAlign w:val="center"/>
          </w:tcPr>
          <w:p w14:paraId="53E6D2FD">
            <w:pPr>
              <w:pStyle w:val="13"/>
            </w:pPr>
            <w:r>
              <w:t>万元</w:t>
            </w:r>
          </w:p>
        </w:tc>
        <w:tc>
          <w:tcPr>
            <w:tcW w:w="850" w:type="dxa"/>
            <w:vAlign w:val="center"/>
          </w:tcPr>
          <w:p w14:paraId="703361FF">
            <w:pPr>
              <w:pStyle w:val="11"/>
            </w:pPr>
            <w:r>
              <w:t>3</w:t>
            </w:r>
          </w:p>
        </w:tc>
        <w:tc>
          <w:tcPr>
            <w:tcW w:w="850" w:type="dxa"/>
            <w:vAlign w:val="center"/>
          </w:tcPr>
          <w:p w14:paraId="0B91451B">
            <w:pPr>
              <w:pStyle w:val="11"/>
            </w:pPr>
            <w:r>
              <w:t>0.15</w:t>
            </w:r>
          </w:p>
        </w:tc>
        <w:tc>
          <w:tcPr>
            <w:tcW w:w="964" w:type="dxa"/>
            <w:vAlign w:val="center"/>
          </w:tcPr>
          <w:p w14:paraId="365CC58C">
            <w:pPr>
              <w:pStyle w:val="11"/>
            </w:pPr>
            <w:r>
              <w:t>0.45</w:t>
            </w:r>
          </w:p>
        </w:tc>
        <w:tc>
          <w:tcPr>
            <w:tcW w:w="964" w:type="dxa"/>
            <w:vAlign w:val="center"/>
          </w:tcPr>
          <w:p w14:paraId="7B79AB87">
            <w:pPr>
              <w:pStyle w:val="11"/>
            </w:pPr>
            <w:r>
              <w:t>0.45</w:t>
            </w:r>
          </w:p>
        </w:tc>
        <w:tc>
          <w:tcPr>
            <w:tcW w:w="964" w:type="dxa"/>
            <w:vAlign w:val="center"/>
          </w:tcPr>
          <w:p w14:paraId="61AC61D9">
            <w:pPr>
              <w:pStyle w:val="11"/>
            </w:pPr>
          </w:p>
        </w:tc>
        <w:tc>
          <w:tcPr>
            <w:tcW w:w="964" w:type="dxa"/>
            <w:vAlign w:val="center"/>
          </w:tcPr>
          <w:p w14:paraId="0153E980">
            <w:pPr>
              <w:pStyle w:val="11"/>
            </w:pPr>
          </w:p>
        </w:tc>
        <w:tc>
          <w:tcPr>
            <w:tcW w:w="964" w:type="dxa"/>
            <w:vAlign w:val="center"/>
          </w:tcPr>
          <w:p w14:paraId="4CD2DCBA">
            <w:pPr>
              <w:pStyle w:val="11"/>
            </w:pPr>
          </w:p>
        </w:tc>
        <w:tc>
          <w:tcPr>
            <w:tcW w:w="964" w:type="dxa"/>
            <w:vAlign w:val="center"/>
          </w:tcPr>
          <w:p w14:paraId="393BAC73">
            <w:pPr>
              <w:pStyle w:val="11"/>
            </w:pPr>
          </w:p>
        </w:tc>
        <w:tc>
          <w:tcPr>
            <w:tcW w:w="964" w:type="dxa"/>
            <w:vAlign w:val="center"/>
          </w:tcPr>
          <w:p w14:paraId="498350D1">
            <w:pPr>
              <w:pStyle w:val="11"/>
            </w:pPr>
          </w:p>
        </w:tc>
        <w:tc>
          <w:tcPr>
            <w:tcW w:w="964" w:type="dxa"/>
            <w:vAlign w:val="center"/>
          </w:tcPr>
          <w:p w14:paraId="5B4A39A3">
            <w:pPr>
              <w:pStyle w:val="11"/>
            </w:pPr>
          </w:p>
        </w:tc>
        <w:tc>
          <w:tcPr>
            <w:tcW w:w="964" w:type="dxa"/>
            <w:vAlign w:val="center"/>
          </w:tcPr>
          <w:p w14:paraId="43347CD4">
            <w:pPr>
              <w:pStyle w:val="11"/>
            </w:pPr>
            <w:r>
              <w:t>0.45</w:t>
            </w:r>
          </w:p>
        </w:tc>
      </w:tr>
      <w:tr w14:paraId="7E91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E6410F">
            <w:pPr>
              <w:pStyle w:val="12"/>
            </w:pPr>
            <w:r>
              <w:t>冀财教[2025]122号/中央/支持学前教育发展/城关校区幼儿园设备购置</w:t>
            </w:r>
          </w:p>
        </w:tc>
        <w:tc>
          <w:tcPr>
            <w:tcW w:w="964" w:type="dxa"/>
            <w:vAlign w:val="center"/>
          </w:tcPr>
          <w:p w14:paraId="1E761BD1">
            <w:pPr>
              <w:pStyle w:val="11"/>
            </w:pPr>
            <w:r>
              <w:t>82.71</w:t>
            </w:r>
          </w:p>
        </w:tc>
        <w:tc>
          <w:tcPr>
            <w:tcW w:w="1134" w:type="dxa"/>
            <w:vAlign w:val="center"/>
          </w:tcPr>
          <w:p w14:paraId="3FB4C3F0">
            <w:pPr>
              <w:pStyle w:val="12"/>
            </w:pPr>
            <w:r>
              <w:t>办公桌</w:t>
            </w:r>
          </w:p>
        </w:tc>
        <w:tc>
          <w:tcPr>
            <w:tcW w:w="1134" w:type="dxa"/>
            <w:vAlign w:val="center"/>
          </w:tcPr>
          <w:p w14:paraId="4B57AE34">
            <w:pPr>
              <w:pStyle w:val="12"/>
            </w:pPr>
            <w:r>
              <w:t>A05010201</w:t>
            </w:r>
          </w:p>
        </w:tc>
        <w:tc>
          <w:tcPr>
            <w:tcW w:w="709" w:type="dxa"/>
            <w:vAlign w:val="center"/>
          </w:tcPr>
          <w:p w14:paraId="24B54E18">
            <w:pPr>
              <w:pStyle w:val="13"/>
            </w:pPr>
            <w:r>
              <w:t>万元</w:t>
            </w:r>
          </w:p>
        </w:tc>
        <w:tc>
          <w:tcPr>
            <w:tcW w:w="850" w:type="dxa"/>
            <w:vAlign w:val="center"/>
          </w:tcPr>
          <w:p w14:paraId="244857E1">
            <w:pPr>
              <w:pStyle w:val="11"/>
            </w:pPr>
            <w:r>
              <w:t>20</w:t>
            </w:r>
          </w:p>
        </w:tc>
        <w:tc>
          <w:tcPr>
            <w:tcW w:w="850" w:type="dxa"/>
            <w:vAlign w:val="center"/>
          </w:tcPr>
          <w:p w14:paraId="6ACB53E3">
            <w:pPr>
              <w:pStyle w:val="11"/>
            </w:pPr>
            <w:r>
              <w:t>0.11</w:t>
            </w:r>
          </w:p>
        </w:tc>
        <w:tc>
          <w:tcPr>
            <w:tcW w:w="964" w:type="dxa"/>
            <w:vAlign w:val="center"/>
          </w:tcPr>
          <w:p w14:paraId="6BD0336C">
            <w:pPr>
              <w:pStyle w:val="11"/>
            </w:pPr>
            <w:r>
              <w:t>2.16</w:t>
            </w:r>
          </w:p>
        </w:tc>
        <w:tc>
          <w:tcPr>
            <w:tcW w:w="964" w:type="dxa"/>
            <w:vAlign w:val="center"/>
          </w:tcPr>
          <w:p w14:paraId="19D2C0DF">
            <w:pPr>
              <w:pStyle w:val="11"/>
            </w:pPr>
            <w:r>
              <w:t>2.16</w:t>
            </w:r>
          </w:p>
        </w:tc>
        <w:tc>
          <w:tcPr>
            <w:tcW w:w="964" w:type="dxa"/>
            <w:vAlign w:val="center"/>
          </w:tcPr>
          <w:p w14:paraId="40B703DE">
            <w:pPr>
              <w:pStyle w:val="11"/>
            </w:pPr>
          </w:p>
        </w:tc>
        <w:tc>
          <w:tcPr>
            <w:tcW w:w="964" w:type="dxa"/>
            <w:vAlign w:val="center"/>
          </w:tcPr>
          <w:p w14:paraId="5A01C4D2">
            <w:pPr>
              <w:pStyle w:val="11"/>
            </w:pPr>
          </w:p>
        </w:tc>
        <w:tc>
          <w:tcPr>
            <w:tcW w:w="964" w:type="dxa"/>
            <w:vAlign w:val="center"/>
          </w:tcPr>
          <w:p w14:paraId="4B2E260E">
            <w:pPr>
              <w:pStyle w:val="11"/>
            </w:pPr>
          </w:p>
        </w:tc>
        <w:tc>
          <w:tcPr>
            <w:tcW w:w="964" w:type="dxa"/>
            <w:vAlign w:val="center"/>
          </w:tcPr>
          <w:p w14:paraId="4AA7D20E">
            <w:pPr>
              <w:pStyle w:val="11"/>
            </w:pPr>
          </w:p>
        </w:tc>
        <w:tc>
          <w:tcPr>
            <w:tcW w:w="964" w:type="dxa"/>
            <w:vAlign w:val="center"/>
          </w:tcPr>
          <w:p w14:paraId="08B0D8E8">
            <w:pPr>
              <w:pStyle w:val="11"/>
            </w:pPr>
          </w:p>
        </w:tc>
        <w:tc>
          <w:tcPr>
            <w:tcW w:w="964" w:type="dxa"/>
            <w:vAlign w:val="center"/>
          </w:tcPr>
          <w:p w14:paraId="6C2C3530">
            <w:pPr>
              <w:pStyle w:val="11"/>
            </w:pPr>
          </w:p>
        </w:tc>
        <w:tc>
          <w:tcPr>
            <w:tcW w:w="964" w:type="dxa"/>
            <w:vAlign w:val="center"/>
          </w:tcPr>
          <w:p w14:paraId="4E8DC192">
            <w:pPr>
              <w:pStyle w:val="11"/>
            </w:pPr>
            <w:r>
              <w:t>2.16</w:t>
            </w:r>
          </w:p>
        </w:tc>
      </w:tr>
      <w:tr w14:paraId="51DB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34030D">
            <w:pPr>
              <w:pStyle w:val="12"/>
            </w:pPr>
            <w:r>
              <w:t>冀财教[2025]147号/省级/2026年义教补助经费/城关校区东甫小学公用经费</w:t>
            </w:r>
          </w:p>
        </w:tc>
        <w:tc>
          <w:tcPr>
            <w:tcW w:w="964" w:type="dxa"/>
            <w:vAlign w:val="center"/>
          </w:tcPr>
          <w:p w14:paraId="3F08D42A">
            <w:pPr>
              <w:pStyle w:val="11"/>
            </w:pPr>
            <w:r>
              <w:t>53.40</w:t>
            </w:r>
          </w:p>
        </w:tc>
        <w:tc>
          <w:tcPr>
            <w:tcW w:w="1134" w:type="dxa"/>
            <w:vAlign w:val="center"/>
          </w:tcPr>
          <w:p w14:paraId="5D882EDD">
            <w:pPr>
              <w:pStyle w:val="12"/>
            </w:pPr>
            <w:r>
              <w:t>触控一体机</w:t>
            </w:r>
          </w:p>
        </w:tc>
        <w:tc>
          <w:tcPr>
            <w:tcW w:w="1134" w:type="dxa"/>
            <w:vAlign w:val="center"/>
          </w:tcPr>
          <w:p w14:paraId="51238EA6">
            <w:pPr>
              <w:pStyle w:val="12"/>
            </w:pPr>
            <w:r>
              <w:t>A02020800</w:t>
            </w:r>
          </w:p>
        </w:tc>
        <w:tc>
          <w:tcPr>
            <w:tcW w:w="709" w:type="dxa"/>
            <w:vAlign w:val="center"/>
          </w:tcPr>
          <w:p w14:paraId="41BF104C">
            <w:pPr>
              <w:pStyle w:val="13"/>
            </w:pPr>
            <w:r>
              <w:t>台</w:t>
            </w:r>
          </w:p>
        </w:tc>
        <w:tc>
          <w:tcPr>
            <w:tcW w:w="850" w:type="dxa"/>
            <w:vAlign w:val="center"/>
          </w:tcPr>
          <w:p w14:paraId="20FB9CA1">
            <w:pPr>
              <w:pStyle w:val="11"/>
            </w:pPr>
            <w:r>
              <w:t>4</w:t>
            </w:r>
          </w:p>
        </w:tc>
        <w:tc>
          <w:tcPr>
            <w:tcW w:w="850" w:type="dxa"/>
            <w:vAlign w:val="center"/>
          </w:tcPr>
          <w:p w14:paraId="2A1CB493">
            <w:pPr>
              <w:pStyle w:val="11"/>
            </w:pPr>
            <w:r>
              <w:t>2.00</w:t>
            </w:r>
          </w:p>
        </w:tc>
        <w:tc>
          <w:tcPr>
            <w:tcW w:w="964" w:type="dxa"/>
            <w:vAlign w:val="center"/>
          </w:tcPr>
          <w:p w14:paraId="6CE71456">
            <w:pPr>
              <w:pStyle w:val="11"/>
            </w:pPr>
            <w:r>
              <w:t>8.00</w:t>
            </w:r>
          </w:p>
        </w:tc>
        <w:tc>
          <w:tcPr>
            <w:tcW w:w="964" w:type="dxa"/>
            <w:vAlign w:val="center"/>
          </w:tcPr>
          <w:p w14:paraId="2EE8B475">
            <w:pPr>
              <w:pStyle w:val="11"/>
            </w:pPr>
            <w:r>
              <w:t>8.00</w:t>
            </w:r>
          </w:p>
        </w:tc>
        <w:tc>
          <w:tcPr>
            <w:tcW w:w="964" w:type="dxa"/>
            <w:vAlign w:val="center"/>
          </w:tcPr>
          <w:p w14:paraId="6257BDF9">
            <w:pPr>
              <w:pStyle w:val="11"/>
            </w:pPr>
          </w:p>
        </w:tc>
        <w:tc>
          <w:tcPr>
            <w:tcW w:w="964" w:type="dxa"/>
            <w:vAlign w:val="center"/>
          </w:tcPr>
          <w:p w14:paraId="0E138EA7">
            <w:pPr>
              <w:pStyle w:val="11"/>
            </w:pPr>
          </w:p>
        </w:tc>
        <w:tc>
          <w:tcPr>
            <w:tcW w:w="964" w:type="dxa"/>
            <w:vAlign w:val="center"/>
          </w:tcPr>
          <w:p w14:paraId="6F1DCA82">
            <w:pPr>
              <w:pStyle w:val="11"/>
            </w:pPr>
          </w:p>
        </w:tc>
        <w:tc>
          <w:tcPr>
            <w:tcW w:w="964" w:type="dxa"/>
            <w:vAlign w:val="center"/>
          </w:tcPr>
          <w:p w14:paraId="7174F03A">
            <w:pPr>
              <w:pStyle w:val="11"/>
            </w:pPr>
          </w:p>
        </w:tc>
        <w:tc>
          <w:tcPr>
            <w:tcW w:w="964" w:type="dxa"/>
            <w:vAlign w:val="center"/>
          </w:tcPr>
          <w:p w14:paraId="6E351CB2">
            <w:pPr>
              <w:pStyle w:val="11"/>
            </w:pPr>
          </w:p>
        </w:tc>
        <w:tc>
          <w:tcPr>
            <w:tcW w:w="964" w:type="dxa"/>
            <w:vAlign w:val="center"/>
          </w:tcPr>
          <w:p w14:paraId="4D509D64">
            <w:pPr>
              <w:pStyle w:val="11"/>
            </w:pPr>
          </w:p>
        </w:tc>
        <w:tc>
          <w:tcPr>
            <w:tcW w:w="964" w:type="dxa"/>
            <w:vAlign w:val="center"/>
          </w:tcPr>
          <w:p w14:paraId="44B46E81">
            <w:pPr>
              <w:pStyle w:val="11"/>
            </w:pPr>
            <w:r>
              <w:t>8.00</w:t>
            </w:r>
          </w:p>
        </w:tc>
      </w:tr>
      <w:tr w14:paraId="71A7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CCDE25">
            <w:pPr>
              <w:pStyle w:val="12"/>
            </w:pPr>
            <w:r>
              <w:t>冀财教[2025]149号/省级/2026年学前发展资金/城关校区学前教育公用经费</w:t>
            </w:r>
          </w:p>
        </w:tc>
        <w:tc>
          <w:tcPr>
            <w:tcW w:w="964" w:type="dxa"/>
            <w:vAlign w:val="center"/>
          </w:tcPr>
          <w:p w14:paraId="19C4BBE8">
            <w:pPr>
              <w:pStyle w:val="11"/>
            </w:pPr>
            <w:r>
              <w:t>45.48</w:t>
            </w:r>
          </w:p>
        </w:tc>
        <w:tc>
          <w:tcPr>
            <w:tcW w:w="1134" w:type="dxa"/>
            <w:vAlign w:val="center"/>
          </w:tcPr>
          <w:p w14:paraId="39CAEDF5">
            <w:pPr>
              <w:pStyle w:val="12"/>
            </w:pPr>
            <w:r>
              <w:t>文件柜</w:t>
            </w:r>
          </w:p>
        </w:tc>
        <w:tc>
          <w:tcPr>
            <w:tcW w:w="1134" w:type="dxa"/>
            <w:vAlign w:val="center"/>
          </w:tcPr>
          <w:p w14:paraId="6B6C13D9">
            <w:pPr>
              <w:pStyle w:val="12"/>
            </w:pPr>
            <w:r>
              <w:t>A05010502</w:t>
            </w:r>
          </w:p>
        </w:tc>
        <w:tc>
          <w:tcPr>
            <w:tcW w:w="709" w:type="dxa"/>
            <w:vAlign w:val="center"/>
          </w:tcPr>
          <w:p w14:paraId="57547487">
            <w:pPr>
              <w:pStyle w:val="13"/>
            </w:pPr>
            <w:r>
              <w:t>组</w:t>
            </w:r>
          </w:p>
        </w:tc>
        <w:tc>
          <w:tcPr>
            <w:tcW w:w="850" w:type="dxa"/>
            <w:vAlign w:val="center"/>
          </w:tcPr>
          <w:p w14:paraId="51730E41">
            <w:pPr>
              <w:pStyle w:val="11"/>
            </w:pPr>
            <w:r>
              <w:t>10</w:t>
            </w:r>
          </w:p>
        </w:tc>
        <w:tc>
          <w:tcPr>
            <w:tcW w:w="850" w:type="dxa"/>
            <w:vAlign w:val="center"/>
          </w:tcPr>
          <w:p w14:paraId="17888D93">
            <w:pPr>
              <w:pStyle w:val="11"/>
            </w:pPr>
            <w:r>
              <w:t>0.25</w:t>
            </w:r>
          </w:p>
        </w:tc>
        <w:tc>
          <w:tcPr>
            <w:tcW w:w="964" w:type="dxa"/>
            <w:vAlign w:val="center"/>
          </w:tcPr>
          <w:p w14:paraId="4701EA5A">
            <w:pPr>
              <w:pStyle w:val="11"/>
            </w:pPr>
            <w:r>
              <w:t>2.50</w:t>
            </w:r>
          </w:p>
        </w:tc>
        <w:tc>
          <w:tcPr>
            <w:tcW w:w="964" w:type="dxa"/>
            <w:vAlign w:val="center"/>
          </w:tcPr>
          <w:p w14:paraId="0D50530F">
            <w:pPr>
              <w:pStyle w:val="11"/>
            </w:pPr>
            <w:r>
              <w:t>2.50</w:t>
            </w:r>
          </w:p>
        </w:tc>
        <w:tc>
          <w:tcPr>
            <w:tcW w:w="964" w:type="dxa"/>
            <w:vAlign w:val="center"/>
          </w:tcPr>
          <w:p w14:paraId="5C080576">
            <w:pPr>
              <w:pStyle w:val="11"/>
            </w:pPr>
          </w:p>
        </w:tc>
        <w:tc>
          <w:tcPr>
            <w:tcW w:w="964" w:type="dxa"/>
            <w:vAlign w:val="center"/>
          </w:tcPr>
          <w:p w14:paraId="24BB9D1D">
            <w:pPr>
              <w:pStyle w:val="11"/>
            </w:pPr>
          </w:p>
        </w:tc>
        <w:tc>
          <w:tcPr>
            <w:tcW w:w="964" w:type="dxa"/>
            <w:vAlign w:val="center"/>
          </w:tcPr>
          <w:p w14:paraId="167E9653">
            <w:pPr>
              <w:pStyle w:val="11"/>
            </w:pPr>
          </w:p>
        </w:tc>
        <w:tc>
          <w:tcPr>
            <w:tcW w:w="964" w:type="dxa"/>
            <w:vAlign w:val="center"/>
          </w:tcPr>
          <w:p w14:paraId="4DAA6172">
            <w:pPr>
              <w:pStyle w:val="11"/>
            </w:pPr>
          </w:p>
        </w:tc>
        <w:tc>
          <w:tcPr>
            <w:tcW w:w="964" w:type="dxa"/>
            <w:vAlign w:val="center"/>
          </w:tcPr>
          <w:p w14:paraId="68F33DED">
            <w:pPr>
              <w:pStyle w:val="11"/>
            </w:pPr>
          </w:p>
        </w:tc>
        <w:tc>
          <w:tcPr>
            <w:tcW w:w="964" w:type="dxa"/>
            <w:vAlign w:val="center"/>
          </w:tcPr>
          <w:p w14:paraId="60B93B7F">
            <w:pPr>
              <w:pStyle w:val="11"/>
            </w:pPr>
          </w:p>
        </w:tc>
        <w:tc>
          <w:tcPr>
            <w:tcW w:w="964" w:type="dxa"/>
            <w:vAlign w:val="center"/>
          </w:tcPr>
          <w:p w14:paraId="72D0043F">
            <w:pPr>
              <w:pStyle w:val="11"/>
            </w:pPr>
            <w:r>
              <w:t>2.50</w:t>
            </w:r>
          </w:p>
        </w:tc>
      </w:tr>
      <w:tr w14:paraId="3AC2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4E5E5E">
            <w:pPr>
              <w:pStyle w:val="12"/>
            </w:pPr>
            <w:r>
              <w:t>冀财教[2025]149号/省级/支持学前教育发展/柳行幼儿园活动室设备购置</w:t>
            </w:r>
          </w:p>
        </w:tc>
        <w:tc>
          <w:tcPr>
            <w:tcW w:w="964" w:type="dxa"/>
            <w:vAlign w:val="center"/>
          </w:tcPr>
          <w:p w14:paraId="4948B135">
            <w:pPr>
              <w:pStyle w:val="11"/>
            </w:pPr>
            <w:r>
              <w:t>28.00</w:t>
            </w:r>
          </w:p>
        </w:tc>
        <w:tc>
          <w:tcPr>
            <w:tcW w:w="1134" w:type="dxa"/>
            <w:vAlign w:val="center"/>
          </w:tcPr>
          <w:p w14:paraId="34FA8429">
            <w:pPr>
              <w:pStyle w:val="12"/>
            </w:pPr>
            <w:r>
              <w:t>LED 显示屏</w:t>
            </w:r>
          </w:p>
        </w:tc>
        <w:tc>
          <w:tcPr>
            <w:tcW w:w="1134" w:type="dxa"/>
            <w:vAlign w:val="center"/>
          </w:tcPr>
          <w:p w14:paraId="187FFF15">
            <w:pPr>
              <w:pStyle w:val="12"/>
            </w:pPr>
            <w:r>
              <w:t>A02021103</w:t>
            </w:r>
          </w:p>
        </w:tc>
        <w:tc>
          <w:tcPr>
            <w:tcW w:w="709" w:type="dxa"/>
            <w:vAlign w:val="center"/>
          </w:tcPr>
          <w:p w14:paraId="144770AA">
            <w:pPr>
              <w:pStyle w:val="13"/>
            </w:pPr>
            <w:r>
              <w:t>万元</w:t>
            </w:r>
          </w:p>
        </w:tc>
        <w:tc>
          <w:tcPr>
            <w:tcW w:w="850" w:type="dxa"/>
            <w:vAlign w:val="center"/>
          </w:tcPr>
          <w:p w14:paraId="00D46B02">
            <w:pPr>
              <w:pStyle w:val="11"/>
            </w:pPr>
            <w:r>
              <w:t>23</w:t>
            </w:r>
          </w:p>
        </w:tc>
        <w:tc>
          <w:tcPr>
            <w:tcW w:w="850" w:type="dxa"/>
            <w:vAlign w:val="center"/>
          </w:tcPr>
          <w:p w14:paraId="76786EF6">
            <w:pPr>
              <w:pStyle w:val="11"/>
            </w:pPr>
            <w:r>
              <w:t>0.50</w:t>
            </w:r>
          </w:p>
        </w:tc>
        <w:tc>
          <w:tcPr>
            <w:tcW w:w="964" w:type="dxa"/>
            <w:vAlign w:val="center"/>
          </w:tcPr>
          <w:p w14:paraId="1EADBF6E">
            <w:pPr>
              <w:pStyle w:val="11"/>
            </w:pPr>
            <w:r>
              <w:t>11.50</w:t>
            </w:r>
          </w:p>
        </w:tc>
        <w:tc>
          <w:tcPr>
            <w:tcW w:w="964" w:type="dxa"/>
            <w:vAlign w:val="center"/>
          </w:tcPr>
          <w:p w14:paraId="79BEDF8A">
            <w:pPr>
              <w:pStyle w:val="11"/>
            </w:pPr>
            <w:r>
              <w:t>11.50</w:t>
            </w:r>
          </w:p>
        </w:tc>
        <w:tc>
          <w:tcPr>
            <w:tcW w:w="964" w:type="dxa"/>
            <w:vAlign w:val="center"/>
          </w:tcPr>
          <w:p w14:paraId="1B5D498A">
            <w:pPr>
              <w:pStyle w:val="11"/>
            </w:pPr>
          </w:p>
        </w:tc>
        <w:tc>
          <w:tcPr>
            <w:tcW w:w="964" w:type="dxa"/>
            <w:vAlign w:val="center"/>
          </w:tcPr>
          <w:p w14:paraId="1778918A">
            <w:pPr>
              <w:pStyle w:val="11"/>
            </w:pPr>
          </w:p>
        </w:tc>
        <w:tc>
          <w:tcPr>
            <w:tcW w:w="964" w:type="dxa"/>
            <w:vAlign w:val="center"/>
          </w:tcPr>
          <w:p w14:paraId="251E9526">
            <w:pPr>
              <w:pStyle w:val="11"/>
            </w:pPr>
          </w:p>
        </w:tc>
        <w:tc>
          <w:tcPr>
            <w:tcW w:w="964" w:type="dxa"/>
            <w:vAlign w:val="center"/>
          </w:tcPr>
          <w:p w14:paraId="63DC5590">
            <w:pPr>
              <w:pStyle w:val="11"/>
            </w:pPr>
          </w:p>
        </w:tc>
        <w:tc>
          <w:tcPr>
            <w:tcW w:w="964" w:type="dxa"/>
            <w:vAlign w:val="center"/>
          </w:tcPr>
          <w:p w14:paraId="55F03BC7">
            <w:pPr>
              <w:pStyle w:val="11"/>
            </w:pPr>
          </w:p>
        </w:tc>
        <w:tc>
          <w:tcPr>
            <w:tcW w:w="964" w:type="dxa"/>
            <w:vAlign w:val="center"/>
          </w:tcPr>
          <w:p w14:paraId="506A594C">
            <w:pPr>
              <w:pStyle w:val="11"/>
            </w:pPr>
          </w:p>
        </w:tc>
        <w:tc>
          <w:tcPr>
            <w:tcW w:w="964" w:type="dxa"/>
            <w:vAlign w:val="center"/>
          </w:tcPr>
          <w:p w14:paraId="16EBB02B">
            <w:pPr>
              <w:pStyle w:val="11"/>
            </w:pPr>
            <w:r>
              <w:t>11.50</w:t>
            </w:r>
          </w:p>
        </w:tc>
      </w:tr>
      <w:tr w14:paraId="5BA3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F27F9">
            <w:pPr>
              <w:pStyle w:val="12"/>
            </w:pPr>
            <w:r>
              <w:t>冀财教[2025]149号/省级/支持学前教育发展/柳行幼儿园活动室设备购置</w:t>
            </w:r>
          </w:p>
        </w:tc>
        <w:tc>
          <w:tcPr>
            <w:tcW w:w="964" w:type="dxa"/>
            <w:vAlign w:val="center"/>
          </w:tcPr>
          <w:p w14:paraId="657FAB34">
            <w:pPr>
              <w:pStyle w:val="11"/>
            </w:pPr>
            <w:r>
              <w:t>28.00</w:t>
            </w:r>
          </w:p>
        </w:tc>
        <w:tc>
          <w:tcPr>
            <w:tcW w:w="1134" w:type="dxa"/>
            <w:vAlign w:val="center"/>
          </w:tcPr>
          <w:p w14:paraId="62B5D20E">
            <w:pPr>
              <w:pStyle w:val="12"/>
            </w:pPr>
            <w:r>
              <w:t>会议桌</w:t>
            </w:r>
          </w:p>
        </w:tc>
        <w:tc>
          <w:tcPr>
            <w:tcW w:w="1134" w:type="dxa"/>
            <w:vAlign w:val="center"/>
          </w:tcPr>
          <w:p w14:paraId="362A4E4E">
            <w:pPr>
              <w:pStyle w:val="12"/>
            </w:pPr>
            <w:r>
              <w:t>A05010202</w:t>
            </w:r>
          </w:p>
        </w:tc>
        <w:tc>
          <w:tcPr>
            <w:tcW w:w="709" w:type="dxa"/>
            <w:vAlign w:val="center"/>
          </w:tcPr>
          <w:p w14:paraId="24C8EA17">
            <w:pPr>
              <w:pStyle w:val="13"/>
            </w:pPr>
            <w:r>
              <w:t>万元</w:t>
            </w:r>
          </w:p>
        </w:tc>
        <w:tc>
          <w:tcPr>
            <w:tcW w:w="850" w:type="dxa"/>
            <w:vAlign w:val="center"/>
          </w:tcPr>
          <w:p w14:paraId="409E42FF">
            <w:pPr>
              <w:pStyle w:val="11"/>
            </w:pPr>
            <w:r>
              <w:t>120</w:t>
            </w:r>
          </w:p>
        </w:tc>
        <w:tc>
          <w:tcPr>
            <w:tcW w:w="850" w:type="dxa"/>
            <w:vAlign w:val="center"/>
          </w:tcPr>
          <w:p w14:paraId="56BD83FC">
            <w:pPr>
              <w:pStyle w:val="11"/>
            </w:pPr>
            <w:r>
              <w:t>0.04</w:t>
            </w:r>
          </w:p>
        </w:tc>
        <w:tc>
          <w:tcPr>
            <w:tcW w:w="964" w:type="dxa"/>
            <w:vAlign w:val="center"/>
          </w:tcPr>
          <w:p w14:paraId="14E825B0">
            <w:pPr>
              <w:pStyle w:val="11"/>
            </w:pPr>
            <w:r>
              <w:t>4.56</w:t>
            </w:r>
          </w:p>
        </w:tc>
        <w:tc>
          <w:tcPr>
            <w:tcW w:w="964" w:type="dxa"/>
            <w:vAlign w:val="center"/>
          </w:tcPr>
          <w:p w14:paraId="60125CE9">
            <w:pPr>
              <w:pStyle w:val="11"/>
            </w:pPr>
            <w:r>
              <w:t>4.56</w:t>
            </w:r>
          </w:p>
        </w:tc>
        <w:tc>
          <w:tcPr>
            <w:tcW w:w="964" w:type="dxa"/>
            <w:vAlign w:val="center"/>
          </w:tcPr>
          <w:p w14:paraId="23CED329">
            <w:pPr>
              <w:pStyle w:val="11"/>
            </w:pPr>
          </w:p>
        </w:tc>
        <w:tc>
          <w:tcPr>
            <w:tcW w:w="964" w:type="dxa"/>
            <w:vAlign w:val="center"/>
          </w:tcPr>
          <w:p w14:paraId="4C71C567">
            <w:pPr>
              <w:pStyle w:val="11"/>
            </w:pPr>
          </w:p>
        </w:tc>
        <w:tc>
          <w:tcPr>
            <w:tcW w:w="964" w:type="dxa"/>
            <w:vAlign w:val="center"/>
          </w:tcPr>
          <w:p w14:paraId="3EF75BC3">
            <w:pPr>
              <w:pStyle w:val="11"/>
            </w:pPr>
          </w:p>
        </w:tc>
        <w:tc>
          <w:tcPr>
            <w:tcW w:w="964" w:type="dxa"/>
            <w:vAlign w:val="center"/>
          </w:tcPr>
          <w:p w14:paraId="74F0A687">
            <w:pPr>
              <w:pStyle w:val="11"/>
            </w:pPr>
          </w:p>
        </w:tc>
        <w:tc>
          <w:tcPr>
            <w:tcW w:w="964" w:type="dxa"/>
            <w:vAlign w:val="center"/>
          </w:tcPr>
          <w:p w14:paraId="79075B5E">
            <w:pPr>
              <w:pStyle w:val="11"/>
            </w:pPr>
          </w:p>
        </w:tc>
        <w:tc>
          <w:tcPr>
            <w:tcW w:w="964" w:type="dxa"/>
            <w:vAlign w:val="center"/>
          </w:tcPr>
          <w:p w14:paraId="2115CB48">
            <w:pPr>
              <w:pStyle w:val="11"/>
            </w:pPr>
          </w:p>
        </w:tc>
        <w:tc>
          <w:tcPr>
            <w:tcW w:w="964" w:type="dxa"/>
            <w:vAlign w:val="center"/>
          </w:tcPr>
          <w:p w14:paraId="7A341F5D">
            <w:pPr>
              <w:pStyle w:val="11"/>
            </w:pPr>
            <w:r>
              <w:t>4.56</w:t>
            </w:r>
          </w:p>
        </w:tc>
      </w:tr>
      <w:tr w14:paraId="2659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BC7528">
            <w:pPr>
              <w:pStyle w:val="12"/>
            </w:pPr>
            <w:r>
              <w:t>冀财教[2025]149号/省级/支持学前教育发展/柳行幼儿园活动室设备购置</w:t>
            </w:r>
          </w:p>
        </w:tc>
        <w:tc>
          <w:tcPr>
            <w:tcW w:w="964" w:type="dxa"/>
            <w:vAlign w:val="center"/>
          </w:tcPr>
          <w:p w14:paraId="23AEC9C2">
            <w:pPr>
              <w:pStyle w:val="11"/>
            </w:pPr>
            <w:r>
              <w:t>28.00</w:t>
            </w:r>
          </w:p>
        </w:tc>
        <w:tc>
          <w:tcPr>
            <w:tcW w:w="1134" w:type="dxa"/>
            <w:vAlign w:val="center"/>
          </w:tcPr>
          <w:p w14:paraId="3A4BDD03">
            <w:pPr>
              <w:pStyle w:val="12"/>
            </w:pPr>
            <w:r>
              <w:t>会议椅</w:t>
            </w:r>
          </w:p>
        </w:tc>
        <w:tc>
          <w:tcPr>
            <w:tcW w:w="1134" w:type="dxa"/>
            <w:vAlign w:val="center"/>
          </w:tcPr>
          <w:p w14:paraId="4FCE3D0B">
            <w:pPr>
              <w:pStyle w:val="12"/>
            </w:pPr>
            <w:r>
              <w:t>A05010303</w:t>
            </w:r>
          </w:p>
        </w:tc>
        <w:tc>
          <w:tcPr>
            <w:tcW w:w="709" w:type="dxa"/>
            <w:vAlign w:val="center"/>
          </w:tcPr>
          <w:p w14:paraId="45FC6A10">
            <w:pPr>
              <w:pStyle w:val="13"/>
            </w:pPr>
            <w:r>
              <w:t>万元</w:t>
            </w:r>
          </w:p>
        </w:tc>
        <w:tc>
          <w:tcPr>
            <w:tcW w:w="850" w:type="dxa"/>
            <w:vAlign w:val="center"/>
          </w:tcPr>
          <w:p w14:paraId="00AFD923">
            <w:pPr>
              <w:pStyle w:val="11"/>
            </w:pPr>
            <w:r>
              <w:t>240</w:t>
            </w:r>
          </w:p>
        </w:tc>
        <w:tc>
          <w:tcPr>
            <w:tcW w:w="850" w:type="dxa"/>
            <w:vAlign w:val="center"/>
          </w:tcPr>
          <w:p w14:paraId="56D4F67F">
            <w:pPr>
              <w:pStyle w:val="11"/>
            </w:pPr>
            <w:r>
              <w:t>0.02</w:t>
            </w:r>
          </w:p>
        </w:tc>
        <w:tc>
          <w:tcPr>
            <w:tcW w:w="964" w:type="dxa"/>
            <w:vAlign w:val="center"/>
          </w:tcPr>
          <w:p w14:paraId="4815A8D5">
            <w:pPr>
              <w:pStyle w:val="11"/>
            </w:pPr>
            <w:r>
              <w:t>5.88</w:t>
            </w:r>
          </w:p>
        </w:tc>
        <w:tc>
          <w:tcPr>
            <w:tcW w:w="964" w:type="dxa"/>
            <w:vAlign w:val="center"/>
          </w:tcPr>
          <w:p w14:paraId="7ABEC290">
            <w:pPr>
              <w:pStyle w:val="11"/>
            </w:pPr>
            <w:r>
              <w:t>5.88</w:t>
            </w:r>
          </w:p>
        </w:tc>
        <w:tc>
          <w:tcPr>
            <w:tcW w:w="964" w:type="dxa"/>
            <w:vAlign w:val="center"/>
          </w:tcPr>
          <w:p w14:paraId="3598C89C">
            <w:pPr>
              <w:pStyle w:val="11"/>
            </w:pPr>
          </w:p>
        </w:tc>
        <w:tc>
          <w:tcPr>
            <w:tcW w:w="964" w:type="dxa"/>
            <w:vAlign w:val="center"/>
          </w:tcPr>
          <w:p w14:paraId="536F0A8E">
            <w:pPr>
              <w:pStyle w:val="11"/>
            </w:pPr>
          </w:p>
        </w:tc>
        <w:tc>
          <w:tcPr>
            <w:tcW w:w="964" w:type="dxa"/>
            <w:vAlign w:val="center"/>
          </w:tcPr>
          <w:p w14:paraId="7B8228AA">
            <w:pPr>
              <w:pStyle w:val="11"/>
            </w:pPr>
          </w:p>
        </w:tc>
        <w:tc>
          <w:tcPr>
            <w:tcW w:w="964" w:type="dxa"/>
            <w:vAlign w:val="center"/>
          </w:tcPr>
          <w:p w14:paraId="315B45FC">
            <w:pPr>
              <w:pStyle w:val="11"/>
            </w:pPr>
          </w:p>
        </w:tc>
        <w:tc>
          <w:tcPr>
            <w:tcW w:w="964" w:type="dxa"/>
            <w:vAlign w:val="center"/>
          </w:tcPr>
          <w:p w14:paraId="1E37A89F">
            <w:pPr>
              <w:pStyle w:val="11"/>
            </w:pPr>
          </w:p>
        </w:tc>
        <w:tc>
          <w:tcPr>
            <w:tcW w:w="964" w:type="dxa"/>
            <w:vAlign w:val="center"/>
          </w:tcPr>
          <w:p w14:paraId="319A60F5">
            <w:pPr>
              <w:pStyle w:val="11"/>
            </w:pPr>
          </w:p>
        </w:tc>
        <w:tc>
          <w:tcPr>
            <w:tcW w:w="964" w:type="dxa"/>
            <w:vAlign w:val="center"/>
          </w:tcPr>
          <w:p w14:paraId="48DD50DD">
            <w:pPr>
              <w:pStyle w:val="11"/>
            </w:pPr>
            <w:r>
              <w:t>5.88</w:t>
            </w:r>
          </w:p>
        </w:tc>
      </w:tr>
      <w:tr w14:paraId="50A3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44B5E">
            <w:pPr>
              <w:pStyle w:val="12"/>
            </w:pPr>
            <w:r>
              <w:t>县级资金/2024年城关校区学前教育公用经费</w:t>
            </w:r>
          </w:p>
        </w:tc>
        <w:tc>
          <w:tcPr>
            <w:tcW w:w="964" w:type="dxa"/>
            <w:vAlign w:val="center"/>
          </w:tcPr>
          <w:p w14:paraId="7956C26C">
            <w:pPr>
              <w:pStyle w:val="11"/>
            </w:pPr>
            <w:r>
              <w:t>136.08</w:t>
            </w:r>
          </w:p>
        </w:tc>
        <w:tc>
          <w:tcPr>
            <w:tcW w:w="1134" w:type="dxa"/>
            <w:vAlign w:val="center"/>
          </w:tcPr>
          <w:p w14:paraId="513C124B">
            <w:pPr>
              <w:pStyle w:val="12"/>
            </w:pPr>
            <w:r>
              <w:t>台式计算机</w:t>
            </w:r>
          </w:p>
        </w:tc>
        <w:tc>
          <w:tcPr>
            <w:tcW w:w="1134" w:type="dxa"/>
            <w:vAlign w:val="center"/>
          </w:tcPr>
          <w:p w14:paraId="2ACB36DF">
            <w:pPr>
              <w:pStyle w:val="12"/>
            </w:pPr>
            <w:r>
              <w:t>A02010105</w:t>
            </w:r>
          </w:p>
        </w:tc>
        <w:tc>
          <w:tcPr>
            <w:tcW w:w="709" w:type="dxa"/>
            <w:vAlign w:val="center"/>
          </w:tcPr>
          <w:p w14:paraId="4A5DD974">
            <w:pPr>
              <w:pStyle w:val="13"/>
            </w:pPr>
            <w:r>
              <w:t>台</w:t>
            </w:r>
          </w:p>
        </w:tc>
        <w:tc>
          <w:tcPr>
            <w:tcW w:w="850" w:type="dxa"/>
            <w:vAlign w:val="center"/>
          </w:tcPr>
          <w:p w14:paraId="615F155F">
            <w:pPr>
              <w:pStyle w:val="11"/>
            </w:pPr>
            <w:r>
              <w:t>5</w:t>
            </w:r>
          </w:p>
        </w:tc>
        <w:tc>
          <w:tcPr>
            <w:tcW w:w="850" w:type="dxa"/>
            <w:vAlign w:val="center"/>
          </w:tcPr>
          <w:p w14:paraId="5B348297">
            <w:pPr>
              <w:pStyle w:val="11"/>
            </w:pPr>
            <w:r>
              <w:t>0.40</w:t>
            </w:r>
          </w:p>
        </w:tc>
        <w:tc>
          <w:tcPr>
            <w:tcW w:w="964" w:type="dxa"/>
            <w:vAlign w:val="center"/>
          </w:tcPr>
          <w:p w14:paraId="73ABCA4F">
            <w:pPr>
              <w:pStyle w:val="11"/>
            </w:pPr>
            <w:r>
              <w:t>2.00</w:t>
            </w:r>
          </w:p>
        </w:tc>
        <w:tc>
          <w:tcPr>
            <w:tcW w:w="964" w:type="dxa"/>
            <w:vAlign w:val="center"/>
          </w:tcPr>
          <w:p w14:paraId="0970A3DB">
            <w:pPr>
              <w:pStyle w:val="11"/>
            </w:pPr>
            <w:r>
              <w:t>2.00</w:t>
            </w:r>
          </w:p>
        </w:tc>
        <w:tc>
          <w:tcPr>
            <w:tcW w:w="964" w:type="dxa"/>
            <w:vAlign w:val="center"/>
          </w:tcPr>
          <w:p w14:paraId="1103606B">
            <w:pPr>
              <w:pStyle w:val="11"/>
            </w:pPr>
          </w:p>
        </w:tc>
        <w:tc>
          <w:tcPr>
            <w:tcW w:w="964" w:type="dxa"/>
            <w:vAlign w:val="center"/>
          </w:tcPr>
          <w:p w14:paraId="131F5ED1">
            <w:pPr>
              <w:pStyle w:val="11"/>
            </w:pPr>
          </w:p>
        </w:tc>
        <w:tc>
          <w:tcPr>
            <w:tcW w:w="964" w:type="dxa"/>
            <w:vAlign w:val="center"/>
          </w:tcPr>
          <w:p w14:paraId="1DB3D977">
            <w:pPr>
              <w:pStyle w:val="11"/>
            </w:pPr>
          </w:p>
        </w:tc>
        <w:tc>
          <w:tcPr>
            <w:tcW w:w="964" w:type="dxa"/>
            <w:vAlign w:val="center"/>
          </w:tcPr>
          <w:p w14:paraId="46483895">
            <w:pPr>
              <w:pStyle w:val="11"/>
            </w:pPr>
          </w:p>
        </w:tc>
        <w:tc>
          <w:tcPr>
            <w:tcW w:w="964" w:type="dxa"/>
            <w:vAlign w:val="center"/>
          </w:tcPr>
          <w:p w14:paraId="06645B0D">
            <w:pPr>
              <w:pStyle w:val="11"/>
            </w:pPr>
          </w:p>
        </w:tc>
        <w:tc>
          <w:tcPr>
            <w:tcW w:w="964" w:type="dxa"/>
            <w:vAlign w:val="center"/>
          </w:tcPr>
          <w:p w14:paraId="1208200A">
            <w:pPr>
              <w:pStyle w:val="11"/>
            </w:pPr>
          </w:p>
        </w:tc>
        <w:tc>
          <w:tcPr>
            <w:tcW w:w="964" w:type="dxa"/>
            <w:vAlign w:val="center"/>
          </w:tcPr>
          <w:p w14:paraId="6E731334">
            <w:pPr>
              <w:pStyle w:val="11"/>
            </w:pPr>
            <w:r>
              <w:t>2.00</w:t>
            </w:r>
          </w:p>
        </w:tc>
      </w:tr>
      <w:tr w14:paraId="0C5C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A4B828">
            <w:pPr>
              <w:pStyle w:val="12"/>
            </w:pPr>
            <w:r>
              <w:t>县级资金/2024年城关校区学前教育公用经费</w:t>
            </w:r>
          </w:p>
        </w:tc>
        <w:tc>
          <w:tcPr>
            <w:tcW w:w="964" w:type="dxa"/>
            <w:vAlign w:val="center"/>
          </w:tcPr>
          <w:p w14:paraId="0EA0AACE">
            <w:pPr>
              <w:pStyle w:val="11"/>
            </w:pPr>
            <w:r>
              <w:t>136.08</w:t>
            </w:r>
          </w:p>
        </w:tc>
        <w:tc>
          <w:tcPr>
            <w:tcW w:w="1134" w:type="dxa"/>
            <w:vAlign w:val="center"/>
          </w:tcPr>
          <w:p w14:paraId="529949EB">
            <w:pPr>
              <w:pStyle w:val="12"/>
            </w:pPr>
            <w:r>
              <w:t>多功能一体机</w:t>
            </w:r>
          </w:p>
        </w:tc>
        <w:tc>
          <w:tcPr>
            <w:tcW w:w="1134" w:type="dxa"/>
            <w:vAlign w:val="center"/>
          </w:tcPr>
          <w:p w14:paraId="0F1BAFF2">
            <w:pPr>
              <w:pStyle w:val="12"/>
            </w:pPr>
            <w:r>
              <w:t>A02020400</w:t>
            </w:r>
          </w:p>
        </w:tc>
        <w:tc>
          <w:tcPr>
            <w:tcW w:w="709" w:type="dxa"/>
            <w:vAlign w:val="center"/>
          </w:tcPr>
          <w:p w14:paraId="6AE0E30D">
            <w:pPr>
              <w:pStyle w:val="13"/>
            </w:pPr>
            <w:r>
              <w:t>台</w:t>
            </w:r>
          </w:p>
        </w:tc>
        <w:tc>
          <w:tcPr>
            <w:tcW w:w="850" w:type="dxa"/>
            <w:vAlign w:val="center"/>
          </w:tcPr>
          <w:p w14:paraId="60A90BCA">
            <w:pPr>
              <w:pStyle w:val="11"/>
            </w:pPr>
            <w:r>
              <w:t>3</w:t>
            </w:r>
          </w:p>
        </w:tc>
        <w:tc>
          <w:tcPr>
            <w:tcW w:w="850" w:type="dxa"/>
            <w:vAlign w:val="center"/>
          </w:tcPr>
          <w:p w14:paraId="7BF507ED">
            <w:pPr>
              <w:pStyle w:val="11"/>
            </w:pPr>
            <w:r>
              <w:t>1.00</w:t>
            </w:r>
          </w:p>
        </w:tc>
        <w:tc>
          <w:tcPr>
            <w:tcW w:w="964" w:type="dxa"/>
            <w:vAlign w:val="center"/>
          </w:tcPr>
          <w:p w14:paraId="760889F7">
            <w:pPr>
              <w:pStyle w:val="11"/>
            </w:pPr>
            <w:r>
              <w:t>3.00</w:t>
            </w:r>
          </w:p>
        </w:tc>
        <w:tc>
          <w:tcPr>
            <w:tcW w:w="964" w:type="dxa"/>
            <w:vAlign w:val="center"/>
          </w:tcPr>
          <w:p w14:paraId="2E5AD40F">
            <w:pPr>
              <w:pStyle w:val="11"/>
            </w:pPr>
            <w:r>
              <w:t>3.00</w:t>
            </w:r>
          </w:p>
        </w:tc>
        <w:tc>
          <w:tcPr>
            <w:tcW w:w="964" w:type="dxa"/>
            <w:vAlign w:val="center"/>
          </w:tcPr>
          <w:p w14:paraId="7439BA8D">
            <w:pPr>
              <w:pStyle w:val="11"/>
            </w:pPr>
          </w:p>
        </w:tc>
        <w:tc>
          <w:tcPr>
            <w:tcW w:w="964" w:type="dxa"/>
            <w:vAlign w:val="center"/>
          </w:tcPr>
          <w:p w14:paraId="22AAD495">
            <w:pPr>
              <w:pStyle w:val="11"/>
            </w:pPr>
          </w:p>
        </w:tc>
        <w:tc>
          <w:tcPr>
            <w:tcW w:w="964" w:type="dxa"/>
            <w:vAlign w:val="center"/>
          </w:tcPr>
          <w:p w14:paraId="0892B3ED">
            <w:pPr>
              <w:pStyle w:val="11"/>
            </w:pPr>
          </w:p>
        </w:tc>
        <w:tc>
          <w:tcPr>
            <w:tcW w:w="964" w:type="dxa"/>
            <w:vAlign w:val="center"/>
          </w:tcPr>
          <w:p w14:paraId="4AB65A25">
            <w:pPr>
              <w:pStyle w:val="11"/>
            </w:pPr>
          </w:p>
        </w:tc>
        <w:tc>
          <w:tcPr>
            <w:tcW w:w="964" w:type="dxa"/>
            <w:vAlign w:val="center"/>
          </w:tcPr>
          <w:p w14:paraId="3187A671">
            <w:pPr>
              <w:pStyle w:val="11"/>
            </w:pPr>
          </w:p>
        </w:tc>
        <w:tc>
          <w:tcPr>
            <w:tcW w:w="964" w:type="dxa"/>
            <w:vAlign w:val="center"/>
          </w:tcPr>
          <w:p w14:paraId="0758785D">
            <w:pPr>
              <w:pStyle w:val="11"/>
            </w:pPr>
          </w:p>
        </w:tc>
        <w:tc>
          <w:tcPr>
            <w:tcW w:w="964" w:type="dxa"/>
            <w:vAlign w:val="center"/>
          </w:tcPr>
          <w:p w14:paraId="044AA4D5">
            <w:pPr>
              <w:pStyle w:val="11"/>
            </w:pPr>
            <w:r>
              <w:t>3.00</w:t>
            </w:r>
          </w:p>
        </w:tc>
      </w:tr>
    </w:tbl>
    <w:p w14:paraId="2CE341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27A2E3">
      <w:pPr>
        <w:spacing w:before="0" w:after="0"/>
        <w:ind w:firstLine="640"/>
        <w:jc w:val="left"/>
        <w:outlineLvl w:val="9"/>
      </w:pPr>
      <w:r>
        <w:rPr>
          <w:rFonts w:ascii="Times New Roman" w:hAnsi="Times New Roman" w:eastAsia="方正仿宋_GBK" w:cs="Times New Roman"/>
          <w:color w:val="000000"/>
          <w:sz w:val="32"/>
        </w:rPr>
        <w:t xml:space="preserve"> </w:t>
      </w:r>
    </w:p>
    <w:p w14:paraId="3CEDAF2D">
      <w:pPr>
        <w:spacing w:before="10" w:after="10" w:line="240" w:lineRule="auto"/>
        <w:ind w:firstLine="640"/>
        <w:jc w:val="left"/>
        <w:outlineLvl w:val="5"/>
      </w:pPr>
      <w:r>
        <w:rPr>
          <w:rFonts w:ascii="黑体" w:hAnsi="黑体" w:eastAsia="黑体" w:cs="黑体"/>
          <w:color w:val="000000"/>
          <w:sz w:val="32"/>
        </w:rPr>
        <w:t>七、国有资产信息</w:t>
      </w:r>
    </w:p>
    <w:p w14:paraId="2ECA667B">
      <w:pPr>
        <w:spacing w:before="0" w:after="0" w:line="500" w:lineRule="exact"/>
        <w:ind w:firstLine="560"/>
        <w:jc w:val="left"/>
        <w:outlineLvl w:val="9"/>
      </w:pPr>
      <w:r>
        <w:rPr>
          <w:rFonts w:ascii="Times New Roman" w:hAnsi="Times New Roman" w:eastAsia="方正仿宋_GBK" w:cs="Times New Roman"/>
          <w:b w:val="0"/>
          <w:color w:val="000000"/>
          <w:sz w:val="28"/>
        </w:rPr>
        <w:t>隆尧县城关校区上年末固定资产金额为4726.20万元（详见下表）。本年度拟购置固定资产总额为43.19万元，已按要求列入政府采购预算，详见政府采购预算表。</w:t>
      </w:r>
    </w:p>
    <w:p w14:paraId="16DB71B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949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EA148D">
            <w:pPr>
              <w:pStyle w:val="9"/>
            </w:pPr>
            <w:r>
              <w:t>360016隆尧县城关校区</w:t>
            </w:r>
          </w:p>
        </w:tc>
        <w:tc>
          <w:tcPr>
            <w:tcW w:w="5670" w:type="dxa"/>
            <w:gridSpan w:val="2"/>
            <w:tcBorders>
              <w:top w:val="single" w:color="FFFFFF" w:sz="6" w:space="0"/>
              <w:left w:val="single" w:color="FFFFFF" w:sz="6" w:space="0"/>
              <w:right w:val="single" w:color="FFFFFF" w:sz="6" w:space="0"/>
            </w:tcBorders>
            <w:vAlign w:val="center"/>
          </w:tcPr>
          <w:p w14:paraId="07CC9D95">
            <w:pPr>
              <w:pStyle w:val="7"/>
            </w:pPr>
            <w:r>
              <w:t>截止时间：2025-12-31</w:t>
            </w:r>
          </w:p>
        </w:tc>
      </w:tr>
      <w:tr w14:paraId="64256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003FAD">
            <w:pPr>
              <w:pStyle w:val="10"/>
            </w:pPr>
            <w:r>
              <w:t>项   目</w:t>
            </w:r>
          </w:p>
        </w:tc>
        <w:tc>
          <w:tcPr>
            <w:tcW w:w="2835" w:type="dxa"/>
            <w:vAlign w:val="center"/>
          </w:tcPr>
          <w:p w14:paraId="3A621270">
            <w:pPr>
              <w:pStyle w:val="10"/>
            </w:pPr>
            <w:r>
              <w:t>数量</w:t>
            </w:r>
          </w:p>
        </w:tc>
        <w:tc>
          <w:tcPr>
            <w:tcW w:w="2835" w:type="dxa"/>
            <w:vAlign w:val="center"/>
          </w:tcPr>
          <w:p w14:paraId="4756B246">
            <w:pPr>
              <w:pStyle w:val="10"/>
            </w:pPr>
            <w:r>
              <w:t>价值（金额单位：万元）</w:t>
            </w:r>
          </w:p>
        </w:tc>
      </w:tr>
      <w:tr w14:paraId="3B38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57205D">
            <w:pPr>
              <w:pStyle w:val="12"/>
            </w:pPr>
            <w:r>
              <w:t>资产总额</w:t>
            </w:r>
          </w:p>
        </w:tc>
        <w:tc>
          <w:tcPr>
            <w:tcW w:w="2835" w:type="dxa"/>
            <w:vAlign w:val="center"/>
          </w:tcPr>
          <w:p w14:paraId="045AAE5F">
            <w:pPr>
              <w:pStyle w:val="13"/>
            </w:pPr>
          </w:p>
        </w:tc>
        <w:tc>
          <w:tcPr>
            <w:tcW w:w="2835" w:type="dxa"/>
            <w:vAlign w:val="center"/>
          </w:tcPr>
          <w:p w14:paraId="62C0266B">
            <w:pPr>
              <w:pStyle w:val="11"/>
            </w:pPr>
            <w:r>
              <w:t>4726.20</w:t>
            </w:r>
          </w:p>
        </w:tc>
      </w:tr>
      <w:tr w14:paraId="1F24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DF5890">
            <w:pPr>
              <w:pStyle w:val="12"/>
            </w:pPr>
            <w:r>
              <w:t>1、房屋（平方米）</w:t>
            </w:r>
          </w:p>
        </w:tc>
        <w:tc>
          <w:tcPr>
            <w:tcW w:w="2835" w:type="dxa"/>
            <w:vAlign w:val="center"/>
          </w:tcPr>
          <w:p w14:paraId="0AF55C48">
            <w:pPr>
              <w:pStyle w:val="13"/>
            </w:pPr>
            <w:r>
              <w:t>22022.41</w:t>
            </w:r>
          </w:p>
        </w:tc>
        <w:tc>
          <w:tcPr>
            <w:tcW w:w="2835" w:type="dxa"/>
            <w:vAlign w:val="center"/>
          </w:tcPr>
          <w:p w14:paraId="241A0153">
            <w:pPr>
              <w:pStyle w:val="11"/>
            </w:pPr>
            <w:r>
              <w:t>2420.38</w:t>
            </w:r>
          </w:p>
        </w:tc>
      </w:tr>
      <w:tr w14:paraId="24F3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F8DA0E">
            <w:pPr>
              <w:pStyle w:val="12"/>
            </w:pPr>
            <w:r>
              <w:t>　　其中：办公用房（平方米）</w:t>
            </w:r>
          </w:p>
        </w:tc>
        <w:tc>
          <w:tcPr>
            <w:tcW w:w="2835" w:type="dxa"/>
            <w:vAlign w:val="center"/>
          </w:tcPr>
          <w:p w14:paraId="12804506">
            <w:pPr>
              <w:pStyle w:val="13"/>
            </w:pPr>
            <w:r>
              <w:t>6190.10</w:t>
            </w:r>
          </w:p>
        </w:tc>
        <w:tc>
          <w:tcPr>
            <w:tcW w:w="2835" w:type="dxa"/>
            <w:vAlign w:val="center"/>
          </w:tcPr>
          <w:p w14:paraId="33BF4360">
            <w:pPr>
              <w:pStyle w:val="11"/>
            </w:pPr>
            <w:r>
              <w:t>697.95</w:t>
            </w:r>
          </w:p>
        </w:tc>
      </w:tr>
      <w:tr w14:paraId="29041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1A0986">
            <w:pPr>
              <w:pStyle w:val="12"/>
            </w:pPr>
            <w:r>
              <w:t>2、车辆（台、辆）</w:t>
            </w:r>
          </w:p>
        </w:tc>
        <w:tc>
          <w:tcPr>
            <w:tcW w:w="2835" w:type="dxa"/>
            <w:vAlign w:val="center"/>
          </w:tcPr>
          <w:p w14:paraId="7185C1EF">
            <w:pPr>
              <w:pStyle w:val="13"/>
            </w:pPr>
          </w:p>
        </w:tc>
        <w:tc>
          <w:tcPr>
            <w:tcW w:w="2835" w:type="dxa"/>
            <w:vAlign w:val="center"/>
          </w:tcPr>
          <w:p w14:paraId="6E37AA7E">
            <w:pPr>
              <w:pStyle w:val="11"/>
            </w:pPr>
          </w:p>
        </w:tc>
      </w:tr>
      <w:tr w14:paraId="4475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438B98">
            <w:pPr>
              <w:pStyle w:val="12"/>
            </w:pPr>
            <w:r>
              <w:t>3、单价在20万元以上的设备</w:t>
            </w:r>
          </w:p>
        </w:tc>
        <w:tc>
          <w:tcPr>
            <w:tcW w:w="2835" w:type="dxa"/>
            <w:vAlign w:val="center"/>
          </w:tcPr>
          <w:p w14:paraId="4E9353DD">
            <w:pPr>
              <w:pStyle w:val="13"/>
            </w:pPr>
            <w:r>
              <w:t>9</w:t>
            </w:r>
          </w:p>
        </w:tc>
        <w:tc>
          <w:tcPr>
            <w:tcW w:w="2835" w:type="dxa"/>
            <w:vAlign w:val="center"/>
          </w:tcPr>
          <w:p w14:paraId="77D6D49F">
            <w:pPr>
              <w:pStyle w:val="11"/>
            </w:pPr>
            <w:r>
              <w:t>398.03</w:t>
            </w:r>
          </w:p>
        </w:tc>
      </w:tr>
      <w:tr w14:paraId="6628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AE8E92">
            <w:pPr>
              <w:pStyle w:val="12"/>
            </w:pPr>
            <w:r>
              <w:t>4、其他固定资产</w:t>
            </w:r>
          </w:p>
        </w:tc>
        <w:tc>
          <w:tcPr>
            <w:tcW w:w="2835" w:type="dxa"/>
            <w:vAlign w:val="center"/>
          </w:tcPr>
          <w:p w14:paraId="1E6F9744">
            <w:pPr>
              <w:pStyle w:val="13"/>
            </w:pPr>
            <w:r>
              <w:t>10676</w:t>
            </w:r>
          </w:p>
        </w:tc>
        <w:tc>
          <w:tcPr>
            <w:tcW w:w="2835" w:type="dxa"/>
            <w:vAlign w:val="center"/>
          </w:tcPr>
          <w:p w14:paraId="490B57D1">
            <w:pPr>
              <w:pStyle w:val="11"/>
            </w:pPr>
            <w:r>
              <w:t>1907.79</w:t>
            </w:r>
          </w:p>
        </w:tc>
      </w:tr>
    </w:tbl>
    <w:p w14:paraId="50A5E6E4">
      <w:pPr>
        <w:spacing w:before="0" w:after="0"/>
        <w:ind w:firstLine="640"/>
        <w:jc w:val="left"/>
        <w:outlineLvl w:val="9"/>
      </w:pPr>
      <w:r>
        <w:rPr>
          <w:rFonts w:ascii="Times New Roman" w:hAnsi="Times New Roman" w:eastAsia="方正仿宋_GBK" w:cs="Times New Roman"/>
          <w:color w:val="000000"/>
          <w:sz w:val="32"/>
        </w:rPr>
        <w:t xml:space="preserve"> </w:t>
      </w:r>
    </w:p>
    <w:p w14:paraId="3D674B15">
      <w:pPr>
        <w:spacing w:before="10" w:after="10" w:line="240" w:lineRule="auto"/>
        <w:ind w:firstLine="640"/>
        <w:jc w:val="left"/>
        <w:outlineLvl w:val="5"/>
      </w:pPr>
      <w:r>
        <w:rPr>
          <w:rFonts w:ascii="黑体" w:hAnsi="黑体" w:eastAsia="黑体" w:cs="黑体"/>
          <w:color w:val="000000"/>
          <w:sz w:val="32"/>
        </w:rPr>
        <w:t>八、名词解释</w:t>
      </w:r>
    </w:p>
    <w:p w14:paraId="74D5033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FBDE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9E6E4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FDA1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B363F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71C2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05CBD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EA4A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5DD82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D4FB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8B50EC">
      <w:pPr>
        <w:spacing w:before="10" w:after="10" w:line="240" w:lineRule="auto"/>
        <w:ind w:firstLine="640"/>
        <w:jc w:val="left"/>
        <w:outlineLvl w:val="5"/>
      </w:pPr>
      <w:r>
        <w:rPr>
          <w:rFonts w:ascii="黑体" w:hAnsi="黑体" w:eastAsia="黑体" w:cs="黑体"/>
          <w:color w:val="000000"/>
          <w:sz w:val="32"/>
        </w:rPr>
        <w:t>九、其他需要说明的事项</w:t>
      </w:r>
    </w:p>
    <w:p w14:paraId="782BC09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861E6E2">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十六、隆尧县魏庄校区收支预算</w:t>
      </w:r>
      <w:bookmarkEnd w:id="15"/>
    </w:p>
    <w:p w14:paraId="167040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16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E672D4">
            <w:pPr>
              <w:pStyle w:val="9"/>
            </w:pPr>
            <w:r>
              <w:t>360017隆尧县魏庄校区</w:t>
            </w:r>
          </w:p>
        </w:tc>
        <w:tc>
          <w:tcPr>
            <w:tcW w:w="2126" w:type="dxa"/>
            <w:tcBorders>
              <w:top w:val="single" w:color="FFFFFF" w:sz="6" w:space="0"/>
              <w:left w:val="single" w:color="FFFFFF" w:sz="6" w:space="0"/>
              <w:right w:val="single" w:color="FFFFFF" w:sz="6" w:space="0"/>
            </w:tcBorders>
            <w:vAlign w:val="center"/>
          </w:tcPr>
          <w:p w14:paraId="40EE20E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235F735">
            <w:pPr>
              <w:pStyle w:val="7"/>
            </w:pPr>
            <w:r>
              <w:t>单位：万元</w:t>
            </w:r>
          </w:p>
        </w:tc>
      </w:tr>
      <w:tr w14:paraId="69EA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6BD5F">
            <w:pPr>
              <w:pStyle w:val="10"/>
            </w:pPr>
            <w:r>
              <w:t>序号</w:t>
            </w:r>
          </w:p>
        </w:tc>
        <w:tc>
          <w:tcPr>
            <w:tcW w:w="6661" w:type="dxa"/>
            <w:gridSpan w:val="2"/>
            <w:vAlign w:val="center"/>
          </w:tcPr>
          <w:p w14:paraId="3294042C">
            <w:pPr>
              <w:pStyle w:val="10"/>
            </w:pPr>
            <w:r>
              <w:t>收入</w:t>
            </w:r>
          </w:p>
        </w:tc>
        <w:tc>
          <w:tcPr>
            <w:tcW w:w="6661" w:type="dxa"/>
            <w:gridSpan w:val="2"/>
            <w:vAlign w:val="center"/>
          </w:tcPr>
          <w:p w14:paraId="4E274CBB">
            <w:pPr>
              <w:pStyle w:val="10"/>
            </w:pPr>
            <w:r>
              <w:t>支出</w:t>
            </w:r>
          </w:p>
        </w:tc>
      </w:tr>
      <w:tr w14:paraId="3091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766A3"/>
        </w:tc>
        <w:tc>
          <w:tcPr>
            <w:tcW w:w="4535" w:type="dxa"/>
            <w:vAlign w:val="center"/>
          </w:tcPr>
          <w:p w14:paraId="21345D8C">
            <w:pPr>
              <w:pStyle w:val="10"/>
            </w:pPr>
            <w:r>
              <w:t>项  目</w:t>
            </w:r>
          </w:p>
        </w:tc>
        <w:tc>
          <w:tcPr>
            <w:tcW w:w="2126" w:type="dxa"/>
            <w:vAlign w:val="center"/>
          </w:tcPr>
          <w:p w14:paraId="1365B203">
            <w:pPr>
              <w:pStyle w:val="10"/>
            </w:pPr>
            <w:r>
              <w:t>预算数</w:t>
            </w:r>
          </w:p>
        </w:tc>
        <w:tc>
          <w:tcPr>
            <w:tcW w:w="4535" w:type="dxa"/>
            <w:vAlign w:val="center"/>
          </w:tcPr>
          <w:p w14:paraId="642DEA94">
            <w:pPr>
              <w:pStyle w:val="10"/>
            </w:pPr>
            <w:r>
              <w:t>项  目</w:t>
            </w:r>
          </w:p>
        </w:tc>
        <w:tc>
          <w:tcPr>
            <w:tcW w:w="2126" w:type="dxa"/>
            <w:vAlign w:val="center"/>
          </w:tcPr>
          <w:p w14:paraId="78A9AF20">
            <w:pPr>
              <w:pStyle w:val="10"/>
            </w:pPr>
            <w:r>
              <w:t>预算数</w:t>
            </w:r>
          </w:p>
        </w:tc>
      </w:tr>
      <w:tr w14:paraId="5751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97EF6">
            <w:pPr>
              <w:pStyle w:val="10"/>
            </w:pPr>
            <w:r>
              <w:t>栏次</w:t>
            </w:r>
          </w:p>
        </w:tc>
        <w:tc>
          <w:tcPr>
            <w:tcW w:w="4535" w:type="dxa"/>
            <w:vAlign w:val="center"/>
          </w:tcPr>
          <w:p w14:paraId="176DFF01">
            <w:pPr>
              <w:pStyle w:val="10"/>
            </w:pPr>
            <w:r>
              <w:t>1</w:t>
            </w:r>
          </w:p>
        </w:tc>
        <w:tc>
          <w:tcPr>
            <w:tcW w:w="2126" w:type="dxa"/>
            <w:vAlign w:val="center"/>
          </w:tcPr>
          <w:p w14:paraId="54F7C874">
            <w:pPr>
              <w:pStyle w:val="10"/>
            </w:pPr>
            <w:r>
              <w:t>2</w:t>
            </w:r>
          </w:p>
        </w:tc>
        <w:tc>
          <w:tcPr>
            <w:tcW w:w="4535" w:type="dxa"/>
            <w:vAlign w:val="center"/>
          </w:tcPr>
          <w:p w14:paraId="20F441AE">
            <w:pPr>
              <w:pStyle w:val="10"/>
            </w:pPr>
            <w:r>
              <w:t>3</w:t>
            </w:r>
          </w:p>
        </w:tc>
        <w:tc>
          <w:tcPr>
            <w:tcW w:w="2126" w:type="dxa"/>
            <w:vAlign w:val="center"/>
          </w:tcPr>
          <w:p w14:paraId="1D77B891">
            <w:pPr>
              <w:pStyle w:val="10"/>
            </w:pPr>
            <w:r>
              <w:t>4</w:t>
            </w:r>
          </w:p>
        </w:tc>
      </w:tr>
      <w:tr w14:paraId="0AC4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F684">
            <w:pPr>
              <w:pStyle w:val="13"/>
            </w:pPr>
            <w:r>
              <w:t>1</w:t>
            </w:r>
          </w:p>
        </w:tc>
        <w:tc>
          <w:tcPr>
            <w:tcW w:w="4535" w:type="dxa"/>
            <w:vAlign w:val="center"/>
          </w:tcPr>
          <w:p w14:paraId="298934EE">
            <w:pPr>
              <w:pStyle w:val="12"/>
            </w:pPr>
            <w:r>
              <w:t>一、一般公共预算拨款收入</w:t>
            </w:r>
          </w:p>
        </w:tc>
        <w:tc>
          <w:tcPr>
            <w:tcW w:w="2126" w:type="dxa"/>
            <w:vAlign w:val="center"/>
          </w:tcPr>
          <w:p w14:paraId="06BA8A68">
            <w:pPr>
              <w:pStyle w:val="11"/>
            </w:pPr>
            <w:r>
              <w:t>2483.92</w:t>
            </w:r>
          </w:p>
        </w:tc>
        <w:tc>
          <w:tcPr>
            <w:tcW w:w="4535" w:type="dxa"/>
            <w:vAlign w:val="center"/>
          </w:tcPr>
          <w:p w14:paraId="181C6C02">
            <w:pPr>
              <w:pStyle w:val="12"/>
            </w:pPr>
            <w:r>
              <w:t>一、一般公共服务支出</w:t>
            </w:r>
          </w:p>
        </w:tc>
        <w:tc>
          <w:tcPr>
            <w:tcW w:w="2126" w:type="dxa"/>
            <w:vAlign w:val="center"/>
          </w:tcPr>
          <w:p w14:paraId="3BF4DD36">
            <w:pPr>
              <w:pStyle w:val="11"/>
            </w:pPr>
          </w:p>
        </w:tc>
      </w:tr>
      <w:tr w14:paraId="6232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ECF3">
            <w:pPr>
              <w:pStyle w:val="13"/>
            </w:pPr>
            <w:r>
              <w:t>2</w:t>
            </w:r>
          </w:p>
        </w:tc>
        <w:tc>
          <w:tcPr>
            <w:tcW w:w="4535" w:type="dxa"/>
            <w:vAlign w:val="center"/>
          </w:tcPr>
          <w:p w14:paraId="0AAD3267">
            <w:pPr>
              <w:pStyle w:val="12"/>
            </w:pPr>
            <w:r>
              <w:t>二、政府性基金预算拨款收入</w:t>
            </w:r>
          </w:p>
        </w:tc>
        <w:tc>
          <w:tcPr>
            <w:tcW w:w="2126" w:type="dxa"/>
            <w:vAlign w:val="center"/>
          </w:tcPr>
          <w:p w14:paraId="2D4500B7">
            <w:pPr>
              <w:pStyle w:val="11"/>
            </w:pPr>
          </w:p>
        </w:tc>
        <w:tc>
          <w:tcPr>
            <w:tcW w:w="4535" w:type="dxa"/>
            <w:vAlign w:val="center"/>
          </w:tcPr>
          <w:p w14:paraId="77459F83">
            <w:pPr>
              <w:pStyle w:val="12"/>
            </w:pPr>
            <w:r>
              <w:t>二、外交支出</w:t>
            </w:r>
          </w:p>
        </w:tc>
        <w:tc>
          <w:tcPr>
            <w:tcW w:w="2126" w:type="dxa"/>
            <w:vAlign w:val="center"/>
          </w:tcPr>
          <w:p w14:paraId="53113EB6">
            <w:pPr>
              <w:pStyle w:val="11"/>
            </w:pPr>
          </w:p>
        </w:tc>
      </w:tr>
      <w:tr w14:paraId="656D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78430">
            <w:pPr>
              <w:pStyle w:val="13"/>
            </w:pPr>
            <w:r>
              <w:t>3</w:t>
            </w:r>
          </w:p>
        </w:tc>
        <w:tc>
          <w:tcPr>
            <w:tcW w:w="4535" w:type="dxa"/>
            <w:vAlign w:val="center"/>
          </w:tcPr>
          <w:p w14:paraId="15770B7A">
            <w:pPr>
              <w:pStyle w:val="12"/>
            </w:pPr>
            <w:r>
              <w:t>三、国有资本经营预算拨款收入</w:t>
            </w:r>
          </w:p>
        </w:tc>
        <w:tc>
          <w:tcPr>
            <w:tcW w:w="2126" w:type="dxa"/>
            <w:vAlign w:val="center"/>
          </w:tcPr>
          <w:p w14:paraId="6E9D0B55">
            <w:pPr>
              <w:pStyle w:val="11"/>
            </w:pPr>
          </w:p>
        </w:tc>
        <w:tc>
          <w:tcPr>
            <w:tcW w:w="4535" w:type="dxa"/>
            <w:vAlign w:val="center"/>
          </w:tcPr>
          <w:p w14:paraId="0C9D0657">
            <w:pPr>
              <w:pStyle w:val="12"/>
            </w:pPr>
            <w:r>
              <w:t>三、国防支出</w:t>
            </w:r>
          </w:p>
        </w:tc>
        <w:tc>
          <w:tcPr>
            <w:tcW w:w="2126" w:type="dxa"/>
            <w:vAlign w:val="center"/>
          </w:tcPr>
          <w:p w14:paraId="1E6EB1B8">
            <w:pPr>
              <w:pStyle w:val="11"/>
            </w:pPr>
          </w:p>
        </w:tc>
      </w:tr>
      <w:tr w14:paraId="3840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02C31">
            <w:pPr>
              <w:pStyle w:val="13"/>
            </w:pPr>
            <w:r>
              <w:t>4</w:t>
            </w:r>
          </w:p>
        </w:tc>
        <w:tc>
          <w:tcPr>
            <w:tcW w:w="4535" w:type="dxa"/>
            <w:vAlign w:val="center"/>
          </w:tcPr>
          <w:p w14:paraId="3105F9ED">
            <w:pPr>
              <w:pStyle w:val="12"/>
            </w:pPr>
            <w:r>
              <w:t>四、财政专户管理资金收入</w:t>
            </w:r>
          </w:p>
        </w:tc>
        <w:tc>
          <w:tcPr>
            <w:tcW w:w="2126" w:type="dxa"/>
            <w:vAlign w:val="center"/>
          </w:tcPr>
          <w:p w14:paraId="181021FA">
            <w:pPr>
              <w:pStyle w:val="11"/>
            </w:pPr>
          </w:p>
        </w:tc>
        <w:tc>
          <w:tcPr>
            <w:tcW w:w="4535" w:type="dxa"/>
            <w:vAlign w:val="center"/>
          </w:tcPr>
          <w:p w14:paraId="4DD07779">
            <w:pPr>
              <w:pStyle w:val="12"/>
            </w:pPr>
            <w:r>
              <w:t>四、公共安全支出</w:t>
            </w:r>
          </w:p>
        </w:tc>
        <w:tc>
          <w:tcPr>
            <w:tcW w:w="2126" w:type="dxa"/>
            <w:vAlign w:val="center"/>
          </w:tcPr>
          <w:p w14:paraId="4499D58B">
            <w:pPr>
              <w:pStyle w:val="11"/>
            </w:pPr>
          </w:p>
        </w:tc>
      </w:tr>
      <w:tr w14:paraId="0E15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FA8C6">
            <w:pPr>
              <w:pStyle w:val="13"/>
            </w:pPr>
            <w:r>
              <w:t>5</w:t>
            </w:r>
          </w:p>
        </w:tc>
        <w:tc>
          <w:tcPr>
            <w:tcW w:w="4535" w:type="dxa"/>
            <w:vAlign w:val="center"/>
          </w:tcPr>
          <w:p w14:paraId="42C461E1">
            <w:pPr>
              <w:pStyle w:val="12"/>
            </w:pPr>
            <w:r>
              <w:t>五、单位资金</w:t>
            </w:r>
          </w:p>
        </w:tc>
        <w:tc>
          <w:tcPr>
            <w:tcW w:w="2126" w:type="dxa"/>
            <w:vAlign w:val="center"/>
          </w:tcPr>
          <w:p w14:paraId="2FC930BE">
            <w:pPr>
              <w:pStyle w:val="11"/>
            </w:pPr>
          </w:p>
        </w:tc>
        <w:tc>
          <w:tcPr>
            <w:tcW w:w="4535" w:type="dxa"/>
            <w:vAlign w:val="center"/>
          </w:tcPr>
          <w:p w14:paraId="7206446F">
            <w:pPr>
              <w:pStyle w:val="12"/>
            </w:pPr>
            <w:r>
              <w:t>五、教育支出</w:t>
            </w:r>
          </w:p>
        </w:tc>
        <w:tc>
          <w:tcPr>
            <w:tcW w:w="2126" w:type="dxa"/>
            <w:vAlign w:val="center"/>
          </w:tcPr>
          <w:p w14:paraId="5130BF90">
            <w:pPr>
              <w:pStyle w:val="11"/>
            </w:pPr>
            <w:r>
              <w:t>2483.92</w:t>
            </w:r>
          </w:p>
        </w:tc>
      </w:tr>
      <w:tr w14:paraId="7C58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E9BC">
            <w:pPr>
              <w:pStyle w:val="13"/>
            </w:pPr>
            <w:r>
              <w:t>6</w:t>
            </w:r>
          </w:p>
        </w:tc>
        <w:tc>
          <w:tcPr>
            <w:tcW w:w="4535" w:type="dxa"/>
            <w:vAlign w:val="center"/>
          </w:tcPr>
          <w:p w14:paraId="26C43538">
            <w:pPr>
              <w:pStyle w:val="12"/>
            </w:pPr>
          </w:p>
        </w:tc>
        <w:tc>
          <w:tcPr>
            <w:tcW w:w="2126" w:type="dxa"/>
            <w:vAlign w:val="center"/>
          </w:tcPr>
          <w:p w14:paraId="3EFC9257">
            <w:pPr>
              <w:pStyle w:val="11"/>
            </w:pPr>
          </w:p>
        </w:tc>
        <w:tc>
          <w:tcPr>
            <w:tcW w:w="4535" w:type="dxa"/>
            <w:vAlign w:val="center"/>
          </w:tcPr>
          <w:p w14:paraId="29488CF0">
            <w:pPr>
              <w:pStyle w:val="12"/>
            </w:pPr>
            <w:r>
              <w:t>六、科学技术支出</w:t>
            </w:r>
          </w:p>
        </w:tc>
        <w:tc>
          <w:tcPr>
            <w:tcW w:w="2126" w:type="dxa"/>
            <w:vAlign w:val="center"/>
          </w:tcPr>
          <w:p w14:paraId="1EFD843B">
            <w:pPr>
              <w:pStyle w:val="11"/>
            </w:pPr>
          </w:p>
        </w:tc>
      </w:tr>
      <w:tr w14:paraId="50C18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83EC5">
            <w:pPr>
              <w:pStyle w:val="13"/>
            </w:pPr>
            <w:r>
              <w:t>7</w:t>
            </w:r>
          </w:p>
        </w:tc>
        <w:tc>
          <w:tcPr>
            <w:tcW w:w="4535" w:type="dxa"/>
            <w:vAlign w:val="center"/>
          </w:tcPr>
          <w:p w14:paraId="2A8B2619">
            <w:pPr>
              <w:pStyle w:val="12"/>
            </w:pPr>
          </w:p>
        </w:tc>
        <w:tc>
          <w:tcPr>
            <w:tcW w:w="2126" w:type="dxa"/>
            <w:vAlign w:val="center"/>
          </w:tcPr>
          <w:p w14:paraId="26778A53">
            <w:pPr>
              <w:pStyle w:val="11"/>
            </w:pPr>
          </w:p>
        </w:tc>
        <w:tc>
          <w:tcPr>
            <w:tcW w:w="4535" w:type="dxa"/>
            <w:vAlign w:val="center"/>
          </w:tcPr>
          <w:p w14:paraId="2853EC8E">
            <w:pPr>
              <w:pStyle w:val="12"/>
            </w:pPr>
            <w:r>
              <w:t>七、文化旅游体育与传媒支出</w:t>
            </w:r>
          </w:p>
        </w:tc>
        <w:tc>
          <w:tcPr>
            <w:tcW w:w="2126" w:type="dxa"/>
            <w:vAlign w:val="center"/>
          </w:tcPr>
          <w:p w14:paraId="6390FC08">
            <w:pPr>
              <w:pStyle w:val="11"/>
            </w:pPr>
          </w:p>
        </w:tc>
      </w:tr>
      <w:tr w14:paraId="5A2A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0F5FF">
            <w:pPr>
              <w:pStyle w:val="13"/>
            </w:pPr>
            <w:r>
              <w:t>8</w:t>
            </w:r>
          </w:p>
        </w:tc>
        <w:tc>
          <w:tcPr>
            <w:tcW w:w="4535" w:type="dxa"/>
            <w:vAlign w:val="center"/>
          </w:tcPr>
          <w:p w14:paraId="781F4F3D">
            <w:pPr>
              <w:pStyle w:val="12"/>
            </w:pPr>
          </w:p>
        </w:tc>
        <w:tc>
          <w:tcPr>
            <w:tcW w:w="2126" w:type="dxa"/>
            <w:vAlign w:val="center"/>
          </w:tcPr>
          <w:p w14:paraId="43952740">
            <w:pPr>
              <w:pStyle w:val="11"/>
            </w:pPr>
          </w:p>
        </w:tc>
        <w:tc>
          <w:tcPr>
            <w:tcW w:w="4535" w:type="dxa"/>
            <w:vAlign w:val="center"/>
          </w:tcPr>
          <w:p w14:paraId="668E71A6">
            <w:pPr>
              <w:pStyle w:val="12"/>
            </w:pPr>
            <w:r>
              <w:t>八、社会保障和就业支出</w:t>
            </w:r>
          </w:p>
        </w:tc>
        <w:tc>
          <w:tcPr>
            <w:tcW w:w="2126" w:type="dxa"/>
            <w:vAlign w:val="center"/>
          </w:tcPr>
          <w:p w14:paraId="6D3A410F">
            <w:pPr>
              <w:pStyle w:val="11"/>
            </w:pPr>
          </w:p>
        </w:tc>
      </w:tr>
      <w:tr w14:paraId="154A1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103A">
            <w:pPr>
              <w:pStyle w:val="13"/>
            </w:pPr>
            <w:r>
              <w:t>9</w:t>
            </w:r>
          </w:p>
        </w:tc>
        <w:tc>
          <w:tcPr>
            <w:tcW w:w="4535" w:type="dxa"/>
            <w:vAlign w:val="center"/>
          </w:tcPr>
          <w:p w14:paraId="1A2F7083">
            <w:pPr>
              <w:pStyle w:val="12"/>
            </w:pPr>
          </w:p>
        </w:tc>
        <w:tc>
          <w:tcPr>
            <w:tcW w:w="2126" w:type="dxa"/>
            <w:vAlign w:val="center"/>
          </w:tcPr>
          <w:p w14:paraId="12AC640A">
            <w:pPr>
              <w:pStyle w:val="11"/>
            </w:pPr>
          </w:p>
        </w:tc>
        <w:tc>
          <w:tcPr>
            <w:tcW w:w="4535" w:type="dxa"/>
            <w:vAlign w:val="center"/>
          </w:tcPr>
          <w:p w14:paraId="1F0640C9">
            <w:pPr>
              <w:pStyle w:val="12"/>
            </w:pPr>
            <w:r>
              <w:t>九、社会保险基金支出</w:t>
            </w:r>
          </w:p>
        </w:tc>
        <w:tc>
          <w:tcPr>
            <w:tcW w:w="2126" w:type="dxa"/>
            <w:vAlign w:val="center"/>
          </w:tcPr>
          <w:p w14:paraId="0AC187B6">
            <w:pPr>
              <w:pStyle w:val="11"/>
            </w:pPr>
          </w:p>
        </w:tc>
      </w:tr>
      <w:tr w14:paraId="5627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FB456">
            <w:pPr>
              <w:pStyle w:val="13"/>
            </w:pPr>
            <w:r>
              <w:t>10</w:t>
            </w:r>
          </w:p>
        </w:tc>
        <w:tc>
          <w:tcPr>
            <w:tcW w:w="4535" w:type="dxa"/>
            <w:vAlign w:val="center"/>
          </w:tcPr>
          <w:p w14:paraId="3D98659C">
            <w:pPr>
              <w:pStyle w:val="12"/>
            </w:pPr>
          </w:p>
        </w:tc>
        <w:tc>
          <w:tcPr>
            <w:tcW w:w="2126" w:type="dxa"/>
            <w:vAlign w:val="center"/>
          </w:tcPr>
          <w:p w14:paraId="11711BE7">
            <w:pPr>
              <w:pStyle w:val="11"/>
            </w:pPr>
          </w:p>
        </w:tc>
        <w:tc>
          <w:tcPr>
            <w:tcW w:w="4535" w:type="dxa"/>
            <w:vAlign w:val="center"/>
          </w:tcPr>
          <w:p w14:paraId="1343F052">
            <w:pPr>
              <w:pStyle w:val="12"/>
            </w:pPr>
            <w:r>
              <w:t>十、卫生健康支出</w:t>
            </w:r>
          </w:p>
        </w:tc>
        <w:tc>
          <w:tcPr>
            <w:tcW w:w="2126" w:type="dxa"/>
            <w:vAlign w:val="center"/>
          </w:tcPr>
          <w:p w14:paraId="3A0FB7E9">
            <w:pPr>
              <w:pStyle w:val="11"/>
            </w:pPr>
          </w:p>
        </w:tc>
      </w:tr>
      <w:tr w14:paraId="05C0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6647F">
            <w:pPr>
              <w:pStyle w:val="13"/>
            </w:pPr>
            <w:r>
              <w:t>11</w:t>
            </w:r>
          </w:p>
        </w:tc>
        <w:tc>
          <w:tcPr>
            <w:tcW w:w="4535" w:type="dxa"/>
            <w:vAlign w:val="center"/>
          </w:tcPr>
          <w:p w14:paraId="7E7D2632">
            <w:pPr>
              <w:pStyle w:val="12"/>
            </w:pPr>
          </w:p>
        </w:tc>
        <w:tc>
          <w:tcPr>
            <w:tcW w:w="2126" w:type="dxa"/>
            <w:vAlign w:val="center"/>
          </w:tcPr>
          <w:p w14:paraId="0530D934">
            <w:pPr>
              <w:pStyle w:val="11"/>
            </w:pPr>
          </w:p>
        </w:tc>
        <w:tc>
          <w:tcPr>
            <w:tcW w:w="4535" w:type="dxa"/>
            <w:vAlign w:val="center"/>
          </w:tcPr>
          <w:p w14:paraId="608E1A4B">
            <w:pPr>
              <w:pStyle w:val="12"/>
            </w:pPr>
            <w:r>
              <w:t>十一、节能环保支出</w:t>
            </w:r>
          </w:p>
        </w:tc>
        <w:tc>
          <w:tcPr>
            <w:tcW w:w="2126" w:type="dxa"/>
            <w:vAlign w:val="center"/>
          </w:tcPr>
          <w:p w14:paraId="35FB07CD">
            <w:pPr>
              <w:pStyle w:val="11"/>
            </w:pPr>
          </w:p>
        </w:tc>
      </w:tr>
      <w:tr w14:paraId="2AF9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672B4">
            <w:pPr>
              <w:pStyle w:val="13"/>
            </w:pPr>
            <w:r>
              <w:t>12</w:t>
            </w:r>
          </w:p>
        </w:tc>
        <w:tc>
          <w:tcPr>
            <w:tcW w:w="4535" w:type="dxa"/>
            <w:vAlign w:val="center"/>
          </w:tcPr>
          <w:p w14:paraId="07D7D0CD">
            <w:pPr>
              <w:pStyle w:val="12"/>
            </w:pPr>
          </w:p>
        </w:tc>
        <w:tc>
          <w:tcPr>
            <w:tcW w:w="2126" w:type="dxa"/>
            <w:vAlign w:val="center"/>
          </w:tcPr>
          <w:p w14:paraId="62ABB566">
            <w:pPr>
              <w:pStyle w:val="11"/>
            </w:pPr>
          </w:p>
        </w:tc>
        <w:tc>
          <w:tcPr>
            <w:tcW w:w="4535" w:type="dxa"/>
            <w:vAlign w:val="center"/>
          </w:tcPr>
          <w:p w14:paraId="413747C4">
            <w:pPr>
              <w:pStyle w:val="12"/>
            </w:pPr>
            <w:r>
              <w:t>十二、城乡社区支出</w:t>
            </w:r>
          </w:p>
        </w:tc>
        <w:tc>
          <w:tcPr>
            <w:tcW w:w="2126" w:type="dxa"/>
            <w:vAlign w:val="center"/>
          </w:tcPr>
          <w:p w14:paraId="287FAFF8">
            <w:pPr>
              <w:pStyle w:val="11"/>
            </w:pPr>
          </w:p>
        </w:tc>
      </w:tr>
      <w:tr w14:paraId="00A25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0EED">
            <w:pPr>
              <w:pStyle w:val="13"/>
            </w:pPr>
            <w:r>
              <w:t>13</w:t>
            </w:r>
          </w:p>
        </w:tc>
        <w:tc>
          <w:tcPr>
            <w:tcW w:w="4535" w:type="dxa"/>
            <w:vAlign w:val="center"/>
          </w:tcPr>
          <w:p w14:paraId="4C4B3377">
            <w:pPr>
              <w:pStyle w:val="12"/>
            </w:pPr>
          </w:p>
        </w:tc>
        <w:tc>
          <w:tcPr>
            <w:tcW w:w="2126" w:type="dxa"/>
            <w:vAlign w:val="center"/>
          </w:tcPr>
          <w:p w14:paraId="13BEC9BA">
            <w:pPr>
              <w:pStyle w:val="11"/>
            </w:pPr>
          </w:p>
        </w:tc>
        <w:tc>
          <w:tcPr>
            <w:tcW w:w="4535" w:type="dxa"/>
            <w:vAlign w:val="center"/>
          </w:tcPr>
          <w:p w14:paraId="2CB6F043">
            <w:pPr>
              <w:pStyle w:val="12"/>
            </w:pPr>
            <w:r>
              <w:t>十三、农林水支出</w:t>
            </w:r>
          </w:p>
        </w:tc>
        <w:tc>
          <w:tcPr>
            <w:tcW w:w="2126" w:type="dxa"/>
            <w:vAlign w:val="center"/>
          </w:tcPr>
          <w:p w14:paraId="71A24AC6">
            <w:pPr>
              <w:pStyle w:val="11"/>
            </w:pPr>
          </w:p>
        </w:tc>
      </w:tr>
      <w:tr w14:paraId="7B94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FFF4">
            <w:pPr>
              <w:pStyle w:val="13"/>
            </w:pPr>
            <w:r>
              <w:t>14</w:t>
            </w:r>
          </w:p>
        </w:tc>
        <w:tc>
          <w:tcPr>
            <w:tcW w:w="4535" w:type="dxa"/>
            <w:vAlign w:val="center"/>
          </w:tcPr>
          <w:p w14:paraId="5DAD2943">
            <w:pPr>
              <w:pStyle w:val="12"/>
            </w:pPr>
          </w:p>
        </w:tc>
        <w:tc>
          <w:tcPr>
            <w:tcW w:w="2126" w:type="dxa"/>
            <w:vAlign w:val="center"/>
          </w:tcPr>
          <w:p w14:paraId="61C4E42B">
            <w:pPr>
              <w:pStyle w:val="11"/>
            </w:pPr>
          </w:p>
        </w:tc>
        <w:tc>
          <w:tcPr>
            <w:tcW w:w="4535" w:type="dxa"/>
            <w:vAlign w:val="center"/>
          </w:tcPr>
          <w:p w14:paraId="4DDCA792">
            <w:pPr>
              <w:pStyle w:val="12"/>
            </w:pPr>
            <w:r>
              <w:t>十四、交通运输支出</w:t>
            </w:r>
          </w:p>
        </w:tc>
        <w:tc>
          <w:tcPr>
            <w:tcW w:w="2126" w:type="dxa"/>
            <w:vAlign w:val="center"/>
          </w:tcPr>
          <w:p w14:paraId="7C82A2F6">
            <w:pPr>
              <w:pStyle w:val="11"/>
            </w:pPr>
          </w:p>
        </w:tc>
      </w:tr>
      <w:tr w14:paraId="12A4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8C93C">
            <w:pPr>
              <w:pStyle w:val="13"/>
            </w:pPr>
            <w:r>
              <w:t>15</w:t>
            </w:r>
          </w:p>
        </w:tc>
        <w:tc>
          <w:tcPr>
            <w:tcW w:w="4535" w:type="dxa"/>
            <w:vAlign w:val="center"/>
          </w:tcPr>
          <w:p w14:paraId="369EACF2">
            <w:pPr>
              <w:pStyle w:val="12"/>
            </w:pPr>
          </w:p>
        </w:tc>
        <w:tc>
          <w:tcPr>
            <w:tcW w:w="2126" w:type="dxa"/>
            <w:vAlign w:val="center"/>
          </w:tcPr>
          <w:p w14:paraId="3146B4CE">
            <w:pPr>
              <w:pStyle w:val="11"/>
            </w:pPr>
          </w:p>
        </w:tc>
        <w:tc>
          <w:tcPr>
            <w:tcW w:w="4535" w:type="dxa"/>
            <w:vAlign w:val="center"/>
          </w:tcPr>
          <w:p w14:paraId="226925FC">
            <w:pPr>
              <w:pStyle w:val="12"/>
            </w:pPr>
            <w:r>
              <w:t>十五、资源勘探工业信息等支出</w:t>
            </w:r>
          </w:p>
        </w:tc>
        <w:tc>
          <w:tcPr>
            <w:tcW w:w="2126" w:type="dxa"/>
            <w:vAlign w:val="center"/>
          </w:tcPr>
          <w:p w14:paraId="055160ED">
            <w:pPr>
              <w:pStyle w:val="11"/>
            </w:pPr>
          </w:p>
        </w:tc>
      </w:tr>
      <w:tr w14:paraId="2E02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924D2">
            <w:pPr>
              <w:pStyle w:val="13"/>
            </w:pPr>
            <w:r>
              <w:t>16</w:t>
            </w:r>
          </w:p>
        </w:tc>
        <w:tc>
          <w:tcPr>
            <w:tcW w:w="4535" w:type="dxa"/>
            <w:vAlign w:val="center"/>
          </w:tcPr>
          <w:p w14:paraId="6F18B600">
            <w:pPr>
              <w:pStyle w:val="12"/>
            </w:pPr>
          </w:p>
        </w:tc>
        <w:tc>
          <w:tcPr>
            <w:tcW w:w="2126" w:type="dxa"/>
            <w:vAlign w:val="center"/>
          </w:tcPr>
          <w:p w14:paraId="1485EAE5">
            <w:pPr>
              <w:pStyle w:val="11"/>
            </w:pPr>
          </w:p>
        </w:tc>
        <w:tc>
          <w:tcPr>
            <w:tcW w:w="4535" w:type="dxa"/>
            <w:vAlign w:val="center"/>
          </w:tcPr>
          <w:p w14:paraId="345A7851">
            <w:pPr>
              <w:pStyle w:val="12"/>
            </w:pPr>
            <w:r>
              <w:t>十六、商业服务业等支出</w:t>
            </w:r>
          </w:p>
        </w:tc>
        <w:tc>
          <w:tcPr>
            <w:tcW w:w="2126" w:type="dxa"/>
            <w:vAlign w:val="center"/>
          </w:tcPr>
          <w:p w14:paraId="17581213">
            <w:pPr>
              <w:pStyle w:val="11"/>
            </w:pPr>
          </w:p>
        </w:tc>
      </w:tr>
      <w:tr w14:paraId="1D7F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E3C4">
            <w:pPr>
              <w:pStyle w:val="13"/>
            </w:pPr>
            <w:r>
              <w:t>17</w:t>
            </w:r>
          </w:p>
        </w:tc>
        <w:tc>
          <w:tcPr>
            <w:tcW w:w="4535" w:type="dxa"/>
            <w:vAlign w:val="center"/>
          </w:tcPr>
          <w:p w14:paraId="7EBAACA9">
            <w:pPr>
              <w:pStyle w:val="12"/>
            </w:pPr>
          </w:p>
        </w:tc>
        <w:tc>
          <w:tcPr>
            <w:tcW w:w="2126" w:type="dxa"/>
            <w:vAlign w:val="center"/>
          </w:tcPr>
          <w:p w14:paraId="17F874D6">
            <w:pPr>
              <w:pStyle w:val="11"/>
            </w:pPr>
          </w:p>
        </w:tc>
        <w:tc>
          <w:tcPr>
            <w:tcW w:w="4535" w:type="dxa"/>
            <w:vAlign w:val="center"/>
          </w:tcPr>
          <w:p w14:paraId="55E99AD8">
            <w:pPr>
              <w:pStyle w:val="12"/>
            </w:pPr>
            <w:r>
              <w:t>十七、金融支出</w:t>
            </w:r>
          </w:p>
        </w:tc>
        <w:tc>
          <w:tcPr>
            <w:tcW w:w="2126" w:type="dxa"/>
            <w:vAlign w:val="center"/>
          </w:tcPr>
          <w:p w14:paraId="5D72008F">
            <w:pPr>
              <w:pStyle w:val="11"/>
            </w:pPr>
          </w:p>
        </w:tc>
      </w:tr>
      <w:tr w14:paraId="722A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5DE8">
            <w:pPr>
              <w:pStyle w:val="13"/>
            </w:pPr>
            <w:r>
              <w:t>18</w:t>
            </w:r>
          </w:p>
        </w:tc>
        <w:tc>
          <w:tcPr>
            <w:tcW w:w="4535" w:type="dxa"/>
            <w:vAlign w:val="center"/>
          </w:tcPr>
          <w:p w14:paraId="57956BA7">
            <w:pPr>
              <w:pStyle w:val="12"/>
            </w:pPr>
          </w:p>
        </w:tc>
        <w:tc>
          <w:tcPr>
            <w:tcW w:w="2126" w:type="dxa"/>
            <w:vAlign w:val="center"/>
          </w:tcPr>
          <w:p w14:paraId="5E5ECBAE">
            <w:pPr>
              <w:pStyle w:val="11"/>
            </w:pPr>
          </w:p>
        </w:tc>
        <w:tc>
          <w:tcPr>
            <w:tcW w:w="4535" w:type="dxa"/>
            <w:vAlign w:val="center"/>
          </w:tcPr>
          <w:p w14:paraId="41DA6E38">
            <w:pPr>
              <w:pStyle w:val="12"/>
            </w:pPr>
            <w:r>
              <w:t>十八、援助其他地区支出</w:t>
            </w:r>
          </w:p>
        </w:tc>
        <w:tc>
          <w:tcPr>
            <w:tcW w:w="2126" w:type="dxa"/>
            <w:vAlign w:val="center"/>
          </w:tcPr>
          <w:p w14:paraId="0BE158FD">
            <w:pPr>
              <w:pStyle w:val="11"/>
            </w:pPr>
          </w:p>
        </w:tc>
      </w:tr>
      <w:tr w14:paraId="4E6D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2F25">
            <w:pPr>
              <w:pStyle w:val="13"/>
            </w:pPr>
            <w:r>
              <w:t>19</w:t>
            </w:r>
          </w:p>
        </w:tc>
        <w:tc>
          <w:tcPr>
            <w:tcW w:w="4535" w:type="dxa"/>
            <w:vAlign w:val="center"/>
          </w:tcPr>
          <w:p w14:paraId="4E76FD4F">
            <w:pPr>
              <w:pStyle w:val="12"/>
            </w:pPr>
          </w:p>
        </w:tc>
        <w:tc>
          <w:tcPr>
            <w:tcW w:w="2126" w:type="dxa"/>
            <w:vAlign w:val="center"/>
          </w:tcPr>
          <w:p w14:paraId="6F938F8F">
            <w:pPr>
              <w:pStyle w:val="11"/>
            </w:pPr>
          </w:p>
        </w:tc>
        <w:tc>
          <w:tcPr>
            <w:tcW w:w="4535" w:type="dxa"/>
            <w:vAlign w:val="center"/>
          </w:tcPr>
          <w:p w14:paraId="0216C61B">
            <w:pPr>
              <w:pStyle w:val="12"/>
            </w:pPr>
            <w:r>
              <w:t>十九、自然资源海洋气象等支出</w:t>
            </w:r>
          </w:p>
        </w:tc>
        <w:tc>
          <w:tcPr>
            <w:tcW w:w="2126" w:type="dxa"/>
            <w:vAlign w:val="center"/>
          </w:tcPr>
          <w:p w14:paraId="38874A97">
            <w:pPr>
              <w:pStyle w:val="11"/>
            </w:pPr>
          </w:p>
        </w:tc>
      </w:tr>
      <w:tr w14:paraId="2F5A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15E7C">
            <w:pPr>
              <w:pStyle w:val="13"/>
            </w:pPr>
            <w:r>
              <w:t>20</w:t>
            </w:r>
          </w:p>
        </w:tc>
        <w:tc>
          <w:tcPr>
            <w:tcW w:w="4535" w:type="dxa"/>
            <w:vAlign w:val="center"/>
          </w:tcPr>
          <w:p w14:paraId="5628AF6F">
            <w:pPr>
              <w:pStyle w:val="12"/>
            </w:pPr>
          </w:p>
        </w:tc>
        <w:tc>
          <w:tcPr>
            <w:tcW w:w="2126" w:type="dxa"/>
            <w:vAlign w:val="center"/>
          </w:tcPr>
          <w:p w14:paraId="1EFE97F6">
            <w:pPr>
              <w:pStyle w:val="11"/>
            </w:pPr>
          </w:p>
        </w:tc>
        <w:tc>
          <w:tcPr>
            <w:tcW w:w="4535" w:type="dxa"/>
            <w:vAlign w:val="center"/>
          </w:tcPr>
          <w:p w14:paraId="75C8F08D">
            <w:pPr>
              <w:pStyle w:val="12"/>
            </w:pPr>
            <w:r>
              <w:t>二十、住房保障支出</w:t>
            </w:r>
          </w:p>
        </w:tc>
        <w:tc>
          <w:tcPr>
            <w:tcW w:w="2126" w:type="dxa"/>
            <w:vAlign w:val="center"/>
          </w:tcPr>
          <w:p w14:paraId="38DA42DC">
            <w:pPr>
              <w:pStyle w:val="11"/>
            </w:pPr>
          </w:p>
        </w:tc>
      </w:tr>
      <w:tr w14:paraId="7DC9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41495">
            <w:pPr>
              <w:pStyle w:val="13"/>
            </w:pPr>
            <w:r>
              <w:t>21</w:t>
            </w:r>
          </w:p>
        </w:tc>
        <w:tc>
          <w:tcPr>
            <w:tcW w:w="4535" w:type="dxa"/>
            <w:vAlign w:val="center"/>
          </w:tcPr>
          <w:p w14:paraId="3B0A2BDC">
            <w:pPr>
              <w:pStyle w:val="12"/>
            </w:pPr>
          </w:p>
        </w:tc>
        <w:tc>
          <w:tcPr>
            <w:tcW w:w="2126" w:type="dxa"/>
            <w:vAlign w:val="center"/>
          </w:tcPr>
          <w:p w14:paraId="2395276B">
            <w:pPr>
              <w:pStyle w:val="11"/>
            </w:pPr>
          </w:p>
        </w:tc>
        <w:tc>
          <w:tcPr>
            <w:tcW w:w="4535" w:type="dxa"/>
            <w:vAlign w:val="center"/>
          </w:tcPr>
          <w:p w14:paraId="640B7B05">
            <w:pPr>
              <w:pStyle w:val="12"/>
            </w:pPr>
            <w:r>
              <w:t>二十一、粮油物资储备支出</w:t>
            </w:r>
          </w:p>
        </w:tc>
        <w:tc>
          <w:tcPr>
            <w:tcW w:w="2126" w:type="dxa"/>
            <w:vAlign w:val="center"/>
          </w:tcPr>
          <w:p w14:paraId="7289F282">
            <w:pPr>
              <w:pStyle w:val="11"/>
            </w:pPr>
          </w:p>
        </w:tc>
      </w:tr>
      <w:tr w14:paraId="5F29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82614">
            <w:pPr>
              <w:pStyle w:val="13"/>
            </w:pPr>
            <w:r>
              <w:t>22</w:t>
            </w:r>
          </w:p>
        </w:tc>
        <w:tc>
          <w:tcPr>
            <w:tcW w:w="4535" w:type="dxa"/>
            <w:vAlign w:val="center"/>
          </w:tcPr>
          <w:p w14:paraId="50F14D52">
            <w:pPr>
              <w:pStyle w:val="12"/>
            </w:pPr>
          </w:p>
        </w:tc>
        <w:tc>
          <w:tcPr>
            <w:tcW w:w="2126" w:type="dxa"/>
            <w:vAlign w:val="center"/>
          </w:tcPr>
          <w:p w14:paraId="7AD84122">
            <w:pPr>
              <w:pStyle w:val="11"/>
            </w:pPr>
          </w:p>
        </w:tc>
        <w:tc>
          <w:tcPr>
            <w:tcW w:w="4535" w:type="dxa"/>
            <w:vAlign w:val="center"/>
          </w:tcPr>
          <w:p w14:paraId="32CAB3A5">
            <w:pPr>
              <w:pStyle w:val="12"/>
            </w:pPr>
            <w:r>
              <w:t>二十二、国有资本经营预算支出</w:t>
            </w:r>
          </w:p>
        </w:tc>
        <w:tc>
          <w:tcPr>
            <w:tcW w:w="2126" w:type="dxa"/>
            <w:vAlign w:val="center"/>
          </w:tcPr>
          <w:p w14:paraId="0CA2CCEE">
            <w:pPr>
              <w:pStyle w:val="11"/>
            </w:pPr>
          </w:p>
        </w:tc>
      </w:tr>
      <w:tr w14:paraId="14BF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2A59">
            <w:pPr>
              <w:pStyle w:val="13"/>
            </w:pPr>
            <w:r>
              <w:t>23</w:t>
            </w:r>
          </w:p>
        </w:tc>
        <w:tc>
          <w:tcPr>
            <w:tcW w:w="4535" w:type="dxa"/>
            <w:vAlign w:val="center"/>
          </w:tcPr>
          <w:p w14:paraId="32E6543F">
            <w:pPr>
              <w:pStyle w:val="12"/>
            </w:pPr>
          </w:p>
        </w:tc>
        <w:tc>
          <w:tcPr>
            <w:tcW w:w="2126" w:type="dxa"/>
            <w:vAlign w:val="center"/>
          </w:tcPr>
          <w:p w14:paraId="0EE2BBE1">
            <w:pPr>
              <w:pStyle w:val="11"/>
            </w:pPr>
          </w:p>
        </w:tc>
        <w:tc>
          <w:tcPr>
            <w:tcW w:w="4535" w:type="dxa"/>
            <w:vAlign w:val="center"/>
          </w:tcPr>
          <w:p w14:paraId="141F9554">
            <w:pPr>
              <w:pStyle w:val="12"/>
            </w:pPr>
            <w:r>
              <w:t>二十三、灾害防治及应急管理支出</w:t>
            </w:r>
          </w:p>
        </w:tc>
        <w:tc>
          <w:tcPr>
            <w:tcW w:w="2126" w:type="dxa"/>
            <w:vAlign w:val="center"/>
          </w:tcPr>
          <w:p w14:paraId="2DA23871">
            <w:pPr>
              <w:pStyle w:val="11"/>
            </w:pPr>
          </w:p>
        </w:tc>
      </w:tr>
      <w:tr w14:paraId="7F1B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56F24">
            <w:pPr>
              <w:pStyle w:val="13"/>
            </w:pPr>
            <w:r>
              <w:t>24</w:t>
            </w:r>
          </w:p>
        </w:tc>
        <w:tc>
          <w:tcPr>
            <w:tcW w:w="4535" w:type="dxa"/>
            <w:vAlign w:val="center"/>
          </w:tcPr>
          <w:p w14:paraId="55069D54">
            <w:pPr>
              <w:pStyle w:val="12"/>
            </w:pPr>
          </w:p>
        </w:tc>
        <w:tc>
          <w:tcPr>
            <w:tcW w:w="2126" w:type="dxa"/>
            <w:vAlign w:val="center"/>
          </w:tcPr>
          <w:p w14:paraId="658A94EA">
            <w:pPr>
              <w:pStyle w:val="11"/>
            </w:pPr>
          </w:p>
        </w:tc>
        <w:tc>
          <w:tcPr>
            <w:tcW w:w="4535" w:type="dxa"/>
            <w:vAlign w:val="center"/>
          </w:tcPr>
          <w:p w14:paraId="79124C97">
            <w:pPr>
              <w:pStyle w:val="12"/>
            </w:pPr>
            <w:r>
              <w:t>二十四、预备费</w:t>
            </w:r>
          </w:p>
        </w:tc>
        <w:tc>
          <w:tcPr>
            <w:tcW w:w="2126" w:type="dxa"/>
            <w:vAlign w:val="center"/>
          </w:tcPr>
          <w:p w14:paraId="4EEF2AE1">
            <w:pPr>
              <w:pStyle w:val="11"/>
            </w:pPr>
          </w:p>
        </w:tc>
      </w:tr>
      <w:tr w14:paraId="788DB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C2983">
            <w:pPr>
              <w:pStyle w:val="13"/>
            </w:pPr>
            <w:r>
              <w:t>25</w:t>
            </w:r>
          </w:p>
        </w:tc>
        <w:tc>
          <w:tcPr>
            <w:tcW w:w="4535" w:type="dxa"/>
            <w:vAlign w:val="center"/>
          </w:tcPr>
          <w:p w14:paraId="584B272F">
            <w:pPr>
              <w:pStyle w:val="12"/>
            </w:pPr>
          </w:p>
        </w:tc>
        <w:tc>
          <w:tcPr>
            <w:tcW w:w="2126" w:type="dxa"/>
            <w:vAlign w:val="center"/>
          </w:tcPr>
          <w:p w14:paraId="5A237D88">
            <w:pPr>
              <w:pStyle w:val="11"/>
            </w:pPr>
          </w:p>
        </w:tc>
        <w:tc>
          <w:tcPr>
            <w:tcW w:w="4535" w:type="dxa"/>
            <w:vAlign w:val="center"/>
          </w:tcPr>
          <w:p w14:paraId="47DB1A85">
            <w:pPr>
              <w:pStyle w:val="12"/>
            </w:pPr>
            <w:r>
              <w:t>二十五、其他支出</w:t>
            </w:r>
          </w:p>
        </w:tc>
        <w:tc>
          <w:tcPr>
            <w:tcW w:w="2126" w:type="dxa"/>
            <w:vAlign w:val="center"/>
          </w:tcPr>
          <w:p w14:paraId="098D1D0A">
            <w:pPr>
              <w:pStyle w:val="11"/>
            </w:pPr>
          </w:p>
        </w:tc>
      </w:tr>
      <w:tr w14:paraId="23AF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967F0">
            <w:pPr>
              <w:pStyle w:val="13"/>
            </w:pPr>
            <w:r>
              <w:t>26</w:t>
            </w:r>
          </w:p>
        </w:tc>
        <w:tc>
          <w:tcPr>
            <w:tcW w:w="4535" w:type="dxa"/>
            <w:vAlign w:val="center"/>
          </w:tcPr>
          <w:p w14:paraId="49FBFD5A">
            <w:pPr>
              <w:pStyle w:val="12"/>
            </w:pPr>
          </w:p>
        </w:tc>
        <w:tc>
          <w:tcPr>
            <w:tcW w:w="2126" w:type="dxa"/>
            <w:vAlign w:val="center"/>
          </w:tcPr>
          <w:p w14:paraId="7236D355">
            <w:pPr>
              <w:pStyle w:val="11"/>
            </w:pPr>
          </w:p>
        </w:tc>
        <w:tc>
          <w:tcPr>
            <w:tcW w:w="4535" w:type="dxa"/>
            <w:vAlign w:val="center"/>
          </w:tcPr>
          <w:p w14:paraId="7D5BEFFD">
            <w:pPr>
              <w:pStyle w:val="12"/>
            </w:pPr>
            <w:r>
              <w:t>二十六、转移性支出</w:t>
            </w:r>
          </w:p>
        </w:tc>
        <w:tc>
          <w:tcPr>
            <w:tcW w:w="2126" w:type="dxa"/>
            <w:vAlign w:val="center"/>
          </w:tcPr>
          <w:p w14:paraId="0DDD84F3">
            <w:pPr>
              <w:pStyle w:val="11"/>
            </w:pPr>
          </w:p>
        </w:tc>
      </w:tr>
      <w:tr w14:paraId="64D8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E90B">
            <w:pPr>
              <w:pStyle w:val="13"/>
            </w:pPr>
            <w:r>
              <w:t>27</w:t>
            </w:r>
          </w:p>
        </w:tc>
        <w:tc>
          <w:tcPr>
            <w:tcW w:w="4535" w:type="dxa"/>
            <w:vAlign w:val="center"/>
          </w:tcPr>
          <w:p w14:paraId="21DE65AC">
            <w:pPr>
              <w:pStyle w:val="12"/>
            </w:pPr>
          </w:p>
        </w:tc>
        <w:tc>
          <w:tcPr>
            <w:tcW w:w="2126" w:type="dxa"/>
            <w:vAlign w:val="center"/>
          </w:tcPr>
          <w:p w14:paraId="652F420C">
            <w:pPr>
              <w:pStyle w:val="11"/>
            </w:pPr>
          </w:p>
        </w:tc>
        <w:tc>
          <w:tcPr>
            <w:tcW w:w="4535" w:type="dxa"/>
            <w:vAlign w:val="center"/>
          </w:tcPr>
          <w:p w14:paraId="79B9C428">
            <w:pPr>
              <w:pStyle w:val="12"/>
            </w:pPr>
            <w:r>
              <w:t>二十七、债务还本支出</w:t>
            </w:r>
          </w:p>
        </w:tc>
        <w:tc>
          <w:tcPr>
            <w:tcW w:w="2126" w:type="dxa"/>
            <w:vAlign w:val="center"/>
          </w:tcPr>
          <w:p w14:paraId="4B0B6941">
            <w:pPr>
              <w:pStyle w:val="11"/>
            </w:pPr>
          </w:p>
        </w:tc>
      </w:tr>
      <w:tr w14:paraId="5DD16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8027">
            <w:pPr>
              <w:pStyle w:val="13"/>
            </w:pPr>
            <w:r>
              <w:t>28</w:t>
            </w:r>
          </w:p>
        </w:tc>
        <w:tc>
          <w:tcPr>
            <w:tcW w:w="4535" w:type="dxa"/>
            <w:vAlign w:val="center"/>
          </w:tcPr>
          <w:p w14:paraId="6398CB0B">
            <w:pPr>
              <w:pStyle w:val="12"/>
            </w:pPr>
          </w:p>
        </w:tc>
        <w:tc>
          <w:tcPr>
            <w:tcW w:w="2126" w:type="dxa"/>
            <w:vAlign w:val="center"/>
          </w:tcPr>
          <w:p w14:paraId="60F6B111">
            <w:pPr>
              <w:pStyle w:val="11"/>
            </w:pPr>
          </w:p>
        </w:tc>
        <w:tc>
          <w:tcPr>
            <w:tcW w:w="4535" w:type="dxa"/>
            <w:vAlign w:val="center"/>
          </w:tcPr>
          <w:p w14:paraId="772FC21A">
            <w:pPr>
              <w:pStyle w:val="12"/>
            </w:pPr>
            <w:r>
              <w:t>二十八、债务付息支出</w:t>
            </w:r>
          </w:p>
        </w:tc>
        <w:tc>
          <w:tcPr>
            <w:tcW w:w="2126" w:type="dxa"/>
            <w:vAlign w:val="center"/>
          </w:tcPr>
          <w:p w14:paraId="0968081E">
            <w:pPr>
              <w:pStyle w:val="11"/>
            </w:pPr>
          </w:p>
        </w:tc>
      </w:tr>
      <w:tr w14:paraId="69E8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27D19">
            <w:pPr>
              <w:pStyle w:val="13"/>
            </w:pPr>
            <w:r>
              <w:t>29</w:t>
            </w:r>
          </w:p>
        </w:tc>
        <w:tc>
          <w:tcPr>
            <w:tcW w:w="4535" w:type="dxa"/>
            <w:vAlign w:val="center"/>
          </w:tcPr>
          <w:p w14:paraId="310888DE">
            <w:pPr>
              <w:pStyle w:val="12"/>
            </w:pPr>
          </w:p>
        </w:tc>
        <w:tc>
          <w:tcPr>
            <w:tcW w:w="2126" w:type="dxa"/>
            <w:vAlign w:val="center"/>
          </w:tcPr>
          <w:p w14:paraId="07662068">
            <w:pPr>
              <w:pStyle w:val="11"/>
            </w:pPr>
          </w:p>
        </w:tc>
        <w:tc>
          <w:tcPr>
            <w:tcW w:w="4535" w:type="dxa"/>
            <w:vAlign w:val="center"/>
          </w:tcPr>
          <w:p w14:paraId="64E2079D">
            <w:pPr>
              <w:pStyle w:val="12"/>
            </w:pPr>
            <w:r>
              <w:t>二十九、债务发行费用支出</w:t>
            </w:r>
          </w:p>
        </w:tc>
        <w:tc>
          <w:tcPr>
            <w:tcW w:w="2126" w:type="dxa"/>
            <w:vAlign w:val="center"/>
          </w:tcPr>
          <w:p w14:paraId="5667C14A">
            <w:pPr>
              <w:pStyle w:val="11"/>
            </w:pPr>
          </w:p>
        </w:tc>
      </w:tr>
      <w:tr w14:paraId="09F2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840B">
            <w:pPr>
              <w:pStyle w:val="13"/>
            </w:pPr>
            <w:r>
              <w:t>30</w:t>
            </w:r>
          </w:p>
        </w:tc>
        <w:tc>
          <w:tcPr>
            <w:tcW w:w="4535" w:type="dxa"/>
            <w:vAlign w:val="center"/>
          </w:tcPr>
          <w:p w14:paraId="72BC8C00">
            <w:pPr>
              <w:pStyle w:val="12"/>
            </w:pPr>
          </w:p>
        </w:tc>
        <w:tc>
          <w:tcPr>
            <w:tcW w:w="2126" w:type="dxa"/>
            <w:vAlign w:val="center"/>
          </w:tcPr>
          <w:p w14:paraId="382E801E">
            <w:pPr>
              <w:pStyle w:val="11"/>
            </w:pPr>
          </w:p>
        </w:tc>
        <w:tc>
          <w:tcPr>
            <w:tcW w:w="4535" w:type="dxa"/>
            <w:vAlign w:val="center"/>
          </w:tcPr>
          <w:p w14:paraId="47A4978D">
            <w:pPr>
              <w:pStyle w:val="12"/>
            </w:pPr>
            <w:r>
              <w:t>三十、抗疫特别国债安排的支出</w:t>
            </w:r>
          </w:p>
        </w:tc>
        <w:tc>
          <w:tcPr>
            <w:tcW w:w="2126" w:type="dxa"/>
            <w:vAlign w:val="center"/>
          </w:tcPr>
          <w:p w14:paraId="3EC55115">
            <w:pPr>
              <w:pStyle w:val="11"/>
            </w:pPr>
          </w:p>
        </w:tc>
      </w:tr>
      <w:tr w14:paraId="43FD7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F58FB">
            <w:pPr>
              <w:pStyle w:val="13"/>
            </w:pPr>
            <w:r>
              <w:t>31</w:t>
            </w:r>
          </w:p>
        </w:tc>
        <w:tc>
          <w:tcPr>
            <w:tcW w:w="4535" w:type="dxa"/>
            <w:vAlign w:val="center"/>
          </w:tcPr>
          <w:p w14:paraId="48095904">
            <w:pPr>
              <w:pStyle w:val="14"/>
            </w:pPr>
            <w:r>
              <w:t>本年收入合计</w:t>
            </w:r>
          </w:p>
        </w:tc>
        <w:tc>
          <w:tcPr>
            <w:tcW w:w="2126" w:type="dxa"/>
            <w:vAlign w:val="center"/>
          </w:tcPr>
          <w:p w14:paraId="7705718D">
            <w:pPr>
              <w:pStyle w:val="15"/>
            </w:pPr>
            <w:r>
              <w:t>2483.92</w:t>
            </w:r>
          </w:p>
        </w:tc>
        <w:tc>
          <w:tcPr>
            <w:tcW w:w="4535" w:type="dxa"/>
            <w:vAlign w:val="center"/>
          </w:tcPr>
          <w:p w14:paraId="4E09D998">
            <w:pPr>
              <w:pStyle w:val="14"/>
            </w:pPr>
            <w:r>
              <w:t>本年支出合计</w:t>
            </w:r>
          </w:p>
        </w:tc>
        <w:tc>
          <w:tcPr>
            <w:tcW w:w="2126" w:type="dxa"/>
            <w:vAlign w:val="center"/>
          </w:tcPr>
          <w:p w14:paraId="00B9CF2C">
            <w:pPr>
              <w:pStyle w:val="15"/>
            </w:pPr>
            <w:r>
              <w:t>2483.92</w:t>
            </w:r>
          </w:p>
        </w:tc>
      </w:tr>
      <w:tr w14:paraId="7FF7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56949">
            <w:pPr>
              <w:pStyle w:val="13"/>
            </w:pPr>
            <w:r>
              <w:t>32</w:t>
            </w:r>
          </w:p>
        </w:tc>
        <w:tc>
          <w:tcPr>
            <w:tcW w:w="4535" w:type="dxa"/>
            <w:vAlign w:val="center"/>
          </w:tcPr>
          <w:p w14:paraId="5156F884">
            <w:pPr>
              <w:pStyle w:val="12"/>
            </w:pPr>
            <w:r>
              <w:t>上年结转结余</w:t>
            </w:r>
          </w:p>
        </w:tc>
        <w:tc>
          <w:tcPr>
            <w:tcW w:w="2126" w:type="dxa"/>
            <w:vAlign w:val="center"/>
          </w:tcPr>
          <w:p w14:paraId="2070F4ED">
            <w:pPr>
              <w:pStyle w:val="11"/>
            </w:pPr>
          </w:p>
        </w:tc>
        <w:tc>
          <w:tcPr>
            <w:tcW w:w="4535" w:type="dxa"/>
            <w:vAlign w:val="center"/>
          </w:tcPr>
          <w:p w14:paraId="4E03FFA8">
            <w:pPr>
              <w:pStyle w:val="12"/>
            </w:pPr>
            <w:r>
              <w:t>年终结转结余</w:t>
            </w:r>
          </w:p>
        </w:tc>
        <w:tc>
          <w:tcPr>
            <w:tcW w:w="2126" w:type="dxa"/>
            <w:vAlign w:val="center"/>
          </w:tcPr>
          <w:p w14:paraId="5DB462CA">
            <w:pPr>
              <w:pStyle w:val="11"/>
            </w:pPr>
          </w:p>
        </w:tc>
      </w:tr>
      <w:tr w14:paraId="51C4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5384E">
            <w:pPr>
              <w:pStyle w:val="13"/>
            </w:pPr>
            <w:r>
              <w:t>33</w:t>
            </w:r>
          </w:p>
        </w:tc>
        <w:tc>
          <w:tcPr>
            <w:tcW w:w="4535" w:type="dxa"/>
            <w:vAlign w:val="center"/>
          </w:tcPr>
          <w:p w14:paraId="558CD125">
            <w:pPr>
              <w:pStyle w:val="14"/>
            </w:pPr>
            <w:r>
              <w:t>收入总计</w:t>
            </w:r>
          </w:p>
        </w:tc>
        <w:tc>
          <w:tcPr>
            <w:tcW w:w="2126" w:type="dxa"/>
            <w:vAlign w:val="center"/>
          </w:tcPr>
          <w:p w14:paraId="0C867B52">
            <w:pPr>
              <w:pStyle w:val="15"/>
            </w:pPr>
            <w:r>
              <w:t>2483.92</w:t>
            </w:r>
          </w:p>
        </w:tc>
        <w:tc>
          <w:tcPr>
            <w:tcW w:w="4535" w:type="dxa"/>
            <w:vAlign w:val="center"/>
          </w:tcPr>
          <w:p w14:paraId="50ACA46A">
            <w:pPr>
              <w:pStyle w:val="14"/>
            </w:pPr>
            <w:r>
              <w:t>支出总计</w:t>
            </w:r>
          </w:p>
        </w:tc>
        <w:tc>
          <w:tcPr>
            <w:tcW w:w="2126" w:type="dxa"/>
            <w:vAlign w:val="center"/>
          </w:tcPr>
          <w:p w14:paraId="02C35315">
            <w:pPr>
              <w:pStyle w:val="15"/>
            </w:pPr>
            <w:r>
              <w:t>2483.92</w:t>
            </w:r>
          </w:p>
        </w:tc>
      </w:tr>
    </w:tbl>
    <w:p w14:paraId="71A126C2">
      <w:pPr>
        <w:sectPr>
          <w:pgSz w:w="16840" w:h="11900" w:orient="landscape"/>
          <w:pgMar w:top="1361" w:right="1020" w:bottom="1134" w:left="1020" w:header="720" w:footer="720" w:gutter="0"/>
          <w:cols w:space="720" w:num="1"/>
        </w:sectPr>
      </w:pPr>
    </w:p>
    <w:p w14:paraId="2830D6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67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C1B2DA">
            <w:pPr>
              <w:pStyle w:val="9"/>
            </w:pPr>
            <w:r>
              <w:t>360017隆尧县魏庄校区</w:t>
            </w:r>
          </w:p>
        </w:tc>
        <w:tc>
          <w:tcPr>
            <w:tcW w:w="3402" w:type="dxa"/>
            <w:gridSpan w:val="3"/>
            <w:tcBorders>
              <w:top w:val="single" w:color="FFFFFF" w:sz="6" w:space="0"/>
              <w:left w:val="single" w:color="FFFFFF" w:sz="6" w:space="0"/>
              <w:right w:val="single" w:color="FFFFFF" w:sz="6" w:space="0"/>
            </w:tcBorders>
            <w:vAlign w:val="center"/>
          </w:tcPr>
          <w:p w14:paraId="2BE7A7C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79E1421">
            <w:pPr>
              <w:pStyle w:val="7"/>
            </w:pPr>
            <w:r>
              <w:t>单位：万元</w:t>
            </w:r>
          </w:p>
        </w:tc>
      </w:tr>
      <w:tr w14:paraId="5171E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46E597">
            <w:pPr>
              <w:pStyle w:val="10"/>
            </w:pPr>
            <w:r>
              <w:t>序号</w:t>
            </w:r>
          </w:p>
        </w:tc>
        <w:tc>
          <w:tcPr>
            <w:tcW w:w="2551" w:type="dxa"/>
            <w:gridSpan w:val="2"/>
            <w:vAlign w:val="center"/>
          </w:tcPr>
          <w:p w14:paraId="3EEA2C7B">
            <w:pPr>
              <w:pStyle w:val="10"/>
            </w:pPr>
            <w:r>
              <w:t>功能分类科目</w:t>
            </w:r>
          </w:p>
        </w:tc>
        <w:tc>
          <w:tcPr>
            <w:tcW w:w="1134" w:type="dxa"/>
            <w:vMerge w:val="restart"/>
            <w:vAlign w:val="center"/>
          </w:tcPr>
          <w:p w14:paraId="0F98FCFB">
            <w:pPr>
              <w:pStyle w:val="10"/>
            </w:pPr>
            <w:r>
              <w:t>合计</w:t>
            </w:r>
          </w:p>
        </w:tc>
        <w:tc>
          <w:tcPr>
            <w:tcW w:w="9072" w:type="dxa"/>
            <w:gridSpan w:val="8"/>
            <w:vAlign w:val="center"/>
          </w:tcPr>
          <w:p w14:paraId="0DDB816B">
            <w:pPr>
              <w:pStyle w:val="10"/>
            </w:pPr>
            <w:r>
              <w:t>本年收入</w:t>
            </w:r>
          </w:p>
        </w:tc>
        <w:tc>
          <w:tcPr>
            <w:tcW w:w="1134" w:type="dxa"/>
            <w:vMerge w:val="restart"/>
            <w:vAlign w:val="center"/>
          </w:tcPr>
          <w:p w14:paraId="3FC21F67">
            <w:pPr>
              <w:pStyle w:val="10"/>
            </w:pPr>
            <w:r>
              <w:t>上年结转</w:t>
            </w:r>
          </w:p>
        </w:tc>
      </w:tr>
      <w:tr w14:paraId="37A6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2BE229"/>
        </w:tc>
        <w:tc>
          <w:tcPr>
            <w:tcW w:w="992" w:type="dxa"/>
            <w:vAlign w:val="center"/>
          </w:tcPr>
          <w:p w14:paraId="4FBBC2B1">
            <w:pPr>
              <w:pStyle w:val="10"/>
            </w:pPr>
            <w:r>
              <w:t>科目    编码</w:t>
            </w:r>
          </w:p>
        </w:tc>
        <w:tc>
          <w:tcPr>
            <w:tcW w:w="1559" w:type="dxa"/>
            <w:vAlign w:val="center"/>
          </w:tcPr>
          <w:p w14:paraId="52D6ACB5">
            <w:pPr>
              <w:pStyle w:val="10"/>
            </w:pPr>
            <w:r>
              <w:t>科目名称</w:t>
            </w:r>
          </w:p>
        </w:tc>
        <w:tc>
          <w:tcPr>
            <w:tcW w:w="1134" w:type="dxa"/>
            <w:vMerge w:val="continue"/>
          </w:tcPr>
          <w:p w14:paraId="3EA7181D"/>
        </w:tc>
        <w:tc>
          <w:tcPr>
            <w:tcW w:w="1134" w:type="dxa"/>
            <w:vAlign w:val="center"/>
          </w:tcPr>
          <w:p w14:paraId="1BB4964D">
            <w:pPr>
              <w:pStyle w:val="10"/>
            </w:pPr>
            <w:r>
              <w:t>小计</w:t>
            </w:r>
          </w:p>
        </w:tc>
        <w:tc>
          <w:tcPr>
            <w:tcW w:w="1134" w:type="dxa"/>
            <w:vAlign w:val="center"/>
          </w:tcPr>
          <w:p w14:paraId="0B540B38">
            <w:pPr>
              <w:pStyle w:val="10"/>
            </w:pPr>
            <w:r>
              <w:t>财政拨款 收入</w:t>
            </w:r>
          </w:p>
        </w:tc>
        <w:tc>
          <w:tcPr>
            <w:tcW w:w="1134" w:type="dxa"/>
            <w:vAlign w:val="center"/>
          </w:tcPr>
          <w:p w14:paraId="110BECE5">
            <w:pPr>
              <w:pStyle w:val="10"/>
            </w:pPr>
            <w:r>
              <w:t>财政专户 收入</w:t>
            </w:r>
          </w:p>
        </w:tc>
        <w:tc>
          <w:tcPr>
            <w:tcW w:w="1134" w:type="dxa"/>
            <w:vAlign w:val="center"/>
          </w:tcPr>
          <w:p w14:paraId="4412ED0E">
            <w:pPr>
              <w:pStyle w:val="10"/>
            </w:pPr>
            <w:r>
              <w:t>事业收入</w:t>
            </w:r>
          </w:p>
        </w:tc>
        <w:tc>
          <w:tcPr>
            <w:tcW w:w="1134" w:type="dxa"/>
            <w:vAlign w:val="center"/>
          </w:tcPr>
          <w:p w14:paraId="42C16923">
            <w:pPr>
              <w:pStyle w:val="10"/>
            </w:pPr>
            <w:r>
              <w:t>经营收入</w:t>
            </w:r>
          </w:p>
        </w:tc>
        <w:tc>
          <w:tcPr>
            <w:tcW w:w="1134" w:type="dxa"/>
            <w:vAlign w:val="center"/>
          </w:tcPr>
          <w:p w14:paraId="22143CBC">
            <w:pPr>
              <w:pStyle w:val="10"/>
            </w:pPr>
            <w:r>
              <w:t>上级补助收入</w:t>
            </w:r>
          </w:p>
        </w:tc>
        <w:tc>
          <w:tcPr>
            <w:tcW w:w="1134" w:type="dxa"/>
            <w:vAlign w:val="center"/>
          </w:tcPr>
          <w:p w14:paraId="2B5BFF43">
            <w:pPr>
              <w:pStyle w:val="10"/>
            </w:pPr>
            <w:r>
              <w:t>附属单位上缴收入</w:t>
            </w:r>
          </w:p>
        </w:tc>
        <w:tc>
          <w:tcPr>
            <w:tcW w:w="1134" w:type="dxa"/>
            <w:vAlign w:val="center"/>
          </w:tcPr>
          <w:p w14:paraId="14AD8249">
            <w:pPr>
              <w:pStyle w:val="10"/>
            </w:pPr>
            <w:r>
              <w:t>其他收入</w:t>
            </w:r>
          </w:p>
        </w:tc>
        <w:tc>
          <w:tcPr>
            <w:tcW w:w="1134" w:type="dxa"/>
            <w:vMerge w:val="continue"/>
          </w:tcPr>
          <w:p w14:paraId="211CF8DA"/>
        </w:tc>
      </w:tr>
      <w:tr w14:paraId="0A35D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694648">
            <w:pPr>
              <w:pStyle w:val="10"/>
            </w:pPr>
            <w:r>
              <w:t>栏次</w:t>
            </w:r>
          </w:p>
        </w:tc>
        <w:tc>
          <w:tcPr>
            <w:tcW w:w="992" w:type="dxa"/>
            <w:vAlign w:val="center"/>
          </w:tcPr>
          <w:p w14:paraId="63D6F332">
            <w:pPr>
              <w:pStyle w:val="10"/>
            </w:pPr>
            <w:r>
              <w:t>1</w:t>
            </w:r>
          </w:p>
        </w:tc>
        <w:tc>
          <w:tcPr>
            <w:tcW w:w="1559" w:type="dxa"/>
            <w:vAlign w:val="center"/>
          </w:tcPr>
          <w:p w14:paraId="3E0F2163">
            <w:pPr>
              <w:pStyle w:val="10"/>
            </w:pPr>
            <w:r>
              <w:t>2</w:t>
            </w:r>
          </w:p>
        </w:tc>
        <w:tc>
          <w:tcPr>
            <w:tcW w:w="1134" w:type="dxa"/>
            <w:vAlign w:val="center"/>
          </w:tcPr>
          <w:p w14:paraId="5419D59C">
            <w:pPr>
              <w:pStyle w:val="10"/>
            </w:pPr>
            <w:r>
              <w:t>3</w:t>
            </w:r>
          </w:p>
        </w:tc>
        <w:tc>
          <w:tcPr>
            <w:tcW w:w="1134" w:type="dxa"/>
            <w:vAlign w:val="center"/>
          </w:tcPr>
          <w:p w14:paraId="4F422871">
            <w:pPr>
              <w:pStyle w:val="10"/>
            </w:pPr>
            <w:r>
              <w:t>4</w:t>
            </w:r>
          </w:p>
        </w:tc>
        <w:tc>
          <w:tcPr>
            <w:tcW w:w="1134" w:type="dxa"/>
            <w:vAlign w:val="center"/>
          </w:tcPr>
          <w:p w14:paraId="30345149">
            <w:pPr>
              <w:pStyle w:val="10"/>
            </w:pPr>
            <w:r>
              <w:t>5</w:t>
            </w:r>
          </w:p>
        </w:tc>
        <w:tc>
          <w:tcPr>
            <w:tcW w:w="1134" w:type="dxa"/>
            <w:vAlign w:val="center"/>
          </w:tcPr>
          <w:p w14:paraId="51461567">
            <w:pPr>
              <w:pStyle w:val="10"/>
            </w:pPr>
            <w:r>
              <w:t>6</w:t>
            </w:r>
          </w:p>
        </w:tc>
        <w:tc>
          <w:tcPr>
            <w:tcW w:w="1134" w:type="dxa"/>
            <w:vAlign w:val="center"/>
          </w:tcPr>
          <w:p w14:paraId="22C4DFBA">
            <w:pPr>
              <w:pStyle w:val="10"/>
            </w:pPr>
            <w:r>
              <w:t>7</w:t>
            </w:r>
          </w:p>
        </w:tc>
        <w:tc>
          <w:tcPr>
            <w:tcW w:w="1134" w:type="dxa"/>
            <w:vAlign w:val="center"/>
          </w:tcPr>
          <w:p w14:paraId="587C76E9">
            <w:pPr>
              <w:pStyle w:val="10"/>
            </w:pPr>
            <w:r>
              <w:t>8</w:t>
            </w:r>
          </w:p>
        </w:tc>
        <w:tc>
          <w:tcPr>
            <w:tcW w:w="1134" w:type="dxa"/>
            <w:vAlign w:val="center"/>
          </w:tcPr>
          <w:p w14:paraId="11E95D70">
            <w:pPr>
              <w:pStyle w:val="10"/>
            </w:pPr>
            <w:r>
              <w:t>9</w:t>
            </w:r>
          </w:p>
        </w:tc>
        <w:tc>
          <w:tcPr>
            <w:tcW w:w="1134" w:type="dxa"/>
            <w:vAlign w:val="center"/>
          </w:tcPr>
          <w:p w14:paraId="4B1E48DB">
            <w:pPr>
              <w:pStyle w:val="10"/>
            </w:pPr>
            <w:r>
              <w:t>10</w:t>
            </w:r>
          </w:p>
        </w:tc>
        <w:tc>
          <w:tcPr>
            <w:tcW w:w="1134" w:type="dxa"/>
            <w:vAlign w:val="center"/>
          </w:tcPr>
          <w:p w14:paraId="18E9FA2E">
            <w:pPr>
              <w:pStyle w:val="10"/>
            </w:pPr>
            <w:r>
              <w:t>11</w:t>
            </w:r>
          </w:p>
        </w:tc>
        <w:tc>
          <w:tcPr>
            <w:tcW w:w="1134" w:type="dxa"/>
            <w:vAlign w:val="center"/>
          </w:tcPr>
          <w:p w14:paraId="5FFEB5D3">
            <w:pPr>
              <w:pStyle w:val="10"/>
            </w:pPr>
            <w:r>
              <w:t>12</w:t>
            </w:r>
          </w:p>
        </w:tc>
      </w:tr>
      <w:tr w14:paraId="3555C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95333">
            <w:pPr>
              <w:pStyle w:val="13"/>
            </w:pPr>
            <w:r>
              <w:t>1</w:t>
            </w:r>
          </w:p>
        </w:tc>
        <w:tc>
          <w:tcPr>
            <w:tcW w:w="992" w:type="dxa"/>
            <w:vAlign w:val="center"/>
          </w:tcPr>
          <w:p w14:paraId="544A92EA">
            <w:pPr>
              <w:pStyle w:val="16"/>
            </w:pPr>
          </w:p>
        </w:tc>
        <w:tc>
          <w:tcPr>
            <w:tcW w:w="1559" w:type="dxa"/>
            <w:vAlign w:val="center"/>
          </w:tcPr>
          <w:p w14:paraId="71B3DB85">
            <w:pPr>
              <w:pStyle w:val="14"/>
            </w:pPr>
            <w:r>
              <w:t>合计</w:t>
            </w:r>
          </w:p>
        </w:tc>
        <w:tc>
          <w:tcPr>
            <w:tcW w:w="1134" w:type="dxa"/>
            <w:vAlign w:val="center"/>
          </w:tcPr>
          <w:p w14:paraId="406A51AF">
            <w:pPr>
              <w:pStyle w:val="15"/>
            </w:pPr>
            <w:r>
              <w:t>2483.92</w:t>
            </w:r>
          </w:p>
        </w:tc>
        <w:tc>
          <w:tcPr>
            <w:tcW w:w="1134" w:type="dxa"/>
            <w:vAlign w:val="center"/>
          </w:tcPr>
          <w:p w14:paraId="6D7383B5">
            <w:pPr>
              <w:pStyle w:val="15"/>
            </w:pPr>
            <w:r>
              <w:t>2483.92</w:t>
            </w:r>
          </w:p>
        </w:tc>
        <w:tc>
          <w:tcPr>
            <w:tcW w:w="1134" w:type="dxa"/>
            <w:vAlign w:val="center"/>
          </w:tcPr>
          <w:p w14:paraId="45199E02">
            <w:pPr>
              <w:pStyle w:val="15"/>
            </w:pPr>
            <w:r>
              <w:t>2483.92</w:t>
            </w:r>
          </w:p>
        </w:tc>
        <w:tc>
          <w:tcPr>
            <w:tcW w:w="1134" w:type="dxa"/>
            <w:vAlign w:val="center"/>
          </w:tcPr>
          <w:p w14:paraId="70B183FF">
            <w:pPr>
              <w:pStyle w:val="15"/>
            </w:pPr>
          </w:p>
        </w:tc>
        <w:tc>
          <w:tcPr>
            <w:tcW w:w="1134" w:type="dxa"/>
            <w:vAlign w:val="center"/>
          </w:tcPr>
          <w:p w14:paraId="1A53633E">
            <w:pPr>
              <w:pStyle w:val="15"/>
            </w:pPr>
          </w:p>
        </w:tc>
        <w:tc>
          <w:tcPr>
            <w:tcW w:w="1134" w:type="dxa"/>
            <w:vAlign w:val="center"/>
          </w:tcPr>
          <w:p w14:paraId="5BDAC13C">
            <w:pPr>
              <w:pStyle w:val="15"/>
            </w:pPr>
          </w:p>
        </w:tc>
        <w:tc>
          <w:tcPr>
            <w:tcW w:w="1134" w:type="dxa"/>
            <w:vAlign w:val="center"/>
          </w:tcPr>
          <w:p w14:paraId="335282D9">
            <w:pPr>
              <w:pStyle w:val="15"/>
            </w:pPr>
          </w:p>
        </w:tc>
        <w:tc>
          <w:tcPr>
            <w:tcW w:w="1134" w:type="dxa"/>
            <w:vAlign w:val="center"/>
          </w:tcPr>
          <w:p w14:paraId="1BFB9C99">
            <w:pPr>
              <w:pStyle w:val="15"/>
            </w:pPr>
          </w:p>
        </w:tc>
        <w:tc>
          <w:tcPr>
            <w:tcW w:w="1134" w:type="dxa"/>
            <w:vAlign w:val="center"/>
          </w:tcPr>
          <w:p w14:paraId="7A2B45F0">
            <w:pPr>
              <w:pStyle w:val="15"/>
            </w:pPr>
          </w:p>
        </w:tc>
        <w:tc>
          <w:tcPr>
            <w:tcW w:w="1134" w:type="dxa"/>
            <w:vAlign w:val="center"/>
          </w:tcPr>
          <w:p w14:paraId="689152F6">
            <w:pPr>
              <w:pStyle w:val="15"/>
            </w:pPr>
          </w:p>
        </w:tc>
      </w:tr>
      <w:tr w14:paraId="04C5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8512F">
            <w:pPr>
              <w:pStyle w:val="13"/>
            </w:pPr>
            <w:r>
              <w:t>2</w:t>
            </w:r>
          </w:p>
        </w:tc>
        <w:tc>
          <w:tcPr>
            <w:tcW w:w="992" w:type="dxa"/>
            <w:vAlign w:val="center"/>
          </w:tcPr>
          <w:p w14:paraId="01A6796A">
            <w:pPr>
              <w:pStyle w:val="12"/>
            </w:pPr>
            <w:r>
              <w:t>205</w:t>
            </w:r>
          </w:p>
        </w:tc>
        <w:tc>
          <w:tcPr>
            <w:tcW w:w="1559" w:type="dxa"/>
            <w:vAlign w:val="center"/>
          </w:tcPr>
          <w:p w14:paraId="1CB8D27F">
            <w:pPr>
              <w:pStyle w:val="12"/>
            </w:pPr>
            <w:r>
              <w:t>教育支出</w:t>
            </w:r>
          </w:p>
        </w:tc>
        <w:tc>
          <w:tcPr>
            <w:tcW w:w="1134" w:type="dxa"/>
            <w:vAlign w:val="center"/>
          </w:tcPr>
          <w:p w14:paraId="554B66C4">
            <w:pPr>
              <w:pStyle w:val="11"/>
            </w:pPr>
            <w:r>
              <w:t>2483.92</w:t>
            </w:r>
          </w:p>
        </w:tc>
        <w:tc>
          <w:tcPr>
            <w:tcW w:w="1134" w:type="dxa"/>
            <w:vAlign w:val="center"/>
          </w:tcPr>
          <w:p w14:paraId="073748A0">
            <w:pPr>
              <w:pStyle w:val="11"/>
            </w:pPr>
            <w:r>
              <w:t>2483.92</w:t>
            </w:r>
          </w:p>
        </w:tc>
        <w:tc>
          <w:tcPr>
            <w:tcW w:w="1134" w:type="dxa"/>
            <w:vAlign w:val="center"/>
          </w:tcPr>
          <w:p w14:paraId="50BCC1DA">
            <w:pPr>
              <w:pStyle w:val="11"/>
            </w:pPr>
            <w:r>
              <w:t>2483.92</w:t>
            </w:r>
          </w:p>
        </w:tc>
        <w:tc>
          <w:tcPr>
            <w:tcW w:w="1134" w:type="dxa"/>
            <w:vAlign w:val="center"/>
          </w:tcPr>
          <w:p w14:paraId="6137B643">
            <w:pPr>
              <w:pStyle w:val="11"/>
            </w:pPr>
          </w:p>
        </w:tc>
        <w:tc>
          <w:tcPr>
            <w:tcW w:w="1134" w:type="dxa"/>
            <w:vAlign w:val="center"/>
          </w:tcPr>
          <w:p w14:paraId="6A668DF4">
            <w:pPr>
              <w:pStyle w:val="11"/>
            </w:pPr>
          </w:p>
        </w:tc>
        <w:tc>
          <w:tcPr>
            <w:tcW w:w="1134" w:type="dxa"/>
            <w:vAlign w:val="center"/>
          </w:tcPr>
          <w:p w14:paraId="245EBD0E">
            <w:pPr>
              <w:pStyle w:val="11"/>
            </w:pPr>
          </w:p>
        </w:tc>
        <w:tc>
          <w:tcPr>
            <w:tcW w:w="1134" w:type="dxa"/>
            <w:vAlign w:val="center"/>
          </w:tcPr>
          <w:p w14:paraId="52FBCCA7">
            <w:pPr>
              <w:pStyle w:val="11"/>
            </w:pPr>
          </w:p>
        </w:tc>
        <w:tc>
          <w:tcPr>
            <w:tcW w:w="1134" w:type="dxa"/>
            <w:vAlign w:val="center"/>
          </w:tcPr>
          <w:p w14:paraId="14D1FF20">
            <w:pPr>
              <w:pStyle w:val="11"/>
            </w:pPr>
          </w:p>
        </w:tc>
        <w:tc>
          <w:tcPr>
            <w:tcW w:w="1134" w:type="dxa"/>
            <w:vAlign w:val="center"/>
          </w:tcPr>
          <w:p w14:paraId="1DBCB697">
            <w:pPr>
              <w:pStyle w:val="11"/>
            </w:pPr>
          </w:p>
        </w:tc>
        <w:tc>
          <w:tcPr>
            <w:tcW w:w="1134" w:type="dxa"/>
            <w:vAlign w:val="center"/>
          </w:tcPr>
          <w:p w14:paraId="4FCB1E75">
            <w:pPr>
              <w:pStyle w:val="11"/>
            </w:pPr>
          </w:p>
        </w:tc>
      </w:tr>
      <w:tr w14:paraId="18B8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4278B">
            <w:pPr>
              <w:pStyle w:val="13"/>
            </w:pPr>
            <w:r>
              <w:t>3</w:t>
            </w:r>
          </w:p>
        </w:tc>
        <w:tc>
          <w:tcPr>
            <w:tcW w:w="992" w:type="dxa"/>
            <w:vAlign w:val="center"/>
          </w:tcPr>
          <w:p w14:paraId="28BC6ABA">
            <w:pPr>
              <w:pStyle w:val="12"/>
            </w:pPr>
            <w:r>
              <w:t>20502</w:t>
            </w:r>
          </w:p>
        </w:tc>
        <w:tc>
          <w:tcPr>
            <w:tcW w:w="1559" w:type="dxa"/>
            <w:vAlign w:val="center"/>
          </w:tcPr>
          <w:p w14:paraId="26274ACC">
            <w:pPr>
              <w:pStyle w:val="12"/>
            </w:pPr>
            <w:r>
              <w:t>普通教育</w:t>
            </w:r>
          </w:p>
        </w:tc>
        <w:tc>
          <w:tcPr>
            <w:tcW w:w="1134" w:type="dxa"/>
            <w:vAlign w:val="center"/>
          </w:tcPr>
          <w:p w14:paraId="644C0624">
            <w:pPr>
              <w:pStyle w:val="11"/>
            </w:pPr>
            <w:r>
              <w:t>2483.92</w:t>
            </w:r>
          </w:p>
        </w:tc>
        <w:tc>
          <w:tcPr>
            <w:tcW w:w="1134" w:type="dxa"/>
            <w:vAlign w:val="center"/>
          </w:tcPr>
          <w:p w14:paraId="3EDAEC65">
            <w:pPr>
              <w:pStyle w:val="11"/>
            </w:pPr>
            <w:r>
              <w:t>2483.92</w:t>
            </w:r>
          </w:p>
        </w:tc>
        <w:tc>
          <w:tcPr>
            <w:tcW w:w="1134" w:type="dxa"/>
            <w:vAlign w:val="center"/>
          </w:tcPr>
          <w:p w14:paraId="66020019">
            <w:pPr>
              <w:pStyle w:val="11"/>
            </w:pPr>
            <w:r>
              <w:t>2483.92</w:t>
            </w:r>
          </w:p>
        </w:tc>
        <w:tc>
          <w:tcPr>
            <w:tcW w:w="1134" w:type="dxa"/>
            <w:vAlign w:val="center"/>
          </w:tcPr>
          <w:p w14:paraId="7C362E9F">
            <w:pPr>
              <w:pStyle w:val="11"/>
            </w:pPr>
          </w:p>
        </w:tc>
        <w:tc>
          <w:tcPr>
            <w:tcW w:w="1134" w:type="dxa"/>
            <w:vAlign w:val="center"/>
          </w:tcPr>
          <w:p w14:paraId="7DC77A9E">
            <w:pPr>
              <w:pStyle w:val="11"/>
            </w:pPr>
          </w:p>
        </w:tc>
        <w:tc>
          <w:tcPr>
            <w:tcW w:w="1134" w:type="dxa"/>
            <w:vAlign w:val="center"/>
          </w:tcPr>
          <w:p w14:paraId="7340EA75">
            <w:pPr>
              <w:pStyle w:val="11"/>
            </w:pPr>
          </w:p>
        </w:tc>
        <w:tc>
          <w:tcPr>
            <w:tcW w:w="1134" w:type="dxa"/>
            <w:vAlign w:val="center"/>
          </w:tcPr>
          <w:p w14:paraId="25EA31E0">
            <w:pPr>
              <w:pStyle w:val="11"/>
            </w:pPr>
          </w:p>
        </w:tc>
        <w:tc>
          <w:tcPr>
            <w:tcW w:w="1134" w:type="dxa"/>
            <w:vAlign w:val="center"/>
          </w:tcPr>
          <w:p w14:paraId="319CFC88">
            <w:pPr>
              <w:pStyle w:val="11"/>
            </w:pPr>
          </w:p>
        </w:tc>
        <w:tc>
          <w:tcPr>
            <w:tcW w:w="1134" w:type="dxa"/>
            <w:vAlign w:val="center"/>
          </w:tcPr>
          <w:p w14:paraId="781679C8">
            <w:pPr>
              <w:pStyle w:val="11"/>
            </w:pPr>
          </w:p>
        </w:tc>
        <w:tc>
          <w:tcPr>
            <w:tcW w:w="1134" w:type="dxa"/>
            <w:vAlign w:val="center"/>
          </w:tcPr>
          <w:p w14:paraId="075F628A">
            <w:pPr>
              <w:pStyle w:val="11"/>
            </w:pPr>
          </w:p>
        </w:tc>
      </w:tr>
      <w:tr w14:paraId="0BD2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CE746">
            <w:pPr>
              <w:pStyle w:val="13"/>
            </w:pPr>
            <w:r>
              <w:t>4</w:t>
            </w:r>
          </w:p>
        </w:tc>
        <w:tc>
          <w:tcPr>
            <w:tcW w:w="992" w:type="dxa"/>
            <w:vAlign w:val="center"/>
          </w:tcPr>
          <w:p w14:paraId="54C4831B">
            <w:pPr>
              <w:pStyle w:val="12"/>
            </w:pPr>
            <w:r>
              <w:t>2050201</w:t>
            </w:r>
          </w:p>
        </w:tc>
        <w:tc>
          <w:tcPr>
            <w:tcW w:w="1559" w:type="dxa"/>
            <w:vAlign w:val="center"/>
          </w:tcPr>
          <w:p w14:paraId="454CC7F6">
            <w:pPr>
              <w:pStyle w:val="12"/>
            </w:pPr>
            <w:r>
              <w:t>学前教育</w:t>
            </w:r>
          </w:p>
        </w:tc>
        <w:tc>
          <w:tcPr>
            <w:tcW w:w="1134" w:type="dxa"/>
            <w:vAlign w:val="center"/>
          </w:tcPr>
          <w:p w14:paraId="297EDC0A">
            <w:pPr>
              <w:pStyle w:val="11"/>
            </w:pPr>
            <w:r>
              <w:t>88.79</w:t>
            </w:r>
          </w:p>
        </w:tc>
        <w:tc>
          <w:tcPr>
            <w:tcW w:w="1134" w:type="dxa"/>
            <w:vAlign w:val="center"/>
          </w:tcPr>
          <w:p w14:paraId="166F7C54">
            <w:pPr>
              <w:pStyle w:val="11"/>
            </w:pPr>
            <w:r>
              <w:t>88.79</w:t>
            </w:r>
          </w:p>
        </w:tc>
        <w:tc>
          <w:tcPr>
            <w:tcW w:w="1134" w:type="dxa"/>
            <w:vAlign w:val="center"/>
          </w:tcPr>
          <w:p w14:paraId="195341F3">
            <w:pPr>
              <w:pStyle w:val="11"/>
            </w:pPr>
            <w:r>
              <w:t>88.79</w:t>
            </w:r>
          </w:p>
        </w:tc>
        <w:tc>
          <w:tcPr>
            <w:tcW w:w="1134" w:type="dxa"/>
            <w:vAlign w:val="center"/>
          </w:tcPr>
          <w:p w14:paraId="5C09FA50">
            <w:pPr>
              <w:pStyle w:val="11"/>
            </w:pPr>
          </w:p>
        </w:tc>
        <w:tc>
          <w:tcPr>
            <w:tcW w:w="1134" w:type="dxa"/>
            <w:vAlign w:val="center"/>
          </w:tcPr>
          <w:p w14:paraId="08AC152A">
            <w:pPr>
              <w:pStyle w:val="11"/>
            </w:pPr>
          </w:p>
        </w:tc>
        <w:tc>
          <w:tcPr>
            <w:tcW w:w="1134" w:type="dxa"/>
            <w:vAlign w:val="center"/>
          </w:tcPr>
          <w:p w14:paraId="637EEE1C">
            <w:pPr>
              <w:pStyle w:val="11"/>
            </w:pPr>
          </w:p>
        </w:tc>
        <w:tc>
          <w:tcPr>
            <w:tcW w:w="1134" w:type="dxa"/>
            <w:vAlign w:val="center"/>
          </w:tcPr>
          <w:p w14:paraId="44D7B463">
            <w:pPr>
              <w:pStyle w:val="11"/>
            </w:pPr>
          </w:p>
        </w:tc>
        <w:tc>
          <w:tcPr>
            <w:tcW w:w="1134" w:type="dxa"/>
            <w:vAlign w:val="center"/>
          </w:tcPr>
          <w:p w14:paraId="4094B42D">
            <w:pPr>
              <w:pStyle w:val="11"/>
            </w:pPr>
          </w:p>
        </w:tc>
        <w:tc>
          <w:tcPr>
            <w:tcW w:w="1134" w:type="dxa"/>
            <w:vAlign w:val="center"/>
          </w:tcPr>
          <w:p w14:paraId="3EC47910">
            <w:pPr>
              <w:pStyle w:val="11"/>
            </w:pPr>
          </w:p>
        </w:tc>
        <w:tc>
          <w:tcPr>
            <w:tcW w:w="1134" w:type="dxa"/>
            <w:vAlign w:val="center"/>
          </w:tcPr>
          <w:p w14:paraId="732813C4">
            <w:pPr>
              <w:pStyle w:val="11"/>
            </w:pPr>
          </w:p>
        </w:tc>
      </w:tr>
      <w:tr w14:paraId="2991C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14B73">
            <w:pPr>
              <w:pStyle w:val="13"/>
            </w:pPr>
            <w:r>
              <w:t>5</w:t>
            </w:r>
          </w:p>
        </w:tc>
        <w:tc>
          <w:tcPr>
            <w:tcW w:w="992" w:type="dxa"/>
            <w:vAlign w:val="center"/>
          </w:tcPr>
          <w:p w14:paraId="796F0E14">
            <w:pPr>
              <w:pStyle w:val="12"/>
            </w:pPr>
            <w:r>
              <w:t>2050202</w:t>
            </w:r>
          </w:p>
        </w:tc>
        <w:tc>
          <w:tcPr>
            <w:tcW w:w="1559" w:type="dxa"/>
            <w:vAlign w:val="center"/>
          </w:tcPr>
          <w:p w14:paraId="1A434B25">
            <w:pPr>
              <w:pStyle w:val="12"/>
            </w:pPr>
            <w:r>
              <w:t>小学教育</w:t>
            </w:r>
          </w:p>
        </w:tc>
        <w:tc>
          <w:tcPr>
            <w:tcW w:w="1134" w:type="dxa"/>
            <w:vAlign w:val="center"/>
          </w:tcPr>
          <w:p w14:paraId="06C47692">
            <w:pPr>
              <w:pStyle w:val="11"/>
            </w:pPr>
            <w:r>
              <w:t>2395.13</w:t>
            </w:r>
          </w:p>
        </w:tc>
        <w:tc>
          <w:tcPr>
            <w:tcW w:w="1134" w:type="dxa"/>
            <w:vAlign w:val="center"/>
          </w:tcPr>
          <w:p w14:paraId="45BF283E">
            <w:pPr>
              <w:pStyle w:val="11"/>
            </w:pPr>
            <w:r>
              <w:t>2395.13</w:t>
            </w:r>
          </w:p>
        </w:tc>
        <w:tc>
          <w:tcPr>
            <w:tcW w:w="1134" w:type="dxa"/>
            <w:vAlign w:val="center"/>
          </w:tcPr>
          <w:p w14:paraId="74CA9DF5">
            <w:pPr>
              <w:pStyle w:val="11"/>
            </w:pPr>
            <w:r>
              <w:t>2395.13</w:t>
            </w:r>
          </w:p>
        </w:tc>
        <w:tc>
          <w:tcPr>
            <w:tcW w:w="1134" w:type="dxa"/>
            <w:vAlign w:val="center"/>
          </w:tcPr>
          <w:p w14:paraId="43DE7DAD">
            <w:pPr>
              <w:pStyle w:val="11"/>
            </w:pPr>
          </w:p>
        </w:tc>
        <w:tc>
          <w:tcPr>
            <w:tcW w:w="1134" w:type="dxa"/>
            <w:vAlign w:val="center"/>
          </w:tcPr>
          <w:p w14:paraId="3F99BD55">
            <w:pPr>
              <w:pStyle w:val="11"/>
            </w:pPr>
          </w:p>
        </w:tc>
        <w:tc>
          <w:tcPr>
            <w:tcW w:w="1134" w:type="dxa"/>
            <w:vAlign w:val="center"/>
          </w:tcPr>
          <w:p w14:paraId="62E3BA0A">
            <w:pPr>
              <w:pStyle w:val="11"/>
            </w:pPr>
          </w:p>
        </w:tc>
        <w:tc>
          <w:tcPr>
            <w:tcW w:w="1134" w:type="dxa"/>
            <w:vAlign w:val="center"/>
          </w:tcPr>
          <w:p w14:paraId="7A281509">
            <w:pPr>
              <w:pStyle w:val="11"/>
            </w:pPr>
          </w:p>
        </w:tc>
        <w:tc>
          <w:tcPr>
            <w:tcW w:w="1134" w:type="dxa"/>
            <w:vAlign w:val="center"/>
          </w:tcPr>
          <w:p w14:paraId="21DCD598">
            <w:pPr>
              <w:pStyle w:val="11"/>
            </w:pPr>
          </w:p>
        </w:tc>
        <w:tc>
          <w:tcPr>
            <w:tcW w:w="1134" w:type="dxa"/>
            <w:vAlign w:val="center"/>
          </w:tcPr>
          <w:p w14:paraId="10704291">
            <w:pPr>
              <w:pStyle w:val="11"/>
            </w:pPr>
          </w:p>
        </w:tc>
        <w:tc>
          <w:tcPr>
            <w:tcW w:w="1134" w:type="dxa"/>
            <w:vAlign w:val="center"/>
          </w:tcPr>
          <w:p w14:paraId="0C883221">
            <w:pPr>
              <w:pStyle w:val="11"/>
            </w:pPr>
          </w:p>
        </w:tc>
      </w:tr>
    </w:tbl>
    <w:p w14:paraId="5E32BB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2830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92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75E833">
            <w:pPr>
              <w:pStyle w:val="9"/>
            </w:pPr>
            <w:r>
              <w:t>360017隆尧县魏庄校区</w:t>
            </w:r>
          </w:p>
        </w:tc>
        <w:tc>
          <w:tcPr>
            <w:tcW w:w="2722" w:type="dxa"/>
            <w:gridSpan w:val="2"/>
            <w:tcBorders>
              <w:top w:val="single" w:color="FFFFFF" w:sz="6" w:space="0"/>
              <w:left w:val="single" w:color="FFFFFF" w:sz="6" w:space="0"/>
              <w:right w:val="single" w:color="FFFFFF" w:sz="6" w:space="0"/>
            </w:tcBorders>
            <w:vAlign w:val="center"/>
          </w:tcPr>
          <w:p w14:paraId="558EA57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DA5253D">
            <w:pPr>
              <w:pStyle w:val="7"/>
            </w:pPr>
            <w:r>
              <w:t>单位：万元</w:t>
            </w:r>
          </w:p>
        </w:tc>
      </w:tr>
      <w:tr w14:paraId="4CCCA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C9155">
            <w:pPr>
              <w:pStyle w:val="10"/>
            </w:pPr>
            <w:r>
              <w:t>序号</w:t>
            </w:r>
          </w:p>
        </w:tc>
        <w:tc>
          <w:tcPr>
            <w:tcW w:w="5527" w:type="dxa"/>
            <w:gridSpan w:val="2"/>
            <w:vAlign w:val="center"/>
          </w:tcPr>
          <w:p w14:paraId="33992851">
            <w:pPr>
              <w:pStyle w:val="10"/>
            </w:pPr>
            <w:r>
              <w:t>功能分类科目</w:t>
            </w:r>
          </w:p>
        </w:tc>
        <w:tc>
          <w:tcPr>
            <w:tcW w:w="1361" w:type="dxa"/>
            <w:vMerge w:val="restart"/>
            <w:vAlign w:val="center"/>
          </w:tcPr>
          <w:p w14:paraId="3D49E28D">
            <w:pPr>
              <w:pStyle w:val="10"/>
            </w:pPr>
            <w:r>
              <w:t>合计</w:t>
            </w:r>
          </w:p>
        </w:tc>
        <w:tc>
          <w:tcPr>
            <w:tcW w:w="1361" w:type="dxa"/>
            <w:vMerge w:val="restart"/>
            <w:vAlign w:val="center"/>
          </w:tcPr>
          <w:p w14:paraId="677B6852">
            <w:pPr>
              <w:pStyle w:val="10"/>
            </w:pPr>
            <w:r>
              <w:t>基本支出</w:t>
            </w:r>
          </w:p>
        </w:tc>
        <w:tc>
          <w:tcPr>
            <w:tcW w:w="1361" w:type="dxa"/>
            <w:vMerge w:val="restart"/>
            <w:vAlign w:val="center"/>
          </w:tcPr>
          <w:p w14:paraId="59E83211">
            <w:pPr>
              <w:pStyle w:val="10"/>
            </w:pPr>
            <w:r>
              <w:t>项目支出</w:t>
            </w:r>
          </w:p>
        </w:tc>
        <w:tc>
          <w:tcPr>
            <w:tcW w:w="1361" w:type="dxa"/>
            <w:vMerge w:val="restart"/>
            <w:vAlign w:val="center"/>
          </w:tcPr>
          <w:p w14:paraId="181EB89A">
            <w:pPr>
              <w:pStyle w:val="10"/>
            </w:pPr>
            <w:r>
              <w:t>经营支出</w:t>
            </w:r>
          </w:p>
        </w:tc>
        <w:tc>
          <w:tcPr>
            <w:tcW w:w="1361" w:type="dxa"/>
            <w:vMerge w:val="restart"/>
            <w:vAlign w:val="center"/>
          </w:tcPr>
          <w:p w14:paraId="0460DDF8">
            <w:pPr>
              <w:pStyle w:val="10"/>
            </w:pPr>
            <w:r>
              <w:t>上解上级     支出</w:t>
            </w:r>
          </w:p>
        </w:tc>
        <w:tc>
          <w:tcPr>
            <w:tcW w:w="1361" w:type="dxa"/>
            <w:vMerge w:val="restart"/>
            <w:vAlign w:val="center"/>
          </w:tcPr>
          <w:p w14:paraId="756830A4">
            <w:pPr>
              <w:pStyle w:val="10"/>
            </w:pPr>
            <w:r>
              <w:t>对附属单位补助支出</w:t>
            </w:r>
          </w:p>
        </w:tc>
      </w:tr>
      <w:tr w14:paraId="0C281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CFA917"/>
        </w:tc>
        <w:tc>
          <w:tcPr>
            <w:tcW w:w="992" w:type="dxa"/>
            <w:vAlign w:val="center"/>
          </w:tcPr>
          <w:p w14:paraId="0DF8F17B">
            <w:pPr>
              <w:pStyle w:val="10"/>
            </w:pPr>
            <w:r>
              <w:t>科目    编码</w:t>
            </w:r>
          </w:p>
        </w:tc>
        <w:tc>
          <w:tcPr>
            <w:tcW w:w="4535" w:type="dxa"/>
            <w:vAlign w:val="center"/>
          </w:tcPr>
          <w:p w14:paraId="42928021">
            <w:pPr>
              <w:pStyle w:val="10"/>
            </w:pPr>
            <w:r>
              <w:t>科目名称</w:t>
            </w:r>
          </w:p>
        </w:tc>
        <w:tc>
          <w:tcPr>
            <w:tcW w:w="1361" w:type="dxa"/>
            <w:vMerge w:val="continue"/>
          </w:tcPr>
          <w:p w14:paraId="1C32A1D6"/>
        </w:tc>
        <w:tc>
          <w:tcPr>
            <w:tcW w:w="1361" w:type="dxa"/>
            <w:vMerge w:val="continue"/>
          </w:tcPr>
          <w:p w14:paraId="3035BA1F"/>
        </w:tc>
        <w:tc>
          <w:tcPr>
            <w:tcW w:w="1361" w:type="dxa"/>
            <w:vMerge w:val="continue"/>
          </w:tcPr>
          <w:p w14:paraId="655F94F1"/>
        </w:tc>
        <w:tc>
          <w:tcPr>
            <w:tcW w:w="1361" w:type="dxa"/>
            <w:vMerge w:val="continue"/>
          </w:tcPr>
          <w:p w14:paraId="2DFE4D06"/>
        </w:tc>
        <w:tc>
          <w:tcPr>
            <w:tcW w:w="1361" w:type="dxa"/>
            <w:vMerge w:val="continue"/>
          </w:tcPr>
          <w:p w14:paraId="4DD1B297"/>
        </w:tc>
        <w:tc>
          <w:tcPr>
            <w:tcW w:w="1361" w:type="dxa"/>
            <w:vMerge w:val="continue"/>
          </w:tcPr>
          <w:p w14:paraId="36183B02"/>
        </w:tc>
      </w:tr>
      <w:tr w14:paraId="35FD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F9267">
            <w:pPr>
              <w:pStyle w:val="10"/>
            </w:pPr>
            <w:r>
              <w:t>栏次</w:t>
            </w:r>
          </w:p>
        </w:tc>
        <w:tc>
          <w:tcPr>
            <w:tcW w:w="992" w:type="dxa"/>
            <w:vAlign w:val="center"/>
          </w:tcPr>
          <w:p w14:paraId="34FB5A94">
            <w:pPr>
              <w:pStyle w:val="10"/>
            </w:pPr>
            <w:r>
              <w:t>1</w:t>
            </w:r>
          </w:p>
        </w:tc>
        <w:tc>
          <w:tcPr>
            <w:tcW w:w="4535" w:type="dxa"/>
            <w:vAlign w:val="center"/>
          </w:tcPr>
          <w:p w14:paraId="5BFD4322">
            <w:pPr>
              <w:pStyle w:val="10"/>
            </w:pPr>
            <w:r>
              <w:t>2</w:t>
            </w:r>
          </w:p>
        </w:tc>
        <w:tc>
          <w:tcPr>
            <w:tcW w:w="1361" w:type="dxa"/>
            <w:vAlign w:val="center"/>
          </w:tcPr>
          <w:p w14:paraId="0C220C73">
            <w:pPr>
              <w:pStyle w:val="10"/>
            </w:pPr>
            <w:r>
              <w:t>3</w:t>
            </w:r>
          </w:p>
        </w:tc>
        <w:tc>
          <w:tcPr>
            <w:tcW w:w="1361" w:type="dxa"/>
            <w:vAlign w:val="center"/>
          </w:tcPr>
          <w:p w14:paraId="4C36C353">
            <w:pPr>
              <w:pStyle w:val="10"/>
            </w:pPr>
            <w:r>
              <w:t>4</w:t>
            </w:r>
          </w:p>
        </w:tc>
        <w:tc>
          <w:tcPr>
            <w:tcW w:w="1361" w:type="dxa"/>
            <w:vAlign w:val="center"/>
          </w:tcPr>
          <w:p w14:paraId="35CE7DF5">
            <w:pPr>
              <w:pStyle w:val="10"/>
            </w:pPr>
            <w:r>
              <w:t>5</w:t>
            </w:r>
          </w:p>
        </w:tc>
        <w:tc>
          <w:tcPr>
            <w:tcW w:w="1361" w:type="dxa"/>
            <w:vAlign w:val="center"/>
          </w:tcPr>
          <w:p w14:paraId="5AFCE6D9">
            <w:pPr>
              <w:pStyle w:val="10"/>
            </w:pPr>
            <w:r>
              <w:t>6</w:t>
            </w:r>
          </w:p>
        </w:tc>
        <w:tc>
          <w:tcPr>
            <w:tcW w:w="1361" w:type="dxa"/>
            <w:vAlign w:val="center"/>
          </w:tcPr>
          <w:p w14:paraId="795E7E76">
            <w:pPr>
              <w:pStyle w:val="10"/>
            </w:pPr>
            <w:r>
              <w:t>7</w:t>
            </w:r>
          </w:p>
        </w:tc>
        <w:tc>
          <w:tcPr>
            <w:tcW w:w="1361" w:type="dxa"/>
            <w:vAlign w:val="center"/>
          </w:tcPr>
          <w:p w14:paraId="3844357E">
            <w:pPr>
              <w:pStyle w:val="10"/>
            </w:pPr>
            <w:r>
              <w:t>8</w:t>
            </w:r>
          </w:p>
        </w:tc>
      </w:tr>
      <w:tr w14:paraId="37E4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71E69">
            <w:pPr>
              <w:pStyle w:val="13"/>
            </w:pPr>
            <w:r>
              <w:t>1</w:t>
            </w:r>
          </w:p>
        </w:tc>
        <w:tc>
          <w:tcPr>
            <w:tcW w:w="992" w:type="dxa"/>
            <w:vAlign w:val="center"/>
          </w:tcPr>
          <w:p w14:paraId="3DB0BD8D">
            <w:pPr>
              <w:pStyle w:val="16"/>
            </w:pPr>
          </w:p>
        </w:tc>
        <w:tc>
          <w:tcPr>
            <w:tcW w:w="4535" w:type="dxa"/>
            <w:vAlign w:val="center"/>
          </w:tcPr>
          <w:p w14:paraId="5E4B4CC6">
            <w:pPr>
              <w:pStyle w:val="14"/>
            </w:pPr>
            <w:r>
              <w:t>合计</w:t>
            </w:r>
          </w:p>
        </w:tc>
        <w:tc>
          <w:tcPr>
            <w:tcW w:w="1361" w:type="dxa"/>
            <w:vAlign w:val="center"/>
          </w:tcPr>
          <w:p w14:paraId="318E1DCE">
            <w:pPr>
              <w:pStyle w:val="15"/>
            </w:pPr>
            <w:r>
              <w:t>2483.92</w:t>
            </w:r>
          </w:p>
        </w:tc>
        <w:tc>
          <w:tcPr>
            <w:tcW w:w="1361" w:type="dxa"/>
            <w:vAlign w:val="center"/>
          </w:tcPr>
          <w:p w14:paraId="486ECE5C">
            <w:pPr>
              <w:pStyle w:val="15"/>
            </w:pPr>
            <w:r>
              <w:t>2012.72</w:t>
            </w:r>
          </w:p>
        </w:tc>
        <w:tc>
          <w:tcPr>
            <w:tcW w:w="1361" w:type="dxa"/>
            <w:vAlign w:val="center"/>
          </w:tcPr>
          <w:p w14:paraId="44F8268A">
            <w:pPr>
              <w:pStyle w:val="15"/>
            </w:pPr>
            <w:r>
              <w:t>471.20</w:t>
            </w:r>
          </w:p>
        </w:tc>
        <w:tc>
          <w:tcPr>
            <w:tcW w:w="1361" w:type="dxa"/>
            <w:vAlign w:val="center"/>
          </w:tcPr>
          <w:p w14:paraId="6537961F">
            <w:pPr>
              <w:pStyle w:val="15"/>
            </w:pPr>
          </w:p>
        </w:tc>
        <w:tc>
          <w:tcPr>
            <w:tcW w:w="1361" w:type="dxa"/>
            <w:vAlign w:val="center"/>
          </w:tcPr>
          <w:p w14:paraId="123EC585">
            <w:pPr>
              <w:pStyle w:val="15"/>
            </w:pPr>
          </w:p>
        </w:tc>
        <w:tc>
          <w:tcPr>
            <w:tcW w:w="1361" w:type="dxa"/>
            <w:vAlign w:val="center"/>
          </w:tcPr>
          <w:p w14:paraId="403BB9BB">
            <w:pPr>
              <w:pStyle w:val="15"/>
            </w:pPr>
          </w:p>
        </w:tc>
      </w:tr>
      <w:tr w14:paraId="3FF0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80BA">
            <w:pPr>
              <w:pStyle w:val="13"/>
            </w:pPr>
            <w:r>
              <w:t>2</w:t>
            </w:r>
          </w:p>
        </w:tc>
        <w:tc>
          <w:tcPr>
            <w:tcW w:w="992" w:type="dxa"/>
            <w:vAlign w:val="center"/>
          </w:tcPr>
          <w:p w14:paraId="24156F2A">
            <w:pPr>
              <w:pStyle w:val="12"/>
            </w:pPr>
            <w:r>
              <w:t>205</w:t>
            </w:r>
          </w:p>
        </w:tc>
        <w:tc>
          <w:tcPr>
            <w:tcW w:w="4535" w:type="dxa"/>
            <w:vAlign w:val="center"/>
          </w:tcPr>
          <w:p w14:paraId="3265D671">
            <w:pPr>
              <w:pStyle w:val="12"/>
            </w:pPr>
            <w:r>
              <w:t>教育支出</w:t>
            </w:r>
          </w:p>
        </w:tc>
        <w:tc>
          <w:tcPr>
            <w:tcW w:w="1361" w:type="dxa"/>
            <w:vAlign w:val="center"/>
          </w:tcPr>
          <w:p w14:paraId="3D05A321">
            <w:pPr>
              <w:pStyle w:val="11"/>
            </w:pPr>
            <w:r>
              <w:t>2483.92</w:t>
            </w:r>
          </w:p>
        </w:tc>
        <w:tc>
          <w:tcPr>
            <w:tcW w:w="1361" w:type="dxa"/>
            <w:vAlign w:val="center"/>
          </w:tcPr>
          <w:p w14:paraId="1C3F3164">
            <w:pPr>
              <w:pStyle w:val="11"/>
            </w:pPr>
            <w:r>
              <w:t>2012.72</w:t>
            </w:r>
          </w:p>
        </w:tc>
        <w:tc>
          <w:tcPr>
            <w:tcW w:w="1361" w:type="dxa"/>
            <w:vAlign w:val="center"/>
          </w:tcPr>
          <w:p w14:paraId="2521D898">
            <w:pPr>
              <w:pStyle w:val="11"/>
            </w:pPr>
            <w:r>
              <w:t>471.20</w:t>
            </w:r>
          </w:p>
        </w:tc>
        <w:tc>
          <w:tcPr>
            <w:tcW w:w="1361" w:type="dxa"/>
            <w:vAlign w:val="center"/>
          </w:tcPr>
          <w:p w14:paraId="2A9963FF">
            <w:pPr>
              <w:pStyle w:val="11"/>
            </w:pPr>
          </w:p>
        </w:tc>
        <w:tc>
          <w:tcPr>
            <w:tcW w:w="1361" w:type="dxa"/>
            <w:vAlign w:val="center"/>
          </w:tcPr>
          <w:p w14:paraId="1F164383">
            <w:pPr>
              <w:pStyle w:val="11"/>
            </w:pPr>
          </w:p>
        </w:tc>
        <w:tc>
          <w:tcPr>
            <w:tcW w:w="1361" w:type="dxa"/>
            <w:vAlign w:val="center"/>
          </w:tcPr>
          <w:p w14:paraId="2932C5F5">
            <w:pPr>
              <w:pStyle w:val="11"/>
            </w:pPr>
          </w:p>
        </w:tc>
      </w:tr>
      <w:tr w14:paraId="0015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F9A0B">
            <w:pPr>
              <w:pStyle w:val="13"/>
            </w:pPr>
            <w:r>
              <w:t>3</w:t>
            </w:r>
          </w:p>
        </w:tc>
        <w:tc>
          <w:tcPr>
            <w:tcW w:w="992" w:type="dxa"/>
            <w:vAlign w:val="center"/>
          </w:tcPr>
          <w:p w14:paraId="69003BD1">
            <w:pPr>
              <w:pStyle w:val="12"/>
            </w:pPr>
            <w:r>
              <w:t>20502</w:t>
            </w:r>
          </w:p>
        </w:tc>
        <w:tc>
          <w:tcPr>
            <w:tcW w:w="4535" w:type="dxa"/>
            <w:vAlign w:val="center"/>
          </w:tcPr>
          <w:p w14:paraId="76B07E7C">
            <w:pPr>
              <w:pStyle w:val="12"/>
            </w:pPr>
            <w:r>
              <w:t>普通教育</w:t>
            </w:r>
          </w:p>
        </w:tc>
        <w:tc>
          <w:tcPr>
            <w:tcW w:w="1361" w:type="dxa"/>
            <w:vAlign w:val="center"/>
          </w:tcPr>
          <w:p w14:paraId="277E992B">
            <w:pPr>
              <w:pStyle w:val="11"/>
            </w:pPr>
            <w:r>
              <w:t>2483.92</w:t>
            </w:r>
          </w:p>
        </w:tc>
        <w:tc>
          <w:tcPr>
            <w:tcW w:w="1361" w:type="dxa"/>
            <w:vAlign w:val="center"/>
          </w:tcPr>
          <w:p w14:paraId="7911B0FE">
            <w:pPr>
              <w:pStyle w:val="11"/>
            </w:pPr>
            <w:r>
              <w:t>2012.72</w:t>
            </w:r>
          </w:p>
        </w:tc>
        <w:tc>
          <w:tcPr>
            <w:tcW w:w="1361" w:type="dxa"/>
            <w:vAlign w:val="center"/>
          </w:tcPr>
          <w:p w14:paraId="1294FBD4">
            <w:pPr>
              <w:pStyle w:val="11"/>
            </w:pPr>
            <w:r>
              <w:t>471.20</w:t>
            </w:r>
          </w:p>
        </w:tc>
        <w:tc>
          <w:tcPr>
            <w:tcW w:w="1361" w:type="dxa"/>
            <w:vAlign w:val="center"/>
          </w:tcPr>
          <w:p w14:paraId="44D6FF41">
            <w:pPr>
              <w:pStyle w:val="11"/>
            </w:pPr>
          </w:p>
        </w:tc>
        <w:tc>
          <w:tcPr>
            <w:tcW w:w="1361" w:type="dxa"/>
            <w:vAlign w:val="center"/>
          </w:tcPr>
          <w:p w14:paraId="0B7F2C2B">
            <w:pPr>
              <w:pStyle w:val="11"/>
            </w:pPr>
          </w:p>
        </w:tc>
        <w:tc>
          <w:tcPr>
            <w:tcW w:w="1361" w:type="dxa"/>
            <w:vAlign w:val="center"/>
          </w:tcPr>
          <w:p w14:paraId="3CCABF0C">
            <w:pPr>
              <w:pStyle w:val="11"/>
            </w:pPr>
          </w:p>
        </w:tc>
      </w:tr>
      <w:tr w14:paraId="3596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1733">
            <w:pPr>
              <w:pStyle w:val="13"/>
            </w:pPr>
            <w:r>
              <w:t>4</w:t>
            </w:r>
          </w:p>
        </w:tc>
        <w:tc>
          <w:tcPr>
            <w:tcW w:w="992" w:type="dxa"/>
            <w:vAlign w:val="center"/>
          </w:tcPr>
          <w:p w14:paraId="331B9D0A">
            <w:pPr>
              <w:pStyle w:val="12"/>
            </w:pPr>
            <w:r>
              <w:t>2050201</w:t>
            </w:r>
          </w:p>
        </w:tc>
        <w:tc>
          <w:tcPr>
            <w:tcW w:w="4535" w:type="dxa"/>
            <w:vAlign w:val="center"/>
          </w:tcPr>
          <w:p w14:paraId="2960F878">
            <w:pPr>
              <w:pStyle w:val="12"/>
            </w:pPr>
            <w:r>
              <w:t>学前教育</w:t>
            </w:r>
          </w:p>
        </w:tc>
        <w:tc>
          <w:tcPr>
            <w:tcW w:w="1361" w:type="dxa"/>
            <w:vAlign w:val="center"/>
          </w:tcPr>
          <w:p w14:paraId="71BD8A73">
            <w:pPr>
              <w:pStyle w:val="11"/>
            </w:pPr>
            <w:r>
              <w:t>88.79</w:t>
            </w:r>
          </w:p>
        </w:tc>
        <w:tc>
          <w:tcPr>
            <w:tcW w:w="1361" w:type="dxa"/>
            <w:vAlign w:val="center"/>
          </w:tcPr>
          <w:p w14:paraId="3FAD4632">
            <w:pPr>
              <w:pStyle w:val="11"/>
            </w:pPr>
          </w:p>
        </w:tc>
        <w:tc>
          <w:tcPr>
            <w:tcW w:w="1361" w:type="dxa"/>
            <w:vAlign w:val="center"/>
          </w:tcPr>
          <w:p w14:paraId="4A8E7A31">
            <w:pPr>
              <w:pStyle w:val="11"/>
            </w:pPr>
            <w:r>
              <w:t>88.79</w:t>
            </w:r>
          </w:p>
        </w:tc>
        <w:tc>
          <w:tcPr>
            <w:tcW w:w="1361" w:type="dxa"/>
            <w:vAlign w:val="center"/>
          </w:tcPr>
          <w:p w14:paraId="0315F963">
            <w:pPr>
              <w:pStyle w:val="11"/>
            </w:pPr>
          </w:p>
        </w:tc>
        <w:tc>
          <w:tcPr>
            <w:tcW w:w="1361" w:type="dxa"/>
            <w:vAlign w:val="center"/>
          </w:tcPr>
          <w:p w14:paraId="3DC05ED0">
            <w:pPr>
              <w:pStyle w:val="11"/>
            </w:pPr>
          </w:p>
        </w:tc>
        <w:tc>
          <w:tcPr>
            <w:tcW w:w="1361" w:type="dxa"/>
            <w:vAlign w:val="center"/>
          </w:tcPr>
          <w:p w14:paraId="148AE190">
            <w:pPr>
              <w:pStyle w:val="11"/>
            </w:pPr>
          </w:p>
        </w:tc>
      </w:tr>
      <w:tr w14:paraId="6D35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A1C2">
            <w:pPr>
              <w:pStyle w:val="13"/>
            </w:pPr>
            <w:r>
              <w:t>5</w:t>
            </w:r>
          </w:p>
        </w:tc>
        <w:tc>
          <w:tcPr>
            <w:tcW w:w="992" w:type="dxa"/>
            <w:vAlign w:val="center"/>
          </w:tcPr>
          <w:p w14:paraId="225D36FA">
            <w:pPr>
              <w:pStyle w:val="12"/>
            </w:pPr>
            <w:r>
              <w:t>2050202</w:t>
            </w:r>
          </w:p>
        </w:tc>
        <w:tc>
          <w:tcPr>
            <w:tcW w:w="4535" w:type="dxa"/>
            <w:vAlign w:val="center"/>
          </w:tcPr>
          <w:p w14:paraId="180248D6">
            <w:pPr>
              <w:pStyle w:val="12"/>
            </w:pPr>
            <w:r>
              <w:t>小学教育</w:t>
            </w:r>
          </w:p>
        </w:tc>
        <w:tc>
          <w:tcPr>
            <w:tcW w:w="1361" w:type="dxa"/>
            <w:vAlign w:val="center"/>
          </w:tcPr>
          <w:p w14:paraId="72D35068">
            <w:pPr>
              <w:pStyle w:val="11"/>
            </w:pPr>
            <w:r>
              <w:t>2395.13</w:t>
            </w:r>
          </w:p>
        </w:tc>
        <w:tc>
          <w:tcPr>
            <w:tcW w:w="1361" w:type="dxa"/>
            <w:vAlign w:val="center"/>
          </w:tcPr>
          <w:p w14:paraId="37F03395">
            <w:pPr>
              <w:pStyle w:val="11"/>
            </w:pPr>
            <w:r>
              <w:t>2012.72</w:t>
            </w:r>
          </w:p>
        </w:tc>
        <w:tc>
          <w:tcPr>
            <w:tcW w:w="1361" w:type="dxa"/>
            <w:vAlign w:val="center"/>
          </w:tcPr>
          <w:p w14:paraId="6F743DE5">
            <w:pPr>
              <w:pStyle w:val="11"/>
            </w:pPr>
            <w:r>
              <w:t>382.41</w:t>
            </w:r>
          </w:p>
        </w:tc>
        <w:tc>
          <w:tcPr>
            <w:tcW w:w="1361" w:type="dxa"/>
            <w:vAlign w:val="center"/>
          </w:tcPr>
          <w:p w14:paraId="4FF39DAC">
            <w:pPr>
              <w:pStyle w:val="11"/>
            </w:pPr>
          </w:p>
        </w:tc>
        <w:tc>
          <w:tcPr>
            <w:tcW w:w="1361" w:type="dxa"/>
            <w:vAlign w:val="center"/>
          </w:tcPr>
          <w:p w14:paraId="4770F843">
            <w:pPr>
              <w:pStyle w:val="11"/>
            </w:pPr>
          </w:p>
        </w:tc>
        <w:tc>
          <w:tcPr>
            <w:tcW w:w="1361" w:type="dxa"/>
            <w:vAlign w:val="center"/>
          </w:tcPr>
          <w:p w14:paraId="7DFD8C38">
            <w:pPr>
              <w:pStyle w:val="11"/>
            </w:pPr>
          </w:p>
        </w:tc>
      </w:tr>
    </w:tbl>
    <w:p w14:paraId="0136AE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E096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18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31D24E">
            <w:pPr>
              <w:pStyle w:val="9"/>
            </w:pPr>
            <w:r>
              <w:t>360017隆尧县魏庄校区</w:t>
            </w:r>
          </w:p>
        </w:tc>
        <w:tc>
          <w:tcPr>
            <w:tcW w:w="3402" w:type="dxa"/>
            <w:tcBorders>
              <w:top w:val="single" w:color="FFFFFF" w:sz="6" w:space="0"/>
              <w:left w:val="single" w:color="FFFFFF" w:sz="6" w:space="0"/>
              <w:right w:val="single" w:color="FFFFFF" w:sz="6" w:space="0"/>
            </w:tcBorders>
            <w:vAlign w:val="center"/>
          </w:tcPr>
          <w:p w14:paraId="3708393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B1F9FA3">
            <w:pPr>
              <w:pStyle w:val="7"/>
            </w:pPr>
            <w:r>
              <w:t>单位：万元</w:t>
            </w:r>
          </w:p>
        </w:tc>
      </w:tr>
      <w:tr w14:paraId="3DA8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F8AB5">
            <w:pPr>
              <w:pStyle w:val="10"/>
            </w:pPr>
            <w:r>
              <w:t>序号</w:t>
            </w:r>
          </w:p>
        </w:tc>
        <w:tc>
          <w:tcPr>
            <w:tcW w:w="4876" w:type="dxa"/>
            <w:gridSpan w:val="2"/>
            <w:vAlign w:val="center"/>
          </w:tcPr>
          <w:p w14:paraId="3D0DF9D4">
            <w:pPr>
              <w:pStyle w:val="10"/>
            </w:pPr>
            <w:r>
              <w:t>收入</w:t>
            </w:r>
          </w:p>
        </w:tc>
        <w:tc>
          <w:tcPr>
            <w:tcW w:w="9298" w:type="dxa"/>
            <w:gridSpan w:val="5"/>
            <w:vAlign w:val="center"/>
          </w:tcPr>
          <w:p w14:paraId="17A2D4B4">
            <w:pPr>
              <w:pStyle w:val="10"/>
            </w:pPr>
            <w:r>
              <w:t>支出</w:t>
            </w:r>
          </w:p>
        </w:tc>
      </w:tr>
      <w:tr w14:paraId="0E52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F4F95"/>
        </w:tc>
        <w:tc>
          <w:tcPr>
            <w:tcW w:w="3402" w:type="dxa"/>
            <w:vAlign w:val="center"/>
          </w:tcPr>
          <w:p w14:paraId="78F4413A">
            <w:pPr>
              <w:pStyle w:val="10"/>
            </w:pPr>
            <w:r>
              <w:t>项  目</w:t>
            </w:r>
          </w:p>
        </w:tc>
        <w:tc>
          <w:tcPr>
            <w:tcW w:w="1474" w:type="dxa"/>
            <w:vAlign w:val="center"/>
          </w:tcPr>
          <w:p w14:paraId="2F3EA917">
            <w:pPr>
              <w:pStyle w:val="10"/>
            </w:pPr>
            <w:r>
              <w:t>金额</w:t>
            </w:r>
          </w:p>
        </w:tc>
        <w:tc>
          <w:tcPr>
            <w:tcW w:w="3402" w:type="dxa"/>
            <w:vAlign w:val="center"/>
          </w:tcPr>
          <w:p w14:paraId="34FE81FA">
            <w:pPr>
              <w:pStyle w:val="10"/>
            </w:pPr>
            <w:r>
              <w:t>项  目</w:t>
            </w:r>
          </w:p>
        </w:tc>
        <w:tc>
          <w:tcPr>
            <w:tcW w:w="1474" w:type="dxa"/>
            <w:vAlign w:val="center"/>
          </w:tcPr>
          <w:p w14:paraId="477053A6">
            <w:pPr>
              <w:pStyle w:val="10"/>
            </w:pPr>
            <w:r>
              <w:t>合计</w:t>
            </w:r>
          </w:p>
        </w:tc>
        <w:tc>
          <w:tcPr>
            <w:tcW w:w="1474" w:type="dxa"/>
            <w:vAlign w:val="center"/>
          </w:tcPr>
          <w:p w14:paraId="16E1C22E">
            <w:pPr>
              <w:pStyle w:val="10"/>
            </w:pPr>
            <w:r>
              <w:t>一般公共预算财政拨款</w:t>
            </w:r>
          </w:p>
        </w:tc>
        <w:tc>
          <w:tcPr>
            <w:tcW w:w="1474" w:type="dxa"/>
            <w:vAlign w:val="center"/>
          </w:tcPr>
          <w:p w14:paraId="7A6DBCDD">
            <w:pPr>
              <w:pStyle w:val="10"/>
            </w:pPr>
            <w:r>
              <w:t>政府性基金预算财政    拨款</w:t>
            </w:r>
          </w:p>
        </w:tc>
        <w:tc>
          <w:tcPr>
            <w:tcW w:w="1474" w:type="dxa"/>
            <w:vAlign w:val="center"/>
          </w:tcPr>
          <w:p w14:paraId="550A3380">
            <w:pPr>
              <w:pStyle w:val="10"/>
            </w:pPr>
            <w:r>
              <w:t>国有资本经营预算财政拨款</w:t>
            </w:r>
          </w:p>
        </w:tc>
      </w:tr>
      <w:tr w14:paraId="2EA9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CFE4B">
            <w:pPr>
              <w:pStyle w:val="10"/>
            </w:pPr>
            <w:r>
              <w:t>栏次</w:t>
            </w:r>
          </w:p>
        </w:tc>
        <w:tc>
          <w:tcPr>
            <w:tcW w:w="3402" w:type="dxa"/>
            <w:vAlign w:val="center"/>
          </w:tcPr>
          <w:p w14:paraId="70A295AE">
            <w:pPr>
              <w:pStyle w:val="10"/>
            </w:pPr>
            <w:r>
              <w:t>1</w:t>
            </w:r>
          </w:p>
        </w:tc>
        <w:tc>
          <w:tcPr>
            <w:tcW w:w="1474" w:type="dxa"/>
            <w:vAlign w:val="center"/>
          </w:tcPr>
          <w:p w14:paraId="158E646C">
            <w:pPr>
              <w:pStyle w:val="10"/>
            </w:pPr>
            <w:r>
              <w:t>2</w:t>
            </w:r>
          </w:p>
        </w:tc>
        <w:tc>
          <w:tcPr>
            <w:tcW w:w="3402" w:type="dxa"/>
            <w:vAlign w:val="center"/>
          </w:tcPr>
          <w:p w14:paraId="26E6875A">
            <w:pPr>
              <w:pStyle w:val="10"/>
            </w:pPr>
            <w:r>
              <w:t>3</w:t>
            </w:r>
          </w:p>
        </w:tc>
        <w:tc>
          <w:tcPr>
            <w:tcW w:w="1474" w:type="dxa"/>
            <w:vAlign w:val="center"/>
          </w:tcPr>
          <w:p w14:paraId="1F326267">
            <w:pPr>
              <w:pStyle w:val="10"/>
            </w:pPr>
            <w:r>
              <w:t>4</w:t>
            </w:r>
          </w:p>
        </w:tc>
        <w:tc>
          <w:tcPr>
            <w:tcW w:w="1474" w:type="dxa"/>
            <w:vAlign w:val="center"/>
          </w:tcPr>
          <w:p w14:paraId="6047496A">
            <w:pPr>
              <w:pStyle w:val="10"/>
            </w:pPr>
            <w:r>
              <w:t>5</w:t>
            </w:r>
          </w:p>
        </w:tc>
        <w:tc>
          <w:tcPr>
            <w:tcW w:w="1474" w:type="dxa"/>
            <w:vAlign w:val="center"/>
          </w:tcPr>
          <w:p w14:paraId="75EEED54">
            <w:pPr>
              <w:pStyle w:val="10"/>
            </w:pPr>
            <w:r>
              <w:t>6</w:t>
            </w:r>
          </w:p>
        </w:tc>
        <w:tc>
          <w:tcPr>
            <w:tcW w:w="1474" w:type="dxa"/>
            <w:vAlign w:val="center"/>
          </w:tcPr>
          <w:p w14:paraId="5C49518A">
            <w:pPr>
              <w:pStyle w:val="10"/>
            </w:pPr>
            <w:r>
              <w:t>7</w:t>
            </w:r>
          </w:p>
        </w:tc>
      </w:tr>
      <w:tr w14:paraId="25E2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A05DB">
            <w:pPr>
              <w:pStyle w:val="13"/>
            </w:pPr>
            <w:r>
              <w:t>1</w:t>
            </w:r>
          </w:p>
        </w:tc>
        <w:tc>
          <w:tcPr>
            <w:tcW w:w="3402" w:type="dxa"/>
            <w:vAlign w:val="center"/>
          </w:tcPr>
          <w:p w14:paraId="16C97C83">
            <w:pPr>
              <w:pStyle w:val="12"/>
            </w:pPr>
            <w:r>
              <w:t>一、一般公共预算拨款</w:t>
            </w:r>
          </w:p>
        </w:tc>
        <w:tc>
          <w:tcPr>
            <w:tcW w:w="1474" w:type="dxa"/>
            <w:vAlign w:val="center"/>
          </w:tcPr>
          <w:p w14:paraId="0C8AADC3">
            <w:pPr>
              <w:pStyle w:val="11"/>
            </w:pPr>
            <w:r>
              <w:t>2483.92</w:t>
            </w:r>
          </w:p>
        </w:tc>
        <w:tc>
          <w:tcPr>
            <w:tcW w:w="3402" w:type="dxa"/>
            <w:vAlign w:val="center"/>
          </w:tcPr>
          <w:p w14:paraId="7F6BCD17">
            <w:pPr>
              <w:pStyle w:val="12"/>
            </w:pPr>
            <w:r>
              <w:t>一、一般公共服务支出</w:t>
            </w:r>
          </w:p>
        </w:tc>
        <w:tc>
          <w:tcPr>
            <w:tcW w:w="1474" w:type="dxa"/>
            <w:vAlign w:val="center"/>
          </w:tcPr>
          <w:p w14:paraId="3AD31FB9">
            <w:pPr>
              <w:pStyle w:val="11"/>
            </w:pPr>
          </w:p>
        </w:tc>
        <w:tc>
          <w:tcPr>
            <w:tcW w:w="1474" w:type="dxa"/>
            <w:vAlign w:val="center"/>
          </w:tcPr>
          <w:p w14:paraId="1DFDF4DF">
            <w:pPr>
              <w:pStyle w:val="11"/>
            </w:pPr>
          </w:p>
        </w:tc>
        <w:tc>
          <w:tcPr>
            <w:tcW w:w="1474" w:type="dxa"/>
            <w:vAlign w:val="center"/>
          </w:tcPr>
          <w:p w14:paraId="12E880F8">
            <w:pPr>
              <w:pStyle w:val="11"/>
            </w:pPr>
          </w:p>
        </w:tc>
        <w:tc>
          <w:tcPr>
            <w:tcW w:w="1474" w:type="dxa"/>
            <w:vAlign w:val="center"/>
          </w:tcPr>
          <w:p w14:paraId="1FECA557">
            <w:pPr>
              <w:pStyle w:val="11"/>
            </w:pPr>
          </w:p>
        </w:tc>
      </w:tr>
      <w:tr w14:paraId="43DF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4FA9">
            <w:pPr>
              <w:pStyle w:val="13"/>
            </w:pPr>
            <w:r>
              <w:t>2</w:t>
            </w:r>
          </w:p>
        </w:tc>
        <w:tc>
          <w:tcPr>
            <w:tcW w:w="3402" w:type="dxa"/>
            <w:vAlign w:val="center"/>
          </w:tcPr>
          <w:p w14:paraId="3C0DFF60">
            <w:pPr>
              <w:pStyle w:val="12"/>
            </w:pPr>
            <w:r>
              <w:t>二、政府性基金预算拨款</w:t>
            </w:r>
          </w:p>
        </w:tc>
        <w:tc>
          <w:tcPr>
            <w:tcW w:w="1474" w:type="dxa"/>
            <w:vAlign w:val="center"/>
          </w:tcPr>
          <w:p w14:paraId="3BE43208">
            <w:pPr>
              <w:pStyle w:val="11"/>
            </w:pPr>
          </w:p>
        </w:tc>
        <w:tc>
          <w:tcPr>
            <w:tcW w:w="3402" w:type="dxa"/>
            <w:vAlign w:val="center"/>
          </w:tcPr>
          <w:p w14:paraId="1A63B00F">
            <w:pPr>
              <w:pStyle w:val="12"/>
            </w:pPr>
            <w:r>
              <w:t>二、外交支出</w:t>
            </w:r>
          </w:p>
        </w:tc>
        <w:tc>
          <w:tcPr>
            <w:tcW w:w="1474" w:type="dxa"/>
            <w:vAlign w:val="center"/>
          </w:tcPr>
          <w:p w14:paraId="256426E3">
            <w:pPr>
              <w:pStyle w:val="11"/>
            </w:pPr>
          </w:p>
        </w:tc>
        <w:tc>
          <w:tcPr>
            <w:tcW w:w="1474" w:type="dxa"/>
            <w:vAlign w:val="center"/>
          </w:tcPr>
          <w:p w14:paraId="1DC77029">
            <w:pPr>
              <w:pStyle w:val="11"/>
            </w:pPr>
          </w:p>
        </w:tc>
        <w:tc>
          <w:tcPr>
            <w:tcW w:w="1474" w:type="dxa"/>
            <w:vAlign w:val="center"/>
          </w:tcPr>
          <w:p w14:paraId="068BE1BB">
            <w:pPr>
              <w:pStyle w:val="11"/>
            </w:pPr>
          </w:p>
        </w:tc>
        <w:tc>
          <w:tcPr>
            <w:tcW w:w="1474" w:type="dxa"/>
            <w:vAlign w:val="center"/>
          </w:tcPr>
          <w:p w14:paraId="09FF076E">
            <w:pPr>
              <w:pStyle w:val="11"/>
            </w:pPr>
          </w:p>
        </w:tc>
      </w:tr>
      <w:tr w14:paraId="0645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0E714">
            <w:pPr>
              <w:pStyle w:val="13"/>
            </w:pPr>
            <w:r>
              <w:t>3</w:t>
            </w:r>
          </w:p>
        </w:tc>
        <w:tc>
          <w:tcPr>
            <w:tcW w:w="3402" w:type="dxa"/>
            <w:vAlign w:val="center"/>
          </w:tcPr>
          <w:p w14:paraId="3C4DFA0D">
            <w:pPr>
              <w:pStyle w:val="12"/>
            </w:pPr>
            <w:r>
              <w:t>三、国有资本经营预算拨款</w:t>
            </w:r>
          </w:p>
        </w:tc>
        <w:tc>
          <w:tcPr>
            <w:tcW w:w="1474" w:type="dxa"/>
            <w:vAlign w:val="center"/>
          </w:tcPr>
          <w:p w14:paraId="7849BF6D">
            <w:pPr>
              <w:pStyle w:val="11"/>
            </w:pPr>
          </w:p>
        </w:tc>
        <w:tc>
          <w:tcPr>
            <w:tcW w:w="3402" w:type="dxa"/>
            <w:vAlign w:val="center"/>
          </w:tcPr>
          <w:p w14:paraId="4D06F97F">
            <w:pPr>
              <w:pStyle w:val="12"/>
            </w:pPr>
            <w:r>
              <w:t>三、国防支出</w:t>
            </w:r>
          </w:p>
        </w:tc>
        <w:tc>
          <w:tcPr>
            <w:tcW w:w="1474" w:type="dxa"/>
            <w:vAlign w:val="center"/>
          </w:tcPr>
          <w:p w14:paraId="6408B5EE">
            <w:pPr>
              <w:pStyle w:val="11"/>
            </w:pPr>
          </w:p>
        </w:tc>
        <w:tc>
          <w:tcPr>
            <w:tcW w:w="1474" w:type="dxa"/>
            <w:vAlign w:val="center"/>
          </w:tcPr>
          <w:p w14:paraId="31E961B7">
            <w:pPr>
              <w:pStyle w:val="11"/>
            </w:pPr>
          </w:p>
        </w:tc>
        <w:tc>
          <w:tcPr>
            <w:tcW w:w="1474" w:type="dxa"/>
            <w:vAlign w:val="center"/>
          </w:tcPr>
          <w:p w14:paraId="3DD0EBD4">
            <w:pPr>
              <w:pStyle w:val="11"/>
            </w:pPr>
          </w:p>
        </w:tc>
        <w:tc>
          <w:tcPr>
            <w:tcW w:w="1474" w:type="dxa"/>
            <w:vAlign w:val="center"/>
          </w:tcPr>
          <w:p w14:paraId="1C255F6E">
            <w:pPr>
              <w:pStyle w:val="11"/>
            </w:pPr>
          </w:p>
        </w:tc>
      </w:tr>
      <w:tr w14:paraId="1ABB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0DFA">
            <w:pPr>
              <w:pStyle w:val="13"/>
            </w:pPr>
            <w:r>
              <w:t>4</w:t>
            </w:r>
          </w:p>
        </w:tc>
        <w:tc>
          <w:tcPr>
            <w:tcW w:w="3402" w:type="dxa"/>
            <w:vAlign w:val="center"/>
          </w:tcPr>
          <w:p w14:paraId="12173BCA">
            <w:pPr>
              <w:pStyle w:val="12"/>
            </w:pPr>
          </w:p>
        </w:tc>
        <w:tc>
          <w:tcPr>
            <w:tcW w:w="1474" w:type="dxa"/>
            <w:vAlign w:val="center"/>
          </w:tcPr>
          <w:p w14:paraId="24FFCD5E">
            <w:pPr>
              <w:pStyle w:val="11"/>
            </w:pPr>
          </w:p>
        </w:tc>
        <w:tc>
          <w:tcPr>
            <w:tcW w:w="3402" w:type="dxa"/>
            <w:vAlign w:val="center"/>
          </w:tcPr>
          <w:p w14:paraId="26A9AE72">
            <w:pPr>
              <w:pStyle w:val="12"/>
            </w:pPr>
            <w:r>
              <w:t>四、公共安全支出</w:t>
            </w:r>
          </w:p>
        </w:tc>
        <w:tc>
          <w:tcPr>
            <w:tcW w:w="1474" w:type="dxa"/>
            <w:vAlign w:val="center"/>
          </w:tcPr>
          <w:p w14:paraId="3CA15CD0">
            <w:pPr>
              <w:pStyle w:val="11"/>
            </w:pPr>
          </w:p>
        </w:tc>
        <w:tc>
          <w:tcPr>
            <w:tcW w:w="1474" w:type="dxa"/>
            <w:vAlign w:val="center"/>
          </w:tcPr>
          <w:p w14:paraId="71D69E31">
            <w:pPr>
              <w:pStyle w:val="11"/>
            </w:pPr>
          </w:p>
        </w:tc>
        <w:tc>
          <w:tcPr>
            <w:tcW w:w="1474" w:type="dxa"/>
            <w:vAlign w:val="center"/>
          </w:tcPr>
          <w:p w14:paraId="55614E6A">
            <w:pPr>
              <w:pStyle w:val="11"/>
            </w:pPr>
          </w:p>
        </w:tc>
        <w:tc>
          <w:tcPr>
            <w:tcW w:w="1474" w:type="dxa"/>
            <w:vAlign w:val="center"/>
          </w:tcPr>
          <w:p w14:paraId="1845D8C3">
            <w:pPr>
              <w:pStyle w:val="11"/>
            </w:pPr>
          </w:p>
        </w:tc>
      </w:tr>
      <w:tr w14:paraId="6846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4AA71">
            <w:pPr>
              <w:pStyle w:val="13"/>
            </w:pPr>
            <w:r>
              <w:t>5</w:t>
            </w:r>
          </w:p>
        </w:tc>
        <w:tc>
          <w:tcPr>
            <w:tcW w:w="3402" w:type="dxa"/>
            <w:vAlign w:val="center"/>
          </w:tcPr>
          <w:p w14:paraId="6BD6A6A4">
            <w:pPr>
              <w:pStyle w:val="12"/>
            </w:pPr>
          </w:p>
        </w:tc>
        <w:tc>
          <w:tcPr>
            <w:tcW w:w="1474" w:type="dxa"/>
            <w:vAlign w:val="center"/>
          </w:tcPr>
          <w:p w14:paraId="1E8E8C6A">
            <w:pPr>
              <w:pStyle w:val="11"/>
            </w:pPr>
          </w:p>
        </w:tc>
        <w:tc>
          <w:tcPr>
            <w:tcW w:w="3402" w:type="dxa"/>
            <w:vAlign w:val="center"/>
          </w:tcPr>
          <w:p w14:paraId="0C8AF7FF">
            <w:pPr>
              <w:pStyle w:val="12"/>
            </w:pPr>
            <w:r>
              <w:t>五、教育支出</w:t>
            </w:r>
          </w:p>
        </w:tc>
        <w:tc>
          <w:tcPr>
            <w:tcW w:w="1474" w:type="dxa"/>
            <w:vAlign w:val="center"/>
          </w:tcPr>
          <w:p w14:paraId="7161B61D">
            <w:pPr>
              <w:pStyle w:val="11"/>
            </w:pPr>
            <w:r>
              <w:t>2483.92</w:t>
            </w:r>
          </w:p>
        </w:tc>
        <w:tc>
          <w:tcPr>
            <w:tcW w:w="1474" w:type="dxa"/>
            <w:vAlign w:val="center"/>
          </w:tcPr>
          <w:p w14:paraId="144C34F7">
            <w:pPr>
              <w:pStyle w:val="11"/>
            </w:pPr>
            <w:r>
              <w:t>2483.92</w:t>
            </w:r>
          </w:p>
        </w:tc>
        <w:tc>
          <w:tcPr>
            <w:tcW w:w="1474" w:type="dxa"/>
            <w:vAlign w:val="center"/>
          </w:tcPr>
          <w:p w14:paraId="18E564C8">
            <w:pPr>
              <w:pStyle w:val="11"/>
            </w:pPr>
          </w:p>
        </w:tc>
        <w:tc>
          <w:tcPr>
            <w:tcW w:w="1474" w:type="dxa"/>
            <w:vAlign w:val="center"/>
          </w:tcPr>
          <w:p w14:paraId="04B0D101">
            <w:pPr>
              <w:pStyle w:val="11"/>
            </w:pPr>
          </w:p>
        </w:tc>
      </w:tr>
      <w:tr w14:paraId="2855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C0114">
            <w:pPr>
              <w:pStyle w:val="13"/>
            </w:pPr>
            <w:r>
              <w:t>6</w:t>
            </w:r>
          </w:p>
        </w:tc>
        <w:tc>
          <w:tcPr>
            <w:tcW w:w="3402" w:type="dxa"/>
            <w:vAlign w:val="center"/>
          </w:tcPr>
          <w:p w14:paraId="685CB808">
            <w:pPr>
              <w:pStyle w:val="12"/>
            </w:pPr>
          </w:p>
        </w:tc>
        <w:tc>
          <w:tcPr>
            <w:tcW w:w="1474" w:type="dxa"/>
            <w:vAlign w:val="center"/>
          </w:tcPr>
          <w:p w14:paraId="6D33F72E">
            <w:pPr>
              <w:pStyle w:val="11"/>
            </w:pPr>
          </w:p>
        </w:tc>
        <w:tc>
          <w:tcPr>
            <w:tcW w:w="3402" w:type="dxa"/>
            <w:vAlign w:val="center"/>
          </w:tcPr>
          <w:p w14:paraId="69769258">
            <w:pPr>
              <w:pStyle w:val="12"/>
            </w:pPr>
            <w:r>
              <w:t>六、科学技术支出</w:t>
            </w:r>
          </w:p>
        </w:tc>
        <w:tc>
          <w:tcPr>
            <w:tcW w:w="1474" w:type="dxa"/>
            <w:vAlign w:val="center"/>
          </w:tcPr>
          <w:p w14:paraId="3040F32B">
            <w:pPr>
              <w:pStyle w:val="11"/>
            </w:pPr>
          </w:p>
        </w:tc>
        <w:tc>
          <w:tcPr>
            <w:tcW w:w="1474" w:type="dxa"/>
            <w:vAlign w:val="center"/>
          </w:tcPr>
          <w:p w14:paraId="5248E44F">
            <w:pPr>
              <w:pStyle w:val="11"/>
            </w:pPr>
          </w:p>
        </w:tc>
        <w:tc>
          <w:tcPr>
            <w:tcW w:w="1474" w:type="dxa"/>
            <w:vAlign w:val="center"/>
          </w:tcPr>
          <w:p w14:paraId="3177B0A2">
            <w:pPr>
              <w:pStyle w:val="11"/>
            </w:pPr>
          </w:p>
        </w:tc>
        <w:tc>
          <w:tcPr>
            <w:tcW w:w="1474" w:type="dxa"/>
            <w:vAlign w:val="center"/>
          </w:tcPr>
          <w:p w14:paraId="0FB023A3">
            <w:pPr>
              <w:pStyle w:val="11"/>
            </w:pPr>
          </w:p>
        </w:tc>
      </w:tr>
      <w:tr w14:paraId="6EC0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6892E">
            <w:pPr>
              <w:pStyle w:val="13"/>
            </w:pPr>
            <w:r>
              <w:t>7</w:t>
            </w:r>
          </w:p>
        </w:tc>
        <w:tc>
          <w:tcPr>
            <w:tcW w:w="3402" w:type="dxa"/>
            <w:vAlign w:val="center"/>
          </w:tcPr>
          <w:p w14:paraId="74EB4227">
            <w:pPr>
              <w:pStyle w:val="12"/>
            </w:pPr>
          </w:p>
        </w:tc>
        <w:tc>
          <w:tcPr>
            <w:tcW w:w="1474" w:type="dxa"/>
            <w:vAlign w:val="center"/>
          </w:tcPr>
          <w:p w14:paraId="23E43915">
            <w:pPr>
              <w:pStyle w:val="11"/>
            </w:pPr>
          </w:p>
        </w:tc>
        <w:tc>
          <w:tcPr>
            <w:tcW w:w="3402" w:type="dxa"/>
            <w:vAlign w:val="center"/>
          </w:tcPr>
          <w:p w14:paraId="21F79559">
            <w:pPr>
              <w:pStyle w:val="12"/>
            </w:pPr>
            <w:r>
              <w:t>七、文化旅游体育与传媒支出</w:t>
            </w:r>
          </w:p>
        </w:tc>
        <w:tc>
          <w:tcPr>
            <w:tcW w:w="1474" w:type="dxa"/>
            <w:vAlign w:val="center"/>
          </w:tcPr>
          <w:p w14:paraId="7E5F8E93">
            <w:pPr>
              <w:pStyle w:val="11"/>
            </w:pPr>
          </w:p>
        </w:tc>
        <w:tc>
          <w:tcPr>
            <w:tcW w:w="1474" w:type="dxa"/>
            <w:vAlign w:val="center"/>
          </w:tcPr>
          <w:p w14:paraId="70C1FB5B">
            <w:pPr>
              <w:pStyle w:val="11"/>
            </w:pPr>
          </w:p>
        </w:tc>
        <w:tc>
          <w:tcPr>
            <w:tcW w:w="1474" w:type="dxa"/>
            <w:vAlign w:val="center"/>
          </w:tcPr>
          <w:p w14:paraId="3460855A">
            <w:pPr>
              <w:pStyle w:val="11"/>
            </w:pPr>
          </w:p>
        </w:tc>
        <w:tc>
          <w:tcPr>
            <w:tcW w:w="1474" w:type="dxa"/>
            <w:vAlign w:val="center"/>
          </w:tcPr>
          <w:p w14:paraId="4A41946C">
            <w:pPr>
              <w:pStyle w:val="11"/>
            </w:pPr>
          </w:p>
        </w:tc>
      </w:tr>
      <w:tr w14:paraId="3B8B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71F3A">
            <w:pPr>
              <w:pStyle w:val="13"/>
            </w:pPr>
            <w:r>
              <w:t>8</w:t>
            </w:r>
          </w:p>
        </w:tc>
        <w:tc>
          <w:tcPr>
            <w:tcW w:w="3402" w:type="dxa"/>
            <w:vAlign w:val="center"/>
          </w:tcPr>
          <w:p w14:paraId="04D33A1F">
            <w:pPr>
              <w:pStyle w:val="12"/>
            </w:pPr>
          </w:p>
        </w:tc>
        <w:tc>
          <w:tcPr>
            <w:tcW w:w="1474" w:type="dxa"/>
            <w:vAlign w:val="center"/>
          </w:tcPr>
          <w:p w14:paraId="00E2067F">
            <w:pPr>
              <w:pStyle w:val="11"/>
            </w:pPr>
          </w:p>
        </w:tc>
        <w:tc>
          <w:tcPr>
            <w:tcW w:w="3402" w:type="dxa"/>
            <w:vAlign w:val="center"/>
          </w:tcPr>
          <w:p w14:paraId="2FC6B9F8">
            <w:pPr>
              <w:pStyle w:val="12"/>
            </w:pPr>
            <w:r>
              <w:t>八、社会保障和就业支出</w:t>
            </w:r>
          </w:p>
        </w:tc>
        <w:tc>
          <w:tcPr>
            <w:tcW w:w="1474" w:type="dxa"/>
            <w:vAlign w:val="center"/>
          </w:tcPr>
          <w:p w14:paraId="0E7953D2">
            <w:pPr>
              <w:pStyle w:val="11"/>
            </w:pPr>
          </w:p>
        </w:tc>
        <w:tc>
          <w:tcPr>
            <w:tcW w:w="1474" w:type="dxa"/>
            <w:vAlign w:val="center"/>
          </w:tcPr>
          <w:p w14:paraId="1847F075">
            <w:pPr>
              <w:pStyle w:val="11"/>
            </w:pPr>
          </w:p>
        </w:tc>
        <w:tc>
          <w:tcPr>
            <w:tcW w:w="1474" w:type="dxa"/>
            <w:vAlign w:val="center"/>
          </w:tcPr>
          <w:p w14:paraId="7E006BAB">
            <w:pPr>
              <w:pStyle w:val="11"/>
            </w:pPr>
          </w:p>
        </w:tc>
        <w:tc>
          <w:tcPr>
            <w:tcW w:w="1474" w:type="dxa"/>
            <w:vAlign w:val="center"/>
          </w:tcPr>
          <w:p w14:paraId="1ACC2960">
            <w:pPr>
              <w:pStyle w:val="11"/>
            </w:pPr>
          </w:p>
        </w:tc>
      </w:tr>
      <w:tr w14:paraId="6635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3A4D">
            <w:pPr>
              <w:pStyle w:val="13"/>
            </w:pPr>
            <w:r>
              <w:t>9</w:t>
            </w:r>
          </w:p>
        </w:tc>
        <w:tc>
          <w:tcPr>
            <w:tcW w:w="3402" w:type="dxa"/>
            <w:vAlign w:val="center"/>
          </w:tcPr>
          <w:p w14:paraId="4BD0521D">
            <w:pPr>
              <w:pStyle w:val="12"/>
            </w:pPr>
          </w:p>
        </w:tc>
        <w:tc>
          <w:tcPr>
            <w:tcW w:w="1474" w:type="dxa"/>
            <w:vAlign w:val="center"/>
          </w:tcPr>
          <w:p w14:paraId="71768038">
            <w:pPr>
              <w:pStyle w:val="11"/>
            </w:pPr>
          </w:p>
        </w:tc>
        <w:tc>
          <w:tcPr>
            <w:tcW w:w="3402" w:type="dxa"/>
            <w:vAlign w:val="center"/>
          </w:tcPr>
          <w:p w14:paraId="510F85E9">
            <w:pPr>
              <w:pStyle w:val="12"/>
            </w:pPr>
            <w:r>
              <w:t>九、社会保险基金支出</w:t>
            </w:r>
          </w:p>
        </w:tc>
        <w:tc>
          <w:tcPr>
            <w:tcW w:w="1474" w:type="dxa"/>
            <w:vAlign w:val="center"/>
          </w:tcPr>
          <w:p w14:paraId="46CCCCE3">
            <w:pPr>
              <w:pStyle w:val="11"/>
            </w:pPr>
          </w:p>
        </w:tc>
        <w:tc>
          <w:tcPr>
            <w:tcW w:w="1474" w:type="dxa"/>
            <w:vAlign w:val="center"/>
          </w:tcPr>
          <w:p w14:paraId="79DE2C8A">
            <w:pPr>
              <w:pStyle w:val="11"/>
            </w:pPr>
          </w:p>
        </w:tc>
        <w:tc>
          <w:tcPr>
            <w:tcW w:w="1474" w:type="dxa"/>
            <w:vAlign w:val="center"/>
          </w:tcPr>
          <w:p w14:paraId="19994CAD">
            <w:pPr>
              <w:pStyle w:val="11"/>
            </w:pPr>
          </w:p>
        </w:tc>
        <w:tc>
          <w:tcPr>
            <w:tcW w:w="1474" w:type="dxa"/>
            <w:vAlign w:val="center"/>
          </w:tcPr>
          <w:p w14:paraId="539A00B0">
            <w:pPr>
              <w:pStyle w:val="11"/>
            </w:pPr>
          </w:p>
        </w:tc>
      </w:tr>
      <w:tr w14:paraId="393D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18A2">
            <w:pPr>
              <w:pStyle w:val="13"/>
            </w:pPr>
            <w:r>
              <w:t>10</w:t>
            </w:r>
          </w:p>
        </w:tc>
        <w:tc>
          <w:tcPr>
            <w:tcW w:w="3402" w:type="dxa"/>
            <w:vAlign w:val="center"/>
          </w:tcPr>
          <w:p w14:paraId="46EBF94D">
            <w:pPr>
              <w:pStyle w:val="12"/>
            </w:pPr>
          </w:p>
        </w:tc>
        <w:tc>
          <w:tcPr>
            <w:tcW w:w="1474" w:type="dxa"/>
            <w:vAlign w:val="center"/>
          </w:tcPr>
          <w:p w14:paraId="695681BD">
            <w:pPr>
              <w:pStyle w:val="11"/>
            </w:pPr>
          </w:p>
        </w:tc>
        <w:tc>
          <w:tcPr>
            <w:tcW w:w="3402" w:type="dxa"/>
            <w:vAlign w:val="center"/>
          </w:tcPr>
          <w:p w14:paraId="3D33A0C3">
            <w:pPr>
              <w:pStyle w:val="12"/>
            </w:pPr>
            <w:r>
              <w:t>十、卫生健康支出</w:t>
            </w:r>
          </w:p>
        </w:tc>
        <w:tc>
          <w:tcPr>
            <w:tcW w:w="1474" w:type="dxa"/>
            <w:vAlign w:val="center"/>
          </w:tcPr>
          <w:p w14:paraId="5BAB39A6">
            <w:pPr>
              <w:pStyle w:val="11"/>
            </w:pPr>
          </w:p>
        </w:tc>
        <w:tc>
          <w:tcPr>
            <w:tcW w:w="1474" w:type="dxa"/>
            <w:vAlign w:val="center"/>
          </w:tcPr>
          <w:p w14:paraId="0F0B8A19">
            <w:pPr>
              <w:pStyle w:val="11"/>
            </w:pPr>
          </w:p>
        </w:tc>
        <w:tc>
          <w:tcPr>
            <w:tcW w:w="1474" w:type="dxa"/>
            <w:vAlign w:val="center"/>
          </w:tcPr>
          <w:p w14:paraId="5313B912">
            <w:pPr>
              <w:pStyle w:val="11"/>
            </w:pPr>
          </w:p>
        </w:tc>
        <w:tc>
          <w:tcPr>
            <w:tcW w:w="1474" w:type="dxa"/>
            <w:vAlign w:val="center"/>
          </w:tcPr>
          <w:p w14:paraId="41D543E3">
            <w:pPr>
              <w:pStyle w:val="11"/>
            </w:pPr>
          </w:p>
        </w:tc>
      </w:tr>
      <w:tr w14:paraId="602F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A9D0A">
            <w:pPr>
              <w:pStyle w:val="13"/>
            </w:pPr>
            <w:r>
              <w:t>11</w:t>
            </w:r>
          </w:p>
        </w:tc>
        <w:tc>
          <w:tcPr>
            <w:tcW w:w="3402" w:type="dxa"/>
            <w:vAlign w:val="center"/>
          </w:tcPr>
          <w:p w14:paraId="0A16221D">
            <w:pPr>
              <w:pStyle w:val="12"/>
            </w:pPr>
          </w:p>
        </w:tc>
        <w:tc>
          <w:tcPr>
            <w:tcW w:w="1474" w:type="dxa"/>
            <w:vAlign w:val="center"/>
          </w:tcPr>
          <w:p w14:paraId="1C3B1FEE">
            <w:pPr>
              <w:pStyle w:val="11"/>
            </w:pPr>
          </w:p>
        </w:tc>
        <w:tc>
          <w:tcPr>
            <w:tcW w:w="3402" w:type="dxa"/>
            <w:vAlign w:val="center"/>
          </w:tcPr>
          <w:p w14:paraId="10E4AE68">
            <w:pPr>
              <w:pStyle w:val="12"/>
            </w:pPr>
            <w:r>
              <w:t>十一、节能环保支出</w:t>
            </w:r>
          </w:p>
        </w:tc>
        <w:tc>
          <w:tcPr>
            <w:tcW w:w="1474" w:type="dxa"/>
            <w:vAlign w:val="center"/>
          </w:tcPr>
          <w:p w14:paraId="16B17438">
            <w:pPr>
              <w:pStyle w:val="11"/>
            </w:pPr>
          </w:p>
        </w:tc>
        <w:tc>
          <w:tcPr>
            <w:tcW w:w="1474" w:type="dxa"/>
            <w:vAlign w:val="center"/>
          </w:tcPr>
          <w:p w14:paraId="22661D97">
            <w:pPr>
              <w:pStyle w:val="11"/>
            </w:pPr>
          </w:p>
        </w:tc>
        <w:tc>
          <w:tcPr>
            <w:tcW w:w="1474" w:type="dxa"/>
            <w:vAlign w:val="center"/>
          </w:tcPr>
          <w:p w14:paraId="13AC50BE">
            <w:pPr>
              <w:pStyle w:val="11"/>
            </w:pPr>
          </w:p>
        </w:tc>
        <w:tc>
          <w:tcPr>
            <w:tcW w:w="1474" w:type="dxa"/>
            <w:vAlign w:val="center"/>
          </w:tcPr>
          <w:p w14:paraId="7993DD3E">
            <w:pPr>
              <w:pStyle w:val="11"/>
            </w:pPr>
          </w:p>
        </w:tc>
      </w:tr>
      <w:tr w14:paraId="2542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928E">
            <w:pPr>
              <w:pStyle w:val="13"/>
            </w:pPr>
            <w:r>
              <w:t>12</w:t>
            </w:r>
          </w:p>
        </w:tc>
        <w:tc>
          <w:tcPr>
            <w:tcW w:w="3402" w:type="dxa"/>
            <w:vAlign w:val="center"/>
          </w:tcPr>
          <w:p w14:paraId="3DE9E0E4">
            <w:pPr>
              <w:pStyle w:val="12"/>
            </w:pPr>
          </w:p>
        </w:tc>
        <w:tc>
          <w:tcPr>
            <w:tcW w:w="1474" w:type="dxa"/>
            <w:vAlign w:val="center"/>
          </w:tcPr>
          <w:p w14:paraId="7F4E239B">
            <w:pPr>
              <w:pStyle w:val="11"/>
            </w:pPr>
          </w:p>
        </w:tc>
        <w:tc>
          <w:tcPr>
            <w:tcW w:w="3402" w:type="dxa"/>
            <w:vAlign w:val="center"/>
          </w:tcPr>
          <w:p w14:paraId="5270E4BF">
            <w:pPr>
              <w:pStyle w:val="12"/>
            </w:pPr>
            <w:r>
              <w:t>十二、城乡社区支出</w:t>
            </w:r>
          </w:p>
        </w:tc>
        <w:tc>
          <w:tcPr>
            <w:tcW w:w="1474" w:type="dxa"/>
            <w:vAlign w:val="center"/>
          </w:tcPr>
          <w:p w14:paraId="33AF0484">
            <w:pPr>
              <w:pStyle w:val="11"/>
            </w:pPr>
          </w:p>
        </w:tc>
        <w:tc>
          <w:tcPr>
            <w:tcW w:w="1474" w:type="dxa"/>
            <w:vAlign w:val="center"/>
          </w:tcPr>
          <w:p w14:paraId="55772AD3">
            <w:pPr>
              <w:pStyle w:val="11"/>
            </w:pPr>
          </w:p>
        </w:tc>
        <w:tc>
          <w:tcPr>
            <w:tcW w:w="1474" w:type="dxa"/>
            <w:vAlign w:val="center"/>
          </w:tcPr>
          <w:p w14:paraId="3464A494">
            <w:pPr>
              <w:pStyle w:val="11"/>
            </w:pPr>
          </w:p>
        </w:tc>
        <w:tc>
          <w:tcPr>
            <w:tcW w:w="1474" w:type="dxa"/>
            <w:vAlign w:val="center"/>
          </w:tcPr>
          <w:p w14:paraId="166E0D5C">
            <w:pPr>
              <w:pStyle w:val="11"/>
            </w:pPr>
          </w:p>
        </w:tc>
      </w:tr>
      <w:tr w14:paraId="4FA1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6935">
            <w:pPr>
              <w:pStyle w:val="13"/>
            </w:pPr>
            <w:r>
              <w:t>13</w:t>
            </w:r>
          </w:p>
        </w:tc>
        <w:tc>
          <w:tcPr>
            <w:tcW w:w="3402" w:type="dxa"/>
            <w:vAlign w:val="center"/>
          </w:tcPr>
          <w:p w14:paraId="02C07FC6">
            <w:pPr>
              <w:pStyle w:val="12"/>
            </w:pPr>
          </w:p>
        </w:tc>
        <w:tc>
          <w:tcPr>
            <w:tcW w:w="1474" w:type="dxa"/>
            <w:vAlign w:val="center"/>
          </w:tcPr>
          <w:p w14:paraId="04B52D04">
            <w:pPr>
              <w:pStyle w:val="11"/>
            </w:pPr>
          </w:p>
        </w:tc>
        <w:tc>
          <w:tcPr>
            <w:tcW w:w="3402" w:type="dxa"/>
            <w:vAlign w:val="center"/>
          </w:tcPr>
          <w:p w14:paraId="4C67CB56">
            <w:pPr>
              <w:pStyle w:val="12"/>
            </w:pPr>
            <w:r>
              <w:t>十三、农林水支出</w:t>
            </w:r>
          </w:p>
        </w:tc>
        <w:tc>
          <w:tcPr>
            <w:tcW w:w="1474" w:type="dxa"/>
            <w:vAlign w:val="center"/>
          </w:tcPr>
          <w:p w14:paraId="0F934747">
            <w:pPr>
              <w:pStyle w:val="11"/>
            </w:pPr>
          </w:p>
        </w:tc>
        <w:tc>
          <w:tcPr>
            <w:tcW w:w="1474" w:type="dxa"/>
            <w:vAlign w:val="center"/>
          </w:tcPr>
          <w:p w14:paraId="33E9EF0F">
            <w:pPr>
              <w:pStyle w:val="11"/>
            </w:pPr>
          </w:p>
        </w:tc>
        <w:tc>
          <w:tcPr>
            <w:tcW w:w="1474" w:type="dxa"/>
            <w:vAlign w:val="center"/>
          </w:tcPr>
          <w:p w14:paraId="7537F4F8">
            <w:pPr>
              <w:pStyle w:val="11"/>
            </w:pPr>
          </w:p>
        </w:tc>
        <w:tc>
          <w:tcPr>
            <w:tcW w:w="1474" w:type="dxa"/>
            <w:vAlign w:val="center"/>
          </w:tcPr>
          <w:p w14:paraId="083F616D">
            <w:pPr>
              <w:pStyle w:val="11"/>
            </w:pPr>
          </w:p>
        </w:tc>
      </w:tr>
      <w:tr w14:paraId="044E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9D41B">
            <w:pPr>
              <w:pStyle w:val="13"/>
            </w:pPr>
            <w:r>
              <w:t>14</w:t>
            </w:r>
          </w:p>
        </w:tc>
        <w:tc>
          <w:tcPr>
            <w:tcW w:w="3402" w:type="dxa"/>
            <w:vAlign w:val="center"/>
          </w:tcPr>
          <w:p w14:paraId="6CB2CCBF">
            <w:pPr>
              <w:pStyle w:val="12"/>
            </w:pPr>
          </w:p>
        </w:tc>
        <w:tc>
          <w:tcPr>
            <w:tcW w:w="1474" w:type="dxa"/>
            <w:vAlign w:val="center"/>
          </w:tcPr>
          <w:p w14:paraId="16C3A29C">
            <w:pPr>
              <w:pStyle w:val="11"/>
            </w:pPr>
          </w:p>
        </w:tc>
        <w:tc>
          <w:tcPr>
            <w:tcW w:w="3402" w:type="dxa"/>
            <w:vAlign w:val="center"/>
          </w:tcPr>
          <w:p w14:paraId="51832EBE">
            <w:pPr>
              <w:pStyle w:val="12"/>
            </w:pPr>
            <w:r>
              <w:t>十四、交通运输支出</w:t>
            </w:r>
          </w:p>
        </w:tc>
        <w:tc>
          <w:tcPr>
            <w:tcW w:w="1474" w:type="dxa"/>
            <w:vAlign w:val="center"/>
          </w:tcPr>
          <w:p w14:paraId="193DD6D9">
            <w:pPr>
              <w:pStyle w:val="11"/>
            </w:pPr>
          </w:p>
        </w:tc>
        <w:tc>
          <w:tcPr>
            <w:tcW w:w="1474" w:type="dxa"/>
            <w:vAlign w:val="center"/>
          </w:tcPr>
          <w:p w14:paraId="7AFF4786">
            <w:pPr>
              <w:pStyle w:val="11"/>
            </w:pPr>
          </w:p>
        </w:tc>
        <w:tc>
          <w:tcPr>
            <w:tcW w:w="1474" w:type="dxa"/>
            <w:vAlign w:val="center"/>
          </w:tcPr>
          <w:p w14:paraId="027606E8">
            <w:pPr>
              <w:pStyle w:val="11"/>
            </w:pPr>
          </w:p>
        </w:tc>
        <w:tc>
          <w:tcPr>
            <w:tcW w:w="1474" w:type="dxa"/>
            <w:vAlign w:val="center"/>
          </w:tcPr>
          <w:p w14:paraId="393F260A">
            <w:pPr>
              <w:pStyle w:val="11"/>
            </w:pPr>
          </w:p>
        </w:tc>
      </w:tr>
      <w:tr w14:paraId="4024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925D">
            <w:pPr>
              <w:pStyle w:val="13"/>
            </w:pPr>
            <w:r>
              <w:t>15</w:t>
            </w:r>
          </w:p>
        </w:tc>
        <w:tc>
          <w:tcPr>
            <w:tcW w:w="3402" w:type="dxa"/>
            <w:vAlign w:val="center"/>
          </w:tcPr>
          <w:p w14:paraId="117C7E44">
            <w:pPr>
              <w:pStyle w:val="12"/>
            </w:pPr>
          </w:p>
        </w:tc>
        <w:tc>
          <w:tcPr>
            <w:tcW w:w="1474" w:type="dxa"/>
            <w:vAlign w:val="center"/>
          </w:tcPr>
          <w:p w14:paraId="4F1BEB47">
            <w:pPr>
              <w:pStyle w:val="11"/>
            </w:pPr>
          </w:p>
        </w:tc>
        <w:tc>
          <w:tcPr>
            <w:tcW w:w="3402" w:type="dxa"/>
            <w:vAlign w:val="center"/>
          </w:tcPr>
          <w:p w14:paraId="14EBEFBB">
            <w:pPr>
              <w:pStyle w:val="12"/>
            </w:pPr>
            <w:r>
              <w:t>十五、资源勘探工业信息等支出</w:t>
            </w:r>
          </w:p>
        </w:tc>
        <w:tc>
          <w:tcPr>
            <w:tcW w:w="1474" w:type="dxa"/>
            <w:vAlign w:val="center"/>
          </w:tcPr>
          <w:p w14:paraId="25FB2D42">
            <w:pPr>
              <w:pStyle w:val="11"/>
            </w:pPr>
          </w:p>
        </w:tc>
        <w:tc>
          <w:tcPr>
            <w:tcW w:w="1474" w:type="dxa"/>
            <w:vAlign w:val="center"/>
          </w:tcPr>
          <w:p w14:paraId="773E7955">
            <w:pPr>
              <w:pStyle w:val="11"/>
            </w:pPr>
          </w:p>
        </w:tc>
        <w:tc>
          <w:tcPr>
            <w:tcW w:w="1474" w:type="dxa"/>
            <w:vAlign w:val="center"/>
          </w:tcPr>
          <w:p w14:paraId="2F79B14F">
            <w:pPr>
              <w:pStyle w:val="11"/>
            </w:pPr>
          </w:p>
        </w:tc>
        <w:tc>
          <w:tcPr>
            <w:tcW w:w="1474" w:type="dxa"/>
            <w:vAlign w:val="center"/>
          </w:tcPr>
          <w:p w14:paraId="7FB86964">
            <w:pPr>
              <w:pStyle w:val="11"/>
            </w:pPr>
          </w:p>
        </w:tc>
      </w:tr>
      <w:tr w14:paraId="7699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486A4">
            <w:pPr>
              <w:pStyle w:val="13"/>
            </w:pPr>
            <w:r>
              <w:t>16</w:t>
            </w:r>
          </w:p>
        </w:tc>
        <w:tc>
          <w:tcPr>
            <w:tcW w:w="3402" w:type="dxa"/>
            <w:vAlign w:val="center"/>
          </w:tcPr>
          <w:p w14:paraId="1A8B1157">
            <w:pPr>
              <w:pStyle w:val="12"/>
            </w:pPr>
          </w:p>
        </w:tc>
        <w:tc>
          <w:tcPr>
            <w:tcW w:w="1474" w:type="dxa"/>
            <w:vAlign w:val="center"/>
          </w:tcPr>
          <w:p w14:paraId="2CE043E3">
            <w:pPr>
              <w:pStyle w:val="11"/>
            </w:pPr>
          </w:p>
        </w:tc>
        <w:tc>
          <w:tcPr>
            <w:tcW w:w="3402" w:type="dxa"/>
            <w:vAlign w:val="center"/>
          </w:tcPr>
          <w:p w14:paraId="69F7DC49">
            <w:pPr>
              <w:pStyle w:val="12"/>
            </w:pPr>
            <w:r>
              <w:t>十六、商业服务业等支出</w:t>
            </w:r>
          </w:p>
        </w:tc>
        <w:tc>
          <w:tcPr>
            <w:tcW w:w="1474" w:type="dxa"/>
            <w:vAlign w:val="center"/>
          </w:tcPr>
          <w:p w14:paraId="122B2718">
            <w:pPr>
              <w:pStyle w:val="11"/>
            </w:pPr>
          </w:p>
        </w:tc>
        <w:tc>
          <w:tcPr>
            <w:tcW w:w="1474" w:type="dxa"/>
            <w:vAlign w:val="center"/>
          </w:tcPr>
          <w:p w14:paraId="4559105F">
            <w:pPr>
              <w:pStyle w:val="11"/>
            </w:pPr>
          </w:p>
        </w:tc>
        <w:tc>
          <w:tcPr>
            <w:tcW w:w="1474" w:type="dxa"/>
            <w:vAlign w:val="center"/>
          </w:tcPr>
          <w:p w14:paraId="67AF7FD1">
            <w:pPr>
              <w:pStyle w:val="11"/>
            </w:pPr>
          </w:p>
        </w:tc>
        <w:tc>
          <w:tcPr>
            <w:tcW w:w="1474" w:type="dxa"/>
            <w:vAlign w:val="center"/>
          </w:tcPr>
          <w:p w14:paraId="369170A1">
            <w:pPr>
              <w:pStyle w:val="11"/>
            </w:pPr>
          </w:p>
        </w:tc>
      </w:tr>
      <w:tr w14:paraId="327A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892C6">
            <w:pPr>
              <w:pStyle w:val="13"/>
            </w:pPr>
            <w:r>
              <w:t>17</w:t>
            </w:r>
          </w:p>
        </w:tc>
        <w:tc>
          <w:tcPr>
            <w:tcW w:w="3402" w:type="dxa"/>
            <w:vAlign w:val="center"/>
          </w:tcPr>
          <w:p w14:paraId="52995304">
            <w:pPr>
              <w:pStyle w:val="12"/>
            </w:pPr>
          </w:p>
        </w:tc>
        <w:tc>
          <w:tcPr>
            <w:tcW w:w="1474" w:type="dxa"/>
            <w:vAlign w:val="center"/>
          </w:tcPr>
          <w:p w14:paraId="6B4CA86C">
            <w:pPr>
              <w:pStyle w:val="11"/>
            </w:pPr>
          </w:p>
        </w:tc>
        <w:tc>
          <w:tcPr>
            <w:tcW w:w="3402" w:type="dxa"/>
            <w:vAlign w:val="center"/>
          </w:tcPr>
          <w:p w14:paraId="3CD8A2E0">
            <w:pPr>
              <w:pStyle w:val="12"/>
            </w:pPr>
            <w:r>
              <w:t>十七、金融支出</w:t>
            </w:r>
          </w:p>
        </w:tc>
        <w:tc>
          <w:tcPr>
            <w:tcW w:w="1474" w:type="dxa"/>
            <w:vAlign w:val="center"/>
          </w:tcPr>
          <w:p w14:paraId="3719DA5C">
            <w:pPr>
              <w:pStyle w:val="11"/>
            </w:pPr>
          </w:p>
        </w:tc>
        <w:tc>
          <w:tcPr>
            <w:tcW w:w="1474" w:type="dxa"/>
            <w:vAlign w:val="center"/>
          </w:tcPr>
          <w:p w14:paraId="27D831DD">
            <w:pPr>
              <w:pStyle w:val="11"/>
            </w:pPr>
          </w:p>
        </w:tc>
        <w:tc>
          <w:tcPr>
            <w:tcW w:w="1474" w:type="dxa"/>
            <w:vAlign w:val="center"/>
          </w:tcPr>
          <w:p w14:paraId="33D1492F">
            <w:pPr>
              <w:pStyle w:val="11"/>
            </w:pPr>
          </w:p>
        </w:tc>
        <w:tc>
          <w:tcPr>
            <w:tcW w:w="1474" w:type="dxa"/>
            <w:vAlign w:val="center"/>
          </w:tcPr>
          <w:p w14:paraId="6D4B42EC">
            <w:pPr>
              <w:pStyle w:val="11"/>
            </w:pPr>
          </w:p>
        </w:tc>
      </w:tr>
      <w:tr w14:paraId="4031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2CEA6">
            <w:pPr>
              <w:pStyle w:val="13"/>
            </w:pPr>
            <w:r>
              <w:t>18</w:t>
            </w:r>
          </w:p>
        </w:tc>
        <w:tc>
          <w:tcPr>
            <w:tcW w:w="3402" w:type="dxa"/>
            <w:vAlign w:val="center"/>
          </w:tcPr>
          <w:p w14:paraId="229DDD5B">
            <w:pPr>
              <w:pStyle w:val="12"/>
            </w:pPr>
          </w:p>
        </w:tc>
        <w:tc>
          <w:tcPr>
            <w:tcW w:w="1474" w:type="dxa"/>
            <w:vAlign w:val="center"/>
          </w:tcPr>
          <w:p w14:paraId="68C8CD2F">
            <w:pPr>
              <w:pStyle w:val="11"/>
            </w:pPr>
          </w:p>
        </w:tc>
        <w:tc>
          <w:tcPr>
            <w:tcW w:w="3402" w:type="dxa"/>
            <w:vAlign w:val="center"/>
          </w:tcPr>
          <w:p w14:paraId="6B3531DC">
            <w:pPr>
              <w:pStyle w:val="12"/>
            </w:pPr>
            <w:r>
              <w:t>十八、援助其他地区支出</w:t>
            </w:r>
          </w:p>
        </w:tc>
        <w:tc>
          <w:tcPr>
            <w:tcW w:w="1474" w:type="dxa"/>
            <w:vAlign w:val="center"/>
          </w:tcPr>
          <w:p w14:paraId="6A9917E7">
            <w:pPr>
              <w:pStyle w:val="11"/>
            </w:pPr>
          </w:p>
        </w:tc>
        <w:tc>
          <w:tcPr>
            <w:tcW w:w="1474" w:type="dxa"/>
            <w:vAlign w:val="center"/>
          </w:tcPr>
          <w:p w14:paraId="432629B6">
            <w:pPr>
              <w:pStyle w:val="11"/>
            </w:pPr>
          </w:p>
        </w:tc>
        <w:tc>
          <w:tcPr>
            <w:tcW w:w="1474" w:type="dxa"/>
            <w:vAlign w:val="center"/>
          </w:tcPr>
          <w:p w14:paraId="115C961E">
            <w:pPr>
              <w:pStyle w:val="11"/>
            </w:pPr>
          </w:p>
        </w:tc>
        <w:tc>
          <w:tcPr>
            <w:tcW w:w="1474" w:type="dxa"/>
            <w:vAlign w:val="center"/>
          </w:tcPr>
          <w:p w14:paraId="0B134BFE">
            <w:pPr>
              <w:pStyle w:val="11"/>
            </w:pPr>
          </w:p>
        </w:tc>
      </w:tr>
      <w:tr w14:paraId="3FB0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5275E">
            <w:pPr>
              <w:pStyle w:val="13"/>
            </w:pPr>
            <w:r>
              <w:t>19</w:t>
            </w:r>
          </w:p>
        </w:tc>
        <w:tc>
          <w:tcPr>
            <w:tcW w:w="3402" w:type="dxa"/>
            <w:vAlign w:val="center"/>
          </w:tcPr>
          <w:p w14:paraId="2A9F3DB4">
            <w:pPr>
              <w:pStyle w:val="12"/>
            </w:pPr>
          </w:p>
        </w:tc>
        <w:tc>
          <w:tcPr>
            <w:tcW w:w="1474" w:type="dxa"/>
            <w:vAlign w:val="center"/>
          </w:tcPr>
          <w:p w14:paraId="5DC79A1F">
            <w:pPr>
              <w:pStyle w:val="11"/>
            </w:pPr>
          </w:p>
        </w:tc>
        <w:tc>
          <w:tcPr>
            <w:tcW w:w="3402" w:type="dxa"/>
            <w:vAlign w:val="center"/>
          </w:tcPr>
          <w:p w14:paraId="49A4C85C">
            <w:pPr>
              <w:pStyle w:val="12"/>
            </w:pPr>
            <w:r>
              <w:t>十九、自然资源海洋气象等支出</w:t>
            </w:r>
          </w:p>
        </w:tc>
        <w:tc>
          <w:tcPr>
            <w:tcW w:w="1474" w:type="dxa"/>
            <w:vAlign w:val="center"/>
          </w:tcPr>
          <w:p w14:paraId="779BC491">
            <w:pPr>
              <w:pStyle w:val="11"/>
            </w:pPr>
          </w:p>
        </w:tc>
        <w:tc>
          <w:tcPr>
            <w:tcW w:w="1474" w:type="dxa"/>
            <w:vAlign w:val="center"/>
          </w:tcPr>
          <w:p w14:paraId="5D5CE516">
            <w:pPr>
              <w:pStyle w:val="11"/>
            </w:pPr>
          </w:p>
        </w:tc>
        <w:tc>
          <w:tcPr>
            <w:tcW w:w="1474" w:type="dxa"/>
            <w:vAlign w:val="center"/>
          </w:tcPr>
          <w:p w14:paraId="3D7AFF27">
            <w:pPr>
              <w:pStyle w:val="11"/>
            </w:pPr>
          </w:p>
        </w:tc>
        <w:tc>
          <w:tcPr>
            <w:tcW w:w="1474" w:type="dxa"/>
            <w:vAlign w:val="center"/>
          </w:tcPr>
          <w:p w14:paraId="10C273B1">
            <w:pPr>
              <w:pStyle w:val="11"/>
            </w:pPr>
          </w:p>
        </w:tc>
      </w:tr>
      <w:tr w14:paraId="502C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3CE88">
            <w:pPr>
              <w:pStyle w:val="13"/>
            </w:pPr>
            <w:r>
              <w:t>20</w:t>
            </w:r>
          </w:p>
        </w:tc>
        <w:tc>
          <w:tcPr>
            <w:tcW w:w="3402" w:type="dxa"/>
            <w:vAlign w:val="center"/>
          </w:tcPr>
          <w:p w14:paraId="634294AD">
            <w:pPr>
              <w:pStyle w:val="12"/>
            </w:pPr>
          </w:p>
        </w:tc>
        <w:tc>
          <w:tcPr>
            <w:tcW w:w="1474" w:type="dxa"/>
            <w:vAlign w:val="center"/>
          </w:tcPr>
          <w:p w14:paraId="2B767AF6">
            <w:pPr>
              <w:pStyle w:val="11"/>
            </w:pPr>
          </w:p>
        </w:tc>
        <w:tc>
          <w:tcPr>
            <w:tcW w:w="3402" w:type="dxa"/>
            <w:vAlign w:val="center"/>
          </w:tcPr>
          <w:p w14:paraId="30AED29E">
            <w:pPr>
              <w:pStyle w:val="12"/>
            </w:pPr>
            <w:r>
              <w:t>二十、住房保障支出</w:t>
            </w:r>
          </w:p>
        </w:tc>
        <w:tc>
          <w:tcPr>
            <w:tcW w:w="1474" w:type="dxa"/>
            <w:vAlign w:val="center"/>
          </w:tcPr>
          <w:p w14:paraId="1F763A63">
            <w:pPr>
              <w:pStyle w:val="11"/>
            </w:pPr>
          </w:p>
        </w:tc>
        <w:tc>
          <w:tcPr>
            <w:tcW w:w="1474" w:type="dxa"/>
            <w:vAlign w:val="center"/>
          </w:tcPr>
          <w:p w14:paraId="16C7689C">
            <w:pPr>
              <w:pStyle w:val="11"/>
            </w:pPr>
          </w:p>
        </w:tc>
        <w:tc>
          <w:tcPr>
            <w:tcW w:w="1474" w:type="dxa"/>
            <w:vAlign w:val="center"/>
          </w:tcPr>
          <w:p w14:paraId="47D72BD5">
            <w:pPr>
              <w:pStyle w:val="11"/>
            </w:pPr>
          </w:p>
        </w:tc>
        <w:tc>
          <w:tcPr>
            <w:tcW w:w="1474" w:type="dxa"/>
            <w:vAlign w:val="center"/>
          </w:tcPr>
          <w:p w14:paraId="7A263518">
            <w:pPr>
              <w:pStyle w:val="11"/>
            </w:pPr>
          </w:p>
        </w:tc>
      </w:tr>
      <w:tr w14:paraId="2723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9DADC">
            <w:pPr>
              <w:pStyle w:val="13"/>
            </w:pPr>
            <w:r>
              <w:t>21</w:t>
            </w:r>
          </w:p>
        </w:tc>
        <w:tc>
          <w:tcPr>
            <w:tcW w:w="3402" w:type="dxa"/>
            <w:vAlign w:val="center"/>
          </w:tcPr>
          <w:p w14:paraId="0220C970">
            <w:pPr>
              <w:pStyle w:val="12"/>
            </w:pPr>
          </w:p>
        </w:tc>
        <w:tc>
          <w:tcPr>
            <w:tcW w:w="1474" w:type="dxa"/>
            <w:vAlign w:val="center"/>
          </w:tcPr>
          <w:p w14:paraId="49115CDB">
            <w:pPr>
              <w:pStyle w:val="11"/>
            </w:pPr>
          </w:p>
        </w:tc>
        <w:tc>
          <w:tcPr>
            <w:tcW w:w="3402" w:type="dxa"/>
            <w:vAlign w:val="center"/>
          </w:tcPr>
          <w:p w14:paraId="468E6287">
            <w:pPr>
              <w:pStyle w:val="12"/>
            </w:pPr>
            <w:r>
              <w:t>二十一、粮油物资储备支出</w:t>
            </w:r>
          </w:p>
        </w:tc>
        <w:tc>
          <w:tcPr>
            <w:tcW w:w="1474" w:type="dxa"/>
            <w:vAlign w:val="center"/>
          </w:tcPr>
          <w:p w14:paraId="3A6E9ECD">
            <w:pPr>
              <w:pStyle w:val="11"/>
            </w:pPr>
          </w:p>
        </w:tc>
        <w:tc>
          <w:tcPr>
            <w:tcW w:w="1474" w:type="dxa"/>
            <w:vAlign w:val="center"/>
          </w:tcPr>
          <w:p w14:paraId="777774D0">
            <w:pPr>
              <w:pStyle w:val="11"/>
            </w:pPr>
          </w:p>
        </w:tc>
        <w:tc>
          <w:tcPr>
            <w:tcW w:w="1474" w:type="dxa"/>
            <w:vAlign w:val="center"/>
          </w:tcPr>
          <w:p w14:paraId="6433F638">
            <w:pPr>
              <w:pStyle w:val="11"/>
            </w:pPr>
          </w:p>
        </w:tc>
        <w:tc>
          <w:tcPr>
            <w:tcW w:w="1474" w:type="dxa"/>
            <w:vAlign w:val="center"/>
          </w:tcPr>
          <w:p w14:paraId="0F2A5E71">
            <w:pPr>
              <w:pStyle w:val="11"/>
            </w:pPr>
          </w:p>
        </w:tc>
      </w:tr>
      <w:tr w14:paraId="1D8E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2CF7F">
            <w:pPr>
              <w:pStyle w:val="13"/>
            </w:pPr>
            <w:r>
              <w:t>22</w:t>
            </w:r>
          </w:p>
        </w:tc>
        <w:tc>
          <w:tcPr>
            <w:tcW w:w="3402" w:type="dxa"/>
            <w:vAlign w:val="center"/>
          </w:tcPr>
          <w:p w14:paraId="0F82BF5D">
            <w:pPr>
              <w:pStyle w:val="12"/>
            </w:pPr>
          </w:p>
        </w:tc>
        <w:tc>
          <w:tcPr>
            <w:tcW w:w="1474" w:type="dxa"/>
            <w:vAlign w:val="center"/>
          </w:tcPr>
          <w:p w14:paraId="0840BDFE">
            <w:pPr>
              <w:pStyle w:val="11"/>
            </w:pPr>
          </w:p>
        </w:tc>
        <w:tc>
          <w:tcPr>
            <w:tcW w:w="3402" w:type="dxa"/>
            <w:vAlign w:val="center"/>
          </w:tcPr>
          <w:p w14:paraId="589646A2">
            <w:pPr>
              <w:pStyle w:val="12"/>
            </w:pPr>
            <w:r>
              <w:t>二十二、国有资本经营预算支出</w:t>
            </w:r>
          </w:p>
        </w:tc>
        <w:tc>
          <w:tcPr>
            <w:tcW w:w="1474" w:type="dxa"/>
            <w:vAlign w:val="center"/>
          </w:tcPr>
          <w:p w14:paraId="1AC19B06">
            <w:pPr>
              <w:pStyle w:val="11"/>
            </w:pPr>
          </w:p>
        </w:tc>
        <w:tc>
          <w:tcPr>
            <w:tcW w:w="1474" w:type="dxa"/>
            <w:vAlign w:val="center"/>
          </w:tcPr>
          <w:p w14:paraId="19CD4383">
            <w:pPr>
              <w:pStyle w:val="11"/>
            </w:pPr>
          </w:p>
        </w:tc>
        <w:tc>
          <w:tcPr>
            <w:tcW w:w="1474" w:type="dxa"/>
            <w:vAlign w:val="center"/>
          </w:tcPr>
          <w:p w14:paraId="563F3BD7">
            <w:pPr>
              <w:pStyle w:val="11"/>
            </w:pPr>
          </w:p>
        </w:tc>
        <w:tc>
          <w:tcPr>
            <w:tcW w:w="1474" w:type="dxa"/>
            <w:vAlign w:val="center"/>
          </w:tcPr>
          <w:p w14:paraId="0E8C5315">
            <w:pPr>
              <w:pStyle w:val="11"/>
            </w:pPr>
          </w:p>
        </w:tc>
      </w:tr>
      <w:tr w14:paraId="75CC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93D4">
            <w:pPr>
              <w:pStyle w:val="13"/>
            </w:pPr>
            <w:r>
              <w:t>23</w:t>
            </w:r>
          </w:p>
        </w:tc>
        <w:tc>
          <w:tcPr>
            <w:tcW w:w="3402" w:type="dxa"/>
            <w:vAlign w:val="center"/>
          </w:tcPr>
          <w:p w14:paraId="73D76735">
            <w:pPr>
              <w:pStyle w:val="12"/>
            </w:pPr>
          </w:p>
        </w:tc>
        <w:tc>
          <w:tcPr>
            <w:tcW w:w="1474" w:type="dxa"/>
            <w:vAlign w:val="center"/>
          </w:tcPr>
          <w:p w14:paraId="26AE18A8">
            <w:pPr>
              <w:pStyle w:val="11"/>
            </w:pPr>
          </w:p>
        </w:tc>
        <w:tc>
          <w:tcPr>
            <w:tcW w:w="3402" w:type="dxa"/>
            <w:vAlign w:val="center"/>
          </w:tcPr>
          <w:p w14:paraId="500A9963">
            <w:pPr>
              <w:pStyle w:val="12"/>
            </w:pPr>
            <w:r>
              <w:t>二十三、灾害防治及应急管理支出</w:t>
            </w:r>
          </w:p>
        </w:tc>
        <w:tc>
          <w:tcPr>
            <w:tcW w:w="1474" w:type="dxa"/>
            <w:vAlign w:val="center"/>
          </w:tcPr>
          <w:p w14:paraId="74A84FC2">
            <w:pPr>
              <w:pStyle w:val="11"/>
            </w:pPr>
          </w:p>
        </w:tc>
        <w:tc>
          <w:tcPr>
            <w:tcW w:w="1474" w:type="dxa"/>
            <w:vAlign w:val="center"/>
          </w:tcPr>
          <w:p w14:paraId="1F38D3FE">
            <w:pPr>
              <w:pStyle w:val="11"/>
            </w:pPr>
          </w:p>
        </w:tc>
        <w:tc>
          <w:tcPr>
            <w:tcW w:w="1474" w:type="dxa"/>
            <w:vAlign w:val="center"/>
          </w:tcPr>
          <w:p w14:paraId="29191963">
            <w:pPr>
              <w:pStyle w:val="11"/>
            </w:pPr>
          </w:p>
        </w:tc>
        <w:tc>
          <w:tcPr>
            <w:tcW w:w="1474" w:type="dxa"/>
            <w:vAlign w:val="center"/>
          </w:tcPr>
          <w:p w14:paraId="236163A0">
            <w:pPr>
              <w:pStyle w:val="11"/>
            </w:pPr>
          </w:p>
        </w:tc>
      </w:tr>
      <w:tr w14:paraId="70CE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2543">
            <w:pPr>
              <w:pStyle w:val="13"/>
            </w:pPr>
            <w:r>
              <w:t>24</w:t>
            </w:r>
          </w:p>
        </w:tc>
        <w:tc>
          <w:tcPr>
            <w:tcW w:w="3402" w:type="dxa"/>
            <w:vAlign w:val="center"/>
          </w:tcPr>
          <w:p w14:paraId="49A99BB7">
            <w:pPr>
              <w:pStyle w:val="12"/>
            </w:pPr>
          </w:p>
        </w:tc>
        <w:tc>
          <w:tcPr>
            <w:tcW w:w="1474" w:type="dxa"/>
            <w:vAlign w:val="center"/>
          </w:tcPr>
          <w:p w14:paraId="44204695">
            <w:pPr>
              <w:pStyle w:val="11"/>
            </w:pPr>
          </w:p>
        </w:tc>
        <w:tc>
          <w:tcPr>
            <w:tcW w:w="3402" w:type="dxa"/>
            <w:vAlign w:val="center"/>
          </w:tcPr>
          <w:p w14:paraId="3F4DA1E4">
            <w:pPr>
              <w:pStyle w:val="12"/>
            </w:pPr>
            <w:r>
              <w:t>二十四、预备费</w:t>
            </w:r>
          </w:p>
        </w:tc>
        <w:tc>
          <w:tcPr>
            <w:tcW w:w="1474" w:type="dxa"/>
            <w:vAlign w:val="center"/>
          </w:tcPr>
          <w:p w14:paraId="2C46A91A">
            <w:pPr>
              <w:pStyle w:val="11"/>
            </w:pPr>
          </w:p>
        </w:tc>
        <w:tc>
          <w:tcPr>
            <w:tcW w:w="1474" w:type="dxa"/>
            <w:vAlign w:val="center"/>
          </w:tcPr>
          <w:p w14:paraId="597A0920">
            <w:pPr>
              <w:pStyle w:val="11"/>
            </w:pPr>
          </w:p>
        </w:tc>
        <w:tc>
          <w:tcPr>
            <w:tcW w:w="1474" w:type="dxa"/>
            <w:vAlign w:val="center"/>
          </w:tcPr>
          <w:p w14:paraId="7E9CD3F1">
            <w:pPr>
              <w:pStyle w:val="11"/>
            </w:pPr>
          </w:p>
        </w:tc>
        <w:tc>
          <w:tcPr>
            <w:tcW w:w="1474" w:type="dxa"/>
            <w:vAlign w:val="center"/>
          </w:tcPr>
          <w:p w14:paraId="013F36F3">
            <w:pPr>
              <w:pStyle w:val="11"/>
            </w:pPr>
          </w:p>
        </w:tc>
      </w:tr>
      <w:tr w14:paraId="3062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7D573">
            <w:pPr>
              <w:pStyle w:val="13"/>
            </w:pPr>
            <w:r>
              <w:t>25</w:t>
            </w:r>
          </w:p>
        </w:tc>
        <w:tc>
          <w:tcPr>
            <w:tcW w:w="3402" w:type="dxa"/>
            <w:vAlign w:val="center"/>
          </w:tcPr>
          <w:p w14:paraId="6FC18A6C">
            <w:pPr>
              <w:pStyle w:val="12"/>
            </w:pPr>
          </w:p>
        </w:tc>
        <w:tc>
          <w:tcPr>
            <w:tcW w:w="1474" w:type="dxa"/>
            <w:vAlign w:val="center"/>
          </w:tcPr>
          <w:p w14:paraId="68B0E0B9">
            <w:pPr>
              <w:pStyle w:val="11"/>
            </w:pPr>
          </w:p>
        </w:tc>
        <w:tc>
          <w:tcPr>
            <w:tcW w:w="3402" w:type="dxa"/>
            <w:vAlign w:val="center"/>
          </w:tcPr>
          <w:p w14:paraId="7816D9B0">
            <w:pPr>
              <w:pStyle w:val="12"/>
            </w:pPr>
            <w:r>
              <w:t>二十五、其他支出</w:t>
            </w:r>
          </w:p>
        </w:tc>
        <w:tc>
          <w:tcPr>
            <w:tcW w:w="1474" w:type="dxa"/>
            <w:vAlign w:val="center"/>
          </w:tcPr>
          <w:p w14:paraId="65EB9C38">
            <w:pPr>
              <w:pStyle w:val="11"/>
            </w:pPr>
          </w:p>
        </w:tc>
        <w:tc>
          <w:tcPr>
            <w:tcW w:w="1474" w:type="dxa"/>
            <w:vAlign w:val="center"/>
          </w:tcPr>
          <w:p w14:paraId="29486986">
            <w:pPr>
              <w:pStyle w:val="11"/>
            </w:pPr>
          </w:p>
        </w:tc>
        <w:tc>
          <w:tcPr>
            <w:tcW w:w="1474" w:type="dxa"/>
            <w:vAlign w:val="center"/>
          </w:tcPr>
          <w:p w14:paraId="1DBCB050">
            <w:pPr>
              <w:pStyle w:val="11"/>
            </w:pPr>
          </w:p>
        </w:tc>
        <w:tc>
          <w:tcPr>
            <w:tcW w:w="1474" w:type="dxa"/>
            <w:vAlign w:val="center"/>
          </w:tcPr>
          <w:p w14:paraId="7D8C7787">
            <w:pPr>
              <w:pStyle w:val="11"/>
            </w:pPr>
          </w:p>
        </w:tc>
      </w:tr>
      <w:tr w14:paraId="559B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E750">
            <w:pPr>
              <w:pStyle w:val="13"/>
            </w:pPr>
            <w:r>
              <w:t>26</w:t>
            </w:r>
          </w:p>
        </w:tc>
        <w:tc>
          <w:tcPr>
            <w:tcW w:w="3402" w:type="dxa"/>
            <w:vAlign w:val="center"/>
          </w:tcPr>
          <w:p w14:paraId="58D591CE">
            <w:pPr>
              <w:pStyle w:val="12"/>
            </w:pPr>
          </w:p>
        </w:tc>
        <w:tc>
          <w:tcPr>
            <w:tcW w:w="1474" w:type="dxa"/>
            <w:vAlign w:val="center"/>
          </w:tcPr>
          <w:p w14:paraId="2CF73470">
            <w:pPr>
              <w:pStyle w:val="11"/>
            </w:pPr>
          </w:p>
        </w:tc>
        <w:tc>
          <w:tcPr>
            <w:tcW w:w="3402" w:type="dxa"/>
            <w:vAlign w:val="center"/>
          </w:tcPr>
          <w:p w14:paraId="17EC2A1E">
            <w:pPr>
              <w:pStyle w:val="12"/>
            </w:pPr>
            <w:r>
              <w:t>二十六、转移性支出</w:t>
            </w:r>
          </w:p>
        </w:tc>
        <w:tc>
          <w:tcPr>
            <w:tcW w:w="1474" w:type="dxa"/>
            <w:vAlign w:val="center"/>
          </w:tcPr>
          <w:p w14:paraId="3B9E4FF5">
            <w:pPr>
              <w:pStyle w:val="11"/>
            </w:pPr>
          </w:p>
        </w:tc>
        <w:tc>
          <w:tcPr>
            <w:tcW w:w="1474" w:type="dxa"/>
            <w:vAlign w:val="center"/>
          </w:tcPr>
          <w:p w14:paraId="58E6FD1F">
            <w:pPr>
              <w:pStyle w:val="11"/>
            </w:pPr>
          </w:p>
        </w:tc>
        <w:tc>
          <w:tcPr>
            <w:tcW w:w="1474" w:type="dxa"/>
            <w:vAlign w:val="center"/>
          </w:tcPr>
          <w:p w14:paraId="6080071A">
            <w:pPr>
              <w:pStyle w:val="11"/>
            </w:pPr>
          </w:p>
        </w:tc>
        <w:tc>
          <w:tcPr>
            <w:tcW w:w="1474" w:type="dxa"/>
            <w:vAlign w:val="center"/>
          </w:tcPr>
          <w:p w14:paraId="239448E5">
            <w:pPr>
              <w:pStyle w:val="11"/>
            </w:pPr>
          </w:p>
        </w:tc>
      </w:tr>
      <w:tr w14:paraId="7593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D7C4">
            <w:pPr>
              <w:pStyle w:val="13"/>
            </w:pPr>
            <w:r>
              <w:t>27</w:t>
            </w:r>
          </w:p>
        </w:tc>
        <w:tc>
          <w:tcPr>
            <w:tcW w:w="3402" w:type="dxa"/>
            <w:vAlign w:val="center"/>
          </w:tcPr>
          <w:p w14:paraId="74235D85">
            <w:pPr>
              <w:pStyle w:val="12"/>
            </w:pPr>
          </w:p>
        </w:tc>
        <w:tc>
          <w:tcPr>
            <w:tcW w:w="1474" w:type="dxa"/>
            <w:vAlign w:val="center"/>
          </w:tcPr>
          <w:p w14:paraId="59548AC0">
            <w:pPr>
              <w:pStyle w:val="11"/>
            </w:pPr>
          </w:p>
        </w:tc>
        <w:tc>
          <w:tcPr>
            <w:tcW w:w="3402" w:type="dxa"/>
            <w:vAlign w:val="center"/>
          </w:tcPr>
          <w:p w14:paraId="795F65A7">
            <w:pPr>
              <w:pStyle w:val="12"/>
            </w:pPr>
            <w:r>
              <w:t>二十七、债务还本支出</w:t>
            </w:r>
          </w:p>
        </w:tc>
        <w:tc>
          <w:tcPr>
            <w:tcW w:w="1474" w:type="dxa"/>
            <w:vAlign w:val="center"/>
          </w:tcPr>
          <w:p w14:paraId="4F99183D">
            <w:pPr>
              <w:pStyle w:val="11"/>
            </w:pPr>
          </w:p>
        </w:tc>
        <w:tc>
          <w:tcPr>
            <w:tcW w:w="1474" w:type="dxa"/>
            <w:vAlign w:val="center"/>
          </w:tcPr>
          <w:p w14:paraId="0B450CF4">
            <w:pPr>
              <w:pStyle w:val="11"/>
            </w:pPr>
          </w:p>
        </w:tc>
        <w:tc>
          <w:tcPr>
            <w:tcW w:w="1474" w:type="dxa"/>
            <w:vAlign w:val="center"/>
          </w:tcPr>
          <w:p w14:paraId="10D01CBD">
            <w:pPr>
              <w:pStyle w:val="11"/>
            </w:pPr>
          </w:p>
        </w:tc>
        <w:tc>
          <w:tcPr>
            <w:tcW w:w="1474" w:type="dxa"/>
            <w:vAlign w:val="center"/>
          </w:tcPr>
          <w:p w14:paraId="0F3A3302">
            <w:pPr>
              <w:pStyle w:val="11"/>
            </w:pPr>
          </w:p>
        </w:tc>
      </w:tr>
      <w:tr w14:paraId="0893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1393">
            <w:pPr>
              <w:pStyle w:val="13"/>
            </w:pPr>
            <w:r>
              <w:t>28</w:t>
            </w:r>
          </w:p>
        </w:tc>
        <w:tc>
          <w:tcPr>
            <w:tcW w:w="3402" w:type="dxa"/>
            <w:vAlign w:val="center"/>
          </w:tcPr>
          <w:p w14:paraId="0A1908E2">
            <w:pPr>
              <w:pStyle w:val="12"/>
            </w:pPr>
          </w:p>
        </w:tc>
        <w:tc>
          <w:tcPr>
            <w:tcW w:w="1474" w:type="dxa"/>
            <w:vAlign w:val="center"/>
          </w:tcPr>
          <w:p w14:paraId="2349B0F3">
            <w:pPr>
              <w:pStyle w:val="11"/>
            </w:pPr>
          </w:p>
        </w:tc>
        <w:tc>
          <w:tcPr>
            <w:tcW w:w="3402" w:type="dxa"/>
            <w:vAlign w:val="center"/>
          </w:tcPr>
          <w:p w14:paraId="2A2E2C21">
            <w:pPr>
              <w:pStyle w:val="12"/>
            </w:pPr>
            <w:r>
              <w:t>二十八、债务付息支出</w:t>
            </w:r>
          </w:p>
        </w:tc>
        <w:tc>
          <w:tcPr>
            <w:tcW w:w="1474" w:type="dxa"/>
            <w:vAlign w:val="center"/>
          </w:tcPr>
          <w:p w14:paraId="41470ADA">
            <w:pPr>
              <w:pStyle w:val="11"/>
            </w:pPr>
          </w:p>
        </w:tc>
        <w:tc>
          <w:tcPr>
            <w:tcW w:w="1474" w:type="dxa"/>
            <w:vAlign w:val="center"/>
          </w:tcPr>
          <w:p w14:paraId="24A95FD7">
            <w:pPr>
              <w:pStyle w:val="11"/>
            </w:pPr>
          </w:p>
        </w:tc>
        <w:tc>
          <w:tcPr>
            <w:tcW w:w="1474" w:type="dxa"/>
            <w:vAlign w:val="center"/>
          </w:tcPr>
          <w:p w14:paraId="61C4FF69">
            <w:pPr>
              <w:pStyle w:val="11"/>
            </w:pPr>
          </w:p>
        </w:tc>
        <w:tc>
          <w:tcPr>
            <w:tcW w:w="1474" w:type="dxa"/>
            <w:vAlign w:val="center"/>
          </w:tcPr>
          <w:p w14:paraId="41451137">
            <w:pPr>
              <w:pStyle w:val="11"/>
            </w:pPr>
          </w:p>
        </w:tc>
      </w:tr>
      <w:tr w14:paraId="0E0D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75ED8">
            <w:pPr>
              <w:pStyle w:val="13"/>
            </w:pPr>
            <w:r>
              <w:t>29</w:t>
            </w:r>
          </w:p>
        </w:tc>
        <w:tc>
          <w:tcPr>
            <w:tcW w:w="3402" w:type="dxa"/>
            <w:vAlign w:val="center"/>
          </w:tcPr>
          <w:p w14:paraId="3240C79B">
            <w:pPr>
              <w:pStyle w:val="12"/>
            </w:pPr>
          </w:p>
        </w:tc>
        <w:tc>
          <w:tcPr>
            <w:tcW w:w="1474" w:type="dxa"/>
            <w:vAlign w:val="center"/>
          </w:tcPr>
          <w:p w14:paraId="3CD79228">
            <w:pPr>
              <w:pStyle w:val="11"/>
            </w:pPr>
          </w:p>
        </w:tc>
        <w:tc>
          <w:tcPr>
            <w:tcW w:w="3402" w:type="dxa"/>
            <w:vAlign w:val="center"/>
          </w:tcPr>
          <w:p w14:paraId="0CE494C6">
            <w:pPr>
              <w:pStyle w:val="12"/>
            </w:pPr>
            <w:r>
              <w:t>二十九、债务发行费用支出</w:t>
            </w:r>
          </w:p>
        </w:tc>
        <w:tc>
          <w:tcPr>
            <w:tcW w:w="1474" w:type="dxa"/>
            <w:vAlign w:val="center"/>
          </w:tcPr>
          <w:p w14:paraId="06790189">
            <w:pPr>
              <w:pStyle w:val="11"/>
            </w:pPr>
          </w:p>
        </w:tc>
        <w:tc>
          <w:tcPr>
            <w:tcW w:w="1474" w:type="dxa"/>
            <w:vAlign w:val="center"/>
          </w:tcPr>
          <w:p w14:paraId="4A381286">
            <w:pPr>
              <w:pStyle w:val="11"/>
            </w:pPr>
          </w:p>
        </w:tc>
        <w:tc>
          <w:tcPr>
            <w:tcW w:w="1474" w:type="dxa"/>
            <w:vAlign w:val="center"/>
          </w:tcPr>
          <w:p w14:paraId="4FEB19C4">
            <w:pPr>
              <w:pStyle w:val="11"/>
            </w:pPr>
          </w:p>
        </w:tc>
        <w:tc>
          <w:tcPr>
            <w:tcW w:w="1474" w:type="dxa"/>
            <w:vAlign w:val="center"/>
          </w:tcPr>
          <w:p w14:paraId="26331733">
            <w:pPr>
              <w:pStyle w:val="11"/>
            </w:pPr>
          </w:p>
        </w:tc>
      </w:tr>
      <w:tr w14:paraId="4EAD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EFEF5">
            <w:pPr>
              <w:pStyle w:val="13"/>
            </w:pPr>
            <w:r>
              <w:t>30</w:t>
            </w:r>
          </w:p>
        </w:tc>
        <w:tc>
          <w:tcPr>
            <w:tcW w:w="3402" w:type="dxa"/>
            <w:vAlign w:val="center"/>
          </w:tcPr>
          <w:p w14:paraId="61079D14">
            <w:pPr>
              <w:pStyle w:val="12"/>
            </w:pPr>
          </w:p>
        </w:tc>
        <w:tc>
          <w:tcPr>
            <w:tcW w:w="1474" w:type="dxa"/>
            <w:vAlign w:val="center"/>
          </w:tcPr>
          <w:p w14:paraId="7B4CEFAF">
            <w:pPr>
              <w:pStyle w:val="11"/>
            </w:pPr>
          </w:p>
        </w:tc>
        <w:tc>
          <w:tcPr>
            <w:tcW w:w="3402" w:type="dxa"/>
            <w:vAlign w:val="center"/>
          </w:tcPr>
          <w:p w14:paraId="27CC87AC">
            <w:pPr>
              <w:pStyle w:val="12"/>
            </w:pPr>
            <w:r>
              <w:t>三十、抗疫特别国债安排的支出</w:t>
            </w:r>
          </w:p>
        </w:tc>
        <w:tc>
          <w:tcPr>
            <w:tcW w:w="1474" w:type="dxa"/>
            <w:vAlign w:val="center"/>
          </w:tcPr>
          <w:p w14:paraId="2CA8B073">
            <w:pPr>
              <w:pStyle w:val="11"/>
            </w:pPr>
          </w:p>
        </w:tc>
        <w:tc>
          <w:tcPr>
            <w:tcW w:w="1474" w:type="dxa"/>
            <w:vAlign w:val="center"/>
          </w:tcPr>
          <w:p w14:paraId="78D6DA79">
            <w:pPr>
              <w:pStyle w:val="11"/>
            </w:pPr>
          </w:p>
        </w:tc>
        <w:tc>
          <w:tcPr>
            <w:tcW w:w="1474" w:type="dxa"/>
            <w:vAlign w:val="center"/>
          </w:tcPr>
          <w:p w14:paraId="3266ABBB">
            <w:pPr>
              <w:pStyle w:val="11"/>
            </w:pPr>
          </w:p>
        </w:tc>
        <w:tc>
          <w:tcPr>
            <w:tcW w:w="1474" w:type="dxa"/>
            <w:vAlign w:val="center"/>
          </w:tcPr>
          <w:p w14:paraId="152F10D4">
            <w:pPr>
              <w:pStyle w:val="11"/>
            </w:pPr>
          </w:p>
        </w:tc>
      </w:tr>
      <w:tr w14:paraId="5B4B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20508">
            <w:pPr>
              <w:pStyle w:val="13"/>
            </w:pPr>
            <w:r>
              <w:t>31</w:t>
            </w:r>
          </w:p>
        </w:tc>
        <w:tc>
          <w:tcPr>
            <w:tcW w:w="3402" w:type="dxa"/>
            <w:vAlign w:val="center"/>
          </w:tcPr>
          <w:p w14:paraId="2A0E666D">
            <w:pPr>
              <w:pStyle w:val="12"/>
            </w:pPr>
          </w:p>
        </w:tc>
        <w:tc>
          <w:tcPr>
            <w:tcW w:w="1474" w:type="dxa"/>
            <w:vAlign w:val="center"/>
          </w:tcPr>
          <w:p w14:paraId="626FA054">
            <w:pPr>
              <w:pStyle w:val="11"/>
            </w:pPr>
          </w:p>
        </w:tc>
        <w:tc>
          <w:tcPr>
            <w:tcW w:w="3402" w:type="dxa"/>
            <w:vAlign w:val="center"/>
          </w:tcPr>
          <w:p w14:paraId="3AF67B6D">
            <w:pPr>
              <w:pStyle w:val="12"/>
            </w:pPr>
            <w:r>
              <w:t>三十一、人行科目</w:t>
            </w:r>
          </w:p>
        </w:tc>
        <w:tc>
          <w:tcPr>
            <w:tcW w:w="1474" w:type="dxa"/>
            <w:vAlign w:val="center"/>
          </w:tcPr>
          <w:p w14:paraId="18BED046">
            <w:pPr>
              <w:pStyle w:val="11"/>
            </w:pPr>
          </w:p>
        </w:tc>
        <w:tc>
          <w:tcPr>
            <w:tcW w:w="1474" w:type="dxa"/>
            <w:vAlign w:val="center"/>
          </w:tcPr>
          <w:p w14:paraId="2A6D08C3">
            <w:pPr>
              <w:pStyle w:val="11"/>
            </w:pPr>
          </w:p>
        </w:tc>
        <w:tc>
          <w:tcPr>
            <w:tcW w:w="1474" w:type="dxa"/>
            <w:vAlign w:val="center"/>
          </w:tcPr>
          <w:p w14:paraId="07396E80">
            <w:pPr>
              <w:pStyle w:val="11"/>
            </w:pPr>
          </w:p>
        </w:tc>
        <w:tc>
          <w:tcPr>
            <w:tcW w:w="1474" w:type="dxa"/>
            <w:vAlign w:val="center"/>
          </w:tcPr>
          <w:p w14:paraId="30FD9103">
            <w:pPr>
              <w:pStyle w:val="11"/>
            </w:pPr>
          </w:p>
        </w:tc>
      </w:tr>
      <w:tr w14:paraId="53AA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343D">
            <w:pPr>
              <w:pStyle w:val="13"/>
            </w:pPr>
            <w:r>
              <w:t>32</w:t>
            </w:r>
          </w:p>
        </w:tc>
        <w:tc>
          <w:tcPr>
            <w:tcW w:w="3402" w:type="dxa"/>
            <w:vAlign w:val="center"/>
          </w:tcPr>
          <w:p w14:paraId="7E4518B9">
            <w:pPr>
              <w:pStyle w:val="14"/>
            </w:pPr>
            <w:r>
              <w:t>本年收入合计</w:t>
            </w:r>
          </w:p>
        </w:tc>
        <w:tc>
          <w:tcPr>
            <w:tcW w:w="1474" w:type="dxa"/>
            <w:vAlign w:val="center"/>
          </w:tcPr>
          <w:p w14:paraId="3B32C8A6">
            <w:pPr>
              <w:pStyle w:val="15"/>
            </w:pPr>
            <w:r>
              <w:t>2483.92</w:t>
            </w:r>
          </w:p>
        </w:tc>
        <w:tc>
          <w:tcPr>
            <w:tcW w:w="3402" w:type="dxa"/>
            <w:vAlign w:val="center"/>
          </w:tcPr>
          <w:p w14:paraId="4A3388AC">
            <w:pPr>
              <w:pStyle w:val="14"/>
            </w:pPr>
            <w:r>
              <w:t>本年支出合计</w:t>
            </w:r>
          </w:p>
        </w:tc>
        <w:tc>
          <w:tcPr>
            <w:tcW w:w="1474" w:type="dxa"/>
            <w:vAlign w:val="center"/>
          </w:tcPr>
          <w:p w14:paraId="62072D5E">
            <w:pPr>
              <w:pStyle w:val="15"/>
            </w:pPr>
            <w:r>
              <w:t>2483.92</w:t>
            </w:r>
          </w:p>
        </w:tc>
        <w:tc>
          <w:tcPr>
            <w:tcW w:w="1474" w:type="dxa"/>
            <w:vAlign w:val="center"/>
          </w:tcPr>
          <w:p w14:paraId="0049BDB1">
            <w:pPr>
              <w:pStyle w:val="15"/>
            </w:pPr>
            <w:r>
              <w:t>2483.92</w:t>
            </w:r>
          </w:p>
        </w:tc>
        <w:tc>
          <w:tcPr>
            <w:tcW w:w="1474" w:type="dxa"/>
            <w:vAlign w:val="center"/>
          </w:tcPr>
          <w:p w14:paraId="3E2CDE3E">
            <w:pPr>
              <w:pStyle w:val="15"/>
            </w:pPr>
          </w:p>
        </w:tc>
        <w:tc>
          <w:tcPr>
            <w:tcW w:w="1474" w:type="dxa"/>
            <w:vAlign w:val="center"/>
          </w:tcPr>
          <w:p w14:paraId="7A64A3B7">
            <w:pPr>
              <w:pStyle w:val="15"/>
            </w:pPr>
          </w:p>
        </w:tc>
      </w:tr>
      <w:tr w14:paraId="473C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10891">
            <w:pPr>
              <w:pStyle w:val="13"/>
            </w:pPr>
            <w:r>
              <w:t>33</w:t>
            </w:r>
          </w:p>
        </w:tc>
        <w:tc>
          <w:tcPr>
            <w:tcW w:w="3402" w:type="dxa"/>
            <w:vAlign w:val="center"/>
          </w:tcPr>
          <w:p w14:paraId="6CB8F825">
            <w:pPr>
              <w:pStyle w:val="12"/>
            </w:pPr>
            <w:r>
              <w:t>年初财政拨款结转和结余</w:t>
            </w:r>
          </w:p>
        </w:tc>
        <w:tc>
          <w:tcPr>
            <w:tcW w:w="1474" w:type="dxa"/>
            <w:vAlign w:val="center"/>
          </w:tcPr>
          <w:p w14:paraId="3BFC48DB">
            <w:pPr>
              <w:pStyle w:val="11"/>
            </w:pPr>
          </w:p>
        </w:tc>
        <w:tc>
          <w:tcPr>
            <w:tcW w:w="3402" w:type="dxa"/>
            <w:vAlign w:val="center"/>
          </w:tcPr>
          <w:p w14:paraId="0225F941">
            <w:pPr>
              <w:pStyle w:val="12"/>
            </w:pPr>
            <w:r>
              <w:t>年末财政拨款结转和结余</w:t>
            </w:r>
          </w:p>
        </w:tc>
        <w:tc>
          <w:tcPr>
            <w:tcW w:w="1474" w:type="dxa"/>
            <w:vAlign w:val="center"/>
          </w:tcPr>
          <w:p w14:paraId="0789FEE1">
            <w:pPr>
              <w:pStyle w:val="11"/>
            </w:pPr>
          </w:p>
        </w:tc>
        <w:tc>
          <w:tcPr>
            <w:tcW w:w="1474" w:type="dxa"/>
            <w:vAlign w:val="center"/>
          </w:tcPr>
          <w:p w14:paraId="30EA596D">
            <w:pPr>
              <w:pStyle w:val="11"/>
            </w:pPr>
          </w:p>
        </w:tc>
        <w:tc>
          <w:tcPr>
            <w:tcW w:w="1474" w:type="dxa"/>
            <w:vAlign w:val="center"/>
          </w:tcPr>
          <w:p w14:paraId="4F725691">
            <w:pPr>
              <w:pStyle w:val="11"/>
            </w:pPr>
          </w:p>
        </w:tc>
        <w:tc>
          <w:tcPr>
            <w:tcW w:w="1474" w:type="dxa"/>
            <w:vAlign w:val="center"/>
          </w:tcPr>
          <w:p w14:paraId="77FD8FD4">
            <w:pPr>
              <w:pStyle w:val="11"/>
            </w:pPr>
          </w:p>
        </w:tc>
      </w:tr>
      <w:tr w14:paraId="41DE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49A3F">
            <w:pPr>
              <w:pStyle w:val="13"/>
            </w:pPr>
            <w:r>
              <w:t>34</w:t>
            </w:r>
          </w:p>
        </w:tc>
        <w:tc>
          <w:tcPr>
            <w:tcW w:w="3402" w:type="dxa"/>
            <w:vAlign w:val="center"/>
          </w:tcPr>
          <w:p w14:paraId="594796BE">
            <w:pPr>
              <w:pStyle w:val="12"/>
            </w:pPr>
            <w:r>
              <w:t>一、一般公共预算拨款</w:t>
            </w:r>
          </w:p>
        </w:tc>
        <w:tc>
          <w:tcPr>
            <w:tcW w:w="1474" w:type="dxa"/>
            <w:vAlign w:val="center"/>
          </w:tcPr>
          <w:p w14:paraId="08F0DD05">
            <w:pPr>
              <w:pStyle w:val="11"/>
            </w:pPr>
          </w:p>
        </w:tc>
        <w:tc>
          <w:tcPr>
            <w:tcW w:w="3402" w:type="dxa"/>
            <w:vAlign w:val="center"/>
          </w:tcPr>
          <w:p w14:paraId="64F8462A">
            <w:pPr>
              <w:pStyle w:val="12"/>
            </w:pPr>
          </w:p>
        </w:tc>
        <w:tc>
          <w:tcPr>
            <w:tcW w:w="1474" w:type="dxa"/>
            <w:vAlign w:val="center"/>
          </w:tcPr>
          <w:p w14:paraId="730BDC4A">
            <w:pPr>
              <w:pStyle w:val="11"/>
            </w:pPr>
          </w:p>
        </w:tc>
        <w:tc>
          <w:tcPr>
            <w:tcW w:w="1474" w:type="dxa"/>
            <w:vAlign w:val="center"/>
          </w:tcPr>
          <w:p w14:paraId="51137B5F">
            <w:pPr>
              <w:pStyle w:val="11"/>
            </w:pPr>
          </w:p>
        </w:tc>
        <w:tc>
          <w:tcPr>
            <w:tcW w:w="1474" w:type="dxa"/>
            <w:vAlign w:val="center"/>
          </w:tcPr>
          <w:p w14:paraId="79B7E69E">
            <w:pPr>
              <w:pStyle w:val="11"/>
            </w:pPr>
          </w:p>
        </w:tc>
        <w:tc>
          <w:tcPr>
            <w:tcW w:w="1474" w:type="dxa"/>
            <w:vAlign w:val="center"/>
          </w:tcPr>
          <w:p w14:paraId="526F912C">
            <w:pPr>
              <w:pStyle w:val="11"/>
            </w:pPr>
          </w:p>
        </w:tc>
      </w:tr>
      <w:tr w14:paraId="61A1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72418">
            <w:pPr>
              <w:pStyle w:val="13"/>
            </w:pPr>
            <w:r>
              <w:t>35</w:t>
            </w:r>
          </w:p>
        </w:tc>
        <w:tc>
          <w:tcPr>
            <w:tcW w:w="3402" w:type="dxa"/>
            <w:vAlign w:val="center"/>
          </w:tcPr>
          <w:p w14:paraId="3F4A6431">
            <w:pPr>
              <w:pStyle w:val="12"/>
            </w:pPr>
            <w:r>
              <w:t>二、政府性基金预算拨款</w:t>
            </w:r>
          </w:p>
        </w:tc>
        <w:tc>
          <w:tcPr>
            <w:tcW w:w="1474" w:type="dxa"/>
            <w:vAlign w:val="center"/>
          </w:tcPr>
          <w:p w14:paraId="1205501C">
            <w:pPr>
              <w:pStyle w:val="11"/>
            </w:pPr>
          </w:p>
        </w:tc>
        <w:tc>
          <w:tcPr>
            <w:tcW w:w="3402" w:type="dxa"/>
            <w:vAlign w:val="center"/>
          </w:tcPr>
          <w:p w14:paraId="5D8A43A4">
            <w:pPr>
              <w:pStyle w:val="12"/>
            </w:pPr>
          </w:p>
        </w:tc>
        <w:tc>
          <w:tcPr>
            <w:tcW w:w="1474" w:type="dxa"/>
            <w:vAlign w:val="center"/>
          </w:tcPr>
          <w:p w14:paraId="65A11C3C">
            <w:pPr>
              <w:pStyle w:val="11"/>
            </w:pPr>
          </w:p>
        </w:tc>
        <w:tc>
          <w:tcPr>
            <w:tcW w:w="1474" w:type="dxa"/>
            <w:vAlign w:val="center"/>
          </w:tcPr>
          <w:p w14:paraId="5F80C5A7">
            <w:pPr>
              <w:pStyle w:val="11"/>
            </w:pPr>
          </w:p>
        </w:tc>
        <w:tc>
          <w:tcPr>
            <w:tcW w:w="1474" w:type="dxa"/>
            <w:vAlign w:val="center"/>
          </w:tcPr>
          <w:p w14:paraId="519531CD">
            <w:pPr>
              <w:pStyle w:val="11"/>
            </w:pPr>
          </w:p>
        </w:tc>
        <w:tc>
          <w:tcPr>
            <w:tcW w:w="1474" w:type="dxa"/>
            <w:vAlign w:val="center"/>
          </w:tcPr>
          <w:p w14:paraId="34AD32B1">
            <w:pPr>
              <w:pStyle w:val="11"/>
            </w:pPr>
          </w:p>
        </w:tc>
      </w:tr>
      <w:tr w14:paraId="3380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0639C">
            <w:pPr>
              <w:pStyle w:val="13"/>
            </w:pPr>
            <w:r>
              <w:t>36</w:t>
            </w:r>
          </w:p>
        </w:tc>
        <w:tc>
          <w:tcPr>
            <w:tcW w:w="3402" w:type="dxa"/>
            <w:vAlign w:val="center"/>
          </w:tcPr>
          <w:p w14:paraId="6D0C2F7C">
            <w:pPr>
              <w:pStyle w:val="12"/>
            </w:pPr>
            <w:r>
              <w:t>三、国有资本经营预算拨款</w:t>
            </w:r>
          </w:p>
        </w:tc>
        <w:tc>
          <w:tcPr>
            <w:tcW w:w="1474" w:type="dxa"/>
            <w:vAlign w:val="center"/>
          </w:tcPr>
          <w:p w14:paraId="6C668397">
            <w:pPr>
              <w:pStyle w:val="11"/>
            </w:pPr>
          </w:p>
        </w:tc>
        <w:tc>
          <w:tcPr>
            <w:tcW w:w="3402" w:type="dxa"/>
            <w:vAlign w:val="center"/>
          </w:tcPr>
          <w:p w14:paraId="44073955">
            <w:pPr>
              <w:pStyle w:val="12"/>
            </w:pPr>
          </w:p>
        </w:tc>
        <w:tc>
          <w:tcPr>
            <w:tcW w:w="1474" w:type="dxa"/>
            <w:vAlign w:val="center"/>
          </w:tcPr>
          <w:p w14:paraId="2A317610">
            <w:pPr>
              <w:pStyle w:val="11"/>
            </w:pPr>
          </w:p>
        </w:tc>
        <w:tc>
          <w:tcPr>
            <w:tcW w:w="1474" w:type="dxa"/>
            <w:vAlign w:val="center"/>
          </w:tcPr>
          <w:p w14:paraId="2CCA2DAF">
            <w:pPr>
              <w:pStyle w:val="11"/>
            </w:pPr>
          </w:p>
        </w:tc>
        <w:tc>
          <w:tcPr>
            <w:tcW w:w="1474" w:type="dxa"/>
            <w:vAlign w:val="center"/>
          </w:tcPr>
          <w:p w14:paraId="281D3239">
            <w:pPr>
              <w:pStyle w:val="11"/>
            </w:pPr>
          </w:p>
        </w:tc>
        <w:tc>
          <w:tcPr>
            <w:tcW w:w="1474" w:type="dxa"/>
            <w:vAlign w:val="center"/>
          </w:tcPr>
          <w:p w14:paraId="73FE0BCB">
            <w:pPr>
              <w:pStyle w:val="11"/>
            </w:pPr>
          </w:p>
        </w:tc>
      </w:tr>
      <w:tr w14:paraId="0F2B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D24D">
            <w:pPr>
              <w:pStyle w:val="13"/>
            </w:pPr>
            <w:r>
              <w:t>37</w:t>
            </w:r>
          </w:p>
        </w:tc>
        <w:tc>
          <w:tcPr>
            <w:tcW w:w="3402" w:type="dxa"/>
            <w:vAlign w:val="center"/>
          </w:tcPr>
          <w:p w14:paraId="7F11207E">
            <w:pPr>
              <w:pStyle w:val="14"/>
            </w:pPr>
            <w:r>
              <w:t>收入总计</w:t>
            </w:r>
          </w:p>
        </w:tc>
        <w:tc>
          <w:tcPr>
            <w:tcW w:w="1474" w:type="dxa"/>
            <w:vAlign w:val="center"/>
          </w:tcPr>
          <w:p w14:paraId="143060D2">
            <w:pPr>
              <w:pStyle w:val="15"/>
            </w:pPr>
            <w:r>
              <w:t>2483.92</w:t>
            </w:r>
          </w:p>
        </w:tc>
        <w:tc>
          <w:tcPr>
            <w:tcW w:w="3402" w:type="dxa"/>
            <w:vAlign w:val="center"/>
          </w:tcPr>
          <w:p w14:paraId="3B4A2FFB">
            <w:pPr>
              <w:pStyle w:val="14"/>
            </w:pPr>
            <w:r>
              <w:t>支出总计</w:t>
            </w:r>
          </w:p>
        </w:tc>
        <w:tc>
          <w:tcPr>
            <w:tcW w:w="1474" w:type="dxa"/>
            <w:vAlign w:val="center"/>
          </w:tcPr>
          <w:p w14:paraId="5C613864">
            <w:pPr>
              <w:pStyle w:val="15"/>
            </w:pPr>
            <w:r>
              <w:t>2483.92</w:t>
            </w:r>
          </w:p>
        </w:tc>
        <w:tc>
          <w:tcPr>
            <w:tcW w:w="1474" w:type="dxa"/>
            <w:vAlign w:val="center"/>
          </w:tcPr>
          <w:p w14:paraId="5BC0E951">
            <w:pPr>
              <w:pStyle w:val="15"/>
            </w:pPr>
            <w:r>
              <w:t>2483.92</w:t>
            </w:r>
          </w:p>
        </w:tc>
        <w:tc>
          <w:tcPr>
            <w:tcW w:w="1474" w:type="dxa"/>
            <w:vAlign w:val="center"/>
          </w:tcPr>
          <w:p w14:paraId="4E00B1B5">
            <w:pPr>
              <w:pStyle w:val="15"/>
            </w:pPr>
          </w:p>
        </w:tc>
        <w:tc>
          <w:tcPr>
            <w:tcW w:w="1474" w:type="dxa"/>
            <w:vAlign w:val="center"/>
          </w:tcPr>
          <w:p w14:paraId="191309D8">
            <w:pPr>
              <w:pStyle w:val="15"/>
            </w:pPr>
          </w:p>
        </w:tc>
      </w:tr>
    </w:tbl>
    <w:p w14:paraId="6DADEC67">
      <w:pPr>
        <w:sectPr>
          <w:pgSz w:w="16840" w:h="11900" w:orient="landscape"/>
          <w:pgMar w:top="1361" w:right="1020" w:bottom="1134" w:left="1020" w:header="720" w:footer="720" w:gutter="0"/>
          <w:cols w:space="720" w:num="1"/>
        </w:sectPr>
      </w:pPr>
    </w:p>
    <w:p w14:paraId="5F1988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85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84D208">
            <w:pPr>
              <w:pStyle w:val="9"/>
            </w:pPr>
            <w:r>
              <w:t>360017隆尧县魏庄校区</w:t>
            </w:r>
          </w:p>
        </w:tc>
        <w:tc>
          <w:tcPr>
            <w:tcW w:w="2551" w:type="dxa"/>
            <w:tcBorders>
              <w:top w:val="single" w:color="FFFFFF" w:sz="6" w:space="0"/>
              <w:left w:val="single" w:color="FFFFFF" w:sz="6" w:space="0"/>
              <w:right w:val="single" w:color="FFFFFF" w:sz="6" w:space="0"/>
            </w:tcBorders>
            <w:vAlign w:val="center"/>
          </w:tcPr>
          <w:p w14:paraId="040AA4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065F68">
            <w:pPr>
              <w:pStyle w:val="7"/>
            </w:pPr>
            <w:r>
              <w:t>单位：万元</w:t>
            </w:r>
          </w:p>
        </w:tc>
      </w:tr>
      <w:tr w14:paraId="5701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89D08C">
            <w:pPr>
              <w:pStyle w:val="10"/>
            </w:pPr>
            <w:r>
              <w:t>序号</w:t>
            </w:r>
          </w:p>
        </w:tc>
        <w:tc>
          <w:tcPr>
            <w:tcW w:w="5726" w:type="dxa"/>
            <w:gridSpan w:val="2"/>
            <w:vAlign w:val="center"/>
          </w:tcPr>
          <w:p w14:paraId="3F6F02BF">
            <w:pPr>
              <w:pStyle w:val="10"/>
            </w:pPr>
            <w:r>
              <w:t>功能分类科目</w:t>
            </w:r>
          </w:p>
        </w:tc>
        <w:tc>
          <w:tcPr>
            <w:tcW w:w="2551" w:type="dxa"/>
            <w:vMerge w:val="restart"/>
            <w:vAlign w:val="center"/>
          </w:tcPr>
          <w:p w14:paraId="5440BEEC">
            <w:pPr>
              <w:pStyle w:val="10"/>
            </w:pPr>
            <w:r>
              <w:t>合计</w:t>
            </w:r>
          </w:p>
        </w:tc>
        <w:tc>
          <w:tcPr>
            <w:tcW w:w="2551" w:type="dxa"/>
            <w:vMerge w:val="restart"/>
            <w:vAlign w:val="center"/>
          </w:tcPr>
          <w:p w14:paraId="6B6F2B26">
            <w:pPr>
              <w:pStyle w:val="10"/>
            </w:pPr>
            <w:r>
              <w:t>基本支出</w:t>
            </w:r>
          </w:p>
        </w:tc>
        <w:tc>
          <w:tcPr>
            <w:tcW w:w="2551" w:type="dxa"/>
            <w:vMerge w:val="restart"/>
            <w:vAlign w:val="center"/>
          </w:tcPr>
          <w:p w14:paraId="30A05D63">
            <w:pPr>
              <w:pStyle w:val="10"/>
            </w:pPr>
            <w:r>
              <w:t>项目支出</w:t>
            </w:r>
          </w:p>
        </w:tc>
      </w:tr>
      <w:tr w14:paraId="3AA9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5FB76"/>
        </w:tc>
        <w:tc>
          <w:tcPr>
            <w:tcW w:w="1191" w:type="dxa"/>
            <w:vAlign w:val="center"/>
          </w:tcPr>
          <w:p w14:paraId="4385848C">
            <w:pPr>
              <w:pStyle w:val="10"/>
            </w:pPr>
            <w:r>
              <w:t>科目编码</w:t>
            </w:r>
          </w:p>
        </w:tc>
        <w:tc>
          <w:tcPr>
            <w:tcW w:w="4535" w:type="dxa"/>
            <w:vAlign w:val="center"/>
          </w:tcPr>
          <w:p w14:paraId="4CE0F19D">
            <w:pPr>
              <w:pStyle w:val="10"/>
            </w:pPr>
            <w:r>
              <w:t>科目名称</w:t>
            </w:r>
          </w:p>
        </w:tc>
        <w:tc>
          <w:tcPr>
            <w:tcW w:w="2551" w:type="dxa"/>
            <w:vMerge w:val="continue"/>
          </w:tcPr>
          <w:p w14:paraId="6AD5DF84"/>
        </w:tc>
        <w:tc>
          <w:tcPr>
            <w:tcW w:w="2551" w:type="dxa"/>
            <w:vMerge w:val="continue"/>
          </w:tcPr>
          <w:p w14:paraId="01DC6E28"/>
        </w:tc>
        <w:tc>
          <w:tcPr>
            <w:tcW w:w="2551" w:type="dxa"/>
            <w:vMerge w:val="continue"/>
          </w:tcPr>
          <w:p w14:paraId="6382815D"/>
        </w:tc>
      </w:tr>
      <w:tr w14:paraId="1224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E052A">
            <w:pPr>
              <w:pStyle w:val="10"/>
            </w:pPr>
            <w:r>
              <w:t>栏次</w:t>
            </w:r>
          </w:p>
        </w:tc>
        <w:tc>
          <w:tcPr>
            <w:tcW w:w="1191" w:type="dxa"/>
            <w:vAlign w:val="center"/>
          </w:tcPr>
          <w:p w14:paraId="0E8F4016">
            <w:pPr>
              <w:pStyle w:val="10"/>
            </w:pPr>
            <w:r>
              <w:t>1</w:t>
            </w:r>
          </w:p>
        </w:tc>
        <w:tc>
          <w:tcPr>
            <w:tcW w:w="4535" w:type="dxa"/>
            <w:vAlign w:val="center"/>
          </w:tcPr>
          <w:p w14:paraId="114E255A">
            <w:pPr>
              <w:pStyle w:val="10"/>
            </w:pPr>
            <w:r>
              <w:t>2</w:t>
            </w:r>
          </w:p>
        </w:tc>
        <w:tc>
          <w:tcPr>
            <w:tcW w:w="2551" w:type="dxa"/>
            <w:vAlign w:val="center"/>
          </w:tcPr>
          <w:p w14:paraId="061FE62E">
            <w:pPr>
              <w:pStyle w:val="10"/>
            </w:pPr>
            <w:r>
              <w:t>3</w:t>
            </w:r>
          </w:p>
        </w:tc>
        <w:tc>
          <w:tcPr>
            <w:tcW w:w="2551" w:type="dxa"/>
            <w:vAlign w:val="center"/>
          </w:tcPr>
          <w:p w14:paraId="62AF5220">
            <w:pPr>
              <w:pStyle w:val="10"/>
            </w:pPr>
            <w:r>
              <w:t>4</w:t>
            </w:r>
          </w:p>
        </w:tc>
        <w:tc>
          <w:tcPr>
            <w:tcW w:w="2551" w:type="dxa"/>
            <w:vAlign w:val="center"/>
          </w:tcPr>
          <w:p w14:paraId="7856AB5B">
            <w:pPr>
              <w:pStyle w:val="10"/>
            </w:pPr>
            <w:r>
              <w:t>5</w:t>
            </w:r>
          </w:p>
        </w:tc>
      </w:tr>
      <w:tr w14:paraId="2468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3A8B">
            <w:pPr>
              <w:pStyle w:val="13"/>
            </w:pPr>
            <w:r>
              <w:t>1</w:t>
            </w:r>
          </w:p>
        </w:tc>
        <w:tc>
          <w:tcPr>
            <w:tcW w:w="1191" w:type="dxa"/>
            <w:vAlign w:val="center"/>
          </w:tcPr>
          <w:p w14:paraId="397AE636">
            <w:pPr>
              <w:pStyle w:val="16"/>
            </w:pPr>
          </w:p>
        </w:tc>
        <w:tc>
          <w:tcPr>
            <w:tcW w:w="4535" w:type="dxa"/>
            <w:vAlign w:val="center"/>
          </w:tcPr>
          <w:p w14:paraId="002404DA">
            <w:pPr>
              <w:pStyle w:val="14"/>
            </w:pPr>
            <w:r>
              <w:t>合计</w:t>
            </w:r>
          </w:p>
        </w:tc>
        <w:tc>
          <w:tcPr>
            <w:tcW w:w="2551" w:type="dxa"/>
            <w:vAlign w:val="center"/>
          </w:tcPr>
          <w:p w14:paraId="5BC09E9B">
            <w:pPr>
              <w:pStyle w:val="15"/>
            </w:pPr>
            <w:r>
              <w:t>2483.92</w:t>
            </w:r>
          </w:p>
        </w:tc>
        <w:tc>
          <w:tcPr>
            <w:tcW w:w="2551" w:type="dxa"/>
            <w:vAlign w:val="center"/>
          </w:tcPr>
          <w:p w14:paraId="3272B810">
            <w:pPr>
              <w:pStyle w:val="15"/>
            </w:pPr>
            <w:r>
              <w:t>2012.72</w:t>
            </w:r>
          </w:p>
        </w:tc>
        <w:tc>
          <w:tcPr>
            <w:tcW w:w="2551" w:type="dxa"/>
            <w:vAlign w:val="center"/>
          </w:tcPr>
          <w:p w14:paraId="6773A74A">
            <w:pPr>
              <w:pStyle w:val="15"/>
            </w:pPr>
            <w:r>
              <w:t>471.20</w:t>
            </w:r>
          </w:p>
        </w:tc>
      </w:tr>
      <w:tr w14:paraId="4A52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7ACA">
            <w:pPr>
              <w:pStyle w:val="13"/>
            </w:pPr>
            <w:r>
              <w:t>2</w:t>
            </w:r>
          </w:p>
        </w:tc>
        <w:tc>
          <w:tcPr>
            <w:tcW w:w="1191" w:type="dxa"/>
            <w:vAlign w:val="center"/>
          </w:tcPr>
          <w:p w14:paraId="2D3F05BB">
            <w:pPr>
              <w:pStyle w:val="12"/>
            </w:pPr>
            <w:r>
              <w:t>205</w:t>
            </w:r>
          </w:p>
        </w:tc>
        <w:tc>
          <w:tcPr>
            <w:tcW w:w="4535" w:type="dxa"/>
            <w:vAlign w:val="center"/>
          </w:tcPr>
          <w:p w14:paraId="286AEDD6">
            <w:pPr>
              <w:pStyle w:val="12"/>
            </w:pPr>
            <w:r>
              <w:t>教育支出</w:t>
            </w:r>
          </w:p>
        </w:tc>
        <w:tc>
          <w:tcPr>
            <w:tcW w:w="2551" w:type="dxa"/>
            <w:vAlign w:val="center"/>
          </w:tcPr>
          <w:p w14:paraId="09246D7C">
            <w:pPr>
              <w:pStyle w:val="11"/>
            </w:pPr>
            <w:r>
              <w:t>2483.92</w:t>
            </w:r>
          </w:p>
        </w:tc>
        <w:tc>
          <w:tcPr>
            <w:tcW w:w="2551" w:type="dxa"/>
            <w:vAlign w:val="center"/>
          </w:tcPr>
          <w:p w14:paraId="73C74BC7">
            <w:pPr>
              <w:pStyle w:val="11"/>
            </w:pPr>
            <w:r>
              <w:t>2012.72</w:t>
            </w:r>
          </w:p>
        </w:tc>
        <w:tc>
          <w:tcPr>
            <w:tcW w:w="2551" w:type="dxa"/>
            <w:vAlign w:val="center"/>
          </w:tcPr>
          <w:p w14:paraId="4A63C817">
            <w:pPr>
              <w:pStyle w:val="11"/>
            </w:pPr>
            <w:r>
              <w:t>471.20</w:t>
            </w:r>
          </w:p>
        </w:tc>
      </w:tr>
      <w:tr w14:paraId="504D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B7397">
            <w:pPr>
              <w:pStyle w:val="13"/>
            </w:pPr>
            <w:r>
              <w:t>3</w:t>
            </w:r>
          </w:p>
        </w:tc>
        <w:tc>
          <w:tcPr>
            <w:tcW w:w="1191" w:type="dxa"/>
            <w:vAlign w:val="center"/>
          </w:tcPr>
          <w:p w14:paraId="374B2BA2">
            <w:pPr>
              <w:pStyle w:val="12"/>
            </w:pPr>
            <w:r>
              <w:t>20502</w:t>
            </w:r>
          </w:p>
        </w:tc>
        <w:tc>
          <w:tcPr>
            <w:tcW w:w="4535" w:type="dxa"/>
            <w:vAlign w:val="center"/>
          </w:tcPr>
          <w:p w14:paraId="1FEF2778">
            <w:pPr>
              <w:pStyle w:val="12"/>
            </w:pPr>
            <w:r>
              <w:t>普通教育</w:t>
            </w:r>
          </w:p>
        </w:tc>
        <w:tc>
          <w:tcPr>
            <w:tcW w:w="2551" w:type="dxa"/>
            <w:vAlign w:val="center"/>
          </w:tcPr>
          <w:p w14:paraId="5D474161">
            <w:pPr>
              <w:pStyle w:val="11"/>
            </w:pPr>
            <w:r>
              <w:t>2483.92</w:t>
            </w:r>
          </w:p>
        </w:tc>
        <w:tc>
          <w:tcPr>
            <w:tcW w:w="2551" w:type="dxa"/>
            <w:vAlign w:val="center"/>
          </w:tcPr>
          <w:p w14:paraId="6C7858A2">
            <w:pPr>
              <w:pStyle w:val="11"/>
            </w:pPr>
            <w:r>
              <w:t>2012.72</w:t>
            </w:r>
          </w:p>
        </w:tc>
        <w:tc>
          <w:tcPr>
            <w:tcW w:w="2551" w:type="dxa"/>
            <w:vAlign w:val="center"/>
          </w:tcPr>
          <w:p w14:paraId="445BFD7C">
            <w:pPr>
              <w:pStyle w:val="11"/>
            </w:pPr>
            <w:r>
              <w:t>471.20</w:t>
            </w:r>
          </w:p>
        </w:tc>
      </w:tr>
      <w:tr w14:paraId="0345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B238">
            <w:pPr>
              <w:pStyle w:val="13"/>
            </w:pPr>
            <w:r>
              <w:t>4</w:t>
            </w:r>
          </w:p>
        </w:tc>
        <w:tc>
          <w:tcPr>
            <w:tcW w:w="1191" w:type="dxa"/>
            <w:vAlign w:val="center"/>
          </w:tcPr>
          <w:p w14:paraId="7EE585D6">
            <w:pPr>
              <w:pStyle w:val="12"/>
            </w:pPr>
            <w:r>
              <w:t>2050201</w:t>
            </w:r>
          </w:p>
        </w:tc>
        <w:tc>
          <w:tcPr>
            <w:tcW w:w="4535" w:type="dxa"/>
            <w:vAlign w:val="center"/>
          </w:tcPr>
          <w:p w14:paraId="221F0A9F">
            <w:pPr>
              <w:pStyle w:val="12"/>
            </w:pPr>
            <w:r>
              <w:t>学前教育</w:t>
            </w:r>
          </w:p>
        </w:tc>
        <w:tc>
          <w:tcPr>
            <w:tcW w:w="2551" w:type="dxa"/>
            <w:vAlign w:val="center"/>
          </w:tcPr>
          <w:p w14:paraId="12035FF1">
            <w:pPr>
              <w:pStyle w:val="11"/>
            </w:pPr>
            <w:r>
              <w:t>88.79</w:t>
            </w:r>
          </w:p>
        </w:tc>
        <w:tc>
          <w:tcPr>
            <w:tcW w:w="2551" w:type="dxa"/>
            <w:vAlign w:val="center"/>
          </w:tcPr>
          <w:p w14:paraId="7D30A770">
            <w:pPr>
              <w:pStyle w:val="11"/>
            </w:pPr>
          </w:p>
        </w:tc>
        <w:tc>
          <w:tcPr>
            <w:tcW w:w="2551" w:type="dxa"/>
            <w:vAlign w:val="center"/>
          </w:tcPr>
          <w:p w14:paraId="10048B29">
            <w:pPr>
              <w:pStyle w:val="11"/>
            </w:pPr>
            <w:r>
              <w:t>88.79</w:t>
            </w:r>
          </w:p>
        </w:tc>
      </w:tr>
      <w:tr w14:paraId="5876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7A75">
            <w:pPr>
              <w:pStyle w:val="13"/>
            </w:pPr>
            <w:r>
              <w:t>5</w:t>
            </w:r>
          </w:p>
        </w:tc>
        <w:tc>
          <w:tcPr>
            <w:tcW w:w="1191" w:type="dxa"/>
            <w:vAlign w:val="center"/>
          </w:tcPr>
          <w:p w14:paraId="245EEE16">
            <w:pPr>
              <w:pStyle w:val="12"/>
            </w:pPr>
            <w:r>
              <w:t>2050202</w:t>
            </w:r>
          </w:p>
        </w:tc>
        <w:tc>
          <w:tcPr>
            <w:tcW w:w="4535" w:type="dxa"/>
            <w:vAlign w:val="center"/>
          </w:tcPr>
          <w:p w14:paraId="216539AF">
            <w:pPr>
              <w:pStyle w:val="12"/>
            </w:pPr>
            <w:r>
              <w:t>小学教育</w:t>
            </w:r>
          </w:p>
        </w:tc>
        <w:tc>
          <w:tcPr>
            <w:tcW w:w="2551" w:type="dxa"/>
            <w:vAlign w:val="center"/>
          </w:tcPr>
          <w:p w14:paraId="76EAC424">
            <w:pPr>
              <w:pStyle w:val="11"/>
            </w:pPr>
            <w:r>
              <w:t>2395.13</w:t>
            </w:r>
          </w:p>
        </w:tc>
        <w:tc>
          <w:tcPr>
            <w:tcW w:w="2551" w:type="dxa"/>
            <w:vAlign w:val="center"/>
          </w:tcPr>
          <w:p w14:paraId="589A934D">
            <w:pPr>
              <w:pStyle w:val="11"/>
            </w:pPr>
            <w:r>
              <w:t>2012.72</w:t>
            </w:r>
          </w:p>
        </w:tc>
        <w:tc>
          <w:tcPr>
            <w:tcW w:w="2551" w:type="dxa"/>
            <w:vAlign w:val="center"/>
          </w:tcPr>
          <w:p w14:paraId="79BB9C6C">
            <w:pPr>
              <w:pStyle w:val="11"/>
            </w:pPr>
            <w:r>
              <w:t>382.41</w:t>
            </w:r>
          </w:p>
        </w:tc>
      </w:tr>
    </w:tbl>
    <w:p w14:paraId="6E7DBFA0">
      <w:pPr>
        <w:sectPr>
          <w:pgSz w:w="16840" w:h="11900" w:orient="landscape"/>
          <w:pgMar w:top="1361" w:right="1020" w:bottom="1134" w:left="1020" w:header="720" w:footer="720" w:gutter="0"/>
          <w:cols w:space="720" w:num="1"/>
        </w:sectPr>
      </w:pPr>
    </w:p>
    <w:p w14:paraId="0B4185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BBD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262FEA">
            <w:pPr>
              <w:pStyle w:val="9"/>
            </w:pPr>
            <w:r>
              <w:t>360017隆尧县魏庄校区</w:t>
            </w:r>
          </w:p>
        </w:tc>
        <w:tc>
          <w:tcPr>
            <w:tcW w:w="2551" w:type="dxa"/>
            <w:tcBorders>
              <w:top w:val="single" w:color="FFFFFF" w:sz="6" w:space="0"/>
              <w:left w:val="single" w:color="FFFFFF" w:sz="6" w:space="0"/>
              <w:right w:val="single" w:color="FFFFFF" w:sz="6" w:space="0"/>
            </w:tcBorders>
            <w:vAlign w:val="center"/>
          </w:tcPr>
          <w:p w14:paraId="454BFD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A25B6C">
            <w:pPr>
              <w:pStyle w:val="7"/>
            </w:pPr>
            <w:r>
              <w:t>单位：万元</w:t>
            </w:r>
          </w:p>
        </w:tc>
      </w:tr>
      <w:tr w14:paraId="6235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6FA8A">
            <w:pPr>
              <w:pStyle w:val="10"/>
            </w:pPr>
            <w:r>
              <w:t>序号</w:t>
            </w:r>
          </w:p>
        </w:tc>
        <w:tc>
          <w:tcPr>
            <w:tcW w:w="5726" w:type="dxa"/>
            <w:gridSpan w:val="2"/>
            <w:vAlign w:val="center"/>
          </w:tcPr>
          <w:p w14:paraId="5EF647B6">
            <w:pPr>
              <w:pStyle w:val="10"/>
            </w:pPr>
            <w:r>
              <w:t>支出部门经济分类科目</w:t>
            </w:r>
          </w:p>
        </w:tc>
        <w:tc>
          <w:tcPr>
            <w:tcW w:w="7653" w:type="dxa"/>
            <w:gridSpan w:val="3"/>
            <w:vAlign w:val="center"/>
          </w:tcPr>
          <w:p w14:paraId="4E54C44E">
            <w:pPr>
              <w:pStyle w:val="10"/>
            </w:pPr>
            <w:r>
              <w:t>一般公共预算基本支出</w:t>
            </w:r>
          </w:p>
        </w:tc>
      </w:tr>
      <w:tr w14:paraId="55CB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0C133"/>
        </w:tc>
        <w:tc>
          <w:tcPr>
            <w:tcW w:w="1191" w:type="dxa"/>
            <w:vAlign w:val="center"/>
          </w:tcPr>
          <w:p w14:paraId="0256C586">
            <w:pPr>
              <w:pStyle w:val="10"/>
            </w:pPr>
            <w:r>
              <w:t>科目编码</w:t>
            </w:r>
          </w:p>
        </w:tc>
        <w:tc>
          <w:tcPr>
            <w:tcW w:w="4535" w:type="dxa"/>
            <w:vAlign w:val="center"/>
          </w:tcPr>
          <w:p w14:paraId="55629C04">
            <w:pPr>
              <w:pStyle w:val="10"/>
            </w:pPr>
            <w:r>
              <w:t>科目名称</w:t>
            </w:r>
          </w:p>
        </w:tc>
        <w:tc>
          <w:tcPr>
            <w:tcW w:w="2551" w:type="dxa"/>
            <w:vAlign w:val="center"/>
          </w:tcPr>
          <w:p w14:paraId="51D2EE28">
            <w:pPr>
              <w:pStyle w:val="10"/>
            </w:pPr>
            <w:r>
              <w:t>合计</w:t>
            </w:r>
          </w:p>
        </w:tc>
        <w:tc>
          <w:tcPr>
            <w:tcW w:w="2551" w:type="dxa"/>
            <w:vAlign w:val="center"/>
          </w:tcPr>
          <w:p w14:paraId="6D9480E1">
            <w:pPr>
              <w:pStyle w:val="10"/>
            </w:pPr>
            <w:r>
              <w:t>人员经费</w:t>
            </w:r>
          </w:p>
        </w:tc>
        <w:tc>
          <w:tcPr>
            <w:tcW w:w="2551" w:type="dxa"/>
            <w:vAlign w:val="center"/>
          </w:tcPr>
          <w:p w14:paraId="4F83A513">
            <w:pPr>
              <w:pStyle w:val="10"/>
            </w:pPr>
            <w:r>
              <w:t>公用经费</w:t>
            </w:r>
          </w:p>
        </w:tc>
      </w:tr>
      <w:tr w14:paraId="46AC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8070C">
            <w:pPr>
              <w:pStyle w:val="10"/>
            </w:pPr>
            <w:r>
              <w:t>栏次</w:t>
            </w:r>
          </w:p>
        </w:tc>
        <w:tc>
          <w:tcPr>
            <w:tcW w:w="1191" w:type="dxa"/>
            <w:vAlign w:val="center"/>
          </w:tcPr>
          <w:p w14:paraId="3B045616">
            <w:pPr>
              <w:pStyle w:val="10"/>
            </w:pPr>
            <w:r>
              <w:t>1</w:t>
            </w:r>
          </w:p>
        </w:tc>
        <w:tc>
          <w:tcPr>
            <w:tcW w:w="4535" w:type="dxa"/>
            <w:vAlign w:val="center"/>
          </w:tcPr>
          <w:p w14:paraId="39827F78">
            <w:pPr>
              <w:pStyle w:val="10"/>
            </w:pPr>
            <w:r>
              <w:t>2</w:t>
            </w:r>
          </w:p>
        </w:tc>
        <w:tc>
          <w:tcPr>
            <w:tcW w:w="2551" w:type="dxa"/>
            <w:vAlign w:val="center"/>
          </w:tcPr>
          <w:p w14:paraId="38BFC5B2">
            <w:pPr>
              <w:pStyle w:val="10"/>
            </w:pPr>
            <w:r>
              <w:t>3</w:t>
            </w:r>
          </w:p>
        </w:tc>
        <w:tc>
          <w:tcPr>
            <w:tcW w:w="2551" w:type="dxa"/>
            <w:vAlign w:val="center"/>
          </w:tcPr>
          <w:p w14:paraId="1DE9A892">
            <w:pPr>
              <w:pStyle w:val="10"/>
            </w:pPr>
            <w:r>
              <w:t>4</w:t>
            </w:r>
          </w:p>
        </w:tc>
        <w:tc>
          <w:tcPr>
            <w:tcW w:w="2551" w:type="dxa"/>
            <w:vAlign w:val="center"/>
          </w:tcPr>
          <w:p w14:paraId="7059322E">
            <w:pPr>
              <w:pStyle w:val="10"/>
            </w:pPr>
            <w:r>
              <w:t>5</w:t>
            </w:r>
          </w:p>
        </w:tc>
      </w:tr>
      <w:tr w14:paraId="03CF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BBED4">
            <w:pPr>
              <w:pStyle w:val="13"/>
            </w:pPr>
            <w:r>
              <w:t>1</w:t>
            </w:r>
          </w:p>
        </w:tc>
        <w:tc>
          <w:tcPr>
            <w:tcW w:w="1191" w:type="dxa"/>
            <w:vAlign w:val="center"/>
          </w:tcPr>
          <w:p w14:paraId="096FD198">
            <w:pPr>
              <w:pStyle w:val="16"/>
            </w:pPr>
          </w:p>
        </w:tc>
        <w:tc>
          <w:tcPr>
            <w:tcW w:w="4535" w:type="dxa"/>
            <w:vAlign w:val="center"/>
          </w:tcPr>
          <w:p w14:paraId="17050F94">
            <w:pPr>
              <w:pStyle w:val="14"/>
            </w:pPr>
            <w:r>
              <w:t>合计</w:t>
            </w:r>
          </w:p>
        </w:tc>
        <w:tc>
          <w:tcPr>
            <w:tcW w:w="2551" w:type="dxa"/>
            <w:vAlign w:val="center"/>
          </w:tcPr>
          <w:p w14:paraId="74874320">
            <w:pPr>
              <w:pStyle w:val="15"/>
            </w:pPr>
            <w:r>
              <w:t>2012.72</w:t>
            </w:r>
          </w:p>
        </w:tc>
        <w:tc>
          <w:tcPr>
            <w:tcW w:w="2551" w:type="dxa"/>
            <w:vAlign w:val="center"/>
          </w:tcPr>
          <w:p w14:paraId="79F3C6A2">
            <w:pPr>
              <w:pStyle w:val="15"/>
            </w:pPr>
            <w:r>
              <w:t>2012.72</w:t>
            </w:r>
          </w:p>
        </w:tc>
        <w:tc>
          <w:tcPr>
            <w:tcW w:w="2551" w:type="dxa"/>
            <w:vAlign w:val="center"/>
          </w:tcPr>
          <w:p w14:paraId="3698C15D">
            <w:pPr>
              <w:pStyle w:val="15"/>
            </w:pPr>
          </w:p>
        </w:tc>
      </w:tr>
      <w:tr w14:paraId="5FEFF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374DD">
            <w:pPr>
              <w:pStyle w:val="13"/>
            </w:pPr>
            <w:r>
              <w:t>2</w:t>
            </w:r>
          </w:p>
        </w:tc>
        <w:tc>
          <w:tcPr>
            <w:tcW w:w="1191" w:type="dxa"/>
            <w:vAlign w:val="center"/>
          </w:tcPr>
          <w:p w14:paraId="21A80614">
            <w:pPr>
              <w:pStyle w:val="12"/>
            </w:pPr>
            <w:r>
              <w:t>301</w:t>
            </w:r>
          </w:p>
        </w:tc>
        <w:tc>
          <w:tcPr>
            <w:tcW w:w="4535" w:type="dxa"/>
            <w:vAlign w:val="center"/>
          </w:tcPr>
          <w:p w14:paraId="2C46C541">
            <w:pPr>
              <w:pStyle w:val="12"/>
            </w:pPr>
            <w:r>
              <w:t>工资福利支出</w:t>
            </w:r>
          </w:p>
        </w:tc>
        <w:tc>
          <w:tcPr>
            <w:tcW w:w="2551" w:type="dxa"/>
            <w:vAlign w:val="center"/>
          </w:tcPr>
          <w:p w14:paraId="3357D90A">
            <w:pPr>
              <w:pStyle w:val="11"/>
            </w:pPr>
            <w:r>
              <w:t>1862.80</w:t>
            </w:r>
          </w:p>
        </w:tc>
        <w:tc>
          <w:tcPr>
            <w:tcW w:w="2551" w:type="dxa"/>
            <w:vAlign w:val="center"/>
          </w:tcPr>
          <w:p w14:paraId="2E780658">
            <w:pPr>
              <w:pStyle w:val="11"/>
            </w:pPr>
            <w:r>
              <w:t>1862.80</w:t>
            </w:r>
          </w:p>
        </w:tc>
        <w:tc>
          <w:tcPr>
            <w:tcW w:w="2551" w:type="dxa"/>
            <w:vAlign w:val="center"/>
          </w:tcPr>
          <w:p w14:paraId="4ACD3610">
            <w:pPr>
              <w:pStyle w:val="11"/>
            </w:pPr>
          </w:p>
        </w:tc>
      </w:tr>
      <w:tr w14:paraId="1FB6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35F57">
            <w:pPr>
              <w:pStyle w:val="13"/>
            </w:pPr>
            <w:r>
              <w:t>3</w:t>
            </w:r>
          </w:p>
        </w:tc>
        <w:tc>
          <w:tcPr>
            <w:tcW w:w="1191" w:type="dxa"/>
            <w:vAlign w:val="center"/>
          </w:tcPr>
          <w:p w14:paraId="14CA5C80">
            <w:pPr>
              <w:pStyle w:val="12"/>
            </w:pPr>
            <w:r>
              <w:t>30101</w:t>
            </w:r>
          </w:p>
        </w:tc>
        <w:tc>
          <w:tcPr>
            <w:tcW w:w="4535" w:type="dxa"/>
            <w:vAlign w:val="center"/>
          </w:tcPr>
          <w:p w14:paraId="59CB5913">
            <w:pPr>
              <w:pStyle w:val="12"/>
            </w:pPr>
            <w:r>
              <w:t>基本工资</w:t>
            </w:r>
          </w:p>
        </w:tc>
        <w:tc>
          <w:tcPr>
            <w:tcW w:w="2551" w:type="dxa"/>
            <w:vAlign w:val="center"/>
          </w:tcPr>
          <w:p w14:paraId="2CB8CE61">
            <w:pPr>
              <w:pStyle w:val="11"/>
            </w:pPr>
            <w:r>
              <w:t>845.79</w:t>
            </w:r>
          </w:p>
        </w:tc>
        <w:tc>
          <w:tcPr>
            <w:tcW w:w="2551" w:type="dxa"/>
            <w:vAlign w:val="center"/>
          </w:tcPr>
          <w:p w14:paraId="4911384C">
            <w:pPr>
              <w:pStyle w:val="11"/>
            </w:pPr>
            <w:r>
              <w:t>845.79</w:t>
            </w:r>
          </w:p>
        </w:tc>
        <w:tc>
          <w:tcPr>
            <w:tcW w:w="2551" w:type="dxa"/>
            <w:vAlign w:val="center"/>
          </w:tcPr>
          <w:p w14:paraId="677D6750">
            <w:pPr>
              <w:pStyle w:val="11"/>
            </w:pPr>
          </w:p>
        </w:tc>
      </w:tr>
      <w:tr w14:paraId="0F61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17638">
            <w:pPr>
              <w:pStyle w:val="13"/>
            </w:pPr>
            <w:r>
              <w:t>4</w:t>
            </w:r>
          </w:p>
        </w:tc>
        <w:tc>
          <w:tcPr>
            <w:tcW w:w="1191" w:type="dxa"/>
            <w:vAlign w:val="center"/>
          </w:tcPr>
          <w:p w14:paraId="09B111C4">
            <w:pPr>
              <w:pStyle w:val="12"/>
            </w:pPr>
            <w:r>
              <w:t>30102</w:t>
            </w:r>
          </w:p>
        </w:tc>
        <w:tc>
          <w:tcPr>
            <w:tcW w:w="4535" w:type="dxa"/>
            <w:vAlign w:val="center"/>
          </w:tcPr>
          <w:p w14:paraId="7E14B7DA">
            <w:pPr>
              <w:pStyle w:val="12"/>
            </w:pPr>
            <w:r>
              <w:t>津贴补贴</w:t>
            </w:r>
          </w:p>
        </w:tc>
        <w:tc>
          <w:tcPr>
            <w:tcW w:w="2551" w:type="dxa"/>
            <w:vAlign w:val="center"/>
          </w:tcPr>
          <w:p w14:paraId="49B6789A">
            <w:pPr>
              <w:pStyle w:val="11"/>
            </w:pPr>
            <w:r>
              <w:t>85.39</w:t>
            </w:r>
          </w:p>
        </w:tc>
        <w:tc>
          <w:tcPr>
            <w:tcW w:w="2551" w:type="dxa"/>
            <w:vAlign w:val="center"/>
          </w:tcPr>
          <w:p w14:paraId="5257F073">
            <w:pPr>
              <w:pStyle w:val="11"/>
            </w:pPr>
            <w:r>
              <w:t>85.39</w:t>
            </w:r>
          </w:p>
        </w:tc>
        <w:tc>
          <w:tcPr>
            <w:tcW w:w="2551" w:type="dxa"/>
            <w:vAlign w:val="center"/>
          </w:tcPr>
          <w:p w14:paraId="09EE560A">
            <w:pPr>
              <w:pStyle w:val="11"/>
            </w:pPr>
          </w:p>
        </w:tc>
      </w:tr>
      <w:tr w14:paraId="24B12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B3FC">
            <w:pPr>
              <w:pStyle w:val="13"/>
            </w:pPr>
            <w:r>
              <w:t>5</w:t>
            </w:r>
          </w:p>
        </w:tc>
        <w:tc>
          <w:tcPr>
            <w:tcW w:w="1191" w:type="dxa"/>
            <w:vAlign w:val="center"/>
          </w:tcPr>
          <w:p w14:paraId="1CB902A1">
            <w:pPr>
              <w:pStyle w:val="12"/>
            </w:pPr>
            <w:r>
              <w:t>30107</w:t>
            </w:r>
          </w:p>
        </w:tc>
        <w:tc>
          <w:tcPr>
            <w:tcW w:w="4535" w:type="dxa"/>
            <w:vAlign w:val="center"/>
          </w:tcPr>
          <w:p w14:paraId="08420F7C">
            <w:pPr>
              <w:pStyle w:val="12"/>
            </w:pPr>
            <w:r>
              <w:t>绩效工资</w:t>
            </w:r>
          </w:p>
        </w:tc>
        <w:tc>
          <w:tcPr>
            <w:tcW w:w="2551" w:type="dxa"/>
            <w:vAlign w:val="center"/>
          </w:tcPr>
          <w:p w14:paraId="7F350BEA">
            <w:pPr>
              <w:pStyle w:val="11"/>
            </w:pPr>
            <w:r>
              <w:t>514.20</w:t>
            </w:r>
          </w:p>
        </w:tc>
        <w:tc>
          <w:tcPr>
            <w:tcW w:w="2551" w:type="dxa"/>
            <w:vAlign w:val="center"/>
          </w:tcPr>
          <w:p w14:paraId="790EB591">
            <w:pPr>
              <w:pStyle w:val="11"/>
            </w:pPr>
            <w:r>
              <w:t>514.20</w:t>
            </w:r>
          </w:p>
        </w:tc>
        <w:tc>
          <w:tcPr>
            <w:tcW w:w="2551" w:type="dxa"/>
            <w:vAlign w:val="center"/>
          </w:tcPr>
          <w:p w14:paraId="6A916F5F">
            <w:pPr>
              <w:pStyle w:val="11"/>
            </w:pPr>
          </w:p>
        </w:tc>
      </w:tr>
      <w:tr w14:paraId="1899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B3E4">
            <w:pPr>
              <w:pStyle w:val="13"/>
            </w:pPr>
            <w:r>
              <w:t>6</w:t>
            </w:r>
          </w:p>
        </w:tc>
        <w:tc>
          <w:tcPr>
            <w:tcW w:w="1191" w:type="dxa"/>
            <w:vAlign w:val="center"/>
          </w:tcPr>
          <w:p w14:paraId="36A1D876">
            <w:pPr>
              <w:pStyle w:val="12"/>
            </w:pPr>
            <w:r>
              <w:t>30108</w:t>
            </w:r>
          </w:p>
        </w:tc>
        <w:tc>
          <w:tcPr>
            <w:tcW w:w="4535" w:type="dxa"/>
            <w:vAlign w:val="center"/>
          </w:tcPr>
          <w:p w14:paraId="4D307A85">
            <w:pPr>
              <w:pStyle w:val="12"/>
            </w:pPr>
            <w:r>
              <w:t>机关事业单位基本养老保险缴费</w:t>
            </w:r>
          </w:p>
        </w:tc>
        <w:tc>
          <w:tcPr>
            <w:tcW w:w="2551" w:type="dxa"/>
            <w:vAlign w:val="center"/>
          </w:tcPr>
          <w:p w14:paraId="56ED4E2D">
            <w:pPr>
              <w:pStyle w:val="11"/>
            </w:pPr>
            <w:r>
              <w:t>186.76</w:t>
            </w:r>
          </w:p>
        </w:tc>
        <w:tc>
          <w:tcPr>
            <w:tcW w:w="2551" w:type="dxa"/>
            <w:vAlign w:val="center"/>
          </w:tcPr>
          <w:p w14:paraId="798C3B07">
            <w:pPr>
              <w:pStyle w:val="11"/>
            </w:pPr>
            <w:r>
              <w:t>186.76</w:t>
            </w:r>
          </w:p>
        </w:tc>
        <w:tc>
          <w:tcPr>
            <w:tcW w:w="2551" w:type="dxa"/>
            <w:vAlign w:val="center"/>
          </w:tcPr>
          <w:p w14:paraId="67FA8010">
            <w:pPr>
              <w:pStyle w:val="11"/>
            </w:pPr>
          </w:p>
        </w:tc>
      </w:tr>
      <w:tr w14:paraId="659A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8168">
            <w:pPr>
              <w:pStyle w:val="13"/>
            </w:pPr>
            <w:r>
              <w:t>7</w:t>
            </w:r>
          </w:p>
        </w:tc>
        <w:tc>
          <w:tcPr>
            <w:tcW w:w="1191" w:type="dxa"/>
            <w:vAlign w:val="center"/>
          </w:tcPr>
          <w:p w14:paraId="64C7907E">
            <w:pPr>
              <w:pStyle w:val="12"/>
            </w:pPr>
            <w:r>
              <w:t>30110</w:t>
            </w:r>
          </w:p>
        </w:tc>
        <w:tc>
          <w:tcPr>
            <w:tcW w:w="4535" w:type="dxa"/>
            <w:vAlign w:val="center"/>
          </w:tcPr>
          <w:p w14:paraId="551DCBC9">
            <w:pPr>
              <w:pStyle w:val="12"/>
            </w:pPr>
            <w:r>
              <w:t>职工基本医疗保险缴费</w:t>
            </w:r>
          </w:p>
        </w:tc>
        <w:tc>
          <w:tcPr>
            <w:tcW w:w="2551" w:type="dxa"/>
            <w:vAlign w:val="center"/>
          </w:tcPr>
          <w:p w14:paraId="622E10F1">
            <w:pPr>
              <w:pStyle w:val="11"/>
            </w:pPr>
            <w:r>
              <w:t>86.13</w:t>
            </w:r>
          </w:p>
        </w:tc>
        <w:tc>
          <w:tcPr>
            <w:tcW w:w="2551" w:type="dxa"/>
            <w:vAlign w:val="center"/>
          </w:tcPr>
          <w:p w14:paraId="47C688D4">
            <w:pPr>
              <w:pStyle w:val="11"/>
            </w:pPr>
            <w:r>
              <w:t>86.13</w:t>
            </w:r>
          </w:p>
        </w:tc>
        <w:tc>
          <w:tcPr>
            <w:tcW w:w="2551" w:type="dxa"/>
            <w:vAlign w:val="center"/>
          </w:tcPr>
          <w:p w14:paraId="16FFD7B3">
            <w:pPr>
              <w:pStyle w:val="11"/>
            </w:pPr>
          </w:p>
        </w:tc>
      </w:tr>
      <w:tr w14:paraId="7A56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852A">
            <w:pPr>
              <w:pStyle w:val="13"/>
            </w:pPr>
            <w:r>
              <w:t>8</w:t>
            </w:r>
          </w:p>
        </w:tc>
        <w:tc>
          <w:tcPr>
            <w:tcW w:w="1191" w:type="dxa"/>
            <w:vAlign w:val="center"/>
          </w:tcPr>
          <w:p w14:paraId="0DD79C56">
            <w:pPr>
              <w:pStyle w:val="12"/>
            </w:pPr>
            <w:r>
              <w:t>30112</w:t>
            </w:r>
          </w:p>
        </w:tc>
        <w:tc>
          <w:tcPr>
            <w:tcW w:w="4535" w:type="dxa"/>
            <w:vAlign w:val="center"/>
          </w:tcPr>
          <w:p w14:paraId="4AA11899">
            <w:pPr>
              <w:pStyle w:val="12"/>
            </w:pPr>
            <w:r>
              <w:t>其他社会保障缴费</w:t>
            </w:r>
          </w:p>
        </w:tc>
        <w:tc>
          <w:tcPr>
            <w:tcW w:w="2551" w:type="dxa"/>
            <w:vAlign w:val="center"/>
          </w:tcPr>
          <w:p w14:paraId="146311BA">
            <w:pPr>
              <w:pStyle w:val="11"/>
            </w:pPr>
            <w:r>
              <w:t>5.22</w:t>
            </w:r>
          </w:p>
        </w:tc>
        <w:tc>
          <w:tcPr>
            <w:tcW w:w="2551" w:type="dxa"/>
            <w:vAlign w:val="center"/>
          </w:tcPr>
          <w:p w14:paraId="6BD8480A">
            <w:pPr>
              <w:pStyle w:val="11"/>
            </w:pPr>
            <w:r>
              <w:t>5.22</w:t>
            </w:r>
          </w:p>
        </w:tc>
        <w:tc>
          <w:tcPr>
            <w:tcW w:w="2551" w:type="dxa"/>
            <w:vAlign w:val="center"/>
          </w:tcPr>
          <w:p w14:paraId="72C5F75E">
            <w:pPr>
              <w:pStyle w:val="11"/>
            </w:pPr>
          </w:p>
        </w:tc>
      </w:tr>
      <w:tr w14:paraId="349E6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BB12">
            <w:pPr>
              <w:pStyle w:val="13"/>
            </w:pPr>
            <w:r>
              <w:t>9</w:t>
            </w:r>
          </w:p>
        </w:tc>
        <w:tc>
          <w:tcPr>
            <w:tcW w:w="1191" w:type="dxa"/>
            <w:vAlign w:val="center"/>
          </w:tcPr>
          <w:p w14:paraId="50DCE693">
            <w:pPr>
              <w:pStyle w:val="12"/>
            </w:pPr>
            <w:r>
              <w:t>30113</w:t>
            </w:r>
          </w:p>
        </w:tc>
        <w:tc>
          <w:tcPr>
            <w:tcW w:w="4535" w:type="dxa"/>
            <w:vAlign w:val="center"/>
          </w:tcPr>
          <w:p w14:paraId="6949EC4C">
            <w:pPr>
              <w:pStyle w:val="12"/>
            </w:pPr>
            <w:r>
              <w:t>住房公积金</w:t>
            </w:r>
          </w:p>
        </w:tc>
        <w:tc>
          <w:tcPr>
            <w:tcW w:w="2551" w:type="dxa"/>
            <w:vAlign w:val="center"/>
          </w:tcPr>
          <w:p w14:paraId="3BCF25C4">
            <w:pPr>
              <w:pStyle w:val="11"/>
            </w:pPr>
            <w:r>
              <w:t>139.32</w:t>
            </w:r>
          </w:p>
        </w:tc>
        <w:tc>
          <w:tcPr>
            <w:tcW w:w="2551" w:type="dxa"/>
            <w:vAlign w:val="center"/>
          </w:tcPr>
          <w:p w14:paraId="7D7F4C06">
            <w:pPr>
              <w:pStyle w:val="11"/>
            </w:pPr>
            <w:r>
              <w:t>139.32</w:t>
            </w:r>
          </w:p>
        </w:tc>
        <w:tc>
          <w:tcPr>
            <w:tcW w:w="2551" w:type="dxa"/>
            <w:vAlign w:val="center"/>
          </w:tcPr>
          <w:p w14:paraId="55AAD4BC">
            <w:pPr>
              <w:pStyle w:val="11"/>
            </w:pPr>
          </w:p>
        </w:tc>
      </w:tr>
      <w:tr w14:paraId="6320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FA12F">
            <w:pPr>
              <w:pStyle w:val="13"/>
            </w:pPr>
            <w:r>
              <w:t>10</w:t>
            </w:r>
          </w:p>
        </w:tc>
        <w:tc>
          <w:tcPr>
            <w:tcW w:w="1191" w:type="dxa"/>
            <w:vAlign w:val="center"/>
          </w:tcPr>
          <w:p w14:paraId="1E752963">
            <w:pPr>
              <w:pStyle w:val="12"/>
            </w:pPr>
            <w:r>
              <w:t>303</w:t>
            </w:r>
          </w:p>
        </w:tc>
        <w:tc>
          <w:tcPr>
            <w:tcW w:w="4535" w:type="dxa"/>
            <w:vAlign w:val="center"/>
          </w:tcPr>
          <w:p w14:paraId="4866A58B">
            <w:pPr>
              <w:pStyle w:val="12"/>
            </w:pPr>
            <w:r>
              <w:t>对个人和家庭的补助</w:t>
            </w:r>
          </w:p>
        </w:tc>
        <w:tc>
          <w:tcPr>
            <w:tcW w:w="2551" w:type="dxa"/>
            <w:vAlign w:val="center"/>
          </w:tcPr>
          <w:p w14:paraId="3F793AE9">
            <w:pPr>
              <w:pStyle w:val="11"/>
            </w:pPr>
            <w:r>
              <w:t>149.92</w:t>
            </w:r>
          </w:p>
        </w:tc>
        <w:tc>
          <w:tcPr>
            <w:tcW w:w="2551" w:type="dxa"/>
            <w:vAlign w:val="center"/>
          </w:tcPr>
          <w:p w14:paraId="03810D51">
            <w:pPr>
              <w:pStyle w:val="11"/>
            </w:pPr>
            <w:r>
              <w:t>149.92</w:t>
            </w:r>
          </w:p>
        </w:tc>
        <w:tc>
          <w:tcPr>
            <w:tcW w:w="2551" w:type="dxa"/>
            <w:vAlign w:val="center"/>
          </w:tcPr>
          <w:p w14:paraId="1B93B2D7">
            <w:pPr>
              <w:pStyle w:val="11"/>
            </w:pPr>
          </w:p>
        </w:tc>
      </w:tr>
      <w:tr w14:paraId="4F9B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A6315">
            <w:pPr>
              <w:pStyle w:val="13"/>
            </w:pPr>
            <w:r>
              <w:t>11</w:t>
            </w:r>
          </w:p>
        </w:tc>
        <w:tc>
          <w:tcPr>
            <w:tcW w:w="1191" w:type="dxa"/>
            <w:vAlign w:val="center"/>
          </w:tcPr>
          <w:p w14:paraId="768ABA2A">
            <w:pPr>
              <w:pStyle w:val="12"/>
            </w:pPr>
            <w:r>
              <w:t>30302</w:t>
            </w:r>
          </w:p>
        </w:tc>
        <w:tc>
          <w:tcPr>
            <w:tcW w:w="4535" w:type="dxa"/>
            <w:vAlign w:val="center"/>
          </w:tcPr>
          <w:p w14:paraId="0F07F2C2">
            <w:pPr>
              <w:pStyle w:val="12"/>
            </w:pPr>
            <w:r>
              <w:t>退休费</w:t>
            </w:r>
          </w:p>
        </w:tc>
        <w:tc>
          <w:tcPr>
            <w:tcW w:w="2551" w:type="dxa"/>
            <w:vAlign w:val="center"/>
          </w:tcPr>
          <w:p w14:paraId="36F65D11">
            <w:pPr>
              <w:pStyle w:val="11"/>
            </w:pPr>
            <w:r>
              <w:t>143.73</w:t>
            </w:r>
          </w:p>
        </w:tc>
        <w:tc>
          <w:tcPr>
            <w:tcW w:w="2551" w:type="dxa"/>
            <w:vAlign w:val="center"/>
          </w:tcPr>
          <w:p w14:paraId="2EDF1DC6">
            <w:pPr>
              <w:pStyle w:val="11"/>
            </w:pPr>
            <w:r>
              <w:t>143.73</w:t>
            </w:r>
          </w:p>
        </w:tc>
        <w:tc>
          <w:tcPr>
            <w:tcW w:w="2551" w:type="dxa"/>
            <w:vAlign w:val="center"/>
          </w:tcPr>
          <w:p w14:paraId="3A797B65">
            <w:pPr>
              <w:pStyle w:val="11"/>
            </w:pPr>
          </w:p>
        </w:tc>
      </w:tr>
      <w:tr w14:paraId="5E41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864B9">
            <w:pPr>
              <w:pStyle w:val="13"/>
            </w:pPr>
            <w:r>
              <w:t>12</w:t>
            </w:r>
          </w:p>
        </w:tc>
        <w:tc>
          <w:tcPr>
            <w:tcW w:w="1191" w:type="dxa"/>
            <w:vAlign w:val="center"/>
          </w:tcPr>
          <w:p w14:paraId="3C493DBD">
            <w:pPr>
              <w:pStyle w:val="12"/>
            </w:pPr>
            <w:r>
              <w:t>30305</w:t>
            </w:r>
          </w:p>
        </w:tc>
        <w:tc>
          <w:tcPr>
            <w:tcW w:w="4535" w:type="dxa"/>
            <w:vAlign w:val="center"/>
          </w:tcPr>
          <w:p w14:paraId="0B4C46DA">
            <w:pPr>
              <w:pStyle w:val="12"/>
            </w:pPr>
            <w:r>
              <w:t>生活补助</w:t>
            </w:r>
          </w:p>
        </w:tc>
        <w:tc>
          <w:tcPr>
            <w:tcW w:w="2551" w:type="dxa"/>
            <w:vAlign w:val="center"/>
          </w:tcPr>
          <w:p w14:paraId="0D2AEB4F">
            <w:pPr>
              <w:pStyle w:val="11"/>
            </w:pPr>
            <w:r>
              <w:t>6.19</w:t>
            </w:r>
          </w:p>
        </w:tc>
        <w:tc>
          <w:tcPr>
            <w:tcW w:w="2551" w:type="dxa"/>
            <w:vAlign w:val="center"/>
          </w:tcPr>
          <w:p w14:paraId="4589CB1E">
            <w:pPr>
              <w:pStyle w:val="11"/>
            </w:pPr>
            <w:r>
              <w:t>6.19</w:t>
            </w:r>
          </w:p>
        </w:tc>
        <w:tc>
          <w:tcPr>
            <w:tcW w:w="2551" w:type="dxa"/>
            <w:vAlign w:val="center"/>
          </w:tcPr>
          <w:p w14:paraId="6873319A">
            <w:pPr>
              <w:pStyle w:val="11"/>
            </w:pPr>
          </w:p>
        </w:tc>
      </w:tr>
    </w:tbl>
    <w:p w14:paraId="6C4662E3">
      <w:pPr>
        <w:sectPr>
          <w:pgSz w:w="16840" w:h="11900" w:orient="landscape"/>
          <w:pgMar w:top="1361" w:right="1020" w:bottom="1134" w:left="1020" w:header="720" w:footer="720" w:gutter="0"/>
          <w:cols w:space="720" w:num="1"/>
        </w:sectPr>
      </w:pPr>
    </w:p>
    <w:p w14:paraId="12F6C4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D3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A8C9DE">
            <w:pPr>
              <w:pStyle w:val="9"/>
            </w:pPr>
            <w:r>
              <w:t>360017隆尧县魏庄校区</w:t>
            </w:r>
          </w:p>
        </w:tc>
        <w:tc>
          <w:tcPr>
            <w:tcW w:w="2551" w:type="dxa"/>
            <w:tcBorders>
              <w:top w:val="single" w:color="FFFFFF" w:sz="6" w:space="0"/>
              <w:left w:val="single" w:color="FFFFFF" w:sz="6" w:space="0"/>
              <w:right w:val="single" w:color="FFFFFF" w:sz="6" w:space="0"/>
            </w:tcBorders>
            <w:vAlign w:val="center"/>
          </w:tcPr>
          <w:p w14:paraId="593D466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7297E4">
            <w:pPr>
              <w:pStyle w:val="7"/>
            </w:pPr>
            <w:r>
              <w:t>单位：万元</w:t>
            </w:r>
          </w:p>
        </w:tc>
      </w:tr>
      <w:tr w14:paraId="7DB3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1817E">
            <w:pPr>
              <w:pStyle w:val="10"/>
            </w:pPr>
            <w:r>
              <w:t>序号</w:t>
            </w:r>
          </w:p>
        </w:tc>
        <w:tc>
          <w:tcPr>
            <w:tcW w:w="5726" w:type="dxa"/>
            <w:gridSpan w:val="2"/>
            <w:vAlign w:val="center"/>
          </w:tcPr>
          <w:p w14:paraId="7714596A">
            <w:pPr>
              <w:pStyle w:val="10"/>
            </w:pPr>
            <w:r>
              <w:t>功能分类科目</w:t>
            </w:r>
          </w:p>
        </w:tc>
        <w:tc>
          <w:tcPr>
            <w:tcW w:w="2551" w:type="dxa"/>
            <w:vMerge w:val="restart"/>
            <w:vAlign w:val="center"/>
          </w:tcPr>
          <w:p w14:paraId="0DC21385">
            <w:pPr>
              <w:pStyle w:val="10"/>
            </w:pPr>
            <w:r>
              <w:t>合计</w:t>
            </w:r>
          </w:p>
        </w:tc>
        <w:tc>
          <w:tcPr>
            <w:tcW w:w="2551" w:type="dxa"/>
            <w:vMerge w:val="restart"/>
            <w:vAlign w:val="center"/>
          </w:tcPr>
          <w:p w14:paraId="617FB175">
            <w:pPr>
              <w:pStyle w:val="10"/>
            </w:pPr>
            <w:r>
              <w:t>基本支出</w:t>
            </w:r>
          </w:p>
        </w:tc>
        <w:tc>
          <w:tcPr>
            <w:tcW w:w="2551" w:type="dxa"/>
            <w:vMerge w:val="restart"/>
            <w:vAlign w:val="center"/>
          </w:tcPr>
          <w:p w14:paraId="0F0C30A5">
            <w:pPr>
              <w:pStyle w:val="10"/>
            </w:pPr>
            <w:r>
              <w:t>项目支出</w:t>
            </w:r>
          </w:p>
        </w:tc>
      </w:tr>
      <w:tr w14:paraId="078C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8F214"/>
        </w:tc>
        <w:tc>
          <w:tcPr>
            <w:tcW w:w="1191" w:type="dxa"/>
            <w:vAlign w:val="center"/>
          </w:tcPr>
          <w:p w14:paraId="63AAC46C">
            <w:pPr>
              <w:pStyle w:val="10"/>
            </w:pPr>
            <w:r>
              <w:t>科目编码</w:t>
            </w:r>
          </w:p>
        </w:tc>
        <w:tc>
          <w:tcPr>
            <w:tcW w:w="4535" w:type="dxa"/>
            <w:vAlign w:val="center"/>
          </w:tcPr>
          <w:p w14:paraId="1ED71E78">
            <w:pPr>
              <w:pStyle w:val="10"/>
            </w:pPr>
            <w:r>
              <w:t>科目名称</w:t>
            </w:r>
          </w:p>
        </w:tc>
        <w:tc>
          <w:tcPr>
            <w:tcW w:w="2551" w:type="dxa"/>
            <w:vMerge w:val="continue"/>
          </w:tcPr>
          <w:p w14:paraId="063B80D8"/>
        </w:tc>
        <w:tc>
          <w:tcPr>
            <w:tcW w:w="2551" w:type="dxa"/>
            <w:vMerge w:val="continue"/>
          </w:tcPr>
          <w:p w14:paraId="562FF2C9"/>
        </w:tc>
        <w:tc>
          <w:tcPr>
            <w:tcW w:w="2551" w:type="dxa"/>
            <w:vMerge w:val="continue"/>
          </w:tcPr>
          <w:p w14:paraId="2C9D3776"/>
        </w:tc>
      </w:tr>
      <w:tr w14:paraId="4251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72101">
            <w:pPr>
              <w:pStyle w:val="10"/>
            </w:pPr>
            <w:r>
              <w:t>栏次</w:t>
            </w:r>
          </w:p>
        </w:tc>
        <w:tc>
          <w:tcPr>
            <w:tcW w:w="1191" w:type="dxa"/>
            <w:vAlign w:val="center"/>
          </w:tcPr>
          <w:p w14:paraId="2E2BC34F">
            <w:pPr>
              <w:pStyle w:val="10"/>
            </w:pPr>
            <w:r>
              <w:t>1</w:t>
            </w:r>
          </w:p>
        </w:tc>
        <w:tc>
          <w:tcPr>
            <w:tcW w:w="4535" w:type="dxa"/>
            <w:vAlign w:val="center"/>
          </w:tcPr>
          <w:p w14:paraId="54BD1664">
            <w:pPr>
              <w:pStyle w:val="10"/>
            </w:pPr>
            <w:r>
              <w:t>2</w:t>
            </w:r>
          </w:p>
        </w:tc>
        <w:tc>
          <w:tcPr>
            <w:tcW w:w="2551" w:type="dxa"/>
            <w:vAlign w:val="center"/>
          </w:tcPr>
          <w:p w14:paraId="04B08EAA">
            <w:pPr>
              <w:pStyle w:val="10"/>
            </w:pPr>
            <w:r>
              <w:t>3</w:t>
            </w:r>
          </w:p>
        </w:tc>
        <w:tc>
          <w:tcPr>
            <w:tcW w:w="2551" w:type="dxa"/>
            <w:vAlign w:val="center"/>
          </w:tcPr>
          <w:p w14:paraId="013E5DC7">
            <w:pPr>
              <w:pStyle w:val="10"/>
            </w:pPr>
            <w:r>
              <w:t>4</w:t>
            </w:r>
          </w:p>
        </w:tc>
        <w:tc>
          <w:tcPr>
            <w:tcW w:w="2551" w:type="dxa"/>
            <w:vAlign w:val="center"/>
          </w:tcPr>
          <w:p w14:paraId="2BF336D0">
            <w:pPr>
              <w:pStyle w:val="10"/>
            </w:pPr>
            <w:r>
              <w:t>5</w:t>
            </w:r>
          </w:p>
        </w:tc>
      </w:tr>
      <w:tr w14:paraId="23A7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4FBA0">
            <w:pPr>
              <w:pStyle w:val="13"/>
            </w:pPr>
          </w:p>
        </w:tc>
        <w:tc>
          <w:tcPr>
            <w:tcW w:w="1191" w:type="dxa"/>
            <w:vAlign w:val="center"/>
          </w:tcPr>
          <w:p w14:paraId="39BCC161">
            <w:pPr>
              <w:pStyle w:val="12"/>
            </w:pPr>
          </w:p>
        </w:tc>
        <w:tc>
          <w:tcPr>
            <w:tcW w:w="4535" w:type="dxa"/>
            <w:vAlign w:val="center"/>
          </w:tcPr>
          <w:p w14:paraId="1D360811">
            <w:pPr>
              <w:pStyle w:val="12"/>
            </w:pPr>
          </w:p>
        </w:tc>
        <w:tc>
          <w:tcPr>
            <w:tcW w:w="2551" w:type="dxa"/>
            <w:vAlign w:val="center"/>
          </w:tcPr>
          <w:p w14:paraId="2B2B9238">
            <w:pPr>
              <w:pStyle w:val="11"/>
            </w:pPr>
          </w:p>
        </w:tc>
        <w:tc>
          <w:tcPr>
            <w:tcW w:w="2551" w:type="dxa"/>
            <w:vAlign w:val="center"/>
          </w:tcPr>
          <w:p w14:paraId="7B07D1F3">
            <w:pPr>
              <w:pStyle w:val="11"/>
            </w:pPr>
          </w:p>
        </w:tc>
        <w:tc>
          <w:tcPr>
            <w:tcW w:w="2551" w:type="dxa"/>
            <w:vAlign w:val="center"/>
          </w:tcPr>
          <w:p w14:paraId="1D0CB8EA">
            <w:pPr>
              <w:pStyle w:val="11"/>
            </w:pPr>
          </w:p>
        </w:tc>
      </w:tr>
    </w:tbl>
    <w:p w14:paraId="5FFD2A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DAE6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F6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26ADA9">
            <w:pPr>
              <w:pStyle w:val="9"/>
            </w:pPr>
            <w:r>
              <w:t>360017隆尧县魏庄校区</w:t>
            </w:r>
          </w:p>
        </w:tc>
        <w:tc>
          <w:tcPr>
            <w:tcW w:w="2551" w:type="dxa"/>
            <w:tcBorders>
              <w:top w:val="single" w:color="FFFFFF" w:sz="6" w:space="0"/>
              <w:left w:val="single" w:color="FFFFFF" w:sz="6" w:space="0"/>
              <w:right w:val="single" w:color="FFFFFF" w:sz="6" w:space="0"/>
            </w:tcBorders>
            <w:vAlign w:val="center"/>
          </w:tcPr>
          <w:p w14:paraId="1DB59A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99621A">
            <w:pPr>
              <w:pStyle w:val="7"/>
            </w:pPr>
            <w:r>
              <w:t>单位：万元</w:t>
            </w:r>
          </w:p>
        </w:tc>
      </w:tr>
      <w:tr w14:paraId="4269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E5521">
            <w:pPr>
              <w:pStyle w:val="10"/>
            </w:pPr>
            <w:r>
              <w:t>序号</w:t>
            </w:r>
          </w:p>
        </w:tc>
        <w:tc>
          <w:tcPr>
            <w:tcW w:w="5726" w:type="dxa"/>
            <w:gridSpan w:val="2"/>
            <w:vAlign w:val="center"/>
          </w:tcPr>
          <w:p w14:paraId="2C0465E3">
            <w:pPr>
              <w:pStyle w:val="10"/>
            </w:pPr>
            <w:r>
              <w:t>功能分类科目</w:t>
            </w:r>
          </w:p>
        </w:tc>
        <w:tc>
          <w:tcPr>
            <w:tcW w:w="2551" w:type="dxa"/>
            <w:vMerge w:val="restart"/>
            <w:vAlign w:val="center"/>
          </w:tcPr>
          <w:p w14:paraId="3F4426A6">
            <w:pPr>
              <w:pStyle w:val="10"/>
            </w:pPr>
            <w:r>
              <w:t>合计</w:t>
            </w:r>
          </w:p>
        </w:tc>
        <w:tc>
          <w:tcPr>
            <w:tcW w:w="2551" w:type="dxa"/>
            <w:vMerge w:val="restart"/>
            <w:vAlign w:val="center"/>
          </w:tcPr>
          <w:p w14:paraId="62F576D4">
            <w:pPr>
              <w:pStyle w:val="10"/>
            </w:pPr>
            <w:r>
              <w:t>基本支出</w:t>
            </w:r>
          </w:p>
        </w:tc>
        <w:tc>
          <w:tcPr>
            <w:tcW w:w="2551" w:type="dxa"/>
            <w:vMerge w:val="restart"/>
            <w:vAlign w:val="center"/>
          </w:tcPr>
          <w:p w14:paraId="3693C4E9">
            <w:pPr>
              <w:pStyle w:val="10"/>
            </w:pPr>
            <w:r>
              <w:t>项目支出</w:t>
            </w:r>
          </w:p>
        </w:tc>
      </w:tr>
      <w:tr w14:paraId="2CBB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060BE"/>
        </w:tc>
        <w:tc>
          <w:tcPr>
            <w:tcW w:w="1191" w:type="dxa"/>
            <w:vAlign w:val="center"/>
          </w:tcPr>
          <w:p w14:paraId="4723C473">
            <w:pPr>
              <w:pStyle w:val="10"/>
            </w:pPr>
            <w:r>
              <w:t>科目编码</w:t>
            </w:r>
          </w:p>
        </w:tc>
        <w:tc>
          <w:tcPr>
            <w:tcW w:w="4535" w:type="dxa"/>
            <w:vAlign w:val="center"/>
          </w:tcPr>
          <w:p w14:paraId="06D7F7EE">
            <w:pPr>
              <w:pStyle w:val="10"/>
            </w:pPr>
            <w:r>
              <w:t>科目名称</w:t>
            </w:r>
          </w:p>
        </w:tc>
        <w:tc>
          <w:tcPr>
            <w:tcW w:w="2551" w:type="dxa"/>
            <w:vMerge w:val="continue"/>
          </w:tcPr>
          <w:p w14:paraId="3D77E702"/>
        </w:tc>
        <w:tc>
          <w:tcPr>
            <w:tcW w:w="2551" w:type="dxa"/>
            <w:vMerge w:val="continue"/>
          </w:tcPr>
          <w:p w14:paraId="1923D75C"/>
        </w:tc>
        <w:tc>
          <w:tcPr>
            <w:tcW w:w="2551" w:type="dxa"/>
            <w:vMerge w:val="continue"/>
          </w:tcPr>
          <w:p w14:paraId="48158809"/>
        </w:tc>
      </w:tr>
      <w:tr w14:paraId="4E8B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1C227">
            <w:pPr>
              <w:pStyle w:val="10"/>
            </w:pPr>
            <w:r>
              <w:t>栏次</w:t>
            </w:r>
          </w:p>
        </w:tc>
        <w:tc>
          <w:tcPr>
            <w:tcW w:w="1191" w:type="dxa"/>
            <w:vAlign w:val="center"/>
          </w:tcPr>
          <w:p w14:paraId="358DAE04">
            <w:pPr>
              <w:pStyle w:val="10"/>
            </w:pPr>
            <w:r>
              <w:t>1</w:t>
            </w:r>
          </w:p>
        </w:tc>
        <w:tc>
          <w:tcPr>
            <w:tcW w:w="4535" w:type="dxa"/>
            <w:vAlign w:val="center"/>
          </w:tcPr>
          <w:p w14:paraId="7AA8E2CA">
            <w:pPr>
              <w:pStyle w:val="10"/>
            </w:pPr>
            <w:r>
              <w:t>2</w:t>
            </w:r>
          </w:p>
        </w:tc>
        <w:tc>
          <w:tcPr>
            <w:tcW w:w="2551" w:type="dxa"/>
            <w:vAlign w:val="center"/>
          </w:tcPr>
          <w:p w14:paraId="4DAA7E27">
            <w:pPr>
              <w:pStyle w:val="10"/>
            </w:pPr>
            <w:r>
              <w:t>3</w:t>
            </w:r>
          </w:p>
        </w:tc>
        <w:tc>
          <w:tcPr>
            <w:tcW w:w="2551" w:type="dxa"/>
            <w:vAlign w:val="center"/>
          </w:tcPr>
          <w:p w14:paraId="345B7D1F">
            <w:pPr>
              <w:pStyle w:val="10"/>
            </w:pPr>
            <w:r>
              <w:t>4</w:t>
            </w:r>
          </w:p>
        </w:tc>
        <w:tc>
          <w:tcPr>
            <w:tcW w:w="2551" w:type="dxa"/>
            <w:vAlign w:val="center"/>
          </w:tcPr>
          <w:p w14:paraId="731EAEE2">
            <w:pPr>
              <w:pStyle w:val="10"/>
            </w:pPr>
            <w:r>
              <w:t>5</w:t>
            </w:r>
          </w:p>
        </w:tc>
      </w:tr>
      <w:tr w14:paraId="4B7F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B462C">
            <w:pPr>
              <w:pStyle w:val="13"/>
            </w:pPr>
          </w:p>
        </w:tc>
        <w:tc>
          <w:tcPr>
            <w:tcW w:w="1191" w:type="dxa"/>
            <w:vAlign w:val="center"/>
          </w:tcPr>
          <w:p w14:paraId="34F53130">
            <w:pPr>
              <w:pStyle w:val="12"/>
            </w:pPr>
          </w:p>
        </w:tc>
        <w:tc>
          <w:tcPr>
            <w:tcW w:w="4535" w:type="dxa"/>
            <w:vAlign w:val="center"/>
          </w:tcPr>
          <w:p w14:paraId="69C6982C">
            <w:pPr>
              <w:pStyle w:val="12"/>
            </w:pPr>
          </w:p>
        </w:tc>
        <w:tc>
          <w:tcPr>
            <w:tcW w:w="2551" w:type="dxa"/>
            <w:vAlign w:val="center"/>
          </w:tcPr>
          <w:p w14:paraId="72B8E09B">
            <w:pPr>
              <w:pStyle w:val="11"/>
            </w:pPr>
          </w:p>
        </w:tc>
        <w:tc>
          <w:tcPr>
            <w:tcW w:w="2551" w:type="dxa"/>
            <w:vAlign w:val="center"/>
          </w:tcPr>
          <w:p w14:paraId="54EFE840">
            <w:pPr>
              <w:pStyle w:val="11"/>
            </w:pPr>
          </w:p>
        </w:tc>
        <w:tc>
          <w:tcPr>
            <w:tcW w:w="2551" w:type="dxa"/>
            <w:vAlign w:val="center"/>
          </w:tcPr>
          <w:p w14:paraId="345BCB5C">
            <w:pPr>
              <w:pStyle w:val="11"/>
            </w:pPr>
          </w:p>
        </w:tc>
      </w:tr>
    </w:tbl>
    <w:p w14:paraId="3D1C6C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5AEF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87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12D708">
            <w:pPr>
              <w:pStyle w:val="9"/>
            </w:pPr>
            <w:r>
              <w:t>360017隆尧县魏庄校区</w:t>
            </w:r>
          </w:p>
        </w:tc>
        <w:tc>
          <w:tcPr>
            <w:tcW w:w="2381" w:type="dxa"/>
            <w:tcBorders>
              <w:top w:val="single" w:color="FFFFFF" w:sz="6" w:space="0"/>
              <w:left w:val="single" w:color="FFFFFF" w:sz="6" w:space="0"/>
              <w:right w:val="single" w:color="FFFFFF" w:sz="6" w:space="0"/>
            </w:tcBorders>
            <w:vAlign w:val="center"/>
          </w:tcPr>
          <w:p w14:paraId="5425284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EB63C66">
            <w:pPr>
              <w:pStyle w:val="7"/>
            </w:pPr>
            <w:r>
              <w:t>单位：万元</w:t>
            </w:r>
          </w:p>
        </w:tc>
      </w:tr>
      <w:tr w14:paraId="2978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2289F">
            <w:pPr>
              <w:pStyle w:val="10"/>
            </w:pPr>
            <w:r>
              <w:t>序号</w:t>
            </w:r>
          </w:p>
        </w:tc>
        <w:tc>
          <w:tcPr>
            <w:tcW w:w="3798" w:type="dxa"/>
            <w:vMerge w:val="restart"/>
            <w:vAlign w:val="center"/>
          </w:tcPr>
          <w:p w14:paraId="45562B0C">
            <w:pPr>
              <w:pStyle w:val="10"/>
            </w:pPr>
            <w:r>
              <w:t>项  目</w:t>
            </w:r>
          </w:p>
        </w:tc>
        <w:tc>
          <w:tcPr>
            <w:tcW w:w="9524" w:type="dxa"/>
            <w:gridSpan w:val="4"/>
            <w:vAlign w:val="center"/>
          </w:tcPr>
          <w:p w14:paraId="1ED4D6B2">
            <w:pPr>
              <w:pStyle w:val="10"/>
            </w:pPr>
            <w:r>
              <w:t>资 金 性 质</w:t>
            </w:r>
          </w:p>
        </w:tc>
      </w:tr>
      <w:tr w14:paraId="6CB0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7DED9D"/>
        </w:tc>
        <w:tc>
          <w:tcPr>
            <w:tcW w:w="3798" w:type="dxa"/>
            <w:vMerge w:val="continue"/>
          </w:tcPr>
          <w:p w14:paraId="2A7CF756"/>
        </w:tc>
        <w:tc>
          <w:tcPr>
            <w:tcW w:w="2381" w:type="dxa"/>
            <w:vAlign w:val="center"/>
          </w:tcPr>
          <w:p w14:paraId="3676E68F">
            <w:pPr>
              <w:pStyle w:val="10"/>
            </w:pPr>
            <w:r>
              <w:t>合计</w:t>
            </w:r>
          </w:p>
        </w:tc>
        <w:tc>
          <w:tcPr>
            <w:tcW w:w="2381" w:type="dxa"/>
            <w:vAlign w:val="center"/>
          </w:tcPr>
          <w:p w14:paraId="5CECB0D2">
            <w:pPr>
              <w:pStyle w:val="10"/>
            </w:pPr>
            <w:r>
              <w:t>一般公共预算              财政拨款</w:t>
            </w:r>
          </w:p>
        </w:tc>
        <w:tc>
          <w:tcPr>
            <w:tcW w:w="2381" w:type="dxa"/>
            <w:vAlign w:val="center"/>
          </w:tcPr>
          <w:p w14:paraId="6035C30B">
            <w:pPr>
              <w:pStyle w:val="10"/>
            </w:pPr>
            <w:r>
              <w:t>政府性基金                  预算拨款</w:t>
            </w:r>
          </w:p>
        </w:tc>
        <w:tc>
          <w:tcPr>
            <w:tcW w:w="2381" w:type="dxa"/>
            <w:vAlign w:val="center"/>
          </w:tcPr>
          <w:p w14:paraId="76C6105F">
            <w:pPr>
              <w:pStyle w:val="10"/>
            </w:pPr>
            <w:r>
              <w:t>国有资本经营              预算财政拨款</w:t>
            </w:r>
          </w:p>
        </w:tc>
      </w:tr>
      <w:tr w14:paraId="0610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AF55E4">
            <w:pPr>
              <w:pStyle w:val="10"/>
            </w:pPr>
            <w:r>
              <w:t>栏次</w:t>
            </w:r>
          </w:p>
        </w:tc>
        <w:tc>
          <w:tcPr>
            <w:tcW w:w="3798" w:type="dxa"/>
            <w:vAlign w:val="center"/>
          </w:tcPr>
          <w:p w14:paraId="29F08647">
            <w:pPr>
              <w:pStyle w:val="10"/>
            </w:pPr>
            <w:r>
              <w:t>1</w:t>
            </w:r>
          </w:p>
        </w:tc>
        <w:tc>
          <w:tcPr>
            <w:tcW w:w="2381" w:type="dxa"/>
            <w:vAlign w:val="center"/>
          </w:tcPr>
          <w:p w14:paraId="6F128499">
            <w:pPr>
              <w:pStyle w:val="10"/>
            </w:pPr>
            <w:r>
              <w:t>2</w:t>
            </w:r>
          </w:p>
        </w:tc>
        <w:tc>
          <w:tcPr>
            <w:tcW w:w="2381" w:type="dxa"/>
            <w:vAlign w:val="center"/>
          </w:tcPr>
          <w:p w14:paraId="4CDC5614">
            <w:pPr>
              <w:pStyle w:val="10"/>
            </w:pPr>
            <w:r>
              <w:t>3</w:t>
            </w:r>
          </w:p>
        </w:tc>
        <w:tc>
          <w:tcPr>
            <w:tcW w:w="2381" w:type="dxa"/>
            <w:vAlign w:val="center"/>
          </w:tcPr>
          <w:p w14:paraId="61015E80">
            <w:pPr>
              <w:pStyle w:val="10"/>
            </w:pPr>
            <w:r>
              <w:t>4</w:t>
            </w:r>
          </w:p>
        </w:tc>
        <w:tc>
          <w:tcPr>
            <w:tcW w:w="2381" w:type="dxa"/>
            <w:vAlign w:val="center"/>
          </w:tcPr>
          <w:p w14:paraId="602C64B8">
            <w:pPr>
              <w:pStyle w:val="10"/>
            </w:pPr>
            <w:r>
              <w:t>5</w:t>
            </w:r>
          </w:p>
        </w:tc>
      </w:tr>
      <w:tr w14:paraId="6277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06AC9D">
            <w:pPr>
              <w:pStyle w:val="13"/>
            </w:pPr>
          </w:p>
        </w:tc>
        <w:tc>
          <w:tcPr>
            <w:tcW w:w="3798" w:type="dxa"/>
            <w:vAlign w:val="center"/>
          </w:tcPr>
          <w:p w14:paraId="4F7DA747">
            <w:pPr>
              <w:pStyle w:val="12"/>
            </w:pPr>
          </w:p>
        </w:tc>
        <w:tc>
          <w:tcPr>
            <w:tcW w:w="2381" w:type="dxa"/>
            <w:vAlign w:val="center"/>
          </w:tcPr>
          <w:p w14:paraId="711EB948">
            <w:pPr>
              <w:pStyle w:val="11"/>
            </w:pPr>
          </w:p>
        </w:tc>
        <w:tc>
          <w:tcPr>
            <w:tcW w:w="2381" w:type="dxa"/>
            <w:vAlign w:val="center"/>
          </w:tcPr>
          <w:p w14:paraId="465DF354">
            <w:pPr>
              <w:pStyle w:val="11"/>
            </w:pPr>
          </w:p>
        </w:tc>
        <w:tc>
          <w:tcPr>
            <w:tcW w:w="2381" w:type="dxa"/>
            <w:vAlign w:val="center"/>
          </w:tcPr>
          <w:p w14:paraId="1293316D">
            <w:pPr>
              <w:pStyle w:val="11"/>
            </w:pPr>
          </w:p>
        </w:tc>
        <w:tc>
          <w:tcPr>
            <w:tcW w:w="2381" w:type="dxa"/>
            <w:vAlign w:val="center"/>
          </w:tcPr>
          <w:p w14:paraId="186FC829">
            <w:pPr>
              <w:pStyle w:val="11"/>
            </w:pPr>
          </w:p>
        </w:tc>
      </w:tr>
    </w:tbl>
    <w:p w14:paraId="5EA82DF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11221F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隆尧县魏庄校区2026年单位预算信息公开情况说明</w:t>
      </w:r>
    </w:p>
    <w:p w14:paraId="7BFBE0D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地方预决算公开操作规程》和《关于进一步推进预算公开工作的实施意见》规定，现将隆尧县魏庄校区2026年单位预算公开如下：</w:t>
      </w:r>
    </w:p>
    <w:p w14:paraId="28752C3B">
      <w:pPr>
        <w:spacing w:before="10" w:after="10" w:line="240" w:lineRule="auto"/>
        <w:ind w:firstLine="640"/>
        <w:jc w:val="left"/>
        <w:outlineLvl w:val="5"/>
      </w:pPr>
      <w:r>
        <w:rPr>
          <w:rFonts w:ascii="黑体" w:hAnsi="黑体" w:eastAsia="黑体" w:cs="黑体"/>
          <w:color w:val="000000"/>
          <w:sz w:val="32"/>
        </w:rPr>
        <w:t>一、单位职责及机构设置情况</w:t>
      </w:r>
    </w:p>
    <w:p w14:paraId="63D8EE5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2016EF">
      <w:pPr>
        <w:pStyle w:val="17"/>
        <w:rPr>
          <w:rFonts w:hint="eastAsia"/>
        </w:rPr>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w:t>
      </w:r>
    </w:p>
    <w:p w14:paraId="00EDC0BF">
      <w:pPr>
        <w:pStyle w:val="17"/>
      </w:pPr>
      <w:r>
        <w:rPr>
          <w:rFonts w:hint="eastAsia"/>
        </w:rPr>
        <w:t>隆尧县魏庄校区事业编制147名，其中，校长1名</w:t>
      </w:r>
      <w:r>
        <w:rPr>
          <w:rFonts w:hint="eastAsia"/>
          <w:lang w:eastAsia="zh-CN"/>
        </w:rPr>
        <w:t>（</w:t>
      </w:r>
      <w:r>
        <w:rPr>
          <w:rFonts w:hint="eastAsia"/>
        </w:rPr>
        <w:t>正股级</w:t>
      </w:r>
      <w:r>
        <w:rPr>
          <w:rFonts w:hint="eastAsia"/>
          <w:lang w:eastAsia="zh-CN"/>
        </w:rPr>
        <w:t>）</w:t>
      </w:r>
      <w:r>
        <w:rPr>
          <w:rFonts w:hint="eastAsia"/>
        </w:rPr>
        <w:t>，副校长3名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7BF7728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B3ACD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9F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1AFFFF">
            <w:pPr>
              <w:pStyle w:val="10"/>
            </w:pPr>
            <w:r>
              <w:t>单位名称</w:t>
            </w:r>
          </w:p>
        </w:tc>
        <w:tc>
          <w:tcPr>
            <w:tcW w:w="1843" w:type="dxa"/>
            <w:vAlign w:val="center"/>
          </w:tcPr>
          <w:p w14:paraId="40E307C9">
            <w:pPr>
              <w:pStyle w:val="10"/>
            </w:pPr>
            <w:r>
              <w:t>单位性质</w:t>
            </w:r>
          </w:p>
        </w:tc>
        <w:tc>
          <w:tcPr>
            <w:tcW w:w="2126" w:type="dxa"/>
            <w:vAlign w:val="center"/>
          </w:tcPr>
          <w:p w14:paraId="621BD9FA">
            <w:pPr>
              <w:pStyle w:val="10"/>
            </w:pPr>
            <w:r>
              <w:t>单位规格</w:t>
            </w:r>
          </w:p>
        </w:tc>
        <w:tc>
          <w:tcPr>
            <w:tcW w:w="3827" w:type="dxa"/>
            <w:vAlign w:val="center"/>
          </w:tcPr>
          <w:p w14:paraId="53F29EF7">
            <w:pPr>
              <w:pStyle w:val="10"/>
            </w:pPr>
            <w:r>
              <w:t>经费保障形式</w:t>
            </w:r>
          </w:p>
        </w:tc>
      </w:tr>
      <w:tr w14:paraId="5B09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89BFEA">
            <w:pPr>
              <w:pStyle w:val="12"/>
            </w:pPr>
            <w:r>
              <w:t>隆尧县魏庄校区</w:t>
            </w:r>
          </w:p>
        </w:tc>
        <w:tc>
          <w:tcPr>
            <w:tcW w:w="1843" w:type="dxa"/>
            <w:vAlign w:val="center"/>
          </w:tcPr>
          <w:p w14:paraId="6731545A">
            <w:pPr>
              <w:pStyle w:val="13"/>
            </w:pPr>
            <w:r>
              <w:t>事业</w:t>
            </w:r>
          </w:p>
        </w:tc>
        <w:tc>
          <w:tcPr>
            <w:tcW w:w="2126" w:type="dxa"/>
            <w:vAlign w:val="center"/>
          </w:tcPr>
          <w:p w14:paraId="0BB37151">
            <w:pPr>
              <w:pStyle w:val="13"/>
            </w:pPr>
            <w:r>
              <w:t>股级</w:t>
            </w:r>
          </w:p>
        </w:tc>
        <w:tc>
          <w:tcPr>
            <w:tcW w:w="3827" w:type="dxa"/>
            <w:vAlign w:val="center"/>
          </w:tcPr>
          <w:p w14:paraId="3F2C4940">
            <w:pPr>
              <w:pStyle w:val="13"/>
            </w:pPr>
            <w:r>
              <w:t>财政性资金基本保证</w:t>
            </w:r>
          </w:p>
        </w:tc>
      </w:tr>
    </w:tbl>
    <w:p w14:paraId="2CA35FB8">
      <w:pPr>
        <w:spacing w:before="10" w:after="10" w:line="240" w:lineRule="auto"/>
        <w:ind w:firstLine="640"/>
        <w:jc w:val="left"/>
        <w:outlineLvl w:val="5"/>
      </w:pPr>
      <w:r>
        <w:rPr>
          <w:rFonts w:ascii="黑体" w:hAnsi="黑体" w:eastAsia="黑体" w:cs="黑体"/>
          <w:color w:val="000000"/>
          <w:sz w:val="32"/>
        </w:rPr>
        <w:t>二、单位预算安排的总体情况</w:t>
      </w:r>
    </w:p>
    <w:p w14:paraId="016E945B">
      <w:pPr>
        <w:pStyle w:val="18"/>
      </w:pPr>
      <w:r>
        <w:t>按照预算管理有关规定，目前我校单位预算的编制实行综合预算管理，即全部收入和支出都反映的预算中。隆尧县魏庄校区的收支包含在单位预算中。</w:t>
      </w:r>
    </w:p>
    <w:p w14:paraId="02B1D65E">
      <w:pPr>
        <w:pStyle w:val="18"/>
      </w:pPr>
      <w:r>
        <w:t>1、收入说明</w:t>
      </w:r>
    </w:p>
    <w:p w14:paraId="3FD07AFF">
      <w:pPr>
        <w:pStyle w:val="18"/>
      </w:pPr>
      <w:r>
        <w:t>反映本单位当年全部收入。2026年预算收入2483.92万元，其中：一般公共预算收入2483.92万元，基金预算收入0万元，基金预算收入0万元，国有资本经营预算收入0万元，财政专户拨收入0万元，单位资金收入0万元。</w:t>
      </w:r>
    </w:p>
    <w:p w14:paraId="214CF0B5">
      <w:pPr>
        <w:pStyle w:val="18"/>
      </w:pPr>
      <w:r>
        <w:t>2、支出说明</w:t>
      </w:r>
    </w:p>
    <w:p w14:paraId="7739B4AA">
      <w:pPr>
        <w:pStyle w:val="18"/>
      </w:pPr>
      <w:r>
        <w:t>收支预算总表支出栏、基本支出表、项目支出表按经济分类和支出功能分类科目编制，反映隆尧县魏庄校区年度单位预算中支出预算的总体情况。2026年单位支出预算为2483.92万元，其中基本支出2012.72万元、项目支出471.2万元。主要为小学教育2395.13万元，学前教育88.79万元。</w:t>
      </w:r>
    </w:p>
    <w:p w14:paraId="23B7A475">
      <w:pPr>
        <w:pStyle w:val="18"/>
      </w:pPr>
      <w:r>
        <w:t>3、比上年增减情况</w:t>
      </w:r>
    </w:p>
    <w:p w14:paraId="1C702B66">
      <w:pPr>
        <w:pStyle w:val="18"/>
      </w:pPr>
      <w:r>
        <w:t>2026年部门预算收支安排2483.92万元，较2025年预算减少694.52万元，其中基本支出减少135.93万元，项目支出减少558.6万元。</w:t>
      </w:r>
    </w:p>
    <w:p w14:paraId="62637F12">
      <w:pPr>
        <w:pStyle w:val="18"/>
      </w:pPr>
    </w:p>
    <w:p w14:paraId="52A31F3A">
      <w:pPr>
        <w:spacing w:before="10" w:after="10" w:line="240" w:lineRule="auto"/>
        <w:ind w:firstLine="640"/>
        <w:jc w:val="left"/>
        <w:outlineLvl w:val="5"/>
      </w:pPr>
      <w:r>
        <w:rPr>
          <w:rFonts w:ascii="黑体" w:hAnsi="黑体" w:eastAsia="黑体" w:cs="黑体"/>
          <w:color w:val="000000"/>
          <w:sz w:val="32"/>
        </w:rPr>
        <w:t>三、机关运行经费安排情况</w:t>
      </w:r>
    </w:p>
    <w:p w14:paraId="23770764">
      <w:pPr>
        <w:pStyle w:val="19"/>
      </w:pPr>
      <w:r>
        <w:t>我单位按学生安排公用经费，无机关运行经费。</w:t>
      </w:r>
    </w:p>
    <w:p w14:paraId="0118F53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38AD48A">
      <w:pPr>
        <w:pStyle w:val="20"/>
      </w:pPr>
      <w:r>
        <w:t>我单位未安排</w:t>
      </w:r>
      <w:r>
        <w:rPr>
          <w:rFonts w:hint="eastAsia"/>
          <w:lang w:eastAsia="zh-CN"/>
        </w:rPr>
        <w:t>“三公”经费</w:t>
      </w:r>
      <w:r>
        <w:t>。</w:t>
      </w:r>
    </w:p>
    <w:p w14:paraId="3DE076C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60FBBA">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1、冀财教[2023]154号/中央/义教经费/校舍安全保障/魏庄校区东庄头小学维修改造绩效目标表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A8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91C18">
            <w:pPr>
              <w:pStyle w:val="11"/>
            </w:pPr>
            <w:r>
              <w:t>单位：万元</w:t>
            </w:r>
          </w:p>
        </w:tc>
      </w:tr>
      <w:tr w14:paraId="3199A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64490">
            <w:pPr>
              <w:pStyle w:val="10"/>
            </w:pPr>
            <w:r>
              <w:t>项目编码</w:t>
            </w:r>
          </w:p>
        </w:tc>
        <w:tc>
          <w:tcPr>
            <w:tcW w:w="5103" w:type="dxa"/>
            <w:gridSpan w:val="2"/>
            <w:vAlign w:val="center"/>
          </w:tcPr>
          <w:p w14:paraId="6049B408">
            <w:pPr>
              <w:pStyle w:val="12"/>
            </w:pPr>
            <w:r>
              <w:t>13052526P00876210114W</w:t>
            </w:r>
          </w:p>
        </w:tc>
        <w:tc>
          <w:tcPr>
            <w:tcW w:w="2835" w:type="dxa"/>
            <w:vAlign w:val="center"/>
          </w:tcPr>
          <w:p w14:paraId="64DFEBC8">
            <w:pPr>
              <w:pStyle w:val="10"/>
            </w:pPr>
            <w:r>
              <w:t>项目名称</w:t>
            </w:r>
          </w:p>
        </w:tc>
        <w:tc>
          <w:tcPr>
            <w:tcW w:w="6095" w:type="dxa"/>
            <w:gridSpan w:val="3"/>
            <w:vAlign w:val="center"/>
          </w:tcPr>
          <w:p w14:paraId="06D5AC67">
            <w:pPr>
              <w:pStyle w:val="12"/>
            </w:pPr>
            <w:r>
              <w:t>冀财教[2023]154号/中央/义教经费/校舍安全保障/魏庄校区东庄头小学维修改造</w:t>
            </w:r>
          </w:p>
        </w:tc>
      </w:tr>
      <w:tr w14:paraId="4A8E4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36B0A">
            <w:pPr>
              <w:pStyle w:val="10"/>
            </w:pPr>
            <w:r>
              <w:t>预算规模及资金用途</w:t>
            </w:r>
          </w:p>
        </w:tc>
        <w:tc>
          <w:tcPr>
            <w:tcW w:w="2268" w:type="dxa"/>
            <w:vAlign w:val="center"/>
          </w:tcPr>
          <w:p w14:paraId="7F2587EB">
            <w:pPr>
              <w:pStyle w:val="10"/>
            </w:pPr>
            <w:r>
              <w:t>预算数</w:t>
            </w:r>
          </w:p>
        </w:tc>
        <w:tc>
          <w:tcPr>
            <w:tcW w:w="2835" w:type="dxa"/>
            <w:vAlign w:val="center"/>
          </w:tcPr>
          <w:p w14:paraId="4D7127DB">
            <w:pPr>
              <w:pStyle w:val="12"/>
            </w:pPr>
            <w:r>
              <w:t>33.85</w:t>
            </w:r>
          </w:p>
        </w:tc>
        <w:tc>
          <w:tcPr>
            <w:tcW w:w="2835" w:type="dxa"/>
            <w:vAlign w:val="center"/>
          </w:tcPr>
          <w:p w14:paraId="25868D54">
            <w:pPr>
              <w:pStyle w:val="10"/>
            </w:pPr>
            <w:r>
              <w:t>其中：财政    资金</w:t>
            </w:r>
          </w:p>
        </w:tc>
        <w:tc>
          <w:tcPr>
            <w:tcW w:w="2551" w:type="dxa"/>
            <w:vAlign w:val="center"/>
          </w:tcPr>
          <w:p w14:paraId="1314291A">
            <w:pPr>
              <w:pStyle w:val="12"/>
            </w:pPr>
            <w:r>
              <w:t>33.85</w:t>
            </w:r>
          </w:p>
        </w:tc>
        <w:tc>
          <w:tcPr>
            <w:tcW w:w="2268" w:type="dxa"/>
            <w:vAlign w:val="center"/>
          </w:tcPr>
          <w:p w14:paraId="227C1914">
            <w:pPr>
              <w:pStyle w:val="10"/>
            </w:pPr>
            <w:r>
              <w:t>其他资金</w:t>
            </w:r>
          </w:p>
        </w:tc>
        <w:tc>
          <w:tcPr>
            <w:tcW w:w="1276" w:type="dxa"/>
            <w:vAlign w:val="center"/>
          </w:tcPr>
          <w:p w14:paraId="33432FCF">
            <w:pPr>
              <w:pStyle w:val="12"/>
            </w:pPr>
            <w:r>
              <w:t xml:space="preserve"> </w:t>
            </w:r>
          </w:p>
        </w:tc>
      </w:tr>
      <w:tr w14:paraId="6DB0E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B871F"/>
        </w:tc>
        <w:tc>
          <w:tcPr>
            <w:tcW w:w="14033" w:type="dxa"/>
            <w:gridSpan w:val="6"/>
            <w:vAlign w:val="center"/>
          </w:tcPr>
          <w:p w14:paraId="1A6802EA">
            <w:pPr>
              <w:pStyle w:val="12"/>
            </w:pPr>
            <w:r>
              <w:t>完成东庄头小学维修改造，满足学校正常教学需要。</w:t>
            </w:r>
          </w:p>
        </w:tc>
      </w:tr>
      <w:tr w14:paraId="29EA8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8E61E">
            <w:pPr>
              <w:pStyle w:val="10"/>
            </w:pPr>
            <w:r>
              <w:t>资金支出计划（%）</w:t>
            </w:r>
          </w:p>
        </w:tc>
        <w:tc>
          <w:tcPr>
            <w:tcW w:w="5103" w:type="dxa"/>
            <w:gridSpan w:val="2"/>
            <w:vAlign w:val="center"/>
          </w:tcPr>
          <w:p w14:paraId="4C2120E8">
            <w:pPr>
              <w:pStyle w:val="10"/>
            </w:pPr>
            <w:r>
              <w:t>3月底</w:t>
            </w:r>
          </w:p>
        </w:tc>
        <w:tc>
          <w:tcPr>
            <w:tcW w:w="2835" w:type="dxa"/>
            <w:vAlign w:val="center"/>
          </w:tcPr>
          <w:p w14:paraId="44E0AC3E">
            <w:pPr>
              <w:pStyle w:val="10"/>
            </w:pPr>
            <w:r>
              <w:t>6月底</w:t>
            </w:r>
          </w:p>
        </w:tc>
        <w:tc>
          <w:tcPr>
            <w:tcW w:w="2551" w:type="dxa"/>
            <w:vAlign w:val="center"/>
          </w:tcPr>
          <w:p w14:paraId="6E2CBB75">
            <w:pPr>
              <w:pStyle w:val="10"/>
            </w:pPr>
            <w:r>
              <w:t>10月底</w:t>
            </w:r>
          </w:p>
        </w:tc>
        <w:tc>
          <w:tcPr>
            <w:tcW w:w="3544" w:type="dxa"/>
            <w:gridSpan w:val="2"/>
            <w:vAlign w:val="center"/>
          </w:tcPr>
          <w:p w14:paraId="47A61BA2">
            <w:pPr>
              <w:pStyle w:val="10"/>
            </w:pPr>
            <w:r>
              <w:t>12月底</w:t>
            </w:r>
          </w:p>
        </w:tc>
      </w:tr>
      <w:tr w14:paraId="1F99A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F9BEC"/>
        </w:tc>
        <w:tc>
          <w:tcPr>
            <w:tcW w:w="5103" w:type="dxa"/>
            <w:gridSpan w:val="2"/>
            <w:vAlign w:val="center"/>
          </w:tcPr>
          <w:p w14:paraId="180DDDF1">
            <w:pPr>
              <w:pStyle w:val="13"/>
            </w:pPr>
            <w:r>
              <w:t xml:space="preserve"> </w:t>
            </w:r>
          </w:p>
        </w:tc>
        <w:tc>
          <w:tcPr>
            <w:tcW w:w="2835" w:type="dxa"/>
            <w:vAlign w:val="center"/>
          </w:tcPr>
          <w:p w14:paraId="2CE3B4A0">
            <w:pPr>
              <w:pStyle w:val="13"/>
            </w:pPr>
            <w:r>
              <w:t xml:space="preserve"> </w:t>
            </w:r>
          </w:p>
        </w:tc>
        <w:tc>
          <w:tcPr>
            <w:tcW w:w="2551" w:type="dxa"/>
            <w:vAlign w:val="center"/>
          </w:tcPr>
          <w:p w14:paraId="1FFB25AA">
            <w:pPr>
              <w:pStyle w:val="13"/>
            </w:pPr>
            <w:r>
              <w:t>100%</w:t>
            </w:r>
          </w:p>
        </w:tc>
        <w:tc>
          <w:tcPr>
            <w:tcW w:w="3544" w:type="dxa"/>
            <w:gridSpan w:val="2"/>
            <w:vAlign w:val="center"/>
          </w:tcPr>
          <w:p w14:paraId="56E36C48">
            <w:pPr>
              <w:pStyle w:val="13"/>
            </w:pPr>
            <w:r>
              <w:t>100%</w:t>
            </w:r>
          </w:p>
        </w:tc>
      </w:tr>
      <w:tr w14:paraId="3CAD0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4712D">
            <w:pPr>
              <w:pStyle w:val="10"/>
            </w:pPr>
            <w:r>
              <w:t>绩效目标</w:t>
            </w:r>
          </w:p>
        </w:tc>
        <w:tc>
          <w:tcPr>
            <w:tcW w:w="14033" w:type="dxa"/>
            <w:gridSpan w:val="6"/>
            <w:vAlign w:val="center"/>
          </w:tcPr>
          <w:p w14:paraId="7477B83D">
            <w:pPr>
              <w:pStyle w:val="12"/>
            </w:pPr>
            <w:r>
              <w:t>1.完成东庄头小学维修改造，满足学校正常教学需要。</w:t>
            </w:r>
          </w:p>
          <w:p w14:paraId="70DB4853">
            <w:pPr>
              <w:pStyle w:val="12"/>
            </w:pPr>
            <w:r>
              <w:t>2.按规定拨付专项资金，资金支付率达到100%。</w:t>
            </w:r>
          </w:p>
        </w:tc>
      </w:tr>
    </w:tbl>
    <w:p w14:paraId="5BE15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5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E2D77">
            <w:pPr>
              <w:pStyle w:val="10"/>
            </w:pPr>
            <w:r>
              <w:t>一级指标</w:t>
            </w:r>
          </w:p>
        </w:tc>
        <w:tc>
          <w:tcPr>
            <w:tcW w:w="2268" w:type="dxa"/>
            <w:vAlign w:val="center"/>
          </w:tcPr>
          <w:p w14:paraId="7A1A5792">
            <w:pPr>
              <w:pStyle w:val="10"/>
            </w:pPr>
            <w:r>
              <w:t>二级指标</w:t>
            </w:r>
          </w:p>
        </w:tc>
        <w:tc>
          <w:tcPr>
            <w:tcW w:w="2835" w:type="dxa"/>
            <w:vAlign w:val="center"/>
          </w:tcPr>
          <w:p w14:paraId="69B8A9D9">
            <w:pPr>
              <w:pStyle w:val="10"/>
            </w:pPr>
            <w:r>
              <w:t>三级指标</w:t>
            </w:r>
          </w:p>
        </w:tc>
        <w:tc>
          <w:tcPr>
            <w:tcW w:w="5386" w:type="dxa"/>
            <w:vAlign w:val="center"/>
          </w:tcPr>
          <w:p w14:paraId="269D22AC">
            <w:pPr>
              <w:pStyle w:val="10"/>
            </w:pPr>
            <w:r>
              <w:t>绩效指标描述</w:t>
            </w:r>
          </w:p>
        </w:tc>
        <w:tc>
          <w:tcPr>
            <w:tcW w:w="2268" w:type="dxa"/>
            <w:vAlign w:val="center"/>
          </w:tcPr>
          <w:p w14:paraId="42CC25F6">
            <w:pPr>
              <w:pStyle w:val="10"/>
            </w:pPr>
            <w:r>
              <w:t>指标值</w:t>
            </w:r>
          </w:p>
        </w:tc>
        <w:tc>
          <w:tcPr>
            <w:tcW w:w="1276" w:type="dxa"/>
            <w:vAlign w:val="center"/>
          </w:tcPr>
          <w:p w14:paraId="3839BDA0">
            <w:pPr>
              <w:pStyle w:val="10"/>
            </w:pPr>
            <w:r>
              <w:t>指标值确定依据</w:t>
            </w:r>
          </w:p>
        </w:tc>
      </w:tr>
      <w:tr w14:paraId="2D2B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C1EFC">
            <w:pPr>
              <w:pStyle w:val="13"/>
            </w:pPr>
            <w:r>
              <w:t>产出指标</w:t>
            </w:r>
          </w:p>
        </w:tc>
        <w:tc>
          <w:tcPr>
            <w:tcW w:w="2268" w:type="dxa"/>
            <w:vAlign w:val="center"/>
          </w:tcPr>
          <w:p w14:paraId="37129B53">
            <w:pPr>
              <w:pStyle w:val="12"/>
            </w:pPr>
            <w:r>
              <w:t>数量指标</w:t>
            </w:r>
          </w:p>
        </w:tc>
        <w:tc>
          <w:tcPr>
            <w:tcW w:w="2835" w:type="dxa"/>
            <w:vAlign w:val="center"/>
          </w:tcPr>
          <w:p w14:paraId="38136068">
            <w:pPr>
              <w:pStyle w:val="12"/>
            </w:pPr>
            <w:r>
              <w:t>学校维修改造</w:t>
            </w:r>
          </w:p>
        </w:tc>
        <w:tc>
          <w:tcPr>
            <w:tcW w:w="5386" w:type="dxa"/>
            <w:vAlign w:val="center"/>
          </w:tcPr>
          <w:p w14:paraId="6D66548D">
            <w:pPr>
              <w:pStyle w:val="12"/>
            </w:pPr>
            <w:r>
              <w:t>学校维修改造面积</w:t>
            </w:r>
          </w:p>
        </w:tc>
        <w:tc>
          <w:tcPr>
            <w:tcW w:w="2268" w:type="dxa"/>
            <w:vAlign w:val="center"/>
          </w:tcPr>
          <w:p w14:paraId="2227B063">
            <w:pPr>
              <w:pStyle w:val="12"/>
            </w:pPr>
            <w:r>
              <w:t>≥5242</w:t>
            </w:r>
            <w:r>
              <w:rPr>
                <w:rFonts w:hint="eastAsia"/>
                <w:lang w:eastAsia="zh-CN"/>
              </w:rPr>
              <w:t>平方</w:t>
            </w:r>
            <w:r>
              <w:t>米</w:t>
            </w:r>
          </w:p>
        </w:tc>
        <w:tc>
          <w:tcPr>
            <w:tcW w:w="1276" w:type="dxa"/>
            <w:vAlign w:val="center"/>
          </w:tcPr>
          <w:p w14:paraId="54DB7621">
            <w:pPr>
              <w:pStyle w:val="12"/>
            </w:pPr>
            <w:r>
              <w:t>项目规划</w:t>
            </w:r>
          </w:p>
        </w:tc>
      </w:tr>
      <w:tr w14:paraId="18EF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3330E"/>
        </w:tc>
        <w:tc>
          <w:tcPr>
            <w:tcW w:w="2268" w:type="dxa"/>
            <w:vAlign w:val="center"/>
          </w:tcPr>
          <w:p w14:paraId="7FB731CD">
            <w:pPr>
              <w:pStyle w:val="12"/>
            </w:pPr>
            <w:r>
              <w:t>质量指标</w:t>
            </w:r>
          </w:p>
        </w:tc>
        <w:tc>
          <w:tcPr>
            <w:tcW w:w="2835" w:type="dxa"/>
            <w:vAlign w:val="center"/>
          </w:tcPr>
          <w:p w14:paraId="34B41EAD">
            <w:pPr>
              <w:pStyle w:val="12"/>
            </w:pPr>
            <w:r>
              <w:t>资金支付率</w:t>
            </w:r>
          </w:p>
        </w:tc>
        <w:tc>
          <w:tcPr>
            <w:tcW w:w="5386" w:type="dxa"/>
            <w:vAlign w:val="center"/>
          </w:tcPr>
          <w:p w14:paraId="6B732EB3">
            <w:pPr>
              <w:pStyle w:val="12"/>
            </w:pPr>
            <w:r>
              <w:t>按照序时进度完成资金支付</w:t>
            </w:r>
          </w:p>
        </w:tc>
        <w:tc>
          <w:tcPr>
            <w:tcW w:w="2268" w:type="dxa"/>
            <w:vAlign w:val="center"/>
          </w:tcPr>
          <w:p w14:paraId="54A12AED">
            <w:pPr>
              <w:pStyle w:val="12"/>
            </w:pPr>
            <w:r>
              <w:t>100%</w:t>
            </w:r>
          </w:p>
        </w:tc>
        <w:tc>
          <w:tcPr>
            <w:tcW w:w="1276" w:type="dxa"/>
            <w:vAlign w:val="center"/>
          </w:tcPr>
          <w:p w14:paraId="2DC4EE20">
            <w:pPr>
              <w:pStyle w:val="12"/>
            </w:pPr>
            <w:r>
              <w:t>项目规划</w:t>
            </w:r>
          </w:p>
        </w:tc>
      </w:tr>
      <w:tr w14:paraId="2313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C31A1"/>
        </w:tc>
        <w:tc>
          <w:tcPr>
            <w:tcW w:w="2268" w:type="dxa"/>
            <w:vAlign w:val="center"/>
          </w:tcPr>
          <w:p w14:paraId="1FE00227">
            <w:pPr>
              <w:pStyle w:val="12"/>
            </w:pPr>
            <w:r>
              <w:t>时效指标</w:t>
            </w:r>
          </w:p>
        </w:tc>
        <w:tc>
          <w:tcPr>
            <w:tcW w:w="2835" w:type="dxa"/>
            <w:vAlign w:val="center"/>
          </w:tcPr>
          <w:p w14:paraId="041C9116">
            <w:pPr>
              <w:pStyle w:val="12"/>
            </w:pPr>
            <w:r>
              <w:t>项目竣工验收合格率</w:t>
            </w:r>
          </w:p>
        </w:tc>
        <w:tc>
          <w:tcPr>
            <w:tcW w:w="5386" w:type="dxa"/>
            <w:vAlign w:val="center"/>
          </w:tcPr>
          <w:p w14:paraId="0700A43D">
            <w:pPr>
              <w:pStyle w:val="12"/>
            </w:pPr>
            <w:r>
              <w:t>项目改造质量达标率</w:t>
            </w:r>
          </w:p>
        </w:tc>
        <w:tc>
          <w:tcPr>
            <w:tcW w:w="2268" w:type="dxa"/>
            <w:vAlign w:val="center"/>
          </w:tcPr>
          <w:p w14:paraId="0CFAB9C1">
            <w:pPr>
              <w:pStyle w:val="12"/>
            </w:pPr>
            <w:r>
              <w:t>100%</w:t>
            </w:r>
          </w:p>
        </w:tc>
        <w:tc>
          <w:tcPr>
            <w:tcW w:w="1276" w:type="dxa"/>
            <w:vAlign w:val="center"/>
          </w:tcPr>
          <w:p w14:paraId="3E322323">
            <w:pPr>
              <w:pStyle w:val="12"/>
            </w:pPr>
            <w:r>
              <w:t>项目规划</w:t>
            </w:r>
          </w:p>
        </w:tc>
      </w:tr>
      <w:tr w14:paraId="67963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6DC21"/>
        </w:tc>
        <w:tc>
          <w:tcPr>
            <w:tcW w:w="2268" w:type="dxa"/>
            <w:vAlign w:val="center"/>
          </w:tcPr>
          <w:p w14:paraId="0E525EDC">
            <w:pPr>
              <w:pStyle w:val="12"/>
            </w:pPr>
            <w:r>
              <w:t>成本指标</w:t>
            </w:r>
          </w:p>
        </w:tc>
        <w:tc>
          <w:tcPr>
            <w:tcW w:w="2835" w:type="dxa"/>
            <w:vAlign w:val="center"/>
          </w:tcPr>
          <w:p w14:paraId="60C91A23">
            <w:pPr>
              <w:pStyle w:val="12"/>
            </w:pPr>
            <w:r>
              <w:t>项目实际成本</w:t>
            </w:r>
          </w:p>
        </w:tc>
        <w:tc>
          <w:tcPr>
            <w:tcW w:w="5386" w:type="dxa"/>
            <w:vAlign w:val="center"/>
          </w:tcPr>
          <w:p w14:paraId="0DD84A92">
            <w:pPr>
              <w:pStyle w:val="12"/>
            </w:pPr>
            <w:r>
              <w:t>学校维修改造项目成本</w:t>
            </w:r>
          </w:p>
        </w:tc>
        <w:tc>
          <w:tcPr>
            <w:tcW w:w="2268" w:type="dxa"/>
            <w:vAlign w:val="center"/>
          </w:tcPr>
          <w:p w14:paraId="22AC6B1A">
            <w:pPr>
              <w:pStyle w:val="12"/>
            </w:pPr>
            <w:r>
              <w:t>338463元</w:t>
            </w:r>
          </w:p>
        </w:tc>
        <w:tc>
          <w:tcPr>
            <w:tcW w:w="1276" w:type="dxa"/>
            <w:vAlign w:val="center"/>
          </w:tcPr>
          <w:p w14:paraId="1DFE055A">
            <w:pPr>
              <w:pStyle w:val="12"/>
            </w:pPr>
            <w:r>
              <w:t>项目规划</w:t>
            </w:r>
          </w:p>
        </w:tc>
      </w:tr>
      <w:tr w14:paraId="6358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B2342">
            <w:pPr>
              <w:pStyle w:val="13"/>
            </w:pPr>
            <w:r>
              <w:t>效益指标</w:t>
            </w:r>
          </w:p>
        </w:tc>
        <w:tc>
          <w:tcPr>
            <w:tcW w:w="2268" w:type="dxa"/>
            <w:vAlign w:val="center"/>
          </w:tcPr>
          <w:p w14:paraId="048C01BF">
            <w:pPr>
              <w:pStyle w:val="12"/>
            </w:pPr>
            <w:r>
              <w:t>可持续影响指标</w:t>
            </w:r>
          </w:p>
        </w:tc>
        <w:tc>
          <w:tcPr>
            <w:tcW w:w="2835" w:type="dxa"/>
            <w:vAlign w:val="center"/>
          </w:tcPr>
          <w:p w14:paraId="0A78FD5E">
            <w:pPr>
              <w:pStyle w:val="12"/>
            </w:pPr>
            <w:r>
              <w:t>学校日常运转正常</w:t>
            </w:r>
          </w:p>
        </w:tc>
        <w:tc>
          <w:tcPr>
            <w:tcW w:w="5386" w:type="dxa"/>
            <w:vAlign w:val="center"/>
          </w:tcPr>
          <w:p w14:paraId="33AF1BD5">
            <w:pPr>
              <w:pStyle w:val="12"/>
            </w:pPr>
            <w:r>
              <w:t>学生受教育年限</w:t>
            </w:r>
          </w:p>
        </w:tc>
        <w:tc>
          <w:tcPr>
            <w:tcW w:w="2268" w:type="dxa"/>
            <w:vAlign w:val="center"/>
          </w:tcPr>
          <w:p w14:paraId="74F043E2">
            <w:pPr>
              <w:pStyle w:val="12"/>
            </w:pPr>
            <w:r>
              <w:t>6年</w:t>
            </w:r>
          </w:p>
        </w:tc>
        <w:tc>
          <w:tcPr>
            <w:tcW w:w="1276" w:type="dxa"/>
            <w:vAlign w:val="center"/>
          </w:tcPr>
          <w:p w14:paraId="3C1EB017">
            <w:pPr>
              <w:pStyle w:val="12"/>
            </w:pPr>
            <w:r>
              <w:t>项目规划</w:t>
            </w:r>
          </w:p>
        </w:tc>
      </w:tr>
      <w:tr w14:paraId="09A4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B33F2">
            <w:pPr>
              <w:pStyle w:val="13"/>
            </w:pPr>
            <w:r>
              <w:t>满意度指标</w:t>
            </w:r>
          </w:p>
        </w:tc>
        <w:tc>
          <w:tcPr>
            <w:tcW w:w="2268" w:type="dxa"/>
            <w:vAlign w:val="center"/>
          </w:tcPr>
          <w:p w14:paraId="4448E17D">
            <w:pPr>
              <w:pStyle w:val="12"/>
            </w:pPr>
            <w:r>
              <w:t>服务对象满意度指标</w:t>
            </w:r>
          </w:p>
        </w:tc>
        <w:tc>
          <w:tcPr>
            <w:tcW w:w="2835" w:type="dxa"/>
            <w:vAlign w:val="center"/>
          </w:tcPr>
          <w:p w14:paraId="650B6AA8">
            <w:pPr>
              <w:pStyle w:val="12"/>
            </w:pPr>
            <w:r>
              <w:t>受益学生家长及调查满意度</w:t>
            </w:r>
          </w:p>
        </w:tc>
        <w:tc>
          <w:tcPr>
            <w:tcW w:w="5386" w:type="dxa"/>
            <w:vAlign w:val="center"/>
          </w:tcPr>
          <w:p w14:paraId="47972532">
            <w:pPr>
              <w:pStyle w:val="12"/>
            </w:pPr>
            <w:r>
              <w:t>学生、教师及家长对学校工作满意度情况</w:t>
            </w:r>
          </w:p>
        </w:tc>
        <w:tc>
          <w:tcPr>
            <w:tcW w:w="2268" w:type="dxa"/>
            <w:vAlign w:val="center"/>
          </w:tcPr>
          <w:p w14:paraId="552633C4">
            <w:pPr>
              <w:pStyle w:val="12"/>
            </w:pPr>
            <w:r>
              <w:t>≥95%</w:t>
            </w:r>
          </w:p>
        </w:tc>
        <w:tc>
          <w:tcPr>
            <w:tcW w:w="1276" w:type="dxa"/>
            <w:vAlign w:val="center"/>
          </w:tcPr>
          <w:p w14:paraId="56605308">
            <w:pPr>
              <w:pStyle w:val="12"/>
            </w:pPr>
            <w:r>
              <w:t>调查问卷</w:t>
            </w:r>
          </w:p>
        </w:tc>
      </w:tr>
    </w:tbl>
    <w:p w14:paraId="1D85636B">
      <w:pPr>
        <w:sectPr>
          <w:pgSz w:w="16840" w:h="11900" w:orient="landscape"/>
          <w:pgMar w:top="1361" w:right="1020" w:bottom="1134" w:left="1020" w:header="720" w:footer="720" w:gutter="0"/>
          <w:cols w:space="720" w:num="1"/>
        </w:sectPr>
      </w:pPr>
    </w:p>
    <w:p w14:paraId="0731AC0C">
      <w:pPr>
        <w:spacing w:before="0" w:after="0"/>
        <w:ind w:firstLine="560"/>
        <w:jc w:val="left"/>
        <w:outlineLvl w:val="9"/>
      </w:pPr>
      <w:r>
        <w:rPr>
          <w:rFonts w:ascii="方正仿宋_GBK" w:hAnsi="方正仿宋_GBK" w:eastAsia="方正仿宋_GBK" w:cs="方正仿宋_GBK"/>
          <w:b/>
          <w:color w:val="000000"/>
          <w:sz w:val="28"/>
        </w:rPr>
        <w:t>2、冀财教[2024]52号/中央/2024年薄弱环节改善与能力提升/隆尧县魏庄镇魏庄中心小学新建学生宿舍楼及消防工程绩效目标表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0B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B468A">
            <w:pPr>
              <w:pStyle w:val="11"/>
            </w:pPr>
            <w:r>
              <w:t>单位：万元</w:t>
            </w:r>
          </w:p>
        </w:tc>
      </w:tr>
      <w:tr w14:paraId="187D5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616C5">
            <w:pPr>
              <w:pStyle w:val="10"/>
            </w:pPr>
            <w:r>
              <w:t>项目编码</w:t>
            </w:r>
          </w:p>
        </w:tc>
        <w:tc>
          <w:tcPr>
            <w:tcW w:w="5103" w:type="dxa"/>
            <w:gridSpan w:val="2"/>
            <w:vAlign w:val="center"/>
          </w:tcPr>
          <w:p w14:paraId="0509DB8E">
            <w:pPr>
              <w:pStyle w:val="12"/>
            </w:pPr>
            <w:r>
              <w:t>13052526P008770100347</w:t>
            </w:r>
          </w:p>
        </w:tc>
        <w:tc>
          <w:tcPr>
            <w:tcW w:w="2835" w:type="dxa"/>
            <w:vAlign w:val="center"/>
          </w:tcPr>
          <w:p w14:paraId="2B65BDE7">
            <w:pPr>
              <w:pStyle w:val="10"/>
            </w:pPr>
            <w:r>
              <w:t>项目名称</w:t>
            </w:r>
          </w:p>
        </w:tc>
        <w:tc>
          <w:tcPr>
            <w:tcW w:w="6095" w:type="dxa"/>
            <w:gridSpan w:val="3"/>
            <w:vAlign w:val="center"/>
          </w:tcPr>
          <w:p w14:paraId="3B326A31">
            <w:pPr>
              <w:pStyle w:val="12"/>
            </w:pPr>
            <w:r>
              <w:t>冀财教[2024]52号/中央/2024年薄弱环节改善与能力提升/隆尧县魏庄镇魏庄中心小学新建学生宿舍楼及消防工程</w:t>
            </w:r>
          </w:p>
        </w:tc>
      </w:tr>
      <w:tr w14:paraId="511CD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DE87C">
            <w:pPr>
              <w:pStyle w:val="10"/>
            </w:pPr>
            <w:r>
              <w:t>预算规模及资金用途</w:t>
            </w:r>
          </w:p>
        </w:tc>
        <w:tc>
          <w:tcPr>
            <w:tcW w:w="2268" w:type="dxa"/>
            <w:vAlign w:val="center"/>
          </w:tcPr>
          <w:p w14:paraId="5E038D32">
            <w:pPr>
              <w:pStyle w:val="10"/>
            </w:pPr>
            <w:r>
              <w:t>预算数</w:t>
            </w:r>
          </w:p>
        </w:tc>
        <w:tc>
          <w:tcPr>
            <w:tcW w:w="2835" w:type="dxa"/>
            <w:vAlign w:val="center"/>
          </w:tcPr>
          <w:p w14:paraId="62F41E62">
            <w:pPr>
              <w:pStyle w:val="12"/>
            </w:pPr>
            <w:r>
              <w:t>89.39</w:t>
            </w:r>
          </w:p>
        </w:tc>
        <w:tc>
          <w:tcPr>
            <w:tcW w:w="2835" w:type="dxa"/>
            <w:vAlign w:val="center"/>
          </w:tcPr>
          <w:p w14:paraId="38A3D9F0">
            <w:pPr>
              <w:pStyle w:val="10"/>
            </w:pPr>
            <w:r>
              <w:t>其中：财政    资金</w:t>
            </w:r>
          </w:p>
        </w:tc>
        <w:tc>
          <w:tcPr>
            <w:tcW w:w="2551" w:type="dxa"/>
            <w:vAlign w:val="center"/>
          </w:tcPr>
          <w:p w14:paraId="65BF15CB">
            <w:pPr>
              <w:pStyle w:val="12"/>
            </w:pPr>
            <w:r>
              <w:t>89.39</w:t>
            </w:r>
          </w:p>
        </w:tc>
        <w:tc>
          <w:tcPr>
            <w:tcW w:w="2268" w:type="dxa"/>
            <w:vAlign w:val="center"/>
          </w:tcPr>
          <w:p w14:paraId="4F5EEA40">
            <w:pPr>
              <w:pStyle w:val="10"/>
            </w:pPr>
            <w:r>
              <w:t>其他资金</w:t>
            </w:r>
          </w:p>
        </w:tc>
        <w:tc>
          <w:tcPr>
            <w:tcW w:w="1276" w:type="dxa"/>
            <w:vAlign w:val="center"/>
          </w:tcPr>
          <w:p w14:paraId="39A50119">
            <w:pPr>
              <w:pStyle w:val="12"/>
            </w:pPr>
            <w:r>
              <w:t xml:space="preserve"> </w:t>
            </w:r>
          </w:p>
        </w:tc>
      </w:tr>
      <w:tr w14:paraId="16218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AFE39"/>
        </w:tc>
        <w:tc>
          <w:tcPr>
            <w:tcW w:w="14033" w:type="dxa"/>
            <w:gridSpan w:val="6"/>
            <w:vAlign w:val="center"/>
          </w:tcPr>
          <w:p w14:paraId="3630BD3C">
            <w:pPr>
              <w:pStyle w:val="12"/>
            </w:pPr>
            <w:r>
              <w:t>按照规划完成魏庄中心小学学生宿舍楼建设，提高学生生活水平。</w:t>
            </w:r>
          </w:p>
        </w:tc>
      </w:tr>
      <w:tr w14:paraId="20B63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D5E23">
            <w:pPr>
              <w:pStyle w:val="10"/>
            </w:pPr>
            <w:r>
              <w:t>资金支出计划（%）</w:t>
            </w:r>
          </w:p>
        </w:tc>
        <w:tc>
          <w:tcPr>
            <w:tcW w:w="5103" w:type="dxa"/>
            <w:gridSpan w:val="2"/>
            <w:vAlign w:val="center"/>
          </w:tcPr>
          <w:p w14:paraId="70262F1E">
            <w:pPr>
              <w:pStyle w:val="10"/>
            </w:pPr>
            <w:r>
              <w:t>3月底</w:t>
            </w:r>
          </w:p>
        </w:tc>
        <w:tc>
          <w:tcPr>
            <w:tcW w:w="2835" w:type="dxa"/>
            <w:vAlign w:val="center"/>
          </w:tcPr>
          <w:p w14:paraId="70EA74A2">
            <w:pPr>
              <w:pStyle w:val="10"/>
            </w:pPr>
            <w:r>
              <w:t>6月底</w:t>
            </w:r>
          </w:p>
        </w:tc>
        <w:tc>
          <w:tcPr>
            <w:tcW w:w="2551" w:type="dxa"/>
            <w:vAlign w:val="center"/>
          </w:tcPr>
          <w:p w14:paraId="431F0D3F">
            <w:pPr>
              <w:pStyle w:val="10"/>
            </w:pPr>
            <w:r>
              <w:t>10月底</w:t>
            </w:r>
          </w:p>
        </w:tc>
        <w:tc>
          <w:tcPr>
            <w:tcW w:w="3544" w:type="dxa"/>
            <w:gridSpan w:val="2"/>
            <w:vAlign w:val="center"/>
          </w:tcPr>
          <w:p w14:paraId="19AD5997">
            <w:pPr>
              <w:pStyle w:val="10"/>
            </w:pPr>
            <w:r>
              <w:t>12月底</w:t>
            </w:r>
          </w:p>
        </w:tc>
      </w:tr>
      <w:tr w14:paraId="5FAE2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CCDA7"/>
        </w:tc>
        <w:tc>
          <w:tcPr>
            <w:tcW w:w="5103" w:type="dxa"/>
            <w:gridSpan w:val="2"/>
            <w:vAlign w:val="center"/>
          </w:tcPr>
          <w:p w14:paraId="44F93F2D">
            <w:pPr>
              <w:pStyle w:val="13"/>
            </w:pPr>
            <w:r>
              <w:t xml:space="preserve"> </w:t>
            </w:r>
          </w:p>
        </w:tc>
        <w:tc>
          <w:tcPr>
            <w:tcW w:w="2835" w:type="dxa"/>
            <w:vAlign w:val="center"/>
          </w:tcPr>
          <w:p w14:paraId="578AA5E5">
            <w:pPr>
              <w:pStyle w:val="13"/>
            </w:pPr>
            <w:r>
              <w:t xml:space="preserve"> </w:t>
            </w:r>
          </w:p>
        </w:tc>
        <w:tc>
          <w:tcPr>
            <w:tcW w:w="2551" w:type="dxa"/>
            <w:vAlign w:val="center"/>
          </w:tcPr>
          <w:p w14:paraId="03D87370">
            <w:pPr>
              <w:pStyle w:val="13"/>
            </w:pPr>
            <w:r>
              <w:t>100%</w:t>
            </w:r>
          </w:p>
        </w:tc>
        <w:tc>
          <w:tcPr>
            <w:tcW w:w="3544" w:type="dxa"/>
            <w:gridSpan w:val="2"/>
            <w:vAlign w:val="center"/>
          </w:tcPr>
          <w:p w14:paraId="3C843B91">
            <w:pPr>
              <w:pStyle w:val="13"/>
            </w:pPr>
            <w:r>
              <w:t>100%</w:t>
            </w:r>
          </w:p>
        </w:tc>
      </w:tr>
      <w:tr w14:paraId="1AF95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D6660">
            <w:pPr>
              <w:pStyle w:val="10"/>
            </w:pPr>
            <w:r>
              <w:t>绩效目标</w:t>
            </w:r>
          </w:p>
        </w:tc>
        <w:tc>
          <w:tcPr>
            <w:tcW w:w="14033" w:type="dxa"/>
            <w:gridSpan w:val="6"/>
            <w:vAlign w:val="center"/>
          </w:tcPr>
          <w:p w14:paraId="52A561C3">
            <w:pPr>
              <w:pStyle w:val="12"/>
            </w:pPr>
            <w:r>
              <w:t>1.按照规划完成魏庄中心小学学生宿舍楼建设，提高学生生活水平。</w:t>
            </w:r>
          </w:p>
          <w:p w14:paraId="36490F81">
            <w:pPr>
              <w:pStyle w:val="12"/>
            </w:pPr>
            <w:r>
              <w:t>2.按照项目进度及时进行项目资金支付。</w:t>
            </w:r>
          </w:p>
        </w:tc>
      </w:tr>
    </w:tbl>
    <w:p w14:paraId="04A11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3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BD9C8">
            <w:pPr>
              <w:pStyle w:val="10"/>
            </w:pPr>
            <w:r>
              <w:t>一级指标</w:t>
            </w:r>
          </w:p>
        </w:tc>
        <w:tc>
          <w:tcPr>
            <w:tcW w:w="2268" w:type="dxa"/>
            <w:vAlign w:val="center"/>
          </w:tcPr>
          <w:p w14:paraId="62D5896E">
            <w:pPr>
              <w:pStyle w:val="10"/>
            </w:pPr>
            <w:r>
              <w:t>二级指标</w:t>
            </w:r>
          </w:p>
        </w:tc>
        <w:tc>
          <w:tcPr>
            <w:tcW w:w="2835" w:type="dxa"/>
            <w:vAlign w:val="center"/>
          </w:tcPr>
          <w:p w14:paraId="448D3809">
            <w:pPr>
              <w:pStyle w:val="10"/>
            </w:pPr>
            <w:r>
              <w:t>三级指标</w:t>
            </w:r>
          </w:p>
        </w:tc>
        <w:tc>
          <w:tcPr>
            <w:tcW w:w="5386" w:type="dxa"/>
            <w:vAlign w:val="center"/>
          </w:tcPr>
          <w:p w14:paraId="4041F900">
            <w:pPr>
              <w:pStyle w:val="10"/>
            </w:pPr>
            <w:r>
              <w:t>绩效指标描述</w:t>
            </w:r>
          </w:p>
        </w:tc>
        <w:tc>
          <w:tcPr>
            <w:tcW w:w="2268" w:type="dxa"/>
            <w:vAlign w:val="center"/>
          </w:tcPr>
          <w:p w14:paraId="6687E29E">
            <w:pPr>
              <w:pStyle w:val="10"/>
            </w:pPr>
            <w:r>
              <w:t>指标值</w:t>
            </w:r>
          </w:p>
        </w:tc>
        <w:tc>
          <w:tcPr>
            <w:tcW w:w="1276" w:type="dxa"/>
            <w:vAlign w:val="center"/>
          </w:tcPr>
          <w:p w14:paraId="37CF2C4F">
            <w:pPr>
              <w:pStyle w:val="10"/>
            </w:pPr>
            <w:r>
              <w:t>指标值确定依据</w:t>
            </w:r>
          </w:p>
        </w:tc>
      </w:tr>
      <w:tr w14:paraId="633FB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C02B4">
            <w:pPr>
              <w:pStyle w:val="13"/>
            </w:pPr>
            <w:r>
              <w:t>产出指标</w:t>
            </w:r>
          </w:p>
        </w:tc>
        <w:tc>
          <w:tcPr>
            <w:tcW w:w="2268" w:type="dxa"/>
            <w:vAlign w:val="center"/>
          </w:tcPr>
          <w:p w14:paraId="6FD41D32">
            <w:pPr>
              <w:pStyle w:val="12"/>
            </w:pPr>
            <w:r>
              <w:t>数量指标</w:t>
            </w:r>
          </w:p>
        </w:tc>
        <w:tc>
          <w:tcPr>
            <w:tcW w:w="2835" w:type="dxa"/>
            <w:vAlign w:val="center"/>
          </w:tcPr>
          <w:p w14:paraId="1C46589F">
            <w:pPr>
              <w:pStyle w:val="12"/>
            </w:pPr>
            <w:r>
              <w:t>新建建筑面积</w:t>
            </w:r>
          </w:p>
        </w:tc>
        <w:tc>
          <w:tcPr>
            <w:tcW w:w="5386" w:type="dxa"/>
            <w:vAlign w:val="center"/>
          </w:tcPr>
          <w:p w14:paraId="5B87DB17">
            <w:pPr>
              <w:pStyle w:val="12"/>
            </w:pPr>
            <w:r>
              <w:t>新建学生宿舍楼面积</w:t>
            </w:r>
          </w:p>
        </w:tc>
        <w:tc>
          <w:tcPr>
            <w:tcW w:w="2268" w:type="dxa"/>
            <w:vAlign w:val="center"/>
          </w:tcPr>
          <w:p w14:paraId="2E7692D7">
            <w:pPr>
              <w:pStyle w:val="12"/>
            </w:pPr>
            <w:r>
              <w:t>≥2968平方米</w:t>
            </w:r>
          </w:p>
        </w:tc>
        <w:tc>
          <w:tcPr>
            <w:tcW w:w="1276" w:type="dxa"/>
            <w:vAlign w:val="center"/>
          </w:tcPr>
          <w:p w14:paraId="5113B0AB">
            <w:pPr>
              <w:pStyle w:val="12"/>
            </w:pPr>
            <w:r>
              <w:t>项目规划</w:t>
            </w:r>
          </w:p>
        </w:tc>
      </w:tr>
      <w:tr w14:paraId="3D12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9B1E"/>
        </w:tc>
        <w:tc>
          <w:tcPr>
            <w:tcW w:w="2268" w:type="dxa"/>
            <w:vAlign w:val="center"/>
          </w:tcPr>
          <w:p w14:paraId="30CD9161">
            <w:pPr>
              <w:pStyle w:val="12"/>
            </w:pPr>
            <w:r>
              <w:t>质量指标</w:t>
            </w:r>
          </w:p>
        </w:tc>
        <w:tc>
          <w:tcPr>
            <w:tcW w:w="2835" w:type="dxa"/>
            <w:vAlign w:val="center"/>
          </w:tcPr>
          <w:p w14:paraId="19DDE82F">
            <w:pPr>
              <w:pStyle w:val="12"/>
            </w:pPr>
            <w:r>
              <w:t>工程实施验收合格率</w:t>
            </w:r>
          </w:p>
        </w:tc>
        <w:tc>
          <w:tcPr>
            <w:tcW w:w="5386" w:type="dxa"/>
            <w:vAlign w:val="center"/>
          </w:tcPr>
          <w:p w14:paraId="6130BC1B">
            <w:pPr>
              <w:pStyle w:val="12"/>
            </w:pPr>
            <w:r>
              <w:t>申报程序的合规，项目实施及资金使用符合项目规划</w:t>
            </w:r>
          </w:p>
        </w:tc>
        <w:tc>
          <w:tcPr>
            <w:tcW w:w="2268" w:type="dxa"/>
            <w:vAlign w:val="center"/>
          </w:tcPr>
          <w:p w14:paraId="48894954">
            <w:pPr>
              <w:pStyle w:val="12"/>
            </w:pPr>
            <w:r>
              <w:t>100%</w:t>
            </w:r>
          </w:p>
        </w:tc>
        <w:tc>
          <w:tcPr>
            <w:tcW w:w="1276" w:type="dxa"/>
            <w:vAlign w:val="center"/>
          </w:tcPr>
          <w:p w14:paraId="7558CF15">
            <w:pPr>
              <w:pStyle w:val="12"/>
            </w:pPr>
            <w:r>
              <w:t>项目规划</w:t>
            </w:r>
          </w:p>
        </w:tc>
      </w:tr>
      <w:tr w14:paraId="5ADA0BE6">
        <w:tblPrEx>
          <w:tblCellMar>
            <w:top w:w="0" w:type="dxa"/>
            <w:left w:w="108" w:type="dxa"/>
            <w:bottom w:w="0" w:type="dxa"/>
            <w:right w:w="108" w:type="dxa"/>
          </w:tblCellMar>
        </w:tblPrEx>
        <w:trPr>
          <w:trHeight w:val="397" w:hRule="atLeast"/>
          <w:jc w:val="center"/>
        </w:trPr>
        <w:tc>
          <w:tcPr>
            <w:tcW w:w="1276" w:type="dxa"/>
            <w:vMerge w:val="continue"/>
            <w:vAlign w:val="center"/>
          </w:tcPr>
          <w:p w14:paraId="4CE644F8"/>
        </w:tc>
        <w:tc>
          <w:tcPr>
            <w:tcW w:w="2268" w:type="dxa"/>
            <w:vAlign w:val="center"/>
          </w:tcPr>
          <w:p w14:paraId="7F50CEF0">
            <w:pPr>
              <w:pStyle w:val="12"/>
            </w:pPr>
            <w:r>
              <w:t>时效指标</w:t>
            </w:r>
          </w:p>
        </w:tc>
        <w:tc>
          <w:tcPr>
            <w:tcW w:w="2835" w:type="dxa"/>
            <w:vAlign w:val="center"/>
          </w:tcPr>
          <w:p w14:paraId="34FC4499">
            <w:pPr>
              <w:pStyle w:val="12"/>
            </w:pPr>
            <w:r>
              <w:t>工程完成率</w:t>
            </w:r>
          </w:p>
        </w:tc>
        <w:tc>
          <w:tcPr>
            <w:tcW w:w="5386" w:type="dxa"/>
            <w:vAlign w:val="center"/>
          </w:tcPr>
          <w:p w14:paraId="7E68F986">
            <w:pPr>
              <w:pStyle w:val="12"/>
            </w:pPr>
            <w:r>
              <w:t>按照工程进度完成情况进行资金支付</w:t>
            </w:r>
          </w:p>
        </w:tc>
        <w:tc>
          <w:tcPr>
            <w:tcW w:w="2268" w:type="dxa"/>
            <w:vAlign w:val="center"/>
          </w:tcPr>
          <w:p w14:paraId="6D944D9C">
            <w:pPr>
              <w:pStyle w:val="12"/>
            </w:pPr>
            <w:r>
              <w:t>100%</w:t>
            </w:r>
          </w:p>
        </w:tc>
        <w:tc>
          <w:tcPr>
            <w:tcW w:w="1276" w:type="dxa"/>
            <w:vAlign w:val="center"/>
          </w:tcPr>
          <w:p w14:paraId="24909D76">
            <w:pPr>
              <w:pStyle w:val="12"/>
            </w:pPr>
            <w:r>
              <w:t>项目规划</w:t>
            </w:r>
          </w:p>
        </w:tc>
      </w:tr>
      <w:tr w14:paraId="3088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6A907"/>
        </w:tc>
        <w:tc>
          <w:tcPr>
            <w:tcW w:w="2268" w:type="dxa"/>
            <w:vAlign w:val="center"/>
          </w:tcPr>
          <w:p w14:paraId="49737AA0">
            <w:pPr>
              <w:pStyle w:val="12"/>
            </w:pPr>
            <w:r>
              <w:t>成本指标</w:t>
            </w:r>
          </w:p>
        </w:tc>
        <w:tc>
          <w:tcPr>
            <w:tcW w:w="2835" w:type="dxa"/>
            <w:vAlign w:val="center"/>
          </w:tcPr>
          <w:p w14:paraId="00538071">
            <w:pPr>
              <w:pStyle w:val="12"/>
            </w:pPr>
            <w:r>
              <w:t>新建校舍成本</w:t>
            </w:r>
          </w:p>
        </w:tc>
        <w:tc>
          <w:tcPr>
            <w:tcW w:w="5386" w:type="dxa"/>
            <w:vAlign w:val="center"/>
          </w:tcPr>
          <w:p w14:paraId="5C4803CA">
            <w:pPr>
              <w:pStyle w:val="12"/>
            </w:pPr>
            <w:r>
              <w:t>新建学生宿舍楼成本</w:t>
            </w:r>
          </w:p>
        </w:tc>
        <w:tc>
          <w:tcPr>
            <w:tcW w:w="2268" w:type="dxa"/>
            <w:vAlign w:val="center"/>
          </w:tcPr>
          <w:p w14:paraId="52CF68CF">
            <w:pPr>
              <w:pStyle w:val="12"/>
            </w:pPr>
            <w:r>
              <w:t>893933.22元</w:t>
            </w:r>
          </w:p>
        </w:tc>
        <w:tc>
          <w:tcPr>
            <w:tcW w:w="1276" w:type="dxa"/>
            <w:vAlign w:val="center"/>
          </w:tcPr>
          <w:p w14:paraId="0BAC6146">
            <w:pPr>
              <w:pStyle w:val="12"/>
            </w:pPr>
            <w:r>
              <w:t>项目规划</w:t>
            </w:r>
          </w:p>
        </w:tc>
      </w:tr>
      <w:tr w14:paraId="5913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FB90C">
            <w:pPr>
              <w:pStyle w:val="13"/>
            </w:pPr>
            <w:r>
              <w:t>效益指标</w:t>
            </w:r>
          </w:p>
        </w:tc>
        <w:tc>
          <w:tcPr>
            <w:tcW w:w="2268" w:type="dxa"/>
            <w:vAlign w:val="center"/>
          </w:tcPr>
          <w:p w14:paraId="288F7D23">
            <w:pPr>
              <w:pStyle w:val="12"/>
            </w:pPr>
            <w:r>
              <w:t>社会效益指标</w:t>
            </w:r>
          </w:p>
        </w:tc>
        <w:tc>
          <w:tcPr>
            <w:tcW w:w="2835" w:type="dxa"/>
            <w:vAlign w:val="center"/>
          </w:tcPr>
          <w:p w14:paraId="58E077CC">
            <w:pPr>
              <w:pStyle w:val="12"/>
            </w:pPr>
            <w:r>
              <w:t>学校办学环境提升</w:t>
            </w:r>
          </w:p>
        </w:tc>
        <w:tc>
          <w:tcPr>
            <w:tcW w:w="5386" w:type="dxa"/>
            <w:vAlign w:val="center"/>
          </w:tcPr>
          <w:p w14:paraId="4D6D00A2">
            <w:pPr>
              <w:pStyle w:val="12"/>
            </w:pPr>
            <w:r>
              <w:t>学校教学环境提升优化率</w:t>
            </w:r>
          </w:p>
        </w:tc>
        <w:tc>
          <w:tcPr>
            <w:tcW w:w="2268" w:type="dxa"/>
            <w:vAlign w:val="center"/>
          </w:tcPr>
          <w:p w14:paraId="2F86FE94">
            <w:pPr>
              <w:pStyle w:val="12"/>
            </w:pPr>
            <w:r>
              <w:t>≥98%</w:t>
            </w:r>
          </w:p>
        </w:tc>
        <w:tc>
          <w:tcPr>
            <w:tcW w:w="1276" w:type="dxa"/>
            <w:vAlign w:val="center"/>
          </w:tcPr>
          <w:p w14:paraId="312A956D">
            <w:pPr>
              <w:pStyle w:val="12"/>
            </w:pPr>
            <w:r>
              <w:t>项目规划</w:t>
            </w:r>
          </w:p>
        </w:tc>
      </w:tr>
      <w:tr w14:paraId="6F2A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E86C2">
            <w:pPr>
              <w:pStyle w:val="13"/>
            </w:pPr>
            <w:r>
              <w:t>满意度指标</w:t>
            </w:r>
          </w:p>
        </w:tc>
        <w:tc>
          <w:tcPr>
            <w:tcW w:w="2268" w:type="dxa"/>
            <w:vAlign w:val="center"/>
          </w:tcPr>
          <w:p w14:paraId="592D2CDB">
            <w:pPr>
              <w:pStyle w:val="12"/>
            </w:pPr>
            <w:r>
              <w:t>服务对象满意度指标</w:t>
            </w:r>
          </w:p>
        </w:tc>
        <w:tc>
          <w:tcPr>
            <w:tcW w:w="2835" w:type="dxa"/>
            <w:vAlign w:val="center"/>
          </w:tcPr>
          <w:p w14:paraId="73519590">
            <w:pPr>
              <w:pStyle w:val="12"/>
            </w:pPr>
            <w:r>
              <w:t>受益群众满意度调查</w:t>
            </w:r>
          </w:p>
        </w:tc>
        <w:tc>
          <w:tcPr>
            <w:tcW w:w="5386" w:type="dxa"/>
            <w:vAlign w:val="center"/>
          </w:tcPr>
          <w:p w14:paraId="219DC20B">
            <w:pPr>
              <w:pStyle w:val="12"/>
            </w:pPr>
            <w:r>
              <w:t>受益群众满意度调查</w:t>
            </w:r>
          </w:p>
        </w:tc>
        <w:tc>
          <w:tcPr>
            <w:tcW w:w="2268" w:type="dxa"/>
            <w:vAlign w:val="center"/>
          </w:tcPr>
          <w:p w14:paraId="7A596B08">
            <w:pPr>
              <w:pStyle w:val="12"/>
            </w:pPr>
            <w:r>
              <w:t>≥95%</w:t>
            </w:r>
          </w:p>
        </w:tc>
        <w:tc>
          <w:tcPr>
            <w:tcW w:w="1276" w:type="dxa"/>
            <w:vAlign w:val="center"/>
          </w:tcPr>
          <w:p w14:paraId="5254A6E3">
            <w:pPr>
              <w:pStyle w:val="12"/>
            </w:pPr>
            <w:r>
              <w:t>调查问卷</w:t>
            </w:r>
          </w:p>
        </w:tc>
      </w:tr>
    </w:tbl>
    <w:p w14:paraId="270B4F76">
      <w:pPr>
        <w:sectPr>
          <w:pgSz w:w="16840" w:h="11900" w:orient="landscape"/>
          <w:pgMar w:top="1361" w:right="1020" w:bottom="1134" w:left="1020" w:header="720" w:footer="720" w:gutter="0"/>
          <w:cols w:space="720" w:num="1"/>
        </w:sectPr>
      </w:pPr>
    </w:p>
    <w:p w14:paraId="3E473832">
      <w:pPr>
        <w:spacing w:before="0" w:after="0"/>
        <w:ind w:firstLine="560"/>
        <w:jc w:val="left"/>
        <w:outlineLvl w:val="9"/>
      </w:pPr>
      <w:r>
        <w:rPr>
          <w:rFonts w:ascii="方正仿宋_GBK" w:hAnsi="方正仿宋_GBK" w:eastAsia="方正仿宋_GBK" w:cs="方正仿宋_GBK"/>
          <w:b/>
          <w:color w:val="000000"/>
          <w:sz w:val="28"/>
        </w:rPr>
        <w:t>3、冀财教[2024]67号/中央/校舍安全/张汪小学甬路西平房及院落等维修改造</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A2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37B35">
            <w:pPr>
              <w:pStyle w:val="11"/>
            </w:pPr>
            <w:r>
              <w:t>单位：万元</w:t>
            </w:r>
          </w:p>
        </w:tc>
      </w:tr>
      <w:tr w14:paraId="7180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C4FB9">
            <w:pPr>
              <w:pStyle w:val="10"/>
            </w:pPr>
            <w:r>
              <w:t>项目编码</w:t>
            </w:r>
          </w:p>
        </w:tc>
        <w:tc>
          <w:tcPr>
            <w:tcW w:w="5103" w:type="dxa"/>
            <w:gridSpan w:val="2"/>
            <w:vAlign w:val="center"/>
          </w:tcPr>
          <w:p w14:paraId="44E69A0B">
            <w:pPr>
              <w:pStyle w:val="12"/>
            </w:pPr>
            <w:r>
              <w:t>13052526P00876210115G</w:t>
            </w:r>
          </w:p>
        </w:tc>
        <w:tc>
          <w:tcPr>
            <w:tcW w:w="2835" w:type="dxa"/>
            <w:vAlign w:val="center"/>
          </w:tcPr>
          <w:p w14:paraId="5BE71279">
            <w:pPr>
              <w:pStyle w:val="10"/>
            </w:pPr>
            <w:r>
              <w:t>项目名称</w:t>
            </w:r>
          </w:p>
        </w:tc>
        <w:tc>
          <w:tcPr>
            <w:tcW w:w="6095" w:type="dxa"/>
            <w:gridSpan w:val="3"/>
            <w:vAlign w:val="center"/>
          </w:tcPr>
          <w:p w14:paraId="025EB748">
            <w:pPr>
              <w:pStyle w:val="12"/>
            </w:pPr>
            <w:r>
              <w:t>冀财教[2024]67号/中央/校舍安全/张汪小学甬路西平房及院落等维修改造</w:t>
            </w:r>
            <w:r>
              <w:tab/>
            </w:r>
          </w:p>
        </w:tc>
      </w:tr>
      <w:tr w14:paraId="6497F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077E2">
            <w:pPr>
              <w:pStyle w:val="10"/>
            </w:pPr>
            <w:r>
              <w:t>预算规模及资金用途</w:t>
            </w:r>
          </w:p>
        </w:tc>
        <w:tc>
          <w:tcPr>
            <w:tcW w:w="2268" w:type="dxa"/>
            <w:vAlign w:val="center"/>
          </w:tcPr>
          <w:p w14:paraId="48AA929B">
            <w:pPr>
              <w:pStyle w:val="10"/>
            </w:pPr>
            <w:r>
              <w:t>预算数</w:t>
            </w:r>
          </w:p>
        </w:tc>
        <w:tc>
          <w:tcPr>
            <w:tcW w:w="2835" w:type="dxa"/>
            <w:vAlign w:val="center"/>
          </w:tcPr>
          <w:p w14:paraId="50BEADE0">
            <w:pPr>
              <w:pStyle w:val="12"/>
            </w:pPr>
            <w:r>
              <w:t>12.90</w:t>
            </w:r>
          </w:p>
        </w:tc>
        <w:tc>
          <w:tcPr>
            <w:tcW w:w="2835" w:type="dxa"/>
            <w:vAlign w:val="center"/>
          </w:tcPr>
          <w:p w14:paraId="2F2D0820">
            <w:pPr>
              <w:pStyle w:val="10"/>
            </w:pPr>
            <w:r>
              <w:t>其中：财政    资金</w:t>
            </w:r>
          </w:p>
        </w:tc>
        <w:tc>
          <w:tcPr>
            <w:tcW w:w="2551" w:type="dxa"/>
            <w:vAlign w:val="center"/>
          </w:tcPr>
          <w:p w14:paraId="0E2A67E5">
            <w:pPr>
              <w:pStyle w:val="12"/>
            </w:pPr>
            <w:r>
              <w:t>12.90</w:t>
            </w:r>
          </w:p>
        </w:tc>
        <w:tc>
          <w:tcPr>
            <w:tcW w:w="2268" w:type="dxa"/>
            <w:vAlign w:val="center"/>
          </w:tcPr>
          <w:p w14:paraId="7352BDAF">
            <w:pPr>
              <w:pStyle w:val="10"/>
            </w:pPr>
            <w:r>
              <w:t>其他资金</w:t>
            </w:r>
          </w:p>
        </w:tc>
        <w:tc>
          <w:tcPr>
            <w:tcW w:w="1276" w:type="dxa"/>
            <w:vAlign w:val="center"/>
          </w:tcPr>
          <w:p w14:paraId="3DC45618">
            <w:pPr>
              <w:pStyle w:val="12"/>
            </w:pPr>
            <w:r>
              <w:t xml:space="preserve"> </w:t>
            </w:r>
          </w:p>
        </w:tc>
      </w:tr>
      <w:tr w14:paraId="5059F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EA5C4"/>
        </w:tc>
        <w:tc>
          <w:tcPr>
            <w:tcW w:w="14033" w:type="dxa"/>
            <w:gridSpan w:val="6"/>
            <w:vAlign w:val="center"/>
          </w:tcPr>
          <w:p w14:paraId="76204B4B">
            <w:pPr>
              <w:pStyle w:val="12"/>
            </w:pPr>
            <w:r>
              <w:t>改善就学条件，提升学校形象，保障义务教育阶段教学安全，创造良好的校园环境。</w:t>
            </w:r>
          </w:p>
        </w:tc>
      </w:tr>
      <w:tr w14:paraId="6793E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CBC00">
            <w:pPr>
              <w:pStyle w:val="10"/>
            </w:pPr>
            <w:r>
              <w:t>资金支出计划（%）</w:t>
            </w:r>
          </w:p>
        </w:tc>
        <w:tc>
          <w:tcPr>
            <w:tcW w:w="5103" w:type="dxa"/>
            <w:gridSpan w:val="2"/>
            <w:vAlign w:val="center"/>
          </w:tcPr>
          <w:p w14:paraId="68B49DCC">
            <w:pPr>
              <w:pStyle w:val="10"/>
            </w:pPr>
            <w:r>
              <w:t>3月底</w:t>
            </w:r>
          </w:p>
        </w:tc>
        <w:tc>
          <w:tcPr>
            <w:tcW w:w="2835" w:type="dxa"/>
            <w:vAlign w:val="center"/>
          </w:tcPr>
          <w:p w14:paraId="7D07A9B6">
            <w:pPr>
              <w:pStyle w:val="10"/>
            </w:pPr>
            <w:r>
              <w:t>6月底</w:t>
            </w:r>
          </w:p>
        </w:tc>
        <w:tc>
          <w:tcPr>
            <w:tcW w:w="2551" w:type="dxa"/>
            <w:vAlign w:val="center"/>
          </w:tcPr>
          <w:p w14:paraId="6C04F099">
            <w:pPr>
              <w:pStyle w:val="10"/>
            </w:pPr>
            <w:r>
              <w:t>10月底</w:t>
            </w:r>
          </w:p>
        </w:tc>
        <w:tc>
          <w:tcPr>
            <w:tcW w:w="3544" w:type="dxa"/>
            <w:gridSpan w:val="2"/>
            <w:vAlign w:val="center"/>
          </w:tcPr>
          <w:p w14:paraId="33804EC2">
            <w:pPr>
              <w:pStyle w:val="10"/>
            </w:pPr>
            <w:r>
              <w:t>12月底</w:t>
            </w:r>
          </w:p>
        </w:tc>
      </w:tr>
      <w:tr w14:paraId="7E11B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B215E"/>
        </w:tc>
        <w:tc>
          <w:tcPr>
            <w:tcW w:w="5103" w:type="dxa"/>
            <w:gridSpan w:val="2"/>
            <w:vAlign w:val="center"/>
          </w:tcPr>
          <w:p w14:paraId="465C4BA5">
            <w:pPr>
              <w:pStyle w:val="13"/>
            </w:pPr>
            <w:r>
              <w:t xml:space="preserve"> </w:t>
            </w:r>
          </w:p>
        </w:tc>
        <w:tc>
          <w:tcPr>
            <w:tcW w:w="2835" w:type="dxa"/>
            <w:vAlign w:val="center"/>
          </w:tcPr>
          <w:p w14:paraId="16FEC7FA">
            <w:pPr>
              <w:pStyle w:val="13"/>
            </w:pPr>
            <w:r>
              <w:t xml:space="preserve"> </w:t>
            </w:r>
          </w:p>
        </w:tc>
        <w:tc>
          <w:tcPr>
            <w:tcW w:w="2551" w:type="dxa"/>
            <w:vAlign w:val="center"/>
          </w:tcPr>
          <w:p w14:paraId="244B7AB3">
            <w:pPr>
              <w:pStyle w:val="13"/>
            </w:pPr>
            <w:r>
              <w:t>100%</w:t>
            </w:r>
          </w:p>
        </w:tc>
        <w:tc>
          <w:tcPr>
            <w:tcW w:w="3544" w:type="dxa"/>
            <w:gridSpan w:val="2"/>
            <w:vAlign w:val="center"/>
          </w:tcPr>
          <w:p w14:paraId="3E6C0971">
            <w:pPr>
              <w:pStyle w:val="13"/>
            </w:pPr>
            <w:r>
              <w:t>100%</w:t>
            </w:r>
          </w:p>
        </w:tc>
      </w:tr>
      <w:tr w14:paraId="4898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41B09">
            <w:pPr>
              <w:pStyle w:val="10"/>
            </w:pPr>
            <w:r>
              <w:t>绩效目标</w:t>
            </w:r>
          </w:p>
        </w:tc>
        <w:tc>
          <w:tcPr>
            <w:tcW w:w="14033" w:type="dxa"/>
            <w:gridSpan w:val="6"/>
            <w:vAlign w:val="center"/>
          </w:tcPr>
          <w:p w14:paraId="0BD9B0C1">
            <w:pPr>
              <w:pStyle w:val="12"/>
            </w:pPr>
            <w:r>
              <w:t>1.改善就学条件，提升学校形象，保障义务教育阶段教学安全，创造良好的校园环境。</w:t>
            </w:r>
          </w:p>
          <w:p w14:paraId="6E9D35AF">
            <w:pPr>
              <w:pStyle w:val="12"/>
            </w:pPr>
            <w:r>
              <w:t>2.项目需资金12.8995万元，资金拨付率达到100%。</w:t>
            </w:r>
          </w:p>
        </w:tc>
      </w:tr>
    </w:tbl>
    <w:p w14:paraId="0EEBD4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9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82743">
            <w:pPr>
              <w:pStyle w:val="10"/>
            </w:pPr>
            <w:r>
              <w:t>一级指标</w:t>
            </w:r>
          </w:p>
        </w:tc>
        <w:tc>
          <w:tcPr>
            <w:tcW w:w="2268" w:type="dxa"/>
            <w:vAlign w:val="center"/>
          </w:tcPr>
          <w:p w14:paraId="40B18916">
            <w:pPr>
              <w:pStyle w:val="10"/>
            </w:pPr>
            <w:r>
              <w:t>二级指标</w:t>
            </w:r>
          </w:p>
        </w:tc>
        <w:tc>
          <w:tcPr>
            <w:tcW w:w="2835" w:type="dxa"/>
            <w:vAlign w:val="center"/>
          </w:tcPr>
          <w:p w14:paraId="4839F1C5">
            <w:pPr>
              <w:pStyle w:val="10"/>
            </w:pPr>
            <w:r>
              <w:t>三级指标</w:t>
            </w:r>
          </w:p>
        </w:tc>
        <w:tc>
          <w:tcPr>
            <w:tcW w:w="5386" w:type="dxa"/>
            <w:vAlign w:val="center"/>
          </w:tcPr>
          <w:p w14:paraId="3E1C4BAF">
            <w:pPr>
              <w:pStyle w:val="10"/>
            </w:pPr>
            <w:r>
              <w:t>绩效指标描述</w:t>
            </w:r>
          </w:p>
        </w:tc>
        <w:tc>
          <w:tcPr>
            <w:tcW w:w="2268" w:type="dxa"/>
            <w:vAlign w:val="center"/>
          </w:tcPr>
          <w:p w14:paraId="054B9EB2">
            <w:pPr>
              <w:pStyle w:val="10"/>
            </w:pPr>
            <w:r>
              <w:t>指标值</w:t>
            </w:r>
          </w:p>
        </w:tc>
        <w:tc>
          <w:tcPr>
            <w:tcW w:w="1276" w:type="dxa"/>
            <w:vAlign w:val="center"/>
          </w:tcPr>
          <w:p w14:paraId="74CCA7D8">
            <w:pPr>
              <w:pStyle w:val="10"/>
            </w:pPr>
            <w:r>
              <w:t>指标值确定依据</w:t>
            </w:r>
          </w:p>
        </w:tc>
      </w:tr>
      <w:tr w14:paraId="15E6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1191E">
            <w:pPr>
              <w:pStyle w:val="13"/>
            </w:pPr>
            <w:r>
              <w:t>产出指标</w:t>
            </w:r>
          </w:p>
        </w:tc>
        <w:tc>
          <w:tcPr>
            <w:tcW w:w="2268" w:type="dxa"/>
            <w:vAlign w:val="center"/>
          </w:tcPr>
          <w:p w14:paraId="42369D75">
            <w:pPr>
              <w:pStyle w:val="12"/>
            </w:pPr>
            <w:r>
              <w:t>数量指标</w:t>
            </w:r>
          </w:p>
        </w:tc>
        <w:tc>
          <w:tcPr>
            <w:tcW w:w="2835" w:type="dxa"/>
            <w:vAlign w:val="center"/>
          </w:tcPr>
          <w:p w14:paraId="10C10877">
            <w:pPr>
              <w:pStyle w:val="12"/>
            </w:pPr>
            <w:r>
              <w:t>张汪小学甬路西平房及院落等维修改造</w:t>
            </w:r>
          </w:p>
        </w:tc>
        <w:tc>
          <w:tcPr>
            <w:tcW w:w="5386" w:type="dxa"/>
            <w:vAlign w:val="center"/>
          </w:tcPr>
          <w:p w14:paraId="1596D819">
            <w:pPr>
              <w:pStyle w:val="12"/>
            </w:pPr>
            <w:r>
              <w:t>平房前院落铺花砖、屋顶扣瓦、安装门窗、刮墙、平房前院落垫土等</w:t>
            </w:r>
          </w:p>
        </w:tc>
        <w:tc>
          <w:tcPr>
            <w:tcW w:w="2268" w:type="dxa"/>
            <w:vAlign w:val="center"/>
          </w:tcPr>
          <w:p w14:paraId="56CA0084">
            <w:pPr>
              <w:pStyle w:val="12"/>
            </w:pPr>
            <w:r>
              <w:t>1项</w:t>
            </w:r>
          </w:p>
        </w:tc>
        <w:tc>
          <w:tcPr>
            <w:tcW w:w="1276" w:type="dxa"/>
            <w:vAlign w:val="center"/>
          </w:tcPr>
          <w:p w14:paraId="5A0BE938">
            <w:pPr>
              <w:pStyle w:val="12"/>
            </w:pPr>
            <w:r>
              <w:t>项目规划</w:t>
            </w:r>
          </w:p>
        </w:tc>
      </w:tr>
      <w:tr w14:paraId="43DD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ACD2B"/>
        </w:tc>
        <w:tc>
          <w:tcPr>
            <w:tcW w:w="2268" w:type="dxa"/>
            <w:vAlign w:val="center"/>
          </w:tcPr>
          <w:p w14:paraId="6C824D6A">
            <w:pPr>
              <w:pStyle w:val="12"/>
            </w:pPr>
            <w:r>
              <w:t>质量指标</w:t>
            </w:r>
          </w:p>
        </w:tc>
        <w:tc>
          <w:tcPr>
            <w:tcW w:w="2835" w:type="dxa"/>
            <w:vAlign w:val="center"/>
          </w:tcPr>
          <w:p w14:paraId="009819D9">
            <w:pPr>
              <w:pStyle w:val="12"/>
            </w:pPr>
            <w:r>
              <w:t>工程实施验收合格率</w:t>
            </w:r>
          </w:p>
        </w:tc>
        <w:tc>
          <w:tcPr>
            <w:tcW w:w="5386" w:type="dxa"/>
            <w:vAlign w:val="center"/>
          </w:tcPr>
          <w:p w14:paraId="44A1F608">
            <w:pPr>
              <w:pStyle w:val="12"/>
            </w:pPr>
            <w:r>
              <w:t>申报程序的合规，项目实施及资金使用符合项目规划</w:t>
            </w:r>
          </w:p>
        </w:tc>
        <w:tc>
          <w:tcPr>
            <w:tcW w:w="2268" w:type="dxa"/>
            <w:vAlign w:val="center"/>
          </w:tcPr>
          <w:p w14:paraId="347452B9">
            <w:pPr>
              <w:pStyle w:val="12"/>
            </w:pPr>
            <w:r>
              <w:t>100%</w:t>
            </w:r>
          </w:p>
        </w:tc>
        <w:tc>
          <w:tcPr>
            <w:tcW w:w="1276" w:type="dxa"/>
            <w:vAlign w:val="center"/>
          </w:tcPr>
          <w:p w14:paraId="2B0224D6">
            <w:pPr>
              <w:pStyle w:val="12"/>
            </w:pPr>
            <w:r>
              <w:t>项目规划</w:t>
            </w:r>
          </w:p>
        </w:tc>
      </w:tr>
      <w:tr w14:paraId="54C1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1A583"/>
        </w:tc>
        <w:tc>
          <w:tcPr>
            <w:tcW w:w="2268" w:type="dxa"/>
            <w:vAlign w:val="center"/>
          </w:tcPr>
          <w:p w14:paraId="53A9C307">
            <w:pPr>
              <w:pStyle w:val="12"/>
            </w:pPr>
            <w:r>
              <w:t>时效指标</w:t>
            </w:r>
          </w:p>
        </w:tc>
        <w:tc>
          <w:tcPr>
            <w:tcW w:w="2835" w:type="dxa"/>
            <w:vAlign w:val="center"/>
          </w:tcPr>
          <w:p w14:paraId="75C34E88">
            <w:pPr>
              <w:pStyle w:val="12"/>
            </w:pPr>
            <w:r>
              <w:t>资金支付率</w:t>
            </w:r>
          </w:p>
        </w:tc>
        <w:tc>
          <w:tcPr>
            <w:tcW w:w="5386" w:type="dxa"/>
            <w:vAlign w:val="center"/>
          </w:tcPr>
          <w:p w14:paraId="13EFB3E6">
            <w:pPr>
              <w:pStyle w:val="12"/>
            </w:pPr>
            <w:r>
              <w:t>按照序时进度完成资金支付</w:t>
            </w:r>
          </w:p>
        </w:tc>
        <w:tc>
          <w:tcPr>
            <w:tcW w:w="2268" w:type="dxa"/>
            <w:vAlign w:val="center"/>
          </w:tcPr>
          <w:p w14:paraId="16229609">
            <w:pPr>
              <w:pStyle w:val="12"/>
            </w:pPr>
            <w:r>
              <w:t>100%</w:t>
            </w:r>
          </w:p>
        </w:tc>
        <w:tc>
          <w:tcPr>
            <w:tcW w:w="1276" w:type="dxa"/>
            <w:vAlign w:val="center"/>
          </w:tcPr>
          <w:p w14:paraId="5A942A7C">
            <w:pPr>
              <w:pStyle w:val="12"/>
            </w:pPr>
            <w:r>
              <w:t>项目规划</w:t>
            </w:r>
          </w:p>
        </w:tc>
      </w:tr>
      <w:tr w14:paraId="3C6F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A4CA4"/>
        </w:tc>
        <w:tc>
          <w:tcPr>
            <w:tcW w:w="2268" w:type="dxa"/>
            <w:vAlign w:val="center"/>
          </w:tcPr>
          <w:p w14:paraId="37757D5F">
            <w:pPr>
              <w:pStyle w:val="12"/>
            </w:pPr>
            <w:r>
              <w:t>成本指标</w:t>
            </w:r>
          </w:p>
        </w:tc>
        <w:tc>
          <w:tcPr>
            <w:tcW w:w="2835" w:type="dxa"/>
            <w:vAlign w:val="center"/>
          </w:tcPr>
          <w:p w14:paraId="57E35E5A">
            <w:pPr>
              <w:pStyle w:val="12"/>
            </w:pPr>
            <w:r>
              <w:t>项目成本控制情况</w:t>
            </w:r>
          </w:p>
        </w:tc>
        <w:tc>
          <w:tcPr>
            <w:tcW w:w="5386" w:type="dxa"/>
            <w:vAlign w:val="center"/>
          </w:tcPr>
          <w:p w14:paraId="356E0506">
            <w:pPr>
              <w:pStyle w:val="12"/>
            </w:pPr>
            <w:r>
              <w:t>严格按照招标价格及审计额进行</w:t>
            </w:r>
          </w:p>
        </w:tc>
        <w:tc>
          <w:tcPr>
            <w:tcW w:w="2268" w:type="dxa"/>
            <w:vAlign w:val="center"/>
          </w:tcPr>
          <w:p w14:paraId="00ED662C">
            <w:pPr>
              <w:pStyle w:val="12"/>
            </w:pPr>
            <w:r>
              <w:t>128995元</w:t>
            </w:r>
          </w:p>
        </w:tc>
        <w:tc>
          <w:tcPr>
            <w:tcW w:w="1276" w:type="dxa"/>
            <w:vAlign w:val="center"/>
          </w:tcPr>
          <w:p w14:paraId="053B77EB">
            <w:pPr>
              <w:pStyle w:val="12"/>
            </w:pPr>
            <w:r>
              <w:t>项目规划</w:t>
            </w:r>
          </w:p>
        </w:tc>
      </w:tr>
      <w:tr w14:paraId="26A0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417FF">
            <w:pPr>
              <w:pStyle w:val="13"/>
            </w:pPr>
            <w:r>
              <w:t>效益指标</w:t>
            </w:r>
          </w:p>
        </w:tc>
        <w:tc>
          <w:tcPr>
            <w:tcW w:w="2268" w:type="dxa"/>
            <w:vAlign w:val="center"/>
          </w:tcPr>
          <w:p w14:paraId="5D1D2D74">
            <w:pPr>
              <w:pStyle w:val="12"/>
            </w:pPr>
            <w:r>
              <w:t>可持续影响指标</w:t>
            </w:r>
          </w:p>
        </w:tc>
        <w:tc>
          <w:tcPr>
            <w:tcW w:w="2835" w:type="dxa"/>
            <w:vAlign w:val="center"/>
          </w:tcPr>
          <w:p w14:paraId="534A3BDD">
            <w:pPr>
              <w:pStyle w:val="12"/>
            </w:pPr>
            <w:r>
              <w:t>学校办学环境提升</w:t>
            </w:r>
          </w:p>
        </w:tc>
        <w:tc>
          <w:tcPr>
            <w:tcW w:w="5386" w:type="dxa"/>
            <w:vAlign w:val="center"/>
          </w:tcPr>
          <w:p w14:paraId="2985435D">
            <w:pPr>
              <w:pStyle w:val="12"/>
            </w:pPr>
            <w:r>
              <w:t>学校教学环境提升优化率</w:t>
            </w:r>
          </w:p>
        </w:tc>
        <w:tc>
          <w:tcPr>
            <w:tcW w:w="2268" w:type="dxa"/>
            <w:vAlign w:val="center"/>
          </w:tcPr>
          <w:p w14:paraId="190A377F">
            <w:pPr>
              <w:pStyle w:val="12"/>
            </w:pPr>
            <w:r>
              <w:t>≥98%</w:t>
            </w:r>
          </w:p>
        </w:tc>
        <w:tc>
          <w:tcPr>
            <w:tcW w:w="1276" w:type="dxa"/>
            <w:vAlign w:val="center"/>
          </w:tcPr>
          <w:p w14:paraId="3702A6D4">
            <w:pPr>
              <w:pStyle w:val="12"/>
            </w:pPr>
            <w:r>
              <w:t>项目规划</w:t>
            </w:r>
          </w:p>
        </w:tc>
      </w:tr>
      <w:tr w14:paraId="5186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72BA7">
            <w:pPr>
              <w:pStyle w:val="13"/>
            </w:pPr>
            <w:r>
              <w:t>满意度指标</w:t>
            </w:r>
          </w:p>
        </w:tc>
        <w:tc>
          <w:tcPr>
            <w:tcW w:w="2268" w:type="dxa"/>
            <w:vAlign w:val="center"/>
          </w:tcPr>
          <w:p w14:paraId="204820B1">
            <w:pPr>
              <w:pStyle w:val="12"/>
            </w:pPr>
            <w:r>
              <w:t>服务对象满意度指标</w:t>
            </w:r>
          </w:p>
        </w:tc>
        <w:tc>
          <w:tcPr>
            <w:tcW w:w="2835" w:type="dxa"/>
            <w:vAlign w:val="center"/>
          </w:tcPr>
          <w:p w14:paraId="41FCC574">
            <w:pPr>
              <w:pStyle w:val="12"/>
            </w:pPr>
            <w:r>
              <w:t>受益学生家长及调查满意度</w:t>
            </w:r>
          </w:p>
        </w:tc>
        <w:tc>
          <w:tcPr>
            <w:tcW w:w="5386" w:type="dxa"/>
            <w:vAlign w:val="center"/>
          </w:tcPr>
          <w:p w14:paraId="1CEEBA08">
            <w:pPr>
              <w:pStyle w:val="12"/>
            </w:pPr>
            <w:r>
              <w:t>学生、教师及家长对学校教学环境满意度情况</w:t>
            </w:r>
          </w:p>
        </w:tc>
        <w:tc>
          <w:tcPr>
            <w:tcW w:w="2268" w:type="dxa"/>
            <w:vAlign w:val="center"/>
          </w:tcPr>
          <w:p w14:paraId="3CE8F589">
            <w:pPr>
              <w:pStyle w:val="12"/>
            </w:pPr>
            <w:r>
              <w:t>≥95%</w:t>
            </w:r>
          </w:p>
        </w:tc>
        <w:tc>
          <w:tcPr>
            <w:tcW w:w="1276" w:type="dxa"/>
            <w:vAlign w:val="center"/>
          </w:tcPr>
          <w:p w14:paraId="36AE2929">
            <w:pPr>
              <w:pStyle w:val="12"/>
            </w:pPr>
            <w:r>
              <w:t>调查问卷</w:t>
            </w:r>
          </w:p>
        </w:tc>
      </w:tr>
    </w:tbl>
    <w:p w14:paraId="44C7CDB9">
      <w:pPr>
        <w:sectPr>
          <w:pgSz w:w="16840" w:h="11900" w:orient="landscape"/>
          <w:pgMar w:top="1361" w:right="1020" w:bottom="1134" w:left="1020" w:header="720" w:footer="720" w:gutter="0"/>
          <w:cols w:space="720" w:num="1"/>
        </w:sectPr>
      </w:pPr>
    </w:p>
    <w:p w14:paraId="1858FCC5">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4、冀财教[2025]121号/中央/2026年义教补助经费/魏庄校区魏庄小学公用经费绩效目标表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2C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0457D">
            <w:pPr>
              <w:pStyle w:val="11"/>
            </w:pPr>
            <w:r>
              <w:t>单位：万元</w:t>
            </w:r>
          </w:p>
        </w:tc>
      </w:tr>
      <w:tr w14:paraId="5B3D6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F416C">
            <w:pPr>
              <w:pStyle w:val="10"/>
            </w:pPr>
            <w:r>
              <w:t>项目编码</w:t>
            </w:r>
          </w:p>
        </w:tc>
        <w:tc>
          <w:tcPr>
            <w:tcW w:w="5103" w:type="dxa"/>
            <w:gridSpan w:val="2"/>
            <w:vAlign w:val="center"/>
          </w:tcPr>
          <w:p w14:paraId="637BF585">
            <w:pPr>
              <w:pStyle w:val="12"/>
            </w:pPr>
            <w:r>
              <w:t>13052526P00000410267H</w:t>
            </w:r>
          </w:p>
        </w:tc>
        <w:tc>
          <w:tcPr>
            <w:tcW w:w="2835" w:type="dxa"/>
            <w:vAlign w:val="center"/>
          </w:tcPr>
          <w:p w14:paraId="1ED7DE21">
            <w:pPr>
              <w:pStyle w:val="10"/>
            </w:pPr>
            <w:r>
              <w:t>项目名称</w:t>
            </w:r>
          </w:p>
        </w:tc>
        <w:tc>
          <w:tcPr>
            <w:tcW w:w="6095" w:type="dxa"/>
            <w:gridSpan w:val="3"/>
            <w:vAlign w:val="center"/>
          </w:tcPr>
          <w:p w14:paraId="66E24F15">
            <w:pPr>
              <w:pStyle w:val="12"/>
            </w:pPr>
            <w:r>
              <w:t>冀财教[2025]121号/中央/2026年义教补助经费/魏庄校区魏庄小学公用经费</w:t>
            </w:r>
          </w:p>
        </w:tc>
      </w:tr>
      <w:tr w14:paraId="57284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16AED">
            <w:pPr>
              <w:pStyle w:val="10"/>
            </w:pPr>
            <w:r>
              <w:t>预算规模及资金用途</w:t>
            </w:r>
          </w:p>
        </w:tc>
        <w:tc>
          <w:tcPr>
            <w:tcW w:w="2268" w:type="dxa"/>
            <w:vAlign w:val="center"/>
          </w:tcPr>
          <w:p w14:paraId="52E7A858">
            <w:pPr>
              <w:pStyle w:val="10"/>
            </w:pPr>
            <w:r>
              <w:t>预算数</w:t>
            </w:r>
          </w:p>
        </w:tc>
        <w:tc>
          <w:tcPr>
            <w:tcW w:w="2835" w:type="dxa"/>
            <w:vAlign w:val="center"/>
          </w:tcPr>
          <w:p w14:paraId="6F94649F">
            <w:pPr>
              <w:pStyle w:val="12"/>
            </w:pPr>
            <w:r>
              <w:t>74.89</w:t>
            </w:r>
          </w:p>
        </w:tc>
        <w:tc>
          <w:tcPr>
            <w:tcW w:w="2835" w:type="dxa"/>
            <w:vAlign w:val="center"/>
          </w:tcPr>
          <w:p w14:paraId="4DFB3DA0">
            <w:pPr>
              <w:pStyle w:val="10"/>
            </w:pPr>
            <w:r>
              <w:t>其中：财政    资金</w:t>
            </w:r>
          </w:p>
        </w:tc>
        <w:tc>
          <w:tcPr>
            <w:tcW w:w="2551" w:type="dxa"/>
            <w:vAlign w:val="center"/>
          </w:tcPr>
          <w:p w14:paraId="3B6D0825">
            <w:pPr>
              <w:pStyle w:val="12"/>
            </w:pPr>
            <w:r>
              <w:t>74.89</w:t>
            </w:r>
          </w:p>
        </w:tc>
        <w:tc>
          <w:tcPr>
            <w:tcW w:w="2268" w:type="dxa"/>
            <w:vAlign w:val="center"/>
          </w:tcPr>
          <w:p w14:paraId="300C55C0">
            <w:pPr>
              <w:pStyle w:val="10"/>
            </w:pPr>
            <w:r>
              <w:t>其他资金</w:t>
            </w:r>
          </w:p>
        </w:tc>
        <w:tc>
          <w:tcPr>
            <w:tcW w:w="1276" w:type="dxa"/>
            <w:vAlign w:val="center"/>
          </w:tcPr>
          <w:p w14:paraId="06D1A3D0">
            <w:pPr>
              <w:pStyle w:val="12"/>
            </w:pPr>
            <w:r>
              <w:t xml:space="preserve"> </w:t>
            </w:r>
          </w:p>
        </w:tc>
      </w:tr>
      <w:tr w14:paraId="38FA0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77F9A"/>
        </w:tc>
        <w:tc>
          <w:tcPr>
            <w:tcW w:w="14033" w:type="dxa"/>
            <w:gridSpan w:val="6"/>
            <w:vAlign w:val="center"/>
          </w:tcPr>
          <w:p w14:paraId="67BCF8AB">
            <w:pPr>
              <w:pStyle w:val="12"/>
            </w:pPr>
            <w:r>
              <w:t>保障学校正常运转，完成各项教育教学活动和其他日常工作任务等方面的费用支出。</w:t>
            </w:r>
          </w:p>
        </w:tc>
      </w:tr>
      <w:tr w14:paraId="5AF48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A051A">
            <w:pPr>
              <w:pStyle w:val="10"/>
            </w:pPr>
            <w:r>
              <w:t>资金支出计划（%）</w:t>
            </w:r>
          </w:p>
        </w:tc>
        <w:tc>
          <w:tcPr>
            <w:tcW w:w="5103" w:type="dxa"/>
            <w:gridSpan w:val="2"/>
            <w:vAlign w:val="center"/>
          </w:tcPr>
          <w:p w14:paraId="21546EBF">
            <w:pPr>
              <w:pStyle w:val="10"/>
            </w:pPr>
            <w:r>
              <w:t>3月底</w:t>
            </w:r>
          </w:p>
        </w:tc>
        <w:tc>
          <w:tcPr>
            <w:tcW w:w="2835" w:type="dxa"/>
            <w:vAlign w:val="center"/>
          </w:tcPr>
          <w:p w14:paraId="25FD552A">
            <w:pPr>
              <w:pStyle w:val="10"/>
            </w:pPr>
            <w:r>
              <w:t>6月底</w:t>
            </w:r>
          </w:p>
        </w:tc>
        <w:tc>
          <w:tcPr>
            <w:tcW w:w="2551" w:type="dxa"/>
            <w:vAlign w:val="center"/>
          </w:tcPr>
          <w:p w14:paraId="2C6A596B">
            <w:pPr>
              <w:pStyle w:val="10"/>
            </w:pPr>
            <w:r>
              <w:t>10月底</w:t>
            </w:r>
          </w:p>
        </w:tc>
        <w:tc>
          <w:tcPr>
            <w:tcW w:w="3544" w:type="dxa"/>
            <w:gridSpan w:val="2"/>
            <w:vAlign w:val="center"/>
          </w:tcPr>
          <w:p w14:paraId="5743F46B">
            <w:pPr>
              <w:pStyle w:val="10"/>
            </w:pPr>
            <w:r>
              <w:t>12月底</w:t>
            </w:r>
          </w:p>
        </w:tc>
      </w:tr>
      <w:tr w14:paraId="4D5C1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D6BEC"/>
        </w:tc>
        <w:tc>
          <w:tcPr>
            <w:tcW w:w="5103" w:type="dxa"/>
            <w:gridSpan w:val="2"/>
            <w:vAlign w:val="center"/>
          </w:tcPr>
          <w:p w14:paraId="59555844">
            <w:pPr>
              <w:pStyle w:val="13"/>
            </w:pPr>
            <w:r>
              <w:t>25%</w:t>
            </w:r>
          </w:p>
        </w:tc>
        <w:tc>
          <w:tcPr>
            <w:tcW w:w="2835" w:type="dxa"/>
            <w:vAlign w:val="center"/>
          </w:tcPr>
          <w:p w14:paraId="0919FC8B">
            <w:pPr>
              <w:pStyle w:val="13"/>
            </w:pPr>
            <w:r>
              <w:t>50%</w:t>
            </w:r>
          </w:p>
        </w:tc>
        <w:tc>
          <w:tcPr>
            <w:tcW w:w="2551" w:type="dxa"/>
            <w:vAlign w:val="center"/>
          </w:tcPr>
          <w:p w14:paraId="27890EAA">
            <w:pPr>
              <w:pStyle w:val="13"/>
            </w:pPr>
            <w:r>
              <w:t>75%</w:t>
            </w:r>
          </w:p>
        </w:tc>
        <w:tc>
          <w:tcPr>
            <w:tcW w:w="3544" w:type="dxa"/>
            <w:gridSpan w:val="2"/>
            <w:vAlign w:val="center"/>
          </w:tcPr>
          <w:p w14:paraId="5B39CCC6">
            <w:pPr>
              <w:pStyle w:val="13"/>
            </w:pPr>
            <w:r>
              <w:t>100%</w:t>
            </w:r>
          </w:p>
        </w:tc>
      </w:tr>
      <w:tr w14:paraId="174BE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140C0">
            <w:pPr>
              <w:pStyle w:val="10"/>
            </w:pPr>
            <w:r>
              <w:t>绩效目标</w:t>
            </w:r>
          </w:p>
        </w:tc>
        <w:tc>
          <w:tcPr>
            <w:tcW w:w="14033" w:type="dxa"/>
            <w:gridSpan w:val="6"/>
            <w:vAlign w:val="center"/>
          </w:tcPr>
          <w:p w14:paraId="1416AEC3">
            <w:pPr>
              <w:pStyle w:val="12"/>
            </w:pPr>
            <w:r>
              <w:t>1.保障学校正常运转，完成各项教育教学活动和其他日常工作任务等方面的费用支出。</w:t>
            </w:r>
          </w:p>
          <w:p w14:paraId="632C6A83">
            <w:pPr>
              <w:pStyle w:val="12"/>
            </w:pPr>
            <w:r>
              <w:t>2.按季度分批次拨付公用经费资金，资金拨付率达到100%。</w:t>
            </w:r>
          </w:p>
        </w:tc>
      </w:tr>
    </w:tbl>
    <w:p w14:paraId="4F7C4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1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3161E">
            <w:pPr>
              <w:pStyle w:val="10"/>
            </w:pPr>
            <w:r>
              <w:t>一级指标</w:t>
            </w:r>
          </w:p>
        </w:tc>
        <w:tc>
          <w:tcPr>
            <w:tcW w:w="2268" w:type="dxa"/>
            <w:vAlign w:val="center"/>
          </w:tcPr>
          <w:p w14:paraId="0CBFF872">
            <w:pPr>
              <w:pStyle w:val="10"/>
            </w:pPr>
            <w:r>
              <w:t>二级指标</w:t>
            </w:r>
          </w:p>
        </w:tc>
        <w:tc>
          <w:tcPr>
            <w:tcW w:w="2835" w:type="dxa"/>
            <w:vAlign w:val="center"/>
          </w:tcPr>
          <w:p w14:paraId="4390D78D">
            <w:pPr>
              <w:pStyle w:val="10"/>
            </w:pPr>
            <w:r>
              <w:t>三级指标</w:t>
            </w:r>
          </w:p>
        </w:tc>
        <w:tc>
          <w:tcPr>
            <w:tcW w:w="5386" w:type="dxa"/>
            <w:vAlign w:val="center"/>
          </w:tcPr>
          <w:p w14:paraId="1AE17659">
            <w:pPr>
              <w:pStyle w:val="10"/>
            </w:pPr>
            <w:r>
              <w:t>绩效指标描述</w:t>
            </w:r>
          </w:p>
        </w:tc>
        <w:tc>
          <w:tcPr>
            <w:tcW w:w="2268" w:type="dxa"/>
            <w:vAlign w:val="center"/>
          </w:tcPr>
          <w:p w14:paraId="217CA441">
            <w:pPr>
              <w:pStyle w:val="10"/>
            </w:pPr>
            <w:r>
              <w:t>指标值</w:t>
            </w:r>
          </w:p>
        </w:tc>
        <w:tc>
          <w:tcPr>
            <w:tcW w:w="1276" w:type="dxa"/>
            <w:vAlign w:val="center"/>
          </w:tcPr>
          <w:p w14:paraId="5FF8D937">
            <w:pPr>
              <w:pStyle w:val="10"/>
            </w:pPr>
            <w:r>
              <w:t>指标值确定依据</w:t>
            </w:r>
          </w:p>
        </w:tc>
      </w:tr>
      <w:tr w14:paraId="0AC5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BDFBA">
            <w:pPr>
              <w:pStyle w:val="13"/>
            </w:pPr>
            <w:r>
              <w:t>产出指标</w:t>
            </w:r>
          </w:p>
        </w:tc>
        <w:tc>
          <w:tcPr>
            <w:tcW w:w="2268" w:type="dxa"/>
            <w:vAlign w:val="center"/>
          </w:tcPr>
          <w:p w14:paraId="7527DDCD">
            <w:pPr>
              <w:pStyle w:val="12"/>
            </w:pPr>
            <w:r>
              <w:t>数量指标</w:t>
            </w:r>
          </w:p>
        </w:tc>
        <w:tc>
          <w:tcPr>
            <w:tcW w:w="2835" w:type="dxa"/>
            <w:vAlign w:val="center"/>
          </w:tcPr>
          <w:p w14:paraId="07AA7BEC">
            <w:pPr>
              <w:pStyle w:val="12"/>
            </w:pPr>
            <w:r>
              <w:t>就读学生数</w:t>
            </w:r>
          </w:p>
        </w:tc>
        <w:tc>
          <w:tcPr>
            <w:tcW w:w="5386" w:type="dxa"/>
            <w:vAlign w:val="center"/>
          </w:tcPr>
          <w:p w14:paraId="203637C0">
            <w:pPr>
              <w:pStyle w:val="12"/>
            </w:pPr>
            <w:r>
              <w:t>辐射区域内适龄学生人数</w:t>
            </w:r>
          </w:p>
        </w:tc>
        <w:tc>
          <w:tcPr>
            <w:tcW w:w="2268" w:type="dxa"/>
            <w:vAlign w:val="center"/>
          </w:tcPr>
          <w:p w14:paraId="4FAF7219">
            <w:pPr>
              <w:pStyle w:val="12"/>
            </w:pPr>
            <w:r>
              <w:t>1228人</w:t>
            </w:r>
          </w:p>
        </w:tc>
        <w:tc>
          <w:tcPr>
            <w:tcW w:w="1276" w:type="dxa"/>
            <w:vAlign w:val="center"/>
          </w:tcPr>
          <w:p w14:paraId="2CC0852F">
            <w:pPr>
              <w:pStyle w:val="12"/>
            </w:pPr>
            <w:r>
              <w:t>城乡义务教育公用经费管理办法</w:t>
            </w:r>
          </w:p>
        </w:tc>
      </w:tr>
      <w:tr w14:paraId="2CBC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6FBCA"/>
        </w:tc>
        <w:tc>
          <w:tcPr>
            <w:tcW w:w="2268" w:type="dxa"/>
            <w:vAlign w:val="center"/>
          </w:tcPr>
          <w:p w14:paraId="37F4BEC5">
            <w:pPr>
              <w:pStyle w:val="12"/>
            </w:pPr>
            <w:r>
              <w:t>质量指标</w:t>
            </w:r>
          </w:p>
        </w:tc>
        <w:tc>
          <w:tcPr>
            <w:tcW w:w="2835" w:type="dxa"/>
            <w:vAlign w:val="center"/>
          </w:tcPr>
          <w:p w14:paraId="5588DBE5">
            <w:pPr>
              <w:pStyle w:val="12"/>
            </w:pPr>
            <w:r>
              <w:t>预算执行率</w:t>
            </w:r>
          </w:p>
        </w:tc>
        <w:tc>
          <w:tcPr>
            <w:tcW w:w="5386" w:type="dxa"/>
            <w:vAlign w:val="center"/>
          </w:tcPr>
          <w:p w14:paraId="6EA815AC">
            <w:pPr>
              <w:pStyle w:val="12"/>
            </w:pPr>
            <w:r>
              <w:t>预算执行率</w:t>
            </w:r>
          </w:p>
        </w:tc>
        <w:tc>
          <w:tcPr>
            <w:tcW w:w="2268" w:type="dxa"/>
            <w:vAlign w:val="center"/>
          </w:tcPr>
          <w:p w14:paraId="13343917">
            <w:pPr>
              <w:pStyle w:val="12"/>
            </w:pPr>
            <w:r>
              <w:t>≥95%</w:t>
            </w:r>
          </w:p>
        </w:tc>
        <w:tc>
          <w:tcPr>
            <w:tcW w:w="1276" w:type="dxa"/>
            <w:vAlign w:val="center"/>
          </w:tcPr>
          <w:p w14:paraId="14EA82B2">
            <w:pPr>
              <w:pStyle w:val="12"/>
            </w:pPr>
            <w:r>
              <w:t>城乡义务教育公用经费管理办法</w:t>
            </w:r>
          </w:p>
        </w:tc>
      </w:tr>
      <w:tr w14:paraId="299B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E6144"/>
        </w:tc>
        <w:tc>
          <w:tcPr>
            <w:tcW w:w="2268" w:type="dxa"/>
            <w:vAlign w:val="center"/>
          </w:tcPr>
          <w:p w14:paraId="6C9B9A43">
            <w:pPr>
              <w:pStyle w:val="12"/>
            </w:pPr>
            <w:r>
              <w:t>时效指标</w:t>
            </w:r>
          </w:p>
        </w:tc>
        <w:tc>
          <w:tcPr>
            <w:tcW w:w="2835" w:type="dxa"/>
            <w:vAlign w:val="center"/>
          </w:tcPr>
          <w:p w14:paraId="049C949C">
            <w:pPr>
              <w:pStyle w:val="12"/>
            </w:pPr>
            <w:r>
              <w:t>义教经费支付完成率</w:t>
            </w:r>
          </w:p>
        </w:tc>
        <w:tc>
          <w:tcPr>
            <w:tcW w:w="5386" w:type="dxa"/>
            <w:vAlign w:val="center"/>
          </w:tcPr>
          <w:p w14:paraId="4595DF01">
            <w:pPr>
              <w:pStyle w:val="12"/>
            </w:pPr>
            <w:r>
              <w:t>按照序时进度完成资金支付</w:t>
            </w:r>
          </w:p>
        </w:tc>
        <w:tc>
          <w:tcPr>
            <w:tcW w:w="2268" w:type="dxa"/>
            <w:vAlign w:val="center"/>
          </w:tcPr>
          <w:p w14:paraId="6C022C01">
            <w:pPr>
              <w:pStyle w:val="12"/>
            </w:pPr>
            <w:r>
              <w:t>100%</w:t>
            </w:r>
          </w:p>
        </w:tc>
        <w:tc>
          <w:tcPr>
            <w:tcW w:w="1276" w:type="dxa"/>
            <w:vAlign w:val="center"/>
          </w:tcPr>
          <w:p w14:paraId="51197630">
            <w:pPr>
              <w:pStyle w:val="12"/>
            </w:pPr>
            <w:r>
              <w:t>城乡义务教育公用经费管理办法</w:t>
            </w:r>
          </w:p>
        </w:tc>
      </w:tr>
      <w:tr w14:paraId="44D8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EEB0"/>
        </w:tc>
        <w:tc>
          <w:tcPr>
            <w:tcW w:w="2268" w:type="dxa"/>
            <w:vAlign w:val="center"/>
          </w:tcPr>
          <w:p w14:paraId="1EE8AC44">
            <w:pPr>
              <w:pStyle w:val="12"/>
            </w:pPr>
            <w:r>
              <w:t>成本指标</w:t>
            </w:r>
          </w:p>
        </w:tc>
        <w:tc>
          <w:tcPr>
            <w:tcW w:w="2835" w:type="dxa"/>
            <w:vAlign w:val="center"/>
          </w:tcPr>
          <w:p w14:paraId="700C56FB">
            <w:pPr>
              <w:pStyle w:val="12"/>
            </w:pPr>
            <w:r>
              <w:t>生均拨款标准</w:t>
            </w:r>
          </w:p>
        </w:tc>
        <w:tc>
          <w:tcPr>
            <w:tcW w:w="5386" w:type="dxa"/>
            <w:vAlign w:val="center"/>
          </w:tcPr>
          <w:p w14:paraId="40464417">
            <w:pPr>
              <w:pStyle w:val="12"/>
            </w:pPr>
            <w:r>
              <w:t>小学生公用经费生均公用经费基准定额为720元/年/生，取暖费120元/年/生，住宿生补助300元/年/生的标准，随班就读学生补助7000元/生/年</w:t>
            </w:r>
          </w:p>
        </w:tc>
        <w:tc>
          <w:tcPr>
            <w:tcW w:w="2268" w:type="dxa"/>
            <w:vAlign w:val="center"/>
          </w:tcPr>
          <w:p w14:paraId="34DC5E02">
            <w:pPr>
              <w:pStyle w:val="12"/>
            </w:pPr>
            <w:r>
              <w:t>840元</w:t>
            </w:r>
          </w:p>
        </w:tc>
        <w:tc>
          <w:tcPr>
            <w:tcW w:w="1276" w:type="dxa"/>
            <w:vAlign w:val="center"/>
          </w:tcPr>
          <w:p w14:paraId="67E2F2C7">
            <w:pPr>
              <w:pStyle w:val="12"/>
            </w:pPr>
            <w:r>
              <w:t>城乡义务教育公用经费管理办法</w:t>
            </w:r>
          </w:p>
        </w:tc>
      </w:tr>
      <w:tr w14:paraId="4110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016A1">
            <w:pPr>
              <w:pStyle w:val="13"/>
            </w:pPr>
            <w:r>
              <w:t>效益指标</w:t>
            </w:r>
          </w:p>
        </w:tc>
        <w:tc>
          <w:tcPr>
            <w:tcW w:w="2268" w:type="dxa"/>
            <w:vAlign w:val="center"/>
          </w:tcPr>
          <w:p w14:paraId="103EE20C">
            <w:pPr>
              <w:pStyle w:val="12"/>
            </w:pPr>
            <w:r>
              <w:t>可持续影响指标</w:t>
            </w:r>
          </w:p>
        </w:tc>
        <w:tc>
          <w:tcPr>
            <w:tcW w:w="2835" w:type="dxa"/>
            <w:vAlign w:val="center"/>
          </w:tcPr>
          <w:p w14:paraId="4777F732">
            <w:pPr>
              <w:pStyle w:val="12"/>
            </w:pPr>
            <w:r>
              <w:t>学校运转得到提高</w:t>
            </w:r>
          </w:p>
        </w:tc>
        <w:tc>
          <w:tcPr>
            <w:tcW w:w="5386" w:type="dxa"/>
            <w:vAlign w:val="center"/>
          </w:tcPr>
          <w:p w14:paraId="45225D38">
            <w:pPr>
              <w:pStyle w:val="12"/>
            </w:pPr>
            <w:r>
              <w:t>学生受教育年限</w:t>
            </w:r>
          </w:p>
        </w:tc>
        <w:tc>
          <w:tcPr>
            <w:tcW w:w="2268" w:type="dxa"/>
            <w:vAlign w:val="center"/>
          </w:tcPr>
          <w:p w14:paraId="0AB9D1BC">
            <w:pPr>
              <w:pStyle w:val="12"/>
            </w:pPr>
            <w:r>
              <w:t>6年</w:t>
            </w:r>
          </w:p>
        </w:tc>
        <w:tc>
          <w:tcPr>
            <w:tcW w:w="1276" w:type="dxa"/>
            <w:vAlign w:val="center"/>
          </w:tcPr>
          <w:p w14:paraId="5D7B064B">
            <w:pPr>
              <w:pStyle w:val="12"/>
            </w:pPr>
            <w:r>
              <w:t>城乡义务教育公用经费管理办法</w:t>
            </w:r>
          </w:p>
        </w:tc>
      </w:tr>
      <w:tr w14:paraId="1B97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24EE2">
            <w:pPr>
              <w:pStyle w:val="13"/>
            </w:pPr>
            <w:r>
              <w:t>满意度指标</w:t>
            </w:r>
          </w:p>
        </w:tc>
        <w:tc>
          <w:tcPr>
            <w:tcW w:w="2268" w:type="dxa"/>
            <w:vAlign w:val="center"/>
          </w:tcPr>
          <w:p w14:paraId="47B85E8D">
            <w:pPr>
              <w:pStyle w:val="12"/>
            </w:pPr>
            <w:r>
              <w:t>服务对象满意度指标</w:t>
            </w:r>
          </w:p>
        </w:tc>
        <w:tc>
          <w:tcPr>
            <w:tcW w:w="2835" w:type="dxa"/>
            <w:vAlign w:val="center"/>
          </w:tcPr>
          <w:p w14:paraId="000F1FEC">
            <w:pPr>
              <w:pStyle w:val="12"/>
            </w:pPr>
            <w:r>
              <w:t>服务对象满意度</w:t>
            </w:r>
          </w:p>
        </w:tc>
        <w:tc>
          <w:tcPr>
            <w:tcW w:w="5386" w:type="dxa"/>
            <w:vAlign w:val="center"/>
          </w:tcPr>
          <w:p w14:paraId="1BBA5B9E">
            <w:pPr>
              <w:pStyle w:val="12"/>
            </w:pPr>
            <w:r>
              <w:t>学校老师和学生满意度</w:t>
            </w:r>
          </w:p>
        </w:tc>
        <w:tc>
          <w:tcPr>
            <w:tcW w:w="2268" w:type="dxa"/>
            <w:vAlign w:val="center"/>
          </w:tcPr>
          <w:p w14:paraId="173B4490">
            <w:pPr>
              <w:pStyle w:val="12"/>
            </w:pPr>
            <w:r>
              <w:t>≥95%</w:t>
            </w:r>
          </w:p>
        </w:tc>
        <w:tc>
          <w:tcPr>
            <w:tcW w:w="1276" w:type="dxa"/>
            <w:vAlign w:val="center"/>
          </w:tcPr>
          <w:p w14:paraId="16408191">
            <w:pPr>
              <w:pStyle w:val="12"/>
            </w:pPr>
            <w:r>
              <w:t>群众测评</w:t>
            </w:r>
          </w:p>
        </w:tc>
      </w:tr>
    </w:tbl>
    <w:p w14:paraId="5C3337FE">
      <w:pPr>
        <w:sectPr>
          <w:pgSz w:w="16840" w:h="11900" w:orient="landscape"/>
          <w:pgMar w:top="1361" w:right="1020" w:bottom="1134" w:left="1020" w:header="720" w:footer="720" w:gutter="0"/>
          <w:cols w:space="720" w:num="1"/>
        </w:sectPr>
      </w:pPr>
    </w:p>
    <w:p w14:paraId="7CBACE0D">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5、冀财教[2025]121号/中央/2026年义教补助经费/魏庄校区肖实小学公用经费绩效目标表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7C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86E29">
            <w:pPr>
              <w:pStyle w:val="11"/>
            </w:pPr>
            <w:r>
              <w:t>单位：万元</w:t>
            </w:r>
          </w:p>
        </w:tc>
      </w:tr>
      <w:tr w14:paraId="54C3E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29073">
            <w:pPr>
              <w:pStyle w:val="10"/>
            </w:pPr>
            <w:r>
              <w:t>项目编码</w:t>
            </w:r>
          </w:p>
        </w:tc>
        <w:tc>
          <w:tcPr>
            <w:tcW w:w="5103" w:type="dxa"/>
            <w:gridSpan w:val="2"/>
            <w:vAlign w:val="center"/>
          </w:tcPr>
          <w:p w14:paraId="083C5D86">
            <w:pPr>
              <w:pStyle w:val="12"/>
            </w:pPr>
            <w:r>
              <w:t>13052526P00000410269Q</w:t>
            </w:r>
          </w:p>
        </w:tc>
        <w:tc>
          <w:tcPr>
            <w:tcW w:w="2835" w:type="dxa"/>
            <w:vAlign w:val="center"/>
          </w:tcPr>
          <w:p w14:paraId="0C34FDA1">
            <w:pPr>
              <w:pStyle w:val="10"/>
            </w:pPr>
            <w:r>
              <w:t>项目名称</w:t>
            </w:r>
          </w:p>
        </w:tc>
        <w:tc>
          <w:tcPr>
            <w:tcW w:w="6095" w:type="dxa"/>
            <w:gridSpan w:val="3"/>
            <w:vAlign w:val="center"/>
          </w:tcPr>
          <w:p w14:paraId="106CD561">
            <w:pPr>
              <w:pStyle w:val="12"/>
            </w:pPr>
            <w:r>
              <w:t>冀财教[2025]121号/中央/2026年义教补助经费/魏庄校区肖实小学公用经费</w:t>
            </w:r>
          </w:p>
        </w:tc>
      </w:tr>
      <w:tr w14:paraId="14C32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DE1D5">
            <w:pPr>
              <w:pStyle w:val="10"/>
            </w:pPr>
            <w:r>
              <w:t>预算规模及资金用途</w:t>
            </w:r>
          </w:p>
        </w:tc>
        <w:tc>
          <w:tcPr>
            <w:tcW w:w="2268" w:type="dxa"/>
            <w:vAlign w:val="center"/>
          </w:tcPr>
          <w:p w14:paraId="0DDA050A">
            <w:pPr>
              <w:pStyle w:val="10"/>
            </w:pPr>
            <w:r>
              <w:t>预算数</w:t>
            </w:r>
          </w:p>
        </w:tc>
        <w:tc>
          <w:tcPr>
            <w:tcW w:w="2835" w:type="dxa"/>
            <w:vAlign w:val="center"/>
          </w:tcPr>
          <w:p w14:paraId="74003F22">
            <w:pPr>
              <w:pStyle w:val="12"/>
            </w:pPr>
            <w:r>
              <w:t>12.73</w:t>
            </w:r>
          </w:p>
        </w:tc>
        <w:tc>
          <w:tcPr>
            <w:tcW w:w="2835" w:type="dxa"/>
            <w:vAlign w:val="center"/>
          </w:tcPr>
          <w:p w14:paraId="33240941">
            <w:pPr>
              <w:pStyle w:val="10"/>
            </w:pPr>
            <w:r>
              <w:t>其中：财政    资金</w:t>
            </w:r>
          </w:p>
        </w:tc>
        <w:tc>
          <w:tcPr>
            <w:tcW w:w="2551" w:type="dxa"/>
            <w:vAlign w:val="center"/>
          </w:tcPr>
          <w:p w14:paraId="6BF58244">
            <w:pPr>
              <w:pStyle w:val="12"/>
            </w:pPr>
            <w:r>
              <w:t>12.73</w:t>
            </w:r>
          </w:p>
        </w:tc>
        <w:tc>
          <w:tcPr>
            <w:tcW w:w="2268" w:type="dxa"/>
            <w:vAlign w:val="center"/>
          </w:tcPr>
          <w:p w14:paraId="361EE87A">
            <w:pPr>
              <w:pStyle w:val="10"/>
            </w:pPr>
            <w:r>
              <w:t>其他资金</w:t>
            </w:r>
          </w:p>
        </w:tc>
        <w:tc>
          <w:tcPr>
            <w:tcW w:w="1276" w:type="dxa"/>
            <w:vAlign w:val="center"/>
          </w:tcPr>
          <w:p w14:paraId="61E9469B">
            <w:pPr>
              <w:pStyle w:val="12"/>
            </w:pPr>
            <w:r>
              <w:t xml:space="preserve"> </w:t>
            </w:r>
          </w:p>
        </w:tc>
      </w:tr>
      <w:tr w14:paraId="5D9D7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0DFFF"/>
        </w:tc>
        <w:tc>
          <w:tcPr>
            <w:tcW w:w="14033" w:type="dxa"/>
            <w:gridSpan w:val="6"/>
            <w:vAlign w:val="center"/>
          </w:tcPr>
          <w:p w14:paraId="0724FFF6">
            <w:pPr>
              <w:pStyle w:val="12"/>
            </w:pPr>
            <w:r>
              <w:t>保障学校正常运转，完成各项教育教学活动和其他日常工作任务等方面的费用支出。</w:t>
            </w:r>
          </w:p>
        </w:tc>
      </w:tr>
      <w:tr w14:paraId="1BC73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BAD4B">
            <w:pPr>
              <w:pStyle w:val="10"/>
            </w:pPr>
            <w:r>
              <w:t>资金支出计划（%）</w:t>
            </w:r>
          </w:p>
        </w:tc>
        <w:tc>
          <w:tcPr>
            <w:tcW w:w="5103" w:type="dxa"/>
            <w:gridSpan w:val="2"/>
            <w:vAlign w:val="center"/>
          </w:tcPr>
          <w:p w14:paraId="140309B2">
            <w:pPr>
              <w:pStyle w:val="10"/>
            </w:pPr>
            <w:r>
              <w:t>3月底</w:t>
            </w:r>
          </w:p>
        </w:tc>
        <w:tc>
          <w:tcPr>
            <w:tcW w:w="2835" w:type="dxa"/>
            <w:vAlign w:val="center"/>
          </w:tcPr>
          <w:p w14:paraId="6303A2ED">
            <w:pPr>
              <w:pStyle w:val="10"/>
            </w:pPr>
            <w:r>
              <w:t>6月底</w:t>
            </w:r>
          </w:p>
        </w:tc>
        <w:tc>
          <w:tcPr>
            <w:tcW w:w="2551" w:type="dxa"/>
            <w:vAlign w:val="center"/>
          </w:tcPr>
          <w:p w14:paraId="334E7AEC">
            <w:pPr>
              <w:pStyle w:val="10"/>
            </w:pPr>
            <w:r>
              <w:t>10月底</w:t>
            </w:r>
          </w:p>
        </w:tc>
        <w:tc>
          <w:tcPr>
            <w:tcW w:w="3544" w:type="dxa"/>
            <w:gridSpan w:val="2"/>
            <w:vAlign w:val="center"/>
          </w:tcPr>
          <w:p w14:paraId="31B60ED0">
            <w:pPr>
              <w:pStyle w:val="10"/>
            </w:pPr>
            <w:r>
              <w:t>12月底</w:t>
            </w:r>
          </w:p>
        </w:tc>
      </w:tr>
      <w:tr w14:paraId="059D8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C1123"/>
        </w:tc>
        <w:tc>
          <w:tcPr>
            <w:tcW w:w="5103" w:type="dxa"/>
            <w:gridSpan w:val="2"/>
            <w:vAlign w:val="center"/>
          </w:tcPr>
          <w:p w14:paraId="0B2CFFE1">
            <w:pPr>
              <w:pStyle w:val="13"/>
            </w:pPr>
            <w:r>
              <w:t>25%</w:t>
            </w:r>
          </w:p>
        </w:tc>
        <w:tc>
          <w:tcPr>
            <w:tcW w:w="2835" w:type="dxa"/>
            <w:vAlign w:val="center"/>
          </w:tcPr>
          <w:p w14:paraId="7B00FD0A">
            <w:pPr>
              <w:pStyle w:val="13"/>
            </w:pPr>
            <w:r>
              <w:t>50%</w:t>
            </w:r>
          </w:p>
        </w:tc>
        <w:tc>
          <w:tcPr>
            <w:tcW w:w="2551" w:type="dxa"/>
            <w:vAlign w:val="center"/>
          </w:tcPr>
          <w:p w14:paraId="54C54E09">
            <w:pPr>
              <w:pStyle w:val="13"/>
            </w:pPr>
            <w:r>
              <w:t>75%</w:t>
            </w:r>
          </w:p>
        </w:tc>
        <w:tc>
          <w:tcPr>
            <w:tcW w:w="3544" w:type="dxa"/>
            <w:gridSpan w:val="2"/>
            <w:vAlign w:val="center"/>
          </w:tcPr>
          <w:p w14:paraId="150C8368">
            <w:pPr>
              <w:pStyle w:val="13"/>
            </w:pPr>
            <w:r>
              <w:t>100%</w:t>
            </w:r>
          </w:p>
        </w:tc>
      </w:tr>
      <w:tr w14:paraId="210C7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29D41">
            <w:pPr>
              <w:pStyle w:val="10"/>
            </w:pPr>
            <w:r>
              <w:t>绩效目标</w:t>
            </w:r>
          </w:p>
        </w:tc>
        <w:tc>
          <w:tcPr>
            <w:tcW w:w="14033" w:type="dxa"/>
            <w:gridSpan w:val="6"/>
            <w:vAlign w:val="center"/>
          </w:tcPr>
          <w:p w14:paraId="043F523C">
            <w:pPr>
              <w:pStyle w:val="12"/>
            </w:pPr>
            <w:r>
              <w:t>1.保障学校正常运转，完成各项教育教学活动和其他日常工作任务等方面的费用支出。</w:t>
            </w:r>
          </w:p>
          <w:p w14:paraId="40E5D45F">
            <w:pPr>
              <w:pStyle w:val="12"/>
            </w:pPr>
            <w:r>
              <w:t>2.按季度分批次拨付公用经费资金，资金拨付率达到100%。</w:t>
            </w:r>
          </w:p>
        </w:tc>
      </w:tr>
    </w:tbl>
    <w:p w14:paraId="6DB4E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E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5A1A5">
            <w:pPr>
              <w:pStyle w:val="10"/>
            </w:pPr>
            <w:r>
              <w:t>一级指标</w:t>
            </w:r>
          </w:p>
        </w:tc>
        <w:tc>
          <w:tcPr>
            <w:tcW w:w="2268" w:type="dxa"/>
            <w:vAlign w:val="center"/>
          </w:tcPr>
          <w:p w14:paraId="44B05A03">
            <w:pPr>
              <w:pStyle w:val="10"/>
            </w:pPr>
            <w:r>
              <w:t>二级指标</w:t>
            </w:r>
          </w:p>
        </w:tc>
        <w:tc>
          <w:tcPr>
            <w:tcW w:w="2835" w:type="dxa"/>
            <w:vAlign w:val="center"/>
          </w:tcPr>
          <w:p w14:paraId="7F8A8EFF">
            <w:pPr>
              <w:pStyle w:val="10"/>
            </w:pPr>
            <w:r>
              <w:t>三级指标</w:t>
            </w:r>
          </w:p>
        </w:tc>
        <w:tc>
          <w:tcPr>
            <w:tcW w:w="5386" w:type="dxa"/>
            <w:vAlign w:val="center"/>
          </w:tcPr>
          <w:p w14:paraId="7893F4F0">
            <w:pPr>
              <w:pStyle w:val="10"/>
            </w:pPr>
            <w:r>
              <w:t>绩效指标描述</w:t>
            </w:r>
          </w:p>
        </w:tc>
        <w:tc>
          <w:tcPr>
            <w:tcW w:w="2268" w:type="dxa"/>
            <w:vAlign w:val="center"/>
          </w:tcPr>
          <w:p w14:paraId="412CFEBB">
            <w:pPr>
              <w:pStyle w:val="10"/>
            </w:pPr>
            <w:r>
              <w:t>指标值</w:t>
            </w:r>
          </w:p>
        </w:tc>
        <w:tc>
          <w:tcPr>
            <w:tcW w:w="1276" w:type="dxa"/>
            <w:vAlign w:val="center"/>
          </w:tcPr>
          <w:p w14:paraId="7904BB18">
            <w:pPr>
              <w:pStyle w:val="10"/>
            </w:pPr>
            <w:r>
              <w:t>指标值确定依据</w:t>
            </w:r>
          </w:p>
        </w:tc>
      </w:tr>
      <w:tr w14:paraId="19EE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AD9DA">
            <w:pPr>
              <w:pStyle w:val="13"/>
            </w:pPr>
            <w:r>
              <w:t>产出指标</w:t>
            </w:r>
          </w:p>
        </w:tc>
        <w:tc>
          <w:tcPr>
            <w:tcW w:w="2268" w:type="dxa"/>
            <w:vAlign w:val="center"/>
          </w:tcPr>
          <w:p w14:paraId="06057283">
            <w:pPr>
              <w:pStyle w:val="12"/>
            </w:pPr>
            <w:r>
              <w:t>数量指标</w:t>
            </w:r>
          </w:p>
        </w:tc>
        <w:tc>
          <w:tcPr>
            <w:tcW w:w="2835" w:type="dxa"/>
            <w:vAlign w:val="center"/>
          </w:tcPr>
          <w:p w14:paraId="0925AC1F">
            <w:pPr>
              <w:pStyle w:val="12"/>
            </w:pPr>
            <w:r>
              <w:t>就读学生数</w:t>
            </w:r>
          </w:p>
        </w:tc>
        <w:tc>
          <w:tcPr>
            <w:tcW w:w="5386" w:type="dxa"/>
            <w:vAlign w:val="center"/>
          </w:tcPr>
          <w:p w14:paraId="40CAB3C6">
            <w:pPr>
              <w:pStyle w:val="12"/>
            </w:pPr>
            <w:r>
              <w:t>辐射区域内适龄学生人数</w:t>
            </w:r>
          </w:p>
        </w:tc>
        <w:tc>
          <w:tcPr>
            <w:tcW w:w="2268" w:type="dxa"/>
            <w:vAlign w:val="center"/>
          </w:tcPr>
          <w:p w14:paraId="45C6DCDA">
            <w:pPr>
              <w:pStyle w:val="12"/>
            </w:pPr>
            <w:r>
              <w:t>249人</w:t>
            </w:r>
          </w:p>
        </w:tc>
        <w:tc>
          <w:tcPr>
            <w:tcW w:w="1276" w:type="dxa"/>
            <w:vAlign w:val="center"/>
          </w:tcPr>
          <w:p w14:paraId="7A27E474">
            <w:pPr>
              <w:pStyle w:val="12"/>
            </w:pPr>
            <w:r>
              <w:t>城乡义务教育公用经费管理办法</w:t>
            </w:r>
          </w:p>
        </w:tc>
      </w:tr>
      <w:tr w14:paraId="7407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959C4"/>
        </w:tc>
        <w:tc>
          <w:tcPr>
            <w:tcW w:w="2268" w:type="dxa"/>
            <w:vAlign w:val="center"/>
          </w:tcPr>
          <w:p w14:paraId="17B65985">
            <w:pPr>
              <w:pStyle w:val="12"/>
            </w:pPr>
            <w:r>
              <w:t>质量指标</w:t>
            </w:r>
          </w:p>
        </w:tc>
        <w:tc>
          <w:tcPr>
            <w:tcW w:w="2835" w:type="dxa"/>
            <w:vAlign w:val="center"/>
          </w:tcPr>
          <w:p w14:paraId="07D28723">
            <w:pPr>
              <w:pStyle w:val="12"/>
            </w:pPr>
            <w:r>
              <w:t>预算执行率</w:t>
            </w:r>
          </w:p>
        </w:tc>
        <w:tc>
          <w:tcPr>
            <w:tcW w:w="5386" w:type="dxa"/>
            <w:vAlign w:val="center"/>
          </w:tcPr>
          <w:p w14:paraId="1AE6B6A3">
            <w:pPr>
              <w:pStyle w:val="12"/>
            </w:pPr>
            <w:r>
              <w:t>预算执行率</w:t>
            </w:r>
          </w:p>
        </w:tc>
        <w:tc>
          <w:tcPr>
            <w:tcW w:w="2268" w:type="dxa"/>
            <w:vAlign w:val="center"/>
          </w:tcPr>
          <w:p w14:paraId="458AB541">
            <w:pPr>
              <w:pStyle w:val="12"/>
            </w:pPr>
            <w:r>
              <w:t>≥95%</w:t>
            </w:r>
          </w:p>
        </w:tc>
        <w:tc>
          <w:tcPr>
            <w:tcW w:w="1276" w:type="dxa"/>
            <w:vAlign w:val="center"/>
          </w:tcPr>
          <w:p w14:paraId="1A99AB9E">
            <w:pPr>
              <w:pStyle w:val="12"/>
            </w:pPr>
            <w:r>
              <w:t>城乡义务教育公用经费管理办法</w:t>
            </w:r>
          </w:p>
        </w:tc>
      </w:tr>
      <w:tr w14:paraId="1688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D82DF"/>
        </w:tc>
        <w:tc>
          <w:tcPr>
            <w:tcW w:w="2268" w:type="dxa"/>
            <w:vAlign w:val="center"/>
          </w:tcPr>
          <w:p w14:paraId="07D96BDD">
            <w:pPr>
              <w:pStyle w:val="12"/>
            </w:pPr>
            <w:r>
              <w:t>时效指标</w:t>
            </w:r>
          </w:p>
        </w:tc>
        <w:tc>
          <w:tcPr>
            <w:tcW w:w="2835" w:type="dxa"/>
            <w:vAlign w:val="center"/>
          </w:tcPr>
          <w:p w14:paraId="1AC9E5D6">
            <w:pPr>
              <w:pStyle w:val="12"/>
            </w:pPr>
            <w:r>
              <w:t>义教经费支付完成率</w:t>
            </w:r>
          </w:p>
        </w:tc>
        <w:tc>
          <w:tcPr>
            <w:tcW w:w="5386" w:type="dxa"/>
            <w:vAlign w:val="center"/>
          </w:tcPr>
          <w:p w14:paraId="734FA1C4">
            <w:pPr>
              <w:pStyle w:val="12"/>
            </w:pPr>
            <w:r>
              <w:t>按照序时进度完成资金支付</w:t>
            </w:r>
          </w:p>
        </w:tc>
        <w:tc>
          <w:tcPr>
            <w:tcW w:w="2268" w:type="dxa"/>
            <w:vAlign w:val="center"/>
          </w:tcPr>
          <w:p w14:paraId="3BA7D296">
            <w:pPr>
              <w:pStyle w:val="12"/>
            </w:pPr>
            <w:r>
              <w:t>100%</w:t>
            </w:r>
          </w:p>
        </w:tc>
        <w:tc>
          <w:tcPr>
            <w:tcW w:w="1276" w:type="dxa"/>
            <w:vAlign w:val="center"/>
          </w:tcPr>
          <w:p w14:paraId="3F0481B7">
            <w:pPr>
              <w:pStyle w:val="12"/>
            </w:pPr>
            <w:r>
              <w:t>城乡义务教育公用经费管理办法</w:t>
            </w:r>
          </w:p>
        </w:tc>
      </w:tr>
      <w:tr w14:paraId="2ACF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6B9B2"/>
        </w:tc>
        <w:tc>
          <w:tcPr>
            <w:tcW w:w="2268" w:type="dxa"/>
            <w:vAlign w:val="center"/>
          </w:tcPr>
          <w:p w14:paraId="1FA41626">
            <w:pPr>
              <w:pStyle w:val="12"/>
            </w:pPr>
            <w:r>
              <w:t>成本指标</w:t>
            </w:r>
          </w:p>
        </w:tc>
        <w:tc>
          <w:tcPr>
            <w:tcW w:w="2835" w:type="dxa"/>
            <w:vAlign w:val="center"/>
          </w:tcPr>
          <w:p w14:paraId="78F6A5F4">
            <w:pPr>
              <w:pStyle w:val="12"/>
            </w:pPr>
            <w:r>
              <w:t>生均拨款标准</w:t>
            </w:r>
          </w:p>
        </w:tc>
        <w:tc>
          <w:tcPr>
            <w:tcW w:w="5386" w:type="dxa"/>
            <w:vAlign w:val="center"/>
          </w:tcPr>
          <w:p w14:paraId="4977671A">
            <w:pPr>
              <w:pStyle w:val="12"/>
            </w:pPr>
            <w:r>
              <w:t>小学生公用经费生均公用经费基准定额为720元/年/生，取暖费120元/年/生，住宿生补助300元/年/生的标准，随班就读学生补助7000元/生/年</w:t>
            </w:r>
          </w:p>
        </w:tc>
        <w:tc>
          <w:tcPr>
            <w:tcW w:w="2268" w:type="dxa"/>
            <w:vAlign w:val="center"/>
          </w:tcPr>
          <w:p w14:paraId="2154BE69">
            <w:pPr>
              <w:pStyle w:val="12"/>
            </w:pPr>
            <w:r>
              <w:t>840元</w:t>
            </w:r>
          </w:p>
        </w:tc>
        <w:tc>
          <w:tcPr>
            <w:tcW w:w="1276" w:type="dxa"/>
            <w:vAlign w:val="center"/>
          </w:tcPr>
          <w:p w14:paraId="2623CCAD">
            <w:pPr>
              <w:pStyle w:val="12"/>
            </w:pPr>
            <w:r>
              <w:t>城乡义务教育公用经费管理办法</w:t>
            </w:r>
          </w:p>
        </w:tc>
      </w:tr>
      <w:tr w14:paraId="55AA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150CA">
            <w:pPr>
              <w:pStyle w:val="13"/>
            </w:pPr>
            <w:r>
              <w:t>效益指标</w:t>
            </w:r>
          </w:p>
        </w:tc>
        <w:tc>
          <w:tcPr>
            <w:tcW w:w="2268" w:type="dxa"/>
            <w:vAlign w:val="center"/>
          </w:tcPr>
          <w:p w14:paraId="60D9C613">
            <w:pPr>
              <w:pStyle w:val="12"/>
            </w:pPr>
            <w:r>
              <w:t>可持续影响指标</w:t>
            </w:r>
          </w:p>
        </w:tc>
        <w:tc>
          <w:tcPr>
            <w:tcW w:w="2835" w:type="dxa"/>
            <w:vAlign w:val="center"/>
          </w:tcPr>
          <w:p w14:paraId="437F7C6E">
            <w:pPr>
              <w:pStyle w:val="12"/>
            </w:pPr>
            <w:r>
              <w:t>学校运转得到提高</w:t>
            </w:r>
          </w:p>
        </w:tc>
        <w:tc>
          <w:tcPr>
            <w:tcW w:w="5386" w:type="dxa"/>
            <w:vAlign w:val="center"/>
          </w:tcPr>
          <w:p w14:paraId="262CB7D4">
            <w:pPr>
              <w:pStyle w:val="12"/>
            </w:pPr>
            <w:r>
              <w:t>学生受教育年限</w:t>
            </w:r>
          </w:p>
        </w:tc>
        <w:tc>
          <w:tcPr>
            <w:tcW w:w="2268" w:type="dxa"/>
            <w:vAlign w:val="center"/>
          </w:tcPr>
          <w:p w14:paraId="7F3C2E6E">
            <w:pPr>
              <w:pStyle w:val="12"/>
            </w:pPr>
            <w:r>
              <w:t>6年</w:t>
            </w:r>
          </w:p>
        </w:tc>
        <w:tc>
          <w:tcPr>
            <w:tcW w:w="1276" w:type="dxa"/>
            <w:vAlign w:val="center"/>
          </w:tcPr>
          <w:p w14:paraId="68744168">
            <w:pPr>
              <w:pStyle w:val="12"/>
            </w:pPr>
            <w:r>
              <w:t>城乡义务教育公用经费管理办法</w:t>
            </w:r>
          </w:p>
        </w:tc>
      </w:tr>
      <w:tr w14:paraId="7D49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A6EE9">
            <w:pPr>
              <w:pStyle w:val="13"/>
            </w:pPr>
            <w:r>
              <w:t>满意度指标</w:t>
            </w:r>
          </w:p>
        </w:tc>
        <w:tc>
          <w:tcPr>
            <w:tcW w:w="2268" w:type="dxa"/>
            <w:vAlign w:val="center"/>
          </w:tcPr>
          <w:p w14:paraId="31915C48">
            <w:pPr>
              <w:pStyle w:val="12"/>
            </w:pPr>
            <w:r>
              <w:t>服务对象满意度指标</w:t>
            </w:r>
          </w:p>
        </w:tc>
        <w:tc>
          <w:tcPr>
            <w:tcW w:w="2835" w:type="dxa"/>
            <w:vAlign w:val="center"/>
          </w:tcPr>
          <w:p w14:paraId="2912A74A">
            <w:pPr>
              <w:pStyle w:val="12"/>
            </w:pPr>
            <w:r>
              <w:t>服务对象满意度</w:t>
            </w:r>
          </w:p>
        </w:tc>
        <w:tc>
          <w:tcPr>
            <w:tcW w:w="5386" w:type="dxa"/>
            <w:vAlign w:val="center"/>
          </w:tcPr>
          <w:p w14:paraId="5BACEBBA">
            <w:pPr>
              <w:pStyle w:val="12"/>
            </w:pPr>
            <w:r>
              <w:t>学校老师和学生满意度</w:t>
            </w:r>
          </w:p>
        </w:tc>
        <w:tc>
          <w:tcPr>
            <w:tcW w:w="2268" w:type="dxa"/>
            <w:vAlign w:val="center"/>
          </w:tcPr>
          <w:p w14:paraId="254049F6">
            <w:pPr>
              <w:pStyle w:val="12"/>
            </w:pPr>
            <w:r>
              <w:t>≥95%</w:t>
            </w:r>
          </w:p>
        </w:tc>
        <w:tc>
          <w:tcPr>
            <w:tcW w:w="1276" w:type="dxa"/>
            <w:vAlign w:val="center"/>
          </w:tcPr>
          <w:p w14:paraId="69D7825F">
            <w:pPr>
              <w:pStyle w:val="12"/>
            </w:pPr>
            <w:r>
              <w:t>群众测评</w:t>
            </w:r>
          </w:p>
        </w:tc>
      </w:tr>
    </w:tbl>
    <w:p w14:paraId="7171B5D6">
      <w:pPr>
        <w:sectPr>
          <w:pgSz w:w="16840" w:h="11900" w:orient="landscape"/>
          <w:pgMar w:top="1361" w:right="1020" w:bottom="1134" w:left="1020" w:header="720" w:footer="720" w:gutter="0"/>
          <w:cols w:space="720" w:num="1"/>
        </w:sectPr>
      </w:pPr>
    </w:p>
    <w:p w14:paraId="7668FB76">
      <w:pPr>
        <w:spacing w:before="0" w:after="0"/>
        <w:ind w:firstLine="560"/>
        <w:jc w:val="left"/>
        <w:outlineLvl w:val="9"/>
      </w:pPr>
      <w:r>
        <w:rPr>
          <w:rFonts w:ascii="方正仿宋_GBK" w:hAnsi="方正仿宋_GBK" w:eastAsia="方正仿宋_GBK" w:cs="方正仿宋_GBK"/>
          <w:b/>
          <w:color w:val="000000"/>
          <w:sz w:val="28"/>
        </w:rPr>
        <w:t>6、冀财教[2025]121号/中央/2026年义教补助经费/魏庄校区张汪小学公用经费绩效目标表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1C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1C80A">
            <w:pPr>
              <w:pStyle w:val="11"/>
            </w:pPr>
            <w:r>
              <w:t>单位：万元</w:t>
            </w:r>
          </w:p>
        </w:tc>
      </w:tr>
      <w:tr w14:paraId="62F8C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B03DC">
            <w:pPr>
              <w:pStyle w:val="10"/>
            </w:pPr>
            <w:r>
              <w:t>项目编码</w:t>
            </w:r>
          </w:p>
        </w:tc>
        <w:tc>
          <w:tcPr>
            <w:tcW w:w="5103" w:type="dxa"/>
            <w:gridSpan w:val="2"/>
            <w:vAlign w:val="center"/>
          </w:tcPr>
          <w:p w14:paraId="16172BAA">
            <w:pPr>
              <w:pStyle w:val="12"/>
            </w:pPr>
            <w:r>
              <w:t>13052526P000004102685</w:t>
            </w:r>
          </w:p>
        </w:tc>
        <w:tc>
          <w:tcPr>
            <w:tcW w:w="2835" w:type="dxa"/>
            <w:vAlign w:val="center"/>
          </w:tcPr>
          <w:p w14:paraId="6FE7E129">
            <w:pPr>
              <w:pStyle w:val="10"/>
            </w:pPr>
            <w:r>
              <w:t>项目名称</w:t>
            </w:r>
          </w:p>
        </w:tc>
        <w:tc>
          <w:tcPr>
            <w:tcW w:w="6095" w:type="dxa"/>
            <w:gridSpan w:val="3"/>
            <w:vAlign w:val="center"/>
          </w:tcPr>
          <w:p w14:paraId="18A14597">
            <w:pPr>
              <w:pStyle w:val="12"/>
            </w:pPr>
            <w:r>
              <w:t>冀财教[2025]121号/中央/2026年义教补助经费/魏庄校区张汪小学公用经费</w:t>
            </w:r>
          </w:p>
        </w:tc>
      </w:tr>
      <w:tr w14:paraId="66960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BA160">
            <w:pPr>
              <w:pStyle w:val="10"/>
            </w:pPr>
            <w:r>
              <w:t>预算规模及资金用途</w:t>
            </w:r>
          </w:p>
        </w:tc>
        <w:tc>
          <w:tcPr>
            <w:tcW w:w="2268" w:type="dxa"/>
            <w:vAlign w:val="center"/>
          </w:tcPr>
          <w:p w14:paraId="0BB06BD2">
            <w:pPr>
              <w:pStyle w:val="10"/>
            </w:pPr>
            <w:r>
              <w:t>预算数</w:t>
            </w:r>
          </w:p>
        </w:tc>
        <w:tc>
          <w:tcPr>
            <w:tcW w:w="2835" w:type="dxa"/>
            <w:vAlign w:val="center"/>
          </w:tcPr>
          <w:p w14:paraId="33DDB16C">
            <w:pPr>
              <w:pStyle w:val="12"/>
            </w:pPr>
            <w:r>
              <w:t>28.38</w:t>
            </w:r>
          </w:p>
        </w:tc>
        <w:tc>
          <w:tcPr>
            <w:tcW w:w="2835" w:type="dxa"/>
            <w:vAlign w:val="center"/>
          </w:tcPr>
          <w:p w14:paraId="4E25DDE3">
            <w:pPr>
              <w:pStyle w:val="10"/>
            </w:pPr>
            <w:r>
              <w:t>其中：财政    资金</w:t>
            </w:r>
          </w:p>
        </w:tc>
        <w:tc>
          <w:tcPr>
            <w:tcW w:w="2551" w:type="dxa"/>
            <w:vAlign w:val="center"/>
          </w:tcPr>
          <w:p w14:paraId="1B5A992F">
            <w:pPr>
              <w:pStyle w:val="12"/>
            </w:pPr>
            <w:r>
              <w:t>28.38</w:t>
            </w:r>
          </w:p>
        </w:tc>
        <w:tc>
          <w:tcPr>
            <w:tcW w:w="2268" w:type="dxa"/>
            <w:vAlign w:val="center"/>
          </w:tcPr>
          <w:p w14:paraId="3B180EC8">
            <w:pPr>
              <w:pStyle w:val="10"/>
            </w:pPr>
            <w:r>
              <w:t>其他资金</w:t>
            </w:r>
          </w:p>
        </w:tc>
        <w:tc>
          <w:tcPr>
            <w:tcW w:w="1276" w:type="dxa"/>
            <w:vAlign w:val="center"/>
          </w:tcPr>
          <w:p w14:paraId="1C1C70A0">
            <w:pPr>
              <w:pStyle w:val="12"/>
            </w:pPr>
            <w:r>
              <w:t xml:space="preserve"> </w:t>
            </w:r>
          </w:p>
        </w:tc>
      </w:tr>
      <w:tr w14:paraId="6A40D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4C3E8"/>
        </w:tc>
        <w:tc>
          <w:tcPr>
            <w:tcW w:w="14033" w:type="dxa"/>
            <w:gridSpan w:val="6"/>
            <w:vAlign w:val="center"/>
          </w:tcPr>
          <w:p w14:paraId="3F08EE4B">
            <w:pPr>
              <w:pStyle w:val="12"/>
            </w:pPr>
            <w:r>
              <w:t>保障学校正常运转，完成各项教育教学活动和其他日常工作任务等方面的费用支出。</w:t>
            </w:r>
          </w:p>
        </w:tc>
      </w:tr>
      <w:tr w14:paraId="4BFBC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F396F">
            <w:pPr>
              <w:pStyle w:val="10"/>
            </w:pPr>
            <w:r>
              <w:t>资金支出计划（%）</w:t>
            </w:r>
          </w:p>
        </w:tc>
        <w:tc>
          <w:tcPr>
            <w:tcW w:w="5103" w:type="dxa"/>
            <w:gridSpan w:val="2"/>
            <w:vAlign w:val="center"/>
          </w:tcPr>
          <w:p w14:paraId="350EA1F3">
            <w:pPr>
              <w:pStyle w:val="10"/>
            </w:pPr>
            <w:r>
              <w:t>3月底</w:t>
            </w:r>
          </w:p>
        </w:tc>
        <w:tc>
          <w:tcPr>
            <w:tcW w:w="2835" w:type="dxa"/>
            <w:vAlign w:val="center"/>
          </w:tcPr>
          <w:p w14:paraId="194F62EE">
            <w:pPr>
              <w:pStyle w:val="10"/>
            </w:pPr>
            <w:r>
              <w:t>6月底</w:t>
            </w:r>
          </w:p>
        </w:tc>
        <w:tc>
          <w:tcPr>
            <w:tcW w:w="2551" w:type="dxa"/>
            <w:vAlign w:val="center"/>
          </w:tcPr>
          <w:p w14:paraId="50F8B6BA">
            <w:pPr>
              <w:pStyle w:val="10"/>
            </w:pPr>
            <w:r>
              <w:t>10月底</w:t>
            </w:r>
          </w:p>
        </w:tc>
        <w:tc>
          <w:tcPr>
            <w:tcW w:w="3544" w:type="dxa"/>
            <w:gridSpan w:val="2"/>
            <w:vAlign w:val="center"/>
          </w:tcPr>
          <w:p w14:paraId="3EAF31D7">
            <w:pPr>
              <w:pStyle w:val="10"/>
            </w:pPr>
            <w:r>
              <w:t>12月底</w:t>
            </w:r>
          </w:p>
        </w:tc>
      </w:tr>
      <w:tr w14:paraId="05E46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BD756"/>
        </w:tc>
        <w:tc>
          <w:tcPr>
            <w:tcW w:w="5103" w:type="dxa"/>
            <w:gridSpan w:val="2"/>
            <w:vAlign w:val="center"/>
          </w:tcPr>
          <w:p w14:paraId="527FBC01">
            <w:pPr>
              <w:pStyle w:val="13"/>
            </w:pPr>
            <w:r>
              <w:t>25%</w:t>
            </w:r>
          </w:p>
        </w:tc>
        <w:tc>
          <w:tcPr>
            <w:tcW w:w="2835" w:type="dxa"/>
            <w:vAlign w:val="center"/>
          </w:tcPr>
          <w:p w14:paraId="4A8945E9">
            <w:pPr>
              <w:pStyle w:val="13"/>
            </w:pPr>
            <w:r>
              <w:t>50%</w:t>
            </w:r>
          </w:p>
        </w:tc>
        <w:tc>
          <w:tcPr>
            <w:tcW w:w="2551" w:type="dxa"/>
            <w:vAlign w:val="center"/>
          </w:tcPr>
          <w:p w14:paraId="2C17DD02">
            <w:pPr>
              <w:pStyle w:val="13"/>
            </w:pPr>
            <w:r>
              <w:t>75%</w:t>
            </w:r>
          </w:p>
        </w:tc>
        <w:tc>
          <w:tcPr>
            <w:tcW w:w="3544" w:type="dxa"/>
            <w:gridSpan w:val="2"/>
            <w:vAlign w:val="center"/>
          </w:tcPr>
          <w:p w14:paraId="44FA6F67">
            <w:pPr>
              <w:pStyle w:val="13"/>
            </w:pPr>
            <w:r>
              <w:t>100%</w:t>
            </w:r>
          </w:p>
        </w:tc>
      </w:tr>
      <w:tr w14:paraId="4F817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A8731">
            <w:pPr>
              <w:pStyle w:val="10"/>
            </w:pPr>
            <w:r>
              <w:t>绩效目标</w:t>
            </w:r>
          </w:p>
        </w:tc>
        <w:tc>
          <w:tcPr>
            <w:tcW w:w="14033" w:type="dxa"/>
            <w:gridSpan w:val="6"/>
            <w:vAlign w:val="center"/>
          </w:tcPr>
          <w:p w14:paraId="34C222DE">
            <w:pPr>
              <w:pStyle w:val="12"/>
            </w:pPr>
            <w:r>
              <w:t>1.保障学校正常运转，完成各项教育教学活动和其他日常工作任务等方面的费用支出。</w:t>
            </w:r>
          </w:p>
          <w:p w14:paraId="00205B0B">
            <w:pPr>
              <w:pStyle w:val="12"/>
            </w:pPr>
            <w:r>
              <w:t>2.按季度分批次拨付公用经费资金，资金拨付率达到100%。</w:t>
            </w:r>
          </w:p>
        </w:tc>
      </w:tr>
    </w:tbl>
    <w:p w14:paraId="3E736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2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86F2A">
            <w:pPr>
              <w:pStyle w:val="10"/>
            </w:pPr>
            <w:r>
              <w:t>一级指标</w:t>
            </w:r>
          </w:p>
        </w:tc>
        <w:tc>
          <w:tcPr>
            <w:tcW w:w="2268" w:type="dxa"/>
            <w:vAlign w:val="center"/>
          </w:tcPr>
          <w:p w14:paraId="32723F97">
            <w:pPr>
              <w:pStyle w:val="10"/>
            </w:pPr>
            <w:r>
              <w:t>二级指标</w:t>
            </w:r>
          </w:p>
        </w:tc>
        <w:tc>
          <w:tcPr>
            <w:tcW w:w="2835" w:type="dxa"/>
            <w:vAlign w:val="center"/>
          </w:tcPr>
          <w:p w14:paraId="5490A62C">
            <w:pPr>
              <w:pStyle w:val="10"/>
            </w:pPr>
            <w:r>
              <w:t>三级指标</w:t>
            </w:r>
          </w:p>
        </w:tc>
        <w:tc>
          <w:tcPr>
            <w:tcW w:w="5386" w:type="dxa"/>
            <w:vAlign w:val="center"/>
          </w:tcPr>
          <w:p w14:paraId="1EBC74D2">
            <w:pPr>
              <w:pStyle w:val="10"/>
            </w:pPr>
            <w:r>
              <w:t>绩效指标描述</w:t>
            </w:r>
          </w:p>
        </w:tc>
        <w:tc>
          <w:tcPr>
            <w:tcW w:w="2268" w:type="dxa"/>
            <w:vAlign w:val="center"/>
          </w:tcPr>
          <w:p w14:paraId="4DABF661">
            <w:pPr>
              <w:pStyle w:val="10"/>
            </w:pPr>
            <w:r>
              <w:t>指标值</w:t>
            </w:r>
          </w:p>
        </w:tc>
        <w:tc>
          <w:tcPr>
            <w:tcW w:w="1276" w:type="dxa"/>
            <w:vAlign w:val="center"/>
          </w:tcPr>
          <w:p w14:paraId="6D93AB0F">
            <w:pPr>
              <w:pStyle w:val="10"/>
            </w:pPr>
            <w:r>
              <w:t>指标值确定依据</w:t>
            </w:r>
          </w:p>
        </w:tc>
      </w:tr>
      <w:tr w14:paraId="4625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A50B9">
            <w:pPr>
              <w:pStyle w:val="13"/>
            </w:pPr>
            <w:r>
              <w:t>产出指标</w:t>
            </w:r>
          </w:p>
        </w:tc>
        <w:tc>
          <w:tcPr>
            <w:tcW w:w="2268" w:type="dxa"/>
            <w:vAlign w:val="center"/>
          </w:tcPr>
          <w:p w14:paraId="2B97B657">
            <w:pPr>
              <w:pStyle w:val="12"/>
            </w:pPr>
            <w:r>
              <w:t>数量指标</w:t>
            </w:r>
          </w:p>
        </w:tc>
        <w:tc>
          <w:tcPr>
            <w:tcW w:w="2835" w:type="dxa"/>
            <w:vAlign w:val="center"/>
          </w:tcPr>
          <w:p w14:paraId="5C8A289C">
            <w:pPr>
              <w:pStyle w:val="12"/>
            </w:pPr>
            <w:r>
              <w:t>就读学生数</w:t>
            </w:r>
          </w:p>
        </w:tc>
        <w:tc>
          <w:tcPr>
            <w:tcW w:w="5386" w:type="dxa"/>
            <w:vAlign w:val="center"/>
          </w:tcPr>
          <w:p w14:paraId="5E40806B">
            <w:pPr>
              <w:pStyle w:val="12"/>
            </w:pPr>
            <w:r>
              <w:t>辐射区域内适龄学生人数</w:t>
            </w:r>
          </w:p>
        </w:tc>
        <w:tc>
          <w:tcPr>
            <w:tcW w:w="2268" w:type="dxa"/>
            <w:vAlign w:val="center"/>
          </w:tcPr>
          <w:p w14:paraId="54A3253B">
            <w:pPr>
              <w:pStyle w:val="12"/>
            </w:pPr>
            <w:r>
              <w:t>557人</w:t>
            </w:r>
          </w:p>
        </w:tc>
        <w:tc>
          <w:tcPr>
            <w:tcW w:w="1276" w:type="dxa"/>
            <w:vAlign w:val="center"/>
          </w:tcPr>
          <w:p w14:paraId="30A6BAAE">
            <w:pPr>
              <w:pStyle w:val="12"/>
            </w:pPr>
            <w:r>
              <w:t>城乡义务教育公用经费管理办法</w:t>
            </w:r>
          </w:p>
        </w:tc>
      </w:tr>
      <w:tr w14:paraId="1A48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1EEC3"/>
        </w:tc>
        <w:tc>
          <w:tcPr>
            <w:tcW w:w="2268" w:type="dxa"/>
            <w:vAlign w:val="center"/>
          </w:tcPr>
          <w:p w14:paraId="1DA9DAF0">
            <w:pPr>
              <w:pStyle w:val="12"/>
            </w:pPr>
            <w:r>
              <w:t>质量指标</w:t>
            </w:r>
          </w:p>
        </w:tc>
        <w:tc>
          <w:tcPr>
            <w:tcW w:w="2835" w:type="dxa"/>
            <w:vAlign w:val="center"/>
          </w:tcPr>
          <w:p w14:paraId="150C8877">
            <w:pPr>
              <w:pStyle w:val="12"/>
            </w:pPr>
            <w:r>
              <w:t>预算执行率</w:t>
            </w:r>
          </w:p>
        </w:tc>
        <w:tc>
          <w:tcPr>
            <w:tcW w:w="5386" w:type="dxa"/>
            <w:vAlign w:val="center"/>
          </w:tcPr>
          <w:p w14:paraId="342604AA">
            <w:pPr>
              <w:pStyle w:val="12"/>
            </w:pPr>
            <w:r>
              <w:t>预算执行率</w:t>
            </w:r>
          </w:p>
        </w:tc>
        <w:tc>
          <w:tcPr>
            <w:tcW w:w="2268" w:type="dxa"/>
            <w:vAlign w:val="center"/>
          </w:tcPr>
          <w:p w14:paraId="03A8C660">
            <w:pPr>
              <w:pStyle w:val="12"/>
            </w:pPr>
            <w:r>
              <w:t>≥95%</w:t>
            </w:r>
          </w:p>
        </w:tc>
        <w:tc>
          <w:tcPr>
            <w:tcW w:w="1276" w:type="dxa"/>
            <w:vAlign w:val="center"/>
          </w:tcPr>
          <w:p w14:paraId="67B6AA99">
            <w:pPr>
              <w:pStyle w:val="12"/>
            </w:pPr>
            <w:r>
              <w:t>城乡义务教育公用经费管理办法</w:t>
            </w:r>
          </w:p>
        </w:tc>
      </w:tr>
      <w:tr w14:paraId="2482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F54F7"/>
        </w:tc>
        <w:tc>
          <w:tcPr>
            <w:tcW w:w="2268" w:type="dxa"/>
            <w:vAlign w:val="center"/>
          </w:tcPr>
          <w:p w14:paraId="405B753C">
            <w:pPr>
              <w:pStyle w:val="12"/>
            </w:pPr>
            <w:r>
              <w:t>时效指标</w:t>
            </w:r>
          </w:p>
        </w:tc>
        <w:tc>
          <w:tcPr>
            <w:tcW w:w="2835" w:type="dxa"/>
            <w:vAlign w:val="center"/>
          </w:tcPr>
          <w:p w14:paraId="26CA0B84">
            <w:pPr>
              <w:pStyle w:val="12"/>
            </w:pPr>
            <w:r>
              <w:t>义教经费支付完成率</w:t>
            </w:r>
          </w:p>
        </w:tc>
        <w:tc>
          <w:tcPr>
            <w:tcW w:w="5386" w:type="dxa"/>
            <w:vAlign w:val="center"/>
          </w:tcPr>
          <w:p w14:paraId="60FDF6AC">
            <w:pPr>
              <w:pStyle w:val="12"/>
            </w:pPr>
            <w:r>
              <w:t>按照序时进度完成资金支付</w:t>
            </w:r>
          </w:p>
        </w:tc>
        <w:tc>
          <w:tcPr>
            <w:tcW w:w="2268" w:type="dxa"/>
            <w:vAlign w:val="center"/>
          </w:tcPr>
          <w:p w14:paraId="39A7A1EB">
            <w:pPr>
              <w:pStyle w:val="12"/>
            </w:pPr>
            <w:r>
              <w:t>100%</w:t>
            </w:r>
          </w:p>
        </w:tc>
        <w:tc>
          <w:tcPr>
            <w:tcW w:w="1276" w:type="dxa"/>
            <w:vAlign w:val="center"/>
          </w:tcPr>
          <w:p w14:paraId="1E410FD5">
            <w:pPr>
              <w:pStyle w:val="12"/>
            </w:pPr>
            <w:r>
              <w:t>城乡义务教育公用经费管理办法</w:t>
            </w:r>
          </w:p>
        </w:tc>
      </w:tr>
      <w:tr w14:paraId="6F39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C7A1C"/>
        </w:tc>
        <w:tc>
          <w:tcPr>
            <w:tcW w:w="2268" w:type="dxa"/>
            <w:vAlign w:val="center"/>
          </w:tcPr>
          <w:p w14:paraId="5995DF67">
            <w:pPr>
              <w:pStyle w:val="12"/>
            </w:pPr>
            <w:r>
              <w:t>成本指标</w:t>
            </w:r>
          </w:p>
        </w:tc>
        <w:tc>
          <w:tcPr>
            <w:tcW w:w="2835" w:type="dxa"/>
            <w:vAlign w:val="center"/>
          </w:tcPr>
          <w:p w14:paraId="122D638A">
            <w:pPr>
              <w:pStyle w:val="12"/>
            </w:pPr>
            <w:r>
              <w:t>生均拨款标准</w:t>
            </w:r>
          </w:p>
        </w:tc>
        <w:tc>
          <w:tcPr>
            <w:tcW w:w="5386" w:type="dxa"/>
            <w:vAlign w:val="center"/>
          </w:tcPr>
          <w:p w14:paraId="0B3E7C8E">
            <w:pPr>
              <w:pStyle w:val="12"/>
            </w:pPr>
            <w:r>
              <w:t>小学生公用经费生均公用经费基准定额为720元/年/生，取暖费120元/年/生，住宿生补助300元/年/生的标准，随班就读学生补助7000元/生/年</w:t>
            </w:r>
          </w:p>
        </w:tc>
        <w:tc>
          <w:tcPr>
            <w:tcW w:w="2268" w:type="dxa"/>
            <w:vAlign w:val="center"/>
          </w:tcPr>
          <w:p w14:paraId="2891EB8F">
            <w:pPr>
              <w:pStyle w:val="12"/>
            </w:pPr>
            <w:r>
              <w:t>840元</w:t>
            </w:r>
          </w:p>
        </w:tc>
        <w:tc>
          <w:tcPr>
            <w:tcW w:w="1276" w:type="dxa"/>
            <w:vAlign w:val="center"/>
          </w:tcPr>
          <w:p w14:paraId="7B5DA2E9">
            <w:pPr>
              <w:pStyle w:val="12"/>
            </w:pPr>
            <w:r>
              <w:t>城乡义务教育公用经费管理办法</w:t>
            </w:r>
          </w:p>
        </w:tc>
      </w:tr>
      <w:tr w14:paraId="2CE5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AB4CC">
            <w:pPr>
              <w:pStyle w:val="13"/>
            </w:pPr>
            <w:r>
              <w:t>效益指标</w:t>
            </w:r>
          </w:p>
        </w:tc>
        <w:tc>
          <w:tcPr>
            <w:tcW w:w="2268" w:type="dxa"/>
            <w:vAlign w:val="center"/>
          </w:tcPr>
          <w:p w14:paraId="05B5565D">
            <w:pPr>
              <w:pStyle w:val="12"/>
            </w:pPr>
            <w:r>
              <w:t>可持续影响指标</w:t>
            </w:r>
          </w:p>
        </w:tc>
        <w:tc>
          <w:tcPr>
            <w:tcW w:w="2835" w:type="dxa"/>
            <w:vAlign w:val="center"/>
          </w:tcPr>
          <w:p w14:paraId="2AC71F1B">
            <w:pPr>
              <w:pStyle w:val="12"/>
            </w:pPr>
            <w:r>
              <w:t>学校运转得到提高</w:t>
            </w:r>
          </w:p>
        </w:tc>
        <w:tc>
          <w:tcPr>
            <w:tcW w:w="5386" w:type="dxa"/>
            <w:vAlign w:val="center"/>
          </w:tcPr>
          <w:p w14:paraId="2846EC86">
            <w:pPr>
              <w:pStyle w:val="12"/>
            </w:pPr>
            <w:r>
              <w:t>学生受教育年限</w:t>
            </w:r>
          </w:p>
        </w:tc>
        <w:tc>
          <w:tcPr>
            <w:tcW w:w="2268" w:type="dxa"/>
            <w:vAlign w:val="center"/>
          </w:tcPr>
          <w:p w14:paraId="4A00E7F8">
            <w:pPr>
              <w:pStyle w:val="12"/>
            </w:pPr>
            <w:r>
              <w:t>6年</w:t>
            </w:r>
          </w:p>
        </w:tc>
        <w:tc>
          <w:tcPr>
            <w:tcW w:w="1276" w:type="dxa"/>
            <w:vAlign w:val="center"/>
          </w:tcPr>
          <w:p w14:paraId="4C67B4DC">
            <w:pPr>
              <w:pStyle w:val="12"/>
            </w:pPr>
            <w:r>
              <w:t>城乡义务教育公用经费管理办法</w:t>
            </w:r>
          </w:p>
        </w:tc>
      </w:tr>
      <w:tr w14:paraId="2B23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B41AE">
            <w:pPr>
              <w:pStyle w:val="13"/>
            </w:pPr>
            <w:r>
              <w:t>满意度指标</w:t>
            </w:r>
          </w:p>
        </w:tc>
        <w:tc>
          <w:tcPr>
            <w:tcW w:w="2268" w:type="dxa"/>
            <w:vAlign w:val="center"/>
          </w:tcPr>
          <w:p w14:paraId="24C19A3B">
            <w:pPr>
              <w:pStyle w:val="12"/>
            </w:pPr>
            <w:r>
              <w:t>服务对象满意度指标</w:t>
            </w:r>
          </w:p>
        </w:tc>
        <w:tc>
          <w:tcPr>
            <w:tcW w:w="2835" w:type="dxa"/>
            <w:vAlign w:val="center"/>
          </w:tcPr>
          <w:p w14:paraId="5B066D9A">
            <w:pPr>
              <w:pStyle w:val="12"/>
            </w:pPr>
            <w:r>
              <w:t>服务对象满意度</w:t>
            </w:r>
          </w:p>
        </w:tc>
        <w:tc>
          <w:tcPr>
            <w:tcW w:w="5386" w:type="dxa"/>
            <w:vAlign w:val="center"/>
          </w:tcPr>
          <w:p w14:paraId="38B81233">
            <w:pPr>
              <w:pStyle w:val="12"/>
            </w:pPr>
            <w:r>
              <w:t>学校老师和学生满意度</w:t>
            </w:r>
          </w:p>
        </w:tc>
        <w:tc>
          <w:tcPr>
            <w:tcW w:w="2268" w:type="dxa"/>
            <w:vAlign w:val="center"/>
          </w:tcPr>
          <w:p w14:paraId="4096FFD7">
            <w:pPr>
              <w:pStyle w:val="12"/>
            </w:pPr>
            <w:r>
              <w:t>≥95%</w:t>
            </w:r>
          </w:p>
        </w:tc>
        <w:tc>
          <w:tcPr>
            <w:tcW w:w="1276" w:type="dxa"/>
            <w:vAlign w:val="center"/>
          </w:tcPr>
          <w:p w14:paraId="15923188">
            <w:pPr>
              <w:pStyle w:val="12"/>
            </w:pPr>
            <w:r>
              <w:t>群众测评</w:t>
            </w:r>
          </w:p>
        </w:tc>
      </w:tr>
    </w:tbl>
    <w:p w14:paraId="2BA966DD">
      <w:pPr>
        <w:sectPr>
          <w:pgSz w:w="16840" w:h="11900" w:orient="landscape"/>
          <w:pgMar w:top="1361" w:right="1020" w:bottom="1134" w:left="1020" w:header="720" w:footer="720" w:gutter="0"/>
          <w:cols w:space="720" w:num="1"/>
        </w:sectPr>
      </w:pPr>
    </w:p>
    <w:p w14:paraId="0F582639">
      <w:pPr>
        <w:spacing w:before="0" w:after="0"/>
        <w:ind w:firstLine="560"/>
        <w:jc w:val="left"/>
        <w:outlineLvl w:val="9"/>
      </w:pPr>
      <w:r>
        <w:rPr>
          <w:rFonts w:ascii="方正仿宋_GBK" w:hAnsi="方正仿宋_GBK" w:eastAsia="方正仿宋_GBK" w:cs="方正仿宋_GBK"/>
          <w:b/>
          <w:color w:val="000000"/>
          <w:sz w:val="28"/>
        </w:rPr>
        <w:t>7、冀财教[2025]121号/中央/义教/2026年校舍安全/张汪小学路面硬化绩效目标表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EA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F2987">
            <w:pPr>
              <w:pStyle w:val="11"/>
            </w:pPr>
            <w:r>
              <w:t>单位：万元</w:t>
            </w:r>
          </w:p>
        </w:tc>
      </w:tr>
      <w:tr w14:paraId="1DBF7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5AE3D">
            <w:pPr>
              <w:pStyle w:val="10"/>
            </w:pPr>
            <w:r>
              <w:t>项目编码</w:t>
            </w:r>
          </w:p>
        </w:tc>
        <w:tc>
          <w:tcPr>
            <w:tcW w:w="5103" w:type="dxa"/>
            <w:gridSpan w:val="2"/>
            <w:vAlign w:val="center"/>
          </w:tcPr>
          <w:p w14:paraId="384763D0">
            <w:pPr>
              <w:pStyle w:val="12"/>
            </w:pPr>
            <w:r>
              <w:t>13052526P008762100808</w:t>
            </w:r>
          </w:p>
        </w:tc>
        <w:tc>
          <w:tcPr>
            <w:tcW w:w="2835" w:type="dxa"/>
            <w:vAlign w:val="center"/>
          </w:tcPr>
          <w:p w14:paraId="2B9AF665">
            <w:pPr>
              <w:pStyle w:val="10"/>
            </w:pPr>
            <w:r>
              <w:t>项目名称</w:t>
            </w:r>
          </w:p>
        </w:tc>
        <w:tc>
          <w:tcPr>
            <w:tcW w:w="6095" w:type="dxa"/>
            <w:gridSpan w:val="3"/>
            <w:vAlign w:val="center"/>
          </w:tcPr>
          <w:p w14:paraId="47F2939F">
            <w:pPr>
              <w:pStyle w:val="12"/>
            </w:pPr>
            <w:r>
              <w:t>冀财教[2025]121号/中央/义教/2026年校舍安全/张汪小学路面硬化</w:t>
            </w:r>
          </w:p>
        </w:tc>
      </w:tr>
      <w:tr w14:paraId="78185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93A75">
            <w:pPr>
              <w:pStyle w:val="10"/>
            </w:pPr>
            <w:r>
              <w:t>预算规模及资金用途</w:t>
            </w:r>
          </w:p>
        </w:tc>
        <w:tc>
          <w:tcPr>
            <w:tcW w:w="2268" w:type="dxa"/>
            <w:vAlign w:val="center"/>
          </w:tcPr>
          <w:p w14:paraId="3F5499D0">
            <w:pPr>
              <w:pStyle w:val="10"/>
            </w:pPr>
            <w:r>
              <w:t>预算数</w:t>
            </w:r>
          </w:p>
        </w:tc>
        <w:tc>
          <w:tcPr>
            <w:tcW w:w="2835" w:type="dxa"/>
            <w:vAlign w:val="center"/>
          </w:tcPr>
          <w:p w14:paraId="653A34C4">
            <w:pPr>
              <w:pStyle w:val="12"/>
            </w:pPr>
            <w:r>
              <w:t>10.00</w:t>
            </w:r>
          </w:p>
        </w:tc>
        <w:tc>
          <w:tcPr>
            <w:tcW w:w="2835" w:type="dxa"/>
            <w:vAlign w:val="center"/>
          </w:tcPr>
          <w:p w14:paraId="0A01831D">
            <w:pPr>
              <w:pStyle w:val="10"/>
            </w:pPr>
            <w:r>
              <w:t>其中：财政    资金</w:t>
            </w:r>
          </w:p>
        </w:tc>
        <w:tc>
          <w:tcPr>
            <w:tcW w:w="2551" w:type="dxa"/>
            <w:vAlign w:val="center"/>
          </w:tcPr>
          <w:p w14:paraId="73C511AE">
            <w:pPr>
              <w:pStyle w:val="12"/>
            </w:pPr>
            <w:r>
              <w:t>10.00</w:t>
            </w:r>
          </w:p>
        </w:tc>
        <w:tc>
          <w:tcPr>
            <w:tcW w:w="2268" w:type="dxa"/>
            <w:vAlign w:val="center"/>
          </w:tcPr>
          <w:p w14:paraId="01E806A9">
            <w:pPr>
              <w:pStyle w:val="10"/>
            </w:pPr>
            <w:r>
              <w:t>其他资金</w:t>
            </w:r>
          </w:p>
        </w:tc>
        <w:tc>
          <w:tcPr>
            <w:tcW w:w="1276" w:type="dxa"/>
            <w:vAlign w:val="center"/>
          </w:tcPr>
          <w:p w14:paraId="11F9551B">
            <w:pPr>
              <w:pStyle w:val="12"/>
            </w:pPr>
            <w:r>
              <w:t xml:space="preserve"> </w:t>
            </w:r>
          </w:p>
        </w:tc>
      </w:tr>
      <w:tr w14:paraId="3437B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A97A1"/>
        </w:tc>
        <w:tc>
          <w:tcPr>
            <w:tcW w:w="14033" w:type="dxa"/>
            <w:gridSpan w:val="6"/>
            <w:vAlign w:val="center"/>
          </w:tcPr>
          <w:p w14:paraId="4AD491E1">
            <w:pPr>
              <w:pStyle w:val="12"/>
            </w:pPr>
            <w:r>
              <w:t>改善就学条件，提升学校形象，保障义务教育阶段教学安全，创造良好的校园环境。</w:t>
            </w:r>
          </w:p>
        </w:tc>
      </w:tr>
      <w:tr w14:paraId="216BA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79880">
            <w:pPr>
              <w:pStyle w:val="10"/>
            </w:pPr>
            <w:r>
              <w:t>资金支出计划（%）</w:t>
            </w:r>
          </w:p>
        </w:tc>
        <w:tc>
          <w:tcPr>
            <w:tcW w:w="5103" w:type="dxa"/>
            <w:gridSpan w:val="2"/>
            <w:vAlign w:val="center"/>
          </w:tcPr>
          <w:p w14:paraId="0E9F6827">
            <w:pPr>
              <w:pStyle w:val="10"/>
            </w:pPr>
            <w:r>
              <w:t>3月底</w:t>
            </w:r>
          </w:p>
        </w:tc>
        <w:tc>
          <w:tcPr>
            <w:tcW w:w="2835" w:type="dxa"/>
            <w:vAlign w:val="center"/>
          </w:tcPr>
          <w:p w14:paraId="43B3DBF8">
            <w:pPr>
              <w:pStyle w:val="10"/>
            </w:pPr>
            <w:r>
              <w:t>6月底</w:t>
            </w:r>
          </w:p>
        </w:tc>
        <w:tc>
          <w:tcPr>
            <w:tcW w:w="2551" w:type="dxa"/>
            <w:vAlign w:val="center"/>
          </w:tcPr>
          <w:p w14:paraId="7798ADD5">
            <w:pPr>
              <w:pStyle w:val="10"/>
            </w:pPr>
            <w:r>
              <w:t>10月底</w:t>
            </w:r>
          </w:p>
        </w:tc>
        <w:tc>
          <w:tcPr>
            <w:tcW w:w="3544" w:type="dxa"/>
            <w:gridSpan w:val="2"/>
            <w:vAlign w:val="center"/>
          </w:tcPr>
          <w:p w14:paraId="1BEF3EB7">
            <w:pPr>
              <w:pStyle w:val="10"/>
            </w:pPr>
            <w:r>
              <w:t>12月底</w:t>
            </w:r>
          </w:p>
        </w:tc>
      </w:tr>
      <w:tr w14:paraId="0DC2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A2D3C"/>
        </w:tc>
        <w:tc>
          <w:tcPr>
            <w:tcW w:w="5103" w:type="dxa"/>
            <w:gridSpan w:val="2"/>
            <w:vAlign w:val="center"/>
          </w:tcPr>
          <w:p w14:paraId="7B349460">
            <w:pPr>
              <w:pStyle w:val="13"/>
            </w:pPr>
            <w:r>
              <w:t xml:space="preserve"> </w:t>
            </w:r>
          </w:p>
        </w:tc>
        <w:tc>
          <w:tcPr>
            <w:tcW w:w="2835" w:type="dxa"/>
            <w:vAlign w:val="center"/>
          </w:tcPr>
          <w:p w14:paraId="73601727">
            <w:pPr>
              <w:pStyle w:val="13"/>
            </w:pPr>
            <w:r>
              <w:t xml:space="preserve"> </w:t>
            </w:r>
          </w:p>
        </w:tc>
        <w:tc>
          <w:tcPr>
            <w:tcW w:w="2551" w:type="dxa"/>
            <w:vAlign w:val="center"/>
          </w:tcPr>
          <w:p w14:paraId="3A98B376">
            <w:pPr>
              <w:pStyle w:val="13"/>
            </w:pPr>
            <w:r>
              <w:t>100%</w:t>
            </w:r>
          </w:p>
        </w:tc>
        <w:tc>
          <w:tcPr>
            <w:tcW w:w="3544" w:type="dxa"/>
            <w:gridSpan w:val="2"/>
            <w:vAlign w:val="center"/>
          </w:tcPr>
          <w:p w14:paraId="073880FB">
            <w:pPr>
              <w:pStyle w:val="13"/>
            </w:pPr>
            <w:r>
              <w:t>100%</w:t>
            </w:r>
          </w:p>
        </w:tc>
      </w:tr>
      <w:tr w14:paraId="68EB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65BB5">
            <w:pPr>
              <w:pStyle w:val="10"/>
            </w:pPr>
            <w:r>
              <w:t>绩效目标</w:t>
            </w:r>
          </w:p>
        </w:tc>
        <w:tc>
          <w:tcPr>
            <w:tcW w:w="14033" w:type="dxa"/>
            <w:gridSpan w:val="6"/>
            <w:vAlign w:val="center"/>
          </w:tcPr>
          <w:p w14:paraId="37A9E216">
            <w:pPr>
              <w:pStyle w:val="12"/>
            </w:pPr>
            <w:r>
              <w:t>1.项目需资金10万元，资金拨付率达到100%。</w:t>
            </w:r>
          </w:p>
          <w:p w14:paraId="63E0230B">
            <w:pPr>
              <w:pStyle w:val="12"/>
            </w:pPr>
            <w:r>
              <w:t>2.改善就学条件，提升学校形象，保障义务教育阶段教学安全，创造良好的校园环境。</w:t>
            </w:r>
          </w:p>
        </w:tc>
      </w:tr>
    </w:tbl>
    <w:p w14:paraId="62E22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5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656E8">
            <w:pPr>
              <w:pStyle w:val="10"/>
            </w:pPr>
            <w:r>
              <w:t>一级指标</w:t>
            </w:r>
          </w:p>
        </w:tc>
        <w:tc>
          <w:tcPr>
            <w:tcW w:w="2268" w:type="dxa"/>
            <w:vAlign w:val="center"/>
          </w:tcPr>
          <w:p w14:paraId="40E3FDFC">
            <w:pPr>
              <w:pStyle w:val="10"/>
            </w:pPr>
            <w:r>
              <w:t>二级指标</w:t>
            </w:r>
          </w:p>
        </w:tc>
        <w:tc>
          <w:tcPr>
            <w:tcW w:w="2835" w:type="dxa"/>
            <w:vAlign w:val="center"/>
          </w:tcPr>
          <w:p w14:paraId="2717715A">
            <w:pPr>
              <w:pStyle w:val="10"/>
            </w:pPr>
            <w:r>
              <w:t>三级指标</w:t>
            </w:r>
          </w:p>
        </w:tc>
        <w:tc>
          <w:tcPr>
            <w:tcW w:w="5386" w:type="dxa"/>
            <w:vAlign w:val="center"/>
          </w:tcPr>
          <w:p w14:paraId="2A37EC44">
            <w:pPr>
              <w:pStyle w:val="10"/>
            </w:pPr>
            <w:r>
              <w:t>绩效指标描述</w:t>
            </w:r>
          </w:p>
        </w:tc>
        <w:tc>
          <w:tcPr>
            <w:tcW w:w="2268" w:type="dxa"/>
            <w:vAlign w:val="center"/>
          </w:tcPr>
          <w:p w14:paraId="64623100">
            <w:pPr>
              <w:pStyle w:val="10"/>
            </w:pPr>
            <w:r>
              <w:t>指标值</w:t>
            </w:r>
          </w:p>
        </w:tc>
        <w:tc>
          <w:tcPr>
            <w:tcW w:w="1276" w:type="dxa"/>
            <w:vAlign w:val="center"/>
          </w:tcPr>
          <w:p w14:paraId="37681659">
            <w:pPr>
              <w:pStyle w:val="10"/>
            </w:pPr>
            <w:r>
              <w:t>指标值确定依据</w:t>
            </w:r>
          </w:p>
        </w:tc>
      </w:tr>
      <w:tr w14:paraId="00AD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6723A">
            <w:pPr>
              <w:pStyle w:val="13"/>
            </w:pPr>
            <w:r>
              <w:t>产出指标</w:t>
            </w:r>
          </w:p>
        </w:tc>
        <w:tc>
          <w:tcPr>
            <w:tcW w:w="2268" w:type="dxa"/>
            <w:vAlign w:val="center"/>
          </w:tcPr>
          <w:p w14:paraId="3CB6CEB7">
            <w:pPr>
              <w:pStyle w:val="12"/>
            </w:pPr>
            <w:r>
              <w:t>数量指标</w:t>
            </w:r>
          </w:p>
        </w:tc>
        <w:tc>
          <w:tcPr>
            <w:tcW w:w="2835" w:type="dxa"/>
            <w:vAlign w:val="center"/>
          </w:tcPr>
          <w:p w14:paraId="3AD8A838">
            <w:pPr>
              <w:pStyle w:val="12"/>
            </w:pPr>
            <w:r>
              <w:t>张汪小学路面硬化</w:t>
            </w:r>
          </w:p>
        </w:tc>
        <w:tc>
          <w:tcPr>
            <w:tcW w:w="5386" w:type="dxa"/>
            <w:vAlign w:val="center"/>
          </w:tcPr>
          <w:p w14:paraId="3D1FFBE1">
            <w:pPr>
              <w:pStyle w:val="12"/>
            </w:pPr>
            <w:r>
              <w:t>沥青路面、维修便道砖等</w:t>
            </w:r>
          </w:p>
        </w:tc>
        <w:tc>
          <w:tcPr>
            <w:tcW w:w="2268" w:type="dxa"/>
            <w:vAlign w:val="center"/>
          </w:tcPr>
          <w:p w14:paraId="32749843">
            <w:pPr>
              <w:pStyle w:val="12"/>
            </w:pPr>
            <w:r>
              <w:t>1项</w:t>
            </w:r>
          </w:p>
        </w:tc>
        <w:tc>
          <w:tcPr>
            <w:tcW w:w="1276" w:type="dxa"/>
            <w:vAlign w:val="center"/>
          </w:tcPr>
          <w:p w14:paraId="4D23F72B">
            <w:pPr>
              <w:pStyle w:val="12"/>
            </w:pPr>
            <w:r>
              <w:t>项目规划</w:t>
            </w:r>
          </w:p>
        </w:tc>
      </w:tr>
      <w:tr w14:paraId="5AA0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BBB3C"/>
        </w:tc>
        <w:tc>
          <w:tcPr>
            <w:tcW w:w="2268" w:type="dxa"/>
            <w:vAlign w:val="center"/>
          </w:tcPr>
          <w:p w14:paraId="0714866F">
            <w:pPr>
              <w:pStyle w:val="12"/>
            </w:pPr>
            <w:r>
              <w:t>质量指标</w:t>
            </w:r>
          </w:p>
        </w:tc>
        <w:tc>
          <w:tcPr>
            <w:tcW w:w="2835" w:type="dxa"/>
            <w:vAlign w:val="center"/>
          </w:tcPr>
          <w:p w14:paraId="0B012050">
            <w:pPr>
              <w:pStyle w:val="12"/>
            </w:pPr>
            <w:r>
              <w:t>工程实施验收合格率</w:t>
            </w:r>
          </w:p>
        </w:tc>
        <w:tc>
          <w:tcPr>
            <w:tcW w:w="5386" w:type="dxa"/>
            <w:vAlign w:val="center"/>
          </w:tcPr>
          <w:p w14:paraId="6DBBBF63">
            <w:pPr>
              <w:pStyle w:val="12"/>
            </w:pPr>
            <w:r>
              <w:t>申报程序的合规，项目实施及资金使用符合项目规划</w:t>
            </w:r>
          </w:p>
        </w:tc>
        <w:tc>
          <w:tcPr>
            <w:tcW w:w="2268" w:type="dxa"/>
            <w:vAlign w:val="center"/>
          </w:tcPr>
          <w:p w14:paraId="6A800B7D">
            <w:pPr>
              <w:pStyle w:val="12"/>
            </w:pPr>
            <w:r>
              <w:t>100%</w:t>
            </w:r>
          </w:p>
        </w:tc>
        <w:tc>
          <w:tcPr>
            <w:tcW w:w="1276" w:type="dxa"/>
            <w:vAlign w:val="center"/>
          </w:tcPr>
          <w:p w14:paraId="50BA5683">
            <w:pPr>
              <w:pStyle w:val="12"/>
            </w:pPr>
            <w:r>
              <w:t>项目规划</w:t>
            </w:r>
          </w:p>
        </w:tc>
      </w:tr>
      <w:tr w14:paraId="622A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13AAB"/>
        </w:tc>
        <w:tc>
          <w:tcPr>
            <w:tcW w:w="2268" w:type="dxa"/>
            <w:vAlign w:val="center"/>
          </w:tcPr>
          <w:p w14:paraId="037B06BE">
            <w:pPr>
              <w:pStyle w:val="12"/>
            </w:pPr>
            <w:r>
              <w:t>时效指标</w:t>
            </w:r>
          </w:p>
        </w:tc>
        <w:tc>
          <w:tcPr>
            <w:tcW w:w="2835" w:type="dxa"/>
            <w:vAlign w:val="center"/>
          </w:tcPr>
          <w:p w14:paraId="645F4F32">
            <w:pPr>
              <w:pStyle w:val="12"/>
            </w:pPr>
            <w:r>
              <w:t>资金支付率</w:t>
            </w:r>
          </w:p>
        </w:tc>
        <w:tc>
          <w:tcPr>
            <w:tcW w:w="5386" w:type="dxa"/>
            <w:vAlign w:val="center"/>
          </w:tcPr>
          <w:p w14:paraId="20C5E42F">
            <w:pPr>
              <w:pStyle w:val="12"/>
            </w:pPr>
            <w:r>
              <w:t>按照序时进度完成资金支付</w:t>
            </w:r>
          </w:p>
        </w:tc>
        <w:tc>
          <w:tcPr>
            <w:tcW w:w="2268" w:type="dxa"/>
            <w:vAlign w:val="center"/>
          </w:tcPr>
          <w:p w14:paraId="39F8401A">
            <w:pPr>
              <w:pStyle w:val="12"/>
            </w:pPr>
            <w:r>
              <w:t>100%</w:t>
            </w:r>
          </w:p>
        </w:tc>
        <w:tc>
          <w:tcPr>
            <w:tcW w:w="1276" w:type="dxa"/>
            <w:vAlign w:val="center"/>
          </w:tcPr>
          <w:p w14:paraId="656F42C1">
            <w:pPr>
              <w:pStyle w:val="12"/>
            </w:pPr>
            <w:r>
              <w:t>项目规划</w:t>
            </w:r>
          </w:p>
        </w:tc>
      </w:tr>
      <w:tr w14:paraId="0CD2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D6991"/>
        </w:tc>
        <w:tc>
          <w:tcPr>
            <w:tcW w:w="2268" w:type="dxa"/>
            <w:vAlign w:val="center"/>
          </w:tcPr>
          <w:p w14:paraId="03E66EFA">
            <w:pPr>
              <w:pStyle w:val="12"/>
            </w:pPr>
            <w:r>
              <w:t>成本指标</w:t>
            </w:r>
          </w:p>
        </w:tc>
        <w:tc>
          <w:tcPr>
            <w:tcW w:w="2835" w:type="dxa"/>
            <w:vAlign w:val="center"/>
          </w:tcPr>
          <w:p w14:paraId="320E5773">
            <w:pPr>
              <w:pStyle w:val="12"/>
            </w:pPr>
            <w:r>
              <w:t>项目成本控制情况</w:t>
            </w:r>
          </w:p>
        </w:tc>
        <w:tc>
          <w:tcPr>
            <w:tcW w:w="5386" w:type="dxa"/>
            <w:vAlign w:val="center"/>
          </w:tcPr>
          <w:p w14:paraId="76276E22">
            <w:pPr>
              <w:pStyle w:val="12"/>
            </w:pPr>
            <w:r>
              <w:t>严格按照招标价格及审计额进行</w:t>
            </w:r>
          </w:p>
        </w:tc>
        <w:tc>
          <w:tcPr>
            <w:tcW w:w="2268" w:type="dxa"/>
            <w:vAlign w:val="center"/>
          </w:tcPr>
          <w:p w14:paraId="7175E199">
            <w:pPr>
              <w:pStyle w:val="12"/>
            </w:pPr>
            <w:r>
              <w:t>10万元</w:t>
            </w:r>
          </w:p>
        </w:tc>
        <w:tc>
          <w:tcPr>
            <w:tcW w:w="1276" w:type="dxa"/>
            <w:vAlign w:val="center"/>
          </w:tcPr>
          <w:p w14:paraId="5CE5D014">
            <w:pPr>
              <w:pStyle w:val="12"/>
            </w:pPr>
            <w:r>
              <w:t>项目规划</w:t>
            </w:r>
          </w:p>
        </w:tc>
      </w:tr>
      <w:tr w14:paraId="4B5D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E3438">
            <w:pPr>
              <w:pStyle w:val="13"/>
            </w:pPr>
            <w:r>
              <w:t>效益指标</w:t>
            </w:r>
          </w:p>
        </w:tc>
        <w:tc>
          <w:tcPr>
            <w:tcW w:w="2268" w:type="dxa"/>
            <w:vAlign w:val="center"/>
          </w:tcPr>
          <w:p w14:paraId="1EA0C212">
            <w:pPr>
              <w:pStyle w:val="12"/>
            </w:pPr>
            <w:r>
              <w:t>社会效益指标</w:t>
            </w:r>
          </w:p>
        </w:tc>
        <w:tc>
          <w:tcPr>
            <w:tcW w:w="2835" w:type="dxa"/>
            <w:vAlign w:val="center"/>
          </w:tcPr>
          <w:p w14:paraId="14669D29">
            <w:pPr>
              <w:pStyle w:val="12"/>
            </w:pPr>
            <w:r>
              <w:t>学校办学环境提升</w:t>
            </w:r>
          </w:p>
        </w:tc>
        <w:tc>
          <w:tcPr>
            <w:tcW w:w="5386" w:type="dxa"/>
            <w:vAlign w:val="center"/>
          </w:tcPr>
          <w:p w14:paraId="5DA30911">
            <w:pPr>
              <w:pStyle w:val="12"/>
            </w:pPr>
            <w:r>
              <w:t>学校教学环境提升优化率</w:t>
            </w:r>
          </w:p>
        </w:tc>
        <w:tc>
          <w:tcPr>
            <w:tcW w:w="2268" w:type="dxa"/>
            <w:vAlign w:val="center"/>
          </w:tcPr>
          <w:p w14:paraId="0CFACB11">
            <w:pPr>
              <w:pStyle w:val="12"/>
            </w:pPr>
            <w:r>
              <w:t>≥98%</w:t>
            </w:r>
          </w:p>
        </w:tc>
        <w:tc>
          <w:tcPr>
            <w:tcW w:w="1276" w:type="dxa"/>
            <w:vAlign w:val="center"/>
          </w:tcPr>
          <w:p w14:paraId="4A96F411">
            <w:pPr>
              <w:pStyle w:val="12"/>
            </w:pPr>
            <w:r>
              <w:t>项目规划</w:t>
            </w:r>
          </w:p>
        </w:tc>
      </w:tr>
      <w:tr w14:paraId="7AF1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7A744">
            <w:pPr>
              <w:pStyle w:val="13"/>
            </w:pPr>
            <w:r>
              <w:t>满意度指标</w:t>
            </w:r>
          </w:p>
        </w:tc>
        <w:tc>
          <w:tcPr>
            <w:tcW w:w="2268" w:type="dxa"/>
            <w:vAlign w:val="center"/>
          </w:tcPr>
          <w:p w14:paraId="77A064F7">
            <w:pPr>
              <w:pStyle w:val="12"/>
            </w:pPr>
            <w:r>
              <w:t>服务对象满意度指标</w:t>
            </w:r>
          </w:p>
        </w:tc>
        <w:tc>
          <w:tcPr>
            <w:tcW w:w="2835" w:type="dxa"/>
            <w:vAlign w:val="center"/>
          </w:tcPr>
          <w:p w14:paraId="1FD633F5">
            <w:pPr>
              <w:pStyle w:val="12"/>
            </w:pPr>
            <w:r>
              <w:t>受益学生家长及调查满意度</w:t>
            </w:r>
          </w:p>
        </w:tc>
        <w:tc>
          <w:tcPr>
            <w:tcW w:w="5386" w:type="dxa"/>
            <w:vAlign w:val="center"/>
          </w:tcPr>
          <w:p w14:paraId="262A10F5">
            <w:pPr>
              <w:pStyle w:val="12"/>
            </w:pPr>
            <w:r>
              <w:t>学生、教师及家长对学校教学环境满意度情况</w:t>
            </w:r>
          </w:p>
        </w:tc>
        <w:tc>
          <w:tcPr>
            <w:tcW w:w="2268" w:type="dxa"/>
            <w:vAlign w:val="center"/>
          </w:tcPr>
          <w:p w14:paraId="49718D75">
            <w:pPr>
              <w:pStyle w:val="12"/>
            </w:pPr>
            <w:r>
              <w:t>≥95%</w:t>
            </w:r>
          </w:p>
        </w:tc>
        <w:tc>
          <w:tcPr>
            <w:tcW w:w="1276" w:type="dxa"/>
            <w:vAlign w:val="center"/>
          </w:tcPr>
          <w:p w14:paraId="5B6921C2">
            <w:pPr>
              <w:pStyle w:val="12"/>
            </w:pPr>
            <w:r>
              <w:t>项目规划</w:t>
            </w:r>
          </w:p>
        </w:tc>
      </w:tr>
    </w:tbl>
    <w:p w14:paraId="476AC95B">
      <w:pPr>
        <w:sectPr>
          <w:pgSz w:w="16840" w:h="11900" w:orient="landscape"/>
          <w:pgMar w:top="1361" w:right="1020" w:bottom="1134" w:left="1020" w:header="720" w:footer="720" w:gutter="0"/>
          <w:cols w:space="720" w:num="1"/>
        </w:sectPr>
      </w:pPr>
    </w:p>
    <w:p w14:paraId="2EB6C5B1">
      <w:pPr>
        <w:spacing w:before="0" w:after="0"/>
        <w:ind w:firstLine="560"/>
        <w:jc w:val="left"/>
        <w:outlineLvl w:val="9"/>
      </w:pPr>
      <w:r>
        <w:rPr>
          <w:rFonts w:ascii="方正仿宋_GBK" w:hAnsi="方正仿宋_GBK" w:eastAsia="方正仿宋_GBK" w:cs="方正仿宋_GBK"/>
          <w:b/>
          <w:color w:val="000000"/>
          <w:sz w:val="28"/>
        </w:rPr>
        <w:t>8、冀财教[2025]122号/中央/2026年学前发展资金/魏庄校区学前教育幼儿资助绩效目标表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8D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7BF10">
            <w:pPr>
              <w:pStyle w:val="11"/>
            </w:pPr>
            <w:r>
              <w:t>单位：万元</w:t>
            </w:r>
          </w:p>
        </w:tc>
      </w:tr>
      <w:tr w14:paraId="006E6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F4F07">
            <w:pPr>
              <w:pStyle w:val="10"/>
            </w:pPr>
            <w:r>
              <w:t>项目编码</w:t>
            </w:r>
          </w:p>
        </w:tc>
        <w:tc>
          <w:tcPr>
            <w:tcW w:w="5103" w:type="dxa"/>
            <w:gridSpan w:val="2"/>
            <w:vAlign w:val="center"/>
          </w:tcPr>
          <w:p w14:paraId="46E91736">
            <w:pPr>
              <w:pStyle w:val="12"/>
            </w:pPr>
            <w:r>
              <w:t>13052526P00000210052M</w:t>
            </w:r>
          </w:p>
        </w:tc>
        <w:tc>
          <w:tcPr>
            <w:tcW w:w="2835" w:type="dxa"/>
            <w:vAlign w:val="center"/>
          </w:tcPr>
          <w:p w14:paraId="555FB551">
            <w:pPr>
              <w:pStyle w:val="10"/>
            </w:pPr>
            <w:r>
              <w:t>项目名称</w:t>
            </w:r>
          </w:p>
        </w:tc>
        <w:tc>
          <w:tcPr>
            <w:tcW w:w="6095" w:type="dxa"/>
            <w:gridSpan w:val="3"/>
            <w:vAlign w:val="center"/>
          </w:tcPr>
          <w:p w14:paraId="47E58849">
            <w:pPr>
              <w:pStyle w:val="12"/>
            </w:pPr>
            <w:r>
              <w:t>冀财教[2025]122号/中央/2026年学前发展资金/魏庄校区学前教育幼儿资助</w:t>
            </w:r>
          </w:p>
        </w:tc>
      </w:tr>
      <w:tr w14:paraId="02AD4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6FB6F">
            <w:pPr>
              <w:pStyle w:val="10"/>
            </w:pPr>
            <w:r>
              <w:t>预算规模及资金用途</w:t>
            </w:r>
          </w:p>
        </w:tc>
        <w:tc>
          <w:tcPr>
            <w:tcW w:w="2268" w:type="dxa"/>
            <w:vAlign w:val="center"/>
          </w:tcPr>
          <w:p w14:paraId="7A33F946">
            <w:pPr>
              <w:pStyle w:val="10"/>
            </w:pPr>
            <w:r>
              <w:t>预算数</w:t>
            </w:r>
          </w:p>
        </w:tc>
        <w:tc>
          <w:tcPr>
            <w:tcW w:w="2835" w:type="dxa"/>
            <w:vAlign w:val="center"/>
          </w:tcPr>
          <w:p w14:paraId="0688B311">
            <w:pPr>
              <w:pStyle w:val="12"/>
            </w:pPr>
            <w:r>
              <w:t>2.04</w:t>
            </w:r>
          </w:p>
        </w:tc>
        <w:tc>
          <w:tcPr>
            <w:tcW w:w="2835" w:type="dxa"/>
            <w:vAlign w:val="center"/>
          </w:tcPr>
          <w:p w14:paraId="2C259147">
            <w:pPr>
              <w:pStyle w:val="10"/>
            </w:pPr>
            <w:r>
              <w:t>其中：财政    资金</w:t>
            </w:r>
          </w:p>
        </w:tc>
        <w:tc>
          <w:tcPr>
            <w:tcW w:w="2551" w:type="dxa"/>
            <w:vAlign w:val="center"/>
          </w:tcPr>
          <w:p w14:paraId="2C12962E">
            <w:pPr>
              <w:pStyle w:val="12"/>
            </w:pPr>
            <w:r>
              <w:t>2.04</w:t>
            </w:r>
          </w:p>
        </w:tc>
        <w:tc>
          <w:tcPr>
            <w:tcW w:w="2268" w:type="dxa"/>
            <w:vAlign w:val="center"/>
          </w:tcPr>
          <w:p w14:paraId="24056F3E">
            <w:pPr>
              <w:pStyle w:val="10"/>
            </w:pPr>
            <w:r>
              <w:t>其他资金</w:t>
            </w:r>
          </w:p>
        </w:tc>
        <w:tc>
          <w:tcPr>
            <w:tcW w:w="1276" w:type="dxa"/>
            <w:vAlign w:val="center"/>
          </w:tcPr>
          <w:p w14:paraId="36A329B4">
            <w:pPr>
              <w:pStyle w:val="12"/>
            </w:pPr>
            <w:r>
              <w:t xml:space="preserve"> </w:t>
            </w:r>
          </w:p>
        </w:tc>
      </w:tr>
      <w:tr w14:paraId="7DDBB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84752"/>
        </w:tc>
        <w:tc>
          <w:tcPr>
            <w:tcW w:w="14033" w:type="dxa"/>
            <w:gridSpan w:val="6"/>
            <w:vAlign w:val="center"/>
          </w:tcPr>
          <w:p w14:paraId="2CC63CEF">
            <w:pPr>
              <w:pStyle w:val="12"/>
            </w:pPr>
            <w:r>
              <w:t>保障落实建档立卡及家庭经济困难儿童资助所需资金，确保建档立卡等家庭经济困难幼儿优先获得资助</w:t>
            </w:r>
          </w:p>
        </w:tc>
      </w:tr>
      <w:tr w14:paraId="615D6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FB517">
            <w:pPr>
              <w:pStyle w:val="10"/>
            </w:pPr>
            <w:r>
              <w:t>资金支出计划（%）</w:t>
            </w:r>
          </w:p>
        </w:tc>
        <w:tc>
          <w:tcPr>
            <w:tcW w:w="5103" w:type="dxa"/>
            <w:gridSpan w:val="2"/>
            <w:vAlign w:val="center"/>
          </w:tcPr>
          <w:p w14:paraId="64DA2882">
            <w:pPr>
              <w:pStyle w:val="10"/>
            </w:pPr>
            <w:r>
              <w:t>3月底</w:t>
            </w:r>
          </w:p>
        </w:tc>
        <w:tc>
          <w:tcPr>
            <w:tcW w:w="2835" w:type="dxa"/>
            <w:vAlign w:val="center"/>
          </w:tcPr>
          <w:p w14:paraId="75380EA4">
            <w:pPr>
              <w:pStyle w:val="10"/>
            </w:pPr>
            <w:r>
              <w:t>6月底</w:t>
            </w:r>
          </w:p>
        </w:tc>
        <w:tc>
          <w:tcPr>
            <w:tcW w:w="2551" w:type="dxa"/>
            <w:vAlign w:val="center"/>
          </w:tcPr>
          <w:p w14:paraId="074DA02C">
            <w:pPr>
              <w:pStyle w:val="10"/>
            </w:pPr>
            <w:r>
              <w:t>10月底</w:t>
            </w:r>
          </w:p>
        </w:tc>
        <w:tc>
          <w:tcPr>
            <w:tcW w:w="3544" w:type="dxa"/>
            <w:gridSpan w:val="2"/>
            <w:vAlign w:val="center"/>
          </w:tcPr>
          <w:p w14:paraId="747A0FBC">
            <w:pPr>
              <w:pStyle w:val="10"/>
            </w:pPr>
            <w:r>
              <w:t>12月底</w:t>
            </w:r>
          </w:p>
        </w:tc>
      </w:tr>
      <w:tr w14:paraId="6E43B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ADAE6"/>
        </w:tc>
        <w:tc>
          <w:tcPr>
            <w:tcW w:w="5103" w:type="dxa"/>
            <w:gridSpan w:val="2"/>
            <w:vAlign w:val="center"/>
          </w:tcPr>
          <w:p w14:paraId="02BB057E">
            <w:pPr>
              <w:pStyle w:val="13"/>
            </w:pPr>
            <w:r>
              <w:t>25%</w:t>
            </w:r>
          </w:p>
        </w:tc>
        <w:tc>
          <w:tcPr>
            <w:tcW w:w="2835" w:type="dxa"/>
            <w:vAlign w:val="center"/>
          </w:tcPr>
          <w:p w14:paraId="41D38936">
            <w:pPr>
              <w:pStyle w:val="13"/>
            </w:pPr>
            <w:r>
              <w:t>50%</w:t>
            </w:r>
          </w:p>
        </w:tc>
        <w:tc>
          <w:tcPr>
            <w:tcW w:w="2551" w:type="dxa"/>
            <w:vAlign w:val="center"/>
          </w:tcPr>
          <w:p w14:paraId="6BBD6915">
            <w:pPr>
              <w:pStyle w:val="13"/>
            </w:pPr>
            <w:r>
              <w:t>75%</w:t>
            </w:r>
          </w:p>
        </w:tc>
        <w:tc>
          <w:tcPr>
            <w:tcW w:w="3544" w:type="dxa"/>
            <w:gridSpan w:val="2"/>
            <w:vAlign w:val="center"/>
          </w:tcPr>
          <w:p w14:paraId="58852809">
            <w:pPr>
              <w:pStyle w:val="13"/>
            </w:pPr>
            <w:r>
              <w:t>100%</w:t>
            </w:r>
          </w:p>
        </w:tc>
      </w:tr>
      <w:tr w14:paraId="46682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39F32">
            <w:pPr>
              <w:pStyle w:val="10"/>
            </w:pPr>
            <w:r>
              <w:t>绩效目标</w:t>
            </w:r>
          </w:p>
        </w:tc>
        <w:tc>
          <w:tcPr>
            <w:tcW w:w="14033" w:type="dxa"/>
            <w:gridSpan w:val="6"/>
            <w:vAlign w:val="center"/>
          </w:tcPr>
          <w:p w14:paraId="55DE9B94">
            <w:pPr>
              <w:pStyle w:val="12"/>
            </w:pPr>
            <w:r>
              <w:t>1.保障落实建档立卡及家庭经济困难儿童资助所需资金，确保建档立卡等家庭经济困难幼儿优先获得资助</w:t>
            </w:r>
          </w:p>
          <w:p w14:paraId="4AEB9367">
            <w:pPr>
              <w:pStyle w:val="12"/>
            </w:pPr>
            <w:r>
              <w:t>2.保证本年度资助经费足额落实到位，符合享受资助条件的学生应助尽助。</w:t>
            </w:r>
          </w:p>
        </w:tc>
      </w:tr>
    </w:tbl>
    <w:p w14:paraId="4954A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5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513E9">
            <w:pPr>
              <w:pStyle w:val="10"/>
            </w:pPr>
            <w:r>
              <w:t>一级指标</w:t>
            </w:r>
          </w:p>
        </w:tc>
        <w:tc>
          <w:tcPr>
            <w:tcW w:w="2268" w:type="dxa"/>
            <w:vAlign w:val="center"/>
          </w:tcPr>
          <w:p w14:paraId="1BA4483E">
            <w:pPr>
              <w:pStyle w:val="10"/>
            </w:pPr>
            <w:r>
              <w:t>二级指标</w:t>
            </w:r>
          </w:p>
        </w:tc>
        <w:tc>
          <w:tcPr>
            <w:tcW w:w="2835" w:type="dxa"/>
            <w:vAlign w:val="center"/>
          </w:tcPr>
          <w:p w14:paraId="5643B8A5">
            <w:pPr>
              <w:pStyle w:val="10"/>
            </w:pPr>
            <w:r>
              <w:t>三级指标</w:t>
            </w:r>
          </w:p>
        </w:tc>
        <w:tc>
          <w:tcPr>
            <w:tcW w:w="5386" w:type="dxa"/>
            <w:vAlign w:val="center"/>
          </w:tcPr>
          <w:p w14:paraId="1CE0C648">
            <w:pPr>
              <w:pStyle w:val="10"/>
            </w:pPr>
            <w:r>
              <w:t>绩效指标描述</w:t>
            </w:r>
          </w:p>
        </w:tc>
        <w:tc>
          <w:tcPr>
            <w:tcW w:w="2268" w:type="dxa"/>
            <w:vAlign w:val="center"/>
          </w:tcPr>
          <w:p w14:paraId="791CC2D7">
            <w:pPr>
              <w:pStyle w:val="10"/>
            </w:pPr>
            <w:r>
              <w:t>指标值</w:t>
            </w:r>
          </w:p>
        </w:tc>
        <w:tc>
          <w:tcPr>
            <w:tcW w:w="1276" w:type="dxa"/>
            <w:vAlign w:val="center"/>
          </w:tcPr>
          <w:p w14:paraId="02AE785E">
            <w:pPr>
              <w:pStyle w:val="10"/>
            </w:pPr>
            <w:r>
              <w:t>指标值确定依据</w:t>
            </w:r>
          </w:p>
        </w:tc>
      </w:tr>
      <w:tr w14:paraId="18D0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B10B4">
            <w:pPr>
              <w:pStyle w:val="13"/>
            </w:pPr>
            <w:r>
              <w:t>产出指标</w:t>
            </w:r>
          </w:p>
        </w:tc>
        <w:tc>
          <w:tcPr>
            <w:tcW w:w="2268" w:type="dxa"/>
            <w:vAlign w:val="center"/>
          </w:tcPr>
          <w:p w14:paraId="7ECD74DC">
            <w:pPr>
              <w:pStyle w:val="12"/>
            </w:pPr>
            <w:r>
              <w:t>数量指标</w:t>
            </w:r>
          </w:p>
        </w:tc>
        <w:tc>
          <w:tcPr>
            <w:tcW w:w="2835" w:type="dxa"/>
            <w:vAlign w:val="center"/>
          </w:tcPr>
          <w:p w14:paraId="101E90B8">
            <w:pPr>
              <w:pStyle w:val="12"/>
            </w:pPr>
            <w:r>
              <w:t>幼儿资助比例</w:t>
            </w:r>
          </w:p>
        </w:tc>
        <w:tc>
          <w:tcPr>
            <w:tcW w:w="5386" w:type="dxa"/>
            <w:vAlign w:val="center"/>
          </w:tcPr>
          <w:p w14:paraId="3944D95F">
            <w:pPr>
              <w:pStyle w:val="12"/>
            </w:pPr>
            <w:r>
              <w:t>按学前适龄在园儿童10%测算</w:t>
            </w:r>
          </w:p>
        </w:tc>
        <w:tc>
          <w:tcPr>
            <w:tcW w:w="2268" w:type="dxa"/>
            <w:vAlign w:val="center"/>
          </w:tcPr>
          <w:p w14:paraId="3BF2C61B">
            <w:pPr>
              <w:pStyle w:val="12"/>
            </w:pPr>
            <w:r>
              <w:t>10%</w:t>
            </w:r>
          </w:p>
        </w:tc>
        <w:tc>
          <w:tcPr>
            <w:tcW w:w="1276" w:type="dxa"/>
            <w:vAlign w:val="center"/>
          </w:tcPr>
          <w:p w14:paraId="2862C9E8">
            <w:pPr>
              <w:pStyle w:val="12"/>
            </w:pPr>
            <w:r>
              <w:t>幼儿资助经费管理办法</w:t>
            </w:r>
          </w:p>
        </w:tc>
      </w:tr>
      <w:tr w14:paraId="6481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0C461"/>
        </w:tc>
        <w:tc>
          <w:tcPr>
            <w:tcW w:w="2268" w:type="dxa"/>
            <w:vAlign w:val="center"/>
          </w:tcPr>
          <w:p w14:paraId="5E611758">
            <w:pPr>
              <w:pStyle w:val="12"/>
            </w:pPr>
            <w:r>
              <w:t>质量指标</w:t>
            </w:r>
          </w:p>
        </w:tc>
        <w:tc>
          <w:tcPr>
            <w:tcW w:w="2835" w:type="dxa"/>
            <w:vAlign w:val="center"/>
          </w:tcPr>
          <w:p w14:paraId="1046A575">
            <w:pPr>
              <w:pStyle w:val="12"/>
            </w:pPr>
            <w:r>
              <w:t>资助资金使用率</w:t>
            </w:r>
          </w:p>
        </w:tc>
        <w:tc>
          <w:tcPr>
            <w:tcW w:w="5386" w:type="dxa"/>
            <w:vAlign w:val="center"/>
          </w:tcPr>
          <w:p w14:paraId="0B353C30">
            <w:pPr>
              <w:pStyle w:val="12"/>
            </w:pPr>
            <w:r>
              <w:t>符合享受资助条件的学生应助尽助</w:t>
            </w:r>
          </w:p>
        </w:tc>
        <w:tc>
          <w:tcPr>
            <w:tcW w:w="2268" w:type="dxa"/>
            <w:vAlign w:val="center"/>
          </w:tcPr>
          <w:p w14:paraId="28A2F720">
            <w:pPr>
              <w:pStyle w:val="12"/>
            </w:pPr>
            <w:r>
              <w:t>100%</w:t>
            </w:r>
          </w:p>
        </w:tc>
        <w:tc>
          <w:tcPr>
            <w:tcW w:w="1276" w:type="dxa"/>
            <w:vAlign w:val="center"/>
          </w:tcPr>
          <w:p w14:paraId="0D863E55">
            <w:pPr>
              <w:pStyle w:val="12"/>
            </w:pPr>
            <w:r>
              <w:t>幼儿资助经费管理办法</w:t>
            </w:r>
          </w:p>
        </w:tc>
      </w:tr>
      <w:tr w14:paraId="1A60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D7447"/>
        </w:tc>
        <w:tc>
          <w:tcPr>
            <w:tcW w:w="2268" w:type="dxa"/>
            <w:vAlign w:val="center"/>
          </w:tcPr>
          <w:p w14:paraId="4E777E01">
            <w:pPr>
              <w:pStyle w:val="12"/>
            </w:pPr>
            <w:r>
              <w:t>时效指标</w:t>
            </w:r>
          </w:p>
        </w:tc>
        <w:tc>
          <w:tcPr>
            <w:tcW w:w="2835" w:type="dxa"/>
            <w:vAlign w:val="center"/>
          </w:tcPr>
          <w:p w14:paraId="248E6EFE">
            <w:pPr>
              <w:pStyle w:val="12"/>
            </w:pPr>
            <w:r>
              <w:t>资金拨付率</w:t>
            </w:r>
          </w:p>
        </w:tc>
        <w:tc>
          <w:tcPr>
            <w:tcW w:w="5386" w:type="dxa"/>
            <w:vAlign w:val="center"/>
          </w:tcPr>
          <w:p w14:paraId="0702A5C2">
            <w:pPr>
              <w:pStyle w:val="12"/>
            </w:pPr>
            <w:r>
              <w:t>所有项目资金支付进度</w:t>
            </w:r>
          </w:p>
        </w:tc>
        <w:tc>
          <w:tcPr>
            <w:tcW w:w="2268" w:type="dxa"/>
            <w:vAlign w:val="center"/>
          </w:tcPr>
          <w:p w14:paraId="1E7658A6">
            <w:pPr>
              <w:pStyle w:val="12"/>
            </w:pPr>
            <w:r>
              <w:t>100%</w:t>
            </w:r>
          </w:p>
        </w:tc>
        <w:tc>
          <w:tcPr>
            <w:tcW w:w="1276" w:type="dxa"/>
            <w:vAlign w:val="center"/>
          </w:tcPr>
          <w:p w14:paraId="1F45D7E5">
            <w:pPr>
              <w:pStyle w:val="12"/>
            </w:pPr>
            <w:r>
              <w:t>幼儿资助经费管理办法</w:t>
            </w:r>
          </w:p>
        </w:tc>
      </w:tr>
      <w:tr w14:paraId="24FC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0A03A"/>
        </w:tc>
        <w:tc>
          <w:tcPr>
            <w:tcW w:w="2268" w:type="dxa"/>
            <w:vAlign w:val="center"/>
          </w:tcPr>
          <w:p w14:paraId="67F164DB">
            <w:pPr>
              <w:pStyle w:val="12"/>
            </w:pPr>
            <w:r>
              <w:t>成本指标</w:t>
            </w:r>
          </w:p>
        </w:tc>
        <w:tc>
          <w:tcPr>
            <w:tcW w:w="2835" w:type="dxa"/>
            <w:vAlign w:val="center"/>
          </w:tcPr>
          <w:p w14:paraId="17FF6BD4">
            <w:pPr>
              <w:pStyle w:val="12"/>
            </w:pPr>
            <w:r>
              <w:t>幼儿园生均成本</w:t>
            </w:r>
          </w:p>
        </w:tc>
        <w:tc>
          <w:tcPr>
            <w:tcW w:w="5386" w:type="dxa"/>
            <w:vAlign w:val="center"/>
          </w:tcPr>
          <w:p w14:paraId="4E126E73">
            <w:pPr>
              <w:pStyle w:val="12"/>
            </w:pPr>
            <w:r>
              <w:t>按照幼儿园资助标准1000元/生/年</w:t>
            </w:r>
          </w:p>
        </w:tc>
        <w:tc>
          <w:tcPr>
            <w:tcW w:w="2268" w:type="dxa"/>
            <w:vAlign w:val="center"/>
          </w:tcPr>
          <w:p w14:paraId="7FC08ACE">
            <w:pPr>
              <w:pStyle w:val="12"/>
            </w:pPr>
            <w:r>
              <w:t>1000元</w:t>
            </w:r>
          </w:p>
        </w:tc>
        <w:tc>
          <w:tcPr>
            <w:tcW w:w="1276" w:type="dxa"/>
            <w:vAlign w:val="center"/>
          </w:tcPr>
          <w:p w14:paraId="0C244793">
            <w:pPr>
              <w:pStyle w:val="12"/>
            </w:pPr>
            <w:r>
              <w:t>幼儿资助经费管理办法</w:t>
            </w:r>
          </w:p>
        </w:tc>
      </w:tr>
      <w:tr w14:paraId="3F26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83C29">
            <w:pPr>
              <w:pStyle w:val="13"/>
            </w:pPr>
            <w:r>
              <w:t>效益指标</w:t>
            </w:r>
          </w:p>
        </w:tc>
        <w:tc>
          <w:tcPr>
            <w:tcW w:w="2268" w:type="dxa"/>
            <w:vAlign w:val="center"/>
          </w:tcPr>
          <w:p w14:paraId="4C5D4979">
            <w:pPr>
              <w:pStyle w:val="12"/>
            </w:pPr>
            <w:r>
              <w:t>可持续影响指标</w:t>
            </w:r>
          </w:p>
        </w:tc>
        <w:tc>
          <w:tcPr>
            <w:tcW w:w="2835" w:type="dxa"/>
            <w:vAlign w:val="center"/>
          </w:tcPr>
          <w:p w14:paraId="58DE3522">
            <w:pPr>
              <w:pStyle w:val="12"/>
            </w:pPr>
            <w:r>
              <w:t>幼儿园正常运转</w:t>
            </w:r>
          </w:p>
        </w:tc>
        <w:tc>
          <w:tcPr>
            <w:tcW w:w="5386" w:type="dxa"/>
            <w:vAlign w:val="center"/>
          </w:tcPr>
          <w:p w14:paraId="222529FA">
            <w:pPr>
              <w:pStyle w:val="12"/>
            </w:pPr>
            <w:r>
              <w:t>幼儿受教育年限</w:t>
            </w:r>
          </w:p>
        </w:tc>
        <w:tc>
          <w:tcPr>
            <w:tcW w:w="2268" w:type="dxa"/>
            <w:vAlign w:val="center"/>
          </w:tcPr>
          <w:p w14:paraId="7242920C">
            <w:pPr>
              <w:pStyle w:val="12"/>
            </w:pPr>
            <w:r>
              <w:t>3年</w:t>
            </w:r>
          </w:p>
        </w:tc>
        <w:tc>
          <w:tcPr>
            <w:tcW w:w="1276" w:type="dxa"/>
            <w:vAlign w:val="center"/>
          </w:tcPr>
          <w:p w14:paraId="3F0FBFDA">
            <w:pPr>
              <w:pStyle w:val="12"/>
            </w:pPr>
            <w:r>
              <w:t>幼儿资助经费管理办法</w:t>
            </w:r>
          </w:p>
        </w:tc>
      </w:tr>
      <w:tr w14:paraId="1AFE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DBE20">
            <w:pPr>
              <w:pStyle w:val="13"/>
            </w:pPr>
            <w:r>
              <w:t>满意度指标</w:t>
            </w:r>
          </w:p>
        </w:tc>
        <w:tc>
          <w:tcPr>
            <w:tcW w:w="2268" w:type="dxa"/>
            <w:vAlign w:val="center"/>
          </w:tcPr>
          <w:p w14:paraId="7520D7AF">
            <w:pPr>
              <w:pStyle w:val="12"/>
            </w:pPr>
            <w:r>
              <w:t>服务对象满意度指标</w:t>
            </w:r>
          </w:p>
        </w:tc>
        <w:tc>
          <w:tcPr>
            <w:tcW w:w="2835" w:type="dxa"/>
            <w:vAlign w:val="center"/>
          </w:tcPr>
          <w:p w14:paraId="58C90CC2">
            <w:pPr>
              <w:pStyle w:val="12"/>
            </w:pPr>
            <w:r>
              <w:t>受益幼儿家长及调查满意度</w:t>
            </w:r>
          </w:p>
        </w:tc>
        <w:tc>
          <w:tcPr>
            <w:tcW w:w="5386" w:type="dxa"/>
            <w:vAlign w:val="center"/>
          </w:tcPr>
          <w:p w14:paraId="4A80FAC3">
            <w:pPr>
              <w:pStyle w:val="12"/>
            </w:pPr>
            <w:r>
              <w:t>学生、教师及家长对学校保教保育工作满意度情况</w:t>
            </w:r>
          </w:p>
        </w:tc>
        <w:tc>
          <w:tcPr>
            <w:tcW w:w="2268" w:type="dxa"/>
            <w:vAlign w:val="center"/>
          </w:tcPr>
          <w:p w14:paraId="02C25E13">
            <w:pPr>
              <w:pStyle w:val="12"/>
            </w:pPr>
            <w:r>
              <w:t>≥95%</w:t>
            </w:r>
          </w:p>
        </w:tc>
        <w:tc>
          <w:tcPr>
            <w:tcW w:w="1276" w:type="dxa"/>
            <w:vAlign w:val="center"/>
          </w:tcPr>
          <w:p w14:paraId="32E1BA72">
            <w:pPr>
              <w:pStyle w:val="12"/>
            </w:pPr>
            <w:r>
              <w:t>幼儿资助经费管理办法</w:t>
            </w:r>
          </w:p>
        </w:tc>
      </w:tr>
    </w:tbl>
    <w:p w14:paraId="1F2296F9">
      <w:pPr>
        <w:sectPr>
          <w:pgSz w:w="16840" w:h="11900" w:orient="landscape"/>
          <w:pgMar w:top="1361" w:right="1020" w:bottom="1134" w:left="1020" w:header="720" w:footer="720" w:gutter="0"/>
          <w:cols w:space="720" w:num="1"/>
        </w:sectPr>
      </w:pPr>
    </w:p>
    <w:p w14:paraId="52834D85">
      <w:pPr>
        <w:spacing w:before="0" w:after="0"/>
        <w:ind w:firstLine="560"/>
        <w:jc w:val="left"/>
        <w:outlineLvl w:val="9"/>
      </w:pPr>
      <w:r>
        <w:rPr>
          <w:rFonts w:ascii="方正仿宋_GBK" w:hAnsi="方正仿宋_GBK" w:eastAsia="方正仿宋_GBK" w:cs="方正仿宋_GBK"/>
          <w:b/>
          <w:color w:val="000000"/>
          <w:sz w:val="28"/>
        </w:rPr>
        <w:t>9、冀财教[2025]122号/中央/2026年学前发展资金/魏庄校区幼儿园免保育教育费补助绩效目标表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CE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E0F1D">
            <w:pPr>
              <w:pStyle w:val="11"/>
            </w:pPr>
            <w:r>
              <w:t>单位：万元</w:t>
            </w:r>
          </w:p>
        </w:tc>
      </w:tr>
      <w:tr w14:paraId="646BD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63F88">
            <w:pPr>
              <w:pStyle w:val="10"/>
            </w:pPr>
            <w:r>
              <w:t>项目编码</w:t>
            </w:r>
          </w:p>
        </w:tc>
        <w:tc>
          <w:tcPr>
            <w:tcW w:w="5103" w:type="dxa"/>
            <w:gridSpan w:val="2"/>
            <w:vAlign w:val="center"/>
          </w:tcPr>
          <w:p w14:paraId="024BA48D">
            <w:pPr>
              <w:pStyle w:val="12"/>
            </w:pPr>
            <w:r>
              <w:t>13052526P008769101350</w:t>
            </w:r>
          </w:p>
        </w:tc>
        <w:tc>
          <w:tcPr>
            <w:tcW w:w="2835" w:type="dxa"/>
            <w:vAlign w:val="center"/>
          </w:tcPr>
          <w:p w14:paraId="4EE184E6">
            <w:pPr>
              <w:pStyle w:val="10"/>
            </w:pPr>
            <w:r>
              <w:t>项目名称</w:t>
            </w:r>
          </w:p>
        </w:tc>
        <w:tc>
          <w:tcPr>
            <w:tcW w:w="6095" w:type="dxa"/>
            <w:gridSpan w:val="3"/>
            <w:vAlign w:val="center"/>
          </w:tcPr>
          <w:p w14:paraId="0D4636FD">
            <w:pPr>
              <w:pStyle w:val="12"/>
            </w:pPr>
            <w:r>
              <w:t>冀财教[2025]122号/中央/2026年学前发展资金/魏庄校区幼儿园免保育教育费补助</w:t>
            </w:r>
          </w:p>
        </w:tc>
      </w:tr>
      <w:tr w14:paraId="6247C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229B6">
            <w:pPr>
              <w:pStyle w:val="10"/>
            </w:pPr>
            <w:r>
              <w:t>预算规模及资金用途</w:t>
            </w:r>
          </w:p>
        </w:tc>
        <w:tc>
          <w:tcPr>
            <w:tcW w:w="2268" w:type="dxa"/>
            <w:vAlign w:val="center"/>
          </w:tcPr>
          <w:p w14:paraId="08EA765A">
            <w:pPr>
              <w:pStyle w:val="10"/>
            </w:pPr>
            <w:r>
              <w:t>预算数</w:t>
            </w:r>
          </w:p>
        </w:tc>
        <w:tc>
          <w:tcPr>
            <w:tcW w:w="2835" w:type="dxa"/>
            <w:vAlign w:val="center"/>
          </w:tcPr>
          <w:p w14:paraId="2C83ED43">
            <w:pPr>
              <w:pStyle w:val="12"/>
            </w:pPr>
            <w:r>
              <w:t>3.51</w:t>
            </w:r>
          </w:p>
        </w:tc>
        <w:tc>
          <w:tcPr>
            <w:tcW w:w="2835" w:type="dxa"/>
            <w:vAlign w:val="center"/>
          </w:tcPr>
          <w:p w14:paraId="29EFA3FE">
            <w:pPr>
              <w:pStyle w:val="10"/>
            </w:pPr>
            <w:r>
              <w:t>其中：财政    资金</w:t>
            </w:r>
          </w:p>
        </w:tc>
        <w:tc>
          <w:tcPr>
            <w:tcW w:w="2551" w:type="dxa"/>
            <w:vAlign w:val="center"/>
          </w:tcPr>
          <w:p w14:paraId="39CC5AAE">
            <w:pPr>
              <w:pStyle w:val="12"/>
            </w:pPr>
            <w:r>
              <w:t>3.51</w:t>
            </w:r>
          </w:p>
        </w:tc>
        <w:tc>
          <w:tcPr>
            <w:tcW w:w="2268" w:type="dxa"/>
            <w:vAlign w:val="center"/>
          </w:tcPr>
          <w:p w14:paraId="5966F595">
            <w:pPr>
              <w:pStyle w:val="10"/>
            </w:pPr>
            <w:r>
              <w:t>其他资金</w:t>
            </w:r>
          </w:p>
        </w:tc>
        <w:tc>
          <w:tcPr>
            <w:tcW w:w="1276" w:type="dxa"/>
            <w:vAlign w:val="center"/>
          </w:tcPr>
          <w:p w14:paraId="05B51CDE">
            <w:pPr>
              <w:pStyle w:val="12"/>
            </w:pPr>
            <w:r>
              <w:t xml:space="preserve"> </w:t>
            </w:r>
          </w:p>
        </w:tc>
      </w:tr>
      <w:tr w14:paraId="4BC8C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A2EA6"/>
        </w:tc>
        <w:tc>
          <w:tcPr>
            <w:tcW w:w="14033" w:type="dxa"/>
            <w:gridSpan w:val="6"/>
            <w:vAlign w:val="center"/>
          </w:tcPr>
          <w:p w14:paraId="3A529DCE">
            <w:pPr>
              <w:pStyle w:val="12"/>
            </w:pPr>
            <w:r>
              <w:t>保障幼儿园正常运转，完成教育教学活动和其他日常工作任务等方面的费用支出。</w:t>
            </w:r>
          </w:p>
        </w:tc>
      </w:tr>
      <w:tr w14:paraId="38C6A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2712B">
            <w:pPr>
              <w:pStyle w:val="10"/>
            </w:pPr>
            <w:r>
              <w:t>资金支出计划（%）</w:t>
            </w:r>
          </w:p>
        </w:tc>
        <w:tc>
          <w:tcPr>
            <w:tcW w:w="5103" w:type="dxa"/>
            <w:gridSpan w:val="2"/>
            <w:vAlign w:val="center"/>
          </w:tcPr>
          <w:p w14:paraId="421401B7">
            <w:pPr>
              <w:pStyle w:val="10"/>
            </w:pPr>
            <w:r>
              <w:t>3月底</w:t>
            </w:r>
          </w:p>
        </w:tc>
        <w:tc>
          <w:tcPr>
            <w:tcW w:w="2835" w:type="dxa"/>
            <w:vAlign w:val="center"/>
          </w:tcPr>
          <w:p w14:paraId="04EB2D83">
            <w:pPr>
              <w:pStyle w:val="10"/>
            </w:pPr>
            <w:r>
              <w:t>6月底</w:t>
            </w:r>
          </w:p>
        </w:tc>
        <w:tc>
          <w:tcPr>
            <w:tcW w:w="2551" w:type="dxa"/>
            <w:vAlign w:val="center"/>
          </w:tcPr>
          <w:p w14:paraId="0AD64C56">
            <w:pPr>
              <w:pStyle w:val="10"/>
            </w:pPr>
            <w:r>
              <w:t>10月底</w:t>
            </w:r>
          </w:p>
        </w:tc>
        <w:tc>
          <w:tcPr>
            <w:tcW w:w="3544" w:type="dxa"/>
            <w:gridSpan w:val="2"/>
            <w:vAlign w:val="center"/>
          </w:tcPr>
          <w:p w14:paraId="7AA344D1">
            <w:pPr>
              <w:pStyle w:val="10"/>
            </w:pPr>
            <w:r>
              <w:t>12月底</w:t>
            </w:r>
          </w:p>
        </w:tc>
      </w:tr>
      <w:tr w14:paraId="6913E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4788C"/>
        </w:tc>
        <w:tc>
          <w:tcPr>
            <w:tcW w:w="5103" w:type="dxa"/>
            <w:gridSpan w:val="2"/>
            <w:vAlign w:val="center"/>
          </w:tcPr>
          <w:p w14:paraId="31344106">
            <w:pPr>
              <w:pStyle w:val="13"/>
            </w:pPr>
            <w:r>
              <w:t>25%</w:t>
            </w:r>
          </w:p>
        </w:tc>
        <w:tc>
          <w:tcPr>
            <w:tcW w:w="2835" w:type="dxa"/>
            <w:vAlign w:val="center"/>
          </w:tcPr>
          <w:p w14:paraId="0E5BA543">
            <w:pPr>
              <w:pStyle w:val="13"/>
            </w:pPr>
            <w:r>
              <w:t>50%</w:t>
            </w:r>
          </w:p>
        </w:tc>
        <w:tc>
          <w:tcPr>
            <w:tcW w:w="2551" w:type="dxa"/>
            <w:vAlign w:val="center"/>
          </w:tcPr>
          <w:p w14:paraId="3AB4D68F">
            <w:pPr>
              <w:pStyle w:val="13"/>
            </w:pPr>
            <w:r>
              <w:t>75%</w:t>
            </w:r>
          </w:p>
        </w:tc>
        <w:tc>
          <w:tcPr>
            <w:tcW w:w="3544" w:type="dxa"/>
            <w:gridSpan w:val="2"/>
            <w:vAlign w:val="center"/>
          </w:tcPr>
          <w:p w14:paraId="430D4641">
            <w:pPr>
              <w:pStyle w:val="13"/>
            </w:pPr>
            <w:r>
              <w:t>100%</w:t>
            </w:r>
          </w:p>
        </w:tc>
      </w:tr>
      <w:tr w14:paraId="45B7C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BA482">
            <w:pPr>
              <w:pStyle w:val="10"/>
            </w:pPr>
            <w:r>
              <w:t>绩效目标</w:t>
            </w:r>
          </w:p>
        </w:tc>
        <w:tc>
          <w:tcPr>
            <w:tcW w:w="14033" w:type="dxa"/>
            <w:gridSpan w:val="6"/>
            <w:vAlign w:val="center"/>
          </w:tcPr>
          <w:p w14:paraId="63599FD2">
            <w:pPr>
              <w:pStyle w:val="12"/>
            </w:pPr>
            <w:r>
              <w:t>1.保障幼儿园正常运转，完成教育教学活动和其他日常工作任务等方面的费用支出。</w:t>
            </w:r>
          </w:p>
        </w:tc>
      </w:tr>
    </w:tbl>
    <w:p w14:paraId="12C136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1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1D27F">
            <w:pPr>
              <w:pStyle w:val="10"/>
            </w:pPr>
            <w:r>
              <w:t>一级指标</w:t>
            </w:r>
          </w:p>
        </w:tc>
        <w:tc>
          <w:tcPr>
            <w:tcW w:w="2268" w:type="dxa"/>
            <w:vAlign w:val="center"/>
          </w:tcPr>
          <w:p w14:paraId="39BC348C">
            <w:pPr>
              <w:pStyle w:val="10"/>
            </w:pPr>
            <w:r>
              <w:t>二级指标</w:t>
            </w:r>
          </w:p>
        </w:tc>
        <w:tc>
          <w:tcPr>
            <w:tcW w:w="2835" w:type="dxa"/>
            <w:vAlign w:val="center"/>
          </w:tcPr>
          <w:p w14:paraId="1649CC7E">
            <w:pPr>
              <w:pStyle w:val="10"/>
            </w:pPr>
            <w:r>
              <w:t>三级指标</w:t>
            </w:r>
          </w:p>
        </w:tc>
        <w:tc>
          <w:tcPr>
            <w:tcW w:w="5386" w:type="dxa"/>
            <w:vAlign w:val="center"/>
          </w:tcPr>
          <w:p w14:paraId="7A6E4823">
            <w:pPr>
              <w:pStyle w:val="10"/>
            </w:pPr>
            <w:r>
              <w:t>绩效指标描述</w:t>
            </w:r>
          </w:p>
        </w:tc>
        <w:tc>
          <w:tcPr>
            <w:tcW w:w="2268" w:type="dxa"/>
            <w:vAlign w:val="center"/>
          </w:tcPr>
          <w:p w14:paraId="2AC861C6">
            <w:pPr>
              <w:pStyle w:val="10"/>
            </w:pPr>
            <w:r>
              <w:t>指标值</w:t>
            </w:r>
          </w:p>
        </w:tc>
        <w:tc>
          <w:tcPr>
            <w:tcW w:w="1276" w:type="dxa"/>
            <w:vAlign w:val="center"/>
          </w:tcPr>
          <w:p w14:paraId="48DB70F9">
            <w:pPr>
              <w:pStyle w:val="10"/>
            </w:pPr>
            <w:r>
              <w:t>指标值确定依据</w:t>
            </w:r>
          </w:p>
        </w:tc>
      </w:tr>
      <w:tr w14:paraId="5C7A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67EFD">
            <w:pPr>
              <w:pStyle w:val="13"/>
            </w:pPr>
            <w:r>
              <w:t>产出指标</w:t>
            </w:r>
          </w:p>
        </w:tc>
        <w:tc>
          <w:tcPr>
            <w:tcW w:w="2268" w:type="dxa"/>
            <w:vAlign w:val="center"/>
          </w:tcPr>
          <w:p w14:paraId="612D29A9">
            <w:pPr>
              <w:pStyle w:val="12"/>
            </w:pPr>
            <w:r>
              <w:t>数量指标</w:t>
            </w:r>
          </w:p>
        </w:tc>
        <w:tc>
          <w:tcPr>
            <w:tcW w:w="2835" w:type="dxa"/>
            <w:vAlign w:val="center"/>
          </w:tcPr>
          <w:p w14:paraId="1329F174">
            <w:pPr>
              <w:pStyle w:val="12"/>
            </w:pPr>
            <w:r>
              <w:t>适龄在园生</w:t>
            </w:r>
          </w:p>
        </w:tc>
        <w:tc>
          <w:tcPr>
            <w:tcW w:w="5386" w:type="dxa"/>
            <w:vAlign w:val="center"/>
          </w:tcPr>
          <w:p w14:paraId="18931251">
            <w:pPr>
              <w:pStyle w:val="12"/>
            </w:pPr>
            <w:r>
              <w:t>适龄在园大班学生人数</w:t>
            </w:r>
          </w:p>
        </w:tc>
        <w:tc>
          <w:tcPr>
            <w:tcW w:w="2268" w:type="dxa"/>
            <w:vAlign w:val="center"/>
          </w:tcPr>
          <w:p w14:paraId="058B37D3">
            <w:pPr>
              <w:pStyle w:val="12"/>
            </w:pPr>
            <w:r>
              <w:t>157人</w:t>
            </w:r>
          </w:p>
        </w:tc>
        <w:tc>
          <w:tcPr>
            <w:tcW w:w="1276" w:type="dxa"/>
            <w:vAlign w:val="center"/>
          </w:tcPr>
          <w:p w14:paraId="779414B2">
            <w:pPr>
              <w:pStyle w:val="12"/>
            </w:pPr>
            <w:r>
              <w:t>免保育教育费生均财政补助标准</w:t>
            </w:r>
          </w:p>
        </w:tc>
      </w:tr>
      <w:tr w14:paraId="76A5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75EAA"/>
        </w:tc>
        <w:tc>
          <w:tcPr>
            <w:tcW w:w="2268" w:type="dxa"/>
            <w:vAlign w:val="center"/>
          </w:tcPr>
          <w:p w14:paraId="145D3C6C">
            <w:pPr>
              <w:pStyle w:val="12"/>
            </w:pPr>
            <w:r>
              <w:t>质量指标</w:t>
            </w:r>
          </w:p>
        </w:tc>
        <w:tc>
          <w:tcPr>
            <w:tcW w:w="2835" w:type="dxa"/>
            <w:vAlign w:val="center"/>
          </w:tcPr>
          <w:p w14:paraId="1EB08CA1">
            <w:pPr>
              <w:pStyle w:val="12"/>
            </w:pPr>
            <w:r>
              <w:t>预算控制率</w:t>
            </w:r>
          </w:p>
        </w:tc>
        <w:tc>
          <w:tcPr>
            <w:tcW w:w="5386" w:type="dxa"/>
            <w:vAlign w:val="center"/>
          </w:tcPr>
          <w:p w14:paraId="77BDA6E6">
            <w:pPr>
              <w:pStyle w:val="12"/>
            </w:pPr>
            <w:r>
              <w:t>预算执行</w:t>
            </w:r>
          </w:p>
        </w:tc>
        <w:tc>
          <w:tcPr>
            <w:tcW w:w="2268" w:type="dxa"/>
            <w:vAlign w:val="center"/>
          </w:tcPr>
          <w:p w14:paraId="7A44B210">
            <w:pPr>
              <w:pStyle w:val="12"/>
            </w:pPr>
            <w:r>
              <w:t>≥95%</w:t>
            </w:r>
          </w:p>
        </w:tc>
        <w:tc>
          <w:tcPr>
            <w:tcW w:w="1276" w:type="dxa"/>
            <w:vAlign w:val="center"/>
          </w:tcPr>
          <w:p w14:paraId="16D83277">
            <w:pPr>
              <w:pStyle w:val="12"/>
            </w:pPr>
            <w:r>
              <w:t>免保育教育费生均财政补助标准</w:t>
            </w:r>
          </w:p>
        </w:tc>
      </w:tr>
      <w:tr w14:paraId="5F13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30265"/>
        </w:tc>
        <w:tc>
          <w:tcPr>
            <w:tcW w:w="2268" w:type="dxa"/>
            <w:vAlign w:val="center"/>
          </w:tcPr>
          <w:p w14:paraId="5A54679C">
            <w:pPr>
              <w:pStyle w:val="12"/>
            </w:pPr>
            <w:r>
              <w:t>时效指标</w:t>
            </w:r>
          </w:p>
        </w:tc>
        <w:tc>
          <w:tcPr>
            <w:tcW w:w="2835" w:type="dxa"/>
            <w:vAlign w:val="center"/>
          </w:tcPr>
          <w:p w14:paraId="5CE95C4E">
            <w:pPr>
              <w:pStyle w:val="12"/>
            </w:pPr>
            <w:r>
              <w:t>资金支付率</w:t>
            </w:r>
          </w:p>
        </w:tc>
        <w:tc>
          <w:tcPr>
            <w:tcW w:w="5386" w:type="dxa"/>
            <w:vAlign w:val="center"/>
          </w:tcPr>
          <w:p w14:paraId="616AAD27">
            <w:pPr>
              <w:pStyle w:val="12"/>
            </w:pPr>
            <w:r>
              <w:t>按照序时进度完成资金支付</w:t>
            </w:r>
          </w:p>
        </w:tc>
        <w:tc>
          <w:tcPr>
            <w:tcW w:w="2268" w:type="dxa"/>
            <w:vAlign w:val="center"/>
          </w:tcPr>
          <w:p w14:paraId="728B5534">
            <w:pPr>
              <w:pStyle w:val="12"/>
            </w:pPr>
            <w:r>
              <w:t>100%</w:t>
            </w:r>
          </w:p>
        </w:tc>
        <w:tc>
          <w:tcPr>
            <w:tcW w:w="1276" w:type="dxa"/>
            <w:vAlign w:val="center"/>
          </w:tcPr>
          <w:p w14:paraId="24B3F26C">
            <w:pPr>
              <w:pStyle w:val="12"/>
            </w:pPr>
            <w:r>
              <w:t>免保育教育费生均财政补助标准</w:t>
            </w:r>
          </w:p>
        </w:tc>
      </w:tr>
      <w:tr w14:paraId="57DB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FD480"/>
        </w:tc>
        <w:tc>
          <w:tcPr>
            <w:tcW w:w="2268" w:type="dxa"/>
            <w:vAlign w:val="center"/>
          </w:tcPr>
          <w:p w14:paraId="549063FA">
            <w:pPr>
              <w:pStyle w:val="12"/>
            </w:pPr>
            <w:r>
              <w:t>成本指标</w:t>
            </w:r>
          </w:p>
        </w:tc>
        <w:tc>
          <w:tcPr>
            <w:tcW w:w="2835" w:type="dxa"/>
            <w:vAlign w:val="center"/>
          </w:tcPr>
          <w:p w14:paraId="181AC1DB">
            <w:pPr>
              <w:pStyle w:val="12"/>
            </w:pPr>
            <w:r>
              <w:t xml:space="preserve"> 免保育教育费补助</w:t>
            </w:r>
          </w:p>
        </w:tc>
        <w:tc>
          <w:tcPr>
            <w:tcW w:w="5386" w:type="dxa"/>
            <w:vAlign w:val="center"/>
          </w:tcPr>
          <w:p w14:paraId="11687655">
            <w:pPr>
              <w:pStyle w:val="12"/>
            </w:pPr>
            <w:r>
              <w:t>免保育教育费补助</w:t>
            </w:r>
          </w:p>
        </w:tc>
        <w:tc>
          <w:tcPr>
            <w:tcW w:w="2268" w:type="dxa"/>
            <w:vAlign w:val="center"/>
          </w:tcPr>
          <w:p w14:paraId="5E0BB960">
            <w:pPr>
              <w:pStyle w:val="12"/>
            </w:pPr>
            <w:r>
              <w:t>35138元</w:t>
            </w:r>
          </w:p>
        </w:tc>
        <w:tc>
          <w:tcPr>
            <w:tcW w:w="1276" w:type="dxa"/>
            <w:vAlign w:val="center"/>
          </w:tcPr>
          <w:p w14:paraId="1F1367C3">
            <w:pPr>
              <w:pStyle w:val="12"/>
            </w:pPr>
            <w:r>
              <w:t>免保育教育费生均财政补助标准</w:t>
            </w:r>
          </w:p>
        </w:tc>
      </w:tr>
      <w:tr w14:paraId="1932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DB0BF">
            <w:pPr>
              <w:pStyle w:val="13"/>
            </w:pPr>
            <w:r>
              <w:t>效益指标</w:t>
            </w:r>
          </w:p>
        </w:tc>
        <w:tc>
          <w:tcPr>
            <w:tcW w:w="2268" w:type="dxa"/>
            <w:vAlign w:val="center"/>
          </w:tcPr>
          <w:p w14:paraId="4CDA7DA3">
            <w:pPr>
              <w:pStyle w:val="12"/>
            </w:pPr>
            <w:r>
              <w:t>可持续影响指标</w:t>
            </w:r>
          </w:p>
        </w:tc>
        <w:tc>
          <w:tcPr>
            <w:tcW w:w="2835" w:type="dxa"/>
            <w:vAlign w:val="center"/>
          </w:tcPr>
          <w:p w14:paraId="43A63B12">
            <w:pPr>
              <w:pStyle w:val="12"/>
            </w:pPr>
            <w:r>
              <w:t>学校运转得到提升</w:t>
            </w:r>
          </w:p>
        </w:tc>
        <w:tc>
          <w:tcPr>
            <w:tcW w:w="5386" w:type="dxa"/>
            <w:vAlign w:val="center"/>
          </w:tcPr>
          <w:p w14:paraId="3D913E2A">
            <w:pPr>
              <w:pStyle w:val="12"/>
            </w:pPr>
            <w:r>
              <w:t>幼儿受教育年限</w:t>
            </w:r>
          </w:p>
        </w:tc>
        <w:tc>
          <w:tcPr>
            <w:tcW w:w="2268" w:type="dxa"/>
            <w:vAlign w:val="center"/>
          </w:tcPr>
          <w:p w14:paraId="2F1E64DD">
            <w:pPr>
              <w:pStyle w:val="12"/>
            </w:pPr>
            <w:r>
              <w:t>3年</w:t>
            </w:r>
          </w:p>
        </w:tc>
        <w:tc>
          <w:tcPr>
            <w:tcW w:w="1276" w:type="dxa"/>
            <w:vAlign w:val="center"/>
          </w:tcPr>
          <w:p w14:paraId="10EE2FEF">
            <w:pPr>
              <w:pStyle w:val="12"/>
            </w:pPr>
            <w:r>
              <w:t>免保育教育费生均财政补助标准</w:t>
            </w:r>
          </w:p>
        </w:tc>
      </w:tr>
      <w:tr w14:paraId="0C08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F4369">
            <w:pPr>
              <w:pStyle w:val="13"/>
            </w:pPr>
            <w:r>
              <w:t>满意度指标</w:t>
            </w:r>
          </w:p>
        </w:tc>
        <w:tc>
          <w:tcPr>
            <w:tcW w:w="2268" w:type="dxa"/>
            <w:vAlign w:val="center"/>
          </w:tcPr>
          <w:p w14:paraId="00509A15">
            <w:pPr>
              <w:pStyle w:val="12"/>
            </w:pPr>
            <w:r>
              <w:t>服务对象满意度指标</w:t>
            </w:r>
          </w:p>
        </w:tc>
        <w:tc>
          <w:tcPr>
            <w:tcW w:w="2835" w:type="dxa"/>
            <w:vAlign w:val="center"/>
          </w:tcPr>
          <w:p w14:paraId="2A9C4C78">
            <w:pPr>
              <w:pStyle w:val="12"/>
            </w:pPr>
            <w:r>
              <w:t>受益学生家长及调查满意度</w:t>
            </w:r>
          </w:p>
        </w:tc>
        <w:tc>
          <w:tcPr>
            <w:tcW w:w="5386" w:type="dxa"/>
            <w:vAlign w:val="center"/>
          </w:tcPr>
          <w:p w14:paraId="26621DBD">
            <w:pPr>
              <w:pStyle w:val="12"/>
            </w:pPr>
            <w:r>
              <w:t>学生、教师及家长对学校保教保育工作满意度情况</w:t>
            </w:r>
          </w:p>
        </w:tc>
        <w:tc>
          <w:tcPr>
            <w:tcW w:w="2268" w:type="dxa"/>
            <w:vAlign w:val="center"/>
          </w:tcPr>
          <w:p w14:paraId="75AE5EEA">
            <w:pPr>
              <w:pStyle w:val="12"/>
            </w:pPr>
            <w:r>
              <w:t>≥95%</w:t>
            </w:r>
          </w:p>
        </w:tc>
        <w:tc>
          <w:tcPr>
            <w:tcW w:w="1276" w:type="dxa"/>
            <w:vAlign w:val="center"/>
          </w:tcPr>
          <w:p w14:paraId="027C12EA">
            <w:pPr>
              <w:pStyle w:val="12"/>
            </w:pPr>
            <w:r>
              <w:t>免保育教育费生均财政补助标准</w:t>
            </w:r>
          </w:p>
        </w:tc>
      </w:tr>
    </w:tbl>
    <w:p w14:paraId="208933E0">
      <w:pPr>
        <w:sectPr>
          <w:pgSz w:w="16840" w:h="11900" w:orient="landscape"/>
          <w:pgMar w:top="1361" w:right="1020" w:bottom="1134" w:left="1020" w:header="720" w:footer="720" w:gutter="0"/>
          <w:cols w:space="720" w:num="1"/>
        </w:sectPr>
      </w:pPr>
    </w:p>
    <w:p w14:paraId="33E22D69">
      <w:pPr>
        <w:spacing w:before="0" w:after="0"/>
        <w:ind w:firstLine="560"/>
        <w:jc w:val="left"/>
        <w:outlineLvl w:val="9"/>
      </w:pPr>
      <w:r>
        <w:rPr>
          <w:rFonts w:ascii="方正仿宋_GBK" w:hAnsi="方正仿宋_GBK" w:eastAsia="方正仿宋_GBK" w:cs="方正仿宋_GBK"/>
          <w:b/>
          <w:color w:val="000000"/>
          <w:sz w:val="28"/>
        </w:rPr>
        <w:t>10、冀财教[2025]122号/中央/支持学前教育发展/肖庄幼儿园保教楼及食堂维修改造绩效目标表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87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00709">
            <w:pPr>
              <w:pStyle w:val="11"/>
            </w:pPr>
            <w:r>
              <w:t>单位：万元</w:t>
            </w:r>
          </w:p>
        </w:tc>
      </w:tr>
      <w:tr w14:paraId="2B2A1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F20B8">
            <w:pPr>
              <w:pStyle w:val="10"/>
            </w:pPr>
            <w:r>
              <w:t>项目编码</w:t>
            </w:r>
          </w:p>
        </w:tc>
        <w:tc>
          <w:tcPr>
            <w:tcW w:w="5103" w:type="dxa"/>
            <w:gridSpan w:val="2"/>
            <w:vAlign w:val="center"/>
          </w:tcPr>
          <w:p w14:paraId="0999CF05">
            <w:pPr>
              <w:pStyle w:val="12"/>
            </w:pPr>
            <w:r>
              <w:t>13052526P008769101905</w:t>
            </w:r>
          </w:p>
        </w:tc>
        <w:tc>
          <w:tcPr>
            <w:tcW w:w="2835" w:type="dxa"/>
            <w:vAlign w:val="center"/>
          </w:tcPr>
          <w:p w14:paraId="694F4B4E">
            <w:pPr>
              <w:pStyle w:val="10"/>
            </w:pPr>
            <w:r>
              <w:t>项目名称</w:t>
            </w:r>
          </w:p>
        </w:tc>
        <w:tc>
          <w:tcPr>
            <w:tcW w:w="6095" w:type="dxa"/>
            <w:gridSpan w:val="3"/>
            <w:vAlign w:val="center"/>
          </w:tcPr>
          <w:p w14:paraId="0FCD5EF6">
            <w:pPr>
              <w:pStyle w:val="12"/>
            </w:pPr>
            <w:r>
              <w:t>冀财教[2025]122号/中央/支持学前教育发展/肖庄幼儿园保教楼及食堂维修改造</w:t>
            </w:r>
          </w:p>
        </w:tc>
      </w:tr>
      <w:tr w14:paraId="76F3E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0C41B">
            <w:pPr>
              <w:pStyle w:val="10"/>
            </w:pPr>
            <w:r>
              <w:t>预算规模及资金用途</w:t>
            </w:r>
          </w:p>
        </w:tc>
        <w:tc>
          <w:tcPr>
            <w:tcW w:w="2268" w:type="dxa"/>
            <w:vAlign w:val="center"/>
          </w:tcPr>
          <w:p w14:paraId="689E02B3">
            <w:pPr>
              <w:pStyle w:val="10"/>
            </w:pPr>
            <w:r>
              <w:t>预算数</w:t>
            </w:r>
          </w:p>
        </w:tc>
        <w:tc>
          <w:tcPr>
            <w:tcW w:w="2835" w:type="dxa"/>
            <w:vAlign w:val="center"/>
          </w:tcPr>
          <w:p w14:paraId="3CFCB6EA">
            <w:pPr>
              <w:pStyle w:val="12"/>
            </w:pPr>
            <w:r>
              <w:t>10.50</w:t>
            </w:r>
          </w:p>
        </w:tc>
        <w:tc>
          <w:tcPr>
            <w:tcW w:w="2835" w:type="dxa"/>
            <w:vAlign w:val="center"/>
          </w:tcPr>
          <w:p w14:paraId="478F53D9">
            <w:pPr>
              <w:pStyle w:val="10"/>
            </w:pPr>
            <w:r>
              <w:t>其中：财政    资金</w:t>
            </w:r>
          </w:p>
        </w:tc>
        <w:tc>
          <w:tcPr>
            <w:tcW w:w="2551" w:type="dxa"/>
            <w:vAlign w:val="center"/>
          </w:tcPr>
          <w:p w14:paraId="5E84098F">
            <w:pPr>
              <w:pStyle w:val="12"/>
            </w:pPr>
            <w:r>
              <w:t>10.50</w:t>
            </w:r>
          </w:p>
        </w:tc>
        <w:tc>
          <w:tcPr>
            <w:tcW w:w="2268" w:type="dxa"/>
            <w:vAlign w:val="center"/>
          </w:tcPr>
          <w:p w14:paraId="43043C61">
            <w:pPr>
              <w:pStyle w:val="10"/>
            </w:pPr>
            <w:r>
              <w:t>其他资金</w:t>
            </w:r>
          </w:p>
        </w:tc>
        <w:tc>
          <w:tcPr>
            <w:tcW w:w="1276" w:type="dxa"/>
            <w:vAlign w:val="center"/>
          </w:tcPr>
          <w:p w14:paraId="6FB8952D">
            <w:pPr>
              <w:pStyle w:val="12"/>
            </w:pPr>
            <w:r>
              <w:t xml:space="preserve"> </w:t>
            </w:r>
          </w:p>
        </w:tc>
      </w:tr>
      <w:tr w14:paraId="39A24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898C1"/>
        </w:tc>
        <w:tc>
          <w:tcPr>
            <w:tcW w:w="14033" w:type="dxa"/>
            <w:gridSpan w:val="6"/>
            <w:vAlign w:val="center"/>
          </w:tcPr>
          <w:p w14:paraId="261CB29E">
            <w:pPr>
              <w:pStyle w:val="12"/>
            </w:pPr>
            <w:r>
              <w:t>改善就学条件，提升学校形象，保障幼儿安全，创造良好的校园环境。</w:t>
            </w:r>
          </w:p>
        </w:tc>
      </w:tr>
      <w:tr w14:paraId="6EB9D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3DA83">
            <w:pPr>
              <w:pStyle w:val="10"/>
            </w:pPr>
            <w:r>
              <w:t>资金支出计划（%）</w:t>
            </w:r>
          </w:p>
        </w:tc>
        <w:tc>
          <w:tcPr>
            <w:tcW w:w="5103" w:type="dxa"/>
            <w:gridSpan w:val="2"/>
            <w:vAlign w:val="center"/>
          </w:tcPr>
          <w:p w14:paraId="59A9FD3F">
            <w:pPr>
              <w:pStyle w:val="10"/>
            </w:pPr>
            <w:r>
              <w:t>3月底</w:t>
            </w:r>
          </w:p>
        </w:tc>
        <w:tc>
          <w:tcPr>
            <w:tcW w:w="2835" w:type="dxa"/>
            <w:vAlign w:val="center"/>
          </w:tcPr>
          <w:p w14:paraId="3D8EE5B2">
            <w:pPr>
              <w:pStyle w:val="10"/>
            </w:pPr>
            <w:r>
              <w:t>6月底</w:t>
            </w:r>
          </w:p>
        </w:tc>
        <w:tc>
          <w:tcPr>
            <w:tcW w:w="2551" w:type="dxa"/>
            <w:vAlign w:val="center"/>
          </w:tcPr>
          <w:p w14:paraId="15BFE68E">
            <w:pPr>
              <w:pStyle w:val="10"/>
            </w:pPr>
            <w:r>
              <w:t>10月底</w:t>
            </w:r>
          </w:p>
        </w:tc>
        <w:tc>
          <w:tcPr>
            <w:tcW w:w="3544" w:type="dxa"/>
            <w:gridSpan w:val="2"/>
            <w:vAlign w:val="center"/>
          </w:tcPr>
          <w:p w14:paraId="2C423B44">
            <w:pPr>
              <w:pStyle w:val="10"/>
            </w:pPr>
            <w:r>
              <w:t>12月底</w:t>
            </w:r>
          </w:p>
        </w:tc>
      </w:tr>
      <w:tr w14:paraId="50552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BDA9E"/>
        </w:tc>
        <w:tc>
          <w:tcPr>
            <w:tcW w:w="5103" w:type="dxa"/>
            <w:gridSpan w:val="2"/>
            <w:vAlign w:val="center"/>
          </w:tcPr>
          <w:p w14:paraId="2FEE211E">
            <w:pPr>
              <w:pStyle w:val="13"/>
            </w:pPr>
            <w:r>
              <w:t xml:space="preserve"> </w:t>
            </w:r>
          </w:p>
        </w:tc>
        <w:tc>
          <w:tcPr>
            <w:tcW w:w="2835" w:type="dxa"/>
            <w:vAlign w:val="center"/>
          </w:tcPr>
          <w:p w14:paraId="477D2E51">
            <w:pPr>
              <w:pStyle w:val="13"/>
            </w:pPr>
            <w:r>
              <w:t>100%</w:t>
            </w:r>
          </w:p>
        </w:tc>
        <w:tc>
          <w:tcPr>
            <w:tcW w:w="2551" w:type="dxa"/>
            <w:vAlign w:val="center"/>
          </w:tcPr>
          <w:p w14:paraId="74744E60">
            <w:pPr>
              <w:pStyle w:val="13"/>
            </w:pPr>
            <w:r>
              <w:t>100%</w:t>
            </w:r>
          </w:p>
        </w:tc>
        <w:tc>
          <w:tcPr>
            <w:tcW w:w="3544" w:type="dxa"/>
            <w:gridSpan w:val="2"/>
            <w:vAlign w:val="center"/>
          </w:tcPr>
          <w:p w14:paraId="402AD0D8">
            <w:pPr>
              <w:pStyle w:val="13"/>
            </w:pPr>
            <w:r>
              <w:t>100%</w:t>
            </w:r>
          </w:p>
        </w:tc>
      </w:tr>
      <w:tr w14:paraId="18A2C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146F5">
            <w:pPr>
              <w:pStyle w:val="10"/>
            </w:pPr>
            <w:r>
              <w:t>绩效目标</w:t>
            </w:r>
          </w:p>
        </w:tc>
        <w:tc>
          <w:tcPr>
            <w:tcW w:w="14033" w:type="dxa"/>
            <w:gridSpan w:val="6"/>
            <w:vAlign w:val="center"/>
          </w:tcPr>
          <w:p w14:paraId="2FA08E1B">
            <w:pPr>
              <w:pStyle w:val="12"/>
            </w:pPr>
            <w:r>
              <w:t>1.改善就学条件，提升学校形象，保障幼儿安全，创造良好的校园环境。</w:t>
            </w:r>
          </w:p>
          <w:p w14:paraId="1012A1B8">
            <w:pPr>
              <w:pStyle w:val="12"/>
            </w:pPr>
            <w:r>
              <w:t>2.项目需资金10.5万元，资金拨付率达到100%。</w:t>
            </w:r>
          </w:p>
        </w:tc>
      </w:tr>
    </w:tbl>
    <w:p w14:paraId="77229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8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1289B">
            <w:pPr>
              <w:pStyle w:val="10"/>
            </w:pPr>
            <w:r>
              <w:t>一级指标</w:t>
            </w:r>
          </w:p>
        </w:tc>
        <w:tc>
          <w:tcPr>
            <w:tcW w:w="2268" w:type="dxa"/>
            <w:vAlign w:val="center"/>
          </w:tcPr>
          <w:p w14:paraId="569FDC42">
            <w:pPr>
              <w:pStyle w:val="10"/>
            </w:pPr>
            <w:r>
              <w:t>二级指标</w:t>
            </w:r>
          </w:p>
        </w:tc>
        <w:tc>
          <w:tcPr>
            <w:tcW w:w="2835" w:type="dxa"/>
            <w:vAlign w:val="center"/>
          </w:tcPr>
          <w:p w14:paraId="00E894D8">
            <w:pPr>
              <w:pStyle w:val="10"/>
            </w:pPr>
            <w:r>
              <w:t>三级指标</w:t>
            </w:r>
          </w:p>
        </w:tc>
        <w:tc>
          <w:tcPr>
            <w:tcW w:w="5386" w:type="dxa"/>
            <w:vAlign w:val="center"/>
          </w:tcPr>
          <w:p w14:paraId="6BA3CE70">
            <w:pPr>
              <w:pStyle w:val="10"/>
            </w:pPr>
            <w:r>
              <w:t>绩效指标描述</w:t>
            </w:r>
          </w:p>
        </w:tc>
        <w:tc>
          <w:tcPr>
            <w:tcW w:w="2268" w:type="dxa"/>
            <w:vAlign w:val="center"/>
          </w:tcPr>
          <w:p w14:paraId="464A3DF1">
            <w:pPr>
              <w:pStyle w:val="10"/>
            </w:pPr>
            <w:r>
              <w:t>指标值</w:t>
            </w:r>
          </w:p>
        </w:tc>
        <w:tc>
          <w:tcPr>
            <w:tcW w:w="1276" w:type="dxa"/>
            <w:vAlign w:val="center"/>
          </w:tcPr>
          <w:p w14:paraId="55AB7383">
            <w:pPr>
              <w:pStyle w:val="10"/>
            </w:pPr>
            <w:r>
              <w:t>指标值确定依据</w:t>
            </w:r>
          </w:p>
        </w:tc>
      </w:tr>
      <w:tr w14:paraId="3222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83370">
            <w:pPr>
              <w:pStyle w:val="13"/>
            </w:pPr>
            <w:r>
              <w:t>产出指标</w:t>
            </w:r>
          </w:p>
        </w:tc>
        <w:tc>
          <w:tcPr>
            <w:tcW w:w="2268" w:type="dxa"/>
            <w:vAlign w:val="center"/>
          </w:tcPr>
          <w:p w14:paraId="66E81E0A">
            <w:pPr>
              <w:pStyle w:val="12"/>
            </w:pPr>
            <w:r>
              <w:t>数量指标</w:t>
            </w:r>
          </w:p>
        </w:tc>
        <w:tc>
          <w:tcPr>
            <w:tcW w:w="2835" w:type="dxa"/>
            <w:vAlign w:val="center"/>
          </w:tcPr>
          <w:p w14:paraId="04413953">
            <w:pPr>
              <w:pStyle w:val="12"/>
            </w:pPr>
            <w:r>
              <w:t>肖庄幼儿园保教楼及食堂维修改造</w:t>
            </w:r>
          </w:p>
        </w:tc>
        <w:tc>
          <w:tcPr>
            <w:tcW w:w="5386" w:type="dxa"/>
            <w:vAlign w:val="center"/>
          </w:tcPr>
          <w:p w14:paraId="17EB5690">
            <w:pPr>
              <w:pStyle w:val="12"/>
            </w:pPr>
            <w:r>
              <w:t>保教楼房顶防水维修、食堂维修改造、地板维修等</w:t>
            </w:r>
          </w:p>
        </w:tc>
        <w:tc>
          <w:tcPr>
            <w:tcW w:w="2268" w:type="dxa"/>
            <w:vAlign w:val="center"/>
          </w:tcPr>
          <w:p w14:paraId="6BA07779">
            <w:pPr>
              <w:pStyle w:val="12"/>
            </w:pPr>
            <w:r>
              <w:t>1项</w:t>
            </w:r>
          </w:p>
        </w:tc>
        <w:tc>
          <w:tcPr>
            <w:tcW w:w="1276" w:type="dxa"/>
            <w:vAlign w:val="center"/>
          </w:tcPr>
          <w:p w14:paraId="365F4CB5">
            <w:pPr>
              <w:pStyle w:val="12"/>
            </w:pPr>
            <w:r>
              <w:t>项目规划</w:t>
            </w:r>
          </w:p>
        </w:tc>
      </w:tr>
      <w:tr w14:paraId="2281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BED19"/>
        </w:tc>
        <w:tc>
          <w:tcPr>
            <w:tcW w:w="2268" w:type="dxa"/>
            <w:vAlign w:val="center"/>
          </w:tcPr>
          <w:p w14:paraId="26283BE5">
            <w:pPr>
              <w:pStyle w:val="12"/>
            </w:pPr>
            <w:r>
              <w:t>质量指标</w:t>
            </w:r>
          </w:p>
        </w:tc>
        <w:tc>
          <w:tcPr>
            <w:tcW w:w="2835" w:type="dxa"/>
            <w:vAlign w:val="center"/>
          </w:tcPr>
          <w:p w14:paraId="6867C46F">
            <w:pPr>
              <w:pStyle w:val="12"/>
            </w:pPr>
            <w:r>
              <w:t>工程实施验收合格率</w:t>
            </w:r>
          </w:p>
        </w:tc>
        <w:tc>
          <w:tcPr>
            <w:tcW w:w="5386" w:type="dxa"/>
            <w:vAlign w:val="center"/>
          </w:tcPr>
          <w:p w14:paraId="3CE7DD11">
            <w:pPr>
              <w:pStyle w:val="12"/>
            </w:pPr>
            <w:r>
              <w:t>申报程序的合规，项目实施及资金使用符合项目规划</w:t>
            </w:r>
          </w:p>
        </w:tc>
        <w:tc>
          <w:tcPr>
            <w:tcW w:w="2268" w:type="dxa"/>
            <w:vAlign w:val="center"/>
          </w:tcPr>
          <w:p w14:paraId="3DE2BB2B">
            <w:pPr>
              <w:pStyle w:val="12"/>
            </w:pPr>
            <w:r>
              <w:t>100%</w:t>
            </w:r>
          </w:p>
        </w:tc>
        <w:tc>
          <w:tcPr>
            <w:tcW w:w="1276" w:type="dxa"/>
            <w:vAlign w:val="center"/>
          </w:tcPr>
          <w:p w14:paraId="7A21EB55">
            <w:pPr>
              <w:pStyle w:val="12"/>
            </w:pPr>
            <w:r>
              <w:t>项目规划</w:t>
            </w:r>
          </w:p>
        </w:tc>
      </w:tr>
      <w:tr w14:paraId="10A8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98153"/>
        </w:tc>
        <w:tc>
          <w:tcPr>
            <w:tcW w:w="2268" w:type="dxa"/>
            <w:vAlign w:val="center"/>
          </w:tcPr>
          <w:p w14:paraId="116F07B8">
            <w:pPr>
              <w:pStyle w:val="12"/>
            </w:pPr>
            <w:r>
              <w:t>时效指标</w:t>
            </w:r>
          </w:p>
        </w:tc>
        <w:tc>
          <w:tcPr>
            <w:tcW w:w="2835" w:type="dxa"/>
            <w:vAlign w:val="center"/>
          </w:tcPr>
          <w:p w14:paraId="3CFCC12C">
            <w:pPr>
              <w:pStyle w:val="12"/>
            </w:pPr>
            <w:r>
              <w:t>资金支付率</w:t>
            </w:r>
          </w:p>
        </w:tc>
        <w:tc>
          <w:tcPr>
            <w:tcW w:w="5386" w:type="dxa"/>
            <w:vAlign w:val="center"/>
          </w:tcPr>
          <w:p w14:paraId="22F62976">
            <w:pPr>
              <w:pStyle w:val="12"/>
            </w:pPr>
            <w:r>
              <w:t>按照序时进度完成资金支付</w:t>
            </w:r>
          </w:p>
        </w:tc>
        <w:tc>
          <w:tcPr>
            <w:tcW w:w="2268" w:type="dxa"/>
            <w:vAlign w:val="center"/>
          </w:tcPr>
          <w:p w14:paraId="7722A9A0">
            <w:pPr>
              <w:pStyle w:val="12"/>
            </w:pPr>
            <w:r>
              <w:t>100%</w:t>
            </w:r>
          </w:p>
        </w:tc>
        <w:tc>
          <w:tcPr>
            <w:tcW w:w="1276" w:type="dxa"/>
            <w:vAlign w:val="center"/>
          </w:tcPr>
          <w:p w14:paraId="7B4CD3C9">
            <w:pPr>
              <w:pStyle w:val="12"/>
            </w:pPr>
            <w:r>
              <w:t>项目规划</w:t>
            </w:r>
          </w:p>
        </w:tc>
      </w:tr>
      <w:tr w14:paraId="358C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9DFA5"/>
        </w:tc>
        <w:tc>
          <w:tcPr>
            <w:tcW w:w="2268" w:type="dxa"/>
            <w:vAlign w:val="center"/>
          </w:tcPr>
          <w:p w14:paraId="2670AEE5">
            <w:pPr>
              <w:pStyle w:val="12"/>
            </w:pPr>
            <w:r>
              <w:t>成本指标</w:t>
            </w:r>
          </w:p>
        </w:tc>
        <w:tc>
          <w:tcPr>
            <w:tcW w:w="2835" w:type="dxa"/>
            <w:vAlign w:val="center"/>
          </w:tcPr>
          <w:p w14:paraId="1ED76F3A">
            <w:pPr>
              <w:pStyle w:val="12"/>
            </w:pPr>
            <w:r>
              <w:t>项目成本控制情况</w:t>
            </w:r>
          </w:p>
        </w:tc>
        <w:tc>
          <w:tcPr>
            <w:tcW w:w="5386" w:type="dxa"/>
            <w:vAlign w:val="center"/>
          </w:tcPr>
          <w:p w14:paraId="541A8DCC">
            <w:pPr>
              <w:pStyle w:val="12"/>
            </w:pPr>
            <w:r>
              <w:t>严格按照招标价格及审计额进行</w:t>
            </w:r>
          </w:p>
        </w:tc>
        <w:tc>
          <w:tcPr>
            <w:tcW w:w="2268" w:type="dxa"/>
            <w:vAlign w:val="center"/>
          </w:tcPr>
          <w:p w14:paraId="3BEC6E8A">
            <w:pPr>
              <w:pStyle w:val="12"/>
            </w:pPr>
            <w:r>
              <w:t>10.5万元</w:t>
            </w:r>
          </w:p>
        </w:tc>
        <w:tc>
          <w:tcPr>
            <w:tcW w:w="1276" w:type="dxa"/>
            <w:vAlign w:val="center"/>
          </w:tcPr>
          <w:p w14:paraId="0C195717">
            <w:pPr>
              <w:pStyle w:val="12"/>
            </w:pPr>
            <w:r>
              <w:t>项目规划</w:t>
            </w:r>
          </w:p>
        </w:tc>
      </w:tr>
      <w:tr w14:paraId="046A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E0968">
            <w:pPr>
              <w:pStyle w:val="13"/>
            </w:pPr>
            <w:r>
              <w:t>效益指标</w:t>
            </w:r>
          </w:p>
        </w:tc>
        <w:tc>
          <w:tcPr>
            <w:tcW w:w="2268" w:type="dxa"/>
            <w:vAlign w:val="center"/>
          </w:tcPr>
          <w:p w14:paraId="188FA182">
            <w:pPr>
              <w:pStyle w:val="12"/>
            </w:pPr>
            <w:r>
              <w:t>社会效益指标</w:t>
            </w:r>
          </w:p>
        </w:tc>
        <w:tc>
          <w:tcPr>
            <w:tcW w:w="2835" w:type="dxa"/>
            <w:vAlign w:val="center"/>
          </w:tcPr>
          <w:p w14:paraId="2841CC60">
            <w:pPr>
              <w:pStyle w:val="12"/>
            </w:pPr>
            <w:r>
              <w:t>学校办学环境提升</w:t>
            </w:r>
          </w:p>
        </w:tc>
        <w:tc>
          <w:tcPr>
            <w:tcW w:w="5386" w:type="dxa"/>
            <w:vAlign w:val="center"/>
          </w:tcPr>
          <w:p w14:paraId="4DDFECBB">
            <w:pPr>
              <w:pStyle w:val="12"/>
            </w:pPr>
            <w:r>
              <w:t>学校教学环境提升优化率</w:t>
            </w:r>
          </w:p>
        </w:tc>
        <w:tc>
          <w:tcPr>
            <w:tcW w:w="2268" w:type="dxa"/>
            <w:vAlign w:val="center"/>
          </w:tcPr>
          <w:p w14:paraId="6AF2262F">
            <w:pPr>
              <w:pStyle w:val="12"/>
            </w:pPr>
            <w:r>
              <w:t>≥98%</w:t>
            </w:r>
          </w:p>
        </w:tc>
        <w:tc>
          <w:tcPr>
            <w:tcW w:w="1276" w:type="dxa"/>
            <w:vAlign w:val="center"/>
          </w:tcPr>
          <w:p w14:paraId="63EB9F79">
            <w:pPr>
              <w:pStyle w:val="12"/>
            </w:pPr>
            <w:r>
              <w:t>项目规划</w:t>
            </w:r>
          </w:p>
        </w:tc>
      </w:tr>
      <w:tr w14:paraId="245A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06615">
            <w:pPr>
              <w:pStyle w:val="13"/>
            </w:pPr>
            <w:r>
              <w:t>满意度指标</w:t>
            </w:r>
          </w:p>
        </w:tc>
        <w:tc>
          <w:tcPr>
            <w:tcW w:w="2268" w:type="dxa"/>
            <w:vAlign w:val="center"/>
          </w:tcPr>
          <w:p w14:paraId="307942EB">
            <w:pPr>
              <w:pStyle w:val="12"/>
            </w:pPr>
            <w:r>
              <w:t>服务对象满意度指标</w:t>
            </w:r>
          </w:p>
        </w:tc>
        <w:tc>
          <w:tcPr>
            <w:tcW w:w="2835" w:type="dxa"/>
            <w:vAlign w:val="center"/>
          </w:tcPr>
          <w:p w14:paraId="2C663A14">
            <w:pPr>
              <w:pStyle w:val="12"/>
            </w:pPr>
            <w:r>
              <w:t>受益学生家长及调查满意度</w:t>
            </w:r>
          </w:p>
        </w:tc>
        <w:tc>
          <w:tcPr>
            <w:tcW w:w="5386" w:type="dxa"/>
            <w:vAlign w:val="center"/>
          </w:tcPr>
          <w:p w14:paraId="27BB1352">
            <w:pPr>
              <w:pStyle w:val="12"/>
            </w:pPr>
            <w:r>
              <w:t>学生、教师及家长对学校教学环境满意度情况</w:t>
            </w:r>
          </w:p>
        </w:tc>
        <w:tc>
          <w:tcPr>
            <w:tcW w:w="2268" w:type="dxa"/>
            <w:vAlign w:val="center"/>
          </w:tcPr>
          <w:p w14:paraId="0B6BCF8E">
            <w:pPr>
              <w:pStyle w:val="12"/>
            </w:pPr>
            <w:r>
              <w:t>≥95%</w:t>
            </w:r>
          </w:p>
        </w:tc>
        <w:tc>
          <w:tcPr>
            <w:tcW w:w="1276" w:type="dxa"/>
            <w:vAlign w:val="center"/>
          </w:tcPr>
          <w:p w14:paraId="6CA5907F">
            <w:pPr>
              <w:pStyle w:val="12"/>
            </w:pPr>
            <w:r>
              <w:t>项目规划</w:t>
            </w:r>
          </w:p>
        </w:tc>
      </w:tr>
    </w:tbl>
    <w:p w14:paraId="1ED4C590">
      <w:pPr>
        <w:sectPr>
          <w:pgSz w:w="16840" w:h="11900" w:orient="landscape"/>
          <w:pgMar w:top="1361" w:right="1020" w:bottom="1134" w:left="1020" w:header="720" w:footer="720" w:gutter="0"/>
          <w:cols w:space="720" w:num="1"/>
        </w:sectPr>
      </w:pPr>
    </w:p>
    <w:p w14:paraId="3C4C97B3">
      <w:pPr>
        <w:spacing w:before="0" w:after="0"/>
        <w:ind w:firstLine="560"/>
        <w:jc w:val="left"/>
        <w:outlineLvl w:val="9"/>
      </w:pPr>
      <w:r>
        <w:rPr>
          <w:rFonts w:ascii="方正仿宋_GBK" w:hAnsi="方正仿宋_GBK" w:eastAsia="方正仿宋_GBK" w:cs="方正仿宋_GBK"/>
          <w:b/>
          <w:color w:val="000000"/>
          <w:sz w:val="28"/>
        </w:rPr>
        <w:t>11、冀财教[2025]147号/省级/2026年义教补助经费/魏庄校区魏庄小学公用经费绩效目标表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BA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73CAD">
            <w:pPr>
              <w:pStyle w:val="11"/>
            </w:pPr>
            <w:r>
              <w:t>单位：万元</w:t>
            </w:r>
          </w:p>
        </w:tc>
      </w:tr>
      <w:tr w14:paraId="089EE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AA0AD">
            <w:pPr>
              <w:pStyle w:val="10"/>
            </w:pPr>
            <w:r>
              <w:t>项目编码</w:t>
            </w:r>
          </w:p>
        </w:tc>
        <w:tc>
          <w:tcPr>
            <w:tcW w:w="5103" w:type="dxa"/>
            <w:gridSpan w:val="2"/>
            <w:vAlign w:val="center"/>
          </w:tcPr>
          <w:p w14:paraId="2A313DF2">
            <w:pPr>
              <w:pStyle w:val="12"/>
            </w:pPr>
            <w:r>
              <w:t>13052526P000004103473</w:t>
            </w:r>
          </w:p>
        </w:tc>
        <w:tc>
          <w:tcPr>
            <w:tcW w:w="2835" w:type="dxa"/>
            <w:vAlign w:val="center"/>
          </w:tcPr>
          <w:p w14:paraId="459A1425">
            <w:pPr>
              <w:pStyle w:val="10"/>
            </w:pPr>
            <w:r>
              <w:t>项目名称</w:t>
            </w:r>
          </w:p>
        </w:tc>
        <w:tc>
          <w:tcPr>
            <w:tcW w:w="6095" w:type="dxa"/>
            <w:gridSpan w:val="3"/>
            <w:vAlign w:val="center"/>
          </w:tcPr>
          <w:p w14:paraId="5883775B">
            <w:pPr>
              <w:pStyle w:val="12"/>
            </w:pPr>
            <w:r>
              <w:t>冀财教[2025]147号/省级/2026年义教补助经费/魏庄校区魏庄小学公用经费</w:t>
            </w:r>
          </w:p>
        </w:tc>
      </w:tr>
      <w:tr w14:paraId="3E6D0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F7C63">
            <w:pPr>
              <w:pStyle w:val="10"/>
            </w:pPr>
            <w:r>
              <w:t>预算规模及资金用途</w:t>
            </w:r>
          </w:p>
        </w:tc>
        <w:tc>
          <w:tcPr>
            <w:tcW w:w="2268" w:type="dxa"/>
            <w:vAlign w:val="center"/>
          </w:tcPr>
          <w:p w14:paraId="56990FA2">
            <w:pPr>
              <w:pStyle w:val="10"/>
            </w:pPr>
            <w:r>
              <w:t>预算数</w:t>
            </w:r>
          </w:p>
        </w:tc>
        <w:tc>
          <w:tcPr>
            <w:tcW w:w="2835" w:type="dxa"/>
            <w:vAlign w:val="center"/>
          </w:tcPr>
          <w:p w14:paraId="6314EAAD">
            <w:pPr>
              <w:pStyle w:val="12"/>
            </w:pPr>
            <w:r>
              <w:t>39.36</w:t>
            </w:r>
          </w:p>
        </w:tc>
        <w:tc>
          <w:tcPr>
            <w:tcW w:w="2835" w:type="dxa"/>
            <w:vAlign w:val="center"/>
          </w:tcPr>
          <w:p w14:paraId="7002AD33">
            <w:pPr>
              <w:pStyle w:val="10"/>
            </w:pPr>
            <w:r>
              <w:t>其中：财政    资金</w:t>
            </w:r>
          </w:p>
        </w:tc>
        <w:tc>
          <w:tcPr>
            <w:tcW w:w="2551" w:type="dxa"/>
            <w:vAlign w:val="center"/>
          </w:tcPr>
          <w:p w14:paraId="32494C61">
            <w:pPr>
              <w:pStyle w:val="12"/>
            </w:pPr>
            <w:r>
              <w:t>39.36</w:t>
            </w:r>
          </w:p>
        </w:tc>
        <w:tc>
          <w:tcPr>
            <w:tcW w:w="2268" w:type="dxa"/>
            <w:vAlign w:val="center"/>
          </w:tcPr>
          <w:p w14:paraId="606B2BFE">
            <w:pPr>
              <w:pStyle w:val="10"/>
            </w:pPr>
            <w:r>
              <w:t>其他资金</w:t>
            </w:r>
          </w:p>
        </w:tc>
        <w:tc>
          <w:tcPr>
            <w:tcW w:w="1276" w:type="dxa"/>
            <w:vAlign w:val="center"/>
          </w:tcPr>
          <w:p w14:paraId="5E939ECD">
            <w:pPr>
              <w:pStyle w:val="12"/>
            </w:pPr>
            <w:r>
              <w:t xml:space="preserve"> </w:t>
            </w:r>
          </w:p>
        </w:tc>
      </w:tr>
      <w:tr w14:paraId="217F1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CEF3D"/>
        </w:tc>
        <w:tc>
          <w:tcPr>
            <w:tcW w:w="14033" w:type="dxa"/>
            <w:gridSpan w:val="6"/>
            <w:vAlign w:val="center"/>
          </w:tcPr>
          <w:p w14:paraId="50DBCF0F">
            <w:pPr>
              <w:pStyle w:val="12"/>
            </w:pPr>
            <w:r>
              <w:t>保障学校正常运转，完成各项教育教学活动和其他日常工作任务等方面的费用支出。</w:t>
            </w:r>
          </w:p>
        </w:tc>
      </w:tr>
      <w:tr w14:paraId="6D0F2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F17A0">
            <w:pPr>
              <w:pStyle w:val="10"/>
            </w:pPr>
            <w:r>
              <w:t>资金支出计划（%）</w:t>
            </w:r>
          </w:p>
        </w:tc>
        <w:tc>
          <w:tcPr>
            <w:tcW w:w="5103" w:type="dxa"/>
            <w:gridSpan w:val="2"/>
            <w:vAlign w:val="center"/>
          </w:tcPr>
          <w:p w14:paraId="244C097B">
            <w:pPr>
              <w:pStyle w:val="10"/>
            </w:pPr>
            <w:r>
              <w:t>3月底</w:t>
            </w:r>
          </w:p>
        </w:tc>
        <w:tc>
          <w:tcPr>
            <w:tcW w:w="2835" w:type="dxa"/>
            <w:vAlign w:val="center"/>
          </w:tcPr>
          <w:p w14:paraId="10076396">
            <w:pPr>
              <w:pStyle w:val="10"/>
            </w:pPr>
            <w:r>
              <w:t>6月底</w:t>
            </w:r>
          </w:p>
        </w:tc>
        <w:tc>
          <w:tcPr>
            <w:tcW w:w="2551" w:type="dxa"/>
            <w:vAlign w:val="center"/>
          </w:tcPr>
          <w:p w14:paraId="11E3C1A6">
            <w:pPr>
              <w:pStyle w:val="10"/>
            </w:pPr>
            <w:r>
              <w:t>10月底</w:t>
            </w:r>
          </w:p>
        </w:tc>
        <w:tc>
          <w:tcPr>
            <w:tcW w:w="3544" w:type="dxa"/>
            <w:gridSpan w:val="2"/>
            <w:vAlign w:val="center"/>
          </w:tcPr>
          <w:p w14:paraId="12CA9DF3">
            <w:pPr>
              <w:pStyle w:val="10"/>
            </w:pPr>
            <w:r>
              <w:t>12月底</w:t>
            </w:r>
          </w:p>
        </w:tc>
      </w:tr>
      <w:tr w14:paraId="5AAE7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8C7BB"/>
        </w:tc>
        <w:tc>
          <w:tcPr>
            <w:tcW w:w="5103" w:type="dxa"/>
            <w:gridSpan w:val="2"/>
            <w:vAlign w:val="center"/>
          </w:tcPr>
          <w:p w14:paraId="1DCB340A">
            <w:pPr>
              <w:pStyle w:val="13"/>
            </w:pPr>
            <w:r>
              <w:t>25%</w:t>
            </w:r>
          </w:p>
        </w:tc>
        <w:tc>
          <w:tcPr>
            <w:tcW w:w="2835" w:type="dxa"/>
            <w:vAlign w:val="center"/>
          </w:tcPr>
          <w:p w14:paraId="5EB61F20">
            <w:pPr>
              <w:pStyle w:val="13"/>
            </w:pPr>
            <w:r>
              <w:t>50%</w:t>
            </w:r>
          </w:p>
        </w:tc>
        <w:tc>
          <w:tcPr>
            <w:tcW w:w="2551" w:type="dxa"/>
            <w:vAlign w:val="center"/>
          </w:tcPr>
          <w:p w14:paraId="261ACCAD">
            <w:pPr>
              <w:pStyle w:val="13"/>
            </w:pPr>
            <w:r>
              <w:t>75%</w:t>
            </w:r>
          </w:p>
        </w:tc>
        <w:tc>
          <w:tcPr>
            <w:tcW w:w="3544" w:type="dxa"/>
            <w:gridSpan w:val="2"/>
            <w:vAlign w:val="center"/>
          </w:tcPr>
          <w:p w14:paraId="3D725FD4">
            <w:pPr>
              <w:pStyle w:val="13"/>
            </w:pPr>
            <w:r>
              <w:t>100%</w:t>
            </w:r>
          </w:p>
        </w:tc>
      </w:tr>
      <w:tr w14:paraId="1963D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C4104">
            <w:pPr>
              <w:pStyle w:val="10"/>
            </w:pPr>
            <w:r>
              <w:t>绩效目标</w:t>
            </w:r>
          </w:p>
        </w:tc>
        <w:tc>
          <w:tcPr>
            <w:tcW w:w="14033" w:type="dxa"/>
            <w:gridSpan w:val="6"/>
            <w:vAlign w:val="center"/>
          </w:tcPr>
          <w:p w14:paraId="612CE3E1">
            <w:pPr>
              <w:pStyle w:val="12"/>
            </w:pPr>
            <w:r>
              <w:t>1.保障学校正常运转，完成各项教育教学活动和其他日常工作任务等方面的费用支出。</w:t>
            </w:r>
          </w:p>
          <w:p w14:paraId="32A1CC72">
            <w:pPr>
              <w:pStyle w:val="12"/>
            </w:pPr>
            <w:r>
              <w:t>2.按季度分批次拨付公用经费资金，资金拨付率达到100%。</w:t>
            </w:r>
          </w:p>
        </w:tc>
      </w:tr>
    </w:tbl>
    <w:p w14:paraId="34776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7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DD486">
            <w:pPr>
              <w:pStyle w:val="10"/>
            </w:pPr>
            <w:r>
              <w:t>一级指标</w:t>
            </w:r>
          </w:p>
        </w:tc>
        <w:tc>
          <w:tcPr>
            <w:tcW w:w="2268" w:type="dxa"/>
            <w:vAlign w:val="center"/>
          </w:tcPr>
          <w:p w14:paraId="6DA7103A">
            <w:pPr>
              <w:pStyle w:val="10"/>
            </w:pPr>
            <w:r>
              <w:t>二级指标</w:t>
            </w:r>
          </w:p>
        </w:tc>
        <w:tc>
          <w:tcPr>
            <w:tcW w:w="2835" w:type="dxa"/>
            <w:vAlign w:val="center"/>
          </w:tcPr>
          <w:p w14:paraId="69D1DC86">
            <w:pPr>
              <w:pStyle w:val="10"/>
            </w:pPr>
            <w:r>
              <w:t>三级指标</w:t>
            </w:r>
          </w:p>
        </w:tc>
        <w:tc>
          <w:tcPr>
            <w:tcW w:w="5386" w:type="dxa"/>
            <w:vAlign w:val="center"/>
          </w:tcPr>
          <w:p w14:paraId="700AF72E">
            <w:pPr>
              <w:pStyle w:val="10"/>
            </w:pPr>
            <w:r>
              <w:t>绩效指标描述</w:t>
            </w:r>
          </w:p>
        </w:tc>
        <w:tc>
          <w:tcPr>
            <w:tcW w:w="2268" w:type="dxa"/>
            <w:vAlign w:val="center"/>
          </w:tcPr>
          <w:p w14:paraId="5FEE92BC">
            <w:pPr>
              <w:pStyle w:val="10"/>
            </w:pPr>
            <w:r>
              <w:t>指标值</w:t>
            </w:r>
          </w:p>
        </w:tc>
        <w:tc>
          <w:tcPr>
            <w:tcW w:w="1276" w:type="dxa"/>
            <w:vAlign w:val="center"/>
          </w:tcPr>
          <w:p w14:paraId="7FE3AC74">
            <w:pPr>
              <w:pStyle w:val="10"/>
            </w:pPr>
            <w:r>
              <w:t>指标值确定依据</w:t>
            </w:r>
          </w:p>
        </w:tc>
      </w:tr>
      <w:tr w14:paraId="1DD5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316B5">
            <w:pPr>
              <w:pStyle w:val="13"/>
            </w:pPr>
            <w:r>
              <w:t>产出指标</w:t>
            </w:r>
          </w:p>
        </w:tc>
        <w:tc>
          <w:tcPr>
            <w:tcW w:w="2268" w:type="dxa"/>
            <w:vAlign w:val="center"/>
          </w:tcPr>
          <w:p w14:paraId="5514468F">
            <w:pPr>
              <w:pStyle w:val="12"/>
            </w:pPr>
            <w:r>
              <w:t>数量指标</w:t>
            </w:r>
          </w:p>
        </w:tc>
        <w:tc>
          <w:tcPr>
            <w:tcW w:w="2835" w:type="dxa"/>
            <w:vAlign w:val="center"/>
          </w:tcPr>
          <w:p w14:paraId="46436AAF">
            <w:pPr>
              <w:pStyle w:val="12"/>
            </w:pPr>
            <w:r>
              <w:t>就读学生数</w:t>
            </w:r>
          </w:p>
        </w:tc>
        <w:tc>
          <w:tcPr>
            <w:tcW w:w="5386" w:type="dxa"/>
            <w:vAlign w:val="center"/>
          </w:tcPr>
          <w:p w14:paraId="7E6C000E">
            <w:pPr>
              <w:pStyle w:val="12"/>
            </w:pPr>
            <w:r>
              <w:t>辐射区域内适龄学生人数</w:t>
            </w:r>
          </w:p>
        </w:tc>
        <w:tc>
          <w:tcPr>
            <w:tcW w:w="2268" w:type="dxa"/>
            <w:vAlign w:val="center"/>
          </w:tcPr>
          <w:p w14:paraId="525D2735">
            <w:pPr>
              <w:pStyle w:val="12"/>
            </w:pPr>
            <w:r>
              <w:t>1228人</w:t>
            </w:r>
          </w:p>
        </w:tc>
        <w:tc>
          <w:tcPr>
            <w:tcW w:w="1276" w:type="dxa"/>
            <w:vAlign w:val="center"/>
          </w:tcPr>
          <w:p w14:paraId="26F6C9FF">
            <w:pPr>
              <w:pStyle w:val="12"/>
            </w:pPr>
            <w:r>
              <w:t>城乡义务教育公用经费管理办法</w:t>
            </w:r>
          </w:p>
        </w:tc>
      </w:tr>
      <w:tr w14:paraId="0C7E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68937"/>
        </w:tc>
        <w:tc>
          <w:tcPr>
            <w:tcW w:w="2268" w:type="dxa"/>
            <w:vAlign w:val="center"/>
          </w:tcPr>
          <w:p w14:paraId="30EB28C5">
            <w:pPr>
              <w:pStyle w:val="12"/>
            </w:pPr>
            <w:r>
              <w:t>质量指标</w:t>
            </w:r>
          </w:p>
        </w:tc>
        <w:tc>
          <w:tcPr>
            <w:tcW w:w="2835" w:type="dxa"/>
            <w:vAlign w:val="center"/>
          </w:tcPr>
          <w:p w14:paraId="33F53EAE">
            <w:pPr>
              <w:pStyle w:val="12"/>
            </w:pPr>
            <w:r>
              <w:t>预算执行率</w:t>
            </w:r>
          </w:p>
        </w:tc>
        <w:tc>
          <w:tcPr>
            <w:tcW w:w="5386" w:type="dxa"/>
            <w:vAlign w:val="center"/>
          </w:tcPr>
          <w:p w14:paraId="33F112DA">
            <w:pPr>
              <w:pStyle w:val="12"/>
            </w:pPr>
            <w:r>
              <w:t>预算执行率</w:t>
            </w:r>
          </w:p>
        </w:tc>
        <w:tc>
          <w:tcPr>
            <w:tcW w:w="2268" w:type="dxa"/>
            <w:vAlign w:val="center"/>
          </w:tcPr>
          <w:p w14:paraId="4D7C3F70">
            <w:pPr>
              <w:pStyle w:val="12"/>
            </w:pPr>
            <w:r>
              <w:t>≥95%</w:t>
            </w:r>
          </w:p>
        </w:tc>
        <w:tc>
          <w:tcPr>
            <w:tcW w:w="1276" w:type="dxa"/>
            <w:vAlign w:val="center"/>
          </w:tcPr>
          <w:p w14:paraId="568723A0">
            <w:pPr>
              <w:pStyle w:val="12"/>
            </w:pPr>
            <w:r>
              <w:t>城乡义务教育公用经费管理办法</w:t>
            </w:r>
          </w:p>
        </w:tc>
      </w:tr>
      <w:tr w14:paraId="4CE0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29897"/>
        </w:tc>
        <w:tc>
          <w:tcPr>
            <w:tcW w:w="2268" w:type="dxa"/>
            <w:vAlign w:val="center"/>
          </w:tcPr>
          <w:p w14:paraId="334CB065">
            <w:pPr>
              <w:pStyle w:val="12"/>
            </w:pPr>
            <w:r>
              <w:t>时效指标</w:t>
            </w:r>
          </w:p>
        </w:tc>
        <w:tc>
          <w:tcPr>
            <w:tcW w:w="2835" w:type="dxa"/>
            <w:vAlign w:val="center"/>
          </w:tcPr>
          <w:p w14:paraId="29EEA4B0">
            <w:pPr>
              <w:pStyle w:val="12"/>
            </w:pPr>
            <w:r>
              <w:t>义教经费支付完成率</w:t>
            </w:r>
          </w:p>
        </w:tc>
        <w:tc>
          <w:tcPr>
            <w:tcW w:w="5386" w:type="dxa"/>
            <w:vAlign w:val="center"/>
          </w:tcPr>
          <w:p w14:paraId="3B2D2643">
            <w:pPr>
              <w:pStyle w:val="12"/>
            </w:pPr>
            <w:r>
              <w:t>按照序时进度完成资金支付</w:t>
            </w:r>
          </w:p>
        </w:tc>
        <w:tc>
          <w:tcPr>
            <w:tcW w:w="2268" w:type="dxa"/>
            <w:vAlign w:val="center"/>
          </w:tcPr>
          <w:p w14:paraId="16C8A1B5">
            <w:pPr>
              <w:pStyle w:val="12"/>
            </w:pPr>
            <w:r>
              <w:t>100%</w:t>
            </w:r>
          </w:p>
        </w:tc>
        <w:tc>
          <w:tcPr>
            <w:tcW w:w="1276" w:type="dxa"/>
            <w:vAlign w:val="center"/>
          </w:tcPr>
          <w:p w14:paraId="0011AB10">
            <w:pPr>
              <w:pStyle w:val="12"/>
            </w:pPr>
            <w:r>
              <w:t>城乡义务教育公用经费管理办法</w:t>
            </w:r>
          </w:p>
        </w:tc>
      </w:tr>
      <w:tr w14:paraId="39CC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E42DA"/>
        </w:tc>
        <w:tc>
          <w:tcPr>
            <w:tcW w:w="2268" w:type="dxa"/>
            <w:vAlign w:val="center"/>
          </w:tcPr>
          <w:p w14:paraId="14F215FC">
            <w:pPr>
              <w:pStyle w:val="12"/>
            </w:pPr>
            <w:r>
              <w:t>成本指标</w:t>
            </w:r>
          </w:p>
        </w:tc>
        <w:tc>
          <w:tcPr>
            <w:tcW w:w="2835" w:type="dxa"/>
            <w:vAlign w:val="center"/>
          </w:tcPr>
          <w:p w14:paraId="5A47AA00">
            <w:pPr>
              <w:pStyle w:val="12"/>
            </w:pPr>
            <w:r>
              <w:t>生均拨款标准</w:t>
            </w:r>
          </w:p>
        </w:tc>
        <w:tc>
          <w:tcPr>
            <w:tcW w:w="5386" w:type="dxa"/>
            <w:vAlign w:val="center"/>
          </w:tcPr>
          <w:p w14:paraId="0F3EA014">
            <w:pPr>
              <w:pStyle w:val="12"/>
            </w:pPr>
            <w:r>
              <w:t>小学生公用经费生均公用经费基准定额为720元/年/生，取暖费120元/年/生，住宿生补助300元/年/生的标准，随班就读学生补助7000元/生/年</w:t>
            </w:r>
          </w:p>
        </w:tc>
        <w:tc>
          <w:tcPr>
            <w:tcW w:w="2268" w:type="dxa"/>
            <w:vAlign w:val="center"/>
          </w:tcPr>
          <w:p w14:paraId="46D51246">
            <w:pPr>
              <w:pStyle w:val="12"/>
            </w:pPr>
            <w:r>
              <w:t>840元</w:t>
            </w:r>
          </w:p>
        </w:tc>
        <w:tc>
          <w:tcPr>
            <w:tcW w:w="1276" w:type="dxa"/>
            <w:vAlign w:val="center"/>
          </w:tcPr>
          <w:p w14:paraId="43D31F7A">
            <w:pPr>
              <w:pStyle w:val="12"/>
            </w:pPr>
            <w:r>
              <w:t>城乡义务教育公用经费管理办法</w:t>
            </w:r>
          </w:p>
        </w:tc>
      </w:tr>
      <w:tr w14:paraId="68E2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0A1F7">
            <w:pPr>
              <w:pStyle w:val="13"/>
            </w:pPr>
            <w:r>
              <w:t>效益指标</w:t>
            </w:r>
          </w:p>
        </w:tc>
        <w:tc>
          <w:tcPr>
            <w:tcW w:w="2268" w:type="dxa"/>
            <w:vAlign w:val="center"/>
          </w:tcPr>
          <w:p w14:paraId="2F338F68">
            <w:pPr>
              <w:pStyle w:val="12"/>
            </w:pPr>
            <w:r>
              <w:t>可持续影响指标</w:t>
            </w:r>
          </w:p>
        </w:tc>
        <w:tc>
          <w:tcPr>
            <w:tcW w:w="2835" w:type="dxa"/>
            <w:vAlign w:val="center"/>
          </w:tcPr>
          <w:p w14:paraId="00E2A463">
            <w:pPr>
              <w:pStyle w:val="12"/>
            </w:pPr>
            <w:r>
              <w:t>学校运转得到提高</w:t>
            </w:r>
          </w:p>
        </w:tc>
        <w:tc>
          <w:tcPr>
            <w:tcW w:w="5386" w:type="dxa"/>
            <w:vAlign w:val="center"/>
          </w:tcPr>
          <w:p w14:paraId="6D833AAB">
            <w:pPr>
              <w:pStyle w:val="12"/>
            </w:pPr>
            <w:r>
              <w:t>学生受教育年限</w:t>
            </w:r>
          </w:p>
        </w:tc>
        <w:tc>
          <w:tcPr>
            <w:tcW w:w="2268" w:type="dxa"/>
            <w:vAlign w:val="center"/>
          </w:tcPr>
          <w:p w14:paraId="25D5F468">
            <w:pPr>
              <w:pStyle w:val="12"/>
            </w:pPr>
            <w:r>
              <w:t>6年</w:t>
            </w:r>
          </w:p>
        </w:tc>
        <w:tc>
          <w:tcPr>
            <w:tcW w:w="1276" w:type="dxa"/>
            <w:vAlign w:val="center"/>
          </w:tcPr>
          <w:p w14:paraId="0CE732EA">
            <w:pPr>
              <w:pStyle w:val="12"/>
            </w:pPr>
            <w:r>
              <w:t>城乡义务教育公用经费管理办法</w:t>
            </w:r>
          </w:p>
        </w:tc>
      </w:tr>
      <w:tr w14:paraId="4F281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17A5A">
            <w:pPr>
              <w:pStyle w:val="13"/>
            </w:pPr>
            <w:r>
              <w:t>满意度指标</w:t>
            </w:r>
          </w:p>
        </w:tc>
        <w:tc>
          <w:tcPr>
            <w:tcW w:w="2268" w:type="dxa"/>
            <w:vAlign w:val="center"/>
          </w:tcPr>
          <w:p w14:paraId="2913AF42">
            <w:pPr>
              <w:pStyle w:val="12"/>
            </w:pPr>
            <w:r>
              <w:t>服务对象满意度指标</w:t>
            </w:r>
          </w:p>
        </w:tc>
        <w:tc>
          <w:tcPr>
            <w:tcW w:w="2835" w:type="dxa"/>
            <w:vAlign w:val="center"/>
          </w:tcPr>
          <w:p w14:paraId="30C409EC">
            <w:pPr>
              <w:pStyle w:val="12"/>
            </w:pPr>
            <w:r>
              <w:t>服务对象满意度</w:t>
            </w:r>
          </w:p>
        </w:tc>
        <w:tc>
          <w:tcPr>
            <w:tcW w:w="5386" w:type="dxa"/>
            <w:vAlign w:val="center"/>
          </w:tcPr>
          <w:p w14:paraId="3226DBC3">
            <w:pPr>
              <w:pStyle w:val="12"/>
            </w:pPr>
            <w:r>
              <w:t>学校老师和学生满意度</w:t>
            </w:r>
          </w:p>
        </w:tc>
        <w:tc>
          <w:tcPr>
            <w:tcW w:w="2268" w:type="dxa"/>
            <w:vAlign w:val="center"/>
          </w:tcPr>
          <w:p w14:paraId="05253321">
            <w:pPr>
              <w:pStyle w:val="12"/>
            </w:pPr>
            <w:r>
              <w:t>≥95%</w:t>
            </w:r>
          </w:p>
        </w:tc>
        <w:tc>
          <w:tcPr>
            <w:tcW w:w="1276" w:type="dxa"/>
            <w:vAlign w:val="center"/>
          </w:tcPr>
          <w:p w14:paraId="42271ED0">
            <w:pPr>
              <w:pStyle w:val="12"/>
            </w:pPr>
            <w:r>
              <w:t>群众测评</w:t>
            </w:r>
          </w:p>
        </w:tc>
      </w:tr>
    </w:tbl>
    <w:p w14:paraId="0A314117">
      <w:pPr>
        <w:sectPr>
          <w:pgSz w:w="16840" w:h="11900" w:orient="landscape"/>
          <w:pgMar w:top="1361" w:right="1020" w:bottom="1134" w:left="1020" w:header="720" w:footer="720" w:gutter="0"/>
          <w:cols w:space="720" w:num="1"/>
        </w:sectPr>
      </w:pPr>
    </w:p>
    <w:p w14:paraId="23F73A33">
      <w:pPr>
        <w:spacing w:before="0" w:after="0"/>
        <w:ind w:firstLine="560"/>
        <w:jc w:val="left"/>
        <w:outlineLvl w:val="9"/>
      </w:pPr>
      <w:r>
        <w:rPr>
          <w:rFonts w:ascii="方正仿宋_GBK" w:hAnsi="方正仿宋_GBK" w:eastAsia="方正仿宋_GBK" w:cs="方正仿宋_GBK"/>
          <w:b/>
          <w:color w:val="000000"/>
          <w:sz w:val="28"/>
        </w:rPr>
        <w:t>12、冀财教[2025]147号/省级/2026年义教补助经费/魏庄校区肖实小学公用经费绩效目标表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2F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D2B27">
            <w:pPr>
              <w:pStyle w:val="11"/>
            </w:pPr>
            <w:r>
              <w:t>单位：万元</w:t>
            </w:r>
          </w:p>
        </w:tc>
      </w:tr>
      <w:tr w14:paraId="06306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31970">
            <w:pPr>
              <w:pStyle w:val="10"/>
            </w:pPr>
            <w:r>
              <w:t>项目编码</w:t>
            </w:r>
          </w:p>
        </w:tc>
        <w:tc>
          <w:tcPr>
            <w:tcW w:w="5103" w:type="dxa"/>
            <w:gridSpan w:val="2"/>
            <w:vAlign w:val="center"/>
          </w:tcPr>
          <w:p w14:paraId="3306B9AB">
            <w:pPr>
              <w:pStyle w:val="12"/>
            </w:pPr>
            <w:r>
              <w:t>13052526P00000410349A</w:t>
            </w:r>
          </w:p>
        </w:tc>
        <w:tc>
          <w:tcPr>
            <w:tcW w:w="2835" w:type="dxa"/>
            <w:vAlign w:val="center"/>
          </w:tcPr>
          <w:p w14:paraId="01B13FA5">
            <w:pPr>
              <w:pStyle w:val="10"/>
            </w:pPr>
            <w:r>
              <w:t>项目名称</w:t>
            </w:r>
          </w:p>
        </w:tc>
        <w:tc>
          <w:tcPr>
            <w:tcW w:w="6095" w:type="dxa"/>
            <w:gridSpan w:val="3"/>
            <w:vAlign w:val="center"/>
          </w:tcPr>
          <w:p w14:paraId="621967B4">
            <w:pPr>
              <w:pStyle w:val="12"/>
            </w:pPr>
            <w:r>
              <w:t>冀财教[2025]147号/省级/2026年义教补助经费/魏庄校区肖实小学公用经费</w:t>
            </w:r>
          </w:p>
        </w:tc>
      </w:tr>
      <w:tr w14:paraId="5B782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78085">
            <w:pPr>
              <w:pStyle w:val="10"/>
            </w:pPr>
            <w:r>
              <w:t>预算规模及资金用途</w:t>
            </w:r>
          </w:p>
        </w:tc>
        <w:tc>
          <w:tcPr>
            <w:tcW w:w="2268" w:type="dxa"/>
            <w:vAlign w:val="center"/>
          </w:tcPr>
          <w:p w14:paraId="2AB23F09">
            <w:pPr>
              <w:pStyle w:val="10"/>
            </w:pPr>
            <w:r>
              <w:t>预算数</w:t>
            </w:r>
          </w:p>
        </w:tc>
        <w:tc>
          <w:tcPr>
            <w:tcW w:w="2835" w:type="dxa"/>
            <w:vAlign w:val="center"/>
          </w:tcPr>
          <w:p w14:paraId="7F7E918B">
            <w:pPr>
              <w:pStyle w:val="12"/>
            </w:pPr>
            <w:r>
              <w:t>6.69</w:t>
            </w:r>
          </w:p>
        </w:tc>
        <w:tc>
          <w:tcPr>
            <w:tcW w:w="2835" w:type="dxa"/>
            <w:vAlign w:val="center"/>
          </w:tcPr>
          <w:p w14:paraId="4BA0044F">
            <w:pPr>
              <w:pStyle w:val="10"/>
            </w:pPr>
            <w:r>
              <w:t>其中：财政    资金</w:t>
            </w:r>
          </w:p>
        </w:tc>
        <w:tc>
          <w:tcPr>
            <w:tcW w:w="2551" w:type="dxa"/>
            <w:vAlign w:val="center"/>
          </w:tcPr>
          <w:p w14:paraId="340A9C51">
            <w:pPr>
              <w:pStyle w:val="12"/>
            </w:pPr>
            <w:r>
              <w:t>6.69</w:t>
            </w:r>
          </w:p>
        </w:tc>
        <w:tc>
          <w:tcPr>
            <w:tcW w:w="2268" w:type="dxa"/>
            <w:vAlign w:val="center"/>
          </w:tcPr>
          <w:p w14:paraId="774052A9">
            <w:pPr>
              <w:pStyle w:val="10"/>
            </w:pPr>
            <w:r>
              <w:t>其他资金</w:t>
            </w:r>
          </w:p>
        </w:tc>
        <w:tc>
          <w:tcPr>
            <w:tcW w:w="1276" w:type="dxa"/>
            <w:vAlign w:val="center"/>
          </w:tcPr>
          <w:p w14:paraId="1CF31266">
            <w:pPr>
              <w:pStyle w:val="12"/>
            </w:pPr>
            <w:r>
              <w:t xml:space="preserve"> </w:t>
            </w:r>
          </w:p>
        </w:tc>
      </w:tr>
      <w:tr w14:paraId="0A611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9C7B3"/>
        </w:tc>
        <w:tc>
          <w:tcPr>
            <w:tcW w:w="14033" w:type="dxa"/>
            <w:gridSpan w:val="6"/>
            <w:vAlign w:val="center"/>
          </w:tcPr>
          <w:p w14:paraId="29B88C8B">
            <w:pPr>
              <w:pStyle w:val="12"/>
            </w:pPr>
            <w:r>
              <w:t>保障学校正常运转，完成各项教育教学活动和其他日常工作任务等方面的费用支出。</w:t>
            </w:r>
          </w:p>
        </w:tc>
      </w:tr>
      <w:tr w14:paraId="366FB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9B644">
            <w:pPr>
              <w:pStyle w:val="10"/>
            </w:pPr>
            <w:r>
              <w:t>资金支出计划（%）</w:t>
            </w:r>
          </w:p>
        </w:tc>
        <w:tc>
          <w:tcPr>
            <w:tcW w:w="5103" w:type="dxa"/>
            <w:gridSpan w:val="2"/>
            <w:vAlign w:val="center"/>
          </w:tcPr>
          <w:p w14:paraId="43E837BC">
            <w:pPr>
              <w:pStyle w:val="10"/>
            </w:pPr>
            <w:r>
              <w:t>3月底</w:t>
            </w:r>
          </w:p>
        </w:tc>
        <w:tc>
          <w:tcPr>
            <w:tcW w:w="2835" w:type="dxa"/>
            <w:vAlign w:val="center"/>
          </w:tcPr>
          <w:p w14:paraId="70A615DB">
            <w:pPr>
              <w:pStyle w:val="10"/>
            </w:pPr>
            <w:r>
              <w:t>6月底</w:t>
            </w:r>
          </w:p>
        </w:tc>
        <w:tc>
          <w:tcPr>
            <w:tcW w:w="2551" w:type="dxa"/>
            <w:vAlign w:val="center"/>
          </w:tcPr>
          <w:p w14:paraId="7EA995D5">
            <w:pPr>
              <w:pStyle w:val="10"/>
            </w:pPr>
            <w:r>
              <w:t>10月底</w:t>
            </w:r>
          </w:p>
        </w:tc>
        <w:tc>
          <w:tcPr>
            <w:tcW w:w="3544" w:type="dxa"/>
            <w:gridSpan w:val="2"/>
            <w:vAlign w:val="center"/>
          </w:tcPr>
          <w:p w14:paraId="09D9DDE3">
            <w:pPr>
              <w:pStyle w:val="10"/>
            </w:pPr>
            <w:r>
              <w:t>12月底</w:t>
            </w:r>
          </w:p>
        </w:tc>
      </w:tr>
      <w:tr w14:paraId="0E730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62A30"/>
        </w:tc>
        <w:tc>
          <w:tcPr>
            <w:tcW w:w="5103" w:type="dxa"/>
            <w:gridSpan w:val="2"/>
            <w:vAlign w:val="center"/>
          </w:tcPr>
          <w:p w14:paraId="36495A66">
            <w:pPr>
              <w:pStyle w:val="13"/>
            </w:pPr>
            <w:r>
              <w:t>25%</w:t>
            </w:r>
          </w:p>
        </w:tc>
        <w:tc>
          <w:tcPr>
            <w:tcW w:w="2835" w:type="dxa"/>
            <w:vAlign w:val="center"/>
          </w:tcPr>
          <w:p w14:paraId="60927337">
            <w:pPr>
              <w:pStyle w:val="13"/>
            </w:pPr>
            <w:r>
              <w:t>50%</w:t>
            </w:r>
          </w:p>
        </w:tc>
        <w:tc>
          <w:tcPr>
            <w:tcW w:w="2551" w:type="dxa"/>
            <w:vAlign w:val="center"/>
          </w:tcPr>
          <w:p w14:paraId="2635FED9">
            <w:pPr>
              <w:pStyle w:val="13"/>
            </w:pPr>
            <w:r>
              <w:t>75%</w:t>
            </w:r>
          </w:p>
        </w:tc>
        <w:tc>
          <w:tcPr>
            <w:tcW w:w="3544" w:type="dxa"/>
            <w:gridSpan w:val="2"/>
            <w:vAlign w:val="center"/>
          </w:tcPr>
          <w:p w14:paraId="3B531939">
            <w:pPr>
              <w:pStyle w:val="13"/>
            </w:pPr>
            <w:r>
              <w:t>100%</w:t>
            </w:r>
          </w:p>
        </w:tc>
      </w:tr>
      <w:tr w14:paraId="5DD12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FBDCF">
            <w:pPr>
              <w:pStyle w:val="10"/>
            </w:pPr>
            <w:r>
              <w:t>绩效目标</w:t>
            </w:r>
          </w:p>
        </w:tc>
        <w:tc>
          <w:tcPr>
            <w:tcW w:w="14033" w:type="dxa"/>
            <w:gridSpan w:val="6"/>
            <w:vAlign w:val="center"/>
          </w:tcPr>
          <w:p w14:paraId="3880C07A">
            <w:pPr>
              <w:pStyle w:val="12"/>
            </w:pPr>
            <w:r>
              <w:t>1.保障学校正常运转，完成各项教育教学活动和其他日常工作任务等方面的费用支出。</w:t>
            </w:r>
          </w:p>
          <w:p w14:paraId="1C12B9A4">
            <w:pPr>
              <w:pStyle w:val="12"/>
            </w:pPr>
            <w:r>
              <w:t>2.按季度分批次拨付公用经费资金，资金拨付率达到100%。</w:t>
            </w:r>
          </w:p>
        </w:tc>
      </w:tr>
    </w:tbl>
    <w:p w14:paraId="12B46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7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6C8B5">
            <w:pPr>
              <w:pStyle w:val="10"/>
            </w:pPr>
            <w:r>
              <w:t>一级指标</w:t>
            </w:r>
          </w:p>
        </w:tc>
        <w:tc>
          <w:tcPr>
            <w:tcW w:w="2268" w:type="dxa"/>
            <w:vAlign w:val="center"/>
          </w:tcPr>
          <w:p w14:paraId="7AB4DFE0">
            <w:pPr>
              <w:pStyle w:val="10"/>
            </w:pPr>
            <w:r>
              <w:t>二级指标</w:t>
            </w:r>
          </w:p>
        </w:tc>
        <w:tc>
          <w:tcPr>
            <w:tcW w:w="2835" w:type="dxa"/>
            <w:vAlign w:val="center"/>
          </w:tcPr>
          <w:p w14:paraId="05C54E84">
            <w:pPr>
              <w:pStyle w:val="10"/>
            </w:pPr>
            <w:r>
              <w:t>三级指标</w:t>
            </w:r>
          </w:p>
        </w:tc>
        <w:tc>
          <w:tcPr>
            <w:tcW w:w="5386" w:type="dxa"/>
            <w:vAlign w:val="center"/>
          </w:tcPr>
          <w:p w14:paraId="1997B9C9">
            <w:pPr>
              <w:pStyle w:val="10"/>
            </w:pPr>
            <w:r>
              <w:t>绩效指标描述</w:t>
            </w:r>
          </w:p>
        </w:tc>
        <w:tc>
          <w:tcPr>
            <w:tcW w:w="2268" w:type="dxa"/>
            <w:vAlign w:val="center"/>
          </w:tcPr>
          <w:p w14:paraId="6362BAD5">
            <w:pPr>
              <w:pStyle w:val="10"/>
            </w:pPr>
            <w:r>
              <w:t>指标值</w:t>
            </w:r>
          </w:p>
        </w:tc>
        <w:tc>
          <w:tcPr>
            <w:tcW w:w="1276" w:type="dxa"/>
            <w:vAlign w:val="center"/>
          </w:tcPr>
          <w:p w14:paraId="34232705">
            <w:pPr>
              <w:pStyle w:val="10"/>
            </w:pPr>
            <w:r>
              <w:t>指标值确定依据</w:t>
            </w:r>
          </w:p>
        </w:tc>
      </w:tr>
      <w:tr w14:paraId="0D89E428">
        <w:tblPrEx>
          <w:tblCellMar>
            <w:top w:w="0" w:type="dxa"/>
            <w:left w:w="108" w:type="dxa"/>
            <w:bottom w:w="0" w:type="dxa"/>
            <w:right w:w="108" w:type="dxa"/>
          </w:tblCellMar>
        </w:tblPrEx>
        <w:trPr>
          <w:trHeight w:val="397" w:hRule="atLeast"/>
          <w:jc w:val="center"/>
        </w:trPr>
        <w:tc>
          <w:tcPr>
            <w:tcW w:w="1276" w:type="dxa"/>
            <w:vMerge w:val="restart"/>
            <w:vAlign w:val="center"/>
          </w:tcPr>
          <w:p w14:paraId="192A8CD6">
            <w:pPr>
              <w:pStyle w:val="13"/>
            </w:pPr>
            <w:r>
              <w:t>产出指标</w:t>
            </w:r>
          </w:p>
        </w:tc>
        <w:tc>
          <w:tcPr>
            <w:tcW w:w="2268" w:type="dxa"/>
            <w:vAlign w:val="center"/>
          </w:tcPr>
          <w:p w14:paraId="0F4DC6C8">
            <w:pPr>
              <w:pStyle w:val="12"/>
            </w:pPr>
            <w:r>
              <w:t>数量指标</w:t>
            </w:r>
          </w:p>
        </w:tc>
        <w:tc>
          <w:tcPr>
            <w:tcW w:w="2835" w:type="dxa"/>
            <w:vAlign w:val="center"/>
          </w:tcPr>
          <w:p w14:paraId="78821E35">
            <w:pPr>
              <w:pStyle w:val="12"/>
            </w:pPr>
            <w:r>
              <w:t>就读学生数</w:t>
            </w:r>
          </w:p>
        </w:tc>
        <w:tc>
          <w:tcPr>
            <w:tcW w:w="5386" w:type="dxa"/>
            <w:vAlign w:val="center"/>
          </w:tcPr>
          <w:p w14:paraId="41F0D353">
            <w:pPr>
              <w:pStyle w:val="12"/>
            </w:pPr>
            <w:r>
              <w:t>辐射区域内适龄学生人数</w:t>
            </w:r>
          </w:p>
        </w:tc>
        <w:tc>
          <w:tcPr>
            <w:tcW w:w="2268" w:type="dxa"/>
            <w:vAlign w:val="center"/>
          </w:tcPr>
          <w:p w14:paraId="1F59F459">
            <w:pPr>
              <w:pStyle w:val="12"/>
            </w:pPr>
            <w:r>
              <w:t>249人</w:t>
            </w:r>
          </w:p>
        </w:tc>
        <w:tc>
          <w:tcPr>
            <w:tcW w:w="1276" w:type="dxa"/>
            <w:vAlign w:val="center"/>
          </w:tcPr>
          <w:p w14:paraId="24DD310C">
            <w:pPr>
              <w:pStyle w:val="12"/>
            </w:pPr>
            <w:r>
              <w:t>城乡义务教育公用经费管理办法</w:t>
            </w:r>
          </w:p>
        </w:tc>
      </w:tr>
      <w:tr w14:paraId="5B1F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A4938"/>
        </w:tc>
        <w:tc>
          <w:tcPr>
            <w:tcW w:w="2268" w:type="dxa"/>
            <w:vAlign w:val="center"/>
          </w:tcPr>
          <w:p w14:paraId="03D5AC72">
            <w:pPr>
              <w:pStyle w:val="12"/>
            </w:pPr>
            <w:r>
              <w:t>质量指标</w:t>
            </w:r>
          </w:p>
        </w:tc>
        <w:tc>
          <w:tcPr>
            <w:tcW w:w="2835" w:type="dxa"/>
            <w:vAlign w:val="center"/>
          </w:tcPr>
          <w:p w14:paraId="26E5FEC3">
            <w:pPr>
              <w:pStyle w:val="12"/>
            </w:pPr>
            <w:r>
              <w:t>预算执行率</w:t>
            </w:r>
          </w:p>
        </w:tc>
        <w:tc>
          <w:tcPr>
            <w:tcW w:w="5386" w:type="dxa"/>
            <w:vAlign w:val="center"/>
          </w:tcPr>
          <w:p w14:paraId="6867A384">
            <w:pPr>
              <w:pStyle w:val="12"/>
            </w:pPr>
            <w:r>
              <w:t>预算执行率</w:t>
            </w:r>
          </w:p>
        </w:tc>
        <w:tc>
          <w:tcPr>
            <w:tcW w:w="2268" w:type="dxa"/>
            <w:vAlign w:val="center"/>
          </w:tcPr>
          <w:p w14:paraId="6729FBC7">
            <w:pPr>
              <w:pStyle w:val="12"/>
            </w:pPr>
            <w:r>
              <w:t>≥95%</w:t>
            </w:r>
          </w:p>
        </w:tc>
        <w:tc>
          <w:tcPr>
            <w:tcW w:w="1276" w:type="dxa"/>
            <w:vAlign w:val="center"/>
          </w:tcPr>
          <w:p w14:paraId="452D46CD">
            <w:pPr>
              <w:pStyle w:val="12"/>
            </w:pPr>
            <w:r>
              <w:t>城乡义务教育公用经费管理办法</w:t>
            </w:r>
          </w:p>
        </w:tc>
      </w:tr>
      <w:tr w14:paraId="3492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AB6D5"/>
        </w:tc>
        <w:tc>
          <w:tcPr>
            <w:tcW w:w="2268" w:type="dxa"/>
            <w:vAlign w:val="center"/>
          </w:tcPr>
          <w:p w14:paraId="51CC8D84">
            <w:pPr>
              <w:pStyle w:val="12"/>
            </w:pPr>
            <w:r>
              <w:t>时效指标</w:t>
            </w:r>
          </w:p>
        </w:tc>
        <w:tc>
          <w:tcPr>
            <w:tcW w:w="2835" w:type="dxa"/>
            <w:vAlign w:val="center"/>
          </w:tcPr>
          <w:p w14:paraId="7B555DAE">
            <w:pPr>
              <w:pStyle w:val="12"/>
            </w:pPr>
            <w:r>
              <w:t>义教经费支付完成率</w:t>
            </w:r>
          </w:p>
        </w:tc>
        <w:tc>
          <w:tcPr>
            <w:tcW w:w="5386" w:type="dxa"/>
            <w:vAlign w:val="center"/>
          </w:tcPr>
          <w:p w14:paraId="79FA3FE1">
            <w:pPr>
              <w:pStyle w:val="12"/>
            </w:pPr>
            <w:r>
              <w:t>按照序时进度完成资金支付</w:t>
            </w:r>
          </w:p>
        </w:tc>
        <w:tc>
          <w:tcPr>
            <w:tcW w:w="2268" w:type="dxa"/>
            <w:vAlign w:val="center"/>
          </w:tcPr>
          <w:p w14:paraId="2B1A43D0">
            <w:pPr>
              <w:pStyle w:val="12"/>
            </w:pPr>
            <w:r>
              <w:t>100%</w:t>
            </w:r>
          </w:p>
        </w:tc>
        <w:tc>
          <w:tcPr>
            <w:tcW w:w="1276" w:type="dxa"/>
            <w:vAlign w:val="center"/>
          </w:tcPr>
          <w:p w14:paraId="23AC4E30">
            <w:pPr>
              <w:pStyle w:val="12"/>
            </w:pPr>
            <w:r>
              <w:t>城乡义务教育公用经费管理办法</w:t>
            </w:r>
          </w:p>
        </w:tc>
      </w:tr>
      <w:tr w14:paraId="5037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CEA2F"/>
        </w:tc>
        <w:tc>
          <w:tcPr>
            <w:tcW w:w="2268" w:type="dxa"/>
            <w:vAlign w:val="center"/>
          </w:tcPr>
          <w:p w14:paraId="1A0A63B8">
            <w:pPr>
              <w:pStyle w:val="12"/>
            </w:pPr>
            <w:r>
              <w:t>成本指标</w:t>
            </w:r>
          </w:p>
        </w:tc>
        <w:tc>
          <w:tcPr>
            <w:tcW w:w="2835" w:type="dxa"/>
            <w:vAlign w:val="center"/>
          </w:tcPr>
          <w:p w14:paraId="394A24C6">
            <w:pPr>
              <w:pStyle w:val="12"/>
            </w:pPr>
            <w:r>
              <w:t>生均拨款标准</w:t>
            </w:r>
          </w:p>
        </w:tc>
        <w:tc>
          <w:tcPr>
            <w:tcW w:w="5386" w:type="dxa"/>
            <w:vAlign w:val="center"/>
          </w:tcPr>
          <w:p w14:paraId="5B81B807">
            <w:pPr>
              <w:pStyle w:val="12"/>
            </w:pPr>
            <w:r>
              <w:t>小学生公用经费生均公用经费基准定额为720元/年/生，取暖费120元/年/生，住宿生补助300元/年/生的标准，随班就读学生补助7000元/生/年</w:t>
            </w:r>
          </w:p>
        </w:tc>
        <w:tc>
          <w:tcPr>
            <w:tcW w:w="2268" w:type="dxa"/>
            <w:vAlign w:val="center"/>
          </w:tcPr>
          <w:p w14:paraId="7ED73AC5">
            <w:pPr>
              <w:pStyle w:val="12"/>
            </w:pPr>
            <w:r>
              <w:t>840元</w:t>
            </w:r>
          </w:p>
        </w:tc>
        <w:tc>
          <w:tcPr>
            <w:tcW w:w="1276" w:type="dxa"/>
            <w:vAlign w:val="center"/>
          </w:tcPr>
          <w:p w14:paraId="213743DC">
            <w:pPr>
              <w:pStyle w:val="12"/>
            </w:pPr>
            <w:r>
              <w:t>城乡义务教育公用经费管理办法</w:t>
            </w:r>
          </w:p>
        </w:tc>
      </w:tr>
      <w:tr w14:paraId="256A5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9539C">
            <w:pPr>
              <w:pStyle w:val="13"/>
            </w:pPr>
            <w:r>
              <w:t>效益指标</w:t>
            </w:r>
          </w:p>
        </w:tc>
        <w:tc>
          <w:tcPr>
            <w:tcW w:w="2268" w:type="dxa"/>
            <w:vAlign w:val="center"/>
          </w:tcPr>
          <w:p w14:paraId="36F8EDD7">
            <w:pPr>
              <w:pStyle w:val="12"/>
            </w:pPr>
            <w:r>
              <w:t>可持续影响指标</w:t>
            </w:r>
          </w:p>
        </w:tc>
        <w:tc>
          <w:tcPr>
            <w:tcW w:w="2835" w:type="dxa"/>
            <w:vAlign w:val="center"/>
          </w:tcPr>
          <w:p w14:paraId="197BF494">
            <w:pPr>
              <w:pStyle w:val="12"/>
            </w:pPr>
            <w:r>
              <w:t>学校运转得到提高</w:t>
            </w:r>
          </w:p>
        </w:tc>
        <w:tc>
          <w:tcPr>
            <w:tcW w:w="5386" w:type="dxa"/>
            <w:vAlign w:val="center"/>
          </w:tcPr>
          <w:p w14:paraId="0B9241CA">
            <w:pPr>
              <w:pStyle w:val="12"/>
            </w:pPr>
            <w:r>
              <w:t>学生受教育年限</w:t>
            </w:r>
          </w:p>
        </w:tc>
        <w:tc>
          <w:tcPr>
            <w:tcW w:w="2268" w:type="dxa"/>
            <w:vAlign w:val="center"/>
          </w:tcPr>
          <w:p w14:paraId="4B4B4007">
            <w:pPr>
              <w:pStyle w:val="12"/>
            </w:pPr>
            <w:r>
              <w:t>6年</w:t>
            </w:r>
          </w:p>
        </w:tc>
        <w:tc>
          <w:tcPr>
            <w:tcW w:w="1276" w:type="dxa"/>
            <w:vAlign w:val="center"/>
          </w:tcPr>
          <w:p w14:paraId="32A478BE">
            <w:pPr>
              <w:pStyle w:val="12"/>
            </w:pPr>
            <w:r>
              <w:t>城乡义务教育公用经费管理办法</w:t>
            </w:r>
          </w:p>
        </w:tc>
      </w:tr>
      <w:tr w14:paraId="52030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A987E">
            <w:pPr>
              <w:pStyle w:val="13"/>
            </w:pPr>
            <w:r>
              <w:t>满意度指标</w:t>
            </w:r>
          </w:p>
        </w:tc>
        <w:tc>
          <w:tcPr>
            <w:tcW w:w="2268" w:type="dxa"/>
            <w:vAlign w:val="center"/>
          </w:tcPr>
          <w:p w14:paraId="2C9623B4">
            <w:pPr>
              <w:pStyle w:val="12"/>
            </w:pPr>
            <w:r>
              <w:t>服务对象满意度指标</w:t>
            </w:r>
          </w:p>
        </w:tc>
        <w:tc>
          <w:tcPr>
            <w:tcW w:w="2835" w:type="dxa"/>
            <w:vAlign w:val="center"/>
          </w:tcPr>
          <w:p w14:paraId="408AF9BA">
            <w:pPr>
              <w:pStyle w:val="12"/>
            </w:pPr>
            <w:r>
              <w:t>服务对象满意度</w:t>
            </w:r>
          </w:p>
        </w:tc>
        <w:tc>
          <w:tcPr>
            <w:tcW w:w="5386" w:type="dxa"/>
            <w:vAlign w:val="center"/>
          </w:tcPr>
          <w:p w14:paraId="2AC1AC41">
            <w:pPr>
              <w:pStyle w:val="12"/>
            </w:pPr>
            <w:r>
              <w:t>学校老师和学生满意度</w:t>
            </w:r>
          </w:p>
        </w:tc>
        <w:tc>
          <w:tcPr>
            <w:tcW w:w="2268" w:type="dxa"/>
            <w:vAlign w:val="center"/>
          </w:tcPr>
          <w:p w14:paraId="06F2C204">
            <w:pPr>
              <w:pStyle w:val="12"/>
            </w:pPr>
            <w:r>
              <w:t>≥95%</w:t>
            </w:r>
          </w:p>
        </w:tc>
        <w:tc>
          <w:tcPr>
            <w:tcW w:w="1276" w:type="dxa"/>
            <w:vAlign w:val="center"/>
          </w:tcPr>
          <w:p w14:paraId="76CA4806">
            <w:pPr>
              <w:pStyle w:val="12"/>
            </w:pPr>
            <w:r>
              <w:t>群众测评</w:t>
            </w:r>
          </w:p>
        </w:tc>
      </w:tr>
    </w:tbl>
    <w:p w14:paraId="1DFFEB55">
      <w:pPr>
        <w:sectPr>
          <w:pgSz w:w="16840" w:h="11900" w:orient="landscape"/>
          <w:pgMar w:top="1361" w:right="1020" w:bottom="1134" w:left="1020" w:header="720" w:footer="720" w:gutter="0"/>
          <w:cols w:space="720" w:num="1"/>
        </w:sectPr>
      </w:pPr>
    </w:p>
    <w:p w14:paraId="6F1A30EC">
      <w:pPr>
        <w:spacing w:before="0" w:after="0"/>
        <w:ind w:firstLine="560"/>
        <w:jc w:val="left"/>
        <w:outlineLvl w:val="9"/>
      </w:pPr>
      <w:r>
        <w:rPr>
          <w:rFonts w:ascii="方正仿宋_GBK" w:hAnsi="方正仿宋_GBK" w:eastAsia="方正仿宋_GBK" w:cs="方正仿宋_GBK"/>
          <w:b/>
          <w:color w:val="000000"/>
          <w:sz w:val="28"/>
        </w:rPr>
        <w:t>13、冀财教[2025]147号/省级/2026年义教补助经费/魏庄校区张汪小学公用经费绩效目标表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88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A80B4">
            <w:pPr>
              <w:pStyle w:val="11"/>
            </w:pPr>
            <w:r>
              <w:t>单位：万元</w:t>
            </w:r>
          </w:p>
        </w:tc>
      </w:tr>
      <w:tr w14:paraId="390D7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9E5AE">
            <w:pPr>
              <w:pStyle w:val="10"/>
            </w:pPr>
            <w:r>
              <w:t>项目编码</w:t>
            </w:r>
          </w:p>
        </w:tc>
        <w:tc>
          <w:tcPr>
            <w:tcW w:w="5103" w:type="dxa"/>
            <w:gridSpan w:val="2"/>
            <w:vAlign w:val="center"/>
          </w:tcPr>
          <w:p w14:paraId="4F223080">
            <w:pPr>
              <w:pStyle w:val="12"/>
            </w:pPr>
            <w:r>
              <w:t>13052526P00000410348N</w:t>
            </w:r>
          </w:p>
        </w:tc>
        <w:tc>
          <w:tcPr>
            <w:tcW w:w="2835" w:type="dxa"/>
            <w:vAlign w:val="center"/>
          </w:tcPr>
          <w:p w14:paraId="1FE6108C">
            <w:pPr>
              <w:pStyle w:val="10"/>
            </w:pPr>
            <w:r>
              <w:t>项目名称</w:t>
            </w:r>
          </w:p>
        </w:tc>
        <w:tc>
          <w:tcPr>
            <w:tcW w:w="6095" w:type="dxa"/>
            <w:gridSpan w:val="3"/>
            <w:vAlign w:val="center"/>
          </w:tcPr>
          <w:p w14:paraId="4C0B39DA">
            <w:pPr>
              <w:pStyle w:val="12"/>
            </w:pPr>
            <w:r>
              <w:t>冀财教[2025]147号/省级/2026年义教补助经费/魏庄校区张汪小学公用经费</w:t>
            </w:r>
          </w:p>
        </w:tc>
      </w:tr>
      <w:tr w14:paraId="67623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B1F45">
            <w:pPr>
              <w:pStyle w:val="10"/>
            </w:pPr>
            <w:r>
              <w:t>预算规模及资金用途</w:t>
            </w:r>
          </w:p>
        </w:tc>
        <w:tc>
          <w:tcPr>
            <w:tcW w:w="2268" w:type="dxa"/>
            <w:vAlign w:val="center"/>
          </w:tcPr>
          <w:p w14:paraId="2454EA03">
            <w:pPr>
              <w:pStyle w:val="10"/>
            </w:pPr>
            <w:r>
              <w:t>预算数</w:t>
            </w:r>
          </w:p>
        </w:tc>
        <w:tc>
          <w:tcPr>
            <w:tcW w:w="2835" w:type="dxa"/>
            <w:vAlign w:val="center"/>
          </w:tcPr>
          <w:p w14:paraId="2E31028D">
            <w:pPr>
              <w:pStyle w:val="12"/>
            </w:pPr>
            <w:r>
              <w:t>14.92</w:t>
            </w:r>
          </w:p>
        </w:tc>
        <w:tc>
          <w:tcPr>
            <w:tcW w:w="2835" w:type="dxa"/>
            <w:vAlign w:val="center"/>
          </w:tcPr>
          <w:p w14:paraId="397DBBA3">
            <w:pPr>
              <w:pStyle w:val="10"/>
            </w:pPr>
            <w:r>
              <w:t>其中：财政    资金</w:t>
            </w:r>
          </w:p>
        </w:tc>
        <w:tc>
          <w:tcPr>
            <w:tcW w:w="2551" w:type="dxa"/>
            <w:vAlign w:val="center"/>
          </w:tcPr>
          <w:p w14:paraId="0EB61366">
            <w:pPr>
              <w:pStyle w:val="12"/>
            </w:pPr>
            <w:r>
              <w:t>14.92</w:t>
            </w:r>
          </w:p>
        </w:tc>
        <w:tc>
          <w:tcPr>
            <w:tcW w:w="2268" w:type="dxa"/>
            <w:vAlign w:val="center"/>
          </w:tcPr>
          <w:p w14:paraId="5A83AF65">
            <w:pPr>
              <w:pStyle w:val="10"/>
            </w:pPr>
            <w:r>
              <w:t>其他资金</w:t>
            </w:r>
          </w:p>
        </w:tc>
        <w:tc>
          <w:tcPr>
            <w:tcW w:w="1276" w:type="dxa"/>
            <w:vAlign w:val="center"/>
          </w:tcPr>
          <w:p w14:paraId="0946ADBF">
            <w:pPr>
              <w:pStyle w:val="12"/>
            </w:pPr>
            <w:r>
              <w:t xml:space="preserve"> </w:t>
            </w:r>
          </w:p>
        </w:tc>
      </w:tr>
      <w:tr w14:paraId="5D813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A9763"/>
        </w:tc>
        <w:tc>
          <w:tcPr>
            <w:tcW w:w="14033" w:type="dxa"/>
            <w:gridSpan w:val="6"/>
            <w:vAlign w:val="center"/>
          </w:tcPr>
          <w:p w14:paraId="1BB282DC">
            <w:pPr>
              <w:pStyle w:val="12"/>
            </w:pPr>
            <w:r>
              <w:t>保障学校正常运转，完成各项教育教学活动和其他日常工作任务等方面的费用支出。</w:t>
            </w:r>
          </w:p>
        </w:tc>
      </w:tr>
      <w:tr w14:paraId="115AC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DBF72">
            <w:pPr>
              <w:pStyle w:val="10"/>
            </w:pPr>
            <w:r>
              <w:t>资金支出计划（%）</w:t>
            </w:r>
          </w:p>
        </w:tc>
        <w:tc>
          <w:tcPr>
            <w:tcW w:w="5103" w:type="dxa"/>
            <w:gridSpan w:val="2"/>
            <w:vAlign w:val="center"/>
          </w:tcPr>
          <w:p w14:paraId="5EAF88B3">
            <w:pPr>
              <w:pStyle w:val="10"/>
            </w:pPr>
            <w:r>
              <w:t>3月底</w:t>
            </w:r>
          </w:p>
        </w:tc>
        <w:tc>
          <w:tcPr>
            <w:tcW w:w="2835" w:type="dxa"/>
            <w:vAlign w:val="center"/>
          </w:tcPr>
          <w:p w14:paraId="7AF5F765">
            <w:pPr>
              <w:pStyle w:val="10"/>
            </w:pPr>
            <w:r>
              <w:t>6月底</w:t>
            </w:r>
          </w:p>
        </w:tc>
        <w:tc>
          <w:tcPr>
            <w:tcW w:w="2551" w:type="dxa"/>
            <w:vAlign w:val="center"/>
          </w:tcPr>
          <w:p w14:paraId="3892B4AE">
            <w:pPr>
              <w:pStyle w:val="10"/>
            </w:pPr>
            <w:r>
              <w:t>10月底</w:t>
            </w:r>
          </w:p>
        </w:tc>
        <w:tc>
          <w:tcPr>
            <w:tcW w:w="3544" w:type="dxa"/>
            <w:gridSpan w:val="2"/>
            <w:vAlign w:val="center"/>
          </w:tcPr>
          <w:p w14:paraId="304D27D6">
            <w:pPr>
              <w:pStyle w:val="10"/>
            </w:pPr>
            <w:r>
              <w:t>12月底</w:t>
            </w:r>
          </w:p>
        </w:tc>
      </w:tr>
      <w:tr w14:paraId="47E79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10B1A"/>
        </w:tc>
        <w:tc>
          <w:tcPr>
            <w:tcW w:w="5103" w:type="dxa"/>
            <w:gridSpan w:val="2"/>
            <w:vAlign w:val="center"/>
          </w:tcPr>
          <w:p w14:paraId="5A228522">
            <w:pPr>
              <w:pStyle w:val="13"/>
            </w:pPr>
            <w:r>
              <w:t>25%</w:t>
            </w:r>
          </w:p>
        </w:tc>
        <w:tc>
          <w:tcPr>
            <w:tcW w:w="2835" w:type="dxa"/>
            <w:vAlign w:val="center"/>
          </w:tcPr>
          <w:p w14:paraId="3A79F532">
            <w:pPr>
              <w:pStyle w:val="13"/>
            </w:pPr>
            <w:r>
              <w:t>50%</w:t>
            </w:r>
          </w:p>
        </w:tc>
        <w:tc>
          <w:tcPr>
            <w:tcW w:w="2551" w:type="dxa"/>
            <w:vAlign w:val="center"/>
          </w:tcPr>
          <w:p w14:paraId="0BBC46E9">
            <w:pPr>
              <w:pStyle w:val="13"/>
            </w:pPr>
            <w:r>
              <w:t>75%</w:t>
            </w:r>
          </w:p>
        </w:tc>
        <w:tc>
          <w:tcPr>
            <w:tcW w:w="3544" w:type="dxa"/>
            <w:gridSpan w:val="2"/>
            <w:vAlign w:val="center"/>
          </w:tcPr>
          <w:p w14:paraId="021CDB03">
            <w:pPr>
              <w:pStyle w:val="13"/>
            </w:pPr>
            <w:r>
              <w:t>100%</w:t>
            </w:r>
          </w:p>
        </w:tc>
      </w:tr>
      <w:tr w14:paraId="10E33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2492F">
            <w:pPr>
              <w:pStyle w:val="10"/>
            </w:pPr>
            <w:r>
              <w:t>绩效目标</w:t>
            </w:r>
          </w:p>
        </w:tc>
        <w:tc>
          <w:tcPr>
            <w:tcW w:w="14033" w:type="dxa"/>
            <w:gridSpan w:val="6"/>
            <w:vAlign w:val="center"/>
          </w:tcPr>
          <w:p w14:paraId="551E1455">
            <w:pPr>
              <w:pStyle w:val="12"/>
            </w:pPr>
            <w:r>
              <w:t>1.保障学校正常运转，完成各项教育教学活动和其他日常工作任务等方面的费用支出。</w:t>
            </w:r>
          </w:p>
          <w:p w14:paraId="3EDC30F3">
            <w:pPr>
              <w:pStyle w:val="12"/>
            </w:pPr>
            <w:r>
              <w:t>2.按季度分批次拨付公用经费资金，资金拨付率达到100%。</w:t>
            </w:r>
          </w:p>
        </w:tc>
      </w:tr>
    </w:tbl>
    <w:p w14:paraId="0008B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8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B45A5">
            <w:pPr>
              <w:pStyle w:val="10"/>
            </w:pPr>
            <w:r>
              <w:t>一级指标</w:t>
            </w:r>
          </w:p>
        </w:tc>
        <w:tc>
          <w:tcPr>
            <w:tcW w:w="2268" w:type="dxa"/>
            <w:vAlign w:val="center"/>
          </w:tcPr>
          <w:p w14:paraId="56120F3F">
            <w:pPr>
              <w:pStyle w:val="10"/>
            </w:pPr>
            <w:r>
              <w:t>二级指标</w:t>
            </w:r>
          </w:p>
        </w:tc>
        <w:tc>
          <w:tcPr>
            <w:tcW w:w="2835" w:type="dxa"/>
            <w:vAlign w:val="center"/>
          </w:tcPr>
          <w:p w14:paraId="54BE3DD2">
            <w:pPr>
              <w:pStyle w:val="10"/>
            </w:pPr>
            <w:r>
              <w:t>三级指标</w:t>
            </w:r>
          </w:p>
        </w:tc>
        <w:tc>
          <w:tcPr>
            <w:tcW w:w="5386" w:type="dxa"/>
            <w:vAlign w:val="center"/>
          </w:tcPr>
          <w:p w14:paraId="438350FD">
            <w:pPr>
              <w:pStyle w:val="10"/>
            </w:pPr>
            <w:r>
              <w:t>绩效指标描述</w:t>
            </w:r>
          </w:p>
        </w:tc>
        <w:tc>
          <w:tcPr>
            <w:tcW w:w="2268" w:type="dxa"/>
            <w:vAlign w:val="center"/>
          </w:tcPr>
          <w:p w14:paraId="69D866EB">
            <w:pPr>
              <w:pStyle w:val="10"/>
            </w:pPr>
            <w:r>
              <w:t>指标值</w:t>
            </w:r>
          </w:p>
        </w:tc>
        <w:tc>
          <w:tcPr>
            <w:tcW w:w="1276" w:type="dxa"/>
            <w:vAlign w:val="center"/>
          </w:tcPr>
          <w:p w14:paraId="53A8C792">
            <w:pPr>
              <w:pStyle w:val="10"/>
            </w:pPr>
            <w:r>
              <w:t>指标值确定依据</w:t>
            </w:r>
          </w:p>
        </w:tc>
      </w:tr>
      <w:tr w14:paraId="0EDF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0509E">
            <w:pPr>
              <w:pStyle w:val="13"/>
            </w:pPr>
            <w:r>
              <w:t>产出指标</w:t>
            </w:r>
          </w:p>
        </w:tc>
        <w:tc>
          <w:tcPr>
            <w:tcW w:w="2268" w:type="dxa"/>
            <w:vAlign w:val="center"/>
          </w:tcPr>
          <w:p w14:paraId="37CA597C">
            <w:pPr>
              <w:pStyle w:val="12"/>
            </w:pPr>
            <w:r>
              <w:t>数量指标</w:t>
            </w:r>
          </w:p>
        </w:tc>
        <w:tc>
          <w:tcPr>
            <w:tcW w:w="2835" w:type="dxa"/>
            <w:vAlign w:val="center"/>
          </w:tcPr>
          <w:p w14:paraId="652DDACF">
            <w:pPr>
              <w:pStyle w:val="12"/>
            </w:pPr>
            <w:r>
              <w:t>就读学生数</w:t>
            </w:r>
          </w:p>
        </w:tc>
        <w:tc>
          <w:tcPr>
            <w:tcW w:w="5386" w:type="dxa"/>
            <w:vAlign w:val="center"/>
          </w:tcPr>
          <w:p w14:paraId="5BC2E76D">
            <w:pPr>
              <w:pStyle w:val="12"/>
            </w:pPr>
            <w:r>
              <w:t>辐射区域内适龄学生人数</w:t>
            </w:r>
          </w:p>
        </w:tc>
        <w:tc>
          <w:tcPr>
            <w:tcW w:w="2268" w:type="dxa"/>
            <w:vAlign w:val="center"/>
          </w:tcPr>
          <w:p w14:paraId="29BE4DBB">
            <w:pPr>
              <w:pStyle w:val="12"/>
            </w:pPr>
            <w:r>
              <w:t>557人</w:t>
            </w:r>
          </w:p>
        </w:tc>
        <w:tc>
          <w:tcPr>
            <w:tcW w:w="1276" w:type="dxa"/>
            <w:vAlign w:val="center"/>
          </w:tcPr>
          <w:p w14:paraId="6DFB436E">
            <w:pPr>
              <w:pStyle w:val="12"/>
            </w:pPr>
            <w:r>
              <w:t>城乡义务教育公用经费管理办法</w:t>
            </w:r>
          </w:p>
        </w:tc>
      </w:tr>
      <w:tr w14:paraId="6FC2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E180A"/>
        </w:tc>
        <w:tc>
          <w:tcPr>
            <w:tcW w:w="2268" w:type="dxa"/>
            <w:vAlign w:val="center"/>
          </w:tcPr>
          <w:p w14:paraId="1D76A521">
            <w:pPr>
              <w:pStyle w:val="12"/>
            </w:pPr>
            <w:r>
              <w:t>质量指标</w:t>
            </w:r>
          </w:p>
        </w:tc>
        <w:tc>
          <w:tcPr>
            <w:tcW w:w="2835" w:type="dxa"/>
            <w:vAlign w:val="center"/>
          </w:tcPr>
          <w:p w14:paraId="37E77157">
            <w:pPr>
              <w:pStyle w:val="12"/>
            </w:pPr>
            <w:r>
              <w:t>预算执行率</w:t>
            </w:r>
          </w:p>
        </w:tc>
        <w:tc>
          <w:tcPr>
            <w:tcW w:w="5386" w:type="dxa"/>
            <w:vAlign w:val="center"/>
          </w:tcPr>
          <w:p w14:paraId="6A8B10BD">
            <w:pPr>
              <w:pStyle w:val="12"/>
            </w:pPr>
            <w:r>
              <w:t>预算执行率</w:t>
            </w:r>
          </w:p>
        </w:tc>
        <w:tc>
          <w:tcPr>
            <w:tcW w:w="2268" w:type="dxa"/>
            <w:vAlign w:val="center"/>
          </w:tcPr>
          <w:p w14:paraId="31D65BFF">
            <w:pPr>
              <w:pStyle w:val="12"/>
            </w:pPr>
            <w:r>
              <w:t>≥95%</w:t>
            </w:r>
          </w:p>
        </w:tc>
        <w:tc>
          <w:tcPr>
            <w:tcW w:w="1276" w:type="dxa"/>
            <w:vAlign w:val="center"/>
          </w:tcPr>
          <w:p w14:paraId="53B80A6C">
            <w:pPr>
              <w:pStyle w:val="12"/>
            </w:pPr>
            <w:r>
              <w:t>城乡义务教育公用经费管理办法</w:t>
            </w:r>
          </w:p>
        </w:tc>
      </w:tr>
      <w:tr w14:paraId="120C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BAF0C"/>
        </w:tc>
        <w:tc>
          <w:tcPr>
            <w:tcW w:w="2268" w:type="dxa"/>
            <w:vAlign w:val="center"/>
          </w:tcPr>
          <w:p w14:paraId="1FA972D3">
            <w:pPr>
              <w:pStyle w:val="12"/>
            </w:pPr>
            <w:r>
              <w:t>时效指标</w:t>
            </w:r>
          </w:p>
        </w:tc>
        <w:tc>
          <w:tcPr>
            <w:tcW w:w="2835" w:type="dxa"/>
            <w:vAlign w:val="center"/>
          </w:tcPr>
          <w:p w14:paraId="2C2637B5">
            <w:pPr>
              <w:pStyle w:val="12"/>
            </w:pPr>
            <w:r>
              <w:t>义教经费支付完成率</w:t>
            </w:r>
          </w:p>
        </w:tc>
        <w:tc>
          <w:tcPr>
            <w:tcW w:w="5386" w:type="dxa"/>
            <w:vAlign w:val="center"/>
          </w:tcPr>
          <w:p w14:paraId="0C96D52B">
            <w:pPr>
              <w:pStyle w:val="12"/>
            </w:pPr>
            <w:r>
              <w:t>按照序时进度完成资金支付</w:t>
            </w:r>
          </w:p>
        </w:tc>
        <w:tc>
          <w:tcPr>
            <w:tcW w:w="2268" w:type="dxa"/>
            <w:vAlign w:val="center"/>
          </w:tcPr>
          <w:p w14:paraId="1B79A49B">
            <w:pPr>
              <w:pStyle w:val="12"/>
            </w:pPr>
            <w:r>
              <w:t>100%</w:t>
            </w:r>
          </w:p>
        </w:tc>
        <w:tc>
          <w:tcPr>
            <w:tcW w:w="1276" w:type="dxa"/>
            <w:vAlign w:val="center"/>
          </w:tcPr>
          <w:p w14:paraId="4B536636">
            <w:pPr>
              <w:pStyle w:val="12"/>
            </w:pPr>
            <w:r>
              <w:t>城乡义务教育公用经费管理办法</w:t>
            </w:r>
          </w:p>
        </w:tc>
      </w:tr>
      <w:tr w14:paraId="5169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5049"/>
        </w:tc>
        <w:tc>
          <w:tcPr>
            <w:tcW w:w="2268" w:type="dxa"/>
            <w:vAlign w:val="center"/>
          </w:tcPr>
          <w:p w14:paraId="7A184B6E">
            <w:pPr>
              <w:pStyle w:val="12"/>
            </w:pPr>
            <w:r>
              <w:t>成本指标</w:t>
            </w:r>
          </w:p>
        </w:tc>
        <w:tc>
          <w:tcPr>
            <w:tcW w:w="2835" w:type="dxa"/>
            <w:vAlign w:val="center"/>
          </w:tcPr>
          <w:p w14:paraId="4ED6A589">
            <w:pPr>
              <w:pStyle w:val="12"/>
            </w:pPr>
            <w:r>
              <w:t>生均拨款标准</w:t>
            </w:r>
          </w:p>
        </w:tc>
        <w:tc>
          <w:tcPr>
            <w:tcW w:w="5386" w:type="dxa"/>
            <w:vAlign w:val="center"/>
          </w:tcPr>
          <w:p w14:paraId="047EC1D7">
            <w:pPr>
              <w:pStyle w:val="12"/>
            </w:pPr>
            <w:r>
              <w:t>小学生公用经费生均公用经费基准定额为720元/年/生，取暖费120元/年/生，住宿生补助300元/年/生的标准，随班就读学生补助7000元/生/年</w:t>
            </w:r>
          </w:p>
        </w:tc>
        <w:tc>
          <w:tcPr>
            <w:tcW w:w="2268" w:type="dxa"/>
            <w:vAlign w:val="center"/>
          </w:tcPr>
          <w:p w14:paraId="00AB1FB2">
            <w:pPr>
              <w:pStyle w:val="12"/>
            </w:pPr>
            <w:r>
              <w:t>840元</w:t>
            </w:r>
          </w:p>
        </w:tc>
        <w:tc>
          <w:tcPr>
            <w:tcW w:w="1276" w:type="dxa"/>
            <w:vAlign w:val="center"/>
          </w:tcPr>
          <w:p w14:paraId="336E5F5A">
            <w:pPr>
              <w:pStyle w:val="12"/>
            </w:pPr>
            <w:r>
              <w:t>城乡义务教育公用经费管理办法</w:t>
            </w:r>
          </w:p>
        </w:tc>
      </w:tr>
      <w:tr w14:paraId="77D7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9F521">
            <w:pPr>
              <w:pStyle w:val="13"/>
            </w:pPr>
            <w:r>
              <w:t>效益指标</w:t>
            </w:r>
          </w:p>
        </w:tc>
        <w:tc>
          <w:tcPr>
            <w:tcW w:w="2268" w:type="dxa"/>
            <w:vAlign w:val="center"/>
          </w:tcPr>
          <w:p w14:paraId="5D4EE7FC">
            <w:pPr>
              <w:pStyle w:val="12"/>
            </w:pPr>
            <w:r>
              <w:t>可持续影响指标</w:t>
            </w:r>
          </w:p>
        </w:tc>
        <w:tc>
          <w:tcPr>
            <w:tcW w:w="2835" w:type="dxa"/>
            <w:vAlign w:val="center"/>
          </w:tcPr>
          <w:p w14:paraId="5424DED8">
            <w:pPr>
              <w:pStyle w:val="12"/>
            </w:pPr>
            <w:r>
              <w:t>学校运转得到提高</w:t>
            </w:r>
          </w:p>
        </w:tc>
        <w:tc>
          <w:tcPr>
            <w:tcW w:w="5386" w:type="dxa"/>
            <w:vAlign w:val="center"/>
          </w:tcPr>
          <w:p w14:paraId="48A6C532">
            <w:pPr>
              <w:pStyle w:val="12"/>
            </w:pPr>
            <w:r>
              <w:t>学生受教育年限</w:t>
            </w:r>
          </w:p>
        </w:tc>
        <w:tc>
          <w:tcPr>
            <w:tcW w:w="2268" w:type="dxa"/>
            <w:vAlign w:val="center"/>
          </w:tcPr>
          <w:p w14:paraId="4C373D63">
            <w:pPr>
              <w:pStyle w:val="12"/>
            </w:pPr>
            <w:r>
              <w:t>6年</w:t>
            </w:r>
          </w:p>
        </w:tc>
        <w:tc>
          <w:tcPr>
            <w:tcW w:w="1276" w:type="dxa"/>
            <w:vAlign w:val="center"/>
          </w:tcPr>
          <w:p w14:paraId="03F213F3">
            <w:pPr>
              <w:pStyle w:val="12"/>
            </w:pPr>
            <w:r>
              <w:t>城乡义务教育公用经费管理办法</w:t>
            </w:r>
          </w:p>
        </w:tc>
      </w:tr>
      <w:tr w14:paraId="3651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FA0FF">
            <w:pPr>
              <w:pStyle w:val="13"/>
            </w:pPr>
            <w:r>
              <w:t>满意度指标</w:t>
            </w:r>
          </w:p>
        </w:tc>
        <w:tc>
          <w:tcPr>
            <w:tcW w:w="2268" w:type="dxa"/>
            <w:vAlign w:val="center"/>
          </w:tcPr>
          <w:p w14:paraId="4894844A">
            <w:pPr>
              <w:pStyle w:val="12"/>
            </w:pPr>
            <w:r>
              <w:t>服务对象满意度指标</w:t>
            </w:r>
          </w:p>
        </w:tc>
        <w:tc>
          <w:tcPr>
            <w:tcW w:w="2835" w:type="dxa"/>
            <w:vAlign w:val="center"/>
          </w:tcPr>
          <w:p w14:paraId="40F90993">
            <w:pPr>
              <w:pStyle w:val="12"/>
            </w:pPr>
            <w:r>
              <w:t>服务对象满意度</w:t>
            </w:r>
          </w:p>
        </w:tc>
        <w:tc>
          <w:tcPr>
            <w:tcW w:w="5386" w:type="dxa"/>
            <w:vAlign w:val="center"/>
          </w:tcPr>
          <w:p w14:paraId="51B45ABF">
            <w:pPr>
              <w:pStyle w:val="12"/>
            </w:pPr>
            <w:r>
              <w:t>学校老师和学生满意度</w:t>
            </w:r>
          </w:p>
        </w:tc>
        <w:tc>
          <w:tcPr>
            <w:tcW w:w="2268" w:type="dxa"/>
            <w:vAlign w:val="center"/>
          </w:tcPr>
          <w:p w14:paraId="3357875D">
            <w:pPr>
              <w:pStyle w:val="12"/>
            </w:pPr>
            <w:r>
              <w:t>≥95%</w:t>
            </w:r>
          </w:p>
        </w:tc>
        <w:tc>
          <w:tcPr>
            <w:tcW w:w="1276" w:type="dxa"/>
            <w:vAlign w:val="center"/>
          </w:tcPr>
          <w:p w14:paraId="15517B6B">
            <w:pPr>
              <w:pStyle w:val="12"/>
            </w:pPr>
            <w:r>
              <w:t>群众测评</w:t>
            </w:r>
          </w:p>
        </w:tc>
      </w:tr>
    </w:tbl>
    <w:p w14:paraId="7B625C58">
      <w:pPr>
        <w:sectPr>
          <w:pgSz w:w="16840" w:h="11900" w:orient="landscape"/>
          <w:pgMar w:top="1361" w:right="1020" w:bottom="1134" w:left="1020" w:header="720" w:footer="720" w:gutter="0"/>
          <w:cols w:space="720" w:num="1"/>
        </w:sectPr>
      </w:pPr>
    </w:p>
    <w:p w14:paraId="603C00FE">
      <w:pPr>
        <w:spacing w:before="0" w:after="0"/>
        <w:ind w:firstLine="560"/>
        <w:jc w:val="left"/>
        <w:outlineLvl w:val="9"/>
      </w:pPr>
      <w:r>
        <w:rPr>
          <w:rFonts w:ascii="方正仿宋_GBK" w:hAnsi="方正仿宋_GBK" w:eastAsia="方正仿宋_GBK" w:cs="方正仿宋_GBK"/>
          <w:b/>
          <w:color w:val="000000"/>
          <w:sz w:val="28"/>
        </w:rPr>
        <w:t>14、冀财教[2025]147号/省级/义教/2026年校舍安全/魏庄小学校舍维修改造绩效目标表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C3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A6E6E">
            <w:pPr>
              <w:pStyle w:val="11"/>
            </w:pPr>
            <w:r>
              <w:t>单位：万元</w:t>
            </w:r>
          </w:p>
        </w:tc>
      </w:tr>
      <w:tr w14:paraId="70005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53F9B">
            <w:pPr>
              <w:pStyle w:val="10"/>
            </w:pPr>
            <w:r>
              <w:t>项目编码</w:t>
            </w:r>
          </w:p>
        </w:tc>
        <w:tc>
          <w:tcPr>
            <w:tcW w:w="5103" w:type="dxa"/>
            <w:gridSpan w:val="2"/>
            <w:vAlign w:val="center"/>
          </w:tcPr>
          <w:p w14:paraId="1F03E4C7">
            <w:pPr>
              <w:pStyle w:val="12"/>
            </w:pPr>
            <w:r>
              <w:t>13052526P00876210102R</w:t>
            </w:r>
          </w:p>
        </w:tc>
        <w:tc>
          <w:tcPr>
            <w:tcW w:w="2835" w:type="dxa"/>
            <w:vAlign w:val="center"/>
          </w:tcPr>
          <w:p w14:paraId="78843E1F">
            <w:pPr>
              <w:pStyle w:val="10"/>
            </w:pPr>
            <w:r>
              <w:t>项目名称</w:t>
            </w:r>
          </w:p>
        </w:tc>
        <w:tc>
          <w:tcPr>
            <w:tcW w:w="6095" w:type="dxa"/>
            <w:gridSpan w:val="3"/>
            <w:vAlign w:val="center"/>
          </w:tcPr>
          <w:p w14:paraId="0CF233CE">
            <w:pPr>
              <w:pStyle w:val="12"/>
            </w:pPr>
            <w:r>
              <w:t>冀财教[2025]147号/省级/义教/2026年校舍安全/魏庄小学校舍维修改造</w:t>
            </w:r>
          </w:p>
        </w:tc>
      </w:tr>
      <w:tr w14:paraId="2FFFA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2EF34">
            <w:pPr>
              <w:pStyle w:val="10"/>
            </w:pPr>
            <w:r>
              <w:t>预算规模及资金用途</w:t>
            </w:r>
          </w:p>
        </w:tc>
        <w:tc>
          <w:tcPr>
            <w:tcW w:w="2268" w:type="dxa"/>
            <w:vAlign w:val="center"/>
          </w:tcPr>
          <w:p w14:paraId="39248E1B">
            <w:pPr>
              <w:pStyle w:val="10"/>
            </w:pPr>
            <w:r>
              <w:t>预算数</w:t>
            </w:r>
          </w:p>
        </w:tc>
        <w:tc>
          <w:tcPr>
            <w:tcW w:w="2835" w:type="dxa"/>
            <w:vAlign w:val="center"/>
          </w:tcPr>
          <w:p w14:paraId="5EEC4377">
            <w:pPr>
              <w:pStyle w:val="12"/>
            </w:pPr>
            <w:r>
              <w:t>20.00</w:t>
            </w:r>
          </w:p>
        </w:tc>
        <w:tc>
          <w:tcPr>
            <w:tcW w:w="2835" w:type="dxa"/>
            <w:vAlign w:val="center"/>
          </w:tcPr>
          <w:p w14:paraId="67BF8EE9">
            <w:pPr>
              <w:pStyle w:val="10"/>
            </w:pPr>
            <w:r>
              <w:t>其中：财政    资金</w:t>
            </w:r>
          </w:p>
        </w:tc>
        <w:tc>
          <w:tcPr>
            <w:tcW w:w="2551" w:type="dxa"/>
            <w:vAlign w:val="center"/>
          </w:tcPr>
          <w:p w14:paraId="5EE50715">
            <w:pPr>
              <w:pStyle w:val="12"/>
            </w:pPr>
            <w:r>
              <w:t>20.00</w:t>
            </w:r>
          </w:p>
        </w:tc>
        <w:tc>
          <w:tcPr>
            <w:tcW w:w="2268" w:type="dxa"/>
            <w:vAlign w:val="center"/>
          </w:tcPr>
          <w:p w14:paraId="526211F2">
            <w:pPr>
              <w:pStyle w:val="10"/>
            </w:pPr>
            <w:r>
              <w:t>其他资金</w:t>
            </w:r>
          </w:p>
        </w:tc>
        <w:tc>
          <w:tcPr>
            <w:tcW w:w="1276" w:type="dxa"/>
            <w:vAlign w:val="center"/>
          </w:tcPr>
          <w:p w14:paraId="208A9796">
            <w:pPr>
              <w:pStyle w:val="12"/>
            </w:pPr>
            <w:r>
              <w:t xml:space="preserve"> </w:t>
            </w:r>
          </w:p>
        </w:tc>
      </w:tr>
      <w:tr w14:paraId="5C0EA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9358E"/>
        </w:tc>
        <w:tc>
          <w:tcPr>
            <w:tcW w:w="14033" w:type="dxa"/>
            <w:gridSpan w:val="6"/>
            <w:vAlign w:val="center"/>
          </w:tcPr>
          <w:p w14:paraId="65B4D763">
            <w:pPr>
              <w:pStyle w:val="12"/>
            </w:pPr>
            <w:r>
              <w:t>改善就学条件，提升学校形象，保障义务教育阶段教学安全，创造良好的校园环境</w:t>
            </w:r>
          </w:p>
        </w:tc>
      </w:tr>
      <w:tr w14:paraId="2CC34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D1E6A">
            <w:pPr>
              <w:pStyle w:val="10"/>
            </w:pPr>
            <w:r>
              <w:t>资金支出计划（%）</w:t>
            </w:r>
          </w:p>
        </w:tc>
        <w:tc>
          <w:tcPr>
            <w:tcW w:w="5103" w:type="dxa"/>
            <w:gridSpan w:val="2"/>
            <w:vAlign w:val="center"/>
          </w:tcPr>
          <w:p w14:paraId="10CB63B7">
            <w:pPr>
              <w:pStyle w:val="10"/>
            </w:pPr>
            <w:r>
              <w:t>3月底</w:t>
            </w:r>
          </w:p>
        </w:tc>
        <w:tc>
          <w:tcPr>
            <w:tcW w:w="2835" w:type="dxa"/>
            <w:vAlign w:val="center"/>
          </w:tcPr>
          <w:p w14:paraId="4C20CCB1">
            <w:pPr>
              <w:pStyle w:val="10"/>
            </w:pPr>
            <w:r>
              <w:t>6月底</w:t>
            </w:r>
          </w:p>
        </w:tc>
        <w:tc>
          <w:tcPr>
            <w:tcW w:w="2551" w:type="dxa"/>
            <w:vAlign w:val="center"/>
          </w:tcPr>
          <w:p w14:paraId="72C64AD7">
            <w:pPr>
              <w:pStyle w:val="10"/>
            </w:pPr>
            <w:r>
              <w:t>10月底</w:t>
            </w:r>
          </w:p>
        </w:tc>
        <w:tc>
          <w:tcPr>
            <w:tcW w:w="3544" w:type="dxa"/>
            <w:gridSpan w:val="2"/>
            <w:vAlign w:val="center"/>
          </w:tcPr>
          <w:p w14:paraId="5437AA3A">
            <w:pPr>
              <w:pStyle w:val="10"/>
            </w:pPr>
            <w:r>
              <w:t>12月底</w:t>
            </w:r>
          </w:p>
        </w:tc>
      </w:tr>
      <w:tr w14:paraId="095AA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F3928"/>
        </w:tc>
        <w:tc>
          <w:tcPr>
            <w:tcW w:w="5103" w:type="dxa"/>
            <w:gridSpan w:val="2"/>
            <w:vAlign w:val="center"/>
          </w:tcPr>
          <w:p w14:paraId="34CB7801">
            <w:pPr>
              <w:pStyle w:val="13"/>
            </w:pPr>
            <w:r>
              <w:t xml:space="preserve"> </w:t>
            </w:r>
          </w:p>
        </w:tc>
        <w:tc>
          <w:tcPr>
            <w:tcW w:w="2835" w:type="dxa"/>
            <w:vAlign w:val="center"/>
          </w:tcPr>
          <w:p w14:paraId="3FA3AFB4">
            <w:pPr>
              <w:pStyle w:val="13"/>
            </w:pPr>
            <w:r>
              <w:t xml:space="preserve"> </w:t>
            </w:r>
          </w:p>
        </w:tc>
        <w:tc>
          <w:tcPr>
            <w:tcW w:w="2551" w:type="dxa"/>
            <w:vAlign w:val="center"/>
          </w:tcPr>
          <w:p w14:paraId="226EBED2">
            <w:pPr>
              <w:pStyle w:val="13"/>
            </w:pPr>
            <w:r>
              <w:t>100%</w:t>
            </w:r>
          </w:p>
        </w:tc>
        <w:tc>
          <w:tcPr>
            <w:tcW w:w="3544" w:type="dxa"/>
            <w:gridSpan w:val="2"/>
            <w:vAlign w:val="center"/>
          </w:tcPr>
          <w:p w14:paraId="40CB8EB8">
            <w:pPr>
              <w:pStyle w:val="13"/>
            </w:pPr>
            <w:r>
              <w:t>100%</w:t>
            </w:r>
          </w:p>
        </w:tc>
      </w:tr>
      <w:tr w14:paraId="21E79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7EBC1">
            <w:pPr>
              <w:pStyle w:val="10"/>
            </w:pPr>
            <w:r>
              <w:t>绩效目标</w:t>
            </w:r>
          </w:p>
        </w:tc>
        <w:tc>
          <w:tcPr>
            <w:tcW w:w="14033" w:type="dxa"/>
            <w:gridSpan w:val="6"/>
            <w:vAlign w:val="center"/>
          </w:tcPr>
          <w:p w14:paraId="3DB9EA3A">
            <w:pPr>
              <w:pStyle w:val="12"/>
            </w:pPr>
            <w:r>
              <w:t>1.改善就学条件，提升学校形象，保障义务教育阶段教学安全，创造良好的校园环境。</w:t>
            </w:r>
          </w:p>
          <w:p w14:paraId="6AB03474">
            <w:pPr>
              <w:pStyle w:val="12"/>
            </w:pPr>
            <w:r>
              <w:t>2.项目需资金20万元，资金拨付率达到100%。</w:t>
            </w:r>
          </w:p>
        </w:tc>
      </w:tr>
    </w:tbl>
    <w:p w14:paraId="5E5B4F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66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4D71F">
            <w:pPr>
              <w:pStyle w:val="10"/>
            </w:pPr>
            <w:r>
              <w:t>一级指标</w:t>
            </w:r>
          </w:p>
        </w:tc>
        <w:tc>
          <w:tcPr>
            <w:tcW w:w="2268" w:type="dxa"/>
            <w:vAlign w:val="center"/>
          </w:tcPr>
          <w:p w14:paraId="51B83984">
            <w:pPr>
              <w:pStyle w:val="10"/>
            </w:pPr>
            <w:r>
              <w:t>二级指标</w:t>
            </w:r>
          </w:p>
        </w:tc>
        <w:tc>
          <w:tcPr>
            <w:tcW w:w="2835" w:type="dxa"/>
            <w:vAlign w:val="center"/>
          </w:tcPr>
          <w:p w14:paraId="6684DAC1">
            <w:pPr>
              <w:pStyle w:val="10"/>
            </w:pPr>
            <w:r>
              <w:t>三级指标</w:t>
            </w:r>
          </w:p>
        </w:tc>
        <w:tc>
          <w:tcPr>
            <w:tcW w:w="5386" w:type="dxa"/>
            <w:vAlign w:val="center"/>
          </w:tcPr>
          <w:p w14:paraId="224AB105">
            <w:pPr>
              <w:pStyle w:val="10"/>
            </w:pPr>
            <w:r>
              <w:t>绩效指标描述</w:t>
            </w:r>
          </w:p>
        </w:tc>
        <w:tc>
          <w:tcPr>
            <w:tcW w:w="2268" w:type="dxa"/>
            <w:vAlign w:val="center"/>
          </w:tcPr>
          <w:p w14:paraId="418FBA9F">
            <w:pPr>
              <w:pStyle w:val="10"/>
            </w:pPr>
            <w:r>
              <w:t>指标值</w:t>
            </w:r>
          </w:p>
        </w:tc>
        <w:tc>
          <w:tcPr>
            <w:tcW w:w="1276" w:type="dxa"/>
            <w:vAlign w:val="center"/>
          </w:tcPr>
          <w:p w14:paraId="5F4AB1CA">
            <w:pPr>
              <w:pStyle w:val="10"/>
            </w:pPr>
            <w:r>
              <w:t>指标值确定依据</w:t>
            </w:r>
          </w:p>
        </w:tc>
      </w:tr>
      <w:tr w14:paraId="2F32F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F863B">
            <w:pPr>
              <w:pStyle w:val="13"/>
            </w:pPr>
            <w:r>
              <w:t>产出指标</w:t>
            </w:r>
          </w:p>
        </w:tc>
        <w:tc>
          <w:tcPr>
            <w:tcW w:w="2268" w:type="dxa"/>
            <w:vAlign w:val="center"/>
          </w:tcPr>
          <w:p w14:paraId="063FF3C2">
            <w:pPr>
              <w:pStyle w:val="12"/>
            </w:pPr>
            <w:r>
              <w:t>数量指标</w:t>
            </w:r>
          </w:p>
        </w:tc>
        <w:tc>
          <w:tcPr>
            <w:tcW w:w="2835" w:type="dxa"/>
            <w:vAlign w:val="center"/>
          </w:tcPr>
          <w:p w14:paraId="5EEF1870">
            <w:pPr>
              <w:pStyle w:val="12"/>
            </w:pPr>
            <w:r>
              <w:t xml:space="preserve"> 魏庄小学2026年校舍维修改造</w:t>
            </w:r>
          </w:p>
        </w:tc>
        <w:tc>
          <w:tcPr>
            <w:tcW w:w="5386" w:type="dxa"/>
            <w:vAlign w:val="center"/>
          </w:tcPr>
          <w:p w14:paraId="0F0717F2">
            <w:pPr>
              <w:pStyle w:val="12"/>
            </w:pPr>
            <w:r>
              <w:t>安装腹膜车棚、校舍维修、热水房、厕所维修等</w:t>
            </w:r>
          </w:p>
        </w:tc>
        <w:tc>
          <w:tcPr>
            <w:tcW w:w="2268" w:type="dxa"/>
            <w:vAlign w:val="center"/>
          </w:tcPr>
          <w:p w14:paraId="43AAD642">
            <w:pPr>
              <w:pStyle w:val="12"/>
            </w:pPr>
            <w:r>
              <w:t>1项</w:t>
            </w:r>
          </w:p>
        </w:tc>
        <w:tc>
          <w:tcPr>
            <w:tcW w:w="1276" w:type="dxa"/>
            <w:vAlign w:val="center"/>
          </w:tcPr>
          <w:p w14:paraId="6D1C3DB5">
            <w:pPr>
              <w:pStyle w:val="12"/>
            </w:pPr>
            <w:r>
              <w:t>项目规划</w:t>
            </w:r>
          </w:p>
        </w:tc>
      </w:tr>
      <w:tr w14:paraId="0B7B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0A365"/>
        </w:tc>
        <w:tc>
          <w:tcPr>
            <w:tcW w:w="2268" w:type="dxa"/>
            <w:vAlign w:val="center"/>
          </w:tcPr>
          <w:p w14:paraId="18D11330">
            <w:pPr>
              <w:pStyle w:val="12"/>
            </w:pPr>
            <w:r>
              <w:t>质量指标</w:t>
            </w:r>
          </w:p>
        </w:tc>
        <w:tc>
          <w:tcPr>
            <w:tcW w:w="2835" w:type="dxa"/>
            <w:vAlign w:val="center"/>
          </w:tcPr>
          <w:p w14:paraId="5E029170">
            <w:pPr>
              <w:pStyle w:val="12"/>
            </w:pPr>
            <w:r>
              <w:t>工程实施验收合格率</w:t>
            </w:r>
          </w:p>
        </w:tc>
        <w:tc>
          <w:tcPr>
            <w:tcW w:w="5386" w:type="dxa"/>
            <w:vAlign w:val="center"/>
          </w:tcPr>
          <w:p w14:paraId="2D9F49F0">
            <w:pPr>
              <w:pStyle w:val="12"/>
            </w:pPr>
            <w:r>
              <w:t>申报程序的合规，项目实施及资金使用符合项目规划</w:t>
            </w:r>
          </w:p>
        </w:tc>
        <w:tc>
          <w:tcPr>
            <w:tcW w:w="2268" w:type="dxa"/>
            <w:vAlign w:val="center"/>
          </w:tcPr>
          <w:p w14:paraId="461297C6">
            <w:pPr>
              <w:pStyle w:val="12"/>
            </w:pPr>
            <w:r>
              <w:t>100%</w:t>
            </w:r>
          </w:p>
        </w:tc>
        <w:tc>
          <w:tcPr>
            <w:tcW w:w="1276" w:type="dxa"/>
            <w:vAlign w:val="center"/>
          </w:tcPr>
          <w:p w14:paraId="0207EA01">
            <w:pPr>
              <w:pStyle w:val="12"/>
            </w:pPr>
            <w:r>
              <w:t>项目规划</w:t>
            </w:r>
          </w:p>
        </w:tc>
      </w:tr>
      <w:tr w14:paraId="2ACE7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E8448"/>
        </w:tc>
        <w:tc>
          <w:tcPr>
            <w:tcW w:w="2268" w:type="dxa"/>
            <w:vAlign w:val="center"/>
          </w:tcPr>
          <w:p w14:paraId="45C3C8E4">
            <w:pPr>
              <w:pStyle w:val="12"/>
            </w:pPr>
            <w:r>
              <w:t>时效指标</w:t>
            </w:r>
          </w:p>
        </w:tc>
        <w:tc>
          <w:tcPr>
            <w:tcW w:w="2835" w:type="dxa"/>
            <w:vAlign w:val="center"/>
          </w:tcPr>
          <w:p w14:paraId="71A22AAC">
            <w:pPr>
              <w:pStyle w:val="12"/>
            </w:pPr>
            <w:r>
              <w:t>资金支付率</w:t>
            </w:r>
          </w:p>
        </w:tc>
        <w:tc>
          <w:tcPr>
            <w:tcW w:w="5386" w:type="dxa"/>
            <w:vAlign w:val="center"/>
          </w:tcPr>
          <w:p w14:paraId="69C6E895">
            <w:pPr>
              <w:pStyle w:val="12"/>
            </w:pPr>
            <w:r>
              <w:t>按照序时进度完成资金支付</w:t>
            </w:r>
          </w:p>
        </w:tc>
        <w:tc>
          <w:tcPr>
            <w:tcW w:w="2268" w:type="dxa"/>
            <w:vAlign w:val="center"/>
          </w:tcPr>
          <w:p w14:paraId="3FA177B1">
            <w:pPr>
              <w:pStyle w:val="12"/>
            </w:pPr>
            <w:r>
              <w:t>100%</w:t>
            </w:r>
          </w:p>
        </w:tc>
        <w:tc>
          <w:tcPr>
            <w:tcW w:w="1276" w:type="dxa"/>
            <w:vAlign w:val="center"/>
          </w:tcPr>
          <w:p w14:paraId="699251E7">
            <w:pPr>
              <w:pStyle w:val="12"/>
            </w:pPr>
            <w:r>
              <w:t>项目规划</w:t>
            </w:r>
          </w:p>
        </w:tc>
      </w:tr>
      <w:tr w14:paraId="393A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2BB60"/>
        </w:tc>
        <w:tc>
          <w:tcPr>
            <w:tcW w:w="2268" w:type="dxa"/>
            <w:vAlign w:val="center"/>
          </w:tcPr>
          <w:p w14:paraId="6F4FD90C">
            <w:pPr>
              <w:pStyle w:val="12"/>
            </w:pPr>
            <w:r>
              <w:t>成本指标</w:t>
            </w:r>
          </w:p>
        </w:tc>
        <w:tc>
          <w:tcPr>
            <w:tcW w:w="2835" w:type="dxa"/>
            <w:vAlign w:val="center"/>
          </w:tcPr>
          <w:p w14:paraId="4210B6CA">
            <w:pPr>
              <w:pStyle w:val="12"/>
            </w:pPr>
            <w:r>
              <w:t>项目成本控制情况</w:t>
            </w:r>
          </w:p>
        </w:tc>
        <w:tc>
          <w:tcPr>
            <w:tcW w:w="5386" w:type="dxa"/>
            <w:vAlign w:val="center"/>
          </w:tcPr>
          <w:p w14:paraId="2BCCE04D">
            <w:pPr>
              <w:pStyle w:val="12"/>
            </w:pPr>
            <w:r>
              <w:t>严格按照招标价格及审计额进行</w:t>
            </w:r>
          </w:p>
        </w:tc>
        <w:tc>
          <w:tcPr>
            <w:tcW w:w="2268" w:type="dxa"/>
            <w:vAlign w:val="center"/>
          </w:tcPr>
          <w:p w14:paraId="5ED08C3E">
            <w:pPr>
              <w:pStyle w:val="12"/>
            </w:pPr>
            <w:r>
              <w:t>20万元</w:t>
            </w:r>
          </w:p>
        </w:tc>
        <w:tc>
          <w:tcPr>
            <w:tcW w:w="1276" w:type="dxa"/>
            <w:vAlign w:val="center"/>
          </w:tcPr>
          <w:p w14:paraId="1ED94042">
            <w:pPr>
              <w:pStyle w:val="12"/>
            </w:pPr>
            <w:r>
              <w:t>项目规划</w:t>
            </w:r>
          </w:p>
        </w:tc>
      </w:tr>
      <w:tr w14:paraId="5CD8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CB12C">
            <w:pPr>
              <w:pStyle w:val="13"/>
            </w:pPr>
            <w:r>
              <w:t>效益指标</w:t>
            </w:r>
          </w:p>
        </w:tc>
        <w:tc>
          <w:tcPr>
            <w:tcW w:w="2268" w:type="dxa"/>
            <w:vAlign w:val="center"/>
          </w:tcPr>
          <w:p w14:paraId="77C7EC6B">
            <w:pPr>
              <w:pStyle w:val="12"/>
            </w:pPr>
            <w:r>
              <w:t>社会效益指标</w:t>
            </w:r>
          </w:p>
        </w:tc>
        <w:tc>
          <w:tcPr>
            <w:tcW w:w="2835" w:type="dxa"/>
            <w:vAlign w:val="center"/>
          </w:tcPr>
          <w:p w14:paraId="0E89B3F4">
            <w:pPr>
              <w:pStyle w:val="12"/>
            </w:pPr>
            <w:r>
              <w:t>学校办学环境提升</w:t>
            </w:r>
          </w:p>
        </w:tc>
        <w:tc>
          <w:tcPr>
            <w:tcW w:w="5386" w:type="dxa"/>
            <w:vAlign w:val="center"/>
          </w:tcPr>
          <w:p w14:paraId="58EC866B">
            <w:pPr>
              <w:pStyle w:val="12"/>
            </w:pPr>
            <w:r>
              <w:t>学校教学环境提升优化率</w:t>
            </w:r>
          </w:p>
        </w:tc>
        <w:tc>
          <w:tcPr>
            <w:tcW w:w="2268" w:type="dxa"/>
            <w:vAlign w:val="center"/>
          </w:tcPr>
          <w:p w14:paraId="4B9E6FF6">
            <w:pPr>
              <w:pStyle w:val="12"/>
            </w:pPr>
            <w:r>
              <w:t>≥98%</w:t>
            </w:r>
          </w:p>
        </w:tc>
        <w:tc>
          <w:tcPr>
            <w:tcW w:w="1276" w:type="dxa"/>
            <w:vAlign w:val="center"/>
          </w:tcPr>
          <w:p w14:paraId="0A416663">
            <w:pPr>
              <w:pStyle w:val="12"/>
            </w:pPr>
            <w:r>
              <w:t>项目规划</w:t>
            </w:r>
          </w:p>
        </w:tc>
      </w:tr>
      <w:tr w14:paraId="0B617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A2B61">
            <w:pPr>
              <w:pStyle w:val="13"/>
            </w:pPr>
            <w:r>
              <w:t>满意度指标</w:t>
            </w:r>
          </w:p>
        </w:tc>
        <w:tc>
          <w:tcPr>
            <w:tcW w:w="2268" w:type="dxa"/>
            <w:vAlign w:val="center"/>
          </w:tcPr>
          <w:p w14:paraId="748A4228">
            <w:pPr>
              <w:pStyle w:val="12"/>
            </w:pPr>
            <w:r>
              <w:t>服务对象满意度指标</w:t>
            </w:r>
          </w:p>
        </w:tc>
        <w:tc>
          <w:tcPr>
            <w:tcW w:w="2835" w:type="dxa"/>
            <w:vAlign w:val="center"/>
          </w:tcPr>
          <w:p w14:paraId="48F55486">
            <w:pPr>
              <w:pStyle w:val="12"/>
            </w:pPr>
            <w:r>
              <w:t>受益学生家长及调查满意度</w:t>
            </w:r>
          </w:p>
        </w:tc>
        <w:tc>
          <w:tcPr>
            <w:tcW w:w="5386" w:type="dxa"/>
            <w:vAlign w:val="center"/>
          </w:tcPr>
          <w:p w14:paraId="58D8D8A1">
            <w:pPr>
              <w:pStyle w:val="12"/>
            </w:pPr>
            <w:r>
              <w:t>学生、教师及家长对学校教学环境满意度情况</w:t>
            </w:r>
          </w:p>
        </w:tc>
        <w:tc>
          <w:tcPr>
            <w:tcW w:w="2268" w:type="dxa"/>
            <w:vAlign w:val="center"/>
          </w:tcPr>
          <w:p w14:paraId="1AB41E94">
            <w:pPr>
              <w:pStyle w:val="12"/>
            </w:pPr>
            <w:r>
              <w:t>≥95%</w:t>
            </w:r>
          </w:p>
        </w:tc>
        <w:tc>
          <w:tcPr>
            <w:tcW w:w="1276" w:type="dxa"/>
            <w:vAlign w:val="center"/>
          </w:tcPr>
          <w:p w14:paraId="41E6ACC6">
            <w:pPr>
              <w:pStyle w:val="12"/>
            </w:pPr>
            <w:r>
              <w:t>项目规划</w:t>
            </w:r>
          </w:p>
        </w:tc>
      </w:tr>
    </w:tbl>
    <w:p w14:paraId="5D87804A">
      <w:pPr>
        <w:sectPr>
          <w:pgSz w:w="16840" w:h="11900" w:orient="landscape"/>
          <w:pgMar w:top="1361" w:right="1020" w:bottom="1134" w:left="1020" w:header="720" w:footer="720" w:gutter="0"/>
          <w:cols w:space="720" w:num="1"/>
        </w:sectPr>
      </w:pPr>
    </w:p>
    <w:p w14:paraId="0C3938DE">
      <w:pPr>
        <w:spacing w:before="0" w:after="0"/>
        <w:ind w:firstLine="560"/>
        <w:jc w:val="left"/>
        <w:outlineLvl w:val="9"/>
      </w:pPr>
      <w:r>
        <w:rPr>
          <w:rFonts w:ascii="方正仿宋_GBK" w:hAnsi="方正仿宋_GBK" w:eastAsia="方正仿宋_GBK" w:cs="方正仿宋_GBK"/>
          <w:b/>
          <w:color w:val="000000"/>
          <w:sz w:val="28"/>
        </w:rPr>
        <w:t>15、冀财教[2025]147号/省级/义教/2026年校舍安全/肖庄小学校舍维修改造绩效目标表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B2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08BC9">
            <w:pPr>
              <w:pStyle w:val="11"/>
            </w:pPr>
            <w:r>
              <w:t>单位：万元</w:t>
            </w:r>
          </w:p>
        </w:tc>
      </w:tr>
      <w:tr w14:paraId="118CE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EF633">
            <w:pPr>
              <w:pStyle w:val="10"/>
            </w:pPr>
            <w:r>
              <w:t>项目编码</w:t>
            </w:r>
          </w:p>
        </w:tc>
        <w:tc>
          <w:tcPr>
            <w:tcW w:w="5103" w:type="dxa"/>
            <w:gridSpan w:val="2"/>
            <w:vAlign w:val="center"/>
          </w:tcPr>
          <w:p w14:paraId="62DA083C">
            <w:pPr>
              <w:pStyle w:val="12"/>
            </w:pPr>
            <w:r>
              <w:t>13052526P008762101016</w:t>
            </w:r>
          </w:p>
        </w:tc>
        <w:tc>
          <w:tcPr>
            <w:tcW w:w="2835" w:type="dxa"/>
            <w:vAlign w:val="center"/>
          </w:tcPr>
          <w:p w14:paraId="1DF56534">
            <w:pPr>
              <w:pStyle w:val="10"/>
            </w:pPr>
            <w:r>
              <w:t>项目名称</w:t>
            </w:r>
          </w:p>
        </w:tc>
        <w:tc>
          <w:tcPr>
            <w:tcW w:w="6095" w:type="dxa"/>
            <w:gridSpan w:val="3"/>
            <w:vAlign w:val="center"/>
          </w:tcPr>
          <w:p w14:paraId="52AC4F8E">
            <w:pPr>
              <w:pStyle w:val="12"/>
            </w:pPr>
            <w:r>
              <w:t>冀财教[2025]147号/省级/义教/2026年校舍安全/肖庄小学校舍维修改造</w:t>
            </w:r>
          </w:p>
        </w:tc>
      </w:tr>
      <w:tr w14:paraId="5B612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C75E6">
            <w:pPr>
              <w:pStyle w:val="10"/>
            </w:pPr>
            <w:r>
              <w:t>预算规模及资金用途</w:t>
            </w:r>
          </w:p>
        </w:tc>
        <w:tc>
          <w:tcPr>
            <w:tcW w:w="2268" w:type="dxa"/>
            <w:vAlign w:val="center"/>
          </w:tcPr>
          <w:p w14:paraId="6EB6D918">
            <w:pPr>
              <w:pStyle w:val="10"/>
            </w:pPr>
            <w:r>
              <w:t>预算数</w:t>
            </w:r>
          </w:p>
        </w:tc>
        <w:tc>
          <w:tcPr>
            <w:tcW w:w="2835" w:type="dxa"/>
            <w:vAlign w:val="center"/>
          </w:tcPr>
          <w:p w14:paraId="62E77DC2">
            <w:pPr>
              <w:pStyle w:val="12"/>
            </w:pPr>
            <w:r>
              <w:t>20.00</w:t>
            </w:r>
          </w:p>
        </w:tc>
        <w:tc>
          <w:tcPr>
            <w:tcW w:w="2835" w:type="dxa"/>
            <w:vAlign w:val="center"/>
          </w:tcPr>
          <w:p w14:paraId="03EB4E40">
            <w:pPr>
              <w:pStyle w:val="10"/>
            </w:pPr>
            <w:r>
              <w:t>其中：财政    资金</w:t>
            </w:r>
          </w:p>
        </w:tc>
        <w:tc>
          <w:tcPr>
            <w:tcW w:w="2551" w:type="dxa"/>
            <w:vAlign w:val="center"/>
          </w:tcPr>
          <w:p w14:paraId="58077873">
            <w:pPr>
              <w:pStyle w:val="12"/>
            </w:pPr>
            <w:r>
              <w:t>20.00</w:t>
            </w:r>
          </w:p>
        </w:tc>
        <w:tc>
          <w:tcPr>
            <w:tcW w:w="2268" w:type="dxa"/>
            <w:vAlign w:val="center"/>
          </w:tcPr>
          <w:p w14:paraId="06BC3A0A">
            <w:pPr>
              <w:pStyle w:val="10"/>
            </w:pPr>
            <w:r>
              <w:t>其他资金</w:t>
            </w:r>
          </w:p>
        </w:tc>
        <w:tc>
          <w:tcPr>
            <w:tcW w:w="1276" w:type="dxa"/>
            <w:vAlign w:val="center"/>
          </w:tcPr>
          <w:p w14:paraId="34FFDED7">
            <w:pPr>
              <w:pStyle w:val="12"/>
            </w:pPr>
            <w:r>
              <w:t xml:space="preserve"> </w:t>
            </w:r>
          </w:p>
        </w:tc>
      </w:tr>
      <w:tr w14:paraId="05033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2A96E"/>
        </w:tc>
        <w:tc>
          <w:tcPr>
            <w:tcW w:w="14033" w:type="dxa"/>
            <w:gridSpan w:val="6"/>
            <w:vAlign w:val="center"/>
          </w:tcPr>
          <w:p w14:paraId="7FBAF796">
            <w:pPr>
              <w:pStyle w:val="12"/>
            </w:pPr>
            <w:r>
              <w:t>改善就学条件，提升学校形象，保障学生安全，创造良好的校园环境。</w:t>
            </w:r>
          </w:p>
        </w:tc>
      </w:tr>
      <w:tr w14:paraId="54509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FCB88">
            <w:pPr>
              <w:pStyle w:val="10"/>
            </w:pPr>
            <w:r>
              <w:t>资金支出计划（%）</w:t>
            </w:r>
          </w:p>
        </w:tc>
        <w:tc>
          <w:tcPr>
            <w:tcW w:w="5103" w:type="dxa"/>
            <w:gridSpan w:val="2"/>
            <w:vAlign w:val="center"/>
          </w:tcPr>
          <w:p w14:paraId="578B608F">
            <w:pPr>
              <w:pStyle w:val="10"/>
            </w:pPr>
            <w:r>
              <w:t>3月底</w:t>
            </w:r>
          </w:p>
        </w:tc>
        <w:tc>
          <w:tcPr>
            <w:tcW w:w="2835" w:type="dxa"/>
            <w:vAlign w:val="center"/>
          </w:tcPr>
          <w:p w14:paraId="2EEFDEA1">
            <w:pPr>
              <w:pStyle w:val="10"/>
            </w:pPr>
            <w:r>
              <w:t>6月底</w:t>
            </w:r>
          </w:p>
        </w:tc>
        <w:tc>
          <w:tcPr>
            <w:tcW w:w="2551" w:type="dxa"/>
            <w:vAlign w:val="center"/>
          </w:tcPr>
          <w:p w14:paraId="5968D05A">
            <w:pPr>
              <w:pStyle w:val="10"/>
            </w:pPr>
            <w:r>
              <w:t>10月底</w:t>
            </w:r>
          </w:p>
        </w:tc>
        <w:tc>
          <w:tcPr>
            <w:tcW w:w="3544" w:type="dxa"/>
            <w:gridSpan w:val="2"/>
            <w:vAlign w:val="center"/>
          </w:tcPr>
          <w:p w14:paraId="6C9DB3E1">
            <w:pPr>
              <w:pStyle w:val="10"/>
            </w:pPr>
            <w:r>
              <w:t>12月底</w:t>
            </w:r>
          </w:p>
        </w:tc>
      </w:tr>
      <w:tr w14:paraId="071C1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13490"/>
        </w:tc>
        <w:tc>
          <w:tcPr>
            <w:tcW w:w="5103" w:type="dxa"/>
            <w:gridSpan w:val="2"/>
            <w:vAlign w:val="center"/>
          </w:tcPr>
          <w:p w14:paraId="2CACF10F">
            <w:pPr>
              <w:pStyle w:val="13"/>
            </w:pPr>
            <w:r>
              <w:t xml:space="preserve"> </w:t>
            </w:r>
          </w:p>
        </w:tc>
        <w:tc>
          <w:tcPr>
            <w:tcW w:w="2835" w:type="dxa"/>
            <w:vAlign w:val="center"/>
          </w:tcPr>
          <w:p w14:paraId="5AFEEB0E">
            <w:pPr>
              <w:pStyle w:val="13"/>
            </w:pPr>
            <w:r>
              <w:t xml:space="preserve"> </w:t>
            </w:r>
          </w:p>
        </w:tc>
        <w:tc>
          <w:tcPr>
            <w:tcW w:w="2551" w:type="dxa"/>
            <w:vAlign w:val="center"/>
          </w:tcPr>
          <w:p w14:paraId="3823801C">
            <w:pPr>
              <w:pStyle w:val="13"/>
            </w:pPr>
            <w:r>
              <w:t>100%</w:t>
            </w:r>
          </w:p>
        </w:tc>
        <w:tc>
          <w:tcPr>
            <w:tcW w:w="3544" w:type="dxa"/>
            <w:gridSpan w:val="2"/>
            <w:vAlign w:val="center"/>
          </w:tcPr>
          <w:p w14:paraId="2C0E507C">
            <w:pPr>
              <w:pStyle w:val="13"/>
            </w:pPr>
            <w:r>
              <w:t>100%</w:t>
            </w:r>
          </w:p>
        </w:tc>
      </w:tr>
      <w:tr w14:paraId="4C9FF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127E0">
            <w:pPr>
              <w:pStyle w:val="10"/>
            </w:pPr>
            <w:r>
              <w:t>绩效目标</w:t>
            </w:r>
          </w:p>
        </w:tc>
        <w:tc>
          <w:tcPr>
            <w:tcW w:w="14033" w:type="dxa"/>
            <w:gridSpan w:val="6"/>
            <w:vAlign w:val="center"/>
          </w:tcPr>
          <w:p w14:paraId="481C5F4D">
            <w:pPr>
              <w:pStyle w:val="12"/>
            </w:pPr>
            <w:r>
              <w:t>1.改善就学条件，提升学校形象，保障学生安全，创造良好的校园环境。</w:t>
            </w:r>
          </w:p>
          <w:p w14:paraId="2FECBBA6">
            <w:pPr>
              <w:pStyle w:val="12"/>
            </w:pPr>
            <w:r>
              <w:t>2.项目需资金20万元，资金拨付率达到100%。</w:t>
            </w:r>
          </w:p>
        </w:tc>
      </w:tr>
    </w:tbl>
    <w:p w14:paraId="603C4A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2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27124">
            <w:pPr>
              <w:pStyle w:val="10"/>
            </w:pPr>
            <w:r>
              <w:t>一级指标</w:t>
            </w:r>
          </w:p>
        </w:tc>
        <w:tc>
          <w:tcPr>
            <w:tcW w:w="2268" w:type="dxa"/>
            <w:vAlign w:val="center"/>
          </w:tcPr>
          <w:p w14:paraId="55AEC677">
            <w:pPr>
              <w:pStyle w:val="10"/>
            </w:pPr>
            <w:r>
              <w:t>二级指标</w:t>
            </w:r>
          </w:p>
        </w:tc>
        <w:tc>
          <w:tcPr>
            <w:tcW w:w="2835" w:type="dxa"/>
            <w:vAlign w:val="center"/>
          </w:tcPr>
          <w:p w14:paraId="4401B396">
            <w:pPr>
              <w:pStyle w:val="10"/>
            </w:pPr>
            <w:r>
              <w:t>三级指标</w:t>
            </w:r>
          </w:p>
        </w:tc>
        <w:tc>
          <w:tcPr>
            <w:tcW w:w="5386" w:type="dxa"/>
            <w:vAlign w:val="center"/>
          </w:tcPr>
          <w:p w14:paraId="67D05BAE">
            <w:pPr>
              <w:pStyle w:val="10"/>
            </w:pPr>
            <w:r>
              <w:t>绩效指标描述</w:t>
            </w:r>
          </w:p>
        </w:tc>
        <w:tc>
          <w:tcPr>
            <w:tcW w:w="2268" w:type="dxa"/>
            <w:vAlign w:val="center"/>
          </w:tcPr>
          <w:p w14:paraId="1B40A629">
            <w:pPr>
              <w:pStyle w:val="10"/>
            </w:pPr>
            <w:r>
              <w:t>指标值</w:t>
            </w:r>
          </w:p>
        </w:tc>
        <w:tc>
          <w:tcPr>
            <w:tcW w:w="1276" w:type="dxa"/>
            <w:vAlign w:val="center"/>
          </w:tcPr>
          <w:p w14:paraId="1EDA378F">
            <w:pPr>
              <w:pStyle w:val="10"/>
            </w:pPr>
            <w:r>
              <w:t>指标值确定依据</w:t>
            </w:r>
          </w:p>
        </w:tc>
      </w:tr>
      <w:tr w14:paraId="2F16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39511">
            <w:pPr>
              <w:pStyle w:val="13"/>
            </w:pPr>
            <w:r>
              <w:t>产出指标</w:t>
            </w:r>
          </w:p>
        </w:tc>
        <w:tc>
          <w:tcPr>
            <w:tcW w:w="2268" w:type="dxa"/>
            <w:vAlign w:val="center"/>
          </w:tcPr>
          <w:p w14:paraId="4E0746D9">
            <w:pPr>
              <w:pStyle w:val="12"/>
            </w:pPr>
            <w:r>
              <w:t>数量指标</w:t>
            </w:r>
          </w:p>
        </w:tc>
        <w:tc>
          <w:tcPr>
            <w:tcW w:w="2835" w:type="dxa"/>
            <w:vAlign w:val="center"/>
          </w:tcPr>
          <w:p w14:paraId="137EE1BF">
            <w:pPr>
              <w:pStyle w:val="12"/>
            </w:pPr>
            <w:r>
              <w:t>肖庄小学2026年校舍维修改造</w:t>
            </w:r>
          </w:p>
        </w:tc>
        <w:tc>
          <w:tcPr>
            <w:tcW w:w="5386" w:type="dxa"/>
            <w:vAlign w:val="center"/>
          </w:tcPr>
          <w:p w14:paraId="0F8344F6">
            <w:pPr>
              <w:pStyle w:val="12"/>
            </w:pPr>
            <w:r>
              <w:t>教学楼、食堂、厕所维修，房顶防水等</w:t>
            </w:r>
          </w:p>
        </w:tc>
        <w:tc>
          <w:tcPr>
            <w:tcW w:w="2268" w:type="dxa"/>
            <w:vAlign w:val="center"/>
          </w:tcPr>
          <w:p w14:paraId="0D91EF18">
            <w:pPr>
              <w:pStyle w:val="12"/>
            </w:pPr>
            <w:r>
              <w:t>1项</w:t>
            </w:r>
          </w:p>
        </w:tc>
        <w:tc>
          <w:tcPr>
            <w:tcW w:w="1276" w:type="dxa"/>
            <w:vAlign w:val="center"/>
          </w:tcPr>
          <w:p w14:paraId="3BF830DC">
            <w:pPr>
              <w:pStyle w:val="12"/>
            </w:pPr>
            <w:r>
              <w:t>项目规划</w:t>
            </w:r>
          </w:p>
        </w:tc>
      </w:tr>
      <w:tr w14:paraId="7225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2A2A4"/>
        </w:tc>
        <w:tc>
          <w:tcPr>
            <w:tcW w:w="2268" w:type="dxa"/>
            <w:vAlign w:val="center"/>
          </w:tcPr>
          <w:p w14:paraId="3C122288">
            <w:pPr>
              <w:pStyle w:val="12"/>
            </w:pPr>
            <w:r>
              <w:t>质量指标</w:t>
            </w:r>
          </w:p>
        </w:tc>
        <w:tc>
          <w:tcPr>
            <w:tcW w:w="2835" w:type="dxa"/>
            <w:vAlign w:val="center"/>
          </w:tcPr>
          <w:p w14:paraId="54539C7E">
            <w:pPr>
              <w:pStyle w:val="12"/>
            </w:pPr>
            <w:r>
              <w:t>工程实施验收合格率</w:t>
            </w:r>
          </w:p>
        </w:tc>
        <w:tc>
          <w:tcPr>
            <w:tcW w:w="5386" w:type="dxa"/>
            <w:vAlign w:val="center"/>
          </w:tcPr>
          <w:p w14:paraId="26C79A29">
            <w:pPr>
              <w:pStyle w:val="12"/>
            </w:pPr>
            <w:r>
              <w:t>申报程序的合规，项目实施及资金使用符合项目规划</w:t>
            </w:r>
          </w:p>
        </w:tc>
        <w:tc>
          <w:tcPr>
            <w:tcW w:w="2268" w:type="dxa"/>
            <w:vAlign w:val="center"/>
          </w:tcPr>
          <w:p w14:paraId="77879C5A">
            <w:pPr>
              <w:pStyle w:val="12"/>
            </w:pPr>
            <w:r>
              <w:t>100%</w:t>
            </w:r>
          </w:p>
        </w:tc>
        <w:tc>
          <w:tcPr>
            <w:tcW w:w="1276" w:type="dxa"/>
            <w:vAlign w:val="center"/>
          </w:tcPr>
          <w:p w14:paraId="2BE8C8A1">
            <w:pPr>
              <w:pStyle w:val="12"/>
            </w:pPr>
            <w:r>
              <w:t>项目规划</w:t>
            </w:r>
          </w:p>
        </w:tc>
      </w:tr>
      <w:tr w14:paraId="32D1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C652B"/>
        </w:tc>
        <w:tc>
          <w:tcPr>
            <w:tcW w:w="2268" w:type="dxa"/>
            <w:vAlign w:val="center"/>
          </w:tcPr>
          <w:p w14:paraId="60075F1E">
            <w:pPr>
              <w:pStyle w:val="12"/>
            </w:pPr>
            <w:r>
              <w:t>时效指标</w:t>
            </w:r>
          </w:p>
        </w:tc>
        <w:tc>
          <w:tcPr>
            <w:tcW w:w="2835" w:type="dxa"/>
            <w:vAlign w:val="center"/>
          </w:tcPr>
          <w:p w14:paraId="5788B67F">
            <w:pPr>
              <w:pStyle w:val="12"/>
            </w:pPr>
            <w:r>
              <w:t>资金支付率</w:t>
            </w:r>
          </w:p>
        </w:tc>
        <w:tc>
          <w:tcPr>
            <w:tcW w:w="5386" w:type="dxa"/>
            <w:vAlign w:val="center"/>
          </w:tcPr>
          <w:p w14:paraId="3F211ADD">
            <w:pPr>
              <w:pStyle w:val="12"/>
            </w:pPr>
            <w:r>
              <w:t>按照序时进度完成资金支付</w:t>
            </w:r>
          </w:p>
        </w:tc>
        <w:tc>
          <w:tcPr>
            <w:tcW w:w="2268" w:type="dxa"/>
            <w:vAlign w:val="center"/>
          </w:tcPr>
          <w:p w14:paraId="4F7698FF">
            <w:pPr>
              <w:pStyle w:val="12"/>
            </w:pPr>
            <w:r>
              <w:t>100%</w:t>
            </w:r>
          </w:p>
        </w:tc>
        <w:tc>
          <w:tcPr>
            <w:tcW w:w="1276" w:type="dxa"/>
            <w:vAlign w:val="center"/>
          </w:tcPr>
          <w:p w14:paraId="6683C0C3">
            <w:pPr>
              <w:pStyle w:val="12"/>
            </w:pPr>
            <w:r>
              <w:t>项目规划</w:t>
            </w:r>
          </w:p>
        </w:tc>
      </w:tr>
      <w:tr w14:paraId="050C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AB3F4"/>
        </w:tc>
        <w:tc>
          <w:tcPr>
            <w:tcW w:w="2268" w:type="dxa"/>
            <w:vAlign w:val="center"/>
          </w:tcPr>
          <w:p w14:paraId="4B256207">
            <w:pPr>
              <w:pStyle w:val="12"/>
            </w:pPr>
            <w:r>
              <w:t>成本指标</w:t>
            </w:r>
          </w:p>
        </w:tc>
        <w:tc>
          <w:tcPr>
            <w:tcW w:w="2835" w:type="dxa"/>
            <w:vAlign w:val="center"/>
          </w:tcPr>
          <w:p w14:paraId="77214698">
            <w:pPr>
              <w:pStyle w:val="12"/>
            </w:pPr>
            <w:r>
              <w:t>项目成本控制情况</w:t>
            </w:r>
          </w:p>
        </w:tc>
        <w:tc>
          <w:tcPr>
            <w:tcW w:w="5386" w:type="dxa"/>
            <w:vAlign w:val="center"/>
          </w:tcPr>
          <w:p w14:paraId="349CCD05">
            <w:pPr>
              <w:pStyle w:val="12"/>
            </w:pPr>
            <w:r>
              <w:t>严格按照招标价格及审计额进行</w:t>
            </w:r>
          </w:p>
        </w:tc>
        <w:tc>
          <w:tcPr>
            <w:tcW w:w="2268" w:type="dxa"/>
            <w:vAlign w:val="center"/>
          </w:tcPr>
          <w:p w14:paraId="1751E19C">
            <w:pPr>
              <w:pStyle w:val="12"/>
            </w:pPr>
            <w:r>
              <w:t>20万元</w:t>
            </w:r>
          </w:p>
        </w:tc>
        <w:tc>
          <w:tcPr>
            <w:tcW w:w="1276" w:type="dxa"/>
            <w:vAlign w:val="center"/>
          </w:tcPr>
          <w:p w14:paraId="4BA8556D">
            <w:pPr>
              <w:pStyle w:val="12"/>
            </w:pPr>
            <w:r>
              <w:t>项目规划</w:t>
            </w:r>
          </w:p>
        </w:tc>
      </w:tr>
      <w:tr w14:paraId="42D8D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62F3F">
            <w:pPr>
              <w:pStyle w:val="13"/>
            </w:pPr>
            <w:r>
              <w:t>效益指标</w:t>
            </w:r>
          </w:p>
        </w:tc>
        <w:tc>
          <w:tcPr>
            <w:tcW w:w="2268" w:type="dxa"/>
            <w:vAlign w:val="center"/>
          </w:tcPr>
          <w:p w14:paraId="3960D338">
            <w:pPr>
              <w:pStyle w:val="12"/>
            </w:pPr>
            <w:r>
              <w:t>社会效益指标</w:t>
            </w:r>
          </w:p>
        </w:tc>
        <w:tc>
          <w:tcPr>
            <w:tcW w:w="2835" w:type="dxa"/>
            <w:vAlign w:val="center"/>
          </w:tcPr>
          <w:p w14:paraId="5E9CA969">
            <w:pPr>
              <w:pStyle w:val="12"/>
            </w:pPr>
            <w:r>
              <w:t>学校办学环境提升</w:t>
            </w:r>
          </w:p>
        </w:tc>
        <w:tc>
          <w:tcPr>
            <w:tcW w:w="5386" w:type="dxa"/>
            <w:vAlign w:val="center"/>
          </w:tcPr>
          <w:p w14:paraId="7541C583">
            <w:pPr>
              <w:pStyle w:val="12"/>
            </w:pPr>
            <w:r>
              <w:t>学校教学环境提升优化率</w:t>
            </w:r>
          </w:p>
        </w:tc>
        <w:tc>
          <w:tcPr>
            <w:tcW w:w="2268" w:type="dxa"/>
            <w:vAlign w:val="center"/>
          </w:tcPr>
          <w:p w14:paraId="559BE530">
            <w:pPr>
              <w:pStyle w:val="12"/>
            </w:pPr>
            <w:r>
              <w:t>≥98%</w:t>
            </w:r>
          </w:p>
        </w:tc>
        <w:tc>
          <w:tcPr>
            <w:tcW w:w="1276" w:type="dxa"/>
            <w:vAlign w:val="center"/>
          </w:tcPr>
          <w:p w14:paraId="07C713CC">
            <w:pPr>
              <w:pStyle w:val="12"/>
            </w:pPr>
            <w:r>
              <w:t>项目规划</w:t>
            </w:r>
          </w:p>
        </w:tc>
      </w:tr>
      <w:tr w14:paraId="3EDA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F0807">
            <w:pPr>
              <w:pStyle w:val="13"/>
            </w:pPr>
            <w:r>
              <w:t>满意度指标</w:t>
            </w:r>
          </w:p>
        </w:tc>
        <w:tc>
          <w:tcPr>
            <w:tcW w:w="2268" w:type="dxa"/>
            <w:vAlign w:val="center"/>
          </w:tcPr>
          <w:p w14:paraId="71B7C0B1">
            <w:pPr>
              <w:pStyle w:val="12"/>
            </w:pPr>
            <w:r>
              <w:t>服务对象满意度指标</w:t>
            </w:r>
          </w:p>
        </w:tc>
        <w:tc>
          <w:tcPr>
            <w:tcW w:w="2835" w:type="dxa"/>
            <w:vAlign w:val="center"/>
          </w:tcPr>
          <w:p w14:paraId="679E53D5">
            <w:pPr>
              <w:pStyle w:val="12"/>
            </w:pPr>
            <w:r>
              <w:t>受益学生家长及调查满意度</w:t>
            </w:r>
          </w:p>
        </w:tc>
        <w:tc>
          <w:tcPr>
            <w:tcW w:w="5386" w:type="dxa"/>
            <w:vAlign w:val="center"/>
          </w:tcPr>
          <w:p w14:paraId="1A2F9BC2">
            <w:pPr>
              <w:pStyle w:val="12"/>
            </w:pPr>
            <w:r>
              <w:t>学生、教师及家长对学校教学环境满意度情况</w:t>
            </w:r>
          </w:p>
        </w:tc>
        <w:tc>
          <w:tcPr>
            <w:tcW w:w="2268" w:type="dxa"/>
            <w:vAlign w:val="center"/>
          </w:tcPr>
          <w:p w14:paraId="2019E04A">
            <w:pPr>
              <w:pStyle w:val="12"/>
            </w:pPr>
            <w:r>
              <w:t>≥95%</w:t>
            </w:r>
          </w:p>
        </w:tc>
        <w:tc>
          <w:tcPr>
            <w:tcW w:w="1276" w:type="dxa"/>
            <w:vAlign w:val="center"/>
          </w:tcPr>
          <w:p w14:paraId="103E4CF7">
            <w:pPr>
              <w:pStyle w:val="12"/>
            </w:pPr>
            <w:r>
              <w:t>项目规划</w:t>
            </w:r>
          </w:p>
        </w:tc>
      </w:tr>
    </w:tbl>
    <w:p w14:paraId="44B015BC">
      <w:pPr>
        <w:sectPr>
          <w:pgSz w:w="16840" w:h="11900" w:orient="landscape"/>
          <w:pgMar w:top="1361" w:right="1020" w:bottom="1134" w:left="1020" w:header="720" w:footer="720" w:gutter="0"/>
          <w:cols w:space="720" w:num="1"/>
        </w:sectPr>
      </w:pPr>
    </w:p>
    <w:p w14:paraId="5D18BD86">
      <w:pPr>
        <w:spacing w:before="0" w:after="0"/>
        <w:ind w:firstLine="560"/>
        <w:jc w:val="left"/>
        <w:outlineLvl w:val="9"/>
      </w:pPr>
      <w:r>
        <w:rPr>
          <w:rFonts w:ascii="方正仿宋_GBK" w:hAnsi="方正仿宋_GBK" w:eastAsia="方正仿宋_GBK" w:cs="方正仿宋_GBK"/>
          <w:b/>
          <w:color w:val="000000"/>
          <w:sz w:val="28"/>
        </w:rPr>
        <w:t>16、冀财教[2025]149号/省级/2026年学前发展资金/魏庄校区学前教育公用经费绩效目标表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14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60210">
            <w:pPr>
              <w:pStyle w:val="11"/>
            </w:pPr>
            <w:r>
              <w:t>单位：万元</w:t>
            </w:r>
          </w:p>
        </w:tc>
      </w:tr>
      <w:tr w14:paraId="74E67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23122">
            <w:pPr>
              <w:pStyle w:val="10"/>
            </w:pPr>
            <w:r>
              <w:t>项目编码</w:t>
            </w:r>
          </w:p>
        </w:tc>
        <w:tc>
          <w:tcPr>
            <w:tcW w:w="5103" w:type="dxa"/>
            <w:gridSpan w:val="2"/>
            <w:vAlign w:val="center"/>
          </w:tcPr>
          <w:p w14:paraId="3BC10F6D">
            <w:pPr>
              <w:pStyle w:val="12"/>
            </w:pPr>
            <w:r>
              <w:t>13052526P008757101046</w:t>
            </w:r>
          </w:p>
        </w:tc>
        <w:tc>
          <w:tcPr>
            <w:tcW w:w="2835" w:type="dxa"/>
            <w:vAlign w:val="center"/>
          </w:tcPr>
          <w:p w14:paraId="52B2B13E">
            <w:pPr>
              <w:pStyle w:val="10"/>
            </w:pPr>
            <w:r>
              <w:t>项目名称</w:t>
            </w:r>
          </w:p>
        </w:tc>
        <w:tc>
          <w:tcPr>
            <w:tcW w:w="6095" w:type="dxa"/>
            <w:gridSpan w:val="3"/>
            <w:vAlign w:val="center"/>
          </w:tcPr>
          <w:p w14:paraId="229640CD">
            <w:pPr>
              <w:pStyle w:val="12"/>
            </w:pPr>
            <w:r>
              <w:t>冀财教[2025]149号/省级/2026年学前发展资金/魏庄校区学前教育公用经费</w:t>
            </w:r>
          </w:p>
        </w:tc>
      </w:tr>
      <w:tr w14:paraId="79BE1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82E5A">
            <w:pPr>
              <w:pStyle w:val="10"/>
            </w:pPr>
            <w:r>
              <w:t>预算规模及资金用途</w:t>
            </w:r>
          </w:p>
        </w:tc>
        <w:tc>
          <w:tcPr>
            <w:tcW w:w="2268" w:type="dxa"/>
            <w:vAlign w:val="center"/>
          </w:tcPr>
          <w:p w14:paraId="61F4A5F0">
            <w:pPr>
              <w:pStyle w:val="10"/>
            </w:pPr>
            <w:r>
              <w:t>预算数</w:t>
            </w:r>
          </w:p>
        </w:tc>
        <w:tc>
          <w:tcPr>
            <w:tcW w:w="2835" w:type="dxa"/>
            <w:vAlign w:val="center"/>
          </w:tcPr>
          <w:p w14:paraId="04A256DC">
            <w:pPr>
              <w:pStyle w:val="12"/>
            </w:pPr>
            <w:r>
              <w:t>6.36</w:t>
            </w:r>
          </w:p>
        </w:tc>
        <w:tc>
          <w:tcPr>
            <w:tcW w:w="2835" w:type="dxa"/>
            <w:vAlign w:val="center"/>
          </w:tcPr>
          <w:p w14:paraId="7498862C">
            <w:pPr>
              <w:pStyle w:val="10"/>
            </w:pPr>
            <w:r>
              <w:t>其中：财政    资金</w:t>
            </w:r>
          </w:p>
        </w:tc>
        <w:tc>
          <w:tcPr>
            <w:tcW w:w="2551" w:type="dxa"/>
            <w:vAlign w:val="center"/>
          </w:tcPr>
          <w:p w14:paraId="1F219922">
            <w:pPr>
              <w:pStyle w:val="12"/>
            </w:pPr>
            <w:r>
              <w:t>6.36</w:t>
            </w:r>
          </w:p>
        </w:tc>
        <w:tc>
          <w:tcPr>
            <w:tcW w:w="2268" w:type="dxa"/>
            <w:vAlign w:val="center"/>
          </w:tcPr>
          <w:p w14:paraId="7DF2CDCD">
            <w:pPr>
              <w:pStyle w:val="10"/>
            </w:pPr>
            <w:r>
              <w:t>其他资金</w:t>
            </w:r>
          </w:p>
        </w:tc>
        <w:tc>
          <w:tcPr>
            <w:tcW w:w="1276" w:type="dxa"/>
            <w:vAlign w:val="center"/>
          </w:tcPr>
          <w:p w14:paraId="77FDC80E">
            <w:pPr>
              <w:pStyle w:val="12"/>
            </w:pPr>
            <w:r>
              <w:t xml:space="preserve"> </w:t>
            </w:r>
          </w:p>
        </w:tc>
      </w:tr>
      <w:tr w14:paraId="3ACD9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D7AC8"/>
        </w:tc>
        <w:tc>
          <w:tcPr>
            <w:tcW w:w="14033" w:type="dxa"/>
            <w:gridSpan w:val="6"/>
            <w:vAlign w:val="center"/>
          </w:tcPr>
          <w:p w14:paraId="014D5880">
            <w:pPr>
              <w:pStyle w:val="12"/>
            </w:pPr>
            <w:r>
              <w:t>保障幼儿园正常运转，完成教育教学活动和其他日常工作任务等方面的费用支出。</w:t>
            </w:r>
            <w:r>
              <w:tab/>
            </w:r>
            <w:r>
              <w:tab/>
            </w:r>
          </w:p>
        </w:tc>
      </w:tr>
      <w:tr w14:paraId="05CBB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9260F">
            <w:pPr>
              <w:pStyle w:val="10"/>
            </w:pPr>
            <w:r>
              <w:t>资金支出计划（%）</w:t>
            </w:r>
          </w:p>
        </w:tc>
        <w:tc>
          <w:tcPr>
            <w:tcW w:w="5103" w:type="dxa"/>
            <w:gridSpan w:val="2"/>
            <w:vAlign w:val="center"/>
          </w:tcPr>
          <w:p w14:paraId="31CA824E">
            <w:pPr>
              <w:pStyle w:val="10"/>
            </w:pPr>
            <w:r>
              <w:t>3月底</w:t>
            </w:r>
          </w:p>
        </w:tc>
        <w:tc>
          <w:tcPr>
            <w:tcW w:w="2835" w:type="dxa"/>
            <w:vAlign w:val="center"/>
          </w:tcPr>
          <w:p w14:paraId="24CFA4CD">
            <w:pPr>
              <w:pStyle w:val="10"/>
            </w:pPr>
            <w:r>
              <w:t>6月底</w:t>
            </w:r>
          </w:p>
        </w:tc>
        <w:tc>
          <w:tcPr>
            <w:tcW w:w="2551" w:type="dxa"/>
            <w:vAlign w:val="center"/>
          </w:tcPr>
          <w:p w14:paraId="7EDA3DBA">
            <w:pPr>
              <w:pStyle w:val="10"/>
            </w:pPr>
            <w:r>
              <w:t>10月底</w:t>
            </w:r>
          </w:p>
        </w:tc>
        <w:tc>
          <w:tcPr>
            <w:tcW w:w="3544" w:type="dxa"/>
            <w:gridSpan w:val="2"/>
            <w:vAlign w:val="center"/>
          </w:tcPr>
          <w:p w14:paraId="3A48C1A8">
            <w:pPr>
              <w:pStyle w:val="10"/>
            </w:pPr>
            <w:r>
              <w:t>12月底</w:t>
            </w:r>
          </w:p>
        </w:tc>
      </w:tr>
      <w:tr w14:paraId="52B15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56702"/>
        </w:tc>
        <w:tc>
          <w:tcPr>
            <w:tcW w:w="5103" w:type="dxa"/>
            <w:gridSpan w:val="2"/>
            <w:vAlign w:val="center"/>
          </w:tcPr>
          <w:p w14:paraId="33EF6CD9">
            <w:pPr>
              <w:pStyle w:val="13"/>
            </w:pPr>
            <w:r>
              <w:t>25%</w:t>
            </w:r>
          </w:p>
        </w:tc>
        <w:tc>
          <w:tcPr>
            <w:tcW w:w="2835" w:type="dxa"/>
            <w:vAlign w:val="center"/>
          </w:tcPr>
          <w:p w14:paraId="6CD47C40">
            <w:pPr>
              <w:pStyle w:val="13"/>
            </w:pPr>
            <w:r>
              <w:t>50%</w:t>
            </w:r>
          </w:p>
        </w:tc>
        <w:tc>
          <w:tcPr>
            <w:tcW w:w="2551" w:type="dxa"/>
            <w:vAlign w:val="center"/>
          </w:tcPr>
          <w:p w14:paraId="78B2746A">
            <w:pPr>
              <w:pStyle w:val="13"/>
            </w:pPr>
            <w:r>
              <w:t>75%</w:t>
            </w:r>
          </w:p>
        </w:tc>
        <w:tc>
          <w:tcPr>
            <w:tcW w:w="3544" w:type="dxa"/>
            <w:gridSpan w:val="2"/>
            <w:vAlign w:val="center"/>
          </w:tcPr>
          <w:p w14:paraId="4879A131">
            <w:pPr>
              <w:pStyle w:val="13"/>
            </w:pPr>
            <w:r>
              <w:t>100%</w:t>
            </w:r>
          </w:p>
        </w:tc>
      </w:tr>
      <w:tr w14:paraId="4C15B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C64C5">
            <w:pPr>
              <w:pStyle w:val="10"/>
            </w:pPr>
            <w:r>
              <w:t>绩效目标</w:t>
            </w:r>
          </w:p>
        </w:tc>
        <w:tc>
          <w:tcPr>
            <w:tcW w:w="14033" w:type="dxa"/>
            <w:gridSpan w:val="6"/>
            <w:vAlign w:val="center"/>
          </w:tcPr>
          <w:p w14:paraId="48CF53CB">
            <w:pPr>
              <w:pStyle w:val="12"/>
            </w:pPr>
            <w:r>
              <w:t>1.保障幼儿园正常运转，完成教育教学活动和其他日常工作任务等方面的费用支出。</w:t>
            </w:r>
            <w:r>
              <w:tab/>
            </w:r>
            <w:r>
              <w:tab/>
            </w:r>
          </w:p>
          <w:p w14:paraId="6E929FBD">
            <w:pPr>
              <w:pStyle w:val="12"/>
            </w:pPr>
            <w:r>
              <w:t>2.按季度分批次拨付公用经费资金，资金拨付率达到100%。</w:t>
            </w:r>
            <w:r>
              <w:tab/>
            </w:r>
            <w:r>
              <w:tab/>
            </w:r>
          </w:p>
        </w:tc>
      </w:tr>
    </w:tbl>
    <w:p w14:paraId="311148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A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DF25B">
            <w:pPr>
              <w:pStyle w:val="10"/>
            </w:pPr>
            <w:r>
              <w:t>一级指标</w:t>
            </w:r>
          </w:p>
        </w:tc>
        <w:tc>
          <w:tcPr>
            <w:tcW w:w="2268" w:type="dxa"/>
            <w:vAlign w:val="center"/>
          </w:tcPr>
          <w:p w14:paraId="3AEB2672">
            <w:pPr>
              <w:pStyle w:val="10"/>
            </w:pPr>
            <w:r>
              <w:t>二级指标</w:t>
            </w:r>
          </w:p>
        </w:tc>
        <w:tc>
          <w:tcPr>
            <w:tcW w:w="2835" w:type="dxa"/>
            <w:vAlign w:val="center"/>
          </w:tcPr>
          <w:p w14:paraId="6BB97A9B">
            <w:pPr>
              <w:pStyle w:val="10"/>
            </w:pPr>
            <w:r>
              <w:t>三级指标</w:t>
            </w:r>
          </w:p>
        </w:tc>
        <w:tc>
          <w:tcPr>
            <w:tcW w:w="5386" w:type="dxa"/>
            <w:vAlign w:val="center"/>
          </w:tcPr>
          <w:p w14:paraId="1BF6C808">
            <w:pPr>
              <w:pStyle w:val="10"/>
            </w:pPr>
            <w:r>
              <w:t>绩效指标描述</w:t>
            </w:r>
          </w:p>
        </w:tc>
        <w:tc>
          <w:tcPr>
            <w:tcW w:w="2268" w:type="dxa"/>
            <w:vAlign w:val="center"/>
          </w:tcPr>
          <w:p w14:paraId="4FA28181">
            <w:pPr>
              <w:pStyle w:val="10"/>
            </w:pPr>
            <w:r>
              <w:t>指标值</w:t>
            </w:r>
          </w:p>
        </w:tc>
        <w:tc>
          <w:tcPr>
            <w:tcW w:w="1276" w:type="dxa"/>
            <w:vAlign w:val="center"/>
          </w:tcPr>
          <w:p w14:paraId="38A00D6A">
            <w:pPr>
              <w:pStyle w:val="10"/>
            </w:pPr>
            <w:r>
              <w:t>指标值确定依据</w:t>
            </w:r>
          </w:p>
        </w:tc>
      </w:tr>
      <w:tr w14:paraId="7012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0A418">
            <w:pPr>
              <w:pStyle w:val="13"/>
            </w:pPr>
            <w:r>
              <w:t>产出指标</w:t>
            </w:r>
          </w:p>
        </w:tc>
        <w:tc>
          <w:tcPr>
            <w:tcW w:w="2268" w:type="dxa"/>
            <w:vAlign w:val="center"/>
          </w:tcPr>
          <w:p w14:paraId="024E998C">
            <w:pPr>
              <w:pStyle w:val="12"/>
            </w:pPr>
            <w:r>
              <w:t>数量指标</w:t>
            </w:r>
          </w:p>
        </w:tc>
        <w:tc>
          <w:tcPr>
            <w:tcW w:w="2835" w:type="dxa"/>
            <w:vAlign w:val="center"/>
          </w:tcPr>
          <w:p w14:paraId="307DD0DF">
            <w:pPr>
              <w:pStyle w:val="12"/>
            </w:pPr>
            <w:r>
              <w:t>适龄在园生</w:t>
            </w:r>
          </w:p>
        </w:tc>
        <w:tc>
          <w:tcPr>
            <w:tcW w:w="5386" w:type="dxa"/>
            <w:vAlign w:val="center"/>
          </w:tcPr>
          <w:p w14:paraId="52CA7B10">
            <w:pPr>
              <w:pStyle w:val="12"/>
            </w:pPr>
            <w:r>
              <w:t>适龄在园学生人数</w:t>
            </w:r>
          </w:p>
        </w:tc>
        <w:tc>
          <w:tcPr>
            <w:tcW w:w="2268" w:type="dxa"/>
            <w:vAlign w:val="center"/>
          </w:tcPr>
          <w:p w14:paraId="2A5C74CE">
            <w:pPr>
              <w:pStyle w:val="12"/>
            </w:pPr>
            <w:r>
              <w:t>424人</w:t>
            </w:r>
          </w:p>
        </w:tc>
        <w:tc>
          <w:tcPr>
            <w:tcW w:w="1276" w:type="dxa"/>
            <w:vAlign w:val="center"/>
          </w:tcPr>
          <w:p w14:paraId="1D28D0B1">
            <w:pPr>
              <w:pStyle w:val="12"/>
            </w:pPr>
            <w:r>
              <w:t>学前发展资金管理方法</w:t>
            </w:r>
          </w:p>
        </w:tc>
      </w:tr>
      <w:tr w14:paraId="0B32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F6FDE"/>
        </w:tc>
        <w:tc>
          <w:tcPr>
            <w:tcW w:w="2268" w:type="dxa"/>
            <w:vAlign w:val="center"/>
          </w:tcPr>
          <w:p w14:paraId="44C92550">
            <w:pPr>
              <w:pStyle w:val="12"/>
            </w:pPr>
            <w:r>
              <w:t>质量指标</w:t>
            </w:r>
          </w:p>
        </w:tc>
        <w:tc>
          <w:tcPr>
            <w:tcW w:w="2835" w:type="dxa"/>
            <w:vAlign w:val="center"/>
          </w:tcPr>
          <w:p w14:paraId="66B9CFBA">
            <w:pPr>
              <w:pStyle w:val="12"/>
            </w:pPr>
            <w:r>
              <w:t>预算控制率</w:t>
            </w:r>
          </w:p>
        </w:tc>
        <w:tc>
          <w:tcPr>
            <w:tcW w:w="5386" w:type="dxa"/>
            <w:vAlign w:val="center"/>
          </w:tcPr>
          <w:p w14:paraId="1A9431A2">
            <w:pPr>
              <w:pStyle w:val="12"/>
            </w:pPr>
            <w:r>
              <w:t>预算执行</w:t>
            </w:r>
          </w:p>
        </w:tc>
        <w:tc>
          <w:tcPr>
            <w:tcW w:w="2268" w:type="dxa"/>
            <w:vAlign w:val="center"/>
          </w:tcPr>
          <w:p w14:paraId="74DF499B">
            <w:pPr>
              <w:pStyle w:val="12"/>
            </w:pPr>
            <w:r>
              <w:t>≥95%</w:t>
            </w:r>
          </w:p>
        </w:tc>
        <w:tc>
          <w:tcPr>
            <w:tcW w:w="1276" w:type="dxa"/>
            <w:vAlign w:val="center"/>
          </w:tcPr>
          <w:p w14:paraId="69A61EFA">
            <w:pPr>
              <w:pStyle w:val="12"/>
            </w:pPr>
            <w:r>
              <w:t>学前发展资金管理方法</w:t>
            </w:r>
          </w:p>
        </w:tc>
      </w:tr>
      <w:tr w14:paraId="44D8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C2F10"/>
        </w:tc>
        <w:tc>
          <w:tcPr>
            <w:tcW w:w="2268" w:type="dxa"/>
            <w:vAlign w:val="center"/>
          </w:tcPr>
          <w:p w14:paraId="0A32DB32">
            <w:pPr>
              <w:pStyle w:val="12"/>
            </w:pPr>
            <w:r>
              <w:t>时效指标</w:t>
            </w:r>
          </w:p>
        </w:tc>
        <w:tc>
          <w:tcPr>
            <w:tcW w:w="2835" w:type="dxa"/>
            <w:vAlign w:val="center"/>
          </w:tcPr>
          <w:p w14:paraId="05EC0295">
            <w:pPr>
              <w:pStyle w:val="12"/>
            </w:pPr>
            <w:r>
              <w:t>资金支付率</w:t>
            </w:r>
          </w:p>
        </w:tc>
        <w:tc>
          <w:tcPr>
            <w:tcW w:w="5386" w:type="dxa"/>
            <w:vAlign w:val="center"/>
          </w:tcPr>
          <w:p w14:paraId="292707F2">
            <w:pPr>
              <w:pStyle w:val="12"/>
            </w:pPr>
            <w:r>
              <w:t>按照序时进度完成资金支付</w:t>
            </w:r>
          </w:p>
        </w:tc>
        <w:tc>
          <w:tcPr>
            <w:tcW w:w="2268" w:type="dxa"/>
            <w:vAlign w:val="center"/>
          </w:tcPr>
          <w:p w14:paraId="4245BAA7">
            <w:pPr>
              <w:pStyle w:val="12"/>
            </w:pPr>
            <w:r>
              <w:t>100%</w:t>
            </w:r>
          </w:p>
        </w:tc>
        <w:tc>
          <w:tcPr>
            <w:tcW w:w="1276" w:type="dxa"/>
            <w:vAlign w:val="center"/>
          </w:tcPr>
          <w:p w14:paraId="70F5FCBD">
            <w:pPr>
              <w:pStyle w:val="12"/>
            </w:pPr>
            <w:r>
              <w:t>学前发展资金管理方法</w:t>
            </w:r>
          </w:p>
        </w:tc>
      </w:tr>
      <w:tr w14:paraId="0B7D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0141E"/>
        </w:tc>
        <w:tc>
          <w:tcPr>
            <w:tcW w:w="2268" w:type="dxa"/>
            <w:vAlign w:val="center"/>
          </w:tcPr>
          <w:p w14:paraId="4711AFBA">
            <w:pPr>
              <w:pStyle w:val="12"/>
            </w:pPr>
            <w:r>
              <w:t>成本指标</w:t>
            </w:r>
          </w:p>
        </w:tc>
        <w:tc>
          <w:tcPr>
            <w:tcW w:w="2835" w:type="dxa"/>
            <w:vAlign w:val="center"/>
          </w:tcPr>
          <w:p w14:paraId="13E4BDC4">
            <w:pPr>
              <w:pStyle w:val="12"/>
            </w:pPr>
            <w:r>
              <w:t>生均拨款标准</w:t>
            </w:r>
          </w:p>
        </w:tc>
        <w:tc>
          <w:tcPr>
            <w:tcW w:w="5386" w:type="dxa"/>
            <w:vAlign w:val="center"/>
          </w:tcPr>
          <w:p w14:paraId="5830FF23">
            <w:pPr>
              <w:pStyle w:val="12"/>
            </w:pPr>
            <w:r>
              <w:t>学前：（基本标准600元/生/学年）</w:t>
            </w:r>
          </w:p>
        </w:tc>
        <w:tc>
          <w:tcPr>
            <w:tcW w:w="2268" w:type="dxa"/>
            <w:vAlign w:val="center"/>
          </w:tcPr>
          <w:p w14:paraId="28BCFA76">
            <w:pPr>
              <w:pStyle w:val="12"/>
            </w:pPr>
            <w:r>
              <w:t>600元</w:t>
            </w:r>
          </w:p>
        </w:tc>
        <w:tc>
          <w:tcPr>
            <w:tcW w:w="1276" w:type="dxa"/>
            <w:vAlign w:val="center"/>
          </w:tcPr>
          <w:p w14:paraId="46DC94D2">
            <w:pPr>
              <w:pStyle w:val="12"/>
            </w:pPr>
            <w:r>
              <w:t>学前发展资金管理方法</w:t>
            </w:r>
          </w:p>
        </w:tc>
      </w:tr>
      <w:tr w14:paraId="5406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31E73">
            <w:pPr>
              <w:pStyle w:val="13"/>
            </w:pPr>
            <w:r>
              <w:t>效益指标</w:t>
            </w:r>
          </w:p>
        </w:tc>
        <w:tc>
          <w:tcPr>
            <w:tcW w:w="2268" w:type="dxa"/>
            <w:vAlign w:val="center"/>
          </w:tcPr>
          <w:p w14:paraId="6509B323">
            <w:pPr>
              <w:pStyle w:val="12"/>
            </w:pPr>
            <w:r>
              <w:t>可持续影响指标</w:t>
            </w:r>
          </w:p>
        </w:tc>
        <w:tc>
          <w:tcPr>
            <w:tcW w:w="2835" w:type="dxa"/>
            <w:vAlign w:val="center"/>
          </w:tcPr>
          <w:p w14:paraId="7629F7C7">
            <w:pPr>
              <w:pStyle w:val="12"/>
            </w:pPr>
            <w:r>
              <w:t>学校运转得到提升</w:t>
            </w:r>
          </w:p>
        </w:tc>
        <w:tc>
          <w:tcPr>
            <w:tcW w:w="5386" w:type="dxa"/>
            <w:vAlign w:val="center"/>
          </w:tcPr>
          <w:p w14:paraId="6015B5EC">
            <w:pPr>
              <w:pStyle w:val="12"/>
            </w:pPr>
            <w:r>
              <w:t>幼儿受教育年限</w:t>
            </w:r>
          </w:p>
        </w:tc>
        <w:tc>
          <w:tcPr>
            <w:tcW w:w="2268" w:type="dxa"/>
            <w:vAlign w:val="center"/>
          </w:tcPr>
          <w:p w14:paraId="43264820">
            <w:pPr>
              <w:pStyle w:val="12"/>
            </w:pPr>
            <w:r>
              <w:t>3年</w:t>
            </w:r>
          </w:p>
        </w:tc>
        <w:tc>
          <w:tcPr>
            <w:tcW w:w="1276" w:type="dxa"/>
            <w:vAlign w:val="center"/>
          </w:tcPr>
          <w:p w14:paraId="50F5AFC3">
            <w:pPr>
              <w:pStyle w:val="12"/>
            </w:pPr>
            <w:r>
              <w:t>学前发展资金管理方法</w:t>
            </w:r>
          </w:p>
        </w:tc>
      </w:tr>
      <w:tr w14:paraId="5B96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76EC0">
            <w:pPr>
              <w:pStyle w:val="13"/>
            </w:pPr>
            <w:r>
              <w:t>满意度指标</w:t>
            </w:r>
          </w:p>
        </w:tc>
        <w:tc>
          <w:tcPr>
            <w:tcW w:w="2268" w:type="dxa"/>
            <w:vAlign w:val="center"/>
          </w:tcPr>
          <w:p w14:paraId="2198EDD4">
            <w:pPr>
              <w:pStyle w:val="12"/>
            </w:pPr>
            <w:r>
              <w:t>服务对象满意度指标</w:t>
            </w:r>
          </w:p>
        </w:tc>
        <w:tc>
          <w:tcPr>
            <w:tcW w:w="2835" w:type="dxa"/>
            <w:vAlign w:val="center"/>
          </w:tcPr>
          <w:p w14:paraId="42869610">
            <w:pPr>
              <w:pStyle w:val="12"/>
            </w:pPr>
            <w:r>
              <w:t>受益学生家长及调查满意度</w:t>
            </w:r>
          </w:p>
        </w:tc>
        <w:tc>
          <w:tcPr>
            <w:tcW w:w="5386" w:type="dxa"/>
            <w:vAlign w:val="center"/>
          </w:tcPr>
          <w:p w14:paraId="0F9F5AAB">
            <w:pPr>
              <w:pStyle w:val="12"/>
            </w:pPr>
            <w:r>
              <w:t>学生、教师及家长对学校保教保育工作满意度情况</w:t>
            </w:r>
          </w:p>
        </w:tc>
        <w:tc>
          <w:tcPr>
            <w:tcW w:w="2268" w:type="dxa"/>
            <w:vAlign w:val="center"/>
          </w:tcPr>
          <w:p w14:paraId="57C3F029">
            <w:pPr>
              <w:pStyle w:val="12"/>
            </w:pPr>
            <w:r>
              <w:t>≥95%</w:t>
            </w:r>
          </w:p>
        </w:tc>
        <w:tc>
          <w:tcPr>
            <w:tcW w:w="1276" w:type="dxa"/>
            <w:vAlign w:val="center"/>
          </w:tcPr>
          <w:p w14:paraId="03D96D8A">
            <w:pPr>
              <w:pStyle w:val="12"/>
            </w:pPr>
            <w:r>
              <w:t>群众测评</w:t>
            </w:r>
          </w:p>
        </w:tc>
      </w:tr>
    </w:tbl>
    <w:p w14:paraId="3AF46953">
      <w:pPr>
        <w:sectPr>
          <w:pgSz w:w="16840" w:h="11900" w:orient="landscape"/>
          <w:pgMar w:top="1361" w:right="1020" w:bottom="1134" w:left="1020" w:header="720" w:footer="720" w:gutter="0"/>
          <w:cols w:space="720" w:num="1"/>
        </w:sectPr>
      </w:pPr>
    </w:p>
    <w:p w14:paraId="1CA30381">
      <w:pPr>
        <w:spacing w:before="0" w:after="0"/>
        <w:ind w:firstLine="560"/>
        <w:jc w:val="left"/>
        <w:outlineLvl w:val="9"/>
      </w:pPr>
      <w:r>
        <w:rPr>
          <w:rFonts w:ascii="方正仿宋_GBK" w:hAnsi="方正仿宋_GBK" w:eastAsia="方正仿宋_GBK" w:cs="方正仿宋_GBK"/>
          <w:b/>
          <w:color w:val="000000"/>
          <w:sz w:val="28"/>
        </w:rPr>
        <w:t>17、冀财教[2025]149号/省级/2026年学前发展资金/魏庄校区学前教育幼儿资助绩效目标表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DA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9214A">
            <w:pPr>
              <w:pStyle w:val="11"/>
            </w:pPr>
            <w:r>
              <w:t>单位：万元</w:t>
            </w:r>
          </w:p>
        </w:tc>
      </w:tr>
      <w:tr w14:paraId="65BCE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8465E">
            <w:pPr>
              <w:pStyle w:val="10"/>
            </w:pPr>
            <w:r>
              <w:t>项目编码</w:t>
            </w:r>
          </w:p>
        </w:tc>
        <w:tc>
          <w:tcPr>
            <w:tcW w:w="5103" w:type="dxa"/>
            <w:gridSpan w:val="2"/>
            <w:vAlign w:val="center"/>
          </w:tcPr>
          <w:p w14:paraId="70B0BCB1">
            <w:pPr>
              <w:pStyle w:val="12"/>
            </w:pPr>
            <w:r>
              <w:t>13052526P00000210067K</w:t>
            </w:r>
          </w:p>
        </w:tc>
        <w:tc>
          <w:tcPr>
            <w:tcW w:w="2835" w:type="dxa"/>
            <w:vAlign w:val="center"/>
          </w:tcPr>
          <w:p w14:paraId="12F69D7A">
            <w:pPr>
              <w:pStyle w:val="10"/>
            </w:pPr>
            <w:r>
              <w:t>项目名称</w:t>
            </w:r>
          </w:p>
        </w:tc>
        <w:tc>
          <w:tcPr>
            <w:tcW w:w="6095" w:type="dxa"/>
            <w:gridSpan w:val="3"/>
            <w:vAlign w:val="center"/>
          </w:tcPr>
          <w:p w14:paraId="5B03F1FE">
            <w:pPr>
              <w:pStyle w:val="12"/>
            </w:pPr>
            <w:r>
              <w:t>冀财教[2025]149号/省级/2026年学前发展资金/魏庄校区学前教育幼儿资助</w:t>
            </w:r>
          </w:p>
        </w:tc>
      </w:tr>
      <w:tr w14:paraId="5DAFF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7EDA2">
            <w:pPr>
              <w:pStyle w:val="10"/>
            </w:pPr>
            <w:r>
              <w:t>预算规模及资金用途</w:t>
            </w:r>
          </w:p>
        </w:tc>
        <w:tc>
          <w:tcPr>
            <w:tcW w:w="2268" w:type="dxa"/>
            <w:vAlign w:val="center"/>
          </w:tcPr>
          <w:p w14:paraId="241DDCC5">
            <w:pPr>
              <w:pStyle w:val="10"/>
            </w:pPr>
            <w:r>
              <w:t>预算数</w:t>
            </w:r>
          </w:p>
        </w:tc>
        <w:tc>
          <w:tcPr>
            <w:tcW w:w="2835" w:type="dxa"/>
            <w:vAlign w:val="center"/>
          </w:tcPr>
          <w:p w14:paraId="742A4345">
            <w:pPr>
              <w:pStyle w:val="12"/>
            </w:pPr>
            <w:r>
              <w:t>0.68</w:t>
            </w:r>
          </w:p>
        </w:tc>
        <w:tc>
          <w:tcPr>
            <w:tcW w:w="2835" w:type="dxa"/>
            <w:vAlign w:val="center"/>
          </w:tcPr>
          <w:p w14:paraId="132B81AA">
            <w:pPr>
              <w:pStyle w:val="10"/>
            </w:pPr>
            <w:r>
              <w:t>其中：财政    资金</w:t>
            </w:r>
          </w:p>
        </w:tc>
        <w:tc>
          <w:tcPr>
            <w:tcW w:w="2551" w:type="dxa"/>
            <w:vAlign w:val="center"/>
          </w:tcPr>
          <w:p w14:paraId="4AEC0B34">
            <w:pPr>
              <w:pStyle w:val="12"/>
            </w:pPr>
            <w:r>
              <w:t>0.68</w:t>
            </w:r>
          </w:p>
        </w:tc>
        <w:tc>
          <w:tcPr>
            <w:tcW w:w="2268" w:type="dxa"/>
            <w:vAlign w:val="center"/>
          </w:tcPr>
          <w:p w14:paraId="7CD96C4D">
            <w:pPr>
              <w:pStyle w:val="10"/>
            </w:pPr>
            <w:r>
              <w:t>其他资金</w:t>
            </w:r>
          </w:p>
        </w:tc>
        <w:tc>
          <w:tcPr>
            <w:tcW w:w="1276" w:type="dxa"/>
            <w:vAlign w:val="center"/>
          </w:tcPr>
          <w:p w14:paraId="592EEEA9">
            <w:pPr>
              <w:pStyle w:val="12"/>
            </w:pPr>
            <w:r>
              <w:t xml:space="preserve"> </w:t>
            </w:r>
          </w:p>
        </w:tc>
      </w:tr>
      <w:tr w14:paraId="46D98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6DF67"/>
        </w:tc>
        <w:tc>
          <w:tcPr>
            <w:tcW w:w="14033" w:type="dxa"/>
            <w:gridSpan w:val="6"/>
            <w:vAlign w:val="center"/>
          </w:tcPr>
          <w:p w14:paraId="0C8A1F02">
            <w:pPr>
              <w:pStyle w:val="12"/>
            </w:pPr>
            <w:r>
              <w:t>保障落实建档立卡及家庭经济困难儿童资助所需资金，确保建档立卡等家庭经济困难幼儿优先获得资助</w:t>
            </w:r>
          </w:p>
        </w:tc>
      </w:tr>
      <w:tr w14:paraId="6B3AA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538A1">
            <w:pPr>
              <w:pStyle w:val="10"/>
            </w:pPr>
            <w:r>
              <w:t>资金支出计划（%）</w:t>
            </w:r>
          </w:p>
        </w:tc>
        <w:tc>
          <w:tcPr>
            <w:tcW w:w="5103" w:type="dxa"/>
            <w:gridSpan w:val="2"/>
            <w:vAlign w:val="center"/>
          </w:tcPr>
          <w:p w14:paraId="29FDC726">
            <w:pPr>
              <w:pStyle w:val="10"/>
            </w:pPr>
            <w:r>
              <w:t>3月底</w:t>
            </w:r>
          </w:p>
        </w:tc>
        <w:tc>
          <w:tcPr>
            <w:tcW w:w="2835" w:type="dxa"/>
            <w:vAlign w:val="center"/>
          </w:tcPr>
          <w:p w14:paraId="03DF4691">
            <w:pPr>
              <w:pStyle w:val="10"/>
            </w:pPr>
            <w:r>
              <w:t>6月底</w:t>
            </w:r>
          </w:p>
        </w:tc>
        <w:tc>
          <w:tcPr>
            <w:tcW w:w="2551" w:type="dxa"/>
            <w:vAlign w:val="center"/>
          </w:tcPr>
          <w:p w14:paraId="4B381289">
            <w:pPr>
              <w:pStyle w:val="10"/>
            </w:pPr>
            <w:r>
              <w:t>10月底</w:t>
            </w:r>
          </w:p>
        </w:tc>
        <w:tc>
          <w:tcPr>
            <w:tcW w:w="3544" w:type="dxa"/>
            <w:gridSpan w:val="2"/>
            <w:vAlign w:val="center"/>
          </w:tcPr>
          <w:p w14:paraId="4A36739A">
            <w:pPr>
              <w:pStyle w:val="10"/>
            </w:pPr>
            <w:r>
              <w:t>12月底</w:t>
            </w:r>
          </w:p>
        </w:tc>
      </w:tr>
      <w:tr w14:paraId="5615E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D4155"/>
        </w:tc>
        <w:tc>
          <w:tcPr>
            <w:tcW w:w="5103" w:type="dxa"/>
            <w:gridSpan w:val="2"/>
            <w:vAlign w:val="center"/>
          </w:tcPr>
          <w:p w14:paraId="0ECF8E28">
            <w:pPr>
              <w:pStyle w:val="13"/>
            </w:pPr>
            <w:r>
              <w:t>25%</w:t>
            </w:r>
          </w:p>
        </w:tc>
        <w:tc>
          <w:tcPr>
            <w:tcW w:w="2835" w:type="dxa"/>
            <w:vAlign w:val="center"/>
          </w:tcPr>
          <w:p w14:paraId="576757F7">
            <w:pPr>
              <w:pStyle w:val="13"/>
            </w:pPr>
            <w:r>
              <w:t>50%</w:t>
            </w:r>
          </w:p>
        </w:tc>
        <w:tc>
          <w:tcPr>
            <w:tcW w:w="2551" w:type="dxa"/>
            <w:vAlign w:val="center"/>
          </w:tcPr>
          <w:p w14:paraId="6E63BCE6">
            <w:pPr>
              <w:pStyle w:val="13"/>
            </w:pPr>
            <w:r>
              <w:t>75%</w:t>
            </w:r>
          </w:p>
        </w:tc>
        <w:tc>
          <w:tcPr>
            <w:tcW w:w="3544" w:type="dxa"/>
            <w:gridSpan w:val="2"/>
            <w:vAlign w:val="center"/>
          </w:tcPr>
          <w:p w14:paraId="06D1B468">
            <w:pPr>
              <w:pStyle w:val="13"/>
            </w:pPr>
            <w:r>
              <w:t>100%</w:t>
            </w:r>
          </w:p>
        </w:tc>
      </w:tr>
      <w:tr w14:paraId="33A57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9677C">
            <w:pPr>
              <w:pStyle w:val="10"/>
            </w:pPr>
            <w:r>
              <w:t>绩效目标</w:t>
            </w:r>
          </w:p>
        </w:tc>
        <w:tc>
          <w:tcPr>
            <w:tcW w:w="14033" w:type="dxa"/>
            <w:gridSpan w:val="6"/>
            <w:vAlign w:val="center"/>
          </w:tcPr>
          <w:p w14:paraId="2FF230E1">
            <w:pPr>
              <w:pStyle w:val="12"/>
            </w:pPr>
            <w:r>
              <w:t>1.保障落实建档立卡及家庭经济困难儿童资助所需资金，确保建档立卡等家庭经济困难幼儿优先获得资助</w:t>
            </w:r>
          </w:p>
          <w:p w14:paraId="4A7FDA90">
            <w:pPr>
              <w:pStyle w:val="12"/>
            </w:pPr>
            <w:r>
              <w:t>2.保证本年度资助经费足额落实到位，符合享受资助条件的学生应助尽助。</w:t>
            </w:r>
          </w:p>
        </w:tc>
      </w:tr>
    </w:tbl>
    <w:p w14:paraId="0B801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7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75ADB">
            <w:pPr>
              <w:pStyle w:val="10"/>
            </w:pPr>
            <w:r>
              <w:t>一级指标</w:t>
            </w:r>
          </w:p>
        </w:tc>
        <w:tc>
          <w:tcPr>
            <w:tcW w:w="2268" w:type="dxa"/>
            <w:vAlign w:val="center"/>
          </w:tcPr>
          <w:p w14:paraId="47368D72">
            <w:pPr>
              <w:pStyle w:val="10"/>
            </w:pPr>
            <w:r>
              <w:t>二级指标</w:t>
            </w:r>
          </w:p>
        </w:tc>
        <w:tc>
          <w:tcPr>
            <w:tcW w:w="2835" w:type="dxa"/>
            <w:vAlign w:val="center"/>
          </w:tcPr>
          <w:p w14:paraId="38E79D68">
            <w:pPr>
              <w:pStyle w:val="10"/>
            </w:pPr>
            <w:r>
              <w:t>三级指标</w:t>
            </w:r>
          </w:p>
        </w:tc>
        <w:tc>
          <w:tcPr>
            <w:tcW w:w="5386" w:type="dxa"/>
            <w:vAlign w:val="center"/>
          </w:tcPr>
          <w:p w14:paraId="110C5383">
            <w:pPr>
              <w:pStyle w:val="10"/>
            </w:pPr>
            <w:r>
              <w:t>绩效指标描述</w:t>
            </w:r>
          </w:p>
        </w:tc>
        <w:tc>
          <w:tcPr>
            <w:tcW w:w="2268" w:type="dxa"/>
            <w:vAlign w:val="center"/>
          </w:tcPr>
          <w:p w14:paraId="3330FFC9">
            <w:pPr>
              <w:pStyle w:val="10"/>
            </w:pPr>
            <w:r>
              <w:t>指标值</w:t>
            </w:r>
          </w:p>
        </w:tc>
        <w:tc>
          <w:tcPr>
            <w:tcW w:w="1276" w:type="dxa"/>
            <w:vAlign w:val="center"/>
          </w:tcPr>
          <w:p w14:paraId="2AB6A2B9">
            <w:pPr>
              <w:pStyle w:val="10"/>
            </w:pPr>
            <w:r>
              <w:t>指标值确定依据</w:t>
            </w:r>
          </w:p>
        </w:tc>
      </w:tr>
      <w:tr w14:paraId="4A9E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FA9C8">
            <w:pPr>
              <w:pStyle w:val="13"/>
            </w:pPr>
            <w:r>
              <w:t>产出指标</w:t>
            </w:r>
          </w:p>
        </w:tc>
        <w:tc>
          <w:tcPr>
            <w:tcW w:w="2268" w:type="dxa"/>
            <w:vAlign w:val="center"/>
          </w:tcPr>
          <w:p w14:paraId="175CFAAE">
            <w:pPr>
              <w:pStyle w:val="12"/>
            </w:pPr>
            <w:r>
              <w:t>数量指标</w:t>
            </w:r>
          </w:p>
        </w:tc>
        <w:tc>
          <w:tcPr>
            <w:tcW w:w="2835" w:type="dxa"/>
            <w:vAlign w:val="center"/>
          </w:tcPr>
          <w:p w14:paraId="4FF9123C">
            <w:pPr>
              <w:pStyle w:val="12"/>
            </w:pPr>
            <w:r>
              <w:t>幼儿资助比例</w:t>
            </w:r>
          </w:p>
        </w:tc>
        <w:tc>
          <w:tcPr>
            <w:tcW w:w="5386" w:type="dxa"/>
            <w:vAlign w:val="center"/>
          </w:tcPr>
          <w:p w14:paraId="064654AD">
            <w:pPr>
              <w:pStyle w:val="12"/>
            </w:pPr>
            <w:r>
              <w:t>按学前适龄在园儿童10%测算</w:t>
            </w:r>
          </w:p>
        </w:tc>
        <w:tc>
          <w:tcPr>
            <w:tcW w:w="2268" w:type="dxa"/>
            <w:vAlign w:val="center"/>
          </w:tcPr>
          <w:p w14:paraId="7B23983B">
            <w:pPr>
              <w:pStyle w:val="12"/>
            </w:pPr>
            <w:r>
              <w:t>10%</w:t>
            </w:r>
          </w:p>
        </w:tc>
        <w:tc>
          <w:tcPr>
            <w:tcW w:w="1276" w:type="dxa"/>
            <w:vAlign w:val="center"/>
          </w:tcPr>
          <w:p w14:paraId="1055D4D0">
            <w:pPr>
              <w:pStyle w:val="12"/>
            </w:pPr>
            <w:r>
              <w:t>幼儿资助经费管理办法</w:t>
            </w:r>
          </w:p>
        </w:tc>
      </w:tr>
      <w:tr w14:paraId="7D24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39A88"/>
        </w:tc>
        <w:tc>
          <w:tcPr>
            <w:tcW w:w="2268" w:type="dxa"/>
            <w:vAlign w:val="center"/>
          </w:tcPr>
          <w:p w14:paraId="3E283203">
            <w:pPr>
              <w:pStyle w:val="12"/>
            </w:pPr>
            <w:r>
              <w:t>质量指标</w:t>
            </w:r>
          </w:p>
        </w:tc>
        <w:tc>
          <w:tcPr>
            <w:tcW w:w="2835" w:type="dxa"/>
            <w:vAlign w:val="center"/>
          </w:tcPr>
          <w:p w14:paraId="45935194">
            <w:pPr>
              <w:pStyle w:val="12"/>
            </w:pPr>
            <w:r>
              <w:t>资助资金使用率</w:t>
            </w:r>
          </w:p>
        </w:tc>
        <w:tc>
          <w:tcPr>
            <w:tcW w:w="5386" w:type="dxa"/>
            <w:vAlign w:val="center"/>
          </w:tcPr>
          <w:p w14:paraId="7C77B985">
            <w:pPr>
              <w:pStyle w:val="12"/>
            </w:pPr>
            <w:r>
              <w:t>符合享受资助条件的学生应助尽助</w:t>
            </w:r>
          </w:p>
        </w:tc>
        <w:tc>
          <w:tcPr>
            <w:tcW w:w="2268" w:type="dxa"/>
            <w:vAlign w:val="center"/>
          </w:tcPr>
          <w:p w14:paraId="48B29099">
            <w:pPr>
              <w:pStyle w:val="12"/>
            </w:pPr>
            <w:r>
              <w:t>100%</w:t>
            </w:r>
          </w:p>
        </w:tc>
        <w:tc>
          <w:tcPr>
            <w:tcW w:w="1276" w:type="dxa"/>
            <w:vAlign w:val="center"/>
          </w:tcPr>
          <w:p w14:paraId="60352C34">
            <w:pPr>
              <w:pStyle w:val="12"/>
            </w:pPr>
            <w:r>
              <w:t>幼儿资助经费管理办法</w:t>
            </w:r>
          </w:p>
        </w:tc>
      </w:tr>
      <w:tr w14:paraId="0ED6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05122"/>
        </w:tc>
        <w:tc>
          <w:tcPr>
            <w:tcW w:w="2268" w:type="dxa"/>
            <w:vAlign w:val="center"/>
          </w:tcPr>
          <w:p w14:paraId="36DF2D12">
            <w:pPr>
              <w:pStyle w:val="12"/>
            </w:pPr>
            <w:r>
              <w:t>时效指标</w:t>
            </w:r>
          </w:p>
        </w:tc>
        <w:tc>
          <w:tcPr>
            <w:tcW w:w="2835" w:type="dxa"/>
            <w:vAlign w:val="center"/>
          </w:tcPr>
          <w:p w14:paraId="62279121">
            <w:pPr>
              <w:pStyle w:val="12"/>
            </w:pPr>
            <w:r>
              <w:t>资金拨付率</w:t>
            </w:r>
          </w:p>
        </w:tc>
        <w:tc>
          <w:tcPr>
            <w:tcW w:w="5386" w:type="dxa"/>
            <w:vAlign w:val="center"/>
          </w:tcPr>
          <w:p w14:paraId="66D12B01">
            <w:pPr>
              <w:pStyle w:val="12"/>
            </w:pPr>
            <w:r>
              <w:t>所有项目资金支付进度</w:t>
            </w:r>
          </w:p>
        </w:tc>
        <w:tc>
          <w:tcPr>
            <w:tcW w:w="2268" w:type="dxa"/>
            <w:vAlign w:val="center"/>
          </w:tcPr>
          <w:p w14:paraId="2E2734B4">
            <w:pPr>
              <w:pStyle w:val="12"/>
            </w:pPr>
            <w:r>
              <w:t>100%</w:t>
            </w:r>
          </w:p>
        </w:tc>
        <w:tc>
          <w:tcPr>
            <w:tcW w:w="1276" w:type="dxa"/>
            <w:vAlign w:val="center"/>
          </w:tcPr>
          <w:p w14:paraId="4AA7037C">
            <w:pPr>
              <w:pStyle w:val="12"/>
            </w:pPr>
            <w:r>
              <w:t>幼儿资助经费管理办法</w:t>
            </w:r>
          </w:p>
        </w:tc>
      </w:tr>
      <w:tr w14:paraId="3289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BB51"/>
        </w:tc>
        <w:tc>
          <w:tcPr>
            <w:tcW w:w="2268" w:type="dxa"/>
            <w:vAlign w:val="center"/>
          </w:tcPr>
          <w:p w14:paraId="45F8D1EC">
            <w:pPr>
              <w:pStyle w:val="12"/>
            </w:pPr>
            <w:r>
              <w:t>成本指标</w:t>
            </w:r>
          </w:p>
        </w:tc>
        <w:tc>
          <w:tcPr>
            <w:tcW w:w="2835" w:type="dxa"/>
            <w:vAlign w:val="center"/>
          </w:tcPr>
          <w:p w14:paraId="575FB66F">
            <w:pPr>
              <w:pStyle w:val="12"/>
            </w:pPr>
            <w:r>
              <w:t>幼儿园生均成本</w:t>
            </w:r>
          </w:p>
        </w:tc>
        <w:tc>
          <w:tcPr>
            <w:tcW w:w="5386" w:type="dxa"/>
            <w:vAlign w:val="center"/>
          </w:tcPr>
          <w:p w14:paraId="210B6E12">
            <w:pPr>
              <w:pStyle w:val="12"/>
            </w:pPr>
            <w:r>
              <w:t>按照幼儿园资助标准1000元/生/年</w:t>
            </w:r>
          </w:p>
        </w:tc>
        <w:tc>
          <w:tcPr>
            <w:tcW w:w="2268" w:type="dxa"/>
            <w:vAlign w:val="center"/>
          </w:tcPr>
          <w:p w14:paraId="202A483D">
            <w:pPr>
              <w:pStyle w:val="12"/>
            </w:pPr>
            <w:r>
              <w:t>1000元</w:t>
            </w:r>
          </w:p>
        </w:tc>
        <w:tc>
          <w:tcPr>
            <w:tcW w:w="1276" w:type="dxa"/>
            <w:vAlign w:val="center"/>
          </w:tcPr>
          <w:p w14:paraId="4B8195E9">
            <w:pPr>
              <w:pStyle w:val="12"/>
            </w:pPr>
            <w:r>
              <w:t>幼儿资助经费管理办法</w:t>
            </w:r>
          </w:p>
        </w:tc>
      </w:tr>
      <w:tr w14:paraId="2111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C5922">
            <w:pPr>
              <w:pStyle w:val="13"/>
            </w:pPr>
            <w:r>
              <w:t>效益指标</w:t>
            </w:r>
          </w:p>
        </w:tc>
        <w:tc>
          <w:tcPr>
            <w:tcW w:w="2268" w:type="dxa"/>
            <w:vAlign w:val="center"/>
          </w:tcPr>
          <w:p w14:paraId="55E556F3">
            <w:pPr>
              <w:pStyle w:val="12"/>
            </w:pPr>
            <w:r>
              <w:t>可持续影响指标</w:t>
            </w:r>
          </w:p>
        </w:tc>
        <w:tc>
          <w:tcPr>
            <w:tcW w:w="2835" w:type="dxa"/>
            <w:vAlign w:val="center"/>
          </w:tcPr>
          <w:p w14:paraId="0536F3DC">
            <w:pPr>
              <w:pStyle w:val="12"/>
            </w:pPr>
            <w:r>
              <w:t>幼儿园正常运转</w:t>
            </w:r>
          </w:p>
        </w:tc>
        <w:tc>
          <w:tcPr>
            <w:tcW w:w="5386" w:type="dxa"/>
            <w:vAlign w:val="center"/>
          </w:tcPr>
          <w:p w14:paraId="2DF669A6">
            <w:pPr>
              <w:pStyle w:val="12"/>
            </w:pPr>
            <w:r>
              <w:t>幼儿受教育年限</w:t>
            </w:r>
          </w:p>
        </w:tc>
        <w:tc>
          <w:tcPr>
            <w:tcW w:w="2268" w:type="dxa"/>
            <w:vAlign w:val="center"/>
          </w:tcPr>
          <w:p w14:paraId="327A2D04">
            <w:pPr>
              <w:pStyle w:val="12"/>
            </w:pPr>
            <w:r>
              <w:t>3年</w:t>
            </w:r>
          </w:p>
        </w:tc>
        <w:tc>
          <w:tcPr>
            <w:tcW w:w="1276" w:type="dxa"/>
            <w:vAlign w:val="center"/>
          </w:tcPr>
          <w:p w14:paraId="4CF28A58">
            <w:pPr>
              <w:pStyle w:val="12"/>
            </w:pPr>
            <w:r>
              <w:t>幼儿资助经费管理办法</w:t>
            </w:r>
          </w:p>
        </w:tc>
      </w:tr>
      <w:tr w14:paraId="023F0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E6A90">
            <w:pPr>
              <w:pStyle w:val="13"/>
            </w:pPr>
            <w:r>
              <w:t>满意度指标</w:t>
            </w:r>
          </w:p>
        </w:tc>
        <w:tc>
          <w:tcPr>
            <w:tcW w:w="2268" w:type="dxa"/>
            <w:vAlign w:val="center"/>
          </w:tcPr>
          <w:p w14:paraId="45D02676">
            <w:pPr>
              <w:pStyle w:val="12"/>
            </w:pPr>
            <w:r>
              <w:t>服务对象满意度指标</w:t>
            </w:r>
          </w:p>
        </w:tc>
        <w:tc>
          <w:tcPr>
            <w:tcW w:w="2835" w:type="dxa"/>
            <w:vAlign w:val="center"/>
          </w:tcPr>
          <w:p w14:paraId="7D64FBBF">
            <w:pPr>
              <w:pStyle w:val="12"/>
            </w:pPr>
            <w:r>
              <w:t>受益幼儿家长及调查满意度</w:t>
            </w:r>
          </w:p>
        </w:tc>
        <w:tc>
          <w:tcPr>
            <w:tcW w:w="5386" w:type="dxa"/>
            <w:vAlign w:val="center"/>
          </w:tcPr>
          <w:p w14:paraId="766B22CF">
            <w:pPr>
              <w:pStyle w:val="12"/>
            </w:pPr>
            <w:r>
              <w:t>学生、教师及家长对学校保教保育工作满意度情况</w:t>
            </w:r>
          </w:p>
        </w:tc>
        <w:tc>
          <w:tcPr>
            <w:tcW w:w="2268" w:type="dxa"/>
            <w:vAlign w:val="center"/>
          </w:tcPr>
          <w:p w14:paraId="3757A83B">
            <w:pPr>
              <w:pStyle w:val="12"/>
            </w:pPr>
            <w:r>
              <w:t>≥95%</w:t>
            </w:r>
          </w:p>
        </w:tc>
        <w:tc>
          <w:tcPr>
            <w:tcW w:w="1276" w:type="dxa"/>
            <w:vAlign w:val="center"/>
          </w:tcPr>
          <w:p w14:paraId="766277DE">
            <w:pPr>
              <w:pStyle w:val="12"/>
            </w:pPr>
            <w:r>
              <w:t>幼儿资助经费管理办法</w:t>
            </w:r>
          </w:p>
        </w:tc>
      </w:tr>
    </w:tbl>
    <w:p w14:paraId="123A5E01">
      <w:pPr>
        <w:sectPr>
          <w:pgSz w:w="16840" w:h="11900" w:orient="landscape"/>
          <w:pgMar w:top="1361" w:right="1020" w:bottom="1134" w:left="1020" w:header="720" w:footer="720" w:gutter="0"/>
          <w:cols w:space="720" w:num="1"/>
        </w:sectPr>
      </w:pPr>
    </w:p>
    <w:p w14:paraId="544E0381">
      <w:pPr>
        <w:spacing w:before="0" w:after="0"/>
        <w:ind w:firstLine="560"/>
        <w:jc w:val="left"/>
        <w:outlineLvl w:val="9"/>
      </w:pPr>
      <w:r>
        <w:rPr>
          <w:rFonts w:ascii="方正仿宋_GBK" w:hAnsi="方正仿宋_GBK" w:eastAsia="方正仿宋_GBK" w:cs="方正仿宋_GBK"/>
          <w:b/>
          <w:color w:val="000000"/>
          <w:sz w:val="28"/>
        </w:rPr>
        <w:t>18、冀财教[2025]149号/省级/2026年学前发展资金/魏庄校区幼儿园免保育教育费补助绩效目标表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54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FBE34">
            <w:pPr>
              <w:pStyle w:val="11"/>
            </w:pPr>
            <w:r>
              <w:t>单位：万元</w:t>
            </w:r>
          </w:p>
        </w:tc>
      </w:tr>
      <w:tr w14:paraId="59623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84719">
            <w:pPr>
              <w:pStyle w:val="10"/>
            </w:pPr>
            <w:r>
              <w:t>项目编码</w:t>
            </w:r>
          </w:p>
        </w:tc>
        <w:tc>
          <w:tcPr>
            <w:tcW w:w="5103" w:type="dxa"/>
            <w:gridSpan w:val="2"/>
            <w:vAlign w:val="center"/>
          </w:tcPr>
          <w:p w14:paraId="5D1A5EB4">
            <w:pPr>
              <w:pStyle w:val="12"/>
            </w:pPr>
            <w:r>
              <w:t>13052526P00876910150M</w:t>
            </w:r>
          </w:p>
        </w:tc>
        <w:tc>
          <w:tcPr>
            <w:tcW w:w="2835" w:type="dxa"/>
            <w:vAlign w:val="center"/>
          </w:tcPr>
          <w:p w14:paraId="71AB819E">
            <w:pPr>
              <w:pStyle w:val="10"/>
            </w:pPr>
            <w:r>
              <w:t>项目名称</w:t>
            </w:r>
          </w:p>
        </w:tc>
        <w:tc>
          <w:tcPr>
            <w:tcW w:w="6095" w:type="dxa"/>
            <w:gridSpan w:val="3"/>
            <w:vAlign w:val="center"/>
          </w:tcPr>
          <w:p w14:paraId="58F6FEC1">
            <w:pPr>
              <w:pStyle w:val="12"/>
            </w:pPr>
            <w:r>
              <w:t>冀财教[2025]149号/省级/2026年学前发展资金/魏庄校区幼儿园免保育教育费补助</w:t>
            </w:r>
          </w:p>
        </w:tc>
      </w:tr>
      <w:tr w14:paraId="4BC91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72A8C">
            <w:pPr>
              <w:pStyle w:val="10"/>
            </w:pPr>
            <w:r>
              <w:t>预算规模及资金用途</w:t>
            </w:r>
          </w:p>
        </w:tc>
        <w:tc>
          <w:tcPr>
            <w:tcW w:w="2268" w:type="dxa"/>
            <w:vAlign w:val="center"/>
          </w:tcPr>
          <w:p w14:paraId="7D0E74D1">
            <w:pPr>
              <w:pStyle w:val="10"/>
            </w:pPr>
            <w:r>
              <w:t>预算数</w:t>
            </w:r>
          </w:p>
        </w:tc>
        <w:tc>
          <w:tcPr>
            <w:tcW w:w="2835" w:type="dxa"/>
            <w:vAlign w:val="center"/>
          </w:tcPr>
          <w:p w14:paraId="6A989A28">
            <w:pPr>
              <w:pStyle w:val="12"/>
            </w:pPr>
            <w:r>
              <w:t>6.45</w:t>
            </w:r>
          </w:p>
        </w:tc>
        <w:tc>
          <w:tcPr>
            <w:tcW w:w="2835" w:type="dxa"/>
            <w:vAlign w:val="center"/>
          </w:tcPr>
          <w:p w14:paraId="40C971EB">
            <w:pPr>
              <w:pStyle w:val="10"/>
            </w:pPr>
            <w:r>
              <w:t>其中：财政    资金</w:t>
            </w:r>
          </w:p>
        </w:tc>
        <w:tc>
          <w:tcPr>
            <w:tcW w:w="2551" w:type="dxa"/>
            <w:vAlign w:val="center"/>
          </w:tcPr>
          <w:p w14:paraId="5ABFF46B">
            <w:pPr>
              <w:pStyle w:val="12"/>
            </w:pPr>
            <w:r>
              <w:t>6.45</w:t>
            </w:r>
          </w:p>
        </w:tc>
        <w:tc>
          <w:tcPr>
            <w:tcW w:w="2268" w:type="dxa"/>
            <w:vAlign w:val="center"/>
          </w:tcPr>
          <w:p w14:paraId="437B9B58">
            <w:pPr>
              <w:pStyle w:val="10"/>
            </w:pPr>
            <w:r>
              <w:t>其他资金</w:t>
            </w:r>
          </w:p>
        </w:tc>
        <w:tc>
          <w:tcPr>
            <w:tcW w:w="1276" w:type="dxa"/>
            <w:vAlign w:val="center"/>
          </w:tcPr>
          <w:p w14:paraId="58CD61D3">
            <w:pPr>
              <w:pStyle w:val="12"/>
            </w:pPr>
            <w:r>
              <w:t xml:space="preserve"> </w:t>
            </w:r>
          </w:p>
        </w:tc>
      </w:tr>
      <w:tr w14:paraId="5648C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6F367"/>
        </w:tc>
        <w:tc>
          <w:tcPr>
            <w:tcW w:w="14033" w:type="dxa"/>
            <w:gridSpan w:val="6"/>
            <w:vAlign w:val="center"/>
          </w:tcPr>
          <w:p w14:paraId="53465F8C">
            <w:pPr>
              <w:pStyle w:val="12"/>
            </w:pPr>
            <w:r>
              <w:t>保障幼儿园正常运转，完成教育教学活动和其他日常工作任务等方面的费用支出。</w:t>
            </w:r>
          </w:p>
        </w:tc>
      </w:tr>
      <w:tr w14:paraId="05A74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FFB42">
            <w:pPr>
              <w:pStyle w:val="10"/>
            </w:pPr>
            <w:r>
              <w:t>资金支出计划（%）</w:t>
            </w:r>
          </w:p>
        </w:tc>
        <w:tc>
          <w:tcPr>
            <w:tcW w:w="5103" w:type="dxa"/>
            <w:gridSpan w:val="2"/>
            <w:vAlign w:val="center"/>
          </w:tcPr>
          <w:p w14:paraId="71762706">
            <w:pPr>
              <w:pStyle w:val="10"/>
            </w:pPr>
            <w:r>
              <w:t>3月底</w:t>
            </w:r>
          </w:p>
        </w:tc>
        <w:tc>
          <w:tcPr>
            <w:tcW w:w="2835" w:type="dxa"/>
            <w:vAlign w:val="center"/>
          </w:tcPr>
          <w:p w14:paraId="7F9B360B">
            <w:pPr>
              <w:pStyle w:val="10"/>
            </w:pPr>
            <w:r>
              <w:t>6月底</w:t>
            </w:r>
          </w:p>
        </w:tc>
        <w:tc>
          <w:tcPr>
            <w:tcW w:w="2551" w:type="dxa"/>
            <w:vAlign w:val="center"/>
          </w:tcPr>
          <w:p w14:paraId="1FFAFCBC">
            <w:pPr>
              <w:pStyle w:val="10"/>
            </w:pPr>
            <w:r>
              <w:t>10月底</w:t>
            </w:r>
          </w:p>
        </w:tc>
        <w:tc>
          <w:tcPr>
            <w:tcW w:w="3544" w:type="dxa"/>
            <w:gridSpan w:val="2"/>
            <w:vAlign w:val="center"/>
          </w:tcPr>
          <w:p w14:paraId="3DC7856D">
            <w:pPr>
              <w:pStyle w:val="10"/>
            </w:pPr>
            <w:r>
              <w:t>12月底</w:t>
            </w:r>
          </w:p>
        </w:tc>
      </w:tr>
      <w:tr w14:paraId="65A86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96C77"/>
        </w:tc>
        <w:tc>
          <w:tcPr>
            <w:tcW w:w="5103" w:type="dxa"/>
            <w:gridSpan w:val="2"/>
            <w:vAlign w:val="center"/>
          </w:tcPr>
          <w:p w14:paraId="5E1719F0">
            <w:pPr>
              <w:pStyle w:val="13"/>
            </w:pPr>
            <w:r>
              <w:t>25%</w:t>
            </w:r>
          </w:p>
        </w:tc>
        <w:tc>
          <w:tcPr>
            <w:tcW w:w="2835" w:type="dxa"/>
            <w:vAlign w:val="center"/>
          </w:tcPr>
          <w:p w14:paraId="60B72D9C">
            <w:pPr>
              <w:pStyle w:val="13"/>
            </w:pPr>
            <w:r>
              <w:t>50%</w:t>
            </w:r>
          </w:p>
        </w:tc>
        <w:tc>
          <w:tcPr>
            <w:tcW w:w="2551" w:type="dxa"/>
            <w:vAlign w:val="center"/>
          </w:tcPr>
          <w:p w14:paraId="4F527F60">
            <w:pPr>
              <w:pStyle w:val="13"/>
            </w:pPr>
            <w:r>
              <w:t>75%</w:t>
            </w:r>
          </w:p>
        </w:tc>
        <w:tc>
          <w:tcPr>
            <w:tcW w:w="3544" w:type="dxa"/>
            <w:gridSpan w:val="2"/>
            <w:vAlign w:val="center"/>
          </w:tcPr>
          <w:p w14:paraId="679F87E2">
            <w:pPr>
              <w:pStyle w:val="13"/>
            </w:pPr>
            <w:r>
              <w:t>100%</w:t>
            </w:r>
          </w:p>
        </w:tc>
      </w:tr>
      <w:tr w14:paraId="1CEB5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D36C2">
            <w:pPr>
              <w:pStyle w:val="10"/>
            </w:pPr>
            <w:r>
              <w:t>绩效目标</w:t>
            </w:r>
          </w:p>
        </w:tc>
        <w:tc>
          <w:tcPr>
            <w:tcW w:w="14033" w:type="dxa"/>
            <w:gridSpan w:val="6"/>
            <w:vAlign w:val="center"/>
          </w:tcPr>
          <w:p w14:paraId="1934F10B">
            <w:pPr>
              <w:pStyle w:val="12"/>
            </w:pPr>
            <w:r>
              <w:t>1.保障幼儿园正常运转，完成教育教学活动和其他日常工作任务等方面的费用支出。</w:t>
            </w:r>
          </w:p>
        </w:tc>
      </w:tr>
    </w:tbl>
    <w:p w14:paraId="4E68A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4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2C421">
            <w:pPr>
              <w:pStyle w:val="10"/>
            </w:pPr>
            <w:r>
              <w:t>一级指标</w:t>
            </w:r>
          </w:p>
        </w:tc>
        <w:tc>
          <w:tcPr>
            <w:tcW w:w="2268" w:type="dxa"/>
            <w:vAlign w:val="center"/>
          </w:tcPr>
          <w:p w14:paraId="6A84FBB3">
            <w:pPr>
              <w:pStyle w:val="10"/>
            </w:pPr>
            <w:r>
              <w:t>二级指标</w:t>
            </w:r>
          </w:p>
        </w:tc>
        <w:tc>
          <w:tcPr>
            <w:tcW w:w="2835" w:type="dxa"/>
            <w:vAlign w:val="center"/>
          </w:tcPr>
          <w:p w14:paraId="3BB0B16D">
            <w:pPr>
              <w:pStyle w:val="10"/>
            </w:pPr>
            <w:r>
              <w:t>三级指标</w:t>
            </w:r>
          </w:p>
        </w:tc>
        <w:tc>
          <w:tcPr>
            <w:tcW w:w="5386" w:type="dxa"/>
            <w:vAlign w:val="center"/>
          </w:tcPr>
          <w:p w14:paraId="309AAF5E">
            <w:pPr>
              <w:pStyle w:val="10"/>
            </w:pPr>
            <w:r>
              <w:t>绩效指标描述</w:t>
            </w:r>
          </w:p>
        </w:tc>
        <w:tc>
          <w:tcPr>
            <w:tcW w:w="2268" w:type="dxa"/>
            <w:vAlign w:val="center"/>
          </w:tcPr>
          <w:p w14:paraId="3FA617E0">
            <w:pPr>
              <w:pStyle w:val="10"/>
            </w:pPr>
            <w:r>
              <w:t>指标值</w:t>
            </w:r>
          </w:p>
        </w:tc>
        <w:tc>
          <w:tcPr>
            <w:tcW w:w="1276" w:type="dxa"/>
            <w:vAlign w:val="center"/>
          </w:tcPr>
          <w:p w14:paraId="0F9376D0">
            <w:pPr>
              <w:pStyle w:val="10"/>
            </w:pPr>
            <w:r>
              <w:t>指标值确定依据</w:t>
            </w:r>
          </w:p>
        </w:tc>
      </w:tr>
      <w:tr w14:paraId="4E52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F2092">
            <w:pPr>
              <w:pStyle w:val="13"/>
            </w:pPr>
            <w:r>
              <w:t>产出指标</w:t>
            </w:r>
          </w:p>
        </w:tc>
        <w:tc>
          <w:tcPr>
            <w:tcW w:w="2268" w:type="dxa"/>
            <w:vAlign w:val="center"/>
          </w:tcPr>
          <w:p w14:paraId="2C5E65A0">
            <w:pPr>
              <w:pStyle w:val="12"/>
            </w:pPr>
            <w:r>
              <w:t>数量指标</w:t>
            </w:r>
          </w:p>
        </w:tc>
        <w:tc>
          <w:tcPr>
            <w:tcW w:w="2835" w:type="dxa"/>
            <w:vAlign w:val="center"/>
          </w:tcPr>
          <w:p w14:paraId="63CE857C">
            <w:pPr>
              <w:pStyle w:val="12"/>
            </w:pPr>
            <w:r>
              <w:t>适龄在园生</w:t>
            </w:r>
          </w:p>
        </w:tc>
        <w:tc>
          <w:tcPr>
            <w:tcW w:w="5386" w:type="dxa"/>
            <w:vAlign w:val="center"/>
          </w:tcPr>
          <w:p w14:paraId="3132235E">
            <w:pPr>
              <w:pStyle w:val="12"/>
            </w:pPr>
            <w:r>
              <w:t>适龄在园大班学生人数</w:t>
            </w:r>
          </w:p>
        </w:tc>
        <w:tc>
          <w:tcPr>
            <w:tcW w:w="2268" w:type="dxa"/>
            <w:vAlign w:val="center"/>
          </w:tcPr>
          <w:p w14:paraId="6A39E2C3">
            <w:pPr>
              <w:pStyle w:val="12"/>
            </w:pPr>
            <w:r>
              <w:t>157人</w:t>
            </w:r>
          </w:p>
        </w:tc>
        <w:tc>
          <w:tcPr>
            <w:tcW w:w="1276" w:type="dxa"/>
            <w:vAlign w:val="center"/>
          </w:tcPr>
          <w:p w14:paraId="45AEC8DE">
            <w:pPr>
              <w:pStyle w:val="12"/>
            </w:pPr>
            <w:r>
              <w:t>免保育教育费生均财政补助标准</w:t>
            </w:r>
          </w:p>
        </w:tc>
      </w:tr>
      <w:tr w14:paraId="1920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BB070"/>
        </w:tc>
        <w:tc>
          <w:tcPr>
            <w:tcW w:w="2268" w:type="dxa"/>
            <w:vAlign w:val="center"/>
          </w:tcPr>
          <w:p w14:paraId="629E0BC2">
            <w:pPr>
              <w:pStyle w:val="12"/>
            </w:pPr>
            <w:r>
              <w:t>质量指标</w:t>
            </w:r>
          </w:p>
        </w:tc>
        <w:tc>
          <w:tcPr>
            <w:tcW w:w="2835" w:type="dxa"/>
            <w:vAlign w:val="center"/>
          </w:tcPr>
          <w:p w14:paraId="446F3143">
            <w:pPr>
              <w:pStyle w:val="12"/>
            </w:pPr>
            <w:r>
              <w:t>预算控制率</w:t>
            </w:r>
          </w:p>
        </w:tc>
        <w:tc>
          <w:tcPr>
            <w:tcW w:w="5386" w:type="dxa"/>
            <w:vAlign w:val="center"/>
          </w:tcPr>
          <w:p w14:paraId="3AF3B100">
            <w:pPr>
              <w:pStyle w:val="12"/>
            </w:pPr>
            <w:r>
              <w:t>预算执行</w:t>
            </w:r>
          </w:p>
        </w:tc>
        <w:tc>
          <w:tcPr>
            <w:tcW w:w="2268" w:type="dxa"/>
            <w:vAlign w:val="center"/>
          </w:tcPr>
          <w:p w14:paraId="5E10DC32">
            <w:pPr>
              <w:pStyle w:val="12"/>
            </w:pPr>
            <w:r>
              <w:t>≥95%</w:t>
            </w:r>
          </w:p>
        </w:tc>
        <w:tc>
          <w:tcPr>
            <w:tcW w:w="1276" w:type="dxa"/>
            <w:vAlign w:val="center"/>
          </w:tcPr>
          <w:p w14:paraId="419A0FB5">
            <w:pPr>
              <w:pStyle w:val="12"/>
            </w:pPr>
            <w:r>
              <w:t>免保育教育费生均财政补助标准</w:t>
            </w:r>
          </w:p>
        </w:tc>
      </w:tr>
      <w:tr w14:paraId="6585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601F3"/>
        </w:tc>
        <w:tc>
          <w:tcPr>
            <w:tcW w:w="2268" w:type="dxa"/>
            <w:vAlign w:val="center"/>
          </w:tcPr>
          <w:p w14:paraId="2FB24423">
            <w:pPr>
              <w:pStyle w:val="12"/>
            </w:pPr>
            <w:r>
              <w:t>时效指标</w:t>
            </w:r>
          </w:p>
        </w:tc>
        <w:tc>
          <w:tcPr>
            <w:tcW w:w="2835" w:type="dxa"/>
            <w:vAlign w:val="center"/>
          </w:tcPr>
          <w:p w14:paraId="4460D638">
            <w:pPr>
              <w:pStyle w:val="12"/>
            </w:pPr>
            <w:r>
              <w:t>资金支付率</w:t>
            </w:r>
          </w:p>
        </w:tc>
        <w:tc>
          <w:tcPr>
            <w:tcW w:w="5386" w:type="dxa"/>
            <w:vAlign w:val="center"/>
          </w:tcPr>
          <w:p w14:paraId="0FD759A3">
            <w:pPr>
              <w:pStyle w:val="12"/>
            </w:pPr>
            <w:r>
              <w:t>按照序时进度完成资金支付</w:t>
            </w:r>
          </w:p>
        </w:tc>
        <w:tc>
          <w:tcPr>
            <w:tcW w:w="2268" w:type="dxa"/>
            <w:vAlign w:val="center"/>
          </w:tcPr>
          <w:p w14:paraId="57B5B0AC">
            <w:pPr>
              <w:pStyle w:val="12"/>
            </w:pPr>
            <w:r>
              <w:t>100%</w:t>
            </w:r>
          </w:p>
        </w:tc>
        <w:tc>
          <w:tcPr>
            <w:tcW w:w="1276" w:type="dxa"/>
            <w:vAlign w:val="center"/>
          </w:tcPr>
          <w:p w14:paraId="71A356B7">
            <w:pPr>
              <w:pStyle w:val="12"/>
            </w:pPr>
            <w:r>
              <w:t>免保育教育费生均财政补助标准</w:t>
            </w:r>
          </w:p>
        </w:tc>
      </w:tr>
      <w:tr w14:paraId="1F23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836E6"/>
        </w:tc>
        <w:tc>
          <w:tcPr>
            <w:tcW w:w="2268" w:type="dxa"/>
            <w:vAlign w:val="center"/>
          </w:tcPr>
          <w:p w14:paraId="6F4E3865">
            <w:pPr>
              <w:pStyle w:val="12"/>
            </w:pPr>
            <w:r>
              <w:t>成本指标</w:t>
            </w:r>
          </w:p>
        </w:tc>
        <w:tc>
          <w:tcPr>
            <w:tcW w:w="2835" w:type="dxa"/>
            <w:vAlign w:val="center"/>
          </w:tcPr>
          <w:p w14:paraId="5667B273">
            <w:pPr>
              <w:pStyle w:val="12"/>
            </w:pPr>
            <w:r>
              <w:t xml:space="preserve"> 免保育教育费补助</w:t>
            </w:r>
          </w:p>
        </w:tc>
        <w:tc>
          <w:tcPr>
            <w:tcW w:w="5386" w:type="dxa"/>
            <w:vAlign w:val="center"/>
          </w:tcPr>
          <w:p w14:paraId="47DB1982">
            <w:pPr>
              <w:pStyle w:val="12"/>
            </w:pPr>
            <w:r>
              <w:t>免保育教育费补助</w:t>
            </w:r>
          </w:p>
        </w:tc>
        <w:tc>
          <w:tcPr>
            <w:tcW w:w="2268" w:type="dxa"/>
            <w:vAlign w:val="center"/>
          </w:tcPr>
          <w:p w14:paraId="4D982D70">
            <w:pPr>
              <w:pStyle w:val="12"/>
            </w:pPr>
            <w:r>
              <w:t>64481元</w:t>
            </w:r>
          </w:p>
        </w:tc>
        <w:tc>
          <w:tcPr>
            <w:tcW w:w="1276" w:type="dxa"/>
            <w:vAlign w:val="center"/>
          </w:tcPr>
          <w:p w14:paraId="5B9F3B2E">
            <w:pPr>
              <w:pStyle w:val="12"/>
            </w:pPr>
            <w:r>
              <w:t>免保育教育费生均财政补助标准</w:t>
            </w:r>
          </w:p>
        </w:tc>
      </w:tr>
      <w:tr w14:paraId="65C1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6DCDF">
            <w:pPr>
              <w:pStyle w:val="13"/>
            </w:pPr>
            <w:r>
              <w:t>效益指标</w:t>
            </w:r>
          </w:p>
        </w:tc>
        <w:tc>
          <w:tcPr>
            <w:tcW w:w="2268" w:type="dxa"/>
            <w:vAlign w:val="center"/>
          </w:tcPr>
          <w:p w14:paraId="23C766A0">
            <w:pPr>
              <w:pStyle w:val="12"/>
            </w:pPr>
            <w:r>
              <w:t>可持续影响指标</w:t>
            </w:r>
          </w:p>
        </w:tc>
        <w:tc>
          <w:tcPr>
            <w:tcW w:w="2835" w:type="dxa"/>
            <w:vAlign w:val="center"/>
          </w:tcPr>
          <w:p w14:paraId="33549759">
            <w:pPr>
              <w:pStyle w:val="12"/>
            </w:pPr>
            <w:r>
              <w:t>学校运转得到提升</w:t>
            </w:r>
          </w:p>
        </w:tc>
        <w:tc>
          <w:tcPr>
            <w:tcW w:w="5386" w:type="dxa"/>
            <w:vAlign w:val="center"/>
          </w:tcPr>
          <w:p w14:paraId="5C8D3565">
            <w:pPr>
              <w:pStyle w:val="12"/>
            </w:pPr>
            <w:r>
              <w:t>幼儿受教育年限</w:t>
            </w:r>
          </w:p>
        </w:tc>
        <w:tc>
          <w:tcPr>
            <w:tcW w:w="2268" w:type="dxa"/>
            <w:vAlign w:val="center"/>
          </w:tcPr>
          <w:p w14:paraId="16BF209C">
            <w:pPr>
              <w:pStyle w:val="12"/>
            </w:pPr>
            <w:r>
              <w:t>3年</w:t>
            </w:r>
          </w:p>
        </w:tc>
        <w:tc>
          <w:tcPr>
            <w:tcW w:w="1276" w:type="dxa"/>
            <w:vAlign w:val="center"/>
          </w:tcPr>
          <w:p w14:paraId="2E9F3DB4">
            <w:pPr>
              <w:pStyle w:val="12"/>
            </w:pPr>
            <w:r>
              <w:t>免保育教育费生均财政补助标准</w:t>
            </w:r>
          </w:p>
        </w:tc>
      </w:tr>
      <w:tr w14:paraId="3228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BDDE2">
            <w:pPr>
              <w:pStyle w:val="13"/>
            </w:pPr>
            <w:r>
              <w:t>满意度指标</w:t>
            </w:r>
          </w:p>
        </w:tc>
        <w:tc>
          <w:tcPr>
            <w:tcW w:w="2268" w:type="dxa"/>
            <w:vAlign w:val="center"/>
          </w:tcPr>
          <w:p w14:paraId="435A2AB4">
            <w:pPr>
              <w:pStyle w:val="12"/>
            </w:pPr>
            <w:r>
              <w:t>服务对象满意度指标</w:t>
            </w:r>
          </w:p>
        </w:tc>
        <w:tc>
          <w:tcPr>
            <w:tcW w:w="2835" w:type="dxa"/>
            <w:vAlign w:val="center"/>
          </w:tcPr>
          <w:p w14:paraId="379D4561">
            <w:pPr>
              <w:pStyle w:val="12"/>
            </w:pPr>
            <w:r>
              <w:t>受益学生家长及调查满意度</w:t>
            </w:r>
          </w:p>
        </w:tc>
        <w:tc>
          <w:tcPr>
            <w:tcW w:w="5386" w:type="dxa"/>
            <w:vAlign w:val="center"/>
          </w:tcPr>
          <w:p w14:paraId="1AF85B93">
            <w:pPr>
              <w:pStyle w:val="12"/>
            </w:pPr>
            <w:r>
              <w:t>学生、教师及家长对学校保教保育工作满意度情况</w:t>
            </w:r>
          </w:p>
        </w:tc>
        <w:tc>
          <w:tcPr>
            <w:tcW w:w="2268" w:type="dxa"/>
            <w:vAlign w:val="center"/>
          </w:tcPr>
          <w:p w14:paraId="58B26694">
            <w:pPr>
              <w:pStyle w:val="12"/>
            </w:pPr>
            <w:r>
              <w:t>≥95%</w:t>
            </w:r>
          </w:p>
        </w:tc>
        <w:tc>
          <w:tcPr>
            <w:tcW w:w="1276" w:type="dxa"/>
            <w:vAlign w:val="center"/>
          </w:tcPr>
          <w:p w14:paraId="5B507575">
            <w:pPr>
              <w:pStyle w:val="12"/>
            </w:pPr>
            <w:r>
              <w:t>免保育教育费生均财政补助标准</w:t>
            </w:r>
          </w:p>
        </w:tc>
      </w:tr>
    </w:tbl>
    <w:p w14:paraId="4C17AC14">
      <w:pPr>
        <w:sectPr>
          <w:pgSz w:w="16840" w:h="11900" w:orient="landscape"/>
          <w:pgMar w:top="1361" w:right="1020" w:bottom="1134" w:left="1020" w:header="720" w:footer="720" w:gutter="0"/>
          <w:cols w:space="720" w:num="1"/>
        </w:sectPr>
      </w:pPr>
    </w:p>
    <w:p w14:paraId="291B7245">
      <w:pPr>
        <w:spacing w:before="0" w:after="0"/>
        <w:ind w:firstLine="560"/>
        <w:jc w:val="left"/>
        <w:outlineLvl w:val="9"/>
      </w:pPr>
      <w:r>
        <w:rPr>
          <w:rFonts w:ascii="方正仿宋_GBK" w:hAnsi="方正仿宋_GBK" w:eastAsia="方正仿宋_GBK" w:cs="方正仿宋_GBK"/>
          <w:b/>
          <w:color w:val="000000"/>
          <w:sz w:val="28"/>
        </w:rPr>
        <w:t>19、县级配套/2026年/魏庄校区幼儿园免保育教育费补助绩效目标表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2C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CD57E">
            <w:pPr>
              <w:pStyle w:val="11"/>
            </w:pPr>
            <w:r>
              <w:t>单位：万元</w:t>
            </w:r>
          </w:p>
        </w:tc>
      </w:tr>
      <w:tr w14:paraId="71D7A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7D99A">
            <w:pPr>
              <w:pStyle w:val="10"/>
            </w:pPr>
            <w:r>
              <w:t>项目编码</w:t>
            </w:r>
          </w:p>
        </w:tc>
        <w:tc>
          <w:tcPr>
            <w:tcW w:w="5103" w:type="dxa"/>
            <w:gridSpan w:val="2"/>
            <w:vAlign w:val="center"/>
          </w:tcPr>
          <w:p w14:paraId="6F0FE5F1">
            <w:pPr>
              <w:pStyle w:val="12"/>
            </w:pPr>
            <w:r>
              <w:t>13052526P00876910165K</w:t>
            </w:r>
          </w:p>
        </w:tc>
        <w:tc>
          <w:tcPr>
            <w:tcW w:w="2835" w:type="dxa"/>
            <w:vAlign w:val="center"/>
          </w:tcPr>
          <w:p w14:paraId="082C7C98">
            <w:pPr>
              <w:pStyle w:val="10"/>
            </w:pPr>
            <w:r>
              <w:t>项目名称</w:t>
            </w:r>
          </w:p>
        </w:tc>
        <w:tc>
          <w:tcPr>
            <w:tcW w:w="6095" w:type="dxa"/>
            <w:gridSpan w:val="3"/>
            <w:vAlign w:val="center"/>
          </w:tcPr>
          <w:p w14:paraId="25D4B645">
            <w:pPr>
              <w:pStyle w:val="12"/>
            </w:pPr>
            <w:r>
              <w:t>县级配套/2026年/魏庄校区幼儿园免保育教育费补助</w:t>
            </w:r>
          </w:p>
        </w:tc>
      </w:tr>
      <w:tr w14:paraId="0C512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D45F9">
            <w:pPr>
              <w:pStyle w:val="10"/>
            </w:pPr>
            <w:r>
              <w:t>预算规模及资金用途</w:t>
            </w:r>
          </w:p>
        </w:tc>
        <w:tc>
          <w:tcPr>
            <w:tcW w:w="2268" w:type="dxa"/>
            <w:vAlign w:val="center"/>
          </w:tcPr>
          <w:p w14:paraId="2E0B0E26">
            <w:pPr>
              <w:pStyle w:val="10"/>
            </w:pPr>
            <w:r>
              <w:t>预算数</w:t>
            </w:r>
          </w:p>
        </w:tc>
        <w:tc>
          <w:tcPr>
            <w:tcW w:w="2835" w:type="dxa"/>
            <w:vAlign w:val="center"/>
          </w:tcPr>
          <w:p w14:paraId="145631E6">
            <w:pPr>
              <w:pStyle w:val="12"/>
            </w:pPr>
            <w:r>
              <w:t>2.34</w:t>
            </w:r>
          </w:p>
        </w:tc>
        <w:tc>
          <w:tcPr>
            <w:tcW w:w="2835" w:type="dxa"/>
            <w:vAlign w:val="center"/>
          </w:tcPr>
          <w:p w14:paraId="15C5072A">
            <w:pPr>
              <w:pStyle w:val="10"/>
            </w:pPr>
            <w:r>
              <w:t>其中：财政    资金</w:t>
            </w:r>
          </w:p>
        </w:tc>
        <w:tc>
          <w:tcPr>
            <w:tcW w:w="2551" w:type="dxa"/>
            <w:vAlign w:val="center"/>
          </w:tcPr>
          <w:p w14:paraId="4A3B077E">
            <w:pPr>
              <w:pStyle w:val="12"/>
            </w:pPr>
            <w:r>
              <w:t>2.34</w:t>
            </w:r>
          </w:p>
        </w:tc>
        <w:tc>
          <w:tcPr>
            <w:tcW w:w="2268" w:type="dxa"/>
            <w:vAlign w:val="center"/>
          </w:tcPr>
          <w:p w14:paraId="745310AD">
            <w:pPr>
              <w:pStyle w:val="10"/>
            </w:pPr>
            <w:r>
              <w:t>其他资金</w:t>
            </w:r>
          </w:p>
        </w:tc>
        <w:tc>
          <w:tcPr>
            <w:tcW w:w="1276" w:type="dxa"/>
            <w:vAlign w:val="center"/>
          </w:tcPr>
          <w:p w14:paraId="2BAB3831">
            <w:pPr>
              <w:pStyle w:val="12"/>
            </w:pPr>
            <w:r>
              <w:t xml:space="preserve"> </w:t>
            </w:r>
          </w:p>
        </w:tc>
      </w:tr>
      <w:tr w14:paraId="638A3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725A5"/>
        </w:tc>
        <w:tc>
          <w:tcPr>
            <w:tcW w:w="14033" w:type="dxa"/>
            <w:gridSpan w:val="6"/>
            <w:vAlign w:val="center"/>
          </w:tcPr>
          <w:p w14:paraId="52EDF4E3">
            <w:pPr>
              <w:pStyle w:val="12"/>
            </w:pPr>
            <w:r>
              <w:t>保障幼儿园正常运转，完成教育教学活动和其他日常工作任务等方面的费用支出。</w:t>
            </w:r>
          </w:p>
        </w:tc>
      </w:tr>
      <w:tr w14:paraId="1F5A3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61316">
            <w:pPr>
              <w:pStyle w:val="10"/>
            </w:pPr>
            <w:r>
              <w:t>资金支出计划（%）</w:t>
            </w:r>
          </w:p>
        </w:tc>
        <w:tc>
          <w:tcPr>
            <w:tcW w:w="5103" w:type="dxa"/>
            <w:gridSpan w:val="2"/>
            <w:vAlign w:val="center"/>
          </w:tcPr>
          <w:p w14:paraId="3D526E5E">
            <w:pPr>
              <w:pStyle w:val="10"/>
            </w:pPr>
            <w:r>
              <w:t>3月底</w:t>
            </w:r>
          </w:p>
        </w:tc>
        <w:tc>
          <w:tcPr>
            <w:tcW w:w="2835" w:type="dxa"/>
            <w:vAlign w:val="center"/>
          </w:tcPr>
          <w:p w14:paraId="10D2D225">
            <w:pPr>
              <w:pStyle w:val="10"/>
            </w:pPr>
            <w:r>
              <w:t>6月底</w:t>
            </w:r>
          </w:p>
        </w:tc>
        <w:tc>
          <w:tcPr>
            <w:tcW w:w="2551" w:type="dxa"/>
            <w:vAlign w:val="center"/>
          </w:tcPr>
          <w:p w14:paraId="40B495CA">
            <w:pPr>
              <w:pStyle w:val="10"/>
            </w:pPr>
            <w:r>
              <w:t>10月底</w:t>
            </w:r>
          </w:p>
        </w:tc>
        <w:tc>
          <w:tcPr>
            <w:tcW w:w="3544" w:type="dxa"/>
            <w:gridSpan w:val="2"/>
            <w:vAlign w:val="center"/>
          </w:tcPr>
          <w:p w14:paraId="6B97869C">
            <w:pPr>
              <w:pStyle w:val="10"/>
            </w:pPr>
            <w:r>
              <w:t>12月底</w:t>
            </w:r>
          </w:p>
        </w:tc>
      </w:tr>
      <w:tr w14:paraId="77E72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DCEA7"/>
        </w:tc>
        <w:tc>
          <w:tcPr>
            <w:tcW w:w="5103" w:type="dxa"/>
            <w:gridSpan w:val="2"/>
            <w:vAlign w:val="center"/>
          </w:tcPr>
          <w:p w14:paraId="78317696">
            <w:pPr>
              <w:pStyle w:val="13"/>
            </w:pPr>
            <w:r>
              <w:t>25%</w:t>
            </w:r>
          </w:p>
        </w:tc>
        <w:tc>
          <w:tcPr>
            <w:tcW w:w="2835" w:type="dxa"/>
            <w:vAlign w:val="center"/>
          </w:tcPr>
          <w:p w14:paraId="6F9A842A">
            <w:pPr>
              <w:pStyle w:val="13"/>
            </w:pPr>
            <w:r>
              <w:t>50%</w:t>
            </w:r>
          </w:p>
        </w:tc>
        <w:tc>
          <w:tcPr>
            <w:tcW w:w="2551" w:type="dxa"/>
            <w:vAlign w:val="center"/>
          </w:tcPr>
          <w:p w14:paraId="1A3F249E">
            <w:pPr>
              <w:pStyle w:val="13"/>
            </w:pPr>
            <w:r>
              <w:t>75%</w:t>
            </w:r>
          </w:p>
        </w:tc>
        <w:tc>
          <w:tcPr>
            <w:tcW w:w="3544" w:type="dxa"/>
            <w:gridSpan w:val="2"/>
            <w:vAlign w:val="center"/>
          </w:tcPr>
          <w:p w14:paraId="2E09AD18">
            <w:pPr>
              <w:pStyle w:val="13"/>
            </w:pPr>
            <w:r>
              <w:t>100%</w:t>
            </w:r>
          </w:p>
        </w:tc>
      </w:tr>
      <w:tr w14:paraId="720DE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F6201">
            <w:pPr>
              <w:pStyle w:val="10"/>
            </w:pPr>
            <w:r>
              <w:t>绩效目标</w:t>
            </w:r>
          </w:p>
        </w:tc>
        <w:tc>
          <w:tcPr>
            <w:tcW w:w="14033" w:type="dxa"/>
            <w:gridSpan w:val="6"/>
            <w:vAlign w:val="center"/>
          </w:tcPr>
          <w:p w14:paraId="13C79F46">
            <w:pPr>
              <w:pStyle w:val="12"/>
            </w:pPr>
            <w:r>
              <w:t>1.保障幼儿园正常运转，完成教育教学活动和其他日常工作任务等方面的费用支出。</w:t>
            </w:r>
          </w:p>
        </w:tc>
      </w:tr>
    </w:tbl>
    <w:p w14:paraId="2C229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D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98122">
            <w:pPr>
              <w:pStyle w:val="10"/>
            </w:pPr>
            <w:r>
              <w:t>一级指标</w:t>
            </w:r>
          </w:p>
        </w:tc>
        <w:tc>
          <w:tcPr>
            <w:tcW w:w="2268" w:type="dxa"/>
            <w:vAlign w:val="center"/>
          </w:tcPr>
          <w:p w14:paraId="6F000123">
            <w:pPr>
              <w:pStyle w:val="10"/>
            </w:pPr>
            <w:r>
              <w:t>二级指标</w:t>
            </w:r>
          </w:p>
        </w:tc>
        <w:tc>
          <w:tcPr>
            <w:tcW w:w="2835" w:type="dxa"/>
            <w:vAlign w:val="center"/>
          </w:tcPr>
          <w:p w14:paraId="44BE0C64">
            <w:pPr>
              <w:pStyle w:val="10"/>
            </w:pPr>
            <w:r>
              <w:t>三级指标</w:t>
            </w:r>
          </w:p>
        </w:tc>
        <w:tc>
          <w:tcPr>
            <w:tcW w:w="5386" w:type="dxa"/>
            <w:vAlign w:val="center"/>
          </w:tcPr>
          <w:p w14:paraId="3D0FB656">
            <w:pPr>
              <w:pStyle w:val="10"/>
            </w:pPr>
            <w:r>
              <w:t>绩效指标描述</w:t>
            </w:r>
          </w:p>
        </w:tc>
        <w:tc>
          <w:tcPr>
            <w:tcW w:w="2268" w:type="dxa"/>
            <w:vAlign w:val="center"/>
          </w:tcPr>
          <w:p w14:paraId="5A966717">
            <w:pPr>
              <w:pStyle w:val="10"/>
            </w:pPr>
            <w:r>
              <w:t>指标值</w:t>
            </w:r>
          </w:p>
        </w:tc>
        <w:tc>
          <w:tcPr>
            <w:tcW w:w="1276" w:type="dxa"/>
            <w:vAlign w:val="center"/>
          </w:tcPr>
          <w:p w14:paraId="08039D4A">
            <w:pPr>
              <w:pStyle w:val="10"/>
            </w:pPr>
            <w:r>
              <w:t>指标值确定依据</w:t>
            </w:r>
          </w:p>
        </w:tc>
      </w:tr>
      <w:tr w14:paraId="662D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698A1">
            <w:pPr>
              <w:pStyle w:val="13"/>
            </w:pPr>
            <w:r>
              <w:t>产出指标</w:t>
            </w:r>
          </w:p>
        </w:tc>
        <w:tc>
          <w:tcPr>
            <w:tcW w:w="2268" w:type="dxa"/>
            <w:vAlign w:val="center"/>
          </w:tcPr>
          <w:p w14:paraId="59298DE3">
            <w:pPr>
              <w:pStyle w:val="12"/>
            </w:pPr>
            <w:r>
              <w:t>数量指标</w:t>
            </w:r>
          </w:p>
        </w:tc>
        <w:tc>
          <w:tcPr>
            <w:tcW w:w="2835" w:type="dxa"/>
            <w:vAlign w:val="center"/>
          </w:tcPr>
          <w:p w14:paraId="0EC83390">
            <w:pPr>
              <w:pStyle w:val="12"/>
            </w:pPr>
            <w:r>
              <w:t>适龄在园生</w:t>
            </w:r>
          </w:p>
        </w:tc>
        <w:tc>
          <w:tcPr>
            <w:tcW w:w="5386" w:type="dxa"/>
            <w:vAlign w:val="center"/>
          </w:tcPr>
          <w:p w14:paraId="7A8AFB08">
            <w:pPr>
              <w:pStyle w:val="12"/>
            </w:pPr>
            <w:r>
              <w:t>适龄在园大班学生人数</w:t>
            </w:r>
          </w:p>
        </w:tc>
        <w:tc>
          <w:tcPr>
            <w:tcW w:w="2268" w:type="dxa"/>
            <w:vAlign w:val="center"/>
          </w:tcPr>
          <w:p w14:paraId="5BD32C4C">
            <w:pPr>
              <w:pStyle w:val="12"/>
            </w:pPr>
            <w:r>
              <w:t>157人</w:t>
            </w:r>
          </w:p>
        </w:tc>
        <w:tc>
          <w:tcPr>
            <w:tcW w:w="1276" w:type="dxa"/>
            <w:vAlign w:val="center"/>
          </w:tcPr>
          <w:p w14:paraId="7C90BB93">
            <w:pPr>
              <w:pStyle w:val="12"/>
            </w:pPr>
            <w:r>
              <w:t>免保育教育费生均财政补助标准</w:t>
            </w:r>
          </w:p>
        </w:tc>
      </w:tr>
      <w:tr w14:paraId="14DF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9D96E"/>
        </w:tc>
        <w:tc>
          <w:tcPr>
            <w:tcW w:w="2268" w:type="dxa"/>
            <w:vAlign w:val="center"/>
          </w:tcPr>
          <w:p w14:paraId="53FE8CF8">
            <w:pPr>
              <w:pStyle w:val="12"/>
            </w:pPr>
            <w:r>
              <w:t>质量指标</w:t>
            </w:r>
          </w:p>
        </w:tc>
        <w:tc>
          <w:tcPr>
            <w:tcW w:w="2835" w:type="dxa"/>
            <w:vAlign w:val="center"/>
          </w:tcPr>
          <w:p w14:paraId="3700E94F">
            <w:pPr>
              <w:pStyle w:val="12"/>
            </w:pPr>
            <w:r>
              <w:t>预算控制率</w:t>
            </w:r>
          </w:p>
        </w:tc>
        <w:tc>
          <w:tcPr>
            <w:tcW w:w="5386" w:type="dxa"/>
            <w:vAlign w:val="center"/>
          </w:tcPr>
          <w:p w14:paraId="5E2A5BC4">
            <w:pPr>
              <w:pStyle w:val="12"/>
            </w:pPr>
            <w:r>
              <w:t>预算执行</w:t>
            </w:r>
          </w:p>
        </w:tc>
        <w:tc>
          <w:tcPr>
            <w:tcW w:w="2268" w:type="dxa"/>
            <w:vAlign w:val="center"/>
          </w:tcPr>
          <w:p w14:paraId="7D5C59AB">
            <w:pPr>
              <w:pStyle w:val="12"/>
            </w:pPr>
            <w:r>
              <w:t>≥95%</w:t>
            </w:r>
          </w:p>
        </w:tc>
        <w:tc>
          <w:tcPr>
            <w:tcW w:w="1276" w:type="dxa"/>
            <w:vAlign w:val="center"/>
          </w:tcPr>
          <w:p w14:paraId="2E9F17B8">
            <w:pPr>
              <w:pStyle w:val="12"/>
            </w:pPr>
            <w:r>
              <w:t>免保育教育费生均财政补助标准</w:t>
            </w:r>
          </w:p>
        </w:tc>
      </w:tr>
      <w:tr w14:paraId="1122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D5F4B"/>
        </w:tc>
        <w:tc>
          <w:tcPr>
            <w:tcW w:w="2268" w:type="dxa"/>
            <w:vAlign w:val="center"/>
          </w:tcPr>
          <w:p w14:paraId="02AF4CC8">
            <w:pPr>
              <w:pStyle w:val="12"/>
            </w:pPr>
            <w:r>
              <w:t>时效指标</w:t>
            </w:r>
          </w:p>
        </w:tc>
        <w:tc>
          <w:tcPr>
            <w:tcW w:w="2835" w:type="dxa"/>
            <w:vAlign w:val="center"/>
          </w:tcPr>
          <w:p w14:paraId="270455F6">
            <w:pPr>
              <w:pStyle w:val="12"/>
            </w:pPr>
            <w:r>
              <w:t>资金支付率</w:t>
            </w:r>
          </w:p>
        </w:tc>
        <w:tc>
          <w:tcPr>
            <w:tcW w:w="5386" w:type="dxa"/>
            <w:vAlign w:val="center"/>
          </w:tcPr>
          <w:p w14:paraId="2935F387">
            <w:pPr>
              <w:pStyle w:val="12"/>
            </w:pPr>
            <w:r>
              <w:t>按照序时进度完成资金支付</w:t>
            </w:r>
          </w:p>
        </w:tc>
        <w:tc>
          <w:tcPr>
            <w:tcW w:w="2268" w:type="dxa"/>
            <w:vAlign w:val="center"/>
          </w:tcPr>
          <w:p w14:paraId="188E3207">
            <w:pPr>
              <w:pStyle w:val="12"/>
            </w:pPr>
            <w:r>
              <w:t>100%</w:t>
            </w:r>
          </w:p>
        </w:tc>
        <w:tc>
          <w:tcPr>
            <w:tcW w:w="1276" w:type="dxa"/>
            <w:vAlign w:val="center"/>
          </w:tcPr>
          <w:p w14:paraId="65C0F977">
            <w:pPr>
              <w:pStyle w:val="12"/>
            </w:pPr>
            <w:r>
              <w:t>免保育教育费生均财政补助标准</w:t>
            </w:r>
          </w:p>
        </w:tc>
      </w:tr>
      <w:tr w14:paraId="6749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E5E20"/>
        </w:tc>
        <w:tc>
          <w:tcPr>
            <w:tcW w:w="2268" w:type="dxa"/>
            <w:vAlign w:val="center"/>
          </w:tcPr>
          <w:p w14:paraId="43A991EE">
            <w:pPr>
              <w:pStyle w:val="12"/>
            </w:pPr>
            <w:r>
              <w:t>成本指标</w:t>
            </w:r>
          </w:p>
        </w:tc>
        <w:tc>
          <w:tcPr>
            <w:tcW w:w="2835" w:type="dxa"/>
            <w:vAlign w:val="center"/>
          </w:tcPr>
          <w:p w14:paraId="089F7959">
            <w:pPr>
              <w:pStyle w:val="12"/>
            </w:pPr>
            <w:r>
              <w:t xml:space="preserve"> 免保育教育费补助</w:t>
            </w:r>
          </w:p>
        </w:tc>
        <w:tc>
          <w:tcPr>
            <w:tcW w:w="5386" w:type="dxa"/>
            <w:vAlign w:val="center"/>
          </w:tcPr>
          <w:p w14:paraId="236C37CC">
            <w:pPr>
              <w:pStyle w:val="12"/>
            </w:pPr>
            <w:r>
              <w:t>免保育教育费补助</w:t>
            </w:r>
          </w:p>
        </w:tc>
        <w:tc>
          <w:tcPr>
            <w:tcW w:w="2268" w:type="dxa"/>
            <w:vAlign w:val="center"/>
          </w:tcPr>
          <w:p w14:paraId="3C108DC0">
            <w:pPr>
              <w:pStyle w:val="12"/>
            </w:pPr>
            <w:r>
              <w:t>23398元</w:t>
            </w:r>
          </w:p>
        </w:tc>
        <w:tc>
          <w:tcPr>
            <w:tcW w:w="1276" w:type="dxa"/>
            <w:vAlign w:val="center"/>
          </w:tcPr>
          <w:p w14:paraId="3B675EE9">
            <w:pPr>
              <w:pStyle w:val="12"/>
            </w:pPr>
            <w:r>
              <w:t>免保育教育费生均财政补助标准</w:t>
            </w:r>
          </w:p>
        </w:tc>
      </w:tr>
      <w:tr w14:paraId="4A943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693C4">
            <w:pPr>
              <w:pStyle w:val="13"/>
            </w:pPr>
            <w:r>
              <w:t>效益指标</w:t>
            </w:r>
          </w:p>
        </w:tc>
        <w:tc>
          <w:tcPr>
            <w:tcW w:w="2268" w:type="dxa"/>
            <w:vAlign w:val="center"/>
          </w:tcPr>
          <w:p w14:paraId="56D28F20">
            <w:pPr>
              <w:pStyle w:val="12"/>
            </w:pPr>
            <w:r>
              <w:t>可持续影响指标</w:t>
            </w:r>
          </w:p>
        </w:tc>
        <w:tc>
          <w:tcPr>
            <w:tcW w:w="2835" w:type="dxa"/>
            <w:vAlign w:val="center"/>
          </w:tcPr>
          <w:p w14:paraId="07312816">
            <w:pPr>
              <w:pStyle w:val="12"/>
            </w:pPr>
            <w:r>
              <w:t>学校运转得到提升</w:t>
            </w:r>
          </w:p>
        </w:tc>
        <w:tc>
          <w:tcPr>
            <w:tcW w:w="5386" w:type="dxa"/>
            <w:vAlign w:val="center"/>
          </w:tcPr>
          <w:p w14:paraId="3B469D28">
            <w:pPr>
              <w:pStyle w:val="12"/>
            </w:pPr>
            <w:r>
              <w:t>幼儿受教育年限</w:t>
            </w:r>
          </w:p>
        </w:tc>
        <w:tc>
          <w:tcPr>
            <w:tcW w:w="2268" w:type="dxa"/>
            <w:vAlign w:val="center"/>
          </w:tcPr>
          <w:p w14:paraId="78791C8B">
            <w:pPr>
              <w:pStyle w:val="12"/>
            </w:pPr>
            <w:r>
              <w:t>3年</w:t>
            </w:r>
          </w:p>
        </w:tc>
        <w:tc>
          <w:tcPr>
            <w:tcW w:w="1276" w:type="dxa"/>
            <w:vAlign w:val="center"/>
          </w:tcPr>
          <w:p w14:paraId="04570FC0">
            <w:pPr>
              <w:pStyle w:val="12"/>
            </w:pPr>
            <w:r>
              <w:t>免保育教育费生均财政补助标准</w:t>
            </w:r>
          </w:p>
        </w:tc>
      </w:tr>
      <w:tr w14:paraId="2598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AEE88">
            <w:pPr>
              <w:pStyle w:val="13"/>
            </w:pPr>
            <w:r>
              <w:t>满意度指标</w:t>
            </w:r>
          </w:p>
        </w:tc>
        <w:tc>
          <w:tcPr>
            <w:tcW w:w="2268" w:type="dxa"/>
            <w:vAlign w:val="center"/>
          </w:tcPr>
          <w:p w14:paraId="670742DC">
            <w:pPr>
              <w:pStyle w:val="12"/>
            </w:pPr>
            <w:r>
              <w:t>服务对象满意度指标</w:t>
            </w:r>
          </w:p>
        </w:tc>
        <w:tc>
          <w:tcPr>
            <w:tcW w:w="2835" w:type="dxa"/>
            <w:vAlign w:val="center"/>
          </w:tcPr>
          <w:p w14:paraId="6D1141A6">
            <w:pPr>
              <w:pStyle w:val="12"/>
            </w:pPr>
            <w:r>
              <w:t>受益学生家长及调查满意度</w:t>
            </w:r>
          </w:p>
        </w:tc>
        <w:tc>
          <w:tcPr>
            <w:tcW w:w="5386" w:type="dxa"/>
            <w:vAlign w:val="center"/>
          </w:tcPr>
          <w:p w14:paraId="2B039678">
            <w:pPr>
              <w:pStyle w:val="12"/>
            </w:pPr>
            <w:r>
              <w:t>学生、教师及家长对学校保教保育工作满意度情况</w:t>
            </w:r>
          </w:p>
        </w:tc>
        <w:tc>
          <w:tcPr>
            <w:tcW w:w="2268" w:type="dxa"/>
            <w:vAlign w:val="center"/>
          </w:tcPr>
          <w:p w14:paraId="01171260">
            <w:pPr>
              <w:pStyle w:val="12"/>
            </w:pPr>
            <w:r>
              <w:t>≥95%</w:t>
            </w:r>
          </w:p>
        </w:tc>
        <w:tc>
          <w:tcPr>
            <w:tcW w:w="1276" w:type="dxa"/>
            <w:vAlign w:val="center"/>
          </w:tcPr>
          <w:p w14:paraId="47C35DC4">
            <w:pPr>
              <w:pStyle w:val="12"/>
            </w:pPr>
            <w:r>
              <w:t>免保育教育费生均财政补助标准</w:t>
            </w:r>
          </w:p>
        </w:tc>
      </w:tr>
    </w:tbl>
    <w:p w14:paraId="2A315FC0">
      <w:pPr>
        <w:sectPr>
          <w:pgSz w:w="16840" w:h="11900" w:orient="landscape"/>
          <w:pgMar w:top="1361" w:right="1020" w:bottom="1134" w:left="1020" w:header="720" w:footer="720" w:gutter="0"/>
          <w:cols w:space="720" w:num="1"/>
        </w:sectPr>
      </w:pPr>
    </w:p>
    <w:p w14:paraId="1430C042">
      <w:pPr>
        <w:spacing w:before="0" w:after="0"/>
        <w:ind w:firstLine="560"/>
        <w:jc w:val="left"/>
        <w:outlineLvl w:val="9"/>
      </w:pPr>
      <w:r>
        <w:rPr>
          <w:rFonts w:ascii="方正仿宋_GBK" w:hAnsi="方正仿宋_GBK" w:eastAsia="方正仿宋_GBK" w:cs="方正仿宋_GBK"/>
          <w:b/>
          <w:color w:val="000000"/>
          <w:sz w:val="28"/>
        </w:rPr>
        <w:t>20、县级配套/魏庄校区魏庄小学公用经费绩效目标表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A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BD6B6">
            <w:pPr>
              <w:pStyle w:val="11"/>
            </w:pPr>
            <w:r>
              <w:t>单位：万元</w:t>
            </w:r>
          </w:p>
        </w:tc>
      </w:tr>
      <w:tr w14:paraId="22E80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9C0DC">
            <w:pPr>
              <w:pStyle w:val="10"/>
            </w:pPr>
            <w:r>
              <w:t>项目编码</w:t>
            </w:r>
          </w:p>
        </w:tc>
        <w:tc>
          <w:tcPr>
            <w:tcW w:w="5103" w:type="dxa"/>
            <w:gridSpan w:val="2"/>
            <w:vAlign w:val="center"/>
          </w:tcPr>
          <w:p w14:paraId="63FC8CAA">
            <w:pPr>
              <w:pStyle w:val="12"/>
            </w:pPr>
            <w:r>
              <w:t>13052526P00000410427L</w:t>
            </w:r>
          </w:p>
        </w:tc>
        <w:tc>
          <w:tcPr>
            <w:tcW w:w="2835" w:type="dxa"/>
            <w:vAlign w:val="center"/>
          </w:tcPr>
          <w:p w14:paraId="3DD7D185">
            <w:pPr>
              <w:pStyle w:val="10"/>
            </w:pPr>
            <w:r>
              <w:t>项目名称</w:t>
            </w:r>
          </w:p>
        </w:tc>
        <w:tc>
          <w:tcPr>
            <w:tcW w:w="6095" w:type="dxa"/>
            <w:gridSpan w:val="3"/>
            <w:vAlign w:val="center"/>
          </w:tcPr>
          <w:p w14:paraId="6B4FE562">
            <w:pPr>
              <w:pStyle w:val="12"/>
            </w:pPr>
            <w:r>
              <w:t>县级配套/魏庄校区魏庄小学公用经费</w:t>
            </w:r>
          </w:p>
        </w:tc>
      </w:tr>
      <w:tr w14:paraId="6A068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ACD53">
            <w:pPr>
              <w:pStyle w:val="10"/>
            </w:pPr>
            <w:r>
              <w:t>预算规模及资金用途</w:t>
            </w:r>
          </w:p>
        </w:tc>
        <w:tc>
          <w:tcPr>
            <w:tcW w:w="2268" w:type="dxa"/>
            <w:vAlign w:val="center"/>
          </w:tcPr>
          <w:p w14:paraId="02626C73">
            <w:pPr>
              <w:pStyle w:val="10"/>
            </w:pPr>
            <w:r>
              <w:t>预算数</w:t>
            </w:r>
          </w:p>
        </w:tc>
        <w:tc>
          <w:tcPr>
            <w:tcW w:w="2835" w:type="dxa"/>
            <w:vAlign w:val="center"/>
          </w:tcPr>
          <w:p w14:paraId="194838DC">
            <w:pPr>
              <w:pStyle w:val="12"/>
            </w:pPr>
            <w:r>
              <w:t>12.47</w:t>
            </w:r>
          </w:p>
        </w:tc>
        <w:tc>
          <w:tcPr>
            <w:tcW w:w="2835" w:type="dxa"/>
            <w:vAlign w:val="center"/>
          </w:tcPr>
          <w:p w14:paraId="761F7AA3">
            <w:pPr>
              <w:pStyle w:val="10"/>
            </w:pPr>
            <w:r>
              <w:t>其中：财政    资金</w:t>
            </w:r>
          </w:p>
        </w:tc>
        <w:tc>
          <w:tcPr>
            <w:tcW w:w="2551" w:type="dxa"/>
            <w:vAlign w:val="center"/>
          </w:tcPr>
          <w:p w14:paraId="72E80B78">
            <w:pPr>
              <w:pStyle w:val="12"/>
            </w:pPr>
            <w:r>
              <w:t>12.47</w:t>
            </w:r>
          </w:p>
        </w:tc>
        <w:tc>
          <w:tcPr>
            <w:tcW w:w="2268" w:type="dxa"/>
            <w:vAlign w:val="center"/>
          </w:tcPr>
          <w:p w14:paraId="770BA6FC">
            <w:pPr>
              <w:pStyle w:val="10"/>
            </w:pPr>
            <w:r>
              <w:t>其他资金</w:t>
            </w:r>
          </w:p>
        </w:tc>
        <w:tc>
          <w:tcPr>
            <w:tcW w:w="1276" w:type="dxa"/>
            <w:vAlign w:val="center"/>
          </w:tcPr>
          <w:p w14:paraId="5358D789">
            <w:pPr>
              <w:pStyle w:val="12"/>
            </w:pPr>
            <w:r>
              <w:t xml:space="preserve"> </w:t>
            </w:r>
          </w:p>
        </w:tc>
      </w:tr>
      <w:tr w14:paraId="5D542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BBC61"/>
        </w:tc>
        <w:tc>
          <w:tcPr>
            <w:tcW w:w="14033" w:type="dxa"/>
            <w:gridSpan w:val="6"/>
            <w:vAlign w:val="center"/>
          </w:tcPr>
          <w:p w14:paraId="0C4903C2">
            <w:pPr>
              <w:pStyle w:val="12"/>
            </w:pPr>
            <w:r>
              <w:t>保障学校正常运转，完成各项教育教学活动和其他日常工作任务等方面的费用支出。</w:t>
            </w:r>
          </w:p>
        </w:tc>
      </w:tr>
      <w:tr w14:paraId="61357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1AAB0">
            <w:pPr>
              <w:pStyle w:val="10"/>
            </w:pPr>
            <w:r>
              <w:t>资金支出计划（%）</w:t>
            </w:r>
          </w:p>
        </w:tc>
        <w:tc>
          <w:tcPr>
            <w:tcW w:w="5103" w:type="dxa"/>
            <w:gridSpan w:val="2"/>
            <w:vAlign w:val="center"/>
          </w:tcPr>
          <w:p w14:paraId="1EE5ED60">
            <w:pPr>
              <w:pStyle w:val="10"/>
            </w:pPr>
            <w:r>
              <w:t>3月底</w:t>
            </w:r>
          </w:p>
        </w:tc>
        <w:tc>
          <w:tcPr>
            <w:tcW w:w="2835" w:type="dxa"/>
            <w:vAlign w:val="center"/>
          </w:tcPr>
          <w:p w14:paraId="3EE1473A">
            <w:pPr>
              <w:pStyle w:val="10"/>
            </w:pPr>
            <w:r>
              <w:t>6月底</w:t>
            </w:r>
          </w:p>
        </w:tc>
        <w:tc>
          <w:tcPr>
            <w:tcW w:w="2551" w:type="dxa"/>
            <w:vAlign w:val="center"/>
          </w:tcPr>
          <w:p w14:paraId="6C82F420">
            <w:pPr>
              <w:pStyle w:val="10"/>
            </w:pPr>
            <w:r>
              <w:t>10月底</w:t>
            </w:r>
          </w:p>
        </w:tc>
        <w:tc>
          <w:tcPr>
            <w:tcW w:w="3544" w:type="dxa"/>
            <w:gridSpan w:val="2"/>
            <w:vAlign w:val="center"/>
          </w:tcPr>
          <w:p w14:paraId="7396A89F">
            <w:pPr>
              <w:pStyle w:val="10"/>
            </w:pPr>
            <w:r>
              <w:t>12月底</w:t>
            </w:r>
          </w:p>
        </w:tc>
      </w:tr>
      <w:tr w14:paraId="479A2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3246D"/>
        </w:tc>
        <w:tc>
          <w:tcPr>
            <w:tcW w:w="5103" w:type="dxa"/>
            <w:gridSpan w:val="2"/>
            <w:vAlign w:val="center"/>
          </w:tcPr>
          <w:p w14:paraId="2D5E32BE">
            <w:pPr>
              <w:pStyle w:val="13"/>
            </w:pPr>
            <w:r>
              <w:t>25%</w:t>
            </w:r>
          </w:p>
        </w:tc>
        <w:tc>
          <w:tcPr>
            <w:tcW w:w="2835" w:type="dxa"/>
            <w:vAlign w:val="center"/>
          </w:tcPr>
          <w:p w14:paraId="3C375FB6">
            <w:pPr>
              <w:pStyle w:val="13"/>
            </w:pPr>
            <w:r>
              <w:t>50%</w:t>
            </w:r>
          </w:p>
        </w:tc>
        <w:tc>
          <w:tcPr>
            <w:tcW w:w="2551" w:type="dxa"/>
            <w:vAlign w:val="center"/>
          </w:tcPr>
          <w:p w14:paraId="630AD78C">
            <w:pPr>
              <w:pStyle w:val="13"/>
            </w:pPr>
            <w:r>
              <w:t>75%</w:t>
            </w:r>
          </w:p>
        </w:tc>
        <w:tc>
          <w:tcPr>
            <w:tcW w:w="3544" w:type="dxa"/>
            <w:gridSpan w:val="2"/>
            <w:vAlign w:val="center"/>
          </w:tcPr>
          <w:p w14:paraId="3CF0A43C">
            <w:pPr>
              <w:pStyle w:val="13"/>
            </w:pPr>
            <w:r>
              <w:t>100%</w:t>
            </w:r>
          </w:p>
        </w:tc>
      </w:tr>
      <w:tr w14:paraId="3B54A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4FBFB">
            <w:pPr>
              <w:pStyle w:val="10"/>
            </w:pPr>
            <w:r>
              <w:t>绩效目标</w:t>
            </w:r>
          </w:p>
        </w:tc>
        <w:tc>
          <w:tcPr>
            <w:tcW w:w="14033" w:type="dxa"/>
            <w:gridSpan w:val="6"/>
            <w:vAlign w:val="center"/>
          </w:tcPr>
          <w:p w14:paraId="1CFAFB1F">
            <w:pPr>
              <w:pStyle w:val="12"/>
            </w:pPr>
            <w:r>
              <w:t>1.保障学校正常运转，完成各项教育教学活动和其他日常工作任务等方面的费用支出。</w:t>
            </w:r>
          </w:p>
          <w:p w14:paraId="0BBB02A9">
            <w:pPr>
              <w:pStyle w:val="12"/>
            </w:pPr>
            <w:r>
              <w:t>2.按季度分批次拨付公用经费资金，资金拨付率达到100%。</w:t>
            </w:r>
          </w:p>
        </w:tc>
      </w:tr>
    </w:tbl>
    <w:p w14:paraId="5000FA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7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1612B">
            <w:pPr>
              <w:pStyle w:val="10"/>
            </w:pPr>
            <w:r>
              <w:t>一级指标</w:t>
            </w:r>
          </w:p>
        </w:tc>
        <w:tc>
          <w:tcPr>
            <w:tcW w:w="2268" w:type="dxa"/>
            <w:vAlign w:val="center"/>
          </w:tcPr>
          <w:p w14:paraId="6F04579E">
            <w:pPr>
              <w:pStyle w:val="10"/>
            </w:pPr>
            <w:r>
              <w:t>二级指标</w:t>
            </w:r>
          </w:p>
        </w:tc>
        <w:tc>
          <w:tcPr>
            <w:tcW w:w="2835" w:type="dxa"/>
            <w:vAlign w:val="center"/>
          </w:tcPr>
          <w:p w14:paraId="30E28FE0">
            <w:pPr>
              <w:pStyle w:val="10"/>
            </w:pPr>
            <w:r>
              <w:t>三级指标</w:t>
            </w:r>
          </w:p>
        </w:tc>
        <w:tc>
          <w:tcPr>
            <w:tcW w:w="5386" w:type="dxa"/>
            <w:vAlign w:val="center"/>
          </w:tcPr>
          <w:p w14:paraId="2AFAEB72">
            <w:pPr>
              <w:pStyle w:val="10"/>
            </w:pPr>
            <w:r>
              <w:t>绩效指标描述</w:t>
            </w:r>
          </w:p>
        </w:tc>
        <w:tc>
          <w:tcPr>
            <w:tcW w:w="2268" w:type="dxa"/>
            <w:vAlign w:val="center"/>
          </w:tcPr>
          <w:p w14:paraId="089C235A">
            <w:pPr>
              <w:pStyle w:val="10"/>
            </w:pPr>
            <w:r>
              <w:t>指标值</w:t>
            </w:r>
          </w:p>
        </w:tc>
        <w:tc>
          <w:tcPr>
            <w:tcW w:w="1276" w:type="dxa"/>
            <w:vAlign w:val="center"/>
          </w:tcPr>
          <w:p w14:paraId="17DEED15">
            <w:pPr>
              <w:pStyle w:val="10"/>
            </w:pPr>
            <w:r>
              <w:t>指标值确定依据</w:t>
            </w:r>
          </w:p>
        </w:tc>
      </w:tr>
      <w:tr w14:paraId="6219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C437A">
            <w:pPr>
              <w:pStyle w:val="13"/>
            </w:pPr>
            <w:r>
              <w:t>产出指标</w:t>
            </w:r>
          </w:p>
        </w:tc>
        <w:tc>
          <w:tcPr>
            <w:tcW w:w="2268" w:type="dxa"/>
            <w:vAlign w:val="center"/>
          </w:tcPr>
          <w:p w14:paraId="79D9AD71">
            <w:pPr>
              <w:pStyle w:val="12"/>
            </w:pPr>
            <w:r>
              <w:t>数量指标</w:t>
            </w:r>
          </w:p>
        </w:tc>
        <w:tc>
          <w:tcPr>
            <w:tcW w:w="2835" w:type="dxa"/>
            <w:vAlign w:val="center"/>
          </w:tcPr>
          <w:p w14:paraId="298D64DD">
            <w:pPr>
              <w:pStyle w:val="12"/>
            </w:pPr>
            <w:r>
              <w:t>就读学生数</w:t>
            </w:r>
          </w:p>
        </w:tc>
        <w:tc>
          <w:tcPr>
            <w:tcW w:w="5386" w:type="dxa"/>
            <w:vAlign w:val="center"/>
          </w:tcPr>
          <w:p w14:paraId="408C3542">
            <w:pPr>
              <w:pStyle w:val="12"/>
            </w:pPr>
            <w:r>
              <w:t>辐射区域内适龄学生人数</w:t>
            </w:r>
          </w:p>
        </w:tc>
        <w:tc>
          <w:tcPr>
            <w:tcW w:w="2268" w:type="dxa"/>
            <w:vAlign w:val="center"/>
          </w:tcPr>
          <w:p w14:paraId="3641D145">
            <w:pPr>
              <w:pStyle w:val="12"/>
            </w:pPr>
            <w:r>
              <w:t>1228人</w:t>
            </w:r>
          </w:p>
        </w:tc>
        <w:tc>
          <w:tcPr>
            <w:tcW w:w="1276" w:type="dxa"/>
            <w:vAlign w:val="center"/>
          </w:tcPr>
          <w:p w14:paraId="629FB48A">
            <w:pPr>
              <w:pStyle w:val="12"/>
            </w:pPr>
            <w:r>
              <w:t>城乡义务教育公用经费管理办法</w:t>
            </w:r>
          </w:p>
        </w:tc>
      </w:tr>
      <w:tr w14:paraId="52F8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CDE1"/>
        </w:tc>
        <w:tc>
          <w:tcPr>
            <w:tcW w:w="2268" w:type="dxa"/>
            <w:vAlign w:val="center"/>
          </w:tcPr>
          <w:p w14:paraId="119CFD69">
            <w:pPr>
              <w:pStyle w:val="12"/>
            </w:pPr>
            <w:r>
              <w:t>质量指标</w:t>
            </w:r>
          </w:p>
        </w:tc>
        <w:tc>
          <w:tcPr>
            <w:tcW w:w="2835" w:type="dxa"/>
            <w:vAlign w:val="center"/>
          </w:tcPr>
          <w:p w14:paraId="0FF39FF1">
            <w:pPr>
              <w:pStyle w:val="12"/>
            </w:pPr>
            <w:r>
              <w:t>预算执行率</w:t>
            </w:r>
          </w:p>
        </w:tc>
        <w:tc>
          <w:tcPr>
            <w:tcW w:w="5386" w:type="dxa"/>
            <w:vAlign w:val="center"/>
          </w:tcPr>
          <w:p w14:paraId="5955F002">
            <w:pPr>
              <w:pStyle w:val="12"/>
            </w:pPr>
            <w:r>
              <w:t>预算执行率</w:t>
            </w:r>
          </w:p>
        </w:tc>
        <w:tc>
          <w:tcPr>
            <w:tcW w:w="2268" w:type="dxa"/>
            <w:vAlign w:val="center"/>
          </w:tcPr>
          <w:p w14:paraId="0CE7D57A">
            <w:pPr>
              <w:pStyle w:val="12"/>
            </w:pPr>
            <w:r>
              <w:t>≥95%</w:t>
            </w:r>
          </w:p>
        </w:tc>
        <w:tc>
          <w:tcPr>
            <w:tcW w:w="1276" w:type="dxa"/>
            <w:vAlign w:val="center"/>
          </w:tcPr>
          <w:p w14:paraId="25B88B89">
            <w:pPr>
              <w:pStyle w:val="12"/>
            </w:pPr>
            <w:r>
              <w:t>城乡义务教育公用经费管理办法</w:t>
            </w:r>
          </w:p>
        </w:tc>
      </w:tr>
      <w:tr w14:paraId="166E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6084B"/>
        </w:tc>
        <w:tc>
          <w:tcPr>
            <w:tcW w:w="2268" w:type="dxa"/>
            <w:vAlign w:val="center"/>
          </w:tcPr>
          <w:p w14:paraId="5C6747BD">
            <w:pPr>
              <w:pStyle w:val="12"/>
            </w:pPr>
            <w:r>
              <w:t>时效指标</w:t>
            </w:r>
          </w:p>
        </w:tc>
        <w:tc>
          <w:tcPr>
            <w:tcW w:w="2835" w:type="dxa"/>
            <w:vAlign w:val="center"/>
          </w:tcPr>
          <w:p w14:paraId="51CC78B9">
            <w:pPr>
              <w:pStyle w:val="12"/>
            </w:pPr>
            <w:r>
              <w:t>义教经费支付完成率</w:t>
            </w:r>
          </w:p>
        </w:tc>
        <w:tc>
          <w:tcPr>
            <w:tcW w:w="5386" w:type="dxa"/>
            <w:vAlign w:val="center"/>
          </w:tcPr>
          <w:p w14:paraId="4CAD158D">
            <w:pPr>
              <w:pStyle w:val="12"/>
            </w:pPr>
            <w:r>
              <w:t>按照序时进度完成资金支付</w:t>
            </w:r>
          </w:p>
        </w:tc>
        <w:tc>
          <w:tcPr>
            <w:tcW w:w="2268" w:type="dxa"/>
            <w:vAlign w:val="center"/>
          </w:tcPr>
          <w:p w14:paraId="725201D1">
            <w:pPr>
              <w:pStyle w:val="12"/>
            </w:pPr>
            <w:r>
              <w:t>100%</w:t>
            </w:r>
          </w:p>
        </w:tc>
        <w:tc>
          <w:tcPr>
            <w:tcW w:w="1276" w:type="dxa"/>
            <w:vAlign w:val="center"/>
          </w:tcPr>
          <w:p w14:paraId="3ECFA532">
            <w:pPr>
              <w:pStyle w:val="12"/>
            </w:pPr>
            <w:r>
              <w:t>城乡义务教育公用经费管理办法</w:t>
            </w:r>
          </w:p>
        </w:tc>
      </w:tr>
      <w:tr w14:paraId="2DC6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3E3C0"/>
        </w:tc>
        <w:tc>
          <w:tcPr>
            <w:tcW w:w="2268" w:type="dxa"/>
            <w:vAlign w:val="center"/>
          </w:tcPr>
          <w:p w14:paraId="77579494">
            <w:pPr>
              <w:pStyle w:val="12"/>
            </w:pPr>
            <w:r>
              <w:t>成本指标</w:t>
            </w:r>
          </w:p>
        </w:tc>
        <w:tc>
          <w:tcPr>
            <w:tcW w:w="2835" w:type="dxa"/>
            <w:vAlign w:val="center"/>
          </w:tcPr>
          <w:p w14:paraId="6F71DD7A">
            <w:pPr>
              <w:pStyle w:val="12"/>
            </w:pPr>
            <w:r>
              <w:t>生均拨款标准</w:t>
            </w:r>
          </w:p>
        </w:tc>
        <w:tc>
          <w:tcPr>
            <w:tcW w:w="5386" w:type="dxa"/>
            <w:vAlign w:val="center"/>
          </w:tcPr>
          <w:p w14:paraId="64F48768">
            <w:pPr>
              <w:pStyle w:val="12"/>
            </w:pPr>
            <w:r>
              <w:t>小学生公用经费生均公用经费基准定额为720元/年/生，取暖费120元/年/生，住宿生补助300元/年/生的标准，随班就读学生补助7000元/生/年</w:t>
            </w:r>
          </w:p>
        </w:tc>
        <w:tc>
          <w:tcPr>
            <w:tcW w:w="2268" w:type="dxa"/>
            <w:vAlign w:val="center"/>
          </w:tcPr>
          <w:p w14:paraId="7CA0017E">
            <w:pPr>
              <w:pStyle w:val="12"/>
            </w:pPr>
            <w:r>
              <w:t>840元</w:t>
            </w:r>
          </w:p>
        </w:tc>
        <w:tc>
          <w:tcPr>
            <w:tcW w:w="1276" w:type="dxa"/>
            <w:vAlign w:val="center"/>
          </w:tcPr>
          <w:p w14:paraId="70722EBD">
            <w:pPr>
              <w:pStyle w:val="12"/>
            </w:pPr>
            <w:r>
              <w:t>城乡义务教育公用经费管理办法</w:t>
            </w:r>
          </w:p>
        </w:tc>
      </w:tr>
      <w:tr w14:paraId="2B93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077D5">
            <w:pPr>
              <w:pStyle w:val="13"/>
            </w:pPr>
            <w:r>
              <w:t>效益指标</w:t>
            </w:r>
          </w:p>
        </w:tc>
        <w:tc>
          <w:tcPr>
            <w:tcW w:w="2268" w:type="dxa"/>
            <w:vAlign w:val="center"/>
          </w:tcPr>
          <w:p w14:paraId="5BECA0FC">
            <w:pPr>
              <w:pStyle w:val="12"/>
            </w:pPr>
            <w:r>
              <w:t>可持续影响指标</w:t>
            </w:r>
          </w:p>
        </w:tc>
        <w:tc>
          <w:tcPr>
            <w:tcW w:w="2835" w:type="dxa"/>
            <w:vAlign w:val="center"/>
          </w:tcPr>
          <w:p w14:paraId="1DE26B1E">
            <w:pPr>
              <w:pStyle w:val="12"/>
            </w:pPr>
            <w:r>
              <w:t>学校运转得到提高</w:t>
            </w:r>
          </w:p>
        </w:tc>
        <w:tc>
          <w:tcPr>
            <w:tcW w:w="5386" w:type="dxa"/>
            <w:vAlign w:val="center"/>
          </w:tcPr>
          <w:p w14:paraId="34545B58">
            <w:pPr>
              <w:pStyle w:val="12"/>
            </w:pPr>
            <w:r>
              <w:t>学生受教育年限</w:t>
            </w:r>
          </w:p>
        </w:tc>
        <w:tc>
          <w:tcPr>
            <w:tcW w:w="2268" w:type="dxa"/>
            <w:vAlign w:val="center"/>
          </w:tcPr>
          <w:p w14:paraId="4886E94C">
            <w:pPr>
              <w:pStyle w:val="12"/>
            </w:pPr>
            <w:r>
              <w:t>6年</w:t>
            </w:r>
          </w:p>
        </w:tc>
        <w:tc>
          <w:tcPr>
            <w:tcW w:w="1276" w:type="dxa"/>
            <w:vAlign w:val="center"/>
          </w:tcPr>
          <w:p w14:paraId="0C693AF3">
            <w:pPr>
              <w:pStyle w:val="12"/>
            </w:pPr>
            <w:r>
              <w:t>城乡义务教育公用经费管理办法</w:t>
            </w:r>
          </w:p>
        </w:tc>
      </w:tr>
      <w:tr w14:paraId="05D7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6ADF6">
            <w:pPr>
              <w:pStyle w:val="13"/>
            </w:pPr>
            <w:r>
              <w:t>满意度指标</w:t>
            </w:r>
          </w:p>
        </w:tc>
        <w:tc>
          <w:tcPr>
            <w:tcW w:w="2268" w:type="dxa"/>
            <w:vAlign w:val="center"/>
          </w:tcPr>
          <w:p w14:paraId="1F37B596">
            <w:pPr>
              <w:pStyle w:val="12"/>
            </w:pPr>
            <w:r>
              <w:t>服务对象满意度指标</w:t>
            </w:r>
          </w:p>
        </w:tc>
        <w:tc>
          <w:tcPr>
            <w:tcW w:w="2835" w:type="dxa"/>
            <w:vAlign w:val="center"/>
          </w:tcPr>
          <w:p w14:paraId="2E2B9549">
            <w:pPr>
              <w:pStyle w:val="12"/>
            </w:pPr>
            <w:r>
              <w:t>服务对象满意度</w:t>
            </w:r>
          </w:p>
        </w:tc>
        <w:tc>
          <w:tcPr>
            <w:tcW w:w="5386" w:type="dxa"/>
            <w:vAlign w:val="center"/>
          </w:tcPr>
          <w:p w14:paraId="59D75878">
            <w:pPr>
              <w:pStyle w:val="12"/>
            </w:pPr>
            <w:r>
              <w:t>学校老师和学生满意度</w:t>
            </w:r>
          </w:p>
        </w:tc>
        <w:tc>
          <w:tcPr>
            <w:tcW w:w="2268" w:type="dxa"/>
            <w:vAlign w:val="center"/>
          </w:tcPr>
          <w:p w14:paraId="620F3842">
            <w:pPr>
              <w:pStyle w:val="12"/>
            </w:pPr>
            <w:r>
              <w:t>≥95%</w:t>
            </w:r>
          </w:p>
        </w:tc>
        <w:tc>
          <w:tcPr>
            <w:tcW w:w="1276" w:type="dxa"/>
            <w:vAlign w:val="center"/>
          </w:tcPr>
          <w:p w14:paraId="60AD17B1">
            <w:pPr>
              <w:pStyle w:val="12"/>
            </w:pPr>
            <w:r>
              <w:t>群众测评</w:t>
            </w:r>
          </w:p>
        </w:tc>
      </w:tr>
    </w:tbl>
    <w:p w14:paraId="1E7A8273">
      <w:pPr>
        <w:sectPr>
          <w:pgSz w:w="16840" w:h="11900" w:orient="landscape"/>
          <w:pgMar w:top="1361" w:right="1020" w:bottom="1134" w:left="1020" w:header="720" w:footer="720" w:gutter="0"/>
          <w:cols w:space="720" w:num="1"/>
        </w:sectPr>
      </w:pPr>
    </w:p>
    <w:p w14:paraId="26992DE2">
      <w:pPr>
        <w:spacing w:before="0" w:after="0"/>
        <w:ind w:firstLine="560"/>
        <w:jc w:val="left"/>
        <w:outlineLvl w:val="9"/>
      </w:pPr>
      <w:r>
        <w:rPr>
          <w:rFonts w:ascii="方正仿宋_GBK" w:hAnsi="方正仿宋_GBK" w:eastAsia="方正仿宋_GBK" w:cs="方正仿宋_GBK"/>
          <w:b/>
          <w:color w:val="000000"/>
          <w:sz w:val="28"/>
        </w:rPr>
        <w:t>21、县级配套/魏庄校区肖实小学公用经费绩效目标表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7A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495D2">
            <w:pPr>
              <w:pStyle w:val="11"/>
            </w:pPr>
            <w:r>
              <w:t>单位：万元</w:t>
            </w:r>
          </w:p>
        </w:tc>
      </w:tr>
      <w:tr w14:paraId="5F32E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8331F">
            <w:pPr>
              <w:pStyle w:val="10"/>
            </w:pPr>
            <w:r>
              <w:t>项目编码</w:t>
            </w:r>
          </w:p>
        </w:tc>
        <w:tc>
          <w:tcPr>
            <w:tcW w:w="5103" w:type="dxa"/>
            <w:gridSpan w:val="2"/>
            <w:vAlign w:val="center"/>
          </w:tcPr>
          <w:p w14:paraId="29CEB11E">
            <w:pPr>
              <w:pStyle w:val="12"/>
            </w:pPr>
            <w:r>
              <w:t>13052526P00000410429U</w:t>
            </w:r>
          </w:p>
        </w:tc>
        <w:tc>
          <w:tcPr>
            <w:tcW w:w="2835" w:type="dxa"/>
            <w:vAlign w:val="center"/>
          </w:tcPr>
          <w:p w14:paraId="19778889">
            <w:pPr>
              <w:pStyle w:val="10"/>
            </w:pPr>
            <w:r>
              <w:t>项目名称</w:t>
            </w:r>
          </w:p>
        </w:tc>
        <w:tc>
          <w:tcPr>
            <w:tcW w:w="6095" w:type="dxa"/>
            <w:gridSpan w:val="3"/>
            <w:vAlign w:val="center"/>
          </w:tcPr>
          <w:p w14:paraId="7FAABBD7">
            <w:pPr>
              <w:pStyle w:val="12"/>
            </w:pPr>
            <w:r>
              <w:t>县级配套/魏庄校区肖实小学公用经费</w:t>
            </w:r>
          </w:p>
        </w:tc>
      </w:tr>
      <w:tr w14:paraId="4B21E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CCBC9">
            <w:pPr>
              <w:pStyle w:val="10"/>
            </w:pPr>
            <w:r>
              <w:t>预算规模及资金用途</w:t>
            </w:r>
          </w:p>
        </w:tc>
        <w:tc>
          <w:tcPr>
            <w:tcW w:w="2268" w:type="dxa"/>
            <w:vAlign w:val="center"/>
          </w:tcPr>
          <w:p w14:paraId="0850FD7A">
            <w:pPr>
              <w:pStyle w:val="10"/>
            </w:pPr>
            <w:r>
              <w:t>预算数</w:t>
            </w:r>
          </w:p>
        </w:tc>
        <w:tc>
          <w:tcPr>
            <w:tcW w:w="2835" w:type="dxa"/>
            <w:vAlign w:val="center"/>
          </w:tcPr>
          <w:p w14:paraId="2997387D">
            <w:pPr>
              <w:pStyle w:val="12"/>
            </w:pPr>
            <w:r>
              <w:t>2.11</w:t>
            </w:r>
          </w:p>
        </w:tc>
        <w:tc>
          <w:tcPr>
            <w:tcW w:w="2835" w:type="dxa"/>
            <w:vAlign w:val="center"/>
          </w:tcPr>
          <w:p w14:paraId="7AA606E8">
            <w:pPr>
              <w:pStyle w:val="10"/>
            </w:pPr>
            <w:r>
              <w:t>其中：财政    资金</w:t>
            </w:r>
          </w:p>
        </w:tc>
        <w:tc>
          <w:tcPr>
            <w:tcW w:w="2551" w:type="dxa"/>
            <w:vAlign w:val="center"/>
          </w:tcPr>
          <w:p w14:paraId="1494CA77">
            <w:pPr>
              <w:pStyle w:val="12"/>
            </w:pPr>
            <w:r>
              <w:t>2.11</w:t>
            </w:r>
          </w:p>
        </w:tc>
        <w:tc>
          <w:tcPr>
            <w:tcW w:w="2268" w:type="dxa"/>
            <w:vAlign w:val="center"/>
          </w:tcPr>
          <w:p w14:paraId="0BF0206A">
            <w:pPr>
              <w:pStyle w:val="10"/>
            </w:pPr>
            <w:r>
              <w:t>其他资金</w:t>
            </w:r>
          </w:p>
        </w:tc>
        <w:tc>
          <w:tcPr>
            <w:tcW w:w="1276" w:type="dxa"/>
            <w:vAlign w:val="center"/>
          </w:tcPr>
          <w:p w14:paraId="41A64EA5">
            <w:pPr>
              <w:pStyle w:val="12"/>
            </w:pPr>
            <w:r>
              <w:t xml:space="preserve"> </w:t>
            </w:r>
          </w:p>
        </w:tc>
      </w:tr>
      <w:tr w14:paraId="4F2A0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40F42"/>
        </w:tc>
        <w:tc>
          <w:tcPr>
            <w:tcW w:w="14033" w:type="dxa"/>
            <w:gridSpan w:val="6"/>
            <w:vAlign w:val="center"/>
          </w:tcPr>
          <w:p w14:paraId="6A4C15D9">
            <w:pPr>
              <w:pStyle w:val="12"/>
            </w:pPr>
            <w:r>
              <w:t>保障学校正常运转，完成各项教育教学活动和其他日常工作任务等方面的费用支出。</w:t>
            </w:r>
          </w:p>
        </w:tc>
      </w:tr>
      <w:tr w14:paraId="3EFE1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98735">
            <w:pPr>
              <w:pStyle w:val="10"/>
            </w:pPr>
            <w:r>
              <w:t>资金支出计划（%）</w:t>
            </w:r>
          </w:p>
        </w:tc>
        <w:tc>
          <w:tcPr>
            <w:tcW w:w="5103" w:type="dxa"/>
            <w:gridSpan w:val="2"/>
            <w:vAlign w:val="center"/>
          </w:tcPr>
          <w:p w14:paraId="32FCE8B6">
            <w:pPr>
              <w:pStyle w:val="10"/>
            </w:pPr>
            <w:r>
              <w:t>3月底</w:t>
            </w:r>
          </w:p>
        </w:tc>
        <w:tc>
          <w:tcPr>
            <w:tcW w:w="2835" w:type="dxa"/>
            <w:vAlign w:val="center"/>
          </w:tcPr>
          <w:p w14:paraId="59911D9F">
            <w:pPr>
              <w:pStyle w:val="10"/>
            </w:pPr>
            <w:r>
              <w:t>6月底</w:t>
            </w:r>
          </w:p>
        </w:tc>
        <w:tc>
          <w:tcPr>
            <w:tcW w:w="2551" w:type="dxa"/>
            <w:vAlign w:val="center"/>
          </w:tcPr>
          <w:p w14:paraId="05F078DB">
            <w:pPr>
              <w:pStyle w:val="10"/>
            </w:pPr>
            <w:r>
              <w:t>10月底</w:t>
            </w:r>
          </w:p>
        </w:tc>
        <w:tc>
          <w:tcPr>
            <w:tcW w:w="3544" w:type="dxa"/>
            <w:gridSpan w:val="2"/>
            <w:vAlign w:val="center"/>
          </w:tcPr>
          <w:p w14:paraId="2F225CED">
            <w:pPr>
              <w:pStyle w:val="10"/>
            </w:pPr>
            <w:r>
              <w:t>12月底</w:t>
            </w:r>
          </w:p>
        </w:tc>
      </w:tr>
      <w:tr w14:paraId="30A8F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5A92C"/>
        </w:tc>
        <w:tc>
          <w:tcPr>
            <w:tcW w:w="5103" w:type="dxa"/>
            <w:gridSpan w:val="2"/>
            <w:vAlign w:val="center"/>
          </w:tcPr>
          <w:p w14:paraId="6CCA73B6">
            <w:pPr>
              <w:pStyle w:val="13"/>
            </w:pPr>
            <w:r>
              <w:t>25%</w:t>
            </w:r>
          </w:p>
        </w:tc>
        <w:tc>
          <w:tcPr>
            <w:tcW w:w="2835" w:type="dxa"/>
            <w:vAlign w:val="center"/>
          </w:tcPr>
          <w:p w14:paraId="66066290">
            <w:pPr>
              <w:pStyle w:val="13"/>
            </w:pPr>
            <w:r>
              <w:t>50%</w:t>
            </w:r>
          </w:p>
        </w:tc>
        <w:tc>
          <w:tcPr>
            <w:tcW w:w="2551" w:type="dxa"/>
            <w:vAlign w:val="center"/>
          </w:tcPr>
          <w:p w14:paraId="21E7E5C3">
            <w:pPr>
              <w:pStyle w:val="13"/>
            </w:pPr>
            <w:r>
              <w:t>75%</w:t>
            </w:r>
          </w:p>
        </w:tc>
        <w:tc>
          <w:tcPr>
            <w:tcW w:w="3544" w:type="dxa"/>
            <w:gridSpan w:val="2"/>
            <w:vAlign w:val="center"/>
          </w:tcPr>
          <w:p w14:paraId="61175CD5">
            <w:pPr>
              <w:pStyle w:val="13"/>
            </w:pPr>
            <w:r>
              <w:t>100%</w:t>
            </w:r>
          </w:p>
        </w:tc>
      </w:tr>
      <w:tr w14:paraId="1CF62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2F240">
            <w:pPr>
              <w:pStyle w:val="10"/>
            </w:pPr>
            <w:r>
              <w:t>绩效目标</w:t>
            </w:r>
          </w:p>
        </w:tc>
        <w:tc>
          <w:tcPr>
            <w:tcW w:w="14033" w:type="dxa"/>
            <w:gridSpan w:val="6"/>
            <w:vAlign w:val="center"/>
          </w:tcPr>
          <w:p w14:paraId="74B8A325">
            <w:pPr>
              <w:pStyle w:val="12"/>
            </w:pPr>
            <w:r>
              <w:t>1.保障学校正常运转，完成各项教育教学活动和其他日常工作任务等方面的费用支出。</w:t>
            </w:r>
          </w:p>
          <w:p w14:paraId="73023784">
            <w:pPr>
              <w:pStyle w:val="12"/>
            </w:pPr>
            <w:r>
              <w:t>2.按季度分批次拨付公用经费资金，资金拨付率达到100%。</w:t>
            </w:r>
          </w:p>
        </w:tc>
      </w:tr>
    </w:tbl>
    <w:p w14:paraId="0ABD35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3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34842">
            <w:pPr>
              <w:pStyle w:val="10"/>
            </w:pPr>
            <w:r>
              <w:t>一级指标</w:t>
            </w:r>
          </w:p>
        </w:tc>
        <w:tc>
          <w:tcPr>
            <w:tcW w:w="2268" w:type="dxa"/>
            <w:vAlign w:val="center"/>
          </w:tcPr>
          <w:p w14:paraId="1D322FB9">
            <w:pPr>
              <w:pStyle w:val="10"/>
            </w:pPr>
            <w:r>
              <w:t>二级指标</w:t>
            </w:r>
          </w:p>
        </w:tc>
        <w:tc>
          <w:tcPr>
            <w:tcW w:w="2835" w:type="dxa"/>
            <w:vAlign w:val="center"/>
          </w:tcPr>
          <w:p w14:paraId="4B1D0467">
            <w:pPr>
              <w:pStyle w:val="10"/>
            </w:pPr>
            <w:r>
              <w:t>三级指标</w:t>
            </w:r>
          </w:p>
        </w:tc>
        <w:tc>
          <w:tcPr>
            <w:tcW w:w="5386" w:type="dxa"/>
            <w:vAlign w:val="center"/>
          </w:tcPr>
          <w:p w14:paraId="5E38120D">
            <w:pPr>
              <w:pStyle w:val="10"/>
            </w:pPr>
            <w:r>
              <w:t>绩效指标描述</w:t>
            </w:r>
          </w:p>
        </w:tc>
        <w:tc>
          <w:tcPr>
            <w:tcW w:w="2268" w:type="dxa"/>
            <w:vAlign w:val="center"/>
          </w:tcPr>
          <w:p w14:paraId="25A87EAF">
            <w:pPr>
              <w:pStyle w:val="10"/>
            </w:pPr>
            <w:r>
              <w:t>指标值</w:t>
            </w:r>
          </w:p>
        </w:tc>
        <w:tc>
          <w:tcPr>
            <w:tcW w:w="1276" w:type="dxa"/>
            <w:vAlign w:val="center"/>
          </w:tcPr>
          <w:p w14:paraId="7E716439">
            <w:pPr>
              <w:pStyle w:val="10"/>
            </w:pPr>
            <w:r>
              <w:t>指标值确定依据</w:t>
            </w:r>
          </w:p>
        </w:tc>
      </w:tr>
      <w:tr w14:paraId="147C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D0653">
            <w:pPr>
              <w:pStyle w:val="13"/>
            </w:pPr>
            <w:r>
              <w:t>产出指标</w:t>
            </w:r>
          </w:p>
        </w:tc>
        <w:tc>
          <w:tcPr>
            <w:tcW w:w="2268" w:type="dxa"/>
            <w:vAlign w:val="center"/>
          </w:tcPr>
          <w:p w14:paraId="44F88519">
            <w:pPr>
              <w:pStyle w:val="12"/>
            </w:pPr>
            <w:r>
              <w:t>数量指标</w:t>
            </w:r>
          </w:p>
        </w:tc>
        <w:tc>
          <w:tcPr>
            <w:tcW w:w="2835" w:type="dxa"/>
            <w:vAlign w:val="center"/>
          </w:tcPr>
          <w:p w14:paraId="444B83CF">
            <w:pPr>
              <w:pStyle w:val="12"/>
            </w:pPr>
            <w:r>
              <w:t>就读学生数</w:t>
            </w:r>
          </w:p>
        </w:tc>
        <w:tc>
          <w:tcPr>
            <w:tcW w:w="5386" w:type="dxa"/>
            <w:vAlign w:val="center"/>
          </w:tcPr>
          <w:p w14:paraId="6ECF2221">
            <w:pPr>
              <w:pStyle w:val="12"/>
            </w:pPr>
            <w:r>
              <w:t>辐射区域内适龄学生人数</w:t>
            </w:r>
          </w:p>
        </w:tc>
        <w:tc>
          <w:tcPr>
            <w:tcW w:w="2268" w:type="dxa"/>
            <w:vAlign w:val="center"/>
          </w:tcPr>
          <w:p w14:paraId="1BB430B2">
            <w:pPr>
              <w:pStyle w:val="12"/>
            </w:pPr>
            <w:r>
              <w:t>249人</w:t>
            </w:r>
          </w:p>
        </w:tc>
        <w:tc>
          <w:tcPr>
            <w:tcW w:w="1276" w:type="dxa"/>
            <w:vAlign w:val="center"/>
          </w:tcPr>
          <w:p w14:paraId="02F29DD8">
            <w:pPr>
              <w:pStyle w:val="12"/>
            </w:pPr>
            <w:r>
              <w:t>城乡义务教育公用经费管理办法</w:t>
            </w:r>
          </w:p>
        </w:tc>
      </w:tr>
      <w:tr w14:paraId="7B9F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63E62"/>
        </w:tc>
        <w:tc>
          <w:tcPr>
            <w:tcW w:w="2268" w:type="dxa"/>
            <w:vAlign w:val="center"/>
          </w:tcPr>
          <w:p w14:paraId="1E1F8505">
            <w:pPr>
              <w:pStyle w:val="12"/>
            </w:pPr>
            <w:r>
              <w:t>质量指标</w:t>
            </w:r>
          </w:p>
        </w:tc>
        <w:tc>
          <w:tcPr>
            <w:tcW w:w="2835" w:type="dxa"/>
            <w:vAlign w:val="center"/>
          </w:tcPr>
          <w:p w14:paraId="57C93D49">
            <w:pPr>
              <w:pStyle w:val="12"/>
            </w:pPr>
            <w:r>
              <w:t>预算执行率</w:t>
            </w:r>
          </w:p>
        </w:tc>
        <w:tc>
          <w:tcPr>
            <w:tcW w:w="5386" w:type="dxa"/>
            <w:vAlign w:val="center"/>
          </w:tcPr>
          <w:p w14:paraId="1542836A">
            <w:pPr>
              <w:pStyle w:val="12"/>
            </w:pPr>
            <w:r>
              <w:t>预算执行率</w:t>
            </w:r>
          </w:p>
        </w:tc>
        <w:tc>
          <w:tcPr>
            <w:tcW w:w="2268" w:type="dxa"/>
            <w:vAlign w:val="center"/>
          </w:tcPr>
          <w:p w14:paraId="61434FF7">
            <w:pPr>
              <w:pStyle w:val="12"/>
            </w:pPr>
            <w:r>
              <w:t>≥95%</w:t>
            </w:r>
          </w:p>
        </w:tc>
        <w:tc>
          <w:tcPr>
            <w:tcW w:w="1276" w:type="dxa"/>
            <w:vAlign w:val="center"/>
          </w:tcPr>
          <w:p w14:paraId="4F05A927">
            <w:pPr>
              <w:pStyle w:val="12"/>
            </w:pPr>
            <w:r>
              <w:t>城乡义务教育公用经费管理办法</w:t>
            </w:r>
          </w:p>
        </w:tc>
      </w:tr>
      <w:tr w14:paraId="63F39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4EEEA"/>
        </w:tc>
        <w:tc>
          <w:tcPr>
            <w:tcW w:w="2268" w:type="dxa"/>
            <w:vAlign w:val="center"/>
          </w:tcPr>
          <w:p w14:paraId="4400FD33">
            <w:pPr>
              <w:pStyle w:val="12"/>
            </w:pPr>
            <w:r>
              <w:t>时效指标</w:t>
            </w:r>
          </w:p>
        </w:tc>
        <w:tc>
          <w:tcPr>
            <w:tcW w:w="2835" w:type="dxa"/>
            <w:vAlign w:val="center"/>
          </w:tcPr>
          <w:p w14:paraId="53AFA6EE">
            <w:pPr>
              <w:pStyle w:val="12"/>
            </w:pPr>
            <w:r>
              <w:t>义教经费支付完成率</w:t>
            </w:r>
          </w:p>
        </w:tc>
        <w:tc>
          <w:tcPr>
            <w:tcW w:w="5386" w:type="dxa"/>
            <w:vAlign w:val="center"/>
          </w:tcPr>
          <w:p w14:paraId="65A14F86">
            <w:pPr>
              <w:pStyle w:val="12"/>
            </w:pPr>
            <w:r>
              <w:t>按照序时进度完成资金支付</w:t>
            </w:r>
          </w:p>
        </w:tc>
        <w:tc>
          <w:tcPr>
            <w:tcW w:w="2268" w:type="dxa"/>
            <w:vAlign w:val="center"/>
          </w:tcPr>
          <w:p w14:paraId="27706C00">
            <w:pPr>
              <w:pStyle w:val="12"/>
            </w:pPr>
            <w:r>
              <w:t>100%</w:t>
            </w:r>
          </w:p>
        </w:tc>
        <w:tc>
          <w:tcPr>
            <w:tcW w:w="1276" w:type="dxa"/>
            <w:vAlign w:val="center"/>
          </w:tcPr>
          <w:p w14:paraId="08FE32FB">
            <w:pPr>
              <w:pStyle w:val="12"/>
            </w:pPr>
            <w:r>
              <w:t>城乡义务教育公用经费管理办法</w:t>
            </w:r>
          </w:p>
        </w:tc>
      </w:tr>
      <w:tr w14:paraId="66E7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BF6EA"/>
        </w:tc>
        <w:tc>
          <w:tcPr>
            <w:tcW w:w="2268" w:type="dxa"/>
            <w:vAlign w:val="center"/>
          </w:tcPr>
          <w:p w14:paraId="5C292F1B">
            <w:pPr>
              <w:pStyle w:val="12"/>
            </w:pPr>
            <w:r>
              <w:t>成本指标</w:t>
            </w:r>
          </w:p>
        </w:tc>
        <w:tc>
          <w:tcPr>
            <w:tcW w:w="2835" w:type="dxa"/>
            <w:vAlign w:val="center"/>
          </w:tcPr>
          <w:p w14:paraId="43F94DDC">
            <w:pPr>
              <w:pStyle w:val="12"/>
            </w:pPr>
            <w:r>
              <w:t>生均拨款标准</w:t>
            </w:r>
          </w:p>
        </w:tc>
        <w:tc>
          <w:tcPr>
            <w:tcW w:w="5386" w:type="dxa"/>
            <w:vAlign w:val="center"/>
          </w:tcPr>
          <w:p w14:paraId="378D79F5">
            <w:pPr>
              <w:pStyle w:val="12"/>
            </w:pPr>
            <w:r>
              <w:t>小学生公用经费生均公用经费基准定额为720元/年/生，取暖费120元/年/生，住宿生补助300元/年/生的标准，随班就读学生补助7000元/生/年</w:t>
            </w:r>
          </w:p>
        </w:tc>
        <w:tc>
          <w:tcPr>
            <w:tcW w:w="2268" w:type="dxa"/>
            <w:vAlign w:val="center"/>
          </w:tcPr>
          <w:p w14:paraId="7FC2D790">
            <w:pPr>
              <w:pStyle w:val="12"/>
            </w:pPr>
            <w:r>
              <w:t>840元</w:t>
            </w:r>
          </w:p>
        </w:tc>
        <w:tc>
          <w:tcPr>
            <w:tcW w:w="1276" w:type="dxa"/>
            <w:vAlign w:val="center"/>
          </w:tcPr>
          <w:p w14:paraId="75CFF8B7">
            <w:pPr>
              <w:pStyle w:val="12"/>
            </w:pPr>
            <w:r>
              <w:t>城乡义务教育公用经费管理办法</w:t>
            </w:r>
          </w:p>
        </w:tc>
      </w:tr>
      <w:tr w14:paraId="15CC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6F763">
            <w:pPr>
              <w:pStyle w:val="13"/>
            </w:pPr>
            <w:r>
              <w:t>效益指标</w:t>
            </w:r>
          </w:p>
        </w:tc>
        <w:tc>
          <w:tcPr>
            <w:tcW w:w="2268" w:type="dxa"/>
            <w:vAlign w:val="center"/>
          </w:tcPr>
          <w:p w14:paraId="358FBDFB">
            <w:pPr>
              <w:pStyle w:val="12"/>
            </w:pPr>
            <w:r>
              <w:t>可持续影响指标</w:t>
            </w:r>
          </w:p>
        </w:tc>
        <w:tc>
          <w:tcPr>
            <w:tcW w:w="2835" w:type="dxa"/>
            <w:vAlign w:val="center"/>
          </w:tcPr>
          <w:p w14:paraId="22BECF56">
            <w:pPr>
              <w:pStyle w:val="12"/>
            </w:pPr>
            <w:r>
              <w:t>学校运转得到提高</w:t>
            </w:r>
          </w:p>
        </w:tc>
        <w:tc>
          <w:tcPr>
            <w:tcW w:w="5386" w:type="dxa"/>
            <w:vAlign w:val="center"/>
          </w:tcPr>
          <w:p w14:paraId="4D84B2E6">
            <w:pPr>
              <w:pStyle w:val="12"/>
            </w:pPr>
            <w:r>
              <w:t>学生受教育年限</w:t>
            </w:r>
          </w:p>
        </w:tc>
        <w:tc>
          <w:tcPr>
            <w:tcW w:w="2268" w:type="dxa"/>
            <w:vAlign w:val="center"/>
          </w:tcPr>
          <w:p w14:paraId="6429E3E3">
            <w:pPr>
              <w:pStyle w:val="12"/>
            </w:pPr>
            <w:r>
              <w:t>6年</w:t>
            </w:r>
          </w:p>
        </w:tc>
        <w:tc>
          <w:tcPr>
            <w:tcW w:w="1276" w:type="dxa"/>
            <w:vAlign w:val="center"/>
          </w:tcPr>
          <w:p w14:paraId="6E43AAF7">
            <w:pPr>
              <w:pStyle w:val="12"/>
            </w:pPr>
            <w:r>
              <w:t>城乡义务教育公用经费管理办法</w:t>
            </w:r>
          </w:p>
        </w:tc>
      </w:tr>
      <w:tr w14:paraId="49552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ADF0D">
            <w:pPr>
              <w:pStyle w:val="13"/>
            </w:pPr>
            <w:r>
              <w:t>满意度指标</w:t>
            </w:r>
          </w:p>
        </w:tc>
        <w:tc>
          <w:tcPr>
            <w:tcW w:w="2268" w:type="dxa"/>
            <w:vAlign w:val="center"/>
          </w:tcPr>
          <w:p w14:paraId="1F48765C">
            <w:pPr>
              <w:pStyle w:val="12"/>
            </w:pPr>
            <w:r>
              <w:t>服务对象满意度指标</w:t>
            </w:r>
          </w:p>
        </w:tc>
        <w:tc>
          <w:tcPr>
            <w:tcW w:w="2835" w:type="dxa"/>
            <w:vAlign w:val="center"/>
          </w:tcPr>
          <w:p w14:paraId="4D44E50C">
            <w:pPr>
              <w:pStyle w:val="12"/>
            </w:pPr>
            <w:r>
              <w:t>服务对象满意度</w:t>
            </w:r>
          </w:p>
        </w:tc>
        <w:tc>
          <w:tcPr>
            <w:tcW w:w="5386" w:type="dxa"/>
            <w:vAlign w:val="center"/>
          </w:tcPr>
          <w:p w14:paraId="5691CEB2">
            <w:pPr>
              <w:pStyle w:val="12"/>
            </w:pPr>
            <w:r>
              <w:t>学校老师和学生满意度</w:t>
            </w:r>
          </w:p>
        </w:tc>
        <w:tc>
          <w:tcPr>
            <w:tcW w:w="2268" w:type="dxa"/>
            <w:vAlign w:val="center"/>
          </w:tcPr>
          <w:p w14:paraId="5D04B866">
            <w:pPr>
              <w:pStyle w:val="12"/>
            </w:pPr>
            <w:r>
              <w:t>≥95%</w:t>
            </w:r>
          </w:p>
        </w:tc>
        <w:tc>
          <w:tcPr>
            <w:tcW w:w="1276" w:type="dxa"/>
            <w:vAlign w:val="center"/>
          </w:tcPr>
          <w:p w14:paraId="7C45D7B0">
            <w:pPr>
              <w:pStyle w:val="12"/>
            </w:pPr>
            <w:r>
              <w:t>群众测评</w:t>
            </w:r>
          </w:p>
        </w:tc>
      </w:tr>
    </w:tbl>
    <w:p w14:paraId="54D939E2">
      <w:pPr>
        <w:sectPr>
          <w:pgSz w:w="16840" w:h="11900" w:orient="landscape"/>
          <w:pgMar w:top="1361" w:right="1020" w:bottom="1134" w:left="1020" w:header="720" w:footer="720" w:gutter="0"/>
          <w:cols w:space="720" w:num="1"/>
        </w:sectPr>
      </w:pPr>
    </w:p>
    <w:p w14:paraId="0FD74254">
      <w:pPr>
        <w:spacing w:before="0" w:after="0"/>
        <w:ind w:firstLine="560"/>
        <w:jc w:val="left"/>
        <w:outlineLvl w:val="9"/>
      </w:pPr>
      <w:r>
        <w:rPr>
          <w:rFonts w:ascii="方正仿宋_GBK" w:hAnsi="方正仿宋_GBK" w:eastAsia="方正仿宋_GBK" w:cs="方正仿宋_GBK"/>
          <w:b/>
          <w:color w:val="000000"/>
          <w:sz w:val="28"/>
        </w:rPr>
        <w:t>22、县级配套/魏庄校区学前教育幼儿资助绩效目标表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80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4E216">
            <w:pPr>
              <w:pStyle w:val="11"/>
            </w:pPr>
            <w:r>
              <w:t>单位：万元</w:t>
            </w:r>
          </w:p>
        </w:tc>
      </w:tr>
      <w:tr w14:paraId="51823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0E070">
            <w:pPr>
              <w:pStyle w:val="10"/>
            </w:pPr>
            <w:r>
              <w:t>项目编码</w:t>
            </w:r>
          </w:p>
        </w:tc>
        <w:tc>
          <w:tcPr>
            <w:tcW w:w="5103" w:type="dxa"/>
            <w:gridSpan w:val="2"/>
            <w:vAlign w:val="center"/>
          </w:tcPr>
          <w:p w14:paraId="5BFF7403">
            <w:pPr>
              <w:pStyle w:val="12"/>
            </w:pPr>
            <w:r>
              <w:t>13052526P00000210081M</w:t>
            </w:r>
          </w:p>
        </w:tc>
        <w:tc>
          <w:tcPr>
            <w:tcW w:w="2835" w:type="dxa"/>
            <w:vAlign w:val="center"/>
          </w:tcPr>
          <w:p w14:paraId="1089D9E8">
            <w:pPr>
              <w:pStyle w:val="10"/>
            </w:pPr>
            <w:r>
              <w:t>项目名称</w:t>
            </w:r>
          </w:p>
        </w:tc>
        <w:tc>
          <w:tcPr>
            <w:tcW w:w="6095" w:type="dxa"/>
            <w:gridSpan w:val="3"/>
            <w:vAlign w:val="center"/>
          </w:tcPr>
          <w:p w14:paraId="5858675C">
            <w:pPr>
              <w:pStyle w:val="12"/>
            </w:pPr>
            <w:r>
              <w:t>县级配套/魏庄校区学前教育幼儿资助</w:t>
            </w:r>
          </w:p>
        </w:tc>
      </w:tr>
      <w:tr w14:paraId="25ADD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F8250">
            <w:pPr>
              <w:pStyle w:val="10"/>
            </w:pPr>
            <w:r>
              <w:t>预算规模及资金用途</w:t>
            </w:r>
          </w:p>
        </w:tc>
        <w:tc>
          <w:tcPr>
            <w:tcW w:w="2268" w:type="dxa"/>
            <w:vAlign w:val="center"/>
          </w:tcPr>
          <w:p w14:paraId="59CD6957">
            <w:pPr>
              <w:pStyle w:val="10"/>
            </w:pPr>
            <w:r>
              <w:t>预算数</w:t>
            </w:r>
          </w:p>
        </w:tc>
        <w:tc>
          <w:tcPr>
            <w:tcW w:w="2835" w:type="dxa"/>
            <w:vAlign w:val="center"/>
          </w:tcPr>
          <w:p w14:paraId="0B654140">
            <w:pPr>
              <w:pStyle w:val="12"/>
            </w:pPr>
            <w:r>
              <w:t>0.68</w:t>
            </w:r>
          </w:p>
        </w:tc>
        <w:tc>
          <w:tcPr>
            <w:tcW w:w="2835" w:type="dxa"/>
            <w:vAlign w:val="center"/>
          </w:tcPr>
          <w:p w14:paraId="2236D66E">
            <w:pPr>
              <w:pStyle w:val="10"/>
            </w:pPr>
            <w:r>
              <w:t>其中：财政    资金</w:t>
            </w:r>
          </w:p>
        </w:tc>
        <w:tc>
          <w:tcPr>
            <w:tcW w:w="2551" w:type="dxa"/>
            <w:vAlign w:val="center"/>
          </w:tcPr>
          <w:p w14:paraId="046BC669">
            <w:pPr>
              <w:pStyle w:val="12"/>
            </w:pPr>
            <w:r>
              <w:t>0.68</w:t>
            </w:r>
          </w:p>
        </w:tc>
        <w:tc>
          <w:tcPr>
            <w:tcW w:w="2268" w:type="dxa"/>
            <w:vAlign w:val="center"/>
          </w:tcPr>
          <w:p w14:paraId="48FA09FA">
            <w:pPr>
              <w:pStyle w:val="10"/>
            </w:pPr>
            <w:r>
              <w:t>其他资金</w:t>
            </w:r>
          </w:p>
        </w:tc>
        <w:tc>
          <w:tcPr>
            <w:tcW w:w="1276" w:type="dxa"/>
            <w:vAlign w:val="center"/>
          </w:tcPr>
          <w:p w14:paraId="5F803B56">
            <w:pPr>
              <w:pStyle w:val="12"/>
            </w:pPr>
            <w:r>
              <w:t xml:space="preserve"> </w:t>
            </w:r>
          </w:p>
        </w:tc>
      </w:tr>
      <w:tr w14:paraId="51578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70B7F"/>
        </w:tc>
        <w:tc>
          <w:tcPr>
            <w:tcW w:w="14033" w:type="dxa"/>
            <w:gridSpan w:val="6"/>
            <w:vAlign w:val="center"/>
          </w:tcPr>
          <w:p w14:paraId="6F17659B">
            <w:pPr>
              <w:pStyle w:val="12"/>
            </w:pPr>
            <w:r>
              <w:t>保障落实建档立卡及家庭经济困难儿童资助所需资金，确保建档立卡等家庭经济困难幼儿优先获得资助</w:t>
            </w:r>
          </w:p>
        </w:tc>
      </w:tr>
      <w:tr w14:paraId="1FCCB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490D1">
            <w:pPr>
              <w:pStyle w:val="10"/>
            </w:pPr>
            <w:r>
              <w:t>资金支出计划（%）</w:t>
            </w:r>
          </w:p>
        </w:tc>
        <w:tc>
          <w:tcPr>
            <w:tcW w:w="5103" w:type="dxa"/>
            <w:gridSpan w:val="2"/>
            <w:vAlign w:val="center"/>
          </w:tcPr>
          <w:p w14:paraId="081E1AC5">
            <w:pPr>
              <w:pStyle w:val="10"/>
            </w:pPr>
            <w:r>
              <w:t>3月底</w:t>
            </w:r>
          </w:p>
        </w:tc>
        <w:tc>
          <w:tcPr>
            <w:tcW w:w="2835" w:type="dxa"/>
            <w:vAlign w:val="center"/>
          </w:tcPr>
          <w:p w14:paraId="74795FE6">
            <w:pPr>
              <w:pStyle w:val="10"/>
            </w:pPr>
            <w:r>
              <w:t>6月底</w:t>
            </w:r>
          </w:p>
        </w:tc>
        <w:tc>
          <w:tcPr>
            <w:tcW w:w="2551" w:type="dxa"/>
            <w:vAlign w:val="center"/>
          </w:tcPr>
          <w:p w14:paraId="2A2E4441">
            <w:pPr>
              <w:pStyle w:val="10"/>
            </w:pPr>
            <w:r>
              <w:t>10月底</w:t>
            </w:r>
          </w:p>
        </w:tc>
        <w:tc>
          <w:tcPr>
            <w:tcW w:w="3544" w:type="dxa"/>
            <w:gridSpan w:val="2"/>
            <w:vAlign w:val="center"/>
          </w:tcPr>
          <w:p w14:paraId="1B87E6DB">
            <w:pPr>
              <w:pStyle w:val="10"/>
            </w:pPr>
            <w:r>
              <w:t>12月底</w:t>
            </w:r>
          </w:p>
        </w:tc>
      </w:tr>
      <w:tr w14:paraId="06B13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E33B3"/>
        </w:tc>
        <w:tc>
          <w:tcPr>
            <w:tcW w:w="5103" w:type="dxa"/>
            <w:gridSpan w:val="2"/>
            <w:vAlign w:val="center"/>
          </w:tcPr>
          <w:p w14:paraId="6BAE4910">
            <w:pPr>
              <w:pStyle w:val="13"/>
            </w:pPr>
            <w:r>
              <w:t>25%</w:t>
            </w:r>
          </w:p>
        </w:tc>
        <w:tc>
          <w:tcPr>
            <w:tcW w:w="2835" w:type="dxa"/>
            <w:vAlign w:val="center"/>
          </w:tcPr>
          <w:p w14:paraId="206E9F0B">
            <w:pPr>
              <w:pStyle w:val="13"/>
            </w:pPr>
            <w:r>
              <w:t>50%</w:t>
            </w:r>
          </w:p>
        </w:tc>
        <w:tc>
          <w:tcPr>
            <w:tcW w:w="2551" w:type="dxa"/>
            <w:vAlign w:val="center"/>
          </w:tcPr>
          <w:p w14:paraId="5C676280">
            <w:pPr>
              <w:pStyle w:val="13"/>
            </w:pPr>
            <w:r>
              <w:t>75%</w:t>
            </w:r>
          </w:p>
        </w:tc>
        <w:tc>
          <w:tcPr>
            <w:tcW w:w="3544" w:type="dxa"/>
            <w:gridSpan w:val="2"/>
            <w:vAlign w:val="center"/>
          </w:tcPr>
          <w:p w14:paraId="2A48462D">
            <w:pPr>
              <w:pStyle w:val="13"/>
            </w:pPr>
            <w:r>
              <w:t>100%</w:t>
            </w:r>
          </w:p>
        </w:tc>
      </w:tr>
      <w:tr w14:paraId="571C5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11265">
            <w:pPr>
              <w:pStyle w:val="10"/>
            </w:pPr>
            <w:r>
              <w:t>绩效目标</w:t>
            </w:r>
          </w:p>
        </w:tc>
        <w:tc>
          <w:tcPr>
            <w:tcW w:w="14033" w:type="dxa"/>
            <w:gridSpan w:val="6"/>
            <w:vAlign w:val="center"/>
          </w:tcPr>
          <w:p w14:paraId="4B85FF5D">
            <w:pPr>
              <w:pStyle w:val="12"/>
            </w:pPr>
            <w:r>
              <w:t>1.保障落实建档立卡及家庭经济困难儿童资助所需资金，确保建档立卡等家庭经济困难幼儿优先获得资助</w:t>
            </w:r>
          </w:p>
          <w:p w14:paraId="23668D45">
            <w:pPr>
              <w:pStyle w:val="12"/>
            </w:pPr>
            <w:r>
              <w:t>2.保证本年度资助经费足额落实到位，符合享受资助条件的学生应助尽助。</w:t>
            </w:r>
          </w:p>
        </w:tc>
      </w:tr>
    </w:tbl>
    <w:p w14:paraId="3A9D0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0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59D2C">
            <w:pPr>
              <w:pStyle w:val="10"/>
            </w:pPr>
            <w:r>
              <w:t>一级指标</w:t>
            </w:r>
          </w:p>
        </w:tc>
        <w:tc>
          <w:tcPr>
            <w:tcW w:w="2268" w:type="dxa"/>
            <w:vAlign w:val="center"/>
          </w:tcPr>
          <w:p w14:paraId="131E6CD2">
            <w:pPr>
              <w:pStyle w:val="10"/>
            </w:pPr>
            <w:r>
              <w:t>二级指标</w:t>
            </w:r>
          </w:p>
        </w:tc>
        <w:tc>
          <w:tcPr>
            <w:tcW w:w="2835" w:type="dxa"/>
            <w:vAlign w:val="center"/>
          </w:tcPr>
          <w:p w14:paraId="68E6BAB4">
            <w:pPr>
              <w:pStyle w:val="10"/>
            </w:pPr>
            <w:r>
              <w:t>三级指标</w:t>
            </w:r>
          </w:p>
        </w:tc>
        <w:tc>
          <w:tcPr>
            <w:tcW w:w="5386" w:type="dxa"/>
            <w:vAlign w:val="center"/>
          </w:tcPr>
          <w:p w14:paraId="3B3EDAE8">
            <w:pPr>
              <w:pStyle w:val="10"/>
            </w:pPr>
            <w:r>
              <w:t>绩效指标描述</w:t>
            </w:r>
          </w:p>
        </w:tc>
        <w:tc>
          <w:tcPr>
            <w:tcW w:w="2268" w:type="dxa"/>
            <w:vAlign w:val="center"/>
          </w:tcPr>
          <w:p w14:paraId="488263B8">
            <w:pPr>
              <w:pStyle w:val="10"/>
            </w:pPr>
            <w:r>
              <w:t>指标值</w:t>
            </w:r>
          </w:p>
        </w:tc>
        <w:tc>
          <w:tcPr>
            <w:tcW w:w="1276" w:type="dxa"/>
            <w:vAlign w:val="center"/>
          </w:tcPr>
          <w:p w14:paraId="35EEBEEC">
            <w:pPr>
              <w:pStyle w:val="10"/>
            </w:pPr>
            <w:r>
              <w:t>指标值确定依据</w:t>
            </w:r>
          </w:p>
        </w:tc>
      </w:tr>
      <w:tr w14:paraId="7A40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23E29">
            <w:pPr>
              <w:pStyle w:val="13"/>
            </w:pPr>
            <w:r>
              <w:t>产出指标</w:t>
            </w:r>
          </w:p>
        </w:tc>
        <w:tc>
          <w:tcPr>
            <w:tcW w:w="2268" w:type="dxa"/>
            <w:vAlign w:val="center"/>
          </w:tcPr>
          <w:p w14:paraId="462C1C79">
            <w:pPr>
              <w:pStyle w:val="12"/>
            </w:pPr>
            <w:r>
              <w:t>数量指标</w:t>
            </w:r>
          </w:p>
        </w:tc>
        <w:tc>
          <w:tcPr>
            <w:tcW w:w="2835" w:type="dxa"/>
            <w:vAlign w:val="center"/>
          </w:tcPr>
          <w:p w14:paraId="3F734B7B">
            <w:pPr>
              <w:pStyle w:val="12"/>
            </w:pPr>
            <w:r>
              <w:t>幼儿资助比例</w:t>
            </w:r>
          </w:p>
        </w:tc>
        <w:tc>
          <w:tcPr>
            <w:tcW w:w="5386" w:type="dxa"/>
            <w:vAlign w:val="center"/>
          </w:tcPr>
          <w:p w14:paraId="326D2761">
            <w:pPr>
              <w:pStyle w:val="12"/>
            </w:pPr>
            <w:r>
              <w:t>按学前适龄在园儿童10%测算</w:t>
            </w:r>
          </w:p>
        </w:tc>
        <w:tc>
          <w:tcPr>
            <w:tcW w:w="2268" w:type="dxa"/>
            <w:vAlign w:val="center"/>
          </w:tcPr>
          <w:p w14:paraId="3D143F48">
            <w:pPr>
              <w:pStyle w:val="12"/>
            </w:pPr>
            <w:r>
              <w:t>10%</w:t>
            </w:r>
          </w:p>
        </w:tc>
        <w:tc>
          <w:tcPr>
            <w:tcW w:w="1276" w:type="dxa"/>
            <w:vAlign w:val="center"/>
          </w:tcPr>
          <w:p w14:paraId="5EDD68B9">
            <w:pPr>
              <w:pStyle w:val="12"/>
            </w:pPr>
            <w:r>
              <w:t>幼儿资助经费管理办法</w:t>
            </w:r>
          </w:p>
        </w:tc>
      </w:tr>
      <w:tr w14:paraId="49AB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FE2EE"/>
        </w:tc>
        <w:tc>
          <w:tcPr>
            <w:tcW w:w="2268" w:type="dxa"/>
            <w:vAlign w:val="center"/>
          </w:tcPr>
          <w:p w14:paraId="7230D0E9">
            <w:pPr>
              <w:pStyle w:val="12"/>
            </w:pPr>
            <w:r>
              <w:t>质量指标</w:t>
            </w:r>
          </w:p>
        </w:tc>
        <w:tc>
          <w:tcPr>
            <w:tcW w:w="2835" w:type="dxa"/>
            <w:vAlign w:val="center"/>
          </w:tcPr>
          <w:p w14:paraId="45CA51EC">
            <w:pPr>
              <w:pStyle w:val="12"/>
            </w:pPr>
            <w:r>
              <w:t>资助资金使用率</w:t>
            </w:r>
          </w:p>
        </w:tc>
        <w:tc>
          <w:tcPr>
            <w:tcW w:w="5386" w:type="dxa"/>
            <w:vAlign w:val="center"/>
          </w:tcPr>
          <w:p w14:paraId="36ABC481">
            <w:pPr>
              <w:pStyle w:val="12"/>
            </w:pPr>
            <w:r>
              <w:t>符合享受资助条件的学生应助尽助</w:t>
            </w:r>
          </w:p>
        </w:tc>
        <w:tc>
          <w:tcPr>
            <w:tcW w:w="2268" w:type="dxa"/>
            <w:vAlign w:val="center"/>
          </w:tcPr>
          <w:p w14:paraId="427F381E">
            <w:pPr>
              <w:pStyle w:val="12"/>
            </w:pPr>
            <w:r>
              <w:t>100%</w:t>
            </w:r>
          </w:p>
        </w:tc>
        <w:tc>
          <w:tcPr>
            <w:tcW w:w="1276" w:type="dxa"/>
            <w:vAlign w:val="center"/>
          </w:tcPr>
          <w:p w14:paraId="61211C38">
            <w:pPr>
              <w:pStyle w:val="12"/>
            </w:pPr>
            <w:r>
              <w:t>幼儿资助经费管理办法</w:t>
            </w:r>
          </w:p>
        </w:tc>
      </w:tr>
      <w:tr w14:paraId="53AD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3CDAF"/>
        </w:tc>
        <w:tc>
          <w:tcPr>
            <w:tcW w:w="2268" w:type="dxa"/>
            <w:vAlign w:val="center"/>
          </w:tcPr>
          <w:p w14:paraId="5C268922">
            <w:pPr>
              <w:pStyle w:val="12"/>
            </w:pPr>
            <w:r>
              <w:t>时效指标</w:t>
            </w:r>
          </w:p>
        </w:tc>
        <w:tc>
          <w:tcPr>
            <w:tcW w:w="2835" w:type="dxa"/>
            <w:vAlign w:val="center"/>
          </w:tcPr>
          <w:p w14:paraId="2F7C8E81">
            <w:pPr>
              <w:pStyle w:val="12"/>
            </w:pPr>
            <w:r>
              <w:t>资金拨付率</w:t>
            </w:r>
          </w:p>
        </w:tc>
        <w:tc>
          <w:tcPr>
            <w:tcW w:w="5386" w:type="dxa"/>
            <w:vAlign w:val="center"/>
          </w:tcPr>
          <w:p w14:paraId="014BF3D9">
            <w:pPr>
              <w:pStyle w:val="12"/>
            </w:pPr>
            <w:r>
              <w:t>所有项目资金支付进度</w:t>
            </w:r>
          </w:p>
        </w:tc>
        <w:tc>
          <w:tcPr>
            <w:tcW w:w="2268" w:type="dxa"/>
            <w:vAlign w:val="center"/>
          </w:tcPr>
          <w:p w14:paraId="72191804">
            <w:pPr>
              <w:pStyle w:val="12"/>
            </w:pPr>
            <w:r>
              <w:t>100%</w:t>
            </w:r>
          </w:p>
        </w:tc>
        <w:tc>
          <w:tcPr>
            <w:tcW w:w="1276" w:type="dxa"/>
            <w:vAlign w:val="center"/>
          </w:tcPr>
          <w:p w14:paraId="7EDE556C">
            <w:pPr>
              <w:pStyle w:val="12"/>
            </w:pPr>
            <w:r>
              <w:t>幼儿资助经费管理办法</w:t>
            </w:r>
          </w:p>
        </w:tc>
      </w:tr>
      <w:tr w14:paraId="6492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BA87A"/>
        </w:tc>
        <w:tc>
          <w:tcPr>
            <w:tcW w:w="2268" w:type="dxa"/>
            <w:vAlign w:val="center"/>
          </w:tcPr>
          <w:p w14:paraId="4FD5082F">
            <w:pPr>
              <w:pStyle w:val="12"/>
            </w:pPr>
            <w:r>
              <w:t>成本指标</w:t>
            </w:r>
          </w:p>
        </w:tc>
        <w:tc>
          <w:tcPr>
            <w:tcW w:w="2835" w:type="dxa"/>
            <w:vAlign w:val="center"/>
          </w:tcPr>
          <w:p w14:paraId="3C76F386">
            <w:pPr>
              <w:pStyle w:val="12"/>
            </w:pPr>
            <w:r>
              <w:t>幼儿园生均成本</w:t>
            </w:r>
          </w:p>
        </w:tc>
        <w:tc>
          <w:tcPr>
            <w:tcW w:w="5386" w:type="dxa"/>
            <w:vAlign w:val="center"/>
          </w:tcPr>
          <w:p w14:paraId="1F6408A0">
            <w:pPr>
              <w:pStyle w:val="12"/>
            </w:pPr>
            <w:r>
              <w:t>按照幼儿园资助标准1000元/生/年</w:t>
            </w:r>
          </w:p>
        </w:tc>
        <w:tc>
          <w:tcPr>
            <w:tcW w:w="2268" w:type="dxa"/>
            <w:vAlign w:val="center"/>
          </w:tcPr>
          <w:p w14:paraId="2F5D6226">
            <w:pPr>
              <w:pStyle w:val="12"/>
            </w:pPr>
            <w:r>
              <w:t>1000元</w:t>
            </w:r>
          </w:p>
        </w:tc>
        <w:tc>
          <w:tcPr>
            <w:tcW w:w="1276" w:type="dxa"/>
            <w:vAlign w:val="center"/>
          </w:tcPr>
          <w:p w14:paraId="47A21378">
            <w:pPr>
              <w:pStyle w:val="12"/>
            </w:pPr>
            <w:r>
              <w:t>幼儿资助经费管理办法</w:t>
            </w:r>
          </w:p>
        </w:tc>
      </w:tr>
      <w:tr w14:paraId="267C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F51B8">
            <w:pPr>
              <w:pStyle w:val="13"/>
            </w:pPr>
            <w:r>
              <w:t>效益指标</w:t>
            </w:r>
          </w:p>
        </w:tc>
        <w:tc>
          <w:tcPr>
            <w:tcW w:w="2268" w:type="dxa"/>
            <w:vAlign w:val="center"/>
          </w:tcPr>
          <w:p w14:paraId="44B1ACF1">
            <w:pPr>
              <w:pStyle w:val="12"/>
            </w:pPr>
            <w:r>
              <w:t>可持续影响指标</w:t>
            </w:r>
          </w:p>
        </w:tc>
        <w:tc>
          <w:tcPr>
            <w:tcW w:w="2835" w:type="dxa"/>
            <w:vAlign w:val="center"/>
          </w:tcPr>
          <w:p w14:paraId="5207791F">
            <w:pPr>
              <w:pStyle w:val="12"/>
            </w:pPr>
            <w:r>
              <w:t>幼儿园正常运转</w:t>
            </w:r>
          </w:p>
        </w:tc>
        <w:tc>
          <w:tcPr>
            <w:tcW w:w="5386" w:type="dxa"/>
            <w:vAlign w:val="center"/>
          </w:tcPr>
          <w:p w14:paraId="058DA103">
            <w:pPr>
              <w:pStyle w:val="12"/>
            </w:pPr>
            <w:r>
              <w:t>幼儿受教育年限</w:t>
            </w:r>
          </w:p>
        </w:tc>
        <w:tc>
          <w:tcPr>
            <w:tcW w:w="2268" w:type="dxa"/>
            <w:vAlign w:val="center"/>
          </w:tcPr>
          <w:p w14:paraId="3F8D35CE">
            <w:pPr>
              <w:pStyle w:val="12"/>
            </w:pPr>
            <w:r>
              <w:t>3年</w:t>
            </w:r>
          </w:p>
        </w:tc>
        <w:tc>
          <w:tcPr>
            <w:tcW w:w="1276" w:type="dxa"/>
            <w:vAlign w:val="center"/>
          </w:tcPr>
          <w:p w14:paraId="6A2F5972">
            <w:pPr>
              <w:pStyle w:val="12"/>
            </w:pPr>
            <w:r>
              <w:t>幼儿资助经费管理办法</w:t>
            </w:r>
          </w:p>
        </w:tc>
      </w:tr>
      <w:tr w14:paraId="1F02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B8012">
            <w:pPr>
              <w:pStyle w:val="13"/>
            </w:pPr>
            <w:r>
              <w:t>满意度指标</w:t>
            </w:r>
          </w:p>
        </w:tc>
        <w:tc>
          <w:tcPr>
            <w:tcW w:w="2268" w:type="dxa"/>
            <w:vAlign w:val="center"/>
          </w:tcPr>
          <w:p w14:paraId="21E6FF71">
            <w:pPr>
              <w:pStyle w:val="12"/>
            </w:pPr>
            <w:r>
              <w:t>服务对象满意度指标</w:t>
            </w:r>
          </w:p>
        </w:tc>
        <w:tc>
          <w:tcPr>
            <w:tcW w:w="2835" w:type="dxa"/>
            <w:vAlign w:val="center"/>
          </w:tcPr>
          <w:p w14:paraId="7FEE6EA2">
            <w:pPr>
              <w:pStyle w:val="12"/>
            </w:pPr>
            <w:r>
              <w:t>受益幼儿家长及调查满意度</w:t>
            </w:r>
          </w:p>
        </w:tc>
        <w:tc>
          <w:tcPr>
            <w:tcW w:w="5386" w:type="dxa"/>
            <w:vAlign w:val="center"/>
          </w:tcPr>
          <w:p w14:paraId="63898089">
            <w:pPr>
              <w:pStyle w:val="12"/>
            </w:pPr>
            <w:r>
              <w:t>学生、教师及家长对学校保教保育工作满意度情况</w:t>
            </w:r>
          </w:p>
        </w:tc>
        <w:tc>
          <w:tcPr>
            <w:tcW w:w="2268" w:type="dxa"/>
            <w:vAlign w:val="center"/>
          </w:tcPr>
          <w:p w14:paraId="57BFF1AD">
            <w:pPr>
              <w:pStyle w:val="12"/>
            </w:pPr>
            <w:r>
              <w:t>≥95%</w:t>
            </w:r>
          </w:p>
        </w:tc>
        <w:tc>
          <w:tcPr>
            <w:tcW w:w="1276" w:type="dxa"/>
            <w:vAlign w:val="center"/>
          </w:tcPr>
          <w:p w14:paraId="739039B0">
            <w:pPr>
              <w:pStyle w:val="12"/>
            </w:pPr>
            <w:r>
              <w:t>幼儿资助经费管理办法</w:t>
            </w:r>
          </w:p>
        </w:tc>
      </w:tr>
    </w:tbl>
    <w:p w14:paraId="13A7D949">
      <w:pPr>
        <w:sectPr>
          <w:pgSz w:w="16840" w:h="11900" w:orient="landscape"/>
          <w:pgMar w:top="1361" w:right="1020" w:bottom="1134" w:left="1020" w:header="720" w:footer="720" w:gutter="0"/>
          <w:cols w:space="720" w:num="1"/>
        </w:sectPr>
      </w:pPr>
    </w:p>
    <w:p w14:paraId="489AB231">
      <w:pPr>
        <w:spacing w:before="0" w:after="0"/>
        <w:ind w:firstLine="560"/>
        <w:jc w:val="left"/>
        <w:outlineLvl w:val="9"/>
      </w:pPr>
      <w:r>
        <w:rPr>
          <w:rFonts w:ascii="方正仿宋_GBK" w:hAnsi="方正仿宋_GBK" w:eastAsia="方正仿宋_GBK" w:cs="方正仿宋_GBK"/>
          <w:b/>
          <w:color w:val="000000"/>
          <w:sz w:val="28"/>
        </w:rPr>
        <w:t>23、县级配套/魏庄校区张汪小学公用经费绩效目标表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AB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54844">
            <w:pPr>
              <w:pStyle w:val="11"/>
            </w:pPr>
            <w:r>
              <w:t>单位：万元</w:t>
            </w:r>
          </w:p>
        </w:tc>
      </w:tr>
      <w:tr w14:paraId="1B596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AC96D">
            <w:pPr>
              <w:pStyle w:val="10"/>
            </w:pPr>
            <w:r>
              <w:t>项目编码</w:t>
            </w:r>
          </w:p>
        </w:tc>
        <w:tc>
          <w:tcPr>
            <w:tcW w:w="5103" w:type="dxa"/>
            <w:gridSpan w:val="2"/>
            <w:vAlign w:val="center"/>
          </w:tcPr>
          <w:p w14:paraId="18775DCE">
            <w:pPr>
              <w:pStyle w:val="12"/>
            </w:pPr>
            <w:r>
              <w:t>13052526P000004104288</w:t>
            </w:r>
          </w:p>
        </w:tc>
        <w:tc>
          <w:tcPr>
            <w:tcW w:w="2835" w:type="dxa"/>
            <w:vAlign w:val="center"/>
          </w:tcPr>
          <w:p w14:paraId="2ED039E1">
            <w:pPr>
              <w:pStyle w:val="10"/>
            </w:pPr>
            <w:r>
              <w:t>项目名称</w:t>
            </w:r>
          </w:p>
        </w:tc>
        <w:tc>
          <w:tcPr>
            <w:tcW w:w="6095" w:type="dxa"/>
            <w:gridSpan w:val="3"/>
            <w:vAlign w:val="center"/>
          </w:tcPr>
          <w:p w14:paraId="7AB56064">
            <w:pPr>
              <w:pStyle w:val="12"/>
            </w:pPr>
            <w:r>
              <w:t>县级配套/魏庄校区张汪小学公用经费</w:t>
            </w:r>
          </w:p>
        </w:tc>
      </w:tr>
      <w:tr w14:paraId="21493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14ECC">
            <w:pPr>
              <w:pStyle w:val="10"/>
            </w:pPr>
            <w:r>
              <w:t>预算规模及资金用途</w:t>
            </w:r>
          </w:p>
        </w:tc>
        <w:tc>
          <w:tcPr>
            <w:tcW w:w="2268" w:type="dxa"/>
            <w:vAlign w:val="center"/>
          </w:tcPr>
          <w:p w14:paraId="02C637C3">
            <w:pPr>
              <w:pStyle w:val="10"/>
            </w:pPr>
            <w:r>
              <w:t>预算数</w:t>
            </w:r>
          </w:p>
        </w:tc>
        <w:tc>
          <w:tcPr>
            <w:tcW w:w="2835" w:type="dxa"/>
            <w:vAlign w:val="center"/>
          </w:tcPr>
          <w:p w14:paraId="3BD7E33B">
            <w:pPr>
              <w:pStyle w:val="12"/>
            </w:pPr>
            <w:r>
              <w:t>4.72</w:t>
            </w:r>
          </w:p>
        </w:tc>
        <w:tc>
          <w:tcPr>
            <w:tcW w:w="2835" w:type="dxa"/>
            <w:vAlign w:val="center"/>
          </w:tcPr>
          <w:p w14:paraId="582722D7">
            <w:pPr>
              <w:pStyle w:val="10"/>
            </w:pPr>
            <w:r>
              <w:t>其中：财政    资金</w:t>
            </w:r>
          </w:p>
        </w:tc>
        <w:tc>
          <w:tcPr>
            <w:tcW w:w="2551" w:type="dxa"/>
            <w:vAlign w:val="center"/>
          </w:tcPr>
          <w:p w14:paraId="0C8BF9F1">
            <w:pPr>
              <w:pStyle w:val="12"/>
            </w:pPr>
            <w:r>
              <w:t>4.72</w:t>
            </w:r>
          </w:p>
        </w:tc>
        <w:tc>
          <w:tcPr>
            <w:tcW w:w="2268" w:type="dxa"/>
            <w:vAlign w:val="center"/>
          </w:tcPr>
          <w:p w14:paraId="2ACA2464">
            <w:pPr>
              <w:pStyle w:val="10"/>
            </w:pPr>
            <w:r>
              <w:t>其他资金</w:t>
            </w:r>
          </w:p>
        </w:tc>
        <w:tc>
          <w:tcPr>
            <w:tcW w:w="1276" w:type="dxa"/>
            <w:vAlign w:val="center"/>
          </w:tcPr>
          <w:p w14:paraId="4A9E4D94">
            <w:pPr>
              <w:pStyle w:val="12"/>
            </w:pPr>
            <w:r>
              <w:t xml:space="preserve"> </w:t>
            </w:r>
          </w:p>
        </w:tc>
      </w:tr>
      <w:tr w14:paraId="5E24C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80A1C"/>
        </w:tc>
        <w:tc>
          <w:tcPr>
            <w:tcW w:w="14033" w:type="dxa"/>
            <w:gridSpan w:val="6"/>
            <w:vAlign w:val="center"/>
          </w:tcPr>
          <w:p w14:paraId="2CA22EF0">
            <w:pPr>
              <w:pStyle w:val="12"/>
            </w:pPr>
            <w:r>
              <w:t>保障学校正常运转，完成各项教育教学活动和其他日常工作任务等方面的费用支出。</w:t>
            </w:r>
          </w:p>
        </w:tc>
      </w:tr>
      <w:tr w14:paraId="45B14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3836E">
            <w:pPr>
              <w:pStyle w:val="10"/>
            </w:pPr>
            <w:r>
              <w:t>资金支出计划（%）</w:t>
            </w:r>
          </w:p>
        </w:tc>
        <w:tc>
          <w:tcPr>
            <w:tcW w:w="5103" w:type="dxa"/>
            <w:gridSpan w:val="2"/>
            <w:vAlign w:val="center"/>
          </w:tcPr>
          <w:p w14:paraId="6AE785F6">
            <w:pPr>
              <w:pStyle w:val="10"/>
            </w:pPr>
            <w:r>
              <w:t>3月底</w:t>
            </w:r>
          </w:p>
        </w:tc>
        <w:tc>
          <w:tcPr>
            <w:tcW w:w="2835" w:type="dxa"/>
            <w:vAlign w:val="center"/>
          </w:tcPr>
          <w:p w14:paraId="71604971">
            <w:pPr>
              <w:pStyle w:val="10"/>
            </w:pPr>
            <w:r>
              <w:t>6月底</w:t>
            </w:r>
          </w:p>
        </w:tc>
        <w:tc>
          <w:tcPr>
            <w:tcW w:w="2551" w:type="dxa"/>
            <w:vAlign w:val="center"/>
          </w:tcPr>
          <w:p w14:paraId="456978A2">
            <w:pPr>
              <w:pStyle w:val="10"/>
            </w:pPr>
            <w:r>
              <w:t>10月底</w:t>
            </w:r>
          </w:p>
        </w:tc>
        <w:tc>
          <w:tcPr>
            <w:tcW w:w="3544" w:type="dxa"/>
            <w:gridSpan w:val="2"/>
            <w:vAlign w:val="center"/>
          </w:tcPr>
          <w:p w14:paraId="0B1F6B0A">
            <w:pPr>
              <w:pStyle w:val="10"/>
            </w:pPr>
            <w:r>
              <w:t>12月底</w:t>
            </w:r>
          </w:p>
        </w:tc>
      </w:tr>
      <w:tr w14:paraId="4C582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17C5C"/>
        </w:tc>
        <w:tc>
          <w:tcPr>
            <w:tcW w:w="5103" w:type="dxa"/>
            <w:gridSpan w:val="2"/>
            <w:vAlign w:val="center"/>
          </w:tcPr>
          <w:p w14:paraId="627B307D">
            <w:pPr>
              <w:pStyle w:val="13"/>
            </w:pPr>
            <w:r>
              <w:t>25%</w:t>
            </w:r>
          </w:p>
        </w:tc>
        <w:tc>
          <w:tcPr>
            <w:tcW w:w="2835" w:type="dxa"/>
            <w:vAlign w:val="center"/>
          </w:tcPr>
          <w:p w14:paraId="28DCA5F8">
            <w:pPr>
              <w:pStyle w:val="13"/>
            </w:pPr>
            <w:r>
              <w:t>50%</w:t>
            </w:r>
          </w:p>
        </w:tc>
        <w:tc>
          <w:tcPr>
            <w:tcW w:w="2551" w:type="dxa"/>
            <w:vAlign w:val="center"/>
          </w:tcPr>
          <w:p w14:paraId="4021AE9A">
            <w:pPr>
              <w:pStyle w:val="13"/>
            </w:pPr>
            <w:r>
              <w:t>75%</w:t>
            </w:r>
          </w:p>
        </w:tc>
        <w:tc>
          <w:tcPr>
            <w:tcW w:w="3544" w:type="dxa"/>
            <w:gridSpan w:val="2"/>
            <w:vAlign w:val="center"/>
          </w:tcPr>
          <w:p w14:paraId="76597B29">
            <w:pPr>
              <w:pStyle w:val="13"/>
            </w:pPr>
            <w:r>
              <w:t>100%</w:t>
            </w:r>
          </w:p>
        </w:tc>
      </w:tr>
      <w:tr w14:paraId="14CC8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E1B3B">
            <w:pPr>
              <w:pStyle w:val="10"/>
            </w:pPr>
            <w:r>
              <w:t>绩效目标</w:t>
            </w:r>
          </w:p>
        </w:tc>
        <w:tc>
          <w:tcPr>
            <w:tcW w:w="14033" w:type="dxa"/>
            <w:gridSpan w:val="6"/>
            <w:vAlign w:val="center"/>
          </w:tcPr>
          <w:p w14:paraId="1EC739DD">
            <w:pPr>
              <w:pStyle w:val="12"/>
            </w:pPr>
            <w:r>
              <w:t>1.保障学校正常运转，完成各项教育教学活动和其他日常工作任务等方面的费用支出。</w:t>
            </w:r>
          </w:p>
          <w:p w14:paraId="31FE2203">
            <w:pPr>
              <w:pStyle w:val="12"/>
            </w:pPr>
            <w:r>
              <w:t>2.按季度分批次拨付公用经费资金，资金拨付率达到100%。</w:t>
            </w:r>
          </w:p>
        </w:tc>
      </w:tr>
    </w:tbl>
    <w:p w14:paraId="7E6FAB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D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2AA2A">
            <w:pPr>
              <w:pStyle w:val="10"/>
            </w:pPr>
            <w:r>
              <w:t>一级指标</w:t>
            </w:r>
          </w:p>
        </w:tc>
        <w:tc>
          <w:tcPr>
            <w:tcW w:w="2268" w:type="dxa"/>
            <w:vAlign w:val="center"/>
          </w:tcPr>
          <w:p w14:paraId="2FFAF3CC">
            <w:pPr>
              <w:pStyle w:val="10"/>
            </w:pPr>
            <w:r>
              <w:t>二级指标</w:t>
            </w:r>
          </w:p>
        </w:tc>
        <w:tc>
          <w:tcPr>
            <w:tcW w:w="2835" w:type="dxa"/>
            <w:vAlign w:val="center"/>
          </w:tcPr>
          <w:p w14:paraId="2E00C965">
            <w:pPr>
              <w:pStyle w:val="10"/>
            </w:pPr>
            <w:r>
              <w:t>三级指标</w:t>
            </w:r>
          </w:p>
        </w:tc>
        <w:tc>
          <w:tcPr>
            <w:tcW w:w="5386" w:type="dxa"/>
            <w:vAlign w:val="center"/>
          </w:tcPr>
          <w:p w14:paraId="3DAD9D6C">
            <w:pPr>
              <w:pStyle w:val="10"/>
            </w:pPr>
            <w:r>
              <w:t>绩效指标描述</w:t>
            </w:r>
          </w:p>
        </w:tc>
        <w:tc>
          <w:tcPr>
            <w:tcW w:w="2268" w:type="dxa"/>
            <w:vAlign w:val="center"/>
          </w:tcPr>
          <w:p w14:paraId="4ECA5184">
            <w:pPr>
              <w:pStyle w:val="10"/>
            </w:pPr>
            <w:r>
              <w:t>指标值</w:t>
            </w:r>
          </w:p>
        </w:tc>
        <w:tc>
          <w:tcPr>
            <w:tcW w:w="1276" w:type="dxa"/>
            <w:vAlign w:val="center"/>
          </w:tcPr>
          <w:p w14:paraId="1B14744C">
            <w:pPr>
              <w:pStyle w:val="10"/>
            </w:pPr>
            <w:r>
              <w:t>指标值确定依据</w:t>
            </w:r>
          </w:p>
        </w:tc>
      </w:tr>
      <w:tr w14:paraId="269B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B8B90">
            <w:pPr>
              <w:pStyle w:val="13"/>
            </w:pPr>
            <w:r>
              <w:t>产出指标</w:t>
            </w:r>
          </w:p>
        </w:tc>
        <w:tc>
          <w:tcPr>
            <w:tcW w:w="2268" w:type="dxa"/>
            <w:vAlign w:val="center"/>
          </w:tcPr>
          <w:p w14:paraId="69795967">
            <w:pPr>
              <w:pStyle w:val="12"/>
            </w:pPr>
            <w:r>
              <w:t>数量指标</w:t>
            </w:r>
          </w:p>
        </w:tc>
        <w:tc>
          <w:tcPr>
            <w:tcW w:w="2835" w:type="dxa"/>
            <w:vAlign w:val="center"/>
          </w:tcPr>
          <w:p w14:paraId="7EDBCD34">
            <w:pPr>
              <w:pStyle w:val="12"/>
            </w:pPr>
            <w:r>
              <w:t>就读学生数</w:t>
            </w:r>
          </w:p>
        </w:tc>
        <w:tc>
          <w:tcPr>
            <w:tcW w:w="5386" w:type="dxa"/>
            <w:vAlign w:val="center"/>
          </w:tcPr>
          <w:p w14:paraId="3A9FDEAA">
            <w:pPr>
              <w:pStyle w:val="12"/>
            </w:pPr>
            <w:r>
              <w:t>辐射区域内适龄学生人数</w:t>
            </w:r>
          </w:p>
        </w:tc>
        <w:tc>
          <w:tcPr>
            <w:tcW w:w="2268" w:type="dxa"/>
            <w:vAlign w:val="center"/>
          </w:tcPr>
          <w:p w14:paraId="6EB6B0FE">
            <w:pPr>
              <w:pStyle w:val="12"/>
            </w:pPr>
            <w:r>
              <w:t>557人</w:t>
            </w:r>
          </w:p>
        </w:tc>
        <w:tc>
          <w:tcPr>
            <w:tcW w:w="1276" w:type="dxa"/>
            <w:vAlign w:val="center"/>
          </w:tcPr>
          <w:p w14:paraId="5E3560C9">
            <w:pPr>
              <w:pStyle w:val="12"/>
            </w:pPr>
            <w:r>
              <w:t>城乡义务教育公用经费管理办法</w:t>
            </w:r>
          </w:p>
        </w:tc>
      </w:tr>
      <w:tr w14:paraId="3B69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C0585"/>
        </w:tc>
        <w:tc>
          <w:tcPr>
            <w:tcW w:w="2268" w:type="dxa"/>
            <w:vAlign w:val="center"/>
          </w:tcPr>
          <w:p w14:paraId="71756054">
            <w:pPr>
              <w:pStyle w:val="12"/>
            </w:pPr>
            <w:r>
              <w:t>质量指标</w:t>
            </w:r>
          </w:p>
        </w:tc>
        <w:tc>
          <w:tcPr>
            <w:tcW w:w="2835" w:type="dxa"/>
            <w:vAlign w:val="center"/>
          </w:tcPr>
          <w:p w14:paraId="3552711C">
            <w:pPr>
              <w:pStyle w:val="12"/>
            </w:pPr>
            <w:r>
              <w:t>预算执行率</w:t>
            </w:r>
          </w:p>
        </w:tc>
        <w:tc>
          <w:tcPr>
            <w:tcW w:w="5386" w:type="dxa"/>
            <w:vAlign w:val="center"/>
          </w:tcPr>
          <w:p w14:paraId="75BB9117">
            <w:pPr>
              <w:pStyle w:val="12"/>
            </w:pPr>
            <w:r>
              <w:t>预算执行率</w:t>
            </w:r>
          </w:p>
        </w:tc>
        <w:tc>
          <w:tcPr>
            <w:tcW w:w="2268" w:type="dxa"/>
            <w:vAlign w:val="center"/>
          </w:tcPr>
          <w:p w14:paraId="3044D5B9">
            <w:pPr>
              <w:pStyle w:val="12"/>
            </w:pPr>
            <w:r>
              <w:t>≥95%</w:t>
            </w:r>
          </w:p>
        </w:tc>
        <w:tc>
          <w:tcPr>
            <w:tcW w:w="1276" w:type="dxa"/>
            <w:vAlign w:val="center"/>
          </w:tcPr>
          <w:p w14:paraId="4DB8E73F">
            <w:pPr>
              <w:pStyle w:val="12"/>
            </w:pPr>
            <w:r>
              <w:t>城乡义务教育公用经费管理办法</w:t>
            </w:r>
          </w:p>
        </w:tc>
      </w:tr>
      <w:tr w14:paraId="532D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D404D"/>
        </w:tc>
        <w:tc>
          <w:tcPr>
            <w:tcW w:w="2268" w:type="dxa"/>
            <w:vAlign w:val="center"/>
          </w:tcPr>
          <w:p w14:paraId="67B77A36">
            <w:pPr>
              <w:pStyle w:val="12"/>
            </w:pPr>
            <w:r>
              <w:t>时效指标</w:t>
            </w:r>
          </w:p>
        </w:tc>
        <w:tc>
          <w:tcPr>
            <w:tcW w:w="2835" w:type="dxa"/>
            <w:vAlign w:val="center"/>
          </w:tcPr>
          <w:p w14:paraId="2551360D">
            <w:pPr>
              <w:pStyle w:val="12"/>
            </w:pPr>
            <w:r>
              <w:t>义教经费支付完成率</w:t>
            </w:r>
          </w:p>
        </w:tc>
        <w:tc>
          <w:tcPr>
            <w:tcW w:w="5386" w:type="dxa"/>
            <w:vAlign w:val="center"/>
          </w:tcPr>
          <w:p w14:paraId="676EA441">
            <w:pPr>
              <w:pStyle w:val="12"/>
            </w:pPr>
            <w:r>
              <w:t>按照序时进度完成资金支付</w:t>
            </w:r>
          </w:p>
        </w:tc>
        <w:tc>
          <w:tcPr>
            <w:tcW w:w="2268" w:type="dxa"/>
            <w:vAlign w:val="center"/>
          </w:tcPr>
          <w:p w14:paraId="3322E421">
            <w:pPr>
              <w:pStyle w:val="12"/>
            </w:pPr>
            <w:r>
              <w:t>100%</w:t>
            </w:r>
          </w:p>
        </w:tc>
        <w:tc>
          <w:tcPr>
            <w:tcW w:w="1276" w:type="dxa"/>
            <w:vAlign w:val="center"/>
          </w:tcPr>
          <w:p w14:paraId="4EDD222A">
            <w:pPr>
              <w:pStyle w:val="12"/>
            </w:pPr>
            <w:r>
              <w:t>城乡义务教育公用经费管理办法</w:t>
            </w:r>
          </w:p>
        </w:tc>
      </w:tr>
      <w:tr w14:paraId="03CD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CBE5B"/>
        </w:tc>
        <w:tc>
          <w:tcPr>
            <w:tcW w:w="2268" w:type="dxa"/>
            <w:vAlign w:val="center"/>
          </w:tcPr>
          <w:p w14:paraId="3FB23217">
            <w:pPr>
              <w:pStyle w:val="12"/>
            </w:pPr>
            <w:r>
              <w:t>成本指标</w:t>
            </w:r>
          </w:p>
        </w:tc>
        <w:tc>
          <w:tcPr>
            <w:tcW w:w="2835" w:type="dxa"/>
            <w:vAlign w:val="center"/>
          </w:tcPr>
          <w:p w14:paraId="65964E7E">
            <w:pPr>
              <w:pStyle w:val="12"/>
            </w:pPr>
            <w:r>
              <w:t>生均拨款标准</w:t>
            </w:r>
          </w:p>
        </w:tc>
        <w:tc>
          <w:tcPr>
            <w:tcW w:w="5386" w:type="dxa"/>
            <w:vAlign w:val="center"/>
          </w:tcPr>
          <w:p w14:paraId="50020008">
            <w:pPr>
              <w:pStyle w:val="12"/>
            </w:pPr>
            <w:r>
              <w:t>小学生公用经费生均公用经费基准定额为720元/年/生，取暖费120元/年/生，住宿生补助300元/年/生的标准，随班就读学生补助7000元/生/年</w:t>
            </w:r>
          </w:p>
        </w:tc>
        <w:tc>
          <w:tcPr>
            <w:tcW w:w="2268" w:type="dxa"/>
            <w:vAlign w:val="center"/>
          </w:tcPr>
          <w:p w14:paraId="5C363182">
            <w:pPr>
              <w:pStyle w:val="12"/>
            </w:pPr>
            <w:r>
              <w:t>840元</w:t>
            </w:r>
          </w:p>
        </w:tc>
        <w:tc>
          <w:tcPr>
            <w:tcW w:w="1276" w:type="dxa"/>
            <w:vAlign w:val="center"/>
          </w:tcPr>
          <w:p w14:paraId="4EDBFF8C">
            <w:pPr>
              <w:pStyle w:val="12"/>
            </w:pPr>
            <w:r>
              <w:t>城乡义务教育公用经费管理办法</w:t>
            </w:r>
          </w:p>
        </w:tc>
      </w:tr>
      <w:tr w14:paraId="652D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3CD4B">
            <w:pPr>
              <w:pStyle w:val="13"/>
            </w:pPr>
            <w:r>
              <w:t>效益指标</w:t>
            </w:r>
          </w:p>
        </w:tc>
        <w:tc>
          <w:tcPr>
            <w:tcW w:w="2268" w:type="dxa"/>
            <w:vAlign w:val="center"/>
          </w:tcPr>
          <w:p w14:paraId="090A67B6">
            <w:pPr>
              <w:pStyle w:val="12"/>
            </w:pPr>
            <w:r>
              <w:t>可持续影响指标</w:t>
            </w:r>
          </w:p>
        </w:tc>
        <w:tc>
          <w:tcPr>
            <w:tcW w:w="2835" w:type="dxa"/>
            <w:vAlign w:val="center"/>
          </w:tcPr>
          <w:p w14:paraId="3FB4C698">
            <w:pPr>
              <w:pStyle w:val="12"/>
            </w:pPr>
            <w:r>
              <w:t>学校运转得到提高</w:t>
            </w:r>
          </w:p>
        </w:tc>
        <w:tc>
          <w:tcPr>
            <w:tcW w:w="5386" w:type="dxa"/>
            <w:vAlign w:val="center"/>
          </w:tcPr>
          <w:p w14:paraId="2855CA83">
            <w:pPr>
              <w:pStyle w:val="12"/>
            </w:pPr>
            <w:r>
              <w:t>学生受教育年限</w:t>
            </w:r>
          </w:p>
        </w:tc>
        <w:tc>
          <w:tcPr>
            <w:tcW w:w="2268" w:type="dxa"/>
            <w:vAlign w:val="center"/>
          </w:tcPr>
          <w:p w14:paraId="6F2D9AF7">
            <w:pPr>
              <w:pStyle w:val="12"/>
            </w:pPr>
            <w:r>
              <w:t>6年</w:t>
            </w:r>
          </w:p>
        </w:tc>
        <w:tc>
          <w:tcPr>
            <w:tcW w:w="1276" w:type="dxa"/>
            <w:vAlign w:val="center"/>
          </w:tcPr>
          <w:p w14:paraId="287E7C83">
            <w:pPr>
              <w:pStyle w:val="12"/>
            </w:pPr>
            <w:r>
              <w:t>城乡义务教育公用经费管理办法</w:t>
            </w:r>
          </w:p>
        </w:tc>
      </w:tr>
      <w:tr w14:paraId="0F16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F3516">
            <w:pPr>
              <w:pStyle w:val="13"/>
            </w:pPr>
            <w:r>
              <w:t>满意度指标</w:t>
            </w:r>
          </w:p>
        </w:tc>
        <w:tc>
          <w:tcPr>
            <w:tcW w:w="2268" w:type="dxa"/>
            <w:vAlign w:val="center"/>
          </w:tcPr>
          <w:p w14:paraId="5FE9B6CB">
            <w:pPr>
              <w:pStyle w:val="12"/>
            </w:pPr>
            <w:r>
              <w:t>服务对象满意度指标</w:t>
            </w:r>
          </w:p>
        </w:tc>
        <w:tc>
          <w:tcPr>
            <w:tcW w:w="2835" w:type="dxa"/>
            <w:vAlign w:val="center"/>
          </w:tcPr>
          <w:p w14:paraId="1AE65404">
            <w:pPr>
              <w:pStyle w:val="12"/>
            </w:pPr>
            <w:r>
              <w:t>服务对象满意度</w:t>
            </w:r>
          </w:p>
        </w:tc>
        <w:tc>
          <w:tcPr>
            <w:tcW w:w="5386" w:type="dxa"/>
            <w:vAlign w:val="center"/>
          </w:tcPr>
          <w:p w14:paraId="1D992B91">
            <w:pPr>
              <w:pStyle w:val="12"/>
            </w:pPr>
            <w:r>
              <w:t>学校老师和学生满意度</w:t>
            </w:r>
          </w:p>
        </w:tc>
        <w:tc>
          <w:tcPr>
            <w:tcW w:w="2268" w:type="dxa"/>
            <w:vAlign w:val="center"/>
          </w:tcPr>
          <w:p w14:paraId="389D959D">
            <w:pPr>
              <w:pStyle w:val="12"/>
            </w:pPr>
            <w:r>
              <w:t>≥95%</w:t>
            </w:r>
          </w:p>
        </w:tc>
        <w:tc>
          <w:tcPr>
            <w:tcW w:w="1276" w:type="dxa"/>
            <w:vAlign w:val="center"/>
          </w:tcPr>
          <w:p w14:paraId="3A1D3D1D">
            <w:pPr>
              <w:pStyle w:val="12"/>
            </w:pPr>
            <w:r>
              <w:t>群众测评</w:t>
            </w:r>
          </w:p>
        </w:tc>
      </w:tr>
    </w:tbl>
    <w:p w14:paraId="14F11B36">
      <w:pPr>
        <w:sectPr>
          <w:pgSz w:w="16840" w:h="11900" w:orient="landscape"/>
          <w:pgMar w:top="1361" w:right="1020" w:bottom="1134" w:left="1020" w:header="720" w:footer="720" w:gutter="0"/>
          <w:cols w:space="720" w:num="1"/>
        </w:sectPr>
      </w:pPr>
    </w:p>
    <w:p w14:paraId="6B044520">
      <w:pPr>
        <w:spacing w:before="0" w:after="0"/>
        <w:ind w:firstLine="560"/>
        <w:jc w:val="left"/>
        <w:outlineLvl w:val="9"/>
      </w:pPr>
      <w:r>
        <w:rPr>
          <w:rFonts w:ascii="方正仿宋_GBK" w:hAnsi="方正仿宋_GBK" w:eastAsia="方正仿宋_GBK" w:cs="方正仿宋_GBK"/>
          <w:b/>
          <w:color w:val="000000"/>
          <w:sz w:val="28"/>
        </w:rPr>
        <w:t>24、县级资金/2024年魏庄校区学前教育公用经费绩效目标表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D3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3BC7A">
            <w:pPr>
              <w:pStyle w:val="11"/>
            </w:pPr>
            <w:r>
              <w:t>单位：万元</w:t>
            </w:r>
          </w:p>
        </w:tc>
      </w:tr>
      <w:tr w14:paraId="58AE4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CC528">
            <w:pPr>
              <w:pStyle w:val="10"/>
            </w:pPr>
            <w:r>
              <w:t>项目编码</w:t>
            </w:r>
          </w:p>
        </w:tc>
        <w:tc>
          <w:tcPr>
            <w:tcW w:w="5103" w:type="dxa"/>
            <w:gridSpan w:val="2"/>
            <w:vAlign w:val="center"/>
          </w:tcPr>
          <w:p w14:paraId="1389497B">
            <w:pPr>
              <w:pStyle w:val="12"/>
            </w:pPr>
            <w:r>
              <w:t>13052526P00875710132J</w:t>
            </w:r>
          </w:p>
        </w:tc>
        <w:tc>
          <w:tcPr>
            <w:tcW w:w="2835" w:type="dxa"/>
            <w:vAlign w:val="center"/>
          </w:tcPr>
          <w:p w14:paraId="0EF3AEC6">
            <w:pPr>
              <w:pStyle w:val="10"/>
            </w:pPr>
            <w:r>
              <w:t>项目名称</w:t>
            </w:r>
          </w:p>
        </w:tc>
        <w:tc>
          <w:tcPr>
            <w:tcW w:w="6095" w:type="dxa"/>
            <w:gridSpan w:val="3"/>
            <w:vAlign w:val="center"/>
          </w:tcPr>
          <w:p w14:paraId="30686671">
            <w:pPr>
              <w:pStyle w:val="12"/>
            </w:pPr>
            <w:r>
              <w:t>县级资金/2024年魏庄校区学前教育公用经费</w:t>
            </w:r>
          </w:p>
        </w:tc>
      </w:tr>
      <w:tr w14:paraId="51323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1A984">
            <w:pPr>
              <w:pStyle w:val="10"/>
            </w:pPr>
            <w:r>
              <w:t>预算规模及资金用途</w:t>
            </w:r>
          </w:p>
        </w:tc>
        <w:tc>
          <w:tcPr>
            <w:tcW w:w="2268" w:type="dxa"/>
            <w:vAlign w:val="center"/>
          </w:tcPr>
          <w:p w14:paraId="4B72A0A8">
            <w:pPr>
              <w:pStyle w:val="10"/>
            </w:pPr>
            <w:r>
              <w:t>预算数</w:t>
            </w:r>
          </w:p>
        </w:tc>
        <w:tc>
          <w:tcPr>
            <w:tcW w:w="2835" w:type="dxa"/>
            <w:vAlign w:val="center"/>
          </w:tcPr>
          <w:p w14:paraId="011E389E">
            <w:pPr>
              <w:pStyle w:val="12"/>
            </w:pPr>
            <w:r>
              <w:t>29.16</w:t>
            </w:r>
          </w:p>
        </w:tc>
        <w:tc>
          <w:tcPr>
            <w:tcW w:w="2835" w:type="dxa"/>
            <w:vAlign w:val="center"/>
          </w:tcPr>
          <w:p w14:paraId="706CA769">
            <w:pPr>
              <w:pStyle w:val="10"/>
            </w:pPr>
            <w:r>
              <w:t>其中：财政    资金</w:t>
            </w:r>
          </w:p>
        </w:tc>
        <w:tc>
          <w:tcPr>
            <w:tcW w:w="2551" w:type="dxa"/>
            <w:vAlign w:val="center"/>
          </w:tcPr>
          <w:p w14:paraId="0BED3C5B">
            <w:pPr>
              <w:pStyle w:val="12"/>
            </w:pPr>
            <w:r>
              <w:t>29.16</w:t>
            </w:r>
          </w:p>
        </w:tc>
        <w:tc>
          <w:tcPr>
            <w:tcW w:w="2268" w:type="dxa"/>
            <w:vAlign w:val="center"/>
          </w:tcPr>
          <w:p w14:paraId="389A0885">
            <w:pPr>
              <w:pStyle w:val="10"/>
            </w:pPr>
            <w:r>
              <w:t>其他资金</w:t>
            </w:r>
          </w:p>
        </w:tc>
        <w:tc>
          <w:tcPr>
            <w:tcW w:w="1276" w:type="dxa"/>
            <w:vAlign w:val="center"/>
          </w:tcPr>
          <w:p w14:paraId="24D34A7E">
            <w:pPr>
              <w:pStyle w:val="12"/>
            </w:pPr>
            <w:r>
              <w:t xml:space="preserve"> </w:t>
            </w:r>
          </w:p>
        </w:tc>
      </w:tr>
      <w:tr w14:paraId="75A61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FB605"/>
        </w:tc>
        <w:tc>
          <w:tcPr>
            <w:tcW w:w="14033" w:type="dxa"/>
            <w:gridSpan w:val="6"/>
            <w:vAlign w:val="center"/>
          </w:tcPr>
          <w:p w14:paraId="6669EFFF">
            <w:pPr>
              <w:pStyle w:val="12"/>
            </w:pPr>
            <w:r>
              <w:t xml:space="preserve"> 保障幼儿园正常运转，完成教育教学活动和其他日常工作任务等方面的费用支出。</w:t>
            </w:r>
          </w:p>
        </w:tc>
      </w:tr>
      <w:tr w14:paraId="57E43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8DC77">
            <w:pPr>
              <w:pStyle w:val="10"/>
            </w:pPr>
            <w:r>
              <w:t>资金支出计划（%）</w:t>
            </w:r>
          </w:p>
        </w:tc>
        <w:tc>
          <w:tcPr>
            <w:tcW w:w="5103" w:type="dxa"/>
            <w:gridSpan w:val="2"/>
            <w:vAlign w:val="center"/>
          </w:tcPr>
          <w:p w14:paraId="04751933">
            <w:pPr>
              <w:pStyle w:val="10"/>
            </w:pPr>
            <w:r>
              <w:t>3月底</w:t>
            </w:r>
          </w:p>
        </w:tc>
        <w:tc>
          <w:tcPr>
            <w:tcW w:w="2835" w:type="dxa"/>
            <w:vAlign w:val="center"/>
          </w:tcPr>
          <w:p w14:paraId="395AF02C">
            <w:pPr>
              <w:pStyle w:val="10"/>
            </w:pPr>
            <w:r>
              <w:t>6月底</w:t>
            </w:r>
          </w:p>
        </w:tc>
        <w:tc>
          <w:tcPr>
            <w:tcW w:w="2551" w:type="dxa"/>
            <w:vAlign w:val="center"/>
          </w:tcPr>
          <w:p w14:paraId="51890DAB">
            <w:pPr>
              <w:pStyle w:val="10"/>
            </w:pPr>
            <w:r>
              <w:t>10月底</w:t>
            </w:r>
          </w:p>
        </w:tc>
        <w:tc>
          <w:tcPr>
            <w:tcW w:w="3544" w:type="dxa"/>
            <w:gridSpan w:val="2"/>
            <w:vAlign w:val="center"/>
          </w:tcPr>
          <w:p w14:paraId="3E2FD4F2">
            <w:pPr>
              <w:pStyle w:val="10"/>
            </w:pPr>
            <w:r>
              <w:t>12月底</w:t>
            </w:r>
          </w:p>
        </w:tc>
      </w:tr>
      <w:tr w14:paraId="43743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207B8"/>
        </w:tc>
        <w:tc>
          <w:tcPr>
            <w:tcW w:w="5103" w:type="dxa"/>
            <w:gridSpan w:val="2"/>
            <w:vAlign w:val="center"/>
          </w:tcPr>
          <w:p w14:paraId="23D1935C">
            <w:pPr>
              <w:pStyle w:val="13"/>
            </w:pPr>
            <w:r>
              <w:t>25%</w:t>
            </w:r>
          </w:p>
        </w:tc>
        <w:tc>
          <w:tcPr>
            <w:tcW w:w="2835" w:type="dxa"/>
            <w:vAlign w:val="center"/>
          </w:tcPr>
          <w:p w14:paraId="29415BFF">
            <w:pPr>
              <w:pStyle w:val="13"/>
            </w:pPr>
            <w:r>
              <w:t>50%</w:t>
            </w:r>
          </w:p>
        </w:tc>
        <w:tc>
          <w:tcPr>
            <w:tcW w:w="2551" w:type="dxa"/>
            <w:vAlign w:val="center"/>
          </w:tcPr>
          <w:p w14:paraId="17728E1D">
            <w:pPr>
              <w:pStyle w:val="13"/>
            </w:pPr>
            <w:r>
              <w:t>75%</w:t>
            </w:r>
          </w:p>
        </w:tc>
        <w:tc>
          <w:tcPr>
            <w:tcW w:w="3544" w:type="dxa"/>
            <w:gridSpan w:val="2"/>
            <w:vAlign w:val="center"/>
          </w:tcPr>
          <w:p w14:paraId="72271669">
            <w:pPr>
              <w:pStyle w:val="13"/>
            </w:pPr>
            <w:r>
              <w:t>100%</w:t>
            </w:r>
          </w:p>
        </w:tc>
      </w:tr>
      <w:tr w14:paraId="63700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1DB54">
            <w:pPr>
              <w:pStyle w:val="10"/>
            </w:pPr>
            <w:r>
              <w:t>绩效目标</w:t>
            </w:r>
          </w:p>
        </w:tc>
        <w:tc>
          <w:tcPr>
            <w:tcW w:w="14033" w:type="dxa"/>
            <w:gridSpan w:val="6"/>
            <w:vAlign w:val="center"/>
          </w:tcPr>
          <w:p w14:paraId="4FBBA750">
            <w:pPr>
              <w:pStyle w:val="12"/>
            </w:pPr>
            <w:r>
              <w:t>1. 保障幼儿园正常运转，完成教育教学活动和其他日常工作任务等方面的费用支出。</w:t>
            </w:r>
            <w:r>
              <w:tab/>
            </w:r>
            <w:r>
              <w:tab/>
            </w:r>
            <w:r>
              <w:tab/>
            </w:r>
            <w:r>
              <w:tab/>
            </w:r>
            <w:r>
              <w:tab/>
            </w:r>
          </w:p>
          <w:p w14:paraId="09F73123">
            <w:pPr>
              <w:pStyle w:val="12"/>
            </w:pPr>
            <w:r>
              <w:t>2.按季度分批次拨付公用经费资金，资金拨付率达到100%。</w:t>
            </w:r>
            <w:r>
              <w:tab/>
            </w:r>
            <w:r>
              <w:tab/>
            </w:r>
            <w:r>
              <w:tab/>
            </w:r>
            <w:r>
              <w:tab/>
            </w:r>
            <w:r>
              <w:tab/>
            </w:r>
          </w:p>
        </w:tc>
      </w:tr>
    </w:tbl>
    <w:p w14:paraId="1CCEB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A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45039">
            <w:pPr>
              <w:pStyle w:val="10"/>
            </w:pPr>
            <w:r>
              <w:t>一级指标</w:t>
            </w:r>
          </w:p>
        </w:tc>
        <w:tc>
          <w:tcPr>
            <w:tcW w:w="2268" w:type="dxa"/>
            <w:vAlign w:val="center"/>
          </w:tcPr>
          <w:p w14:paraId="482F90F2">
            <w:pPr>
              <w:pStyle w:val="10"/>
            </w:pPr>
            <w:r>
              <w:t>二级指标</w:t>
            </w:r>
          </w:p>
        </w:tc>
        <w:tc>
          <w:tcPr>
            <w:tcW w:w="2835" w:type="dxa"/>
            <w:vAlign w:val="center"/>
          </w:tcPr>
          <w:p w14:paraId="4F2DC5EC">
            <w:pPr>
              <w:pStyle w:val="10"/>
            </w:pPr>
            <w:r>
              <w:t>三级指标</w:t>
            </w:r>
          </w:p>
        </w:tc>
        <w:tc>
          <w:tcPr>
            <w:tcW w:w="5386" w:type="dxa"/>
            <w:vAlign w:val="center"/>
          </w:tcPr>
          <w:p w14:paraId="21ADA10C">
            <w:pPr>
              <w:pStyle w:val="10"/>
            </w:pPr>
            <w:r>
              <w:t>绩效指标描述</w:t>
            </w:r>
          </w:p>
        </w:tc>
        <w:tc>
          <w:tcPr>
            <w:tcW w:w="2268" w:type="dxa"/>
            <w:vAlign w:val="center"/>
          </w:tcPr>
          <w:p w14:paraId="0B435FB5">
            <w:pPr>
              <w:pStyle w:val="10"/>
            </w:pPr>
            <w:r>
              <w:t>指标值</w:t>
            </w:r>
          </w:p>
        </w:tc>
        <w:tc>
          <w:tcPr>
            <w:tcW w:w="1276" w:type="dxa"/>
            <w:vAlign w:val="center"/>
          </w:tcPr>
          <w:p w14:paraId="002D4B59">
            <w:pPr>
              <w:pStyle w:val="10"/>
            </w:pPr>
            <w:r>
              <w:t>指标值确定依据</w:t>
            </w:r>
          </w:p>
        </w:tc>
      </w:tr>
      <w:tr w14:paraId="35BB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7B2EF">
            <w:pPr>
              <w:pStyle w:val="13"/>
            </w:pPr>
            <w:r>
              <w:t>产出指标</w:t>
            </w:r>
          </w:p>
        </w:tc>
        <w:tc>
          <w:tcPr>
            <w:tcW w:w="2268" w:type="dxa"/>
            <w:vAlign w:val="center"/>
          </w:tcPr>
          <w:p w14:paraId="11D38F5D">
            <w:pPr>
              <w:pStyle w:val="12"/>
            </w:pPr>
            <w:r>
              <w:t>数量指标</w:t>
            </w:r>
          </w:p>
        </w:tc>
        <w:tc>
          <w:tcPr>
            <w:tcW w:w="2835" w:type="dxa"/>
            <w:vAlign w:val="center"/>
          </w:tcPr>
          <w:p w14:paraId="770546F1">
            <w:pPr>
              <w:pStyle w:val="12"/>
            </w:pPr>
            <w:r>
              <w:t>适龄在园生</w:t>
            </w:r>
          </w:p>
        </w:tc>
        <w:tc>
          <w:tcPr>
            <w:tcW w:w="5386" w:type="dxa"/>
            <w:vAlign w:val="center"/>
          </w:tcPr>
          <w:p w14:paraId="19BB9508">
            <w:pPr>
              <w:pStyle w:val="12"/>
            </w:pPr>
            <w:r>
              <w:t>适龄在园学生人数</w:t>
            </w:r>
          </w:p>
        </w:tc>
        <w:tc>
          <w:tcPr>
            <w:tcW w:w="2268" w:type="dxa"/>
            <w:vAlign w:val="center"/>
          </w:tcPr>
          <w:p w14:paraId="73078962">
            <w:pPr>
              <w:pStyle w:val="12"/>
            </w:pPr>
            <w:r>
              <w:t>610人</w:t>
            </w:r>
          </w:p>
        </w:tc>
        <w:tc>
          <w:tcPr>
            <w:tcW w:w="1276" w:type="dxa"/>
            <w:vAlign w:val="center"/>
          </w:tcPr>
          <w:p w14:paraId="033E3202">
            <w:pPr>
              <w:pStyle w:val="12"/>
            </w:pPr>
            <w:r>
              <w:t>学前公用经费管理办法</w:t>
            </w:r>
          </w:p>
        </w:tc>
      </w:tr>
      <w:tr w14:paraId="459A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543F3"/>
        </w:tc>
        <w:tc>
          <w:tcPr>
            <w:tcW w:w="2268" w:type="dxa"/>
            <w:vAlign w:val="center"/>
          </w:tcPr>
          <w:p w14:paraId="6E3F5558">
            <w:pPr>
              <w:pStyle w:val="12"/>
            </w:pPr>
            <w:r>
              <w:t>质量指标</w:t>
            </w:r>
          </w:p>
        </w:tc>
        <w:tc>
          <w:tcPr>
            <w:tcW w:w="2835" w:type="dxa"/>
            <w:vAlign w:val="center"/>
          </w:tcPr>
          <w:p w14:paraId="39277B81">
            <w:pPr>
              <w:pStyle w:val="12"/>
            </w:pPr>
            <w:r>
              <w:t>预算控制率</w:t>
            </w:r>
          </w:p>
        </w:tc>
        <w:tc>
          <w:tcPr>
            <w:tcW w:w="5386" w:type="dxa"/>
            <w:vAlign w:val="center"/>
          </w:tcPr>
          <w:p w14:paraId="2E1FE717">
            <w:pPr>
              <w:pStyle w:val="12"/>
            </w:pPr>
            <w:r>
              <w:t>预算执行</w:t>
            </w:r>
          </w:p>
        </w:tc>
        <w:tc>
          <w:tcPr>
            <w:tcW w:w="2268" w:type="dxa"/>
            <w:vAlign w:val="center"/>
          </w:tcPr>
          <w:p w14:paraId="4EBF8BF2">
            <w:pPr>
              <w:pStyle w:val="12"/>
            </w:pPr>
            <w:r>
              <w:t>≥95%</w:t>
            </w:r>
          </w:p>
        </w:tc>
        <w:tc>
          <w:tcPr>
            <w:tcW w:w="1276" w:type="dxa"/>
            <w:vAlign w:val="center"/>
          </w:tcPr>
          <w:p w14:paraId="65E09DE2">
            <w:pPr>
              <w:pStyle w:val="12"/>
            </w:pPr>
            <w:r>
              <w:t>学前公用经费管理办法</w:t>
            </w:r>
          </w:p>
        </w:tc>
      </w:tr>
      <w:tr w14:paraId="692B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41E75"/>
        </w:tc>
        <w:tc>
          <w:tcPr>
            <w:tcW w:w="2268" w:type="dxa"/>
            <w:vAlign w:val="center"/>
          </w:tcPr>
          <w:p w14:paraId="2ACA246F">
            <w:pPr>
              <w:pStyle w:val="12"/>
            </w:pPr>
            <w:r>
              <w:t>时效指标</w:t>
            </w:r>
          </w:p>
        </w:tc>
        <w:tc>
          <w:tcPr>
            <w:tcW w:w="2835" w:type="dxa"/>
            <w:vAlign w:val="center"/>
          </w:tcPr>
          <w:p w14:paraId="2E7925B5">
            <w:pPr>
              <w:pStyle w:val="12"/>
            </w:pPr>
            <w:r>
              <w:t>资金支付率</w:t>
            </w:r>
          </w:p>
        </w:tc>
        <w:tc>
          <w:tcPr>
            <w:tcW w:w="5386" w:type="dxa"/>
            <w:vAlign w:val="center"/>
          </w:tcPr>
          <w:p w14:paraId="3E1B2E8A">
            <w:pPr>
              <w:pStyle w:val="12"/>
            </w:pPr>
            <w:r>
              <w:t>按照序时进度完成资金支付</w:t>
            </w:r>
          </w:p>
        </w:tc>
        <w:tc>
          <w:tcPr>
            <w:tcW w:w="2268" w:type="dxa"/>
            <w:vAlign w:val="center"/>
          </w:tcPr>
          <w:p w14:paraId="466C4E37">
            <w:pPr>
              <w:pStyle w:val="12"/>
            </w:pPr>
            <w:r>
              <w:t>100%</w:t>
            </w:r>
          </w:p>
        </w:tc>
        <w:tc>
          <w:tcPr>
            <w:tcW w:w="1276" w:type="dxa"/>
            <w:vAlign w:val="center"/>
          </w:tcPr>
          <w:p w14:paraId="71AD7C77">
            <w:pPr>
              <w:pStyle w:val="12"/>
            </w:pPr>
            <w:r>
              <w:t>学前公用经费管理办法</w:t>
            </w:r>
          </w:p>
        </w:tc>
      </w:tr>
      <w:tr w14:paraId="7725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013EC"/>
        </w:tc>
        <w:tc>
          <w:tcPr>
            <w:tcW w:w="2268" w:type="dxa"/>
            <w:vAlign w:val="center"/>
          </w:tcPr>
          <w:p w14:paraId="22EF70F5">
            <w:pPr>
              <w:pStyle w:val="12"/>
            </w:pPr>
            <w:r>
              <w:t>成本指标</w:t>
            </w:r>
          </w:p>
        </w:tc>
        <w:tc>
          <w:tcPr>
            <w:tcW w:w="2835" w:type="dxa"/>
            <w:vAlign w:val="center"/>
          </w:tcPr>
          <w:p w14:paraId="1883A063">
            <w:pPr>
              <w:pStyle w:val="12"/>
            </w:pPr>
            <w:r>
              <w:t>生均拨款标准</w:t>
            </w:r>
          </w:p>
        </w:tc>
        <w:tc>
          <w:tcPr>
            <w:tcW w:w="5386" w:type="dxa"/>
            <w:vAlign w:val="center"/>
          </w:tcPr>
          <w:p w14:paraId="0A652645">
            <w:pPr>
              <w:pStyle w:val="12"/>
            </w:pPr>
            <w:r>
              <w:t>学前：（基本标准600元/生/学年）</w:t>
            </w:r>
          </w:p>
        </w:tc>
        <w:tc>
          <w:tcPr>
            <w:tcW w:w="2268" w:type="dxa"/>
            <w:vAlign w:val="center"/>
          </w:tcPr>
          <w:p w14:paraId="772EC5F8">
            <w:pPr>
              <w:pStyle w:val="12"/>
            </w:pPr>
            <w:r>
              <w:t>600元</w:t>
            </w:r>
          </w:p>
        </w:tc>
        <w:tc>
          <w:tcPr>
            <w:tcW w:w="1276" w:type="dxa"/>
            <w:vAlign w:val="center"/>
          </w:tcPr>
          <w:p w14:paraId="7B2CBCC3">
            <w:pPr>
              <w:pStyle w:val="12"/>
            </w:pPr>
            <w:r>
              <w:t>学前公用经费管理办法</w:t>
            </w:r>
          </w:p>
        </w:tc>
      </w:tr>
      <w:tr w14:paraId="66D21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1E939">
            <w:pPr>
              <w:pStyle w:val="13"/>
            </w:pPr>
            <w:r>
              <w:t>效益指标</w:t>
            </w:r>
          </w:p>
        </w:tc>
        <w:tc>
          <w:tcPr>
            <w:tcW w:w="2268" w:type="dxa"/>
            <w:vAlign w:val="center"/>
          </w:tcPr>
          <w:p w14:paraId="27CFE6B3">
            <w:pPr>
              <w:pStyle w:val="12"/>
            </w:pPr>
            <w:r>
              <w:t>可持续影响指标</w:t>
            </w:r>
          </w:p>
        </w:tc>
        <w:tc>
          <w:tcPr>
            <w:tcW w:w="2835" w:type="dxa"/>
            <w:vAlign w:val="center"/>
          </w:tcPr>
          <w:p w14:paraId="04E30AF3">
            <w:pPr>
              <w:pStyle w:val="12"/>
            </w:pPr>
            <w:r>
              <w:t>学校运转得到提升</w:t>
            </w:r>
          </w:p>
        </w:tc>
        <w:tc>
          <w:tcPr>
            <w:tcW w:w="5386" w:type="dxa"/>
            <w:vAlign w:val="center"/>
          </w:tcPr>
          <w:p w14:paraId="289E0197">
            <w:pPr>
              <w:pStyle w:val="12"/>
            </w:pPr>
            <w:r>
              <w:t>幼儿受教育年限</w:t>
            </w:r>
          </w:p>
        </w:tc>
        <w:tc>
          <w:tcPr>
            <w:tcW w:w="2268" w:type="dxa"/>
            <w:vAlign w:val="center"/>
          </w:tcPr>
          <w:p w14:paraId="49BCD872">
            <w:pPr>
              <w:pStyle w:val="12"/>
            </w:pPr>
            <w:r>
              <w:t>3年</w:t>
            </w:r>
          </w:p>
        </w:tc>
        <w:tc>
          <w:tcPr>
            <w:tcW w:w="1276" w:type="dxa"/>
            <w:vAlign w:val="center"/>
          </w:tcPr>
          <w:p w14:paraId="2FBB3420">
            <w:pPr>
              <w:pStyle w:val="12"/>
            </w:pPr>
            <w:r>
              <w:t>学前公用经费管理办法</w:t>
            </w:r>
          </w:p>
        </w:tc>
      </w:tr>
      <w:tr w14:paraId="5135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51245">
            <w:pPr>
              <w:pStyle w:val="13"/>
            </w:pPr>
            <w:r>
              <w:t>满意度指标</w:t>
            </w:r>
          </w:p>
        </w:tc>
        <w:tc>
          <w:tcPr>
            <w:tcW w:w="2268" w:type="dxa"/>
            <w:vAlign w:val="center"/>
          </w:tcPr>
          <w:p w14:paraId="5C92C5BA">
            <w:pPr>
              <w:pStyle w:val="12"/>
            </w:pPr>
            <w:r>
              <w:t>服务对象满意度指标</w:t>
            </w:r>
          </w:p>
        </w:tc>
        <w:tc>
          <w:tcPr>
            <w:tcW w:w="2835" w:type="dxa"/>
            <w:vAlign w:val="center"/>
          </w:tcPr>
          <w:p w14:paraId="025F7343">
            <w:pPr>
              <w:pStyle w:val="12"/>
            </w:pPr>
            <w:r>
              <w:t>受益学生家长及调查满意度</w:t>
            </w:r>
          </w:p>
        </w:tc>
        <w:tc>
          <w:tcPr>
            <w:tcW w:w="5386" w:type="dxa"/>
            <w:vAlign w:val="center"/>
          </w:tcPr>
          <w:p w14:paraId="7550B724">
            <w:pPr>
              <w:pStyle w:val="12"/>
            </w:pPr>
            <w:r>
              <w:t>学生、教师及家长对学校保教保育工作满意度情况</w:t>
            </w:r>
          </w:p>
        </w:tc>
        <w:tc>
          <w:tcPr>
            <w:tcW w:w="2268" w:type="dxa"/>
            <w:vAlign w:val="center"/>
          </w:tcPr>
          <w:p w14:paraId="3950AA07">
            <w:pPr>
              <w:pStyle w:val="12"/>
            </w:pPr>
            <w:r>
              <w:t>≥95%</w:t>
            </w:r>
          </w:p>
        </w:tc>
        <w:tc>
          <w:tcPr>
            <w:tcW w:w="1276" w:type="dxa"/>
            <w:vAlign w:val="center"/>
          </w:tcPr>
          <w:p w14:paraId="4CF8F374">
            <w:pPr>
              <w:pStyle w:val="12"/>
            </w:pPr>
            <w:r>
              <w:t>群众测评</w:t>
            </w:r>
          </w:p>
        </w:tc>
      </w:tr>
    </w:tbl>
    <w:p w14:paraId="3B2B8CA2">
      <w:pPr>
        <w:sectPr>
          <w:pgSz w:w="16840" w:h="11900" w:orient="landscape"/>
          <w:pgMar w:top="1361" w:right="1020" w:bottom="1134" w:left="1020" w:header="720" w:footer="720" w:gutter="0"/>
          <w:cols w:space="720" w:num="1"/>
        </w:sectPr>
      </w:pPr>
    </w:p>
    <w:p w14:paraId="2821B1F4">
      <w:pPr>
        <w:spacing w:before="0" w:after="0"/>
        <w:ind w:firstLine="560"/>
        <w:jc w:val="left"/>
        <w:outlineLvl w:val="9"/>
      </w:pPr>
      <w:r>
        <w:rPr>
          <w:rFonts w:ascii="方正仿宋_GBK" w:hAnsi="方正仿宋_GBK" w:eastAsia="方正仿宋_GBK" w:cs="方正仿宋_GBK"/>
          <w:b/>
          <w:color w:val="000000"/>
          <w:sz w:val="28"/>
        </w:rPr>
        <w:t>25、县级资金/2026年魏庄校区学前教育公用经费绩效目标表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8B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D18F9">
            <w:pPr>
              <w:pStyle w:val="11"/>
            </w:pPr>
            <w:r>
              <w:t>单位：万元</w:t>
            </w:r>
          </w:p>
        </w:tc>
      </w:tr>
      <w:tr w14:paraId="449D7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6B8E7">
            <w:pPr>
              <w:pStyle w:val="10"/>
            </w:pPr>
            <w:r>
              <w:t>项目编码</w:t>
            </w:r>
          </w:p>
        </w:tc>
        <w:tc>
          <w:tcPr>
            <w:tcW w:w="5103" w:type="dxa"/>
            <w:gridSpan w:val="2"/>
            <w:vAlign w:val="center"/>
          </w:tcPr>
          <w:p w14:paraId="31B29555">
            <w:pPr>
              <w:pStyle w:val="12"/>
            </w:pPr>
            <w:r>
              <w:t>13052526P00875710118G</w:t>
            </w:r>
          </w:p>
        </w:tc>
        <w:tc>
          <w:tcPr>
            <w:tcW w:w="2835" w:type="dxa"/>
            <w:vAlign w:val="center"/>
          </w:tcPr>
          <w:p w14:paraId="790F36F5">
            <w:pPr>
              <w:pStyle w:val="10"/>
            </w:pPr>
            <w:r>
              <w:t>项目名称</w:t>
            </w:r>
          </w:p>
        </w:tc>
        <w:tc>
          <w:tcPr>
            <w:tcW w:w="6095" w:type="dxa"/>
            <w:gridSpan w:val="3"/>
            <w:vAlign w:val="center"/>
          </w:tcPr>
          <w:p w14:paraId="5438A616">
            <w:pPr>
              <w:pStyle w:val="12"/>
            </w:pPr>
            <w:r>
              <w:t>县级资金/2026年魏庄校区学前教育公用经费</w:t>
            </w:r>
          </w:p>
        </w:tc>
      </w:tr>
      <w:tr w14:paraId="10C03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EFD89">
            <w:pPr>
              <w:pStyle w:val="10"/>
            </w:pPr>
            <w:r>
              <w:t>预算规模及资金用途</w:t>
            </w:r>
          </w:p>
        </w:tc>
        <w:tc>
          <w:tcPr>
            <w:tcW w:w="2268" w:type="dxa"/>
            <w:vAlign w:val="center"/>
          </w:tcPr>
          <w:p w14:paraId="7E08B28E">
            <w:pPr>
              <w:pStyle w:val="10"/>
            </w:pPr>
            <w:r>
              <w:t>预算数</w:t>
            </w:r>
          </w:p>
        </w:tc>
        <w:tc>
          <w:tcPr>
            <w:tcW w:w="2835" w:type="dxa"/>
            <w:vAlign w:val="center"/>
          </w:tcPr>
          <w:p w14:paraId="3E38DF80">
            <w:pPr>
              <w:pStyle w:val="12"/>
            </w:pPr>
            <w:r>
              <w:t>12.07</w:t>
            </w:r>
          </w:p>
        </w:tc>
        <w:tc>
          <w:tcPr>
            <w:tcW w:w="2835" w:type="dxa"/>
            <w:vAlign w:val="center"/>
          </w:tcPr>
          <w:p w14:paraId="23853142">
            <w:pPr>
              <w:pStyle w:val="10"/>
            </w:pPr>
            <w:r>
              <w:t>其中：财政    资金</w:t>
            </w:r>
          </w:p>
        </w:tc>
        <w:tc>
          <w:tcPr>
            <w:tcW w:w="2551" w:type="dxa"/>
            <w:vAlign w:val="center"/>
          </w:tcPr>
          <w:p w14:paraId="766A3585">
            <w:pPr>
              <w:pStyle w:val="12"/>
            </w:pPr>
            <w:r>
              <w:t>12.07</w:t>
            </w:r>
          </w:p>
        </w:tc>
        <w:tc>
          <w:tcPr>
            <w:tcW w:w="2268" w:type="dxa"/>
            <w:vAlign w:val="center"/>
          </w:tcPr>
          <w:p w14:paraId="3C04B1F1">
            <w:pPr>
              <w:pStyle w:val="10"/>
            </w:pPr>
            <w:r>
              <w:t>其他资金</w:t>
            </w:r>
          </w:p>
        </w:tc>
        <w:tc>
          <w:tcPr>
            <w:tcW w:w="1276" w:type="dxa"/>
            <w:vAlign w:val="center"/>
          </w:tcPr>
          <w:p w14:paraId="7E7A53FF">
            <w:pPr>
              <w:pStyle w:val="12"/>
            </w:pPr>
            <w:r>
              <w:t xml:space="preserve"> </w:t>
            </w:r>
          </w:p>
        </w:tc>
      </w:tr>
      <w:tr w14:paraId="13ED9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F156D"/>
        </w:tc>
        <w:tc>
          <w:tcPr>
            <w:tcW w:w="14033" w:type="dxa"/>
            <w:gridSpan w:val="6"/>
            <w:vAlign w:val="center"/>
          </w:tcPr>
          <w:p w14:paraId="418276E4">
            <w:pPr>
              <w:pStyle w:val="12"/>
            </w:pPr>
            <w:r>
              <w:t>保障幼儿园正常运转，完成教育教学活动和其他日常工作任务等方面的费用支出。</w:t>
            </w:r>
            <w:r>
              <w:tab/>
            </w:r>
            <w:r>
              <w:tab/>
            </w:r>
          </w:p>
        </w:tc>
      </w:tr>
      <w:tr w14:paraId="2081E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C4F8B">
            <w:pPr>
              <w:pStyle w:val="10"/>
            </w:pPr>
            <w:r>
              <w:t>资金支出计划（%）</w:t>
            </w:r>
          </w:p>
        </w:tc>
        <w:tc>
          <w:tcPr>
            <w:tcW w:w="5103" w:type="dxa"/>
            <w:gridSpan w:val="2"/>
            <w:vAlign w:val="center"/>
          </w:tcPr>
          <w:p w14:paraId="404D3208">
            <w:pPr>
              <w:pStyle w:val="10"/>
            </w:pPr>
            <w:r>
              <w:t>3月底</w:t>
            </w:r>
          </w:p>
        </w:tc>
        <w:tc>
          <w:tcPr>
            <w:tcW w:w="2835" w:type="dxa"/>
            <w:vAlign w:val="center"/>
          </w:tcPr>
          <w:p w14:paraId="2A5128BE">
            <w:pPr>
              <w:pStyle w:val="10"/>
            </w:pPr>
            <w:r>
              <w:t>6月底</w:t>
            </w:r>
          </w:p>
        </w:tc>
        <w:tc>
          <w:tcPr>
            <w:tcW w:w="2551" w:type="dxa"/>
            <w:vAlign w:val="center"/>
          </w:tcPr>
          <w:p w14:paraId="4540FF5A">
            <w:pPr>
              <w:pStyle w:val="10"/>
            </w:pPr>
            <w:r>
              <w:t>10月底</w:t>
            </w:r>
          </w:p>
        </w:tc>
        <w:tc>
          <w:tcPr>
            <w:tcW w:w="3544" w:type="dxa"/>
            <w:gridSpan w:val="2"/>
            <w:vAlign w:val="center"/>
          </w:tcPr>
          <w:p w14:paraId="73570E79">
            <w:pPr>
              <w:pStyle w:val="10"/>
            </w:pPr>
            <w:r>
              <w:t>12月底</w:t>
            </w:r>
          </w:p>
        </w:tc>
      </w:tr>
      <w:tr w14:paraId="62AFE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F3C78"/>
        </w:tc>
        <w:tc>
          <w:tcPr>
            <w:tcW w:w="5103" w:type="dxa"/>
            <w:gridSpan w:val="2"/>
            <w:vAlign w:val="center"/>
          </w:tcPr>
          <w:p w14:paraId="3C051557">
            <w:pPr>
              <w:pStyle w:val="13"/>
            </w:pPr>
            <w:r>
              <w:t>25%</w:t>
            </w:r>
          </w:p>
        </w:tc>
        <w:tc>
          <w:tcPr>
            <w:tcW w:w="2835" w:type="dxa"/>
            <w:vAlign w:val="center"/>
          </w:tcPr>
          <w:p w14:paraId="234E1DD8">
            <w:pPr>
              <w:pStyle w:val="13"/>
            </w:pPr>
            <w:r>
              <w:t>50%</w:t>
            </w:r>
          </w:p>
        </w:tc>
        <w:tc>
          <w:tcPr>
            <w:tcW w:w="2551" w:type="dxa"/>
            <w:vAlign w:val="center"/>
          </w:tcPr>
          <w:p w14:paraId="49F1DE80">
            <w:pPr>
              <w:pStyle w:val="13"/>
            </w:pPr>
            <w:r>
              <w:t>75%</w:t>
            </w:r>
          </w:p>
        </w:tc>
        <w:tc>
          <w:tcPr>
            <w:tcW w:w="3544" w:type="dxa"/>
            <w:gridSpan w:val="2"/>
            <w:vAlign w:val="center"/>
          </w:tcPr>
          <w:p w14:paraId="5CD7D9AB">
            <w:pPr>
              <w:pStyle w:val="13"/>
            </w:pPr>
            <w:r>
              <w:t>100%</w:t>
            </w:r>
          </w:p>
        </w:tc>
      </w:tr>
      <w:tr w14:paraId="7468E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9A48D">
            <w:pPr>
              <w:pStyle w:val="10"/>
            </w:pPr>
            <w:r>
              <w:t>绩效目标</w:t>
            </w:r>
          </w:p>
        </w:tc>
        <w:tc>
          <w:tcPr>
            <w:tcW w:w="14033" w:type="dxa"/>
            <w:gridSpan w:val="6"/>
            <w:vAlign w:val="center"/>
          </w:tcPr>
          <w:p w14:paraId="2DA41D5B">
            <w:pPr>
              <w:pStyle w:val="12"/>
            </w:pPr>
            <w:r>
              <w:t>1.保障幼儿园正常运转，完成教育教学活动和其他日常工作任务等方面的费用支出。</w:t>
            </w:r>
            <w:r>
              <w:tab/>
            </w:r>
            <w:r>
              <w:tab/>
            </w:r>
          </w:p>
          <w:p w14:paraId="507DD0AB">
            <w:pPr>
              <w:pStyle w:val="12"/>
            </w:pPr>
            <w:r>
              <w:t>2.按季度分批次拨付公用经费资金，资金拨付率达到100%。</w:t>
            </w:r>
            <w:r>
              <w:tab/>
            </w:r>
            <w:r>
              <w:tab/>
            </w:r>
          </w:p>
        </w:tc>
      </w:tr>
    </w:tbl>
    <w:p w14:paraId="172D0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A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5DD53">
            <w:pPr>
              <w:pStyle w:val="10"/>
            </w:pPr>
            <w:r>
              <w:t>一级指标</w:t>
            </w:r>
          </w:p>
        </w:tc>
        <w:tc>
          <w:tcPr>
            <w:tcW w:w="2268" w:type="dxa"/>
            <w:vAlign w:val="center"/>
          </w:tcPr>
          <w:p w14:paraId="07569CF7">
            <w:pPr>
              <w:pStyle w:val="10"/>
            </w:pPr>
            <w:r>
              <w:t>二级指标</w:t>
            </w:r>
          </w:p>
        </w:tc>
        <w:tc>
          <w:tcPr>
            <w:tcW w:w="2835" w:type="dxa"/>
            <w:vAlign w:val="center"/>
          </w:tcPr>
          <w:p w14:paraId="205FC9BA">
            <w:pPr>
              <w:pStyle w:val="10"/>
            </w:pPr>
            <w:r>
              <w:t>三级指标</w:t>
            </w:r>
          </w:p>
        </w:tc>
        <w:tc>
          <w:tcPr>
            <w:tcW w:w="5386" w:type="dxa"/>
            <w:vAlign w:val="center"/>
          </w:tcPr>
          <w:p w14:paraId="395C2A1C">
            <w:pPr>
              <w:pStyle w:val="10"/>
            </w:pPr>
            <w:r>
              <w:t>绩效指标描述</w:t>
            </w:r>
          </w:p>
        </w:tc>
        <w:tc>
          <w:tcPr>
            <w:tcW w:w="2268" w:type="dxa"/>
            <w:vAlign w:val="center"/>
          </w:tcPr>
          <w:p w14:paraId="633A6A53">
            <w:pPr>
              <w:pStyle w:val="10"/>
            </w:pPr>
            <w:r>
              <w:t>指标值</w:t>
            </w:r>
          </w:p>
        </w:tc>
        <w:tc>
          <w:tcPr>
            <w:tcW w:w="1276" w:type="dxa"/>
            <w:vAlign w:val="center"/>
          </w:tcPr>
          <w:p w14:paraId="26D8CFD7">
            <w:pPr>
              <w:pStyle w:val="10"/>
            </w:pPr>
            <w:r>
              <w:t>指标值确定依据</w:t>
            </w:r>
          </w:p>
        </w:tc>
      </w:tr>
      <w:tr w14:paraId="137F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B143B">
            <w:pPr>
              <w:pStyle w:val="13"/>
            </w:pPr>
            <w:r>
              <w:t>产出指标</w:t>
            </w:r>
          </w:p>
        </w:tc>
        <w:tc>
          <w:tcPr>
            <w:tcW w:w="2268" w:type="dxa"/>
            <w:vAlign w:val="center"/>
          </w:tcPr>
          <w:p w14:paraId="067AE7C5">
            <w:pPr>
              <w:pStyle w:val="12"/>
            </w:pPr>
            <w:r>
              <w:t>数量指标</w:t>
            </w:r>
          </w:p>
        </w:tc>
        <w:tc>
          <w:tcPr>
            <w:tcW w:w="2835" w:type="dxa"/>
            <w:vAlign w:val="center"/>
          </w:tcPr>
          <w:p w14:paraId="7798CC40">
            <w:pPr>
              <w:pStyle w:val="12"/>
            </w:pPr>
            <w:r>
              <w:t>适龄在园生</w:t>
            </w:r>
          </w:p>
        </w:tc>
        <w:tc>
          <w:tcPr>
            <w:tcW w:w="5386" w:type="dxa"/>
            <w:vAlign w:val="center"/>
          </w:tcPr>
          <w:p w14:paraId="324AAC6E">
            <w:pPr>
              <w:pStyle w:val="12"/>
            </w:pPr>
            <w:r>
              <w:t>适龄在园学生人数</w:t>
            </w:r>
          </w:p>
        </w:tc>
        <w:tc>
          <w:tcPr>
            <w:tcW w:w="2268" w:type="dxa"/>
            <w:vAlign w:val="center"/>
          </w:tcPr>
          <w:p w14:paraId="18F431E4">
            <w:pPr>
              <w:pStyle w:val="12"/>
            </w:pPr>
            <w:r>
              <w:t>424人</w:t>
            </w:r>
          </w:p>
        </w:tc>
        <w:tc>
          <w:tcPr>
            <w:tcW w:w="1276" w:type="dxa"/>
            <w:vAlign w:val="center"/>
          </w:tcPr>
          <w:p w14:paraId="53A01F9A">
            <w:pPr>
              <w:pStyle w:val="12"/>
            </w:pPr>
            <w:r>
              <w:t>学前发展资金管理方法</w:t>
            </w:r>
          </w:p>
        </w:tc>
      </w:tr>
      <w:tr w14:paraId="61C2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B882B"/>
        </w:tc>
        <w:tc>
          <w:tcPr>
            <w:tcW w:w="2268" w:type="dxa"/>
            <w:vAlign w:val="center"/>
          </w:tcPr>
          <w:p w14:paraId="151A0BB1">
            <w:pPr>
              <w:pStyle w:val="12"/>
            </w:pPr>
            <w:r>
              <w:t>质量指标</w:t>
            </w:r>
          </w:p>
        </w:tc>
        <w:tc>
          <w:tcPr>
            <w:tcW w:w="2835" w:type="dxa"/>
            <w:vAlign w:val="center"/>
          </w:tcPr>
          <w:p w14:paraId="388D93EE">
            <w:pPr>
              <w:pStyle w:val="12"/>
            </w:pPr>
            <w:r>
              <w:t>预算控制率</w:t>
            </w:r>
          </w:p>
        </w:tc>
        <w:tc>
          <w:tcPr>
            <w:tcW w:w="5386" w:type="dxa"/>
            <w:vAlign w:val="center"/>
          </w:tcPr>
          <w:p w14:paraId="3977C048">
            <w:pPr>
              <w:pStyle w:val="12"/>
            </w:pPr>
            <w:r>
              <w:t>预算执行</w:t>
            </w:r>
          </w:p>
        </w:tc>
        <w:tc>
          <w:tcPr>
            <w:tcW w:w="2268" w:type="dxa"/>
            <w:vAlign w:val="center"/>
          </w:tcPr>
          <w:p w14:paraId="3F8CD4EE">
            <w:pPr>
              <w:pStyle w:val="12"/>
            </w:pPr>
            <w:r>
              <w:t>≥95%</w:t>
            </w:r>
          </w:p>
        </w:tc>
        <w:tc>
          <w:tcPr>
            <w:tcW w:w="1276" w:type="dxa"/>
            <w:vAlign w:val="center"/>
          </w:tcPr>
          <w:p w14:paraId="59C5EDBA">
            <w:pPr>
              <w:pStyle w:val="12"/>
            </w:pPr>
            <w:r>
              <w:t>学前发展资金管理方法</w:t>
            </w:r>
          </w:p>
        </w:tc>
      </w:tr>
      <w:tr w14:paraId="416F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B46DB"/>
        </w:tc>
        <w:tc>
          <w:tcPr>
            <w:tcW w:w="2268" w:type="dxa"/>
            <w:vAlign w:val="center"/>
          </w:tcPr>
          <w:p w14:paraId="359CD984">
            <w:pPr>
              <w:pStyle w:val="12"/>
            </w:pPr>
            <w:r>
              <w:t>时效指标</w:t>
            </w:r>
          </w:p>
        </w:tc>
        <w:tc>
          <w:tcPr>
            <w:tcW w:w="2835" w:type="dxa"/>
            <w:vAlign w:val="center"/>
          </w:tcPr>
          <w:p w14:paraId="6273B83A">
            <w:pPr>
              <w:pStyle w:val="12"/>
            </w:pPr>
            <w:r>
              <w:t>资金支付率</w:t>
            </w:r>
          </w:p>
        </w:tc>
        <w:tc>
          <w:tcPr>
            <w:tcW w:w="5386" w:type="dxa"/>
            <w:vAlign w:val="center"/>
          </w:tcPr>
          <w:p w14:paraId="144FCE5A">
            <w:pPr>
              <w:pStyle w:val="12"/>
            </w:pPr>
            <w:r>
              <w:t>按照序时进度完成资金支付</w:t>
            </w:r>
          </w:p>
        </w:tc>
        <w:tc>
          <w:tcPr>
            <w:tcW w:w="2268" w:type="dxa"/>
            <w:vAlign w:val="center"/>
          </w:tcPr>
          <w:p w14:paraId="69FCBA68">
            <w:pPr>
              <w:pStyle w:val="12"/>
            </w:pPr>
            <w:r>
              <w:t>100%</w:t>
            </w:r>
          </w:p>
        </w:tc>
        <w:tc>
          <w:tcPr>
            <w:tcW w:w="1276" w:type="dxa"/>
            <w:vAlign w:val="center"/>
          </w:tcPr>
          <w:p w14:paraId="7B2C86D6">
            <w:pPr>
              <w:pStyle w:val="12"/>
            </w:pPr>
            <w:r>
              <w:t>学前发展资金管理方法</w:t>
            </w:r>
          </w:p>
        </w:tc>
      </w:tr>
      <w:tr w14:paraId="263E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EAA90"/>
        </w:tc>
        <w:tc>
          <w:tcPr>
            <w:tcW w:w="2268" w:type="dxa"/>
            <w:vAlign w:val="center"/>
          </w:tcPr>
          <w:p w14:paraId="622794EE">
            <w:pPr>
              <w:pStyle w:val="12"/>
            </w:pPr>
            <w:r>
              <w:t>成本指标</w:t>
            </w:r>
          </w:p>
        </w:tc>
        <w:tc>
          <w:tcPr>
            <w:tcW w:w="2835" w:type="dxa"/>
            <w:vAlign w:val="center"/>
          </w:tcPr>
          <w:p w14:paraId="0615FB3A">
            <w:pPr>
              <w:pStyle w:val="12"/>
            </w:pPr>
            <w:r>
              <w:t>生均拨款标准</w:t>
            </w:r>
          </w:p>
        </w:tc>
        <w:tc>
          <w:tcPr>
            <w:tcW w:w="5386" w:type="dxa"/>
            <w:vAlign w:val="center"/>
          </w:tcPr>
          <w:p w14:paraId="05A59B69">
            <w:pPr>
              <w:pStyle w:val="12"/>
            </w:pPr>
            <w:r>
              <w:t>学前：（基本标准600元/生/学年）</w:t>
            </w:r>
          </w:p>
        </w:tc>
        <w:tc>
          <w:tcPr>
            <w:tcW w:w="2268" w:type="dxa"/>
            <w:vAlign w:val="center"/>
          </w:tcPr>
          <w:p w14:paraId="4A5DD4A0">
            <w:pPr>
              <w:pStyle w:val="12"/>
            </w:pPr>
            <w:r>
              <w:t>600元</w:t>
            </w:r>
          </w:p>
        </w:tc>
        <w:tc>
          <w:tcPr>
            <w:tcW w:w="1276" w:type="dxa"/>
            <w:vAlign w:val="center"/>
          </w:tcPr>
          <w:p w14:paraId="0A30584C">
            <w:pPr>
              <w:pStyle w:val="12"/>
            </w:pPr>
            <w:r>
              <w:t>学前发展资金管理方法</w:t>
            </w:r>
          </w:p>
        </w:tc>
      </w:tr>
      <w:tr w14:paraId="19C2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885ED">
            <w:pPr>
              <w:pStyle w:val="13"/>
            </w:pPr>
            <w:r>
              <w:t>效益指标</w:t>
            </w:r>
          </w:p>
        </w:tc>
        <w:tc>
          <w:tcPr>
            <w:tcW w:w="2268" w:type="dxa"/>
            <w:vAlign w:val="center"/>
          </w:tcPr>
          <w:p w14:paraId="41BB7C46">
            <w:pPr>
              <w:pStyle w:val="12"/>
            </w:pPr>
            <w:r>
              <w:t>可持续影响指标</w:t>
            </w:r>
          </w:p>
        </w:tc>
        <w:tc>
          <w:tcPr>
            <w:tcW w:w="2835" w:type="dxa"/>
            <w:vAlign w:val="center"/>
          </w:tcPr>
          <w:p w14:paraId="14491B2B">
            <w:pPr>
              <w:pStyle w:val="12"/>
            </w:pPr>
            <w:r>
              <w:t>学校运转得到提升</w:t>
            </w:r>
          </w:p>
        </w:tc>
        <w:tc>
          <w:tcPr>
            <w:tcW w:w="5386" w:type="dxa"/>
            <w:vAlign w:val="center"/>
          </w:tcPr>
          <w:p w14:paraId="4AA7016F">
            <w:pPr>
              <w:pStyle w:val="12"/>
            </w:pPr>
            <w:r>
              <w:t>幼儿受教育年限</w:t>
            </w:r>
          </w:p>
        </w:tc>
        <w:tc>
          <w:tcPr>
            <w:tcW w:w="2268" w:type="dxa"/>
            <w:vAlign w:val="center"/>
          </w:tcPr>
          <w:p w14:paraId="6CB82A27">
            <w:pPr>
              <w:pStyle w:val="12"/>
            </w:pPr>
            <w:r>
              <w:t>3年</w:t>
            </w:r>
          </w:p>
        </w:tc>
        <w:tc>
          <w:tcPr>
            <w:tcW w:w="1276" w:type="dxa"/>
            <w:vAlign w:val="center"/>
          </w:tcPr>
          <w:p w14:paraId="120EAEBE">
            <w:pPr>
              <w:pStyle w:val="12"/>
            </w:pPr>
            <w:r>
              <w:t>学前发展资金管理方法</w:t>
            </w:r>
          </w:p>
        </w:tc>
      </w:tr>
      <w:tr w14:paraId="67B6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A0C0A">
            <w:pPr>
              <w:pStyle w:val="13"/>
            </w:pPr>
            <w:r>
              <w:t>满意度指标</w:t>
            </w:r>
          </w:p>
        </w:tc>
        <w:tc>
          <w:tcPr>
            <w:tcW w:w="2268" w:type="dxa"/>
            <w:vAlign w:val="center"/>
          </w:tcPr>
          <w:p w14:paraId="4CDDAF14">
            <w:pPr>
              <w:pStyle w:val="12"/>
            </w:pPr>
            <w:r>
              <w:t>服务对象满意度指标</w:t>
            </w:r>
          </w:p>
        </w:tc>
        <w:tc>
          <w:tcPr>
            <w:tcW w:w="2835" w:type="dxa"/>
            <w:vAlign w:val="center"/>
          </w:tcPr>
          <w:p w14:paraId="04565DE9">
            <w:pPr>
              <w:pStyle w:val="12"/>
            </w:pPr>
            <w:r>
              <w:t>受益学生家长及调查满意度</w:t>
            </w:r>
          </w:p>
        </w:tc>
        <w:tc>
          <w:tcPr>
            <w:tcW w:w="5386" w:type="dxa"/>
            <w:vAlign w:val="center"/>
          </w:tcPr>
          <w:p w14:paraId="590D1FEA">
            <w:pPr>
              <w:pStyle w:val="12"/>
            </w:pPr>
            <w:r>
              <w:t>学生、教师及家长对学校保教保育工作满意度情况</w:t>
            </w:r>
          </w:p>
        </w:tc>
        <w:tc>
          <w:tcPr>
            <w:tcW w:w="2268" w:type="dxa"/>
            <w:vAlign w:val="center"/>
          </w:tcPr>
          <w:p w14:paraId="2081480E">
            <w:pPr>
              <w:pStyle w:val="12"/>
            </w:pPr>
            <w:r>
              <w:t>≥95%</w:t>
            </w:r>
          </w:p>
        </w:tc>
        <w:tc>
          <w:tcPr>
            <w:tcW w:w="1276" w:type="dxa"/>
            <w:vAlign w:val="center"/>
          </w:tcPr>
          <w:p w14:paraId="7B0BDE2E">
            <w:pPr>
              <w:pStyle w:val="12"/>
            </w:pPr>
            <w:r>
              <w:t>群众测评</w:t>
            </w:r>
          </w:p>
        </w:tc>
      </w:tr>
    </w:tbl>
    <w:p w14:paraId="5A7950F5">
      <w:pPr>
        <w:sectPr>
          <w:pgSz w:w="16840" w:h="11900" w:orient="landscape"/>
          <w:pgMar w:top="1361" w:right="1020" w:bottom="1134" w:left="1020" w:header="720" w:footer="720" w:gutter="0"/>
          <w:cols w:space="720" w:num="1"/>
        </w:sectPr>
      </w:pPr>
    </w:p>
    <w:p w14:paraId="7285BA07">
      <w:pPr>
        <w:spacing w:before="0" w:after="0"/>
        <w:ind w:firstLine="560"/>
        <w:jc w:val="left"/>
        <w:outlineLvl w:val="9"/>
      </w:pPr>
      <w:r>
        <w:rPr>
          <w:rFonts w:ascii="方正仿宋_GBK" w:hAnsi="方正仿宋_GBK" w:eastAsia="方正仿宋_GBK" w:cs="方正仿宋_GBK"/>
          <w:b/>
          <w:color w:val="000000"/>
          <w:sz w:val="28"/>
        </w:rPr>
        <w:t>26、学前专项经费/魏庄校区绩效目标表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37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E7DD4">
            <w:pPr>
              <w:pStyle w:val="11"/>
            </w:pPr>
            <w:r>
              <w:t>单位：万元</w:t>
            </w:r>
          </w:p>
        </w:tc>
      </w:tr>
      <w:tr w14:paraId="1F72D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0CFF7">
            <w:pPr>
              <w:pStyle w:val="10"/>
            </w:pPr>
            <w:r>
              <w:t>项目编码</w:t>
            </w:r>
          </w:p>
        </w:tc>
        <w:tc>
          <w:tcPr>
            <w:tcW w:w="5103" w:type="dxa"/>
            <w:gridSpan w:val="2"/>
            <w:vAlign w:val="center"/>
          </w:tcPr>
          <w:p w14:paraId="453E5F7C">
            <w:pPr>
              <w:pStyle w:val="12"/>
            </w:pPr>
            <w:r>
              <w:t>13052526P00000210093Q</w:t>
            </w:r>
          </w:p>
        </w:tc>
        <w:tc>
          <w:tcPr>
            <w:tcW w:w="2835" w:type="dxa"/>
            <w:vAlign w:val="center"/>
          </w:tcPr>
          <w:p w14:paraId="1BF171D7">
            <w:pPr>
              <w:pStyle w:val="10"/>
            </w:pPr>
            <w:r>
              <w:t>项目名称</w:t>
            </w:r>
          </w:p>
        </w:tc>
        <w:tc>
          <w:tcPr>
            <w:tcW w:w="6095" w:type="dxa"/>
            <w:gridSpan w:val="3"/>
            <w:vAlign w:val="center"/>
          </w:tcPr>
          <w:p w14:paraId="67D73E0F">
            <w:pPr>
              <w:pStyle w:val="12"/>
            </w:pPr>
            <w:r>
              <w:t>学前专项经费/魏庄校区</w:t>
            </w:r>
          </w:p>
        </w:tc>
      </w:tr>
      <w:tr w14:paraId="5DA84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DB86C">
            <w:pPr>
              <w:pStyle w:val="10"/>
            </w:pPr>
            <w:r>
              <w:t>预算规模及资金用途</w:t>
            </w:r>
          </w:p>
        </w:tc>
        <w:tc>
          <w:tcPr>
            <w:tcW w:w="2268" w:type="dxa"/>
            <w:vAlign w:val="center"/>
          </w:tcPr>
          <w:p w14:paraId="09F87D5E">
            <w:pPr>
              <w:pStyle w:val="10"/>
            </w:pPr>
            <w:r>
              <w:t>预算数</w:t>
            </w:r>
          </w:p>
        </w:tc>
        <w:tc>
          <w:tcPr>
            <w:tcW w:w="2835" w:type="dxa"/>
            <w:vAlign w:val="center"/>
          </w:tcPr>
          <w:p w14:paraId="722B6F1A">
            <w:pPr>
              <w:pStyle w:val="12"/>
            </w:pPr>
            <w:r>
              <w:t>15.00</w:t>
            </w:r>
          </w:p>
        </w:tc>
        <w:tc>
          <w:tcPr>
            <w:tcW w:w="2835" w:type="dxa"/>
            <w:vAlign w:val="center"/>
          </w:tcPr>
          <w:p w14:paraId="795ECF3D">
            <w:pPr>
              <w:pStyle w:val="10"/>
            </w:pPr>
            <w:r>
              <w:t>其中：财政    资金</w:t>
            </w:r>
          </w:p>
        </w:tc>
        <w:tc>
          <w:tcPr>
            <w:tcW w:w="2551" w:type="dxa"/>
            <w:vAlign w:val="center"/>
          </w:tcPr>
          <w:p w14:paraId="51DF3E5F">
            <w:pPr>
              <w:pStyle w:val="12"/>
            </w:pPr>
            <w:r>
              <w:t>15.00</w:t>
            </w:r>
          </w:p>
        </w:tc>
        <w:tc>
          <w:tcPr>
            <w:tcW w:w="2268" w:type="dxa"/>
            <w:vAlign w:val="center"/>
          </w:tcPr>
          <w:p w14:paraId="22DF7676">
            <w:pPr>
              <w:pStyle w:val="10"/>
            </w:pPr>
            <w:r>
              <w:t>其他资金</w:t>
            </w:r>
          </w:p>
        </w:tc>
        <w:tc>
          <w:tcPr>
            <w:tcW w:w="1276" w:type="dxa"/>
            <w:vAlign w:val="center"/>
          </w:tcPr>
          <w:p w14:paraId="6E339AEB">
            <w:pPr>
              <w:pStyle w:val="12"/>
            </w:pPr>
            <w:r>
              <w:t xml:space="preserve"> </w:t>
            </w:r>
          </w:p>
        </w:tc>
      </w:tr>
      <w:tr w14:paraId="634EE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9B7C9"/>
        </w:tc>
        <w:tc>
          <w:tcPr>
            <w:tcW w:w="14033" w:type="dxa"/>
            <w:gridSpan w:val="6"/>
            <w:vAlign w:val="center"/>
          </w:tcPr>
          <w:p w14:paraId="65FF4549">
            <w:pPr>
              <w:pStyle w:val="12"/>
            </w:pPr>
            <w:r>
              <w:t>按上缴财政序时进度完成公立幼儿园保育费支出。</w:t>
            </w:r>
          </w:p>
        </w:tc>
      </w:tr>
      <w:tr w14:paraId="5B7CC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42F06">
            <w:pPr>
              <w:pStyle w:val="10"/>
            </w:pPr>
            <w:r>
              <w:t>资金支出计划（%）</w:t>
            </w:r>
          </w:p>
        </w:tc>
        <w:tc>
          <w:tcPr>
            <w:tcW w:w="5103" w:type="dxa"/>
            <w:gridSpan w:val="2"/>
            <w:vAlign w:val="center"/>
          </w:tcPr>
          <w:p w14:paraId="2A7229DD">
            <w:pPr>
              <w:pStyle w:val="10"/>
            </w:pPr>
            <w:r>
              <w:t>3月底</w:t>
            </w:r>
          </w:p>
        </w:tc>
        <w:tc>
          <w:tcPr>
            <w:tcW w:w="2835" w:type="dxa"/>
            <w:vAlign w:val="center"/>
          </w:tcPr>
          <w:p w14:paraId="28C1B6B0">
            <w:pPr>
              <w:pStyle w:val="10"/>
            </w:pPr>
            <w:r>
              <w:t>6月底</w:t>
            </w:r>
          </w:p>
        </w:tc>
        <w:tc>
          <w:tcPr>
            <w:tcW w:w="2551" w:type="dxa"/>
            <w:vAlign w:val="center"/>
          </w:tcPr>
          <w:p w14:paraId="777A1421">
            <w:pPr>
              <w:pStyle w:val="10"/>
            </w:pPr>
            <w:r>
              <w:t>10月底</w:t>
            </w:r>
          </w:p>
        </w:tc>
        <w:tc>
          <w:tcPr>
            <w:tcW w:w="3544" w:type="dxa"/>
            <w:gridSpan w:val="2"/>
            <w:vAlign w:val="center"/>
          </w:tcPr>
          <w:p w14:paraId="13BEEDC5">
            <w:pPr>
              <w:pStyle w:val="10"/>
            </w:pPr>
            <w:r>
              <w:t>12月底</w:t>
            </w:r>
          </w:p>
        </w:tc>
      </w:tr>
      <w:tr w14:paraId="24A13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B1E24"/>
        </w:tc>
        <w:tc>
          <w:tcPr>
            <w:tcW w:w="5103" w:type="dxa"/>
            <w:gridSpan w:val="2"/>
            <w:vAlign w:val="center"/>
          </w:tcPr>
          <w:p w14:paraId="60A30ECE">
            <w:pPr>
              <w:pStyle w:val="13"/>
            </w:pPr>
            <w:r>
              <w:t>25%</w:t>
            </w:r>
          </w:p>
        </w:tc>
        <w:tc>
          <w:tcPr>
            <w:tcW w:w="2835" w:type="dxa"/>
            <w:vAlign w:val="center"/>
          </w:tcPr>
          <w:p w14:paraId="3BE3BB1E">
            <w:pPr>
              <w:pStyle w:val="13"/>
            </w:pPr>
            <w:r>
              <w:t>50%</w:t>
            </w:r>
          </w:p>
        </w:tc>
        <w:tc>
          <w:tcPr>
            <w:tcW w:w="2551" w:type="dxa"/>
            <w:vAlign w:val="center"/>
          </w:tcPr>
          <w:p w14:paraId="0890AE03">
            <w:pPr>
              <w:pStyle w:val="13"/>
            </w:pPr>
            <w:r>
              <w:t>75%</w:t>
            </w:r>
          </w:p>
        </w:tc>
        <w:tc>
          <w:tcPr>
            <w:tcW w:w="3544" w:type="dxa"/>
            <w:gridSpan w:val="2"/>
            <w:vAlign w:val="center"/>
          </w:tcPr>
          <w:p w14:paraId="33253A14">
            <w:pPr>
              <w:pStyle w:val="13"/>
            </w:pPr>
            <w:r>
              <w:t>100%</w:t>
            </w:r>
          </w:p>
        </w:tc>
      </w:tr>
      <w:tr w14:paraId="416D1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FCA2B">
            <w:pPr>
              <w:pStyle w:val="10"/>
            </w:pPr>
            <w:r>
              <w:t>绩效目标</w:t>
            </w:r>
          </w:p>
        </w:tc>
        <w:tc>
          <w:tcPr>
            <w:tcW w:w="14033" w:type="dxa"/>
            <w:gridSpan w:val="6"/>
            <w:vAlign w:val="center"/>
          </w:tcPr>
          <w:p w14:paraId="21E05ABD">
            <w:pPr>
              <w:pStyle w:val="12"/>
            </w:pPr>
            <w:r>
              <w:t>1.按上缴财政序时进度完成公立幼儿园保育费支出。</w:t>
            </w:r>
          </w:p>
          <w:p w14:paraId="34F62844">
            <w:pPr>
              <w:pStyle w:val="12"/>
            </w:pPr>
            <w:r>
              <w:t>2.按预算要求完成2026年度学前教学任务提升及教学质量提高。</w:t>
            </w:r>
          </w:p>
          <w:p w14:paraId="785BE8F5">
            <w:pPr>
              <w:pStyle w:val="12"/>
            </w:pPr>
            <w:r>
              <w:t>3.按要求完成公立幼儿园保育费按月/季度上缴财政。</w:t>
            </w:r>
          </w:p>
        </w:tc>
      </w:tr>
    </w:tbl>
    <w:p w14:paraId="0A2C4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B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6AE28">
            <w:pPr>
              <w:pStyle w:val="10"/>
            </w:pPr>
            <w:r>
              <w:t>一级指标</w:t>
            </w:r>
          </w:p>
        </w:tc>
        <w:tc>
          <w:tcPr>
            <w:tcW w:w="2268" w:type="dxa"/>
            <w:vAlign w:val="center"/>
          </w:tcPr>
          <w:p w14:paraId="393CF51A">
            <w:pPr>
              <w:pStyle w:val="10"/>
            </w:pPr>
            <w:r>
              <w:t>二级指标</w:t>
            </w:r>
          </w:p>
        </w:tc>
        <w:tc>
          <w:tcPr>
            <w:tcW w:w="2835" w:type="dxa"/>
            <w:vAlign w:val="center"/>
          </w:tcPr>
          <w:p w14:paraId="24E7DF8D">
            <w:pPr>
              <w:pStyle w:val="10"/>
            </w:pPr>
            <w:r>
              <w:t>三级指标</w:t>
            </w:r>
          </w:p>
        </w:tc>
        <w:tc>
          <w:tcPr>
            <w:tcW w:w="5386" w:type="dxa"/>
            <w:vAlign w:val="center"/>
          </w:tcPr>
          <w:p w14:paraId="1A580780">
            <w:pPr>
              <w:pStyle w:val="10"/>
            </w:pPr>
            <w:r>
              <w:t>绩效指标描述</w:t>
            </w:r>
          </w:p>
        </w:tc>
        <w:tc>
          <w:tcPr>
            <w:tcW w:w="2268" w:type="dxa"/>
            <w:vAlign w:val="center"/>
          </w:tcPr>
          <w:p w14:paraId="21459DF3">
            <w:pPr>
              <w:pStyle w:val="10"/>
            </w:pPr>
            <w:r>
              <w:t>指标值</w:t>
            </w:r>
          </w:p>
        </w:tc>
        <w:tc>
          <w:tcPr>
            <w:tcW w:w="1276" w:type="dxa"/>
            <w:vAlign w:val="center"/>
          </w:tcPr>
          <w:p w14:paraId="367CDD9C">
            <w:pPr>
              <w:pStyle w:val="10"/>
            </w:pPr>
            <w:r>
              <w:t>指标值确定依据</w:t>
            </w:r>
          </w:p>
        </w:tc>
      </w:tr>
      <w:tr w14:paraId="41F76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E7CFC">
            <w:pPr>
              <w:pStyle w:val="13"/>
            </w:pPr>
            <w:r>
              <w:t>产出指标</w:t>
            </w:r>
          </w:p>
        </w:tc>
        <w:tc>
          <w:tcPr>
            <w:tcW w:w="2268" w:type="dxa"/>
            <w:vAlign w:val="center"/>
          </w:tcPr>
          <w:p w14:paraId="41129B22">
            <w:pPr>
              <w:pStyle w:val="12"/>
            </w:pPr>
            <w:r>
              <w:t>数量指标</w:t>
            </w:r>
          </w:p>
        </w:tc>
        <w:tc>
          <w:tcPr>
            <w:tcW w:w="2835" w:type="dxa"/>
            <w:vAlign w:val="center"/>
          </w:tcPr>
          <w:p w14:paraId="40571A78">
            <w:pPr>
              <w:pStyle w:val="12"/>
            </w:pPr>
            <w:r>
              <w:t>适龄在园生</w:t>
            </w:r>
          </w:p>
        </w:tc>
        <w:tc>
          <w:tcPr>
            <w:tcW w:w="5386" w:type="dxa"/>
            <w:vAlign w:val="center"/>
          </w:tcPr>
          <w:p w14:paraId="0D6A81F5">
            <w:pPr>
              <w:pStyle w:val="12"/>
            </w:pPr>
            <w:r>
              <w:t>适龄在园学生人数</w:t>
            </w:r>
          </w:p>
        </w:tc>
        <w:tc>
          <w:tcPr>
            <w:tcW w:w="2268" w:type="dxa"/>
            <w:vAlign w:val="center"/>
          </w:tcPr>
          <w:p w14:paraId="47E6E452">
            <w:pPr>
              <w:pStyle w:val="12"/>
            </w:pPr>
            <w:r>
              <w:t>189人</w:t>
            </w:r>
          </w:p>
        </w:tc>
        <w:tc>
          <w:tcPr>
            <w:tcW w:w="1276" w:type="dxa"/>
            <w:vAlign w:val="center"/>
          </w:tcPr>
          <w:p w14:paraId="090CD52C">
            <w:pPr>
              <w:pStyle w:val="12"/>
            </w:pPr>
            <w:r>
              <w:t>年度工作计划</w:t>
            </w:r>
          </w:p>
        </w:tc>
      </w:tr>
      <w:tr w14:paraId="2A26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57854"/>
        </w:tc>
        <w:tc>
          <w:tcPr>
            <w:tcW w:w="2268" w:type="dxa"/>
            <w:vAlign w:val="center"/>
          </w:tcPr>
          <w:p w14:paraId="299FA8B9">
            <w:pPr>
              <w:pStyle w:val="12"/>
            </w:pPr>
            <w:r>
              <w:t>质量指标</w:t>
            </w:r>
          </w:p>
        </w:tc>
        <w:tc>
          <w:tcPr>
            <w:tcW w:w="2835" w:type="dxa"/>
            <w:vAlign w:val="center"/>
          </w:tcPr>
          <w:p w14:paraId="03744E87">
            <w:pPr>
              <w:pStyle w:val="12"/>
            </w:pPr>
            <w:r>
              <w:t>按月上缴财政完成率</w:t>
            </w:r>
          </w:p>
        </w:tc>
        <w:tc>
          <w:tcPr>
            <w:tcW w:w="5386" w:type="dxa"/>
            <w:vAlign w:val="center"/>
          </w:tcPr>
          <w:p w14:paraId="3A8DBD6F">
            <w:pPr>
              <w:pStyle w:val="12"/>
            </w:pPr>
            <w:r>
              <w:t>按月完成公立幼儿园保育费上缴财政</w:t>
            </w:r>
          </w:p>
        </w:tc>
        <w:tc>
          <w:tcPr>
            <w:tcW w:w="2268" w:type="dxa"/>
            <w:vAlign w:val="center"/>
          </w:tcPr>
          <w:p w14:paraId="605BDFEC">
            <w:pPr>
              <w:pStyle w:val="12"/>
            </w:pPr>
            <w:r>
              <w:t>100%</w:t>
            </w:r>
          </w:p>
        </w:tc>
        <w:tc>
          <w:tcPr>
            <w:tcW w:w="1276" w:type="dxa"/>
            <w:vAlign w:val="center"/>
          </w:tcPr>
          <w:p w14:paraId="68255072">
            <w:pPr>
              <w:pStyle w:val="12"/>
            </w:pPr>
            <w:r>
              <w:t>年度工作计划</w:t>
            </w:r>
          </w:p>
        </w:tc>
      </w:tr>
      <w:tr w14:paraId="63C0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95816"/>
        </w:tc>
        <w:tc>
          <w:tcPr>
            <w:tcW w:w="2268" w:type="dxa"/>
            <w:vAlign w:val="center"/>
          </w:tcPr>
          <w:p w14:paraId="6B1E31C0">
            <w:pPr>
              <w:pStyle w:val="12"/>
            </w:pPr>
            <w:r>
              <w:t>时效指标</w:t>
            </w:r>
          </w:p>
        </w:tc>
        <w:tc>
          <w:tcPr>
            <w:tcW w:w="2835" w:type="dxa"/>
            <w:vAlign w:val="center"/>
          </w:tcPr>
          <w:p w14:paraId="227CEAA8">
            <w:pPr>
              <w:pStyle w:val="12"/>
            </w:pPr>
            <w:r>
              <w:t>资金支付率</w:t>
            </w:r>
          </w:p>
        </w:tc>
        <w:tc>
          <w:tcPr>
            <w:tcW w:w="5386" w:type="dxa"/>
            <w:vAlign w:val="center"/>
          </w:tcPr>
          <w:p w14:paraId="3C95A834">
            <w:pPr>
              <w:pStyle w:val="12"/>
            </w:pPr>
            <w:r>
              <w:t>按照上缴财政进度完成公立幼儿园保育费支付</w:t>
            </w:r>
          </w:p>
        </w:tc>
        <w:tc>
          <w:tcPr>
            <w:tcW w:w="2268" w:type="dxa"/>
            <w:vAlign w:val="center"/>
          </w:tcPr>
          <w:p w14:paraId="1C13D53C">
            <w:pPr>
              <w:pStyle w:val="12"/>
            </w:pPr>
            <w:r>
              <w:t>100%</w:t>
            </w:r>
          </w:p>
        </w:tc>
        <w:tc>
          <w:tcPr>
            <w:tcW w:w="1276" w:type="dxa"/>
            <w:vAlign w:val="center"/>
          </w:tcPr>
          <w:p w14:paraId="428F898D">
            <w:pPr>
              <w:pStyle w:val="12"/>
            </w:pPr>
            <w:r>
              <w:t>年度工作计划</w:t>
            </w:r>
          </w:p>
        </w:tc>
      </w:tr>
      <w:tr w14:paraId="020B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DF1D6"/>
        </w:tc>
        <w:tc>
          <w:tcPr>
            <w:tcW w:w="2268" w:type="dxa"/>
            <w:vAlign w:val="center"/>
          </w:tcPr>
          <w:p w14:paraId="7BBEF85C">
            <w:pPr>
              <w:pStyle w:val="12"/>
            </w:pPr>
            <w:r>
              <w:t>成本指标</w:t>
            </w:r>
          </w:p>
        </w:tc>
        <w:tc>
          <w:tcPr>
            <w:tcW w:w="2835" w:type="dxa"/>
            <w:vAlign w:val="center"/>
          </w:tcPr>
          <w:p w14:paraId="26BBF750">
            <w:pPr>
              <w:pStyle w:val="12"/>
            </w:pPr>
            <w:r>
              <w:t>公办幼儿园保育费收费标准</w:t>
            </w:r>
          </w:p>
        </w:tc>
        <w:tc>
          <w:tcPr>
            <w:tcW w:w="5386" w:type="dxa"/>
            <w:vAlign w:val="center"/>
          </w:tcPr>
          <w:p w14:paraId="0F9141FA">
            <w:pPr>
              <w:pStyle w:val="12"/>
            </w:pPr>
            <w:r>
              <w:t>农村示范园170元/月/生、农村一类园150元/月/生、农村二类园130元/月/生</w:t>
            </w:r>
          </w:p>
        </w:tc>
        <w:tc>
          <w:tcPr>
            <w:tcW w:w="2268" w:type="dxa"/>
            <w:vAlign w:val="center"/>
          </w:tcPr>
          <w:p w14:paraId="0DE67A6A">
            <w:pPr>
              <w:pStyle w:val="12"/>
            </w:pPr>
            <w:r>
              <w:t>100%</w:t>
            </w:r>
          </w:p>
        </w:tc>
        <w:tc>
          <w:tcPr>
            <w:tcW w:w="1276" w:type="dxa"/>
            <w:vAlign w:val="center"/>
          </w:tcPr>
          <w:p w14:paraId="1160EDD9">
            <w:pPr>
              <w:pStyle w:val="12"/>
            </w:pPr>
            <w:r>
              <w:t>年度工作计划</w:t>
            </w:r>
          </w:p>
        </w:tc>
      </w:tr>
      <w:tr w14:paraId="2069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7A60F">
            <w:pPr>
              <w:pStyle w:val="13"/>
            </w:pPr>
            <w:r>
              <w:t>效益指标</w:t>
            </w:r>
          </w:p>
        </w:tc>
        <w:tc>
          <w:tcPr>
            <w:tcW w:w="2268" w:type="dxa"/>
            <w:vAlign w:val="center"/>
          </w:tcPr>
          <w:p w14:paraId="17CD5352">
            <w:pPr>
              <w:pStyle w:val="12"/>
            </w:pPr>
            <w:r>
              <w:t>社会效益指标</w:t>
            </w:r>
          </w:p>
        </w:tc>
        <w:tc>
          <w:tcPr>
            <w:tcW w:w="2835" w:type="dxa"/>
            <w:vAlign w:val="center"/>
          </w:tcPr>
          <w:p w14:paraId="3DB6DB44">
            <w:pPr>
              <w:pStyle w:val="12"/>
            </w:pPr>
            <w:r>
              <w:t>幼儿园办园能力提升</w:t>
            </w:r>
          </w:p>
        </w:tc>
        <w:tc>
          <w:tcPr>
            <w:tcW w:w="5386" w:type="dxa"/>
            <w:vAlign w:val="center"/>
          </w:tcPr>
          <w:p w14:paraId="1C49105D">
            <w:pPr>
              <w:pStyle w:val="12"/>
            </w:pPr>
            <w:r>
              <w:t>幼儿园办园能力提升情况及教育教学工作等开展的情况</w:t>
            </w:r>
          </w:p>
        </w:tc>
        <w:tc>
          <w:tcPr>
            <w:tcW w:w="2268" w:type="dxa"/>
            <w:vAlign w:val="center"/>
          </w:tcPr>
          <w:p w14:paraId="3B5E9DA0">
            <w:pPr>
              <w:pStyle w:val="12"/>
            </w:pPr>
            <w:r>
              <w:t>100%</w:t>
            </w:r>
          </w:p>
        </w:tc>
        <w:tc>
          <w:tcPr>
            <w:tcW w:w="1276" w:type="dxa"/>
            <w:vAlign w:val="center"/>
          </w:tcPr>
          <w:p w14:paraId="665CF9D5">
            <w:pPr>
              <w:pStyle w:val="12"/>
            </w:pPr>
            <w:r>
              <w:t>年度工作计划</w:t>
            </w:r>
          </w:p>
        </w:tc>
      </w:tr>
      <w:tr w14:paraId="14D4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9719D">
            <w:pPr>
              <w:pStyle w:val="13"/>
            </w:pPr>
            <w:r>
              <w:t>满意度指标</w:t>
            </w:r>
          </w:p>
        </w:tc>
        <w:tc>
          <w:tcPr>
            <w:tcW w:w="2268" w:type="dxa"/>
            <w:vAlign w:val="center"/>
          </w:tcPr>
          <w:p w14:paraId="10483164">
            <w:pPr>
              <w:pStyle w:val="12"/>
            </w:pPr>
            <w:r>
              <w:t>服务对象满意度指标</w:t>
            </w:r>
          </w:p>
        </w:tc>
        <w:tc>
          <w:tcPr>
            <w:tcW w:w="2835" w:type="dxa"/>
            <w:vAlign w:val="center"/>
          </w:tcPr>
          <w:p w14:paraId="3CEDCE8B">
            <w:pPr>
              <w:pStyle w:val="12"/>
            </w:pPr>
            <w:r>
              <w:t>受益学生家长及调查满意度</w:t>
            </w:r>
          </w:p>
        </w:tc>
        <w:tc>
          <w:tcPr>
            <w:tcW w:w="5386" w:type="dxa"/>
            <w:vAlign w:val="center"/>
          </w:tcPr>
          <w:p w14:paraId="0E29CBB3">
            <w:pPr>
              <w:pStyle w:val="12"/>
            </w:pPr>
            <w:r>
              <w:t>幼儿、教师及家长对学校保教保育工作满意度情况</w:t>
            </w:r>
          </w:p>
        </w:tc>
        <w:tc>
          <w:tcPr>
            <w:tcW w:w="2268" w:type="dxa"/>
            <w:vAlign w:val="center"/>
          </w:tcPr>
          <w:p w14:paraId="5882C794">
            <w:pPr>
              <w:pStyle w:val="12"/>
            </w:pPr>
            <w:r>
              <w:t>≥95%</w:t>
            </w:r>
          </w:p>
        </w:tc>
        <w:tc>
          <w:tcPr>
            <w:tcW w:w="1276" w:type="dxa"/>
            <w:vAlign w:val="center"/>
          </w:tcPr>
          <w:p w14:paraId="18C25F0C">
            <w:pPr>
              <w:pStyle w:val="12"/>
            </w:pPr>
            <w:r>
              <w:t>年度工作计划</w:t>
            </w:r>
          </w:p>
        </w:tc>
      </w:tr>
    </w:tbl>
    <w:p w14:paraId="6C244DB5">
      <w:pPr>
        <w:sectPr>
          <w:pgSz w:w="16840" w:h="11900" w:orient="landscape"/>
          <w:pgMar w:top="1361" w:right="1020" w:bottom="1134" w:left="1020" w:header="720" w:footer="720" w:gutter="0"/>
          <w:cols w:space="720" w:num="1"/>
        </w:sectPr>
      </w:pPr>
    </w:p>
    <w:p w14:paraId="4ABAA6F6">
      <w:pPr>
        <w:spacing w:before="10" w:after="10" w:line="240" w:lineRule="auto"/>
        <w:ind w:firstLine="640"/>
        <w:jc w:val="left"/>
        <w:outlineLvl w:val="5"/>
      </w:pPr>
      <w:r>
        <w:rPr>
          <w:rFonts w:ascii="黑体" w:hAnsi="黑体" w:eastAsia="黑体" w:cs="黑体"/>
          <w:color w:val="000000"/>
          <w:sz w:val="32"/>
        </w:rPr>
        <w:t>六、政府采购预算情况</w:t>
      </w:r>
    </w:p>
    <w:p w14:paraId="2E2B513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24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A5345C">
            <w:pPr>
              <w:pStyle w:val="9"/>
            </w:pPr>
            <w:r>
              <w:t>360017隆尧县魏庄校区</w:t>
            </w:r>
          </w:p>
        </w:tc>
        <w:tc>
          <w:tcPr>
            <w:tcW w:w="8676" w:type="dxa"/>
            <w:gridSpan w:val="9"/>
            <w:tcBorders>
              <w:top w:val="single" w:color="FFFFFF" w:sz="6" w:space="0"/>
              <w:left w:val="single" w:color="FFFFFF" w:sz="6" w:space="0"/>
              <w:right w:val="single" w:color="FFFFFF" w:sz="6" w:space="0"/>
            </w:tcBorders>
            <w:vAlign w:val="center"/>
          </w:tcPr>
          <w:p w14:paraId="1E78D59C">
            <w:pPr>
              <w:pStyle w:val="21"/>
            </w:pPr>
            <w:r>
              <w:t>单位：万元</w:t>
            </w:r>
          </w:p>
        </w:tc>
      </w:tr>
      <w:tr w14:paraId="5ECC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1ECDBF">
            <w:pPr>
              <w:pStyle w:val="10"/>
            </w:pPr>
            <w:r>
              <w:t>政府采购项目来源</w:t>
            </w:r>
          </w:p>
        </w:tc>
        <w:tc>
          <w:tcPr>
            <w:tcW w:w="1134" w:type="dxa"/>
            <w:vMerge w:val="restart"/>
            <w:vAlign w:val="center"/>
          </w:tcPr>
          <w:p w14:paraId="4700680D">
            <w:pPr>
              <w:pStyle w:val="10"/>
            </w:pPr>
            <w:r>
              <w:t>采购物品名称</w:t>
            </w:r>
          </w:p>
        </w:tc>
        <w:tc>
          <w:tcPr>
            <w:tcW w:w="1134" w:type="dxa"/>
            <w:vMerge w:val="restart"/>
            <w:vAlign w:val="center"/>
          </w:tcPr>
          <w:p w14:paraId="2D4CAF92">
            <w:pPr>
              <w:pStyle w:val="10"/>
            </w:pPr>
            <w:r>
              <w:t>政府采购目录序号</w:t>
            </w:r>
          </w:p>
        </w:tc>
        <w:tc>
          <w:tcPr>
            <w:tcW w:w="709" w:type="dxa"/>
            <w:vMerge w:val="restart"/>
            <w:vAlign w:val="center"/>
          </w:tcPr>
          <w:p w14:paraId="0E82572E">
            <w:pPr>
              <w:pStyle w:val="10"/>
            </w:pPr>
            <w:r>
              <w:t>计量  单位</w:t>
            </w:r>
          </w:p>
        </w:tc>
        <w:tc>
          <w:tcPr>
            <w:tcW w:w="850" w:type="dxa"/>
            <w:vMerge w:val="restart"/>
            <w:vAlign w:val="center"/>
          </w:tcPr>
          <w:p w14:paraId="0447B52C">
            <w:pPr>
              <w:pStyle w:val="10"/>
            </w:pPr>
            <w:r>
              <w:t>数量</w:t>
            </w:r>
          </w:p>
        </w:tc>
        <w:tc>
          <w:tcPr>
            <w:tcW w:w="850" w:type="dxa"/>
            <w:vMerge w:val="restart"/>
            <w:vAlign w:val="center"/>
          </w:tcPr>
          <w:p w14:paraId="7784C721">
            <w:pPr>
              <w:pStyle w:val="10"/>
            </w:pPr>
            <w:r>
              <w:t>单价</w:t>
            </w:r>
          </w:p>
        </w:tc>
        <w:tc>
          <w:tcPr>
            <w:tcW w:w="7712" w:type="dxa"/>
            <w:gridSpan w:val="8"/>
            <w:vAlign w:val="center"/>
          </w:tcPr>
          <w:p w14:paraId="0DF61F45">
            <w:pPr>
              <w:pStyle w:val="10"/>
            </w:pPr>
            <w:r>
              <w:t>政府采购金额（当年部门预算安排资金）</w:t>
            </w:r>
          </w:p>
        </w:tc>
        <w:tc>
          <w:tcPr>
            <w:tcW w:w="964" w:type="dxa"/>
            <w:vMerge w:val="restart"/>
            <w:vAlign w:val="center"/>
          </w:tcPr>
          <w:p w14:paraId="476516D2">
            <w:pPr>
              <w:pStyle w:val="10"/>
            </w:pPr>
            <w:r>
              <w:t>2026年  预留中  小微企  业份额</w:t>
            </w:r>
          </w:p>
        </w:tc>
      </w:tr>
      <w:tr w14:paraId="4603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6D79A9">
            <w:pPr>
              <w:pStyle w:val="10"/>
            </w:pPr>
            <w:r>
              <w:t>项目名称</w:t>
            </w:r>
          </w:p>
        </w:tc>
        <w:tc>
          <w:tcPr>
            <w:tcW w:w="964" w:type="dxa"/>
            <w:vAlign w:val="center"/>
          </w:tcPr>
          <w:p w14:paraId="21863248">
            <w:pPr>
              <w:pStyle w:val="10"/>
            </w:pPr>
            <w:r>
              <w:t>预算    资金</w:t>
            </w:r>
          </w:p>
        </w:tc>
        <w:tc>
          <w:tcPr>
            <w:tcW w:w="1134" w:type="dxa"/>
            <w:vMerge w:val="continue"/>
          </w:tcPr>
          <w:p w14:paraId="1F8394F5"/>
        </w:tc>
        <w:tc>
          <w:tcPr>
            <w:tcW w:w="1134" w:type="dxa"/>
            <w:vMerge w:val="continue"/>
          </w:tcPr>
          <w:p w14:paraId="77D6A27B"/>
        </w:tc>
        <w:tc>
          <w:tcPr>
            <w:tcW w:w="709" w:type="dxa"/>
            <w:vMerge w:val="continue"/>
          </w:tcPr>
          <w:p w14:paraId="33F62F33"/>
        </w:tc>
        <w:tc>
          <w:tcPr>
            <w:tcW w:w="850" w:type="dxa"/>
            <w:vMerge w:val="continue"/>
          </w:tcPr>
          <w:p w14:paraId="3FA5907A"/>
        </w:tc>
        <w:tc>
          <w:tcPr>
            <w:tcW w:w="850" w:type="dxa"/>
            <w:vMerge w:val="continue"/>
          </w:tcPr>
          <w:p w14:paraId="58A6254A"/>
        </w:tc>
        <w:tc>
          <w:tcPr>
            <w:tcW w:w="964" w:type="dxa"/>
            <w:vAlign w:val="center"/>
          </w:tcPr>
          <w:p w14:paraId="6CC91D35">
            <w:pPr>
              <w:pStyle w:val="10"/>
            </w:pPr>
            <w:r>
              <w:t>合计</w:t>
            </w:r>
          </w:p>
        </w:tc>
        <w:tc>
          <w:tcPr>
            <w:tcW w:w="964" w:type="dxa"/>
            <w:vAlign w:val="center"/>
          </w:tcPr>
          <w:p w14:paraId="0F269E67">
            <w:pPr>
              <w:pStyle w:val="10"/>
            </w:pPr>
            <w:r>
              <w:t>一般公共预算拨款</w:t>
            </w:r>
          </w:p>
        </w:tc>
        <w:tc>
          <w:tcPr>
            <w:tcW w:w="964" w:type="dxa"/>
            <w:vAlign w:val="center"/>
          </w:tcPr>
          <w:p w14:paraId="08FA6A7F">
            <w:pPr>
              <w:pStyle w:val="10"/>
            </w:pPr>
            <w:r>
              <w:t>基金预算拨款</w:t>
            </w:r>
          </w:p>
        </w:tc>
        <w:tc>
          <w:tcPr>
            <w:tcW w:w="964" w:type="dxa"/>
            <w:vAlign w:val="center"/>
          </w:tcPr>
          <w:p w14:paraId="76F87B47">
            <w:pPr>
              <w:pStyle w:val="10"/>
            </w:pPr>
            <w:r>
              <w:t>国有资本经营预算拨款</w:t>
            </w:r>
          </w:p>
        </w:tc>
        <w:tc>
          <w:tcPr>
            <w:tcW w:w="964" w:type="dxa"/>
            <w:vAlign w:val="center"/>
          </w:tcPr>
          <w:p w14:paraId="6E38D794">
            <w:pPr>
              <w:pStyle w:val="10"/>
            </w:pPr>
            <w:r>
              <w:t>财政专户核拨</w:t>
            </w:r>
          </w:p>
        </w:tc>
        <w:tc>
          <w:tcPr>
            <w:tcW w:w="964" w:type="dxa"/>
            <w:vAlign w:val="center"/>
          </w:tcPr>
          <w:p w14:paraId="347BFD14">
            <w:pPr>
              <w:pStyle w:val="10"/>
            </w:pPr>
            <w:r>
              <w:t>单位    资金</w:t>
            </w:r>
          </w:p>
        </w:tc>
        <w:tc>
          <w:tcPr>
            <w:tcW w:w="964" w:type="dxa"/>
            <w:vAlign w:val="center"/>
          </w:tcPr>
          <w:p w14:paraId="28F89804">
            <w:pPr>
              <w:pStyle w:val="10"/>
            </w:pPr>
            <w:r>
              <w:t>财政拨款结转</w:t>
            </w:r>
          </w:p>
        </w:tc>
        <w:tc>
          <w:tcPr>
            <w:tcW w:w="964" w:type="dxa"/>
            <w:vAlign w:val="center"/>
          </w:tcPr>
          <w:p w14:paraId="21DC6090">
            <w:pPr>
              <w:pStyle w:val="10"/>
            </w:pPr>
            <w:r>
              <w:t>非财政拨款结余</w:t>
            </w:r>
          </w:p>
        </w:tc>
        <w:tc>
          <w:tcPr>
            <w:tcW w:w="964" w:type="dxa"/>
            <w:vMerge w:val="continue"/>
          </w:tcPr>
          <w:p w14:paraId="57001D33"/>
        </w:tc>
      </w:tr>
      <w:tr w14:paraId="518D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D73530">
            <w:pPr>
              <w:pStyle w:val="12"/>
            </w:pPr>
          </w:p>
        </w:tc>
        <w:tc>
          <w:tcPr>
            <w:tcW w:w="964" w:type="dxa"/>
            <w:vAlign w:val="center"/>
          </w:tcPr>
          <w:p w14:paraId="7C581153">
            <w:pPr>
              <w:pStyle w:val="11"/>
            </w:pPr>
          </w:p>
        </w:tc>
        <w:tc>
          <w:tcPr>
            <w:tcW w:w="1134" w:type="dxa"/>
            <w:vAlign w:val="center"/>
          </w:tcPr>
          <w:p w14:paraId="28034BBF">
            <w:pPr>
              <w:pStyle w:val="12"/>
            </w:pPr>
          </w:p>
        </w:tc>
        <w:tc>
          <w:tcPr>
            <w:tcW w:w="1134" w:type="dxa"/>
            <w:vAlign w:val="center"/>
          </w:tcPr>
          <w:p w14:paraId="7E86D10E">
            <w:pPr>
              <w:pStyle w:val="12"/>
            </w:pPr>
          </w:p>
        </w:tc>
        <w:tc>
          <w:tcPr>
            <w:tcW w:w="709" w:type="dxa"/>
            <w:vAlign w:val="center"/>
          </w:tcPr>
          <w:p w14:paraId="5A034F58">
            <w:pPr>
              <w:pStyle w:val="13"/>
            </w:pPr>
          </w:p>
        </w:tc>
        <w:tc>
          <w:tcPr>
            <w:tcW w:w="850" w:type="dxa"/>
            <w:vAlign w:val="center"/>
          </w:tcPr>
          <w:p w14:paraId="7B54A3DC">
            <w:pPr>
              <w:pStyle w:val="11"/>
            </w:pPr>
          </w:p>
        </w:tc>
        <w:tc>
          <w:tcPr>
            <w:tcW w:w="850" w:type="dxa"/>
            <w:vAlign w:val="center"/>
          </w:tcPr>
          <w:p w14:paraId="4D3CF48D">
            <w:pPr>
              <w:pStyle w:val="11"/>
            </w:pPr>
          </w:p>
        </w:tc>
        <w:tc>
          <w:tcPr>
            <w:tcW w:w="964" w:type="dxa"/>
            <w:vAlign w:val="center"/>
          </w:tcPr>
          <w:p w14:paraId="07770A2C">
            <w:pPr>
              <w:pStyle w:val="11"/>
            </w:pPr>
          </w:p>
        </w:tc>
        <w:tc>
          <w:tcPr>
            <w:tcW w:w="964" w:type="dxa"/>
            <w:vAlign w:val="center"/>
          </w:tcPr>
          <w:p w14:paraId="5D8100AF">
            <w:pPr>
              <w:pStyle w:val="11"/>
            </w:pPr>
          </w:p>
        </w:tc>
        <w:tc>
          <w:tcPr>
            <w:tcW w:w="964" w:type="dxa"/>
            <w:vAlign w:val="center"/>
          </w:tcPr>
          <w:p w14:paraId="10FA7566">
            <w:pPr>
              <w:pStyle w:val="11"/>
            </w:pPr>
          </w:p>
        </w:tc>
        <w:tc>
          <w:tcPr>
            <w:tcW w:w="964" w:type="dxa"/>
            <w:vAlign w:val="center"/>
          </w:tcPr>
          <w:p w14:paraId="384A8A00">
            <w:pPr>
              <w:pStyle w:val="11"/>
            </w:pPr>
          </w:p>
        </w:tc>
        <w:tc>
          <w:tcPr>
            <w:tcW w:w="964" w:type="dxa"/>
            <w:vAlign w:val="center"/>
          </w:tcPr>
          <w:p w14:paraId="3346FF5C">
            <w:pPr>
              <w:pStyle w:val="11"/>
            </w:pPr>
          </w:p>
        </w:tc>
        <w:tc>
          <w:tcPr>
            <w:tcW w:w="964" w:type="dxa"/>
            <w:vAlign w:val="center"/>
          </w:tcPr>
          <w:p w14:paraId="0488DCAF">
            <w:pPr>
              <w:pStyle w:val="11"/>
            </w:pPr>
          </w:p>
        </w:tc>
        <w:tc>
          <w:tcPr>
            <w:tcW w:w="964" w:type="dxa"/>
            <w:vAlign w:val="center"/>
          </w:tcPr>
          <w:p w14:paraId="5A71D89C">
            <w:pPr>
              <w:pStyle w:val="11"/>
            </w:pPr>
          </w:p>
        </w:tc>
        <w:tc>
          <w:tcPr>
            <w:tcW w:w="964" w:type="dxa"/>
            <w:vAlign w:val="center"/>
          </w:tcPr>
          <w:p w14:paraId="27171282">
            <w:pPr>
              <w:pStyle w:val="11"/>
            </w:pPr>
          </w:p>
        </w:tc>
        <w:tc>
          <w:tcPr>
            <w:tcW w:w="964" w:type="dxa"/>
            <w:vAlign w:val="center"/>
          </w:tcPr>
          <w:p w14:paraId="4DF85629">
            <w:pPr>
              <w:pStyle w:val="11"/>
            </w:pPr>
          </w:p>
        </w:tc>
      </w:tr>
    </w:tbl>
    <w:p w14:paraId="4A8E103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30C5A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C295B4">
      <w:pPr>
        <w:spacing w:before="0" w:after="0"/>
        <w:ind w:firstLine="640"/>
        <w:jc w:val="left"/>
        <w:outlineLvl w:val="9"/>
      </w:pPr>
      <w:r>
        <w:rPr>
          <w:rFonts w:ascii="Times New Roman" w:hAnsi="Times New Roman" w:eastAsia="方正仿宋_GBK" w:cs="Times New Roman"/>
          <w:color w:val="000000"/>
          <w:sz w:val="32"/>
        </w:rPr>
        <w:t xml:space="preserve"> </w:t>
      </w:r>
    </w:p>
    <w:p w14:paraId="526DAFDA">
      <w:pPr>
        <w:spacing w:before="10" w:after="10" w:line="240" w:lineRule="auto"/>
        <w:ind w:firstLine="640"/>
        <w:jc w:val="left"/>
        <w:outlineLvl w:val="5"/>
      </w:pPr>
      <w:r>
        <w:rPr>
          <w:rFonts w:ascii="黑体" w:hAnsi="黑体" w:eastAsia="黑体" w:cs="黑体"/>
          <w:color w:val="000000"/>
          <w:sz w:val="32"/>
        </w:rPr>
        <w:t>七、国有资产信息</w:t>
      </w:r>
    </w:p>
    <w:p w14:paraId="483DE577">
      <w:pPr>
        <w:spacing w:before="0" w:after="0" w:line="500" w:lineRule="exact"/>
        <w:ind w:firstLine="560"/>
        <w:jc w:val="left"/>
        <w:outlineLvl w:val="9"/>
      </w:pPr>
      <w:r>
        <w:rPr>
          <w:rFonts w:ascii="Times New Roman" w:hAnsi="Times New Roman" w:eastAsia="方正仿宋_GBK" w:cs="Times New Roman"/>
          <w:b w:val="0"/>
          <w:color w:val="000000"/>
          <w:sz w:val="28"/>
        </w:rPr>
        <w:t>隆尧县魏庄校区上年末固定资产金额为3208.19万元（详见下表）。本年度拟购置固定资产总额为26.41万元，已按要求列入政府采购预算，详见政府采购预算表。</w:t>
      </w:r>
    </w:p>
    <w:p w14:paraId="559BCCE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E9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ED4F8F">
            <w:pPr>
              <w:pStyle w:val="9"/>
            </w:pPr>
            <w:r>
              <w:t>360017隆尧县魏庄校区</w:t>
            </w:r>
          </w:p>
        </w:tc>
        <w:tc>
          <w:tcPr>
            <w:tcW w:w="5670" w:type="dxa"/>
            <w:gridSpan w:val="2"/>
            <w:tcBorders>
              <w:top w:val="single" w:color="FFFFFF" w:sz="6" w:space="0"/>
              <w:left w:val="single" w:color="FFFFFF" w:sz="6" w:space="0"/>
              <w:right w:val="single" w:color="FFFFFF" w:sz="6" w:space="0"/>
            </w:tcBorders>
            <w:vAlign w:val="center"/>
          </w:tcPr>
          <w:p w14:paraId="0005CDDB">
            <w:pPr>
              <w:pStyle w:val="7"/>
            </w:pPr>
            <w:r>
              <w:t>截止时间：2025-12-31</w:t>
            </w:r>
          </w:p>
        </w:tc>
      </w:tr>
      <w:tr w14:paraId="3BBD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ECE1B9">
            <w:pPr>
              <w:pStyle w:val="10"/>
            </w:pPr>
            <w:r>
              <w:t>项   目</w:t>
            </w:r>
          </w:p>
        </w:tc>
        <w:tc>
          <w:tcPr>
            <w:tcW w:w="2835" w:type="dxa"/>
            <w:vAlign w:val="center"/>
          </w:tcPr>
          <w:p w14:paraId="6294A720">
            <w:pPr>
              <w:pStyle w:val="10"/>
            </w:pPr>
            <w:r>
              <w:t>数量</w:t>
            </w:r>
          </w:p>
        </w:tc>
        <w:tc>
          <w:tcPr>
            <w:tcW w:w="2835" w:type="dxa"/>
            <w:vAlign w:val="center"/>
          </w:tcPr>
          <w:p w14:paraId="2CC13B58">
            <w:pPr>
              <w:pStyle w:val="10"/>
            </w:pPr>
            <w:r>
              <w:t>价值（金额单位：万元）</w:t>
            </w:r>
          </w:p>
        </w:tc>
      </w:tr>
      <w:tr w14:paraId="341F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C25143">
            <w:pPr>
              <w:pStyle w:val="12"/>
            </w:pPr>
            <w:r>
              <w:t>资产总额</w:t>
            </w:r>
          </w:p>
        </w:tc>
        <w:tc>
          <w:tcPr>
            <w:tcW w:w="2835" w:type="dxa"/>
            <w:vAlign w:val="center"/>
          </w:tcPr>
          <w:p w14:paraId="63EA196D">
            <w:pPr>
              <w:pStyle w:val="13"/>
            </w:pPr>
          </w:p>
        </w:tc>
        <w:tc>
          <w:tcPr>
            <w:tcW w:w="2835" w:type="dxa"/>
            <w:vAlign w:val="center"/>
          </w:tcPr>
          <w:p w14:paraId="12ACAC78">
            <w:pPr>
              <w:pStyle w:val="11"/>
            </w:pPr>
            <w:r>
              <w:t>3208.19</w:t>
            </w:r>
          </w:p>
        </w:tc>
      </w:tr>
      <w:tr w14:paraId="3FF7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B66C1F">
            <w:pPr>
              <w:pStyle w:val="12"/>
            </w:pPr>
            <w:r>
              <w:t>1、房屋（平方米）</w:t>
            </w:r>
          </w:p>
        </w:tc>
        <w:tc>
          <w:tcPr>
            <w:tcW w:w="2835" w:type="dxa"/>
            <w:vAlign w:val="center"/>
          </w:tcPr>
          <w:p w14:paraId="207B4BAF">
            <w:pPr>
              <w:pStyle w:val="13"/>
            </w:pPr>
            <w:r>
              <w:t>22900.67</w:t>
            </w:r>
          </w:p>
        </w:tc>
        <w:tc>
          <w:tcPr>
            <w:tcW w:w="2835" w:type="dxa"/>
            <w:vAlign w:val="center"/>
          </w:tcPr>
          <w:p w14:paraId="7854DA62">
            <w:pPr>
              <w:pStyle w:val="11"/>
            </w:pPr>
            <w:r>
              <w:t>2075.97</w:t>
            </w:r>
          </w:p>
        </w:tc>
      </w:tr>
      <w:tr w14:paraId="5ED7B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C6128F">
            <w:pPr>
              <w:pStyle w:val="12"/>
            </w:pPr>
            <w:r>
              <w:t>　　其中：办公用房（平方米）</w:t>
            </w:r>
          </w:p>
        </w:tc>
        <w:tc>
          <w:tcPr>
            <w:tcW w:w="2835" w:type="dxa"/>
            <w:vAlign w:val="center"/>
          </w:tcPr>
          <w:p w14:paraId="6FB41708">
            <w:pPr>
              <w:pStyle w:val="13"/>
            </w:pPr>
            <w:r>
              <w:t>2022.12</w:t>
            </w:r>
          </w:p>
        </w:tc>
        <w:tc>
          <w:tcPr>
            <w:tcW w:w="2835" w:type="dxa"/>
            <w:vAlign w:val="center"/>
          </w:tcPr>
          <w:p w14:paraId="0EC76D55">
            <w:pPr>
              <w:pStyle w:val="11"/>
            </w:pPr>
            <w:r>
              <w:t>181.93</w:t>
            </w:r>
          </w:p>
        </w:tc>
      </w:tr>
      <w:tr w14:paraId="74BD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E02CE">
            <w:pPr>
              <w:pStyle w:val="12"/>
            </w:pPr>
            <w:r>
              <w:t>2、车辆（台、辆）</w:t>
            </w:r>
          </w:p>
        </w:tc>
        <w:tc>
          <w:tcPr>
            <w:tcW w:w="2835" w:type="dxa"/>
            <w:vAlign w:val="center"/>
          </w:tcPr>
          <w:p w14:paraId="10FC14DC">
            <w:pPr>
              <w:pStyle w:val="13"/>
            </w:pPr>
          </w:p>
        </w:tc>
        <w:tc>
          <w:tcPr>
            <w:tcW w:w="2835" w:type="dxa"/>
            <w:vAlign w:val="center"/>
          </w:tcPr>
          <w:p w14:paraId="1EC1832D">
            <w:pPr>
              <w:pStyle w:val="11"/>
            </w:pPr>
          </w:p>
        </w:tc>
      </w:tr>
      <w:tr w14:paraId="021B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DC5F2A">
            <w:pPr>
              <w:pStyle w:val="12"/>
            </w:pPr>
            <w:r>
              <w:t>3、单价在20万元以上的设备</w:t>
            </w:r>
          </w:p>
        </w:tc>
        <w:tc>
          <w:tcPr>
            <w:tcW w:w="2835" w:type="dxa"/>
            <w:vAlign w:val="center"/>
          </w:tcPr>
          <w:p w14:paraId="2A80B70C">
            <w:pPr>
              <w:pStyle w:val="13"/>
            </w:pPr>
            <w:r>
              <w:t>2</w:t>
            </w:r>
          </w:p>
        </w:tc>
        <w:tc>
          <w:tcPr>
            <w:tcW w:w="2835" w:type="dxa"/>
            <w:vAlign w:val="center"/>
          </w:tcPr>
          <w:p w14:paraId="5075449C">
            <w:pPr>
              <w:pStyle w:val="11"/>
            </w:pPr>
            <w:r>
              <w:t>48.95</w:t>
            </w:r>
          </w:p>
        </w:tc>
      </w:tr>
      <w:tr w14:paraId="105E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B85A11">
            <w:pPr>
              <w:pStyle w:val="12"/>
            </w:pPr>
            <w:r>
              <w:t>4、其他固定资产</w:t>
            </w:r>
          </w:p>
        </w:tc>
        <w:tc>
          <w:tcPr>
            <w:tcW w:w="2835" w:type="dxa"/>
            <w:vAlign w:val="center"/>
          </w:tcPr>
          <w:p w14:paraId="2DBAA57A">
            <w:pPr>
              <w:pStyle w:val="13"/>
            </w:pPr>
            <w:r>
              <w:t>7160</w:t>
            </w:r>
          </w:p>
        </w:tc>
        <w:tc>
          <w:tcPr>
            <w:tcW w:w="2835" w:type="dxa"/>
            <w:vAlign w:val="center"/>
          </w:tcPr>
          <w:p w14:paraId="5C63DC3C">
            <w:pPr>
              <w:pStyle w:val="11"/>
            </w:pPr>
            <w:r>
              <w:t>1083.27</w:t>
            </w:r>
          </w:p>
        </w:tc>
      </w:tr>
    </w:tbl>
    <w:p w14:paraId="3AFD6EF8">
      <w:pPr>
        <w:spacing w:before="0" w:after="0"/>
        <w:ind w:firstLine="640"/>
        <w:jc w:val="left"/>
        <w:outlineLvl w:val="9"/>
      </w:pPr>
      <w:r>
        <w:rPr>
          <w:rFonts w:ascii="Times New Roman" w:hAnsi="Times New Roman" w:eastAsia="方正仿宋_GBK" w:cs="Times New Roman"/>
          <w:color w:val="000000"/>
          <w:sz w:val="32"/>
        </w:rPr>
        <w:t xml:space="preserve"> </w:t>
      </w:r>
    </w:p>
    <w:p w14:paraId="3521434B">
      <w:pPr>
        <w:spacing w:before="10" w:after="10" w:line="240" w:lineRule="auto"/>
        <w:ind w:firstLine="640"/>
        <w:jc w:val="left"/>
        <w:outlineLvl w:val="5"/>
      </w:pPr>
      <w:r>
        <w:rPr>
          <w:rFonts w:ascii="黑体" w:hAnsi="黑体" w:eastAsia="黑体" w:cs="黑体"/>
          <w:color w:val="000000"/>
          <w:sz w:val="32"/>
        </w:rPr>
        <w:t>八、名词解释</w:t>
      </w:r>
    </w:p>
    <w:p w14:paraId="5328C3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0E823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AB0BF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39DB6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6633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073D0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5A6A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6561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5458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780C8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4C7D9B">
      <w:pPr>
        <w:spacing w:before="10" w:after="10" w:line="240" w:lineRule="auto"/>
        <w:ind w:firstLine="640"/>
        <w:jc w:val="left"/>
        <w:outlineLvl w:val="5"/>
      </w:pPr>
      <w:r>
        <w:rPr>
          <w:rFonts w:ascii="黑体" w:hAnsi="黑体" w:eastAsia="黑体" w:cs="黑体"/>
          <w:color w:val="000000"/>
          <w:sz w:val="32"/>
        </w:rPr>
        <w:t>九、其他需要说明的事项</w:t>
      </w:r>
    </w:p>
    <w:p w14:paraId="16CDD9E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50F2192">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十七、隆尧县北楼校区收支预算</w:t>
      </w:r>
      <w:bookmarkEnd w:id="16"/>
    </w:p>
    <w:p w14:paraId="1A51EE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A3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72ACD3">
            <w:pPr>
              <w:pStyle w:val="9"/>
            </w:pPr>
            <w:r>
              <w:t>360018隆尧县北楼校区</w:t>
            </w:r>
          </w:p>
        </w:tc>
        <w:tc>
          <w:tcPr>
            <w:tcW w:w="2126" w:type="dxa"/>
            <w:tcBorders>
              <w:top w:val="single" w:color="FFFFFF" w:sz="6" w:space="0"/>
              <w:left w:val="single" w:color="FFFFFF" w:sz="6" w:space="0"/>
              <w:right w:val="single" w:color="FFFFFF" w:sz="6" w:space="0"/>
            </w:tcBorders>
            <w:vAlign w:val="center"/>
          </w:tcPr>
          <w:p w14:paraId="23E6174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39B133C">
            <w:pPr>
              <w:pStyle w:val="7"/>
            </w:pPr>
            <w:r>
              <w:t>单位：万元</w:t>
            </w:r>
          </w:p>
        </w:tc>
      </w:tr>
      <w:tr w14:paraId="4E884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C73FE">
            <w:pPr>
              <w:pStyle w:val="10"/>
            </w:pPr>
            <w:r>
              <w:t>序号</w:t>
            </w:r>
          </w:p>
        </w:tc>
        <w:tc>
          <w:tcPr>
            <w:tcW w:w="6661" w:type="dxa"/>
            <w:gridSpan w:val="2"/>
            <w:vAlign w:val="center"/>
          </w:tcPr>
          <w:p w14:paraId="087DB200">
            <w:pPr>
              <w:pStyle w:val="10"/>
            </w:pPr>
            <w:r>
              <w:t>收入</w:t>
            </w:r>
          </w:p>
        </w:tc>
        <w:tc>
          <w:tcPr>
            <w:tcW w:w="6661" w:type="dxa"/>
            <w:gridSpan w:val="2"/>
            <w:vAlign w:val="center"/>
          </w:tcPr>
          <w:p w14:paraId="44FC9C71">
            <w:pPr>
              <w:pStyle w:val="10"/>
            </w:pPr>
            <w:r>
              <w:t>支出</w:t>
            </w:r>
          </w:p>
        </w:tc>
      </w:tr>
      <w:tr w14:paraId="0652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1BA8C9"/>
        </w:tc>
        <w:tc>
          <w:tcPr>
            <w:tcW w:w="4535" w:type="dxa"/>
            <w:vAlign w:val="center"/>
          </w:tcPr>
          <w:p w14:paraId="411D43B0">
            <w:pPr>
              <w:pStyle w:val="10"/>
            </w:pPr>
            <w:r>
              <w:t>项  目</w:t>
            </w:r>
          </w:p>
        </w:tc>
        <w:tc>
          <w:tcPr>
            <w:tcW w:w="2126" w:type="dxa"/>
            <w:vAlign w:val="center"/>
          </w:tcPr>
          <w:p w14:paraId="3292C3C1">
            <w:pPr>
              <w:pStyle w:val="10"/>
            </w:pPr>
            <w:r>
              <w:t>预算数</w:t>
            </w:r>
          </w:p>
        </w:tc>
        <w:tc>
          <w:tcPr>
            <w:tcW w:w="4535" w:type="dxa"/>
            <w:vAlign w:val="center"/>
          </w:tcPr>
          <w:p w14:paraId="7B5CE9DC">
            <w:pPr>
              <w:pStyle w:val="10"/>
            </w:pPr>
            <w:r>
              <w:t>项  目</w:t>
            </w:r>
          </w:p>
        </w:tc>
        <w:tc>
          <w:tcPr>
            <w:tcW w:w="2126" w:type="dxa"/>
            <w:vAlign w:val="center"/>
          </w:tcPr>
          <w:p w14:paraId="5901C6E6">
            <w:pPr>
              <w:pStyle w:val="10"/>
            </w:pPr>
            <w:r>
              <w:t>预算数</w:t>
            </w:r>
          </w:p>
        </w:tc>
      </w:tr>
      <w:tr w14:paraId="65500125">
        <w:tblPrEx>
          <w:tblCellMar>
            <w:top w:w="0" w:type="dxa"/>
            <w:left w:w="108" w:type="dxa"/>
            <w:bottom w:w="0" w:type="dxa"/>
            <w:right w:w="108" w:type="dxa"/>
          </w:tblCellMar>
        </w:tblPrEx>
        <w:trPr>
          <w:trHeight w:val="369" w:hRule="atLeast"/>
          <w:tblHeader/>
          <w:jc w:val="center"/>
        </w:trPr>
        <w:tc>
          <w:tcPr>
            <w:tcW w:w="850" w:type="dxa"/>
            <w:vAlign w:val="center"/>
          </w:tcPr>
          <w:p w14:paraId="7783D6D7">
            <w:pPr>
              <w:pStyle w:val="10"/>
            </w:pPr>
            <w:r>
              <w:t>栏次</w:t>
            </w:r>
          </w:p>
        </w:tc>
        <w:tc>
          <w:tcPr>
            <w:tcW w:w="4535" w:type="dxa"/>
            <w:vAlign w:val="center"/>
          </w:tcPr>
          <w:p w14:paraId="2D0136A3">
            <w:pPr>
              <w:pStyle w:val="10"/>
            </w:pPr>
            <w:r>
              <w:t>1</w:t>
            </w:r>
          </w:p>
        </w:tc>
        <w:tc>
          <w:tcPr>
            <w:tcW w:w="2126" w:type="dxa"/>
            <w:vAlign w:val="center"/>
          </w:tcPr>
          <w:p w14:paraId="2D4CE515">
            <w:pPr>
              <w:pStyle w:val="10"/>
            </w:pPr>
            <w:r>
              <w:t>2</w:t>
            </w:r>
          </w:p>
        </w:tc>
        <w:tc>
          <w:tcPr>
            <w:tcW w:w="4535" w:type="dxa"/>
            <w:vAlign w:val="center"/>
          </w:tcPr>
          <w:p w14:paraId="454BDC7E">
            <w:pPr>
              <w:pStyle w:val="10"/>
            </w:pPr>
            <w:r>
              <w:t>3</w:t>
            </w:r>
          </w:p>
        </w:tc>
        <w:tc>
          <w:tcPr>
            <w:tcW w:w="2126" w:type="dxa"/>
            <w:vAlign w:val="center"/>
          </w:tcPr>
          <w:p w14:paraId="0BC8282A">
            <w:pPr>
              <w:pStyle w:val="10"/>
            </w:pPr>
            <w:r>
              <w:t>4</w:t>
            </w:r>
          </w:p>
        </w:tc>
      </w:tr>
      <w:tr w14:paraId="3FFA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C36D1">
            <w:pPr>
              <w:pStyle w:val="13"/>
            </w:pPr>
            <w:r>
              <w:t>1</w:t>
            </w:r>
          </w:p>
        </w:tc>
        <w:tc>
          <w:tcPr>
            <w:tcW w:w="4535" w:type="dxa"/>
            <w:vAlign w:val="center"/>
          </w:tcPr>
          <w:p w14:paraId="039438F9">
            <w:pPr>
              <w:pStyle w:val="12"/>
            </w:pPr>
            <w:r>
              <w:t>一、一般公共预算拨款收入</w:t>
            </w:r>
          </w:p>
        </w:tc>
        <w:tc>
          <w:tcPr>
            <w:tcW w:w="2126" w:type="dxa"/>
            <w:vAlign w:val="center"/>
          </w:tcPr>
          <w:p w14:paraId="48324CA7">
            <w:pPr>
              <w:pStyle w:val="11"/>
            </w:pPr>
            <w:r>
              <w:t>2005.82</w:t>
            </w:r>
          </w:p>
        </w:tc>
        <w:tc>
          <w:tcPr>
            <w:tcW w:w="4535" w:type="dxa"/>
            <w:vAlign w:val="center"/>
          </w:tcPr>
          <w:p w14:paraId="5139631B">
            <w:pPr>
              <w:pStyle w:val="12"/>
            </w:pPr>
            <w:r>
              <w:t>一、一般公共服务支出</w:t>
            </w:r>
          </w:p>
        </w:tc>
        <w:tc>
          <w:tcPr>
            <w:tcW w:w="2126" w:type="dxa"/>
            <w:vAlign w:val="center"/>
          </w:tcPr>
          <w:p w14:paraId="5FB6B3DB">
            <w:pPr>
              <w:pStyle w:val="11"/>
            </w:pPr>
          </w:p>
        </w:tc>
      </w:tr>
      <w:tr w14:paraId="1FE6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2A3BA">
            <w:pPr>
              <w:pStyle w:val="13"/>
            </w:pPr>
            <w:r>
              <w:t>2</w:t>
            </w:r>
          </w:p>
        </w:tc>
        <w:tc>
          <w:tcPr>
            <w:tcW w:w="4535" w:type="dxa"/>
            <w:vAlign w:val="center"/>
          </w:tcPr>
          <w:p w14:paraId="5D318277">
            <w:pPr>
              <w:pStyle w:val="12"/>
            </w:pPr>
            <w:r>
              <w:t>二、政府性基金预算拨款收入</w:t>
            </w:r>
          </w:p>
        </w:tc>
        <w:tc>
          <w:tcPr>
            <w:tcW w:w="2126" w:type="dxa"/>
            <w:vAlign w:val="center"/>
          </w:tcPr>
          <w:p w14:paraId="6C2B705F">
            <w:pPr>
              <w:pStyle w:val="11"/>
            </w:pPr>
          </w:p>
        </w:tc>
        <w:tc>
          <w:tcPr>
            <w:tcW w:w="4535" w:type="dxa"/>
            <w:vAlign w:val="center"/>
          </w:tcPr>
          <w:p w14:paraId="0296F218">
            <w:pPr>
              <w:pStyle w:val="12"/>
            </w:pPr>
            <w:r>
              <w:t>二、外交支出</w:t>
            </w:r>
          </w:p>
        </w:tc>
        <w:tc>
          <w:tcPr>
            <w:tcW w:w="2126" w:type="dxa"/>
            <w:vAlign w:val="center"/>
          </w:tcPr>
          <w:p w14:paraId="76F78A66">
            <w:pPr>
              <w:pStyle w:val="11"/>
            </w:pPr>
          </w:p>
        </w:tc>
      </w:tr>
      <w:tr w14:paraId="58900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3D0EF">
            <w:pPr>
              <w:pStyle w:val="13"/>
            </w:pPr>
            <w:r>
              <w:t>3</w:t>
            </w:r>
          </w:p>
        </w:tc>
        <w:tc>
          <w:tcPr>
            <w:tcW w:w="4535" w:type="dxa"/>
            <w:vAlign w:val="center"/>
          </w:tcPr>
          <w:p w14:paraId="012A3B52">
            <w:pPr>
              <w:pStyle w:val="12"/>
            </w:pPr>
            <w:r>
              <w:t>三、国有资本经营预算拨款收入</w:t>
            </w:r>
          </w:p>
        </w:tc>
        <w:tc>
          <w:tcPr>
            <w:tcW w:w="2126" w:type="dxa"/>
            <w:vAlign w:val="center"/>
          </w:tcPr>
          <w:p w14:paraId="29024208">
            <w:pPr>
              <w:pStyle w:val="11"/>
            </w:pPr>
          </w:p>
        </w:tc>
        <w:tc>
          <w:tcPr>
            <w:tcW w:w="4535" w:type="dxa"/>
            <w:vAlign w:val="center"/>
          </w:tcPr>
          <w:p w14:paraId="728F2363">
            <w:pPr>
              <w:pStyle w:val="12"/>
            </w:pPr>
            <w:r>
              <w:t>三、国防支出</w:t>
            </w:r>
          </w:p>
        </w:tc>
        <w:tc>
          <w:tcPr>
            <w:tcW w:w="2126" w:type="dxa"/>
            <w:vAlign w:val="center"/>
          </w:tcPr>
          <w:p w14:paraId="54878790">
            <w:pPr>
              <w:pStyle w:val="11"/>
            </w:pPr>
          </w:p>
        </w:tc>
      </w:tr>
      <w:tr w14:paraId="35DFB8AC">
        <w:tblPrEx>
          <w:tblCellMar>
            <w:top w:w="0" w:type="dxa"/>
            <w:left w:w="108" w:type="dxa"/>
            <w:bottom w:w="0" w:type="dxa"/>
            <w:right w:w="108" w:type="dxa"/>
          </w:tblCellMar>
        </w:tblPrEx>
        <w:trPr>
          <w:trHeight w:val="369" w:hRule="atLeast"/>
          <w:jc w:val="center"/>
        </w:trPr>
        <w:tc>
          <w:tcPr>
            <w:tcW w:w="850" w:type="dxa"/>
            <w:vAlign w:val="center"/>
          </w:tcPr>
          <w:p w14:paraId="188EA8B9">
            <w:pPr>
              <w:pStyle w:val="13"/>
            </w:pPr>
            <w:r>
              <w:t>4</w:t>
            </w:r>
          </w:p>
        </w:tc>
        <w:tc>
          <w:tcPr>
            <w:tcW w:w="4535" w:type="dxa"/>
            <w:vAlign w:val="center"/>
          </w:tcPr>
          <w:p w14:paraId="63561152">
            <w:pPr>
              <w:pStyle w:val="12"/>
            </w:pPr>
            <w:r>
              <w:t>四、财政专户管理资金收入</w:t>
            </w:r>
          </w:p>
        </w:tc>
        <w:tc>
          <w:tcPr>
            <w:tcW w:w="2126" w:type="dxa"/>
            <w:vAlign w:val="center"/>
          </w:tcPr>
          <w:p w14:paraId="3CF01656">
            <w:pPr>
              <w:pStyle w:val="11"/>
            </w:pPr>
          </w:p>
        </w:tc>
        <w:tc>
          <w:tcPr>
            <w:tcW w:w="4535" w:type="dxa"/>
            <w:vAlign w:val="center"/>
          </w:tcPr>
          <w:p w14:paraId="182F382A">
            <w:pPr>
              <w:pStyle w:val="12"/>
            </w:pPr>
            <w:r>
              <w:t>四、公共安全支出</w:t>
            </w:r>
          </w:p>
        </w:tc>
        <w:tc>
          <w:tcPr>
            <w:tcW w:w="2126" w:type="dxa"/>
            <w:vAlign w:val="center"/>
          </w:tcPr>
          <w:p w14:paraId="05D76307">
            <w:pPr>
              <w:pStyle w:val="11"/>
            </w:pPr>
          </w:p>
        </w:tc>
      </w:tr>
      <w:tr w14:paraId="421ECC76">
        <w:tblPrEx>
          <w:tblCellMar>
            <w:top w:w="0" w:type="dxa"/>
            <w:left w:w="108" w:type="dxa"/>
            <w:bottom w:w="0" w:type="dxa"/>
            <w:right w:w="108" w:type="dxa"/>
          </w:tblCellMar>
        </w:tblPrEx>
        <w:trPr>
          <w:trHeight w:val="369" w:hRule="atLeast"/>
          <w:jc w:val="center"/>
        </w:trPr>
        <w:tc>
          <w:tcPr>
            <w:tcW w:w="850" w:type="dxa"/>
            <w:vAlign w:val="center"/>
          </w:tcPr>
          <w:p w14:paraId="7E24F478">
            <w:pPr>
              <w:pStyle w:val="13"/>
            </w:pPr>
            <w:r>
              <w:t>5</w:t>
            </w:r>
          </w:p>
        </w:tc>
        <w:tc>
          <w:tcPr>
            <w:tcW w:w="4535" w:type="dxa"/>
            <w:vAlign w:val="center"/>
          </w:tcPr>
          <w:p w14:paraId="55327ACE">
            <w:pPr>
              <w:pStyle w:val="12"/>
            </w:pPr>
            <w:r>
              <w:t>五、单位资金</w:t>
            </w:r>
          </w:p>
        </w:tc>
        <w:tc>
          <w:tcPr>
            <w:tcW w:w="2126" w:type="dxa"/>
            <w:vAlign w:val="center"/>
          </w:tcPr>
          <w:p w14:paraId="6E157570">
            <w:pPr>
              <w:pStyle w:val="11"/>
            </w:pPr>
          </w:p>
        </w:tc>
        <w:tc>
          <w:tcPr>
            <w:tcW w:w="4535" w:type="dxa"/>
            <w:vAlign w:val="center"/>
          </w:tcPr>
          <w:p w14:paraId="4DDCAB76">
            <w:pPr>
              <w:pStyle w:val="12"/>
            </w:pPr>
            <w:r>
              <w:t>五、教育支出</w:t>
            </w:r>
          </w:p>
        </w:tc>
        <w:tc>
          <w:tcPr>
            <w:tcW w:w="2126" w:type="dxa"/>
            <w:vAlign w:val="center"/>
          </w:tcPr>
          <w:p w14:paraId="2C7ABCAE">
            <w:pPr>
              <w:pStyle w:val="11"/>
            </w:pPr>
            <w:r>
              <w:t>2005.82</w:t>
            </w:r>
          </w:p>
        </w:tc>
      </w:tr>
      <w:tr w14:paraId="69A56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73E6">
            <w:pPr>
              <w:pStyle w:val="13"/>
            </w:pPr>
            <w:r>
              <w:t>6</w:t>
            </w:r>
          </w:p>
        </w:tc>
        <w:tc>
          <w:tcPr>
            <w:tcW w:w="4535" w:type="dxa"/>
            <w:vAlign w:val="center"/>
          </w:tcPr>
          <w:p w14:paraId="61495A2A">
            <w:pPr>
              <w:pStyle w:val="12"/>
            </w:pPr>
          </w:p>
        </w:tc>
        <w:tc>
          <w:tcPr>
            <w:tcW w:w="2126" w:type="dxa"/>
            <w:vAlign w:val="center"/>
          </w:tcPr>
          <w:p w14:paraId="3E920EE6">
            <w:pPr>
              <w:pStyle w:val="11"/>
            </w:pPr>
          </w:p>
        </w:tc>
        <w:tc>
          <w:tcPr>
            <w:tcW w:w="4535" w:type="dxa"/>
            <w:vAlign w:val="center"/>
          </w:tcPr>
          <w:p w14:paraId="369B4BF1">
            <w:pPr>
              <w:pStyle w:val="12"/>
            </w:pPr>
            <w:r>
              <w:t>六、科学技术支出</w:t>
            </w:r>
          </w:p>
        </w:tc>
        <w:tc>
          <w:tcPr>
            <w:tcW w:w="2126" w:type="dxa"/>
            <w:vAlign w:val="center"/>
          </w:tcPr>
          <w:p w14:paraId="32BE7EDA">
            <w:pPr>
              <w:pStyle w:val="11"/>
            </w:pPr>
          </w:p>
        </w:tc>
      </w:tr>
      <w:tr w14:paraId="6FB24A32">
        <w:tblPrEx>
          <w:tblCellMar>
            <w:top w:w="0" w:type="dxa"/>
            <w:left w:w="108" w:type="dxa"/>
            <w:bottom w:w="0" w:type="dxa"/>
            <w:right w:w="108" w:type="dxa"/>
          </w:tblCellMar>
        </w:tblPrEx>
        <w:trPr>
          <w:trHeight w:val="369" w:hRule="atLeast"/>
          <w:jc w:val="center"/>
        </w:trPr>
        <w:tc>
          <w:tcPr>
            <w:tcW w:w="850" w:type="dxa"/>
            <w:vAlign w:val="center"/>
          </w:tcPr>
          <w:p w14:paraId="173A2EE6">
            <w:pPr>
              <w:pStyle w:val="13"/>
            </w:pPr>
            <w:r>
              <w:t>7</w:t>
            </w:r>
          </w:p>
        </w:tc>
        <w:tc>
          <w:tcPr>
            <w:tcW w:w="4535" w:type="dxa"/>
            <w:vAlign w:val="center"/>
          </w:tcPr>
          <w:p w14:paraId="6081BD90">
            <w:pPr>
              <w:pStyle w:val="12"/>
            </w:pPr>
          </w:p>
        </w:tc>
        <w:tc>
          <w:tcPr>
            <w:tcW w:w="2126" w:type="dxa"/>
            <w:vAlign w:val="center"/>
          </w:tcPr>
          <w:p w14:paraId="713A5F02">
            <w:pPr>
              <w:pStyle w:val="11"/>
            </w:pPr>
          </w:p>
        </w:tc>
        <w:tc>
          <w:tcPr>
            <w:tcW w:w="4535" w:type="dxa"/>
            <w:vAlign w:val="center"/>
          </w:tcPr>
          <w:p w14:paraId="2DC2B3EE">
            <w:pPr>
              <w:pStyle w:val="12"/>
            </w:pPr>
            <w:r>
              <w:t>七、文化旅游体育与传媒支出</w:t>
            </w:r>
          </w:p>
        </w:tc>
        <w:tc>
          <w:tcPr>
            <w:tcW w:w="2126" w:type="dxa"/>
            <w:vAlign w:val="center"/>
          </w:tcPr>
          <w:p w14:paraId="236CCDC8">
            <w:pPr>
              <w:pStyle w:val="11"/>
            </w:pPr>
          </w:p>
        </w:tc>
      </w:tr>
      <w:tr w14:paraId="1EF1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2407A">
            <w:pPr>
              <w:pStyle w:val="13"/>
            </w:pPr>
            <w:r>
              <w:t>8</w:t>
            </w:r>
          </w:p>
        </w:tc>
        <w:tc>
          <w:tcPr>
            <w:tcW w:w="4535" w:type="dxa"/>
            <w:vAlign w:val="center"/>
          </w:tcPr>
          <w:p w14:paraId="51C89378">
            <w:pPr>
              <w:pStyle w:val="12"/>
            </w:pPr>
          </w:p>
        </w:tc>
        <w:tc>
          <w:tcPr>
            <w:tcW w:w="2126" w:type="dxa"/>
            <w:vAlign w:val="center"/>
          </w:tcPr>
          <w:p w14:paraId="703DC51B">
            <w:pPr>
              <w:pStyle w:val="11"/>
            </w:pPr>
          </w:p>
        </w:tc>
        <w:tc>
          <w:tcPr>
            <w:tcW w:w="4535" w:type="dxa"/>
            <w:vAlign w:val="center"/>
          </w:tcPr>
          <w:p w14:paraId="55E12645">
            <w:pPr>
              <w:pStyle w:val="12"/>
            </w:pPr>
            <w:r>
              <w:t>八、社会保障和就业支出</w:t>
            </w:r>
          </w:p>
        </w:tc>
        <w:tc>
          <w:tcPr>
            <w:tcW w:w="2126" w:type="dxa"/>
            <w:vAlign w:val="center"/>
          </w:tcPr>
          <w:p w14:paraId="72089026">
            <w:pPr>
              <w:pStyle w:val="11"/>
            </w:pPr>
          </w:p>
        </w:tc>
      </w:tr>
      <w:tr w14:paraId="23D8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8056">
            <w:pPr>
              <w:pStyle w:val="13"/>
            </w:pPr>
            <w:r>
              <w:t>9</w:t>
            </w:r>
          </w:p>
        </w:tc>
        <w:tc>
          <w:tcPr>
            <w:tcW w:w="4535" w:type="dxa"/>
            <w:vAlign w:val="center"/>
          </w:tcPr>
          <w:p w14:paraId="40803B05">
            <w:pPr>
              <w:pStyle w:val="12"/>
            </w:pPr>
          </w:p>
        </w:tc>
        <w:tc>
          <w:tcPr>
            <w:tcW w:w="2126" w:type="dxa"/>
            <w:vAlign w:val="center"/>
          </w:tcPr>
          <w:p w14:paraId="5E5413DC">
            <w:pPr>
              <w:pStyle w:val="11"/>
            </w:pPr>
          </w:p>
        </w:tc>
        <w:tc>
          <w:tcPr>
            <w:tcW w:w="4535" w:type="dxa"/>
            <w:vAlign w:val="center"/>
          </w:tcPr>
          <w:p w14:paraId="303C5733">
            <w:pPr>
              <w:pStyle w:val="12"/>
            </w:pPr>
            <w:r>
              <w:t>九、社会保险基金支出</w:t>
            </w:r>
          </w:p>
        </w:tc>
        <w:tc>
          <w:tcPr>
            <w:tcW w:w="2126" w:type="dxa"/>
            <w:vAlign w:val="center"/>
          </w:tcPr>
          <w:p w14:paraId="5648B993">
            <w:pPr>
              <w:pStyle w:val="11"/>
            </w:pPr>
          </w:p>
        </w:tc>
      </w:tr>
      <w:tr w14:paraId="2AF9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F7EA3">
            <w:pPr>
              <w:pStyle w:val="13"/>
            </w:pPr>
            <w:r>
              <w:t>10</w:t>
            </w:r>
          </w:p>
        </w:tc>
        <w:tc>
          <w:tcPr>
            <w:tcW w:w="4535" w:type="dxa"/>
            <w:vAlign w:val="center"/>
          </w:tcPr>
          <w:p w14:paraId="670C9FFE">
            <w:pPr>
              <w:pStyle w:val="12"/>
            </w:pPr>
          </w:p>
        </w:tc>
        <w:tc>
          <w:tcPr>
            <w:tcW w:w="2126" w:type="dxa"/>
            <w:vAlign w:val="center"/>
          </w:tcPr>
          <w:p w14:paraId="36943B1B">
            <w:pPr>
              <w:pStyle w:val="11"/>
            </w:pPr>
          </w:p>
        </w:tc>
        <w:tc>
          <w:tcPr>
            <w:tcW w:w="4535" w:type="dxa"/>
            <w:vAlign w:val="center"/>
          </w:tcPr>
          <w:p w14:paraId="2DAAD35A">
            <w:pPr>
              <w:pStyle w:val="12"/>
            </w:pPr>
            <w:r>
              <w:t>十、卫生健康支出</w:t>
            </w:r>
          </w:p>
        </w:tc>
        <w:tc>
          <w:tcPr>
            <w:tcW w:w="2126" w:type="dxa"/>
            <w:vAlign w:val="center"/>
          </w:tcPr>
          <w:p w14:paraId="0C28F965">
            <w:pPr>
              <w:pStyle w:val="11"/>
            </w:pPr>
          </w:p>
        </w:tc>
      </w:tr>
      <w:tr w14:paraId="68CB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B5ADD">
            <w:pPr>
              <w:pStyle w:val="13"/>
            </w:pPr>
            <w:r>
              <w:t>11</w:t>
            </w:r>
          </w:p>
        </w:tc>
        <w:tc>
          <w:tcPr>
            <w:tcW w:w="4535" w:type="dxa"/>
            <w:vAlign w:val="center"/>
          </w:tcPr>
          <w:p w14:paraId="4E9A4608">
            <w:pPr>
              <w:pStyle w:val="12"/>
            </w:pPr>
          </w:p>
        </w:tc>
        <w:tc>
          <w:tcPr>
            <w:tcW w:w="2126" w:type="dxa"/>
            <w:vAlign w:val="center"/>
          </w:tcPr>
          <w:p w14:paraId="4726BC22">
            <w:pPr>
              <w:pStyle w:val="11"/>
            </w:pPr>
          </w:p>
        </w:tc>
        <w:tc>
          <w:tcPr>
            <w:tcW w:w="4535" w:type="dxa"/>
            <w:vAlign w:val="center"/>
          </w:tcPr>
          <w:p w14:paraId="4FB1EDAC">
            <w:pPr>
              <w:pStyle w:val="12"/>
            </w:pPr>
            <w:r>
              <w:t>十一、节能环保支出</w:t>
            </w:r>
          </w:p>
        </w:tc>
        <w:tc>
          <w:tcPr>
            <w:tcW w:w="2126" w:type="dxa"/>
            <w:vAlign w:val="center"/>
          </w:tcPr>
          <w:p w14:paraId="11518F55">
            <w:pPr>
              <w:pStyle w:val="11"/>
            </w:pPr>
          </w:p>
        </w:tc>
      </w:tr>
      <w:tr w14:paraId="6B0B4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4534C">
            <w:pPr>
              <w:pStyle w:val="13"/>
            </w:pPr>
            <w:r>
              <w:t>12</w:t>
            </w:r>
          </w:p>
        </w:tc>
        <w:tc>
          <w:tcPr>
            <w:tcW w:w="4535" w:type="dxa"/>
            <w:vAlign w:val="center"/>
          </w:tcPr>
          <w:p w14:paraId="26E8475E">
            <w:pPr>
              <w:pStyle w:val="12"/>
            </w:pPr>
          </w:p>
        </w:tc>
        <w:tc>
          <w:tcPr>
            <w:tcW w:w="2126" w:type="dxa"/>
            <w:vAlign w:val="center"/>
          </w:tcPr>
          <w:p w14:paraId="2208F390">
            <w:pPr>
              <w:pStyle w:val="11"/>
            </w:pPr>
          </w:p>
        </w:tc>
        <w:tc>
          <w:tcPr>
            <w:tcW w:w="4535" w:type="dxa"/>
            <w:vAlign w:val="center"/>
          </w:tcPr>
          <w:p w14:paraId="63C80E25">
            <w:pPr>
              <w:pStyle w:val="12"/>
            </w:pPr>
            <w:r>
              <w:t>十二、城乡社区支出</w:t>
            </w:r>
          </w:p>
        </w:tc>
        <w:tc>
          <w:tcPr>
            <w:tcW w:w="2126" w:type="dxa"/>
            <w:vAlign w:val="center"/>
          </w:tcPr>
          <w:p w14:paraId="09C8A489">
            <w:pPr>
              <w:pStyle w:val="11"/>
            </w:pPr>
          </w:p>
        </w:tc>
      </w:tr>
      <w:tr w14:paraId="5830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A29BB">
            <w:pPr>
              <w:pStyle w:val="13"/>
            </w:pPr>
            <w:r>
              <w:t>13</w:t>
            </w:r>
          </w:p>
        </w:tc>
        <w:tc>
          <w:tcPr>
            <w:tcW w:w="4535" w:type="dxa"/>
            <w:vAlign w:val="center"/>
          </w:tcPr>
          <w:p w14:paraId="48570F51">
            <w:pPr>
              <w:pStyle w:val="12"/>
            </w:pPr>
          </w:p>
        </w:tc>
        <w:tc>
          <w:tcPr>
            <w:tcW w:w="2126" w:type="dxa"/>
            <w:vAlign w:val="center"/>
          </w:tcPr>
          <w:p w14:paraId="473767AF">
            <w:pPr>
              <w:pStyle w:val="11"/>
            </w:pPr>
          </w:p>
        </w:tc>
        <w:tc>
          <w:tcPr>
            <w:tcW w:w="4535" w:type="dxa"/>
            <w:vAlign w:val="center"/>
          </w:tcPr>
          <w:p w14:paraId="018A4402">
            <w:pPr>
              <w:pStyle w:val="12"/>
            </w:pPr>
            <w:r>
              <w:t>十三、农林水支出</w:t>
            </w:r>
          </w:p>
        </w:tc>
        <w:tc>
          <w:tcPr>
            <w:tcW w:w="2126" w:type="dxa"/>
            <w:vAlign w:val="center"/>
          </w:tcPr>
          <w:p w14:paraId="1352707B">
            <w:pPr>
              <w:pStyle w:val="11"/>
            </w:pPr>
          </w:p>
        </w:tc>
      </w:tr>
      <w:tr w14:paraId="0D56C47D">
        <w:tblPrEx>
          <w:tblCellMar>
            <w:top w:w="0" w:type="dxa"/>
            <w:left w:w="108" w:type="dxa"/>
            <w:bottom w:w="0" w:type="dxa"/>
            <w:right w:w="108" w:type="dxa"/>
          </w:tblCellMar>
        </w:tblPrEx>
        <w:trPr>
          <w:trHeight w:val="369" w:hRule="atLeast"/>
          <w:jc w:val="center"/>
        </w:trPr>
        <w:tc>
          <w:tcPr>
            <w:tcW w:w="850" w:type="dxa"/>
            <w:vAlign w:val="center"/>
          </w:tcPr>
          <w:p w14:paraId="6DB168EC">
            <w:pPr>
              <w:pStyle w:val="13"/>
            </w:pPr>
            <w:r>
              <w:t>14</w:t>
            </w:r>
          </w:p>
        </w:tc>
        <w:tc>
          <w:tcPr>
            <w:tcW w:w="4535" w:type="dxa"/>
            <w:vAlign w:val="center"/>
          </w:tcPr>
          <w:p w14:paraId="60AFCE5F">
            <w:pPr>
              <w:pStyle w:val="12"/>
            </w:pPr>
          </w:p>
        </w:tc>
        <w:tc>
          <w:tcPr>
            <w:tcW w:w="2126" w:type="dxa"/>
            <w:vAlign w:val="center"/>
          </w:tcPr>
          <w:p w14:paraId="66C1DE0D">
            <w:pPr>
              <w:pStyle w:val="11"/>
            </w:pPr>
          </w:p>
        </w:tc>
        <w:tc>
          <w:tcPr>
            <w:tcW w:w="4535" w:type="dxa"/>
            <w:vAlign w:val="center"/>
          </w:tcPr>
          <w:p w14:paraId="7C1E92A1">
            <w:pPr>
              <w:pStyle w:val="12"/>
            </w:pPr>
            <w:r>
              <w:t>十四、交通运输支出</w:t>
            </w:r>
          </w:p>
        </w:tc>
        <w:tc>
          <w:tcPr>
            <w:tcW w:w="2126" w:type="dxa"/>
            <w:vAlign w:val="center"/>
          </w:tcPr>
          <w:p w14:paraId="6974127E">
            <w:pPr>
              <w:pStyle w:val="11"/>
            </w:pPr>
          </w:p>
        </w:tc>
      </w:tr>
      <w:tr w14:paraId="75EC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835F">
            <w:pPr>
              <w:pStyle w:val="13"/>
            </w:pPr>
            <w:r>
              <w:t>15</w:t>
            </w:r>
          </w:p>
        </w:tc>
        <w:tc>
          <w:tcPr>
            <w:tcW w:w="4535" w:type="dxa"/>
            <w:vAlign w:val="center"/>
          </w:tcPr>
          <w:p w14:paraId="49C160DF">
            <w:pPr>
              <w:pStyle w:val="12"/>
            </w:pPr>
          </w:p>
        </w:tc>
        <w:tc>
          <w:tcPr>
            <w:tcW w:w="2126" w:type="dxa"/>
            <w:vAlign w:val="center"/>
          </w:tcPr>
          <w:p w14:paraId="3FEAC76F">
            <w:pPr>
              <w:pStyle w:val="11"/>
            </w:pPr>
          </w:p>
        </w:tc>
        <w:tc>
          <w:tcPr>
            <w:tcW w:w="4535" w:type="dxa"/>
            <w:vAlign w:val="center"/>
          </w:tcPr>
          <w:p w14:paraId="217A6BB8">
            <w:pPr>
              <w:pStyle w:val="12"/>
            </w:pPr>
            <w:r>
              <w:t>十五、资源勘探工业信息等支出</w:t>
            </w:r>
          </w:p>
        </w:tc>
        <w:tc>
          <w:tcPr>
            <w:tcW w:w="2126" w:type="dxa"/>
            <w:vAlign w:val="center"/>
          </w:tcPr>
          <w:p w14:paraId="04B378EA">
            <w:pPr>
              <w:pStyle w:val="11"/>
            </w:pPr>
          </w:p>
        </w:tc>
      </w:tr>
      <w:tr w14:paraId="3EAE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F8279">
            <w:pPr>
              <w:pStyle w:val="13"/>
            </w:pPr>
            <w:r>
              <w:t>16</w:t>
            </w:r>
          </w:p>
        </w:tc>
        <w:tc>
          <w:tcPr>
            <w:tcW w:w="4535" w:type="dxa"/>
            <w:vAlign w:val="center"/>
          </w:tcPr>
          <w:p w14:paraId="1CFFA0B7">
            <w:pPr>
              <w:pStyle w:val="12"/>
            </w:pPr>
          </w:p>
        </w:tc>
        <w:tc>
          <w:tcPr>
            <w:tcW w:w="2126" w:type="dxa"/>
            <w:vAlign w:val="center"/>
          </w:tcPr>
          <w:p w14:paraId="07A738A6">
            <w:pPr>
              <w:pStyle w:val="11"/>
            </w:pPr>
          </w:p>
        </w:tc>
        <w:tc>
          <w:tcPr>
            <w:tcW w:w="4535" w:type="dxa"/>
            <w:vAlign w:val="center"/>
          </w:tcPr>
          <w:p w14:paraId="2D4D9BD1">
            <w:pPr>
              <w:pStyle w:val="12"/>
            </w:pPr>
            <w:r>
              <w:t>十六、商业服务业等支出</w:t>
            </w:r>
          </w:p>
        </w:tc>
        <w:tc>
          <w:tcPr>
            <w:tcW w:w="2126" w:type="dxa"/>
            <w:vAlign w:val="center"/>
          </w:tcPr>
          <w:p w14:paraId="24860D7A">
            <w:pPr>
              <w:pStyle w:val="11"/>
            </w:pPr>
          </w:p>
        </w:tc>
      </w:tr>
      <w:tr w14:paraId="51BB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1E7A">
            <w:pPr>
              <w:pStyle w:val="13"/>
            </w:pPr>
            <w:r>
              <w:t>17</w:t>
            </w:r>
          </w:p>
        </w:tc>
        <w:tc>
          <w:tcPr>
            <w:tcW w:w="4535" w:type="dxa"/>
            <w:vAlign w:val="center"/>
          </w:tcPr>
          <w:p w14:paraId="12FDA12E">
            <w:pPr>
              <w:pStyle w:val="12"/>
            </w:pPr>
          </w:p>
        </w:tc>
        <w:tc>
          <w:tcPr>
            <w:tcW w:w="2126" w:type="dxa"/>
            <w:vAlign w:val="center"/>
          </w:tcPr>
          <w:p w14:paraId="6368B073">
            <w:pPr>
              <w:pStyle w:val="11"/>
            </w:pPr>
          </w:p>
        </w:tc>
        <w:tc>
          <w:tcPr>
            <w:tcW w:w="4535" w:type="dxa"/>
            <w:vAlign w:val="center"/>
          </w:tcPr>
          <w:p w14:paraId="42F34D4F">
            <w:pPr>
              <w:pStyle w:val="12"/>
            </w:pPr>
            <w:r>
              <w:t>十七、金融支出</w:t>
            </w:r>
          </w:p>
        </w:tc>
        <w:tc>
          <w:tcPr>
            <w:tcW w:w="2126" w:type="dxa"/>
            <w:vAlign w:val="center"/>
          </w:tcPr>
          <w:p w14:paraId="55BCA592">
            <w:pPr>
              <w:pStyle w:val="11"/>
            </w:pPr>
          </w:p>
        </w:tc>
      </w:tr>
      <w:tr w14:paraId="2D66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A8050">
            <w:pPr>
              <w:pStyle w:val="13"/>
            </w:pPr>
            <w:r>
              <w:t>18</w:t>
            </w:r>
          </w:p>
        </w:tc>
        <w:tc>
          <w:tcPr>
            <w:tcW w:w="4535" w:type="dxa"/>
            <w:vAlign w:val="center"/>
          </w:tcPr>
          <w:p w14:paraId="1433FC99">
            <w:pPr>
              <w:pStyle w:val="12"/>
            </w:pPr>
          </w:p>
        </w:tc>
        <w:tc>
          <w:tcPr>
            <w:tcW w:w="2126" w:type="dxa"/>
            <w:vAlign w:val="center"/>
          </w:tcPr>
          <w:p w14:paraId="3059024C">
            <w:pPr>
              <w:pStyle w:val="11"/>
            </w:pPr>
          </w:p>
        </w:tc>
        <w:tc>
          <w:tcPr>
            <w:tcW w:w="4535" w:type="dxa"/>
            <w:vAlign w:val="center"/>
          </w:tcPr>
          <w:p w14:paraId="344813FD">
            <w:pPr>
              <w:pStyle w:val="12"/>
            </w:pPr>
            <w:r>
              <w:t>十八、援助其他地区支出</w:t>
            </w:r>
          </w:p>
        </w:tc>
        <w:tc>
          <w:tcPr>
            <w:tcW w:w="2126" w:type="dxa"/>
            <w:vAlign w:val="center"/>
          </w:tcPr>
          <w:p w14:paraId="2DC234A4">
            <w:pPr>
              <w:pStyle w:val="11"/>
            </w:pPr>
          </w:p>
        </w:tc>
      </w:tr>
      <w:tr w14:paraId="42BC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5402">
            <w:pPr>
              <w:pStyle w:val="13"/>
            </w:pPr>
            <w:r>
              <w:t>19</w:t>
            </w:r>
          </w:p>
        </w:tc>
        <w:tc>
          <w:tcPr>
            <w:tcW w:w="4535" w:type="dxa"/>
            <w:vAlign w:val="center"/>
          </w:tcPr>
          <w:p w14:paraId="4F013EF9">
            <w:pPr>
              <w:pStyle w:val="12"/>
            </w:pPr>
          </w:p>
        </w:tc>
        <w:tc>
          <w:tcPr>
            <w:tcW w:w="2126" w:type="dxa"/>
            <w:vAlign w:val="center"/>
          </w:tcPr>
          <w:p w14:paraId="1E640D1E">
            <w:pPr>
              <w:pStyle w:val="11"/>
            </w:pPr>
          </w:p>
        </w:tc>
        <w:tc>
          <w:tcPr>
            <w:tcW w:w="4535" w:type="dxa"/>
            <w:vAlign w:val="center"/>
          </w:tcPr>
          <w:p w14:paraId="0EA734EA">
            <w:pPr>
              <w:pStyle w:val="12"/>
            </w:pPr>
            <w:r>
              <w:t>十九、自然资源海洋气象等支出</w:t>
            </w:r>
          </w:p>
        </w:tc>
        <w:tc>
          <w:tcPr>
            <w:tcW w:w="2126" w:type="dxa"/>
            <w:vAlign w:val="center"/>
          </w:tcPr>
          <w:p w14:paraId="2F6E36C6">
            <w:pPr>
              <w:pStyle w:val="11"/>
            </w:pPr>
          </w:p>
        </w:tc>
      </w:tr>
      <w:tr w14:paraId="4FD6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A3E4E">
            <w:pPr>
              <w:pStyle w:val="13"/>
            </w:pPr>
            <w:r>
              <w:t>20</w:t>
            </w:r>
          </w:p>
        </w:tc>
        <w:tc>
          <w:tcPr>
            <w:tcW w:w="4535" w:type="dxa"/>
            <w:vAlign w:val="center"/>
          </w:tcPr>
          <w:p w14:paraId="541E91EC">
            <w:pPr>
              <w:pStyle w:val="12"/>
            </w:pPr>
          </w:p>
        </w:tc>
        <w:tc>
          <w:tcPr>
            <w:tcW w:w="2126" w:type="dxa"/>
            <w:vAlign w:val="center"/>
          </w:tcPr>
          <w:p w14:paraId="29DB54A0">
            <w:pPr>
              <w:pStyle w:val="11"/>
            </w:pPr>
          </w:p>
        </w:tc>
        <w:tc>
          <w:tcPr>
            <w:tcW w:w="4535" w:type="dxa"/>
            <w:vAlign w:val="center"/>
          </w:tcPr>
          <w:p w14:paraId="27DF363C">
            <w:pPr>
              <w:pStyle w:val="12"/>
            </w:pPr>
            <w:r>
              <w:t>二十、住房保障支出</w:t>
            </w:r>
          </w:p>
        </w:tc>
        <w:tc>
          <w:tcPr>
            <w:tcW w:w="2126" w:type="dxa"/>
            <w:vAlign w:val="center"/>
          </w:tcPr>
          <w:p w14:paraId="2E68389F">
            <w:pPr>
              <w:pStyle w:val="11"/>
            </w:pPr>
          </w:p>
        </w:tc>
      </w:tr>
      <w:tr w14:paraId="7A55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8205A">
            <w:pPr>
              <w:pStyle w:val="13"/>
            </w:pPr>
            <w:r>
              <w:t>21</w:t>
            </w:r>
          </w:p>
        </w:tc>
        <w:tc>
          <w:tcPr>
            <w:tcW w:w="4535" w:type="dxa"/>
            <w:vAlign w:val="center"/>
          </w:tcPr>
          <w:p w14:paraId="6F024C1B">
            <w:pPr>
              <w:pStyle w:val="12"/>
            </w:pPr>
          </w:p>
        </w:tc>
        <w:tc>
          <w:tcPr>
            <w:tcW w:w="2126" w:type="dxa"/>
            <w:vAlign w:val="center"/>
          </w:tcPr>
          <w:p w14:paraId="01908F07">
            <w:pPr>
              <w:pStyle w:val="11"/>
            </w:pPr>
          </w:p>
        </w:tc>
        <w:tc>
          <w:tcPr>
            <w:tcW w:w="4535" w:type="dxa"/>
            <w:vAlign w:val="center"/>
          </w:tcPr>
          <w:p w14:paraId="7707B0C3">
            <w:pPr>
              <w:pStyle w:val="12"/>
            </w:pPr>
            <w:r>
              <w:t>二十一、粮油物资储备支出</w:t>
            </w:r>
          </w:p>
        </w:tc>
        <w:tc>
          <w:tcPr>
            <w:tcW w:w="2126" w:type="dxa"/>
            <w:vAlign w:val="center"/>
          </w:tcPr>
          <w:p w14:paraId="72ACCE4C">
            <w:pPr>
              <w:pStyle w:val="11"/>
            </w:pPr>
          </w:p>
        </w:tc>
      </w:tr>
      <w:tr w14:paraId="58D4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D53E1">
            <w:pPr>
              <w:pStyle w:val="13"/>
            </w:pPr>
            <w:r>
              <w:t>22</w:t>
            </w:r>
          </w:p>
        </w:tc>
        <w:tc>
          <w:tcPr>
            <w:tcW w:w="4535" w:type="dxa"/>
            <w:vAlign w:val="center"/>
          </w:tcPr>
          <w:p w14:paraId="37245D9B">
            <w:pPr>
              <w:pStyle w:val="12"/>
            </w:pPr>
          </w:p>
        </w:tc>
        <w:tc>
          <w:tcPr>
            <w:tcW w:w="2126" w:type="dxa"/>
            <w:vAlign w:val="center"/>
          </w:tcPr>
          <w:p w14:paraId="0DF14B2C">
            <w:pPr>
              <w:pStyle w:val="11"/>
            </w:pPr>
          </w:p>
        </w:tc>
        <w:tc>
          <w:tcPr>
            <w:tcW w:w="4535" w:type="dxa"/>
            <w:vAlign w:val="center"/>
          </w:tcPr>
          <w:p w14:paraId="391E862D">
            <w:pPr>
              <w:pStyle w:val="12"/>
            </w:pPr>
            <w:r>
              <w:t>二十二、国有资本经营预算支出</w:t>
            </w:r>
          </w:p>
        </w:tc>
        <w:tc>
          <w:tcPr>
            <w:tcW w:w="2126" w:type="dxa"/>
            <w:vAlign w:val="center"/>
          </w:tcPr>
          <w:p w14:paraId="2A7FB8C9">
            <w:pPr>
              <w:pStyle w:val="11"/>
            </w:pPr>
          </w:p>
        </w:tc>
      </w:tr>
      <w:tr w14:paraId="7761700D">
        <w:tblPrEx>
          <w:tblCellMar>
            <w:top w:w="0" w:type="dxa"/>
            <w:left w:w="108" w:type="dxa"/>
            <w:bottom w:w="0" w:type="dxa"/>
            <w:right w:w="108" w:type="dxa"/>
          </w:tblCellMar>
        </w:tblPrEx>
        <w:trPr>
          <w:trHeight w:val="369" w:hRule="atLeast"/>
          <w:jc w:val="center"/>
        </w:trPr>
        <w:tc>
          <w:tcPr>
            <w:tcW w:w="850" w:type="dxa"/>
            <w:vAlign w:val="center"/>
          </w:tcPr>
          <w:p w14:paraId="4EB9F079">
            <w:pPr>
              <w:pStyle w:val="13"/>
            </w:pPr>
            <w:r>
              <w:t>23</w:t>
            </w:r>
          </w:p>
        </w:tc>
        <w:tc>
          <w:tcPr>
            <w:tcW w:w="4535" w:type="dxa"/>
            <w:vAlign w:val="center"/>
          </w:tcPr>
          <w:p w14:paraId="22166538">
            <w:pPr>
              <w:pStyle w:val="12"/>
            </w:pPr>
          </w:p>
        </w:tc>
        <w:tc>
          <w:tcPr>
            <w:tcW w:w="2126" w:type="dxa"/>
            <w:vAlign w:val="center"/>
          </w:tcPr>
          <w:p w14:paraId="50C595CB">
            <w:pPr>
              <w:pStyle w:val="11"/>
            </w:pPr>
          </w:p>
        </w:tc>
        <w:tc>
          <w:tcPr>
            <w:tcW w:w="4535" w:type="dxa"/>
            <w:vAlign w:val="center"/>
          </w:tcPr>
          <w:p w14:paraId="1AA0409B">
            <w:pPr>
              <w:pStyle w:val="12"/>
            </w:pPr>
            <w:r>
              <w:t>二十三、灾害防治及应急管理支出</w:t>
            </w:r>
          </w:p>
        </w:tc>
        <w:tc>
          <w:tcPr>
            <w:tcW w:w="2126" w:type="dxa"/>
            <w:vAlign w:val="center"/>
          </w:tcPr>
          <w:p w14:paraId="501E8940">
            <w:pPr>
              <w:pStyle w:val="11"/>
            </w:pPr>
          </w:p>
        </w:tc>
      </w:tr>
      <w:tr w14:paraId="0613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8F1A">
            <w:pPr>
              <w:pStyle w:val="13"/>
            </w:pPr>
            <w:r>
              <w:t>24</w:t>
            </w:r>
          </w:p>
        </w:tc>
        <w:tc>
          <w:tcPr>
            <w:tcW w:w="4535" w:type="dxa"/>
            <w:vAlign w:val="center"/>
          </w:tcPr>
          <w:p w14:paraId="49B8A5FC">
            <w:pPr>
              <w:pStyle w:val="12"/>
            </w:pPr>
          </w:p>
        </w:tc>
        <w:tc>
          <w:tcPr>
            <w:tcW w:w="2126" w:type="dxa"/>
            <w:vAlign w:val="center"/>
          </w:tcPr>
          <w:p w14:paraId="5F7548FD">
            <w:pPr>
              <w:pStyle w:val="11"/>
            </w:pPr>
          </w:p>
        </w:tc>
        <w:tc>
          <w:tcPr>
            <w:tcW w:w="4535" w:type="dxa"/>
            <w:vAlign w:val="center"/>
          </w:tcPr>
          <w:p w14:paraId="6F992952">
            <w:pPr>
              <w:pStyle w:val="12"/>
            </w:pPr>
            <w:r>
              <w:t>二十四、预备费</w:t>
            </w:r>
          </w:p>
        </w:tc>
        <w:tc>
          <w:tcPr>
            <w:tcW w:w="2126" w:type="dxa"/>
            <w:vAlign w:val="center"/>
          </w:tcPr>
          <w:p w14:paraId="3DBE0F8B">
            <w:pPr>
              <w:pStyle w:val="11"/>
            </w:pPr>
          </w:p>
        </w:tc>
      </w:tr>
      <w:tr w14:paraId="47D3821E">
        <w:tblPrEx>
          <w:tblCellMar>
            <w:top w:w="0" w:type="dxa"/>
            <w:left w:w="108" w:type="dxa"/>
            <w:bottom w:w="0" w:type="dxa"/>
            <w:right w:w="108" w:type="dxa"/>
          </w:tblCellMar>
        </w:tblPrEx>
        <w:trPr>
          <w:trHeight w:val="369" w:hRule="atLeast"/>
          <w:jc w:val="center"/>
        </w:trPr>
        <w:tc>
          <w:tcPr>
            <w:tcW w:w="850" w:type="dxa"/>
            <w:vAlign w:val="center"/>
          </w:tcPr>
          <w:p w14:paraId="15B88C34">
            <w:pPr>
              <w:pStyle w:val="13"/>
            </w:pPr>
            <w:r>
              <w:t>25</w:t>
            </w:r>
          </w:p>
        </w:tc>
        <w:tc>
          <w:tcPr>
            <w:tcW w:w="4535" w:type="dxa"/>
            <w:vAlign w:val="center"/>
          </w:tcPr>
          <w:p w14:paraId="7618BA17">
            <w:pPr>
              <w:pStyle w:val="12"/>
            </w:pPr>
          </w:p>
        </w:tc>
        <w:tc>
          <w:tcPr>
            <w:tcW w:w="2126" w:type="dxa"/>
            <w:vAlign w:val="center"/>
          </w:tcPr>
          <w:p w14:paraId="06678AD7">
            <w:pPr>
              <w:pStyle w:val="11"/>
            </w:pPr>
          </w:p>
        </w:tc>
        <w:tc>
          <w:tcPr>
            <w:tcW w:w="4535" w:type="dxa"/>
            <w:vAlign w:val="center"/>
          </w:tcPr>
          <w:p w14:paraId="1AAC1386">
            <w:pPr>
              <w:pStyle w:val="12"/>
            </w:pPr>
            <w:r>
              <w:t>二十五、其他支出</w:t>
            </w:r>
          </w:p>
        </w:tc>
        <w:tc>
          <w:tcPr>
            <w:tcW w:w="2126" w:type="dxa"/>
            <w:vAlign w:val="center"/>
          </w:tcPr>
          <w:p w14:paraId="78AB73C5">
            <w:pPr>
              <w:pStyle w:val="11"/>
            </w:pPr>
          </w:p>
        </w:tc>
      </w:tr>
      <w:tr w14:paraId="32B1569D">
        <w:tblPrEx>
          <w:tblCellMar>
            <w:top w:w="0" w:type="dxa"/>
            <w:left w:w="108" w:type="dxa"/>
            <w:bottom w:w="0" w:type="dxa"/>
            <w:right w:w="108" w:type="dxa"/>
          </w:tblCellMar>
        </w:tblPrEx>
        <w:trPr>
          <w:trHeight w:val="369" w:hRule="atLeast"/>
          <w:jc w:val="center"/>
        </w:trPr>
        <w:tc>
          <w:tcPr>
            <w:tcW w:w="850" w:type="dxa"/>
            <w:vAlign w:val="center"/>
          </w:tcPr>
          <w:p w14:paraId="197E3085">
            <w:pPr>
              <w:pStyle w:val="13"/>
            </w:pPr>
            <w:r>
              <w:t>26</w:t>
            </w:r>
          </w:p>
        </w:tc>
        <w:tc>
          <w:tcPr>
            <w:tcW w:w="4535" w:type="dxa"/>
            <w:vAlign w:val="center"/>
          </w:tcPr>
          <w:p w14:paraId="732406A8">
            <w:pPr>
              <w:pStyle w:val="12"/>
            </w:pPr>
          </w:p>
        </w:tc>
        <w:tc>
          <w:tcPr>
            <w:tcW w:w="2126" w:type="dxa"/>
            <w:vAlign w:val="center"/>
          </w:tcPr>
          <w:p w14:paraId="70F53C3B">
            <w:pPr>
              <w:pStyle w:val="11"/>
            </w:pPr>
          </w:p>
        </w:tc>
        <w:tc>
          <w:tcPr>
            <w:tcW w:w="4535" w:type="dxa"/>
            <w:vAlign w:val="center"/>
          </w:tcPr>
          <w:p w14:paraId="0B948286">
            <w:pPr>
              <w:pStyle w:val="12"/>
            </w:pPr>
            <w:r>
              <w:t>二十六、转移性支出</w:t>
            </w:r>
          </w:p>
        </w:tc>
        <w:tc>
          <w:tcPr>
            <w:tcW w:w="2126" w:type="dxa"/>
            <w:vAlign w:val="center"/>
          </w:tcPr>
          <w:p w14:paraId="39C300B0">
            <w:pPr>
              <w:pStyle w:val="11"/>
            </w:pPr>
          </w:p>
        </w:tc>
      </w:tr>
      <w:tr w14:paraId="5C96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7DA6">
            <w:pPr>
              <w:pStyle w:val="13"/>
            </w:pPr>
            <w:r>
              <w:t>27</w:t>
            </w:r>
          </w:p>
        </w:tc>
        <w:tc>
          <w:tcPr>
            <w:tcW w:w="4535" w:type="dxa"/>
            <w:vAlign w:val="center"/>
          </w:tcPr>
          <w:p w14:paraId="019A7B6B">
            <w:pPr>
              <w:pStyle w:val="12"/>
            </w:pPr>
          </w:p>
        </w:tc>
        <w:tc>
          <w:tcPr>
            <w:tcW w:w="2126" w:type="dxa"/>
            <w:vAlign w:val="center"/>
          </w:tcPr>
          <w:p w14:paraId="4E506E7D">
            <w:pPr>
              <w:pStyle w:val="11"/>
            </w:pPr>
          </w:p>
        </w:tc>
        <w:tc>
          <w:tcPr>
            <w:tcW w:w="4535" w:type="dxa"/>
            <w:vAlign w:val="center"/>
          </w:tcPr>
          <w:p w14:paraId="51690245">
            <w:pPr>
              <w:pStyle w:val="12"/>
            </w:pPr>
            <w:r>
              <w:t>二十七、债务还本支出</w:t>
            </w:r>
          </w:p>
        </w:tc>
        <w:tc>
          <w:tcPr>
            <w:tcW w:w="2126" w:type="dxa"/>
            <w:vAlign w:val="center"/>
          </w:tcPr>
          <w:p w14:paraId="279189AE">
            <w:pPr>
              <w:pStyle w:val="11"/>
            </w:pPr>
          </w:p>
        </w:tc>
      </w:tr>
      <w:tr w14:paraId="22B1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2FF42">
            <w:pPr>
              <w:pStyle w:val="13"/>
            </w:pPr>
            <w:r>
              <w:t>28</w:t>
            </w:r>
          </w:p>
        </w:tc>
        <w:tc>
          <w:tcPr>
            <w:tcW w:w="4535" w:type="dxa"/>
            <w:vAlign w:val="center"/>
          </w:tcPr>
          <w:p w14:paraId="105178E7">
            <w:pPr>
              <w:pStyle w:val="12"/>
            </w:pPr>
          </w:p>
        </w:tc>
        <w:tc>
          <w:tcPr>
            <w:tcW w:w="2126" w:type="dxa"/>
            <w:vAlign w:val="center"/>
          </w:tcPr>
          <w:p w14:paraId="37BC0C97">
            <w:pPr>
              <w:pStyle w:val="11"/>
            </w:pPr>
          </w:p>
        </w:tc>
        <w:tc>
          <w:tcPr>
            <w:tcW w:w="4535" w:type="dxa"/>
            <w:vAlign w:val="center"/>
          </w:tcPr>
          <w:p w14:paraId="48E0A9C4">
            <w:pPr>
              <w:pStyle w:val="12"/>
            </w:pPr>
            <w:r>
              <w:t>二十八、债务付息支出</w:t>
            </w:r>
          </w:p>
        </w:tc>
        <w:tc>
          <w:tcPr>
            <w:tcW w:w="2126" w:type="dxa"/>
            <w:vAlign w:val="center"/>
          </w:tcPr>
          <w:p w14:paraId="40287CDD">
            <w:pPr>
              <w:pStyle w:val="11"/>
            </w:pPr>
          </w:p>
        </w:tc>
      </w:tr>
      <w:tr w14:paraId="07FF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D34E2">
            <w:pPr>
              <w:pStyle w:val="13"/>
            </w:pPr>
            <w:r>
              <w:t>29</w:t>
            </w:r>
          </w:p>
        </w:tc>
        <w:tc>
          <w:tcPr>
            <w:tcW w:w="4535" w:type="dxa"/>
            <w:vAlign w:val="center"/>
          </w:tcPr>
          <w:p w14:paraId="77764702">
            <w:pPr>
              <w:pStyle w:val="12"/>
            </w:pPr>
          </w:p>
        </w:tc>
        <w:tc>
          <w:tcPr>
            <w:tcW w:w="2126" w:type="dxa"/>
            <w:vAlign w:val="center"/>
          </w:tcPr>
          <w:p w14:paraId="77D536C6">
            <w:pPr>
              <w:pStyle w:val="11"/>
            </w:pPr>
          </w:p>
        </w:tc>
        <w:tc>
          <w:tcPr>
            <w:tcW w:w="4535" w:type="dxa"/>
            <w:vAlign w:val="center"/>
          </w:tcPr>
          <w:p w14:paraId="246E0497">
            <w:pPr>
              <w:pStyle w:val="12"/>
            </w:pPr>
            <w:r>
              <w:t>二十九、债务发行费用支出</w:t>
            </w:r>
          </w:p>
        </w:tc>
        <w:tc>
          <w:tcPr>
            <w:tcW w:w="2126" w:type="dxa"/>
            <w:vAlign w:val="center"/>
          </w:tcPr>
          <w:p w14:paraId="6AC26517">
            <w:pPr>
              <w:pStyle w:val="11"/>
            </w:pPr>
          </w:p>
        </w:tc>
      </w:tr>
      <w:tr w14:paraId="6676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EFFA">
            <w:pPr>
              <w:pStyle w:val="13"/>
            </w:pPr>
            <w:r>
              <w:t>30</w:t>
            </w:r>
          </w:p>
        </w:tc>
        <w:tc>
          <w:tcPr>
            <w:tcW w:w="4535" w:type="dxa"/>
            <w:vAlign w:val="center"/>
          </w:tcPr>
          <w:p w14:paraId="063F9F1C">
            <w:pPr>
              <w:pStyle w:val="12"/>
            </w:pPr>
          </w:p>
        </w:tc>
        <w:tc>
          <w:tcPr>
            <w:tcW w:w="2126" w:type="dxa"/>
            <w:vAlign w:val="center"/>
          </w:tcPr>
          <w:p w14:paraId="139A4B62">
            <w:pPr>
              <w:pStyle w:val="11"/>
            </w:pPr>
          </w:p>
        </w:tc>
        <w:tc>
          <w:tcPr>
            <w:tcW w:w="4535" w:type="dxa"/>
            <w:vAlign w:val="center"/>
          </w:tcPr>
          <w:p w14:paraId="09056AEB">
            <w:pPr>
              <w:pStyle w:val="12"/>
            </w:pPr>
            <w:r>
              <w:t>三十、抗疫特别国债安排的支出</w:t>
            </w:r>
          </w:p>
        </w:tc>
        <w:tc>
          <w:tcPr>
            <w:tcW w:w="2126" w:type="dxa"/>
            <w:vAlign w:val="center"/>
          </w:tcPr>
          <w:p w14:paraId="34D8DDB0">
            <w:pPr>
              <w:pStyle w:val="11"/>
            </w:pPr>
          </w:p>
        </w:tc>
      </w:tr>
      <w:tr w14:paraId="008F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5D5FC">
            <w:pPr>
              <w:pStyle w:val="13"/>
            </w:pPr>
            <w:r>
              <w:t>31</w:t>
            </w:r>
          </w:p>
        </w:tc>
        <w:tc>
          <w:tcPr>
            <w:tcW w:w="4535" w:type="dxa"/>
            <w:vAlign w:val="center"/>
          </w:tcPr>
          <w:p w14:paraId="0083749F">
            <w:pPr>
              <w:pStyle w:val="14"/>
            </w:pPr>
            <w:r>
              <w:t>本年收入合计</w:t>
            </w:r>
          </w:p>
        </w:tc>
        <w:tc>
          <w:tcPr>
            <w:tcW w:w="2126" w:type="dxa"/>
            <w:vAlign w:val="center"/>
          </w:tcPr>
          <w:p w14:paraId="64ED1E98">
            <w:pPr>
              <w:pStyle w:val="15"/>
            </w:pPr>
            <w:r>
              <w:t>2005.82</w:t>
            </w:r>
          </w:p>
        </w:tc>
        <w:tc>
          <w:tcPr>
            <w:tcW w:w="4535" w:type="dxa"/>
            <w:vAlign w:val="center"/>
          </w:tcPr>
          <w:p w14:paraId="53A4EFC4">
            <w:pPr>
              <w:pStyle w:val="14"/>
            </w:pPr>
            <w:r>
              <w:t>本年支出合计</w:t>
            </w:r>
          </w:p>
        </w:tc>
        <w:tc>
          <w:tcPr>
            <w:tcW w:w="2126" w:type="dxa"/>
            <w:vAlign w:val="center"/>
          </w:tcPr>
          <w:p w14:paraId="43FD6842">
            <w:pPr>
              <w:pStyle w:val="15"/>
            </w:pPr>
            <w:r>
              <w:t>2005.82</w:t>
            </w:r>
          </w:p>
        </w:tc>
      </w:tr>
      <w:tr w14:paraId="747B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3438D">
            <w:pPr>
              <w:pStyle w:val="13"/>
            </w:pPr>
            <w:r>
              <w:t>32</w:t>
            </w:r>
          </w:p>
        </w:tc>
        <w:tc>
          <w:tcPr>
            <w:tcW w:w="4535" w:type="dxa"/>
            <w:vAlign w:val="center"/>
          </w:tcPr>
          <w:p w14:paraId="6B8696E4">
            <w:pPr>
              <w:pStyle w:val="12"/>
            </w:pPr>
            <w:r>
              <w:t>上年结转结余</w:t>
            </w:r>
          </w:p>
        </w:tc>
        <w:tc>
          <w:tcPr>
            <w:tcW w:w="2126" w:type="dxa"/>
            <w:vAlign w:val="center"/>
          </w:tcPr>
          <w:p w14:paraId="741ED5DA">
            <w:pPr>
              <w:pStyle w:val="11"/>
            </w:pPr>
          </w:p>
        </w:tc>
        <w:tc>
          <w:tcPr>
            <w:tcW w:w="4535" w:type="dxa"/>
            <w:vAlign w:val="center"/>
          </w:tcPr>
          <w:p w14:paraId="1152907F">
            <w:pPr>
              <w:pStyle w:val="12"/>
            </w:pPr>
            <w:r>
              <w:t>年终结转结余</w:t>
            </w:r>
          </w:p>
        </w:tc>
        <w:tc>
          <w:tcPr>
            <w:tcW w:w="2126" w:type="dxa"/>
            <w:vAlign w:val="center"/>
          </w:tcPr>
          <w:p w14:paraId="1232F565">
            <w:pPr>
              <w:pStyle w:val="11"/>
            </w:pPr>
          </w:p>
        </w:tc>
      </w:tr>
      <w:tr w14:paraId="504E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A5C5B">
            <w:pPr>
              <w:pStyle w:val="13"/>
            </w:pPr>
            <w:r>
              <w:t>33</w:t>
            </w:r>
          </w:p>
        </w:tc>
        <w:tc>
          <w:tcPr>
            <w:tcW w:w="4535" w:type="dxa"/>
            <w:vAlign w:val="center"/>
          </w:tcPr>
          <w:p w14:paraId="759BF476">
            <w:pPr>
              <w:pStyle w:val="14"/>
            </w:pPr>
            <w:r>
              <w:t>收入总计</w:t>
            </w:r>
          </w:p>
        </w:tc>
        <w:tc>
          <w:tcPr>
            <w:tcW w:w="2126" w:type="dxa"/>
            <w:vAlign w:val="center"/>
          </w:tcPr>
          <w:p w14:paraId="763CEC3B">
            <w:pPr>
              <w:pStyle w:val="15"/>
            </w:pPr>
            <w:r>
              <w:t>2005.82</w:t>
            </w:r>
          </w:p>
        </w:tc>
        <w:tc>
          <w:tcPr>
            <w:tcW w:w="4535" w:type="dxa"/>
            <w:vAlign w:val="center"/>
          </w:tcPr>
          <w:p w14:paraId="62F91B15">
            <w:pPr>
              <w:pStyle w:val="14"/>
            </w:pPr>
            <w:r>
              <w:t>支出总计</w:t>
            </w:r>
          </w:p>
        </w:tc>
        <w:tc>
          <w:tcPr>
            <w:tcW w:w="2126" w:type="dxa"/>
            <w:vAlign w:val="center"/>
          </w:tcPr>
          <w:p w14:paraId="65BC9339">
            <w:pPr>
              <w:pStyle w:val="15"/>
            </w:pPr>
            <w:r>
              <w:t>2005.82</w:t>
            </w:r>
          </w:p>
        </w:tc>
      </w:tr>
    </w:tbl>
    <w:p w14:paraId="0A9DC9AB">
      <w:pPr>
        <w:sectPr>
          <w:pgSz w:w="16840" w:h="11900" w:orient="landscape"/>
          <w:pgMar w:top="1361" w:right="1020" w:bottom="1134" w:left="1020" w:header="720" w:footer="720" w:gutter="0"/>
          <w:cols w:space="720" w:num="1"/>
        </w:sectPr>
      </w:pPr>
    </w:p>
    <w:p w14:paraId="454DEB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F84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6514FF">
            <w:pPr>
              <w:pStyle w:val="9"/>
            </w:pPr>
            <w:r>
              <w:t>360018隆尧县北楼校区</w:t>
            </w:r>
          </w:p>
        </w:tc>
        <w:tc>
          <w:tcPr>
            <w:tcW w:w="3402" w:type="dxa"/>
            <w:gridSpan w:val="3"/>
            <w:tcBorders>
              <w:top w:val="single" w:color="FFFFFF" w:sz="6" w:space="0"/>
              <w:left w:val="single" w:color="FFFFFF" w:sz="6" w:space="0"/>
              <w:right w:val="single" w:color="FFFFFF" w:sz="6" w:space="0"/>
            </w:tcBorders>
            <w:vAlign w:val="center"/>
          </w:tcPr>
          <w:p w14:paraId="7149DCE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5767825">
            <w:pPr>
              <w:pStyle w:val="7"/>
            </w:pPr>
            <w:r>
              <w:t>单位：万元</w:t>
            </w:r>
          </w:p>
        </w:tc>
      </w:tr>
      <w:tr w14:paraId="7310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E15033">
            <w:pPr>
              <w:pStyle w:val="10"/>
            </w:pPr>
            <w:r>
              <w:t>序号</w:t>
            </w:r>
          </w:p>
        </w:tc>
        <w:tc>
          <w:tcPr>
            <w:tcW w:w="2551" w:type="dxa"/>
            <w:gridSpan w:val="2"/>
            <w:vAlign w:val="center"/>
          </w:tcPr>
          <w:p w14:paraId="7FE631D8">
            <w:pPr>
              <w:pStyle w:val="10"/>
            </w:pPr>
            <w:r>
              <w:t>功能分类科目</w:t>
            </w:r>
          </w:p>
        </w:tc>
        <w:tc>
          <w:tcPr>
            <w:tcW w:w="1134" w:type="dxa"/>
            <w:vMerge w:val="restart"/>
            <w:vAlign w:val="center"/>
          </w:tcPr>
          <w:p w14:paraId="3E7A0E2C">
            <w:pPr>
              <w:pStyle w:val="10"/>
            </w:pPr>
            <w:r>
              <w:t>合计</w:t>
            </w:r>
          </w:p>
        </w:tc>
        <w:tc>
          <w:tcPr>
            <w:tcW w:w="9072" w:type="dxa"/>
            <w:gridSpan w:val="8"/>
            <w:vAlign w:val="center"/>
          </w:tcPr>
          <w:p w14:paraId="696D04A5">
            <w:pPr>
              <w:pStyle w:val="10"/>
            </w:pPr>
            <w:r>
              <w:t>本年收入</w:t>
            </w:r>
          </w:p>
        </w:tc>
        <w:tc>
          <w:tcPr>
            <w:tcW w:w="1134" w:type="dxa"/>
            <w:vMerge w:val="restart"/>
            <w:vAlign w:val="center"/>
          </w:tcPr>
          <w:p w14:paraId="72D36767">
            <w:pPr>
              <w:pStyle w:val="10"/>
            </w:pPr>
            <w:r>
              <w:t>上年结转</w:t>
            </w:r>
          </w:p>
        </w:tc>
      </w:tr>
      <w:tr w14:paraId="1495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6B31FD"/>
        </w:tc>
        <w:tc>
          <w:tcPr>
            <w:tcW w:w="992" w:type="dxa"/>
            <w:vAlign w:val="center"/>
          </w:tcPr>
          <w:p w14:paraId="2246B24B">
            <w:pPr>
              <w:pStyle w:val="10"/>
            </w:pPr>
            <w:r>
              <w:t>科目    编码</w:t>
            </w:r>
          </w:p>
        </w:tc>
        <w:tc>
          <w:tcPr>
            <w:tcW w:w="1559" w:type="dxa"/>
            <w:vAlign w:val="center"/>
          </w:tcPr>
          <w:p w14:paraId="4B07C2D7">
            <w:pPr>
              <w:pStyle w:val="10"/>
            </w:pPr>
            <w:r>
              <w:t>科目名称</w:t>
            </w:r>
          </w:p>
        </w:tc>
        <w:tc>
          <w:tcPr>
            <w:tcW w:w="1134" w:type="dxa"/>
            <w:vMerge w:val="continue"/>
          </w:tcPr>
          <w:p w14:paraId="40CCA420"/>
        </w:tc>
        <w:tc>
          <w:tcPr>
            <w:tcW w:w="1134" w:type="dxa"/>
            <w:vAlign w:val="center"/>
          </w:tcPr>
          <w:p w14:paraId="55A890BE">
            <w:pPr>
              <w:pStyle w:val="10"/>
            </w:pPr>
            <w:r>
              <w:t>小计</w:t>
            </w:r>
          </w:p>
        </w:tc>
        <w:tc>
          <w:tcPr>
            <w:tcW w:w="1134" w:type="dxa"/>
            <w:vAlign w:val="center"/>
          </w:tcPr>
          <w:p w14:paraId="08D537A7">
            <w:pPr>
              <w:pStyle w:val="10"/>
            </w:pPr>
            <w:r>
              <w:t>财政拨款 收入</w:t>
            </w:r>
          </w:p>
        </w:tc>
        <w:tc>
          <w:tcPr>
            <w:tcW w:w="1134" w:type="dxa"/>
            <w:vAlign w:val="center"/>
          </w:tcPr>
          <w:p w14:paraId="00186ABF">
            <w:pPr>
              <w:pStyle w:val="10"/>
            </w:pPr>
            <w:r>
              <w:t>财政专户 收入</w:t>
            </w:r>
          </w:p>
        </w:tc>
        <w:tc>
          <w:tcPr>
            <w:tcW w:w="1134" w:type="dxa"/>
            <w:vAlign w:val="center"/>
          </w:tcPr>
          <w:p w14:paraId="00582842">
            <w:pPr>
              <w:pStyle w:val="10"/>
            </w:pPr>
            <w:r>
              <w:t>事业收入</w:t>
            </w:r>
          </w:p>
        </w:tc>
        <w:tc>
          <w:tcPr>
            <w:tcW w:w="1134" w:type="dxa"/>
            <w:vAlign w:val="center"/>
          </w:tcPr>
          <w:p w14:paraId="4E936E07">
            <w:pPr>
              <w:pStyle w:val="10"/>
            </w:pPr>
            <w:r>
              <w:t>经营收入</w:t>
            </w:r>
          </w:p>
        </w:tc>
        <w:tc>
          <w:tcPr>
            <w:tcW w:w="1134" w:type="dxa"/>
            <w:vAlign w:val="center"/>
          </w:tcPr>
          <w:p w14:paraId="4DDA0405">
            <w:pPr>
              <w:pStyle w:val="10"/>
            </w:pPr>
            <w:r>
              <w:t>上级补助收入</w:t>
            </w:r>
          </w:p>
        </w:tc>
        <w:tc>
          <w:tcPr>
            <w:tcW w:w="1134" w:type="dxa"/>
            <w:vAlign w:val="center"/>
          </w:tcPr>
          <w:p w14:paraId="0CCB4728">
            <w:pPr>
              <w:pStyle w:val="10"/>
            </w:pPr>
            <w:r>
              <w:t>附属单位上缴收入</w:t>
            </w:r>
          </w:p>
        </w:tc>
        <w:tc>
          <w:tcPr>
            <w:tcW w:w="1134" w:type="dxa"/>
            <w:vAlign w:val="center"/>
          </w:tcPr>
          <w:p w14:paraId="64F9A1F2">
            <w:pPr>
              <w:pStyle w:val="10"/>
            </w:pPr>
            <w:r>
              <w:t>其他收入</w:t>
            </w:r>
          </w:p>
        </w:tc>
        <w:tc>
          <w:tcPr>
            <w:tcW w:w="1134" w:type="dxa"/>
            <w:vMerge w:val="continue"/>
          </w:tcPr>
          <w:p w14:paraId="2A98D476"/>
        </w:tc>
      </w:tr>
      <w:tr w14:paraId="2EA7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E52AAF">
            <w:pPr>
              <w:pStyle w:val="10"/>
            </w:pPr>
            <w:r>
              <w:t>栏次</w:t>
            </w:r>
          </w:p>
        </w:tc>
        <w:tc>
          <w:tcPr>
            <w:tcW w:w="992" w:type="dxa"/>
            <w:vAlign w:val="center"/>
          </w:tcPr>
          <w:p w14:paraId="78942BDF">
            <w:pPr>
              <w:pStyle w:val="10"/>
            </w:pPr>
            <w:r>
              <w:t>1</w:t>
            </w:r>
          </w:p>
        </w:tc>
        <w:tc>
          <w:tcPr>
            <w:tcW w:w="1559" w:type="dxa"/>
            <w:vAlign w:val="center"/>
          </w:tcPr>
          <w:p w14:paraId="62D02CC1">
            <w:pPr>
              <w:pStyle w:val="10"/>
            </w:pPr>
            <w:r>
              <w:t>2</w:t>
            </w:r>
          </w:p>
        </w:tc>
        <w:tc>
          <w:tcPr>
            <w:tcW w:w="1134" w:type="dxa"/>
            <w:vAlign w:val="center"/>
          </w:tcPr>
          <w:p w14:paraId="576135A1">
            <w:pPr>
              <w:pStyle w:val="10"/>
            </w:pPr>
            <w:r>
              <w:t>3</w:t>
            </w:r>
          </w:p>
        </w:tc>
        <w:tc>
          <w:tcPr>
            <w:tcW w:w="1134" w:type="dxa"/>
            <w:vAlign w:val="center"/>
          </w:tcPr>
          <w:p w14:paraId="7AF1BEDA">
            <w:pPr>
              <w:pStyle w:val="10"/>
            </w:pPr>
            <w:r>
              <w:t>4</w:t>
            </w:r>
          </w:p>
        </w:tc>
        <w:tc>
          <w:tcPr>
            <w:tcW w:w="1134" w:type="dxa"/>
            <w:vAlign w:val="center"/>
          </w:tcPr>
          <w:p w14:paraId="5839F18E">
            <w:pPr>
              <w:pStyle w:val="10"/>
            </w:pPr>
            <w:r>
              <w:t>5</w:t>
            </w:r>
          </w:p>
        </w:tc>
        <w:tc>
          <w:tcPr>
            <w:tcW w:w="1134" w:type="dxa"/>
            <w:vAlign w:val="center"/>
          </w:tcPr>
          <w:p w14:paraId="39BAC544">
            <w:pPr>
              <w:pStyle w:val="10"/>
            </w:pPr>
            <w:r>
              <w:t>6</w:t>
            </w:r>
          </w:p>
        </w:tc>
        <w:tc>
          <w:tcPr>
            <w:tcW w:w="1134" w:type="dxa"/>
            <w:vAlign w:val="center"/>
          </w:tcPr>
          <w:p w14:paraId="4BEA7767">
            <w:pPr>
              <w:pStyle w:val="10"/>
            </w:pPr>
            <w:r>
              <w:t>7</w:t>
            </w:r>
          </w:p>
        </w:tc>
        <w:tc>
          <w:tcPr>
            <w:tcW w:w="1134" w:type="dxa"/>
            <w:vAlign w:val="center"/>
          </w:tcPr>
          <w:p w14:paraId="1E8377AC">
            <w:pPr>
              <w:pStyle w:val="10"/>
            </w:pPr>
            <w:r>
              <w:t>8</w:t>
            </w:r>
          </w:p>
        </w:tc>
        <w:tc>
          <w:tcPr>
            <w:tcW w:w="1134" w:type="dxa"/>
            <w:vAlign w:val="center"/>
          </w:tcPr>
          <w:p w14:paraId="28F6E25F">
            <w:pPr>
              <w:pStyle w:val="10"/>
            </w:pPr>
            <w:r>
              <w:t>9</w:t>
            </w:r>
          </w:p>
        </w:tc>
        <w:tc>
          <w:tcPr>
            <w:tcW w:w="1134" w:type="dxa"/>
            <w:vAlign w:val="center"/>
          </w:tcPr>
          <w:p w14:paraId="339A69A8">
            <w:pPr>
              <w:pStyle w:val="10"/>
            </w:pPr>
            <w:r>
              <w:t>10</w:t>
            </w:r>
          </w:p>
        </w:tc>
        <w:tc>
          <w:tcPr>
            <w:tcW w:w="1134" w:type="dxa"/>
            <w:vAlign w:val="center"/>
          </w:tcPr>
          <w:p w14:paraId="0F25FB4B">
            <w:pPr>
              <w:pStyle w:val="10"/>
            </w:pPr>
            <w:r>
              <w:t>11</w:t>
            </w:r>
          </w:p>
        </w:tc>
        <w:tc>
          <w:tcPr>
            <w:tcW w:w="1134" w:type="dxa"/>
            <w:vAlign w:val="center"/>
          </w:tcPr>
          <w:p w14:paraId="1747EDB8">
            <w:pPr>
              <w:pStyle w:val="10"/>
            </w:pPr>
            <w:r>
              <w:t>12</w:t>
            </w:r>
          </w:p>
        </w:tc>
      </w:tr>
      <w:tr w14:paraId="64AF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FAD52">
            <w:pPr>
              <w:pStyle w:val="13"/>
            </w:pPr>
            <w:r>
              <w:t>1</w:t>
            </w:r>
          </w:p>
        </w:tc>
        <w:tc>
          <w:tcPr>
            <w:tcW w:w="992" w:type="dxa"/>
            <w:vAlign w:val="center"/>
          </w:tcPr>
          <w:p w14:paraId="4749A33E">
            <w:pPr>
              <w:pStyle w:val="16"/>
            </w:pPr>
          </w:p>
        </w:tc>
        <w:tc>
          <w:tcPr>
            <w:tcW w:w="1559" w:type="dxa"/>
            <w:vAlign w:val="center"/>
          </w:tcPr>
          <w:p w14:paraId="5AB6F3ED">
            <w:pPr>
              <w:pStyle w:val="14"/>
            </w:pPr>
            <w:r>
              <w:t>合计</w:t>
            </w:r>
          </w:p>
        </w:tc>
        <w:tc>
          <w:tcPr>
            <w:tcW w:w="1134" w:type="dxa"/>
            <w:vAlign w:val="center"/>
          </w:tcPr>
          <w:p w14:paraId="52814535">
            <w:pPr>
              <w:pStyle w:val="15"/>
            </w:pPr>
            <w:r>
              <w:t>2005.82</w:t>
            </w:r>
          </w:p>
        </w:tc>
        <w:tc>
          <w:tcPr>
            <w:tcW w:w="1134" w:type="dxa"/>
            <w:vAlign w:val="center"/>
          </w:tcPr>
          <w:p w14:paraId="6E4714FB">
            <w:pPr>
              <w:pStyle w:val="15"/>
            </w:pPr>
            <w:r>
              <w:t>2005.82</w:t>
            </w:r>
          </w:p>
        </w:tc>
        <w:tc>
          <w:tcPr>
            <w:tcW w:w="1134" w:type="dxa"/>
            <w:vAlign w:val="center"/>
          </w:tcPr>
          <w:p w14:paraId="6D151EF1">
            <w:pPr>
              <w:pStyle w:val="15"/>
            </w:pPr>
            <w:r>
              <w:t>2005.82</w:t>
            </w:r>
          </w:p>
        </w:tc>
        <w:tc>
          <w:tcPr>
            <w:tcW w:w="1134" w:type="dxa"/>
            <w:vAlign w:val="center"/>
          </w:tcPr>
          <w:p w14:paraId="0F2DEB22">
            <w:pPr>
              <w:pStyle w:val="15"/>
            </w:pPr>
          </w:p>
        </w:tc>
        <w:tc>
          <w:tcPr>
            <w:tcW w:w="1134" w:type="dxa"/>
            <w:vAlign w:val="center"/>
          </w:tcPr>
          <w:p w14:paraId="001EB0A1">
            <w:pPr>
              <w:pStyle w:val="15"/>
            </w:pPr>
          </w:p>
        </w:tc>
        <w:tc>
          <w:tcPr>
            <w:tcW w:w="1134" w:type="dxa"/>
            <w:vAlign w:val="center"/>
          </w:tcPr>
          <w:p w14:paraId="3C085956">
            <w:pPr>
              <w:pStyle w:val="15"/>
            </w:pPr>
          </w:p>
        </w:tc>
        <w:tc>
          <w:tcPr>
            <w:tcW w:w="1134" w:type="dxa"/>
            <w:vAlign w:val="center"/>
          </w:tcPr>
          <w:p w14:paraId="2E7E1B5F">
            <w:pPr>
              <w:pStyle w:val="15"/>
            </w:pPr>
          </w:p>
        </w:tc>
        <w:tc>
          <w:tcPr>
            <w:tcW w:w="1134" w:type="dxa"/>
            <w:vAlign w:val="center"/>
          </w:tcPr>
          <w:p w14:paraId="7DB01483">
            <w:pPr>
              <w:pStyle w:val="15"/>
            </w:pPr>
          </w:p>
        </w:tc>
        <w:tc>
          <w:tcPr>
            <w:tcW w:w="1134" w:type="dxa"/>
            <w:vAlign w:val="center"/>
          </w:tcPr>
          <w:p w14:paraId="1A4A685E">
            <w:pPr>
              <w:pStyle w:val="15"/>
            </w:pPr>
          </w:p>
        </w:tc>
        <w:tc>
          <w:tcPr>
            <w:tcW w:w="1134" w:type="dxa"/>
            <w:vAlign w:val="center"/>
          </w:tcPr>
          <w:p w14:paraId="213F3C42">
            <w:pPr>
              <w:pStyle w:val="15"/>
            </w:pPr>
          </w:p>
        </w:tc>
      </w:tr>
      <w:tr w14:paraId="3AA2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D32EE">
            <w:pPr>
              <w:pStyle w:val="13"/>
            </w:pPr>
            <w:r>
              <w:t>2</w:t>
            </w:r>
          </w:p>
        </w:tc>
        <w:tc>
          <w:tcPr>
            <w:tcW w:w="992" w:type="dxa"/>
            <w:vAlign w:val="center"/>
          </w:tcPr>
          <w:p w14:paraId="6EBCE060">
            <w:pPr>
              <w:pStyle w:val="12"/>
            </w:pPr>
            <w:r>
              <w:t>205</w:t>
            </w:r>
          </w:p>
        </w:tc>
        <w:tc>
          <w:tcPr>
            <w:tcW w:w="1559" w:type="dxa"/>
            <w:vAlign w:val="center"/>
          </w:tcPr>
          <w:p w14:paraId="6C0C300D">
            <w:pPr>
              <w:pStyle w:val="12"/>
            </w:pPr>
            <w:r>
              <w:t>教育支出</w:t>
            </w:r>
          </w:p>
        </w:tc>
        <w:tc>
          <w:tcPr>
            <w:tcW w:w="1134" w:type="dxa"/>
            <w:vAlign w:val="center"/>
          </w:tcPr>
          <w:p w14:paraId="5A559CE9">
            <w:pPr>
              <w:pStyle w:val="11"/>
            </w:pPr>
            <w:r>
              <w:t>2005.82</w:t>
            </w:r>
          </w:p>
        </w:tc>
        <w:tc>
          <w:tcPr>
            <w:tcW w:w="1134" w:type="dxa"/>
            <w:vAlign w:val="center"/>
          </w:tcPr>
          <w:p w14:paraId="6CA1B440">
            <w:pPr>
              <w:pStyle w:val="11"/>
            </w:pPr>
            <w:r>
              <w:t>2005.82</w:t>
            </w:r>
          </w:p>
        </w:tc>
        <w:tc>
          <w:tcPr>
            <w:tcW w:w="1134" w:type="dxa"/>
            <w:vAlign w:val="center"/>
          </w:tcPr>
          <w:p w14:paraId="161B4755">
            <w:pPr>
              <w:pStyle w:val="11"/>
            </w:pPr>
            <w:r>
              <w:t>2005.82</w:t>
            </w:r>
          </w:p>
        </w:tc>
        <w:tc>
          <w:tcPr>
            <w:tcW w:w="1134" w:type="dxa"/>
            <w:vAlign w:val="center"/>
          </w:tcPr>
          <w:p w14:paraId="38E1CB16">
            <w:pPr>
              <w:pStyle w:val="11"/>
            </w:pPr>
          </w:p>
        </w:tc>
        <w:tc>
          <w:tcPr>
            <w:tcW w:w="1134" w:type="dxa"/>
            <w:vAlign w:val="center"/>
          </w:tcPr>
          <w:p w14:paraId="207B7C59">
            <w:pPr>
              <w:pStyle w:val="11"/>
            </w:pPr>
          </w:p>
        </w:tc>
        <w:tc>
          <w:tcPr>
            <w:tcW w:w="1134" w:type="dxa"/>
            <w:vAlign w:val="center"/>
          </w:tcPr>
          <w:p w14:paraId="624F847C">
            <w:pPr>
              <w:pStyle w:val="11"/>
            </w:pPr>
          </w:p>
        </w:tc>
        <w:tc>
          <w:tcPr>
            <w:tcW w:w="1134" w:type="dxa"/>
            <w:vAlign w:val="center"/>
          </w:tcPr>
          <w:p w14:paraId="06839582">
            <w:pPr>
              <w:pStyle w:val="11"/>
            </w:pPr>
          </w:p>
        </w:tc>
        <w:tc>
          <w:tcPr>
            <w:tcW w:w="1134" w:type="dxa"/>
            <w:vAlign w:val="center"/>
          </w:tcPr>
          <w:p w14:paraId="77B17394">
            <w:pPr>
              <w:pStyle w:val="11"/>
            </w:pPr>
          </w:p>
        </w:tc>
        <w:tc>
          <w:tcPr>
            <w:tcW w:w="1134" w:type="dxa"/>
            <w:vAlign w:val="center"/>
          </w:tcPr>
          <w:p w14:paraId="1A283627">
            <w:pPr>
              <w:pStyle w:val="11"/>
            </w:pPr>
          </w:p>
        </w:tc>
        <w:tc>
          <w:tcPr>
            <w:tcW w:w="1134" w:type="dxa"/>
            <w:vAlign w:val="center"/>
          </w:tcPr>
          <w:p w14:paraId="561A0242">
            <w:pPr>
              <w:pStyle w:val="11"/>
            </w:pPr>
          </w:p>
        </w:tc>
      </w:tr>
      <w:tr w14:paraId="6524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7FF5C">
            <w:pPr>
              <w:pStyle w:val="13"/>
            </w:pPr>
            <w:r>
              <w:t>3</w:t>
            </w:r>
          </w:p>
        </w:tc>
        <w:tc>
          <w:tcPr>
            <w:tcW w:w="992" w:type="dxa"/>
            <w:vAlign w:val="center"/>
          </w:tcPr>
          <w:p w14:paraId="5FB941B2">
            <w:pPr>
              <w:pStyle w:val="12"/>
            </w:pPr>
            <w:r>
              <w:t>20502</w:t>
            </w:r>
          </w:p>
        </w:tc>
        <w:tc>
          <w:tcPr>
            <w:tcW w:w="1559" w:type="dxa"/>
            <w:vAlign w:val="center"/>
          </w:tcPr>
          <w:p w14:paraId="6B3F1A91">
            <w:pPr>
              <w:pStyle w:val="12"/>
            </w:pPr>
            <w:r>
              <w:t>普通教育</w:t>
            </w:r>
          </w:p>
        </w:tc>
        <w:tc>
          <w:tcPr>
            <w:tcW w:w="1134" w:type="dxa"/>
            <w:vAlign w:val="center"/>
          </w:tcPr>
          <w:p w14:paraId="57894DC7">
            <w:pPr>
              <w:pStyle w:val="11"/>
            </w:pPr>
            <w:r>
              <w:t>2005.82</w:t>
            </w:r>
          </w:p>
        </w:tc>
        <w:tc>
          <w:tcPr>
            <w:tcW w:w="1134" w:type="dxa"/>
            <w:vAlign w:val="center"/>
          </w:tcPr>
          <w:p w14:paraId="744F2E6D">
            <w:pPr>
              <w:pStyle w:val="11"/>
            </w:pPr>
            <w:r>
              <w:t>2005.82</w:t>
            </w:r>
          </w:p>
        </w:tc>
        <w:tc>
          <w:tcPr>
            <w:tcW w:w="1134" w:type="dxa"/>
            <w:vAlign w:val="center"/>
          </w:tcPr>
          <w:p w14:paraId="22B4ACA8">
            <w:pPr>
              <w:pStyle w:val="11"/>
            </w:pPr>
            <w:r>
              <w:t>2005.82</w:t>
            </w:r>
          </w:p>
        </w:tc>
        <w:tc>
          <w:tcPr>
            <w:tcW w:w="1134" w:type="dxa"/>
            <w:vAlign w:val="center"/>
          </w:tcPr>
          <w:p w14:paraId="45C3D6CB">
            <w:pPr>
              <w:pStyle w:val="11"/>
            </w:pPr>
          </w:p>
        </w:tc>
        <w:tc>
          <w:tcPr>
            <w:tcW w:w="1134" w:type="dxa"/>
            <w:vAlign w:val="center"/>
          </w:tcPr>
          <w:p w14:paraId="59F9AA90">
            <w:pPr>
              <w:pStyle w:val="11"/>
            </w:pPr>
          </w:p>
        </w:tc>
        <w:tc>
          <w:tcPr>
            <w:tcW w:w="1134" w:type="dxa"/>
            <w:vAlign w:val="center"/>
          </w:tcPr>
          <w:p w14:paraId="60A7FB30">
            <w:pPr>
              <w:pStyle w:val="11"/>
            </w:pPr>
          </w:p>
        </w:tc>
        <w:tc>
          <w:tcPr>
            <w:tcW w:w="1134" w:type="dxa"/>
            <w:vAlign w:val="center"/>
          </w:tcPr>
          <w:p w14:paraId="7B12AB67">
            <w:pPr>
              <w:pStyle w:val="11"/>
            </w:pPr>
          </w:p>
        </w:tc>
        <w:tc>
          <w:tcPr>
            <w:tcW w:w="1134" w:type="dxa"/>
            <w:vAlign w:val="center"/>
          </w:tcPr>
          <w:p w14:paraId="7302E0BF">
            <w:pPr>
              <w:pStyle w:val="11"/>
            </w:pPr>
          </w:p>
        </w:tc>
        <w:tc>
          <w:tcPr>
            <w:tcW w:w="1134" w:type="dxa"/>
            <w:vAlign w:val="center"/>
          </w:tcPr>
          <w:p w14:paraId="289991D3">
            <w:pPr>
              <w:pStyle w:val="11"/>
            </w:pPr>
          </w:p>
        </w:tc>
        <w:tc>
          <w:tcPr>
            <w:tcW w:w="1134" w:type="dxa"/>
            <w:vAlign w:val="center"/>
          </w:tcPr>
          <w:p w14:paraId="15123208">
            <w:pPr>
              <w:pStyle w:val="11"/>
            </w:pPr>
          </w:p>
        </w:tc>
      </w:tr>
      <w:tr w14:paraId="0595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3E593">
            <w:pPr>
              <w:pStyle w:val="13"/>
            </w:pPr>
            <w:r>
              <w:t>4</w:t>
            </w:r>
          </w:p>
        </w:tc>
        <w:tc>
          <w:tcPr>
            <w:tcW w:w="992" w:type="dxa"/>
            <w:vAlign w:val="center"/>
          </w:tcPr>
          <w:p w14:paraId="29330797">
            <w:pPr>
              <w:pStyle w:val="12"/>
            </w:pPr>
            <w:r>
              <w:t>2050201</w:t>
            </w:r>
          </w:p>
        </w:tc>
        <w:tc>
          <w:tcPr>
            <w:tcW w:w="1559" w:type="dxa"/>
            <w:vAlign w:val="center"/>
          </w:tcPr>
          <w:p w14:paraId="6A76118D">
            <w:pPr>
              <w:pStyle w:val="12"/>
            </w:pPr>
            <w:r>
              <w:t>学前教育</w:t>
            </w:r>
          </w:p>
        </w:tc>
        <w:tc>
          <w:tcPr>
            <w:tcW w:w="1134" w:type="dxa"/>
            <w:vAlign w:val="center"/>
          </w:tcPr>
          <w:p w14:paraId="1423AAE8">
            <w:pPr>
              <w:pStyle w:val="11"/>
            </w:pPr>
            <w:r>
              <w:t>164.03</w:t>
            </w:r>
          </w:p>
        </w:tc>
        <w:tc>
          <w:tcPr>
            <w:tcW w:w="1134" w:type="dxa"/>
            <w:vAlign w:val="center"/>
          </w:tcPr>
          <w:p w14:paraId="4515648F">
            <w:pPr>
              <w:pStyle w:val="11"/>
            </w:pPr>
            <w:r>
              <w:t>164.03</w:t>
            </w:r>
          </w:p>
        </w:tc>
        <w:tc>
          <w:tcPr>
            <w:tcW w:w="1134" w:type="dxa"/>
            <w:vAlign w:val="center"/>
          </w:tcPr>
          <w:p w14:paraId="747EEA77">
            <w:pPr>
              <w:pStyle w:val="11"/>
            </w:pPr>
            <w:r>
              <w:t>164.03</w:t>
            </w:r>
          </w:p>
        </w:tc>
        <w:tc>
          <w:tcPr>
            <w:tcW w:w="1134" w:type="dxa"/>
            <w:vAlign w:val="center"/>
          </w:tcPr>
          <w:p w14:paraId="5513FED8">
            <w:pPr>
              <w:pStyle w:val="11"/>
            </w:pPr>
          </w:p>
        </w:tc>
        <w:tc>
          <w:tcPr>
            <w:tcW w:w="1134" w:type="dxa"/>
            <w:vAlign w:val="center"/>
          </w:tcPr>
          <w:p w14:paraId="1B5FB56F">
            <w:pPr>
              <w:pStyle w:val="11"/>
            </w:pPr>
          </w:p>
        </w:tc>
        <w:tc>
          <w:tcPr>
            <w:tcW w:w="1134" w:type="dxa"/>
            <w:vAlign w:val="center"/>
          </w:tcPr>
          <w:p w14:paraId="0C910673">
            <w:pPr>
              <w:pStyle w:val="11"/>
            </w:pPr>
          </w:p>
        </w:tc>
        <w:tc>
          <w:tcPr>
            <w:tcW w:w="1134" w:type="dxa"/>
            <w:vAlign w:val="center"/>
          </w:tcPr>
          <w:p w14:paraId="21F7D157">
            <w:pPr>
              <w:pStyle w:val="11"/>
            </w:pPr>
          </w:p>
        </w:tc>
        <w:tc>
          <w:tcPr>
            <w:tcW w:w="1134" w:type="dxa"/>
            <w:vAlign w:val="center"/>
          </w:tcPr>
          <w:p w14:paraId="0D9BDB00">
            <w:pPr>
              <w:pStyle w:val="11"/>
            </w:pPr>
          </w:p>
        </w:tc>
        <w:tc>
          <w:tcPr>
            <w:tcW w:w="1134" w:type="dxa"/>
            <w:vAlign w:val="center"/>
          </w:tcPr>
          <w:p w14:paraId="48E9BD8D">
            <w:pPr>
              <w:pStyle w:val="11"/>
            </w:pPr>
          </w:p>
        </w:tc>
        <w:tc>
          <w:tcPr>
            <w:tcW w:w="1134" w:type="dxa"/>
            <w:vAlign w:val="center"/>
          </w:tcPr>
          <w:p w14:paraId="2E87B074">
            <w:pPr>
              <w:pStyle w:val="11"/>
            </w:pPr>
          </w:p>
        </w:tc>
      </w:tr>
      <w:tr w14:paraId="4D39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5B3A6">
            <w:pPr>
              <w:pStyle w:val="13"/>
            </w:pPr>
            <w:r>
              <w:t>5</w:t>
            </w:r>
          </w:p>
        </w:tc>
        <w:tc>
          <w:tcPr>
            <w:tcW w:w="992" w:type="dxa"/>
            <w:vAlign w:val="center"/>
          </w:tcPr>
          <w:p w14:paraId="411BEBD2">
            <w:pPr>
              <w:pStyle w:val="12"/>
            </w:pPr>
            <w:r>
              <w:t>2050202</w:t>
            </w:r>
          </w:p>
        </w:tc>
        <w:tc>
          <w:tcPr>
            <w:tcW w:w="1559" w:type="dxa"/>
            <w:vAlign w:val="center"/>
          </w:tcPr>
          <w:p w14:paraId="00CAAD3A">
            <w:pPr>
              <w:pStyle w:val="12"/>
            </w:pPr>
            <w:r>
              <w:t>小学教育</w:t>
            </w:r>
          </w:p>
        </w:tc>
        <w:tc>
          <w:tcPr>
            <w:tcW w:w="1134" w:type="dxa"/>
            <w:vAlign w:val="center"/>
          </w:tcPr>
          <w:p w14:paraId="506F3A97">
            <w:pPr>
              <w:pStyle w:val="11"/>
            </w:pPr>
            <w:r>
              <w:t>1841.79</w:t>
            </w:r>
          </w:p>
        </w:tc>
        <w:tc>
          <w:tcPr>
            <w:tcW w:w="1134" w:type="dxa"/>
            <w:vAlign w:val="center"/>
          </w:tcPr>
          <w:p w14:paraId="2870DFFD">
            <w:pPr>
              <w:pStyle w:val="11"/>
            </w:pPr>
            <w:r>
              <w:t>1841.79</w:t>
            </w:r>
          </w:p>
        </w:tc>
        <w:tc>
          <w:tcPr>
            <w:tcW w:w="1134" w:type="dxa"/>
            <w:vAlign w:val="center"/>
          </w:tcPr>
          <w:p w14:paraId="058EA690">
            <w:pPr>
              <w:pStyle w:val="11"/>
            </w:pPr>
            <w:r>
              <w:t>1841.79</w:t>
            </w:r>
          </w:p>
        </w:tc>
        <w:tc>
          <w:tcPr>
            <w:tcW w:w="1134" w:type="dxa"/>
            <w:vAlign w:val="center"/>
          </w:tcPr>
          <w:p w14:paraId="0111326F">
            <w:pPr>
              <w:pStyle w:val="11"/>
            </w:pPr>
          </w:p>
        </w:tc>
        <w:tc>
          <w:tcPr>
            <w:tcW w:w="1134" w:type="dxa"/>
            <w:vAlign w:val="center"/>
          </w:tcPr>
          <w:p w14:paraId="61797ADC">
            <w:pPr>
              <w:pStyle w:val="11"/>
            </w:pPr>
          </w:p>
        </w:tc>
        <w:tc>
          <w:tcPr>
            <w:tcW w:w="1134" w:type="dxa"/>
            <w:vAlign w:val="center"/>
          </w:tcPr>
          <w:p w14:paraId="02A5DE04">
            <w:pPr>
              <w:pStyle w:val="11"/>
            </w:pPr>
          </w:p>
        </w:tc>
        <w:tc>
          <w:tcPr>
            <w:tcW w:w="1134" w:type="dxa"/>
            <w:vAlign w:val="center"/>
          </w:tcPr>
          <w:p w14:paraId="56A6128F">
            <w:pPr>
              <w:pStyle w:val="11"/>
            </w:pPr>
          </w:p>
        </w:tc>
        <w:tc>
          <w:tcPr>
            <w:tcW w:w="1134" w:type="dxa"/>
            <w:vAlign w:val="center"/>
          </w:tcPr>
          <w:p w14:paraId="5D434EAD">
            <w:pPr>
              <w:pStyle w:val="11"/>
            </w:pPr>
          </w:p>
        </w:tc>
        <w:tc>
          <w:tcPr>
            <w:tcW w:w="1134" w:type="dxa"/>
            <w:vAlign w:val="center"/>
          </w:tcPr>
          <w:p w14:paraId="039D20AD">
            <w:pPr>
              <w:pStyle w:val="11"/>
            </w:pPr>
          </w:p>
        </w:tc>
        <w:tc>
          <w:tcPr>
            <w:tcW w:w="1134" w:type="dxa"/>
            <w:vAlign w:val="center"/>
          </w:tcPr>
          <w:p w14:paraId="7CC86164">
            <w:pPr>
              <w:pStyle w:val="11"/>
            </w:pPr>
          </w:p>
        </w:tc>
      </w:tr>
    </w:tbl>
    <w:p w14:paraId="3EC37D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F6FF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9D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7EFB6D">
            <w:pPr>
              <w:pStyle w:val="9"/>
            </w:pPr>
            <w:r>
              <w:t>360018隆尧县北楼校区</w:t>
            </w:r>
          </w:p>
        </w:tc>
        <w:tc>
          <w:tcPr>
            <w:tcW w:w="2722" w:type="dxa"/>
            <w:gridSpan w:val="2"/>
            <w:tcBorders>
              <w:top w:val="single" w:color="FFFFFF" w:sz="6" w:space="0"/>
              <w:left w:val="single" w:color="FFFFFF" w:sz="6" w:space="0"/>
              <w:right w:val="single" w:color="FFFFFF" w:sz="6" w:space="0"/>
            </w:tcBorders>
            <w:vAlign w:val="center"/>
          </w:tcPr>
          <w:p w14:paraId="57A043B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4BEE8D3">
            <w:pPr>
              <w:pStyle w:val="7"/>
            </w:pPr>
            <w:r>
              <w:t>单位：万元</w:t>
            </w:r>
          </w:p>
        </w:tc>
      </w:tr>
      <w:tr w14:paraId="0919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28E8B">
            <w:pPr>
              <w:pStyle w:val="10"/>
            </w:pPr>
            <w:r>
              <w:t>序号</w:t>
            </w:r>
          </w:p>
        </w:tc>
        <w:tc>
          <w:tcPr>
            <w:tcW w:w="5527" w:type="dxa"/>
            <w:gridSpan w:val="2"/>
            <w:vAlign w:val="center"/>
          </w:tcPr>
          <w:p w14:paraId="50047C13">
            <w:pPr>
              <w:pStyle w:val="10"/>
            </w:pPr>
            <w:r>
              <w:t>功能分类科目</w:t>
            </w:r>
          </w:p>
        </w:tc>
        <w:tc>
          <w:tcPr>
            <w:tcW w:w="1361" w:type="dxa"/>
            <w:vMerge w:val="restart"/>
            <w:vAlign w:val="center"/>
          </w:tcPr>
          <w:p w14:paraId="1D32093E">
            <w:pPr>
              <w:pStyle w:val="10"/>
            </w:pPr>
            <w:r>
              <w:t>合计</w:t>
            </w:r>
          </w:p>
        </w:tc>
        <w:tc>
          <w:tcPr>
            <w:tcW w:w="1361" w:type="dxa"/>
            <w:vMerge w:val="restart"/>
            <w:vAlign w:val="center"/>
          </w:tcPr>
          <w:p w14:paraId="5C8AC105">
            <w:pPr>
              <w:pStyle w:val="10"/>
            </w:pPr>
            <w:r>
              <w:t>基本支出</w:t>
            </w:r>
          </w:p>
        </w:tc>
        <w:tc>
          <w:tcPr>
            <w:tcW w:w="1361" w:type="dxa"/>
            <w:vMerge w:val="restart"/>
            <w:vAlign w:val="center"/>
          </w:tcPr>
          <w:p w14:paraId="59A6129A">
            <w:pPr>
              <w:pStyle w:val="10"/>
            </w:pPr>
            <w:r>
              <w:t>项目支出</w:t>
            </w:r>
          </w:p>
        </w:tc>
        <w:tc>
          <w:tcPr>
            <w:tcW w:w="1361" w:type="dxa"/>
            <w:vMerge w:val="restart"/>
            <w:vAlign w:val="center"/>
          </w:tcPr>
          <w:p w14:paraId="2D1E6ACA">
            <w:pPr>
              <w:pStyle w:val="10"/>
            </w:pPr>
            <w:r>
              <w:t>经营支出</w:t>
            </w:r>
          </w:p>
        </w:tc>
        <w:tc>
          <w:tcPr>
            <w:tcW w:w="1361" w:type="dxa"/>
            <w:vMerge w:val="restart"/>
            <w:vAlign w:val="center"/>
          </w:tcPr>
          <w:p w14:paraId="303FE298">
            <w:pPr>
              <w:pStyle w:val="10"/>
            </w:pPr>
            <w:r>
              <w:t>上解上级     支出</w:t>
            </w:r>
          </w:p>
        </w:tc>
        <w:tc>
          <w:tcPr>
            <w:tcW w:w="1361" w:type="dxa"/>
            <w:vMerge w:val="restart"/>
            <w:vAlign w:val="center"/>
          </w:tcPr>
          <w:p w14:paraId="0BFE7DE4">
            <w:pPr>
              <w:pStyle w:val="10"/>
            </w:pPr>
            <w:r>
              <w:t>对附属单位补助支出</w:t>
            </w:r>
          </w:p>
        </w:tc>
      </w:tr>
      <w:tr w14:paraId="054F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6B4E10"/>
        </w:tc>
        <w:tc>
          <w:tcPr>
            <w:tcW w:w="992" w:type="dxa"/>
            <w:vAlign w:val="center"/>
          </w:tcPr>
          <w:p w14:paraId="5B0CE774">
            <w:pPr>
              <w:pStyle w:val="10"/>
            </w:pPr>
            <w:r>
              <w:t>科目    编码</w:t>
            </w:r>
          </w:p>
        </w:tc>
        <w:tc>
          <w:tcPr>
            <w:tcW w:w="4535" w:type="dxa"/>
            <w:vAlign w:val="center"/>
          </w:tcPr>
          <w:p w14:paraId="7F4AF1E3">
            <w:pPr>
              <w:pStyle w:val="10"/>
            </w:pPr>
            <w:r>
              <w:t>科目名称</w:t>
            </w:r>
          </w:p>
        </w:tc>
        <w:tc>
          <w:tcPr>
            <w:tcW w:w="1361" w:type="dxa"/>
            <w:vMerge w:val="continue"/>
          </w:tcPr>
          <w:p w14:paraId="76C4E002"/>
        </w:tc>
        <w:tc>
          <w:tcPr>
            <w:tcW w:w="1361" w:type="dxa"/>
            <w:vMerge w:val="continue"/>
          </w:tcPr>
          <w:p w14:paraId="7F14BE05"/>
        </w:tc>
        <w:tc>
          <w:tcPr>
            <w:tcW w:w="1361" w:type="dxa"/>
            <w:vMerge w:val="continue"/>
          </w:tcPr>
          <w:p w14:paraId="5923FF19"/>
        </w:tc>
        <w:tc>
          <w:tcPr>
            <w:tcW w:w="1361" w:type="dxa"/>
            <w:vMerge w:val="continue"/>
          </w:tcPr>
          <w:p w14:paraId="4F35B452"/>
        </w:tc>
        <w:tc>
          <w:tcPr>
            <w:tcW w:w="1361" w:type="dxa"/>
            <w:vMerge w:val="continue"/>
          </w:tcPr>
          <w:p w14:paraId="41CACBD5"/>
        </w:tc>
        <w:tc>
          <w:tcPr>
            <w:tcW w:w="1361" w:type="dxa"/>
            <w:vMerge w:val="continue"/>
          </w:tcPr>
          <w:p w14:paraId="251D6F91"/>
        </w:tc>
      </w:tr>
      <w:tr w14:paraId="70A4C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553B4">
            <w:pPr>
              <w:pStyle w:val="10"/>
            </w:pPr>
            <w:r>
              <w:t>栏次</w:t>
            </w:r>
          </w:p>
        </w:tc>
        <w:tc>
          <w:tcPr>
            <w:tcW w:w="992" w:type="dxa"/>
            <w:vAlign w:val="center"/>
          </w:tcPr>
          <w:p w14:paraId="2D8A9940">
            <w:pPr>
              <w:pStyle w:val="10"/>
            </w:pPr>
            <w:r>
              <w:t>1</w:t>
            </w:r>
          </w:p>
        </w:tc>
        <w:tc>
          <w:tcPr>
            <w:tcW w:w="4535" w:type="dxa"/>
            <w:vAlign w:val="center"/>
          </w:tcPr>
          <w:p w14:paraId="6A5F4E1A">
            <w:pPr>
              <w:pStyle w:val="10"/>
            </w:pPr>
            <w:r>
              <w:t>2</w:t>
            </w:r>
          </w:p>
        </w:tc>
        <w:tc>
          <w:tcPr>
            <w:tcW w:w="1361" w:type="dxa"/>
            <w:vAlign w:val="center"/>
          </w:tcPr>
          <w:p w14:paraId="3FB1D88E">
            <w:pPr>
              <w:pStyle w:val="10"/>
            </w:pPr>
            <w:r>
              <w:t>3</w:t>
            </w:r>
          </w:p>
        </w:tc>
        <w:tc>
          <w:tcPr>
            <w:tcW w:w="1361" w:type="dxa"/>
            <w:vAlign w:val="center"/>
          </w:tcPr>
          <w:p w14:paraId="3D4B146C">
            <w:pPr>
              <w:pStyle w:val="10"/>
            </w:pPr>
            <w:r>
              <w:t>4</w:t>
            </w:r>
          </w:p>
        </w:tc>
        <w:tc>
          <w:tcPr>
            <w:tcW w:w="1361" w:type="dxa"/>
            <w:vAlign w:val="center"/>
          </w:tcPr>
          <w:p w14:paraId="7D0DF37D">
            <w:pPr>
              <w:pStyle w:val="10"/>
            </w:pPr>
            <w:r>
              <w:t>5</w:t>
            </w:r>
          </w:p>
        </w:tc>
        <w:tc>
          <w:tcPr>
            <w:tcW w:w="1361" w:type="dxa"/>
            <w:vAlign w:val="center"/>
          </w:tcPr>
          <w:p w14:paraId="0918B07C">
            <w:pPr>
              <w:pStyle w:val="10"/>
            </w:pPr>
            <w:r>
              <w:t>6</w:t>
            </w:r>
          </w:p>
        </w:tc>
        <w:tc>
          <w:tcPr>
            <w:tcW w:w="1361" w:type="dxa"/>
            <w:vAlign w:val="center"/>
          </w:tcPr>
          <w:p w14:paraId="1E616034">
            <w:pPr>
              <w:pStyle w:val="10"/>
            </w:pPr>
            <w:r>
              <w:t>7</w:t>
            </w:r>
          </w:p>
        </w:tc>
        <w:tc>
          <w:tcPr>
            <w:tcW w:w="1361" w:type="dxa"/>
            <w:vAlign w:val="center"/>
          </w:tcPr>
          <w:p w14:paraId="5498B40F">
            <w:pPr>
              <w:pStyle w:val="10"/>
            </w:pPr>
            <w:r>
              <w:t>8</w:t>
            </w:r>
          </w:p>
        </w:tc>
      </w:tr>
      <w:tr w14:paraId="1862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C1094">
            <w:pPr>
              <w:pStyle w:val="13"/>
            </w:pPr>
            <w:r>
              <w:t>1</w:t>
            </w:r>
          </w:p>
        </w:tc>
        <w:tc>
          <w:tcPr>
            <w:tcW w:w="992" w:type="dxa"/>
            <w:vAlign w:val="center"/>
          </w:tcPr>
          <w:p w14:paraId="620DF60C">
            <w:pPr>
              <w:pStyle w:val="16"/>
            </w:pPr>
          </w:p>
        </w:tc>
        <w:tc>
          <w:tcPr>
            <w:tcW w:w="4535" w:type="dxa"/>
            <w:vAlign w:val="center"/>
          </w:tcPr>
          <w:p w14:paraId="56B263D9">
            <w:pPr>
              <w:pStyle w:val="14"/>
            </w:pPr>
            <w:r>
              <w:t>合计</w:t>
            </w:r>
          </w:p>
        </w:tc>
        <w:tc>
          <w:tcPr>
            <w:tcW w:w="1361" w:type="dxa"/>
            <w:vAlign w:val="center"/>
          </w:tcPr>
          <w:p w14:paraId="106563E6">
            <w:pPr>
              <w:pStyle w:val="15"/>
            </w:pPr>
            <w:r>
              <w:t>2005.82</w:t>
            </w:r>
          </w:p>
        </w:tc>
        <w:tc>
          <w:tcPr>
            <w:tcW w:w="1361" w:type="dxa"/>
            <w:vAlign w:val="center"/>
          </w:tcPr>
          <w:p w14:paraId="5AF0C5DB">
            <w:pPr>
              <w:pStyle w:val="15"/>
            </w:pPr>
            <w:r>
              <w:t>1534.93</w:t>
            </w:r>
          </w:p>
        </w:tc>
        <w:tc>
          <w:tcPr>
            <w:tcW w:w="1361" w:type="dxa"/>
            <w:vAlign w:val="center"/>
          </w:tcPr>
          <w:p w14:paraId="6B161257">
            <w:pPr>
              <w:pStyle w:val="15"/>
            </w:pPr>
            <w:r>
              <w:t>470.89</w:t>
            </w:r>
          </w:p>
        </w:tc>
        <w:tc>
          <w:tcPr>
            <w:tcW w:w="1361" w:type="dxa"/>
            <w:vAlign w:val="center"/>
          </w:tcPr>
          <w:p w14:paraId="1C053BE9">
            <w:pPr>
              <w:pStyle w:val="15"/>
            </w:pPr>
          </w:p>
        </w:tc>
        <w:tc>
          <w:tcPr>
            <w:tcW w:w="1361" w:type="dxa"/>
            <w:vAlign w:val="center"/>
          </w:tcPr>
          <w:p w14:paraId="2989C922">
            <w:pPr>
              <w:pStyle w:val="15"/>
            </w:pPr>
          </w:p>
        </w:tc>
        <w:tc>
          <w:tcPr>
            <w:tcW w:w="1361" w:type="dxa"/>
            <w:vAlign w:val="center"/>
          </w:tcPr>
          <w:p w14:paraId="49C95CBD">
            <w:pPr>
              <w:pStyle w:val="15"/>
            </w:pPr>
          </w:p>
        </w:tc>
      </w:tr>
      <w:tr w14:paraId="0FEC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54255">
            <w:pPr>
              <w:pStyle w:val="13"/>
            </w:pPr>
            <w:r>
              <w:t>2</w:t>
            </w:r>
          </w:p>
        </w:tc>
        <w:tc>
          <w:tcPr>
            <w:tcW w:w="992" w:type="dxa"/>
            <w:vAlign w:val="center"/>
          </w:tcPr>
          <w:p w14:paraId="6765B689">
            <w:pPr>
              <w:pStyle w:val="12"/>
            </w:pPr>
            <w:r>
              <w:t>205</w:t>
            </w:r>
          </w:p>
        </w:tc>
        <w:tc>
          <w:tcPr>
            <w:tcW w:w="4535" w:type="dxa"/>
            <w:vAlign w:val="center"/>
          </w:tcPr>
          <w:p w14:paraId="3624186A">
            <w:pPr>
              <w:pStyle w:val="12"/>
            </w:pPr>
            <w:r>
              <w:t>教育支出</w:t>
            </w:r>
          </w:p>
        </w:tc>
        <w:tc>
          <w:tcPr>
            <w:tcW w:w="1361" w:type="dxa"/>
            <w:vAlign w:val="center"/>
          </w:tcPr>
          <w:p w14:paraId="15FC5C7E">
            <w:pPr>
              <w:pStyle w:val="11"/>
            </w:pPr>
            <w:r>
              <w:t>2005.82</w:t>
            </w:r>
          </w:p>
        </w:tc>
        <w:tc>
          <w:tcPr>
            <w:tcW w:w="1361" w:type="dxa"/>
            <w:vAlign w:val="center"/>
          </w:tcPr>
          <w:p w14:paraId="30885F15">
            <w:pPr>
              <w:pStyle w:val="11"/>
            </w:pPr>
            <w:r>
              <w:t>1534.93</w:t>
            </w:r>
          </w:p>
        </w:tc>
        <w:tc>
          <w:tcPr>
            <w:tcW w:w="1361" w:type="dxa"/>
            <w:vAlign w:val="center"/>
          </w:tcPr>
          <w:p w14:paraId="4DE1D98C">
            <w:pPr>
              <w:pStyle w:val="11"/>
            </w:pPr>
            <w:r>
              <w:t>470.89</w:t>
            </w:r>
          </w:p>
        </w:tc>
        <w:tc>
          <w:tcPr>
            <w:tcW w:w="1361" w:type="dxa"/>
            <w:vAlign w:val="center"/>
          </w:tcPr>
          <w:p w14:paraId="39CA57F4">
            <w:pPr>
              <w:pStyle w:val="11"/>
            </w:pPr>
          </w:p>
        </w:tc>
        <w:tc>
          <w:tcPr>
            <w:tcW w:w="1361" w:type="dxa"/>
            <w:vAlign w:val="center"/>
          </w:tcPr>
          <w:p w14:paraId="2A538F26">
            <w:pPr>
              <w:pStyle w:val="11"/>
            </w:pPr>
          </w:p>
        </w:tc>
        <w:tc>
          <w:tcPr>
            <w:tcW w:w="1361" w:type="dxa"/>
            <w:vAlign w:val="center"/>
          </w:tcPr>
          <w:p w14:paraId="53E99D40">
            <w:pPr>
              <w:pStyle w:val="11"/>
            </w:pPr>
          </w:p>
        </w:tc>
      </w:tr>
      <w:tr w14:paraId="108C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99596">
            <w:pPr>
              <w:pStyle w:val="13"/>
            </w:pPr>
            <w:r>
              <w:t>3</w:t>
            </w:r>
          </w:p>
        </w:tc>
        <w:tc>
          <w:tcPr>
            <w:tcW w:w="992" w:type="dxa"/>
            <w:vAlign w:val="center"/>
          </w:tcPr>
          <w:p w14:paraId="2522C523">
            <w:pPr>
              <w:pStyle w:val="12"/>
            </w:pPr>
            <w:r>
              <w:t>20502</w:t>
            </w:r>
          </w:p>
        </w:tc>
        <w:tc>
          <w:tcPr>
            <w:tcW w:w="4535" w:type="dxa"/>
            <w:vAlign w:val="center"/>
          </w:tcPr>
          <w:p w14:paraId="2D99451B">
            <w:pPr>
              <w:pStyle w:val="12"/>
            </w:pPr>
            <w:r>
              <w:t>普通教育</w:t>
            </w:r>
          </w:p>
        </w:tc>
        <w:tc>
          <w:tcPr>
            <w:tcW w:w="1361" w:type="dxa"/>
            <w:vAlign w:val="center"/>
          </w:tcPr>
          <w:p w14:paraId="6FBEA4EF">
            <w:pPr>
              <w:pStyle w:val="11"/>
            </w:pPr>
            <w:r>
              <w:t>2005.82</w:t>
            </w:r>
          </w:p>
        </w:tc>
        <w:tc>
          <w:tcPr>
            <w:tcW w:w="1361" w:type="dxa"/>
            <w:vAlign w:val="center"/>
          </w:tcPr>
          <w:p w14:paraId="62A6A53D">
            <w:pPr>
              <w:pStyle w:val="11"/>
            </w:pPr>
            <w:r>
              <w:t>1534.93</w:t>
            </w:r>
          </w:p>
        </w:tc>
        <w:tc>
          <w:tcPr>
            <w:tcW w:w="1361" w:type="dxa"/>
            <w:vAlign w:val="center"/>
          </w:tcPr>
          <w:p w14:paraId="1D3DFBEA">
            <w:pPr>
              <w:pStyle w:val="11"/>
            </w:pPr>
            <w:r>
              <w:t>470.89</w:t>
            </w:r>
          </w:p>
        </w:tc>
        <w:tc>
          <w:tcPr>
            <w:tcW w:w="1361" w:type="dxa"/>
            <w:vAlign w:val="center"/>
          </w:tcPr>
          <w:p w14:paraId="44A69307">
            <w:pPr>
              <w:pStyle w:val="11"/>
            </w:pPr>
          </w:p>
        </w:tc>
        <w:tc>
          <w:tcPr>
            <w:tcW w:w="1361" w:type="dxa"/>
            <w:vAlign w:val="center"/>
          </w:tcPr>
          <w:p w14:paraId="6D52B92B">
            <w:pPr>
              <w:pStyle w:val="11"/>
            </w:pPr>
          </w:p>
        </w:tc>
        <w:tc>
          <w:tcPr>
            <w:tcW w:w="1361" w:type="dxa"/>
            <w:vAlign w:val="center"/>
          </w:tcPr>
          <w:p w14:paraId="44F7886F">
            <w:pPr>
              <w:pStyle w:val="11"/>
            </w:pPr>
          </w:p>
        </w:tc>
      </w:tr>
      <w:tr w14:paraId="42ED0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ECF96">
            <w:pPr>
              <w:pStyle w:val="13"/>
            </w:pPr>
            <w:r>
              <w:t>4</w:t>
            </w:r>
          </w:p>
        </w:tc>
        <w:tc>
          <w:tcPr>
            <w:tcW w:w="992" w:type="dxa"/>
            <w:vAlign w:val="center"/>
          </w:tcPr>
          <w:p w14:paraId="16780A64">
            <w:pPr>
              <w:pStyle w:val="12"/>
            </w:pPr>
            <w:r>
              <w:t>2050201</w:t>
            </w:r>
          </w:p>
        </w:tc>
        <w:tc>
          <w:tcPr>
            <w:tcW w:w="4535" w:type="dxa"/>
            <w:vAlign w:val="center"/>
          </w:tcPr>
          <w:p w14:paraId="328EB907">
            <w:pPr>
              <w:pStyle w:val="12"/>
            </w:pPr>
            <w:r>
              <w:t>学前教育</w:t>
            </w:r>
          </w:p>
        </w:tc>
        <w:tc>
          <w:tcPr>
            <w:tcW w:w="1361" w:type="dxa"/>
            <w:vAlign w:val="center"/>
          </w:tcPr>
          <w:p w14:paraId="42CB335D">
            <w:pPr>
              <w:pStyle w:val="11"/>
            </w:pPr>
            <w:r>
              <w:t>164.03</w:t>
            </w:r>
          </w:p>
        </w:tc>
        <w:tc>
          <w:tcPr>
            <w:tcW w:w="1361" w:type="dxa"/>
            <w:vAlign w:val="center"/>
          </w:tcPr>
          <w:p w14:paraId="0AD3CD46">
            <w:pPr>
              <w:pStyle w:val="11"/>
            </w:pPr>
          </w:p>
        </w:tc>
        <w:tc>
          <w:tcPr>
            <w:tcW w:w="1361" w:type="dxa"/>
            <w:vAlign w:val="center"/>
          </w:tcPr>
          <w:p w14:paraId="6C590A24">
            <w:pPr>
              <w:pStyle w:val="11"/>
            </w:pPr>
            <w:r>
              <w:t>164.03</w:t>
            </w:r>
          </w:p>
        </w:tc>
        <w:tc>
          <w:tcPr>
            <w:tcW w:w="1361" w:type="dxa"/>
            <w:vAlign w:val="center"/>
          </w:tcPr>
          <w:p w14:paraId="1A5D3964">
            <w:pPr>
              <w:pStyle w:val="11"/>
            </w:pPr>
          </w:p>
        </w:tc>
        <w:tc>
          <w:tcPr>
            <w:tcW w:w="1361" w:type="dxa"/>
            <w:vAlign w:val="center"/>
          </w:tcPr>
          <w:p w14:paraId="6AAF5908">
            <w:pPr>
              <w:pStyle w:val="11"/>
            </w:pPr>
          </w:p>
        </w:tc>
        <w:tc>
          <w:tcPr>
            <w:tcW w:w="1361" w:type="dxa"/>
            <w:vAlign w:val="center"/>
          </w:tcPr>
          <w:p w14:paraId="72CBC0CF">
            <w:pPr>
              <w:pStyle w:val="11"/>
            </w:pPr>
          </w:p>
        </w:tc>
      </w:tr>
      <w:tr w14:paraId="45A5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E761A">
            <w:pPr>
              <w:pStyle w:val="13"/>
            </w:pPr>
            <w:r>
              <w:t>5</w:t>
            </w:r>
          </w:p>
        </w:tc>
        <w:tc>
          <w:tcPr>
            <w:tcW w:w="992" w:type="dxa"/>
            <w:vAlign w:val="center"/>
          </w:tcPr>
          <w:p w14:paraId="586F7FBA">
            <w:pPr>
              <w:pStyle w:val="12"/>
            </w:pPr>
            <w:r>
              <w:t>2050202</w:t>
            </w:r>
          </w:p>
        </w:tc>
        <w:tc>
          <w:tcPr>
            <w:tcW w:w="4535" w:type="dxa"/>
            <w:vAlign w:val="center"/>
          </w:tcPr>
          <w:p w14:paraId="2F7A89F5">
            <w:pPr>
              <w:pStyle w:val="12"/>
            </w:pPr>
            <w:r>
              <w:t>小学教育</w:t>
            </w:r>
          </w:p>
        </w:tc>
        <w:tc>
          <w:tcPr>
            <w:tcW w:w="1361" w:type="dxa"/>
            <w:vAlign w:val="center"/>
          </w:tcPr>
          <w:p w14:paraId="2F7A41EF">
            <w:pPr>
              <w:pStyle w:val="11"/>
            </w:pPr>
            <w:r>
              <w:t>1841.79</w:t>
            </w:r>
          </w:p>
        </w:tc>
        <w:tc>
          <w:tcPr>
            <w:tcW w:w="1361" w:type="dxa"/>
            <w:vAlign w:val="center"/>
          </w:tcPr>
          <w:p w14:paraId="12563EF1">
            <w:pPr>
              <w:pStyle w:val="11"/>
            </w:pPr>
            <w:r>
              <w:t>1534.93</w:t>
            </w:r>
          </w:p>
        </w:tc>
        <w:tc>
          <w:tcPr>
            <w:tcW w:w="1361" w:type="dxa"/>
            <w:vAlign w:val="center"/>
          </w:tcPr>
          <w:p w14:paraId="7B612B6C">
            <w:pPr>
              <w:pStyle w:val="11"/>
            </w:pPr>
            <w:r>
              <w:t>306.85</w:t>
            </w:r>
          </w:p>
        </w:tc>
        <w:tc>
          <w:tcPr>
            <w:tcW w:w="1361" w:type="dxa"/>
            <w:vAlign w:val="center"/>
          </w:tcPr>
          <w:p w14:paraId="01BA96C9">
            <w:pPr>
              <w:pStyle w:val="11"/>
            </w:pPr>
          </w:p>
        </w:tc>
        <w:tc>
          <w:tcPr>
            <w:tcW w:w="1361" w:type="dxa"/>
            <w:vAlign w:val="center"/>
          </w:tcPr>
          <w:p w14:paraId="2AE0AF3F">
            <w:pPr>
              <w:pStyle w:val="11"/>
            </w:pPr>
          </w:p>
        </w:tc>
        <w:tc>
          <w:tcPr>
            <w:tcW w:w="1361" w:type="dxa"/>
            <w:vAlign w:val="center"/>
          </w:tcPr>
          <w:p w14:paraId="1515F318">
            <w:pPr>
              <w:pStyle w:val="11"/>
            </w:pPr>
          </w:p>
        </w:tc>
      </w:tr>
    </w:tbl>
    <w:p w14:paraId="66AE72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3ABD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6CF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E3F6C0">
            <w:pPr>
              <w:pStyle w:val="9"/>
            </w:pPr>
            <w:r>
              <w:t>360018隆尧县北楼校区</w:t>
            </w:r>
          </w:p>
        </w:tc>
        <w:tc>
          <w:tcPr>
            <w:tcW w:w="3402" w:type="dxa"/>
            <w:tcBorders>
              <w:top w:val="single" w:color="FFFFFF" w:sz="6" w:space="0"/>
              <w:left w:val="single" w:color="FFFFFF" w:sz="6" w:space="0"/>
              <w:right w:val="single" w:color="FFFFFF" w:sz="6" w:space="0"/>
            </w:tcBorders>
            <w:vAlign w:val="center"/>
          </w:tcPr>
          <w:p w14:paraId="45FEE32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68850C">
            <w:pPr>
              <w:pStyle w:val="7"/>
            </w:pPr>
            <w:r>
              <w:t>单位：万元</w:t>
            </w:r>
          </w:p>
        </w:tc>
      </w:tr>
      <w:tr w14:paraId="0196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2DEC9">
            <w:pPr>
              <w:pStyle w:val="10"/>
            </w:pPr>
            <w:r>
              <w:t>序号</w:t>
            </w:r>
          </w:p>
        </w:tc>
        <w:tc>
          <w:tcPr>
            <w:tcW w:w="4876" w:type="dxa"/>
            <w:gridSpan w:val="2"/>
            <w:vAlign w:val="center"/>
          </w:tcPr>
          <w:p w14:paraId="0B3448A6">
            <w:pPr>
              <w:pStyle w:val="10"/>
            </w:pPr>
            <w:r>
              <w:t>收入</w:t>
            </w:r>
          </w:p>
        </w:tc>
        <w:tc>
          <w:tcPr>
            <w:tcW w:w="9298" w:type="dxa"/>
            <w:gridSpan w:val="5"/>
            <w:vAlign w:val="center"/>
          </w:tcPr>
          <w:p w14:paraId="1BD4B14E">
            <w:pPr>
              <w:pStyle w:val="10"/>
            </w:pPr>
            <w:r>
              <w:t>支出</w:t>
            </w:r>
          </w:p>
        </w:tc>
      </w:tr>
      <w:tr w14:paraId="727A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030BF"/>
        </w:tc>
        <w:tc>
          <w:tcPr>
            <w:tcW w:w="3402" w:type="dxa"/>
            <w:vAlign w:val="center"/>
          </w:tcPr>
          <w:p w14:paraId="4D949FCD">
            <w:pPr>
              <w:pStyle w:val="10"/>
            </w:pPr>
            <w:r>
              <w:t>项  目</w:t>
            </w:r>
          </w:p>
        </w:tc>
        <w:tc>
          <w:tcPr>
            <w:tcW w:w="1474" w:type="dxa"/>
            <w:vAlign w:val="center"/>
          </w:tcPr>
          <w:p w14:paraId="05BD5EBB">
            <w:pPr>
              <w:pStyle w:val="10"/>
            </w:pPr>
            <w:r>
              <w:t>金额</w:t>
            </w:r>
          </w:p>
        </w:tc>
        <w:tc>
          <w:tcPr>
            <w:tcW w:w="3402" w:type="dxa"/>
            <w:vAlign w:val="center"/>
          </w:tcPr>
          <w:p w14:paraId="54D8EB79">
            <w:pPr>
              <w:pStyle w:val="10"/>
            </w:pPr>
            <w:r>
              <w:t>项  目</w:t>
            </w:r>
          </w:p>
        </w:tc>
        <w:tc>
          <w:tcPr>
            <w:tcW w:w="1474" w:type="dxa"/>
            <w:vAlign w:val="center"/>
          </w:tcPr>
          <w:p w14:paraId="63EB3857">
            <w:pPr>
              <w:pStyle w:val="10"/>
            </w:pPr>
            <w:r>
              <w:t>合计</w:t>
            </w:r>
          </w:p>
        </w:tc>
        <w:tc>
          <w:tcPr>
            <w:tcW w:w="1474" w:type="dxa"/>
            <w:vAlign w:val="center"/>
          </w:tcPr>
          <w:p w14:paraId="17CAEC93">
            <w:pPr>
              <w:pStyle w:val="10"/>
            </w:pPr>
            <w:r>
              <w:t>一般公共预算财政拨款</w:t>
            </w:r>
          </w:p>
        </w:tc>
        <w:tc>
          <w:tcPr>
            <w:tcW w:w="1474" w:type="dxa"/>
            <w:vAlign w:val="center"/>
          </w:tcPr>
          <w:p w14:paraId="6F01E87A">
            <w:pPr>
              <w:pStyle w:val="10"/>
            </w:pPr>
            <w:r>
              <w:t>政府性基金预算财政    拨款</w:t>
            </w:r>
          </w:p>
        </w:tc>
        <w:tc>
          <w:tcPr>
            <w:tcW w:w="1474" w:type="dxa"/>
            <w:vAlign w:val="center"/>
          </w:tcPr>
          <w:p w14:paraId="69865D89">
            <w:pPr>
              <w:pStyle w:val="10"/>
            </w:pPr>
            <w:r>
              <w:t>国有资本经营预算财政拨款</w:t>
            </w:r>
          </w:p>
        </w:tc>
      </w:tr>
      <w:tr w14:paraId="6989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89E87">
            <w:pPr>
              <w:pStyle w:val="10"/>
            </w:pPr>
            <w:r>
              <w:t>栏次</w:t>
            </w:r>
          </w:p>
        </w:tc>
        <w:tc>
          <w:tcPr>
            <w:tcW w:w="3402" w:type="dxa"/>
            <w:vAlign w:val="center"/>
          </w:tcPr>
          <w:p w14:paraId="167F3B15">
            <w:pPr>
              <w:pStyle w:val="10"/>
            </w:pPr>
            <w:r>
              <w:t>1</w:t>
            </w:r>
          </w:p>
        </w:tc>
        <w:tc>
          <w:tcPr>
            <w:tcW w:w="1474" w:type="dxa"/>
            <w:vAlign w:val="center"/>
          </w:tcPr>
          <w:p w14:paraId="5C602B84">
            <w:pPr>
              <w:pStyle w:val="10"/>
            </w:pPr>
            <w:r>
              <w:t>2</w:t>
            </w:r>
          </w:p>
        </w:tc>
        <w:tc>
          <w:tcPr>
            <w:tcW w:w="3402" w:type="dxa"/>
            <w:vAlign w:val="center"/>
          </w:tcPr>
          <w:p w14:paraId="4028D769">
            <w:pPr>
              <w:pStyle w:val="10"/>
            </w:pPr>
            <w:r>
              <w:t>3</w:t>
            </w:r>
          </w:p>
        </w:tc>
        <w:tc>
          <w:tcPr>
            <w:tcW w:w="1474" w:type="dxa"/>
            <w:vAlign w:val="center"/>
          </w:tcPr>
          <w:p w14:paraId="4692C031">
            <w:pPr>
              <w:pStyle w:val="10"/>
            </w:pPr>
            <w:r>
              <w:t>4</w:t>
            </w:r>
          </w:p>
        </w:tc>
        <w:tc>
          <w:tcPr>
            <w:tcW w:w="1474" w:type="dxa"/>
            <w:vAlign w:val="center"/>
          </w:tcPr>
          <w:p w14:paraId="2CFF9068">
            <w:pPr>
              <w:pStyle w:val="10"/>
            </w:pPr>
            <w:r>
              <w:t>5</w:t>
            </w:r>
          </w:p>
        </w:tc>
        <w:tc>
          <w:tcPr>
            <w:tcW w:w="1474" w:type="dxa"/>
            <w:vAlign w:val="center"/>
          </w:tcPr>
          <w:p w14:paraId="100B963E">
            <w:pPr>
              <w:pStyle w:val="10"/>
            </w:pPr>
            <w:r>
              <w:t>6</w:t>
            </w:r>
          </w:p>
        </w:tc>
        <w:tc>
          <w:tcPr>
            <w:tcW w:w="1474" w:type="dxa"/>
            <w:vAlign w:val="center"/>
          </w:tcPr>
          <w:p w14:paraId="578C7DBC">
            <w:pPr>
              <w:pStyle w:val="10"/>
            </w:pPr>
            <w:r>
              <w:t>7</w:t>
            </w:r>
          </w:p>
        </w:tc>
      </w:tr>
      <w:tr w14:paraId="4FF3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B6C7A">
            <w:pPr>
              <w:pStyle w:val="13"/>
            </w:pPr>
            <w:r>
              <w:t>1</w:t>
            </w:r>
          </w:p>
        </w:tc>
        <w:tc>
          <w:tcPr>
            <w:tcW w:w="3402" w:type="dxa"/>
            <w:vAlign w:val="center"/>
          </w:tcPr>
          <w:p w14:paraId="5CF6235A">
            <w:pPr>
              <w:pStyle w:val="12"/>
            </w:pPr>
            <w:r>
              <w:t>一、一般公共预算拨款</w:t>
            </w:r>
          </w:p>
        </w:tc>
        <w:tc>
          <w:tcPr>
            <w:tcW w:w="1474" w:type="dxa"/>
            <w:vAlign w:val="center"/>
          </w:tcPr>
          <w:p w14:paraId="317A5107">
            <w:pPr>
              <w:pStyle w:val="11"/>
            </w:pPr>
            <w:r>
              <w:t>2005.82</w:t>
            </w:r>
          </w:p>
        </w:tc>
        <w:tc>
          <w:tcPr>
            <w:tcW w:w="3402" w:type="dxa"/>
            <w:vAlign w:val="center"/>
          </w:tcPr>
          <w:p w14:paraId="0CDB4584">
            <w:pPr>
              <w:pStyle w:val="12"/>
            </w:pPr>
            <w:r>
              <w:t>一、一般公共服务支出</w:t>
            </w:r>
          </w:p>
        </w:tc>
        <w:tc>
          <w:tcPr>
            <w:tcW w:w="1474" w:type="dxa"/>
            <w:vAlign w:val="center"/>
          </w:tcPr>
          <w:p w14:paraId="7B6F571C">
            <w:pPr>
              <w:pStyle w:val="11"/>
            </w:pPr>
          </w:p>
        </w:tc>
        <w:tc>
          <w:tcPr>
            <w:tcW w:w="1474" w:type="dxa"/>
            <w:vAlign w:val="center"/>
          </w:tcPr>
          <w:p w14:paraId="1B866AC1">
            <w:pPr>
              <w:pStyle w:val="11"/>
            </w:pPr>
          </w:p>
        </w:tc>
        <w:tc>
          <w:tcPr>
            <w:tcW w:w="1474" w:type="dxa"/>
            <w:vAlign w:val="center"/>
          </w:tcPr>
          <w:p w14:paraId="3A53FA5C">
            <w:pPr>
              <w:pStyle w:val="11"/>
            </w:pPr>
          </w:p>
        </w:tc>
        <w:tc>
          <w:tcPr>
            <w:tcW w:w="1474" w:type="dxa"/>
            <w:vAlign w:val="center"/>
          </w:tcPr>
          <w:p w14:paraId="08AFF05A">
            <w:pPr>
              <w:pStyle w:val="11"/>
            </w:pPr>
          </w:p>
        </w:tc>
      </w:tr>
      <w:tr w14:paraId="6451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19F6C">
            <w:pPr>
              <w:pStyle w:val="13"/>
            </w:pPr>
            <w:r>
              <w:t>2</w:t>
            </w:r>
          </w:p>
        </w:tc>
        <w:tc>
          <w:tcPr>
            <w:tcW w:w="3402" w:type="dxa"/>
            <w:vAlign w:val="center"/>
          </w:tcPr>
          <w:p w14:paraId="2EB1A997">
            <w:pPr>
              <w:pStyle w:val="12"/>
            </w:pPr>
            <w:r>
              <w:t>二、政府性基金预算拨款</w:t>
            </w:r>
          </w:p>
        </w:tc>
        <w:tc>
          <w:tcPr>
            <w:tcW w:w="1474" w:type="dxa"/>
            <w:vAlign w:val="center"/>
          </w:tcPr>
          <w:p w14:paraId="5DEA9AEB">
            <w:pPr>
              <w:pStyle w:val="11"/>
            </w:pPr>
          </w:p>
        </w:tc>
        <w:tc>
          <w:tcPr>
            <w:tcW w:w="3402" w:type="dxa"/>
            <w:vAlign w:val="center"/>
          </w:tcPr>
          <w:p w14:paraId="0BB18ED7">
            <w:pPr>
              <w:pStyle w:val="12"/>
            </w:pPr>
            <w:r>
              <w:t>二、外交支出</w:t>
            </w:r>
          </w:p>
        </w:tc>
        <w:tc>
          <w:tcPr>
            <w:tcW w:w="1474" w:type="dxa"/>
            <w:vAlign w:val="center"/>
          </w:tcPr>
          <w:p w14:paraId="6746691F">
            <w:pPr>
              <w:pStyle w:val="11"/>
            </w:pPr>
          </w:p>
        </w:tc>
        <w:tc>
          <w:tcPr>
            <w:tcW w:w="1474" w:type="dxa"/>
            <w:vAlign w:val="center"/>
          </w:tcPr>
          <w:p w14:paraId="4AECF644">
            <w:pPr>
              <w:pStyle w:val="11"/>
            </w:pPr>
          </w:p>
        </w:tc>
        <w:tc>
          <w:tcPr>
            <w:tcW w:w="1474" w:type="dxa"/>
            <w:vAlign w:val="center"/>
          </w:tcPr>
          <w:p w14:paraId="559E9483">
            <w:pPr>
              <w:pStyle w:val="11"/>
            </w:pPr>
          </w:p>
        </w:tc>
        <w:tc>
          <w:tcPr>
            <w:tcW w:w="1474" w:type="dxa"/>
            <w:vAlign w:val="center"/>
          </w:tcPr>
          <w:p w14:paraId="631287F9">
            <w:pPr>
              <w:pStyle w:val="11"/>
            </w:pPr>
          </w:p>
        </w:tc>
      </w:tr>
      <w:tr w14:paraId="6E25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ABDA6">
            <w:pPr>
              <w:pStyle w:val="13"/>
            </w:pPr>
            <w:r>
              <w:t>3</w:t>
            </w:r>
          </w:p>
        </w:tc>
        <w:tc>
          <w:tcPr>
            <w:tcW w:w="3402" w:type="dxa"/>
            <w:vAlign w:val="center"/>
          </w:tcPr>
          <w:p w14:paraId="5641D8D2">
            <w:pPr>
              <w:pStyle w:val="12"/>
            </w:pPr>
            <w:r>
              <w:t>三、国有资本经营预算拨款</w:t>
            </w:r>
          </w:p>
        </w:tc>
        <w:tc>
          <w:tcPr>
            <w:tcW w:w="1474" w:type="dxa"/>
            <w:vAlign w:val="center"/>
          </w:tcPr>
          <w:p w14:paraId="2DDDB501">
            <w:pPr>
              <w:pStyle w:val="11"/>
            </w:pPr>
          </w:p>
        </w:tc>
        <w:tc>
          <w:tcPr>
            <w:tcW w:w="3402" w:type="dxa"/>
            <w:vAlign w:val="center"/>
          </w:tcPr>
          <w:p w14:paraId="60D2C684">
            <w:pPr>
              <w:pStyle w:val="12"/>
            </w:pPr>
            <w:r>
              <w:t>三、国防支出</w:t>
            </w:r>
          </w:p>
        </w:tc>
        <w:tc>
          <w:tcPr>
            <w:tcW w:w="1474" w:type="dxa"/>
            <w:vAlign w:val="center"/>
          </w:tcPr>
          <w:p w14:paraId="507BF1AE">
            <w:pPr>
              <w:pStyle w:val="11"/>
            </w:pPr>
          </w:p>
        </w:tc>
        <w:tc>
          <w:tcPr>
            <w:tcW w:w="1474" w:type="dxa"/>
            <w:vAlign w:val="center"/>
          </w:tcPr>
          <w:p w14:paraId="07C7E89B">
            <w:pPr>
              <w:pStyle w:val="11"/>
            </w:pPr>
          </w:p>
        </w:tc>
        <w:tc>
          <w:tcPr>
            <w:tcW w:w="1474" w:type="dxa"/>
            <w:vAlign w:val="center"/>
          </w:tcPr>
          <w:p w14:paraId="13D13D46">
            <w:pPr>
              <w:pStyle w:val="11"/>
            </w:pPr>
          </w:p>
        </w:tc>
        <w:tc>
          <w:tcPr>
            <w:tcW w:w="1474" w:type="dxa"/>
            <w:vAlign w:val="center"/>
          </w:tcPr>
          <w:p w14:paraId="5DE9D7A0">
            <w:pPr>
              <w:pStyle w:val="11"/>
            </w:pPr>
          </w:p>
        </w:tc>
      </w:tr>
      <w:tr w14:paraId="6237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8E86A">
            <w:pPr>
              <w:pStyle w:val="13"/>
            </w:pPr>
            <w:r>
              <w:t>4</w:t>
            </w:r>
          </w:p>
        </w:tc>
        <w:tc>
          <w:tcPr>
            <w:tcW w:w="3402" w:type="dxa"/>
            <w:vAlign w:val="center"/>
          </w:tcPr>
          <w:p w14:paraId="6EEC84A1">
            <w:pPr>
              <w:pStyle w:val="12"/>
            </w:pPr>
          </w:p>
        </w:tc>
        <w:tc>
          <w:tcPr>
            <w:tcW w:w="1474" w:type="dxa"/>
            <w:vAlign w:val="center"/>
          </w:tcPr>
          <w:p w14:paraId="5FA440BB">
            <w:pPr>
              <w:pStyle w:val="11"/>
            </w:pPr>
          </w:p>
        </w:tc>
        <w:tc>
          <w:tcPr>
            <w:tcW w:w="3402" w:type="dxa"/>
            <w:vAlign w:val="center"/>
          </w:tcPr>
          <w:p w14:paraId="117E277B">
            <w:pPr>
              <w:pStyle w:val="12"/>
            </w:pPr>
            <w:r>
              <w:t>四、公共安全支出</w:t>
            </w:r>
          </w:p>
        </w:tc>
        <w:tc>
          <w:tcPr>
            <w:tcW w:w="1474" w:type="dxa"/>
            <w:vAlign w:val="center"/>
          </w:tcPr>
          <w:p w14:paraId="0C0A000F">
            <w:pPr>
              <w:pStyle w:val="11"/>
            </w:pPr>
          </w:p>
        </w:tc>
        <w:tc>
          <w:tcPr>
            <w:tcW w:w="1474" w:type="dxa"/>
            <w:vAlign w:val="center"/>
          </w:tcPr>
          <w:p w14:paraId="05932FA3">
            <w:pPr>
              <w:pStyle w:val="11"/>
            </w:pPr>
          </w:p>
        </w:tc>
        <w:tc>
          <w:tcPr>
            <w:tcW w:w="1474" w:type="dxa"/>
            <w:vAlign w:val="center"/>
          </w:tcPr>
          <w:p w14:paraId="250B77F4">
            <w:pPr>
              <w:pStyle w:val="11"/>
            </w:pPr>
          </w:p>
        </w:tc>
        <w:tc>
          <w:tcPr>
            <w:tcW w:w="1474" w:type="dxa"/>
            <w:vAlign w:val="center"/>
          </w:tcPr>
          <w:p w14:paraId="291FE089">
            <w:pPr>
              <w:pStyle w:val="11"/>
            </w:pPr>
          </w:p>
        </w:tc>
      </w:tr>
      <w:tr w14:paraId="1E58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3597A">
            <w:pPr>
              <w:pStyle w:val="13"/>
            </w:pPr>
            <w:r>
              <w:t>5</w:t>
            </w:r>
          </w:p>
        </w:tc>
        <w:tc>
          <w:tcPr>
            <w:tcW w:w="3402" w:type="dxa"/>
            <w:vAlign w:val="center"/>
          </w:tcPr>
          <w:p w14:paraId="1A84C61B">
            <w:pPr>
              <w:pStyle w:val="12"/>
            </w:pPr>
          </w:p>
        </w:tc>
        <w:tc>
          <w:tcPr>
            <w:tcW w:w="1474" w:type="dxa"/>
            <w:vAlign w:val="center"/>
          </w:tcPr>
          <w:p w14:paraId="4018D2F7">
            <w:pPr>
              <w:pStyle w:val="11"/>
            </w:pPr>
          </w:p>
        </w:tc>
        <w:tc>
          <w:tcPr>
            <w:tcW w:w="3402" w:type="dxa"/>
            <w:vAlign w:val="center"/>
          </w:tcPr>
          <w:p w14:paraId="42E25E5F">
            <w:pPr>
              <w:pStyle w:val="12"/>
            </w:pPr>
            <w:r>
              <w:t>五、教育支出</w:t>
            </w:r>
          </w:p>
        </w:tc>
        <w:tc>
          <w:tcPr>
            <w:tcW w:w="1474" w:type="dxa"/>
            <w:vAlign w:val="center"/>
          </w:tcPr>
          <w:p w14:paraId="439865B1">
            <w:pPr>
              <w:pStyle w:val="11"/>
            </w:pPr>
            <w:r>
              <w:t>2005.82</w:t>
            </w:r>
          </w:p>
        </w:tc>
        <w:tc>
          <w:tcPr>
            <w:tcW w:w="1474" w:type="dxa"/>
            <w:vAlign w:val="center"/>
          </w:tcPr>
          <w:p w14:paraId="2F45EF39">
            <w:pPr>
              <w:pStyle w:val="11"/>
            </w:pPr>
            <w:r>
              <w:t>2005.82</w:t>
            </w:r>
          </w:p>
        </w:tc>
        <w:tc>
          <w:tcPr>
            <w:tcW w:w="1474" w:type="dxa"/>
            <w:vAlign w:val="center"/>
          </w:tcPr>
          <w:p w14:paraId="3B058D4F">
            <w:pPr>
              <w:pStyle w:val="11"/>
            </w:pPr>
          </w:p>
        </w:tc>
        <w:tc>
          <w:tcPr>
            <w:tcW w:w="1474" w:type="dxa"/>
            <w:vAlign w:val="center"/>
          </w:tcPr>
          <w:p w14:paraId="4D0829D1">
            <w:pPr>
              <w:pStyle w:val="11"/>
            </w:pPr>
          </w:p>
        </w:tc>
      </w:tr>
      <w:tr w14:paraId="11FE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E70FC">
            <w:pPr>
              <w:pStyle w:val="13"/>
            </w:pPr>
            <w:r>
              <w:t>6</w:t>
            </w:r>
          </w:p>
        </w:tc>
        <w:tc>
          <w:tcPr>
            <w:tcW w:w="3402" w:type="dxa"/>
            <w:vAlign w:val="center"/>
          </w:tcPr>
          <w:p w14:paraId="4E485173">
            <w:pPr>
              <w:pStyle w:val="12"/>
            </w:pPr>
          </w:p>
        </w:tc>
        <w:tc>
          <w:tcPr>
            <w:tcW w:w="1474" w:type="dxa"/>
            <w:vAlign w:val="center"/>
          </w:tcPr>
          <w:p w14:paraId="79806F6D">
            <w:pPr>
              <w:pStyle w:val="11"/>
            </w:pPr>
          </w:p>
        </w:tc>
        <w:tc>
          <w:tcPr>
            <w:tcW w:w="3402" w:type="dxa"/>
            <w:vAlign w:val="center"/>
          </w:tcPr>
          <w:p w14:paraId="2C9CC836">
            <w:pPr>
              <w:pStyle w:val="12"/>
            </w:pPr>
            <w:r>
              <w:t>六、科学技术支出</w:t>
            </w:r>
          </w:p>
        </w:tc>
        <w:tc>
          <w:tcPr>
            <w:tcW w:w="1474" w:type="dxa"/>
            <w:vAlign w:val="center"/>
          </w:tcPr>
          <w:p w14:paraId="5E6DBE48">
            <w:pPr>
              <w:pStyle w:val="11"/>
            </w:pPr>
          </w:p>
        </w:tc>
        <w:tc>
          <w:tcPr>
            <w:tcW w:w="1474" w:type="dxa"/>
            <w:vAlign w:val="center"/>
          </w:tcPr>
          <w:p w14:paraId="731240CB">
            <w:pPr>
              <w:pStyle w:val="11"/>
            </w:pPr>
          </w:p>
        </w:tc>
        <w:tc>
          <w:tcPr>
            <w:tcW w:w="1474" w:type="dxa"/>
            <w:vAlign w:val="center"/>
          </w:tcPr>
          <w:p w14:paraId="5420AFEE">
            <w:pPr>
              <w:pStyle w:val="11"/>
            </w:pPr>
          </w:p>
        </w:tc>
        <w:tc>
          <w:tcPr>
            <w:tcW w:w="1474" w:type="dxa"/>
            <w:vAlign w:val="center"/>
          </w:tcPr>
          <w:p w14:paraId="5A4D75E1">
            <w:pPr>
              <w:pStyle w:val="11"/>
            </w:pPr>
          </w:p>
        </w:tc>
      </w:tr>
      <w:tr w14:paraId="6D9F56CB">
        <w:tblPrEx>
          <w:tblCellMar>
            <w:top w:w="0" w:type="dxa"/>
            <w:left w:w="108" w:type="dxa"/>
            <w:bottom w:w="0" w:type="dxa"/>
            <w:right w:w="108" w:type="dxa"/>
          </w:tblCellMar>
        </w:tblPrEx>
        <w:trPr>
          <w:trHeight w:val="369" w:hRule="atLeast"/>
          <w:jc w:val="center"/>
        </w:trPr>
        <w:tc>
          <w:tcPr>
            <w:tcW w:w="850" w:type="dxa"/>
            <w:vAlign w:val="center"/>
          </w:tcPr>
          <w:p w14:paraId="2644A321">
            <w:pPr>
              <w:pStyle w:val="13"/>
            </w:pPr>
            <w:r>
              <w:t>7</w:t>
            </w:r>
          </w:p>
        </w:tc>
        <w:tc>
          <w:tcPr>
            <w:tcW w:w="3402" w:type="dxa"/>
            <w:vAlign w:val="center"/>
          </w:tcPr>
          <w:p w14:paraId="69978358">
            <w:pPr>
              <w:pStyle w:val="12"/>
            </w:pPr>
          </w:p>
        </w:tc>
        <w:tc>
          <w:tcPr>
            <w:tcW w:w="1474" w:type="dxa"/>
            <w:vAlign w:val="center"/>
          </w:tcPr>
          <w:p w14:paraId="46C04553">
            <w:pPr>
              <w:pStyle w:val="11"/>
            </w:pPr>
          </w:p>
        </w:tc>
        <w:tc>
          <w:tcPr>
            <w:tcW w:w="3402" w:type="dxa"/>
            <w:vAlign w:val="center"/>
          </w:tcPr>
          <w:p w14:paraId="4DE15557">
            <w:pPr>
              <w:pStyle w:val="12"/>
            </w:pPr>
            <w:r>
              <w:t>七、文化旅游体育与传媒支出</w:t>
            </w:r>
          </w:p>
        </w:tc>
        <w:tc>
          <w:tcPr>
            <w:tcW w:w="1474" w:type="dxa"/>
            <w:vAlign w:val="center"/>
          </w:tcPr>
          <w:p w14:paraId="1627122B">
            <w:pPr>
              <w:pStyle w:val="11"/>
            </w:pPr>
          </w:p>
        </w:tc>
        <w:tc>
          <w:tcPr>
            <w:tcW w:w="1474" w:type="dxa"/>
            <w:vAlign w:val="center"/>
          </w:tcPr>
          <w:p w14:paraId="776421FA">
            <w:pPr>
              <w:pStyle w:val="11"/>
            </w:pPr>
          </w:p>
        </w:tc>
        <w:tc>
          <w:tcPr>
            <w:tcW w:w="1474" w:type="dxa"/>
            <w:vAlign w:val="center"/>
          </w:tcPr>
          <w:p w14:paraId="54EB79F7">
            <w:pPr>
              <w:pStyle w:val="11"/>
            </w:pPr>
          </w:p>
        </w:tc>
        <w:tc>
          <w:tcPr>
            <w:tcW w:w="1474" w:type="dxa"/>
            <w:vAlign w:val="center"/>
          </w:tcPr>
          <w:p w14:paraId="2B07F6B3">
            <w:pPr>
              <w:pStyle w:val="11"/>
            </w:pPr>
          </w:p>
        </w:tc>
      </w:tr>
      <w:tr w14:paraId="6A26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007C6">
            <w:pPr>
              <w:pStyle w:val="13"/>
            </w:pPr>
            <w:r>
              <w:t>8</w:t>
            </w:r>
          </w:p>
        </w:tc>
        <w:tc>
          <w:tcPr>
            <w:tcW w:w="3402" w:type="dxa"/>
            <w:vAlign w:val="center"/>
          </w:tcPr>
          <w:p w14:paraId="3866F123">
            <w:pPr>
              <w:pStyle w:val="12"/>
            </w:pPr>
          </w:p>
        </w:tc>
        <w:tc>
          <w:tcPr>
            <w:tcW w:w="1474" w:type="dxa"/>
            <w:vAlign w:val="center"/>
          </w:tcPr>
          <w:p w14:paraId="12843296">
            <w:pPr>
              <w:pStyle w:val="11"/>
            </w:pPr>
          </w:p>
        </w:tc>
        <w:tc>
          <w:tcPr>
            <w:tcW w:w="3402" w:type="dxa"/>
            <w:vAlign w:val="center"/>
          </w:tcPr>
          <w:p w14:paraId="501681E2">
            <w:pPr>
              <w:pStyle w:val="12"/>
            </w:pPr>
            <w:r>
              <w:t>八、社会保障和就业支出</w:t>
            </w:r>
          </w:p>
        </w:tc>
        <w:tc>
          <w:tcPr>
            <w:tcW w:w="1474" w:type="dxa"/>
            <w:vAlign w:val="center"/>
          </w:tcPr>
          <w:p w14:paraId="21C03AE5">
            <w:pPr>
              <w:pStyle w:val="11"/>
            </w:pPr>
          </w:p>
        </w:tc>
        <w:tc>
          <w:tcPr>
            <w:tcW w:w="1474" w:type="dxa"/>
            <w:vAlign w:val="center"/>
          </w:tcPr>
          <w:p w14:paraId="2265CC98">
            <w:pPr>
              <w:pStyle w:val="11"/>
            </w:pPr>
          </w:p>
        </w:tc>
        <w:tc>
          <w:tcPr>
            <w:tcW w:w="1474" w:type="dxa"/>
            <w:vAlign w:val="center"/>
          </w:tcPr>
          <w:p w14:paraId="3DFB6905">
            <w:pPr>
              <w:pStyle w:val="11"/>
            </w:pPr>
          </w:p>
        </w:tc>
        <w:tc>
          <w:tcPr>
            <w:tcW w:w="1474" w:type="dxa"/>
            <w:vAlign w:val="center"/>
          </w:tcPr>
          <w:p w14:paraId="6A5731BE">
            <w:pPr>
              <w:pStyle w:val="11"/>
            </w:pPr>
          </w:p>
        </w:tc>
      </w:tr>
      <w:tr w14:paraId="2943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09326">
            <w:pPr>
              <w:pStyle w:val="13"/>
            </w:pPr>
            <w:r>
              <w:t>9</w:t>
            </w:r>
          </w:p>
        </w:tc>
        <w:tc>
          <w:tcPr>
            <w:tcW w:w="3402" w:type="dxa"/>
            <w:vAlign w:val="center"/>
          </w:tcPr>
          <w:p w14:paraId="269542C2">
            <w:pPr>
              <w:pStyle w:val="12"/>
            </w:pPr>
          </w:p>
        </w:tc>
        <w:tc>
          <w:tcPr>
            <w:tcW w:w="1474" w:type="dxa"/>
            <w:vAlign w:val="center"/>
          </w:tcPr>
          <w:p w14:paraId="02EDA050">
            <w:pPr>
              <w:pStyle w:val="11"/>
            </w:pPr>
          </w:p>
        </w:tc>
        <w:tc>
          <w:tcPr>
            <w:tcW w:w="3402" w:type="dxa"/>
            <w:vAlign w:val="center"/>
          </w:tcPr>
          <w:p w14:paraId="78F107EE">
            <w:pPr>
              <w:pStyle w:val="12"/>
            </w:pPr>
            <w:r>
              <w:t>九、社会保险基金支出</w:t>
            </w:r>
          </w:p>
        </w:tc>
        <w:tc>
          <w:tcPr>
            <w:tcW w:w="1474" w:type="dxa"/>
            <w:vAlign w:val="center"/>
          </w:tcPr>
          <w:p w14:paraId="2F2402BD">
            <w:pPr>
              <w:pStyle w:val="11"/>
            </w:pPr>
          </w:p>
        </w:tc>
        <w:tc>
          <w:tcPr>
            <w:tcW w:w="1474" w:type="dxa"/>
            <w:vAlign w:val="center"/>
          </w:tcPr>
          <w:p w14:paraId="43114953">
            <w:pPr>
              <w:pStyle w:val="11"/>
            </w:pPr>
          </w:p>
        </w:tc>
        <w:tc>
          <w:tcPr>
            <w:tcW w:w="1474" w:type="dxa"/>
            <w:vAlign w:val="center"/>
          </w:tcPr>
          <w:p w14:paraId="219F958B">
            <w:pPr>
              <w:pStyle w:val="11"/>
            </w:pPr>
          </w:p>
        </w:tc>
        <w:tc>
          <w:tcPr>
            <w:tcW w:w="1474" w:type="dxa"/>
            <w:vAlign w:val="center"/>
          </w:tcPr>
          <w:p w14:paraId="0E6F9688">
            <w:pPr>
              <w:pStyle w:val="11"/>
            </w:pPr>
          </w:p>
        </w:tc>
      </w:tr>
      <w:tr w14:paraId="08F6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B657E">
            <w:pPr>
              <w:pStyle w:val="13"/>
            </w:pPr>
            <w:r>
              <w:t>10</w:t>
            </w:r>
          </w:p>
        </w:tc>
        <w:tc>
          <w:tcPr>
            <w:tcW w:w="3402" w:type="dxa"/>
            <w:vAlign w:val="center"/>
          </w:tcPr>
          <w:p w14:paraId="03D5CD22">
            <w:pPr>
              <w:pStyle w:val="12"/>
            </w:pPr>
          </w:p>
        </w:tc>
        <w:tc>
          <w:tcPr>
            <w:tcW w:w="1474" w:type="dxa"/>
            <w:vAlign w:val="center"/>
          </w:tcPr>
          <w:p w14:paraId="32BE365E">
            <w:pPr>
              <w:pStyle w:val="11"/>
            </w:pPr>
          </w:p>
        </w:tc>
        <w:tc>
          <w:tcPr>
            <w:tcW w:w="3402" w:type="dxa"/>
            <w:vAlign w:val="center"/>
          </w:tcPr>
          <w:p w14:paraId="0B0A38C8">
            <w:pPr>
              <w:pStyle w:val="12"/>
            </w:pPr>
            <w:r>
              <w:t>十、卫生健康支出</w:t>
            </w:r>
          </w:p>
        </w:tc>
        <w:tc>
          <w:tcPr>
            <w:tcW w:w="1474" w:type="dxa"/>
            <w:vAlign w:val="center"/>
          </w:tcPr>
          <w:p w14:paraId="78C4A651">
            <w:pPr>
              <w:pStyle w:val="11"/>
            </w:pPr>
          </w:p>
        </w:tc>
        <w:tc>
          <w:tcPr>
            <w:tcW w:w="1474" w:type="dxa"/>
            <w:vAlign w:val="center"/>
          </w:tcPr>
          <w:p w14:paraId="7F3C40EA">
            <w:pPr>
              <w:pStyle w:val="11"/>
            </w:pPr>
          </w:p>
        </w:tc>
        <w:tc>
          <w:tcPr>
            <w:tcW w:w="1474" w:type="dxa"/>
            <w:vAlign w:val="center"/>
          </w:tcPr>
          <w:p w14:paraId="69AF1D34">
            <w:pPr>
              <w:pStyle w:val="11"/>
            </w:pPr>
          </w:p>
        </w:tc>
        <w:tc>
          <w:tcPr>
            <w:tcW w:w="1474" w:type="dxa"/>
            <w:vAlign w:val="center"/>
          </w:tcPr>
          <w:p w14:paraId="6101A47A">
            <w:pPr>
              <w:pStyle w:val="11"/>
            </w:pPr>
          </w:p>
        </w:tc>
      </w:tr>
      <w:tr w14:paraId="18B1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3869D">
            <w:pPr>
              <w:pStyle w:val="13"/>
            </w:pPr>
            <w:r>
              <w:t>11</w:t>
            </w:r>
          </w:p>
        </w:tc>
        <w:tc>
          <w:tcPr>
            <w:tcW w:w="3402" w:type="dxa"/>
            <w:vAlign w:val="center"/>
          </w:tcPr>
          <w:p w14:paraId="05BE2116">
            <w:pPr>
              <w:pStyle w:val="12"/>
            </w:pPr>
          </w:p>
        </w:tc>
        <w:tc>
          <w:tcPr>
            <w:tcW w:w="1474" w:type="dxa"/>
            <w:vAlign w:val="center"/>
          </w:tcPr>
          <w:p w14:paraId="60237C73">
            <w:pPr>
              <w:pStyle w:val="11"/>
            </w:pPr>
          </w:p>
        </w:tc>
        <w:tc>
          <w:tcPr>
            <w:tcW w:w="3402" w:type="dxa"/>
            <w:vAlign w:val="center"/>
          </w:tcPr>
          <w:p w14:paraId="2D69F08E">
            <w:pPr>
              <w:pStyle w:val="12"/>
            </w:pPr>
            <w:r>
              <w:t>十一、节能环保支出</w:t>
            </w:r>
          </w:p>
        </w:tc>
        <w:tc>
          <w:tcPr>
            <w:tcW w:w="1474" w:type="dxa"/>
            <w:vAlign w:val="center"/>
          </w:tcPr>
          <w:p w14:paraId="63D643CE">
            <w:pPr>
              <w:pStyle w:val="11"/>
            </w:pPr>
          </w:p>
        </w:tc>
        <w:tc>
          <w:tcPr>
            <w:tcW w:w="1474" w:type="dxa"/>
            <w:vAlign w:val="center"/>
          </w:tcPr>
          <w:p w14:paraId="08A84E70">
            <w:pPr>
              <w:pStyle w:val="11"/>
            </w:pPr>
          </w:p>
        </w:tc>
        <w:tc>
          <w:tcPr>
            <w:tcW w:w="1474" w:type="dxa"/>
            <w:vAlign w:val="center"/>
          </w:tcPr>
          <w:p w14:paraId="46EE60B9">
            <w:pPr>
              <w:pStyle w:val="11"/>
            </w:pPr>
          </w:p>
        </w:tc>
        <w:tc>
          <w:tcPr>
            <w:tcW w:w="1474" w:type="dxa"/>
            <w:vAlign w:val="center"/>
          </w:tcPr>
          <w:p w14:paraId="2E93C289">
            <w:pPr>
              <w:pStyle w:val="11"/>
            </w:pPr>
          </w:p>
        </w:tc>
      </w:tr>
      <w:tr w14:paraId="6CAB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BCF7D">
            <w:pPr>
              <w:pStyle w:val="13"/>
            </w:pPr>
            <w:r>
              <w:t>12</w:t>
            </w:r>
          </w:p>
        </w:tc>
        <w:tc>
          <w:tcPr>
            <w:tcW w:w="3402" w:type="dxa"/>
            <w:vAlign w:val="center"/>
          </w:tcPr>
          <w:p w14:paraId="330975C4">
            <w:pPr>
              <w:pStyle w:val="12"/>
            </w:pPr>
          </w:p>
        </w:tc>
        <w:tc>
          <w:tcPr>
            <w:tcW w:w="1474" w:type="dxa"/>
            <w:vAlign w:val="center"/>
          </w:tcPr>
          <w:p w14:paraId="217151BD">
            <w:pPr>
              <w:pStyle w:val="11"/>
            </w:pPr>
          </w:p>
        </w:tc>
        <w:tc>
          <w:tcPr>
            <w:tcW w:w="3402" w:type="dxa"/>
            <w:vAlign w:val="center"/>
          </w:tcPr>
          <w:p w14:paraId="1A80D6D2">
            <w:pPr>
              <w:pStyle w:val="12"/>
            </w:pPr>
            <w:r>
              <w:t>十二、城乡社区支出</w:t>
            </w:r>
          </w:p>
        </w:tc>
        <w:tc>
          <w:tcPr>
            <w:tcW w:w="1474" w:type="dxa"/>
            <w:vAlign w:val="center"/>
          </w:tcPr>
          <w:p w14:paraId="4AD6B472">
            <w:pPr>
              <w:pStyle w:val="11"/>
            </w:pPr>
          </w:p>
        </w:tc>
        <w:tc>
          <w:tcPr>
            <w:tcW w:w="1474" w:type="dxa"/>
            <w:vAlign w:val="center"/>
          </w:tcPr>
          <w:p w14:paraId="7571F6B8">
            <w:pPr>
              <w:pStyle w:val="11"/>
            </w:pPr>
          </w:p>
        </w:tc>
        <w:tc>
          <w:tcPr>
            <w:tcW w:w="1474" w:type="dxa"/>
            <w:vAlign w:val="center"/>
          </w:tcPr>
          <w:p w14:paraId="459F0C23">
            <w:pPr>
              <w:pStyle w:val="11"/>
            </w:pPr>
          </w:p>
        </w:tc>
        <w:tc>
          <w:tcPr>
            <w:tcW w:w="1474" w:type="dxa"/>
            <w:vAlign w:val="center"/>
          </w:tcPr>
          <w:p w14:paraId="14564B26">
            <w:pPr>
              <w:pStyle w:val="11"/>
            </w:pPr>
          </w:p>
        </w:tc>
      </w:tr>
      <w:tr w14:paraId="5CAD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AC9FC">
            <w:pPr>
              <w:pStyle w:val="13"/>
            </w:pPr>
            <w:r>
              <w:t>13</w:t>
            </w:r>
          </w:p>
        </w:tc>
        <w:tc>
          <w:tcPr>
            <w:tcW w:w="3402" w:type="dxa"/>
            <w:vAlign w:val="center"/>
          </w:tcPr>
          <w:p w14:paraId="56D0FE5D">
            <w:pPr>
              <w:pStyle w:val="12"/>
            </w:pPr>
          </w:p>
        </w:tc>
        <w:tc>
          <w:tcPr>
            <w:tcW w:w="1474" w:type="dxa"/>
            <w:vAlign w:val="center"/>
          </w:tcPr>
          <w:p w14:paraId="2F877EDB">
            <w:pPr>
              <w:pStyle w:val="11"/>
            </w:pPr>
          </w:p>
        </w:tc>
        <w:tc>
          <w:tcPr>
            <w:tcW w:w="3402" w:type="dxa"/>
            <w:vAlign w:val="center"/>
          </w:tcPr>
          <w:p w14:paraId="2DEC978F">
            <w:pPr>
              <w:pStyle w:val="12"/>
            </w:pPr>
            <w:r>
              <w:t>十三、农林水支出</w:t>
            </w:r>
          </w:p>
        </w:tc>
        <w:tc>
          <w:tcPr>
            <w:tcW w:w="1474" w:type="dxa"/>
            <w:vAlign w:val="center"/>
          </w:tcPr>
          <w:p w14:paraId="44B70294">
            <w:pPr>
              <w:pStyle w:val="11"/>
            </w:pPr>
          </w:p>
        </w:tc>
        <w:tc>
          <w:tcPr>
            <w:tcW w:w="1474" w:type="dxa"/>
            <w:vAlign w:val="center"/>
          </w:tcPr>
          <w:p w14:paraId="4D3F0BE4">
            <w:pPr>
              <w:pStyle w:val="11"/>
            </w:pPr>
          </w:p>
        </w:tc>
        <w:tc>
          <w:tcPr>
            <w:tcW w:w="1474" w:type="dxa"/>
            <w:vAlign w:val="center"/>
          </w:tcPr>
          <w:p w14:paraId="06E5FF67">
            <w:pPr>
              <w:pStyle w:val="11"/>
            </w:pPr>
          </w:p>
        </w:tc>
        <w:tc>
          <w:tcPr>
            <w:tcW w:w="1474" w:type="dxa"/>
            <w:vAlign w:val="center"/>
          </w:tcPr>
          <w:p w14:paraId="271F5D79">
            <w:pPr>
              <w:pStyle w:val="11"/>
            </w:pPr>
          </w:p>
        </w:tc>
      </w:tr>
      <w:tr w14:paraId="4A1F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6815D">
            <w:pPr>
              <w:pStyle w:val="13"/>
            </w:pPr>
            <w:r>
              <w:t>14</w:t>
            </w:r>
          </w:p>
        </w:tc>
        <w:tc>
          <w:tcPr>
            <w:tcW w:w="3402" w:type="dxa"/>
            <w:vAlign w:val="center"/>
          </w:tcPr>
          <w:p w14:paraId="7B162AA1">
            <w:pPr>
              <w:pStyle w:val="12"/>
            </w:pPr>
          </w:p>
        </w:tc>
        <w:tc>
          <w:tcPr>
            <w:tcW w:w="1474" w:type="dxa"/>
            <w:vAlign w:val="center"/>
          </w:tcPr>
          <w:p w14:paraId="01A958CD">
            <w:pPr>
              <w:pStyle w:val="11"/>
            </w:pPr>
          </w:p>
        </w:tc>
        <w:tc>
          <w:tcPr>
            <w:tcW w:w="3402" w:type="dxa"/>
            <w:vAlign w:val="center"/>
          </w:tcPr>
          <w:p w14:paraId="7ED63FB0">
            <w:pPr>
              <w:pStyle w:val="12"/>
            </w:pPr>
            <w:r>
              <w:t>十四、交通运输支出</w:t>
            </w:r>
          </w:p>
        </w:tc>
        <w:tc>
          <w:tcPr>
            <w:tcW w:w="1474" w:type="dxa"/>
            <w:vAlign w:val="center"/>
          </w:tcPr>
          <w:p w14:paraId="538F2F9A">
            <w:pPr>
              <w:pStyle w:val="11"/>
            </w:pPr>
          </w:p>
        </w:tc>
        <w:tc>
          <w:tcPr>
            <w:tcW w:w="1474" w:type="dxa"/>
            <w:vAlign w:val="center"/>
          </w:tcPr>
          <w:p w14:paraId="56048438">
            <w:pPr>
              <w:pStyle w:val="11"/>
            </w:pPr>
          </w:p>
        </w:tc>
        <w:tc>
          <w:tcPr>
            <w:tcW w:w="1474" w:type="dxa"/>
            <w:vAlign w:val="center"/>
          </w:tcPr>
          <w:p w14:paraId="0E17E1EF">
            <w:pPr>
              <w:pStyle w:val="11"/>
            </w:pPr>
          </w:p>
        </w:tc>
        <w:tc>
          <w:tcPr>
            <w:tcW w:w="1474" w:type="dxa"/>
            <w:vAlign w:val="center"/>
          </w:tcPr>
          <w:p w14:paraId="30DA2281">
            <w:pPr>
              <w:pStyle w:val="11"/>
            </w:pPr>
          </w:p>
        </w:tc>
      </w:tr>
      <w:tr w14:paraId="582966BF">
        <w:tblPrEx>
          <w:tblCellMar>
            <w:top w:w="0" w:type="dxa"/>
            <w:left w:w="108" w:type="dxa"/>
            <w:bottom w:w="0" w:type="dxa"/>
            <w:right w:w="108" w:type="dxa"/>
          </w:tblCellMar>
        </w:tblPrEx>
        <w:trPr>
          <w:trHeight w:val="369" w:hRule="atLeast"/>
          <w:jc w:val="center"/>
        </w:trPr>
        <w:tc>
          <w:tcPr>
            <w:tcW w:w="850" w:type="dxa"/>
            <w:vAlign w:val="center"/>
          </w:tcPr>
          <w:p w14:paraId="78DBD3BE">
            <w:pPr>
              <w:pStyle w:val="13"/>
            </w:pPr>
            <w:r>
              <w:t>15</w:t>
            </w:r>
          </w:p>
        </w:tc>
        <w:tc>
          <w:tcPr>
            <w:tcW w:w="3402" w:type="dxa"/>
            <w:vAlign w:val="center"/>
          </w:tcPr>
          <w:p w14:paraId="307C2413">
            <w:pPr>
              <w:pStyle w:val="12"/>
            </w:pPr>
          </w:p>
        </w:tc>
        <w:tc>
          <w:tcPr>
            <w:tcW w:w="1474" w:type="dxa"/>
            <w:vAlign w:val="center"/>
          </w:tcPr>
          <w:p w14:paraId="57A26E50">
            <w:pPr>
              <w:pStyle w:val="11"/>
            </w:pPr>
          </w:p>
        </w:tc>
        <w:tc>
          <w:tcPr>
            <w:tcW w:w="3402" w:type="dxa"/>
            <w:vAlign w:val="center"/>
          </w:tcPr>
          <w:p w14:paraId="7E01D6E6">
            <w:pPr>
              <w:pStyle w:val="12"/>
            </w:pPr>
            <w:r>
              <w:t>十五、资源勘探工业信息等支出</w:t>
            </w:r>
          </w:p>
        </w:tc>
        <w:tc>
          <w:tcPr>
            <w:tcW w:w="1474" w:type="dxa"/>
            <w:vAlign w:val="center"/>
          </w:tcPr>
          <w:p w14:paraId="7DC39E78">
            <w:pPr>
              <w:pStyle w:val="11"/>
            </w:pPr>
          </w:p>
        </w:tc>
        <w:tc>
          <w:tcPr>
            <w:tcW w:w="1474" w:type="dxa"/>
            <w:vAlign w:val="center"/>
          </w:tcPr>
          <w:p w14:paraId="5199D877">
            <w:pPr>
              <w:pStyle w:val="11"/>
            </w:pPr>
          </w:p>
        </w:tc>
        <w:tc>
          <w:tcPr>
            <w:tcW w:w="1474" w:type="dxa"/>
            <w:vAlign w:val="center"/>
          </w:tcPr>
          <w:p w14:paraId="4106D005">
            <w:pPr>
              <w:pStyle w:val="11"/>
            </w:pPr>
          </w:p>
        </w:tc>
        <w:tc>
          <w:tcPr>
            <w:tcW w:w="1474" w:type="dxa"/>
            <w:vAlign w:val="center"/>
          </w:tcPr>
          <w:p w14:paraId="3064CB2A">
            <w:pPr>
              <w:pStyle w:val="11"/>
            </w:pPr>
          </w:p>
        </w:tc>
      </w:tr>
      <w:tr w14:paraId="4A76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899C">
            <w:pPr>
              <w:pStyle w:val="13"/>
            </w:pPr>
            <w:r>
              <w:t>16</w:t>
            </w:r>
          </w:p>
        </w:tc>
        <w:tc>
          <w:tcPr>
            <w:tcW w:w="3402" w:type="dxa"/>
            <w:vAlign w:val="center"/>
          </w:tcPr>
          <w:p w14:paraId="65074290">
            <w:pPr>
              <w:pStyle w:val="12"/>
            </w:pPr>
          </w:p>
        </w:tc>
        <w:tc>
          <w:tcPr>
            <w:tcW w:w="1474" w:type="dxa"/>
            <w:vAlign w:val="center"/>
          </w:tcPr>
          <w:p w14:paraId="0622C811">
            <w:pPr>
              <w:pStyle w:val="11"/>
            </w:pPr>
          </w:p>
        </w:tc>
        <w:tc>
          <w:tcPr>
            <w:tcW w:w="3402" w:type="dxa"/>
            <w:vAlign w:val="center"/>
          </w:tcPr>
          <w:p w14:paraId="60B4426A">
            <w:pPr>
              <w:pStyle w:val="12"/>
            </w:pPr>
            <w:r>
              <w:t>十六、商业服务业等支出</w:t>
            </w:r>
          </w:p>
        </w:tc>
        <w:tc>
          <w:tcPr>
            <w:tcW w:w="1474" w:type="dxa"/>
            <w:vAlign w:val="center"/>
          </w:tcPr>
          <w:p w14:paraId="63BCB19A">
            <w:pPr>
              <w:pStyle w:val="11"/>
            </w:pPr>
          </w:p>
        </w:tc>
        <w:tc>
          <w:tcPr>
            <w:tcW w:w="1474" w:type="dxa"/>
            <w:vAlign w:val="center"/>
          </w:tcPr>
          <w:p w14:paraId="65492F07">
            <w:pPr>
              <w:pStyle w:val="11"/>
            </w:pPr>
          </w:p>
        </w:tc>
        <w:tc>
          <w:tcPr>
            <w:tcW w:w="1474" w:type="dxa"/>
            <w:vAlign w:val="center"/>
          </w:tcPr>
          <w:p w14:paraId="68B4A72B">
            <w:pPr>
              <w:pStyle w:val="11"/>
            </w:pPr>
          </w:p>
        </w:tc>
        <w:tc>
          <w:tcPr>
            <w:tcW w:w="1474" w:type="dxa"/>
            <w:vAlign w:val="center"/>
          </w:tcPr>
          <w:p w14:paraId="6F5FF6DA">
            <w:pPr>
              <w:pStyle w:val="11"/>
            </w:pPr>
          </w:p>
        </w:tc>
      </w:tr>
      <w:tr w14:paraId="03D5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9D89F">
            <w:pPr>
              <w:pStyle w:val="13"/>
            </w:pPr>
            <w:r>
              <w:t>17</w:t>
            </w:r>
          </w:p>
        </w:tc>
        <w:tc>
          <w:tcPr>
            <w:tcW w:w="3402" w:type="dxa"/>
            <w:vAlign w:val="center"/>
          </w:tcPr>
          <w:p w14:paraId="3528904D">
            <w:pPr>
              <w:pStyle w:val="12"/>
            </w:pPr>
          </w:p>
        </w:tc>
        <w:tc>
          <w:tcPr>
            <w:tcW w:w="1474" w:type="dxa"/>
            <w:vAlign w:val="center"/>
          </w:tcPr>
          <w:p w14:paraId="22549B28">
            <w:pPr>
              <w:pStyle w:val="11"/>
            </w:pPr>
          </w:p>
        </w:tc>
        <w:tc>
          <w:tcPr>
            <w:tcW w:w="3402" w:type="dxa"/>
            <w:vAlign w:val="center"/>
          </w:tcPr>
          <w:p w14:paraId="1FD358C6">
            <w:pPr>
              <w:pStyle w:val="12"/>
            </w:pPr>
            <w:r>
              <w:t>十七、金融支出</w:t>
            </w:r>
          </w:p>
        </w:tc>
        <w:tc>
          <w:tcPr>
            <w:tcW w:w="1474" w:type="dxa"/>
            <w:vAlign w:val="center"/>
          </w:tcPr>
          <w:p w14:paraId="66CFC8FC">
            <w:pPr>
              <w:pStyle w:val="11"/>
            </w:pPr>
          </w:p>
        </w:tc>
        <w:tc>
          <w:tcPr>
            <w:tcW w:w="1474" w:type="dxa"/>
            <w:vAlign w:val="center"/>
          </w:tcPr>
          <w:p w14:paraId="461A6027">
            <w:pPr>
              <w:pStyle w:val="11"/>
            </w:pPr>
          </w:p>
        </w:tc>
        <w:tc>
          <w:tcPr>
            <w:tcW w:w="1474" w:type="dxa"/>
            <w:vAlign w:val="center"/>
          </w:tcPr>
          <w:p w14:paraId="24149DF3">
            <w:pPr>
              <w:pStyle w:val="11"/>
            </w:pPr>
          </w:p>
        </w:tc>
        <w:tc>
          <w:tcPr>
            <w:tcW w:w="1474" w:type="dxa"/>
            <w:vAlign w:val="center"/>
          </w:tcPr>
          <w:p w14:paraId="1722E2B7">
            <w:pPr>
              <w:pStyle w:val="11"/>
            </w:pPr>
          </w:p>
        </w:tc>
      </w:tr>
      <w:tr w14:paraId="1F2F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01AD3">
            <w:pPr>
              <w:pStyle w:val="13"/>
            </w:pPr>
            <w:r>
              <w:t>18</w:t>
            </w:r>
          </w:p>
        </w:tc>
        <w:tc>
          <w:tcPr>
            <w:tcW w:w="3402" w:type="dxa"/>
            <w:vAlign w:val="center"/>
          </w:tcPr>
          <w:p w14:paraId="54EF6FE1">
            <w:pPr>
              <w:pStyle w:val="12"/>
            </w:pPr>
          </w:p>
        </w:tc>
        <w:tc>
          <w:tcPr>
            <w:tcW w:w="1474" w:type="dxa"/>
            <w:vAlign w:val="center"/>
          </w:tcPr>
          <w:p w14:paraId="14829897">
            <w:pPr>
              <w:pStyle w:val="11"/>
            </w:pPr>
          </w:p>
        </w:tc>
        <w:tc>
          <w:tcPr>
            <w:tcW w:w="3402" w:type="dxa"/>
            <w:vAlign w:val="center"/>
          </w:tcPr>
          <w:p w14:paraId="1A69B09A">
            <w:pPr>
              <w:pStyle w:val="12"/>
            </w:pPr>
            <w:r>
              <w:t>十八、援助其他地区支出</w:t>
            </w:r>
          </w:p>
        </w:tc>
        <w:tc>
          <w:tcPr>
            <w:tcW w:w="1474" w:type="dxa"/>
            <w:vAlign w:val="center"/>
          </w:tcPr>
          <w:p w14:paraId="69B3DD2B">
            <w:pPr>
              <w:pStyle w:val="11"/>
            </w:pPr>
          </w:p>
        </w:tc>
        <w:tc>
          <w:tcPr>
            <w:tcW w:w="1474" w:type="dxa"/>
            <w:vAlign w:val="center"/>
          </w:tcPr>
          <w:p w14:paraId="342AC20B">
            <w:pPr>
              <w:pStyle w:val="11"/>
            </w:pPr>
          </w:p>
        </w:tc>
        <w:tc>
          <w:tcPr>
            <w:tcW w:w="1474" w:type="dxa"/>
            <w:vAlign w:val="center"/>
          </w:tcPr>
          <w:p w14:paraId="548409CD">
            <w:pPr>
              <w:pStyle w:val="11"/>
            </w:pPr>
          </w:p>
        </w:tc>
        <w:tc>
          <w:tcPr>
            <w:tcW w:w="1474" w:type="dxa"/>
            <w:vAlign w:val="center"/>
          </w:tcPr>
          <w:p w14:paraId="773EF33A">
            <w:pPr>
              <w:pStyle w:val="11"/>
            </w:pPr>
          </w:p>
        </w:tc>
      </w:tr>
      <w:tr w14:paraId="7A78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4EA4D">
            <w:pPr>
              <w:pStyle w:val="13"/>
            </w:pPr>
            <w:r>
              <w:t>19</w:t>
            </w:r>
          </w:p>
        </w:tc>
        <w:tc>
          <w:tcPr>
            <w:tcW w:w="3402" w:type="dxa"/>
            <w:vAlign w:val="center"/>
          </w:tcPr>
          <w:p w14:paraId="4B2C5C93">
            <w:pPr>
              <w:pStyle w:val="12"/>
            </w:pPr>
          </w:p>
        </w:tc>
        <w:tc>
          <w:tcPr>
            <w:tcW w:w="1474" w:type="dxa"/>
            <w:vAlign w:val="center"/>
          </w:tcPr>
          <w:p w14:paraId="73F1BDB0">
            <w:pPr>
              <w:pStyle w:val="11"/>
            </w:pPr>
          </w:p>
        </w:tc>
        <w:tc>
          <w:tcPr>
            <w:tcW w:w="3402" w:type="dxa"/>
            <w:vAlign w:val="center"/>
          </w:tcPr>
          <w:p w14:paraId="383C8EFA">
            <w:pPr>
              <w:pStyle w:val="12"/>
            </w:pPr>
            <w:r>
              <w:t>十九、自然资源海洋气象等支出</w:t>
            </w:r>
          </w:p>
        </w:tc>
        <w:tc>
          <w:tcPr>
            <w:tcW w:w="1474" w:type="dxa"/>
            <w:vAlign w:val="center"/>
          </w:tcPr>
          <w:p w14:paraId="54F18155">
            <w:pPr>
              <w:pStyle w:val="11"/>
            </w:pPr>
          </w:p>
        </w:tc>
        <w:tc>
          <w:tcPr>
            <w:tcW w:w="1474" w:type="dxa"/>
            <w:vAlign w:val="center"/>
          </w:tcPr>
          <w:p w14:paraId="31CA084B">
            <w:pPr>
              <w:pStyle w:val="11"/>
            </w:pPr>
          </w:p>
        </w:tc>
        <w:tc>
          <w:tcPr>
            <w:tcW w:w="1474" w:type="dxa"/>
            <w:vAlign w:val="center"/>
          </w:tcPr>
          <w:p w14:paraId="3F6F3932">
            <w:pPr>
              <w:pStyle w:val="11"/>
            </w:pPr>
          </w:p>
        </w:tc>
        <w:tc>
          <w:tcPr>
            <w:tcW w:w="1474" w:type="dxa"/>
            <w:vAlign w:val="center"/>
          </w:tcPr>
          <w:p w14:paraId="46F22CD6">
            <w:pPr>
              <w:pStyle w:val="11"/>
            </w:pPr>
          </w:p>
        </w:tc>
      </w:tr>
      <w:tr w14:paraId="625D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A36DB">
            <w:pPr>
              <w:pStyle w:val="13"/>
            </w:pPr>
            <w:r>
              <w:t>20</w:t>
            </w:r>
          </w:p>
        </w:tc>
        <w:tc>
          <w:tcPr>
            <w:tcW w:w="3402" w:type="dxa"/>
            <w:vAlign w:val="center"/>
          </w:tcPr>
          <w:p w14:paraId="68798FCA">
            <w:pPr>
              <w:pStyle w:val="12"/>
            </w:pPr>
          </w:p>
        </w:tc>
        <w:tc>
          <w:tcPr>
            <w:tcW w:w="1474" w:type="dxa"/>
            <w:vAlign w:val="center"/>
          </w:tcPr>
          <w:p w14:paraId="6EE0CC6E">
            <w:pPr>
              <w:pStyle w:val="11"/>
            </w:pPr>
          </w:p>
        </w:tc>
        <w:tc>
          <w:tcPr>
            <w:tcW w:w="3402" w:type="dxa"/>
            <w:vAlign w:val="center"/>
          </w:tcPr>
          <w:p w14:paraId="7F019978">
            <w:pPr>
              <w:pStyle w:val="12"/>
            </w:pPr>
            <w:r>
              <w:t>二十、住房保障支出</w:t>
            </w:r>
          </w:p>
        </w:tc>
        <w:tc>
          <w:tcPr>
            <w:tcW w:w="1474" w:type="dxa"/>
            <w:vAlign w:val="center"/>
          </w:tcPr>
          <w:p w14:paraId="0355720B">
            <w:pPr>
              <w:pStyle w:val="11"/>
            </w:pPr>
          </w:p>
        </w:tc>
        <w:tc>
          <w:tcPr>
            <w:tcW w:w="1474" w:type="dxa"/>
            <w:vAlign w:val="center"/>
          </w:tcPr>
          <w:p w14:paraId="7E162459">
            <w:pPr>
              <w:pStyle w:val="11"/>
            </w:pPr>
          </w:p>
        </w:tc>
        <w:tc>
          <w:tcPr>
            <w:tcW w:w="1474" w:type="dxa"/>
            <w:vAlign w:val="center"/>
          </w:tcPr>
          <w:p w14:paraId="6DBD4378">
            <w:pPr>
              <w:pStyle w:val="11"/>
            </w:pPr>
          </w:p>
        </w:tc>
        <w:tc>
          <w:tcPr>
            <w:tcW w:w="1474" w:type="dxa"/>
            <w:vAlign w:val="center"/>
          </w:tcPr>
          <w:p w14:paraId="372585CE">
            <w:pPr>
              <w:pStyle w:val="11"/>
            </w:pPr>
          </w:p>
        </w:tc>
      </w:tr>
      <w:tr w14:paraId="1813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DC72C">
            <w:pPr>
              <w:pStyle w:val="13"/>
            </w:pPr>
            <w:r>
              <w:t>21</w:t>
            </w:r>
          </w:p>
        </w:tc>
        <w:tc>
          <w:tcPr>
            <w:tcW w:w="3402" w:type="dxa"/>
            <w:vAlign w:val="center"/>
          </w:tcPr>
          <w:p w14:paraId="1C597E22">
            <w:pPr>
              <w:pStyle w:val="12"/>
            </w:pPr>
          </w:p>
        </w:tc>
        <w:tc>
          <w:tcPr>
            <w:tcW w:w="1474" w:type="dxa"/>
            <w:vAlign w:val="center"/>
          </w:tcPr>
          <w:p w14:paraId="684B9C76">
            <w:pPr>
              <w:pStyle w:val="11"/>
            </w:pPr>
          </w:p>
        </w:tc>
        <w:tc>
          <w:tcPr>
            <w:tcW w:w="3402" w:type="dxa"/>
            <w:vAlign w:val="center"/>
          </w:tcPr>
          <w:p w14:paraId="5925C7D1">
            <w:pPr>
              <w:pStyle w:val="12"/>
            </w:pPr>
            <w:r>
              <w:t>二十一、粮油物资储备支出</w:t>
            </w:r>
          </w:p>
        </w:tc>
        <w:tc>
          <w:tcPr>
            <w:tcW w:w="1474" w:type="dxa"/>
            <w:vAlign w:val="center"/>
          </w:tcPr>
          <w:p w14:paraId="2139B211">
            <w:pPr>
              <w:pStyle w:val="11"/>
            </w:pPr>
          </w:p>
        </w:tc>
        <w:tc>
          <w:tcPr>
            <w:tcW w:w="1474" w:type="dxa"/>
            <w:vAlign w:val="center"/>
          </w:tcPr>
          <w:p w14:paraId="6FE9779F">
            <w:pPr>
              <w:pStyle w:val="11"/>
            </w:pPr>
          </w:p>
        </w:tc>
        <w:tc>
          <w:tcPr>
            <w:tcW w:w="1474" w:type="dxa"/>
            <w:vAlign w:val="center"/>
          </w:tcPr>
          <w:p w14:paraId="16021AD3">
            <w:pPr>
              <w:pStyle w:val="11"/>
            </w:pPr>
          </w:p>
        </w:tc>
        <w:tc>
          <w:tcPr>
            <w:tcW w:w="1474" w:type="dxa"/>
            <w:vAlign w:val="center"/>
          </w:tcPr>
          <w:p w14:paraId="215B3845">
            <w:pPr>
              <w:pStyle w:val="11"/>
            </w:pPr>
          </w:p>
        </w:tc>
      </w:tr>
      <w:tr w14:paraId="2864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6FE6">
            <w:pPr>
              <w:pStyle w:val="13"/>
            </w:pPr>
            <w:r>
              <w:t>22</w:t>
            </w:r>
          </w:p>
        </w:tc>
        <w:tc>
          <w:tcPr>
            <w:tcW w:w="3402" w:type="dxa"/>
            <w:vAlign w:val="center"/>
          </w:tcPr>
          <w:p w14:paraId="156A3365">
            <w:pPr>
              <w:pStyle w:val="12"/>
            </w:pPr>
          </w:p>
        </w:tc>
        <w:tc>
          <w:tcPr>
            <w:tcW w:w="1474" w:type="dxa"/>
            <w:vAlign w:val="center"/>
          </w:tcPr>
          <w:p w14:paraId="008E8E0D">
            <w:pPr>
              <w:pStyle w:val="11"/>
            </w:pPr>
          </w:p>
        </w:tc>
        <w:tc>
          <w:tcPr>
            <w:tcW w:w="3402" w:type="dxa"/>
            <w:vAlign w:val="center"/>
          </w:tcPr>
          <w:p w14:paraId="1DF76DBB">
            <w:pPr>
              <w:pStyle w:val="12"/>
            </w:pPr>
            <w:r>
              <w:t>二十二、国有资本经营预算支出</w:t>
            </w:r>
          </w:p>
        </w:tc>
        <w:tc>
          <w:tcPr>
            <w:tcW w:w="1474" w:type="dxa"/>
            <w:vAlign w:val="center"/>
          </w:tcPr>
          <w:p w14:paraId="1F1A2C9B">
            <w:pPr>
              <w:pStyle w:val="11"/>
            </w:pPr>
          </w:p>
        </w:tc>
        <w:tc>
          <w:tcPr>
            <w:tcW w:w="1474" w:type="dxa"/>
            <w:vAlign w:val="center"/>
          </w:tcPr>
          <w:p w14:paraId="3764D74F">
            <w:pPr>
              <w:pStyle w:val="11"/>
            </w:pPr>
          </w:p>
        </w:tc>
        <w:tc>
          <w:tcPr>
            <w:tcW w:w="1474" w:type="dxa"/>
            <w:vAlign w:val="center"/>
          </w:tcPr>
          <w:p w14:paraId="032995FF">
            <w:pPr>
              <w:pStyle w:val="11"/>
            </w:pPr>
          </w:p>
        </w:tc>
        <w:tc>
          <w:tcPr>
            <w:tcW w:w="1474" w:type="dxa"/>
            <w:vAlign w:val="center"/>
          </w:tcPr>
          <w:p w14:paraId="1A656E7C">
            <w:pPr>
              <w:pStyle w:val="11"/>
            </w:pPr>
          </w:p>
        </w:tc>
      </w:tr>
      <w:tr w14:paraId="7EDE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2C41">
            <w:pPr>
              <w:pStyle w:val="13"/>
            </w:pPr>
            <w:r>
              <w:t>23</w:t>
            </w:r>
          </w:p>
        </w:tc>
        <w:tc>
          <w:tcPr>
            <w:tcW w:w="3402" w:type="dxa"/>
            <w:vAlign w:val="center"/>
          </w:tcPr>
          <w:p w14:paraId="03F211B5">
            <w:pPr>
              <w:pStyle w:val="12"/>
            </w:pPr>
          </w:p>
        </w:tc>
        <w:tc>
          <w:tcPr>
            <w:tcW w:w="1474" w:type="dxa"/>
            <w:vAlign w:val="center"/>
          </w:tcPr>
          <w:p w14:paraId="6120D609">
            <w:pPr>
              <w:pStyle w:val="11"/>
            </w:pPr>
          </w:p>
        </w:tc>
        <w:tc>
          <w:tcPr>
            <w:tcW w:w="3402" w:type="dxa"/>
            <w:vAlign w:val="center"/>
          </w:tcPr>
          <w:p w14:paraId="1344F578">
            <w:pPr>
              <w:pStyle w:val="12"/>
            </w:pPr>
            <w:r>
              <w:t>二十三、灾害防治及应急管理支出</w:t>
            </w:r>
          </w:p>
        </w:tc>
        <w:tc>
          <w:tcPr>
            <w:tcW w:w="1474" w:type="dxa"/>
            <w:vAlign w:val="center"/>
          </w:tcPr>
          <w:p w14:paraId="04E0786F">
            <w:pPr>
              <w:pStyle w:val="11"/>
            </w:pPr>
          </w:p>
        </w:tc>
        <w:tc>
          <w:tcPr>
            <w:tcW w:w="1474" w:type="dxa"/>
            <w:vAlign w:val="center"/>
          </w:tcPr>
          <w:p w14:paraId="1CEA377E">
            <w:pPr>
              <w:pStyle w:val="11"/>
            </w:pPr>
          </w:p>
        </w:tc>
        <w:tc>
          <w:tcPr>
            <w:tcW w:w="1474" w:type="dxa"/>
            <w:vAlign w:val="center"/>
          </w:tcPr>
          <w:p w14:paraId="5DA9ECEF">
            <w:pPr>
              <w:pStyle w:val="11"/>
            </w:pPr>
          </w:p>
        </w:tc>
        <w:tc>
          <w:tcPr>
            <w:tcW w:w="1474" w:type="dxa"/>
            <w:vAlign w:val="center"/>
          </w:tcPr>
          <w:p w14:paraId="269AAE2F">
            <w:pPr>
              <w:pStyle w:val="11"/>
            </w:pPr>
          </w:p>
        </w:tc>
      </w:tr>
      <w:tr w14:paraId="7F9A6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9F1E">
            <w:pPr>
              <w:pStyle w:val="13"/>
            </w:pPr>
            <w:r>
              <w:t>24</w:t>
            </w:r>
          </w:p>
        </w:tc>
        <w:tc>
          <w:tcPr>
            <w:tcW w:w="3402" w:type="dxa"/>
            <w:vAlign w:val="center"/>
          </w:tcPr>
          <w:p w14:paraId="606ACB9D">
            <w:pPr>
              <w:pStyle w:val="12"/>
            </w:pPr>
          </w:p>
        </w:tc>
        <w:tc>
          <w:tcPr>
            <w:tcW w:w="1474" w:type="dxa"/>
            <w:vAlign w:val="center"/>
          </w:tcPr>
          <w:p w14:paraId="2B9BA493">
            <w:pPr>
              <w:pStyle w:val="11"/>
            </w:pPr>
          </w:p>
        </w:tc>
        <w:tc>
          <w:tcPr>
            <w:tcW w:w="3402" w:type="dxa"/>
            <w:vAlign w:val="center"/>
          </w:tcPr>
          <w:p w14:paraId="074D6724">
            <w:pPr>
              <w:pStyle w:val="12"/>
            </w:pPr>
            <w:r>
              <w:t>二十四、预备费</w:t>
            </w:r>
          </w:p>
        </w:tc>
        <w:tc>
          <w:tcPr>
            <w:tcW w:w="1474" w:type="dxa"/>
            <w:vAlign w:val="center"/>
          </w:tcPr>
          <w:p w14:paraId="7CB1AAAD">
            <w:pPr>
              <w:pStyle w:val="11"/>
            </w:pPr>
          </w:p>
        </w:tc>
        <w:tc>
          <w:tcPr>
            <w:tcW w:w="1474" w:type="dxa"/>
            <w:vAlign w:val="center"/>
          </w:tcPr>
          <w:p w14:paraId="657DD3CC">
            <w:pPr>
              <w:pStyle w:val="11"/>
            </w:pPr>
          </w:p>
        </w:tc>
        <w:tc>
          <w:tcPr>
            <w:tcW w:w="1474" w:type="dxa"/>
            <w:vAlign w:val="center"/>
          </w:tcPr>
          <w:p w14:paraId="5C0D1516">
            <w:pPr>
              <w:pStyle w:val="11"/>
            </w:pPr>
          </w:p>
        </w:tc>
        <w:tc>
          <w:tcPr>
            <w:tcW w:w="1474" w:type="dxa"/>
            <w:vAlign w:val="center"/>
          </w:tcPr>
          <w:p w14:paraId="08D3E468">
            <w:pPr>
              <w:pStyle w:val="11"/>
            </w:pPr>
          </w:p>
        </w:tc>
      </w:tr>
      <w:tr w14:paraId="0267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5E082">
            <w:pPr>
              <w:pStyle w:val="13"/>
            </w:pPr>
            <w:r>
              <w:t>25</w:t>
            </w:r>
          </w:p>
        </w:tc>
        <w:tc>
          <w:tcPr>
            <w:tcW w:w="3402" w:type="dxa"/>
            <w:vAlign w:val="center"/>
          </w:tcPr>
          <w:p w14:paraId="36B414F9">
            <w:pPr>
              <w:pStyle w:val="12"/>
            </w:pPr>
          </w:p>
        </w:tc>
        <w:tc>
          <w:tcPr>
            <w:tcW w:w="1474" w:type="dxa"/>
            <w:vAlign w:val="center"/>
          </w:tcPr>
          <w:p w14:paraId="74E98374">
            <w:pPr>
              <w:pStyle w:val="11"/>
            </w:pPr>
          </w:p>
        </w:tc>
        <w:tc>
          <w:tcPr>
            <w:tcW w:w="3402" w:type="dxa"/>
            <w:vAlign w:val="center"/>
          </w:tcPr>
          <w:p w14:paraId="51429C41">
            <w:pPr>
              <w:pStyle w:val="12"/>
            </w:pPr>
            <w:r>
              <w:t>二十五、其他支出</w:t>
            </w:r>
          </w:p>
        </w:tc>
        <w:tc>
          <w:tcPr>
            <w:tcW w:w="1474" w:type="dxa"/>
            <w:vAlign w:val="center"/>
          </w:tcPr>
          <w:p w14:paraId="0535882E">
            <w:pPr>
              <w:pStyle w:val="11"/>
            </w:pPr>
          </w:p>
        </w:tc>
        <w:tc>
          <w:tcPr>
            <w:tcW w:w="1474" w:type="dxa"/>
            <w:vAlign w:val="center"/>
          </w:tcPr>
          <w:p w14:paraId="779C9720">
            <w:pPr>
              <w:pStyle w:val="11"/>
            </w:pPr>
          </w:p>
        </w:tc>
        <w:tc>
          <w:tcPr>
            <w:tcW w:w="1474" w:type="dxa"/>
            <w:vAlign w:val="center"/>
          </w:tcPr>
          <w:p w14:paraId="4B6EE211">
            <w:pPr>
              <w:pStyle w:val="11"/>
            </w:pPr>
          </w:p>
        </w:tc>
        <w:tc>
          <w:tcPr>
            <w:tcW w:w="1474" w:type="dxa"/>
            <w:vAlign w:val="center"/>
          </w:tcPr>
          <w:p w14:paraId="46CCF27C">
            <w:pPr>
              <w:pStyle w:val="11"/>
            </w:pPr>
          </w:p>
        </w:tc>
      </w:tr>
      <w:tr w14:paraId="7869BF48">
        <w:tblPrEx>
          <w:tblCellMar>
            <w:top w:w="0" w:type="dxa"/>
            <w:left w:w="108" w:type="dxa"/>
            <w:bottom w:w="0" w:type="dxa"/>
            <w:right w:w="108" w:type="dxa"/>
          </w:tblCellMar>
        </w:tblPrEx>
        <w:trPr>
          <w:trHeight w:val="369" w:hRule="atLeast"/>
          <w:jc w:val="center"/>
        </w:trPr>
        <w:tc>
          <w:tcPr>
            <w:tcW w:w="850" w:type="dxa"/>
            <w:vAlign w:val="center"/>
          </w:tcPr>
          <w:p w14:paraId="427B19BC">
            <w:pPr>
              <w:pStyle w:val="13"/>
            </w:pPr>
            <w:r>
              <w:t>26</w:t>
            </w:r>
          </w:p>
        </w:tc>
        <w:tc>
          <w:tcPr>
            <w:tcW w:w="3402" w:type="dxa"/>
            <w:vAlign w:val="center"/>
          </w:tcPr>
          <w:p w14:paraId="7A5FE3ED">
            <w:pPr>
              <w:pStyle w:val="12"/>
            </w:pPr>
          </w:p>
        </w:tc>
        <w:tc>
          <w:tcPr>
            <w:tcW w:w="1474" w:type="dxa"/>
            <w:vAlign w:val="center"/>
          </w:tcPr>
          <w:p w14:paraId="2777C945">
            <w:pPr>
              <w:pStyle w:val="11"/>
            </w:pPr>
          </w:p>
        </w:tc>
        <w:tc>
          <w:tcPr>
            <w:tcW w:w="3402" w:type="dxa"/>
            <w:vAlign w:val="center"/>
          </w:tcPr>
          <w:p w14:paraId="0AAC566E">
            <w:pPr>
              <w:pStyle w:val="12"/>
            </w:pPr>
            <w:r>
              <w:t>二十六、转移性支出</w:t>
            </w:r>
          </w:p>
        </w:tc>
        <w:tc>
          <w:tcPr>
            <w:tcW w:w="1474" w:type="dxa"/>
            <w:vAlign w:val="center"/>
          </w:tcPr>
          <w:p w14:paraId="10C33091">
            <w:pPr>
              <w:pStyle w:val="11"/>
            </w:pPr>
          </w:p>
        </w:tc>
        <w:tc>
          <w:tcPr>
            <w:tcW w:w="1474" w:type="dxa"/>
            <w:vAlign w:val="center"/>
          </w:tcPr>
          <w:p w14:paraId="24BEAA86">
            <w:pPr>
              <w:pStyle w:val="11"/>
            </w:pPr>
          </w:p>
        </w:tc>
        <w:tc>
          <w:tcPr>
            <w:tcW w:w="1474" w:type="dxa"/>
            <w:vAlign w:val="center"/>
          </w:tcPr>
          <w:p w14:paraId="1FA1850B">
            <w:pPr>
              <w:pStyle w:val="11"/>
            </w:pPr>
          </w:p>
        </w:tc>
        <w:tc>
          <w:tcPr>
            <w:tcW w:w="1474" w:type="dxa"/>
            <w:vAlign w:val="center"/>
          </w:tcPr>
          <w:p w14:paraId="2E7FF8BF">
            <w:pPr>
              <w:pStyle w:val="11"/>
            </w:pPr>
          </w:p>
        </w:tc>
      </w:tr>
      <w:tr w14:paraId="454803DB">
        <w:tblPrEx>
          <w:tblCellMar>
            <w:top w:w="0" w:type="dxa"/>
            <w:left w:w="108" w:type="dxa"/>
            <w:bottom w:w="0" w:type="dxa"/>
            <w:right w:w="108" w:type="dxa"/>
          </w:tblCellMar>
        </w:tblPrEx>
        <w:trPr>
          <w:trHeight w:val="369" w:hRule="atLeast"/>
          <w:jc w:val="center"/>
        </w:trPr>
        <w:tc>
          <w:tcPr>
            <w:tcW w:w="850" w:type="dxa"/>
            <w:vAlign w:val="center"/>
          </w:tcPr>
          <w:p w14:paraId="29624208">
            <w:pPr>
              <w:pStyle w:val="13"/>
            </w:pPr>
            <w:r>
              <w:t>27</w:t>
            </w:r>
          </w:p>
        </w:tc>
        <w:tc>
          <w:tcPr>
            <w:tcW w:w="3402" w:type="dxa"/>
            <w:vAlign w:val="center"/>
          </w:tcPr>
          <w:p w14:paraId="7DEE65FB">
            <w:pPr>
              <w:pStyle w:val="12"/>
            </w:pPr>
          </w:p>
        </w:tc>
        <w:tc>
          <w:tcPr>
            <w:tcW w:w="1474" w:type="dxa"/>
            <w:vAlign w:val="center"/>
          </w:tcPr>
          <w:p w14:paraId="0ED69720">
            <w:pPr>
              <w:pStyle w:val="11"/>
            </w:pPr>
          </w:p>
        </w:tc>
        <w:tc>
          <w:tcPr>
            <w:tcW w:w="3402" w:type="dxa"/>
            <w:vAlign w:val="center"/>
          </w:tcPr>
          <w:p w14:paraId="6E5E78B4">
            <w:pPr>
              <w:pStyle w:val="12"/>
            </w:pPr>
            <w:r>
              <w:t>二十七、债务还本支出</w:t>
            </w:r>
          </w:p>
        </w:tc>
        <w:tc>
          <w:tcPr>
            <w:tcW w:w="1474" w:type="dxa"/>
            <w:vAlign w:val="center"/>
          </w:tcPr>
          <w:p w14:paraId="24579E05">
            <w:pPr>
              <w:pStyle w:val="11"/>
            </w:pPr>
          </w:p>
        </w:tc>
        <w:tc>
          <w:tcPr>
            <w:tcW w:w="1474" w:type="dxa"/>
            <w:vAlign w:val="center"/>
          </w:tcPr>
          <w:p w14:paraId="20AEA1BA">
            <w:pPr>
              <w:pStyle w:val="11"/>
            </w:pPr>
          </w:p>
        </w:tc>
        <w:tc>
          <w:tcPr>
            <w:tcW w:w="1474" w:type="dxa"/>
            <w:vAlign w:val="center"/>
          </w:tcPr>
          <w:p w14:paraId="75709702">
            <w:pPr>
              <w:pStyle w:val="11"/>
            </w:pPr>
          </w:p>
        </w:tc>
        <w:tc>
          <w:tcPr>
            <w:tcW w:w="1474" w:type="dxa"/>
            <w:vAlign w:val="center"/>
          </w:tcPr>
          <w:p w14:paraId="23E65469">
            <w:pPr>
              <w:pStyle w:val="11"/>
            </w:pPr>
          </w:p>
        </w:tc>
      </w:tr>
      <w:tr w14:paraId="2D90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EDBD0">
            <w:pPr>
              <w:pStyle w:val="13"/>
            </w:pPr>
            <w:r>
              <w:t>28</w:t>
            </w:r>
          </w:p>
        </w:tc>
        <w:tc>
          <w:tcPr>
            <w:tcW w:w="3402" w:type="dxa"/>
            <w:vAlign w:val="center"/>
          </w:tcPr>
          <w:p w14:paraId="61BD5BBB">
            <w:pPr>
              <w:pStyle w:val="12"/>
            </w:pPr>
          </w:p>
        </w:tc>
        <w:tc>
          <w:tcPr>
            <w:tcW w:w="1474" w:type="dxa"/>
            <w:vAlign w:val="center"/>
          </w:tcPr>
          <w:p w14:paraId="57AAB724">
            <w:pPr>
              <w:pStyle w:val="11"/>
            </w:pPr>
          </w:p>
        </w:tc>
        <w:tc>
          <w:tcPr>
            <w:tcW w:w="3402" w:type="dxa"/>
            <w:vAlign w:val="center"/>
          </w:tcPr>
          <w:p w14:paraId="079AB387">
            <w:pPr>
              <w:pStyle w:val="12"/>
            </w:pPr>
            <w:r>
              <w:t>二十八、债务付息支出</w:t>
            </w:r>
          </w:p>
        </w:tc>
        <w:tc>
          <w:tcPr>
            <w:tcW w:w="1474" w:type="dxa"/>
            <w:vAlign w:val="center"/>
          </w:tcPr>
          <w:p w14:paraId="02AD1C2B">
            <w:pPr>
              <w:pStyle w:val="11"/>
            </w:pPr>
          </w:p>
        </w:tc>
        <w:tc>
          <w:tcPr>
            <w:tcW w:w="1474" w:type="dxa"/>
            <w:vAlign w:val="center"/>
          </w:tcPr>
          <w:p w14:paraId="1A695B83">
            <w:pPr>
              <w:pStyle w:val="11"/>
            </w:pPr>
          </w:p>
        </w:tc>
        <w:tc>
          <w:tcPr>
            <w:tcW w:w="1474" w:type="dxa"/>
            <w:vAlign w:val="center"/>
          </w:tcPr>
          <w:p w14:paraId="38BCD55D">
            <w:pPr>
              <w:pStyle w:val="11"/>
            </w:pPr>
          </w:p>
        </w:tc>
        <w:tc>
          <w:tcPr>
            <w:tcW w:w="1474" w:type="dxa"/>
            <w:vAlign w:val="center"/>
          </w:tcPr>
          <w:p w14:paraId="2BDD6E67">
            <w:pPr>
              <w:pStyle w:val="11"/>
            </w:pPr>
          </w:p>
        </w:tc>
      </w:tr>
      <w:tr w14:paraId="7769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7BFE">
            <w:pPr>
              <w:pStyle w:val="13"/>
            </w:pPr>
            <w:r>
              <w:t>29</w:t>
            </w:r>
          </w:p>
        </w:tc>
        <w:tc>
          <w:tcPr>
            <w:tcW w:w="3402" w:type="dxa"/>
            <w:vAlign w:val="center"/>
          </w:tcPr>
          <w:p w14:paraId="36AF0D64">
            <w:pPr>
              <w:pStyle w:val="12"/>
            </w:pPr>
          </w:p>
        </w:tc>
        <w:tc>
          <w:tcPr>
            <w:tcW w:w="1474" w:type="dxa"/>
            <w:vAlign w:val="center"/>
          </w:tcPr>
          <w:p w14:paraId="3AAF110F">
            <w:pPr>
              <w:pStyle w:val="11"/>
            </w:pPr>
          </w:p>
        </w:tc>
        <w:tc>
          <w:tcPr>
            <w:tcW w:w="3402" w:type="dxa"/>
            <w:vAlign w:val="center"/>
          </w:tcPr>
          <w:p w14:paraId="57CE9BC5">
            <w:pPr>
              <w:pStyle w:val="12"/>
            </w:pPr>
            <w:r>
              <w:t>二十九、债务发行费用支出</w:t>
            </w:r>
          </w:p>
        </w:tc>
        <w:tc>
          <w:tcPr>
            <w:tcW w:w="1474" w:type="dxa"/>
            <w:vAlign w:val="center"/>
          </w:tcPr>
          <w:p w14:paraId="2AE495B2">
            <w:pPr>
              <w:pStyle w:val="11"/>
            </w:pPr>
          </w:p>
        </w:tc>
        <w:tc>
          <w:tcPr>
            <w:tcW w:w="1474" w:type="dxa"/>
            <w:vAlign w:val="center"/>
          </w:tcPr>
          <w:p w14:paraId="7CB3FDA3">
            <w:pPr>
              <w:pStyle w:val="11"/>
            </w:pPr>
          </w:p>
        </w:tc>
        <w:tc>
          <w:tcPr>
            <w:tcW w:w="1474" w:type="dxa"/>
            <w:vAlign w:val="center"/>
          </w:tcPr>
          <w:p w14:paraId="17A30D22">
            <w:pPr>
              <w:pStyle w:val="11"/>
            </w:pPr>
          </w:p>
        </w:tc>
        <w:tc>
          <w:tcPr>
            <w:tcW w:w="1474" w:type="dxa"/>
            <w:vAlign w:val="center"/>
          </w:tcPr>
          <w:p w14:paraId="5ACB23E7">
            <w:pPr>
              <w:pStyle w:val="11"/>
            </w:pPr>
          </w:p>
        </w:tc>
      </w:tr>
      <w:tr w14:paraId="52F77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4F932">
            <w:pPr>
              <w:pStyle w:val="13"/>
            </w:pPr>
            <w:r>
              <w:t>30</w:t>
            </w:r>
          </w:p>
        </w:tc>
        <w:tc>
          <w:tcPr>
            <w:tcW w:w="3402" w:type="dxa"/>
            <w:vAlign w:val="center"/>
          </w:tcPr>
          <w:p w14:paraId="6D0C343F">
            <w:pPr>
              <w:pStyle w:val="12"/>
            </w:pPr>
          </w:p>
        </w:tc>
        <w:tc>
          <w:tcPr>
            <w:tcW w:w="1474" w:type="dxa"/>
            <w:vAlign w:val="center"/>
          </w:tcPr>
          <w:p w14:paraId="697623E0">
            <w:pPr>
              <w:pStyle w:val="11"/>
            </w:pPr>
          </w:p>
        </w:tc>
        <w:tc>
          <w:tcPr>
            <w:tcW w:w="3402" w:type="dxa"/>
            <w:vAlign w:val="center"/>
          </w:tcPr>
          <w:p w14:paraId="77302C71">
            <w:pPr>
              <w:pStyle w:val="12"/>
            </w:pPr>
            <w:r>
              <w:t>三十、抗疫特别国债安排的支出</w:t>
            </w:r>
          </w:p>
        </w:tc>
        <w:tc>
          <w:tcPr>
            <w:tcW w:w="1474" w:type="dxa"/>
            <w:vAlign w:val="center"/>
          </w:tcPr>
          <w:p w14:paraId="2E6961BB">
            <w:pPr>
              <w:pStyle w:val="11"/>
            </w:pPr>
          </w:p>
        </w:tc>
        <w:tc>
          <w:tcPr>
            <w:tcW w:w="1474" w:type="dxa"/>
            <w:vAlign w:val="center"/>
          </w:tcPr>
          <w:p w14:paraId="282E6A01">
            <w:pPr>
              <w:pStyle w:val="11"/>
            </w:pPr>
          </w:p>
        </w:tc>
        <w:tc>
          <w:tcPr>
            <w:tcW w:w="1474" w:type="dxa"/>
            <w:vAlign w:val="center"/>
          </w:tcPr>
          <w:p w14:paraId="3F2C8DFD">
            <w:pPr>
              <w:pStyle w:val="11"/>
            </w:pPr>
          </w:p>
        </w:tc>
        <w:tc>
          <w:tcPr>
            <w:tcW w:w="1474" w:type="dxa"/>
            <w:vAlign w:val="center"/>
          </w:tcPr>
          <w:p w14:paraId="53A2035B">
            <w:pPr>
              <w:pStyle w:val="11"/>
            </w:pPr>
          </w:p>
        </w:tc>
      </w:tr>
      <w:tr w14:paraId="70A0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9069F">
            <w:pPr>
              <w:pStyle w:val="13"/>
            </w:pPr>
            <w:r>
              <w:t>31</w:t>
            </w:r>
          </w:p>
        </w:tc>
        <w:tc>
          <w:tcPr>
            <w:tcW w:w="3402" w:type="dxa"/>
            <w:vAlign w:val="center"/>
          </w:tcPr>
          <w:p w14:paraId="6DA00F85">
            <w:pPr>
              <w:pStyle w:val="12"/>
            </w:pPr>
          </w:p>
        </w:tc>
        <w:tc>
          <w:tcPr>
            <w:tcW w:w="1474" w:type="dxa"/>
            <w:vAlign w:val="center"/>
          </w:tcPr>
          <w:p w14:paraId="3F5EBBD3">
            <w:pPr>
              <w:pStyle w:val="11"/>
            </w:pPr>
          </w:p>
        </w:tc>
        <w:tc>
          <w:tcPr>
            <w:tcW w:w="3402" w:type="dxa"/>
            <w:vAlign w:val="center"/>
          </w:tcPr>
          <w:p w14:paraId="01180A3C">
            <w:pPr>
              <w:pStyle w:val="12"/>
            </w:pPr>
            <w:r>
              <w:t>三十一、人行科目</w:t>
            </w:r>
          </w:p>
        </w:tc>
        <w:tc>
          <w:tcPr>
            <w:tcW w:w="1474" w:type="dxa"/>
            <w:vAlign w:val="center"/>
          </w:tcPr>
          <w:p w14:paraId="65885168">
            <w:pPr>
              <w:pStyle w:val="11"/>
            </w:pPr>
          </w:p>
        </w:tc>
        <w:tc>
          <w:tcPr>
            <w:tcW w:w="1474" w:type="dxa"/>
            <w:vAlign w:val="center"/>
          </w:tcPr>
          <w:p w14:paraId="69B16198">
            <w:pPr>
              <w:pStyle w:val="11"/>
            </w:pPr>
          </w:p>
        </w:tc>
        <w:tc>
          <w:tcPr>
            <w:tcW w:w="1474" w:type="dxa"/>
            <w:vAlign w:val="center"/>
          </w:tcPr>
          <w:p w14:paraId="1189EF8A">
            <w:pPr>
              <w:pStyle w:val="11"/>
            </w:pPr>
          </w:p>
        </w:tc>
        <w:tc>
          <w:tcPr>
            <w:tcW w:w="1474" w:type="dxa"/>
            <w:vAlign w:val="center"/>
          </w:tcPr>
          <w:p w14:paraId="77E795E2">
            <w:pPr>
              <w:pStyle w:val="11"/>
            </w:pPr>
          </w:p>
        </w:tc>
      </w:tr>
      <w:tr w14:paraId="5AF6694C">
        <w:tblPrEx>
          <w:tblCellMar>
            <w:top w:w="0" w:type="dxa"/>
            <w:left w:w="108" w:type="dxa"/>
            <w:bottom w:w="0" w:type="dxa"/>
            <w:right w:w="108" w:type="dxa"/>
          </w:tblCellMar>
        </w:tblPrEx>
        <w:trPr>
          <w:trHeight w:val="369" w:hRule="atLeast"/>
          <w:jc w:val="center"/>
        </w:trPr>
        <w:tc>
          <w:tcPr>
            <w:tcW w:w="850" w:type="dxa"/>
            <w:vAlign w:val="center"/>
          </w:tcPr>
          <w:p w14:paraId="2664045C">
            <w:pPr>
              <w:pStyle w:val="13"/>
            </w:pPr>
            <w:r>
              <w:t>32</w:t>
            </w:r>
          </w:p>
        </w:tc>
        <w:tc>
          <w:tcPr>
            <w:tcW w:w="3402" w:type="dxa"/>
            <w:vAlign w:val="center"/>
          </w:tcPr>
          <w:p w14:paraId="31B94207">
            <w:pPr>
              <w:pStyle w:val="14"/>
            </w:pPr>
            <w:r>
              <w:t>本年收入合计</w:t>
            </w:r>
          </w:p>
        </w:tc>
        <w:tc>
          <w:tcPr>
            <w:tcW w:w="1474" w:type="dxa"/>
            <w:vAlign w:val="center"/>
          </w:tcPr>
          <w:p w14:paraId="563446A9">
            <w:pPr>
              <w:pStyle w:val="15"/>
            </w:pPr>
            <w:r>
              <w:t>2005.82</w:t>
            </w:r>
          </w:p>
        </w:tc>
        <w:tc>
          <w:tcPr>
            <w:tcW w:w="3402" w:type="dxa"/>
            <w:vAlign w:val="center"/>
          </w:tcPr>
          <w:p w14:paraId="594981C0">
            <w:pPr>
              <w:pStyle w:val="14"/>
            </w:pPr>
            <w:r>
              <w:t>本年支出合计</w:t>
            </w:r>
          </w:p>
        </w:tc>
        <w:tc>
          <w:tcPr>
            <w:tcW w:w="1474" w:type="dxa"/>
            <w:vAlign w:val="center"/>
          </w:tcPr>
          <w:p w14:paraId="61D72D68">
            <w:pPr>
              <w:pStyle w:val="15"/>
            </w:pPr>
            <w:r>
              <w:t>2005.82</w:t>
            </w:r>
          </w:p>
        </w:tc>
        <w:tc>
          <w:tcPr>
            <w:tcW w:w="1474" w:type="dxa"/>
            <w:vAlign w:val="center"/>
          </w:tcPr>
          <w:p w14:paraId="5FA22D04">
            <w:pPr>
              <w:pStyle w:val="15"/>
            </w:pPr>
            <w:r>
              <w:t>2005.82</w:t>
            </w:r>
          </w:p>
        </w:tc>
        <w:tc>
          <w:tcPr>
            <w:tcW w:w="1474" w:type="dxa"/>
            <w:vAlign w:val="center"/>
          </w:tcPr>
          <w:p w14:paraId="2C9610BD">
            <w:pPr>
              <w:pStyle w:val="15"/>
            </w:pPr>
          </w:p>
        </w:tc>
        <w:tc>
          <w:tcPr>
            <w:tcW w:w="1474" w:type="dxa"/>
            <w:vAlign w:val="center"/>
          </w:tcPr>
          <w:p w14:paraId="47BB275B">
            <w:pPr>
              <w:pStyle w:val="15"/>
            </w:pPr>
          </w:p>
        </w:tc>
      </w:tr>
      <w:tr w14:paraId="36D3E806">
        <w:tblPrEx>
          <w:tblCellMar>
            <w:top w:w="0" w:type="dxa"/>
            <w:left w:w="108" w:type="dxa"/>
            <w:bottom w:w="0" w:type="dxa"/>
            <w:right w:w="108" w:type="dxa"/>
          </w:tblCellMar>
        </w:tblPrEx>
        <w:trPr>
          <w:trHeight w:val="369" w:hRule="atLeast"/>
          <w:jc w:val="center"/>
        </w:trPr>
        <w:tc>
          <w:tcPr>
            <w:tcW w:w="850" w:type="dxa"/>
            <w:vAlign w:val="center"/>
          </w:tcPr>
          <w:p w14:paraId="5CCE59DA">
            <w:pPr>
              <w:pStyle w:val="13"/>
            </w:pPr>
            <w:r>
              <w:t>33</w:t>
            </w:r>
          </w:p>
        </w:tc>
        <w:tc>
          <w:tcPr>
            <w:tcW w:w="3402" w:type="dxa"/>
            <w:vAlign w:val="center"/>
          </w:tcPr>
          <w:p w14:paraId="0B241B2B">
            <w:pPr>
              <w:pStyle w:val="12"/>
            </w:pPr>
            <w:r>
              <w:t>年初财政拨款结转和结余</w:t>
            </w:r>
          </w:p>
        </w:tc>
        <w:tc>
          <w:tcPr>
            <w:tcW w:w="1474" w:type="dxa"/>
            <w:vAlign w:val="center"/>
          </w:tcPr>
          <w:p w14:paraId="792D64AC">
            <w:pPr>
              <w:pStyle w:val="11"/>
            </w:pPr>
          </w:p>
        </w:tc>
        <w:tc>
          <w:tcPr>
            <w:tcW w:w="3402" w:type="dxa"/>
            <w:vAlign w:val="center"/>
          </w:tcPr>
          <w:p w14:paraId="3676BF13">
            <w:pPr>
              <w:pStyle w:val="12"/>
            </w:pPr>
            <w:r>
              <w:t>年末财政拨款结转和结余</w:t>
            </w:r>
          </w:p>
        </w:tc>
        <w:tc>
          <w:tcPr>
            <w:tcW w:w="1474" w:type="dxa"/>
            <w:vAlign w:val="center"/>
          </w:tcPr>
          <w:p w14:paraId="58D07067">
            <w:pPr>
              <w:pStyle w:val="11"/>
            </w:pPr>
          </w:p>
        </w:tc>
        <w:tc>
          <w:tcPr>
            <w:tcW w:w="1474" w:type="dxa"/>
            <w:vAlign w:val="center"/>
          </w:tcPr>
          <w:p w14:paraId="02AEF6C4">
            <w:pPr>
              <w:pStyle w:val="11"/>
            </w:pPr>
          </w:p>
        </w:tc>
        <w:tc>
          <w:tcPr>
            <w:tcW w:w="1474" w:type="dxa"/>
            <w:vAlign w:val="center"/>
          </w:tcPr>
          <w:p w14:paraId="3724C746">
            <w:pPr>
              <w:pStyle w:val="11"/>
            </w:pPr>
          </w:p>
        </w:tc>
        <w:tc>
          <w:tcPr>
            <w:tcW w:w="1474" w:type="dxa"/>
            <w:vAlign w:val="center"/>
          </w:tcPr>
          <w:p w14:paraId="5CB30DDA">
            <w:pPr>
              <w:pStyle w:val="11"/>
            </w:pPr>
          </w:p>
        </w:tc>
      </w:tr>
      <w:tr w14:paraId="7C94D867">
        <w:tblPrEx>
          <w:tblCellMar>
            <w:top w:w="0" w:type="dxa"/>
            <w:left w:w="108" w:type="dxa"/>
            <w:bottom w:w="0" w:type="dxa"/>
            <w:right w:w="108" w:type="dxa"/>
          </w:tblCellMar>
        </w:tblPrEx>
        <w:trPr>
          <w:trHeight w:val="369" w:hRule="atLeast"/>
          <w:jc w:val="center"/>
        </w:trPr>
        <w:tc>
          <w:tcPr>
            <w:tcW w:w="850" w:type="dxa"/>
            <w:vAlign w:val="center"/>
          </w:tcPr>
          <w:p w14:paraId="6F84C375">
            <w:pPr>
              <w:pStyle w:val="13"/>
            </w:pPr>
            <w:r>
              <w:t>34</w:t>
            </w:r>
          </w:p>
        </w:tc>
        <w:tc>
          <w:tcPr>
            <w:tcW w:w="3402" w:type="dxa"/>
            <w:vAlign w:val="center"/>
          </w:tcPr>
          <w:p w14:paraId="55FD4CE9">
            <w:pPr>
              <w:pStyle w:val="12"/>
            </w:pPr>
            <w:r>
              <w:t>一、一般公共预算拨款</w:t>
            </w:r>
          </w:p>
        </w:tc>
        <w:tc>
          <w:tcPr>
            <w:tcW w:w="1474" w:type="dxa"/>
            <w:vAlign w:val="center"/>
          </w:tcPr>
          <w:p w14:paraId="5EAB6318">
            <w:pPr>
              <w:pStyle w:val="11"/>
            </w:pPr>
          </w:p>
        </w:tc>
        <w:tc>
          <w:tcPr>
            <w:tcW w:w="3402" w:type="dxa"/>
            <w:vAlign w:val="center"/>
          </w:tcPr>
          <w:p w14:paraId="340A568E">
            <w:pPr>
              <w:pStyle w:val="12"/>
            </w:pPr>
          </w:p>
        </w:tc>
        <w:tc>
          <w:tcPr>
            <w:tcW w:w="1474" w:type="dxa"/>
            <w:vAlign w:val="center"/>
          </w:tcPr>
          <w:p w14:paraId="615538EE">
            <w:pPr>
              <w:pStyle w:val="11"/>
            </w:pPr>
          </w:p>
        </w:tc>
        <w:tc>
          <w:tcPr>
            <w:tcW w:w="1474" w:type="dxa"/>
            <w:vAlign w:val="center"/>
          </w:tcPr>
          <w:p w14:paraId="5D523608">
            <w:pPr>
              <w:pStyle w:val="11"/>
            </w:pPr>
          </w:p>
        </w:tc>
        <w:tc>
          <w:tcPr>
            <w:tcW w:w="1474" w:type="dxa"/>
            <w:vAlign w:val="center"/>
          </w:tcPr>
          <w:p w14:paraId="7AC3B29F">
            <w:pPr>
              <w:pStyle w:val="11"/>
            </w:pPr>
          </w:p>
        </w:tc>
        <w:tc>
          <w:tcPr>
            <w:tcW w:w="1474" w:type="dxa"/>
            <w:vAlign w:val="center"/>
          </w:tcPr>
          <w:p w14:paraId="7290ADDC">
            <w:pPr>
              <w:pStyle w:val="11"/>
            </w:pPr>
          </w:p>
        </w:tc>
      </w:tr>
      <w:tr w14:paraId="5B5E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65A7E">
            <w:pPr>
              <w:pStyle w:val="13"/>
            </w:pPr>
            <w:r>
              <w:t>35</w:t>
            </w:r>
          </w:p>
        </w:tc>
        <w:tc>
          <w:tcPr>
            <w:tcW w:w="3402" w:type="dxa"/>
            <w:vAlign w:val="center"/>
          </w:tcPr>
          <w:p w14:paraId="73E10C44">
            <w:pPr>
              <w:pStyle w:val="12"/>
            </w:pPr>
            <w:r>
              <w:t>二、政府性基金预算拨款</w:t>
            </w:r>
          </w:p>
        </w:tc>
        <w:tc>
          <w:tcPr>
            <w:tcW w:w="1474" w:type="dxa"/>
            <w:vAlign w:val="center"/>
          </w:tcPr>
          <w:p w14:paraId="31C9E354">
            <w:pPr>
              <w:pStyle w:val="11"/>
            </w:pPr>
          </w:p>
        </w:tc>
        <w:tc>
          <w:tcPr>
            <w:tcW w:w="3402" w:type="dxa"/>
            <w:vAlign w:val="center"/>
          </w:tcPr>
          <w:p w14:paraId="4AB45932">
            <w:pPr>
              <w:pStyle w:val="12"/>
            </w:pPr>
          </w:p>
        </w:tc>
        <w:tc>
          <w:tcPr>
            <w:tcW w:w="1474" w:type="dxa"/>
            <w:vAlign w:val="center"/>
          </w:tcPr>
          <w:p w14:paraId="32F196DC">
            <w:pPr>
              <w:pStyle w:val="11"/>
            </w:pPr>
          </w:p>
        </w:tc>
        <w:tc>
          <w:tcPr>
            <w:tcW w:w="1474" w:type="dxa"/>
            <w:vAlign w:val="center"/>
          </w:tcPr>
          <w:p w14:paraId="11DC6B97">
            <w:pPr>
              <w:pStyle w:val="11"/>
            </w:pPr>
          </w:p>
        </w:tc>
        <w:tc>
          <w:tcPr>
            <w:tcW w:w="1474" w:type="dxa"/>
            <w:vAlign w:val="center"/>
          </w:tcPr>
          <w:p w14:paraId="351877A0">
            <w:pPr>
              <w:pStyle w:val="11"/>
            </w:pPr>
          </w:p>
        </w:tc>
        <w:tc>
          <w:tcPr>
            <w:tcW w:w="1474" w:type="dxa"/>
            <w:vAlign w:val="center"/>
          </w:tcPr>
          <w:p w14:paraId="5C02EA18">
            <w:pPr>
              <w:pStyle w:val="11"/>
            </w:pPr>
          </w:p>
        </w:tc>
      </w:tr>
      <w:tr w14:paraId="5CD8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D685">
            <w:pPr>
              <w:pStyle w:val="13"/>
            </w:pPr>
            <w:r>
              <w:t>36</w:t>
            </w:r>
          </w:p>
        </w:tc>
        <w:tc>
          <w:tcPr>
            <w:tcW w:w="3402" w:type="dxa"/>
            <w:vAlign w:val="center"/>
          </w:tcPr>
          <w:p w14:paraId="7DD1AC2D">
            <w:pPr>
              <w:pStyle w:val="12"/>
            </w:pPr>
            <w:r>
              <w:t>三、国有资本经营预算拨款</w:t>
            </w:r>
          </w:p>
        </w:tc>
        <w:tc>
          <w:tcPr>
            <w:tcW w:w="1474" w:type="dxa"/>
            <w:vAlign w:val="center"/>
          </w:tcPr>
          <w:p w14:paraId="127D48A6">
            <w:pPr>
              <w:pStyle w:val="11"/>
            </w:pPr>
          </w:p>
        </w:tc>
        <w:tc>
          <w:tcPr>
            <w:tcW w:w="3402" w:type="dxa"/>
            <w:vAlign w:val="center"/>
          </w:tcPr>
          <w:p w14:paraId="0659D459">
            <w:pPr>
              <w:pStyle w:val="12"/>
            </w:pPr>
          </w:p>
        </w:tc>
        <w:tc>
          <w:tcPr>
            <w:tcW w:w="1474" w:type="dxa"/>
            <w:vAlign w:val="center"/>
          </w:tcPr>
          <w:p w14:paraId="3A696323">
            <w:pPr>
              <w:pStyle w:val="11"/>
            </w:pPr>
          </w:p>
        </w:tc>
        <w:tc>
          <w:tcPr>
            <w:tcW w:w="1474" w:type="dxa"/>
            <w:vAlign w:val="center"/>
          </w:tcPr>
          <w:p w14:paraId="2C726E1B">
            <w:pPr>
              <w:pStyle w:val="11"/>
            </w:pPr>
          </w:p>
        </w:tc>
        <w:tc>
          <w:tcPr>
            <w:tcW w:w="1474" w:type="dxa"/>
            <w:vAlign w:val="center"/>
          </w:tcPr>
          <w:p w14:paraId="26F9677E">
            <w:pPr>
              <w:pStyle w:val="11"/>
            </w:pPr>
          </w:p>
        </w:tc>
        <w:tc>
          <w:tcPr>
            <w:tcW w:w="1474" w:type="dxa"/>
            <w:vAlign w:val="center"/>
          </w:tcPr>
          <w:p w14:paraId="35596A18">
            <w:pPr>
              <w:pStyle w:val="11"/>
            </w:pPr>
          </w:p>
        </w:tc>
      </w:tr>
      <w:tr w14:paraId="19E8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3ADF">
            <w:pPr>
              <w:pStyle w:val="13"/>
            </w:pPr>
            <w:r>
              <w:t>37</w:t>
            </w:r>
          </w:p>
        </w:tc>
        <w:tc>
          <w:tcPr>
            <w:tcW w:w="3402" w:type="dxa"/>
            <w:vAlign w:val="center"/>
          </w:tcPr>
          <w:p w14:paraId="6453A3F4">
            <w:pPr>
              <w:pStyle w:val="14"/>
            </w:pPr>
            <w:r>
              <w:t>收入总计</w:t>
            </w:r>
          </w:p>
        </w:tc>
        <w:tc>
          <w:tcPr>
            <w:tcW w:w="1474" w:type="dxa"/>
            <w:vAlign w:val="center"/>
          </w:tcPr>
          <w:p w14:paraId="246908E5">
            <w:pPr>
              <w:pStyle w:val="15"/>
            </w:pPr>
            <w:r>
              <w:t>2005.82</w:t>
            </w:r>
          </w:p>
        </w:tc>
        <w:tc>
          <w:tcPr>
            <w:tcW w:w="3402" w:type="dxa"/>
            <w:vAlign w:val="center"/>
          </w:tcPr>
          <w:p w14:paraId="207BF72E">
            <w:pPr>
              <w:pStyle w:val="14"/>
            </w:pPr>
            <w:r>
              <w:t>支出总计</w:t>
            </w:r>
          </w:p>
        </w:tc>
        <w:tc>
          <w:tcPr>
            <w:tcW w:w="1474" w:type="dxa"/>
            <w:vAlign w:val="center"/>
          </w:tcPr>
          <w:p w14:paraId="05D9C5D8">
            <w:pPr>
              <w:pStyle w:val="15"/>
            </w:pPr>
            <w:r>
              <w:t>2005.82</w:t>
            </w:r>
          </w:p>
        </w:tc>
        <w:tc>
          <w:tcPr>
            <w:tcW w:w="1474" w:type="dxa"/>
            <w:vAlign w:val="center"/>
          </w:tcPr>
          <w:p w14:paraId="1AF20141">
            <w:pPr>
              <w:pStyle w:val="15"/>
            </w:pPr>
            <w:r>
              <w:t>2005.82</w:t>
            </w:r>
          </w:p>
        </w:tc>
        <w:tc>
          <w:tcPr>
            <w:tcW w:w="1474" w:type="dxa"/>
            <w:vAlign w:val="center"/>
          </w:tcPr>
          <w:p w14:paraId="6AB36246">
            <w:pPr>
              <w:pStyle w:val="15"/>
            </w:pPr>
          </w:p>
        </w:tc>
        <w:tc>
          <w:tcPr>
            <w:tcW w:w="1474" w:type="dxa"/>
            <w:vAlign w:val="center"/>
          </w:tcPr>
          <w:p w14:paraId="3220735E">
            <w:pPr>
              <w:pStyle w:val="15"/>
            </w:pPr>
          </w:p>
        </w:tc>
      </w:tr>
    </w:tbl>
    <w:p w14:paraId="06653328">
      <w:pPr>
        <w:sectPr>
          <w:pgSz w:w="16840" w:h="11900" w:orient="landscape"/>
          <w:pgMar w:top="1361" w:right="1020" w:bottom="1134" w:left="1020" w:header="720" w:footer="720" w:gutter="0"/>
          <w:cols w:space="720" w:num="1"/>
        </w:sectPr>
      </w:pPr>
    </w:p>
    <w:p w14:paraId="5457E7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35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D665AA">
            <w:pPr>
              <w:pStyle w:val="9"/>
            </w:pPr>
            <w:r>
              <w:t>360018隆尧县北楼校区</w:t>
            </w:r>
          </w:p>
        </w:tc>
        <w:tc>
          <w:tcPr>
            <w:tcW w:w="2551" w:type="dxa"/>
            <w:tcBorders>
              <w:top w:val="single" w:color="FFFFFF" w:sz="6" w:space="0"/>
              <w:left w:val="single" w:color="FFFFFF" w:sz="6" w:space="0"/>
              <w:right w:val="single" w:color="FFFFFF" w:sz="6" w:space="0"/>
            </w:tcBorders>
            <w:vAlign w:val="center"/>
          </w:tcPr>
          <w:p w14:paraId="7FE231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754786">
            <w:pPr>
              <w:pStyle w:val="7"/>
            </w:pPr>
            <w:r>
              <w:t>单位：万元</w:t>
            </w:r>
          </w:p>
        </w:tc>
      </w:tr>
      <w:tr w14:paraId="66FD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503F2">
            <w:pPr>
              <w:pStyle w:val="10"/>
            </w:pPr>
            <w:r>
              <w:t>序号</w:t>
            </w:r>
          </w:p>
        </w:tc>
        <w:tc>
          <w:tcPr>
            <w:tcW w:w="5726" w:type="dxa"/>
            <w:gridSpan w:val="2"/>
            <w:vAlign w:val="center"/>
          </w:tcPr>
          <w:p w14:paraId="6F5ADB80">
            <w:pPr>
              <w:pStyle w:val="10"/>
            </w:pPr>
            <w:r>
              <w:t>功能分类科目</w:t>
            </w:r>
          </w:p>
        </w:tc>
        <w:tc>
          <w:tcPr>
            <w:tcW w:w="2551" w:type="dxa"/>
            <w:vMerge w:val="restart"/>
            <w:vAlign w:val="center"/>
          </w:tcPr>
          <w:p w14:paraId="3A9D6DFF">
            <w:pPr>
              <w:pStyle w:val="10"/>
            </w:pPr>
            <w:r>
              <w:t>合计</w:t>
            </w:r>
          </w:p>
        </w:tc>
        <w:tc>
          <w:tcPr>
            <w:tcW w:w="2551" w:type="dxa"/>
            <w:vMerge w:val="restart"/>
            <w:vAlign w:val="center"/>
          </w:tcPr>
          <w:p w14:paraId="774BA6BF">
            <w:pPr>
              <w:pStyle w:val="10"/>
            </w:pPr>
            <w:r>
              <w:t>基本支出</w:t>
            </w:r>
          </w:p>
        </w:tc>
        <w:tc>
          <w:tcPr>
            <w:tcW w:w="2551" w:type="dxa"/>
            <w:vMerge w:val="restart"/>
            <w:vAlign w:val="center"/>
          </w:tcPr>
          <w:p w14:paraId="3A3B9F95">
            <w:pPr>
              <w:pStyle w:val="10"/>
            </w:pPr>
            <w:r>
              <w:t>项目支出</w:t>
            </w:r>
          </w:p>
        </w:tc>
      </w:tr>
      <w:tr w14:paraId="5C75A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11CEF9"/>
        </w:tc>
        <w:tc>
          <w:tcPr>
            <w:tcW w:w="1191" w:type="dxa"/>
            <w:vAlign w:val="center"/>
          </w:tcPr>
          <w:p w14:paraId="7E8B07C5">
            <w:pPr>
              <w:pStyle w:val="10"/>
            </w:pPr>
            <w:r>
              <w:t>科目编码</w:t>
            </w:r>
          </w:p>
        </w:tc>
        <w:tc>
          <w:tcPr>
            <w:tcW w:w="4535" w:type="dxa"/>
            <w:vAlign w:val="center"/>
          </w:tcPr>
          <w:p w14:paraId="67C248D4">
            <w:pPr>
              <w:pStyle w:val="10"/>
            </w:pPr>
            <w:r>
              <w:t>科目名称</w:t>
            </w:r>
          </w:p>
        </w:tc>
        <w:tc>
          <w:tcPr>
            <w:tcW w:w="2551" w:type="dxa"/>
            <w:vMerge w:val="continue"/>
          </w:tcPr>
          <w:p w14:paraId="77A4A51C"/>
        </w:tc>
        <w:tc>
          <w:tcPr>
            <w:tcW w:w="2551" w:type="dxa"/>
            <w:vMerge w:val="continue"/>
          </w:tcPr>
          <w:p w14:paraId="714EBF13"/>
        </w:tc>
        <w:tc>
          <w:tcPr>
            <w:tcW w:w="2551" w:type="dxa"/>
            <w:vMerge w:val="continue"/>
          </w:tcPr>
          <w:p w14:paraId="70C673C3"/>
        </w:tc>
      </w:tr>
      <w:tr w14:paraId="14EF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8F0DF">
            <w:pPr>
              <w:pStyle w:val="10"/>
            </w:pPr>
            <w:r>
              <w:t>栏次</w:t>
            </w:r>
          </w:p>
        </w:tc>
        <w:tc>
          <w:tcPr>
            <w:tcW w:w="1191" w:type="dxa"/>
            <w:vAlign w:val="center"/>
          </w:tcPr>
          <w:p w14:paraId="49A3502C">
            <w:pPr>
              <w:pStyle w:val="10"/>
            </w:pPr>
            <w:r>
              <w:t>1</w:t>
            </w:r>
          </w:p>
        </w:tc>
        <w:tc>
          <w:tcPr>
            <w:tcW w:w="4535" w:type="dxa"/>
            <w:vAlign w:val="center"/>
          </w:tcPr>
          <w:p w14:paraId="6E1AF138">
            <w:pPr>
              <w:pStyle w:val="10"/>
            </w:pPr>
            <w:r>
              <w:t>2</w:t>
            </w:r>
          </w:p>
        </w:tc>
        <w:tc>
          <w:tcPr>
            <w:tcW w:w="2551" w:type="dxa"/>
            <w:vAlign w:val="center"/>
          </w:tcPr>
          <w:p w14:paraId="778F8EA0">
            <w:pPr>
              <w:pStyle w:val="10"/>
            </w:pPr>
            <w:r>
              <w:t>3</w:t>
            </w:r>
          </w:p>
        </w:tc>
        <w:tc>
          <w:tcPr>
            <w:tcW w:w="2551" w:type="dxa"/>
            <w:vAlign w:val="center"/>
          </w:tcPr>
          <w:p w14:paraId="15F619DB">
            <w:pPr>
              <w:pStyle w:val="10"/>
            </w:pPr>
            <w:r>
              <w:t>4</w:t>
            </w:r>
          </w:p>
        </w:tc>
        <w:tc>
          <w:tcPr>
            <w:tcW w:w="2551" w:type="dxa"/>
            <w:vAlign w:val="center"/>
          </w:tcPr>
          <w:p w14:paraId="00B4F1D7">
            <w:pPr>
              <w:pStyle w:val="10"/>
            </w:pPr>
            <w:r>
              <w:t>5</w:t>
            </w:r>
          </w:p>
        </w:tc>
      </w:tr>
      <w:tr w14:paraId="4352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F4FA">
            <w:pPr>
              <w:pStyle w:val="13"/>
            </w:pPr>
            <w:r>
              <w:t>1</w:t>
            </w:r>
          </w:p>
        </w:tc>
        <w:tc>
          <w:tcPr>
            <w:tcW w:w="1191" w:type="dxa"/>
            <w:vAlign w:val="center"/>
          </w:tcPr>
          <w:p w14:paraId="193D784B">
            <w:pPr>
              <w:pStyle w:val="16"/>
            </w:pPr>
          </w:p>
        </w:tc>
        <w:tc>
          <w:tcPr>
            <w:tcW w:w="4535" w:type="dxa"/>
            <w:vAlign w:val="center"/>
          </w:tcPr>
          <w:p w14:paraId="62D9E9D8">
            <w:pPr>
              <w:pStyle w:val="14"/>
            </w:pPr>
            <w:r>
              <w:t>合计</w:t>
            </w:r>
          </w:p>
        </w:tc>
        <w:tc>
          <w:tcPr>
            <w:tcW w:w="2551" w:type="dxa"/>
            <w:vAlign w:val="center"/>
          </w:tcPr>
          <w:p w14:paraId="01A268B3">
            <w:pPr>
              <w:pStyle w:val="15"/>
            </w:pPr>
            <w:r>
              <w:t>2005.82</w:t>
            </w:r>
          </w:p>
        </w:tc>
        <w:tc>
          <w:tcPr>
            <w:tcW w:w="2551" w:type="dxa"/>
            <w:vAlign w:val="center"/>
          </w:tcPr>
          <w:p w14:paraId="0E1FFFEA">
            <w:pPr>
              <w:pStyle w:val="15"/>
            </w:pPr>
            <w:r>
              <w:t>1534.93</w:t>
            </w:r>
          </w:p>
        </w:tc>
        <w:tc>
          <w:tcPr>
            <w:tcW w:w="2551" w:type="dxa"/>
            <w:vAlign w:val="center"/>
          </w:tcPr>
          <w:p w14:paraId="4DF48B17">
            <w:pPr>
              <w:pStyle w:val="15"/>
            </w:pPr>
            <w:r>
              <w:t>470.89</w:t>
            </w:r>
          </w:p>
        </w:tc>
      </w:tr>
      <w:tr w14:paraId="07AC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ED8F3">
            <w:pPr>
              <w:pStyle w:val="13"/>
            </w:pPr>
            <w:r>
              <w:t>2</w:t>
            </w:r>
          </w:p>
        </w:tc>
        <w:tc>
          <w:tcPr>
            <w:tcW w:w="1191" w:type="dxa"/>
            <w:vAlign w:val="center"/>
          </w:tcPr>
          <w:p w14:paraId="5C67880D">
            <w:pPr>
              <w:pStyle w:val="12"/>
            </w:pPr>
            <w:r>
              <w:t>205</w:t>
            </w:r>
          </w:p>
        </w:tc>
        <w:tc>
          <w:tcPr>
            <w:tcW w:w="4535" w:type="dxa"/>
            <w:vAlign w:val="center"/>
          </w:tcPr>
          <w:p w14:paraId="19159DEE">
            <w:pPr>
              <w:pStyle w:val="12"/>
            </w:pPr>
            <w:r>
              <w:t>教育支出</w:t>
            </w:r>
          </w:p>
        </w:tc>
        <w:tc>
          <w:tcPr>
            <w:tcW w:w="2551" w:type="dxa"/>
            <w:vAlign w:val="center"/>
          </w:tcPr>
          <w:p w14:paraId="55965920">
            <w:pPr>
              <w:pStyle w:val="11"/>
            </w:pPr>
            <w:r>
              <w:t>2005.82</w:t>
            </w:r>
          </w:p>
        </w:tc>
        <w:tc>
          <w:tcPr>
            <w:tcW w:w="2551" w:type="dxa"/>
            <w:vAlign w:val="center"/>
          </w:tcPr>
          <w:p w14:paraId="48B79A0F">
            <w:pPr>
              <w:pStyle w:val="11"/>
            </w:pPr>
            <w:r>
              <w:t>1534.93</w:t>
            </w:r>
          </w:p>
        </w:tc>
        <w:tc>
          <w:tcPr>
            <w:tcW w:w="2551" w:type="dxa"/>
            <w:vAlign w:val="center"/>
          </w:tcPr>
          <w:p w14:paraId="230BAEA6">
            <w:pPr>
              <w:pStyle w:val="11"/>
            </w:pPr>
            <w:r>
              <w:t>470.89</w:t>
            </w:r>
          </w:p>
        </w:tc>
      </w:tr>
      <w:tr w14:paraId="1B2B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986E6">
            <w:pPr>
              <w:pStyle w:val="13"/>
            </w:pPr>
            <w:r>
              <w:t>3</w:t>
            </w:r>
          </w:p>
        </w:tc>
        <w:tc>
          <w:tcPr>
            <w:tcW w:w="1191" w:type="dxa"/>
            <w:vAlign w:val="center"/>
          </w:tcPr>
          <w:p w14:paraId="6CCFBCBD">
            <w:pPr>
              <w:pStyle w:val="12"/>
            </w:pPr>
            <w:r>
              <w:t>20502</w:t>
            </w:r>
          </w:p>
        </w:tc>
        <w:tc>
          <w:tcPr>
            <w:tcW w:w="4535" w:type="dxa"/>
            <w:vAlign w:val="center"/>
          </w:tcPr>
          <w:p w14:paraId="45BB49D8">
            <w:pPr>
              <w:pStyle w:val="12"/>
            </w:pPr>
            <w:r>
              <w:t>普通教育</w:t>
            </w:r>
          </w:p>
        </w:tc>
        <w:tc>
          <w:tcPr>
            <w:tcW w:w="2551" w:type="dxa"/>
            <w:vAlign w:val="center"/>
          </w:tcPr>
          <w:p w14:paraId="374544E9">
            <w:pPr>
              <w:pStyle w:val="11"/>
            </w:pPr>
            <w:r>
              <w:t>2005.82</w:t>
            </w:r>
          </w:p>
        </w:tc>
        <w:tc>
          <w:tcPr>
            <w:tcW w:w="2551" w:type="dxa"/>
            <w:vAlign w:val="center"/>
          </w:tcPr>
          <w:p w14:paraId="66D49397">
            <w:pPr>
              <w:pStyle w:val="11"/>
            </w:pPr>
            <w:r>
              <w:t>1534.93</w:t>
            </w:r>
          </w:p>
        </w:tc>
        <w:tc>
          <w:tcPr>
            <w:tcW w:w="2551" w:type="dxa"/>
            <w:vAlign w:val="center"/>
          </w:tcPr>
          <w:p w14:paraId="39DC49DD">
            <w:pPr>
              <w:pStyle w:val="11"/>
            </w:pPr>
            <w:r>
              <w:t>470.89</w:t>
            </w:r>
          </w:p>
        </w:tc>
      </w:tr>
      <w:tr w14:paraId="55DA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BE18">
            <w:pPr>
              <w:pStyle w:val="13"/>
            </w:pPr>
            <w:r>
              <w:t>4</w:t>
            </w:r>
          </w:p>
        </w:tc>
        <w:tc>
          <w:tcPr>
            <w:tcW w:w="1191" w:type="dxa"/>
            <w:vAlign w:val="center"/>
          </w:tcPr>
          <w:p w14:paraId="4551F6BD">
            <w:pPr>
              <w:pStyle w:val="12"/>
            </w:pPr>
            <w:r>
              <w:t>2050201</w:t>
            </w:r>
          </w:p>
        </w:tc>
        <w:tc>
          <w:tcPr>
            <w:tcW w:w="4535" w:type="dxa"/>
            <w:vAlign w:val="center"/>
          </w:tcPr>
          <w:p w14:paraId="71FE4B8D">
            <w:pPr>
              <w:pStyle w:val="12"/>
            </w:pPr>
            <w:r>
              <w:t>学前教育</w:t>
            </w:r>
          </w:p>
        </w:tc>
        <w:tc>
          <w:tcPr>
            <w:tcW w:w="2551" w:type="dxa"/>
            <w:vAlign w:val="center"/>
          </w:tcPr>
          <w:p w14:paraId="2A0894CB">
            <w:pPr>
              <w:pStyle w:val="11"/>
            </w:pPr>
            <w:r>
              <w:t>164.03</w:t>
            </w:r>
          </w:p>
        </w:tc>
        <w:tc>
          <w:tcPr>
            <w:tcW w:w="2551" w:type="dxa"/>
            <w:vAlign w:val="center"/>
          </w:tcPr>
          <w:p w14:paraId="6B0602A9">
            <w:pPr>
              <w:pStyle w:val="11"/>
            </w:pPr>
          </w:p>
        </w:tc>
        <w:tc>
          <w:tcPr>
            <w:tcW w:w="2551" w:type="dxa"/>
            <w:vAlign w:val="center"/>
          </w:tcPr>
          <w:p w14:paraId="2BCE07E6">
            <w:pPr>
              <w:pStyle w:val="11"/>
            </w:pPr>
            <w:r>
              <w:t>164.03</w:t>
            </w:r>
          </w:p>
        </w:tc>
      </w:tr>
      <w:tr w14:paraId="073B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48E28">
            <w:pPr>
              <w:pStyle w:val="13"/>
            </w:pPr>
            <w:r>
              <w:t>5</w:t>
            </w:r>
          </w:p>
        </w:tc>
        <w:tc>
          <w:tcPr>
            <w:tcW w:w="1191" w:type="dxa"/>
            <w:vAlign w:val="center"/>
          </w:tcPr>
          <w:p w14:paraId="3C2490AD">
            <w:pPr>
              <w:pStyle w:val="12"/>
            </w:pPr>
            <w:r>
              <w:t>2050202</w:t>
            </w:r>
          </w:p>
        </w:tc>
        <w:tc>
          <w:tcPr>
            <w:tcW w:w="4535" w:type="dxa"/>
            <w:vAlign w:val="center"/>
          </w:tcPr>
          <w:p w14:paraId="1FF4D5DE">
            <w:pPr>
              <w:pStyle w:val="12"/>
            </w:pPr>
            <w:r>
              <w:t>小学教育</w:t>
            </w:r>
          </w:p>
        </w:tc>
        <w:tc>
          <w:tcPr>
            <w:tcW w:w="2551" w:type="dxa"/>
            <w:vAlign w:val="center"/>
          </w:tcPr>
          <w:p w14:paraId="29512BA3">
            <w:pPr>
              <w:pStyle w:val="11"/>
            </w:pPr>
            <w:r>
              <w:t>1841.79</w:t>
            </w:r>
          </w:p>
        </w:tc>
        <w:tc>
          <w:tcPr>
            <w:tcW w:w="2551" w:type="dxa"/>
            <w:vAlign w:val="center"/>
          </w:tcPr>
          <w:p w14:paraId="29C27AB3">
            <w:pPr>
              <w:pStyle w:val="11"/>
            </w:pPr>
            <w:r>
              <w:t>1534.93</w:t>
            </w:r>
          </w:p>
        </w:tc>
        <w:tc>
          <w:tcPr>
            <w:tcW w:w="2551" w:type="dxa"/>
            <w:vAlign w:val="center"/>
          </w:tcPr>
          <w:p w14:paraId="2697DAA0">
            <w:pPr>
              <w:pStyle w:val="11"/>
            </w:pPr>
            <w:r>
              <w:t>306.85</w:t>
            </w:r>
          </w:p>
        </w:tc>
      </w:tr>
    </w:tbl>
    <w:p w14:paraId="23E225D9">
      <w:pPr>
        <w:sectPr>
          <w:pgSz w:w="16840" w:h="11900" w:orient="landscape"/>
          <w:pgMar w:top="1361" w:right="1020" w:bottom="1134" w:left="1020" w:header="720" w:footer="720" w:gutter="0"/>
          <w:cols w:space="720" w:num="1"/>
        </w:sectPr>
      </w:pPr>
    </w:p>
    <w:p w14:paraId="5D68A2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E78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60BE58">
            <w:pPr>
              <w:pStyle w:val="9"/>
            </w:pPr>
            <w:r>
              <w:t>360018隆尧县北楼校区</w:t>
            </w:r>
          </w:p>
        </w:tc>
        <w:tc>
          <w:tcPr>
            <w:tcW w:w="2551" w:type="dxa"/>
            <w:tcBorders>
              <w:top w:val="single" w:color="FFFFFF" w:sz="6" w:space="0"/>
              <w:left w:val="single" w:color="FFFFFF" w:sz="6" w:space="0"/>
              <w:right w:val="single" w:color="FFFFFF" w:sz="6" w:space="0"/>
            </w:tcBorders>
            <w:vAlign w:val="center"/>
          </w:tcPr>
          <w:p w14:paraId="32BFA84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3A2E8F">
            <w:pPr>
              <w:pStyle w:val="7"/>
            </w:pPr>
            <w:r>
              <w:t>单位：万元</w:t>
            </w:r>
          </w:p>
        </w:tc>
      </w:tr>
      <w:tr w14:paraId="7597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9D64B">
            <w:pPr>
              <w:pStyle w:val="10"/>
            </w:pPr>
            <w:r>
              <w:t>序号</w:t>
            </w:r>
          </w:p>
        </w:tc>
        <w:tc>
          <w:tcPr>
            <w:tcW w:w="5726" w:type="dxa"/>
            <w:gridSpan w:val="2"/>
            <w:vAlign w:val="center"/>
          </w:tcPr>
          <w:p w14:paraId="50C0CADA">
            <w:pPr>
              <w:pStyle w:val="10"/>
            </w:pPr>
            <w:r>
              <w:t>支出部门经济分类科目</w:t>
            </w:r>
          </w:p>
        </w:tc>
        <w:tc>
          <w:tcPr>
            <w:tcW w:w="7653" w:type="dxa"/>
            <w:gridSpan w:val="3"/>
            <w:vAlign w:val="center"/>
          </w:tcPr>
          <w:p w14:paraId="1BE50DED">
            <w:pPr>
              <w:pStyle w:val="10"/>
            </w:pPr>
            <w:r>
              <w:t>一般公共预算基本支出</w:t>
            </w:r>
          </w:p>
        </w:tc>
      </w:tr>
      <w:tr w14:paraId="126C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77023B"/>
        </w:tc>
        <w:tc>
          <w:tcPr>
            <w:tcW w:w="1191" w:type="dxa"/>
            <w:vAlign w:val="center"/>
          </w:tcPr>
          <w:p w14:paraId="0048710C">
            <w:pPr>
              <w:pStyle w:val="10"/>
            </w:pPr>
            <w:r>
              <w:t>科目编码</w:t>
            </w:r>
          </w:p>
        </w:tc>
        <w:tc>
          <w:tcPr>
            <w:tcW w:w="4535" w:type="dxa"/>
            <w:vAlign w:val="center"/>
          </w:tcPr>
          <w:p w14:paraId="093B7D50">
            <w:pPr>
              <w:pStyle w:val="10"/>
            </w:pPr>
            <w:r>
              <w:t>科目名称</w:t>
            </w:r>
          </w:p>
        </w:tc>
        <w:tc>
          <w:tcPr>
            <w:tcW w:w="2551" w:type="dxa"/>
            <w:vAlign w:val="center"/>
          </w:tcPr>
          <w:p w14:paraId="1A8828DC">
            <w:pPr>
              <w:pStyle w:val="10"/>
            </w:pPr>
            <w:r>
              <w:t>合计</w:t>
            </w:r>
          </w:p>
        </w:tc>
        <w:tc>
          <w:tcPr>
            <w:tcW w:w="2551" w:type="dxa"/>
            <w:vAlign w:val="center"/>
          </w:tcPr>
          <w:p w14:paraId="1F256B48">
            <w:pPr>
              <w:pStyle w:val="10"/>
            </w:pPr>
            <w:r>
              <w:t>人员经费</w:t>
            </w:r>
          </w:p>
        </w:tc>
        <w:tc>
          <w:tcPr>
            <w:tcW w:w="2551" w:type="dxa"/>
            <w:vAlign w:val="center"/>
          </w:tcPr>
          <w:p w14:paraId="43C348E1">
            <w:pPr>
              <w:pStyle w:val="10"/>
            </w:pPr>
            <w:r>
              <w:t>公用经费</w:t>
            </w:r>
          </w:p>
        </w:tc>
      </w:tr>
      <w:tr w14:paraId="6158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5A338">
            <w:pPr>
              <w:pStyle w:val="10"/>
            </w:pPr>
            <w:r>
              <w:t>栏次</w:t>
            </w:r>
          </w:p>
        </w:tc>
        <w:tc>
          <w:tcPr>
            <w:tcW w:w="1191" w:type="dxa"/>
            <w:vAlign w:val="center"/>
          </w:tcPr>
          <w:p w14:paraId="0F9ED931">
            <w:pPr>
              <w:pStyle w:val="10"/>
            </w:pPr>
            <w:r>
              <w:t>1</w:t>
            </w:r>
          </w:p>
        </w:tc>
        <w:tc>
          <w:tcPr>
            <w:tcW w:w="4535" w:type="dxa"/>
            <w:vAlign w:val="center"/>
          </w:tcPr>
          <w:p w14:paraId="23078537">
            <w:pPr>
              <w:pStyle w:val="10"/>
            </w:pPr>
            <w:r>
              <w:t>2</w:t>
            </w:r>
          </w:p>
        </w:tc>
        <w:tc>
          <w:tcPr>
            <w:tcW w:w="2551" w:type="dxa"/>
            <w:vAlign w:val="center"/>
          </w:tcPr>
          <w:p w14:paraId="565BB986">
            <w:pPr>
              <w:pStyle w:val="10"/>
            </w:pPr>
            <w:r>
              <w:t>3</w:t>
            </w:r>
          </w:p>
        </w:tc>
        <w:tc>
          <w:tcPr>
            <w:tcW w:w="2551" w:type="dxa"/>
            <w:vAlign w:val="center"/>
          </w:tcPr>
          <w:p w14:paraId="06742E96">
            <w:pPr>
              <w:pStyle w:val="10"/>
            </w:pPr>
            <w:r>
              <w:t>4</w:t>
            </w:r>
          </w:p>
        </w:tc>
        <w:tc>
          <w:tcPr>
            <w:tcW w:w="2551" w:type="dxa"/>
            <w:vAlign w:val="center"/>
          </w:tcPr>
          <w:p w14:paraId="230A8EE9">
            <w:pPr>
              <w:pStyle w:val="10"/>
            </w:pPr>
            <w:r>
              <w:t>5</w:t>
            </w:r>
          </w:p>
        </w:tc>
      </w:tr>
      <w:tr w14:paraId="28E3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D865">
            <w:pPr>
              <w:pStyle w:val="13"/>
            </w:pPr>
            <w:r>
              <w:t>1</w:t>
            </w:r>
          </w:p>
        </w:tc>
        <w:tc>
          <w:tcPr>
            <w:tcW w:w="1191" w:type="dxa"/>
            <w:vAlign w:val="center"/>
          </w:tcPr>
          <w:p w14:paraId="6610013F">
            <w:pPr>
              <w:pStyle w:val="16"/>
            </w:pPr>
          </w:p>
        </w:tc>
        <w:tc>
          <w:tcPr>
            <w:tcW w:w="4535" w:type="dxa"/>
            <w:vAlign w:val="center"/>
          </w:tcPr>
          <w:p w14:paraId="4BE5169E">
            <w:pPr>
              <w:pStyle w:val="14"/>
            </w:pPr>
            <w:r>
              <w:t>合计</w:t>
            </w:r>
          </w:p>
        </w:tc>
        <w:tc>
          <w:tcPr>
            <w:tcW w:w="2551" w:type="dxa"/>
            <w:vAlign w:val="center"/>
          </w:tcPr>
          <w:p w14:paraId="748DFEC4">
            <w:pPr>
              <w:pStyle w:val="15"/>
            </w:pPr>
            <w:r>
              <w:t>1534.93</w:t>
            </w:r>
          </w:p>
        </w:tc>
        <w:tc>
          <w:tcPr>
            <w:tcW w:w="2551" w:type="dxa"/>
            <w:vAlign w:val="center"/>
          </w:tcPr>
          <w:p w14:paraId="0A407F79">
            <w:pPr>
              <w:pStyle w:val="15"/>
            </w:pPr>
            <w:r>
              <w:t>1534.93</w:t>
            </w:r>
          </w:p>
        </w:tc>
        <w:tc>
          <w:tcPr>
            <w:tcW w:w="2551" w:type="dxa"/>
            <w:vAlign w:val="center"/>
          </w:tcPr>
          <w:p w14:paraId="3B6C7DB1">
            <w:pPr>
              <w:pStyle w:val="15"/>
            </w:pPr>
          </w:p>
        </w:tc>
      </w:tr>
      <w:tr w14:paraId="3F3C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7629C">
            <w:pPr>
              <w:pStyle w:val="13"/>
            </w:pPr>
            <w:r>
              <w:t>2</w:t>
            </w:r>
          </w:p>
        </w:tc>
        <w:tc>
          <w:tcPr>
            <w:tcW w:w="1191" w:type="dxa"/>
            <w:vAlign w:val="center"/>
          </w:tcPr>
          <w:p w14:paraId="4D9B4E11">
            <w:pPr>
              <w:pStyle w:val="12"/>
            </w:pPr>
            <w:r>
              <w:t>301</w:t>
            </w:r>
          </w:p>
        </w:tc>
        <w:tc>
          <w:tcPr>
            <w:tcW w:w="4535" w:type="dxa"/>
            <w:vAlign w:val="center"/>
          </w:tcPr>
          <w:p w14:paraId="33623CA3">
            <w:pPr>
              <w:pStyle w:val="12"/>
            </w:pPr>
            <w:r>
              <w:t>工资福利支出</w:t>
            </w:r>
          </w:p>
        </w:tc>
        <w:tc>
          <w:tcPr>
            <w:tcW w:w="2551" w:type="dxa"/>
            <w:vAlign w:val="center"/>
          </w:tcPr>
          <w:p w14:paraId="0C97BAC0">
            <w:pPr>
              <w:pStyle w:val="11"/>
            </w:pPr>
            <w:r>
              <w:t>1430.43</w:t>
            </w:r>
          </w:p>
        </w:tc>
        <w:tc>
          <w:tcPr>
            <w:tcW w:w="2551" w:type="dxa"/>
            <w:vAlign w:val="center"/>
          </w:tcPr>
          <w:p w14:paraId="73ADBB4B">
            <w:pPr>
              <w:pStyle w:val="11"/>
            </w:pPr>
            <w:r>
              <w:t>1430.43</w:t>
            </w:r>
          </w:p>
        </w:tc>
        <w:tc>
          <w:tcPr>
            <w:tcW w:w="2551" w:type="dxa"/>
            <w:vAlign w:val="center"/>
          </w:tcPr>
          <w:p w14:paraId="4E8EB1B8">
            <w:pPr>
              <w:pStyle w:val="11"/>
            </w:pPr>
          </w:p>
        </w:tc>
      </w:tr>
      <w:tr w14:paraId="080D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9CA4A">
            <w:pPr>
              <w:pStyle w:val="13"/>
            </w:pPr>
            <w:r>
              <w:t>3</w:t>
            </w:r>
          </w:p>
        </w:tc>
        <w:tc>
          <w:tcPr>
            <w:tcW w:w="1191" w:type="dxa"/>
            <w:vAlign w:val="center"/>
          </w:tcPr>
          <w:p w14:paraId="3A40DAB4">
            <w:pPr>
              <w:pStyle w:val="12"/>
            </w:pPr>
            <w:r>
              <w:t>30101</w:t>
            </w:r>
          </w:p>
        </w:tc>
        <w:tc>
          <w:tcPr>
            <w:tcW w:w="4535" w:type="dxa"/>
            <w:vAlign w:val="center"/>
          </w:tcPr>
          <w:p w14:paraId="066D45FF">
            <w:pPr>
              <w:pStyle w:val="12"/>
            </w:pPr>
            <w:r>
              <w:t>基本工资</w:t>
            </w:r>
          </w:p>
        </w:tc>
        <w:tc>
          <w:tcPr>
            <w:tcW w:w="2551" w:type="dxa"/>
            <w:vAlign w:val="center"/>
          </w:tcPr>
          <w:p w14:paraId="30484A75">
            <w:pPr>
              <w:pStyle w:val="11"/>
            </w:pPr>
            <w:r>
              <w:t>638.12</w:t>
            </w:r>
          </w:p>
        </w:tc>
        <w:tc>
          <w:tcPr>
            <w:tcW w:w="2551" w:type="dxa"/>
            <w:vAlign w:val="center"/>
          </w:tcPr>
          <w:p w14:paraId="695840C6">
            <w:pPr>
              <w:pStyle w:val="11"/>
            </w:pPr>
            <w:r>
              <w:t>638.12</w:t>
            </w:r>
          </w:p>
        </w:tc>
        <w:tc>
          <w:tcPr>
            <w:tcW w:w="2551" w:type="dxa"/>
            <w:vAlign w:val="center"/>
          </w:tcPr>
          <w:p w14:paraId="2660196B">
            <w:pPr>
              <w:pStyle w:val="11"/>
            </w:pPr>
          </w:p>
        </w:tc>
      </w:tr>
      <w:tr w14:paraId="5BDB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E3CB5">
            <w:pPr>
              <w:pStyle w:val="13"/>
            </w:pPr>
            <w:r>
              <w:t>4</w:t>
            </w:r>
          </w:p>
        </w:tc>
        <w:tc>
          <w:tcPr>
            <w:tcW w:w="1191" w:type="dxa"/>
            <w:vAlign w:val="center"/>
          </w:tcPr>
          <w:p w14:paraId="2F1D049E">
            <w:pPr>
              <w:pStyle w:val="12"/>
            </w:pPr>
            <w:r>
              <w:t>30102</w:t>
            </w:r>
          </w:p>
        </w:tc>
        <w:tc>
          <w:tcPr>
            <w:tcW w:w="4535" w:type="dxa"/>
            <w:vAlign w:val="center"/>
          </w:tcPr>
          <w:p w14:paraId="18209ED9">
            <w:pPr>
              <w:pStyle w:val="12"/>
            </w:pPr>
            <w:r>
              <w:t>津贴补贴</w:t>
            </w:r>
          </w:p>
        </w:tc>
        <w:tc>
          <w:tcPr>
            <w:tcW w:w="2551" w:type="dxa"/>
            <w:vAlign w:val="center"/>
          </w:tcPr>
          <w:p w14:paraId="6D82BC14">
            <w:pPr>
              <w:pStyle w:val="11"/>
            </w:pPr>
            <w:r>
              <w:t>65.19</w:t>
            </w:r>
          </w:p>
        </w:tc>
        <w:tc>
          <w:tcPr>
            <w:tcW w:w="2551" w:type="dxa"/>
            <w:vAlign w:val="center"/>
          </w:tcPr>
          <w:p w14:paraId="1CBD06D9">
            <w:pPr>
              <w:pStyle w:val="11"/>
            </w:pPr>
            <w:r>
              <w:t>65.19</w:t>
            </w:r>
          </w:p>
        </w:tc>
        <w:tc>
          <w:tcPr>
            <w:tcW w:w="2551" w:type="dxa"/>
            <w:vAlign w:val="center"/>
          </w:tcPr>
          <w:p w14:paraId="5B5C5507">
            <w:pPr>
              <w:pStyle w:val="11"/>
            </w:pPr>
          </w:p>
        </w:tc>
      </w:tr>
      <w:tr w14:paraId="128E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10347">
            <w:pPr>
              <w:pStyle w:val="13"/>
            </w:pPr>
            <w:r>
              <w:t>5</w:t>
            </w:r>
          </w:p>
        </w:tc>
        <w:tc>
          <w:tcPr>
            <w:tcW w:w="1191" w:type="dxa"/>
            <w:vAlign w:val="center"/>
          </w:tcPr>
          <w:p w14:paraId="6F82F14A">
            <w:pPr>
              <w:pStyle w:val="12"/>
            </w:pPr>
            <w:r>
              <w:t>30107</w:t>
            </w:r>
          </w:p>
        </w:tc>
        <w:tc>
          <w:tcPr>
            <w:tcW w:w="4535" w:type="dxa"/>
            <w:vAlign w:val="center"/>
          </w:tcPr>
          <w:p w14:paraId="5B58F6AE">
            <w:pPr>
              <w:pStyle w:val="12"/>
            </w:pPr>
            <w:r>
              <w:t>绩效工资</w:t>
            </w:r>
          </w:p>
        </w:tc>
        <w:tc>
          <w:tcPr>
            <w:tcW w:w="2551" w:type="dxa"/>
            <w:vAlign w:val="center"/>
          </w:tcPr>
          <w:p w14:paraId="69E153B5">
            <w:pPr>
              <w:pStyle w:val="11"/>
            </w:pPr>
            <w:r>
              <w:t>402.79</w:t>
            </w:r>
          </w:p>
        </w:tc>
        <w:tc>
          <w:tcPr>
            <w:tcW w:w="2551" w:type="dxa"/>
            <w:vAlign w:val="center"/>
          </w:tcPr>
          <w:p w14:paraId="78C6DF7B">
            <w:pPr>
              <w:pStyle w:val="11"/>
            </w:pPr>
            <w:r>
              <w:t>402.79</w:t>
            </w:r>
          </w:p>
        </w:tc>
        <w:tc>
          <w:tcPr>
            <w:tcW w:w="2551" w:type="dxa"/>
            <w:vAlign w:val="center"/>
          </w:tcPr>
          <w:p w14:paraId="13F72F9E">
            <w:pPr>
              <w:pStyle w:val="11"/>
            </w:pPr>
          </w:p>
        </w:tc>
      </w:tr>
      <w:tr w14:paraId="7041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2E5B6">
            <w:pPr>
              <w:pStyle w:val="13"/>
            </w:pPr>
            <w:r>
              <w:t>6</w:t>
            </w:r>
          </w:p>
        </w:tc>
        <w:tc>
          <w:tcPr>
            <w:tcW w:w="1191" w:type="dxa"/>
            <w:vAlign w:val="center"/>
          </w:tcPr>
          <w:p w14:paraId="756AF5F3">
            <w:pPr>
              <w:pStyle w:val="12"/>
            </w:pPr>
            <w:r>
              <w:t>30108</w:t>
            </w:r>
          </w:p>
        </w:tc>
        <w:tc>
          <w:tcPr>
            <w:tcW w:w="4535" w:type="dxa"/>
            <w:vAlign w:val="center"/>
          </w:tcPr>
          <w:p w14:paraId="3C2AA614">
            <w:pPr>
              <w:pStyle w:val="12"/>
            </w:pPr>
            <w:r>
              <w:t>机关事业单位基本养老保险缴费</w:t>
            </w:r>
          </w:p>
        </w:tc>
        <w:tc>
          <w:tcPr>
            <w:tcW w:w="2551" w:type="dxa"/>
            <w:vAlign w:val="center"/>
          </w:tcPr>
          <w:p w14:paraId="6315C07A">
            <w:pPr>
              <w:pStyle w:val="11"/>
            </w:pPr>
            <w:r>
              <w:t>143.16</w:t>
            </w:r>
          </w:p>
        </w:tc>
        <w:tc>
          <w:tcPr>
            <w:tcW w:w="2551" w:type="dxa"/>
            <w:vAlign w:val="center"/>
          </w:tcPr>
          <w:p w14:paraId="060DD0C6">
            <w:pPr>
              <w:pStyle w:val="11"/>
            </w:pPr>
            <w:r>
              <w:t>143.16</w:t>
            </w:r>
          </w:p>
        </w:tc>
        <w:tc>
          <w:tcPr>
            <w:tcW w:w="2551" w:type="dxa"/>
            <w:vAlign w:val="center"/>
          </w:tcPr>
          <w:p w14:paraId="02558891">
            <w:pPr>
              <w:pStyle w:val="11"/>
            </w:pPr>
          </w:p>
        </w:tc>
      </w:tr>
      <w:tr w14:paraId="224B6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1DA0">
            <w:pPr>
              <w:pStyle w:val="13"/>
            </w:pPr>
            <w:r>
              <w:t>7</w:t>
            </w:r>
          </w:p>
        </w:tc>
        <w:tc>
          <w:tcPr>
            <w:tcW w:w="1191" w:type="dxa"/>
            <w:vAlign w:val="center"/>
          </w:tcPr>
          <w:p w14:paraId="33699B97">
            <w:pPr>
              <w:pStyle w:val="12"/>
            </w:pPr>
            <w:r>
              <w:t>30110</w:t>
            </w:r>
          </w:p>
        </w:tc>
        <w:tc>
          <w:tcPr>
            <w:tcW w:w="4535" w:type="dxa"/>
            <w:vAlign w:val="center"/>
          </w:tcPr>
          <w:p w14:paraId="2539B7D2">
            <w:pPr>
              <w:pStyle w:val="12"/>
            </w:pPr>
            <w:r>
              <w:t>职工基本医疗保险缴费</w:t>
            </w:r>
          </w:p>
        </w:tc>
        <w:tc>
          <w:tcPr>
            <w:tcW w:w="2551" w:type="dxa"/>
            <w:vAlign w:val="center"/>
          </w:tcPr>
          <w:p w14:paraId="6CE8B062">
            <w:pPr>
              <w:pStyle w:val="11"/>
            </w:pPr>
            <w:r>
              <w:t>67.39</w:t>
            </w:r>
          </w:p>
        </w:tc>
        <w:tc>
          <w:tcPr>
            <w:tcW w:w="2551" w:type="dxa"/>
            <w:vAlign w:val="center"/>
          </w:tcPr>
          <w:p w14:paraId="0462F968">
            <w:pPr>
              <w:pStyle w:val="11"/>
            </w:pPr>
            <w:r>
              <w:t>67.39</w:t>
            </w:r>
          </w:p>
        </w:tc>
        <w:tc>
          <w:tcPr>
            <w:tcW w:w="2551" w:type="dxa"/>
            <w:vAlign w:val="center"/>
          </w:tcPr>
          <w:p w14:paraId="643C8581">
            <w:pPr>
              <w:pStyle w:val="11"/>
            </w:pPr>
          </w:p>
        </w:tc>
      </w:tr>
      <w:tr w14:paraId="3967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7010">
            <w:pPr>
              <w:pStyle w:val="13"/>
            </w:pPr>
            <w:r>
              <w:t>8</w:t>
            </w:r>
          </w:p>
        </w:tc>
        <w:tc>
          <w:tcPr>
            <w:tcW w:w="1191" w:type="dxa"/>
            <w:vAlign w:val="center"/>
          </w:tcPr>
          <w:p w14:paraId="3E5C1405">
            <w:pPr>
              <w:pStyle w:val="12"/>
            </w:pPr>
            <w:r>
              <w:t>30112</w:t>
            </w:r>
          </w:p>
        </w:tc>
        <w:tc>
          <w:tcPr>
            <w:tcW w:w="4535" w:type="dxa"/>
            <w:vAlign w:val="center"/>
          </w:tcPr>
          <w:p w14:paraId="51725A89">
            <w:pPr>
              <w:pStyle w:val="12"/>
            </w:pPr>
            <w:r>
              <w:t>其他社会保障缴费</w:t>
            </w:r>
          </w:p>
        </w:tc>
        <w:tc>
          <w:tcPr>
            <w:tcW w:w="2551" w:type="dxa"/>
            <w:vAlign w:val="center"/>
          </w:tcPr>
          <w:p w14:paraId="64097CBC">
            <w:pPr>
              <w:pStyle w:val="11"/>
            </w:pPr>
            <w:r>
              <w:t>6.59</w:t>
            </w:r>
          </w:p>
        </w:tc>
        <w:tc>
          <w:tcPr>
            <w:tcW w:w="2551" w:type="dxa"/>
            <w:vAlign w:val="center"/>
          </w:tcPr>
          <w:p w14:paraId="7B080397">
            <w:pPr>
              <w:pStyle w:val="11"/>
            </w:pPr>
            <w:r>
              <w:t>6.59</w:t>
            </w:r>
          </w:p>
        </w:tc>
        <w:tc>
          <w:tcPr>
            <w:tcW w:w="2551" w:type="dxa"/>
            <w:vAlign w:val="center"/>
          </w:tcPr>
          <w:p w14:paraId="251027EB">
            <w:pPr>
              <w:pStyle w:val="11"/>
            </w:pPr>
          </w:p>
        </w:tc>
      </w:tr>
      <w:tr w14:paraId="0667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59EB7">
            <w:pPr>
              <w:pStyle w:val="13"/>
            </w:pPr>
            <w:r>
              <w:t>9</w:t>
            </w:r>
          </w:p>
        </w:tc>
        <w:tc>
          <w:tcPr>
            <w:tcW w:w="1191" w:type="dxa"/>
            <w:vAlign w:val="center"/>
          </w:tcPr>
          <w:p w14:paraId="5636E9B0">
            <w:pPr>
              <w:pStyle w:val="12"/>
            </w:pPr>
            <w:r>
              <w:t>30113</w:t>
            </w:r>
          </w:p>
        </w:tc>
        <w:tc>
          <w:tcPr>
            <w:tcW w:w="4535" w:type="dxa"/>
            <w:vAlign w:val="center"/>
          </w:tcPr>
          <w:p w14:paraId="418FB5C4">
            <w:pPr>
              <w:pStyle w:val="12"/>
            </w:pPr>
            <w:r>
              <w:t>住房公积金</w:t>
            </w:r>
          </w:p>
        </w:tc>
        <w:tc>
          <w:tcPr>
            <w:tcW w:w="2551" w:type="dxa"/>
            <w:vAlign w:val="center"/>
          </w:tcPr>
          <w:p w14:paraId="19574BB5">
            <w:pPr>
              <w:pStyle w:val="11"/>
            </w:pPr>
            <w:r>
              <w:t>107.18</w:t>
            </w:r>
          </w:p>
        </w:tc>
        <w:tc>
          <w:tcPr>
            <w:tcW w:w="2551" w:type="dxa"/>
            <w:vAlign w:val="center"/>
          </w:tcPr>
          <w:p w14:paraId="2ABCA076">
            <w:pPr>
              <w:pStyle w:val="11"/>
            </w:pPr>
            <w:r>
              <w:t>107.18</w:t>
            </w:r>
          </w:p>
        </w:tc>
        <w:tc>
          <w:tcPr>
            <w:tcW w:w="2551" w:type="dxa"/>
            <w:vAlign w:val="center"/>
          </w:tcPr>
          <w:p w14:paraId="2B9CF48E">
            <w:pPr>
              <w:pStyle w:val="11"/>
            </w:pPr>
          </w:p>
        </w:tc>
      </w:tr>
      <w:tr w14:paraId="675A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4519">
            <w:pPr>
              <w:pStyle w:val="13"/>
            </w:pPr>
            <w:r>
              <w:t>10</w:t>
            </w:r>
          </w:p>
        </w:tc>
        <w:tc>
          <w:tcPr>
            <w:tcW w:w="1191" w:type="dxa"/>
            <w:vAlign w:val="center"/>
          </w:tcPr>
          <w:p w14:paraId="683143DD">
            <w:pPr>
              <w:pStyle w:val="12"/>
            </w:pPr>
            <w:r>
              <w:t>303</w:t>
            </w:r>
          </w:p>
        </w:tc>
        <w:tc>
          <w:tcPr>
            <w:tcW w:w="4535" w:type="dxa"/>
            <w:vAlign w:val="center"/>
          </w:tcPr>
          <w:p w14:paraId="1AB78892">
            <w:pPr>
              <w:pStyle w:val="12"/>
            </w:pPr>
            <w:r>
              <w:t>对个人和家庭的补助</w:t>
            </w:r>
          </w:p>
        </w:tc>
        <w:tc>
          <w:tcPr>
            <w:tcW w:w="2551" w:type="dxa"/>
            <w:vAlign w:val="center"/>
          </w:tcPr>
          <w:p w14:paraId="15437F07">
            <w:pPr>
              <w:pStyle w:val="11"/>
            </w:pPr>
            <w:r>
              <w:t>104.50</w:t>
            </w:r>
          </w:p>
        </w:tc>
        <w:tc>
          <w:tcPr>
            <w:tcW w:w="2551" w:type="dxa"/>
            <w:vAlign w:val="center"/>
          </w:tcPr>
          <w:p w14:paraId="1EE5CE9E">
            <w:pPr>
              <w:pStyle w:val="11"/>
            </w:pPr>
            <w:r>
              <w:t>104.50</w:t>
            </w:r>
          </w:p>
        </w:tc>
        <w:tc>
          <w:tcPr>
            <w:tcW w:w="2551" w:type="dxa"/>
            <w:vAlign w:val="center"/>
          </w:tcPr>
          <w:p w14:paraId="51BEEA85">
            <w:pPr>
              <w:pStyle w:val="11"/>
            </w:pPr>
          </w:p>
        </w:tc>
      </w:tr>
      <w:tr w14:paraId="4A1C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009E4">
            <w:pPr>
              <w:pStyle w:val="13"/>
            </w:pPr>
            <w:r>
              <w:t>11</w:t>
            </w:r>
          </w:p>
        </w:tc>
        <w:tc>
          <w:tcPr>
            <w:tcW w:w="1191" w:type="dxa"/>
            <w:vAlign w:val="center"/>
          </w:tcPr>
          <w:p w14:paraId="71FA85EB">
            <w:pPr>
              <w:pStyle w:val="12"/>
            </w:pPr>
            <w:r>
              <w:t>30302</w:t>
            </w:r>
          </w:p>
        </w:tc>
        <w:tc>
          <w:tcPr>
            <w:tcW w:w="4535" w:type="dxa"/>
            <w:vAlign w:val="center"/>
          </w:tcPr>
          <w:p w14:paraId="680FD38C">
            <w:pPr>
              <w:pStyle w:val="12"/>
            </w:pPr>
            <w:r>
              <w:t>退休费</w:t>
            </w:r>
          </w:p>
        </w:tc>
        <w:tc>
          <w:tcPr>
            <w:tcW w:w="2551" w:type="dxa"/>
            <w:vAlign w:val="center"/>
          </w:tcPr>
          <w:p w14:paraId="6B4F27F9">
            <w:pPr>
              <w:pStyle w:val="11"/>
            </w:pPr>
            <w:r>
              <w:t>95.14</w:t>
            </w:r>
          </w:p>
        </w:tc>
        <w:tc>
          <w:tcPr>
            <w:tcW w:w="2551" w:type="dxa"/>
            <w:vAlign w:val="center"/>
          </w:tcPr>
          <w:p w14:paraId="27B7139F">
            <w:pPr>
              <w:pStyle w:val="11"/>
            </w:pPr>
            <w:r>
              <w:t>95.14</w:t>
            </w:r>
          </w:p>
        </w:tc>
        <w:tc>
          <w:tcPr>
            <w:tcW w:w="2551" w:type="dxa"/>
            <w:vAlign w:val="center"/>
          </w:tcPr>
          <w:p w14:paraId="233792F0">
            <w:pPr>
              <w:pStyle w:val="11"/>
            </w:pPr>
          </w:p>
        </w:tc>
      </w:tr>
      <w:tr w14:paraId="664A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2C2A6">
            <w:pPr>
              <w:pStyle w:val="13"/>
            </w:pPr>
            <w:r>
              <w:t>12</w:t>
            </w:r>
          </w:p>
        </w:tc>
        <w:tc>
          <w:tcPr>
            <w:tcW w:w="1191" w:type="dxa"/>
            <w:vAlign w:val="center"/>
          </w:tcPr>
          <w:p w14:paraId="6EB741C0">
            <w:pPr>
              <w:pStyle w:val="12"/>
            </w:pPr>
            <w:r>
              <w:t>30305</w:t>
            </w:r>
          </w:p>
        </w:tc>
        <w:tc>
          <w:tcPr>
            <w:tcW w:w="4535" w:type="dxa"/>
            <w:vAlign w:val="center"/>
          </w:tcPr>
          <w:p w14:paraId="6CEFDCDD">
            <w:pPr>
              <w:pStyle w:val="12"/>
            </w:pPr>
            <w:r>
              <w:t>生活补助</w:t>
            </w:r>
          </w:p>
        </w:tc>
        <w:tc>
          <w:tcPr>
            <w:tcW w:w="2551" w:type="dxa"/>
            <w:vAlign w:val="center"/>
          </w:tcPr>
          <w:p w14:paraId="66629B1A">
            <w:pPr>
              <w:pStyle w:val="11"/>
            </w:pPr>
            <w:r>
              <w:t>9.36</w:t>
            </w:r>
          </w:p>
        </w:tc>
        <w:tc>
          <w:tcPr>
            <w:tcW w:w="2551" w:type="dxa"/>
            <w:vAlign w:val="center"/>
          </w:tcPr>
          <w:p w14:paraId="51E7D040">
            <w:pPr>
              <w:pStyle w:val="11"/>
            </w:pPr>
            <w:r>
              <w:t>9.36</w:t>
            </w:r>
          </w:p>
        </w:tc>
        <w:tc>
          <w:tcPr>
            <w:tcW w:w="2551" w:type="dxa"/>
            <w:vAlign w:val="center"/>
          </w:tcPr>
          <w:p w14:paraId="078DF9EC">
            <w:pPr>
              <w:pStyle w:val="11"/>
            </w:pPr>
          </w:p>
        </w:tc>
      </w:tr>
    </w:tbl>
    <w:p w14:paraId="01552DC9">
      <w:pPr>
        <w:sectPr>
          <w:pgSz w:w="16840" w:h="11900" w:orient="landscape"/>
          <w:pgMar w:top="1361" w:right="1020" w:bottom="1134" w:left="1020" w:header="720" w:footer="720" w:gutter="0"/>
          <w:cols w:space="720" w:num="1"/>
        </w:sectPr>
      </w:pPr>
    </w:p>
    <w:p w14:paraId="6C27C2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74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7B26DB">
            <w:pPr>
              <w:pStyle w:val="9"/>
            </w:pPr>
            <w:r>
              <w:t>360018隆尧县北楼校区</w:t>
            </w:r>
          </w:p>
        </w:tc>
        <w:tc>
          <w:tcPr>
            <w:tcW w:w="2551" w:type="dxa"/>
            <w:tcBorders>
              <w:top w:val="single" w:color="FFFFFF" w:sz="6" w:space="0"/>
              <w:left w:val="single" w:color="FFFFFF" w:sz="6" w:space="0"/>
              <w:right w:val="single" w:color="FFFFFF" w:sz="6" w:space="0"/>
            </w:tcBorders>
            <w:vAlign w:val="center"/>
          </w:tcPr>
          <w:p w14:paraId="7CF1F0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9A2828">
            <w:pPr>
              <w:pStyle w:val="7"/>
            </w:pPr>
            <w:r>
              <w:t>单位：万元</w:t>
            </w:r>
          </w:p>
        </w:tc>
      </w:tr>
      <w:tr w14:paraId="666A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68680">
            <w:pPr>
              <w:pStyle w:val="10"/>
            </w:pPr>
            <w:r>
              <w:t>序号</w:t>
            </w:r>
          </w:p>
        </w:tc>
        <w:tc>
          <w:tcPr>
            <w:tcW w:w="5726" w:type="dxa"/>
            <w:gridSpan w:val="2"/>
            <w:vAlign w:val="center"/>
          </w:tcPr>
          <w:p w14:paraId="636BF57F">
            <w:pPr>
              <w:pStyle w:val="10"/>
            </w:pPr>
            <w:r>
              <w:t>功能分类科目</w:t>
            </w:r>
          </w:p>
        </w:tc>
        <w:tc>
          <w:tcPr>
            <w:tcW w:w="2551" w:type="dxa"/>
            <w:vMerge w:val="restart"/>
            <w:vAlign w:val="center"/>
          </w:tcPr>
          <w:p w14:paraId="74738D8E">
            <w:pPr>
              <w:pStyle w:val="10"/>
            </w:pPr>
            <w:r>
              <w:t>合计</w:t>
            </w:r>
          </w:p>
        </w:tc>
        <w:tc>
          <w:tcPr>
            <w:tcW w:w="2551" w:type="dxa"/>
            <w:vMerge w:val="restart"/>
            <w:vAlign w:val="center"/>
          </w:tcPr>
          <w:p w14:paraId="646F9DB8">
            <w:pPr>
              <w:pStyle w:val="10"/>
            </w:pPr>
            <w:r>
              <w:t>基本支出</w:t>
            </w:r>
          </w:p>
        </w:tc>
        <w:tc>
          <w:tcPr>
            <w:tcW w:w="2551" w:type="dxa"/>
            <w:vMerge w:val="restart"/>
            <w:vAlign w:val="center"/>
          </w:tcPr>
          <w:p w14:paraId="604FDF6E">
            <w:pPr>
              <w:pStyle w:val="10"/>
            </w:pPr>
            <w:r>
              <w:t>项目支出</w:t>
            </w:r>
          </w:p>
        </w:tc>
      </w:tr>
      <w:tr w14:paraId="5136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EDF13"/>
        </w:tc>
        <w:tc>
          <w:tcPr>
            <w:tcW w:w="1191" w:type="dxa"/>
            <w:vAlign w:val="center"/>
          </w:tcPr>
          <w:p w14:paraId="6C361EC8">
            <w:pPr>
              <w:pStyle w:val="10"/>
            </w:pPr>
            <w:r>
              <w:t>科目编码</w:t>
            </w:r>
          </w:p>
        </w:tc>
        <w:tc>
          <w:tcPr>
            <w:tcW w:w="4535" w:type="dxa"/>
            <w:vAlign w:val="center"/>
          </w:tcPr>
          <w:p w14:paraId="13579364">
            <w:pPr>
              <w:pStyle w:val="10"/>
            </w:pPr>
            <w:r>
              <w:t>科目名称</w:t>
            </w:r>
          </w:p>
        </w:tc>
        <w:tc>
          <w:tcPr>
            <w:tcW w:w="2551" w:type="dxa"/>
            <w:vMerge w:val="continue"/>
          </w:tcPr>
          <w:p w14:paraId="47819021"/>
        </w:tc>
        <w:tc>
          <w:tcPr>
            <w:tcW w:w="2551" w:type="dxa"/>
            <w:vMerge w:val="continue"/>
          </w:tcPr>
          <w:p w14:paraId="7906F935"/>
        </w:tc>
        <w:tc>
          <w:tcPr>
            <w:tcW w:w="2551" w:type="dxa"/>
            <w:vMerge w:val="continue"/>
          </w:tcPr>
          <w:p w14:paraId="2E594DE3"/>
        </w:tc>
      </w:tr>
      <w:tr w14:paraId="2F99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93F0C1">
            <w:pPr>
              <w:pStyle w:val="10"/>
            </w:pPr>
            <w:r>
              <w:t>栏次</w:t>
            </w:r>
          </w:p>
        </w:tc>
        <w:tc>
          <w:tcPr>
            <w:tcW w:w="1191" w:type="dxa"/>
            <w:vAlign w:val="center"/>
          </w:tcPr>
          <w:p w14:paraId="11B18E90">
            <w:pPr>
              <w:pStyle w:val="10"/>
            </w:pPr>
            <w:r>
              <w:t>1</w:t>
            </w:r>
          </w:p>
        </w:tc>
        <w:tc>
          <w:tcPr>
            <w:tcW w:w="4535" w:type="dxa"/>
            <w:vAlign w:val="center"/>
          </w:tcPr>
          <w:p w14:paraId="1F7C51DC">
            <w:pPr>
              <w:pStyle w:val="10"/>
            </w:pPr>
            <w:r>
              <w:t>2</w:t>
            </w:r>
          </w:p>
        </w:tc>
        <w:tc>
          <w:tcPr>
            <w:tcW w:w="2551" w:type="dxa"/>
            <w:vAlign w:val="center"/>
          </w:tcPr>
          <w:p w14:paraId="491E9D49">
            <w:pPr>
              <w:pStyle w:val="10"/>
            </w:pPr>
            <w:r>
              <w:t>3</w:t>
            </w:r>
          </w:p>
        </w:tc>
        <w:tc>
          <w:tcPr>
            <w:tcW w:w="2551" w:type="dxa"/>
            <w:vAlign w:val="center"/>
          </w:tcPr>
          <w:p w14:paraId="106B9E6E">
            <w:pPr>
              <w:pStyle w:val="10"/>
            </w:pPr>
            <w:r>
              <w:t>4</w:t>
            </w:r>
          </w:p>
        </w:tc>
        <w:tc>
          <w:tcPr>
            <w:tcW w:w="2551" w:type="dxa"/>
            <w:vAlign w:val="center"/>
          </w:tcPr>
          <w:p w14:paraId="4C7F3815">
            <w:pPr>
              <w:pStyle w:val="10"/>
            </w:pPr>
            <w:r>
              <w:t>5</w:t>
            </w:r>
          </w:p>
        </w:tc>
      </w:tr>
      <w:tr w14:paraId="33F6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11AF5">
            <w:pPr>
              <w:pStyle w:val="13"/>
            </w:pPr>
          </w:p>
        </w:tc>
        <w:tc>
          <w:tcPr>
            <w:tcW w:w="1191" w:type="dxa"/>
            <w:vAlign w:val="center"/>
          </w:tcPr>
          <w:p w14:paraId="11D00141">
            <w:pPr>
              <w:pStyle w:val="12"/>
            </w:pPr>
          </w:p>
        </w:tc>
        <w:tc>
          <w:tcPr>
            <w:tcW w:w="4535" w:type="dxa"/>
            <w:vAlign w:val="center"/>
          </w:tcPr>
          <w:p w14:paraId="2CF7EE32">
            <w:pPr>
              <w:pStyle w:val="12"/>
            </w:pPr>
          </w:p>
        </w:tc>
        <w:tc>
          <w:tcPr>
            <w:tcW w:w="2551" w:type="dxa"/>
            <w:vAlign w:val="center"/>
          </w:tcPr>
          <w:p w14:paraId="247887AD">
            <w:pPr>
              <w:pStyle w:val="11"/>
            </w:pPr>
          </w:p>
        </w:tc>
        <w:tc>
          <w:tcPr>
            <w:tcW w:w="2551" w:type="dxa"/>
            <w:vAlign w:val="center"/>
          </w:tcPr>
          <w:p w14:paraId="3D0FB1DD">
            <w:pPr>
              <w:pStyle w:val="11"/>
            </w:pPr>
          </w:p>
        </w:tc>
        <w:tc>
          <w:tcPr>
            <w:tcW w:w="2551" w:type="dxa"/>
            <w:vAlign w:val="center"/>
          </w:tcPr>
          <w:p w14:paraId="78FA59DC">
            <w:pPr>
              <w:pStyle w:val="11"/>
            </w:pPr>
          </w:p>
        </w:tc>
      </w:tr>
    </w:tbl>
    <w:p w14:paraId="38C367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DA5F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0A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CF8174">
            <w:pPr>
              <w:pStyle w:val="9"/>
            </w:pPr>
            <w:r>
              <w:t>360018隆尧县北楼校区</w:t>
            </w:r>
          </w:p>
        </w:tc>
        <w:tc>
          <w:tcPr>
            <w:tcW w:w="2551" w:type="dxa"/>
            <w:tcBorders>
              <w:top w:val="single" w:color="FFFFFF" w:sz="6" w:space="0"/>
              <w:left w:val="single" w:color="FFFFFF" w:sz="6" w:space="0"/>
              <w:right w:val="single" w:color="FFFFFF" w:sz="6" w:space="0"/>
            </w:tcBorders>
            <w:vAlign w:val="center"/>
          </w:tcPr>
          <w:p w14:paraId="37CAF0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5179B5">
            <w:pPr>
              <w:pStyle w:val="7"/>
            </w:pPr>
            <w:r>
              <w:t>单位：万元</w:t>
            </w:r>
          </w:p>
        </w:tc>
      </w:tr>
      <w:tr w14:paraId="3F30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851F2">
            <w:pPr>
              <w:pStyle w:val="10"/>
            </w:pPr>
            <w:r>
              <w:t>序号</w:t>
            </w:r>
          </w:p>
        </w:tc>
        <w:tc>
          <w:tcPr>
            <w:tcW w:w="5726" w:type="dxa"/>
            <w:gridSpan w:val="2"/>
            <w:vAlign w:val="center"/>
          </w:tcPr>
          <w:p w14:paraId="3C5122B9">
            <w:pPr>
              <w:pStyle w:val="10"/>
            </w:pPr>
            <w:r>
              <w:t>功能分类科目</w:t>
            </w:r>
          </w:p>
        </w:tc>
        <w:tc>
          <w:tcPr>
            <w:tcW w:w="2551" w:type="dxa"/>
            <w:vMerge w:val="restart"/>
            <w:vAlign w:val="center"/>
          </w:tcPr>
          <w:p w14:paraId="5C257BFA">
            <w:pPr>
              <w:pStyle w:val="10"/>
            </w:pPr>
            <w:r>
              <w:t>合计</w:t>
            </w:r>
          </w:p>
        </w:tc>
        <w:tc>
          <w:tcPr>
            <w:tcW w:w="2551" w:type="dxa"/>
            <w:vMerge w:val="restart"/>
            <w:vAlign w:val="center"/>
          </w:tcPr>
          <w:p w14:paraId="6EAC74C3">
            <w:pPr>
              <w:pStyle w:val="10"/>
            </w:pPr>
            <w:r>
              <w:t>基本支出</w:t>
            </w:r>
          </w:p>
        </w:tc>
        <w:tc>
          <w:tcPr>
            <w:tcW w:w="2551" w:type="dxa"/>
            <w:vMerge w:val="restart"/>
            <w:vAlign w:val="center"/>
          </w:tcPr>
          <w:p w14:paraId="64C30FE3">
            <w:pPr>
              <w:pStyle w:val="10"/>
            </w:pPr>
            <w:r>
              <w:t>项目支出</w:t>
            </w:r>
          </w:p>
        </w:tc>
      </w:tr>
      <w:tr w14:paraId="559C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704DCE"/>
        </w:tc>
        <w:tc>
          <w:tcPr>
            <w:tcW w:w="1191" w:type="dxa"/>
            <w:vAlign w:val="center"/>
          </w:tcPr>
          <w:p w14:paraId="3A63450B">
            <w:pPr>
              <w:pStyle w:val="10"/>
            </w:pPr>
            <w:r>
              <w:t>科目编码</w:t>
            </w:r>
          </w:p>
        </w:tc>
        <w:tc>
          <w:tcPr>
            <w:tcW w:w="4535" w:type="dxa"/>
            <w:vAlign w:val="center"/>
          </w:tcPr>
          <w:p w14:paraId="26C058DA">
            <w:pPr>
              <w:pStyle w:val="10"/>
            </w:pPr>
            <w:r>
              <w:t>科目名称</w:t>
            </w:r>
          </w:p>
        </w:tc>
        <w:tc>
          <w:tcPr>
            <w:tcW w:w="2551" w:type="dxa"/>
            <w:vMerge w:val="continue"/>
          </w:tcPr>
          <w:p w14:paraId="6FAB4A18"/>
        </w:tc>
        <w:tc>
          <w:tcPr>
            <w:tcW w:w="2551" w:type="dxa"/>
            <w:vMerge w:val="continue"/>
          </w:tcPr>
          <w:p w14:paraId="2B94454D"/>
        </w:tc>
        <w:tc>
          <w:tcPr>
            <w:tcW w:w="2551" w:type="dxa"/>
            <w:vMerge w:val="continue"/>
          </w:tcPr>
          <w:p w14:paraId="7623C186"/>
        </w:tc>
      </w:tr>
      <w:tr w14:paraId="6D7E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467F71">
            <w:pPr>
              <w:pStyle w:val="10"/>
            </w:pPr>
            <w:r>
              <w:t>栏次</w:t>
            </w:r>
          </w:p>
        </w:tc>
        <w:tc>
          <w:tcPr>
            <w:tcW w:w="1191" w:type="dxa"/>
            <w:vAlign w:val="center"/>
          </w:tcPr>
          <w:p w14:paraId="68923C58">
            <w:pPr>
              <w:pStyle w:val="10"/>
            </w:pPr>
            <w:r>
              <w:t>1</w:t>
            </w:r>
          </w:p>
        </w:tc>
        <w:tc>
          <w:tcPr>
            <w:tcW w:w="4535" w:type="dxa"/>
            <w:vAlign w:val="center"/>
          </w:tcPr>
          <w:p w14:paraId="2B71B0E2">
            <w:pPr>
              <w:pStyle w:val="10"/>
            </w:pPr>
            <w:r>
              <w:t>2</w:t>
            </w:r>
          </w:p>
        </w:tc>
        <w:tc>
          <w:tcPr>
            <w:tcW w:w="2551" w:type="dxa"/>
            <w:vAlign w:val="center"/>
          </w:tcPr>
          <w:p w14:paraId="7E85D817">
            <w:pPr>
              <w:pStyle w:val="10"/>
            </w:pPr>
            <w:r>
              <w:t>3</w:t>
            </w:r>
          </w:p>
        </w:tc>
        <w:tc>
          <w:tcPr>
            <w:tcW w:w="2551" w:type="dxa"/>
            <w:vAlign w:val="center"/>
          </w:tcPr>
          <w:p w14:paraId="4392B4B4">
            <w:pPr>
              <w:pStyle w:val="10"/>
            </w:pPr>
            <w:r>
              <w:t>4</w:t>
            </w:r>
          </w:p>
        </w:tc>
        <w:tc>
          <w:tcPr>
            <w:tcW w:w="2551" w:type="dxa"/>
            <w:vAlign w:val="center"/>
          </w:tcPr>
          <w:p w14:paraId="15E3EB43">
            <w:pPr>
              <w:pStyle w:val="10"/>
            </w:pPr>
            <w:r>
              <w:t>5</w:t>
            </w:r>
          </w:p>
        </w:tc>
      </w:tr>
      <w:tr w14:paraId="189C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CDB31">
            <w:pPr>
              <w:pStyle w:val="13"/>
            </w:pPr>
          </w:p>
        </w:tc>
        <w:tc>
          <w:tcPr>
            <w:tcW w:w="1191" w:type="dxa"/>
            <w:vAlign w:val="center"/>
          </w:tcPr>
          <w:p w14:paraId="3F0FDABC">
            <w:pPr>
              <w:pStyle w:val="12"/>
            </w:pPr>
          </w:p>
        </w:tc>
        <w:tc>
          <w:tcPr>
            <w:tcW w:w="4535" w:type="dxa"/>
            <w:vAlign w:val="center"/>
          </w:tcPr>
          <w:p w14:paraId="09CA4ED5">
            <w:pPr>
              <w:pStyle w:val="12"/>
            </w:pPr>
          </w:p>
        </w:tc>
        <w:tc>
          <w:tcPr>
            <w:tcW w:w="2551" w:type="dxa"/>
            <w:vAlign w:val="center"/>
          </w:tcPr>
          <w:p w14:paraId="58D58D41">
            <w:pPr>
              <w:pStyle w:val="11"/>
            </w:pPr>
          </w:p>
        </w:tc>
        <w:tc>
          <w:tcPr>
            <w:tcW w:w="2551" w:type="dxa"/>
            <w:vAlign w:val="center"/>
          </w:tcPr>
          <w:p w14:paraId="6F66E7D9">
            <w:pPr>
              <w:pStyle w:val="11"/>
            </w:pPr>
          </w:p>
        </w:tc>
        <w:tc>
          <w:tcPr>
            <w:tcW w:w="2551" w:type="dxa"/>
            <w:vAlign w:val="center"/>
          </w:tcPr>
          <w:p w14:paraId="6A938F6E">
            <w:pPr>
              <w:pStyle w:val="11"/>
            </w:pPr>
          </w:p>
        </w:tc>
      </w:tr>
    </w:tbl>
    <w:p w14:paraId="39BB70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4ACD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87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57EF94">
            <w:pPr>
              <w:pStyle w:val="9"/>
            </w:pPr>
            <w:r>
              <w:t>360018隆尧县北楼校区</w:t>
            </w:r>
          </w:p>
        </w:tc>
        <w:tc>
          <w:tcPr>
            <w:tcW w:w="2381" w:type="dxa"/>
            <w:tcBorders>
              <w:top w:val="single" w:color="FFFFFF" w:sz="6" w:space="0"/>
              <w:left w:val="single" w:color="FFFFFF" w:sz="6" w:space="0"/>
              <w:right w:val="single" w:color="FFFFFF" w:sz="6" w:space="0"/>
            </w:tcBorders>
            <w:vAlign w:val="center"/>
          </w:tcPr>
          <w:p w14:paraId="7CE33AB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EA2BAF1">
            <w:pPr>
              <w:pStyle w:val="7"/>
            </w:pPr>
            <w:r>
              <w:t>单位：万元</w:t>
            </w:r>
          </w:p>
        </w:tc>
      </w:tr>
      <w:tr w14:paraId="2D6A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E587E">
            <w:pPr>
              <w:pStyle w:val="10"/>
            </w:pPr>
            <w:r>
              <w:t>序号</w:t>
            </w:r>
          </w:p>
        </w:tc>
        <w:tc>
          <w:tcPr>
            <w:tcW w:w="3798" w:type="dxa"/>
            <w:vMerge w:val="restart"/>
            <w:vAlign w:val="center"/>
          </w:tcPr>
          <w:p w14:paraId="27F64325">
            <w:pPr>
              <w:pStyle w:val="10"/>
            </w:pPr>
            <w:r>
              <w:t>项  目</w:t>
            </w:r>
          </w:p>
        </w:tc>
        <w:tc>
          <w:tcPr>
            <w:tcW w:w="9524" w:type="dxa"/>
            <w:gridSpan w:val="4"/>
            <w:vAlign w:val="center"/>
          </w:tcPr>
          <w:p w14:paraId="6DA87EA7">
            <w:pPr>
              <w:pStyle w:val="10"/>
            </w:pPr>
            <w:r>
              <w:t>资 金 性 质</w:t>
            </w:r>
          </w:p>
        </w:tc>
      </w:tr>
      <w:tr w14:paraId="3742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52F163"/>
        </w:tc>
        <w:tc>
          <w:tcPr>
            <w:tcW w:w="3798" w:type="dxa"/>
            <w:vMerge w:val="continue"/>
          </w:tcPr>
          <w:p w14:paraId="2BE38AB8"/>
        </w:tc>
        <w:tc>
          <w:tcPr>
            <w:tcW w:w="2381" w:type="dxa"/>
            <w:vAlign w:val="center"/>
          </w:tcPr>
          <w:p w14:paraId="0EA7E235">
            <w:pPr>
              <w:pStyle w:val="10"/>
            </w:pPr>
            <w:r>
              <w:t>合计</w:t>
            </w:r>
          </w:p>
        </w:tc>
        <w:tc>
          <w:tcPr>
            <w:tcW w:w="2381" w:type="dxa"/>
            <w:vAlign w:val="center"/>
          </w:tcPr>
          <w:p w14:paraId="1D37AC0D">
            <w:pPr>
              <w:pStyle w:val="10"/>
            </w:pPr>
            <w:r>
              <w:t>一般公共预算              财政拨款</w:t>
            </w:r>
          </w:p>
        </w:tc>
        <w:tc>
          <w:tcPr>
            <w:tcW w:w="2381" w:type="dxa"/>
            <w:vAlign w:val="center"/>
          </w:tcPr>
          <w:p w14:paraId="72FE8DFE">
            <w:pPr>
              <w:pStyle w:val="10"/>
            </w:pPr>
            <w:r>
              <w:t>政府性基金                  预算拨款</w:t>
            </w:r>
          </w:p>
        </w:tc>
        <w:tc>
          <w:tcPr>
            <w:tcW w:w="2381" w:type="dxa"/>
            <w:vAlign w:val="center"/>
          </w:tcPr>
          <w:p w14:paraId="33AC9881">
            <w:pPr>
              <w:pStyle w:val="10"/>
            </w:pPr>
            <w:r>
              <w:t>国有资本经营              预算财政拨款</w:t>
            </w:r>
          </w:p>
        </w:tc>
      </w:tr>
      <w:tr w14:paraId="4217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E85B38">
            <w:pPr>
              <w:pStyle w:val="10"/>
            </w:pPr>
            <w:r>
              <w:t>栏次</w:t>
            </w:r>
          </w:p>
        </w:tc>
        <w:tc>
          <w:tcPr>
            <w:tcW w:w="3798" w:type="dxa"/>
            <w:vAlign w:val="center"/>
          </w:tcPr>
          <w:p w14:paraId="42311513">
            <w:pPr>
              <w:pStyle w:val="10"/>
            </w:pPr>
            <w:r>
              <w:t>1</w:t>
            </w:r>
          </w:p>
        </w:tc>
        <w:tc>
          <w:tcPr>
            <w:tcW w:w="2381" w:type="dxa"/>
            <w:vAlign w:val="center"/>
          </w:tcPr>
          <w:p w14:paraId="41E57E61">
            <w:pPr>
              <w:pStyle w:val="10"/>
            </w:pPr>
            <w:r>
              <w:t>2</w:t>
            </w:r>
          </w:p>
        </w:tc>
        <w:tc>
          <w:tcPr>
            <w:tcW w:w="2381" w:type="dxa"/>
            <w:vAlign w:val="center"/>
          </w:tcPr>
          <w:p w14:paraId="49DC4580">
            <w:pPr>
              <w:pStyle w:val="10"/>
            </w:pPr>
            <w:r>
              <w:t>3</w:t>
            </w:r>
          </w:p>
        </w:tc>
        <w:tc>
          <w:tcPr>
            <w:tcW w:w="2381" w:type="dxa"/>
            <w:vAlign w:val="center"/>
          </w:tcPr>
          <w:p w14:paraId="755C9604">
            <w:pPr>
              <w:pStyle w:val="10"/>
            </w:pPr>
            <w:r>
              <w:t>4</w:t>
            </w:r>
          </w:p>
        </w:tc>
        <w:tc>
          <w:tcPr>
            <w:tcW w:w="2381" w:type="dxa"/>
            <w:vAlign w:val="center"/>
          </w:tcPr>
          <w:p w14:paraId="45B50B6A">
            <w:pPr>
              <w:pStyle w:val="10"/>
            </w:pPr>
            <w:r>
              <w:t>5</w:t>
            </w:r>
          </w:p>
        </w:tc>
      </w:tr>
      <w:tr w14:paraId="655C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33B568">
            <w:pPr>
              <w:pStyle w:val="13"/>
            </w:pPr>
          </w:p>
        </w:tc>
        <w:tc>
          <w:tcPr>
            <w:tcW w:w="3798" w:type="dxa"/>
            <w:vAlign w:val="center"/>
          </w:tcPr>
          <w:p w14:paraId="044E2A79">
            <w:pPr>
              <w:pStyle w:val="12"/>
            </w:pPr>
          </w:p>
        </w:tc>
        <w:tc>
          <w:tcPr>
            <w:tcW w:w="2381" w:type="dxa"/>
            <w:vAlign w:val="center"/>
          </w:tcPr>
          <w:p w14:paraId="7568F105">
            <w:pPr>
              <w:pStyle w:val="11"/>
            </w:pPr>
          </w:p>
        </w:tc>
        <w:tc>
          <w:tcPr>
            <w:tcW w:w="2381" w:type="dxa"/>
            <w:vAlign w:val="center"/>
          </w:tcPr>
          <w:p w14:paraId="127A663F">
            <w:pPr>
              <w:pStyle w:val="11"/>
            </w:pPr>
          </w:p>
        </w:tc>
        <w:tc>
          <w:tcPr>
            <w:tcW w:w="2381" w:type="dxa"/>
            <w:vAlign w:val="center"/>
          </w:tcPr>
          <w:p w14:paraId="66778930">
            <w:pPr>
              <w:pStyle w:val="11"/>
            </w:pPr>
          </w:p>
        </w:tc>
        <w:tc>
          <w:tcPr>
            <w:tcW w:w="2381" w:type="dxa"/>
            <w:vAlign w:val="center"/>
          </w:tcPr>
          <w:p w14:paraId="4BC4B2CB">
            <w:pPr>
              <w:pStyle w:val="11"/>
            </w:pPr>
          </w:p>
        </w:tc>
      </w:tr>
    </w:tbl>
    <w:p w14:paraId="5A53783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827F18">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隆尧县北楼校区2026年单位预算信息公开情况说明</w:t>
      </w:r>
    </w:p>
    <w:p w14:paraId="53189EC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地方预决算公开操作规程》和《关于进一步推进预算公开工作的实施意见》规定，现将隆尧县北楼校区2026年单位预算公开如下：</w:t>
      </w:r>
    </w:p>
    <w:p w14:paraId="4F974028">
      <w:pPr>
        <w:spacing w:before="10" w:after="10" w:line="240" w:lineRule="auto"/>
        <w:ind w:firstLine="640"/>
        <w:jc w:val="left"/>
        <w:outlineLvl w:val="5"/>
      </w:pPr>
      <w:r>
        <w:rPr>
          <w:rFonts w:ascii="黑体" w:hAnsi="黑体" w:eastAsia="黑体" w:cs="黑体"/>
          <w:color w:val="000000"/>
          <w:sz w:val="32"/>
        </w:rPr>
        <w:t>一、单位职责及机构设置情况</w:t>
      </w:r>
    </w:p>
    <w:p w14:paraId="06E8EF3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73C3CA">
      <w:pPr>
        <w:pStyle w:val="17"/>
        <w:rPr>
          <w:rFonts w:hint="eastAsia"/>
        </w:rPr>
      </w:pPr>
      <w:r>
        <w:rPr>
          <w:rFonts w:hint="eastAsia"/>
        </w:rPr>
        <w:t>贯彻落实基础教育的方针、政策，开展小学阶段教育教学工作，促进学生德、智、体、美、劳全方面发展；负责学生安全教育和管理，确保学生身心健康；加强教师队伍建设和管理，为教育教学工作提供保障。</w:t>
      </w:r>
    </w:p>
    <w:p w14:paraId="1F63598F">
      <w:pPr>
        <w:pStyle w:val="17"/>
      </w:pPr>
      <w:r>
        <w:rPr>
          <w:rFonts w:hint="eastAsia"/>
        </w:rPr>
        <w:t xml:space="preserve">   隆尧县北楼校区事业编制119人，其中校长1名（正股级），副校长2名（副股级）；经费形式为财政性资金基本保证。</w:t>
      </w:r>
    </w:p>
    <w:p w14:paraId="64AB655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BE3D3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27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C2F1D8">
            <w:pPr>
              <w:pStyle w:val="10"/>
            </w:pPr>
            <w:r>
              <w:t>单位名称</w:t>
            </w:r>
          </w:p>
        </w:tc>
        <w:tc>
          <w:tcPr>
            <w:tcW w:w="1843" w:type="dxa"/>
            <w:vAlign w:val="center"/>
          </w:tcPr>
          <w:p w14:paraId="047EDBDA">
            <w:pPr>
              <w:pStyle w:val="10"/>
            </w:pPr>
            <w:r>
              <w:t>单位性质</w:t>
            </w:r>
          </w:p>
        </w:tc>
        <w:tc>
          <w:tcPr>
            <w:tcW w:w="2126" w:type="dxa"/>
            <w:vAlign w:val="center"/>
          </w:tcPr>
          <w:p w14:paraId="131FF60B">
            <w:pPr>
              <w:pStyle w:val="10"/>
            </w:pPr>
            <w:r>
              <w:t>单位规格</w:t>
            </w:r>
          </w:p>
        </w:tc>
        <w:tc>
          <w:tcPr>
            <w:tcW w:w="3827" w:type="dxa"/>
            <w:vAlign w:val="center"/>
          </w:tcPr>
          <w:p w14:paraId="37CC8BAD">
            <w:pPr>
              <w:pStyle w:val="10"/>
            </w:pPr>
            <w:r>
              <w:t>经费保障形式</w:t>
            </w:r>
          </w:p>
        </w:tc>
      </w:tr>
      <w:tr w14:paraId="0ACE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9447D4">
            <w:pPr>
              <w:pStyle w:val="12"/>
            </w:pPr>
            <w:r>
              <w:t>隆尧县北楼校区</w:t>
            </w:r>
          </w:p>
        </w:tc>
        <w:tc>
          <w:tcPr>
            <w:tcW w:w="1843" w:type="dxa"/>
            <w:vAlign w:val="center"/>
          </w:tcPr>
          <w:p w14:paraId="51FF3D40">
            <w:pPr>
              <w:pStyle w:val="13"/>
            </w:pPr>
            <w:r>
              <w:t>事业</w:t>
            </w:r>
          </w:p>
        </w:tc>
        <w:tc>
          <w:tcPr>
            <w:tcW w:w="2126" w:type="dxa"/>
            <w:vAlign w:val="center"/>
          </w:tcPr>
          <w:p w14:paraId="08A01331">
            <w:pPr>
              <w:pStyle w:val="13"/>
            </w:pPr>
            <w:r>
              <w:t>股级</w:t>
            </w:r>
          </w:p>
        </w:tc>
        <w:tc>
          <w:tcPr>
            <w:tcW w:w="3827" w:type="dxa"/>
            <w:vAlign w:val="center"/>
          </w:tcPr>
          <w:p w14:paraId="054280C6">
            <w:pPr>
              <w:pStyle w:val="13"/>
            </w:pPr>
            <w:r>
              <w:t>财政性资金基本保证</w:t>
            </w:r>
          </w:p>
        </w:tc>
      </w:tr>
    </w:tbl>
    <w:p w14:paraId="5FFC7CF1">
      <w:pPr>
        <w:spacing w:before="10" w:after="10" w:line="240" w:lineRule="auto"/>
        <w:ind w:firstLine="640"/>
        <w:jc w:val="left"/>
        <w:outlineLvl w:val="5"/>
      </w:pPr>
      <w:r>
        <w:rPr>
          <w:rFonts w:ascii="黑体" w:hAnsi="黑体" w:eastAsia="黑体" w:cs="黑体"/>
          <w:color w:val="000000"/>
          <w:sz w:val="32"/>
        </w:rPr>
        <w:t>二、单位预算安排的总体情况</w:t>
      </w:r>
    </w:p>
    <w:p w14:paraId="4D631688">
      <w:pPr>
        <w:pStyle w:val="18"/>
      </w:pPr>
      <w:r>
        <w:t>按照预算管理有关规定，目前我校单位预算的编制实行综合预算管理，即全部收入和支出都反映的预算中。隆尧县北楼校区的收支包含在单位预算中。</w:t>
      </w:r>
    </w:p>
    <w:p w14:paraId="4ACAB1FB">
      <w:pPr>
        <w:pStyle w:val="18"/>
      </w:pPr>
      <w:r>
        <w:t>1、收入说明</w:t>
      </w:r>
    </w:p>
    <w:p w14:paraId="30495E93">
      <w:pPr>
        <w:pStyle w:val="18"/>
      </w:pPr>
      <w:r>
        <w:t>反映本单位当年全部收入。2026年预算收入2005.82万元，其中2005.82万元，基金预算收入0万元，基金预算收入0万元，国有资本经营预算收入0万元，财政专户拨收入0万元，单位资金收入0万元</w:t>
      </w:r>
    </w:p>
    <w:p w14:paraId="49FB3371">
      <w:pPr>
        <w:pStyle w:val="18"/>
      </w:pPr>
      <w:r>
        <w:t>2、支出说明</w:t>
      </w:r>
    </w:p>
    <w:p w14:paraId="180F37A3">
      <w:pPr>
        <w:pStyle w:val="18"/>
      </w:pPr>
      <w:r>
        <w:t>收支预算总表支出栏、基本支出表、项目支出表按经济分类和支出功能分类科目编制，反映隆尧县北楼校区年度单位预算中支出预算的总体情况。2026年单位支出预算为2005.82万元，其中基本支出1534.93万元、项目支出470.89万元。主要为小学教育1841.79万元，学前教育164.03万元。</w:t>
      </w:r>
    </w:p>
    <w:p w14:paraId="7B0864FD">
      <w:pPr>
        <w:pStyle w:val="18"/>
      </w:pPr>
      <w:r>
        <w:t>3、比上年增减情况</w:t>
      </w:r>
    </w:p>
    <w:p w14:paraId="2BA63641">
      <w:pPr>
        <w:pStyle w:val="18"/>
      </w:pPr>
      <w:r>
        <w:t>2026年部门预算收支安排2005.82万元，较2025年年初预算减少47.74万元，其中基本支出增减少87.34万元，项目支出增加39.6万元。</w:t>
      </w:r>
    </w:p>
    <w:p w14:paraId="4C96B2AA">
      <w:pPr>
        <w:spacing w:before="10" w:after="10" w:line="240" w:lineRule="auto"/>
        <w:ind w:firstLine="640"/>
        <w:jc w:val="left"/>
        <w:outlineLvl w:val="5"/>
      </w:pPr>
      <w:r>
        <w:rPr>
          <w:rFonts w:ascii="黑体" w:hAnsi="黑体" w:eastAsia="黑体" w:cs="黑体"/>
          <w:color w:val="000000"/>
          <w:sz w:val="32"/>
        </w:rPr>
        <w:t>三、机关运行经费安排情况</w:t>
      </w:r>
    </w:p>
    <w:p w14:paraId="75D4251C">
      <w:pPr>
        <w:pStyle w:val="19"/>
      </w:pPr>
      <w:r>
        <w:t>我单位按学生安排公用经费，无机关运行经费。</w:t>
      </w:r>
    </w:p>
    <w:p w14:paraId="0C7BCC9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106A2A4">
      <w:pPr>
        <w:pStyle w:val="20"/>
      </w:pPr>
      <w:r>
        <w:t>我单位未安排</w:t>
      </w:r>
      <w:r>
        <w:rPr>
          <w:rFonts w:hint="eastAsia"/>
          <w:lang w:eastAsia="zh-CN"/>
        </w:rPr>
        <w:t>“三公”经费</w:t>
      </w:r>
      <w:r>
        <w:t>。</w:t>
      </w:r>
    </w:p>
    <w:p w14:paraId="0476BA9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4753A14">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1、冀财教[2025]121号/中央/2026年义教补助经费/北楼校区北楼中心小学公用经费绩效目标表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AD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64370">
            <w:pPr>
              <w:pStyle w:val="11"/>
            </w:pPr>
            <w:r>
              <w:t>单位：万元</w:t>
            </w:r>
          </w:p>
        </w:tc>
      </w:tr>
      <w:tr w14:paraId="263D2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80C1E">
            <w:pPr>
              <w:pStyle w:val="10"/>
            </w:pPr>
            <w:r>
              <w:t>项目编码</w:t>
            </w:r>
          </w:p>
        </w:tc>
        <w:tc>
          <w:tcPr>
            <w:tcW w:w="5103" w:type="dxa"/>
            <w:gridSpan w:val="2"/>
            <w:vAlign w:val="center"/>
          </w:tcPr>
          <w:p w14:paraId="3A724C6E">
            <w:pPr>
              <w:pStyle w:val="12"/>
            </w:pPr>
            <w:r>
              <w:t>13052526P00000410271P</w:t>
            </w:r>
          </w:p>
        </w:tc>
        <w:tc>
          <w:tcPr>
            <w:tcW w:w="2835" w:type="dxa"/>
            <w:vAlign w:val="center"/>
          </w:tcPr>
          <w:p w14:paraId="76D792F6">
            <w:pPr>
              <w:pStyle w:val="10"/>
            </w:pPr>
            <w:r>
              <w:t>项目名称</w:t>
            </w:r>
          </w:p>
        </w:tc>
        <w:tc>
          <w:tcPr>
            <w:tcW w:w="6095" w:type="dxa"/>
            <w:gridSpan w:val="3"/>
            <w:vAlign w:val="center"/>
          </w:tcPr>
          <w:p w14:paraId="51AC0FCF">
            <w:pPr>
              <w:pStyle w:val="12"/>
            </w:pPr>
            <w:r>
              <w:t>冀财教[2025]121号/中央/2026年义教补助经费/北楼校区北楼中心小学公用经费</w:t>
            </w:r>
          </w:p>
        </w:tc>
      </w:tr>
      <w:tr w14:paraId="3A22D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590E0">
            <w:pPr>
              <w:pStyle w:val="10"/>
            </w:pPr>
            <w:r>
              <w:t>预算规模及资金用途</w:t>
            </w:r>
          </w:p>
        </w:tc>
        <w:tc>
          <w:tcPr>
            <w:tcW w:w="2268" w:type="dxa"/>
            <w:vAlign w:val="center"/>
          </w:tcPr>
          <w:p w14:paraId="76F6F4EC">
            <w:pPr>
              <w:pStyle w:val="10"/>
            </w:pPr>
            <w:r>
              <w:t>预算数</w:t>
            </w:r>
          </w:p>
        </w:tc>
        <w:tc>
          <w:tcPr>
            <w:tcW w:w="2835" w:type="dxa"/>
            <w:vAlign w:val="center"/>
          </w:tcPr>
          <w:p w14:paraId="1EDF4F45">
            <w:pPr>
              <w:pStyle w:val="12"/>
            </w:pPr>
            <w:r>
              <w:t>37.53</w:t>
            </w:r>
          </w:p>
        </w:tc>
        <w:tc>
          <w:tcPr>
            <w:tcW w:w="2835" w:type="dxa"/>
            <w:vAlign w:val="center"/>
          </w:tcPr>
          <w:p w14:paraId="4D4908C0">
            <w:pPr>
              <w:pStyle w:val="10"/>
            </w:pPr>
            <w:r>
              <w:t>其中：财政    资金</w:t>
            </w:r>
          </w:p>
        </w:tc>
        <w:tc>
          <w:tcPr>
            <w:tcW w:w="2551" w:type="dxa"/>
            <w:vAlign w:val="center"/>
          </w:tcPr>
          <w:p w14:paraId="3812554F">
            <w:pPr>
              <w:pStyle w:val="12"/>
            </w:pPr>
            <w:r>
              <w:t>37.53</w:t>
            </w:r>
          </w:p>
        </w:tc>
        <w:tc>
          <w:tcPr>
            <w:tcW w:w="2268" w:type="dxa"/>
            <w:vAlign w:val="center"/>
          </w:tcPr>
          <w:p w14:paraId="06D83333">
            <w:pPr>
              <w:pStyle w:val="10"/>
            </w:pPr>
            <w:r>
              <w:t>其他资金</w:t>
            </w:r>
          </w:p>
        </w:tc>
        <w:tc>
          <w:tcPr>
            <w:tcW w:w="1276" w:type="dxa"/>
            <w:vAlign w:val="center"/>
          </w:tcPr>
          <w:p w14:paraId="7760A852">
            <w:pPr>
              <w:pStyle w:val="12"/>
            </w:pPr>
            <w:r>
              <w:t xml:space="preserve"> </w:t>
            </w:r>
          </w:p>
        </w:tc>
      </w:tr>
      <w:tr w14:paraId="70A60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B25B7"/>
        </w:tc>
        <w:tc>
          <w:tcPr>
            <w:tcW w:w="14033" w:type="dxa"/>
            <w:gridSpan w:val="6"/>
            <w:vAlign w:val="center"/>
          </w:tcPr>
          <w:p w14:paraId="3D438689">
            <w:pPr>
              <w:pStyle w:val="12"/>
            </w:pPr>
            <w:r>
              <w:t>有效完成学校教学安全秩序，保障学校教学任务有效开展，满足学校正常教学需要。</w:t>
            </w:r>
          </w:p>
        </w:tc>
      </w:tr>
      <w:tr w14:paraId="6B75B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DDAE0">
            <w:pPr>
              <w:pStyle w:val="10"/>
            </w:pPr>
            <w:r>
              <w:t>资金支出计划（%）</w:t>
            </w:r>
          </w:p>
        </w:tc>
        <w:tc>
          <w:tcPr>
            <w:tcW w:w="5103" w:type="dxa"/>
            <w:gridSpan w:val="2"/>
            <w:vAlign w:val="center"/>
          </w:tcPr>
          <w:p w14:paraId="1E4F11A3">
            <w:pPr>
              <w:pStyle w:val="10"/>
            </w:pPr>
            <w:r>
              <w:t>3月底</w:t>
            </w:r>
          </w:p>
        </w:tc>
        <w:tc>
          <w:tcPr>
            <w:tcW w:w="2835" w:type="dxa"/>
            <w:vAlign w:val="center"/>
          </w:tcPr>
          <w:p w14:paraId="66891E57">
            <w:pPr>
              <w:pStyle w:val="10"/>
            </w:pPr>
            <w:r>
              <w:t>6月底</w:t>
            </w:r>
          </w:p>
        </w:tc>
        <w:tc>
          <w:tcPr>
            <w:tcW w:w="2551" w:type="dxa"/>
            <w:vAlign w:val="center"/>
          </w:tcPr>
          <w:p w14:paraId="3E0F0CC9">
            <w:pPr>
              <w:pStyle w:val="10"/>
            </w:pPr>
            <w:r>
              <w:t>10月底</w:t>
            </w:r>
          </w:p>
        </w:tc>
        <w:tc>
          <w:tcPr>
            <w:tcW w:w="3544" w:type="dxa"/>
            <w:gridSpan w:val="2"/>
            <w:vAlign w:val="center"/>
          </w:tcPr>
          <w:p w14:paraId="7F6CB721">
            <w:pPr>
              <w:pStyle w:val="10"/>
            </w:pPr>
            <w:r>
              <w:t>12月底</w:t>
            </w:r>
          </w:p>
        </w:tc>
      </w:tr>
      <w:tr w14:paraId="4B165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AF6A2"/>
        </w:tc>
        <w:tc>
          <w:tcPr>
            <w:tcW w:w="5103" w:type="dxa"/>
            <w:gridSpan w:val="2"/>
            <w:vAlign w:val="center"/>
          </w:tcPr>
          <w:p w14:paraId="1D03331D">
            <w:pPr>
              <w:pStyle w:val="13"/>
            </w:pPr>
            <w:r>
              <w:t>25%</w:t>
            </w:r>
          </w:p>
        </w:tc>
        <w:tc>
          <w:tcPr>
            <w:tcW w:w="2835" w:type="dxa"/>
            <w:vAlign w:val="center"/>
          </w:tcPr>
          <w:p w14:paraId="333CF5F7">
            <w:pPr>
              <w:pStyle w:val="13"/>
            </w:pPr>
            <w:r>
              <w:t>50%</w:t>
            </w:r>
          </w:p>
        </w:tc>
        <w:tc>
          <w:tcPr>
            <w:tcW w:w="2551" w:type="dxa"/>
            <w:vAlign w:val="center"/>
          </w:tcPr>
          <w:p w14:paraId="0752D208">
            <w:pPr>
              <w:pStyle w:val="13"/>
            </w:pPr>
            <w:r>
              <w:t>75%</w:t>
            </w:r>
          </w:p>
        </w:tc>
        <w:tc>
          <w:tcPr>
            <w:tcW w:w="3544" w:type="dxa"/>
            <w:gridSpan w:val="2"/>
            <w:vAlign w:val="center"/>
          </w:tcPr>
          <w:p w14:paraId="14C5AF70">
            <w:pPr>
              <w:pStyle w:val="13"/>
            </w:pPr>
            <w:r>
              <w:t>100%</w:t>
            </w:r>
          </w:p>
        </w:tc>
      </w:tr>
      <w:tr w14:paraId="5A00A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FDBBF">
            <w:pPr>
              <w:pStyle w:val="10"/>
            </w:pPr>
            <w:r>
              <w:t>绩效目标</w:t>
            </w:r>
          </w:p>
        </w:tc>
        <w:tc>
          <w:tcPr>
            <w:tcW w:w="14033" w:type="dxa"/>
            <w:gridSpan w:val="6"/>
            <w:vAlign w:val="center"/>
          </w:tcPr>
          <w:p w14:paraId="67CCB025">
            <w:pPr>
              <w:pStyle w:val="12"/>
            </w:pPr>
            <w:r>
              <w:t>1.按规定拨付公用经费资金，预算执行率≥98%。</w:t>
            </w:r>
          </w:p>
          <w:p w14:paraId="5B97AAAE">
            <w:pPr>
              <w:pStyle w:val="12"/>
            </w:pPr>
            <w:r>
              <w:t>2.有效完成学校教学安全秩序，保障学校教学任务有效开展，满足学校正常教学需要。</w:t>
            </w:r>
          </w:p>
        </w:tc>
      </w:tr>
    </w:tbl>
    <w:p w14:paraId="60963F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1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39325">
            <w:pPr>
              <w:pStyle w:val="10"/>
            </w:pPr>
            <w:r>
              <w:t>一级指标</w:t>
            </w:r>
          </w:p>
        </w:tc>
        <w:tc>
          <w:tcPr>
            <w:tcW w:w="2268" w:type="dxa"/>
            <w:vAlign w:val="center"/>
          </w:tcPr>
          <w:p w14:paraId="37F7ED19">
            <w:pPr>
              <w:pStyle w:val="10"/>
            </w:pPr>
            <w:r>
              <w:t>二级指标</w:t>
            </w:r>
          </w:p>
        </w:tc>
        <w:tc>
          <w:tcPr>
            <w:tcW w:w="2835" w:type="dxa"/>
            <w:vAlign w:val="center"/>
          </w:tcPr>
          <w:p w14:paraId="34FE3FB6">
            <w:pPr>
              <w:pStyle w:val="10"/>
            </w:pPr>
            <w:r>
              <w:t>三级指标</w:t>
            </w:r>
          </w:p>
        </w:tc>
        <w:tc>
          <w:tcPr>
            <w:tcW w:w="5386" w:type="dxa"/>
            <w:vAlign w:val="center"/>
          </w:tcPr>
          <w:p w14:paraId="0C62AEE0">
            <w:pPr>
              <w:pStyle w:val="10"/>
            </w:pPr>
            <w:r>
              <w:t>绩效指标描述</w:t>
            </w:r>
          </w:p>
        </w:tc>
        <w:tc>
          <w:tcPr>
            <w:tcW w:w="2268" w:type="dxa"/>
            <w:vAlign w:val="center"/>
          </w:tcPr>
          <w:p w14:paraId="6627CC36">
            <w:pPr>
              <w:pStyle w:val="10"/>
            </w:pPr>
            <w:r>
              <w:t>指标值</w:t>
            </w:r>
          </w:p>
        </w:tc>
        <w:tc>
          <w:tcPr>
            <w:tcW w:w="1276" w:type="dxa"/>
            <w:vAlign w:val="center"/>
          </w:tcPr>
          <w:p w14:paraId="7C885A7A">
            <w:pPr>
              <w:pStyle w:val="10"/>
            </w:pPr>
            <w:r>
              <w:t>指标值确定依据</w:t>
            </w:r>
          </w:p>
        </w:tc>
      </w:tr>
      <w:tr w14:paraId="3F06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B5BB6">
            <w:pPr>
              <w:pStyle w:val="13"/>
            </w:pPr>
            <w:r>
              <w:t>产出指标</w:t>
            </w:r>
          </w:p>
        </w:tc>
        <w:tc>
          <w:tcPr>
            <w:tcW w:w="2268" w:type="dxa"/>
            <w:vAlign w:val="center"/>
          </w:tcPr>
          <w:p w14:paraId="33830218">
            <w:pPr>
              <w:pStyle w:val="12"/>
            </w:pPr>
            <w:r>
              <w:t>成本指标</w:t>
            </w:r>
          </w:p>
        </w:tc>
        <w:tc>
          <w:tcPr>
            <w:tcW w:w="2835" w:type="dxa"/>
            <w:vAlign w:val="center"/>
          </w:tcPr>
          <w:p w14:paraId="7C3BFAA3">
            <w:pPr>
              <w:pStyle w:val="12"/>
            </w:pPr>
            <w:r>
              <w:t>生均拨款标准</w:t>
            </w:r>
          </w:p>
        </w:tc>
        <w:tc>
          <w:tcPr>
            <w:tcW w:w="5386" w:type="dxa"/>
            <w:vAlign w:val="center"/>
          </w:tcPr>
          <w:p w14:paraId="118B43AA">
            <w:pPr>
              <w:pStyle w:val="12"/>
            </w:pPr>
            <w:r>
              <w:t>小学生公用经费生均小学720元。取暖费120元/生/年，随班就读学生补助7000元/生</w:t>
            </w:r>
          </w:p>
        </w:tc>
        <w:tc>
          <w:tcPr>
            <w:tcW w:w="2268" w:type="dxa"/>
            <w:vAlign w:val="center"/>
          </w:tcPr>
          <w:p w14:paraId="1B875CA6">
            <w:pPr>
              <w:pStyle w:val="12"/>
            </w:pPr>
            <w:r>
              <w:t>840元</w:t>
            </w:r>
          </w:p>
        </w:tc>
        <w:tc>
          <w:tcPr>
            <w:tcW w:w="1276" w:type="dxa"/>
            <w:vAlign w:val="center"/>
          </w:tcPr>
          <w:p w14:paraId="64F2CDF1">
            <w:pPr>
              <w:pStyle w:val="12"/>
            </w:pPr>
            <w:r>
              <w:t>城乡义务教育公用经费管理办法</w:t>
            </w:r>
          </w:p>
        </w:tc>
      </w:tr>
      <w:tr w14:paraId="0693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1698C"/>
        </w:tc>
        <w:tc>
          <w:tcPr>
            <w:tcW w:w="2268" w:type="dxa"/>
            <w:vAlign w:val="center"/>
          </w:tcPr>
          <w:p w14:paraId="20FC1153">
            <w:pPr>
              <w:pStyle w:val="12"/>
            </w:pPr>
            <w:r>
              <w:t>数量指标</w:t>
            </w:r>
          </w:p>
        </w:tc>
        <w:tc>
          <w:tcPr>
            <w:tcW w:w="2835" w:type="dxa"/>
            <w:vAlign w:val="center"/>
          </w:tcPr>
          <w:p w14:paraId="3E4132E6">
            <w:pPr>
              <w:pStyle w:val="12"/>
            </w:pPr>
            <w:r>
              <w:t>就读学生数</w:t>
            </w:r>
          </w:p>
        </w:tc>
        <w:tc>
          <w:tcPr>
            <w:tcW w:w="5386" w:type="dxa"/>
            <w:vAlign w:val="center"/>
          </w:tcPr>
          <w:p w14:paraId="4AB03B28">
            <w:pPr>
              <w:pStyle w:val="12"/>
            </w:pPr>
            <w:r>
              <w:t>辐射区域内适龄学生人数</w:t>
            </w:r>
          </w:p>
        </w:tc>
        <w:tc>
          <w:tcPr>
            <w:tcW w:w="2268" w:type="dxa"/>
            <w:vAlign w:val="center"/>
          </w:tcPr>
          <w:p w14:paraId="6CCEDF6E">
            <w:pPr>
              <w:pStyle w:val="12"/>
            </w:pPr>
            <w:r>
              <w:t>634人</w:t>
            </w:r>
          </w:p>
        </w:tc>
        <w:tc>
          <w:tcPr>
            <w:tcW w:w="1276" w:type="dxa"/>
            <w:vAlign w:val="center"/>
          </w:tcPr>
          <w:p w14:paraId="48BD85D1">
            <w:pPr>
              <w:pStyle w:val="12"/>
            </w:pPr>
            <w:r>
              <w:t>城乡义务教育公用经费管理办法</w:t>
            </w:r>
          </w:p>
        </w:tc>
      </w:tr>
      <w:tr w14:paraId="191D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31560"/>
        </w:tc>
        <w:tc>
          <w:tcPr>
            <w:tcW w:w="2268" w:type="dxa"/>
            <w:vAlign w:val="center"/>
          </w:tcPr>
          <w:p w14:paraId="30E7E596">
            <w:pPr>
              <w:pStyle w:val="12"/>
            </w:pPr>
            <w:r>
              <w:t>质量指标</w:t>
            </w:r>
          </w:p>
        </w:tc>
        <w:tc>
          <w:tcPr>
            <w:tcW w:w="2835" w:type="dxa"/>
            <w:vAlign w:val="center"/>
          </w:tcPr>
          <w:p w14:paraId="3E8F57DB">
            <w:pPr>
              <w:pStyle w:val="12"/>
            </w:pPr>
            <w:r>
              <w:t>预算执行率</w:t>
            </w:r>
          </w:p>
        </w:tc>
        <w:tc>
          <w:tcPr>
            <w:tcW w:w="5386" w:type="dxa"/>
            <w:vAlign w:val="center"/>
          </w:tcPr>
          <w:p w14:paraId="78AAB3B3">
            <w:pPr>
              <w:pStyle w:val="12"/>
            </w:pPr>
            <w:r>
              <w:t>预算执行率≥98%</w:t>
            </w:r>
          </w:p>
        </w:tc>
        <w:tc>
          <w:tcPr>
            <w:tcW w:w="2268" w:type="dxa"/>
            <w:vAlign w:val="center"/>
          </w:tcPr>
          <w:p w14:paraId="4D1BB833">
            <w:pPr>
              <w:pStyle w:val="12"/>
            </w:pPr>
            <w:r>
              <w:t>≥98%</w:t>
            </w:r>
          </w:p>
        </w:tc>
        <w:tc>
          <w:tcPr>
            <w:tcW w:w="1276" w:type="dxa"/>
            <w:vAlign w:val="center"/>
          </w:tcPr>
          <w:p w14:paraId="514A2DAA">
            <w:pPr>
              <w:pStyle w:val="12"/>
            </w:pPr>
            <w:r>
              <w:t>城乡义务教育公用经费管理办法</w:t>
            </w:r>
          </w:p>
        </w:tc>
      </w:tr>
      <w:tr w14:paraId="4913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C164"/>
        </w:tc>
        <w:tc>
          <w:tcPr>
            <w:tcW w:w="2268" w:type="dxa"/>
            <w:vAlign w:val="center"/>
          </w:tcPr>
          <w:p w14:paraId="340883AF">
            <w:pPr>
              <w:pStyle w:val="12"/>
            </w:pPr>
            <w:r>
              <w:t>时效指标</w:t>
            </w:r>
          </w:p>
        </w:tc>
        <w:tc>
          <w:tcPr>
            <w:tcW w:w="2835" w:type="dxa"/>
            <w:vAlign w:val="center"/>
          </w:tcPr>
          <w:p w14:paraId="6BA67C80">
            <w:pPr>
              <w:pStyle w:val="12"/>
            </w:pPr>
            <w:r>
              <w:t>义教经费支付完成率</w:t>
            </w:r>
          </w:p>
        </w:tc>
        <w:tc>
          <w:tcPr>
            <w:tcW w:w="5386" w:type="dxa"/>
            <w:vAlign w:val="center"/>
          </w:tcPr>
          <w:p w14:paraId="24019543">
            <w:pPr>
              <w:pStyle w:val="12"/>
            </w:pPr>
            <w:r>
              <w:t>按照序时进度完成资金支付</w:t>
            </w:r>
          </w:p>
        </w:tc>
        <w:tc>
          <w:tcPr>
            <w:tcW w:w="2268" w:type="dxa"/>
            <w:vAlign w:val="center"/>
          </w:tcPr>
          <w:p w14:paraId="4FBBBD4E">
            <w:pPr>
              <w:pStyle w:val="12"/>
            </w:pPr>
            <w:r>
              <w:t>100%</w:t>
            </w:r>
          </w:p>
        </w:tc>
        <w:tc>
          <w:tcPr>
            <w:tcW w:w="1276" w:type="dxa"/>
            <w:vAlign w:val="center"/>
          </w:tcPr>
          <w:p w14:paraId="133B79DF">
            <w:pPr>
              <w:pStyle w:val="12"/>
            </w:pPr>
            <w:r>
              <w:t>城乡义务教育公用经费管理办法</w:t>
            </w:r>
          </w:p>
        </w:tc>
      </w:tr>
      <w:tr w14:paraId="208D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5EF01">
            <w:pPr>
              <w:pStyle w:val="13"/>
            </w:pPr>
            <w:r>
              <w:t>效益指标</w:t>
            </w:r>
          </w:p>
        </w:tc>
        <w:tc>
          <w:tcPr>
            <w:tcW w:w="2268" w:type="dxa"/>
            <w:vAlign w:val="center"/>
          </w:tcPr>
          <w:p w14:paraId="3D660EFF">
            <w:pPr>
              <w:pStyle w:val="12"/>
            </w:pPr>
            <w:r>
              <w:t>可持续影响指标</w:t>
            </w:r>
          </w:p>
        </w:tc>
        <w:tc>
          <w:tcPr>
            <w:tcW w:w="2835" w:type="dxa"/>
            <w:vAlign w:val="center"/>
          </w:tcPr>
          <w:p w14:paraId="1991B5B6">
            <w:pPr>
              <w:pStyle w:val="12"/>
            </w:pPr>
            <w:r>
              <w:t>学校运转得到提高</w:t>
            </w:r>
          </w:p>
        </w:tc>
        <w:tc>
          <w:tcPr>
            <w:tcW w:w="5386" w:type="dxa"/>
            <w:vAlign w:val="center"/>
          </w:tcPr>
          <w:p w14:paraId="77567BDE">
            <w:pPr>
              <w:pStyle w:val="12"/>
            </w:pPr>
            <w:r>
              <w:t>学生受教育年限</w:t>
            </w:r>
          </w:p>
        </w:tc>
        <w:tc>
          <w:tcPr>
            <w:tcW w:w="2268" w:type="dxa"/>
            <w:vAlign w:val="center"/>
          </w:tcPr>
          <w:p w14:paraId="3D74E9A9">
            <w:pPr>
              <w:pStyle w:val="12"/>
            </w:pPr>
            <w:r>
              <w:t>6年</w:t>
            </w:r>
          </w:p>
        </w:tc>
        <w:tc>
          <w:tcPr>
            <w:tcW w:w="1276" w:type="dxa"/>
            <w:vAlign w:val="center"/>
          </w:tcPr>
          <w:p w14:paraId="50157352">
            <w:pPr>
              <w:pStyle w:val="12"/>
            </w:pPr>
            <w:r>
              <w:t>城乡义务教育公用经费管理办法</w:t>
            </w:r>
          </w:p>
        </w:tc>
      </w:tr>
      <w:tr w14:paraId="0CE8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F89DB">
            <w:pPr>
              <w:pStyle w:val="13"/>
            </w:pPr>
            <w:r>
              <w:t>满意度指标</w:t>
            </w:r>
          </w:p>
        </w:tc>
        <w:tc>
          <w:tcPr>
            <w:tcW w:w="2268" w:type="dxa"/>
            <w:vAlign w:val="center"/>
          </w:tcPr>
          <w:p w14:paraId="787A86E1">
            <w:pPr>
              <w:pStyle w:val="12"/>
            </w:pPr>
            <w:r>
              <w:t>服务对象满意度指标</w:t>
            </w:r>
          </w:p>
        </w:tc>
        <w:tc>
          <w:tcPr>
            <w:tcW w:w="2835" w:type="dxa"/>
            <w:vAlign w:val="center"/>
          </w:tcPr>
          <w:p w14:paraId="4B45F319">
            <w:pPr>
              <w:pStyle w:val="12"/>
            </w:pPr>
            <w:r>
              <w:t>服务对象满意度</w:t>
            </w:r>
          </w:p>
        </w:tc>
        <w:tc>
          <w:tcPr>
            <w:tcW w:w="5386" w:type="dxa"/>
            <w:vAlign w:val="center"/>
          </w:tcPr>
          <w:p w14:paraId="32F0B0B5">
            <w:pPr>
              <w:pStyle w:val="12"/>
            </w:pPr>
            <w:r>
              <w:t>学校老师和学生满意度</w:t>
            </w:r>
          </w:p>
        </w:tc>
        <w:tc>
          <w:tcPr>
            <w:tcW w:w="2268" w:type="dxa"/>
            <w:vAlign w:val="center"/>
          </w:tcPr>
          <w:p w14:paraId="0F961062">
            <w:pPr>
              <w:pStyle w:val="12"/>
            </w:pPr>
            <w:r>
              <w:t>≥95%</w:t>
            </w:r>
          </w:p>
        </w:tc>
        <w:tc>
          <w:tcPr>
            <w:tcW w:w="1276" w:type="dxa"/>
            <w:vAlign w:val="center"/>
          </w:tcPr>
          <w:p w14:paraId="42256512">
            <w:pPr>
              <w:pStyle w:val="12"/>
            </w:pPr>
            <w:r>
              <w:t>问卷调查</w:t>
            </w:r>
          </w:p>
        </w:tc>
      </w:tr>
    </w:tbl>
    <w:p w14:paraId="35348263">
      <w:pPr>
        <w:sectPr>
          <w:pgSz w:w="16840" w:h="11900" w:orient="landscape"/>
          <w:pgMar w:top="1361" w:right="1020" w:bottom="1134" w:left="1020" w:header="720" w:footer="720" w:gutter="0"/>
          <w:cols w:space="720" w:num="1"/>
        </w:sectPr>
      </w:pPr>
    </w:p>
    <w:p w14:paraId="2AEF899B">
      <w:pPr>
        <w:spacing w:before="0" w:after="0"/>
        <w:ind w:firstLine="560"/>
        <w:jc w:val="left"/>
        <w:outlineLvl w:val="9"/>
      </w:pPr>
      <w:r>
        <w:rPr>
          <w:rFonts w:ascii="方正仿宋_GBK" w:hAnsi="方正仿宋_GBK" w:eastAsia="方正仿宋_GBK" w:cs="方正仿宋_GBK"/>
          <w:b/>
          <w:color w:val="000000"/>
          <w:sz w:val="28"/>
        </w:rPr>
        <w:t>2、冀财教[2025]121号/中央/2026年义教补助经费/北楼校区南楼小学公用经费绩效目标表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0B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4CE01">
            <w:pPr>
              <w:pStyle w:val="11"/>
            </w:pPr>
            <w:r>
              <w:t>单位：万元</w:t>
            </w:r>
          </w:p>
        </w:tc>
      </w:tr>
      <w:tr w14:paraId="32701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4BDA5">
            <w:pPr>
              <w:pStyle w:val="10"/>
            </w:pPr>
            <w:r>
              <w:t>项目编码</w:t>
            </w:r>
          </w:p>
        </w:tc>
        <w:tc>
          <w:tcPr>
            <w:tcW w:w="5103" w:type="dxa"/>
            <w:gridSpan w:val="2"/>
            <w:vAlign w:val="center"/>
          </w:tcPr>
          <w:p w14:paraId="47F9BFAE">
            <w:pPr>
              <w:pStyle w:val="12"/>
            </w:pPr>
            <w:r>
              <w:t>13052526P00000410272B</w:t>
            </w:r>
          </w:p>
        </w:tc>
        <w:tc>
          <w:tcPr>
            <w:tcW w:w="2835" w:type="dxa"/>
            <w:vAlign w:val="center"/>
          </w:tcPr>
          <w:p w14:paraId="288F7539">
            <w:pPr>
              <w:pStyle w:val="10"/>
            </w:pPr>
            <w:r>
              <w:t>项目名称</w:t>
            </w:r>
          </w:p>
        </w:tc>
        <w:tc>
          <w:tcPr>
            <w:tcW w:w="6095" w:type="dxa"/>
            <w:gridSpan w:val="3"/>
            <w:vAlign w:val="center"/>
          </w:tcPr>
          <w:p w14:paraId="6492E4E0">
            <w:pPr>
              <w:pStyle w:val="12"/>
            </w:pPr>
            <w:r>
              <w:t>冀财教[2025]121号/中央/2026年义教补助经费/北楼校区南楼小学公用经费</w:t>
            </w:r>
          </w:p>
        </w:tc>
      </w:tr>
      <w:tr w14:paraId="7A0F7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3BBD2">
            <w:pPr>
              <w:pStyle w:val="10"/>
            </w:pPr>
            <w:r>
              <w:t>预算规模及资金用途</w:t>
            </w:r>
          </w:p>
        </w:tc>
        <w:tc>
          <w:tcPr>
            <w:tcW w:w="2268" w:type="dxa"/>
            <w:vAlign w:val="center"/>
          </w:tcPr>
          <w:p w14:paraId="5D21B248">
            <w:pPr>
              <w:pStyle w:val="10"/>
            </w:pPr>
            <w:r>
              <w:t>预算数</w:t>
            </w:r>
          </w:p>
        </w:tc>
        <w:tc>
          <w:tcPr>
            <w:tcW w:w="2835" w:type="dxa"/>
            <w:vAlign w:val="center"/>
          </w:tcPr>
          <w:p w14:paraId="7E178701">
            <w:pPr>
              <w:pStyle w:val="12"/>
            </w:pPr>
            <w:r>
              <w:t>22.87</w:t>
            </w:r>
          </w:p>
        </w:tc>
        <w:tc>
          <w:tcPr>
            <w:tcW w:w="2835" w:type="dxa"/>
            <w:vAlign w:val="center"/>
          </w:tcPr>
          <w:p w14:paraId="3896DD3A">
            <w:pPr>
              <w:pStyle w:val="10"/>
            </w:pPr>
            <w:r>
              <w:t>其中：财政    资金</w:t>
            </w:r>
          </w:p>
        </w:tc>
        <w:tc>
          <w:tcPr>
            <w:tcW w:w="2551" w:type="dxa"/>
            <w:vAlign w:val="center"/>
          </w:tcPr>
          <w:p w14:paraId="0A84D51A">
            <w:pPr>
              <w:pStyle w:val="12"/>
            </w:pPr>
            <w:r>
              <w:t>22.87</w:t>
            </w:r>
          </w:p>
        </w:tc>
        <w:tc>
          <w:tcPr>
            <w:tcW w:w="2268" w:type="dxa"/>
            <w:vAlign w:val="center"/>
          </w:tcPr>
          <w:p w14:paraId="32AE4AC8">
            <w:pPr>
              <w:pStyle w:val="10"/>
            </w:pPr>
            <w:r>
              <w:t>其他资金</w:t>
            </w:r>
          </w:p>
        </w:tc>
        <w:tc>
          <w:tcPr>
            <w:tcW w:w="1276" w:type="dxa"/>
            <w:vAlign w:val="center"/>
          </w:tcPr>
          <w:p w14:paraId="3CB47570">
            <w:pPr>
              <w:pStyle w:val="12"/>
            </w:pPr>
            <w:r>
              <w:t xml:space="preserve"> </w:t>
            </w:r>
          </w:p>
        </w:tc>
      </w:tr>
      <w:tr w14:paraId="7972F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55772"/>
        </w:tc>
        <w:tc>
          <w:tcPr>
            <w:tcW w:w="14033" w:type="dxa"/>
            <w:gridSpan w:val="6"/>
            <w:vAlign w:val="center"/>
          </w:tcPr>
          <w:p w14:paraId="66565B11">
            <w:pPr>
              <w:pStyle w:val="12"/>
            </w:pPr>
            <w:r>
              <w:t>有效完成学校教学安全秩序，保障学校教学任务有效开展，满足学校正常教学需要。</w:t>
            </w:r>
          </w:p>
        </w:tc>
      </w:tr>
      <w:tr w14:paraId="2ED8A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18B50">
            <w:pPr>
              <w:pStyle w:val="10"/>
            </w:pPr>
            <w:r>
              <w:t>资金支出计划（%）</w:t>
            </w:r>
          </w:p>
        </w:tc>
        <w:tc>
          <w:tcPr>
            <w:tcW w:w="5103" w:type="dxa"/>
            <w:gridSpan w:val="2"/>
            <w:vAlign w:val="center"/>
          </w:tcPr>
          <w:p w14:paraId="1A5E8E1F">
            <w:pPr>
              <w:pStyle w:val="10"/>
            </w:pPr>
            <w:r>
              <w:t>3月底</w:t>
            </w:r>
          </w:p>
        </w:tc>
        <w:tc>
          <w:tcPr>
            <w:tcW w:w="2835" w:type="dxa"/>
            <w:vAlign w:val="center"/>
          </w:tcPr>
          <w:p w14:paraId="4CF31034">
            <w:pPr>
              <w:pStyle w:val="10"/>
            </w:pPr>
            <w:r>
              <w:t>6月底</w:t>
            </w:r>
          </w:p>
        </w:tc>
        <w:tc>
          <w:tcPr>
            <w:tcW w:w="2551" w:type="dxa"/>
            <w:vAlign w:val="center"/>
          </w:tcPr>
          <w:p w14:paraId="7CE115E2">
            <w:pPr>
              <w:pStyle w:val="10"/>
            </w:pPr>
            <w:r>
              <w:t>10月底</w:t>
            </w:r>
          </w:p>
        </w:tc>
        <w:tc>
          <w:tcPr>
            <w:tcW w:w="3544" w:type="dxa"/>
            <w:gridSpan w:val="2"/>
            <w:vAlign w:val="center"/>
          </w:tcPr>
          <w:p w14:paraId="0D215768">
            <w:pPr>
              <w:pStyle w:val="10"/>
            </w:pPr>
            <w:r>
              <w:t>12月底</w:t>
            </w:r>
          </w:p>
        </w:tc>
      </w:tr>
      <w:tr w14:paraId="22699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55F4B"/>
        </w:tc>
        <w:tc>
          <w:tcPr>
            <w:tcW w:w="5103" w:type="dxa"/>
            <w:gridSpan w:val="2"/>
            <w:vAlign w:val="center"/>
          </w:tcPr>
          <w:p w14:paraId="057AA561">
            <w:pPr>
              <w:pStyle w:val="13"/>
            </w:pPr>
            <w:r>
              <w:t>25%</w:t>
            </w:r>
          </w:p>
        </w:tc>
        <w:tc>
          <w:tcPr>
            <w:tcW w:w="2835" w:type="dxa"/>
            <w:vAlign w:val="center"/>
          </w:tcPr>
          <w:p w14:paraId="551C0D6E">
            <w:pPr>
              <w:pStyle w:val="13"/>
            </w:pPr>
            <w:r>
              <w:t>50%</w:t>
            </w:r>
          </w:p>
        </w:tc>
        <w:tc>
          <w:tcPr>
            <w:tcW w:w="2551" w:type="dxa"/>
            <w:vAlign w:val="center"/>
          </w:tcPr>
          <w:p w14:paraId="40525ED4">
            <w:pPr>
              <w:pStyle w:val="13"/>
            </w:pPr>
            <w:r>
              <w:t>75%</w:t>
            </w:r>
          </w:p>
        </w:tc>
        <w:tc>
          <w:tcPr>
            <w:tcW w:w="3544" w:type="dxa"/>
            <w:gridSpan w:val="2"/>
            <w:vAlign w:val="center"/>
          </w:tcPr>
          <w:p w14:paraId="763C0358">
            <w:pPr>
              <w:pStyle w:val="13"/>
            </w:pPr>
            <w:r>
              <w:t>100%</w:t>
            </w:r>
          </w:p>
        </w:tc>
      </w:tr>
      <w:tr w14:paraId="29394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DB071">
            <w:pPr>
              <w:pStyle w:val="10"/>
            </w:pPr>
            <w:r>
              <w:t>绩效目标</w:t>
            </w:r>
          </w:p>
        </w:tc>
        <w:tc>
          <w:tcPr>
            <w:tcW w:w="14033" w:type="dxa"/>
            <w:gridSpan w:val="6"/>
            <w:vAlign w:val="center"/>
          </w:tcPr>
          <w:p w14:paraId="7C8FD1B3">
            <w:pPr>
              <w:pStyle w:val="12"/>
            </w:pPr>
            <w:r>
              <w:t>1.按规定拨付公用经费资金，预算执行率≥98%。</w:t>
            </w:r>
          </w:p>
          <w:p w14:paraId="30E388F3">
            <w:pPr>
              <w:pStyle w:val="12"/>
            </w:pPr>
            <w:r>
              <w:t>2.有效完成学校教学安全秩序，保障学校教学任务有效开展，满足学校正常教学需要。</w:t>
            </w:r>
          </w:p>
        </w:tc>
      </w:tr>
    </w:tbl>
    <w:p w14:paraId="19445E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3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DB09C">
            <w:pPr>
              <w:pStyle w:val="10"/>
            </w:pPr>
            <w:r>
              <w:t>一级指标</w:t>
            </w:r>
          </w:p>
        </w:tc>
        <w:tc>
          <w:tcPr>
            <w:tcW w:w="2268" w:type="dxa"/>
            <w:vAlign w:val="center"/>
          </w:tcPr>
          <w:p w14:paraId="30741446">
            <w:pPr>
              <w:pStyle w:val="10"/>
            </w:pPr>
            <w:r>
              <w:t>二级指标</w:t>
            </w:r>
          </w:p>
        </w:tc>
        <w:tc>
          <w:tcPr>
            <w:tcW w:w="2835" w:type="dxa"/>
            <w:vAlign w:val="center"/>
          </w:tcPr>
          <w:p w14:paraId="1FC3A116">
            <w:pPr>
              <w:pStyle w:val="10"/>
            </w:pPr>
            <w:r>
              <w:t>三级指标</w:t>
            </w:r>
          </w:p>
        </w:tc>
        <w:tc>
          <w:tcPr>
            <w:tcW w:w="5386" w:type="dxa"/>
            <w:vAlign w:val="center"/>
          </w:tcPr>
          <w:p w14:paraId="7D702534">
            <w:pPr>
              <w:pStyle w:val="10"/>
            </w:pPr>
            <w:r>
              <w:t>绩效指标描述</w:t>
            </w:r>
          </w:p>
        </w:tc>
        <w:tc>
          <w:tcPr>
            <w:tcW w:w="2268" w:type="dxa"/>
            <w:vAlign w:val="center"/>
          </w:tcPr>
          <w:p w14:paraId="172D00DC">
            <w:pPr>
              <w:pStyle w:val="10"/>
            </w:pPr>
            <w:r>
              <w:t>指标值</w:t>
            </w:r>
          </w:p>
        </w:tc>
        <w:tc>
          <w:tcPr>
            <w:tcW w:w="1276" w:type="dxa"/>
            <w:vAlign w:val="center"/>
          </w:tcPr>
          <w:p w14:paraId="1CB25DAF">
            <w:pPr>
              <w:pStyle w:val="10"/>
            </w:pPr>
            <w:r>
              <w:t>指标值确定依据</w:t>
            </w:r>
          </w:p>
        </w:tc>
      </w:tr>
      <w:tr w14:paraId="1914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97ACB">
            <w:pPr>
              <w:pStyle w:val="13"/>
            </w:pPr>
            <w:r>
              <w:t>产出指标</w:t>
            </w:r>
          </w:p>
        </w:tc>
        <w:tc>
          <w:tcPr>
            <w:tcW w:w="2268" w:type="dxa"/>
            <w:vAlign w:val="center"/>
          </w:tcPr>
          <w:p w14:paraId="77AFA40A">
            <w:pPr>
              <w:pStyle w:val="12"/>
            </w:pPr>
            <w:r>
              <w:t>成本指标</w:t>
            </w:r>
          </w:p>
        </w:tc>
        <w:tc>
          <w:tcPr>
            <w:tcW w:w="2835" w:type="dxa"/>
            <w:vAlign w:val="center"/>
          </w:tcPr>
          <w:p w14:paraId="41051D93">
            <w:pPr>
              <w:pStyle w:val="12"/>
            </w:pPr>
            <w:r>
              <w:t>生均拨款标准</w:t>
            </w:r>
          </w:p>
        </w:tc>
        <w:tc>
          <w:tcPr>
            <w:tcW w:w="5386" w:type="dxa"/>
            <w:vAlign w:val="center"/>
          </w:tcPr>
          <w:p w14:paraId="653BAE71">
            <w:pPr>
              <w:pStyle w:val="12"/>
            </w:pPr>
            <w:r>
              <w:t>小学生公用经费生均小学720元。取暖费120元/生/年，随班就读学生补助7000元/生</w:t>
            </w:r>
          </w:p>
        </w:tc>
        <w:tc>
          <w:tcPr>
            <w:tcW w:w="2268" w:type="dxa"/>
            <w:vAlign w:val="center"/>
          </w:tcPr>
          <w:p w14:paraId="16131A72">
            <w:pPr>
              <w:pStyle w:val="12"/>
            </w:pPr>
            <w:r>
              <w:t>840元</w:t>
            </w:r>
          </w:p>
        </w:tc>
        <w:tc>
          <w:tcPr>
            <w:tcW w:w="1276" w:type="dxa"/>
            <w:vAlign w:val="center"/>
          </w:tcPr>
          <w:p w14:paraId="54985108">
            <w:pPr>
              <w:pStyle w:val="12"/>
            </w:pPr>
            <w:r>
              <w:t>城乡义务教育公用经费管理办法</w:t>
            </w:r>
          </w:p>
        </w:tc>
      </w:tr>
      <w:tr w14:paraId="0826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14702"/>
        </w:tc>
        <w:tc>
          <w:tcPr>
            <w:tcW w:w="2268" w:type="dxa"/>
            <w:vAlign w:val="center"/>
          </w:tcPr>
          <w:p w14:paraId="6ED914F8">
            <w:pPr>
              <w:pStyle w:val="12"/>
            </w:pPr>
            <w:r>
              <w:t>数量指标</w:t>
            </w:r>
          </w:p>
        </w:tc>
        <w:tc>
          <w:tcPr>
            <w:tcW w:w="2835" w:type="dxa"/>
            <w:vAlign w:val="center"/>
          </w:tcPr>
          <w:p w14:paraId="4D3E231B">
            <w:pPr>
              <w:pStyle w:val="12"/>
            </w:pPr>
            <w:r>
              <w:t>就读学生数</w:t>
            </w:r>
          </w:p>
        </w:tc>
        <w:tc>
          <w:tcPr>
            <w:tcW w:w="5386" w:type="dxa"/>
            <w:vAlign w:val="center"/>
          </w:tcPr>
          <w:p w14:paraId="5A93BC22">
            <w:pPr>
              <w:pStyle w:val="12"/>
            </w:pPr>
            <w:r>
              <w:t>辐射区域内适龄学生人数</w:t>
            </w:r>
          </w:p>
        </w:tc>
        <w:tc>
          <w:tcPr>
            <w:tcW w:w="2268" w:type="dxa"/>
            <w:vAlign w:val="center"/>
          </w:tcPr>
          <w:p w14:paraId="244842BD">
            <w:pPr>
              <w:pStyle w:val="12"/>
            </w:pPr>
            <w:r>
              <w:t>446人</w:t>
            </w:r>
          </w:p>
        </w:tc>
        <w:tc>
          <w:tcPr>
            <w:tcW w:w="1276" w:type="dxa"/>
            <w:vAlign w:val="center"/>
          </w:tcPr>
          <w:p w14:paraId="280E31F6">
            <w:pPr>
              <w:pStyle w:val="12"/>
            </w:pPr>
            <w:r>
              <w:t>城乡义务教育公用经费管理办法</w:t>
            </w:r>
          </w:p>
        </w:tc>
      </w:tr>
      <w:tr w14:paraId="5AE4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95263"/>
        </w:tc>
        <w:tc>
          <w:tcPr>
            <w:tcW w:w="2268" w:type="dxa"/>
            <w:vAlign w:val="center"/>
          </w:tcPr>
          <w:p w14:paraId="111ECE3D">
            <w:pPr>
              <w:pStyle w:val="12"/>
            </w:pPr>
            <w:r>
              <w:t>质量指标</w:t>
            </w:r>
          </w:p>
        </w:tc>
        <w:tc>
          <w:tcPr>
            <w:tcW w:w="2835" w:type="dxa"/>
            <w:vAlign w:val="center"/>
          </w:tcPr>
          <w:p w14:paraId="3A5A5792">
            <w:pPr>
              <w:pStyle w:val="12"/>
            </w:pPr>
            <w:r>
              <w:t>预算执行率</w:t>
            </w:r>
          </w:p>
        </w:tc>
        <w:tc>
          <w:tcPr>
            <w:tcW w:w="5386" w:type="dxa"/>
            <w:vAlign w:val="center"/>
          </w:tcPr>
          <w:p w14:paraId="13CBF172">
            <w:pPr>
              <w:pStyle w:val="12"/>
            </w:pPr>
            <w:r>
              <w:t>预算执行率≥98%</w:t>
            </w:r>
          </w:p>
        </w:tc>
        <w:tc>
          <w:tcPr>
            <w:tcW w:w="2268" w:type="dxa"/>
            <w:vAlign w:val="center"/>
          </w:tcPr>
          <w:p w14:paraId="0CA1B5D0">
            <w:pPr>
              <w:pStyle w:val="12"/>
            </w:pPr>
            <w:r>
              <w:t>≥98%</w:t>
            </w:r>
          </w:p>
        </w:tc>
        <w:tc>
          <w:tcPr>
            <w:tcW w:w="1276" w:type="dxa"/>
            <w:vAlign w:val="center"/>
          </w:tcPr>
          <w:p w14:paraId="5DAA3577">
            <w:pPr>
              <w:pStyle w:val="12"/>
            </w:pPr>
            <w:r>
              <w:t>城乡义务教育公用经费管理办法</w:t>
            </w:r>
          </w:p>
        </w:tc>
      </w:tr>
      <w:tr w14:paraId="1DA5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06AE6"/>
        </w:tc>
        <w:tc>
          <w:tcPr>
            <w:tcW w:w="2268" w:type="dxa"/>
            <w:vAlign w:val="center"/>
          </w:tcPr>
          <w:p w14:paraId="441D85D4">
            <w:pPr>
              <w:pStyle w:val="12"/>
            </w:pPr>
            <w:r>
              <w:t>时效指标</w:t>
            </w:r>
          </w:p>
        </w:tc>
        <w:tc>
          <w:tcPr>
            <w:tcW w:w="2835" w:type="dxa"/>
            <w:vAlign w:val="center"/>
          </w:tcPr>
          <w:p w14:paraId="00520AC3">
            <w:pPr>
              <w:pStyle w:val="12"/>
            </w:pPr>
            <w:r>
              <w:t>义教经费支付完成率</w:t>
            </w:r>
          </w:p>
        </w:tc>
        <w:tc>
          <w:tcPr>
            <w:tcW w:w="5386" w:type="dxa"/>
            <w:vAlign w:val="center"/>
          </w:tcPr>
          <w:p w14:paraId="11314A89">
            <w:pPr>
              <w:pStyle w:val="12"/>
            </w:pPr>
            <w:r>
              <w:t>按照序时进度完成资金支付</w:t>
            </w:r>
          </w:p>
        </w:tc>
        <w:tc>
          <w:tcPr>
            <w:tcW w:w="2268" w:type="dxa"/>
            <w:vAlign w:val="center"/>
          </w:tcPr>
          <w:p w14:paraId="64CC25FF">
            <w:pPr>
              <w:pStyle w:val="12"/>
            </w:pPr>
            <w:r>
              <w:t>100%</w:t>
            </w:r>
          </w:p>
        </w:tc>
        <w:tc>
          <w:tcPr>
            <w:tcW w:w="1276" w:type="dxa"/>
            <w:vAlign w:val="center"/>
          </w:tcPr>
          <w:p w14:paraId="55F6A6B5">
            <w:pPr>
              <w:pStyle w:val="12"/>
            </w:pPr>
            <w:r>
              <w:t>城乡义务教育公用经费管理办法</w:t>
            </w:r>
          </w:p>
        </w:tc>
      </w:tr>
      <w:tr w14:paraId="4116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B2102">
            <w:pPr>
              <w:pStyle w:val="13"/>
            </w:pPr>
            <w:r>
              <w:t>效益指标</w:t>
            </w:r>
          </w:p>
        </w:tc>
        <w:tc>
          <w:tcPr>
            <w:tcW w:w="2268" w:type="dxa"/>
            <w:vAlign w:val="center"/>
          </w:tcPr>
          <w:p w14:paraId="425C245E">
            <w:pPr>
              <w:pStyle w:val="12"/>
            </w:pPr>
            <w:r>
              <w:t>可持续影响指标</w:t>
            </w:r>
          </w:p>
        </w:tc>
        <w:tc>
          <w:tcPr>
            <w:tcW w:w="2835" w:type="dxa"/>
            <w:vAlign w:val="center"/>
          </w:tcPr>
          <w:p w14:paraId="4CCC31C7">
            <w:pPr>
              <w:pStyle w:val="12"/>
            </w:pPr>
            <w:r>
              <w:t>学校运转得到提高</w:t>
            </w:r>
          </w:p>
        </w:tc>
        <w:tc>
          <w:tcPr>
            <w:tcW w:w="5386" w:type="dxa"/>
            <w:vAlign w:val="center"/>
          </w:tcPr>
          <w:p w14:paraId="7458C4D8">
            <w:pPr>
              <w:pStyle w:val="12"/>
            </w:pPr>
            <w:r>
              <w:t>学生受教育年限</w:t>
            </w:r>
          </w:p>
        </w:tc>
        <w:tc>
          <w:tcPr>
            <w:tcW w:w="2268" w:type="dxa"/>
            <w:vAlign w:val="center"/>
          </w:tcPr>
          <w:p w14:paraId="6D27C994">
            <w:pPr>
              <w:pStyle w:val="12"/>
            </w:pPr>
            <w:r>
              <w:t>6年</w:t>
            </w:r>
          </w:p>
        </w:tc>
        <w:tc>
          <w:tcPr>
            <w:tcW w:w="1276" w:type="dxa"/>
            <w:vAlign w:val="center"/>
          </w:tcPr>
          <w:p w14:paraId="682CE6A8">
            <w:pPr>
              <w:pStyle w:val="12"/>
            </w:pPr>
            <w:r>
              <w:t>城乡义务教育公用经费管理办法</w:t>
            </w:r>
          </w:p>
        </w:tc>
      </w:tr>
      <w:tr w14:paraId="070B1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80253">
            <w:pPr>
              <w:pStyle w:val="13"/>
            </w:pPr>
            <w:r>
              <w:t>满意度指标</w:t>
            </w:r>
          </w:p>
        </w:tc>
        <w:tc>
          <w:tcPr>
            <w:tcW w:w="2268" w:type="dxa"/>
            <w:vAlign w:val="center"/>
          </w:tcPr>
          <w:p w14:paraId="6F745461">
            <w:pPr>
              <w:pStyle w:val="12"/>
            </w:pPr>
            <w:r>
              <w:t>服务对象满意度指标</w:t>
            </w:r>
          </w:p>
        </w:tc>
        <w:tc>
          <w:tcPr>
            <w:tcW w:w="2835" w:type="dxa"/>
            <w:vAlign w:val="center"/>
          </w:tcPr>
          <w:p w14:paraId="60245313">
            <w:pPr>
              <w:pStyle w:val="12"/>
            </w:pPr>
            <w:r>
              <w:t>服务对象满意度</w:t>
            </w:r>
          </w:p>
        </w:tc>
        <w:tc>
          <w:tcPr>
            <w:tcW w:w="5386" w:type="dxa"/>
            <w:vAlign w:val="center"/>
          </w:tcPr>
          <w:p w14:paraId="02C84438">
            <w:pPr>
              <w:pStyle w:val="12"/>
            </w:pPr>
            <w:r>
              <w:t>学校老师和学生满意度</w:t>
            </w:r>
          </w:p>
        </w:tc>
        <w:tc>
          <w:tcPr>
            <w:tcW w:w="2268" w:type="dxa"/>
            <w:vAlign w:val="center"/>
          </w:tcPr>
          <w:p w14:paraId="35A25835">
            <w:pPr>
              <w:pStyle w:val="12"/>
            </w:pPr>
            <w:r>
              <w:t>≥95%</w:t>
            </w:r>
          </w:p>
        </w:tc>
        <w:tc>
          <w:tcPr>
            <w:tcW w:w="1276" w:type="dxa"/>
            <w:vAlign w:val="center"/>
          </w:tcPr>
          <w:p w14:paraId="5E6E34E9">
            <w:pPr>
              <w:pStyle w:val="12"/>
            </w:pPr>
            <w:r>
              <w:t>问卷调查</w:t>
            </w:r>
          </w:p>
        </w:tc>
      </w:tr>
    </w:tbl>
    <w:p w14:paraId="56BFD9C7">
      <w:pPr>
        <w:sectPr>
          <w:pgSz w:w="16840" w:h="11900" w:orient="landscape"/>
          <w:pgMar w:top="1361" w:right="1020" w:bottom="1134" w:left="1020" w:header="720" w:footer="720" w:gutter="0"/>
          <w:cols w:space="720" w:num="1"/>
        </w:sectPr>
      </w:pPr>
    </w:p>
    <w:p w14:paraId="30423730">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3、冀财教[2025]121号/中央/2026年义教补助经费/北楼校区南汪店小学公用经费绩效目标表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B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67582">
            <w:pPr>
              <w:pStyle w:val="11"/>
            </w:pPr>
            <w:r>
              <w:t>单位：万元</w:t>
            </w:r>
          </w:p>
        </w:tc>
      </w:tr>
      <w:tr w14:paraId="23B9C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42ACB">
            <w:pPr>
              <w:pStyle w:val="10"/>
            </w:pPr>
            <w:r>
              <w:t>项目编码</w:t>
            </w:r>
          </w:p>
        </w:tc>
        <w:tc>
          <w:tcPr>
            <w:tcW w:w="5103" w:type="dxa"/>
            <w:gridSpan w:val="2"/>
            <w:vAlign w:val="center"/>
          </w:tcPr>
          <w:p w14:paraId="0ADD1B00">
            <w:pPr>
              <w:pStyle w:val="12"/>
            </w:pPr>
            <w:r>
              <w:t>13052526P00000410274J</w:t>
            </w:r>
          </w:p>
        </w:tc>
        <w:tc>
          <w:tcPr>
            <w:tcW w:w="2835" w:type="dxa"/>
            <w:vAlign w:val="center"/>
          </w:tcPr>
          <w:p w14:paraId="21EC6EB4">
            <w:pPr>
              <w:pStyle w:val="10"/>
            </w:pPr>
            <w:r>
              <w:t>项目名称</w:t>
            </w:r>
          </w:p>
        </w:tc>
        <w:tc>
          <w:tcPr>
            <w:tcW w:w="6095" w:type="dxa"/>
            <w:gridSpan w:val="3"/>
            <w:vAlign w:val="center"/>
          </w:tcPr>
          <w:p w14:paraId="22C6C3DC">
            <w:pPr>
              <w:pStyle w:val="12"/>
            </w:pPr>
            <w:r>
              <w:t>冀财教[2025]121号/中央/2026年义教补助经费/北楼校区南汪店小学公用经费</w:t>
            </w:r>
          </w:p>
        </w:tc>
      </w:tr>
      <w:tr w14:paraId="6EA49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8C597">
            <w:pPr>
              <w:pStyle w:val="10"/>
            </w:pPr>
            <w:r>
              <w:t>预算规模及资金用途</w:t>
            </w:r>
          </w:p>
        </w:tc>
        <w:tc>
          <w:tcPr>
            <w:tcW w:w="2268" w:type="dxa"/>
            <w:vAlign w:val="center"/>
          </w:tcPr>
          <w:p w14:paraId="0FB60D33">
            <w:pPr>
              <w:pStyle w:val="10"/>
            </w:pPr>
            <w:r>
              <w:t>预算数</w:t>
            </w:r>
          </w:p>
        </w:tc>
        <w:tc>
          <w:tcPr>
            <w:tcW w:w="2835" w:type="dxa"/>
            <w:vAlign w:val="center"/>
          </w:tcPr>
          <w:p w14:paraId="59D5B1EC">
            <w:pPr>
              <w:pStyle w:val="12"/>
            </w:pPr>
            <w:r>
              <w:t>21.56</w:t>
            </w:r>
          </w:p>
        </w:tc>
        <w:tc>
          <w:tcPr>
            <w:tcW w:w="2835" w:type="dxa"/>
            <w:vAlign w:val="center"/>
          </w:tcPr>
          <w:p w14:paraId="073045FD">
            <w:pPr>
              <w:pStyle w:val="10"/>
            </w:pPr>
            <w:r>
              <w:t>其中：财政    资金</w:t>
            </w:r>
          </w:p>
        </w:tc>
        <w:tc>
          <w:tcPr>
            <w:tcW w:w="2551" w:type="dxa"/>
            <w:vAlign w:val="center"/>
          </w:tcPr>
          <w:p w14:paraId="42E56356">
            <w:pPr>
              <w:pStyle w:val="12"/>
            </w:pPr>
            <w:r>
              <w:t>21.56</w:t>
            </w:r>
          </w:p>
        </w:tc>
        <w:tc>
          <w:tcPr>
            <w:tcW w:w="2268" w:type="dxa"/>
            <w:vAlign w:val="center"/>
          </w:tcPr>
          <w:p w14:paraId="37C4BEA8">
            <w:pPr>
              <w:pStyle w:val="10"/>
            </w:pPr>
            <w:r>
              <w:t>其他资金</w:t>
            </w:r>
          </w:p>
        </w:tc>
        <w:tc>
          <w:tcPr>
            <w:tcW w:w="1276" w:type="dxa"/>
            <w:vAlign w:val="center"/>
          </w:tcPr>
          <w:p w14:paraId="06871EDD">
            <w:pPr>
              <w:pStyle w:val="12"/>
            </w:pPr>
            <w:r>
              <w:t xml:space="preserve"> </w:t>
            </w:r>
          </w:p>
        </w:tc>
      </w:tr>
      <w:tr w14:paraId="66F0A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B80B9"/>
        </w:tc>
        <w:tc>
          <w:tcPr>
            <w:tcW w:w="14033" w:type="dxa"/>
            <w:gridSpan w:val="6"/>
            <w:vAlign w:val="center"/>
          </w:tcPr>
          <w:p w14:paraId="2366439C">
            <w:pPr>
              <w:pStyle w:val="12"/>
            </w:pPr>
            <w:r>
              <w:t>有效完成学校教学安全秩序，保障学校教学任务有效开展，满足学校正常教学需要。</w:t>
            </w:r>
          </w:p>
        </w:tc>
      </w:tr>
      <w:tr w14:paraId="5AA19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1FDF3">
            <w:pPr>
              <w:pStyle w:val="10"/>
            </w:pPr>
            <w:r>
              <w:t>资金支出计划（%）</w:t>
            </w:r>
          </w:p>
        </w:tc>
        <w:tc>
          <w:tcPr>
            <w:tcW w:w="5103" w:type="dxa"/>
            <w:gridSpan w:val="2"/>
            <w:vAlign w:val="center"/>
          </w:tcPr>
          <w:p w14:paraId="00A3F5D6">
            <w:pPr>
              <w:pStyle w:val="10"/>
            </w:pPr>
            <w:r>
              <w:t>3月底</w:t>
            </w:r>
          </w:p>
        </w:tc>
        <w:tc>
          <w:tcPr>
            <w:tcW w:w="2835" w:type="dxa"/>
            <w:vAlign w:val="center"/>
          </w:tcPr>
          <w:p w14:paraId="6B8E7346">
            <w:pPr>
              <w:pStyle w:val="10"/>
            </w:pPr>
            <w:r>
              <w:t>6月底</w:t>
            </w:r>
          </w:p>
        </w:tc>
        <w:tc>
          <w:tcPr>
            <w:tcW w:w="2551" w:type="dxa"/>
            <w:vAlign w:val="center"/>
          </w:tcPr>
          <w:p w14:paraId="16D0C3FC">
            <w:pPr>
              <w:pStyle w:val="10"/>
            </w:pPr>
            <w:r>
              <w:t>10月底</w:t>
            </w:r>
          </w:p>
        </w:tc>
        <w:tc>
          <w:tcPr>
            <w:tcW w:w="3544" w:type="dxa"/>
            <w:gridSpan w:val="2"/>
            <w:vAlign w:val="center"/>
          </w:tcPr>
          <w:p w14:paraId="4183B66D">
            <w:pPr>
              <w:pStyle w:val="10"/>
            </w:pPr>
            <w:r>
              <w:t>12月底</w:t>
            </w:r>
          </w:p>
        </w:tc>
      </w:tr>
      <w:tr w14:paraId="4AE4A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01284"/>
        </w:tc>
        <w:tc>
          <w:tcPr>
            <w:tcW w:w="5103" w:type="dxa"/>
            <w:gridSpan w:val="2"/>
            <w:vAlign w:val="center"/>
          </w:tcPr>
          <w:p w14:paraId="523DFFBC">
            <w:pPr>
              <w:pStyle w:val="13"/>
            </w:pPr>
            <w:r>
              <w:t>25%</w:t>
            </w:r>
          </w:p>
        </w:tc>
        <w:tc>
          <w:tcPr>
            <w:tcW w:w="2835" w:type="dxa"/>
            <w:vAlign w:val="center"/>
          </w:tcPr>
          <w:p w14:paraId="56BEB7ED">
            <w:pPr>
              <w:pStyle w:val="13"/>
            </w:pPr>
            <w:r>
              <w:t>50%</w:t>
            </w:r>
          </w:p>
        </w:tc>
        <w:tc>
          <w:tcPr>
            <w:tcW w:w="2551" w:type="dxa"/>
            <w:vAlign w:val="center"/>
          </w:tcPr>
          <w:p w14:paraId="27BDE04C">
            <w:pPr>
              <w:pStyle w:val="13"/>
            </w:pPr>
            <w:r>
              <w:t>75%</w:t>
            </w:r>
          </w:p>
        </w:tc>
        <w:tc>
          <w:tcPr>
            <w:tcW w:w="3544" w:type="dxa"/>
            <w:gridSpan w:val="2"/>
            <w:vAlign w:val="center"/>
          </w:tcPr>
          <w:p w14:paraId="009DB5A5">
            <w:pPr>
              <w:pStyle w:val="13"/>
            </w:pPr>
            <w:r>
              <w:t>100%</w:t>
            </w:r>
          </w:p>
        </w:tc>
      </w:tr>
      <w:tr w14:paraId="08413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723FB">
            <w:pPr>
              <w:pStyle w:val="10"/>
            </w:pPr>
            <w:r>
              <w:t>绩效目标</w:t>
            </w:r>
          </w:p>
        </w:tc>
        <w:tc>
          <w:tcPr>
            <w:tcW w:w="14033" w:type="dxa"/>
            <w:gridSpan w:val="6"/>
            <w:vAlign w:val="center"/>
          </w:tcPr>
          <w:p w14:paraId="20038550">
            <w:pPr>
              <w:pStyle w:val="12"/>
            </w:pPr>
            <w:r>
              <w:t>1.按规定拨付公用经费资金，预算执行率≥98%。</w:t>
            </w:r>
          </w:p>
          <w:p w14:paraId="7C22CA53">
            <w:pPr>
              <w:pStyle w:val="12"/>
            </w:pPr>
            <w:r>
              <w:t>2.有效完成学校教学安全秩序，保障学校教学任务有效开展，满足学校正常教学需要。</w:t>
            </w:r>
          </w:p>
        </w:tc>
      </w:tr>
    </w:tbl>
    <w:p w14:paraId="1B23FB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3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C46B1">
            <w:pPr>
              <w:pStyle w:val="10"/>
            </w:pPr>
            <w:r>
              <w:t>一级指标</w:t>
            </w:r>
          </w:p>
        </w:tc>
        <w:tc>
          <w:tcPr>
            <w:tcW w:w="2268" w:type="dxa"/>
            <w:vAlign w:val="center"/>
          </w:tcPr>
          <w:p w14:paraId="21D2838E">
            <w:pPr>
              <w:pStyle w:val="10"/>
            </w:pPr>
            <w:r>
              <w:t>二级指标</w:t>
            </w:r>
          </w:p>
        </w:tc>
        <w:tc>
          <w:tcPr>
            <w:tcW w:w="2835" w:type="dxa"/>
            <w:vAlign w:val="center"/>
          </w:tcPr>
          <w:p w14:paraId="0CB71547">
            <w:pPr>
              <w:pStyle w:val="10"/>
            </w:pPr>
            <w:r>
              <w:t>三级指标</w:t>
            </w:r>
          </w:p>
        </w:tc>
        <w:tc>
          <w:tcPr>
            <w:tcW w:w="5386" w:type="dxa"/>
            <w:vAlign w:val="center"/>
          </w:tcPr>
          <w:p w14:paraId="4AE39D9E">
            <w:pPr>
              <w:pStyle w:val="10"/>
            </w:pPr>
            <w:r>
              <w:t>绩效指标描述</w:t>
            </w:r>
          </w:p>
        </w:tc>
        <w:tc>
          <w:tcPr>
            <w:tcW w:w="2268" w:type="dxa"/>
            <w:vAlign w:val="center"/>
          </w:tcPr>
          <w:p w14:paraId="089138FF">
            <w:pPr>
              <w:pStyle w:val="10"/>
            </w:pPr>
            <w:r>
              <w:t>指标值</w:t>
            </w:r>
          </w:p>
        </w:tc>
        <w:tc>
          <w:tcPr>
            <w:tcW w:w="1276" w:type="dxa"/>
            <w:vAlign w:val="center"/>
          </w:tcPr>
          <w:p w14:paraId="5B710741">
            <w:pPr>
              <w:pStyle w:val="10"/>
            </w:pPr>
            <w:r>
              <w:t>指标值确定依据</w:t>
            </w:r>
          </w:p>
        </w:tc>
      </w:tr>
      <w:tr w14:paraId="4773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C76C3">
            <w:pPr>
              <w:pStyle w:val="13"/>
            </w:pPr>
            <w:r>
              <w:t>产出指标</w:t>
            </w:r>
          </w:p>
        </w:tc>
        <w:tc>
          <w:tcPr>
            <w:tcW w:w="2268" w:type="dxa"/>
            <w:vAlign w:val="center"/>
          </w:tcPr>
          <w:p w14:paraId="2809B173">
            <w:pPr>
              <w:pStyle w:val="12"/>
            </w:pPr>
            <w:r>
              <w:t>成本指标</w:t>
            </w:r>
          </w:p>
        </w:tc>
        <w:tc>
          <w:tcPr>
            <w:tcW w:w="2835" w:type="dxa"/>
            <w:vAlign w:val="center"/>
          </w:tcPr>
          <w:p w14:paraId="365077A6">
            <w:pPr>
              <w:pStyle w:val="12"/>
            </w:pPr>
            <w:r>
              <w:t>生均拨款标准</w:t>
            </w:r>
          </w:p>
        </w:tc>
        <w:tc>
          <w:tcPr>
            <w:tcW w:w="5386" w:type="dxa"/>
            <w:vAlign w:val="center"/>
          </w:tcPr>
          <w:p w14:paraId="442E3421">
            <w:pPr>
              <w:pStyle w:val="12"/>
            </w:pPr>
            <w:r>
              <w:t>小学生公用经费生均小学720元。取暖费120元/生/年，随班就读学生补助7000元/生</w:t>
            </w:r>
          </w:p>
        </w:tc>
        <w:tc>
          <w:tcPr>
            <w:tcW w:w="2268" w:type="dxa"/>
            <w:vAlign w:val="center"/>
          </w:tcPr>
          <w:p w14:paraId="1DEEFA1A">
            <w:pPr>
              <w:pStyle w:val="12"/>
            </w:pPr>
            <w:r>
              <w:t>840元</w:t>
            </w:r>
          </w:p>
        </w:tc>
        <w:tc>
          <w:tcPr>
            <w:tcW w:w="1276" w:type="dxa"/>
            <w:vAlign w:val="center"/>
          </w:tcPr>
          <w:p w14:paraId="5D978B5E">
            <w:pPr>
              <w:pStyle w:val="12"/>
            </w:pPr>
            <w:r>
              <w:t>城乡义务教育公用经费管理办法</w:t>
            </w:r>
          </w:p>
        </w:tc>
      </w:tr>
      <w:tr w14:paraId="5EB3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1FCCD"/>
        </w:tc>
        <w:tc>
          <w:tcPr>
            <w:tcW w:w="2268" w:type="dxa"/>
            <w:vAlign w:val="center"/>
          </w:tcPr>
          <w:p w14:paraId="07FFB43B">
            <w:pPr>
              <w:pStyle w:val="12"/>
            </w:pPr>
            <w:r>
              <w:t>数量指标</w:t>
            </w:r>
          </w:p>
        </w:tc>
        <w:tc>
          <w:tcPr>
            <w:tcW w:w="2835" w:type="dxa"/>
            <w:vAlign w:val="center"/>
          </w:tcPr>
          <w:p w14:paraId="49565598">
            <w:pPr>
              <w:pStyle w:val="12"/>
            </w:pPr>
            <w:r>
              <w:t>就读学生数</w:t>
            </w:r>
          </w:p>
        </w:tc>
        <w:tc>
          <w:tcPr>
            <w:tcW w:w="5386" w:type="dxa"/>
            <w:vAlign w:val="center"/>
          </w:tcPr>
          <w:p w14:paraId="534D9804">
            <w:pPr>
              <w:pStyle w:val="12"/>
            </w:pPr>
            <w:r>
              <w:t>辐射区域内适龄学生人数</w:t>
            </w:r>
          </w:p>
        </w:tc>
        <w:tc>
          <w:tcPr>
            <w:tcW w:w="2268" w:type="dxa"/>
            <w:vAlign w:val="center"/>
          </w:tcPr>
          <w:p w14:paraId="570EC9E4">
            <w:pPr>
              <w:pStyle w:val="12"/>
            </w:pPr>
            <w:r>
              <w:t>307人</w:t>
            </w:r>
          </w:p>
        </w:tc>
        <w:tc>
          <w:tcPr>
            <w:tcW w:w="1276" w:type="dxa"/>
            <w:vAlign w:val="center"/>
          </w:tcPr>
          <w:p w14:paraId="6FD63105">
            <w:pPr>
              <w:pStyle w:val="12"/>
            </w:pPr>
            <w:r>
              <w:t>城乡义务教育公用经费管理办法</w:t>
            </w:r>
          </w:p>
        </w:tc>
      </w:tr>
      <w:tr w14:paraId="5B6B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F2C9D"/>
        </w:tc>
        <w:tc>
          <w:tcPr>
            <w:tcW w:w="2268" w:type="dxa"/>
            <w:vAlign w:val="center"/>
          </w:tcPr>
          <w:p w14:paraId="5FF141A8">
            <w:pPr>
              <w:pStyle w:val="12"/>
            </w:pPr>
            <w:r>
              <w:t>质量指标</w:t>
            </w:r>
          </w:p>
        </w:tc>
        <w:tc>
          <w:tcPr>
            <w:tcW w:w="2835" w:type="dxa"/>
            <w:vAlign w:val="center"/>
          </w:tcPr>
          <w:p w14:paraId="7C22C64D">
            <w:pPr>
              <w:pStyle w:val="12"/>
            </w:pPr>
            <w:r>
              <w:t>预算执行率</w:t>
            </w:r>
          </w:p>
        </w:tc>
        <w:tc>
          <w:tcPr>
            <w:tcW w:w="5386" w:type="dxa"/>
            <w:vAlign w:val="center"/>
          </w:tcPr>
          <w:p w14:paraId="5ABCA399">
            <w:pPr>
              <w:pStyle w:val="12"/>
            </w:pPr>
            <w:r>
              <w:t>预算执行率≥98%</w:t>
            </w:r>
          </w:p>
        </w:tc>
        <w:tc>
          <w:tcPr>
            <w:tcW w:w="2268" w:type="dxa"/>
            <w:vAlign w:val="center"/>
          </w:tcPr>
          <w:p w14:paraId="2730C4FB">
            <w:pPr>
              <w:pStyle w:val="12"/>
            </w:pPr>
            <w:r>
              <w:t>≥98%</w:t>
            </w:r>
          </w:p>
        </w:tc>
        <w:tc>
          <w:tcPr>
            <w:tcW w:w="1276" w:type="dxa"/>
            <w:vAlign w:val="center"/>
          </w:tcPr>
          <w:p w14:paraId="322953A6">
            <w:pPr>
              <w:pStyle w:val="12"/>
            </w:pPr>
            <w:r>
              <w:t>城乡义务教育公用经费管理办法</w:t>
            </w:r>
          </w:p>
        </w:tc>
      </w:tr>
      <w:tr w14:paraId="6CD3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F9BF7"/>
        </w:tc>
        <w:tc>
          <w:tcPr>
            <w:tcW w:w="2268" w:type="dxa"/>
            <w:vAlign w:val="center"/>
          </w:tcPr>
          <w:p w14:paraId="12652616">
            <w:pPr>
              <w:pStyle w:val="12"/>
            </w:pPr>
            <w:r>
              <w:t>时效指标</w:t>
            </w:r>
          </w:p>
        </w:tc>
        <w:tc>
          <w:tcPr>
            <w:tcW w:w="2835" w:type="dxa"/>
            <w:vAlign w:val="center"/>
          </w:tcPr>
          <w:p w14:paraId="039A6A0C">
            <w:pPr>
              <w:pStyle w:val="12"/>
            </w:pPr>
            <w:r>
              <w:t>义教经费支付完成率</w:t>
            </w:r>
          </w:p>
        </w:tc>
        <w:tc>
          <w:tcPr>
            <w:tcW w:w="5386" w:type="dxa"/>
            <w:vAlign w:val="center"/>
          </w:tcPr>
          <w:p w14:paraId="32D53F19">
            <w:pPr>
              <w:pStyle w:val="12"/>
            </w:pPr>
            <w:r>
              <w:t>按照序时进度完成资金支付</w:t>
            </w:r>
          </w:p>
        </w:tc>
        <w:tc>
          <w:tcPr>
            <w:tcW w:w="2268" w:type="dxa"/>
            <w:vAlign w:val="center"/>
          </w:tcPr>
          <w:p w14:paraId="01053319">
            <w:pPr>
              <w:pStyle w:val="12"/>
            </w:pPr>
            <w:r>
              <w:t>100%</w:t>
            </w:r>
          </w:p>
        </w:tc>
        <w:tc>
          <w:tcPr>
            <w:tcW w:w="1276" w:type="dxa"/>
            <w:vAlign w:val="center"/>
          </w:tcPr>
          <w:p w14:paraId="535C616D">
            <w:pPr>
              <w:pStyle w:val="12"/>
            </w:pPr>
            <w:r>
              <w:t>城乡义务教育公用经费管理办法</w:t>
            </w:r>
          </w:p>
        </w:tc>
      </w:tr>
      <w:tr w14:paraId="1C24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37241">
            <w:pPr>
              <w:pStyle w:val="13"/>
            </w:pPr>
            <w:r>
              <w:t>效益指标</w:t>
            </w:r>
          </w:p>
        </w:tc>
        <w:tc>
          <w:tcPr>
            <w:tcW w:w="2268" w:type="dxa"/>
            <w:vAlign w:val="center"/>
          </w:tcPr>
          <w:p w14:paraId="7551386B">
            <w:pPr>
              <w:pStyle w:val="12"/>
            </w:pPr>
            <w:r>
              <w:t>可持续影响指标</w:t>
            </w:r>
          </w:p>
        </w:tc>
        <w:tc>
          <w:tcPr>
            <w:tcW w:w="2835" w:type="dxa"/>
            <w:vAlign w:val="center"/>
          </w:tcPr>
          <w:p w14:paraId="7D6D7FB5">
            <w:pPr>
              <w:pStyle w:val="12"/>
            </w:pPr>
            <w:r>
              <w:t>学校运转得到提高</w:t>
            </w:r>
          </w:p>
        </w:tc>
        <w:tc>
          <w:tcPr>
            <w:tcW w:w="5386" w:type="dxa"/>
            <w:vAlign w:val="center"/>
          </w:tcPr>
          <w:p w14:paraId="7AA8A381">
            <w:pPr>
              <w:pStyle w:val="12"/>
            </w:pPr>
            <w:r>
              <w:t>学生受教育年限</w:t>
            </w:r>
          </w:p>
        </w:tc>
        <w:tc>
          <w:tcPr>
            <w:tcW w:w="2268" w:type="dxa"/>
            <w:vAlign w:val="center"/>
          </w:tcPr>
          <w:p w14:paraId="243A1C58">
            <w:pPr>
              <w:pStyle w:val="12"/>
            </w:pPr>
            <w:r>
              <w:t>6年</w:t>
            </w:r>
          </w:p>
        </w:tc>
        <w:tc>
          <w:tcPr>
            <w:tcW w:w="1276" w:type="dxa"/>
            <w:vAlign w:val="center"/>
          </w:tcPr>
          <w:p w14:paraId="4212D935">
            <w:pPr>
              <w:pStyle w:val="12"/>
            </w:pPr>
            <w:r>
              <w:t>城乡义务教育公用经费管理办法</w:t>
            </w:r>
          </w:p>
        </w:tc>
      </w:tr>
      <w:tr w14:paraId="3F745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FFA0F">
            <w:pPr>
              <w:pStyle w:val="13"/>
            </w:pPr>
            <w:r>
              <w:t>满意度指标</w:t>
            </w:r>
          </w:p>
        </w:tc>
        <w:tc>
          <w:tcPr>
            <w:tcW w:w="2268" w:type="dxa"/>
            <w:vAlign w:val="center"/>
          </w:tcPr>
          <w:p w14:paraId="77B02D6C">
            <w:pPr>
              <w:pStyle w:val="12"/>
            </w:pPr>
            <w:r>
              <w:t>服务对象满意度指标</w:t>
            </w:r>
          </w:p>
        </w:tc>
        <w:tc>
          <w:tcPr>
            <w:tcW w:w="2835" w:type="dxa"/>
            <w:vAlign w:val="center"/>
          </w:tcPr>
          <w:p w14:paraId="33844DA4">
            <w:pPr>
              <w:pStyle w:val="12"/>
            </w:pPr>
            <w:r>
              <w:t>服务对象满意度</w:t>
            </w:r>
          </w:p>
        </w:tc>
        <w:tc>
          <w:tcPr>
            <w:tcW w:w="5386" w:type="dxa"/>
            <w:vAlign w:val="center"/>
          </w:tcPr>
          <w:p w14:paraId="65ADCC2F">
            <w:pPr>
              <w:pStyle w:val="12"/>
            </w:pPr>
            <w:r>
              <w:t>学校老师和学生满意度</w:t>
            </w:r>
          </w:p>
        </w:tc>
        <w:tc>
          <w:tcPr>
            <w:tcW w:w="2268" w:type="dxa"/>
            <w:vAlign w:val="center"/>
          </w:tcPr>
          <w:p w14:paraId="3A087BBA">
            <w:pPr>
              <w:pStyle w:val="12"/>
            </w:pPr>
            <w:r>
              <w:t>≥95%</w:t>
            </w:r>
          </w:p>
        </w:tc>
        <w:tc>
          <w:tcPr>
            <w:tcW w:w="1276" w:type="dxa"/>
            <w:vAlign w:val="center"/>
          </w:tcPr>
          <w:p w14:paraId="21811C19">
            <w:pPr>
              <w:pStyle w:val="12"/>
            </w:pPr>
            <w:r>
              <w:t>问卷调查</w:t>
            </w:r>
          </w:p>
        </w:tc>
      </w:tr>
    </w:tbl>
    <w:p w14:paraId="11EA7ABC">
      <w:pPr>
        <w:sectPr>
          <w:pgSz w:w="16840" w:h="11900" w:orient="landscape"/>
          <w:pgMar w:top="1361" w:right="1020" w:bottom="1134" w:left="1020" w:header="720" w:footer="720" w:gutter="0"/>
          <w:cols w:space="720" w:num="1"/>
        </w:sectPr>
      </w:pPr>
    </w:p>
    <w:p w14:paraId="5DAC73A5">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4、冀财教[2025]121号/中央/2026年义教补助经费/北楼校区尚礼小学公用经费绩效目标表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C3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F6B8A">
            <w:pPr>
              <w:pStyle w:val="11"/>
            </w:pPr>
            <w:r>
              <w:t>单位：万元</w:t>
            </w:r>
          </w:p>
        </w:tc>
      </w:tr>
      <w:tr w14:paraId="6DF1F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ABF36">
            <w:pPr>
              <w:pStyle w:val="10"/>
            </w:pPr>
            <w:r>
              <w:t>项目编码</w:t>
            </w:r>
          </w:p>
        </w:tc>
        <w:tc>
          <w:tcPr>
            <w:tcW w:w="5103" w:type="dxa"/>
            <w:gridSpan w:val="2"/>
            <w:vAlign w:val="center"/>
          </w:tcPr>
          <w:p w14:paraId="5F167987">
            <w:pPr>
              <w:pStyle w:val="12"/>
            </w:pPr>
            <w:r>
              <w:t>13052526P000004102704</w:t>
            </w:r>
          </w:p>
        </w:tc>
        <w:tc>
          <w:tcPr>
            <w:tcW w:w="2835" w:type="dxa"/>
            <w:vAlign w:val="center"/>
          </w:tcPr>
          <w:p w14:paraId="27505615">
            <w:pPr>
              <w:pStyle w:val="10"/>
            </w:pPr>
            <w:r>
              <w:t>项目名称</w:t>
            </w:r>
          </w:p>
        </w:tc>
        <w:tc>
          <w:tcPr>
            <w:tcW w:w="6095" w:type="dxa"/>
            <w:gridSpan w:val="3"/>
            <w:vAlign w:val="center"/>
          </w:tcPr>
          <w:p w14:paraId="257CA821">
            <w:pPr>
              <w:pStyle w:val="12"/>
            </w:pPr>
            <w:r>
              <w:t>冀财教[2025]121号/中央/2026年义教补助经费/北楼校区尚礼小学公用经费</w:t>
            </w:r>
          </w:p>
        </w:tc>
      </w:tr>
      <w:tr w14:paraId="15599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A787A">
            <w:pPr>
              <w:pStyle w:val="10"/>
            </w:pPr>
            <w:r>
              <w:t>预算规模及资金用途</w:t>
            </w:r>
          </w:p>
        </w:tc>
        <w:tc>
          <w:tcPr>
            <w:tcW w:w="2268" w:type="dxa"/>
            <w:vAlign w:val="center"/>
          </w:tcPr>
          <w:p w14:paraId="7AAD7C1A">
            <w:pPr>
              <w:pStyle w:val="10"/>
            </w:pPr>
            <w:r>
              <w:t>预算数</w:t>
            </w:r>
          </w:p>
        </w:tc>
        <w:tc>
          <w:tcPr>
            <w:tcW w:w="2835" w:type="dxa"/>
            <w:vAlign w:val="center"/>
          </w:tcPr>
          <w:p w14:paraId="769EFD97">
            <w:pPr>
              <w:pStyle w:val="12"/>
            </w:pPr>
            <w:r>
              <w:t>27.22</w:t>
            </w:r>
          </w:p>
        </w:tc>
        <w:tc>
          <w:tcPr>
            <w:tcW w:w="2835" w:type="dxa"/>
            <w:vAlign w:val="center"/>
          </w:tcPr>
          <w:p w14:paraId="0BB4D9B8">
            <w:pPr>
              <w:pStyle w:val="10"/>
            </w:pPr>
            <w:r>
              <w:t>其中：财政    资金</w:t>
            </w:r>
          </w:p>
        </w:tc>
        <w:tc>
          <w:tcPr>
            <w:tcW w:w="2551" w:type="dxa"/>
            <w:vAlign w:val="center"/>
          </w:tcPr>
          <w:p w14:paraId="58B5271F">
            <w:pPr>
              <w:pStyle w:val="12"/>
            </w:pPr>
            <w:r>
              <w:t>27.22</w:t>
            </w:r>
          </w:p>
        </w:tc>
        <w:tc>
          <w:tcPr>
            <w:tcW w:w="2268" w:type="dxa"/>
            <w:vAlign w:val="center"/>
          </w:tcPr>
          <w:p w14:paraId="2143C833">
            <w:pPr>
              <w:pStyle w:val="10"/>
            </w:pPr>
            <w:r>
              <w:t>其他资金</w:t>
            </w:r>
          </w:p>
        </w:tc>
        <w:tc>
          <w:tcPr>
            <w:tcW w:w="1276" w:type="dxa"/>
            <w:vAlign w:val="center"/>
          </w:tcPr>
          <w:p w14:paraId="7192C65B">
            <w:pPr>
              <w:pStyle w:val="12"/>
            </w:pPr>
            <w:r>
              <w:t xml:space="preserve"> </w:t>
            </w:r>
          </w:p>
        </w:tc>
      </w:tr>
      <w:tr w14:paraId="6A37B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69E88"/>
        </w:tc>
        <w:tc>
          <w:tcPr>
            <w:tcW w:w="14033" w:type="dxa"/>
            <w:gridSpan w:val="6"/>
            <w:vAlign w:val="center"/>
          </w:tcPr>
          <w:p w14:paraId="56B80CD7">
            <w:pPr>
              <w:pStyle w:val="12"/>
            </w:pPr>
            <w:r>
              <w:t>有效完成学校教学安全秩序，保障学校教学任务有效开展，满足学校正常教学需要。</w:t>
            </w:r>
          </w:p>
        </w:tc>
      </w:tr>
      <w:tr w14:paraId="60D41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38066">
            <w:pPr>
              <w:pStyle w:val="10"/>
            </w:pPr>
            <w:r>
              <w:t>资金支出计划（%）</w:t>
            </w:r>
          </w:p>
        </w:tc>
        <w:tc>
          <w:tcPr>
            <w:tcW w:w="5103" w:type="dxa"/>
            <w:gridSpan w:val="2"/>
            <w:vAlign w:val="center"/>
          </w:tcPr>
          <w:p w14:paraId="31D065B1">
            <w:pPr>
              <w:pStyle w:val="10"/>
            </w:pPr>
            <w:r>
              <w:t>3月底</w:t>
            </w:r>
          </w:p>
        </w:tc>
        <w:tc>
          <w:tcPr>
            <w:tcW w:w="2835" w:type="dxa"/>
            <w:vAlign w:val="center"/>
          </w:tcPr>
          <w:p w14:paraId="1CC48CE5">
            <w:pPr>
              <w:pStyle w:val="10"/>
            </w:pPr>
            <w:r>
              <w:t>6月底</w:t>
            </w:r>
          </w:p>
        </w:tc>
        <w:tc>
          <w:tcPr>
            <w:tcW w:w="2551" w:type="dxa"/>
            <w:vAlign w:val="center"/>
          </w:tcPr>
          <w:p w14:paraId="0387EFA4">
            <w:pPr>
              <w:pStyle w:val="10"/>
            </w:pPr>
            <w:r>
              <w:t>10月底</w:t>
            </w:r>
          </w:p>
        </w:tc>
        <w:tc>
          <w:tcPr>
            <w:tcW w:w="3544" w:type="dxa"/>
            <w:gridSpan w:val="2"/>
            <w:vAlign w:val="center"/>
          </w:tcPr>
          <w:p w14:paraId="53D97C3C">
            <w:pPr>
              <w:pStyle w:val="10"/>
            </w:pPr>
            <w:r>
              <w:t>12月底</w:t>
            </w:r>
          </w:p>
        </w:tc>
      </w:tr>
      <w:tr w14:paraId="3CDDC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39F70"/>
        </w:tc>
        <w:tc>
          <w:tcPr>
            <w:tcW w:w="5103" w:type="dxa"/>
            <w:gridSpan w:val="2"/>
            <w:vAlign w:val="center"/>
          </w:tcPr>
          <w:p w14:paraId="32730981">
            <w:pPr>
              <w:pStyle w:val="13"/>
            </w:pPr>
            <w:r>
              <w:t>25%</w:t>
            </w:r>
          </w:p>
        </w:tc>
        <w:tc>
          <w:tcPr>
            <w:tcW w:w="2835" w:type="dxa"/>
            <w:vAlign w:val="center"/>
          </w:tcPr>
          <w:p w14:paraId="5FD5208F">
            <w:pPr>
              <w:pStyle w:val="13"/>
            </w:pPr>
            <w:r>
              <w:t>50%</w:t>
            </w:r>
          </w:p>
        </w:tc>
        <w:tc>
          <w:tcPr>
            <w:tcW w:w="2551" w:type="dxa"/>
            <w:vAlign w:val="center"/>
          </w:tcPr>
          <w:p w14:paraId="1FDEE2E4">
            <w:pPr>
              <w:pStyle w:val="13"/>
            </w:pPr>
            <w:r>
              <w:t>75%</w:t>
            </w:r>
          </w:p>
        </w:tc>
        <w:tc>
          <w:tcPr>
            <w:tcW w:w="3544" w:type="dxa"/>
            <w:gridSpan w:val="2"/>
            <w:vAlign w:val="center"/>
          </w:tcPr>
          <w:p w14:paraId="4D6DE969">
            <w:pPr>
              <w:pStyle w:val="13"/>
            </w:pPr>
            <w:r>
              <w:t>100%</w:t>
            </w:r>
          </w:p>
        </w:tc>
      </w:tr>
      <w:tr w14:paraId="60BCA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FC60F">
            <w:pPr>
              <w:pStyle w:val="10"/>
            </w:pPr>
            <w:r>
              <w:t>绩效目标</w:t>
            </w:r>
          </w:p>
        </w:tc>
        <w:tc>
          <w:tcPr>
            <w:tcW w:w="14033" w:type="dxa"/>
            <w:gridSpan w:val="6"/>
            <w:vAlign w:val="center"/>
          </w:tcPr>
          <w:p w14:paraId="67D2AC66">
            <w:pPr>
              <w:pStyle w:val="12"/>
            </w:pPr>
            <w:r>
              <w:t>1.按规定拨付公用经费资金，预算执行率≥98%。</w:t>
            </w:r>
          </w:p>
          <w:p w14:paraId="0A7835F7">
            <w:pPr>
              <w:pStyle w:val="12"/>
            </w:pPr>
            <w:r>
              <w:t>2.有效完成学校教学安全秩序，保障学校教学任务有效开展，满足学校正常教学需要。</w:t>
            </w:r>
          </w:p>
        </w:tc>
      </w:tr>
    </w:tbl>
    <w:p w14:paraId="0BA12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E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7A93E">
            <w:pPr>
              <w:pStyle w:val="10"/>
            </w:pPr>
            <w:r>
              <w:t>一级指标</w:t>
            </w:r>
          </w:p>
        </w:tc>
        <w:tc>
          <w:tcPr>
            <w:tcW w:w="2268" w:type="dxa"/>
            <w:vAlign w:val="center"/>
          </w:tcPr>
          <w:p w14:paraId="57F7FE16">
            <w:pPr>
              <w:pStyle w:val="10"/>
            </w:pPr>
            <w:r>
              <w:t>二级指标</w:t>
            </w:r>
          </w:p>
        </w:tc>
        <w:tc>
          <w:tcPr>
            <w:tcW w:w="2835" w:type="dxa"/>
            <w:vAlign w:val="center"/>
          </w:tcPr>
          <w:p w14:paraId="1EBBAB77">
            <w:pPr>
              <w:pStyle w:val="10"/>
            </w:pPr>
            <w:r>
              <w:t>三级指标</w:t>
            </w:r>
          </w:p>
        </w:tc>
        <w:tc>
          <w:tcPr>
            <w:tcW w:w="5386" w:type="dxa"/>
            <w:vAlign w:val="center"/>
          </w:tcPr>
          <w:p w14:paraId="05BD1C1A">
            <w:pPr>
              <w:pStyle w:val="10"/>
            </w:pPr>
            <w:r>
              <w:t>绩效指标描述</w:t>
            </w:r>
          </w:p>
        </w:tc>
        <w:tc>
          <w:tcPr>
            <w:tcW w:w="2268" w:type="dxa"/>
            <w:vAlign w:val="center"/>
          </w:tcPr>
          <w:p w14:paraId="3F98D2A8">
            <w:pPr>
              <w:pStyle w:val="10"/>
            </w:pPr>
            <w:r>
              <w:t>指标值</w:t>
            </w:r>
          </w:p>
        </w:tc>
        <w:tc>
          <w:tcPr>
            <w:tcW w:w="1276" w:type="dxa"/>
            <w:vAlign w:val="center"/>
          </w:tcPr>
          <w:p w14:paraId="3CCE37C4">
            <w:pPr>
              <w:pStyle w:val="10"/>
            </w:pPr>
            <w:r>
              <w:t>指标值确定依据</w:t>
            </w:r>
          </w:p>
        </w:tc>
      </w:tr>
      <w:tr w14:paraId="0E00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09354">
            <w:pPr>
              <w:pStyle w:val="13"/>
            </w:pPr>
            <w:r>
              <w:t>产出指标</w:t>
            </w:r>
          </w:p>
        </w:tc>
        <w:tc>
          <w:tcPr>
            <w:tcW w:w="2268" w:type="dxa"/>
            <w:vAlign w:val="center"/>
          </w:tcPr>
          <w:p w14:paraId="35D1D9D3">
            <w:pPr>
              <w:pStyle w:val="12"/>
            </w:pPr>
            <w:r>
              <w:t>成本指标</w:t>
            </w:r>
          </w:p>
        </w:tc>
        <w:tc>
          <w:tcPr>
            <w:tcW w:w="2835" w:type="dxa"/>
            <w:vAlign w:val="center"/>
          </w:tcPr>
          <w:p w14:paraId="0753C208">
            <w:pPr>
              <w:pStyle w:val="12"/>
            </w:pPr>
            <w:r>
              <w:t>生均拨款标准</w:t>
            </w:r>
          </w:p>
        </w:tc>
        <w:tc>
          <w:tcPr>
            <w:tcW w:w="5386" w:type="dxa"/>
            <w:vAlign w:val="center"/>
          </w:tcPr>
          <w:p w14:paraId="13902CD9">
            <w:pPr>
              <w:pStyle w:val="12"/>
            </w:pPr>
            <w:r>
              <w:t>小学生公用经费生均小学720元。取暖费120元/生/年，随班就读学生补助7000元/生</w:t>
            </w:r>
          </w:p>
        </w:tc>
        <w:tc>
          <w:tcPr>
            <w:tcW w:w="2268" w:type="dxa"/>
            <w:vAlign w:val="center"/>
          </w:tcPr>
          <w:p w14:paraId="193D5327">
            <w:pPr>
              <w:pStyle w:val="12"/>
            </w:pPr>
            <w:r>
              <w:t>840元</w:t>
            </w:r>
          </w:p>
        </w:tc>
        <w:tc>
          <w:tcPr>
            <w:tcW w:w="1276" w:type="dxa"/>
            <w:vAlign w:val="center"/>
          </w:tcPr>
          <w:p w14:paraId="21819D02">
            <w:pPr>
              <w:pStyle w:val="12"/>
            </w:pPr>
            <w:r>
              <w:t>城乡义务教育公用经费管理办法</w:t>
            </w:r>
          </w:p>
        </w:tc>
      </w:tr>
      <w:tr w14:paraId="073D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E98BE"/>
        </w:tc>
        <w:tc>
          <w:tcPr>
            <w:tcW w:w="2268" w:type="dxa"/>
            <w:vAlign w:val="center"/>
          </w:tcPr>
          <w:p w14:paraId="1FC4028D">
            <w:pPr>
              <w:pStyle w:val="12"/>
            </w:pPr>
            <w:r>
              <w:t>数量指标</w:t>
            </w:r>
          </w:p>
        </w:tc>
        <w:tc>
          <w:tcPr>
            <w:tcW w:w="2835" w:type="dxa"/>
            <w:vAlign w:val="center"/>
          </w:tcPr>
          <w:p w14:paraId="291D0A7A">
            <w:pPr>
              <w:pStyle w:val="12"/>
            </w:pPr>
            <w:r>
              <w:t>就读学生数</w:t>
            </w:r>
          </w:p>
        </w:tc>
        <w:tc>
          <w:tcPr>
            <w:tcW w:w="5386" w:type="dxa"/>
            <w:vAlign w:val="center"/>
          </w:tcPr>
          <w:p w14:paraId="3288A40F">
            <w:pPr>
              <w:pStyle w:val="12"/>
            </w:pPr>
            <w:r>
              <w:t>辐射区域内适龄学生人数</w:t>
            </w:r>
          </w:p>
        </w:tc>
        <w:tc>
          <w:tcPr>
            <w:tcW w:w="2268" w:type="dxa"/>
            <w:vAlign w:val="center"/>
          </w:tcPr>
          <w:p w14:paraId="0F1EC60F">
            <w:pPr>
              <w:pStyle w:val="12"/>
            </w:pPr>
            <w:r>
              <w:t>540人</w:t>
            </w:r>
          </w:p>
        </w:tc>
        <w:tc>
          <w:tcPr>
            <w:tcW w:w="1276" w:type="dxa"/>
            <w:vAlign w:val="center"/>
          </w:tcPr>
          <w:p w14:paraId="5D8DA212">
            <w:pPr>
              <w:pStyle w:val="12"/>
            </w:pPr>
            <w:r>
              <w:t>城乡义务教育公用经费管理办法</w:t>
            </w:r>
          </w:p>
        </w:tc>
      </w:tr>
      <w:tr w14:paraId="012D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CAC25"/>
        </w:tc>
        <w:tc>
          <w:tcPr>
            <w:tcW w:w="2268" w:type="dxa"/>
            <w:vAlign w:val="center"/>
          </w:tcPr>
          <w:p w14:paraId="04A82046">
            <w:pPr>
              <w:pStyle w:val="12"/>
            </w:pPr>
            <w:r>
              <w:t>质量指标</w:t>
            </w:r>
          </w:p>
        </w:tc>
        <w:tc>
          <w:tcPr>
            <w:tcW w:w="2835" w:type="dxa"/>
            <w:vAlign w:val="center"/>
          </w:tcPr>
          <w:p w14:paraId="271C425A">
            <w:pPr>
              <w:pStyle w:val="12"/>
            </w:pPr>
            <w:r>
              <w:t>预算执行率</w:t>
            </w:r>
          </w:p>
        </w:tc>
        <w:tc>
          <w:tcPr>
            <w:tcW w:w="5386" w:type="dxa"/>
            <w:vAlign w:val="center"/>
          </w:tcPr>
          <w:p w14:paraId="0544256F">
            <w:pPr>
              <w:pStyle w:val="12"/>
            </w:pPr>
            <w:r>
              <w:t>预算执行率≥98%</w:t>
            </w:r>
          </w:p>
        </w:tc>
        <w:tc>
          <w:tcPr>
            <w:tcW w:w="2268" w:type="dxa"/>
            <w:vAlign w:val="center"/>
          </w:tcPr>
          <w:p w14:paraId="6560A669">
            <w:pPr>
              <w:pStyle w:val="12"/>
            </w:pPr>
            <w:r>
              <w:t>≥98%</w:t>
            </w:r>
          </w:p>
        </w:tc>
        <w:tc>
          <w:tcPr>
            <w:tcW w:w="1276" w:type="dxa"/>
            <w:vAlign w:val="center"/>
          </w:tcPr>
          <w:p w14:paraId="2163C151">
            <w:pPr>
              <w:pStyle w:val="12"/>
            </w:pPr>
            <w:r>
              <w:t>城乡义务教育公用经费管理办法</w:t>
            </w:r>
          </w:p>
        </w:tc>
      </w:tr>
      <w:tr w14:paraId="78BB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9E078"/>
        </w:tc>
        <w:tc>
          <w:tcPr>
            <w:tcW w:w="2268" w:type="dxa"/>
            <w:vAlign w:val="center"/>
          </w:tcPr>
          <w:p w14:paraId="70F4B4DF">
            <w:pPr>
              <w:pStyle w:val="12"/>
            </w:pPr>
            <w:r>
              <w:t>时效指标</w:t>
            </w:r>
          </w:p>
        </w:tc>
        <w:tc>
          <w:tcPr>
            <w:tcW w:w="2835" w:type="dxa"/>
            <w:vAlign w:val="center"/>
          </w:tcPr>
          <w:p w14:paraId="05ADF74A">
            <w:pPr>
              <w:pStyle w:val="12"/>
            </w:pPr>
            <w:r>
              <w:t>义教经费支付完成率</w:t>
            </w:r>
          </w:p>
        </w:tc>
        <w:tc>
          <w:tcPr>
            <w:tcW w:w="5386" w:type="dxa"/>
            <w:vAlign w:val="center"/>
          </w:tcPr>
          <w:p w14:paraId="7951F708">
            <w:pPr>
              <w:pStyle w:val="12"/>
            </w:pPr>
            <w:r>
              <w:t>按照序时进度完成资金支付</w:t>
            </w:r>
          </w:p>
        </w:tc>
        <w:tc>
          <w:tcPr>
            <w:tcW w:w="2268" w:type="dxa"/>
            <w:vAlign w:val="center"/>
          </w:tcPr>
          <w:p w14:paraId="15E9628D">
            <w:pPr>
              <w:pStyle w:val="12"/>
            </w:pPr>
            <w:r>
              <w:t>100%</w:t>
            </w:r>
          </w:p>
        </w:tc>
        <w:tc>
          <w:tcPr>
            <w:tcW w:w="1276" w:type="dxa"/>
            <w:vAlign w:val="center"/>
          </w:tcPr>
          <w:p w14:paraId="7A4D1FEA">
            <w:pPr>
              <w:pStyle w:val="12"/>
            </w:pPr>
            <w:r>
              <w:t>城乡义务教育公用经费管理办法</w:t>
            </w:r>
          </w:p>
        </w:tc>
      </w:tr>
      <w:tr w14:paraId="246D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C1F44">
            <w:pPr>
              <w:pStyle w:val="13"/>
            </w:pPr>
            <w:r>
              <w:t>效益指标</w:t>
            </w:r>
          </w:p>
        </w:tc>
        <w:tc>
          <w:tcPr>
            <w:tcW w:w="2268" w:type="dxa"/>
            <w:vAlign w:val="center"/>
          </w:tcPr>
          <w:p w14:paraId="2BEDA643">
            <w:pPr>
              <w:pStyle w:val="12"/>
            </w:pPr>
            <w:r>
              <w:t>可持续影响指标</w:t>
            </w:r>
          </w:p>
        </w:tc>
        <w:tc>
          <w:tcPr>
            <w:tcW w:w="2835" w:type="dxa"/>
            <w:vAlign w:val="center"/>
          </w:tcPr>
          <w:p w14:paraId="63DB8607">
            <w:pPr>
              <w:pStyle w:val="12"/>
            </w:pPr>
            <w:r>
              <w:t>学校运转得到提高</w:t>
            </w:r>
          </w:p>
        </w:tc>
        <w:tc>
          <w:tcPr>
            <w:tcW w:w="5386" w:type="dxa"/>
            <w:vAlign w:val="center"/>
          </w:tcPr>
          <w:p w14:paraId="29851BD2">
            <w:pPr>
              <w:pStyle w:val="12"/>
            </w:pPr>
            <w:r>
              <w:t>学生受教育年限</w:t>
            </w:r>
          </w:p>
        </w:tc>
        <w:tc>
          <w:tcPr>
            <w:tcW w:w="2268" w:type="dxa"/>
            <w:vAlign w:val="center"/>
          </w:tcPr>
          <w:p w14:paraId="1314C7D5">
            <w:pPr>
              <w:pStyle w:val="12"/>
            </w:pPr>
            <w:r>
              <w:t>6年</w:t>
            </w:r>
          </w:p>
        </w:tc>
        <w:tc>
          <w:tcPr>
            <w:tcW w:w="1276" w:type="dxa"/>
            <w:vAlign w:val="center"/>
          </w:tcPr>
          <w:p w14:paraId="60D5CEF3">
            <w:pPr>
              <w:pStyle w:val="12"/>
            </w:pPr>
            <w:r>
              <w:t>城乡义务教育公用经费管理办法</w:t>
            </w:r>
          </w:p>
        </w:tc>
      </w:tr>
      <w:tr w14:paraId="7671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AE906">
            <w:pPr>
              <w:pStyle w:val="13"/>
            </w:pPr>
            <w:r>
              <w:t>满意度指标</w:t>
            </w:r>
          </w:p>
        </w:tc>
        <w:tc>
          <w:tcPr>
            <w:tcW w:w="2268" w:type="dxa"/>
            <w:vAlign w:val="center"/>
          </w:tcPr>
          <w:p w14:paraId="35CC8878">
            <w:pPr>
              <w:pStyle w:val="12"/>
            </w:pPr>
            <w:r>
              <w:t>服务对象满意度指标</w:t>
            </w:r>
          </w:p>
        </w:tc>
        <w:tc>
          <w:tcPr>
            <w:tcW w:w="2835" w:type="dxa"/>
            <w:vAlign w:val="center"/>
          </w:tcPr>
          <w:p w14:paraId="3155A29F">
            <w:pPr>
              <w:pStyle w:val="12"/>
            </w:pPr>
            <w:r>
              <w:t>服务对象满意度</w:t>
            </w:r>
          </w:p>
        </w:tc>
        <w:tc>
          <w:tcPr>
            <w:tcW w:w="5386" w:type="dxa"/>
            <w:vAlign w:val="center"/>
          </w:tcPr>
          <w:p w14:paraId="3C6130E5">
            <w:pPr>
              <w:pStyle w:val="12"/>
            </w:pPr>
            <w:r>
              <w:t>学校老师和学生满意度</w:t>
            </w:r>
          </w:p>
        </w:tc>
        <w:tc>
          <w:tcPr>
            <w:tcW w:w="2268" w:type="dxa"/>
            <w:vAlign w:val="center"/>
          </w:tcPr>
          <w:p w14:paraId="6DB0EEDA">
            <w:pPr>
              <w:pStyle w:val="12"/>
            </w:pPr>
            <w:r>
              <w:t>≥95%</w:t>
            </w:r>
          </w:p>
        </w:tc>
        <w:tc>
          <w:tcPr>
            <w:tcW w:w="1276" w:type="dxa"/>
            <w:vAlign w:val="center"/>
          </w:tcPr>
          <w:p w14:paraId="6152D8DD">
            <w:pPr>
              <w:pStyle w:val="12"/>
            </w:pPr>
            <w:r>
              <w:t>问卷调查</w:t>
            </w:r>
          </w:p>
        </w:tc>
      </w:tr>
    </w:tbl>
    <w:p w14:paraId="5803B79F">
      <w:pPr>
        <w:sectPr>
          <w:pgSz w:w="16840" w:h="11900" w:orient="landscape"/>
          <w:pgMar w:top="1361" w:right="1020" w:bottom="1134" w:left="1020" w:header="720" w:footer="720" w:gutter="0"/>
          <w:cols w:space="720" w:num="1"/>
        </w:sectPr>
      </w:pPr>
    </w:p>
    <w:p w14:paraId="16BBCDC0">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5、冀财教[2025]121号/中央/2026年义教补助经费/北楼校区尧张小学公用经费绩效目标表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3F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8EC0F">
            <w:pPr>
              <w:pStyle w:val="11"/>
            </w:pPr>
            <w:r>
              <w:t>单位：万元</w:t>
            </w:r>
          </w:p>
        </w:tc>
      </w:tr>
      <w:tr w14:paraId="02C82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AAE4B">
            <w:pPr>
              <w:pStyle w:val="10"/>
            </w:pPr>
            <w:r>
              <w:t>项目编码</w:t>
            </w:r>
          </w:p>
        </w:tc>
        <w:tc>
          <w:tcPr>
            <w:tcW w:w="5103" w:type="dxa"/>
            <w:gridSpan w:val="2"/>
            <w:vAlign w:val="center"/>
          </w:tcPr>
          <w:p w14:paraId="548CFFE2">
            <w:pPr>
              <w:pStyle w:val="12"/>
            </w:pPr>
            <w:r>
              <w:t>13052526P00000410273Y</w:t>
            </w:r>
          </w:p>
        </w:tc>
        <w:tc>
          <w:tcPr>
            <w:tcW w:w="2835" w:type="dxa"/>
            <w:vAlign w:val="center"/>
          </w:tcPr>
          <w:p w14:paraId="2F7C91F5">
            <w:pPr>
              <w:pStyle w:val="10"/>
            </w:pPr>
            <w:r>
              <w:t>项目名称</w:t>
            </w:r>
          </w:p>
        </w:tc>
        <w:tc>
          <w:tcPr>
            <w:tcW w:w="6095" w:type="dxa"/>
            <w:gridSpan w:val="3"/>
            <w:vAlign w:val="center"/>
          </w:tcPr>
          <w:p w14:paraId="3FDC877E">
            <w:pPr>
              <w:pStyle w:val="12"/>
            </w:pPr>
            <w:r>
              <w:t>冀财教[2025]121号/中央/2026年义教补助经费/北楼校区尧张小学公用经费</w:t>
            </w:r>
          </w:p>
        </w:tc>
      </w:tr>
      <w:tr w14:paraId="387EE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FD6F9">
            <w:pPr>
              <w:pStyle w:val="10"/>
            </w:pPr>
            <w:r>
              <w:t>预算规模及资金用途</w:t>
            </w:r>
          </w:p>
        </w:tc>
        <w:tc>
          <w:tcPr>
            <w:tcW w:w="2268" w:type="dxa"/>
            <w:vAlign w:val="center"/>
          </w:tcPr>
          <w:p w14:paraId="09FA2A3C">
            <w:pPr>
              <w:pStyle w:val="10"/>
            </w:pPr>
            <w:r>
              <w:t>预算数</w:t>
            </w:r>
          </w:p>
        </w:tc>
        <w:tc>
          <w:tcPr>
            <w:tcW w:w="2835" w:type="dxa"/>
            <w:vAlign w:val="center"/>
          </w:tcPr>
          <w:p w14:paraId="04E78FF8">
            <w:pPr>
              <w:pStyle w:val="12"/>
            </w:pPr>
            <w:r>
              <w:t>14.21</w:t>
            </w:r>
          </w:p>
        </w:tc>
        <w:tc>
          <w:tcPr>
            <w:tcW w:w="2835" w:type="dxa"/>
            <w:vAlign w:val="center"/>
          </w:tcPr>
          <w:p w14:paraId="1D802F49">
            <w:pPr>
              <w:pStyle w:val="10"/>
            </w:pPr>
            <w:r>
              <w:t>其中：财政    资金</w:t>
            </w:r>
          </w:p>
        </w:tc>
        <w:tc>
          <w:tcPr>
            <w:tcW w:w="2551" w:type="dxa"/>
            <w:vAlign w:val="center"/>
          </w:tcPr>
          <w:p w14:paraId="7F5BB597">
            <w:pPr>
              <w:pStyle w:val="12"/>
            </w:pPr>
            <w:r>
              <w:t>14.21</w:t>
            </w:r>
          </w:p>
        </w:tc>
        <w:tc>
          <w:tcPr>
            <w:tcW w:w="2268" w:type="dxa"/>
            <w:vAlign w:val="center"/>
          </w:tcPr>
          <w:p w14:paraId="37A730F2">
            <w:pPr>
              <w:pStyle w:val="10"/>
            </w:pPr>
            <w:r>
              <w:t>其他资金</w:t>
            </w:r>
          </w:p>
        </w:tc>
        <w:tc>
          <w:tcPr>
            <w:tcW w:w="1276" w:type="dxa"/>
            <w:vAlign w:val="center"/>
          </w:tcPr>
          <w:p w14:paraId="60282A36">
            <w:pPr>
              <w:pStyle w:val="12"/>
            </w:pPr>
            <w:r>
              <w:t xml:space="preserve"> </w:t>
            </w:r>
          </w:p>
        </w:tc>
      </w:tr>
      <w:tr w14:paraId="0CA2D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B3791"/>
        </w:tc>
        <w:tc>
          <w:tcPr>
            <w:tcW w:w="14033" w:type="dxa"/>
            <w:gridSpan w:val="6"/>
            <w:vAlign w:val="center"/>
          </w:tcPr>
          <w:p w14:paraId="0C862AE2">
            <w:pPr>
              <w:pStyle w:val="12"/>
            </w:pPr>
            <w:r>
              <w:t>有效完成学校教学安全秩序，保障学校教学任务有效开展，满足学校正常教学需要。</w:t>
            </w:r>
          </w:p>
        </w:tc>
      </w:tr>
      <w:tr w14:paraId="0FD13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4A236">
            <w:pPr>
              <w:pStyle w:val="10"/>
            </w:pPr>
            <w:r>
              <w:t>资金支出计划（%）</w:t>
            </w:r>
          </w:p>
        </w:tc>
        <w:tc>
          <w:tcPr>
            <w:tcW w:w="5103" w:type="dxa"/>
            <w:gridSpan w:val="2"/>
            <w:vAlign w:val="center"/>
          </w:tcPr>
          <w:p w14:paraId="7B0E317F">
            <w:pPr>
              <w:pStyle w:val="10"/>
            </w:pPr>
            <w:r>
              <w:t>3月底</w:t>
            </w:r>
          </w:p>
        </w:tc>
        <w:tc>
          <w:tcPr>
            <w:tcW w:w="2835" w:type="dxa"/>
            <w:vAlign w:val="center"/>
          </w:tcPr>
          <w:p w14:paraId="4FDD3063">
            <w:pPr>
              <w:pStyle w:val="10"/>
            </w:pPr>
            <w:r>
              <w:t>6月底</w:t>
            </w:r>
          </w:p>
        </w:tc>
        <w:tc>
          <w:tcPr>
            <w:tcW w:w="2551" w:type="dxa"/>
            <w:vAlign w:val="center"/>
          </w:tcPr>
          <w:p w14:paraId="5FCDA75A">
            <w:pPr>
              <w:pStyle w:val="10"/>
            </w:pPr>
            <w:r>
              <w:t>10月底</w:t>
            </w:r>
          </w:p>
        </w:tc>
        <w:tc>
          <w:tcPr>
            <w:tcW w:w="3544" w:type="dxa"/>
            <w:gridSpan w:val="2"/>
            <w:vAlign w:val="center"/>
          </w:tcPr>
          <w:p w14:paraId="1C635E66">
            <w:pPr>
              <w:pStyle w:val="10"/>
            </w:pPr>
            <w:r>
              <w:t>12月底</w:t>
            </w:r>
          </w:p>
        </w:tc>
      </w:tr>
      <w:tr w14:paraId="4BB58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30FA2"/>
        </w:tc>
        <w:tc>
          <w:tcPr>
            <w:tcW w:w="5103" w:type="dxa"/>
            <w:gridSpan w:val="2"/>
            <w:vAlign w:val="center"/>
          </w:tcPr>
          <w:p w14:paraId="23BB32E5">
            <w:pPr>
              <w:pStyle w:val="13"/>
            </w:pPr>
            <w:r>
              <w:t>25%</w:t>
            </w:r>
          </w:p>
        </w:tc>
        <w:tc>
          <w:tcPr>
            <w:tcW w:w="2835" w:type="dxa"/>
            <w:vAlign w:val="center"/>
          </w:tcPr>
          <w:p w14:paraId="3111DDF3">
            <w:pPr>
              <w:pStyle w:val="13"/>
            </w:pPr>
            <w:r>
              <w:t>50%</w:t>
            </w:r>
          </w:p>
        </w:tc>
        <w:tc>
          <w:tcPr>
            <w:tcW w:w="2551" w:type="dxa"/>
            <w:vAlign w:val="center"/>
          </w:tcPr>
          <w:p w14:paraId="0AF0CD20">
            <w:pPr>
              <w:pStyle w:val="13"/>
            </w:pPr>
            <w:r>
              <w:t>75%</w:t>
            </w:r>
          </w:p>
        </w:tc>
        <w:tc>
          <w:tcPr>
            <w:tcW w:w="3544" w:type="dxa"/>
            <w:gridSpan w:val="2"/>
            <w:vAlign w:val="center"/>
          </w:tcPr>
          <w:p w14:paraId="2D44DB53">
            <w:pPr>
              <w:pStyle w:val="13"/>
            </w:pPr>
            <w:r>
              <w:t>100%</w:t>
            </w:r>
          </w:p>
        </w:tc>
      </w:tr>
      <w:tr w14:paraId="55AD3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560D5">
            <w:pPr>
              <w:pStyle w:val="10"/>
            </w:pPr>
            <w:r>
              <w:t>绩效目标</w:t>
            </w:r>
          </w:p>
        </w:tc>
        <w:tc>
          <w:tcPr>
            <w:tcW w:w="14033" w:type="dxa"/>
            <w:gridSpan w:val="6"/>
            <w:vAlign w:val="center"/>
          </w:tcPr>
          <w:p w14:paraId="0AF49A9A">
            <w:pPr>
              <w:pStyle w:val="12"/>
            </w:pPr>
            <w:r>
              <w:t>1.按规定拨付公用经费资金，预算执行率≥98%。</w:t>
            </w:r>
          </w:p>
          <w:p w14:paraId="3AC93E40">
            <w:pPr>
              <w:pStyle w:val="12"/>
            </w:pPr>
            <w:r>
              <w:t>2.有效完成学校教学安全秩序，保障学校教学任务有效开展，满足学校正常教学需要。</w:t>
            </w:r>
          </w:p>
        </w:tc>
      </w:tr>
    </w:tbl>
    <w:p w14:paraId="7E78F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F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9A4E1">
            <w:pPr>
              <w:pStyle w:val="10"/>
            </w:pPr>
            <w:r>
              <w:t>一级指标</w:t>
            </w:r>
          </w:p>
        </w:tc>
        <w:tc>
          <w:tcPr>
            <w:tcW w:w="2268" w:type="dxa"/>
            <w:vAlign w:val="center"/>
          </w:tcPr>
          <w:p w14:paraId="44573B15">
            <w:pPr>
              <w:pStyle w:val="10"/>
            </w:pPr>
            <w:r>
              <w:t>二级指标</w:t>
            </w:r>
          </w:p>
        </w:tc>
        <w:tc>
          <w:tcPr>
            <w:tcW w:w="2835" w:type="dxa"/>
            <w:vAlign w:val="center"/>
          </w:tcPr>
          <w:p w14:paraId="043681C6">
            <w:pPr>
              <w:pStyle w:val="10"/>
            </w:pPr>
            <w:r>
              <w:t>三级指标</w:t>
            </w:r>
          </w:p>
        </w:tc>
        <w:tc>
          <w:tcPr>
            <w:tcW w:w="5386" w:type="dxa"/>
            <w:vAlign w:val="center"/>
          </w:tcPr>
          <w:p w14:paraId="14C59903">
            <w:pPr>
              <w:pStyle w:val="10"/>
            </w:pPr>
            <w:r>
              <w:t>绩效指标描述</w:t>
            </w:r>
          </w:p>
        </w:tc>
        <w:tc>
          <w:tcPr>
            <w:tcW w:w="2268" w:type="dxa"/>
            <w:vAlign w:val="center"/>
          </w:tcPr>
          <w:p w14:paraId="4C374CCE">
            <w:pPr>
              <w:pStyle w:val="10"/>
            </w:pPr>
            <w:r>
              <w:t>指标值</w:t>
            </w:r>
          </w:p>
        </w:tc>
        <w:tc>
          <w:tcPr>
            <w:tcW w:w="1276" w:type="dxa"/>
            <w:vAlign w:val="center"/>
          </w:tcPr>
          <w:p w14:paraId="451734E3">
            <w:pPr>
              <w:pStyle w:val="10"/>
            </w:pPr>
            <w:r>
              <w:t>指标值确定依据</w:t>
            </w:r>
          </w:p>
        </w:tc>
      </w:tr>
      <w:tr w14:paraId="5822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29251">
            <w:pPr>
              <w:pStyle w:val="13"/>
            </w:pPr>
            <w:r>
              <w:t>产出指标</w:t>
            </w:r>
          </w:p>
        </w:tc>
        <w:tc>
          <w:tcPr>
            <w:tcW w:w="2268" w:type="dxa"/>
            <w:vAlign w:val="center"/>
          </w:tcPr>
          <w:p w14:paraId="6CB6D3A5">
            <w:pPr>
              <w:pStyle w:val="12"/>
            </w:pPr>
            <w:r>
              <w:t>成本指标</w:t>
            </w:r>
          </w:p>
        </w:tc>
        <w:tc>
          <w:tcPr>
            <w:tcW w:w="2835" w:type="dxa"/>
            <w:vAlign w:val="center"/>
          </w:tcPr>
          <w:p w14:paraId="6A8CF5AF">
            <w:pPr>
              <w:pStyle w:val="12"/>
            </w:pPr>
            <w:r>
              <w:t>生均拨款标准</w:t>
            </w:r>
          </w:p>
        </w:tc>
        <w:tc>
          <w:tcPr>
            <w:tcW w:w="5386" w:type="dxa"/>
            <w:vAlign w:val="center"/>
          </w:tcPr>
          <w:p w14:paraId="51D20D40">
            <w:pPr>
              <w:pStyle w:val="12"/>
            </w:pPr>
            <w:r>
              <w:t>小学生公用经费生均小学720元。取暖费120元/生/年，随班就读学生补助7000元/生</w:t>
            </w:r>
          </w:p>
        </w:tc>
        <w:tc>
          <w:tcPr>
            <w:tcW w:w="2268" w:type="dxa"/>
            <w:vAlign w:val="center"/>
          </w:tcPr>
          <w:p w14:paraId="5D48828D">
            <w:pPr>
              <w:pStyle w:val="12"/>
            </w:pPr>
            <w:r>
              <w:t>840元</w:t>
            </w:r>
          </w:p>
        </w:tc>
        <w:tc>
          <w:tcPr>
            <w:tcW w:w="1276" w:type="dxa"/>
            <w:vAlign w:val="center"/>
          </w:tcPr>
          <w:p w14:paraId="23C24617">
            <w:pPr>
              <w:pStyle w:val="12"/>
            </w:pPr>
            <w:r>
              <w:t>城乡义务教育公用经费管理办法</w:t>
            </w:r>
          </w:p>
        </w:tc>
      </w:tr>
      <w:tr w14:paraId="3C512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20776"/>
        </w:tc>
        <w:tc>
          <w:tcPr>
            <w:tcW w:w="2268" w:type="dxa"/>
            <w:vAlign w:val="center"/>
          </w:tcPr>
          <w:p w14:paraId="169D699D">
            <w:pPr>
              <w:pStyle w:val="12"/>
            </w:pPr>
            <w:r>
              <w:t>数量指标</w:t>
            </w:r>
          </w:p>
        </w:tc>
        <w:tc>
          <w:tcPr>
            <w:tcW w:w="2835" w:type="dxa"/>
            <w:vAlign w:val="center"/>
          </w:tcPr>
          <w:p w14:paraId="0F8A23AE">
            <w:pPr>
              <w:pStyle w:val="12"/>
            </w:pPr>
            <w:r>
              <w:t>就读学生数</w:t>
            </w:r>
          </w:p>
        </w:tc>
        <w:tc>
          <w:tcPr>
            <w:tcW w:w="5386" w:type="dxa"/>
            <w:vAlign w:val="center"/>
          </w:tcPr>
          <w:p w14:paraId="4176DCB4">
            <w:pPr>
              <w:pStyle w:val="12"/>
            </w:pPr>
            <w:r>
              <w:t>辐射区域内适龄学生人数</w:t>
            </w:r>
          </w:p>
        </w:tc>
        <w:tc>
          <w:tcPr>
            <w:tcW w:w="2268" w:type="dxa"/>
            <w:vAlign w:val="center"/>
          </w:tcPr>
          <w:p w14:paraId="208CA19C">
            <w:pPr>
              <w:pStyle w:val="12"/>
            </w:pPr>
            <w:r>
              <w:t>279人</w:t>
            </w:r>
          </w:p>
        </w:tc>
        <w:tc>
          <w:tcPr>
            <w:tcW w:w="1276" w:type="dxa"/>
            <w:vAlign w:val="center"/>
          </w:tcPr>
          <w:p w14:paraId="2D4B2D11">
            <w:pPr>
              <w:pStyle w:val="12"/>
            </w:pPr>
            <w:r>
              <w:t>城乡义务教育公用经费管理办法</w:t>
            </w:r>
          </w:p>
        </w:tc>
      </w:tr>
      <w:tr w14:paraId="56DA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7C97B"/>
        </w:tc>
        <w:tc>
          <w:tcPr>
            <w:tcW w:w="2268" w:type="dxa"/>
            <w:vAlign w:val="center"/>
          </w:tcPr>
          <w:p w14:paraId="5335530C">
            <w:pPr>
              <w:pStyle w:val="12"/>
            </w:pPr>
            <w:r>
              <w:t>质量指标</w:t>
            </w:r>
          </w:p>
        </w:tc>
        <w:tc>
          <w:tcPr>
            <w:tcW w:w="2835" w:type="dxa"/>
            <w:vAlign w:val="center"/>
          </w:tcPr>
          <w:p w14:paraId="3E0F04E0">
            <w:pPr>
              <w:pStyle w:val="12"/>
            </w:pPr>
            <w:r>
              <w:t>预算执行率</w:t>
            </w:r>
          </w:p>
        </w:tc>
        <w:tc>
          <w:tcPr>
            <w:tcW w:w="5386" w:type="dxa"/>
            <w:vAlign w:val="center"/>
          </w:tcPr>
          <w:p w14:paraId="5C58645F">
            <w:pPr>
              <w:pStyle w:val="12"/>
            </w:pPr>
            <w:r>
              <w:t>预算执行率≥98%</w:t>
            </w:r>
          </w:p>
        </w:tc>
        <w:tc>
          <w:tcPr>
            <w:tcW w:w="2268" w:type="dxa"/>
            <w:vAlign w:val="center"/>
          </w:tcPr>
          <w:p w14:paraId="3E1932E8">
            <w:pPr>
              <w:pStyle w:val="12"/>
            </w:pPr>
            <w:r>
              <w:t>≥98%</w:t>
            </w:r>
          </w:p>
        </w:tc>
        <w:tc>
          <w:tcPr>
            <w:tcW w:w="1276" w:type="dxa"/>
            <w:vAlign w:val="center"/>
          </w:tcPr>
          <w:p w14:paraId="718CAA83">
            <w:pPr>
              <w:pStyle w:val="12"/>
            </w:pPr>
            <w:r>
              <w:t>城乡义务教育公用经费管理办法</w:t>
            </w:r>
          </w:p>
        </w:tc>
      </w:tr>
      <w:tr w14:paraId="3E21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87A13"/>
        </w:tc>
        <w:tc>
          <w:tcPr>
            <w:tcW w:w="2268" w:type="dxa"/>
            <w:vAlign w:val="center"/>
          </w:tcPr>
          <w:p w14:paraId="63345341">
            <w:pPr>
              <w:pStyle w:val="12"/>
            </w:pPr>
            <w:r>
              <w:t>时效指标</w:t>
            </w:r>
          </w:p>
        </w:tc>
        <w:tc>
          <w:tcPr>
            <w:tcW w:w="2835" w:type="dxa"/>
            <w:vAlign w:val="center"/>
          </w:tcPr>
          <w:p w14:paraId="52ABF86E">
            <w:pPr>
              <w:pStyle w:val="12"/>
            </w:pPr>
            <w:r>
              <w:t>义教经费支付完成率</w:t>
            </w:r>
          </w:p>
        </w:tc>
        <w:tc>
          <w:tcPr>
            <w:tcW w:w="5386" w:type="dxa"/>
            <w:vAlign w:val="center"/>
          </w:tcPr>
          <w:p w14:paraId="25285E35">
            <w:pPr>
              <w:pStyle w:val="12"/>
            </w:pPr>
            <w:r>
              <w:t>按照序时进度完成资金支付</w:t>
            </w:r>
          </w:p>
        </w:tc>
        <w:tc>
          <w:tcPr>
            <w:tcW w:w="2268" w:type="dxa"/>
            <w:vAlign w:val="center"/>
          </w:tcPr>
          <w:p w14:paraId="291780A8">
            <w:pPr>
              <w:pStyle w:val="12"/>
            </w:pPr>
            <w:r>
              <w:t>100%</w:t>
            </w:r>
          </w:p>
        </w:tc>
        <w:tc>
          <w:tcPr>
            <w:tcW w:w="1276" w:type="dxa"/>
            <w:vAlign w:val="center"/>
          </w:tcPr>
          <w:p w14:paraId="68B854F3">
            <w:pPr>
              <w:pStyle w:val="12"/>
            </w:pPr>
            <w:r>
              <w:t>城乡义务教育公用经费管理办法</w:t>
            </w:r>
          </w:p>
        </w:tc>
      </w:tr>
      <w:tr w14:paraId="1E26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86726">
            <w:pPr>
              <w:pStyle w:val="13"/>
            </w:pPr>
            <w:r>
              <w:t>效益指标</w:t>
            </w:r>
          </w:p>
        </w:tc>
        <w:tc>
          <w:tcPr>
            <w:tcW w:w="2268" w:type="dxa"/>
            <w:vAlign w:val="center"/>
          </w:tcPr>
          <w:p w14:paraId="2BA9DDDF">
            <w:pPr>
              <w:pStyle w:val="12"/>
            </w:pPr>
            <w:r>
              <w:t>可持续影响指标</w:t>
            </w:r>
          </w:p>
        </w:tc>
        <w:tc>
          <w:tcPr>
            <w:tcW w:w="2835" w:type="dxa"/>
            <w:vAlign w:val="center"/>
          </w:tcPr>
          <w:p w14:paraId="7F458E52">
            <w:pPr>
              <w:pStyle w:val="12"/>
            </w:pPr>
            <w:r>
              <w:t>学校运转得到提高</w:t>
            </w:r>
          </w:p>
        </w:tc>
        <w:tc>
          <w:tcPr>
            <w:tcW w:w="5386" w:type="dxa"/>
            <w:vAlign w:val="center"/>
          </w:tcPr>
          <w:p w14:paraId="7540A451">
            <w:pPr>
              <w:pStyle w:val="12"/>
            </w:pPr>
            <w:r>
              <w:t>学生受教育年限</w:t>
            </w:r>
          </w:p>
        </w:tc>
        <w:tc>
          <w:tcPr>
            <w:tcW w:w="2268" w:type="dxa"/>
            <w:vAlign w:val="center"/>
          </w:tcPr>
          <w:p w14:paraId="2F4D52C3">
            <w:pPr>
              <w:pStyle w:val="12"/>
            </w:pPr>
            <w:r>
              <w:t>6年</w:t>
            </w:r>
          </w:p>
        </w:tc>
        <w:tc>
          <w:tcPr>
            <w:tcW w:w="1276" w:type="dxa"/>
            <w:vAlign w:val="center"/>
          </w:tcPr>
          <w:p w14:paraId="4361D0FF">
            <w:pPr>
              <w:pStyle w:val="12"/>
            </w:pPr>
            <w:r>
              <w:t>城乡义务教育公用经费管理办法</w:t>
            </w:r>
          </w:p>
        </w:tc>
      </w:tr>
      <w:tr w14:paraId="091F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5EFDE">
            <w:pPr>
              <w:pStyle w:val="13"/>
            </w:pPr>
            <w:r>
              <w:t>满意度指标</w:t>
            </w:r>
          </w:p>
        </w:tc>
        <w:tc>
          <w:tcPr>
            <w:tcW w:w="2268" w:type="dxa"/>
            <w:vAlign w:val="center"/>
          </w:tcPr>
          <w:p w14:paraId="5033F12C">
            <w:pPr>
              <w:pStyle w:val="12"/>
            </w:pPr>
            <w:r>
              <w:t>服务对象满意度指标</w:t>
            </w:r>
          </w:p>
        </w:tc>
        <w:tc>
          <w:tcPr>
            <w:tcW w:w="2835" w:type="dxa"/>
            <w:vAlign w:val="center"/>
          </w:tcPr>
          <w:p w14:paraId="4293B09E">
            <w:pPr>
              <w:pStyle w:val="12"/>
            </w:pPr>
            <w:r>
              <w:t>服务对象满意度</w:t>
            </w:r>
          </w:p>
        </w:tc>
        <w:tc>
          <w:tcPr>
            <w:tcW w:w="5386" w:type="dxa"/>
            <w:vAlign w:val="center"/>
          </w:tcPr>
          <w:p w14:paraId="0E40E728">
            <w:pPr>
              <w:pStyle w:val="12"/>
            </w:pPr>
            <w:r>
              <w:t>学校老师和学生满意度</w:t>
            </w:r>
          </w:p>
        </w:tc>
        <w:tc>
          <w:tcPr>
            <w:tcW w:w="2268" w:type="dxa"/>
            <w:vAlign w:val="center"/>
          </w:tcPr>
          <w:p w14:paraId="67A92A2E">
            <w:pPr>
              <w:pStyle w:val="12"/>
            </w:pPr>
            <w:r>
              <w:t>≥95%</w:t>
            </w:r>
          </w:p>
        </w:tc>
        <w:tc>
          <w:tcPr>
            <w:tcW w:w="1276" w:type="dxa"/>
            <w:vAlign w:val="center"/>
          </w:tcPr>
          <w:p w14:paraId="6271D572">
            <w:pPr>
              <w:pStyle w:val="12"/>
            </w:pPr>
            <w:r>
              <w:t>问卷调查</w:t>
            </w:r>
          </w:p>
        </w:tc>
      </w:tr>
    </w:tbl>
    <w:p w14:paraId="3F267546">
      <w:pPr>
        <w:sectPr>
          <w:pgSz w:w="16840" w:h="11900" w:orient="landscape"/>
          <w:pgMar w:top="1361" w:right="1020" w:bottom="1134" w:left="1020" w:header="720" w:footer="720" w:gutter="0"/>
          <w:cols w:space="720" w:num="1"/>
        </w:sectPr>
      </w:pPr>
    </w:p>
    <w:p w14:paraId="1BD049F4">
      <w:pPr>
        <w:spacing w:before="0" w:after="0"/>
        <w:ind w:firstLine="560"/>
        <w:jc w:val="left"/>
        <w:outlineLvl w:val="9"/>
      </w:pPr>
      <w:r>
        <w:rPr>
          <w:rFonts w:ascii="方正仿宋_GBK" w:hAnsi="方正仿宋_GBK" w:eastAsia="方正仿宋_GBK" w:cs="方正仿宋_GBK"/>
          <w:b/>
          <w:color w:val="000000"/>
          <w:sz w:val="28"/>
        </w:rPr>
        <w:t>6、冀财教[2025]121号/中央/义教/2026年校舍安全/南楼小学餐厅棚顶改造绩效目标表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60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DBE0C">
            <w:pPr>
              <w:pStyle w:val="11"/>
            </w:pPr>
            <w:r>
              <w:t>单位：万元</w:t>
            </w:r>
          </w:p>
        </w:tc>
      </w:tr>
      <w:tr w14:paraId="2D99A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BF4C4">
            <w:pPr>
              <w:pStyle w:val="10"/>
            </w:pPr>
            <w:r>
              <w:t>项目编码</w:t>
            </w:r>
          </w:p>
        </w:tc>
        <w:tc>
          <w:tcPr>
            <w:tcW w:w="5103" w:type="dxa"/>
            <w:gridSpan w:val="2"/>
            <w:vAlign w:val="center"/>
          </w:tcPr>
          <w:p w14:paraId="578191D2">
            <w:pPr>
              <w:pStyle w:val="12"/>
            </w:pPr>
            <w:r>
              <w:t>13052526P008762100833</w:t>
            </w:r>
          </w:p>
        </w:tc>
        <w:tc>
          <w:tcPr>
            <w:tcW w:w="2835" w:type="dxa"/>
            <w:vAlign w:val="center"/>
          </w:tcPr>
          <w:p w14:paraId="7C009E95">
            <w:pPr>
              <w:pStyle w:val="10"/>
            </w:pPr>
            <w:r>
              <w:t>项目名称</w:t>
            </w:r>
          </w:p>
        </w:tc>
        <w:tc>
          <w:tcPr>
            <w:tcW w:w="6095" w:type="dxa"/>
            <w:gridSpan w:val="3"/>
            <w:vAlign w:val="center"/>
          </w:tcPr>
          <w:p w14:paraId="3BED5189">
            <w:pPr>
              <w:pStyle w:val="12"/>
            </w:pPr>
            <w:r>
              <w:t>冀财教[2025]121号/中央/义教/2026年校舍安全/南楼小学餐厅棚顶改造</w:t>
            </w:r>
          </w:p>
        </w:tc>
      </w:tr>
      <w:tr w14:paraId="34747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09352">
            <w:pPr>
              <w:pStyle w:val="10"/>
            </w:pPr>
            <w:r>
              <w:t>预算规模及资金用途</w:t>
            </w:r>
          </w:p>
        </w:tc>
        <w:tc>
          <w:tcPr>
            <w:tcW w:w="2268" w:type="dxa"/>
            <w:vAlign w:val="center"/>
          </w:tcPr>
          <w:p w14:paraId="66A01028">
            <w:pPr>
              <w:pStyle w:val="10"/>
            </w:pPr>
            <w:r>
              <w:t>预算数</w:t>
            </w:r>
          </w:p>
        </w:tc>
        <w:tc>
          <w:tcPr>
            <w:tcW w:w="2835" w:type="dxa"/>
            <w:vAlign w:val="center"/>
          </w:tcPr>
          <w:p w14:paraId="050147B1">
            <w:pPr>
              <w:pStyle w:val="12"/>
            </w:pPr>
            <w:r>
              <w:t>10.00</w:t>
            </w:r>
          </w:p>
        </w:tc>
        <w:tc>
          <w:tcPr>
            <w:tcW w:w="2835" w:type="dxa"/>
            <w:vAlign w:val="center"/>
          </w:tcPr>
          <w:p w14:paraId="64D52E8C">
            <w:pPr>
              <w:pStyle w:val="10"/>
            </w:pPr>
            <w:r>
              <w:t>其中：财政    资金</w:t>
            </w:r>
          </w:p>
        </w:tc>
        <w:tc>
          <w:tcPr>
            <w:tcW w:w="2551" w:type="dxa"/>
            <w:vAlign w:val="center"/>
          </w:tcPr>
          <w:p w14:paraId="6F43630C">
            <w:pPr>
              <w:pStyle w:val="12"/>
            </w:pPr>
            <w:r>
              <w:t>10.00</w:t>
            </w:r>
          </w:p>
        </w:tc>
        <w:tc>
          <w:tcPr>
            <w:tcW w:w="2268" w:type="dxa"/>
            <w:vAlign w:val="center"/>
          </w:tcPr>
          <w:p w14:paraId="1399266D">
            <w:pPr>
              <w:pStyle w:val="10"/>
            </w:pPr>
            <w:r>
              <w:t>其他资金</w:t>
            </w:r>
          </w:p>
        </w:tc>
        <w:tc>
          <w:tcPr>
            <w:tcW w:w="1276" w:type="dxa"/>
            <w:vAlign w:val="center"/>
          </w:tcPr>
          <w:p w14:paraId="47DB21A1">
            <w:pPr>
              <w:pStyle w:val="12"/>
            </w:pPr>
            <w:r>
              <w:t xml:space="preserve"> </w:t>
            </w:r>
          </w:p>
        </w:tc>
      </w:tr>
      <w:tr w14:paraId="469FA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F7E5C"/>
        </w:tc>
        <w:tc>
          <w:tcPr>
            <w:tcW w:w="14033" w:type="dxa"/>
            <w:gridSpan w:val="6"/>
            <w:vAlign w:val="center"/>
          </w:tcPr>
          <w:p w14:paraId="26443611">
            <w:pPr>
              <w:pStyle w:val="12"/>
            </w:pPr>
            <w:r>
              <w:t>保证学校正常运转和改善办学条件。</w:t>
            </w:r>
          </w:p>
        </w:tc>
      </w:tr>
      <w:tr w14:paraId="31A39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28395">
            <w:pPr>
              <w:pStyle w:val="10"/>
            </w:pPr>
            <w:r>
              <w:t>资金支出计划（%）</w:t>
            </w:r>
          </w:p>
        </w:tc>
        <w:tc>
          <w:tcPr>
            <w:tcW w:w="5103" w:type="dxa"/>
            <w:gridSpan w:val="2"/>
            <w:vAlign w:val="center"/>
          </w:tcPr>
          <w:p w14:paraId="45FC1F9E">
            <w:pPr>
              <w:pStyle w:val="10"/>
            </w:pPr>
            <w:r>
              <w:t>3月底</w:t>
            </w:r>
          </w:p>
        </w:tc>
        <w:tc>
          <w:tcPr>
            <w:tcW w:w="2835" w:type="dxa"/>
            <w:vAlign w:val="center"/>
          </w:tcPr>
          <w:p w14:paraId="5B3FCEAD">
            <w:pPr>
              <w:pStyle w:val="10"/>
            </w:pPr>
            <w:r>
              <w:t>6月底</w:t>
            </w:r>
          </w:p>
        </w:tc>
        <w:tc>
          <w:tcPr>
            <w:tcW w:w="2551" w:type="dxa"/>
            <w:vAlign w:val="center"/>
          </w:tcPr>
          <w:p w14:paraId="5E99BBB0">
            <w:pPr>
              <w:pStyle w:val="10"/>
            </w:pPr>
            <w:r>
              <w:t>10月底</w:t>
            </w:r>
          </w:p>
        </w:tc>
        <w:tc>
          <w:tcPr>
            <w:tcW w:w="3544" w:type="dxa"/>
            <w:gridSpan w:val="2"/>
            <w:vAlign w:val="center"/>
          </w:tcPr>
          <w:p w14:paraId="6D533411">
            <w:pPr>
              <w:pStyle w:val="10"/>
            </w:pPr>
            <w:r>
              <w:t>12月底</w:t>
            </w:r>
          </w:p>
        </w:tc>
      </w:tr>
      <w:tr w14:paraId="71526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192BA"/>
        </w:tc>
        <w:tc>
          <w:tcPr>
            <w:tcW w:w="5103" w:type="dxa"/>
            <w:gridSpan w:val="2"/>
            <w:vAlign w:val="center"/>
          </w:tcPr>
          <w:p w14:paraId="4AFC82DC">
            <w:pPr>
              <w:pStyle w:val="13"/>
            </w:pPr>
            <w:r>
              <w:t xml:space="preserve"> </w:t>
            </w:r>
          </w:p>
        </w:tc>
        <w:tc>
          <w:tcPr>
            <w:tcW w:w="2835" w:type="dxa"/>
            <w:vAlign w:val="center"/>
          </w:tcPr>
          <w:p w14:paraId="5FFF2C18">
            <w:pPr>
              <w:pStyle w:val="13"/>
            </w:pPr>
            <w:r>
              <w:t xml:space="preserve"> </w:t>
            </w:r>
          </w:p>
        </w:tc>
        <w:tc>
          <w:tcPr>
            <w:tcW w:w="2551" w:type="dxa"/>
            <w:vAlign w:val="center"/>
          </w:tcPr>
          <w:p w14:paraId="75A6EFFF">
            <w:pPr>
              <w:pStyle w:val="13"/>
            </w:pPr>
            <w:r>
              <w:t>100%</w:t>
            </w:r>
          </w:p>
        </w:tc>
        <w:tc>
          <w:tcPr>
            <w:tcW w:w="3544" w:type="dxa"/>
            <w:gridSpan w:val="2"/>
            <w:vAlign w:val="center"/>
          </w:tcPr>
          <w:p w14:paraId="72A86F6B">
            <w:pPr>
              <w:pStyle w:val="13"/>
            </w:pPr>
            <w:r>
              <w:t>100%</w:t>
            </w:r>
          </w:p>
        </w:tc>
      </w:tr>
      <w:tr w14:paraId="6DF70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20778">
            <w:pPr>
              <w:pStyle w:val="10"/>
            </w:pPr>
            <w:r>
              <w:t>绩效目标</w:t>
            </w:r>
          </w:p>
        </w:tc>
        <w:tc>
          <w:tcPr>
            <w:tcW w:w="14033" w:type="dxa"/>
            <w:gridSpan w:val="6"/>
            <w:vAlign w:val="center"/>
          </w:tcPr>
          <w:p w14:paraId="2DCEFF37">
            <w:pPr>
              <w:pStyle w:val="12"/>
            </w:pPr>
            <w:r>
              <w:t>1.按拨款时序进度完成经费拨付和支出</w:t>
            </w:r>
          </w:p>
          <w:p w14:paraId="725F182D">
            <w:pPr>
              <w:pStyle w:val="12"/>
            </w:pPr>
            <w:r>
              <w:t>2.保证学校正常运转和改善办学条件。</w:t>
            </w:r>
          </w:p>
        </w:tc>
      </w:tr>
    </w:tbl>
    <w:p w14:paraId="25535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B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9DDEC">
            <w:pPr>
              <w:pStyle w:val="10"/>
            </w:pPr>
            <w:r>
              <w:t>一级指标</w:t>
            </w:r>
          </w:p>
        </w:tc>
        <w:tc>
          <w:tcPr>
            <w:tcW w:w="2268" w:type="dxa"/>
            <w:vAlign w:val="center"/>
          </w:tcPr>
          <w:p w14:paraId="27856A4B">
            <w:pPr>
              <w:pStyle w:val="10"/>
            </w:pPr>
            <w:r>
              <w:t>二级指标</w:t>
            </w:r>
          </w:p>
        </w:tc>
        <w:tc>
          <w:tcPr>
            <w:tcW w:w="2835" w:type="dxa"/>
            <w:vAlign w:val="center"/>
          </w:tcPr>
          <w:p w14:paraId="37E9EE4D">
            <w:pPr>
              <w:pStyle w:val="10"/>
            </w:pPr>
            <w:r>
              <w:t>三级指标</w:t>
            </w:r>
          </w:p>
        </w:tc>
        <w:tc>
          <w:tcPr>
            <w:tcW w:w="5386" w:type="dxa"/>
            <w:vAlign w:val="center"/>
          </w:tcPr>
          <w:p w14:paraId="64F9DD6D">
            <w:pPr>
              <w:pStyle w:val="10"/>
            </w:pPr>
            <w:r>
              <w:t>绩效指标描述</w:t>
            </w:r>
          </w:p>
        </w:tc>
        <w:tc>
          <w:tcPr>
            <w:tcW w:w="2268" w:type="dxa"/>
            <w:vAlign w:val="center"/>
          </w:tcPr>
          <w:p w14:paraId="73D6B8EC">
            <w:pPr>
              <w:pStyle w:val="10"/>
            </w:pPr>
            <w:r>
              <w:t>指标值</w:t>
            </w:r>
          </w:p>
        </w:tc>
        <w:tc>
          <w:tcPr>
            <w:tcW w:w="1276" w:type="dxa"/>
            <w:vAlign w:val="center"/>
          </w:tcPr>
          <w:p w14:paraId="35CB5A42">
            <w:pPr>
              <w:pStyle w:val="10"/>
            </w:pPr>
            <w:r>
              <w:t>指标值确定依据</w:t>
            </w:r>
          </w:p>
        </w:tc>
      </w:tr>
      <w:tr w14:paraId="223B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5EDA6">
            <w:pPr>
              <w:pStyle w:val="13"/>
            </w:pPr>
            <w:r>
              <w:t>产出指标</w:t>
            </w:r>
          </w:p>
        </w:tc>
        <w:tc>
          <w:tcPr>
            <w:tcW w:w="2268" w:type="dxa"/>
            <w:vAlign w:val="center"/>
          </w:tcPr>
          <w:p w14:paraId="3E81D345">
            <w:pPr>
              <w:pStyle w:val="12"/>
            </w:pPr>
            <w:r>
              <w:t>数量指标</w:t>
            </w:r>
          </w:p>
        </w:tc>
        <w:tc>
          <w:tcPr>
            <w:tcW w:w="2835" w:type="dxa"/>
            <w:vAlign w:val="center"/>
          </w:tcPr>
          <w:p w14:paraId="1AEBCE1F">
            <w:pPr>
              <w:pStyle w:val="12"/>
            </w:pPr>
            <w:r>
              <w:t>餐厅棚顶改造</w:t>
            </w:r>
          </w:p>
        </w:tc>
        <w:tc>
          <w:tcPr>
            <w:tcW w:w="5386" w:type="dxa"/>
            <w:vAlign w:val="center"/>
          </w:tcPr>
          <w:p w14:paraId="2875097C">
            <w:pPr>
              <w:pStyle w:val="12"/>
            </w:pPr>
            <w:r>
              <w:t>更换岩棉复合板</w:t>
            </w:r>
          </w:p>
        </w:tc>
        <w:tc>
          <w:tcPr>
            <w:tcW w:w="2268" w:type="dxa"/>
            <w:vAlign w:val="center"/>
          </w:tcPr>
          <w:p w14:paraId="728D3BF9">
            <w:pPr>
              <w:pStyle w:val="12"/>
            </w:pPr>
            <w:r>
              <w:t>1项</w:t>
            </w:r>
          </w:p>
        </w:tc>
        <w:tc>
          <w:tcPr>
            <w:tcW w:w="1276" w:type="dxa"/>
            <w:vAlign w:val="center"/>
          </w:tcPr>
          <w:p w14:paraId="36D75114">
            <w:pPr>
              <w:pStyle w:val="12"/>
            </w:pPr>
            <w:r>
              <w:t>项目规划</w:t>
            </w:r>
          </w:p>
        </w:tc>
      </w:tr>
      <w:tr w14:paraId="476D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FFD99"/>
        </w:tc>
        <w:tc>
          <w:tcPr>
            <w:tcW w:w="2268" w:type="dxa"/>
            <w:vAlign w:val="center"/>
          </w:tcPr>
          <w:p w14:paraId="446DCC1F">
            <w:pPr>
              <w:pStyle w:val="12"/>
            </w:pPr>
            <w:r>
              <w:t>质量指标</w:t>
            </w:r>
          </w:p>
        </w:tc>
        <w:tc>
          <w:tcPr>
            <w:tcW w:w="2835" w:type="dxa"/>
            <w:vAlign w:val="center"/>
          </w:tcPr>
          <w:p w14:paraId="1B3BBFED">
            <w:pPr>
              <w:pStyle w:val="12"/>
            </w:pPr>
            <w:r>
              <w:t>工程实施验收合格率</w:t>
            </w:r>
          </w:p>
        </w:tc>
        <w:tc>
          <w:tcPr>
            <w:tcW w:w="5386" w:type="dxa"/>
            <w:vAlign w:val="center"/>
          </w:tcPr>
          <w:p w14:paraId="247AA17C">
            <w:pPr>
              <w:pStyle w:val="12"/>
            </w:pPr>
            <w:r>
              <w:t>申报程序的合规，项目实施及资金使用符合项目规划</w:t>
            </w:r>
          </w:p>
        </w:tc>
        <w:tc>
          <w:tcPr>
            <w:tcW w:w="2268" w:type="dxa"/>
            <w:vAlign w:val="center"/>
          </w:tcPr>
          <w:p w14:paraId="65C2A0DD">
            <w:pPr>
              <w:pStyle w:val="12"/>
            </w:pPr>
            <w:r>
              <w:t>100%</w:t>
            </w:r>
          </w:p>
        </w:tc>
        <w:tc>
          <w:tcPr>
            <w:tcW w:w="1276" w:type="dxa"/>
            <w:vAlign w:val="center"/>
          </w:tcPr>
          <w:p w14:paraId="6C3958E1">
            <w:pPr>
              <w:pStyle w:val="12"/>
            </w:pPr>
            <w:r>
              <w:t>项目规划</w:t>
            </w:r>
          </w:p>
        </w:tc>
      </w:tr>
      <w:tr w14:paraId="2672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CA91F"/>
        </w:tc>
        <w:tc>
          <w:tcPr>
            <w:tcW w:w="2268" w:type="dxa"/>
            <w:vAlign w:val="center"/>
          </w:tcPr>
          <w:p w14:paraId="226CE876">
            <w:pPr>
              <w:pStyle w:val="12"/>
            </w:pPr>
            <w:r>
              <w:t>时效指标</w:t>
            </w:r>
          </w:p>
        </w:tc>
        <w:tc>
          <w:tcPr>
            <w:tcW w:w="2835" w:type="dxa"/>
            <w:vAlign w:val="center"/>
          </w:tcPr>
          <w:p w14:paraId="0C0C364E">
            <w:pPr>
              <w:pStyle w:val="12"/>
            </w:pPr>
            <w:r>
              <w:t>资金支付率</w:t>
            </w:r>
          </w:p>
        </w:tc>
        <w:tc>
          <w:tcPr>
            <w:tcW w:w="5386" w:type="dxa"/>
            <w:vAlign w:val="center"/>
          </w:tcPr>
          <w:p w14:paraId="43618BF2">
            <w:pPr>
              <w:pStyle w:val="12"/>
            </w:pPr>
            <w:r>
              <w:t>按照序时进度完成资金支付</w:t>
            </w:r>
          </w:p>
        </w:tc>
        <w:tc>
          <w:tcPr>
            <w:tcW w:w="2268" w:type="dxa"/>
            <w:vAlign w:val="center"/>
          </w:tcPr>
          <w:p w14:paraId="2726FE64">
            <w:pPr>
              <w:pStyle w:val="12"/>
            </w:pPr>
            <w:r>
              <w:t>100%</w:t>
            </w:r>
          </w:p>
        </w:tc>
        <w:tc>
          <w:tcPr>
            <w:tcW w:w="1276" w:type="dxa"/>
            <w:vAlign w:val="center"/>
          </w:tcPr>
          <w:p w14:paraId="37BCBF1A">
            <w:pPr>
              <w:pStyle w:val="12"/>
            </w:pPr>
            <w:r>
              <w:t>项目规划</w:t>
            </w:r>
          </w:p>
        </w:tc>
      </w:tr>
      <w:tr w14:paraId="2CAB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74EAA"/>
        </w:tc>
        <w:tc>
          <w:tcPr>
            <w:tcW w:w="2268" w:type="dxa"/>
            <w:vAlign w:val="center"/>
          </w:tcPr>
          <w:p w14:paraId="47087988">
            <w:pPr>
              <w:pStyle w:val="12"/>
            </w:pPr>
            <w:r>
              <w:t>成本指标</w:t>
            </w:r>
          </w:p>
        </w:tc>
        <w:tc>
          <w:tcPr>
            <w:tcW w:w="2835" w:type="dxa"/>
            <w:vAlign w:val="center"/>
          </w:tcPr>
          <w:p w14:paraId="03EA777A">
            <w:pPr>
              <w:pStyle w:val="12"/>
            </w:pPr>
            <w:r>
              <w:t>项目成本控制情况</w:t>
            </w:r>
          </w:p>
        </w:tc>
        <w:tc>
          <w:tcPr>
            <w:tcW w:w="5386" w:type="dxa"/>
            <w:vAlign w:val="center"/>
          </w:tcPr>
          <w:p w14:paraId="247B97FB">
            <w:pPr>
              <w:pStyle w:val="12"/>
            </w:pPr>
            <w:r>
              <w:t>严格按照招标价格及审计额进行</w:t>
            </w:r>
          </w:p>
        </w:tc>
        <w:tc>
          <w:tcPr>
            <w:tcW w:w="2268" w:type="dxa"/>
            <w:vAlign w:val="center"/>
          </w:tcPr>
          <w:p w14:paraId="4251727E">
            <w:pPr>
              <w:pStyle w:val="12"/>
            </w:pPr>
            <w:r>
              <w:t>100000元</w:t>
            </w:r>
          </w:p>
        </w:tc>
        <w:tc>
          <w:tcPr>
            <w:tcW w:w="1276" w:type="dxa"/>
            <w:vAlign w:val="center"/>
          </w:tcPr>
          <w:p w14:paraId="718E763B">
            <w:pPr>
              <w:pStyle w:val="12"/>
            </w:pPr>
            <w:r>
              <w:t>项目规划</w:t>
            </w:r>
          </w:p>
        </w:tc>
      </w:tr>
      <w:tr w14:paraId="4A74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0D4AA">
            <w:pPr>
              <w:pStyle w:val="13"/>
            </w:pPr>
            <w:r>
              <w:t>效益指标</w:t>
            </w:r>
          </w:p>
        </w:tc>
        <w:tc>
          <w:tcPr>
            <w:tcW w:w="2268" w:type="dxa"/>
            <w:vAlign w:val="center"/>
          </w:tcPr>
          <w:p w14:paraId="539C9E5F">
            <w:pPr>
              <w:pStyle w:val="12"/>
            </w:pPr>
            <w:r>
              <w:t>可持续影响指标</w:t>
            </w:r>
          </w:p>
        </w:tc>
        <w:tc>
          <w:tcPr>
            <w:tcW w:w="2835" w:type="dxa"/>
            <w:vAlign w:val="center"/>
          </w:tcPr>
          <w:p w14:paraId="29A3E708">
            <w:pPr>
              <w:pStyle w:val="12"/>
            </w:pPr>
            <w:r>
              <w:t>教育发展水平</w:t>
            </w:r>
          </w:p>
        </w:tc>
        <w:tc>
          <w:tcPr>
            <w:tcW w:w="5386" w:type="dxa"/>
            <w:vAlign w:val="center"/>
          </w:tcPr>
          <w:p w14:paraId="69AC95CF">
            <w:pPr>
              <w:pStyle w:val="12"/>
            </w:pPr>
            <w:r>
              <w:t>受益人数</w:t>
            </w:r>
          </w:p>
        </w:tc>
        <w:tc>
          <w:tcPr>
            <w:tcW w:w="2268" w:type="dxa"/>
            <w:vAlign w:val="center"/>
          </w:tcPr>
          <w:p w14:paraId="0C1B47A5">
            <w:pPr>
              <w:pStyle w:val="12"/>
            </w:pPr>
            <w:r>
              <w:t>446人</w:t>
            </w:r>
          </w:p>
        </w:tc>
        <w:tc>
          <w:tcPr>
            <w:tcW w:w="1276" w:type="dxa"/>
            <w:vAlign w:val="center"/>
          </w:tcPr>
          <w:p w14:paraId="11CD1765">
            <w:pPr>
              <w:pStyle w:val="12"/>
            </w:pPr>
            <w:r>
              <w:t>项目规划</w:t>
            </w:r>
          </w:p>
        </w:tc>
      </w:tr>
      <w:tr w14:paraId="03A5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38D9E">
            <w:pPr>
              <w:pStyle w:val="13"/>
            </w:pPr>
            <w:r>
              <w:t>满意度指标</w:t>
            </w:r>
          </w:p>
        </w:tc>
        <w:tc>
          <w:tcPr>
            <w:tcW w:w="2268" w:type="dxa"/>
            <w:vAlign w:val="center"/>
          </w:tcPr>
          <w:p w14:paraId="2F4FFB6A">
            <w:pPr>
              <w:pStyle w:val="12"/>
            </w:pPr>
            <w:r>
              <w:t>服务对象满意度指标</w:t>
            </w:r>
          </w:p>
        </w:tc>
        <w:tc>
          <w:tcPr>
            <w:tcW w:w="2835" w:type="dxa"/>
            <w:vAlign w:val="center"/>
          </w:tcPr>
          <w:p w14:paraId="645036FB">
            <w:pPr>
              <w:pStyle w:val="12"/>
            </w:pPr>
            <w:r>
              <w:t>学生、教师及家长对学校教学环境满意度情况</w:t>
            </w:r>
          </w:p>
        </w:tc>
        <w:tc>
          <w:tcPr>
            <w:tcW w:w="5386" w:type="dxa"/>
            <w:vAlign w:val="center"/>
          </w:tcPr>
          <w:p w14:paraId="528A5C85">
            <w:pPr>
              <w:pStyle w:val="12"/>
            </w:pPr>
            <w:r>
              <w:t>学生、教师及家长对学校教学环境满意度情况</w:t>
            </w:r>
          </w:p>
        </w:tc>
        <w:tc>
          <w:tcPr>
            <w:tcW w:w="2268" w:type="dxa"/>
            <w:vAlign w:val="center"/>
          </w:tcPr>
          <w:p w14:paraId="44B5ADDD">
            <w:pPr>
              <w:pStyle w:val="12"/>
            </w:pPr>
            <w:r>
              <w:t>≥95%</w:t>
            </w:r>
          </w:p>
        </w:tc>
        <w:tc>
          <w:tcPr>
            <w:tcW w:w="1276" w:type="dxa"/>
            <w:vAlign w:val="center"/>
          </w:tcPr>
          <w:p w14:paraId="2DD0D760">
            <w:pPr>
              <w:pStyle w:val="12"/>
            </w:pPr>
            <w:r>
              <w:t>调查问卷</w:t>
            </w:r>
          </w:p>
        </w:tc>
      </w:tr>
    </w:tbl>
    <w:p w14:paraId="7F8440CB">
      <w:pPr>
        <w:sectPr>
          <w:pgSz w:w="16840" w:h="11900" w:orient="landscape"/>
          <w:pgMar w:top="1361" w:right="1020" w:bottom="1134" w:left="1020" w:header="720" w:footer="720" w:gutter="0"/>
          <w:cols w:space="720" w:num="1"/>
        </w:sectPr>
      </w:pPr>
    </w:p>
    <w:p w14:paraId="21F55FD7">
      <w:pPr>
        <w:spacing w:before="0" w:after="0"/>
        <w:ind w:firstLine="560"/>
        <w:jc w:val="left"/>
        <w:outlineLvl w:val="9"/>
      </w:pPr>
      <w:r>
        <w:rPr>
          <w:rFonts w:ascii="方正仿宋_GBK" w:hAnsi="方正仿宋_GBK" w:eastAsia="方正仿宋_GBK" w:cs="方正仿宋_GBK"/>
          <w:b/>
          <w:color w:val="000000"/>
          <w:sz w:val="28"/>
        </w:rPr>
        <w:t>7、冀财教[2025]121号/中央/义教/2026年校舍安全/南汪店小学校舍维修改造绩效目标表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E5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37AB0">
            <w:pPr>
              <w:pStyle w:val="11"/>
            </w:pPr>
            <w:r>
              <w:t>单位：万元</w:t>
            </w:r>
          </w:p>
        </w:tc>
      </w:tr>
      <w:tr w14:paraId="01FAD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9C7AA">
            <w:pPr>
              <w:pStyle w:val="10"/>
            </w:pPr>
            <w:r>
              <w:t>项目编码</w:t>
            </w:r>
          </w:p>
        </w:tc>
        <w:tc>
          <w:tcPr>
            <w:tcW w:w="5103" w:type="dxa"/>
            <w:gridSpan w:val="2"/>
            <w:vAlign w:val="center"/>
          </w:tcPr>
          <w:p w14:paraId="0E871FE5">
            <w:pPr>
              <w:pStyle w:val="12"/>
            </w:pPr>
            <w:r>
              <w:t>13052526P00876210082F</w:t>
            </w:r>
          </w:p>
        </w:tc>
        <w:tc>
          <w:tcPr>
            <w:tcW w:w="2835" w:type="dxa"/>
            <w:vAlign w:val="center"/>
          </w:tcPr>
          <w:p w14:paraId="013E04C5">
            <w:pPr>
              <w:pStyle w:val="10"/>
            </w:pPr>
            <w:r>
              <w:t>项目名称</w:t>
            </w:r>
          </w:p>
        </w:tc>
        <w:tc>
          <w:tcPr>
            <w:tcW w:w="6095" w:type="dxa"/>
            <w:gridSpan w:val="3"/>
            <w:vAlign w:val="center"/>
          </w:tcPr>
          <w:p w14:paraId="1C65E43F">
            <w:pPr>
              <w:pStyle w:val="12"/>
            </w:pPr>
            <w:r>
              <w:t>冀财教[2025]121号/中央/义教/2026年校舍安全/南汪店小学校舍维修改造</w:t>
            </w:r>
          </w:p>
        </w:tc>
      </w:tr>
      <w:tr w14:paraId="4F599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537A8">
            <w:pPr>
              <w:pStyle w:val="10"/>
            </w:pPr>
            <w:r>
              <w:t>预算规模及资金用途</w:t>
            </w:r>
          </w:p>
        </w:tc>
        <w:tc>
          <w:tcPr>
            <w:tcW w:w="2268" w:type="dxa"/>
            <w:vAlign w:val="center"/>
          </w:tcPr>
          <w:p w14:paraId="2E934D46">
            <w:pPr>
              <w:pStyle w:val="10"/>
            </w:pPr>
            <w:r>
              <w:t>预算数</w:t>
            </w:r>
          </w:p>
        </w:tc>
        <w:tc>
          <w:tcPr>
            <w:tcW w:w="2835" w:type="dxa"/>
            <w:vAlign w:val="center"/>
          </w:tcPr>
          <w:p w14:paraId="14251FF9">
            <w:pPr>
              <w:pStyle w:val="12"/>
            </w:pPr>
            <w:r>
              <w:t>55.30</w:t>
            </w:r>
          </w:p>
        </w:tc>
        <w:tc>
          <w:tcPr>
            <w:tcW w:w="2835" w:type="dxa"/>
            <w:vAlign w:val="center"/>
          </w:tcPr>
          <w:p w14:paraId="355BF0ED">
            <w:pPr>
              <w:pStyle w:val="10"/>
            </w:pPr>
            <w:r>
              <w:t>其中：财政    资金</w:t>
            </w:r>
          </w:p>
        </w:tc>
        <w:tc>
          <w:tcPr>
            <w:tcW w:w="2551" w:type="dxa"/>
            <w:vAlign w:val="center"/>
          </w:tcPr>
          <w:p w14:paraId="1CD9FDAB">
            <w:pPr>
              <w:pStyle w:val="12"/>
            </w:pPr>
            <w:r>
              <w:t>55.30</w:t>
            </w:r>
          </w:p>
        </w:tc>
        <w:tc>
          <w:tcPr>
            <w:tcW w:w="2268" w:type="dxa"/>
            <w:vAlign w:val="center"/>
          </w:tcPr>
          <w:p w14:paraId="05D9C5DA">
            <w:pPr>
              <w:pStyle w:val="10"/>
            </w:pPr>
            <w:r>
              <w:t>其他资金</w:t>
            </w:r>
          </w:p>
        </w:tc>
        <w:tc>
          <w:tcPr>
            <w:tcW w:w="1276" w:type="dxa"/>
            <w:vAlign w:val="center"/>
          </w:tcPr>
          <w:p w14:paraId="395A3957">
            <w:pPr>
              <w:pStyle w:val="12"/>
            </w:pPr>
            <w:r>
              <w:t xml:space="preserve"> </w:t>
            </w:r>
          </w:p>
        </w:tc>
      </w:tr>
      <w:tr w14:paraId="75BFB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07A35"/>
        </w:tc>
        <w:tc>
          <w:tcPr>
            <w:tcW w:w="14033" w:type="dxa"/>
            <w:gridSpan w:val="6"/>
            <w:vAlign w:val="center"/>
          </w:tcPr>
          <w:p w14:paraId="68477C07">
            <w:pPr>
              <w:pStyle w:val="12"/>
            </w:pPr>
            <w:r>
              <w:t>保证学校正常运转和改善办学条件。</w:t>
            </w:r>
          </w:p>
        </w:tc>
      </w:tr>
      <w:tr w14:paraId="7B7BC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E251E">
            <w:pPr>
              <w:pStyle w:val="10"/>
            </w:pPr>
            <w:r>
              <w:t>资金支出计划（%）</w:t>
            </w:r>
          </w:p>
        </w:tc>
        <w:tc>
          <w:tcPr>
            <w:tcW w:w="5103" w:type="dxa"/>
            <w:gridSpan w:val="2"/>
            <w:vAlign w:val="center"/>
          </w:tcPr>
          <w:p w14:paraId="3D29B8E9">
            <w:pPr>
              <w:pStyle w:val="10"/>
            </w:pPr>
            <w:r>
              <w:t>3月底</w:t>
            </w:r>
          </w:p>
        </w:tc>
        <w:tc>
          <w:tcPr>
            <w:tcW w:w="2835" w:type="dxa"/>
            <w:vAlign w:val="center"/>
          </w:tcPr>
          <w:p w14:paraId="761B6A9C">
            <w:pPr>
              <w:pStyle w:val="10"/>
            </w:pPr>
            <w:r>
              <w:t>6月底</w:t>
            </w:r>
          </w:p>
        </w:tc>
        <w:tc>
          <w:tcPr>
            <w:tcW w:w="2551" w:type="dxa"/>
            <w:vAlign w:val="center"/>
          </w:tcPr>
          <w:p w14:paraId="3AED5AC0">
            <w:pPr>
              <w:pStyle w:val="10"/>
            </w:pPr>
            <w:r>
              <w:t>10月底</w:t>
            </w:r>
          </w:p>
        </w:tc>
        <w:tc>
          <w:tcPr>
            <w:tcW w:w="3544" w:type="dxa"/>
            <w:gridSpan w:val="2"/>
            <w:vAlign w:val="center"/>
          </w:tcPr>
          <w:p w14:paraId="28F71435">
            <w:pPr>
              <w:pStyle w:val="10"/>
            </w:pPr>
            <w:r>
              <w:t>12月底</w:t>
            </w:r>
          </w:p>
        </w:tc>
      </w:tr>
      <w:tr w14:paraId="379FA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10B50"/>
        </w:tc>
        <w:tc>
          <w:tcPr>
            <w:tcW w:w="5103" w:type="dxa"/>
            <w:gridSpan w:val="2"/>
            <w:vAlign w:val="center"/>
          </w:tcPr>
          <w:p w14:paraId="084BE244">
            <w:pPr>
              <w:pStyle w:val="13"/>
            </w:pPr>
            <w:r>
              <w:t xml:space="preserve"> </w:t>
            </w:r>
          </w:p>
        </w:tc>
        <w:tc>
          <w:tcPr>
            <w:tcW w:w="2835" w:type="dxa"/>
            <w:vAlign w:val="center"/>
          </w:tcPr>
          <w:p w14:paraId="220E468F">
            <w:pPr>
              <w:pStyle w:val="13"/>
            </w:pPr>
            <w:r>
              <w:t xml:space="preserve"> </w:t>
            </w:r>
          </w:p>
        </w:tc>
        <w:tc>
          <w:tcPr>
            <w:tcW w:w="2551" w:type="dxa"/>
            <w:vAlign w:val="center"/>
          </w:tcPr>
          <w:p w14:paraId="21498A1B">
            <w:pPr>
              <w:pStyle w:val="13"/>
            </w:pPr>
            <w:r>
              <w:t>100%</w:t>
            </w:r>
          </w:p>
        </w:tc>
        <w:tc>
          <w:tcPr>
            <w:tcW w:w="3544" w:type="dxa"/>
            <w:gridSpan w:val="2"/>
            <w:vAlign w:val="center"/>
          </w:tcPr>
          <w:p w14:paraId="27C307F3">
            <w:pPr>
              <w:pStyle w:val="13"/>
            </w:pPr>
            <w:r>
              <w:t>100%</w:t>
            </w:r>
          </w:p>
        </w:tc>
      </w:tr>
      <w:tr w14:paraId="08FFB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478C4">
            <w:pPr>
              <w:pStyle w:val="10"/>
            </w:pPr>
            <w:r>
              <w:t>绩效目标</w:t>
            </w:r>
          </w:p>
        </w:tc>
        <w:tc>
          <w:tcPr>
            <w:tcW w:w="14033" w:type="dxa"/>
            <w:gridSpan w:val="6"/>
            <w:vAlign w:val="center"/>
          </w:tcPr>
          <w:p w14:paraId="58B28123">
            <w:pPr>
              <w:pStyle w:val="12"/>
            </w:pPr>
            <w:r>
              <w:t>1.按拨款时序进度完成经费拨付和支出</w:t>
            </w:r>
          </w:p>
          <w:p w14:paraId="0024008A">
            <w:pPr>
              <w:pStyle w:val="12"/>
            </w:pPr>
            <w:r>
              <w:t>2.保证学校正常运转和改善办学条件。</w:t>
            </w:r>
          </w:p>
        </w:tc>
      </w:tr>
    </w:tbl>
    <w:p w14:paraId="7EAF9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4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72E45">
            <w:pPr>
              <w:pStyle w:val="10"/>
            </w:pPr>
            <w:r>
              <w:t>一级指标</w:t>
            </w:r>
          </w:p>
        </w:tc>
        <w:tc>
          <w:tcPr>
            <w:tcW w:w="2268" w:type="dxa"/>
            <w:vAlign w:val="center"/>
          </w:tcPr>
          <w:p w14:paraId="0D14010A">
            <w:pPr>
              <w:pStyle w:val="10"/>
            </w:pPr>
            <w:r>
              <w:t>二级指标</w:t>
            </w:r>
          </w:p>
        </w:tc>
        <w:tc>
          <w:tcPr>
            <w:tcW w:w="2835" w:type="dxa"/>
            <w:vAlign w:val="center"/>
          </w:tcPr>
          <w:p w14:paraId="6FF5BC4D">
            <w:pPr>
              <w:pStyle w:val="10"/>
            </w:pPr>
            <w:r>
              <w:t>三级指标</w:t>
            </w:r>
          </w:p>
        </w:tc>
        <w:tc>
          <w:tcPr>
            <w:tcW w:w="5386" w:type="dxa"/>
            <w:vAlign w:val="center"/>
          </w:tcPr>
          <w:p w14:paraId="33BB005F">
            <w:pPr>
              <w:pStyle w:val="10"/>
            </w:pPr>
            <w:r>
              <w:t>绩效指标描述</w:t>
            </w:r>
          </w:p>
        </w:tc>
        <w:tc>
          <w:tcPr>
            <w:tcW w:w="2268" w:type="dxa"/>
            <w:vAlign w:val="center"/>
          </w:tcPr>
          <w:p w14:paraId="434C87E9">
            <w:pPr>
              <w:pStyle w:val="10"/>
            </w:pPr>
            <w:r>
              <w:t>指标值</w:t>
            </w:r>
          </w:p>
        </w:tc>
        <w:tc>
          <w:tcPr>
            <w:tcW w:w="1276" w:type="dxa"/>
            <w:vAlign w:val="center"/>
          </w:tcPr>
          <w:p w14:paraId="1570140D">
            <w:pPr>
              <w:pStyle w:val="10"/>
            </w:pPr>
            <w:r>
              <w:t>指标值确定依据</w:t>
            </w:r>
          </w:p>
        </w:tc>
      </w:tr>
      <w:tr w14:paraId="07A9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61DB2">
            <w:pPr>
              <w:pStyle w:val="13"/>
            </w:pPr>
            <w:r>
              <w:t>产出指标</w:t>
            </w:r>
          </w:p>
        </w:tc>
        <w:tc>
          <w:tcPr>
            <w:tcW w:w="2268" w:type="dxa"/>
            <w:vAlign w:val="center"/>
          </w:tcPr>
          <w:p w14:paraId="289DBC00">
            <w:pPr>
              <w:pStyle w:val="12"/>
            </w:pPr>
            <w:r>
              <w:t>数量指标</w:t>
            </w:r>
          </w:p>
        </w:tc>
        <w:tc>
          <w:tcPr>
            <w:tcW w:w="2835" w:type="dxa"/>
            <w:vAlign w:val="center"/>
          </w:tcPr>
          <w:p w14:paraId="0B40BEB1">
            <w:pPr>
              <w:pStyle w:val="12"/>
            </w:pPr>
            <w:r>
              <w:t>校舍维修改造</w:t>
            </w:r>
          </w:p>
        </w:tc>
        <w:tc>
          <w:tcPr>
            <w:tcW w:w="5386" w:type="dxa"/>
            <w:vAlign w:val="center"/>
          </w:tcPr>
          <w:p w14:paraId="7E8F34B5">
            <w:pPr>
              <w:pStyle w:val="12"/>
            </w:pPr>
            <w:r>
              <w:t>维修项目包括路面维修、安装影壁墙、教学楼维修等</w:t>
            </w:r>
          </w:p>
        </w:tc>
        <w:tc>
          <w:tcPr>
            <w:tcW w:w="2268" w:type="dxa"/>
            <w:vAlign w:val="center"/>
          </w:tcPr>
          <w:p w14:paraId="26619576">
            <w:pPr>
              <w:pStyle w:val="12"/>
            </w:pPr>
            <w:r>
              <w:t>11项</w:t>
            </w:r>
          </w:p>
        </w:tc>
        <w:tc>
          <w:tcPr>
            <w:tcW w:w="1276" w:type="dxa"/>
            <w:vAlign w:val="center"/>
          </w:tcPr>
          <w:p w14:paraId="08C89912">
            <w:pPr>
              <w:pStyle w:val="12"/>
            </w:pPr>
            <w:r>
              <w:t>项目规划</w:t>
            </w:r>
          </w:p>
        </w:tc>
      </w:tr>
      <w:tr w14:paraId="5843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0725A"/>
        </w:tc>
        <w:tc>
          <w:tcPr>
            <w:tcW w:w="2268" w:type="dxa"/>
            <w:vAlign w:val="center"/>
          </w:tcPr>
          <w:p w14:paraId="04EC6854">
            <w:pPr>
              <w:pStyle w:val="12"/>
            </w:pPr>
            <w:r>
              <w:t>质量指标</w:t>
            </w:r>
          </w:p>
        </w:tc>
        <w:tc>
          <w:tcPr>
            <w:tcW w:w="2835" w:type="dxa"/>
            <w:vAlign w:val="center"/>
          </w:tcPr>
          <w:p w14:paraId="05EB1EE9">
            <w:pPr>
              <w:pStyle w:val="12"/>
            </w:pPr>
            <w:r>
              <w:t>工程实施验收合格率</w:t>
            </w:r>
          </w:p>
        </w:tc>
        <w:tc>
          <w:tcPr>
            <w:tcW w:w="5386" w:type="dxa"/>
            <w:vAlign w:val="center"/>
          </w:tcPr>
          <w:p w14:paraId="3EE8AEB1">
            <w:pPr>
              <w:pStyle w:val="12"/>
            </w:pPr>
            <w:r>
              <w:t>申报程序的合规，项目实施及资金使用符合项目规划</w:t>
            </w:r>
          </w:p>
        </w:tc>
        <w:tc>
          <w:tcPr>
            <w:tcW w:w="2268" w:type="dxa"/>
            <w:vAlign w:val="center"/>
          </w:tcPr>
          <w:p w14:paraId="1C8937F1">
            <w:pPr>
              <w:pStyle w:val="12"/>
            </w:pPr>
            <w:r>
              <w:t>100%</w:t>
            </w:r>
          </w:p>
        </w:tc>
        <w:tc>
          <w:tcPr>
            <w:tcW w:w="1276" w:type="dxa"/>
            <w:vAlign w:val="center"/>
          </w:tcPr>
          <w:p w14:paraId="5C0BD00E">
            <w:pPr>
              <w:pStyle w:val="12"/>
            </w:pPr>
            <w:r>
              <w:t>项目规划</w:t>
            </w:r>
          </w:p>
        </w:tc>
      </w:tr>
      <w:tr w14:paraId="1B75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402E"/>
        </w:tc>
        <w:tc>
          <w:tcPr>
            <w:tcW w:w="2268" w:type="dxa"/>
            <w:vAlign w:val="center"/>
          </w:tcPr>
          <w:p w14:paraId="7624AFD7">
            <w:pPr>
              <w:pStyle w:val="12"/>
            </w:pPr>
            <w:r>
              <w:t>时效指标</w:t>
            </w:r>
          </w:p>
        </w:tc>
        <w:tc>
          <w:tcPr>
            <w:tcW w:w="2835" w:type="dxa"/>
            <w:vAlign w:val="center"/>
          </w:tcPr>
          <w:p w14:paraId="36C5C433">
            <w:pPr>
              <w:pStyle w:val="12"/>
            </w:pPr>
            <w:r>
              <w:t>资金支付率</w:t>
            </w:r>
          </w:p>
        </w:tc>
        <w:tc>
          <w:tcPr>
            <w:tcW w:w="5386" w:type="dxa"/>
            <w:vAlign w:val="center"/>
          </w:tcPr>
          <w:p w14:paraId="19A3CEEE">
            <w:pPr>
              <w:pStyle w:val="12"/>
            </w:pPr>
            <w:r>
              <w:t>按照序时进度完成资金支付</w:t>
            </w:r>
          </w:p>
        </w:tc>
        <w:tc>
          <w:tcPr>
            <w:tcW w:w="2268" w:type="dxa"/>
            <w:vAlign w:val="center"/>
          </w:tcPr>
          <w:p w14:paraId="20FE0DC1">
            <w:pPr>
              <w:pStyle w:val="12"/>
            </w:pPr>
            <w:r>
              <w:t>100%</w:t>
            </w:r>
          </w:p>
        </w:tc>
        <w:tc>
          <w:tcPr>
            <w:tcW w:w="1276" w:type="dxa"/>
            <w:vAlign w:val="center"/>
          </w:tcPr>
          <w:p w14:paraId="64186169">
            <w:pPr>
              <w:pStyle w:val="12"/>
            </w:pPr>
            <w:r>
              <w:t>项目规划</w:t>
            </w:r>
          </w:p>
        </w:tc>
      </w:tr>
      <w:tr w14:paraId="07C9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D0DD2"/>
        </w:tc>
        <w:tc>
          <w:tcPr>
            <w:tcW w:w="2268" w:type="dxa"/>
            <w:vAlign w:val="center"/>
          </w:tcPr>
          <w:p w14:paraId="369617F2">
            <w:pPr>
              <w:pStyle w:val="12"/>
            </w:pPr>
            <w:r>
              <w:t>成本指标</w:t>
            </w:r>
          </w:p>
        </w:tc>
        <w:tc>
          <w:tcPr>
            <w:tcW w:w="2835" w:type="dxa"/>
            <w:vAlign w:val="center"/>
          </w:tcPr>
          <w:p w14:paraId="74E94F93">
            <w:pPr>
              <w:pStyle w:val="12"/>
            </w:pPr>
            <w:r>
              <w:t>项目成本控制情况</w:t>
            </w:r>
          </w:p>
        </w:tc>
        <w:tc>
          <w:tcPr>
            <w:tcW w:w="5386" w:type="dxa"/>
            <w:vAlign w:val="center"/>
          </w:tcPr>
          <w:p w14:paraId="3BB0E99D">
            <w:pPr>
              <w:pStyle w:val="12"/>
            </w:pPr>
            <w:r>
              <w:t>严格按照招标价格及审计额进行</w:t>
            </w:r>
          </w:p>
        </w:tc>
        <w:tc>
          <w:tcPr>
            <w:tcW w:w="2268" w:type="dxa"/>
            <w:vAlign w:val="center"/>
          </w:tcPr>
          <w:p w14:paraId="172CEF78">
            <w:pPr>
              <w:pStyle w:val="12"/>
            </w:pPr>
            <w:r>
              <w:t>553000元</w:t>
            </w:r>
          </w:p>
        </w:tc>
        <w:tc>
          <w:tcPr>
            <w:tcW w:w="1276" w:type="dxa"/>
            <w:vAlign w:val="center"/>
          </w:tcPr>
          <w:p w14:paraId="60E98C24">
            <w:pPr>
              <w:pStyle w:val="12"/>
            </w:pPr>
            <w:r>
              <w:t>项目规划</w:t>
            </w:r>
          </w:p>
        </w:tc>
      </w:tr>
      <w:tr w14:paraId="0305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E9786">
            <w:pPr>
              <w:pStyle w:val="13"/>
            </w:pPr>
            <w:r>
              <w:t>效益指标</w:t>
            </w:r>
          </w:p>
        </w:tc>
        <w:tc>
          <w:tcPr>
            <w:tcW w:w="2268" w:type="dxa"/>
            <w:vAlign w:val="center"/>
          </w:tcPr>
          <w:p w14:paraId="5B0B6E74">
            <w:pPr>
              <w:pStyle w:val="12"/>
            </w:pPr>
            <w:r>
              <w:t>可持续影响指标</w:t>
            </w:r>
          </w:p>
        </w:tc>
        <w:tc>
          <w:tcPr>
            <w:tcW w:w="2835" w:type="dxa"/>
            <w:vAlign w:val="center"/>
          </w:tcPr>
          <w:p w14:paraId="502278D8">
            <w:pPr>
              <w:pStyle w:val="12"/>
            </w:pPr>
            <w:r>
              <w:t>教育发展水平</w:t>
            </w:r>
          </w:p>
        </w:tc>
        <w:tc>
          <w:tcPr>
            <w:tcW w:w="5386" w:type="dxa"/>
            <w:vAlign w:val="center"/>
          </w:tcPr>
          <w:p w14:paraId="3A8989E6">
            <w:pPr>
              <w:pStyle w:val="12"/>
            </w:pPr>
            <w:r>
              <w:t>受益人数</w:t>
            </w:r>
          </w:p>
        </w:tc>
        <w:tc>
          <w:tcPr>
            <w:tcW w:w="2268" w:type="dxa"/>
            <w:vAlign w:val="center"/>
          </w:tcPr>
          <w:p w14:paraId="7A9D5BCE">
            <w:pPr>
              <w:pStyle w:val="12"/>
            </w:pPr>
            <w:r>
              <w:t>308人</w:t>
            </w:r>
          </w:p>
        </w:tc>
        <w:tc>
          <w:tcPr>
            <w:tcW w:w="1276" w:type="dxa"/>
            <w:vAlign w:val="center"/>
          </w:tcPr>
          <w:p w14:paraId="3EE2654F">
            <w:pPr>
              <w:pStyle w:val="12"/>
            </w:pPr>
            <w:r>
              <w:t>项目规划</w:t>
            </w:r>
          </w:p>
        </w:tc>
      </w:tr>
      <w:tr w14:paraId="7D4A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0E43A">
            <w:pPr>
              <w:pStyle w:val="13"/>
            </w:pPr>
            <w:r>
              <w:t>满意度指标</w:t>
            </w:r>
          </w:p>
        </w:tc>
        <w:tc>
          <w:tcPr>
            <w:tcW w:w="2268" w:type="dxa"/>
            <w:vAlign w:val="center"/>
          </w:tcPr>
          <w:p w14:paraId="14DA1DE4">
            <w:pPr>
              <w:pStyle w:val="12"/>
            </w:pPr>
            <w:r>
              <w:t>服务对象满意度指标</w:t>
            </w:r>
          </w:p>
        </w:tc>
        <w:tc>
          <w:tcPr>
            <w:tcW w:w="2835" w:type="dxa"/>
            <w:vAlign w:val="center"/>
          </w:tcPr>
          <w:p w14:paraId="161FF9E2">
            <w:pPr>
              <w:pStyle w:val="12"/>
            </w:pPr>
            <w:r>
              <w:t>学生、教师及家长对学校教学环境满意度情况</w:t>
            </w:r>
          </w:p>
        </w:tc>
        <w:tc>
          <w:tcPr>
            <w:tcW w:w="5386" w:type="dxa"/>
            <w:vAlign w:val="center"/>
          </w:tcPr>
          <w:p w14:paraId="66F42578">
            <w:pPr>
              <w:pStyle w:val="12"/>
            </w:pPr>
            <w:r>
              <w:t>学生、教师及家长对学校教学环境满意度情况</w:t>
            </w:r>
          </w:p>
        </w:tc>
        <w:tc>
          <w:tcPr>
            <w:tcW w:w="2268" w:type="dxa"/>
            <w:vAlign w:val="center"/>
          </w:tcPr>
          <w:p w14:paraId="02301E87">
            <w:pPr>
              <w:pStyle w:val="12"/>
            </w:pPr>
            <w:r>
              <w:t>≥95%</w:t>
            </w:r>
          </w:p>
        </w:tc>
        <w:tc>
          <w:tcPr>
            <w:tcW w:w="1276" w:type="dxa"/>
            <w:vAlign w:val="center"/>
          </w:tcPr>
          <w:p w14:paraId="7BFB0787">
            <w:pPr>
              <w:pStyle w:val="12"/>
            </w:pPr>
            <w:r>
              <w:t>调查问卷</w:t>
            </w:r>
          </w:p>
        </w:tc>
      </w:tr>
    </w:tbl>
    <w:p w14:paraId="5685D84B">
      <w:pPr>
        <w:sectPr>
          <w:pgSz w:w="16840" w:h="11900" w:orient="landscape"/>
          <w:pgMar w:top="1361" w:right="1020" w:bottom="1134" w:left="1020" w:header="720" w:footer="720" w:gutter="0"/>
          <w:cols w:space="720" w:num="1"/>
        </w:sectPr>
      </w:pPr>
    </w:p>
    <w:p w14:paraId="1CE05CDC">
      <w:pPr>
        <w:spacing w:before="0" w:after="0"/>
        <w:ind w:firstLine="560"/>
        <w:jc w:val="left"/>
        <w:outlineLvl w:val="9"/>
      </w:pPr>
      <w:r>
        <w:rPr>
          <w:rFonts w:ascii="方正仿宋_GBK" w:hAnsi="方正仿宋_GBK" w:eastAsia="方正仿宋_GBK" w:cs="方正仿宋_GBK"/>
          <w:b/>
          <w:color w:val="000000"/>
          <w:sz w:val="28"/>
        </w:rPr>
        <w:t>8、冀财教[2025]121号/中央/义教/2026年校舍安全/尚礼小学旧教学楼改造绩效目标表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AB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4148B">
            <w:pPr>
              <w:pStyle w:val="11"/>
            </w:pPr>
            <w:r>
              <w:t>单位：万元</w:t>
            </w:r>
          </w:p>
        </w:tc>
      </w:tr>
      <w:tr w14:paraId="4407D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5FF7A">
            <w:pPr>
              <w:pStyle w:val="10"/>
            </w:pPr>
            <w:r>
              <w:t>项目编码</w:t>
            </w:r>
          </w:p>
        </w:tc>
        <w:tc>
          <w:tcPr>
            <w:tcW w:w="5103" w:type="dxa"/>
            <w:gridSpan w:val="2"/>
            <w:vAlign w:val="center"/>
          </w:tcPr>
          <w:p w14:paraId="09DC9187">
            <w:pPr>
              <w:pStyle w:val="12"/>
            </w:pPr>
            <w:r>
              <w:t>13052526P00876210081U</w:t>
            </w:r>
          </w:p>
        </w:tc>
        <w:tc>
          <w:tcPr>
            <w:tcW w:w="2835" w:type="dxa"/>
            <w:vAlign w:val="center"/>
          </w:tcPr>
          <w:p w14:paraId="72003933">
            <w:pPr>
              <w:pStyle w:val="10"/>
            </w:pPr>
            <w:r>
              <w:t>项目名称</w:t>
            </w:r>
          </w:p>
        </w:tc>
        <w:tc>
          <w:tcPr>
            <w:tcW w:w="6095" w:type="dxa"/>
            <w:gridSpan w:val="3"/>
            <w:vAlign w:val="center"/>
          </w:tcPr>
          <w:p w14:paraId="69BE54AD">
            <w:pPr>
              <w:pStyle w:val="12"/>
            </w:pPr>
            <w:r>
              <w:t>冀财教[2025]121号/中央/义教/2026年校舍安全/尚礼小学旧教学楼改造</w:t>
            </w:r>
          </w:p>
        </w:tc>
      </w:tr>
      <w:tr w14:paraId="372D3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9D113">
            <w:pPr>
              <w:pStyle w:val="10"/>
            </w:pPr>
            <w:r>
              <w:t>预算规模及资金用途</w:t>
            </w:r>
          </w:p>
        </w:tc>
        <w:tc>
          <w:tcPr>
            <w:tcW w:w="2268" w:type="dxa"/>
            <w:vAlign w:val="center"/>
          </w:tcPr>
          <w:p w14:paraId="6DF52D42">
            <w:pPr>
              <w:pStyle w:val="10"/>
            </w:pPr>
            <w:r>
              <w:t>预算数</w:t>
            </w:r>
          </w:p>
        </w:tc>
        <w:tc>
          <w:tcPr>
            <w:tcW w:w="2835" w:type="dxa"/>
            <w:vAlign w:val="center"/>
          </w:tcPr>
          <w:p w14:paraId="59A66C7B">
            <w:pPr>
              <w:pStyle w:val="12"/>
            </w:pPr>
            <w:r>
              <w:t>16.50</w:t>
            </w:r>
          </w:p>
        </w:tc>
        <w:tc>
          <w:tcPr>
            <w:tcW w:w="2835" w:type="dxa"/>
            <w:vAlign w:val="center"/>
          </w:tcPr>
          <w:p w14:paraId="5EB850B8">
            <w:pPr>
              <w:pStyle w:val="10"/>
            </w:pPr>
            <w:r>
              <w:t>其中：财政    资金</w:t>
            </w:r>
          </w:p>
        </w:tc>
        <w:tc>
          <w:tcPr>
            <w:tcW w:w="2551" w:type="dxa"/>
            <w:vAlign w:val="center"/>
          </w:tcPr>
          <w:p w14:paraId="72F928E1">
            <w:pPr>
              <w:pStyle w:val="12"/>
            </w:pPr>
            <w:r>
              <w:t>16.50</w:t>
            </w:r>
          </w:p>
        </w:tc>
        <w:tc>
          <w:tcPr>
            <w:tcW w:w="2268" w:type="dxa"/>
            <w:vAlign w:val="center"/>
          </w:tcPr>
          <w:p w14:paraId="5E1AE2AE">
            <w:pPr>
              <w:pStyle w:val="10"/>
            </w:pPr>
            <w:r>
              <w:t>其他资金</w:t>
            </w:r>
          </w:p>
        </w:tc>
        <w:tc>
          <w:tcPr>
            <w:tcW w:w="1276" w:type="dxa"/>
            <w:vAlign w:val="center"/>
          </w:tcPr>
          <w:p w14:paraId="7DD646D1">
            <w:pPr>
              <w:pStyle w:val="12"/>
            </w:pPr>
            <w:r>
              <w:t xml:space="preserve"> </w:t>
            </w:r>
          </w:p>
        </w:tc>
      </w:tr>
      <w:tr w14:paraId="57261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0A908"/>
        </w:tc>
        <w:tc>
          <w:tcPr>
            <w:tcW w:w="14033" w:type="dxa"/>
            <w:gridSpan w:val="6"/>
            <w:vAlign w:val="center"/>
          </w:tcPr>
          <w:p w14:paraId="76F69985">
            <w:pPr>
              <w:pStyle w:val="12"/>
            </w:pPr>
            <w:r>
              <w:t>保证学校正常运转和改善办学条件。</w:t>
            </w:r>
          </w:p>
        </w:tc>
      </w:tr>
      <w:tr w14:paraId="676FD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581F4">
            <w:pPr>
              <w:pStyle w:val="10"/>
            </w:pPr>
            <w:r>
              <w:t>资金支出计划（%）</w:t>
            </w:r>
          </w:p>
        </w:tc>
        <w:tc>
          <w:tcPr>
            <w:tcW w:w="5103" w:type="dxa"/>
            <w:gridSpan w:val="2"/>
            <w:vAlign w:val="center"/>
          </w:tcPr>
          <w:p w14:paraId="5EEDE9F5">
            <w:pPr>
              <w:pStyle w:val="10"/>
            </w:pPr>
            <w:r>
              <w:t>3月底</w:t>
            </w:r>
          </w:p>
        </w:tc>
        <w:tc>
          <w:tcPr>
            <w:tcW w:w="2835" w:type="dxa"/>
            <w:vAlign w:val="center"/>
          </w:tcPr>
          <w:p w14:paraId="2A98B592">
            <w:pPr>
              <w:pStyle w:val="10"/>
            </w:pPr>
            <w:r>
              <w:t>6月底</w:t>
            </w:r>
          </w:p>
        </w:tc>
        <w:tc>
          <w:tcPr>
            <w:tcW w:w="2551" w:type="dxa"/>
            <w:vAlign w:val="center"/>
          </w:tcPr>
          <w:p w14:paraId="6A34C050">
            <w:pPr>
              <w:pStyle w:val="10"/>
            </w:pPr>
            <w:r>
              <w:t>10月底</w:t>
            </w:r>
          </w:p>
        </w:tc>
        <w:tc>
          <w:tcPr>
            <w:tcW w:w="3544" w:type="dxa"/>
            <w:gridSpan w:val="2"/>
            <w:vAlign w:val="center"/>
          </w:tcPr>
          <w:p w14:paraId="5B5C6E87">
            <w:pPr>
              <w:pStyle w:val="10"/>
            </w:pPr>
            <w:r>
              <w:t>12月底</w:t>
            </w:r>
          </w:p>
        </w:tc>
      </w:tr>
      <w:tr w14:paraId="5AE0A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303AC"/>
        </w:tc>
        <w:tc>
          <w:tcPr>
            <w:tcW w:w="5103" w:type="dxa"/>
            <w:gridSpan w:val="2"/>
            <w:vAlign w:val="center"/>
          </w:tcPr>
          <w:p w14:paraId="63EFC73E">
            <w:pPr>
              <w:pStyle w:val="13"/>
            </w:pPr>
            <w:r>
              <w:t xml:space="preserve"> </w:t>
            </w:r>
          </w:p>
        </w:tc>
        <w:tc>
          <w:tcPr>
            <w:tcW w:w="2835" w:type="dxa"/>
            <w:vAlign w:val="center"/>
          </w:tcPr>
          <w:p w14:paraId="4DE9878C">
            <w:pPr>
              <w:pStyle w:val="13"/>
            </w:pPr>
            <w:r>
              <w:t xml:space="preserve"> </w:t>
            </w:r>
          </w:p>
        </w:tc>
        <w:tc>
          <w:tcPr>
            <w:tcW w:w="2551" w:type="dxa"/>
            <w:vAlign w:val="center"/>
          </w:tcPr>
          <w:p w14:paraId="0C81B54D">
            <w:pPr>
              <w:pStyle w:val="13"/>
            </w:pPr>
            <w:r>
              <w:t>100%</w:t>
            </w:r>
          </w:p>
        </w:tc>
        <w:tc>
          <w:tcPr>
            <w:tcW w:w="3544" w:type="dxa"/>
            <w:gridSpan w:val="2"/>
            <w:vAlign w:val="center"/>
          </w:tcPr>
          <w:p w14:paraId="26BA6216">
            <w:pPr>
              <w:pStyle w:val="13"/>
            </w:pPr>
            <w:r>
              <w:t>100%</w:t>
            </w:r>
          </w:p>
        </w:tc>
      </w:tr>
      <w:tr w14:paraId="12ED1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B16FD">
            <w:pPr>
              <w:pStyle w:val="10"/>
            </w:pPr>
            <w:r>
              <w:t>绩效目标</w:t>
            </w:r>
          </w:p>
        </w:tc>
        <w:tc>
          <w:tcPr>
            <w:tcW w:w="14033" w:type="dxa"/>
            <w:gridSpan w:val="6"/>
            <w:vAlign w:val="center"/>
          </w:tcPr>
          <w:p w14:paraId="506B804F">
            <w:pPr>
              <w:pStyle w:val="12"/>
            </w:pPr>
            <w:r>
              <w:t>1.保证学校正常运转和改善办学条件。</w:t>
            </w:r>
          </w:p>
          <w:p w14:paraId="52EFB832">
            <w:pPr>
              <w:pStyle w:val="12"/>
            </w:pPr>
            <w:r>
              <w:t>2.按拨款时序进度完成经费拨付和支出</w:t>
            </w:r>
          </w:p>
        </w:tc>
      </w:tr>
    </w:tbl>
    <w:p w14:paraId="534459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3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466FC">
            <w:pPr>
              <w:pStyle w:val="10"/>
            </w:pPr>
            <w:r>
              <w:t>一级指标</w:t>
            </w:r>
          </w:p>
        </w:tc>
        <w:tc>
          <w:tcPr>
            <w:tcW w:w="2268" w:type="dxa"/>
            <w:vAlign w:val="center"/>
          </w:tcPr>
          <w:p w14:paraId="649ABF72">
            <w:pPr>
              <w:pStyle w:val="10"/>
            </w:pPr>
            <w:r>
              <w:t>二级指标</w:t>
            </w:r>
          </w:p>
        </w:tc>
        <w:tc>
          <w:tcPr>
            <w:tcW w:w="2835" w:type="dxa"/>
            <w:vAlign w:val="center"/>
          </w:tcPr>
          <w:p w14:paraId="0DA72964">
            <w:pPr>
              <w:pStyle w:val="10"/>
            </w:pPr>
            <w:r>
              <w:t>三级指标</w:t>
            </w:r>
          </w:p>
        </w:tc>
        <w:tc>
          <w:tcPr>
            <w:tcW w:w="5386" w:type="dxa"/>
            <w:vAlign w:val="center"/>
          </w:tcPr>
          <w:p w14:paraId="77D83858">
            <w:pPr>
              <w:pStyle w:val="10"/>
            </w:pPr>
            <w:r>
              <w:t>绩效指标描述</w:t>
            </w:r>
          </w:p>
        </w:tc>
        <w:tc>
          <w:tcPr>
            <w:tcW w:w="2268" w:type="dxa"/>
            <w:vAlign w:val="center"/>
          </w:tcPr>
          <w:p w14:paraId="398BF906">
            <w:pPr>
              <w:pStyle w:val="10"/>
            </w:pPr>
            <w:r>
              <w:t>指标值</w:t>
            </w:r>
          </w:p>
        </w:tc>
        <w:tc>
          <w:tcPr>
            <w:tcW w:w="1276" w:type="dxa"/>
            <w:vAlign w:val="center"/>
          </w:tcPr>
          <w:p w14:paraId="6299E65A">
            <w:pPr>
              <w:pStyle w:val="10"/>
            </w:pPr>
            <w:r>
              <w:t>指标值确定依据</w:t>
            </w:r>
          </w:p>
        </w:tc>
      </w:tr>
      <w:tr w14:paraId="78BA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7159B">
            <w:pPr>
              <w:pStyle w:val="13"/>
            </w:pPr>
            <w:r>
              <w:t>产出指标</w:t>
            </w:r>
          </w:p>
        </w:tc>
        <w:tc>
          <w:tcPr>
            <w:tcW w:w="2268" w:type="dxa"/>
            <w:vAlign w:val="center"/>
          </w:tcPr>
          <w:p w14:paraId="3F9400E1">
            <w:pPr>
              <w:pStyle w:val="12"/>
            </w:pPr>
            <w:r>
              <w:t>数量指标</w:t>
            </w:r>
          </w:p>
        </w:tc>
        <w:tc>
          <w:tcPr>
            <w:tcW w:w="2835" w:type="dxa"/>
            <w:vAlign w:val="center"/>
          </w:tcPr>
          <w:p w14:paraId="685C23F4">
            <w:pPr>
              <w:pStyle w:val="12"/>
            </w:pPr>
            <w:r>
              <w:t>旧教学楼改造</w:t>
            </w:r>
          </w:p>
        </w:tc>
        <w:tc>
          <w:tcPr>
            <w:tcW w:w="5386" w:type="dxa"/>
            <w:vAlign w:val="center"/>
          </w:tcPr>
          <w:p w14:paraId="26DA02E5">
            <w:pPr>
              <w:pStyle w:val="12"/>
            </w:pPr>
            <w:r>
              <w:t>对学校教学楼进行</w:t>
            </w:r>
            <w:r>
              <w:rPr>
                <w:rFonts w:hint="eastAsia"/>
                <w:lang w:eastAsia="zh-CN"/>
              </w:rPr>
              <w:t>混凝土浇筑</w:t>
            </w:r>
            <w:r>
              <w:t>、刷地坪漆、门窗维修</w:t>
            </w:r>
          </w:p>
        </w:tc>
        <w:tc>
          <w:tcPr>
            <w:tcW w:w="2268" w:type="dxa"/>
            <w:vAlign w:val="center"/>
          </w:tcPr>
          <w:p w14:paraId="473F9DD0">
            <w:pPr>
              <w:pStyle w:val="12"/>
            </w:pPr>
            <w:r>
              <w:t>3项</w:t>
            </w:r>
          </w:p>
        </w:tc>
        <w:tc>
          <w:tcPr>
            <w:tcW w:w="1276" w:type="dxa"/>
            <w:vAlign w:val="center"/>
          </w:tcPr>
          <w:p w14:paraId="57A5A7CE">
            <w:pPr>
              <w:pStyle w:val="12"/>
            </w:pPr>
            <w:r>
              <w:t>项目规划</w:t>
            </w:r>
          </w:p>
        </w:tc>
      </w:tr>
      <w:tr w14:paraId="1C03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C6600"/>
        </w:tc>
        <w:tc>
          <w:tcPr>
            <w:tcW w:w="2268" w:type="dxa"/>
            <w:vAlign w:val="center"/>
          </w:tcPr>
          <w:p w14:paraId="78AE31FA">
            <w:pPr>
              <w:pStyle w:val="12"/>
            </w:pPr>
            <w:r>
              <w:t>质量指标</w:t>
            </w:r>
          </w:p>
        </w:tc>
        <w:tc>
          <w:tcPr>
            <w:tcW w:w="2835" w:type="dxa"/>
            <w:vAlign w:val="center"/>
          </w:tcPr>
          <w:p w14:paraId="2A007D50">
            <w:pPr>
              <w:pStyle w:val="12"/>
            </w:pPr>
            <w:r>
              <w:t>工程实施验收合格率</w:t>
            </w:r>
          </w:p>
        </w:tc>
        <w:tc>
          <w:tcPr>
            <w:tcW w:w="5386" w:type="dxa"/>
            <w:vAlign w:val="center"/>
          </w:tcPr>
          <w:p w14:paraId="15F50BFC">
            <w:pPr>
              <w:pStyle w:val="12"/>
            </w:pPr>
            <w:r>
              <w:t>申报程序的合规，项目实施及资金使用符合项目规划</w:t>
            </w:r>
          </w:p>
        </w:tc>
        <w:tc>
          <w:tcPr>
            <w:tcW w:w="2268" w:type="dxa"/>
            <w:vAlign w:val="center"/>
          </w:tcPr>
          <w:p w14:paraId="5D501F9F">
            <w:pPr>
              <w:pStyle w:val="12"/>
            </w:pPr>
            <w:r>
              <w:t>100%</w:t>
            </w:r>
          </w:p>
        </w:tc>
        <w:tc>
          <w:tcPr>
            <w:tcW w:w="1276" w:type="dxa"/>
            <w:vAlign w:val="center"/>
          </w:tcPr>
          <w:p w14:paraId="45C47C7C">
            <w:pPr>
              <w:pStyle w:val="12"/>
            </w:pPr>
            <w:r>
              <w:t>项目规划</w:t>
            </w:r>
          </w:p>
        </w:tc>
      </w:tr>
      <w:tr w14:paraId="41CB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1DC63"/>
        </w:tc>
        <w:tc>
          <w:tcPr>
            <w:tcW w:w="2268" w:type="dxa"/>
            <w:vAlign w:val="center"/>
          </w:tcPr>
          <w:p w14:paraId="18E7C192">
            <w:pPr>
              <w:pStyle w:val="12"/>
            </w:pPr>
            <w:r>
              <w:t>时效指标</w:t>
            </w:r>
          </w:p>
        </w:tc>
        <w:tc>
          <w:tcPr>
            <w:tcW w:w="2835" w:type="dxa"/>
            <w:vAlign w:val="center"/>
          </w:tcPr>
          <w:p w14:paraId="7B861334">
            <w:pPr>
              <w:pStyle w:val="12"/>
            </w:pPr>
            <w:r>
              <w:t>资金支付率</w:t>
            </w:r>
          </w:p>
        </w:tc>
        <w:tc>
          <w:tcPr>
            <w:tcW w:w="5386" w:type="dxa"/>
            <w:vAlign w:val="center"/>
          </w:tcPr>
          <w:p w14:paraId="46F18019">
            <w:pPr>
              <w:pStyle w:val="12"/>
            </w:pPr>
            <w:r>
              <w:t>按照序时进度完成资金支付</w:t>
            </w:r>
          </w:p>
        </w:tc>
        <w:tc>
          <w:tcPr>
            <w:tcW w:w="2268" w:type="dxa"/>
            <w:vAlign w:val="center"/>
          </w:tcPr>
          <w:p w14:paraId="21A1613F">
            <w:pPr>
              <w:pStyle w:val="12"/>
            </w:pPr>
            <w:r>
              <w:t>100%</w:t>
            </w:r>
          </w:p>
        </w:tc>
        <w:tc>
          <w:tcPr>
            <w:tcW w:w="1276" w:type="dxa"/>
            <w:vAlign w:val="center"/>
          </w:tcPr>
          <w:p w14:paraId="2E5D3202">
            <w:pPr>
              <w:pStyle w:val="12"/>
            </w:pPr>
            <w:r>
              <w:t>项目规划</w:t>
            </w:r>
          </w:p>
        </w:tc>
      </w:tr>
      <w:tr w14:paraId="1D98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07ABA"/>
        </w:tc>
        <w:tc>
          <w:tcPr>
            <w:tcW w:w="2268" w:type="dxa"/>
            <w:vAlign w:val="center"/>
          </w:tcPr>
          <w:p w14:paraId="1D18107A">
            <w:pPr>
              <w:pStyle w:val="12"/>
            </w:pPr>
            <w:r>
              <w:t>成本指标</w:t>
            </w:r>
          </w:p>
        </w:tc>
        <w:tc>
          <w:tcPr>
            <w:tcW w:w="2835" w:type="dxa"/>
            <w:vAlign w:val="center"/>
          </w:tcPr>
          <w:p w14:paraId="66110D04">
            <w:pPr>
              <w:pStyle w:val="12"/>
            </w:pPr>
            <w:r>
              <w:t>项目成本控制情况</w:t>
            </w:r>
          </w:p>
        </w:tc>
        <w:tc>
          <w:tcPr>
            <w:tcW w:w="5386" w:type="dxa"/>
            <w:vAlign w:val="center"/>
          </w:tcPr>
          <w:p w14:paraId="527954E3">
            <w:pPr>
              <w:pStyle w:val="12"/>
            </w:pPr>
            <w:r>
              <w:t>严格按照招标价格及审计额进行</w:t>
            </w:r>
          </w:p>
        </w:tc>
        <w:tc>
          <w:tcPr>
            <w:tcW w:w="2268" w:type="dxa"/>
            <w:vAlign w:val="center"/>
          </w:tcPr>
          <w:p w14:paraId="02278D50">
            <w:pPr>
              <w:pStyle w:val="12"/>
            </w:pPr>
            <w:r>
              <w:t>165000元</w:t>
            </w:r>
          </w:p>
        </w:tc>
        <w:tc>
          <w:tcPr>
            <w:tcW w:w="1276" w:type="dxa"/>
            <w:vAlign w:val="center"/>
          </w:tcPr>
          <w:p w14:paraId="32C7690F">
            <w:pPr>
              <w:pStyle w:val="12"/>
            </w:pPr>
            <w:r>
              <w:t>项目规划</w:t>
            </w:r>
          </w:p>
        </w:tc>
      </w:tr>
      <w:tr w14:paraId="3443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9F424">
            <w:pPr>
              <w:pStyle w:val="13"/>
            </w:pPr>
            <w:r>
              <w:t>效益指标</w:t>
            </w:r>
          </w:p>
        </w:tc>
        <w:tc>
          <w:tcPr>
            <w:tcW w:w="2268" w:type="dxa"/>
            <w:vAlign w:val="center"/>
          </w:tcPr>
          <w:p w14:paraId="38F1531F">
            <w:pPr>
              <w:pStyle w:val="12"/>
            </w:pPr>
            <w:r>
              <w:t>可持续影响指标</w:t>
            </w:r>
          </w:p>
        </w:tc>
        <w:tc>
          <w:tcPr>
            <w:tcW w:w="2835" w:type="dxa"/>
            <w:vAlign w:val="center"/>
          </w:tcPr>
          <w:p w14:paraId="60C72677">
            <w:pPr>
              <w:pStyle w:val="12"/>
            </w:pPr>
            <w:r>
              <w:t>教育发展水平</w:t>
            </w:r>
          </w:p>
        </w:tc>
        <w:tc>
          <w:tcPr>
            <w:tcW w:w="5386" w:type="dxa"/>
            <w:vAlign w:val="center"/>
          </w:tcPr>
          <w:p w14:paraId="5A5EAEE9">
            <w:pPr>
              <w:pStyle w:val="12"/>
            </w:pPr>
            <w:r>
              <w:t>受益人数</w:t>
            </w:r>
          </w:p>
        </w:tc>
        <w:tc>
          <w:tcPr>
            <w:tcW w:w="2268" w:type="dxa"/>
            <w:vAlign w:val="center"/>
          </w:tcPr>
          <w:p w14:paraId="3E00468E">
            <w:pPr>
              <w:pStyle w:val="12"/>
            </w:pPr>
            <w:r>
              <w:t>541人</w:t>
            </w:r>
          </w:p>
        </w:tc>
        <w:tc>
          <w:tcPr>
            <w:tcW w:w="1276" w:type="dxa"/>
            <w:vAlign w:val="center"/>
          </w:tcPr>
          <w:p w14:paraId="5C5F8259">
            <w:pPr>
              <w:pStyle w:val="12"/>
            </w:pPr>
            <w:r>
              <w:t>项目规划</w:t>
            </w:r>
          </w:p>
        </w:tc>
      </w:tr>
      <w:tr w14:paraId="4A47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60697">
            <w:pPr>
              <w:pStyle w:val="13"/>
            </w:pPr>
            <w:r>
              <w:t>满意度指标</w:t>
            </w:r>
          </w:p>
        </w:tc>
        <w:tc>
          <w:tcPr>
            <w:tcW w:w="2268" w:type="dxa"/>
            <w:vAlign w:val="center"/>
          </w:tcPr>
          <w:p w14:paraId="2EA01689">
            <w:pPr>
              <w:pStyle w:val="12"/>
            </w:pPr>
            <w:r>
              <w:t>服务对象满意度指标</w:t>
            </w:r>
          </w:p>
        </w:tc>
        <w:tc>
          <w:tcPr>
            <w:tcW w:w="2835" w:type="dxa"/>
            <w:vAlign w:val="center"/>
          </w:tcPr>
          <w:p w14:paraId="196FC3F8">
            <w:pPr>
              <w:pStyle w:val="12"/>
            </w:pPr>
            <w:r>
              <w:t>学生、教师及家长对学校教学环境满意度情况</w:t>
            </w:r>
          </w:p>
        </w:tc>
        <w:tc>
          <w:tcPr>
            <w:tcW w:w="5386" w:type="dxa"/>
            <w:vAlign w:val="center"/>
          </w:tcPr>
          <w:p w14:paraId="16D0801C">
            <w:pPr>
              <w:pStyle w:val="12"/>
            </w:pPr>
            <w:r>
              <w:t>学生、教师及家长对学校教学环境满意度情况</w:t>
            </w:r>
          </w:p>
        </w:tc>
        <w:tc>
          <w:tcPr>
            <w:tcW w:w="2268" w:type="dxa"/>
            <w:vAlign w:val="center"/>
          </w:tcPr>
          <w:p w14:paraId="02075B30">
            <w:pPr>
              <w:pStyle w:val="12"/>
            </w:pPr>
            <w:r>
              <w:t>≥95%</w:t>
            </w:r>
          </w:p>
        </w:tc>
        <w:tc>
          <w:tcPr>
            <w:tcW w:w="1276" w:type="dxa"/>
            <w:vAlign w:val="center"/>
          </w:tcPr>
          <w:p w14:paraId="6720754B">
            <w:pPr>
              <w:pStyle w:val="12"/>
            </w:pPr>
            <w:r>
              <w:t>调查问卷</w:t>
            </w:r>
          </w:p>
        </w:tc>
      </w:tr>
    </w:tbl>
    <w:p w14:paraId="4A7C4ED5">
      <w:pPr>
        <w:sectPr>
          <w:pgSz w:w="16840" w:h="11900" w:orient="landscape"/>
          <w:pgMar w:top="1361" w:right="1020" w:bottom="1134" w:left="1020" w:header="720" w:footer="720" w:gutter="0"/>
          <w:cols w:space="720" w:num="1"/>
        </w:sectPr>
      </w:pPr>
    </w:p>
    <w:p w14:paraId="352DE01D">
      <w:pPr>
        <w:spacing w:before="0" w:after="0"/>
        <w:ind w:firstLine="560"/>
        <w:jc w:val="left"/>
        <w:outlineLvl w:val="9"/>
      </w:pPr>
      <w:r>
        <w:rPr>
          <w:rFonts w:ascii="方正仿宋_GBK" w:hAnsi="方正仿宋_GBK" w:eastAsia="方正仿宋_GBK" w:cs="方正仿宋_GBK"/>
          <w:b/>
          <w:color w:val="000000"/>
          <w:sz w:val="28"/>
        </w:rPr>
        <w:t>9、冀财教[2025]122号/中央/2026年学前发展资金/北楼校区学前教育幼儿资助绩效目标表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15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589DB">
            <w:pPr>
              <w:pStyle w:val="11"/>
            </w:pPr>
            <w:r>
              <w:t>单位：万元</w:t>
            </w:r>
          </w:p>
        </w:tc>
      </w:tr>
      <w:tr w14:paraId="39681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70A15">
            <w:pPr>
              <w:pStyle w:val="10"/>
            </w:pPr>
            <w:r>
              <w:t>项目编码</w:t>
            </w:r>
          </w:p>
        </w:tc>
        <w:tc>
          <w:tcPr>
            <w:tcW w:w="5103" w:type="dxa"/>
            <w:gridSpan w:val="2"/>
            <w:vAlign w:val="center"/>
          </w:tcPr>
          <w:p w14:paraId="63755A6B">
            <w:pPr>
              <w:pStyle w:val="12"/>
            </w:pPr>
            <w:r>
              <w:t>13052526P000002100539</w:t>
            </w:r>
          </w:p>
        </w:tc>
        <w:tc>
          <w:tcPr>
            <w:tcW w:w="2835" w:type="dxa"/>
            <w:vAlign w:val="center"/>
          </w:tcPr>
          <w:p w14:paraId="5CF93D9A">
            <w:pPr>
              <w:pStyle w:val="10"/>
            </w:pPr>
            <w:r>
              <w:t>项目名称</w:t>
            </w:r>
          </w:p>
        </w:tc>
        <w:tc>
          <w:tcPr>
            <w:tcW w:w="6095" w:type="dxa"/>
            <w:gridSpan w:val="3"/>
            <w:vAlign w:val="center"/>
          </w:tcPr>
          <w:p w14:paraId="279022F5">
            <w:pPr>
              <w:pStyle w:val="12"/>
            </w:pPr>
            <w:r>
              <w:t>冀财教[2025]122号/中央/2026年学前发展资金/北楼校区学前教育幼儿资助</w:t>
            </w:r>
          </w:p>
        </w:tc>
      </w:tr>
      <w:tr w14:paraId="0AB5E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58AAE">
            <w:pPr>
              <w:pStyle w:val="10"/>
            </w:pPr>
            <w:r>
              <w:t>预算规模及资金用途</w:t>
            </w:r>
          </w:p>
        </w:tc>
        <w:tc>
          <w:tcPr>
            <w:tcW w:w="2268" w:type="dxa"/>
            <w:vAlign w:val="center"/>
          </w:tcPr>
          <w:p w14:paraId="741E6615">
            <w:pPr>
              <w:pStyle w:val="10"/>
            </w:pPr>
            <w:r>
              <w:t>预算数</w:t>
            </w:r>
          </w:p>
        </w:tc>
        <w:tc>
          <w:tcPr>
            <w:tcW w:w="2835" w:type="dxa"/>
            <w:vAlign w:val="center"/>
          </w:tcPr>
          <w:p w14:paraId="1255ADC0">
            <w:pPr>
              <w:pStyle w:val="12"/>
            </w:pPr>
            <w:r>
              <w:t>2.58</w:t>
            </w:r>
          </w:p>
        </w:tc>
        <w:tc>
          <w:tcPr>
            <w:tcW w:w="2835" w:type="dxa"/>
            <w:vAlign w:val="center"/>
          </w:tcPr>
          <w:p w14:paraId="684A9B4E">
            <w:pPr>
              <w:pStyle w:val="10"/>
            </w:pPr>
            <w:r>
              <w:t>其中：财政    资金</w:t>
            </w:r>
          </w:p>
        </w:tc>
        <w:tc>
          <w:tcPr>
            <w:tcW w:w="2551" w:type="dxa"/>
            <w:vAlign w:val="center"/>
          </w:tcPr>
          <w:p w14:paraId="1347DBD4">
            <w:pPr>
              <w:pStyle w:val="12"/>
            </w:pPr>
            <w:r>
              <w:t>2.58</w:t>
            </w:r>
          </w:p>
        </w:tc>
        <w:tc>
          <w:tcPr>
            <w:tcW w:w="2268" w:type="dxa"/>
            <w:vAlign w:val="center"/>
          </w:tcPr>
          <w:p w14:paraId="51D754A7">
            <w:pPr>
              <w:pStyle w:val="10"/>
            </w:pPr>
            <w:r>
              <w:t>其他资金</w:t>
            </w:r>
          </w:p>
        </w:tc>
        <w:tc>
          <w:tcPr>
            <w:tcW w:w="1276" w:type="dxa"/>
            <w:vAlign w:val="center"/>
          </w:tcPr>
          <w:p w14:paraId="278E7521">
            <w:pPr>
              <w:pStyle w:val="12"/>
            </w:pPr>
            <w:r>
              <w:t xml:space="preserve"> </w:t>
            </w:r>
          </w:p>
        </w:tc>
      </w:tr>
      <w:tr w14:paraId="53EB3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6A9A8"/>
        </w:tc>
        <w:tc>
          <w:tcPr>
            <w:tcW w:w="14033" w:type="dxa"/>
            <w:gridSpan w:val="6"/>
            <w:vAlign w:val="center"/>
          </w:tcPr>
          <w:p w14:paraId="54709492">
            <w:pPr>
              <w:pStyle w:val="12"/>
            </w:pPr>
            <w:r>
              <w:t>保证本年度资助经费足额落实到位，符合享受资助条件的学生应助尽助。</w:t>
            </w:r>
          </w:p>
        </w:tc>
      </w:tr>
      <w:tr w14:paraId="54EA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0AE70">
            <w:pPr>
              <w:pStyle w:val="10"/>
            </w:pPr>
            <w:r>
              <w:t>资金支出计划（%）</w:t>
            </w:r>
          </w:p>
        </w:tc>
        <w:tc>
          <w:tcPr>
            <w:tcW w:w="5103" w:type="dxa"/>
            <w:gridSpan w:val="2"/>
            <w:vAlign w:val="center"/>
          </w:tcPr>
          <w:p w14:paraId="66FA3540">
            <w:pPr>
              <w:pStyle w:val="10"/>
            </w:pPr>
            <w:r>
              <w:t>3月底</w:t>
            </w:r>
          </w:p>
        </w:tc>
        <w:tc>
          <w:tcPr>
            <w:tcW w:w="2835" w:type="dxa"/>
            <w:vAlign w:val="center"/>
          </w:tcPr>
          <w:p w14:paraId="21369EEB">
            <w:pPr>
              <w:pStyle w:val="10"/>
            </w:pPr>
            <w:r>
              <w:t>6月底</w:t>
            </w:r>
          </w:p>
        </w:tc>
        <w:tc>
          <w:tcPr>
            <w:tcW w:w="2551" w:type="dxa"/>
            <w:vAlign w:val="center"/>
          </w:tcPr>
          <w:p w14:paraId="30A7AB41">
            <w:pPr>
              <w:pStyle w:val="10"/>
            </w:pPr>
            <w:r>
              <w:t>10月底</w:t>
            </w:r>
          </w:p>
        </w:tc>
        <w:tc>
          <w:tcPr>
            <w:tcW w:w="3544" w:type="dxa"/>
            <w:gridSpan w:val="2"/>
            <w:vAlign w:val="center"/>
          </w:tcPr>
          <w:p w14:paraId="5865EF8B">
            <w:pPr>
              <w:pStyle w:val="10"/>
            </w:pPr>
            <w:r>
              <w:t>12月底</w:t>
            </w:r>
          </w:p>
        </w:tc>
      </w:tr>
      <w:tr w14:paraId="160B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7B822"/>
        </w:tc>
        <w:tc>
          <w:tcPr>
            <w:tcW w:w="5103" w:type="dxa"/>
            <w:gridSpan w:val="2"/>
            <w:vAlign w:val="center"/>
          </w:tcPr>
          <w:p w14:paraId="6DD15717">
            <w:pPr>
              <w:pStyle w:val="13"/>
            </w:pPr>
            <w:r>
              <w:t xml:space="preserve"> </w:t>
            </w:r>
          </w:p>
        </w:tc>
        <w:tc>
          <w:tcPr>
            <w:tcW w:w="2835" w:type="dxa"/>
            <w:vAlign w:val="center"/>
          </w:tcPr>
          <w:p w14:paraId="3C359A36">
            <w:pPr>
              <w:pStyle w:val="13"/>
            </w:pPr>
            <w:r>
              <w:t>50%</w:t>
            </w:r>
          </w:p>
        </w:tc>
        <w:tc>
          <w:tcPr>
            <w:tcW w:w="2551" w:type="dxa"/>
            <w:vAlign w:val="center"/>
          </w:tcPr>
          <w:p w14:paraId="04FC98E1">
            <w:pPr>
              <w:pStyle w:val="13"/>
            </w:pPr>
            <w:r>
              <w:t>50%</w:t>
            </w:r>
          </w:p>
        </w:tc>
        <w:tc>
          <w:tcPr>
            <w:tcW w:w="3544" w:type="dxa"/>
            <w:gridSpan w:val="2"/>
            <w:vAlign w:val="center"/>
          </w:tcPr>
          <w:p w14:paraId="7D9428F7">
            <w:pPr>
              <w:pStyle w:val="13"/>
            </w:pPr>
            <w:r>
              <w:t>100%</w:t>
            </w:r>
          </w:p>
        </w:tc>
      </w:tr>
      <w:tr w14:paraId="11340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10772">
            <w:pPr>
              <w:pStyle w:val="10"/>
            </w:pPr>
            <w:r>
              <w:t>绩效目标</w:t>
            </w:r>
          </w:p>
        </w:tc>
        <w:tc>
          <w:tcPr>
            <w:tcW w:w="14033" w:type="dxa"/>
            <w:gridSpan w:val="6"/>
            <w:vAlign w:val="center"/>
          </w:tcPr>
          <w:p w14:paraId="0BB8910E">
            <w:pPr>
              <w:pStyle w:val="12"/>
            </w:pPr>
            <w:r>
              <w:t>1.保证本年度资助经费足额落实到位，符合享受资助条件的学生应助尽助。</w:t>
            </w:r>
          </w:p>
        </w:tc>
      </w:tr>
    </w:tbl>
    <w:p w14:paraId="10ED2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F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31D81">
            <w:pPr>
              <w:pStyle w:val="10"/>
            </w:pPr>
            <w:r>
              <w:t>一级指标</w:t>
            </w:r>
          </w:p>
        </w:tc>
        <w:tc>
          <w:tcPr>
            <w:tcW w:w="2268" w:type="dxa"/>
            <w:vAlign w:val="center"/>
          </w:tcPr>
          <w:p w14:paraId="3ED49F35">
            <w:pPr>
              <w:pStyle w:val="10"/>
            </w:pPr>
            <w:r>
              <w:t>二级指标</w:t>
            </w:r>
          </w:p>
        </w:tc>
        <w:tc>
          <w:tcPr>
            <w:tcW w:w="2835" w:type="dxa"/>
            <w:vAlign w:val="center"/>
          </w:tcPr>
          <w:p w14:paraId="7E9F6C7A">
            <w:pPr>
              <w:pStyle w:val="10"/>
            </w:pPr>
            <w:r>
              <w:t>三级指标</w:t>
            </w:r>
          </w:p>
        </w:tc>
        <w:tc>
          <w:tcPr>
            <w:tcW w:w="5386" w:type="dxa"/>
            <w:vAlign w:val="center"/>
          </w:tcPr>
          <w:p w14:paraId="7A030CCD">
            <w:pPr>
              <w:pStyle w:val="10"/>
            </w:pPr>
            <w:r>
              <w:t>绩效指标描述</w:t>
            </w:r>
          </w:p>
        </w:tc>
        <w:tc>
          <w:tcPr>
            <w:tcW w:w="2268" w:type="dxa"/>
            <w:vAlign w:val="center"/>
          </w:tcPr>
          <w:p w14:paraId="3BCDCD93">
            <w:pPr>
              <w:pStyle w:val="10"/>
            </w:pPr>
            <w:r>
              <w:t>指标值</w:t>
            </w:r>
          </w:p>
        </w:tc>
        <w:tc>
          <w:tcPr>
            <w:tcW w:w="1276" w:type="dxa"/>
            <w:vAlign w:val="center"/>
          </w:tcPr>
          <w:p w14:paraId="53F449E6">
            <w:pPr>
              <w:pStyle w:val="10"/>
            </w:pPr>
            <w:r>
              <w:t>指标值确定依据</w:t>
            </w:r>
          </w:p>
        </w:tc>
      </w:tr>
      <w:tr w14:paraId="2A53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EE039">
            <w:pPr>
              <w:pStyle w:val="13"/>
            </w:pPr>
            <w:r>
              <w:t>产出指标</w:t>
            </w:r>
          </w:p>
        </w:tc>
        <w:tc>
          <w:tcPr>
            <w:tcW w:w="2268" w:type="dxa"/>
            <w:vAlign w:val="center"/>
          </w:tcPr>
          <w:p w14:paraId="03FAD5E6">
            <w:pPr>
              <w:pStyle w:val="12"/>
            </w:pPr>
            <w:r>
              <w:t>数量指标</w:t>
            </w:r>
          </w:p>
        </w:tc>
        <w:tc>
          <w:tcPr>
            <w:tcW w:w="2835" w:type="dxa"/>
            <w:vAlign w:val="center"/>
          </w:tcPr>
          <w:p w14:paraId="341939E1">
            <w:pPr>
              <w:pStyle w:val="12"/>
            </w:pPr>
            <w:r>
              <w:t xml:space="preserve"> 幼儿资助人数</w:t>
            </w:r>
          </w:p>
        </w:tc>
        <w:tc>
          <w:tcPr>
            <w:tcW w:w="5386" w:type="dxa"/>
            <w:vAlign w:val="center"/>
          </w:tcPr>
          <w:p w14:paraId="0F844CE5">
            <w:pPr>
              <w:pStyle w:val="12"/>
            </w:pPr>
            <w:r>
              <w:t xml:space="preserve"> 幼儿资助人数</w:t>
            </w:r>
          </w:p>
        </w:tc>
        <w:tc>
          <w:tcPr>
            <w:tcW w:w="2268" w:type="dxa"/>
            <w:vAlign w:val="center"/>
          </w:tcPr>
          <w:p w14:paraId="3D1F9FA3">
            <w:pPr>
              <w:pStyle w:val="12"/>
            </w:pPr>
            <w:r>
              <w:t>47 人</w:t>
            </w:r>
          </w:p>
        </w:tc>
        <w:tc>
          <w:tcPr>
            <w:tcW w:w="1276" w:type="dxa"/>
            <w:vAlign w:val="center"/>
          </w:tcPr>
          <w:p w14:paraId="743226DA">
            <w:pPr>
              <w:pStyle w:val="12"/>
            </w:pPr>
            <w:r>
              <w:t>幼儿资助经费管理办法</w:t>
            </w:r>
          </w:p>
        </w:tc>
      </w:tr>
      <w:tr w14:paraId="2289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74244"/>
        </w:tc>
        <w:tc>
          <w:tcPr>
            <w:tcW w:w="2268" w:type="dxa"/>
            <w:vAlign w:val="center"/>
          </w:tcPr>
          <w:p w14:paraId="67682864">
            <w:pPr>
              <w:pStyle w:val="12"/>
            </w:pPr>
            <w:r>
              <w:t>质量指标</w:t>
            </w:r>
          </w:p>
        </w:tc>
        <w:tc>
          <w:tcPr>
            <w:tcW w:w="2835" w:type="dxa"/>
            <w:vAlign w:val="center"/>
          </w:tcPr>
          <w:p w14:paraId="0825A153">
            <w:pPr>
              <w:pStyle w:val="12"/>
            </w:pPr>
            <w:r>
              <w:t>资助资金使用率</w:t>
            </w:r>
          </w:p>
        </w:tc>
        <w:tc>
          <w:tcPr>
            <w:tcW w:w="5386" w:type="dxa"/>
            <w:vAlign w:val="center"/>
          </w:tcPr>
          <w:p w14:paraId="035540C3">
            <w:pPr>
              <w:pStyle w:val="12"/>
            </w:pPr>
            <w:r>
              <w:t>符合享受资助条件的学生应助尽助</w:t>
            </w:r>
          </w:p>
        </w:tc>
        <w:tc>
          <w:tcPr>
            <w:tcW w:w="2268" w:type="dxa"/>
            <w:vAlign w:val="center"/>
          </w:tcPr>
          <w:p w14:paraId="75FC934B">
            <w:pPr>
              <w:pStyle w:val="12"/>
            </w:pPr>
            <w:r>
              <w:t>100%</w:t>
            </w:r>
          </w:p>
        </w:tc>
        <w:tc>
          <w:tcPr>
            <w:tcW w:w="1276" w:type="dxa"/>
            <w:vAlign w:val="center"/>
          </w:tcPr>
          <w:p w14:paraId="60568C4B">
            <w:pPr>
              <w:pStyle w:val="12"/>
            </w:pPr>
            <w:r>
              <w:t>幼儿资助经费管理办法</w:t>
            </w:r>
          </w:p>
        </w:tc>
      </w:tr>
      <w:tr w14:paraId="488F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926E1"/>
        </w:tc>
        <w:tc>
          <w:tcPr>
            <w:tcW w:w="2268" w:type="dxa"/>
            <w:vAlign w:val="center"/>
          </w:tcPr>
          <w:p w14:paraId="23396D1F">
            <w:pPr>
              <w:pStyle w:val="12"/>
            </w:pPr>
            <w:r>
              <w:t>时效指标</w:t>
            </w:r>
          </w:p>
        </w:tc>
        <w:tc>
          <w:tcPr>
            <w:tcW w:w="2835" w:type="dxa"/>
            <w:vAlign w:val="center"/>
          </w:tcPr>
          <w:p w14:paraId="69FEF346">
            <w:pPr>
              <w:pStyle w:val="12"/>
            </w:pPr>
            <w:r>
              <w:t>资金拨付率</w:t>
            </w:r>
          </w:p>
        </w:tc>
        <w:tc>
          <w:tcPr>
            <w:tcW w:w="5386" w:type="dxa"/>
            <w:vAlign w:val="center"/>
          </w:tcPr>
          <w:p w14:paraId="550E09D2">
            <w:pPr>
              <w:pStyle w:val="12"/>
            </w:pPr>
            <w:r>
              <w:t>所有项目资金支付进度</w:t>
            </w:r>
          </w:p>
        </w:tc>
        <w:tc>
          <w:tcPr>
            <w:tcW w:w="2268" w:type="dxa"/>
            <w:vAlign w:val="center"/>
          </w:tcPr>
          <w:p w14:paraId="57DBBDB5">
            <w:pPr>
              <w:pStyle w:val="12"/>
            </w:pPr>
            <w:r>
              <w:t>100%</w:t>
            </w:r>
          </w:p>
        </w:tc>
        <w:tc>
          <w:tcPr>
            <w:tcW w:w="1276" w:type="dxa"/>
            <w:vAlign w:val="center"/>
          </w:tcPr>
          <w:p w14:paraId="06C9F834">
            <w:pPr>
              <w:pStyle w:val="12"/>
            </w:pPr>
            <w:r>
              <w:t>幼儿资助经费管理办法</w:t>
            </w:r>
          </w:p>
        </w:tc>
      </w:tr>
      <w:tr w14:paraId="2E95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C5877"/>
        </w:tc>
        <w:tc>
          <w:tcPr>
            <w:tcW w:w="2268" w:type="dxa"/>
            <w:vAlign w:val="center"/>
          </w:tcPr>
          <w:p w14:paraId="0561D6D0">
            <w:pPr>
              <w:pStyle w:val="12"/>
            </w:pPr>
            <w:r>
              <w:t>成本指标</w:t>
            </w:r>
          </w:p>
        </w:tc>
        <w:tc>
          <w:tcPr>
            <w:tcW w:w="2835" w:type="dxa"/>
            <w:vAlign w:val="center"/>
          </w:tcPr>
          <w:p w14:paraId="1E585057">
            <w:pPr>
              <w:pStyle w:val="12"/>
            </w:pPr>
            <w:r>
              <w:t>幼儿园生均成本</w:t>
            </w:r>
          </w:p>
        </w:tc>
        <w:tc>
          <w:tcPr>
            <w:tcW w:w="5386" w:type="dxa"/>
            <w:vAlign w:val="center"/>
          </w:tcPr>
          <w:p w14:paraId="583F6399">
            <w:pPr>
              <w:pStyle w:val="12"/>
            </w:pPr>
            <w:r>
              <w:t>按照幼儿园资助标准1000元/生/年</w:t>
            </w:r>
          </w:p>
        </w:tc>
        <w:tc>
          <w:tcPr>
            <w:tcW w:w="2268" w:type="dxa"/>
            <w:vAlign w:val="center"/>
          </w:tcPr>
          <w:p w14:paraId="43D1A6D8">
            <w:pPr>
              <w:pStyle w:val="12"/>
            </w:pPr>
            <w:r>
              <w:t>1000元</w:t>
            </w:r>
          </w:p>
        </w:tc>
        <w:tc>
          <w:tcPr>
            <w:tcW w:w="1276" w:type="dxa"/>
            <w:vAlign w:val="center"/>
          </w:tcPr>
          <w:p w14:paraId="632A9E2C">
            <w:pPr>
              <w:pStyle w:val="12"/>
            </w:pPr>
            <w:r>
              <w:t>幼儿资助经费管理办法</w:t>
            </w:r>
          </w:p>
        </w:tc>
      </w:tr>
      <w:tr w14:paraId="50F4B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70D0E">
            <w:pPr>
              <w:pStyle w:val="13"/>
            </w:pPr>
            <w:r>
              <w:t>效益指标</w:t>
            </w:r>
          </w:p>
        </w:tc>
        <w:tc>
          <w:tcPr>
            <w:tcW w:w="2268" w:type="dxa"/>
            <w:vAlign w:val="center"/>
          </w:tcPr>
          <w:p w14:paraId="671C1D4E">
            <w:pPr>
              <w:pStyle w:val="12"/>
            </w:pPr>
            <w:r>
              <w:t>可持续影响指标</w:t>
            </w:r>
          </w:p>
        </w:tc>
        <w:tc>
          <w:tcPr>
            <w:tcW w:w="2835" w:type="dxa"/>
            <w:vAlign w:val="center"/>
          </w:tcPr>
          <w:p w14:paraId="4642F76F">
            <w:pPr>
              <w:pStyle w:val="12"/>
            </w:pPr>
            <w:r>
              <w:t>幼儿园正常运转</w:t>
            </w:r>
          </w:p>
        </w:tc>
        <w:tc>
          <w:tcPr>
            <w:tcW w:w="5386" w:type="dxa"/>
            <w:vAlign w:val="center"/>
          </w:tcPr>
          <w:p w14:paraId="6E51D7CE">
            <w:pPr>
              <w:pStyle w:val="12"/>
            </w:pPr>
            <w:r>
              <w:t>幼儿受教育年限</w:t>
            </w:r>
          </w:p>
        </w:tc>
        <w:tc>
          <w:tcPr>
            <w:tcW w:w="2268" w:type="dxa"/>
            <w:vAlign w:val="center"/>
          </w:tcPr>
          <w:p w14:paraId="71FFCF65">
            <w:pPr>
              <w:pStyle w:val="12"/>
            </w:pPr>
            <w:r>
              <w:t>3年</w:t>
            </w:r>
          </w:p>
        </w:tc>
        <w:tc>
          <w:tcPr>
            <w:tcW w:w="1276" w:type="dxa"/>
            <w:vAlign w:val="center"/>
          </w:tcPr>
          <w:p w14:paraId="6FEB8692">
            <w:pPr>
              <w:pStyle w:val="12"/>
            </w:pPr>
            <w:r>
              <w:t>幼儿资助经费管理办法</w:t>
            </w:r>
          </w:p>
        </w:tc>
      </w:tr>
      <w:tr w14:paraId="5D2B0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7E764">
            <w:pPr>
              <w:pStyle w:val="13"/>
            </w:pPr>
            <w:r>
              <w:t>满意度指标</w:t>
            </w:r>
          </w:p>
        </w:tc>
        <w:tc>
          <w:tcPr>
            <w:tcW w:w="2268" w:type="dxa"/>
            <w:vAlign w:val="center"/>
          </w:tcPr>
          <w:p w14:paraId="73BED26B">
            <w:pPr>
              <w:pStyle w:val="12"/>
            </w:pPr>
            <w:r>
              <w:t>服务对象满意度指标</w:t>
            </w:r>
          </w:p>
        </w:tc>
        <w:tc>
          <w:tcPr>
            <w:tcW w:w="2835" w:type="dxa"/>
            <w:vAlign w:val="center"/>
          </w:tcPr>
          <w:p w14:paraId="031173EA">
            <w:pPr>
              <w:pStyle w:val="12"/>
            </w:pPr>
            <w:r>
              <w:t>受益幼儿家长及调查满意度</w:t>
            </w:r>
          </w:p>
        </w:tc>
        <w:tc>
          <w:tcPr>
            <w:tcW w:w="5386" w:type="dxa"/>
            <w:vAlign w:val="center"/>
          </w:tcPr>
          <w:p w14:paraId="4F4D59E7">
            <w:pPr>
              <w:pStyle w:val="12"/>
            </w:pPr>
            <w:r>
              <w:t>学生、教师及家长对学校保教保育工作满意度情况</w:t>
            </w:r>
          </w:p>
        </w:tc>
        <w:tc>
          <w:tcPr>
            <w:tcW w:w="2268" w:type="dxa"/>
            <w:vAlign w:val="center"/>
          </w:tcPr>
          <w:p w14:paraId="0252866F">
            <w:pPr>
              <w:pStyle w:val="12"/>
            </w:pPr>
            <w:r>
              <w:t>≥95%</w:t>
            </w:r>
          </w:p>
        </w:tc>
        <w:tc>
          <w:tcPr>
            <w:tcW w:w="1276" w:type="dxa"/>
            <w:vAlign w:val="center"/>
          </w:tcPr>
          <w:p w14:paraId="0A474C75">
            <w:pPr>
              <w:pStyle w:val="12"/>
            </w:pPr>
            <w:r>
              <w:t>幼儿资助经费管理办法</w:t>
            </w:r>
          </w:p>
        </w:tc>
      </w:tr>
    </w:tbl>
    <w:p w14:paraId="61DE0041">
      <w:pPr>
        <w:sectPr>
          <w:pgSz w:w="16840" w:h="11900" w:orient="landscape"/>
          <w:pgMar w:top="1361" w:right="1020" w:bottom="1134" w:left="1020" w:header="720" w:footer="720" w:gutter="0"/>
          <w:cols w:space="720" w:num="1"/>
        </w:sectPr>
      </w:pPr>
    </w:p>
    <w:p w14:paraId="10627F12">
      <w:pPr>
        <w:spacing w:before="0" w:after="0"/>
        <w:ind w:firstLine="560"/>
        <w:jc w:val="left"/>
        <w:outlineLvl w:val="9"/>
      </w:pPr>
      <w:r>
        <w:rPr>
          <w:rFonts w:ascii="方正仿宋_GBK" w:hAnsi="方正仿宋_GBK" w:eastAsia="方正仿宋_GBK" w:cs="方正仿宋_GBK"/>
          <w:b/>
          <w:color w:val="000000"/>
          <w:sz w:val="28"/>
        </w:rPr>
        <w:t>10、冀财教[2025]122号/中央/2026年学前发展资金/北楼校区幼儿园免保育教育费补助绩效目标表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28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67F1D">
            <w:pPr>
              <w:pStyle w:val="11"/>
            </w:pPr>
            <w:r>
              <w:t>单位：万元</w:t>
            </w:r>
          </w:p>
        </w:tc>
      </w:tr>
      <w:tr w14:paraId="632E5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CD179">
            <w:pPr>
              <w:pStyle w:val="10"/>
            </w:pPr>
            <w:r>
              <w:t>项目编码</w:t>
            </w:r>
          </w:p>
        </w:tc>
        <w:tc>
          <w:tcPr>
            <w:tcW w:w="5103" w:type="dxa"/>
            <w:gridSpan w:val="2"/>
            <w:vAlign w:val="center"/>
          </w:tcPr>
          <w:p w14:paraId="30D82AC3">
            <w:pPr>
              <w:pStyle w:val="12"/>
            </w:pPr>
            <w:r>
              <w:t>13052526P00876910136K</w:t>
            </w:r>
          </w:p>
        </w:tc>
        <w:tc>
          <w:tcPr>
            <w:tcW w:w="2835" w:type="dxa"/>
            <w:vAlign w:val="center"/>
          </w:tcPr>
          <w:p w14:paraId="45A3A467">
            <w:pPr>
              <w:pStyle w:val="10"/>
            </w:pPr>
            <w:r>
              <w:t>项目名称</w:t>
            </w:r>
          </w:p>
        </w:tc>
        <w:tc>
          <w:tcPr>
            <w:tcW w:w="6095" w:type="dxa"/>
            <w:gridSpan w:val="3"/>
            <w:vAlign w:val="center"/>
          </w:tcPr>
          <w:p w14:paraId="12485C60">
            <w:pPr>
              <w:pStyle w:val="12"/>
            </w:pPr>
            <w:r>
              <w:t>冀财教[2025]122号/中央/2026年学前发展资金/北楼校区幼儿园免保育教育费补助</w:t>
            </w:r>
          </w:p>
        </w:tc>
      </w:tr>
      <w:tr w14:paraId="4B4F0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5015C">
            <w:pPr>
              <w:pStyle w:val="10"/>
            </w:pPr>
            <w:r>
              <w:t>预算规模及资金用途</w:t>
            </w:r>
          </w:p>
        </w:tc>
        <w:tc>
          <w:tcPr>
            <w:tcW w:w="2268" w:type="dxa"/>
            <w:vAlign w:val="center"/>
          </w:tcPr>
          <w:p w14:paraId="5F4981E7">
            <w:pPr>
              <w:pStyle w:val="10"/>
            </w:pPr>
            <w:r>
              <w:t>预算数</w:t>
            </w:r>
          </w:p>
        </w:tc>
        <w:tc>
          <w:tcPr>
            <w:tcW w:w="2835" w:type="dxa"/>
            <w:vAlign w:val="center"/>
          </w:tcPr>
          <w:p w14:paraId="7825D83C">
            <w:pPr>
              <w:pStyle w:val="12"/>
            </w:pPr>
            <w:r>
              <w:t>5.39</w:t>
            </w:r>
          </w:p>
        </w:tc>
        <w:tc>
          <w:tcPr>
            <w:tcW w:w="2835" w:type="dxa"/>
            <w:vAlign w:val="center"/>
          </w:tcPr>
          <w:p w14:paraId="52750EA2">
            <w:pPr>
              <w:pStyle w:val="10"/>
            </w:pPr>
            <w:r>
              <w:t>其中：财政    资金</w:t>
            </w:r>
          </w:p>
        </w:tc>
        <w:tc>
          <w:tcPr>
            <w:tcW w:w="2551" w:type="dxa"/>
            <w:vAlign w:val="center"/>
          </w:tcPr>
          <w:p w14:paraId="5A449318">
            <w:pPr>
              <w:pStyle w:val="12"/>
            </w:pPr>
            <w:r>
              <w:t>5.39</w:t>
            </w:r>
          </w:p>
        </w:tc>
        <w:tc>
          <w:tcPr>
            <w:tcW w:w="2268" w:type="dxa"/>
            <w:vAlign w:val="center"/>
          </w:tcPr>
          <w:p w14:paraId="7E514C79">
            <w:pPr>
              <w:pStyle w:val="10"/>
            </w:pPr>
            <w:r>
              <w:t>其他资金</w:t>
            </w:r>
          </w:p>
        </w:tc>
        <w:tc>
          <w:tcPr>
            <w:tcW w:w="1276" w:type="dxa"/>
            <w:vAlign w:val="center"/>
          </w:tcPr>
          <w:p w14:paraId="227C1972">
            <w:pPr>
              <w:pStyle w:val="12"/>
            </w:pPr>
            <w:r>
              <w:t xml:space="preserve"> </w:t>
            </w:r>
          </w:p>
        </w:tc>
      </w:tr>
      <w:tr w14:paraId="1320E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9C89E"/>
        </w:tc>
        <w:tc>
          <w:tcPr>
            <w:tcW w:w="14033" w:type="dxa"/>
            <w:gridSpan w:val="6"/>
            <w:vAlign w:val="center"/>
          </w:tcPr>
          <w:p w14:paraId="586B9087">
            <w:pPr>
              <w:pStyle w:val="12"/>
            </w:pPr>
            <w:r>
              <w:t>保障幼儿园正常运转，完成教育教学活动和其他日常工作任务等方面的费用支出。</w:t>
            </w:r>
            <w:r>
              <w:tab/>
            </w:r>
            <w:r>
              <w:tab/>
            </w:r>
            <w:r>
              <w:tab/>
            </w:r>
            <w:r>
              <w:tab/>
            </w:r>
            <w:r>
              <w:tab/>
            </w:r>
            <w:r>
              <w:tab/>
            </w:r>
            <w:r>
              <w:tab/>
            </w:r>
            <w:r>
              <w:tab/>
            </w:r>
          </w:p>
          <w:p w14:paraId="4E197DFA">
            <w:pPr>
              <w:pStyle w:val="12"/>
            </w:pPr>
          </w:p>
        </w:tc>
      </w:tr>
      <w:tr w14:paraId="3F348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8B6D2">
            <w:pPr>
              <w:pStyle w:val="10"/>
            </w:pPr>
            <w:r>
              <w:t>资金支出计划（%）</w:t>
            </w:r>
          </w:p>
        </w:tc>
        <w:tc>
          <w:tcPr>
            <w:tcW w:w="5103" w:type="dxa"/>
            <w:gridSpan w:val="2"/>
            <w:vAlign w:val="center"/>
          </w:tcPr>
          <w:p w14:paraId="028C5507">
            <w:pPr>
              <w:pStyle w:val="10"/>
            </w:pPr>
            <w:r>
              <w:t>3月底</w:t>
            </w:r>
          </w:p>
        </w:tc>
        <w:tc>
          <w:tcPr>
            <w:tcW w:w="2835" w:type="dxa"/>
            <w:vAlign w:val="center"/>
          </w:tcPr>
          <w:p w14:paraId="6A28D14E">
            <w:pPr>
              <w:pStyle w:val="10"/>
            </w:pPr>
            <w:r>
              <w:t>6月底</w:t>
            </w:r>
          </w:p>
        </w:tc>
        <w:tc>
          <w:tcPr>
            <w:tcW w:w="2551" w:type="dxa"/>
            <w:vAlign w:val="center"/>
          </w:tcPr>
          <w:p w14:paraId="1CDF99A2">
            <w:pPr>
              <w:pStyle w:val="10"/>
            </w:pPr>
            <w:r>
              <w:t>10月底</w:t>
            </w:r>
          </w:p>
        </w:tc>
        <w:tc>
          <w:tcPr>
            <w:tcW w:w="3544" w:type="dxa"/>
            <w:gridSpan w:val="2"/>
            <w:vAlign w:val="center"/>
          </w:tcPr>
          <w:p w14:paraId="6A30227E">
            <w:pPr>
              <w:pStyle w:val="10"/>
            </w:pPr>
            <w:r>
              <w:t>12月底</w:t>
            </w:r>
          </w:p>
        </w:tc>
      </w:tr>
      <w:tr w14:paraId="28D2D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592F5"/>
        </w:tc>
        <w:tc>
          <w:tcPr>
            <w:tcW w:w="5103" w:type="dxa"/>
            <w:gridSpan w:val="2"/>
            <w:vAlign w:val="center"/>
          </w:tcPr>
          <w:p w14:paraId="18D52C25">
            <w:pPr>
              <w:pStyle w:val="13"/>
            </w:pPr>
            <w:r>
              <w:t>25%</w:t>
            </w:r>
          </w:p>
        </w:tc>
        <w:tc>
          <w:tcPr>
            <w:tcW w:w="2835" w:type="dxa"/>
            <w:vAlign w:val="center"/>
          </w:tcPr>
          <w:p w14:paraId="0921A3FA">
            <w:pPr>
              <w:pStyle w:val="13"/>
            </w:pPr>
            <w:r>
              <w:t>50%</w:t>
            </w:r>
          </w:p>
        </w:tc>
        <w:tc>
          <w:tcPr>
            <w:tcW w:w="2551" w:type="dxa"/>
            <w:vAlign w:val="center"/>
          </w:tcPr>
          <w:p w14:paraId="36005A29">
            <w:pPr>
              <w:pStyle w:val="13"/>
            </w:pPr>
            <w:r>
              <w:t>75%</w:t>
            </w:r>
          </w:p>
        </w:tc>
        <w:tc>
          <w:tcPr>
            <w:tcW w:w="3544" w:type="dxa"/>
            <w:gridSpan w:val="2"/>
            <w:vAlign w:val="center"/>
          </w:tcPr>
          <w:p w14:paraId="49A29331">
            <w:pPr>
              <w:pStyle w:val="13"/>
            </w:pPr>
            <w:r>
              <w:t>100%</w:t>
            </w:r>
          </w:p>
        </w:tc>
      </w:tr>
      <w:tr w14:paraId="4445A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050C9">
            <w:pPr>
              <w:pStyle w:val="10"/>
            </w:pPr>
            <w:r>
              <w:t>绩效目标</w:t>
            </w:r>
          </w:p>
        </w:tc>
        <w:tc>
          <w:tcPr>
            <w:tcW w:w="14033" w:type="dxa"/>
            <w:gridSpan w:val="6"/>
            <w:vAlign w:val="center"/>
          </w:tcPr>
          <w:p w14:paraId="4310BD49">
            <w:pPr>
              <w:pStyle w:val="12"/>
            </w:pPr>
            <w:r>
              <w:t>1."保障幼儿园正常运转，完成教育教学活动和其他日常工作任务等方面的费用支出。</w:t>
            </w:r>
            <w:r>
              <w:tab/>
            </w:r>
            <w:r>
              <w:tab/>
            </w:r>
            <w:r>
              <w:t>"</w:t>
            </w:r>
            <w:r>
              <w:tab/>
            </w:r>
          </w:p>
        </w:tc>
      </w:tr>
    </w:tbl>
    <w:p w14:paraId="505127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8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B4937">
            <w:pPr>
              <w:pStyle w:val="10"/>
            </w:pPr>
            <w:r>
              <w:t>一级指标</w:t>
            </w:r>
          </w:p>
        </w:tc>
        <w:tc>
          <w:tcPr>
            <w:tcW w:w="2268" w:type="dxa"/>
            <w:vAlign w:val="center"/>
          </w:tcPr>
          <w:p w14:paraId="3ABB19F7">
            <w:pPr>
              <w:pStyle w:val="10"/>
            </w:pPr>
            <w:r>
              <w:t>二级指标</w:t>
            </w:r>
          </w:p>
        </w:tc>
        <w:tc>
          <w:tcPr>
            <w:tcW w:w="2835" w:type="dxa"/>
            <w:vAlign w:val="center"/>
          </w:tcPr>
          <w:p w14:paraId="7DFB38A1">
            <w:pPr>
              <w:pStyle w:val="10"/>
            </w:pPr>
            <w:r>
              <w:t>三级指标</w:t>
            </w:r>
          </w:p>
        </w:tc>
        <w:tc>
          <w:tcPr>
            <w:tcW w:w="5386" w:type="dxa"/>
            <w:vAlign w:val="center"/>
          </w:tcPr>
          <w:p w14:paraId="75343BDE">
            <w:pPr>
              <w:pStyle w:val="10"/>
            </w:pPr>
            <w:r>
              <w:t>绩效指标描述</w:t>
            </w:r>
          </w:p>
        </w:tc>
        <w:tc>
          <w:tcPr>
            <w:tcW w:w="2268" w:type="dxa"/>
            <w:vAlign w:val="center"/>
          </w:tcPr>
          <w:p w14:paraId="5F5B3B81">
            <w:pPr>
              <w:pStyle w:val="10"/>
            </w:pPr>
            <w:r>
              <w:t>指标值</w:t>
            </w:r>
          </w:p>
        </w:tc>
        <w:tc>
          <w:tcPr>
            <w:tcW w:w="1276" w:type="dxa"/>
            <w:vAlign w:val="center"/>
          </w:tcPr>
          <w:p w14:paraId="3954B944">
            <w:pPr>
              <w:pStyle w:val="10"/>
            </w:pPr>
            <w:r>
              <w:t>指标值确定依据</w:t>
            </w:r>
          </w:p>
        </w:tc>
      </w:tr>
      <w:tr w14:paraId="482F1204">
        <w:tblPrEx>
          <w:tblCellMar>
            <w:top w:w="0" w:type="dxa"/>
            <w:left w:w="108" w:type="dxa"/>
            <w:bottom w:w="0" w:type="dxa"/>
            <w:right w:w="108" w:type="dxa"/>
          </w:tblCellMar>
        </w:tblPrEx>
        <w:trPr>
          <w:trHeight w:val="397" w:hRule="atLeast"/>
          <w:jc w:val="center"/>
        </w:trPr>
        <w:tc>
          <w:tcPr>
            <w:tcW w:w="1276" w:type="dxa"/>
            <w:vMerge w:val="restart"/>
            <w:vAlign w:val="center"/>
          </w:tcPr>
          <w:p w14:paraId="66075537">
            <w:pPr>
              <w:pStyle w:val="13"/>
            </w:pPr>
            <w:r>
              <w:t>产出指标</w:t>
            </w:r>
          </w:p>
        </w:tc>
        <w:tc>
          <w:tcPr>
            <w:tcW w:w="2268" w:type="dxa"/>
            <w:vAlign w:val="center"/>
          </w:tcPr>
          <w:p w14:paraId="492CA81F">
            <w:pPr>
              <w:pStyle w:val="12"/>
            </w:pPr>
            <w:r>
              <w:t>数量指标</w:t>
            </w:r>
          </w:p>
        </w:tc>
        <w:tc>
          <w:tcPr>
            <w:tcW w:w="2835" w:type="dxa"/>
            <w:vAlign w:val="center"/>
          </w:tcPr>
          <w:p w14:paraId="32075B69">
            <w:pPr>
              <w:pStyle w:val="12"/>
            </w:pPr>
            <w:r>
              <w:t>适龄在园生</w:t>
            </w:r>
          </w:p>
        </w:tc>
        <w:tc>
          <w:tcPr>
            <w:tcW w:w="5386" w:type="dxa"/>
            <w:vAlign w:val="center"/>
          </w:tcPr>
          <w:p w14:paraId="3B90F698">
            <w:pPr>
              <w:pStyle w:val="12"/>
            </w:pPr>
            <w:r>
              <w:t>适龄在园大班学生人数</w:t>
            </w:r>
          </w:p>
        </w:tc>
        <w:tc>
          <w:tcPr>
            <w:tcW w:w="2268" w:type="dxa"/>
            <w:vAlign w:val="center"/>
          </w:tcPr>
          <w:p w14:paraId="1E2EE14E">
            <w:pPr>
              <w:pStyle w:val="12"/>
            </w:pPr>
            <w:r>
              <w:t>241人</w:t>
            </w:r>
          </w:p>
        </w:tc>
        <w:tc>
          <w:tcPr>
            <w:tcW w:w="1276" w:type="dxa"/>
            <w:vAlign w:val="center"/>
          </w:tcPr>
          <w:p w14:paraId="16A77BAA">
            <w:pPr>
              <w:pStyle w:val="12"/>
            </w:pPr>
            <w:r>
              <w:t>免保育教育费生均财政补助标准</w:t>
            </w:r>
          </w:p>
        </w:tc>
      </w:tr>
      <w:tr w14:paraId="093E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FCA10"/>
        </w:tc>
        <w:tc>
          <w:tcPr>
            <w:tcW w:w="2268" w:type="dxa"/>
            <w:vAlign w:val="center"/>
          </w:tcPr>
          <w:p w14:paraId="7912FA87">
            <w:pPr>
              <w:pStyle w:val="12"/>
            </w:pPr>
            <w:r>
              <w:t>质量指标</w:t>
            </w:r>
          </w:p>
        </w:tc>
        <w:tc>
          <w:tcPr>
            <w:tcW w:w="2835" w:type="dxa"/>
            <w:vAlign w:val="center"/>
          </w:tcPr>
          <w:p w14:paraId="25173646">
            <w:pPr>
              <w:pStyle w:val="12"/>
            </w:pPr>
            <w:r>
              <w:t>预算控制率</w:t>
            </w:r>
          </w:p>
        </w:tc>
        <w:tc>
          <w:tcPr>
            <w:tcW w:w="5386" w:type="dxa"/>
            <w:vAlign w:val="center"/>
          </w:tcPr>
          <w:p w14:paraId="368A5697">
            <w:pPr>
              <w:pStyle w:val="12"/>
            </w:pPr>
            <w:r>
              <w:t>预算执行</w:t>
            </w:r>
          </w:p>
        </w:tc>
        <w:tc>
          <w:tcPr>
            <w:tcW w:w="2268" w:type="dxa"/>
            <w:vAlign w:val="center"/>
          </w:tcPr>
          <w:p w14:paraId="5715BFFC">
            <w:pPr>
              <w:pStyle w:val="12"/>
            </w:pPr>
            <w:r>
              <w:t>≥95%</w:t>
            </w:r>
          </w:p>
        </w:tc>
        <w:tc>
          <w:tcPr>
            <w:tcW w:w="1276" w:type="dxa"/>
            <w:vAlign w:val="center"/>
          </w:tcPr>
          <w:p w14:paraId="1F9A3798">
            <w:pPr>
              <w:pStyle w:val="12"/>
            </w:pPr>
            <w:r>
              <w:t>免保育教育费生均财政补助标准</w:t>
            </w:r>
          </w:p>
        </w:tc>
      </w:tr>
      <w:tr w14:paraId="6848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E8B35"/>
        </w:tc>
        <w:tc>
          <w:tcPr>
            <w:tcW w:w="2268" w:type="dxa"/>
            <w:vAlign w:val="center"/>
          </w:tcPr>
          <w:p w14:paraId="252D1F38">
            <w:pPr>
              <w:pStyle w:val="12"/>
            </w:pPr>
            <w:r>
              <w:t>时效指标</w:t>
            </w:r>
          </w:p>
        </w:tc>
        <w:tc>
          <w:tcPr>
            <w:tcW w:w="2835" w:type="dxa"/>
            <w:vAlign w:val="center"/>
          </w:tcPr>
          <w:p w14:paraId="7C0FE277">
            <w:pPr>
              <w:pStyle w:val="12"/>
            </w:pPr>
            <w:r>
              <w:t>资金支付率</w:t>
            </w:r>
          </w:p>
        </w:tc>
        <w:tc>
          <w:tcPr>
            <w:tcW w:w="5386" w:type="dxa"/>
            <w:vAlign w:val="center"/>
          </w:tcPr>
          <w:p w14:paraId="1AD2162C">
            <w:pPr>
              <w:pStyle w:val="12"/>
            </w:pPr>
            <w:r>
              <w:t>按照序时进度完成资金支付</w:t>
            </w:r>
          </w:p>
        </w:tc>
        <w:tc>
          <w:tcPr>
            <w:tcW w:w="2268" w:type="dxa"/>
            <w:vAlign w:val="center"/>
          </w:tcPr>
          <w:p w14:paraId="207D92CA">
            <w:pPr>
              <w:pStyle w:val="12"/>
            </w:pPr>
            <w:r>
              <w:t>100%</w:t>
            </w:r>
          </w:p>
        </w:tc>
        <w:tc>
          <w:tcPr>
            <w:tcW w:w="1276" w:type="dxa"/>
            <w:vAlign w:val="center"/>
          </w:tcPr>
          <w:p w14:paraId="30BD5CAF">
            <w:pPr>
              <w:pStyle w:val="12"/>
            </w:pPr>
            <w:r>
              <w:t>免保育教育费生均财政补助标准</w:t>
            </w:r>
          </w:p>
        </w:tc>
      </w:tr>
      <w:tr w14:paraId="37F3C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7A81E"/>
        </w:tc>
        <w:tc>
          <w:tcPr>
            <w:tcW w:w="2268" w:type="dxa"/>
            <w:vAlign w:val="center"/>
          </w:tcPr>
          <w:p w14:paraId="54039B73">
            <w:pPr>
              <w:pStyle w:val="12"/>
            </w:pPr>
            <w:r>
              <w:t>成本指标</w:t>
            </w:r>
          </w:p>
        </w:tc>
        <w:tc>
          <w:tcPr>
            <w:tcW w:w="2835" w:type="dxa"/>
            <w:vAlign w:val="center"/>
          </w:tcPr>
          <w:p w14:paraId="6C371814">
            <w:pPr>
              <w:pStyle w:val="12"/>
            </w:pPr>
            <w:r>
              <w:t xml:space="preserve"> 免保育教育费补助</w:t>
            </w:r>
          </w:p>
        </w:tc>
        <w:tc>
          <w:tcPr>
            <w:tcW w:w="5386" w:type="dxa"/>
            <w:vAlign w:val="center"/>
          </w:tcPr>
          <w:p w14:paraId="36BA6A89">
            <w:pPr>
              <w:pStyle w:val="12"/>
            </w:pPr>
            <w:r>
              <w:t>免保育教育费补助</w:t>
            </w:r>
          </w:p>
        </w:tc>
        <w:tc>
          <w:tcPr>
            <w:tcW w:w="2268" w:type="dxa"/>
            <w:vAlign w:val="center"/>
          </w:tcPr>
          <w:p w14:paraId="051E1295">
            <w:pPr>
              <w:pStyle w:val="12"/>
            </w:pPr>
            <w:r>
              <w:t>53939元</w:t>
            </w:r>
          </w:p>
        </w:tc>
        <w:tc>
          <w:tcPr>
            <w:tcW w:w="1276" w:type="dxa"/>
            <w:vAlign w:val="center"/>
          </w:tcPr>
          <w:p w14:paraId="76D6ABC6">
            <w:pPr>
              <w:pStyle w:val="12"/>
            </w:pPr>
            <w:r>
              <w:t>免保育教育费生均财政补助标准</w:t>
            </w:r>
          </w:p>
        </w:tc>
      </w:tr>
      <w:tr w14:paraId="5254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D9A81">
            <w:pPr>
              <w:pStyle w:val="13"/>
            </w:pPr>
            <w:r>
              <w:t>效益指标</w:t>
            </w:r>
          </w:p>
        </w:tc>
        <w:tc>
          <w:tcPr>
            <w:tcW w:w="2268" w:type="dxa"/>
            <w:vAlign w:val="center"/>
          </w:tcPr>
          <w:p w14:paraId="00E10FF5">
            <w:pPr>
              <w:pStyle w:val="12"/>
            </w:pPr>
            <w:r>
              <w:t>可持续影响指标</w:t>
            </w:r>
          </w:p>
        </w:tc>
        <w:tc>
          <w:tcPr>
            <w:tcW w:w="2835" w:type="dxa"/>
            <w:vAlign w:val="center"/>
          </w:tcPr>
          <w:p w14:paraId="408AB1B4">
            <w:pPr>
              <w:pStyle w:val="12"/>
            </w:pPr>
            <w:r>
              <w:t>学校运转得到提升</w:t>
            </w:r>
          </w:p>
        </w:tc>
        <w:tc>
          <w:tcPr>
            <w:tcW w:w="5386" w:type="dxa"/>
            <w:vAlign w:val="center"/>
          </w:tcPr>
          <w:p w14:paraId="44EE622D">
            <w:pPr>
              <w:pStyle w:val="12"/>
            </w:pPr>
            <w:r>
              <w:t>幼儿受教育年限</w:t>
            </w:r>
          </w:p>
        </w:tc>
        <w:tc>
          <w:tcPr>
            <w:tcW w:w="2268" w:type="dxa"/>
            <w:vAlign w:val="center"/>
          </w:tcPr>
          <w:p w14:paraId="104E0053">
            <w:pPr>
              <w:pStyle w:val="12"/>
            </w:pPr>
            <w:r>
              <w:t>3年</w:t>
            </w:r>
          </w:p>
        </w:tc>
        <w:tc>
          <w:tcPr>
            <w:tcW w:w="1276" w:type="dxa"/>
            <w:vAlign w:val="center"/>
          </w:tcPr>
          <w:p w14:paraId="73DF4C84">
            <w:pPr>
              <w:pStyle w:val="12"/>
            </w:pPr>
            <w:r>
              <w:t>免保育教育费生均财政补助标准</w:t>
            </w:r>
          </w:p>
        </w:tc>
      </w:tr>
      <w:tr w14:paraId="50EA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9F461">
            <w:pPr>
              <w:pStyle w:val="13"/>
            </w:pPr>
            <w:r>
              <w:t>满意度指标</w:t>
            </w:r>
          </w:p>
        </w:tc>
        <w:tc>
          <w:tcPr>
            <w:tcW w:w="2268" w:type="dxa"/>
            <w:vAlign w:val="center"/>
          </w:tcPr>
          <w:p w14:paraId="7145C007">
            <w:pPr>
              <w:pStyle w:val="12"/>
            </w:pPr>
            <w:r>
              <w:t>服务对象满意度指标</w:t>
            </w:r>
          </w:p>
        </w:tc>
        <w:tc>
          <w:tcPr>
            <w:tcW w:w="2835" w:type="dxa"/>
            <w:vAlign w:val="center"/>
          </w:tcPr>
          <w:p w14:paraId="4A87C2F2">
            <w:pPr>
              <w:pStyle w:val="12"/>
            </w:pPr>
            <w:r>
              <w:t>受益学生家长及调查满意度</w:t>
            </w:r>
          </w:p>
        </w:tc>
        <w:tc>
          <w:tcPr>
            <w:tcW w:w="5386" w:type="dxa"/>
            <w:vAlign w:val="center"/>
          </w:tcPr>
          <w:p w14:paraId="4B06A552">
            <w:pPr>
              <w:pStyle w:val="12"/>
            </w:pPr>
            <w:r>
              <w:t>学生、教师及家长对学校保教保育工作满意度情况</w:t>
            </w:r>
          </w:p>
        </w:tc>
        <w:tc>
          <w:tcPr>
            <w:tcW w:w="2268" w:type="dxa"/>
            <w:vAlign w:val="center"/>
          </w:tcPr>
          <w:p w14:paraId="246F4464">
            <w:pPr>
              <w:pStyle w:val="12"/>
            </w:pPr>
            <w:r>
              <w:t>≥95%</w:t>
            </w:r>
          </w:p>
        </w:tc>
        <w:tc>
          <w:tcPr>
            <w:tcW w:w="1276" w:type="dxa"/>
            <w:vAlign w:val="center"/>
          </w:tcPr>
          <w:p w14:paraId="7C6B0731">
            <w:pPr>
              <w:pStyle w:val="12"/>
            </w:pPr>
            <w:r>
              <w:t>免保育教育费生均财政补助标准</w:t>
            </w:r>
          </w:p>
        </w:tc>
      </w:tr>
    </w:tbl>
    <w:p w14:paraId="103F63E0">
      <w:pPr>
        <w:sectPr>
          <w:pgSz w:w="16840" w:h="11900" w:orient="landscape"/>
          <w:pgMar w:top="1361" w:right="1020" w:bottom="1134" w:left="1020" w:header="720" w:footer="720" w:gutter="0"/>
          <w:cols w:space="720" w:num="1"/>
        </w:sectPr>
      </w:pPr>
    </w:p>
    <w:p w14:paraId="20E3C4E4">
      <w:pPr>
        <w:spacing w:before="0" w:after="0"/>
        <w:ind w:firstLine="560"/>
        <w:jc w:val="left"/>
        <w:outlineLvl w:val="9"/>
      </w:pPr>
      <w:r>
        <w:rPr>
          <w:rFonts w:ascii="方正仿宋_GBK" w:hAnsi="方正仿宋_GBK" w:eastAsia="方正仿宋_GBK" w:cs="方正仿宋_GBK"/>
          <w:b/>
          <w:color w:val="000000"/>
          <w:sz w:val="28"/>
        </w:rPr>
        <w:t>11、冀财教[2025]122号/中央/支持学前教育发展/北楼校区幼儿园设备购置绩效目标表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17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B35A1">
            <w:pPr>
              <w:pStyle w:val="11"/>
            </w:pPr>
            <w:r>
              <w:t>单位：万元</w:t>
            </w:r>
          </w:p>
        </w:tc>
      </w:tr>
      <w:tr w14:paraId="3DCC5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28E49">
            <w:pPr>
              <w:pStyle w:val="10"/>
            </w:pPr>
            <w:r>
              <w:t>项目编码</w:t>
            </w:r>
          </w:p>
        </w:tc>
        <w:tc>
          <w:tcPr>
            <w:tcW w:w="5103" w:type="dxa"/>
            <w:gridSpan w:val="2"/>
            <w:vAlign w:val="center"/>
          </w:tcPr>
          <w:p w14:paraId="37498177">
            <w:pPr>
              <w:pStyle w:val="12"/>
            </w:pPr>
            <w:r>
              <w:t>13052526P00876910179X</w:t>
            </w:r>
          </w:p>
        </w:tc>
        <w:tc>
          <w:tcPr>
            <w:tcW w:w="2835" w:type="dxa"/>
            <w:vAlign w:val="center"/>
          </w:tcPr>
          <w:p w14:paraId="10912340">
            <w:pPr>
              <w:pStyle w:val="10"/>
            </w:pPr>
            <w:r>
              <w:t>项目名称</w:t>
            </w:r>
          </w:p>
        </w:tc>
        <w:tc>
          <w:tcPr>
            <w:tcW w:w="6095" w:type="dxa"/>
            <w:gridSpan w:val="3"/>
            <w:vAlign w:val="center"/>
          </w:tcPr>
          <w:p w14:paraId="49594366">
            <w:pPr>
              <w:pStyle w:val="12"/>
            </w:pPr>
            <w:r>
              <w:t>冀财教[2025]122号/中央/支持学前教育发展/北楼校区幼儿园设备购置</w:t>
            </w:r>
          </w:p>
        </w:tc>
      </w:tr>
      <w:tr w14:paraId="229A1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DE786">
            <w:pPr>
              <w:pStyle w:val="10"/>
            </w:pPr>
            <w:r>
              <w:t>预算规模及资金用途</w:t>
            </w:r>
          </w:p>
        </w:tc>
        <w:tc>
          <w:tcPr>
            <w:tcW w:w="2268" w:type="dxa"/>
            <w:vAlign w:val="center"/>
          </w:tcPr>
          <w:p w14:paraId="688664D1">
            <w:pPr>
              <w:pStyle w:val="10"/>
            </w:pPr>
            <w:r>
              <w:t>预算数</w:t>
            </w:r>
          </w:p>
        </w:tc>
        <w:tc>
          <w:tcPr>
            <w:tcW w:w="2835" w:type="dxa"/>
            <w:vAlign w:val="center"/>
          </w:tcPr>
          <w:p w14:paraId="195E54E3">
            <w:pPr>
              <w:pStyle w:val="12"/>
            </w:pPr>
            <w:r>
              <w:t>21.65</w:t>
            </w:r>
          </w:p>
        </w:tc>
        <w:tc>
          <w:tcPr>
            <w:tcW w:w="2835" w:type="dxa"/>
            <w:vAlign w:val="center"/>
          </w:tcPr>
          <w:p w14:paraId="36EFB86A">
            <w:pPr>
              <w:pStyle w:val="10"/>
            </w:pPr>
            <w:r>
              <w:t>其中：财政    资金</w:t>
            </w:r>
          </w:p>
        </w:tc>
        <w:tc>
          <w:tcPr>
            <w:tcW w:w="2551" w:type="dxa"/>
            <w:vAlign w:val="center"/>
          </w:tcPr>
          <w:p w14:paraId="506C61C6">
            <w:pPr>
              <w:pStyle w:val="12"/>
            </w:pPr>
            <w:r>
              <w:t>21.65</w:t>
            </w:r>
          </w:p>
        </w:tc>
        <w:tc>
          <w:tcPr>
            <w:tcW w:w="2268" w:type="dxa"/>
            <w:vAlign w:val="center"/>
          </w:tcPr>
          <w:p w14:paraId="1EC5F357">
            <w:pPr>
              <w:pStyle w:val="10"/>
            </w:pPr>
            <w:r>
              <w:t>其他资金</w:t>
            </w:r>
          </w:p>
        </w:tc>
        <w:tc>
          <w:tcPr>
            <w:tcW w:w="1276" w:type="dxa"/>
            <w:vAlign w:val="center"/>
          </w:tcPr>
          <w:p w14:paraId="23CE28C5">
            <w:pPr>
              <w:pStyle w:val="12"/>
            </w:pPr>
            <w:r>
              <w:t xml:space="preserve"> </w:t>
            </w:r>
          </w:p>
        </w:tc>
      </w:tr>
      <w:tr w14:paraId="10819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F062C"/>
        </w:tc>
        <w:tc>
          <w:tcPr>
            <w:tcW w:w="14033" w:type="dxa"/>
            <w:gridSpan w:val="6"/>
            <w:vAlign w:val="center"/>
          </w:tcPr>
          <w:p w14:paraId="64789D95">
            <w:pPr>
              <w:pStyle w:val="12"/>
            </w:pPr>
            <w:r>
              <w:t>提升教学质量，改善幼儿现状，创造良好的幼儿环境。</w:t>
            </w:r>
          </w:p>
        </w:tc>
      </w:tr>
      <w:tr w14:paraId="02F77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91658">
            <w:pPr>
              <w:pStyle w:val="10"/>
            </w:pPr>
            <w:r>
              <w:t>资金支出计划（%）</w:t>
            </w:r>
          </w:p>
        </w:tc>
        <w:tc>
          <w:tcPr>
            <w:tcW w:w="5103" w:type="dxa"/>
            <w:gridSpan w:val="2"/>
            <w:vAlign w:val="center"/>
          </w:tcPr>
          <w:p w14:paraId="037A2DED">
            <w:pPr>
              <w:pStyle w:val="10"/>
            </w:pPr>
            <w:r>
              <w:t>3月底</w:t>
            </w:r>
          </w:p>
        </w:tc>
        <w:tc>
          <w:tcPr>
            <w:tcW w:w="2835" w:type="dxa"/>
            <w:vAlign w:val="center"/>
          </w:tcPr>
          <w:p w14:paraId="4BB7D009">
            <w:pPr>
              <w:pStyle w:val="10"/>
            </w:pPr>
            <w:r>
              <w:t>6月底</w:t>
            </w:r>
          </w:p>
        </w:tc>
        <w:tc>
          <w:tcPr>
            <w:tcW w:w="2551" w:type="dxa"/>
            <w:vAlign w:val="center"/>
          </w:tcPr>
          <w:p w14:paraId="626881BE">
            <w:pPr>
              <w:pStyle w:val="10"/>
            </w:pPr>
            <w:r>
              <w:t>10月底</w:t>
            </w:r>
          </w:p>
        </w:tc>
        <w:tc>
          <w:tcPr>
            <w:tcW w:w="3544" w:type="dxa"/>
            <w:gridSpan w:val="2"/>
            <w:vAlign w:val="center"/>
          </w:tcPr>
          <w:p w14:paraId="12825E12">
            <w:pPr>
              <w:pStyle w:val="10"/>
            </w:pPr>
            <w:r>
              <w:t>12月底</w:t>
            </w:r>
          </w:p>
        </w:tc>
      </w:tr>
      <w:tr w14:paraId="10771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CB1C5"/>
        </w:tc>
        <w:tc>
          <w:tcPr>
            <w:tcW w:w="5103" w:type="dxa"/>
            <w:gridSpan w:val="2"/>
            <w:vAlign w:val="center"/>
          </w:tcPr>
          <w:p w14:paraId="12949280">
            <w:pPr>
              <w:pStyle w:val="13"/>
            </w:pPr>
            <w:r>
              <w:t xml:space="preserve"> </w:t>
            </w:r>
          </w:p>
        </w:tc>
        <w:tc>
          <w:tcPr>
            <w:tcW w:w="2835" w:type="dxa"/>
            <w:vAlign w:val="center"/>
          </w:tcPr>
          <w:p w14:paraId="59810C47">
            <w:pPr>
              <w:pStyle w:val="13"/>
            </w:pPr>
            <w:r>
              <w:t xml:space="preserve"> </w:t>
            </w:r>
          </w:p>
        </w:tc>
        <w:tc>
          <w:tcPr>
            <w:tcW w:w="2551" w:type="dxa"/>
            <w:vAlign w:val="center"/>
          </w:tcPr>
          <w:p w14:paraId="77942B1D">
            <w:pPr>
              <w:pStyle w:val="13"/>
            </w:pPr>
            <w:r>
              <w:t>100%</w:t>
            </w:r>
          </w:p>
        </w:tc>
        <w:tc>
          <w:tcPr>
            <w:tcW w:w="3544" w:type="dxa"/>
            <w:gridSpan w:val="2"/>
            <w:vAlign w:val="center"/>
          </w:tcPr>
          <w:p w14:paraId="4558B21A">
            <w:pPr>
              <w:pStyle w:val="13"/>
            </w:pPr>
            <w:r>
              <w:t>100%</w:t>
            </w:r>
          </w:p>
        </w:tc>
      </w:tr>
      <w:tr w14:paraId="6A924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99CAE">
            <w:pPr>
              <w:pStyle w:val="10"/>
            </w:pPr>
            <w:r>
              <w:t>绩效目标</w:t>
            </w:r>
          </w:p>
        </w:tc>
        <w:tc>
          <w:tcPr>
            <w:tcW w:w="14033" w:type="dxa"/>
            <w:gridSpan w:val="6"/>
            <w:vAlign w:val="center"/>
          </w:tcPr>
          <w:p w14:paraId="7CEE600A">
            <w:pPr>
              <w:pStyle w:val="12"/>
            </w:pPr>
            <w:r>
              <w:t>1.项目</w:t>
            </w:r>
            <w:r>
              <w:rPr>
                <w:rFonts w:hint="eastAsia"/>
                <w:lang w:eastAsia="zh-CN"/>
              </w:rPr>
              <w:t>需</w:t>
            </w:r>
            <w:r>
              <w:t>资金21.65万元，资金拨付率达到100%。</w:t>
            </w:r>
          </w:p>
          <w:p w14:paraId="69CDB616">
            <w:pPr>
              <w:pStyle w:val="12"/>
            </w:pPr>
            <w:r>
              <w:t>2.提升教学质量，改善幼儿现状，创造良好的幼儿环境。</w:t>
            </w:r>
          </w:p>
        </w:tc>
      </w:tr>
    </w:tbl>
    <w:p w14:paraId="0D4D8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13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139A8">
            <w:pPr>
              <w:pStyle w:val="10"/>
            </w:pPr>
            <w:r>
              <w:t>一级指标</w:t>
            </w:r>
          </w:p>
        </w:tc>
        <w:tc>
          <w:tcPr>
            <w:tcW w:w="2268" w:type="dxa"/>
            <w:vAlign w:val="center"/>
          </w:tcPr>
          <w:p w14:paraId="381FBE4D">
            <w:pPr>
              <w:pStyle w:val="10"/>
            </w:pPr>
            <w:r>
              <w:t>二级指标</w:t>
            </w:r>
          </w:p>
        </w:tc>
        <w:tc>
          <w:tcPr>
            <w:tcW w:w="2835" w:type="dxa"/>
            <w:vAlign w:val="center"/>
          </w:tcPr>
          <w:p w14:paraId="2CAD7868">
            <w:pPr>
              <w:pStyle w:val="10"/>
            </w:pPr>
            <w:r>
              <w:t>三级指标</w:t>
            </w:r>
          </w:p>
        </w:tc>
        <w:tc>
          <w:tcPr>
            <w:tcW w:w="5386" w:type="dxa"/>
            <w:vAlign w:val="center"/>
          </w:tcPr>
          <w:p w14:paraId="31D19E8C">
            <w:pPr>
              <w:pStyle w:val="10"/>
            </w:pPr>
            <w:r>
              <w:t>绩效指标描述</w:t>
            </w:r>
          </w:p>
        </w:tc>
        <w:tc>
          <w:tcPr>
            <w:tcW w:w="2268" w:type="dxa"/>
            <w:vAlign w:val="center"/>
          </w:tcPr>
          <w:p w14:paraId="04236AD3">
            <w:pPr>
              <w:pStyle w:val="10"/>
            </w:pPr>
            <w:r>
              <w:t>指标值</w:t>
            </w:r>
          </w:p>
        </w:tc>
        <w:tc>
          <w:tcPr>
            <w:tcW w:w="1276" w:type="dxa"/>
            <w:vAlign w:val="center"/>
          </w:tcPr>
          <w:p w14:paraId="2DAEA3C5">
            <w:pPr>
              <w:pStyle w:val="10"/>
            </w:pPr>
            <w:r>
              <w:t>指标值确定依据</w:t>
            </w:r>
          </w:p>
        </w:tc>
      </w:tr>
      <w:tr w14:paraId="09EB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CDB49">
            <w:pPr>
              <w:pStyle w:val="13"/>
            </w:pPr>
            <w:r>
              <w:t>产出指标</w:t>
            </w:r>
          </w:p>
        </w:tc>
        <w:tc>
          <w:tcPr>
            <w:tcW w:w="2268" w:type="dxa"/>
            <w:vAlign w:val="center"/>
          </w:tcPr>
          <w:p w14:paraId="40BE9555">
            <w:pPr>
              <w:pStyle w:val="12"/>
            </w:pPr>
            <w:r>
              <w:t>数量指标</w:t>
            </w:r>
          </w:p>
        </w:tc>
        <w:tc>
          <w:tcPr>
            <w:tcW w:w="2835" w:type="dxa"/>
            <w:vAlign w:val="center"/>
          </w:tcPr>
          <w:p w14:paraId="47F66CE7">
            <w:pPr>
              <w:pStyle w:val="12"/>
            </w:pPr>
            <w:r>
              <w:t>幼儿园设备购置</w:t>
            </w:r>
          </w:p>
        </w:tc>
        <w:tc>
          <w:tcPr>
            <w:tcW w:w="5386" w:type="dxa"/>
            <w:vAlign w:val="center"/>
          </w:tcPr>
          <w:p w14:paraId="461044D6">
            <w:pPr>
              <w:pStyle w:val="12"/>
            </w:pPr>
            <w:r>
              <w:t>一体机、幼儿床、户外攀爬架等</w:t>
            </w:r>
          </w:p>
        </w:tc>
        <w:tc>
          <w:tcPr>
            <w:tcW w:w="2268" w:type="dxa"/>
            <w:vAlign w:val="center"/>
          </w:tcPr>
          <w:p w14:paraId="5AA67AB0">
            <w:pPr>
              <w:pStyle w:val="12"/>
            </w:pPr>
            <w:r>
              <w:t>14项</w:t>
            </w:r>
          </w:p>
        </w:tc>
        <w:tc>
          <w:tcPr>
            <w:tcW w:w="1276" w:type="dxa"/>
            <w:vAlign w:val="center"/>
          </w:tcPr>
          <w:p w14:paraId="26C45679">
            <w:pPr>
              <w:pStyle w:val="12"/>
            </w:pPr>
            <w:r>
              <w:t>项目规划</w:t>
            </w:r>
          </w:p>
        </w:tc>
      </w:tr>
      <w:tr w14:paraId="0AA9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8C06"/>
        </w:tc>
        <w:tc>
          <w:tcPr>
            <w:tcW w:w="2268" w:type="dxa"/>
            <w:vAlign w:val="center"/>
          </w:tcPr>
          <w:p w14:paraId="41BD473F">
            <w:pPr>
              <w:pStyle w:val="12"/>
            </w:pPr>
            <w:r>
              <w:t>质量指标</w:t>
            </w:r>
          </w:p>
        </w:tc>
        <w:tc>
          <w:tcPr>
            <w:tcW w:w="2835" w:type="dxa"/>
            <w:vAlign w:val="center"/>
          </w:tcPr>
          <w:p w14:paraId="021CF274">
            <w:pPr>
              <w:pStyle w:val="12"/>
            </w:pPr>
            <w:r>
              <w:t>工程实施验收合格率</w:t>
            </w:r>
          </w:p>
        </w:tc>
        <w:tc>
          <w:tcPr>
            <w:tcW w:w="5386" w:type="dxa"/>
            <w:vAlign w:val="center"/>
          </w:tcPr>
          <w:p w14:paraId="6C0A4323">
            <w:pPr>
              <w:pStyle w:val="12"/>
            </w:pPr>
            <w:r>
              <w:t>申报程序的合规，项目实施及资金使用符合项目规划</w:t>
            </w:r>
          </w:p>
        </w:tc>
        <w:tc>
          <w:tcPr>
            <w:tcW w:w="2268" w:type="dxa"/>
            <w:vAlign w:val="center"/>
          </w:tcPr>
          <w:p w14:paraId="71142D85">
            <w:pPr>
              <w:pStyle w:val="12"/>
            </w:pPr>
            <w:r>
              <w:t>100%</w:t>
            </w:r>
          </w:p>
        </w:tc>
        <w:tc>
          <w:tcPr>
            <w:tcW w:w="1276" w:type="dxa"/>
            <w:vAlign w:val="center"/>
          </w:tcPr>
          <w:p w14:paraId="6F7C38D1">
            <w:pPr>
              <w:pStyle w:val="12"/>
            </w:pPr>
            <w:r>
              <w:t>项目规划</w:t>
            </w:r>
          </w:p>
        </w:tc>
      </w:tr>
      <w:tr w14:paraId="31F8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50B73"/>
        </w:tc>
        <w:tc>
          <w:tcPr>
            <w:tcW w:w="2268" w:type="dxa"/>
            <w:vAlign w:val="center"/>
          </w:tcPr>
          <w:p w14:paraId="4A33D8C9">
            <w:pPr>
              <w:pStyle w:val="12"/>
            </w:pPr>
            <w:r>
              <w:t>时效指标</w:t>
            </w:r>
          </w:p>
        </w:tc>
        <w:tc>
          <w:tcPr>
            <w:tcW w:w="2835" w:type="dxa"/>
            <w:vAlign w:val="center"/>
          </w:tcPr>
          <w:p w14:paraId="028B5756">
            <w:pPr>
              <w:pStyle w:val="12"/>
            </w:pPr>
            <w:r>
              <w:t>资金支付率</w:t>
            </w:r>
          </w:p>
        </w:tc>
        <w:tc>
          <w:tcPr>
            <w:tcW w:w="5386" w:type="dxa"/>
            <w:vAlign w:val="center"/>
          </w:tcPr>
          <w:p w14:paraId="4DB0993B">
            <w:pPr>
              <w:pStyle w:val="12"/>
            </w:pPr>
            <w:r>
              <w:t>按照序时进度完成资金支付</w:t>
            </w:r>
          </w:p>
        </w:tc>
        <w:tc>
          <w:tcPr>
            <w:tcW w:w="2268" w:type="dxa"/>
            <w:vAlign w:val="center"/>
          </w:tcPr>
          <w:p w14:paraId="0CA03769">
            <w:pPr>
              <w:pStyle w:val="12"/>
            </w:pPr>
            <w:r>
              <w:t>100%</w:t>
            </w:r>
          </w:p>
        </w:tc>
        <w:tc>
          <w:tcPr>
            <w:tcW w:w="1276" w:type="dxa"/>
            <w:vAlign w:val="center"/>
          </w:tcPr>
          <w:p w14:paraId="68A78649">
            <w:pPr>
              <w:pStyle w:val="12"/>
            </w:pPr>
            <w:r>
              <w:t>项目规划</w:t>
            </w:r>
          </w:p>
        </w:tc>
      </w:tr>
      <w:tr w14:paraId="75F1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030BC"/>
        </w:tc>
        <w:tc>
          <w:tcPr>
            <w:tcW w:w="2268" w:type="dxa"/>
            <w:vAlign w:val="center"/>
          </w:tcPr>
          <w:p w14:paraId="127C62FF">
            <w:pPr>
              <w:pStyle w:val="12"/>
            </w:pPr>
            <w:r>
              <w:t>成本指标</w:t>
            </w:r>
          </w:p>
        </w:tc>
        <w:tc>
          <w:tcPr>
            <w:tcW w:w="2835" w:type="dxa"/>
            <w:vAlign w:val="center"/>
          </w:tcPr>
          <w:p w14:paraId="2DDE7750">
            <w:pPr>
              <w:pStyle w:val="12"/>
            </w:pPr>
            <w:r>
              <w:t>项目成本控制情况</w:t>
            </w:r>
          </w:p>
        </w:tc>
        <w:tc>
          <w:tcPr>
            <w:tcW w:w="5386" w:type="dxa"/>
            <w:vAlign w:val="center"/>
          </w:tcPr>
          <w:p w14:paraId="1CD2F65E">
            <w:pPr>
              <w:pStyle w:val="12"/>
            </w:pPr>
            <w:r>
              <w:t>严格按照招标价格及审计额进行</w:t>
            </w:r>
          </w:p>
        </w:tc>
        <w:tc>
          <w:tcPr>
            <w:tcW w:w="2268" w:type="dxa"/>
            <w:vAlign w:val="center"/>
          </w:tcPr>
          <w:p w14:paraId="2D5B87C7">
            <w:pPr>
              <w:pStyle w:val="12"/>
            </w:pPr>
            <w:r>
              <w:t>21.65万元</w:t>
            </w:r>
          </w:p>
        </w:tc>
        <w:tc>
          <w:tcPr>
            <w:tcW w:w="1276" w:type="dxa"/>
            <w:vAlign w:val="center"/>
          </w:tcPr>
          <w:p w14:paraId="5C149A03">
            <w:pPr>
              <w:pStyle w:val="12"/>
            </w:pPr>
            <w:r>
              <w:t>项目规划</w:t>
            </w:r>
          </w:p>
        </w:tc>
      </w:tr>
      <w:tr w14:paraId="2F6B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3E56E">
            <w:pPr>
              <w:pStyle w:val="13"/>
            </w:pPr>
            <w:r>
              <w:t>效益指标</w:t>
            </w:r>
          </w:p>
        </w:tc>
        <w:tc>
          <w:tcPr>
            <w:tcW w:w="2268" w:type="dxa"/>
            <w:vAlign w:val="center"/>
          </w:tcPr>
          <w:p w14:paraId="63D90472">
            <w:pPr>
              <w:pStyle w:val="12"/>
            </w:pPr>
            <w:r>
              <w:t>可持续影响指标</w:t>
            </w:r>
          </w:p>
        </w:tc>
        <w:tc>
          <w:tcPr>
            <w:tcW w:w="2835" w:type="dxa"/>
            <w:vAlign w:val="center"/>
          </w:tcPr>
          <w:p w14:paraId="22C3ADA2">
            <w:pPr>
              <w:pStyle w:val="12"/>
            </w:pPr>
            <w:r>
              <w:t>教育发展水平</w:t>
            </w:r>
          </w:p>
        </w:tc>
        <w:tc>
          <w:tcPr>
            <w:tcW w:w="5386" w:type="dxa"/>
            <w:vAlign w:val="center"/>
          </w:tcPr>
          <w:p w14:paraId="160CC2C3">
            <w:pPr>
              <w:pStyle w:val="12"/>
            </w:pPr>
            <w:r>
              <w:t>受益人数</w:t>
            </w:r>
          </w:p>
        </w:tc>
        <w:tc>
          <w:tcPr>
            <w:tcW w:w="2268" w:type="dxa"/>
            <w:vAlign w:val="center"/>
          </w:tcPr>
          <w:p w14:paraId="2191297F">
            <w:pPr>
              <w:pStyle w:val="12"/>
            </w:pPr>
            <w:r>
              <w:t>558人</w:t>
            </w:r>
          </w:p>
        </w:tc>
        <w:tc>
          <w:tcPr>
            <w:tcW w:w="1276" w:type="dxa"/>
            <w:vAlign w:val="center"/>
          </w:tcPr>
          <w:p w14:paraId="6E862892">
            <w:pPr>
              <w:pStyle w:val="12"/>
            </w:pPr>
            <w:r>
              <w:t>项目规划</w:t>
            </w:r>
          </w:p>
        </w:tc>
      </w:tr>
      <w:tr w14:paraId="6717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BF714">
            <w:pPr>
              <w:pStyle w:val="13"/>
            </w:pPr>
            <w:r>
              <w:t>满意度指标</w:t>
            </w:r>
          </w:p>
        </w:tc>
        <w:tc>
          <w:tcPr>
            <w:tcW w:w="2268" w:type="dxa"/>
            <w:vAlign w:val="center"/>
          </w:tcPr>
          <w:p w14:paraId="000B9C96">
            <w:pPr>
              <w:pStyle w:val="12"/>
            </w:pPr>
            <w:r>
              <w:t>服务对象满意度指标</w:t>
            </w:r>
          </w:p>
        </w:tc>
        <w:tc>
          <w:tcPr>
            <w:tcW w:w="2835" w:type="dxa"/>
            <w:vAlign w:val="center"/>
          </w:tcPr>
          <w:p w14:paraId="6A938245">
            <w:pPr>
              <w:pStyle w:val="12"/>
            </w:pPr>
            <w:r>
              <w:t>学生、教师及家长对学校教学环境满意度情况</w:t>
            </w:r>
          </w:p>
        </w:tc>
        <w:tc>
          <w:tcPr>
            <w:tcW w:w="5386" w:type="dxa"/>
            <w:vAlign w:val="center"/>
          </w:tcPr>
          <w:p w14:paraId="455A4EDF">
            <w:pPr>
              <w:pStyle w:val="12"/>
            </w:pPr>
            <w:r>
              <w:t>学生、教师及家长对学校教学环境满意度情况</w:t>
            </w:r>
          </w:p>
        </w:tc>
        <w:tc>
          <w:tcPr>
            <w:tcW w:w="2268" w:type="dxa"/>
            <w:vAlign w:val="center"/>
          </w:tcPr>
          <w:p w14:paraId="2374F013">
            <w:pPr>
              <w:pStyle w:val="12"/>
            </w:pPr>
            <w:r>
              <w:t>≥95%</w:t>
            </w:r>
          </w:p>
        </w:tc>
        <w:tc>
          <w:tcPr>
            <w:tcW w:w="1276" w:type="dxa"/>
            <w:vAlign w:val="center"/>
          </w:tcPr>
          <w:p w14:paraId="47C708C9">
            <w:pPr>
              <w:pStyle w:val="12"/>
            </w:pPr>
            <w:r>
              <w:t>调查问卷</w:t>
            </w:r>
          </w:p>
        </w:tc>
      </w:tr>
    </w:tbl>
    <w:p w14:paraId="1B071CB2">
      <w:pPr>
        <w:sectPr>
          <w:pgSz w:w="16840" w:h="11900" w:orient="landscape"/>
          <w:pgMar w:top="1361" w:right="1020" w:bottom="1134" w:left="1020" w:header="720" w:footer="720" w:gutter="0"/>
          <w:cols w:space="720" w:num="1"/>
        </w:sectPr>
      </w:pPr>
    </w:p>
    <w:p w14:paraId="6FC1C6E2">
      <w:pPr>
        <w:spacing w:before="0" w:after="0"/>
        <w:ind w:firstLine="560"/>
        <w:jc w:val="left"/>
        <w:outlineLvl w:val="9"/>
      </w:pPr>
      <w:r>
        <w:rPr>
          <w:rFonts w:ascii="方正仿宋_GBK" w:hAnsi="方正仿宋_GBK" w:eastAsia="方正仿宋_GBK" w:cs="方正仿宋_GBK"/>
          <w:b/>
          <w:color w:val="000000"/>
          <w:sz w:val="28"/>
        </w:rPr>
        <w:t>12、冀财教[2025]122号/中央/支持学前教育发展/景福幼儿园校园维修改造绩效目标表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F8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5FAC8">
            <w:pPr>
              <w:pStyle w:val="11"/>
            </w:pPr>
            <w:r>
              <w:t>单位：万元</w:t>
            </w:r>
          </w:p>
        </w:tc>
      </w:tr>
      <w:tr w14:paraId="38755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34768">
            <w:pPr>
              <w:pStyle w:val="10"/>
            </w:pPr>
            <w:r>
              <w:t>项目编码</w:t>
            </w:r>
          </w:p>
        </w:tc>
        <w:tc>
          <w:tcPr>
            <w:tcW w:w="5103" w:type="dxa"/>
            <w:gridSpan w:val="2"/>
            <w:vAlign w:val="center"/>
          </w:tcPr>
          <w:p w14:paraId="663CE6ED">
            <w:pPr>
              <w:pStyle w:val="12"/>
            </w:pPr>
            <w:r>
              <w:t>13052526P00876910191Q</w:t>
            </w:r>
          </w:p>
        </w:tc>
        <w:tc>
          <w:tcPr>
            <w:tcW w:w="2835" w:type="dxa"/>
            <w:vAlign w:val="center"/>
          </w:tcPr>
          <w:p w14:paraId="6E604F41">
            <w:pPr>
              <w:pStyle w:val="10"/>
            </w:pPr>
            <w:r>
              <w:t>项目名称</w:t>
            </w:r>
          </w:p>
        </w:tc>
        <w:tc>
          <w:tcPr>
            <w:tcW w:w="6095" w:type="dxa"/>
            <w:gridSpan w:val="3"/>
            <w:vAlign w:val="center"/>
          </w:tcPr>
          <w:p w14:paraId="2F736E6F">
            <w:pPr>
              <w:pStyle w:val="12"/>
            </w:pPr>
            <w:r>
              <w:t>冀财教[2025]122号/中央/支持学前教育发展/景福幼儿园校园维修改造</w:t>
            </w:r>
          </w:p>
        </w:tc>
      </w:tr>
      <w:tr w14:paraId="28BCA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3BD8A">
            <w:pPr>
              <w:pStyle w:val="10"/>
            </w:pPr>
            <w:r>
              <w:t>预算规模及资金用途</w:t>
            </w:r>
          </w:p>
        </w:tc>
        <w:tc>
          <w:tcPr>
            <w:tcW w:w="2268" w:type="dxa"/>
            <w:vAlign w:val="center"/>
          </w:tcPr>
          <w:p w14:paraId="37B8F392">
            <w:pPr>
              <w:pStyle w:val="10"/>
            </w:pPr>
            <w:r>
              <w:t>预算数</w:t>
            </w:r>
          </w:p>
        </w:tc>
        <w:tc>
          <w:tcPr>
            <w:tcW w:w="2835" w:type="dxa"/>
            <w:vAlign w:val="center"/>
          </w:tcPr>
          <w:p w14:paraId="037F02BD">
            <w:pPr>
              <w:pStyle w:val="12"/>
            </w:pPr>
            <w:r>
              <w:t>21.60</w:t>
            </w:r>
          </w:p>
        </w:tc>
        <w:tc>
          <w:tcPr>
            <w:tcW w:w="2835" w:type="dxa"/>
            <w:vAlign w:val="center"/>
          </w:tcPr>
          <w:p w14:paraId="5AAC0097">
            <w:pPr>
              <w:pStyle w:val="10"/>
            </w:pPr>
            <w:r>
              <w:t>其中：财政    资金</w:t>
            </w:r>
          </w:p>
        </w:tc>
        <w:tc>
          <w:tcPr>
            <w:tcW w:w="2551" w:type="dxa"/>
            <w:vAlign w:val="center"/>
          </w:tcPr>
          <w:p w14:paraId="5B38A132">
            <w:pPr>
              <w:pStyle w:val="12"/>
            </w:pPr>
            <w:r>
              <w:t>21.60</w:t>
            </w:r>
          </w:p>
        </w:tc>
        <w:tc>
          <w:tcPr>
            <w:tcW w:w="2268" w:type="dxa"/>
            <w:vAlign w:val="center"/>
          </w:tcPr>
          <w:p w14:paraId="4DCC3196">
            <w:pPr>
              <w:pStyle w:val="10"/>
            </w:pPr>
            <w:r>
              <w:t>其他资金</w:t>
            </w:r>
          </w:p>
        </w:tc>
        <w:tc>
          <w:tcPr>
            <w:tcW w:w="1276" w:type="dxa"/>
            <w:vAlign w:val="center"/>
          </w:tcPr>
          <w:p w14:paraId="29D9AB05">
            <w:pPr>
              <w:pStyle w:val="12"/>
            </w:pPr>
            <w:r>
              <w:t xml:space="preserve"> </w:t>
            </w:r>
          </w:p>
        </w:tc>
      </w:tr>
      <w:tr w14:paraId="33774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D0C7C"/>
        </w:tc>
        <w:tc>
          <w:tcPr>
            <w:tcW w:w="14033" w:type="dxa"/>
            <w:gridSpan w:val="6"/>
            <w:vAlign w:val="center"/>
          </w:tcPr>
          <w:p w14:paraId="3AB8B1B3">
            <w:pPr>
              <w:pStyle w:val="12"/>
            </w:pPr>
            <w:r>
              <w:t>提升教学质量，改善幼儿现状，创造良好的幼儿环境。</w:t>
            </w:r>
          </w:p>
        </w:tc>
      </w:tr>
      <w:tr w14:paraId="72E98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4C69F">
            <w:pPr>
              <w:pStyle w:val="10"/>
            </w:pPr>
            <w:r>
              <w:t>资金支出计划（%）</w:t>
            </w:r>
          </w:p>
        </w:tc>
        <w:tc>
          <w:tcPr>
            <w:tcW w:w="5103" w:type="dxa"/>
            <w:gridSpan w:val="2"/>
            <w:vAlign w:val="center"/>
          </w:tcPr>
          <w:p w14:paraId="6F9DC697">
            <w:pPr>
              <w:pStyle w:val="10"/>
            </w:pPr>
            <w:r>
              <w:t>3月底</w:t>
            </w:r>
          </w:p>
        </w:tc>
        <w:tc>
          <w:tcPr>
            <w:tcW w:w="2835" w:type="dxa"/>
            <w:vAlign w:val="center"/>
          </w:tcPr>
          <w:p w14:paraId="5BF67418">
            <w:pPr>
              <w:pStyle w:val="10"/>
            </w:pPr>
            <w:r>
              <w:t>6月底</w:t>
            </w:r>
          </w:p>
        </w:tc>
        <w:tc>
          <w:tcPr>
            <w:tcW w:w="2551" w:type="dxa"/>
            <w:vAlign w:val="center"/>
          </w:tcPr>
          <w:p w14:paraId="48FC83A2">
            <w:pPr>
              <w:pStyle w:val="10"/>
            </w:pPr>
            <w:r>
              <w:t>10月底</w:t>
            </w:r>
          </w:p>
        </w:tc>
        <w:tc>
          <w:tcPr>
            <w:tcW w:w="3544" w:type="dxa"/>
            <w:gridSpan w:val="2"/>
            <w:vAlign w:val="center"/>
          </w:tcPr>
          <w:p w14:paraId="0653557E">
            <w:pPr>
              <w:pStyle w:val="10"/>
            </w:pPr>
            <w:r>
              <w:t>12月底</w:t>
            </w:r>
          </w:p>
        </w:tc>
      </w:tr>
      <w:tr w14:paraId="4FF4F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13668"/>
        </w:tc>
        <w:tc>
          <w:tcPr>
            <w:tcW w:w="5103" w:type="dxa"/>
            <w:gridSpan w:val="2"/>
            <w:vAlign w:val="center"/>
          </w:tcPr>
          <w:p w14:paraId="22041D4F">
            <w:pPr>
              <w:pStyle w:val="13"/>
            </w:pPr>
            <w:r>
              <w:t xml:space="preserve"> </w:t>
            </w:r>
          </w:p>
        </w:tc>
        <w:tc>
          <w:tcPr>
            <w:tcW w:w="2835" w:type="dxa"/>
            <w:vAlign w:val="center"/>
          </w:tcPr>
          <w:p w14:paraId="4EDF3730">
            <w:pPr>
              <w:pStyle w:val="13"/>
            </w:pPr>
            <w:r>
              <w:t xml:space="preserve"> </w:t>
            </w:r>
          </w:p>
        </w:tc>
        <w:tc>
          <w:tcPr>
            <w:tcW w:w="2551" w:type="dxa"/>
            <w:vAlign w:val="center"/>
          </w:tcPr>
          <w:p w14:paraId="09FA2B08">
            <w:pPr>
              <w:pStyle w:val="13"/>
            </w:pPr>
            <w:r>
              <w:t>100%</w:t>
            </w:r>
          </w:p>
        </w:tc>
        <w:tc>
          <w:tcPr>
            <w:tcW w:w="3544" w:type="dxa"/>
            <w:gridSpan w:val="2"/>
            <w:vAlign w:val="center"/>
          </w:tcPr>
          <w:p w14:paraId="5079A8D9">
            <w:pPr>
              <w:pStyle w:val="13"/>
            </w:pPr>
            <w:r>
              <w:t>100%</w:t>
            </w:r>
          </w:p>
        </w:tc>
      </w:tr>
      <w:tr w14:paraId="51201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C1AF5">
            <w:pPr>
              <w:pStyle w:val="10"/>
            </w:pPr>
            <w:r>
              <w:t>绩效目标</w:t>
            </w:r>
          </w:p>
        </w:tc>
        <w:tc>
          <w:tcPr>
            <w:tcW w:w="14033" w:type="dxa"/>
            <w:gridSpan w:val="6"/>
            <w:vAlign w:val="center"/>
          </w:tcPr>
          <w:p w14:paraId="1BE1129B">
            <w:pPr>
              <w:pStyle w:val="12"/>
            </w:pPr>
            <w:r>
              <w:t>1.项目</w:t>
            </w:r>
            <w:r>
              <w:rPr>
                <w:rFonts w:hint="eastAsia"/>
                <w:lang w:eastAsia="zh-CN"/>
              </w:rPr>
              <w:t>需</w:t>
            </w:r>
            <w:r>
              <w:t>资金21.6万元，资金拨付率达到100%。</w:t>
            </w:r>
          </w:p>
          <w:p w14:paraId="42DA3238">
            <w:pPr>
              <w:pStyle w:val="12"/>
            </w:pPr>
            <w:r>
              <w:t>2.提升教学质量，改善幼儿现状，创造良好的幼儿环境。</w:t>
            </w:r>
          </w:p>
        </w:tc>
      </w:tr>
    </w:tbl>
    <w:p w14:paraId="714E2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B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E0AA4">
            <w:pPr>
              <w:pStyle w:val="10"/>
            </w:pPr>
            <w:r>
              <w:t>一级指标</w:t>
            </w:r>
          </w:p>
        </w:tc>
        <w:tc>
          <w:tcPr>
            <w:tcW w:w="2268" w:type="dxa"/>
            <w:vAlign w:val="center"/>
          </w:tcPr>
          <w:p w14:paraId="5B4FF1A3">
            <w:pPr>
              <w:pStyle w:val="10"/>
            </w:pPr>
            <w:r>
              <w:t>二级指标</w:t>
            </w:r>
          </w:p>
        </w:tc>
        <w:tc>
          <w:tcPr>
            <w:tcW w:w="2835" w:type="dxa"/>
            <w:vAlign w:val="center"/>
          </w:tcPr>
          <w:p w14:paraId="49EA912F">
            <w:pPr>
              <w:pStyle w:val="10"/>
            </w:pPr>
            <w:r>
              <w:t>三级指标</w:t>
            </w:r>
          </w:p>
        </w:tc>
        <w:tc>
          <w:tcPr>
            <w:tcW w:w="5386" w:type="dxa"/>
            <w:vAlign w:val="center"/>
          </w:tcPr>
          <w:p w14:paraId="39D9E851">
            <w:pPr>
              <w:pStyle w:val="10"/>
            </w:pPr>
            <w:r>
              <w:t>绩效指标描述</w:t>
            </w:r>
          </w:p>
        </w:tc>
        <w:tc>
          <w:tcPr>
            <w:tcW w:w="2268" w:type="dxa"/>
            <w:vAlign w:val="center"/>
          </w:tcPr>
          <w:p w14:paraId="43D52BD2">
            <w:pPr>
              <w:pStyle w:val="10"/>
            </w:pPr>
            <w:r>
              <w:t>指标值</w:t>
            </w:r>
          </w:p>
        </w:tc>
        <w:tc>
          <w:tcPr>
            <w:tcW w:w="1276" w:type="dxa"/>
            <w:vAlign w:val="center"/>
          </w:tcPr>
          <w:p w14:paraId="3ECB72B0">
            <w:pPr>
              <w:pStyle w:val="10"/>
            </w:pPr>
            <w:r>
              <w:t>指标值确定依据</w:t>
            </w:r>
          </w:p>
        </w:tc>
      </w:tr>
      <w:tr w14:paraId="662F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89A3F">
            <w:pPr>
              <w:pStyle w:val="13"/>
            </w:pPr>
            <w:r>
              <w:t>产出指标</w:t>
            </w:r>
          </w:p>
        </w:tc>
        <w:tc>
          <w:tcPr>
            <w:tcW w:w="2268" w:type="dxa"/>
            <w:vAlign w:val="center"/>
          </w:tcPr>
          <w:p w14:paraId="79C3D9EB">
            <w:pPr>
              <w:pStyle w:val="12"/>
            </w:pPr>
            <w:r>
              <w:t>数量指标</w:t>
            </w:r>
          </w:p>
        </w:tc>
        <w:tc>
          <w:tcPr>
            <w:tcW w:w="2835" w:type="dxa"/>
            <w:vAlign w:val="center"/>
          </w:tcPr>
          <w:p w14:paraId="70B6D16D">
            <w:pPr>
              <w:pStyle w:val="12"/>
            </w:pPr>
            <w:r>
              <w:t>幼儿园维修改造</w:t>
            </w:r>
          </w:p>
        </w:tc>
        <w:tc>
          <w:tcPr>
            <w:tcW w:w="5386" w:type="dxa"/>
            <w:vAlign w:val="center"/>
          </w:tcPr>
          <w:p w14:paraId="61F03C74">
            <w:pPr>
              <w:pStyle w:val="12"/>
            </w:pPr>
            <w:r>
              <w:t>更换断桥铝、校园外墙粉刷、地面维修等</w:t>
            </w:r>
          </w:p>
        </w:tc>
        <w:tc>
          <w:tcPr>
            <w:tcW w:w="2268" w:type="dxa"/>
            <w:vAlign w:val="center"/>
          </w:tcPr>
          <w:p w14:paraId="1071A3FC">
            <w:pPr>
              <w:pStyle w:val="12"/>
            </w:pPr>
            <w:r>
              <w:t>7项</w:t>
            </w:r>
          </w:p>
        </w:tc>
        <w:tc>
          <w:tcPr>
            <w:tcW w:w="1276" w:type="dxa"/>
            <w:vAlign w:val="center"/>
          </w:tcPr>
          <w:p w14:paraId="6DE9D7B2">
            <w:pPr>
              <w:pStyle w:val="12"/>
            </w:pPr>
            <w:r>
              <w:t>项目规划</w:t>
            </w:r>
          </w:p>
        </w:tc>
      </w:tr>
      <w:tr w14:paraId="1A17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DC676"/>
        </w:tc>
        <w:tc>
          <w:tcPr>
            <w:tcW w:w="2268" w:type="dxa"/>
            <w:vAlign w:val="center"/>
          </w:tcPr>
          <w:p w14:paraId="387730A1">
            <w:pPr>
              <w:pStyle w:val="12"/>
            </w:pPr>
            <w:r>
              <w:t>质量指标</w:t>
            </w:r>
          </w:p>
        </w:tc>
        <w:tc>
          <w:tcPr>
            <w:tcW w:w="2835" w:type="dxa"/>
            <w:vAlign w:val="center"/>
          </w:tcPr>
          <w:p w14:paraId="70FDBB5A">
            <w:pPr>
              <w:pStyle w:val="12"/>
            </w:pPr>
            <w:r>
              <w:t>工程实施验收合格率</w:t>
            </w:r>
          </w:p>
        </w:tc>
        <w:tc>
          <w:tcPr>
            <w:tcW w:w="5386" w:type="dxa"/>
            <w:vAlign w:val="center"/>
          </w:tcPr>
          <w:p w14:paraId="68FCAD08">
            <w:pPr>
              <w:pStyle w:val="12"/>
            </w:pPr>
            <w:r>
              <w:t>申报程序的合规，项目实施及资金使用符合项目规划</w:t>
            </w:r>
          </w:p>
        </w:tc>
        <w:tc>
          <w:tcPr>
            <w:tcW w:w="2268" w:type="dxa"/>
            <w:vAlign w:val="center"/>
          </w:tcPr>
          <w:p w14:paraId="7CA52BE0">
            <w:pPr>
              <w:pStyle w:val="12"/>
            </w:pPr>
            <w:r>
              <w:t>100%</w:t>
            </w:r>
          </w:p>
        </w:tc>
        <w:tc>
          <w:tcPr>
            <w:tcW w:w="1276" w:type="dxa"/>
            <w:vAlign w:val="center"/>
          </w:tcPr>
          <w:p w14:paraId="4749D6FB">
            <w:pPr>
              <w:pStyle w:val="12"/>
            </w:pPr>
            <w:r>
              <w:t>项目规划</w:t>
            </w:r>
          </w:p>
        </w:tc>
      </w:tr>
      <w:tr w14:paraId="04C6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E8BD"/>
        </w:tc>
        <w:tc>
          <w:tcPr>
            <w:tcW w:w="2268" w:type="dxa"/>
            <w:vAlign w:val="center"/>
          </w:tcPr>
          <w:p w14:paraId="4B260E4C">
            <w:pPr>
              <w:pStyle w:val="12"/>
            </w:pPr>
            <w:r>
              <w:t>时效指标</w:t>
            </w:r>
          </w:p>
        </w:tc>
        <w:tc>
          <w:tcPr>
            <w:tcW w:w="2835" w:type="dxa"/>
            <w:vAlign w:val="center"/>
          </w:tcPr>
          <w:p w14:paraId="7573AF0E">
            <w:pPr>
              <w:pStyle w:val="12"/>
            </w:pPr>
            <w:r>
              <w:t>资金支付率</w:t>
            </w:r>
          </w:p>
        </w:tc>
        <w:tc>
          <w:tcPr>
            <w:tcW w:w="5386" w:type="dxa"/>
            <w:vAlign w:val="center"/>
          </w:tcPr>
          <w:p w14:paraId="0DB979B9">
            <w:pPr>
              <w:pStyle w:val="12"/>
            </w:pPr>
            <w:r>
              <w:t>按照序时进度完成资金支付</w:t>
            </w:r>
          </w:p>
        </w:tc>
        <w:tc>
          <w:tcPr>
            <w:tcW w:w="2268" w:type="dxa"/>
            <w:vAlign w:val="center"/>
          </w:tcPr>
          <w:p w14:paraId="7978E903">
            <w:pPr>
              <w:pStyle w:val="12"/>
            </w:pPr>
            <w:r>
              <w:t>100%</w:t>
            </w:r>
          </w:p>
        </w:tc>
        <w:tc>
          <w:tcPr>
            <w:tcW w:w="1276" w:type="dxa"/>
            <w:vAlign w:val="center"/>
          </w:tcPr>
          <w:p w14:paraId="23F9F8A7">
            <w:pPr>
              <w:pStyle w:val="12"/>
            </w:pPr>
            <w:r>
              <w:t>项目规划</w:t>
            </w:r>
          </w:p>
        </w:tc>
      </w:tr>
      <w:tr w14:paraId="5663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8E928"/>
        </w:tc>
        <w:tc>
          <w:tcPr>
            <w:tcW w:w="2268" w:type="dxa"/>
            <w:vAlign w:val="center"/>
          </w:tcPr>
          <w:p w14:paraId="2C3A6FED">
            <w:pPr>
              <w:pStyle w:val="12"/>
            </w:pPr>
            <w:r>
              <w:t>成本指标</w:t>
            </w:r>
          </w:p>
        </w:tc>
        <w:tc>
          <w:tcPr>
            <w:tcW w:w="2835" w:type="dxa"/>
            <w:vAlign w:val="center"/>
          </w:tcPr>
          <w:p w14:paraId="2CF43BCB">
            <w:pPr>
              <w:pStyle w:val="12"/>
            </w:pPr>
            <w:r>
              <w:t>项目成本控制情况</w:t>
            </w:r>
          </w:p>
        </w:tc>
        <w:tc>
          <w:tcPr>
            <w:tcW w:w="5386" w:type="dxa"/>
            <w:vAlign w:val="center"/>
          </w:tcPr>
          <w:p w14:paraId="1045D10A">
            <w:pPr>
              <w:pStyle w:val="12"/>
            </w:pPr>
            <w:r>
              <w:t>严格按照招标价格及审计额进行</w:t>
            </w:r>
          </w:p>
        </w:tc>
        <w:tc>
          <w:tcPr>
            <w:tcW w:w="2268" w:type="dxa"/>
            <w:vAlign w:val="center"/>
          </w:tcPr>
          <w:p w14:paraId="70C0D133">
            <w:pPr>
              <w:pStyle w:val="12"/>
            </w:pPr>
            <w:r>
              <w:t>21.6万元</w:t>
            </w:r>
          </w:p>
        </w:tc>
        <w:tc>
          <w:tcPr>
            <w:tcW w:w="1276" w:type="dxa"/>
            <w:vAlign w:val="center"/>
          </w:tcPr>
          <w:p w14:paraId="3B178AE8">
            <w:pPr>
              <w:pStyle w:val="12"/>
            </w:pPr>
            <w:r>
              <w:t>项目规划</w:t>
            </w:r>
          </w:p>
        </w:tc>
      </w:tr>
      <w:tr w14:paraId="050A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2EEA6">
            <w:pPr>
              <w:pStyle w:val="13"/>
            </w:pPr>
            <w:r>
              <w:t>效益指标</w:t>
            </w:r>
          </w:p>
        </w:tc>
        <w:tc>
          <w:tcPr>
            <w:tcW w:w="2268" w:type="dxa"/>
            <w:vAlign w:val="center"/>
          </w:tcPr>
          <w:p w14:paraId="701BFF1D">
            <w:pPr>
              <w:pStyle w:val="12"/>
            </w:pPr>
            <w:r>
              <w:t>可持续影响指标</w:t>
            </w:r>
          </w:p>
        </w:tc>
        <w:tc>
          <w:tcPr>
            <w:tcW w:w="2835" w:type="dxa"/>
            <w:vAlign w:val="center"/>
          </w:tcPr>
          <w:p w14:paraId="3AF98EA8">
            <w:pPr>
              <w:pStyle w:val="12"/>
            </w:pPr>
            <w:r>
              <w:t>教育发展水平</w:t>
            </w:r>
          </w:p>
        </w:tc>
        <w:tc>
          <w:tcPr>
            <w:tcW w:w="5386" w:type="dxa"/>
            <w:vAlign w:val="center"/>
          </w:tcPr>
          <w:p w14:paraId="31C523A1">
            <w:pPr>
              <w:pStyle w:val="12"/>
            </w:pPr>
            <w:r>
              <w:t>受益人数</w:t>
            </w:r>
          </w:p>
        </w:tc>
        <w:tc>
          <w:tcPr>
            <w:tcW w:w="2268" w:type="dxa"/>
            <w:vAlign w:val="center"/>
          </w:tcPr>
          <w:p w14:paraId="0DE829D4">
            <w:pPr>
              <w:pStyle w:val="12"/>
            </w:pPr>
            <w:r>
              <w:t>198人</w:t>
            </w:r>
          </w:p>
        </w:tc>
        <w:tc>
          <w:tcPr>
            <w:tcW w:w="1276" w:type="dxa"/>
            <w:vAlign w:val="center"/>
          </w:tcPr>
          <w:p w14:paraId="65E637FE">
            <w:pPr>
              <w:pStyle w:val="12"/>
            </w:pPr>
            <w:r>
              <w:t>项目规划</w:t>
            </w:r>
          </w:p>
        </w:tc>
      </w:tr>
      <w:tr w14:paraId="50AF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7A4BE">
            <w:pPr>
              <w:pStyle w:val="13"/>
            </w:pPr>
            <w:r>
              <w:t>满意度指标</w:t>
            </w:r>
          </w:p>
        </w:tc>
        <w:tc>
          <w:tcPr>
            <w:tcW w:w="2268" w:type="dxa"/>
            <w:vAlign w:val="center"/>
          </w:tcPr>
          <w:p w14:paraId="155E5B46">
            <w:pPr>
              <w:pStyle w:val="12"/>
            </w:pPr>
            <w:r>
              <w:t>服务对象满意度指标</w:t>
            </w:r>
          </w:p>
        </w:tc>
        <w:tc>
          <w:tcPr>
            <w:tcW w:w="2835" w:type="dxa"/>
            <w:vAlign w:val="center"/>
          </w:tcPr>
          <w:p w14:paraId="2B142072">
            <w:pPr>
              <w:pStyle w:val="12"/>
            </w:pPr>
            <w:r>
              <w:t>学生、教师及家长对学校教学环境满意度情况</w:t>
            </w:r>
          </w:p>
        </w:tc>
        <w:tc>
          <w:tcPr>
            <w:tcW w:w="5386" w:type="dxa"/>
            <w:vAlign w:val="center"/>
          </w:tcPr>
          <w:p w14:paraId="1598D93E">
            <w:pPr>
              <w:pStyle w:val="12"/>
            </w:pPr>
            <w:r>
              <w:t>学生、教师及家长对学校教学环境满意度情况</w:t>
            </w:r>
          </w:p>
        </w:tc>
        <w:tc>
          <w:tcPr>
            <w:tcW w:w="2268" w:type="dxa"/>
            <w:vAlign w:val="center"/>
          </w:tcPr>
          <w:p w14:paraId="388852F8">
            <w:pPr>
              <w:pStyle w:val="12"/>
            </w:pPr>
            <w:r>
              <w:t>≥95%</w:t>
            </w:r>
          </w:p>
        </w:tc>
        <w:tc>
          <w:tcPr>
            <w:tcW w:w="1276" w:type="dxa"/>
            <w:vAlign w:val="center"/>
          </w:tcPr>
          <w:p w14:paraId="17257375">
            <w:pPr>
              <w:pStyle w:val="12"/>
            </w:pPr>
            <w:r>
              <w:t>调查问卷</w:t>
            </w:r>
          </w:p>
        </w:tc>
      </w:tr>
    </w:tbl>
    <w:p w14:paraId="73F017B5">
      <w:pPr>
        <w:sectPr>
          <w:pgSz w:w="16840" w:h="11900" w:orient="landscape"/>
          <w:pgMar w:top="1361" w:right="1020" w:bottom="1134" w:left="1020" w:header="720" w:footer="720" w:gutter="0"/>
          <w:cols w:space="720" w:num="1"/>
        </w:sectPr>
      </w:pPr>
    </w:p>
    <w:p w14:paraId="1BC619C2">
      <w:pPr>
        <w:spacing w:before="0" w:after="0"/>
        <w:ind w:firstLine="560"/>
        <w:jc w:val="left"/>
        <w:outlineLvl w:val="9"/>
      </w:pPr>
      <w:r>
        <w:rPr>
          <w:rFonts w:ascii="方正仿宋_GBK" w:hAnsi="方正仿宋_GBK" w:eastAsia="方正仿宋_GBK" w:cs="方正仿宋_GBK"/>
          <w:b/>
          <w:color w:val="000000"/>
          <w:sz w:val="28"/>
        </w:rPr>
        <w:t>13、冀财教[2025]147号/省级/2026年义教补助经费/北楼校区北楼中心小学公用经费绩效目标表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35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D8E04">
            <w:pPr>
              <w:pStyle w:val="11"/>
            </w:pPr>
            <w:r>
              <w:t>单位：万元</w:t>
            </w:r>
          </w:p>
        </w:tc>
      </w:tr>
      <w:tr w14:paraId="26593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37028">
            <w:pPr>
              <w:pStyle w:val="10"/>
            </w:pPr>
            <w:r>
              <w:t>项目编码</w:t>
            </w:r>
          </w:p>
        </w:tc>
        <w:tc>
          <w:tcPr>
            <w:tcW w:w="5103" w:type="dxa"/>
            <w:gridSpan w:val="2"/>
            <w:vAlign w:val="center"/>
          </w:tcPr>
          <w:p w14:paraId="7E6B9617">
            <w:pPr>
              <w:pStyle w:val="12"/>
            </w:pPr>
            <w:r>
              <w:t>13052526P00000410350M</w:t>
            </w:r>
          </w:p>
        </w:tc>
        <w:tc>
          <w:tcPr>
            <w:tcW w:w="2835" w:type="dxa"/>
            <w:vAlign w:val="center"/>
          </w:tcPr>
          <w:p w14:paraId="519F9663">
            <w:pPr>
              <w:pStyle w:val="10"/>
            </w:pPr>
            <w:r>
              <w:t>项目名称</w:t>
            </w:r>
          </w:p>
        </w:tc>
        <w:tc>
          <w:tcPr>
            <w:tcW w:w="6095" w:type="dxa"/>
            <w:gridSpan w:val="3"/>
            <w:vAlign w:val="center"/>
          </w:tcPr>
          <w:p w14:paraId="21B73EB6">
            <w:pPr>
              <w:pStyle w:val="12"/>
            </w:pPr>
            <w:r>
              <w:t>冀财教[2025]147号/省级/2026年义教补助经费/北楼校区北楼中心小学公用经费</w:t>
            </w:r>
          </w:p>
        </w:tc>
      </w:tr>
      <w:tr w14:paraId="16EA4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5589E">
            <w:pPr>
              <w:pStyle w:val="10"/>
            </w:pPr>
            <w:r>
              <w:t>预算规模及资金用途</w:t>
            </w:r>
          </w:p>
        </w:tc>
        <w:tc>
          <w:tcPr>
            <w:tcW w:w="2268" w:type="dxa"/>
            <w:vAlign w:val="center"/>
          </w:tcPr>
          <w:p w14:paraId="315C2B84">
            <w:pPr>
              <w:pStyle w:val="10"/>
            </w:pPr>
            <w:r>
              <w:t>预算数</w:t>
            </w:r>
          </w:p>
        </w:tc>
        <w:tc>
          <w:tcPr>
            <w:tcW w:w="2835" w:type="dxa"/>
            <w:vAlign w:val="center"/>
          </w:tcPr>
          <w:p w14:paraId="71CE3DC4">
            <w:pPr>
              <w:pStyle w:val="12"/>
            </w:pPr>
            <w:r>
              <w:t>19.72</w:t>
            </w:r>
          </w:p>
        </w:tc>
        <w:tc>
          <w:tcPr>
            <w:tcW w:w="2835" w:type="dxa"/>
            <w:vAlign w:val="center"/>
          </w:tcPr>
          <w:p w14:paraId="6C054998">
            <w:pPr>
              <w:pStyle w:val="10"/>
            </w:pPr>
            <w:r>
              <w:t>其中：财政    资金</w:t>
            </w:r>
          </w:p>
        </w:tc>
        <w:tc>
          <w:tcPr>
            <w:tcW w:w="2551" w:type="dxa"/>
            <w:vAlign w:val="center"/>
          </w:tcPr>
          <w:p w14:paraId="32B652F0">
            <w:pPr>
              <w:pStyle w:val="12"/>
            </w:pPr>
            <w:r>
              <w:t>19.72</w:t>
            </w:r>
          </w:p>
        </w:tc>
        <w:tc>
          <w:tcPr>
            <w:tcW w:w="2268" w:type="dxa"/>
            <w:vAlign w:val="center"/>
          </w:tcPr>
          <w:p w14:paraId="5B8578DD">
            <w:pPr>
              <w:pStyle w:val="10"/>
            </w:pPr>
            <w:r>
              <w:t>其他资金</w:t>
            </w:r>
          </w:p>
        </w:tc>
        <w:tc>
          <w:tcPr>
            <w:tcW w:w="1276" w:type="dxa"/>
            <w:vAlign w:val="center"/>
          </w:tcPr>
          <w:p w14:paraId="5FEEE73B">
            <w:pPr>
              <w:pStyle w:val="12"/>
            </w:pPr>
            <w:r>
              <w:t xml:space="preserve"> </w:t>
            </w:r>
          </w:p>
        </w:tc>
      </w:tr>
      <w:tr w14:paraId="2BDC4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BED0D"/>
        </w:tc>
        <w:tc>
          <w:tcPr>
            <w:tcW w:w="14033" w:type="dxa"/>
            <w:gridSpan w:val="6"/>
            <w:vAlign w:val="center"/>
          </w:tcPr>
          <w:p w14:paraId="76DCA0F9">
            <w:pPr>
              <w:pStyle w:val="12"/>
            </w:pPr>
            <w:r>
              <w:t>有效完成学校教学安全秩序，保障学校教学任务有效开展，满足学校正常教学需要。</w:t>
            </w:r>
          </w:p>
        </w:tc>
      </w:tr>
      <w:tr w14:paraId="1AAE4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61F02">
            <w:pPr>
              <w:pStyle w:val="10"/>
            </w:pPr>
            <w:r>
              <w:t>资金支出计划（%）</w:t>
            </w:r>
          </w:p>
        </w:tc>
        <w:tc>
          <w:tcPr>
            <w:tcW w:w="5103" w:type="dxa"/>
            <w:gridSpan w:val="2"/>
            <w:vAlign w:val="center"/>
          </w:tcPr>
          <w:p w14:paraId="0949F0DD">
            <w:pPr>
              <w:pStyle w:val="10"/>
            </w:pPr>
            <w:r>
              <w:t>3月底</w:t>
            </w:r>
          </w:p>
        </w:tc>
        <w:tc>
          <w:tcPr>
            <w:tcW w:w="2835" w:type="dxa"/>
            <w:vAlign w:val="center"/>
          </w:tcPr>
          <w:p w14:paraId="787106F9">
            <w:pPr>
              <w:pStyle w:val="10"/>
            </w:pPr>
            <w:r>
              <w:t>6月底</w:t>
            </w:r>
          </w:p>
        </w:tc>
        <w:tc>
          <w:tcPr>
            <w:tcW w:w="2551" w:type="dxa"/>
            <w:vAlign w:val="center"/>
          </w:tcPr>
          <w:p w14:paraId="3BA1D426">
            <w:pPr>
              <w:pStyle w:val="10"/>
            </w:pPr>
            <w:r>
              <w:t>10月底</w:t>
            </w:r>
          </w:p>
        </w:tc>
        <w:tc>
          <w:tcPr>
            <w:tcW w:w="3544" w:type="dxa"/>
            <w:gridSpan w:val="2"/>
            <w:vAlign w:val="center"/>
          </w:tcPr>
          <w:p w14:paraId="59EA6CB7">
            <w:pPr>
              <w:pStyle w:val="10"/>
            </w:pPr>
            <w:r>
              <w:t>12月底</w:t>
            </w:r>
          </w:p>
        </w:tc>
      </w:tr>
      <w:tr w14:paraId="6EDCE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38C57"/>
        </w:tc>
        <w:tc>
          <w:tcPr>
            <w:tcW w:w="5103" w:type="dxa"/>
            <w:gridSpan w:val="2"/>
            <w:vAlign w:val="center"/>
          </w:tcPr>
          <w:p w14:paraId="0FF8F077">
            <w:pPr>
              <w:pStyle w:val="13"/>
            </w:pPr>
            <w:r>
              <w:t>25%</w:t>
            </w:r>
          </w:p>
        </w:tc>
        <w:tc>
          <w:tcPr>
            <w:tcW w:w="2835" w:type="dxa"/>
            <w:vAlign w:val="center"/>
          </w:tcPr>
          <w:p w14:paraId="49369189">
            <w:pPr>
              <w:pStyle w:val="13"/>
            </w:pPr>
            <w:r>
              <w:t>50%</w:t>
            </w:r>
          </w:p>
        </w:tc>
        <w:tc>
          <w:tcPr>
            <w:tcW w:w="2551" w:type="dxa"/>
            <w:vAlign w:val="center"/>
          </w:tcPr>
          <w:p w14:paraId="18EDBE6D">
            <w:pPr>
              <w:pStyle w:val="13"/>
            </w:pPr>
            <w:r>
              <w:t>75%</w:t>
            </w:r>
          </w:p>
        </w:tc>
        <w:tc>
          <w:tcPr>
            <w:tcW w:w="3544" w:type="dxa"/>
            <w:gridSpan w:val="2"/>
            <w:vAlign w:val="center"/>
          </w:tcPr>
          <w:p w14:paraId="59BF01F5">
            <w:pPr>
              <w:pStyle w:val="13"/>
            </w:pPr>
            <w:r>
              <w:t>100%</w:t>
            </w:r>
          </w:p>
        </w:tc>
      </w:tr>
      <w:tr w14:paraId="7F37E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17BF1">
            <w:pPr>
              <w:pStyle w:val="10"/>
            </w:pPr>
            <w:r>
              <w:t>绩效目标</w:t>
            </w:r>
          </w:p>
        </w:tc>
        <w:tc>
          <w:tcPr>
            <w:tcW w:w="14033" w:type="dxa"/>
            <w:gridSpan w:val="6"/>
            <w:vAlign w:val="center"/>
          </w:tcPr>
          <w:p w14:paraId="0914DA6A">
            <w:pPr>
              <w:pStyle w:val="12"/>
            </w:pPr>
            <w:r>
              <w:t>1.按规定拨付公用经费资金，预算执行率≥98%。</w:t>
            </w:r>
          </w:p>
          <w:p w14:paraId="59DB5DCC">
            <w:pPr>
              <w:pStyle w:val="12"/>
            </w:pPr>
            <w:r>
              <w:t>2.有效完成学校教学安全秩序，保障学校教学任务有效开展，满足学校正常教学需要。</w:t>
            </w:r>
          </w:p>
        </w:tc>
      </w:tr>
    </w:tbl>
    <w:p w14:paraId="72CF7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4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B8AF7">
            <w:pPr>
              <w:pStyle w:val="10"/>
            </w:pPr>
            <w:r>
              <w:t>一级指标</w:t>
            </w:r>
          </w:p>
        </w:tc>
        <w:tc>
          <w:tcPr>
            <w:tcW w:w="2268" w:type="dxa"/>
            <w:vAlign w:val="center"/>
          </w:tcPr>
          <w:p w14:paraId="70453008">
            <w:pPr>
              <w:pStyle w:val="10"/>
            </w:pPr>
            <w:r>
              <w:t>二级指标</w:t>
            </w:r>
          </w:p>
        </w:tc>
        <w:tc>
          <w:tcPr>
            <w:tcW w:w="2835" w:type="dxa"/>
            <w:vAlign w:val="center"/>
          </w:tcPr>
          <w:p w14:paraId="081271F8">
            <w:pPr>
              <w:pStyle w:val="10"/>
            </w:pPr>
            <w:r>
              <w:t>三级指标</w:t>
            </w:r>
          </w:p>
        </w:tc>
        <w:tc>
          <w:tcPr>
            <w:tcW w:w="5386" w:type="dxa"/>
            <w:vAlign w:val="center"/>
          </w:tcPr>
          <w:p w14:paraId="0B2343DC">
            <w:pPr>
              <w:pStyle w:val="10"/>
            </w:pPr>
            <w:r>
              <w:t>绩效指标描述</w:t>
            </w:r>
          </w:p>
        </w:tc>
        <w:tc>
          <w:tcPr>
            <w:tcW w:w="2268" w:type="dxa"/>
            <w:vAlign w:val="center"/>
          </w:tcPr>
          <w:p w14:paraId="5A79BAF5">
            <w:pPr>
              <w:pStyle w:val="10"/>
            </w:pPr>
            <w:r>
              <w:t>指标值</w:t>
            </w:r>
          </w:p>
        </w:tc>
        <w:tc>
          <w:tcPr>
            <w:tcW w:w="1276" w:type="dxa"/>
            <w:vAlign w:val="center"/>
          </w:tcPr>
          <w:p w14:paraId="7703CD37">
            <w:pPr>
              <w:pStyle w:val="10"/>
            </w:pPr>
            <w:r>
              <w:t>指标值确定依据</w:t>
            </w:r>
          </w:p>
        </w:tc>
      </w:tr>
      <w:tr w14:paraId="770A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E7385">
            <w:pPr>
              <w:pStyle w:val="13"/>
            </w:pPr>
            <w:r>
              <w:t>产出指标</w:t>
            </w:r>
          </w:p>
        </w:tc>
        <w:tc>
          <w:tcPr>
            <w:tcW w:w="2268" w:type="dxa"/>
            <w:vAlign w:val="center"/>
          </w:tcPr>
          <w:p w14:paraId="4E031751">
            <w:pPr>
              <w:pStyle w:val="12"/>
            </w:pPr>
            <w:r>
              <w:t>成本指标</w:t>
            </w:r>
          </w:p>
        </w:tc>
        <w:tc>
          <w:tcPr>
            <w:tcW w:w="2835" w:type="dxa"/>
            <w:vAlign w:val="center"/>
          </w:tcPr>
          <w:p w14:paraId="079E9780">
            <w:pPr>
              <w:pStyle w:val="12"/>
            </w:pPr>
            <w:r>
              <w:t>生均拨款标准</w:t>
            </w:r>
          </w:p>
        </w:tc>
        <w:tc>
          <w:tcPr>
            <w:tcW w:w="5386" w:type="dxa"/>
            <w:vAlign w:val="center"/>
          </w:tcPr>
          <w:p w14:paraId="0B670810">
            <w:pPr>
              <w:pStyle w:val="12"/>
            </w:pPr>
            <w:r>
              <w:t>小学生公用经费生均小学720元。取暖费120元/生/年，随班就读学生补助7000元/生</w:t>
            </w:r>
          </w:p>
        </w:tc>
        <w:tc>
          <w:tcPr>
            <w:tcW w:w="2268" w:type="dxa"/>
            <w:vAlign w:val="center"/>
          </w:tcPr>
          <w:p w14:paraId="5708A9C3">
            <w:pPr>
              <w:pStyle w:val="12"/>
            </w:pPr>
            <w:r>
              <w:t>840元</w:t>
            </w:r>
          </w:p>
        </w:tc>
        <w:tc>
          <w:tcPr>
            <w:tcW w:w="1276" w:type="dxa"/>
            <w:vAlign w:val="center"/>
          </w:tcPr>
          <w:p w14:paraId="4F9EC20E">
            <w:pPr>
              <w:pStyle w:val="12"/>
            </w:pPr>
            <w:r>
              <w:t>城乡义务教育公用经费管理办法</w:t>
            </w:r>
          </w:p>
        </w:tc>
      </w:tr>
      <w:tr w14:paraId="6174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25073"/>
        </w:tc>
        <w:tc>
          <w:tcPr>
            <w:tcW w:w="2268" w:type="dxa"/>
            <w:vAlign w:val="center"/>
          </w:tcPr>
          <w:p w14:paraId="778EACFB">
            <w:pPr>
              <w:pStyle w:val="12"/>
            </w:pPr>
            <w:r>
              <w:t>数量指标</w:t>
            </w:r>
          </w:p>
        </w:tc>
        <w:tc>
          <w:tcPr>
            <w:tcW w:w="2835" w:type="dxa"/>
            <w:vAlign w:val="center"/>
          </w:tcPr>
          <w:p w14:paraId="1CCA0595">
            <w:pPr>
              <w:pStyle w:val="12"/>
            </w:pPr>
            <w:r>
              <w:t>就读学生数</w:t>
            </w:r>
          </w:p>
        </w:tc>
        <w:tc>
          <w:tcPr>
            <w:tcW w:w="5386" w:type="dxa"/>
            <w:vAlign w:val="center"/>
          </w:tcPr>
          <w:p w14:paraId="7EF72AE1">
            <w:pPr>
              <w:pStyle w:val="12"/>
            </w:pPr>
            <w:r>
              <w:t>辐射区域内适龄学生人数</w:t>
            </w:r>
          </w:p>
        </w:tc>
        <w:tc>
          <w:tcPr>
            <w:tcW w:w="2268" w:type="dxa"/>
            <w:vAlign w:val="center"/>
          </w:tcPr>
          <w:p w14:paraId="45016893">
            <w:pPr>
              <w:pStyle w:val="12"/>
            </w:pPr>
            <w:r>
              <w:t>635人</w:t>
            </w:r>
          </w:p>
        </w:tc>
        <w:tc>
          <w:tcPr>
            <w:tcW w:w="1276" w:type="dxa"/>
            <w:vAlign w:val="center"/>
          </w:tcPr>
          <w:p w14:paraId="32697D2D">
            <w:pPr>
              <w:pStyle w:val="12"/>
            </w:pPr>
            <w:r>
              <w:t>城乡义务教育公用经费管理办法</w:t>
            </w:r>
          </w:p>
        </w:tc>
      </w:tr>
      <w:tr w14:paraId="70E9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5128A"/>
        </w:tc>
        <w:tc>
          <w:tcPr>
            <w:tcW w:w="2268" w:type="dxa"/>
            <w:vAlign w:val="center"/>
          </w:tcPr>
          <w:p w14:paraId="51997829">
            <w:pPr>
              <w:pStyle w:val="12"/>
            </w:pPr>
            <w:r>
              <w:t>质量指标</w:t>
            </w:r>
          </w:p>
        </w:tc>
        <w:tc>
          <w:tcPr>
            <w:tcW w:w="2835" w:type="dxa"/>
            <w:vAlign w:val="center"/>
          </w:tcPr>
          <w:p w14:paraId="79DC75B8">
            <w:pPr>
              <w:pStyle w:val="12"/>
            </w:pPr>
            <w:r>
              <w:t>预算执行率</w:t>
            </w:r>
          </w:p>
        </w:tc>
        <w:tc>
          <w:tcPr>
            <w:tcW w:w="5386" w:type="dxa"/>
            <w:vAlign w:val="center"/>
          </w:tcPr>
          <w:p w14:paraId="6540E8AF">
            <w:pPr>
              <w:pStyle w:val="12"/>
            </w:pPr>
            <w:r>
              <w:t>预算执行率≥98%</w:t>
            </w:r>
          </w:p>
        </w:tc>
        <w:tc>
          <w:tcPr>
            <w:tcW w:w="2268" w:type="dxa"/>
            <w:vAlign w:val="center"/>
          </w:tcPr>
          <w:p w14:paraId="2D952536">
            <w:pPr>
              <w:pStyle w:val="12"/>
            </w:pPr>
            <w:r>
              <w:t>≥98%</w:t>
            </w:r>
          </w:p>
        </w:tc>
        <w:tc>
          <w:tcPr>
            <w:tcW w:w="1276" w:type="dxa"/>
            <w:vAlign w:val="center"/>
          </w:tcPr>
          <w:p w14:paraId="548E468B">
            <w:pPr>
              <w:pStyle w:val="12"/>
            </w:pPr>
            <w:r>
              <w:t>城乡义务教育公用经费管理办法</w:t>
            </w:r>
          </w:p>
        </w:tc>
      </w:tr>
      <w:tr w14:paraId="18C8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8793D"/>
        </w:tc>
        <w:tc>
          <w:tcPr>
            <w:tcW w:w="2268" w:type="dxa"/>
            <w:vAlign w:val="center"/>
          </w:tcPr>
          <w:p w14:paraId="511E36B0">
            <w:pPr>
              <w:pStyle w:val="12"/>
            </w:pPr>
            <w:r>
              <w:t>时效指标</w:t>
            </w:r>
          </w:p>
        </w:tc>
        <w:tc>
          <w:tcPr>
            <w:tcW w:w="2835" w:type="dxa"/>
            <w:vAlign w:val="center"/>
          </w:tcPr>
          <w:p w14:paraId="6DC0D1CC">
            <w:pPr>
              <w:pStyle w:val="12"/>
            </w:pPr>
            <w:r>
              <w:t>义教经费支付完成率</w:t>
            </w:r>
          </w:p>
        </w:tc>
        <w:tc>
          <w:tcPr>
            <w:tcW w:w="5386" w:type="dxa"/>
            <w:vAlign w:val="center"/>
          </w:tcPr>
          <w:p w14:paraId="3DA2A5A7">
            <w:pPr>
              <w:pStyle w:val="12"/>
            </w:pPr>
            <w:r>
              <w:t>按照序时进度完成资金支付</w:t>
            </w:r>
          </w:p>
        </w:tc>
        <w:tc>
          <w:tcPr>
            <w:tcW w:w="2268" w:type="dxa"/>
            <w:vAlign w:val="center"/>
          </w:tcPr>
          <w:p w14:paraId="51972FBD">
            <w:pPr>
              <w:pStyle w:val="12"/>
            </w:pPr>
            <w:r>
              <w:t>100%</w:t>
            </w:r>
          </w:p>
        </w:tc>
        <w:tc>
          <w:tcPr>
            <w:tcW w:w="1276" w:type="dxa"/>
            <w:vAlign w:val="center"/>
          </w:tcPr>
          <w:p w14:paraId="1DF3A691">
            <w:pPr>
              <w:pStyle w:val="12"/>
            </w:pPr>
            <w:r>
              <w:t>城乡义务教育公用经费管理办法</w:t>
            </w:r>
          </w:p>
        </w:tc>
      </w:tr>
      <w:tr w14:paraId="5478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623AB">
            <w:pPr>
              <w:pStyle w:val="13"/>
            </w:pPr>
            <w:r>
              <w:t>效益指标</w:t>
            </w:r>
          </w:p>
        </w:tc>
        <w:tc>
          <w:tcPr>
            <w:tcW w:w="2268" w:type="dxa"/>
            <w:vAlign w:val="center"/>
          </w:tcPr>
          <w:p w14:paraId="2A16902F">
            <w:pPr>
              <w:pStyle w:val="12"/>
            </w:pPr>
            <w:r>
              <w:t>可持续影响指标</w:t>
            </w:r>
          </w:p>
        </w:tc>
        <w:tc>
          <w:tcPr>
            <w:tcW w:w="2835" w:type="dxa"/>
            <w:vAlign w:val="center"/>
          </w:tcPr>
          <w:p w14:paraId="30CDF87B">
            <w:pPr>
              <w:pStyle w:val="12"/>
            </w:pPr>
            <w:r>
              <w:t>学校运转得到提高</w:t>
            </w:r>
          </w:p>
        </w:tc>
        <w:tc>
          <w:tcPr>
            <w:tcW w:w="5386" w:type="dxa"/>
            <w:vAlign w:val="center"/>
          </w:tcPr>
          <w:p w14:paraId="08E2AFFB">
            <w:pPr>
              <w:pStyle w:val="12"/>
            </w:pPr>
            <w:r>
              <w:t>学生受教育年限</w:t>
            </w:r>
          </w:p>
        </w:tc>
        <w:tc>
          <w:tcPr>
            <w:tcW w:w="2268" w:type="dxa"/>
            <w:vAlign w:val="center"/>
          </w:tcPr>
          <w:p w14:paraId="1E977521">
            <w:pPr>
              <w:pStyle w:val="12"/>
            </w:pPr>
            <w:r>
              <w:t>6年</w:t>
            </w:r>
          </w:p>
        </w:tc>
        <w:tc>
          <w:tcPr>
            <w:tcW w:w="1276" w:type="dxa"/>
            <w:vAlign w:val="center"/>
          </w:tcPr>
          <w:p w14:paraId="27E33AA3">
            <w:pPr>
              <w:pStyle w:val="12"/>
            </w:pPr>
            <w:r>
              <w:t>城乡义务教育公用经费管理办法</w:t>
            </w:r>
          </w:p>
        </w:tc>
      </w:tr>
      <w:tr w14:paraId="4DFFB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9550C">
            <w:pPr>
              <w:pStyle w:val="13"/>
            </w:pPr>
            <w:r>
              <w:t>满意度指标</w:t>
            </w:r>
          </w:p>
        </w:tc>
        <w:tc>
          <w:tcPr>
            <w:tcW w:w="2268" w:type="dxa"/>
            <w:vAlign w:val="center"/>
          </w:tcPr>
          <w:p w14:paraId="49D1A1CE">
            <w:pPr>
              <w:pStyle w:val="12"/>
            </w:pPr>
            <w:r>
              <w:t>服务对象满意度指标</w:t>
            </w:r>
          </w:p>
        </w:tc>
        <w:tc>
          <w:tcPr>
            <w:tcW w:w="2835" w:type="dxa"/>
            <w:vAlign w:val="center"/>
          </w:tcPr>
          <w:p w14:paraId="3488CB8C">
            <w:pPr>
              <w:pStyle w:val="12"/>
            </w:pPr>
            <w:r>
              <w:t>服务对象满意度</w:t>
            </w:r>
          </w:p>
        </w:tc>
        <w:tc>
          <w:tcPr>
            <w:tcW w:w="5386" w:type="dxa"/>
            <w:vAlign w:val="center"/>
          </w:tcPr>
          <w:p w14:paraId="63B2F244">
            <w:pPr>
              <w:pStyle w:val="12"/>
            </w:pPr>
            <w:r>
              <w:t>学校老师和学生满意度</w:t>
            </w:r>
          </w:p>
        </w:tc>
        <w:tc>
          <w:tcPr>
            <w:tcW w:w="2268" w:type="dxa"/>
            <w:vAlign w:val="center"/>
          </w:tcPr>
          <w:p w14:paraId="13844A08">
            <w:pPr>
              <w:pStyle w:val="12"/>
            </w:pPr>
            <w:r>
              <w:t>≥95%</w:t>
            </w:r>
          </w:p>
        </w:tc>
        <w:tc>
          <w:tcPr>
            <w:tcW w:w="1276" w:type="dxa"/>
            <w:vAlign w:val="center"/>
          </w:tcPr>
          <w:p w14:paraId="08023460">
            <w:pPr>
              <w:pStyle w:val="12"/>
            </w:pPr>
            <w:r>
              <w:t>问卷调查</w:t>
            </w:r>
          </w:p>
        </w:tc>
      </w:tr>
    </w:tbl>
    <w:p w14:paraId="397C3AAD">
      <w:pPr>
        <w:sectPr>
          <w:pgSz w:w="16840" w:h="11900" w:orient="landscape"/>
          <w:pgMar w:top="1361" w:right="1020" w:bottom="1134" w:left="1020" w:header="720" w:footer="720" w:gutter="0"/>
          <w:cols w:space="720" w:num="1"/>
        </w:sectPr>
      </w:pPr>
    </w:p>
    <w:p w14:paraId="25718DC9">
      <w:pPr>
        <w:spacing w:before="0" w:after="0"/>
        <w:ind w:firstLine="560"/>
        <w:jc w:val="left"/>
        <w:outlineLvl w:val="9"/>
      </w:pPr>
      <w:r>
        <w:rPr>
          <w:rFonts w:ascii="方正仿宋_GBK" w:hAnsi="方正仿宋_GBK" w:eastAsia="方正仿宋_GBK" w:cs="方正仿宋_GBK"/>
          <w:b/>
          <w:color w:val="000000"/>
          <w:sz w:val="28"/>
        </w:rPr>
        <w:t>14、冀财教[2025]147号/省级/2026年义教补助经费/北楼校区南楼小学公用经费绩效目标表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C7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43AB1">
            <w:pPr>
              <w:pStyle w:val="11"/>
            </w:pPr>
            <w:r>
              <w:t>单位：万元</w:t>
            </w:r>
          </w:p>
        </w:tc>
      </w:tr>
      <w:tr w14:paraId="1EA97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4ACEE">
            <w:pPr>
              <w:pStyle w:val="10"/>
            </w:pPr>
            <w:r>
              <w:t>项目编码</w:t>
            </w:r>
          </w:p>
        </w:tc>
        <w:tc>
          <w:tcPr>
            <w:tcW w:w="5103" w:type="dxa"/>
            <w:gridSpan w:val="2"/>
            <w:vAlign w:val="center"/>
          </w:tcPr>
          <w:p w14:paraId="557D8742">
            <w:pPr>
              <w:pStyle w:val="12"/>
            </w:pPr>
            <w:r>
              <w:t>13052526P00000410352W</w:t>
            </w:r>
          </w:p>
        </w:tc>
        <w:tc>
          <w:tcPr>
            <w:tcW w:w="2835" w:type="dxa"/>
            <w:vAlign w:val="center"/>
          </w:tcPr>
          <w:p w14:paraId="1F0B817B">
            <w:pPr>
              <w:pStyle w:val="10"/>
            </w:pPr>
            <w:r>
              <w:t>项目名称</w:t>
            </w:r>
          </w:p>
        </w:tc>
        <w:tc>
          <w:tcPr>
            <w:tcW w:w="6095" w:type="dxa"/>
            <w:gridSpan w:val="3"/>
            <w:vAlign w:val="center"/>
          </w:tcPr>
          <w:p w14:paraId="4F851118">
            <w:pPr>
              <w:pStyle w:val="12"/>
            </w:pPr>
            <w:r>
              <w:t>冀财教[2025]147号/省级/2026年义教补助经费/北楼校区南楼小学公用经费</w:t>
            </w:r>
          </w:p>
        </w:tc>
      </w:tr>
      <w:tr w14:paraId="4CF39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243C0">
            <w:pPr>
              <w:pStyle w:val="10"/>
            </w:pPr>
            <w:r>
              <w:t>预算规模及资金用途</w:t>
            </w:r>
          </w:p>
        </w:tc>
        <w:tc>
          <w:tcPr>
            <w:tcW w:w="2268" w:type="dxa"/>
            <w:vAlign w:val="center"/>
          </w:tcPr>
          <w:p w14:paraId="0B7A4D02">
            <w:pPr>
              <w:pStyle w:val="10"/>
            </w:pPr>
            <w:r>
              <w:t>预算数</w:t>
            </w:r>
          </w:p>
        </w:tc>
        <w:tc>
          <w:tcPr>
            <w:tcW w:w="2835" w:type="dxa"/>
            <w:vAlign w:val="center"/>
          </w:tcPr>
          <w:p w14:paraId="0B6DB1C8">
            <w:pPr>
              <w:pStyle w:val="12"/>
            </w:pPr>
            <w:r>
              <w:t>12.02</w:t>
            </w:r>
          </w:p>
        </w:tc>
        <w:tc>
          <w:tcPr>
            <w:tcW w:w="2835" w:type="dxa"/>
            <w:vAlign w:val="center"/>
          </w:tcPr>
          <w:p w14:paraId="31760E98">
            <w:pPr>
              <w:pStyle w:val="10"/>
            </w:pPr>
            <w:r>
              <w:t>其中：财政    资金</w:t>
            </w:r>
          </w:p>
        </w:tc>
        <w:tc>
          <w:tcPr>
            <w:tcW w:w="2551" w:type="dxa"/>
            <w:vAlign w:val="center"/>
          </w:tcPr>
          <w:p w14:paraId="59AE73A2">
            <w:pPr>
              <w:pStyle w:val="12"/>
            </w:pPr>
            <w:r>
              <w:t>12.02</w:t>
            </w:r>
          </w:p>
        </w:tc>
        <w:tc>
          <w:tcPr>
            <w:tcW w:w="2268" w:type="dxa"/>
            <w:vAlign w:val="center"/>
          </w:tcPr>
          <w:p w14:paraId="16BAA12A">
            <w:pPr>
              <w:pStyle w:val="10"/>
            </w:pPr>
            <w:r>
              <w:t>其他资金</w:t>
            </w:r>
          </w:p>
        </w:tc>
        <w:tc>
          <w:tcPr>
            <w:tcW w:w="1276" w:type="dxa"/>
            <w:vAlign w:val="center"/>
          </w:tcPr>
          <w:p w14:paraId="609D5447">
            <w:pPr>
              <w:pStyle w:val="12"/>
            </w:pPr>
            <w:r>
              <w:t xml:space="preserve"> </w:t>
            </w:r>
          </w:p>
        </w:tc>
      </w:tr>
      <w:tr w14:paraId="514A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0BA99"/>
        </w:tc>
        <w:tc>
          <w:tcPr>
            <w:tcW w:w="14033" w:type="dxa"/>
            <w:gridSpan w:val="6"/>
            <w:vAlign w:val="center"/>
          </w:tcPr>
          <w:p w14:paraId="65A81A9C">
            <w:pPr>
              <w:pStyle w:val="12"/>
            </w:pPr>
            <w:r>
              <w:t>有效完成学校教学安全秩序，保障学校教学任务有效开展，满足学校正常教学需要。</w:t>
            </w:r>
          </w:p>
        </w:tc>
      </w:tr>
      <w:tr w14:paraId="76BD6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38A21">
            <w:pPr>
              <w:pStyle w:val="10"/>
            </w:pPr>
            <w:r>
              <w:t>资金支出计划（%）</w:t>
            </w:r>
          </w:p>
        </w:tc>
        <w:tc>
          <w:tcPr>
            <w:tcW w:w="5103" w:type="dxa"/>
            <w:gridSpan w:val="2"/>
            <w:vAlign w:val="center"/>
          </w:tcPr>
          <w:p w14:paraId="6CFDD0F1">
            <w:pPr>
              <w:pStyle w:val="10"/>
            </w:pPr>
            <w:r>
              <w:t>3月底</w:t>
            </w:r>
          </w:p>
        </w:tc>
        <w:tc>
          <w:tcPr>
            <w:tcW w:w="2835" w:type="dxa"/>
            <w:vAlign w:val="center"/>
          </w:tcPr>
          <w:p w14:paraId="28A8E18A">
            <w:pPr>
              <w:pStyle w:val="10"/>
            </w:pPr>
            <w:r>
              <w:t>6月底</w:t>
            </w:r>
          </w:p>
        </w:tc>
        <w:tc>
          <w:tcPr>
            <w:tcW w:w="2551" w:type="dxa"/>
            <w:vAlign w:val="center"/>
          </w:tcPr>
          <w:p w14:paraId="5B615FEA">
            <w:pPr>
              <w:pStyle w:val="10"/>
            </w:pPr>
            <w:r>
              <w:t>10月底</w:t>
            </w:r>
          </w:p>
        </w:tc>
        <w:tc>
          <w:tcPr>
            <w:tcW w:w="3544" w:type="dxa"/>
            <w:gridSpan w:val="2"/>
            <w:vAlign w:val="center"/>
          </w:tcPr>
          <w:p w14:paraId="0D7D059D">
            <w:pPr>
              <w:pStyle w:val="10"/>
            </w:pPr>
            <w:r>
              <w:t>12月底</w:t>
            </w:r>
          </w:p>
        </w:tc>
      </w:tr>
      <w:tr w14:paraId="64858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8FC4F"/>
        </w:tc>
        <w:tc>
          <w:tcPr>
            <w:tcW w:w="5103" w:type="dxa"/>
            <w:gridSpan w:val="2"/>
            <w:vAlign w:val="center"/>
          </w:tcPr>
          <w:p w14:paraId="25FC0748">
            <w:pPr>
              <w:pStyle w:val="13"/>
            </w:pPr>
            <w:r>
              <w:t>25%</w:t>
            </w:r>
          </w:p>
        </w:tc>
        <w:tc>
          <w:tcPr>
            <w:tcW w:w="2835" w:type="dxa"/>
            <w:vAlign w:val="center"/>
          </w:tcPr>
          <w:p w14:paraId="4BACB872">
            <w:pPr>
              <w:pStyle w:val="13"/>
            </w:pPr>
            <w:r>
              <w:t>50%</w:t>
            </w:r>
          </w:p>
        </w:tc>
        <w:tc>
          <w:tcPr>
            <w:tcW w:w="2551" w:type="dxa"/>
            <w:vAlign w:val="center"/>
          </w:tcPr>
          <w:p w14:paraId="51385675">
            <w:pPr>
              <w:pStyle w:val="13"/>
            </w:pPr>
            <w:r>
              <w:t>75%</w:t>
            </w:r>
          </w:p>
        </w:tc>
        <w:tc>
          <w:tcPr>
            <w:tcW w:w="3544" w:type="dxa"/>
            <w:gridSpan w:val="2"/>
            <w:vAlign w:val="center"/>
          </w:tcPr>
          <w:p w14:paraId="3401F506">
            <w:pPr>
              <w:pStyle w:val="13"/>
            </w:pPr>
            <w:r>
              <w:t>100%</w:t>
            </w:r>
          </w:p>
        </w:tc>
      </w:tr>
      <w:tr w14:paraId="238A7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581F3">
            <w:pPr>
              <w:pStyle w:val="10"/>
            </w:pPr>
            <w:r>
              <w:t>绩效目标</w:t>
            </w:r>
          </w:p>
        </w:tc>
        <w:tc>
          <w:tcPr>
            <w:tcW w:w="14033" w:type="dxa"/>
            <w:gridSpan w:val="6"/>
            <w:vAlign w:val="center"/>
          </w:tcPr>
          <w:p w14:paraId="45125E7A">
            <w:pPr>
              <w:pStyle w:val="12"/>
            </w:pPr>
            <w:r>
              <w:t>1.按规定拨付公用经费资金，预算执行率≥98%。</w:t>
            </w:r>
          </w:p>
          <w:p w14:paraId="410DE056">
            <w:pPr>
              <w:pStyle w:val="12"/>
            </w:pPr>
            <w:r>
              <w:t>2.有效完成学校教学安全秩序，保障学校教学任务有效开展，满足学校正常教学需要。</w:t>
            </w:r>
          </w:p>
        </w:tc>
      </w:tr>
    </w:tbl>
    <w:p w14:paraId="0C984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E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69BAB">
            <w:pPr>
              <w:pStyle w:val="10"/>
            </w:pPr>
            <w:r>
              <w:t>一级指标</w:t>
            </w:r>
          </w:p>
        </w:tc>
        <w:tc>
          <w:tcPr>
            <w:tcW w:w="2268" w:type="dxa"/>
            <w:vAlign w:val="center"/>
          </w:tcPr>
          <w:p w14:paraId="53AD39F6">
            <w:pPr>
              <w:pStyle w:val="10"/>
            </w:pPr>
            <w:r>
              <w:t>二级指标</w:t>
            </w:r>
          </w:p>
        </w:tc>
        <w:tc>
          <w:tcPr>
            <w:tcW w:w="2835" w:type="dxa"/>
            <w:vAlign w:val="center"/>
          </w:tcPr>
          <w:p w14:paraId="68837EFF">
            <w:pPr>
              <w:pStyle w:val="10"/>
            </w:pPr>
            <w:r>
              <w:t>三级指标</w:t>
            </w:r>
          </w:p>
        </w:tc>
        <w:tc>
          <w:tcPr>
            <w:tcW w:w="5386" w:type="dxa"/>
            <w:vAlign w:val="center"/>
          </w:tcPr>
          <w:p w14:paraId="5957CE6B">
            <w:pPr>
              <w:pStyle w:val="10"/>
            </w:pPr>
            <w:r>
              <w:t>绩效指标描述</w:t>
            </w:r>
          </w:p>
        </w:tc>
        <w:tc>
          <w:tcPr>
            <w:tcW w:w="2268" w:type="dxa"/>
            <w:vAlign w:val="center"/>
          </w:tcPr>
          <w:p w14:paraId="30EA5664">
            <w:pPr>
              <w:pStyle w:val="10"/>
            </w:pPr>
            <w:r>
              <w:t>指标值</w:t>
            </w:r>
          </w:p>
        </w:tc>
        <w:tc>
          <w:tcPr>
            <w:tcW w:w="1276" w:type="dxa"/>
            <w:vAlign w:val="center"/>
          </w:tcPr>
          <w:p w14:paraId="1319458A">
            <w:pPr>
              <w:pStyle w:val="10"/>
            </w:pPr>
            <w:r>
              <w:t>指标值确定依据</w:t>
            </w:r>
          </w:p>
        </w:tc>
      </w:tr>
      <w:tr w14:paraId="3081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A74F4">
            <w:pPr>
              <w:pStyle w:val="13"/>
            </w:pPr>
            <w:r>
              <w:t>产出指标</w:t>
            </w:r>
          </w:p>
        </w:tc>
        <w:tc>
          <w:tcPr>
            <w:tcW w:w="2268" w:type="dxa"/>
            <w:vAlign w:val="center"/>
          </w:tcPr>
          <w:p w14:paraId="05E48D2F">
            <w:pPr>
              <w:pStyle w:val="12"/>
            </w:pPr>
            <w:r>
              <w:t>成本指标</w:t>
            </w:r>
          </w:p>
        </w:tc>
        <w:tc>
          <w:tcPr>
            <w:tcW w:w="2835" w:type="dxa"/>
            <w:vAlign w:val="center"/>
          </w:tcPr>
          <w:p w14:paraId="7A10BE52">
            <w:pPr>
              <w:pStyle w:val="12"/>
            </w:pPr>
            <w:r>
              <w:t>生均拨款标准</w:t>
            </w:r>
          </w:p>
        </w:tc>
        <w:tc>
          <w:tcPr>
            <w:tcW w:w="5386" w:type="dxa"/>
            <w:vAlign w:val="center"/>
          </w:tcPr>
          <w:p w14:paraId="764A2135">
            <w:pPr>
              <w:pStyle w:val="12"/>
            </w:pPr>
            <w:r>
              <w:t>小学生公用经费生均小学720元。取暖费120元/生/年，随班就读学生补助7000元/生</w:t>
            </w:r>
          </w:p>
        </w:tc>
        <w:tc>
          <w:tcPr>
            <w:tcW w:w="2268" w:type="dxa"/>
            <w:vAlign w:val="center"/>
          </w:tcPr>
          <w:p w14:paraId="1EC040C2">
            <w:pPr>
              <w:pStyle w:val="12"/>
            </w:pPr>
            <w:r>
              <w:t>840元</w:t>
            </w:r>
          </w:p>
        </w:tc>
        <w:tc>
          <w:tcPr>
            <w:tcW w:w="1276" w:type="dxa"/>
            <w:vAlign w:val="center"/>
          </w:tcPr>
          <w:p w14:paraId="2B20BC2C">
            <w:pPr>
              <w:pStyle w:val="12"/>
            </w:pPr>
            <w:r>
              <w:t>城乡义务教育公用经费管理办法</w:t>
            </w:r>
          </w:p>
        </w:tc>
      </w:tr>
      <w:tr w14:paraId="3731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0A52A"/>
        </w:tc>
        <w:tc>
          <w:tcPr>
            <w:tcW w:w="2268" w:type="dxa"/>
            <w:vAlign w:val="center"/>
          </w:tcPr>
          <w:p w14:paraId="4B294786">
            <w:pPr>
              <w:pStyle w:val="12"/>
            </w:pPr>
            <w:r>
              <w:t>数量指标</w:t>
            </w:r>
          </w:p>
        </w:tc>
        <w:tc>
          <w:tcPr>
            <w:tcW w:w="2835" w:type="dxa"/>
            <w:vAlign w:val="center"/>
          </w:tcPr>
          <w:p w14:paraId="59FEB635">
            <w:pPr>
              <w:pStyle w:val="12"/>
            </w:pPr>
            <w:r>
              <w:t>就读学生数</w:t>
            </w:r>
          </w:p>
        </w:tc>
        <w:tc>
          <w:tcPr>
            <w:tcW w:w="5386" w:type="dxa"/>
            <w:vAlign w:val="center"/>
          </w:tcPr>
          <w:p w14:paraId="56E47277">
            <w:pPr>
              <w:pStyle w:val="12"/>
            </w:pPr>
            <w:r>
              <w:t>辐射区域内适龄学生人数</w:t>
            </w:r>
          </w:p>
        </w:tc>
        <w:tc>
          <w:tcPr>
            <w:tcW w:w="2268" w:type="dxa"/>
            <w:vAlign w:val="center"/>
          </w:tcPr>
          <w:p w14:paraId="6E9846DA">
            <w:pPr>
              <w:pStyle w:val="12"/>
            </w:pPr>
            <w:r>
              <w:t>444人</w:t>
            </w:r>
          </w:p>
        </w:tc>
        <w:tc>
          <w:tcPr>
            <w:tcW w:w="1276" w:type="dxa"/>
            <w:vAlign w:val="center"/>
          </w:tcPr>
          <w:p w14:paraId="15CF8C89">
            <w:pPr>
              <w:pStyle w:val="12"/>
            </w:pPr>
            <w:r>
              <w:t>城乡义务教育公用经费管理办法</w:t>
            </w:r>
          </w:p>
        </w:tc>
      </w:tr>
      <w:tr w14:paraId="216F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047F7"/>
        </w:tc>
        <w:tc>
          <w:tcPr>
            <w:tcW w:w="2268" w:type="dxa"/>
            <w:vAlign w:val="center"/>
          </w:tcPr>
          <w:p w14:paraId="1FEA84FA">
            <w:pPr>
              <w:pStyle w:val="12"/>
            </w:pPr>
            <w:r>
              <w:t>质量指标</w:t>
            </w:r>
          </w:p>
        </w:tc>
        <w:tc>
          <w:tcPr>
            <w:tcW w:w="2835" w:type="dxa"/>
            <w:vAlign w:val="center"/>
          </w:tcPr>
          <w:p w14:paraId="14C555D2">
            <w:pPr>
              <w:pStyle w:val="12"/>
            </w:pPr>
            <w:r>
              <w:t>预算执行率</w:t>
            </w:r>
          </w:p>
        </w:tc>
        <w:tc>
          <w:tcPr>
            <w:tcW w:w="5386" w:type="dxa"/>
            <w:vAlign w:val="center"/>
          </w:tcPr>
          <w:p w14:paraId="0BFA9DF4">
            <w:pPr>
              <w:pStyle w:val="12"/>
            </w:pPr>
            <w:r>
              <w:t>预算执行率≥98%</w:t>
            </w:r>
          </w:p>
        </w:tc>
        <w:tc>
          <w:tcPr>
            <w:tcW w:w="2268" w:type="dxa"/>
            <w:vAlign w:val="center"/>
          </w:tcPr>
          <w:p w14:paraId="26E97336">
            <w:pPr>
              <w:pStyle w:val="12"/>
            </w:pPr>
            <w:r>
              <w:t>≥98%</w:t>
            </w:r>
          </w:p>
        </w:tc>
        <w:tc>
          <w:tcPr>
            <w:tcW w:w="1276" w:type="dxa"/>
            <w:vAlign w:val="center"/>
          </w:tcPr>
          <w:p w14:paraId="121796D3">
            <w:pPr>
              <w:pStyle w:val="12"/>
            </w:pPr>
            <w:r>
              <w:t>城乡义务教育公用经费管理办法</w:t>
            </w:r>
          </w:p>
        </w:tc>
      </w:tr>
      <w:tr w14:paraId="7AC4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67199"/>
        </w:tc>
        <w:tc>
          <w:tcPr>
            <w:tcW w:w="2268" w:type="dxa"/>
            <w:vAlign w:val="center"/>
          </w:tcPr>
          <w:p w14:paraId="797E97F9">
            <w:pPr>
              <w:pStyle w:val="12"/>
            </w:pPr>
            <w:r>
              <w:t>时效指标</w:t>
            </w:r>
          </w:p>
        </w:tc>
        <w:tc>
          <w:tcPr>
            <w:tcW w:w="2835" w:type="dxa"/>
            <w:vAlign w:val="center"/>
          </w:tcPr>
          <w:p w14:paraId="13E442CF">
            <w:pPr>
              <w:pStyle w:val="12"/>
            </w:pPr>
            <w:r>
              <w:t>义教经费支付完成率</w:t>
            </w:r>
          </w:p>
        </w:tc>
        <w:tc>
          <w:tcPr>
            <w:tcW w:w="5386" w:type="dxa"/>
            <w:vAlign w:val="center"/>
          </w:tcPr>
          <w:p w14:paraId="6A218930">
            <w:pPr>
              <w:pStyle w:val="12"/>
            </w:pPr>
            <w:r>
              <w:t>按照序时进度完成资金支付</w:t>
            </w:r>
          </w:p>
        </w:tc>
        <w:tc>
          <w:tcPr>
            <w:tcW w:w="2268" w:type="dxa"/>
            <w:vAlign w:val="center"/>
          </w:tcPr>
          <w:p w14:paraId="5B4A9902">
            <w:pPr>
              <w:pStyle w:val="12"/>
            </w:pPr>
            <w:r>
              <w:t>100%</w:t>
            </w:r>
          </w:p>
        </w:tc>
        <w:tc>
          <w:tcPr>
            <w:tcW w:w="1276" w:type="dxa"/>
            <w:vAlign w:val="center"/>
          </w:tcPr>
          <w:p w14:paraId="5D48B685">
            <w:pPr>
              <w:pStyle w:val="12"/>
            </w:pPr>
            <w:r>
              <w:t>城乡义务教育公用经费管理办法</w:t>
            </w:r>
          </w:p>
        </w:tc>
      </w:tr>
      <w:tr w14:paraId="7026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012E7">
            <w:pPr>
              <w:pStyle w:val="13"/>
            </w:pPr>
            <w:r>
              <w:t>效益指标</w:t>
            </w:r>
          </w:p>
        </w:tc>
        <w:tc>
          <w:tcPr>
            <w:tcW w:w="2268" w:type="dxa"/>
            <w:vAlign w:val="center"/>
          </w:tcPr>
          <w:p w14:paraId="6AE00FD8">
            <w:pPr>
              <w:pStyle w:val="12"/>
            </w:pPr>
            <w:r>
              <w:t>可持续影响指标</w:t>
            </w:r>
          </w:p>
        </w:tc>
        <w:tc>
          <w:tcPr>
            <w:tcW w:w="2835" w:type="dxa"/>
            <w:vAlign w:val="center"/>
          </w:tcPr>
          <w:p w14:paraId="752F7684">
            <w:pPr>
              <w:pStyle w:val="12"/>
            </w:pPr>
            <w:r>
              <w:t>学校运转得到提高</w:t>
            </w:r>
          </w:p>
        </w:tc>
        <w:tc>
          <w:tcPr>
            <w:tcW w:w="5386" w:type="dxa"/>
            <w:vAlign w:val="center"/>
          </w:tcPr>
          <w:p w14:paraId="3E41ADB6">
            <w:pPr>
              <w:pStyle w:val="12"/>
            </w:pPr>
            <w:r>
              <w:t>学生受教育年限</w:t>
            </w:r>
          </w:p>
        </w:tc>
        <w:tc>
          <w:tcPr>
            <w:tcW w:w="2268" w:type="dxa"/>
            <w:vAlign w:val="center"/>
          </w:tcPr>
          <w:p w14:paraId="77F26BB0">
            <w:pPr>
              <w:pStyle w:val="12"/>
            </w:pPr>
            <w:r>
              <w:t>6年</w:t>
            </w:r>
          </w:p>
        </w:tc>
        <w:tc>
          <w:tcPr>
            <w:tcW w:w="1276" w:type="dxa"/>
            <w:vAlign w:val="center"/>
          </w:tcPr>
          <w:p w14:paraId="39797900">
            <w:pPr>
              <w:pStyle w:val="12"/>
            </w:pPr>
            <w:r>
              <w:t>城乡义务教育公用经费管理办法</w:t>
            </w:r>
          </w:p>
        </w:tc>
      </w:tr>
      <w:tr w14:paraId="6FFB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52C27">
            <w:pPr>
              <w:pStyle w:val="13"/>
            </w:pPr>
            <w:r>
              <w:t>满意度指标</w:t>
            </w:r>
          </w:p>
        </w:tc>
        <w:tc>
          <w:tcPr>
            <w:tcW w:w="2268" w:type="dxa"/>
            <w:vAlign w:val="center"/>
          </w:tcPr>
          <w:p w14:paraId="708331BA">
            <w:pPr>
              <w:pStyle w:val="12"/>
            </w:pPr>
            <w:r>
              <w:t>服务对象满意度指标</w:t>
            </w:r>
          </w:p>
        </w:tc>
        <w:tc>
          <w:tcPr>
            <w:tcW w:w="2835" w:type="dxa"/>
            <w:vAlign w:val="center"/>
          </w:tcPr>
          <w:p w14:paraId="70B8BB3D">
            <w:pPr>
              <w:pStyle w:val="12"/>
            </w:pPr>
            <w:r>
              <w:t>服务对象满意度</w:t>
            </w:r>
          </w:p>
        </w:tc>
        <w:tc>
          <w:tcPr>
            <w:tcW w:w="5386" w:type="dxa"/>
            <w:vAlign w:val="center"/>
          </w:tcPr>
          <w:p w14:paraId="38E5F646">
            <w:pPr>
              <w:pStyle w:val="12"/>
            </w:pPr>
            <w:r>
              <w:t>学校老师和学生满意度</w:t>
            </w:r>
          </w:p>
        </w:tc>
        <w:tc>
          <w:tcPr>
            <w:tcW w:w="2268" w:type="dxa"/>
            <w:vAlign w:val="center"/>
          </w:tcPr>
          <w:p w14:paraId="00DBE3B0">
            <w:pPr>
              <w:pStyle w:val="12"/>
            </w:pPr>
            <w:r>
              <w:t>≥95%</w:t>
            </w:r>
          </w:p>
        </w:tc>
        <w:tc>
          <w:tcPr>
            <w:tcW w:w="1276" w:type="dxa"/>
            <w:vAlign w:val="center"/>
          </w:tcPr>
          <w:p w14:paraId="2964E763">
            <w:pPr>
              <w:pStyle w:val="12"/>
            </w:pPr>
            <w:r>
              <w:t>问卷调查</w:t>
            </w:r>
          </w:p>
        </w:tc>
      </w:tr>
    </w:tbl>
    <w:p w14:paraId="255D5FBD">
      <w:pPr>
        <w:sectPr>
          <w:pgSz w:w="16840" w:h="11900" w:orient="landscape"/>
          <w:pgMar w:top="1361" w:right="1020" w:bottom="1134" w:left="1020" w:header="720" w:footer="720" w:gutter="0"/>
          <w:cols w:space="720" w:num="1"/>
        </w:sectPr>
      </w:pPr>
    </w:p>
    <w:p w14:paraId="3D1A8C81">
      <w:pPr>
        <w:spacing w:before="0" w:after="0"/>
        <w:ind w:firstLine="560"/>
        <w:jc w:val="left"/>
        <w:outlineLvl w:val="9"/>
      </w:pPr>
      <w:r>
        <w:rPr>
          <w:rFonts w:ascii="方正仿宋_GBK" w:hAnsi="方正仿宋_GBK" w:eastAsia="方正仿宋_GBK" w:cs="方正仿宋_GBK"/>
          <w:b/>
          <w:color w:val="000000"/>
          <w:sz w:val="28"/>
        </w:rPr>
        <w:t>15、冀财教[2025]147号/省级/2026年义教补助经费/北楼校区南汪店小学公用经费绩效目标表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5E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588CB">
            <w:pPr>
              <w:pStyle w:val="11"/>
            </w:pPr>
            <w:r>
              <w:t>单位：万元</w:t>
            </w:r>
          </w:p>
        </w:tc>
      </w:tr>
      <w:tr w14:paraId="49098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7173A">
            <w:pPr>
              <w:pStyle w:val="10"/>
            </w:pPr>
            <w:r>
              <w:t>项目编码</w:t>
            </w:r>
          </w:p>
        </w:tc>
        <w:tc>
          <w:tcPr>
            <w:tcW w:w="5103" w:type="dxa"/>
            <w:gridSpan w:val="2"/>
            <w:vAlign w:val="center"/>
          </w:tcPr>
          <w:p w14:paraId="4B1A34B7">
            <w:pPr>
              <w:pStyle w:val="12"/>
            </w:pPr>
            <w:r>
              <w:t>13052526P000004103544</w:t>
            </w:r>
          </w:p>
        </w:tc>
        <w:tc>
          <w:tcPr>
            <w:tcW w:w="2835" w:type="dxa"/>
            <w:vAlign w:val="center"/>
          </w:tcPr>
          <w:p w14:paraId="10C8C367">
            <w:pPr>
              <w:pStyle w:val="10"/>
            </w:pPr>
            <w:r>
              <w:t>项目名称</w:t>
            </w:r>
          </w:p>
        </w:tc>
        <w:tc>
          <w:tcPr>
            <w:tcW w:w="6095" w:type="dxa"/>
            <w:gridSpan w:val="3"/>
            <w:vAlign w:val="center"/>
          </w:tcPr>
          <w:p w14:paraId="775EA9F4">
            <w:pPr>
              <w:pStyle w:val="12"/>
            </w:pPr>
            <w:r>
              <w:t>冀财教[2025]147号/省级/2026年义教补助经费/北楼校区南汪店小学公用经费</w:t>
            </w:r>
          </w:p>
        </w:tc>
      </w:tr>
      <w:tr w14:paraId="5A840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C8B60">
            <w:pPr>
              <w:pStyle w:val="10"/>
            </w:pPr>
            <w:r>
              <w:t>预算规模及资金用途</w:t>
            </w:r>
          </w:p>
        </w:tc>
        <w:tc>
          <w:tcPr>
            <w:tcW w:w="2268" w:type="dxa"/>
            <w:vAlign w:val="center"/>
          </w:tcPr>
          <w:p w14:paraId="29869DA6">
            <w:pPr>
              <w:pStyle w:val="10"/>
            </w:pPr>
            <w:r>
              <w:t>预算数</w:t>
            </w:r>
          </w:p>
        </w:tc>
        <w:tc>
          <w:tcPr>
            <w:tcW w:w="2835" w:type="dxa"/>
            <w:vAlign w:val="center"/>
          </w:tcPr>
          <w:p w14:paraId="72428F10">
            <w:pPr>
              <w:pStyle w:val="12"/>
            </w:pPr>
            <w:r>
              <w:t>11.33</w:t>
            </w:r>
          </w:p>
        </w:tc>
        <w:tc>
          <w:tcPr>
            <w:tcW w:w="2835" w:type="dxa"/>
            <w:vAlign w:val="center"/>
          </w:tcPr>
          <w:p w14:paraId="0E61CBCA">
            <w:pPr>
              <w:pStyle w:val="10"/>
            </w:pPr>
            <w:r>
              <w:t>其中：财政    资金</w:t>
            </w:r>
          </w:p>
        </w:tc>
        <w:tc>
          <w:tcPr>
            <w:tcW w:w="2551" w:type="dxa"/>
            <w:vAlign w:val="center"/>
          </w:tcPr>
          <w:p w14:paraId="730E481E">
            <w:pPr>
              <w:pStyle w:val="12"/>
            </w:pPr>
            <w:r>
              <w:t>11.33</w:t>
            </w:r>
          </w:p>
        </w:tc>
        <w:tc>
          <w:tcPr>
            <w:tcW w:w="2268" w:type="dxa"/>
            <w:vAlign w:val="center"/>
          </w:tcPr>
          <w:p w14:paraId="5953C696">
            <w:pPr>
              <w:pStyle w:val="10"/>
            </w:pPr>
            <w:r>
              <w:t>其他资金</w:t>
            </w:r>
          </w:p>
        </w:tc>
        <w:tc>
          <w:tcPr>
            <w:tcW w:w="1276" w:type="dxa"/>
            <w:vAlign w:val="center"/>
          </w:tcPr>
          <w:p w14:paraId="2F4B634B">
            <w:pPr>
              <w:pStyle w:val="12"/>
            </w:pPr>
            <w:r>
              <w:t xml:space="preserve"> </w:t>
            </w:r>
          </w:p>
        </w:tc>
      </w:tr>
      <w:tr w14:paraId="49B92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B6569"/>
        </w:tc>
        <w:tc>
          <w:tcPr>
            <w:tcW w:w="14033" w:type="dxa"/>
            <w:gridSpan w:val="6"/>
            <w:vAlign w:val="center"/>
          </w:tcPr>
          <w:p w14:paraId="3B83B08A">
            <w:pPr>
              <w:pStyle w:val="12"/>
            </w:pPr>
            <w:r>
              <w:t>有效完成学校教学安全秩序，保障学校教学任务有效开展，满足学校正常教学需要。</w:t>
            </w:r>
          </w:p>
        </w:tc>
      </w:tr>
      <w:tr w14:paraId="3F351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D8726">
            <w:pPr>
              <w:pStyle w:val="10"/>
            </w:pPr>
            <w:r>
              <w:t>资金支出计划（%）</w:t>
            </w:r>
          </w:p>
        </w:tc>
        <w:tc>
          <w:tcPr>
            <w:tcW w:w="5103" w:type="dxa"/>
            <w:gridSpan w:val="2"/>
            <w:vAlign w:val="center"/>
          </w:tcPr>
          <w:p w14:paraId="11BD9394">
            <w:pPr>
              <w:pStyle w:val="10"/>
            </w:pPr>
            <w:r>
              <w:t>3月底</w:t>
            </w:r>
          </w:p>
        </w:tc>
        <w:tc>
          <w:tcPr>
            <w:tcW w:w="2835" w:type="dxa"/>
            <w:vAlign w:val="center"/>
          </w:tcPr>
          <w:p w14:paraId="5D73E3E7">
            <w:pPr>
              <w:pStyle w:val="10"/>
            </w:pPr>
            <w:r>
              <w:t>6月底</w:t>
            </w:r>
          </w:p>
        </w:tc>
        <w:tc>
          <w:tcPr>
            <w:tcW w:w="2551" w:type="dxa"/>
            <w:vAlign w:val="center"/>
          </w:tcPr>
          <w:p w14:paraId="4FB4B401">
            <w:pPr>
              <w:pStyle w:val="10"/>
            </w:pPr>
            <w:r>
              <w:t>10月底</w:t>
            </w:r>
          </w:p>
        </w:tc>
        <w:tc>
          <w:tcPr>
            <w:tcW w:w="3544" w:type="dxa"/>
            <w:gridSpan w:val="2"/>
            <w:vAlign w:val="center"/>
          </w:tcPr>
          <w:p w14:paraId="42978DBB">
            <w:pPr>
              <w:pStyle w:val="10"/>
            </w:pPr>
            <w:r>
              <w:t>12月底</w:t>
            </w:r>
          </w:p>
        </w:tc>
      </w:tr>
      <w:tr w14:paraId="3239A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147DA"/>
        </w:tc>
        <w:tc>
          <w:tcPr>
            <w:tcW w:w="5103" w:type="dxa"/>
            <w:gridSpan w:val="2"/>
            <w:vAlign w:val="center"/>
          </w:tcPr>
          <w:p w14:paraId="5E6173B0">
            <w:pPr>
              <w:pStyle w:val="13"/>
            </w:pPr>
            <w:r>
              <w:t>25%</w:t>
            </w:r>
          </w:p>
        </w:tc>
        <w:tc>
          <w:tcPr>
            <w:tcW w:w="2835" w:type="dxa"/>
            <w:vAlign w:val="center"/>
          </w:tcPr>
          <w:p w14:paraId="2FC2AA59">
            <w:pPr>
              <w:pStyle w:val="13"/>
            </w:pPr>
            <w:r>
              <w:t>50%</w:t>
            </w:r>
          </w:p>
        </w:tc>
        <w:tc>
          <w:tcPr>
            <w:tcW w:w="2551" w:type="dxa"/>
            <w:vAlign w:val="center"/>
          </w:tcPr>
          <w:p w14:paraId="0F8873C2">
            <w:pPr>
              <w:pStyle w:val="13"/>
            </w:pPr>
            <w:r>
              <w:t>75%</w:t>
            </w:r>
          </w:p>
        </w:tc>
        <w:tc>
          <w:tcPr>
            <w:tcW w:w="3544" w:type="dxa"/>
            <w:gridSpan w:val="2"/>
            <w:vAlign w:val="center"/>
          </w:tcPr>
          <w:p w14:paraId="34659F37">
            <w:pPr>
              <w:pStyle w:val="13"/>
            </w:pPr>
            <w:r>
              <w:t>100%</w:t>
            </w:r>
          </w:p>
        </w:tc>
      </w:tr>
      <w:tr w14:paraId="1B34D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3EAD9">
            <w:pPr>
              <w:pStyle w:val="10"/>
            </w:pPr>
            <w:r>
              <w:t>绩效目标</w:t>
            </w:r>
          </w:p>
        </w:tc>
        <w:tc>
          <w:tcPr>
            <w:tcW w:w="14033" w:type="dxa"/>
            <w:gridSpan w:val="6"/>
            <w:vAlign w:val="center"/>
          </w:tcPr>
          <w:p w14:paraId="5AA0E4CE">
            <w:pPr>
              <w:pStyle w:val="12"/>
            </w:pPr>
            <w:r>
              <w:t>1.按规定拨付公用经费资金，预算执行率≥98%。</w:t>
            </w:r>
          </w:p>
          <w:p w14:paraId="2F2B696F">
            <w:pPr>
              <w:pStyle w:val="12"/>
            </w:pPr>
            <w:r>
              <w:t>2.有效完成学校教学安全秩序，保障学校教学任务有效开展，满足学校正常教学需要。</w:t>
            </w:r>
          </w:p>
        </w:tc>
      </w:tr>
    </w:tbl>
    <w:p w14:paraId="66BD6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6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E2249">
            <w:pPr>
              <w:pStyle w:val="10"/>
            </w:pPr>
            <w:r>
              <w:t>一级指标</w:t>
            </w:r>
          </w:p>
        </w:tc>
        <w:tc>
          <w:tcPr>
            <w:tcW w:w="2268" w:type="dxa"/>
            <w:vAlign w:val="center"/>
          </w:tcPr>
          <w:p w14:paraId="3233BCF2">
            <w:pPr>
              <w:pStyle w:val="10"/>
            </w:pPr>
            <w:r>
              <w:t>二级指标</w:t>
            </w:r>
          </w:p>
        </w:tc>
        <w:tc>
          <w:tcPr>
            <w:tcW w:w="2835" w:type="dxa"/>
            <w:vAlign w:val="center"/>
          </w:tcPr>
          <w:p w14:paraId="3AB4F22D">
            <w:pPr>
              <w:pStyle w:val="10"/>
            </w:pPr>
            <w:r>
              <w:t>三级指标</w:t>
            </w:r>
          </w:p>
        </w:tc>
        <w:tc>
          <w:tcPr>
            <w:tcW w:w="5386" w:type="dxa"/>
            <w:vAlign w:val="center"/>
          </w:tcPr>
          <w:p w14:paraId="18EA7423">
            <w:pPr>
              <w:pStyle w:val="10"/>
            </w:pPr>
            <w:r>
              <w:t>绩效指标描述</w:t>
            </w:r>
          </w:p>
        </w:tc>
        <w:tc>
          <w:tcPr>
            <w:tcW w:w="2268" w:type="dxa"/>
            <w:vAlign w:val="center"/>
          </w:tcPr>
          <w:p w14:paraId="53C37011">
            <w:pPr>
              <w:pStyle w:val="10"/>
            </w:pPr>
            <w:r>
              <w:t>指标值</w:t>
            </w:r>
          </w:p>
        </w:tc>
        <w:tc>
          <w:tcPr>
            <w:tcW w:w="1276" w:type="dxa"/>
            <w:vAlign w:val="center"/>
          </w:tcPr>
          <w:p w14:paraId="3BABDC90">
            <w:pPr>
              <w:pStyle w:val="10"/>
            </w:pPr>
            <w:r>
              <w:t>指标值确定依据</w:t>
            </w:r>
          </w:p>
        </w:tc>
      </w:tr>
      <w:tr w14:paraId="5CB9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ABB50">
            <w:pPr>
              <w:pStyle w:val="13"/>
            </w:pPr>
            <w:r>
              <w:t>产出指标</w:t>
            </w:r>
          </w:p>
        </w:tc>
        <w:tc>
          <w:tcPr>
            <w:tcW w:w="2268" w:type="dxa"/>
            <w:vAlign w:val="center"/>
          </w:tcPr>
          <w:p w14:paraId="53BA46FB">
            <w:pPr>
              <w:pStyle w:val="12"/>
            </w:pPr>
            <w:r>
              <w:t>成本指标</w:t>
            </w:r>
          </w:p>
        </w:tc>
        <w:tc>
          <w:tcPr>
            <w:tcW w:w="2835" w:type="dxa"/>
            <w:vAlign w:val="center"/>
          </w:tcPr>
          <w:p w14:paraId="5C82602F">
            <w:pPr>
              <w:pStyle w:val="12"/>
            </w:pPr>
            <w:r>
              <w:t>生均拨款标准</w:t>
            </w:r>
          </w:p>
        </w:tc>
        <w:tc>
          <w:tcPr>
            <w:tcW w:w="5386" w:type="dxa"/>
            <w:vAlign w:val="center"/>
          </w:tcPr>
          <w:p w14:paraId="76256092">
            <w:pPr>
              <w:pStyle w:val="12"/>
            </w:pPr>
            <w:r>
              <w:t>小学生公用经费生均小学720元。取暖费120元/生/年，随班就读学生补助7000元/生</w:t>
            </w:r>
          </w:p>
        </w:tc>
        <w:tc>
          <w:tcPr>
            <w:tcW w:w="2268" w:type="dxa"/>
            <w:vAlign w:val="center"/>
          </w:tcPr>
          <w:p w14:paraId="06240D36">
            <w:pPr>
              <w:pStyle w:val="12"/>
            </w:pPr>
            <w:r>
              <w:t>840元</w:t>
            </w:r>
          </w:p>
        </w:tc>
        <w:tc>
          <w:tcPr>
            <w:tcW w:w="1276" w:type="dxa"/>
            <w:vAlign w:val="center"/>
          </w:tcPr>
          <w:p w14:paraId="579BE2A9">
            <w:pPr>
              <w:pStyle w:val="12"/>
            </w:pPr>
            <w:r>
              <w:t>城乡义务教育公用经费管理办法</w:t>
            </w:r>
          </w:p>
        </w:tc>
      </w:tr>
      <w:tr w14:paraId="2BBB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CCE2A"/>
        </w:tc>
        <w:tc>
          <w:tcPr>
            <w:tcW w:w="2268" w:type="dxa"/>
            <w:vAlign w:val="center"/>
          </w:tcPr>
          <w:p w14:paraId="5B6054A1">
            <w:pPr>
              <w:pStyle w:val="12"/>
            </w:pPr>
            <w:r>
              <w:t>数量指标</w:t>
            </w:r>
          </w:p>
        </w:tc>
        <w:tc>
          <w:tcPr>
            <w:tcW w:w="2835" w:type="dxa"/>
            <w:vAlign w:val="center"/>
          </w:tcPr>
          <w:p w14:paraId="67499396">
            <w:pPr>
              <w:pStyle w:val="12"/>
            </w:pPr>
            <w:r>
              <w:t>就读学生数</w:t>
            </w:r>
          </w:p>
        </w:tc>
        <w:tc>
          <w:tcPr>
            <w:tcW w:w="5386" w:type="dxa"/>
            <w:vAlign w:val="center"/>
          </w:tcPr>
          <w:p w14:paraId="3B54670A">
            <w:pPr>
              <w:pStyle w:val="12"/>
            </w:pPr>
            <w:r>
              <w:t>辐射区域内适龄学生人数</w:t>
            </w:r>
          </w:p>
        </w:tc>
        <w:tc>
          <w:tcPr>
            <w:tcW w:w="2268" w:type="dxa"/>
            <w:vAlign w:val="center"/>
          </w:tcPr>
          <w:p w14:paraId="5A065EB3">
            <w:pPr>
              <w:pStyle w:val="12"/>
            </w:pPr>
            <w:r>
              <w:t>308人</w:t>
            </w:r>
          </w:p>
        </w:tc>
        <w:tc>
          <w:tcPr>
            <w:tcW w:w="1276" w:type="dxa"/>
            <w:vAlign w:val="center"/>
          </w:tcPr>
          <w:p w14:paraId="6AEC3FF0">
            <w:pPr>
              <w:pStyle w:val="12"/>
            </w:pPr>
            <w:r>
              <w:t>城乡义务教育公用经费管理办法</w:t>
            </w:r>
          </w:p>
        </w:tc>
      </w:tr>
      <w:tr w14:paraId="533F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A7D8C"/>
        </w:tc>
        <w:tc>
          <w:tcPr>
            <w:tcW w:w="2268" w:type="dxa"/>
            <w:vAlign w:val="center"/>
          </w:tcPr>
          <w:p w14:paraId="0E5E51FB">
            <w:pPr>
              <w:pStyle w:val="12"/>
            </w:pPr>
            <w:r>
              <w:t>质量指标</w:t>
            </w:r>
          </w:p>
        </w:tc>
        <w:tc>
          <w:tcPr>
            <w:tcW w:w="2835" w:type="dxa"/>
            <w:vAlign w:val="center"/>
          </w:tcPr>
          <w:p w14:paraId="20728FFF">
            <w:pPr>
              <w:pStyle w:val="12"/>
            </w:pPr>
            <w:r>
              <w:t>预算执行率</w:t>
            </w:r>
          </w:p>
        </w:tc>
        <w:tc>
          <w:tcPr>
            <w:tcW w:w="5386" w:type="dxa"/>
            <w:vAlign w:val="center"/>
          </w:tcPr>
          <w:p w14:paraId="58CC3487">
            <w:pPr>
              <w:pStyle w:val="12"/>
            </w:pPr>
            <w:r>
              <w:t>预算执行率≥98%</w:t>
            </w:r>
          </w:p>
        </w:tc>
        <w:tc>
          <w:tcPr>
            <w:tcW w:w="2268" w:type="dxa"/>
            <w:vAlign w:val="center"/>
          </w:tcPr>
          <w:p w14:paraId="4DF1E0CC">
            <w:pPr>
              <w:pStyle w:val="12"/>
            </w:pPr>
            <w:r>
              <w:t>≥98%</w:t>
            </w:r>
          </w:p>
        </w:tc>
        <w:tc>
          <w:tcPr>
            <w:tcW w:w="1276" w:type="dxa"/>
            <w:vAlign w:val="center"/>
          </w:tcPr>
          <w:p w14:paraId="52B53CE8">
            <w:pPr>
              <w:pStyle w:val="12"/>
            </w:pPr>
            <w:r>
              <w:t>城乡义务教育公用经费管理办法</w:t>
            </w:r>
          </w:p>
        </w:tc>
      </w:tr>
      <w:tr w14:paraId="1DD3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45974"/>
        </w:tc>
        <w:tc>
          <w:tcPr>
            <w:tcW w:w="2268" w:type="dxa"/>
            <w:vAlign w:val="center"/>
          </w:tcPr>
          <w:p w14:paraId="54710DCE">
            <w:pPr>
              <w:pStyle w:val="12"/>
            </w:pPr>
            <w:r>
              <w:t>时效指标</w:t>
            </w:r>
          </w:p>
        </w:tc>
        <w:tc>
          <w:tcPr>
            <w:tcW w:w="2835" w:type="dxa"/>
            <w:vAlign w:val="center"/>
          </w:tcPr>
          <w:p w14:paraId="5698182C">
            <w:pPr>
              <w:pStyle w:val="12"/>
            </w:pPr>
            <w:r>
              <w:t>义教经费支付完成率</w:t>
            </w:r>
          </w:p>
        </w:tc>
        <w:tc>
          <w:tcPr>
            <w:tcW w:w="5386" w:type="dxa"/>
            <w:vAlign w:val="center"/>
          </w:tcPr>
          <w:p w14:paraId="6101D52F">
            <w:pPr>
              <w:pStyle w:val="12"/>
            </w:pPr>
            <w:r>
              <w:t>按照序时进度完成资金支付</w:t>
            </w:r>
          </w:p>
        </w:tc>
        <w:tc>
          <w:tcPr>
            <w:tcW w:w="2268" w:type="dxa"/>
            <w:vAlign w:val="center"/>
          </w:tcPr>
          <w:p w14:paraId="0E3540C1">
            <w:pPr>
              <w:pStyle w:val="12"/>
            </w:pPr>
            <w:r>
              <w:t>100%</w:t>
            </w:r>
          </w:p>
        </w:tc>
        <w:tc>
          <w:tcPr>
            <w:tcW w:w="1276" w:type="dxa"/>
            <w:vAlign w:val="center"/>
          </w:tcPr>
          <w:p w14:paraId="67524E81">
            <w:pPr>
              <w:pStyle w:val="12"/>
            </w:pPr>
            <w:r>
              <w:t>城乡义务教育公用经费管理办法</w:t>
            </w:r>
          </w:p>
        </w:tc>
      </w:tr>
      <w:tr w14:paraId="37C3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915FE">
            <w:pPr>
              <w:pStyle w:val="13"/>
            </w:pPr>
            <w:r>
              <w:t>效益指标</w:t>
            </w:r>
          </w:p>
        </w:tc>
        <w:tc>
          <w:tcPr>
            <w:tcW w:w="2268" w:type="dxa"/>
            <w:vAlign w:val="center"/>
          </w:tcPr>
          <w:p w14:paraId="0B36A267">
            <w:pPr>
              <w:pStyle w:val="12"/>
            </w:pPr>
            <w:r>
              <w:t>可持续影响指标</w:t>
            </w:r>
          </w:p>
        </w:tc>
        <w:tc>
          <w:tcPr>
            <w:tcW w:w="2835" w:type="dxa"/>
            <w:vAlign w:val="center"/>
          </w:tcPr>
          <w:p w14:paraId="3555F107">
            <w:pPr>
              <w:pStyle w:val="12"/>
            </w:pPr>
            <w:r>
              <w:t>学校运转得到提高</w:t>
            </w:r>
          </w:p>
        </w:tc>
        <w:tc>
          <w:tcPr>
            <w:tcW w:w="5386" w:type="dxa"/>
            <w:vAlign w:val="center"/>
          </w:tcPr>
          <w:p w14:paraId="20CDBC27">
            <w:pPr>
              <w:pStyle w:val="12"/>
            </w:pPr>
            <w:r>
              <w:t>学生受教育年限</w:t>
            </w:r>
          </w:p>
        </w:tc>
        <w:tc>
          <w:tcPr>
            <w:tcW w:w="2268" w:type="dxa"/>
            <w:vAlign w:val="center"/>
          </w:tcPr>
          <w:p w14:paraId="13B05804">
            <w:pPr>
              <w:pStyle w:val="12"/>
            </w:pPr>
            <w:r>
              <w:t>6年</w:t>
            </w:r>
          </w:p>
        </w:tc>
        <w:tc>
          <w:tcPr>
            <w:tcW w:w="1276" w:type="dxa"/>
            <w:vAlign w:val="center"/>
          </w:tcPr>
          <w:p w14:paraId="5A9FAEAE">
            <w:pPr>
              <w:pStyle w:val="12"/>
            </w:pPr>
            <w:r>
              <w:t>城乡义务教育公用经费管理办法</w:t>
            </w:r>
          </w:p>
        </w:tc>
      </w:tr>
      <w:tr w14:paraId="309A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8101C">
            <w:pPr>
              <w:pStyle w:val="13"/>
            </w:pPr>
            <w:r>
              <w:t>满意度指标</w:t>
            </w:r>
          </w:p>
        </w:tc>
        <w:tc>
          <w:tcPr>
            <w:tcW w:w="2268" w:type="dxa"/>
            <w:vAlign w:val="center"/>
          </w:tcPr>
          <w:p w14:paraId="0D6C94F7">
            <w:pPr>
              <w:pStyle w:val="12"/>
            </w:pPr>
            <w:r>
              <w:t>服务对象满意度指标</w:t>
            </w:r>
          </w:p>
        </w:tc>
        <w:tc>
          <w:tcPr>
            <w:tcW w:w="2835" w:type="dxa"/>
            <w:vAlign w:val="center"/>
          </w:tcPr>
          <w:p w14:paraId="6D337730">
            <w:pPr>
              <w:pStyle w:val="12"/>
            </w:pPr>
            <w:r>
              <w:t>服务对象满意度</w:t>
            </w:r>
          </w:p>
        </w:tc>
        <w:tc>
          <w:tcPr>
            <w:tcW w:w="5386" w:type="dxa"/>
            <w:vAlign w:val="center"/>
          </w:tcPr>
          <w:p w14:paraId="6198A15A">
            <w:pPr>
              <w:pStyle w:val="12"/>
            </w:pPr>
            <w:r>
              <w:t>学校老师和学生满意度</w:t>
            </w:r>
          </w:p>
        </w:tc>
        <w:tc>
          <w:tcPr>
            <w:tcW w:w="2268" w:type="dxa"/>
            <w:vAlign w:val="center"/>
          </w:tcPr>
          <w:p w14:paraId="4D81F610">
            <w:pPr>
              <w:pStyle w:val="12"/>
            </w:pPr>
            <w:r>
              <w:t>≥95%</w:t>
            </w:r>
          </w:p>
        </w:tc>
        <w:tc>
          <w:tcPr>
            <w:tcW w:w="1276" w:type="dxa"/>
            <w:vAlign w:val="center"/>
          </w:tcPr>
          <w:p w14:paraId="114323F9">
            <w:pPr>
              <w:pStyle w:val="12"/>
            </w:pPr>
            <w:r>
              <w:t>问卷调查</w:t>
            </w:r>
          </w:p>
        </w:tc>
      </w:tr>
    </w:tbl>
    <w:p w14:paraId="1B22946D">
      <w:pPr>
        <w:sectPr>
          <w:pgSz w:w="16840" w:h="11900" w:orient="landscape"/>
          <w:pgMar w:top="1361" w:right="1020" w:bottom="1134" w:left="1020" w:header="720" w:footer="720" w:gutter="0"/>
          <w:cols w:space="720" w:num="1"/>
        </w:sectPr>
      </w:pPr>
    </w:p>
    <w:p w14:paraId="76A3A596">
      <w:pPr>
        <w:spacing w:before="0" w:after="0"/>
        <w:ind w:firstLine="560"/>
        <w:jc w:val="left"/>
        <w:outlineLvl w:val="9"/>
      </w:pPr>
      <w:r>
        <w:rPr>
          <w:rFonts w:ascii="方正仿宋_GBK" w:hAnsi="方正仿宋_GBK" w:eastAsia="方正仿宋_GBK" w:cs="方正仿宋_GBK"/>
          <w:b/>
          <w:color w:val="000000"/>
          <w:sz w:val="28"/>
        </w:rPr>
        <w:t>16、冀财教[2025]147号/省级/2026年义教补助经费/北楼校区尚礼小学公用经费绩效目标表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E5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198C7">
            <w:pPr>
              <w:pStyle w:val="11"/>
            </w:pPr>
            <w:r>
              <w:t>单位：万元</w:t>
            </w:r>
          </w:p>
        </w:tc>
      </w:tr>
      <w:tr w14:paraId="5984A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A95DB">
            <w:pPr>
              <w:pStyle w:val="10"/>
            </w:pPr>
            <w:r>
              <w:t>项目编码</w:t>
            </w:r>
          </w:p>
        </w:tc>
        <w:tc>
          <w:tcPr>
            <w:tcW w:w="5103" w:type="dxa"/>
            <w:gridSpan w:val="2"/>
            <w:vAlign w:val="center"/>
          </w:tcPr>
          <w:p w14:paraId="019C80AC">
            <w:pPr>
              <w:pStyle w:val="12"/>
            </w:pPr>
            <w:r>
              <w:t>13052526P000004103519</w:t>
            </w:r>
          </w:p>
        </w:tc>
        <w:tc>
          <w:tcPr>
            <w:tcW w:w="2835" w:type="dxa"/>
            <w:vAlign w:val="center"/>
          </w:tcPr>
          <w:p w14:paraId="029A29C1">
            <w:pPr>
              <w:pStyle w:val="10"/>
            </w:pPr>
            <w:r>
              <w:t>项目名称</w:t>
            </w:r>
          </w:p>
        </w:tc>
        <w:tc>
          <w:tcPr>
            <w:tcW w:w="6095" w:type="dxa"/>
            <w:gridSpan w:val="3"/>
            <w:vAlign w:val="center"/>
          </w:tcPr>
          <w:p w14:paraId="7FF3C492">
            <w:pPr>
              <w:pStyle w:val="12"/>
            </w:pPr>
            <w:r>
              <w:t>冀财教[2025]147号/省级/2026年义教补助经费/北楼校区尚礼小学公用经费</w:t>
            </w:r>
          </w:p>
        </w:tc>
      </w:tr>
      <w:tr w14:paraId="57DDF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EEDFB">
            <w:pPr>
              <w:pStyle w:val="10"/>
            </w:pPr>
            <w:r>
              <w:t>预算规模及资金用途</w:t>
            </w:r>
          </w:p>
        </w:tc>
        <w:tc>
          <w:tcPr>
            <w:tcW w:w="2268" w:type="dxa"/>
            <w:vAlign w:val="center"/>
          </w:tcPr>
          <w:p w14:paraId="2C31547B">
            <w:pPr>
              <w:pStyle w:val="10"/>
            </w:pPr>
            <w:r>
              <w:t>预算数</w:t>
            </w:r>
          </w:p>
        </w:tc>
        <w:tc>
          <w:tcPr>
            <w:tcW w:w="2835" w:type="dxa"/>
            <w:vAlign w:val="center"/>
          </w:tcPr>
          <w:p w14:paraId="39EE4DB3">
            <w:pPr>
              <w:pStyle w:val="12"/>
            </w:pPr>
            <w:r>
              <w:t>14.31</w:t>
            </w:r>
          </w:p>
        </w:tc>
        <w:tc>
          <w:tcPr>
            <w:tcW w:w="2835" w:type="dxa"/>
            <w:vAlign w:val="center"/>
          </w:tcPr>
          <w:p w14:paraId="0F4DE312">
            <w:pPr>
              <w:pStyle w:val="10"/>
            </w:pPr>
            <w:r>
              <w:t>其中：财政    资金</w:t>
            </w:r>
          </w:p>
        </w:tc>
        <w:tc>
          <w:tcPr>
            <w:tcW w:w="2551" w:type="dxa"/>
            <w:vAlign w:val="center"/>
          </w:tcPr>
          <w:p w14:paraId="1FA57BBF">
            <w:pPr>
              <w:pStyle w:val="12"/>
            </w:pPr>
            <w:r>
              <w:t>14.31</w:t>
            </w:r>
          </w:p>
        </w:tc>
        <w:tc>
          <w:tcPr>
            <w:tcW w:w="2268" w:type="dxa"/>
            <w:vAlign w:val="center"/>
          </w:tcPr>
          <w:p w14:paraId="307F48B5">
            <w:pPr>
              <w:pStyle w:val="10"/>
            </w:pPr>
            <w:r>
              <w:t>其他资金</w:t>
            </w:r>
          </w:p>
        </w:tc>
        <w:tc>
          <w:tcPr>
            <w:tcW w:w="1276" w:type="dxa"/>
            <w:vAlign w:val="center"/>
          </w:tcPr>
          <w:p w14:paraId="101C5A0B">
            <w:pPr>
              <w:pStyle w:val="12"/>
            </w:pPr>
            <w:r>
              <w:t xml:space="preserve"> </w:t>
            </w:r>
          </w:p>
        </w:tc>
      </w:tr>
      <w:tr w14:paraId="58F82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AB058"/>
        </w:tc>
        <w:tc>
          <w:tcPr>
            <w:tcW w:w="14033" w:type="dxa"/>
            <w:gridSpan w:val="6"/>
            <w:vAlign w:val="center"/>
          </w:tcPr>
          <w:p w14:paraId="166F728B">
            <w:pPr>
              <w:pStyle w:val="12"/>
            </w:pPr>
            <w:r>
              <w:t>有效完成学校教学安全秩序，保障学校教学任务有效开展，满足学校正常教学需要。</w:t>
            </w:r>
          </w:p>
        </w:tc>
      </w:tr>
      <w:tr w14:paraId="51BCA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D30A3">
            <w:pPr>
              <w:pStyle w:val="10"/>
            </w:pPr>
            <w:r>
              <w:t>资金支出计划（%）</w:t>
            </w:r>
          </w:p>
        </w:tc>
        <w:tc>
          <w:tcPr>
            <w:tcW w:w="5103" w:type="dxa"/>
            <w:gridSpan w:val="2"/>
            <w:vAlign w:val="center"/>
          </w:tcPr>
          <w:p w14:paraId="3966386D">
            <w:pPr>
              <w:pStyle w:val="10"/>
            </w:pPr>
            <w:r>
              <w:t>3月底</w:t>
            </w:r>
          </w:p>
        </w:tc>
        <w:tc>
          <w:tcPr>
            <w:tcW w:w="2835" w:type="dxa"/>
            <w:vAlign w:val="center"/>
          </w:tcPr>
          <w:p w14:paraId="240F1867">
            <w:pPr>
              <w:pStyle w:val="10"/>
            </w:pPr>
            <w:r>
              <w:t>6月底</w:t>
            </w:r>
          </w:p>
        </w:tc>
        <w:tc>
          <w:tcPr>
            <w:tcW w:w="2551" w:type="dxa"/>
            <w:vAlign w:val="center"/>
          </w:tcPr>
          <w:p w14:paraId="45E40B8E">
            <w:pPr>
              <w:pStyle w:val="10"/>
            </w:pPr>
            <w:r>
              <w:t>10月底</w:t>
            </w:r>
          </w:p>
        </w:tc>
        <w:tc>
          <w:tcPr>
            <w:tcW w:w="3544" w:type="dxa"/>
            <w:gridSpan w:val="2"/>
            <w:vAlign w:val="center"/>
          </w:tcPr>
          <w:p w14:paraId="6681B906">
            <w:pPr>
              <w:pStyle w:val="10"/>
            </w:pPr>
            <w:r>
              <w:t>12月底</w:t>
            </w:r>
          </w:p>
        </w:tc>
      </w:tr>
      <w:tr w14:paraId="69799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00D7A"/>
        </w:tc>
        <w:tc>
          <w:tcPr>
            <w:tcW w:w="5103" w:type="dxa"/>
            <w:gridSpan w:val="2"/>
            <w:vAlign w:val="center"/>
          </w:tcPr>
          <w:p w14:paraId="52AD10FA">
            <w:pPr>
              <w:pStyle w:val="13"/>
            </w:pPr>
            <w:r>
              <w:t>25%</w:t>
            </w:r>
          </w:p>
        </w:tc>
        <w:tc>
          <w:tcPr>
            <w:tcW w:w="2835" w:type="dxa"/>
            <w:vAlign w:val="center"/>
          </w:tcPr>
          <w:p w14:paraId="3056B78A">
            <w:pPr>
              <w:pStyle w:val="13"/>
            </w:pPr>
            <w:r>
              <w:t>50%</w:t>
            </w:r>
          </w:p>
        </w:tc>
        <w:tc>
          <w:tcPr>
            <w:tcW w:w="2551" w:type="dxa"/>
            <w:vAlign w:val="center"/>
          </w:tcPr>
          <w:p w14:paraId="2EACA670">
            <w:pPr>
              <w:pStyle w:val="13"/>
            </w:pPr>
            <w:r>
              <w:t>75%</w:t>
            </w:r>
          </w:p>
        </w:tc>
        <w:tc>
          <w:tcPr>
            <w:tcW w:w="3544" w:type="dxa"/>
            <w:gridSpan w:val="2"/>
            <w:vAlign w:val="center"/>
          </w:tcPr>
          <w:p w14:paraId="781286A9">
            <w:pPr>
              <w:pStyle w:val="13"/>
            </w:pPr>
            <w:r>
              <w:t>100%</w:t>
            </w:r>
          </w:p>
        </w:tc>
      </w:tr>
      <w:tr w14:paraId="08F66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EA41E">
            <w:pPr>
              <w:pStyle w:val="10"/>
            </w:pPr>
            <w:r>
              <w:t>绩效目标</w:t>
            </w:r>
          </w:p>
        </w:tc>
        <w:tc>
          <w:tcPr>
            <w:tcW w:w="14033" w:type="dxa"/>
            <w:gridSpan w:val="6"/>
            <w:vAlign w:val="center"/>
          </w:tcPr>
          <w:p w14:paraId="56DA1111">
            <w:pPr>
              <w:pStyle w:val="12"/>
            </w:pPr>
            <w:r>
              <w:t>1.按规定拨付公用经费资金，预算执行率≥98%。</w:t>
            </w:r>
          </w:p>
          <w:p w14:paraId="7265FB7C">
            <w:pPr>
              <w:pStyle w:val="12"/>
            </w:pPr>
            <w:r>
              <w:t>2.有效完成学校教学安全秩序，保障学校教学任务有效开展，满足学校正常教学需要。</w:t>
            </w:r>
          </w:p>
        </w:tc>
      </w:tr>
    </w:tbl>
    <w:p w14:paraId="360808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47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3232E">
            <w:pPr>
              <w:pStyle w:val="10"/>
            </w:pPr>
            <w:r>
              <w:t>一级指标</w:t>
            </w:r>
          </w:p>
        </w:tc>
        <w:tc>
          <w:tcPr>
            <w:tcW w:w="2268" w:type="dxa"/>
            <w:vAlign w:val="center"/>
          </w:tcPr>
          <w:p w14:paraId="783EE8E2">
            <w:pPr>
              <w:pStyle w:val="10"/>
            </w:pPr>
            <w:r>
              <w:t>二级指标</w:t>
            </w:r>
          </w:p>
        </w:tc>
        <w:tc>
          <w:tcPr>
            <w:tcW w:w="2835" w:type="dxa"/>
            <w:vAlign w:val="center"/>
          </w:tcPr>
          <w:p w14:paraId="7A3F7665">
            <w:pPr>
              <w:pStyle w:val="10"/>
            </w:pPr>
            <w:r>
              <w:t>三级指标</w:t>
            </w:r>
          </w:p>
        </w:tc>
        <w:tc>
          <w:tcPr>
            <w:tcW w:w="5386" w:type="dxa"/>
            <w:vAlign w:val="center"/>
          </w:tcPr>
          <w:p w14:paraId="4FB720F7">
            <w:pPr>
              <w:pStyle w:val="10"/>
            </w:pPr>
            <w:r>
              <w:t>绩效指标描述</w:t>
            </w:r>
          </w:p>
        </w:tc>
        <w:tc>
          <w:tcPr>
            <w:tcW w:w="2268" w:type="dxa"/>
            <w:vAlign w:val="center"/>
          </w:tcPr>
          <w:p w14:paraId="4802BFF5">
            <w:pPr>
              <w:pStyle w:val="10"/>
            </w:pPr>
            <w:r>
              <w:t>指标值</w:t>
            </w:r>
          </w:p>
        </w:tc>
        <w:tc>
          <w:tcPr>
            <w:tcW w:w="1276" w:type="dxa"/>
            <w:vAlign w:val="center"/>
          </w:tcPr>
          <w:p w14:paraId="06607E7C">
            <w:pPr>
              <w:pStyle w:val="10"/>
            </w:pPr>
            <w:r>
              <w:t>指标值确定依据</w:t>
            </w:r>
          </w:p>
        </w:tc>
      </w:tr>
      <w:tr w14:paraId="3884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6FC72">
            <w:pPr>
              <w:pStyle w:val="13"/>
            </w:pPr>
            <w:r>
              <w:t>产出指标</w:t>
            </w:r>
          </w:p>
        </w:tc>
        <w:tc>
          <w:tcPr>
            <w:tcW w:w="2268" w:type="dxa"/>
            <w:vAlign w:val="center"/>
          </w:tcPr>
          <w:p w14:paraId="16E47F50">
            <w:pPr>
              <w:pStyle w:val="12"/>
            </w:pPr>
            <w:r>
              <w:t>成本指标</w:t>
            </w:r>
          </w:p>
        </w:tc>
        <w:tc>
          <w:tcPr>
            <w:tcW w:w="2835" w:type="dxa"/>
            <w:vAlign w:val="center"/>
          </w:tcPr>
          <w:p w14:paraId="3BCBB1B0">
            <w:pPr>
              <w:pStyle w:val="12"/>
            </w:pPr>
            <w:r>
              <w:t>生均拨款标准</w:t>
            </w:r>
          </w:p>
        </w:tc>
        <w:tc>
          <w:tcPr>
            <w:tcW w:w="5386" w:type="dxa"/>
            <w:vAlign w:val="center"/>
          </w:tcPr>
          <w:p w14:paraId="5D0855C6">
            <w:pPr>
              <w:pStyle w:val="12"/>
            </w:pPr>
            <w:r>
              <w:t>小学生公用经费生均小学720元。取暖费120元/生/年，随班就读学生补助7000元/生</w:t>
            </w:r>
          </w:p>
        </w:tc>
        <w:tc>
          <w:tcPr>
            <w:tcW w:w="2268" w:type="dxa"/>
            <w:vAlign w:val="center"/>
          </w:tcPr>
          <w:p w14:paraId="041E9451">
            <w:pPr>
              <w:pStyle w:val="12"/>
            </w:pPr>
            <w:r>
              <w:t>840元</w:t>
            </w:r>
          </w:p>
        </w:tc>
        <w:tc>
          <w:tcPr>
            <w:tcW w:w="1276" w:type="dxa"/>
            <w:vAlign w:val="center"/>
          </w:tcPr>
          <w:p w14:paraId="08AABAFF">
            <w:pPr>
              <w:pStyle w:val="12"/>
            </w:pPr>
            <w:r>
              <w:t>城乡义务教育公用经费管理办法</w:t>
            </w:r>
          </w:p>
        </w:tc>
      </w:tr>
      <w:tr w14:paraId="4A38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B8CE"/>
        </w:tc>
        <w:tc>
          <w:tcPr>
            <w:tcW w:w="2268" w:type="dxa"/>
            <w:vAlign w:val="center"/>
          </w:tcPr>
          <w:p w14:paraId="07C4519B">
            <w:pPr>
              <w:pStyle w:val="12"/>
            </w:pPr>
            <w:r>
              <w:t>数量指标</w:t>
            </w:r>
          </w:p>
        </w:tc>
        <w:tc>
          <w:tcPr>
            <w:tcW w:w="2835" w:type="dxa"/>
            <w:vAlign w:val="center"/>
          </w:tcPr>
          <w:p w14:paraId="3CD32D1C">
            <w:pPr>
              <w:pStyle w:val="12"/>
            </w:pPr>
            <w:r>
              <w:t>就读学生数</w:t>
            </w:r>
          </w:p>
        </w:tc>
        <w:tc>
          <w:tcPr>
            <w:tcW w:w="5386" w:type="dxa"/>
            <w:vAlign w:val="center"/>
          </w:tcPr>
          <w:p w14:paraId="403B95AD">
            <w:pPr>
              <w:pStyle w:val="12"/>
            </w:pPr>
            <w:r>
              <w:t>辐射区域内适龄学生人数</w:t>
            </w:r>
          </w:p>
        </w:tc>
        <w:tc>
          <w:tcPr>
            <w:tcW w:w="2268" w:type="dxa"/>
            <w:vAlign w:val="center"/>
          </w:tcPr>
          <w:p w14:paraId="5A7C6D9A">
            <w:pPr>
              <w:pStyle w:val="12"/>
            </w:pPr>
            <w:r>
              <w:t>541人</w:t>
            </w:r>
          </w:p>
        </w:tc>
        <w:tc>
          <w:tcPr>
            <w:tcW w:w="1276" w:type="dxa"/>
            <w:vAlign w:val="center"/>
          </w:tcPr>
          <w:p w14:paraId="30188273">
            <w:pPr>
              <w:pStyle w:val="12"/>
            </w:pPr>
            <w:r>
              <w:t>城乡义务教育公用经费管理办法</w:t>
            </w:r>
          </w:p>
        </w:tc>
      </w:tr>
      <w:tr w14:paraId="23A4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B583D"/>
        </w:tc>
        <w:tc>
          <w:tcPr>
            <w:tcW w:w="2268" w:type="dxa"/>
            <w:vAlign w:val="center"/>
          </w:tcPr>
          <w:p w14:paraId="18297560">
            <w:pPr>
              <w:pStyle w:val="12"/>
            </w:pPr>
            <w:r>
              <w:t>质量指标</w:t>
            </w:r>
          </w:p>
        </w:tc>
        <w:tc>
          <w:tcPr>
            <w:tcW w:w="2835" w:type="dxa"/>
            <w:vAlign w:val="center"/>
          </w:tcPr>
          <w:p w14:paraId="38AC85A0">
            <w:pPr>
              <w:pStyle w:val="12"/>
            </w:pPr>
            <w:r>
              <w:t>预算执行率</w:t>
            </w:r>
          </w:p>
        </w:tc>
        <w:tc>
          <w:tcPr>
            <w:tcW w:w="5386" w:type="dxa"/>
            <w:vAlign w:val="center"/>
          </w:tcPr>
          <w:p w14:paraId="69C2642A">
            <w:pPr>
              <w:pStyle w:val="12"/>
            </w:pPr>
            <w:r>
              <w:t>预算执行率≥98%</w:t>
            </w:r>
          </w:p>
        </w:tc>
        <w:tc>
          <w:tcPr>
            <w:tcW w:w="2268" w:type="dxa"/>
            <w:vAlign w:val="center"/>
          </w:tcPr>
          <w:p w14:paraId="1FB31FCC">
            <w:pPr>
              <w:pStyle w:val="12"/>
            </w:pPr>
            <w:r>
              <w:t>≥98%</w:t>
            </w:r>
          </w:p>
        </w:tc>
        <w:tc>
          <w:tcPr>
            <w:tcW w:w="1276" w:type="dxa"/>
            <w:vAlign w:val="center"/>
          </w:tcPr>
          <w:p w14:paraId="13CD40C7">
            <w:pPr>
              <w:pStyle w:val="12"/>
            </w:pPr>
            <w:r>
              <w:t>城乡义务教育公用经费管理办法</w:t>
            </w:r>
          </w:p>
        </w:tc>
      </w:tr>
      <w:tr w14:paraId="5ED4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ECCC1"/>
        </w:tc>
        <w:tc>
          <w:tcPr>
            <w:tcW w:w="2268" w:type="dxa"/>
            <w:vAlign w:val="center"/>
          </w:tcPr>
          <w:p w14:paraId="77931E93">
            <w:pPr>
              <w:pStyle w:val="12"/>
            </w:pPr>
            <w:r>
              <w:t>时效指标</w:t>
            </w:r>
          </w:p>
        </w:tc>
        <w:tc>
          <w:tcPr>
            <w:tcW w:w="2835" w:type="dxa"/>
            <w:vAlign w:val="center"/>
          </w:tcPr>
          <w:p w14:paraId="07686910">
            <w:pPr>
              <w:pStyle w:val="12"/>
            </w:pPr>
            <w:r>
              <w:t>义教经费支付完成率</w:t>
            </w:r>
          </w:p>
        </w:tc>
        <w:tc>
          <w:tcPr>
            <w:tcW w:w="5386" w:type="dxa"/>
            <w:vAlign w:val="center"/>
          </w:tcPr>
          <w:p w14:paraId="3B2C99EE">
            <w:pPr>
              <w:pStyle w:val="12"/>
            </w:pPr>
            <w:r>
              <w:t>按照序时进度完成资金支付</w:t>
            </w:r>
          </w:p>
        </w:tc>
        <w:tc>
          <w:tcPr>
            <w:tcW w:w="2268" w:type="dxa"/>
            <w:vAlign w:val="center"/>
          </w:tcPr>
          <w:p w14:paraId="5F0E0FD3">
            <w:pPr>
              <w:pStyle w:val="12"/>
            </w:pPr>
            <w:r>
              <w:t>100%</w:t>
            </w:r>
          </w:p>
        </w:tc>
        <w:tc>
          <w:tcPr>
            <w:tcW w:w="1276" w:type="dxa"/>
            <w:vAlign w:val="center"/>
          </w:tcPr>
          <w:p w14:paraId="4A434879">
            <w:pPr>
              <w:pStyle w:val="12"/>
            </w:pPr>
            <w:r>
              <w:t>城乡义务教育公用经费管理办法</w:t>
            </w:r>
          </w:p>
        </w:tc>
      </w:tr>
      <w:tr w14:paraId="1936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63D08">
            <w:pPr>
              <w:pStyle w:val="13"/>
            </w:pPr>
            <w:r>
              <w:t>效益指标</w:t>
            </w:r>
          </w:p>
        </w:tc>
        <w:tc>
          <w:tcPr>
            <w:tcW w:w="2268" w:type="dxa"/>
            <w:vAlign w:val="center"/>
          </w:tcPr>
          <w:p w14:paraId="1C4B3CA3">
            <w:pPr>
              <w:pStyle w:val="12"/>
            </w:pPr>
            <w:r>
              <w:t>可持续影响指标</w:t>
            </w:r>
          </w:p>
        </w:tc>
        <w:tc>
          <w:tcPr>
            <w:tcW w:w="2835" w:type="dxa"/>
            <w:vAlign w:val="center"/>
          </w:tcPr>
          <w:p w14:paraId="3A81FAC6">
            <w:pPr>
              <w:pStyle w:val="12"/>
            </w:pPr>
            <w:r>
              <w:t>学校运转得到提高</w:t>
            </w:r>
          </w:p>
        </w:tc>
        <w:tc>
          <w:tcPr>
            <w:tcW w:w="5386" w:type="dxa"/>
            <w:vAlign w:val="center"/>
          </w:tcPr>
          <w:p w14:paraId="25D7BA78">
            <w:pPr>
              <w:pStyle w:val="12"/>
            </w:pPr>
            <w:r>
              <w:t>学生受教育年限</w:t>
            </w:r>
          </w:p>
        </w:tc>
        <w:tc>
          <w:tcPr>
            <w:tcW w:w="2268" w:type="dxa"/>
            <w:vAlign w:val="center"/>
          </w:tcPr>
          <w:p w14:paraId="1D13B4B2">
            <w:pPr>
              <w:pStyle w:val="12"/>
            </w:pPr>
            <w:r>
              <w:t>6年</w:t>
            </w:r>
          </w:p>
        </w:tc>
        <w:tc>
          <w:tcPr>
            <w:tcW w:w="1276" w:type="dxa"/>
            <w:vAlign w:val="center"/>
          </w:tcPr>
          <w:p w14:paraId="6E481A1C">
            <w:pPr>
              <w:pStyle w:val="12"/>
            </w:pPr>
            <w:r>
              <w:t>城乡义务教育公用经费管理办法</w:t>
            </w:r>
          </w:p>
        </w:tc>
      </w:tr>
      <w:tr w14:paraId="3B9E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970E4">
            <w:pPr>
              <w:pStyle w:val="13"/>
            </w:pPr>
            <w:r>
              <w:t>满意度指标</w:t>
            </w:r>
          </w:p>
        </w:tc>
        <w:tc>
          <w:tcPr>
            <w:tcW w:w="2268" w:type="dxa"/>
            <w:vAlign w:val="center"/>
          </w:tcPr>
          <w:p w14:paraId="5137929A">
            <w:pPr>
              <w:pStyle w:val="12"/>
            </w:pPr>
            <w:r>
              <w:t>服务对象满意度指标</w:t>
            </w:r>
          </w:p>
        </w:tc>
        <w:tc>
          <w:tcPr>
            <w:tcW w:w="2835" w:type="dxa"/>
            <w:vAlign w:val="center"/>
          </w:tcPr>
          <w:p w14:paraId="00C529B4">
            <w:pPr>
              <w:pStyle w:val="12"/>
            </w:pPr>
            <w:r>
              <w:t>服务对象满意度</w:t>
            </w:r>
          </w:p>
        </w:tc>
        <w:tc>
          <w:tcPr>
            <w:tcW w:w="5386" w:type="dxa"/>
            <w:vAlign w:val="center"/>
          </w:tcPr>
          <w:p w14:paraId="182F0CD1">
            <w:pPr>
              <w:pStyle w:val="12"/>
            </w:pPr>
            <w:r>
              <w:t>学校老师和学生满意度</w:t>
            </w:r>
          </w:p>
        </w:tc>
        <w:tc>
          <w:tcPr>
            <w:tcW w:w="2268" w:type="dxa"/>
            <w:vAlign w:val="center"/>
          </w:tcPr>
          <w:p w14:paraId="324A6D47">
            <w:pPr>
              <w:pStyle w:val="12"/>
            </w:pPr>
            <w:r>
              <w:t>≥95%</w:t>
            </w:r>
          </w:p>
        </w:tc>
        <w:tc>
          <w:tcPr>
            <w:tcW w:w="1276" w:type="dxa"/>
            <w:vAlign w:val="center"/>
          </w:tcPr>
          <w:p w14:paraId="7ED373E7">
            <w:pPr>
              <w:pStyle w:val="12"/>
            </w:pPr>
            <w:r>
              <w:t>问卷调查</w:t>
            </w:r>
          </w:p>
        </w:tc>
      </w:tr>
    </w:tbl>
    <w:p w14:paraId="43958A81">
      <w:pPr>
        <w:sectPr>
          <w:pgSz w:w="16840" w:h="11900" w:orient="landscape"/>
          <w:pgMar w:top="1361" w:right="1020" w:bottom="1134" w:left="1020" w:header="720" w:footer="720" w:gutter="0"/>
          <w:cols w:space="720" w:num="1"/>
        </w:sectPr>
      </w:pPr>
    </w:p>
    <w:p w14:paraId="1E54BBC5">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17、冀财教[2025]147号/省级/2026年义教补助经费/北楼校区尧张小学公用经费绩效目标表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F7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914E8">
            <w:pPr>
              <w:pStyle w:val="11"/>
            </w:pPr>
            <w:r>
              <w:t>单位：万元</w:t>
            </w:r>
          </w:p>
        </w:tc>
      </w:tr>
      <w:tr w14:paraId="38E5D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FFA62">
            <w:pPr>
              <w:pStyle w:val="10"/>
            </w:pPr>
            <w:r>
              <w:t>项目编码</w:t>
            </w:r>
          </w:p>
        </w:tc>
        <w:tc>
          <w:tcPr>
            <w:tcW w:w="5103" w:type="dxa"/>
            <w:gridSpan w:val="2"/>
            <w:vAlign w:val="center"/>
          </w:tcPr>
          <w:p w14:paraId="773A7034">
            <w:pPr>
              <w:pStyle w:val="12"/>
            </w:pPr>
            <w:r>
              <w:t>13052526P00000410353G</w:t>
            </w:r>
          </w:p>
        </w:tc>
        <w:tc>
          <w:tcPr>
            <w:tcW w:w="2835" w:type="dxa"/>
            <w:vAlign w:val="center"/>
          </w:tcPr>
          <w:p w14:paraId="4C32B4C2">
            <w:pPr>
              <w:pStyle w:val="10"/>
            </w:pPr>
            <w:r>
              <w:t>项目名称</w:t>
            </w:r>
          </w:p>
        </w:tc>
        <w:tc>
          <w:tcPr>
            <w:tcW w:w="6095" w:type="dxa"/>
            <w:gridSpan w:val="3"/>
            <w:vAlign w:val="center"/>
          </w:tcPr>
          <w:p w14:paraId="4E30BEC6">
            <w:pPr>
              <w:pStyle w:val="12"/>
            </w:pPr>
            <w:r>
              <w:t>冀财教[2025]147号/省级/2026年义教补助经费/北楼校区尧张小学公用经费</w:t>
            </w:r>
          </w:p>
        </w:tc>
      </w:tr>
      <w:tr w14:paraId="6AA5F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3052C">
            <w:pPr>
              <w:pStyle w:val="10"/>
            </w:pPr>
            <w:r>
              <w:t>预算规模及资金用途</w:t>
            </w:r>
          </w:p>
        </w:tc>
        <w:tc>
          <w:tcPr>
            <w:tcW w:w="2268" w:type="dxa"/>
            <w:vAlign w:val="center"/>
          </w:tcPr>
          <w:p w14:paraId="7B6CD083">
            <w:pPr>
              <w:pStyle w:val="10"/>
            </w:pPr>
            <w:r>
              <w:t>预算数</w:t>
            </w:r>
          </w:p>
        </w:tc>
        <w:tc>
          <w:tcPr>
            <w:tcW w:w="2835" w:type="dxa"/>
            <w:vAlign w:val="center"/>
          </w:tcPr>
          <w:p w14:paraId="0B2387F1">
            <w:pPr>
              <w:pStyle w:val="12"/>
            </w:pPr>
            <w:r>
              <w:t>7.47</w:t>
            </w:r>
          </w:p>
        </w:tc>
        <w:tc>
          <w:tcPr>
            <w:tcW w:w="2835" w:type="dxa"/>
            <w:vAlign w:val="center"/>
          </w:tcPr>
          <w:p w14:paraId="7F1C21B4">
            <w:pPr>
              <w:pStyle w:val="10"/>
            </w:pPr>
            <w:r>
              <w:t>其中：财政    资金</w:t>
            </w:r>
          </w:p>
        </w:tc>
        <w:tc>
          <w:tcPr>
            <w:tcW w:w="2551" w:type="dxa"/>
            <w:vAlign w:val="center"/>
          </w:tcPr>
          <w:p w14:paraId="02DE35A0">
            <w:pPr>
              <w:pStyle w:val="12"/>
            </w:pPr>
            <w:r>
              <w:t>7.47</w:t>
            </w:r>
          </w:p>
        </w:tc>
        <w:tc>
          <w:tcPr>
            <w:tcW w:w="2268" w:type="dxa"/>
            <w:vAlign w:val="center"/>
          </w:tcPr>
          <w:p w14:paraId="32727960">
            <w:pPr>
              <w:pStyle w:val="10"/>
            </w:pPr>
            <w:r>
              <w:t>其他资金</w:t>
            </w:r>
          </w:p>
        </w:tc>
        <w:tc>
          <w:tcPr>
            <w:tcW w:w="1276" w:type="dxa"/>
            <w:vAlign w:val="center"/>
          </w:tcPr>
          <w:p w14:paraId="397CE4C8">
            <w:pPr>
              <w:pStyle w:val="12"/>
            </w:pPr>
            <w:r>
              <w:t xml:space="preserve"> </w:t>
            </w:r>
          </w:p>
        </w:tc>
      </w:tr>
      <w:tr w14:paraId="09241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CAE10"/>
        </w:tc>
        <w:tc>
          <w:tcPr>
            <w:tcW w:w="14033" w:type="dxa"/>
            <w:gridSpan w:val="6"/>
            <w:vAlign w:val="center"/>
          </w:tcPr>
          <w:p w14:paraId="6E951525">
            <w:pPr>
              <w:pStyle w:val="12"/>
            </w:pPr>
            <w:r>
              <w:t>有效完成学校教学安全秩序，保障学校教学任务有效开展，满足学校正常教学需要。</w:t>
            </w:r>
          </w:p>
        </w:tc>
      </w:tr>
      <w:tr w14:paraId="5DC13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E422B">
            <w:pPr>
              <w:pStyle w:val="10"/>
            </w:pPr>
            <w:r>
              <w:t>资金支出计划（%）</w:t>
            </w:r>
          </w:p>
        </w:tc>
        <w:tc>
          <w:tcPr>
            <w:tcW w:w="5103" w:type="dxa"/>
            <w:gridSpan w:val="2"/>
            <w:vAlign w:val="center"/>
          </w:tcPr>
          <w:p w14:paraId="180CA79D">
            <w:pPr>
              <w:pStyle w:val="10"/>
            </w:pPr>
            <w:r>
              <w:t>3月底</w:t>
            </w:r>
          </w:p>
        </w:tc>
        <w:tc>
          <w:tcPr>
            <w:tcW w:w="2835" w:type="dxa"/>
            <w:vAlign w:val="center"/>
          </w:tcPr>
          <w:p w14:paraId="4D332233">
            <w:pPr>
              <w:pStyle w:val="10"/>
            </w:pPr>
            <w:r>
              <w:t>6月底</w:t>
            </w:r>
          </w:p>
        </w:tc>
        <w:tc>
          <w:tcPr>
            <w:tcW w:w="2551" w:type="dxa"/>
            <w:vAlign w:val="center"/>
          </w:tcPr>
          <w:p w14:paraId="5BAA7408">
            <w:pPr>
              <w:pStyle w:val="10"/>
            </w:pPr>
            <w:r>
              <w:t>10月底</w:t>
            </w:r>
          </w:p>
        </w:tc>
        <w:tc>
          <w:tcPr>
            <w:tcW w:w="3544" w:type="dxa"/>
            <w:gridSpan w:val="2"/>
            <w:vAlign w:val="center"/>
          </w:tcPr>
          <w:p w14:paraId="687BA9FB">
            <w:pPr>
              <w:pStyle w:val="10"/>
            </w:pPr>
            <w:r>
              <w:t>12月底</w:t>
            </w:r>
          </w:p>
        </w:tc>
      </w:tr>
      <w:tr w14:paraId="31B47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2CF27"/>
        </w:tc>
        <w:tc>
          <w:tcPr>
            <w:tcW w:w="5103" w:type="dxa"/>
            <w:gridSpan w:val="2"/>
            <w:vAlign w:val="center"/>
          </w:tcPr>
          <w:p w14:paraId="4BE0B1B3">
            <w:pPr>
              <w:pStyle w:val="13"/>
            </w:pPr>
            <w:r>
              <w:t>25%</w:t>
            </w:r>
          </w:p>
        </w:tc>
        <w:tc>
          <w:tcPr>
            <w:tcW w:w="2835" w:type="dxa"/>
            <w:vAlign w:val="center"/>
          </w:tcPr>
          <w:p w14:paraId="404E4736">
            <w:pPr>
              <w:pStyle w:val="13"/>
            </w:pPr>
            <w:r>
              <w:t>50%</w:t>
            </w:r>
          </w:p>
        </w:tc>
        <w:tc>
          <w:tcPr>
            <w:tcW w:w="2551" w:type="dxa"/>
            <w:vAlign w:val="center"/>
          </w:tcPr>
          <w:p w14:paraId="3B09FCD9">
            <w:pPr>
              <w:pStyle w:val="13"/>
            </w:pPr>
            <w:r>
              <w:t>75%</w:t>
            </w:r>
          </w:p>
        </w:tc>
        <w:tc>
          <w:tcPr>
            <w:tcW w:w="3544" w:type="dxa"/>
            <w:gridSpan w:val="2"/>
            <w:vAlign w:val="center"/>
          </w:tcPr>
          <w:p w14:paraId="17FEB9CB">
            <w:pPr>
              <w:pStyle w:val="13"/>
            </w:pPr>
            <w:r>
              <w:t>100%</w:t>
            </w:r>
          </w:p>
        </w:tc>
      </w:tr>
      <w:tr w14:paraId="68B08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739DF">
            <w:pPr>
              <w:pStyle w:val="10"/>
            </w:pPr>
            <w:r>
              <w:t>绩效目标</w:t>
            </w:r>
          </w:p>
        </w:tc>
        <w:tc>
          <w:tcPr>
            <w:tcW w:w="14033" w:type="dxa"/>
            <w:gridSpan w:val="6"/>
            <w:vAlign w:val="center"/>
          </w:tcPr>
          <w:p w14:paraId="40DD7D3B">
            <w:pPr>
              <w:pStyle w:val="12"/>
            </w:pPr>
            <w:r>
              <w:t>1.按规定拨付公用经费资金，预算执行率≥98%。</w:t>
            </w:r>
          </w:p>
          <w:p w14:paraId="12493C58">
            <w:pPr>
              <w:pStyle w:val="12"/>
            </w:pPr>
            <w:r>
              <w:t>2.有效完成学校教学安全秩序，保障学校教学任务有效开展，满足学校正常教学需要。</w:t>
            </w:r>
          </w:p>
        </w:tc>
      </w:tr>
    </w:tbl>
    <w:p w14:paraId="7A4F1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C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01A9A">
            <w:pPr>
              <w:pStyle w:val="10"/>
            </w:pPr>
            <w:r>
              <w:t>一级指标</w:t>
            </w:r>
          </w:p>
        </w:tc>
        <w:tc>
          <w:tcPr>
            <w:tcW w:w="2268" w:type="dxa"/>
            <w:vAlign w:val="center"/>
          </w:tcPr>
          <w:p w14:paraId="27159A2B">
            <w:pPr>
              <w:pStyle w:val="10"/>
            </w:pPr>
            <w:r>
              <w:t>二级指标</w:t>
            </w:r>
          </w:p>
        </w:tc>
        <w:tc>
          <w:tcPr>
            <w:tcW w:w="2835" w:type="dxa"/>
            <w:vAlign w:val="center"/>
          </w:tcPr>
          <w:p w14:paraId="785CEFF6">
            <w:pPr>
              <w:pStyle w:val="10"/>
            </w:pPr>
            <w:r>
              <w:t>三级指标</w:t>
            </w:r>
          </w:p>
        </w:tc>
        <w:tc>
          <w:tcPr>
            <w:tcW w:w="5386" w:type="dxa"/>
            <w:vAlign w:val="center"/>
          </w:tcPr>
          <w:p w14:paraId="43B87C51">
            <w:pPr>
              <w:pStyle w:val="10"/>
            </w:pPr>
            <w:r>
              <w:t>绩效指标描述</w:t>
            </w:r>
          </w:p>
        </w:tc>
        <w:tc>
          <w:tcPr>
            <w:tcW w:w="2268" w:type="dxa"/>
            <w:vAlign w:val="center"/>
          </w:tcPr>
          <w:p w14:paraId="14B083C6">
            <w:pPr>
              <w:pStyle w:val="10"/>
            </w:pPr>
            <w:r>
              <w:t>指标值</w:t>
            </w:r>
          </w:p>
        </w:tc>
        <w:tc>
          <w:tcPr>
            <w:tcW w:w="1276" w:type="dxa"/>
            <w:vAlign w:val="center"/>
          </w:tcPr>
          <w:p w14:paraId="1412AF1D">
            <w:pPr>
              <w:pStyle w:val="10"/>
            </w:pPr>
            <w:r>
              <w:t>指标值确定依据</w:t>
            </w:r>
          </w:p>
        </w:tc>
      </w:tr>
      <w:tr w14:paraId="5530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D0F26">
            <w:pPr>
              <w:pStyle w:val="13"/>
            </w:pPr>
            <w:r>
              <w:t>产出指标</w:t>
            </w:r>
          </w:p>
        </w:tc>
        <w:tc>
          <w:tcPr>
            <w:tcW w:w="2268" w:type="dxa"/>
            <w:vAlign w:val="center"/>
          </w:tcPr>
          <w:p w14:paraId="79E06D50">
            <w:pPr>
              <w:pStyle w:val="12"/>
            </w:pPr>
            <w:r>
              <w:t>成本指标</w:t>
            </w:r>
          </w:p>
        </w:tc>
        <w:tc>
          <w:tcPr>
            <w:tcW w:w="2835" w:type="dxa"/>
            <w:vAlign w:val="center"/>
          </w:tcPr>
          <w:p w14:paraId="785CD05A">
            <w:pPr>
              <w:pStyle w:val="12"/>
            </w:pPr>
            <w:r>
              <w:t>生均拨款标准</w:t>
            </w:r>
          </w:p>
        </w:tc>
        <w:tc>
          <w:tcPr>
            <w:tcW w:w="5386" w:type="dxa"/>
            <w:vAlign w:val="center"/>
          </w:tcPr>
          <w:p w14:paraId="2D0AC85E">
            <w:pPr>
              <w:pStyle w:val="12"/>
            </w:pPr>
            <w:r>
              <w:t>小学生公用经费生均小学720元。取暖费120元/生/年，随班就读学生补助7000元/生</w:t>
            </w:r>
          </w:p>
        </w:tc>
        <w:tc>
          <w:tcPr>
            <w:tcW w:w="2268" w:type="dxa"/>
            <w:vAlign w:val="center"/>
          </w:tcPr>
          <w:p w14:paraId="3425885E">
            <w:pPr>
              <w:pStyle w:val="12"/>
            </w:pPr>
            <w:r>
              <w:t>840元</w:t>
            </w:r>
          </w:p>
        </w:tc>
        <w:tc>
          <w:tcPr>
            <w:tcW w:w="1276" w:type="dxa"/>
            <w:vAlign w:val="center"/>
          </w:tcPr>
          <w:p w14:paraId="21D06731">
            <w:pPr>
              <w:pStyle w:val="12"/>
            </w:pPr>
            <w:r>
              <w:t>城乡义务教育公用经费管理办法</w:t>
            </w:r>
          </w:p>
        </w:tc>
      </w:tr>
      <w:tr w14:paraId="5DB5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A6FEE"/>
        </w:tc>
        <w:tc>
          <w:tcPr>
            <w:tcW w:w="2268" w:type="dxa"/>
            <w:vAlign w:val="center"/>
          </w:tcPr>
          <w:p w14:paraId="55FD466C">
            <w:pPr>
              <w:pStyle w:val="12"/>
            </w:pPr>
            <w:r>
              <w:t>数量指标</w:t>
            </w:r>
          </w:p>
        </w:tc>
        <w:tc>
          <w:tcPr>
            <w:tcW w:w="2835" w:type="dxa"/>
            <w:vAlign w:val="center"/>
          </w:tcPr>
          <w:p w14:paraId="255AB829">
            <w:pPr>
              <w:pStyle w:val="12"/>
            </w:pPr>
            <w:r>
              <w:t>就读学生数</w:t>
            </w:r>
          </w:p>
        </w:tc>
        <w:tc>
          <w:tcPr>
            <w:tcW w:w="5386" w:type="dxa"/>
            <w:vAlign w:val="center"/>
          </w:tcPr>
          <w:p w14:paraId="23D40F6D">
            <w:pPr>
              <w:pStyle w:val="12"/>
            </w:pPr>
            <w:r>
              <w:t>辐射区域内适龄学生人数</w:t>
            </w:r>
          </w:p>
        </w:tc>
        <w:tc>
          <w:tcPr>
            <w:tcW w:w="2268" w:type="dxa"/>
            <w:vAlign w:val="center"/>
          </w:tcPr>
          <w:p w14:paraId="210F1B77">
            <w:pPr>
              <w:pStyle w:val="12"/>
            </w:pPr>
            <w:r>
              <w:t>279人</w:t>
            </w:r>
          </w:p>
        </w:tc>
        <w:tc>
          <w:tcPr>
            <w:tcW w:w="1276" w:type="dxa"/>
            <w:vAlign w:val="center"/>
          </w:tcPr>
          <w:p w14:paraId="750BD5AE">
            <w:pPr>
              <w:pStyle w:val="12"/>
            </w:pPr>
            <w:r>
              <w:t>城乡义务教育公用经费管理办法</w:t>
            </w:r>
          </w:p>
        </w:tc>
      </w:tr>
      <w:tr w14:paraId="37C2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55881"/>
        </w:tc>
        <w:tc>
          <w:tcPr>
            <w:tcW w:w="2268" w:type="dxa"/>
            <w:vAlign w:val="center"/>
          </w:tcPr>
          <w:p w14:paraId="728330F0">
            <w:pPr>
              <w:pStyle w:val="12"/>
            </w:pPr>
            <w:r>
              <w:t>质量指标</w:t>
            </w:r>
          </w:p>
        </w:tc>
        <w:tc>
          <w:tcPr>
            <w:tcW w:w="2835" w:type="dxa"/>
            <w:vAlign w:val="center"/>
          </w:tcPr>
          <w:p w14:paraId="14B32F02">
            <w:pPr>
              <w:pStyle w:val="12"/>
            </w:pPr>
            <w:r>
              <w:t>预算执行率</w:t>
            </w:r>
          </w:p>
        </w:tc>
        <w:tc>
          <w:tcPr>
            <w:tcW w:w="5386" w:type="dxa"/>
            <w:vAlign w:val="center"/>
          </w:tcPr>
          <w:p w14:paraId="2D2697F1">
            <w:pPr>
              <w:pStyle w:val="12"/>
            </w:pPr>
            <w:r>
              <w:t>预算执行率≥98%</w:t>
            </w:r>
          </w:p>
        </w:tc>
        <w:tc>
          <w:tcPr>
            <w:tcW w:w="2268" w:type="dxa"/>
            <w:vAlign w:val="center"/>
          </w:tcPr>
          <w:p w14:paraId="57F0B55C">
            <w:pPr>
              <w:pStyle w:val="12"/>
            </w:pPr>
            <w:r>
              <w:t>≥98%</w:t>
            </w:r>
          </w:p>
        </w:tc>
        <w:tc>
          <w:tcPr>
            <w:tcW w:w="1276" w:type="dxa"/>
            <w:vAlign w:val="center"/>
          </w:tcPr>
          <w:p w14:paraId="3FC42D16">
            <w:pPr>
              <w:pStyle w:val="12"/>
            </w:pPr>
            <w:r>
              <w:t>城乡义务教育公用经费管理办法</w:t>
            </w:r>
          </w:p>
        </w:tc>
      </w:tr>
      <w:tr w14:paraId="5682E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E2DAC"/>
        </w:tc>
        <w:tc>
          <w:tcPr>
            <w:tcW w:w="2268" w:type="dxa"/>
            <w:vAlign w:val="center"/>
          </w:tcPr>
          <w:p w14:paraId="08941434">
            <w:pPr>
              <w:pStyle w:val="12"/>
            </w:pPr>
            <w:r>
              <w:t>时效指标</w:t>
            </w:r>
          </w:p>
        </w:tc>
        <w:tc>
          <w:tcPr>
            <w:tcW w:w="2835" w:type="dxa"/>
            <w:vAlign w:val="center"/>
          </w:tcPr>
          <w:p w14:paraId="61E52108">
            <w:pPr>
              <w:pStyle w:val="12"/>
            </w:pPr>
            <w:r>
              <w:t>义教经费支付完成率</w:t>
            </w:r>
          </w:p>
        </w:tc>
        <w:tc>
          <w:tcPr>
            <w:tcW w:w="5386" w:type="dxa"/>
            <w:vAlign w:val="center"/>
          </w:tcPr>
          <w:p w14:paraId="3C590C34">
            <w:pPr>
              <w:pStyle w:val="12"/>
            </w:pPr>
            <w:r>
              <w:t>按照序时进度完成资金支付</w:t>
            </w:r>
          </w:p>
        </w:tc>
        <w:tc>
          <w:tcPr>
            <w:tcW w:w="2268" w:type="dxa"/>
            <w:vAlign w:val="center"/>
          </w:tcPr>
          <w:p w14:paraId="57F6A4B6">
            <w:pPr>
              <w:pStyle w:val="12"/>
            </w:pPr>
            <w:r>
              <w:t>100%</w:t>
            </w:r>
          </w:p>
        </w:tc>
        <w:tc>
          <w:tcPr>
            <w:tcW w:w="1276" w:type="dxa"/>
            <w:vAlign w:val="center"/>
          </w:tcPr>
          <w:p w14:paraId="19698B02">
            <w:pPr>
              <w:pStyle w:val="12"/>
            </w:pPr>
            <w:r>
              <w:t>城乡义务教育公用经费管理办法</w:t>
            </w:r>
          </w:p>
        </w:tc>
      </w:tr>
      <w:tr w14:paraId="1A60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4C479">
            <w:pPr>
              <w:pStyle w:val="13"/>
            </w:pPr>
            <w:r>
              <w:t>效益指标</w:t>
            </w:r>
          </w:p>
        </w:tc>
        <w:tc>
          <w:tcPr>
            <w:tcW w:w="2268" w:type="dxa"/>
            <w:vAlign w:val="center"/>
          </w:tcPr>
          <w:p w14:paraId="787FA4E9">
            <w:pPr>
              <w:pStyle w:val="12"/>
            </w:pPr>
            <w:r>
              <w:t>可持续影响指标</w:t>
            </w:r>
          </w:p>
        </w:tc>
        <w:tc>
          <w:tcPr>
            <w:tcW w:w="2835" w:type="dxa"/>
            <w:vAlign w:val="center"/>
          </w:tcPr>
          <w:p w14:paraId="541DCFD5">
            <w:pPr>
              <w:pStyle w:val="12"/>
            </w:pPr>
            <w:r>
              <w:t>学校运转得到提高</w:t>
            </w:r>
          </w:p>
        </w:tc>
        <w:tc>
          <w:tcPr>
            <w:tcW w:w="5386" w:type="dxa"/>
            <w:vAlign w:val="center"/>
          </w:tcPr>
          <w:p w14:paraId="75C02FDF">
            <w:pPr>
              <w:pStyle w:val="12"/>
            </w:pPr>
            <w:r>
              <w:t>学生受教育年限</w:t>
            </w:r>
          </w:p>
        </w:tc>
        <w:tc>
          <w:tcPr>
            <w:tcW w:w="2268" w:type="dxa"/>
            <w:vAlign w:val="center"/>
          </w:tcPr>
          <w:p w14:paraId="11056003">
            <w:pPr>
              <w:pStyle w:val="12"/>
            </w:pPr>
            <w:r>
              <w:t>6年</w:t>
            </w:r>
          </w:p>
        </w:tc>
        <w:tc>
          <w:tcPr>
            <w:tcW w:w="1276" w:type="dxa"/>
            <w:vAlign w:val="center"/>
          </w:tcPr>
          <w:p w14:paraId="570CC5FE">
            <w:pPr>
              <w:pStyle w:val="12"/>
            </w:pPr>
            <w:r>
              <w:t>城乡义务教育公用经费管理办法</w:t>
            </w:r>
          </w:p>
        </w:tc>
      </w:tr>
      <w:tr w14:paraId="355D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F217E">
            <w:pPr>
              <w:pStyle w:val="13"/>
            </w:pPr>
            <w:r>
              <w:t>满意度指标</w:t>
            </w:r>
          </w:p>
        </w:tc>
        <w:tc>
          <w:tcPr>
            <w:tcW w:w="2268" w:type="dxa"/>
            <w:vAlign w:val="center"/>
          </w:tcPr>
          <w:p w14:paraId="589BEAFF">
            <w:pPr>
              <w:pStyle w:val="12"/>
            </w:pPr>
            <w:r>
              <w:t>服务对象满意度指标</w:t>
            </w:r>
          </w:p>
        </w:tc>
        <w:tc>
          <w:tcPr>
            <w:tcW w:w="2835" w:type="dxa"/>
            <w:vAlign w:val="center"/>
          </w:tcPr>
          <w:p w14:paraId="0D7653BD">
            <w:pPr>
              <w:pStyle w:val="12"/>
            </w:pPr>
            <w:r>
              <w:t>服务对象满意度</w:t>
            </w:r>
          </w:p>
        </w:tc>
        <w:tc>
          <w:tcPr>
            <w:tcW w:w="5386" w:type="dxa"/>
            <w:vAlign w:val="center"/>
          </w:tcPr>
          <w:p w14:paraId="0047AB7D">
            <w:pPr>
              <w:pStyle w:val="12"/>
            </w:pPr>
            <w:r>
              <w:t>学校老师和学生满意度</w:t>
            </w:r>
          </w:p>
        </w:tc>
        <w:tc>
          <w:tcPr>
            <w:tcW w:w="2268" w:type="dxa"/>
            <w:vAlign w:val="center"/>
          </w:tcPr>
          <w:p w14:paraId="647954EA">
            <w:pPr>
              <w:pStyle w:val="12"/>
            </w:pPr>
            <w:r>
              <w:t>≥95%</w:t>
            </w:r>
          </w:p>
        </w:tc>
        <w:tc>
          <w:tcPr>
            <w:tcW w:w="1276" w:type="dxa"/>
            <w:vAlign w:val="center"/>
          </w:tcPr>
          <w:p w14:paraId="4AD7A7BE">
            <w:pPr>
              <w:pStyle w:val="12"/>
            </w:pPr>
            <w:r>
              <w:t>问卷调查</w:t>
            </w:r>
          </w:p>
        </w:tc>
      </w:tr>
    </w:tbl>
    <w:p w14:paraId="08C7E4C2">
      <w:pPr>
        <w:sectPr>
          <w:pgSz w:w="16840" w:h="11900" w:orient="landscape"/>
          <w:pgMar w:top="1361" w:right="1020" w:bottom="1134" w:left="1020" w:header="720" w:footer="720" w:gutter="0"/>
          <w:cols w:space="720" w:num="1"/>
        </w:sectPr>
      </w:pPr>
    </w:p>
    <w:p w14:paraId="21633771">
      <w:pPr>
        <w:spacing w:before="0" w:after="0"/>
        <w:ind w:firstLine="560"/>
        <w:jc w:val="left"/>
        <w:outlineLvl w:val="9"/>
      </w:pPr>
      <w:r>
        <w:rPr>
          <w:rFonts w:ascii="方正仿宋_GBK" w:hAnsi="方正仿宋_GBK" w:eastAsia="方正仿宋_GBK" w:cs="方正仿宋_GBK"/>
          <w:b/>
          <w:color w:val="000000"/>
          <w:sz w:val="28"/>
        </w:rPr>
        <w:t>18、冀财教[2025]148号/支持义务教育发展/北楼校区北楼小学公用经费绩效目标表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4F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19E9E">
            <w:pPr>
              <w:pStyle w:val="11"/>
            </w:pPr>
            <w:r>
              <w:t>单位：万元</w:t>
            </w:r>
          </w:p>
        </w:tc>
      </w:tr>
      <w:tr w14:paraId="6AC5B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D658E">
            <w:pPr>
              <w:pStyle w:val="10"/>
            </w:pPr>
            <w:r>
              <w:t>项目编码</w:t>
            </w:r>
          </w:p>
        </w:tc>
        <w:tc>
          <w:tcPr>
            <w:tcW w:w="5103" w:type="dxa"/>
            <w:gridSpan w:val="2"/>
            <w:vAlign w:val="center"/>
          </w:tcPr>
          <w:p w14:paraId="11D83FB7">
            <w:pPr>
              <w:pStyle w:val="12"/>
            </w:pPr>
            <w:r>
              <w:t>13052526P000002101281</w:t>
            </w:r>
          </w:p>
        </w:tc>
        <w:tc>
          <w:tcPr>
            <w:tcW w:w="2835" w:type="dxa"/>
            <w:vAlign w:val="center"/>
          </w:tcPr>
          <w:p w14:paraId="704AEA2D">
            <w:pPr>
              <w:pStyle w:val="10"/>
            </w:pPr>
            <w:r>
              <w:t>项目名称</w:t>
            </w:r>
          </w:p>
        </w:tc>
        <w:tc>
          <w:tcPr>
            <w:tcW w:w="6095" w:type="dxa"/>
            <w:gridSpan w:val="3"/>
            <w:vAlign w:val="center"/>
          </w:tcPr>
          <w:p w14:paraId="46EEAA17">
            <w:pPr>
              <w:pStyle w:val="12"/>
            </w:pPr>
            <w:r>
              <w:t>冀财教[2025]148号/支持义务教育发展/北楼校区北楼小学公用经费</w:t>
            </w:r>
          </w:p>
        </w:tc>
      </w:tr>
      <w:tr w14:paraId="3C4AC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CC9D3">
            <w:pPr>
              <w:pStyle w:val="10"/>
            </w:pPr>
            <w:r>
              <w:t>预算规模及资金用途</w:t>
            </w:r>
          </w:p>
        </w:tc>
        <w:tc>
          <w:tcPr>
            <w:tcW w:w="2268" w:type="dxa"/>
            <w:vAlign w:val="center"/>
          </w:tcPr>
          <w:p w14:paraId="2D06E082">
            <w:pPr>
              <w:pStyle w:val="10"/>
            </w:pPr>
            <w:r>
              <w:t>预算数</w:t>
            </w:r>
          </w:p>
        </w:tc>
        <w:tc>
          <w:tcPr>
            <w:tcW w:w="2835" w:type="dxa"/>
            <w:vAlign w:val="center"/>
          </w:tcPr>
          <w:p w14:paraId="0E4F8D42">
            <w:pPr>
              <w:pStyle w:val="12"/>
            </w:pPr>
            <w:r>
              <w:t>6.00</w:t>
            </w:r>
          </w:p>
        </w:tc>
        <w:tc>
          <w:tcPr>
            <w:tcW w:w="2835" w:type="dxa"/>
            <w:vAlign w:val="center"/>
          </w:tcPr>
          <w:p w14:paraId="181EE1BF">
            <w:pPr>
              <w:pStyle w:val="10"/>
            </w:pPr>
            <w:r>
              <w:t>其中：财政    资金</w:t>
            </w:r>
          </w:p>
        </w:tc>
        <w:tc>
          <w:tcPr>
            <w:tcW w:w="2551" w:type="dxa"/>
            <w:vAlign w:val="center"/>
          </w:tcPr>
          <w:p w14:paraId="1CF62BF8">
            <w:pPr>
              <w:pStyle w:val="12"/>
            </w:pPr>
            <w:r>
              <w:t>6.00</w:t>
            </w:r>
          </w:p>
        </w:tc>
        <w:tc>
          <w:tcPr>
            <w:tcW w:w="2268" w:type="dxa"/>
            <w:vAlign w:val="center"/>
          </w:tcPr>
          <w:p w14:paraId="48229067">
            <w:pPr>
              <w:pStyle w:val="10"/>
            </w:pPr>
            <w:r>
              <w:t>其他资金</w:t>
            </w:r>
          </w:p>
        </w:tc>
        <w:tc>
          <w:tcPr>
            <w:tcW w:w="1276" w:type="dxa"/>
            <w:vAlign w:val="center"/>
          </w:tcPr>
          <w:p w14:paraId="533F0E22">
            <w:pPr>
              <w:pStyle w:val="12"/>
            </w:pPr>
            <w:r>
              <w:t xml:space="preserve"> </w:t>
            </w:r>
          </w:p>
        </w:tc>
      </w:tr>
      <w:tr w14:paraId="6D9DB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06DC5"/>
        </w:tc>
        <w:tc>
          <w:tcPr>
            <w:tcW w:w="14033" w:type="dxa"/>
            <w:gridSpan w:val="6"/>
            <w:vAlign w:val="center"/>
          </w:tcPr>
          <w:p w14:paraId="556843DA">
            <w:pPr>
              <w:pStyle w:val="12"/>
            </w:pPr>
            <w:r>
              <w:t>有效完成学校教学安全秩序，保障学校教学任务有效开展，满足学校正常教学需要。</w:t>
            </w:r>
          </w:p>
        </w:tc>
      </w:tr>
      <w:tr w14:paraId="7CA8E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0F61B">
            <w:pPr>
              <w:pStyle w:val="10"/>
            </w:pPr>
            <w:r>
              <w:t>资金支出计划（%）</w:t>
            </w:r>
          </w:p>
        </w:tc>
        <w:tc>
          <w:tcPr>
            <w:tcW w:w="5103" w:type="dxa"/>
            <w:gridSpan w:val="2"/>
            <w:vAlign w:val="center"/>
          </w:tcPr>
          <w:p w14:paraId="08106AC3">
            <w:pPr>
              <w:pStyle w:val="10"/>
            </w:pPr>
            <w:r>
              <w:t>3月底</w:t>
            </w:r>
          </w:p>
        </w:tc>
        <w:tc>
          <w:tcPr>
            <w:tcW w:w="2835" w:type="dxa"/>
            <w:vAlign w:val="center"/>
          </w:tcPr>
          <w:p w14:paraId="3C38B447">
            <w:pPr>
              <w:pStyle w:val="10"/>
            </w:pPr>
            <w:r>
              <w:t>6月底</w:t>
            </w:r>
          </w:p>
        </w:tc>
        <w:tc>
          <w:tcPr>
            <w:tcW w:w="2551" w:type="dxa"/>
            <w:vAlign w:val="center"/>
          </w:tcPr>
          <w:p w14:paraId="12964699">
            <w:pPr>
              <w:pStyle w:val="10"/>
            </w:pPr>
            <w:r>
              <w:t>10月底</w:t>
            </w:r>
          </w:p>
        </w:tc>
        <w:tc>
          <w:tcPr>
            <w:tcW w:w="3544" w:type="dxa"/>
            <w:gridSpan w:val="2"/>
            <w:vAlign w:val="center"/>
          </w:tcPr>
          <w:p w14:paraId="624D3640">
            <w:pPr>
              <w:pStyle w:val="10"/>
            </w:pPr>
            <w:r>
              <w:t>12月底</w:t>
            </w:r>
          </w:p>
        </w:tc>
      </w:tr>
      <w:tr w14:paraId="37861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6153F"/>
        </w:tc>
        <w:tc>
          <w:tcPr>
            <w:tcW w:w="5103" w:type="dxa"/>
            <w:gridSpan w:val="2"/>
            <w:vAlign w:val="center"/>
          </w:tcPr>
          <w:p w14:paraId="1B378AD0">
            <w:pPr>
              <w:pStyle w:val="13"/>
            </w:pPr>
            <w:r>
              <w:t xml:space="preserve"> </w:t>
            </w:r>
          </w:p>
        </w:tc>
        <w:tc>
          <w:tcPr>
            <w:tcW w:w="2835" w:type="dxa"/>
            <w:vAlign w:val="center"/>
          </w:tcPr>
          <w:p w14:paraId="04D0B535">
            <w:pPr>
              <w:pStyle w:val="13"/>
            </w:pPr>
            <w:r>
              <w:t xml:space="preserve"> </w:t>
            </w:r>
          </w:p>
        </w:tc>
        <w:tc>
          <w:tcPr>
            <w:tcW w:w="2551" w:type="dxa"/>
            <w:vAlign w:val="center"/>
          </w:tcPr>
          <w:p w14:paraId="41B3EE06">
            <w:pPr>
              <w:pStyle w:val="13"/>
            </w:pPr>
            <w:r>
              <w:t>100%</w:t>
            </w:r>
          </w:p>
        </w:tc>
        <w:tc>
          <w:tcPr>
            <w:tcW w:w="3544" w:type="dxa"/>
            <w:gridSpan w:val="2"/>
            <w:vAlign w:val="center"/>
          </w:tcPr>
          <w:p w14:paraId="316FCCFD">
            <w:pPr>
              <w:pStyle w:val="13"/>
            </w:pPr>
            <w:r>
              <w:t>100%</w:t>
            </w:r>
          </w:p>
        </w:tc>
      </w:tr>
      <w:tr w14:paraId="36804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A2D60">
            <w:pPr>
              <w:pStyle w:val="10"/>
            </w:pPr>
            <w:r>
              <w:t>绩效目标</w:t>
            </w:r>
          </w:p>
        </w:tc>
        <w:tc>
          <w:tcPr>
            <w:tcW w:w="14033" w:type="dxa"/>
            <w:gridSpan w:val="6"/>
            <w:vAlign w:val="center"/>
          </w:tcPr>
          <w:p w14:paraId="61EB9B00">
            <w:pPr>
              <w:pStyle w:val="12"/>
            </w:pPr>
            <w:r>
              <w:t>1.有效完成学校教学安全秩序，保障学校教学任务有效开展，满足学校正常教学需要。</w:t>
            </w:r>
          </w:p>
          <w:p w14:paraId="2C088E0E">
            <w:pPr>
              <w:pStyle w:val="12"/>
            </w:pPr>
            <w:r>
              <w:t>2.按规定拨付公用经费资金，预算执行率≥98%。</w:t>
            </w:r>
          </w:p>
        </w:tc>
      </w:tr>
    </w:tbl>
    <w:p w14:paraId="1A1498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A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9B18A">
            <w:pPr>
              <w:pStyle w:val="10"/>
            </w:pPr>
            <w:r>
              <w:t>一级指标</w:t>
            </w:r>
          </w:p>
        </w:tc>
        <w:tc>
          <w:tcPr>
            <w:tcW w:w="2268" w:type="dxa"/>
            <w:vAlign w:val="center"/>
          </w:tcPr>
          <w:p w14:paraId="20D1B2FA">
            <w:pPr>
              <w:pStyle w:val="10"/>
            </w:pPr>
            <w:r>
              <w:t>二级指标</w:t>
            </w:r>
          </w:p>
        </w:tc>
        <w:tc>
          <w:tcPr>
            <w:tcW w:w="2835" w:type="dxa"/>
            <w:vAlign w:val="center"/>
          </w:tcPr>
          <w:p w14:paraId="6E29A993">
            <w:pPr>
              <w:pStyle w:val="10"/>
            </w:pPr>
            <w:r>
              <w:t>三级指标</w:t>
            </w:r>
          </w:p>
        </w:tc>
        <w:tc>
          <w:tcPr>
            <w:tcW w:w="5386" w:type="dxa"/>
            <w:vAlign w:val="center"/>
          </w:tcPr>
          <w:p w14:paraId="7BCDC77B">
            <w:pPr>
              <w:pStyle w:val="10"/>
            </w:pPr>
            <w:r>
              <w:t>绩效指标描述</w:t>
            </w:r>
          </w:p>
        </w:tc>
        <w:tc>
          <w:tcPr>
            <w:tcW w:w="2268" w:type="dxa"/>
            <w:vAlign w:val="center"/>
          </w:tcPr>
          <w:p w14:paraId="1EB35B77">
            <w:pPr>
              <w:pStyle w:val="10"/>
            </w:pPr>
            <w:r>
              <w:t>指标值</w:t>
            </w:r>
          </w:p>
        </w:tc>
        <w:tc>
          <w:tcPr>
            <w:tcW w:w="1276" w:type="dxa"/>
            <w:vAlign w:val="center"/>
          </w:tcPr>
          <w:p w14:paraId="7C7EC338">
            <w:pPr>
              <w:pStyle w:val="10"/>
            </w:pPr>
            <w:r>
              <w:t>指标值确定依据</w:t>
            </w:r>
          </w:p>
        </w:tc>
      </w:tr>
      <w:tr w14:paraId="7F3A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9E2F8">
            <w:pPr>
              <w:pStyle w:val="13"/>
            </w:pPr>
            <w:r>
              <w:t>产出指标</w:t>
            </w:r>
          </w:p>
        </w:tc>
        <w:tc>
          <w:tcPr>
            <w:tcW w:w="2268" w:type="dxa"/>
            <w:vAlign w:val="center"/>
          </w:tcPr>
          <w:p w14:paraId="203491FD">
            <w:pPr>
              <w:pStyle w:val="12"/>
            </w:pPr>
            <w:r>
              <w:t>成本指标</w:t>
            </w:r>
          </w:p>
        </w:tc>
        <w:tc>
          <w:tcPr>
            <w:tcW w:w="2835" w:type="dxa"/>
            <w:vAlign w:val="center"/>
          </w:tcPr>
          <w:p w14:paraId="618BC42B">
            <w:pPr>
              <w:pStyle w:val="12"/>
            </w:pPr>
            <w:r>
              <w:t>生均拨款标准</w:t>
            </w:r>
          </w:p>
        </w:tc>
        <w:tc>
          <w:tcPr>
            <w:tcW w:w="5386" w:type="dxa"/>
            <w:vAlign w:val="center"/>
          </w:tcPr>
          <w:p w14:paraId="63755710">
            <w:pPr>
              <w:pStyle w:val="12"/>
            </w:pPr>
            <w:r>
              <w:t>小学生公用经费生均小学720元。取暖费120元/生/年，随班就读学生补助7000元/生</w:t>
            </w:r>
          </w:p>
        </w:tc>
        <w:tc>
          <w:tcPr>
            <w:tcW w:w="2268" w:type="dxa"/>
            <w:vAlign w:val="center"/>
          </w:tcPr>
          <w:p w14:paraId="46DA4987">
            <w:pPr>
              <w:pStyle w:val="12"/>
            </w:pPr>
            <w:r>
              <w:t>840元</w:t>
            </w:r>
          </w:p>
        </w:tc>
        <w:tc>
          <w:tcPr>
            <w:tcW w:w="1276" w:type="dxa"/>
            <w:vAlign w:val="center"/>
          </w:tcPr>
          <w:p w14:paraId="4F0499AA">
            <w:pPr>
              <w:pStyle w:val="12"/>
            </w:pPr>
            <w:r>
              <w:t>城乡义务教育公用经费管理办法</w:t>
            </w:r>
          </w:p>
        </w:tc>
      </w:tr>
      <w:tr w14:paraId="47BE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FC2FF"/>
        </w:tc>
        <w:tc>
          <w:tcPr>
            <w:tcW w:w="2268" w:type="dxa"/>
            <w:vAlign w:val="center"/>
          </w:tcPr>
          <w:p w14:paraId="7774E553">
            <w:pPr>
              <w:pStyle w:val="12"/>
            </w:pPr>
            <w:r>
              <w:t>数量指标</w:t>
            </w:r>
          </w:p>
        </w:tc>
        <w:tc>
          <w:tcPr>
            <w:tcW w:w="2835" w:type="dxa"/>
            <w:vAlign w:val="center"/>
          </w:tcPr>
          <w:p w14:paraId="0DD705A9">
            <w:pPr>
              <w:pStyle w:val="12"/>
            </w:pPr>
            <w:r>
              <w:t>就读学生数</w:t>
            </w:r>
          </w:p>
        </w:tc>
        <w:tc>
          <w:tcPr>
            <w:tcW w:w="5386" w:type="dxa"/>
            <w:vAlign w:val="center"/>
          </w:tcPr>
          <w:p w14:paraId="77C02695">
            <w:pPr>
              <w:pStyle w:val="12"/>
            </w:pPr>
            <w:r>
              <w:t>辐射区域内适龄学生人数</w:t>
            </w:r>
          </w:p>
        </w:tc>
        <w:tc>
          <w:tcPr>
            <w:tcW w:w="2268" w:type="dxa"/>
            <w:vAlign w:val="center"/>
          </w:tcPr>
          <w:p w14:paraId="5415D44A">
            <w:pPr>
              <w:pStyle w:val="12"/>
            </w:pPr>
            <w:r>
              <w:t>635人</w:t>
            </w:r>
          </w:p>
        </w:tc>
        <w:tc>
          <w:tcPr>
            <w:tcW w:w="1276" w:type="dxa"/>
            <w:vAlign w:val="center"/>
          </w:tcPr>
          <w:p w14:paraId="18A10689">
            <w:pPr>
              <w:pStyle w:val="12"/>
            </w:pPr>
            <w:r>
              <w:t>城乡义务教育公用经费管理办法</w:t>
            </w:r>
          </w:p>
        </w:tc>
      </w:tr>
      <w:tr w14:paraId="375C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B9DFB"/>
        </w:tc>
        <w:tc>
          <w:tcPr>
            <w:tcW w:w="2268" w:type="dxa"/>
            <w:vAlign w:val="center"/>
          </w:tcPr>
          <w:p w14:paraId="2A5032A2">
            <w:pPr>
              <w:pStyle w:val="12"/>
            </w:pPr>
            <w:r>
              <w:t>质量指标</w:t>
            </w:r>
          </w:p>
        </w:tc>
        <w:tc>
          <w:tcPr>
            <w:tcW w:w="2835" w:type="dxa"/>
            <w:vAlign w:val="center"/>
          </w:tcPr>
          <w:p w14:paraId="11C0D833">
            <w:pPr>
              <w:pStyle w:val="12"/>
            </w:pPr>
            <w:r>
              <w:t>预算执行率</w:t>
            </w:r>
          </w:p>
        </w:tc>
        <w:tc>
          <w:tcPr>
            <w:tcW w:w="5386" w:type="dxa"/>
            <w:vAlign w:val="center"/>
          </w:tcPr>
          <w:p w14:paraId="11DF1E45">
            <w:pPr>
              <w:pStyle w:val="12"/>
            </w:pPr>
            <w:r>
              <w:t>预算执行率≥98%</w:t>
            </w:r>
          </w:p>
        </w:tc>
        <w:tc>
          <w:tcPr>
            <w:tcW w:w="2268" w:type="dxa"/>
            <w:vAlign w:val="center"/>
          </w:tcPr>
          <w:p w14:paraId="792C8175">
            <w:pPr>
              <w:pStyle w:val="12"/>
            </w:pPr>
            <w:r>
              <w:t>≥98%</w:t>
            </w:r>
          </w:p>
        </w:tc>
        <w:tc>
          <w:tcPr>
            <w:tcW w:w="1276" w:type="dxa"/>
            <w:vAlign w:val="center"/>
          </w:tcPr>
          <w:p w14:paraId="7069BB6B">
            <w:pPr>
              <w:pStyle w:val="12"/>
            </w:pPr>
            <w:r>
              <w:t>城乡义务教育公用经费管理办法</w:t>
            </w:r>
          </w:p>
        </w:tc>
      </w:tr>
      <w:tr w14:paraId="4BEE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9F8D9"/>
        </w:tc>
        <w:tc>
          <w:tcPr>
            <w:tcW w:w="2268" w:type="dxa"/>
            <w:vAlign w:val="center"/>
          </w:tcPr>
          <w:p w14:paraId="7CA8B0A0">
            <w:pPr>
              <w:pStyle w:val="12"/>
            </w:pPr>
            <w:r>
              <w:t>时效指标</w:t>
            </w:r>
          </w:p>
        </w:tc>
        <w:tc>
          <w:tcPr>
            <w:tcW w:w="2835" w:type="dxa"/>
            <w:vAlign w:val="center"/>
          </w:tcPr>
          <w:p w14:paraId="23DA632E">
            <w:pPr>
              <w:pStyle w:val="12"/>
            </w:pPr>
            <w:r>
              <w:t>义教经费支付完成率</w:t>
            </w:r>
          </w:p>
        </w:tc>
        <w:tc>
          <w:tcPr>
            <w:tcW w:w="5386" w:type="dxa"/>
            <w:vAlign w:val="center"/>
          </w:tcPr>
          <w:p w14:paraId="2AC0B907">
            <w:pPr>
              <w:pStyle w:val="12"/>
            </w:pPr>
            <w:r>
              <w:t>按照序时进度完成资金支付</w:t>
            </w:r>
          </w:p>
        </w:tc>
        <w:tc>
          <w:tcPr>
            <w:tcW w:w="2268" w:type="dxa"/>
            <w:vAlign w:val="center"/>
          </w:tcPr>
          <w:p w14:paraId="0AD3E5BB">
            <w:pPr>
              <w:pStyle w:val="12"/>
            </w:pPr>
            <w:r>
              <w:t>100%</w:t>
            </w:r>
          </w:p>
        </w:tc>
        <w:tc>
          <w:tcPr>
            <w:tcW w:w="1276" w:type="dxa"/>
            <w:vAlign w:val="center"/>
          </w:tcPr>
          <w:p w14:paraId="07727AB2">
            <w:pPr>
              <w:pStyle w:val="12"/>
            </w:pPr>
            <w:r>
              <w:t>城乡义务教育公用经费管理办法</w:t>
            </w:r>
          </w:p>
        </w:tc>
      </w:tr>
      <w:tr w14:paraId="3B121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AC596">
            <w:pPr>
              <w:pStyle w:val="13"/>
            </w:pPr>
            <w:r>
              <w:t>效益指标</w:t>
            </w:r>
          </w:p>
        </w:tc>
        <w:tc>
          <w:tcPr>
            <w:tcW w:w="2268" w:type="dxa"/>
            <w:vAlign w:val="center"/>
          </w:tcPr>
          <w:p w14:paraId="21332F01">
            <w:pPr>
              <w:pStyle w:val="12"/>
            </w:pPr>
            <w:r>
              <w:t>可持续影响指标</w:t>
            </w:r>
          </w:p>
        </w:tc>
        <w:tc>
          <w:tcPr>
            <w:tcW w:w="2835" w:type="dxa"/>
            <w:vAlign w:val="center"/>
          </w:tcPr>
          <w:p w14:paraId="41DA144E">
            <w:pPr>
              <w:pStyle w:val="12"/>
            </w:pPr>
            <w:r>
              <w:t>学校运转得到提高</w:t>
            </w:r>
          </w:p>
        </w:tc>
        <w:tc>
          <w:tcPr>
            <w:tcW w:w="5386" w:type="dxa"/>
            <w:vAlign w:val="center"/>
          </w:tcPr>
          <w:p w14:paraId="678990B3">
            <w:pPr>
              <w:pStyle w:val="12"/>
            </w:pPr>
            <w:r>
              <w:t>学生受教育年限</w:t>
            </w:r>
          </w:p>
        </w:tc>
        <w:tc>
          <w:tcPr>
            <w:tcW w:w="2268" w:type="dxa"/>
            <w:vAlign w:val="center"/>
          </w:tcPr>
          <w:p w14:paraId="3A6275F4">
            <w:pPr>
              <w:pStyle w:val="12"/>
            </w:pPr>
            <w:r>
              <w:t>6年</w:t>
            </w:r>
          </w:p>
        </w:tc>
        <w:tc>
          <w:tcPr>
            <w:tcW w:w="1276" w:type="dxa"/>
            <w:vAlign w:val="center"/>
          </w:tcPr>
          <w:p w14:paraId="0B98B964">
            <w:pPr>
              <w:pStyle w:val="12"/>
            </w:pPr>
            <w:r>
              <w:t>城乡义务教育公用经费管理办法</w:t>
            </w:r>
          </w:p>
        </w:tc>
      </w:tr>
      <w:tr w14:paraId="7ECA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E5085">
            <w:pPr>
              <w:pStyle w:val="13"/>
            </w:pPr>
            <w:r>
              <w:t>满意度指标</w:t>
            </w:r>
          </w:p>
        </w:tc>
        <w:tc>
          <w:tcPr>
            <w:tcW w:w="2268" w:type="dxa"/>
            <w:vAlign w:val="center"/>
          </w:tcPr>
          <w:p w14:paraId="5B76DEFB">
            <w:pPr>
              <w:pStyle w:val="12"/>
            </w:pPr>
            <w:r>
              <w:t>服务对象满意度指标</w:t>
            </w:r>
          </w:p>
        </w:tc>
        <w:tc>
          <w:tcPr>
            <w:tcW w:w="2835" w:type="dxa"/>
            <w:vAlign w:val="center"/>
          </w:tcPr>
          <w:p w14:paraId="2BE6A55E">
            <w:pPr>
              <w:pStyle w:val="12"/>
            </w:pPr>
            <w:r>
              <w:t>服务对象满意度</w:t>
            </w:r>
          </w:p>
        </w:tc>
        <w:tc>
          <w:tcPr>
            <w:tcW w:w="5386" w:type="dxa"/>
            <w:vAlign w:val="center"/>
          </w:tcPr>
          <w:p w14:paraId="7964F36C">
            <w:pPr>
              <w:pStyle w:val="12"/>
            </w:pPr>
            <w:r>
              <w:t>学校老师和学生满意度</w:t>
            </w:r>
          </w:p>
        </w:tc>
        <w:tc>
          <w:tcPr>
            <w:tcW w:w="2268" w:type="dxa"/>
            <w:vAlign w:val="center"/>
          </w:tcPr>
          <w:p w14:paraId="2F03E8D2">
            <w:pPr>
              <w:pStyle w:val="12"/>
            </w:pPr>
            <w:r>
              <w:t>≥95%</w:t>
            </w:r>
          </w:p>
        </w:tc>
        <w:tc>
          <w:tcPr>
            <w:tcW w:w="1276" w:type="dxa"/>
            <w:vAlign w:val="center"/>
          </w:tcPr>
          <w:p w14:paraId="52F07C57">
            <w:pPr>
              <w:pStyle w:val="12"/>
            </w:pPr>
            <w:r>
              <w:t>问卷调查</w:t>
            </w:r>
          </w:p>
        </w:tc>
      </w:tr>
    </w:tbl>
    <w:p w14:paraId="59F29E97">
      <w:pPr>
        <w:sectPr>
          <w:pgSz w:w="16840" w:h="11900" w:orient="landscape"/>
          <w:pgMar w:top="1361" w:right="1020" w:bottom="1134" w:left="1020" w:header="720" w:footer="720" w:gutter="0"/>
          <w:cols w:space="720" w:num="1"/>
        </w:sectPr>
      </w:pPr>
    </w:p>
    <w:p w14:paraId="4640CDFA">
      <w:pPr>
        <w:spacing w:before="0" w:after="0"/>
        <w:ind w:firstLine="560"/>
        <w:jc w:val="left"/>
        <w:outlineLvl w:val="9"/>
      </w:pPr>
      <w:r>
        <w:rPr>
          <w:rFonts w:ascii="方正仿宋_GBK" w:hAnsi="方正仿宋_GBK" w:eastAsia="方正仿宋_GBK" w:cs="方正仿宋_GBK"/>
          <w:b/>
          <w:color w:val="000000"/>
          <w:sz w:val="28"/>
        </w:rPr>
        <w:t>19、冀财教[2025]148号/支持义务教育发展/北楼校区尚礼小学照明改造计划项目绩效目标表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EF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5A170">
            <w:pPr>
              <w:pStyle w:val="11"/>
            </w:pPr>
            <w:r>
              <w:t>单位：万元</w:t>
            </w:r>
          </w:p>
        </w:tc>
      </w:tr>
      <w:tr w14:paraId="5D0A5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AEE13">
            <w:pPr>
              <w:pStyle w:val="10"/>
            </w:pPr>
            <w:r>
              <w:t>项目编码</w:t>
            </w:r>
          </w:p>
        </w:tc>
        <w:tc>
          <w:tcPr>
            <w:tcW w:w="5103" w:type="dxa"/>
            <w:gridSpan w:val="2"/>
            <w:vAlign w:val="center"/>
          </w:tcPr>
          <w:p w14:paraId="44CDDCEF">
            <w:pPr>
              <w:pStyle w:val="12"/>
            </w:pPr>
            <w:r>
              <w:t>13052526P00000210127D</w:t>
            </w:r>
          </w:p>
        </w:tc>
        <w:tc>
          <w:tcPr>
            <w:tcW w:w="2835" w:type="dxa"/>
            <w:vAlign w:val="center"/>
          </w:tcPr>
          <w:p w14:paraId="4AE7AE8A">
            <w:pPr>
              <w:pStyle w:val="10"/>
            </w:pPr>
            <w:r>
              <w:t>项目名称</w:t>
            </w:r>
          </w:p>
        </w:tc>
        <w:tc>
          <w:tcPr>
            <w:tcW w:w="6095" w:type="dxa"/>
            <w:gridSpan w:val="3"/>
            <w:vAlign w:val="center"/>
          </w:tcPr>
          <w:p w14:paraId="3F00F669">
            <w:pPr>
              <w:pStyle w:val="12"/>
            </w:pPr>
            <w:r>
              <w:t>冀财教[2025]148号/支持义务教育发展/北楼校区尚礼小学照明改造计划项目</w:t>
            </w:r>
          </w:p>
        </w:tc>
      </w:tr>
      <w:tr w14:paraId="23D50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516CF">
            <w:pPr>
              <w:pStyle w:val="10"/>
            </w:pPr>
            <w:r>
              <w:t>预算规模及资金用途</w:t>
            </w:r>
          </w:p>
        </w:tc>
        <w:tc>
          <w:tcPr>
            <w:tcW w:w="2268" w:type="dxa"/>
            <w:vAlign w:val="center"/>
          </w:tcPr>
          <w:p w14:paraId="63FE0936">
            <w:pPr>
              <w:pStyle w:val="10"/>
            </w:pPr>
            <w:r>
              <w:t>预算数</w:t>
            </w:r>
          </w:p>
        </w:tc>
        <w:tc>
          <w:tcPr>
            <w:tcW w:w="2835" w:type="dxa"/>
            <w:vAlign w:val="center"/>
          </w:tcPr>
          <w:p w14:paraId="69F72791">
            <w:pPr>
              <w:pStyle w:val="12"/>
            </w:pPr>
            <w:r>
              <w:t>10.26</w:t>
            </w:r>
          </w:p>
        </w:tc>
        <w:tc>
          <w:tcPr>
            <w:tcW w:w="2835" w:type="dxa"/>
            <w:vAlign w:val="center"/>
          </w:tcPr>
          <w:p w14:paraId="1283D686">
            <w:pPr>
              <w:pStyle w:val="10"/>
            </w:pPr>
            <w:r>
              <w:t>其中：财政    资金</w:t>
            </w:r>
          </w:p>
        </w:tc>
        <w:tc>
          <w:tcPr>
            <w:tcW w:w="2551" w:type="dxa"/>
            <w:vAlign w:val="center"/>
          </w:tcPr>
          <w:p w14:paraId="43D2BF39">
            <w:pPr>
              <w:pStyle w:val="12"/>
            </w:pPr>
            <w:r>
              <w:t>10.26</w:t>
            </w:r>
          </w:p>
        </w:tc>
        <w:tc>
          <w:tcPr>
            <w:tcW w:w="2268" w:type="dxa"/>
            <w:vAlign w:val="center"/>
          </w:tcPr>
          <w:p w14:paraId="4FB8777D">
            <w:pPr>
              <w:pStyle w:val="10"/>
            </w:pPr>
            <w:r>
              <w:t>其他资金</w:t>
            </w:r>
          </w:p>
        </w:tc>
        <w:tc>
          <w:tcPr>
            <w:tcW w:w="1276" w:type="dxa"/>
            <w:vAlign w:val="center"/>
          </w:tcPr>
          <w:p w14:paraId="41721619">
            <w:pPr>
              <w:pStyle w:val="12"/>
            </w:pPr>
            <w:r>
              <w:t xml:space="preserve"> </w:t>
            </w:r>
          </w:p>
        </w:tc>
      </w:tr>
      <w:tr w14:paraId="55572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F5942"/>
        </w:tc>
        <w:tc>
          <w:tcPr>
            <w:tcW w:w="14033" w:type="dxa"/>
            <w:gridSpan w:val="6"/>
            <w:vAlign w:val="center"/>
          </w:tcPr>
          <w:p w14:paraId="2A463265">
            <w:pPr>
              <w:pStyle w:val="12"/>
            </w:pPr>
            <w:r>
              <w:t>提升教学质量，改善幼儿现状，创造良好的幼儿环境。</w:t>
            </w:r>
          </w:p>
        </w:tc>
      </w:tr>
      <w:tr w14:paraId="36AC3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C563C">
            <w:pPr>
              <w:pStyle w:val="10"/>
            </w:pPr>
            <w:r>
              <w:t>资金支出计划（%）</w:t>
            </w:r>
          </w:p>
        </w:tc>
        <w:tc>
          <w:tcPr>
            <w:tcW w:w="5103" w:type="dxa"/>
            <w:gridSpan w:val="2"/>
            <w:vAlign w:val="center"/>
          </w:tcPr>
          <w:p w14:paraId="54E41975">
            <w:pPr>
              <w:pStyle w:val="10"/>
            </w:pPr>
            <w:r>
              <w:t>3月底</w:t>
            </w:r>
          </w:p>
        </w:tc>
        <w:tc>
          <w:tcPr>
            <w:tcW w:w="2835" w:type="dxa"/>
            <w:vAlign w:val="center"/>
          </w:tcPr>
          <w:p w14:paraId="74470853">
            <w:pPr>
              <w:pStyle w:val="10"/>
            </w:pPr>
            <w:r>
              <w:t>6月底</w:t>
            </w:r>
          </w:p>
        </w:tc>
        <w:tc>
          <w:tcPr>
            <w:tcW w:w="2551" w:type="dxa"/>
            <w:vAlign w:val="center"/>
          </w:tcPr>
          <w:p w14:paraId="2E65261F">
            <w:pPr>
              <w:pStyle w:val="10"/>
            </w:pPr>
            <w:r>
              <w:t>10月底</w:t>
            </w:r>
          </w:p>
        </w:tc>
        <w:tc>
          <w:tcPr>
            <w:tcW w:w="3544" w:type="dxa"/>
            <w:gridSpan w:val="2"/>
            <w:vAlign w:val="center"/>
          </w:tcPr>
          <w:p w14:paraId="2FBD1BB9">
            <w:pPr>
              <w:pStyle w:val="10"/>
            </w:pPr>
            <w:r>
              <w:t>12月底</w:t>
            </w:r>
          </w:p>
        </w:tc>
      </w:tr>
      <w:tr w14:paraId="654A3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17C1B"/>
        </w:tc>
        <w:tc>
          <w:tcPr>
            <w:tcW w:w="5103" w:type="dxa"/>
            <w:gridSpan w:val="2"/>
            <w:vAlign w:val="center"/>
          </w:tcPr>
          <w:p w14:paraId="0CCE68ED">
            <w:pPr>
              <w:pStyle w:val="13"/>
            </w:pPr>
            <w:r>
              <w:t xml:space="preserve"> </w:t>
            </w:r>
          </w:p>
        </w:tc>
        <w:tc>
          <w:tcPr>
            <w:tcW w:w="2835" w:type="dxa"/>
            <w:vAlign w:val="center"/>
          </w:tcPr>
          <w:p w14:paraId="0F014EF2">
            <w:pPr>
              <w:pStyle w:val="13"/>
            </w:pPr>
            <w:r>
              <w:t xml:space="preserve"> </w:t>
            </w:r>
          </w:p>
        </w:tc>
        <w:tc>
          <w:tcPr>
            <w:tcW w:w="2551" w:type="dxa"/>
            <w:vAlign w:val="center"/>
          </w:tcPr>
          <w:p w14:paraId="58246D93">
            <w:pPr>
              <w:pStyle w:val="13"/>
            </w:pPr>
            <w:r>
              <w:t>100%</w:t>
            </w:r>
          </w:p>
        </w:tc>
        <w:tc>
          <w:tcPr>
            <w:tcW w:w="3544" w:type="dxa"/>
            <w:gridSpan w:val="2"/>
            <w:vAlign w:val="center"/>
          </w:tcPr>
          <w:p w14:paraId="7F70D47A">
            <w:pPr>
              <w:pStyle w:val="13"/>
            </w:pPr>
            <w:r>
              <w:t>100%</w:t>
            </w:r>
          </w:p>
        </w:tc>
      </w:tr>
      <w:tr w14:paraId="2D91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B0EA8">
            <w:pPr>
              <w:pStyle w:val="10"/>
            </w:pPr>
            <w:r>
              <w:t>绩效目标</w:t>
            </w:r>
          </w:p>
        </w:tc>
        <w:tc>
          <w:tcPr>
            <w:tcW w:w="14033" w:type="dxa"/>
            <w:gridSpan w:val="6"/>
            <w:vAlign w:val="center"/>
          </w:tcPr>
          <w:p w14:paraId="084AE06C">
            <w:pPr>
              <w:pStyle w:val="12"/>
            </w:pPr>
            <w:r>
              <w:t>1.提升教学质量，改善幼儿现状，创造良好的幼儿环境。</w:t>
            </w:r>
          </w:p>
          <w:p w14:paraId="0488BF6B">
            <w:pPr>
              <w:pStyle w:val="12"/>
            </w:pPr>
            <w:r>
              <w:t>2.项目</w:t>
            </w:r>
            <w:r>
              <w:rPr>
                <w:rFonts w:hint="eastAsia"/>
                <w:lang w:eastAsia="zh-CN"/>
              </w:rPr>
              <w:t>需</w:t>
            </w:r>
            <w:r>
              <w:t>资金10.26万元，资金拨付率达到100%。</w:t>
            </w:r>
          </w:p>
        </w:tc>
      </w:tr>
    </w:tbl>
    <w:p w14:paraId="3F2CA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D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3E1CA">
            <w:pPr>
              <w:pStyle w:val="10"/>
            </w:pPr>
            <w:r>
              <w:t>一级指标</w:t>
            </w:r>
          </w:p>
        </w:tc>
        <w:tc>
          <w:tcPr>
            <w:tcW w:w="2268" w:type="dxa"/>
            <w:vAlign w:val="center"/>
          </w:tcPr>
          <w:p w14:paraId="1AF43678">
            <w:pPr>
              <w:pStyle w:val="10"/>
            </w:pPr>
            <w:r>
              <w:t>二级指标</w:t>
            </w:r>
          </w:p>
        </w:tc>
        <w:tc>
          <w:tcPr>
            <w:tcW w:w="2835" w:type="dxa"/>
            <w:vAlign w:val="center"/>
          </w:tcPr>
          <w:p w14:paraId="08A1706B">
            <w:pPr>
              <w:pStyle w:val="10"/>
            </w:pPr>
            <w:r>
              <w:t>三级指标</w:t>
            </w:r>
          </w:p>
        </w:tc>
        <w:tc>
          <w:tcPr>
            <w:tcW w:w="5386" w:type="dxa"/>
            <w:vAlign w:val="center"/>
          </w:tcPr>
          <w:p w14:paraId="42DB6425">
            <w:pPr>
              <w:pStyle w:val="10"/>
            </w:pPr>
            <w:r>
              <w:t>绩效指标描述</w:t>
            </w:r>
          </w:p>
        </w:tc>
        <w:tc>
          <w:tcPr>
            <w:tcW w:w="2268" w:type="dxa"/>
            <w:vAlign w:val="center"/>
          </w:tcPr>
          <w:p w14:paraId="15F70380">
            <w:pPr>
              <w:pStyle w:val="10"/>
            </w:pPr>
            <w:r>
              <w:t>指标值</w:t>
            </w:r>
          </w:p>
        </w:tc>
        <w:tc>
          <w:tcPr>
            <w:tcW w:w="1276" w:type="dxa"/>
            <w:vAlign w:val="center"/>
          </w:tcPr>
          <w:p w14:paraId="6A02D2D3">
            <w:pPr>
              <w:pStyle w:val="10"/>
            </w:pPr>
            <w:r>
              <w:t>指标值确定依据</w:t>
            </w:r>
          </w:p>
        </w:tc>
      </w:tr>
      <w:tr w14:paraId="54BC6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65E72">
            <w:pPr>
              <w:pStyle w:val="13"/>
            </w:pPr>
            <w:r>
              <w:t>产出指标</w:t>
            </w:r>
          </w:p>
        </w:tc>
        <w:tc>
          <w:tcPr>
            <w:tcW w:w="2268" w:type="dxa"/>
            <w:vAlign w:val="center"/>
          </w:tcPr>
          <w:p w14:paraId="44C3C5C7">
            <w:pPr>
              <w:pStyle w:val="12"/>
            </w:pPr>
            <w:r>
              <w:t>数量指标</w:t>
            </w:r>
          </w:p>
        </w:tc>
        <w:tc>
          <w:tcPr>
            <w:tcW w:w="2835" w:type="dxa"/>
            <w:vAlign w:val="center"/>
          </w:tcPr>
          <w:p w14:paraId="749FAEF7">
            <w:pPr>
              <w:pStyle w:val="12"/>
            </w:pPr>
            <w:r>
              <w:t>照明计划改造项目</w:t>
            </w:r>
          </w:p>
        </w:tc>
        <w:tc>
          <w:tcPr>
            <w:tcW w:w="5386" w:type="dxa"/>
            <w:vAlign w:val="center"/>
          </w:tcPr>
          <w:p w14:paraId="74F1D26A">
            <w:pPr>
              <w:pStyle w:val="12"/>
            </w:pPr>
            <w:r>
              <w:t>教室照明设备</w:t>
            </w:r>
          </w:p>
        </w:tc>
        <w:tc>
          <w:tcPr>
            <w:tcW w:w="2268" w:type="dxa"/>
            <w:vAlign w:val="center"/>
          </w:tcPr>
          <w:p w14:paraId="638AB8E1">
            <w:pPr>
              <w:pStyle w:val="12"/>
            </w:pPr>
            <w:r>
              <w:t>1项</w:t>
            </w:r>
          </w:p>
        </w:tc>
        <w:tc>
          <w:tcPr>
            <w:tcW w:w="1276" w:type="dxa"/>
            <w:vAlign w:val="center"/>
          </w:tcPr>
          <w:p w14:paraId="6D0BFCD4">
            <w:pPr>
              <w:pStyle w:val="12"/>
            </w:pPr>
            <w:r>
              <w:t>项目规划</w:t>
            </w:r>
          </w:p>
        </w:tc>
      </w:tr>
      <w:tr w14:paraId="20BD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866D3"/>
        </w:tc>
        <w:tc>
          <w:tcPr>
            <w:tcW w:w="2268" w:type="dxa"/>
            <w:vAlign w:val="center"/>
          </w:tcPr>
          <w:p w14:paraId="1CF1C222">
            <w:pPr>
              <w:pStyle w:val="12"/>
            </w:pPr>
            <w:r>
              <w:t>质量指标</w:t>
            </w:r>
          </w:p>
        </w:tc>
        <w:tc>
          <w:tcPr>
            <w:tcW w:w="2835" w:type="dxa"/>
            <w:vAlign w:val="center"/>
          </w:tcPr>
          <w:p w14:paraId="2D0CF9AF">
            <w:pPr>
              <w:pStyle w:val="12"/>
            </w:pPr>
            <w:r>
              <w:t>工程实施验收合格率</w:t>
            </w:r>
          </w:p>
        </w:tc>
        <w:tc>
          <w:tcPr>
            <w:tcW w:w="5386" w:type="dxa"/>
            <w:vAlign w:val="center"/>
          </w:tcPr>
          <w:p w14:paraId="61441665">
            <w:pPr>
              <w:pStyle w:val="12"/>
            </w:pPr>
            <w:r>
              <w:t>申报程序的合规，项目实施及资金使用符合项目规划</w:t>
            </w:r>
          </w:p>
        </w:tc>
        <w:tc>
          <w:tcPr>
            <w:tcW w:w="2268" w:type="dxa"/>
            <w:vAlign w:val="center"/>
          </w:tcPr>
          <w:p w14:paraId="6D9DEE76">
            <w:pPr>
              <w:pStyle w:val="12"/>
            </w:pPr>
            <w:r>
              <w:t>100%</w:t>
            </w:r>
          </w:p>
        </w:tc>
        <w:tc>
          <w:tcPr>
            <w:tcW w:w="1276" w:type="dxa"/>
            <w:vAlign w:val="center"/>
          </w:tcPr>
          <w:p w14:paraId="48BFBF48">
            <w:pPr>
              <w:pStyle w:val="12"/>
            </w:pPr>
            <w:r>
              <w:t>项目规划</w:t>
            </w:r>
          </w:p>
        </w:tc>
      </w:tr>
      <w:tr w14:paraId="1475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828DD"/>
        </w:tc>
        <w:tc>
          <w:tcPr>
            <w:tcW w:w="2268" w:type="dxa"/>
            <w:vAlign w:val="center"/>
          </w:tcPr>
          <w:p w14:paraId="7F80C9E7">
            <w:pPr>
              <w:pStyle w:val="12"/>
            </w:pPr>
            <w:r>
              <w:t>时效指标</w:t>
            </w:r>
          </w:p>
        </w:tc>
        <w:tc>
          <w:tcPr>
            <w:tcW w:w="2835" w:type="dxa"/>
            <w:vAlign w:val="center"/>
          </w:tcPr>
          <w:p w14:paraId="3D60D82E">
            <w:pPr>
              <w:pStyle w:val="12"/>
            </w:pPr>
            <w:r>
              <w:t>资金支付率</w:t>
            </w:r>
          </w:p>
        </w:tc>
        <w:tc>
          <w:tcPr>
            <w:tcW w:w="5386" w:type="dxa"/>
            <w:vAlign w:val="center"/>
          </w:tcPr>
          <w:p w14:paraId="4EFE7338">
            <w:pPr>
              <w:pStyle w:val="12"/>
            </w:pPr>
            <w:r>
              <w:t>按照序时进度完成资金支付</w:t>
            </w:r>
          </w:p>
        </w:tc>
        <w:tc>
          <w:tcPr>
            <w:tcW w:w="2268" w:type="dxa"/>
            <w:vAlign w:val="center"/>
          </w:tcPr>
          <w:p w14:paraId="3911621F">
            <w:pPr>
              <w:pStyle w:val="12"/>
            </w:pPr>
            <w:r>
              <w:t>100%</w:t>
            </w:r>
          </w:p>
        </w:tc>
        <w:tc>
          <w:tcPr>
            <w:tcW w:w="1276" w:type="dxa"/>
            <w:vAlign w:val="center"/>
          </w:tcPr>
          <w:p w14:paraId="702A4AB7">
            <w:pPr>
              <w:pStyle w:val="12"/>
            </w:pPr>
            <w:r>
              <w:t>项目规划</w:t>
            </w:r>
          </w:p>
        </w:tc>
      </w:tr>
      <w:tr w14:paraId="5557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97A5D"/>
        </w:tc>
        <w:tc>
          <w:tcPr>
            <w:tcW w:w="2268" w:type="dxa"/>
            <w:vAlign w:val="center"/>
          </w:tcPr>
          <w:p w14:paraId="512F1072">
            <w:pPr>
              <w:pStyle w:val="12"/>
            </w:pPr>
            <w:r>
              <w:t>成本指标</w:t>
            </w:r>
          </w:p>
        </w:tc>
        <w:tc>
          <w:tcPr>
            <w:tcW w:w="2835" w:type="dxa"/>
            <w:vAlign w:val="center"/>
          </w:tcPr>
          <w:p w14:paraId="57B5A6B5">
            <w:pPr>
              <w:pStyle w:val="12"/>
            </w:pPr>
            <w:r>
              <w:t>项目成本控制情况</w:t>
            </w:r>
          </w:p>
        </w:tc>
        <w:tc>
          <w:tcPr>
            <w:tcW w:w="5386" w:type="dxa"/>
            <w:vAlign w:val="center"/>
          </w:tcPr>
          <w:p w14:paraId="5C564033">
            <w:pPr>
              <w:pStyle w:val="12"/>
            </w:pPr>
            <w:r>
              <w:t>严格按照招标价格及审计额进行</w:t>
            </w:r>
          </w:p>
        </w:tc>
        <w:tc>
          <w:tcPr>
            <w:tcW w:w="2268" w:type="dxa"/>
            <w:vAlign w:val="center"/>
          </w:tcPr>
          <w:p w14:paraId="6776626A">
            <w:pPr>
              <w:pStyle w:val="12"/>
            </w:pPr>
            <w:r>
              <w:t>10.26万元</w:t>
            </w:r>
          </w:p>
        </w:tc>
        <w:tc>
          <w:tcPr>
            <w:tcW w:w="1276" w:type="dxa"/>
            <w:vAlign w:val="center"/>
          </w:tcPr>
          <w:p w14:paraId="3BD218A5">
            <w:pPr>
              <w:pStyle w:val="12"/>
            </w:pPr>
            <w:r>
              <w:t>项目规划</w:t>
            </w:r>
          </w:p>
        </w:tc>
      </w:tr>
      <w:tr w14:paraId="2383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1643C">
            <w:pPr>
              <w:pStyle w:val="13"/>
            </w:pPr>
            <w:r>
              <w:t>效益指标</w:t>
            </w:r>
          </w:p>
        </w:tc>
        <w:tc>
          <w:tcPr>
            <w:tcW w:w="2268" w:type="dxa"/>
            <w:vAlign w:val="center"/>
          </w:tcPr>
          <w:p w14:paraId="631B8153">
            <w:pPr>
              <w:pStyle w:val="12"/>
            </w:pPr>
            <w:r>
              <w:t>可持续影响指标</w:t>
            </w:r>
          </w:p>
        </w:tc>
        <w:tc>
          <w:tcPr>
            <w:tcW w:w="2835" w:type="dxa"/>
            <w:vAlign w:val="center"/>
          </w:tcPr>
          <w:p w14:paraId="1DA856B0">
            <w:pPr>
              <w:pStyle w:val="12"/>
            </w:pPr>
            <w:r>
              <w:t>教育发展水平</w:t>
            </w:r>
          </w:p>
        </w:tc>
        <w:tc>
          <w:tcPr>
            <w:tcW w:w="5386" w:type="dxa"/>
            <w:vAlign w:val="center"/>
          </w:tcPr>
          <w:p w14:paraId="779927D7">
            <w:pPr>
              <w:pStyle w:val="12"/>
            </w:pPr>
            <w:r>
              <w:t>受益人数</w:t>
            </w:r>
          </w:p>
        </w:tc>
        <w:tc>
          <w:tcPr>
            <w:tcW w:w="2268" w:type="dxa"/>
            <w:vAlign w:val="center"/>
          </w:tcPr>
          <w:p w14:paraId="53B59AA9">
            <w:pPr>
              <w:pStyle w:val="12"/>
            </w:pPr>
            <w:r>
              <w:t>541人</w:t>
            </w:r>
          </w:p>
        </w:tc>
        <w:tc>
          <w:tcPr>
            <w:tcW w:w="1276" w:type="dxa"/>
            <w:vAlign w:val="center"/>
          </w:tcPr>
          <w:p w14:paraId="3E8A5C60">
            <w:pPr>
              <w:pStyle w:val="12"/>
            </w:pPr>
            <w:r>
              <w:t>项目规划</w:t>
            </w:r>
          </w:p>
        </w:tc>
      </w:tr>
      <w:tr w14:paraId="7C47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2F465">
            <w:pPr>
              <w:pStyle w:val="13"/>
            </w:pPr>
            <w:r>
              <w:t>满意度指标</w:t>
            </w:r>
          </w:p>
        </w:tc>
        <w:tc>
          <w:tcPr>
            <w:tcW w:w="2268" w:type="dxa"/>
            <w:vAlign w:val="center"/>
          </w:tcPr>
          <w:p w14:paraId="428BC9D9">
            <w:pPr>
              <w:pStyle w:val="12"/>
            </w:pPr>
            <w:r>
              <w:t>服务对象满意度指标</w:t>
            </w:r>
          </w:p>
        </w:tc>
        <w:tc>
          <w:tcPr>
            <w:tcW w:w="2835" w:type="dxa"/>
            <w:vAlign w:val="center"/>
          </w:tcPr>
          <w:p w14:paraId="77A1751A">
            <w:pPr>
              <w:pStyle w:val="12"/>
            </w:pPr>
            <w:r>
              <w:t>学生、教师及家长对学校教学环境满意度情况</w:t>
            </w:r>
          </w:p>
        </w:tc>
        <w:tc>
          <w:tcPr>
            <w:tcW w:w="5386" w:type="dxa"/>
            <w:vAlign w:val="center"/>
          </w:tcPr>
          <w:p w14:paraId="30D750E0">
            <w:pPr>
              <w:pStyle w:val="12"/>
            </w:pPr>
            <w:r>
              <w:t>学生、教师及家长对学校教学环境满意度情况</w:t>
            </w:r>
          </w:p>
        </w:tc>
        <w:tc>
          <w:tcPr>
            <w:tcW w:w="2268" w:type="dxa"/>
            <w:vAlign w:val="center"/>
          </w:tcPr>
          <w:p w14:paraId="5A0B9A3B">
            <w:pPr>
              <w:pStyle w:val="12"/>
            </w:pPr>
            <w:r>
              <w:t>≥95%</w:t>
            </w:r>
          </w:p>
        </w:tc>
        <w:tc>
          <w:tcPr>
            <w:tcW w:w="1276" w:type="dxa"/>
            <w:vAlign w:val="center"/>
          </w:tcPr>
          <w:p w14:paraId="09E29696">
            <w:pPr>
              <w:pStyle w:val="12"/>
            </w:pPr>
            <w:r>
              <w:t>调查问卷</w:t>
            </w:r>
          </w:p>
        </w:tc>
      </w:tr>
    </w:tbl>
    <w:p w14:paraId="1FF9D61D">
      <w:pPr>
        <w:sectPr>
          <w:pgSz w:w="16840" w:h="11900" w:orient="landscape"/>
          <w:pgMar w:top="1361" w:right="1020" w:bottom="1134" w:left="1020" w:header="720" w:footer="720" w:gutter="0"/>
          <w:cols w:space="720" w:num="1"/>
        </w:sectPr>
      </w:pPr>
    </w:p>
    <w:p w14:paraId="286378D4">
      <w:pPr>
        <w:spacing w:before="0" w:after="0"/>
        <w:ind w:firstLine="560"/>
        <w:jc w:val="left"/>
        <w:outlineLvl w:val="9"/>
      </w:pPr>
      <w:r>
        <w:rPr>
          <w:rFonts w:ascii="方正仿宋_GBK" w:hAnsi="方正仿宋_GBK" w:eastAsia="方正仿宋_GBK" w:cs="方正仿宋_GBK"/>
          <w:b/>
          <w:color w:val="000000"/>
          <w:sz w:val="28"/>
        </w:rPr>
        <w:t>20、冀财教[2025]149号/省级/2026年学前发展资金/北楼校区学前教育公用经费绩效目标表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B5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B7916">
            <w:pPr>
              <w:pStyle w:val="11"/>
            </w:pPr>
            <w:r>
              <w:t>单位：万元</w:t>
            </w:r>
          </w:p>
        </w:tc>
      </w:tr>
      <w:tr w14:paraId="5E2BD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B2617">
            <w:pPr>
              <w:pStyle w:val="10"/>
            </w:pPr>
            <w:r>
              <w:t>项目编码</w:t>
            </w:r>
          </w:p>
        </w:tc>
        <w:tc>
          <w:tcPr>
            <w:tcW w:w="5103" w:type="dxa"/>
            <w:gridSpan w:val="2"/>
            <w:vAlign w:val="center"/>
          </w:tcPr>
          <w:p w14:paraId="288888FE">
            <w:pPr>
              <w:pStyle w:val="12"/>
            </w:pPr>
            <w:r>
              <w:t>13052526P00875710105R</w:t>
            </w:r>
          </w:p>
        </w:tc>
        <w:tc>
          <w:tcPr>
            <w:tcW w:w="2835" w:type="dxa"/>
            <w:vAlign w:val="center"/>
          </w:tcPr>
          <w:p w14:paraId="39829793">
            <w:pPr>
              <w:pStyle w:val="10"/>
            </w:pPr>
            <w:r>
              <w:t>项目名称</w:t>
            </w:r>
          </w:p>
        </w:tc>
        <w:tc>
          <w:tcPr>
            <w:tcW w:w="6095" w:type="dxa"/>
            <w:gridSpan w:val="3"/>
            <w:vAlign w:val="center"/>
          </w:tcPr>
          <w:p w14:paraId="1A0AF196">
            <w:pPr>
              <w:pStyle w:val="12"/>
            </w:pPr>
            <w:r>
              <w:t>冀财教[2025]149号/省级/2026年学前发展资金/北楼校区学前教育公用经费</w:t>
            </w:r>
          </w:p>
        </w:tc>
      </w:tr>
      <w:tr w14:paraId="18E81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7F2E1">
            <w:pPr>
              <w:pStyle w:val="10"/>
            </w:pPr>
            <w:r>
              <w:t>预算规模及资金用途</w:t>
            </w:r>
          </w:p>
        </w:tc>
        <w:tc>
          <w:tcPr>
            <w:tcW w:w="2268" w:type="dxa"/>
            <w:vAlign w:val="center"/>
          </w:tcPr>
          <w:p w14:paraId="7682F10A">
            <w:pPr>
              <w:pStyle w:val="10"/>
            </w:pPr>
            <w:r>
              <w:t>预算数</w:t>
            </w:r>
          </w:p>
        </w:tc>
        <w:tc>
          <w:tcPr>
            <w:tcW w:w="2835" w:type="dxa"/>
            <w:vAlign w:val="center"/>
          </w:tcPr>
          <w:p w14:paraId="335898F0">
            <w:pPr>
              <w:pStyle w:val="12"/>
            </w:pPr>
            <w:r>
              <w:t>8.37</w:t>
            </w:r>
          </w:p>
        </w:tc>
        <w:tc>
          <w:tcPr>
            <w:tcW w:w="2835" w:type="dxa"/>
            <w:vAlign w:val="center"/>
          </w:tcPr>
          <w:p w14:paraId="642B5518">
            <w:pPr>
              <w:pStyle w:val="10"/>
            </w:pPr>
            <w:r>
              <w:t>其中：财政    资金</w:t>
            </w:r>
          </w:p>
        </w:tc>
        <w:tc>
          <w:tcPr>
            <w:tcW w:w="2551" w:type="dxa"/>
            <w:vAlign w:val="center"/>
          </w:tcPr>
          <w:p w14:paraId="4CD46017">
            <w:pPr>
              <w:pStyle w:val="12"/>
            </w:pPr>
            <w:r>
              <w:t>8.37</w:t>
            </w:r>
          </w:p>
        </w:tc>
        <w:tc>
          <w:tcPr>
            <w:tcW w:w="2268" w:type="dxa"/>
            <w:vAlign w:val="center"/>
          </w:tcPr>
          <w:p w14:paraId="5602BC2F">
            <w:pPr>
              <w:pStyle w:val="10"/>
            </w:pPr>
            <w:r>
              <w:t>其他资金</w:t>
            </w:r>
          </w:p>
        </w:tc>
        <w:tc>
          <w:tcPr>
            <w:tcW w:w="1276" w:type="dxa"/>
            <w:vAlign w:val="center"/>
          </w:tcPr>
          <w:p w14:paraId="6A895038">
            <w:pPr>
              <w:pStyle w:val="12"/>
            </w:pPr>
            <w:r>
              <w:t xml:space="preserve"> </w:t>
            </w:r>
          </w:p>
        </w:tc>
      </w:tr>
      <w:tr w14:paraId="4A570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F1D21"/>
        </w:tc>
        <w:tc>
          <w:tcPr>
            <w:tcW w:w="14033" w:type="dxa"/>
            <w:gridSpan w:val="6"/>
            <w:vAlign w:val="center"/>
          </w:tcPr>
          <w:p w14:paraId="2AB1F8CF">
            <w:pPr>
              <w:pStyle w:val="12"/>
            </w:pPr>
            <w:r>
              <w:t>保障幼儿园正常运转，完成教育教学活动和其他日常工作任务等方面的费用支出。</w:t>
            </w:r>
          </w:p>
        </w:tc>
      </w:tr>
      <w:tr w14:paraId="00727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14973">
            <w:pPr>
              <w:pStyle w:val="10"/>
            </w:pPr>
            <w:r>
              <w:t>资金支出计划（%）</w:t>
            </w:r>
          </w:p>
        </w:tc>
        <w:tc>
          <w:tcPr>
            <w:tcW w:w="5103" w:type="dxa"/>
            <w:gridSpan w:val="2"/>
            <w:vAlign w:val="center"/>
          </w:tcPr>
          <w:p w14:paraId="14873A55">
            <w:pPr>
              <w:pStyle w:val="10"/>
            </w:pPr>
            <w:r>
              <w:t>3月底</w:t>
            </w:r>
          </w:p>
        </w:tc>
        <w:tc>
          <w:tcPr>
            <w:tcW w:w="2835" w:type="dxa"/>
            <w:vAlign w:val="center"/>
          </w:tcPr>
          <w:p w14:paraId="6F69B609">
            <w:pPr>
              <w:pStyle w:val="10"/>
            </w:pPr>
            <w:r>
              <w:t>6月底</w:t>
            </w:r>
          </w:p>
        </w:tc>
        <w:tc>
          <w:tcPr>
            <w:tcW w:w="2551" w:type="dxa"/>
            <w:vAlign w:val="center"/>
          </w:tcPr>
          <w:p w14:paraId="0823FC57">
            <w:pPr>
              <w:pStyle w:val="10"/>
            </w:pPr>
            <w:r>
              <w:t>10月底</w:t>
            </w:r>
          </w:p>
        </w:tc>
        <w:tc>
          <w:tcPr>
            <w:tcW w:w="3544" w:type="dxa"/>
            <w:gridSpan w:val="2"/>
            <w:vAlign w:val="center"/>
          </w:tcPr>
          <w:p w14:paraId="592311A8">
            <w:pPr>
              <w:pStyle w:val="10"/>
            </w:pPr>
            <w:r>
              <w:t>12月底</w:t>
            </w:r>
          </w:p>
        </w:tc>
      </w:tr>
      <w:tr w14:paraId="35E06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93C45"/>
        </w:tc>
        <w:tc>
          <w:tcPr>
            <w:tcW w:w="5103" w:type="dxa"/>
            <w:gridSpan w:val="2"/>
            <w:vAlign w:val="center"/>
          </w:tcPr>
          <w:p w14:paraId="3A373AB9">
            <w:pPr>
              <w:pStyle w:val="13"/>
            </w:pPr>
            <w:r>
              <w:t>25%</w:t>
            </w:r>
          </w:p>
        </w:tc>
        <w:tc>
          <w:tcPr>
            <w:tcW w:w="2835" w:type="dxa"/>
            <w:vAlign w:val="center"/>
          </w:tcPr>
          <w:p w14:paraId="4E4E11BF">
            <w:pPr>
              <w:pStyle w:val="13"/>
            </w:pPr>
            <w:r>
              <w:t>50%</w:t>
            </w:r>
          </w:p>
        </w:tc>
        <w:tc>
          <w:tcPr>
            <w:tcW w:w="2551" w:type="dxa"/>
            <w:vAlign w:val="center"/>
          </w:tcPr>
          <w:p w14:paraId="0E755332">
            <w:pPr>
              <w:pStyle w:val="13"/>
            </w:pPr>
            <w:r>
              <w:t>75%</w:t>
            </w:r>
          </w:p>
        </w:tc>
        <w:tc>
          <w:tcPr>
            <w:tcW w:w="3544" w:type="dxa"/>
            <w:gridSpan w:val="2"/>
            <w:vAlign w:val="center"/>
          </w:tcPr>
          <w:p w14:paraId="1D55E038">
            <w:pPr>
              <w:pStyle w:val="13"/>
            </w:pPr>
            <w:r>
              <w:t>100%</w:t>
            </w:r>
          </w:p>
        </w:tc>
      </w:tr>
      <w:tr w14:paraId="2232D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D3E6D">
            <w:pPr>
              <w:pStyle w:val="10"/>
            </w:pPr>
            <w:r>
              <w:t>绩效目标</w:t>
            </w:r>
          </w:p>
        </w:tc>
        <w:tc>
          <w:tcPr>
            <w:tcW w:w="14033" w:type="dxa"/>
            <w:gridSpan w:val="6"/>
            <w:vAlign w:val="center"/>
          </w:tcPr>
          <w:p w14:paraId="1A16D6E7">
            <w:pPr>
              <w:pStyle w:val="12"/>
            </w:pPr>
            <w:r>
              <w:t>1.按季度分批次拨付公用经费资金，资金拨付率达到100%。</w:t>
            </w:r>
          </w:p>
          <w:p w14:paraId="102770EA">
            <w:pPr>
              <w:pStyle w:val="12"/>
            </w:pPr>
            <w:r>
              <w:t>2.保障幼儿园正常运转，完成教育教学活动和其他日常工作任务等方面的费用支出。</w:t>
            </w:r>
          </w:p>
        </w:tc>
      </w:tr>
    </w:tbl>
    <w:p w14:paraId="2493F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F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C8D82">
            <w:pPr>
              <w:pStyle w:val="10"/>
            </w:pPr>
            <w:r>
              <w:t>一级指标</w:t>
            </w:r>
          </w:p>
        </w:tc>
        <w:tc>
          <w:tcPr>
            <w:tcW w:w="2268" w:type="dxa"/>
            <w:vAlign w:val="center"/>
          </w:tcPr>
          <w:p w14:paraId="78BFD2BE">
            <w:pPr>
              <w:pStyle w:val="10"/>
            </w:pPr>
            <w:r>
              <w:t>二级指标</w:t>
            </w:r>
          </w:p>
        </w:tc>
        <w:tc>
          <w:tcPr>
            <w:tcW w:w="2835" w:type="dxa"/>
            <w:vAlign w:val="center"/>
          </w:tcPr>
          <w:p w14:paraId="15491463">
            <w:pPr>
              <w:pStyle w:val="10"/>
            </w:pPr>
            <w:r>
              <w:t>三级指标</w:t>
            </w:r>
          </w:p>
        </w:tc>
        <w:tc>
          <w:tcPr>
            <w:tcW w:w="5386" w:type="dxa"/>
            <w:vAlign w:val="center"/>
          </w:tcPr>
          <w:p w14:paraId="6BFB2602">
            <w:pPr>
              <w:pStyle w:val="10"/>
            </w:pPr>
            <w:r>
              <w:t>绩效指标描述</w:t>
            </w:r>
          </w:p>
        </w:tc>
        <w:tc>
          <w:tcPr>
            <w:tcW w:w="2268" w:type="dxa"/>
            <w:vAlign w:val="center"/>
          </w:tcPr>
          <w:p w14:paraId="612ABA6F">
            <w:pPr>
              <w:pStyle w:val="10"/>
            </w:pPr>
            <w:r>
              <w:t>指标值</w:t>
            </w:r>
          </w:p>
        </w:tc>
        <w:tc>
          <w:tcPr>
            <w:tcW w:w="1276" w:type="dxa"/>
            <w:vAlign w:val="center"/>
          </w:tcPr>
          <w:p w14:paraId="7384282F">
            <w:pPr>
              <w:pStyle w:val="10"/>
            </w:pPr>
            <w:r>
              <w:t>指标值确定依据</w:t>
            </w:r>
          </w:p>
        </w:tc>
      </w:tr>
      <w:tr w14:paraId="541B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22406">
            <w:pPr>
              <w:pStyle w:val="13"/>
            </w:pPr>
            <w:r>
              <w:t>产出指标</w:t>
            </w:r>
          </w:p>
        </w:tc>
        <w:tc>
          <w:tcPr>
            <w:tcW w:w="2268" w:type="dxa"/>
            <w:vAlign w:val="center"/>
          </w:tcPr>
          <w:p w14:paraId="4CB7F504">
            <w:pPr>
              <w:pStyle w:val="12"/>
            </w:pPr>
            <w:r>
              <w:t>成本指标</w:t>
            </w:r>
          </w:p>
        </w:tc>
        <w:tc>
          <w:tcPr>
            <w:tcW w:w="2835" w:type="dxa"/>
            <w:vAlign w:val="center"/>
          </w:tcPr>
          <w:p w14:paraId="27D70D37">
            <w:pPr>
              <w:pStyle w:val="12"/>
            </w:pPr>
            <w:r>
              <w:t>适龄在园生</w:t>
            </w:r>
          </w:p>
        </w:tc>
        <w:tc>
          <w:tcPr>
            <w:tcW w:w="5386" w:type="dxa"/>
            <w:vAlign w:val="center"/>
          </w:tcPr>
          <w:p w14:paraId="01D786A5">
            <w:pPr>
              <w:pStyle w:val="12"/>
            </w:pPr>
            <w:r>
              <w:t>适龄在园学生人数</w:t>
            </w:r>
          </w:p>
        </w:tc>
        <w:tc>
          <w:tcPr>
            <w:tcW w:w="2268" w:type="dxa"/>
            <w:vAlign w:val="center"/>
          </w:tcPr>
          <w:p w14:paraId="65CA4F45">
            <w:pPr>
              <w:pStyle w:val="12"/>
            </w:pPr>
            <w:r>
              <w:t>558人</w:t>
            </w:r>
          </w:p>
        </w:tc>
        <w:tc>
          <w:tcPr>
            <w:tcW w:w="1276" w:type="dxa"/>
            <w:vAlign w:val="center"/>
          </w:tcPr>
          <w:p w14:paraId="2BB9F989">
            <w:pPr>
              <w:pStyle w:val="12"/>
            </w:pPr>
            <w:r>
              <w:t>学前公用经费管理办法</w:t>
            </w:r>
          </w:p>
        </w:tc>
      </w:tr>
      <w:tr w14:paraId="6D379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10E4A"/>
        </w:tc>
        <w:tc>
          <w:tcPr>
            <w:tcW w:w="2268" w:type="dxa"/>
            <w:vAlign w:val="center"/>
          </w:tcPr>
          <w:p w14:paraId="0FC29AF6">
            <w:pPr>
              <w:pStyle w:val="12"/>
            </w:pPr>
            <w:r>
              <w:t>数量指标</w:t>
            </w:r>
          </w:p>
        </w:tc>
        <w:tc>
          <w:tcPr>
            <w:tcW w:w="2835" w:type="dxa"/>
            <w:vAlign w:val="center"/>
          </w:tcPr>
          <w:p w14:paraId="7BA1834F">
            <w:pPr>
              <w:pStyle w:val="12"/>
            </w:pPr>
            <w:r>
              <w:t>预算控制率</w:t>
            </w:r>
          </w:p>
        </w:tc>
        <w:tc>
          <w:tcPr>
            <w:tcW w:w="5386" w:type="dxa"/>
            <w:vAlign w:val="center"/>
          </w:tcPr>
          <w:p w14:paraId="2982966C">
            <w:pPr>
              <w:pStyle w:val="12"/>
            </w:pPr>
            <w:r>
              <w:t>预算执行</w:t>
            </w:r>
          </w:p>
        </w:tc>
        <w:tc>
          <w:tcPr>
            <w:tcW w:w="2268" w:type="dxa"/>
            <w:vAlign w:val="center"/>
          </w:tcPr>
          <w:p w14:paraId="20DE67C7">
            <w:pPr>
              <w:pStyle w:val="12"/>
            </w:pPr>
            <w:r>
              <w:t>≥95%</w:t>
            </w:r>
          </w:p>
        </w:tc>
        <w:tc>
          <w:tcPr>
            <w:tcW w:w="1276" w:type="dxa"/>
            <w:vAlign w:val="center"/>
          </w:tcPr>
          <w:p w14:paraId="5F9D041F">
            <w:pPr>
              <w:pStyle w:val="12"/>
            </w:pPr>
            <w:r>
              <w:t>学前公用经费管理办法</w:t>
            </w:r>
          </w:p>
        </w:tc>
      </w:tr>
      <w:tr w14:paraId="5470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FFBB6"/>
        </w:tc>
        <w:tc>
          <w:tcPr>
            <w:tcW w:w="2268" w:type="dxa"/>
            <w:vAlign w:val="center"/>
          </w:tcPr>
          <w:p w14:paraId="7925C310">
            <w:pPr>
              <w:pStyle w:val="12"/>
            </w:pPr>
            <w:r>
              <w:t>质量指标</w:t>
            </w:r>
          </w:p>
        </w:tc>
        <w:tc>
          <w:tcPr>
            <w:tcW w:w="2835" w:type="dxa"/>
            <w:vAlign w:val="center"/>
          </w:tcPr>
          <w:p w14:paraId="1DCE952A">
            <w:pPr>
              <w:pStyle w:val="12"/>
            </w:pPr>
            <w:r>
              <w:t>资金支付率</w:t>
            </w:r>
          </w:p>
        </w:tc>
        <w:tc>
          <w:tcPr>
            <w:tcW w:w="5386" w:type="dxa"/>
            <w:vAlign w:val="center"/>
          </w:tcPr>
          <w:p w14:paraId="169BCF91">
            <w:pPr>
              <w:pStyle w:val="12"/>
            </w:pPr>
            <w:r>
              <w:t>按照序时进度完成资金支付</w:t>
            </w:r>
          </w:p>
        </w:tc>
        <w:tc>
          <w:tcPr>
            <w:tcW w:w="2268" w:type="dxa"/>
            <w:vAlign w:val="center"/>
          </w:tcPr>
          <w:p w14:paraId="6402D425">
            <w:pPr>
              <w:pStyle w:val="12"/>
            </w:pPr>
            <w:r>
              <w:t>100%</w:t>
            </w:r>
          </w:p>
        </w:tc>
        <w:tc>
          <w:tcPr>
            <w:tcW w:w="1276" w:type="dxa"/>
            <w:vAlign w:val="center"/>
          </w:tcPr>
          <w:p w14:paraId="6B089CAE">
            <w:pPr>
              <w:pStyle w:val="12"/>
            </w:pPr>
            <w:r>
              <w:t>学前公用经费管理办法</w:t>
            </w:r>
          </w:p>
        </w:tc>
      </w:tr>
      <w:tr w14:paraId="51A0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5F7FD"/>
        </w:tc>
        <w:tc>
          <w:tcPr>
            <w:tcW w:w="2268" w:type="dxa"/>
            <w:vAlign w:val="center"/>
          </w:tcPr>
          <w:p w14:paraId="1ACC08BA">
            <w:pPr>
              <w:pStyle w:val="12"/>
            </w:pPr>
            <w:r>
              <w:t>时效指标</w:t>
            </w:r>
          </w:p>
        </w:tc>
        <w:tc>
          <w:tcPr>
            <w:tcW w:w="2835" w:type="dxa"/>
            <w:vAlign w:val="center"/>
          </w:tcPr>
          <w:p w14:paraId="78CBECF9">
            <w:pPr>
              <w:pStyle w:val="12"/>
            </w:pPr>
            <w:r>
              <w:t>生均拨款标准</w:t>
            </w:r>
          </w:p>
        </w:tc>
        <w:tc>
          <w:tcPr>
            <w:tcW w:w="5386" w:type="dxa"/>
            <w:vAlign w:val="center"/>
          </w:tcPr>
          <w:p w14:paraId="1D2BDCAC">
            <w:pPr>
              <w:pStyle w:val="12"/>
            </w:pPr>
            <w:r>
              <w:t>学前：（基本标准600元/生/学年）</w:t>
            </w:r>
          </w:p>
        </w:tc>
        <w:tc>
          <w:tcPr>
            <w:tcW w:w="2268" w:type="dxa"/>
            <w:vAlign w:val="center"/>
          </w:tcPr>
          <w:p w14:paraId="61F16714">
            <w:pPr>
              <w:pStyle w:val="12"/>
            </w:pPr>
            <w:r>
              <w:t>83700元</w:t>
            </w:r>
          </w:p>
        </w:tc>
        <w:tc>
          <w:tcPr>
            <w:tcW w:w="1276" w:type="dxa"/>
            <w:vAlign w:val="center"/>
          </w:tcPr>
          <w:p w14:paraId="16CDEC75">
            <w:pPr>
              <w:pStyle w:val="12"/>
            </w:pPr>
            <w:r>
              <w:t>学前公用经费管理办法</w:t>
            </w:r>
          </w:p>
        </w:tc>
      </w:tr>
      <w:tr w14:paraId="6C59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D1A60">
            <w:pPr>
              <w:pStyle w:val="13"/>
            </w:pPr>
            <w:r>
              <w:t>效益指标</w:t>
            </w:r>
          </w:p>
        </w:tc>
        <w:tc>
          <w:tcPr>
            <w:tcW w:w="2268" w:type="dxa"/>
            <w:vAlign w:val="center"/>
          </w:tcPr>
          <w:p w14:paraId="4806C16D">
            <w:pPr>
              <w:pStyle w:val="12"/>
            </w:pPr>
            <w:r>
              <w:t>可持续影响指标</w:t>
            </w:r>
          </w:p>
        </w:tc>
        <w:tc>
          <w:tcPr>
            <w:tcW w:w="2835" w:type="dxa"/>
            <w:vAlign w:val="center"/>
          </w:tcPr>
          <w:p w14:paraId="16936A7D">
            <w:pPr>
              <w:pStyle w:val="12"/>
            </w:pPr>
            <w:r>
              <w:t>学校运转得到提升</w:t>
            </w:r>
          </w:p>
        </w:tc>
        <w:tc>
          <w:tcPr>
            <w:tcW w:w="5386" w:type="dxa"/>
            <w:vAlign w:val="center"/>
          </w:tcPr>
          <w:p w14:paraId="76499414">
            <w:pPr>
              <w:pStyle w:val="12"/>
            </w:pPr>
            <w:r>
              <w:t>幼儿受教育年限</w:t>
            </w:r>
          </w:p>
        </w:tc>
        <w:tc>
          <w:tcPr>
            <w:tcW w:w="2268" w:type="dxa"/>
            <w:vAlign w:val="center"/>
          </w:tcPr>
          <w:p w14:paraId="6F7BAD8E">
            <w:pPr>
              <w:pStyle w:val="12"/>
            </w:pPr>
            <w:r>
              <w:t>3年</w:t>
            </w:r>
          </w:p>
        </w:tc>
        <w:tc>
          <w:tcPr>
            <w:tcW w:w="1276" w:type="dxa"/>
            <w:vAlign w:val="center"/>
          </w:tcPr>
          <w:p w14:paraId="5EDCD612">
            <w:pPr>
              <w:pStyle w:val="12"/>
            </w:pPr>
            <w:r>
              <w:t>学前公用经费管理办法</w:t>
            </w:r>
          </w:p>
        </w:tc>
      </w:tr>
      <w:tr w14:paraId="261E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99754">
            <w:pPr>
              <w:pStyle w:val="13"/>
            </w:pPr>
            <w:r>
              <w:t>满意度指标</w:t>
            </w:r>
          </w:p>
        </w:tc>
        <w:tc>
          <w:tcPr>
            <w:tcW w:w="2268" w:type="dxa"/>
            <w:vAlign w:val="center"/>
          </w:tcPr>
          <w:p w14:paraId="7DA49479">
            <w:pPr>
              <w:pStyle w:val="12"/>
            </w:pPr>
            <w:r>
              <w:t>服务对象满意度指标</w:t>
            </w:r>
          </w:p>
        </w:tc>
        <w:tc>
          <w:tcPr>
            <w:tcW w:w="2835" w:type="dxa"/>
            <w:vAlign w:val="center"/>
          </w:tcPr>
          <w:p w14:paraId="4AFD8209">
            <w:pPr>
              <w:pStyle w:val="12"/>
            </w:pPr>
            <w:r>
              <w:t>受益学生家长及调查满意度</w:t>
            </w:r>
          </w:p>
        </w:tc>
        <w:tc>
          <w:tcPr>
            <w:tcW w:w="5386" w:type="dxa"/>
            <w:vAlign w:val="center"/>
          </w:tcPr>
          <w:p w14:paraId="6CE371DF">
            <w:pPr>
              <w:pStyle w:val="12"/>
            </w:pPr>
            <w:r>
              <w:t>学生、教师及家长对学校保教保育工作满意度情况</w:t>
            </w:r>
          </w:p>
        </w:tc>
        <w:tc>
          <w:tcPr>
            <w:tcW w:w="2268" w:type="dxa"/>
            <w:vAlign w:val="center"/>
          </w:tcPr>
          <w:p w14:paraId="21DBBE41">
            <w:pPr>
              <w:pStyle w:val="12"/>
            </w:pPr>
            <w:r>
              <w:t>≥95%</w:t>
            </w:r>
          </w:p>
        </w:tc>
        <w:tc>
          <w:tcPr>
            <w:tcW w:w="1276" w:type="dxa"/>
            <w:vAlign w:val="center"/>
          </w:tcPr>
          <w:p w14:paraId="1532B859">
            <w:pPr>
              <w:pStyle w:val="12"/>
            </w:pPr>
            <w:r>
              <w:t>群众测评</w:t>
            </w:r>
          </w:p>
        </w:tc>
      </w:tr>
    </w:tbl>
    <w:p w14:paraId="123423A6">
      <w:pPr>
        <w:sectPr>
          <w:pgSz w:w="16840" w:h="11900" w:orient="landscape"/>
          <w:pgMar w:top="1361" w:right="1020" w:bottom="1134" w:left="1020" w:header="720" w:footer="720" w:gutter="0"/>
          <w:cols w:space="720" w:num="1"/>
        </w:sectPr>
      </w:pPr>
    </w:p>
    <w:p w14:paraId="1402A920">
      <w:pPr>
        <w:spacing w:before="0" w:after="0"/>
        <w:ind w:firstLine="560"/>
        <w:jc w:val="left"/>
        <w:outlineLvl w:val="9"/>
      </w:pPr>
      <w:r>
        <w:rPr>
          <w:rFonts w:ascii="方正仿宋_GBK" w:hAnsi="方正仿宋_GBK" w:eastAsia="方正仿宋_GBK" w:cs="方正仿宋_GBK"/>
          <w:b/>
          <w:color w:val="000000"/>
          <w:sz w:val="28"/>
        </w:rPr>
        <w:t>21、冀财教[2025]149号/省级/2026年学前发展资金/北楼校区学前教育幼儿资助绩效目标表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70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6CF2A">
            <w:pPr>
              <w:pStyle w:val="11"/>
            </w:pPr>
            <w:r>
              <w:t>单位：万元</w:t>
            </w:r>
          </w:p>
        </w:tc>
      </w:tr>
      <w:tr w14:paraId="3DBB2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7DACD">
            <w:pPr>
              <w:pStyle w:val="10"/>
            </w:pPr>
            <w:r>
              <w:t>项目编码</w:t>
            </w:r>
          </w:p>
        </w:tc>
        <w:tc>
          <w:tcPr>
            <w:tcW w:w="5103" w:type="dxa"/>
            <w:gridSpan w:val="2"/>
            <w:vAlign w:val="center"/>
          </w:tcPr>
          <w:p w14:paraId="6A7B7F6A">
            <w:pPr>
              <w:pStyle w:val="12"/>
            </w:pPr>
            <w:r>
              <w:t>13052526P000002100687</w:t>
            </w:r>
          </w:p>
        </w:tc>
        <w:tc>
          <w:tcPr>
            <w:tcW w:w="2835" w:type="dxa"/>
            <w:vAlign w:val="center"/>
          </w:tcPr>
          <w:p w14:paraId="201E8CD9">
            <w:pPr>
              <w:pStyle w:val="10"/>
            </w:pPr>
            <w:r>
              <w:t>项目名称</w:t>
            </w:r>
          </w:p>
        </w:tc>
        <w:tc>
          <w:tcPr>
            <w:tcW w:w="6095" w:type="dxa"/>
            <w:gridSpan w:val="3"/>
            <w:vAlign w:val="center"/>
          </w:tcPr>
          <w:p w14:paraId="26668AAC">
            <w:pPr>
              <w:pStyle w:val="12"/>
            </w:pPr>
            <w:r>
              <w:t>冀财教[2025]149号/省级/2026年学前发展资金/北楼校区学前教育幼儿资助</w:t>
            </w:r>
          </w:p>
        </w:tc>
      </w:tr>
      <w:tr w14:paraId="54E62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2B6CB">
            <w:pPr>
              <w:pStyle w:val="10"/>
            </w:pPr>
            <w:r>
              <w:t>预算规模及资金用途</w:t>
            </w:r>
          </w:p>
        </w:tc>
        <w:tc>
          <w:tcPr>
            <w:tcW w:w="2268" w:type="dxa"/>
            <w:vAlign w:val="center"/>
          </w:tcPr>
          <w:p w14:paraId="7B30C66F">
            <w:pPr>
              <w:pStyle w:val="10"/>
            </w:pPr>
            <w:r>
              <w:t>预算数</w:t>
            </w:r>
          </w:p>
        </w:tc>
        <w:tc>
          <w:tcPr>
            <w:tcW w:w="2835" w:type="dxa"/>
            <w:vAlign w:val="center"/>
          </w:tcPr>
          <w:p w14:paraId="32DE97D7">
            <w:pPr>
              <w:pStyle w:val="12"/>
            </w:pPr>
            <w:r>
              <w:t>0.86</w:t>
            </w:r>
          </w:p>
        </w:tc>
        <w:tc>
          <w:tcPr>
            <w:tcW w:w="2835" w:type="dxa"/>
            <w:vAlign w:val="center"/>
          </w:tcPr>
          <w:p w14:paraId="6E708354">
            <w:pPr>
              <w:pStyle w:val="10"/>
            </w:pPr>
            <w:r>
              <w:t>其中：财政    资金</w:t>
            </w:r>
          </w:p>
        </w:tc>
        <w:tc>
          <w:tcPr>
            <w:tcW w:w="2551" w:type="dxa"/>
            <w:vAlign w:val="center"/>
          </w:tcPr>
          <w:p w14:paraId="017F6998">
            <w:pPr>
              <w:pStyle w:val="12"/>
            </w:pPr>
            <w:r>
              <w:t>0.86</w:t>
            </w:r>
          </w:p>
        </w:tc>
        <w:tc>
          <w:tcPr>
            <w:tcW w:w="2268" w:type="dxa"/>
            <w:vAlign w:val="center"/>
          </w:tcPr>
          <w:p w14:paraId="6FEA3015">
            <w:pPr>
              <w:pStyle w:val="10"/>
            </w:pPr>
            <w:r>
              <w:t>其他资金</w:t>
            </w:r>
          </w:p>
        </w:tc>
        <w:tc>
          <w:tcPr>
            <w:tcW w:w="1276" w:type="dxa"/>
            <w:vAlign w:val="center"/>
          </w:tcPr>
          <w:p w14:paraId="08859A7A">
            <w:pPr>
              <w:pStyle w:val="12"/>
            </w:pPr>
            <w:r>
              <w:t xml:space="preserve"> </w:t>
            </w:r>
          </w:p>
        </w:tc>
      </w:tr>
      <w:tr w14:paraId="1A24B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8DAB1"/>
        </w:tc>
        <w:tc>
          <w:tcPr>
            <w:tcW w:w="14033" w:type="dxa"/>
            <w:gridSpan w:val="6"/>
            <w:vAlign w:val="center"/>
          </w:tcPr>
          <w:p w14:paraId="5968E297">
            <w:pPr>
              <w:pStyle w:val="12"/>
            </w:pPr>
            <w:r>
              <w:t>保证本年度资助经费足额落实到位，符合享受资助条件的学生应助尽助。</w:t>
            </w:r>
            <w:r>
              <w:tab/>
            </w:r>
            <w:r>
              <w:tab/>
            </w:r>
            <w:r>
              <w:tab/>
            </w:r>
            <w:r>
              <w:tab/>
            </w:r>
            <w:r>
              <w:tab/>
            </w:r>
            <w:r>
              <w:tab/>
            </w:r>
          </w:p>
          <w:p w14:paraId="0789D6B3">
            <w:pPr>
              <w:pStyle w:val="12"/>
            </w:pPr>
          </w:p>
        </w:tc>
      </w:tr>
      <w:tr w14:paraId="3C844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00072">
            <w:pPr>
              <w:pStyle w:val="10"/>
            </w:pPr>
            <w:r>
              <w:t>资金支出计划（%）</w:t>
            </w:r>
          </w:p>
        </w:tc>
        <w:tc>
          <w:tcPr>
            <w:tcW w:w="5103" w:type="dxa"/>
            <w:gridSpan w:val="2"/>
            <w:vAlign w:val="center"/>
          </w:tcPr>
          <w:p w14:paraId="6C59DE84">
            <w:pPr>
              <w:pStyle w:val="10"/>
            </w:pPr>
            <w:r>
              <w:t>3月底</w:t>
            </w:r>
          </w:p>
        </w:tc>
        <w:tc>
          <w:tcPr>
            <w:tcW w:w="2835" w:type="dxa"/>
            <w:vAlign w:val="center"/>
          </w:tcPr>
          <w:p w14:paraId="36E76EAB">
            <w:pPr>
              <w:pStyle w:val="10"/>
            </w:pPr>
            <w:r>
              <w:t>6月底</w:t>
            </w:r>
          </w:p>
        </w:tc>
        <w:tc>
          <w:tcPr>
            <w:tcW w:w="2551" w:type="dxa"/>
            <w:vAlign w:val="center"/>
          </w:tcPr>
          <w:p w14:paraId="35591FE0">
            <w:pPr>
              <w:pStyle w:val="10"/>
            </w:pPr>
            <w:r>
              <w:t>10月底</w:t>
            </w:r>
          </w:p>
        </w:tc>
        <w:tc>
          <w:tcPr>
            <w:tcW w:w="3544" w:type="dxa"/>
            <w:gridSpan w:val="2"/>
            <w:vAlign w:val="center"/>
          </w:tcPr>
          <w:p w14:paraId="7E07CAF5">
            <w:pPr>
              <w:pStyle w:val="10"/>
            </w:pPr>
            <w:r>
              <w:t>12月底</w:t>
            </w:r>
          </w:p>
        </w:tc>
      </w:tr>
      <w:tr w14:paraId="2B57C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B55AB"/>
        </w:tc>
        <w:tc>
          <w:tcPr>
            <w:tcW w:w="5103" w:type="dxa"/>
            <w:gridSpan w:val="2"/>
            <w:vAlign w:val="center"/>
          </w:tcPr>
          <w:p w14:paraId="75594715">
            <w:pPr>
              <w:pStyle w:val="13"/>
            </w:pPr>
            <w:r>
              <w:t xml:space="preserve"> </w:t>
            </w:r>
          </w:p>
        </w:tc>
        <w:tc>
          <w:tcPr>
            <w:tcW w:w="2835" w:type="dxa"/>
            <w:vAlign w:val="center"/>
          </w:tcPr>
          <w:p w14:paraId="65BC2BFD">
            <w:pPr>
              <w:pStyle w:val="13"/>
            </w:pPr>
            <w:r>
              <w:t>50%</w:t>
            </w:r>
          </w:p>
        </w:tc>
        <w:tc>
          <w:tcPr>
            <w:tcW w:w="2551" w:type="dxa"/>
            <w:vAlign w:val="center"/>
          </w:tcPr>
          <w:p w14:paraId="5052445B">
            <w:pPr>
              <w:pStyle w:val="13"/>
            </w:pPr>
            <w:r>
              <w:t>50%</w:t>
            </w:r>
          </w:p>
        </w:tc>
        <w:tc>
          <w:tcPr>
            <w:tcW w:w="3544" w:type="dxa"/>
            <w:gridSpan w:val="2"/>
            <w:vAlign w:val="center"/>
          </w:tcPr>
          <w:p w14:paraId="4EE90750">
            <w:pPr>
              <w:pStyle w:val="13"/>
            </w:pPr>
            <w:r>
              <w:t>100%</w:t>
            </w:r>
          </w:p>
        </w:tc>
      </w:tr>
      <w:tr w14:paraId="0E8BD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9DCAF">
            <w:pPr>
              <w:pStyle w:val="10"/>
            </w:pPr>
            <w:r>
              <w:t>绩效目标</w:t>
            </w:r>
          </w:p>
        </w:tc>
        <w:tc>
          <w:tcPr>
            <w:tcW w:w="14033" w:type="dxa"/>
            <w:gridSpan w:val="6"/>
            <w:vAlign w:val="center"/>
          </w:tcPr>
          <w:p w14:paraId="3CB14DB9">
            <w:pPr>
              <w:pStyle w:val="12"/>
            </w:pPr>
            <w:r>
              <w:t>1.保证本年度资助经费足额落实到位，符合享受资助条件的学生应助尽助。</w:t>
            </w:r>
          </w:p>
        </w:tc>
      </w:tr>
    </w:tbl>
    <w:p w14:paraId="60100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AC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72966">
            <w:pPr>
              <w:pStyle w:val="10"/>
            </w:pPr>
            <w:r>
              <w:t>一级指标</w:t>
            </w:r>
          </w:p>
        </w:tc>
        <w:tc>
          <w:tcPr>
            <w:tcW w:w="2268" w:type="dxa"/>
            <w:vAlign w:val="center"/>
          </w:tcPr>
          <w:p w14:paraId="0495531F">
            <w:pPr>
              <w:pStyle w:val="10"/>
            </w:pPr>
            <w:r>
              <w:t>二级指标</w:t>
            </w:r>
          </w:p>
        </w:tc>
        <w:tc>
          <w:tcPr>
            <w:tcW w:w="2835" w:type="dxa"/>
            <w:vAlign w:val="center"/>
          </w:tcPr>
          <w:p w14:paraId="2A8C4D92">
            <w:pPr>
              <w:pStyle w:val="10"/>
            </w:pPr>
            <w:r>
              <w:t>三级指标</w:t>
            </w:r>
          </w:p>
        </w:tc>
        <w:tc>
          <w:tcPr>
            <w:tcW w:w="5386" w:type="dxa"/>
            <w:vAlign w:val="center"/>
          </w:tcPr>
          <w:p w14:paraId="3AF21464">
            <w:pPr>
              <w:pStyle w:val="10"/>
            </w:pPr>
            <w:r>
              <w:t>绩效指标描述</w:t>
            </w:r>
          </w:p>
        </w:tc>
        <w:tc>
          <w:tcPr>
            <w:tcW w:w="2268" w:type="dxa"/>
            <w:vAlign w:val="center"/>
          </w:tcPr>
          <w:p w14:paraId="69B61509">
            <w:pPr>
              <w:pStyle w:val="10"/>
            </w:pPr>
            <w:r>
              <w:t>指标值</w:t>
            </w:r>
          </w:p>
        </w:tc>
        <w:tc>
          <w:tcPr>
            <w:tcW w:w="1276" w:type="dxa"/>
            <w:vAlign w:val="center"/>
          </w:tcPr>
          <w:p w14:paraId="2F292F1C">
            <w:pPr>
              <w:pStyle w:val="10"/>
            </w:pPr>
            <w:r>
              <w:t>指标值确定依据</w:t>
            </w:r>
          </w:p>
        </w:tc>
      </w:tr>
      <w:tr w14:paraId="2E65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C39A9">
            <w:pPr>
              <w:pStyle w:val="13"/>
            </w:pPr>
            <w:r>
              <w:t>产出指标</w:t>
            </w:r>
          </w:p>
        </w:tc>
        <w:tc>
          <w:tcPr>
            <w:tcW w:w="2268" w:type="dxa"/>
            <w:vAlign w:val="center"/>
          </w:tcPr>
          <w:p w14:paraId="7927C388">
            <w:pPr>
              <w:pStyle w:val="12"/>
            </w:pPr>
            <w:r>
              <w:t>数量指标</w:t>
            </w:r>
          </w:p>
        </w:tc>
        <w:tc>
          <w:tcPr>
            <w:tcW w:w="2835" w:type="dxa"/>
            <w:vAlign w:val="center"/>
          </w:tcPr>
          <w:p w14:paraId="5779F4E5">
            <w:pPr>
              <w:pStyle w:val="12"/>
            </w:pPr>
            <w:r>
              <w:t xml:space="preserve"> 幼儿资助人数</w:t>
            </w:r>
          </w:p>
        </w:tc>
        <w:tc>
          <w:tcPr>
            <w:tcW w:w="5386" w:type="dxa"/>
            <w:vAlign w:val="center"/>
          </w:tcPr>
          <w:p w14:paraId="53EDD9F2">
            <w:pPr>
              <w:pStyle w:val="12"/>
            </w:pPr>
            <w:r>
              <w:t>按学前适龄在园儿童10%测算</w:t>
            </w:r>
          </w:p>
        </w:tc>
        <w:tc>
          <w:tcPr>
            <w:tcW w:w="2268" w:type="dxa"/>
            <w:vAlign w:val="center"/>
          </w:tcPr>
          <w:p w14:paraId="187241D1">
            <w:pPr>
              <w:pStyle w:val="12"/>
            </w:pPr>
            <w:r>
              <w:t>47%</w:t>
            </w:r>
          </w:p>
        </w:tc>
        <w:tc>
          <w:tcPr>
            <w:tcW w:w="1276" w:type="dxa"/>
            <w:vAlign w:val="center"/>
          </w:tcPr>
          <w:p w14:paraId="15F124F6">
            <w:pPr>
              <w:pStyle w:val="12"/>
            </w:pPr>
            <w:r>
              <w:t>幼儿资助经费管理办法</w:t>
            </w:r>
          </w:p>
        </w:tc>
      </w:tr>
      <w:tr w14:paraId="618F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8606A"/>
        </w:tc>
        <w:tc>
          <w:tcPr>
            <w:tcW w:w="2268" w:type="dxa"/>
            <w:vAlign w:val="center"/>
          </w:tcPr>
          <w:p w14:paraId="1C2C6193">
            <w:pPr>
              <w:pStyle w:val="12"/>
            </w:pPr>
            <w:r>
              <w:t>质量指标</w:t>
            </w:r>
          </w:p>
        </w:tc>
        <w:tc>
          <w:tcPr>
            <w:tcW w:w="2835" w:type="dxa"/>
            <w:vAlign w:val="center"/>
          </w:tcPr>
          <w:p w14:paraId="40E35A32">
            <w:pPr>
              <w:pStyle w:val="12"/>
            </w:pPr>
            <w:r>
              <w:t>资助资金使用率</w:t>
            </w:r>
          </w:p>
        </w:tc>
        <w:tc>
          <w:tcPr>
            <w:tcW w:w="5386" w:type="dxa"/>
            <w:vAlign w:val="center"/>
          </w:tcPr>
          <w:p w14:paraId="2105B859">
            <w:pPr>
              <w:pStyle w:val="12"/>
            </w:pPr>
            <w:r>
              <w:t>符合享受资助条件的学生应助尽助</w:t>
            </w:r>
          </w:p>
        </w:tc>
        <w:tc>
          <w:tcPr>
            <w:tcW w:w="2268" w:type="dxa"/>
            <w:vAlign w:val="center"/>
          </w:tcPr>
          <w:p w14:paraId="4430B9FC">
            <w:pPr>
              <w:pStyle w:val="12"/>
            </w:pPr>
            <w:r>
              <w:t>100%</w:t>
            </w:r>
          </w:p>
        </w:tc>
        <w:tc>
          <w:tcPr>
            <w:tcW w:w="1276" w:type="dxa"/>
            <w:vAlign w:val="center"/>
          </w:tcPr>
          <w:p w14:paraId="7DABFBBF">
            <w:pPr>
              <w:pStyle w:val="12"/>
            </w:pPr>
            <w:r>
              <w:t>幼儿资助经费管理办法</w:t>
            </w:r>
          </w:p>
        </w:tc>
      </w:tr>
      <w:tr w14:paraId="4974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04400"/>
        </w:tc>
        <w:tc>
          <w:tcPr>
            <w:tcW w:w="2268" w:type="dxa"/>
            <w:vAlign w:val="center"/>
          </w:tcPr>
          <w:p w14:paraId="6BCB76B7">
            <w:pPr>
              <w:pStyle w:val="12"/>
            </w:pPr>
            <w:r>
              <w:t>时效指标</w:t>
            </w:r>
          </w:p>
        </w:tc>
        <w:tc>
          <w:tcPr>
            <w:tcW w:w="2835" w:type="dxa"/>
            <w:vAlign w:val="center"/>
          </w:tcPr>
          <w:p w14:paraId="4ABD1750">
            <w:pPr>
              <w:pStyle w:val="12"/>
            </w:pPr>
            <w:r>
              <w:t>资金拨付率</w:t>
            </w:r>
          </w:p>
        </w:tc>
        <w:tc>
          <w:tcPr>
            <w:tcW w:w="5386" w:type="dxa"/>
            <w:vAlign w:val="center"/>
          </w:tcPr>
          <w:p w14:paraId="07B36CBC">
            <w:pPr>
              <w:pStyle w:val="12"/>
            </w:pPr>
            <w:r>
              <w:t>所有项目资金支付进度</w:t>
            </w:r>
          </w:p>
        </w:tc>
        <w:tc>
          <w:tcPr>
            <w:tcW w:w="2268" w:type="dxa"/>
            <w:vAlign w:val="center"/>
          </w:tcPr>
          <w:p w14:paraId="74F9C482">
            <w:pPr>
              <w:pStyle w:val="12"/>
            </w:pPr>
            <w:r>
              <w:t>100%</w:t>
            </w:r>
          </w:p>
        </w:tc>
        <w:tc>
          <w:tcPr>
            <w:tcW w:w="1276" w:type="dxa"/>
            <w:vAlign w:val="center"/>
          </w:tcPr>
          <w:p w14:paraId="2D1EA5F6">
            <w:pPr>
              <w:pStyle w:val="12"/>
            </w:pPr>
            <w:r>
              <w:t>幼儿资助经费管理办法</w:t>
            </w:r>
          </w:p>
        </w:tc>
      </w:tr>
      <w:tr w14:paraId="0FF2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2E4A1"/>
        </w:tc>
        <w:tc>
          <w:tcPr>
            <w:tcW w:w="2268" w:type="dxa"/>
            <w:vAlign w:val="center"/>
          </w:tcPr>
          <w:p w14:paraId="3617B55F">
            <w:pPr>
              <w:pStyle w:val="12"/>
            </w:pPr>
            <w:r>
              <w:t>成本指标</w:t>
            </w:r>
          </w:p>
        </w:tc>
        <w:tc>
          <w:tcPr>
            <w:tcW w:w="2835" w:type="dxa"/>
            <w:vAlign w:val="center"/>
          </w:tcPr>
          <w:p w14:paraId="61F112CB">
            <w:pPr>
              <w:pStyle w:val="12"/>
            </w:pPr>
            <w:r>
              <w:t>幼儿园生均成本</w:t>
            </w:r>
          </w:p>
        </w:tc>
        <w:tc>
          <w:tcPr>
            <w:tcW w:w="5386" w:type="dxa"/>
            <w:vAlign w:val="center"/>
          </w:tcPr>
          <w:p w14:paraId="6EF719E4">
            <w:pPr>
              <w:pStyle w:val="12"/>
            </w:pPr>
            <w:r>
              <w:t>按照幼儿园资助标准1000元/生/年</w:t>
            </w:r>
          </w:p>
        </w:tc>
        <w:tc>
          <w:tcPr>
            <w:tcW w:w="2268" w:type="dxa"/>
            <w:vAlign w:val="center"/>
          </w:tcPr>
          <w:p w14:paraId="0C38B710">
            <w:pPr>
              <w:pStyle w:val="12"/>
            </w:pPr>
            <w:r>
              <w:t>1000元</w:t>
            </w:r>
          </w:p>
        </w:tc>
        <w:tc>
          <w:tcPr>
            <w:tcW w:w="1276" w:type="dxa"/>
            <w:vAlign w:val="center"/>
          </w:tcPr>
          <w:p w14:paraId="3DBBE5E6">
            <w:pPr>
              <w:pStyle w:val="12"/>
            </w:pPr>
            <w:r>
              <w:t>幼儿资助经费管理办法</w:t>
            </w:r>
          </w:p>
        </w:tc>
      </w:tr>
      <w:tr w14:paraId="2BE1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79B3E">
            <w:pPr>
              <w:pStyle w:val="13"/>
            </w:pPr>
            <w:r>
              <w:t>效益指标</w:t>
            </w:r>
          </w:p>
        </w:tc>
        <w:tc>
          <w:tcPr>
            <w:tcW w:w="2268" w:type="dxa"/>
            <w:vAlign w:val="center"/>
          </w:tcPr>
          <w:p w14:paraId="1EDB4B62">
            <w:pPr>
              <w:pStyle w:val="12"/>
            </w:pPr>
            <w:r>
              <w:t>可持续影响指标</w:t>
            </w:r>
          </w:p>
        </w:tc>
        <w:tc>
          <w:tcPr>
            <w:tcW w:w="2835" w:type="dxa"/>
            <w:vAlign w:val="center"/>
          </w:tcPr>
          <w:p w14:paraId="69D89ABB">
            <w:pPr>
              <w:pStyle w:val="12"/>
            </w:pPr>
            <w:r>
              <w:t>幼儿园正常运转</w:t>
            </w:r>
          </w:p>
        </w:tc>
        <w:tc>
          <w:tcPr>
            <w:tcW w:w="5386" w:type="dxa"/>
            <w:vAlign w:val="center"/>
          </w:tcPr>
          <w:p w14:paraId="6779BD56">
            <w:pPr>
              <w:pStyle w:val="12"/>
            </w:pPr>
            <w:r>
              <w:t>幼儿受教育年限</w:t>
            </w:r>
          </w:p>
        </w:tc>
        <w:tc>
          <w:tcPr>
            <w:tcW w:w="2268" w:type="dxa"/>
            <w:vAlign w:val="center"/>
          </w:tcPr>
          <w:p w14:paraId="4A2ADA9F">
            <w:pPr>
              <w:pStyle w:val="12"/>
            </w:pPr>
            <w:r>
              <w:t>3年</w:t>
            </w:r>
          </w:p>
        </w:tc>
        <w:tc>
          <w:tcPr>
            <w:tcW w:w="1276" w:type="dxa"/>
            <w:vAlign w:val="center"/>
          </w:tcPr>
          <w:p w14:paraId="3EE9790B">
            <w:pPr>
              <w:pStyle w:val="12"/>
            </w:pPr>
            <w:r>
              <w:t>幼儿资助经费管理办法</w:t>
            </w:r>
          </w:p>
        </w:tc>
      </w:tr>
      <w:tr w14:paraId="56ED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FA62A">
            <w:pPr>
              <w:pStyle w:val="13"/>
            </w:pPr>
            <w:r>
              <w:t>满意度指标</w:t>
            </w:r>
          </w:p>
        </w:tc>
        <w:tc>
          <w:tcPr>
            <w:tcW w:w="2268" w:type="dxa"/>
            <w:vAlign w:val="center"/>
          </w:tcPr>
          <w:p w14:paraId="18A9A112">
            <w:pPr>
              <w:pStyle w:val="12"/>
            </w:pPr>
            <w:r>
              <w:t>服务对象满意度指标</w:t>
            </w:r>
          </w:p>
        </w:tc>
        <w:tc>
          <w:tcPr>
            <w:tcW w:w="2835" w:type="dxa"/>
            <w:vAlign w:val="center"/>
          </w:tcPr>
          <w:p w14:paraId="63EFAE2D">
            <w:pPr>
              <w:pStyle w:val="12"/>
            </w:pPr>
            <w:r>
              <w:t>受益幼儿家长及调查满意度</w:t>
            </w:r>
          </w:p>
        </w:tc>
        <w:tc>
          <w:tcPr>
            <w:tcW w:w="5386" w:type="dxa"/>
            <w:vAlign w:val="center"/>
          </w:tcPr>
          <w:p w14:paraId="511911D9">
            <w:pPr>
              <w:pStyle w:val="12"/>
            </w:pPr>
            <w:r>
              <w:t>学生、教师及家长对学校保教保育工作满意度情况</w:t>
            </w:r>
          </w:p>
        </w:tc>
        <w:tc>
          <w:tcPr>
            <w:tcW w:w="2268" w:type="dxa"/>
            <w:vAlign w:val="center"/>
          </w:tcPr>
          <w:p w14:paraId="50D1B20D">
            <w:pPr>
              <w:pStyle w:val="12"/>
            </w:pPr>
            <w:r>
              <w:t>≥95%</w:t>
            </w:r>
          </w:p>
        </w:tc>
        <w:tc>
          <w:tcPr>
            <w:tcW w:w="1276" w:type="dxa"/>
            <w:vAlign w:val="center"/>
          </w:tcPr>
          <w:p w14:paraId="1445A28A">
            <w:pPr>
              <w:pStyle w:val="12"/>
            </w:pPr>
            <w:r>
              <w:t>幼儿资助经费管理办法</w:t>
            </w:r>
          </w:p>
        </w:tc>
      </w:tr>
    </w:tbl>
    <w:p w14:paraId="1F19999D">
      <w:pPr>
        <w:sectPr>
          <w:pgSz w:w="16840" w:h="11900" w:orient="landscape"/>
          <w:pgMar w:top="1361" w:right="1020" w:bottom="1134" w:left="1020" w:header="720" w:footer="720" w:gutter="0"/>
          <w:cols w:space="720" w:num="1"/>
        </w:sectPr>
      </w:pPr>
    </w:p>
    <w:p w14:paraId="0550FA6F">
      <w:pPr>
        <w:spacing w:before="0" w:after="0"/>
        <w:ind w:firstLine="560"/>
        <w:jc w:val="left"/>
        <w:outlineLvl w:val="9"/>
      </w:pPr>
      <w:r>
        <w:rPr>
          <w:rFonts w:ascii="方正仿宋_GBK" w:hAnsi="方正仿宋_GBK" w:eastAsia="方正仿宋_GBK" w:cs="方正仿宋_GBK"/>
          <w:b/>
          <w:color w:val="000000"/>
          <w:sz w:val="28"/>
        </w:rPr>
        <w:t>22、冀财教[2025]149号/省级/2026年学前发展资金/北楼校区幼儿园免保育教育费补助绩效目标表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CD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BCEDD">
            <w:pPr>
              <w:pStyle w:val="11"/>
            </w:pPr>
            <w:r>
              <w:t>单位：万元</w:t>
            </w:r>
          </w:p>
        </w:tc>
      </w:tr>
      <w:tr w14:paraId="02CF5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C8D7C">
            <w:pPr>
              <w:pStyle w:val="10"/>
            </w:pPr>
            <w:r>
              <w:t>项目编码</w:t>
            </w:r>
          </w:p>
        </w:tc>
        <w:tc>
          <w:tcPr>
            <w:tcW w:w="5103" w:type="dxa"/>
            <w:gridSpan w:val="2"/>
            <w:vAlign w:val="center"/>
          </w:tcPr>
          <w:p w14:paraId="2E6EF322">
            <w:pPr>
              <w:pStyle w:val="12"/>
            </w:pPr>
            <w:r>
              <w:t>13052526P008769101519</w:t>
            </w:r>
          </w:p>
        </w:tc>
        <w:tc>
          <w:tcPr>
            <w:tcW w:w="2835" w:type="dxa"/>
            <w:vAlign w:val="center"/>
          </w:tcPr>
          <w:p w14:paraId="011B29E9">
            <w:pPr>
              <w:pStyle w:val="10"/>
            </w:pPr>
            <w:r>
              <w:t>项目名称</w:t>
            </w:r>
          </w:p>
        </w:tc>
        <w:tc>
          <w:tcPr>
            <w:tcW w:w="6095" w:type="dxa"/>
            <w:gridSpan w:val="3"/>
            <w:vAlign w:val="center"/>
          </w:tcPr>
          <w:p w14:paraId="00DC5950">
            <w:pPr>
              <w:pStyle w:val="12"/>
            </w:pPr>
            <w:r>
              <w:t>冀财教[2025]149号/省级/2026年学前发展资金/北楼校区幼儿园免保育教育费补助</w:t>
            </w:r>
          </w:p>
        </w:tc>
      </w:tr>
      <w:tr w14:paraId="51782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89029">
            <w:pPr>
              <w:pStyle w:val="10"/>
            </w:pPr>
            <w:r>
              <w:t>预算规模及资金用途</w:t>
            </w:r>
          </w:p>
        </w:tc>
        <w:tc>
          <w:tcPr>
            <w:tcW w:w="2268" w:type="dxa"/>
            <w:vAlign w:val="center"/>
          </w:tcPr>
          <w:p w14:paraId="3576A296">
            <w:pPr>
              <w:pStyle w:val="10"/>
            </w:pPr>
            <w:r>
              <w:t>预算数</w:t>
            </w:r>
          </w:p>
        </w:tc>
        <w:tc>
          <w:tcPr>
            <w:tcW w:w="2835" w:type="dxa"/>
            <w:vAlign w:val="center"/>
          </w:tcPr>
          <w:p w14:paraId="1D2E5E21">
            <w:pPr>
              <w:pStyle w:val="12"/>
            </w:pPr>
            <w:r>
              <w:t>9.90</w:t>
            </w:r>
          </w:p>
        </w:tc>
        <w:tc>
          <w:tcPr>
            <w:tcW w:w="2835" w:type="dxa"/>
            <w:vAlign w:val="center"/>
          </w:tcPr>
          <w:p w14:paraId="380BEE56">
            <w:pPr>
              <w:pStyle w:val="10"/>
            </w:pPr>
            <w:r>
              <w:t>其中：财政    资金</w:t>
            </w:r>
          </w:p>
        </w:tc>
        <w:tc>
          <w:tcPr>
            <w:tcW w:w="2551" w:type="dxa"/>
            <w:vAlign w:val="center"/>
          </w:tcPr>
          <w:p w14:paraId="7194A458">
            <w:pPr>
              <w:pStyle w:val="12"/>
            </w:pPr>
            <w:r>
              <w:t>9.90</w:t>
            </w:r>
          </w:p>
        </w:tc>
        <w:tc>
          <w:tcPr>
            <w:tcW w:w="2268" w:type="dxa"/>
            <w:vAlign w:val="center"/>
          </w:tcPr>
          <w:p w14:paraId="75087A1C">
            <w:pPr>
              <w:pStyle w:val="10"/>
            </w:pPr>
            <w:r>
              <w:t>其他资金</w:t>
            </w:r>
          </w:p>
        </w:tc>
        <w:tc>
          <w:tcPr>
            <w:tcW w:w="1276" w:type="dxa"/>
            <w:vAlign w:val="center"/>
          </w:tcPr>
          <w:p w14:paraId="53C35E50">
            <w:pPr>
              <w:pStyle w:val="12"/>
            </w:pPr>
            <w:r>
              <w:t xml:space="preserve"> </w:t>
            </w:r>
          </w:p>
        </w:tc>
      </w:tr>
      <w:tr w14:paraId="7F511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7B220"/>
        </w:tc>
        <w:tc>
          <w:tcPr>
            <w:tcW w:w="14033" w:type="dxa"/>
            <w:gridSpan w:val="6"/>
            <w:vAlign w:val="center"/>
          </w:tcPr>
          <w:p w14:paraId="0C05448D">
            <w:pPr>
              <w:pStyle w:val="12"/>
            </w:pPr>
            <w:r>
              <w:rPr>
                <w:rFonts w:hint="eastAsia"/>
                <w:lang w:eastAsia="zh-CN"/>
              </w:rPr>
              <w:t>”</w:t>
            </w:r>
            <w:r>
              <w:t>保障幼儿园正常运转，完成教育教学活动和其他日常工作任务等方面的费用支出。</w:t>
            </w:r>
            <w:r>
              <w:tab/>
            </w:r>
            <w:r>
              <w:t>"</w:t>
            </w:r>
            <w:r>
              <w:tab/>
            </w:r>
            <w:r>
              <w:tab/>
            </w:r>
            <w:r>
              <w:tab/>
            </w:r>
            <w:r>
              <w:tab/>
            </w:r>
            <w:r>
              <w:tab/>
            </w:r>
            <w:r>
              <w:tab/>
            </w:r>
          </w:p>
          <w:p w14:paraId="42ACDBF1">
            <w:pPr>
              <w:pStyle w:val="12"/>
            </w:pPr>
          </w:p>
        </w:tc>
      </w:tr>
      <w:tr w14:paraId="587A9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6F859">
            <w:pPr>
              <w:pStyle w:val="10"/>
            </w:pPr>
            <w:r>
              <w:t>资金支出计划（%）</w:t>
            </w:r>
          </w:p>
        </w:tc>
        <w:tc>
          <w:tcPr>
            <w:tcW w:w="5103" w:type="dxa"/>
            <w:gridSpan w:val="2"/>
            <w:vAlign w:val="center"/>
          </w:tcPr>
          <w:p w14:paraId="47C99F3A">
            <w:pPr>
              <w:pStyle w:val="10"/>
            </w:pPr>
            <w:r>
              <w:t>3月底</w:t>
            </w:r>
          </w:p>
        </w:tc>
        <w:tc>
          <w:tcPr>
            <w:tcW w:w="2835" w:type="dxa"/>
            <w:vAlign w:val="center"/>
          </w:tcPr>
          <w:p w14:paraId="3D823023">
            <w:pPr>
              <w:pStyle w:val="10"/>
            </w:pPr>
            <w:r>
              <w:t>6月底</w:t>
            </w:r>
          </w:p>
        </w:tc>
        <w:tc>
          <w:tcPr>
            <w:tcW w:w="2551" w:type="dxa"/>
            <w:vAlign w:val="center"/>
          </w:tcPr>
          <w:p w14:paraId="242F1AB2">
            <w:pPr>
              <w:pStyle w:val="10"/>
            </w:pPr>
            <w:r>
              <w:t>10月底</w:t>
            </w:r>
          </w:p>
        </w:tc>
        <w:tc>
          <w:tcPr>
            <w:tcW w:w="3544" w:type="dxa"/>
            <w:gridSpan w:val="2"/>
            <w:vAlign w:val="center"/>
          </w:tcPr>
          <w:p w14:paraId="0B01F95B">
            <w:pPr>
              <w:pStyle w:val="10"/>
            </w:pPr>
            <w:r>
              <w:t>12月底</w:t>
            </w:r>
          </w:p>
        </w:tc>
      </w:tr>
      <w:tr w14:paraId="104D4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9C513"/>
        </w:tc>
        <w:tc>
          <w:tcPr>
            <w:tcW w:w="5103" w:type="dxa"/>
            <w:gridSpan w:val="2"/>
            <w:vAlign w:val="center"/>
          </w:tcPr>
          <w:p w14:paraId="0B7B96F6">
            <w:pPr>
              <w:pStyle w:val="13"/>
            </w:pPr>
            <w:r>
              <w:t>25%</w:t>
            </w:r>
          </w:p>
        </w:tc>
        <w:tc>
          <w:tcPr>
            <w:tcW w:w="2835" w:type="dxa"/>
            <w:vAlign w:val="center"/>
          </w:tcPr>
          <w:p w14:paraId="6F1CB5D1">
            <w:pPr>
              <w:pStyle w:val="13"/>
            </w:pPr>
            <w:r>
              <w:t>50%</w:t>
            </w:r>
          </w:p>
        </w:tc>
        <w:tc>
          <w:tcPr>
            <w:tcW w:w="2551" w:type="dxa"/>
            <w:vAlign w:val="center"/>
          </w:tcPr>
          <w:p w14:paraId="1E7C5A85">
            <w:pPr>
              <w:pStyle w:val="13"/>
            </w:pPr>
            <w:r>
              <w:t>75%</w:t>
            </w:r>
          </w:p>
        </w:tc>
        <w:tc>
          <w:tcPr>
            <w:tcW w:w="3544" w:type="dxa"/>
            <w:gridSpan w:val="2"/>
            <w:vAlign w:val="center"/>
          </w:tcPr>
          <w:p w14:paraId="45433DF9">
            <w:pPr>
              <w:pStyle w:val="13"/>
            </w:pPr>
            <w:r>
              <w:t>100%</w:t>
            </w:r>
          </w:p>
        </w:tc>
      </w:tr>
      <w:tr w14:paraId="344D8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4C2E9">
            <w:pPr>
              <w:pStyle w:val="10"/>
            </w:pPr>
            <w:r>
              <w:t>绩效目标</w:t>
            </w:r>
          </w:p>
        </w:tc>
        <w:tc>
          <w:tcPr>
            <w:tcW w:w="14033" w:type="dxa"/>
            <w:gridSpan w:val="6"/>
            <w:vAlign w:val="center"/>
          </w:tcPr>
          <w:p w14:paraId="37C3ADFD">
            <w:pPr>
              <w:pStyle w:val="12"/>
            </w:pPr>
            <w:r>
              <w:t>1.保障幼儿园正常运转，完成教育教学活动和其他日常工作任务等方面的费用支出。</w:t>
            </w:r>
            <w:r>
              <w:tab/>
            </w:r>
          </w:p>
        </w:tc>
      </w:tr>
    </w:tbl>
    <w:p w14:paraId="7FFCB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F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C7051">
            <w:pPr>
              <w:pStyle w:val="10"/>
            </w:pPr>
            <w:r>
              <w:t>一级指标</w:t>
            </w:r>
          </w:p>
        </w:tc>
        <w:tc>
          <w:tcPr>
            <w:tcW w:w="2268" w:type="dxa"/>
            <w:vAlign w:val="center"/>
          </w:tcPr>
          <w:p w14:paraId="16D941B3">
            <w:pPr>
              <w:pStyle w:val="10"/>
            </w:pPr>
            <w:r>
              <w:t>二级指标</w:t>
            </w:r>
          </w:p>
        </w:tc>
        <w:tc>
          <w:tcPr>
            <w:tcW w:w="2835" w:type="dxa"/>
            <w:vAlign w:val="center"/>
          </w:tcPr>
          <w:p w14:paraId="531DF513">
            <w:pPr>
              <w:pStyle w:val="10"/>
            </w:pPr>
            <w:r>
              <w:t>三级指标</w:t>
            </w:r>
          </w:p>
        </w:tc>
        <w:tc>
          <w:tcPr>
            <w:tcW w:w="5386" w:type="dxa"/>
            <w:vAlign w:val="center"/>
          </w:tcPr>
          <w:p w14:paraId="0776DDB7">
            <w:pPr>
              <w:pStyle w:val="10"/>
            </w:pPr>
            <w:r>
              <w:t>绩效指标描述</w:t>
            </w:r>
          </w:p>
        </w:tc>
        <w:tc>
          <w:tcPr>
            <w:tcW w:w="2268" w:type="dxa"/>
            <w:vAlign w:val="center"/>
          </w:tcPr>
          <w:p w14:paraId="30F6E8E9">
            <w:pPr>
              <w:pStyle w:val="10"/>
            </w:pPr>
            <w:r>
              <w:t>指标值</w:t>
            </w:r>
          </w:p>
        </w:tc>
        <w:tc>
          <w:tcPr>
            <w:tcW w:w="1276" w:type="dxa"/>
            <w:vAlign w:val="center"/>
          </w:tcPr>
          <w:p w14:paraId="66157876">
            <w:pPr>
              <w:pStyle w:val="10"/>
            </w:pPr>
            <w:r>
              <w:t>指标值确定依据</w:t>
            </w:r>
          </w:p>
        </w:tc>
      </w:tr>
      <w:tr w14:paraId="1B06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01EE1">
            <w:pPr>
              <w:pStyle w:val="13"/>
            </w:pPr>
            <w:r>
              <w:t>产出指标</w:t>
            </w:r>
          </w:p>
        </w:tc>
        <w:tc>
          <w:tcPr>
            <w:tcW w:w="2268" w:type="dxa"/>
            <w:vAlign w:val="center"/>
          </w:tcPr>
          <w:p w14:paraId="57C835A6">
            <w:pPr>
              <w:pStyle w:val="12"/>
            </w:pPr>
            <w:r>
              <w:t>数量指标</w:t>
            </w:r>
          </w:p>
        </w:tc>
        <w:tc>
          <w:tcPr>
            <w:tcW w:w="2835" w:type="dxa"/>
            <w:vAlign w:val="center"/>
          </w:tcPr>
          <w:p w14:paraId="7AB17EEE">
            <w:pPr>
              <w:pStyle w:val="12"/>
            </w:pPr>
            <w:r>
              <w:t>适龄在园生</w:t>
            </w:r>
          </w:p>
        </w:tc>
        <w:tc>
          <w:tcPr>
            <w:tcW w:w="5386" w:type="dxa"/>
            <w:vAlign w:val="center"/>
          </w:tcPr>
          <w:p w14:paraId="5BFDAAEF">
            <w:pPr>
              <w:pStyle w:val="12"/>
            </w:pPr>
            <w:r>
              <w:t>适龄在园大班学生人数</w:t>
            </w:r>
          </w:p>
        </w:tc>
        <w:tc>
          <w:tcPr>
            <w:tcW w:w="2268" w:type="dxa"/>
            <w:vAlign w:val="center"/>
          </w:tcPr>
          <w:p w14:paraId="2F937C08">
            <w:pPr>
              <w:pStyle w:val="12"/>
            </w:pPr>
            <w:r>
              <w:t>241人</w:t>
            </w:r>
          </w:p>
        </w:tc>
        <w:tc>
          <w:tcPr>
            <w:tcW w:w="1276" w:type="dxa"/>
            <w:vAlign w:val="center"/>
          </w:tcPr>
          <w:p w14:paraId="021337E7">
            <w:pPr>
              <w:pStyle w:val="12"/>
            </w:pPr>
            <w:r>
              <w:t>免保育教育费生均财政补助标准</w:t>
            </w:r>
          </w:p>
        </w:tc>
      </w:tr>
      <w:tr w14:paraId="4A45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689A8"/>
        </w:tc>
        <w:tc>
          <w:tcPr>
            <w:tcW w:w="2268" w:type="dxa"/>
            <w:vAlign w:val="center"/>
          </w:tcPr>
          <w:p w14:paraId="79F17B3E">
            <w:pPr>
              <w:pStyle w:val="12"/>
            </w:pPr>
            <w:r>
              <w:t>质量指标</w:t>
            </w:r>
          </w:p>
        </w:tc>
        <w:tc>
          <w:tcPr>
            <w:tcW w:w="2835" w:type="dxa"/>
            <w:vAlign w:val="center"/>
          </w:tcPr>
          <w:p w14:paraId="031D59F7">
            <w:pPr>
              <w:pStyle w:val="12"/>
            </w:pPr>
            <w:r>
              <w:t>预算控制率</w:t>
            </w:r>
          </w:p>
        </w:tc>
        <w:tc>
          <w:tcPr>
            <w:tcW w:w="5386" w:type="dxa"/>
            <w:vAlign w:val="center"/>
          </w:tcPr>
          <w:p w14:paraId="021CD0B7">
            <w:pPr>
              <w:pStyle w:val="12"/>
            </w:pPr>
            <w:r>
              <w:t>预算执行</w:t>
            </w:r>
          </w:p>
        </w:tc>
        <w:tc>
          <w:tcPr>
            <w:tcW w:w="2268" w:type="dxa"/>
            <w:vAlign w:val="center"/>
          </w:tcPr>
          <w:p w14:paraId="5834C753">
            <w:pPr>
              <w:pStyle w:val="12"/>
            </w:pPr>
            <w:r>
              <w:t>≥95%</w:t>
            </w:r>
          </w:p>
        </w:tc>
        <w:tc>
          <w:tcPr>
            <w:tcW w:w="1276" w:type="dxa"/>
            <w:vAlign w:val="center"/>
          </w:tcPr>
          <w:p w14:paraId="2E194A85">
            <w:pPr>
              <w:pStyle w:val="12"/>
            </w:pPr>
            <w:r>
              <w:t>免保育教育费生均财政补助标准</w:t>
            </w:r>
          </w:p>
        </w:tc>
      </w:tr>
      <w:tr w14:paraId="0A28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D7C47"/>
        </w:tc>
        <w:tc>
          <w:tcPr>
            <w:tcW w:w="2268" w:type="dxa"/>
            <w:vAlign w:val="center"/>
          </w:tcPr>
          <w:p w14:paraId="5387FBDD">
            <w:pPr>
              <w:pStyle w:val="12"/>
            </w:pPr>
            <w:r>
              <w:t>时效指标</w:t>
            </w:r>
          </w:p>
        </w:tc>
        <w:tc>
          <w:tcPr>
            <w:tcW w:w="2835" w:type="dxa"/>
            <w:vAlign w:val="center"/>
          </w:tcPr>
          <w:p w14:paraId="6E30BD33">
            <w:pPr>
              <w:pStyle w:val="12"/>
            </w:pPr>
            <w:r>
              <w:t>资金支付率</w:t>
            </w:r>
          </w:p>
        </w:tc>
        <w:tc>
          <w:tcPr>
            <w:tcW w:w="5386" w:type="dxa"/>
            <w:vAlign w:val="center"/>
          </w:tcPr>
          <w:p w14:paraId="28CD21D4">
            <w:pPr>
              <w:pStyle w:val="12"/>
            </w:pPr>
            <w:r>
              <w:t>按照序时进度完成资金支付</w:t>
            </w:r>
          </w:p>
        </w:tc>
        <w:tc>
          <w:tcPr>
            <w:tcW w:w="2268" w:type="dxa"/>
            <w:vAlign w:val="center"/>
          </w:tcPr>
          <w:p w14:paraId="23C75FB8">
            <w:pPr>
              <w:pStyle w:val="12"/>
            </w:pPr>
            <w:r>
              <w:t>100%</w:t>
            </w:r>
          </w:p>
        </w:tc>
        <w:tc>
          <w:tcPr>
            <w:tcW w:w="1276" w:type="dxa"/>
            <w:vAlign w:val="center"/>
          </w:tcPr>
          <w:p w14:paraId="74531A12">
            <w:pPr>
              <w:pStyle w:val="12"/>
            </w:pPr>
            <w:r>
              <w:t>免保育教育费生均财政补助标准</w:t>
            </w:r>
          </w:p>
        </w:tc>
      </w:tr>
      <w:tr w14:paraId="1A04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44B49"/>
        </w:tc>
        <w:tc>
          <w:tcPr>
            <w:tcW w:w="2268" w:type="dxa"/>
            <w:vAlign w:val="center"/>
          </w:tcPr>
          <w:p w14:paraId="1D6ADABC">
            <w:pPr>
              <w:pStyle w:val="12"/>
            </w:pPr>
            <w:r>
              <w:t>成本指标</w:t>
            </w:r>
          </w:p>
        </w:tc>
        <w:tc>
          <w:tcPr>
            <w:tcW w:w="2835" w:type="dxa"/>
            <w:vAlign w:val="center"/>
          </w:tcPr>
          <w:p w14:paraId="073A859A">
            <w:pPr>
              <w:pStyle w:val="12"/>
            </w:pPr>
            <w:r>
              <w:t xml:space="preserve"> 免保育教育费补助</w:t>
            </w:r>
          </w:p>
        </w:tc>
        <w:tc>
          <w:tcPr>
            <w:tcW w:w="5386" w:type="dxa"/>
            <w:vAlign w:val="center"/>
          </w:tcPr>
          <w:p w14:paraId="4286A357">
            <w:pPr>
              <w:pStyle w:val="12"/>
            </w:pPr>
            <w:r>
              <w:t>免保育教育费补助</w:t>
            </w:r>
          </w:p>
        </w:tc>
        <w:tc>
          <w:tcPr>
            <w:tcW w:w="2268" w:type="dxa"/>
            <w:vAlign w:val="center"/>
          </w:tcPr>
          <w:p w14:paraId="76E0D3E1">
            <w:pPr>
              <w:pStyle w:val="12"/>
            </w:pPr>
            <w:r>
              <w:t>98980元</w:t>
            </w:r>
          </w:p>
        </w:tc>
        <w:tc>
          <w:tcPr>
            <w:tcW w:w="1276" w:type="dxa"/>
            <w:vAlign w:val="center"/>
          </w:tcPr>
          <w:p w14:paraId="406510BF">
            <w:pPr>
              <w:pStyle w:val="12"/>
            </w:pPr>
            <w:r>
              <w:t>免保育教育费生均财政补助标准</w:t>
            </w:r>
          </w:p>
        </w:tc>
      </w:tr>
      <w:tr w14:paraId="5FF8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78C12">
            <w:pPr>
              <w:pStyle w:val="13"/>
            </w:pPr>
            <w:r>
              <w:t>效益指标</w:t>
            </w:r>
          </w:p>
        </w:tc>
        <w:tc>
          <w:tcPr>
            <w:tcW w:w="2268" w:type="dxa"/>
            <w:vAlign w:val="center"/>
          </w:tcPr>
          <w:p w14:paraId="61C7D0A0">
            <w:pPr>
              <w:pStyle w:val="12"/>
            </w:pPr>
            <w:r>
              <w:t>可持续影响指标</w:t>
            </w:r>
          </w:p>
        </w:tc>
        <w:tc>
          <w:tcPr>
            <w:tcW w:w="2835" w:type="dxa"/>
            <w:vAlign w:val="center"/>
          </w:tcPr>
          <w:p w14:paraId="3791A9E6">
            <w:pPr>
              <w:pStyle w:val="12"/>
            </w:pPr>
            <w:r>
              <w:t>学校运转得到提升</w:t>
            </w:r>
          </w:p>
        </w:tc>
        <w:tc>
          <w:tcPr>
            <w:tcW w:w="5386" w:type="dxa"/>
            <w:vAlign w:val="center"/>
          </w:tcPr>
          <w:p w14:paraId="5F3F9176">
            <w:pPr>
              <w:pStyle w:val="12"/>
            </w:pPr>
            <w:r>
              <w:t>幼儿受教育年限</w:t>
            </w:r>
          </w:p>
        </w:tc>
        <w:tc>
          <w:tcPr>
            <w:tcW w:w="2268" w:type="dxa"/>
            <w:vAlign w:val="center"/>
          </w:tcPr>
          <w:p w14:paraId="600248D2">
            <w:pPr>
              <w:pStyle w:val="12"/>
            </w:pPr>
            <w:r>
              <w:t>3年</w:t>
            </w:r>
          </w:p>
        </w:tc>
        <w:tc>
          <w:tcPr>
            <w:tcW w:w="1276" w:type="dxa"/>
            <w:vAlign w:val="center"/>
          </w:tcPr>
          <w:p w14:paraId="308DA582">
            <w:pPr>
              <w:pStyle w:val="12"/>
            </w:pPr>
            <w:r>
              <w:t>免保育教育费生均财政补助标准</w:t>
            </w:r>
          </w:p>
        </w:tc>
      </w:tr>
      <w:tr w14:paraId="0FF3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A6C3D">
            <w:pPr>
              <w:pStyle w:val="13"/>
            </w:pPr>
            <w:r>
              <w:t>满意度指标</w:t>
            </w:r>
          </w:p>
        </w:tc>
        <w:tc>
          <w:tcPr>
            <w:tcW w:w="2268" w:type="dxa"/>
            <w:vAlign w:val="center"/>
          </w:tcPr>
          <w:p w14:paraId="1AB083BD">
            <w:pPr>
              <w:pStyle w:val="12"/>
            </w:pPr>
            <w:r>
              <w:t>服务对象满意度指标</w:t>
            </w:r>
          </w:p>
        </w:tc>
        <w:tc>
          <w:tcPr>
            <w:tcW w:w="2835" w:type="dxa"/>
            <w:vAlign w:val="center"/>
          </w:tcPr>
          <w:p w14:paraId="292AC13E">
            <w:pPr>
              <w:pStyle w:val="12"/>
            </w:pPr>
            <w:r>
              <w:t>受益学生家长及调查满意度</w:t>
            </w:r>
          </w:p>
        </w:tc>
        <w:tc>
          <w:tcPr>
            <w:tcW w:w="5386" w:type="dxa"/>
            <w:vAlign w:val="center"/>
          </w:tcPr>
          <w:p w14:paraId="3D3BCA4F">
            <w:pPr>
              <w:pStyle w:val="12"/>
            </w:pPr>
            <w:r>
              <w:t>学生、教师及家长对学校保教保育工作满意度情况</w:t>
            </w:r>
          </w:p>
        </w:tc>
        <w:tc>
          <w:tcPr>
            <w:tcW w:w="2268" w:type="dxa"/>
            <w:vAlign w:val="center"/>
          </w:tcPr>
          <w:p w14:paraId="4D8D2C33">
            <w:pPr>
              <w:pStyle w:val="12"/>
            </w:pPr>
            <w:r>
              <w:t>≥95%</w:t>
            </w:r>
          </w:p>
        </w:tc>
        <w:tc>
          <w:tcPr>
            <w:tcW w:w="1276" w:type="dxa"/>
            <w:vAlign w:val="center"/>
          </w:tcPr>
          <w:p w14:paraId="608F0C76">
            <w:pPr>
              <w:pStyle w:val="12"/>
            </w:pPr>
            <w:r>
              <w:t>免保育教育费生均财政补助标准</w:t>
            </w:r>
          </w:p>
        </w:tc>
      </w:tr>
    </w:tbl>
    <w:p w14:paraId="254C6E83">
      <w:pPr>
        <w:sectPr>
          <w:pgSz w:w="16840" w:h="11900" w:orient="landscape"/>
          <w:pgMar w:top="1361" w:right="1020" w:bottom="1134" w:left="1020" w:header="720" w:footer="720" w:gutter="0"/>
          <w:cols w:space="720" w:num="1"/>
        </w:sectPr>
      </w:pPr>
    </w:p>
    <w:p w14:paraId="2E2C1C4E">
      <w:pPr>
        <w:spacing w:before="0" w:after="0"/>
        <w:ind w:firstLine="560"/>
        <w:jc w:val="left"/>
        <w:outlineLvl w:val="9"/>
      </w:pPr>
      <w:r>
        <w:rPr>
          <w:rFonts w:ascii="方正仿宋_GBK" w:hAnsi="方正仿宋_GBK" w:eastAsia="方正仿宋_GBK" w:cs="方正仿宋_GBK"/>
          <w:b/>
          <w:color w:val="000000"/>
          <w:sz w:val="28"/>
        </w:rPr>
        <w:t>23、县级配套/2026年/北楼校区幼儿园免保育教育费补助绩效目标表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DB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08BCF0">
            <w:pPr>
              <w:pStyle w:val="11"/>
            </w:pPr>
            <w:r>
              <w:t>单位：万元</w:t>
            </w:r>
          </w:p>
        </w:tc>
      </w:tr>
      <w:tr w14:paraId="77761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9CD40">
            <w:pPr>
              <w:pStyle w:val="10"/>
            </w:pPr>
            <w:r>
              <w:t>项目编码</w:t>
            </w:r>
          </w:p>
        </w:tc>
        <w:tc>
          <w:tcPr>
            <w:tcW w:w="5103" w:type="dxa"/>
            <w:gridSpan w:val="2"/>
            <w:vAlign w:val="center"/>
          </w:tcPr>
          <w:p w14:paraId="6F184CAD">
            <w:pPr>
              <w:pStyle w:val="12"/>
            </w:pPr>
            <w:r>
              <w:t>13052526P008769101667</w:t>
            </w:r>
          </w:p>
        </w:tc>
        <w:tc>
          <w:tcPr>
            <w:tcW w:w="2835" w:type="dxa"/>
            <w:vAlign w:val="center"/>
          </w:tcPr>
          <w:p w14:paraId="6EC31C6F">
            <w:pPr>
              <w:pStyle w:val="10"/>
            </w:pPr>
            <w:r>
              <w:t>项目名称</w:t>
            </w:r>
          </w:p>
        </w:tc>
        <w:tc>
          <w:tcPr>
            <w:tcW w:w="6095" w:type="dxa"/>
            <w:gridSpan w:val="3"/>
            <w:vAlign w:val="center"/>
          </w:tcPr>
          <w:p w14:paraId="77CF5220">
            <w:pPr>
              <w:pStyle w:val="12"/>
            </w:pPr>
            <w:r>
              <w:t>县级配套/2026年/北楼校区幼儿园免保育教育费补助</w:t>
            </w:r>
          </w:p>
        </w:tc>
      </w:tr>
      <w:tr w14:paraId="52099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87C2D">
            <w:pPr>
              <w:pStyle w:val="10"/>
            </w:pPr>
            <w:r>
              <w:t>预算规模及资金用途</w:t>
            </w:r>
          </w:p>
        </w:tc>
        <w:tc>
          <w:tcPr>
            <w:tcW w:w="2268" w:type="dxa"/>
            <w:vAlign w:val="center"/>
          </w:tcPr>
          <w:p w14:paraId="7F5E997E">
            <w:pPr>
              <w:pStyle w:val="10"/>
            </w:pPr>
            <w:r>
              <w:t>预算数</w:t>
            </w:r>
          </w:p>
        </w:tc>
        <w:tc>
          <w:tcPr>
            <w:tcW w:w="2835" w:type="dxa"/>
            <w:vAlign w:val="center"/>
          </w:tcPr>
          <w:p w14:paraId="7F424DF8">
            <w:pPr>
              <w:pStyle w:val="12"/>
            </w:pPr>
            <w:r>
              <w:t>3.59</w:t>
            </w:r>
          </w:p>
        </w:tc>
        <w:tc>
          <w:tcPr>
            <w:tcW w:w="2835" w:type="dxa"/>
            <w:vAlign w:val="center"/>
          </w:tcPr>
          <w:p w14:paraId="6A081DB8">
            <w:pPr>
              <w:pStyle w:val="10"/>
            </w:pPr>
            <w:r>
              <w:t>其中：财政    资金</w:t>
            </w:r>
          </w:p>
        </w:tc>
        <w:tc>
          <w:tcPr>
            <w:tcW w:w="2551" w:type="dxa"/>
            <w:vAlign w:val="center"/>
          </w:tcPr>
          <w:p w14:paraId="1A744BAE">
            <w:pPr>
              <w:pStyle w:val="12"/>
            </w:pPr>
            <w:r>
              <w:t>3.59</w:t>
            </w:r>
          </w:p>
        </w:tc>
        <w:tc>
          <w:tcPr>
            <w:tcW w:w="2268" w:type="dxa"/>
            <w:vAlign w:val="center"/>
          </w:tcPr>
          <w:p w14:paraId="12F3CFFB">
            <w:pPr>
              <w:pStyle w:val="10"/>
            </w:pPr>
            <w:r>
              <w:t>其他资金</w:t>
            </w:r>
          </w:p>
        </w:tc>
        <w:tc>
          <w:tcPr>
            <w:tcW w:w="1276" w:type="dxa"/>
            <w:vAlign w:val="center"/>
          </w:tcPr>
          <w:p w14:paraId="49D2193D">
            <w:pPr>
              <w:pStyle w:val="12"/>
            </w:pPr>
            <w:r>
              <w:t xml:space="preserve"> </w:t>
            </w:r>
          </w:p>
        </w:tc>
      </w:tr>
      <w:tr w14:paraId="4E424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19621"/>
        </w:tc>
        <w:tc>
          <w:tcPr>
            <w:tcW w:w="14033" w:type="dxa"/>
            <w:gridSpan w:val="6"/>
            <w:vAlign w:val="center"/>
          </w:tcPr>
          <w:p w14:paraId="143D6FB8">
            <w:pPr>
              <w:pStyle w:val="12"/>
            </w:pPr>
            <w:r>
              <w:rPr>
                <w:rFonts w:hint="eastAsia"/>
                <w:lang w:eastAsia="zh-CN"/>
              </w:rPr>
              <w:t>”</w:t>
            </w:r>
            <w:r>
              <w:t>保障幼儿园正常运转，完成教育教学活动和其他日常工作任务等方面的费用支出。</w:t>
            </w:r>
            <w:r>
              <w:tab/>
            </w:r>
            <w:r>
              <w:tab/>
            </w:r>
            <w:r>
              <w:tab/>
            </w:r>
            <w:r>
              <w:tab/>
            </w:r>
            <w:r>
              <w:tab/>
            </w:r>
            <w:r>
              <w:tab/>
            </w:r>
          </w:p>
          <w:p w14:paraId="143D78BA">
            <w:pPr>
              <w:pStyle w:val="12"/>
            </w:pPr>
          </w:p>
        </w:tc>
      </w:tr>
      <w:tr w14:paraId="6BA82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98D26">
            <w:pPr>
              <w:pStyle w:val="10"/>
            </w:pPr>
            <w:r>
              <w:t>资金支出计划（%）</w:t>
            </w:r>
          </w:p>
        </w:tc>
        <w:tc>
          <w:tcPr>
            <w:tcW w:w="5103" w:type="dxa"/>
            <w:gridSpan w:val="2"/>
            <w:vAlign w:val="center"/>
          </w:tcPr>
          <w:p w14:paraId="2EA74C84">
            <w:pPr>
              <w:pStyle w:val="10"/>
            </w:pPr>
            <w:r>
              <w:t>3月底</w:t>
            </w:r>
          </w:p>
        </w:tc>
        <w:tc>
          <w:tcPr>
            <w:tcW w:w="2835" w:type="dxa"/>
            <w:vAlign w:val="center"/>
          </w:tcPr>
          <w:p w14:paraId="63047F96">
            <w:pPr>
              <w:pStyle w:val="10"/>
            </w:pPr>
            <w:r>
              <w:t>6月底</w:t>
            </w:r>
          </w:p>
        </w:tc>
        <w:tc>
          <w:tcPr>
            <w:tcW w:w="2551" w:type="dxa"/>
            <w:vAlign w:val="center"/>
          </w:tcPr>
          <w:p w14:paraId="71009202">
            <w:pPr>
              <w:pStyle w:val="10"/>
            </w:pPr>
            <w:r>
              <w:t>10月底</w:t>
            </w:r>
          </w:p>
        </w:tc>
        <w:tc>
          <w:tcPr>
            <w:tcW w:w="3544" w:type="dxa"/>
            <w:gridSpan w:val="2"/>
            <w:vAlign w:val="center"/>
          </w:tcPr>
          <w:p w14:paraId="6E6294BF">
            <w:pPr>
              <w:pStyle w:val="10"/>
            </w:pPr>
            <w:r>
              <w:t>12月底</w:t>
            </w:r>
          </w:p>
        </w:tc>
      </w:tr>
      <w:tr w14:paraId="7EB70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A7F4B"/>
        </w:tc>
        <w:tc>
          <w:tcPr>
            <w:tcW w:w="5103" w:type="dxa"/>
            <w:gridSpan w:val="2"/>
            <w:vAlign w:val="center"/>
          </w:tcPr>
          <w:p w14:paraId="1A5AFA1A">
            <w:pPr>
              <w:pStyle w:val="13"/>
            </w:pPr>
            <w:r>
              <w:t>25%</w:t>
            </w:r>
          </w:p>
        </w:tc>
        <w:tc>
          <w:tcPr>
            <w:tcW w:w="2835" w:type="dxa"/>
            <w:vAlign w:val="center"/>
          </w:tcPr>
          <w:p w14:paraId="0333A0AF">
            <w:pPr>
              <w:pStyle w:val="13"/>
            </w:pPr>
            <w:r>
              <w:t>50%</w:t>
            </w:r>
          </w:p>
        </w:tc>
        <w:tc>
          <w:tcPr>
            <w:tcW w:w="2551" w:type="dxa"/>
            <w:vAlign w:val="center"/>
          </w:tcPr>
          <w:p w14:paraId="7D0F9F62">
            <w:pPr>
              <w:pStyle w:val="13"/>
            </w:pPr>
            <w:r>
              <w:t>75%</w:t>
            </w:r>
          </w:p>
        </w:tc>
        <w:tc>
          <w:tcPr>
            <w:tcW w:w="3544" w:type="dxa"/>
            <w:gridSpan w:val="2"/>
            <w:vAlign w:val="center"/>
          </w:tcPr>
          <w:p w14:paraId="100ED516">
            <w:pPr>
              <w:pStyle w:val="13"/>
            </w:pPr>
            <w:r>
              <w:t>100%</w:t>
            </w:r>
          </w:p>
        </w:tc>
      </w:tr>
      <w:tr w14:paraId="2C31F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88A79">
            <w:pPr>
              <w:pStyle w:val="10"/>
            </w:pPr>
            <w:r>
              <w:t>绩效目标</w:t>
            </w:r>
          </w:p>
        </w:tc>
        <w:tc>
          <w:tcPr>
            <w:tcW w:w="14033" w:type="dxa"/>
            <w:gridSpan w:val="6"/>
            <w:vAlign w:val="center"/>
          </w:tcPr>
          <w:p w14:paraId="3C4B26C2">
            <w:pPr>
              <w:pStyle w:val="12"/>
            </w:pPr>
            <w:r>
              <w:t>1.保障幼儿园正常运转，完成教育教学活动和其他日常工作任务等方面的费用支出。</w:t>
            </w:r>
            <w:r>
              <w:tab/>
            </w:r>
          </w:p>
        </w:tc>
      </w:tr>
    </w:tbl>
    <w:p w14:paraId="477B7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E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8BA84">
            <w:pPr>
              <w:pStyle w:val="10"/>
            </w:pPr>
            <w:r>
              <w:t>一级指标</w:t>
            </w:r>
          </w:p>
        </w:tc>
        <w:tc>
          <w:tcPr>
            <w:tcW w:w="2268" w:type="dxa"/>
            <w:vAlign w:val="center"/>
          </w:tcPr>
          <w:p w14:paraId="0C5D0804">
            <w:pPr>
              <w:pStyle w:val="10"/>
            </w:pPr>
            <w:r>
              <w:t>二级指标</w:t>
            </w:r>
          </w:p>
        </w:tc>
        <w:tc>
          <w:tcPr>
            <w:tcW w:w="2835" w:type="dxa"/>
            <w:vAlign w:val="center"/>
          </w:tcPr>
          <w:p w14:paraId="69994E8C">
            <w:pPr>
              <w:pStyle w:val="10"/>
            </w:pPr>
            <w:r>
              <w:t>三级指标</w:t>
            </w:r>
          </w:p>
        </w:tc>
        <w:tc>
          <w:tcPr>
            <w:tcW w:w="5386" w:type="dxa"/>
            <w:vAlign w:val="center"/>
          </w:tcPr>
          <w:p w14:paraId="4A4A121E">
            <w:pPr>
              <w:pStyle w:val="10"/>
            </w:pPr>
            <w:r>
              <w:t>绩效指标描述</w:t>
            </w:r>
          </w:p>
        </w:tc>
        <w:tc>
          <w:tcPr>
            <w:tcW w:w="2268" w:type="dxa"/>
            <w:vAlign w:val="center"/>
          </w:tcPr>
          <w:p w14:paraId="5E2DCF3D">
            <w:pPr>
              <w:pStyle w:val="10"/>
            </w:pPr>
            <w:r>
              <w:t>指标值</w:t>
            </w:r>
          </w:p>
        </w:tc>
        <w:tc>
          <w:tcPr>
            <w:tcW w:w="1276" w:type="dxa"/>
            <w:vAlign w:val="center"/>
          </w:tcPr>
          <w:p w14:paraId="258A646B">
            <w:pPr>
              <w:pStyle w:val="10"/>
            </w:pPr>
            <w:r>
              <w:t>指标值确定依据</w:t>
            </w:r>
          </w:p>
        </w:tc>
      </w:tr>
      <w:tr w14:paraId="0D6B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1EF32">
            <w:pPr>
              <w:pStyle w:val="13"/>
            </w:pPr>
            <w:r>
              <w:t>产出指标</w:t>
            </w:r>
          </w:p>
        </w:tc>
        <w:tc>
          <w:tcPr>
            <w:tcW w:w="2268" w:type="dxa"/>
            <w:vAlign w:val="center"/>
          </w:tcPr>
          <w:p w14:paraId="0CA585C6">
            <w:pPr>
              <w:pStyle w:val="12"/>
            </w:pPr>
            <w:r>
              <w:t>数量指标</w:t>
            </w:r>
          </w:p>
        </w:tc>
        <w:tc>
          <w:tcPr>
            <w:tcW w:w="2835" w:type="dxa"/>
            <w:vAlign w:val="center"/>
          </w:tcPr>
          <w:p w14:paraId="7363B17D">
            <w:pPr>
              <w:pStyle w:val="12"/>
            </w:pPr>
            <w:r>
              <w:t>适龄在园生</w:t>
            </w:r>
          </w:p>
        </w:tc>
        <w:tc>
          <w:tcPr>
            <w:tcW w:w="5386" w:type="dxa"/>
            <w:vAlign w:val="center"/>
          </w:tcPr>
          <w:p w14:paraId="434E1D6B">
            <w:pPr>
              <w:pStyle w:val="12"/>
            </w:pPr>
            <w:r>
              <w:t>适龄在园大班学生人数</w:t>
            </w:r>
          </w:p>
        </w:tc>
        <w:tc>
          <w:tcPr>
            <w:tcW w:w="2268" w:type="dxa"/>
            <w:vAlign w:val="center"/>
          </w:tcPr>
          <w:p w14:paraId="2AC5A014">
            <w:pPr>
              <w:pStyle w:val="12"/>
            </w:pPr>
            <w:r>
              <w:t>241人</w:t>
            </w:r>
          </w:p>
        </w:tc>
        <w:tc>
          <w:tcPr>
            <w:tcW w:w="1276" w:type="dxa"/>
            <w:vAlign w:val="center"/>
          </w:tcPr>
          <w:p w14:paraId="245CFEE9">
            <w:pPr>
              <w:pStyle w:val="12"/>
            </w:pPr>
            <w:r>
              <w:t>免保育教育费生均财政补助标准</w:t>
            </w:r>
          </w:p>
        </w:tc>
      </w:tr>
      <w:tr w14:paraId="78F0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D98E4"/>
        </w:tc>
        <w:tc>
          <w:tcPr>
            <w:tcW w:w="2268" w:type="dxa"/>
            <w:vAlign w:val="center"/>
          </w:tcPr>
          <w:p w14:paraId="1BAA2330">
            <w:pPr>
              <w:pStyle w:val="12"/>
            </w:pPr>
            <w:r>
              <w:t>质量指标</w:t>
            </w:r>
          </w:p>
        </w:tc>
        <w:tc>
          <w:tcPr>
            <w:tcW w:w="2835" w:type="dxa"/>
            <w:vAlign w:val="center"/>
          </w:tcPr>
          <w:p w14:paraId="049A690B">
            <w:pPr>
              <w:pStyle w:val="12"/>
            </w:pPr>
            <w:r>
              <w:t>预算控制率</w:t>
            </w:r>
          </w:p>
        </w:tc>
        <w:tc>
          <w:tcPr>
            <w:tcW w:w="5386" w:type="dxa"/>
            <w:vAlign w:val="center"/>
          </w:tcPr>
          <w:p w14:paraId="3385388E">
            <w:pPr>
              <w:pStyle w:val="12"/>
            </w:pPr>
            <w:r>
              <w:t>预算执行</w:t>
            </w:r>
          </w:p>
        </w:tc>
        <w:tc>
          <w:tcPr>
            <w:tcW w:w="2268" w:type="dxa"/>
            <w:vAlign w:val="center"/>
          </w:tcPr>
          <w:p w14:paraId="563269A0">
            <w:pPr>
              <w:pStyle w:val="12"/>
            </w:pPr>
            <w:r>
              <w:t>≥95%</w:t>
            </w:r>
          </w:p>
        </w:tc>
        <w:tc>
          <w:tcPr>
            <w:tcW w:w="1276" w:type="dxa"/>
            <w:vAlign w:val="center"/>
          </w:tcPr>
          <w:p w14:paraId="5C753F6A">
            <w:pPr>
              <w:pStyle w:val="12"/>
            </w:pPr>
            <w:r>
              <w:t>免保育教育费生均财政补助标准</w:t>
            </w:r>
          </w:p>
        </w:tc>
      </w:tr>
      <w:tr w14:paraId="7022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305B7"/>
        </w:tc>
        <w:tc>
          <w:tcPr>
            <w:tcW w:w="2268" w:type="dxa"/>
            <w:vAlign w:val="center"/>
          </w:tcPr>
          <w:p w14:paraId="0AE84F5F">
            <w:pPr>
              <w:pStyle w:val="12"/>
            </w:pPr>
            <w:r>
              <w:t>时效指标</w:t>
            </w:r>
          </w:p>
        </w:tc>
        <w:tc>
          <w:tcPr>
            <w:tcW w:w="2835" w:type="dxa"/>
            <w:vAlign w:val="center"/>
          </w:tcPr>
          <w:p w14:paraId="01209589">
            <w:pPr>
              <w:pStyle w:val="12"/>
            </w:pPr>
            <w:r>
              <w:t>资金支付率</w:t>
            </w:r>
          </w:p>
        </w:tc>
        <w:tc>
          <w:tcPr>
            <w:tcW w:w="5386" w:type="dxa"/>
            <w:vAlign w:val="center"/>
          </w:tcPr>
          <w:p w14:paraId="0966788C">
            <w:pPr>
              <w:pStyle w:val="12"/>
            </w:pPr>
            <w:r>
              <w:t>按照序时进度完成资金支付</w:t>
            </w:r>
          </w:p>
        </w:tc>
        <w:tc>
          <w:tcPr>
            <w:tcW w:w="2268" w:type="dxa"/>
            <w:vAlign w:val="center"/>
          </w:tcPr>
          <w:p w14:paraId="0238C1A1">
            <w:pPr>
              <w:pStyle w:val="12"/>
            </w:pPr>
            <w:r>
              <w:t>100%</w:t>
            </w:r>
          </w:p>
        </w:tc>
        <w:tc>
          <w:tcPr>
            <w:tcW w:w="1276" w:type="dxa"/>
            <w:vAlign w:val="center"/>
          </w:tcPr>
          <w:p w14:paraId="4B68D451">
            <w:pPr>
              <w:pStyle w:val="12"/>
            </w:pPr>
            <w:r>
              <w:t>免保育教育费生均财政补助标准</w:t>
            </w:r>
          </w:p>
        </w:tc>
      </w:tr>
      <w:tr w14:paraId="2A9E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C8041"/>
        </w:tc>
        <w:tc>
          <w:tcPr>
            <w:tcW w:w="2268" w:type="dxa"/>
            <w:vAlign w:val="center"/>
          </w:tcPr>
          <w:p w14:paraId="08C763A0">
            <w:pPr>
              <w:pStyle w:val="12"/>
            </w:pPr>
            <w:r>
              <w:t>成本指标</w:t>
            </w:r>
          </w:p>
        </w:tc>
        <w:tc>
          <w:tcPr>
            <w:tcW w:w="2835" w:type="dxa"/>
            <w:vAlign w:val="center"/>
          </w:tcPr>
          <w:p w14:paraId="47D61D70">
            <w:pPr>
              <w:pStyle w:val="12"/>
            </w:pPr>
            <w:r>
              <w:t xml:space="preserve"> 免保育教育费补助</w:t>
            </w:r>
          </w:p>
        </w:tc>
        <w:tc>
          <w:tcPr>
            <w:tcW w:w="5386" w:type="dxa"/>
            <w:vAlign w:val="center"/>
          </w:tcPr>
          <w:p w14:paraId="6A04006D">
            <w:pPr>
              <w:pStyle w:val="12"/>
            </w:pPr>
            <w:r>
              <w:t>免保育教育费补助</w:t>
            </w:r>
          </w:p>
        </w:tc>
        <w:tc>
          <w:tcPr>
            <w:tcW w:w="2268" w:type="dxa"/>
            <w:vAlign w:val="center"/>
          </w:tcPr>
          <w:p w14:paraId="48C9C877">
            <w:pPr>
              <w:pStyle w:val="12"/>
            </w:pPr>
            <w:r>
              <w:t>35917元</w:t>
            </w:r>
          </w:p>
        </w:tc>
        <w:tc>
          <w:tcPr>
            <w:tcW w:w="1276" w:type="dxa"/>
            <w:vAlign w:val="center"/>
          </w:tcPr>
          <w:p w14:paraId="40485AED">
            <w:pPr>
              <w:pStyle w:val="12"/>
            </w:pPr>
            <w:r>
              <w:t>免保育教育费生均财政补助标准</w:t>
            </w:r>
          </w:p>
        </w:tc>
      </w:tr>
      <w:tr w14:paraId="1A356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6272D">
            <w:pPr>
              <w:pStyle w:val="13"/>
            </w:pPr>
            <w:r>
              <w:t>效益指标</w:t>
            </w:r>
          </w:p>
        </w:tc>
        <w:tc>
          <w:tcPr>
            <w:tcW w:w="2268" w:type="dxa"/>
            <w:vAlign w:val="center"/>
          </w:tcPr>
          <w:p w14:paraId="28083304">
            <w:pPr>
              <w:pStyle w:val="12"/>
            </w:pPr>
            <w:r>
              <w:t>可持续影响指标</w:t>
            </w:r>
          </w:p>
        </w:tc>
        <w:tc>
          <w:tcPr>
            <w:tcW w:w="2835" w:type="dxa"/>
            <w:vAlign w:val="center"/>
          </w:tcPr>
          <w:p w14:paraId="0D753669">
            <w:pPr>
              <w:pStyle w:val="12"/>
            </w:pPr>
            <w:r>
              <w:t>学校运转得到提升</w:t>
            </w:r>
          </w:p>
        </w:tc>
        <w:tc>
          <w:tcPr>
            <w:tcW w:w="5386" w:type="dxa"/>
            <w:vAlign w:val="center"/>
          </w:tcPr>
          <w:p w14:paraId="662FC7A7">
            <w:pPr>
              <w:pStyle w:val="12"/>
            </w:pPr>
            <w:r>
              <w:t>幼儿受教育年限</w:t>
            </w:r>
          </w:p>
        </w:tc>
        <w:tc>
          <w:tcPr>
            <w:tcW w:w="2268" w:type="dxa"/>
            <w:vAlign w:val="center"/>
          </w:tcPr>
          <w:p w14:paraId="36BE41D1">
            <w:pPr>
              <w:pStyle w:val="12"/>
            </w:pPr>
            <w:r>
              <w:t>3年</w:t>
            </w:r>
          </w:p>
        </w:tc>
        <w:tc>
          <w:tcPr>
            <w:tcW w:w="1276" w:type="dxa"/>
            <w:vAlign w:val="center"/>
          </w:tcPr>
          <w:p w14:paraId="2F43FADC">
            <w:pPr>
              <w:pStyle w:val="12"/>
            </w:pPr>
            <w:r>
              <w:t>免保育教育费生均财政补助标准</w:t>
            </w:r>
          </w:p>
        </w:tc>
      </w:tr>
      <w:tr w14:paraId="328E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8AE5A">
            <w:pPr>
              <w:pStyle w:val="13"/>
            </w:pPr>
            <w:r>
              <w:t>满意度指标</w:t>
            </w:r>
          </w:p>
        </w:tc>
        <w:tc>
          <w:tcPr>
            <w:tcW w:w="2268" w:type="dxa"/>
            <w:vAlign w:val="center"/>
          </w:tcPr>
          <w:p w14:paraId="397E4E37">
            <w:pPr>
              <w:pStyle w:val="12"/>
            </w:pPr>
            <w:r>
              <w:t>服务对象满意度指标</w:t>
            </w:r>
          </w:p>
        </w:tc>
        <w:tc>
          <w:tcPr>
            <w:tcW w:w="2835" w:type="dxa"/>
            <w:vAlign w:val="center"/>
          </w:tcPr>
          <w:p w14:paraId="29DC671B">
            <w:pPr>
              <w:pStyle w:val="12"/>
            </w:pPr>
            <w:r>
              <w:t>受益学生家长及调查满意度</w:t>
            </w:r>
          </w:p>
        </w:tc>
        <w:tc>
          <w:tcPr>
            <w:tcW w:w="5386" w:type="dxa"/>
            <w:vAlign w:val="center"/>
          </w:tcPr>
          <w:p w14:paraId="6BE08BD3">
            <w:pPr>
              <w:pStyle w:val="12"/>
            </w:pPr>
            <w:r>
              <w:t>学生、教师及家长对学校保教保育工作满意度情况</w:t>
            </w:r>
          </w:p>
        </w:tc>
        <w:tc>
          <w:tcPr>
            <w:tcW w:w="2268" w:type="dxa"/>
            <w:vAlign w:val="center"/>
          </w:tcPr>
          <w:p w14:paraId="6D401224">
            <w:pPr>
              <w:pStyle w:val="12"/>
            </w:pPr>
            <w:r>
              <w:t>≥95%</w:t>
            </w:r>
          </w:p>
        </w:tc>
        <w:tc>
          <w:tcPr>
            <w:tcW w:w="1276" w:type="dxa"/>
            <w:vAlign w:val="center"/>
          </w:tcPr>
          <w:p w14:paraId="03FCCE7F">
            <w:pPr>
              <w:pStyle w:val="12"/>
            </w:pPr>
            <w:r>
              <w:t>免保育教育费生均财政补助标准</w:t>
            </w:r>
          </w:p>
        </w:tc>
      </w:tr>
    </w:tbl>
    <w:p w14:paraId="0D9B46DB">
      <w:pPr>
        <w:sectPr>
          <w:pgSz w:w="16840" w:h="11900" w:orient="landscape"/>
          <w:pgMar w:top="1361" w:right="1020" w:bottom="1134" w:left="1020" w:header="720" w:footer="720" w:gutter="0"/>
          <w:cols w:space="720" w:num="1"/>
        </w:sectPr>
      </w:pPr>
    </w:p>
    <w:p w14:paraId="5A0C6160">
      <w:pPr>
        <w:spacing w:before="0" w:after="0"/>
        <w:ind w:firstLine="560"/>
        <w:jc w:val="left"/>
        <w:outlineLvl w:val="9"/>
      </w:pPr>
      <w:r>
        <w:rPr>
          <w:rFonts w:ascii="方正仿宋_GBK" w:hAnsi="方正仿宋_GBK" w:eastAsia="方正仿宋_GBK" w:cs="方正仿宋_GBK"/>
          <w:b/>
          <w:color w:val="000000"/>
          <w:sz w:val="28"/>
        </w:rPr>
        <w:t>24、县级配套/北楼校区北楼中心小学公用经费绩效目标表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22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8AA3A">
            <w:pPr>
              <w:pStyle w:val="11"/>
            </w:pPr>
            <w:r>
              <w:t>单位：万元</w:t>
            </w:r>
          </w:p>
        </w:tc>
      </w:tr>
      <w:tr w14:paraId="2ED2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93794">
            <w:pPr>
              <w:pStyle w:val="10"/>
            </w:pPr>
            <w:r>
              <w:t>项目编码</w:t>
            </w:r>
          </w:p>
        </w:tc>
        <w:tc>
          <w:tcPr>
            <w:tcW w:w="5103" w:type="dxa"/>
            <w:gridSpan w:val="2"/>
            <w:vAlign w:val="center"/>
          </w:tcPr>
          <w:p w14:paraId="27388CA4">
            <w:pPr>
              <w:pStyle w:val="12"/>
            </w:pPr>
            <w:r>
              <w:t>13052526P00000410431T</w:t>
            </w:r>
          </w:p>
        </w:tc>
        <w:tc>
          <w:tcPr>
            <w:tcW w:w="2835" w:type="dxa"/>
            <w:vAlign w:val="center"/>
          </w:tcPr>
          <w:p w14:paraId="0D9B0E7B">
            <w:pPr>
              <w:pStyle w:val="10"/>
            </w:pPr>
            <w:r>
              <w:t>项目名称</w:t>
            </w:r>
          </w:p>
        </w:tc>
        <w:tc>
          <w:tcPr>
            <w:tcW w:w="6095" w:type="dxa"/>
            <w:gridSpan w:val="3"/>
            <w:vAlign w:val="center"/>
          </w:tcPr>
          <w:p w14:paraId="52BEB190">
            <w:pPr>
              <w:pStyle w:val="12"/>
            </w:pPr>
            <w:r>
              <w:t>县级配套/北楼校区北楼中心小学公用经费</w:t>
            </w:r>
          </w:p>
        </w:tc>
      </w:tr>
      <w:tr w14:paraId="1A85B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295ED">
            <w:pPr>
              <w:pStyle w:val="10"/>
            </w:pPr>
            <w:r>
              <w:t>预算规模及资金用途</w:t>
            </w:r>
          </w:p>
        </w:tc>
        <w:tc>
          <w:tcPr>
            <w:tcW w:w="2268" w:type="dxa"/>
            <w:vAlign w:val="center"/>
          </w:tcPr>
          <w:p w14:paraId="37628554">
            <w:pPr>
              <w:pStyle w:val="10"/>
            </w:pPr>
            <w:r>
              <w:t>预算数</w:t>
            </w:r>
          </w:p>
        </w:tc>
        <w:tc>
          <w:tcPr>
            <w:tcW w:w="2835" w:type="dxa"/>
            <w:vAlign w:val="center"/>
          </w:tcPr>
          <w:p w14:paraId="686E15B2">
            <w:pPr>
              <w:pStyle w:val="12"/>
            </w:pPr>
            <w:r>
              <w:t>6.25</w:t>
            </w:r>
          </w:p>
        </w:tc>
        <w:tc>
          <w:tcPr>
            <w:tcW w:w="2835" w:type="dxa"/>
            <w:vAlign w:val="center"/>
          </w:tcPr>
          <w:p w14:paraId="2929B655">
            <w:pPr>
              <w:pStyle w:val="10"/>
            </w:pPr>
            <w:r>
              <w:t>其中：财政    资金</w:t>
            </w:r>
          </w:p>
        </w:tc>
        <w:tc>
          <w:tcPr>
            <w:tcW w:w="2551" w:type="dxa"/>
            <w:vAlign w:val="center"/>
          </w:tcPr>
          <w:p w14:paraId="68911DA8">
            <w:pPr>
              <w:pStyle w:val="12"/>
            </w:pPr>
            <w:r>
              <w:t>6.25</w:t>
            </w:r>
          </w:p>
        </w:tc>
        <w:tc>
          <w:tcPr>
            <w:tcW w:w="2268" w:type="dxa"/>
            <w:vAlign w:val="center"/>
          </w:tcPr>
          <w:p w14:paraId="67A6BCDB">
            <w:pPr>
              <w:pStyle w:val="10"/>
            </w:pPr>
            <w:r>
              <w:t>其他资金</w:t>
            </w:r>
          </w:p>
        </w:tc>
        <w:tc>
          <w:tcPr>
            <w:tcW w:w="1276" w:type="dxa"/>
            <w:vAlign w:val="center"/>
          </w:tcPr>
          <w:p w14:paraId="009241BC">
            <w:pPr>
              <w:pStyle w:val="12"/>
            </w:pPr>
            <w:r>
              <w:t xml:space="preserve"> </w:t>
            </w:r>
          </w:p>
        </w:tc>
      </w:tr>
      <w:tr w14:paraId="5DD38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7A098"/>
        </w:tc>
        <w:tc>
          <w:tcPr>
            <w:tcW w:w="14033" w:type="dxa"/>
            <w:gridSpan w:val="6"/>
            <w:vAlign w:val="center"/>
          </w:tcPr>
          <w:p w14:paraId="511C6B82">
            <w:pPr>
              <w:pStyle w:val="12"/>
            </w:pPr>
            <w:r>
              <w:t>有效完成学校教学安全秩序，保障学校教学任务有效开展，满足学校正常教学需要。</w:t>
            </w:r>
          </w:p>
        </w:tc>
      </w:tr>
      <w:tr w14:paraId="680BF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AB632">
            <w:pPr>
              <w:pStyle w:val="10"/>
            </w:pPr>
            <w:r>
              <w:t>资金支出计划（%）</w:t>
            </w:r>
          </w:p>
        </w:tc>
        <w:tc>
          <w:tcPr>
            <w:tcW w:w="5103" w:type="dxa"/>
            <w:gridSpan w:val="2"/>
            <w:vAlign w:val="center"/>
          </w:tcPr>
          <w:p w14:paraId="40CB9FB8">
            <w:pPr>
              <w:pStyle w:val="10"/>
            </w:pPr>
            <w:r>
              <w:t>3月底</w:t>
            </w:r>
          </w:p>
        </w:tc>
        <w:tc>
          <w:tcPr>
            <w:tcW w:w="2835" w:type="dxa"/>
            <w:vAlign w:val="center"/>
          </w:tcPr>
          <w:p w14:paraId="5E0EC4A2">
            <w:pPr>
              <w:pStyle w:val="10"/>
            </w:pPr>
            <w:r>
              <w:t>6月底</w:t>
            </w:r>
          </w:p>
        </w:tc>
        <w:tc>
          <w:tcPr>
            <w:tcW w:w="2551" w:type="dxa"/>
            <w:vAlign w:val="center"/>
          </w:tcPr>
          <w:p w14:paraId="50BEAF25">
            <w:pPr>
              <w:pStyle w:val="10"/>
            </w:pPr>
            <w:r>
              <w:t>10月底</w:t>
            </w:r>
          </w:p>
        </w:tc>
        <w:tc>
          <w:tcPr>
            <w:tcW w:w="3544" w:type="dxa"/>
            <w:gridSpan w:val="2"/>
            <w:vAlign w:val="center"/>
          </w:tcPr>
          <w:p w14:paraId="024539CD">
            <w:pPr>
              <w:pStyle w:val="10"/>
            </w:pPr>
            <w:r>
              <w:t>12月底</w:t>
            </w:r>
          </w:p>
        </w:tc>
      </w:tr>
      <w:tr w14:paraId="3441E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54F0B"/>
        </w:tc>
        <w:tc>
          <w:tcPr>
            <w:tcW w:w="5103" w:type="dxa"/>
            <w:gridSpan w:val="2"/>
            <w:vAlign w:val="center"/>
          </w:tcPr>
          <w:p w14:paraId="4EE12CC2">
            <w:pPr>
              <w:pStyle w:val="13"/>
            </w:pPr>
            <w:r>
              <w:t>25%</w:t>
            </w:r>
          </w:p>
        </w:tc>
        <w:tc>
          <w:tcPr>
            <w:tcW w:w="2835" w:type="dxa"/>
            <w:vAlign w:val="center"/>
          </w:tcPr>
          <w:p w14:paraId="5A8038DE">
            <w:pPr>
              <w:pStyle w:val="13"/>
            </w:pPr>
            <w:r>
              <w:t>50%</w:t>
            </w:r>
          </w:p>
        </w:tc>
        <w:tc>
          <w:tcPr>
            <w:tcW w:w="2551" w:type="dxa"/>
            <w:vAlign w:val="center"/>
          </w:tcPr>
          <w:p w14:paraId="0530755E">
            <w:pPr>
              <w:pStyle w:val="13"/>
            </w:pPr>
            <w:r>
              <w:t>75%</w:t>
            </w:r>
          </w:p>
        </w:tc>
        <w:tc>
          <w:tcPr>
            <w:tcW w:w="3544" w:type="dxa"/>
            <w:gridSpan w:val="2"/>
            <w:vAlign w:val="center"/>
          </w:tcPr>
          <w:p w14:paraId="576FAA83">
            <w:pPr>
              <w:pStyle w:val="13"/>
            </w:pPr>
            <w:r>
              <w:t>100%</w:t>
            </w:r>
          </w:p>
        </w:tc>
      </w:tr>
      <w:tr w14:paraId="0396E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6438C">
            <w:pPr>
              <w:pStyle w:val="10"/>
            </w:pPr>
            <w:r>
              <w:t>绩效目标</w:t>
            </w:r>
          </w:p>
        </w:tc>
        <w:tc>
          <w:tcPr>
            <w:tcW w:w="14033" w:type="dxa"/>
            <w:gridSpan w:val="6"/>
            <w:vAlign w:val="center"/>
          </w:tcPr>
          <w:p w14:paraId="26E2E3E1">
            <w:pPr>
              <w:pStyle w:val="12"/>
            </w:pPr>
            <w:r>
              <w:t>1.按规定拨付公用经费资金，预算执行率≥98%。</w:t>
            </w:r>
          </w:p>
          <w:p w14:paraId="71992005">
            <w:pPr>
              <w:pStyle w:val="12"/>
            </w:pPr>
            <w:r>
              <w:t>2.有效完成学校教学安全秩序，保障学校教学任务有效开展，满足学校正常教学需要。</w:t>
            </w:r>
          </w:p>
        </w:tc>
      </w:tr>
    </w:tbl>
    <w:p w14:paraId="59ABD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A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1E25E">
            <w:pPr>
              <w:pStyle w:val="10"/>
            </w:pPr>
            <w:r>
              <w:t>一级指标</w:t>
            </w:r>
          </w:p>
        </w:tc>
        <w:tc>
          <w:tcPr>
            <w:tcW w:w="2268" w:type="dxa"/>
            <w:vAlign w:val="center"/>
          </w:tcPr>
          <w:p w14:paraId="43F43FDC">
            <w:pPr>
              <w:pStyle w:val="10"/>
            </w:pPr>
            <w:r>
              <w:t>二级指标</w:t>
            </w:r>
          </w:p>
        </w:tc>
        <w:tc>
          <w:tcPr>
            <w:tcW w:w="2835" w:type="dxa"/>
            <w:vAlign w:val="center"/>
          </w:tcPr>
          <w:p w14:paraId="6E6D0E25">
            <w:pPr>
              <w:pStyle w:val="10"/>
            </w:pPr>
            <w:r>
              <w:t>三级指标</w:t>
            </w:r>
          </w:p>
        </w:tc>
        <w:tc>
          <w:tcPr>
            <w:tcW w:w="5386" w:type="dxa"/>
            <w:vAlign w:val="center"/>
          </w:tcPr>
          <w:p w14:paraId="4D6F0CED">
            <w:pPr>
              <w:pStyle w:val="10"/>
            </w:pPr>
            <w:r>
              <w:t>绩效指标描述</w:t>
            </w:r>
          </w:p>
        </w:tc>
        <w:tc>
          <w:tcPr>
            <w:tcW w:w="2268" w:type="dxa"/>
            <w:vAlign w:val="center"/>
          </w:tcPr>
          <w:p w14:paraId="722995CE">
            <w:pPr>
              <w:pStyle w:val="10"/>
            </w:pPr>
            <w:r>
              <w:t>指标值</w:t>
            </w:r>
          </w:p>
        </w:tc>
        <w:tc>
          <w:tcPr>
            <w:tcW w:w="1276" w:type="dxa"/>
            <w:vAlign w:val="center"/>
          </w:tcPr>
          <w:p w14:paraId="02FDF2DF">
            <w:pPr>
              <w:pStyle w:val="10"/>
            </w:pPr>
            <w:r>
              <w:t>指标值确定依据</w:t>
            </w:r>
          </w:p>
        </w:tc>
      </w:tr>
      <w:tr w14:paraId="3146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A50AF">
            <w:pPr>
              <w:pStyle w:val="13"/>
            </w:pPr>
            <w:r>
              <w:t>产出指标</w:t>
            </w:r>
          </w:p>
        </w:tc>
        <w:tc>
          <w:tcPr>
            <w:tcW w:w="2268" w:type="dxa"/>
            <w:vAlign w:val="center"/>
          </w:tcPr>
          <w:p w14:paraId="7A62909B">
            <w:pPr>
              <w:pStyle w:val="12"/>
            </w:pPr>
            <w:r>
              <w:t>成本指标</w:t>
            </w:r>
          </w:p>
        </w:tc>
        <w:tc>
          <w:tcPr>
            <w:tcW w:w="2835" w:type="dxa"/>
            <w:vAlign w:val="center"/>
          </w:tcPr>
          <w:p w14:paraId="1AFC2958">
            <w:pPr>
              <w:pStyle w:val="12"/>
            </w:pPr>
            <w:r>
              <w:t>生均拨款标准</w:t>
            </w:r>
          </w:p>
        </w:tc>
        <w:tc>
          <w:tcPr>
            <w:tcW w:w="5386" w:type="dxa"/>
            <w:vAlign w:val="center"/>
          </w:tcPr>
          <w:p w14:paraId="6A5D9A3A">
            <w:pPr>
              <w:pStyle w:val="12"/>
            </w:pPr>
            <w:r>
              <w:t>小学生公用经费生均小学720元。取暖费120元/生/年，随班就读学生补助7000元/生</w:t>
            </w:r>
          </w:p>
        </w:tc>
        <w:tc>
          <w:tcPr>
            <w:tcW w:w="2268" w:type="dxa"/>
            <w:vAlign w:val="center"/>
          </w:tcPr>
          <w:p w14:paraId="0C6A70A9">
            <w:pPr>
              <w:pStyle w:val="12"/>
            </w:pPr>
            <w:r>
              <w:t>840元</w:t>
            </w:r>
          </w:p>
        </w:tc>
        <w:tc>
          <w:tcPr>
            <w:tcW w:w="1276" w:type="dxa"/>
            <w:vAlign w:val="center"/>
          </w:tcPr>
          <w:p w14:paraId="5FD06A5F">
            <w:pPr>
              <w:pStyle w:val="12"/>
            </w:pPr>
            <w:r>
              <w:t>城乡义务教育公用经费管理办法</w:t>
            </w:r>
          </w:p>
        </w:tc>
      </w:tr>
      <w:tr w14:paraId="6B53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4FD9"/>
        </w:tc>
        <w:tc>
          <w:tcPr>
            <w:tcW w:w="2268" w:type="dxa"/>
            <w:vAlign w:val="center"/>
          </w:tcPr>
          <w:p w14:paraId="507F485A">
            <w:pPr>
              <w:pStyle w:val="12"/>
            </w:pPr>
            <w:r>
              <w:t>数量指标</w:t>
            </w:r>
          </w:p>
        </w:tc>
        <w:tc>
          <w:tcPr>
            <w:tcW w:w="2835" w:type="dxa"/>
            <w:vAlign w:val="center"/>
          </w:tcPr>
          <w:p w14:paraId="22C21A3B">
            <w:pPr>
              <w:pStyle w:val="12"/>
            </w:pPr>
            <w:r>
              <w:t>就读学生数</w:t>
            </w:r>
          </w:p>
        </w:tc>
        <w:tc>
          <w:tcPr>
            <w:tcW w:w="5386" w:type="dxa"/>
            <w:vAlign w:val="center"/>
          </w:tcPr>
          <w:p w14:paraId="60810322">
            <w:pPr>
              <w:pStyle w:val="12"/>
            </w:pPr>
            <w:r>
              <w:t>辐射区域内适龄学生人数</w:t>
            </w:r>
          </w:p>
        </w:tc>
        <w:tc>
          <w:tcPr>
            <w:tcW w:w="2268" w:type="dxa"/>
            <w:vAlign w:val="center"/>
          </w:tcPr>
          <w:p w14:paraId="1FB3D821">
            <w:pPr>
              <w:pStyle w:val="12"/>
            </w:pPr>
            <w:r>
              <w:t>635人</w:t>
            </w:r>
          </w:p>
        </w:tc>
        <w:tc>
          <w:tcPr>
            <w:tcW w:w="1276" w:type="dxa"/>
            <w:vAlign w:val="center"/>
          </w:tcPr>
          <w:p w14:paraId="0C66A677">
            <w:pPr>
              <w:pStyle w:val="12"/>
            </w:pPr>
            <w:r>
              <w:t>城乡义务教育公用经费管理办法</w:t>
            </w:r>
          </w:p>
        </w:tc>
      </w:tr>
      <w:tr w14:paraId="3E71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66B59"/>
        </w:tc>
        <w:tc>
          <w:tcPr>
            <w:tcW w:w="2268" w:type="dxa"/>
            <w:vAlign w:val="center"/>
          </w:tcPr>
          <w:p w14:paraId="53458312">
            <w:pPr>
              <w:pStyle w:val="12"/>
            </w:pPr>
            <w:r>
              <w:t>质量指标</w:t>
            </w:r>
          </w:p>
        </w:tc>
        <w:tc>
          <w:tcPr>
            <w:tcW w:w="2835" w:type="dxa"/>
            <w:vAlign w:val="center"/>
          </w:tcPr>
          <w:p w14:paraId="717CD149">
            <w:pPr>
              <w:pStyle w:val="12"/>
            </w:pPr>
            <w:r>
              <w:t>预算执行率</w:t>
            </w:r>
          </w:p>
        </w:tc>
        <w:tc>
          <w:tcPr>
            <w:tcW w:w="5386" w:type="dxa"/>
            <w:vAlign w:val="center"/>
          </w:tcPr>
          <w:p w14:paraId="723309FD">
            <w:pPr>
              <w:pStyle w:val="12"/>
            </w:pPr>
            <w:r>
              <w:t>预算执行率≥98%</w:t>
            </w:r>
          </w:p>
        </w:tc>
        <w:tc>
          <w:tcPr>
            <w:tcW w:w="2268" w:type="dxa"/>
            <w:vAlign w:val="center"/>
          </w:tcPr>
          <w:p w14:paraId="222E81C5">
            <w:pPr>
              <w:pStyle w:val="12"/>
            </w:pPr>
            <w:r>
              <w:t>≥98%</w:t>
            </w:r>
          </w:p>
        </w:tc>
        <w:tc>
          <w:tcPr>
            <w:tcW w:w="1276" w:type="dxa"/>
            <w:vAlign w:val="center"/>
          </w:tcPr>
          <w:p w14:paraId="5CE823E5">
            <w:pPr>
              <w:pStyle w:val="12"/>
            </w:pPr>
            <w:r>
              <w:t>城乡义务教育公用经费管理办法</w:t>
            </w:r>
          </w:p>
        </w:tc>
      </w:tr>
      <w:tr w14:paraId="5281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0F901"/>
        </w:tc>
        <w:tc>
          <w:tcPr>
            <w:tcW w:w="2268" w:type="dxa"/>
            <w:vAlign w:val="center"/>
          </w:tcPr>
          <w:p w14:paraId="45CBF8C1">
            <w:pPr>
              <w:pStyle w:val="12"/>
            </w:pPr>
            <w:r>
              <w:t>时效指标</w:t>
            </w:r>
          </w:p>
        </w:tc>
        <w:tc>
          <w:tcPr>
            <w:tcW w:w="2835" w:type="dxa"/>
            <w:vAlign w:val="center"/>
          </w:tcPr>
          <w:p w14:paraId="4FC540C7">
            <w:pPr>
              <w:pStyle w:val="12"/>
            </w:pPr>
            <w:r>
              <w:t>义教经费支付完成率</w:t>
            </w:r>
          </w:p>
        </w:tc>
        <w:tc>
          <w:tcPr>
            <w:tcW w:w="5386" w:type="dxa"/>
            <w:vAlign w:val="center"/>
          </w:tcPr>
          <w:p w14:paraId="207E60BB">
            <w:pPr>
              <w:pStyle w:val="12"/>
            </w:pPr>
            <w:r>
              <w:t>按照序时进度完成资金支付</w:t>
            </w:r>
          </w:p>
        </w:tc>
        <w:tc>
          <w:tcPr>
            <w:tcW w:w="2268" w:type="dxa"/>
            <w:vAlign w:val="center"/>
          </w:tcPr>
          <w:p w14:paraId="76A6C968">
            <w:pPr>
              <w:pStyle w:val="12"/>
            </w:pPr>
            <w:r>
              <w:t>100%</w:t>
            </w:r>
          </w:p>
        </w:tc>
        <w:tc>
          <w:tcPr>
            <w:tcW w:w="1276" w:type="dxa"/>
            <w:vAlign w:val="center"/>
          </w:tcPr>
          <w:p w14:paraId="565034A4">
            <w:pPr>
              <w:pStyle w:val="12"/>
            </w:pPr>
            <w:r>
              <w:t>城乡义务教育公用经费管理办法</w:t>
            </w:r>
          </w:p>
        </w:tc>
      </w:tr>
      <w:tr w14:paraId="41EA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EA1B2">
            <w:pPr>
              <w:pStyle w:val="13"/>
            </w:pPr>
            <w:r>
              <w:t>效益指标</w:t>
            </w:r>
          </w:p>
        </w:tc>
        <w:tc>
          <w:tcPr>
            <w:tcW w:w="2268" w:type="dxa"/>
            <w:vAlign w:val="center"/>
          </w:tcPr>
          <w:p w14:paraId="5742983A">
            <w:pPr>
              <w:pStyle w:val="12"/>
            </w:pPr>
            <w:r>
              <w:t>可持续影响指标</w:t>
            </w:r>
          </w:p>
        </w:tc>
        <w:tc>
          <w:tcPr>
            <w:tcW w:w="2835" w:type="dxa"/>
            <w:vAlign w:val="center"/>
          </w:tcPr>
          <w:p w14:paraId="4AF91F2E">
            <w:pPr>
              <w:pStyle w:val="12"/>
            </w:pPr>
            <w:r>
              <w:t>学校运转得到提高</w:t>
            </w:r>
          </w:p>
        </w:tc>
        <w:tc>
          <w:tcPr>
            <w:tcW w:w="5386" w:type="dxa"/>
            <w:vAlign w:val="center"/>
          </w:tcPr>
          <w:p w14:paraId="379A0C5B">
            <w:pPr>
              <w:pStyle w:val="12"/>
            </w:pPr>
            <w:r>
              <w:t>学生受教育年限</w:t>
            </w:r>
          </w:p>
        </w:tc>
        <w:tc>
          <w:tcPr>
            <w:tcW w:w="2268" w:type="dxa"/>
            <w:vAlign w:val="center"/>
          </w:tcPr>
          <w:p w14:paraId="1036B748">
            <w:pPr>
              <w:pStyle w:val="12"/>
            </w:pPr>
            <w:r>
              <w:t>6年</w:t>
            </w:r>
          </w:p>
        </w:tc>
        <w:tc>
          <w:tcPr>
            <w:tcW w:w="1276" w:type="dxa"/>
            <w:vAlign w:val="center"/>
          </w:tcPr>
          <w:p w14:paraId="0FB3B006">
            <w:pPr>
              <w:pStyle w:val="12"/>
            </w:pPr>
            <w:r>
              <w:t>城乡义务教育公用经费管理办法</w:t>
            </w:r>
          </w:p>
        </w:tc>
      </w:tr>
      <w:tr w14:paraId="6F17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70C45">
            <w:pPr>
              <w:pStyle w:val="13"/>
            </w:pPr>
            <w:r>
              <w:t>满意度指标</w:t>
            </w:r>
          </w:p>
        </w:tc>
        <w:tc>
          <w:tcPr>
            <w:tcW w:w="2268" w:type="dxa"/>
            <w:vAlign w:val="center"/>
          </w:tcPr>
          <w:p w14:paraId="18F26FDD">
            <w:pPr>
              <w:pStyle w:val="12"/>
            </w:pPr>
            <w:r>
              <w:t>服务对象满意度指标</w:t>
            </w:r>
          </w:p>
        </w:tc>
        <w:tc>
          <w:tcPr>
            <w:tcW w:w="2835" w:type="dxa"/>
            <w:vAlign w:val="center"/>
          </w:tcPr>
          <w:p w14:paraId="4EB2218E">
            <w:pPr>
              <w:pStyle w:val="12"/>
            </w:pPr>
            <w:r>
              <w:t>服务对象满意度</w:t>
            </w:r>
          </w:p>
        </w:tc>
        <w:tc>
          <w:tcPr>
            <w:tcW w:w="5386" w:type="dxa"/>
            <w:vAlign w:val="center"/>
          </w:tcPr>
          <w:p w14:paraId="52525A9E">
            <w:pPr>
              <w:pStyle w:val="12"/>
            </w:pPr>
            <w:r>
              <w:t>学校老师和学生满意度</w:t>
            </w:r>
          </w:p>
        </w:tc>
        <w:tc>
          <w:tcPr>
            <w:tcW w:w="2268" w:type="dxa"/>
            <w:vAlign w:val="center"/>
          </w:tcPr>
          <w:p w14:paraId="4CDF37EB">
            <w:pPr>
              <w:pStyle w:val="12"/>
            </w:pPr>
            <w:r>
              <w:t>≥95%</w:t>
            </w:r>
          </w:p>
        </w:tc>
        <w:tc>
          <w:tcPr>
            <w:tcW w:w="1276" w:type="dxa"/>
            <w:vAlign w:val="center"/>
          </w:tcPr>
          <w:p w14:paraId="584AE1DB">
            <w:pPr>
              <w:pStyle w:val="12"/>
            </w:pPr>
            <w:r>
              <w:t>问卷调查</w:t>
            </w:r>
          </w:p>
        </w:tc>
      </w:tr>
    </w:tbl>
    <w:p w14:paraId="11C5C9A4">
      <w:pPr>
        <w:sectPr>
          <w:pgSz w:w="16840" w:h="11900" w:orient="landscape"/>
          <w:pgMar w:top="1361" w:right="1020" w:bottom="1134" w:left="1020" w:header="720" w:footer="720" w:gutter="0"/>
          <w:cols w:space="720" w:num="1"/>
        </w:sectPr>
      </w:pPr>
    </w:p>
    <w:p w14:paraId="1371B193">
      <w:pPr>
        <w:spacing w:before="0" w:after="0"/>
        <w:ind w:firstLine="560"/>
        <w:jc w:val="left"/>
        <w:outlineLvl w:val="9"/>
      </w:pPr>
      <w:r>
        <w:rPr>
          <w:rFonts w:ascii="方正仿宋_GBK" w:hAnsi="方正仿宋_GBK" w:eastAsia="方正仿宋_GBK" w:cs="方正仿宋_GBK"/>
          <w:b/>
          <w:color w:val="000000"/>
          <w:sz w:val="28"/>
        </w:rPr>
        <w:t>25、县级配套/北楼校区南楼小学公用经费绩效目标表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70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832C9">
            <w:pPr>
              <w:pStyle w:val="11"/>
            </w:pPr>
            <w:r>
              <w:t>单位：万元</w:t>
            </w:r>
          </w:p>
        </w:tc>
      </w:tr>
      <w:tr w14:paraId="2A46A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30F47">
            <w:pPr>
              <w:pStyle w:val="10"/>
            </w:pPr>
            <w:r>
              <w:t>项目编码</w:t>
            </w:r>
          </w:p>
        </w:tc>
        <w:tc>
          <w:tcPr>
            <w:tcW w:w="5103" w:type="dxa"/>
            <w:gridSpan w:val="2"/>
            <w:vAlign w:val="center"/>
          </w:tcPr>
          <w:p w14:paraId="3D9C5D00">
            <w:pPr>
              <w:pStyle w:val="12"/>
            </w:pPr>
            <w:r>
              <w:t>13052526P00000410432E</w:t>
            </w:r>
          </w:p>
        </w:tc>
        <w:tc>
          <w:tcPr>
            <w:tcW w:w="2835" w:type="dxa"/>
            <w:vAlign w:val="center"/>
          </w:tcPr>
          <w:p w14:paraId="4CE5D100">
            <w:pPr>
              <w:pStyle w:val="10"/>
            </w:pPr>
            <w:r>
              <w:t>项目名称</w:t>
            </w:r>
          </w:p>
        </w:tc>
        <w:tc>
          <w:tcPr>
            <w:tcW w:w="6095" w:type="dxa"/>
            <w:gridSpan w:val="3"/>
            <w:vAlign w:val="center"/>
          </w:tcPr>
          <w:p w14:paraId="6EF9F175">
            <w:pPr>
              <w:pStyle w:val="12"/>
            </w:pPr>
            <w:r>
              <w:t>县级配套/北楼校区南楼小学公用经费</w:t>
            </w:r>
          </w:p>
        </w:tc>
      </w:tr>
      <w:tr w14:paraId="029DB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F3036">
            <w:pPr>
              <w:pStyle w:val="10"/>
            </w:pPr>
            <w:r>
              <w:t>预算规模及资金用途</w:t>
            </w:r>
          </w:p>
        </w:tc>
        <w:tc>
          <w:tcPr>
            <w:tcW w:w="2268" w:type="dxa"/>
            <w:vAlign w:val="center"/>
          </w:tcPr>
          <w:p w14:paraId="62DE3768">
            <w:pPr>
              <w:pStyle w:val="10"/>
            </w:pPr>
            <w:r>
              <w:t>预算数</w:t>
            </w:r>
          </w:p>
        </w:tc>
        <w:tc>
          <w:tcPr>
            <w:tcW w:w="2835" w:type="dxa"/>
            <w:vAlign w:val="center"/>
          </w:tcPr>
          <w:p w14:paraId="201B2DD9">
            <w:pPr>
              <w:pStyle w:val="12"/>
            </w:pPr>
            <w:r>
              <w:t>3.81</w:t>
            </w:r>
          </w:p>
        </w:tc>
        <w:tc>
          <w:tcPr>
            <w:tcW w:w="2835" w:type="dxa"/>
            <w:vAlign w:val="center"/>
          </w:tcPr>
          <w:p w14:paraId="00C9A887">
            <w:pPr>
              <w:pStyle w:val="10"/>
            </w:pPr>
            <w:r>
              <w:t>其中：财政    资金</w:t>
            </w:r>
          </w:p>
        </w:tc>
        <w:tc>
          <w:tcPr>
            <w:tcW w:w="2551" w:type="dxa"/>
            <w:vAlign w:val="center"/>
          </w:tcPr>
          <w:p w14:paraId="668F7994">
            <w:pPr>
              <w:pStyle w:val="12"/>
            </w:pPr>
            <w:r>
              <w:t>3.81</w:t>
            </w:r>
          </w:p>
        </w:tc>
        <w:tc>
          <w:tcPr>
            <w:tcW w:w="2268" w:type="dxa"/>
            <w:vAlign w:val="center"/>
          </w:tcPr>
          <w:p w14:paraId="408BAD1D">
            <w:pPr>
              <w:pStyle w:val="10"/>
            </w:pPr>
            <w:r>
              <w:t>其他资金</w:t>
            </w:r>
          </w:p>
        </w:tc>
        <w:tc>
          <w:tcPr>
            <w:tcW w:w="1276" w:type="dxa"/>
            <w:vAlign w:val="center"/>
          </w:tcPr>
          <w:p w14:paraId="526D065D">
            <w:pPr>
              <w:pStyle w:val="12"/>
            </w:pPr>
            <w:r>
              <w:t xml:space="preserve"> </w:t>
            </w:r>
          </w:p>
        </w:tc>
      </w:tr>
      <w:tr w14:paraId="3FFAB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18AD5"/>
        </w:tc>
        <w:tc>
          <w:tcPr>
            <w:tcW w:w="14033" w:type="dxa"/>
            <w:gridSpan w:val="6"/>
            <w:vAlign w:val="center"/>
          </w:tcPr>
          <w:p w14:paraId="38DB12ED">
            <w:pPr>
              <w:pStyle w:val="12"/>
            </w:pPr>
            <w:r>
              <w:t>有效完成学校教学安全秩序，保障学校教学任务有效开展，满足学校正常教学需要。</w:t>
            </w:r>
          </w:p>
        </w:tc>
      </w:tr>
      <w:tr w14:paraId="463BA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C7813">
            <w:pPr>
              <w:pStyle w:val="10"/>
            </w:pPr>
            <w:r>
              <w:t>资金支出计划（%）</w:t>
            </w:r>
          </w:p>
        </w:tc>
        <w:tc>
          <w:tcPr>
            <w:tcW w:w="5103" w:type="dxa"/>
            <w:gridSpan w:val="2"/>
            <w:vAlign w:val="center"/>
          </w:tcPr>
          <w:p w14:paraId="06171026">
            <w:pPr>
              <w:pStyle w:val="10"/>
            </w:pPr>
            <w:r>
              <w:t>3月底</w:t>
            </w:r>
          </w:p>
        </w:tc>
        <w:tc>
          <w:tcPr>
            <w:tcW w:w="2835" w:type="dxa"/>
            <w:vAlign w:val="center"/>
          </w:tcPr>
          <w:p w14:paraId="0CEA84FD">
            <w:pPr>
              <w:pStyle w:val="10"/>
            </w:pPr>
            <w:r>
              <w:t>6月底</w:t>
            </w:r>
          </w:p>
        </w:tc>
        <w:tc>
          <w:tcPr>
            <w:tcW w:w="2551" w:type="dxa"/>
            <w:vAlign w:val="center"/>
          </w:tcPr>
          <w:p w14:paraId="59F4F9DF">
            <w:pPr>
              <w:pStyle w:val="10"/>
            </w:pPr>
            <w:r>
              <w:t>10月底</w:t>
            </w:r>
          </w:p>
        </w:tc>
        <w:tc>
          <w:tcPr>
            <w:tcW w:w="3544" w:type="dxa"/>
            <w:gridSpan w:val="2"/>
            <w:vAlign w:val="center"/>
          </w:tcPr>
          <w:p w14:paraId="3630D2D5">
            <w:pPr>
              <w:pStyle w:val="10"/>
            </w:pPr>
            <w:r>
              <w:t>12月底</w:t>
            </w:r>
          </w:p>
        </w:tc>
      </w:tr>
      <w:tr w14:paraId="0176D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27FC0"/>
        </w:tc>
        <w:tc>
          <w:tcPr>
            <w:tcW w:w="5103" w:type="dxa"/>
            <w:gridSpan w:val="2"/>
            <w:vAlign w:val="center"/>
          </w:tcPr>
          <w:p w14:paraId="4A52A23B">
            <w:pPr>
              <w:pStyle w:val="13"/>
            </w:pPr>
            <w:r>
              <w:t>25%</w:t>
            </w:r>
          </w:p>
        </w:tc>
        <w:tc>
          <w:tcPr>
            <w:tcW w:w="2835" w:type="dxa"/>
            <w:vAlign w:val="center"/>
          </w:tcPr>
          <w:p w14:paraId="63955387">
            <w:pPr>
              <w:pStyle w:val="13"/>
            </w:pPr>
            <w:r>
              <w:t>50%</w:t>
            </w:r>
          </w:p>
        </w:tc>
        <w:tc>
          <w:tcPr>
            <w:tcW w:w="2551" w:type="dxa"/>
            <w:vAlign w:val="center"/>
          </w:tcPr>
          <w:p w14:paraId="71BDDE99">
            <w:pPr>
              <w:pStyle w:val="13"/>
            </w:pPr>
            <w:r>
              <w:t>75%</w:t>
            </w:r>
          </w:p>
        </w:tc>
        <w:tc>
          <w:tcPr>
            <w:tcW w:w="3544" w:type="dxa"/>
            <w:gridSpan w:val="2"/>
            <w:vAlign w:val="center"/>
          </w:tcPr>
          <w:p w14:paraId="5C9512B0">
            <w:pPr>
              <w:pStyle w:val="13"/>
            </w:pPr>
            <w:r>
              <w:t>100%</w:t>
            </w:r>
          </w:p>
        </w:tc>
      </w:tr>
      <w:tr w14:paraId="1A3AE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9327D">
            <w:pPr>
              <w:pStyle w:val="10"/>
            </w:pPr>
            <w:r>
              <w:t>绩效目标</w:t>
            </w:r>
          </w:p>
        </w:tc>
        <w:tc>
          <w:tcPr>
            <w:tcW w:w="14033" w:type="dxa"/>
            <w:gridSpan w:val="6"/>
            <w:vAlign w:val="center"/>
          </w:tcPr>
          <w:p w14:paraId="335ECF10">
            <w:pPr>
              <w:pStyle w:val="12"/>
            </w:pPr>
            <w:r>
              <w:t>1.按规定拨付公用经费资金，预算执行率≥98%。</w:t>
            </w:r>
          </w:p>
          <w:p w14:paraId="57ED3132">
            <w:pPr>
              <w:pStyle w:val="12"/>
            </w:pPr>
            <w:r>
              <w:t>2.有效完成学校教学安全秩序，保障学校教学任务有效开展，满足学校正常教学需要。</w:t>
            </w:r>
          </w:p>
        </w:tc>
      </w:tr>
    </w:tbl>
    <w:p w14:paraId="42619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7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A70B2">
            <w:pPr>
              <w:pStyle w:val="10"/>
            </w:pPr>
            <w:r>
              <w:t>一级指标</w:t>
            </w:r>
          </w:p>
        </w:tc>
        <w:tc>
          <w:tcPr>
            <w:tcW w:w="2268" w:type="dxa"/>
            <w:vAlign w:val="center"/>
          </w:tcPr>
          <w:p w14:paraId="3824778E">
            <w:pPr>
              <w:pStyle w:val="10"/>
            </w:pPr>
            <w:r>
              <w:t>二级指标</w:t>
            </w:r>
          </w:p>
        </w:tc>
        <w:tc>
          <w:tcPr>
            <w:tcW w:w="2835" w:type="dxa"/>
            <w:vAlign w:val="center"/>
          </w:tcPr>
          <w:p w14:paraId="2E26B5C6">
            <w:pPr>
              <w:pStyle w:val="10"/>
            </w:pPr>
            <w:r>
              <w:t>三级指标</w:t>
            </w:r>
          </w:p>
        </w:tc>
        <w:tc>
          <w:tcPr>
            <w:tcW w:w="5386" w:type="dxa"/>
            <w:vAlign w:val="center"/>
          </w:tcPr>
          <w:p w14:paraId="00B13C0A">
            <w:pPr>
              <w:pStyle w:val="10"/>
            </w:pPr>
            <w:r>
              <w:t>绩效指标描述</w:t>
            </w:r>
          </w:p>
        </w:tc>
        <w:tc>
          <w:tcPr>
            <w:tcW w:w="2268" w:type="dxa"/>
            <w:vAlign w:val="center"/>
          </w:tcPr>
          <w:p w14:paraId="351E9CD7">
            <w:pPr>
              <w:pStyle w:val="10"/>
            </w:pPr>
            <w:r>
              <w:t>指标值</w:t>
            </w:r>
          </w:p>
        </w:tc>
        <w:tc>
          <w:tcPr>
            <w:tcW w:w="1276" w:type="dxa"/>
            <w:vAlign w:val="center"/>
          </w:tcPr>
          <w:p w14:paraId="27CF4923">
            <w:pPr>
              <w:pStyle w:val="10"/>
            </w:pPr>
            <w:r>
              <w:t>指标值确定依据</w:t>
            </w:r>
          </w:p>
        </w:tc>
      </w:tr>
      <w:tr w14:paraId="7F38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705AF">
            <w:pPr>
              <w:pStyle w:val="13"/>
            </w:pPr>
            <w:r>
              <w:t>产出指标</w:t>
            </w:r>
          </w:p>
        </w:tc>
        <w:tc>
          <w:tcPr>
            <w:tcW w:w="2268" w:type="dxa"/>
            <w:vAlign w:val="center"/>
          </w:tcPr>
          <w:p w14:paraId="00F793F4">
            <w:pPr>
              <w:pStyle w:val="12"/>
            </w:pPr>
            <w:r>
              <w:t>成本指标</w:t>
            </w:r>
          </w:p>
        </w:tc>
        <w:tc>
          <w:tcPr>
            <w:tcW w:w="2835" w:type="dxa"/>
            <w:vAlign w:val="center"/>
          </w:tcPr>
          <w:p w14:paraId="2757DC2E">
            <w:pPr>
              <w:pStyle w:val="12"/>
            </w:pPr>
            <w:r>
              <w:t>生均拨款标准</w:t>
            </w:r>
          </w:p>
        </w:tc>
        <w:tc>
          <w:tcPr>
            <w:tcW w:w="5386" w:type="dxa"/>
            <w:vAlign w:val="center"/>
          </w:tcPr>
          <w:p w14:paraId="4B2A1FF0">
            <w:pPr>
              <w:pStyle w:val="12"/>
            </w:pPr>
            <w:r>
              <w:t>小学生公用经费生均小学720元。取暖费120元/生/年，随班就读学生补助7000元/生</w:t>
            </w:r>
          </w:p>
        </w:tc>
        <w:tc>
          <w:tcPr>
            <w:tcW w:w="2268" w:type="dxa"/>
            <w:vAlign w:val="center"/>
          </w:tcPr>
          <w:p w14:paraId="7D808CC8">
            <w:pPr>
              <w:pStyle w:val="12"/>
            </w:pPr>
            <w:r>
              <w:t>840元</w:t>
            </w:r>
          </w:p>
        </w:tc>
        <w:tc>
          <w:tcPr>
            <w:tcW w:w="1276" w:type="dxa"/>
            <w:vAlign w:val="center"/>
          </w:tcPr>
          <w:p w14:paraId="34F05638">
            <w:pPr>
              <w:pStyle w:val="12"/>
            </w:pPr>
            <w:r>
              <w:t>城乡义务教育公用经费管理办法</w:t>
            </w:r>
          </w:p>
        </w:tc>
      </w:tr>
      <w:tr w14:paraId="7452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706AB"/>
        </w:tc>
        <w:tc>
          <w:tcPr>
            <w:tcW w:w="2268" w:type="dxa"/>
            <w:vAlign w:val="center"/>
          </w:tcPr>
          <w:p w14:paraId="049269D3">
            <w:pPr>
              <w:pStyle w:val="12"/>
            </w:pPr>
            <w:r>
              <w:t>数量指标</w:t>
            </w:r>
          </w:p>
        </w:tc>
        <w:tc>
          <w:tcPr>
            <w:tcW w:w="2835" w:type="dxa"/>
            <w:vAlign w:val="center"/>
          </w:tcPr>
          <w:p w14:paraId="5C1FAAB5">
            <w:pPr>
              <w:pStyle w:val="12"/>
            </w:pPr>
            <w:r>
              <w:t>就读学生数</w:t>
            </w:r>
          </w:p>
        </w:tc>
        <w:tc>
          <w:tcPr>
            <w:tcW w:w="5386" w:type="dxa"/>
            <w:vAlign w:val="center"/>
          </w:tcPr>
          <w:p w14:paraId="13087A67">
            <w:pPr>
              <w:pStyle w:val="12"/>
            </w:pPr>
            <w:r>
              <w:t>辐射区域内适龄学生人数</w:t>
            </w:r>
          </w:p>
        </w:tc>
        <w:tc>
          <w:tcPr>
            <w:tcW w:w="2268" w:type="dxa"/>
            <w:vAlign w:val="center"/>
          </w:tcPr>
          <w:p w14:paraId="0455E452">
            <w:pPr>
              <w:pStyle w:val="12"/>
            </w:pPr>
            <w:r>
              <w:t>446人</w:t>
            </w:r>
          </w:p>
        </w:tc>
        <w:tc>
          <w:tcPr>
            <w:tcW w:w="1276" w:type="dxa"/>
            <w:vAlign w:val="center"/>
          </w:tcPr>
          <w:p w14:paraId="23001DD7">
            <w:pPr>
              <w:pStyle w:val="12"/>
            </w:pPr>
            <w:r>
              <w:t>城乡义务教育公用经费管理办法</w:t>
            </w:r>
          </w:p>
        </w:tc>
      </w:tr>
      <w:tr w14:paraId="470F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7AF92"/>
        </w:tc>
        <w:tc>
          <w:tcPr>
            <w:tcW w:w="2268" w:type="dxa"/>
            <w:vAlign w:val="center"/>
          </w:tcPr>
          <w:p w14:paraId="4D7C71A2">
            <w:pPr>
              <w:pStyle w:val="12"/>
            </w:pPr>
            <w:r>
              <w:t>质量指标</w:t>
            </w:r>
          </w:p>
        </w:tc>
        <w:tc>
          <w:tcPr>
            <w:tcW w:w="2835" w:type="dxa"/>
            <w:vAlign w:val="center"/>
          </w:tcPr>
          <w:p w14:paraId="119704BE">
            <w:pPr>
              <w:pStyle w:val="12"/>
            </w:pPr>
            <w:r>
              <w:t>预算执行率</w:t>
            </w:r>
          </w:p>
        </w:tc>
        <w:tc>
          <w:tcPr>
            <w:tcW w:w="5386" w:type="dxa"/>
            <w:vAlign w:val="center"/>
          </w:tcPr>
          <w:p w14:paraId="58DF12EE">
            <w:pPr>
              <w:pStyle w:val="12"/>
            </w:pPr>
            <w:r>
              <w:t>预算执行率≥98%</w:t>
            </w:r>
          </w:p>
        </w:tc>
        <w:tc>
          <w:tcPr>
            <w:tcW w:w="2268" w:type="dxa"/>
            <w:vAlign w:val="center"/>
          </w:tcPr>
          <w:p w14:paraId="37B62F2E">
            <w:pPr>
              <w:pStyle w:val="12"/>
            </w:pPr>
            <w:r>
              <w:t>≥98%</w:t>
            </w:r>
          </w:p>
        </w:tc>
        <w:tc>
          <w:tcPr>
            <w:tcW w:w="1276" w:type="dxa"/>
            <w:vAlign w:val="center"/>
          </w:tcPr>
          <w:p w14:paraId="7B109065">
            <w:pPr>
              <w:pStyle w:val="12"/>
            </w:pPr>
            <w:r>
              <w:t>城乡义务教育公用经费管理办法</w:t>
            </w:r>
          </w:p>
        </w:tc>
      </w:tr>
      <w:tr w14:paraId="7413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75D7B"/>
        </w:tc>
        <w:tc>
          <w:tcPr>
            <w:tcW w:w="2268" w:type="dxa"/>
            <w:vAlign w:val="center"/>
          </w:tcPr>
          <w:p w14:paraId="5137C701">
            <w:pPr>
              <w:pStyle w:val="12"/>
            </w:pPr>
            <w:r>
              <w:t>时效指标</w:t>
            </w:r>
          </w:p>
        </w:tc>
        <w:tc>
          <w:tcPr>
            <w:tcW w:w="2835" w:type="dxa"/>
            <w:vAlign w:val="center"/>
          </w:tcPr>
          <w:p w14:paraId="24CE8416">
            <w:pPr>
              <w:pStyle w:val="12"/>
            </w:pPr>
            <w:r>
              <w:t>义教经费支付完成率</w:t>
            </w:r>
          </w:p>
        </w:tc>
        <w:tc>
          <w:tcPr>
            <w:tcW w:w="5386" w:type="dxa"/>
            <w:vAlign w:val="center"/>
          </w:tcPr>
          <w:p w14:paraId="154CE0CF">
            <w:pPr>
              <w:pStyle w:val="12"/>
            </w:pPr>
            <w:r>
              <w:t>按照序时进度完成资金支付</w:t>
            </w:r>
          </w:p>
        </w:tc>
        <w:tc>
          <w:tcPr>
            <w:tcW w:w="2268" w:type="dxa"/>
            <w:vAlign w:val="center"/>
          </w:tcPr>
          <w:p w14:paraId="3E77854E">
            <w:pPr>
              <w:pStyle w:val="12"/>
            </w:pPr>
            <w:r>
              <w:t>100%</w:t>
            </w:r>
          </w:p>
        </w:tc>
        <w:tc>
          <w:tcPr>
            <w:tcW w:w="1276" w:type="dxa"/>
            <w:vAlign w:val="center"/>
          </w:tcPr>
          <w:p w14:paraId="0CE523DA">
            <w:pPr>
              <w:pStyle w:val="12"/>
            </w:pPr>
            <w:r>
              <w:t>城乡义务教育公用经费管理办法</w:t>
            </w:r>
          </w:p>
        </w:tc>
      </w:tr>
      <w:tr w14:paraId="531E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E036F">
            <w:pPr>
              <w:pStyle w:val="13"/>
            </w:pPr>
            <w:r>
              <w:t>效益指标</w:t>
            </w:r>
          </w:p>
        </w:tc>
        <w:tc>
          <w:tcPr>
            <w:tcW w:w="2268" w:type="dxa"/>
            <w:vAlign w:val="center"/>
          </w:tcPr>
          <w:p w14:paraId="2989E42B">
            <w:pPr>
              <w:pStyle w:val="12"/>
            </w:pPr>
            <w:r>
              <w:t>可持续影响指标</w:t>
            </w:r>
          </w:p>
        </w:tc>
        <w:tc>
          <w:tcPr>
            <w:tcW w:w="2835" w:type="dxa"/>
            <w:vAlign w:val="center"/>
          </w:tcPr>
          <w:p w14:paraId="622FE7B3">
            <w:pPr>
              <w:pStyle w:val="12"/>
            </w:pPr>
            <w:r>
              <w:t>学校运转得到提高</w:t>
            </w:r>
          </w:p>
        </w:tc>
        <w:tc>
          <w:tcPr>
            <w:tcW w:w="5386" w:type="dxa"/>
            <w:vAlign w:val="center"/>
          </w:tcPr>
          <w:p w14:paraId="7D30364E">
            <w:pPr>
              <w:pStyle w:val="12"/>
            </w:pPr>
            <w:r>
              <w:t>学生受教育年限</w:t>
            </w:r>
          </w:p>
        </w:tc>
        <w:tc>
          <w:tcPr>
            <w:tcW w:w="2268" w:type="dxa"/>
            <w:vAlign w:val="center"/>
          </w:tcPr>
          <w:p w14:paraId="3299D125">
            <w:pPr>
              <w:pStyle w:val="12"/>
            </w:pPr>
            <w:r>
              <w:t>6年</w:t>
            </w:r>
          </w:p>
        </w:tc>
        <w:tc>
          <w:tcPr>
            <w:tcW w:w="1276" w:type="dxa"/>
            <w:vAlign w:val="center"/>
          </w:tcPr>
          <w:p w14:paraId="37977B77">
            <w:pPr>
              <w:pStyle w:val="12"/>
            </w:pPr>
            <w:r>
              <w:t>城乡义务教育公用经费管理办法</w:t>
            </w:r>
          </w:p>
        </w:tc>
      </w:tr>
      <w:tr w14:paraId="7404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C75A9">
            <w:pPr>
              <w:pStyle w:val="13"/>
            </w:pPr>
            <w:r>
              <w:t>满意度指标</w:t>
            </w:r>
          </w:p>
        </w:tc>
        <w:tc>
          <w:tcPr>
            <w:tcW w:w="2268" w:type="dxa"/>
            <w:vAlign w:val="center"/>
          </w:tcPr>
          <w:p w14:paraId="1FAB7EB0">
            <w:pPr>
              <w:pStyle w:val="12"/>
            </w:pPr>
            <w:r>
              <w:t>服务对象满意度指标</w:t>
            </w:r>
          </w:p>
        </w:tc>
        <w:tc>
          <w:tcPr>
            <w:tcW w:w="2835" w:type="dxa"/>
            <w:vAlign w:val="center"/>
          </w:tcPr>
          <w:p w14:paraId="6F7F2998">
            <w:pPr>
              <w:pStyle w:val="12"/>
            </w:pPr>
            <w:r>
              <w:t>服务对象满意度</w:t>
            </w:r>
          </w:p>
        </w:tc>
        <w:tc>
          <w:tcPr>
            <w:tcW w:w="5386" w:type="dxa"/>
            <w:vAlign w:val="center"/>
          </w:tcPr>
          <w:p w14:paraId="4D588347">
            <w:pPr>
              <w:pStyle w:val="12"/>
            </w:pPr>
            <w:r>
              <w:t>学校老师和学生满意度</w:t>
            </w:r>
          </w:p>
        </w:tc>
        <w:tc>
          <w:tcPr>
            <w:tcW w:w="2268" w:type="dxa"/>
            <w:vAlign w:val="center"/>
          </w:tcPr>
          <w:p w14:paraId="262BE1BA">
            <w:pPr>
              <w:pStyle w:val="12"/>
            </w:pPr>
            <w:r>
              <w:t>≥95%</w:t>
            </w:r>
          </w:p>
        </w:tc>
        <w:tc>
          <w:tcPr>
            <w:tcW w:w="1276" w:type="dxa"/>
            <w:vAlign w:val="center"/>
          </w:tcPr>
          <w:p w14:paraId="3321CA22">
            <w:pPr>
              <w:pStyle w:val="12"/>
            </w:pPr>
            <w:r>
              <w:t>问卷调查</w:t>
            </w:r>
          </w:p>
        </w:tc>
      </w:tr>
    </w:tbl>
    <w:p w14:paraId="0842456D">
      <w:pPr>
        <w:sectPr>
          <w:pgSz w:w="16840" w:h="11900" w:orient="landscape"/>
          <w:pgMar w:top="1361" w:right="1020" w:bottom="1134" w:left="1020" w:header="720" w:footer="720" w:gutter="0"/>
          <w:cols w:space="720" w:num="1"/>
        </w:sectPr>
      </w:pPr>
    </w:p>
    <w:p w14:paraId="6906D24D">
      <w:pPr>
        <w:spacing w:before="0" w:after="0"/>
        <w:ind w:firstLine="560"/>
        <w:jc w:val="left"/>
        <w:outlineLvl w:val="9"/>
      </w:pPr>
      <w:r>
        <w:rPr>
          <w:rFonts w:ascii="方正仿宋_GBK" w:hAnsi="方正仿宋_GBK" w:eastAsia="方正仿宋_GBK" w:cs="方正仿宋_GBK"/>
          <w:b/>
          <w:color w:val="000000"/>
          <w:sz w:val="28"/>
        </w:rPr>
        <w:t>26、县级配套/北楼校区南汪店小学公用经费绩效目标表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1D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65383">
            <w:pPr>
              <w:pStyle w:val="11"/>
            </w:pPr>
            <w:r>
              <w:t>单位：万元</w:t>
            </w:r>
          </w:p>
        </w:tc>
      </w:tr>
      <w:tr w14:paraId="7754E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30A22">
            <w:pPr>
              <w:pStyle w:val="10"/>
            </w:pPr>
            <w:r>
              <w:t>项目编码</w:t>
            </w:r>
          </w:p>
        </w:tc>
        <w:tc>
          <w:tcPr>
            <w:tcW w:w="5103" w:type="dxa"/>
            <w:gridSpan w:val="2"/>
            <w:vAlign w:val="center"/>
          </w:tcPr>
          <w:p w14:paraId="7B46D411">
            <w:pPr>
              <w:pStyle w:val="12"/>
            </w:pPr>
            <w:r>
              <w:t>13052526P00000410434M</w:t>
            </w:r>
          </w:p>
        </w:tc>
        <w:tc>
          <w:tcPr>
            <w:tcW w:w="2835" w:type="dxa"/>
            <w:vAlign w:val="center"/>
          </w:tcPr>
          <w:p w14:paraId="7CA36485">
            <w:pPr>
              <w:pStyle w:val="10"/>
            </w:pPr>
            <w:r>
              <w:t>项目名称</w:t>
            </w:r>
          </w:p>
        </w:tc>
        <w:tc>
          <w:tcPr>
            <w:tcW w:w="6095" w:type="dxa"/>
            <w:gridSpan w:val="3"/>
            <w:vAlign w:val="center"/>
          </w:tcPr>
          <w:p w14:paraId="0608E999">
            <w:pPr>
              <w:pStyle w:val="12"/>
            </w:pPr>
            <w:r>
              <w:t>县级配套/北楼校区南汪店小学公用经费</w:t>
            </w:r>
          </w:p>
        </w:tc>
      </w:tr>
      <w:tr w14:paraId="7393A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92F6F">
            <w:pPr>
              <w:pStyle w:val="10"/>
            </w:pPr>
            <w:r>
              <w:t>预算规模及资金用途</w:t>
            </w:r>
          </w:p>
        </w:tc>
        <w:tc>
          <w:tcPr>
            <w:tcW w:w="2268" w:type="dxa"/>
            <w:vAlign w:val="center"/>
          </w:tcPr>
          <w:p w14:paraId="78E90C43">
            <w:pPr>
              <w:pStyle w:val="10"/>
            </w:pPr>
            <w:r>
              <w:t>预算数</w:t>
            </w:r>
          </w:p>
        </w:tc>
        <w:tc>
          <w:tcPr>
            <w:tcW w:w="2835" w:type="dxa"/>
            <w:vAlign w:val="center"/>
          </w:tcPr>
          <w:p w14:paraId="50627128">
            <w:pPr>
              <w:pStyle w:val="12"/>
            </w:pPr>
            <w:r>
              <w:t>3.60</w:t>
            </w:r>
          </w:p>
        </w:tc>
        <w:tc>
          <w:tcPr>
            <w:tcW w:w="2835" w:type="dxa"/>
            <w:vAlign w:val="center"/>
          </w:tcPr>
          <w:p w14:paraId="7B661AD1">
            <w:pPr>
              <w:pStyle w:val="10"/>
            </w:pPr>
            <w:r>
              <w:t>其中：财政    资金</w:t>
            </w:r>
          </w:p>
        </w:tc>
        <w:tc>
          <w:tcPr>
            <w:tcW w:w="2551" w:type="dxa"/>
            <w:vAlign w:val="center"/>
          </w:tcPr>
          <w:p w14:paraId="48086AEA">
            <w:pPr>
              <w:pStyle w:val="12"/>
            </w:pPr>
            <w:r>
              <w:t>3.60</w:t>
            </w:r>
          </w:p>
        </w:tc>
        <w:tc>
          <w:tcPr>
            <w:tcW w:w="2268" w:type="dxa"/>
            <w:vAlign w:val="center"/>
          </w:tcPr>
          <w:p w14:paraId="4A2D1CD4">
            <w:pPr>
              <w:pStyle w:val="10"/>
            </w:pPr>
            <w:r>
              <w:t>其他资金</w:t>
            </w:r>
          </w:p>
        </w:tc>
        <w:tc>
          <w:tcPr>
            <w:tcW w:w="1276" w:type="dxa"/>
            <w:vAlign w:val="center"/>
          </w:tcPr>
          <w:p w14:paraId="6AA1FBEE">
            <w:pPr>
              <w:pStyle w:val="12"/>
            </w:pPr>
            <w:r>
              <w:t xml:space="preserve"> </w:t>
            </w:r>
          </w:p>
        </w:tc>
      </w:tr>
      <w:tr w14:paraId="071FB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FAC7C"/>
        </w:tc>
        <w:tc>
          <w:tcPr>
            <w:tcW w:w="14033" w:type="dxa"/>
            <w:gridSpan w:val="6"/>
            <w:vAlign w:val="center"/>
          </w:tcPr>
          <w:p w14:paraId="3AF3ACE0">
            <w:pPr>
              <w:pStyle w:val="12"/>
            </w:pPr>
            <w:r>
              <w:t>有效完成学校教学安全秩序，保障学校教学任务有效开展，满足学校正常教学需要。</w:t>
            </w:r>
          </w:p>
        </w:tc>
      </w:tr>
      <w:tr w14:paraId="557DD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86BAE">
            <w:pPr>
              <w:pStyle w:val="10"/>
            </w:pPr>
            <w:r>
              <w:t>资金支出计划（%）</w:t>
            </w:r>
          </w:p>
        </w:tc>
        <w:tc>
          <w:tcPr>
            <w:tcW w:w="5103" w:type="dxa"/>
            <w:gridSpan w:val="2"/>
            <w:vAlign w:val="center"/>
          </w:tcPr>
          <w:p w14:paraId="4FA57D10">
            <w:pPr>
              <w:pStyle w:val="10"/>
            </w:pPr>
            <w:r>
              <w:t>3月底</w:t>
            </w:r>
          </w:p>
        </w:tc>
        <w:tc>
          <w:tcPr>
            <w:tcW w:w="2835" w:type="dxa"/>
            <w:vAlign w:val="center"/>
          </w:tcPr>
          <w:p w14:paraId="1950F60A">
            <w:pPr>
              <w:pStyle w:val="10"/>
            </w:pPr>
            <w:r>
              <w:t>6月底</w:t>
            </w:r>
          </w:p>
        </w:tc>
        <w:tc>
          <w:tcPr>
            <w:tcW w:w="2551" w:type="dxa"/>
            <w:vAlign w:val="center"/>
          </w:tcPr>
          <w:p w14:paraId="02C85C16">
            <w:pPr>
              <w:pStyle w:val="10"/>
            </w:pPr>
            <w:r>
              <w:t>10月底</w:t>
            </w:r>
          </w:p>
        </w:tc>
        <w:tc>
          <w:tcPr>
            <w:tcW w:w="3544" w:type="dxa"/>
            <w:gridSpan w:val="2"/>
            <w:vAlign w:val="center"/>
          </w:tcPr>
          <w:p w14:paraId="704D9020">
            <w:pPr>
              <w:pStyle w:val="10"/>
            </w:pPr>
            <w:r>
              <w:t>12月底</w:t>
            </w:r>
          </w:p>
        </w:tc>
      </w:tr>
      <w:tr w14:paraId="58077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FDD54"/>
        </w:tc>
        <w:tc>
          <w:tcPr>
            <w:tcW w:w="5103" w:type="dxa"/>
            <w:gridSpan w:val="2"/>
            <w:vAlign w:val="center"/>
          </w:tcPr>
          <w:p w14:paraId="4559C27B">
            <w:pPr>
              <w:pStyle w:val="13"/>
            </w:pPr>
            <w:r>
              <w:t>25%</w:t>
            </w:r>
          </w:p>
        </w:tc>
        <w:tc>
          <w:tcPr>
            <w:tcW w:w="2835" w:type="dxa"/>
            <w:vAlign w:val="center"/>
          </w:tcPr>
          <w:p w14:paraId="141C1BAB">
            <w:pPr>
              <w:pStyle w:val="13"/>
            </w:pPr>
            <w:r>
              <w:t>50%</w:t>
            </w:r>
          </w:p>
        </w:tc>
        <w:tc>
          <w:tcPr>
            <w:tcW w:w="2551" w:type="dxa"/>
            <w:vAlign w:val="center"/>
          </w:tcPr>
          <w:p w14:paraId="48A825D1">
            <w:pPr>
              <w:pStyle w:val="13"/>
            </w:pPr>
            <w:r>
              <w:t>75%</w:t>
            </w:r>
          </w:p>
        </w:tc>
        <w:tc>
          <w:tcPr>
            <w:tcW w:w="3544" w:type="dxa"/>
            <w:gridSpan w:val="2"/>
            <w:vAlign w:val="center"/>
          </w:tcPr>
          <w:p w14:paraId="1EFC03BC">
            <w:pPr>
              <w:pStyle w:val="13"/>
            </w:pPr>
            <w:r>
              <w:t>100%</w:t>
            </w:r>
          </w:p>
        </w:tc>
      </w:tr>
      <w:tr w14:paraId="53535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6BFB6">
            <w:pPr>
              <w:pStyle w:val="10"/>
            </w:pPr>
            <w:r>
              <w:t>绩效目标</w:t>
            </w:r>
          </w:p>
        </w:tc>
        <w:tc>
          <w:tcPr>
            <w:tcW w:w="14033" w:type="dxa"/>
            <w:gridSpan w:val="6"/>
            <w:vAlign w:val="center"/>
          </w:tcPr>
          <w:p w14:paraId="1DAC473A">
            <w:pPr>
              <w:pStyle w:val="12"/>
            </w:pPr>
            <w:r>
              <w:t>1.按规定拨付公用经费资金，预算执行率≥98%。</w:t>
            </w:r>
          </w:p>
          <w:p w14:paraId="26F7669E">
            <w:pPr>
              <w:pStyle w:val="12"/>
            </w:pPr>
            <w:r>
              <w:t>2.有效完成学校教学安全秩序，保障学校教学任务有效开展，满足学校正常教学需要。</w:t>
            </w:r>
          </w:p>
        </w:tc>
      </w:tr>
    </w:tbl>
    <w:p w14:paraId="57487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E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C3111">
            <w:pPr>
              <w:pStyle w:val="10"/>
            </w:pPr>
            <w:r>
              <w:t>一级指标</w:t>
            </w:r>
          </w:p>
        </w:tc>
        <w:tc>
          <w:tcPr>
            <w:tcW w:w="2268" w:type="dxa"/>
            <w:vAlign w:val="center"/>
          </w:tcPr>
          <w:p w14:paraId="0748D176">
            <w:pPr>
              <w:pStyle w:val="10"/>
            </w:pPr>
            <w:r>
              <w:t>二级指标</w:t>
            </w:r>
          </w:p>
        </w:tc>
        <w:tc>
          <w:tcPr>
            <w:tcW w:w="2835" w:type="dxa"/>
            <w:vAlign w:val="center"/>
          </w:tcPr>
          <w:p w14:paraId="0DFA55CA">
            <w:pPr>
              <w:pStyle w:val="10"/>
            </w:pPr>
            <w:r>
              <w:t>三级指标</w:t>
            </w:r>
          </w:p>
        </w:tc>
        <w:tc>
          <w:tcPr>
            <w:tcW w:w="5386" w:type="dxa"/>
            <w:vAlign w:val="center"/>
          </w:tcPr>
          <w:p w14:paraId="05001EA7">
            <w:pPr>
              <w:pStyle w:val="10"/>
            </w:pPr>
            <w:r>
              <w:t>绩效指标描述</w:t>
            </w:r>
          </w:p>
        </w:tc>
        <w:tc>
          <w:tcPr>
            <w:tcW w:w="2268" w:type="dxa"/>
            <w:vAlign w:val="center"/>
          </w:tcPr>
          <w:p w14:paraId="598843E8">
            <w:pPr>
              <w:pStyle w:val="10"/>
            </w:pPr>
            <w:r>
              <w:t>指标值</w:t>
            </w:r>
          </w:p>
        </w:tc>
        <w:tc>
          <w:tcPr>
            <w:tcW w:w="1276" w:type="dxa"/>
            <w:vAlign w:val="center"/>
          </w:tcPr>
          <w:p w14:paraId="74A8A857">
            <w:pPr>
              <w:pStyle w:val="10"/>
            </w:pPr>
            <w:r>
              <w:t>指标值确定依据</w:t>
            </w:r>
          </w:p>
        </w:tc>
      </w:tr>
      <w:tr w14:paraId="2FEF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9E91E">
            <w:pPr>
              <w:pStyle w:val="13"/>
            </w:pPr>
            <w:r>
              <w:t>产出指标</w:t>
            </w:r>
          </w:p>
        </w:tc>
        <w:tc>
          <w:tcPr>
            <w:tcW w:w="2268" w:type="dxa"/>
            <w:vAlign w:val="center"/>
          </w:tcPr>
          <w:p w14:paraId="00D9928C">
            <w:pPr>
              <w:pStyle w:val="12"/>
            </w:pPr>
            <w:r>
              <w:t>成本指标</w:t>
            </w:r>
          </w:p>
        </w:tc>
        <w:tc>
          <w:tcPr>
            <w:tcW w:w="2835" w:type="dxa"/>
            <w:vAlign w:val="center"/>
          </w:tcPr>
          <w:p w14:paraId="14C37004">
            <w:pPr>
              <w:pStyle w:val="12"/>
            </w:pPr>
            <w:r>
              <w:t>生均拨款标准</w:t>
            </w:r>
          </w:p>
        </w:tc>
        <w:tc>
          <w:tcPr>
            <w:tcW w:w="5386" w:type="dxa"/>
            <w:vAlign w:val="center"/>
          </w:tcPr>
          <w:p w14:paraId="63379D4A">
            <w:pPr>
              <w:pStyle w:val="12"/>
            </w:pPr>
            <w:r>
              <w:t>小学生公用经费生均小学720元。取暖费120元/生/年，随班就读学生补助7000元/生</w:t>
            </w:r>
          </w:p>
        </w:tc>
        <w:tc>
          <w:tcPr>
            <w:tcW w:w="2268" w:type="dxa"/>
            <w:vAlign w:val="center"/>
          </w:tcPr>
          <w:p w14:paraId="5572520E">
            <w:pPr>
              <w:pStyle w:val="12"/>
            </w:pPr>
            <w:r>
              <w:t>840元</w:t>
            </w:r>
          </w:p>
        </w:tc>
        <w:tc>
          <w:tcPr>
            <w:tcW w:w="1276" w:type="dxa"/>
            <w:vAlign w:val="center"/>
          </w:tcPr>
          <w:p w14:paraId="30B6C9FE">
            <w:pPr>
              <w:pStyle w:val="12"/>
            </w:pPr>
            <w:r>
              <w:t>城乡义务教育公用经费管理办法</w:t>
            </w:r>
          </w:p>
        </w:tc>
      </w:tr>
      <w:tr w14:paraId="0FCF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10FC3"/>
        </w:tc>
        <w:tc>
          <w:tcPr>
            <w:tcW w:w="2268" w:type="dxa"/>
            <w:vAlign w:val="center"/>
          </w:tcPr>
          <w:p w14:paraId="5D4C64DD">
            <w:pPr>
              <w:pStyle w:val="12"/>
            </w:pPr>
            <w:r>
              <w:t>数量指标</w:t>
            </w:r>
          </w:p>
        </w:tc>
        <w:tc>
          <w:tcPr>
            <w:tcW w:w="2835" w:type="dxa"/>
            <w:vAlign w:val="center"/>
          </w:tcPr>
          <w:p w14:paraId="5BAE18A1">
            <w:pPr>
              <w:pStyle w:val="12"/>
            </w:pPr>
            <w:r>
              <w:t>就读学生数</w:t>
            </w:r>
          </w:p>
        </w:tc>
        <w:tc>
          <w:tcPr>
            <w:tcW w:w="5386" w:type="dxa"/>
            <w:vAlign w:val="center"/>
          </w:tcPr>
          <w:p w14:paraId="4332D35C">
            <w:pPr>
              <w:pStyle w:val="12"/>
            </w:pPr>
            <w:r>
              <w:t>辐射区域内适龄学生人数</w:t>
            </w:r>
          </w:p>
        </w:tc>
        <w:tc>
          <w:tcPr>
            <w:tcW w:w="2268" w:type="dxa"/>
            <w:vAlign w:val="center"/>
          </w:tcPr>
          <w:p w14:paraId="006A943A">
            <w:pPr>
              <w:pStyle w:val="12"/>
            </w:pPr>
            <w:r>
              <w:t>308人</w:t>
            </w:r>
          </w:p>
        </w:tc>
        <w:tc>
          <w:tcPr>
            <w:tcW w:w="1276" w:type="dxa"/>
            <w:vAlign w:val="center"/>
          </w:tcPr>
          <w:p w14:paraId="63639CF4">
            <w:pPr>
              <w:pStyle w:val="12"/>
            </w:pPr>
            <w:r>
              <w:t>城乡义务教育公用经费管理办法</w:t>
            </w:r>
          </w:p>
        </w:tc>
      </w:tr>
      <w:tr w14:paraId="0FB0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531CE"/>
        </w:tc>
        <w:tc>
          <w:tcPr>
            <w:tcW w:w="2268" w:type="dxa"/>
            <w:vAlign w:val="center"/>
          </w:tcPr>
          <w:p w14:paraId="44D0054D">
            <w:pPr>
              <w:pStyle w:val="12"/>
            </w:pPr>
            <w:r>
              <w:t>质量指标</w:t>
            </w:r>
          </w:p>
        </w:tc>
        <w:tc>
          <w:tcPr>
            <w:tcW w:w="2835" w:type="dxa"/>
            <w:vAlign w:val="center"/>
          </w:tcPr>
          <w:p w14:paraId="2DB47A2C">
            <w:pPr>
              <w:pStyle w:val="12"/>
            </w:pPr>
            <w:r>
              <w:t>预算执行率</w:t>
            </w:r>
          </w:p>
        </w:tc>
        <w:tc>
          <w:tcPr>
            <w:tcW w:w="5386" w:type="dxa"/>
            <w:vAlign w:val="center"/>
          </w:tcPr>
          <w:p w14:paraId="50F2AC4D">
            <w:pPr>
              <w:pStyle w:val="12"/>
            </w:pPr>
            <w:r>
              <w:t>预算执行率≥98%</w:t>
            </w:r>
          </w:p>
        </w:tc>
        <w:tc>
          <w:tcPr>
            <w:tcW w:w="2268" w:type="dxa"/>
            <w:vAlign w:val="center"/>
          </w:tcPr>
          <w:p w14:paraId="7FC1783C">
            <w:pPr>
              <w:pStyle w:val="12"/>
            </w:pPr>
            <w:r>
              <w:t>≥98%</w:t>
            </w:r>
          </w:p>
        </w:tc>
        <w:tc>
          <w:tcPr>
            <w:tcW w:w="1276" w:type="dxa"/>
            <w:vAlign w:val="center"/>
          </w:tcPr>
          <w:p w14:paraId="7F551237">
            <w:pPr>
              <w:pStyle w:val="12"/>
            </w:pPr>
            <w:r>
              <w:t>城乡义务教育公用经费管理办法</w:t>
            </w:r>
          </w:p>
        </w:tc>
      </w:tr>
      <w:tr w14:paraId="1841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7800C"/>
        </w:tc>
        <w:tc>
          <w:tcPr>
            <w:tcW w:w="2268" w:type="dxa"/>
            <w:vAlign w:val="center"/>
          </w:tcPr>
          <w:p w14:paraId="70288186">
            <w:pPr>
              <w:pStyle w:val="12"/>
            </w:pPr>
            <w:r>
              <w:t>时效指标</w:t>
            </w:r>
          </w:p>
        </w:tc>
        <w:tc>
          <w:tcPr>
            <w:tcW w:w="2835" w:type="dxa"/>
            <w:vAlign w:val="center"/>
          </w:tcPr>
          <w:p w14:paraId="2E353952">
            <w:pPr>
              <w:pStyle w:val="12"/>
            </w:pPr>
            <w:r>
              <w:t>义教经费支付完成率</w:t>
            </w:r>
          </w:p>
        </w:tc>
        <w:tc>
          <w:tcPr>
            <w:tcW w:w="5386" w:type="dxa"/>
            <w:vAlign w:val="center"/>
          </w:tcPr>
          <w:p w14:paraId="593C7A9E">
            <w:pPr>
              <w:pStyle w:val="12"/>
            </w:pPr>
            <w:r>
              <w:t>按照序时进度完成资金支付</w:t>
            </w:r>
          </w:p>
        </w:tc>
        <w:tc>
          <w:tcPr>
            <w:tcW w:w="2268" w:type="dxa"/>
            <w:vAlign w:val="center"/>
          </w:tcPr>
          <w:p w14:paraId="4E95FAE9">
            <w:pPr>
              <w:pStyle w:val="12"/>
            </w:pPr>
            <w:r>
              <w:t>100%</w:t>
            </w:r>
          </w:p>
        </w:tc>
        <w:tc>
          <w:tcPr>
            <w:tcW w:w="1276" w:type="dxa"/>
            <w:vAlign w:val="center"/>
          </w:tcPr>
          <w:p w14:paraId="1E1BCBD6">
            <w:pPr>
              <w:pStyle w:val="12"/>
            </w:pPr>
            <w:r>
              <w:t>城乡义务教育公用经费管理办法</w:t>
            </w:r>
          </w:p>
        </w:tc>
      </w:tr>
      <w:tr w14:paraId="691A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DF76E">
            <w:pPr>
              <w:pStyle w:val="13"/>
            </w:pPr>
            <w:r>
              <w:t>效益指标</w:t>
            </w:r>
          </w:p>
        </w:tc>
        <w:tc>
          <w:tcPr>
            <w:tcW w:w="2268" w:type="dxa"/>
            <w:vAlign w:val="center"/>
          </w:tcPr>
          <w:p w14:paraId="5A9BD19F">
            <w:pPr>
              <w:pStyle w:val="12"/>
            </w:pPr>
            <w:r>
              <w:t>可持续影响指标</w:t>
            </w:r>
          </w:p>
        </w:tc>
        <w:tc>
          <w:tcPr>
            <w:tcW w:w="2835" w:type="dxa"/>
            <w:vAlign w:val="center"/>
          </w:tcPr>
          <w:p w14:paraId="29A4C559">
            <w:pPr>
              <w:pStyle w:val="12"/>
            </w:pPr>
            <w:r>
              <w:t>学校运转得到提高</w:t>
            </w:r>
          </w:p>
        </w:tc>
        <w:tc>
          <w:tcPr>
            <w:tcW w:w="5386" w:type="dxa"/>
            <w:vAlign w:val="center"/>
          </w:tcPr>
          <w:p w14:paraId="480AD63B">
            <w:pPr>
              <w:pStyle w:val="12"/>
            </w:pPr>
            <w:r>
              <w:t>学生受教育年限</w:t>
            </w:r>
          </w:p>
        </w:tc>
        <w:tc>
          <w:tcPr>
            <w:tcW w:w="2268" w:type="dxa"/>
            <w:vAlign w:val="center"/>
          </w:tcPr>
          <w:p w14:paraId="20998E3E">
            <w:pPr>
              <w:pStyle w:val="12"/>
            </w:pPr>
            <w:r>
              <w:t>6年</w:t>
            </w:r>
          </w:p>
        </w:tc>
        <w:tc>
          <w:tcPr>
            <w:tcW w:w="1276" w:type="dxa"/>
            <w:vAlign w:val="center"/>
          </w:tcPr>
          <w:p w14:paraId="3564D006">
            <w:pPr>
              <w:pStyle w:val="12"/>
            </w:pPr>
            <w:r>
              <w:t>城乡义务教育公用经费管理办法</w:t>
            </w:r>
          </w:p>
        </w:tc>
      </w:tr>
      <w:tr w14:paraId="540D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85696">
            <w:pPr>
              <w:pStyle w:val="13"/>
            </w:pPr>
            <w:r>
              <w:t>满意度指标</w:t>
            </w:r>
          </w:p>
        </w:tc>
        <w:tc>
          <w:tcPr>
            <w:tcW w:w="2268" w:type="dxa"/>
            <w:vAlign w:val="center"/>
          </w:tcPr>
          <w:p w14:paraId="790CE6C4">
            <w:pPr>
              <w:pStyle w:val="12"/>
            </w:pPr>
            <w:r>
              <w:t>服务对象满意度指标</w:t>
            </w:r>
          </w:p>
        </w:tc>
        <w:tc>
          <w:tcPr>
            <w:tcW w:w="2835" w:type="dxa"/>
            <w:vAlign w:val="center"/>
          </w:tcPr>
          <w:p w14:paraId="4B0CD9B4">
            <w:pPr>
              <w:pStyle w:val="12"/>
            </w:pPr>
            <w:r>
              <w:t>服务对象满意度</w:t>
            </w:r>
          </w:p>
        </w:tc>
        <w:tc>
          <w:tcPr>
            <w:tcW w:w="5386" w:type="dxa"/>
            <w:vAlign w:val="center"/>
          </w:tcPr>
          <w:p w14:paraId="468FF4FD">
            <w:pPr>
              <w:pStyle w:val="12"/>
            </w:pPr>
            <w:r>
              <w:t>学校老师和学生满意度</w:t>
            </w:r>
          </w:p>
        </w:tc>
        <w:tc>
          <w:tcPr>
            <w:tcW w:w="2268" w:type="dxa"/>
            <w:vAlign w:val="center"/>
          </w:tcPr>
          <w:p w14:paraId="19910EAC">
            <w:pPr>
              <w:pStyle w:val="12"/>
            </w:pPr>
            <w:r>
              <w:t>≥95%</w:t>
            </w:r>
          </w:p>
        </w:tc>
        <w:tc>
          <w:tcPr>
            <w:tcW w:w="1276" w:type="dxa"/>
            <w:vAlign w:val="center"/>
          </w:tcPr>
          <w:p w14:paraId="250AC969">
            <w:pPr>
              <w:pStyle w:val="12"/>
            </w:pPr>
            <w:r>
              <w:t>问卷调查</w:t>
            </w:r>
          </w:p>
        </w:tc>
      </w:tr>
    </w:tbl>
    <w:p w14:paraId="6BC547EF">
      <w:pPr>
        <w:sectPr>
          <w:pgSz w:w="16840" w:h="11900" w:orient="landscape"/>
          <w:pgMar w:top="1361" w:right="1020" w:bottom="1134" w:left="1020" w:header="720" w:footer="720" w:gutter="0"/>
          <w:cols w:space="720" w:num="1"/>
        </w:sectPr>
      </w:pPr>
    </w:p>
    <w:p w14:paraId="783AD3F8">
      <w:pPr>
        <w:spacing w:before="0" w:after="0"/>
        <w:ind w:firstLine="560"/>
        <w:jc w:val="left"/>
        <w:outlineLvl w:val="9"/>
      </w:pPr>
      <w:r>
        <w:rPr>
          <w:rFonts w:ascii="方正仿宋_GBK" w:hAnsi="方正仿宋_GBK" w:eastAsia="方正仿宋_GBK" w:cs="方正仿宋_GBK"/>
          <w:b/>
          <w:color w:val="000000"/>
          <w:sz w:val="28"/>
        </w:rPr>
        <w:t>27、县级配套/北楼校区尚礼小学公用经费绩效目标表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85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9842F">
            <w:pPr>
              <w:pStyle w:val="11"/>
            </w:pPr>
            <w:r>
              <w:t>单位：万元</w:t>
            </w:r>
          </w:p>
        </w:tc>
      </w:tr>
      <w:tr w14:paraId="55B28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4C3AD">
            <w:pPr>
              <w:pStyle w:val="10"/>
            </w:pPr>
            <w:r>
              <w:t>项目编码</w:t>
            </w:r>
          </w:p>
        </w:tc>
        <w:tc>
          <w:tcPr>
            <w:tcW w:w="5103" w:type="dxa"/>
            <w:gridSpan w:val="2"/>
            <w:vAlign w:val="center"/>
          </w:tcPr>
          <w:p w14:paraId="2944A351">
            <w:pPr>
              <w:pStyle w:val="12"/>
            </w:pPr>
            <w:r>
              <w:t>13052526P000004104307</w:t>
            </w:r>
          </w:p>
        </w:tc>
        <w:tc>
          <w:tcPr>
            <w:tcW w:w="2835" w:type="dxa"/>
            <w:vAlign w:val="center"/>
          </w:tcPr>
          <w:p w14:paraId="45A950DE">
            <w:pPr>
              <w:pStyle w:val="10"/>
            </w:pPr>
            <w:r>
              <w:t>项目名称</w:t>
            </w:r>
          </w:p>
        </w:tc>
        <w:tc>
          <w:tcPr>
            <w:tcW w:w="6095" w:type="dxa"/>
            <w:gridSpan w:val="3"/>
            <w:vAlign w:val="center"/>
          </w:tcPr>
          <w:p w14:paraId="6F0BE910">
            <w:pPr>
              <w:pStyle w:val="12"/>
            </w:pPr>
            <w:r>
              <w:t>县级配套/北楼校区尚礼小学公用经费</w:t>
            </w:r>
          </w:p>
        </w:tc>
      </w:tr>
      <w:tr w14:paraId="49CE0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10031">
            <w:pPr>
              <w:pStyle w:val="10"/>
            </w:pPr>
            <w:r>
              <w:t>预算规模及资金用途</w:t>
            </w:r>
          </w:p>
        </w:tc>
        <w:tc>
          <w:tcPr>
            <w:tcW w:w="2268" w:type="dxa"/>
            <w:vAlign w:val="center"/>
          </w:tcPr>
          <w:p w14:paraId="7D81579E">
            <w:pPr>
              <w:pStyle w:val="10"/>
            </w:pPr>
            <w:r>
              <w:t>预算数</w:t>
            </w:r>
          </w:p>
        </w:tc>
        <w:tc>
          <w:tcPr>
            <w:tcW w:w="2835" w:type="dxa"/>
            <w:vAlign w:val="center"/>
          </w:tcPr>
          <w:p w14:paraId="6DE590C3">
            <w:pPr>
              <w:pStyle w:val="12"/>
            </w:pPr>
            <w:r>
              <w:t>4.53</w:t>
            </w:r>
          </w:p>
        </w:tc>
        <w:tc>
          <w:tcPr>
            <w:tcW w:w="2835" w:type="dxa"/>
            <w:vAlign w:val="center"/>
          </w:tcPr>
          <w:p w14:paraId="3DB139B1">
            <w:pPr>
              <w:pStyle w:val="10"/>
            </w:pPr>
            <w:r>
              <w:t>其中：财政    资金</w:t>
            </w:r>
          </w:p>
        </w:tc>
        <w:tc>
          <w:tcPr>
            <w:tcW w:w="2551" w:type="dxa"/>
            <w:vAlign w:val="center"/>
          </w:tcPr>
          <w:p w14:paraId="65C6EC1F">
            <w:pPr>
              <w:pStyle w:val="12"/>
            </w:pPr>
            <w:r>
              <w:t>4.53</w:t>
            </w:r>
          </w:p>
        </w:tc>
        <w:tc>
          <w:tcPr>
            <w:tcW w:w="2268" w:type="dxa"/>
            <w:vAlign w:val="center"/>
          </w:tcPr>
          <w:p w14:paraId="4A685E7F">
            <w:pPr>
              <w:pStyle w:val="10"/>
            </w:pPr>
            <w:r>
              <w:t>其他资金</w:t>
            </w:r>
          </w:p>
        </w:tc>
        <w:tc>
          <w:tcPr>
            <w:tcW w:w="1276" w:type="dxa"/>
            <w:vAlign w:val="center"/>
          </w:tcPr>
          <w:p w14:paraId="626D508A">
            <w:pPr>
              <w:pStyle w:val="12"/>
            </w:pPr>
            <w:r>
              <w:t xml:space="preserve"> </w:t>
            </w:r>
          </w:p>
        </w:tc>
      </w:tr>
      <w:tr w14:paraId="43148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F7AB5"/>
        </w:tc>
        <w:tc>
          <w:tcPr>
            <w:tcW w:w="14033" w:type="dxa"/>
            <w:gridSpan w:val="6"/>
            <w:vAlign w:val="center"/>
          </w:tcPr>
          <w:p w14:paraId="05280536">
            <w:pPr>
              <w:pStyle w:val="12"/>
            </w:pPr>
            <w:r>
              <w:t>有效完成学校教学安全秩序，保障学校教学任务有效开展，满足学校正常教学需要。</w:t>
            </w:r>
          </w:p>
        </w:tc>
      </w:tr>
      <w:tr w14:paraId="77992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D3ADB">
            <w:pPr>
              <w:pStyle w:val="10"/>
            </w:pPr>
            <w:r>
              <w:t>资金支出计划（%）</w:t>
            </w:r>
          </w:p>
        </w:tc>
        <w:tc>
          <w:tcPr>
            <w:tcW w:w="5103" w:type="dxa"/>
            <w:gridSpan w:val="2"/>
            <w:vAlign w:val="center"/>
          </w:tcPr>
          <w:p w14:paraId="05F0DB76">
            <w:pPr>
              <w:pStyle w:val="10"/>
            </w:pPr>
            <w:r>
              <w:t>3月底</w:t>
            </w:r>
          </w:p>
        </w:tc>
        <w:tc>
          <w:tcPr>
            <w:tcW w:w="2835" w:type="dxa"/>
            <w:vAlign w:val="center"/>
          </w:tcPr>
          <w:p w14:paraId="26262E3D">
            <w:pPr>
              <w:pStyle w:val="10"/>
            </w:pPr>
            <w:r>
              <w:t>6月底</w:t>
            </w:r>
          </w:p>
        </w:tc>
        <w:tc>
          <w:tcPr>
            <w:tcW w:w="2551" w:type="dxa"/>
            <w:vAlign w:val="center"/>
          </w:tcPr>
          <w:p w14:paraId="64144C1D">
            <w:pPr>
              <w:pStyle w:val="10"/>
            </w:pPr>
            <w:r>
              <w:t>10月底</w:t>
            </w:r>
          </w:p>
        </w:tc>
        <w:tc>
          <w:tcPr>
            <w:tcW w:w="3544" w:type="dxa"/>
            <w:gridSpan w:val="2"/>
            <w:vAlign w:val="center"/>
          </w:tcPr>
          <w:p w14:paraId="25A93580">
            <w:pPr>
              <w:pStyle w:val="10"/>
            </w:pPr>
            <w:r>
              <w:t>12月底</w:t>
            </w:r>
          </w:p>
        </w:tc>
      </w:tr>
      <w:tr w14:paraId="30F8C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C6AA3"/>
        </w:tc>
        <w:tc>
          <w:tcPr>
            <w:tcW w:w="5103" w:type="dxa"/>
            <w:gridSpan w:val="2"/>
            <w:vAlign w:val="center"/>
          </w:tcPr>
          <w:p w14:paraId="47854C76">
            <w:pPr>
              <w:pStyle w:val="13"/>
            </w:pPr>
            <w:r>
              <w:t>25%</w:t>
            </w:r>
          </w:p>
        </w:tc>
        <w:tc>
          <w:tcPr>
            <w:tcW w:w="2835" w:type="dxa"/>
            <w:vAlign w:val="center"/>
          </w:tcPr>
          <w:p w14:paraId="187668CD">
            <w:pPr>
              <w:pStyle w:val="13"/>
            </w:pPr>
            <w:r>
              <w:t>50%</w:t>
            </w:r>
          </w:p>
        </w:tc>
        <w:tc>
          <w:tcPr>
            <w:tcW w:w="2551" w:type="dxa"/>
            <w:vAlign w:val="center"/>
          </w:tcPr>
          <w:p w14:paraId="0D322CBD">
            <w:pPr>
              <w:pStyle w:val="13"/>
            </w:pPr>
            <w:r>
              <w:t>75%</w:t>
            </w:r>
          </w:p>
        </w:tc>
        <w:tc>
          <w:tcPr>
            <w:tcW w:w="3544" w:type="dxa"/>
            <w:gridSpan w:val="2"/>
            <w:vAlign w:val="center"/>
          </w:tcPr>
          <w:p w14:paraId="6CEB5896">
            <w:pPr>
              <w:pStyle w:val="13"/>
            </w:pPr>
            <w:r>
              <w:t>100%</w:t>
            </w:r>
          </w:p>
        </w:tc>
      </w:tr>
      <w:tr w14:paraId="34B95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3EE46">
            <w:pPr>
              <w:pStyle w:val="10"/>
            </w:pPr>
            <w:r>
              <w:t>绩效目标</w:t>
            </w:r>
          </w:p>
        </w:tc>
        <w:tc>
          <w:tcPr>
            <w:tcW w:w="14033" w:type="dxa"/>
            <w:gridSpan w:val="6"/>
            <w:vAlign w:val="center"/>
          </w:tcPr>
          <w:p w14:paraId="39DDD790">
            <w:pPr>
              <w:pStyle w:val="12"/>
            </w:pPr>
            <w:r>
              <w:t>1.按规定拨付公用经费资金，预算执行率≥98%。</w:t>
            </w:r>
          </w:p>
          <w:p w14:paraId="1E7E9323">
            <w:pPr>
              <w:pStyle w:val="12"/>
            </w:pPr>
            <w:r>
              <w:t>2.有效完成学校教学安全秩序，保障学校教学任务有效开展，满足学校正常教学需要。</w:t>
            </w:r>
          </w:p>
        </w:tc>
      </w:tr>
    </w:tbl>
    <w:p w14:paraId="6E457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0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A0D74">
            <w:pPr>
              <w:pStyle w:val="10"/>
            </w:pPr>
            <w:r>
              <w:t>一级指标</w:t>
            </w:r>
          </w:p>
        </w:tc>
        <w:tc>
          <w:tcPr>
            <w:tcW w:w="2268" w:type="dxa"/>
            <w:vAlign w:val="center"/>
          </w:tcPr>
          <w:p w14:paraId="5F519B31">
            <w:pPr>
              <w:pStyle w:val="10"/>
            </w:pPr>
            <w:r>
              <w:t>二级指标</w:t>
            </w:r>
          </w:p>
        </w:tc>
        <w:tc>
          <w:tcPr>
            <w:tcW w:w="2835" w:type="dxa"/>
            <w:vAlign w:val="center"/>
          </w:tcPr>
          <w:p w14:paraId="0691562C">
            <w:pPr>
              <w:pStyle w:val="10"/>
            </w:pPr>
            <w:r>
              <w:t>三级指标</w:t>
            </w:r>
          </w:p>
        </w:tc>
        <w:tc>
          <w:tcPr>
            <w:tcW w:w="5386" w:type="dxa"/>
            <w:vAlign w:val="center"/>
          </w:tcPr>
          <w:p w14:paraId="2367A365">
            <w:pPr>
              <w:pStyle w:val="10"/>
            </w:pPr>
            <w:r>
              <w:t>绩效指标描述</w:t>
            </w:r>
          </w:p>
        </w:tc>
        <w:tc>
          <w:tcPr>
            <w:tcW w:w="2268" w:type="dxa"/>
            <w:vAlign w:val="center"/>
          </w:tcPr>
          <w:p w14:paraId="4D78DD5E">
            <w:pPr>
              <w:pStyle w:val="10"/>
            </w:pPr>
            <w:r>
              <w:t>指标值</w:t>
            </w:r>
          </w:p>
        </w:tc>
        <w:tc>
          <w:tcPr>
            <w:tcW w:w="1276" w:type="dxa"/>
            <w:vAlign w:val="center"/>
          </w:tcPr>
          <w:p w14:paraId="6E0A58BA">
            <w:pPr>
              <w:pStyle w:val="10"/>
            </w:pPr>
            <w:r>
              <w:t>指标值确定依据</w:t>
            </w:r>
          </w:p>
        </w:tc>
      </w:tr>
      <w:tr w14:paraId="01F2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87AE3">
            <w:pPr>
              <w:pStyle w:val="13"/>
            </w:pPr>
            <w:r>
              <w:t>产出指标</w:t>
            </w:r>
          </w:p>
        </w:tc>
        <w:tc>
          <w:tcPr>
            <w:tcW w:w="2268" w:type="dxa"/>
            <w:vAlign w:val="center"/>
          </w:tcPr>
          <w:p w14:paraId="1137FB6E">
            <w:pPr>
              <w:pStyle w:val="12"/>
            </w:pPr>
            <w:r>
              <w:t>成本指标</w:t>
            </w:r>
          </w:p>
        </w:tc>
        <w:tc>
          <w:tcPr>
            <w:tcW w:w="2835" w:type="dxa"/>
            <w:vAlign w:val="center"/>
          </w:tcPr>
          <w:p w14:paraId="66E3C093">
            <w:pPr>
              <w:pStyle w:val="12"/>
            </w:pPr>
            <w:r>
              <w:t>生均拨款标准</w:t>
            </w:r>
          </w:p>
        </w:tc>
        <w:tc>
          <w:tcPr>
            <w:tcW w:w="5386" w:type="dxa"/>
            <w:vAlign w:val="center"/>
          </w:tcPr>
          <w:p w14:paraId="71A5FB8E">
            <w:pPr>
              <w:pStyle w:val="12"/>
            </w:pPr>
            <w:r>
              <w:t>小学生公用经费生均小学720元。取暖费120元/生/年，随班就读学生补助7000元/生</w:t>
            </w:r>
          </w:p>
        </w:tc>
        <w:tc>
          <w:tcPr>
            <w:tcW w:w="2268" w:type="dxa"/>
            <w:vAlign w:val="center"/>
          </w:tcPr>
          <w:p w14:paraId="0A246691">
            <w:pPr>
              <w:pStyle w:val="12"/>
            </w:pPr>
            <w:r>
              <w:t>840元</w:t>
            </w:r>
          </w:p>
        </w:tc>
        <w:tc>
          <w:tcPr>
            <w:tcW w:w="1276" w:type="dxa"/>
            <w:vAlign w:val="center"/>
          </w:tcPr>
          <w:p w14:paraId="257B70CA">
            <w:pPr>
              <w:pStyle w:val="12"/>
            </w:pPr>
            <w:r>
              <w:t>城乡义务教育公用经费管理办法</w:t>
            </w:r>
          </w:p>
        </w:tc>
      </w:tr>
      <w:tr w14:paraId="3FFE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765DD"/>
        </w:tc>
        <w:tc>
          <w:tcPr>
            <w:tcW w:w="2268" w:type="dxa"/>
            <w:vAlign w:val="center"/>
          </w:tcPr>
          <w:p w14:paraId="047C8C6B">
            <w:pPr>
              <w:pStyle w:val="12"/>
            </w:pPr>
            <w:r>
              <w:t>数量指标</w:t>
            </w:r>
          </w:p>
        </w:tc>
        <w:tc>
          <w:tcPr>
            <w:tcW w:w="2835" w:type="dxa"/>
            <w:vAlign w:val="center"/>
          </w:tcPr>
          <w:p w14:paraId="7B118260">
            <w:pPr>
              <w:pStyle w:val="12"/>
            </w:pPr>
            <w:r>
              <w:t>就读学生数</w:t>
            </w:r>
          </w:p>
        </w:tc>
        <w:tc>
          <w:tcPr>
            <w:tcW w:w="5386" w:type="dxa"/>
            <w:vAlign w:val="center"/>
          </w:tcPr>
          <w:p w14:paraId="49AF7EEF">
            <w:pPr>
              <w:pStyle w:val="12"/>
            </w:pPr>
            <w:r>
              <w:t>辐射区域内适龄学生人数</w:t>
            </w:r>
          </w:p>
        </w:tc>
        <w:tc>
          <w:tcPr>
            <w:tcW w:w="2268" w:type="dxa"/>
            <w:vAlign w:val="center"/>
          </w:tcPr>
          <w:p w14:paraId="4F7318D7">
            <w:pPr>
              <w:pStyle w:val="12"/>
            </w:pPr>
            <w:r>
              <w:t>541人</w:t>
            </w:r>
          </w:p>
        </w:tc>
        <w:tc>
          <w:tcPr>
            <w:tcW w:w="1276" w:type="dxa"/>
            <w:vAlign w:val="center"/>
          </w:tcPr>
          <w:p w14:paraId="55071F39">
            <w:pPr>
              <w:pStyle w:val="12"/>
            </w:pPr>
            <w:r>
              <w:t>城乡义务教育公用经费管理办法</w:t>
            </w:r>
          </w:p>
        </w:tc>
      </w:tr>
      <w:tr w14:paraId="791E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FF521"/>
        </w:tc>
        <w:tc>
          <w:tcPr>
            <w:tcW w:w="2268" w:type="dxa"/>
            <w:vAlign w:val="center"/>
          </w:tcPr>
          <w:p w14:paraId="0F5992DC">
            <w:pPr>
              <w:pStyle w:val="12"/>
            </w:pPr>
            <w:r>
              <w:t>质量指标</w:t>
            </w:r>
          </w:p>
        </w:tc>
        <w:tc>
          <w:tcPr>
            <w:tcW w:w="2835" w:type="dxa"/>
            <w:vAlign w:val="center"/>
          </w:tcPr>
          <w:p w14:paraId="510AF248">
            <w:pPr>
              <w:pStyle w:val="12"/>
            </w:pPr>
            <w:r>
              <w:t>预算执行率</w:t>
            </w:r>
          </w:p>
        </w:tc>
        <w:tc>
          <w:tcPr>
            <w:tcW w:w="5386" w:type="dxa"/>
            <w:vAlign w:val="center"/>
          </w:tcPr>
          <w:p w14:paraId="48EAF954">
            <w:pPr>
              <w:pStyle w:val="12"/>
            </w:pPr>
            <w:r>
              <w:t>预算执行率≥98%</w:t>
            </w:r>
          </w:p>
        </w:tc>
        <w:tc>
          <w:tcPr>
            <w:tcW w:w="2268" w:type="dxa"/>
            <w:vAlign w:val="center"/>
          </w:tcPr>
          <w:p w14:paraId="3FC04036">
            <w:pPr>
              <w:pStyle w:val="12"/>
            </w:pPr>
            <w:r>
              <w:t>≥98%</w:t>
            </w:r>
          </w:p>
        </w:tc>
        <w:tc>
          <w:tcPr>
            <w:tcW w:w="1276" w:type="dxa"/>
            <w:vAlign w:val="center"/>
          </w:tcPr>
          <w:p w14:paraId="767E3AFD">
            <w:pPr>
              <w:pStyle w:val="12"/>
            </w:pPr>
            <w:r>
              <w:t>城乡义务教育公用经费管理办法</w:t>
            </w:r>
          </w:p>
        </w:tc>
      </w:tr>
      <w:tr w14:paraId="1E53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26AC6"/>
        </w:tc>
        <w:tc>
          <w:tcPr>
            <w:tcW w:w="2268" w:type="dxa"/>
            <w:vAlign w:val="center"/>
          </w:tcPr>
          <w:p w14:paraId="4BC03C0F">
            <w:pPr>
              <w:pStyle w:val="12"/>
            </w:pPr>
            <w:r>
              <w:t>时效指标</w:t>
            </w:r>
          </w:p>
        </w:tc>
        <w:tc>
          <w:tcPr>
            <w:tcW w:w="2835" w:type="dxa"/>
            <w:vAlign w:val="center"/>
          </w:tcPr>
          <w:p w14:paraId="0DAC3996">
            <w:pPr>
              <w:pStyle w:val="12"/>
            </w:pPr>
            <w:r>
              <w:t>义教经费支付完成率</w:t>
            </w:r>
          </w:p>
        </w:tc>
        <w:tc>
          <w:tcPr>
            <w:tcW w:w="5386" w:type="dxa"/>
            <w:vAlign w:val="center"/>
          </w:tcPr>
          <w:p w14:paraId="4D951F90">
            <w:pPr>
              <w:pStyle w:val="12"/>
            </w:pPr>
            <w:r>
              <w:t>按照序时进度完成资金支付</w:t>
            </w:r>
          </w:p>
        </w:tc>
        <w:tc>
          <w:tcPr>
            <w:tcW w:w="2268" w:type="dxa"/>
            <w:vAlign w:val="center"/>
          </w:tcPr>
          <w:p w14:paraId="2F74F552">
            <w:pPr>
              <w:pStyle w:val="12"/>
            </w:pPr>
            <w:r>
              <w:t>100%</w:t>
            </w:r>
          </w:p>
        </w:tc>
        <w:tc>
          <w:tcPr>
            <w:tcW w:w="1276" w:type="dxa"/>
            <w:vAlign w:val="center"/>
          </w:tcPr>
          <w:p w14:paraId="7D5CD094">
            <w:pPr>
              <w:pStyle w:val="12"/>
            </w:pPr>
            <w:r>
              <w:t>城乡义务教育公用经费管理办法</w:t>
            </w:r>
          </w:p>
        </w:tc>
      </w:tr>
      <w:tr w14:paraId="00FA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909F7">
            <w:pPr>
              <w:pStyle w:val="13"/>
            </w:pPr>
            <w:r>
              <w:t>效益指标</w:t>
            </w:r>
          </w:p>
        </w:tc>
        <w:tc>
          <w:tcPr>
            <w:tcW w:w="2268" w:type="dxa"/>
            <w:vAlign w:val="center"/>
          </w:tcPr>
          <w:p w14:paraId="508686B7">
            <w:pPr>
              <w:pStyle w:val="12"/>
            </w:pPr>
            <w:r>
              <w:t>可持续影响指标</w:t>
            </w:r>
          </w:p>
        </w:tc>
        <w:tc>
          <w:tcPr>
            <w:tcW w:w="2835" w:type="dxa"/>
            <w:vAlign w:val="center"/>
          </w:tcPr>
          <w:p w14:paraId="5D5FA336">
            <w:pPr>
              <w:pStyle w:val="12"/>
            </w:pPr>
            <w:r>
              <w:t>学校运转得到提高</w:t>
            </w:r>
          </w:p>
        </w:tc>
        <w:tc>
          <w:tcPr>
            <w:tcW w:w="5386" w:type="dxa"/>
            <w:vAlign w:val="center"/>
          </w:tcPr>
          <w:p w14:paraId="7C544E8F">
            <w:pPr>
              <w:pStyle w:val="12"/>
            </w:pPr>
            <w:r>
              <w:t>学生受教育年限</w:t>
            </w:r>
          </w:p>
        </w:tc>
        <w:tc>
          <w:tcPr>
            <w:tcW w:w="2268" w:type="dxa"/>
            <w:vAlign w:val="center"/>
          </w:tcPr>
          <w:p w14:paraId="4BDB2D13">
            <w:pPr>
              <w:pStyle w:val="12"/>
            </w:pPr>
            <w:r>
              <w:t>6年</w:t>
            </w:r>
          </w:p>
        </w:tc>
        <w:tc>
          <w:tcPr>
            <w:tcW w:w="1276" w:type="dxa"/>
            <w:vAlign w:val="center"/>
          </w:tcPr>
          <w:p w14:paraId="2457ABAC">
            <w:pPr>
              <w:pStyle w:val="12"/>
            </w:pPr>
            <w:r>
              <w:t>城乡义务教育公用经费管理办法</w:t>
            </w:r>
          </w:p>
        </w:tc>
      </w:tr>
      <w:tr w14:paraId="6AF8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15CEF">
            <w:pPr>
              <w:pStyle w:val="13"/>
            </w:pPr>
            <w:r>
              <w:t>满意度指标</w:t>
            </w:r>
          </w:p>
        </w:tc>
        <w:tc>
          <w:tcPr>
            <w:tcW w:w="2268" w:type="dxa"/>
            <w:vAlign w:val="center"/>
          </w:tcPr>
          <w:p w14:paraId="27DA7ED0">
            <w:pPr>
              <w:pStyle w:val="12"/>
            </w:pPr>
            <w:r>
              <w:t>服务对象满意度指标</w:t>
            </w:r>
          </w:p>
        </w:tc>
        <w:tc>
          <w:tcPr>
            <w:tcW w:w="2835" w:type="dxa"/>
            <w:vAlign w:val="center"/>
          </w:tcPr>
          <w:p w14:paraId="35586481">
            <w:pPr>
              <w:pStyle w:val="12"/>
            </w:pPr>
            <w:r>
              <w:t>服务对象满意度</w:t>
            </w:r>
          </w:p>
        </w:tc>
        <w:tc>
          <w:tcPr>
            <w:tcW w:w="5386" w:type="dxa"/>
            <w:vAlign w:val="center"/>
          </w:tcPr>
          <w:p w14:paraId="1BAE4C5B">
            <w:pPr>
              <w:pStyle w:val="12"/>
            </w:pPr>
            <w:r>
              <w:t>学校老师和学生满意度</w:t>
            </w:r>
          </w:p>
        </w:tc>
        <w:tc>
          <w:tcPr>
            <w:tcW w:w="2268" w:type="dxa"/>
            <w:vAlign w:val="center"/>
          </w:tcPr>
          <w:p w14:paraId="1824D22F">
            <w:pPr>
              <w:pStyle w:val="12"/>
            </w:pPr>
            <w:r>
              <w:t>≥95%</w:t>
            </w:r>
          </w:p>
        </w:tc>
        <w:tc>
          <w:tcPr>
            <w:tcW w:w="1276" w:type="dxa"/>
            <w:vAlign w:val="center"/>
          </w:tcPr>
          <w:p w14:paraId="5ACB301B">
            <w:pPr>
              <w:pStyle w:val="12"/>
            </w:pPr>
            <w:r>
              <w:t>问卷调查</w:t>
            </w:r>
          </w:p>
        </w:tc>
      </w:tr>
    </w:tbl>
    <w:p w14:paraId="5F17EC49">
      <w:pPr>
        <w:sectPr>
          <w:pgSz w:w="16840" w:h="11900" w:orient="landscape"/>
          <w:pgMar w:top="1361" w:right="1020" w:bottom="1134" w:left="1020" w:header="720" w:footer="720" w:gutter="0"/>
          <w:cols w:space="720" w:num="1"/>
        </w:sectPr>
      </w:pPr>
    </w:p>
    <w:p w14:paraId="45DDDA18">
      <w:pPr>
        <w:spacing w:before="0" w:after="0"/>
        <w:ind w:firstLine="560"/>
        <w:jc w:val="left"/>
        <w:outlineLvl w:val="9"/>
      </w:pPr>
      <w:r>
        <w:rPr>
          <w:rFonts w:ascii="方正仿宋_GBK" w:hAnsi="方正仿宋_GBK" w:eastAsia="方正仿宋_GBK" w:cs="方正仿宋_GBK"/>
          <w:b/>
          <w:color w:val="000000"/>
          <w:sz w:val="28"/>
        </w:rPr>
        <w:t>28、县级配套/北楼校区学前教育幼儿资助绩效目标表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2D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1518A">
            <w:pPr>
              <w:pStyle w:val="11"/>
            </w:pPr>
            <w:r>
              <w:t>单位：万元</w:t>
            </w:r>
          </w:p>
        </w:tc>
      </w:tr>
      <w:tr w14:paraId="3E0BA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CA339">
            <w:pPr>
              <w:pStyle w:val="10"/>
            </w:pPr>
            <w:r>
              <w:t>项目编码</w:t>
            </w:r>
          </w:p>
        </w:tc>
        <w:tc>
          <w:tcPr>
            <w:tcW w:w="5103" w:type="dxa"/>
            <w:gridSpan w:val="2"/>
            <w:vAlign w:val="center"/>
          </w:tcPr>
          <w:p w14:paraId="17343A72">
            <w:pPr>
              <w:pStyle w:val="12"/>
            </w:pPr>
            <w:r>
              <w:t>13052526P000002100829</w:t>
            </w:r>
          </w:p>
        </w:tc>
        <w:tc>
          <w:tcPr>
            <w:tcW w:w="2835" w:type="dxa"/>
            <w:vAlign w:val="center"/>
          </w:tcPr>
          <w:p w14:paraId="1FC58DD5">
            <w:pPr>
              <w:pStyle w:val="10"/>
            </w:pPr>
            <w:r>
              <w:t>项目名称</w:t>
            </w:r>
          </w:p>
        </w:tc>
        <w:tc>
          <w:tcPr>
            <w:tcW w:w="6095" w:type="dxa"/>
            <w:gridSpan w:val="3"/>
            <w:vAlign w:val="center"/>
          </w:tcPr>
          <w:p w14:paraId="5C09D33C">
            <w:pPr>
              <w:pStyle w:val="12"/>
            </w:pPr>
            <w:r>
              <w:t>县级配套/北楼校区学前教育幼儿资助</w:t>
            </w:r>
          </w:p>
        </w:tc>
      </w:tr>
      <w:tr w14:paraId="1C234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B94B3">
            <w:pPr>
              <w:pStyle w:val="10"/>
            </w:pPr>
            <w:r>
              <w:t>预算规模及资金用途</w:t>
            </w:r>
          </w:p>
        </w:tc>
        <w:tc>
          <w:tcPr>
            <w:tcW w:w="2268" w:type="dxa"/>
            <w:vAlign w:val="center"/>
          </w:tcPr>
          <w:p w14:paraId="06EF8DBA">
            <w:pPr>
              <w:pStyle w:val="10"/>
            </w:pPr>
            <w:r>
              <w:t>预算数</w:t>
            </w:r>
          </w:p>
        </w:tc>
        <w:tc>
          <w:tcPr>
            <w:tcW w:w="2835" w:type="dxa"/>
            <w:vAlign w:val="center"/>
          </w:tcPr>
          <w:p w14:paraId="61B169BE">
            <w:pPr>
              <w:pStyle w:val="12"/>
            </w:pPr>
            <w:r>
              <w:t>0.86</w:t>
            </w:r>
          </w:p>
        </w:tc>
        <w:tc>
          <w:tcPr>
            <w:tcW w:w="2835" w:type="dxa"/>
            <w:vAlign w:val="center"/>
          </w:tcPr>
          <w:p w14:paraId="1C21A778">
            <w:pPr>
              <w:pStyle w:val="10"/>
            </w:pPr>
            <w:r>
              <w:t>其中：财政    资金</w:t>
            </w:r>
          </w:p>
        </w:tc>
        <w:tc>
          <w:tcPr>
            <w:tcW w:w="2551" w:type="dxa"/>
            <w:vAlign w:val="center"/>
          </w:tcPr>
          <w:p w14:paraId="7A14259E">
            <w:pPr>
              <w:pStyle w:val="12"/>
            </w:pPr>
            <w:r>
              <w:t>0.86</w:t>
            </w:r>
          </w:p>
        </w:tc>
        <w:tc>
          <w:tcPr>
            <w:tcW w:w="2268" w:type="dxa"/>
            <w:vAlign w:val="center"/>
          </w:tcPr>
          <w:p w14:paraId="26191369">
            <w:pPr>
              <w:pStyle w:val="10"/>
            </w:pPr>
            <w:r>
              <w:t>其他资金</w:t>
            </w:r>
          </w:p>
        </w:tc>
        <w:tc>
          <w:tcPr>
            <w:tcW w:w="1276" w:type="dxa"/>
            <w:vAlign w:val="center"/>
          </w:tcPr>
          <w:p w14:paraId="6D9D4CF6">
            <w:pPr>
              <w:pStyle w:val="12"/>
            </w:pPr>
            <w:r>
              <w:t xml:space="preserve"> </w:t>
            </w:r>
          </w:p>
        </w:tc>
      </w:tr>
      <w:tr w14:paraId="01967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D5ABE"/>
        </w:tc>
        <w:tc>
          <w:tcPr>
            <w:tcW w:w="14033" w:type="dxa"/>
            <w:gridSpan w:val="6"/>
            <w:vAlign w:val="center"/>
          </w:tcPr>
          <w:p w14:paraId="4AA1014F">
            <w:pPr>
              <w:pStyle w:val="12"/>
            </w:pPr>
            <w:r>
              <w:t>保证本年度资助经费足额落实到位，符合享受资助条件的学生应助尽助。</w:t>
            </w:r>
            <w:r>
              <w:tab/>
            </w:r>
            <w:r>
              <w:tab/>
            </w:r>
            <w:r>
              <w:tab/>
            </w:r>
            <w:r>
              <w:tab/>
            </w:r>
            <w:r>
              <w:tab/>
            </w:r>
            <w:r>
              <w:tab/>
            </w:r>
          </w:p>
          <w:p w14:paraId="65CB9359">
            <w:pPr>
              <w:pStyle w:val="12"/>
            </w:pPr>
          </w:p>
        </w:tc>
      </w:tr>
      <w:tr w14:paraId="41847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C90BF">
            <w:pPr>
              <w:pStyle w:val="10"/>
            </w:pPr>
            <w:r>
              <w:t>资金支出计划（%）</w:t>
            </w:r>
          </w:p>
        </w:tc>
        <w:tc>
          <w:tcPr>
            <w:tcW w:w="5103" w:type="dxa"/>
            <w:gridSpan w:val="2"/>
            <w:vAlign w:val="center"/>
          </w:tcPr>
          <w:p w14:paraId="35B8A016">
            <w:pPr>
              <w:pStyle w:val="10"/>
            </w:pPr>
            <w:r>
              <w:t>3月底</w:t>
            </w:r>
          </w:p>
        </w:tc>
        <w:tc>
          <w:tcPr>
            <w:tcW w:w="2835" w:type="dxa"/>
            <w:vAlign w:val="center"/>
          </w:tcPr>
          <w:p w14:paraId="6980E7F8">
            <w:pPr>
              <w:pStyle w:val="10"/>
            </w:pPr>
            <w:r>
              <w:t>6月底</w:t>
            </w:r>
          </w:p>
        </w:tc>
        <w:tc>
          <w:tcPr>
            <w:tcW w:w="2551" w:type="dxa"/>
            <w:vAlign w:val="center"/>
          </w:tcPr>
          <w:p w14:paraId="4A6CBEB1">
            <w:pPr>
              <w:pStyle w:val="10"/>
            </w:pPr>
            <w:r>
              <w:t>10月底</w:t>
            </w:r>
          </w:p>
        </w:tc>
        <w:tc>
          <w:tcPr>
            <w:tcW w:w="3544" w:type="dxa"/>
            <w:gridSpan w:val="2"/>
            <w:vAlign w:val="center"/>
          </w:tcPr>
          <w:p w14:paraId="1847FCFC">
            <w:pPr>
              <w:pStyle w:val="10"/>
            </w:pPr>
            <w:r>
              <w:t>12月底</w:t>
            </w:r>
          </w:p>
        </w:tc>
      </w:tr>
      <w:tr w14:paraId="68D82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ACA64"/>
        </w:tc>
        <w:tc>
          <w:tcPr>
            <w:tcW w:w="5103" w:type="dxa"/>
            <w:gridSpan w:val="2"/>
            <w:vAlign w:val="center"/>
          </w:tcPr>
          <w:p w14:paraId="7B8EEAD8">
            <w:pPr>
              <w:pStyle w:val="13"/>
            </w:pPr>
            <w:r>
              <w:t xml:space="preserve"> </w:t>
            </w:r>
          </w:p>
        </w:tc>
        <w:tc>
          <w:tcPr>
            <w:tcW w:w="2835" w:type="dxa"/>
            <w:vAlign w:val="center"/>
          </w:tcPr>
          <w:p w14:paraId="38836192">
            <w:pPr>
              <w:pStyle w:val="13"/>
            </w:pPr>
            <w:r>
              <w:t>50%</w:t>
            </w:r>
          </w:p>
        </w:tc>
        <w:tc>
          <w:tcPr>
            <w:tcW w:w="2551" w:type="dxa"/>
            <w:vAlign w:val="center"/>
          </w:tcPr>
          <w:p w14:paraId="5323FF02">
            <w:pPr>
              <w:pStyle w:val="13"/>
            </w:pPr>
            <w:r>
              <w:t>50%</w:t>
            </w:r>
          </w:p>
        </w:tc>
        <w:tc>
          <w:tcPr>
            <w:tcW w:w="3544" w:type="dxa"/>
            <w:gridSpan w:val="2"/>
            <w:vAlign w:val="center"/>
          </w:tcPr>
          <w:p w14:paraId="561418CD">
            <w:pPr>
              <w:pStyle w:val="13"/>
            </w:pPr>
            <w:r>
              <w:t>100%</w:t>
            </w:r>
          </w:p>
        </w:tc>
      </w:tr>
      <w:tr w14:paraId="0FC8C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173E8">
            <w:pPr>
              <w:pStyle w:val="10"/>
            </w:pPr>
            <w:r>
              <w:t>绩效目标</w:t>
            </w:r>
          </w:p>
        </w:tc>
        <w:tc>
          <w:tcPr>
            <w:tcW w:w="14033" w:type="dxa"/>
            <w:gridSpan w:val="6"/>
            <w:vAlign w:val="center"/>
          </w:tcPr>
          <w:p w14:paraId="3B9F717F">
            <w:pPr>
              <w:pStyle w:val="12"/>
            </w:pPr>
            <w:r>
              <w:t>1.保证本年度资助经费足额落实到位，符合享受资助条件的学生应助尽助。</w:t>
            </w:r>
          </w:p>
        </w:tc>
      </w:tr>
    </w:tbl>
    <w:p w14:paraId="6B533B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2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CB66C">
            <w:pPr>
              <w:pStyle w:val="10"/>
            </w:pPr>
            <w:r>
              <w:t>一级指标</w:t>
            </w:r>
          </w:p>
        </w:tc>
        <w:tc>
          <w:tcPr>
            <w:tcW w:w="2268" w:type="dxa"/>
            <w:vAlign w:val="center"/>
          </w:tcPr>
          <w:p w14:paraId="79D31033">
            <w:pPr>
              <w:pStyle w:val="10"/>
            </w:pPr>
            <w:r>
              <w:t>二级指标</w:t>
            </w:r>
          </w:p>
        </w:tc>
        <w:tc>
          <w:tcPr>
            <w:tcW w:w="2835" w:type="dxa"/>
            <w:vAlign w:val="center"/>
          </w:tcPr>
          <w:p w14:paraId="516A22C9">
            <w:pPr>
              <w:pStyle w:val="10"/>
            </w:pPr>
            <w:r>
              <w:t>三级指标</w:t>
            </w:r>
          </w:p>
        </w:tc>
        <w:tc>
          <w:tcPr>
            <w:tcW w:w="5386" w:type="dxa"/>
            <w:vAlign w:val="center"/>
          </w:tcPr>
          <w:p w14:paraId="407B81BF">
            <w:pPr>
              <w:pStyle w:val="10"/>
            </w:pPr>
            <w:r>
              <w:t>绩效指标描述</w:t>
            </w:r>
          </w:p>
        </w:tc>
        <w:tc>
          <w:tcPr>
            <w:tcW w:w="2268" w:type="dxa"/>
            <w:vAlign w:val="center"/>
          </w:tcPr>
          <w:p w14:paraId="0D6F47F1">
            <w:pPr>
              <w:pStyle w:val="10"/>
            </w:pPr>
            <w:r>
              <w:t>指标值</w:t>
            </w:r>
          </w:p>
        </w:tc>
        <w:tc>
          <w:tcPr>
            <w:tcW w:w="1276" w:type="dxa"/>
            <w:vAlign w:val="center"/>
          </w:tcPr>
          <w:p w14:paraId="2133E220">
            <w:pPr>
              <w:pStyle w:val="10"/>
            </w:pPr>
            <w:r>
              <w:t>指标值确定依据</w:t>
            </w:r>
          </w:p>
        </w:tc>
      </w:tr>
      <w:tr w14:paraId="58E7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A7B2D">
            <w:pPr>
              <w:pStyle w:val="13"/>
            </w:pPr>
            <w:r>
              <w:t>产出指标</w:t>
            </w:r>
          </w:p>
        </w:tc>
        <w:tc>
          <w:tcPr>
            <w:tcW w:w="2268" w:type="dxa"/>
            <w:vAlign w:val="center"/>
          </w:tcPr>
          <w:p w14:paraId="4E62FD64">
            <w:pPr>
              <w:pStyle w:val="12"/>
            </w:pPr>
            <w:r>
              <w:t>数量指标</w:t>
            </w:r>
          </w:p>
        </w:tc>
        <w:tc>
          <w:tcPr>
            <w:tcW w:w="2835" w:type="dxa"/>
            <w:vAlign w:val="center"/>
          </w:tcPr>
          <w:p w14:paraId="69BFE7AA">
            <w:pPr>
              <w:pStyle w:val="12"/>
            </w:pPr>
            <w:r>
              <w:t xml:space="preserve"> 幼儿资助人数</w:t>
            </w:r>
          </w:p>
        </w:tc>
        <w:tc>
          <w:tcPr>
            <w:tcW w:w="5386" w:type="dxa"/>
            <w:vAlign w:val="center"/>
          </w:tcPr>
          <w:p w14:paraId="4C926A36">
            <w:pPr>
              <w:pStyle w:val="12"/>
            </w:pPr>
            <w:r>
              <w:t>按学前适龄在园儿童10%测算</w:t>
            </w:r>
          </w:p>
        </w:tc>
        <w:tc>
          <w:tcPr>
            <w:tcW w:w="2268" w:type="dxa"/>
            <w:vAlign w:val="center"/>
          </w:tcPr>
          <w:p w14:paraId="2D33954B">
            <w:pPr>
              <w:pStyle w:val="12"/>
            </w:pPr>
            <w:r>
              <w:t>47 人</w:t>
            </w:r>
          </w:p>
        </w:tc>
        <w:tc>
          <w:tcPr>
            <w:tcW w:w="1276" w:type="dxa"/>
            <w:vAlign w:val="center"/>
          </w:tcPr>
          <w:p w14:paraId="5C19FB42">
            <w:pPr>
              <w:pStyle w:val="12"/>
            </w:pPr>
            <w:r>
              <w:t>幼儿资助经费管理办法</w:t>
            </w:r>
          </w:p>
        </w:tc>
      </w:tr>
      <w:tr w14:paraId="36D75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87894"/>
        </w:tc>
        <w:tc>
          <w:tcPr>
            <w:tcW w:w="2268" w:type="dxa"/>
            <w:vAlign w:val="center"/>
          </w:tcPr>
          <w:p w14:paraId="04B3AD29">
            <w:pPr>
              <w:pStyle w:val="12"/>
            </w:pPr>
            <w:r>
              <w:t>质量指标</w:t>
            </w:r>
          </w:p>
        </w:tc>
        <w:tc>
          <w:tcPr>
            <w:tcW w:w="2835" w:type="dxa"/>
            <w:vAlign w:val="center"/>
          </w:tcPr>
          <w:p w14:paraId="1E39DDA5">
            <w:pPr>
              <w:pStyle w:val="12"/>
            </w:pPr>
            <w:r>
              <w:t>资助资金使用率</w:t>
            </w:r>
          </w:p>
        </w:tc>
        <w:tc>
          <w:tcPr>
            <w:tcW w:w="5386" w:type="dxa"/>
            <w:vAlign w:val="center"/>
          </w:tcPr>
          <w:p w14:paraId="30457AA7">
            <w:pPr>
              <w:pStyle w:val="12"/>
            </w:pPr>
            <w:r>
              <w:t>符合享受资助条件的学生应助尽助</w:t>
            </w:r>
          </w:p>
        </w:tc>
        <w:tc>
          <w:tcPr>
            <w:tcW w:w="2268" w:type="dxa"/>
            <w:vAlign w:val="center"/>
          </w:tcPr>
          <w:p w14:paraId="7667B7F3">
            <w:pPr>
              <w:pStyle w:val="12"/>
            </w:pPr>
            <w:r>
              <w:t>100%</w:t>
            </w:r>
          </w:p>
        </w:tc>
        <w:tc>
          <w:tcPr>
            <w:tcW w:w="1276" w:type="dxa"/>
            <w:vAlign w:val="center"/>
          </w:tcPr>
          <w:p w14:paraId="33DFFDE5">
            <w:pPr>
              <w:pStyle w:val="12"/>
            </w:pPr>
            <w:r>
              <w:t>幼儿资助经费管理办法</w:t>
            </w:r>
          </w:p>
        </w:tc>
      </w:tr>
      <w:tr w14:paraId="3672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D15AC"/>
        </w:tc>
        <w:tc>
          <w:tcPr>
            <w:tcW w:w="2268" w:type="dxa"/>
            <w:vAlign w:val="center"/>
          </w:tcPr>
          <w:p w14:paraId="0A6CEF5B">
            <w:pPr>
              <w:pStyle w:val="12"/>
            </w:pPr>
            <w:r>
              <w:t>时效指标</w:t>
            </w:r>
          </w:p>
        </w:tc>
        <w:tc>
          <w:tcPr>
            <w:tcW w:w="2835" w:type="dxa"/>
            <w:vAlign w:val="center"/>
          </w:tcPr>
          <w:p w14:paraId="3C05ECE5">
            <w:pPr>
              <w:pStyle w:val="12"/>
            </w:pPr>
            <w:r>
              <w:t>资金拨付率</w:t>
            </w:r>
          </w:p>
        </w:tc>
        <w:tc>
          <w:tcPr>
            <w:tcW w:w="5386" w:type="dxa"/>
            <w:vAlign w:val="center"/>
          </w:tcPr>
          <w:p w14:paraId="2D1F195B">
            <w:pPr>
              <w:pStyle w:val="12"/>
            </w:pPr>
            <w:r>
              <w:t>所有项目资金支付进度</w:t>
            </w:r>
          </w:p>
        </w:tc>
        <w:tc>
          <w:tcPr>
            <w:tcW w:w="2268" w:type="dxa"/>
            <w:vAlign w:val="center"/>
          </w:tcPr>
          <w:p w14:paraId="362A3287">
            <w:pPr>
              <w:pStyle w:val="12"/>
            </w:pPr>
            <w:r>
              <w:t>100%</w:t>
            </w:r>
          </w:p>
        </w:tc>
        <w:tc>
          <w:tcPr>
            <w:tcW w:w="1276" w:type="dxa"/>
            <w:vAlign w:val="center"/>
          </w:tcPr>
          <w:p w14:paraId="38B65715">
            <w:pPr>
              <w:pStyle w:val="12"/>
            </w:pPr>
            <w:r>
              <w:t>幼儿资助经费管理办法</w:t>
            </w:r>
          </w:p>
        </w:tc>
      </w:tr>
      <w:tr w14:paraId="55F9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DCC29"/>
        </w:tc>
        <w:tc>
          <w:tcPr>
            <w:tcW w:w="2268" w:type="dxa"/>
            <w:vAlign w:val="center"/>
          </w:tcPr>
          <w:p w14:paraId="365893C0">
            <w:pPr>
              <w:pStyle w:val="12"/>
            </w:pPr>
            <w:r>
              <w:t>成本指标</w:t>
            </w:r>
          </w:p>
        </w:tc>
        <w:tc>
          <w:tcPr>
            <w:tcW w:w="2835" w:type="dxa"/>
            <w:vAlign w:val="center"/>
          </w:tcPr>
          <w:p w14:paraId="34F22980">
            <w:pPr>
              <w:pStyle w:val="12"/>
            </w:pPr>
            <w:r>
              <w:t>幼儿园生均成本</w:t>
            </w:r>
          </w:p>
        </w:tc>
        <w:tc>
          <w:tcPr>
            <w:tcW w:w="5386" w:type="dxa"/>
            <w:vAlign w:val="center"/>
          </w:tcPr>
          <w:p w14:paraId="5B7140BF">
            <w:pPr>
              <w:pStyle w:val="12"/>
            </w:pPr>
            <w:r>
              <w:t>按照幼儿园资助标准1000元/生/年</w:t>
            </w:r>
          </w:p>
        </w:tc>
        <w:tc>
          <w:tcPr>
            <w:tcW w:w="2268" w:type="dxa"/>
            <w:vAlign w:val="center"/>
          </w:tcPr>
          <w:p w14:paraId="53EA7DE9">
            <w:pPr>
              <w:pStyle w:val="12"/>
            </w:pPr>
            <w:r>
              <w:t>1000元</w:t>
            </w:r>
          </w:p>
        </w:tc>
        <w:tc>
          <w:tcPr>
            <w:tcW w:w="1276" w:type="dxa"/>
            <w:vAlign w:val="center"/>
          </w:tcPr>
          <w:p w14:paraId="6568BB63">
            <w:pPr>
              <w:pStyle w:val="12"/>
            </w:pPr>
            <w:r>
              <w:t>幼儿资助经费管理办法</w:t>
            </w:r>
          </w:p>
        </w:tc>
      </w:tr>
      <w:tr w14:paraId="2B95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99579">
            <w:pPr>
              <w:pStyle w:val="13"/>
            </w:pPr>
            <w:r>
              <w:t>效益指标</w:t>
            </w:r>
          </w:p>
        </w:tc>
        <w:tc>
          <w:tcPr>
            <w:tcW w:w="2268" w:type="dxa"/>
            <w:vAlign w:val="center"/>
          </w:tcPr>
          <w:p w14:paraId="07AD7499">
            <w:pPr>
              <w:pStyle w:val="12"/>
            </w:pPr>
            <w:r>
              <w:t>可持续影响指标</w:t>
            </w:r>
          </w:p>
        </w:tc>
        <w:tc>
          <w:tcPr>
            <w:tcW w:w="2835" w:type="dxa"/>
            <w:vAlign w:val="center"/>
          </w:tcPr>
          <w:p w14:paraId="1EA47C64">
            <w:pPr>
              <w:pStyle w:val="12"/>
            </w:pPr>
            <w:r>
              <w:t>幼儿园正常运转</w:t>
            </w:r>
          </w:p>
        </w:tc>
        <w:tc>
          <w:tcPr>
            <w:tcW w:w="5386" w:type="dxa"/>
            <w:vAlign w:val="center"/>
          </w:tcPr>
          <w:p w14:paraId="64911E9A">
            <w:pPr>
              <w:pStyle w:val="12"/>
            </w:pPr>
            <w:r>
              <w:t>幼儿受教育年限</w:t>
            </w:r>
          </w:p>
        </w:tc>
        <w:tc>
          <w:tcPr>
            <w:tcW w:w="2268" w:type="dxa"/>
            <w:vAlign w:val="center"/>
          </w:tcPr>
          <w:p w14:paraId="7EC107E0">
            <w:pPr>
              <w:pStyle w:val="12"/>
            </w:pPr>
            <w:r>
              <w:t>3年</w:t>
            </w:r>
          </w:p>
        </w:tc>
        <w:tc>
          <w:tcPr>
            <w:tcW w:w="1276" w:type="dxa"/>
            <w:vAlign w:val="center"/>
          </w:tcPr>
          <w:p w14:paraId="704E3507">
            <w:pPr>
              <w:pStyle w:val="12"/>
            </w:pPr>
            <w:r>
              <w:t>幼儿资助经费管理办法</w:t>
            </w:r>
          </w:p>
        </w:tc>
      </w:tr>
      <w:tr w14:paraId="7DB5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8A201">
            <w:pPr>
              <w:pStyle w:val="13"/>
            </w:pPr>
            <w:r>
              <w:t>满意度指标</w:t>
            </w:r>
          </w:p>
        </w:tc>
        <w:tc>
          <w:tcPr>
            <w:tcW w:w="2268" w:type="dxa"/>
            <w:vAlign w:val="center"/>
          </w:tcPr>
          <w:p w14:paraId="78A35D77">
            <w:pPr>
              <w:pStyle w:val="12"/>
            </w:pPr>
            <w:r>
              <w:t>服务对象满意度指标</w:t>
            </w:r>
          </w:p>
        </w:tc>
        <w:tc>
          <w:tcPr>
            <w:tcW w:w="2835" w:type="dxa"/>
            <w:vAlign w:val="center"/>
          </w:tcPr>
          <w:p w14:paraId="5E9F20E4">
            <w:pPr>
              <w:pStyle w:val="12"/>
            </w:pPr>
            <w:r>
              <w:t>受益幼儿家长及调查满意度</w:t>
            </w:r>
          </w:p>
        </w:tc>
        <w:tc>
          <w:tcPr>
            <w:tcW w:w="5386" w:type="dxa"/>
            <w:vAlign w:val="center"/>
          </w:tcPr>
          <w:p w14:paraId="6C9863CF">
            <w:pPr>
              <w:pStyle w:val="12"/>
            </w:pPr>
            <w:r>
              <w:t>学生、教师及家长对学校保教保育工作满意度情况</w:t>
            </w:r>
          </w:p>
        </w:tc>
        <w:tc>
          <w:tcPr>
            <w:tcW w:w="2268" w:type="dxa"/>
            <w:vAlign w:val="center"/>
          </w:tcPr>
          <w:p w14:paraId="457B0F22">
            <w:pPr>
              <w:pStyle w:val="12"/>
            </w:pPr>
            <w:r>
              <w:t>≥95%</w:t>
            </w:r>
          </w:p>
        </w:tc>
        <w:tc>
          <w:tcPr>
            <w:tcW w:w="1276" w:type="dxa"/>
            <w:vAlign w:val="center"/>
          </w:tcPr>
          <w:p w14:paraId="2B2890B9">
            <w:pPr>
              <w:pStyle w:val="12"/>
            </w:pPr>
            <w:r>
              <w:t>幼儿资助经费管理办法</w:t>
            </w:r>
          </w:p>
        </w:tc>
      </w:tr>
    </w:tbl>
    <w:p w14:paraId="6F9DCC28">
      <w:pPr>
        <w:sectPr>
          <w:pgSz w:w="16840" w:h="11900" w:orient="landscape"/>
          <w:pgMar w:top="1361" w:right="1020" w:bottom="1134" w:left="1020" w:header="720" w:footer="720" w:gutter="0"/>
          <w:cols w:space="720" w:num="1"/>
        </w:sectPr>
      </w:pPr>
    </w:p>
    <w:p w14:paraId="66AA22D6">
      <w:pPr>
        <w:spacing w:before="0" w:after="0"/>
        <w:ind w:firstLine="560"/>
        <w:jc w:val="left"/>
        <w:outlineLvl w:val="9"/>
      </w:pPr>
      <w:r>
        <w:rPr>
          <w:rFonts w:ascii="方正仿宋_GBK" w:hAnsi="方正仿宋_GBK" w:eastAsia="方正仿宋_GBK" w:cs="方正仿宋_GBK"/>
          <w:b/>
          <w:color w:val="000000"/>
          <w:sz w:val="28"/>
        </w:rPr>
        <w:t>29、县级配套/北楼校区尧张小学公用经费绩效目标表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8F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9CEB6">
            <w:pPr>
              <w:pStyle w:val="11"/>
            </w:pPr>
            <w:r>
              <w:t>单位：万元</w:t>
            </w:r>
          </w:p>
        </w:tc>
      </w:tr>
      <w:tr w14:paraId="064BF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3F0A1">
            <w:pPr>
              <w:pStyle w:val="10"/>
            </w:pPr>
            <w:r>
              <w:t>项目编码</w:t>
            </w:r>
          </w:p>
        </w:tc>
        <w:tc>
          <w:tcPr>
            <w:tcW w:w="5103" w:type="dxa"/>
            <w:gridSpan w:val="2"/>
            <w:vAlign w:val="center"/>
          </w:tcPr>
          <w:p w14:paraId="6360E509">
            <w:pPr>
              <w:pStyle w:val="12"/>
            </w:pPr>
            <w:r>
              <w:t>13052526P000004104332</w:t>
            </w:r>
          </w:p>
        </w:tc>
        <w:tc>
          <w:tcPr>
            <w:tcW w:w="2835" w:type="dxa"/>
            <w:vAlign w:val="center"/>
          </w:tcPr>
          <w:p w14:paraId="50F5C877">
            <w:pPr>
              <w:pStyle w:val="10"/>
            </w:pPr>
            <w:r>
              <w:t>项目名称</w:t>
            </w:r>
          </w:p>
        </w:tc>
        <w:tc>
          <w:tcPr>
            <w:tcW w:w="6095" w:type="dxa"/>
            <w:gridSpan w:val="3"/>
            <w:vAlign w:val="center"/>
          </w:tcPr>
          <w:p w14:paraId="6C021325">
            <w:pPr>
              <w:pStyle w:val="12"/>
            </w:pPr>
            <w:r>
              <w:t>县级配套/北楼校区尧张小学公用经费</w:t>
            </w:r>
          </w:p>
        </w:tc>
      </w:tr>
      <w:tr w14:paraId="51DC2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EB1E0">
            <w:pPr>
              <w:pStyle w:val="10"/>
            </w:pPr>
            <w:r>
              <w:t>预算规模及资金用途</w:t>
            </w:r>
          </w:p>
        </w:tc>
        <w:tc>
          <w:tcPr>
            <w:tcW w:w="2268" w:type="dxa"/>
            <w:vAlign w:val="center"/>
          </w:tcPr>
          <w:p w14:paraId="57914179">
            <w:pPr>
              <w:pStyle w:val="10"/>
            </w:pPr>
            <w:r>
              <w:t>预算数</w:t>
            </w:r>
          </w:p>
        </w:tc>
        <w:tc>
          <w:tcPr>
            <w:tcW w:w="2835" w:type="dxa"/>
            <w:vAlign w:val="center"/>
          </w:tcPr>
          <w:p w14:paraId="67F7DDD0">
            <w:pPr>
              <w:pStyle w:val="12"/>
            </w:pPr>
            <w:r>
              <w:t>2.37</w:t>
            </w:r>
          </w:p>
        </w:tc>
        <w:tc>
          <w:tcPr>
            <w:tcW w:w="2835" w:type="dxa"/>
            <w:vAlign w:val="center"/>
          </w:tcPr>
          <w:p w14:paraId="535E402C">
            <w:pPr>
              <w:pStyle w:val="10"/>
            </w:pPr>
            <w:r>
              <w:t>其中：财政    资金</w:t>
            </w:r>
          </w:p>
        </w:tc>
        <w:tc>
          <w:tcPr>
            <w:tcW w:w="2551" w:type="dxa"/>
            <w:vAlign w:val="center"/>
          </w:tcPr>
          <w:p w14:paraId="68006760">
            <w:pPr>
              <w:pStyle w:val="12"/>
            </w:pPr>
            <w:r>
              <w:t>2.37</w:t>
            </w:r>
          </w:p>
        </w:tc>
        <w:tc>
          <w:tcPr>
            <w:tcW w:w="2268" w:type="dxa"/>
            <w:vAlign w:val="center"/>
          </w:tcPr>
          <w:p w14:paraId="42C69122">
            <w:pPr>
              <w:pStyle w:val="10"/>
            </w:pPr>
            <w:r>
              <w:t>其他资金</w:t>
            </w:r>
          </w:p>
        </w:tc>
        <w:tc>
          <w:tcPr>
            <w:tcW w:w="1276" w:type="dxa"/>
            <w:vAlign w:val="center"/>
          </w:tcPr>
          <w:p w14:paraId="3243343E">
            <w:pPr>
              <w:pStyle w:val="12"/>
            </w:pPr>
            <w:r>
              <w:t xml:space="preserve"> </w:t>
            </w:r>
          </w:p>
        </w:tc>
      </w:tr>
      <w:tr w14:paraId="300B6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5D241"/>
        </w:tc>
        <w:tc>
          <w:tcPr>
            <w:tcW w:w="14033" w:type="dxa"/>
            <w:gridSpan w:val="6"/>
            <w:vAlign w:val="center"/>
          </w:tcPr>
          <w:p w14:paraId="44D7D628">
            <w:pPr>
              <w:pStyle w:val="12"/>
            </w:pPr>
            <w:r>
              <w:t>有效完成学校教学安全秩有效完成学校教学安全秩序，保障学校教学任务有效开展，满足学校正常教学需要。</w:t>
            </w:r>
          </w:p>
        </w:tc>
      </w:tr>
      <w:tr w14:paraId="0D729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20713">
            <w:pPr>
              <w:pStyle w:val="10"/>
            </w:pPr>
            <w:r>
              <w:t>资金支出计划（%）</w:t>
            </w:r>
          </w:p>
        </w:tc>
        <w:tc>
          <w:tcPr>
            <w:tcW w:w="5103" w:type="dxa"/>
            <w:gridSpan w:val="2"/>
            <w:vAlign w:val="center"/>
          </w:tcPr>
          <w:p w14:paraId="4FF96733">
            <w:pPr>
              <w:pStyle w:val="10"/>
            </w:pPr>
            <w:r>
              <w:t>3月底</w:t>
            </w:r>
          </w:p>
        </w:tc>
        <w:tc>
          <w:tcPr>
            <w:tcW w:w="2835" w:type="dxa"/>
            <w:vAlign w:val="center"/>
          </w:tcPr>
          <w:p w14:paraId="111E0C2F">
            <w:pPr>
              <w:pStyle w:val="10"/>
            </w:pPr>
            <w:r>
              <w:t>6月底</w:t>
            </w:r>
          </w:p>
        </w:tc>
        <w:tc>
          <w:tcPr>
            <w:tcW w:w="2551" w:type="dxa"/>
            <w:vAlign w:val="center"/>
          </w:tcPr>
          <w:p w14:paraId="04F8347D">
            <w:pPr>
              <w:pStyle w:val="10"/>
            </w:pPr>
            <w:r>
              <w:t>10月底</w:t>
            </w:r>
          </w:p>
        </w:tc>
        <w:tc>
          <w:tcPr>
            <w:tcW w:w="3544" w:type="dxa"/>
            <w:gridSpan w:val="2"/>
            <w:vAlign w:val="center"/>
          </w:tcPr>
          <w:p w14:paraId="2822F1D6">
            <w:pPr>
              <w:pStyle w:val="10"/>
            </w:pPr>
            <w:r>
              <w:t>12月底</w:t>
            </w:r>
          </w:p>
        </w:tc>
      </w:tr>
      <w:tr w14:paraId="0DA6F22F">
        <w:tblPrEx>
          <w:tblCellMar>
            <w:top w:w="0" w:type="dxa"/>
            <w:left w:w="108" w:type="dxa"/>
            <w:bottom w:w="0" w:type="dxa"/>
            <w:right w:w="108" w:type="dxa"/>
          </w:tblCellMar>
        </w:tblPrEx>
        <w:trPr>
          <w:trHeight w:val="369" w:hRule="atLeast"/>
          <w:jc w:val="center"/>
        </w:trPr>
        <w:tc>
          <w:tcPr>
            <w:tcW w:w="1276" w:type="dxa"/>
            <w:vMerge w:val="continue"/>
          </w:tcPr>
          <w:p w14:paraId="071E6A04"/>
        </w:tc>
        <w:tc>
          <w:tcPr>
            <w:tcW w:w="5103" w:type="dxa"/>
            <w:gridSpan w:val="2"/>
            <w:vAlign w:val="center"/>
          </w:tcPr>
          <w:p w14:paraId="2986E3FD">
            <w:pPr>
              <w:pStyle w:val="13"/>
            </w:pPr>
            <w:r>
              <w:t>25%</w:t>
            </w:r>
          </w:p>
        </w:tc>
        <w:tc>
          <w:tcPr>
            <w:tcW w:w="2835" w:type="dxa"/>
            <w:vAlign w:val="center"/>
          </w:tcPr>
          <w:p w14:paraId="6DE3F06C">
            <w:pPr>
              <w:pStyle w:val="13"/>
            </w:pPr>
            <w:r>
              <w:t>50%</w:t>
            </w:r>
          </w:p>
        </w:tc>
        <w:tc>
          <w:tcPr>
            <w:tcW w:w="2551" w:type="dxa"/>
            <w:vAlign w:val="center"/>
          </w:tcPr>
          <w:p w14:paraId="65939CCD">
            <w:pPr>
              <w:pStyle w:val="13"/>
            </w:pPr>
            <w:r>
              <w:t>75%</w:t>
            </w:r>
          </w:p>
        </w:tc>
        <w:tc>
          <w:tcPr>
            <w:tcW w:w="3544" w:type="dxa"/>
            <w:gridSpan w:val="2"/>
            <w:vAlign w:val="center"/>
          </w:tcPr>
          <w:p w14:paraId="56BD3617">
            <w:pPr>
              <w:pStyle w:val="13"/>
            </w:pPr>
            <w:r>
              <w:t>100%</w:t>
            </w:r>
          </w:p>
        </w:tc>
      </w:tr>
      <w:tr w14:paraId="182DEFB0">
        <w:tblPrEx>
          <w:tblCellMar>
            <w:top w:w="0" w:type="dxa"/>
            <w:left w:w="108" w:type="dxa"/>
            <w:bottom w:w="0" w:type="dxa"/>
            <w:right w:w="108" w:type="dxa"/>
          </w:tblCellMar>
        </w:tblPrEx>
        <w:trPr>
          <w:trHeight w:val="369" w:hRule="atLeast"/>
          <w:jc w:val="center"/>
        </w:trPr>
        <w:tc>
          <w:tcPr>
            <w:tcW w:w="1276" w:type="dxa"/>
            <w:vAlign w:val="center"/>
          </w:tcPr>
          <w:p w14:paraId="3C8E365E">
            <w:pPr>
              <w:pStyle w:val="10"/>
            </w:pPr>
            <w:r>
              <w:t>绩效目标</w:t>
            </w:r>
          </w:p>
        </w:tc>
        <w:tc>
          <w:tcPr>
            <w:tcW w:w="14033" w:type="dxa"/>
            <w:gridSpan w:val="6"/>
            <w:vAlign w:val="center"/>
          </w:tcPr>
          <w:p w14:paraId="5DDFFB24">
            <w:pPr>
              <w:pStyle w:val="12"/>
            </w:pPr>
            <w:r>
              <w:t>1.按规定拨付公用经费资金，预算执行率≥98%。</w:t>
            </w:r>
          </w:p>
          <w:p w14:paraId="715CDD5A">
            <w:pPr>
              <w:pStyle w:val="12"/>
            </w:pPr>
            <w:r>
              <w:t>2.有效完成学校教学安全秩序，保障学校教学任务有效开展，满足学校正常教学需要。</w:t>
            </w:r>
          </w:p>
        </w:tc>
      </w:tr>
    </w:tbl>
    <w:p w14:paraId="2133B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C6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0B6C3">
            <w:pPr>
              <w:pStyle w:val="10"/>
            </w:pPr>
            <w:r>
              <w:t>一级指标</w:t>
            </w:r>
          </w:p>
        </w:tc>
        <w:tc>
          <w:tcPr>
            <w:tcW w:w="2268" w:type="dxa"/>
            <w:vAlign w:val="center"/>
          </w:tcPr>
          <w:p w14:paraId="54E5B590">
            <w:pPr>
              <w:pStyle w:val="10"/>
            </w:pPr>
            <w:r>
              <w:t>二级指标</w:t>
            </w:r>
          </w:p>
        </w:tc>
        <w:tc>
          <w:tcPr>
            <w:tcW w:w="2835" w:type="dxa"/>
            <w:vAlign w:val="center"/>
          </w:tcPr>
          <w:p w14:paraId="3086FA56">
            <w:pPr>
              <w:pStyle w:val="10"/>
            </w:pPr>
            <w:r>
              <w:t>三级指标</w:t>
            </w:r>
          </w:p>
        </w:tc>
        <w:tc>
          <w:tcPr>
            <w:tcW w:w="5386" w:type="dxa"/>
            <w:vAlign w:val="center"/>
          </w:tcPr>
          <w:p w14:paraId="5E8DCA95">
            <w:pPr>
              <w:pStyle w:val="10"/>
            </w:pPr>
            <w:r>
              <w:t>绩效指标描述</w:t>
            </w:r>
          </w:p>
        </w:tc>
        <w:tc>
          <w:tcPr>
            <w:tcW w:w="2268" w:type="dxa"/>
            <w:vAlign w:val="center"/>
          </w:tcPr>
          <w:p w14:paraId="4FB23B17">
            <w:pPr>
              <w:pStyle w:val="10"/>
            </w:pPr>
            <w:r>
              <w:t>指标值</w:t>
            </w:r>
          </w:p>
        </w:tc>
        <w:tc>
          <w:tcPr>
            <w:tcW w:w="1276" w:type="dxa"/>
            <w:vAlign w:val="center"/>
          </w:tcPr>
          <w:p w14:paraId="5245A2C6">
            <w:pPr>
              <w:pStyle w:val="10"/>
            </w:pPr>
            <w:r>
              <w:t>指标值确定依据</w:t>
            </w:r>
          </w:p>
        </w:tc>
      </w:tr>
      <w:tr w14:paraId="402A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FE903">
            <w:pPr>
              <w:pStyle w:val="13"/>
            </w:pPr>
            <w:r>
              <w:t>产出指标</w:t>
            </w:r>
          </w:p>
        </w:tc>
        <w:tc>
          <w:tcPr>
            <w:tcW w:w="2268" w:type="dxa"/>
            <w:vAlign w:val="center"/>
          </w:tcPr>
          <w:p w14:paraId="6A1B706F">
            <w:pPr>
              <w:pStyle w:val="12"/>
            </w:pPr>
            <w:r>
              <w:t>成本指标</w:t>
            </w:r>
          </w:p>
        </w:tc>
        <w:tc>
          <w:tcPr>
            <w:tcW w:w="2835" w:type="dxa"/>
            <w:vAlign w:val="center"/>
          </w:tcPr>
          <w:p w14:paraId="51304EEE">
            <w:pPr>
              <w:pStyle w:val="12"/>
            </w:pPr>
            <w:r>
              <w:t>生均拨款标准</w:t>
            </w:r>
          </w:p>
        </w:tc>
        <w:tc>
          <w:tcPr>
            <w:tcW w:w="5386" w:type="dxa"/>
            <w:vAlign w:val="center"/>
          </w:tcPr>
          <w:p w14:paraId="56A33587">
            <w:pPr>
              <w:pStyle w:val="12"/>
            </w:pPr>
            <w:r>
              <w:t>小学生公用经费生均小学720元。取暖费120元/生/年，随班就读学生补助7000元/生</w:t>
            </w:r>
          </w:p>
        </w:tc>
        <w:tc>
          <w:tcPr>
            <w:tcW w:w="2268" w:type="dxa"/>
            <w:vAlign w:val="center"/>
          </w:tcPr>
          <w:p w14:paraId="6867632E">
            <w:pPr>
              <w:pStyle w:val="12"/>
            </w:pPr>
            <w:r>
              <w:t>840元</w:t>
            </w:r>
          </w:p>
        </w:tc>
        <w:tc>
          <w:tcPr>
            <w:tcW w:w="1276" w:type="dxa"/>
            <w:vAlign w:val="center"/>
          </w:tcPr>
          <w:p w14:paraId="00F0755E">
            <w:pPr>
              <w:pStyle w:val="12"/>
            </w:pPr>
            <w:r>
              <w:t>城乡义务教育公用经费管理办法</w:t>
            </w:r>
          </w:p>
        </w:tc>
      </w:tr>
      <w:tr w14:paraId="778A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23273"/>
        </w:tc>
        <w:tc>
          <w:tcPr>
            <w:tcW w:w="2268" w:type="dxa"/>
            <w:vAlign w:val="center"/>
          </w:tcPr>
          <w:p w14:paraId="1CF0425D">
            <w:pPr>
              <w:pStyle w:val="12"/>
            </w:pPr>
            <w:r>
              <w:t>数量指标</w:t>
            </w:r>
          </w:p>
        </w:tc>
        <w:tc>
          <w:tcPr>
            <w:tcW w:w="2835" w:type="dxa"/>
            <w:vAlign w:val="center"/>
          </w:tcPr>
          <w:p w14:paraId="3C297517">
            <w:pPr>
              <w:pStyle w:val="12"/>
            </w:pPr>
            <w:r>
              <w:t>就读学生数</w:t>
            </w:r>
          </w:p>
        </w:tc>
        <w:tc>
          <w:tcPr>
            <w:tcW w:w="5386" w:type="dxa"/>
            <w:vAlign w:val="center"/>
          </w:tcPr>
          <w:p w14:paraId="2532231A">
            <w:pPr>
              <w:pStyle w:val="12"/>
            </w:pPr>
            <w:r>
              <w:t>辐射区域内适龄学生人数</w:t>
            </w:r>
          </w:p>
        </w:tc>
        <w:tc>
          <w:tcPr>
            <w:tcW w:w="2268" w:type="dxa"/>
            <w:vAlign w:val="center"/>
          </w:tcPr>
          <w:p w14:paraId="335EF088">
            <w:pPr>
              <w:pStyle w:val="12"/>
            </w:pPr>
            <w:r>
              <w:t>279人</w:t>
            </w:r>
          </w:p>
        </w:tc>
        <w:tc>
          <w:tcPr>
            <w:tcW w:w="1276" w:type="dxa"/>
            <w:vAlign w:val="center"/>
          </w:tcPr>
          <w:p w14:paraId="38FDEE26">
            <w:pPr>
              <w:pStyle w:val="12"/>
            </w:pPr>
            <w:r>
              <w:t>城乡义务教育公用经费管理办法</w:t>
            </w:r>
          </w:p>
        </w:tc>
      </w:tr>
      <w:tr w14:paraId="0EEA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A1CF6"/>
        </w:tc>
        <w:tc>
          <w:tcPr>
            <w:tcW w:w="2268" w:type="dxa"/>
            <w:vAlign w:val="center"/>
          </w:tcPr>
          <w:p w14:paraId="07E5657B">
            <w:pPr>
              <w:pStyle w:val="12"/>
            </w:pPr>
            <w:r>
              <w:t>质量指标</w:t>
            </w:r>
          </w:p>
        </w:tc>
        <w:tc>
          <w:tcPr>
            <w:tcW w:w="2835" w:type="dxa"/>
            <w:vAlign w:val="center"/>
          </w:tcPr>
          <w:p w14:paraId="7E2ECA78">
            <w:pPr>
              <w:pStyle w:val="12"/>
            </w:pPr>
            <w:r>
              <w:t>预算执行率</w:t>
            </w:r>
          </w:p>
        </w:tc>
        <w:tc>
          <w:tcPr>
            <w:tcW w:w="5386" w:type="dxa"/>
            <w:vAlign w:val="center"/>
          </w:tcPr>
          <w:p w14:paraId="7A1DC827">
            <w:pPr>
              <w:pStyle w:val="12"/>
            </w:pPr>
            <w:r>
              <w:t>预算执行率≥98%</w:t>
            </w:r>
          </w:p>
        </w:tc>
        <w:tc>
          <w:tcPr>
            <w:tcW w:w="2268" w:type="dxa"/>
            <w:vAlign w:val="center"/>
          </w:tcPr>
          <w:p w14:paraId="43872CEF">
            <w:pPr>
              <w:pStyle w:val="12"/>
            </w:pPr>
            <w:r>
              <w:t>≥98%</w:t>
            </w:r>
          </w:p>
        </w:tc>
        <w:tc>
          <w:tcPr>
            <w:tcW w:w="1276" w:type="dxa"/>
            <w:vAlign w:val="center"/>
          </w:tcPr>
          <w:p w14:paraId="57B1FAB1">
            <w:pPr>
              <w:pStyle w:val="12"/>
            </w:pPr>
            <w:r>
              <w:t>城乡义务教育公用经费管理办法</w:t>
            </w:r>
          </w:p>
        </w:tc>
      </w:tr>
      <w:tr w14:paraId="68FB9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3AE05"/>
        </w:tc>
        <w:tc>
          <w:tcPr>
            <w:tcW w:w="2268" w:type="dxa"/>
            <w:vAlign w:val="center"/>
          </w:tcPr>
          <w:p w14:paraId="44074F12">
            <w:pPr>
              <w:pStyle w:val="12"/>
            </w:pPr>
            <w:r>
              <w:t>时效指标</w:t>
            </w:r>
          </w:p>
        </w:tc>
        <w:tc>
          <w:tcPr>
            <w:tcW w:w="2835" w:type="dxa"/>
            <w:vAlign w:val="center"/>
          </w:tcPr>
          <w:p w14:paraId="56164149">
            <w:pPr>
              <w:pStyle w:val="12"/>
            </w:pPr>
            <w:r>
              <w:t>义教经费支付完成率</w:t>
            </w:r>
          </w:p>
        </w:tc>
        <w:tc>
          <w:tcPr>
            <w:tcW w:w="5386" w:type="dxa"/>
            <w:vAlign w:val="center"/>
          </w:tcPr>
          <w:p w14:paraId="20370DED">
            <w:pPr>
              <w:pStyle w:val="12"/>
            </w:pPr>
            <w:r>
              <w:t>按照序时进度完成资金支付</w:t>
            </w:r>
          </w:p>
        </w:tc>
        <w:tc>
          <w:tcPr>
            <w:tcW w:w="2268" w:type="dxa"/>
            <w:vAlign w:val="center"/>
          </w:tcPr>
          <w:p w14:paraId="609B83B4">
            <w:pPr>
              <w:pStyle w:val="12"/>
            </w:pPr>
            <w:r>
              <w:t>100%</w:t>
            </w:r>
          </w:p>
        </w:tc>
        <w:tc>
          <w:tcPr>
            <w:tcW w:w="1276" w:type="dxa"/>
            <w:vAlign w:val="center"/>
          </w:tcPr>
          <w:p w14:paraId="2005FAB6">
            <w:pPr>
              <w:pStyle w:val="12"/>
            </w:pPr>
            <w:r>
              <w:t>城乡义务教育公用经费管理办法</w:t>
            </w:r>
          </w:p>
        </w:tc>
      </w:tr>
      <w:tr w14:paraId="52C0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5D41B">
            <w:pPr>
              <w:pStyle w:val="13"/>
            </w:pPr>
            <w:r>
              <w:t>效益指标</w:t>
            </w:r>
          </w:p>
        </w:tc>
        <w:tc>
          <w:tcPr>
            <w:tcW w:w="2268" w:type="dxa"/>
            <w:vAlign w:val="center"/>
          </w:tcPr>
          <w:p w14:paraId="09082E68">
            <w:pPr>
              <w:pStyle w:val="12"/>
            </w:pPr>
            <w:r>
              <w:t>可持续影响指标</w:t>
            </w:r>
          </w:p>
        </w:tc>
        <w:tc>
          <w:tcPr>
            <w:tcW w:w="2835" w:type="dxa"/>
            <w:vAlign w:val="center"/>
          </w:tcPr>
          <w:p w14:paraId="6504F693">
            <w:pPr>
              <w:pStyle w:val="12"/>
            </w:pPr>
            <w:r>
              <w:t>学校运转得到提高</w:t>
            </w:r>
          </w:p>
        </w:tc>
        <w:tc>
          <w:tcPr>
            <w:tcW w:w="5386" w:type="dxa"/>
            <w:vAlign w:val="center"/>
          </w:tcPr>
          <w:p w14:paraId="49EA912D">
            <w:pPr>
              <w:pStyle w:val="12"/>
            </w:pPr>
            <w:r>
              <w:t>学生受教育年限</w:t>
            </w:r>
          </w:p>
        </w:tc>
        <w:tc>
          <w:tcPr>
            <w:tcW w:w="2268" w:type="dxa"/>
            <w:vAlign w:val="center"/>
          </w:tcPr>
          <w:p w14:paraId="37E767B5">
            <w:pPr>
              <w:pStyle w:val="12"/>
            </w:pPr>
            <w:r>
              <w:t>6年</w:t>
            </w:r>
          </w:p>
        </w:tc>
        <w:tc>
          <w:tcPr>
            <w:tcW w:w="1276" w:type="dxa"/>
            <w:vAlign w:val="center"/>
          </w:tcPr>
          <w:p w14:paraId="7F55C7C6">
            <w:pPr>
              <w:pStyle w:val="12"/>
            </w:pPr>
            <w:r>
              <w:t>城乡义务教育公用经费管理办法</w:t>
            </w:r>
          </w:p>
        </w:tc>
      </w:tr>
      <w:tr w14:paraId="2B1B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5EAD4">
            <w:pPr>
              <w:pStyle w:val="13"/>
            </w:pPr>
            <w:r>
              <w:t>满意度指标</w:t>
            </w:r>
          </w:p>
        </w:tc>
        <w:tc>
          <w:tcPr>
            <w:tcW w:w="2268" w:type="dxa"/>
            <w:vAlign w:val="center"/>
          </w:tcPr>
          <w:p w14:paraId="2FFC7223">
            <w:pPr>
              <w:pStyle w:val="12"/>
            </w:pPr>
            <w:r>
              <w:t>服务对象满意度指标</w:t>
            </w:r>
          </w:p>
        </w:tc>
        <w:tc>
          <w:tcPr>
            <w:tcW w:w="2835" w:type="dxa"/>
            <w:vAlign w:val="center"/>
          </w:tcPr>
          <w:p w14:paraId="620DC0CE">
            <w:pPr>
              <w:pStyle w:val="12"/>
            </w:pPr>
            <w:r>
              <w:t>服务对象满意度</w:t>
            </w:r>
          </w:p>
        </w:tc>
        <w:tc>
          <w:tcPr>
            <w:tcW w:w="5386" w:type="dxa"/>
            <w:vAlign w:val="center"/>
          </w:tcPr>
          <w:p w14:paraId="0704E4C5">
            <w:pPr>
              <w:pStyle w:val="12"/>
            </w:pPr>
            <w:r>
              <w:t>学校老师和学生满意度</w:t>
            </w:r>
          </w:p>
        </w:tc>
        <w:tc>
          <w:tcPr>
            <w:tcW w:w="2268" w:type="dxa"/>
            <w:vAlign w:val="center"/>
          </w:tcPr>
          <w:p w14:paraId="2B3E85B3">
            <w:pPr>
              <w:pStyle w:val="12"/>
            </w:pPr>
            <w:r>
              <w:t>≥95%</w:t>
            </w:r>
          </w:p>
        </w:tc>
        <w:tc>
          <w:tcPr>
            <w:tcW w:w="1276" w:type="dxa"/>
            <w:vAlign w:val="center"/>
          </w:tcPr>
          <w:p w14:paraId="18E4AE75">
            <w:pPr>
              <w:pStyle w:val="12"/>
            </w:pPr>
            <w:r>
              <w:t>问卷调查</w:t>
            </w:r>
          </w:p>
        </w:tc>
      </w:tr>
    </w:tbl>
    <w:p w14:paraId="0CEA5D5F">
      <w:pPr>
        <w:sectPr>
          <w:pgSz w:w="16840" w:h="11900" w:orient="landscape"/>
          <w:pgMar w:top="1361" w:right="1020" w:bottom="1134" w:left="1020" w:header="720" w:footer="720" w:gutter="0"/>
          <w:cols w:space="720" w:num="1"/>
        </w:sectPr>
      </w:pPr>
    </w:p>
    <w:p w14:paraId="6BF3D0D8">
      <w:pPr>
        <w:spacing w:before="0" w:after="0"/>
        <w:ind w:firstLine="560"/>
        <w:jc w:val="left"/>
        <w:outlineLvl w:val="9"/>
      </w:pPr>
      <w:r>
        <w:rPr>
          <w:rFonts w:ascii="方正仿宋_GBK" w:hAnsi="方正仿宋_GBK" w:eastAsia="方正仿宋_GBK" w:cs="方正仿宋_GBK"/>
          <w:b/>
          <w:color w:val="000000"/>
          <w:sz w:val="28"/>
        </w:rPr>
        <w:t>30、县级资金/2024年北楼校区学前教育公用经费绩效目标表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9B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46C44">
            <w:pPr>
              <w:pStyle w:val="11"/>
            </w:pPr>
            <w:r>
              <w:t>单位：万元</w:t>
            </w:r>
          </w:p>
        </w:tc>
      </w:tr>
      <w:tr w14:paraId="781B0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022D9">
            <w:pPr>
              <w:pStyle w:val="10"/>
            </w:pPr>
            <w:r>
              <w:t>项目编码</w:t>
            </w:r>
          </w:p>
        </w:tc>
        <w:tc>
          <w:tcPr>
            <w:tcW w:w="5103" w:type="dxa"/>
            <w:gridSpan w:val="2"/>
            <w:vAlign w:val="center"/>
          </w:tcPr>
          <w:p w14:paraId="077622C0">
            <w:pPr>
              <w:pStyle w:val="12"/>
            </w:pPr>
            <w:r>
              <w:t>13052526P008757101336</w:t>
            </w:r>
          </w:p>
        </w:tc>
        <w:tc>
          <w:tcPr>
            <w:tcW w:w="2835" w:type="dxa"/>
            <w:vAlign w:val="center"/>
          </w:tcPr>
          <w:p w14:paraId="125E54C3">
            <w:pPr>
              <w:pStyle w:val="10"/>
            </w:pPr>
            <w:r>
              <w:t>项目名称</w:t>
            </w:r>
          </w:p>
        </w:tc>
        <w:tc>
          <w:tcPr>
            <w:tcW w:w="6095" w:type="dxa"/>
            <w:gridSpan w:val="3"/>
            <w:vAlign w:val="center"/>
          </w:tcPr>
          <w:p w14:paraId="58F18E21">
            <w:pPr>
              <w:pStyle w:val="12"/>
            </w:pPr>
            <w:r>
              <w:t>县级资金/2024年北楼校区学前教育公用经费</w:t>
            </w:r>
          </w:p>
        </w:tc>
      </w:tr>
      <w:tr w14:paraId="448BB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367F4">
            <w:pPr>
              <w:pStyle w:val="10"/>
            </w:pPr>
            <w:r>
              <w:t>预算规模及资金用途</w:t>
            </w:r>
          </w:p>
        </w:tc>
        <w:tc>
          <w:tcPr>
            <w:tcW w:w="2268" w:type="dxa"/>
            <w:vAlign w:val="center"/>
          </w:tcPr>
          <w:p w14:paraId="1605A586">
            <w:pPr>
              <w:pStyle w:val="10"/>
            </w:pPr>
            <w:r>
              <w:t>预算数</w:t>
            </w:r>
          </w:p>
        </w:tc>
        <w:tc>
          <w:tcPr>
            <w:tcW w:w="2835" w:type="dxa"/>
            <w:vAlign w:val="center"/>
          </w:tcPr>
          <w:p w14:paraId="04FCB11E">
            <w:pPr>
              <w:pStyle w:val="12"/>
            </w:pPr>
            <w:r>
              <w:t>39.29</w:t>
            </w:r>
          </w:p>
        </w:tc>
        <w:tc>
          <w:tcPr>
            <w:tcW w:w="2835" w:type="dxa"/>
            <w:vAlign w:val="center"/>
          </w:tcPr>
          <w:p w14:paraId="52A24325">
            <w:pPr>
              <w:pStyle w:val="10"/>
            </w:pPr>
            <w:r>
              <w:t>其中：财政    资金</w:t>
            </w:r>
          </w:p>
        </w:tc>
        <w:tc>
          <w:tcPr>
            <w:tcW w:w="2551" w:type="dxa"/>
            <w:vAlign w:val="center"/>
          </w:tcPr>
          <w:p w14:paraId="72641D96">
            <w:pPr>
              <w:pStyle w:val="12"/>
            </w:pPr>
            <w:r>
              <w:t>39.29</w:t>
            </w:r>
          </w:p>
        </w:tc>
        <w:tc>
          <w:tcPr>
            <w:tcW w:w="2268" w:type="dxa"/>
            <w:vAlign w:val="center"/>
          </w:tcPr>
          <w:p w14:paraId="6AF7EED0">
            <w:pPr>
              <w:pStyle w:val="10"/>
            </w:pPr>
            <w:r>
              <w:t>其他资金</w:t>
            </w:r>
          </w:p>
        </w:tc>
        <w:tc>
          <w:tcPr>
            <w:tcW w:w="1276" w:type="dxa"/>
            <w:vAlign w:val="center"/>
          </w:tcPr>
          <w:p w14:paraId="4EC70994">
            <w:pPr>
              <w:pStyle w:val="12"/>
            </w:pPr>
            <w:r>
              <w:t xml:space="preserve"> </w:t>
            </w:r>
          </w:p>
        </w:tc>
      </w:tr>
      <w:tr w14:paraId="454C8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35485"/>
        </w:tc>
        <w:tc>
          <w:tcPr>
            <w:tcW w:w="14033" w:type="dxa"/>
            <w:gridSpan w:val="6"/>
            <w:vAlign w:val="center"/>
          </w:tcPr>
          <w:p w14:paraId="0DA01D0A">
            <w:pPr>
              <w:pStyle w:val="12"/>
            </w:pPr>
            <w:r>
              <w:t xml:space="preserve"> 保障幼儿园正常运转，完成教育教学活动和其他日常工作任务等方面的费用支出。</w:t>
            </w:r>
            <w:r>
              <w:tab/>
            </w:r>
          </w:p>
        </w:tc>
      </w:tr>
      <w:tr w14:paraId="6E39B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331A0">
            <w:pPr>
              <w:pStyle w:val="10"/>
            </w:pPr>
            <w:r>
              <w:t>资金支出计划（%）</w:t>
            </w:r>
          </w:p>
        </w:tc>
        <w:tc>
          <w:tcPr>
            <w:tcW w:w="5103" w:type="dxa"/>
            <w:gridSpan w:val="2"/>
            <w:vAlign w:val="center"/>
          </w:tcPr>
          <w:p w14:paraId="0F471AB6">
            <w:pPr>
              <w:pStyle w:val="10"/>
            </w:pPr>
            <w:r>
              <w:t>3月底</w:t>
            </w:r>
          </w:p>
        </w:tc>
        <w:tc>
          <w:tcPr>
            <w:tcW w:w="2835" w:type="dxa"/>
            <w:vAlign w:val="center"/>
          </w:tcPr>
          <w:p w14:paraId="3DBFA0C1">
            <w:pPr>
              <w:pStyle w:val="10"/>
            </w:pPr>
            <w:r>
              <w:t>6月底</w:t>
            </w:r>
          </w:p>
        </w:tc>
        <w:tc>
          <w:tcPr>
            <w:tcW w:w="2551" w:type="dxa"/>
            <w:vAlign w:val="center"/>
          </w:tcPr>
          <w:p w14:paraId="177C8024">
            <w:pPr>
              <w:pStyle w:val="10"/>
            </w:pPr>
            <w:r>
              <w:t>10月底</w:t>
            </w:r>
          </w:p>
        </w:tc>
        <w:tc>
          <w:tcPr>
            <w:tcW w:w="3544" w:type="dxa"/>
            <w:gridSpan w:val="2"/>
            <w:vAlign w:val="center"/>
          </w:tcPr>
          <w:p w14:paraId="0BA6744A">
            <w:pPr>
              <w:pStyle w:val="10"/>
            </w:pPr>
            <w:r>
              <w:t>12月底</w:t>
            </w:r>
          </w:p>
        </w:tc>
      </w:tr>
      <w:tr w14:paraId="0F487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49DFD"/>
        </w:tc>
        <w:tc>
          <w:tcPr>
            <w:tcW w:w="5103" w:type="dxa"/>
            <w:gridSpan w:val="2"/>
            <w:vAlign w:val="center"/>
          </w:tcPr>
          <w:p w14:paraId="258287ED">
            <w:pPr>
              <w:pStyle w:val="13"/>
            </w:pPr>
            <w:r>
              <w:t>25%</w:t>
            </w:r>
          </w:p>
        </w:tc>
        <w:tc>
          <w:tcPr>
            <w:tcW w:w="2835" w:type="dxa"/>
            <w:vAlign w:val="center"/>
          </w:tcPr>
          <w:p w14:paraId="71DE73E3">
            <w:pPr>
              <w:pStyle w:val="13"/>
            </w:pPr>
            <w:r>
              <w:t>50%</w:t>
            </w:r>
          </w:p>
        </w:tc>
        <w:tc>
          <w:tcPr>
            <w:tcW w:w="2551" w:type="dxa"/>
            <w:vAlign w:val="center"/>
          </w:tcPr>
          <w:p w14:paraId="62DD69F8">
            <w:pPr>
              <w:pStyle w:val="13"/>
            </w:pPr>
            <w:r>
              <w:t>75%</w:t>
            </w:r>
          </w:p>
        </w:tc>
        <w:tc>
          <w:tcPr>
            <w:tcW w:w="3544" w:type="dxa"/>
            <w:gridSpan w:val="2"/>
            <w:vAlign w:val="center"/>
          </w:tcPr>
          <w:p w14:paraId="7FB8CA9D">
            <w:pPr>
              <w:pStyle w:val="13"/>
            </w:pPr>
            <w:r>
              <w:t>100%</w:t>
            </w:r>
          </w:p>
        </w:tc>
      </w:tr>
      <w:tr w14:paraId="199186CB">
        <w:tblPrEx>
          <w:tblCellMar>
            <w:top w:w="0" w:type="dxa"/>
            <w:left w:w="108" w:type="dxa"/>
            <w:bottom w:w="0" w:type="dxa"/>
            <w:right w:w="108" w:type="dxa"/>
          </w:tblCellMar>
        </w:tblPrEx>
        <w:trPr>
          <w:trHeight w:val="369" w:hRule="atLeast"/>
          <w:jc w:val="center"/>
        </w:trPr>
        <w:tc>
          <w:tcPr>
            <w:tcW w:w="1276" w:type="dxa"/>
            <w:vAlign w:val="center"/>
          </w:tcPr>
          <w:p w14:paraId="51485387">
            <w:pPr>
              <w:pStyle w:val="10"/>
            </w:pPr>
            <w:r>
              <w:t>绩效目标</w:t>
            </w:r>
          </w:p>
        </w:tc>
        <w:tc>
          <w:tcPr>
            <w:tcW w:w="14033" w:type="dxa"/>
            <w:gridSpan w:val="6"/>
            <w:vAlign w:val="center"/>
          </w:tcPr>
          <w:p w14:paraId="29383DD5">
            <w:pPr>
              <w:pStyle w:val="12"/>
            </w:pPr>
            <w:r>
              <w:t>1. 保障幼儿园正常运转，完成教育教学活动和其他日常工作任务等方面的费用支出。</w:t>
            </w:r>
            <w:r>
              <w:tab/>
            </w:r>
          </w:p>
          <w:p w14:paraId="7B802026">
            <w:pPr>
              <w:pStyle w:val="12"/>
            </w:pPr>
            <w:r>
              <w:t>2.按季度分批次拨付公用经费资金，资金拨付率达到100%。</w:t>
            </w:r>
            <w:r>
              <w:tab/>
            </w:r>
          </w:p>
        </w:tc>
      </w:tr>
    </w:tbl>
    <w:p w14:paraId="60B3ED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B7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8C5F8">
            <w:pPr>
              <w:pStyle w:val="10"/>
            </w:pPr>
            <w:r>
              <w:t>一级指标</w:t>
            </w:r>
          </w:p>
        </w:tc>
        <w:tc>
          <w:tcPr>
            <w:tcW w:w="2268" w:type="dxa"/>
            <w:vAlign w:val="center"/>
          </w:tcPr>
          <w:p w14:paraId="1A6F9970">
            <w:pPr>
              <w:pStyle w:val="10"/>
            </w:pPr>
            <w:r>
              <w:t>二级指标</w:t>
            </w:r>
          </w:p>
        </w:tc>
        <w:tc>
          <w:tcPr>
            <w:tcW w:w="2835" w:type="dxa"/>
            <w:vAlign w:val="center"/>
          </w:tcPr>
          <w:p w14:paraId="7ABB67BC">
            <w:pPr>
              <w:pStyle w:val="10"/>
            </w:pPr>
            <w:r>
              <w:t>三级指标</w:t>
            </w:r>
          </w:p>
        </w:tc>
        <w:tc>
          <w:tcPr>
            <w:tcW w:w="5386" w:type="dxa"/>
            <w:vAlign w:val="center"/>
          </w:tcPr>
          <w:p w14:paraId="221B4ACB">
            <w:pPr>
              <w:pStyle w:val="10"/>
            </w:pPr>
            <w:r>
              <w:t>绩效指标描述</w:t>
            </w:r>
          </w:p>
        </w:tc>
        <w:tc>
          <w:tcPr>
            <w:tcW w:w="2268" w:type="dxa"/>
            <w:vAlign w:val="center"/>
          </w:tcPr>
          <w:p w14:paraId="0963D9C2">
            <w:pPr>
              <w:pStyle w:val="10"/>
            </w:pPr>
            <w:r>
              <w:t>指标值</w:t>
            </w:r>
          </w:p>
        </w:tc>
        <w:tc>
          <w:tcPr>
            <w:tcW w:w="1276" w:type="dxa"/>
            <w:vAlign w:val="center"/>
          </w:tcPr>
          <w:p w14:paraId="5B94C1CA">
            <w:pPr>
              <w:pStyle w:val="10"/>
            </w:pPr>
            <w:r>
              <w:t>指标值确定依据</w:t>
            </w:r>
          </w:p>
        </w:tc>
      </w:tr>
      <w:tr w14:paraId="5745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1E7F2">
            <w:pPr>
              <w:pStyle w:val="13"/>
            </w:pPr>
            <w:r>
              <w:t>产出指标</w:t>
            </w:r>
          </w:p>
        </w:tc>
        <w:tc>
          <w:tcPr>
            <w:tcW w:w="2268" w:type="dxa"/>
            <w:vAlign w:val="center"/>
          </w:tcPr>
          <w:p w14:paraId="5524D857">
            <w:pPr>
              <w:pStyle w:val="12"/>
            </w:pPr>
            <w:r>
              <w:t>数量指标</w:t>
            </w:r>
          </w:p>
        </w:tc>
        <w:tc>
          <w:tcPr>
            <w:tcW w:w="2835" w:type="dxa"/>
            <w:vAlign w:val="center"/>
          </w:tcPr>
          <w:p w14:paraId="14F221D4">
            <w:pPr>
              <w:pStyle w:val="12"/>
            </w:pPr>
            <w:r>
              <w:t>适龄在园生</w:t>
            </w:r>
          </w:p>
        </w:tc>
        <w:tc>
          <w:tcPr>
            <w:tcW w:w="5386" w:type="dxa"/>
            <w:vAlign w:val="center"/>
          </w:tcPr>
          <w:p w14:paraId="10CEAF23">
            <w:pPr>
              <w:pStyle w:val="12"/>
            </w:pPr>
            <w:r>
              <w:t>适龄在园学生人数</w:t>
            </w:r>
          </w:p>
        </w:tc>
        <w:tc>
          <w:tcPr>
            <w:tcW w:w="2268" w:type="dxa"/>
            <w:vAlign w:val="center"/>
          </w:tcPr>
          <w:p w14:paraId="17D096B4">
            <w:pPr>
              <w:pStyle w:val="12"/>
            </w:pPr>
            <w:r>
              <w:t>498人</w:t>
            </w:r>
          </w:p>
        </w:tc>
        <w:tc>
          <w:tcPr>
            <w:tcW w:w="1276" w:type="dxa"/>
            <w:vAlign w:val="center"/>
          </w:tcPr>
          <w:p w14:paraId="1F70BFC8">
            <w:pPr>
              <w:pStyle w:val="12"/>
            </w:pPr>
            <w:r>
              <w:t>学前公用经费管理办法</w:t>
            </w:r>
          </w:p>
        </w:tc>
      </w:tr>
      <w:tr w14:paraId="3E9ED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476E1"/>
        </w:tc>
        <w:tc>
          <w:tcPr>
            <w:tcW w:w="2268" w:type="dxa"/>
            <w:vAlign w:val="center"/>
          </w:tcPr>
          <w:p w14:paraId="22140151">
            <w:pPr>
              <w:pStyle w:val="12"/>
            </w:pPr>
            <w:r>
              <w:t>质量指标</w:t>
            </w:r>
          </w:p>
        </w:tc>
        <w:tc>
          <w:tcPr>
            <w:tcW w:w="2835" w:type="dxa"/>
            <w:vAlign w:val="center"/>
          </w:tcPr>
          <w:p w14:paraId="616058B4">
            <w:pPr>
              <w:pStyle w:val="12"/>
            </w:pPr>
            <w:r>
              <w:t>预算控制率</w:t>
            </w:r>
          </w:p>
        </w:tc>
        <w:tc>
          <w:tcPr>
            <w:tcW w:w="5386" w:type="dxa"/>
            <w:vAlign w:val="center"/>
          </w:tcPr>
          <w:p w14:paraId="1B04D9E9">
            <w:pPr>
              <w:pStyle w:val="12"/>
            </w:pPr>
            <w:r>
              <w:t>预算执行</w:t>
            </w:r>
          </w:p>
        </w:tc>
        <w:tc>
          <w:tcPr>
            <w:tcW w:w="2268" w:type="dxa"/>
            <w:vAlign w:val="center"/>
          </w:tcPr>
          <w:p w14:paraId="36D58542">
            <w:pPr>
              <w:pStyle w:val="12"/>
            </w:pPr>
            <w:r>
              <w:t>≥95%</w:t>
            </w:r>
          </w:p>
        </w:tc>
        <w:tc>
          <w:tcPr>
            <w:tcW w:w="1276" w:type="dxa"/>
            <w:vAlign w:val="center"/>
          </w:tcPr>
          <w:p w14:paraId="173815D6">
            <w:pPr>
              <w:pStyle w:val="12"/>
            </w:pPr>
            <w:r>
              <w:t>学前公用经费管理办法</w:t>
            </w:r>
          </w:p>
        </w:tc>
      </w:tr>
      <w:tr w14:paraId="044C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8708"/>
        </w:tc>
        <w:tc>
          <w:tcPr>
            <w:tcW w:w="2268" w:type="dxa"/>
            <w:vAlign w:val="center"/>
          </w:tcPr>
          <w:p w14:paraId="4FAD2A0C">
            <w:pPr>
              <w:pStyle w:val="12"/>
            </w:pPr>
            <w:r>
              <w:t>时效指标</w:t>
            </w:r>
          </w:p>
        </w:tc>
        <w:tc>
          <w:tcPr>
            <w:tcW w:w="2835" w:type="dxa"/>
            <w:vAlign w:val="center"/>
          </w:tcPr>
          <w:p w14:paraId="0B3633B9">
            <w:pPr>
              <w:pStyle w:val="12"/>
            </w:pPr>
            <w:r>
              <w:t>资金支付率</w:t>
            </w:r>
          </w:p>
        </w:tc>
        <w:tc>
          <w:tcPr>
            <w:tcW w:w="5386" w:type="dxa"/>
            <w:vAlign w:val="center"/>
          </w:tcPr>
          <w:p w14:paraId="10D39399">
            <w:pPr>
              <w:pStyle w:val="12"/>
            </w:pPr>
            <w:r>
              <w:t>按照序时进度完成资金支付</w:t>
            </w:r>
          </w:p>
        </w:tc>
        <w:tc>
          <w:tcPr>
            <w:tcW w:w="2268" w:type="dxa"/>
            <w:vAlign w:val="center"/>
          </w:tcPr>
          <w:p w14:paraId="41E3A1A7">
            <w:pPr>
              <w:pStyle w:val="12"/>
            </w:pPr>
            <w:r>
              <w:t>100%</w:t>
            </w:r>
          </w:p>
        </w:tc>
        <w:tc>
          <w:tcPr>
            <w:tcW w:w="1276" w:type="dxa"/>
            <w:vAlign w:val="center"/>
          </w:tcPr>
          <w:p w14:paraId="27188AD1">
            <w:pPr>
              <w:pStyle w:val="12"/>
            </w:pPr>
            <w:r>
              <w:t>学前公用经费管理办法</w:t>
            </w:r>
          </w:p>
        </w:tc>
      </w:tr>
      <w:tr w14:paraId="66D7E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6407B"/>
        </w:tc>
        <w:tc>
          <w:tcPr>
            <w:tcW w:w="2268" w:type="dxa"/>
            <w:vAlign w:val="center"/>
          </w:tcPr>
          <w:p w14:paraId="1D0143CA">
            <w:pPr>
              <w:pStyle w:val="12"/>
            </w:pPr>
            <w:r>
              <w:t>成本指标</w:t>
            </w:r>
          </w:p>
        </w:tc>
        <w:tc>
          <w:tcPr>
            <w:tcW w:w="2835" w:type="dxa"/>
            <w:vAlign w:val="center"/>
          </w:tcPr>
          <w:p w14:paraId="55864CA9">
            <w:pPr>
              <w:pStyle w:val="12"/>
            </w:pPr>
            <w:r>
              <w:t>生均拨款标准</w:t>
            </w:r>
          </w:p>
        </w:tc>
        <w:tc>
          <w:tcPr>
            <w:tcW w:w="5386" w:type="dxa"/>
            <w:vAlign w:val="center"/>
          </w:tcPr>
          <w:p w14:paraId="37D46251">
            <w:pPr>
              <w:pStyle w:val="12"/>
            </w:pPr>
            <w:r>
              <w:t>学前：（基本标准600元/生/学年）</w:t>
            </w:r>
          </w:p>
        </w:tc>
        <w:tc>
          <w:tcPr>
            <w:tcW w:w="2268" w:type="dxa"/>
            <w:vAlign w:val="center"/>
          </w:tcPr>
          <w:p w14:paraId="1E6CF13F">
            <w:pPr>
              <w:pStyle w:val="12"/>
            </w:pPr>
            <w:r>
              <w:t>600元</w:t>
            </w:r>
          </w:p>
        </w:tc>
        <w:tc>
          <w:tcPr>
            <w:tcW w:w="1276" w:type="dxa"/>
            <w:vAlign w:val="center"/>
          </w:tcPr>
          <w:p w14:paraId="48BC350D">
            <w:pPr>
              <w:pStyle w:val="12"/>
            </w:pPr>
            <w:r>
              <w:t>学前公用经费管理办法</w:t>
            </w:r>
          </w:p>
        </w:tc>
      </w:tr>
      <w:tr w14:paraId="0B66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CBB72">
            <w:pPr>
              <w:pStyle w:val="13"/>
            </w:pPr>
            <w:r>
              <w:t>效益指标</w:t>
            </w:r>
          </w:p>
        </w:tc>
        <w:tc>
          <w:tcPr>
            <w:tcW w:w="2268" w:type="dxa"/>
            <w:vAlign w:val="center"/>
          </w:tcPr>
          <w:p w14:paraId="1EB10626">
            <w:pPr>
              <w:pStyle w:val="12"/>
            </w:pPr>
            <w:r>
              <w:t>可持续影响指标</w:t>
            </w:r>
          </w:p>
        </w:tc>
        <w:tc>
          <w:tcPr>
            <w:tcW w:w="2835" w:type="dxa"/>
            <w:vAlign w:val="center"/>
          </w:tcPr>
          <w:p w14:paraId="5778DF28">
            <w:pPr>
              <w:pStyle w:val="12"/>
            </w:pPr>
            <w:r>
              <w:t>学校运转得到提升</w:t>
            </w:r>
          </w:p>
        </w:tc>
        <w:tc>
          <w:tcPr>
            <w:tcW w:w="5386" w:type="dxa"/>
            <w:vAlign w:val="center"/>
          </w:tcPr>
          <w:p w14:paraId="672F9F38">
            <w:pPr>
              <w:pStyle w:val="12"/>
            </w:pPr>
            <w:r>
              <w:t>幼儿受教育年限</w:t>
            </w:r>
          </w:p>
        </w:tc>
        <w:tc>
          <w:tcPr>
            <w:tcW w:w="2268" w:type="dxa"/>
            <w:vAlign w:val="center"/>
          </w:tcPr>
          <w:p w14:paraId="41194E22">
            <w:pPr>
              <w:pStyle w:val="12"/>
            </w:pPr>
            <w:r>
              <w:t>3年</w:t>
            </w:r>
          </w:p>
        </w:tc>
        <w:tc>
          <w:tcPr>
            <w:tcW w:w="1276" w:type="dxa"/>
            <w:vAlign w:val="center"/>
          </w:tcPr>
          <w:p w14:paraId="07808FFA">
            <w:pPr>
              <w:pStyle w:val="12"/>
            </w:pPr>
            <w:r>
              <w:t>学前公用经费管理办法</w:t>
            </w:r>
          </w:p>
        </w:tc>
      </w:tr>
      <w:tr w14:paraId="4DCB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822CC">
            <w:pPr>
              <w:pStyle w:val="13"/>
            </w:pPr>
            <w:r>
              <w:t>满意度指标</w:t>
            </w:r>
          </w:p>
        </w:tc>
        <w:tc>
          <w:tcPr>
            <w:tcW w:w="2268" w:type="dxa"/>
            <w:vAlign w:val="center"/>
          </w:tcPr>
          <w:p w14:paraId="1530D539">
            <w:pPr>
              <w:pStyle w:val="12"/>
            </w:pPr>
            <w:r>
              <w:t>服务对象满意度指标</w:t>
            </w:r>
          </w:p>
        </w:tc>
        <w:tc>
          <w:tcPr>
            <w:tcW w:w="2835" w:type="dxa"/>
            <w:vAlign w:val="center"/>
          </w:tcPr>
          <w:p w14:paraId="1962896E">
            <w:pPr>
              <w:pStyle w:val="12"/>
            </w:pPr>
            <w:r>
              <w:t>受益学生家长及调查满意度</w:t>
            </w:r>
          </w:p>
        </w:tc>
        <w:tc>
          <w:tcPr>
            <w:tcW w:w="5386" w:type="dxa"/>
            <w:vAlign w:val="center"/>
          </w:tcPr>
          <w:p w14:paraId="74676CC4">
            <w:pPr>
              <w:pStyle w:val="12"/>
            </w:pPr>
            <w:r>
              <w:t>学生、教师及家长对学校保教保育工作满意度情况</w:t>
            </w:r>
          </w:p>
        </w:tc>
        <w:tc>
          <w:tcPr>
            <w:tcW w:w="2268" w:type="dxa"/>
            <w:vAlign w:val="center"/>
          </w:tcPr>
          <w:p w14:paraId="777067A2">
            <w:pPr>
              <w:pStyle w:val="12"/>
            </w:pPr>
            <w:r>
              <w:t>≥95%</w:t>
            </w:r>
          </w:p>
        </w:tc>
        <w:tc>
          <w:tcPr>
            <w:tcW w:w="1276" w:type="dxa"/>
            <w:vAlign w:val="center"/>
          </w:tcPr>
          <w:p w14:paraId="5A821CF2">
            <w:pPr>
              <w:pStyle w:val="12"/>
            </w:pPr>
            <w:r>
              <w:t>群众测评</w:t>
            </w:r>
          </w:p>
        </w:tc>
      </w:tr>
    </w:tbl>
    <w:p w14:paraId="6437C348">
      <w:pPr>
        <w:sectPr>
          <w:pgSz w:w="16840" w:h="11900" w:orient="landscape"/>
          <w:pgMar w:top="1361" w:right="1020" w:bottom="1134" w:left="1020" w:header="720" w:footer="720" w:gutter="0"/>
          <w:cols w:space="720" w:num="1"/>
        </w:sectPr>
      </w:pPr>
    </w:p>
    <w:p w14:paraId="48233EA3">
      <w:pPr>
        <w:spacing w:before="0" w:after="0"/>
        <w:ind w:firstLine="560"/>
        <w:jc w:val="left"/>
        <w:outlineLvl w:val="9"/>
      </w:pPr>
      <w:r>
        <w:rPr>
          <w:rFonts w:ascii="方正仿宋_GBK" w:hAnsi="方正仿宋_GBK" w:eastAsia="方正仿宋_GBK" w:cs="方正仿宋_GBK"/>
          <w:b/>
          <w:color w:val="000000"/>
          <w:sz w:val="28"/>
        </w:rPr>
        <w:t>31、县级资金/2026年北楼校区学前教育公用经费绩效目标表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50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97BF6">
            <w:pPr>
              <w:pStyle w:val="11"/>
            </w:pPr>
            <w:r>
              <w:t>单位：万元</w:t>
            </w:r>
          </w:p>
        </w:tc>
      </w:tr>
      <w:tr w14:paraId="7AEE9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1BCA2">
            <w:pPr>
              <w:pStyle w:val="10"/>
            </w:pPr>
            <w:r>
              <w:t>项目编码</w:t>
            </w:r>
          </w:p>
        </w:tc>
        <w:tc>
          <w:tcPr>
            <w:tcW w:w="5103" w:type="dxa"/>
            <w:gridSpan w:val="2"/>
            <w:vAlign w:val="center"/>
          </w:tcPr>
          <w:p w14:paraId="198A6D8D">
            <w:pPr>
              <w:pStyle w:val="12"/>
            </w:pPr>
            <w:r>
              <w:t>13052526P008757101194</w:t>
            </w:r>
          </w:p>
        </w:tc>
        <w:tc>
          <w:tcPr>
            <w:tcW w:w="2835" w:type="dxa"/>
            <w:vAlign w:val="center"/>
          </w:tcPr>
          <w:p w14:paraId="3127E3B2">
            <w:pPr>
              <w:pStyle w:val="10"/>
            </w:pPr>
            <w:r>
              <w:t>项目名称</w:t>
            </w:r>
          </w:p>
        </w:tc>
        <w:tc>
          <w:tcPr>
            <w:tcW w:w="6095" w:type="dxa"/>
            <w:gridSpan w:val="3"/>
            <w:vAlign w:val="center"/>
          </w:tcPr>
          <w:p w14:paraId="2E77873C">
            <w:pPr>
              <w:pStyle w:val="12"/>
            </w:pPr>
            <w:r>
              <w:t>县级资金/2026年北楼校区学前教育公用经费</w:t>
            </w:r>
          </w:p>
        </w:tc>
      </w:tr>
      <w:tr w14:paraId="763F3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B3DF1">
            <w:pPr>
              <w:pStyle w:val="10"/>
            </w:pPr>
            <w:r>
              <w:t>预算规模及资金用途</w:t>
            </w:r>
          </w:p>
        </w:tc>
        <w:tc>
          <w:tcPr>
            <w:tcW w:w="2268" w:type="dxa"/>
            <w:vAlign w:val="center"/>
          </w:tcPr>
          <w:p w14:paraId="5F17E6F1">
            <w:pPr>
              <w:pStyle w:val="10"/>
            </w:pPr>
            <w:r>
              <w:t>预算数</w:t>
            </w:r>
          </w:p>
        </w:tc>
        <w:tc>
          <w:tcPr>
            <w:tcW w:w="2835" w:type="dxa"/>
            <w:vAlign w:val="center"/>
          </w:tcPr>
          <w:p w14:paraId="76238D6F">
            <w:pPr>
              <w:pStyle w:val="12"/>
            </w:pPr>
            <w:r>
              <w:t>15.89</w:t>
            </w:r>
          </w:p>
        </w:tc>
        <w:tc>
          <w:tcPr>
            <w:tcW w:w="2835" w:type="dxa"/>
            <w:vAlign w:val="center"/>
          </w:tcPr>
          <w:p w14:paraId="58A13C5D">
            <w:pPr>
              <w:pStyle w:val="10"/>
            </w:pPr>
            <w:r>
              <w:t>其中：财政    资金</w:t>
            </w:r>
          </w:p>
        </w:tc>
        <w:tc>
          <w:tcPr>
            <w:tcW w:w="2551" w:type="dxa"/>
            <w:vAlign w:val="center"/>
          </w:tcPr>
          <w:p w14:paraId="05A5FC5F">
            <w:pPr>
              <w:pStyle w:val="12"/>
            </w:pPr>
            <w:r>
              <w:t>15.89</w:t>
            </w:r>
          </w:p>
        </w:tc>
        <w:tc>
          <w:tcPr>
            <w:tcW w:w="2268" w:type="dxa"/>
            <w:vAlign w:val="center"/>
          </w:tcPr>
          <w:p w14:paraId="73A085E2">
            <w:pPr>
              <w:pStyle w:val="10"/>
            </w:pPr>
            <w:r>
              <w:t>其他资金</w:t>
            </w:r>
          </w:p>
        </w:tc>
        <w:tc>
          <w:tcPr>
            <w:tcW w:w="1276" w:type="dxa"/>
            <w:vAlign w:val="center"/>
          </w:tcPr>
          <w:p w14:paraId="1BE59019">
            <w:pPr>
              <w:pStyle w:val="12"/>
            </w:pPr>
            <w:r>
              <w:t xml:space="preserve"> </w:t>
            </w:r>
          </w:p>
        </w:tc>
      </w:tr>
      <w:tr w14:paraId="7B2F8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209B4"/>
        </w:tc>
        <w:tc>
          <w:tcPr>
            <w:tcW w:w="14033" w:type="dxa"/>
            <w:gridSpan w:val="6"/>
            <w:vAlign w:val="center"/>
          </w:tcPr>
          <w:p w14:paraId="6473D92F">
            <w:pPr>
              <w:pStyle w:val="12"/>
            </w:pPr>
            <w:r>
              <w:t>保障幼儿园正常运转，完成教育教学活动和其他日常工作任务等方面的费用支出。</w:t>
            </w:r>
          </w:p>
        </w:tc>
      </w:tr>
      <w:tr w14:paraId="478E7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E62F9">
            <w:pPr>
              <w:pStyle w:val="10"/>
            </w:pPr>
            <w:r>
              <w:t>资金支出计划（%）</w:t>
            </w:r>
          </w:p>
        </w:tc>
        <w:tc>
          <w:tcPr>
            <w:tcW w:w="5103" w:type="dxa"/>
            <w:gridSpan w:val="2"/>
            <w:vAlign w:val="center"/>
          </w:tcPr>
          <w:p w14:paraId="4E193D4B">
            <w:pPr>
              <w:pStyle w:val="10"/>
            </w:pPr>
            <w:r>
              <w:t>3月底</w:t>
            </w:r>
          </w:p>
        </w:tc>
        <w:tc>
          <w:tcPr>
            <w:tcW w:w="2835" w:type="dxa"/>
            <w:vAlign w:val="center"/>
          </w:tcPr>
          <w:p w14:paraId="27F9F822">
            <w:pPr>
              <w:pStyle w:val="10"/>
            </w:pPr>
            <w:r>
              <w:t>6月底</w:t>
            </w:r>
          </w:p>
        </w:tc>
        <w:tc>
          <w:tcPr>
            <w:tcW w:w="2551" w:type="dxa"/>
            <w:vAlign w:val="center"/>
          </w:tcPr>
          <w:p w14:paraId="4A725876">
            <w:pPr>
              <w:pStyle w:val="10"/>
            </w:pPr>
            <w:r>
              <w:t>10月底</w:t>
            </w:r>
          </w:p>
        </w:tc>
        <w:tc>
          <w:tcPr>
            <w:tcW w:w="3544" w:type="dxa"/>
            <w:gridSpan w:val="2"/>
            <w:vAlign w:val="center"/>
          </w:tcPr>
          <w:p w14:paraId="08E08337">
            <w:pPr>
              <w:pStyle w:val="10"/>
            </w:pPr>
            <w:r>
              <w:t>12月底</w:t>
            </w:r>
          </w:p>
        </w:tc>
      </w:tr>
      <w:tr w14:paraId="16147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D55E3"/>
        </w:tc>
        <w:tc>
          <w:tcPr>
            <w:tcW w:w="5103" w:type="dxa"/>
            <w:gridSpan w:val="2"/>
            <w:vAlign w:val="center"/>
          </w:tcPr>
          <w:p w14:paraId="65878630">
            <w:pPr>
              <w:pStyle w:val="13"/>
            </w:pPr>
            <w:r>
              <w:t>25%</w:t>
            </w:r>
          </w:p>
        </w:tc>
        <w:tc>
          <w:tcPr>
            <w:tcW w:w="2835" w:type="dxa"/>
            <w:vAlign w:val="center"/>
          </w:tcPr>
          <w:p w14:paraId="29189664">
            <w:pPr>
              <w:pStyle w:val="13"/>
            </w:pPr>
            <w:r>
              <w:t>50%</w:t>
            </w:r>
          </w:p>
        </w:tc>
        <w:tc>
          <w:tcPr>
            <w:tcW w:w="2551" w:type="dxa"/>
            <w:vAlign w:val="center"/>
          </w:tcPr>
          <w:p w14:paraId="09AB1B90">
            <w:pPr>
              <w:pStyle w:val="13"/>
            </w:pPr>
            <w:r>
              <w:t>75%</w:t>
            </w:r>
          </w:p>
        </w:tc>
        <w:tc>
          <w:tcPr>
            <w:tcW w:w="3544" w:type="dxa"/>
            <w:gridSpan w:val="2"/>
            <w:vAlign w:val="center"/>
          </w:tcPr>
          <w:p w14:paraId="27C4F770">
            <w:pPr>
              <w:pStyle w:val="13"/>
            </w:pPr>
            <w:r>
              <w:t>100%</w:t>
            </w:r>
          </w:p>
        </w:tc>
      </w:tr>
      <w:tr w14:paraId="3A5D7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D6936">
            <w:pPr>
              <w:pStyle w:val="10"/>
            </w:pPr>
            <w:r>
              <w:t>绩效目标</w:t>
            </w:r>
          </w:p>
        </w:tc>
        <w:tc>
          <w:tcPr>
            <w:tcW w:w="14033" w:type="dxa"/>
            <w:gridSpan w:val="6"/>
            <w:vAlign w:val="center"/>
          </w:tcPr>
          <w:p w14:paraId="2B573122">
            <w:pPr>
              <w:pStyle w:val="12"/>
            </w:pPr>
            <w:r>
              <w:t>1.按季度分批次拨付公用经费资金，资金拨付率达到100%。</w:t>
            </w:r>
          </w:p>
          <w:p w14:paraId="7CE30742">
            <w:pPr>
              <w:pStyle w:val="12"/>
            </w:pPr>
            <w:r>
              <w:t>2. 保障幼儿园正常运转，完成教育教学活动和其他日常工作任务等方面的费用支出。</w:t>
            </w:r>
          </w:p>
        </w:tc>
      </w:tr>
    </w:tbl>
    <w:p w14:paraId="5AF2ED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9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8CB7D">
            <w:pPr>
              <w:pStyle w:val="10"/>
            </w:pPr>
            <w:r>
              <w:t>一级指标</w:t>
            </w:r>
          </w:p>
        </w:tc>
        <w:tc>
          <w:tcPr>
            <w:tcW w:w="2268" w:type="dxa"/>
            <w:vAlign w:val="center"/>
          </w:tcPr>
          <w:p w14:paraId="121490FE">
            <w:pPr>
              <w:pStyle w:val="10"/>
            </w:pPr>
            <w:r>
              <w:t>二级指标</w:t>
            </w:r>
          </w:p>
        </w:tc>
        <w:tc>
          <w:tcPr>
            <w:tcW w:w="2835" w:type="dxa"/>
            <w:vAlign w:val="center"/>
          </w:tcPr>
          <w:p w14:paraId="0072CD44">
            <w:pPr>
              <w:pStyle w:val="10"/>
            </w:pPr>
            <w:r>
              <w:t>三级指标</w:t>
            </w:r>
          </w:p>
        </w:tc>
        <w:tc>
          <w:tcPr>
            <w:tcW w:w="5386" w:type="dxa"/>
            <w:vAlign w:val="center"/>
          </w:tcPr>
          <w:p w14:paraId="55E156A7">
            <w:pPr>
              <w:pStyle w:val="10"/>
            </w:pPr>
            <w:r>
              <w:t>绩效指标描述</w:t>
            </w:r>
          </w:p>
        </w:tc>
        <w:tc>
          <w:tcPr>
            <w:tcW w:w="2268" w:type="dxa"/>
            <w:vAlign w:val="center"/>
          </w:tcPr>
          <w:p w14:paraId="549A4416">
            <w:pPr>
              <w:pStyle w:val="10"/>
            </w:pPr>
            <w:r>
              <w:t>指标值</w:t>
            </w:r>
          </w:p>
        </w:tc>
        <w:tc>
          <w:tcPr>
            <w:tcW w:w="1276" w:type="dxa"/>
            <w:vAlign w:val="center"/>
          </w:tcPr>
          <w:p w14:paraId="546E5E6F">
            <w:pPr>
              <w:pStyle w:val="10"/>
            </w:pPr>
            <w:r>
              <w:t>指标值确定依据</w:t>
            </w:r>
          </w:p>
        </w:tc>
      </w:tr>
      <w:tr w14:paraId="11F2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D6A22">
            <w:pPr>
              <w:pStyle w:val="13"/>
            </w:pPr>
            <w:r>
              <w:t>产出指标</w:t>
            </w:r>
          </w:p>
        </w:tc>
        <w:tc>
          <w:tcPr>
            <w:tcW w:w="2268" w:type="dxa"/>
            <w:vAlign w:val="center"/>
          </w:tcPr>
          <w:p w14:paraId="1EEA8864">
            <w:pPr>
              <w:pStyle w:val="12"/>
            </w:pPr>
            <w:r>
              <w:t>成本指标</w:t>
            </w:r>
          </w:p>
        </w:tc>
        <w:tc>
          <w:tcPr>
            <w:tcW w:w="2835" w:type="dxa"/>
            <w:vAlign w:val="center"/>
          </w:tcPr>
          <w:p w14:paraId="0CB6E057">
            <w:pPr>
              <w:pStyle w:val="12"/>
            </w:pPr>
            <w:r>
              <w:t>适龄在园生</w:t>
            </w:r>
          </w:p>
        </w:tc>
        <w:tc>
          <w:tcPr>
            <w:tcW w:w="5386" w:type="dxa"/>
            <w:vAlign w:val="center"/>
          </w:tcPr>
          <w:p w14:paraId="12DC0614">
            <w:pPr>
              <w:pStyle w:val="12"/>
            </w:pPr>
            <w:r>
              <w:t>适龄在园学生人数</w:t>
            </w:r>
          </w:p>
        </w:tc>
        <w:tc>
          <w:tcPr>
            <w:tcW w:w="2268" w:type="dxa"/>
            <w:vAlign w:val="center"/>
          </w:tcPr>
          <w:p w14:paraId="0944700B">
            <w:pPr>
              <w:pStyle w:val="12"/>
            </w:pPr>
            <w:r>
              <w:t>558人</w:t>
            </w:r>
          </w:p>
        </w:tc>
        <w:tc>
          <w:tcPr>
            <w:tcW w:w="1276" w:type="dxa"/>
            <w:vAlign w:val="center"/>
          </w:tcPr>
          <w:p w14:paraId="5FF876A9">
            <w:pPr>
              <w:pStyle w:val="12"/>
            </w:pPr>
            <w:r>
              <w:t>学前公用经费管理办法</w:t>
            </w:r>
          </w:p>
        </w:tc>
      </w:tr>
      <w:tr w14:paraId="106F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E249"/>
        </w:tc>
        <w:tc>
          <w:tcPr>
            <w:tcW w:w="2268" w:type="dxa"/>
            <w:vAlign w:val="center"/>
          </w:tcPr>
          <w:p w14:paraId="3AFEB569">
            <w:pPr>
              <w:pStyle w:val="12"/>
            </w:pPr>
            <w:r>
              <w:t>数量指标</w:t>
            </w:r>
          </w:p>
        </w:tc>
        <w:tc>
          <w:tcPr>
            <w:tcW w:w="2835" w:type="dxa"/>
            <w:vAlign w:val="center"/>
          </w:tcPr>
          <w:p w14:paraId="3C8E409A">
            <w:pPr>
              <w:pStyle w:val="12"/>
            </w:pPr>
            <w:r>
              <w:t>预算控制率</w:t>
            </w:r>
          </w:p>
        </w:tc>
        <w:tc>
          <w:tcPr>
            <w:tcW w:w="5386" w:type="dxa"/>
            <w:vAlign w:val="center"/>
          </w:tcPr>
          <w:p w14:paraId="37077FCD">
            <w:pPr>
              <w:pStyle w:val="12"/>
            </w:pPr>
            <w:r>
              <w:t>预算执行</w:t>
            </w:r>
          </w:p>
        </w:tc>
        <w:tc>
          <w:tcPr>
            <w:tcW w:w="2268" w:type="dxa"/>
            <w:vAlign w:val="center"/>
          </w:tcPr>
          <w:p w14:paraId="3BD1195B">
            <w:pPr>
              <w:pStyle w:val="12"/>
            </w:pPr>
            <w:r>
              <w:t>≥95%</w:t>
            </w:r>
          </w:p>
        </w:tc>
        <w:tc>
          <w:tcPr>
            <w:tcW w:w="1276" w:type="dxa"/>
            <w:vAlign w:val="center"/>
          </w:tcPr>
          <w:p w14:paraId="5AFE25EA">
            <w:pPr>
              <w:pStyle w:val="12"/>
            </w:pPr>
            <w:r>
              <w:t>学前公用经费管理办法</w:t>
            </w:r>
          </w:p>
        </w:tc>
      </w:tr>
      <w:tr w14:paraId="0D61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5FF14"/>
        </w:tc>
        <w:tc>
          <w:tcPr>
            <w:tcW w:w="2268" w:type="dxa"/>
            <w:vAlign w:val="center"/>
          </w:tcPr>
          <w:p w14:paraId="29AB2231">
            <w:pPr>
              <w:pStyle w:val="12"/>
            </w:pPr>
            <w:r>
              <w:t>质量指标</w:t>
            </w:r>
          </w:p>
        </w:tc>
        <w:tc>
          <w:tcPr>
            <w:tcW w:w="2835" w:type="dxa"/>
            <w:vAlign w:val="center"/>
          </w:tcPr>
          <w:p w14:paraId="7F436ED9">
            <w:pPr>
              <w:pStyle w:val="12"/>
            </w:pPr>
            <w:r>
              <w:t>资金支付率</w:t>
            </w:r>
          </w:p>
        </w:tc>
        <w:tc>
          <w:tcPr>
            <w:tcW w:w="5386" w:type="dxa"/>
            <w:vAlign w:val="center"/>
          </w:tcPr>
          <w:p w14:paraId="46B11B2D">
            <w:pPr>
              <w:pStyle w:val="12"/>
            </w:pPr>
            <w:r>
              <w:t>按照序时进度完成资金支付</w:t>
            </w:r>
          </w:p>
        </w:tc>
        <w:tc>
          <w:tcPr>
            <w:tcW w:w="2268" w:type="dxa"/>
            <w:vAlign w:val="center"/>
          </w:tcPr>
          <w:p w14:paraId="3F137748">
            <w:pPr>
              <w:pStyle w:val="12"/>
            </w:pPr>
            <w:r>
              <w:t>100%</w:t>
            </w:r>
          </w:p>
        </w:tc>
        <w:tc>
          <w:tcPr>
            <w:tcW w:w="1276" w:type="dxa"/>
            <w:vAlign w:val="center"/>
          </w:tcPr>
          <w:p w14:paraId="6D85992E">
            <w:pPr>
              <w:pStyle w:val="12"/>
            </w:pPr>
            <w:r>
              <w:t>学前公用经费管理办法</w:t>
            </w:r>
          </w:p>
        </w:tc>
      </w:tr>
      <w:tr w14:paraId="3F1E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756E4"/>
        </w:tc>
        <w:tc>
          <w:tcPr>
            <w:tcW w:w="2268" w:type="dxa"/>
            <w:vAlign w:val="center"/>
          </w:tcPr>
          <w:p w14:paraId="4EB2300C">
            <w:pPr>
              <w:pStyle w:val="12"/>
            </w:pPr>
            <w:r>
              <w:t>时效指标</w:t>
            </w:r>
          </w:p>
        </w:tc>
        <w:tc>
          <w:tcPr>
            <w:tcW w:w="2835" w:type="dxa"/>
            <w:vAlign w:val="center"/>
          </w:tcPr>
          <w:p w14:paraId="135163FB">
            <w:pPr>
              <w:pStyle w:val="12"/>
            </w:pPr>
            <w:r>
              <w:t>生均拨款标准</w:t>
            </w:r>
          </w:p>
        </w:tc>
        <w:tc>
          <w:tcPr>
            <w:tcW w:w="5386" w:type="dxa"/>
            <w:vAlign w:val="center"/>
          </w:tcPr>
          <w:p w14:paraId="13D948C2">
            <w:pPr>
              <w:pStyle w:val="12"/>
            </w:pPr>
            <w:r>
              <w:t>学前：（基本标准600元/生/学年）</w:t>
            </w:r>
          </w:p>
        </w:tc>
        <w:tc>
          <w:tcPr>
            <w:tcW w:w="2268" w:type="dxa"/>
            <w:vAlign w:val="center"/>
          </w:tcPr>
          <w:p w14:paraId="4CC9E3E4">
            <w:pPr>
              <w:pStyle w:val="12"/>
            </w:pPr>
            <w:r>
              <w:t>600元</w:t>
            </w:r>
          </w:p>
        </w:tc>
        <w:tc>
          <w:tcPr>
            <w:tcW w:w="1276" w:type="dxa"/>
            <w:vAlign w:val="center"/>
          </w:tcPr>
          <w:p w14:paraId="7288023F">
            <w:pPr>
              <w:pStyle w:val="12"/>
            </w:pPr>
            <w:r>
              <w:t>学前公用经费管理办法</w:t>
            </w:r>
          </w:p>
        </w:tc>
      </w:tr>
      <w:tr w14:paraId="0129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FECC1">
            <w:pPr>
              <w:pStyle w:val="13"/>
            </w:pPr>
            <w:r>
              <w:t>效益指标</w:t>
            </w:r>
          </w:p>
        </w:tc>
        <w:tc>
          <w:tcPr>
            <w:tcW w:w="2268" w:type="dxa"/>
            <w:vAlign w:val="center"/>
          </w:tcPr>
          <w:p w14:paraId="0706A49E">
            <w:pPr>
              <w:pStyle w:val="12"/>
            </w:pPr>
            <w:r>
              <w:t>可持续影响指标</w:t>
            </w:r>
          </w:p>
        </w:tc>
        <w:tc>
          <w:tcPr>
            <w:tcW w:w="2835" w:type="dxa"/>
            <w:vAlign w:val="center"/>
          </w:tcPr>
          <w:p w14:paraId="0A3866A4">
            <w:pPr>
              <w:pStyle w:val="12"/>
            </w:pPr>
            <w:r>
              <w:t>学校运转得到提升</w:t>
            </w:r>
          </w:p>
        </w:tc>
        <w:tc>
          <w:tcPr>
            <w:tcW w:w="5386" w:type="dxa"/>
            <w:vAlign w:val="center"/>
          </w:tcPr>
          <w:p w14:paraId="6E74BC7E">
            <w:pPr>
              <w:pStyle w:val="12"/>
            </w:pPr>
            <w:r>
              <w:t>幼儿受教育年限</w:t>
            </w:r>
          </w:p>
        </w:tc>
        <w:tc>
          <w:tcPr>
            <w:tcW w:w="2268" w:type="dxa"/>
            <w:vAlign w:val="center"/>
          </w:tcPr>
          <w:p w14:paraId="6310EE4D">
            <w:pPr>
              <w:pStyle w:val="12"/>
            </w:pPr>
            <w:r>
              <w:t>3年</w:t>
            </w:r>
          </w:p>
        </w:tc>
        <w:tc>
          <w:tcPr>
            <w:tcW w:w="1276" w:type="dxa"/>
            <w:vAlign w:val="center"/>
          </w:tcPr>
          <w:p w14:paraId="7B6E55E6">
            <w:pPr>
              <w:pStyle w:val="12"/>
            </w:pPr>
            <w:r>
              <w:t>学前公用经费管理办法</w:t>
            </w:r>
          </w:p>
        </w:tc>
      </w:tr>
      <w:tr w14:paraId="59BA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124D6">
            <w:pPr>
              <w:pStyle w:val="13"/>
            </w:pPr>
            <w:r>
              <w:t>满意度指标</w:t>
            </w:r>
          </w:p>
        </w:tc>
        <w:tc>
          <w:tcPr>
            <w:tcW w:w="2268" w:type="dxa"/>
            <w:vAlign w:val="center"/>
          </w:tcPr>
          <w:p w14:paraId="11C8FEB1">
            <w:pPr>
              <w:pStyle w:val="12"/>
            </w:pPr>
            <w:r>
              <w:t>服务对象满意度指标</w:t>
            </w:r>
          </w:p>
        </w:tc>
        <w:tc>
          <w:tcPr>
            <w:tcW w:w="2835" w:type="dxa"/>
            <w:vAlign w:val="center"/>
          </w:tcPr>
          <w:p w14:paraId="2F5D6B7F">
            <w:pPr>
              <w:pStyle w:val="12"/>
            </w:pPr>
            <w:r>
              <w:t>受益学生家长及调查满意度</w:t>
            </w:r>
          </w:p>
        </w:tc>
        <w:tc>
          <w:tcPr>
            <w:tcW w:w="5386" w:type="dxa"/>
            <w:vAlign w:val="center"/>
          </w:tcPr>
          <w:p w14:paraId="7BBAE9F9">
            <w:pPr>
              <w:pStyle w:val="12"/>
            </w:pPr>
            <w:r>
              <w:t>学生、教师及家长对学校保教保育工作满意度情况</w:t>
            </w:r>
          </w:p>
        </w:tc>
        <w:tc>
          <w:tcPr>
            <w:tcW w:w="2268" w:type="dxa"/>
            <w:vAlign w:val="center"/>
          </w:tcPr>
          <w:p w14:paraId="24AD94B8">
            <w:pPr>
              <w:pStyle w:val="12"/>
            </w:pPr>
            <w:r>
              <w:t>≥95%</w:t>
            </w:r>
          </w:p>
        </w:tc>
        <w:tc>
          <w:tcPr>
            <w:tcW w:w="1276" w:type="dxa"/>
            <w:vAlign w:val="center"/>
          </w:tcPr>
          <w:p w14:paraId="76039C05">
            <w:pPr>
              <w:pStyle w:val="12"/>
            </w:pPr>
            <w:r>
              <w:t>群众测评</w:t>
            </w:r>
          </w:p>
        </w:tc>
      </w:tr>
    </w:tbl>
    <w:p w14:paraId="010BB19C">
      <w:pPr>
        <w:sectPr>
          <w:pgSz w:w="16840" w:h="11900" w:orient="landscape"/>
          <w:pgMar w:top="1361" w:right="1020" w:bottom="1134" w:left="1020" w:header="720" w:footer="720" w:gutter="0"/>
          <w:cols w:space="720" w:num="1"/>
        </w:sectPr>
      </w:pPr>
    </w:p>
    <w:p w14:paraId="1652BD03">
      <w:pPr>
        <w:spacing w:before="0" w:after="0"/>
        <w:ind w:firstLine="560"/>
        <w:jc w:val="left"/>
        <w:outlineLvl w:val="9"/>
      </w:pPr>
      <w:r>
        <w:rPr>
          <w:rFonts w:ascii="方正仿宋_GBK" w:hAnsi="方正仿宋_GBK" w:eastAsia="方正仿宋_GBK" w:cs="方正仿宋_GBK"/>
          <w:b/>
          <w:color w:val="000000"/>
          <w:sz w:val="28"/>
        </w:rPr>
        <w:t>32、学前专项经费/北楼校区绩效目标表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01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8604A">
            <w:pPr>
              <w:pStyle w:val="11"/>
            </w:pPr>
            <w:r>
              <w:t>单位：万元</w:t>
            </w:r>
          </w:p>
        </w:tc>
      </w:tr>
      <w:tr w14:paraId="25A22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F0C9F">
            <w:pPr>
              <w:pStyle w:val="10"/>
            </w:pPr>
            <w:r>
              <w:t>项目编码</w:t>
            </w:r>
          </w:p>
        </w:tc>
        <w:tc>
          <w:tcPr>
            <w:tcW w:w="5103" w:type="dxa"/>
            <w:gridSpan w:val="2"/>
            <w:vAlign w:val="center"/>
          </w:tcPr>
          <w:p w14:paraId="37F4DF3A">
            <w:pPr>
              <w:pStyle w:val="12"/>
            </w:pPr>
            <w:r>
              <w:t>13052526P00000210094C</w:t>
            </w:r>
          </w:p>
        </w:tc>
        <w:tc>
          <w:tcPr>
            <w:tcW w:w="2835" w:type="dxa"/>
            <w:vAlign w:val="center"/>
          </w:tcPr>
          <w:p w14:paraId="0E30C5E8">
            <w:pPr>
              <w:pStyle w:val="10"/>
            </w:pPr>
            <w:r>
              <w:t>项目名称</w:t>
            </w:r>
          </w:p>
        </w:tc>
        <w:tc>
          <w:tcPr>
            <w:tcW w:w="6095" w:type="dxa"/>
            <w:gridSpan w:val="3"/>
            <w:vAlign w:val="center"/>
          </w:tcPr>
          <w:p w14:paraId="5CA9412C">
            <w:pPr>
              <w:pStyle w:val="12"/>
            </w:pPr>
            <w:r>
              <w:t>学前专项经费/北楼校区</w:t>
            </w:r>
          </w:p>
        </w:tc>
      </w:tr>
      <w:tr w14:paraId="00015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0C3E1">
            <w:pPr>
              <w:pStyle w:val="10"/>
            </w:pPr>
            <w:r>
              <w:t>预算规模及资金用途</w:t>
            </w:r>
          </w:p>
        </w:tc>
        <w:tc>
          <w:tcPr>
            <w:tcW w:w="2268" w:type="dxa"/>
            <w:vAlign w:val="center"/>
          </w:tcPr>
          <w:p w14:paraId="7B43B3ED">
            <w:pPr>
              <w:pStyle w:val="10"/>
            </w:pPr>
            <w:r>
              <w:t>预算数</w:t>
            </w:r>
          </w:p>
        </w:tc>
        <w:tc>
          <w:tcPr>
            <w:tcW w:w="2835" w:type="dxa"/>
            <w:vAlign w:val="center"/>
          </w:tcPr>
          <w:p w14:paraId="73AED48B">
            <w:pPr>
              <w:pStyle w:val="12"/>
            </w:pPr>
            <w:r>
              <w:t>34.06</w:t>
            </w:r>
          </w:p>
        </w:tc>
        <w:tc>
          <w:tcPr>
            <w:tcW w:w="2835" w:type="dxa"/>
            <w:vAlign w:val="center"/>
          </w:tcPr>
          <w:p w14:paraId="0D69CCC1">
            <w:pPr>
              <w:pStyle w:val="10"/>
            </w:pPr>
            <w:r>
              <w:t>其中：财政    资金</w:t>
            </w:r>
          </w:p>
        </w:tc>
        <w:tc>
          <w:tcPr>
            <w:tcW w:w="2551" w:type="dxa"/>
            <w:vAlign w:val="center"/>
          </w:tcPr>
          <w:p w14:paraId="4F957DD1">
            <w:pPr>
              <w:pStyle w:val="12"/>
            </w:pPr>
            <w:r>
              <w:t>34.06</w:t>
            </w:r>
          </w:p>
        </w:tc>
        <w:tc>
          <w:tcPr>
            <w:tcW w:w="2268" w:type="dxa"/>
            <w:vAlign w:val="center"/>
          </w:tcPr>
          <w:p w14:paraId="0E09045C">
            <w:pPr>
              <w:pStyle w:val="10"/>
            </w:pPr>
            <w:r>
              <w:t>其他资金</w:t>
            </w:r>
          </w:p>
        </w:tc>
        <w:tc>
          <w:tcPr>
            <w:tcW w:w="1276" w:type="dxa"/>
            <w:vAlign w:val="center"/>
          </w:tcPr>
          <w:p w14:paraId="3A78E0AC">
            <w:pPr>
              <w:pStyle w:val="12"/>
            </w:pPr>
            <w:r>
              <w:t xml:space="preserve"> </w:t>
            </w:r>
          </w:p>
        </w:tc>
      </w:tr>
      <w:tr w14:paraId="05129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E1BA9"/>
        </w:tc>
        <w:tc>
          <w:tcPr>
            <w:tcW w:w="14033" w:type="dxa"/>
            <w:gridSpan w:val="6"/>
            <w:vAlign w:val="center"/>
          </w:tcPr>
          <w:p w14:paraId="0CB9236A">
            <w:pPr>
              <w:pStyle w:val="12"/>
            </w:pPr>
            <w:r>
              <w:t>按预算要求完成2026年度学前教学任务提升及教学质量提高</w:t>
            </w:r>
          </w:p>
        </w:tc>
      </w:tr>
      <w:tr w14:paraId="3DFB0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BA947">
            <w:pPr>
              <w:pStyle w:val="10"/>
            </w:pPr>
            <w:r>
              <w:t>资金支出计划（%）</w:t>
            </w:r>
          </w:p>
        </w:tc>
        <w:tc>
          <w:tcPr>
            <w:tcW w:w="5103" w:type="dxa"/>
            <w:gridSpan w:val="2"/>
            <w:vAlign w:val="center"/>
          </w:tcPr>
          <w:p w14:paraId="7E737240">
            <w:pPr>
              <w:pStyle w:val="10"/>
            </w:pPr>
            <w:r>
              <w:t>3月底</w:t>
            </w:r>
          </w:p>
        </w:tc>
        <w:tc>
          <w:tcPr>
            <w:tcW w:w="2835" w:type="dxa"/>
            <w:vAlign w:val="center"/>
          </w:tcPr>
          <w:p w14:paraId="5859DB83">
            <w:pPr>
              <w:pStyle w:val="10"/>
            </w:pPr>
            <w:r>
              <w:t>6月底</w:t>
            </w:r>
          </w:p>
        </w:tc>
        <w:tc>
          <w:tcPr>
            <w:tcW w:w="2551" w:type="dxa"/>
            <w:vAlign w:val="center"/>
          </w:tcPr>
          <w:p w14:paraId="28728484">
            <w:pPr>
              <w:pStyle w:val="10"/>
            </w:pPr>
            <w:r>
              <w:t>10月底</w:t>
            </w:r>
          </w:p>
        </w:tc>
        <w:tc>
          <w:tcPr>
            <w:tcW w:w="3544" w:type="dxa"/>
            <w:gridSpan w:val="2"/>
            <w:vAlign w:val="center"/>
          </w:tcPr>
          <w:p w14:paraId="45D7C772">
            <w:pPr>
              <w:pStyle w:val="10"/>
            </w:pPr>
            <w:r>
              <w:t>12月底</w:t>
            </w:r>
          </w:p>
        </w:tc>
      </w:tr>
      <w:tr w14:paraId="3AB89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838A2"/>
        </w:tc>
        <w:tc>
          <w:tcPr>
            <w:tcW w:w="5103" w:type="dxa"/>
            <w:gridSpan w:val="2"/>
            <w:vAlign w:val="center"/>
          </w:tcPr>
          <w:p w14:paraId="13EF1B46">
            <w:pPr>
              <w:pStyle w:val="13"/>
            </w:pPr>
            <w:r>
              <w:t xml:space="preserve"> </w:t>
            </w:r>
          </w:p>
        </w:tc>
        <w:tc>
          <w:tcPr>
            <w:tcW w:w="2835" w:type="dxa"/>
            <w:vAlign w:val="center"/>
          </w:tcPr>
          <w:p w14:paraId="416E11A8">
            <w:pPr>
              <w:pStyle w:val="13"/>
            </w:pPr>
            <w:r>
              <w:t>50%</w:t>
            </w:r>
          </w:p>
        </w:tc>
        <w:tc>
          <w:tcPr>
            <w:tcW w:w="2551" w:type="dxa"/>
            <w:vAlign w:val="center"/>
          </w:tcPr>
          <w:p w14:paraId="3AF1C15A">
            <w:pPr>
              <w:pStyle w:val="13"/>
            </w:pPr>
            <w:r>
              <w:t>50%</w:t>
            </w:r>
          </w:p>
        </w:tc>
        <w:tc>
          <w:tcPr>
            <w:tcW w:w="3544" w:type="dxa"/>
            <w:gridSpan w:val="2"/>
            <w:vAlign w:val="center"/>
          </w:tcPr>
          <w:p w14:paraId="473B081F">
            <w:pPr>
              <w:pStyle w:val="13"/>
            </w:pPr>
            <w:r>
              <w:t>100%</w:t>
            </w:r>
          </w:p>
        </w:tc>
      </w:tr>
      <w:tr w14:paraId="6B527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968B9">
            <w:pPr>
              <w:pStyle w:val="10"/>
            </w:pPr>
            <w:r>
              <w:t>绩效目标</w:t>
            </w:r>
          </w:p>
        </w:tc>
        <w:tc>
          <w:tcPr>
            <w:tcW w:w="14033" w:type="dxa"/>
            <w:gridSpan w:val="6"/>
            <w:vAlign w:val="center"/>
          </w:tcPr>
          <w:p w14:paraId="7C94AC54">
            <w:pPr>
              <w:pStyle w:val="12"/>
            </w:pPr>
            <w:r>
              <w:t>1.按上缴财政序时进度完成公立幼儿园保育费支出。</w:t>
            </w:r>
          </w:p>
          <w:p w14:paraId="2230379B">
            <w:pPr>
              <w:pStyle w:val="12"/>
            </w:pPr>
            <w:r>
              <w:t>2.按预算要求完成2026年度学前教学任务提升及教学质量提高。</w:t>
            </w:r>
          </w:p>
          <w:p w14:paraId="3D01431C">
            <w:pPr>
              <w:pStyle w:val="12"/>
            </w:pPr>
            <w:r>
              <w:t>3.按要求完成公立幼儿园保育费按月/季度上缴财政。</w:t>
            </w:r>
          </w:p>
        </w:tc>
      </w:tr>
    </w:tbl>
    <w:p w14:paraId="6F19D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E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30F03">
            <w:pPr>
              <w:pStyle w:val="10"/>
            </w:pPr>
            <w:r>
              <w:t>一级指标</w:t>
            </w:r>
          </w:p>
        </w:tc>
        <w:tc>
          <w:tcPr>
            <w:tcW w:w="2268" w:type="dxa"/>
            <w:vAlign w:val="center"/>
          </w:tcPr>
          <w:p w14:paraId="41A19742">
            <w:pPr>
              <w:pStyle w:val="10"/>
            </w:pPr>
            <w:r>
              <w:t>二级指标</w:t>
            </w:r>
          </w:p>
        </w:tc>
        <w:tc>
          <w:tcPr>
            <w:tcW w:w="2835" w:type="dxa"/>
            <w:vAlign w:val="center"/>
          </w:tcPr>
          <w:p w14:paraId="2F472229">
            <w:pPr>
              <w:pStyle w:val="10"/>
            </w:pPr>
            <w:r>
              <w:t>三级指标</w:t>
            </w:r>
          </w:p>
        </w:tc>
        <w:tc>
          <w:tcPr>
            <w:tcW w:w="5386" w:type="dxa"/>
            <w:vAlign w:val="center"/>
          </w:tcPr>
          <w:p w14:paraId="1D3BB0DC">
            <w:pPr>
              <w:pStyle w:val="10"/>
            </w:pPr>
            <w:r>
              <w:t>绩效指标描述</w:t>
            </w:r>
          </w:p>
        </w:tc>
        <w:tc>
          <w:tcPr>
            <w:tcW w:w="2268" w:type="dxa"/>
            <w:vAlign w:val="center"/>
          </w:tcPr>
          <w:p w14:paraId="3288B918">
            <w:pPr>
              <w:pStyle w:val="10"/>
            </w:pPr>
            <w:r>
              <w:t>指标值</w:t>
            </w:r>
          </w:p>
        </w:tc>
        <w:tc>
          <w:tcPr>
            <w:tcW w:w="1276" w:type="dxa"/>
            <w:vAlign w:val="center"/>
          </w:tcPr>
          <w:p w14:paraId="35B41A18">
            <w:pPr>
              <w:pStyle w:val="10"/>
            </w:pPr>
            <w:r>
              <w:t>指标值确定依据</w:t>
            </w:r>
          </w:p>
        </w:tc>
      </w:tr>
      <w:tr w14:paraId="2284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D112A">
            <w:pPr>
              <w:pStyle w:val="13"/>
            </w:pPr>
            <w:r>
              <w:t>产出指标</w:t>
            </w:r>
          </w:p>
        </w:tc>
        <w:tc>
          <w:tcPr>
            <w:tcW w:w="2268" w:type="dxa"/>
            <w:vAlign w:val="center"/>
          </w:tcPr>
          <w:p w14:paraId="389B1249">
            <w:pPr>
              <w:pStyle w:val="12"/>
            </w:pPr>
            <w:r>
              <w:t>数量指标</w:t>
            </w:r>
          </w:p>
        </w:tc>
        <w:tc>
          <w:tcPr>
            <w:tcW w:w="2835" w:type="dxa"/>
            <w:vAlign w:val="center"/>
          </w:tcPr>
          <w:p w14:paraId="3FF91C3E">
            <w:pPr>
              <w:pStyle w:val="12"/>
            </w:pPr>
            <w:r>
              <w:t>适龄在园生</w:t>
            </w:r>
          </w:p>
        </w:tc>
        <w:tc>
          <w:tcPr>
            <w:tcW w:w="5386" w:type="dxa"/>
            <w:vAlign w:val="center"/>
          </w:tcPr>
          <w:p w14:paraId="3EAE2C7B">
            <w:pPr>
              <w:pStyle w:val="12"/>
            </w:pPr>
            <w:r>
              <w:t>适龄在园学生人数</w:t>
            </w:r>
          </w:p>
        </w:tc>
        <w:tc>
          <w:tcPr>
            <w:tcW w:w="2268" w:type="dxa"/>
            <w:vAlign w:val="center"/>
          </w:tcPr>
          <w:p w14:paraId="78911442">
            <w:pPr>
              <w:pStyle w:val="12"/>
            </w:pPr>
            <w:r>
              <w:t>558 人</w:t>
            </w:r>
          </w:p>
        </w:tc>
        <w:tc>
          <w:tcPr>
            <w:tcW w:w="1276" w:type="dxa"/>
            <w:vAlign w:val="center"/>
          </w:tcPr>
          <w:p w14:paraId="3214C4BB">
            <w:pPr>
              <w:pStyle w:val="12"/>
            </w:pPr>
            <w:r>
              <w:t>年度工作计划</w:t>
            </w:r>
          </w:p>
        </w:tc>
      </w:tr>
      <w:tr w14:paraId="7834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8910A"/>
        </w:tc>
        <w:tc>
          <w:tcPr>
            <w:tcW w:w="2268" w:type="dxa"/>
            <w:vAlign w:val="center"/>
          </w:tcPr>
          <w:p w14:paraId="5FCB2CBE">
            <w:pPr>
              <w:pStyle w:val="12"/>
            </w:pPr>
            <w:r>
              <w:t>质量指标</w:t>
            </w:r>
          </w:p>
        </w:tc>
        <w:tc>
          <w:tcPr>
            <w:tcW w:w="2835" w:type="dxa"/>
            <w:vAlign w:val="center"/>
          </w:tcPr>
          <w:p w14:paraId="6BF485E6">
            <w:pPr>
              <w:pStyle w:val="12"/>
            </w:pPr>
            <w:r>
              <w:t>按月上缴财政完成率</w:t>
            </w:r>
          </w:p>
        </w:tc>
        <w:tc>
          <w:tcPr>
            <w:tcW w:w="5386" w:type="dxa"/>
            <w:vAlign w:val="center"/>
          </w:tcPr>
          <w:p w14:paraId="7632CF26">
            <w:pPr>
              <w:pStyle w:val="12"/>
            </w:pPr>
            <w:r>
              <w:t>按月完成公立幼儿园保育费上缴财政</w:t>
            </w:r>
          </w:p>
        </w:tc>
        <w:tc>
          <w:tcPr>
            <w:tcW w:w="2268" w:type="dxa"/>
            <w:vAlign w:val="center"/>
          </w:tcPr>
          <w:p w14:paraId="06100D33">
            <w:pPr>
              <w:pStyle w:val="12"/>
            </w:pPr>
            <w:r>
              <w:t>100%</w:t>
            </w:r>
          </w:p>
        </w:tc>
        <w:tc>
          <w:tcPr>
            <w:tcW w:w="1276" w:type="dxa"/>
            <w:vAlign w:val="center"/>
          </w:tcPr>
          <w:p w14:paraId="645D0242">
            <w:pPr>
              <w:pStyle w:val="12"/>
            </w:pPr>
            <w:r>
              <w:t>年度工作计划</w:t>
            </w:r>
          </w:p>
        </w:tc>
      </w:tr>
      <w:tr w14:paraId="40D2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C2845"/>
        </w:tc>
        <w:tc>
          <w:tcPr>
            <w:tcW w:w="2268" w:type="dxa"/>
            <w:vAlign w:val="center"/>
          </w:tcPr>
          <w:p w14:paraId="0AF69516">
            <w:pPr>
              <w:pStyle w:val="12"/>
            </w:pPr>
            <w:r>
              <w:t>时效指标</w:t>
            </w:r>
          </w:p>
        </w:tc>
        <w:tc>
          <w:tcPr>
            <w:tcW w:w="2835" w:type="dxa"/>
            <w:vAlign w:val="center"/>
          </w:tcPr>
          <w:p w14:paraId="25917FBD">
            <w:pPr>
              <w:pStyle w:val="12"/>
            </w:pPr>
            <w:r>
              <w:t>资金支付率</w:t>
            </w:r>
          </w:p>
        </w:tc>
        <w:tc>
          <w:tcPr>
            <w:tcW w:w="5386" w:type="dxa"/>
            <w:vAlign w:val="center"/>
          </w:tcPr>
          <w:p w14:paraId="31377119">
            <w:pPr>
              <w:pStyle w:val="12"/>
            </w:pPr>
            <w:r>
              <w:t>按照上缴财政进度完成公立幼儿园保育费支付</w:t>
            </w:r>
          </w:p>
        </w:tc>
        <w:tc>
          <w:tcPr>
            <w:tcW w:w="2268" w:type="dxa"/>
            <w:vAlign w:val="center"/>
          </w:tcPr>
          <w:p w14:paraId="2DD58A81">
            <w:pPr>
              <w:pStyle w:val="12"/>
            </w:pPr>
            <w:r>
              <w:t>100%</w:t>
            </w:r>
          </w:p>
        </w:tc>
        <w:tc>
          <w:tcPr>
            <w:tcW w:w="1276" w:type="dxa"/>
            <w:vAlign w:val="center"/>
          </w:tcPr>
          <w:p w14:paraId="15D332BA">
            <w:pPr>
              <w:pStyle w:val="12"/>
            </w:pPr>
            <w:r>
              <w:t>年度工作计划</w:t>
            </w:r>
          </w:p>
        </w:tc>
      </w:tr>
      <w:tr w14:paraId="1E15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DA22C"/>
        </w:tc>
        <w:tc>
          <w:tcPr>
            <w:tcW w:w="2268" w:type="dxa"/>
            <w:vAlign w:val="center"/>
          </w:tcPr>
          <w:p w14:paraId="76EE499E">
            <w:pPr>
              <w:pStyle w:val="12"/>
            </w:pPr>
            <w:r>
              <w:t>成本指标</w:t>
            </w:r>
          </w:p>
        </w:tc>
        <w:tc>
          <w:tcPr>
            <w:tcW w:w="2835" w:type="dxa"/>
            <w:vAlign w:val="center"/>
          </w:tcPr>
          <w:p w14:paraId="463EB6C4">
            <w:pPr>
              <w:pStyle w:val="12"/>
            </w:pPr>
            <w:r>
              <w:t>公办幼儿园保育费收费标准</w:t>
            </w:r>
          </w:p>
        </w:tc>
        <w:tc>
          <w:tcPr>
            <w:tcW w:w="5386" w:type="dxa"/>
            <w:vAlign w:val="center"/>
          </w:tcPr>
          <w:p w14:paraId="445A7D25">
            <w:pPr>
              <w:pStyle w:val="12"/>
            </w:pPr>
            <w:r>
              <w:t>农村二类园130元/月/生</w:t>
            </w:r>
          </w:p>
        </w:tc>
        <w:tc>
          <w:tcPr>
            <w:tcW w:w="2268" w:type="dxa"/>
            <w:vAlign w:val="center"/>
          </w:tcPr>
          <w:p w14:paraId="255E3FB5">
            <w:pPr>
              <w:pStyle w:val="12"/>
            </w:pPr>
            <w:r>
              <w:t>130元</w:t>
            </w:r>
          </w:p>
        </w:tc>
        <w:tc>
          <w:tcPr>
            <w:tcW w:w="1276" w:type="dxa"/>
            <w:vAlign w:val="center"/>
          </w:tcPr>
          <w:p w14:paraId="7BEC0837">
            <w:pPr>
              <w:pStyle w:val="12"/>
            </w:pPr>
            <w:r>
              <w:t>年度工作计划</w:t>
            </w:r>
          </w:p>
        </w:tc>
      </w:tr>
      <w:tr w14:paraId="4B1E3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F5DBD"/>
        </w:tc>
        <w:tc>
          <w:tcPr>
            <w:tcW w:w="2268" w:type="dxa"/>
            <w:vAlign w:val="center"/>
          </w:tcPr>
          <w:p w14:paraId="29F92A29">
            <w:pPr>
              <w:pStyle w:val="12"/>
            </w:pPr>
            <w:r>
              <w:t>成本指标</w:t>
            </w:r>
          </w:p>
        </w:tc>
        <w:tc>
          <w:tcPr>
            <w:tcW w:w="2835" w:type="dxa"/>
            <w:vAlign w:val="center"/>
          </w:tcPr>
          <w:p w14:paraId="0EE72AEB">
            <w:pPr>
              <w:pStyle w:val="12"/>
            </w:pPr>
            <w:r>
              <w:t>公办幼儿园保育费收费标准</w:t>
            </w:r>
          </w:p>
        </w:tc>
        <w:tc>
          <w:tcPr>
            <w:tcW w:w="5386" w:type="dxa"/>
            <w:vAlign w:val="center"/>
          </w:tcPr>
          <w:p w14:paraId="6AAEFAC0">
            <w:pPr>
              <w:pStyle w:val="12"/>
            </w:pPr>
            <w:r>
              <w:t>农村一类园150元/月/生</w:t>
            </w:r>
          </w:p>
        </w:tc>
        <w:tc>
          <w:tcPr>
            <w:tcW w:w="2268" w:type="dxa"/>
            <w:vAlign w:val="center"/>
          </w:tcPr>
          <w:p w14:paraId="01A6344D">
            <w:pPr>
              <w:pStyle w:val="12"/>
            </w:pPr>
            <w:r>
              <w:t>150元</w:t>
            </w:r>
          </w:p>
        </w:tc>
        <w:tc>
          <w:tcPr>
            <w:tcW w:w="1276" w:type="dxa"/>
            <w:vAlign w:val="center"/>
          </w:tcPr>
          <w:p w14:paraId="6AF5693A">
            <w:pPr>
              <w:pStyle w:val="12"/>
            </w:pPr>
            <w:r>
              <w:t>年度工作计划</w:t>
            </w:r>
          </w:p>
        </w:tc>
      </w:tr>
      <w:tr w14:paraId="1F1F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59648"/>
        </w:tc>
        <w:tc>
          <w:tcPr>
            <w:tcW w:w="2268" w:type="dxa"/>
            <w:vAlign w:val="center"/>
          </w:tcPr>
          <w:p w14:paraId="54C6E6E0">
            <w:pPr>
              <w:pStyle w:val="12"/>
            </w:pPr>
            <w:r>
              <w:t>成本指标</w:t>
            </w:r>
          </w:p>
        </w:tc>
        <w:tc>
          <w:tcPr>
            <w:tcW w:w="2835" w:type="dxa"/>
            <w:vAlign w:val="center"/>
          </w:tcPr>
          <w:p w14:paraId="6F733BE1">
            <w:pPr>
              <w:pStyle w:val="12"/>
            </w:pPr>
            <w:r>
              <w:t>公办幼儿园保育费收费标准</w:t>
            </w:r>
          </w:p>
        </w:tc>
        <w:tc>
          <w:tcPr>
            <w:tcW w:w="5386" w:type="dxa"/>
            <w:vAlign w:val="center"/>
          </w:tcPr>
          <w:p w14:paraId="66B052CD">
            <w:pPr>
              <w:pStyle w:val="12"/>
            </w:pPr>
            <w:r>
              <w:t>农村示范园170元/月/生</w:t>
            </w:r>
          </w:p>
        </w:tc>
        <w:tc>
          <w:tcPr>
            <w:tcW w:w="2268" w:type="dxa"/>
            <w:vAlign w:val="center"/>
          </w:tcPr>
          <w:p w14:paraId="36E98E5C">
            <w:pPr>
              <w:pStyle w:val="12"/>
            </w:pPr>
            <w:r>
              <w:t>170元</w:t>
            </w:r>
          </w:p>
        </w:tc>
        <w:tc>
          <w:tcPr>
            <w:tcW w:w="1276" w:type="dxa"/>
            <w:vAlign w:val="center"/>
          </w:tcPr>
          <w:p w14:paraId="6A8B7F10">
            <w:pPr>
              <w:pStyle w:val="12"/>
            </w:pPr>
            <w:r>
              <w:t>年度工作计划</w:t>
            </w:r>
          </w:p>
        </w:tc>
      </w:tr>
      <w:tr w14:paraId="0B4E1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0D175">
            <w:pPr>
              <w:pStyle w:val="13"/>
            </w:pPr>
            <w:r>
              <w:t>效益指标</w:t>
            </w:r>
          </w:p>
        </w:tc>
        <w:tc>
          <w:tcPr>
            <w:tcW w:w="2268" w:type="dxa"/>
            <w:vAlign w:val="center"/>
          </w:tcPr>
          <w:p w14:paraId="463C4A43">
            <w:pPr>
              <w:pStyle w:val="12"/>
            </w:pPr>
            <w:r>
              <w:t>可持续影响指标</w:t>
            </w:r>
          </w:p>
        </w:tc>
        <w:tc>
          <w:tcPr>
            <w:tcW w:w="2835" w:type="dxa"/>
            <w:vAlign w:val="center"/>
          </w:tcPr>
          <w:p w14:paraId="2E7C3A35">
            <w:pPr>
              <w:pStyle w:val="12"/>
            </w:pPr>
            <w:r>
              <w:t>学校运转得到提高</w:t>
            </w:r>
          </w:p>
        </w:tc>
        <w:tc>
          <w:tcPr>
            <w:tcW w:w="5386" w:type="dxa"/>
            <w:vAlign w:val="center"/>
          </w:tcPr>
          <w:p w14:paraId="101A8312">
            <w:pPr>
              <w:pStyle w:val="12"/>
            </w:pPr>
            <w:r>
              <w:t>幼儿受教育年限</w:t>
            </w:r>
          </w:p>
        </w:tc>
        <w:tc>
          <w:tcPr>
            <w:tcW w:w="2268" w:type="dxa"/>
            <w:vAlign w:val="center"/>
          </w:tcPr>
          <w:p w14:paraId="5EE1FC2B">
            <w:pPr>
              <w:pStyle w:val="12"/>
            </w:pPr>
            <w:r>
              <w:t>3年</w:t>
            </w:r>
          </w:p>
        </w:tc>
        <w:tc>
          <w:tcPr>
            <w:tcW w:w="1276" w:type="dxa"/>
            <w:vAlign w:val="center"/>
          </w:tcPr>
          <w:p w14:paraId="05BAD000">
            <w:pPr>
              <w:pStyle w:val="12"/>
            </w:pPr>
            <w:r>
              <w:t>年度工作计划</w:t>
            </w:r>
          </w:p>
        </w:tc>
      </w:tr>
      <w:tr w14:paraId="4109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78BE0">
            <w:pPr>
              <w:pStyle w:val="13"/>
            </w:pPr>
            <w:r>
              <w:t>满意度指标</w:t>
            </w:r>
          </w:p>
        </w:tc>
        <w:tc>
          <w:tcPr>
            <w:tcW w:w="2268" w:type="dxa"/>
            <w:vAlign w:val="center"/>
          </w:tcPr>
          <w:p w14:paraId="5A536769">
            <w:pPr>
              <w:pStyle w:val="12"/>
            </w:pPr>
            <w:r>
              <w:t>服务对象满意度指标</w:t>
            </w:r>
          </w:p>
        </w:tc>
        <w:tc>
          <w:tcPr>
            <w:tcW w:w="2835" w:type="dxa"/>
            <w:vAlign w:val="center"/>
          </w:tcPr>
          <w:p w14:paraId="457AB1BB">
            <w:pPr>
              <w:pStyle w:val="12"/>
            </w:pPr>
            <w:r>
              <w:t>受益学生家长及调查满意度</w:t>
            </w:r>
          </w:p>
        </w:tc>
        <w:tc>
          <w:tcPr>
            <w:tcW w:w="5386" w:type="dxa"/>
            <w:vAlign w:val="center"/>
          </w:tcPr>
          <w:p w14:paraId="13AB5B38">
            <w:pPr>
              <w:pStyle w:val="12"/>
            </w:pPr>
            <w:r>
              <w:t>幼儿、教师及家长对学校保教保育工作满意度情况</w:t>
            </w:r>
          </w:p>
        </w:tc>
        <w:tc>
          <w:tcPr>
            <w:tcW w:w="2268" w:type="dxa"/>
            <w:vAlign w:val="center"/>
          </w:tcPr>
          <w:p w14:paraId="20B16351">
            <w:pPr>
              <w:pStyle w:val="12"/>
            </w:pPr>
            <w:r>
              <w:t>≥95%</w:t>
            </w:r>
          </w:p>
        </w:tc>
        <w:tc>
          <w:tcPr>
            <w:tcW w:w="1276" w:type="dxa"/>
            <w:vAlign w:val="center"/>
          </w:tcPr>
          <w:p w14:paraId="414F29A2">
            <w:pPr>
              <w:pStyle w:val="12"/>
            </w:pPr>
            <w:r>
              <w:t>年度工作计划</w:t>
            </w:r>
          </w:p>
        </w:tc>
      </w:tr>
    </w:tbl>
    <w:p w14:paraId="1E6BA42E">
      <w:pPr>
        <w:sectPr>
          <w:pgSz w:w="16840" w:h="11900" w:orient="landscape"/>
          <w:pgMar w:top="1361" w:right="1020" w:bottom="1134" w:left="1020" w:header="720" w:footer="720" w:gutter="0"/>
          <w:cols w:space="720" w:num="1"/>
        </w:sectPr>
      </w:pPr>
    </w:p>
    <w:p w14:paraId="43143DDF">
      <w:pPr>
        <w:spacing w:before="10" w:after="10" w:line="240" w:lineRule="auto"/>
        <w:ind w:firstLine="640"/>
        <w:jc w:val="left"/>
        <w:outlineLvl w:val="5"/>
      </w:pPr>
      <w:r>
        <w:rPr>
          <w:rFonts w:ascii="黑体" w:hAnsi="黑体" w:eastAsia="黑体" w:cs="黑体"/>
          <w:color w:val="000000"/>
          <w:sz w:val="32"/>
        </w:rPr>
        <w:t>六、政府采购预算情况</w:t>
      </w:r>
    </w:p>
    <w:p w14:paraId="279058D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A4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FAD12F">
            <w:pPr>
              <w:pStyle w:val="9"/>
            </w:pPr>
            <w:r>
              <w:t>360018隆尧县北楼校区</w:t>
            </w:r>
          </w:p>
        </w:tc>
        <w:tc>
          <w:tcPr>
            <w:tcW w:w="8676" w:type="dxa"/>
            <w:gridSpan w:val="9"/>
            <w:tcBorders>
              <w:top w:val="single" w:color="FFFFFF" w:sz="6" w:space="0"/>
              <w:left w:val="single" w:color="FFFFFF" w:sz="6" w:space="0"/>
              <w:right w:val="single" w:color="FFFFFF" w:sz="6" w:space="0"/>
            </w:tcBorders>
            <w:vAlign w:val="center"/>
          </w:tcPr>
          <w:p w14:paraId="6D4FDB2D">
            <w:pPr>
              <w:pStyle w:val="21"/>
            </w:pPr>
            <w:r>
              <w:t>单位：万元</w:t>
            </w:r>
          </w:p>
        </w:tc>
      </w:tr>
      <w:tr w14:paraId="27ED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F97B38">
            <w:pPr>
              <w:pStyle w:val="10"/>
            </w:pPr>
            <w:r>
              <w:t>政府采购项目来源</w:t>
            </w:r>
          </w:p>
        </w:tc>
        <w:tc>
          <w:tcPr>
            <w:tcW w:w="1134" w:type="dxa"/>
            <w:vMerge w:val="restart"/>
            <w:vAlign w:val="center"/>
          </w:tcPr>
          <w:p w14:paraId="5A1FC414">
            <w:pPr>
              <w:pStyle w:val="10"/>
            </w:pPr>
            <w:r>
              <w:t>采购物品名称</w:t>
            </w:r>
          </w:p>
        </w:tc>
        <w:tc>
          <w:tcPr>
            <w:tcW w:w="1134" w:type="dxa"/>
            <w:vMerge w:val="restart"/>
            <w:vAlign w:val="center"/>
          </w:tcPr>
          <w:p w14:paraId="0BBAFDDC">
            <w:pPr>
              <w:pStyle w:val="10"/>
            </w:pPr>
            <w:r>
              <w:t>政府采购目录序号</w:t>
            </w:r>
          </w:p>
        </w:tc>
        <w:tc>
          <w:tcPr>
            <w:tcW w:w="709" w:type="dxa"/>
            <w:vMerge w:val="restart"/>
            <w:vAlign w:val="center"/>
          </w:tcPr>
          <w:p w14:paraId="45E972F6">
            <w:pPr>
              <w:pStyle w:val="10"/>
            </w:pPr>
            <w:r>
              <w:t>计量  单位</w:t>
            </w:r>
          </w:p>
        </w:tc>
        <w:tc>
          <w:tcPr>
            <w:tcW w:w="850" w:type="dxa"/>
            <w:vMerge w:val="restart"/>
            <w:vAlign w:val="center"/>
          </w:tcPr>
          <w:p w14:paraId="306260A1">
            <w:pPr>
              <w:pStyle w:val="10"/>
            </w:pPr>
            <w:r>
              <w:t>数量</w:t>
            </w:r>
          </w:p>
        </w:tc>
        <w:tc>
          <w:tcPr>
            <w:tcW w:w="850" w:type="dxa"/>
            <w:vMerge w:val="restart"/>
            <w:vAlign w:val="center"/>
          </w:tcPr>
          <w:p w14:paraId="566A3C4A">
            <w:pPr>
              <w:pStyle w:val="10"/>
            </w:pPr>
            <w:r>
              <w:t>单价</w:t>
            </w:r>
          </w:p>
        </w:tc>
        <w:tc>
          <w:tcPr>
            <w:tcW w:w="7712" w:type="dxa"/>
            <w:gridSpan w:val="8"/>
            <w:vAlign w:val="center"/>
          </w:tcPr>
          <w:p w14:paraId="3C78C309">
            <w:pPr>
              <w:pStyle w:val="10"/>
            </w:pPr>
            <w:r>
              <w:t>政府采购金额（当年部门预算安排资金）</w:t>
            </w:r>
          </w:p>
        </w:tc>
        <w:tc>
          <w:tcPr>
            <w:tcW w:w="964" w:type="dxa"/>
            <w:vMerge w:val="restart"/>
            <w:vAlign w:val="center"/>
          </w:tcPr>
          <w:p w14:paraId="1146490F">
            <w:pPr>
              <w:pStyle w:val="10"/>
            </w:pPr>
            <w:r>
              <w:t>2026年  预留中  小微企  业份额</w:t>
            </w:r>
          </w:p>
        </w:tc>
      </w:tr>
      <w:tr w14:paraId="0A29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989BF27">
            <w:pPr>
              <w:pStyle w:val="10"/>
            </w:pPr>
            <w:r>
              <w:t>项目名称</w:t>
            </w:r>
          </w:p>
        </w:tc>
        <w:tc>
          <w:tcPr>
            <w:tcW w:w="964" w:type="dxa"/>
            <w:vAlign w:val="center"/>
          </w:tcPr>
          <w:p w14:paraId="47BF47FB">
            <w:pPr>
              <w:pStyle w:val="10"/>
            </w:pPr>
            <w:r>
              <w:t>预算    资金</w:t>
            </w:r>
          </w:p>
        </w:tc>
        <w:tc>
          <w:tcPr>
            <w:tcW w:w="1134" w:type="dxa"/>
            <w:vMerge w:val="continue"/>
          </w:tcPr>
          <w:p w14:paraId="4F30EF82"/>
        </w:tc>
        <w:tc>
          <w:tcPr>
            <w:tcW w:w="1134" w:type="dxa"/>
            <w:vMerge w:val="continue"/>
          </w:tcPr>
          <w:p w14:paraId="0BFAF86B"/>
        </w:tc>
        <w:tc>
          <w:tcPr>
            <w:tcW w:w="709" w:type="dxa"/>
            <w:vMerge w:val="continue"/>
          </w:tcPr>
          <w:p w14:paraId="23F507EF"/>
        </w:tc>
        <w:tc>
          <w:tcPr>
            <w:tcW w:w="850" w:type="dxa"/>
            <w:vMerge w:val="continue"/>
          </w:tcPr>
          <w:p w14:paraId="685ACC9E"/>
        </w:tc>
        <w:tc>
          <w:tcPr>
            <w:tcW w:w="850" w:type="dxa"/>
            <w:vMerge w:val="continue"/>
          </w:tcPr>
          <w:p w14:paraId="0E19724D"/>
        </w:tc>
        <w:tc>
          <w:tcPr>
            <w:tcW w:w="964" w:type="dxa"/>
            <w:vAlign w:val="center"/>
          </w:tcPr>
          <w:p w14:paraId="7C500253">
            <w:pPr>
              <w:pStyle w:val="10"/>
            </w:pPr>
            <w:r>
              <w:t>合计</w:t>
            </w:r>
          </w:p>
        </w:tc>
        <w:tc>
          <w:tcPr>
            <w:tcW w:w="964" w:type="dxa"/>
            <w:vAlign w:val="center"/>
          </w:tcPr>
          <w:p w14:paraId="0926B42C">
            <w:pPr>
              <w:pStyle w:val="10"/>
            </w:pPr>
            <w:r>
              <w:t>一般公共预算拨款</w:t>
            </w:r>
          </w:p>
        </w:tc>
        <w:tc>
          <w:tcPr>
            <w:tcW w:w="964" w:type="dxa"/>
            <w:vAlign w:val="center"/>
          </w:tcPr>
          <w:p w14:paraId="78C5D69A">
            <w:pPr>
              <w:pStyle w:val="10"/>
            </w:pPr>
            <w:r>
              <w:t>基金预算拨款</w:t>
            </w:r>
          </w:p>
        </w:tc>
        <w:tc>
          <w:tcPr>
            <w:tcW w:w="964" w:type="dxa"/>
            <w:vAlign w:val="center"/>
          </w:tcPr>
          <w:p w14:paraId="0696E073">
            <w:pPr>
              <w:pStyle w:val="10"/>
            </w:pPr>
            <w:r>
              <w:t>国有资本经营预算拨款</w:t>
            </w:r>
          </w:p>
        </w:tc>
        <w:tc>
          <w:tcPr>
            <w:tcW w:w="964" w:type="dxa"/>
            <w:vAlign w:val="center"/>
          </w:tcPr>
          <w:p w14:paraId="234607EF">
            <w:pPr>
              <w:pStyle w:val="10"/>
            </w:pPr>
            <w:r>
              <w:t>财政专户核拨</w:t>
            </w:r>
          </w:p>
        </w:tc>
        <w:tc>
          <w:tcPr>
            <w:tcW w:w="964" w:type="dxa"/>
            <w:vAlign w:val="center"/>
          </w:tcPr>
          <w:p w14:paraId="1ED1D947">
            <w:pPr>
              <w:pStyle w:val="10"/>
            </w:pPr>
            <w:r>
              <w:t>单位    资金</w:t>
            </w:r>
          </w:p>
        </w:tc>
        <w:tc>
          <w:tcPr>
            <w:tcW w:w="964" w:type="dxa"/>
            <w:vAlign w:val="center"/>
          </w:tcPr>
          <w:p w14:paraId="0B879469">
            <w:pPr>
              <w:pStyle w:val="10"/>
            </w:pPr>
            <w:r>
              <w:t>财政拨款结转</w:t>
            </w:r>
          </w:p>
        </w:tc>
        <w:tc>
          <w:tcPr>
            <w:tcW w:w="964" w:type="dxa"/>
            <w:vAlign w:val="center"/>
          </w:tcPr>
          <w:p w14:paraId="67C2D90D">
            <w:pPr>
              <w:pStyle w:val="10"/>
            </w:pPr>
            <w:r>
              <w:t>非财政拨款结余</w:t>
            </w:r>
          </w:p>
        </w:tc>
        <w:tc>
          <w:tcPr>
            <w:tcW w:w="964" w:type="dxa"/>
            <w:vMerge w:val="continue"/>
          </w:tcPr>
          <w:p w14:paraId="2BCB4119"/>
        </w:tc>
      </w:tr>
      <w:tr w14:paraId="3CBD7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8C5A70">
            <w:pPr>
              <w:pStyle w:val="14"/>
            </w:pPr>
            <w:r>
              <w:t>合  计</w:t>
            </w:r>
          </w:p>
        </w:tc>
        <w:tc>
          <w:tcPr>
            <w:tcW w:w="964" w:type="dxa"/>
            <w:vAlign w:val="center"/>
          </w:tcPr>
          <w:p w14:paraId="76119FD2">
            <w:pPr>
              <w:pStyle w:val="15"/>
            </w:pPr>
          </w:p>
        </w:tc>
        <w:tc>
          <w:tcPr>
            <w:tcW w:w="1134" w:type="dxa"/>
            <w:vAlign w:val="center"/>
          </w:tcPr>
          <w:p w14:paraId="0EB50005">
            <w:pPr>
              <w:pStyle w:val="16"/>
            </w:pPr>
          </w:p>
        </w:tc>
        <w:tc>
          <w:tcPr>
            <w:tcW w:w="1134" w:type="dxa"/>
            <w:vAlign w:val="center"/>
          </w:tcPr>
          <w:p w14:paraId="6E393E35">
            <w:pPr>
              <w:pStyle w:val="16"/>
            </w:pPr>
          </w:p>
        </w:tc>
        <w:tc>
          <w:tcPr>
            <w:tcW w:w="709" w:type="dxa"/>
            <w:vAlign w:val="center"/>
          </w:tcPr>
          <w:p w14:paraId="05911AF3">
            <w:pPr>
              <w:pStyle w:val="14"/>
            </w:pPr>
          </w:p>
        </w:tc>
        <w:tc>
          <w:tcPr>
            <w:tcW w:w="850" w:type="dxa"/>
            <w:vAlign w:val="center"/>
          </w:tcPr>
          <w:p w14:paraId="31783716">
            <w:pPr>
              <w:pStyle w:val="15"/>
            </w:pPr>
          </w:p>
        </w:tc>
        <w:tc>
          <w:tcPr>
            <w:tcW w:w="850" w:type="dxa"/>
            <w:vAlign w:val="center"/>
          </w:tcPr>
          <w:p w14:paraId="48A52DB6">
            <w:pPr>
              <w:pStyle w:val="15"/>
            </w:pPr>
          </w:p>
        </w:tc>
        <w:tc>
          <w:tcPr>
            <w:tcW w:w="964" w:type="dxa"/>
            <w:vAlign w:val="center"/>
          </w:tcPr>
          <w:p w14:paraId="22131404">
            <w:pPr>
              <w:pStyle w:val="15"/>
            </w:pPr>
            <w:r>
              <w:t>1.13</w:t>
            </w:r>
          </w:p>
        </w:tc>
        <w:tc>
          <w:tcPr>
            <w:tcW w:w="964" w:type="dxa"/>
            <w:vAlign w:val="center"/>
          </w:tcPr>
          <w:p w14:paraId="48034C76">
            <w:pPr>
              <w:pStyle w:val="15"/>
            </w:pPr>
            <w:r>
              <w:t>1.13</w:t>
            </w:r>
          </w:p>
        </w:tc>
        <w:tc>
          <w:tcPr>
            <w:tcW w:w="964" w:type="dxa"/>
            <w:vAlign w:val="center"/>
          </w:tcPr>
          <w:p w14:paraId="7828B3CC">
            <w:pPr>
              <w:pStyle w:val="15"/>
            </w:pPr>
          </w:p>
        </w:tc>
        <w:tc>
          <w:tcPr>
            <w:tcW w:w="964" w:type="dxa"/>
            <w:vAlign w:val="center"/>
          </w:tcPr>
          <w:p w14:paraId="14B457B6">
            <w:pPr>
              <w:pStyle w:val="15"/>
            </w:pPr>
          </w:p>
        </w:tc>
        <w:tc>
          <w:tcPr>
            <w:tcW w:w="964" w:type="dxa"/>
            <w:vAlign w:val="center"/>
          </w:tcPr>
          <w:p w14:paraId="32B16897">
            <w:pPr>
              <w:pStyle w:val="15"/>
            </w:pPr>
          </w:p>
        </w:tc>
        <w:tc>
          <w:tcPr>
            <w:tcW w:w="964" w:type="dxa"/>
            <w:vAlign w:val="center"/>
          </w:tcPr>
          <w:p w14:paraId="395620AF">
            <w:pPr>
              <w:pStyle w:val="15"/>
            </w:pPr>
          </w:p>
        </w:tc>
        <w:tc>
          <w:tcPr>
            <w:tcW w:w="964" w:type="dxa"/>
            <w:vAlign w:val="center"/>
          </w:tcPr>
          <w:p w14:paraId="49C675B0">
            <w:pPr>
              <w:pStyle w:val="15"/>
            </w:pPr>
          </w:p>
        </w:tc>
        <w:tc>
          <w:tcPr>
            <w:tcW w:w="964" w:type="dxa"/>
            <w:vAlign w:val="center"/>
          </w:tcPr>
          <w:p w14:paraId="5135D17D">
            <w:pPr>
              <w:pStyle w:val="15"/>
            </w:pPr>
          </w:p>
        </w:tc>
        <w:tc>
          <w:tcPr>
            <w:tcW w:w="964" w:type="dxa"/>
            <w:vAlign w:val="center"/>
          </w:tcPr>
          <w:p w14:paraId="3B24A140">
            <w:pPr>
              <w:pStyle w:val="15"/>
            </w:pPr>
            <w:r>
              <w:t>1.13</w:t>
            </w:r>
          </w:p>
        </w:tc>
      </w:tr>
      <w:tr w14:paraId="5F50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AD995E">
            <w:pPr>
              <w:pStyle w:val="14"/>
            </w:pPr>
            <w:r>
              <w:t>隆尧县北楼校区小计</w:t>
            </w:r>
          </w:p>
        </w:tc>
        <w:tc>
          <w:tcPr>
            <w:tcW w:w="964" w:type="dxa"/>
            <w:vAlign w:val="center"/>
          </w:tcPr>
          <w:p w14:paraId="2D1C3E7D">
            <w:pPr>
              <w:pStyle w:val="15"/>
            </w:pPr>
          </w:p>
        </w:tc>
        <w:tc>
          <w:tcPr>
            <w:tcW w:w="1134" w:type="dxa"/>
            <w:vAlign w:val="center"/>
          </w:tcPr>
          <w:p w14:paraId="7DD3A894">
            <w:pPr>
              <w:pStyle w:val="16"/>
            </w:pPr>
          </w:p>
        </w:tc>
        <w:tc>
          <w:tcPr>
            <w:tcW w:w="1134" w:type="dxa"/>
            <w:vAlign w:val="center"/>
          </w:tcPr>
          <w:p w14:paraId="2392BB5E">
            <w:pPr>
              <w:pStyle w:val="16"/>
            </w:pPr>
          </w:p>
        </w:tc>
        <w:tc>
          <w:tcPr>
            <w:tcW w:w="709" w:type="dxa"/>
            <w:vAlign w:val="center"/>
          </w:tcPr>
          <w:p w14:paraId="4A2A5D3D">
            <w:pPr>
              <w:pStyle w:val="14"/>
            </w:pPr>
          </w:p>
        </w:tc>
        <w:tc>
          <w:tcPr>
            <w:tcW w:w="850" w:type="dxa"/>
            <w:vAlign w:val="center"/>
          </w:tcPr>
          <w:p w14:paraId="3B23F9E5">
            <w:pPr>
              <w:pStyle w:val="15"/>
            </w:pPr>
          </w:p>
        </w:tc>
        <w:tc>
          <w:tcPr>
            <w:tcW w:w="850" w:type="dxa"/>
            <w:vAlign w:val="center"/>
          </w:tcPr>
          <w:p w14:paraId="48F05F74">
            <w:pPr>
              <w:pStyle w:val="15"/>
            </w:pPr>
          </w:p>
        </w:tc>
        <w:tc>
          <w:tcPr>
            <w:tcW w:w="964" w:type="dxa"/>
            <w:vAlign w:val="center"/>
          </w:tcPr>
          <w:p w14:paraId="7369D470">
            <w:pPr>
              <w:pStyle w:val="15"/>
            </w:pPr>
            <w:r>
              <w:t>1.13</w:t>
            </w:r>
          </w:p>
        </w:tc>
        <w:tc>
          <w:tcPr>
            <w:tcW w:w="964" w:type="dxa"/>
            <w:vAlign w:val="center"/>
          </w:tcPr>
          <w:p w14:paraId="1C98581E">
            <w:pPr>
              <w:pStyle w:val="15"/>
            </w:pPr>
            <w:r>
              <w:t>1.13</w:t>
            </w:r>
          </w:p>
        </w:tc>
        <w:tc>
          <w:tcPr>
            <w:tcW w:w="964" w:type="dxa"/>
            <w:vAlign w:val="center"/>
          </w:tcPr>
          <w:p w14:paraId="7F37F661">
            <w:pPr>
              <w:pStyle w:val="15"/>
            </w:pPr>
          </w:p>
        </w:tc>
        <w:tc>
          <w:tcPr>
            <w:tcW w:w="964" w:type="dxa"/>
            <w:vAlign w:val="center"/>
          </w:tcPr>
          <w:p w14:paraId="51C6882F">
            <w:pPr>
              <w:pStyle w:val="15"/>
            </w:pPr>
          </w:p>
        </w:tc>
        <w:tc>
          <w:tcPr>
            <w:tcW w:w="964" w:type="dxa"/>
            <w:vAlign w:val="center"/>
          </w:tcPr>
          <w:p w14:paraId="50A05AB3">
            <w:pPr>
              <w:pStyle w:val="15"/>
            </w:pPr>
          </w:p>
        </w:tc>
        <w:tc>
          <w:tcPr>
            <w:tcW w:w="964" w:type="dxa"/>
            <w:vAlign w:val="center"/>
          </w:tcPr>
          <w:p w14:paraId="44119E5D">
            <w:pPr>
              <w:pStyle w:val="15"/>
            </w:pPr>
          </w:p>
        </w:tc>
        <w:tc>
          <w:tcPr>
            <w:tcW w:w="964" w:type="dxa"/>
            <w:vAlign w:val="center"/>
          </w:tcPr>
          <w:p w14:paraId="3F4FC1EA">
            <w:pPr>
              <w:pStyle w:val="15"/>
            </w:pPr>
          </w:p>
        </w:tc>
        <w:tc>
          <w:tcPr>
            <w:tcW w:w="964" w:type="dxa"/>
            <w:vAlign w:val="center"/>
          </w:tcPr>
          <w:p w14:paraId="463CC27A">
            <w:pPr>
              <w:pStyle w:val="15"/>
            </w:pPr>
          </w:p>
        </w:tc>
        <w:tc>
          <w:tcPr>
            <w:tcW w:w="964" w:type="dxa"/>
            <w:vAlign w:val="center"/>
          </w:tcPr>
          <w:p w14:paraId="4CC7827E">
            <w:pPr>
              <w:pStyle w:val="15"/>
            </w:pPr>
            <w:r>
              <w:t>1.13</w:t>
            </w:r>
          </w:p>
        </w:tc>
      </w:tr>
      <w:tr w14:paraId="1891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B8A102">
            <w:pPr>
              <w:pStyle w:val="12"/>
            </w:pPr>
            <w:r>
              <w:t>冀财教[2025]121号/中央/2026年义教补助经费/北楼校区尚礼小学公用经费</w:t>
            </w:r>
          </w:p>
        </w:tc>
        <w:tc>
          <w:tcPr>
            <w:tcW w:w="964" w:type="dxa"/>
            <w:vAlign w:val="center"/>
          </w:tcPr>
          <w:p w14:paraId="3C8A7D10">
            <w:pPr>
              <w:pStyle w:val="11"/>
            </w:pPr>
            <w:r>
              <w:t>27.22</w:t>
            </w:r>
          </w:p>
        </w:tc>
        <w:tc>
          <w:tcPr>
            <w:tcW w:w="1134" w:type="dxa"/>
            <w:vAlign w:val="center"/>
          </w:tcPr>
          <w:p w14:paraId="0491D08D">
            <w:pPr>
              <w:pStyle w:val="12"/>
            </w:pPr>
            <w:r>
              <w:t>文件柜</w:t>
            </w:r>
          </w:p>
        </w:tc>
        <w:tc>
          <w:tcPr>
            <w:tcW w:w="1134" w:type="dxa"/>
            <w:vAlign w:val="center"/>
          </w:tcPr>
          <w:p w14:paraId="3DE276F4">
            <w:pPr>
              <w:pStyle w:val="12"/>
            </w:pPr>
            <w:r>
              <w:t>A05010502</w:t>
            </w:r>
          </w:p>
        </w:tc>
        <w:tc>
          <w:tcPr>
            <w:tcW w:w="709" w:type="dxa"/>
            <w:vAlign w:val="center"/>
          </w:tcPr>
          <w:p w14:paraId="02C59D85">
            <w:pPr>
              <w:pStyle w:val="13"/>
            </w:pPr>
            <w:r>
              <w:t>万元</w:t>
            </w:r>
          </w:p>
        </w:tc>
        <w:tc>
          <w:tcPr>
            <w:tcW w:w="850" w:type="dxa"/>
            <w:vAlign w:val="center"/>
          </w:tcPr>
          <w:p w14:paraId="05A8D296">
            <w:pPr>
              <w:pStyle w:val="11"/>
            </w:pPr>
            <w:r>
              <w:t>2</w:t>
            </w:r>
          </w:p>
        </w:tc>
        <w:tc>
          <w:tcPr>
            <w:tcW w:w="850" w:type="dxa"/>
            <w:vAlign w:val="center"/>
          </w:tcPr>
          <w:p w14:paraId="57A28A8C">
            <w:pPr>
              <w:pStyle w:val="11"/>
            </w:pPr>
            <w:r>
              <w:t>0.05</w:t>
            </w:r>
          </w:p>
        </w:tc>
        <w:tc>
          <w:tcPr>
            <w:tcW w:w="964" w:type="dxa"/>
            <w:vAlign w:val="center"/>
          </w:tcPr>
          <w:p w14:paraId="0058B5B3">
            <w:pPr>
              <w:pStyle w:val="11"/>
            </w:pPr>
            <w:r>
              <w:t>0.10</w:t>
            </w:r>
          </w:p>
        </w:tc>
        <w:tc>
          <w:tcPr>
            <w:tcW w:w="964" w:type="dxa"/>
            <w:vAlign w:val="center"/>
          </w:tcPr>
          <w:p w14:paraId="60DB52F1">
            <w:pPr>
              <w:pStyle w:val="11"/>
            </w:pPr>
            <w:r>
              <w:t>0.10</w:t>
            </w:r>
          </w:p>
        </w:tc>
        <w:tc>
          <w:tcPr>
            <w:tcW w:w="964" w:type="dxa"/>
            <w:vAlign w:val="center"/>
          </w:tcPr>
          <w:p w14:paraId="4FF33ED6">
            <w:pPr>
              <w:pStyle w:val="11"/>
            </w:pPr>
          </w:p>
        </w:tc>
        <w:tc>
          <w:tcPr>
            <w:tcW w:w="964" w:type="dxa"/>
            <w:vAlign w:val="center"/>
          </w:tcPr>
          <w:p w14:paraId="437FBDEE">
            <w:pPr>
              <w:pStyle w:val="11"/>
            </w:pPr>
          </w:p>
        </w:tc>
        <w:tc>
          <w:tcPr>
            <w:tcW w:w="964" w:type="dxa"/>
            <w:vAlign w:val="center"/>
          </w:tcPr>
          <w:p w14:paraId="06E5447C">
            <w:pPr>
              <w:pStyle w:val="11"/>
            </w:pPr>
          </w:p>
        </w:tc>
        <w:tc>
          <w:tcPr>
            <w:tcW w:w="964" w:type="dxa"/>
            <w:vAlign w:val="center"/>
          </w:tcPr>
          <w:p w14:paraId="4139274B">
            <w:pPr>
              <w:pStyle w:val="11"/>
            </w:pPr>
          </w:p>
        </w:tc>
        <w:tc>
          <w:tcPr>
            <w:tcW w:w="964" w:type="dxa"/>
            <w:vAlign w:val="center"/>
          </w:tcPr>
          <w:p w14:paraId="3524C3FE">
            <w:pPr>
              <w:pStyle w:val="11"/>
            </w:pPr>
          </w:p>
        </w:tc>
        <w:tc>
          <w:tcPr>
            <w:tcW w:w="964" w:type="dxa"/>
            <w:vAlign w:val="center"/>
          </w:tcPr>
          <w:p w14:paraId="714FF90E">
            <w:pPr>
              <w:pStyle w:val="11"/>
            </w:pPr>
          </w:p>
        </w:tc>
        <w:tc>
          <w:tcPr>
            <w:tcW w:w="964" w:type="dxa"/>
            <w:vAlign w:val="center"/>
          </w:tcPr>
          <w:p w14:paraId="037303E2">
            <w:pPr>
              <w:pStyle w:val="11"/>
            </w:pPr>
            <w:r>
              <w:t>0.10</w:t>
            </w:r>
          </w:p>
        </w:tc>
      </w:tr>
      <w:tr w14:paraId="01D0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F8788E">
            <w:pPr>
              <w:pStyle w:val="12"/>
            </w:pPr>
            <w:r>
              <w:t>冀财教[2025]147号/省级/2026年义教补助经费/北楼校区北楼中心小学公用经费</w:t>
            </w:r>
          </w:p>
        </w:tc>
        <w:tc>
          <w:tcPr>
            <w:tcW w:w="964" w:type="dxa"/>
            <w:vAlign w:val="center"/>
          </w:tcPr>
          <w:p w14:paraId="7E57B83A">
            <w:pPr>
              <w:pStyle w:val="11"/>
            </w:pPr>
            <w:r>
              <w:t>19.72</w:t>
            </w:r>
          </w:p>
        </w:tc>
        <w:tc>
          <w:tcPr>
            <w:tcW w:w="1134" w:type="dxa"/>
            <w:vAlign w:val="center"/>
          </w:tcPr>
          <w:p w14:paraId="23838E10">
            <w:pPr>
              <w:pStyle w:val="12"/>
            </w:pPr>
            <w:r>
              <w:t>办公桌</w:t>
            </w:r>
          </w:p>
        </w:tc>
        <w:tc>
          <w:tcPr>
            <w:tcW w:w="1134" w:type="dxa"/>
            <w:vAlign w:val="center"/>
          </w:tcPr>
          <w:p w14:paraId="5F025E9F">
            <w:pPr>
              <w:pStyle w:val="12"/>
            </w:pPr>
            <w:r>
              <w:t>A05010201</w:t>
            </w:r>
          </w:p>
        </w:tc>
        <w:tc>
          <w:tcPr>
            <w:tcW w:w="709" w:type="dxa"/>
            <w:vAlign w:val="center"/>
          </w:tcPr>
          <w:p w14:paraId="5A5BE172">
            <w:pPr>
              <w:pStyle w:val="13"/>
            </w:pPr>
            <w:r>
              <w:t>万元</w:t>
            </w:r>
          </w:p>
        </w:tc>
        <w:tc>
          <w:tcPr>
            <w:tcW w:w="850" w:type="dxa"/>
            <w:vAlign w:val="center"/>
          </w:tcPr>
          <w:p w14:paraId="6AA627E5">
            <w:pPr>
              <w:pStyle w:val="11"/>
            </w:pPr>
            <w:r>
              <w:t>20</w:t>
            </w:r>
          </w:p>
        </w:tc>
        <w:tc>
          <w:tcPr>
            <w:tcW w:w="850" w:type="dxa"/>
            <w:vAlign w:val="center"/>
          </w:tcPr>
          <w:p w14:paraId="27ECDD3C">
            <w:pPr>
              <w:pStyle w:val="11"/>
            </w:pPr>
            <w:r>
              <w:t>0.05</w:t>
            </w:r>
          </w:p>
        </w:tc>
        <w:tc>
          <w:tcPr>
            <w:tcW w:w="964" w:type="dxa"/>
            <w:vAlign w:val="center"/>
          </w:tcPr>
          <w:p w14:paraId="2BAB1CC3">
            <w:pPr>
              <w:pStyle w:val="11"/>
            </w:pPr>
            <w:r>
              <w:t>1.00</w:t>
            </w:r>
          </w:p>
        </w:tc>
        <w:tc>
          <w:tcPr>
            <w:tcW w:w="964" w:type="dxa"/>
            <w:vAlign w:val="center"/>
          </w:tcPr>
          <w:p w14:paraId="0BF62A6A">
            <w:pPr>
              <w:pStyle w:val="11"/>
            </w:pPr>
            <w:r>
              <w:t>1.00</w:t>
            </w:r>
          </w:p>
        </w:tc>
        <w:tc>
          <w:tcPr>
            <w:tcW w:w="964" w:type="dxa"/>
            <w:vAlign w:val="center"/>
          </w:tcPr>
          <w:p w14:paraId="3F2C85E9">
            <w:pPr>
              <w:pStyle w:val="11"/>
            </w:pPr>
          </w:p>
        </w:tc>
        <w:tc>
          <w:tcPr>
            <w:tcW w:w="964" w:type="dxa"/>
            <w:vAlign w:val="center"/>
          </w:tcPr>
          <w:p w14:paraId="5437118C">
            <w:pPr>
              <w:pStyle w:val="11"/>
            </w:pPr>
          </w:p>
        </w:tc>
        <w:tc>
          <w:tcPr>
            <w:tcW w:w="964" w:type="dxa"/>
            <w:vAlign w:val="center"/>
          </w:tcPr>
          <w:p w14:paraId="4C70122B">
            <w:pPr>
              <w:pStyle w:val="11"/>
            </w:pPr>
          </w:p>
        </w:tc>
        <w:tc>
          <w:tcPr>
            <w:tcW w:w="964" w:type="dxa"/>
            <w:vAlign w:val="center"/>
          </w:tcPr>
          <w:p w14:paraId="62B88B41">
            <w:pPr>
              <w:pStyle w:val="11"/>
            </w:pPr>
          </w:p>
        </w:tc>
        <w:tc>
          <w:tcPr>
            <w:tcW w:w="964" w:type="dxa"/>
            <w:vAlign w:val="center"/>
          </w:tcPr>
          <w:p w14:paraId="33B93CC4">
            <w:pPr>
              <w:pStyle w:val="11"/>
            </w:pPr>
          </w:p>
        </w:tc>
        <w:tc>
          <w:tcPr>
            <w:tcW w:w="964" w:type="dxa"/>
            <w:vAlign w:val="center"/>
          </w:tcPr>
          <w:p w14:paraId="3FD307F7">
            <w:pPr>
              <w:pStyle w:val="11"/>
            </w:pPr>
          </w:p>
        </w:tc>
        <w:tc>
          <w:tcPr>
            <w:tcW w:w="964" w:type="dxa"/>
            <w:vAlign w:val="center"/>
          </w:tcPr>
          <w:p w14:paraId="101C3CDD">
            <w:pPr>
              <w:pStyle w:val="11"/>
            </w:pPr>
            <w:r>
              <w:t>1.00</w:t>
            </w:r>
          </w:p>
        </w:tc>
      </w:tr>
      <w:tr w14:paraId="4DA7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03CF0D">
            <w:pPr>
              <w:pStyle w:val="12"/>
            </w:pPr>
            <w:r>
              <w:t>冀财教[2025]147号/省级/2026年义教补助经费/北楼校区尧张小学公用经费</w:t>
            </w:r>
          </w:p>
        </w:tc>
        <w:tc>
          <w:tcPr>
            <w:tcW w:w="964" w:type="dxa"/>
            <w:vAlign w:val="center"/>
          </w:tcPr>
          <w:p w14:paraId="3141B2DD">
            <w:pPr>
              <w:pStyle w:val="11"/>
            </w:pPr>
            <w:r>
              <w:t>7.47</w:t>
            </w:r>
          </w:p>
        </w:tc>
        <w:tc>
          <w:tcPr>
            <w:tcW w:w="1134" w:type="dxa"/>
            <w:vAlign w:val="center"/>
          </w:tcPr>
          <w:p w14:paraId="1464B13B">
            <w:pPr>
              <w:pStyle w:val="12"/>
            </w:pPr>
            <w:r>
              <w:t>文件柜</w:t>
            </w:r>
          </w:p>
        </w:tc>
        <w:tc>
          <w:tcPr>
            <w:tcW w:w="1134" w:type="dxa"/>
            <w:vAlign w:val="center"/>
          </w:tcPr>
          <w:p w14:paraId="693D961A">
            <w:pPr>
              <w:pStyle w:val="12"/>
            </w:pPr>
            <w:r>
              <w:t>A05010502</w:t>
            </w:r>
          </w:p>
        </w:tc>
        <w:tc>
          <w:tcPr>
            <w:tcW w:w="709" w:type="dxa"/>
            <w:vAlign w:val="center"/>
          </w:tcPr>
          <w:p w14:paraId="6E8C4911">
            <w:pPr>
              <w:pStyle w:val="13"/>
            </w:pPr>
            <w:r>
              <w:t>万元</w:t>
            </w:r>
          </w:p>
        </w:tc>
        <w:tc>
          <w:tcPr>
            <w:tcW w:w="850" w:type="dxa"/>
            <w:vAlign w:val="center"/>
          </w:tcPr>
          <w:p w14:paraId="18C4FD8D">
            <w:pPr>
              <w:pStyle w:val="11"/>
            </w:pPr>
            <w:r>
              <w:t>1</w:t>
            </w:r>
          </w:p>
        </w:tc>
        <w:tc>
          <w:tcPr>
            <w:tcW w:w="850" w:type="dxa"/>
            <w:vAlign w:val="center"/>
          </w:tcPr>
          <w:p w14:paraId="5330208D">
            <w:pPr>
              <w:pStyle w:val="11"/>
            </w:pPr>
            <w:r>
              <w:t>0.03</w:t>
            </w:r>
          </w:p>
        </w:tc>
        <w:tc>
          <w:tcPr>
            <w:tcW w:w="964" w:type="dxa"/>
            <w:vAlign w:val="center"/>
          </w:tcPr>
          <w:p w14:paraId="63A4FC7F">
            <w:pPr>
              <w:pStyle w:val="11"/>
            </w:pPr>
            <w:r>
              <w:t>0.03</w:t>
            </w:r>
          </w:p>
        </w:tc>
        <w:tc>
          <w:tcPr>
            <w:tcW w:w="964" w:type="dxa"/>
            <w:vAlign w:val="center"/>
          </w:tcPr>
          <w:p w14:paraId="6C9187DB">
            <w:pPr>
              <w:pStyle w:val="11"/>
            </w:pPr>
            <w:r>
              <w:t>0.03</w:t>
            </w:r>
          </w:p>
        </w:tc>
        <w:tc>
          <w:tcPr>
            <w:tcW w:w="964" w:type="dxa"/>
            <w:vAlign w:val="center"/>
          </w:tcPr>
          <w:p w14:paraId="6ADDA1E7">
            <w:pPr>
              <w:pStyle w:val="11"/>
            </w:pPr>
          </w:p>
        </w:tc>
        <w:tc>
          <w:tcPr>
            <w:tcW w:w="964" w:type="dxa"/>
            <w:vAlign w:val="center"/>
          </w:tcPr>
          <w:p w14:paraId="10107D8F">
            <w:pPr>
              <w:pStyle w:val="11"/>
            </w:pPr>
          </w:p>
        </w:tc>
        <w:tc>
          <w:tcPr>
            <w:tcW w:w="964" w:type="dxa"/>
            <w:vAlign w:val="center"/>
          </w:tcPr>
          <w:p w14:paraId="0BD9FA82">
            <w:pPr>
              <w:pStyle w:val="11"/>
            </w:pPr>
          </w:p>
        </w:tc>
        <w:tc>
          <w:tcPr>
            <w:tcW w:w="964" w:type="dxa"/>
            <w:vAlign w:val="center"/>
          </w:tcPr>
          <w:p w14:paraId="22E92416">
            <w:pPr>
              <w:pStyle w:val="11"/>
            </w:pPr>
          </w:p>
        </w:tc>
        <w:tc>
          <w:tcPr>
            <w:tcW w:w="964" w:type="dxa"/>
            <w:vAlign w:val="center"/>
          </w:tcPr>
          <w:p w14:paraId="22CDCDC6">
            <w:pPr>
              <w:pStyle w:val="11"/>
            </w:pPr>
          </w:p>
        </w:tc>
        <w:tc>
          <w:tcPr>
            <w:tcW w:w="964" w:type="dxa"/>
            <w:vAlign w:val="center"/>
          </w:tcPr>
          <w:p w14:paraId="6E40E310">
            <w:pPr>
              <w:pStyle w:val="11"/>
            </w:pPr>
          </w:p>
        </w:tc>
        <w:tc>
          <w:tcPr>
            <w:tcW w:w="964" w:type="dxa"/>
            <w:vAlign w:val="center"/>
          </w:tcPr>
          <w:p w14:paraId="53ECA779">
            <w:pPr>
              <w:pStyle w:val="11"/>
            </w:pPr>
            <w:r>
              <w:t>0.03</w:t>
            </w:r>
          </w:p>
        </w:tc>
      </w:tr>
    </w:tbl>
    <w:p w14:paraId="47399DC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6D2BB1">
      <w:pPr>
        <w:spacing w:before="0" w:after="0"/>
        <w:ind w:firstLine="640"/>
        <w:jc w:val="left"/>
        <w:outlineLvl w:val="9"/>
      </w:pPr>
      <w:r>
        <w:rPr>
          <w:rFonts w:ascii="Times New Roman" w:hAnsi="Times New Roman" w:eastAsia="方正仿宋_GBK" w:cs="Times New Roman"/>
          <w:color w:val="000000"/>
          <w:sz w:val="32"/>
        </w:rPr>
        <w:t xml:space="preserve"> </w:t>
      </w:r>
    </w:p>
    <w:p w14:paraId="79114607">
      <w:pPr>
        <w:spacing w:before="10" w:after="10" w:line="240" w:lineRule="auto"/>
        <w:ind w:firstLine="640"/>
        <w:jc w:val="left"/>
        <w:outlineLvl w:val="5"/>
      </w:pPr>
      <w:r>
        <w:rPr>
          <w:rFonts w:ascii="黑体" w:hAnsi="黑体" w:eastAsia="黑体" w:cs="黑体"/>
          <w:color w:val="000000"/>
          <w:sz w:val="32"/>
        </w:rPr>
        <w:t>七、国有资产信息</w:t>
      </w:r>
    </w:p>
    <w:p w14:paraId="4221AA6C">
      <w:pPr>
        <w:spacing w:before="0" w:after="0" w:line="500" w:lineRule="exact"/>
        <w:ind w:firstLine="560"/>
        <w:jc w:val="left"/>
        <w:outlineLvl w:val="9"/>
      </w:pPr>
      <w:r>
        <w:rPr>
          <w:rFonts w:ascii="Times New Roman" w:hAnsi="Times New Roman" w:eastAsia="方正仿宋_GBK" w:cs="Times New Roman"/>
          <w:b w:val="0"/>
          <w:color w:val="000000"/>
          <w:sz w:val="28"/>
        </w:rPr>
        <w:t>隆尧县北楼校区上年末固定资产金额为3908.61万元（详见下表）。本年度拟购置固定资产总额为31.91万元，已按要求列入政府采购预算，详见政府采购预算表。</w:t>
      </w:r>
    </w:p>
    <w:p w14:paraId="34FDF92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28C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B6EF31">
            <w:pPr>
              <w:pStyle w:val="9"/>
            </w:pPr>
            <w:r>
              <w:t>360018隆尧县北楼校区</w:t>
            </w:r>
          </w:p>
        </w:tc>
        <w:tc>
          <w:tcPr>
            <w:tcW w:w="5670" w:type="dxa"/>
            <w:gridSpan w:val="2"/>
            <w:tcBorders>
              <w:top w:val="single" w:color="FFFFFF" w:sz="6" w:space="0"/>
              <w:left w:val="single" w:color="FFFFFF" w:sz="6" w:space="0"/>
              <w:right w:val="single" w:color="FFFFFF" w:sz="6" w:space="0"/>
            </w:tcBorders>
            <w:vAlign w:val="center"/>
          </w:tcPr>
          <w:p w14:paraId="23D5EA24">
            <w:pPr>
              <w:pStyle w:val="7"/>
            </w:pPr>
            <w:r>
              <w:t>截止时间：2025-12-31</w:t>
            </w:r>
          </w:p>
        </w:tc>
      </w:tr>
      <w:tr w14:paraId="2486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97957D8">
            <w:pPr>
              <w:pStyle w:val="10"/>
            </w:pPr>
            <w:r>
              <w:t>项   目</w:t>
            </w:r>
          </w:p>
        </w:tc>
        <w:tc>
          <w:tcPr>
            <w:tcW w:w="2835" w:type="dxa"/>
            <w:vAlign w:val="center"/>
          </w:tcPr>
          <w:p w14:paraId="2DC3D13F">
            <w:pPr>
              <w:pStyle w:val="10"/>
            </w:pPr>
            <w:r>
              <w:t>数量</w:t>
            </w:r>
          </w:p>
        </w:tc>
        <w:tc>
          <w:tcPr>
            <w:tcW w:w="2835" w:type="dxa"/>
            <w:vAlign w:val="center"/>
          </w:tcPr>
          <w:p w14:paraId="5B2457C9">
            <w:pPr>
              <w:pStyle w:val="10"/>
            </w:pPr>
            <w:r>
              <w:t>价值（金额单位：万元）</w:t>
            </w:r>
          </w:p>
        </w:tc>
      </w:tr>
      <w:tr w14:paraId="502E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EE5D2E">
            <w:pPr>
              <w:pStyle w:val="12"/>
            </w:pPr>
            <w:r>
              <w:t>资产总额</w:t>
            </w:r>
          </w:p>
        </w:tc>
        <w:tc>
          <w:tcPr>
            <w:tcW w:w="2835" w:type="dxa"/>
            <w:vAlign w:val="center"/>
          </w:tcPr>
          <w:p w14:paraId="3470EC30">
            <w:pPr>
              <w:pStyle w:val="13"/>
            </w:pPr>
          </w:p>
        </w:tc>
        <w:tc>
          <w:tcPr>
            <w:tcW w:w="2835" w:type="dxa"/>
            <w:vAlign w:val="center"/>
          </w:tcPr>
          <w:p w14:paraId="6CF8E744">
            <w:pPr>
              <w:pStyle w:val="11"/>
            </w:pPr>
            <w:r>
              <w:t>3908.61</w:t>
            </w:r>
          </w:p>
        </w:tc>
      </w:tr>
      <w:tr w14:paraId="58CB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25213B">
            <w:pPr>
              <w:pStyle w:val="12"/>
            </w:pPr>
            <w:r>
              <w:t>1、房屋（平方米）</w:t>
            </w:r>
          </w:p>
        </w:tc>
        <w:tc>
          <w:tcPr>
            <w:tcW w:w="2835" w:type="dxa"/>
            <w:vAlign w:val="center"/>
          </w:tcPr>
          <w:p w14:paraId="78D2C1B1">
            <w:pPr>
              <w:pStyle w:val="13"/>
            </w:pPr>
            <w:r>
              <w:t>21323.36</w:t>
            </w:r>
          </w:p>
        </w:tc>
        <w:tc>
          <w:tcPr>
            <w:tcW w:w="2835" w:type="dxa"/>
            <w:vAlign w:val="center"/>
          </w:tcPr>
          <w:p w14:paraId="737B7461">
            <w:pPr>
              <w:pStyle w:val="11"/>
            </w:pPr>
            <w:r>
              <w:t>1887.45</w:t>
            </w:r>
          </w:p>
        </w:tc>
      </w:tr>
      <w:tr w14:paraId="6738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6A1344">
            <w:pPr>
              <w:pStyle w:val="12"/>
            </w:pPr>
            <w:r>
              <w:t>　　其中：办公用房（平方米）</w:t>
            </w:r>
          </w:p>
        </w:tc>
        <w:tc>
          <w:tcPr>
            <w:tcW w:w="2835" w:type="dxa"/>
            <w:vAlign w:val="center"/>
          </w:tcPr>
          <w:p w14:paraId="5912EBD8">
            <w:pPr>
              <w:pStyle w:val="13"/>
            </w:pPr>
            <w:r>
              <w:t>4132</w:t>
            </w:r>
          </w:p>
        </w:tc>
        <w:tc>
          <w:tcPr>
            <w:tcW w:w="2835" w:type="dxa"/>
            <w:vAlign w:val="center"/>
          </w:tcPr>
          <w:p w14:paraId="750146ED">
            <w:pPr>
              <w:pStyle w:val="11"/>
            </w:pPr>
            <w:r>
              <w:t>284.92</w:t>
            </w:r>
          </w:p>
        </w:tc>
      </w:tr>
      <w:tr w14:paraId="2102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D4DE3E">
            <w:pPr>
              <w:pStyle w:val="12"/>
            </w:pPr>
            <w:r>
              <w:t>2、车辆（台、辆）</w:t>
            </w:r>
          </w:p>
        </w:tc>
        <w:tc>
          <w:tcPr>
            <w:tcW w:w="2835" w:type="dxa"/>
            <w:vAlign w:val="center"/>
          </w:tcPr>
          <w:p w14:paraId="0ABC7169">
            <w:pPr>
              <w:pStyle w:val="13"/>
            </w:pPr>
          </w:p>
        </w:tc>
        <w:tc>
          <w:tcPr>
            <w:tcW w:w="2835" w:type="dxa"/>
            <w:vAlign w:val="center"/>
          </w:tcPr>
          <w:p w14:paraId="06E4D300">
            <w:pPr>
              <w:pStyle w:val="11"/>
            </w:pPr>
          </w:p>
        </w:tc>
      </w:tr>
      <w:tr w14:paraId="0E90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6EE5D1">
            <w:pPr>
              <w:pStyle w:val="12"/>
            </w:pPr>
            <w:r>
              <w:t>3、单价在20万元以上的设备</w:t>
            </w:r>
          </w:p>
        </w:tc>
        <w:tc>
          <w:tcPr>
            <w:tcW w:w="2835" w:type="dxa"/>
            <w:vAlign w:val="center"/>
          </w:tcPr>
          <w:p w14:paraId="49F7408F">
            <w:pPr>
              <w:pStyle w:val="13"/>
            </w:pPr>
            <w:r>
              <w:t>2</w:t>
            </w:r>
          </w:p>
        </w:tc>
        <w:tc>
          <w:tcPr>
            <w:tcW w:w="2835" w:type="dxa"/>
            <w:vAlign w:val="center"/>
          </w:tcPr>
          <w:p w14:paraId="23074C0B">
            <w:pPr>
              <w:pStyle w:val="11"/>
            </w:pPr>
            <w:r>
              <w:t>47.27</w:t>
            </w:r>
          </w:p>
        </w:tc>
      </w:tr>
      <w:tr w14:paraId="2C7A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B41FBA">
            <w:pPr>
              <w:pStyle w:val="12"/>
            </w:pPr>
            <w:r>
              <w:t>4、其他固定资产</w:t>
            </w:r>
          </w:p>
        </w:tc>
        <w:tc>
          <w:tcPr>
            <w:tcW w:w="2835" w:type="dxa"/>
            <w:vAlign w:val="center"/>
          </w:tcPr>
          <w:p w14:paraId="0624FBD4">
            <w:pPr>
              <w:pStyle w:val="13"/>
            </w:pPr>
            <w:r>
              <w:t>7851</w:t>
            </w:r>
          </w:p>
        </w:tc>
        <w:tc>
          <w:tcPr>
            <w:tcW w:w="2835" w:type="dxa"/>
            <w:vAlign w:val="center"/>
          </w:tcPr>
          <w:p w14:paraId="15B30833">
            <w:pPr>
              <w:pStyle w:val="11"/>
            </w:pPr>
            <w:r>
              <w:t>1973.89</w:t>
            </w:r>
          </w:p>
        </w:tc>
      </w:tr>
    </w:tbl>
    <w:p w14:paraId="798984F8">
      <w:pPr>
        <w:spacing w:before="0" w:after="0"/>
        <w:ind w:firstLine="640"/>
        <w:jc w:val="left"/>
        <w:outlineLvl w:val="9"/>
      </w:pPr>
      <w:r>
        <w:rPr>
          <w:rFonts w:ascii="Times New Roman" w:hAnsi="Times New Roman" w:eastAsia="方正仿宋_GBK" w:cs="Times New Roman"/>
          <w:color w:val="000000"/>
          <w:sz w:val="32"/>
        </w:rPr>
        <w:t xml:space="preserve"> </w:t>
      </w:r>
    </w:p>
    <w:p w14:paraId="78E9FA3C">
      <w:pPr>
        <w:spacing w:before="10" w:after="10" w:line="240" w:lineRule="auto"/>
        <w:ind w:firstLine="640"/>
        <w:jc w:val="left"/>
        <w:outlineLvl w:val="5"/>
      </w:pPr>
      <w:r>
        <w:rPr>
          <w:rFonts w:ascii="黑体" w:hAnsi="黑体" w:eastAsia="黑体" w:cs="黑体"/>
          <w:color w:val="000000"/>
          <w:sz w:val="32"/>
        </w:rPr>
        <w:t>八、名词解释</w:t>
      </w:r>
    </w:p>
    <w:p w14:paraId="66CC77A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6CB83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A215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72746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92BD5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12203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5F33A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7D31C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D7CF7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7F8FC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633A93">
      <w:pPr>
        <w:spacing w:before="10" w:after="10" w:line="240" w:lineRule="auto"/>
        <w:ind w:firstLine="640"/>
        <w:jc w:val="left"/>
        <w:outlineLvl w:val="5"/>
      </w:pPr>
      <w:r>
        <w:rPr>
          <w:rFonts w:ascii="黑体" w:hAnsi="黑体" w:eastAsia="黑体" w:cs="黑体"/>
          <w:color w:val="000000"/>
          <w:sz w:val="32"/>
        </w:rPr>
        <w:t>九、其他需要说明的事项</w:t>
      </w:r>
    </w:p>
    <w:p w14:paraId="050798F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B75B40F">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十八、隆尧县东良校区收支预算</w:t>
      </w:r>
      <w:bookmarkEnd w:id="17"/>
    </w:p>
    <w:p w14:paraId="64C532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B69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92B899">
            <w:pPr>
              <w:pStyle w:val="9"/>
            </w:pPr>
            <w:r>
              <w:t>360019隆尧县东良校区</w:t>
            </w:r>
          </w:p>
        </w:tc>
        <w:tc>
          <w:tcPr>
            <w:tcW w:w="2126" w:type="dxa"/>
            <w:tcBorders>
              <w:top w:val="single" w:color="FFFFFF" w:sz="6" w:space="0"/>
              <w:left w:val="single" w:color="FFFFFF" w:sz="6" w:space="0"/>
              <w:right w:val="single" w:color="FFFFFF" w:sz="6" w:space="0"/>
            </w:tcBorders>
            <w:vAlign w:val="center"/>
          </w:tcPr>
          <w:p w14:paraId="120EAEC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398504F">
            <w:pPr>
              <w:pStyle w:val="7"/>
            </w:pPr>
            <w:r>
              <w:t>单位：万元</w:t>
            </w:r>
          </w:p>
        </w:tc>
      </w:tr>
      <w:tr w14:paraId="3AF7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7CA59">
            <w:pPr>
              <w:pStyle w:val="10"/>
            </w:pPr>
            <w:r>
              <w:t>序号</w:t>
            </w:r>
          </w:p>
        </w:tc>
        <w:tc>
          <w:tcPr>
            <w:tcW w:w="6661" w:type="dxa"/>
            <w:gridSpan w:val="2"/>
            <w:vAlign w:val="center"/>
          </w:tcPr>
          <w:p w14:paraId="70139308">
            <w:pPr>
              <w:pStyle w:val="10"/>
            </w:pPr>
            <w:r>
              <w:t>收入</w:t>
            </w:r>
          </w:p>
        </w:tc>
        <w:tc>
          <w:tcPr>
            <w:tcW w:w="6661" w:type="dxa"/>
            <w:gridSpan w:val="2"/>
            <w:vAlign w:val="center"/>
          </w:tcPr>
          <w:p w14:paraId="5E502259">
            <w:pPr>
              <w:pStyle w:val="10"/>
            </w:pPr>
            <w:r>
              <w:t>支出</w:t>
            </w:r>
          </w:p>
        </w:tc>
      </w:tr>
      <w:tr w14:paraId="089E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797C4C"/>
        </w:tc>
        <w:tc>
          <w:tcPr>
            <w:tcW w:w="4535" w:type="dxa"/>
            <w:vAlign w:val="center"/>
          </w:tcPr>
          <w:p w14:paraId="7C9E10AC">
            <w:pPr>
              <w:pStyle w:val="10"/>
            </w:pPr>
            <w:r>
              <w:t>项  目</w:t>
            </w:r>
          </w:p>
        </w:tc>
        <w:tc>
          <w:tcPr>
            <w:tcW w:w="2126" w:type="dxa"/>
            <w:vAlign w:val="center"/>
          </w:tcPr>
          <w:p w14:paraId="2C01ADFF">
            <w:pPr>
              <w:pStyle w:val="10"/>
            </w:pPr>
            <w:r>
              <w:t>预算数</w:t>
            </w:r>
          </w:p>
        </w:tc>
        <w:tc>
          <w:tcPr>
            <w:tcW w:w="4535" w:type="dxa"/>
            <w:vAlign w:val="center"/>
          </w:tcPr>
          <w:p w14:paraId="426E13D2">
            <w:pPr>
              <w:pStyle w:val="10"/>
            </w:pPr>
            <w:r>
              <w:t>项  目</w:t>
            </w:r>
          </w:p>
        </w:tc>
        <w:tc>
          <w:tcPr>
            <w:tcW w:w="2126" w:type="dxa"/>
            <w:vAlign w:val="center"/>
          </w:tcPr>
          <w:p w14:paraId="50083D67">
            <w:pPr>
              <w:pStyle w:val="10"/>
            </w:pPr>
            <w:r>
              <w:t>预算数</w:t>
            </w:r>
          </w:p>
        </w:tc>
      </w:tr>
      <w:tr w14:paraId="533B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BB62D">
            <w:pPr>
              <w:pStyle w:val="10"/>
            </w:pPr>
            <w:r>
              <w:t>栏次</w:t>
            </w:r>
          </w:p>
        </w:tc>
        <w:tc>
          <w:tcPr>
            <w:tcW w:w="4535" w:type="dxa"/>
            <w:vAlign w:val="center"/>
          </w:tcPr>
          <w:p w14:paraId="48112B59">
            <w:pPr>
              <w:pStyle w:val="10"/>
            </w:pPr>
            <w:r>
              <w:t>1</w:t>
            </w:r>
          </w:p>
        </w:tc>
        <w:tc>
          <w:tcPr>
            <w:tcW w:w="2126" w:type="dxa"/>
            <w:vAlign w:val="center"/>
          </w:tcPr>
          <w:p w14:paraId="1321A095">
            <w:pPr>
              <w:pStyle w:val="10"/>
            </w:pPr>
            <w:r>
              <w:t>2</w:t>
            </w:r>
          </w:p>
        </w:tc>
        <w:tc>
          <w:tcPr>
            <w:tcW w:w="4535" w:type="dxa"/>
            <w:vAlign w:val="center"/>
          </w:tcPr>
          <w:p w14:paraId="19EEAC58">
            <w:pPr>
              <w:pStyle w:val="10"/>
            </w:pPr>
            <w:r>
              <w:t>3</w:t>
            </w:r>
          </w:p>
        </w:tc>
        <w:tc>
          <w:tcPr>
            <w:tcW w:w="2126" w:type="dxa"/>
            <w:vAlign w:val="center"/>
          </w:tcPr>
          <w:p w14:paraId="709176F2">
            <w:pPr>
              <w:pStyle w:val="10"/>
            </w:pPr>
            <w:r>
              <w:t>4</w:t>
            </w:r>
          </w:p>
        </w:tc>
      </w:tr>
      <w:tr w14:paraId="1AFC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13BB1">
            <w:pPr>
              <w:pStyle w:val="13"/>
            </w:pPr>
            <w:r>
              <w:t>1</w:t>
            </w:r>
          </w:p>
        </w:tc>
        <w:tc>
          <w:tcPr>
            <w:tcW w:w="4535" w:type="dxa"/>
            <w:vAlign w:val="center"/>
          </w:tcPr>
          <w:p w14:paraId="5DA5DE32">
            <w:pPr>
              <w:pStyle w:val="12"/>
            </w:pPr>
            <w:r>
              <w:t>一、一般公共预算拨款收入</w:t>
            </w:r>
          </w:p>
        </w:tc>
        <w:tc>
          <w:tcPr>
            <w:tcW w:w="2126" w:type="dxa"/>
            <w:vAlign w:val="center"/>
          </w:tcPr>
          <w:p w14:paraId="7FE43B09">
            <w:pPr>
              <w:pStyle w:val="11"/>
            </w:pPr>
            <w:r>
              <w:t>2964.50</w:t>
            </w:r>
          </w:p>
        </w:tc>
        <w:tc>
          <w:tcPr>
            <w:tcW w:w="4535" w:type="dxa"/>
            <w:vAlign w:val="center"/>
          </w:tcPr>
          <w:p w14:paraId="1C97E0E0">
            <w:pPr>
              <w:pStyle w:val="12"/>
            </w:pPr>
            <w:r>
              <w:t>一、一般公共服务支出</w:t>
            </w:r>
          </w:p>
        </w:tc>
        <w:tc>
          <w:tcPr>
            <w:tcW w:w="2126" w:type="dxa"/>
            <w:vAlign w:val="center"/>
          </w:tcPr>
          <w:p w14:paraId="243FBB90">
            <w:pPr>
              <w:pStyle w:val="11"/>
            </w:pPr>
          </w:p>
        </w:tc>
      </w:tr>
      <w:tr w14:paraId="73FF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FBE91">
            <w:pPr>
              <w:pStyle w:val="13"/>
            </w:pPr>
            <w:r>
              <w:t>2</w:t>
            </w:r>
          </w:p>
        </w:tc>
        <w:tc>
          <w:tcPr>
            <w:tcW w:w="4535" w:type="dxa"/>
            <w:vAlign w:val="center"/>
          </w:tcPr>
          <w:p w14:paraId="402A906C">
            <w:pPr>
              <w:pStyle w:val="12"/>
            </w:pPr>
            <w:r>
              <w:t>二、政府性基金预算拨款收入</w:t>
            </w:r>
          </w:p>
        </w:tc>
        <w:tc>
          <w:tcPr>
            <w:tcW w:w="2126" w:type="dxa"/>
            <w:vAlign w:val="center"/>
          </w:tcPr>
          <w:p w14:paraId="4B2E0334">
            <w:pPr>
              <w:pStyle w:val="11"/>
            </w:pPr>
          </w:p>
        </w:tc>
        <w:tc>
          <w:tcPr>
            <w:tcW w:w="4535" w:type="dxa"/>
            <w:vAlign w:val="center"/>
          </w:tcPr>
          <w:p w14:paraId="1F2CA978">
            <w:pPr>
              <w:pStyle w:val="12"/>
            </w:pPr>
            <w:r>
              <w:t>二、外交支出</w:t>
            </w:r>
          </w:p>
        </w:tc>
        <w:tc>
          <w:tcPr>
            <w:tcW w:w="2126" w:type="dxa"/>
            <w:vAlign w:val="center"/>
          </w:tcPr>
          <w:p w14:paraId="75107CFE">
            <w:pPr>
              <w:pStyle w:val="11"/>
            </w:pPr>
          </w:p>
        </w:tc>
      </w:tr>
      <w:tr w14:paraId="7919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BC888">
            <w:pPr>
              <w:pStyle w:val="13"/>
            </w:pPr>
            <w:r>
              <w:t>3</w:t>
            </w:r>
          </w:p>
        </w:tc>
        <w:tc>
          <w:tcPr>
            <w:tcW w:w="4535" w:type="dxa"/>
            <w:vAlign w:val="center"/>
          </w:tcPr>
          <w:p w14:paraId="1BEB2715">
            <w:pPr>
              <w:pStyle w:val="12"/>
            </w:pPr>
            <w:r>
              <w:t>三、国有资本经营预算拨款收入</w:t>
            </w:r>
          </w:p>
        </w:tc>
        <w:tc>
          <w:tcPr>
            <w:tcW w:w="2126" w:type="dxa"/>
            <w:vAlign w:val="center"/>
          </w:tcPr>
          <w:p w14:paraId="4D4C1A5A">
            <w:pPr>
              <w:pStyle w:val="11"/>
            </w:pPr>
          </w:p>
        </w:tc>
        <w:tc>
          <w:tcPr>
            <w:tcW w:w="4535" w:type="dxa"/>
            <w:vAlign w:val="center"/>
          </w:tcPr>
          <w:p w14:paraId="01620B06">
            <w:pPr>
              <w:pStyle w:val="12"/>
            </w:pPr>
            <w:r>
              <w:t>三、国防支出</w:t>
            </w:r>
          </w:p>
        </w:tc>
        <w:tc>
          <w:tcPr>
            <w:tcW w:w="2126" w:type="dxa"/>
            <w:vAlign w:val="center"/>
          </w:tcPr>
          <w:p w14:paraId="049C03FD">
            <w:pPr>
              <w:pStyle w:val="11"/>
            </w:pPr>
          </w:p>
        </w:tc>
      </w:tr>
      <w:tr w14:paraId="7DD3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C5A4B">
            <w:pPr>
              <w:pStyle w:val="13"/>
            </w:pPr>
            <w:r>
              <w:t>4</w:t>
            </w:r>
          </w:p>
        </w:tc>
        <w:tc>
          <w:tcPr>
            <w:tcW w:w="4535" w:type="dxa"/>
            <w:vAlign w:val="center"/>
          </w:tcPr>
          <w:p w14:paraId="15538A1F">
            <w:pPr>
              <w:pStyle w:val="12"/>
            </w:pPr>
            <w:r>
              <w:t>四、财政专户管理资金收入</w:t>
            </w:r>
          </w:p>
        </w:tc>
        <w:tc>
          <w:tcPr>
            <w:tcW w:w="2126" w:type="dxa"/>
            <w:vAlign w:val="center"/>
          </w:tcPr>
          <w:p w14:paraId="47EA1E84">
            <w:pPr>
              <w:pStyle w:val="11"/>
            </w:pPr>
          </w:p>
        </w:tc>
        <w:tc>
          <w:tcPr>
            <w:tcW w:w="4535" w:type="dxa"/>
            <w:vAlign w:val="center"/>
          </w:tcPr>
          <w:p w14:paraId="47FAF6C8">
            <w:pPr>
              <w:pStyle w:val="12"/>
            </w:pPr>
            <w:r>
              <w:t>四、公共安全支出</w:t>
            </w:r>
          </w:p>
        </w:tc>
        <w:tc>
          <w:tcPr>
            <w:tcW w:w="2126" w:type="dxa"/>
            <w:vAlign w:val="center"/>
          </w:tcPr>
          <w:p w14:paraId="3CA17903">
            <w:pPr>
              <w:pStyle w:val="11"/>
            </w:pPr>
          </w:p>
        </w:tc>
      </w:tr>
      <w:tr w14:paraId="786F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AABDD">
            <w:pPr>
              <w:pStyle w:val="13"/>
            </w:pPr>
            <w:r>
              <w:t>5</w:t>
            </w:r>
          </w:p>
        </w:tc>
        <w:tc>
          <w:tcPr>
            <w:tcW w:w="4535" w:type="dxa"/>
            <w:vAlign w:val="center"/>
          </w:tcPr>
          <w:p w14:paraId="0896C73C">
            <w:pPr>
              <w:pStyle w:val="12"/>
            </w:pPr>
            <w:r>
              <w:t>五、单位资金</w:t>
            </w:r>
          </w:p>
        </w:tc>
        <w:tc>
          <w:tcPr>
            <w:tcW w:w="2126" w:type="dxa"/>
            <w:vAlign w:val="center"/>
          </w:tcPr>
          <w:p w14:paraId="4DD1B8E8">
            <w:pPr>
              <w:pStyle w:val="11"/>
            </w:pPr>
          </w:p>
        </w:tc>
        <w:tc>
          <w:tcPr>
            <w:tcW w:w="4535" w:type="dxa"/>
            <w:vAlign w:val="center"/>
          </w:tcPr>
          <w:p w14:paraId="221AA5B3">
            <w:pPr>
              <w:pStyle w:val="12"/>
            </w:pPr>
            <w:r>
              <w:t>五、教育支出</w:t>
            </w:r>
          </w:p>
        </w:tc>
        <w:tc>
          <w:tcPr>
            <w:tcW w:w="2126" w:type="dxa"/>
            <w:vAlign w:val="center"/>
          </w:tcPr>
          <w:p w14:paraId="61008E24">
            <w:pPr>
              <w:pStyle w:val="11"/>
            </w:pPr>
            <w:r>
              <w:t>2964.50</w:t>
            </w:r>
          </w:p>
        </w:tc>
      </w:tr>
      <w:tr w14:paraId="232A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153AF">
            <w:pPr>
              <w:pStyle w:val="13"/>
            </w:pPr>
            <w:r>
              <w:t>6</w:t>
            </w:r>
          </w:p>
        </w:tc>
        <w:tc>
          <w:tcPr>
            <w:tcW w:w="4535" w:type="dxa"/>
            <w:vAlign w:val="center"/>
          </w:tcPr>
          <w:p w14:paraId="1ACD4045">
            <w:pPr>
              <w:pStyle w:val="12"/>
            </w:pPr>
          </w:p>
        </w:tc>
        <w:tc>
          <w:tcPr>
            <w:tcW w:w="2126" w:type="dxa"/>
            <w:vAlign w:val="center"/>
          </w:tcPr>
          <w:p w14:paraId="45605A0D">
            <w:pPr>
              <w:pStyle w:val="11"/>
            </w:pPr>
          </w:p>
        </w:tc>
        <w:tc>
          <w:tcPr>
            <w:tcW w:w="4535" w:type="dxa"/>
            <w:vAlign w:val="center"/>
          </w:tcPr>
          <w:p w14:paraId="12B03139">
            <w:pPr>
              <w:pStyle w:val="12"/>
            </w:pPr>
            <w:r>
              <w:t>六、科学技术支出</w:t>
            </w:r>
          </w:p>
        </w:tc>
        <w:tc>
          <w:tcPr>
            <w:tcW w:w="2126" w:type="dxa"/>
            <w:vAlign w:val="center"/>
          </w:tcPr>
          <w:p w14:paraId="500A08D5">
            <w:pPr>
              <w:pStyle w:val="11"/>
            </w:pPr>
          </w:p>
        </w:tc>
      </w:tr>
      <w:tr w14:paraId="7675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12F26">
            <w:pPr>
              <w:pStyle w:val="13"/>
            </w:pPr>
            <w:r>
              <w:t>7</w:t>
            </w:r>
          </w:p>
        </w:tc>
        <w:tc>
          <w:tcPr>
            <w:tcW w:w="4535" w:type="dxa"/>
            <w:vAlign w:val="center"/>
          </w:tcPr>
          <w:p w14:paraId="43004C1E">
            <w:pPr>
              <w:pStyle w:val="12"/>
            </w:pPr>
          </w:p>
        </w:tc>
        <w:tc>
          <w:tcPr>
            <w:tcW w:w="2126" w:type="dxa"/>
            <w:vAlign w:val="center"/>
          </w:tcPr>
          <w:p w14:paraId="09EF6BF9">
            <w:pPr>
              <w:pStyle w:val="11"/>
            </w:pPr>
          </w:p>
        </w:tc>
        <w:tc>
          <w:tcPr>
            <w:tcW w:w="4535" w:type="dxa"/>
            <w:vAlign w:val="center"/>
          </w:tcPr>
          <w:p w14:paraId="0D58C8D4">
            <w:pPr>
              <w:pStyle w:val="12"/>
            </w:pPr>
            <w:r>
              <w:t>七、文化旅游体育与传媒支出</w:t>
            </w:r>
          </w:p>
        </w:tc>
        <w:tc>
          <w:tcPr>
            <w:tcW w:w="2126" w:type="dxa"/>
            <w:vAlign w:val="center"/>
          </w:tcPr>
          <w:p w14:paraId="2A4B9513">
            <w:pPr>
              <w:pStyle w:val="11"/>
            </w:pPr>
          </w:p>
        </w:tc>
      </w:tr>
      <w:tr w14:paraId="5300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4EB5">
            <w:pPr>
              <w:pStyle w:val="13"/>
            </w:pPr>
            <w:r>
              <w:t>8</w:t>
            </w:r>
          </w:p>
        </w:tc>
        <w:tc>
          <w:tcPr>
            <w:tcW w:w="4535" w:type="dxa"/>
            <w:vAlign w:val="center"/>
          </w:tcPr>
          <w:p w14:paraId="38AB4619">
            <w:pPr>
              <w:pStyle w:val="12"/>
            </w:pPr>
          </w:p>
        </w:tc>
        <w:tc>
          <w:tcPr>
            <w:tcW w:w="2126" w:type="dxa"/>
            <w:vAlign w:val="center"/>
          </w:tcPr>
          <w:p w14:paraId="7B59D2F5">
            <w:pPr>
              <w:pStyle w:val="11"/>
            </w:pPr>
          </w:p>
        </w:tc>
        <w:tc>
          <w:tcPr>
            <w:tcW w:w="4535" w:type="dxa"/>
            <w:vAlign w:val="center"/>
          </w:tcPr>
          <w:p w14:paraId="542682C2">
            <w:pPr>
              <w:pStyle w:val="12"/>
            </w:pPr>
            <w:r>
              <w:t>八、社会保障和就业支出</w:t>
            </w:r>
          </w:p>
        </w:tc>
        <w:tc>
          <w:tcPr>
            <w:tcW w:w="2126" w:type="dxa"/>
            <w:vAlign w:val="center"/>
          </w:tcPr>
          <w:p w14:paraId="2930E5AB">
            <w:pPr>
              <w:pStyle w:val="11"/>
            </w:pPr>
          </w:p>
        </w:tc>
      </w:tr>
      <w:tr w14:paraId="0019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3CCA7">
            <w:pPr>
              <w:pStyle w:val="13"/>
            </w:pPr>
            <w:r>
              <w:t>9</w:t>
            </w:r>
          </w:p>
        </w:tc>
        <w:tc>
          <w:tcPr>
            <w:tcW w:w="4535" w:type="dxa"/>
            <w:vAlign w:val="center"/>
          </w:tcPr>
          <w:p w14:paraId="50699A07">
            <w:pPr>
              <w:pStyle w:val="12"/>
            </w:pPr>
          </w:p>
        </w:tc>
        <w:tc>
          <w:tcPr>
            <w:tcW w:w="2126" w:type="dxa"/>
            <w:vAlign w:val="center"/>
          </w:tcPr>
          <w:p w14:paraId="435FD66C">
            <w:pPr>
              <w:pStyle w:val="11"/>
            </w:pPr>
          </w:p>
        </w:tc>
        <w:tc>
          <w:tcPr>
            <w:tcW w:w="4535" w:type="dxa"/>
            <w:vAlign w:val="center"/>
          </w:tcPr>
          <w:p w14:paraId="1F922B2C">
            <w:pPr>
              <w:pStyle w:val="12"/>
            </w:pPr>
            <w:r>
              <w:t>九、社会保险基金支出</w:t>
            </w:r>
          </w:p>
        </w:tc>
        <w:tc>
          <w:tcPr>
            <w:tcW w:w="2126" w:type="dxa"/>
            <w:vAlign w:val="center"/>
          </w:tcPr>
          <w:p w14:paraId="5513E080">
            <w:pPr>
              <w:pStyle w:val="11"/>
            </w:pPr>
          </w:p>
        </w:tc>
      </w:tr>
      <w:tr w14:paraId="074C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2042">
            <w:pPr>
              <w:pStyle w:val="13"/>
            </w:pPr>
            <w:r>
              <w:t>10</w:t>
            </w:r>
          </w:p>
        </w:tc>
        <w:tc>
          <w:tcPr>
            <w:tcW w:w="4535" w:type="dxa"/>
            <w:vAlign w:val="center"/>
          </w:tcPr>
          <w:p w14:paraId="1B07BECA">
            <w:pPr>
              <w:pStyle w:val="12"/>
            </w:pPr>
          </w:p>
        </w:tc>
        <w:tc>
          <w:tcPr>
            <w:tcW w:w="2126" w:type="dxa"/>
            <w:vAlign w:val="center"/>
          </w:tcPr>
          <w:p w14:paraId="0C7C4902">
            <w:pPr>
              <w:pStyle w:val="11"/>
            </w:pPr>
          </w:p>
        </w:tc>
        <w:tc>
          <w:tcPr>
            <w:tcW w:w="4535" w:type="dxa"/>
            <w:vAlign w:val="center"/>
          </w:tcPr>
          <w:p w14:paraId="32818652">
            <w:pPr>
              <w:pStyle w:val="12"/>
            </w:pPr>
            <w:r>
              <w:t>十、卫生健康支出</w:t>
            </w:r>
          </w:p>
        </w:tc>
        <w:tc>
          <w:tcPr>
            <w:tcW w:w="2126" w:type="dxa"/>
            <w:vAlign w:val="center"/>
          </w:tcPr>
          <w:p w14:paraId="035E43FB">
            <w:pPr>
              <w:pStyle w:val="11"/>
            </w:pPr>
          </w:p>
        </w:tc>
      </w:tr>
      <w:tr w14:paraId="7626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77FE9">
            <w:pPr>
              <w:pStyle w:val="13"/>
            </w:pPr>
            <w:r>
              <w:t>11</w:t>
            </w:r>
          </w:p>
        </w:tc>
        <w:tc>
          <w:tcPr>
            <w:tcW w:w="4535" w:type="dxa"/>
            <w:vAlign w:val="center"/>
          </w:tcPr>
          <w:p w14:paraId="447992FC">
            <w:pPr>
              <w:pStyle w:val="12"/>
            </w:pPr>
          </w:p>
        </w:tc>
        <w:tc>
          <w:tcPr>
            <w:tcW w:w="2126" w:type="dxa"/>
            <w:vAlign w:val="center"/>
          </w:tcPr>
          <w:p w14:paraId="54EE27F0">
            <w:pPr>
              <w:pStyle w:val="11"/>
            </w:pPr>
          </w:p>
        </w:tc>
        <w:tc>
          <w:tcPr>
            <w:tcW w:w="4535" w:type="dxa"/>
            <w:vAlign w:val="center"/>
          </w:tcPr>
          <w:p w14:paraId="0CF09527">
            <w:pPr>
              <w:pStyle w:val="12"/>
            </w:pPr>
            <w:r>
              <w:t>十一、节能环保支出</w:t>
            </w:r>
          </w:p>
        </w:tc>
        <w:tc>
          <w:tcPr>
            <w:tcW w:w="2126" w:type="dxa"/>
            <w:vAlign w:val="center"/>
          </w:tcPr>
          <w:p w14:paraId="241DDAB3">
            <w:pPr>
              <w:pStyle w:val="11"/>
            </w:pPr>
          </w:p>
        </w:tc>
      </w:tr>
      <w:tr w14:paraId="49A2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4AE4">
            <w:pPr>
              <w:pStyle w:val="13"/>
            </w:pPr>
            <w:r>
              <w:t>12</w:t>
            </w:r>
          </w:p>
        </w:tc>
        <w:tc>
          <w:tcPr>
            <w:tcW w:w="4535" w:type="dxa"/>
            <w:vAlign w:val="center"/>
          </w:tcPr>
          <w:p w14:paraId="3BC34E16">
            <w:pPr>
              <w:pStyle w:val="12"/>
            </w:pPr>
          </w:p>
        </w:tc>
        <w:tc>
          <w:tcPr>
            <w:tcW w:w="2126" w:type="dxa"/>
            <w:vAlign w:val="center"/>
          </w:tcPr>
          <w:p w14:paraId="53A815BF">
            <w:pPr>
              <w:pStyle w:val="11"/>
            </w:pPr>
          </w:p>
        </w:tc>
        <w:tc>
          <w:tcPr>
            <w:tcW w:w="4535" w:type="dxa"/>
            <w:vAlign w:val="center"/>
          </w:tcPr>
          <w:p w14:paraId="45827EEF">
            <w:pPr>
              <w:pStyle w:val="12"/>
            </w:pPr>
            <w:r>
              <w:t>十二、城乡社区支出</w:t>
            </w:r>
          </w:p>
        </w:tc>
        <w:tc>
          <w:tcPr>
            <w:tcW w:w="2126" w:type="dxa"/>
            <w:vAlign w:val="center"/>
          </w:tcPr>
          <w:p w14:paraId="04E57458">
            <w:pPr>
              <w:pStyle w:val="11"/>
            </w:pPr>
          </w:p>
        </w:tc>
      </w:tr>
      <w:tr w14:paraId="7DE1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9D43E">
            <w:pPr>
              <w:pStyle w:val="13"/>
            </w:pPr>
            <w:r>
              <w:t>13</w:t>
            </w:r>
          </w:p>
        </w:tc>
        <w:tc>
          <w:tcPr>
            <w:tcW w:w="4535" w:type="dxa"/>
            <w:vAlign w:val="center"/>
          </w:tcPr>
          <w:p w14:paraId="24B69294">
            <w:pPr>
              <w:pStyle w:val="12"/>
            </w:pPr>
          </w:p>
        </w:tc>
        <w:tc>
          <w:tcPr>
            <w:tcW w:w="2126" w:type="dxa"/>
            <w:vAlign w:val="center"/>
          </w:tcPr>
          <w:p w14:paraId="0CC245D4">
            <w:pPr>
              <w:pStyle w:val="11"/>
            </w:pPr>
          </w:p>
        </w:tc>
        <w:tc>
          <w:tcPr>
            <w:tcW w:w="4535" w:type="dxa"/>
            <w:vAlign w:val="center"/>
          </w:tcPr>
          <w:p w14:paraId="3562EFE1">
            <w:pPr>
              <w:pStyle w:val="12"/>
            </w:pPr>
            <w:r>
              <w:t>十三、农林水支出</w:t>
            </w:r>
          </w:p>
        </w:tc>
        <w:tc>
          <w:tcPr>
            <w:tcW w:w="2126" w:type="dxa"/>
            <w:vAlign w:val="center"/>
          </w:tcPr>
          <w:p w14:paraId="45B949D1">
            <w:pPr>
              <w:pStyle w:val="11"/>
            </w:pPr>
          </w:p>
        </w:tc>
      </w:tr>
      <w:tr w14:paraId="6889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E096">
            <w:pPr>
              <w:pStyle w:val="13"/>
            </w:pPr>
            <w:r>
              <w:t>14</w:t>
            </w:r>
          </w:p>
        </w:tc>
        <w:tc>
          <w:tcPr>
            <w:tcW w:w="4535" w:type="dxa"/>
            <w:vAlign w:val="center"/>
          </w:tcPr>
          <w:p w14:paraId="01CEA543">
            <w:pPr>
              <w:pStyle w:val="12"/>
            </w:pPr>
          </w:p>
        </w:tc>
        <w:tc>
          <w:tcPr>
            <w:tcW w:w="2126" w:type="dxa"/>
            <w:vAlign w:val="center"/>
          </w:tcPr>
          <w:p w14:paraId="1D42C0C6">
            <w:pPr>
              <w:pStyle w:val="11"/>
            </w:pPr>
          </w:p>
        </w:tc>
        <w:tc>
          <w:tcPr>
            <w:tcW w:w="4535" w:type="dxa"/>
            <w:vAlign w:val="center"/>
          </w:tcPr>
          <w:p w14:paraId="055B7E58">
            <w:pPr>
              <w:pStyle w:val="12"/>
            </w:pPr>
            <w:r>
              <w:t>十四、交通运输支出</w:t>
            </w:r>
          </w:p>
        </w:tc>
        <w:tc>
          <w:tcPr>
            <w:tcW w:w="2126" w:type="dxa"/>
            <w:vAlign w:val="center"/>
          </w:tcPr>
          <w:p w14:paraId="012EC68F">
            <w:pPr>
              <w:pStyle w:val="11"/>
            </w:pPr>
          </w:p>
        </w:tc>
      </w:tr>
      <w:tr w14:paraId="49F4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5865">
            <w:pPr>
              <w:pStyle w:val="13"/>
            </w:pPr>
            <w:r>
              <w:t>15</w:t>
            </w:r>
          </w:p>
        </w:tc>
        <w:tc>
          <w:tcPr>
            <w:tcW w:w="4535" w:type="dxa"/>
            <w:vAlign w:val="center"/>
          </w:tcPr>
          <w:p w14:paraId="4B66A16B">
            <w:pPr>
              <w:pStyle w:val="12"/>
            </w:pPr>
          </w:p>
        </w:tc>
        <w:tc>
          <w:tcPr>
            <w:tcW w:w="2126" w:type="dxa"/>
            <w:vAlign w:val="center"/>
          </w:tcPr>
          <w:p w14:paraId="3D905F06">
            <w:pPr>
              <w:pStyle w:val="11"/>
            </w:pPr>
          </w:p>
        </w:tc>
        <w:tc>
          <w:tcPr>
            <w:tcW w:w="4535" w:type="dxa"/>
            <w:vAlign w:val="center"/>
          </w:tcPr>
          <w:p w14:paraId="38B8189C">
            <w:pPr>
              <w:pStyle w:val="12"/>
            </w:pPr>
            <w:r>
              <w:t>十五、资源勘探工业信息等支出</w:t>
            </w:r>
          </w:p>
        </w:tc>
        <w:tc>
          <w:tcPr>
            <w:tcW w:w="2126" w:type="dxa"/>
            <w:vAlign w:val="center"/>
          </w:tcPr>
          <w:p w14:paraId="4881ECF9">
            <w:pPr>
              <w:pStyle w:val="11"/>
            </w:pPr>
          </w:p>
        </w:tc>
      </w:tr>
      <w:tr w14:paraId="21FC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56BA6">
            <w:pPr>
              <w:pStyle w:val="13"/>
            </w:pPr>
            <w:r>
              <w:t>16</w:t>
            </w:r>
          </w:p>
        </w:tc>
        <w:tc>
          <w:tcPr>
            <w:tcW w:w="4535" w:type="dxa"/>
            <w:vAlign w:val="center"/>
          </w:tcPr>
          <w:p w14:paraId="3B89F922">
            <w:pPr>
              <w:pStyle w:val="12"/>
            </w:pPr>
          </w:p>
        </w:tc>
        <w:tc>
          <w:tcPr>
            <w:tcW w:w="2126" w:type="dxa"/>
            <w:vAlign w:val="center"/>
          </w:tcPr>
          <w:p w14:paraId="378851E3">
            <w:pPr>
              <w:pStyle w:val="11"/>
            </w:pPr>
          </w:p>
        </w:tc>
        <w:tc>
          <w:tcPr>
            <w:tcW w:w="4535" w:type="dxa"/>
            <w:vAlign w:val="center"/>
          </w:tcPr>
          <w:p w14:paraId="51693613">
            <w:pPr>
              <w:pStyle w:val="12"/>
            </w:pPr>
            <w:r>
              <w:t>十六、商业服务业等支出</w:t>
            </w:r>
          </w:p>
        </w:tc>
        <w:tc>
          <w:tcPr>
            <w:tcW w:w="2126" w:type="dxa"/>
            <w:vAlign w:val="center"/>
          </w:tcPr>
          <w:p w14:paraId="426453C2">
            <w:pPr>
              <w:pStyle w:val="11"/>
            </w:pPr>
          </w:p>
        </w:tc>
      </w:tr>
      <w:tr w14:paraId="6672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AC77B">
            <w:pPr>
              <w:pStyle w:val="13"/>
            </w:pPr>
            <w:r>
              <w:t>17</w:t>
            </w:r>
          </w:p>
        </w:tc>
        <w:tc>
          <w:tcPr>
            <w:tcW w:w="4535" w:type="dxa"/>
            <w:vAlign w:val="center"/>
          </w:tcPr>
          <w:p w14:paraId="2E3675A7">
            <w:pPr>
              <w:pStyle w:val="12"/>
            </w:pPr>
          </w:p>
        </w:tc>
        <w:tc>
          <w:tcPr>
            <w:tcW w:w="2126" w:type="dxa"/>
            <w:vAlign w:val="center"/>
          </w:tcPr>
          <w:p w14:paraId="7A28F66A">
            <w:pPr>
              <w:pStyle w:val="11"/>
            </w:pPr>
          </w:p>
        </w:tc>
        <w:tc>
          <w:tcPr>
            <w:tcW w:w="4535" w:type="dxa"/>
            <w:vAlign w:val="center"/>
          </w:tcPr>
          <w:p w14:paraId="4F86220A">
            <w:pPr>
              <w:pStyle w:val="12"/>
            </w:pPr>
            <w:r>
              <w:t>十七、金融支出</w:t>
            </w:r>
          </w:p>
        </w:tc>
        <w:tc>
          <w:tcPr>
            <w:tcW w:w="2126" w:type="dxa"/>
            <w:vAlign w:val="center"/>
          </w:tcPr>
          <w:p w14:paraId="60EEE7D1">
            <w:pPr>
              <w:pStyle w:val="11"/>
            </w:pPr>
          </w:p>
        </w:tc>
      </w:tr>
      <w:tr w14:paraId="0B79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C9E9">
            <w:pPr>
              <w:pStyle w:val="13"/>
            </w:pPr>
            <w:r>
              <w:t>18</w:t>
            </w:r>
          </w:p>
        </w:tc>
        <w:tc>
          <w:tcPr>
            <w:tcW w:w="4535" w:type="dxa"/>
            <w:vAlign w:val="center"/>
          </w:tcPr>
          <w:p w14:paraId="7D615675">
            <w:pPr>
              <w:pStyle w:val="12"/>
            </w:pPr>
          </w:p>
        </w:tc>
        <w:tc>
          <w:tcPr>
            <w:tcW w:w="2126" w:type="dxa"/>
            <w:vAlign w:val="center"/>
          </w:tcPr>
          <w:p w14:paraId="2C800544">
            <w:pPr>
              <w:pStyle w:val="11"/>
            </w:pPr>
          </w:p>
        </w:tc>
        <w:tc>
          <w:tcPr>
            <w:tcW w:w="4535" w:type="dxa"/>
            <w:vAlign w:val="center"/>
          </w:tcPr>
          <w:p w14:paraId="426DC257">
            <w:pPr>
              <w:pStyle w:val="12"/>
            </w:pPr>
            <w:r>
              <w:t>十八、援助其他地区支出</w:t>
            </w:r>
          </w:p>
        </w:tc>
        <w:tc>
          <w:tcPr>
            <w:tcW w:w="2126" w:type="dxa"/>
            <w:vAlign w:val="center"/>
          </w:tcPr>
          <w:p w14:paraId="4DC75723">
            <w:pPr>
              <w:pStyle w:val="11"/>
            </w:pPr>
          </w:p>
        </w:tc>
      </w:tr>
      <w:tr w14:paraId="1E15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3781A">
            <w:pPr>
              <w:pStyle w:val="13"/>
            </w:pPr>
            <w:r>
              <w:t>19</w:t>
            </w:r>
          </w:p>
        </w:tc>
        <w:tc>
          <w:tcPr>
            <w:tcW w:w="4535" w:type="dxa"/>
            <w:vAlign w:val="center"/>
          </w:tcPr>
          <w:p w14:paraId="5C591E62">
            <w:pPr>
              <w:pStyle w:val="12"/>
            </w:pPr>
          </w:p>
        </w:tc>
        <w:tc>
          <w:tcPr>
            <w:tcW w:w="2126" w:type="dxa"/>
            <w:vAlign w:val="center"/>
          </w:tcPr>
          <w:p w14:paraId="16C3FCD8">
            <w:pPr>
              <w:pStyle w:val="11"/>
            </w:pPr>
          </w:p>
        </w:tc>
        <w:tc>
          <w:tcPr>
            <w:tcW w:w="4535" w:type="dxa"/>
            <w:vAlign w:val="center"/>
          </w:tcPr>
          <w:p w14:paraId="23210D99">
            <w:pPr>
              <w:pStyle w:val="12"/>
            </w:pPr>
            <w:r>
              <w:t>十九、自然资源海洋气象等支出</w:t>
            </w:r>
          </w:p>
        </w:tc>
        <w:tc>
          <w:tcPr>
            <w:tcW w:w="2126" w:type="dxa"/>
            <w:vAlign w:val="center"/>
          </w:tcPr>
          <w:p w14:paraId="785CF18F">
            <w:pPr>
              <w:pStyle w:val="11"/>
            </w:pPr>
          </w:p>
        </w:tc>
      </w:tr>
      <w:tr w14:paraId="2794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4F75">
            <w:pPr>
              <w:pStyle w:val="13"/>
            </w:pPr>
            <w:r>
              <w:t>20</w:t>
            </w:r>
          </w:p>
        </w:tc>
        <w:tc>
          <w:tcPr>
            <w:tcW w:w="4535" w:type="dxa"/>
            <w:vAlign w:val="center"/>
          </w:tcPr>
          <w:p w14:paraId="0FA6236C">
            <w:pPr>
              <w:pStyle w:val="12"/>
            </w:pPr>
          </w:p>
        </w:tc>
        <w:tc>
          <w:tcPr>
            <w:tcW w:w="2126" w:type="dxa"/>
            <w:vAlign w:val="center"/>
          </w:tcPr>
          <w:p w14:paraId="158D1167">
            <w:pPr>
              <w:pStyle w:val="11"/>
            </w:pPr>
          </w:p>
        </w:tc>
        <w:tc>
          <w:tcPr>
            <w:tcW w:w="4535" w:type="dxa"/>
            <w:vAlign w:val="center"/>
          </w:tcPr>
          <w:p w14:paraId="33C7CEF9">
            <w:pPr>
              <w:pStyle w:val="12"/>
            </w:pPr>
            <w:r>
              <w:t>二十、住房保障支出</w:t>
            </w:r>
          </w:p>
        </w:tc>
        <w:tc>
          <w:tcPr>
            <w:tcW w:w="2126" w:type="dxa"/>
            <w:vAlign w:val="center"/>
          </w:tcPr>
          <w:p w14:paraId="003C82D0">
            <w:pPr>
              <w:pStyle w:val="11"/>
            </w:pPr>
          </w:p>
        </w:tc>
      </w:tr>
      <w:tr w14:paraId="3490A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A1F16">
            <w:pPr>
              <w:pStyle w:val="13"/>
            </w:pPr>
            <w:r>
              <w:t>21</w:t>
            </w:r>
          </w:p>
        </w:tc>
        <w:tc>
          <w:tcPr>
            <w:tcW w:w="4535" w:type="dxa"/>
            <w:vAlign w:val="center"/>
          </w:tcPr>
          <w:p w14:paraId="5BE71B9C">
            <w:pPr>
              <w:pStyle w:val="12"/>
            </w:pPr>
          </w:p>
        </w:tc>
        <w:tc>
          <w:tcPr>
            <w:tcW w:w="2126" w:type="dxa"/>
            <w:vAlign w:val="center"/>
          </w:tcPr>
          <w:p w14:paraId="5AE676A4">
            <w:pPr>
              <w:pStyle w:val="11"/>
            </w:pPr>
          </w:p>
        </w:tc>
        <w:tc>
          <w:tcPr>
            <w:tcW w:w="4535" w:type="dxa"/>
            <w:vAlign w:val="center"/>
          </w:tcPr>
          <w:p w14:paraId="398A2718">
            <w:pPr>
              <w:pStyle w:val="12"/>
            </w:pPr>
            <w:r>
              <w:t>二十一、粮油物资储备支出</w:t>
            </w:r>
          </w:p>
        </w:tc>
        <w:tc>
          <w:tcPr>
            <w:tcW w:w="2126" w:type="dxa"/>
            <w:vAlign w:val="center"/>
          </w:tcPr>
          <w:p w14:paraId="3D32374A">
            <w:pPr>
              <w:pStyle w:val="11"/>
            </w:pPr>
          </w:p>
        </w:tc>
      </w:tr>
      <w:tr w14:paraId="7D0D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DA82F">
            <w:pPr>
              <w:pStyle w:val="13"/>
            </w:pPr>
            <w:r>
              <w:t>22</w:t>
            </w:r>
          </w:p>
        </w:tc>
        <w:tc>
          <w:tcPr>
            <w:tcW w:w="4535" w:type="dxa"/>
            <w:vAlign w:val="center"/>
          </w:tcPr>
          <w:p w14:paraId="4643D3CD">
            <w:pPr>
              <w:pStyle w:val="12"/>
            </w:pPr>
          </w:p>
        </w:tc>
        <w:tc>
          <w:tcPr>
            <w:tcW w:w="2126" w:type="dxa"/>
            <w:vAlign w:val="center"/>
          </w:tcPr>
          <w:p w14:paraId="032FC51D">
            <w:pPr>
              <w:pStyle w:val="11"/>
            </w:pPr>
          </w:p>
        </w:tc>
        <w:tc>
          <w:tcPr>
            <w:tcW w:w="4535" w:type="dxa"/>
            <w:vAlign w:val="center"/>
          </w:tcPr>
          <w:p w14:paraId="5FF86602">
            <w:pPr>
              <w:pStyle w:val="12"/>
            </w:pPr>
            <w:r>
              <w:t>二十二、国有资本经营预算支出</w:t>
            </w:r>
          </w:p>
        </w:tc>
        <w:tc>
          <w:tcPr>
            <w:tcW w:w="2126" w:type="dxa"/>
            <w:vAlign w:val="center"/>
          </w:tcPr>
          <w:p w14:paraId="4C343249">
            <w:pPr>
              <w:pStyle w:val="11"/>
            </w:pPr>
          </w:p>
        </w:tc>
      </w:tr>
      <w:tr w14:paraId="6353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DE574">
            <w:pPr>
              <w:pStyle w:val="13"/>
            </w:pPr>
            <w:r>
              <w:t>23</w:t>
            </w:r>
          </w:p>
        </w:tc>
        <w:tc>
          <w:tcPr>
            <w:tcW w:w="4535" w:type="dxa"/>
            <w:vAlign w:val="center"/>
          </w:tcPr>
          <w:p w14:paraId="2F98DBAD">
            <w:pPr>
              <w:pStyle w:val="12"/>
            </w:pPr>
          </w:p>
        </w:tc>
        <w:tc>
          <w:tcPr>
            <w:tcW w:w="2126" w:type="dxa"/>
            <w:vAlign w:val="center"/>
          </w:tcPr>
          <w:p w14:paraId="44E53C23">
            <w:pPr>
              <w:pStyle w:val="11"/>
            </w:pPr>
          </w:p>
        </w:tc>
        <w:tc>
          <w:tcPr>
            <w:tcW w:w="4535" w:type="dxa"/>
            <w:vAlign w:val="center"/>
          </w:tcPr>
          <w:p w14:paraId="18928495">
            <w:pPr>
              <w:pStyle w:val="12"/>
            </w:pPr>
            <w:r>
              <w:t>二十三、灾害防治及应急管理支出</w:t>
            </w:r>
          </w:p>
        </w:tc>
        <w:tc>
          <w:tcPr>
            <w:tcW w:w="2126" w:type="dxa"/>
            <w:vAlign w:val="center"/>
          </w:tcPr>
          <w:p w14:paraId="73FA182F">
            <w:pPr>
              <w:pStyle w:val="11"/>
            </w:pPr>
          </w:p>
        </w:tc>
      </w:tr>
      <w:tr w14:paraId="7DB7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DF73">
            <w:pPr>
              <w:pStyle w:val="13"/>
            </w:pPr>
            <w:r>
              <w:t>24</w:t>
            </w:r>
          </w:p>
        </w:tc>
        <w:tc>
          <w:tcPr>
            <w:tcW w:w="4535" w:type="dxa"/>
            <w:vAlign w:val="center"/>
          </w:tcPr>
          <w:p w14:paraId="4FDA487E">
            <w:pPr>
              <w:pStyle w:val="12"/>
            </w:pPr>
          </w:p>
        </w:tc>
        <w:tc>
          <w:tcPr>
            <w:tcW w:w="2126" w:type="dxa"/>
            <w:vAlign w:val="center"/>
          </w:tcPr>
          <w:p w14:paraId="0867ACC1">
            <w:pPr>
              <w:pStyle w:val="11"/>
            </w:pPr>
          </w:p>
        </w:tc>
        <w:tc>
          <w:tcPr>
            <w:tcW w:w="4535" w:type="dxa"/>
            <w:vAlign w:val="center"/>
          </w:tcPr>
          <w:p w14:paraId="7A4184D5">
            <w:pPr>
              <w:pStyle w:val="12"/>
            </w:pPr>
            <w:r>
              <w:t>二十四、预备费</w:t>
            </w:r>
          </w:p>
        </w:tc>
        <w:tc>
          <w:tcPr>
            <w:tcW w:w="2126" w:type="dxa"/>
            <w:vAlign w:val="center"/>
          </w:tcPr>
          <w:p w14:paraId="5DF1EE23">
            <w:pPr>
              <w:pStyle w:val="11"/>
            </w:pPr>
          </w:p>
        </w:tc>
      </w:tr>
      <w:tr w14:paraId="2E83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4031">
            <w:pPr>
              <w:pStyle w:val="13"/>
            </w:pPr>
            <w:r>
              <w:t>25</w:t>
            </w:r>
          </w:p>
        </w:tc>
        <w:tc>
          <w:tcPr>
            <w:tcW w:w="4535" w:type="dxa"/>
            <w:vAlign w:val="center"/>
          </w:tcPr>
          <w:p w14:paraId="4F016014">
            <w:pPr>
              <w:pStyle w:val="12"/>
            </w:pPr>
          </w:p>
        </w:tc>
        <w:tc>
          <w:tcPr>
            <w:tcW w:w="2126" w:type="dxa"/>
            <w:vAlign w:val="center"/>
          </w:tcPr>
          <w:p w14:paraId="5F03E228">
            <w:pPr>
              <w:pStyle w:val="11"/>
            </w:pPr>
          </w:p>
        </w:tc>
        <w:tc>
          <w:tcPr>
            <w:tcW w:w="4535" w:type="dxa"/>
            <w:vAlign w:val="center"/>
          </w:tcPr>
          <w:p w14:paraId="1DA6234D">
            <w:pPr>
              <w:pStyle w:val="12"/>
            </w:pPr>
            <w:r>
              <w:t>二十五、其他支出</w:t>
            </w:r>
          </w:p>
        </w:tc>
        <w:tc>
          <w:tcPr>
            <w:tcW w:w="2126" w:type="dxa"/>
            <w:vAlign w:val="center"/>
          </w:tcPr>
          <w:p w14:paraId="1D7AAA96">
            <w:pPr>
              <w:pStyle w:val="11"/>
            </w:pPr>
          </w:p>
        </w:tc>
      </w:tr>
      <w:tr w14:paraId="68D60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AACA6">
            <w:pPr>
              <w:pStyle w:val="13"/>
            </w:pPr>
            <w:r>
              <w:t>26</w:t>
            </w:r>
          </w:p>
        </w:tc>
        <w:tc>
          <w:tcPr>
            <w:tcW w:w="4535" w:type="dxa"/>
            <w:vAlign w:val="center"/>
          </w:tcPr>
          <w:p w14:paraId="1207C07D">
            <w:pPr>
              <w:pStyle w:val="12"/>
            </w:pPr>
          </w:p>
        </w:tc>
        <w:tc>
          <w:tcPr>
            <w:tcW w:w="2126" w:type="dxa"/>
            <w:vAlign w:val="center"/>
          </w:tcPr>
          <w:p w14:paraId="3B3928B6">
            <w:pPr>
              <w:pStyle w:val="11"/>
            </w:pPr>
          </w:p>
        </w:tc>
        <w:tc>
          <w:tcPr>
            <w:tcW w:w="4535" w:type="dxa"/>
            <w:vAlign w:val="center"/>
          </w:tcPr>
          <w:p w14:paraId="3A7AFEF5">
            <w:pPr>
              <w:pStyle w:val="12"/>
            </w:pPr>
            <w:r>
              <w:t>二十六、转移性支出</w:t>
            </w:r>
          </w:p>
        </w:tc>
        <w:tc>
          <w:tcPr>
            <w:tcW w:w="2126" w:type="dxa"/>
            <w:vAlign w:val="center"/>
          </w:tcPr>
          <w:p w14:paraId="0334DDE7">
            <w:pPr>
              <w:pStyle w:val="11"/>
            </w:pPr>
          </w:p>
        </w:tc>
      </w:tr>
      <w:tr w14:paraId="6018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FA22">
            <w:pPr>
              <w:pStyle w:val="13"/>
            </w:pPr>
            <w:r>
              <w:t>27</w:t>
            </w:r>
          </w:p>
        </w:tc>
        <w:tc>
          <w:tcPr>
            <w:tcW w:w="4535" w:type="dxa"/>
            <w:vAlign w:val="center"/>
          </w:tcPr>
          <w:p w14:paraId="17E4F8FD">
            <w:pPr>
              <w:pStyle w:val="12"/>
            </w:pPr>
          </w:p>
        </w:tc>
        <w:tc>
          <w:tcPr>
            <w:tcW w:w="2126" w:type="dxa"/>
            <w:vAlign w:val="center"/>
          </w:tcPr>
          <w:p w14:paraId="6EB81B56">
            <w:pPr>
              <w:pStyle w:val="11"/>
            </w:pPr>
          </w:p>
        </w:tc>
        <w:tc>
          <w:tcPr>
            <w:tcW w:w="4535" w:type="dxa"/>
            <w:vAlign w:val="center"/>
          </w:tcPr>
          <w:p w14:paraId="08DCC9F4">
            <w:pPr>
              <w:pStyle w:val="12"/>
            </w:pPr>
            <w:r>
              <w:t>二十七、债务还本支出</w:t>
            </w:r>
          </w:p>
        </w:tc>
        <w:tc>
          <w:tcPr>
            <w:tcW w:w="2126" w:type="dxa"/>
            <w:vAlign w:val="center"/>
          </w:tcPr>
          <w:p w14:paraId="2BFB5F5A">
            <w:pPr>
              <w:pStyle w:val="11"/>
            </w:pPr>
          </w:p>
        </w:tc>
      </w:tr>
      <w:tr w14:paraId="1328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E0BE">
            <w:pPr>
              <w:pStyle w:val="13"/>
            </w:pPr>
            <w:r>
              <w:t>28</w:t>
            </w:r>
          </w:p>
        </w:tc>
        <w:tc>
          <w:tcPr>
            <w:tcW w:w="4535" w:type="dxa"/>
            <w:vAlign w:val="center"/>
          </w:tcPr>
          <w:p w14:paraId="215727BD">
            <w:pPr>
              <w:pStyle w:val="12"/>
            </w:pPr>
          </w:p>
        </w:tc>
        <w:tc>
          <w:tcPr>
            <w:tcW w:w="2126" w:type="dxa"/>
            <w:vAlign w:val="center"/>
          </w:tcPr>
          <w:p w14:paraId="1A7B3EB2">
            <w:pPr>
              <w:pStyle w:val="11"/>
            </w:pPr>
          </w:p>
        </w:tc>
        <w:tc>
          <w:tcPr>
            <w:tcW w:w="4535" w:type="dxa"/>
            <w:vAlign w:val="center"/>
          </w:tcPr>
          <w:p w14:paraId="4939F746">
            <w:pPr>
              <w:pStyle w:val="12"/>
            </w:pPr>
            <w:r>
              <w:t>二十八、债务付息支出</w:t>
            </w:r>
          </w:p>
        </w:tc>
        <w:tc>
          <w:tcPr>
            <w:tcW w:w="2126" w:type="dxa"/>
            <w:vAlign w:val="center"/>
          </w:tcPr>
          <w:p w14:paraId="458AAC64">
            <w:pPr>
              <w:pStyle w:val="11"/>
            </w:pPr>
          </w:p>
        </w:tc>
      </w:tr>
      <w:tr w14:paraId="3333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32C43">
            <w:pPr>
              <w:pStyle w:val="13"/>
            </w:pPr>
            <w:r>
              <w:t>29</w:t>
            </w:r>
          </w:p>
        </w:tc>
        <w:tc>
          <w:tcPr>
            <w:tcW w:w="4535" w:type="dxa"/>
            <w:vAlign w:val="center"/>
          </w:tcPr>
          <w:p w14:paraId="53691252">
            <w:pPr>
              <w:pStyle w:val="12"/>
            </w:pPr>
          </w:p>
        </w:tc>
        <w:tc>
          <w:tcPr>
            <w:tcW w:w="2126" w:type="dxa"/>
            <w:vAlign w:val="center"/>
          </w:tcPr>
          <w:p w14:paraId="0E522714">
            <w:pPr>
              <w:pStyle w:val="11"/>
            </w:pPr>
          </w:p>
        </w:tc>
        <w:tc>
          <w:tcPr>
            <w:tcW w:w="4535" w:type="dxa"/>
            <w:vAlign w:val="center"/>
          </w:tcPr>
          <w:p w14:paraId="76B97ECA">
            <w:pPr>
              <w:pStyle w:val="12"/>
            </w:pPr>
            <w:r>
              <w:t>二十九、债务发行费用支出</w:t>
            </w:r>
          </w:p>
        </w:tc>
        <w:tc>
          <w:tcPr>
            <w:tcW w:w="2126" w:type="dxa"/>
            <w:vAlign w:val="center"/>
          </w:tcPr>
          <w:p w14:paraId="205A696B">
            <w:pPr>
              <w:pStyle w:val="11"/>
            </w:pPr>
          </w:p>
        </w:tc>
      </w:tr>
      <w:tr w14:paraId="2C29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0EF3">
            <w:pPr>
              <w:pStyle w:val="13"/>
            </w:pPr>
            <w:r>
              <w:t>30</w:t>
            </w:r>
          </w:p>
        </w:tc>
        <w:tc>
          <w:tcPr>
            <w:tcW w:w="4535" w:type="dxa"/>
            <w:vAlign w:val="center"/>
          </w:tcPr>
          <w:p w14:paraId="7AA59EC4">
            <w:pPr>
              <w:pStyle w:val="12"/>
            </w:pPr>
          </w:p>
        </w:tc>
        <w:tc>
          <w:tcPr>
            <w:tcW w:w="2126" w:type="dxa"/>
            <w:vAlign w:val="center"/>
          </w:tcPr>
          <w:p w14:paraId="48DF1F6A">
            <w:pPr>
              <w:pStyle w:val="11"/>
            </w:pPr>
          </w:p>
        </w:tc>
        <w:tc>
          <w:tcPr>
            <w:tcW w:w="4535" w:type="dxa"/>
            <w:vAlign w:val="center"/>
          </w:tcPr>
          <w:p w14:paraId="0DEDAABE">
            <w:pPr>
              <w:pStyle w:val="12"/>
            </w:pPr>
            <w:r>
              <w:t>三十、抗疫特别国债安排的支出</w:t>
            </w:r>
          </w:p>
        </w:tc>
        <w:tc>
          <w:tcPr>
            <w:tcW w:w="2126" w:type="dxa"/>
            <w:vAlign w:val="center"/>
          </w:tcPr>
          <w:p w14:paraId="2B2E9344">
            <w:pPr>
              <w:pStyle w:val="11"/>
            </w:pPr>
          </w:p>
        </w:tc>
      </w:tr>
      <w:tr w14:paraId="59FC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42B0E">
            <w:pPr>
              <w:pStyle w:val="13"/>
            </w:pPr>
            <w:r>
              <w:t>31</w:t>
            </w:r>
          </w:p>
        </w:tc>
        <w:tc>
          <w:tcPr>
            <w:tcW w:w="4535" w:type="dxa"/>
            <w:vAlign w:val="center"/>
          </w:tcPr>
          <w:p w14:paraId="38B854B3">
            <w:pPr>
              <w:pStyle w:val="14"/>
            </w:pPr>
            <w:r>
              <w:t>本年收入合计</w:t>
            </w:r>
          </w:p>
        </w:tc>
        <w:tc>
          <w:tcPr>
            <w:tcW w:w="2126" w:type="dxa"/>
            <w:vAlign w:val="center"/>
          </w:tcPr>
          <w:p w14:paraId="59C5BEDF">
            <w:pPr>
              <w:pStyle w:val="15"/>
            </w:pPr>
            <w:r>
              <w:t>2964.50</w:t>
            </w:r>
          </w:p>
        </w:tc>
        <w:tc>
          <w:tcPr>
            <w:tcW w:w="4535" w:type="dxa"/>
            <w:vAlign w:val="center"/>
          </w:tcPr>
          <w:p w14:paraId="4DC0882B">
            <w:pPr>
              <w:pStyle w:val="14"/>
            </w:pPr>
            <w:r>
              <w:t>本年支出合计</w:t>
            </w:r>
          </w:p>
        </w:tc>
        <w:tc>
          <w:tcPr>
            <w:tcW w:w="2126" w:type="dxa"/>
            <w:vAlign w:val="center"/>
          </w:tcPr>
          <w:p w14:paraId="3099EA1D">
            <w:pPr>
              <w:pStyle w:val="15"/>
            </w:pPr>
            <w:r>
              <w:t>2964.50</w:t>
            </w:r>
          </w:p>
        </w:tc>
      </w:tr>
      <w:tr w14:paraId="37ED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FED7E">
            <w:pPr>
              <w:pStyle w:val="13"/>
            </w:pPr>
            <w:r>
              <w:t>32</w:t>
            </w:r>
          </w:p>
        </w:tc>
        <w:tc>
          <w:tcPr>
            <w:tcW w:w="4535" w:type="dxa"/>
            <w:vAlign w:val="center"/>
          </w:tcPr>
          <w:p w14:paraId="0C38B950">
            <w:pPr>
              <w:pStyle w:val="12"/>
            </w:pPr>
            <w:r>
              <w:t>上年结转结余</w:t>
            </w:r>
          </w:p>
        </w:tc>
        <w:tc>
          <w:tcPr>
            <w:tcW w:w="2126" w:type="dxa"/>
            <w:vAlign w:val="center"/>
          </w:tcPr>
          <w:p w14:paraId="0C173F97">
            <w:pPr>
              <w:pStyle w:val="11"/>
            </w:pPr>
          </w:p>
        </w:tc>
        <w:tc>
          <w:tcPr>
            <w:tcW w:w="4535" w:type="dxa"/>
            <w:vAlign w:val="center"/>
          </w:tcPr>
          <w:p w14:paraId="6CB7AA76">
            <w:pPr>
              <w:pStyle w:val="12"/>
            </w:pPr>
            <w:r>
              <w:t>年终结转结余</w:t>
            </w:r>
          </w:p>
        </w:tc>
        <w:tc>
          <w:tcPr>
            <w:tcW w:w="2126" w:type="dxa"/>
            <w:vAlign w:val="center"/>
          </w:tcPr>
          <w:p w14:paraId="63B70899">
            <w:pPr>
              <w:pStyle w:val="11"/>
            </w:pPr>
          </w:p>
        </w:tc>
      </w:tr>
      <w:tr w14:paraId="2600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81F3B">
            <w:pPr>
              <w:pStyle w:val="13"/>
            </w:pPr>
            <w:r>
              <w:t>33</w:t>
            </w:r>
          </w:p>
        </w:tc>
        <w:tc>
          <w:tcPr>
            <w:tcW w:w="4535" w:type="dxa"/>
            <w:vAlign w:val="center"/>
          </w:tcPr>
          <w:p w14:paraId="16E646B9">
            <w:pPr>
              <w:pStyle w:val="14"/>
            </w:pPr>
            <w:r>
              <w:t>收入总计</w:t>
            </w:r>
          </w:p>
        </w:tc>
        <w:tc>
          <w:tcPr>
            <w:tcW w:w="2126" w:type="dxa"/>
            <w:vAlign w:val="center"/>
          </w:tcPr>
          <w:p w14:paraId="3AD3D8AC">
            <w:pPr>
              <w:pStyle w:val="15"/>
            </w:pPr>
            <w:r>
              <w:t>2964.50</w:t>
            </w:r>
          </w:p>
        </w:tc>
        <w:tc>
          <w:tcPr>
            <w:tcW w:w="4535" w:type="dxa"/>
            <w:vAlign w:val="center"/>
          </w:tcPr>
          <w:p w14:paraId="4038A1BF">
            <w:pPr>
              <w:pStyle w:val="14"/>
            </w:pPr>
            <w:r>
              <w:t>支出总计</w:t>
            </w:r>
          </w:p>
        </w:tc>
        <w:tc>
          <w:tcPr>
            <w:tcW w:w="2126" w:type="dxa"/>
            <w:vAlign w:val="center"/>
          </w:tcPr>
          <w:p w14:paraId="4F231D6D">
            <w:pPr>
              <w:pStyle w:val="15"/>
            </w:pPr>
            <w:r>
              <w:t>2964.50</w:t>
            </w:r>
          </w:p>
        </w:tc>
      </w:tr>
    </w:tbl>
    <w:p w14:paraId="7F1CFCEC">
      <w:pPr>
        <w:sectPr>
          <w:pgSz w:w="16840" w:h="11900" w:orient="landscape"/>
          <w:pgMar w:top="1361" w:right="1020" w:bottom="1134" w:left="1020" w:header="720" w:footer="720" w:gutter="0"/>
          <w:cols w:space="720" w:num="1"/>
        </w:sectPr>
      </w:pPr>
    </w:p>
    <w:p w14:paraId="34C98F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D7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80B28B">
            <w:pPr>
              <w:pStyle w:val="9"/>
            </w:pPr>
            <w:r>
              <w:t>360019隆尧县东良校区</w:t>
            </w:r>
          </w:p>
        </w:tc>
        <w:tc>
          <w:tcPr>
            <w:tcW w:w="3402" w:type="dxa"/>
            <w:gridSpan w:val="3"/>
            <w:tcBorders>
              <w:top w:val="single" w:color="FFFFFF" w:sz="6" w:space="0"/>
              <w:left w:val="single" w:color="FFFFFF" w:sz="6" w:space="0"/>
              <w:right w:val="single" w:color="FFFFFF" w:sz="6" w:space="0"/>
            </w:tcBorders>
            <w:vAlign w:val="center"/>
          </w:tcPr>
          <w:p w14:paraId="1270C11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070C23A">
            <w:pPr>
              <w:pStyle w:val="7"/>
            </w:pPr>
            <w:r>
              <w:t>单位：万元</w:t>
            </w:r>
          </w:p>
        </w:tc>
      </w:tr>
      <w:tr w14:paraId="27FFC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0F0295">
            <w:pPr>
              <w:pStyle w:val="10"/>
            </w:pPr>
            <w:r>
              <w:t>序号</w:t>
            </w:r>
          </w:p>
        </w:tc>
        <w:tc>
          <w:tcPr>
            <w:tcW w:w="2551" w:type="dxa"/>
            <w:gridSpan w:val="2"/>
            <w:vAlign w:val="center"/>
          </w:tcPr>
          <w:p w14:paraId="44142B97">
            <w:pPr>
              <w:pStyle w:val="10"/>
            </w:pPr>
            <w:r>
              <w:t>功能分类科目</w:t>
            </w:r>
          </w:p>
        </w:tc>
        <w:tc>
          <w:tcPr>
            <w:tcW w:w="1134" w:type="dxa"/>
            <w:vMerge w:val="restart"/>
            <w:vAlign w:val="center"/>
          </w:tcPr>
          <w:p w14:paraId="295F944F">
            <w:pPr>
              <w:pStyle w:val="10"/>
            </w:pPr>
            <w:r>
              <w:t>合计</w:t>
            </w:r>
          </w:p>
        </w:tc>
        <w:tc>
          <w:tcPr>
            <w:tcW w:w="9072" w:type="dxa"/>
            <w:gridSpan w:val="8"/>
            <w:vAlign w:val="center"/>
          </w:tcPr>
          <w:p w14:paraId="6E2B71E7">
            <w:pPr>
              <w:pStyle w:val="10"/>
            </w:pPr>
            <w:r>
              <w:t>本年收入</w:t>
            </w:r>
          </w:p>
        </w:tc>
        <w:tc>
          <w:tcPr>
            <w:tcW w:w="1134" w:type="dxa"/>
            <w:vMerge w:val="restart"/>
            <w:vAlign w:val="center"/>
          </w:tcPr>
          <w:p w14:paraId="5C2ABD01">
            <w:pPr>
              <w:pStyle w:val="10"/>
            </w:pPr>
            <w:r>
              <w:t>上年结转</w:t>
            </w:r>
          </w:p>
        </w:tc>
      </w:tr>
      <w:tr w14:paraId="6AC93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860A47"/>
        </w:tc>
        <w:tc>
          <w:tcPr>
            <w:tcW w:w="992" w:type="dxa"/>
            <w:vAlign w:val="center"/>
          </w:tcPr>
          <w:p w14:paraId="389C4F50">
            <w:pPr>
              <w:pStyle w:val="10"/>
            </w:pPr>
            <w:r>
              <w:t>科目    编码</w:t>
            </w:r>
          </w:p>
        </w:tc>
        <w:tc>
          <w:tcPr>
            <w:tcW w:w="1559" w:type="dxa"/>
            <w:vAlign w:val="center"/>
          </w:tcPr>
          <w:p w14:paraId="33792BDF">
            <w:pPr>
              <w:pStyle w:val="10"/>
            </w:pPr>
            <w:r>
              <w:t>科目名称</w:t>
            </w:r>
          </w:p>
        </w:tc>
        <w:tc>
          <w:tcPr>
            <w:tcW w:w="1134" w:type="dxa"/>
            <w:vMerge w:val="continue"/>
          </w:tcPr>
          <w:p w14:paraId="6289F629"/>
        </w:tc>
        <w:tc>
          <w:tcPr>
            <w:tcW w:w="1134" w:type="dxa"/>
            <w:vAlign w:val="center"/>
          </w:tcPr>
          <w:p w14:paraId="758E1C31">
            <w:pPr>
              <w:pStyle w:val="10"/>
            </w:pPr>
            <w:r>
              <w:t>小计</w:t>
            </w:r>
          </w:p>
        </w:tc>
        <w:tc>
          <w:tcPr>
            <w:tcW w:w="1134" w:type="dxa"/>
            <w:vAlign w:val="center"/>
          </w:tcPr>
          <w:p w14:paraId="4A477A2D">
            <w:pPr>
              <w:pStyle w:val="10"/>
            </w:pPr>
            <w:r>
              <w:t>财政拨款 收入</w:t>
            </w:r>
          </w:p>
        </w:tc>
        <w:tc>
          <w:tcPr>
            <w:tcW w:w="1134" w:type="dxa"/>
            <w:vAlign w:val="center"/>
          </w:tcPr>
          <w:p w14:paraId="682EE1BD">
            <w:pPr>
              <w:pStyle w:val="10"/>
            </w:pPr>
            <w:r>
              <w:t>财政专户 收入</w:t>
            </w:r>
          </w:p>
        </w:tc>
        <w:tc>
          <w:tcPr>
            <w:tcW w:w="1134" w:type="dxa"/>
            <w:vAlign w:val="center"/>
          </w:tcPr>
          <w:p w14:paraId="2F4C3DA1">
            <w:pPr>
              <w:pStyle w:val="10"/>
            </w:pPr>
            <w:r>
              <w:t>事业收入</w:t>
            </w:r>
          </w:p>
        </w:tc>
        <w:tc>
          <w:tcPr>
            <w:tcW w:w="1134" w:type="dxa"/>
            <w:vAlign w:val="center"/>
          </w:tcPr>
          <w:p w14:paraId="2A6BED76">
            <w:pPr>
              <w:pStyle w:val="10"/>
            </w:pPr>
            <w:r>
              <w:t>经营收入</w:t>
            </w:r>
          </w:p>
        </w:tc>
        <w:tc>
          <w:tcPr>
            <w:tcW w:w="1134" w:type="dxa"/>
            <w:vAlign w:val="center"/>
          </w:tcPr>
          <w:p w14:paraId="083A2755">
            <w:pPr>
              <w:pStyle w:val="10"/>
            </w:pPr>
            <w:r>
              <w:t>上级补助收入</w:t>
            </w:r>
          </w:p>
        </w:tc>
        <w:tc>
          <w:tcPr>
            <w:tcW w:w="1134" w:type="dxa"/>
            <w:vAlign w:val="center"/>
          </w:tcPr>
          <w:p w14:paraId="0562A0DC">
            <w:pPr>
              <w:pStyle w:val="10"/>
            </w:pPr>
            <w:r>
              <w:t>附属单位上缴收入</w:t>
            </w:r>
          </w:p>
        </w:tc>
        <w:tc>
          <w:tcPr>
            <w:tcW w:w="1134" w:type="dxa"/>
            <w:vAlign w:val="center"/>
          </w:tcPr>
          <w:p w14:paraId="0C66F0C9">
            <w:pPr>
              <w:pStyle w:val="10"/>
            </w:pPr>
            <w:r>
              <w:t>其他收入</w:t>
            </w:r>
          </w:p>
        </w:tc>
        <w:tc>
          <w:tcPr>
            <w:tcW w:w="1134" w:type="dxa"/>
            <w:vMerge w:val="continue"/>
          </w:tcPr>
          <w:p w14:paraId="29915E79"/>
        </w:tc>
      </w:tr>
      <w:tr w14:paraId="7B64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B2F11A">
            <w:pPr>
              <w:pStyle w:val="10"/>
            </w:pPr>
            <w:r>
              <w:t>栏次</w:t>
            </w:r>
          </w:p>
        </w:tc>
        <w:tc>
          <w:tcPr>
            <w:tcW w:w="992" w:type="dxa"/>
            <w:vAlign w:val="center"/>
          </w:tcPr>
          <w:p w14:paraId="45EB058E">
            <w:pPr>
              <w:pStyle w:val="10"/>
            </w:pPr>
            <w:r>
              <w:t>1</w:t>
            </w:r>
          </w:p>
        </w:tc>
        <w:tc>
          <w:tcPr>
            <w:tcW w:w="1559" w:type="dxa"/>
            <w:vAlign w:val="center"/>
          </w:tcPr>
          <w:p w14:paraId="69C9231E">
            <w:pPr>
              <w:pStyle w:val="10"/>
            </w:pPr>
            <w:r>
              <w:t>2</w:t>
            </w:r>
          </w:p>
        </w:tc>
        <w:tc>
          <w:tcPr>
            <w:tcW w:w="1134" w:type="dxa"/>
            <w:vAlign w:val="center"/>
          </w:tcPr>
          <w:p w14:paraId="53B8E250">
            <w:pPr>
              <w:pStyle w:val="10"/>
            </w:pPr>
            <w:r>
              <w:t>3</w:t>
            </w:r>
          </w:p>
        </w:tc>
        <w:tc>
          <w:tcPr>
            <w:tcW w:w="1134" w:type="dxa"/>
            <w:vAlign w:val="center"/>
          </w:tcPr>
          <w:p w14:paraId="60F1A5E9">
            <w:pPr>
              <w:pStyle w:val="10"/>
            </w:pPr>
            <w:r>
              <w:t>4</w:t>
            </w:r>
          </w:p>
        </w:tc>
        <w:tc>
          <w:tcPr>
            <w:tcW w:w="1134" w:type="dxa"/>
            <w:vAlign w:val="center"/>
          </w:tcPr>
          <w:p w14:paraId="7F02C7A6">
            <w:pPr>
              <w:pStyle w:val="10"/>
            </w:pPr>
            <w:r>
              <w:t>5</w:t>
            </w:r>
          </w:p>
        </w:tc>
        <w:tc>
          <w:tcPr>
            <w:tcW w:w="1134" w:type="dxa"/>
            <w:vAlign w:val="center"/>
          </w:tcPr>
          <w:p w14:paraId="1982A4A5">
            <w:pPr>
              <w:pStyle w:val="10"/>
            </w:pPr>
            <w:r>
              <w:t>6</w:t>
            </w:r>
          </w:p>
        </w:tc>
        <w:tc>
          <w:tcPr>
            <w:tcW w:w="1134" w:type="dxa"/>
            <w:vAlign w:val="center"/>
          </w:tcPr>
          <w:p w14:paraId="2196B364">
            <w:pPr>
              <w:pStyle w:val="10"/>
            </w:pPr>
            <w:r>
              <w:t>7</w:t>
            </w:r>
          </w:p>
        </w:tc>
        <w:tc>
          <w:tcPr>
            <w:tcW w:w="1134" w:type="dxa"/>
            <w:vAlign w:val="center"/>
          </w:tcPr>
          <w:p w14:paraId="07A439D3">
            <w:pPr>
              <w:pStyle w:val="10"/>
            </w:pPr>
            <w:r>
              <w:t>8</w:t>
            </w:r>
          </w:p>
        </w:tc>
        <w:tc>
          <w:tcPr>
            <w:tcW w:w="1134" w:type="dxa"/>
            <w:vAlign w:val="center"/>
          </w:tcPr>
          <w:p w14:paraId="3B96D7F5">
            <w:pPr>
              <w:pStyle w:val="10"/>
            </w:pPr>
            <w:r>
              <w:t>9</w:t>
            </w:r>
          </w:p>
        </w:tc>
        <w:tc>
          <w:tcPr>
            <w:tcW w:w="1134" w:type="dxa"/>
            <w:vAlign w:val="center"/>
          </w:tcPr>
          <w:p w14:paraId="2D4436AF">
            <w:pPr>
              <w:pStyle w:val="10"/>
            </w:pPr>
            <w:r>
              <w:t>10</w:t>
            </w:r>
          </w:p>
        </w:tc>
        <w:tc>
          <w:tcPr>
            <w:tcW w:w="1134" w:type="dxa"/>
            <w:vAlign w:val="center"/>
          </w:tcPr>
          <w:p w14:paraId="55EAB00E">
            <w:pPr>
              <w:pStyle w:val="10"/>
            </w:pPr>
            <w:r>
              <w:t>11</w:t>
            </w:r>
          </w:p>
        </w:tc>
        <w:tc>
          <w:tcPr>
            <w:tcW w:w="1134" w:type="dxa"/>
            <w:vAlign w:val="center"/>
          </w:tcPr>
          <w:p w14:paraId="37568475">
            <w:pPr>
              <w:pStyle w:val="10"/>
            </w:pPr>
            <w:r>
              <w:t>12</w:t>
            </w:r>
          </w:p>
        </w:tc>
      </w:tr>
      <w:tr w14:paraId="1877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29897">
            <w:pPr>
              <w:pStyle w:val="13"/>
            </w:pPr>
            <w:r>
              <w:t>1</w:t>
            </w:r>
          </w:p>
        </w:tc>
        <w:tc>
          <w:tcPr>
            <w:tcW w:w="992" w:type="dxa"/>
            <w:vAlign w:val="center"/>
          </w:tcPr>
          <w:p w14:paraId="0A80D966">
            <w:pPr>
              <w:pStyle w:val="16"/>
            </w:pPr>
          </w:p>
        </w:tc>
        <w:tc>
          <w:tcPr>
            <w:tcW w:w="1559" w:type="dxa"/>
            <w:vAlign w:val="center"/>
          </w:tcPr>
          <w:p w14:paraId="7D7FE19A">
            <w:pPr>
              <w:pStyle w:val="14"/>
            </w:pPr>
            <w:r>
              <w:t>合计</w:t>
            </w:r>
          </w:p>
        </w:tc>
        <w:tc>
          <w:tcPr>
            <w:tcW w:w="1134" w:type="dxa"/>
            <w:vAlign w:val="center"/>
          </w:tcPr>
          <w:p w14:paraId="55F7D407">
            <w:pPr>
              <w:pStyle w:val="15"/>
            </w:pPr>
            <w:r>
              <w:t>2964.50</w:t>
            </w:r>
          </w:p>
        </w:tc>
        <w:tc>
          <w:tcPr>
            <w:tcW w:w="1134" w:type="dxa"/>
            <w:vAlign w:val="center"/>
          </w:tcPr>
          <w:p w14:paraId="55D9B1E3">
            <w:pPr>
              <w:pStyle w:val="15"/>
            </w:pPr>
            <w:r>
              <w:t>2964.50</w:t>
            </w:r>
          </w:p>
        </w:tc>
        <w:tc>
          <w:tcPr>
            <w:tcW w:w="1134" w:type="dxa"/>
            <w:vAlign w:val="center"/>
          </w:tcPr>
          <w:p w14:paraId="004FC41D">
            <w:pPr>
              <w:pStyle w:val="15"/>
            </w:pPr>
            <w:r>
              <w:t>2964.50</w:t>
            </w:r>
          </w:p>
        </w:tc>
        <w:tc>
          <w:tcPr>
            <w:tcW w:w="1134" w:type="dxa"/>
            <w:vAlign w:val="center"/>
          </w:tcPr>
          <w:p w14:paraId="6D031D75">
            <w:pPr>
              <w:pStyle w:val="15"/>
            </w:pPr>
          </w:p>
        </w:tc>
        <w:tc>
          <w:tcPr>
            <w:tcW w:w="1134" w:type="dxa"/>
            <w:vAlign w:val="center"/>
          </w:tcPr>
          <w:p w14:paraId="7A837431">
            <w:pPr>
              <w:pStyle w:val="15"/>
            </w:pPr>
          </w:p>
        </w:tc>
        <w:tc>
          <w:tcPr>
            <w:tcW w:w="1134" w:type="dxa"/>
            <w:vAlign w:val="center"/>
          </w:tcPr>
          <w:p w14:paraId="61C84CC3">
            <w:pPr>
              <w:pStyle w:val="15"/>
            </w:pPr>
          </w:p>
        </w:tc>
        <w:tc>
          <w:tcPr>
            <w:tcW w:w="1134" w:type="dxa"/>
            <w:vAlign w:val="center"/>
          </w:tcPr>
          <w:p w14:paraId="0D05F11B">
            <w:pPr>
              <w:pStyle w:val="15"/>
            </w:pPr>
          </w:p>
        </w:tc>
        <w:tc>
          <w:tcPr>
            <w:tcW w:w="1134" w:type="dxa"/>
            <w:vAlign w:val="center"/>
          </w:tcPr>
          <w:p w14:paraId="7471CDCD">
            <w:pPr>
              <w:pStyle w:val="15"/>
            </w:pPr>
          </w:p>
        </w:tc>
        <w:tc>
          <w:tcPr>
            <w:tcW w:w="1134" w:type="dxa"/>
            <w:vAlign w:val="center"/>
          </w:tcPr>
          <w:p w14:paraId="0FEDD0D0">
            <w:pPr>
              <w:pStyle w:val="15"/>
            </w:pPr>
          </w:p>
        </w:tc>
        <w:tc>
          <w:tcPr>
            <w:tcW w:w="1134" w:type="dxa"/>
            <w:vAlign w:val="center"/>
          </w:tcPr>
          <w:p w14:paraId="44A5A935">
            <w:pPr>
              <w:pStyle w:val="15"/>
            </w:pPr>
          </w:p>
        </w:tc>
      </w:tr>
      <w:tr w14:paraId="2376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EADA8">
            <w:pPr>
              <w:pStyle w:val="13"/>
            </w:pPr>
            <w:r>
              <w:t>2</w:t>
            </w:r>
          </w:p>
        </w:tc>
        <w:tc>
          <w:tcPr>
            <w:tcW w:w="992" w:type="dxa"/>
            <w:vAlign w:val="center"/>
          </w:tcPr>
          <w:p w14:paraId="4BBCAA28">
            <w:pPr>
              <w:pStyle w:val="12"/>
            </w:pPr>
            <w:r>
              <w:t>205</w:t>
            </w:r>
          </w:p>
        </w:tc>
        <w:tc>
          <w:tcPr>
            <w:tcW w:w="1559" w:type="dxa"/>
            <w:vAlign w:val="center"/>
          </w:tcPr>
          <w:p w14:paraId="01765B17">
            <w:pPr>
              <w:pStyle w:val="12"/>
            </w:pPr>
            <w:r>
              <w:t>教育支出</w:t>
            </w:r>
          </w:p>
        </w:tc>
        <w:tc>
          <w:tcPr>
            <w:tcW w:w="1134" w:type="dxa"/>
            <w:vAlign w:val="center"/>
          </w:tcPr>
          <w:p w14:paraId="4F685108">
            <w:pPr>
              <w:pStyle w:val="11"/>
            </w:pPr>
            <w:r>
              <w:t>2964.50</w:t>
            </w:r>
          </w:p>
        </w:tc>
        <w:tc>
          <w:tcPr>
            <w:tcW w:w="1134" w:type="dxa"/>
            <w:vAlign w:val="center"/>
          </w:tcPr>
          <w:p w14:paraId="6EB3B082">
            <w:pPr>
              <w:pStyle w:val="11"/>
            </w:pPr>
            <w:r>
              <w:t>2964.50</w:t>
            </w:r>
          </w:p>
        </w:tc>
        <w:tc>
          <w:tcPr>
            <w:tcW w:w="1134" w:type="dxa"/>
            <w:vAlign w:val="center"/>
          </w:tcPr>
          <w:p w14:paraId="078D0302">
            <w:pPr>
              <w:pStyle w:val="11"/>
            </w:pPr>
            <w:r>
              <w:t>2964.50</w:t>
            </w:r>
          </w:p>
        </w:tc>
        <w:tc>
          <w:tcPr>
            <w:tcW w:w="1134" w:type="dxa"/>
            <w:vAlign w:val="center"/>
          </w:tcPr>
          <w:p w14:paraId="4EBB468D">
            <w:pPr>
              <w:pStyle w:val="11"/>
            </w:pPr>
          </w:p>
        </w:tc>
        <w:tc>
          <w:tcPr>
            <w:tcW w:w="1134" w:type="dxa"/>
            <w:vAlign w:val="center"/>
          </w:tcPr>
          <w:p w14:paraId="3295F4FB">
            <w:pPr>
              <w:pStyle w:val="11"/>
            </w:pPr>
          </w:p>
        </w:tc>
        <w:tc>
          <w:tcPr>
            <w:tcW w:w="1134" w:type="dxa"/>
            <w:vAlign w:val="center"/>
          </w:tcPr>
          <w:p w14:paraId="714BB2D1">
            <w:pPr>
              <w:pStyle w:val="11"/>
            </w:pPr>
          </w:p>
        </w:tc>
        <w:tc>
          <w:tcPr>
            <w:tcW w:w="1134" w:type="dxa"/>
            <w:vAlign w:val="center"/>
          </w:tcPr>
          <w:p w14:paraId="6462E941">
            <w:pPr>
              <w:pStyle w:val="11"/>
            </w:pPr>
          </w:p>
        </w:tc>
        <w:tc>
          <w:tcPr>
            <w:tcW w:w="1134" w:type="dxa"/>
            <w:vAlign w:val="center"/>
          </w:tcPr>
          <w:p w14:paraId="0A73F75F">
            <w:pPr>
              <w:pStyle w:val="11"/>
            </w:pPr>
          </w:p>
        </w:tc>
        <w:tc>
          <w:tcPr>
            <w:tcW w:w="1134" w:type="dxa"/>
            <w:vAlign w:val="center"/>
          </w:tcPr>
          <w:p w14:paraId="2A032700">
            <w:pPr>
              <w:pStyle w:val="11"/>
            </w:pPr>
          </w:p>
        </w:tc>
        <w:tc>
          <w:tcPr>
            <w:tcW w:w="1134" w:type="dxa"/>
            <w:vAlign w:val="center"/>
          </w:tcPr>
          <w:p w14:paraId="2A8440E2">
            <w:pPr>
              <w:pStyle w:val="11"/>
            </w:pPr>
          </w:p>
        </w:tc>
      </w:tr>
      <w:tr w14:paraId="283BF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EF8FE">
            <w:pPr>
              <w:pStyle w:val="13"/>
            </w:pPr>
            <w:r>
              <w:t>3</w:t>
            </w:r>
          </w:p>
        </w:tc>
        <w:tc>
          <w:tcPr>
            <w:tcW w:w="992" w:type="dxa"/>
            <w:vAlign w:val="center"/>
          </w:tcPr>
          <w:p w14:paraId="25BD0905">
            <w:pPr>
              <w:pStyle w:val="12"/>
            </w:pPr>
            <w:r>
              <w:t>20502</w:t>
            </w:r>
          </w:p>
        </w:tc>
        <w:tc>
          <w:tcPr>
            <w:tcW w:w="1559" w:type="dxa"/>
            <w:vAlign w:val="center"/>
          </w:tcPr>
          <w:p w14:paraId="6C309A2C">
            <w:pPr>
              <w:pStyle w:val="12"/>
            </w:pPr>
            <w:r>
              <w:t>普通教育</w:t>
            </w:r>
          </w:p>
        </w:tc>
        <w:tc>
          <w:tcPr>
            <w:tcW w:w="1134" w:type="dxa"/>
            <w:vAlign w:val="center"/>
          </w:tcPr>
          <w:p w14:paraId="214154B3">
            <w:pPr>
              <w:pStyle w:val="11"/>
            </w:pPr>
            <w:r>
              <w:t>2964.50</w:t>
            </w:r>
          </w:p>
        </w:tc>
        <w:tc>
          <w:tcPr>
            <w:tcW w:w="1134" w:type="dxa"/>
            <w:vAlign w:val="center"/>
          </w:tcPr>
          <w:p w14:paraId="0EDDA2C4">
            <w:pPr>
              <w:pStyle w:val="11"/>
            </w:pPr>
            <w:r>
              <w:t>2964.50</w:t>
            </w:r>
          </w:p>
        </w:tc>
        <w:tc>
          <w:tcPr>
            <w:tcW w:w="1134" w:type="dxa"/>
            <w:vAlign w:val="center"/>
          </w:tcPr>
          <w:p w14:paraId="2730E8B0">
            <w:pPr>
              <w:pStyle w:val="11"/>
            </w:pPr>
            <w:r>
              <w:t>2964.50</w:t>
            </w:r>
          </w:p>
        </w:tc>
        <w:tc>
          <w:tcPr>
            <w:tcW w:w="1134" w:type="dxa"/>
            <w:vAlign w:val="center"/>
          </w:tcPr>
          <w:p w14:paraId="22AD79FD">
            <w:pPr>
              <w:pStyle w:val="11"/>
            </w:pPr>
          </w:p>
        </w:tc>
        <w:tc>
          <w:tcPr>
            <w:tcW w:w="1134" w:type="dxa"/>
            <w:vAlign w:val="center"/>
          </w:tcPr>
          <w:p w14:paraId="02D9CA2F">
            <w:pPr>
              <w:pStyle w:val="11"/>
            </w:pPr>
          </w:p>
        </w:tc>
        <w:tc>
          <w:tcPr>
            <w:tcW w:w="1134" w:type="dxa"/>
            <w:vAlign w:val="center"/>
          </w:tcPr>
          <w:p w14:paraId="21523785">
            <w:pPr>
              <w:pStyle w:val="11"/>
            </w:pPr>
          </w:p>
        </w:tc>
        <w:tc>
          <w:tcPr>
            <w:tcW w:w="1134" w:type="dxa"/>
            <w:vAlign w:val="center"/>
          </w:tcPr>
          <w:p w14:paraId="7568FB75">
            <w:pPr>
              <w:pStyle w:val="11"/>
            </w:pPr>
          </w:p>
        </w:tc>
        <w:tc>
          <w:tcPr>
            <w:tcW w:w="1134" w:type="dxa"/>
            <w:vAlign w:val="center"/>
          </w:tcPr>
          <w:p w14:paraId="10C4631D">
            <w:pPr>
              <w:pStyle w:val="11"/>
            </w:pPr>
          </w:p>
        </w:tc>
        <w:tc>
          <w:tcPr>
            <w:tcW w:w="1134" w:type="dxa"/>
            <w:vAlign w:val="center"/>
          </w:tcPr>
          <w:p w14:paraId="7DB364B6">
            <w:pPr>
              <w:pStyle w:val="11"/>
            </w:pPr>
          </w:p>
        </w:tc>
        <w:tc>
          <w:tcPr>
            <w:tcW w:w="1134" w:type="dxa"/>
            <w:vAlign w:val="center"/>
          </w:tcPr>
          <w:p w14:paraId="23F95D0F">
            <w:pPr>
              <w:pStyle w:val="11"/>
            </w:pPr>
          </w:p>
        </w:tc>
      </w:tr>
      <w:tr w14:paraId="09B1E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D9730">
            <w:pPr>
              <w:pStyle w:val="13"/>
            </w:pPr>
            <w:r>
              <w:t>4</w:t>
            </w:r>
          </w:p>
        </w:tc>
        <w:tc>
          <w:tcPr>
            <w:tcW w:w="992" w:type="dxa"/>
            <w:vAlign w:val="center"/>
          </w:tcPr>
          <w:p w14:paraId="6182608E">
            <w:pPr>
              <w:pStyle w:val="12"/>
            </w:pPr>
            <w:r>
              <w:t>2050201</w:t>
            </w:r>
          </w:p>
        </w:tc>
        <w:tc>
          <w:tcPr>
            <w:tcW w:w="1559" w:type="dxa"/>
            <w:vAlign w:val="center"/>
          </w:tcPr>
          <w:p w14:paraId="3F416949">
            <w:pPr>
              <w:pStyle w:val="12"/>
            </w:pPr>
            <w:r>
              <w:t>学前教育</w:t>
            </w:r>
          </w:p>
        </w:tc>
        <w:tc>
          <w:tcPr>
            <w:tcW w:w="1134" w:type="dxa"/>
            <w:vAlign w:val="center"/>
          </w:tcPr>
          <w:p w14:paraId="0F1B712C">
            <w:pPr>
              <w:pStyle w:val="11"/>
            </w:pPr>
            <w:r>
              <w:t>220.44</w:t>
            </w:r>
          </w:p>
        </w:tc>
        <w:tc>
          <w:tcPr>
            <w:tcW w:w="1134" w:type="dxa"/>
            <w:vAlign w:val="center"/>
          </w:tcPr>
          <w:p w14:paraId="356B2132">
            <w:pPr>
              <w:pStyle w:val="11"/>
            </w:pPr>
            <w:r>
              <w:t>220.44</w:t>
            </w:r>
          </w:p>
        </w:tc>
        <w:tc>
          <w:tcPr>
            <w:tcW w:w="1134" w:type="dxa"/>
            <w:vAlign w:val="center"/>
          </w:tcPr>
          <w:p w14:paraId="018BA295">
            <w:pPr>
              <w:pStyle w:val="11"/>
            </w:pPr>
            <w:r>
              <w:t>220.44</w:t>
            </w:r>
          </w:p>
        </w:tc>
        <w:tc>
          <w:tcPr>
            <w:tcW w:w="1134" w:type="dxa"/>
            <w:vAlign w:val="center"/>
          </w:tcPr>
          <w:p w14:paraId="7912FA8D">
            <w:pPr>
              <w:pStyle w:val="11"/>
            </w:pPr>
          </w:p>
        </w:tc>
        <w:tc>
          <w:tcPr>
            <w:tcW w:w="1134" w:type="dxa"/>
            <w:vAlign w:val="center"/>
          </w:tcPr>
          <w:p w14:paraId="06674B4E">
            <w:pPr>
              <w:pStyle w:val="11"/>
            </w:pPr>
          </w:p>
        </w:tc>
        <w:tc>
          <w:tcPr>
            <w:tcW w:w="1134" w:type="dxa"/>
            <w:vAlign w:val="center"/>
          </w:tcPr>
          <w:p w14:paraId="3F891EAB">
            <w:pPr>
              <w:pStyle w:val="11"/>
            </w:pPr>
          </w:p>
        </w:tc>
        <w:tc>
          <w:tcPr>
            <w:tcW w:w="1134" w:type="dxa"/>
            <w:vAlign w:val="center"/>
          </w:tcPr>
          <w:p w14:paraId="6558700E">
            <w:pPr>
              <w:pStyle w:val="11"/>
            </w:pPr>
          </w:p>
        </w:tc>
        <w:tc>
          <w:tcPr>
            <w:tcW w:w="1134" w:type="dxa"/>
            <w:vAlign w:val="center"/>
          </w:tcPr>
          <w:p w14:paraId="32896454">
            <w:pPr>
              <w:pStyle w:val="11"/>
            </w:pPr>
          </w:p>
        </w:tc>
        <w:tc>
          <w:tcPr>
            <w:tcW w:w="1134" w:type="dxa"/>
            <w:vAlign w:val="center"/>
          </w:tcPr>
          <w:p w14:paraId="7A4E22C3">
            <w:pPr>
              <w:pStyle w:val="11"/>
            </w:pPr>
          </w:p>
        </w:tc>
        <w:tc>
          <w:tcPr>
            <w:tcW w:w="1134" w:type="dxa"/>
            <w:vAlign w:val="center"/>
          </w:tcPr>
          <w:p w14:paraId="3996AF9F">
            <w:pPr>
              <w:pStyle w:val="11"/>
            </w:pPr>
          </w:p>
        </w:tc>
      </w:tr>
      <w:tr w14:paraId="755BE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F3C87">
            <w:pPr>
              <w:pStyle w:val="13"/>
            </w:pPr>
            <w:r>
              <w:t>5</w:t>
            </w:r>
          </w:p>
        </w:tc>
        <w:tc>
          <w:tcPr>
            <w:tcW w:w="992" w:type="dxa"/>
            <w:vAlign w:val="center"/>
          </w:tcPr>
          <w:p w14:paraId="15E8EF4E">
            <w:pPr>
              <w:pStyle w:val="12"/>
            </w:pPr>
            <w:r>
              <w:t>2050202</w:t>
            </w:r>
          </w:p>
        </w:tc>
        <w:tc>
          <w:tcPr>
            <w:tcW w:w="1559" w:type="dxa"/>
            <w:vAlign w:val="center"/>
          </w:tcPr>
          <w:p w14:paraId="09A3980B">
            <w:pPr>
              <w:pStyle w:val="12"/>
            </w:pPr>
            <w:r>
              <w:t>小学教育</w:t>
            </w:r>
          </w:p>
        </w:tc>
        <w:tc>
          <w:tcPr>
            <w:tcW w:w="1134" w:type="dxa"/>
            <w:vAlign w:val="center"/>
          </w:tcPr>
          <w:p w14:paraId="7B244387">
            <w:pPr>
              <w:pStyle w:val="11"/>
            </w:pPr>
            <w:r>
              <w:t>2744.06</w:t>
            </w:r>
          </w:p>
        </w:tc>
        <w:tc>
          <w:tcPr>
            <w:tcW w:w="1134" w:type="dxa"/>
            <w:vAlign w:val="center"/>
          </w:tcPr>
          <w:p w14:paraId="168AFDA5">
            <w:pPr>
              <w:pStyle w:val="11"/>
            </w:pPr>
            <w:r>
              <w:t>2744.06</w:t>
            </w:r>
          </w:p>
        </w:tc>
        <w:tc>
          <w:tcPr>
            <w:tcW w:w="1134" w:type="dxa"/>
            <w:vAlign w:val="center"/>
          </w:tcPr>
          <w:p w14:paraId="25C7549A">
            <w:pPr>
              <w:pStyle w:val="11"/>
            </w:pPr>
            <w:r>
              <w:t>2744.06</w:t>
            </w:r>
          </w:p>
        </w:tc>
        <w:tc>
          <w:tcPr>
            <w:tcW w:w="1134" w:type="dxa"/>
            <w:vAlign w:val="center"/>
          </w:tcPr>
          <w:p w14:paraId="339AA1B7">
            <w:pPr>
              <w:pStyle w:val="11"/>
            </w:pPr>
          </w:p>
        </w:tc>
        <w:tc>
          <w:tcPr>
            <w:tcW w:w="1134" w:type="dxa"/>
            <w:vAlign w:val="center"/>
          </w:tcPr>
          <w:p w14:paraId="3D89EAC8">
            <w:pPr>
              <w:pStyle w:val="11"/>
            </w:pPr>
          </w:p>
        </w:tc>
        <w:tc>
          <w:tcPr>
            <w:tcW w:w="1134" w:type="dxa"/>
            <w:vAlign w:val="center"/>
          </w:tcPr>
          <w:p w14:paraId="2CE2601E">
            <w:pPr>
              <w:pStyle w:val="11"/>
            </w:pPr>
          </w:p>
        </w:tc>
        <w:tc>
          <w:tcPr>
            <w:tcW w:w="1134" w:type="dxa"/>
            <w:vAlign w:val="center"/>
          </w:tcPr>
          <w:p w14:paraId="5E81B8E7">
            <w:pPr>
              <w:pStyle w:val="11"/>
            </w:pPr>
          </w:p>
        </w:tc>
        <w:tc>
          <w:tcPr>
            <w:tcW w:w="1134" w:type="dxa"/>
            <w:vAlign w:val="center"/>
          </w:tcPr>
          <w:p w14:paraId="13408EFF">
            <w:pPr>
              <w:pStyle w:val="11"/>
            </w:pPr>
          </w:p>
        </w:tc>
        <w:tc>
          <w:tcPr>
            <w:tcW w:w="1134" w:type="dxa"/>
            <w:vAlign w:val="center"/>
          </w:tcPr>
          <w:p w14:paraId="2B396236">
            <w:pPr>
              <w:pStyle w:val="11"/>
            </w:pPr>
          </w:p>
        </w:tc>
        <w:tc>
          <w:tcPr>
            <w:tcW w:w="1134" w:type="dxa"/>
            <w:vAlign w:val="center"/>
          </w:tcPr>
          <w:p w14:paraId="1E17E779">
            <w:pPr>
              <w:pStyle w:val="11"/>
            </w:pPr>
          </w:p>
        </w:tc>
      </w:tr>
    </w:tbl>
    <w:p w14:paraId="7D3DBC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F98C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E6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9E3B42">
            <w:pPr>
              <w:pStyle w:val="9"/>
            </w:pPr>
            <w:r>
              <w:t>360019隆尧县东良校区</w:t>
            </w:r>
          </w:p>
        </w:tc>
        <w:tc>
          <w:tcPr>
            <w:tcW w:w="2722" w:type="dxa"/>
            <w:gridSpan w:val="2"/>
            <w:tcBorders>
              <w:top w:val="single" w:color="FFFFFF" w:sz="6" w:space="0"/>
              <w:left w:val="single" w:color="FFFFFF" w:sz="6" w:space="0"/>
              <w:right w:val="single" w:color="FFFFFF" w:sz="6" w:space="0"/>
            </w:tcBorders>
            <w:vAlign w:val="center"/>
          </w:tcPr>
          <w:p w14:paraId="5718882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E6438E9">
            <w:pPr>
              <w:pStyle w:val="7"/>
            </w:pPr>
            <w:r>
              <w:t>单位：万元</w:t>
            </w:r>
          </w:p>
        </w:tc>
      </w:tr>
      <w:tr w14:paraId="104E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592F5">
            <w:pPr>
              <w:pStyle w:val="10"/>
            </w:pPr>
            <w:r>
              <w:t>序号</w:t>
            </w:r>
          </w:p>
        </w:tc>
        <w:tc>
          <w:tcPr>
            <w:tcW w:w="5527" w:type="dxa"/>
            <w:gridSpan w:val="2"/>
            <w:vAlign w:val="center"/>
          </w:tcPr>
          <w:p w14:paraId="55A0827B">
            <w:pPr>
              <w:pStyle w:val="10"/>
            </w:pPr>
            <w:r>
              <w:t>功能分类科目</w:t>
            </w:r>
          </w:p>
        </w:tc>
        <w:tc>
          <w:tcPr>
            <w:tcW w:w="1361" w:type="dxa"/>
            <w:vMerge w:val="restart"/>
            <w:vAlign w:val="center"/>
          </w:tcPr>
          <w:p w14:paraId="5B4008D0">
            <w:pPr>
              <w:pStyle w:val="10"/>
            </w:pPr>
            <w:r>
              <w:t>合计</w:t>
            </w:r>
          </w:p>
        </w:tc>
        <w:tc>
          <w:tcPr>
            <w:tcW w:w="1361" w:type="dxa"/>
            <w:vMerge w:val="restart"/>
            <w:vAlign w:val="center"/>
          </w:tcPr>
          <w:p w14:paraId="3626588B">
            <w:pPr>
              <w:pStyle w:val="10"/>
            </w:pPr>
            <w:r>
              <w:t>基本支出</w:t>
            </w:r>
          </w:p>
        </w:tc>
        <w:tc>
          <w:tcPr>
            <w:tcW w:w="1361" w:type="dxa"/>
            <w:vMerge w:val="restart"/>
            <w:vAlign w:val="center"/>
          </w:tcPr>
          <w:p w14:paraId="1618BFCB">
            <w:pPr>
              <w:pStyle w:val="10"/>
            </w:pPr>
            <w:r>
              <w:t>项目支出</w:t>
            </w:r>
          </w:p>
        </w:tc>
        <w:tc>
          <w:tcPr>
            <w:tcW w:w="1361" w:type="dxa"/>
            <w:vMerge w:val="restart"/>
            <w:vAlign w:val="center"/>
          </w:tcPr>
          <w:p w14:paraId="1F4F6C95">
            <w:pPr>
              <w:pStyle w:val="10"/>
            </w:pPr>
            <w:r>
              <w:t>经营支出</w:t>
            </w:r>
          </w:p>
        </w:tc>
        <w:tc>
          <w:tcPr>
            <w:tcW w:w="1361" w:type="dxa"/>
            <w:vMerge w:val="restart"/>
            <w:vAlign w:val="center"/>
          </w:tcPr>
          <w:p w14:paraId="22006CCA">
            <w:pPr>
              <w:pStyle w:val="10"/>
            </w:pPr>
            <w:r>
              <w:t>上解上级     支出</w:t>
            </w:r>
          </w:p>
        </w:tc>
        <w:tc>
          <w:tcPr>
            <w:tcW w:w="1361" w:type="dxa"/>
            <w:vMerge w:val="restart"/>
            <w:vAlign w:val="center"/>
          </w:tcPr>
          <w:p w14:paraId="63D5A15E">
            <w:pPr>
              <w:pStyle w:val="10"/>
            </w:pPr>
            <w:r>
              <w:t>对附属单位补助支出</w:t>
            </w:r>
          </w:p>
        </w:tc>
      </w:tr>
      <w:tr w14:paraId="0E75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79D191"/>
        </w:tc>
        <w:tc>
          <w:tcPr>
            <w:tcW w:w="992" w:type="dxa"/>
            <w:vAlign w:val="center"/>
          </w:tcPr>
          <w:p w14:paraId="21EB720A">
            <w:pPr>
              <w:pStyle w:val="10"/>
            </w:pPr>
            <w:r>
              <w:t>科目    编码</w:t>
            </w:r>
          </w:p>
        </w:tc>
        <w:tc>
          <w:tcPr>
            <w:tcW w:w="4535" w:type="dxa"/>
            <w:vAlign w:val="center"/>
          </w:tcPr>
          <w:p w14:paraId="7FBF6E85">
            <w:pPr>
              <w:pStyle w:val="10"/>
            </w:pPr>
            <w:r>
              <w:t>科目名称</w:t>
            </w:r>
          </w:p>
        </w:tc>
        <w:tc>
          <w:tcPr>
            <w:tcW w:w="1361" w:type="dxa"/>
            <w:vMerge w:val="continue"/>
          </w:tcPr>
          <w:p w14:paraId="1C314125"/>
        </w:tc>
        <w:tc>
          <w:tcPr>
            <w:tcW w:w="1361" w:type="dxa"/>
            <w:vMerge w:val="continue"/>
          </w:tcPr>
          <w:p w14:paraId="7C0984A6"/>
        </w:tc>
        <w:tc>
          <w:tcPr>
            <w:tcW w:w="1361" w:type="dxa"/>
            <w:vMerge w:val="continue"/>
          </w:tcPr>
          <w:p w14:paraId="6F73F84C"/>
        </w:tc>
        <w:tc>
          <w:tcPr>
            <w:tcW w:w="1361" w:type="dxa"/>
            <w:vMerge w:val="continue"/>
          </w:tcPr>
          <w:p w14:paraId="181CC899"/>
        </w:tc>
        <w:tc>
          <w:tcPr>
            <w:tcW w:w="1361" w:type="dxa"/>
            <w:vMerge w:val="continue"/>
          </w:tcPr>
          <w:p w14:paraId="24BB123F"/>
        </w:tc>
        <w:tc>
          <w:tcPr>
            <w:tcW w:w="1361" w:type="dxa"/>
            <w:vMerge w:val="continue"/>
          </w:tcPr>
          <w:p w14:paraId="48082C57"/>
        </w:tc>
      </w:tr>
      <w:tr w14:paraId="33D1F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8635E">
            <w:pPr>
              <w:pStyle w:val="10"/>
            </w:pPr>
            <w:r>
              <w:t>栏次</w:t>
            </w:r>
          </w:p>
        </w:tc>
        <w:tc>
          <w:tcPr>
            <w:tcW w:w="992" w:type="dxa"/>
            <w:vAlign w:val="center"/>
          </w:tcPr>
          <w:p w14:paraId="646502A7">
            <w:pPr>
              <w:pStyle w:val="10"/>
            </w:pPr>
            <w:r>
              <w:t>1</w:t>
            </w:r>
          </w:p>
        </w:tc>
        <w:tc>
          <w:tcPr>
            <w:tcW w:w="4535" w:type="dxa"/>
            <w:vAlign w:val="center"/>
          </w:tcPr>
          <w:p w14:paraId="454DBB9E">
            <w:pPr>
              <w:pStyle w:val="10"/>
            </w:pPr>
            <w:r>
              <w:t>2</w:t>
            </w:r>
          </w:p>
        </w:tc>
        <w:tc>
          <w:tcPr>
            <w:tcW w:w="1361" w:type="dxa"/>
            <w:vAlign w:val="center"/>
          </w:tcPr>
          <w:p w14:paraId="6DE650E6">
            <w:pPr>
              <w:pStyle w:val="10"/>
            </w:pPr>
            <w:r>
              <w:t>3</w:t>
            </w:r>
          </w:p>
        </w:tc>
        <w:tc>
          <w:tcPr>
            <w:tcW w:w="1361" w:type="dxa"/>
            <w:vAlign w:val="center"/>
          </w:tcPr>
          <w:p w14:paraId="7583DFB5">
            <w:pPr>
              <w:pStyle w:val="10"/>
            </w:pPr>
            <w:r>
              <w:t>4</w:t>
            </w:r>
          </w:p>
        </w:tc>
        <w:tc>
          <w:tcPr>
            <w:tcW w:w="1361" w:type="dxa"/>
            <w:vAlign w:val="center"/>
          </w:tcPr>
          <w:p w14:paraId="71C10373">
            <w:pPr>
              <w:pStyle w:val="10"/>
            </w:pPr>
            <w:r>
              <w:t>5</w:t>
            </w:r>
          </w:p>
        </w:tc>
        <w:tc>
          <w:tcPr>
            <w:tcW w:w="1361" w:type="dxa"/>
            <w:vAlign w:val="center"/>
          </w:tcPr>
          <w:p w14:paraId="2E128928">
            <w:pPr>
              <w:pStyle w:val="10"/>
            </w:pPr>
            <w:r>
              <w:t>6</w:t>
            </w:r>
          </w:p>
        </w:tc>
        <w:tc>
          <w:tcPr>
            <w:tcW w:w="1361" w:type="dxa"/>
            <w:vAlign w:val="center"/>
          </w:tcPr>
          <w:p w14:paraId="3313918B">
            <w:pPr>
              <w:pStyle w:val="10"/>
            </w:pPr>
            <w:r>
              <w:t>7</w:t>
            </w:r>
          </w:p>
        </w:tc>
        <w:tc>
          <w:tcPr>
            <w:tcW w:w="1361" w:type="dxa"/>
            <w:vAlign w:val="center"/>
          </w:tcPr>
          <w:p w14:paraId="1E4B9B0D">
            <w:pPr>
              <w:pStyle w:val="10"/>
            </w:pPr>
            <w:r>
              <w:t>8</w:t>
            </w:r>
          </w:p>
        </w:tc>
      </w:tr>
      <w:tr w14:paraId="577F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DDEF">
            <w:pPr>
              <w:pStyle w:val="13"/>
            </w:pPr>
            <w:r>
              <w:t>1</w:t>
            </w:r>
          </w:p>
        </w:tc>
        <w:tc>
          <w:tcPr>
            <w:tcW w:w="992" w:type="dxa"/>
            <w:vAlign w:val="center"/>
          </w:tcPr>
          <w:p w14:paraId="5B037C17">
            <w:pPr>
              <w:pStyle w:val="16"/>
            </w:pPr>
          </w:p>
        </w:tc>
        <w:tc>
          <w:tcPr>
            <w:tcW w:w="4535" w:type="dxa"/>
            <w:vAlign w:val="center"/>
          </w:tcPr>
          <w:p w14:paraId="24478DAB">
            <w:pPr>
              <w:pStyle w:val="14"/>
            </w:pPr>
            <w:r>
              <w:t>合计</w:t>
            </w:r>
          </w:p>
        </w:tc>
        <w:tc>
          <w:tcPr>
            <w:tcW w:w="1361" w:type="dxa"/>
            <w:vAlign w:val="center"/>
          </w:tcPr>
          <w:p w14:paraId="71A43459">
            <w:pPr>
              <w:pStyle w:val="15"/>
            </w:pPr>
            <w:r>
              <w:t>2964.50</w:t>
            </w:r>
          </w:p>
        </w:tc>
        <w:tc>
          <w:tcPr>
            <w:tcW w:w="1361" w:type="dxa"/>
            <w:vAlign w:val="center"/>
          </w:tcPr>
          <w:p w14:paraId="7DC2AB6B">
            <w:pPr>
              <w:pStyle w:val="15"/>
            </w:pPr>
            <w:r>
              <w:t>2276.90</w:t>
            </w:r>
          </w:p>
        </w:tc>
        <w:tc>
          <w:tcPr>
            <w:tcW w:w="1361" w:type="dxa"/>
            <w:vAlign w:val="center"/>
          </w:tcPr>
          <w:p w14:paraId="35D20ED9">
            <w:pPr>
              <w:pStyle w:val="15"/>
            </w:pPr>
            <w:r>
              <w:t>687.60</w:t>
            </w:r>
          </w:p>
        </w:tc>
        <w:tc>
          <w:tcPr>
            <w:tcW w:w="1361" w:type="dxa"/>
            <w:vAlign w:val="center"/>
          </w:tcPr>
          <w:p w14:paraId="1AF49095">
            <w:pPr>
              <w:pStyle w:val="15"/>
            </w:pPr>
          </w:p>
        </w:tc>
        <w:tc>
          <w:tcPr>
            <w:tcW w:w="1361" w:type="dxa"/>
            <w:vAlign w:val="center"/>
          </w:tcPr>
          <w:p w14:paraId="0E984FAC">
            <w:pPr>
              <w:pStyle w:val="15"/>
            </w:pPr>
          </w:p>
        </w:tc>
        <w:tc>
          <w:tcPr>
            <w:tcW w:w="1361" w:type="dxa"/>
            <w:vAlign w:val="center"/>
          </w:tcPr>
          <w:p w14:paraId="4E5C4DF6">
            <w:pPr>
              <w:pStyle w:val="15"/>
            </w:pPr>
          </w:p>
        </w:tc>
      </w:tr>
      <w:tr w14:paraId="67D1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5831D">
            <w:pPr>
              <w:pStyle w:val="13"/>
            </w:pPr>
            <w:r>
              <w:t>2</w:t>
            </w:r>
          </w:p>
        </w:tc>
        <w:tc>
          <w:tcPr>
            <w:tcW w:w="992" w:type="dxa"/>
            <w:vAlign w:val="center"/>
          </w:tcPr>
          <w:p w14:paraId="451A1B0E">
            <w:pPr>
              <w:pStyle w:val="12"/>
            </w:pPr>
            <w:r>
              <w:t>205</w:t>
            </w:r>
          </w:p>
        </w:tc>
        <w:tc>
          <w:tcPr>
            <w:tcW w:w="4535" w:type="dxa"/>
            <w:vAlign w:val="center"/>
          </w:tcPr>
          <w:p w14:paraId="5A894108">
            <w:pPr>
              <w:pStyle w:val="12"/>
            </w:pPr>
            <w:r>
              <w:t>教育支出</w:t>
            </w:r>
          </w:p>
        </w:tc>
        <w:tc>
          <w:tcPr>
            <w:tcW w:w="1361" w:type="dxa"/>
            <w:vAlign w:val="center"/>
          </w:tcPr>
          <w:p w14:paraId="46D4F116">
            <w:pPr>
              <w:pStyle w:val="11"/>
            </w:pPr>
            <w:r>
              <w:t>2964.50</w:t>
            </w:r>
          </w:p>
        </w:tc>
        <w:tc>
          <w:tcPr>
            <w:tcW w:w="1361" w:type="dxa"/>
            <w:vAlign w:val="center"/>
          </w:tcPr>
          <w:p w14:paraId="2B190E0B">
            <w:pPr>
              <w:pStyle w:val="11"/>
            </w:pPr>
            <w:r>
              <w:t>2276.90</w:t>
            </w:r>
          </w:p>
        </w:tc>
        <w:tc>
          <w:tcPr>
            <w:tcW w:w="1361" w:type="dxa"/>
            <w:vAlign w:val="center"/>
          </w:tcPr>
          <w:p w14:paraId="28DAB89F">
            <w:pPr>
              <w:pStyle w:val="11"/>
            </w:pPr>
            <w:r>
              <w:t>687.60</w:t>
            </w:r>
          </w:p>
        </w:tc>
        <w:tc>
          <w:tcPr>
            <w:tcW w:w="1361" w:type="dxa"/>
            <w:vAlign w:val="center"/>
          </w:tcPr>
          <w:p w14:paraId="0B8869DB">
            <w:pPr>
              <w:pStyle w:val="11"/>
            </w:pPr>
          </w:p>
        </w:tc>
        <w:tc>
          <w:tcPr>
            <w:tcW w:w="1361" w:type="dxa"/>
            <w:vAlign w:val="center"/>
          </w:tcPr>
          <w:p w14:paraId="16C262A9">
            <w:pPr>
              <w:pStyle w:val="11"/>
            </w:pPr>
          </w:p>
        </w:tc>
        <w:tc>
          <w:tcPr>
            <w:tcW w:w="1361" w:type="dxa"/>
            <w:vAlign w:val="center"/>
          </w:tcPr>
          <w:p w14:paraId="21F22D71">
            <w:pPr>
              <w:pStyle w:val="11"/>
            </w:pPr>
          </w:p>
        </w:tc>
      </w:tr>
      <w:tr w14:paraId="75CD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6A6AF">
            <w:pPr>
              <w:pStyle w:val="13"/>
            </w:pPr>
            <w:r>
              <w:t>3</w:t>
            </w:r>
          </w:p>
        </w:tc>
        <w:tc>
          <w:tcPr>
            <w:tcW w:w="992" w:type="dxa"/>
            <w:vAlign w:val="center"/>
          </w:tcPr>
          <w:p w14:paraId="5F78709F">
            <w:pPr>
              <w:pStyle w:val="12"/>
            </w:pPr>
            <w:r>
              <w:t>20502</w:t>
            </w:r>
          </w:p>
        </w:tc>
        <w:tc>
          <w:tcPr>
            <w:tcW w:w="4535" w:type="dxa"/>
            <w:vAlign w:val="center"/>
          </w:tcPr>
          <w:p w14:paraId="53475BA5">
            <w:pPr>
              <w:pStyle w:val="12"/>
            </w:pPr>
            <w:r>
              <w:t>普通教育</w:t>
            </w:r>
          </w:p>
        </w:tc>
        <w:tc>
          <w:tcPr>
            <w:tcW w:w="1361" w:type="dxa"/>
            <w:vAlign w:val="center"/>
          </w:tcPr>
          <w:p w14:paraId="1F515A9D">
            <w:pPr>
              <w:pStyle w:val="11"/>
            </w:pPr>
            <w:r>
              <w:t>2964.50</w:t>
            </w:r>
          </w:p>
        </w:tc>
        <w:tc>
          <w:tcPr>
            <w:tcW w:w="1361" w:type="dxa"/>
            <w:vAlign w:val="center"/>
          </w:tcPr>
          <w:p w14:paraId="7089773D">
            <w:pPr>
              <w:pStyle w:val="11"/>
            </w:pPr>
            <w:r>
              <w:t>2276.90</w:t>
            </w:r>
          </w:p>
        </w:tc>
        <w:tc>
          <w:tcPr>
            <w:tcW w:w="1361" w:type="dxa"/>
            <w:vAlign w:val="center"/>
          </w:tcPr>
          <w:p w14:paraId="0088850C">
            <w:pPr>
              <w:pStyle w:val="11"/>
            </w:pPr>
            <w:r>
              <w:t>687.60</w:t>
            </w:r>
          </w:p>
        </w:tc>
        <w:tc>
          <w:tcPr>
            <w:tcW w:w="1361" w:type="dxa"/>
            <w:vAlign w:val="center"/>
          </w:tcPr>
          <w:p w14:paraId="0566221E">
            <w:pPr>
              <w:pStyle w:val="11"/>
            </w:pPr>
          </w:p>
        </w:tc>
        <w:tc>
          <w:tcPr>
            <w:tcW w:w="1361" w:type="dxa"/>
            <w:vAlign w:val="center"/>
          </w:tcPr>
          <w:p w14:paraId="7A4E5B64">
            <w:pPr>
              <w:pStyle w:val="11"/>
            </w:pPr>
          </w:p>
        </w:tc>
        <w:tc>
          <w:tcPr>
            <w:tcW w:w="1361" w:type="dxa"/>
            <w:vAlign w:val="center"/>
          </w:tcPr>
          <w:p w14:paraId="6AB58EDA">
            <w:pPr>
              <w:pStyle w:val="11"/>
            </w:pPr>
          </w:p>
        </w:tc>
      </w:tr>
      <w:tr w14:paraId="2F79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2E00F">
            <w:pPr>
              <w:pStyle w:val="13"/>
            </w:pPr>
            <w:r>
              <w:t>4</w:t>
            </w:r>
          </w:p>
        </w:tc>
        <w:tc>
          <w:tcPr>
            <w:tcW w:w="992" w:type="dxa"/>
            <w:vAlign w:val="center"/>
          </w:tcPr>
          <w:p w14:paraId="4DEF3DF0">
            <w:pPr>
              <w:pStyle w:val="12"/>
            </w:pPr>
            <w:r>
              <w:t>2050201</w:t>
            </w:r>
          </w:p>
        </w:tc>
        <w:tc>
          <w:tcPr>
            <w:tcW w:w="4535" w:type="dxa"/>
            <w:vAlign w:val="center"/>
          </w:tcPr>
          <w:p w14:paraId="0AA78764">
            <w:pPr>
              <w:pStyle w:val="12"/>
            </w:pPr>
            <w:r>
              <w:t>学前教育</w:t>
            </w:r>
          </w:p>
        </w:tc>
        <w:tc>
          <w:tcPr>
            <w:tcW w:w="1361" w:type="dxa"/>
            <w:vAlign w:val="center"/>
          </w:tcPr>
          <w:p w14:paraId="405A60DA">
            <w:pPr>
              <w:pStyle w:val="11"/>
            </w:pPr>
            <w:r>
              <w:t>220.44</w:t>
            </w:r>
          </w:p>
        </w:tc>
        <w:tc>
          <w:tcPr>
            <w:tcW w:w="1361" w:type="dxa"/>
            <w:vAlign w:val="center"/>
          </w:tcPr>
          <w:p w14:paraId="02368808">
            <w:pPr>
              <w:pStyle w:val="11"/>
            </w:pPr>
          </w:p>
        </w:tc>
        <w:tc>
          <w:tcPr>
            <w:tcW w:w="1361" w:type="dxa"/>
            <w:vAlign w:val="center"/>
          </w:tcPr>
          <w:p w14:paraId="2B114DF6">
            <w:pPr>
              <w:pStyle w:val="11"/>
            </w:pPr>
            <w:r>
              <w:t>220.44</w:t>
            </w:r>
          </w:p>
        </w:tc>
        <w:tc>
          <w:tcPr>
            <w:tcW w:w="1361" w:type="dxa"/>
            <w:vAlign w:val="center"/>
          </w:tcPr>
          <w:p w14:paraId="40E2F414">
            <w:pPr>
              <w:pStyle w:val="11"/>
            </w:pPr>
          </w:p>
        </w:tc>
        <w:tc>
          <w:tcPr>
            <w:tcW w:w="1361" w:type="dxa"/>
            <w:vAlign w:val="center"/>
          </w:tcPr>
          <w:p w14:paraId="6955DC73">
            <w:pPr>
              <w:pStyle w:val="11"/>
            </w:pPr>
          </w:p>
        </w:tc>
        <w:tc>
          <w:tcPr>
            <w:tcW w:w="1361" w:type="dxa"/>
            <w:vAlign w:val="center"/>
          </w:tcPr>
          <w:p w14:paraId="1C9F2CF4">
            <w:pPr>
              <w:pStyle w:val="11"/>
            </w:pPr>
          </w:p>
        </w:tc>
      </w:tr>
      <w:tr w14:paraId="56A9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89FB6">
            <w:pPr>
              <w:pStyle w:val="13"/>
            </w:pPr>
            <w:r>
              <w:t>5</w:t>
            </w:r>
          </w:p>
        </w:tc>
        <w:tc>
          <w:tcPr>
            <w:tcW w:w="992" w:type="dxa"/>
            <w:vAlign w:val="center"/>
          </w:tcPr>
          <w:p w14:paraId="1B3DF179">
            <w:pPr>
              <w:pStyle w:val="12"/>
            </w:pPr>
            <w:r>
              <w:t>2050202</w:t>
            </w:r>
          </w:p>
        </w:tc>
        <w:tc>
          <w:tcPr>
            <w:tcW w:w="4535" w:type="dxa"/>
            <w:vAlign w:val="center"/>
          </w:tcPr>
          <w:p w14:paraId="29F65E26">
            <w:pPr>
              <w:pStyle w:val="12"/>
            </w:pPr>
            <w:r>
              <w:t>小学教育</w:t>
            </w:r>
          </w:p>
        </w:tc>
        <w:tc>
          <w:tcPr>
            <w:tcW w:w="1361" w:type="dxa"/>
            <w:vAlign w:val="center"/>
          </w:tcPr>
          <w:p w14:paraId="65CC7FC9">
            <w:pPr>
              <w:pStyle w:val="11"/>
            </w:pPr>
            <w:r>
              <w:t>2744.06</w:t>
            </w:r>
          </w:p>
        </w:tc>
        <w:tc>
          <w:tcPr>
            <w:tcW w:w="1361" w:type="dxa"/>
            <w:vAlign w:val="center"/>
          </w:tcPr>
          <w:p w14:paraId="780ECD34">
            <w:pPr>
              <w:pStyle w:val="11"/>
            </w:pPr>
            <w:r>
              <w:t>2276.90</w:t>
            </w:r>
          </w:p>
        </w:tc>
        <w:tc>
          <w:tcPr>
            <w:tcW w:w="1361" w:type="dxa"/>
            <w:vAlign w:val="center"/>
          </w:tcPr>
          <w:p w14:paraId="66C87561">
            <w:pPr>
              <w:pStyle w:val="11"/>
            </w:pPr>
            <w:r>
              <w:t>467.16</w:t>
            </w:r>
          </w:p>
        </w:tc>
        <w:tc>
          <w:tcPr>
            <w:tcW w:w="1361" w:type="dxa"/>
            <w:vAlign w:val="center"/>
          </w:tcPr>
          <w:p w14:paraId="73F18C7E">
            <w:pPr>
              <w:pStyle w:val="11"/>
            </w:pPr>
          </w:p>
        </w:tc>
        <w:tc>
          <w:tcPr>
            <w:tcW w:w="1361" w:type="dxa"/>
            <w:vAlign w:val="center"/>
          </w:tcPr>
          <w:p w14:paraId="4CCA1279">
            <w:pPr>
              <w:pStyle w:val="11"/>
            </w:pPr>
          </w:p>
        </w:tc>
        <w:tc>
          <w:tcPr>
            <w:tcW w:w="1361" w:type="dxa"/>
            <w:vAlign w:val="center"/>
          </w:tcPr>
          <w:p w14:paraId="5189CE64">
            <w:pPr>
              <w:pStyle w:val="11"/>
            </w:pPr>
          </w:p>
        </w:tc>
      </w:tr>
    </w:tbl>
    <w:p w14:paraId="00F704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6721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66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B3A7C1">
            <w:pPr>
              <w:pStyle w:val="9"/>
            </w:pPr>
            <w:r>
              <w:t>360019隆尧县东良校区</w:t>
            </w:r>
          </w:p>
        </w:tc>
        <w:tc>
          <w:tcPr>
            <w:tcW w:w="3402" w:type="dxa"/>
            <w:tcBorders>
              <w:top w:val="single" w:color="FFFFFF" w:sz="6" w:space="0"/>
              <w:left w:val="single" w:color="FFFFFF" w:sz="6" w:space="0"/>
              <w:right w:val="single" w:color="FFFFFF" w:sz="6" w:space="0"/>
            </w:tcBorders>
            <w:vAlign w:val="center"/>
          </w:tcPr>
          <w:p w14:paraId="1D2C017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E4C900C">
            <w:pPr>
              <w:pStyle w:val="7"/>
            </w:pPr>
            <w:r>
              <w:t>单位：万元</w:t>
            </w:r>
          </w:p>
        </w:tc>
      </w:tr>
      <w:tr w14:paraId="184E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4680B">
            <w:pPr>
              <w:pStyle w:val="10"/>
            </w:pPr>
            <w:r>
              <w:t>序号</w:t>
            </w:r>
          </w:p>
        </w:tc>
        <w:tc>
          <w:tcPr>
            <w:tcW w:w="4876" w:type="dxa"/>
            <w:gridSpan w:val="2"/>
            <w:vAlign w:val="center"/>
          </w:tcPr>
          <w:p w14:paraId="33542680">
            <w:pPr>
              <w:pStyle w:val="10"/>
            </w:pPr>
            <w:r>
              <w:t>收入</w:t>
            </w:r>
          </w:p>
        </w:tc>
        <w:tc>
          <w:tcPr>
            <w:tcW w:w="9298" w:type="dxa"/>
            <w:gridSpan w:val="5"/>
            <w:vAlign w:val="center"/>
          </w:tcPr>
          <w:p w14:paraId="4F47465C">
            <w:pPr>
              <w:pStyle w:val="10"/>
            </w:pPr>
            <w:r>
              <w:t>支出</w:t>
            </w:r>
          </w:p>
        </w:tc>
      </w:tr>
      <w:tr w14:paraId="7EF8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86235"/>
        </w:tc>
        <w:tc>
          <w:tcPr>
            <w:tcW w:w="3402" w:type="dxa"/>
            <w:vAlign w:val="center"/>
          </w:tcPr>
          <w:p w14:paraId="1981A5BE">
            <w:pPr>
              <w:pStyle w:val="10"/>
            </w:pPr>
            <w:r>
              <w:t>项  目</w:t>
            </w:r>
          </w:p>
        </w:tc>
        <w:tc>
          <w:tcPr>
            <w:tcW w:w="1474" w:type="dxa"/>
            <w:vAlign w:val="center"/>
          </w:tcPr>
          <w:p w14:paraId="6617F524">
            <w:pPr>
              <w:pStyle w:val="10"/>
            </w:pPr>
            <w:r>
              <w:t>金额</w:t>
            </w:r>
          </w:p>
        </w:tc>
        <w:tc>
          <w:tcPr>
            <w:tcW w:w="3402" w:type="dxa"/>
            <w:vAlign w:val="center"/>
          </w:tcPr>
          <w:p w14:paraId="5104BF85">
            <w:pPr>
              <w:pStyle w:val="10"/>
            </w:pPr>
            <w:r>
              <w:t>项  目</w:t>
            </w:r>
          </w:p>
        </w:tc>
        <w:tc>
          <w:tcPr>
            <w:tcW w:w="1474" w:type="dxa"/>
            <w:vAlign w:val="center"/>
          </w:tcPr>
          <w:p w14:paraId="359F0623">
            <w:pPr>
              <w:pStyle w:val="10"/>
            </w:pPr>
            <w:r>
              <w:t>合计</w:t>
            </w:r>
          </w:p>
        </w:tc>
        <w:tc>
          <w:tcPr>
            <w:tcW w:w="1474" w:type="dxa"/>
            <w:vAlign w:val="center"/>
          </w:tcPr>
          <w:p w14:paraId="0ADCD5A4">
            <w:pPr>
              <w:pStyle w:val="10"/>
            </w:pPr>
            <w:r>
              <w:t>一般公共预算财政拨款</w:t>
            </w:r>
          </w:p>
        </w:tc>
        <w:tc>
          <w:tcPr>
            <w:tcW w:w="1474" w:type="dxa"/>
            <w:vAlign w:val="center"/>
          </w:tcPr>
          <w:p w14:paraId="5F2DBFF5">
            <w:pPr>
              <w:pStyle w:val="10"/>
            </w:pPr>
            <w:r>
              <w:t>政府性基金预算财政    拨款</w:t>
            </w:r>
          </w:p>
        </w:tc>
        <w:tc>
          <w:tcPr>
            <w:tcW w:w="1474" w:type="dxa"/>
            <w:vAlign w:val="center"/>
          </w:tcPr>
          <w:p w14:paraId="14076CB3">
            <w:pPr>
              <w:pStyle w:val="10"/>
            </w:pPr>
            <w:r>
              <w:t>国有资本经营预算财政拨款</w:t>
            </w:r>
          </w:p>
        </w:tc>
      </w:tr>
      <w:tr w14:paraId="0F7F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C1AE96">
            <w:pPr>
              <w:pStyle w:val="10"/>
            </w:pPr>
            <w:r>
              <w:t>栏次</w:t>
            </w:r>
          </w:p>
        </w:tc>
        <w:tc>
          <w:tcPr>
            <w:tcW w:w="3402" w:type="dxa"/>
            <w:vAlign w:val="center"/>
          </w:tcPr>
          <w:p w14:paraId="75DCE413">
            <w:pPr>
              <w:pStyle w:val="10"/>
            </w:pPr>
            <w:r>
              <w:t>1</w:t>
            </w:r>
          </w:p>
        </w:tc>
        <w:tc>
          <w:tcPr>
            <w:tcW w:w="1474" w:type="dxa"/>
            <w:vAlign w:val="center"/>
          </w:tcPr>
          <w:p w14:paraId="1B6E21B1">
            <w:pPr>
              <w:pStyle w:val="10"/>
            </w:pPr>
            <w:r>
              <w:t>2</w:t>
            </w:r>
          </w:p>
        </w:tc>
        <w:tc>
          <w:tcPr>
            <w:tcW w:w="3402" w:type="dxa"/>
            <w:vAlign w:val="center"/>
          </w:tcPr>
          <w:p w14:paraId="6A6D6547">
            <w:pPr>
              <w:pStyle w:val="10"/>
            </w:pPr>
            <w:r>
              <w:t>3</w:t>
            </w:r>
          </w:p>
        </w:tc>
        <w:tc>
          <w:tcPr>
            <w:tcW w:w="1474" w:type="dxa"/>
            <w:vAlign w:val="center"/>
          </w:tcPr>
          <w:p w14:paraId="17F1FCA4">
            <w:pPr>
              <w:pStyle w:val="10"/>
            </w:pPr>
            <w:r>
              <w:t>4</w:t>
            </w:r>
          </w:p>
        </w:tc>
        <w:tc>
          <w:tcPr>
            <w:tcW w:w="1474" w:type="dxa"/>
            <w:vAlign w:val="center"/>
          </w:tcPr>
          <w:p w14:paraId="57E65E49">
            <w:pPr>
              <w:pStyle w:val="10"/>
            </w:pPr>
            <w:r>
              <w:t>5</w:t>
            </w:r>
          </w:p>
        </w:tc>
        <w:tc>
          <w:tcPr>
            <w:tcW w:w="1474" w:type="dxa"/>
            <w:vAlign w:val="center"/>
          </w:tcPr>
          <w:p w14:paraId="22C5707A">
            <w:pPr>
              <w:pStyle w:val="10"/>
            </w:pPr>
            <w:r>
              <w:t>6</w:t>
            </w:r>
          </w:p>
        </w:tc>
        <w:tc>
          <w:tcPr>
            <w:tcW w:w="1474" w:type="dxa"/>
            <w:vAlign w:val="center"/>
          </w:tcPr>
          <w:p w14:paraId="5CF469CE">
            <w:pPr>
              <w:pStyle w:val="10"/>
            </w:pPr>
            <w:r>
              <w:t>7</w:t>
            </w:r>
          </w:p>
        </w:tc>
      </w:tr>
      <w:tr w14:paraId="34E7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06CDE">
            <w:pPr>
              <w:pStyle w:val="13"/>
            </w:pPr>
            <w:r>
              <w:t>1</w:t>
            </w:r>
          </w:p>
        </w:tc>
        <w:tc>
          <w:tcPr>
            <w:tcW w:w="3402" w:type="dxa"/>
            <w:vAlign w:val="center"/>
          </w:tcPr>
          <w:p w14:paraId="6E8CCD9E">
            <w:pPr>
              <w:pStyle w:val="12"/>
            </w:pPr>
            <w:r>
              <w:t>一、一般公共预算拨款</w:t>
            </w:r>
          </w:p>
        </w:tc>
        <w:tc>
          <w:tcPr>
            <w:tcW w:w="1474" w:type="dxa"/>
            <w:vAlign w:val="center"/>
          </w:tcPr>
          <w:p w14:paraId="7056B893">
            <w:pPr>
              <w:pStyle w:val="11"/>
            </w:pPr>
            <w:r>
              <w:t>2964.50</w:t>
            </w:r>
          </w:p>
        </w:tc>
        <w:tc>
          <w:tcPr>
            <w:tcW w:w="3402" w:type="dxa"/>
            <w:vAlign w:val="center"/>
          </w:tcPr>
          <w:p w14:paraId="75E8C6C4">
            <w:pPr>
              <w:pStyle w:val="12"/>
            </w:pPr>
            <w:r>
              <w:t>一、一般公共服务支出</w:t>
            </w:r>
          </w:p>
        </w:tc>
        <w:tc>
          <w:tcPr>
            <w:tcW w:w="1474" w:type="dxa"/>
            <w:vAlign w:val="center"/>
          </w:tcPr>
          <w:p w14:paraId="39B55675">
            <w:pPr>
              <w:pStyle w:val="11"/>
            </w:pPr>
          </w:p>
        </w:tc>
        <w:tc>
          <w:tcPr>
            <w:tcW w:w="1474" w:type="dxa"/>
            <w:vAlign w:val="center"/>
          </w:tcPr>
          <w:p w14:paraId="61AC3950">
            <w:pPr>
              <w:pStyle w:val="11"/>
            </w:pPr>
          </w:p>
        </w:tc>
        <w:tc>
          <w:tcPr>
            <w:tcW w:w="1474" w:type="dxa"/>
            <w:vAlign w:val="center"/>
          </w:tcPr>
          <w:p w14:paraId="768F159F">
            <w:pPr>
              <w:pStyle w:val="11"/>
            </w:pPr>
          </w:p>
        </w:tc>
        <w:tc>
          <w:tcPr>
            <w:tcW w:w="1474" w:type="dxa"/>
            <w:vAlign w:val="center"/>
          </w:tcPr>
          <w:p w14:paraId="6E077C59">
            <w:pPr>
              <w:pStyle w:val="11"/>
            </w:pPr>
          </w:p>
        </w:tc>
      </w:tr>
      <w:tr w14:paraId="1C18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98AEB">
            <w:pPr>
              <w:pStyle w:val="13"/>
            </w:pPr>
            <w:r>
              <w:t>2</w:t>
            </w:r>
          </w:p>
        </w:tc>
        <w:tc>
          <w:tcPr>
            <w:tcW w:w="3402" w:type="dxa"/>
            <w:vAlign w:val="center"/>
          </w:tcPr>
          <w:p w14:paraId="1D226BCF">
            <w:pPr>
              <w:pStyle w:val="12"/>
            </w:pPr>
            <w:r>
              <w:t>二、政府性基金预算拨款</w:t>
            </w:r>
          </w:p>
        </w:tc>
        <w:tc>
          <w:tcPr>
            <w:tcW w:w="1474" w:type="dxa"/>
            <w:vAlign w:val="center"/>
          </w:tcPr>
          <w:p w14:paraId="6AA3D46E">
            <w:pPr>
              <w:pStyle w:val="11"/>
            </w:pPr>
          </w:p>
        </w:tc>
        <w:tc>
          <w:tcPr>
            <w:tcW w:w="3402" w:type="dxa"/>
            <w:vAlign w:val="center"/>
          </w:tcPr>
          <w:p w14:paraId="36AF863F">
            <w:pPr>
              <w:pStyle w:val="12"/>
            </w:pPr>
            <w:r>
              <w:t>二、外交支出</w:t>
            </w:r>
          </w:p>
        </w:tc>
        <w:tc>
          <w:tcPr>
            <w:tcW w:w="1474" w:type="dxa"/>
            <w:vAlign w:val="center"/>
          </w:tcPr>
          <w:p w14:paraId="5E2F4C44">
            <w:pPr>
              <w:pStyle w:val="11"/>
            </w:pPr>
          </w:p>
        </w:tc>
        <w:tc>
          <w:tcPr>
            <w:tcW w:w="1474" w:type="dxa"/>
            <w:vAlign w:val="center"/>
          </w:tcPr>
          <w:p w14:paraId="3E745AA1">
            <w:pPr>
              <w:pStyle w:val="11"/>
            </w:pPr>
          </w:p>
        </w:tc>
        <w:tc>
          <w:tcPr>
            <w:tcW w:w="1474" w:type="dxa"/>
            <w:vAlign w:val="center"/>
          </w:tcPr>
          <w:p w14:paraId="79256DDC">
            <w:pPr>
              <w:pStyle w:val="11"/>
            </w:pPr>
          </w:p>
        </w:tc>
        <w:tc>
          <w:tcPr>
            <w:tcW w:w="1474" w:type="dxa"/>
            <w:vAlign w:val="center"/>
          </w:tcPr>
          <w:p w14:paraId="12842D88">
            <w:pPr>
              <w:pStyle w:val="11"/>
            </w:pPr>
          </w:p>
        </w:tc>
      </w:tr>
      <w:tr w14:paraId="1C5CE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8CD00">
            <w:pPr>
              <w:pStyle w:val="13"/>
            </w:pPr>
            <w:r>
              <w:t>3</w:t>
            </w:r>
          </w:p>
        </w:tc>
        <w:tc>
          <w:tcPr>
            <w:tcW w:w="3402" w:type="dxa"/>
            <w:vAlign w:val="center"/>
          </w:tcPr>
          <w:p w14:paraId="48920762">
            <w:pPr>
              <w:pStyle w:val="12"/>
            </w:pPr>
            <w:r>
              <w:t>三、国有资本经营预算拨款</w:t>
            </w:r>
          </w:p>
        </w:tc>
        <w:tc>
          <w:tcPr>
            <w:tcW w:w="1474" w:type="dxa"/>
            <w:vAlign w:val="center"/>
          </w:tcPr>
          <w:p w14:paraId="361FF4D2">
            <w:pPr>
              <w:pStyle w:val="11"/>
            </w:pPr>
          </w:p>
        </w:tc>
        <w:tc>
          <w:tcPr>
            <w:tcW w:w="3402" w:type="dxa"/>
            <w:vAlign w:val="center"/>
          </w:tcPr>
          <w:p w14:paraId="26EBD618">
            <w:pPr>
              <w:pStyle w:val="12"/>
            </w:pPr>
            <w:r>
              <w:t>三、国防支出</w:t>
            </w:r>
          </w:p>
        </w:tc>
        <w:tc>
          <w:tcPr>
            <w:tcW w:w="1474" w:type="dxa"/>
            <w:vAlign w:val="center"/>
          </w:tcPr>
          <w:p w14:paraId="1171F7EB">
            <w:pPr>
              <w:pStyle w:val="11"/>
            </w:pPr>
          </w:p>
        </w:tc>
        <w:tc>
          <w:tcPr>
            <w:tcW w:w="1474" w:type="dxa"/>
            <w:vAlign w:val="center"/>
          </w:tcPr>
          <w:p w14:paraId="43B17505">
            <w:pPr>
              <w:pStyle w:val="11"/>
            </w:pPr>
          </w:p>
        </w:tc>
        <w:tc>
          <w:tcPr>
            <w:tcW w:w="1474" w:type="dxa"/>
            <w:vAlign w:val="center"/>
          </w:tcPr>
          <w:p w14:paraId="55B9D17A">
            <w:pPr>
              <w:pStyle w:val="11"/>
            </w:pPr>
          </w:p>
        </w:tc>
        <w:tc>
          <w:tcPr>
            <w:tcW w:w="1474" w:type="dxa"/>
            <w:vAlign w:val="center"/>
          </w:tcPr>
          <w:p w14:paraId="1C49A2D0">
            <w:pPr>
              <w:pStyle w:val="11"/>
            </w:pPr>
          </w:p>
        </w:tc>
      </w:tr>
      <w:tr w14:paraId="50E9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ECA3">
            <w:pPr>
              <w:pStyle w:val="13"/>
            </w:pPr>
            <w:r>
              <w:t>4</w:t>
            </w:r>
          </w:p>
        </w:tc>
        <w:tc>
          <w:tcPr>
            <w:tcW w:w="3402" w:type="dxa"/>
            <w:vAlign w:val="center"/>
          </w:tcPr>
          <w:p w14:paraId="7225B01C">
            <w:pPr>
              <w:pStyle w:val="12"/>
            </w:pPr>
          </w:p>
        </w:tc>
        <w:tc>
          <w:tcPr>
            <w:tcW w:w="1474" w:type="dxa"/>
            <w:vAlign w:val="center"/>
          </w:tcPr>
          <w:p w14:paraId="515613DE">
            <w:pPr>
              <w:pStyle w:val="11"/>
            </w:pPr>
          </w:p>
        </w:tc>
        <w:tc>
          <w:tcPr>
            <w:tcW w:w="3402" w:type="dxa"/>
            <w:vAlign w:val="center"/>
          </w:tcPr>
          <w:p w14:paraId="168515EE">
            <w:pPr>
              <w:pStyle w:val="12"/>
            </w:pPr>
            <w:r>
              <w:t>四、公共安全支出</w:t>
            </w:r>
          </w:p>
        </w:tc>
        <w:tc>
          <w:tcPr>
            <w:tcW w:w="1474" w:type="dxa"/>
            <w:vAlign w:val="center"/>
          </w:tcPr>
          <w:p w14:paraId="7ABA4051">
            <w:pPr>
              <w:pStyle w:val="11"/>
            </w:pPr>
          </w:p>
        </w:tc>
        <w:tc>
          <w:tcPr>
            <w:tcW w:w="1474" w:type="dxa"/>
            <w:vAlign w:val="center"/>
          </w:tcPr>
          <w:p w14:paraId="5F06BFF2">
            <w:pPr>
              <w:pStyle w:val="11"/>
            </w:pPr>
          </w:p>
        </w:tc>
        <w:tc>
          <w:tcPr>
            <w:tcW w:w="1474" w:type="dxa"/>
            <w:vAlign w:val="center"/>
          </w:tcPr>
          <w:p w14:paraId="2076E315">
            <w:pPr>
              <w:pStyle w:val="11"/>
            </w:pPr>
          </w:p>
        </w:tc>
        <w:tc>
          <w:tcPr>
            <w:tcW w:w="1474" w:type="dxa"/>
            <w:vAlign w:val="center"/>
          </w:tcPr>
          <w:p w14:paraId="290CC12A">
            <w:pPr>
              <w:pStyle w:val="11"/>
            </w:pPr>
          </w:p>
        </w:tc>
      </w:tr>
      <w:tr w14:paraId="3C66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31AB">
            <w:pPr>
              <w:pStyle w:val="13"/>
            </w:pPr>
            <w:r>
              <w:t>5</w:t>
            </w:r>
          </w:p>
        </w:tc>
        <w:tc>
          <w:tcPr>
            <w:tcW w:w="3402" w:type="dxa"/>
            <w:vAlign w:val="center"/>
          </w:tcPr>
          <w:p w14:paraId="775F8DBB">
            <w:pPr>
              <w:pStyle w:val="12"/>
            </w:pPr>
          </w:p>
        </w:tc>
        <w:tc>
          <w:tcPr>
            <w:tcW w:w="1474" w:type="dxa"/>
            <w:vAlign w:val="center"/>
          </w:tcPr>
          <w:p w14:paraId="56A7C76D">
            <w:pPr>
              <w:pStyle w:val="11"/>
            </w:pPr>
          </w:p>
        </w:tc>
        <w:tc>
          <w:tcPr>
            <w:tcW w:w="3402" w:type="dxa"/>
            <w:vAlign w:val="center"/>
          </w:tcPr>
          <w:p w14:paraId="14480A76">
            <w:pPr>
              <w:pStyle w:val="12"/>
            </w:pPr>
            <w:r>
              <w:t>五、教育支出</w:t>
            </w:r>
          </w:p>
        </w:tc>
        <w:tc>
          <w:tcPr>
            <w:tcW w:w="1474" w:type="dxa"/>
            <w:vAlign w:val="center"/>
          </w:tcPr>
          <w:p w14:paraId="6D31685E">
            <w:pPr>
              <w:pStyle w:val="11"/>
            </w:pPr>
            <w:r>
              <w:t>2964.50</w:t>
            </w:r>
          </w:p>
        </w:tc>
        <w:tc>
          <w:tcPr>
            <w:tcW w:w="1474" w:type="dxa"/>
            <w:vAlign w:val="center"/>
          </w:tcPr>
          <w:p w14:paraId="5FCCFAE2">
            <w:pPr>
              <w:pStyle w:val="11"/>
            </w:pPr>
            <w:r>
              <w:t>2964.50</w:t>
            </w:r>
          </w:p>
        </w:tc>
        <w:tc>
          <w:tcPr>
            <w:tcW w:w="1474" w:type="dxa"/>
            <w:vAlign w:val="center"/>
          </w:tcPr>
          <w:p w14:paraId="1499307D">
            <w:pPr>
              <w:pStyle w:val="11"/>
            </w:pPr>
          </w:p>
        </w:tc>
        <w:tc>
          <w:tcPr>
            <w:tcW w:w="1474" w:type="dxa"/>
            <w:vAlign w:val="center"/>
          </w:tcPr>
          <w:p w14:paraId="2BA4E128">
            <w:pPr>
              <w:pStyle w:val="11"/>
            </w:pPr>
          </w:p>
        </w:tc>
      </w:tr>
      <w:tr w14:paraId="587E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C9BA2">
            <w:pPr>
              <w:pStyle w:val="13"/>
            </w:pPr>
            <w:r>
              <w:t>6</w:t>
            </w:r>
          </w:p>
        </w:tc>
        <w:tc>
          <w:tcPr>
            <w:tcW w:w="3402" w:type="dxa"/>
            <w:vAlign w:val="center"/>
          </w:tcPr>
          <w:p w14:paraId="62035E89">
            <w:pPr>
              <w:pStyle w:val="12"/>
            </w:pPr>
          </w:p>
        </w:tc>
        <w:tc>
          <w:tcPr>
            <w:tcW w:w="1474" w:type="dxa"/>
            <w:vAlign w:val="center"/>
          </w:tcPr>
          <w:p w14:paraId="7793CEB4">
            <w:pPr>
              <w:pStyle w:val="11"/>
            </w:pPr>
          </w:p>
        </w:tc>
        <w:tc>
          <w:tcPr>
            <w:tcW w:w="3402" w:type="dxa"/>
            <w:vAlign w:val="center"/>
          </w:tcPr>
          <w:p w14:paraId="5B33DA9C">
            <w:pPr>
              <w:pStyle w:val="12"/>
            </w:pPr>
            <w:r>
              <w:t>六、科学技术支出</w:t>
            </w:r>
          </w:p>
        </w:tc>
        <w:tc>
          <w:tcPr>
            <w:tcW w:w="1474" w:type="dxa"/>
            <w:vAlign w:val="center"/>
          </w:tcPr>
          <w:p w14:paraId="16537821">
            <w:pPr>
              <w:pStyle w:val="11"/>
            </w:pPr>
          </w:p>
        </w:tc>
        <w:tc>
          <w:tcPr>
            <w:tcW w:w="1474" w:type="dxa"/>
            <w:vAlign w:val="center"/>
          </w:tcPr>
          <w:p w14:paraId="31102232">
            <w:pPr>
              <w:pStyle w:val="11"/>
            </w:pPr>
          </w:p>
        </w:tc>
        <w:tc>
          <w:tcPr>
            <w:tcW w:w="1474" w:type="dxa"/>
            <w:vAlign w:val="center"/>
          </w:tcPr>
          <w:p w14:paraId="07F29648">
            <w:pPr>
              <w:pStyle w:val="11"/>
            </w:pPr>
          </w:p>
        </w:tc>
        <w:tc>
          <w:tcPr>
            <w:tcW w:w="1474" w:type="dxa"/>
            <w:vAlign w:val="center"/>
          </w:tcPr>
          <w:p w14:paraId="0B0E9DA7">
            <w:pPr>
              <w:pStyle w:val="11"/>
            </w:pPr>
          </w:p>
        </w:tc>
      </w:tr>
      <w:tr w14:paraId="512D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EC05A">
            <w:pPr>
              <w:pStyle w:val="13"/>
            </w:pPr>
            <w:r>
              <w:t>7</w:t>
            </w:r>
          </w:p>
        </w:tc>
        <w:tc>
          <w:tcPr>
            <w:tcW w:w="3402" w:type="dxa"/>
            <w:vAlign w:val="center"/>
          </w:tcPr>
          <w:p w14:paraId="76192508">
            <w:pPr>
              <w:pStyle w:val="12"/>
            </w:pPr>
          </w:p>
        </w:tc>
        <w:tc>
          <w:tcPr>
            <w:tcW w:w="1474" w:type="dxa"/>
            <w:vAlign w:val="center"/>
          </w:tcPr>
          <w:p w14:paraId="309382D3">
            <w:pPr>
              <w:pStyle w:val="11"/>
            </w:pPr>
          </w:p>
        </w:tc>
        <w:tc>
          <w:tcPr>
            <w:tcW w:w="3402" w:type="dxa"/>
            <w:vAlign w:val="center"/>
          </w:tcPr>
          <w:p w14:paraId="21DC5553">
            <w:pPr>
              <w:pStyle w:val="12"/>
            </w:pPr>
            <w:r>
              <w:t>七、文化旅游体育与传媒支出</w:t>
            </w:r>
          </w:p>
        </w:tc>
        <w:tc>
          <w:tcPr>
            <w:tcW w:w="1474" w:type="dxa"/>
            <w:vAlign w:val="center"/>
          </w:tcPr>
          <w:p w14:paraId="75E488A8">
            <w:pPr>
              <w:pStyle w:val="11"/>
            </w:pPr>
          </w:p>
        </w:tc>
        <w:tc>
          <w:tcPr>
            <w:tcW w:w="1474" w:type="dxa"/>
            <w:vAlign w:val="center"/>
          </w:tcPr>
          <w:p w14:paraId="70C587FA">
            <w:pPr>
              <w:pStyle w:val="11"/>
            </w:pPr>
          </w:p>
        </w:tc>
        <w:tc>
          <w:tcPr>
            <w:tcW w:w="1474" w:type="dxa"/>
            <w:vAlign w:val="center"/>
          </w:tcPr>
          <w:p w14:paraId="4F02AEF0">
            <w:pPr>
              <w:pStyle w:val="11"/>
            </w:pPr>
          </w:p>
        </w:tc>
        <w:tc>
          <w:tcPr>
            <w:tcW w:w="1474" w:type="dxa"/>
            <w:vAlign w:val="center"/>
          </w:tcPr>
          <w:p w14:paraId="0C3D3E4B">
            <w:pPr>
              <w:pStyle w:val="11"/>
            </w:pPr>
          </w:p>
        </w:tc>
      </w:tr>
      <w:tr w14:paraId="19E9D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404C6">
            <w:pPr>
              <w:pStyle w:val="13"/>
            </w:pPr>
            <w:r>
              <w:t>8</w:t>
            </w:r>
          </w:p>
        </w:tc>
        <w:tc>
          <w:tcPr>
            <w:tcW w:w="3402" w:type="dxa"/>
            <w:vAlign w:val="center"/>
          </w:tcPr>
          <w:p w14:paraId="6A964825">
            <w:pPr>
              <w:pStyle w:val="12"/>
            </w:pPr>
          </w:p>
        </w:tc>
        <w:tc>
          <w:tcPr>
            <w:tcW w:w="1474" w:type="dxa"/>
            <w:vAlign w:val="center"/>
          </w:tcPr>
          <w:p w14:paraId="2146CF34">
            <w:pPr>
              <w:pStyle w:val="11"/>
            </w:pPr>
          </w:p>
        </w:tc>
        <w:tc>
          <w:tcPr>
            <w:tcW w:w="3402" w:type="dxa"/>
            <w:vAlign w:val="center"/>
          </w:tcPr>
          <w:p w14:paraId="391157D3">
            <w:pPr>
              <w:pStyle w:val="12"/>
            </w:pPr>
            <w:r>
              <w:t>八、社会保障和就业支出</w:t>
            </w:r>
          </w:p>
        </w:tc>
        <w:tc>
          <w:tcPr>
            <w:tcW w:w="1474" w:type="dxa"/>
            <w:vAlign w:val="center"/>
          </w:tcPr>
          <w:p w14:paraId="0B632E6D">
            <w:pPr>
              <w:pStyle w:val="11"/>
            </w:pPr>
          </w:p>
        </w:tc>
        <w:tc>
          <w:tcPr>
            <w:tcW w:w="1474" w:type="dxa"/>
            <w:vAlign w:val="center"/>
          </w:tcPr>
          <w:p w14:paraId="200838D3">
            <w:pPr>
              <w:pStyle w:val="11"/>
            </w:pPr>
          </w:p>
        </w:tc>
        <w:tc>
          <w:tcPr>
            <w:tcW w:w="1474" w:type="dxa"/>
            <w:vAlign w:val="center"/>
          </w:tcPr>
          <w:p w14:paraId="5984532E">
            <w:pPr>
              <w:pStyle w:val="11"/>
            </w:pPr>
          </w:p>
        </w:tc>
        <w:tc>
          <w:tcPr>
            <w:tcW w:w="1474" w:type="dxa"/>
            <w:vAlign w:val="center"/>
          </w:tcPr>
          <w:p w14:paraId="3FB66F7E">
            <w:pPr>
              <w:pStyle w:val="11"/>
            </w:pPr>
          </w:p>
        </w:tc>
      </w:tr>
      <w:tr w14:paraId="2BB77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E4A7">
            <w:pPr>
              <w:pStyle w:val="13"/>
            </w:pPr>
            <w:r>
              <w:t>9</w:t>
            </w:r>
          </w:p>
        </w:tc>
        <w:tc>
          <w:tcPr>
            <w:tcW w:w="3402" w:type="dxa"/>
            <w:vAlign w:val="center"/>
          </w:tcPr>
          <w:p w14:paraId="3EF32DC6">
            <w:pPr>
              <w:pStyle w:val="12"/>
            </w:pPr>
          </w:p>
        </w:tc>
        <w:tc>
          <w:tcPr>
            <w:tcW w:w="1474" w:type="dxa"/>
            <w:vAlign w:val="center"/>
          </w:tcPr>
          <w:p w14:paraId="15AF8AC5">
            <w:pPr>
              <w:pStyle w:val="11"/>
            </w:pPr>
          </w:p>
        </w:tc>
        <w:tc>
          <w:tcPr>
            <w:tcW w:w="3402" w:type="dxa"/>
            <w:vAlign w:val="center"/>
          </w:tcPr>
          <w:p w14:paraId="4F448D94">
            <w:pPr>
              <w:pStyle w:val="12"/>
            </w:pPr>
            <w:r>
              <w:t>九、社会保险基金支出</w:t>
            </w:r>
          </w:p>
        </w:tc>
        <w:tc>
          <w:tcPr>
            <w:tcW w:w="1474" w:type="dxa"/>
            <w:vAlign w:val="center"/>
          </w:tcPr>
          <w:p w14:paraId="28B32346">
            <w:pPr>
              <w:pStyle w:val="11"/>
            </w:pPr>
          </w:p>
        </w:tc>
        <w:tc>
          <w:tcPr>
            <w:tcW w:w="1474" w:type="dxa"/>
            <w:vAlign w:val="center"/>
          </w:tcPr>
          <w:p w14:paraId="66DBA6FB">
            <w:pPr>
              <w:pStyle w:val="11"/>
            </w:pPr>
          </w:p>
        </w:tc>
        <w:tc>
          <w:tcPr>
            <w:tcW w:w="1474" w:type="dxa"/>
            <w:vAlign w:val="center"/>
          </w:tcPr>
          <w:p w14:paraId="76AA9D05">
            <w:pPr>
              <w:pStyle w:val="11"/>
            </w:pPr>
          </w:p>
        </w:tc>
        <w:tc>
          <w:tcPr>
            <w:tcW w:w="1474" w:type="dxa"/>
            <w:vAlign w:val="center"/>
          </w:tcPr>
          <w:p w14:paraId="630A4F9C">
            <w:pPr>
              <w:pStyle w:val="11"/>
            </w:pPr>
          </w:p>
        </w:tc>
      </w:tr>
      <w:tr w14:paraId="4870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1AB52">
            <w:pPr>
              <w:pStyle w:val="13"/>
            </w:pPr>
            <w:r>
              <w:t>10</w:t>
            </w:r>
          </w:p>
        </w:tc>
        <w:tc>
          <w:tcPr>
            <w:tcW w:w="3402" w:type="dxa"/>
            <w:vAlign w:val="center"/>
          </w:tcPr>
          <w:p w14:paraId="41314110">
            <w:pPr>
              <w:pStyle w:val="12"/>
            </w:pPr>
          </w:p>
        </w:tc>
        <w:tc>
          <w:tcPr>
            <w:tcW w:w="1474" w:type="dxa"/>
            <w:vAlign w:val="center"/>
          </w:tcPr>
          <w:p w14:paraId="1B803011">
            <w:pPr>
              <w:pStyle w:val="11"/>
            </w:pPr>
          </w:p>
        </w:tc>
        <w:tc>
          <w:tcPr>
            <w:tcW w:w="3402" w:type="dxa"/>
            <w:vAlign w:val="center"/>
          </w:tcPr>
          <w:p w14:paraId="6AD1D111">
            <w:pPr>
              <w:pStyle w:val="12"/>
            </w:pPr>
            <w:r>
              <w:t>十、卫生健康支出</w:t>
            </w:r>
          </w:p>
        </w:tc>
        <w:tc>
          <w:tcPr>
            <w:tcW w:w="1474" w:type="dxa"/>
            <w:vAlign w:val="center"/>
          </w:tcPr>
          <w:p w14:paraId="3CF5D820">
            <w:pPr>
              <w:pStyle w:val="11"/>
            </w:pPr>
          </w:p>
        </w:tc>
        <w:tc>
          <w:tcPr>
            <w:tcW w:w="1474" w:type="dxa"/>
            <w:vAlign w:val="center"/>
          </w:tcPr>
          <w:p w14:paraId="3575440C">
            <w:pPr>
              <w:pStyle w:val="11"/>
            </w:pPr>
          </w:p>
        </w:tc>
        <w:tc>
          <w:tcPr>
            <w:tcW w:w="1474" w:type="dxa"/>
            <w:vAlign w:val="center"/>
          </w:tcPr>
          <w:p w14:paraId="162CBD36">
            <w:pPr>
              <w:pStyle w:val="11"/>
            </w:pPr>
          </w:p>
        </w:tc>
        <w:tc>
          <w:tcPr>
            <w:tcW w:w="1474" w:type="dxa"/>
            <w:vAlign w:val="center"/>
          </w:tcPr>
          <w:p w14:paraId="3A687C3D">
            <w:pPr>
              <w:pStyle w:val="11"/>
            </w:pPr>
          </w:p>
        </w:tc>
      </w:tr>
      <w:tr w14:paraId="0148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F0868">
            <w:pPr>
              <w:pStyle w:val="13"/>
            </w:pPr>
            <w:r>
              <w:t>11</w:t>
            </w:r>
          </w:p>
        </w:tc>
        <w:tc>
          <w:tcPr>
            <w:tcW w:w="3402" w:type="dxa"/>
            <w:vAlign w:val="center"/>
          </w:tcPr>
          <w:p w14:paraId="62CCF43E">
            <w:pPr>
              <w:pStyle w:val="12"/>
            </w:pPr>
          </w:p>
        </w:tc>
        <w:tc>
          <w:tcPr>
            <w:tcW w:w="1474" w:type="dxa"/>
            <w:vAlign w:val="center"/>
          </w:tcPr>
          <w:p w14:paraId="3AFB7EAB">
            <w:pPr>
              <w:pStyle w:val="11"/>
            </w:pPr>
          </w:p>
        </w:tc>
        <w:tc>
          <w:tcPr>
            <w:tcW w:w="3402" w:type="dxa"/>
            <w:vAlign w:val="center"/>
          </w:tcPr>
          <w:p w14:paraId="46F8F48A">
            <w:pPr>
              <w:pStyle w:val="12"/>
            </w:pPr>
            <w:r>
              <w:t>十一、节能环保支出</w:t>
            </w:r>
          </w:p>
        </w:tc>
        <w:tc>
          <w:tcPr>
            <w:tcW w:w="1474" w:type="dxa"/>
            <w:vAlign w:val="center"/>
          </w:tcPr>
          <w:p w14:paraId="6A2CD91D">
            <w:pPr>
              <w:pStyle w:val="11"/>
            </w:pPr>
          </w:p>
        </w:tc>
        <w:tc>
          <w:tcPr>
            <w:tcW w:w="1474" w:type="dxa"/>
            <w:vAlign w:val="center"/>
          </w:tcPr>
          <w:p w14:paraId="783FC53C">
            <w:pPr>
              <w:pStyle w:val="11"/>
            </w:pPr>
          </w:p>
        </w:tc>
        <w:tc>
          <w:tcPr>
            <w:tcW w:w="1474" w:type="dxa"/>
            <w:vAlign w:val="center"/>
          </w:tcPr>
          <w:p w14:paraId="427E5584">
            <w:pPr>
              <w:pStyle w:val="11"/>
            </w:pPr>
          </w:p>
        </w:tc>
        <w:tc>
          <w:tcPr>
            <w:tcW w:w="1474" w:type="dxa"/>
            <w:vAlign w:val="center"/>
          </w:tcPr>
          <w:p w14:paraId="2DD34AEC">
            <w:pPr>
              <w:pStyle w:val="11"/>
            </w:pPr>
          </w:p>
        </w:tc>
      </w:tr>
      <w:tr w14:paraId="4493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AAB47">
            <w:pPr>
              <w:pStyle w:val="13"/>
            </w:pPr>
            <w:r>
              <w:t>12</w:t>
            </w:r>
          </w:p>
        </w:tc>
        <w:tc>
          <w:tcPr>
            <w:tcW w:w="3402" w:type="dxa"/>
            <w:vAlign w:val="center"/>
          </w:tcPr>
          <w:p w14:paraId="0A526372">
            <w:pPr>
              <w:pStyle w:val="12"/>
            </w:pPr>
          </w:p>
        </w:tc>
        <w:tc>
          <w:tcPr>
            <w:tcW w:w="1474" w:type="dxa"/>
            <w:vAlign w:val="center"/>
          </w:tcPr>
          <w:p w14:paraId="475B33A3">
            <w:pPr>
              <w:pStyle w:val="11"/>
            </w:pPr>
          </w:p>
        </w:tc>
        <w:tc>
          <w:tcPr>
            <w:tcW w:w="3402" w:type="dxa"/>
            <w:vAlign w:val="center"/>
          </w:tcPr>
          <w:p w14:paraId="394DE072">
            <w:pPr>
              <w:pStyle w:val="12"/>
            </w:pPr>
            <w:r>
              <w:t>十二、城乡社区支出</w:t>
            </w:r>
          </w:p>
        </w:tc>
        <w:tc>
          <w:tcPr>
            <w:tcW w:w="1474" w:type="dxa"/>
            <w:vAlign w:val="center"/>
          </w:tcPr>
          <w:p w14:paraId="273085C7">
            <w:pPr>
              <w:pStyle w:val="11"/>
            </w:pPr>
          </w:p>
        </w:tc>
        <w:tc>
          <w:tcPr>
            <w:tcW w:w="1474" w:type="dxa"/>
            <w:vAlign w:val="center"/>
          </w:tcPr>
          <w:p w14:paraId="21D5A134">
            <w:pPr>
              <w:pStyle w:val="11"/>
            </w:pPr>
          </w:p>
        </w:tc>
        <w:tc>
          <w:tcPr>
            <w:tcW w:w="1474" w:type="dxa"/>
            <w:vAlign w:val="center"/>
          </w:tcPr>
          <w:p w14:paraId="724C82BF">
            <w:pPr>
              <w:pStyle w:val="11"/>
            </w:pPr>
          </w:p>
        </w:tc>
        <w:tc>
          <w:tcPr>
            <w:tcW w:w="1474" w:type="dxa"/>
            <w:vAlign w:val="center"/>
          </w:tcPr>
          <w:p w14:paraId="5AD7FFE3">
            <w:pPr>
              <w:pStyle w:val="11"/>
            </w:pPr>
          </w:p>
        </w:tc>
      </w:tr>
      <w:tr w14:paraId="1FF3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D143">
            <w:pPr>
              <w:pStyle w:val="13"/>
            </w:pPr>
            <w:r>
              <w:t>13</w:t>
            </w:r>
          </w:p>
        </w:tc>
        <w:tc>
          <w:tcPr>
            <w:tcW w:w="3402" w:type="dxa"/>
            <w:vAlign w:val="center"/>
          </w:tcPr>
          <w:p w14:paraId="128AD715">
            <w:pPr>
              <w:pStyle w:val="12"/>
            </w:pPr>
          </w:p>
        </w:tc>
        <w:tc>
          <w:tcPr>
            <w:tcW w:w="1474" w:type="dxa"/>
            <w:vAlign w:val="center"/>
          </w:tcPr>
          <w:p w14:paraId="242AD63A">
            <w:pPr>
              <w:pStyle w:val="11"/>
            </w:pPr>
          </w:p>
        </w:tc>
        <w:tc>
          <w:tcPr>
            <w:tcW w:w="3402" w:type="dxa"/>
            <w:vAlign w:val="center"/>
          </w:tcPr>
          <w:p w14:paraId="4607914B">
            <w:pPr>
              <w:pStyle w:val="12"/>
            </w:pPr>
            <w:r>
              <w:t>十三、农林水支出</w:t>
            </w:r>
          </w:p>
        </w:tc>
        <w:tc>
          <w:tcPr>
            <w:tcW w:w="1474" w:type="dxa"/>
            <w:vAlign w:val="center"/>
          </w:tcPr>
          <w:p w14:paraId="20D92D66">
            <w:pPr>
              <w:pStyle w:val="11"/>
            </w:pPr>
          </w:p>
        </w:tc>
        <w:tc>
          <w:tcPr>
            <w:tcW w:w="1474" w:type="dxa"/>
            <w:vAlign w:val="center"/>
          </w:tcPr>
          <w:p w14:paraId="224DE8DB">
            <w:pPr>
              <w:pStyle w:val="11"/>
            </w:pPr>
          </w:p>
        </w:tc>
        <w:tc>
          <w:tcPr>
            <w:tcW w:w="1474" w:type="dxa"/>
            <w:vAlign w:val="center"/>
          </w:tcPr>
          <w:p w14:paraId="3D97BFB4">
            <w:pPr>
              <w:pStyle w:val="11"/>
            </w:pPr>
          </w:p>
        </w:tc>
        <w:tc>
          <w:tcPr>
            <w:tcW w:w="1474" w:type="dxa"/>
            <w:vAlign w:val="center"/>
          </w:tcPr>
          <w:p w14:paraId="50B026CD">
            <w:pPr>
              <w:pStyle w:val="11"/>
            </w:pPr>
          </w:p>
        </w:tc>
      </w:tr>
      <w:tr w14:paraId="6D34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B50F4">
            <w:pPr>
              <w:pStyle w:val="13"/>
            </w:pPr>
            <w:r>
              <w:t>14</w:t>
            </w:r>
          </w:p>
        </w:tc>
        <w:tc>
          <w:tcPr>
            <w:tcW w:w="3402" w:type="dxa"/>
            <w:vAlign w:val="center"/>
          </w:tcPr>
          <w:p w14:paraId="2F5F2570">
            <w:pPr>
              <w:pStyle w:val="12"/>
            </w:pPr>
          </w:p>
        </w:tc>
        <w:tc>
          <w:tcPr>
            <w:tcW w:w="1474" w:type="dxa"/>
            <w:vAlign w:val="center"/>
          </w:tcPr>
          <w:p w14:paraId="1D28AE07">
            <w:pPr>
              <w:pStyle w:val="11"/>
            </w:pPr>
          </w:p>
        </w:tc>
        <w:tc>
          <w:tcPr>
            <w:tcW w:w="3402" w:type="dxa"/>
            <w:vAlign w:val="center"/>
          </w:tcPr>
          <w:p w14:paraId="05791E5E">
            <w:pPr>
              <w:pStyle w:val="12"/>
            </w:pPr>
            <w:r>
              <w:t>十四、交通运输支出</w:t>
            </w:r>
          </w:p>
        </w:tc>
        <w:tc>
          <w:tcPr>
            <w:tcW w:w="1474" w:type="dxa"/>
            <w:vAlign w:val="center"/>
          </w:tcPr>
          <w:p w14:paraId="1C35B83B">
            <w:pPr>
              <w:pStyle w:val="11"/>
            </w:pPr>
          </w:p>
        </w:tc>
        <w:tc>
          <w:tcPr>
            <w:tcW w:w="1474" w:type="dxa"/>
            <w:vAlign w:val="center"/>
          </w:tcPr>
          <w:p w14:paraId="00F38DFA">
            <w:pPr>
              <w:pStyle w:val="11"/>
            </w:pPr>
          </w:p>
        </w:tc>
        <w:tc>
          <w:tcPr>
            <w:tcW w:w="1474" w:type="dxa"/>
            <w:vAlign w:val="center"/>
          </w:tcPr>
          <w:p w14:paraId="52249E83">
            <w:pPr>
              <w:pStyle w:val="11"/>
            </w:pPr>
          </w:p>
        </w:tc>
        <w:tc>
          <w:tcPr>
            <w:tcW w:w="1474" w:type="dxa"/>
            <w:vAlign w:val="center"/>
          </w:tcPr>
          <w:p w14:paraId="509BA65F">
            <w:pPr>
              <w:pStyle w:val="11"/>
            </w:pPr>
          </w:p>
        </w:tc>
      </w:tr>
      <w:tr w14:paraId="069F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FF2B">
            <w:pPr>
              <w:pStyle w:val="13"/>
            </w:pPr>
            <w:r>
              <w:t>15</w:t>
            </w:r>
          </w:p>
        </w:tc>
        <w:tc>
          <w:tcPr>
            <w:tcW w:w="3402" w:type="dxa"/>
            <w:vAlign w:val="center"/>
          </w:tcPr>
          <w:p w14:paraId="10B8A6B6">
            <w:pPr>
              <w:pStyle w:val="12"/>
            </w:pPr>
          </w:p>
        </w:tc>
        <w:tc>
          <w:tcPr>
            <w:tcW w:w="1474" w:type="dxa"/>
            <w:vAlign w:val="center"/>
          </w:tcPr>
          <w:p w14:paraId="067E6CBB">
            <w:pPr>
              <w:pStyle w:val="11"/>
            </w:pPr>
          </w:p>
        </w:tc>
        <w:tc>
          <w:tcPr>
            <w:tcW w:w="3402" w:type="dxa"/>
            <w:vAlign w:val="center"/>
          </w:tcPr>
          <w:p w14:paraId="485BA6A4">
            <w:pPr>
              <w:pStyle w:val="12"/>
            </w:pPr>
            <w:r>
              <w:t>十五、资源勘探工业信息等支出</w:t>
            </w:r>
          </w:p>
        </w:tc>
        <w:tc>
          <w:tcPr>
            <w:tcW w:w="1474" w:type="dxa"/>
            <w:vAlign w:val="center"/>
          </w:tcPr>
          <w:p w14:paraId="3DF389FA">
            <w:pPr>
              <w:pStyle w:val="11"/>
            </w:pPr>
          </w:p>
        </w:tc>
        <w:tc>
          <w:tcPr>
            <w:tcW w:w="1474" w:type="dxa"/>
            <w:vAlign w:val="center"/>
          </w:tcPr>
          <w:p w14:paraId="6C0792AD">
            <w:pPr>
              <w:pStyle w:val="11"/>
            </w:pPr>
          </w:p>
        </w:tc>
        <w:tc>
          <w:tcPr>
            <w:tcW w:w="1474" w:type="dxa"/>
            <w:vAlign w:val="center"/>
          </w:tcPr>
          <w:p w14:paraId="68F294CA">
            <w:pPr>
              <w:pStyle w:val="11"/>
            </w:pPr>
          </w:p>
        </w:tc>
        <w:tc>
          <w:tcPr>
            <w:tcW w:w="1474" w:type="dxa"/>
            <w:vAlign w:val="center"/>
          </w:tcPr>
          <w:p w14:paraId="3E4941F9">
            <w:pPr>
              <w:pStyle w:val="11"/>
            </w:pPr>
          </w:p>
        </w:tc>
      </w:tr>
      <w:tr w14:paraId="093E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88F50">
            <w:pPr>
              <w:pStyle w:val="13"/>
            </w:pPr>
            <w:r>
              <w:t>16</w:t>
            </w:r>
          </w:p>
        </w:tc>
        <w:tc>
          <w:tcPr>
            <w:tcW w:w="3402" w:type="dxa"/>
            <w:vAlign w:val="center"/>
          </w:tcPr>
          <w:p w14:paraId="3BC117C6">
            <w:pPr>
              <w:pStyle w:val="12"/>
            </w:pPr>
          </w:p>
        </w:tc>
        <w:tc>
          <w:tcPr>
            <w:tcW w:w="1474" w:type="dxa"/>
            <w:vAlign w:val="center"/>
          </w:tcPr>
          <w:p w14:paraId="11354961">
            <w:pPr>
              <w:pStyle w:val="11"/>
            </w:pPr>
          </w:p>
        </w:tc>
        <w:tc>
          <w:tcPr>
            <w:tcW w:w="3402" w:type="dxa"/>
            <w:vAlign w:val="center"/>
          </w:tcPr>
          <w:p w14:paraId="0082FA34">
            <w:pPr>
              <w:pStyle w:val="12"/>
            </w:pPr>
            <w:r>
              <w:t>十六、商业服务业等支出</w:t>
            </w:r>
          </w:p>
        </w:tc>
        <w:tc>
          <w:tcPr>
            <w:tcW w:w="1474" w:type="dxa"/>
            <w:vAlign w:val="center"/>
          </w:tcPr>
          <w:p w14:paraId="7B0665B2">
            <w:pPr>
              <w:pStyle w:val="11"/>
            </w:pPr>
          </w:p>
        </w:tc>
        <w:tc>
          <w:tcPr>
            <w:tcW w:w="1474" w:type="dxa"/>
            <w:vAlign w:val="center"/>
          </w:tcPr>
          <w:p w14:paraId="5802FE93">
            <w:pPr>
              <w:pStyle w:val="11"/>
            </w:pPr>
          </w:p>
        </w:tc>
        <w:tc>
          <w:tcPr>
            <w:tcW w:w="1474" w:type="dxa"/>
            <w:vAlign w:val="center"/>
          </w:tcPr>
          <w:p w14:paraId="49CB8B8B">
            <w:pPr>
              <w:pStyle w:val="11"/>
            </w:pPr>
          </w:p>
        </w:tc>
        <w:tc>
          <w:tcPr>
            <w:tcW w:w="1474" w:type="dxa"/>
            <w:vAlign w:val="center"/>
          </w:tcPr>
          <w:p w14:paraId="70632C0D">
            <w:pPr>
              <w:pStyle w:val="11"/>
            </w:pPr>
          </w:p>
        </w:tc>
      </w:tr>
      <w:tr w14:paraId="3963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C52A">
            <w:pPr>
              <w:pStyle w:val="13"/>
            </w:pPr>
            <w:r>
              <w:t>17</w:t>
            </w:r>
          </w:p>
        </w:tc>
        <w:tc>
          <w:tcPr>
            <w:tcW w:w="3402" w:type="dxa"/>
            <w:vAlign w:val="center"/>
          </w:tcPr>
          <w:p w14:paraId="0E58DA50">
            <w:pPr>
              <w:pStyle w:val="12"/>
            </w:pPr>
          </w:p>
        </w:tc>
        <w:tc>
          <w:tcPr>
            <w:tcW w:w="1474" w:type="dxa"/>
            <w:vAlign w:val="center"/>
          </w:tcPr>
          <w:p w14:paraId="5173537E">
            <w:pPr>
              <w:pStyle w:val="11"/>
            </w:pPr>
          </w:p>
        </w:tc>
        <w:tc>
          <w:tcPr>
            <w:tcW w:w="3402" w:type="dxa"/>
            <w:vAlign w:val="center"/>
          </w:tcPr>
          <w:p w14:paraId="34CD45CD">
            <w:pPr>
              <w:pStyle w:val="12"/>
            </w:pPr>
            <w:r>
              <w:t>十七、金融支出</w:t>
            </w:r>
          </w:p>
        </w:tc>
        <w:tc>
          <w:tcPr>
            <w:tcW w:w="1474" w:type="dxa"/>
            <w:vAlign w:val="center"/>
          </w:tcPr>
          <w:p w14:paraId="0789C797">
            <w:pPr>
              <w:pStyle w:val="11"/>
            </w:pPr>
          </w:p>
        </w:tc>
        <w:tc>
          <w:tcPr>
            <w:tcW w:w="1474" w:type="dxa"/>
            <w:vAlign w:val="center"/>
          </w:tcPr>
          <w:p w14:paraId="702B0507">
            <w:pPr>
              <w:pStyle w:val="11"/>
            </w:pPr>
          </w:p>
        </w:tc>
        <w:tc>
          <w:tcPr>
            <w:tcW w:w="1474" w:type="dxa"/>
            <w:vAlign w:val="center"/>
          </w:tcPr>
          <w:p w14:paraId="28EF0213">
            <w:pPr>
              <w:pStyle w:val="11"/>
            </w:pPr>
          </w:p>
        </w:tc>
        <w:tc>
          <w:tcPr>
            <w:tcW w:w="1474" w:type="dxa"/>
            <w:vAlign w:val="center"/>
          </w:tcPr>
          <w:p w14:paraId="1E04CB68">
            <w:pPr>
              <w:pStyle w:val="11"/>
            </w:pPr>
          </w:p>
        </w:tc>
      </w:tr>
      <w:tr w14:paraId="7622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9AA1D">
            <w:pPr>
              <w:pStyle w:val="13"/>
            </w:pPr>
            <w:r>
              <w:t>18</w:t>
            </w:r>
          </w:p>
        </w:tc>
        <w:tc>
          <w:tcPr>
            <w:tcW w:w="3402" w:type="dxa"/>
            <w:vAlign w:val="center"/>
          </w:tcPr>
          <w:p w14:paraId="3FC526C9">
            <w:pPr>
              <w:pStyle w:val="12"/>
            </w:pPr>
          </w:p>
        </w:tc>
        <w:tc>
          <w:tcPr>
            <w:tcW w:w="1474" w:type="dxa"/>
            <w:vAlign w:val="center"/>
          </w:tcPr>
          <w:p w14:paraId="09205E89">
            <w:pPr>
              <w:pStyle w:val="11"/>
            </w:pPr>
          </w:p>
        </w:tc>
        <w:tc>
          <w:tcPr>
            <w:tcW w:w="3402" w:type="dxa"/>
            <w:vAlign w:val="center"/>
          </w:tcPr>
          <w:p w14:paraId="5EDA9FD0">
            <w:pPr>
              <w:pStyle w:val="12"/>
            </w:pPr>
            <w:r>
              <w:t>十八、援助其他地区支出</w:t>
            </w:r>
          </w:p>
        </w:tc>
        <w:tc>
          <w:tcPr>
            <w:tcW w:w="1474" w:type="dxa"/>
            <w:vAlign w:val="center"/>
          </w:tcPr>
          <w:p w14:paraId="5698B74F">
            <w:pPr>
              <w:pStyle w:val="11"/>
            </w:pPr>
          </w:p>
        </w:tc>
        <w:tc>
          <w:tcPr>
            <w:tcW w:w="1474" w:type="dxa"/>
            <w:vAlign w:val="center"/>
          </w:tcPr>
          <w:p w14:paraId="2E9E0F94">
            <w:pPr>
              <w:pStyle w:val="11"/>
            </w:pPr>
          </w:p>
        </w:tc>
        <w:tc>
          <w:tcPr>
            <w:tcW w:w="1474" w:type="dxa"/>
            <w:vAlign w:val="center"/>
          </w:tcPr>
          <w:p w14:paraId="409E368D">
            <w:pPr>
              <w:pStyle w:val="11"/>
            </w:pPr>
          </w:p>
        </w:tc>
        <w:tc>
          <w:tcPr>
            <w:tcW w:w="1474" w:type="dxa"/>
            <w:vAlign w:val="center"/>
          </w:tcPr>
          <w:p w14:paraId="7F568F4D">
            <w:pPr>
              <w:pStyle w:val="11"/>
            </w:pPr>
          </w:p>
        </w:tc>
      </w:tr>
      <w:tr w14:paraId="79F7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7B3E">
            <w:pPr>
              <w:pStyle w:val="13"/>
            </w:pPr>
            <w:r>
              <w:t>19</w:t>
            </w:r>
          </w:p>
        </w:tc>
        <w:tc>
          <w:tcPr>
            <w:tcW w:w="3402" w:type="dxa"/>
            <w:vAlign w:val="center"/>
          </w:tcPr>
          <w:p w14:paraId="35B55E15">
            <w:pPr>
              <w:pStyle w:val="12"/>
            </w:pPr>
          </w:p>
        </w:tc>
        <w:tc>
          <w:tcPr>
            <w:tcW w:w="1474" w:type="dxa"/>
            <w:vAlign w:val="center"/>
          </w:tcPr>
          <w:p w14:paraId="55750E04">
            <w:pPr>
              <w:pStyle w:val="11"/>
            </w:pPr>
          </w:p>
        </w:tc>
        <w:tc>
          <w:tcPr>
            <w:tcW w:w="3402" w:type="dxa"/>
            <w:vAlign w:val="center"/>
          </w:tcPr>
          <w:p w14:paraId="3523E78D">
            <w:pPr>
              <w:pStyle w:val="12"/>
            </w:pPr>
            <w:r>
              <w:t>十九、自然资源海洋气象等支出</w:t>
            </w:r>
          </w:p>
        </w:tc>
        <w:tc>
          <w:tcPr>
            <w:tcW w:w="1474" w:type="dxa"/>
            <w:vAlign w:val="center"/>
          </w:tcPr>
          <w:p w14:paraId="33EDA9DF">
            <w:pPr>
              <w:pStyle w:val="11"/>
            </w:pPr>
          </w:p>
        </w:tc>
        <w:tc>
          <w:tcPr>
            <w:tcW w:w="1474" w:type="dxa"/>
            <w:vAlign w:val="center"/>
          </w:tcPr>
          <w:p w14:paraId="77892B84">
            <w:pPr>
              <w:pStyle w:val="11"/>
            </w:pPr>
          </w:p>
        </w:tc>
        <w:tc>
          <w:tcPr>
            <w:tcW w:w="1474" w:type="dxa"/>
            <w:vAlign w:val="center"/>
          </w:tcPr>
          <w:p w14:paraId="3CDA6E70">
            <w:pPr>
              <w:pStyle w:val="11"/>
            </w:pPr>
          </w:p>
        </w:tc>
        <w:tc>
          <w:tcPr>
            <w:tcW w:w="1474" w:type="dxa"/>
            <w:vAlign w:val="center"/>
          </w:tcPr>
          <w:p w14:paraId="35261B19">
            <w:pPr>
              <w:pStyle w:val="11"/>
            </w:pPr>
          </w:p>
        </w:tc>
      </w:tr>
      <w:tr w14:paraId="3F95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52C37">
            <w:pPr>
              <w:pStyle w:val="13"/>
            </w:pPr>
            <w:r>
              <w:t>20</w:t>
            </w:r>
          </w:p>
        </w:tc>
        <w:tc>
          <w:tcPr>
            <w:tcW w:w="3402" w:type="dxa"/>
            <w:vAlign w:val="center"/>
          </w:tcPr>
          <w:p w14:paraId="471FC507">
            <w:pPr>
              <w:pStyle w:val="12"/>
            </w:pPr>
          </w:p>
        </w:tc>
        <w:tc>
          <w:tcPr>
            <w:tcW w:w="1474" w:type="dxa"/>
            <w:vAlign w:val="center"/>
          </w:tcPr>
          <w:p w14:paraId="47A538CE">
            <w:pPr>
              <w:pStyle w:val="11"/>
            </w:pPr>
          </w:p>
        </w:tc>
        <w:tc>
          <w:tcPr>
            <w:tcW w:w="3402" w:type="dxa"/>
            <w:vAlign w:val="center"/>
          </w:tcPr>
          <w:p w14:paraId="133E8AFA">
            <w:pPr>
              <w:pStyle w:val="12"/>
            </w:pPr>
            <w:r>
              <w:t>二十、住房保障支出</w:t>
            </w:r>
          </w:p>
        </w:tc>
        <w:tc>
          <w:tcPr>
            <w:tcW w:w="1474" w:type="dxa"/>
            <w:vAlign w:val="center"/>
          </w:tcPr>
          <w:p w14:paraId="5430AA07">
            <w:pPr>
              <w:pStyle w:val="11"/>
            </w:pPr>
          </w:p>
        </w:tc>
        <w:tc>
          <w:tcPr>
            <w:tcW w:w="1474" w:type="dxa"/>
            <w:vAlign w:val="center"/>
          </w:tcPr>
          <w:p w14:paraId="336EE95C">
            <w:pPr>
              <w:pStyle w:val="11"/>
            </w:pPr>
          </w:p>
        </w:tc>
        <w:tc>
          <w:tcPr>
            <w:tcW w:w="1474" w:type="dxa"/>
            <w:vAlign w:val="center"/>
          </w:tcPr>
          <w:p w14:paraId="028FCC51">
            <w:pPr>
              <w:pStyle w:val="11"/>
            </w:pPr>
          </w:p>
        </w:tc>
        <w:tc>
          <w:tcPr>
            <w:tcW w:w="1474" w:type="dxa"/>
            <w:vAlign w:val="center"/>
          </w:tcPr>
          <w:p w14:paraId="2BDE0B2E">
            <w:pPr>
              <w:pStyle w:val="11"/>
            </w:pPr>
          </w:p>
        </w:tc>
      </w:tr>
      <w:tr w14:paraId="6518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A4CCE">
            <w:pPr>
              <w:pStyle w:val="13"/>
            </w:pPr>
            <w:r>
              <w:t>21</w:t>
            </w:r>
          </w:p>
        </w:tc>
        <w:tc>
          <w:tcPr>
            <w:tcW w:w="3402" w:type="dxa"/>
            <w:vAlign w:val="center"/>
          </w:tcPr>
          <w:p w14:paraId="0023EDD1">
            <w:pPr>
              <w:pStyle w:val="12"/>
            </w:pPr>
          </w:p>
        </w:tc>
        <w:tc>
          <w:tcPr>
            <w:tcW w:w="1474" w:type="dxa"/>
            <w:vAlign w:val="center"/>
          </w:tcPr>
          <w:p w14:paraId="2831E54E">
            <w:pPr>
              <w:pStyle w:val="11"/>
            </w:pPr>
          </w:p>
        </w:tc>
        <w:tc>
          <w:tcPr>
            <w:tcW w:w="3402" w:type="dxa"/>
            <w:vAlign w:val="center"/>
          </w:tcPr>
          <w:p w14:paraId="2DAFB816">
            <w:pPr>
              <w:pStyle w:val="12"/>
            </w:pPr>
            <w:r>
              <w:t>二十一、粮油物资储备支出</w:t>
            </w:r>
          </w:p>
        </w:tc>
        <w:tc>
          <w:tcPr>
            <w:tcW w:w="1474" w:type="dxa"/>
            <w:vAlign w:val="center"/>
          </w:tcPr>
          <w:p w14:paraId="640F5895">
            <w:pPr>
              <w:pStyle w:val="11"/>
            </w:pPr>
          </w:p>
        </w:tc>
        <w:tc>
          <w:tcPr>
            <w:tcW w:w="1474" w:type="dxa"/>
            <w:vAlign w:val="center"/>
          </w:tcPr>
          <w:p w14:paraId="100B88E7">
            <w:pPr>
              <w:pStyle w:val="11"/>
            </w:pPr>
          </w:p>
        </w:tc>
        <w:tc>
          <w:tcPr>
            <w:tcW w:w="1474" w:type="dxa"/>
            <w:vAlign w:val="center"/>
          </w:tcPr>
          <w:p w14:paraId="7DDC8564">
            <w:pPr>
              <w:pStyle w:val="11"/>
            </w:pPr>
          </w:p>
        </w:tc>
        <w:tc>
          <w:tcPr>
            <w:tcW w:w="1474" w:type="dxa"/>
            <w:vAlign w:val="center"/>
          </w:tcPr>
          <w:p w14:paraId="3F8940E1">
            <w:pPr>
              <w:pStyle w:val="11"/>
            </w:pPr>
          </w:p>
        </w:tc>
      </w:tr>
      <w:tr w14:paraId="5DEB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275A">
            <w:pPr>
              <w:pStyle w:val="13"/>
            </w:pPr>
            <w:r>
              <w:t>22</w:t>
            </w:r>
          </w:p>
        </w:tc>
        <w:tc>
          <w:tcPr>
            <w:tcW w:w="3402" w:type="dxa"/>
            <w:vAlign w:val="center"/>
          </w:tcPr>
          <w:p w14:paraId="7AFEF30C">
            <w:pPr>
              <w:pStyle w:val="12"/>
            </w:pPr>
          </w:p>
        </w:tc>
        <w:tc>
          <w:tcPr>
            <w:tcW w:w="1474" w:type="dxa"/>
            <w:vAlign w:val="center"/>
          </w:tcPr>
          <w:p w14:paraId="71C0AAB9">
            <w:pPr>
              <w:pStyle w:val="11"/>
            </w:pPr>
          </w:p>
        </w:tc>
        <w:tc>
          <w:tcPr>
            <w:tcW w:w="3402" w:type="dxa"/>
            <w:vAlign w:val="center"/>
          </w:tcPr>
          <w:p w14:paraId="17CEC78E">
            <w:pPr>
              <w:pStyle w:val="12"/>
            </w:pPr>
            <w:r>
              <w:t>二十二、国有资本经营预算支出</w:t>
            </w:r>
          </w:p>
        </w:tc>
        <w:tc>
          <w:tcPr>
            <w:tcW w:w="1474" w:type="dxa"/>
            <w:vAlign w:val="center"/>
          </w:tcPr>
          <w:p w14:paraId="3A55B350">
            <w:pPr>
              <w:pStyle w:val="11"/>
            </w:pPr>
          </w:p>
        </w:tc>
        <w:tc>
          <w:tcPr>
            <w:tcW w:w="1474" w:type="dxa"/>
            <w:vAlign w:val="center"/>
          </w:tcPr>
          <w:p w14:paraId="0E905AF5">
            <w:pPr>
              <w:pStyle w:val="11"/>
            </w:pPr>
          </w:p>
        </w:tc>
        <w:tc>
          <w:tcPr>
            <w:tcW w:w="1474" w:type="dxa"/>
            <w:vAlign w:val="center"/>
          </w:tcPr>
          <w:p w14:paraId="5C4A127E">
            <w:pPr>
              <w:pStyle w:val="11"/>
            </w:pPr>
          </w:p>
        </w:tc>
        <w:tc>
          <w:tcPr>
            <w:tcW w:w="1474" w:type="dxa"/>
            <w:vAlign w:val="center"/>
          </w:tcPr>
          <w:p w14:paraId="64050544">
            <w:pPr>
              <w:pStyle w:val="11"/>
            </w:pPr>
          </w:p>
        </w:tc>
      </w:tr>
      <w:tr w14:paraId="639F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5895D">
            <w:pPr>
              <w:pStyle w:val="13"/>
            </w:pPr>
            <w:r>
              <w:t>23</w:t>
            </w:r>
          </w:p>
        </w:tc>
        <w:tc>
          <w:tcPr>
            <w:tcW w:w="3402" w:type="dxa"/>
            <w:vAlign w:val="center"/>
          </w:tcPr>
          <w:p w14:paraId="0BB256E7">
            <w:pPr>
              <w:pStyle w:val="12"/>
            </w:pPr>
          </w:p>
        </w:tc>
        <w:tc>
          <w:tcPr>
            <w:tcW w:w="1474" w:type="dxa"/>
            <w:vAlign w:val="center"/>
          </w:tcPr>
          <w:p w14:paraId="102301D6">
            <w:pPr>
              <w:pStyle w:val="11"/>
            </w:pPr>
          </w:p>
        </w:tc>
        <w:tc>
          <w:tcPr>
            <w:tcW w:w="3402" w:type="dxa"/>
            <w:vAlign w:val="center"/>
          </w:tcPr>
          <w:p w14:paraId="49CFDC27">
            <w:pPr>
              <w:pStyle w:val="12"/>
            </w:pPr>
            <w:r>
              <w:t>二十三、灾害防治及应急管理支出</w:t>
            </w:r>
          </w:p>
        </w:tc>
        <w:tc>
          <w:tcPr>
            <w:tcW w:w="1474" w:type="dxa"/>
            <w:vAlign w:val="center"/>
          </w:tcPr>
          <w:p w14:paraId="2A46D757">
            <w:pPr>
              <w:pStyle w:val="11"/>
            </w:pPr>
          </w:p>
        </w:tc>
        <w:tc>
          <w:tcPr>
            <w:tcW w:w="1474" w:type="dxa"/>
            <w:vAlign w:val="center"/>
          </w:tcPr>
          <w:p w14:paraId="192E035C">
            <w:pPr>
              <w:pStyle w:val="11"/>
            </w:pPr>
          </w:p>
        </w:tc>
        <w:tc>
          <w:tcPr>
            <w:tcW w:w="1474" w:type="dxa"/>
            <w:vAlign w:val="center"/>
          </w:tcPr>
          <w:p w14:paraId="7F800E53">
            <w:pPr>
              <w:pStyle w:val="11"/>
            </w:pPr>
          </w:p>
        </w:tc>
        <w:tc>
          <w:tcPr>
            <w:tcW w:w="1474" w:type="dxa"/>
            <w:vAlign w:val="center"/>
          </w:tcPr>
          <w:p w14:paraId="7969E672">
            <w:pPr>
              <w:pStyle w:val="11"/>
            </w:pPr>
          </w:p>
        </w:tc>
      </w:tr>
      <w:tr w14:paraId="459C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FD8ED">
            <w:pPr>
              <w:pStyle w:val="13"/>
            </w:pPr>
            <w:r>
              <w:t>24</w:t>
            </w:r>
          </w:p>
        </w:tc>
        <w:tc>
          <w:tcPr>
            <w:tcW w:w="3402" w:type="dxa"/>
            <w:vAlign w:val="center"/>
          </w:tcPr>
          <w:p w14:paraId="785A6344">
            <w:pPr>
              <w:pStyle w:val="12"/>
            </w:pPr>
          </w:p>
        </w:tc>
        <w:tc>
          <w:tcPr>
            <w:tcW w:w="1474" w:type="dxa"/>
            <w:vAlign w:val="center"/>
          </w:tcPr>
          <w:p w14:paraId="55182F2A">
            <w:pPr>
              <w:pStyle w:val="11"/>
            </w:pPr>
          </w:p>
        </w:tc>
        <w:tc>
          <w:tcPr>
            <w:tcW w:w="3402" w:type="dxa"/>
            <w:vAlign w:val="center"/>
          </w:tcPr>
          <w:p w14:paraId="0E3BB7B2">
            <w:pPr>
              <w:pStyle w:val="12"/>
            </w:pPr>
            <w:r>
              <w:t>二十四、预备费</w:t>
            </w:r>
          </w:p>
        </w:tc>
        <w:tc>
          <w:tcPr>
            <w:tcW w:w="1474" w:type="dxa"/>
            <w:vAlign w:val="center"/>
          </w:tcPr>
          <w:p w14:paraId="7046A39D">
            <w:pPr>
              <w:pStyle w:val="11"/>
            </w:pPr>
          </w:p>
        </w:tc>
        <w:tc>
          <w:tcPr>
            <w:tcW w:w="1474" w:type="dxa"/>
            <w:vAlign w:val="center"/>
          </w:tcPr>
          <w:p w14:paraId="2B94122C">
            <w:pPr>
              <w:pStyle w:val="11"/>
            </w:pPr>
          </w:p>
        </w:tc>
        <w:tc>
          <w:tcPr>
            <w:tcW w:w="1474" w:type="dxa"/>
            <w:vAlign w:val="center"/>
          </w:tcPr>
          <w:p w14:paraId="4BA4579B">
            <w:pPr>
              <w:pStyle w:val="11"/>
            </w:pPr>
          </w:p>
        </w:tc>
        <w:tc>
          <w:tcPr>
            <w:tcW w:w="1474" w:type="dxa"/>
            <w:vAlign w:val="center"/>
          </w:tcPr>
          <w:p w14:paraId="3B6E6B34">
            <w:pPr>
              <w:pStyle w:val="11"/>
            </w:pPr>
          </w:p>
        </w:tc>
      </w:tr>
      <w:tr w14:paraId="2B68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BF959">
            <w:pPr>
              <w:pStyle w:val="13"/>
            </w:pPr>
            <w:r>
              <w:t>25</w:t>
            </w:r>
          </w:p>
        </w:tc>
        <w:tc>
          <w:tcPr>
            <w:tcW w:w="3402" w:type="dxa"/>
            <w:vAlign w:val="center"/>
          </w:tcPr>
          <w:p w14:paraId="7056AD01">
            <w:pPr>
              <w:pStyle w:val="12"/>
            </w:pPr>
          </w:p>
        </w:tc>
        <w:tc>
          <w:tcPr>
            <w:tcW w:w="1474" w:type="dxa"/>
            <w:vAlign w:val="center"/>
          </w:tcPr>
          <w:p w14:paraId="008F5E8B">
            <w:pPr>
              <w:pStyle w:val="11"/>
            </w:pPr>
          </w:p>
        </w:tc>
        <w:tc>
          <w:tcPr>
            <w:tcW w:w="3402" w:type="dxa"/>
            <w:vAlign w:val="center"/>
          </w:tcPr>
          <w:p w14:paraId="3BDDA341">
            <w:pPr>
              <w:pStyle w:val="12"/>
            </w:pPr>
            <w:r>
              <w:t>二十五、其他支出</w:t>
            </w:r>
          </w:p>
        </w:tc>
        <w:tc>
          <w:tcPr>
            <w:tcW w:w="1474" w:type="dxa"/>
            <w:vAlign w:val="center"/>
          </w:tcPr>
          <w:p w14:paraId="531F6D16">
            <w:pPr>
              <w:pStyle w:val="11"/>
            </w:pPr>
          </w:p>
        </w:tc>
        <w:tc>
          <w:tcPr>
            <w:tcW w:w="1474" w:type="dxa"/>
            <w:vAlign w:val="center"/>
          </w:tcPr>
          <w:p w14:paraId="417028A7">
            <w:pPr>
              <w:pStyle w:val="11"/>
            </w:pPr>
          </w:p>
        </w:tc>
        <w:tc>
          <w:tcPr>
            <w:tcW w:w="1474" w:type="dxa"/>
            <w:vAlign w:val="center"/>
          </w:tcPr>
          <w:p w14:paraId="574A8AB3">
            <w:pPr>
              <w:pStyle w:val="11"/>
            </w:pPr>
          </w:p>
        </w:tc>
        <w:tc>
          <w:tcPr>
            <w:tcW w:w="1474" w:type="dxa"/>
            <w:vAlign w:val="center"/>
          </w:tcPr>
          <w:p w14:paraId="75CB2629">
            <w:pPr>
              <w:pStyle w:val="11"/>
            </w:pPr>
          </w:p>
        </w:tc>
      </w:tr>
      <w:tr w14:paraId="45E1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07824">
            <w:pPr>
              <w:pStyle w:val="13"/>
            </w:pPr>
            <w:r>
              <w:t>26</w:t>
            </w:r>
          </w:p>
        </w:tc>
        <w:tc>
          <w:tcPr>
            <w:tcW w:w="3402" w:type="dxa"/>
            <w:vAlign w:val="center"/>
          </w:tcPr>
          <w:p w14:paraId="4E841E5F">
            <w:pPr>
              <w:pStyle w:val="12"/>
            </w:pPr>
          </w:p>
        </w:tc>
        <w:tc>
          <w:tcPr>
            <w:tcW w:w="1474" w:type="dxa"/>
            <w:vAlign w:val="center"/>
          </w:tcPr>
          <w:p w14:paraId="09EEB047">
            <w:pPr>
              <w:pStyle w:val="11"/>
            </w:pPr>
          </w:p>
        </w:tc>
        <w:tc>
          <w:tcPr>
            <w:tcW w:w="3402" w:type="dxa"/>
            <w:vAlign w:val="center"/>
          </w:tcPr>
          <w:p w14:paraId="41B73601">
            <w:pPr>
              <w:pStyle w:val="12"/>
            </w:pPr>
            <w:r>
              <w:t>二十六、转移性支出</w:t>
            </w:r>
          </w:p>
        </w:tc>
        <w:tc>
          <w:tcPr>
            <w:tcW w:w="1474" w:type="dxa"/>
            <w:vAlign w:val="center"/>
          </w:tcPr>
          <w:p w14:paraId="051644DA">
            <w:pPr>
              <w:pStyle w:val="11"/>
            </w:pPr>
          </w:p>
        </w:tc>
        <w:tc>
          <w:tcPr>
            <w:tcW w:w="1474" w:type="dxa"/>
            <w:vAlign w:val="center"/>
          </w:tcPr>
          <w:p w14:paraId="0560CABF">
            <w:pPr>
              <w:pStyle w:val="11"/>
            </w:pPr>
          </w:p>
        </w:tc>
        <w:tc>
          <w:tcPr>
            <w:tcW w:w="1474" w:type="dxa"/>
            <w:vAlign w:val="center"/>
          </w:tcPr>
          <w:p w14:paraId="595F35D9">
            <w:pPr>
              <w:pStyle w:val="11"/>
            </w:pPr>
          </w:p>
        </w:tc>
        <w:tc>
          <w:tcPr>
            <w:tcW w:w="1474" w:type="dxa"/>
            <w:vAlign w:val="center"/>
          </w:tcPr>
          <w:p w14:paraId="52AA93FF">
            <w:pPr>
              <w:pStyle w:val="11"/>
            </w:pPr>
          </w:p>
        </w:tc>
      </w:tr>
      <w:tr w14:paraId="7B93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25318">
            <w:pPr>
              <w:pStyle w:val="13"/>
            </w:pPr>
            <w:r>
              <w:t>27</w:t>
            </w:r>
          </w:p>
        </w:tc>
        <w:tc>
          <w:tcPr>
            <w:tcW w:w="3402" w:type="dxa"/>
            <w:vAlign w:val="center"/>
          </w:tcPr>
          <w:p w14:paraId="66BE2274">
            <w:pPr>
              <w:pStyle w:val="12"/>
            </w:pPr>
          </w:p>
        </w:tc>
        <w:tc>
          <w:tcPr>
            <w:tcW w:w="1474" w:type="dxa"/>
            <w:vAlign w:val="center"/>
          </w:tcPr>
          <w:p w14:paraId="2B420DDE">
            <w:pPr>
              <w:pStyle w:val="11"/>
            </w:pPr>
          </w:p>
        </w:tc>
        <w:tc>
          <w:tcPr>
            <w:tcW w:w="3402" w:type="dxa"/>
            <w:vAlign w:val="center"/>
          </w:tcPr>
          <w:p w14:paraId="4D41D3B0">
            <w:pPr>
              <w:pStyle w:val="12"/>
            </w:pPr>
            <w:r>
              <w:t>二十七、债务还本支出</w:t>
            </w:r>
          </w:p>
        </w:tc>
        <w:tc>
          <w:tcPr>
            <w:tcW w:w="1474" w:type="dxa"/>
            <w:vAlign w:val="center"/>
          </w:tcPr>
          <w:p w14:paraId="68EB6746">
            <w:pPr>
              <w:pStyle w:val="11"/>
            </w:pPr>
          </w:p>
        </w:tc>
        <w:tc>
          <w:tcPr>
            <w:tcW w:w="1474" w:type="dxa"/>
            <w:vAlign w:val="center"/>
          </w:tcPr>
          <w:p w14:paraId="3DBA3E91">
            <w:pPr>
              <w:pStyle w:val="11"/>
            </w:pPr>
          </w:p>
        </w:tc>
        <w:tc>
          <w:tcPr>
            <w:tcW w:w="1474" w:type="dxa"/>
            <w:vAlign w:val="center"/>
          </w:tcPr>
          <w:p w14:paraId="3C8D3E4B">
            <w:pPr>
              <w:pStyle w:val="11"/>
            </w:pPr>
          </w:p>
        </w:tc>
        <w:tc>
          <w:tcPr>
            <w:tcW w:w="1474" w:type="dxa"/>
            <w:vAlign w:val="center"/>
          </w:tcPr>
          <w:p w14:paraId="5D8F7CA5">
            <w:pPr>
              <w:pStyle w:val="11"/>
            </w:pPr>
          </w:p>
        </w:tc>
      </w:tr>
      <w:tr w14:paraId="70F2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3A5D6">
            <w:pPr>
              <w:pStyle w:val="13"/>
            </w:pPr>
            <w:r>
              <w:t>28</w:t>
            </w:r>
          </w:p>
        </w:tc>
        <w:tc>
          <w:tcPr>
            <w:tcW w:w="3402" w:type="dxa"/>
            <w:vAlign w:val="center"/>
          </w:tcPr>
          <w:p w14:paraId="2F5F6894">
            <w:pPr>
              <w:pStyle w:val="12"/>
            </w:pPr>
          </w:p>
        </w:tc>
        <w:tc>
          <w:tcPr>
            <w:tcW w:w="1474" w:type="dxa"/>
            <w:vAlign w:val="center"/>
          </w:tcPr>
          <w:p w14:paraId="2572FA8C">
            <w:pPr>
              <w:pStyle w:val="11"/>
            </w:pPr>
          </w:p>
        </w:tc>
        <w:tc>
          <w:tcPr>
            <w:tcW w:w="3402" w:type="dxa"/>
            <w:vAlign w:val="center"/>
          </w:tcPr>
          <w:p w14:paraId="649D49AF">
            <w:pPr>
              <w:pStyle w:val="12"/>
            </w:pPr>
            <w:r>
              <w:t>二十八、债务付息支出</w:t>
            </w:r>
          </w:p>
        </w:tc>
        <w:tc>
          <w:tcPr>
            <w:tcW w:w="1474" w:type="dxa"/>
            <w:vAlign w:val="center"/>
          </w:tcPr>
          <w:p w14:paraId="54E65A14">
            <w:pPr>
              <w:pStyle w:val="11"/>
            </w:pPr>
          </w:p>
        </w:tc>
        <w:tc>
          <w:tcPr>
            <w:tcW w:w="1474" w:type="dxa"/>
            <w:vAlign w:val="center"/>
          </w:tcPr>
          <w:p w14:paraId="6F8F6133">
            <w:pPr>
              <w:pStyle w:val="11"/>
            </w:pPr>
          </w:p>
        </w:tc>
        <w:tc>
          <w:tcPr>
            <w:tcW w:w="1474" w:type="dxa"/>
            <w:vAlign w:val="center"/>
          </w:tcPr>
          <w:p w14:paraId="5D18D5D8">
            <w:pPr>
              <w:pStyle w:val="11"/>
            </w:pPr>
          </w:p>
        </w:tc>
        <w:tc>
          <w:tcPr>
            <w:tcW w:w="1474" w:type="dxa"/>
            <w:vAlign w:val="center"/>
          </w:tcPr>
          <w:p w14:paraId="3F179AAD">
            <w:pPr>
              <w:pStyle w:val="11"/>
            </w:pPr>
          </w:p>
        </w:tc>
      </w:tr>
      <w:tr w14:paraId="2F36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0708">
            <w:pPr>
              <w:pStyle w:val="13"/>
            </w:pPr>
            <w:r>
              <w:t>29</w:t>
            </w:r>
          </w:p>
        </w:tc>
        <w:tc>
          <w:tcPr>
            <w:tcW w:w="3402" w:type="dxa"/>
            <w:vAlign w:val="center"/>
          </w:tcPr>
          <w:p w14:paraId="35D9735B">
            <w:pPr>
              <w:pStyle w:val="12"/>
            </w:pPr>
          </w:p>
        </w:tc>
        <w:tc>
          <w:tcPr>
            <w:tcW w:w="1474" w:type="dxa"/>
            <w:vAlign w:val="center"/>
          </w:tcPr>
          <w:p w14:paraId="36635994">
            <w:pPr>
              <w:pStyle w:val="11"/>
            </w:pPr>
          </w:p>
        </w:tc>
        <w:tc>
          <w:tcPr>
            <w:tcW w:w="3402" w:type="dxa"/>
            <w:vAlign w:val="center"/>
          </w:tcPr>
          <w:p w14:paraId="6F1FE494">
            <w:pPr>
              <w:pStyle w:val="12"/>
            </w:pPr>
            <w:r>
              <w:t>二十九、债务发行费用支出</w:t>
            </w:r>
          </w:p>
        </w:tc>
        <w:tc>
          <w:tcPr>
            <w:tcW w:w="1474" w:type="dxa"/>
            <w:vAlign w:val="center"/>
          </w:tcPr>
          <w:p w14:paraId="7F84CEEE">
            <w:pPr>
              <w:pStyle w:val="11"/>
            </w:pPr>
          </w:p>
        </w:tc>
        <w:tc>
          <w:tcPr>
            <w:tcW w:w="1474" w:type="dxa"/>
            <w:vAlign w:val="center"/>
          </w:tcPr>
          <w:p w14:paraId="699458A8">
            <w:pPr>
              <w:pStyle w:val="11"/>
            </w:pPr>
          </w:p>
        </w:tc>
        <w:tc>
          <w:tcPr>
            <w:tcW w:w="1474" w:type="dxa"/>
            <w:vAlign w:val="center"/>
          </w:tcPr>
          <w:p w14:paraId="7753B1E5">
            <w:pPr>
              <w:pStyle w:val="11"/>
            </w:pPr>
          </w:p>
        </w:tc>
        <w:tc>
          <w:tcPr>
            <w:tcW w:w="1474" w:type="dxa"/>
            <w:vAlign w:val="center"/>
          </w:tcPr>
          <w:p w14:paraId="1FC7F4C9">
            <w:pPr>
              <w:pStyle w:val="11"/>
            </w:pPr>
          </w:p>
        </w:tc>
      </w:tr>
      <w:tr w14:paraId="0876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24FB5">
            <w:pPr>
              <w:pStyle w:val="13"/>
            </w:pPr>
            <w:r>
              <w:t>30</w:t>
            </w:r>
          </w:p>
        </w:tc>
        <w:tc>
          <w:tcPr>
            <w:tcW w:w="3402" w:type="dxa"/>
            <w:vAlign w:val="center"/>
          </w:tcPr>
          <w:p w14:paraId="6E2B2E9E">
            <w:pPr>
              <w:pStyle w:val="12"/>
            </w:pPr>
          </w:p>
        </w:tc>
        <w:tc>
          <w:tcPr>
            <w:tcW w:w="1474" w:type="dxa"/>
            <w:vAlign w:val="center"/>
          </w:tcPr>
          <w:p w14:paraId="15D66497">
            <w:pPr>
              <w:pStyle w:val="11"/>
            </w:pPr>
          </w:p>
        </w:tc>
        <w:tc>
          <w:tcPr>
            <w:tcW w:w="3402" w:type="dxa"/>
            <w:vAlign w:val="center"/>
          </w:tcPr>
          <w:p w14:paraId="02784DF2">
            <w:pPr>
              <w:pStyle w:val="12"/>
            </w:pPr>
            <w:r>
              <w:t>三十、抗疫特别国债安排的支出</w:t>
            </w:r>
          </w:p>
        </w:tc>
        <w:tc>
          <w:tcPr>
            <w:tcW w:w="1474" w:type="dxa"/>
            <w:vAlign w:val="center"/>
          </w:tcPr>
          <w:p w14:paraId="2141625C">
            <w:pPr>
              <w:pStyle w:val="11"/>
            </w:pPr>
          </w:p>
        </w:tc>
        <w:tc>
          <w:tcPr>
            <w:tcW w:w="1474" w:type="dxa"/>
            <w:vAlign w:val="center"/>
          </w:tcPr>
          <w:p w14:paraId="43E8795A">
            <w:pPr>
              <w:pStyle w:val="11"/>
            </w:pPr>
          </w:p>
        </w:tc>
        <w:tc>
          <w:tcPr>
            <w:tcW w:w="1474" w:type="dxa"/>
            <w:vAlign w:val="center"/>
          </w:tcPr>
          <w:p w14:paraId="2B164777">
            <w:pPr>
              <w:pStyle w:val="11"/>
            </w:pPr>
          </w:p>
        </w:tc>
        <w:tc>
          <w:tcPr>
            <w:tcW w:w="1474" w:type="dxa"/>
            <w:vAlign w:val="center"/>
          </w:tcPr>
          <w:p w14:paraId="3004AC13">
            <w:pPr>
              <w:pStyle w:val="11"/>
            </w:pPr>
          </w:p>
        </w:tc>
      </w:tr>
      <w:tr w14:paraId="1962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69708">
            <w:pPr>
              <w:pStyle w:val="13"/>
            </w:pPr>
            <w:r>
              <w:t>31</w:t>
            </w:r>
          </w:p>
        </w:tc>
        <w:tc>
          <w:tcPr>
            <w:tcW w:w="3402" w:type="dxa"/>
            <w:vAlign w:val="center"/>
          </w:tcPr>
          <w:p w14:paraId="63942FDD">
            <w:pPr>
              <w:pStyle w:val="12"/>
            </w:pPr>
          </w:p>
        </w:tc>
        <w:tc>
          <w:tcPr>
            <w:tcW w:w="1474" w:type="dxa"/>
            <w:vAlign w:val="center"/>
          </w:tcPr>
          <w:p w14:paraId="1A62E313">
            <w:pPr>
              <w:pStyle w:val="11"/>
            </w:pPr>
          </w:p>
        </w:tc>
        <w:tc>
          <w:tcPr>
            <w:tcW w:w="3402" w:type="dxa"/>
            <w:vAlign w:val="center"/>
          </w:tcPr>
          <w:p w14:paraId="33B451B0">
            <w:pPr>
              <w:pStyle w:val="12"/>
            </w:pPr>
            <w:r>
              <w:t>三十一、人行科目</w:t>
            </w:r>
          </w:p>
        </w:tc>
        <w:tc>
          <w:tcPr>
            <w:tcW w:w="1474" w:type="dxa"/>
            <w:vAlign w:val="center"/>
          </w:tcPr>
          <w:p w14:paraId="4219A1FF">
            <w:pPr>
              <w:pStyle w:val="11"/>
            </w:pPr>
          </w:p>
        </w:tc>
        <w:tc>
          <w:tcPr>
            <w:tcW w:w="1474" w:type="dxa"/>
            <w:vAlign w:val="center"/>
          </w:tcPr>
          <w:p w14:paraId="12AD5D23">
            <w:pPr>
              <w:pStyle w:val="11"/>
            </w:pPr>
          </w:p>
        </w:tc>
        <w:tc>
          <w:tcPr>
            <w:tcW w:w="1474" w:type="dxa"/>
            <w:vAlign w:val="center"/>
          </w:tcPr>
          <w:p w14:paraId="7AD1BBEE">
            <w:pPr>
              <w:pStyle w:val="11"/>
            </w:pPr>
          </w:p>
        </w:tc>
        <w:tc>
          <w:tcPr>
            <w:tcW w:w="1474" w:type="dxa"/>
            <w:vAlign w:val="center"/>
          </w:tcPr>
          <w:p w14:paraId="1190907D">
            <w:pPr>
              <w:pStyle w:val="11"/>
            </w:pPr>
          </w:p>
        </w:tc>
      </w:tr>
      <w:tr w14:paraId="1EEF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6FAD">
            <w:pPr>
              <w:pStyle w:val="13"/>
            </w:pPr>
            <w:r>
              <w:t>32</w:t>
            </w:r>
          </w:p>
        </w:tc>
        <w:tc>
          <w:tcPr>
            <w:tcW w:w="3402" w:type="dxa"/>
            <w:vAlign w:val="center"/>
          </w:tcPr>
          <w:p w14:paraId="5D3466B5">
            <w:pPr>
              <w:pStyle w:val="14"/>
            </w:pPr>
            <w:r>
              <w:t>本年收入合计</w:t>
            </w:r>
          </w:p>
        </w:tc>
        <w:tc>
          <w:tcPr>
            <w:tcW w:w="1474" w:type="dxa"/>
            <w:vAlign w:val="center"/>
          </w:tcPr>
          <w:p w14:paraId="3209DB6B">
            <w:pPr>
              <w:pStyle w:val="15"/>
            </w:pPr>
            <w:r>
              <w:t>2964.50</w:t>
            </w:r>
          </w:p>
        </w:tc>
        <w:tc>
          <w:tcPr>
            <w:tcW w:w="3402" w:type="dxa"/>
            <w:vAlign w:val="center"/>
          </w:tcPr>
          <w:p w14:paraId="513234D1">
            <w:pPr>
              <w:pStyle w:val="14"/>
            </w:pPr>
            <w:r>
              <w:t>本年支出合计</w:t>
            </w:r>
          </w:p>
        </w:tc>
        <w:tc>
          <w:tcPr>
            <w:tcW w:w="1474" w:type="dxa"/>
            <w:vAlign w:val="center"/>
          </w:tcPr>
          <w:p w14:paraId="0E0854C7">
            <w:pPr>
              <w:pStyle w:val="15"/>
            </w:pPr>
            <w:r>
              <w:t>2964.50</w:t>
            </w:r>
          </w:p>
        </w:tc>
        <w:tc>
          <w:tcPr>
            <w:tcW w:w="1474" w:type="dxa"/>
            <w:vAlign w:val="center"/>
          </w:tcPr>
          <w:p w14:paraId="2AECFB9F">
            <w:pPr>
              <w:pStyle w:val="15"/>
            </w:pPr>
            <w:r>
              <w:t>2964.50</w:t>
            </w:r>
          </w:p>
        </w:tc>
        <w:tc>
          <w:tcPr>
            <w:tcW w:w="1474" w:type="dxa"/>
            <w:vAlign w:val="center"/>
          </w:tcPr>
          <w:p w14:paraId="64BCC8FF">
            <w:pPr>
              <w:pStyle w:val="15"/>
            </w:pPr>
          </w:p>
        </w:tc>
        <w:tc>
          <w:tcPr>
            <w:tcW w:w="1474" w:type="dxa"/>
            <w:vAlign w:val="center"/>
          </w:tcPr>
          <w:p w14:paraId="63CD2F40">
            <w:pPr>
              <w:pStyle w:val="15"/>
            </w:pPr>
          </w:p>
        </w:tc>
      </w:tr>
      <w:tr w14:paraId="0C67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DF40A">
            <w:pPr>
              <w:pStyle w:val="13"/>
            </w:pPr>
            <w:r>
              <w:t>33</w:t>
            </w:r>
          </w:p>
        </w:tc>
        <w:tc>
          <w:tcPr>
            <w:tcW w:w="3402" w:type="dxa"/>
            <w:vAlign w:val="center"/>
          </w:tcPr>
          <w:p w14:paraId="6A780085">
            <w:pPr>
              <w:pStyle w:val="12"/>
            </w:pPr>
            <w:r>
              <w:t>年初财政拨款结转和结余</w:t>
            </w:r>
          </w:p>
        </w:tc>
        <w:tc>
          <w:tcPr>
            <w:tcW w:w="1474" w:type="dxa"/>
            <w:vAlign w:val="center"/>
          </w:tcPr>
          <w:p w14:paraId="6EC2D976">
            <w:pPr>
              <w:pStyle w:val="11"/>
            </w:pPr>
          </w:p>
        </w:tc>
        <w:tc>
          <w:tcPr>
            <w:tcW w:w="3402" w:type="dxa"/>
            <w:vAlign w:val="center"/>
          </w:tcPr>
          <w:p w14:paraId="32044FA7">
            <w:pPr>
              <w:pStyle w:val="12"/>
            </w:pPr>
            <w:r>
              <w:t>年末财政拨款结转和结余</w:t>
            </w:r>
          </w:p>
        </w:tc>
        <w:tc>
          <w:tcPr>
            <w:tcW w:w="1474" w:type="dxa"/>
            <w:vAlign w:val="center"/>
          </w:tcPr>
          <w:p w14:paraId="5A417087">
            <w:pPr>
              <w:pStyle w:val="11"/>
            </w:pPr>
          </w:p>
        </w:tc>
        <w:tc>
          <w:tcPr>
            <w:tcW w:w="1474" w:type="dxa"/>
            <w:vAlign w:val="center"/>
          </w:tcPr>
          <w:p w14:paraId="1ED6EF0D">
            <w:pPr>
              <w:pStyle w:val="11"/>
            </w:pPr>
          </w:p>
        </w:tc>
        <w:tc>
          <w:tcPr>
            <w:tcW w:w="1474" w:type="dxa"/>
            <w:vAlign w:val="center"/>
          </w:tcPr>
          <w:p w14:paraId="45DAD7E5">
            <w:pPr>
              <w:pStyle w:val="11"/>
            </w:pPr>
          </w:p>
        </w:tc>
        <w:tc>
          <w:tcPr>
            <w:tcW w:w="1474" w:type="dxa"/>
            <w:vAlign w:val="center"/>
          </w:tcPr>
          <w:p w14:paraId="30AEE6F4">
            <w:pPr>
              <w:pStyle w:val="11"/>
            </w:pPr>
          </w:p>
        </w:tc>
      </w:tr>
      <w:tr w14:paraId="4001D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D7831">
            <w:pPr>
              <w:pStyle w:val="13"/>
            </w:pPr>
            <w:r>
              <w:t>34</w:t>
            </w:r>
          </w:p>
        </w:tc>
        <w:tc>
          <w:tcPr>
            <w:tcW w:w="3402" w:type="dxa"/>
            <w:vAlign w:val="center"/>
          </w:tcPr>
          <w:p w14:paraId="7CD183B5">
            <w:pPr>
              <w:pStyle w:val="12"/>
            </w:pPr>
            <w:r>
              <w:t>一、一般公共预算拨款</w:t>
            </w:r>
          </w:p>
        </w:tc>
        <w:tc>
          <w:tcPr>
            <w:tcW w:w="1474" w:type="dxa"/>
            <w:vAlign w:val="center"/>
          </w:tcPr>
          <w:p w14:paraId="37651649">
            <w:pPr>
              <w:pStyle w:val="11"/>
            </w:pPr>
          </w:p>
        </w:tc>
        <w:tc>
          <w:tcPr>
            <w:tcW w:w="3402" w:type="dxa"/>
            <w:vAlign w:val="center"/>
          </w:tcPr>
          <w:p w14:paraId="4DFA0CDF">
            <w:pPr>
              <w:pStyle w:val="12"/>
            </w:pPr>
          </w:p>
        </w:tc>
        <w:tc>
          <w:tcPr>
            <w:tcW w:w="1474" w:type="dxa"/>
            <w:vAlign w:val="center"/>
          </w:tcPr>
          <w:p w14:paraId="73497426">
            <w:pPr>
              <w:pStyle w:val="11"/>
            </w:pPr>
          </w:p>
        </w:tc>
        <w:tc>
          <w:tcPr>
            <w:tcW w:w="1474" w:type="dxa"/>
            <w:vAlign w:val="center"/>
          </w:tcPr>
          <w:p w14:paraId="3EE0D9E8">
            <w:pPr>
              <w:pStyle w:val="11"/>
            </w:pPr>
          </w:p>
        </w:tc>
        <w:tc>
          <w:tcPr>
            <w:tcW w:w="1474" w:type="dxa"/>
            <w:vAlign w:val="center"/>
          </w:tcPr>
          <w:p w14:paraId="2A44F46C">
            <w:pPr>
              <w:pStyle w:val="11"/>
            </w:pPr>
          </w:p>
        </w:tc>
        <w:tc>
          <w:tcPr>
            <w:tcW w:w="1474" w:type="dxa"/>
            <w:vAlign w:val="center"/>
          </w:tcPr>
          <w:p w14:paraId="63F99B90">
            <w:pPr>
              <w:pStyle w:val="11"/>
            </w:pPr>
          </w:p>
        </w:tc>
      </w:tr>
      <w:tr w14:paraId="14D7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D6B7B">
            <w:pPr>
              <w:pStyle w:val="13"/>
            </w:pPr>
            <w:r>
              <w:t>35</w:t>
            </w:r>
          </w:p>
        </w:tc>
        <w:tc>
          <w:tcPr>
            <w:tcW w:w="3402" w:type="dxa"/>
            <w:vAlign w:val="center"/>
          </w:tcPr>
          <w:p w14:paraId="0B4E9FDA">
            <w:pPr>
              <w:pStyle w:val="12"/>
            </w:pPr>
            <w:r>
              <w:t>二、政府性基金预算拨款</w:t>
            </w:r>
          </w:p>
        </w:tc>
        <w:tc>
          <w:tcPr>
            <w:tcW w:w="1474" w:type="dxa"/>
            <w:vAlign w:val="center"/>
          </w:tcPr>
          <w:p w14:paraId="1AED918B">
            <w:pPr>
              <w:pStyle w:val="11"/>
            </w:pPr>
          </w:p>
        </w:tc>
        <w:tc>
          <w:tcPr>
            <w:tcW w:w="3402" w:type="dxa"/>
            <w:vAlign w:val="center"/>
          </w:tcPr>
          <w:p w14:paraId="530C571D">
            <w:pPr>
              <w:pStyle w:val="12"/>
            </w:pPr>
          </w:p>
        </w:tc>
        <w:tc>
          <w:tcPr>
            <w:tcW w:w="1474" w:type="dxa"/>
            <w:vAlign w:val="center"/>
          </w:tcPr>
          <w:p w14:paraId="34BD02C0">
            <w:pPr>
              <w:pStyle w:val="11"/>
            </w:pPr>
          </w:p>
        </w:tc>
        <w:tc>
          <w:tcPr>
            <w:tcW w:w="1474" w:type="dxa"/>
            <w:vAlign w:val="center"/>
          </w:tcPr>
          <w:p w14:paraId="208B5622">
            <w:pPr>
              <w:pStyle w:val="11"/>
            </w:pPr>
          </w:p>
        </w:tc>
        <w:tc>
          <w:tcPr>
            <w:tcW w:w="1474" w:type="dxa"/>
            <w:vAlign w:val="center"/>
          </w:tcPr>
          <w:p w14:paraId="404F060F">
            <w:pPr>
              <w:pStyle w:val="11"/>
            </w:pPr>
          </w:p>
        </w:tc>
        <w:tc>
          <w:tcPr>
            <w:tcW w:w="1474" w:type="dxa"/>
            <w:vAlign w:val="center"/>
          </w:tcPr>
          <w:p w14:paraId="2586D82E">
            <w:pPr>
              <w:pStyle w:val="11"/>
            </w:pPr>
          </w:p>
        </w:tc>
      </w:tr>
      <w:tr w14:paraId="66B4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AAA23">
            <w:pPr>
              <w:pStyle w:val="13"/>
            </w:pPr>
            <w:r>
              <w:t>36</w:t>
            </w:r>
          </w:p>
        </w:tc>
        <w:tc>
          <w:tcPr>
            <w:tcW w:w="3402" w:type="dxa"/>
            <w:vAlign w:val="center"/>
          </w:tcPr>
          <w:p w14:paraId="098C9C56">
            <w:pPr>
              <w:pStyle w:val="12"/>
            </w:pPr>
            <w:r>
              <w:t>三、国有资本经营预算拨款</w:t>
            </w:r>
          </w:p>
        </w:tc>
        <w:tc>
          <w:tcPr>
            <w:tcW w:w="1474" w:type="dxa"/>
            <w:vAlign w:val="center"/>
          </w:tcPr>
          <w:p w14:paraId="7DBFED79">
            <w:pPr>
              <w:pStyle w:val="11"/>
            </w:pPr>
          </w:p>
        </w:tc>
        <w:tc>
          <w:tcPr>
            <w:tcW w:w="3402" w:type="dxa"/>
            <w:vAlign w:val="center"/>
          </w:tcPr>
          <w:p w14:paraId="6FD7AF25">
            <w:pPr>
              <w:pStyle w:val="12"/>
            </w:pPr>
          </w:p>
        </w:tc>
        <w:tc>
          <w:tcPr>
            <w:tcW w:w="1474" w:type="dxa"/>
            <w:vAlign w:val="center"/>
          </w:tcPr>
          <w:p w14:paraId="2139F81C">
            <w:pPr>
              <w:pStyle w:val="11"/>
            </w:pPr>
          </w:p>
        </w:tc>
        <w:tc>
          <w:tcPr>
            <w:tcW w:w="1474" w:type="dxa"/>
            <w:vAlign w:val="center"/>
          </w:tcPr>
          <w:p w14:paraId="750B86A3">
            <w:pPr>
              <w:pStyle w:val="11"/>
            </w:pPr>
          </w:p>
        </w:tc>
        <w:tc>
          <w:tcPr>
            <w:tcW w:w="1474" w:type="dxa"/>
            <w:vAlign w:val="center"/>
          </w:tcPr>
          <w:p w14:paraId="1A5930F6">
            <w:pPr>
              <w:pStyle w:val="11"/>
            </w:pPr>
          </w:p>
        </w:tc>
        <w:tc>
          <w:tcPr>
            <w:tcW w:w="1474" w:type="dxa"/>
            <w:vAlign w:val="center"/>
          </w:tcPr>
          <w:p w14:paraId="176E4844">
            <w:pPr>
              <w:pStyle w:val="11"/>
            </w:pPr>
          </w:p>
        </w:tc>
      </w:tr>
      <w:tr w14:paraId="3C46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2589">
            <w:pPr>
              <w:pStyle w:val="13"/>
            </w:pPr>
            <w:r>
              <w:t>37</w:t>
            </w:r>
          </w:p>
        </w:tc>
        <w:tc>
          <w:tcPr>
            <w:tcW w:w="3402" w:type="dxa"/>
            <w:vAlign w:val="center"/>
          </w:tcPr>
          <w:p w14:paraId="6DE4264E">
            <w:pPr>
              <w:pStyle w:val="14"/>
            </w:pPr>
            <w:r>
              <w:t>收入总计</w:t>
            </w:r>
          </w:p>
        </w:tc>
        <w:tc>
          <w:tcPr>
            <w:tcW w:w="1474" w:type="dxa"/>
            <w:vAlign w:val="center"/>
          </w:tcPr>
          <w:p w14:paraId="7F688BA4">
            <w:pPr>
              <w:pStyle w:val="15"/>
            </w:pPr>
            <w:r>
              <w:t>2964.50</w:t>
            </w:r>
          </w:p>
        </w:tc>
        <w:tc>
          <w:tcPr>
            <w:tcW w:w="3402" w:type="dxa"/>
            <w:vAlign w:val="center"/>
          </w:tcPr>
          <w:p w14:paraId="3F4431F4">
            <w:pPr>
              <w:pStyle w:val="14"/>
            </w:pPr>
            <w:r>
              <w:t>支出总计</w:t>
            </w:r>
          </w:p>
        </w:tc>
        <w:tc>
          <w:tcPr>
            <w:tcW w:w="1474" w:type="dxa"/>
            <w:vAlign w:val="center"/>
          </w:tcPr>
          <w:p w14:paraId="4C910204">
            <w:pPr>
              <w:pStyle w:val="15"/>
            </w:pPr>
            <w:r>
              <w:t>2964.50</w:t>
            </w:r>
          </w:p>
        </w:tc>
        <w:tc>
          <w:tcPr>
            <w:tcW w:w="1474" w:type="dxa"/>
            <w:vAlign w:val="center"/>
          </w:tcPr>
          <w:p w14:paraId="708705B7">
            <w:pPr>
              <w:pStyle w:val="15"/>
            </w:pPr>
            <w:r>
              <w:t>2964.50</w:t>
            </w:r>
          </w:p>
        </w:tc>
        <w:tc>
          <w:tcPr>
            <w:tcW w:w="1474" w:type="dxa"/>
            <w:vAlign w:val="center"/>
          </w:tcPr>
          <w:p w14:paraId="1EFFDD43">
            <w:pPr>
              <w:pStyle w:val="15"/>
            </w:pPr>
          </w:p>
        </w:tc>
        <w:tc>
          <w:tcPr>
            <w:tcW w:w="1474" w:type="dxa"/>
            <w:vAlign w:val="center"/>
          </w:tcPr>
          <w:p w14:paraId="47EC776F">
            <w:pPr>
              <w:pStyle w:val="15"/>
            </w:pPr>
          </w:p>
        </w:tc>
      </w:tr>
    </w:tbl>
    <w:p w14:paraId="1E4C66BE">
      <w:pPr>
        <w:sectPr>
          <w:pgSz w:w="16840" w:h="11900" w:orient="landscape"/>
          <w:pgMar w:top="1361" w:right="1020" w:bottom="1134" w:left="1020" w:header="720" w:footer="720" w:gutter="0"/>
          <w:cols w:space="720" w:num="1"/>
        </w:sectPr>
      </w:pPr>
    </w:p>
    <w:p w14:paraId="0E2E2F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5A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3156C1">
            <w:pPr>
              <w:pStyle w:val="9"/>
            </w:pPr>
            <w:r>
              <w:t>360019隆尧县东良校区</w:t>
            </w:r>
          </w:p>
        </w:tc>
        <w:tc>
          <w:tcPr>
            <w:tcW w:w="2551" w:type="dxa"/>
            <w:tcBorders>
              <w:top w:val="single" w:color="FFFFFF" w:sz="6" w:space="0"/>
              <w:left w:val="single" w:color="FFFFFF" w:sz="6" w:space="0"/>
              <w:right w:val="single" w:color="FFFFFF" w:sz="6" w:space="0"/>
            </w:tcBorders>
            <w:vAlign w:val="center"/>
          </w:tcPr>
          <w:p w14:paraId="0BBECDA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E8EB34">
            <w:pPr>
              <w:pStyle w:val="7"/>
            </w:pPr>
            <w:r>
              <w:t>单位：万元</w:t>
            </w:r>
          </w:p>
        </w:tc>
      </w:tr>
      <w:tr w14:paraId="784B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FDC00">
            <w:pPr>
              <w:pStyle w:val="10"/>
            </w:pPr>
            <w:r>
              <w:t>序号</w:t>
            </w:r>
          </w:p>
        </w:tc>
        <w:tc>
          <w:tcPr>
            <w:tcW w:w="5726" w:type="dxa"/>
            <w:gridSpan w:val="2"/>
            <w:vAlign w:val="center"/>
          </w:tcPr>
          <w:p w14:paraId="7A0D7744">
            <w:pPr>
              <w:pStyle w:val="10"/>
            </w:pPr>
            <w:r>
              <w:t>功能分类科目</w:t>
            </w:r>
          </w:p>
        </w:tc>
        <w:tc>
          <w:tcPr>
            <w:tcW w:w="2551" w:type="dxa"/>
            <w:vMerge w:val="restart"/>
            <w:vAlign w:val="center"/>
          </w:tcPr>
          <w:p w14:paraId="3A0573D4">
            <w:pPr>
              <w:pStyle w:val="10"/>
            </w:pPr>
            <w:r>
              <w:t>合计</w:t>
            </w:r>
          </w:p>
        </w:tc>
        <w:tc>
          <w:tcPr>
            <w:tcW w:w="2551" w:type="dxa"/>
            <w:vMerge w:val="restart"/>
            <w:vAlign w:val="center"/>
          </w:tcPr>
          <w:p w14:paraId="1F35E0D0">
            <w:pPr>
              <w:pStyle w:val="10"/>
            </w:pPr>
            <w:r>
              <w:t>基本支出</w:t>
            </w:r>
          </w:p>
        </w:tc>
        <w:tc>
          <w:tcPr>
            <w:tcW w:w="2551" w:type="dxa"/>
            <w:vMerge w:val="restart"/>
            <w:vAlign w:val="center"/>
          </w:tcPr>
          <w:p w14:paraId="7BC7FCF0">
            <w:pPr>
              <w:pStyle w:val="10"/>
            </w:pPr>
            <w:r>
              <w:t>项目支出</w:t>
            </w:r>
          </w:p>
        </w:tc>
      </w:tr>
      <w:tr w14:paraId="2528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D5405"/>
        </w:tc>
        <w:tc>
          <w:tcPr>
            <w:tcW w:w="1191" w:type="dxa"/>
            <w:vAlign w:val="center"/>
          </w:tcPr>
          <w:p w14:paraId="434356EE">
            <w:pPr>
              <w:pStyle w:val="10"/>
            </w:pPr>
            <w:r>
              <w:t>科目编码</w:t>
            </w:r>
          </w:p>
        </w:tc>
        <w:tc>
          <w:tcPr>
            <w:tcW w:w="4535" w:type="dxa"/>
            <w:vAlign w:val="center"/>
          </w:tcPr>
          <w:p w14:paraId="325068DD">
            <w:pPr>
              <w:pStyle w:val="10"/>
            </w:pPr>
            <w:r>
              <w:t>科目名称</w:t>
            </w:r>
          </w:p>
        </w:tc>
        <w:tc>
          <w:tcPr>
            <w:tcW w:w="2551" w:type="dxa"/>
            <w:vMerge w:val="continue"/>
          </w:tcPr>
          <w:p w14:paraId="63653752"/>
        </w:tc>
        <w:tc>
          <w:tcPr>
            <w:tcW w:w="2551" w:type="dxa"/>
            <w:vMerge w:val="continue"/>
          </w:tcPr>
          <w:p w14:paraId="25639BCE"/>
        </w:tc>
        <w:tc>
          <w:tcPr>
            <w:tcW w:w="2551" w:type="dxa"/>
            <w:vMerge w:val="continue"/>
          </w:tcPr>
          <w:p w14:paraId="6A067CE9"/>
        </w:tc>
      </w:tr>
      <w:tr w14:paraId="3878C3F5">
        <w:tblPrEx>
          <w:tblCellMar>
            <w:top w:w="0" w:type="dxa"/>
            <w:left w:w="108" w:type="dxa"/>
            <w:bottom w:w="0" w:type="dxa"/>
            <w:right w:w="108" w:type="dxa"/>
          </w:tblCellMar>
        </w:tblPrEx>
        <w:trPr>
          <w:trHeight w:val="369" w:hRule="atLeast"/>
          <w:tblHeader/>
          <w:jc w:val="center"/>
        </w:trPr>
        <w:tc>
          <w:tcPr>
            <w:tcW w:w="850" w:type="dxa"/>
            <w:vAlign w:val="center"/>
          </w:tcPr>
          <w:p w14:paraId="687CE493">
            <w:pPr>
              <w:pStyle w:val="10"/>
            </w:pPr>
            <w:r>
              <w:t>栏次</w:t>
            </w:r>
          </w:p>
        </w:tc>
        <w:tc>
          <w:tcPr>
            <w:tcW w:w="1191" w:type="dxa"/>
            <w:vAlign w:val="center"/>
          </w:tcPr>
          <w:p w14:paraId="383AEDC9">
            <w:pPr>
              <w:pStyle w:val="10"/>
            </w:pPr>
            <w:r>
              <w:t>1</w:t>
            </w:r>
          </w:p>
        </w:tc>
        <w:tc>
          <w:tcPr>
            <w:tcW w:w="4535" w:type="dxa"/>
            <w:vAlign w:val="center"/>
          </w:tcPr>
          <w:p w14:paraId="5E179548">
            <w:pPr>
              <w:pStyle w:val="10"/>
            </w:pPr>
            <w:r>
              <w:t>2</w:t>
            </w:r>
          </w:p>
        </w:tc>
        <w:tc>
          <w:tcPr>
            <w:tcW w:w="2551" w:type="dxa"/>
            <w:vAlign w:val="center"/>
          </w:tcPr>
          <w:p w14:paraId="7150FA30">
            <w:pPr>
              <w:pStyle w:val="10"/>
            </w:pPr>
            <w:r>
              <w:t>3</w:t>
            </w:r>
          </w:p>
        </w:tc>
        <w:tc>
          <w:tcPr>
            <w:tcW w:w="2551" w:type="dxa"/>
            <w:vAlign w:val="center"/>
          </w:tcPr>
          <w:p w14:paraId="1F1377AA">
            <w:pPr>
              <w:pStyle w:val="10"/>
            </w:pPr>
            <w:r>
              <w:t>4</w:t>
            </w:r>
          </w:p>
        </w:tc>
        <w:tc>
          <w:tcPr>
            <w:tcW w:w="2551" w:type="dxa"/>
            <w:vAlign w:val="center"/>
          </w:tcPr>
          <w:p w14:paraId="557F4061">
            <w:pPr>
              <w:pStyle w:val="10"/>
            </w:pPr>
            <w:r>
              <w:t>5</w:t>
            </w:r>
          </w:p>
        </w:tc>
      </w:tr>
      <w:tr w14:paraId="6CFA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0B4C">
            <w:pPr>
              <w:pStyle w:val="13"/>
            </w:pPr>
            <w:r>
              <w:t>1</w:t>
            </w:r>
          </w:p>
        </w:tc>
        <w:tc>
          <w:tcPr>
            <w:tcW w:w="1191" w:type="dxa"/>
            <w:vAlign w:val="center"/>
          </w:tcPr>
          <w:p w14:paraId="2ED01B7C">
            <w:pPr>
              <w:pStyle w:val="16"/>
            </w:pPr>
          </w:p>
        </w:tc>
        <w:tc>
          <w:tcPr>
            <w:tcW w:w="4535" w:type="dxa"/>
            <w:vAlign w:val="center"/>
          </w:tcPr>
          <w:p w14:paraId="03C61583">
            <w:pPr>
              <w:pStyle w:val="14"/>
            </w:pPr>
            <w:r>
              <w:t>合计</w:t>
            </w:r>
          </w:p>
        </w:tc>
        <w:tc>
          <w:tcPr>
            <w:tcW w:w="2551" w:type="dxa"/>
            <w:vAlign w:val="center"/>
          </w:tcPr>
          <w:p w14:paraId="1C24018F">
            <w:pPr>
              <w:pStyle w:val="15"/>
            </w:pPr>
            <w:r>
              <w:t>2964.50</w:t>
            </w:r>
          </w:p>
        </w:tc>
        <w:tc>
          <w:tcPr>
            <w:tcW w:w="2551" w:type="dxa"/>
            <w:vAlign w:val="center"/>
          </w:tcPr>
          <w:p w14:paraId="18AA2F53">
            <w:pPr>
              <w:pStyle w:val="15"/>
            </w:pPr>
            <w:r>
              <w:t>2276.90</w:t>
            </w:r>
          </w:p>
        </w:tc>
        <w:tc>
          <w:tcPr>
            <w:tcW w:w="2551" w:type="dxa"/>
            <w:vAlign w:val="center"/>
          </w:tcPr>
          <w:p w14:paraId="398A6CBC">
            <w:pPr>
              <w:pStyle w:val="15"/>
            </w:pPr>
            <w:r>
              <w:t>687.60</w:t>
            </w:r>
          </w:p>
        </w:tc>
      </w:tr>
      <w:tr w14:paraId="4C3B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F2CC3">
            <w:pPr>
              <w:pStyle w:val="13"/>
            </w:pPr>
            <w:r>
              <w:t>2</w:t>
            </w:r>
          </w:p>
        </w:tc>
        <w:tc>
          <w:tcPr>
            <w:tcW w:w="1191" w:type="dxa"/>
            <w:vAlign w:val="center"/>
          </w:tcPr>
          <w:p w14:paraId="17285CFB">
            <w:pPr>
              <w:pStyle w:val="12"/>
            </w:pPr>
            <w:r>
              <w:t>205</w:t>
            </w:r>
          </w:p>
        </w:tc>
        <w:tc>
          <w:tcPr>
            <w:tcW w:w="4535" w:type="dxa"/>
            <w:vAlign w:val="center"/>
          </w:tcPr>
          <w:p w14:paraId="4E269D35">
            <w:pPr>
              <w:pStyle w:val="12"/>
            </w:pPr>
            <w:r>
              <w:t>教育支出</w:t>
            </w:r>
          </w:p>
        </w:tc>
        <w:tc>
          <w:tcPr>
            <w:tcW w:w="2551" w:type="dxa"/>
            <w:vAlign w:val="center"/>
          </w:tcPr>
          <w:p w14:paraId="6A73AA6C">
            <w:pPr>
              <w:pStyle w:val="11"/>
            </w:pPr>
            <w:r>
              <w:t>2964.50</w:t>
            </w:r>
          </w:p>
        </w:tc>
        <w:tc>
          <w:tcPr>
            <w:tcW w:w="2551" w:type="dxa"/>
            <w:vAlign w:val="center"/>
          </w:tcPr>
          <w:p w14:paraId="179AFB42">
            <w:pPr>
              <w:pStyle w:val="11"/>
            </w:pPr>
            <w:r>
              <w:t>2276.90</w:t>
            </w:r>
          </w:p>
        </w:tc>
        <w:tc>
          <w:tcPr>
            <w:tcW w:w="2551" w:type="dxa"/>
            <w:vAlign w:val="center"/>
          </w:tcPr>
          <w:p w14:paraId="004C56B7">
            <w:pPr>
              <w:pStyle w:val="11"/>
            </w:pPr>
            <w:r>
              <w:t>687.60</w:t>
            </w:r>
          </w:p>
        </w:tc>
      </w:tr>
      <w:tr w14:paraId="57DE587D">
        <w:tblPrEx>
          <w:tblCellMar>
            <w:top w:w="0" w:type="dxa"/>
            <w:left w:w="108" w:type="dxa"/>
            <w:bottom w:w="0" w:type="dxa"/>
            <w:right w:w="108" w:type="dxa"/>
          </w:tblCellMar>
        </w:tblPrEx>
        <w:trPr>
          <w:trHeight w:val="369" w:hRule="atLeast"/>
          <w:jc w:val="center"/>
        </w:trPr>
        <w:tc>
          <w:tcPr>
            <w:tcW w:w="850" w:type="dxa"/>
            <w:vAlign w:val="center"/>
          </w:tcPr>
          <w:p w14:paraId="284FDE97">
            <w:pPr>
              <w:pStyle w:val="13"/>
            </w:pPr>
            <w:r>
              <w:t>3</w:t>
            </w:r>
          </w:p>
        </w:tc>
        <w:tc>
          <w:tcPr>
            <w:tcW w:w="1191" w:type="dxa"/>
            <w:vAlign w:val="center"/>
          </w:tcPr>
          <w:p w14:paraId="28050865">
            <w:pPr>
              <w:pStyle w:val="12"/>
            </w:pPr>
            <w:r>
              <w:t>20502</w:t>
            </w:r>
          </w:p>
        </w:tc>
        <w:tc>
          <w:tcPr>
            <w:tcW w:w="4535" w:type="dxa"/>
            <w:vAlign w:val="center"/>
          </w:tcPr>
          <w:p w14:paraId="379EFBAD">
            <w:pPr>
              <w:pStyle w:val="12"/>
            </w:pPr>
            <w:r>
              <w:t>普通教育</w:t>
            </w:r>
          </w:p>
        </w:tc>
        <w:tc>
          <w:tcPr>
            <w:tcW w:w="2551" w:type="dxa"/>
            <w:vAlign w:val="center"/>
          </w:tcPr>
          <w:p w14:paraId="397277BC">
            <w:pPr>
              <w:pStyle w:val="11"/>
            </w:pPr>
            <w:r>
              <w:t>2964.50</w:t>
            </w:r>
          </w:p>
        </w:tc>
        <w:tc>
          <w:tcPr>
            <w:tcW w:w="2551" w:type="dxa"/>
            <w:vAlign w:val="center"/>
          </w:tcPr>
          <w:p w14:paraId="5F880D90">
            <w:pPr>
              <w:pStyle w:val="11"/>
            </w:pPr>
            <w:r>
              <w:t>2276.90</w:t>
            </w:r>
          </w:p>
        </w:tc>
        <w:tc>
          <w:tcPr>
            <w:tcW w:w="2551" w:type="dxa"/>
            <w:vAlign w:val="center"/>
          </w:tcPr>
          <w:p w14:paraId="17D919C1">
            <w:pPr>
              <w:pStyle w:val="11"/>
            </w:pPr>
            <w:r>
              <w:t>687.60</w:t>
            </w:r>
          </w:p>
        </w:tc>
      </w:tr>
      <w:tr w14:paraId="76FB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6A6E4">
            <w:pPr>
              <w:pStyle w:val="13"/>
            </w:pPr>
            <w:r>
              <w:t>4</w:t>
            </w:r>
          </w:p>
        </w:tc>
        <w:tc>
          <w:tcPr>
            <w:tcW w:w="1191" w:type="dxa"/>
            <w:vAlign w:val="center"/>
          </w:tcPr>
          <w:p w14:paraId="262845EC">
            <w:pPr>
              <w:pStyle w:val="12"/>
            </w:pPr>
            <w:r>
              <w:t>2050201</w:t>
            </w:r>
          </w:p>
        </w:tc>
        <w:tc>
          <w:tcPr>
            <w:tcW w:w="4535" w:type="dxa"/>
            <w:vAlign w:val="center"/>
          </w:tcPr>
          <w:p w14:paraId="49F13D41">
            <w:pPr>
              <w:pStyle w:val="12"/>
            </w:pPr>
            <w:r>
              <w:t>学前教育</w:t>
            </w:r>
          </w:p>
        </w:tc>
        <w:tc>
          <w:tcPr>
            <w:tcW w:w="2551" w:type="dxa"/>
            <w:vAlign w:val="center"/>
          </w:tcPr>
          <w:p w14:paraId="39CB6E0C">
            <w:pPr>
              <w:pStyle w:val="11"/>
            </w:pPr>
            <w:r>
              <w:t>220.44</w:t>
            </w:r>
          </w:p>
        </w:tc>
        <w:tc>
          <w:tcPr>
            <w:tcW w:w="2551" w:type="dxa"/>
            <w:vAlign w:val="center"/>
          </w:tcPr>
          <w:p w14:paraId="45D6D8B3">
            <w:pPr>
              <w:pStyle w:val="11"/>
            </w:pPr>
          </w:p>
        </w:tc>
        <w:tc>
          <w:tcPr>
            <w:tcW w:w="2551" w:type="dxa"/>
            <w:vAlign w:val="center"/>
          </w:tcPr>
          <w:p w14:paraId="687F2217">
            <w:pPr>
              <w:pStyle w:val="11"/>
            </w:pPr>
            <w:r>
              <w:t>220.44</w:t>
            </w:r>
          </w:p>
        </w:tc>
      </w:tr>
      <w:tr w14:paraId="06E4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548D8">
            <w:pPr>
              <w:pStyle w:val="13"/>
            </w:pPr>
            <w:r>
              <w:t>5</w:t>
            </w:r>
          </w:p>
        </w:tc>
        <w:tc>
          <w:tcPr>
            <w:tcW w:w="1191" w:type="dxa"/>
            <w:vAlign w:val="center"/>
          </w:tcPr>
          <w:p w14:paraId="015711A1">
            <w:pPr>
              <w:pStyle w:val="12"/>
            </w:pPr>
            <w:r>
              <w:t>2050202</w:t>
            </w:r>
          </w:p>
        </w:tc>
        <w:tc>
          <w:tcPr>
            <w:tcW w:w="4535" w:type="dxa"/>
            <w:vAlign w:val="center"/>
          </w:tcPr>
          <w:p w14:paraId="3D5CA3E3">
            <w:pPr>
              <w:pStyle w:val="12"/>
            </w:pPr>
            <w:r>
              <w:t>小学教育</w:t>
            </w:r>
          </w:p>
        </w:tc>
        <w:tc>
          <w:tcPr>
            <w:tcW w:w="2551" w:type="dxa"/>
            <w:vAlign w:val="center"/>
          </w:tcPr>
          <w:p w14:paraId="078FA068">
            <w:pPr>
              <w:pStyle w:val="11"/>
            </w:pPr>
            <w:r>
              <w:t>2744.06</w:t>
            </w:r>
          </w:p>
        </w:tc>
        <w:tc>
          <w:tcPr>
            <w:tcW w:w="2551" w:type="dxa"/>
            <w:vAlign w:val="center"/>
          </w:tcPr>
          <w:p w14:paraId="3DF45BB5">
            <w:pPr>
              <w:pStyle w:val="11"/>
            </w:pPr>
            <w:r>
              <w:t>2276.90</w:t>
            </w:r>
          </w:p>
        </w:tc>
        <w:tc>
          <w:tcPr>
            <w:tcW w:w="2551" w:type="dxa"/>
            <w:vAlign w:val="center"/>
          </w:tcPr>
          <w:p w14:paraId="0D4C39BE">
            <w:pPr>
              <w:pStyle w:val="11"/>
            </w:pPr>
            <w:r>
              <w:t>467.16</w:t>
            </w:r>
          </w:p>
        </w:tc>
      </w:tr>
    </w:tbl>
    <w:p w14:paraId="45FE8122">
      <w:pPr>
        <w:sectPr>
          <w:pgSz w:w="16840" w:h="11900" w:orient="landscape"/>
          <w:pgMar w:top="1361" w:right="1020" w:bottom="1134" w:left="1020" w:header="720" w:footer="720" w:gutter="0"/>
          <w:cols w:space="720" w:num="1"/>
        </w:sectPr>
      </w:pPr>
    </w:p>
    <w:p w14:paraId="5A6F9C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53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D14A19">
            <w:pPr>
              <w:pStyle w:val="9"/>
            </w:pPr>
            <w:r>
              <w:t>360019隆尧县东良校区</w:t>
            </w:r>
          </w:p>
        </w:tc>
        <w:tc>
          <w:tcPr>
            <w:tcW w:w="2551" w:type="dxa"/>
            <w:tcBorders>
              <w:top w:val="single" w:color="FFFFFF" w:sz="6" w:space="0"/>
              <w:left w:val="single" w:color="FFFFFF" w:sz="6" w:space="0"/>
              <w:right w:val="single" w:color="FFFFFF" w:sz="6" w:space="0"/>
            </w:tcBorders>
            <w:vAlign w:val="center"/>
          </w:tcPr>
          <w:p w14:paraId="5BDA9B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B5522D">
            <w:pPr>
              <w:pStyle w:val="7"/>
            </w:pPr>
            <w:r>
              <w:t>单位：万元</w:t>
            </w:r>
          </w:p>
        </w:tc>
      </w:tr>
      <w:tr w14:paraId="209F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46217">
            <w:pPr>
              <w:pStyle w:val="10"/>
            </w:pPr>
            <w:r>
              <w:t>序号</w:t>
            </w:r>
          </w:p>
        </w:tc>
        <w:tc>
          <w:tcPr>
            <w:tcW w:w="5726" w:type="dxa"/>
            <w:gridSpan w:val="2"/>
            <w:vAlign w:val="center"/>
          </w:tcPr>
          <w:p w14:paraId="3090D344">
            <w:pPr>
              <w:pStyle w:val="10"/>
            </w:pPr>
            <w:r>
              <w:t>支出部门经济分类科目</w:t>
            </w:r>
          </w:p>
        </w:tc>
        <w:tc>
          <w:tcPr>
            <w:tcW w:w="7653" w:type="dxa"/>
            <w:gridSpan w:val="3"/>
            <w:vAlign w:val="center"/>
          </w:tcPr>
          <w:p w14:paraId="4CAF8219">
            <w:pPr>
              <w:pStyle w:val="10"/>
            </w:pPr>
            <w:r>
              <w:t>一般公共预算基本支出</w:t>
            </w:r>
          </w:p>
        </w:tc>
      </w:tr>
      <w:tr w14:paraId="6DD3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BAF4B0"/>
        </w:tc>
        <w:tc>
          <w:tcPr>
            <w:tcW w:w="1191" w:type="dxa"/>
            <w:vAlign w:val="center"/>
          </w:tcPr>
          <w:p w14:paraId="56AB64FC">
            <w:pPr>
              <w:pStyle w:val="10"/>
            </w:pPr>
            <w:r>
              <w:t>科目编码</w:t>
            </w:r>
          </w:p>
        </w:tc>
        <w:tc>
          <w:tcPr>
            <w:tcW w:w="4535" w:type="dxa"/>
            <w:vAlign w:val="center"/>
          </w:tcPr>
          <w:p w14:paraId="2F9237FB">
            <w:pPr>
              <w:pStyle w:val="10"/>
            </w:pPr>
            <w:r>
              <w:t>科目名称</w:t>
            </w:r>
          </w:p>
        </w:tc>
        <w:tc>
          <w:tcPr>
            <w:tcW w:w="2551" w:type="dxa"/>
            <w:vAlign w:val="center"/>
          </w:tcPr>
          <w:p w14:paraId="4B526175">
            <w:pPr>
              <w:pStyle w:val="10"/>
            </w:pPr>
            <w:r>
              <w:t>合计</w:t>
            </w:r>
          </w:p>
        </w:tc>
        <w:tc>
          <w:tcPr>
            <w:tcW w:w="2551" w:type="dxa"/>
            <w:vAlign w:val="center"/>
          </w:tcPr>
          <w:p w14:paraId="2D1F5BF9">
            <w:pPr>
              <w:pStyle w:val="10"/>
            </w:pPr>
            <w:r>
              <w:t>人员经费</w:t>
            </w:r>
          </w:p>
        </w:tc>
        <w:tc>
          <w:tcPr>
            <w:tcW w:w="2551" w:type="dxa"/>
            <w:vAlign w:val="center"/>
          </w:tcPr>
          <w:p w14:paraId="2FAAF52E">
            <w:pPr>
              <w:pStyle w:val="10"/>
            </w:pPr>
            <w:r>
              <w:t>公用经费</w:t>
            </w:r>
          </w:p>
        </w:tc>
      </w:tr>
      <w:tr w14:paraId="6922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24866">
            <w:pPr>
              <w:pStyle w:val="10"/>
            </w:pPr>
            <w:r>
              <w:t>栏次</w:t>
            </w:r>
          </w:p>
        </w:tc>
        <w:tc>
          <w:tcPr>
            <w:tcW w:w="1191" w:type="dxa"/>
            <w:vAlign w:val="center"/>
          </w:tcPr>
          <w:p w14:paraId="7025E9FD">
            <w:pPr>
              <w:pStyle w:val="10"/>
            </w:pPr>
            <w:r>
              <w:t>1</w:t>
            </w:r>
          </w:p>
        </w:tc>
        <w:tc>
          <w:tcPr>
            <w:tcW w:w="4535" w:type="dxa"/>
            <w:vAlign w:val="center"/>
          </w:tcPr>
          <w:p w14:paraId="389C1301">
            <w:pPr>
              <w:pStyle w:val="10"/>
            </w:pPr>
            <w:r>
              <w:t>2</w:t>
            </w:r>
          </w:p>
        </w:tc>
        <w:tc>
          <w:tcPr>
            <w:tcW w:w="2551" w:type="dxa"/>
            <w:vAlign w:val="center"/>
          </w:tcPr>
          <w:p w14:paraId="0C41CEB2">
            <w:pPr>
              <w:pStyle w:val="10"/>
            </w:pPr>
            <w:r>
              <w:t>3</w:t>
            </w:r>
          </w:p>
        </w:tc>
        <w:tc>
          <w:tcPr>
            <w:tcW w:w="2551" w:type="dxa"/>
            <w:vAlign w:val="center"/>
          </w:tcPr>
          <w:p w14:paraId="773CE8F4">
            <w:pPr>
              <w:pStyle w:val="10"/>
            </w:pPr>
            <w:r>
              <w:t>4</w:t>
            </w:r>
          </w:p>
        </w:tc>
        <w:tc>
          <w:tcPr>
            <w:tcW w:w="2551" w:type="dxa"/>
            <w:vAlign w:val="center"/>
          </w:tcPr>
          <w:p w14:paraId="35996498">
            <w:pPr>
              <w:pStyle w:val="10"/>
            </w:pPr>
            <w:r>
              <w:t>5</w:t>
            </w:r>
          </w:p>
        </w:tc>
      </w:tr>
      <w:tr w14:paraId="299E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73226">
            <w:pPr>
              <w:pStyle w:val="13"/>
            </w:pPr>
            <w:r>
              <w:t>1</w:t>
            </w:r>
          </w:p>
        </w:tc>
        <w:tc>
          <w:tcPr>
            <w:tcW w:w="1191" w:type="dxa"/>
            <w:vAlign w:val="center"/>
          </w:tcPr>
          <w:p w14:paraId="4767985E">
            <w:pPr>
              <w:pStyle w:val="16"/>
            </w:pPr>
          </w:p>
        </w:tc>
        <w:tc>
          <w:tcPr>
            <w:tcW w:w="4535" w:type="dxa"/>
            <w:vAlign w:val="center"/>
          </w:tcPr>
          <w:p w14:paraId="719B7E2E">
            <w:pPr>
              <w:pStyle w:val="14"/>
            </w:pPr>
            <w:r>
              <w:t>合计</w:t>
            </w:r>
          </w:p>
        </w:tc>
        <w:tc>
          <w:tcPr>
            <w:tcW w:w="2551" w:type="dxa"/>
            <w:vAlign w:val="center"/>
          </w:tcPr>
          <w:p w14:paraId="5E6677D7">
            <w:pPr>
              <w:pStyle w:val="15"/>
            </w:pPr>
            <w:r>
              <w:t>2276.90</w:t>
            </w:r>
          </w:p>
        </w:tc>
        <w:tc>
          <w:tcPr>
            <w:tcW w:w="2551" w:type="dxa"/>
            <w:vAlign w:val="center"/>
          </w:tcPr>
          <w:p w14:paraId="004F2F03">
            <w:pPr>
              <w:pStyle w:val="15"/>
            </w:pPr>
            <w:r>
              <w:t>2276.90</w:t>
            </w:r>
          </w:p>
        </w:tc>
        <w:tc>
          <w:tcPr>
            <w:tcW w:w="2551" w:type="dxa"/>
            <w:vAlign w:val="center"/>
          </w:tcPr>
          <w:p w14:paraId="145005BD">
            <w:pPr>
              <w:pStyle w:val="15"/>
            </w:pPr>
          </w:p>
        </w:tc>
      </w:tr>
      <w:tr w14:paraId="4EC8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4D75">
            <w:pPr>
              <w:pStyle w:val="13"/>
            </w:pPr>
            <w:r>
              <w:t>2</w:t>
            </w:r>
          </w:p>
        </w:tc>
        <w:tc>
          <w:tcPr>
            <w:tcW w:w="1191" w:type="dxa"/>
            <w:vAlign w:val="center"/>
          </w:tcPr>
          <w:p w14:paraId="7CC65468">
            <w:pPr>
              <w:pStyle w:val="12"/>
            </w:pPr>
            <w:r>
              <w:t>301</w:t>
            </w:r>
          </w:p>
        </w:tc>
        <w:tc>
          <w:tcPr>
            <w:tcW w:w="4535" w:type="dxa"/>
            <w:vAlign w:val="center"/>
          </w:tcPr>
          <w:p w14:paraId="0C55FC0B">
            <w:pPr>
              <w:pStyle w:val="12"/>
            </w:pPr>
            <w:r>
              <w:t>工资福利支出</w:t>
            </w:r>
          </w:p>
        </w:tc>
        <w:tc>
          <w:tcPr>
            <w:tcW w:w="2551" w:type="dxa"/>
            <w:vAlign w:val="center"/>
          </w:tcPr>
          <w:p w14:paraId="77FEBF6F">
            <w:pPr>
              <w:pStyle w:val="11"/>
            </w:pPr>
            <w:r>
              <w:t>2089.46</w:t>
            </w:r>
          </w:p>
        </w:tc>
        <w:tc>
          <w:tcPr>
            <w:tcW w:w="2551" w:type="dxa"/>
            <w:vAlign w:val="center"/>
          </w:tcPr>
          <w:p w14:paraId="53DF06CE">
            <w:pPr>
              <w:pStyle w:val="11"/>
            </w:pPr>
            <w:r>
              <w:t>2089.46</w:t>
            </w:r>
          </w:p>
        </w:tc>
        <w:tc>
          <w:tcPr>
            <w:tcW w:w="2551" w:type="dxa"/>
            <w:vAlign w:val="center"/>
          </w:tcPr>
          <w:p w14:paraId="4754E53F">
            <w:pPr>
              <w:pStyle w:val="11"/>
            </w:pPr>
          </w:p>
        </w:tc>
      </w:tr>
      <w:tr w14:paraId="10BD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D0D6">
            <w:pPr>
              <w:pStyle w:val="13"/>
            </w:pPr>
            <w:r>
              <w:t>3</w:t>
            </w:r>
          </w:p>
        </w:tc>
        <w:tc>
          <w:tcPr>
            <w:tcW w:w="1191" w:type="dxa"/>
            <w:vAlign w:val="center"/>
          </w:tcPr>
          <w:p w14:paraId="722B8773">
            <w:pPr>
              <w:pStyle w:val="12"/>
            </w:pPr>
            <w:r>
              <w:t>30101</w:t>
            </w:r>
          </w:p>
        </w:tc>
        <w:tc>
          <w:tcPr>
            <w:tcW w:w="4535" w:type="dxa"/>
            <w:vAlign w:val="center"/>
          </w:tcPr>
          <w:p w14:paraId="0F7A80F8">
            <w:pPr>
              <w:pStyle w:val="12"/>
            </w:pPr>
            <w:r>
              <w:t>基本工资</w:t>
            </w:r>
          </w:p>
        </w:tc>
        <w:tc>
          <w:tcPr>
            <w:tcW w:w="2551" w:type="dxa"/>
            <w:vAlign w:val="center"/>
          </w:tcPr>
          <w:p w14:paraId="3F93C42E">
            <w:pPr>
              <w:pStyle w:val="11"/>
            </w:pPr>
            <w:r>
              <w:t>936.11</w:t>
            </w:r>
          </w:p>
        </w:tc>
        <w:tc>
          <w:tcPr>
            <w:tcW w:w="2551" w:type="dxa"/>
            <w:vAlign w:val="center"/>
          </w:tcPr>
          <w:p w14:paraId="0BE31EDE">
            <w:pPr>
              <w:pStyle w:val="11"/>
            </w:pPr>
            <w:r>
              <w:t>936.11</w:t>
            </w:r>
          </w:p>
        </w:tc>
        <w:tc>
          <w:tcPr>
            <w:tcW w:w="2551" w:type="dxa"/>
            <w:vAlign w:val="center"/>
          </w:tcPr>
          <w:p w14:paraId="206A781C">
            <w:pPr>
              <w:pStyle w:val="11"/>
            </w:pPr>
          </w:p>
        </w:tc>
      </w:tr>
      <w:tr w14:paraId="5B80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05A9D">
            <w:pPr>
              <w:pStyle w:val="13"/>
            </w:pPr>
            <w:r>
              <w:t>4</w:t>
            </w:r>
          </w:p>
        </w:tc>
        <w:tc>
          <w:tcPr>
            <w:tcW w:w="1191" w:type="dxa"/>
            <w:vAlign w:val="center"/>
          </w:tcPr>
          <w:p w14:paraId="0B099598">
            <w:pPr>
              <w:pStyle w:val="12"/>
            </w:pPr>
            <w:r>
              <w:t>30102</w:t>
            </w:r>
          </w:p>
        </w:tc>
        <w:tc>
          <w:tcPr>
            <w:tcW w:w="4535" w:type="dxa"/>
            <w:vAlign w:val="center"/>
          </w:tcPr>
          <w:p w14:paraId="0D6D2655">
            <w:pPr>
              <w:pStyle w:val="12"/>
            </w:pPr>
            <w:r>
              <w:t>津贴补贴</w:t>
            </w:r>
          </w:p>
        </w:tc>
        <w:tc>
          <w:tcPr>
            <w:tcW w:w="2551" w:type="dxa"/>
            <w:vAlign w:val="center"/>
          </w:tcPr>
          <w:p w14:paraId="5305774C">
            <w:pPr>
              <w:pStyle w:val="11"/>
            </w:pPr>
            <w:r>
              <w:t>96.55</w:t>
            </w:r>
          </w:p>
        </w:tc>
        <w:tc>
          <w:tcPr>
            <w:tcW w:w="2551" w:type="dxa"/>
            <w:vAlign w:val="center"/>
          </w:tcPr>
          <w:p w14:paraId="1D8EF553">
            <w:pPr>
              <w:pStyle w:val="11"/>
            </w:pPr>
            <w:r>
              <w:t>96.55</w:t>
            </w:r>
          </w:p>
        </w:tc>
        <w:tc>
          <w:tcPr>
            <w:tcW w:w="2551" w:type="dxa"/>
            <w:vAlign w:val="center"/>
          </w:tcPr>
          <w:p w14:paraId="5890BA36">
            <w:pPr>
              <w:pStyle w:val="11"/>
            </w:pPr>
          </w:p>
        </w:tc>
      </w:tr>
      <w:tr w14:paraId="5E58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E9D1B">
            <w:pPr>
              <w:pStyle w:val="13"/>
            </w:pPr>
            <w:r>
              <w:t>5</w:t>
            </w:r>
          </w:p>
        </w:tc>
        <w:tc>
          <w:tcPr>
            <w:tcW w:w="1191" w:type="dxa"/>
            <w:vAlign w:val="center"/>
          </w:tcPr>
          <w:p w14:paraId="1BFC2CC1">
            <w:pPr>
              <w:pStyle w:val="12"/>
            </w:pPr>
            <w:r>
              <w:t>30107</w:t>
            </w:r>
          </w:p>
        </w:tc>
        <w:tc>
          <w:tcPr>
            <w:tcW w:w="4535" w:type="dxa"/>
            <w:vAlign w:val="center"/>
          </w:tcPr>
          <w:p w14:paraId="4B21C38A">
            <w:pPr>
              <w:pStyle w:val="12"/>
            </w:pPr>
            <w:r>
              <w:t>绩效工资</w:t>
            </w:r>
          </w:p>
        </w:tc>
        <w:tc>
          <w:tcPr>
            <w:tcW w:w="2551" w:type="dxa"/>
            <w:vAlign w:val="center"/>
          </w:tcPr>
          <w:p w14:paraId="4F2396EB">
            <w:pPr>
              <w:pStyle w:val="11"/>
            </w:pPr>
            <w:r>
              <w:t>577.97</w:t>
            </w:r>
          </w:p>
        </w:tc>
        <w:tc>
          <w:tcPr>
            <w:tcW w:w="2551" w:type="dxa"/>
            <w:vAlign w:val="center"/>
          </w:tcPr>
          <w:p w14:paraId="3293215E">
            <w:pPr>
              <w:pStyle w:val="11"/>
            </w:pPr>
            <w:r>
              <w:t>577.97</w:t>
            </w:r>
          </w:p>
        </w:tc>
        <w:tc>
          <w:tcPr>
            <w:tcW w:w="2551" w:type="dxa"/>
            <w:vAlign w:val="center"/>
          </w:tcPr>
          <w:p w14:paraId="1B0238D6">
            <w:pPr>
              <w:pStyle w:val="11"/>
            </w:pPr>
          </w:p>
        </w:tc>
      </w:tr>
      <w:tr w14:paraId="2FA3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9846A">
            <w:pPr>
              <w:pStyle w:val="13"/>
            </w:pPr>
            <w:r>
              <w:t>6</w:t>
            </w:r>
          </w:p>
        </w:tc>
        <w:tc>
          <w:tcPr>
            <w:tcW w:w="1191" w:type="dxa"/>
            <w:vAlign w:val="center"/>
          </w:tcPr>
          <w:p w14:paraId="7F22B2F0">
            <w:pPr>
              <w:pStyle w:val="12"/>
            </w:pPr>
            <w:r>
              <w:t>30108</w:t>
            </w:r>
          </w:p>
        </w:tc>
        <w:tc>
          <w:tcPr>
            <w:tcW w:w="4535" w:type="dxa"/>
            <w:vAlign w:val="center"/>
          </w:tcPr>
          <w:p w14:paraId="3407ED8D">
            <w:pPr>
              <w:pStyle w:val="12"/>
            </w:pPr>
            <w:r>
              <w:t>机关事业单位基本养老保险缴费</w:t>
            </w:r>
          </w:p>
        </w:tc>
        <w:tc>
          <w:tcPr>
            <w:tcW w:w="2551" w:type="dxa"/>
            <w:vAlign w:val="center"/>
          </w:tcPr>
          <w:p w14:paraId="3B266EBA">
            <w:pPr>
              <w:pStyle w:val="11"/>
            </w:pPr>
            <w:r>
              <w:t>206.42</w:t>
            </w:r>
          </w:p>
        </w:tc>
        <w:tc>
          <w:tcPr>
            <w:tcW w:w="2551" w:type="dxa"/>
            <w:vAlign w:val="center"/>
          </w:tcPr>
          <w:p w14:paraId="0DDDBF00">
            <w:pPr>
              <w:pStyle w:val="11"/>
            </w:pPr>
            <w:r>
              <w:t>206.42</w:t>
            </w:r>
          </w:p>
        </w:tc>
        <w:tc>
          <w:tcPr>
            <w:tcW w:w="2551" w:type="dxa"/>
            <w:vAlign w:val="center"/>
          </w:tcPr>
          <w:p w14:paraId="578BAF0E">
            <w:pPr>
              <w:pStyle w:val="11"/>
            </w:pPr>
          </w:p>
        </w:tc>
      </w:tr>
      <w:tr w14:paraId="527B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6A7AB">
            <w:pPr>
              <w:pStyle w:val="13"/>
            </w:pPr>
            <w:r>
              <w:t>7</w:t>
            </w:r>
          </w:p>
        </w:tc>
        <w:tc>
          <w:tcPr>
            <w:tcW w:w="1191" w:type="dxa"/>
            <w:vAlign w:val="center"/>
          </w:tcPr>
          <w:p w14:paraId="4EC679E3">
            <w:pPr>
              <w:pStyle w:val="12"/>
            </w:pPr>
            <w:r>
              <w:t>30110</w:t>
            </w:r>
          </w:p>
        </w:tc>
        <w:tc>
          <w:tcPr>
            <w:tcW w:w="4535" w:type="dxa"/>
            <w:vAlign w:val="center"/>
          </w:tcPr>
          <w:p w14:paraId="68C0A762">
            <w:pPr>
              <w:pStyle w:val="12"/>
            </w:pPr>
            <w:r>
              <w:t>职工基本医疗保险缴费</w:t>
            </w:r>
          </w:p>
        </w:tc>
        <w:tc>
          <w:tcPr>
            <w:tcW w:w="2551" w:type="dxa"/>
            <w:vAlign w:val="center"/>
          </w:tcPr>
          <w:p w14:paraId="0F6059B5">
            <w:pPr>
              <w:pStyle w:val="11"/>
            </w:pPr>
            <w:r>
              <w:t>96.36</w:t>
            </w:r>
          </w:p>
        </w:tc>
        <w:tc>
          <w:tcPr>
            <w:tcW w:w="2551" w:type="dxa"/>
            <w:vAlign w:val="center"/>
          </w:tcPr>
          <w:p w14:paraId="401C9340">
            <w:pPr>
              <w:pStyle w:val="11"/>
            </w:pPr>
            <w:r>
              <w:t>96.36</w:t>
            </w:r>
          </w:p>
        </w:tc>
        <w:tc>
          <w:tcPr>
            <w:tcW w:w="2551" w:type="dxa"/>
            <w:vAlign w:val="center"/>
          </w:tcPr>
          <w:p w14:paraId="6495CE6E">
            <w:pPr>
              <w:pStyle w:val="11"/>
            </w:pPr>
          </w:p>
        </w:tc>
      </w:tr>
      <w:tr w14:paraId="34D0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378C">
            <w:pPr>
              <w:pStyle w:val="13"/>
            </w:pPr>
            <w:r>
              <w:t>8</w:t>
            </w:r>
          </w:p>
        </w:tc>
        <w:tc>
          <w:tcPr>
            <w:tcW w:w="1191" w:type="dxa"/>
            <w:vAlign w:val="center"/>
          </w:tcPr>
          <w:p w14:paraId="4E2F482D">
            <w:pPr>
              <w:pStyle w:val="12"/>
            </w:pPr>
            <w:r>
              <w:t>30112</w:t>
            </w:r>
          </w:p>
        </w:tc>
        <w:tc>
          <w:tcPr>
            <w:tcW w:w="4535" w:type="dxa"/>
            <w:vAlign w:val="center"/>
          </w:tcPr>
          <w:p w14:paraId="441C8F7F">
            <w:pPr>
              <w:pStyle w:val="12"/>
            </w:pPr>
            <w:r>
              <w:t>其他社会保障缴费</w:t>
            </w:r>
          </w:p>
        </w:tc>
        <w:tc>
          <w:tcPr>
            <w:tcW w:w="2551" w:type="dxa"/>
            <w:vAlign w:val="center"/>
          </w:tcPr>
          <w:p w14:paraId="34B7B536">
            <w:pPr>
              <w:pStyle w:val="11"/>
            </w:pPr>
            <w:r>
              <w:t>21.54</w:t>
            </w:r>
          </w:p>
        </w:tc>
        <w:tc>
          <w:tcPr>
            <w:tcW w:w="2551" w:type="dxa"/>
            <w:vAlign w:val="center"/>
          </w:tcPr>
          <w:p w14:paraId="10B57BCF">
            <w:pPr>
              <w:pStyle w:val="11"/>
            </w:pPr>
            <w:r>
              <w:t>21.54</w:t>
            </w:r>
          </w:p>
        </w:tc>
        <w:tc>
          <w:tcPr>
            <w:tcW w:w="2551" w:type="dxa"/>
            <w:vAlign w:val="center"/>
          </w:tcPr>
          <w:p w14:paraId="0C689194">
            <w:pPr>
              <w:pStyle w:val="11"/>
            </w:pPr>
          </w:p>
        </w:tc>
      </w:tr>
      <w:tr w14:paraId="5A73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8266">
            <w:pPr>
              <w:pStyle w:val="13"/>
            </w:pPr>
            <w:r>
              <w:t>9</w:t>
            </w:r>
          </w:p>
        </w:tc>
        <w:tc>
          <w:tcPr>
            <w:tcW w:w="1191" w:type="dxa"/>
            <w:vAlign w:val="center"/>
          </w:tcPr>
          <w:p w14:paraId="14B153E4">
            <w:pPr>
              <w:pStyle w:val="12"/>
            </w:pPr>
            <w:r>
              <w:t>30113</w:t>
            </w:r>
          </w:p>
        </w:tc>
        <w:tc>
          <w:tcPr>
            <w:tcW w:w="4535" w:type="dxa"/>
            <w:vAlign w:val="center"/>
          </w:tcPr>
          <w:p w14:paraId="64BB5124">
            <w:pPr>
              <w:pStyle w:val="12"/>
            </w:pPr>
            <w:r>
              <w:t>住房公积金</w:t>
            </w:r>
          </w:p>
        </w:tc>
        <w:tc>
          <w:tcPr>
            <w:tcW w:w="2551" w:type="dxa"/>
            <w:vAlign w:val="center"/>
          </w:tcPr>
          <w:p w14:paraId="4F42CB92">
            <w:pPr>
              <w:pStyle w:val="11"/>
            </w:pPr>
            <w:r>
              <w:t>154.52</w:t>
            </w:r>
          </w:p>
        </w:tc>
        <w:tc>
          <w:tcPr>
            <w:tcW w:w="2551" w:type="dxa"/>
            <w:vAlign w:val="center"/>
          </w:tcPr>
          <w:p w14:paraId="41B63A13">
            <w:pPr>
              <w:pStyle w:val="11"/>
            </w:pPr>
            <w:r>
              <w:t>154.52</w:t>
            </w:r>
          </w:p>
        </w:tc>
        <w:tc>
          <w:tcPr>
            <w:tcW w:w="2551" w:type="dxa"/>
            <w:vAlign w:val="center"/>
          </w:tcPr>
          <w:p w14:paraId="3DBE16AB">
            <w:pPr>
              <w:pStyle w:val="11"/>
            </w:pPr>
          </w:p>
        </w:tc>
      </w:tr>
      <w:tr w14:paraId="4E46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CC63">
            <w:pPr>
              <w:pStyle w:val="13"/>
            </w:pPr>
            <w:r>
              <w:t>10</w:t>
            </w:r>
          </w:p>
        </w:tc>
        <w:tc>
          <w:tcPr>
            <w:tcW w:w="1191" w:type="dxa"/>
            <w:vAlign w:val="center"/>
          </w:tcPr>
          <w:p w14:paraId="37FF7973">
            <w:pPr>
              <w:pStyle w:val="12"/>
            </w:pPr>
            <w:r>
              <w:t>303</w:t>
            </w:r>
          </w:p>
        </w:tc>
        <w:tc>
          <w:tcPr>
            <w:tcW w:w="4535" w:type="dxa"/>
            <w:vAlign w:val="center"/>
          </w:tcPr>
          <w:p w14:paraId="0AFAE8BE">
            <w:pPr>
              <w:pStyle w:val="12"/>
            </w:pPr>
            <w:r>
              <w:t>对个人和家庭的补助</w:t>
            </w:r>
          </w:p>
        </w:tc>
        <w:tc>
          <w:tcPr>
            <w:tcW w:w="2551" w:type="dxa"/>
            <w:vAlign w:val="center"/>
          </w:tcPr>
          <w:p w14:paraId="0A7B9156">
            <w:pPr>
              <w:pStyle w:val="11"/>
            </w:pPr>
            <w:r>
              <w:t>187.44</w:t>
            </w:r>
          </w:p>
        </w:tc>
        <w:tc>
          <w:tcPr>
            <w:tcW w:w="2551" w:type="dxa"/>
            <w:vAlign w:val="center"/>
          </w:tcPr>
          <w:p w14:paraId="3EB9BE58">
            <w:pPr>
              <w:pStyle w:val="11"/>
            </w:pPr>
            <w:r>
              <w:t>187.44</w:t>
            </w:r>
          </w:p>
        </w:tc>
        <w:tc>
          <w:tcPr>
            <w:tcW w:w="2551" w:type="dxa"/>
            <w:vAlign w:val="center"/>
          </w:tcPr>
          <w:p w14:paraId="27BA8DBE">
            <w:pPr>
              <w:pStyle w:val="11"/>
            </w:pPr>
          </w:p>
        </w:tc>
      </w:tr>
      <w:tr w14:paraId="33AA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83ABB">
            <w:pPr>
              <w:pStyle w:val="13"/>
            </w:pPr>
            <w:r>
              <w:t>11</w:t>
            </w:r>
          </w:p>
        </w:tc>
        <w:tc>
          <w:tcPr>
            <w:tcW w:w="1191" w:type="dxa"/>
            <w:vAlign w:val="center"/>
          </w:tcPr>
          <w:p w14:paraId="3EAAFFA9">
            <w:pPr>
              <w:pStyle w:val="12"/>
            </w:pPr>
            <w:r>
              <w:t>30302</w:t>
            </w:r>
          </w:p>
        </w:tc>
        <w:tc>
          <w:tcPr>
            <w:tcW w:w="4535" w:type="dxa"/>
            <w:vAlign w:val="center"/>
          </w:tcPr>
          <w:p w14:paraId="31431B5F">
            <w:pPr>
              <w:pStyle w:val="12"/>
            </w:pPr>
            <w:r>
              <w:t>退休费</w:t>
            </w:r>
          </w:p>
        </w:tc>
        <w:tc>
          <w:tcPr>
            <w:tcW w:w="2551" w:type="dxa"/>
            <w:vAlign w:val="center"/>
          </w:tcPr>
          <w:p w14:paraId="335ACA9B">
            <w:pPr>
              <w:pStyle w:val="11"/>
            </w:pPr>
            <w:r>
              <w:t>174.41</w:t>
            </w:r>
          </w:p>
        </w:tc>
        <w:tc>
          <w:tcPr>
            <w:tcW w:w="2551" w:type="dxa"/>
            <w:vAlign w:val="center"/>
          </w:tcPr>
          <w:p w14:paraId="5C244658">
            <w:pPr>
              <w:pStyle w:val="11"/>
            </w:pPr>
            <w:r>
              <w:t>174.41</w:t>
            </w:r>
          </w:p>
        </w:tc>
        <w:tc>
          <w:tcPr>
            <w:tcW w:w="2551" w:type="dxa"/>
            <w:vAlign w:val="center"/>
          </w:tcPr>
          <w:p w14:paraId="2A30789F">
            <w:pPr>
              <w:pStyle w:val="11"/>
            </w:pPr>
          </w:p>
        </w:tc>
      </w:tr>
      <w:tr w14:paraId="5884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0169F">
            <w:pPr>
              <w:pStyle w:val="13"/>
            </w:pPr>
            <w:r>
              <w:t>12</w:t>
            </w:r>
          </w:p>
        </w:tc>
        <w:tc>
          <w:tcPr>
            <w:tcW w:w="1191" w:type="dxa"/>
            <w:vAlign w:val="center"/>
          </w:tcPr>
          <w:p w14:paraId="412B8BF8">
            <w:pPr>
              <w:pStyle w:val="12"/>
            </w:pPr>
            <w:r>
              <w:t>30305</w:t>
            </w:r>
          </w:p>
        </w:tc>
        <w:tc>
          <w:tcPr>
            <w:tcW w:w="4535" w:type="dxa"/>
            <w:vAlign w:val="center"/>
          </w:tcPr>
          <w:p w14:paraId="6BAAFE36">
            <w:pPr>
              <w:pStyle w:val="12"/>
            </w:pPr>
            <w:r>
              <w:t>生活补助</w:t>
            </w:r>
          </w:p>
        </w:tc>
        <w:tc>
          <w:tcPr>
            <w:tcW w:w="2551" w:type="dxa"/>
            <w:vAlign w:val="center"/>
          </w:tcPr>
          <w:p w14:paraId="34962853">
            <w:pPr>
              <w:pStyle w:val="11"/>
            </w:pPr>
            <w:r>
              <w:t>13.03</w:t>
            </w:r>
          </w:p>
        </w:tc>
        <w:tc>
          <w:tcPr>
            <w:tcW w:w="2551" w:type="dxa"/>
            <w:vAlign w:val="center"/>
          </w:tcPr>
          <w:p w14:paraId="04D7057A">
            <w:pPr>
              <w:pStyle w:val="11"/>
            </w:pPr>
            <w:r>
              <w:t>13.03</w:t>
            </w:r>
          </w:p>
        </w:tc>
        <w:tc>
          <w:tcPr>
            <w:tcW w:w="2551" w:type="dxa"/>
            <w:vAlign w:val="center"/>
          </w:tcPr>
          <w:p w14:paraId="4EB87B24">
            <w:pPr>
              <w:pStyle w:val="11"/>
            </w:pPr>
          </w:p>
        </w:tc>
      </w:tr>
    </w:tbl>
    <w:p w14:paraId="6D5EA2AF">
      <w:pPr>
        <w:sectPr>
          <w:pgSz w:w="16840" w:h="11900" w:orient="landscape"/>
          <w:pgMar w:top="1361" w:right="1020" w:bottom="1134" w:left="1020" w:header="720" w:footer="720" w:gutter="0"/>
          <w:cols w:space="720" w:num="1"/>
        </w:sectPr>
      </w:pPr>
    </w:p>
    <w:p w14:paraId="6B2622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9B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0AF349">
            <w:pPr>
              <w:pStyle w:val="9"/>
            </w:pPr>
            <w:r>
              <w:t>360019隆尧县东良校区</w:t>
            </w:r>
          </w:p>
        </w:tc>
        <w:tc>
          <w:tcPr>
            <w:tcW w:w="2551" w:type="dxa"/>
            <w:tcBorders>
              <w:top w:val="single" w:color="FFFFFF" w:sz="6" w:space="0"/>
              <w:left w:val="single" w:color="FFFFFF" w:sz="6" w:space="0"/>
              <w:right w:val="single" w:color="FFFFFF" w:sz="6" w:space="0"/>
            </w:tcBorders>
            <w:vAlign w:val="center"/>
          </w:tcPr>
          <w:p w14:paraId="1B95BE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8C78B4">
            <w:pPr>
              <w:pStyle w:val="7"/>
            </w:pPr>
            <w:r>
              <w:t>单位：万元</w:t>
            </w:r>
          </w:p>
        </w:tc>
      </w:tr>
      <w:tr w14:paraId="63C6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2BA3F">
            <w:pPr>
              <w:pStyle w:val="10"/>
            </w:pPr>
            <w:r>
              <w:t>序号</w:t>
            </w:r>
          </w:p>
        </w:tc>
        <w:tc>
          <w:tcPr>
            <w:tcW w:w="5726" w:type="dxa"/>
            <w:gridSpan w:val="2"/>
            <w:vAlign w:val="center"/>
          </w:tcPr>
          <w:p w14:paraId="3AED8541">
            <w:pPr>
              <w:pStyle w:val="10"/>
            </w:pPr>
            <w:r>
              <w:t>功能分类科目</w:t>
            </w:r>
          </w:p>
        </w:tc>
        <w:tc>
          <w:tcPr>
            <w:tcW w:w="2551" w:type="dxa"/>
            <w:vMerge w:val="restart"/>
            <w:vAlign w:val="center"/>
          </w:tcPr>
          <w:p w14:paraId="24BB113A">
            <w:pPr>
              <w:pStyle w:val="10"/>
            </w:pPr>
            <w:r>
              <w:t>合计</w:t>
            </w:r>
          </w:p>
        </w:tc>
        <w:tc>
          <w:tcPr>
            <w:tcW w:w="2551" w:type="dxa"/>
            <w:vMerge w:val="restart"/>
            <w:vAlign w:val="center"/>
          </w:tcPr>
          <w:p w14:paraId="7F67DD14">
            <w:pPr>
              <w:pStyle w:val="10"/>
            </w:pPr>
            <w:r>
              <w:t>基本支出</w:t>
            </w:r>
          </w:p>
        </w:tc>
        <w:tc>
          <w:tcPr>
            <w:tcW w:w="2551" w:type="dxa"/>
            <w:vMerge w:val="restart"/>
            <w:vAlign w:val="center"/>
          </w:tcPr>
          <w:p w14:paraId="23927882">
            <w:pPr>
              <w:pStyle w:val="10"/>
            </w:pPr>
            <w:r>
              <w:t>项目支出</w:t>
            </w:r>
          </w:p>
        </w:tc>
      </w:tr>
      <w:tr w14:paraId="5583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11ABA"/>
        </w:tc>
        <w:tc>
          <w:tcPr>
            <w:tcW w:w="1191" w:type="dxa"/>
            <w:vAlign w:val="center"/>
          </w:tcPr>
          <w:p w14:paraId="4E9E9F5C">
            <w:pPr>
              <w:pStyle w:val="10"/>
            </w:pPr>
            <w:r>
              <w:t>科目编码</w:t>
            </w:r>
          </w:p>
        </w:tc>
        <w:tc>
          <w:tcPr>
            <w:tcW w:w="4535" w:type="dxa"/>
            <w:vAlign w:val="center"/>
          </w:tcPr>
          <w:p w14:paraId="5B074EFE">
            <w:pPr>
              <w:pStyle w:val="10"/>
            </w:pPr>
            <w:r>
              <w:t>科目名称</w:t>
            </w:r>
          </w:p>
        </w:tc>
        <w:tc>
          <w:tcPr>
            <w:tcW w:w="2551" w:type="dxa"/>
            <w:vMerge w:val="continue"/>
          </w:tcPr>
          <w:p w14:paraId="1CCBD12F"/>
        </w:tc>
        <w:tc>
          <w:tcPr>
            <w:tcW w:w="2551" w:type="dxa"/>
            <w:vMerge w:val="continue"/>
          </w:tcPr>
          <w:p w14:paraId="4A116427"/>
        </w:tc>
        <w:tc>
          <w:tcPr>
            <w:tcW w:w="2551" w:type="dxa"/>
            <w:vMerge w:val="continue"/>
          </w:tcPr>
          <w:p w14:paraId="452227E7"/>
        </w:tc>
      </w:tr>
      <w:tr w14:paraId="51B8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35125">
            <w:pPr>
              <w:pStyle w:val="10"/>
            </w:pPr>
            <w:r>
              <w:t>栏次</w:t>
            </w:r>
          </w:p>
        </w:tc>
        <w:tc>
          <w:tcPr>
            <w:tcW w:w="1191" w:type="dxa"/>
            <w:vAlign w:val="center"/>
          </w:tcPr>
          <w:p w14:paraId="0397E5AA">
            <w:pPr>
              <w:pStyle w:val="10"/>
            </w:pPr>
            <w:r>
              <w:t>1</w:t>
            </w:r>
          </w:p>
        </w:tc>
        <w:tc>
          <w:tcPr>
            <w:tcW w:w="4535" w:type="dxa"/>
            <w:vAlign w:val="center"/>
          </w:tcPr>
          <w:p w14:paraId="7D4A1ED0">
            <w:pPr>
              <w:pStyle w:val="10"/>
            </w:pPr>
            <w:r>
              <w:t>2</w:t>
            </w:r>
          </w:p>
        </w:tc>
        <w:tc>
          <w:tcPr>
            <w:tcW w:w="2551" w:type="dxa"/>
            <w:vAlign w:val="center"/>
          </w:tcPr>
          <w:p w14:paraId="1196588E">
            <w:pPr>
              <w:pStyle w:val="10"/>
            </w:pPr>
            <w:r>
              <w:t>3</w:t>
            </w:r>
          </w:p>
        </w:tc>
        <w:tc>
          <w:tcPr>
            <w:tcW w:w="2551" w:type="dxa"/>
            <w:vAlign w:val="center"/>
          </w:tcPr>
          <w:p w14:paraId="230935F3">
            <w:pPr>
              <w:pStyle w:val="10"/>
            </w:pPr>
            <w:r>
              <w:t>4</w:t>
            </w:r>
          </w:p>
        </w:tc>
        <w:tc>
          <w:tcPr>
            <w:tcW w:w="2551" w:type="dxa"/>
            <w:vAlign w:val="center"/>
          </w:tcPr>
          <w:p w14:paraId="00F8F150">
            <w:pPr>
              <w:pStyle w:val="10"/>
            </w:pPr>
            <w:r>
              <w:t>5</w:t>
            </w:r>
          </w:p>
        </w:tc>
      </w:tr>
      <w:tr w14:paraId="5142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2189">
            <w:pPr>
              <w:pStyle w:val="13"/>
            </w:pPr>
          </w:p>
        </w:tc>
        <w:tc>
          <w:tcPr>
            <w:tcW w:w="1191" w:type="dxa"/>
            <w:vAlign w:val="center"/>
          </w:tcPr>
          <w:p w14:paraId="72A68160">
            <w:pPr>
              <w:pStyle w:val="12"/>
            </w:pPr>
          </w:p>
        </w:tc>
        <w:tc>
          <w:tcPr>
            <w:tcW w:w="4535" w:type="dxa"/>
            <w:vAlign w:val="center"/>
          </w:tcPr>
          <w:p w14:paraId="7C841F32">
            <w:pPr>
              <w:pStyle w:val="12"/>
            </w:pPr>
          </w:p>
        </w:tc>
        <w:tc>
          <w:tcPr>
            <w:tcW w:w="2551" w:type="dxa"/>
            <w:vAlign w:val="center"/>
          </w:tcPr>
          <w:p w14:paraId="376B89F7">
            <w:pPr>
              <w:pStyle w:val="11"/>
            </w:pPr>
          </w:p>
        </w:tc>
        <w:tc>
          <w:tcPr>
            <w:tcW w:w="2551" w:type="dxa"/>
            <w:vAlign w:val="center"/>
          </w:tcPr>
          <w:p w14:paraId="1A945A7A">
            <w:pPr>
              <w:pStyle w:val="11"/>
            </w:pPr>
          </w:p>
        </w:tc>
        <w:tc>
          <w:tcPr>
            <w:tcW w:w="2551" w:type="dxa"/>
            <w:vAlign w:val="center"/>
          </w:tcPr>
          <w:p w14:paraId="075F100A">
            <w:pPr>
              <w:pStyle w:val="11"/>
            </w:pPr>
          </w:p>
        </w:tc>
      </w:tr>
    </w:tbl>
    <w:p w14:paraId="727C37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ADE91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70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EE5D47">
            <w:pPr>
              <w:pStyle w:val="9"/>
            </w:pPr>
            <w:r>
              <w:t>360019隆尧县东良校区</w:t>
            </w:r>
          </w:p>
        </w:tc>
        <w:tc>
          <w:tcPr>
            <w:tcW w:w="2551" w:type="dxa"/>
            <w:tcBorders>
              <w:top w:val="single" w:color="FFFFFF" w:sz="6" w:space="0"/>
              <w:left w:val="single" w:color="FFFFFF" w:sz="6" w:space="0"/>
              <w:right w:val="single" w:color="FFFFFF" w:sz="6" w:space="0"/>
            </w:tcBorders>
            <w:vAlign w:val="center"/>
          </w:tcPr>
          <w:p w14:paraId="64C56E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389760">
            <w:pPr>
              <w:pStyle w:val="7"/>
            </w:pPr>
            <w:r>
              <w:t>单位：万元</w:t>
            </w:r>
          </w:p>
        </w:tc>
      </w:tr>
      <w:tr w14:paraId="0542A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A986D">
            <w:pPr>
              <w:pStyle w:val="10"/>
            </w:pPr>
            <w:r>
              <w:t>序号</w:t>
            </w:r>
          </w:p>
        </w:tc>
        <w:tc>
          <w:tcPr>
            <w:tcW w:w="5726" w:type="dxa"/>
            <w:gridSpan w:val="2"/>
            <w:vAlign w:val="center"/>
          </w:tcPr>
          <w:p w14:paraId="3C0E92BD">
            <w:pPr>
              <w:pStyle w:val="10"/>
            </w:pPr>
            <w:r>
              <w:t>功能分类科目</w:t>
            </w:r>
          </w:p>
        </w:tc>
        <w:tc>
          <w:tcPr>
            <w:tcW w:w="2551" w:type="dxa"/>
            <w:vMerge w:val="restart"/>
            <w:vAlign w:val="center"/>
          </w:tcPr>
          <w:p w14:paraId="11FE8E10">
            <w:pPr>
              <w:pStyle w:val="10"/>
            </w:pPr>
            <w:r>
              <w:t>合计</w:t>
            </w:r>
          </w:p>
        </w:tc>
        <w:tc>
          <w:tcPr>
            <w:tcW w:w="2551" w:type="dxa"/>
            <w:vMerge w:val="restart"/>
            <w:vAlign w:val="center"/>
          </w:tcPr>
          <w:p w14:paraId="086476B9">
            <w:pPr>
              <w:pStyle w:val="10"/>
            </w:pPr>
            <w:r>
              <w:t>基本支出</w:t>
            </w:r>
          </w:p>
        </w:tc>
        <w:tc>
          <w:tcPr>
            <w:tcW w:w="2551" w:type="dxa"/>
            <w:vMerge w:val="restart"/>
            <w:vAlign w:val="center"/>
          </w:tcPr>
          <w:p w14:paraId="287862B3">
            <w:pPr>
              <w:pStyle w:val="10"/>
            </w:pPr>
            <w:r>
              <w:t>项目支出</w:t>
            </w:r>
          </w:p>
        </w:tc>
      </w:tr>
      <w:tr w14:paraId="5BC1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45269C"/>
        </w:tc>
        <w:tc>
          <w:tcPr>
            <w:tcW w:w="1191" w:type="dxa"/>
            <w:vAlign w:val="center"/>
          </w:tcPr>
          <w:p w14:paraId="2328327E">
            <w:pPr>
              <w:pStyle w:val="10"/>
            </w:pPr>
            <w:r>
              <w:t>科目编码</w:t>
            </w:r>
          </w:p>
        </w:tc>
        <w:tc>
          <w:tcPr>
            <w:tcW w:w="4535" w:type="dxa"/>
            <w:vAlign w:val="center"/>
          </w:tcPr>
          <w:p w14:paraId="4BAE682C">
            <w:pPr>
              <w:pStyle w:val="10"/>
            </w:pPr>
            <w:r>
              <w:t>科目名称</w:t>
            </w:r>
          </w:p>
        </w:tc>
        <w:tc>
          <w:tcPr>
            <w:tcW w:w="2551" w:type="dxa"/>
            <w:vMerge w:val="continue"/>
          </w:tcPr>
          <w:p w14:paraId="0384E8C8"/>
        </w:tc>
        <w:tc>
          <w:tcPr>
            <w:tcW w:w="2551" w:type="dxa"/>
            <w:vMerge w:val="continue"/>
          </w:tcPr>
          <w:p w14:paraId="3A28825C"/>
        </w:tc>
        <w:tc>
          <w:tcPr>
            <w:tcW w:w="2551" w:type="dxa"/>
            <w:vMerge w:val="continue"/>
          </w:tcPr>
          <w:p w14:paraId="07034376"/>
        </w:tc>
      </w:tr>
      <w:tr w14:paraId="0960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9E30E0">
            <w:pPr>
              <w:pStyle w:val="10"/>
            </w:pPr>
            <w:r>
              <w:t>栏次</w:t>
            </w:r>
          </w:p>
        </w:tc>
        <w:tc>
          <w:tcPr>
            <w:tcW w:w="1191" w:type="dxa"/>
            <w:vAlign w:val="center"/>
          </w:tcPr>
          <w:p w14:paraId="765B2F48">
            <w:pPr>
              <w:pStyle w:val="10"/>
            </w:pPr>
            <w:r>
              <w:t>1</w:t>
            </w:r>
          </w:p>
        </w:tc>
        <w:tc>
          <w:tcPr>
            <w:tcW w:w="4535" w:type="dxa"/>
            <w:vAlign w:val="center"/>
          </w:tcPr>
          <w:p w14:paraId="1DC4921F">
            <w:pPr>
              <w:pStyle w:val="10"/>
            </w:pPr>
            <w:r>
              <w:t>2</w:t>
            </w:r>
          </w:p>
        </w:tc>
        <w:tc>
          <w:tcPr>
            <w:tcW w:w="2551" w:type="dxa"/>
            <w:vAlign w:val="center"/>
          </w:tcPr>
          <w:p w14:paraId="5814E458">
            <w:pPr>
              <w:pStyle w:val="10"/>
            </w:pPr>
            <w:r>
              <w:t>3</w:t>
            </w:r>
          </w:p>
        </w:tc>
        <w:tc>
          <w:tcPr>
            <w:tcW w:w="2551" w:type="dxa"/>
            <w:vAlign w:val="center"/>
          </w:tcPr>
          <w:p w14:paraId="25C39058">
            <w:pPr>
              <w:pStyle w:val="10"/>
            </w:pPr>
            <w:r>
              <w:t>4</w:t>
            </w:r>
          </w:p>
        </w:tc>
        <w:tc>
          <w:tcPr>
            <w:tcW w:w="2551" w:type="dxa"/>
            <w:vAlign w:val="center"/>
          </w:tcPr>
          <w:p w14:paraId="2DD50875">
            <w:pPr>
              <w:pStyle w:val="10"/>
            </w:pPr>
            <w:r>
              <w:t>5</w:t>
            </w:r>
          </w:p>
        </w:tc>
      </w:tr>
      <w:tr w14:paraId="4AF0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2759A">
            <w:pPr>
              <w:pStyle w:val="13"/>
            </w:pPr>
          </w:p>
        </w:tc>
        <w:tc>
          <w:tcPr>
            <w:tcW w:w="1191" w:type="dxa"/>
            <w:vAlign w:val="center"/>
          </w:tcPr>
          <w:p w14:paraId="52C6B6D5">
            <w:pPr>
              <w:pStyle w:val="12"/>
            </w:pPr>
          </w:p>
        </w:tc>
        <w:tc>
          <w:tcPr>
            <w:tcW w:w="4535" w:type="dxa"/>
            <w:vAlign w:val="center"/>
          </w:tcPr>
          <w:p w14:paraId="798F3133">
            <w:pPr>
              <w:pStyle w:val="12"/>
            </w:pPr>
          </w:p>
        </w:tc>
        <w:tc>
          <w:tcPr>
            <w:tcW w:w="2551" w:type="dxa"/>
            <w:vAlign w:val="center"/>
          </w:tcPr>
          <w:p w14:paraId="65DCAAE7">
            <w:pPr>
              <w:pStyle w:val="11"/>
            </w:pPr>
          </w:p>
        </w:tc>
        <w:tc>
          <w:tcPr>
            <w:tcW w:w="2551" w:type="dxa"/>
            <w:vAlign w:val="center"/>
          </w:tcPr>
          <w:p w14:paraId="5A78BDA4">
            <w:pPr>
              <w:pStyle w:val="11"/>
            </w:pPr>
          </w:p>
        </w:tc>
        <w:tc>
          <w:tcPr>
            <w:tcW w:w="2551" w:type="dxa"/>
            <w:vAlign w:val="center"/>
          </w:tcPr>
          <w:p w14:paraId="577BD0C6">
            <w:pPr>
              <w:pStyle w:val="11"/>
            </w:pPr>
          </w:p>
        </w:tc>
      </w:tr>
    </w:tbl>
    <w:p w14:paraId="6967B6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A23C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063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A5943F">
            <w:pPr>
              <w:pStyle w:val="9"/>
            </w:pPr>
            <w:r>
              <w:t>360019隆尧县东良校区</w:t>
            </w:r>
          </w:p>
        </w:tc>
        <w:tc>
          <w:tcPr>
            <w:tcW w:w="2381" w:type="dxa"/>
            <w:tcBorders>
              <w:top w:val="single" w:color="FFFFFF" w:sz="6" w:space="0"/>
              <w:left w:val="single" w:color="FFFFFF" w:sz="6" w:space="0"/>
              <w:right w:val="single" w:color="FFFFFF" w:sz="6" w:space="0"/>
            </w:tcBorders>
            <w:vAlign w:val="center"/>
          </w:tcPr>
          <w:p w14:paraId="09058F4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8F7A768">
            <w:pPr>
              <w:pStyle w:val="7"/>
            </w:pPr>
            <w:r>
              <w:t>单位：万元</w:t>
            </w:r>
          </w:p>
        </w:tc>
      </w:tr>
      <w:tr w14:paraId="197F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C79C0">
            <w:pPr>
              <w:pStyle w:val="10"/>
            </w:pPr>
            <w:r>
              <w:t>序号</w:t>
            </w:r>
          </w:p>
        </w:tc>
        <w:tc>
          <w:tcPr>
            <w:tcW w:w="3798" w:type="dxa"/>
            <w:vMerge w:val="restart"/>
            <w:vAlign w:val="center"/>
          </w:tcPr>
          <w:p w14:paraId="19E23F00">
            <w:pPr>
              <w:pStyle w:val="10"/>
            </w:pPr>
            <w:r>
              <w:t>项  目</w:t>
            </w:r>
          </w:p>
        </w:tc>
        <w:tc>
          <w:tcPr>
            <w:tcW w:w="9524" w:type="dxa"/>
            <w:gridSpan w:val="4"/>
            <w:vAlign w:val="center"/>
          </w:tcPr>
          <w:p w14:paraId="35B04A46">
            <w:pPr>
              <w:pStyle w:val="10"/>
            </w:pPr>
            <w:r>
              <w:t>资 金 性 质</w:t>
            </w:r>
          </w:p>
        </w:tc>
      </w:tr>
      <w:tr w14:paraId="504F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EC3FC4"/>
        </w:tc>
        <w:tc>
          <w:tcPr>
            <w:tcW w:w="3798" w:type="dxa"/>
            <w:vMerge w:val="continue"/>
          </w:tcPr>
          <w:p w14:paraId="169C50BD"/>
        </w:tc>
        <w:tc>
          <w:tcPr>
            <w:tcW w:w="2381" w:type="dxa"/>
            <w:vAlign w:val="center"/>
          </w:tcPr>
          <w:p w14:paraId="7488FF02">
            <w:pPr>
              <w:pStyle w:val="10"/>
            </w:pPr>
            <w:r>
              <w:t>合计</w:t>
            </w:r>
          </w:p>
        </w:tc>
        <w:tc>
          <w:tcPr>
            <w:tcW w:w="2381" w:type="dxa"/>
            <w:vAlign w:val="center"/>
          </w:tcPr>
          <w:p w14:paraId="43F2D4FE">
            <w:pPr>
              <w:pStyle w:val="10"/>
            </w:pPr>
            <w:r>
              <w:t>一般公共预算              财政拨款</w:t>
            </w:r>
          </w:p>
        </w:tc>
        <w:tc>
          <w:tcPr>
            <w:tcW w:w="2381" w:type="dxa"/>
            <w:vAlign w:val="center"/>
          </w:tcPr>
          <w:p w14:paraId="1CDFC3E3">
            <w:pPr>
              <w:pStyle w:val="10"/>
            </w:pPr>
            <w:r>
              <w:t>政府性基金                  预算拨款</w:t>
            </w:r>
          </w:p>
        </w:tc>
        <w:tc>
          <w:tcPr>
            <w:tcW w:w="2381" w:type="dxa"/>
            <w:vAlign w:val="center"/>
          </w:tcPr>
          <w:p w14:paraId="7491C315">
            <w:pPr>
              <w:pStyle w:val="10"/>
            </w:pPr>
            <w:r>
              <w:t>国有资本经营              预算财政拨款</w:t>
            </w:r>
          </w:p>
        </w:tc>
      </w:tr>
      <w:tr w14:paraId="3316E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F63B74">
            <w:pPr>
              <w:pStyle w:val="10"/>
            </w:pPr>
            <w:r>
              <w:t>栏次</w:t>
            </w:r>
          </w:p>
        </w:tc>
        <w:tc>
          <w:tcPr>
            <w:tcW w:w="3798" w:type="dxa"/>
            <w:vAlign w:val="center"/>
          </w:tcPr>
          <w:p w14:paraId="766C6A92">
            <w:pPr>
              <w:pStyle w:val="10"/>
            </w:pPr>
            <w:r>
              <w:t>1</w:t>
            </w:r>
          </w:p>
        </w:tc>
        <w:tc>
          <w:tcPr>
            <w:tcW w:w="2381" w:type="dxa"/>
            <w:vAlign w:val="center"/>
          </w:tcPr>
          <w:p w14:paraId="5536A7BB">
            <w:pPr>
              <w:pStyle w:val="10"/>
            </w:pPr>
            <w:r>
              <w:t>2</w:t>
            </w:r>
          </w:p>
        </w:tc>
        <w:tc>
          <w:tcPr>
            <w:tcW w:w="2381" w:type="dxa"/>
            <w:vAlign w:val="center"/>
          </w:tcPr>
          <w:p w14:paraId="12BC1246">
            <w:pPr>
              <w:pStyle w:val="10"/>
            </w:pPr>
            <w:r>
              <w:t>3</w:t>
            </w:r>
          </w:p>
        </w:tc>
        <w:tc>
          <w:tcPr>
            <w:tcW w:w="2381" w:type="dxa"/>
            <w:vAlign w:val="center"/>
          </w:tcPr>
          <w:p w14:paraId="48ECEA69">
            <w:pPr>
              <w:pStyle w:val="10"/>
            </w:pPr>
            <w:r>
              <w:t>4</w:t>
            </w:r>
          </w:p>
        </w:tc>
        <w:tc>
          <w:tcPr>
            <w:tcW w:w="2381" w:type="dxa"/>
            <w:vAlign w:val="center"/>
          </w:tcPr>
          <w:p w14:paraId="24EE680B">
            <w:pPr>
              <w:pStyle w:val="10"/>
            </w:pPr>
            <w:r>
              <w:t>5</w:t>
            </w:r>
          </w:p>
        </w:tc>
      </w:tr>
      <w:tr w14:paraId="238D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10AD3B">
            <w:pPr>
              <w:pStyle w:val="13"/>
            </w:pPr>
          </w:p>
        </w:tc>
        <w:tc>
          <w:tcPr>
            <w:tcW w:w="3798" w:type="dxa"/>
            <w:vAlign w:val="center"/>
          </w:tcPr>
          <w:p w14:paraId="027AA1F0">
            <w:pPr>
              <w:pStyle w:val="12"/>
            </w:pPr>
          </w:p>
        </w:tc>
        <w:tc>
          <w:tcPr>
            <w:tcW w:w="2381" w:type="dxa"/>
            <w:vAlign w:val="center"/>
          </w:tcPr>
          <w:p w14:paraId="1731B4A6">
            <w:pPr>
              <w:pStyle w:val="11"/>
            </w:pPr>
          </w:p>
        </w:tc>
        <w:tc>
          <w:tcPr>
            <w:tcW w:w="2381" w:type="dxa"/>
            <w:vAlign w:val="center"/>
          </w:tcPr>
          <w:p w14:paraId="47B95606">
            <w:pPr>
              <w:pStyle w:val="11"/>
            </w:pPr>
          </w:p>
        </w:tc>
        <w:tc>
          <w:tcPr>
            <w:tcW w:w="2381" w:type="dxa"/>
            <w:vAlign w:val="center"/>
          </w:tcPr>
          <w:p w14:paraId="03B02153">
            <w:pPr>
              <w:pStyle w:val="11"/>
            </w:pPr>
          </w:p>
        </w:tc>
        <w:tc>
          <w:tcPr>
            <w:tcW w:w="2381" w:type="dxa"/>
            <w:vAlign w:val="center"/>
          </w:tcPr>
          <w:p w14:paraId="6ADBDF26">
            <w:pPr>
              <w:pStyle w:val="11"/>
            </w:pPr>
          </w:p>
        </w:tc>
      </w:tr>
    </w:tbl>
    <w:p w14:paraId="6FCAEF1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B14B17D">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隆尧县东良校区2026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41703E6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地方预决算公开操作规程》和《关于进一步推进预算公开工作的实施意见》规定，现将隆尧县东良校区2026年单位预算公开如下：</w:t>
      </w:r>
    </w:p>
    <w:p w14:paraId="30DE997D">
      <w:pPr>
        <w:spacing w:before="10" w:after="10" w:line="240" w:lineRule="auto"/>
        <w:ind w:firstLine="640"/>
        <w:jc w:val="left"/>
        <w:outlineLvl w:val="5"/>
      </w:pPr>
      <w:r>
        <w:rPr>
          <w:rFonts w:ascii="黑体" w:hAnsi="黑体" w:eastAsia="黑体" w:cs="黑体"/>
          <w:color w:val="000000"/>
          <w:sz w:val="32"/>
        </w:rPr>
        <w:t>一、单位职责及机构设置情况</w:t>
      </w:r>
    </w:p>
    <w:p w14:paraId="658F4F5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9BEC50">
      <w:pPr>
        <w:pStyle w:val="17"/>
        <w:rPr>
          <w:rFonts w:hint="eastAsia"/>
        </w:rPr>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w:t>
      </w:r>
    </w:p>
    <w:p w14:paraId="0DB34B1F">
      <w:pPr>
        <w:pStyle w:val="17"/>
      </w:pPr>
      <w:r>
        <w:rPr>
          <w:rFonts w:hint="eastAsia"/>
        </w:rPr>
        <w:t>隆尧县东良校区事业编制164名，其中，校长1名</w:t>
      </w:r>
      <w:r>
        <w:rPr>
          <w:rFonts w:hint="eastAsia"/>
          <w:lang w:eastAsia="zh-CN"/>
        </w:rPr>
        <w:t>（</w:t>
      </w:r>
      <w:r>
        <w:rPr>
          <w:rFonts w:hint="eastAsia"/>
        </w:rPr>
        <w:t>正股级</w:t>
      </w:r>
      <w:r>
        <w:rPr>
          <w:rFonts w:hint="eastAsia"/>
          <w:lang w:eastAsia="zh-CN"/>
        </w:rPr>
        <w:t>）</w:t>
      </w:r>
      <w:r>
        <w:rPr>
          <w:rFonts w:hint="eastAsia"/>
        </w:rPr>
        <w:t>，副校长3名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73102F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6DD08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47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B21E24">
            <w:pPr>
              <w:pStyle w:val="10"/>
            </w:pPr>
            <w:r>
              <w:t>单位名称</w:t>
            </w:r>
          </w:p>
        </w:tc>
        <w:tc>
          <w:tcPr>
            <w:tcW w:w="1843" w:type="dxa"/>
            <w:vAlign w:val="center"/>
          </w:tcPr>
          <w:p w14:paraId="4F448117">
            <w:pPr>
              <w:pStyle w:val="10"/>
            </w:pPr>
            <w:r>
              <w:t>单位性质</w:t>
            </w:r>
          </w:p>
        </w:tc>
        <w:tc>
          <w:tcPr>
            <w:tcW w:w="2126" w:type="dxa"/>
            <w:vAlign w:val="center"/>
          </w:tcPr>
          <w:p w14:paraId="5BAEA33F">
            <w:pPr>
              <w:pStyle w:val="10"/>
            </w:pPr>
            <w:r>
              <w:t>单位规格</w:t>
            </w:r>
          </w:p>
        </w:tc>
        <w:tc>
          <w:tcPr>
            <w:tcW w:w="3827" w:type="dxa"/>
            <w:vAlign w:val="center"/>
          </w:tcPr>
          <w:p w14:paraId="4AA8F519">
            <w:pPr>
              <w:pStyle w:val="10"/>
            </w:pPr>
            <w:r>
              <w:t>经费保障形式</w:t>
            </w:r>
          </w:p>
        </w:tc>
      </w:tr>
      <w:tr w14:paraId="4F1F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7E7CC4">
            <w:pPr>
              <w:pStyle w:val="12"/>
            </w:pPr>
            <w:r>
              <w:t>隆尧县东良校区</w:t>
            </w:r>
          </w:p>
        </w:tc>
        <w:tc>
          <w:tcPr>
            <w:tcW w:w="1843" w:type="dxa"/>
            <w:vAlign w:val="center"/>
          </w:tcPr>
          <w:p w14:paraId="1405B600">
            <w:pPr>
              <w:pStyle w:val="13"/>
            </w:pPr>
            <w:r>
              <w:t>事业</w:t>
            </w:r>
          </w:p>
        </w:tc>
        <w:tc>
          <w:tcPr>
            <w:tcW w:w="2126" w:type="dxa"/>
            <w:vAlign w:val="center"/>
          </w:tcPr>
          <w:p w14:paraId="0A78E953">
            <w:pPr>
              <w:pStyle w:val="13"/>
            </w:pPr>
            <w:r>
              <w:t>股级</w:t>
            </w:r>
          </w:p>
        </w:tc>
        <w:tc>
          <w:tcPr>
            <w:tcW w:w="3827" w:type="dxa"/>
            <w:vAlign w:val="center"/>
          </w:tcPr>
          <w:p w14:paraId="4893853B">
            <w:pPr>
              <w:pStyle w:val="13"/>
            </w:pPr>
            <w:r>
              <w:t>财政性资金基本保证</w:t>
            </w:r>
          </w:p>
        </w:tc>
      </w:tr>
    </w:tbl>
    <w:p w14:paraId="45D41127">
      <w:pPr>
        <w:spacing w:before="10" w:after="10" w:line="240" w:lineRule="auto"/>
        <w:ind w:firstLine="640"/>
        <w:jc w:val="left"/>
        <w:outlineLvl w:val="5"/>
      </w:pPr>
      <w:r>
        <w:rPr>
          <w:rFonts w:ascii="黑体" w:hAnsi="黑体" w:eastAsia="黑体" w:cs="黑体"/>
          <w:color w:val="000000"/>
          <w:sz w:val="32"/>
        </w:rPr>
        <w:t>二、单位预算安排的总体情况</w:t>
      </w:r>
    </w:p>
    <w:p w14:paraId="04362438">
      <w:pPr>
        <w:pStyle w:val="18"/>
      </w:pPr>
      <w:r>
        <w:t>按照预算管理有关规定，目前我校区单位预算的编制实行综合预算管理，即全部收入和支出都反映的预算中。隆尧县东良校区的收支包含在单位预算中。</w:t>
      </w:r>
    </w:p>
    <w:p w14:paraId="3C39F093">
      <w:pPr>
        <w:pStyle w:val="18"/>
      </w:pPr>
      <w:r>
        <w:t>1、收入说明</w:t>
      </w:r>
    </w:p>
    <w:p w14:paraId="40D3A50D">
      <w:pPr>
        <w:pStyle w:val="18"/>
      </w:pPr>
      <w:r>
        <w:t>反映本单位当年全部收入。2026年预算收入2964.5万元，其中：一般公共预算收入2964.5万元，基金预算收入0万元，财政专户收入0万元，其他来源收入0万元。</w:t>
      </w:r>
    </w:p>
    <w:p w14:paraId="1FE1CE09">
      <w:pPr>
        <w:pStyle w:val="18"/>
      </w:pPr>
      <w:r>
        <w:t>2、支出说明</w:t>
      </w:r>
    </w:p>
    <w:p w14:paraId="42776916">
      <w:pPr>
        <w:pStyle w:val="18"/>
      </w:pPr>
      <w:r>
        <w:t>收支预算总表支出栏、基本支出表、项目支出表按经济分类和支出功能分类科目编制，反映我单位预算中支出预算的总体情况。2026年单位支出预算为2964.5万元，其中基本支出2276.9，项目支出687.6万元。小学教育支出2744.06万元，学前教育支出220.44万元。</w:t>
      </w:r>
    </w:p>
    <w:p w14:paraId="1E1C4993">
      <w:pPr>
        <w:pStyle w:val="18"/>
      </w:pPr>
      <w:r>
        <w:t>3、比上年增减情况</w:t>
      </w:r>
    </w:p>
    <w:p w14:paraId="422E5AA5">
      <w:pPr>
        <w:pStyle w:val="18"/>
      </w:pPr>
      <w:r>
        <w:t>2026年单位预算收支安排2964.5万元，较2025年预算减少286.97万元，其中基本支出减少112.41万元，项目支出减少174.56万元。</w:t>
      </w:r>
    </w:p>
    <w:p w14:paraId="38055F23">
      <w:pPr>
        <w:spacing w:before="10" w:after="10" w:line="240" w:lineRule="auto"/>
        <w:ind w:firstLine="640"/>
        <w:jc w:val="left"/>
        <w:outlineLvl w:val="5"/>
      </w:pPr>
      <w:r>
        <w:rPr>
          <w:rFonts w:ascii="黑体" w:hAnsi="黑体" w:eastAsia="黑体" w:cs="黑体"/>
          <w:color w:val="000000"/>
          <w:sz w:val="32"/>
        </w:rPr>
        <w:t>三、机关运行经费安排情况</w:t>
      </w:r>
    </w:p>
    <w:p w14:paraId="16DB4EFE">
      <w:pPr>
        <w:pStyle w:val="19"/>
      </w:pPr>
      <w:r>
        <w:t>我单位按学生安排公用经费，无机关运行经费。</w:t>
      </w:r>
    </w:p>
    <w:p w14:paraId="03B2CB1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1E7D1D">
      <w:pPr>
        <w:pStyle w:val="20"/>
      </w:pPr>
      <w:r>
        <w:t>2025年，我单位未安排“三公”经费预算。</w:t>
      </w:r>
    </w:p>
    <w:p w14:paraId="1671991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53DCD7B">
      <w:pPr>
        <w:spacing w:before="0" w:after="0"/>
        <w:ind w:firstLine="560"/>
        <w:jc w:val="left"/>
        <w:outlineLvl w:val="9"/>
      </w:pPr>
      <w:r>
        <w:rPr>
          <w:rFonts w:ascii="方正仿宋_GBK" w:hAnsi="方正仿宋_GBK" w:eastAsia="方正仿宋_GBK" w:cs="方正仿宋_GBK"/>
          <w:b/>
          <w:color w:val="000000"/>
          <w:sz w:val="28"/>
        </w:rPr>
        <w:t>1、冀财教[2022]152号/中央/2023年学前发展/东良校区大干言幼儿园附属用房建设绩效目标表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F2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9BC6A">
            <w:pPr>
              <w:pStyle w:val="11"/>
            </w:pPr>
            <w:r>
              <w:t>单位：万元</w:t>
            </w:r>
          </w:p>
        </w:tc>
      </w:tr>
      <w:tr w14:paraId="4A4F7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6E219">
            <w:pPr>
              <w:pStyle w:val="10"/>
            </w:pPr>
            <w:r>
              <w:t>项目编码</w:t>
            </w:r>
          </w:p>
        </w:tc>
        <w:tc>
          <w:tcPr>
            <w:tcW w:w="5103" w:type="dxa"/>
            <w:gridSpan w:val="2"/>
            <w:vAlign w:val="center"/>
          </w:tcPr>
          <w:p w14:paraId="0F3FF2AE">
            <w:pPr>
              <w:pStyle w:val="12"/>
            </w:pPr>
            <w:r>
              <w:t>13052526P008769102165</w:t>
            </w:r>
          </w:p>
        </w:tc>
        <w:tc>
          <w:tcPr>
            <w:tcW w:w="2835" w:type="dxa"/>
            <w:vAlign w:val="center"/>
          </w:tcPr>
          <w:p w14:paraId="0CB4DF13">
            <w:pPr>
              <w:pStyle w:val="10"/>
            </w:pPr>
            <w:r>
              <w:t>项目名称</w:t>
            </w:r>
          </w:p>
        </w:tc>
        <w:tc>
          <w:tcPr>
            <w:tcW w:w="6095" w:type="dxa"/>
            <w:gridSpan w:val="3"/>
            <w:vAlign w:val="center"/>
          </w:tcPr>
          <w:p w14:paraId="12F16DE5">
            <w:pPr>
              <w:pStyle w:val="12"/>
            </w:pPr>
            <w:r>
              <w:t>冀财教[2022]152号/中央/2023年学前发展/东良校区大干言幼儿园附属用房建设</w:t>
            </w:r>
          </w:p>
        </w:tc>
      </w:tr>
      <w:tr w14:paraId="33D8B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11F8E">
            <w:pPr>
              <w:pStyle w:val="10"/>
            </w:pPr>
            <w:r>
              <w:t>预算规模及资金用途</w:t>
            </w:r>
          </w:p>
        </w:tc>
        <w:tc>
          <w:tcPr>
            <w:tcW w:w="2268" w:type="dxa"/>
            <w:vAlign w:val="center"/>
          </w:tcPr>
          <w:p w14:paraId="4B12C7FE">
            <w:pPr>
              <w:pStyle w:val="10"/>
            </w:pPr>
            <w:r>
              <w:t>预算数</w:t>
            </w:r>
          </w:p>
        </w:tc>
        <w:tc>
          <w:tcPr>
            <w:tcW w:w="2835" w:type="dxa"/>
            <w:vAlign w:val="center"/>
          </w:tcPr>
          <w:p w14:paraId="3634F10F">
            <w:pPr>
              <w:pStyle w:val="12"/>
            </w:pPr>
            <w:r>
              <w:t>8.77</w:t>
            </w:r>
          </w:p>
        </w:tc>
        <w:tc>
          <w:tcPr>
            <w:tcW w:w="2835" w:type="dxa"/>
            <w:vAlign w:val="center"/>
          </w:tcPr>
          <w:p w14:paraId="51C38BCF">
            <w:pPr>
              <w:pStyle w:val="10"/>
            </w:pPr>
            <w:r>
              <w:t>其中：财政    资金</w:t>
            </w:r>
          </w:p>
        </w:tc>
        <w:tc>
          <w:tcPr>
            <w:tcW w:w="2551" w:type="dxa"/>
            <w:vAlign w:val="center"/>
          </w:tcPr>
          <w:p w14:paraId="0B544C28">
            <w:pPr>
              <w:pStyle w:val="12"/>
            </w:pPr>
            <w:r>
              <w:t>8.77</w:t>
            </w:r>
          </w:p>
        </w:tc>
        <w:tc>
          <w:tcPr>
            <w:tcW w:w="2268" w:type="dxa"/>
            <w:vAlign w:val="center"/>
          </w:tcPr>
          <w:p w14:paraId="2F6BDB6A">
            <w:pPr>
              <w:pStyle w:val="10"/>
            </w:pPr>
            <w:r>
              <w:t>其他资金</w:t>
            </w:r>
          </w:p>
        </w:tc>
        <w:tc>
          <w:tcPr>
            <w:tcW w:w="1276" w:type="dxa"/>
            <w:vAlign w:val="center"/>
          </w:tcPr>
          <w:p w14:paraId="42D116D4">
            <w:pPr>
              <w:pStyle w:val="12"/>
            </w:pPr>
            <w:r>
              <w:t xml:space="preserve"> </w:t>
            </w:r>
          </w:p>
        </w:tc>
      </w:tr>
      <w:tr w14:paraId="2C826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81585"/>
        </w:tc>
        <w:tc>
          <w:tcPr>
            <w:tcW w:w="14033" w:type="dxa"/>
            <w:gridSpan w:val="6"/>
            <w:vAlign w:val="center"/>
          </w:tcPr>
          <w:p w14:paraId="01562AA6">
            <w:pPr>
              <w:pStyle w:val="12"/>
            </w:pPr>
            <w:r>
              <w:t>附属用房改建，满足师生正常教学需要。</w:t>
            </w:r>
          </w:p>
        </w:tc>
      </w:tr>
      <w:tr w14:paraId="62909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6E19E">
            <w:pPr>
              <w:pStyle w:val="10"/>
            </w:pPr>
            <w:r>
              <w:t>资金支出计划（%）</w:t>
            </w:r>
          </w:p>
        </w:tc>
        <w:tc>
          <w:tcPr>
            <w:tcW w:w="5103" w:type="dxa"/>
            <w:gridSpan w:val="2"/>
            <w:vAlign w:val="center"/>
          </w:tcPr>
          <w:p w14:paraId="181FC18B">
            <w:pPr>
              <w:pStyle w:val="10"/>
            </w:pPr>
            <w:r>
              <w:t>3月底</w:t>
            </w:r>
          </w:p>
        </w:tc>
        <w:tc>
          <w:tcPr>
            <w:tcW w:w="2835" w:type="dxa"/>
            <w:vAlign w:val="center"/>
          </w:tcPr>
          <w:p w14:paraId="121ECDB1">
            <w:pPr>
              <w:pStyle w:val="10"/>
            </w:pPr>
            <w:r>
              <w:t>6月底</w:t>
            </w:r>
          </w:p>
        </w:tc>
        <w:tc>
          <w:tcPr>
            <w:tcW w:w="2551" w:type="dxa"/>
            <w:vAlign w:val="center"/>
          </w:tcPr>
          <w:p w14:paraId="1B508E26">
            <w:pPr>
              <w:pStyle w:val="10"/>
            </w:pPr>
            <w:r>
              <w:t>10月底</w:t>
            </w:r>
          </w:p>
        </w:tc>
        <w:tc>
          <w:tcPr>
            <w:tcW w:w="3544" w:type="dxa"/>
            <w:gridSpan w:val="2"/>
            <w:vAlign w:val="center"/>
          </w:tcPr>
          <w:p w14:paraId="59F83359">
            <w:pPr>
              <w:pStyle w:val="10"/>
            </w:pPr>
            <w:r>
              <w:t>12月底</w:t>
            </w:r>
          </w:p>
        </w:tc>
      </w:tr>
      <w:tr w14:paraId="32F0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B9413"/>
        </w:tc>
        <w:tc>
          <w:tcPr>
            <w:tcW w:w="5103" w:type="dxa"/>
            <w:gridSpan w:val="2"/>
            <w:vAlign w:val="center"/>
          </w:tcPr>
          <w:p w14:paraId="1C9F3CFC">
            <w:pPr>
              <w:pStyle w:val="13"/>
            </w:pPr>
            <w:r>
              <w:t xml:space="preserve"> </w:t>
            </w:r>
          </w:p>
        </w:tc>
        <w:tc>
          <w:tcPr>
            <w:tcW w:w="2835" w:type="dxa"/>
            <w:vAlign w:val="center"/>
          </w:tcPr>
          <w:p w14:paraId="2B7E343C">
            <w:pPr>
              <w:pStyle w:val="13"/>
            </w:pPr>
            <w:r>
              <w:t>100%</w:t>
            </w:r>
          </w:p>
        </w:tc>
        <w:tc>
          <w:tcPr>
            <w:tcW w:w="2551" w:type="dxa"/>
            <w:vAlign w:val="center"/>
          </w:tcPr>
          <w:p w14:paraId="26CF69EE">
            <w:pPr>
              <w:pStyle w:val="13"/>
            </w:pPr>
            <w:r>
              <w:t>100%</w:t>
            </w:r>
          </w:p>
        </w:tc>
        <w:tc>
          <w:tcPr>
            <w:tcW w:w="3544" w:type="dxa"/>
            <w:gridSpan w:val="2"/>
            <w:vAlign w:val="center"/>
          </w:tcPr>
          <w:p w14:paraId="35EB5485">
            <w:pPr>
              <w:pStyle w:val="13"/>
            </w:pPr>
            <w:r>
              <w:t>100%</w:t>
            </w:r>
          </w:p>
        </w:tc>
      </w:tr>
      <w:tr w14:paraId="528C5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2A44B">
            <w:pPr>
              <w:pStyle w:val="10"/>
            </w:pPr>
            <w:r>
              <w:t>绩效目标</w:t>
            </w:r>
          </w:p>
        </w:tc>
        <w:tc>
          <w:tcPr>
            <w:tcW w:w="14033" w:type="dxa"/>
            <w:gridSpan w:val="6"/>
            <w:vAlign w:val="center"/>
          </w:tcPr>
          <w:p w14:paraId="52B4FE94">
            <w:pPr>
              <w:pStyle w:val="12"/>
            </w:pPr>
            <w:r>
              <w:t>1.附属用房改建，满足师生正常教学需要。</w:t>
            </w:r>
          </w:p>
          <w:p w14:paraId="4144CE98">
            <w:pPr>
              <w:pStyle w:val="12"/>
            </w:pPr>
            <w:r>
              <w:t>2.按规定拨付中央资金按规定拨付资金8.7689万元，资金拨付率达到100%。</w:t>
            </w:r>
          </w:p>
        </w:tc>
      </w:tr>
    </w:tbl>
    <w:p w14:paraId="362B7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5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09F68">
            <w:pPr>
              <w:pStyle w:val="10"/>
            </w:pPr>
            <w:r>
              <w:t>一级指标</w:t>
            </w:r>
          </w:p>
        </w:tc>
        <w:tc>
          <w:tcPr>
            <w:tcW w:w="2268" w:type="dxa"/>
            <w:vAlign w:val="center"/>
          </w:tcPr>
          <w:p w14:paraId="0C20BA5F">
            <w:pPr>
              <w:pStyle w:val="10"/>
            </w:pPr>
            <w:r>
              <w:t>二级指标</w:t>
            </w:r>
          </w:p>
        </w:tc>
        <w:tc>
          <w:tcPr>
            <w:tcW w:w="2835" w:type="dxa"/>
            <w:vAlign w:val="center"/>
          </w:tcPr>
          <w:p w14:paraId="374F26FD">
            <w:pPr>
              <w:pStyle w:val="10"/>
            </w:pPr>
            <w:r>
              <w:t>三级指标</w:t>
            </w:r>
          </w:p>
        </w:tc>
        <w:tc>
          <w:tcPr>
            <w:tcW w:w="5386" w:type="dxa"/>
            <w:vAlign w:val="center"/>
          </w:tcPr>
          <w:p w14:paraId="36982920">
            <w:pPr>
              <w:pStyle w:val="10"/>
            </w:pPr>
            <w:r>
              <w:t>绩效指标描述</w:t>
            </w:r>
          </w:p>
        </w:tc>
        <w:tc>
          <w:tcPr>
            <w:tcW w:w="2268" w:type="dxa"/>
            <w:vAlign w:val="center"/>
          </w:tcPr>
          <w:p w14:paraId="47C220BA">
            <w:pPr>
              <w:pStyle w:val="10"/>
            </w:pPr>
            <w:r>
              <w:t>指标值</w:t>
            </w:r>
          </w:p>
        </w:tc>
        <w:tc>
          <w:tcPr>
            <w:tcW w:w="1276" w:type="dxa"/>
            <w:vAlign w:val="center"/>
          </w:tcPr>
          <w:p w14:paraId="68364DA7">
            <w:pPr>
              <w:pStyle w:val="10"/>
            </w:pPr>
            <w:r>
              <w:t>指标值确定依据</w:t>
            </w:r>
          </w:p>
        </w:tc>
      </w:tr>
      <w:tr w14:paraId="526D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D04B8">
            <w:pPr>
              <w:pStyle w:val="13"/>
            </w:pPr>
            <w:r>
              <w:t>产出指标</w:t>
            </w:r>
          </w:p>
        </w:tc>
        <w:tc>
          <w:tcPr>
            <w:tcW w:w="2268" w:type="dxa"/>
            <w:vAlign w:val="center"/>
          </w:tcPr>
          <w:p w14:paraId="0615B78B">
            <w:pPr>
              <w:pStyle w:val="12"/>
            </w:pPr>
            <w:r>
              <w:t>数量指标</w:t>
            </w:r>
          </w:p>
        </w:tc>
        <w:tc>
          <w:tcPr>
            <w:tcW w:w="2835" w:type="dxa"/>
            <w:vAlign w:val="center"/>
          </w:tcPr>
          <w:p w14:paraId="38F42AFC">
            <w:pPr>
              <w:pStyle w:val="12"/>
            </w:pPr>
            <w:r>
              <w:t>附属用房建设面积</w:t>
            </w:r>
          </w:p>
        </w:tc>
        <w:tc>
          <w:tcPr>
            <w:tcW w:w="5386" w:type="dxa"/>
            <w:vAlign w:val="center"/>
          </w:tcPr>
          <w:p w14:paraId="59A7B80B">
            <w:pPr>
              <w:pStyle w:val="12"/>
            </w:pPr>
            <w:r>
              <w:t>对大干言幼儿园新建二层砖混结构附属用房改建</w:t>
            </w:r>
          </w:p>
        </w:tc>
        <w:tc>
          <w:tcPr>
            <w:tcW w:w="2268" w:type="dxa"/>
            <w:vAlign w:val="center"/>
          </w:tcPr>
          <w:p w14:paraId="64DB2D2B">
            <w:pPr>
              <w:pStyle w:val="12"/>
            </w:pPr>
            <w:r>
              <w:t>1075.2平方米</w:t>
            </w:r>
          </w:p>
        </w:tc>
        <w:tc>
          <w:tcPr>
            <w:tcW w:w="1276" w:type="dxa"/>
            <w:vAlign w:val="center"/>
          </w:tcPr>
          <w:p w14:paraId="7E5509BE">
            <w:pPr>
              <w:pStyle w:val="12"/>
            </w:pPr>
            <w:r>
              <w:t>项目规划</w:t>
            </w:r>
          </w:p>
        </w:tc>
      </w:tr>
      <w:tr w14:paraId="04C5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3EC49"/>
        </w:tc>
        <w:tc>
          <w:tcPr>
            <w:tcW w:w="2268" w:type="dxa"/>
            <w:vAlign w:val="center"/>
          </w:tcPr>
          <w:p w14:paraId="73D12FB6">
            <w:pPr>
              <w:pStyle w:val="12"/>
            </w:pPr>
            <w:r>
              <w:t>质量指标</w:t>
            </w:r>
          </w:p>
        </w:tc>
        <w:tc>
          <w:tcPr>
            <w:tcW w:w="2835" w:type="dxa"/>
            <w:vAlign w:val="center"/>
          </w:tcPr>
          <w:p w14:paraId="07983FEA">
            <w:pPr>
              <w:pStyle w:val="12"/>
            </w:pPr>
            <w:r>
              <w:t>工程实施验收合格率</w:t>
            </w:r>
          </w:p>
        </w:tc>
        <w:tc>
          <w:tcPr>
            <w:tcW w:w="5386" w:type="dxa"/>
            <w:vAlign w:val="center"/>
          </w:tcPr>
          <w:p w14:paraId="4F377BE4">
            <w:pPr>
              <w:pStyle w:val="12"/>
            </w:pPr>
            <w:r>
              <w:t>申报程序的合规，项目实施及资金使用符合项目规划</w:t>
            </w:r>
          </w:p>
        </w:tc>
        <w:tc>
          <w:tcPr>
            <w:tcW w:w="2268" w:type="dxa"/>
            <w:vAlign w:val="center"/>
          </w:tcPr>
          <w:p w14:paraId="4509309C">
            <w:pPr>
              <w:pStyle w:val="12"/>
            </w:pPr>
            <w:r>
              <w:t>100%</w:t>
            </w:r>
          </w:p>
        </w:tc>
        <w:tc>
          <w:tcPr>
            <w:tcW w:w="1276" w:type="dxa"/>
            <w:vAlign w:val="center"/>
          </w:tcPr>
          <w:p w14:paraId="61D80C01">
            <w:pPr>
              <w:pStyle w:val="12"/>
            </w:pPr>
            <w:r>
              <w:t>项目规划</w:t>
            </w:r>
          </w:p>
        </w:tc>
      </w:tr>
      <w:tr w14:paraId="70D5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DBB9A"/>
        </w:tc>
        <w:tc>
          <w:tcPr>
            <w:tcW w:w="2268" w:type="dxa"/>
            <w:vAlign w:val="center"/>
          </w:tcPr>
          <w:p w14:paraId="0343DF08">
            <w:pPr>
              <w:pStyle w:val="12"/>
            </w:pPr>
            <w:r>
              <w:t>时效指标</w:t>
            </w:r>
          </w:p>
        </w:tc>
        <w:tc>
          <w:tcPr>
            <w:tcW w:w="2835" w:type="dxa"/>
            <w:vAlign w:val="center"/>
          </w:tcPr>
          <w:p w14:paraId="3045CCA1">
            <w:pPr>
              <w:pStyle w:val="12"/>
            </w:pPr>
            <w:r>
              <w:t>预算执行率</w:t>
            </w:r>
          </w:p>
        </w:tc>
        <w:tc>
          <w:tcPr>
            <w:tcW w:w="5386" w:type="dxa"/>
            <w:vAlign w:val="center"/>
          </w:tcPr>
          <w:p w14:paraId="29CA7004">
            <w:pPr>
              <w:pStyle w:val="12"/>
            </w:pPr>
            <w:r>
              <w:t>按照工程进度完成情况进行资金支付</w:t>
            </w:r>
            <w:r>
              <w:rPr>
                <w:rFonts w:hint="eastAsia"/>
                <w:lang w:eastAsia="zh-CN"/>
              </w:rPr>
              <w:t>，</w:t>
            </w:r>
            <w:r>
              <w:t>年度执行预算</w:t>
            </w:r>
          </w:p>
        </w:tc>
        <w:tc>
          <w:tcPr>
            <w:tcW w:w="2268" w:type="dxa"/>
            <w:vAlign w:val="center"/>
          </w:tcPr>
          <w:p w14:paraId="7C1EF0DB">
            <w:pPr>
              <w:pStyle w:val="12"/>
            </w:pPr>
            <w:r>
              <w:t>≥95%</w:t>
            </w:r>
          </w:p>
        </w:tc>
        <w:tc>
          <w:tcPr>
            <w:tcW w:w="1276" w:type="dxa"/>
            <w:vAlign w:val="center"/>
          </w:tcPr>
          <w:p w14:paraId="64BB725B">
            <w:pPr>
              <w:pStyle w:val="12"/>
            </w:pPr>
            <w:r>
              <w:t>项目规划工程进度</w:t>
            </w:r>
          </w:p>
        </w:tc>
      </w:tr>
      <w:tr w14:paraId="1FDA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E073E"/>
        </w:tc>
        <w:tc>
          <w:tcPr>
            <w:tcW w:w="2268" w:type="dxa"/>
            <w:vAlign w:val="center"/>
          </w:tcPr>
          <w:p w14:paraId="3643B7AA">
            <w:pPr>
              <w:pStyle w:val="12"/>
            </w:pPr>
            <w:r>
              <w:t>成本指标</w:t>
            </w:r>
          </w:p>
        </w:tc>
        <w:tc>
          <w:tcPr>
            <w:tcW w:w="2835" w:type="dxa"/>
            <w:vAlign w:val="center"/>
          </w:tcPr>
          <w:p w14:paraId="0A5D3F3E">
            <w:pPr>
              <w:pStyle w:val="12"/>
            </w:pPr>
            <w:r>
              <w:t>新建校舍成本</w:t>
            </w:r>
          </w:p>
        </w:tc>
        <w:tc>
          <w:tcPr>
            <w:tcW w:w="5386" w:type="dxa"/>
            <w:vAlign w:val="center"/>
          </w:tcPr>
          <w:p w14:paraId="0A655A25">
            <w:pPr>
              <w:pStyle w:val="12"/>
            </w:pPr>
            <w:r>
              <w:t>新建二层附属用房改建成本总价</w:t>
            </w:r>
          </w:p>
        </w:tc>
        <w:tc>
          <w:tcPr>
            <w:tcW w:w="2268" w:type="dxa"/>
            <w:vAlign w:val="center"/>
          </w:tcPr>
          <w:p w14:paraId="7CB7446C">
            <w:pPr>
              <w:pStyle w:val="12"/>
            </w:pPr>
            <w:r>
              <w:t>87689元</w:t>
            </w:r>
          </w:p>
        </w:tc>
        <w:tc>
          <w:tcPr>
            <w:tcW w:w="1276" w:type="dxa"/>
            <w:vAlign w:val="center"/>
          </w:tcPr>
          <w:p w14:paraId="06313B62">
            <w:pPr>
              <w:pStyle w:val="12"/>
            </w:pPr>
            <w:r>
              <w:t>项目规划</w:t>
            </w:r>
          </w:p>
        </w:tc>
      </w:tr>
      <w:tr w14:paraId="53A6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EF905">
            <w:pPr>
              <w:pStyle w:val="13"/>
            </w:pPr>
            <w:r>
              <w:t>效益指标</w:t>
            </w:r>
          </w:p>
        </w:tc>
        <w:tc>
          <w:tcPr>
            <w:tcW w:w="2268" w:type="dxa"/>
            <w:vAlign w:val="center"/>
          </w:tcPr>
          <w:p w14:paraId="5DCF8129">
            <w:pPr>
              <w:pStyle w:val="12"/>
            </w:pPr>
            <w:r>
              <w:t>可持续影响指标</w:t>
            </w:r>
          </w:p>
        </w:tc>
        <w:tc>
          <w:tcPr>
            <w:tcW w:w="2835" w:type="dxa"/>
            <w:vAlign w:val="center"/>
          </w:tcPr>
          <w:p w14:paraId="73C52FE8">
            <w:pPr>
              <w:pStyle w:val="12"/>
            </w:pPr>
            <w:r>
              <w:t>项目实施成果</w:t>
            </w:r>
          </w:p>
        </w:tc>
        <w:tc>
          <w:tcPr>
            <w:tcW w:w="5386" w:type="dxa"/>
            <w:vAlign w:val="center"/>
          </w:tcPr>
          <w:p w14:paraId="77F5B20E">
            <w:pPr>
              <w:pStyle w:val="12"/>
            </w:pPr>
            <w:r>
              <w:t>项目实施，能有效提高教学环境，提升教学质量</w:t>
            </w:r>
          </w:p>
        </w:tc>
        <w:tc>
          <w:tcPr>
            <w:tcW w:w="2268" w:type="dxa"/>
            <w:vAlign w:val="center"/>
          </w:tcPr>
          <w:p w14:paraId="3FF35277">
            <w:pPr>
              <w:pStyle w:val="12"/>
            </w:pPr>
            <w:r>
              <w:t>有效改善教学环境</w:t>
            </w:r>
          </w:p>
        </w:tc>
        <w:tc>
          <w:tcPr>
            <w:tcW w:w="1276" w:type="dxa"/>
            <w:vAlign w:val="center"/>
          </w:tcPr>
          <w:p w14:paraId="5B4DA0F8">
            <w:pPr>
              <w:pStyle w:val="12"/>
            </w:pPr>
            <w:r>
              <w:t>项目规划</w:t>
            </w:r>
          </w:p>
        </w:tc>
      </w:tr>
      <w:tr w14:paraId="4FD7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C57C5">
            <w:pPr>
              <w:pStyle w:val="13"/>
            </w:pPr>
            <w:r>
              <w:t>满意度指标</w:t>
            </w:r>
          </w:p>
        </w:tc>
        <w:tc>
          <w:tcPr>
            <w:tcW w:w="2268" w:type="dxa"/>
            <w:vAlign w:val="center"/>
          </w:tcPr>
          <w:p w14:paraId="1C1A343F">
            <w:pPr>
              <w:pStyle w:val="12"/>
            </w:pPr>
            <w:r>
              <w:t>服务对象满意度指标</w:t>
            </w:r>
          </w:p>
        </w:tc>
        <w:tc>
          <w:tcPr>
            <w:tcW w:w="2835" w:type="dxa"/>
            <w:vAlign w:val="center"/>
          </w:tcPr>
          <w:p w14:paraId="6E8C4A8B">
            <w:pPr>
              <w:pStyle w:val="12"/>
            </w:pPr>
            <w:r>
              <w:t>受益学生家长及调查满意度</w:t>
            </w:r>
          </w:p>
        </w:tc>
        <w:tc>
          <w:tcPr>
            <w:tcW w:w="5386" w:type="dxa"/>
            <w:vAlign w:val="center"/>
          </w:tcPr>
          <w:p w14:paraId="2E932E0F">
            <w:pPr>
              <w:pStyle w:val="12"/>
            </w:pPr>
            <w:r>
              <w:t>学生、教师及家长对学前保教保育工作满意度情况</w:t>
            </w:r>
          </w:p>
        </w:tc>
        <w:tc>
          <w:tcPr>
            <w:tcW w:w="2268" w:type="dxa"/>
            <w:vAlign w:val="center"/>
          </w:tcPr>
          <w:p w14:paraId="6CBA9EFE">
            <w:pPr>
              <w:pStyle w:val="12"/>
            </w:pPr>
            <w:r>
              <w:t>≥95%</w:t>
            </w:r>
          </w:p>
        </w:tc>
        <w:tc>
          <w:tcPr>
            <w:tcW w:w="1276" w:type="dxa"/>
            <w:vAlign w:val="center"/>
          </w:tcPr>
          <w:p w14:paraId="67C5A561">
            <w:pPr>
              <w:pStyle w:val="12"/>
            </w:pPr>
            <w:r>
              <w:t>问卷调查</w:t>
            </w:r>
          </w:p>
        </w:tc>
      </w:tr>
    </w:tbl>
    <w:p w14:paraId="77934F9C">
      <w:pPr>
        <w:sectPr>
          <w:pgSz w:w="16840" w:h="11900" w:orient="landscape"/>
          <w:pgMar w:top="1361" w:right="1020" w:bottom="1134" w:left="1020" w:header="720" w:footer="720" w:gutter="0"/>
          <w:cols w:space="720" w:num="1"/>
        </w:sectPr>
      </w:pPr>
    </w:p>
    <w:p w14:paraId="5F1F7676">
      <w:pPr>
        <w:spacing w:before="0" w:after="0"/>
        <w:ind w:firstLine="560"/>
        <w:jc w:val="left"/>
        <w:outlineLvl w:val="9"/>
      </w:pPr>
      <w:r>
        <w:rPr>
          <w:rFonts w:ascii="方正仿宋_GBK" w:hAnsi="方正仿宋_GBK" w:eastAsia="方正仿宋_GBK" w:cs="方正仿宋_GBK"/>
          <w:b/>
          <w:color w:val="000000"/>
          <w:sz w:val="28"/>
        </w:rPr>
        <w:t>2、冀财教[2023]154号/中央/义教经费/校舍安全保障/东良校区南位小学维修改造绩效目标表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32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DF510">
            <w:pPr>
              <w:pStyle w:val="11"/>
            </w:pPr>
            <w:r>
              <w:t>单位：万元</w:t>
            </w:r>
          </w:p>
        </w:tc>
      </w:tr>
      <w:tr w14:paraId="2AF31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8FD31">
            <w:pPr>
              <w:pStyle w:val="10"/>
            </w:pPr>
            <w:r>
              <w:t>项目编码</w:t>
            </w:r>
          </w:p>
        </w:tc>
        <w:tc>
          <w:tcPr>
            <w:tcW w:w="5103" w:type="dxa"/>
            <w:gridSpan w:val="2"/>
            <w:vAlign w:val="center"/>
          </w:tcPr>
          <w:p w14:paraId="442B6C2D">
            <w:pPr>
              <w:pStyle w:val="12"/>
            </w:pPr>
            <w:r>
              <w:t>13052526P008762101164</w:t>
            </w:r>
          </w:p>
        </w:tc>
        <w:tc>
          <w:tcPr>
            <w:tcW w:w="2835" w:type="dxa"/>
            <w:vAlign w:val="center"/>
          </w:tcPr>
          <w:p w14:paraId="1796B324">
            <w:pPr>
              <w:pStyle w:val="10"/>
            </w:pPr>
            <w:r>
              <w:t>项目名称</w:t>
            </w:r>
          </w:p>
        </w:tc>
        <w:tc>
          <w:tcPr>
            <w:tcW w:w="6095" w:type="dxa"/>
            <w:gridSpan w:val="3"/>
            <w:vAlign w:val="center"/>
          </w:tcPr>
          <w:p w14:paraId="3F5A3591">
            <w:pPr>
              <w:pStyle w:val="12"/>
            </w:pPr>
            <w:r>
              <w:t>冀财教[2023]154号/中央/义教经费/校舍安全保障/东良校区南位小学维修改造</w:t>
            </w:r>
          </w:p>
        </w:tc>
      </w:tr>
      <w:tr w14:paraId="64CA9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83C61">
            <w:pPr>
              <w:pStyle w:val="10"/>
            </w:pPr>
            <w:r>
              <w:t>预算规模及资金用途</w:t>
            </w:r>
          </w:p>
        </w:tc>
        <w:tc>
          <w:tcPr>
            <w:tcW w:w="2268" w:type="dxa"/>
            <w:vAlign w:val="center"/>
          </w:tcPr>
          <w:p w14:paraId="27231FD0">
            <w:pPr>
              <w:pStyle w:val="10"/>
            </w:pPr>
            <w:r>
              <w:t>预算数</w:t>
            </w:r>
          </w:p>
        </w:tc>
        <w:tc>
          <w:tcPr>
            <w:tcW w:w="2835" w:type="dxa"/>
            <w:vAlign w:val="center"/>
          </w:tcPr>
          <w:p w14:paraId="2EE5AFF1">
            <w:pPr>
              <w:pStyle w:val="12"/>
            </w:pPr>
            <w:r>
              <w:t>17.94</w:t>
            </w:r>
          </w:p>
        </w:tc>
        <w:tc>
          <w:tcPr>
            <w:tcW w:w="2835" w:type="dxa"/>
            <w:vAlign w:val="center"/>
          </w:tcPr>
          <w:p w14:paraId="07C01A23">
            <w:pPr>
              <w:pStyle w:val="10"/>
            </w:pPr>
            <w:r>
              <w:t>其中：财政    资金</w:t>
            </w:r>
          </w:p>
        </w:tc>
        <w:tc>
          <w:tcPr>
            <w:tcW w:w="2551" w:type="dxa"/>
            <w:vAlign w:val="center"/>
          </w:tcPr>
          <w:p w14:paraId="7E52969F">
            <w:pPr>
              <w:pStyle w:val="12"/>
            </w:pPr>
            <w:r>
              <w:t>17.94</w:t>
            </w:r>
          </w:p>
        </w:tc>
        <w:tc>
          <w:tcPr>
            <w:tcW w:w="2268" w:type="dxa"/>
            <w:vAlign w:val="center"/>
          </w:tcPr>
          <w:p w14:paraId="0BE56263">
            <w:pPr>
              <w:pStyle w:val="10"/>
            </w:pPr>
            <w:r>
              <w:t>其他资金</w:t>
            </w:r>
          </w:p>
        </w:tc>
        <w:tc>
          <w:tcPr>
            <w:tcW w:w="1276" w:type="dxa"/>
            <w:vAlign w:val="center"/>
          </w:tcPr>
          <w:p w14:paraId="0AF80308">
            <w:pPr>
              <w:pStyle w:val="12"/>
            </w:pPr>
            <w:r>
              <w:t xml:space="preserve"> </w:t>
            </w:r>
          </w:p>
        </w:tc>
      </w:tr>
      <w:tr w14:paraId="52B9E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3D4B5"/>
        </w:tc>
        <w:tc>
          <w:tcPr>
            <w:tcW w:w="14033" w:type="dxa"/>
            <w:gridSpan w:val="6"/>
            <w:vAlign w:val="center"/>
          </w:tcPr>
          <w:p w14:paraId="36E2EF56">
            <w:pPr>
              <w:pStyle w:val="12"/>
            </w:pPr>
            <w:r>
              <w:t>教室围墙改造、厕所周边硬化、更换铝合金门、铺地砖、开设排水管道等。满足师生正常教学需要，改善学校的教学环境。</w:t>
            </w:r>
          </w:p>
        </w:tc>
      </w:tr>
      <w:tr w14:paraId="66F33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1FB37">
            <w:pPr>
              <w:pStyle w:val="10"/>
            </w:pPr>
            <w:r>
              <w:t>资金支出计划（%）</w:t>
            </w:r>
          </w:p>
        </w:tc>
        <w:tc>
          <w:tcPr>
            <w:tcW w:w="5103" w:type="dxa"/>
            <w:gridSpan w:val="2"/>
            <w:vAlign w:val="center"/>
          </w:tcPr>
          <w:p w14:paraId="534D7863">
            <w:pPr>
              <w:pStyle w:val="10"/>
            </w:pPr>
            <w:r>
              <w:t>3月底</w:t>
            </w:r>
          </w:p>
        </w:tc>
        <w:tc>
          <w:tcPr>
            <w:tcW w:w="2835" w:type="dxa"/>
            <w:vAlign w:val="center"/>
          </w:tcPr>
          <w:p w14:paraId="6230B012">
            <w:pPr>
              <w:pStyle w:val="10"/>
            </w:pPr>
            <w:r>
              <w:t>6月底</w:t>
            </w:r>
          </w:p>
        </w:tc>
        <w:tc>
          <w:tcPr>
            <w:tcW w:w="2551" w:type="dxa"/>
            <w:vAlign w:val="center"/>
          </w:tcPr>
          <w:p w14:paraId="6799CA8F">
            <w:pPr>
              <w:pStyle w:val="10"/>
            </w:pPr>
            <w:r>
              <w:t>10月底</w:t>
            </w:r>
          </w:p>
        </w:tc>
        <w:tc>
          <w:tcPr>
            <w:tcW w:w="3544" w:type="dxa"/>
            <w:gridSpan w:val="2"/>
            <w:vAlign w:val="center"/>
          </w:tcPr>
          <w:p w14:paraId="303DCD65">
            <w:pPr>
              <w:pStyle w:val="10"/>
            </w:pPr>
            <w:r>
              <w:t>12月底</w:t>
            </w:r>
          </w:p>
        </w:tc>
      </w:tr>
      <w:tr w14:paraId="12AEF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C2A3B"/>
        </w:tc>
        <w:tc>
          <w:tcPr>
            <w:tcW w:w="5103" w:type="dxa"/>
            <w:gridSpan w:val="2"/>
            <w:vAlign w:val="center"/>
          </w:tcPr>
          <w:p w14:paraId="73858102">
            <w:pPr>
              <w:pStyle w:val="13"/>
            </w:pPr>
            <w:r>
              <w:t xml:space="preserve"> </w:t>
            </w:r>
          </w:p>
        </w:tc>
        <w:tc>
          <w:tcPr>
            <w:tcW w:w="2835" w:type="dxa"/>
            <w:vAlign w:val="center"/>
          </w:tcPr>
          <w:p w14:paraId="536AD1E2">
            <w:pPr>
              <w:pStyle w:val="13"/>
            </w:pPr>
            <w:r>
              <w:t xml:space="preserve"> </w:t>
            </w:r>
          </w:p>
        </w:tc>
        <w:tc>
          <w:tcPr>
            <w:tcW w:w="2551" w:type="dxa"/>
            <w:vAlign w:val="center"/>
          </w:tcPr>
          <w:p w14:paraId="6AD80E51">
            <w:pPr>
              <w:pStyle w:val="13"/>
            </w:pPr>
            <w:r>
              <w:t>100%</w:t>
            </w:r>
          </w:p>
        </w:tc>
        <w:tc>
          <w:tcPr>
            <w:tcW w:w="3544" w:type="dxa"/>
            <w:gridSpan w:val="2"/>
            <w:vAlign w:val="center"/>
          </w:tcPr>
          <w:p w14:paraId="0A4B90EF">
            <w:pPr>
              <w:pStyle w:val="13"/>
            </w:pPr>
            <w:r>
              <w:t>100%</w:t>
            </w:r>
          </w:p>
        </w:tc>
      </w:tr>
      <w:tr w14:paraId="333DF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701C6">
            <w:pPr>
              <w:pStyle w:val="10"/>
            </w:pPr>
            <w:r>
              <w:t>绩效目标</w:t>
            </w:r>
          </w:p>
        </w:tc>
        <w:tc>
          <w:tcPr>
            <w:tcW w:w="14033" w:type="dxa"/>
            <w:gridSpan w:val="6"/>
            <w:vAlign w:val="center"/>
          </w:tcPr>
          <w:p w14:paraId="1F68185E">
            <w:pPr>
              <w:pStyle w:val="12"/>
            </w:pPr>
            <w:r>
              <w:t>1.教室围墙改造、厕所周边硬化、更换铝合金门、铺地砖、开设排水管道等。满足师生正常教学需要，改善学校的教学环境。</w:t>
            </w:r>
            <w:r>
              <w:tab/>
            </w:r>
          </w:p>
          <w:p w14:paraId="0634756C">
            <w:pPr>
              <w:pStyle w:val="12"/>
            </w:pPr>
            <w:r>
              <w:t>2.按规定拨付中央资金17.9431万元；资金拨付率达到100%。</w:t>
            </w:r>
            <w:r>
              <w:tab/>
            </w:r>
          </w:p>
          <w:p w14:paraId="5E660283">
            <w:pPr>
              <w:pStyle w:val="12"/>
            </w:pPr>
            <w:r>
              <w:tab/>
            </w:r>
          </w:p>
        </w:tc>
      </w:tr>
    </w:tbl>
    <w:p w14:paraId="4FAA1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F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776C7">
            <w:pPr>
              <w:pStyle w:val="10"/>
            </w:pPr>
            <w:r>
              <w:t>一级指标</w:t>
            </w:r>
          </w:p>
        </w:tc>
        <w:tc>
          <w:tcPr>
            <w:tcW w:w="2268" w:type="dxa"/>
            <w:vAlign w:val="center"/>
          </w:tcPr>
          <w:p w14:paraId="02171607">
            <w:pPr>
              <w:pStyle w:val="10"/>
            </w:pPr>
            <w:r>
              <w:t>二级指标</w:t>
            </w:r>
          </w:p>
        </w:tc>
        <w:tc>
          <w:tcPr>
            <w:tcW w:w="2835" w:type="dxa"/>
            <w:vAlign w:val="center"/>
          </w:tcPr>
          <w:p w14:paraId="6F320865">
            <w:pPr>
              <w:pStyle w:val="10"/>
            </w:pPr>
            <w:r>
              <w:t>三级指标</w:t>
            </w:r>
          </w:p>
        </w:tc>
        <w:tc>
          <w:tcPr>
            <w:tcW w:w="5386" w:type="dxa"/>
            <w:vAlign w:val="center"/>
          </w:tcPr>
          <w:p w14:paraId="2BF7750B">
            <w:pPr>
              <w:pStyle w:val="10"/>
            </w:pPr>
            <w:r>
              <w:t>绩效指标描述</w:t>
            </w:r>
          </w:p>
        </w:tc>
        <w:tc>
          <w:tcPr>
            <w:tcW w:w="2268" w:type="dxa"/>
            <w:vAlign w:val="center"/>
          </w:tcPr>
          <w:p w14:paraId="1208504C">
            <w:pPr>
              <w:pStyle w:val="10"/>
            </w:pPr>
            <w:r>
              <w:t>指标值</w:t>
            </w:r>
          </w:p>
        </w:tc>
        <w:tc>
          <w:tcPr>
            <w:tcW w:w="1276" w:type="dxa"/>
            <w:vAlign w:val="center"/>
          </w:tcPr>
          <w:p w14:paraId="242BF144">
            <w:pPr>
              <w:pStyle w:val="10"/>
            </w:pPr>
            <w:r>
              <w:t>指标值确定依据</w:t>
            </w:r>
          </w:p>
        </w:tc>
      </w:tr>
      <w:tr w14:paraId="1D206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3BAA9">
            <w:pPr>
              <w:pStyle w:val="13"/>
            </w:pPr>
            <w:r>
              <w:t>产出指标</w:t>
            </w:r>
          </w:p>
        </w:tc>
        <w:tc>
          <w:tcPr>
            <w:tcW w:w="2268" w:type="dxa"/>
            <w:vAlign w:val="center"/>
          </w:tcPr>
          <w:p w14:paraId="042E4F0F">
            <w:pPr>
              <w:pStyle w:val="12"/>
            </w:pPr>
            <w:r>
              <w:t>数量指标</w:t>
            </w:r>
          </w:p>
        </w:tc>
        <w:tc>
          <w:tcPr>
            <w:tcW w:w="2835" w:type="dxa"/>
            <w:vAlign w:val="center"/>
          </w:tcPr>
          <w:p w14:paraId="3B008A24">
            <w:pPr>
              <w:pStyle w:val="12"/>
            </w:pPr>
            <w:r>
              <w:t>维修项目数量</w:t>
            </w:r>
          </w:p>
        </w:tc>
        <w:tc>
          <w:tcPr>
            <w:tcW w:w="5386" w:type="dxa"/>
            <w:vAlign w:val="center"/>
          </w:tcPr>
          <w:p w14:paraId="2CBF7968">
            <w:pPr>
              <w:pStyle w:val="12"/>
            </w:pPr>
            <w:r>
              <w:t>围墙改造、厕所周边硬化、更换铝合金门、铺地板、开设排水管道</w:t>
            </w:r>
          </w:p>
        </w:tc>
        <w:tc>
          <w:tcPr>
            <w:tcW w:w="2268" w:type="dxa"/>
            <w:vAlign w:val="center"/>
          </w:tcPr>
          <w:p w14:paraId="3D1A151E">
            <w:pPr>
              <w:pStyle w:val="12"/>
            </w:pPr>
            <w:r>
              <w:t>8项</w:t>
            </w:r>
          </w:p>
        </w:tc>
        <w:tc>
          <w:tcPr>
            <w:tcW w:w="1276" w:type="dxa"/>
            <w:vAlign w:val="center"/>
          </w:tcPr>
          <w:p w14:paraId="51910B85">
            <w:pPr>
              <w:pStyle w:val="12"/>
            </w:pPr>
            <w:r>
              <w:t>项目规划</w:t>
            </w:r>
          </w:p>
        </w:tc>
      </w:tr>
      <w:tr w14:paraId="52D2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942D8"/>
        </w:tc>
        <w:tc>
          <w:tcPr>
            <w:tcW w:w="2268" w:type="dxa"/>
            <w:vAlign w:val="center"/>
          </w:tcPr>
          <w:p w14:paraId="5A926D9F">
            <w:pPr>
              <w:pStyle w:val="12"/>
            </w:pPr>
            <w:r>
              <w:t>质量指标</w:t>
            </w:r>
          </w:p>
        </w:tc>
        <w:tc>
          <w:tcPr>
            <w:tcW w:w="2835" w:type="dxa"/>
            <w:vAlign w:val="center"/>
          </w:tcPr>
          <w:p w14:paraId="5BFDA857">
            <w:pPr>
              <w:pStyle w:val="12"/>
            </w:pPr>
            <w:r>
              <w:t>工程实施验收合格率</w:t>
            </w:r>
          </w:p>
        </w:tc>
        <w:tc>
          <w:tcPr>
            <w:tcW w:w="5386" w:type="dxa"/>
            <w:vAlign w:val="center"/>
          </w:tcPr>
          <w:p w14:paraId="0C0C1427">
            <w:pPr>
              <w:pStyle w:val="12"/>
            </w:pPr>
            <w:r>
              <w:t>申报程序合规，项目实施及工程验收符合项目规划</w:t>
            </w:r>
          </w:p>
        </w:tc>
        <w:tc>
          <w:tcPr>
            <w:tcW w:w="2268" w:type="dxa"/>
            <w:vAlign w:val="center"/>
          </w:tcPr>
          <w:p w14:paraId="41F22CFD">
            <w:pPr>
              <w:pStyle w:val="12"/>
            </w:pPr>
            <w:r>
              <w:t>100%</w:t>
            </w:r>
          </w:p>
        </w:tc>
        <w:tc>
          <w:tcPr>
            <w:tcW w:w="1276" w:type="dxa"/>
            <w:vAlign w:val="center"/>
          </w:tcPr>
          <w:p w14:paraId="0A90634B">
            <w:pPr>
              <w:pStyle w:val="12"/>
            </w:pPr>
            <w:r>
              <w:t>项目规划</w:t>
            </w:r>
          </w:p>
        </w:tc>
      </w:tr>
      <w:tr w14:paraId="3C56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DCC66"/>
        </w:tc>
        <w:tc>
          <w:tcPr>
            <w:tcW w:w="2268" w:type="dxa"/>
            <w:vAlign w:val="center"/>
          </w:tcPr>
          <w:p w14:paraId="4458C005">
            <w:pPr>
              <w:pStyle w:val="12"/>
            </w:pPr>
            <w:r>
              <w:t>时效指标</w:t>
            </w:r>
          </w:p>
        </w:tc>
        <w:tc>
          <w:tcPr>
            <w:tcW w:w="2835" w:type="dxa"/>
            <w:vAlign w:val="center"/>
          </w:tcPr>
          <w:p w14:paraId="62D45857">
            <w:pPr>
              <w:pStyle w:val="12"/>
            </w:pPr>
            <w:r>
              <w:t>预算执行率</w:t>
            </w:r>
          </w:p>
        </w:tc>
        <w:tc>
          <w:tcPr>
            <w:tcW w:w="5386" w:type="dxa"/>
            <w:vAlign w:val="center"/>
          </w:tcPr>
          <w:p w14:paraId="4E5C6218">
            <w:pPr>
              <w:pStyle w:val="12"/>
            </w:pPr>
            <w:r>
              <w:t>按照工程进度进行资金拨付，年度执行预算率≥95%</w:t>
            </w:r>
          </w:p>
        </w:tc>
        <w:tc>
          <w:tcPr>
            <w:tcW w:w="2268" w:type="dxa"/>
            <w:vAlign w:val="center"/>
          </w:tcPr>
          <w:p w14:paraId="53F6E096">
            <w:pPr>
              <w:pStyle w:val="12"/>
            </w:pPr>
            <w:r>
              <w:t>≥95%</w:t>
            </w:r>
          </w:p>
        </w:tc>
        <w:tc>
          <w:tcPr>
            <w:tcW w:w="1276" w:type="dxa"/>
            <w:vAlign w:val="center"/>
          </w:tcPr>
          <w:p w14:paraId="59AE05E4">
            <w:pPr>
              <w:pStyle w:val="12"/>
            </w:pPr>
            <w:r>
              <w:t>项目规划</w:t>
            </w:r>
          </w:p>
        </w:tc>
      </w:tr>
      <w:tr w14:paraId="6716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B86B3"/>
        </w:tc>
        <w:tc>
          <w:tcPr>
            <w:tcW w:w="2268" w:type="dxa"/>
            <w:vAlign w:val="center"/>
          </w:tcPr>
          <w:p w14:paraId="0375AF1A">
            <w:pPr>
              <w:pStyle w:val="12"/>
            </w:pPr>
            <w:r>
              <w:t>成本指标</w:t>
            </w:r>
          </w:p>
        </w:tc>
        <w:tc>
          <w:tcPr>
            <w:tcW w:w="2835" w:type="dxa"/>
            <w:vAlign w:val="center"/>
          </w:tcPr>
          <w:p w14:paraId="6F18CADC">
            <w:pPr>
              <w:pStyle w:val="12"/>
            </w:pPr>
            <w:r>
              <w:t>维修项目成本</w:t>
            </w:r>
          </w:p>
        </w:tc>
        <w:tc>
          <w:tcPr>
            <w:tcW w:w="5386" w:type="dxa"/>
            <w:vAlign w:val="center"/>
          </w:tcPr>
          <w:p w14:paraId="333E8A00">
            <w:pPr>
              <w:pStyle w:val="12"/>
            </w:pPr>
            <w:r>
              <w:t>教室围墙维修、喷绘修缮等项目总价值</w:t>
            </w:r>
          </w:p>
        </w:tc>
        <w:tc>
          <w:tcPr>
            <w:tcW w:w="2268" w:type="dxa"/>
            <w:vAlign w:val="center"/>
          </w:tcPr>
          <w:p w14:paraId="7D915387">
            <w:pPr>
              <w:pStyle w:val="12"/>
            </w:pPr>
            <w:r>
              <w:t>179431元</w:t>
            </w:r>
          </w:p>
        </w:tc>
        <w:tc>
          <w:tcPr>
            <w:tcW w:w="1276" w:type="dxa"/>
            <w:vAlign w:val="center"/>
          </w:tcPr>
          <w:p w14:paraId="7A1EB7CB">
            <w:pPr>
              <w:pStyle w:val="12"/>
            </w:pPr>
            <w:r>
              <w:t>项目规划</w:t>
            </w:r>
          </w:p>
        </w:tc>
      </w:tr>
      <w:tr w14:paraId="4E98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70EE2">
            <w:pPr>
              <w:pStyle w:val="13"/>
            </w:pPr>
            <w:r>
              <w:t>效益指标</w:t>
            </w:r>
          </w:p>
        </w:tc>
        <w:tc>
          <w:tcPr>
            <w:tcW w:w="2268" w:type="dxa"/>
            <w:vAlign w:val="center"/>
          </w:tcPr>
          <w:p w14:paraId="0D86DB52">
            <w:pPr>
              <w:pStyle w:val="12"/>
            </w:pPr>
            <w:r>
              <w:t>可持续影响指标</w:t>
            </w:r>
          </w:p>
        </w:tc>
        <w:tc>
          <w:tcPr>
            <w:tcW w:w="2835" w:type="dxa"/>
            <w:vAlign w:val="center"/>
          </w:tcPr>
          <w:p w14:paraId="03DDCC86">
            <w:pPr>
              <w:pStyle w:val="12"/>
            </w:pPr>
            <w:r>
              <w:t>项目实施成果</w:t>
            </w:r>
          </w:p>
        </w:tc>
        <w:tc>
          <w:tcPr>
            <w:tcW w:w="5386" w:type="dxa"/>
            <w:vAlign w:val="center"/>
          </w:tcPr>
          <w:p w14:paraId="0869BD88">
            <w:pPr>
              <w:pStyle w:val="12"/>
            </w:pPr>
            <w:r>
              <w:t>通过项目实施能有效改善教学环境，提升教学质量</w:t>
            </w:r>
          </w:p>
        </w:tc>
        <w:tc>
          <w:tcPr>
            <w:tcW w:w="2268" w:type="dxa"/>
            <w:vAlign w:val="center"/>
          </w:tcPr>
          <w:p w14:paraId="29E7AE6F">
            <w:pPr>
              <w:pStyle w:val="12"/>
            </w:pPr>
            <w:r>
              <w:t>≥95%</w:t>
            </w:r>
          </w:p>
        </w:tc>
        <w:tc>
          <w:tcPr>
            <w:tcW w:w="1276" w:type="dxa"/>
            <w:vAlign w:val="center"/>
          </w:tcPr>
          <w:p w14:paraId="1DA2B57C">
            <w:pPr>
              <w:pStyle w:val="12"/>
            </w:pPr>
            <w:r>
              <w:t>项目规划</w:t>
            </w:r>
          </w:p>
        </w:tc>
      </w:tr>
      <w:tr w14:paraId="2AE4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A3087">
            <w:pPr>
              <w:pStyle w:val="13"/>
            </w:pPr>
            <w:r>
              <w:t>满意度指标</w:t>
            </w:r>
          </w:p>
        </w:tc>
        <w:tc>
          <w:tcPr>
            <w:tcW w:w="2268" w:type="dxa"/>
            <w:vAlign w:val="center"/>
          </w:tcPr>
          <w:p w14:paraId="15352749">
            <w:pPr>
              <w:pStyle w:val="12"/>
            </w:pPr>
            <w:r>
              <w:t>服务对象满意度指标</w:t>
            </w:r>
          </w:p>
        </w:tc>
        <w:tc>
          <w:tcPr>
            <w:tcW w:w="2835" w:type="dxa"/>
            <w:vAlign w:val="center"/>
          </w:tcPr>
          <w:p w14:paraId="7B00703C">
            <w:pPr>
              <w:pStyle w:val="12"/>
            </w:pPr>
            <w:r>
              <w:t>受益学生及家长的调查满意度</w:t>
            </w:r>
          </w:p>
        </w:tc>
        <w:tc>
          <w:tcPr>
            <w:tcW w:w="5386" w:type="dxa"/>
            <w:vAlign w:val="center"/>
          </w:tcPr>
          <w:p w14:paraId="2BFECC58">
            <w:pPr>
              <w:pStyle w:val="12"/>
            </w:pPr>
            <w:r>
              <w:t>学生、教师及家长对学校环境提升满意度情况</w:t>
            </w:r>
          </w:p>
        </w:tc>
        <w:tc>
          <w:tcPr>
            <w:tcW w:w="2268" w:type="dxa"/>
            <w:vAlign w:val="center"/>
          </w:tcPr>
          <w:p w14:paraId="04E1712F">
            <w:pPr>
              <w:pStyle w:val="12"/>
            </w:pPr>
            <w:r>
              <w:t>≥95%</w:t>
            </w:r>
          </w:p>
        </w:tc>
        <w:tc>
          <w:tcPr>
            <w:tcW w:w="1276" w:type="dxa"/>
            <w:vAlign w:val="center"/>
          </w:tcPr>
          <w:p w14:paraId="08191013">
            <w:pPr>
              <w:pStyle w:val="12"/>
            </w:pPr>
            <w:r>
              <w:t>调查问卷</w:t>
            </w:r>
          </w:p>
        </w:tc>
      </w:tr>
    </w:tbl>
    <w:p w14:paraId="3DDFAD22">
      <w:pPr>
        <w:sectPr>
          <w:pgSz w:w="16840" w:h="11900" w:orient="landscape"/>
          <w:pgMar w:top="1361" w:right="1020" w:bottom="1134" w:left="1020" w:header="720" w:footer="720" w:gutter="0"/>
          <w:cols w:space="720" w:num="1"/>
        </w:sectPr>
      </w:pPr>
    </w:p>
    <w:p w14:paraId="305DF6FC">
      <w:pPr>
        <w:spacing w:before="0" w:after="0"/>
        <w:ind w:firstLine="560"/>
        <w:jc w:val="left"/>
        <w:outlineLvl w:val="9"/>
      </w:pPr>
      <w:r>
        <w:rPr>
          <w:rFonts w:ascii="方正仿宋_GBK" w:hAnsi="方正仿宋_GBK" w:eastAsia="方正仿宋_GBK" w:cs="方正仿宋_GBK"/>
          <w:b/>
          <w:color w:val="000000"/>
          <w:sz w:val="28"/>
        </w:rPr>
        <w:t>3、冀财教[2023]163号/省级/2024年义教补助资金/校舍安全保障/东良校区泽畔小学新建学生宿舍楼及消防工程绩效目标表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F5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D7BDD">
            <w:pPr>
              <w:pStyle w:val="11"/>
            </w:pPr>
            <w:r>
              <w:t>单位：万元</w:t>
            </w:r>
          </w:p>
        </w:tc>
      </w:tr>
      <w:tr w14:paraId="50B8D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EB6B3">
            <w:pPr>
              <w:pStyle w:val="10"/>
            </w:pPr>
            <w:r>
              <w:t>项目编码</w:t>
            </w:r>
          </w:p>
        </w:tc>
        <w:tc>
          <w:tcPr>
            <w:tcW w:w="5103" w:type="dxa"/>
            <w:gridSpan w:val="2"/>
            <w:vAlign w:val="center"/>
          </w:tcPr>
          <w:p w14:paraId="6EAB5C27">
            <w:pPr>
              <w:pStyle w:val="12"/>
            </w:pPr>
            <w:r>
              <w:t>13052526P00876210117P</w:t>
            </w:r>
          </w:p>
        </w:tc>
        <w:tc>
          <w:tcPr>
            <w:tcW w:w="2835" w:type="dxa"/>
            <w:vAlign w:val="center"/>
          </w:tcPr>
          <w:p w14:paraId="3DF05E04">
            <w:pPr>
              <w:pStyle w:val="10"/>
            </w:pPr>
            <w:r>
              <w:t>项目名称</w:t>
            </w:r>
          </w:p>
        </w:tc>
        <w:tc>
          <w:tcPr>
            <w:tcW w:w="6095" w:type="dxa"/>
            <w:gridSpan w:val="3"/>
            <w:vAlign w:val="center"/>
          </w:tcPr>
          <w:p w14:paraId="6D99A8F6">
            <w:pPr>
              <w:pStyle w:val="12"/>
            </w:pPr>
            <w:r>
              <w:t>冀财教[2023]163号/省级/2024年义教补助资金/校舍安全保障/东良校区泽畔小学新建学生宿舍楼及消防工程</w:t>
            </w:r>
          </w:p>
        </w:tc>
      </w:tr>
      <w:tr w14:paraId="3D4B3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E4C97">
            <w:pPr>
              <w:pStyle w:val="10"/>
            </w:pPr>
            <w:r>
              <w:t>预算规模及资金用途</w:t>
            </w:r>
          </w:p>
        </w:tc>
        <w:tc>
          <w:tcPr>
            <w:tcW w:w="2268" w:type="dxa"/>
            <w:vAlign w:val="center"/>
          </w:tcPr>
          <w:p w14:paraId="70A623B5">
            <w:pPr>
              <w:pStyle w:val="10"/>
            </w:pPr>
            <w:r>
              <w:t>预算数</w:t>
            </w:r>
          </w:p>
        </w:tc>
        <w:tc>
          <w:tcPr>
            <w:tcW w:w="2835" w:type="dxa"/>
            <w:vAlign w:val="center"/>
          </w:tcPr>
          <w:p w14:paraId="77C801DD">
            <w:pPr>
              <w:pStyle w:val="12"/>
            </w:pPr>
            <w:r>
              <w:t>26.29</w:t>
            </w:r>
          </w:p>
        </w:tc>
        <w:tc>
          <w:tcPr>
            <w:tcW w:w="2835" w:type="dxa"/>
            <w:vAlign w:val="center"/>
          </w:tcPr>
          <w:p w14:paraId="709FA3AC">
            <w:pPr>
              <w:pStyle w:val="10"/>
            </w:pPr>
            <w:r>
              <w:t>其中：财政    资金</w:t>
            </w:r>
          </w:p>
        </w:tc>
        <w:tc>
          <w:tcPr>
            <w:tcW w:w="2551" w:type="dxa"/>
            <w:vAlign w:val="center"/>
          </w:tcPr>
          <w:p w14:paraId="3FAFFD28">
            <w:pPr>
              <w:pStyle w:val="12"/>
            </w:pPr>
            <w:r>
              <w:t>26.29</w:t>
            </w:r>
          </w:p>
        </w:tc>
        <w:tc>
          <w:tcPr>
            <w:tcW w:w="2268" w:type="dxa"/>
            <w:vAlign w:val="center"/>
          </w:tcPr>
          <w:p w14:paraId="2A93B263">
            <w:pPr>
              <w:pStyle w:val="10"/>
            </w:pPr>
            <w:r>
              <w:t>其他资金</w:t>
            </w:r>
          </w:p>
        </w:tc>
        <w:tc>
          <w:tcPr>
            <w:tcW w:w="1276" w:type="dxa"/>
            <w:vAlign w:val="center"/>
          </w:tcPr>
          <w:p w14:paraId="0DE5B83F">
            <w:pPr>
              <w:pStyle w:val="12"/>
            </w:pPr>
            <w:r>
              <w:t xml:space="preserve"> </w:t>
            </w:r>
          </w:p>
        </w:tc>
      </w:tr>
      <w:tr w14:paraId="63A75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7BE9D"/>
        </w:tc>
        <w:tc>
          <w:tcPr>
            <w:tcW w:w="14033" w:type="dxa"/>
            <w:gridSpan w:val="6"/>
            <w:vAlign w:val="center"/>
          </w:tcPr>
          <w:p w14:paraId="297A548A">
            <w:pPr>
              <w:pStyle w:val="12"/>
            </w:pPr>
            <w:r>
              <w:t>改善就学条件，提升学校形象，保障义务教育阶段教学安全，创造良好的校园环境。</w:t>
            </w:r>
          </w:p>
        </w:tc>
      </w:tr>
      <w:tr w14:paraId="1E551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2F681">
            <w:pPr>
              <w:pStyle w:val="10"/>
            </w:pPr>
            <w:r>
              <w:t>资金支出计划（%）</w:t>
            </w:r>
          </w:p>
        </w:tc>
        <w:tc>
          <w:tcPr>
            <w:tcW w:w="5103" w:type="dxa"/>
            <w:gridSpan w:val="2"/>
            <w:vAlign w:val="center"/>
          </w:tcPr>
          <w:p w14:paraId="1995EB07">
            <w:pPr>
              <w:pStyle w:val="10"/>
            </w:pPr>
            <w:r>
              <w:t>3月底</w:t>
            </w:r>
          </w:p>
        </w:tc>
        <w:tc>
          <w:tcPr>
            <w:tcW w:w="2835" w:type="dxa"/>
            <w:vAlign w:val="center"/>
          </w:tcPr>
          <w:p w14:paraId="0CCD791E">
            <w:pPr>
              <w:pStyle w:val="10"/>
            </w:pPr>
            <w:r>
              <w:t>6月底</w:t>
            </w:r>
          </w:p>
        </w:tc>
        <w:tc>
          <w:tcPr>
            <w:tcW w:w="2551" w:type="dxa"/>
            <w:vAlign w:val="center"/>
          </w:tcPr>
          <w:p w14:paraId="1278EEF4">
            <w:pPr>
              <w:pStyle w:val="10"/>
            </w:pPr>
            <w:r>
              <w:t>10月底</w:t>
            </w:r>
          </w:p>
        </w:tc>
        <w:tc>
          <w:tcPr>
            <w:tcW w:w="3544" w:type="dxa"/>
            <w:gridSpan w:val="2"/>
            <w:vAlign w:val="center"/>
          </w:tcPr>
          <w:p w14:paraId="1E6C2C85">
            <w:pPr>
              <w:pStyle w:val="10"/>
            </w:pPr>
            <w:r>
              <w:t>12月底</w:t>
            </w:r>
          </w:p>
        </w:tc>
      </w:tr>
      <w:tr w14:paraId="12116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B03F9"/>
        </w:tc>
        <w:tc>
          <w:tcPr>
            <w:tcW w:w="5103" w:type="dxa"/>
            <w:gridSpan w:val="2"/>
            <w:vAlign w:val="center"/>
          </w:tcPr>
          <w:p w14:paraId="54B7DDAC">
            <w:pPr>
              <w:pStyle w:val="13"/>
            </w:pPr>
            <w:r>
              <w:t xml:space="preserve"> </w:t>
            </w:r>
          </w:p>
        </w:tc>
        <w:tc>
          <w:tcPr>
            <w:tcW w:w="2835" w:type="dxa"/>
            <w:vAlign w:val="center"/>
          </w:tcPr>
          <w:p w14:paraId="2AE3A592">
            <w:pPr>
              <w:pStyle w:val="13"/>
            </w:pPr>
            <w:r>
              <w:t xml:space="preserve"> </w:t>
            </w:r>
          </w:p>
        </w:tc>
        <w:tc>
          <w:tcPr>
            <w:tcW w:w="2551" w:type="dxa"/>
            <w:vAlign w:val="center"/>
          </w:tcPr>
          <w:p w14:paraId="35F2FD8E">
            <w:pPr>
              <w:pStyle w:val="13"/>
            </w:pPr>
            <w:r>
              <w:t>100%</w:t>
            </w:r>
          </w:p>
        </w:tc>
        <w:tc>
          <w:tcPr>
            <w:tcW w:w="3544" w:type="dxa"/>
            <w:gridSpan w:val="2"/>
            <w:vAlign w:val="center"/>
          </w:tcPr>
          <w:p w14:paraId="34F1195C">
            <w:pPr>
              <w:pStyle w:val="13"/>
            </w:pPr>
            <w:r>
              <w:t>100%</w:t>
            </w:r>
          </w:p>
        </w:tc>
      </w:tr>
      <w:tr w14:paraId="18289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DC2E6">
            <w:pPr>
              <w:pStyle w:val="10"/>
            </w:pPr>
            <w:r>
              <w:t>绩效目标</w:t>
            </w:r>
          </w:p>
        </w:tc>
        <w:tc>
          <w:tcPr>
            <w:tcW w:w="14033" w:type="dxa"/>
            <w:gridSpan w:val="6"/>
            <w:vAlign w:val="center"/>
          </w:tcPr>
          <w:p w14:paraId="7C3E64DB">
            <w:pPr>
              <w:pStyle w:val="12"/>
            </w:pPr>
            <w:r>
              <w:t xml:space="preserve">1.改善就学条件，提升学校形象，保障义务教育阶段教学安全，创造良好的校园环境。 </w:t>
            </w:r>
            <w:r>
              <w:tab/>
            </w:r>
          </w:p>
          <w:p w14:paraId="6BD03E79">
            <w:pPr>
              <w:pStyle w:val="12"/>
            </w:pPr>
            <w:r>
              <w:t xml:space="preserve">2.项目需资金26.2928万元，资金拨付率达到100%。 </w:t>
            </w:r>
          </w:p>
        </w:tc>
      </w:tr>
    </w:tbl>
    <w:p w14:paraId="012BD9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5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3299D">
            <w:pPr>
              <w:pStyle w:val="10"/>
            </w:pPr>
            <w:r>
              <w:t>一级指标</w:t>
            </w:r>
          </w:p>
        </w:tc>
        <w:tc>
          <w:tcPr>
            <w:tcW w:w="2268" w:type="dxa"/>
            <w:vAlign w:val="center"/>
          </w:tcPr>
          <w:p w14:paraId="0C45A149">
            <w:pPr>
              <w:pStyle w:val="10"/>
            </w:pPr>
            <w:r>
              <w:t>二级指标</w:t>
            </w:r>
          </w:p>
        </w:tc>
        <w:tc>
          <w:tcPr>
            <w:tcW w:w="2835" w:type="dxa"/>
            <w:vAlign w:val="center"/>
          </w:tcPr>
          <w:p w14:paraId="62B61485">
            <w:pPr>
              <w:pStyle w:val="10"/>
            </w:pPr>
            <w:r>
              <w:t>三级指标</w:t>
            </w:r>
          </w:p>
        </w:tc>
        <w:tc>
          <w:tcPr>
            <w:tcW w:w="5386" w:type="dxa"/>
            <w:vAlign w:val="center"/>
          </w:tcPr>
          <w:p w14:paraId="1D8F8E42">
            <w:pPr>
              <w:pStyle w:val="10"/>
            </w:pPr>
            <w:r>
              <w:t>绩效指标描述</w:t>
            </w:r>
          </w:p>
        </w:tc>
        <w:tc>
          <w:tcPr>
            <w:tcW w:w="2268" w:type="dxa"/>
            <w:vAlign w:val="center"/>
          </w:tcPr>
          <w:p w14:paraId="7F6A5846">
            <w:pPr>
              <w:pStyle w:val="10"/>
            </w:pPr>
            <w:r>
              <w:t>指标值</w:t>
            </w:r>
          </w:p>
        </w:tc>
        <w:tc>
          <w:tcPr>
            <w:tcW w:w="1276" w:type="dxa"/>
            <w:vAlign w:val="center"/>
          </w:tcPr>
          <w:p w14:paraId="52BB1160">
            <w:pPr>
              <w:pStyle w:val="10"/>
            </w:pPr>
            <w:r>
              <w:t>指标值确定依据</w:t>
            </w:r>
          </w:p>
        </w:tc>
      </w:tr>
      <w:tr w14:paraId="7E82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98317">
            <w:pPr>
              <w:pStyle w:val="13"/>
            </w:pPr>
            <w:r>
              <w:t>产出指标</w:t>
            </w:r>
          </w:p>
        </w:tc>
        <w:tc>
          <w:tcPr>
            <w:tcW w:w="2268" w:type="dxa"/>
            <w:vAlign w:val="center"/>
          </w:tcPr>
          <w:p w14:paraId="0AC89150">
            <w:pPr>
              <w:pStyle w:val="12"/>
            </w:pPr>
            <w:r>
              <w:t>数量指标</w:t>
            </w:r>
          </w:p>
        </w:tc>
        <w:tc>
          <w:tcPr>
            <w:tcW w:w="2835" w:type="dxa"/>
            <w:vAlign w:val="center"/>
          </w:tcPr>
          <w:p w14:paraId="09CD0026">
            <w:pPr>
              <w:pStyle w:val="12"/>
            </w:pPr>
            <w:r>
              <w:t>项目数量</w:t>
            </w:r>
          </w:p>
        </w:tc>
        <w:tc>
          <w:tcPr>
            <w:tcW w:w="5386" w:type="dxa"/>
            <w:vAlign w:val="center"/>
          </w:tcPr>
          <w:p w14:paraId="17D600D1">
            <w:pPr>
              <w:pStyle w:val="12"/>
            </w:pPr>
            <w:r>
              <w:t>宿舍楼及消防工程</w:t>
            </w:r>
          </w:p>
        </w:tc>
        <w:tc>
          <w:tcPr>
            <w:tcW w:w="2268" w:type="dxa"/>
            <w:vAlign w:val="center"/>
          </w:tcPr>
          <w:p w14:paraId="4262BBD1">
            <w:pPr>
              <w:pStyle w:val="12"/>
            </w:pPr>
            <w:r>
              <w:t>2项</w:t>
            </w:r>
          </w:p>
        </w:tc>
        <w:tc>
          <w:tcPr>
            <w:tcW w:w="1276" w:type="dxa"/>
            <w:vAlign w:val="center"/>
          </w:tcPr>
          <w:p w14:paraId="06910902">
            <w:pPr>
              <w:pStyle w:val="12"/>
            </w:pPr>
            <w:r>
              <w:t>项目规划</w:t>
            </w:r>
          </w:p>
        </w:tc>
      </w:tr>
      <w:tr w14:paraId="22D8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65226"/>
        </w:tc>
        <w:tc>
          <w:tcPr>
            <w:tcW w:w="2268" w:type="dxa"/>
            <w:vAlign w:val="center"/>
          </w:tcPr>
          <w:p w14:paraId="5C9ED74D">
            <w:pPr>
              <w:pStyle w:val="12"/>
            </w:pPr>
            <w:r>
              <w:t>质量指标</w:t>
            </w:r>
          </w:p>
        </w:tc>
        <w:tc>
          <w:tcPr>
            <w:tcW w:w="2835" w:type="dxa"/>
            <w:vAlign w:val="center"/>
          </w:tcPr>
          <w:p w14:paraId="48CA5D46">
            <w:pPr>
              <w:pStyle w:val="12"/>
            </w:pPr>
            <w:r>
              <w:t>工程实施验收合格率</w:t>
            </w:r>
          </w:p>
        </w:tc>
        <w:tc>
          <w:tcPr>
            <w:tcW w:w="5386" w:type="dxa"/>
            <w:vAlign w:val="center"/>
          </w:tcPr>
          <w:p w14:paraId="74116593">
            <w:pPr>
              <w:pStyle w:val="12"/>
            </w:pPr>
            <w:r>
              <w:t>申报程序的合规，项目实施及资金使用符合项目规划</w:t>
            </w:r>
          </w:p>
        </w:tc>
        <w:tc>
          <w:tcPr>
            <w:tcW w:w="2268" w:type="dxa"/>
            <w:vAlign w:val="center"/>
          </w:tcPr>
          <w:p w14:paraId="6191885F">
            <w:pPr>
              <w:pStyle w:val="12"/>
            </w:pPr>
            <w:r>
              <w:t>100%</w:t>
            </w:r>
          </w:p>
        </w:tc>
        <w:tc>
          <w:tcPr>
            <w:tcW w:w="1276" w:type="dxa"/>
            <w:vAlign w:val="center"/>
          </w:tcPr>
          <w:p w14:paraId="612FABDF">
            <w:pPr>
              <w:pStyle w:val="12"/>
            </w:pPr>
            <w:r>
              <w:t>项目规划</w:t>
            </w:r>
          </w:p>
        </w:tc>
      </w:tr>
      <w:tr w14:paraId="457E1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17792"/>
        </w:tc>
        <w:tc>
          <w:tcPr>
            <w:tcW w:w="2268" w:type="dxa"/>
            <w:vAlign w:val="center"/>
          </w:tcPr>
          <w:p w14:paraId="1FF37608">
            <w:pPr>
              <w:pStyle w:val="12"/>
            </w:pPr>
            <w:r>
              <w:t>时效指标</w:t>
            </w:r>
          </w:p>
        </w:tc>
        <w:tc>
          <w:tcPr>
            <w:tcW w:w="2835" w:type="dxa"/>
            <w:vAlign w:val="center"/>
          </w:tcPr>
          <w:p w14:paraId="79A3A7BC">
            <w:pPr>
              <w:pStyle w:val="12"/>
            </w:pPr>
            <w:r>
              <w:t>资金支付率</w:t>
            </w:r>
          </w:p>
        </w:tc>
        <w:tc>
          <w:tcPr>
            <w:tcW w:w="5386" w:type="dxa"/>
            <w:vAlign w:val="center"/>
          </w:tcPr>
          <w:p w14:paraId="21587A2E">
            <w:pPr>
              <w:pStyle w:val="12"/>
            </w:pPr>
            <w:r>
              <w:t>按照序时进度完成资金支付</w:t>
            </w:r>
          </w:p>
        </w:tc>
        <w:tc>
          <w:tcPr>
            <w:tcW w:w="2268" w:type="dxa"/>
            <w:vAlign w:val="center"/>
          </w:tcPr>
          <w:p w14:paraId="601483DC">
            <w:pPr>
              <w:pStyle w:val="12"/>
            </w:pPr>
            <w:r>
              <w:t>100%</w:t>
            </w:r>
          </w:p>
        </w:tc>
        <w:tc>
          <w:tcPr>
            <w:tcW w:w="1276" w:type="dxa"/>
            <w:vAlign w:val="center"/>
          </w:tcPr>
          <w:p w14:paraId="14F1253E">
            <w:pPr>
              <w:pStyle w:val="12"/>
            </w:pPr>
            <w:r>
              <w:t>项目规划</w:t>
            </w:r>
          </w:p>
        </w:tc>
      </w:tr>
      <w:tr w14:paraId="4226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0DDB8"/>
        </w:tc>
        <w:tc>
          <w:tcPr>
            <w:tcW w:w="2268" w:type="dxa"/>
            <w:vAlign w:val="center"/>
          </w:tcPr>
          <w:p w14:paraId="7EE9D624">
            <w:pPr>
              <w:pStyle w:val="12"/>
            </w:pPr>
            <w:r>
              <w:t>成本指标</w:t>
            </w:r>
          </w:p>
        </w:tc>
        <w:tc>
          <w:tcPr>
            <w:tcW w:w="2835" w:type="dxa"/>
            <w:vAlign w:val="center"/>
          </w:tcPr>
          <w:p w14:paraId="0B7F07B1">
            <w:pPr>
              <w:pStyle w:val="12"/>
            </w:pPr>
            <w:r>
              <w:t>项目成本控制情况</w:t>
            </w:r>
          </w:p>
        </w:tc>
        <w:tc>
          <w:tcPr>
            <w:tcW w:w="5386" w:type="dxa"/>
            <w:vAlign w:val="center"/>
          </w:tcPr>
          <w:p w14:paraId="20D5CC5B">
            <w:pPr>
              <w:pStyle w:val="12"/>
            </w:pPr>
            <w:r>
              <w:t>严格按照招标价格及审计额进行</w:t>
            </w:r>
          </w:p>
        </w:tc>
        <w:tc>
          <w:tcPr>
            <w:tcW w:w="2268" w:type="dxa"/>
            <w:vAlign w:val="center"/>
          </w:tcPr>
          <w:p w14:paraId="244F1F57">
            <w:pPr>
              <w:pStyle w:val="12"/>
            </w:pPr>
            <w:r>
              <w:t>262928元</w:t>
            </w:r>
          </w:p>
        </w:tc>
        <w:tc>
          <w:tcPr>
            <w:tcW w:w="1276" w:type="dxa"/>
            <w:vAlign w:val="center"/>
          </w:tcPr>
          <w:p w14:paraId="2FA4204F">
            <w:pPr>
              <w:pStyle w:val="12"/>
            </w:pPr>
            <w:r>
              <w:t>项目规划</w:t>
            </w:r>
          </w:p>
        </w:tc>
      </w:tr>
      <w:tr w14:paraId="2B20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00729">
            <w:pPr>
              <w:pStyle w:val="13"/>
            </w:pPr>
            <w:r>
              <w:t>效益指标</w:t>
            </w:r>
          </w:p>
        </w:tc>
        <w:tc>
          <w:tcPr>
            <w:tcW w:w="2268" w:type="dxa"/>
            <w:vAlign w:val="center"/>
          </w:tcPr>
          <w:p w14:paraId="44D24C4F">
            <w:pPr>
              <w:pStyle w:val="12"/>
            </w:pPr>
            <w:r>
              <w:t>可持续影响指标</w:t>
            </w:r>
          </w:p>
        </w:tc>
        <w:tc>
          <w:tcPr>
            <w:tcW w:w="2835" w:type="dxa"/>
            <w:vAlign w:val="center"/>
          </w:tcPr>
          <w:p w14:paraId="6EE073B1">
            <w:pPr>
              <w:pStyle w:val="12"/>
            </w:pPr>
            <w:r>
              <w:t>工程使用年限</w:t>
            </w:r>
          </w:p>
        </w:tc>
        <w:tc>
          <w:tcPr>
            <w:tcW w:w="5386" w:type="dxa"/>
            <w:vAlign w:val="center"/>
          </w:tcPr>
          <w:p w14:paraId="53D58001">
            <w:pPr>
              <w:pStyle w:val="12"/>
            </w:pPr>
            <w:r>
              <w:t>工程使用年限</w:t>
            </w:r>
          </w:p>
        </w:tc>
        <w:tc>
          <w:tcPr>
            <w:tcW w:w="2268" w:type="dxa"/>
            <w:vAlign w:val="center"/>
          </w:tcPr>
          <w:p w14:paraId="551E6339">
            <w:pPr>
              <w:pStyle w:val="12"/>
            </w:pPr>
            <w:r>
              <w:t>15年</w:t>
            </w:r>
          </w:p>
        </w:tc>
        <w:tc>
          <w:tcPr>
            <w:tcW w:w="1276" w:type="dxa"/>
            <w:vAlign w:val="center"/>
          </w:tcPr>
          <w:p w14:paraId="7829D70F">
            <w:pPr>
              <w:pStyle w:val="12"/>
            </w:pPr>
            <w:r>
              <w:t>项目规划</w:t>
            </w:r>
          </w:p>
        </w:tc>
      </w:tr>
      <w:tr w14:paraId="4FD9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96AF4">
            <w:pPr>
              <w:pStyle w:val="13"/>
            </w:pPr>
            <w:r>
              <w:t>满意度指标</w:t>
            </w:r>
          </w:p>
        </w:tc>
        <w:tc>
          <w:tcPr>
            <w:tcW w:w="2268" w:type="dxa"/>
            <w:vAlign w:val="center"/>
          </w:tcPr>
          <w:p w14:paraId="59AFA87E">
            <w:pPr>
              <w:pStyle w:val="12"/>
            </w:pPr>
            <w:r>
              <w:t>服务对象满意度指标</w:t>
            </w:r>
          </w:p>
        </w:tc>
        <w:tc>
          <w:tcPr>
            <w:tcW w:w="2835" w:type="dxa"/>
            <w:vAlign w:val="center"/>
          </w:tcPr>
          <w:p w14:paraId="00DC5D04">
            <w:pPr>
              <w:pStyle w:val="12"/>
            </w:pPr>
            <w:r>
              <w:t>受益学生家长及调查满意度</w:t>
            </w:r>
          </w:p>
        </w:tc>
        <w:tc>
          <w:tcPr>
            <w:tcW w:w="5386" w:type="dxa"/>
            <w:vAlign w:val="center"/>
          </w:tcPr>
          <w:p w14:paraId="0F51809D">
            <w:pPr>
              <w:pStyle w:val="12"/>
            </w:pPr>
            <w:r>
              <w:t>学生、教师及家长对学校教学环境满意度情况</w:t>
            </w:r>
          </w:p>
        </w:tc>
        <w:tc>
          <w:tcPr>
            <w:tcW w:w="2268" w:type="dxa"/>
            <w:vAlign w:val="center"/>
          </w:tcPr>
          <w:p w14:paraId="78D89FF2">
            <w:pPr>
              <w:pStyle w:val="12"/>
            </w:pPr>
            <w:r>
              <w:t>≥95%</w:t>
            </w:r>
          </w:p>
        </w:tc>
        <w:tc>
          <w:tcPr>
            <w:tcW w:w="1276" w:type="dxa"/>
            <w:vAlign w:val="center"/>
          </w:tcPr>
          <w:p w14:paraId="3B9B9BD5">
            <w:pPr>
              <w:pStyle w:val="12"/>
            </w:pPr>
            <w:r>
              <w:t>调查问卷</w:t>
            </w:r>
          </w:p>
        </w:tc>
      </w:tr>
    </w:tbl>
    <w:p w14:paraId="386AA4B1">
      <w:pPr>
        <w:sectPr>
          <w:pgSz w:w="16840" w:h="11900" w:orient="landscape"/>
          <w:pgMar w:top="1361" w:right="1020" w:bottom="1134" w:left="1020" w:header="720" w:footer="720" w:gutter="0"/>
          <w:cols w:space="720" w:num="1"/>
        </w:sectPr>
      </w:pPr>
    </w:p>
    <w:p w14:paraId="411371CD">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4、冀财教[2025]121号/中央/2026年义教补助经费/东良校区大干言小学公用经费绩效目标表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40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0F8E7">
            <w:pPr>
              <w:pStyle w:val="11"/>
            </w:pPr>
            <w:r>
              <w:t>单位：万元</w:t>
            </w:r>
          </w:p>
        </w:tc>
      </w:tr>
      <w:tr w14:paraId="1F024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AFB08">
            <w:pPr>
              <w:pStyle w:val="10"/>
            </w:pPr>
            <w:r>
              <w:t>项目编码</w:t>
            </w:r>
          </w:p>
        </w:tc>
        <w:tc>
          <w:tcPr>
            <w:tcW w:w="5103" w:type="dxa"/>
            <w:gridSpan w:val="2"/>
            <w:vAlign w:val="center"/>
          </w:tcPr>
          <w:p w14:paraId="178FE29C">
            <w:pPr>
              <w:pStyle w:val="12"/>
            </w:pPr>
            <w:r>
              <w:t>13052526P00000410279L</w:t>
            </w:r>
          </w:p>
        </w:tc>
        <w:tc>
          <w:tcPr>
            <w:tcW w:w="2835" w:type="dxa"/>
            <w:vAlign w:val="center"/>
          </w:tcPr>
          <w:p w14:paraId="5E62BE82">
            <w:pPr>
              <w:pStyle w:val="10"/>
            </w:pPr>
            <w:r>
              <w:t>项目名称</w:t>
            </w:r>
          </w:p>
        </w:tc>
        <w:tc>
          <w:tcPr>
            <w:tcW w:w="6095" w:type="dxa"/>
            <w:gridSpan w:val="3"/>
            <w:vAlign w:val="center"/>
          </w:tcPr>
          <w:p w14:paraId="1022989F">
            <w:pPr>
              <w:pStyle w:val="12"/>
            </w:pPr>
            <w:r>
              <w:t>冀财教[2025]121号/中央/2026年义教补助经费/东良校区大干言小学公用经费</w:t>
            </w:r>
          </w:p>
        </w:tc>
      </w:tr>
      <w:tr w14:paraId="794BC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F0FCC">
            <w:pPr>
              <w:pStyle w:val="10"/>
            </w:pPr>
            <w:r>
              <w:t>预算规模及资金用途</w:t>
            </w:r>
          </w:p>
        </w:tc>
        <w:tc>
          <w:tcPr>
            <w:tcW w:w="2268" w:type="dxa"/>
            <w:vAlign w:val="center"/>
          </w:tcPr>
          <w:p w14:paraId="5D258B2F">
            <w:pPr>
              <w:pStyle w:val="10"/>
            </w:pPr>
            <w:r>
              <w:t>预算数</w:t>
            </w:r>
          </w:p>
        </w:tc>
        <w:tc>
          <w:tcPr>
            <w:tcW w:w="2835" w:type="dxa"/>
            <w:vAlign w:val="center"/>
          </w:tcPr>
          <w:p w14:paraId="36F9B39C">
            <w:pPr>
              <w:pStyle w:val="12"/>
            </w:pPr>
            <w:r>
              <w:t>46.39</w:t>
            </w:r>
          </w:p>
        </w:tc>
        <w:tc>
          <w:tcPr>
            <w:tcW w:w="2835" w:type="dxa"/>
            <w:vAlign w:val="center"/>
          </w:tcPr>
          <w:p w14:paraId="7668CA13">
            <w:pPr>
              <w:pStyle w:val="10"/>
            </w:pPr>
            <w:r>
              <w:t>其中：财政    资金</w:t>
            </w:r>
          </w:p>
        </w:tc>
        <w:tc>
          <w:tcPr>
            <w:tcW w:w="2551" w:type="dxa"/>
            <w:vAlign w:val="center"/>
          </w:tcPr>
          <w:p w14:paraId="60A83BEA">
            <w:pPr>
              <w:pStyle w:val="12"/>
            </w:pPr>
            <w:r>
              <w:t>46.39</w:t>
            </w:r>
          </w:p>
        </w:tc>
        <w:tc>
          <w:tcPr>
            <w:tcW w:w="2268" w:type="dxa"/>
            <w:vAlign w:val="center"/>
          </w:tcPr>
          <w:p w14:paraId="47FFB57C">
            <w:pPr>
              <w:pStyle w:val="10"/>
            </w:pPr>
            <w:r>
              <w:t>其他资金</w:t>
            </w:r>
          </w:p>
        </w:tc>
        <w:tc>
          <w:tcPr>
            <w:tcW w:w="1276" w:type="dxa"/>
            <w:vAlign w:val="center"/>
          </w:tcPr>
          <w:p w14:paraId="74F96D4A">
            <w:pPr>
              <w:pStyle w:val="12"/>
            </w:pPr>
            <w:r>
              <w:t xml:space="preserve"> </w:t>
            </w:r>
          </w:p>
        </w:tc>
      </w:tr>
      <w:tr w14:paraId="57F14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CE8FB"/>
        </w:tc>
        <w:tc>
          <w:tcPr>
            <w:tcW w:w="14033" w:type="dxa"/>
            <w:gridSpan w:val="6"/>
            <w:vAlign w:val="center"/>
          </w:tcPr>
          <w:p w14:paraId="4CF70223">
            <w:pPr>
              <w:pStyle w:val="12"/>
            </w:pPr>
            <w:r>
              <w:t>保障义务教育学校正常运转，完成教育教学活动和其他日常工作任务等方面的费用支出。</w:t>
            </w:r>
          </w:p>
        </w:tc>
      </w:tr>
      <w:tr w14:paraId="5DA7F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2C3C0">
            <w:pPr>
              <w:pStyle w:val="10"/>
            </w:pPr>
            <w:r>
              <w:t>资金支出计划（%）</w:t>
            </w:r>
          </w:p>
        </w:tc>
        <w:tc>
          <w:tcPr>
            <w:tcW w:w="5103" w:type="dxa"/>
            <w:gridSpan w:val="2"/>
            <w:vAlign w:val="center"/>
          </w:tcPr>
          <w:p w14:paraId="6437159B">
            <w:pPr>
              <w:pStyle w:val="10"/>
            </w:pPr>
            <w:r>
              <w:t>3月底</w:t>
            </w:r>
          </w:p>
        </w:tc>
        <w:tc>
          <w:tcPr>
            <w:tcW w:w="2835" w:type="dxa"/>
            <w:vAlign w:val="center"/>
          </w:tcPr>
          <w:p w14:paraId="2874D66E">
            <w:pPr>
              <w:pStyle w:val="10"/>
            </w:pPr>
            <w:r>
              <w:t>6月底</w:t>
            </w:r>
          </w:p>
        </w:tc>
        <w:tc>
          <w:tcPr>
            <w:tcW w:w="2551" w:type="dxa"/>
            <w:vAlign w:val="center"/>
          </w:tcPr>
          <w:p w14:paraId="17476353">
            <w:pPr>
              <w:pStyle w:val="10"/>
            </w:pPr>
            <w:r>
              <w:t>10月底</w:t>
            </w:r>
          </w:p>
        </w:tc>
        <w:tc>
          <w:tcPr>
            <w:tcW w:w="3544" w:type="dxa"/>
            <w:gridSpan w:val="2"/>
            <w:vAlign w:val="center"/>
          </w:tcPr>
          <w:p w14:paraId="1E8ACB4A">
            <w:pPr>
              <w:pStyle w:val="10"/>
            </w:pPr>
            <w:r>
              <w:t>12月底</w:t>
            </w:r>
          </w:p>
        </w:tc>
      </w:tr>
      <w:tr w14:paraId="32BBA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CFD43"/>
        </w:tc>
        <w:tc>
          <w:tcPr>
            <w:tcW w:w="5103" w:type="dxa"/>
            <w:gridSpan w:val="2"/>
            <w:vAlign w:val="center"/>
          </w:tcPr>
          <w:p w14:paraId="3A1DCBAE">
            <w:pPr>
              <w:pStyle w:val="13"/>
            </w:pPr>
            <w:r>
              <w:t>25%</w:t>
            </w:r>
          </w:p>
        </w:tc>
        <w:tc>
          <w:tcPr>
            <w:tcW w:w="2835" w:type="dxa"/>
            <w:vAlign w:val="center"/>
          </w:tcPr>
          <w:p w14:paraId="1E8DEADA">
            <w:pPr>
              <w:pStyle w:val="13"/>
            </w:pPr>
            <w:r>
              <w:t>50%</w:t>
            </w:r>
          </w:p>
        </w:tc>
        <w:tc>
          <w:tcPr>
            <w:tcW w:w="2551" w:type="dxa"/>
            <w:vAlign w:val="center"/>
          </w:tcPr>
          <w:p w14:paraId="0E69C55C">
            <w:pPr>
              <w:pStyle w:val="13"/>
            </w:pPr>
            <w:r>
              <w:t>75%</w:t>
            </w:r>
          </w:p>
        </w:tc>
        <w:tc>
          <w:tcPr>
            <w:tcW w:w="3544" w:type="dxa"/>
            <w:gridSpan w:val="2"/>
            <w:vAlign w:val="center"/>
          </w:tcPr>
          <w:p w14:paraId="6B0EC399">
            <w:pPr>
              <w:pStyle w:val="13"/>
            </w:pPr>
            <w:r>
              <w:t>100%</w:t>
            </w:r>
          </w:p>
        </w:tc>
      </w:tr>
      <w:tr w14:paraId="066BA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A6E5A">
            <w:pPr>
              <w:pStyle w:val="10"/>
            </w:pPr>
            <w:r>
              <w:t>绩效目标</w:t>
            </w:r>
          </w:p>
        </w:tc>
        <w:tc>
          <w:tcPr>
            <w:tcW w:w="14033" w:type="dxa"/>
            <w:gridSpan w:val="6"/>
            <w:vAlign w:val="center"/>
          </w:tcPr>
          <w:p w14:paraId="29F3B637">
            <w:pPr>
              <w:pStyle w:val="12"/>
            </w:pPr>
            <w:r>
              <w:t>1.保障义务教育学校正常运转，完成教育教学活动和其他日常工作任务等方面的费用支出。</w:t>
            </w:r>
          </w:p>
          <w:p w14:paraId="31E7972C">
            <w:pPr>
              <w:pStyle w:val="12"/>
            </w:pPr>
            <w:r>
              <w:t>2.按季度分批次拨付公用经费资金463900元，资金拨付率达到100%。</w:t>
            </w:r>
          </w:p>
        </w:tc>
      </w:tr>
    </w:tbl>
    <w:p w14:paraId="1D3AE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4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21B53">
            <w:pPr>
              <w:pStyle w:val="10"/>
            </w:pPr>
            <w:r>
              <w:t>一级指标</w:t>
            </w:r>
          </w:p>
        </w:tc>
        <w:tc>
          <w:tcPr>
            <w:tcW w:w="2268" w:type="dxa"/>
            <w:vAlign w:val="center"/>
          </w:tcPr>
          <w:p w14:paraId="500A148F">
            <w:pPr>
              <w:pStyle w:val="10"/>
            </w:pPr>
            <w:r>
              <w:t>二级指标</w:t>
            </w:r>
          </w:p>
        </w:tc>
        <w:tc>
          <w:tcPr>
            <w:tcW w:w="2835" w:type="dxa"/>
            <w:vAlign w:val="center"/>
          </w:tcPr>
          <w:p w14:paraId="6240C477">
            <w:pPr>
              <w:pStyle w:val="10"/>
            </w:pPr>
            <w:r>
              <w:t>三级指标</w:t>
            </w:r>
          </w:p>
        </w:tc>
        <w:tc>
          <w:tcPr>
            <w:tcW w:w="5386" w:type="dxa"/>
            <w:vAlign w:val="center"/>
          </w:tcPr>
          <w:p w14:paraId="2E78EBB8">
            <w:pPr>
              <w:pStyle w:val="10"/>
            </w:pPr>
            <w:r>
              <w:t>绩效指标描述</w:t>
            </w:r>
          </w:p>
        </w:tc>
        <w:tc>
          <w:tcPr>
            <w:tcW w:w="2268" w:type="dxa"/>
            <w:vAlign w:val="center"/>
          </w:tcPr>
          <w:p w14:paraId="13BA2B4E">
            <w:pPr>
              <w:pStyle w:val="10"/>
            </w:pPr>
            <w:r>
              <w:t>指标值</w:t>
            </w:r>
          </w:p>
        </w:tc>
        <w:tc>
          <w:tcPr>
            <w:tcW w:w="1276" w:type="dxa"/>
            <w:vAlign w:val="center"/>
          </w:tcPr>
          <w:p w14:paraId="43329CE6">
            <w:pPr>
              <w:pStyle w:val="10"/>
            </w:pPr>
            <w:r>
              <w:t>指标值确定依据</w:t>
            </w:r>
          </w:p>
        </w:tc>
      </w:tr>
      <w:tr w14:paraId="4F57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C553C">
            <w:pPr>
              <w:pStyle w:val="13"/>
            </w:pPr>
            <w:r>
              <w:t>产出指标</w:t>
            </w:r>
          </w:p>
        </w:tc>
        <w:tc>
          <w:tcPr>
            <w:tcW w:w="2268" w:type="dxa"/>
            <w:vAlign w:val="center"/>
          </w:tcPr>
          <w:p w14:paraId="476AF4DD">
            <w:pPr>
              <w:pStyle w:val="12"/>
            </w:pPr>
            <w:r>
              <w:t>数量指标</w:t>
            </w:r>
          </w:p>
        </w:tc>
        <w:tc>
          <w:tcPr>
            <w:tcW w:w="2835" w:type="dxa"/>
            <w:vAlign w:val="center"/>
          </w:tcPr>
          <w:p w14:paraId="70A58C82">
            <w:pPr>
              <w:pStyle w:val="12"/>
            </w:pPr>
            <w:r>
              <w:t>适龄在校生</w:t>
            </w:r>
          </w:p>
        </w:tc>
        <w:tc>
          <w:tcPr>
            <w:tcW w:w="5386" w:type="dxa"/>
            <w:vAlign w:val="center"/>
          </w:tcPr>
          <w:p w14:paraId="26D88759">
            <w:pPr>
              <w:pStyle w:val="12"/>
            </w:pPr>
            <w:r>
              <w:t>适龄在校就读学生人数</w:t>
            </w:r>
          </w:p>
        </w:tc>
        <w:tc>
          <w:tcPr>
            <w:tcW w:w="2268" w:type="dxa"/>
            <w:vAlign w:val="center"/>
          </w:tcPr>
          <w:p w14:paraId="0134AE47">
            <w:pPr>
              <w:pStyle w:val="12"/>
            </w:pPr>
            <w:r>
              <w:t>836人</w:t>
            </w:r>
          </w:p>
        </w:tc>
        <w:tc>
          <w:tcPr>
            <w:tcW w:w="1276" w:type="dxa"/>
            <w:vAlign w:val="center"/>
          </w:tcPr>
          <w:p w14:paraId="3E050237">
            <w:pPr>
              <w:pStyle w:val="12"/>
            </w:pPr>
            <w:r>
              <w:t>城乡义务教育公用经费管理办法</w:t>
            </w:r>
          </w:p>
        </w:tc>
      </w:tr>
      <w:tr w14:paraId="3DF2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91CB1"/>
        </w:tc>
        <w:tc>
          <w:tcPr>
            <w:tcW w:w="2268" w:type="dxa"/>
            <w:vAlign w:val="center"/>
          </w:tcPr>
          <w:p w14:paraId="2806F180">
            <w:pPr>
              <w:pStyle w:val="12"/>
            </w:pPr>
            <w:r>
              <w:t>质量指标</w:t>
            </w:r>
          </w:p>
        </w:tc>
        <w:tc>
          <w:tcPr>
            <w:tcW w:w="2835" w:type="dxa"/>
            <w:vAlign w:val="center"/>
          </w:tcPr>
          <w:p w14:paraId="09465719">
            <w:pPr>
              <w:pStyle w:val="12"/>
            </w:pPr>
            <w:r>
              <w:t>公用经费拨付完成率</w:t>
            </w:r>
          </w:p>
        </w:tc>
        <w:tc>
          <w:tcPr>
            <w:tcW w:w="5386" w:type="dxa"/>
            <w:vAlign w:val="center"/>
          </w:tcPr>
          <w:p w14:paraId="60BFFE05">
            <w:pPr>
              <w:pStyle w:val="12"/>
            </w:pPr>
            <w:r>
              <w:t>公用经费拨付完成率达到需时进度</w:t>
            </w:r>
          </w:p>
        </w:tc>
        <w:tc>
          <w:tcPr>
            <w:tcW w:w="2268" w:type="dxa"/>
            <w:vAlign w:val="center"/>
          </w:tcPr>
          <w:p w14:paraId="52131A16">
            <w:pPr>
              <w:pStyle w:val="12"/>
            </w:pPr>
            <w:r>
              <w:t>100%</w:t>
            </w:r>
          </w:p>
        </w:tc>
        <w:tc>
          <w:tcPr>
            <w:tcW w:w="1276" w:type="dxa"/>
            <w:vAlign w:val="center"/>
          </w:tcPr>
          <w:p w14:paraId="506A1571">
            <w:pPr>
              <w:pStyle w:val="12"/>
            </w:pPr>
            <w:r>
              <w:t>城乡义务教育公用经费管理办法</w:t>
            </w:r>
          </w:p>
        </w:tc>
      </w:tr>
      <w:tr w14:paraId="4477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2EDBB"/>
        </w:tc>
        <w:tc>
          <w:tcPr>
            <w:tcW w:w="2268" w:type="dxa"/>
            <w:vAlign w:val="center"/>
          </w:tcPr>
          <w:p w14:paraId="4CF53A11">
            <w:pPr>
              <w:pStyle w:val="12"/>
            </w:pPr>
            <w:r>
              <w:t>时效指标</w:t>
            </w:r>
          </w:p>
        </w:tc>
        <w:tc>
          <w:tcPr>
            <w:tcW w:w="2835" w:type="dxa"/>
            <w:vAlign w:val="center"/>
          </w:tcPr>
          <w:p w14:paraId="07FD1A31">
            <w:pPr>
              <w:pStyle w:val="12"/>
            </w:pPr>
            <w:r>
              <w:t>资金支付率</w:t>
            </w:r>
          </w:p>
        </w:tc>
        <w:tc>
          <w:tcPr>
            <w:tcW w:w="5386" w:type="dxa"/>
            <w:vAlign w:val="center"/>
          </w:tcPr>
          <w:p w14:paraId="5F3A5442">
            <w:pPr>
              <w:pStyle w:val="12"/>
            </w:pPr>
            <w:r>
              <w:t>按照序时进度完成资金支付</w:t>
            </w:r>
          </w:p>
        </w:tc>
        <w:tc>
          <w:tcPr>
            <w:tcW w:w="2268" w:type="dxa"/>
            <w:vAlign w:val="center"/>
          </w:tcPr>
          <w:p w14:paraId="59157FC3">
            <w:pPr>
              <w:pStyle w:val="12"/>
            </w:pPr>
            <w:r>
              <w:t>100%</w:t>
            </w:r>
          </w:p>
        </w:tc>
        <w:tc>
          <w:tcPr>
            <w:tcW w:w="1276" w:type="dxa"/>
            <w:vAlign w:val="center"/>
          </w:tcPr>
          <w:p w14:paraId="6108D970">
            <w:pPr>
              <w:pStyle w:val="12"/>
            </w:pPr>
            <w:r>
              <w:t>城乡义务教育公用经费管理办法</w:t>
            </w:r>
          </w:p>
        </w:tc>
      </w:tr>
      <w:tr w14:paraId="51A6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1B510"/>
        </w:tc>
        <w:tc>
          <w:tcPr>
            <w:tcW w:w="2268" w:type="dxa"/>
            <w:vAlign w:val="center"/>
          </w:tcPr>
          <w:p w14:paraId="75DFDF97">
            <w:pPr>
              <w:pStyle w:val="12"/>
            </w:pPr>
            <w:r>
              <w:t>成本指标</w:t>
            </w:r>
          </w:p>
        </w:tc>
        <w:tc>
          <w:tcPr>
            <w:tcW w:w="2835" w:type="dxa"/>
            <w:vAlign w:val="center"/>
          </w:tcPr>
          <w:p w14:paraId="4B8417BC">
            <w:pPr>
              <w:pStyle w:val="12"/>
            </w:pPr>
            <w:r>
              <w:t>生均拨款标准</w:t>
            </w:r>
          </w:p>
        </w:tc>
        <w:tc>
          <w:tcPr>
            <w:tcW w:w="5386" w:type="dxa"/>
            <w:vAlign w:val="center"/>
          </w:tcPr>
          <w:p w14:paraId="5E0F8693">
            <w:pPr>
              <w:pStyle w:val="12"/>
            </w:pPr>
            <w:r>
              <w:t>小学：（基本标准720元、寄宿生300元、取暖费120元）/生/学年；特教、随班就读学生：标准7000元/生/学年。</w:t>
            </w:r>
          </w:p>
        </w:tc>
        <w:tc>
          <w:tcPr>
            <w:tcW w:w="2268" w:type="dxa"/>
            <w:vAlign w:val="center"/>
          </w:tcPr>
          <w:p w14:paraId="764BEE89">
            <w:pPr>
              <w:pStyle w:val="12"/>
            </w:pPr>
            <w:r>
              <w:t>840元</w:t>
            </w:r>
          </w:p>
        </w:tc>
        <w:tc>
          <w:tcPr>
            <w:tcW w:w="1276" w:type="dxa"/>
            <w:vAlign w:val="center"/>
          </w:tcPr>
          <w:p w14:paraId="1AF5D667">
            <w:pPr>
              <w:pStyle w:val="12"/>
            </w:pPr>
            <w:r>
              <w:t>城乡义务教育公用经费管理办法</w:t>
            </w:r>
          </w:p>
        </w:tc>
      </w:tr>
      <w:tr w14:paraId="5B815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932BE">
            <w:pPr>
              <w:pStyle w:val="13"/>
            </w:pPr>
            <w:r>
              <w:t>效益指标</w:t>
            </w:r>
          </w:p>
        </w:tc>
        <w:tc>
          <w:tcPr>
            <w:tcW w:w="2268" w:type="dxa"/>
            <w:vAlign w:val="center"/>
          </w:tcPr>
          <w:p w14:paraId="3F9E9D5A">
            <w:pPr>
              <w:pStyle w:val="12"/>
            </w:pPr>
            <w:r>
              <w:t>经济效益指标</w:t>
            </w:r>
          </w:p>
        </w:tc>
        <w:tc>
          <w:tcPr>
            <w:tcW w:w="2835" w:type="dxa"/>
            <w:vAlign w:val="center"/>
          </w:tcPr>
          <w:p w14:paraId="3835A33F">
            <w:pPr>
              <w:pStyle w:val="12"/>
            </w:pPr>
            <w:r>
              <w:t>项目实施成果</w:t>
            </w:r>
          </w:p>
        </w:tc>
        <w:tc>
          <w:tcPr>
            <w:tcW w:w="5386" w:type="dxa"/>
            <w:vAlign w:val="center"/>
          </w:tcPr>
          <w:p w14:paraId="2F6887B4">
            <w:pPr>
              <w:pStyle w:val="12"/>
            </w:pPr>
            <w:r>
              <w:t>减轻受教育学生家庭经济负担</w:t>
            </w:r>
          </w:p>
        </w:tc>
        <w:tc>
          <w:tcPr>
            <w:tcW w:w="2268" w:type="dxa"/>
            <w:vAlign w:val="center"/>
          </w:tcPr>
          <w:p w14:paraId="3D3BAD6F">
            <w:pPr>
              <w:pStyle w:val="12"/>
            </w:pPr>
            <w:r>
              <w:t>100%</w:t>
            </w:r>
          </w:p>
        </w:tc>
        <w:tc>
          <w:tcPr>
            <w:tcW w:w="1276" w:type="dxa"/>
            <w:vAlign w:val="center"/>
          </w:tcPr>
          <w:p w14:paraId="15437854">
            <w:pPr>
              <w:pStyle w:val="12"/>
            </w:pPr>
            <w:r>
              <w:t>城乡义务教育公用经费管理办法</w:t>
            </w:r>
          </w:p>
        </w:tc>
      </w:tr>
      <w:tr w14:paraId="1CA4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37BA2"/>
        </w:tc>
        <w:tc>
          <w:tcPr>
            <w:tcW w:w="2268" w:type="dxa"/>
            <w:vAlign w:val="center"/>
          </w:tcPr>
          <w:p w14:paraId="09F12245">
            <w:pPr>
              <w:pStyle w:val="12"/>
            </w:pPr>
            <w:r>
              <w:t>社会效益指标</w:t>
            </w:r>
          </w:p>
        </w:tc>
        <w:tc>
          <w:tcPr>
            <w:tcW w:w="2835" w:type="dxa"/>
            <w:vAlign w:val="center"/>
          </w:tcPr>
          <w:p w14:paraId="21D37D9E">
            <w:pPr>
              <w:pStyle w:val="12"/>
            </w:pPr>
            <w:r>
              <w:t>学校办学能力提升</w:t>
            </w:r>
          </w:p>
        </w:tc>
        <w:tc>
          <w:tcPr>
            <w:tcW w:w="5386" w:type="dxa"/>
            <w:vAlign w:val="center"/>
          </w:tcPr>
          <w:p w14:paraId="26F859AA">
            <w:pPr>
              <w:pStyle w:val="12"/>
            </w:pPr>
            <w:r>
              <w:t>学校办学能</w:t>
            </w:r>
            <w:r>
              <w:rPr>
                <w:rFonts w:hint="eastAsia"/>
                <w:lang w:eastAsia="zh-CN"/>
              </w:rPr>
              <w:t>力提</w:t>
            </w:r>
            <w:r>
              <w:t>升情况及教育教学工作等开展的情况</w:t>
            </w:r>
          </w:p>
        </w:tc>
        <w:tc>
          <w:tcPr>
            <w:tcW w:w="2268" w:type="dxa"/>
            <w:vAlign w:val="center"/>
          </w:tcPr>
          <w:p w14:paraId="27A198C3">
            <w:pPr>
              <w:pStyle w:val="12"/>
            </w:pPr>
            <w:r>
              <w:t>100%</w:t>
            </w:r>
          </w:p>
        </w:tc>
        <w:tc>
          <w:tcPr>
            <w:tcW w:w="1276" w:type="dxa"/>
            <w:vAlign w:val="center"/>
          </w:tcPr>
          <w:p w14:paraId="35A3E761">
            <w:pPr>
              <w:pStyle w:val="12"/>
            </w:pPr>
            <w:r>
              <w:t>城乡义务教育公用经费管理办法</w:t>
            </w:r>
          </w:p>
        </w:tc>
      </w:tr>
      <w:tr w14:paraId="155E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52A5E"/>
        </w:tc>
        <w:tc>
          <w:tcPr>
            <w:tcW w:w="2268" w:type="dxa"/>
            <w:vAlign w:val="center"/>
          </w:tcPr>
          <w:p w14:paraId="3C99E3A9">
            <w:pPr>
              <w:pStyle w:val="12"/>
            </w:pPr>
            <w:r>
              <w:t>可持续影响指标</w:t>
            </w:r>
          </w:p>
        </w:tc>
        <w:tc>
          <w:tcPr>
            <w:tcW w:w="2835" w:type="dxa"/>
            <w:vAlign w:val="center"/>
          </w:tcPr>
          <w:p w14:paraId="180E4434">
            <w:pPr>
              <w:pStyle w:val="12"/>
            </w:pPr>
            <w:r>
              <w:t>教育发展水平</w:t>
            </w:r>
          </w:p>
        </w:tc>
        <w:tc>
          <w:tcPr>
            <w:tcW w:w="5386" w:type="dxa"/>
            <w:vAlign w:val="center"/>
          </w:tcPr>
          <w:p w14:paraId="37201F7B">
            <w:pPr>
              <w:pStyle w:val="12"/>
            </w:pPr>
            <w:r>
              <w:t>辖区内教育环境明显好转</w:t>
            </w:r>
          </w:p>
        </w:tc>
        <w:tc>
          <w:tcPr>
            <w:tcW w:w="2268" w:type="dxa"/>
            <w:vAlign w:val="center"/>
          </w:tcPr>
          <w:p w14:paraId="066A000E">
            <w:pPr>
              <w:pStyle w:val="12"/>
            </w:pPr>
            <w:r>
              <w:t>100%</w:t>
            </w:r>
          </w:p>
        </w:tc>
        <w:tc>
          <w:tcPr>
            <w:tcW w:w="1276" w:type="dxa"/>
            <w:vAlign w:val="center"/>
          </w:tcPr>
          <w:p w14:paraId="075A4744">
            <w:pPr>
              <w:pStyle w:val="12"/>
            </w:pPr>
            <w:r>
              <w:t>城乡义务教育公用经费管理办法</w:t>
            </w:r>
          </w:p>
        </w:tc>
      </w:tr>
      <w:tr w14:paraId="2BCC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7885D">
            <w:pPr>
              <w:pStyle w:val="13"/>
            </w:pPr>
            <w:r>
              <w:t>满意度指标</w:t>
            </w:r>
          </w:p>
        </w:tc>
        <w:tc>
          <w:tcPr>
            <w:tcW w:w="2268" w:type="dxa"/>
            <w:vAlign w:val="center"/>
          </w:tcPr>
          <w:p w14:paraId="5A4A6677">
            <w:pPr>
              <w:pStyle w:val="12"/>
            </w:pPr>
            <w:r>
              <w:t>服务对象满意度指标</w:t>
            </w:r>
          </w:p>
        </w:tc>
        <w:tc>
          <w:tcPr>
            <w:tcW w:w="2835" w:type="dxa"/>
            <w:vAlign w:val="center"/>
          </w:tcPr>
          <w:p w14:paraId="65FC903F">
            <w:pPr>
              <w:pStyle w:val="12"/>
            </w:pPr>
            <w:r>
              <w:t>受益学生家长及调查满意度</w:t>
            </w:r>
          </w:p>
        </w:tc>
        <w:tc>
          <w:tcPr>
            <w:tcW w:w="5386" w:type="dxa"/>
            <w:vAlign w:val="center"/>
          </w:tcPr>
          <w:p w14:paraId="6DB4E58F">
            <w:pPr>
              <w:pStyle w:val="12"/>
            </w:pPr>
            <w:r>
              <w:t>学生、教师及家长对学校保教保育工作满意度情况</w:t>
            </w:r>
          </w:p>
        </w:tc>
        <w:tc>
          <w:tcPr>
            <w:tcW w:w="2268" w:type="dxa"/>
            <w:vAlign w:val="center"/>
          </w:tcPr>
          <w:p w14:paraId="63D8FAC4">
            <w:pPr>
              <w:pStyle w:val="12"/>
            </w:pPr>
            <w:r>
              <w:t>≥95%</w:t>
            </w:r>
          </w:p>
        </w:tc>
        <w:tc>
          <w:tcPr>
            <w:tcW w:w="1276" w:type="dxa"/>
            <w:vAlign w:val="center"/>
          </w:tcPr>
          <w:p w14:paraId="76E15792">
            <w:pPr>
              <w:pStyle w:val="12"/>
            </w:pPr>
            <w:r>
              <w:t>城乡义务教育公用经费管理办法</w:t>
            </w:r>
          </w:p>
        </w:tc>
      </w:tr>
    </w:tbl>
    <w:p w14:paraId="7535574A">
      <w:pPr>
        <w:sectPr>
          <w:pgSz w:w="16840" w:h="11900" w:orient="landscape"/>
          <w:pgMar w:top="1361" w:right="1020" w:bottom="1134" w:left="1020" w:header="720" w:footer="720" w:gutter="0"/>
          <w:cols w:space="720" w:num="1"/>
        </w:sectPr>
      </w:pPr>
    </w:p>
    <w:p w14:paraId="146FCC39">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5、冀财教[2025]121号/中央/2026年义教补助经费/东良校区大市口小学公用经费绩效目标表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F8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68D8E">
            <w:pPr>
              <w:pStyle w:val="11"/>
            </w:pPr>
            <w:r>
              <w:t>单位：万元</w:t>
            </w:r>
          </w:p>
        </w:tc>
      </w:tr>
      <w:tr w14:paraId="4A686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0927D">
            <w:pPr>
              <w:pStyle w:val="10"/>
            </w:pPr>
            <w:r>
              <w:t>项目编码</w:t>
            </w:r>
          </w:p>
        </w:tc>
        <w:tc>
          <w:tcPr>
            <w:tcW w:w="5103" w:type="dxa"/>
            <w:gridSpan w:val="2"/>
            <w:vAlign w:val="center"/>
          </w:tcPr>
          <w:p w14:paraId="5192648A">
            <w:pPr>
              <w:pStyle w:val="12"/>
            </w:pPr>
            <w:r>
              <w:t>13052526P000004102800</w:t>
            </w:r>
          </w:p>
        </w:tc>
        <w:tc>
          <w:tcPr>
            <w:tcW w:w="2835" w:type="dxa"/>
            <w:vAlign w:val="center"/>
          </w:tcPr>
          <w:p w14:paraId="0223544C">
            <w:pPr>
              <w:pStyle w:val="10"/>
            </w:pPr>
            <w:r>
              <w:t>项目名称</w:t>
            </w:r>
          </w:p>
        </w:tc>
        <w:tc>
          <w:tcPr>
            <w:tcW w:w="6095" w:type="dxa"/>
            <w:gridSpan w:val="3"/>
            <w:vAlign w:val="center"/>
          </w:tcPr>
          <w:p w14:paraId="72FEC08D">
            <w:pPr>
              <w:pStyle w:val="12"/>
            </w:pPr>
            <w:r>
              <w:t>冀财教[2025]121号/中央/2026年义教补助经费/东良校区大市口小学公用经费</w:t>
            </w:r>
          </w:p>
        </w:tc>
      </w:tr>
      <w:tr w14:paraId="3B15B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3DC8D">
            <w:pPr>
              <w:pStyle w:val="10"/>
            </w:pPr>
            <w:r>
              <w:t>预算规模及资金用途</w:t>
            </w:r>
          </w:p>
        </w:tc>
        <w:tc>
          <w:tcPr>
            <w:tcW w:w="2268" w:type="dxa"/>
            <w:vAlign w:val="center"/>
          </w:tcPr>
          <w:p w14:paraId="4777E579">
            <w:pPr>
              <w:pStyle w:val="10"/>
            </w:pPr>
            <w:r>
              <w:t>预算数</w:t>
            </w:r>
          </w:p>
        </w:tc>
        <w:tc>
          <w:tcPr>
            <w:tcW w:w="2835" w:type="dxa"/>
            <w:vAlign w:val="center"/>
          </w:tcPr>
          <w:p w14:paraId="2CEF002F">
            <w:pPr>
              <w:pStyle w:val="12"/>
            </w:pPr>
            <w:r>
              <w:t>5.79</w:t>
            </w:r>
          </w:p>
        </w:tc>
        <w:tc>
          <w:tcPr>
            <w:tcW w:w="2835" w:type="dxa"/>
            <w:vAlign w:val="center"/>
          </w:tcPr>
          <w:p w14:paraId="4EDAF94B">
            <w:pPr>
              <w:pStyle w:val="10"/>
            </w:pPr>
            <w:r>
              <w:t>其中：财政    资金</w:t>
            </w:r>
          </w:p>
        </w:tc>
        <w:tc>
          <w:tcPr>
            <w:tcW w:w="2551" w:type="dxa"/>
            <w:vAlign w:val="center"/>
          </w:tcPr>
          <w:p w14:paraId="351D73CF">
            <w:pPr>
              <w:pStyle w:val="12"/>
            </w:pPr>
            <w:r>
              <w:t>5.79</w:t>
            </w:r>
          </w:p>
        </w:tc>
        <w:tc>
          <w:tcPr>
            <w:tcW w:w="2268" w:type="dxa"/>
            <w:vAlign w:val="center"/>
          </w:tcPr>
          <w:p w14:paraId="3A066677">
            <w:pPr>
              <w:pStyle w:val="10"/>
            </w:pPr>
            <w:r>
              <w:t>其他资金</w:t>
            </w:r>
          </w:p>
        </w:tc>
        <w:tc>
          <w:tcPr>
            <w:tcW w:w="1276" w:type="dxa"/>
            <w:vAlign w:val="center"/>
          </w:tcPr>
          <w:p w14:paraId="1A901F03">
            <w:pPr>
              <w:pStyle w:val="12"/>
            </w:pPr>
            <w:r>
              <w:t xml:space="preserve"> </w:t>
            </w:r>
          </w:p>
        </w:tc>
      </w:tr>
      <w:tr w14:paraId="68A4D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82996"/>
        </w:tc>
        <w:tc>
          <w:tcPr>
            <w:tcW w:w="14033" w:type="dxa"/>
            <w:gridSpan w:val="6"/>
            <w:vAlign w:val="center"/>
          </w:tcPr>
          <w:p w14:paraId="287FE605">
            <w:pPr>
              <w:pStyle w:val="12"/>
            </w:pPr>
            <w:r>
              <w:t>保障义务教育学校正常运转，完成教育教学活动和其他日常工作任务等方面的费用支出。</w:t>
            </w:r>
          </w:p>
        </w:tc>
      </w:tr>
      <w:tr w14:paraId="34C98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26A17">
            <w:pPr>
              <w:pStyle w:val="10"/>
            </w:pPr>
            <w:r>
              <w:t>资金支出计划（%）</w:t>
            </w:r>
          </w:p>
        </w:tc>
        <w:tc>
          <w:tcPr>
            <w:tcW w:w="5103" w:type="dxa"/>
            <w:gridSpan w:val="2"/>
            <w:vAlign w:val="center"/>
          </w:tcPr>
          <w:p w14:paraId="08B6EF72">
            <w:pPr>
              <w:pStyle w:val="10"/>
            </w:pPr>
            <w:r>
              <w:t>3月底</w:t>
            </w:r>
          </w:p>
        </w:tc>
        <w:tc>
          <w:tcPr>
            <w:tcW w:w="2835" w:type="dxa"/>
            <w:vAlign w:val="center"/>
          </w:tcPr>
          <w:p w14:paraId="408B77C7">
            <w:pPr>
              <w:pStyle w:val="10"/>
            </w:pPr>
            <w:r>
              <w:t>6月底</w:t>
            </w:r>
          </w:p>
        </w:tc>
        <w:tc>
          <w:tcPr>
            <w:tcW w:w="2551" w:type="dxa"/>
            <w:vAlign w:val="center"/>
          </w:tcPr>
          <w:p w14:paraId="04554E8C">
            <w:pPr>
              <w:pStyle w:val="10"/>
            </w:pPr>
            <w:r>
              <w:t>10月底</w:t>
            </w:r>
          </w:p>
        </w:tc>
        <w:tc>
          <w:tcPr>
            <w:tcW w:w="3544" w:type="dxa"/>
            <w:gridSpan w:val="2"/>
            <w:vAlign w:val="center"/>
          </w:tcPr>
          <w:p w14:paraId="18155967">
            <w:pPr>
              <w:pStyle w:val="10"/>
            </w:pPr>
            <w:r>
              <w:t>12月底</w:t>
            </w:r>
          </w:p>
        </w:tc>
      </w:tr>
      <w:tr w14:paraId="6587D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24352"/>
        </w:tc>
        <w:tc>
          <w:tcPr>
            <w:tcW w:w="5103" w:type="dxa"/>
            <w:gridSpan w:val="2"/>
            <w:vAlign w:val="center"/>
          </w:tcPr>
          <w:p w14:paraId="0423D319">
            <w:pPr>
              <w:pStyle w:val="13"/>
            </w:pPr>
            <w:r>
              <w:t>25%</w:t>
            </w:r>
          </w:p>
        </w:tc>
        <w:tc>
          <w:tcPr>
            <w:tcW w:w="2835" w:type="dxa"/>
            <w:vAlign w:val="center"/>
          </w:tcPr>
          <w:p w14:paraId="2CD2FBF1">
            <w:pPr>
              <w:pStyle w:val="13"/>
            </w:pPr>
            <w:r>
              <w:t>50%</w:t>
            </w:r>
          </w:p>
        </w:tc>
        <w:tc>
          <w:tcPr>
            <w:tcW w:w="2551" w:type="dxa"/>
            <w:vAlign w:val="center"/>
          </w:tcPr>
          <w:p w14:paraId="7120D2DB">
            <w:pPr>
              <w:pStyle w:val="13"/>
            </w:pPr>
            <w:r>
              <w:t>75%</w:t>
            </w:r>
          </w:p>
        </w:tc>
        <w:tc>
          <w:tcPr>
            <w:tcW w:w="3544" w:type="dxa"/>
            <w:gridSpan w:val="2"/>
            <w:vAlign w:val="center"/>
          </w:tcPr>
          <w:p w14:paraId="1325DD91">
            <w:pPr>
              <w:pStyle w:val="13"/>
            </w:pPr>
            <w:r>
              <w:t>100%</w:t>
            </w:r>
          </w:p>
        </w:tc>
      </w:tr>
      <w:tr w14:paraId="1843A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F78A5">
            <w:pPr>
              <w:pStyle w:val="10"/>
            </w:pPr>
            <w:r>
              <w:t>绩效目标</w:t>
            </w:r>
          </w:p>
        </w:tc>
        <w:tc>
          <w:tcPr>
            <w:tcW w:w="14033" w:type="dxa"/>
            <w:gridSpan w:val="6"/>
            <w:vAlign w:val="center"/>
          </w:tcPr>
          <w:p w14:paraId="194D762A">
            <w:pPr>
              <w:pStyle w:val="12"/>
            </w:pPr>
            <w:r>
              <w:t>1.保障义务教育学校正常运转，完成教育教学活动和其他日常工作任务等方面的费用支出。</w:t>
            </w:r>
          </w:p>
          <w:p w14:paraId="43A33643">
            <w:pPr>
              <w:pStyle w:val="12"/>
            </w:pPr>
            <w:r>
              <w:t>2.按季度分批次拨付公用经费资金57900元，资金拨付率达到100%。</w:t>
            </w:r>
          </w:p>
        </w:tc>
      </w:tr>
    </w:tbl>
    <w:p w14:paraId="6F3D9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A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86114">
            <w:pPr>
              <w:pStyle w:val="10"/>
            </w:pPr>
            <w:r>
              <w:t>一级指标</w:t>
            </w:r>
          </w:p>
        </w:tc>
        <w:tc>
          <w:tcPr>
            <w:tcW w:w="2268" w:type="dxa"/>
            <w:vAlign w:val="center"/>
          </w:tcPr>
          <w:p w14:paraId="183B51EE">
            <w:pPr>
              <w:pStyle w:val="10"/>
            </w:pPr>
            <w:r>
              <w:t>二级指标</w:t>
            </w:r>
          </w:p>
        </w:tc>
        <w:tc>
          <w:tcPr>
            <w:tcW w:w="2835" w:type="dxa"/>
            <w:vAlign w:val="center"/>
          </w:tcPr>
          <w:p w14:paraId="42913B0A">
            <w:pPr>
              <w:pStyle w:val="10"/>
            </w:pPr>
            <w:r>
              <w:t>三级指标</w:t>
            </w:r>
          </w:p>
        </w:tc>
        <w:tc>
          <w:tcPr>
            <w:tcW w:w="5386" w:type="dxa"/>
            <w:vAlign w:val="center"/>
          </w:tcPr>
          <w:p w14:paraId="0C21FC69">
            <w:pPr>
              <w:pStyle w:val="10"/>
            </w:pPr>
            <w:r>
              <w:t>绩效指标描述</w:t>
            </w:r>
          </w:p>
        </w:tc>
        <w:tc>
          <w:tcPr>
            <w:tcW w:w="2268" w:type="dxa"/>
            <w:vAlign w:val="center"/>
          </w:tcPr>
          <w:p w14:paraId="2549D2DA">
            <w:pPr>
              <w:pStyle w:val="10"/>
            </w:pPr>
            <w:r>
              <w:t>指标值</w:t>
            </w:r>
          </w:p>
        </w:tc>
        <w:tc>
          <w:tcPr>
            <w:tcW w:w="1276" w:type="dxa"/>
            <w:vAlign w:val="center"/>
          </w:tcPr>
          <w:p w14:paraId="6142186E">
            <w:pPr>
              <w:pStyle w:val="10"/>
            </w:pPr>
            <w:r>
              <w:t>指标值确定依据</w:t>
            </w:r>
          </w:p>
        </w:tc>
      </w:tr>
      <w:tr w14:paraId="07E0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B4828">
            <w:pPr>
              <w:pStyle w:val="13"/>
            </w:pPr>
            <w:r>
              <w:t>产出指标</w:t>
            </w:r>
          </w:p>
        </w:tc>
        <w:tc>
          <w:tcPr>
            <w:tcW w:w="2268" w:type="dxa"/>
            <w:vAlign w:val="center"/>
          </w:tcPr>
          <w:p w14:paraId="3C76B2EA">
            <w:pPr>
              <w:pStyle w:val="12"/>
            </w:pPr>
            <w:r>
              <w:t>数量指标</w:t>
            </w:r>
          </w:p>
        </w:tc>
        <w:tc>
          <w:tcPr>
            <w:tcW w:w="2835" w:type="dxa"/>
            <w:vAlign w:val="center"/>
          </w:tcPr>
          <w:p w14:paraId="3C88E17E">
            <w:pPr>
              <w:pStyle w:val="12"/>
            </w:pPr>
            <w:r>
              <w:t>适龄在校生</w:t>
            </w:r>
          </w:p>
        </w:tc>
        <w:tc>
          <w:tcPr>
            <w:tcW w:w="5386" w:type="dxa"/>
            <w:vAlign w:val="center"/>
          </w:tcPr>
          <w:p w14:paraId="04722937">
            <w:pPr>
              <w:pStyle w:val="12"/>
            </w:pPr>
            <w:r>
              <w:t>适龄在校就读学生人数</w:t>
            </w:r>
          </w:p>
        </w:tc>
        <w:tc>
          <w:tcPr>
            <w:tcW w:w="2268" w:type="dxa"/>
            <w:vAlign w:val="center"/>
          </w:tcPr>
          <w:p w14:paraId="483DB38D">
            <w:pPr>
              <w:pStyle w:val="12"/>
            </w:pPr>
            <w:r>
              <w:t>102人</w:t>
            </w:r>
          </w:p>
        </w:tc>
        <w:tc>
          <w:tcPr>
            <w:tcW w:w="1276" w:type="dxa"/>
            <w:vAlign w:val="center"/>
          </w:tcPr>
          <w:p w14:paraId="57DA5975">
            <w:pPr>
              <w:pStyle w:val="12"/>
            </w:pPr>
            <w:r>
              <w:t>城乡义务教育公用经费管理办法</w:t>
            </w:r>
          </w:p>
        </w:tc>
      </w:tr>
      <w:tr w14:paraId="3D4E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82E73"/>
        </w:tc>
        <w:tc>
          <w:tcPr>
            <w:tcW w:w="2268" w:type="dxa"/>
            <w:vAlign w:val="center"/>
          </w:tcPr>
          <w:p w14:paraId="7DF30674">
            <w:pPr>
              <w:pStyle w:val="12"/>
            </w:pPr>
            <w:r>
              <w:t>质量指标</w:t>
            </w:r>
          </w:p>
        </w:tc>
        <w:tc>
          <w:tcPr>
            <w:tcW w:w="2835" w:type="dxa"/>
            <w:vAlign w:val="center"/>
          </w:tcPr>
          <w:p w14:paraId="00B89CA6">
            <w:pPr>
              <w:pStyle w:val="12"/>
            </w:pPr>
            <w:r>
              <w:t>公用经费拨付完成率</w:t>
            </w:r>
          </w:p>
        </w:tc>
        <w:tc>
          <w:tcPr>
            <w:tcW w:w="5386" w:type="dxa"/>
            <w:vAlign w:val="center"/>
          </w:tcPr>
          <w:p w14:paraId="37998FD8">
            <w:pPr>
              <w:pStyle w:val="12"/>
            </w:pPr>
            <w:r>
              <w:t>公用经费拨付完成率达到需时进度</w:t>
            </w:r>
          </w:p>
        </w:tc>
        <w:tc>
          <w:tcPr>
            <w:tcW w:w="2268" w:type="dxa"/>
            <w:vAlign w:val="center"/>
          </w:tcPr>
          <w:p w14:paraId="1A2B640E">
            <w:pPr>
              <w:pStyle w:val="12"/>
            </w:pPr>
            <w:r>
              <w:t>100%</w:t>
            </w:r>
          </w:p>
        </w:tc>
        <w:tc>
          <w:tcPr>
            <w:tcW w:w="1276" w:type="dxa"/>
            <w:vAlign w:val="center"/>
          </w:tcPr>
          <w:p w14:paraId="5CC82057">
            <w:pPr>
              <w:pStyle w:val="12"/>
            </w:pPr>
            <w:r>
              <w:t>城乡义务教育公用经费管理办法</w:t>
            </w:r>
          </w:p>
        </w:tc>
      </w:tr>
      <w:tr w14:paraId="1154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437E7"/>
        </w:tc>
        <w:tc>
          <w:tcPr>
            <w:tcW w:w="2268" w:type="dxa"/>
            <w:vAlign w:val="center"/>
          </w:tcPr>
          <w:p w14:paraId="2851FA8C">
            <w:pPr>
              <w:pStyle w:val="12"/>
            </w:pPr>
            <w:r>
              <w:t>时效指标</w:t>
            </w:r>
          </w:p>
        </w:tc>
        <w:tc>
          <w:tcPr>
            <w:tcW w:w="2835" w:type="dxa"/>
            <w:vAlign w:val="center"/>
          </w:tcPr>
          <w:p w14:paraId="4EE26EDF">
            <w:pPr>
              <w:pStyle w:val="12"/>
            </w:pPr>
            <w:r>
              <w:t>资金支付率</w:t>
            </w:r>
          </w:p>
        </w:tc>
        <w:tc>
          <w:tcPr>
            <w:tcW w:w="5386" w:type="dxa"/>
            <w:vAlign w:val="center"/>
          </w:tcPr>
          <w:p w14:paraId="20CA1EB7">
            <w:pPr>
              <w:pStyle w:val="12"/>
            </w:pPr>
            <w:r>
              <w:t>按照序时进度完成资金支付</w:t>
            </w:r>
          </w:p>
        </w:tc>
        <w:tc>
          <w:tcPr>
            <w:tcW w:w="2268" w:type="dxa"/>
            <w:vAlign w:val="center"/>
          </w:tcPr>
          <w:p w14:paraId="0FC3715F">
            <w:pPr>
              <w:pStyle w:val="12"/>
            </w:pPr>
            <w:r>
              <w:t>100%</w:t>
            </w:r>
          </w:p>
        </w:tc>
        <w:tc>
          <w:tcPr>
            <w:tcW w:w="1276" w:type="dxa"/>
            <w:vAlign w:val="center"/>
          </w:tcPr>
          <w:p w14:paraId="033F528E">
            <w:pPr>
              <w:pStyle w:val="12"/>
            </w:pPr>
            <w:r>
              <w:t>城乡义务教育公用经费管理办法</w:t>
            </w:r>
          </w:p>
        </w:tc>
      </w:tr>
      <w:tr w14:paraId="4DEC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DC436"/>
        </w:tc>
        <w:tc>
          <w:tcPr>
            <w:tcW w:w="2268" w:type="dxa"/>
            <w:vAlign w:val="center"/>
          </w:tcPr>
          <w:p w14:paraId="04F7C7F3">
            <w:pPr>
              <w:pStyle w:val="12"/>
            </w:pPr>
            <w:r>
              <w:t>成本指标</w:t>
            </w:r>
          </w:p>
        </w:tc>
        <w:tc>
          <w:tcPr>
            <w:tcW w:w="2835" w:type="dxa"/>
            <w:vAlign w:val="center"/>
          </w:tcPr>
          <w:p w14:paraId="19EE2259">
            <w:pPr>
              <w:pStyle w:val="12"/>
            </w:pPr>
            <w:r>
              <w:t>生均拨款标准</w:t>
            </w:r>
          </w:p>
        </w:tc>
        <w:tc>
          <w:tcPr>
            <w:tcW w:w="5386" w:type="dxa"/>
            <w:vAlign w:val="center"/>
          </w:tcPr>
          <w:p w14:paraId="46186969">
            <w:pPr>
              <w:pStyle w:val="12"/>
            </w:pPr>
            <w:r>
              <w:t>小学：（基本标准720元、寄宿生300元、取暖费120元）/生/学年；特教、随班就读学生：标准7000元/生/学年。</w:t>
            </w:r>
          </w:p>
        </w:tc>
        <w:tc>
          <w:tcPr>
            <w:tcW w:w="2268" w:type="dxa"/>
            <w:vAlign w:val="center"/>
          </w:tcPr>
          <w:p w14:paraId="68CFB0E7">
            <w:pPr>
              <w:pStyle w:val="12"/>
            </w:pPr>
            <w:r>
              <w:t>840元</w:t>
            </w:r>
          </w:p>
        </w:tc>
        <w:tc>
          <w:tcPr>
            <w:tcW w:w="1276" w:type="dxa"/>
            <w:vAlign w:val="center"/>
          </w:tcPr>
          <w:p w14:paraId="3BFA2B16">
            <w:pPr>
              <w:pStyle w:val="12"/>
            </w:pPr>
            <w:r>
              <w:t>城乡义务教育公用经费管理办法</w:t>
            </w:r>
          </w:p>
        </w:tc>
      </w:tr>
      <w:tr w14:paraId="2135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EF4F2">
            <w:pPr>
              <w:pStyle w:val="13"/>
            </w:pPr>
            <w:r>
              <w:t>效益指标</w:t>
            </w:r>
          </w:p>
        </w:tc>
        <w:tc>
          <w:tcPr>
            <w:tcW w:w="2268" w:type="dxa"/>
            <w:vAlign w:val="center"/>
          </w:tcPr>
          <w:p w14:paraId="40E1494D">
            <w:pPr>
              <w:pStyle w:val="12"/>
            </w:pPr>
            <w:r>
              <w:t>经济效益指标</w:t>
            </w:r>
          </w:p>
        </w:tc>
        <w:tc>
          <w:tcPr>
            <w:tcW w:w="2835" w:type="dxa"/>
            <w:vAlign w:val="center"/>
          </w:tcPr>
          <w:p w14:paraId="24D3AAB1">
            <w:pPr>
              <w:pStyle w:val="12"/>
            </w:pPr>
            <w:r>
              <w:t>项目实施成果</w:t>
            </w:r>
          </w:p>
        </w:tc>
        <w:tc>
          <w:tcPr>
            <w:tcW w:w="5386" w:type="dxa"/>
            <w:vAlign w:val="center"/>
          </w:tcPr>
          <w:p w14:paraId="5BB3C004">
            <w:pPr>
              <w:pStyle w:val="12"/>
            </w:pPr>
            <w:r>
              <w:t>减轻受教育学生家庭经济负担</w:t>
            </w:r>
          </w:p>
        </w:tc>
        <w:tc>
          <w:tcPr>
            <w:tcW w:w="2268" w:type="dxa"/>
            <w:vAlign w:val="center"/>
          </w:tcPr>
          <w:p w14:paraId="0DCF5A0A">
            <w:pPr>
              <w:pStyle w:val="12"/>
            </w:pPr>
            <w:r>
              <w:t>100%</w:t>
            </w:r>
          </w:p>
        </w:tc>
        <w:tc>
          <w:tcPr>
            <w:tcW w:w="1276" w:type="dxa"/>
            <w:vAlign w:val="center"/>
          </w:tcPr>
          <w:p w14:paraId="5EA81CDA">
            <w:pPr>
              <w:pStyle w:val="12"/>
            </w:pPr>
            <w:r>
              <w:t>城乡义务教育公用经费管理办法</w:t>
            </w:r>
          </w:p>
        </w:tc>
      </w:tr>
      <w:tr w14:paraId="54EE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0160"/>
        </w:tc>
        <w:tc>
          <w:tcPr>
            <w:tcW w:w="2268" w:type="dxa"/>
            <w:vAlign w:val="center"/>
          </w:tcPr>
          <w:p w14:paraId="6435D7B6">
            <w:pPr>
              <w:pStyle w:val="12"/>
            </w:pPr>
            <w:r>
              <w:t>社会效益指标</w:t>
            </w:r>
          </w:p>
        </w:tc>
        <w:tc>
          <w:tcPr>
            <w:tcW w:w="2835" w:type="dxa"/>
            <w:vAlign w:val="center"/>
          </w:tcPr>
          <w:p w14:paraId="4B67F3E2">
            <w:pPr>
              <w:pStyle w:val="12"/>
            </w:pPr>
            <w:r>
              <w:t>学校办学能力提升</w:t>
            </w:r>
          </w:p>
        </w:tc>
        <w:tc>
          <w:tcPr>
            <w:tcW w:w="5386" w:type="dxa"/>
            <w:vAlign w:val="center"/>
          </w:tcPr>
          <w:p w14:paraId="60580DD0">
            <w:pPr>
              <w:pStyle w:val="12"/>
            </w:pPr>
            <w:r>
              <w:t>学校办学能</w:t>
            </w:r>
            <w:r>
              <w:rPr>
                <w:rFonts w:hint="eastAsia"/>
                <w:lang w:eastAsia="zh-CN"/>
              </w:rPr>
              <w:t>力提</w:t>
            </w:r>
            <w:r>
              <w:t>升情况及教育教学工作等开展的情况</w:t>
            </w:r>
          </w:p>
        </w:tc>
        <w:tc>
          <w:tcPr>
            <w:tcW w:w="2268" w:type="dxa"/>
            <w:vAlign w:val="center"/>
          </w:tcPr>
          <w:p w14:paraId="50FE968A">
            <w:pPr>
              <w:pStyle w:val="12"/>
            </w:pPr>
            <w:r>
              <w:t>100%</w:t>
            </w:r>
          </w:p>
        </w:tc>
        <w:tc>
          <w:tcPr>
            <w:tcW w:w="1276" w:type="dxa"/>
            <w:vAlign w:val="center"/>
          </w:tcPr>
          <w:p w14:paraId="155F57B0">
            <w:pPr>
              <w:pStyle w:val="12"/>
            </w:pPr>
            <w:r>
              <w:t>城乡义务教育公用经费管理办法</w:t>
            </w:r>
          </w:p>
        </w:tc>
      </w:tr>
      <w:tr w14:paraId="5C1C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ED56C"/>
        </w:tc>
        <w:tc>
          <w:tcPr>
            <w:tcW w:w="2268" w:type="dxa"/>
            <w:vAlign w:val="center"/>
          </w:tcPr>
          <w:p w14:paraId="33BE3C3E">
            <w:pPr>
              <w:pStyle w:val="12"/>
            </w:pPr>
            <w:r>
              <w:t>可持续影响指标</w:t>
            </w:r>
          </w:p>
        </w:tc>
        <w:tc>
          <w:tcPr>
            <w:tcW w:w="2835" w:type="dxa"/>
            <w:vAlign w:val="center"/>
          </w:tcPr>
          <w:p w14:paraId="09A13E14">
            <w:pPr>
              <w:pStyle w:val="12"/>
            </w:pPr>
            <w:r>
              <w:t>教育发展水平</w:t>
            </w:r>
          </w:p>
        </w:tc>
        <w:tc>
          <w:tcPr>
            <w:tcW w:w="5386" w:type="dxa"/>
            <w:vAlign w:val="center"/>
          </w:tcPr>
          <w:p w14:paraId="0C0B99AD">
            <w:pPr>
              <w:pStyle w:val="12"/>
            </w:pPr>
            <w:r>
              <w:t>辖区内教育环境明显好转</w:t>
            </w:r>
          </w:p>
        </w:tc>
        <w:tc>
          <w:tcPr>
            <w:tcW w:w="2268" w:type="dxa"/>
            <w:vAlign w:val="center"/>
          </w:tcPr>
          <w:p w14:paraId="36350DB8">
            <w:pPr>
              <w:pStyle w:val="12"/>
            </w:pPr>
            <w:r>
              <w:t>100%</w:t>
            </w:r>
          </w:p>
        </w:tc>
        <w:tc>
          <w:tcPr>
            <w:tcW w:w="1276" w:type="dxa"/>
            <w:vAlign w:val="center"/>
          </w:tcPr>
          <w:p w14:paraId="66738958">
            <w:pPr>
              <w:pStyle w:val="12"/>
            </w:pPr>
            <w:r>
              <w:t>城乡义务教育公用经费管理办法</w:t>
            </w:r>
          </w:p>
        </w:tc>
      </w:tr>
      <w:tr w14:paraId="5C73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3C9DC">
            <w:pPr>
              <w:pStyle w:val="13"/>
            </w:pPr>
            <w:r>
              <w:t>满意度指标</w:t>
            </w:r>
          </w:p>
        </w:tc>
        <w:tc>
          <w:tcPr>
            <w:tcW w:w="2268" w:type="dxa"/>
            <w:vAlign w:val="center"/>
          </w:tcPr>
          <w:p w14:paraId="5CF54514">
            <w:pPr>
              <w:pStyle w:val="12"/>
            </w:pPr>
            <w:r>
              <w:t>服务对象满意度指标</w:t>
            </w:r>
          </w:p>
        </w:tc>
        <w:tc>
          <w:tcPr>
            <w:tcW w:w="2835" w:type="dxa"/>
            <w:vAlign w:val="center"/>
          </w:tcPr>
          <w:p w14:paraId="68FFFE2E">
            <w:pPr>
              <w:pStyle w:val="12"/>
            </w:pPr>
            <w:r>
              <w:t>受益学生家长及调查满意度</w:t>
            </w:r>
          </w:p>
        </w:tc>
        <w:tc>
          <w:tcPr>
            <w:tcW w:w="5386" w:type="dxa"/>
            <w:vAlign w:val="center"/>
          </w:tcPr>
          <w:p w14:paraId="54E9FC42">
            <w:pPr>
              <w:pStyle w:val="12"/>
            </w:pPr>
            <w:r>
              <w:t>学生、教师及家长对学校保教保育工作满意度情况</w:t>
            </w:r>
          </w:p>
        </w:tc>
        <w:tc>
          <w:tcPr>
            <w:tcW w:w="2268" w:type="dxa"/>
            <w:vAlign w:val="center"/>
          </w:tcPr>
          <w:p w14:paraId="56324CF9">
            <w:pPr>
              <w:pStyle w:val="12"/>
            </w:pPr>
            <w:r>
              <w:t>≥95%</w:t>
            </w:r>
          </w:p>
        </w:tc>
        <w:tc>
          <w:tcPr>
            <w:tcW w:w="1276" w:type="dxa"/>
            <w:vAlign w:val="center"/>
          </w:tcPr>
          <w:p w14:paraId="00D1D121">
            <w:pPr>
              <w:pStyle w:val="12"/>
            </w:pPr>
            <w:r>
              <w:t>城乡义务教育公用经费管理办法</w:t>
            </w:r>
          </w:p>
        </w:tc>
      </w:tr>
    </w:tbl>
    <w:p w14:paraId="5466510F">
      <w:pPr>
        <w:sectPr>
          <w:pgSz w:w="16840" w:h="11900" w:orient="landscape"/>
          <w:pgMar w:top="1361" w:right="1020" w:bottom="1134" w:left="1020" w:header="720" w:footer="720" w:gutter="0"/>
          <w:cols w:space="720" w:num="1"/>
        </w:sectPr>
      </w:pPr>
    </w:p>
    <w:p w14:paraId="3BD941A6">
      <w:pPr>
        <w:spacing w:before="0" w:after="0"/>
        <w:ind w:firstLine="560"/>
        <w:jc w:val="left"/>
        <w:outlineLvl w:val="9"/>
      </w:pPr>
      <w:r>
        <w:rPr>
          <w:rFonts w:ascii="方正仿宋_GBK" w:hAnsi="方正仿宋_GBK" w:eastAsia="方正仿宋_GBK" w:cs="方正仿宋_GBK"/>
          <w:b/>
          <w:color w:val="000000"/>
          <w:sz w:val="28"/>
        </w:rPr>
        <w:t>6、冀财教[2025]121号/中央/2026年义教补助经费/东良校区东良小学公用经费绩效目标表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E9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EA7AF">
            <w:pPr>
              <w:pStyle w:val="11"/>
            </w:pPr>
            <w:r>
              <w:t>单位：万元</w:t>
            </w:r>
          </w:p>
        </w:tc>
      </w:tr>
      <w:tr w14:paraId="45FD4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FF845">
            <w:pPr>
              <w:pStyle w:val="10"/>
            </w:pPr>
            <w:r>
              <w:t>项目编码</w:t>
            </w:r>
          </w:p>
        </w:tc>
        <w:tc>
          <w:tcPr>
            <w:tcW w:w="5103" w:type="dxa"/>
            <w:gridSpan w:val="2"/>
            <w:vAlign w:val="center"/>
          </w:tcPr>
          <w:p w14:paraId="04A1E75C">
            <w:pPr>
              <w:pStyle w:val="12"/>
            </w:pPr>
            <w:r>
              <w:t>13052526P00000410276R</w:t>
            </w:r>
          </w:p>
        </w:tc>
        <w:tc>
          <w:tcPr>
            <w:tcW w:w="2835" w:type="dxa"/>
            <w:vAlign w:val="center"/>
          </w:tcPr>
          <w:p w14:paraId="187CFA81">
            <w:pPr>
              <w:pStyle w:val="10"/>
            </w:pPr>
            <w:r>
              <w:t>项目名称</w:t>
            </w:r>
          </w:p>
        </w:tc>
        <w:tc>
          <w:tcPr>
            <w:tcW w:w="6095" w:type="dxa"/>
            <w:gridSpan w:val="3"/>
            <w:vAlign w:val="center"/>
          </w:tcPr>
          <w:p w14:paraId="5328A1D4">
            <w:pPr>
              <w:pStyle w:val="12"/>
            </w:pPr>
            <w:r>
              <w:t>冀财教[2025]121号/中央/2026年义教补助经费/东良校区东良小学公用经费</w:t>
            </w:r>
          </w:p>
        </w:tc>
      </w:tr>
      <w:tr w14:paraId="6EC04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A16E5">
            <w:pPr>
              <w:pStyle w:val="10"/>
            </w:pPr>
            <w:r>
              <w:t>预算规模及资金用途</w:t>
            </w:r>
          </w:p>
        </w:tc>
        <w:tc>
          <w:tcPr>
            <w:tcW w:w="2268" w:type="dxa"/>
            <w:vAlign w:val="center"/>
          </w:tcPr>
          <w:p w14:paraId="2B2155F3">
            <w:pPr>
              <w:pStyle w:val="10"/>
            </w:pPr>
            <w:r>
              <w:t>预算数</w:t>
            </w:r>
          </w:p>
        </w:tc>
        <w:tc>
          <w:tcPr>
            <w:tcW w:w="2835" w:type="dxa"/>
            <w:vAlign w:val="center"/>
          </w:tcPr>
          <w:p w14:paraId="72C3D7E0">
            <w:pPr>
              <w:pStyle w:val="12"/>
            </w:pPr>
            <w:r>
              <w:t>25.15</w:t>
            </w:r>
          </w:p>
        </w:tc>
        <w:tc>
          <w:tcPr>
            <w:tcW w:w="2835" w:type="dxa"/>
            <w:vAlign w:val="center"/>
          </w:tcPr>
          <w:p w14:paraId="6A3185EB">
            <w:pPr>
              <w:pStyle w:val="10"/>
            </w:pPr>
            <w:r>
              <w:t>其中：财政    资金</w:t>
            </w:r>
          </w:p>
        </w:tc>
        <w:tc>
          <w:tcPr>
            <w:tcW w:w="2551" w:type="dxa"/>
            <w:vAlign w:val="center"/>
          </w:tcPr>
          <w:p w14:paraId="318FC37C">
            <w:pPr>
              <w:pStyle w:val="12"/>
            </w:pPr>
            <w:r>
              <w:t>25.15</w:t>
            </w:r>
          </w:p>
        </w:tc>
        <w:tc>
          <w:tcPr>
            <w:tcW w:w="2268" w:type="dxa"/>
            <w:vAlign w:val="center"/>
          </w:tcPr>
          <w:p w14:paraId="13B6603C">
            <w:pPr>
              <w:pStyle w:val="10"/>
            </w:pPr>
            <w:r>
              <w:t>其他资金</w:t>
            </w:r>
          </w:p>
        </w:tc>
        <w:tc>
          <w:tcPr>
            <w:tcW w:w="1276" w:type="dxa"/>
            <w:vAlign w:val="center"/>
          </w:tcPr>
          <w:p w14:paraId="7CC56AA3">
            <w:pPr>
              <w:pStyle w:val="12"/>
            </w:pPr>
            <w:r>
              <w:t xml:space="preserve"> </w:t>
            </w:r>
          </w:p>
        </w:tc>
      </w:tr>
      <w:tr w14:paraId="41FAD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271C0"/>
        </w:tc>
        <w:tc>
          <w:tcPr>
            <w:tcW w:w="14033" w:type="dxa"/>
            <w:gridSpan w:val="6"/>
            <w:vAlign w:val="center"/>
          </w:tcPr>
          <w:p w14:paraId="08429E4A">
            <w:pPr>
              <w:pStyle w:val="12"/>
            </w:pPr>
            <w:r>
              <w:t>保障义务教育学校正常运转，完成教育教学活动和其他日常工作任务等方面的费用支出。</w:t>
            </w:r>
          </w:p>
        </w:tc>
      </w:tr>
      <w:tr w14:paraId="322F9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AE684">
            <w:pPr>
              <w:pStyle w:val="10"/>
            </w:pPr>
            <w:r>
              <w:t>资金支出计划（%）</w:t>
            </w:r>
          </w:p>
        </w:tc>
        <w:tc>
          <w:tcPr>
            <w:tcW w:w="5103" w:type="dxa"/>
            <w:gridSpan w:val="2"/>
            <w:vAlign w:val="center"/>
          </w:tcPr>
          <w:p w14:paraId="2D99C41C">
            <w:pPr>
              <w:pStyle w:val="10"/>
            </w:pPr>
            <w:r>
              <w:t>3月底</w:t>
            </w:r>
          </w:p>
        </w:tc>
        <w:tc>
          <w:tcPr>
            <w:tcW w:w="2835" w:type="dxa"/>
            <w:vAlign w:val="center"/>
          </w:tcPr>
          <w:p w14:paraId="5B3719ED">
            <w:pPr>
              <w:pStyle w:val="10"/>
            </w:pPr>
            <w:r>
              <w:t>6月底</w:t>
            </w:r>
          </w:p>
        </w:tc>
        <w:tc>
          <w:tcPr>
            <w:tcW w:w="2551" w:type="dxa"/>
            <w:vAlign w:val="center"/>
          </w:tcPr>
          <w:p w14:paraId="30F8CEE4">
            <w:pPr>
              <w:pStyle w:val="10"/>
            </w:pPr>
            <w:r>
              <w:t>10月底</w:t>
            </w:r>
          </w:p>
        </w:tc>
        <w:tc>
          <w:tcPr>
            <w:tcW w:w="3544" w:type="dxa"/>
            <w:gridSpan w:val="2"/>
            <w:vAlign w:val="center"/>
          </w:tcPr>
          <w:p w14:paraId="508447DF">
            <w:pPr>
              <w:pStyle w:val="10"/>
            </w:pPr>
            <w:r>
              <w:t>12月底</w:t>
            </w:r>
          </w:p>
        </w:tc>
      </w:tr>
      <w:tr w14:paraId="57D3F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4CEFF"/>
        </w:tc>
        <w:tc>
          <w:tcPr>
            <w:tcW w:w="5103" w:type="dxa"/>
            <w:gridSpan w:val="2"/>
            <w:vAlign w:val="center"/>
          </w:tcPr>
          <w:p w14:paraId="4DCB191D">
            <w:pPr>
              <w:pStyle w:val="13"/>
            </w:pPr>
            <w:r>
              <w:t>25%</w:t>
            </w:r>
          </w:p>
        </w:tc>
        <w:tc>
          <w:tcPr>
            <w:tcW w:w="2835" w:type="dxa"/>
            <w:vAlign w:val="center"/>
          </w:tcPr>
          <w:p w14:paraId="325C1C24">
            <w:pPr>
              <w:pStyle w:val="13"/>
            </w:pPr>
            <w:r>
              <w:t>50%</w:t>
            </w:r>
          </w:p>
        </w:tc>
        <w:tc>
          <w:tcPr>
            <w:tcW w:w="2551" w:type="dxa"/>
            <w:vAlign w:val="center"/>
          </w:tcPr>
          <w:p w14:paraId="2029229B">
            <w:pPr>
              <w:pStyle w:val="13"/>
            </w:pPr>
            <w:r>
              <w:t>75%</w:t>
            </w:r>
          </w:p>
        </w:tc>
        <w:tc>
          <w:tcPr>
            <w:tcW w:w="3544" w:type="dxa"/>
            <w:gridSpan w:val="2"/>
            <w:vAlign w:val="center"/>
          </w:tcPr>
          <w:p w14:paraId="3122125E">
            <w:pPr>
              <w:pStyle w:val="13"/>
            </w:pPr>
            <w:r>
              <w:t>100%</w:t>
            </w:r>
          </w:p>
        </w:tc>
      </w:tr>
      <w:tr w14:paraId="4603C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0117A">
            <w:pPr>
              <w:pStyle w:val="10"/>
            </w:pPr>
            <w:r>
              <w:t>绩效目标</w:t>
            </w:r>
          </w:p>
        </w:tc>
        <w:tc>
          <w:tcPr>
            <w:tcW w:w="14033" w:type="dxa"/>
            <w:gridSpan w:val="6"/>
            <w:vAlign w:val="center"/>
          </w:tcPr>
          <w:p w14:paraId="0A6F2C1B">
            <w:pPr>
              <w:pStyle w:val="12"/>
            </w:pPr>
            <w:r>
              <w:t>1.保障义务教育学校正常运转，完成教育教学活动和其他日常工作任务等方面的费用支出。</w:t>
            </w:r>
          </w:p>
          <w:p w14:paraId="6F661E9C">
            <w:pPr>
              <w:pStyle w:val="12"/>
            </w:pPr>
            <w:r>
              <w:t>2.按季度分批次拨付公用经费资金251500元，资金拨付率达到100%。</w:t>
            </w:r>
          </w:p>
        </w:tc>
      </w:tr>
    </w:tbl>
    <w:p w14:paraId="7DA3B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6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A8DD7">
            <w:pPr>
              <w:pStyle w:val="10"/>
            </w:pPr>
            <w:r>
              <w:t>一级指标</w:t>
            </w:r>
          </w:p>
        </w:tc>
        <w:tc>
          <w:tcPr>
            <w:tcW w:w="2268" w:type="dxa"/>
            <w:vAlign w:val="center"/>
          </w:tcPr>
          <w:p w14:paraId="573A86FF">
            <w:pPr>
              <w:pStyle w:val="10"/>
            </w:pPr>
            <w:r>
              <w:t>二级指标</w:t>
            </w:r>
          </w:p>
        </w:tc>
        <w:tc>
          <w:tcPr>
            <w:tcW w:w="2835" w:type="dxa"/>
            <w:vAlign w:val="center"/>
          </w:tcPr>
          <w:p w14:paraId="4FA64E0C">
            <w:pPr>
              <w:pStyle w:val="10"/>
            </w:pPr>
            <w:r>
              <w:t>三级指标</w:t>
            </w:r>
          </w:p>
        </w:tc>
        <w:tc>
          <w:tcPr>
            <w:tcW w:w="5386" w:type="dxa"/>
            <w:vAlign w:val="center"/>
          </w:tcPr>
          <w:p w14:paraId="2CA6B2A3">
            <w:pPr>
              <w:pStyle w:val="10"/>
            </w:pPr>
            <w:r>
              <w:t>绩效指标描述</w:t>
            </w:r>
          </w:p>
        </w:tc>
        <w:tc>
          <w:tcPr>
            <w:tcW w:w="2268" w:type="dxa"/>
            <w:vAlign w:val="center"/>
          </w:tcPr>
          <w:p w14:paraId="3F9AC1B6">
            <w:pPr>
              <w:pStyle w:val="10"/>
            </w:pPr>
            <w:r>
              <w:t>指标值</w:t>
            </w:r>
          </w:p>
        </w:tc>
        <w:tc>
          <w:tcPr>
            <w:tcW w:w="1276" w:type="dxa"/>
            <w:vAlign w:val="center"/>
          </w:tcPr>
          <w:p w14:paraId="35E80622">
            <w:pPr>
              <w:pStyle w:val="10"/>
            </w:pPr>
            <w:r>
              <w:t>指标值确定依据</w:t>
            </w:r>
          </w:p>
        </w:tc>
      </w:tr>
      <w:tr w14:paraId="77E04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BE159">
            <w:pPr>
              <w:pStyle w:val="13"/>
            </w:pPr>
            <w:r>
              <w:t>产出指标</w:t>
            </w:r>
          </w:p>
        </w:tc>
        <w:tc>
          <w:tcPr>
            <w:tcW w:w="2268" w:type="dxa"/>
            <w:vAlign w:val="center"/>
          </w:tcPr>
          <w:p w14:paraId="3F404C43">
            <w:pPr>
              <w:pStyle w:val="12"/>
            </w:pPr>
            <w:r>
              <w:t>数量指标</w:t>
            </w:r>
          </w:p>
        </w:tc>
        <w:tc>
          <w:tcPr>
            <w:tcW w:w="2835" w:type="dxa"/>
            <w:vAlign w:val="center"/>
          </w:tcPr>
          <w:p w14:paraId="0C270E90">
            <w:pPr>
              <w:pStyle w:val="12"/>
            </w:pPr>
            <w:r>
              <w:t>适龄在校生</w:t>
            </w:r>
          </w:p>
        </w:tc>
        <w:tc>
          <w:tcPr>
            <w:tcW w:w="5386" w:type="dxa"/>
            <w:vAlign w:val="center"/>
          </w:tcPr>
          <w:p w14:paraId="71A14A1C">
            <w:pPr>
              <w:pStyle w:val="12"/>
            </w:pPr>
            <w:r>
              <w:t>适龄在校就读学生人数</w:t>
            </w:r>
          </w:p>
        </w:tc>
        <w:tc>
          <w:tcPr>
            <w:tcW w:w="2268" w:type="dxa"/>
            <w:vAlign w:val="center"/>
          </w:tcPr>
          <w:p w14:paraId="40D28CF0">
            <w:pPr>
              <w:pStyle w:val="12"/>
            </w:pPr>
            <w:r>
              <w:t>492人</w:t>
            </w:r>
          </w:p>
        </w:tc>
        <w:tc>
          <w:tcPr>
            <w:tcW w:w="1276" w:type="dxa"/>
            <w:vAlign w:val="center"/>
          </w:tcPr>
          <w:p w14:paraId="44227BE0">
            <w:pPr>
              <w:pStyle w:val="12"/>
            </w:pPr>
            <w:r>
              <w:t>城乡义务教育公用经费管理办法</w:t>
            </w:r>
          </w:p>
        </w:tc>
      </w:tr>
      <w:tr w14:paraId="2ED4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A918E"/>
        </w:tc>
        <w:tc>
          <w:tcPr>
            <w:tcW w:w="2268" w:type="dxa"/>
            <w:vAlign w:val="center"/>
          </w:tcPr>
          <w:p w14:paraId="1C5C724A">
            <w:pPr>
              <w:pStyle w:val="12"/>
            </w:pPr>
            <w:r>
              <w:t>质量指标</w:t>
            </w:r>
          </w:p>
        </w:tc>
        <w:tc>
          <w:tcPr>
            <w:tcW w:w="2835" w:type="dxa"/>
            <w:vAlign w:val="center"/>
          </w:tcPr>
          <w:p w14:paraId="626CE47C">
            <w:pPr>
              <w:pStyle w:val="12"/>
            </w:pPr>
            <w:r>
              <w:t>公用经费拨付完成率</w:t>
            </w:r>
          </w:p>
        </w:tc>
        <w:tc>
          <w:tcPr>
            <w:tcW w:w="5386" w:type="dxa"/>
            <w:vAlign w:val="center"/>
          </w:tcPr>
          <w:p w14:paraId="79C8AF00">
            <w:pPr>
              <w:pStyle w:val="12"/>
            </w:pPr>
            <w:r>
              <w:t>公用经费拨付完成率达到需时进度</w:t>
            </w:r>
          </w:p>
        </w:tc>
        <w:tc>
          <w:tcPr>
            <w:tcW w:w="2268" w:type="dxa"/>
            <w:vAlign w:val="center"/>
          </w:tcPr>
          <w:p w14:paraId="2B673EDA">
            <w:pPr>
              <w:pStyle w:val="12"/>
            </w:pPr>
            <w:r>
              <w:t>100%</w:t>
            </w:r>
          </w:p>
        </w:tc>
        <w:tc>
          <w:tcPr>
            <w:tcW w:w="1276" w:type="dxa"/>
            <w:vAlign w:val="center"/>
          </w:tcPr>
          <w:p w14:paraId="22F34CD1">
            <w:pPr>
              <w:pStyle w:val="12"/>
            </w:pPr>
            <w:r>
              <w:t>城乡义务教育公用经费管理办法</w:t>
            </w:r>
          </w:p>
        </w:tc>
      </w:tr>
      <w:tr w14:paraId="7AA8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1E490"/>
        </w:tc>
        <w:tc>
          <w:tcPr>
            <w:tcW w:w="2268" w:type="dxa"/>
            <w:vAlign w:val="center"/>
          </w:tcPr>
          <w:p w14:paraId="6A1087D9">
            <w:pPr>
              <w:pStyle w:val="12"/>
            </w:pPr>
            <w:r>
              <w:t>时效指标</w:t>
            </w:r>
          </w:p>
        </w:tc>
        <w:tc>
          <w:tcPr>
            <w:tcW w:w="2835" w:type="dxa"/>
            <w:vAlign w:val="center"/>
          </w:tcPr>
          <w:p w14:paraId="52189844">
            <w:pPr>
              <w:pStyle w:val="12"/>
            </w:pPr>
            <w:r>
              <w:t>资金支付率</w:t>
            </w:r>
          </w:p>
        </w:tc>
        <w:tc>
          <w:tcPr>
            <w:tcW w:w="5386" w:type="dxa"/>
            <w:vAlign w:val="center"/>
          </w:tcPr>
          <w:p w14:paraId="40847F69">
            <w:pPr>
              <w:pStyle w:val="12"/>
            </w:pPr>
            <w:r>
              <w:t>按照序时进度完成资金支付</w:t>
            </w:r>
          </w:p>
        </w:tc>
        <w:tc>
          <w:tcPr>
            <w:tcW w:w="2268" w:type="dxa"/>
            <w:vAlign w:val="center"/>
          </w:tcPr>
          <w:p w14:paraId="669E875D">
            <w:pPr>
              <w:pStyle w:val="12"/>
            </w:pPr>
            <w:r>
              <w:t>100%</w:t>
            </w:r>
          </w:p>
        </w:tc>
        <w:tc>
          <w:tcPr>
            <w:tcW w:w="1276" w:type="dxa"/>
            <w:vAlign w:val="center"/>
          </w:tcPr>
          <w:p w14:paraId="33F02B34">
            <w:pPr>
              <w:pStyle w:val="12"/>
            </w:pPr>
            <w:r>
              <w:t>城乡义务教育公用经费管理办法</w:t>
            </w:r>
          </w:p>
        </w:tc>
      </w:tr>
      <w:tr w14:paraId="7FC9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DD529"/>
        </w:tc>
        <w:tc>
          <w:tcPr>
            <w:tcW w:w="2268" w:type="dxa"/>
            <w:vAlign w:val="center"/>
          </w:tcPr>
          <w:p w14:paraId="6AFDF4E4">
            <w:pPr>
              <w:pStyle w:val="12"/>
            </w:pPr>
            <w:r>
              <w:t>成本指标</w:t>
            </w:r>
          </w:p>
        </w:tc>
        <w:tc>
          <w:tcPr>
            <w:tcW w:w="2835" w:type="dxa"/>
            <w:vAlign w:val="center"/>
          </w:tcPr>
          <w:p w14:paraId="2BA059CF">
            <w:pPr>
              <w:pStyle w:val="12"/>
            </w:pPr>
            <w:r>
              <w:t>生均拨款标准</w:t>
            </w:r>
          </w:p>
        </w:tc>
        <w:tc>
          <w:tcPr>
            <w:tcW w:w="5386" w:type="dxa"/>
            <w:vAlign w:val="center"/>
          </w:tcPr>
          <w:p w14:paraId="71C5A803">
            <w:pPr>
              <w:pStyle w:val="12"/>
            </w:pPr>
            <w:r>
              <w:t>小学：（基本标准720元、寄宿生300元、取暖费120元）/生/学年；特教、随班就读学生：标准7000元/生/学年。</w:t>
            </w:r>
          </w:p>
        </w:tc>
        <w:tc>
          <w:tcPr>
            <w:tcW w:w="2268" w:type="dxa"/>
            <w:vAlign w:val="center"/>
          </w:tcPr>
          <w:p w14:paraId="2E80B60B">
            <w:pPr>
              <w:pStyle w:val="12"/>
            </w:pPr>
            <w:r>
              <w:t>840元</w:t>
            </w:r>
          </w:p>
        </w:tc>
        <w:tc>
          <w:tcPr>
            <w:tcW w:w="1276" w:type="dxa"/>
            <w:vAlign w:val="center"/>
          </w:tcPr>
          <w:p w14:paraId="4D53E462">
            <w:pPr>
              <w:pStyle w:val="12"/>
            </w:pPr>
            <w:r>
              <w:t>城乡义务教育公用经费管理办法</w:t>
            </w:r>
          </w:p>
        </w:tc>
      </w:tr>
      <w:tr w14:paraId="5BBD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BD9ED">
            <w:pPr>
              <w:pStyle w:val="13"/>
            </w:pPr>
            <w:r>
              <w:t>效益指标</w:t>
            </w:r>
          </w:p>
        </w:tc>
        <w:tc>
          <w:tcPr>
            <w:tcW w:w="2268" w:type="dxa"/>
            <w:vAlign w:val="center"/>
          </w:tcPr>
          <w:p w14:paraId="4F8562A7">
            <w:pPr>
              <w:pStyle w:val="12"/>
            </w:pPr>
            <w:r>
              <w:t>经济效益指标</w:t>
            </w:r>
          </w:p>
        </w:tc>
        <w:tc>
          <w:tcPr>
            <w:tcW w:w="2835" w:type="dxa"/>
            <w:vAlign w:val="center"/>
          </w:tcPr>
          <w:p w14:paraId="75DF19BC">
            <w:pPr>
              <w:pStyle w:val="12"/>
            </w:pPr>
            <w:r>
              <w:t>项目实施成果</w:t>
            </w:r>
          </w:p>
        </w:tc>
        <w:tc>
          <w:tcPr>
            <w:tcW w:w="5386" w:type="dxa"/>
            <w:vAlign w:val="center"/>
          </w:tcPr>
          <w:p w14:paraId="3254BE23">
            <w:pPr>
              <w:pStyle w:val="12"/>
            </w:pPr>
            <w:r>
              <w:t>减轻受教育学生家庭经济负担</w:t>
            </w:r>
          </w:p>
        </w:tc>
        <w:tc>
          <w:tcPr>
            <w:tcW w:w="2268" w:type="dxa"/>
            <w:vAlign w:val="center"/>
          </w:tcPr>
          <w:p w14:paraId="05F4317F">
            <w:pPr>
              <w:pStyle w:val="12"/>
            </w:pPr>
            <w:r>
              <w:t>100%</w:t>
            </w:r>
          </w:p>
        </w:tc>
        <w:tc>
          <w:tcPr>
            <w:tcW w:w="1276" w:type="dxa"/>
            <w:vAlign w:val="center"/>
          </w:tcPr>
          <w:p w14:paraId="3647F916">
            <w:pPr>
              <w:pStyle w:val="12"/>
            </w:pPr>
            <w:r>
              <w:t>城乡义务教育公用经费管理办法</w:t>
            </w:r>
          </w:p>
        </w:tc>
      </w:tr>
      <w:tr w14:paraId="323B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79C2B"/>
        </w:tc>
        <w:tc>
          <w:tcPr>
            <w:tcW w:w="2268" w:type="dxa"/>
            <w:vAlign w:val="center"/>
          </w:tcPr>
          <w:p w14:paraId="2EE08360">
            <w:pPr>
              <w:pStyle w:val="12"/>
            </w:pPr>
            <w:r>
              <w:t>社会效益指标</w:t>
            </w:r>
          </w:p>
        </w:tc>
        <w:tc>
          <w:tcPr>
            <w:tcW w:w="2835" w:type="dxa"/>
            <w:vAlign w:val="center"/>
          </w:tcPr>
          <w:p w14:paraId="0BC1748F">
            <w:pPr>
              <w:pStyle w:val="12"/>
            </w:pPr>
            <w:r>
              <w:t>学校办学能力提升</w:t>
            </w:r>
          </w:p>
        </w:tc>
        <w:tc>
          <w:tcPr>
            <w:tcW w:w="5386" w:type="dxa"/>
            <w:vAlign w:val="center"/>
          </w:tcPr>
          <w:p w14:paraId="426F4EA7">
            <w:pPr>
              <w:pStyle w:val="12"/>
            </w:pPr>
            <w:r>
              <w:t>学校办学能</w:t>
            </w:r>
            <w:r>
              <w:rPr>
                <w:rFonts w:hint="eastAsia"/>
                <w:lang w:eastAsia="zh-CN"/>
              </w:rPr>
              <w:t>力提</w:t>
            </w:r>
            <w:r>
              <w:t>升情况及教育教学工作等开展的情况</w:t>
            </w:r>
          </w:p>
        </w:tc>
        <w:tc>
          <w:tcPr>
            <w:tcW w:w="2268" w:type="dxa"/>
            <w:vAlign w:val="center"/>
          </w:tcPr>
          <w:p w14:paraId="600322DC">
            <w:pPr>
              <w:pStyle w:val="12"/>
            </w:pPr>
            <w:r>
              <w:t>100%</w:t>
            </w:r>
          </w:p>
        </w:tc>
        <w:tc>
          <w:tcPr>
            <w:tcW w:w="1276" w:type="dxa"/>
            <w:vAlign w:val="center"/>
          </w:tcPr>
          <w:p w14:paraId="5D7A3025">
            <w:pPr>
              <w:pStyle w:val="12"/>
            </w:pPr>
            <w:r>
              <w:t>城乡义务教育公用经费管理办法</w:t>
            </w:r>
          </w:p>
        </w:tc>
      </w:tr>
      <w:tr w14:paraId="7C70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9433C"/>
        </w:tc>
        <w:tc>
          <w:tcPr>
            <w:tcW w:w="2268" w:type="dxa"/>
            <w:vAlign w:val="center"/>
          </w:tcPr>
          <w:p w14:paraId="53D72DEA">
            <w:pPr>
              <w:pStyle w:val="12"/>
            </w:pPr>
            <w:r>
              <w:t>可持续影响指标</w:t>
            </w:r>
          </w:p>
        </w:tc>
        <w:tc>
          <w:tcPr>
            <w:tcW w:w="2835" w:type="dxa"/>
            <w:vAlign w:val="center"/>
          </w:tcPr>
          <w:p w14:paraId="1FB228E6">
            <w:pPr>
              <w:pStyle w:val="12"/>
            </w:pPr>
            <w:r>
              <w:t>教育发展水平</w:t>
            </w:r>
          </w:p>
        </w:tc>
        <w:tc>
          <w:tcPr>
            <w:tcW w:w="5386" w:type="dxa"/>
            <w:vAlign w:val="center"/>
          </w:tcPr>
          <w:p w14:paraId="4BD119F6">
            <w:pPr>
              <w:pStyle w:val="12"/>
            </w:pPr>
            <w:r>
              <w:t>辖区内教育环境明显好转</w:t>
            </w:r>
          </w:p>
        </w:tc>
        <w:tc>
          <w:tcPr>
            <w:tcW w:w="2268" w:type="dxa"/>
            <w:vAlign w:val="center"/>
          </w:tcPr>
          <w:p w14:paraId="5F0D132A">
            <w:pPr>
              <w:pStyle w:val="12"/>
            </w:pPr>
            <w:r>
              <w:t>100%</w:t>
            </w:r>
          </w:p>
        </w:tc>
        <w:tc>
          <w:tcPr>
            <w:tcW w:w="1276" w:type="dxa"/>
            <w:vAlign w:val="center"/>
          </w:tcPr>
          <w:p w14:paraId="0560FD09">
            <w:pPr>
              <w:pStyle w:val="12"/>
            </w:pPr>
            <w:r>
              <w:t>城乡义务教育公用经费管理办法</w:t>
            </w:r>
          </w:p>
        </w:tc>
      </w:tr>
      <w:tr w14:paraId="36E3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2C844">
            <w:pPr>
              <w:pStyle w:val="13"/>
            </w:pPr>
            <w:r>
              <w:t>满意度指标</w:t>
            </w:r>
          </w:p>
        </w:tc>
        <w:tc>
          <w:tcPr>
            <w:tcW w:w="2268" w:type="dxa"/>
            <w:vAlign w:val="center"/>
          </w:tcPr>
          <w:p w14:paraId="1567E084">
            <w:pPr>
              <w:pStyle w:val="12"/>
            </w:pPr>
            <w:r>
              <w:t>服务对象满意度指标</w:t>
            </w:r>
          </w:p>
        </w:tc>
        <w:tc>
          <w:tcPr>
            <w:tcW w:w="2835" w:type="dxa"/>
            <w:vAlign w:val="center"/>
          </w:tcPr>
          <w:p w14:paraId="7D585003">
            <w:pPr>
              <w:pStyle w:val="12"/>
            </w:pPr>
            <w:r>
              <w:t>受益学生家长及调查满意度</w:t>
            </w:r>
          </w:p>
        </w:tc>
        <w:tc>
          <w:tcPr>
            <w:tcW w:w="5386" w:type="dxa"/>
            <w:vAlign w:val="center"/>
          </w:tcPr>
          <w:p w14:paraId="50D05612">
            <w:pPr>
              <w:pStyle w:val="12"/>
            </w:pPr>
            <w:r>
              <w:t>学生、教师及家长对学校保教保育工作满意度情况</w:t>
            </w:r>
          </w:p>
        </w:tc>
        <w:tc>
          <w:tcPr>
            <w:tcW w:w="2268" w:type="dxa"/>
            <w:vAlign w:val="center"/>
          </w:tcPr>
          <w:p w14:paraId="2E987F27">
            <w:pPr>
              <w:pStyle w:val="12"/>
            </w:pPr>
            <w:r>
              <w:t>≥95%</w:t>
            </w:r>
          </w:p>
        </w:tc>
        <w:tc>
          <w:tcPr>
            <w:tcW w:w="1276" w:type="dxa"/>
            <w:vAlign w:val="center"/>
          </w:tcPr>
          <w:p w14:paraId="77EE45FE">
            <w:pPr>
              <w:pStyle w:val="12"/>
            </w:pPr>
            <w:r>
              <w:t>城乡义务教育公用经费管理办法</w:t>
            </w:r>
          </w:p>
        </w:tc>
      </w:tr>
    </w:tbl>
    <w:p w14:paraId="2E9902D8">
      <w:pPr>
        <w:sectPr>
          <w:pgSz w:w="16840" w:h="11900" w:orient="landscape"/>
          <w:pgMar w:top="1361" w:right="1020" w:bottom="1134" w:left="1020" w:header="720" w:footer="720" w:gutter="0"/>
          <w:cols w:space="720" w:num="1"/>
        </w:sectPr>
      </w:pPr>
    </w:p>
    <w:p w14:paraId="3E033771">
      <w:pPr>
        <w:spacing w:before="0" w:after="0"/>
        <w:ind w:firstLine="560"/>
        <w:jc w:val="left"/>
        <w:outlineLvl w:val="9"/>
      </w:pPr>
      <w:r>
        <w:rPr>
          <w:rFonts w:ascii="方正仿宋_GBK" w:hAnsi="方正仿宋_GBK" w:eastAsia="方正仿宋_GBK" w:cs="方正仿宋_GBK"/>
          <w:b/>
          <w:color w:val="000000"/>
          <w:sz w:val="28"/>
        </w:rPr>
        <w:t>7、冀财教[2025]121号/中央/2026年义教补助经费/东良校区高村小学公用经费绩效目标表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84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23213">
            <w:pPr>
              <w:pStyle w:val="11"/>
            </w:pPr>
            <w:r>
              <w:t>单位：万元</w:t>
            </w:r>
          </w:p>
        </w:tc>
      </w:tr>
      <w:tr w14:paraId="28A70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42C4F">
            <w:pPr>
              <w:pStyle w:val="10"/>
            </w:pPr>
            <w:r>
              <w:t>项目编码</w:t>
            </w:r>
          </w:p>
        </w:tc>
        <w:tc>
          <w:tcPr>
            <w:tcW w:w="5103" w:type="dxa"/>
            <w:gridSpan w:val="2"/>
            <w:vAlign w:val="center"/>
          </w:tcPr>
          <w:p w14:paraId="2A947C9C">
            <w:pPr>
              <w:pStyle w:val="12"/>
            </w:pPr>
            <w:r>
              <w:t>13052526P00000410277D</w:t>
            </w:r>
          </w:p>
        </w:tc>
        <w:tc>
          <w:tcPr>
            <w:tcW w:w="2835" w:type="dxa"/>
            <w:vAlign w:val="center"/>
          </w:tcPr>
          <w:p w14:paraId="0D1F0F2F">
            <w:pPr>
              <w:pStyle w:val="10"/>
            </w:pPr>
            <w:r>
              <w:t>项目名称</w:t>
            </w:r>
          </w:p>
        </w:tc>
        <w:tc>
          <w:tcPr>
            <w:tcW w:w="6095" w:type="dxa"/>
            <w:gridSpan w:val="3"/>
            <w:vAlign w:val="center"/>
          </w:tcPr>
          <w:p w14:paraId="27B13EED">
            <w:pPr>
              <w:pStyle w:val="12"/>
            </w:pPr>
            <w:r>
              <w:t>冀财教[2025]121号/中央/2026年义教补助经费/东良校区高村小学公用经费</w:t>
            </w:r>
          </w:p>
        </w:tc>
      </w:tr>
      <w:tr w14:paraId="0D603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01031">
            <w:pPr>
              <w:pStyle w:val="10"/>
            </w:pPr>
            <w:r>
              <w:t>预算规模及资金用途</w:t>
            </w:r>
          </w:p>
        </w:tc>
        <w:tc>
          <w:tcPr>
            <w:tcW w:w="2268" w:type="dxa"/>
            <w:vAlign w:val="center"/>
          </w:tcPr>
          <w:p w14:paraId="178256EB">
            <w:pPr>
              <w:pStyle w:val="10"/>
            </w:pPr>
            <w:r>
              <w:t>预算数</w:t>
            </w:r>
          </w:p>
        </w:tc>
        <w:tc>
          <w:tcPr>
            <w:tcW w:w="2835" w:type="dxa"/>
            <w:vAlign w:val="center"/>
          </w:tcPr>
          <w:p w14:paraId="52F68670">
            <w:pPr>
              <w:pStyle w:val="12"/>
            </w:pPr>
            <w:r>
              <w:t>8.39</w:t>
            </w:r>
          </w:p>
        </w:tc>
        <w:tc>
          <w:tcPr>
            <w:tcW w:w="2835" w:type="dxa"/>
            <w:vAlign w:val="center"/>
          </w:tcPr>
          <w:p w14:paraId="676FEABD">
            <w:pPr>
              <w:pStyle w:val="10"/>
            </w:pPr>
            <w:r>
              <w:t>其中：财政    资金</w:t>
            </w:r>
          </w:p>
        </w:tc>
        <w:tc>
          <w:tcPr>
            <w:tcW w:w="2551" w:type="dxa"/>
            <w:vAlign w:val="center"/>
          </w:tcPr>
          <w:p w14:paraId="54E75D58">
            <w:pPr>
              <w:pStyle w:val="12"/>
            </w:pPr>
            <w:r>
              <w:t>8.39</w:t>
            </w:r>
          </w:p>
        </w:tc>
        <w:tc>
          <w:tcPr>
            <w:tcW w:w="2268" w:type="dxa"/>
            <w:vAlign w:val="center"/>
          </w:tcPr>
          <w:p w14:paraId="1129E693">
            <w:pPr>
              <w:pStyle w:val="10"/>
            </w:pPr>
            <w:r>
              <w:t>其他资金</w:t>
            </w:r>
          </w:p>
        </w:tc>
        <w:tc>
          <w:tcPr>
            <w:tcW w:w="1276" w:type="dxa"/>
            <w:vAlign w:val="center"/>
          </w:tcPr>
          <w:p w14:paraId="6D95D379">
            <w:pPr>
              <w:pStyle w:val="12"/>
            </w:pPr>
            <w:r>
              <w:t xml:space="preserve"> </w:t>
            </w:r>
          </w:p>
        </w:tc>
      </w:tr>
      <w:tr w14:paraId="2D445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C939D"/>
        </w:tc>
        <w:tc>
          <w:tcPr>
            <w:tcW w:w="14033" w:type="dxa"/>
            <w:gridSpan w:val="6"/>
            <w:vAlign w:val="center"/>
          </w:tcPr>
          <w:p w14:paraId="0B0D55C4">
            <w:pPr>
              <w:pStyle w:val="12"/>
            </w:pPr>
            <w:r>
              <w:t>保障义务教育学校正常运转，完成教育教学活动和其他日常工作任务等方面的费用支出。</w:t>
            </w:r>
          </w:p>
        </w:tc>
      </w:tr>
      <w:tr w14:paraId="4B868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2AEE3">
            <w:pPr>
              <w:pStyle w:val="10"/>
            </w:pPr>
            <w:r>
              <w:t>资金支出计划（%）</w:t>
            </w:r>
          </w:p>
        </w:tc>
        <w:tc>
          <w:tcPr>
            <w:tcW w:w="5103" w:type="dxa"/>
            <w:gridSpan w:val="2"/>
            <w:vAlign w:val="center"/>
          </w:tcPr>
          <w:p w14:paraId="452AE806">
            <w:pPr>
              <w:pStyle w:val="10"/>
            </w:pPr>
            <w:r>
              <w:t>3月底</w:t>
            </w:r>
          </w:p>
        </w:tc>
        <w:tc>
          <w:tcPr>
            <w:tcW w:w="2835" w:type="dxa"/>
            <w:vAlign w:val="center"/>
          </w:tcPr>
          <w:p w14:paraId="0D33F96E">
            <w:pPr>
              <w:pStyle w:val="10"/>
            </w:pPr>
            <w:r>
              <w:t>6月底</w:t>
            </w:r>
          </w:p>
        </w:tc>
        <w:tc>
          <w:tcPr>
            <w:tcW w:w="2551" w:type="dxa"/>
            <w:vAlign w:val="center"/>
          </w:tcPr>
          <w:p w14:paraId="62B81953">
            <w:pPr>
              <w:pStyle w:val="10"/>
            </w:pPr>
            <w:r>
              <w:t>10月底</w:t>
            </w:r>
          </w:p>
        </w:tc>
        <w:tc>
          <w:tcPr>
            <w:tcW w:w="3544" w:type="dxa"/>
            <w:gridSpan w:val="2"/>
            <w:vAlign w:val="center"/>
          </w:tcPr>
          <w:p w14:paraId="49657938">
            <w:pPr>
              <w:pStyle w:val="10"/>
            </w:pPr>
            <w:r>
              <w:t>12月底</w:t>
            </w:r>
          </w:p>
        </w:tc>
      </w:tr>
      <w:tr w14:paraId="6AAFE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24ECB"/>
        </w:tc>
        <w:tc>
          <w:tcPr>
            <w:tcW w:w="5103" w:type="dxa"/>
            <w:gridSpan w:val="2"/>
            <w:vAlign w:val="center"/>
          </w:tcPr>
          <w:p w14:paraId="2714CB91">
            <w:pPr>
              <w:pStyle w:val="13"/>
            </w:pPr>
            <w:r>
              <w:t>25%</w:t>
            </w:r>
          </w:p>
        </w:tc>
        <w:tc>
          <w:tcPr>
            <w:tcW w:w="2835" w:type="dxa"/>
            <w:vAlign w:val="center"/>
          </w:tcPr>
          <w:p w14:paraId="1D04B786">
            <w:pPr>
              <w:pStyle w:val="13"/>
            </w:pPr>
            <w:r>
              <w:t>50%</w:t>
            </w:r>
          </w:p>
        </w:tc>
        <w:tc>
          <w:tcPr>
            <w:tcW w:w="2551" w:type="dxa"/>
            <w:vAlign w:val="center"/>
          </w:tcPr>
          <w:p w14:paraId="2F584F24">
            <w:pPr>
              <w:pStyle w:val="13"/>
            </w:pPr>
            <w:r>
              <w:t>75%</w:t>
            </w:r>
          </w:p>
        </w:tc>
        <w:tc>
          <w:tcPr>
            <w:tcW w:w="3544" w:type="dxa"/>
            <w:gridSpan w:val="2"/>
            <w:vAlign w:val="center"/>
          </w:tcPr>
          <w:p w14:paraId="68AF4F40">
            <w:pPr>
              <w:pStyle w:val="13"/>
            </w:pPr>
            <w:r>
              <w:t>100%</w:t>
            </w:r>
          </w:p>
        </w:tc>
      </w:tr>
      <w:tr w14:paraId="2C597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1D5B5">
            <w:pPr>
              <w:pStyle w:val="10"/>
            </w:pPr>
            <w:r>
              <w:t>绩效目标</w:t>
            </w:r>
          </w:p>
        </w:tc>
        <w:tc>
          <w:tcPr>
            <w:tcW w:w="14033" w:type="dxa"/>
            <w:gridSpan w:val="6"/>
            <w:vAlign w:val="center"/>
          </w:tcPr>
          <w:p w14:paraId="44437EA3">
            <w:pPr>
              <w:pStyle w:val="12"/>
            </w:pPr>
            <w:r>
              <w:t>1.保障义务教育学校正常运转，完成教育教学活动和其他日常工作任务等方面的费用支出。</w:t>
            </w:r>
          </w:p>
          <w:p w14:paraId="375EC7D3">
            <w:pPr>
              <w:pStyle w:val="12"/>
            </w:pPr>
            <w:r>
              <w:t>2.按季度分批次拨付公用经费资金83900元，资金拨付率达到100%。</w:t>
            </w:r>
          </w:p>
        </w:tc>
      </w:tr>
    </w:tbl>
    <w:p w14:paraId="3CDB1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B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2D177">
            <w:pPr>
              <w:pStyle w:val="10"/>
            </w:pPr>
            <w:r>
              <w:t>一级指标</w:t>
            </w:r>
          </w:p>
        </w:tc>
        <w:tc>
          <w:tcPr>
            <w:tcW w:w="2268" w:type="dxa"/>
            <w:vAlign w:val="center"/>
          </w:tcPr>
          <w:p w14:paraId="29BD00B9">
            <w:pPr>
              <w:pStyle w:val="10"/>
            </w:pPr>
            <w:r>
              <w:t>二级指标</w:t>
            </w:r>
          </w:p>
        </w:tc>
        <w:tc>
          <w:tcPr>
            <w:tcW w:w="2835" w:type="dxa"/>
            <w:vAlign w:val="center"/>
          </w:tcPr>
          <w:p w14:paraId="2D54A71B">
            <w:pPr>
              <w:pStyle w:val="10"/>
            </w:pPr>
            <w:r>
              <w:t>三级指标</w:t>
            </w:r>
          </w:p>
        </w:tc>
        <w:tc>
          <w:tcPr>
            <w:tcW w:w="5386" w:type="dxa"/>
            <w:vAlign w:val="center"/>
          </w:tcPr>
          <w:p w14:paraId="38151DE4">
            <w:pPr>
              <w:pStyle w:val="10"/>
            </w:pPr>
            <w:r>
              <w:t>绩效指标描述</w:t>
            </w:r>
          </w:p>
        </w:tc>
        <w:tc>
          <w:tcPr>
            <w:tcW w:w="2268" w:type="dxa"/>
            <w:vAlign w:val="center"/>
          </w:tcPr>
          <w:p w14:paraId="0E1C0EFC">
            <w:pPr>
              <w:pStyle w:val="10"/>
            </w:pPr>
            <w:r>
              <w:t>指标值</w:t>
            </w:r>
          </w:p>
        </w:tc>
        <w:tc>
          <w:tcPr>
            <w:tcW w:w="1276" w:type="dxa"/>
            <w:vAlign w:val="center"/>
          </w:tcPr>
          <w:p w14:paraId="4F5FF52D">
            <w:pPr>
              <w:pStyle w:val="10"/>
            </w:pPr>
            <w:r>
              <w:t>指标值确定依据</w:t>
            </w:r>
          </w:p>
        </w:tc>
      </w:tr>
      <w:tr w14:paraId="5339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3EB10">
            <w:pPr>
              <w:pStyle w:val="13"/>
            </w:pPr>
            <w:r>
              <w:t>产出指标</w:t>
            </w:r>
          </w:p>
        </w:tc>
        <w:tc>
          <w:tcPr>
            <w:tcW w:w="2268" w:type="dxa"/>
            <w:vAlign w:val="center"/>
          </w:tcPr>
          <w:p w14:paraId="44195004">
            <w:pPr>
              <w:pStyle w:val="12"/>
            </w:pPr>
            <w:r>
              <w:t>数量指标</w:t>
            </w:r>
          </w:p>
        </w:tc>
        <w:tc>
          <w:tcPr>
            <w:tcW w:w="2835" w:type="dxa"/>
            <w:vAlign w:val="center"/>
          </w:tcPr>
          <w:p w14:paraId="7ABD1B3A">
            <w:pPr>
              <w:pStyle w:val="12"/>
            </w:pPr>
            <w:r>
              <w:t>适龄在校生</w:t>
            </w:r>
          </w:p>
        </w:tc>
        <w:tc>
          <w:tcPr>
            <w:tcW w:w="5386" w:type="dxa"/>
            <w:vAlign w:val="center"/>
          </w:tcPr>
          <w:p w14:paraId="3580CC62">
            <w:pPr>
              <w:pStyle w:val="12"/>
            </w:pPr>
            <w:r>
              <w:t>适龄在校就读学生人数</w:t>
            </w:r>
          </w:p>
        </w:tc>
        <w:tc>
          <w:tcPr>
            <w:tcW w:w="2268" w:type="dxa"/>
            <w:vAlign w:val="center"/>
          </w:tcPr>
          <w:p w14:paraId="104A8EE8">
            <w:pPr>
              <w:pStyle w:val="12"/>
            </w:pPr>
            <w:r>
              <w:t>169人</w:t>
            </w:r>
          </w:p>
        </w:tc>
        <w:tc>
          <w:tcPr>
            <w:tcW w:w="1276" w:type="dxa"/>
            <w:vAlign w:val="center"/>
          </w:tcPr>
          <w:p w14:paraId="502DAE04">
            <w:pPr>
              <w:pStyle w:val="12"/>
            </w:pPr>
            <w:r>
              <w:t>城乡义务教育公用经费管理办法</w:t>
            </w:r>
          </w:p>
        </w:tc>
      </w:tr>
      <w:tr w14:paraId="5173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1C349"/>
        </w:tc>
        <w:tc>
          <w:tcPr>
            <w:tcW w:w="2268" w:type="dxa"/>
            <w:vAlign w:val="center"/>
          </w:tcPr>
          <w:p w14:paraId="6CA07E54">
            <w:pPr>
              <w:pStyle w:val="12"/>
            </w:pPr>
            <w:r>
              <w:t>质量指标</w:t>
            </w:r>
          </w:p>
        </w:tc>
        <w:tc>
          <w:tcPr>
            <w:tcW w:w="2835" w:type="dxa"/>
            <w:vAlign w:val="center"/>
          </w:tcPr>
          <w:p w14:paraId="5E545718">
            <w:pPr>
              <w:pStyle w:val="12"/>
            </w:pPr>
            <w:r>
              <w:t>公用经费拨付完成率</w:t>
            </w:r>
          </w:p>
        </w:tc>
        <w:tc>
          <w:tcPr>
            <w:tcW w:w="5386" w:type="dxa"/>
            <w:vAlign w:val="center"/>
          </w:tcPr>
          <w:p w14:paraId="50521006">
            <w:pPr>
              <w:pStyle w:val="12"/>
            </w:pPr>
            <w:r>
              <w:t>公用经费拨付完成率达到需时进度</w:t>
            </w:r>
          </w:p>
        </w:tc>
        <w:tc>
          <w:tcPr>
            <w:tcW w:w="2268" w:type="dxa"/>
            <w:vAlign w:val="center"/>
          </w:tcPr>
          <w:p w14:paraId="280B1AA8">
            <w:pPr>
              <w:pStyle w:val="12"/>
            </w:pPr>
            <w:r>
              <w:t>100%</w:t>
            </w:r>
          </w:p>
        </w:tc>
        <w:tc>
          <w:tcPr>
            <w:tcW w:w="1276" w:type="dxa"/>
            <w:vAlign w:val="center"/>
          </w:tcPr>
          <w:p w14:paraId="6B517584">
            <w:pPr>
              <w:pStyle w:val="12"/>
            </w:pPr>
            <w:r>
              <w:t>城乡义务教育公用经费管理办法</w:t>
            </w:r>
          </w:p>
        </w:tc>
      </w:tr>
      <w:tr w14:paraId="35D8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25CA"/>
        </w:tc>
        <w:tc>
          <w:tcPr>
            <w:tcW w:w="2268" w:type="dxa"/>
            <w:vAlign w:val="center"/>
          </w:tcPr>
          <w:p w14:paraId="1E8AD772">
            <w:pPr>
              <w:pStyle w:val="12"/>
            </w:pPr>
            <w:r>
              <w:t>时效指标</w:t>
            </w:r>
          </w:p>
        </w:tc>
        <w:tc>
          <w:tcPr>
            <w:tcW w:w="2835" w:type="dxa"/>
            <w:vAlign w:val="center"/>
          </w:tcPr>
          <w:p w14:paraId="387AC86F">
            <w:pPr>
              <w:pStyle w:val="12"/>
            </w:pPr>
            <w:r>
              <w:t>资金支付率</w:t>
            </w:r>
          </w:p>
        </w:tc>
        <w:tc>
          <w:tcPr>
            <w:tcW w:w="5386" w:type="dxa"/>
            <w:vAlign w:val="center"/>
          </w:tcPr>
          <w:p w14:paraId="7391761E">
            <w:pPr>
              <w:pStyle w:val="12"/>
            </w:pPr>
            <w:r>
              <w:t>按照序时进度完成资金支付</w:t>
            </w:r>
          </w:p>
        </w:tc>
        <w:tc>
          <w:tcPr>
            <w:tcW w:w="2268" w:type="dxa"/>
            <w:vAlign w:val="center"/>
          </w:tcPr>
          <w:p w14:paraId="3AC2319B">
            <w:pPr>
              <w:pStyle w:val="12"/>
            </w:pPr>
            <w:r>
              <w:t>100%</w:t>
            </w:r>
          </w:p>
        </w:tc>
        <w:tc>
          <w:tcPr>
            <w:tcW w:w="1276" w:type="dxa"/>
            <w:vAlign w:val="center"/>
          </w:tcPr>
          <w:p w14:paraId="406CADC6">
            <w:pPr>
              <w:pStyle w:val="12"/>
            </w:pPr>
            <w:r>
              <w:t>城乡义务教育公用经费管理办法</w:t>
            </w:r>
          </w:p>
        </w:tc>
      </w:tr>
      <w:tr w14:paraId="3DD9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829B0"/>
        </w:tc>
        <w:tc>
          <w:tcPr>
            <w:tcW w:w="2268" w:type="dxa"/>
            <w:vAlign w:val="center"/>
          </w:tcPr>
          <w:p w14:paraId="755D9C86">
            <w:pPr>
              <w:pStyle w:val="12"/>
            </w:pPr>
            <w:r>
              <w:t>成本指标</w:t>
            </w:r>
          </w:p>
        </w:tc>
        <w:tc>
          <w:tcPr>
            <w:tcW w:w="2835" w:type="dxa"/>
            <w:vAlign w:val="center"/>
          </w:tcPr>
          <w:p w14:paraId="4647FFD3">
            <w:pPr>
              <w:pStyle w:val="12"/>
            </w:pPr>
            <w:r>
              <w:t>生均拨款标准</w:t>
            </w:r>
          </w:p>
        </w:tc>
        <w:tc>
          <w:tcPr>
            <w:tcW w:w="5386" w:type="dxa"/>
            <w:vAlign w:val="center"/>
          </w:tcPr>
          <w:p w14:paraId="6027D67A">
            <w:pPr>
              <w:pStyle w:val="12"/>
            </w:pPr>
            <w:r>
              <w:t>小学：（基本标准720元、寄宿生300元、取暖费120元）/生/学年；特教、随班就读学生：标准7000元/生/学年。</w:t>
            </w:r>
          </w:p>
        </w:tc>
        <w:tc>
          <w:tcPr>
            <w:tcW w:w="2268" w:type="dxa"/>
            <w:vAlign w:val="center"/>
          </w:tcPr>
          <w:p w14:paraId="5C1B9B88">
            <w:pPr>
              <w:pStyle w:val="12"/>
            </w:pPr>
            <w:r>
              <w:t>840元</w:t>
            </w:r>
          </w:p>
        </w:tc>
        <w:tc>
          <w:tcPr>
            <w:tcW w:w="1276" w:type="dxa"/>
            <w:vAlign w:val="center"/>
          </w:tcPr>
          <w:p w14:paraId="654C3837">
            <w:pPr>
              <w:pStyle w:val="12"/>
            </w:pPr>
            <w:r>
              <w:t>城乡义务教育公用经费管理办法</w:t>
            </w:r>
          </w:p>
        </w:tc>
      </w:tr>
      <w:tr w14:paraId="441E8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8F803">
            <w:pPr>
              <w:pStyle w:val="13"/>
            </w:pPr>
            <w:r>
              <w:t>效益指标</w:t>
            </w:r>
          </w:p>
        </w:tc>
        <w:tc>
          <w:tcPr>
            <w:tcW w:w="2268" w:type="dxa"/>
            <w:vAlign w:val="center"/>
          </w:tcPr>
          <w:p w14:paraId="1124AB20">
            <w:pPr>
              <w:pStyle w:val="12"/>
            </w:pPr>
            <w:r>
              <w:t>经济效益指标</w:t>
            </w:r>
          </w:p>
        </w:tc>
        <w:tc>
          <w:tcPr>
            <w:tcW w:w="2835" w:type="dxa"/>
            <w:vAlign w:val="center"/>
          </w:tcPr>
          <w:p w14:paraId="432E47DB">
            <w:pPr>
              <w:pStyle w:val="12"/>
            </w:pPr>
            <w:r>
              <w:t>项目实施成果</w:t>
            </w:r>
          </w:p>
        </w:tc>
        <w:tc>
          <w:tcPr>
            <w:tcW w:w="5386" w:type="dxa"/>
            <w:vAlign w:val="center"/>
          </w:tcPr>
          <w:p w14:paraId="37F171F8">
            <w:pPr>
              <w:pStyle w:val="12"/>
            </w:pPr>
            <w:r>
              <w:t>减轻受教育学生家庭经济负担</w:t>
            </w:r>
          </w:p>
        </w:tc>
        <w:tc>
          <w:tcPr>
            <w:tcW w:w="2268" w:type="dxa"/>
            <w:vAlign w:val="center"/>
          </w:tcPr>
          <w:p w14:paraId="1FC7B7D9">
            <w:pPr>
              <w:pStyle w:val="12"/>
            </w:pPr>
            <w:r>
              <w:t>100%</w:t>
            </w:r>
          </w:p>
        </w:tc>
        <w:tc>
          <w:tcPr>
            <w:tcW w:w="1276" w:type="dxa"/>
            <w:vAlign w:val="center"/>
          </w:tcPr>
          <w:p w14:paraId="1E6B2943">
            <w:pPr>
              <w:pStyle w:val="12"/>
            </w:pPr>
            <w:r>
              <w:t>城乡义务教育公用经费管理办法</w:t>
            </w:r>
          </w:p>
        </w:tc>
      </w:tr>
      <w:tr w14:paraId="6F6B4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370A"/>
        </w:tc>
        <w:tc>
          <w:tcPr>
            <w:tcW w:w="2268" w:type="dxa"/>
            <w:vAlign w:val="center"/>
          </w:tcPr>
          <w:p w14:paraId="5DCCE0FA">
            <w:pPr>
              <w:pStyle w:val="12"/>
            </w:pPr>
            <w:r>
              <w:t>社会效益指标</w:t>
            </w:r>
          </w:p>
        </w:tc>
        <w:tc>
          <w:tcPr>
            <w:tcW w:w="2835" w:type="dxa"/>
            <w:vAlign w:val="center"/>
          </w:tcPr>
          <w:p w14:paraId="1B1ECD36">
            <w:pPr>
              <w:pStyle w:val="12"/>
            </w:pPr>
            <w:r>
              <w:t>学校办学能力提升</w:t>
            </w:r>
          </w:p>
        </w:tc>
        <w:tc>
          <w:tcPr>
            <w:tcW w:w="5386" w:type="dxa"/>
            <w:vAlign w:val="center"/>
          </w:tcPr>
          <w:p w14:paraId="4B40CFC4">
            <w:pPr>
              <w:pStyle w:val="12"/>
            </w:pPr>
            <w:r>
              <w:t>学校办学能</w:t>
            </w:r>
            <w:r>
              <w:rPr>
                <w:rFonts w:hint="eastAsia"/>
                <w:lang w:eastAsia="zh-CN"/>
              </w:rPr>
              <w:t>力提</w:t>
            </w:r>
            <w:r>
              <w:t>升情况及教育教学工作等开展的情况</w:t>
            </w:r>
          </w:p>
        </w:tc>
        <w:tc>
          <w:tcPr>
            <w:tcW w:w="2268" w:type="dxa"/>
            <w:vAlign w:val="center"/>
          </w:tcPr>
          <w:p w14:paraId="6E3E070B">
            <w:pPr>
              <w:pStyle w:val="12"/>
            </w:pPr>
            <w:r>
              <w:t>100%</w:t>
            </w:r>
          </w:p>
        </w:tc>
        <w:tc>
          <w:tcPr>
            <w:tcW w:w="1276" w:type="dxa"/>
            <w:vAlign w:val="center"/>
          </w:tcPr>
          <w:p w14:paraId="059C84C3">
            <w:pPr>
              <w:pStyle w:val="12"/>
            </w:pPr>
            <w:r>
              <w:t>城乡义务教育公用经费管理办法</w:t>
            </w:r>
          </w:p>
        </w:tc>
      </w:tr>
      <w:tr w14:paraId="6A40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3A364"/>
        </w:tc>
        <w:tc>
          <w:tcPr>
            <w:tcW w:w="2268" w:type="dxa"/>
            <w:vAlign w:val="center"/>
          </w:tcPr>
          <w:p w14:paraId="47DA2E09">
            <w:pPr>
              <w:pStyle w:val="12"/>
            </w:pPr>
            <w:r>
              <w:t>可持续影响指标</w:t>
            </w:r>
          </w:p>
        </w:tc>
        <w:tc>
          <w:tcPr>
            <w:tcW w:w="2835" w:type="dxa"/>
            <w:vAlign w:val="center"/>
          </w:tcPr>
          <w:p w14:paraId="68399FF1">
            <w:pPr>
              <w:pStyle w:val="12"/>
            </w:pPr>
            <w:r>
              <w:t>教育发展水平</w:t>
            </w:r>
          </w:p>
        </w:tc>
        <w:tc>
          <w:tcPr>
            <w:tcW w:w="5386" w:type="dxa"/>
            <w:vAlign w:val="center"/>
          </w:tcPr>
          <w:p w14:paraId="0D09A2ED">
            <w:pPr>
              <w:pStyle w:val="12"/>
            </w:pPr>
            <w:r>
              <w:t>辖区内教育环境明显好转</w:t>
            </w:r>
          </w:p>
        </w:tc>
        <w:tc>
          <w:tcPr>
            <w:tcW w:w="2268" w:type="dxa"/>
            <w:vAlign w:val="center"/>
          </w:tcPr>
          <w:p w14:paraId="7EDDBC94">
            <w:pPr>
              <w:pStyle w:val="12"/>
            </w:pPr>
            <w:r>
              <w:t>100%</w:t>
            </w:r>
          </w:p>
        </w:tc>
        <w:tc>
          <w:tcPr>
            <w:tcW w:w="1276" w:type="dxa"/>
            <w:vAlign w:val="center"/>
          </w:tcPr>
          <w:p w14:paraId="06ABED82">
            <w:pPr>
              <w:pStyle w:val="12"/>
            </w:pPr>
            <w:r>
              <w:t>城乡义务教育公用经费管理办法</w:t>
            </w:r>
          </w:p>
        </w:tc>
      </w:tr>
      <w:tr w14:paraId="07B8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FBB2E">
            <w:pPr>
              <w:pStyle w:val="13"/>
            </w:pPr>
            <w:r>
              <w:t>满意度指标</w:t>
            </w:r>
          </w:p>
        </w:tc>
        <w:tc>
          <w:tcPr>
            <w:tcW w:w="2268" w:type="dxa"/>
            <w:vAlign w:val="center"/>
          </w:tcPr>
          <w:p w14:paraId="4EB4B0DC">
            <w:pPr>
              <w:pStyle w:val="12"/>
            </w:pPr>
            <w:r>
              <w:t>服务对象满意度指标</w:t>
            </w:r>
          </w:p>
        </w:tc>
        <w:tc>
          <w:tcPr>
            <w:tcW w:w="2835" w:type="dxa"/>
            <w:vAlign w:val="center"/>
          </w:tcPr>
          <w:p w14:paraId="219682D7">
            <w:pPr>
              <w:pStyle w:val="12"/>
            </w:pPr>
            <w:r>
              <w:t>受益学生家长及调查满意度</w:t>
            </w:r>
          </w:p>
        </w:tc>
        <w:tc>
          <w:tcPr>
            <w:tcW w:w="5386" w:type="dxa"/>
            <w:vAlign w:val="center"/>
          </w:tcPr>
          <w:p w14:paraId="08380718">
            <w:pPr>
              <w:pStyle w:val="12"/>
            </w:pPr>
            <w:r>
              <w:t>学生、教师及家长对学校保教保育工作满意度情况</w:t>
            </w:r>
          </w:p>
        </w:tc>
        <w:tc>
          <w:tcPr>
            <w:tcW w:w="2268" w:type="dxa"/>
            <w:vAlign w:val="center"/>
          </w:tcPr>
          <w:p w14:paraId="3CD450B8">
            <w:pPr>
              <w:pStyle w:val="12"/>
            </w:pPr>
            <w:r>
              <w:t>≥95%</w:t>
            </w:r>
          </w:p>
        </w:tc>
        <w:tc>
          <w:tcPr>
            <w:tcW w:w="1276" w:type="dxa"/>
            <w:vAlign w:val="center"/>
          </w:tcPr>
          <w:p w14:paraId="7BB706A0">
            <w:pPr>
              <w:pStyle w:val="12"/>
            </w:pPr>
            <w:r>
              <w:t>城乡义务教育公用经费管理办法</w:t>
            </w:r>
          </w:p>
        </w:tc>
      </w:tr>
    </w:tbl>
    <w:p w14:paraId="40977BEC">
      <w:pPr>
        <w:sectPr>
          <w:pgSz w:w="16840" w:h="11900" w:orient="landscape"/>
          <w:pgMar w:top="1361" w:right="1020" w:bottom="1134" w:left="1020" w:header="720" w:footer="720" w:gutter="0"/>
          <w:cols w:space="720" w:num="1"/>
        </w:sectPr>
      </w:pPr>
    </w:p>
    <w:p w14:paraId="2F6BD848">
      <w:pPr>
        <w:spacing w:before="0" w:after="0"/>
        <w:ind w:firstLine="560"/>
        <w:jc w:val="left"/>
        <w:outlineLvl w:val="9"/>
      </w:pPr>
      <w:r>
        <w:rPr>
          <w:rFonts w:ascii="方正仿宋_GBK" w:hAnsi="方正仿宋_GBK" w:eastAsia="方正仿宋_GBK" w:cs="方正仿宋_GBK"/>
          <w:b/>
          <w:color w:val="000000"/>
          <w:sz w:val="28"/>
        </w:rPr>
        <w:t>8、冀财教[2025]121号/中央/2026年义教补助经费/东良校区南位小学公用经费绩效目标表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6A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B526D">
            <w:pPr>
              <w:pStyle w:val="11"/>
            </w:pPr>
            <w:r>
              <w:t>单位：万元</w:t>
            </w:r>
          </w:p>
        </w:tc>
      </w:tr>
      <w:tr w14:paraId="08640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BCDEB">
            <w:pPr>
              <w:pStyle w:val="10"/>
            </w:pPr>
            <w:r>
              <w:t>项目编码</w:t>
            </w:r>
          </w:p>
        </w:tc>
        <w:tc>
          <w:tcPr>
            <w:tcW w:w="5103" w:type="dxa"/>
            <w:gridSpan w:val="2"/>
            <w:vAlign w:val="center"/>
          </w:tcPr>
          <w:p w14:paraId="53A82C59">
            <w:pPr>
              <w:pStyle w:val="12"/>
            </w:pPr>
            <w:r>
              <w:t>13052526P000004102756</w:t>
            </w:r>
          </w:p>
        </w:tc>
        <w:tc>
          <w:tcPr>
            <w:tcW w:w="2835" w:type="dxa"/>
            <w:vAlign w:val="center"/>
          </w:tcPr>
          <w:p w14:paraId="14E824BC">
            <w:pPr>
              <w:pStyle w:val="10"/>
            </w:pPr>
            <w:r>
              <w:t>项目名称</w:t>
            </w:r>
          </w:p>
        </w:tc>
        <w:tc>
          <w:tcPr>
            <w:tcW w:w="6095" w:type="dxa"/>
            <w:gridSpan w:val="3"/>
            <w:vAlign w:val="center"/>
          </w:tcPr>
          <w:p w14:paraId="738A00E8">
            <w:pPr>
              <w:pStyle w:val="12"/>
            </w:pPr>
            <w:r>
              <w:t>冀财教[2025]121号/中央/2026年义教补助经费/东良校区南位小学公用经费</w:t>
            </w:r>
          </w:p>
        </w:tc>
      </w:tr>
      <w:tr w14:paraId="72A03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3CA8D">
            <w:pPr>
              <w:pStyle w:val="10"/>
            </w:pPr>
            <w:r>
              <w:t>预算规模及资金用途</w:t>
            </w:r>
          </w:p>
        </w:tc>
        <w:tc>
          <w:tcPr>
            <w:tcW w:w="2268" w:type="dxa"/>
            <w:vAlign w:val="center"/>
          </w:tcPr>
          <w:p w14:paraId="24B7DB75">
            <w:pPr>
              <w:pStyle w:val="10"/>
            </w:pPr>
            <w:r>
              <w:t>预算数</w:t>
            </w:r>
          </w:p>
        </w:tc>
        <w:tc>
          <w:tcPr>
            <w:tcW w:w="2835" w:type="dxa"/>
            <w:vAlign w:val="center"/>
          </w:tcPr>
          <w:p w14:paraId="1D83532D">
            <w:pPr>
              <w:pStyle w:val="12"/>
            </w:pPr>
            <w:r>
              <w:t>36.90</w:t>
            </w:r>
          </w:p>
        </w:tc>
        <w:tc>
          <w:tcPr>
            <w:tcW w:w="2835" w:type="dxa"/>
            <w:vAlign w:val="center"/>
          </w:tcPr>
          <w:p w14:paraId="02661832">
            <w:pPr>
              <w:pStyle w:val="10"/>
            </w:pPr>
            <w:r>
              <w:t>其中：财政    资金</w:t>
            </w:r>
          </w:p>
        </w:tc>
        <w:tc>
          <w:tcPr>
            <w:tcW w:w="2551" w:type="dxa"/>
            <w:vAlign w:val="center"/>
          </w:tcPr>
          <w:p w14:paraId="56D94B0F">
            <w:pPr>
              <w:pStyle w:val="12"/>
            </w:pPr>
            <w:r>
              <w:t>36.90</w:t>
            </w:r>
          </w:p>
        </w:tc>
        <w:tc>
          <w:tcPr>
            <w:tcW w:w="2268" w:type="dxa"/>
            <w:vAlign w:val="center"/>
          </w:tcPr>
          <w:p w14:paraId="6D370DA8">
            <w:pPr>
              <w:pStyle w:val="10"/>
            </w:pPr>
            <w:r>
              <w:t>其他资金</w:t>
            </w:r>
          </w:p>
        </w:tc>
        <w:tc>
          <w:tcPr>
            <w:tcW w:w="1276" w:type="dxa"/>
            <w:vAlign w:val="center"/>
          </w:tcPr>
          <w:p w14:paraId="4930418D">
            <w:pPr>
              <w:pStyle w:val="12"/>
            </w:pPr>
            <w:r>
              <w:t xml:space="preserve"> </w:t>
            </w:r>
          </w:p>
        </w:tc>
      </w:tr>
      <w:tr w14:paraId="1BD31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C8449"/>
        </w:tc>
        <w:tc>
          <w:tcPr>
            <w:tcW w:w="14033" w:type="dxa"/>
            <w:gridSpan w:val="6"/>
            <w:vAlign w:val="center"/>
          </w:tcPr>
          <w:p w14:paraId="2EC4A79B">
            <w:pPr>
              <w:pStyle w:val="12"/>
            </w:pPr>
            <w:r>
              <w:t>保障义务教育学校正常运转，完成教育教学活动和其他日常工作任务等方面的费用支出。</w:t>
            </w:r>
          </w:p>
        </w:tc>
      </w:tr>
      <w:tr w14:paraId="5E760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EC4AF">
            <w:pPr>
              <w:pStyle w:val="10"/>
            </w:pPr>
            <w:r>
              <w:t>资金支出计划（%）</w:t>
            </w:r>
          </w:p>
        </w:tc>
        <w:tc>
          <w:tcPr>
            <w:tcW w:w="5103" w:type="dxa"/>
            <w:gridSpan w:val="2"/>
            <w:vAlign w:val="center"/>
          </w:tcPr>
          <w:p w14:paraId="154FB5D2">
            <w:pPr>
              <w:pStyle w:val="10"/>
            </w:pPr>
            <w:r>
              <w:t>3月底</w:t>
            </w:r>
          </w:p>
        </w:tc>
        <w:tc>
          <w:tcPr>
            <w:tcW w:w="2835" w:type="dxa"/>
            <w:vAlign w:val="center"/>
          </w:tcPr>
          <w:p w14:paraId="7740AA85">
            <w:pPr>
              <w:pStyle w:val="10"/>
            </w:pPr>
            <w:r>
              <w:t>6月底</w:t>
            </w:r>
          </w:p>
        </w:tc>
        <w:tc>
          <w:tcPr>
            <w:tcW w:w="2551" w:type="dxa"/>
            <w:vAlign w:val="center"/>
          </w:tcPr>
          <w:p w14:paraId="7998BA00">
            <w:pPr>
              <w:pStyle w:val="10"/>
            </w:pPr>
            <w:r>
              <w:t>10月底</w:t>
            </w:r>
          </w:p>
        </w:tc>
        <w:tc>
          <w:tcPr>
            <w:tcW w:w="3544" w:type="dxa"/>
            <w:gridSpan w:val="2"/>
            <w:vAlign w:val="center"/>
          </w:tcPr>
          <w:p w14:paraId="13DDB11F">
            <w:pPr>
              <w:pStyle w:val="10"/>
            </w:pPr>
            <w:r>
              <w:t>12月底</w:t>
            </w:r>
          </w:p>
        </w:tc>
      </w:tr>
      <w:tr w14:paraId="6927E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F6ED1"/>
        </w:tc>
        <w:tc>
          <w:tcPr>
            <w:tcW w:w="5103" w:type="dxa"/>
            <w:gridSpan w:val="2"/>
            <w:vAlign w:val="center"/>
          </w:tcPr>
          <w:p w14:paraId="0ADE80C2">
            <w:pPr>
              <w:pStyle w:val="13"/>
            </w:pPr>
            <w:r>
              <w:t>25%</w:t>
            </w:r>
          </w:p>
        </w:tc>
        <w:tc>
          <w:tcPr>
            <w:tcW w:w="2835" w:type="dxa"/>
            <w:vAlign w:val="center"/>
          </w:tcPr>
          <w:p w14:paraId="27F03810">
            <w:pPr>
              <w:pStyle w:val="13"/>
            </w:pPr>
            <w:r>
              <w:t>50%</w:t>
            </w:r>
          </w:p>
        </w:tc>
        <w:tc>
          <w:tcPr>
            <w:tcW w:w="2551" w:type="dxa"/>
            <w:vAlign w:val="center"/>
          </w:tcPr>
          <w:p w14:paraId="7631BB63">
            <w:pPr>
              <w:pStyle w:val="13"/>
            </w:pPr>
            <w:r>
              <w:t>75%</w:t>
            </w:r>
          </w:p>
        </w:tc>
        <w:tc>
          <w:tcPr>
            <w:tcW w:w="3544" w:type="dxa"/>
            <w:gridSpan w:val="2"/>
            <w:vAlign w:val="center"/>
          </w:tcPr>
          <w:p w14:paraId="71CEF608">
            <w:pPr>
              <w:pStyle w:val="13"/>
            </w:pPr>
            <w:r>
              <w:t>100%</w:t>
            </w:r>
          </w:p>
        </w:tc>
      </w:tr>
      <w:tr w14:paraId="68946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387C5">
            <w:pPr>
              <w:pStyle w:val="10"/>
            </w:pPr>
            <w:r>
              <w:t>绩效目标</w:t>
            </w:r>
          </w:p>
        </w:tc>
        <w:tc>
          <w:tcPr>
            <w:tcW w:w="14033" w:type="dxa"/>
            <w:gridSpan w:val="6"/>
            <w:vAlign w:val="center"/>
          </w:tcPr>
          <w:p w14:paraId="766F9A6D">
            <w:pPr>
              <w:pStyle w:val="12"/>
            </w:pPr>
            <w:r>
              <w:t>1.保障义务教育学校正常运转，完成教育教学活动和其他日常工作任务等方面的费用支出。</w:t>
            </w:r>
          </w:p>
          <w:p w14:paraId="2B3CBAE7">
            <w:pPr>
              <w:pStyle w:val="12"/>
            </w:pPr>
            <w:r>
              <w:t>2.按季度分批次拨付公用经费资金369000元，资金拨付率达到100%。</w:t>
            </w:r>
          </w:p>
        </w:tc>
      </w:tr>
    </w:tbl>
    <w:p w14:paraId="60FF2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A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0DEC8">
            <w:pPr>
              <w:pStyle w:val="10"/>
            </w:pPr>
            <w:r>
              <w:t>一级指标</w:t>
            </w:r>
          </w:p>
        </w:tc>
        <w:tc>
          <w:tcPr>
            <w:tcW w:w="2268" w:type="dxa"/>
            <w:vAlign w:val="center"/>
          </w:tcPr>
          <w:p w14:paraId="40DB5942">
            <w:pPr>
              <w:pStyle w:val="10"/>
            </w:pPr>
            <w:r>
              <w:t>二级指标</w:t>
            </w:r>
          </w:p>
        </w:tc>
        <w:tc>
          <w:tcPr>
            <w:tcW w:w="2835" w:type="dxa"/>
            <w:vAlign w:val="center"/>
          </w:tcPr>
          <w:p w14:paraId="68774510">
            <w:pPr>
              <w:pStyle w:val="10"/>
            </w:pPr>
            <w:r>
              <w:t>三级指标</w:t>
            </w:r>
          </w:p>
        </w:tc>
        <w:tc>
          <w:tcPr>
            <w:tcW w:w="5386" w:type="dxa"/>
            <w:vAlign w:val="center"/>
          </w:tcPr>
          <w:p w14:paraId="7B614013">
            <w:pPr>
              <w:pStyle w:val="10"/>
            </w:pPr>
            <w:r>
              <w:t>绩效指标描述</w:t>
            </w:r>
          </w:p>
        </w:tc>
        <w:tc>
          <w:tcPr>
            <w:tcW w:w="2268" w:type="dxa"/>
            <w:vAlign w:val="center"/>
          </w:tcPr>
          <w:p w14:paraId="361DF90F">
            <w:pPr>
              <w:pStyle w:val="10"/>
            </w:pPr>
            <w:r>
              <w:t>指标值</w:t>
            </w:r>
          </w:p>
        </w:tc>
        <w:tc>
          <w:tcPr>
            <w:tcW w:w="1276" w:type="dxa"/>
            <w:vAlign w:val="center"/>
          </w:tcPr>
          <w:p w14:paraId="71A0B535">
            <w:pPr>
              <w:pStyle w:val="10"/>
            </w:pPr>
            <w:r>
              <w:t>指标值确定依据</w:t>
            </w:r>
          </w:p>
        </w:tc>
      </w:tr>
      <w:tr w14:paraId="4935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9A4AB">
            <w:pPr>
              <w:pStyle w:val="13"/>
            </w:pPr>
            <w:r>
              <w:t>产出指标</w:t>
            </w:r>
          </w:p>
        </w:tc>
        <w:tc>
          <w:tcPr>
            <w:tcW w:w="2268" w:type="dxa"/>
            <w:vAlign w:val="center"/>
          </w:tcPr>
          <w:p w14:paraId="3DAEBADE">
            <w:pPr>
              <w:pStyle w:val="12"/>
            </w:pPr>
            <w:r>
              <w:t>数量指标</w:t>
            </w:r>
          </w:p>
        </w:tc>
        <w:tc>
          <w:tcPr>
            <w:tcW w:w="2835" w:type="dxa"/>
            <w:vAlign w:val="center"/>
          </w:tcPr>
          <w:p w14:paraId="327BE78F">
            <w:pPr>
              <w:pStyle w:val="12"/>
            </w:pPr>
            <w:r>
              <w:t>适龄在校生</w:t>
            </w:r>
          </w:p>
        </w:tc>
        <w:tc>
          <w:tcPr>
            <w:tcW w:w="5386" w:type="dxa"/>
            <w:vAlign w:val="center"/>
          </w:tcPr>
          <w:p w14:paraId="27A7692C">
            <w:pPr>
              <w:pStyle w:val="12"/>
            </w:pPr>
            <w:r>
              <w:t>适龄在校就读学生人数</w:t>
            </w:r>
          </w:p>
        </w:tc>
        <w:tc>
          <w:tcPr>
            <w:tcW w:w="2268" w:type="dxa"/>
            <w:vAlign w:val="center"/>
          </w:tcPr>
          <w:p w14:paraId="5105FA1A">
            <w:pPr>
              <w:pStyle w:val="12"/>
            </w:pPr>
            <w:r>
              <w:t>625人</w:t>
            </w:r>
          </w:p>
        </w:tc>
        <w:tc>
          <w:tcPr>
            <w:tcW w:w="1276" w:type="dxa"/>
            <w:vAlign w:val="center"/>
          </w:tcPr>
          <w:p w14:paraId="4D87B450">
            <w:pPr>
              <w:pStyle w:val="12"/>
            </w:pPr>
            <w:r>
              <w:t>城乡义务教育公用经费管理办法</w:t>
            </w:r>
          </w:p>
        </w:tc>
      </w:tr>
      <w:tr w14:paraId="468AD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348B7"/>
        </w:tc>
        <w:tc>
          <w:tcPr>
            <w:tcW w:w="2268" w:type="dxa"/>
            <w:vAlign w:val="center"/>
          </w:tcPr>
          <w:p w14:paraId="18E3A155">
            <w:pPr>
              <w:pStyle w:val="12"/>
            </w:pPr>
            <w:r>
              <w:t>质量指标</w:t>
            </w:r>
          </w:p>
        </w:tc>
        <w:tc>
          <w:tcPr>
            <w:tcW w:w="2835" w:type="dxa"/>
            <w:vAlign w:val="center"/>
          </w:tcPr>
          <w:p w14:paraId="26C4048D">
            <w:pPr>
              <w:pStyle w:val="12"/>
            </w:pPr>
            <w:r>
              <w:t>公用经费拨付完成率</w:t>
            </w:r>
          </w:p>
        </w:tc>
        <w:tc>
          <w:tcPr>
            <w:tcW w:w="5386" w:type="dxa"/>
            <w:vAlign w:val="center"/>
          </w:tcPr>
          <w:p w14:paraId="792C83B2">
            <w:pPr>
              <w:pStyle w:val="12"/>
            </w:pPr>
            <w:r>
              <w:t>公用经费拨付完成率达到需时进度</w:t>
            </w:r>
          </w:p>
        </w:tc>
        <w:tc>
          <w:tcPr>
            <w:tcW w:w="2268" w:type="dxa"/>
            <w:vAlign w:val="center"/>
          </w:tcPr>
          <w:p w14:paraId="1EEA72CC">
            <w:pPr>
              <w:pStyle w:val="12"/>
            </w:pPr>
            <w:r>
              <w:t>100%</w:t>
            </w:r>
          </w:p>
        </w:tc>
        <w:tc>
          <w:tcPr>
            <w:tcW w:w="1276" w:type="dxa"/>
            <w:vAlign w:val="center"/>
          </w:tcPr>
          <w:p w14:paraId="417B2D3D">
            <w:pPr>
              <w:pStyle w:val="12"/>
            </w:pPr>
            <w:r>
              <w:t>城乡义务教育公用经费管理办法</w:t>
            </w:r>
          </w:p>
        </w:tc>
      </w:tr>
      <w:tr w14:paraId="576B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86E03"/>
        </w:tc>
        <w:tc>
          <w:tcPr>
            <w:tcW w:w="2268" w:type="dxa"/>
            <w:vAlign w:val="center"/>
          </w:tcPr>
          <w:p w14:paraId="36FAFED1">
            <w:pPr>
              <w:pStyle w:val="12"/>
            </w:pPr>
            <w:r>
              <w:t>时效指标</w:t>
            </w:r>
          </w:p>
        </w:tc>
        <w:tc>
          <w:tcPr>
            <w:tcW w:w="2835" w:type="dxa"/>
            <w:vAlign w:val="center"/>
          </w:tcPr>
          <w:p w14:paraId="1317E863">
            <w:pPr>
              <w:pStyle w:val="12"/>
            </w:pPr>
            <w:r>
              <w:t>资金支付率</w:t>
            </w:r>
          </w:p>
        </w:tc>
        <w:tc>
          <w:tcPr>
            <w:tcW w:w="5386" w:type="dxa"/>
            <w:vAlign w:val="center"/>
          </w:tcPr>
          <w:p w14:paraId="7ED0E284">
            <w:pPr>
              <w:pStyle w:val="12"/>
            </w:pPr>
            <w:r>
              <w:t>按照序时进度完成资金支付</w:t>
            </w:r>
          </w:p>
        </w:tc>
        <w:tc>
          <w:tcPr>
            <w:tcW w:w="2268" w:type="dxa"/>
            <w:vAlign w:val="center"/>
          </w:tcPr>
          <w:p w14:paraId="13C21DC8">
            <w:pPr>
              <w:pStyle w:val="12"/>
            </w:pPr>
            <w:r>
              <w:t>100%</w:t>
            </w:r>
          </w:p>
        </w:tc>
        <w:tc>
          <w:tcPr>
            <w:tcW w:w="1276" w:type="dxa"/>
            <w:vAlign w:val="center"/>
          </w:tcPr>
          <w:p w14:paraId="2D26BDB9">
            <w:pPr>
              <w:pStyle w:val="12"/>
            </w:pPr>
            <w:r>
              <w:t>城乡义务教育公用经费管理办法</w:t>
            </w:r>
          </w:p>
        </w:tc>
      </w:tr>
      <w:tr w14:paraId="04FF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565EA"/>
        </w:tc>
        <w:tc>
          <w:tcPr>
            <w:tcW w:w="2268" w:type="dxa"/>
            <w:vAlign w:val="center"/>
          </w:tcPr>
          <w:p w14:paraId="7B0D6C92">
            <w:pPr>
              <w:pStyle w:val="12"/>
            </w:pPr>
            <w:r>
              <w:t>成本指标</w:t>
            </w:r>
          </w:p>
        </w:tc>
        <w:tc>
          <w:tcPr>
            <w:tcW w:w="2835" w:type="dxa"/>
            <w:vAlign w:val="center"/>
          </w:tcPr>
          <w:p w14:paraId="5C13CF82">
            <w:pPr>
              <w:pStyle w:val="12"/>
            </w:pPr>
            <w:r>
              <w:t>生均拨款标准</w:t>
            </w:r>
          </w:p>
        </w:tc>
        <w:tc>
          <w:tcPr>
            <w:tcW w:w="5386" w:type="dxa"/>
            <w:vAlign w:val="center"/>
          </w:tcPr>
          <w:p w14:paraId="0452A898">
            <w:pPr>
              <w:pStyle w:val="12"/>
            </w:pPr>
            <w:r>
              <w:t>小学：（基本标准720元、寄宿生300元、取暖费120元）/生/学年；特教、随班就读学生：标准7000元/生/学年。</w:t>
            </w:r>
          </w:p>
        </w:tc>
        <w:tc>
          <w:tcPr>
            <w:tcW w:w="2268" w:type="dxa"/>
            <w:vAlign w:val="center"/>
          </w:tcPr>
          <w:p w14:paraId="414B2964">
            <w:pPr>
              <w:pStyle w:val="12"/>
            </w:pPr>
            <w:r>
              <w:t>840元</w:t>
            </w:r>
          </w:p>
        </w:tc>
        <w:tc>
          <w:tcPr>
            <w:tcW w:w="1276" w:type="dxa"/>
            <w:vAlign w:val="center"/>
          </w:tcPr>
          <w:p w14:paraId="7275DE13">
            <w:pPr>
              <w:pStyle w:val="12"/>
            </w:pPr>
            <w:r>
              <w:t>城乡义务教育公用经费管理办法</w:t>
            </w:r>
          </w:p>
        </w:tc>
      </w:tr>
      <w:tr w14:paraId="7AA9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7FA5F">
            <w:pPr>
              <w:pStyle w:val="13"/>
            </w:pPr>
            <w:r>
              <w:t>效益指标</w:t>
            </w:r>
          </w:p>
        </w:tc>
        <w:tc>
          <w:tcPr>
            <w:tcW w:w="2268" w:type="dxa"/>
            <w:vAlign w:val="center"/>
          </w:tcPr>
          <w:p w14:paraId="3EA42056">
            <w:pPr>
              <w:pStyle w:val="12"/>
            </w:pPr>
            <w:r>
              <w:t>经济效益指标</w:t>
            </w:r>
          </w:p>
        </w:tc>
        <w:tc>
          <w:tcPr>
            <w:tcW w:w="2835" w:type="dxa"/>
            <w:vAlign w:val="center"/>
          </w:tcPr>
          <w:p w14:paraId="52F8FDB5">
            <w:pPr>
              <w:pStyle w:val="12"/>
            </w:pPr>
            <w:r>
              <w:t>项目实施成果</w:t>
            </w:r>
          </w:p>
        </w:tc>
        <w:tc>
          <w:tcPr>
            <w:tcW w:w="5386" w:type="dxa"/>
            <w:vAlign w:val="center"/>
          </w:tcPr>
          <w:p w14:paraId="0D6A4998">
            <w:pPr>
              <w:pStyle w:val="12"/>
            </w:pPr>
            <w:r>
              <w:t>减轻受教育学生家庭经济负担</w:t>
            </w:r>
          </w:p>
        </w:tc>
        <w:tc>
          <w:tcPr>
            <w:tcW w:w="2268" w:type="dxa"/>
            <w:vAlign w:val="center"/>
          </w:tcPr>
          <w:p w14:paraId="0A6F59A4">
            <w:pPr>
              <w:pStyle w:val="12"/>
            </w:pPr>
            <w:r>
              <w:t>100%</w:t>
            </w:r>
          </w:p>
        </w:tc>
        <w:tc>
          <w:tcPr>
            <w:tcW w:w="1276" w:type="dxa"/>
            <w:vAlign w:val="center"/>
          </w:tcPr>
          <w:p w14:paraId="59897765">
            <w:pPr>
              <w:pStyle w:val="12"/>
            </w:pPr>
            <w:r>
              <w:t>城乡义务教育公用经费管理办法</w:t>
            </w:r>
          </w:p>
        </w:tc>
      </w:tr>
      <w:tr w14:paraId="00A8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C8821"/>
        </w:tc>
        <w:tc>
          <w:tcPr>
            <w:tcW w:w="2268" w:type="dxa"/>
            <w:vAlign w:val="center"/>
          </w:tcPr>
          <w:p w14:paraId="7EB83EAD">
            <w:pPr>
              <w:pStyle w:val="12"/>
            </w:pPr>
            <w:r>
              <w:t>社会效益指标</w:t>
            </w:r>
          </w:p>
        </w:tc>
        <w:tc>
          <w:tcPr>
            <w:tcW w:w="2835" w:type="dxa"/>
            <w:vAlign w:val="center"/>
          </w:tcPr>
          <w:p w14:paraId="0D441AAF">
            <w:pPr>
              <w:pStyle w:val="12"/>
            </w:pPr>
            <w:r>
              <w:t>学校办学能力提升</w:t>
            </w:r>
          </w:p>
        </w:tc>
        <w:tc>
          <w:tcPr>
            <w:tcW w:w="5386" w:type="dxa"/>
            <w:vAlign w:val="center"/>
          </w:tcPr>
          <w:p w14:paraId="1F3065FF">
            <w:pPr>
              <w:pStyle w:val="12"/>
            </w:pPr>
            <w:r>
              <w:t>学校办学能</w:t>
            </w:r>
            <w:r>
              <w:rPr>
                <w:rFonts w:hint="eastAsia"/>
                <w:lang w:eastAsia="zh-CN"/>
              </w:rPr>
              <w:t>力提</w:t>
            </w:r>
            <w:r>
              <w:t>升情况及教育教学工作等开展的情况</w:t>
            </w:r>
          </w:p>
        </w:tc>
        <w:tc>
          <w:tcPr>
            <w:tcW w:w="2268" w:type="dxa"/>
            <w:vAlign w:val="center"/>
          </w:tcPr>
          <w:p w14:paraId="28D9EF05">
            <w:pPr>
              <w:pStyle w:val="12"/>
            </w:pPr>
            <w:r>
              <w:t>100%</w:t>
            </w:r>
          </w:p>
        </w:tc>
        <w:tc>
          <w:tcPr>
            <w:tcW w:w="1276" w:type="dxa"/>
            <w:vAlign w:val="center"/>
          </w:tcPr>
          <w:p w14:paraId="41C39408">
            <w:pPr>
              <w:pStyle w:val="12"/>
            </w:pPr>
            <w:r>
              <w:t>城乡义务教育公用经费管理办法</w:t>
            </w:r>
          </w:p>
        </w:tc>
      </w:tr>
      <w:tr w14:paraId="5E63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42393"/>
        </w:tc>
        <w:tc>
          <w:tcPr>
            <w:tcW w:w="2268" w:type="dxa"/>
            <w:vAlign w:val="center"/>
          </w:tcPr>
          <w:p w14:paraId="0FC86DAF">
            <w:pPr>
              <w:pStyle w:val="12"/>
            </w:pPr>
            <w:r>
              <w:t>可持续影响指标</w:t>
            </w:r>
          </w:p>
        </w:tc>
        <w:tc>
          <w:tcPr>
            <w:tcW w:w="2835" w:type="dxa"/>
            <w:vAlign w:val="center"/>
          </w:tcPr>
          <w:p w14:paraId="3AF9FBB0">
            <w:pPr>
              <w:pStyle w:val="12"/>
            </w:pPr>
            <w:r>
              <w:t>教育发展水平</w:t>
            </w:r>
          </w:p>
        </w:tc>
        <w:tc>
          <w:tcPr>
            <w:tcW w:w="5386" w:type="dxa"/>
            <w:vAlign w:val="center"/>
          </w:tcPr>
          <w:p w14:paraId="1214AF91">
            <w:pPr>
              <w:pStyle w:val="12"/>
            </w:pPr>
            <w:r>
              <w:t>辖区内教育环境明显好转</w:t>
            </w:r>
          </w:p>
        </w:tc>
        <w:tc>
          <w:tcPr>
            <w:tcW w:w="2268" w:type="dxa"/>
            <w:vAlign w:val="center"/>
          </w:tcPr>
          <w:p w14:paraId="0F397A6A">
            <w:pPr>
              <w:pStyle w:val="12"/>
            </w:pPr>
            <w:r>
              <w:t>100%</w:t>
            </w:r>
          </w:p>
        </w:tc>
        <w:tc>
          <w:tcPr>
            <w:tcW w:w="1276" w:type="dxa"/>
            <w:vAlign w:val="center"/>
          </w:tcPr>
          <w:p w14:paraId="455B8AEB">
            <w:pPr>
              <w:pStyle w:val="12"/>
            </w:pPr>
            <w:r>
              <w:t>城乡义务教育公用经费管理办法</w:t>
            </w:r>
          </w:p>
        </w:tc>
      </w:tr>
      <w:tr w14:paraId="22B0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BCCB0">
            <w:pPr>
              <w:pStyle w:val="13"/>
            </w:pPr>
            <w:r>
              <w:t>满意度指标</w:t>
            </w:r>
          </w:p>
        </w:tc>
        <w:tc>
          <w:tcPr>
            <w:tcW w:w="2268" w:type="dxa"/>
            <w:vAlign w:val="center"/>
          </w:tcPr>
          <w:p w14:paraId="085BF4F6">
            <w:pPr>
              <w:pStyle w:val="12"/>
            </w:pPr>
            <w:r>
              <w:t>服务对象满意度指标</w:t>
            </w:r>
          </w:p>
        </w:tc>
        <w:tc>
          <w:tcPr>
            <w:tcW w:w="2835" w:type="dxa"/>
            <w:vAlign w:val="center"/>
          </w:tcPr>
          <w:p w14:paraId="03D8DE7F">
            <w:pPr>
              <w:pStyle w:val="12"/>
            </w:pPr>
            <w:r>
              <w:t>受益学生家长及调查满意度</w:t>
            </w:r>
          </w:p>
        </w:tc>
        <w:tc>
          <w:tcPr>
            <w:tcW w:w="5386" w:type="dxa"/>
            <w:vAlign w:val="center"/>
          </w:tcPr>
          <w:p w14:paraId="14CD0737">
            <w:pPr>
              <w:pStyle w:val="12"/>
            </w:pPr>
            <w:r>
              <w:t>学生、教师及家长对学校保教保育工作满意度情况</w:t>
            </w:r>
          </w:p>
        </w:tc>
        <w:tc>
          <w:tcPr>
            <w:tcW w:w="2268" w:type="dxa"/>
            <w:vAlign w:val="center"/>
          </w:tcPr>
          <w:p w14:paraId="16AB8DFC">
            <w:pPr>
              <w:pStyle w:val="12"/>
            </w:pPr>
            <w:r>
              <w:t>≥95%</w:t>
            </w:r>
          </w:p>
        </w:tc>
        <w:tc>
          <w:tcPr>
            <w:tcW w:w="1276" w:type="dxa"/>
            <w:vAlign w:val="center"/>
          </w:tcPr>
          <w:p w14:paraId="2175B576">
            <w:pPr>
              <w:pStyle w:val="12"/>
            </w:pPr>
            <w:r>
              <w:t>城乡义务教育公用经费管理办法</w:t>
            </w:r>
          </w:p>
        </w:tc>
      </w:tr>
    </w:tbl>
    <w:p w14:paraId="5106E7CB">
      <w:pPr>
        <w:sectPr>
          <w:pgSz w:w="16840" w:h="11900" w:orient="landscape"/>
          <w:pgMar w:top="1361" w:right="1020" w:bottom="1134" w:left="1020" w:header="720" w:footer="720" w:gutter="0"/>
          <w:cols w:space="720" w:num="1"/>
        </w:sectPr>
      </w:pPr>
    </w:p>
    <w:p w14:paraId="14A4D6BF">
      <w:pPr>
        <w:spacing w:before="0" w:after="0"/>
        <w:ind w:firstLine="560"/>
        <w:jc w:val="left"/>
        <w:outlineLvl w:val="9"/>
      </w:pPr>
      <w:r>
        <w:rPr>
          <w:rFonts w:ascii="方正仿宋_GBK" w:hAnsi="方正仿宋_GBK" w:eastAsia="方正仿宋_GBK" w:cs="方正仿宋_GBK"/>
          <w:b/>
          <w:color w:val="000000"/>
          <w:sz w:val="28"/>
        </w:rPr>
        <w:t>9、冀财教[2025]121号/中央/2026年义教补助经费/东良校区泽畔小学公用经费绩效目标表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36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63111">
            <w:pPr>
              <w:pStyle w:val="11"/>
            </w:pPr>
            <w:r>
              <w:t>单位：万元</w:t>
            </w:r>
          </w:p>
        </w:tc>
      </w:tr>
      <w:tr w14:paraId="46E27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18CCA">
            <w:pPr>
              <w:pStyle w:val="10"/>
            </w:pPr>
            <w:r>
              <w:t>项目编码</w:t>
            </w:r>
          </w:p>
        </w:tc>
        <w:tc>
          <w:tcPr>
            <w:tcW w:w="5103" w:type="dxa"/>
            <w:gridSpan w:val="2"/>
            <w:vAlign w:val="center"/>
          </w:tcPr>
          <w:p w14:paraId="40D5FD48">
            <w:pPr>
              <w:pStyle w:val="12"/>
            </w:pPr>
            <w:r>
              <w:t>13052526P00000410281K</w:t>
            </w:r>
          </w:p>
        </w:tc>
        <w:tc>
          <w:tcPr>
            <w:tcW w:w="2835" w:type="dxa"/>
            <w:vAlign w:val="center"/>
          </w:tcPr>
          <w:p w14:paraId="238279AA">
            <w:pPr>
              <w:pStyle w:val="10"/>
            </w:pPr>
            <w:r>
              <w:t>项目名称</w:t>
            </w:r>
          </w:p>
        </w:tc>
        <w:tc>
          <w:tcPr>
            <w:tcW w:w="6095" w:type="dxa"/>
            <w:gridSpan w:val="3"/>
            <w:vAlign w:val="center"/>
          </w:tcPr>
          <w:p w14:paraId="75FD0C1A">
            <w:pPr>
              <w:pStyle w:val="12"/>
            </w:pPr>
            <w:r>
              <w:t>冀财教[2025]121号/中央/2026年义教补助经费/东良校区泽畔小学公用经费</w:t>
            </w:r>
          </w:p>
        </w:tc>
      </w:tr>
      <w:tr w14:paraId="5F757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D69A4">
            <w:pPr>
              <w:pStyle w:val="10"/>
            </w:pPr>
            <w:r>
              <w:t>预算规模及资金用途</w:t>
            </w:r>
          </w:p>
        </w:tc>
        <w:tc>
          <w:tcPr>
            <w:tcW w:w="2268" w:type="dxa"/>
            <w:vAlign w:val="center"/>
          </w:tcPr>
          <w:p w14:paraId="08EDDAF0">
            <w:pPr>
              <w:pStyle w:val="10"/>
            </w:pPr>
            <w:r>
              <w:t>预算数</w:t>
            </w:r>
          </w:p>
        </w:tc>
        <w:tc>
          <w:tcPr>
            <w:tcW w:w="2835" w:type="dxa"/>
            <w:vAlign w:val="center"/>
          </w:tcPr>
          <w:p w14:paraId="176FE790">
            <w:pPr>
              <w:pStyle w:val="12"/>
            </w:pPr>
            <w:r>
              <w:t>50.94</w:t>
            </w:r>
          </w:p>
        </w:tc>
        <w:tc>
          <w:tcPr>
            <w:tcW w:w="2835" w:type="dxa"/>
            <w:vAlign w:val="center"/>
          </w:tcPr>
          <w:p w14:paraId="605FE0AC">
            <w:pPr>
              <w:pStyle w:val="10"/>
            </w:pPr>
            <w:r>
              <w:t>其中：财政    资金</w:t>
            </w:r>
          </w:p>
        </w:tc>
        <w:tc>
          <w:tcPr>
            <w:tcW w:w="2551" w:type="dxa"/>
            <w:vAlign w:val="center"/>
          </w:tcPr>
          <w:p w14:paraId="6B5583AD">
            <w:pPr>
              <w:pStyle w:val="12"/>
            </w:pPr>
            <w:r>
              <w:t>50.94</w:t>
            </w:r>
          </w:p>
        </w:tc>
        <w:tc>
          <w:tcPr>
            <w:tcW w:w="2268" w:type="dxa"/>
            <w:vAlign w:val="center"/>
          </w:tcPr>
          <w:p w14:paraId="5A63B9AA">
            <w:pPr>
              <w:pStyle w:val="10"/>
            </w:pPr>
            <w:r>
              <w:t>其他资金</w:t>
            </w:r>
          </w:p>
        </w:tc>
        <w:tc>
          <w:tcPr>
            <w:tcW w:w="1276" w:type="dxa"/>
            <w:vAlign w:val="center"/>
          </w:tcPr>
          <w:p w14:paraId="3245C1F2">
            <w:pPr>
              <w:pStyle w:val="12"/>
            </w:pPr>
            <w:r>
              <w:t xml:space="preserve"> </w:t>
            </w:r>
          </w:p>
        </w:tc>
      </w:tr>
      <w:tr w14:paraId="5F7ED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F2D10"/>
        </w:tc>
        <w:tc>
          <w:tcPr>
            <w:tcW w:w="14033" w:type="dxa"/>
            <w:gridSpan w:val="6"/>
            <w:vAlign w:val="center"/>
          </w:tcPr>
          <w:p w14:paraId="3860909B">
            <w:pPr>
              <w:pStyle w:val="12"/>
            </w:pPr>
            <w:r>
              <w:t>保障义务教育学校正常运转，完成教育教学活动和其他日常工作任务等方面的费用支出。</w:t>
            </w:r>
          </w:p>
        </w:tc>
      </w:tr>
      <w:tr w14:paraId="48630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CD92B">
            <w:pPr>
              <w:pStyle w:val="10"/>
            </w:pPr>
            <w:r>
              <w:t>资金支出计划（%）</w:t>
            </w:r>
          </w:p>
        </w:tc>
        <w:tc>
          <w:tcPr>
            <w:tcW w:w="5103" w:type="dxa"/>
            <w:gridSpan w:val="2"/>
            <w:vAlign w:val="center"/>
          </w:tcPr>
          <w:p w14:paraId="7B8008FA">
            <w:pPr>
              <w:pStyle w:val="10"/>
            </w:pPr>
            <w:r>
              <w:t>3月底</w:t>
            </w:r>
          </w:p>
        </w:tc>
        <w:tc>
          <w:tcPr>
            <w:tcW w:w="2835" w:type="dxa"/>
            <w:vAlign w:val="center"/>
          </w:tcPr>
          <w:p w14:paraId="5D4BC2B4">
            <w:pPr>
              <w:pStyle w:val="10"/>
            </w:pPr>
            <w:r>
              <w:t>6月底</w:t>
            </w:r>
          </w:p>
        </w:tc>
        <w:tc>
          <w:tcPr>
            <w:tcW w:w="2551" w:type="dxa"/>
            <w:vAlign w:val="center"/>
          </w:tcPr>
          <w:p w14:paraId="7C501B12">
            <w:pPr>
              <w:pStyle w:val="10"/>
            </w:pPr>
            <w:r>
              <w:t>10月底</w:t>
            </w:r>
          </w:p>
        </w:tc>
        <w:tc>
          <w:tcPr>
            <w:tcW w:w="3544" w:type="dxa"/>
            <w:gridSpan w:val="2"/>
            <w:vAlign w:val="center"/>
          </w:tcPr>
          <w:p w14:paraId="1EA5609D">
            <w:pPr>
              <w:pStyle w:val="10"/>
            </w:pPr>
            <w:r>
              <w:t>12月底</w:t>
            </w:r>
          </w:p>
        </w:tc>
      </w:tr>
      <w:tr w14:paraId="797B7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9AB84"/>
        </w:tc>
        <w:tc>
          <w:tcPr>
            <w:tcW w:w="5103" w:type="dxa"/>
            <w:gridSpan w:val="2"/>
            <w:vAlign w:val="center"/>
          </w:tcPr>
          <w:p w14:paraId="3482C40C">
            <w:pPr>
              <w:pStyle w:val="13"/>
            </w:pPr>
            <w:r>
              <w:t>25%</w:t>
            </w:r>
          </w:p>
        </w:tc>
        <w:tc>
          <w:tcPr>
            <w:tcW w:w="2835" w:type="dxa"/>
            <w:vAlign w:val="center"/>
          </w:tcPr>
          <w:p w14:paraId="7B1B1713">
            <w:pPr>
              <w:pStyle w:val="13"/>
            </w:pPr>
            <w:r>
              <w:t>50%</w:t>
            </w:r>
          </w:p>
        </w:tc>
        <w:tc>
          <w:tcPr>
            <w:tcW w:w="2551" w:type="dxa"/>
            <w:vAlign w:val="center"/>
          </w:tcPr>
          <w:p w14:paraId="4B67DA09">
            <w:pPr>
              <w:pStyle w:val="13"/>
            </w:pPr>
            <w:r>
              <w:t>75%</w:t>
            </w:r>
          </w:p>
        </w:tc>
        <w:tc>
          <w:tcPr>
            <w:tcW w:w="3544" w:type="dxa"/>
            <w:gridSpan w:val="2"/>
            <w:vAlign w:val="center"/>
          </w:tcPr>
          <w:p w14:paraId="6D3C75ED">
            <w:pPr>
              <w:pStyle w:val="13"/>
            </w:pPr>
            <w:r>
              <w:t>100%</w:t>
            </w:r>
          </w:p>
        </w:tc>
      </w:tr>
      <w:tr w14:paraId="09DC4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82600">
            <w:pPr>
              <w:pStyle w:val="10"/>
            </w:pPr>
            <w:r>
              <w:t>绩效目标</w:t>
            </w:r>
          </w:p>
        </w:tc>
        <w:tc>
          <w:tcPr>
            <w:tcW w:w="14033" w:type="dxa"/>
            <w:gridSpan w:val="6"/>
            <w:vAlign w:val="center"/>
          </w:tcPr>
          <w:p w14:paraId="5AB518BA">
            <w:pPr>
              <w:pStyle w:val="12"/>
            </w:pPr>
            <w:r>
              <w:t>1.保障义务教育学校正常运转，完成教育教学活动和其他日常工作任务等方面的费用支出。</w:t>
            </w:r>
          </w:p>
          <w:p w14:paraId="42ED4119">
            <w:pPr>
              <w:pStyle w:val="12"/>
            </w:pPr>
            <w:r>
              <w:t>2.按季度分批次拨付公用经费资金509400元，资金拨付率达到100%。</w:t>
            </w:r>
          </w:p>
        </w:tc>
      </w:tr>
    </w:tbl>
    <w:p w14:paraId="1AD144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4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3DCD2">
            <w:pPr>
              <w:pStyle w:val="10"/>
            </w:pPr>
            <w:r>
              <w:t>一级指标</w:t>
            </w:r>
          </w:p>
        </w:tc>
        <w:tc>
          <w:tcPr>
            <w:tcW w:w="2268" w:type="dxa"/>
            <w:vAlign w:val="center"/>
          </w:tcPr>
          <w:p w14:paraId="53F82D81">
            <w:pPr>
              <w:pStyle w:val="10"/>
            </w:pPr>
            <w:r>
              <w:t>二级指标</w:t>
            </w:r>
          </w:p>
        </w:tc>
        <w:tc>
          <w:tcPr>
            <w:tcW w:w="2835" w:type="dxa"/>
            <w:vAlign w:val="center"/>
          </w:tcPr>
          <w:p w14:paraId="45C8C5B1">
            <w:pPr>
              <w:pStyle w:val="10"/>
            </w:pPr>
            <w:r>
              <w:t>三级指标</w:t>
            </w:r>
          </w:p>
        </w:tc>
        <w:tc>
          <w:tcPr>
            <w:tcW w:w="5386" w:type="dxa"/>
            <w:vAlign w:val="center"/>
          </w:tcPr>
          <w:p w14:paraId="4003F212">
            <w:pPr>
              <w:pStyle w:val="10"/>
            </w:pPr>
            <w:r>
              <w:t>绩效指标描述</w:t>
            </w:r>
          </w:p>
        </w:tc>
        <w:tc>
          <w:tcPr>
            <w:tcW w:w="2268" w:type="dxa"/>
            <w:vAlign w:val="center"/>
          </w:tcPr>
          <w:p w14:paraId="74C0A8ED">
            <w:pPr>
              <w:pStyle w:val="10"/>
            </w:pPr>
            <w:r>
              <w:t>指标值</w:t>
            </w:r>
          </w:p>
        </w:tc>
        <w:tc>
          <w:tcPr>
            <w:tcW w:w="1276" w:type="dxa"/>
            <w:vAlign w:val="center"/>
          </w:tcPr>
          <w:p w14:paraId="6882F1D4">
            <w:pPr>
              <w:pStyle w:val="10"/>
            </w:pPr>
            <w:r>
              <w:t>指标值确定依据</w:t>
            </w:r>
          </w:p>
        </w:tc>
      </w:tr>
      <w:tr w14:paraId="4505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8BEBC">
            <w:pPr>
              <w:pStyle w:val="13"/>
            </w:pPr>
            <w:r>
              <w:t>产出指标</w:t>
            </w:r>
          </w:p>
        </w:tc>
        <w:tc>
          <w:tcPr>
            <w:tcW w:w="2268" w:type="dxa"/>
            <w:vAlign w:val="center"/>
          </w:tcPr>
          <w:p w14:paraId="05250421">
            <w:pPr>
              <w:pStyle w:val="12"/>
            </w:pPr>
            <w:r>
              <w:t>数量指标</w:t>
            </w:r>
          </w:p>
        </w:tc>
        <w:tc>
          <w:tcPr>
            <w:tcW w:w="2835" w:type="dxa"/>
            <w:vAlign w:val="center"/>
          </w:tcPr>
          <w:p w14:paraId="2F8683B2">
            <w:pPr>
              <w:pStyle w:val="12"/>
            </w:pPr>
            <w:r>
              <w:t>适龄在校生</w:t>
            </w:r>
          </w:p>
        </w:tc>
        <w:tc>
          <w:tcPr>
            <w:tcW w:w="5386" w:type="dxa"/>
            <w:vAlign w:val="center"/>
          </w:tcPr>
          <w:p w14:paraId="567EFDC7">
            <w:pPr>
              <w:pStyle w:val="12"/>
            </w:pPr>
            <w:r>
              <w:t>适龄在校就读学生人数</w:t>
            </w:r>
          </w:p>
        </w:tc>
        <w:tc>
          <w:tcPr>
            <w:tcW w:w="2268" w:type="dxa"/>
            <w:vAlign w:val="center"/>
          </w:tcPr>
          <w:p w14:paraId="230D856A">
            <w:pPr>
              <w:pStyle w:val="12"/>
            </w:pPr>
            <w:r>
              <w:t>890人</w:t>
            </w:r>
          </w:p>
        </w:tc>
        <w:tc>
          <w:tcPr>
            <w:tcW w:w="1276" w:type="dxa"/>
            <w:vAlign w:val="center"/>
          </w:tcPr>
          <w:p w14:paraId="173CA5B6">
            <w:pPr>
              <w:pStyle w:val="12"/>
            </w:pPr>
            <w:r>
              <w:t>城乡义务教育公用经费管理办法</w:t>
            </w:r>
          </w:p>
        </w:tc>
      </w:tr>
      <w:tr w14:paraId="1A5E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92B38"/>
        </w:tc>
        <w:tc>
          <w:tcPr>
            <w:tcW w:w="2268" w:type="dxa"/>
            <w:vAlign w:val="center"/>
          </w:tcPr>
          <w:p w14:paraId="65DAF9BE">
            <w:pPr>
              <w:pStyle w:val="12"/>
            </w:pPr>
            <w:r>
              <w:t>质量指标</w:t>
            </w:r>
          </w:p>
        </w:tc>
        <w:tc>
          <w:tcPr>
            <w:tcW w:w="2835" w:type="dxa"/>
            <w:vAlign w:val="center"/>
          </w:tcPr>
          <w:p w14:paraId="2CE7AF5B">
            <w:pPr>
              <w:pStyle w:val="12"/>
            </w:pPr>
            <w:r>
              <w:t>公用经费拨付完成率</w:t>
            </w:r>
          </w:p>
        </w:tc>
        <w:tc>
          <w:tcPr>
            <w:tcW w:w="5386" w:type="dxa"/>
            <w:vAlign w:val="center"/>
          </w:tcPr>
          <w:p w14:paraId="060499C2">
            <w:pPr>
              <w:pStyle w:val="12"/>
            </w:pPr>
            <w:r>
              <w:t>公用经费拨付完成率达到需时进度</w:t>
            </w:r>
          </w:p>
        </w:tc>
        <w:tc>
          <w:tcPr>
            <w:tcW w:w="2268" w:type="dxa"/>
            <w:vAlign w:val="center"/>
          </w:tcPr>
          <w:p w14:paraId="5462C229">
            <w:pPr>
              <w:pStyle w:val="12"/>
            </w:pPr>
            <w:r>
              <w:t>100%</w:t>
            </w:r>
          </w:p>
        </w:tc>
        <w:tc>
          <w:tcPr>
            <w:tcW w:w="1276" w:type="dxa"/>
            <w:vAlign w:val="center"/>
          </w:tcPr>
          <w:p w14:paraId="3629E77B">
            <w:pPr>
              <w:pStyle w:val="12"/>
            </w:pPr>
            <w:r>
              <w:t>城乡义务教育公用经费管理办法</w:t>
            </w:r>
          </w:p>
        </w:tc>
      </w:tr>
      <w:tr w14:paraId="4A361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64DFB"/>
        </w:tc>
        <w:tc>
          <w:tcPr>
            <w:tcW w:w="2268" w:type="dxa"/>
            <w:vAlign w:val="center"/>
          </w:tcPr>
          <w:p w14:paraId="2F70B30F">
            <w:pPr>
              <w:pStyle w:val="12"/>
            </w:pPr>
            <w:r>
              <w:t>时效指标</w:t>
            </w:r>
          </w:p>
        </w:tc>
        <w:tc>
          <w:tcPr>
            <w:tcW w:w="2835" w:type="dxa"/>
            <w:vAlign w:val="center"/>
          </w:tcPr>
          <w:p w14:paraId="546D85EC">
            <w:pPr>
              <w:pStyle w:val="12"/>
            </w:pPr>
            <w:r>
              <w:t>资金支付率</w:t>
            </w:r>
          </w:p>
        </w:tc>
        <w:tc>
          <w:tcPr>
            <w:tcW w:w="5386" w:type="dxa"/>
            <w:vAlign w:val="center"/>
          </w:tcPr>
          <w:p w14:paraId="18B9A589">
            <w:pPr>
              <w:pStyle w:val="12"/>
            </w:pPr>
            <w:r>
              <w:t>按照序时进度完成资金支付</w:t>
            </w:r>
          </w:p>
        </w:tc>
        <w:tc>
          <w:tcPr>
            <w:tcW w:w="2268" w:type="dxa"/>
            <w:vAlign w:val="center"/>
          </w:tcPr>
          <w:p w14:paraId="1CDD960E">
            <w:pPr>
              <w:pStyle w:val="12"/>
            </w:pPr>
            <w:r>
              <w:t>100%</w:t>
            </w:r>
          </w:p>
        </w:tc>
        <w:tc>
          <w:tcPr>
            <w:tcW w:w="1276" w:type="dxa"/>
            <w:vAlign w:val="center"/>
          </w:tcPr>
          <w:p w14:paraId="6EB41245">
            <w:pPr>
              <w:pStyle w:val="12"/>
            </w:pPr>
            <w:r>
              <w:t>城乡义务教育公用经费管理办法</w:t>
            </w:r>
          </w:p>
        </w:tc>
      </w:tr>
      <w:tr w14:paraId="7D57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A3803"/>
        </w:tc>
        <w:tc>
          <w:tcPr>
            <w:tcW w:w="2268" w:type="dxa"/>
            <w:vAlign w:val="center"/>
          </w:tcPr>
          <w:p w14:paraId="54462CA5">
            <w:pPr>
              <w:pStyle w:val="12"/>
            </w:pPr>
            <w:r>
              <w:t>成本指标</w:t>
            </w:r>
          </w:p>
        </w:tc>
        <w:tc>
          <w:tcPr>
            <w:tcW w:w="2835" w:type="dxa"/>
            <w:vAlign w:val="center"/>
          </w:tcPr>
          <w:p w14:paraId="64E6D2AD">
            <w:pPr>
              <w:pStyle w:val="12"/>
            </w:pPr>
            <w:r>
              <w:t>生均拨款标准</w:t>
            </w:r>
          </w:p>
        </w:tc>
        <w:tc>
          <w:tcPr>
            <w:tcW w:w="5386" w:type="dxa"/>
            <w:vAlign w:val="center"/>
          </w:tcPr>
          <w:p w14:paraId="3D5E31DE">
            <w:pPr>
              <w:pStyle w:val="12"/>
            </w:pPr>
            <w:r>
              <w:t>小学：（基本标准720元、寄宿生300元、取暖费120元）/生/学年；特教、随班就读学生：标准7000元/生/学年。</w:t>
            </w:r>
          </w:p>
        </w:tc>
        <w:tc>
          <w:tcPr>
            <w:tcW w:w="2268" w:type="dxa"/>
            <w:vAlign w:val="center"/>
          </w:tcPr>
          <w:p w14:paraId="17AF3F8C">
            <w:pPr>
              <w:pStyle w:val="12"/>
            </w:pPr>
            <w:r>
              <w:t>840元</w:t>
            </w:r>
          </w:p>
        </w:tc>
        <w:tc>
          <w:tcPr>
            <w:tcW w:w="1276" w:type="dxa"/>
            <w:vAlign w:val="center"/>
          </w:tcPr>
          <w:p w14:paraId="40C9406C">
            <w:pPr>
              <w:pStyle w:val="12"/>
            </w:pPr>
            <w:r>
              <w:t>城乡义务教育公用经费管理办法</w:t>
            </w:r>
          </w:p>
        </w:tc>
      </w:tr>
      <w:tr w14:paraId="70C4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E5865">
            <w:pPr>
              <w:pStyle w:val="13"/>
            </w:pPr>
            <w:r>
              <w:t>效益指标</w:t>
            </w:r>
          </w:p>
        </w:tc>
        <w:tc>
          <w:tcPr>
            <w:tcW w:w="2268" w:type="dxa"/>
            <w:vAlign w:val="center"/>
          </w:tcPr>
          <w:p w14:paraId="4A082DDD">
            <w:pPr>
              <w:pStyle w:val="12"/>
            </w:pPr>
            <w:r>
              <w:t>经济效益指标</w:t>
            </w:r>
          </w:p>
        </w:tc>
        <w:tc>
          <w:tcPr>
            <w:tcW w:w="2835" w:type="dxa"/>
            <w:vAlign w:val="center"/>
          </w:tcPr>
          <w:p w14:paraId="38F2D1B3">
            <w:pPr>
              <w:pStyle w:val="12"/>
            </w:pPr>
            <w:r>
              <w:t>项目实施成果</w:t>
            </w:r>
          </w:p>
        </w:tc>
        <w:tc>
          <w:tcPr>
            <w:tcW w:w="5386" w:type="dxa"/>
            <w:vAlign w:val="center"/>
          </w:tcPr>
          <w:p w14:paraId="343E44E9">
            <w:pPr>
              <w:pStyle w:val="12"/>
            </w:pPr>
            <w:r>
              <w:t>减轻受教育学生家庭经济负担</w:t>
            </w:r>
          </w:p>
        </w:tc>
        <w:tc>
          <w:tcPr>
            <w:tcW w:w="2268" w:type="dxa"/>
            <w:vAlign w:val="center"/>
          </w:tcPr>
          <w:p w14:paraId="06A68499">
            <w:pPr>
              <w:pStyle w:val="12"/>
            </w:pPr>
            <w:r>
              <w:t>100%</w:t>
            </w:r>
          </w:p>
        </w:tc>
        <w:tc>
          <w:tcPr>
            <w:tcW w:w="1276" w:type="dxa"/>
            <w:vAlign w:val="center"/>
          </w:tcPr>
          <w:p w14:paraId="526D6D2F">
            <w:pPr>
              <w:pStyle w:val="12"/>
            </w:pPr>
            <w:r>
              <w:t>城乡义务教育公用经费管理办法</w:t>
            </w:r>
          </w:p>
        </w:tc>
      </w:tr>
      <w:tr w14:paraId="17A7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D8DEE"/>
        </w:tc>
        <w:tc>
          <w:tcPr>
            <w:tcW w:w="2268" w:type="dxa"/>
            <w:vAlign w:val="center"/>
          </w:tcPr>
          <w:p w14:paraId="44B69229">
            <w:pPr>
              <w:pStyle w:val="12"/>
            </w:pPr>
            <w:r>
              <w:t>社会效益指标</w:t>
            </w:r>
          </w:p>
        </w:tc>
        <w:tc>
          <w:tcPr>
            <w:tcW w:w="2835" w:type="dxa"/>
            <w:vAlign w:val="center"/>
          </w:tcPr>
          <w:p w14:paraId="6B6AC464">
            <w:pPr>
              <w:pStyle w:val="12"/>
            </w:pPr>
            <w:r>
              <w:t>学校办学能力提升</w:t>
            </w:r>
          </w:p>
        </w:tc>
        <w:tc>
          <w:tcPr>
            <w:tcW w:w="5386" w:type="dxa"/>
            <w:vAlign w:val="center"/>
          </w:tcPr>
          <w:p w14:paraId="713E5C50">
            <w:pPr>
              <w:pStyle w:val="12"/>
            </w:pPr>
            <w:r>
              <w:t>学校办学能</w:t>
            </w:r>
            <w:r>
              <w:rPr>
                <w:rFonts w:hint="eastAsia"/>
                <w:lang w:eastAsia="zh-CN"/>
              </w:rPr>
              <w:t>力提</w:t>
            </w:r>
            <w:r>
              <w:t>升情况及教育教学工作等开展的情况</w:t>
            </w:r>
          </w:p>
        </w:tc>
        <w:tc>
          <w:tcPr>
            <w:tcW w:w="2268" w:type="dxa"/>
            <w:vAlign w:val="center"/>
          </w:tcPr>
          <w:p w14:paraId="302287C1">
            <w:pPr>
              <w:pStyle w:val="12"/>
            </w:pPr>
            <w:r>
              <w:t>100%</w:t>
            </w:r>
          </w:p>
        </w:tc>
        <w:tc>
          <w:tcPr>
            <w:tcW w:w="1276" w:type="dxa"/>
            <w:vAlign w:val="center"/>
          </w:tcPr>
          <w:p w14:paraId="615B7597">
            <w:pPr>
              <w:pStyle w:val="12"/>
            </w:pPr>
            <w:r>
              <w:t>城乡义务教育公用经费管理办法</w:t>
            </w:r>
          </w:p>
        </w:tc>
      </w:tr>
      <w:tr w14:paraId="5B67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3AFA"/>
        </w:tc>
        <w:tc>
          <w:tcPr>
            <w:tcW w:w="2268" w:type="dxa"/>
            <w:vAlign w:val="center"/>
          </w:tcPr>
          <w:p w14:paraId="2D51F6A9">
            <w:pPr>
              <w:pStyle w:val="12"/>
            </w:pPr>
            <w:r>
              <w:t>可持续影响指标</w:t>
            </w:r>
          </w:p>
        </w:tc>
        <w:tc>
          <w:tcPr>
            <w:tcW w:w="2835" w:type="dxa"/>
            <w:vAlign w:val="center"/>
          </w:tcPr>
          <w:p w14:paraId="594223F6">
            <w:pPr>
              <w:pStyle w:val="12"/>
            </w:pPr>
            <w:r>
              <w:t>教育发展水平</w:t>
            </w:r>
          </w:p>
        </w:tc>
        <w:tc>
          <w:tcPr>
            <w:tcW w:w="5386" w:type="dxa"/>
            <w:vAlign w:val="center"/>
          </w:tcPr>
          <w:p w14:paraId="2C014A75">
            <w:pPr>
              <w:pStyle w:val="12"/>
            </w:pPr>
            <w:r>
              <w:t>辖区内教育环境明显好转</w:t>
            </w:r>
          </w:p>
        </w:tc>
        <w:tc>
          <w:tcPr>
            <w:tcW w:w="2268" w:type="dxa"/>
            <w:vAlign w:val="center"/>
          </w:tcPr>
          <w:p w14:paraId="641B4C12">
            <w:pPr>
              <w:pStyle w:val="12"/>
            </w:pPr>
            <w:r>
              <w:t>100%</w:t>
            </w:r>
          </w:p>
        </w:tc>
        <w:tc>
          <w:tcPr>
            <w:tcW w:w="1276" w:type="dxa"/>
            <w:vAlign w:val="center"/>
          </w:tcPr>
          <w:p w14:paraId="38945BE1">
            <w:pPr>
              <w:pStyle w:val="12"/>
            </w:pPr>
            <w:r>
              <w:t>城乡义务教育公用经费管理办法</w:t>
            </w:r>
          </w:p>
        </w:tc>
      </w:tr>
      <w:tr w14:paraId="3B5FD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5A13A">
            <w:pPr>
              <w:pStyle w:val="13"/>
            </w:pPr>
            <w:r>
              <w:t>满意度指标</w:t>
            </w:r>
          </w:p>
        </w:tc>
        <w:tc>
          <w:tcPr>
            <w:tcW w:w="2268" w:type="dxa"/>
            <w:vAlign w:val="center"/>
          </w:tcPr>
          <w:p w14:paraId="47C34296">
            <w:pPr>
              <w:pStyle w:val="12"/>
            </w:pPr>
            <w:r>
              <w:t>服务对象满意度指标</w:t>
            </w:r>
          </w:p>
        </w:tc>
        <w:tc>
          <w:tcPr>
            <w:tcW w:w="2835" w:type="dxa"/>
            <w:vAlign w:val="center"/>
          </w:tcPr>
          <w:p w14:paraId="210493A0">
            <w:pPr>
              <w:pStyle w:val="12"/>
            </w:pPr>
            <w:r>
              <w:t>受益学生家长及调查满意度</w:t>
            </w:r>
          </w:p>
        </w:tc>
        <w:tc>
          <w:tcPr>
            <w:tcW w:w="5386" w:type="dxa"/>
            <w:vAlign w:val="center"/>
          </w:tcPr>
          <w:p w14:paraId="6EB3AEEA">
            <w:pPr>
              <w:pStyle w:val="12"/>
            </w:pPr>
            <w:r>
              <w:t>学生、教师及家长对学校保教保育工作满意度情况</w:t>
            </w:r>
          </w:p>
        </w:tc>
        <w:tc>
          <w:tcPr>
            <w:tcW w:w="2268" w:type="dxa"/>
            <w:vAlign w:val="center"/>
          </w:tcPr>
          <w:p w14:paraId="0C6C72A0">
            <w:pPr>
              <w:pStyle w:val="12"/>
            </w:pPr>
            <w:r>
              <w:t>≥95%</w:t>
            </w:r>
          </w:p>
        </w:tc>
        <w:tc>
          <w:tcPr>
            <w:tcW w:w="1276" w:type="dxa"/>
            <w:vAlign w:val="center"/>
          </w:tcPr>
          <w:p w14:paraId="764970F5">
            <w:pPr>
              <w:pStyle w:val="12"/>
            </w:pPr>
            <w:r>
              <w:t>城乡义务教育公用经费管理办法</w:t>
            </w:r>
          </w:p>
        </w:tc>
      </w:tr>
    </w:tbl>
    <w:p w14:paraId="5458517D">
      <w:pPr>
        <w:sectPr>
          <w:pgSz w:w="16840" w:h="11900" w:orient="landscape"/>
          <w:pgMar w:top="1361" w:right="1020" w:bottom="1134" w:left="1020" w:header="720" w:footer="720" w:gutter="0"/>
          <w:cols w:space="720" w:num="1"/>
        </w:sectPr>
      </w:pPr>
    </w:p>
    <w:p w14:paraId="3D8FD4A3">
      <w:pPr>
        <w:spacing w:before="0" w:after="0"/>
        <w:ind w:firstLine="560"/>
        <w:jc w:val="left"/>
        <w:outlineLvl w:val="9"/>
      </w:pPr>
      <w:r>
        <w:rPr>
          <w:rFonts w:ascii="方正仿宋_GBK" w:hAnsi="方正仿宋_GBK" w:eastAsia="方正仿宋_GBK" w:cs="方正仿宋_GBK"/>
          <w:b/>
          <w:color w:val="000000"/>
          <w:sz w:val="28"/>
        </w:rPr>
        <w:t>10、冀财教[2025]121号/中央/2026年义教补助经费/东良校区周村小学公用经费绩效目标表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13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3AEB1">
            <w:pPr>
              <w:pStyle w:val="11"/>
            </w:pPr>
            <w:r>
              <w:t>单位：万元</w:t>
            </w:r>
          </w:p>
        </w:tc>
      </w:tr>
      <w:tr w14:paraId="2BC48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1469D">
            <w:pPr>
              <w:pStyle w:val="10"/>
            </w:pPr>
            <w:r>
              <w:t>项目编码</w:t>
            </w:r>
          </w:p>
        </w:tc>
        <w:tc>
          <w:tcPr>
            <w:tcW w:w="5103" w:type="dxa"/>
            <w:gridSpan w:val="2"/>
            <w:vAlign w:val="center"/>
          </w:tcPr>
          <w:p w14:paraId="360CE67B">
            <w:pPr>
              <w:pStyle w:val="12"/>
            </w:pPr>
            <w:r>
              <w:t>13052526P000004102781</w:t>
            </w:r>
          </w:p>
        </w:tc>
        <w:tc>
          <w:tcPr>
            <w:tcW w:w="2835" w:type="dxa"/>
            <w:vAlign w:val="center"/>
          </w:tcPr>
          <w:p w14:paraId="5803ED5E">
            <w:pPr>
              <w:pStyle w:val="10"/>
            </w:pPr>
            <w:r>
              <w:t>项目名称</w:t>
            </w:r>
          </w:p>
        </w:tc>
        <w:tc>
          <w:tcPr>
            <w:tcW w:w="6095" w:type="dxa"/>
            <w:gridSpan w:val="3"/>
            <w:vAlign w:val="center"/>
          </w:tcPr>
          <w:p w14:paraId="79DB7573">
            <w:pPr>
              <w:pStyle w:val="12"/>
            </w:pPr>
            <w:r>
              <w:t>冀财教[2025]121号/中央/2026年义教补助经费/东良校区周村小学公用经费</w:t>
            </w:r>
          </w:p>
        </w:tc>
      </w:tr>
      <w:tr w14:paraId="653A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DDF5D">
            <w:pPr>
              <w:pStyle w:val="10"/>
            </w:pPr>
            <w:r>
              <w:t>预算规模及资金用途</w:t>
            </w:r>
          </w:p>
        </w:tc>
        <w:tc>
          <w:tcPr>
            <w:tcW w:w="2268" w:type="dxa"/>
            <w:vAlign w:val="center"/>
          </w:tcPr>
          <w:p w14:paraId="66E65F42">
            <w:pPr>
              <w:pStyle w:val="10"/>
            </w:pPr>
            <w:r>
              <w:t>预算数</w:t>
            </w:r>
          </w:p>
        </w:tc>
        <w:tc>
          <w:tcPr>
            <w:tcW w:w="2835" w:type="dxa"/>
            <w:vAlign w:val="center"/>
          </w:tcPr>
          <w:p w14:paraId="78D47D55">
            <w:pPr>
              <w:pStyle w:val="12"/>
            </w:pPr>
            <w:r>
              <w:t>7.60</w:t>
            </w:r>
          </w:p>
        </w:tc>
        <w:tc>
          <w:tcPr>
            <w:tcW w:w="2835" w:type="dxa"/>
            <w:vAlign w:val="center"/>
          </w:tcPr>
          <w:p w14:paraId="7CE4EABD">
            <w:pPr>
              <w:pStyle w:val="10"/>
            </w:pPr>
            <w:r>
              <w:t>其中：财政    资金</w:t>
            </w:r>
          </w:p>
        </w:tc>
        <w:tc>
          <w:tcPr>
            <w:tcW w:w="2551" w:type="dxa"/>
            <w:vAlign w:val="center"/>
          </w:tcPr>
          <w:p w14:paraId="20047C87">
            <w:pPr>
              <w:pStyle w:val="12"/>
            </w:pPr>
            <w:r>
              <w:t>7.60</w:t>
            </w:r>
          </w:p>
        </w:tc>
        <w:tc>
          <w:tcPr>
            <w:tcW w:w="2268" w:type="dxa"/>
            <w:vAlign w:val="center"/>
          </w:tcPr>
          <w:p w14:paraId="0EC87AC3">
            <w:pPr>
              <w:pStyle w:val="10"/>
            </w:pPr>
            <w:r>
              <w:t>其他资金</w:t>
            </w:r>
          </w:p>
        </w:tc>
        <w:tc>
          <w:tcPr>
            <w:tcW w:w="1276" w:type="dxa"/>
            <w:vAlign w:val="center"/>
          </w:tcPr>
          <w:p w14:paraId="11A4484E">
            <w:pPr>
              <w:pStyle w:val="12"/>
            </w:pPr>
            <w:r>
              <w:t xml:space="preserve"> </w:t>
            </w:r>
          </w:p>
        </w:tc>
      </w:tr>
      <w:tr w14:paraId="589EF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0A777"/>
        </w:tc>
        <w:tc>
          <w:tcPr>
            <w:tcW w:w="14033" w:type="dxa"/>
            <w:gridSpan w:val="6"/>
            <w:vAlign w:val="center"/>
          </w:tcPr>
          <w:p w14:paraId="232E836C">
            <w:pPr>
              <w:pStyle w:val="12"/>
            </w:pPr>
            <w:r>
              <w:t>保障义务教育学校正常运转，完成教育教学活动和其他日常工作任务等方面的费用支出。</w:t>
            </w:r>
          </w:p>
        </w:tc>
      </w:tr>
      <w:tr w14:paraId="011D9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448D9">
            <w:pPr>
              <w:pStyle w:val="10"/>
            </w:pPr>
            <w:r>
              <w:t>资金支出计划（%）</w:t>
            </w:r>
          </w:p>
        </w:tc>
        <w:tc>
          <w:tcPr>
            <w:tcW w:w="5103" w:type="dxa"/>
            <w:gridSpan w:val="2"/>
            <w:vAlign w:val="center"/>
          </w:tcPr>
          <w:p w14:paraId="562DB37D">
            <w:pPr>
              <w:pStyle w:val="10"/>
            </w:pPr>
            <w:r>
              <w:t>3月底</w:t>
            </w:r>
          </w:p>
        </w:tc>
        <w:tc>
          <w:tcPr>
            <w:tcW w:w="2835" w:type="dxa"/>
            <w:vAlign w:val="center"/>
          </w:tcPr>
          <w:p w14:paraId="274ED389">
            <w:pPr>
              <w:pStyle w:val="10"/>
            </w:pPr>
            <w:r>
              <w:t>6月底</w:t>
            </w:r>
          </w:p>
        </w:tc>
        <w:tc>
          <w:tcPr>
            <w:tcW w:w="2551" w:type="dxa"/>
            <w:vAlign w:val="center"/>
          </w:tcPr>
          <w:p w14:paraId="7F6D444A">
            <w:pPr>
              <w:pStyle w:val="10"/>
            </w:pPr>
            <w:r>
              <w:t>10月底</w:t>
            </w:r>
          </w:p>
        </w:tc>
        <w:tc>
          <w:tcPr>
            <w:tcW w:w="3544" w:type="dxa"/>
            <w:gridSpan w:val="2"/>
            <w:vAlign w:val="center"/>
          </w:tcPr>
          <w:p w14:paraId="77449AF1">
            <w:pPr>
              <w:pStyle w:val="10"/>
            </w:pPr>
            <w:r>
              <w:t>12月底</w:t>
            </w:r>
          </w:p>
        </w:tc>
      </w:tr>
      <w:tr w14:paraId="673B6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D15A6"/>
        </w:tc>
        <w:tc>
          <w:tcPr>
            <w:tcW w:w="5103" w:type="dxa"/>
            <w:gridSpan w:val="2"/>
            <w:vAlign w:val="center"/>
          </w:tcPr>
          <w:p w14:paraId="278FCBEC">
            <w:pPr>
              <w:pStyle w:val="13"/>
            </w:pPr>
            <w:r>
              <w:t>25%</w:t>
            </w:r>
          </w:p>
        </w:tc>
        <w:tc>
          <w:tcPr>
            <w:tcW w:w="2835" w:type="dxa"/>
            <w:vAlign w:val="center"/>
          </w:tcPr>
          <w:p w14:paraId="09824CFD">
            <w:pPr>
              <w:pStyle w:val="13"/>
            </w:pPr>
            <w:r>
              <w:t>50%</w:t>
            </w:r>
          </w:p>
        </w:tc>
        <w:tc>
          <w:tcPr>
            <w:tcW w:w="2551" w:type="dxa"/>
            <w:vAlign w:val="center"/>
          </w:tcPr>
          <w:p w14:paraId="24C4DDC5">
            <w:pPr>
              <w:pStyle w:val="13"/>
            </w:pPr>
            <w:r>
              <w:t>75%</w:t>
            </w:r>
          </w:p>
        </w:tc>
        <w:tc>
          <w:tcPr>
            <w:tcW w:w="3544" w:type="dxa"/>
            <w:gridSpan w:val="2"/>
            <w:vAlign w:val="center"/>
          </w:tcPr>
          <w:p w14:paraId="45B13FA6">
            <w:pPr>
              <w:pStyle w:val="13"/>
            </w:pPr>
            <w:r>
              <w:t>100%</w:t>
            </w:r>
          </w:p>
        </w:tc>
      </w:tr>
      <w:tr w14:paraId="0C43E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C853E">
            <w:pPr>
              <w:pStyle w:val="10"/>
            </w:pPr>
            <w:r>
              <w:t>绩效目标</w:t>
            </w:r>
          </w:p>
        </w:tc>
        <w:tc>
          <w:tcPr>
            <w:tcW w:w="14033" w:type="dxa"/>
            <w:gridSpan w:val="6"/>
            <w:vAlign w:val="center"/>
          </w:tcPr>
          <w:p w14:paraId="081D26C9">
            <w:pPr>
              <w:pStyle w:val="12"/>
            </w:pPr>
            <w:r>
              <w:t>1.保障义务教育学校正常运转，完成教育教学活动和其他日常工作任务等方面的费用支出。</w:t>
            </w:r>
          </w:p>
          <w:p w14:paraId="6DABD26E">
            <w:pPr>
              <w:pStyle w:val="12"/>
            </w:pPr>
            <w:r>
              <w:t>2.按季度分批次拨付公用经费资金76000元，资金拨付率达到100%。</w:t>
            </w:r>
          </w:p>
        </w:tc>
      </w:tr>
    </w:tbl>
    <w:p w14:paraId="2CA16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8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CBBC6">
            <w:pPr>
              <w:pStyle w:val="10"/>
            </w:pPr>
            <w:r>
              <w:t>一级指标</w:t>
            </w:r>
          </w:p>
        </w:tc>
        <w:tc>
          <w:tcPr>
            <w:tcW w:w="2268" w:type="dxa"/>
            <w:vAlign w:val="center"/>
          </w:tcPr>
          <w:p w14:paraId="291CDF9E">
            <w:pPr>
              <w:pStyle w:val="10"/>
            </w:pPr>
            <w:r>
              <w:t>二级指标</w:t>
            </w:r>
          </w:p>
        </w:tc>
        <w:tc>
          <w:tcPr>
            <w:tcW w:w="2835" w:type="dxa"/>
            <w:vAlign w:val="center"/>
          </w:tcPr>
          <w:p w14:paraId="6A4246B4">
            <w:pPr>
              <w:pStyle w:val="10"/>
            </w:pPr>
            <w:r>
              <w:t>三级指标</w:t>
            </w:r>
          </w:p>
        </w:tc>
        <w:tc>
          <w:tcPr>
            <w:tcW w:w="5386" w:type="dxa"/>
            <w:vAlign w:val="center"/>
          </w:tcPr>
          <w:p w14:paraId="76BC435F">
            <w:pPr>
              <w:pStyle w:val="10"/>
            </w:pPr>
            <w:r>
              <w:t>绩效指标描述</w:t>
            </w:r>
          </w:p>
        </w:tc>
        <w:tc>
          <w:tcPr>
            <w:tcW w:w="2268" w:type="dxa"/>
            <w:vAlign w:val="center"/>
          </w:tcPr>
          <w:p w14:paraId="0675B471">
            <w:pPr>
              <w:pStyle w:val="10"/>
            </w:pPr>
            <w:r>
              <w:t>指标值</w:t>
            </w:r>
          </w:p>
        </w:tc>
        <w:tc>
          <w:tcPr>
            <w:tcW w:w="1276" w:type="dxa"/>
            <w:vAlign w:val="center"/>
          </w:tcPr>
          <w:p w14:paraId="0B08DB85">
            <w:pPr>
              <w:pStyle w:val="10"/>
            </w:pPr>
            <w:r>
              <w:t>指标值确定依据</w:t>
            </w:r>
          </w:p>
        </w:tc>
      </w:tr>
      <w:tr w14:paraId="77F3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94665">
            <w:pPr>
              <w:pStyle w:val="13"/>
            </w:pPr>
            <w:r>
              <w:t>产出指标</w:t>
            </w:r>
          </w:p>
        </w:tc>
        <w:tc>
          <w:tcPr>
            <w:tcW w:w="2268" w:type="dxa"/>
            <w:vAlign w:val="center"/>
          </w:tcPr>
          <w:p w14:paraId="781697F9">
            <w:pPr>
              <w:pStyle w:val="12"/>
            </w:pPr>
            <w:r>
              <w:t>数量指标</w:t>
            </w:r>
          </w:p>
        </w:tc>
        <w:tc>
          <w:tcPr>
            <w:tcW w:w="2835" w:type="dxa"/>
            <w:vAlign w:val="center"/>
          </w:tcPr>
          <w:p w14:paraId="3B9873BC">
            <w:pPr>
              <w:pStyle w:val="12"/>
            </w:pPr>
            <w:r>
              <w:t>适龄在校生</w:t>
            </w:r>
          </w:p>
        </w:tc>
        <w:tc>
          <w:tcPr>
            <w:tcW w:w="5386" w:type="dxa"/>
            <w:vAlign w:val="center"/>
          </w:tcPr>
          <w:p w14:paraId="32453476">
            <w:pPr>
              <w:pStyle w:val="12"/>
            </w:pPr>
            <w:r>
              <w:t>适龄在校就读学生人数</w:t>
            </w:r>
          </w:p>
        </w:tc>
        <w:tc>
          <w:tcPr>
            <w:tcW w:w="2268" w:type="dxa"/>
            <w:vAlign w:val="center"/>
          </w:tcPr>
          <w:p w14:paraId="33C2A9AA">
            <w:pPr>
              <w:pStyle w:val="12"/>
            </w:pPr>
            <w:r>
              <w:t>153人</w:t>
            </w:r>
          </w:p>
        </w:tc>
        <w:tc>
          <w:tcPr>
            <w:tcW w:w="1276" w:type="dxa"/>
            <w:vAlign w:val="center"/>
          </w:tcPr>
          <w:p w14:paraId="4111886E">
            <w:pPr>
              <w:pStyle w:val="12"/>
            </w:pPr>
            <w:r>
              <w:t>城乡义务教育公用经费管理办法</w:t>
            </w:r>
          </w:p>
        </w:tc>
      </w:tr>
      <w:tr w14:paraId="40C9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4C673"/>
        </w:tc>
        <w:tc>
          <w:tcPr>
            <w:tcW w:w="2268" w:type="dxa"/>
            <w:vAlign w:val="center"/>
          </w:tcPr>
          <w:p w14:paraId="0E37FC77">
            <w:pPr>
              <w:pStyle w:val="12"/>
            </w:pPr>
            <w:r>
              <w:t>质量指标</w:t>
            </w:r>
          </w:p>
        </w:tc>
        <w:tc>
          <w:tcPr>
            <w:tcW w:w="2835" w:type="dxa"/>
            <w:vAlign w:val="center"/>
          </w:tcPr>
          <w:p w14:paraId="7E68F1FB">
            <w:pPr>
              <w:pStyle w:val="12"/>
            </w:pPr>
            <w:r>
              <w:t>公用经费拨付完成率</w:t>
            </w:r>
          </w:p>
        </w:tc>
        <w:tc>
          <w:tcPr>
            <w:tcW w:w="5386" w:type="dxa"/>
            <w:vAlign w:val="center"/>
          </w:tcPr>
          <w:p w14:paraId="43A69DCC">
            <w:pPr>
              <w:pStyle w:val="12"/>
            </w:pPr>
            <w:r>
              <w:t>公用经费拨付完成率达到需时进度</w:t>
            </w:r>
          </w:p>
        </w:tc>
        <w:tc>
          <w:tcPr>
            <w:tcW w:w="2268" w:type="dxa"/>
            <w:vAlign w:val="center"/>
          </w:tcPr>
          <w:p w14:paraId="47BCD7DF">
            <w:pPr>
              <w:pStyle w:val="12"/>
            </w:pPr>
            <w:r>
              <w:t>100%</w:t>
            </w:r>
          </w:p>
        </w:tc>
        <w:tc>
          <w:tcPr>
            <w:tcW w:w="1276" w:type="dxa"/>
            <w:vAlign w:val="center"/>
          </w:tcPr>
          <w:p w14:paraId="627664BC">
            <w:pPr>
              <w:pStyle w:val="12"/>
            </w:pPr>
            <w:r>
              <w:t>城乡义务教育公用经费管理办法</w:t>
            </w:r>
          </w:p>
        </w:tc>
      </w:tr>
      <w:tr w14:paraId="6D01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A8D8C"/>
        </w:tc>
        <w:tc>
          <w:tcPr>
            <w:tcW w:w="2268" w:type="dxa"/>
            <w:vAlign w:val="center"/>
          </w:tcPr>
          <w:p w14:paraId="2102708C">
            <w:pPr>
              <w:pStyle w:val="12"/>
            </w:pPr>
            <w:r>
              <w:t>时效指标</w:t>
            </w:r>
          </w:p>
        </w:tc>
        <w:tc>
          <w:tcPr>
            <w:tcW w:w="2835" w:type="dxa"/>
            <w:vAlign w:val="center"/>
          </w:tcPr>
          <w:p w14:paraId="348319F6">
            <w:pPr>
              <w:pStyle w:val="12"/>
            </w:pPr>
            <w:r>
              <w:t>资金支付率</w:t>
            </w:r>
          </w:p>
        </w:tc>
        <w:tc>
          <w:tcPr>
            <w:tcW w:w="5386" w:type="dxa"/>
            <w:vAlign w:val="center"/>
          </w:tcPr>
          <w:p w14:paraId="79674652">
            <w:pPr>
              <w:pStyle w:val="12"/>
            </w:pPr>
            <w:r>
              <w:t>按照序时进度完成资金支付</w:t>
            </w:r>
          </w:p>
        </w:tc>
        <w:tc>
          <w:tcPr>
            <w:tcW w:w="2268" w:type="dxa"/>
            <w:vAlign w:val="center"/>
          </w:tcPr>
          <w:p w14:paraId="08CD209E">
            <w:pPr>
              <w:pStyle w:val="12"/>
            </w:pPr>
            <w:r>
              <w:t>100%</w:t>
            </w:r>
          </w:p>
        </w:tc>
        <w:tc>
          <w:tcPr>
            <w:tcW w:w="1276" w:type="dxa"/>
            <w:vAlign w:val="center"/>
          </w:tcPr>
          <w:p w14:paraId="771FF8C8">
            <w:pPr>
              <w:pStyle w:val="12"/>
            </w:pPr>
            <w:r>
              <w:t>城乡义务教育公用经费管理办法</w:t>
            </w:r>
          </w:p>
        </w:tc>
      </w:tr>
      <w:tr w14:paraId="1322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0A0BC"/>
        </w:tc>
        <w:tc>
          <w:tcPr>
            <w:tcW w:w="2268" w:type="dxa"/>
            <w:vAlign w:val="center"/>
          </w:tcPr>
          <w:p w14:paraId="2FE643F9">
            <w:pPr>
              <w:pStyle w:val="12"/>
            </w:pPr>
            <w:r>
              <w:t>成本指标</w:t>
            </w:r>
          </w:p>
        </w:tc>
        <w:tc>
          <w:tcPr>
            <w:tcW w:w="2835" w:type="dxa"/>
            <w:vAlign w:val="center"/>
          </w:tcPr>
          <w:p w14:paraId="71A58DAF">
            <w:pPr>
              <w:pStyle w:val="12"/>
            </w:pPr>
            <w:r>
              <w:t>生均拨款标准</w:t>
            </w:r>
          </w:p>
        </w:tc>
        <w:tc>
          <w:tcPr>
            <w:tcW w:w="5386" w:type="dxa"/>
            <w:vAlign w:val="center"/>
          </w:tcPr>
          <w:p w14:paraId="08DA173E">
            <w:pPr>
              <w:pStyle w:val="12"/>
            </w:pPr>
            <w:r>
              <w:t>小学：（基本标准720元、寄宿生300元、取暖费120元）/生/学年；特教、随班就读学生：标准7000元/生/学年。</w:t>
            </w:r>
          </w:p>
        </w:tc>
        <w:tc>
          <w:tcPr>
            <w:tcW w:w="2268" w:type="dxa"/>
            <w:vAlign w:val="center"/>
          </w:tcPr>
          <w:p w14:paraId="4134A7AF">
            <w:pPr>
              <w:pStyle w:val="12"/>
            </w:pPr>
            <w:r>
              <w:t>840元</w:t>
            </w:r>
          </w:p>
        </w:tc>
        <w:tc>
          <w:tcPr>
            <w:tcW w:w="1276" w:type="dxa"/>
            <w:vAlign w:val="center"/>
          </w:tcPr>
          <w:p w14:paraId="73E21F19">
            <w:pPr>
              <w:pStyle w:val="12"/>
            </w:pPr>
            <w:r>
              <w:t>城乡义务教育公用经费管理办法</w:t>
            </w:r>
          </w:p>
        </w:tc>
      </w:tr>
      <w:tr w14:paraId="2734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3099F">
            <w:pPr>
              <w:pStyle w:val="13"/>
            </w:pPr>
            <w:r>
              <w:t>效益指标</w:t>
            </w:r>
          </w:p>
        </w:tc>
        <w:tc>
          <w:tcPr>
            <w:tcW w:w="2268" w:type="dxa"/>
            <w:vAlign w:val="center"/>
          </w:tcPr>
          <w:p w14:paraId="749ABE80">
            <w:pPr>
              <w:pStyle w:val="12"/>
            </w:pPr>
            <w:r>
              <w:t>经济效益指标</w:t>
            </w:r>
          </w:p>
        </w:tc>
        <w:tc>
          <w:tcPr>
            <w:tcW w:w="2835" w:type="dxa"/>
            <w:vAlign w:val="center"/>
          </w:tcPr>
          <w:p w14:paraId="729C4CD9">
            <w:pPr>
              <w:pStyle w:val="12"/>
            </w:pPr>
            <w:r>
              <w:t>项目实施成果</w:t>
            </w:r>
          </w:p>
        </w:tc>
        <w:tc>
          <w:tcPr>
            <w:tcW w:w="5386" w:type="dxa"/>
            <w:vAlign w:val="center"/>
          </w:tcPr>
          <w:p w14:paraId="54E22AB2">
            <w:pPr>
              <w:pStyle w:val="12"/>
            </w:pPr>
            <w:r>
              <w:t>减轻受教育学生家庭经济负担</w:t>
            </w:r>
          </w:p>
        </w:tc>
        <w:tc>
          <w:tcPr>
            <w:tcW w:w="2268" w:type="dxa"/>
            <w:vAlign w:val="center"/>
          </w:tcPr>
          <w:p w14:paraId="45E15FE2">
            <w:pPr>
              <w:pStyle w:val="12"/>
            </w:pPr>
            <w:r>
              <w:t>100%</w:t>
            </w:r>
          </w:p>
        </w:tc>
        <w:tc>
          <w:tcPr>
            <w:tcW w:w="1276" w:type="dxa"/>
            <w:vAlign w:val="center"/>
          </w:tcPr>
          <w:p w14:paraId="469FE188">
            <w:pPr>
              <w:pStyle w:val="12"/>
            </w:pPr>
            <w:r>
              <w:t>城乡义务教育公用经费管理办法</w:t>
            </w:r>
          </w:p>
        </w:tc>
      </w:tr>
      <w:tr w14:paraId="0B70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4064C"/>
        </w:tc>
        <w:tc>
          <w:tcPr>
            <w:tcW w:w="2268" w:type="dxa"/>
            <w:vAlign w:val="center"/>
          </w:tcPr>
          <w:p w14:paraId="405EAEA3">
            <w:pPr>
              <w:pStyle w:val="12"/>
            </w:pPr>
            <w:r>
              <w:t>社会效益指标</w:t>
            </w:r>
          </w:p>
        </w:tc>
        <w:tc>
          <w:tcPr>
            <w:tcW w:w="2835" w:type="dxa"/>
            <w:vAlign w:val="center"/>
          </w:tcPr>
          <w:p w14:paraId="5B7AF561">
            <w:pPr>
              <w:pStyle w:val="12"/>
            </w:pPr>
            <w:r>
              <w:t>学校办学能力提升</w:t>
            </w:r>
          </w:p>
        </w:tc>
        <w:tc>
          <w:tcPr>
            <w:tcW w:w="5386" w:type="dxa"/>
            <w:vAlign w:val="center"/>
          </w:tcPr>
          <w:p w14:paraId="07A361CE">
            <w:pPr>
              <w:pStyle w:val="12"/>
            </w:pPr>
            <w:r>
              <w:t>学校办学能</w:t>
            </w:r>
            <w:r>
              <w:rPr>
                <w:rFonts w:hint="eastAsia"/>
                <w:lang w:eastAsia="zh-CN"/>
              </w:rPr>
              <w:t>力提</w:t>
            </w:r>
            <w:r>
              <w:t>升情况及教育教学工作等开展的情况</w:t>
            </w:r>
          </w:p>
        </w:tc>
        <w:tc>
          <w:tcPr>
            <w:tcW w:w="2268" w:type="dxa"/>
            <w:vAlign w:val="center"/>
          </w:tcPr>
          <w:p w14:paraId="7C055C25">
            <w:pPr>
              <w:pStyle w:val="12"/>
            </w:pPr>
            <w:r>
              <w:t>100%</w:t>
            </w:r>
          </w:p>
        </w:tc>
        <w:tc>
          <w:tcPr>
            <w:tcW w:w="1276" w:type="dxa"/>
            <w:vAlign w:val="center"/>
          </w:tcPr>
          <w:p w14:paraId="389163BC">
            <w:pPr>
              <w:pStyle w:val="12"/>
            </w:pPr>
            <w:r>
              <w:t>城乡义务教育公用经费管理办法</w:t>
            </w:r>
          </w:p>
        </w:tc>
      </w:tr>
      <w:tr w14:paraId="1FEB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1D4E"/>
        </w:tc>
        <w:tc>
          <w:tcPr>
            <w:tcW w:w="2268" w:type="dxa"/>
            <w:vAlign w:val="center"/>
          </w:tcPr>
          <w:p w14:paraId="230C0517">
            <w:pPr>
              <w:pStyle w:val="12"/>
            </w:pPr>
            <w:r>
              <w:t>可持续影响指标</w:t>
            </w:r>
          </w:p>
        </w:tc>
        <w:tc>
          <w:tcPr>
            <w:tcW w:w="2835" w:type="dxa"/>
            <w:vAlign w:val="center"/>
          </w:tcPr>
          <w:p w14:paraId="3573BCA6">
            <w:pPr>
              <w:pStyle w:val="12"/>
            </w:pPr>
            <w:r>
              <w:t>教育发展水平</w:t>
            </w:r>
          </w:p>
        </w:tc>
        <w:tc>
          <w:tcPr>
            <w:tcW w:w="5386" w:type="dxa"/>
            <w:vAlign w:val="center"/>
          </w:tcPr>
          <w:p w14:paraId="42FBEF39">
            <w:pPr>
              <w:pStyle w:val="12"/>
            </w:pPr>
            <w:r>
              <w:t>辖区内教育环境明显好转</w:t>
            </w:r>
          </w:p>
        </w:tc>
        <w:tc>
          <w:tcPr>
            <w:tcW w:w="2268" w:type="dxa"/>
            <w:vAlign w:val="center"/>
          </w:tcPr>
          <w:p w14:paraId="055DA849">
            <w:pPr>
              <w:pStyle w:val="12"/>
            </w:pPr>
            <w:r>
              <w:t>100%</w:t>
            </w:r>
          </w:p>
        </w:tc>
        <w:tc>
          <w:tcPr>
            <w:tcW w:w="1276" w:type="dxa"/>
            <w:vAlign w:val="center"/>
          </w:tcPr>
          <w:p w14:paraId="3452F55A">
            <w:pPr>
              <w:pStyle w:val="12"/>
            </w:pPr>
            <w:r>
              <w:t>城乡义务教育公用经费管理办法</w:t>
            </w:r>
          </w:p>
        </w:tc>
      </w:tr>
      <w:tr w14:paraId="6A75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7EAEF">
            <w:pPr>
              <w:pStyle w:val="13"/>
            </w:pPr>
            <w:r>
              <w:t>满意度指标</w:t>
            </w:r>
          </w:p>
        </w:tc>
        <w:tc>
          <w:tcPr>
            <w:tcW w:w="2268" w:type="dxa"/>
            <w:vAlign w:val="center"/>
          </w:tcPr>
          <w:p w14:paraId="02D6BEC4">
            <w:pPr>
              <w:pStyle w:val="12"/>
            </w:pPr>
            <w:r>
              <w:t>服务对象满意度指标</w:t>
            </w:r>
          </w:p>
        </w:tc>
        <w:tc>
          <w:tcPr>
            <w:tcW w:w="2835" w:type="dxa"/>
            <w:vAlign w:val="center"/>
          </w:tcPr>
          <w:p w14:paraId="0D24F29A">
            <w:pPr>
              <w:pStyle w:val="12"/>
            </w:pPr>
            <w:r>
              <w:t>受益学生家长及调查满意度</w:t>
            </w:r>
          </w:p>
        </w:tc>
        <w:tc>
          <w:tcPr>
            <w:tcW w:w="5386" w:type="dxa"/>
            <w:vAlign w:val="center"/>
          </w:tcPr>
          <w:p w14:paraId="4AAA1CE9">
            <w:pPr>
              <w:pStyle w:val="12"/>
            </w:pPr>
            <w:r>
              <w:t>学生、教师及家长对学校保教保育工作满意度情况</w:t>
            </w:r>
          </w:p>
        </w:tc>
        <w:tc>
          <w:tcPr>
            <w:tcW w:w="2268" w:type="dxa"/>
            <w:vAlign w:val="center"/>
          </w:tcPr>
          <w:p w14:paraId="35424692">
            <w:pPr>
              <w:pStyle w:val="12"/>
            </w:pPr>
            <w:r>
              <w:t>≥95%</w:t>
            </w:r>
          </w:p>
        </w:tc>
        <w:tc>
          <w:tcPr>
            <w:tcW w:w="1276" w:type="dxa"/>
            <w:vAlign w:val="center"/>
          </w:tcPr>
          <w:p w14:paraId="2E0D4CE2">
            <w:pPr>
              <w:pStyle w:val="12"/>
            </w:pPr>
            <w:r>
              <w:t>城乡义务教育公用经费管理办法</w:t>
            </w:r>
          </w:p>
        </w:tc>
      </w:tr>
    </w:tbl>
    <w:p w14:paraId="1BB102F9">
      <w:pPr>
        <w:sectPr>
          <w:pgSz w:w="16840" w:h="11900" w:orient="landscape"/>
          <w:pgMar w:top="1361" w:right="1020" w:bottom="1134" w:left="1020" w:header="720" w:footer="720" w:gutter="0"/>
          <w:cols w:space="720" w:num="1"/>
        </w:sectPr>
      </w:pPr>
    </w:p>
    <w:p w14:paraId="0FE2CE08">
      <w:pPr>
        <w:spacing w:before="0" w:after="0"/>
        <w:ind w:firstLine="560"/>
        <w:jc w:val="left"/>
        <w:outlineLvl w:val="9"/>
      </w:pPr>
      <w:r>
        <w:rPr>
          <w:rFonts w:ascii="方正仿宋_GBK" w:hAnsi="方正仿宋_GBK" w:eastAsia="方正仿宋_GBK" w:cs="方正仿宋_GBK"/>
          <w:b/>
          <w:color w:val="000000"/>
          <w:sz w:val="28"/>
        </w:rPr>
        <w:t>11、冀财教[2025]121号/中央/义教/2026年校舍安全/大干言小学校舍维修改造绩效目标表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86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BC020">
            <w:pPr>
              <w:pStyle w:val="11"/>
            </w:pPr>
            <w:r>
              <w:t>单位：万元</w:t>
            </w:r>
          </w:p>
        </w:tc>
      </w:tr>
      <w:tr w14:paraId="55782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B08C8">
            <w:pPr>
              <w:pStyle w:val="10"/>
            </w:pPr>
            <w:r>
              <w:t>项目编码</w:t>
            </w:r>
          </w:p>
        </w:tc>
        <w:tc>
          <w:tcPr>
            <w:tcW w:w="5103" w:type="dxa"/>
            <w:gridSpan w:val="2"/>
            <w:vAlign w:val="center"/>
          </w:tcPr>
          <w:p w14:paraId="45B13DC7">
            <w:pPr>
              <w:pStyle w:val="12"/>
            </w:pPr>
            <w:r>
              <w:t>13052526P00876210085A</w:t>
            </w:r>
          </w:p>
        </w:tc>
        <w:tc>
          <w:tcPr>
            <w:tcW w:w="2835" w:type="dxa"/>
            <w:vAlign w:val="center"/>
          </w:tcPr>
          <w:p w14:paraId="14FF1B5A">
            <w:pPr>
              <w:pStyle w:val="10"/>
            </w:pPr>
            <w:r>
              <w:t>项目名称</w:t>
            </w:r>
          </w:p>
        </w:tc>
        <w:tc>
          <w:tcPr>
            <w:tcW w:w="6095" w:type="dxa"/>
            <w:gridSpan w:val="3"/>
            <w:vAlign w:val="center"/>
          </w:tcPr>
          <w:p w14:paraId="307CCD40">
            <w:pPr>
              <w:pStyle w:val="12"/>
            </w:pPr>
            <w:r>
              <w:t>冀财教[2025]121号/中央/义教/2026年校舍安全/大干言小学校舍维修改造</w:t>
            </w:r>
          </w:p>
        </w:tc>
      </w:tr>
      <w:tr w14:paraId="07A23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85F72">
            <w:pPr>
              <w:pStyle w:val="10"/>
            </w:pPr>
            <w:r>
              <w:t>预算规模及资金用途</w:t>
            </w:r>
          </w:p>
        </w:tc>
        <w:tc>
          <w:tcPr>
            <w:tcW w:w="2268" w:type="dxa"/>
            <w:vAlign w:val="center"/>
          </w:tcPr>
          <w:p w14:paraId="0591BCD1">
            <w:pPr>
              <w:pStyle w:val="10"/>
            </w:pPr>
            <w:r>
              <w:t>预算数</w:t>
            </w:r>
          </w:p>
        </w:tc>
        <w:tc>
          <w:tcPr>
            <w:tcW w:w="2835" w:type="dxa"/>
            <w:vAlign w:val="center"/>
          </w:tcPr>
          <w:p w14:paraId="41041316">
            <w:pPr>
              <w:pStyle w:val="12"/>
            </w:pPr>
            <w:r>
              <w:t>48.40</w:t>
            </w:r>
          </w:p>
        </w:tc>
        <w:tc>
          <w:tcPr>
            <w:tcW w:w="2835" w:type="dxa"/>
            <w:vAlign w:val="center"/>
          </w:tcPr>
          <w:p w14:paraId="51170C5F">
            <w:pPr>
              <w:pStyle w:val="10"/>
            </w:pPr>
            <w:r>
              <w:t>其中：财政    资金</w:t>
            </w:r>
          </w:p>
        </w:tc>
        <w:tc>
          <w:tcPr>
            <w:tcW w:w="2551" w:type="dxa"/>
            <w:vAlign w:val="center"/>
          </w:tcPr>
          <w:p w14:paraId="713487CC">
            <w:pPr>
              <w:pStyle w:val="12"/>
            </w:pPr>
            <w:r>
              <w:t>48.40</w:t>
            </w:r>
          </w:p>
        </w:tc>
        <w:tc>
          <w:tcPr>
            <w:tcW w:w="2268" w:type="dxa"/>
            <w:vAlign w:val="center"/>
          </w:tcPr>
          <w:p w14:paraId="0F310A99">
            <w:pPr>
              <w:pStyle w:val="10"/>
            </w:pPr>
            <w:r>
              <w:t>其他资金</w:t>
            </w:r>
          </w:p>
        </w:tc>
        <w:tc>
          <w:tcPr>
            <w:tcW w:w="1276" w:type="dxa"/>
            <w:vAlign w:val="center"/>
          </w:tcPr>
          <w:p w14:paraId="202A2E80">
            <w:pPr>
              <w:pStyle w:val="12"/>
            </w:pPr>
            <w:r>
              <w:t xml:space="preserve"> </w:t>
            </w:r>
          </w:p>
        </w:tc>
      </w:tr>
      <w:tr w14:paraId="523B6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4CF60"/>
        </w:tc>
        <w:tc>
          <w:tcPr>
            <w:tcW w:w="14033" w:type="dxa"/>
            <w:gridSpan w:val="6"/>
            <w:vAlign w:val="center"/>
          </w:tcPr>
          <w:p w14:paraId="0A604C8F">
            <w:pPr>
              <w:pStyle w:val="12"/>
            </w:pPr>
            <w:r>
              <w:t>完成大干</w:t>
            </w:r>
            <w:r>
              <w:rPr>
                <w:rFonts w:hint="eastAsia"/>
                <w:lang w:eastAsia="zh-CN"/>
              </w:rPr>
              <w:t>院校</w:t>
            </w:r>
            <w:r>
              <w:t>舍维修改造，满足学校正常教学需要。</w:t>
            </w:r>
          </w:p>
        </w:tc>
      </w:tr>
      <w:tr w14:paraId="086DB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8B65B">
            <w:pPr>
              <w:pStyle w:val="10"/>
            </w:pPr>
            <w:r>
              <w:t>资金支出计划（%）</w:t>
            </w:r>
          </w:p>
        </w:tc>
        <w:tc>
          <w:tcPr>
            <w:tcW w:w="5103" w:type="dxa"/>
            <w:gridSpan w:val="2"/>
            <w:vAlign w:val="center"/>
          </w:tcPr>
          <w:p w14:paraId="09700798">
            <w:pPr>
              <w:pStyle w:val="10"/>
            </w:pPr>
            <w:r>
              <w:t>3月底</w:t>
            </w:r>
          </w:p>
        </w:tc>
        <w:tc>
          <w:tcPr>
            <w:tcW w:w="2835" w:type="dxa"/>
            <w:vAlign w:val="center"/>
          </w:tcPr>
          <w:p w14:paraId="2DD84F2D">
            <w:pPr>
              <w:pStyle w:val="10"/>
            </w:pPr>
            <w:r>
              <w:t>6月底</w:t>
            </w:r>
          </w:p>
        </w:tc>
        <w:tc>
          <w:tcPr>
            <w:tcW w:w="2551" w:type="dxa"/>
            <w:vAlign w:val="center"/>
          </w:tcPr>
          <w:p w14:paraId="7AC604DB">
            <w:pPr>
              <w:pStyle w:val="10"/>
            </w:pPr>
            <w:r>
              <w:t>10月底</w:t>
            </w:r>
          </w:p>
        </w:tc>
        <w:tc>
          <w:tcPr>
            <w:tcW w:w="3544" w:type="dxa"/>
            <w:gridSpan w:val="2"/>
            <w:vAlign w:val="center"/>
          </w:tcPr>
          <w:p w14:paraId="21A0FD51">
            <w:pPr>
              <w:pStyle w:val="10"/>
            </w:pPr>
            <w:r>
              <w:t>12月底</w:t>
            </w:r>
          </w:p>
        </w:tc>
      </w:tr>
      <w:tr w14:paraId="76504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9A9C9"/>
        </w:tc>
        <w:tc>
          <w:tcPr>
            <w:tcW w:w="5103" w:type="dxa"/>
            <w:gridSpan w:val="2"/>
            <w:vAlign w:val="center"/>
          </w:tcPr>
          <w:p w14:paraId="11C885C5">
            <w:pPr>
              <w:pStyle w:val="13"/>
            </w:pPr>
            <w:r>
              <w:t xml:space="preserve"> </w:t>
            </w:r>
          </w:p>
        </w:tc>
        <w:tc>
          <w:tcPr>
            <w:tcW w:w="2835" w:type="dxa"/>
            <w:vAlign w:val="center"/>
          </w:tcPr>
          <w:p w14:paraId="57FE9EF0">
            <w:pPr>
              <w:pStyle w:val="13"/>
            </w:pPr>
            <w:r>
              <w:t>50%</w:t>
            </w:r>
          </w:p>
        </w:tc>
        <w:tc>
          <w:tcPr>
            <w:tcW w:w="2551" w:type="dxa"/>
            <w:vAlign w:val="center"/>
          </w:tcPr>
          <w:p w14:paraId="69475686">
            <w:pPr>
              <w:pStyle w:val="13"/>
            </w:pPr>
            <w:r>
              <w:t>100%</w:t>
            </w:r>
          </w:p>
        </w:tc>
        <w:tc>
          <w:tcPr>
            <w:tcW w:w="3544" w:type="dxa"/>
            <w:gridSpan w:val="2"/>
            <w:vAlign w:val="center"/>
          </w:tcPr>
          <w:p w14:paraId="0B70FA86">
            <w:pPr>
              <w:pStyle w:val="13"/>
            </w:pPr>
            <w:r>
              <w:t>100%</w:t>
            </w:r>
          </w:p>
        </w:tc>
      </w:tr>
      <w:tr w14:paraId="61C5B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931B5">
            <w:pPr>
              <w:pStyle w:val="10"/>
            </w:pPr>
            <w:r>
              <w:t>绩效目标</w:t>
            </w:r>
          </w:p>
        </w:tc>
        <w:tc>
          <w:tcPr>
            <w:tcW w:w="14033" w:type="dxa"/>
            <w:gridSpan w:val="6"/>
            <w:vAlign w:val="center"/>
          </w:tcPr>
          <w:p w14:paraId="60B02BB7">
            <w:pPr>
              <w:pStyle w:val="12"/>
            </w:pPr>
            <w:r>
              <w:t>1.按规定拨付专项资金，资金支付率达到100%。</w:t>
            </w:r>
          </w:p>
          <w:p w14:paraId="56FF4C42">
            <w:pPr>
              <w:pStyle w:val="12"/>
            </w:pPr>
            <w:r>
              <w:t>2.完成大干言校舍维修改造，满足学校正常教学需要。</w:t>
            </w:r>
          </w:p>
        </w:tc>
      </w:tr>
    </w:tbl>
    <w:p w14:paraId="13F870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9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9E29B">
            <w:pPr>
              <w:pStyle w:val="10"/>
            </w:pPr>
            <w:r>
              <w:t>一级指标</w:t>
            </w:r>
          </w:p>
        </w:tc>
        <w:tc>
          <w:tcPr>
            <w:tcW w:w="2268" w:type="dxa"/>
            <w:vAlign w:val="center"/>
          </w:tcPr>
          <w:p w14:paraId="4EBEC3EF">
            <w:pPr>
              <w:pStyle w:val="10"/>
            </w:pPr>
            <w:r>
              <w:t>二级指标</w:t>
            </w:r>
          </w:p>
        </w:tc>
        <w:tc>
          <w:tcPr>
            <w:tcW w:w="2835" w:type="dxa"/>
            <w:vAlign w:val="center"/>
          </w:tcPr>
          <w:p w14:paraId="1E8DA7C8">
            <w:pPr>
              <w:pStyle w:val="10"/>
            </w:pPr>
            <w:r>
              <w:t>三级指标</w:t>
            </w:r>
          </w:p>
        </w:tc>
        <w:tc>
          <w:tcPr>
            <w:tcW w:w="5386" w:type="dxa"/>
            <w:vAlign w:val="center"/>
          </w:tcPr>
          <w:p w14:paraId="095AA29B">
            <w:pPr>
              <w:pStyle w:val="10"/>
            </w:pPr>
            <w:r>
              <w:t>绩效指标描述</w:t>
            </w:r>
          </w:p>
        </w:tc>
        <w:tc>
          <w:tcPr>
            <w:tcW w:w="2268" w:type="dxa"/>
            <w:vAlign w:val="center"/>
          </w:tcPr>
          <w:p w14:paraId="667691EE">
            <w:pPr>
              <w:pStyle w:val="10"/>
            </w:pPr>
            <w:r>
              <w:t>指标值</w:t>
            </w:r>
          </w:p>
        </w:tc>
        <w:tc>
          <w:tcPr>
            <w:tcW w:w="1276" w:type="dxa"/>
            <w:vAlign w:val="center"/>
          </w:tcPr>
          <w:p w14:paraId="1C1EFC39">
            <w:pPr>
              <w:pStyle w:val="10"/>
            </w:pPr>
            <w:r>
              <w:t>指标值确定依据</w:t>
            </w:r>
          </w:p>
        </w:tc>
      </w:tr>
      <w:tr w14:paraId="1FB45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DEFEE">
            <w:pPr>
              <w:pStyle w:val="13"/>
            </w:pPr>
            <w:r>
              <w:t>产出指标</w:t>
            </w:r>
          </w:p>
        </w:tc>
        <w:tc>
          <w:tcPr>
            <w:tcW w:w="2268" w:type="dxa"/>
            <w:vAlign w:val="center"/>
          </w:tcPr>
          <w:p w14:paraId="7B0CDE44">
            <w:pPr>
              <w:pStyle w:val="12"/>
            </w:pPr>
            <w:r>
              <w:t>数量指标</w:t>
            </w:r>
          </w:p>
        </w:tc>
        <w:tc>
          <w:tcPr>
            <w:tcW w:w="2835" w:type="dxa"/>
            <w:vAlign w:val="center"/>
          </w:tcPr>
          <w:p w14:paraId="382D7414">
            <w:pPr>
              <w:pStyle w:val="12"/>
            </w:pPr>
            <w:r>
              <w:t>大干言校舍维修改造</w:t>
            </w:r>
          </w:p>
        </w:tc>
        <w:tc>
          <w:tcPr>
            <w:tcW w:w="5386" w:type="dxa"/>
            <w:vAlign w:val="center"/>
          </w:tcPr>
          <w:p w14:paraId="7C60B678">
            <w:pPr>
              <w:pStyle w:val="12"/>
            </w:pPr>
            <w:r>
              <w:t>大干言校舍维修改造</w:t>
            </w:r>
          </w:p>
        </w:tc>
        <w:tc>
          <w:tcPr>
            <w:tcW w:w="2268" w:type="dxa"/>
            <w:vAlign w:val="center"/>
          </w:tcPr>
          <w:p w14:paraId="155CDA7E">
            <w:pPr>
              <w:pStyle w:val="12"/>
            </w:pPr>
            <w:r>
              <w:t>48.4万元</w:t>
            </w:r>
          </w:p>
        </w:tc>
        <w:tc>
          <w:tcPr>
            <w:tcW w:w="1276" w:type="dxa"/>
            <w:vAlign w:val="center"/>
          </w:tcPr>
          <w:p w14:paraId="61775C3F">
            <w:pPr>
              <w:pStyle w:val="12"/>
            </w:pPr>
            <w:r>
              <w:t>城乡义务教育公用经费管理办法</w:t>
            </w:r>
          </w:p>
        </w:tc>
      </w:tr>
      <w:tr w14:paraId="4673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3A230"/>
        </w:tc>
        <w:tc>
          <w:tcPr>
            <w:tcW w:w="2268" w:type="dxa"/>
            <w:vAlign w:val="center"/>
          </w:tcPr>
          <w:p w14:paraId="212BAB05">
            <w:pPr>
              <w:pStyle w:val="12"/>
            </w:pPr>
            <w:r>
              <w:t>质量指标</w:t>
            </w:r>
          </w:p>
        </w:tc>
        <w:tc>
          <w:tcPr>
            <w:tcW w:w="2835" w:type="dxa"/>
            <w:vAlign w:val="center"/>
          </w:tcPr>
          <w:p w14:paraId="2E38FE7D">
            <w:pPr>
              <w:pStyle w:val="12"/>
            </w:pPr>
            <w:r>
              <w:t>资金支付率</w:t>
            </w:r>
          </w:p>
        </w:tc>
        <w:tc>
          <w:tcPr>
            <w:tcW w:w="5386" w:type="dxa"/>
            <w:vAlign w:val="center"/>
          </w:tcPr>
          <w:p w14:paraId="1BBF7C16">
            <w:pPr>
              <w:pStyle w:val="12"/>
            </w:pPr>
            <w:r>
              <w:t>按照序时进度完成资金支付</w:t>
            </w:r>
          </w:p>
        </w:tc>
        <w:tc>
          <w:tcPr>
            <w:tcW w:w="2268" w:type="dxa"/>
            <w:vAlign w:val="center"/>
          </w:tcPr>
          <w:p w14:paraId="2718025C">
            <w:pPr>
              <w:pStyle w:val="12"/>
            </w:pPr>
            <w:r>
              <w:t>100%</w:t>
            </w:r>
          </w:p>
        </w:tc>
        <w:tc>
          <w:tcPr>
            <w:tcW w:w="1276" w:type="dxa"/>
            <w:vAlign w:val="center"/>
          </w:tcPr>
          <w:p w14:paraId="669EBECA">
            <w:pPr>
              <w:pStyle w:val="12"/>
            </w:pPr>
            <w:r>
              <w:t>城乡义务教育公用经费管理办法</w:t>
            </w:r>
          </w:p>
        </w:tc>
      </w:tr>
      <w:tr w14:paraId="2AEA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9CAC7"/>
        </w:tc>
        <w:tc>
          <w:tcPr>
            <w:tcW w:w="2268" w:type="dxa"/>
            <w:vAlign w:val="center"/>
          </w:tcPr>
          <w:p w14:paraId="765E944C">
            <w:pPr>
              <w:pStyle w:val="12"/>
            </w:pPr>
            <w:r>
              <w:t>时效指标</w:t>
            </w:r>
          </w:p>
        </w:tc>
        <w:tc>
          <w:tcPr>
            <w:tcW w:w="2835" w:type="dxa"/>
            <w:vAlign w:val="center"/>
          </w:tcPr>
          <w:p w14:paraId="481FC8B3">
            <w:pPr>
              <w:pStyle w:val="12"/>
            </w:pPr>
            <w:r>
              <w:t>项目竣工验收合格率</w:t>
            </w:r>
          </w:p>
        </w:tc>
        <w:tc>
          <w:tcPr>
            <w:tcW w:w="5386" w:type="dxa"/>
            <w:vAlign w:val="center"/>
          </w:tcPr>
          <w:p w14:paraId="15A5F953">
            <w:pPr>
              <w:pStyle w:val="12"/>
            </w:pPr>
            <w:r>
              <w:t>项目改造质量达标率</w:t>
            </w:r>
          </w:p>
        </w:tc>
        <w:tc>
          <w:tcPr>
            <w:tcW w:w="2268" w:type="dxa"/>
            <w:vAlign w:val="center"/>
          </w:tcPr>
          <w:p w14:paraId="740D3D6D">
            <w:pPr>
              <w:pStyle w:val="12"/>
            </w:pPr>
            <w:r>
              <w:t>100%</w:t>
            </w:r>
          </w:p>
        </w:tc>
        <w:tc>
          <w:tcPr>
            <w:tcW w:w="1276" w:type="dxa"/>
            <w:vAlign w:val="center"/>
          </w:tcPr>
          <w:p w14:paraId="3485198F">
            <w:pPr>
              <w:pStyle w:val="12"/>
            </w:pPr>
            <w:r>
              <w:t>城乡义务教育公用经费管理办法</w:t>
            </w:r>
          </w:p>
        </w:tc>
      </w:tr>
      <w:tr w14:paraId="740F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734C2"/>
        </w:tc>
        <w:tc>
          <w:tcPr>
            <w:tcW w:w="2268" w:type="dxa"/>
            <w:vAlign w:val="center"/>
          </w:tcPr>
          <w:p w14:paraId="3698D94B">
            <w:pPr>
              <w:pStyle w:val="12"/>
            </w:pPr>
            <w:r>
              <w:t>成本指标</w:t>
            </w:r>
          </w:p>
        </w:tc>
        <w:tc>
          <w:tcPr>
            <w:tcW w:w="2835" w:type="dxa"/>
            <w:vAlign w:val="center"/>
          </w:tcPr>
          <w:p w14:paraId="08DF8429">
            <w:pPr>
              <w:pStyle w:val="12"/>
            </w:pPr>
            <w:r>
              <w:t>项目实际成本</w:t>
            </w:r>
          </w:p>
        </w:tc>
        <w:tc>
          <w:tcPr>
            <w:tcW w:w="5386" w:type="dxa"/>
            <w:vAlign w:val="center"/>
          </w:tcPr>
          <w:p w14:paraId="7A3FDCC2">
            <w:pPr>
              <w:pStyle w:val="12"/>
            </w:pPr>
            <w:r>
              <w:t>大干言校舍维修改造</w:t>
            </w:r>
          </w:p>
        </w:tc>
        <w:tc>
          <w:tcPr>
            <w:tcW w:w="2268" w:type="dxa"/>
            <w:vAlign w:val="center"/>
          </w:tcPr>
          <w:p w14:paraId="7A08BAF3">
            <w:pPr>
              <w:pStyle w:val="12"/>
            </w:pPr>
            <w:r>
              <w:t>48.4万元</w:t>
            </w:r>
          </w:p>
        </w:tc>
        <w:tc>
          <w:tcPr>
            <w:tcW w:w="1276" w:type="dxa"/>
            <w:vAlign w:val="center"/>
          </w:tcPr>
          <w:p w14:paraId="65ADD5F1">
            <w:pPr>
              <w:pStyle w:val="12"/>
            </w:pPr>
            <w:r>
              <w:t>城乡义务教育公用经费管理办法</w:t>
            </w:r>
          </w:p>
        </w:tc>
      </w:tr>
      <w:tr w14:paraId="72586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23B9A">
            <w:pPr>
              <w:pStyle w:val="13"/>
            </w:pPr>
            <w:r>
              <w:t>效益指标</w:t>
            </w:r>
          </w:p>
        </w:tc>
        <w:tc>
          <w:tcPr>
            <w:tcW w:w="2268" w:type="dxa"/>
            <w:vAlign w:val="center"/>
          </w:tcPr>
          <w:p w14:paraId="7C7754EC">
            <w:pPr>
              <w:pStyle w:val="12"/>
            </w:pPr>
            <w:r>
              <w:t>经济效益指标</w:t>
            </w:r>
          </w:p>
        </w:tc>
        <w:tc>
          <w:tcPr>
            <w:tcW w:w="2835" w:type="dxa"/>
            <w:vAlign w:val="center"/>
          </w:tcPr>
          <w:p w14:paraId="1F22439C">
            <w:pPr>
              <w:pStyle w:val="12"/>
            </w:pPr>
            <w:r>
              <w:t>教育发展水平</w:t>
            </w:r>
          </w:p>
        </w:tc>
        <w:tc>
          <w:tcPr>
            <w:tcW w:w="5386" w:type="dxa"/>
            <w:vAlign w:val="center"/>
          </w:tcPr>
          <w:p w14:paraId="77973AA6">
            <w:pPr>
              <w:pStyle w:val="12"/>
            </w:pPr>
            <w:r>
              <w:t>辖区内教育环境明显好转</w:t>
            </w:r>
          </w:p>
        </w:tc>
        <w:tc>
          <w:tcPr>
            <w:tcW w:w="2268" w:type="dxa"/>
            <w:vAlign w:val="center"/>
          </w:tcPr>
          <w:p w14:paraId="4E9904FE">
            <w:pPr>
              <w:pStyle w:val="12"/>
            </w:pPr>
            <w:r>
              <w:t>≥95%</w:t>
            </w:r>
          </w:p>
        </w:tc>
        <w:tc>
          <w:tcPr>
            <w:tcW w:w="1276" w:type="dxa"/>
            <w:vAlign w:val="center"/>
          </w:tcPr>
          <w:p w14:paraId="0E550F1F">
            <w:pPr>
              <w:pStyle w:val="12"/>
            </w:pPr>
            <w:r>
              <w:t>城乡义务教育公用经费管理办法</w:t>
            </w:r>
          </w:p>
        </w:tc>
      </w:tr>
      <w:tr w14:paraId="4344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2D5E8"/>
        </w:tc>
        <w:tc>
          <w:tcPr>
            <w:tcW w:w="2268" w:type="dxa"/>
            <w:vAlign w:val="center"/>
          </w:tcPr>
          <w:p w14:paraId="40C45CBC">
            <w:pPr>
              <w:pStyle w:val="12"/>
            </w:pPr>
            <w:r>
              <w:t>社会效益指标</w:t>
            </w:r>
          </w:p>
        </w:tc>
        <w:tc>
          <w:tcPr>
            <w:tcW w:w="2835" w:type="dxa"/>
            <w:vAlign w:val="center"/>
          </w:tcPr>
          <w:p w14:paraId="7B9B7EE5">
            <w:pPr>
              <w:pStyle w:val="12"/>
            </w:pPr>
            <w:r>
              <w:t>校园环境</w:t>
            </w:r>
          </w:p>
        </w:tc>
        <w:tc>
          <w:tcPr>
            <w:tcW w:w="5386" w:type="dxa"/>
            <w:vAlign w:val="center"/>
          </w:tcPr>
          <w:p w14:paraId="4D4BFB1F">
            <w:pPr>
              <w:pStyle w:val="12"/>
            </w:pPr>
            <w:r>
              <w:t>办学条件和环境得到改善</w:t>
            </w:r>
          </w:p>
        </w:tc>
        <w:tc>
          <w:tcPr>
            <w:tcW w:w="2268" w:type="dxa"/>
            <w:vAlign w:val="center"/>
          </w:tcPr>
          <w:p w14:paraId="518CA666">
            <w:pPr>
              <w:pStyle w:val="12"/>
            </w:pPr>
            <w:r>
              <w:t>≥95%</w:t>
            </w:r>
          </w:p>
        </w:tc>
        <w:tc>
          <w:tcPr>
            <w:tcW w:w="1276" w:type="dxa"/>
            <w:vAlign w:val="center"/>
          </w:tcPr>
          <w:p w14:paraId="36F02CBE">
            <w:pPr>
              <w:pStyle w:val="12"/>
            </w:pPr>
            <w:r>
              <w:t>城乡义务教育公用经费管理办法</w:t>
            </w:r>
          </w:p>
        </w:tc>
      </w:tr>
      <w:tr w14:paraId="204D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54327">
            <w:pPr>
              <w:pStyle w:val="13"/>
            </w:pPr>
            <w:r>
              <w:t>满意度指标</w:t>
            </w:r>
          </w:p>
        </w:tc>
        <w:tc>
          <w:tcPr>
            <w:tcW w:w="2268" w:type="dxa"/>
            <w:vAlign w:val="center"/>
          </w:tcPr>
          <w:p w14:paraId="75F2C000">
            <w:pPr>
              <w:pStyle w:val="12"/>
            </w:pPr>
            <w:r>
              <w:t>服务对象满意度指标</w:t>
            </w:r>
          </w:p>
        </w:tc>
        <w:tc>
          <w:tcPr>
            <w:tcW w:w="2835" w:type="dxa"/>
            <w:vAlign w:val="center"/>
          </w:tcPr>
          <w:p w14:paraId="427045A8">
            <w:pPr>
              <w:pStyle w:val="12"/>
            </w:pPr>
            <w:r>
              <w:t>受益学生家长及调查满意度</w:t>
            </w:r>
          </w:p>
        </w:tc>
        <w:tc>
          <w:tcPr>
            <w:tcW w:w="5386" w:type="dxa"/>
            <w:vAlign w:val="center"/>
          </w:tcPr>
          <w:p w14:paraId="6CF39654">
            <w:pPr>
              <w:pStyle w:val="12"/>
            </w:pPr>
            <w:r>
              <w:t>学生、教师及家长对学校工作满意度情况</w:t>
            </w:r>
          </w:p>
        </w:tc>
        <w:tc>
          <w:tcPr>
            <w:tcW w:w="2268" w:type="dxa"/>
            <w:vAlign w:val="center"/>
          </w:tcPr>
          <w:p w14:paraId="197CF88A">
            <w:pPr>
              <w:pStyle w:val="12"/>
            </w:pPr>
            <w:r>
              <w:t>≥95%</w:t>
            </w:r>
          </w:p>
        </w:tc>
        <w:tc>
          <w:tcPr>
            <w:tcW w:w="1276" w:type="dxa"/>
            <w:vAlign w:val="center"/>
          </w:tcPr>
          <w:p w14:paraId="22631B71">
            <w:pPr>
              <w:pStyle w:val="12"/>
            </w:pPr>
            <w:r>
              <w:t>城乡义务教育公用经费管理办法</w:t>
            </w:r>
          </w:p>
        </w:tc>
      </w:tr>
    </w:tbl>
    <w:p w14:paraId="25E8AF04">
      <w:pPr>
        <w:sectPr>
          <w:pgSz w:w="16840" w:h="11900" w:orient="landscape"/>
          <w:pgMar w:top="1361" w:right="1020" w:bottom="1134" w:left="1020" w:header="720" w:footer="720" w:gutter="0"/>
          <w:cols w:space="720" w:num="1"/>
        </w:sectPr>
      </w:pPr>
    </w:p>
    <w:p w14:paraId="3CF85E04">
      <w:pPr>
        <w:spacing w:before="0" w:after="0"/>
        <w:ind w:firstLine="560"/>
        <w:jc w:val="left"/>
        <w:outlineLvl w:val="9"/>
      </w:pPr>
      <w:r>
        <w:rPr>
          <w:rFonts w:ascii="方正仿宋_GBK" w:hAnsi="方正仿宋_GBK" w:eastAsia="方正仿宋_GBK" w:cs="方正仿宋_GBK"/>
          <w:b/>
          <w:color w:val="000000"/>
          <w:sz w:val="28"/>
        </w:rPr>
        <w:t>12、冀财教[2025]121号/中央/义教/2026年校舍安全/泽畔小学教学楼及地面维修改造绩效目标表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9F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2C1E2">
            <w:pPr>
              <w:pStyle w:val="11"/>
            </w:pPr>
            <w:r>
              <w:t>单位：万元</w:t>
            </w:r>
          </w:p>
        </w:tc>
      </w:tr>
      <w:tr w14:paraId="2BB70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F016A">
            <w:pPr>
              <w:pStyle w:val="10"/>
            </w:pPr>
            <w:r>
              <w:t>项目编码</w:t>
            </w:r>
          </w:p>
        </w:tc>
        <w:tc>
          <w:tcPr>
            <w:tcW w:w="5103" w:type="dxa"/>
            <w:gridSpan w:val="2"/>
            <w:vAlign w:val="center"/>
          </w:tcPr>
          <w:p w14:paraId="33E3F66A">
            <w:pPr>
              <w:pStyle w:val="12"/>
            </w:pPr>
            <w:r>
              <w:t>13052526P00876210084N</w:t>
            </w:r>
          </w:p>
        </w:tc>
        <w:tc>
          <w:tcPr>
            <w:tcW w:w="2835" w:type="dxa"/>
            <w:vAlign w:val="center"/>
          </w:tcPr>
          <w:p w14:paraId="43B52BC1">
            <w:pPr>
              <w:pStyle w:val="10"/>
            </w:pPr>
            <w:r>
              <w:t>项目名称</w:t>
            </w:r>
          </w:p>
        </w:tc>
        <w:tc>
          <w:tcPr>
            <w:tcW w:w="6095" w:type="dxa"/>
            <w:gridSpan w:val="3"/>
            <w:vAlign w:val="center"/>
          </w:tcPr>
          <w:p w14:paraId="472BED44">
            <w:pPr>
              <w:pStyle w:val="12"/>
            </w:pPr>
            <w:r>
              <w:t>冀财教[2025]121号/中央/义教/2026年校舍安全/泽畔小学教学楼及地面维修改造</w:t>
            </w:r>
          </w:p>
        </w:tc>
      </w:tr>
      <w:tr w14:paraId="0649C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85F62">
            <w:pPr>
              <w:pStyle w:val="10"/>
            </w:pPr>
            <w:r>
              <w:t>预算规模及资金用途</w:t>
            </w:r>
          </w:p>
        </w:tc>
        <w:tc>
          <w:tcPr>
            <w:tcW w:w="2268" w:type="dxa"/>
            <w:vAlign w:val="center"/>
          </w:tcPr>
          <w:p w14:paraId="12FD478E">
            <w:pPr>
              <w:pStyle w:val="10"/>
            </w:pPr>
            <w:r>
              <w:t>预算数</w:t>
            </w:r>
          </w:p>
        </w:tc>
        <w:tc>
          <w:tcPr>
            <w:tcW w:w="2835" w:type="dxa"/>
            <w:vAlign w:val="center"/>
          </w:tcPr>
          <w:p w14:paraId="10437490">
            <w:pPr>
              <w:pStyle w:val="12"/>
            </w:pPr>
            <w:r>
              <w:t>45.00</w:t>
            </w:r>
          </w:p>
        </w:tc>
        <w:tc>
          <w:tcPr>
            <w:tcW w:w="2835" w:type="dxa"/>
            <w:vAlign w:val="center"/>
          </w:tcPr>
          <w:p w14:paraId="4A1DDB6E">
            <w:pPr>
              <w:pStyle w:val="10"/>
            </w:pPr>
            <w:r>
              <w:t>其中：财政    资金</w:t>
            </w:r>
          </w:p>
        </w:tc>
        <w:tc>
          <w:tcPr>
            <w:tcW w:w="2551" w:type="dxa"/>
            <w:vAlign w:val="center"/>
          </w:tcPr>
          <w:p w14:paraId="63F90790">
            <w:pPr>
              <w:pStyle w:val="12"/>
            </w:pPr>
            <w:r>
              <w:t>45.00</w:t>
            </w:r>
          </w:p>
        </w:tc>
        <w:tc>
          <w:tcPr>
            <w:tcW w:w="2268" w:type="dxa"/>
            <w:vAlign w:val="center"/>
          </w:tcPr>
          <w:p w14:paraId="713AB362">
            <w:pPr>
              <w:pStyle w:val="10"/>
            </w:pPr>
            <w:r>
              <w:t>其他资金</w:t>
            </w:r>
          </w:p>
        </w:tc>
        <w:tc>
          <w:tcPr>
            <w:tcW w:w="1276" w:type="dxa"/>
            <w:vAlign w:val="center"/>
          </w:tcPr>
          <w:p w14:paraId="111DDEC8">
            <w:pPr>
              <w:pStyle w:val="12"/>
            </w:pPr>
            <w:r>
              <w:t xml:space="preserve"> </w:t>
            </w:r>
          </w:p>
        </w:tc>
      </w:tr>
      <w:tr w14:paraId="482FE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49182"/>
        </w:tc>
        <w:tc>
          <w:tcPr>
            <w:tcW w:w="14033" w:type="dxa"/>
            <w:gridSpan w:val="6"/>
            <w:vAlign w:val="center"/>
          </w:tcPr>
          <w:p w14:paraId="254BBC8E">
            <w:pPr>
              <w:pStyle w:val="12"/>
            </w:pPr>
            <w:r>
              <w:t>完成泽畔小学教学楼及地面维修改造，满足学校正常教学需要。</w:t>
            </w:r>
          </w:p>
        </w:tc>
      </w:tr>
      <w:tr w14:paraId="049F6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C900E">
            <w:pPr>
              <w:pStyle w:val="10"/>
            </w:pPr>
            <w:r>
              <w:t>资金支出计划（%）</w:t>
            </w:r>
          </w:p>
        </w:tc>
        <w:tc>
          <w:tcPr>
            <w:tcW w:w="5103" w:type="dxa"/>
            <w:gridSpan w:val="2"/>
            <w:vAlign w:val="center"/>
          </w:tcPr>
          <w:p w14:paraId="26A8132E">
            <w:pPr>
              <w:pStyle w:val="10"/>
            </w:pPr>
            <w:r>
              <w:t>3月底</w:t>
            </w:r>
          </w:p>
        </w:tc>
        <w:tc>
          <w:tcPr>
            <w:tcW w:w="2835" w:type="dxa"/>
            <w:vAlign w:val="center"/>
          </w:tcPr>
          <w:p w14:paraId="28877C71">
            <w:pPr>
              <w:pStyle w:val="10"/>
            </w:pPr>
            <w:r>
              <w:t>6月底</w:t>
            </w:r>
          </w:p>
        </w:tc>
        <w:tc>
          <w:tcPr>
            <w:tcW w:w="2551" w:type="dxa"/>
            <w:vAlign w:val="center"/>
          </w:tcPr>
          <w:p w14:paraId="6CCA6AAF">
            <w:pPr>
              <w:pStyle w:val="10"/>
            </w:pPr>
            <w:r>
              <w:t>10月底</w:t>
            </w:r>
          </w:p>
        </w:tc>
        <w:tc>
          <w:tcPr>
            <w:tcW w:w="3544" w:type="dxa"/>
            <w:gridSpan w:val="2"/>
            <w:vAlign w:val="center"/>
          </w:tcPr>
          <w:p w14:paraId="75778A01">
            <w:pPr>
              <w:pStyle w:val="10"/>
            </w:pPr>
            <w:r>
              <w:t>12月底</w:t>
            </w:r>
          </w:p>
        </w:tc>
      </w:tr>
      <w:tr w14:paraId="3E425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C0358"/>
        </w:tc>
        <w:tc>
          <w:tcPr>
            <w:tcW w:w="5103" w:type="dxa"/>
            <w:gridSpan w:val="2"/>
            <w:vAlign w:val="center"/>
          </w:tcPr>
          <w:p w14:paraId="1FCA4DA1">
            <w:pPr>
              <w:pStyle w:val="13"/>
            </w:pPr>
            <w:r>
              <w:t xml:space="preserve"> </w:t>
            </w:r>
          </w:p>
        </w:tc>
        <w:tc>
          <w:tcPr>
            <w:tcW w:w="2835" w:type="dxa"/>
            <w:vAlign w:val="center"/>
          </w:tcPr>
          <w:p w14:paraId="02DDBEC0">
            <w:pPr>
              <w:pStyle w:val="13"/>
            </w:pPr>
            <w:r>
              <w:t>50%</w:t>
            </w:r>
          </w:p>
        </w:tc>
        <w:tc>
          <w:tcPr>
            <w:tcW w:w="2551" w:type="dxa"/>
            <w:vAlign w:val="center"/>
          </w:tcPr>
          <w:p w14:paraId="095EADB4">
            <w:pPr>
              <w:pStyle w:val="13"/>
            </w:pPr>
            <w:r>
              <w:t>100%</w:t>
            </w:r>
          </w:p>
        </w:tc>
        <w:tc>
          <w:tcPr>
            <w:tcW w:w="3544" w:type="dxa"/>
            <w:gridSpan w:val="2"/>
            <w:vAlign w:val="center"/>
          </w:tcPr>
          <w:p w14:paraId="681127F5">
            <w:pPr>
              <w:pStyle w:val="13"/>
            </w:pPr>
            <w:r>
              <w:t>100%</w:t>
            </w:r>
          </w:p>
        </w:tc>
      </w:tr>
      <w:tr w14:paraId="0C8EE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B60DE">
            <w:pPr>
              <w:pStyle w:val="10"/>
            </w:pPr>
            <w:r>
              <w:t>绩效目标</w:t>
            </w:r>
          </w:p>
        </w:tc>
        <w:tc>
          <w:tcPr>
            <w:tcW w:w="14033" w:type="dxa"/>
            <w:gridSpan w:val="6"/>
            <w:vAlign w:val="center"/>
          </w:tcPr>
          <w:p w14:paraId="2EDDD8ED">
            <w:pPr>
              <w:pStyle w:val="12"/>
            </w:pPr>
            <w:r>
              <w:t>1.按规定拨付专项资金，资金支付率达到100%。</w:t>
            </w:r>
          </w:p>
          <w:p w14:paraId="2750E87C">
            <w:pPr>
              <w:pStyle w:val="12"/>
            </w:pPr>
            <w:r>
              <w:t>2.完成泽畔小学教学楼及地面维修改造，满足学校正常教学需要。</w:t>
            </w:r>
          </w:p>
        </w:tc>
      </w:tr>
    </w:tbl>
    <w:p w14:paraId="3B2E9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D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D9F99">
            <w:pPr>
              <w:pStyle w:val="10"/>
            </w:pPr>
            <w:r>
              <w:t>一级指标</w:t>
            </w:r>
          </w:p>
        </w:tc>
        <w:tc>
          <w:tcPr>
            <w:tcW w:w="2268" w:type="dxa"/>
            <w:vAlign w:val="center"/>
          </w:tcPr>
          <w:p w14:paraId="685B5A00">
            <w:pPr>
              <w:pStyle w:val="10"/>
            </w:pPr>
            <w:r>
              <w:t>二级指标</w:t>
            </w:r>
          </w:p>
        </w:tc>
        <w:tc>
          <w:tcPr>
            <w:tcW w:w="2835" w:type="dxa"/>
            <w:vAlign w:val="center"/>
          </w:tcPr>
          <w:p w14:paraId="6A5A0B76">
            <w:pPr>
              <w:pStyle w:val="10"/>
            </w:pPr>
            <w:r>
              <w:t>三级指标</w:t>
            </w:r>
          </w:p>
        </w:tc>
        <w:tc>
          <w:tcPr>
            <w:tcW w:w="5386" w:type="dxa"/>
            <w:vAlign w:val="center"/>
          </w:tcPr>
          <w:p w14:paraId="4CA01BA2">
            <w:pPr>
              <w:pStyle w:val="10"/>
            </w:pPr>
            <w:r>
              <w:t>绩效指标描述</w:t>
            </w:r>
          </w:p>
        </w:tc>
        <w:tc>
          <w:tcPr>
            <w:tcW w:w="2268" w:type="dxa"/>
            <w:vAlign w:val="center"/>
          </w:tcPr>
          <w:p w14:paraId="044D3749">
            <w:pPr>
              <w:pStyle w:val="10"/>
            </w:pPr>
            <w:r>
              <w:t>指标值</w:t>
            </w:r>
          </w:p>
        </w:tc>
        <w:tc>
          <w:tcPr>
            <w:tcW w:w="1276" w:type="dxa"/>
            <w:vAlign w:val="center"/>
          </w:tcPr>
          <w:p w14:paraId="721BF370">
            <w:pPr>
              <w:pStyle w:val="10"/>
            </w:pPr>
            <w:r>
              <w:t>指标值确定依据</w:t>
            </w:r>
          </w:p>
        </w:tc>
      </w:tr>
      <w:tr w14:paraId="40B7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C3D71">
            <w:pPr>
              <w:pStyle w:val="13"/>
            </w:pPr>
            <w:r>
              <w:t>产出指标</w:t>
            </w:r>
          </w:p>
        </w:tc>
        <w:tc>
          <w:tcPr>
            <w:tcW w:w="2268" w:type="dxa"/>
            <w:vAlign w:val="center"/>
          </w:tcPr>
          <w:p w14:paraId="37088770">
            <w:pPr>
              <w:pStyle w:val="12"/>
            </w:pPr>
            <w:r>
              <w:t>数量指标</w:t>
            </w:r>
          </w:p>
        </w:tc>
        <w:tc>
          <w:tcPr>
            <w:tcW w:w="2835" w:type="dxa"/>
            <w:vAlign w:val="center"/>
          </w:tcPr>
          <w:p w14:paraId="3EB112E1">
            <w:pPr>
              <w:pStyle w:val="12"/>
            </w:pPr>
            <w:r>
              <w:t>教学楼及地面维修改造</w:t>
            </w:r>
          </w:p>
        </w:tc>
        <w:tc>
          <w:tcPr>
            <w:tcW w:w="5386" w:type="dxa"/>
            <w:vAlign w:val="center"/>
          </w:tcPr>
          <w:p w14:paraId="2DC01D44">
            <w:pPr>
              <w:pStyle w:val="12"/>
            </w:pPr>
            <w:r>
              <w:t>教学楼及地面维修改造</w:t>
            </w:r>
          </w:p>
        </w:tc>
        <w:tc>
          <w:tcPr>
            <w:tcW w:w="2268" w:type="dxa"/>
            <w:vAlign w:val="center"/>
          </w:tcPr>
          <w:p w14:paraId="395B756D">
            <w:pPr>
              <w:pStyle w:val="12"/>
            </w:pPr>
            <w:r>
              <w:t>45万元</w:t>
            </w:r>
          </w:p>
        </w:tc>
        <w:tc>
          <w:tcPr>
            <w:tcW w:w="1276" w:type="dxa"/>
            <w:vAlign w:val="center"/>
          </w:tcPr>
          <w:p w14:paraId="7DFB1AAF">
            <w:pPr>
              <w:pStyle w:val="12"/>
            </w:pPr>
            <w:r>
              <w:t>城乡义务教育公用经费管理办法</w:t>
            </w:r>
          </w:p>
        </w:tc>
      </w:tr>
      <w:tr w14:paraId="38EC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95021"/>
        </w:tc>
        <w:tc>
          <w:tcPr>
            <w:tcW w:w="2268" w:type="dxa"/>
            <w:vAlign w:val="center"/>
          </w:tcPr>
          <w:p w14:paraId="78E98B41">
            <w:pPr>
              <w:pStyle w:val="12"/>
            </w:pPr>
            <w:r>
              <w:t>质量指标</w:t>
            </w:r>
          </w:p>
        </w:tc>
        <w:tc>
          <w:tcPr>
            <w:tcW w:w="2835" w:type="dxa"/>
            <w:vAlign w:val="center"/>
          </w:tcPr>
          <w:p w14:paraId="1BBCBC6A">
            <w:pPr>
              <w:pStyle w:val="12"/>
            </w:pPr>
            <w:r>
              <w:t>资金支付率</w:t>
            </w:r>
          </w:p>
        </w:tc>
        <w:tc>
          <w:tcPr>
            <w:tcW w:w="5386" w:type="dxa"/>
            <w:vAlign w:val="center"/>
          </w:tcPr>
          <w:p w14:paraId="5CC0A269">
            <w:pPr>
              <w:pStyle w:val="12"/>
            </w:pPr>
            <w:r>
              <w:t>按照序时进度完成资金支付</w:t>
            </w:r>
          </w:p>
        </w:tc>
        <w:tc>
          <w:tcPr>
            <w:tcW w:w="2268" w:type="dxa"/>
            <w:vAlign w:val="center"/>
          </w:tcPr>
          <w:p w14:paraId="098A6887">
            <w:pPr>
              <w:pStyle w:val="12"/>
            </w:pPr>
            <w:r>
              <w:t>100%</w:t>
            </w:r>
          </w:p>
        </w:tc>
        <w:tc>
          <w:tcPr>
            <w:tcW w:w="1276" w:type="dxa"/>
            <w:vAlign w:val="center"/>
          </w:tcPr>
          <w:p w14:paraId="690E0FEE">
            <w:pPr>
              <w:pStyle w:val="12"/>
            </w:pPr>
            <w:r>
              <w:t>城乡义务教育公用经费管理办法</w:t>
            </w:r>
          </w:p>
        </w:tc>
      </w:tr>
      <w:tr w14:paraId="7B3E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194E6"/>
        </w:tc>
        <w:tc>
          <w:tcPr>
            <w:tcW w:w="2268" w:type="dxa"/>
            <w:vAlign w:val="center"/>
          </w:tcPr>
          <w:p w14:paraId="4C8C0240">
            <w:pPr>
              <w:pStyle w:val="12"/>
            </w:pPr>
            <w:r>
              <w:t>时效指标</w:t>
            </w:r>
          </w:p>
        </w:tc>
        <w:tc>
          <w:tcPr>
            <w:tcW w:w="2835" w:type="dxa"/>
            <w:vAlign w:val="center"/>
          </w:tcPr>
          <w:p w14:paraId="12FAE270">
            <w:pPr>
              <w:pStyle w:val="12"/>
            </w:pPr>
            <w:r>
              <w:t>项目竣工验收合格率</w:t>
            </w:r>
          </w:p>
        </w:tc>
        <w:tc>
          <w:tcPr>
            <w:tcW w:w="5386" w:type="dxa"/>
            <w:vAlign w:val="center"/>
          </w:tcPr>
          <w:p w14:paraId="1BED6993">
            <w:pPr>
              <w:pStyle w:val="12"/>
            </w:pPr>
            <w:r>
              <w:t>项目改造质量达标率</w:t>
            </w:r>
          </w:p>
        </w:tc>
        <w:tc>
          <w:tcPr>
            <w:tcW w:w="2268" w:type="dxa"/>
            <w:vAlign w:val="center"/>
          </w:tcPr>
          <w:p w14:paraId="7B875A1C">
            <w:pPr>
              <w:pStyle w:val="12"/>
            </w:pPr>
            <w:r>
              <w:t>100%</w:t>
            </w:r>
          </w:p>
        </w:tc>
        <w:tc>
          <w:tcPr>
            <w:tcW w:w="1276" w:type="dxa"/>
            <w:vAlign w:val="center"/>
          </w:tcPr>
          <w:p w14:paraId="43A10665">
            <w:pPr>
              <w:pStyle w:val="12"/>
            </w:pPr>
            <w:r>
              <w:t>城乡义务教育公用经费管理办法</w:t>
            </w:r>
          </w:p>
        </w:tc>
      </w:tr>
      <w:tr w14:paraId="18EF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62CB6"/>
        </w:tc>
        <w:tc>
          <w:tcPr>
            <w:tcW w:w="2268" w:type="dxa"/>
            <w:vAlign w:val="center"/>
          </w:tcPr>
          <w:p w14:paraId="301C6E84">
            <w:pPr>
              <w:pStyle w:val="12"/>
            </w:pPr>
            <w:r>
              <w:t>成本指标</w:t>
            </w:r>
          </w:p>
        </w:tc>
        <w:tc>
          <w:tcPr>
            <w:tcW w:w="2835" w:type="dxa"/>
            <w:vAlign w:val="center"/>
          </w:tcPr>
          <w:p w14:paraId="71BCD854">
            <w:pPr>
              <w:pStyle w:val="12"/>
            </w:pPr>
            <w:r>
              <w:t>项目实际成本</w:t>
            </w:r>
          </w:p>
        </w:tc>
        <w:tc>
          <w:tcPr>
            <w:tcW w:w="5386" w:type="dxa"/>
            <w:vAlign w:val="center"/>
          </w:tcPr>
          <w:p w14:paraId="6E70731D">
            <w:pPr>
              <w:pStyle w:val="12"/>
            </w:pPr>
            <w:r>
              <w:t>教学楼及地面维修改造</w:t>
            </w:r>
          </w:p>
        </w:tc>
        <w:tc>
          <w:tcPr>
            <w:tcW w:w="2268" w:type="dxa"/>
            <w:vAlign w:val="center"/>
          </w:tcPr>
          <w:p w14:paraId="14569A4A">
            <w:pPr>
              <w:pStyle w:val="12"/>
            </w:pPr>
            <w:r>
              <w:t>45万元</w:t>
            </w:r>
          </w:p>
        </w:tc>
        <w:tc>
          <w:tcPr>
            <w:tcW w:w="1276" w:type="dxa"/>
            <w:vAlign w:val="center"/>
          </w:tcPr>
          <w:p w14:paraId="433AF0BD">
            <w:pPr>
              <w:pStyle w:val="12"/>
            </w:pPr>
            <w:r>
              <w:t>城乡义务教育公用经费管理办法</w:t>
            </w:r>
          </w:p>
        </w:tc>
      </w:tr>
      <w:tr w14:paraId="5C95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BEBEE">
            <w:pPr>
              <w:pStyle w:val="13"/>
            </w:pPr>
            <w:r>
              <w:t>效益指标</w:t>
            </w:r>
          </w:p>
        </w:tc>
        <w:tc>
          <w:tcPr>
            <w:tcW w:w="2268" w:type="dxa"/>
            <w:vAlign w:val="center"/>
          </w:tcPr>
          <w:p w14:paraId="3177F391">
            <w:pPr>
              <w:pStyle w:val="12"/>
            </w:pPr>
            <w:r>
              <w:t>经济效益指标</w:t>
            </w:r>
          </w:p>
        </w:tc>
        <w:tc>
          <w:tcPr>
            <w:tcW w:w="2835" w:type="dxa"/>
            <w:vAlign w:val="center"/>
          </w:tcPr>
          <w:p w14:paraId="5904518B">
            <w:pPr>
              <w:pStyle w:val="12"/>
            </w:pPr>
            <w:r>
              <w:t>教育发展水平</w:t>
            </w:r>
          </w:p>
        </w:tc>
        <w:tc>
          <w:tcPr>
            <w:tcW w:w="5386" w:type="dxa"/>
            <w:vAlign w:val="center"/>
          </w:tcPr>
          <w:p w14:paraId="7F15054C">
            <w:pPr>
              <w:pStyle w:val="12"/>
            </w:pPr>
            <w:r>
              <w:t>辖区内教育环境明显好转</w:t>
            </w:r>
          </w:p>
        </w:tc>
        <w:tc>
          <w:tcPr>
            <w:tcW w:w="2268" w:type="dxa"/>
            <w:vAlign w:val="center"/>
          </w:tcPr>
          <w:p w14:paraId="7DF725EE">
            <w:pPr>
              <w:pStyle w:val="12"/>
            </w:pPr>
            <w:r>
              <w:t>≥95%</w:t>
            </w:r>
          </w:p>
        </w:tc>
        <w:tc>
          <w:tcPr>
            <w:tcW w:w="1276" w:type="dxa"/>
            <w:vAlign w:val="center"/>
          </w:tcPr>
          <w:p w14:paraId="0832FA3F">
            <w:pPr>
              <w:pStyle w:val="12"/>
            </w:pPr>
            <w:r>
              <w:t>城乡义务教育公用经费管理办法</w:t>
            </w:r>
          </w:p>
        </w:tc>
      </w:tr>
      <w:tr w14:paraId="6DF2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92232"/>
        </w:tc>
        <w:tc>
          <w:tcPr>
            <w:tcW w:w="2268" w:type="dxa"/>
            <w:vAlign w:val="center"/>
          </w:tcPr>
          <w:p w14:paraId="74FF8A8C">
            <w:pPr>
              <w:pStyle w:val="12"/>
            </w:pPr>
            <w:r>
              <w:t>社会效益指标</w:t>
            </w:r>
          </w:p>
        </w:tc>
        <w:tc>
          <w:tcPr>
            <w:tcW w:w="2835" w:type="dxa"/>
            <w:vAlign w:val="center"/>
          </w:tcPr>
          <w:p w14:paraId="71BDF3BF">
            <w:pPr>
              <w:pStyle w:val="12"/>
            </w:pPr>
            <w:r>
              <w:t>校园环境</w:t>
            </w:r>
          </w:p>
        </w:tc>
        <w:tc>
          <w:tcPr>
            <w:tcW w:w="5386" w:type="dxa"/>
            <w:vAlign w:val="center"/>
          </w:tcPr>
          <w:p w14:paraId="05361551">
            <w:pPr>
              <w:pStyle w:val="12"/>
            </w:pPr>
            <w:r>
              <w:t>办学条件和环境得到改善</w:t>
            </w:r>
          </w:p>
        </w:tc>
        <w:tc>
          <w:tcPr>
            <w:tcW w:w="2268" w:type="dxa"/>
            <w:vAlign w:val="center"/>
          </w:tcPr>
          <w:p w14:paraId="5EC1790D">
            <w:pPr>
              <w:pStyle w:val="12"/>
            </w:pPr>
            <w:r>
              <w:t>≥95%</w:t>
            </w:r>
          </w:p>
        </w:tc>
        <w:tc>
          <w:tcPr>
            <w:tcW w:w="1276" w:type="dxa"/>
            <w:vAlign w:val="center"/>
          </w:tcPr>
          <w:p w14:paraId="0DF8AABA">
            <w:pPr>
              <w:pStyle w:val="12"/>
            </w:pPr>
            <w:r>
              <w:t>城乡义务教育公用经费管理办法</w:t>
            </w:r>
          </w:p>
        </w:tc>
      </w:tr>
      <w:tr w14:paraId="0AD3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E60CF">
            <w:pPr>
              <w:pStyle w:val="13"/>
            </w:pPr>
            <w:r>
              <w:t>满意度指标</w:t>
            </w:r>
          </w:p>
        </w:tc>
        <w:tc>
          <w:tcPr>
            <w:tcW w:w="2268" w:type="dxa"/>
            <w:vAlign w:val="center"/>
          </w:tcPr>
          <w:p w14:paraId="26094A00">
            <w:pPr>
              <w:pStyle w:val="12"/>
            </w:pPr>
            <w:r>
              <w:t>服务对象满意度指标</w:t>
            </w:r>
          </w:p>
        </w:tc>
        <w:tc>
          <w:tcPr>
            <w:tcW w:w="2835" w:type="dxa"/>
            <w:vAlign w:val="center"/>
          </w:tcPr>
          <w:p w14:paraId="253FEDB4">
            <w:pPr>
              <w:pStyle w:val="12"/>
            </w:pPr>
            <w:r>
              <w:t>受益学生家长及调查满意度</w:t>
            </w:r>
          </w:p>
        </w:tc>
        <w:tc>
          <w:tcPr>
            <w:tcW w:w="5386" w:type="dxa"/>
            <w:vAlign w:val="center"/>
          </w:tcPr>
          <w:p w14:paraId="6FA03E0A">
            <w:pPr>
              <w:pStyle w:val="12"/>
            </w:pPr>
            <w:r>
              <w:t>学生、教师及家长对学校工作满意度情况</w:t>
            </w:r>
          </w:p>
        </w:tc>
        <w:tc>
          <w:tcPr>
            <w:tcW w:w="2268" w:type="dxa"/>
            <w:vAlign w:val="center"/>
          </w:tcPr>
          <w:p w14:paraId="1486E09E">
            <w:pPr>
              <w:pStyle w:val="12"/>
            </w:pPr>
            <w:r>
              <w:t>≥95%</w:t>
            </w:r>
          </w:p>
        </w:tc>
        <w:tc>
          <w:tcPr>
            <w:tcW w:w="1276" w:type="dxa"/>
            <w:vAlign w:val="center"/>
          </w:tcPr>
          <w:p w14:paraId="34AACB9D">
            <w:pPr>
              <w:pStyle w:val="12"/>
            </w:pPr>
            <w:r>
              <w:t>城乡义务教育公用经费管理办法</w:t>
            </w:r>
          </w:p>
        </w:tc>
      </w:tr>
    </w:tbl>
    <w:p w14:paraId="5FE536F0">
      <w:pPr>
        <w:sectPr>
          <w:pgSz w:w="16840" w:h="11900" w:orient="landscape"/>
          <w:pgMar w:top="1361" w:right="1020" w:bottom="1134" w:left="1020" w:header="720" w:footer="720" w:gutter="0"/>
          <w:cols w:space="720" w:num="1"/>
        </w:sectPr>
      </w:pPr>
    </w:p>
    <w:p w14:paraId="1752EAFA">
      <w:pPr>
        <w:spacing w:before="0" w:after="0"/>
        <w:ind w:firstLine="560"/>
        <w:jc w:val="left"/>
        <w:outlineLvl w:val="9"/>
      </w:pPr>
      <w:r>
        <w:rPr>
          <w:rFonts w:ascii="方正仿宋_GBK" w:hAnsi="方正仿宋_GBK" w:eastAsia="方正仿宋_GBK" w:cs="方正仿宋_GBK"/>
          <w:b/>
          <w:color w:val="000000"/>
          <w:sz w:val="28"/>
        </w:rPr>
        <w:t>13、冀财教[2025]122号/中央/2026年学前发展资金/东良校区学前教育幼儿资助绩效目标表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7E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389AE">
            <w:pPr>
              <w:pStyle w:val="11"/>
            </w:pPr>
            <w:r>
              <w:t>单位：万元</w:t>
            </w:r>
          </w:p>
        </w:tc>
      </w:tr>
      <w:tr w14:paraId="76026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93E40">
            <w:pPr>
              <w:pStyle w:val="10"/>
            </w:pPr>
            <w:r>
              <w:t>项目编码</w:t>
            </w:r>
          </w:p>
        </w:tc>
        <w:tc>
          <w:tcPr>
            <w:tcW w:w="5103" w:type="dxa"/>
            <w:gridSpan w:val="2"/>
            <w:vAlign w:val="center"/>
          </w:tcPr>
          <w:p w14:paraId="417D57B2">
            <w:pPr>
              <w:pStyle w:val="12"/>
            </w:pPr>
            <w:r>
              <w:t>13052526P00000210054W</w:t>
            </w:r>
          </w:p>
        </w:tc>
        <w:tc>
          <w:tcPr>
            <w:tcW w:w="2835" w:type="dxa"/>
            <w:vAlign w:val="center"/>
          </w:tcPr>
          <w:p w14:paraId="63EDBAD8">
            <w:pPr>
              <w:pStyle w:val="10"/>
            </w:pPr>
            <w:r>
              <w:t>项目名称</w:t>
            </w:r>
          </w:p>
        </w:tc>
        <w:tc>
          <w:tcPr>
            <w:tcW w:w="6095" w:type="dxa"/>
            <w:gridSpan w:val="3"/>
            <w:vAlign w:val="center"/>
          </w:tcPr>
          <w:p w14:paraId="7C161AA5">
            <w:pPr>
              <w:pStyle w:val="12"/>
            </w:pPr>
            <w:r>
              <w:t>冀财教[2025]122号/中央/2026年学前发展资金/东良校区学前教育幼儿资助</w:t>
            </w:r>
          </w:p>
        </w:tc>
      </w:tr>
      <w:tr w14:paraId="5E524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72597">
            <w:pPr>
              <w:pStyle w:val="10"/>
            </w:pPr>
            <w:r>
              <w:t>预算规模及资金用途</w:t>
            </w:r>
          </w:p>
        </w:tc>
        <w:tc>
          <w:tcPr>
            <w:tcW w:w="2268" w:type="dxa"/>
            <w:vAlign w:val="center"/>
          </w:tcPr>
          <w:p w14:paraId="41441B08">
            <w:pPr>
              <w:pStyle w:val="10"/>
            </w:pPr>
            <w:r>
              <w:t>预算数</w:t>
            </w:r>
          </w:p>
        </w:tc>
        <w:tc>
          <w:tcPr>
            <w:tcW w:w="2835" w:type="dxa"/>
            <w:vAlign w:val="center"/>
          </w:tcPr>
          <w:p w14:paraId="6027459C">
            <w:pPr>
              <w:pStyle w:val="12"/>
            </w:pPr>
            <w:r>
              <w:t>4.62</w:t>
            </w:r>
          </w:p>
        </w:tc>
        <w:tc>
          <w:tcPr>
            <w:tcW w:w="2835" w:type="dxa"/>
            <w:vAlign w:val="center"/>
          </w:tcPr>
          <w:p w14:paraId="043EC380">
            <w:pPr>
              <w:pStyle w:val="10"/>
            </w:pPr>
            <w:r>
              <w:t>其中：财政    资金</w:t>
            </w:r>
          </w:p>
        </w:tc>
        <w:tc>
          <w:tcPr>
            <w:tcW w:w="2551" w:type="dxa"/>
            <w:vAlign w:val="center"/>
          </w:tcPr>
          <w:p w14:paraId="671683B3">
            <w:pPr>
              <w:pStyle w:val="12"/>
            </w:pPr>
            <w:r>
              <w:t>4.62</w:t>
            </w:r>
          </w:p>
        </w:tc>
        <w:tc>
          <w:tcPr>
            <w:tcW w:w="2268" w:type="dxa"/>
            <w:vAlign w:val="center"/>
          </w:tcPr>
          <w:p w14:paraId="006B561E">
            <w:pPr>
              <w:pStyle w:val="10"/>
            </w:pPr>
            <w:r>
              <w:t>其他资金</w:t>
            </w:r>
          </w:p>
        </w:tc>
        <w:tc>
          <w:tcPr>
            <w:tcW w:w="1276" w:type="dxa"/>
            <w:vAlign w:val="center"/>
          </w:tcPr>
          <w:p w14:paraId="724097BE">
            <w:pPr>
              <w:pStyle w:val="12"/>
            </w:pPr>
            <w:r>
              <w:t xml:space="preserve"> </w:t>
            </w:r>
          </w:p>
        </w:tc>
      </w:tr>
      <w:tr w14:paraId="04E84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6B46C"/>
        </w:tc>
        <w:tc>
          <w:tcPr>
            <w:tcW w:w="14033" w:type="dxa"/>
            <w:gridSpan w:val="6"/>
            <w:vAlign w:val="center"/>
          </w:tcPr>
          <w:p w14:paraId="4DD567CF">
            <w:pPr>
              <w:pStyle w:val="12"/>
            </w:pPr>
            <w:r>
              <w:t>保障落实建档立卡及家庭经济困难儿童资助所需资金，确保建档立卡等家庭经济困难幼儿优先获得资助</w:t>
            </w:r>
          </w:p>
        </w:tc>
      </w:tr>
      <w:tr w14:paraId="6D63A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C1B0D">
            <w:pPr>
              <w:pStyle w:val="10"/>
            </w:pPr>
            <w:r>
              <w:t>资金支出计划（%）</w:t>
            </w:r>
          </w:p>
        </w:tc>
        <w:tc>
          <w:tcPr>
            <w:tcW w:w="5103" w:type="dxa"/>
            <w:gridSpan w:val="2"/>
            <w:vAlign w:val="center"/>
          </w:tcPr>
          <w:p w14:paraId="22E339DF">
            <w:pPr>
              <w:pStyle w:val="10"/>
            </w:pPr>
            <w:r>
              <w:t>3月底</w:t>
            </w:r>
          </w:p>
        </w:tc>
        <w:tc>
          <w:tcPr>
            <w:tcW w:w="2835" w:type="dxa"/>
            <w:vAlign w:val="center"/>
          </w:tcPr>
          <w:p w14:paraId="6CA65725">
            <w:pPr>
              <w:pStyle w:val="10"/>
            </w:pPr>
            <w:r>
              <w:t>6月底</w:t>
            </w:r>
          </w:p>
        </w:tc>
        <w:tc>
          <w:tcPr>
            <w:tcW w:w="2551" w:type="dxa"/>
            <w:vAlign w:val="center"/>
          </w:tcPr>
          <w:p w14:paraId="2E2C0709">
            <w:pPr>
              <w:pStyle w:val="10"/>
            </w:pPr>
            <w:r>
              <w:t>10月底</w:t>
            </w:r>
          </w:p>
        </w:tc>
        <w:tc>
          <w:tcPr>
            <w:tcW w:w="3544" w:type="dxa"/>
            <w:gridSpan w:val="2"/>
            <w:vAlign w:val="center"/>
          </w:tcPr>
          <w:p w14:paraId="736B2040">
            <w:pPr>
              <w:pStyle w:val="10"/>
            </w:pPr>
            <w:r>
              <w:t>12月底</w:t>
            </w:r>
          </w:p>
        </w:tc>
      </w:tr>
      <w:tr w14:paraId="686CB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4515B"/>
        </w:tc>
        <w:tc>
          <w:tcPr>
            <w:tcW w:w="5103" w:type="dxa"/>
            <w:gridSpan w:val="2"/>
            <w:vAlign w:val="center"/>
          </w:tcPr>
          <w:p w14:paraId="2D838090">
            <w:pPr>
              <w:pStyle w:val="13"/>
            </w:pPr>
            <w:r>
              <w:t xml:space="preserve"> </w:t>
            </w:r>
          </w:p>
        </w:tc>
        <w:tc>
          <w:tcPr>
            <w:tcW w:w="2835" w:type="dxa"/>
            <w:vAlign w:val="center"/>
          </w:tcPr>
          <w:p w14:paraId="2F5DC560">
            <w:pPr>
              <w:pStyle w:val="13"/>
            </w:pPr>
            <w:r>
              <w:t>50%</w:t>
            </w:r>
          </w:p>
        </w:tc>
        <w:tc>
          <w:tcPr>
            <w:tcW w:w="2551" w:type="dxa"/>
            <w:vAlign w:val="center"/>
          </w:tcPr>
          <w:p w14:paraId="7D965407">
            <w:pPr>
              <w:pStyle w:val="13"/>
            </w:pPr>
            <w:r>
              <w:t>50%</w:t>
            </w:r>
          </w:p>
        </w:tc>
        <w:tc>
          <w:tcPr>
            <w:tcW w:w="3544" w:type="dxa"/>
            <w:gridSpan w:val="2"/>
            <w:vAlign w:val="center"/>
          </w:tcPr>
          <w:p w14:paraId="28D03909">
            <w:pPr>
              <w:pStyle w:val="13"/>
            </w:pPr>
            <w:r>
              <w:t>100%</w:t>
            </w:r>
          </w:p>
        </w:tc>
      </w:tr>
      <w:tr w14:paraId="5E776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D5C53">
            <w:pPr>
              <w:pStyle w:val="10"/>
            </w:pPr>
            <w:r>
              <w:t>绩效目标</w:t>
            </w:r>
          </w:p>
        </w:tc>
        <w:tc>
          <w:tcPr>
            <w:tcW w:w="14033" w:type="dxa"/>
            <w:gridSpan w:val="6"/>
            <w:vAlign w:val="center"/>
          </w:tcPr>
          <w:p w14:paraId="125082B3">
            <w:pPr>
              <w:pStyle w:val="12"/>
            </w:pPr>
            <w:r>
              <w:t>1.保证本年度资助经费足额落实到位，符合享受资助条件的学生应助尽助。</w:t>
            </w:r>
          </w:p>
          <w:p w14:paraId="6D6060E9">
            <w:pPr>
              <w:pStyle w:val="12"/>
            </w:pPr>
            <w:r>
              <w:t>2.保障落实建档立卡及家庭经济困难儿童资助所需资金，确保建档立卡等家庭经济困难幼儿优先获得资助</w:t>
            </w:r>
          </w:p>
        </w:tc>
      </w:tr>
    </w:tbl>
    <w:p w14:paraId="64B37E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4E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32584">
            <w:pPr>
              <w:pStyle w:val="10"/>
            </w:pPr>
            <w:r>
              <w:t>一级指标</w:t>
            </w:r>
          </w:p>
        </w:tc>
        <w:tc>
          <w:tcPr>
            <w:tcW w:w="2268" w:type="dxa"/>
            <w:vAlign w:val="center"/>
          </w:tcPr>
          <w:p w14:paraId="2127B68F">
            <w:pPr>
              <w:pStyle w:val="10"/>
            </w:pPr>
            <w:r>
              <w:t>二级指标</w:t>
            </w:r>
          </w:p>
        </w:tc>
        <w:tc>
          <w:tcPr>
            <w:tcW w:w="2835" w:type="dxa"/>
            <w:vAlign w:val="center"/>
          </w:tcPr>
          <w:p w14:paraId="2E6FBD4B">
            <w:pPr>
              <w:pStyle w:val="10"/>
            </w:pPr>
            <w:r>
              <w:t>三级指标</w:t>
            </w:r>
          </w:p>
        </w:tc>
        <w:tc>
          <w:tcPr>
            <w:tcW w:w="5386" w:type="dxa"/>
            <w:vAlign w:val="center"/>
          </w:tcPr>
          <w:p w14:paraId="679867CB">
            <w:pPr>
              <w:pStyle w:val="10"/>
            </w:pPr>
            <w:r>
              <w:t>绩效指标描述</w:t>
            </w:r>
          </w:p>
        </w:tc>
        <w:tc>
          <w:tcPr>
            <w:tcW w:w="2268" w:type="dxa"/>
            <w:vAlign w:val="center"/>
          </w:tcPr>
          <w:p w14:paraId="28E60180">
            <w:pPr>
              <w:pStyle w:val="10"/>
            </w:pPr>
            <w:r>
              <w:t>指标值</w:t>
            </w:r>
          </w:p>
        </w:tc>
        <w:tc>
          <w:tcPr>
            <w:tcW w:w="1276" w:type="dxa"/>
            <w:vAlign w:val="center"/>
          </w:tcPr>
          <w:p w14:paraId="0676E86A">
            <w:pPr>
              <w:pStyle w:val="10"/>
            </w:pPr>
            <w:r>
              <w:t>指标值确定依据</w:t>
            </w:r>
          </w:p>
        </w:tc>
      </w:tr>
      <w:tr w14:paraId="2ABF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B9263">
            <w:pPr>
              <w:pStyle w:val="13"/>
            </w:pPr>
            <w:r>
              <w:t>产出指标</w:t>
            </w:r>
          </w:p>
        </w:tc>
        <w:tc>
          <w:tcPr>
            <w:tcW w:w="2268" w:type="dxa"/>
            <w:vAlign w:val="center"/>
          </w:tcPr>
          <w:p w14:paraId="67DCA61E">
            <w:pPr>
              <w:pStyle w:val="12"/>
            </w:pPr>
            <w:r>
              <w:t>数量指标</w:t>
            </w:r>
          </w:p>
        </w:tc>
        <w:tc>
          <w:tcPr>
            <w:tcW w:w="2835" w:type="dxa"/>
            <w:vAlign w:val="center"/>
          </w:tcPr>
          <w:p w14:paraId="36490BCA">
            <w:pPr>
              <w:pStyle w:val="12"/>
            </w:pPr>
            <w:r>
              <w:t>幼儿资助比例</w:t>
            </w:r>
          </w:p>
        </w:tc>
        <w:tc>
          <w:tcPr>
            <w:tcW w:w="5386" w:type="dxa"/>
            <w:vAlign w:val="center"/>
          </w:tcPr>
          <w:p w14:paraId="6A5B6923">
            <w:pPr>
              <w:pStyle w:val="12"/>
            </w:pPr>
            <w:r>
              <w:t>幼儿资助人数</w:t>
            </w:r>
          </w:p>
        </w:tc>
        <w:tc>
          <w:tcPr>
            <w:tcW w:w="2268" w:type="dxa"/>
            <w:vAlign w:val="center"/>
          </w:tcPr>
          <w:p w14:paraId="7E9C1570">
            <w:pPr>
              <w:pStyle w:val="12"/>
            </w:pPr>
            <w:r>
              <w:t>77人</w:t>
            </w:r>
          </w:p>
        </w:tc>
        <w:tc>
          <w:tcPr>
            <w:tcW w:w="1276" w:type="dxa"/>
            <w:vAlign w:val="center"/>
          </w:tcPr>
          <w:p w14:paraId="5DA9817B">
            <w:pPr>
              <w:pStyle w:val="12"/>
            </w:pPr>
            <w:r>
              <w:t>幼儿资助经费管理办法</w:t>
            </w:r>
          </w:p>
        </w:tc>
      </w:tr>
      <w:tr w14:paraId="0AB5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8AE16"/>
        </w:tc>
        <w:tc>
          <w:tcPr>
            <w:tcW w:w="2268" w:type="dxa"/>
            <w:vAlign w:val="center"/>
          </w:tcPr>
          <w:p w14:paraId="7BCD23E1">
            <w:pPr>
              <w:pStyle w:val="12"/>
            </w:pPr>
            <w:r>
              <w:t>质量指标</w:t>
            </w:r>
          </w:p>
        </w:tc>
        <w:tc>
          <w:tcPr>
            <w:tcW w:w="2835" w:type="dxa"/>
            <w:vAlign w:val="center"/>
          </w:tcPr>
          <w:p w14:paraId="1AE77B00">
            <w:pPr>
              <w:pStyle w:val="12"/>
            </w:pPr>
            <w:r>
              <w:t>资助资金使用率</w:t>
            </w:r>
          </w:p>
        </w:tc>
        <w:tc>
          <w:tcPr>
            <w:tcW w:w="5386" w:type="dxa"/>
            <w:vAlign w:val="center"/>
          </w:tcPr>
          <w:p w14:paraId="008D190E">
            <w:pPr>
              <w:pStyle w:val="12"/>
            </w:pPr>
            <w:r>
              <w:t>符合享受资助条件的学生应助尽助</w:t>
            </w:r>
          </w:p>
        </w:tc>
        <w:tc>
          <w:tcPr>
            <w:tcW w:w="2268" w:type="dxa"/>
            <w:vAlign w:val="center"/>
          </w:tcPr>
          <w:p w14:paraId="75C0F55A">
            <w:pPr>
              <w:pStyle w:val="12"/>
            </w:pPr>
            <w:r>
              <w:t>100%</w:t>
            </w:r>
          </w:p>
        </w:tc>
        <w:tc>
          <w:tcPr>
            <w:tcW w:w="1276" w:type="dxa"/>
            <w:vAlign w:val="center"/>
          </w:tcPr>
          <w:p w14:paraId="0646B606">
            <w:pPr>
              <w:pStyle w:val="12"/>
            </w:pPr>
            <w:r>
              <w:t>幼儿资助经费管理办法</w:t>
            </w:r>
          </w:p>
        </w:tc>
      </w:tr>
      <w:tr w14:paraId="3D98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B5820"/>
        </w:tc>
        <w:tc>
          <w:tcPr>
            <w:tcW w:w="2268" w:type="dxa"/>
            <w:vAlign w:val="center"/>
          </w:tcPr>
          <w:p w14:paraId="335C5D7A">
            <w:pPr>
              <w:pStyle w:val="12"/>
            </w:pPr>
            <w:r>
              <w:t>时效指标</w:t>
            </w:r>
          </w:p>
        </w:tc>
        <w:tc>
          <w:tcPr>
            <w:tcW w:w="2835" w:type="dxa"/>
            <w:vAlign w:val="center"/>
          </w:tcPr>
          <w:p w14:paraId="78AE8D37">
            <w:pPr>
              <w:pStyle w:val="12"/>
            </w:pPr>
            <w:r>
              <w:t>资金拨付率</w:t>
            </w:r>
          </w:p>
        </w:tc>
        <w:tc>
          <w:tcPr>
            <w:tcW w:w="5386" w:type="dxa"/>
            <w:vAlign w:val="center"/>
          </w:tcPr>
          <w:p w14:paraId="28607F67">
            <w:pPr>
              <w:pStyle w:val="12"/>
            </w:pPr>
            <w:r>
              <w:t>所有项目资金支付进度</w:t>
            </w:r>
          </w:p>
        </w:tc>
        <w:tc>
          <w:tcPr>
            <w:tcW w:w="2268" w:type="dxa"/>
            <w:vAlign w:val="center"/>
          </w:tcPr>
          <w:p w14:paraId="5F05DE15">
            <w:pPr>
              <w:pStyle w:val="12"/>
            </w:pPr>
            <w:r>
              <w:t>100%</w:t>
            </w:r>
          </w:p>
        </w:tc>
        <w:tc>
          <w:tcPr>
            <w:tcW w:w="1276" w:type="dxa"/>
            <w:vAlign w:val="center"/>
          </w:tcPr>
          <w:p w14:paraId="67A8EE70">
            <w:pPr>
              <w:pStyle w:val="12"/>
            </w:pPr>
            <w:r>
              <w:t>幼儿资助经费管理办法</w:t>
            </w:r>
          </w:p>
        </w:tc>
      </w:tr>
      <w:tr w14:paraId="1018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BA136"/>
        </w:tc>
        <w:tc>
          <w:tcPr>
            <w:tcW w:w="2268" w:type="dxa"/>
            <w:vAlign w:val="center"/>
          </w:tcPr>
          <w:p w14:paraId="07B8762C">
            <w:pPr>
              <w:pStyle w:val="12"/>
            </w:pPr>
            <w:r>
              <w:t>成本指标</w:t>
            </w:r>
          </w:p>
        </w:tc>
        <w:tc>
          <w:tcPr>
            <w:tcW w:w="2835" w:type="dxa"/>
            <w:vAlign w:val="center"/>
          </w:tcPr>
          <w:p w14:paraId="6B6B3064">
            <w:pPr>
              <w:pStyle w:val="12"/>
            </w:pPr>
            <w:r>
              <w:t>幼儿园生均成本</w:t>
            </w:r>
          </w:p>
        </w:tc>
        <w:tc>
          <w:tcPr>
            <w:tcW w:w="5386" w:type="dxa"/>
            <w:vAlign w:val="center"/>
          </w:tcPr>
          <w:p w14:paraId="7FBABBAC">
            <w:pPr>
              <w:pStyle w:val="12"/>
            </w:pPr>
            <w:r>
              <w:t>按照幼儿园资助标准1000元/生/年</w:t>
            </w:r>
          </w:p>
        </w:tc>
        <w:tc>
          <w:tcPr>
            <w:tcW w:w="2268" w:type="dxa"/>
            <w:vAlign w:val="center"/>
          </w:tcPr>
          <w:p w14:paraId="36CF1171">
            <w:pPr>
              <w:pStyle w:val="12"/>
            </w:pPr>
            <w:r>
              <w:t>1000元</w:t>
            </w:r>
          </w:p>
        </w:tc>
        <w:tc>
          <w:tcPr>
            <w:tcW w:w="1276" w:type="dxa"/>
            <w:vAlign w:val="center"/>
          </w:tcPr>
          <w:p w14:paraId="13322047">
            <w:pPr>
              <w:pStyle w:val="12"/>
            </w:pPr>
            <w:r>
              <w:t>幼儿资助经费管理办法</w:t>
            </w:r>
          </w:p>
        </w:tc>
      </w:tr>
      <w:tr w14:paraId="6E29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56C62">
            <w:pPr>
              <w:pStyle w:val="13"/>
            </w:pPr>
            <w:r>
              <w:t>效益指标</w:t>
            </w:r>
          </w:p>
        </w:tc>
        <w:tc>
          <w:tcPr>
            <w:tcW w:w="2268" w:type="dxa"/>
            <w:vAlign w:val="center"/>
          </w:tcPr>
          <w:p w14:paraId="275F4E59">
            <w:pPr>
              <w:pStyle w:val="12"/>
            </w:pPr>
            <w:r>
              <w:t>可持续影响指标</w:t>
            </w:r>
          </w:p>
        </w:tc>
        <w:tc>
          <w:tcPr>
            <w:tcW w:w="2835" w:type="dxa"/>
            <w:vAlign w:val="center"/>
          </w:tcPr>
          <w:p w14:paraId="0A186293">
            <w:pPr>
              <w:pStyle w:val="12"/>
            </w:pPr>
            <w:r>
              <w:t>幼儿园正常运转</w:t>
            </w:r>
          </w:p>
        </w:tc>
        <w:tc>
          <w:tcPr>
            <w:tcW w:w="5386" w:type="dxa"/>
            <w:vAlign w:val="center"/>
          </w:tcPr>
          <w:p w14:paraId="7259C021">
            <w:pPr>
              <w:pStyle w:val="12"/>
            </w:pPr>
            <w:r>
              <w:t>幼儿受教育年限</w:t>
            </w:r>
          </w:p>
        </w:tc>
        <w:tc>
          <w:tcPr>
            <w:tcW w:w="2268" w:type="dxa"/>
            <w:vAlign w:val="center"/>
          </w:tcPr>
          <w:p w14:paraId="141E0CA0">
            <w:pPr>
              <w:pStyle w:val="12"/>
            </w:pPr>
            <w:r>
              <w:t>3年</w:t>
            </w:r>
          </w:p>
        </w:tc>
        <w:tc>
          <w:tcPr>
            <w:tcW w:w="1276" w:type="dxa"/>
            <w:vAlign w:val="center"/>
          </w:tcPr>
          <w:p w14:paraId="22257ED3">
            <w:pPr>
              <w:pStyle w:val="12"/>
            </w:pPr>
            <w:r>
              <w:t>幼儿资助经费管理办法</w:t>
            </w:r>
          </w:p>
        </w:tc>
      </w:tr>
      <w:tr w14:paraId="22DB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554AA">
            <w:pPr>
              <w:pStyle w:val="13"/>
            </w:pPr>
            <w:r>
              <w:t>满意度指标</w:t>
            </w:r>
          </w:p>
        </w:tc>
        <w:tc>
          <w:tcPr>
            <w:tcW w:w="2268" w:type="dxa"/>
            <w:vAlign w:val="center"/>
          </w:tcPr>
          <w:p w14:paraId="734E8B29">
            <w:pPr>
              <w:pStyle w:val="12"/>
            </w:pPr>
            <w:r>
              <w:t>服务对象满意度指标</w:t>
            </w:r>
          </w:p>
        </w:tc>
        <w:tc>
          <w:tcPr>
            <w:tcW w:w="2835" w:type="dxa"/>
            <w:vAlign w:val="center"/>
          </w:tcPr>
          <w:p w14:paraId="43DBCAE9">
            <w:pPr>
              <w:pStyle w:val="12"/>
            </w:pPr>
            <w:r>
              <w:t>受益幼儿家长及调查满意度</w:t>
            </w:r>
          </w:p>
        </w:tc>
        <w:tc>
          <w:tcPr>
            <w:tcW w:w="5386" w:type="dxa"/>
            <w:vAlign w:val="center"/>
          </w:tcPr>
          <w:p w14:paraId="47A4E110">
            <w:pPr>
              <w:pStyle w:val="12"/>
            </w:pPr>
            <w:r>
              <w:t>学生、教师及家长对学校保教保育工作满意度情况</w:t>
            </w:r>
          </w:p>
        </w:tc>
        <w:tc>
          <w:tcPr>
            <w:tcW w:w="2268" w:type="dxa"/>
            <w:vAlign w:val="center"/>
          </w:tcPr>
          <w:p w14:paraId="0B7A28EB">
            <w:pPr>
              <w:pStyle w:val="12"/>
            </w:pPr>
            <w:r>
              <w:t>≥95%</w:t>
            </w:r>
          </w:p>
        </w:tc>
        <w:tc>
          <w:tcPr>
            <w:tcW w:w="1276" w:type="dxa"/>
            <w:vAlign w:val="center"/>
          </w:tcPr>
          <w:p w14:paraId="33F72F6C">
            <w:pPr>
              <w:pStyle w:val="12"/>
            </w:pPr>
            <w:r>
              <w:t>幼儿资助经费管理办法</w:t>
            </w:r>
          </w:p>
        </w:tc>
      </w:tr>
    </w:tbl>
    <w:p w14:paraId="1C8AB36C">
      <w:pPr>
        <w:sectPr>
          <w:pgSz w:w="16840" w:h="11900" w:orient="landscape"/>
          <w:pgMar w:top="1361" w:right="1020" w:bottom="1134" w:left="1020" w:header="720" w:footer="720" w:gutter="0"/>
          <w:cols w:space="720" w:num="1"/>
        </w:sectPr>
      </w:pPr>
    </w:p>
    <w:p w14:paraId="7BC9854E">
      <w:pPr>
        <w:spacing w:before="0" w:after="0"/>
        <w:ind w:firstLine="560"/>
        <w:jc w:val="left"/>
        <w:outlineLvl w:val="9"/>
      </w:pPr>
      <w:r>
        <w:rPr>
          <w:rFonts w:ascii="方正仿宋_GBK" w:hAnsi="方正仿宋_GBK" w:eastAsia="方正仿宋_GBK" w:cs="方正仿宋_GBK"/>
          <w:b/>
          <w:color w:val="000000"/>
          <w:sz w:val="28"/>
        </w:rPr>
        <w:t>14、冀财教[2025]122号/中央/2026年学前发展资金/东良校区幼儿园免保育教育费补助绩效目标表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0F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DF5CB">
            <w:pPr>
              <w:pStyle w:val="11"/>
            </w:pPr>
            <w:r>
              <w:t>单位：万元</w:t>
            </w:r>
          </w:p>
        </w:tc>
      </w:tr>
      <w:tr w14:paraId="587ED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F3516">
            <w:pPr>
              <w:pStyle w:val="10"/>
            </w:pPr>
            <w:r>
              <w:t>项目编码</w:t>
            </w:r>
          </w:p>
        </w:tc>
        <w:tc>
          <w:tcPr>
            <w:tcW w:w="5103" w:type="dxa"/>
            <w:gridSpan w:val="2"/>
            <w:vAlign w:val="center"/>
          </w:tcPr>
          <w:p w14:paraId="5CC327AB">
            <w:pPr>
              <w:pStyle w:val="12"/>
            </w:pPr>
            <w:r>
              <w:t>13052526P008769101377</w:t>
            </w:r>
          </w:p>
        </w:tc>
        <w:tc>
          <w:tcPr>
            <w:tcW w:w="2835" w:type="dxa"/>
            <w:vAlign w:val="center"/>
          </w:tcPr>
          <w:p w14:paraId="500C00E1">
            <w:pPr>
              <w:pStyle w:val="10"/>
            </w:pPr>
            <w:r>
              <w:t>项目名称</w:t>
            </w:r>
          </w:p>
        </w:tc>
        <w:tc>
          <w:tcPr>
            <w:tcW w:w="6095" w:type="dxa"/>
            <w:gridSpan w:val="3"/>
            <w:vAlign w:val="center"/>
          </w:tcPr>
          <w:p w14:paraId="41728C9F">
            <w:pPr>
              <w:pStyle w:val="12"/>
            </w:pPr>
            <w:r>
              <w:t>冀财教[2025]122号/中央/2026年学前发展资金/东良校区幼儿园免保育教育费补助</w:t>
            </w:r>
          </w:p>
        </w:tc>
      </w:tr>
      <w:tr w14:paraId="6DA72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B22EB">
            <w:pPr>
              <w:pStyle w:val="10"/>
            </w:pPr>
            <w:r>
              <w:t>预算规模及资金用途</w:t>
            </w:r>
          </w:p>
        </w:tc>
        <w:tc>
          <w:tcPr>
            <w:tcW w:w="2268" w:type="dxa"/>
            <w:vAlign w:val="center"/>
          </w:tcPr>
          <w:p w14:paraId="342D94CB">
            <w:pPr>
              <w:pStyle w:val="10"/>
            </w:pPr>
            <w:r>
              <w:t>预算数</w:t>
            </w:r>
          </w:p>
        </w:tc>
        <w:tc>
          <w:tcPr>
            <w:tcW w:w="2835" w:type="dxa"/>
            <w:vAlign w:val="center"/>
          </w:tcPr>
          <w:p w14:paraId="2D36787E">
            <w:pPr>
              <w:pStyle w:val="12"/>
            </w:pPr>
            <w:r>
              <w:t>9.11</w:t>
            </w:r>
          </w:p>
        </w:tc>
        <w:tc>
          <w:tcPr>
            <w:tcW w:w="2835" w:type="dxa"/>
            <w:vAlign w:val="center"/>
          </w:tcPr>
          <w:p w14:paraId="02CF0641">
            <w:pPr>
              <w:pStyle w:val="10"/>
            </w:pPr>
            <w:r>
              <w:t>其中：财政    资金</w:t>
            </w:r>
          </w:p>
        </w:tc>
        <w:tc>
          <w:tcPr>
            <w:tcW w:w="2551" w:type="dxa"/>
            <w:vAlign w:val="center"/>
          </w:tcPr>
          <w:p w14:paraId="48D0D70B">
            <w:pPr>
              <w:pStyle w:val="12"/>
            </w:pPr>
            <w:r>
              <w:t>9.11</w:t>
            </w:r>
          </w:p>
        </w:tc>
        <w:tc>
          <w:tcPr>
            <w:tcW w:w="2268" w:type="dxa"/>
            <w:vAlign w:val="center"/>
          </w:tcPr>
          <w:p w14:paraId="130C398E">
            <w:pPr>
              <w:pStyle w:val="10"/>
            </w:pPr>
            <w:r>
              <w:t>其他资金</w:t>
            </w:r>
          </w:p>
        </w:tc>
        <w:tc>
          <w:tcPr>
            <w:tcW w:w="1276" w:type="dxa"/>
            <w:vAlign w:val="center"/>
          </w:tcPr>
          <w:p w14:paraId="12D3BDF5">
            <w:pPr>
              <w:pStyle w:val="12"/>
            </w:pPr>
            <w:r>
              <w:t xml:space="preserve"> </w:t>
            </w:r>
          </w:p>
        </w:tc>
      </w:tr>
      <w:tr w14:paraId="455C8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9A473"/>
        </w:tc>
        <w:tc>
          <w:tcPr>
            <w:tcW w:w="14033" w:type="dxa"/>
            <w:gridSpan w:val="6"/>
            <w:vAlign w:val="center"/>
          </w:tcPr>
          <w:p w14:paraId="3DB5FFD3">
            <w:pPr>
              <w:pStyle w:val="12"/>
            </w:pPr>
            <w:r>
              <w:t xml:space="preserve"> 保障幼儿园正常运转，完成教育教学活动和其他日常工作任务等方面的费用支出。</w:t>
            </w:r>
          </w:p>
        </w:tc>
      </w:tr>
      <w:tr w14:paraId="79C39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90CB9">
            <w:pPr>
              <w:pStyle w:val="10"/>
            </w:pPr>
            <w:r>
              <w:t>资金支出计划（%）</w:t>
            </w:r>
          </w:p>
        </w:tc>
        <w:tc>
          <w:tcPr>
            <w:tcW w:w="5103" w:type="dxa"/>
            <w:gridSpan w:val="2"/>
            <w:vAlign w:val="center"/>
          </w:tcPr>
          <w:p w14:paraId="278B6993">
            <w:pPr>
              <w:pStyle w:val="10"/>
            </w:pPr>
            <w:r>
              <w:t>3月底</w:t>
            </w:r>
          </w:p>
        </w:tc>
        <w:tc>
          <w:tcPr>
            <w:tcW w:w="2835" w:type="dxa"/>
            <w:vAlign w:val="center"/>
          </w:tcPr>
          <w:p w14:paraId="004ACF2A">
            <w:pPr>
              <w:pStyle w:val="10"/>
            </w:pPr>
            <w:r>
              <w:t>6月底</w:t>
            </w:r>
          </w:p>
        </w:tc>
        <w:tc>
          <w:tcPr>
            <w:tcW w:w="2551" w:type="dxa"/>
            <w:vAlign w:val="center"/>
          </w:tcPr>
          <w:p w14:paraId="7DF82004">
            <w:pPr>
              <w:pStyle w:val="10"/>
            </w:pPr>
            <w:r>
              <w:t>10月底</w:t>
            </w:r>
          </w:p>
        </w:tc>
        <w:tc>
          <w:tcPr>
            <w:tcW w:w="3544" w:type="dxa"/>
            <w:gridSpan w:val="2"/>
            <w:vAlign w:val="center"/>
          </w:tcPr>
          <w:p w14:paraId="0DF22D62">
            <w:pPr>
              <w:pStyle w:val="10"/>
            </w:pPr>
            <w:r>
              <w:t>12月底</w:t>
            </w:r>
          </w:p>
        </w:tc>
      </w:tr>
      <w:tr w14:paraId="1B8D6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3D5BC"/>
        </w:tc>
        <w:tc>
          <w:tcPr>
            <w:tcW w:w="5103" w:type="dxa"/>
            <w:gridSpan w:val="2"/>
            <w:vAlign w:val="center"/>
          </w:tcPr>
          <w:p w14:paraId="5686CFD8">
            <w:pPr>
              <w:pStyle w:val="13"/>
            </w:pPr>
            <w:r>
              <w:t>25%</w:t>
            </w:r>
          </w:p>
        </w:tc>
        <w:tc>
          <w:tcPr>
            <w:tcW w:w="2835" w:type="dxa"/>
            <w:vAlign w:val="center"/>
          </w:tcPr>
          <w:p w14:paraId="1C62F620">
            <w:pPr>
              <w:pStyle w:val="13"/>
            </w:pPr>
            <w:r>
              <w:t>50%</w:t>
            </w:r>
          </w:p>
        </w:tc>
        <w:tc>
          <w:tcPr>
            <w:tcW w:w="2551" w:type="dxa"/>
            <w:vAlign w:val="center"/>
          </w:tcPr>
          <w:p w14:paraId="4CF1AFEB">
            <w:pPr>
              <w:pStyle w:val="13"/>
            </w:pPr>
            <w:r>
              <w:t>75%</w:t>
            </w:r>
          </w:p>
        </w:tc>
        <w:tc>
          <w:tcPr>
            <w:tcW w:w="3544" w:type="dxa"/>
            <w:gridSpan w:val="2"/>
            <w:vAlign w:val="center"/>
          </w:tcPr>
          <w:p w14:paraId="68CACBE7">
            <w:pPr>
              <w:pStyle w:val="13"/>
            </w:pPr>
            <w:r>
              <w:t>100%</w:t>
            </w:r>
          </w:p>
        </w:tc>
      </w:tr>
      <w:tr w14:paraId="5F251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71E12">
            <w:pPr>
              <w:pStyle w:val="10"/>
            </w:pPr>
            <w:r>
              <w:t>绩效目标</w:t>
            </w:r>
          </w:p>
        </w:tc>
        <w:tc>
          <w:tcPr>
            <w:tcW w:w="14033" w:type="dxa"/>
            <w:gridSpan w:val="6"/>
            <w:vAlign w:val="center"/>
          </w:tcPr>
          <w:p w14:paraId="7068712A">
            <w:pPr>
              <w:pStyle w:val="12"/>
            </w:pPr>
            <w:r>
              <w:t>1. 保障幼儿园正常运转，完成教育教学活动和其他日常工作任务等方面的费用支出。</w:t>
            </w:r>
          </w:p>
        </w:tc>
      </w:tr>
    </w:tbl>
    <w:p w14:paraId="4801BD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F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FD006">
            <w:pPr>
              <w:pStyle w:val="10"/>
            </w:pPr>
            <w:r>
              <w:t>一级指标</w:t>
            </w:r>
          </w:p>
        </w:tc>
        <w:tc>
          <w:tcPr>
            <w:tcW w:w="2268" w:type="dxa"/>
            <w:vAlign w:val="center"/>
          </w:tcPr>
          <w:p w14:paraId="443503BE">
            <w:pPr>
              <w:pStyle w:val="10"/>
            </w:pPr>
            <w:r>
              <w:t>二级指标</w:t>
            </w:r>
          </w:p>
        </w:tc>
        <w:tc>
          <w:tcPr>
            <w:tcW w:w="2835" w:type="dxa"/>
            <w:vAlign w:val="center"/>
          </w:tcPr>
          <w:p w14:paraId="6FE44D59">
            <w:pPr>
              <w:pStyle w:val="10"/>
            </w:pPr>
            <w:r>
              <w:t>三级指标</w:t>
            </w:r>
          </w:p>
        </w:tc>
        <w:tc>
          <w:tcPr>
            <w:tcW w:w="5386" w:type="dxa"/>
            <w:vAlign w:val="center"/>
          </w:tcPr>
          <w:p w14:paraId="2A882B33">
            <w:pPr>
              <w:pStyle w:val="10"/>
            </w:pPr>
            <w:r>
              <w:t>绩效指标描述</w:t>
            </w:r>
          </w:p>
        </w:tc>
        <w:tc>
          <w:tcPr>
            <w:tcW w:w="2268" w:type="dxa"/>
            <w:vAlign w:val="center"/>
          </w:tcPr>
          <w:p w14:paraId="6813239A">
            <w:pPr>
              <w:pStyle w:val="10"/>
            </w:pPr>
            <w:r>
              <w:t>指标值</w:t>
            </w:r>
          </w:p>
        </w:tc>
        <w:tc>
          <w:tcPr>
            <w:tcW w:w="1276" w:type="dxa"/>
            <w:vAlign w:val="center"/>
          </w:tcPr>
          <w:p w14:paraId="6DBACF18">
            <w:pPr>
              <w:pStyle w:val="10"/>
            </w:pPr>
            <w:r>
              <w:t>指标值确定依据</w:t>
            </w:r>
          </w:p>
        </w:tc>
      </w:tr>
      <w:tr w14:paraId="4F0A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60674">
            <w:pPr>
              <w:pStyle w:val="13"/>
            </w:pPr>
            <w:r>
              <w:t>产出指标</w:t>
            </w:r>
          </w:p>
        </w:tc>
        <w:tc>
          <w:tcPr>
            <w:tcW w:w="2268" w:type="dxa"/>
            <w:vAlign w:val="center"/>
          </w:tcPr>
          <w:p w14:paraId="079F832B">
            <w:pPr>
              <w:pStyle w:val="12"/>
            </w:pPr>
            <w:r>
              <w:t>数量指标</w:t>
            </w:r>
          </w:p>
        </w:tc>
        <w:tc>
          <w:tcPr>
            <w:tcW w:w="2835" w:type="dxa"/>
            <w:vAlign w:val="center"/>
          </w:tcPr>
          <w:p w14:paraId="15F0A1D6">
            <w:pPr>
              <w:pStyle w:val="12"/>
            </w:pPr>
            <w:r>
              <w:t>适龄在园生</w:t>
            </w:r>
          </w:p>
        </w:tc>
        <w:tc>
          <w:tcPr>
            <w:tcW w:w="5386" w:type="dxa"/>
            <w:vAlign w:val="center"/>
          </w:tcPr>
          <w:p w14:paraId="21B82616">
            <w:pPr>
              <w:pStyle w:val="12"/>
            </w:pPr>
            <w:r>
              <w:t>适龄在园学生人数</w:t>
            </w:r>
          </w:p>
        </w:tc>
        <w:tc>
          <w:tcPr>
            <w:tcW w:w="2268" w:type="dxa"/>
            <w:vAlign w:val="center"/>
          </w:tcPr>
          <w:p w14:paraId="3893D8A1">
            <w:pPr>
              <w:pStyle w:val="12"/>
            </w:pPr>
            <w:r>
              <w:t>407人</w:t>
            </w:r>
          </w:p>
        </w:tc>
        <w:tc>
          <w:tcPr>
            <w:tcW w:w="1276" w:type="dxa"/>
            <w:vAlign w:val="center"/>
          </w:tcPr>
          <w:p w14:paraId="118E9F44">
            <w:pPr>
              <w:pStyle w:val="12"/>
            </w:pPr>
            <w:r>
              <w:t>支持学前教育发展资金管理方法</w:t>
            </w:r>
          </w:p>
        </w:tc>
      </w:tr>
      <w:tr w14:paraId="1913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4F82D"/>
        </w:tc>
        <w:tc>
          <w:tcPr>
            <w:tcW w:w="2268" w:type="dxa"/>
            <w:vAlign w:val="center"/>
          </w:tcPr>
          <w:p w14:paraId="1BF23A09">
            <w:pPr>
              <w:pStyle w:val="12"/>
            </w:pPr>
            <w:r>
              <w:t>质量指标</w:t>
            </w:r>
          </w:p>
        </w:tc>
        <w:tc>
          <w:tcPr>
            <w:tcW w:w="2835" w:type="dxa"/>
            <w:vAlign w:val="center"/>
          </w:tcPr>
          <w:p w14:paraId="48462A91">
            <w:pPr>
              <w:pStyle w:val="12"/>
            </w:pPr>
            <w:r>
              <w:t>公用经费使用率</w:t>
            </w:r>
          </w:p>
        </w:tc>
        <w:tc>
          <w:tcPr>
            <w:tcW w:w="5386" w:type="dxa"/>
            <w:vAlign w:val="center"/>
          </w:tcPr>
          <w:p w14:paraId="0A01D508">
            <w:pPr>
              <w:pStyle w:val="12"/>
            </w:pPr>
            <w:r>
              <w:t>用于弥补经费不足，改善办学条件</w:t>
            </w:r>
          </w:p>
        </w:tc>
        <w:tc>
          <w:tcPr>
            <w:tcW w:w="2268" w:type="dxa"/>
            <w:vAlign w:val="center"/>
          </w:tcPr>
          <w:p w14:paraId="16F91C28">
            <w:pPr>
              <w:pStyle w:val="12"/>
            </w:pPr>
            <w:r>
              <w:t>100%</w:t>
            </w:r>
          </w:p>
        </w:tc>
        <w:tc>
          <w:tcPr>
            <w:tcW w:w="1276" w:type="dxa"/>
            <w:vAlign w:val="center"/>
          </w:tcPr>
          <w:p w14:paraId="7A8F383E">
            <w:pPr>
              <w:pStyle w:val="12"/>
            </w:pPr>
            <w:r>
              <w:t>支持学前教育发展资金管理方法</w:t>
            </w:r>
          </w:p>
        </w:tc>
      </w:tr>
      <w:tr w14:paraId="5E9B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D3DA7"/>
        </w:tc>
        <w:tc>
          <w:tcPr>
            <w:tcW w:w="2268" w:type="dxa"/>
            <w:vAlign w:val="center"/>
          </w:tcPr>
          <w:p w14:paraId="6A06F20E">
            <w:pPr>
              <w:pStyle w:val="12"/>
            </w:pPr>
            <w:r>
              <w:t>时效指标</w:t>
            </w:r>
          </w:p>
        </w:tc>
        <w:tc>
          <w:tcPr>
            <w:tcW w:w="2835" w:type="dxa"/>
            <w:vAlign w:val="center"/>
          </w:tcPr>
          <w:p w14:paraId="3855A4FF">
            <w:pPr>
              <w:pStyle w:val="12"/>
            </w:pPr>
            <w:r>
              <w:t>资金支付率</w:t>
            </w:r>
          </w:p>
        </w:tc>
        <w:tc>
          <w:tcPr>
            <w:tcW w:w="5386" w:type="dxa"/>
            <w:vAlign w:val="center"/>
          </w:tcPr>
          <w:p w14:paraId="27FB6C03">
            <w:pPr>
              <w:pStyle w:val="12"/>
            </w:pPr>
            <w:r>
              <w:t>按照序时进度完成资金支付</w:t>
            </w:r>
          </w:p>
        </w:tc>
        <w:tc>
          <w:tcPr>
            <w:tcW w:w="2268" w:type="dxa"/>
            <w:vAlign w:val="center"/>
          </w:tcPr>
          <w:p w14:paraId="2FF0D451">
            <w:pPr>
              <w:pStyle w:val="12"/>
            </w:pPr>
            <w:r>
              <w:t>100%</w:t>
            </w:r>
          </w:p>
        </w:tc>
        <w:tc>
          <w:tcPr>
            <w:tcW w:w="1276" w:type="dxa"/>
            <w:vAlign w:val="center"/>
          </w:tcPr>
          <w:p w14:paraId="09455EAC">
            <w:pPr>
              <w:pStyle w:val="12"/>
            </w:pPr>
            <w:r>
              <w:t>支持学前教育发展资金管理方法</w:t>
            </w:r>
          </w:p>
        </w:tc>
      </w:tr>
      <w:tr w14:paraId="7CB8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852E5"/>
        </w:tc>
        <w:tc>
          <w:tcPr>
            <w:tcW w:w="2268" w:type="dxa"/>
            <w:vAlign w:val="center"/>
          </w:tcPr>
          <w:p w14:paraId="53DACF77">
            <w:pPr>
              <w:pStyle w:val="12"/>
            </w:pPr>
            <w:r>
              <w:t>成本指标</w:t>
            </w:r>
          </w:p>
        </w:tc>
        <w:tc>
          <w:tcPr>
            <w:tcW w:w="2835" w:type="dxa"/>
            <w:vAlign w:val="center"/>
          </w:tcPr>
          <w:p w14:paraId="1E7FB0AD">
            <w:pPr>
              <w:pStyle w:val="12"/>
            </w:pPr>
            <w:r>
              <w:t>生均拨款标准</w:t>
            </w:r>
          </w:p>
        </w:tc>
        <w:tc>
          <w:tcPr>
            <w:tcW w:w="5386" w:type="dxa"/>
            <w:vAlign w:val="center"/>
          </w:tcPr>
          <w:p w14:paraId="5523DD7E">
            <w:pPr>
              <w:pStyle w:val="12"/>
            </w:pPr>
            <w:r>
              <w:t>根据各学校学前保育费标准进行补助</w:t>
            </w:r>
          </w:p>
        </w:tc>
        <w:tc>
          <w:tcPr>
            <w:tcW w:w="2268" w:type="dxa"/>
            <w:vAlign w:val="center"/>
          </w:tcPr>
          <w:p w14:paraId="17901869">
            <w:pPr>
              <w:pStyle w:val="12"/>
            </w:pPr>
            <w:r>
              <w:t>91091元</w:t>
            </w:r>
          </w:p>
        </w:tc>
        <w:tc>
          <w:tcPr>
            <w:tcW w:w="1276" w:type="dxa"/>
            <w:vAlign w:val="center"/>
          </w:tcPr>
          <w:p w14:paraId="05A17346">
            <w:pPr>
              <w:pStyle w:val="12"/>
            </w:pPr>
            <w:r>
              <w:t>支持学前教育发展资金管理方法</w:t>
            </w:r>
          </w:p>
        </w:tc>
      </w:tr>
      <w:tr w14:paraId="4E961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BC5EB">
            <w:pPr>
              <w:pStyle w:val="13"/>
            </w:pPr>
            <w:r>
              <w:t>效益指标</w:t>
            </w:r>
          </w:p>
        </w:tc>
        <w:tc>
          <w:tcPr>
            <w:tcW w:w="2268" w:type="dxa"/>
            <w:vAlign w:val="center"/>
          </w:tcPr>
          <w:p w14:paraId="226BB4AF">
            <w:pPr>
              <w:pStyle w:val="12"/>
            </w:pPr>
            <w:r>
              <w:t>可持续影响指标</w:t>
            </w:r>
          </w:p>
        </w:tc>
        <w:tc>
          <w:tcPr>
            <w:tcW w:w="2835" w:type="dxa"/>
            <w:vAlign w:val="center"/>
          </w:tcPr>
          <w:p w14:paraId="1256127F">
            <w:pPr>
              <w:pStyle w:val="12"/>
            </w:pPr>
            <w:r>
              <w:t>学校运转得到提高</w:t>
            </w:r>
          </w:p>
        </w:tc>
        <w:tc>
          <w:tcPr>
            <w:tcW w:w="5386" w:type="dxa"/>
            <w:vAlign w:val="center"/>
          </w:tcPr>
          <w:p w14:paraId="78D85FB7">
            <w:pPr>
              <w:pStyle w:val="12"/>
            </w:pPr>
            <w:r>
              <w:t>学生受教育年限</w:t>
            </w:r>
          </w:p>
        </w:tc>
        <w:tc>
          <w:tcPr>
            <w:tcW w:w="2268" w:type="dxa"/>
            <w:vAlign w:val="center"/>
          </w:tcPr>
          <w:p w14:paraId="01A2A37F">
            <w:pPr>
              <w:pStyle w:val="12"/>
            </w:pPr>
            <w:r>
              <w:t>3年</w:t>
            </w:r>
          </w:p>
        </w:tc>
        <w:tc>
          <w:tcPr>
            <w:tcW w:w="1276" w:type="dxa"/>
            <w:vAlign w:val="center"/>
          </w:tcPr>
          <w:p w14:paraId="13D84775">
            <w:pPr>
              <w:pStyle w:val="12"/>
            </w:pPr>
            <w:r>
              <w:t>支持学前教育发展资金管理方法</w:t>
            </w:r>
          </w:p>
        </w:tc>
      </w:tr>
      <w:tr w14:paraId="0D01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72649">
            <w:pPr>
              <w:pStyle w:val="13"/>
            </w:pPr>
            <w:r>
              <w:t>满意度指标</w:t>
            </w:r>
          </w:p>
        </w:tc>
        <w:tc>
          <w:tcPr>
            <w:tcW w:w="2268" w:type="dxa"/>
            <w:vAlign w:val="center"/>
          </w:tcPr>
          <w:p w14:paraId="427EA136">
            <w:pPr>
              <w:pStyle w:val="12"/>
            </w:pPr>
            <w:r>
              <w:t>服务对象满意度指标</w:t>
            </w:r>
          </w:p>
        </w:tc>
        <w:tc>
          <w:tcPr>
            <w:tcW w:w="2835" w:type="dxa"/>
            <w:vAlign w:val="center"/>
          </w:tcPr>
          <w:p w14:paraId="33344535">
            <w:pPr>
              <w:pStyle w:val="12"/>
            </w:pPr>
            <w:r>
              <w:t>受益学生家长及调查满意度</w:t>
            </w:r>
          </w:p>
        </w:tc>
        <w:tc>
          <w:tcPr>
            <w:tcW w:w="5386" w:type="dxa"/>
            <w:vAlign w:val="center"/>
          </w:tcPr>
          <w:p w14:paraId="03742B57">
            <w:pPr>
              <w:pStyle w:val="12"/>
            </w:pPr>
            <w:r>
              <w:t>学生、教师及家长对学校保教保育工作满意度情况</w:t>
            </w:r>
          </w:p>
        </w:tc>
        <w:tc>
          <w:tcPr>
            <w:tcW w:w="2268" w:type="dxa"/>
            <w:vAlign w:val="center"/>
          </w:tcPr>
          <w:p w14:paraId="5D640652">
            <w:pPr>
              <w:pStyle w:val="12"/>
            </w:pPr>
            <w:r>
              <w:t>≥95%</w:t>
            </w:r>
          </w:p>
        </w:tc>
        <w:tc>
          <w:tcPr>
            <w:tcW w:w="1276" w:type="dxa"/>
            <w:vAlign w:val="center"/>
          </w:tcPr>
          <w:p w14:paraId="215444CB">
            <w:pPr>
              <w:pStyle w:val="12"/>
            </w:pPr>
            <w:r>
              <w:t>支持学前教育发展资金管理方法</w:t>
            </w:r>
          </w:p>
        </w:tc>
      </w:tr>
    </w:tbl>
    <w:p w14:paraId="10ED8E42">
      <w:pPr>
        <w:sectPr>
          <w:pgSz w:w="16840" w:h="11900" w:orient="landscape"/>
          <w:pgMar w:top="1361" w:right="1020" w:bottom="1134" w:left="1020" w:header="720" w:footer="720" w:gutter="0"/>
          <w:cols w:space="720" w:num="1"/>
        </w:sectPr>
      </w:pPr>
    </w:p>
    <w:p w14:paraId="726CF436">
      <w:pPr>
        <w:spacing w:before="0" w:after="0"/>
        <w:ind w:firstLine="560"/>
        <w:jc w:val="left"/>
        <w:outlineLvl w:val="9"/>
      </w:pPr>
      <w:r>
        <w:rPr>
          <w:rFonts w:ascii="方正仿宋_GBK" w:hAnsi="方正仿宋_GBK" w:eastAsia="方正仿宋_GBK" w:cs="方正仿宋_GBK"/>
          <w:b/>
          <w:color w:val="000000"/>
          <w:sz w:val="28"/>
        </w:rPr>
        <w:t>15、冀财教[2025]122号/中央/支持学前教育发展/东良校区幼儿园设备购置绩效目标表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62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C4DAE">
            <w:pPr>
              <w:pStyle w:val="11"/>
            </w:pPr>
            <w:r>
              <w:t>单位：万元</w:t>
            </w:r>
          </w:p>
        </w:tc>
      </w:tr>
      <w:tr w14:paraId="214B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36A29">
            <w:pPr>
              <w:pStyle w:val="10"/>
            </w:pPr>
            <w:r>
              <w:t>项目编码</w:t>
            </w:r>
          </w:p>
        </w:tc>
        <w:tc>
          <w:tcPr>
            <w:tcW w:w="5103" w:type="dxa"/>
            <w:gridSpan w:val="2"/>
            <w:vAlign w:val="center"/>
          </w:tcPr>
          <w:p w14:paraId="17604F0C">
            <w:pPr>
              <w:pStyle w:val="12"/>
            </w:pPr>
            <w:r>
              <w:t>13052526P008769101809</w:t>
            </w:r>
          </w:p>
        </w:tc>
        <w:tc>
          <w:tcPr>
            <w:tcW w:w="2835" w:type="dxa"/>
            <w:vAlign w:val="center"/>
          </w:tcPr>
          <w:p w14:paraId="141AFF2B">
            <w:pPr>
              <w:pStyle w:val="10"/>
            </w:pPr>
            <w:r>
              <w:t>项目名称</w:t>
            </w:r>
          </w:p>
        </w:tc>
        <w:tc>
          <w:tcPr>
            <w:tcW w:w="6095" w:type="dxa"/>
            <w:gridSpan w:val="3"/>
            <w:vAlign w:val="center"/>
          </w:tcPr>
          <w:p w14:paraId="07383F83">
            <w:pPr>
              <w:pStyle w:val="12"/>
            </w:pPr>
            <w:r>
              <w:t>冀财教[2025]122号/中央/支持学前教育发展/东良校区幼儿园设备购置</w:t>
            </w:r>
          </w:p>
        </w:tc>
      </w:tr>
      <w:tr w14:paraId="3D1FB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A075E">
            <w:pPr>
              <w:pStyle w:val="10"/>
            </w:pPr>
            <w:r>
              <w:t>预算规模及资金用途</w:t>
            </w:r>
          </w:p>
        </w:tc>
        <w:tc>
          <w:tcPr>
            <w:tcW w:w="2268" w:type="dxa"/>
            <w:vAlign w:val="center"/>
          </w:tcPr>
          <w:p w14:paraId="2B1B0516">
            <w:pPr>
              <w:pStyle w:val="10"/>
            </w:pPr>
            <w:r>
              <w:t>预算数</w:t>
            </w:r>
          </w:p>
        </w:tc>
        <w:tc>
          <w:tcPr>
            <w:tcW w:w="2835" w:type="dxa"/>
            <w:vAlign w:val="center"/>
          </w:tcPr>
          <w:p w14:paraId="6C86C1DB">
            <w:pPr>
              <w:pStyle w:val="12"/>
            </w:pPr>
            <w:r>
              <w:t>28.30</w:t>
            </w:r>
          </w:p>
        </w:tc>
        <w:tc>
          <w:tcPr>
            <w:tcW w:w="2835" w:type="dxa"/>
            <w:vAlign w:val="center"/>
          </w:tcPr>
          <w:p w14:paraId="7AB56862">
            <w:pPr>
              <w:pStyle w:val="10"/>
            </w:pPr>
            <w:r>
              <w:t>其中：财政    资金</w:t>
            </w:r>
          </w:p>
        </w:tc>
        <w:tc>
          <w:tcPr>
            <w:tcW w:w="2551" w:type="dxa"/>
            <w:vAlign w:val="center"/>
          </w:tcPr>
          <w:p w14:paraId="092248CA">
            <w:pPr>
              <w:pStyle w:val="12"/>
            </w:pPr>
            <w:r>
              <w:t>28.30</w:t>
            </w:r>
          </w:p>
        </w:tc>
        <w:tc>
          <w:tcPr>
            <w:tcW w:w="2268" w:type="dxa"/>
            <w:vAlign w:val="center"/>
          </w:tcPr>
          <w:p w14:paraId="3804B770">
            <w:pPr>
              <w:pStyle w:val="10"/>
            </w:pPr>
            <w:r>
              <w:t>其他资金</w:t>
            </w:r>
          </w:p>
        </w:tc>
        <w:tc>
          <w:tcPr>
            <w:tcW w:w="1276" w:type="dxa"/>
            <w:vAlign w:val="center"/>
          </w:tcPr>
          <w:p w14:paraId="2A8E60C2">
            <w:pPr>
              <w:pStyle w:val="12"/>
            </w:pPr>
            <w:r>
              <w:t xml:space="preserve"> </w:t>
            </w:r>
          </w:p>
        </w:tc>
      </w:tr>
      <w:tr w14:paraId="6AC11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815A6"/>
        </w:tc>
        <w:tc>
          <w:tcPr>
            <w:tcW w:w="14033" w:type="dxa"/>
            <w:gridSpan w:val="6"/>
            <w:vAlign w:val="center"/>
          </w:tcPr>
          <w:p w14:paraId="036AFDDC">
            <w:pPr>
              <w:pStyle w:val="12"/>
            </w:pPr>
            <w:r>
              <w:t>改善就学条件，提升学校形象，保障幼儿安全，创造良好的校园环境。</w:t>
            </w:r>
          </w:p>
        </w:tc>
      </w:tr>
      <w:tr w14:paraId="01673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23B97">
            <w:pPr>
              <w:pStyle w:val="10"/>
            </w:pPr>
            <w:r>
              <w:t>资金支出计划（%）</w:t>
            </w:r>
          </w:p>
        </w:tc>
        <w:tc>
          <w:tcPr>
            <w:tcW w:w="5103" w:type="dxa"/>
            <w:gridSpan w:val="2"/>
            <w:vAlign w:val="center"/>
          </w:tcPr>
          <w:p w14:paraId="4116CDC7">
            <w:pPr>
              <w:pStyle w:val="10"/>
            </w:pPr>
            <w:r>
              <w:t>3月底</w:t>
            </w:r>
          </w:p>
        </w:tc>
        <w:tc>
          <w:tcPr>
            <w:tcW w:w="2835" w:type="dxa"/>
            <w:vAlign w:val="center"/>
          </w:tcPr>
          <w:p w14:paraId="092F45BC">
            <w:pPr>
              <w:pStyle w:val="10"/>
            </w:pPr>
            <w:r>
              <w:t>6月底</w:t>
            </w:r>
          </w:p>
        </w:tc>
        <w:tc>
          <w:tcPr>
            <w:tcW w:w="2551" w:type="dxa"/>
            <w:vAlign w:val="center"/>
          </w:tcPr>
          <w:p w14:paraId="22BBA38C">
            <w:pPr>
              <w:pStyle w:val="10"/>
            </w:pPr>
            <w:r>
              <w:t>10月底</w:t>
            </w:r>
          </w:p>
        </w:tc>
        <w:tc>
          <w:tcPr>
            <w:tcW w:w="3544" w:type="dxa"/>
            <w:gridSpan w:val="2"/>
            <w:vAlign w:val="center"/>
          </w:tcPr>
          <w:p w14:paraId="2F095442">
            <w:pPr>
              <w:pStyle w:val="10"/>
            </w:pPr>
            <w:r>
              <w:t>12月底</w:t>
            </w:r>
          </w:p>
        </w:tc>
      </w:tr>
      <w:tr w14:paraId="17D81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FD58C"/>
        </w:tc>
        <w:tc>
          <w:tcPr>
            <w:tcW w:w="5103" w:type="dxa"/>
            <w:gridSpan w:val="2"/>
            <w:vAlign w:val="center"/>
          </w:tcPr>
          <w:p w14:paraId="22BBE0D3">
            <w:pPr>
              <w:pStyle w:val="13"/>
            </w:pPr>
            <w:r>
              <w:t xml:space="preserve"> </w:t>
            </w:r>
          </w:p>
        </w:tc>
        <w:tc>
          <w:tcPr>
            <w:tcW w:w="2835" w:type="dxa"/>
            <w:vAlign w:val="center"/>
          </w:tcPr>
          <w:p w14:paraId="1A0D49D9">
            <w:pPr>
              <w:pStyle w:val="13"/>
            </w:pPr>
            <w:r>
              <w:t>100%</w:t>
            </w:r>
          </w:p>
        </w:tc>
        <w:tc>
          <w:tcPr>
            <w:tcW w:w="2551" w:type="dxa"/>
            <w:vAlign w:val="center"/>
          </w:tcPr>
          <w:p w14:paraId="4F330F07">
            <w:pPr>
              <w:pStyle w:val="13"/>
            </w:pPr>
            <w:r>
              <w:t>100%</w:t>
            </w:r>
          </w:p>
        </w:tc>
        <w:tc>
          <w:tcPr>
            <w:tcW w:w="3544" w:type="dxa"/>
            <w:gridSpan w:val="2"/>
            <w:vAlign w:val="center"/>
          </w:tcPr>
          <w:p w14:paraId="5FA04B57">
            <w:pPr>
              <w:pStyle w:val="13"/>
            </w:pPr>
            <w:r>
              <w:t>100%</w:t>
            </w:r>
          </w:p>
        </w:tc>
      </w:tr>
      <w:tr w14:paraId="72326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41850">
            <w:pPr>
              <w:pStyle w:val="10"/>
            </w:pPr>
            <w:r>
              <w:t>绩效目标</w:t>
            </w:r>
          </w:p>
        </w:tc>
        <w:tc>
          <w:tcPr>
            <w:tcW w:w="14033" w:type="dxa"/>
            <w:gridSpan w:val="6"/>
            <w:vAlign w:val="center"/>
          </w:tcPr>
          <w:p w14:paraId="0948A71E">
            <w:pPr>
              <w:pStyle w:val="12"/>
            </w:pPr>
            <w:r>
              <w:t>1.改善就学条件，提升学校形象，保障幼儿安全，创造良好的校园环境。</w:t>
            </w:r>
          </w:p>
          <w:p w14:paraId="76014ABE">
            <w:pPr>
              <w:pStyle w:val="12"/>
            </w:pPr>
            <w:r>
              <w:t>2.项目需资金28.3万元，资金拨付率达到100%。</w:t>
            </w:r>
          </w:p>
        </w:tc>
      </w:tr>
    </w:tbl>
    <w:p w14:paraId="27B44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1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DE079">
            <w:pPr>
              <w:pStyle w:val="10"/>
            </w:pPr>
            <w:r>
              <w:t>一级指标</w:t>
            </w:r>
          </w:p>
        </w:tc>
        <w:tc>
          <w:tcPr>
            <w:tcW w:w="2268" w:type="dxa"/>
            <w:vAlign w:val="center"/>
          </w:tcPr>
          <w:p w14:paraId="6D898078">
            <w:pPr>
              <w:pStyle w:val="10"/>
            </w:pPr>
            <w:r>
              <w:t>二级指标</w:t>
            </w:r>
          </w:p>
        </w:tc>
        <w:tc>
          <w:tcPr>
            <w:tcW w:w="2835" w:type="dxa"/>
            <w:vAlign w:val="center"/>
          </w:tcPr>
          <w:p w14:paraId="583A1B2B">
            <w:pPr>
              <w:pStyle w:val="10"/>
            </w:pPr>
            <w:r>
              <w:t>三级指标</w:t>
            </w:r>
          </w:p>
        </w:tc>
        <w:tc>
          <w:tcPr>
            <w:tcW w:w="5386" w:type="dxa"/>
            <w:vAlign w:val="center"/>
          </w:tcPr>
          <w:p w14:paraId="1BAADAA0">
            <w:pPr>
              <w:pStyle w:val="10"/>
            </w:pPr>
            <w:r>
              <w:t>绩效指标描述</w:t>
            </w:r>
          </w:p>
        </w:tc>
        <w:tc>
          <w:tcPr>
            <w:tcW w:w="2268" w:type="dxa"/>
            <w:vAlign w:val="center"/>
          </w:tcPr>
          <w:p w14:paraId="66864E3F">
            <w:pPr>
              <w:pStyle w:val="10"/>
            </w:pPr>
            <w:r>
              <w:t>指标值</w:t>
            </w:r>
          </w:p>
        </w:tc>
        <w:tc>
          <w:tcPr>
            <w:tcW w:w="1276" w:type="dxa"/>
            <w:vAlign w:val="center"/>
          </w:tcPr>
          <w:p w14:paraId="2821F8E9">
            <w:pPr>
              <w:pStyle w:val="10"/>
            </w:pPr>
            <w:r>
              <w:t>指标值确定依据</w:t>
            </w:r>
          </w:p>
        </w:tc>
      </w:tr>
      <w:tr w14:paraId="7DF4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08771">
            <w:pPr>
              <w:pStyle w:val="13"/>
            </w:pPr>
            <w:r>
              <w:t>产出指标</w:t>
            </w:r>
          </w:p>
        </w:tc>
        <w:tc>
          <w:tcPr>
            <w:tcW w:w="2268" w:type="dxa"/>
            <w:vAlign w:val="center"/>
          </w:tcPr>
          <w:p w14:paraId="203898C0">
            <w:pPr>
              <w:pStyle w:val="12"/>
            </w:pPr>
            <w:r>
              <w:t>数量指标</w:t>
            </w:r>
          </w:p>
        </w:tc>
        <w:tc>
          <w:tcPr>
            <w:tcW w:w="2835" w:type="dxa"/>
            <w:vAlign w:val="center"/>
          </w:tcPr>
          <w:p w14:paraId="48DC0CDC">
            <w:pPr>
              <w:pStyle w:val="12"/>
            </w:pPr>
            <w:r>
              <w:t>教学设备</w:t>
            </w:r>
          </w:p>
        </w:tc>
        <w:tc>
          <w:tcPr>
            <w:tcW w:w="5386" w:type="dxa"/>
            <w:vAlign w:val="center"/>
          </w:tcPr>
          <w:p w14:paraId="194D5D76">
            <w:pPr>
              <w:pStyle w:val="12"/>
            </w:pPr>
            <w:r>
              <w:t>幼儿园设备购置</w:t>
            </w:r>
          </w:p>
        </w:tc>
        <w:tc>
          <w:tcPr>
            <w:tcW w:w="2268" w:type="dxa"/>
            <w:vAlign w:val="center"/>
          </w:tcPr>
          <w:p w14:paraId="7148AC9C">
            <w:pPr>
              <w:pStyle w:val="12"/>
            </w:pPr>
            <w:r>
              <w:t>1项</w:t>
            </w:r>
          </w:p>
        </w:tc>
        <w:tc>
          <w:tcPr>
            <w:tcW w:w="1276" w:type="dxa"/>
            <w:vAlign w:val="center"/>
          </w:tcPr>
          <w:p w14:paraId="515EE0EB">
            <w:pPr>
              <w:pStyle w:val="12"/>
            </w:pPr>
            <w:r>
              <w:t>项目规划</w:t>
            </w:r>
          </w:p>
        </w:tc>
      </w:tr>
      <w:tr w14:paraId="684B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F6D2B"/>
        </w:tc>
        <w:tc>
          <w:tcPr>
            <w:tcW w:w="2268" w:type="dxa"/>
            <w:vAlign w:val="center"/>
          </w:tcPr>
          <w:p w14:paraId="6B166EF8">
            <w:pPr>
              <w:pStyle w:val="12"/>
            </w:pPr>
            <w:r>
              <w:t>质量指标</w:t>
            </w:r>
          </w:p>
        </w:tc>
        <w:tc>
          <w:tcPr>
            <w:tcW w:w="2835" w:type="dxa"/>
            <w:vAlign w:val="center"/>
          </w:tcPr>
          <w:p w14:paraId="1ECB3EF7">
            <w:pPr>
              <w:pStyle w:val="12"/>
            </w:pPr>
            <w:r>
              <w:t>工程实施验收合格率</w:t>
            </w:r>
          </w:p>
        </w:tc>
        <w:tc>
          <w:tcPr>
            <w:tcW w:w="5386" w:type="dxa"/>
            <w:vAlign w:val="center"/>
          </w:tcPr>
          <w:p w14:paraId="53302954">
            <w:pPr>
              <w:pStyle w:val="12"/>
            </w:pPr>
            <w:r>
              <w:t>申报程序的合规，项目实施及资金使用符合项目规划</w:t>
            </w:r>
          </w:p>
        </w:tc>
        <w:tc>
          <w:tcPr>
            <w:tcW w:w="2268" w:type="dxa"/>
            <w:vAlign w:val="center"/>
          </w:tcPr>
          <w:p w14:paraId="5F170947">
            <w:pPr>
              <w:pStyle w:val="12"/>
            </w:pPr>
            <w:r>
              <w:t>100%</w:t>
            </w:r>
          </w:p>
        </w:tc>
        <w:tc>
          <w:tcPr>
            <w:tcW w:w="1276" w:type="dxa"/>
            <w:vAlign w:val="center"/>
          </w:tcPr>
          <w:p w14:paraId="2083FB1F">
            <w:pPr>
              <w:pStyle w:val="12"/>
            </w:pPr>
            <w:r>
              <w:t>项目规划</w:t>
            </w:r>
          </w:p>
        </w:tc>
      </w:tr>
      <w:tr w14:paraId="310A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70D15"/>
        </w:tc>
        <w:tc>
          <w:tcPr>
            <w:tcW w:w="2268" w:type="dxa"/>
            <w:vAlign w:val="center"/>
          </w:tcPr>
          <w:p w14:paraId="046E0371">
            <w:pPr>
              <w:pStyle w:val="12"/>
            </w:pPr>
            <w:r>
              <w:t>时效指标</w:t>
            </w:r>
          </w:p>
        </w:tc>
        <w:tc>
          <w:tcPr>
            <w:tcW w:w="2835" w:type="dxa"/>
            <w:vAlign w:val="center"/>
          </w:tcPr>
          <w:p w14:paraId="2DE12E11">
            <w:pPr>
              <w:pStyle w:val="12"/>
            </w:pPr>
            <w:r>
              <w:t>资金支付率</w:t>
            </w:r>
          </w:p>
        </w:tc>
        <w:tc>
          <w:tcPr>
            <w:tcW w:w="5386" w:type="dxa"/>
            <w:vAlign w:val="center"/>
          </w:tcPr>
          <w:p w14:paraId="2DC09471">
            <w:pPr>
              <w:pStyle w:val="12"/>
            </w:pPr>
            <w:r>
              <w:t>按照序时进度完成资金支付</w:t>
            </w:r>
          </w:p>
        </w:tc>
        <w:tc>
          <w:tcPr>
            <w:tcW w:w="2268" w:type="dxa"/>
            <w:vAlign w:val="center"/>
          </w:tcPr>
          <w:p w14:paraId="77A30DEC">
            <w:pPr>
              <w:pStyle w:val="12"/>
            </w:pPr>
            <w:r>
              <w:t>100%</w:t>
            </w:r>
          </w:p>
        </w:tc>
        <w:tc>
          <w:tcPr>
            <w:tcW w:w="1276" w:type="dxa"/>
            <w:vAlign w:val="center"/>
          </w:tcPr>
          <w:p w14:paraId="6EC8052B">
            <w:pPr>
              <w:pStyle w:val="12"/>
            </w:pPr>
            <w:r>
              <w:t>项目规划</w:t>
            </w:r>
          </w:p>
        </w:tc>
      </w:tr>
      <w:tr w14:paraId="2F956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B9B26"/>
        </w:tc>
        <w:tc>
          <w:tcPr>
            <w:tcW w:w="2268" w:type="dxa"/>
            <w:vAlign w:val="center"/>
          </w:tcPr>
          <w:p w14:paraId="29EEE70E">
            <w:pPr>
              <w:pStyle w:val="12"/>
            </w:pPr>
            <w:r>
              <w:t>成本指标</w:t>
            </w:r>
          </w:p>
        </w:tc>
        <w:tc>
          <w:tcPr>
            <w:tcW w:w="2835" w:type="dxa"/>
            <w:vAlign w:val="center"/>
          </w:tcPr>
          <w:p w14:paraId="2A981853">
            <w:pPr>
              <w:pStyle w:val="12"/>
            </w:pPr>
            <w:r>
              <w:t>项目成本控制情况</w:t>
            </w:r>
          </w:p>
        </w:tc>
        <w:tc>
          <w:tcPr>
            <w:tcW w:w="5386" w:type="dxa"/>
            <w:vAlign w:val="center"/>
          </w:tcPr>
          <w:p w14:paraId="6A439770">
            <w:pPr>
              <w:pStyle w:val="12"/>
            </w:pPr>
            <w:r>
              <w:t>严格按照招标价格及审计额进行</w:t>
            </w:r>
          </w:p>
        </w:tc>
        <w:tc>
          <w:tcPr>
            <w:tcW w:w="2268" w:type="dxa"/>
            <w:vAlign w:val="center"/>
          </w:tcPr>
          <w:p w14:paraId="7888FA24">
            <w:pPr>
              <w:pStyle w:val="12"/>
            </w:pPr>
            <w:r>
              <w:t>28.3万元</w:t>
            </w:r>
          </w:p>
        </w:tc>
        <w:tc>
          <w:tcPr>
            <w:tcW w:w="1276" w:type="dxa"/>
            <w:vAlign w:val="center"/>
          </w:tcPr>
          <w:p w14:paraId="71BCF5F9">
            <w:pPr>
              <w:pStyle w:val="12"/>
            </w:pPr>
            <w:r>
              <w:t>项目规划</w:t>
            </w:r>
          </w:p>
        </w:tc>
      </w:tr>
      <w:tr w14:paraId="02BF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16E6D">
            <w:pPr>
              <w:pStyle w:val="13"/>
            </w:pPr>
            <w:r>
              <w:t>效益指标</w:t>
            </w:r>
          </w:p>
        </w:tc>
        <w:tc>
          <w:tcPr>
            <w:tcW w:w="2268" w:type="dxa"/>
            <w:vAlign w:val="center"/>
          </w:tcPr>
          <w:p w14:paraId="67CEC896">
            <w:pPr>
              <w:pStyle w:val="12"/>
            </w:pPr>
            <w:r>
              <w:t>经济效益指标</w:t>
            </w:r>
          </w:p>
        </w:tc>
        <w:tc>
          <w:tcPr>
            <w:tcW w:w="2835" w:type="dxa"/>
            <w:vAlign w:val="center"/>
          </w:tcPr>
          <w:p w14:paraId="6A05F288">
            <w:pPr>
              <w:pStyle w:val="12"/>
            </w:pPr>
            <w:r>
              <w:t>学校办学环境提升</w:t>
            </w:r>
          </w:p>
        </w:tc>
        <w:tc>
          <w:tcPr>
            <w:tcW w:w="5386" w:type="dxa"/>
            <w:vAlign w:val="center"/>
          </w:tcPr>
          <w:p w14:paraId="7D8F5241">
            <w:pPr>
              <w:pStyle w:val="12"/>
            </w:pPr>
            <w:r>
              <w:t>学校教学环境提升优化率</w:t>
            </w:r>
          </w:p>
        </w:tc>
        <w:tc>
          <w:tcPr>
            <w:tcW w:w="2268" w:type="dxa"/>
            <w:vAlign w:val="center"/>
          </w:tcPr>
          <w:p w14:paraId="60AD8E29">
            <w:pPr>
              <w:pStyle w:val="12"/>
            </w:pPr>
            <w:r>
              <w:t>≥98%</w:t>
            </w:r>
          </w:p>
        </w:tc>
        <w:tc>
          <w:tcPr>
            <w:tcW w:w="1276" w:type="dxa"/>
            <w:vAlign w:val="center"/>
          </w:tcPr>
          <w:p w14:paraId="6D35CC62">
            <w:pPr>
              <w:pStyle w:val="12"/>
            </w:pPr>
            <w:r>
              <w:t>项目规划</w:t>
            </w:r>
          </w:p>
        </w:tc>
      </w:tr>
      <w:tr w14:paraId="6F68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793F5">
            <w:pPr>
              <w:pStyle w:val="13"/>
            </w:pPr>
            <w:r>
              <w:t>满意度指标</w:t>
            </w:r>
          </w:p>
        </w:tc>
        <w:tc>
          <w:tcPr>
            <w:tcW w:w="2268" w:type="dxa"/>
            <w:vAlign w:val="center"/>
          </w:tcPr>
          <w:p w14:paraId="34831A2C">
            <w:pPr>
              <w:pStyle w:val="12"/>
            </w:pPr>
            <w:r>
              <w:t>服务对象满意度指标</w:t>
            </w:r>
          </w:p>
        </w:tc>
        <w:tc>
          <w:tcPr>
            <w:tcW w:w="2835" w:type="dxa"/>
            <w:vAlign w:val="center"/>
          </w:tcPr>
          <w:p w14:paraId="51C21F53">
            <w:pPr>
              <w:pStyle w:val="12"/>
            </w:pPr>
            <w:r>
              <w:t>受益学生家长及调查满意度</w:t>
            </w:r>
          </w:p>
        </w:tc>
        <w:tc>
          <w:tcPr>
            <w:tcW w:w="5386" w:type="dxa"/>
            <w:vAlign w:val="center"/>
          </w:tcPr>
          <w:p w14:paraId="2A43748E">
            <w:pPr>
              <w:pStyle w:val="12"/>
            </w:pPr>
            <w:r>
              <w:t>学生、教师及家长对学校教学环境满意度情况</w:t>
            </w:r>
          </w:p>
        </w:tc>
        <w:tc>
          <w:tcPr>
            <w:tcW w:w="2268" w:type="dxa"/>
            <w:vAlign w:val="center"/>
          </w:tcPr>
          <w:p w14:paraId="70D020B3">
            <w:pPr>
              <w:pStyle w:val="12"/>
            </w:pPr>
            <w:r>
              <w:t>≥95%</w:t>
            </w:r>
          </w:p>
        </w:tc>
        <w:tc>
          <w:tcPr>
            <w:tcW w:w="1276" w:type="dxa"/>
            <w:vAlign w:val="center"/>
          </w:tcPr>
          <w:p w14:paraId="4814EA48">
            <w:pPr>
              <w:pStyle w:val="12"/>
            </w:pPr>
            <w:r>
              <w:t>项目规划</w:t>
            </w:r>
          </w:p>
        </w:tc>
      </w:tr>
    </w:tbl>
    <w:p w14:paraId="2E1772A8">
      <w:pPr>
        <w:sectPr>
          <w:pgSz w:w="16840" w:h="11900" w:orient="landscape"/>
          <w:pgMar w:top="1361" w:right="1020" w:bottom="1134" w:left="1020" w:header="720" w:footer="720" w:gutter="0"/>
          <w:cols w:space="720" w:num="1"/>
        </w:sectPr>
      </w:pPr>
    </w:p>
    <w:p w14:paraId="44DBB3BF">
      <w:pPr>
        <w:spacing w:before="0" w:after="0"/>
        <w:ind w:firstLine="560"/>
        <w:jc w:val="left"/>
        <w:outlineLvl w:val="9"/>
      </w:pPr>
      <w:r>
        <w:rPr>
          <w:rFonts w:ascii="方正仿宋_GBK" w:hAnsi="方正仿宋_GBK" w:eastAsia="方正仿宋_GBK" w:cs="方正仿宋_GBK"/>
          <w:b/>
          <w:color w:val="000000"/>
          <w:sz w:val="28"/>
        </w:rPr>
        <w:t>16、冀财教[2025]122号/中央/支持学前教育发展/东良幼儿园房顶扣瓦等维修改造绩效目标表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20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28E66">
            <w:pPr>
              <w:pStyle w:val="11"/>
            </w:pPr>
            <w:r>
              <w:t>单位：万元</w:t>
            </w:r>
          </w:p>
        </w:tc>
      </w:tr>
      <w:tr w14:paraId="06E95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4F6B8">
            <w:pPr>
              <w:pStyle w:val="10"/>
            </w:pPr>
            <w:r>
              <w:t>项目编码</w:t>
            </w:r>
          </w:p>
        </w:tc>
        <w:tc>
          <w:tcPr>
            <w:tcW w:w="5103" w:type="dxa"/>
            <w:gridSpan w:val="2"/>
            <w:vAlign w:val="center"/>
          </w:tcPr>
          <w:p w14:paraId="0566B1B8">
            <w:pPr>
              <w:pStyle w:val="12"/>
            </w:pPr>
            <w:r>
              <w:t>13052526P00876910192C</w:t>
            </w:r>
          </w:p>
        </w:tc>
        <w:tc>
          <w:tcPr>
            <w:tcW w:w="2835" w:type="dxa"/>
            <w:vAlign w:val="center"/>
          </w:tcPr>
          <w:p w14:paraId="6DE9C196">
            <w:pPr>
              <w:pStyle w:val="10"/>
            </w:pPr>
            <w:r>
              <w:t>项目名称</w:t>
            </w:r>
          </w:p>
        </w:tc>
        <w:tc>
          <w:tcPr>
            <w:tcW w:w="6095" w:type="dxa"/>
            <w:gridSpan w:val="3"/>
            <w:vAlign w:val="center"/>
          </w:tcPr>
          <w:p w14:paraId="783D051A">
            <w:pPr>
              <w:pStyle w:val="12"/>
            </w:pPr>
            <w:r>
              <w:t>冀财教[2025]122号/中央/支持学前教育发展/东良幼儿园房顶扣瓦等维修改造</w:t>
            </w:r>
          </w:p>
        </w:tc>
      </w:tr>
      <w:tr w14:paraId="712F5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F3570">
            <w:pPr>
              <w:pStyle w:val="10"/>
            </w:pPr>
            <w:r>
              <w:t>预算规模及资金用途</w:t>
            </w:r>
          </w:p>
        </w:tc>
        <w:tc>
          <w:tcPr>
            <w:tcW w:w="2268" w:type="dxa"/>
            <w:vAlign w:val="center"/>
          </w:tcPr>
          <w:p w14:paraId="679A9836">
            <w:pPr>
              <w:pStyle w:val="10"/>
            </w:pPr>
            <w:r>
              <w:t>预算数</w:t>
            </w:r>
          </w:p>
        </w:tc>
        <w:tc>
          <w:tcPr>
            <w:tcW w:w="2835" w:type="dxa"/>
            <w:vAlign w:val="center"/>
          </w:tcPr>
          <w:p w14:paraId="0457CC55">
            <w:pPr>
              <w:pStyle w:val="12"/>
            </w:pPr>
            <w:r>
              <w:t>10.00</w:t>
            </w:r>
          </w:p>
        </w:tc>
        <w:tc>
          <w:tcPr>
            <w:tcW w:w="2835" w:type="dxa"/>
            <w:vAlign w:val="center"/>
          </w:tcPr>
          <w:p w14:paraId="437FC86F">
            <w:pPr>
              <w:pStyle w:val="10"/>
            </w:pPr>
            <w:r>
              <w:t>其中：财政    资金</w:t>
            </w:r>
          </w:p>
        </w:tc>
        <w:tc>
          <w:tcPr>
            <w:tcW w:w="2551" w:type="dxa"/>
            <w:vAlign w:val="center"/>
          </w:tcPr>
          <w:p w14:paraId="77BF40C7">
            <w:pPr>
              <w:pStyle w:val="12"/>
            </w:pPr>
            <w:r>
              <w:t>10.00</w:t>
            </w:r>
          </w:p>
        </w:tc>
        <w:tc>
          <w:tcPr>
            <w:tcW w:w="2268" w:type="dxa"/>
            <w:vAlign w:val="center"/>
          </w:tcPr>
          <w:p w14:paraId="2476012B">
            <w:pPr>
              <w:pStyle w:val="10"/>
            </w:pPr>
            <w:r>
              <w:t>其他资金</w:t>
            </w:r>
          </w:p>
        </w:tc>
        <w:tc>
          <w:tcPr>
            <w:tcW w:w="1276" w:type="dxa"/>
            <w:vAlign w:val="center"/>
          </w:tcPr>
          <w:p w14:paraId="7C93636F">
            <w:pPr>
              <w:pStyle w:val="12"/>
            </w:pPr>
            <w:r>
              <w:t xml:space="preserve"> </w:t>
            </w:r>
          </w:p>
        </w:tc>
      </w:tr>
      <w:tr w14:paraId="4980B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48608"/>
        </w:tc>
        <w:tc>
          <w:tcPr>
            <w:tcW w:w="14033" w:type="dxa"/>
            <w:gridSpan w:val="6"/>
            <w:vAlign w:val="center"/>
          </w:tcPr>
          <w:p w14:paraId="738CD1EC">
            <w:pPr>
              <w:pStyle w:val="12"/>
            </w:pPr>
            <w:r>
              <w:t>改善就学条件，提升学校形象，保障幼儿安全，创造良好的校园环境。</w:t>
            </w:r>
          </w:p>
        </w:tc>
      </w:tr>
      <w:tr w14:paraId="011B1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E1445">
            <w:pPr>
              <w:pStyle w:val="10"/>
            </w:pPr>
            <w:r>
              <w:t>资金支出计划（%）</w:t>
            </w:r>
          </w:p>
        </w:tc>
        <w:tc>
          <w:tcPr>
            <w:tcW w:w="5103" w:type="dxa"/>
            <w:gridSpan w:val="2"/>
            <w:vAlign w:val="center"/>
          </w:tcPr>
          <w:p w14:paraId="4C82BFD5">
            <w:pPr>
              <w:pStyle w:val="10"/>
            </w:pPr>
            <w:r>
              <w:t>3月底</w:t>
            </w:r>
          </w:p>
        </w:tc>
        <w:tc>
          <w:tcPr>
            <w:tcW w:w="2835" w:type="dxa"/>
            <w:vAlign w:val="center"/>
          </w:tcPr>
          <w:p w14:paraId="5269CA8B">
            <w:pPr>
              <w:pStyle w:val="10"/>
            </w:pPr>
            <w:r>
              <w:t>6月底</w:t>
            </w:r>
          </w:p>
        </w:tc>
        <w:tc>
          <w:tcPr>
            <w:tcW w:w="2551" w:type="dxa"/>
            <w:vAlign w:val="center"/>
          </w:tcPr>
          <w:p w14:paraId="2C1C88C7">
            <w:pPr>
              <w:pStyle w:val="10"/>
            </w:pPr>
            <w:r>
              <w:t>10月底</w:t>
            </w:r>
          </w:p>
        </w:tc>
        <w:tc>
          <w:tcPr>
            <w:tcW w:w="3544" w:type="dxa"/>
            <w:gridSpan w:val="2"/>
            <w:vAlign w:val="center"/>
          </w:tcPr>
          <w:p w14:paraId="2A93CE3D">
            <w:pPr>
              <w:pStyle w:val="10"/>
            </w:pPr>
            <w:r>
              <w:t>12月底</w:t>
            </w:r>
          </w:p>
        </w:tc>
      </w:tr>
      <w:tr w14:paraId="0E2B1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097F6"/>
        </w:tc>
        <w:tc>
          <w:tcPr>
            <w:tcW w:w="5103" w:type="dxa"/>
            <w:gridSpan w:val="2"/>
            <w:vAlign w:val="center"/>
          </w:tcPr>
          <w:p w14:paraId="44DFBA0D">
            <w:pPr>
              <w:pStyle w:val="13"/>
            </w:pPr>
            <w:r>
              <w:t xml:space="preserve"> </w:t>
            </w:r>
          </w:p>
        </w:tc>
        <w:tc>
          <w:tcPr>
            <w:tcW w:w="2835" w:type="dxa"/>
            <w:vAlign w:val="center"/>
          </w:tcPr>
          <w:p w14:paraId="101A29FA">
            <w:pPr>
              <w:pStyle w:val="13"/>
            </w:pPr>
            <w:r>
              <w:t>50%</w:t>
            </w:r>
          </w:p>
        </w:tc>
        <w:tc>
          <w:tcPr>
            <w:tcW w:w="2551" w:type="dxa"/>
            <w:vAlign w:val="center"/>
          </w:tcPr>
          <w:p w14:paraId="449D25DD">
            <w:pPr>
              <w:pStyle w:val="13"/>
            </w:pPr>
            <w:r>
              <w:t>100%</w:t>
            </w:r>
          </w:p>
        </w:tc>
        <w:tc>
          <w:tcPr>
            <w:tcW w:w="3544" w:type="dxa"/>
            <w:gridSpan w:val="2"/>
            <w:vAlign w:val="center"/>
          </w:tcPr>
          <w:p w14:paraId="5CB315D6">
            <w:pPr>
              <w:pStyle w:val="13"/>
            </w:pPr>
            <w:r>
              <w:t>100%</w:t>
            </w:r>
          </w:p>
        </w:tc>
      </w:tr>
      <w:tr w14:paraId="74A21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992AA">
            <w:pPr>
              <w:pStyle w:val="10"/>
            </w:pPr>
            <w:r>
              <w:t>绩效目标</w:t>
            </w:r>
          </w:p>
        </w:tc>
        <w:tc>
          <w:tcPr>
            <w:tcW w:w="14033" w:type="dxa"/>
            <w:gridSpan w:val="6"/>
            <w:vAlign w:val="center"/>
          </w:tcPr>
          <w:p w14:paraId="7C0A93DE">
            <w:pPr>
              <w:pStyle w:val="12"/>
            </w:pPr>
            <w:r>
              <w:t>1.项目需资金10万元，资金拨付率达到100%。</w:t>
            </w:r>
          </w:p>
          <w:p w14:paraId="4F677E63">
            <w:pPr>
              <w:pStyle w:val="12"/>
            </w:pPr>
            <w:r>
              <w:t>2.改善就学条件，提升学校形象，保障幼儿安全，创造良好的校园环境。</w:t>
            </w:r>
          </w:p>
        </w:tc>
      </w:tr>
    </w:tbl>
    <w:p w14:paraId="6A3FE3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B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A0C03F4">
            <w:pPr>
              <w:pStyle w:val="10"/>
            </w:pPr>
            <w:r>
              <w:t>一级指标</w:t>
            </w:r>
          </w:p>
        </w:tc>
        <w:tc>
          <w:tcPr>
            <w:tcW w:w="2268" w:type="dxa"/>
            <w:vAlign w:val="center"/>
          </w:tcPr>
          <w:p w14:paraId="2C3E0EE7">
            <w:pPr>
              <w:pStyle w:val="10"/>
            </w:pPr>
            <w:r>
              <w:t>二级指标</w:t>
            </w:r>
          </w:p>
        </w:tc>
        <w:tc>
          <w:tcPr>
            <w:tcW w:w="2835" w:type="dxa"/>
            <w:vAlign w:val="center"/>
          </w:tcPr>
          <w:p w14:paraId="53ACABB4">
            <w:pPr>
              <w:pStyle w:val="10"/>
            </w:pPr>
            <w:r>
              <w:t>三级指标</w:t>
            </w:r>
          </w:p>
        </w:tc>
        <w:tc>
          <w:tcPr>
            <w:tcW w:w="5386" w:type="dxa"/>
            <w:vAlign w:val="center"/>
          </w:tcPr>
          <w:p w14:paraId="6ED5137F">
            <w:pPr>
              <w:pStyle w:val="10"/>
            </w:pPr>
            <w:r>
              <w:t>绩效指标描述</w:t>
            </w:r>
          </w:p>
        </w:tc>
        <w:tc>
          <w:tcPr>
            <w:tcW w:w="2268" w:type="dxa"/>
            <w:vAlign w:val="center"/>
          </w:tcPr>
          <w:p w14:paraId="08DECC78">
            <w:pPr>
              <w:pStyle w:val="10"/>
            </w:pPr>
            <w:r>
              <w:t>指标值</w:t>
            </w:r>
          </w:p>
        </w:tc>
        <w:tc>
          <w:tcPr>
            <w:tcW w:w="1276" w:type="dxa"/>
            <w:vAlign w:val="center"/>
          </w:tcPr>
          <w:p w14:paraId="0D4B6A93">
            <w:pPr>
              <w:pStyle w:val="10"/>
            </w:pPr>
            <w:r>
              <w:t>指标值确定依据</w:t>
            </w:r>
          </w:p>
        </w:tc>
      </w:tr>
      <w:tr w14:paraId="4F42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A8C0F">
            <w:pPr>
              <w:pStyle w:val="13"/>
            </w:pPr>
            <w:r>
              <w:t>产出指标</w:t>
            </w:r>
          </w:p>
        </w:tc>
        <w:tc>
          <w:tcPr>
            <w:tcW w:w="2268" w:type="dxa"/>
            <w:vAlign w:val="center"/>
          </w:tcPr>
          <w:p w14:paraId="40FE6725">
            <w:pPr>
              <w:pStyle w:val="12"/>
            </w:pPr>
            <w:r>
              <w:t>数量指标</w:t>
            </w:r>
          </w:p>
        </w:tc>
        <w:tc>
          <w:tcPr>
            <w:tcW w:w="2835" w:type="dxa"/>
            <w:vAlign w:val="center"/>
          </w:tcPr>
          <w:p w14:paraId="6817468F">
            <w:pPr>
              <w:pStyle w:val="12"/>
            </w:pPr>
            <w:r>
              <w:t>东良幼儿园房顶扣瓦等维修改装</w:t>
            </w:r>
          </w:p>
        </w:tc>
        <w:tc>
          <w:tcPr>
            <w:tcW w:w="5386" w:type="dxa"/>
            <w:vAlign w:val="center"/>
          </w:tcPr>
          <w:p w14:paraId="7911D5AB">
            <w:pPr>
              <w:pStyle w:val="12"/>
            </w:pPr>
            <w:r>
              <w:t>房顶扣瓦、室内屋顶粉刷、外墙粉刷等</w:t>
            </w:r>
          </w:p>
        </w:tc>
        <w:tc>
          <w:tcPr>
            <w:tcW w:w="2268" w:type="dxa"/>
            <w:vAlign w:val="center"/>
          </w:tcPr>
          <w:p w14:paraId="47168143">
            <w:pPr>
              <w:pStyle w:val="12"/>
            </w:pPr>
            <w:r>
              <w:t>1项</w:t>
            </w:r>
          </w:p>
        </w:tc>
        <w:tc>
          <w:tcPr>
            <w:tcW w:w="1276" w:type="dxa"/>
            <w:vAlign w:val="center"/>
          </w:tcPr>
          <w:p w14:paraId="25F5001F">
            <w:pPr>
              <w:pStyle w:val="12"/>
            </w:pPr>
            <w:r>
              <w:t>项目规划</w:t>
            </w:r>
          </w:p>
        </w:tc>
      </w:tr>
      <w:tr w14:paraId="6AA9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6062A"/>
        </w:tc>
        <w:tc>
          <w:tcPr>
            <w:tcW w:w="2268" w:type="dxa"/>
            <w:vAlign w:val="center"/>
          </w:tcPr>
          <w:p w14:paraId="6912C84B">
            <w:pPr>
              <w:pStyle w:val="12"/>
            </w:pPr>
            <w:r>
              <w:t>质量指标</w:t>
            </w:r>
          </w:p>
        </w:tc>
        <w:tc>
          <w:tcPr>
            <w:tcW w:w="2835" w:type="dxa"/>
            <w:vAlign w:val="center"/>
          </w:tcPr>
          <w:p w14:paraId="78900E8F">
            <w:pPr>
              <w:pStyle w:val="12"/>
            </w:pPr>
            <w:r>
              <w:t>工程实施验收合格率</w:t>
            </w:r>
          </w:p>
        </w:tc>
        <w:tc>
          <w:tcPr>
            <w:tcW w:w="5386" w:type="dxa"/>
            <w:vAlign w:val="center"/>
          </w:tcPr>
          <w:p w14:paraId="5F831F62">
            <w:pPr>
              <w:pStyle w:val="12"/>
            </w:pPr>
            <w:r>
              <w:t>申报程序的合规，项目实施及资金使用符合项目规划</w:t>
            </w:r>
          </w:p>
        </w:tc>
        <w:tc>
          <w:tcPr>
            <w:tcW w:w="2268" w:type="dxa"/>
            <w:vAlign w:val="center"/>
          </w:tcPr>
          <w:p w14:paraId="5AD55207">
            <w:pPr>
              <w:pStyle w:val="12"/>
            </w:pPr>
            <w:r>
              <w:t>100%</w:t>
            </w:r>
          </w:p>
        </w:tc>
        <w:tc>
          <w:tcPr>
            <w:tcW w:w="1276" w:type="dxa"/>
            <w:vAlign w:val="center"/>
          </w:tcPr>
          <w:p w14:paraId="7F633027">
            <w:pPr>
              <w:pStyle w:val="12"/>
            </w:pPr>
            <w:r>
              <w:t>项目规划</w:t>
            </w:r>
          </w:p>
        </w:tc>
      </w:tr>
      <w:tr w14:paraId="328E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BA92F"/>
        </w:tc>
        <w:tc>
          <w:tcPr>
            <w:tcW w:w="2268" w:type="dxa"/>
            <w:vAlign w:val="center"/>
          </w:tcPr>
          <w:p w14:paraId="57FEAC8B">
            <w:pPr>
              <w:pStyle w:val="12"/>
            </w:pPr>
            <w:r>
              <w:t>时效指标</w:t>
            </w:r>
          </w:p>
        </w:tc>
        <w:tc>
          <w:tcPr>
            <w:tcW w:w="2835" w:type="dxa"/>
            <w:vAlign w:val="center"/>
          </w:tcPr>
          <w:p w14:paraId="2F5AEA1B">
            <w:pPr>
              <w:pStyle w:val="12"/>
            </w:pPr>
            <w:r>
              <w:t>资金支付率</w:t>
            </w:r>
          </w:p>
        </w:tc>
        <w:tc>
          <w:tcPr>
            <w:tcW w:w="5386" w:type="dxa"/>
            <w:vAlign w:val="center"/>
          </w:tcPr>
          <w:p w14:paraId="3B66C894">
            <w:pPr>
              <w:pStyle w:val="12"/>
            </w:pPr>
            <w:r>
              <w:t>按照序时进度完成资金支付</w:t>
            </w:r>
          </w:p>
        </w:tc>
        <w:tc>
          <w:tcPr>
            <w:tcW w:w="2268" w:type="dxa"/>
            <w:vAlign w:val="center"/>
          </w:tcPr>
          <w:p w14:paraId="3FF5B17D">
            <w:pPr>
              <w:pStyle w:val="12"/>
            </w:pPr>
            <w:r>
              <w:t>100%</w:t>
            </w:r>
          </w:p>
        </w:tc>
        <w:tc>
          <w:tcPr>
            <w:tcW w:w="1276" w:type="dxa"/>
            <w:vAlign w:val="center"/>
          </w:tcPr>
          <w:p w14:paraId="17F94EA0">
            <w:pPr>
              <w:pStyle w:val="12"/>
            </w:pPr>
            <w:r>
              <w:t>项目规划</w:t>
            </w:r>
          </w:p>
        </w:tc>
      </w:tr>
      <w:tr w14:paraId="188D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605D5"/>
        </w:tc>
        <w:tc>
          <w:tcPr>
            <w:tcW w:w="2268" w:type="dxa"/>
            <w:vAlign w:val="center"/>
          </w:tcPr>
          <w:p w14:paraId="7C320183">
            <w:pPr>
              <w:pStyle w:val="12"/>
            </w:pPr>
            <w:r>
              <w:t>成本指标</w:t>
            </w:r>
          </w:p>
        </w:tc>
        <w:tc>
          <w:tcPr>
            <w:tcW w:w="2835" w:type="dxa"/>
            <w:vAlign w:val="center"/>
          </w:tcPr>
          <w:p w14:paraId="6CBA16C3">
            <w:pPr>
              <w:pStyle w:val="12"/>
            </w:pPr>
            <w:r>
              <w:t>项目成本控制情况</w:t>
            </w:r>
          </w:p>
        </w:tc>
        <w:tc>
          <w:tcPr>
            <w:tcW w:w="5386" w:type="dxa"/>
            <w:vAlign w:val="center"/>
          </w:tcPr>
          <w:p w14:paraId="5E108A6A">
            <w:pPr>
              <w:pStyle w:val="12"/>
            </w:pPr>
            <w:r>
              <w:t>严格按照招标价格及审计额进行</w:t>
            </w:r>
          </w:p>
        </w:tc>
        <w:tc>
          <w:tcPr>
            <w:tcW w:w="2268" w:type="dxa"/>
            <w:vAlign w:val="center"/>
          </w:tcPr>
          <w:p w14:paraId="462C57D5">
            <w:pPr>
              <w:pStyle w:val="12"/>
            </w:pPr>
            <w:r>
              <w:t>10万元</w:t>
            </w:r>
          </w:p>
        </w:tc>
        <w:tc>
          <w:tcPr>
            <w:tcW w:w="1276" w:type="dxa"/>
            <w:vAlign w:val="center"/>
          </w:tcPr>
          <w:p w14:paraId="2C7681DC">
            <w:pPr>
              <w:pStyle w:val="12"/>
            </w:pPr>
            <w:r>
              <w:t>项目规划</w:t>
            </w:r>
          </w:p>
        </w:tc>
      </w:tr>
      <w:tr w14:paraId="45E2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1F9C9">
            <w:pPr>
              <w:pStyle w:val="13"/>
            </w:pPr>
            <w:r>
              <w:t>效益指标</w:t>
            </w:r>
          </w:p>
        </w:tc>
        <w:tc>
          <w:tcPr>
            <w:tcW w:w="2268" w:type="dxa"/>
            <w:vAlign w:val="center"/>
          </w:tcPr>
          <w:p w14:paraId="33ECB489">
            <w:pPr>
              <w:pStyle w:val="12"/>
            </w:pPr>
            <w:r>
              <w:t>社会效益指标</w:t>
            </w:r>
          </w:p>
        </w:tc>
        <w:tc>
          <w:tcPr>
            <w:tcW w:w="2835" w:type="dxa"/>
            <w:vAlign w:val="center"/>
          </w:tcPr>
          <w:p w14:paraId="4F3CDEFA">
            <w:pPr>
              <w:pStyle w:val="12"/>
            </w:pPr>
            <w:r>
              <w:t>学校办学环境提升</w:t>
            </w:r>
          </w:p>
        </w:tc>
        <w:tc>
          <w:tcPr>
            <w:tcW w:w="5386" w:type="dxa"/>
            <w:vAlign w:val="center"/>
          </w:tcPr>
          <w:p w14:paraId="6B5F299B">
            <w:pPr>
              <w:pStyle w:val="12"/>
            </w:pPr>
            <w:r>
              <w:t>学校教学环境提升优化率</w:t>
            </w:r>
          </w:p>
        </w:tc>
        <w:tc>
          <w:tcPr>
            <w:tcW w:w="2268" w:type="dxa"/>
            <w:vAlign w:val="center"/>
          </w:tcPr>
          <w:p w14:paraId="46C6BCED">
            <w:pPr>
              <w:pStyle w:val="12"/>
            </w:pPr>
            <w:r>
              <w:t>≥98%</w:t>
            </w:r>
          </w:p>
        </w:tc>
        <w:tc>
          <w:tcPr>
            <w:tcW w:w="1276" w:type="dxa"/>
            <w:vAlign w:val="center"/>
          </w:tcPr>
          <w:p w14:paraId="61135EC1">
            <w:pPr>
              <w:pStyle w:val="12"/>
            </w:pPr>
            <w:r>
              <w:t>项目规划</w:t>
            </w:r>
          </w:p>
        </w:tc>
      </w:tr>
      <w:tr w14:paraId="1DB2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A8419">
            <w:pPr>
              <w:pStyle w:val="13"/>
            </w:pPr>
            <w:r>
              <w:t>满意度指标</w:t>
            </w:r>
          </w:p>
        </w:tc>
        <w:tc>
          <w:tcPr>
            <w:tcW w:w="2268" w:type="dxa"/>
            <w:vAlign w:val="center"/>
          </w:tcPr>
          <w:p w14:paraId="408A4952">
            <w:pPr>
              <w:pStyle w:val="12"/>
            </w:pPr>
            <w:r>
              <w:t>服务对象满意度指标</w:t>
            </w:r>
          </w:p>
        </w:tc>
        <w:tc>
          <w:tcPr>
            <w:tcW w:w="2835" w:type="dxa"/>
            <w:vAlign w:val="center"/>
          </w:tcPr>
          <w:p w14:paraId="640D9F2E">
            <w:pPr>
              <w:pStyle w:val="12"/>
            </w:pPr>
            <w:r>
              <w:t>受益学生家长及调查满意度</w:t>
            </w:r>
          </w:p>
        </w:tc>
        <w:tc>
          <w:tcPr>
            <w:tcW w:w="5386" w:type="dxa"/>
            <w:vAlign w:val="center"/>
          </w:tcPr>
          <w:p w14:paraId="5107F00A">
            <w:pPr>
              <w:pStyle w:val="12"/>
            </w:pPr>
            <w:r>
              <w:t>学生、教师及家长对学校教学环境满意度情况</w:t>
            </w:r>
          </w:p>
        </w:tc>
        <w:tc>
          <w:tcPr>
            <w:tcW w:w="2268" w:type="dxa"/>
            <w:vAlign w:val="center"/>
          </w:tcPr>
          <w:p w14:paraId="5BDE0AC8">
            <w:pPr>
              <w:pStyle w:val="12"/>
            </w:pPr>
            <w:r>
              <w:t>≥95%</w:t>
            </w:r>
          </w:p>
        </w:tc>
        <w:tc>
          <w:tcPr>
            <w:tcW w:w="1276" w:type="dxa"/>
            <w:vAlign w:val="center"/>
          </w:tcPr>
          <w:p w14:paraId="5455DAED">
            <w:pPr>
              <w:pStyle w:val="12"/>
            </w:pPr>
            <w:r>
              <w:t>调查问卷</w:t>
            </w:r>
          </w:p>
        </w:tc>
      </w:tr>
    </w:tbl>
    <w:p w14:paraId="1046C198">
      <w:pPr>
        <w:sectPr>
          <w:pgSz w:w="16840" w:h="11900" w:orient="landscape"/>
          <w:pgMar w:top="1361" w:right="1020" w:bottom="1134" w:left="1020" w:header="720" w:footer="720" w:gutter="0"/>
          <w:cols w:space="720" w:num="1"/>
        </w:sectPr>
      </w:pPr>
    </w:p>
    <w:p w14:paraId="66FAC36C">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17、冀财教[2025]147号/省级/2026年义教补助经费/东良校区大干言小学公用经费绩效目标表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6C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6435BE">
            <w:pPr>
              <w:pStyle w:val="11"/>
            </w:pPr>
            <w:r>
              <w:t>单位：万元</w:t>
            </w:r>
          </w:p>
        </w:tc>
      </w:tr>
      <w:tr w14:paraId="5D2A0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C505E">
            <w:pPr>
              <w:pStyle w:val="10"/>
            </w:pPr>
            <w:r>
              <w:t>项目编码</w:t>
            </w:r>
          </w:p>
        </w:tc>
        <w:tc>
          <w:tcPr>
            <w:tcW w:w="5103" w:type="dxa"/>
            <w:gridSpan w:val="2"/>
            <w:vAlign w:val="center"/>
          </w:tcPr>
          <w:p w14:paraId="5EE384C1">
            <w:pPr>
              <w:pStyle w:val="12"/>
            </w:pPr>
            <w:r>
              <w:t>13052526P000004103596</w:t>
            </w:r>
          </w:p>
        </w:tc>
        <w:tc>
          <w:tcPr>
            <w:tcW w:w="2835" w:type="dxa"/>
            <w:vAlign w:val="center"/>
          </w:tcPr>
          <w:p w14:paraId="75E1F678">
            <w:pPr>
              <w:pStyle w:val="10"/>
            </w:pPr>
            <w:r>
              <w:t>项目名称</w:t>
            </w:r>
          </w:p>
        </w:tc>
        <w:tc>
          <w:tcPr>
            <w:tcW w:w="6095" w:type="dxa"/>
            <w:gridSpan w:val="3"/>
            <w:vAlign w:val="center"/>
          </w:tcPr>
          <w:p w14:paraId="3D5C2AE7">
            <w:pPr>
              <w:pStyle w:val="12"/>
            </w:pPr>
            <w:r>
              <w:t>冀财教[2025]147号/省级/2026年义教补助经费/东良校区大干言小学公用经费</w:t>
            </w:r>
          </w:p>
        </w:tc>
      </w:tr>
      <w:tr w14:paraId="6E1A9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C7B76">
            <w:pPr>
              <w:pStyle w:val="10"/>
            </w:pPr>
            <w:r>
              <w:t>预算规模及资金用途</w:t>
            </w:r>
          </w:p>
        </w:tc>
        <w:tc>
          <w:tcPr>
            <w:tcW w:w="2268" w:type="dxa"/>
            <w:vAlign w:val="center"/>
          </w:tcPr>
          <w:p w14:paraId="546E97D0">
            <w:pPr>
              <w:pStyle w:val="10"/>
            </w:pPr>
            <w:r>
              <w:t>预算数</w:t>
            </w:r>
          </w:p>
        </w:tc>
        <w:tc>
          <w:tcPr>
            <w:tcW w:w="2835" w:type="dxa"/>
            <w:vAlign w:val="center"/>
          </w:tcPr>
          <w:p w14:paraId="722046EF">
            <w:pPr>
              <w:pStyle w:val="12"/>
            </w:pPr>
            <w:r>
              <w:t>24.38</w:t>
            </w:r>
          </w:p>
        </w:tc>
        <w:tc>
          <w:tcPr>
            <w:tcW w:w="2835" w:type="dxa"/>
            <w:vAlign w:val="center"/>
          </w:tcPr>
          <w:p w14:paraId="28C5A8DB">
            <w:pPr>
              <w:pStyle w:val="10"/>
            </w:pPr>
            <w:r>
              <w:t>其中：财政    资金</w:t>
            </w:r>
          </w:p>
        </w:tc>
        <w:tc>
          <w:tcPr>
            <w:tcW w:w="2551" w:type="dxa"/>
            <w:vAlign w:val="center"/>
          </w:tcPr>
          <w:p w14:paraId="0792EF58">
            <w:pPr>
              <w:pStyle w:val="12"/>
            </w:pPr>
            <w:r>
              <w:t>24.38</w:t>
            </w:r>
          </w:p>
        </w:tc>
        <w:tc>
          <w:tcPr>
            <w:tcW w:w="2268" w:type="dxa"/>
            <w:vAlign w:val="center"/>
          </w:tcPr>
          <w:p w14:paraId="34617B9C">
            <w:pPr>
              <w:pStyle w:val="10"/>
            </w:pPr>
            <w:r>
              <w:t>其他资金</w:t>
            </w:r>
          </w:p>
        </w:tc>
        <w:tc>
          <w:tcPr>
            <w:tcW w:w="1276" w:type="dxa"/>
            <w:vAlign w:val="center"/>
          </w:tcPr>
          <w:p w14:paraId="1A390396">
            <w:pPr>
              <w:pStyle w:val="12"/>
            </w:pPr>
            <w:r>
              <w:t xml:space="preserve"> </w:t>
            </w:r>
          </w:p>
        </w:tc>
      </w:tr>
      <w:tr w14:paraId="4CD50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9C128"/>
        </w:tc>
        <w:tc>
          <w:tcPr>
            <w:tcW w:w="14033" w:type="dxa"/>
            <w:gridSpan w:val="6"/>
            <w:vAlign w:val="center"/>
          </w:tcPr>
          <w:p w14:paraId="36F8720B">
            <w:pPr>
              <w:pStyle w:val="12"/>
            </w:pPr>
            <w:r>
              <w:t>保障义务教育学校正常运转，完成教育教学活动和其他日常工作任务等方面的费用支出。</w:t>
            </w:r>
          </w:p>
        </w:tc>
      </w:tr>
      <w:tr w14:paraId="21B9A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02629">
            <w:pPr>
              <w:pStyle w:val="10"/>
            </w:pPr>
            <w:r>
              <w:t>资金支出计划（%）</w:t>
            </w:r>
          </w:p>
        </w:tc>
        <w:tc>
          <w:tcPr>
            <w:tcW w:w="5103" w:type="dxa"/>
            <w:gridSpan w:val="2"/>
            <w:vAlign w:val="center"/>
          </w:tcPr>
          <w:p w14:paraId="58FF36E9">
            <w:pPr>
              <w:pStyle w:val="10"/>
            </w:pPr>
            <w:r>
              <w:t>3月底</w:t>
            </w:r>
          </w:p>
        </w:tc>
        <w:tc>
          <w:tcPr>
            <w:tcW w:w="2835" w:type="dxa"/>
            <w:vAlign w:val="center"/>
          </w:tcPr>
          <w:p w14:paraId="52793FDE">
            <w:pPr>
              <w:pStyle w:val="10"/>
            </w:pPr>
            <w:r>
              <w:t>6月底</w:t>
            </w:r>
          </w:p>
        </w:tc>
        <w:tc>
          <w:tcPr>
            <w:tcW w:w="2551" w:type="dxa"/>
            <w:vAlign w:val="center"/>
          </w:tcPr>
          <w:p w14:paraId="29737223">
            <w:pPr>
              <w:pStyle w:val="10"/>
            </w:pPr>
            <w:r>
              <w:t>10月底</w:t>
            </w:r>
          </w:p>
        </w:tc>
        <w:tc>
          <w:tcPr>
            <w:tcW w:w="3544" w:type="dxa"/>
            <w:gridSpan w:val="2"/>
            <w:vAlign w:val="center"/>
          </w:tcPr>
          <w:p w14:paraId="4955C3BE">
            <w:pPr>
              <w:pStyle w:val="10"/>
            </w:pPr>
            <w:r>
              <w:t>12月底</w:t>
            </w:r>
          </w:p>
        </w:tc>
      </w:tr>
      <w:tr w14:paraId="2858D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149B1"/>
        </w:tc>
        <w:tc>
          <w:tcPr>
            <w:tcW w:w="5103" w:type="dxa"/>
            <w:gridSpan w:val="2"/>
            <w:vAlign w:val="center"/>
          </w:tcPr>
          <w:p w14:paraId="503B0CEA">
            <w:pPr>
              <w:pStyle w:val="13"/>
            </w:pPr>
            <w:r>
              <w:t>25%</w:t>
            </w:r>
          </w:p>
        </w:tc>
        <w:tc>
          <w:tcPr>
            <w:tcW w:w="2835" w:type="dxa"/>
            <w:vAlign w:val="center"/>
          </w:tcPr>
          <w:p w14:paraId="009656B3">
            <w:pPr>
              <w:pStyle w:val="13"/>
            </w:pPr>
            <w:r>
              <w:t>50%</w:t>
            </w:r>
          </w:p>
        </w:tc>
        <w:tc>
          <w:tcPr>
            <w:tcW w:w="2551" w:type="dxa"/>
            <w:vAlign w:val="center"/>
          </w:tcPr>
          <w:p w14:paraId="276490DF">
            <w:pPr>
              <w:pStyle w:val="13"/>
            </w:pPr>
            <w:r>
              <w:t>75%</w:t>
            </w:r>
          </w:p>
        </w:tc>
        <w:tc>
          <w:tcPr>
            <w:tcW w:w="3544" w:type="dxa"/>
            <w:gridSpan w:val="2"/>
            <w:vAlign w:val="center"/>
          </w:tcPr>
          <w:p w14:paraId="7D32D482">
            <w:pPr>
              <w:pStyle w:val="13"/>
            </w:pPr>
            <w:r>
              <w:t>100%</w:t>
            </w:r>
          </w:p>
        </w:tc>
      </w:tr>
      <w:tr w14:paraId="3AB2A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9A3AA">
            <w:pPr>
              <w:pStyle w:val="10"/>
            </w:pPr>
            <w:r>
              <w:t>绩效目标</w:t>
            </w:r>
          </w:p>
        </w:tc>
        <w:tc>
          <w:tcPr>
            <w:tcW w:w="14033" w:type="dxa"/>
            <w:gridSpan w:val="6"/>
            <w:vAlign w:val="center"/>
          </w:tcPr>
          <w:p w14:paraId="6FACB78F">
            <w:pPr>
              <w:pStyle w:val="12"/>
            </w:pPr>
            <w:r>
              <w:t>1.保障义务教育学校正常运转，完成教育教学活动和其他日常工作任务等方面的费用支出。</w:t>
            </w:r>
          </w:p>
          <w:p w14:paraId="718BB625">
            <w:pPr>
              <w:pStyle w:val="12"/>
            </w:pPr>
            <w:r>
              <w:t>2.按季度分批次拨付公用经费资金243800元，资金拨付率达到100%。</w:t>
            </w:r>
          </w:p>
        </w:tc>
      </w:tr>
    </w:tbl>
    <w:p w14:paraId="4BBDF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1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67BE2">
            <w:pPr>
              <w:pStyle w:val="10"/>
            </w:pPr>
            <w:r>
              <w:t>一级指标</w:t>
            </w:r>
          </w:p>
        </w:tc>
        <w:tc>
          <w:tcPr>
            <w:tcW w:w="2268" w:type="dxa"/>
            <w:vAlign w:val="center"/>
          </w:tcPr>
          <w:p w14:paraId="6FC9FB71">
            <w:pPr>
              <w:pStyle w:val="10"/>
            </w:pPr>
            <w:r>
              <w:t>二级指标</w:t>
            </w:r>
          </w:p>
        </w:tc>
        <w:tc>
          <w:tcPr>
            <w:tcW w:w="2835" w:type="dxa"/>
            <w:vAlign w:val="center"/>
          </w:tcPr>
          <w:p w14:paraId="0E12214D">
            <w:pPr>
              <w:pStyle w:val="10"/>
            </w:pPr>
            <w:r>
              <w:t>三级指标</w:t>
            </w:r>
          </w:p>
        </w:tc>
        <w:tc>
          <w:tcPr>
            <w:tcW w:w="5386" w:type="dxa"/>
            <w:vAlign w:val="center"/>
          </w:tcPr>
          <w:p w14:paraId="4E9BE40F">
            <w:pPr>
              <w:pStyle w:val="10"/>
            </w:pPr>
            <w:r>
              <w:t>绩效指标描述</w:t>
            </w:r>
          </w:p>
        </w:tc>
        <w:tc>
          <w:tcPr>
            <w:tcW w:w="2268" w:type="dxa"/>
            <w:vAlign w:val="center"/>
          </w:tcPr>
          <w:p w14:paraId="4A3F4695">
            <w:pPr>
              <w:pStyle w:val="10"/>
            </w:pPr>
            <w:r>
              <w:t>指标值</w:t>
            </w:r>
          </w:p>
        </w:tc>
        <w:tc>
          <w:tcPr>
            <w:tcW w:w="1276" w:type="dxa"/>
            <w:vAlign w:val="center"/>
          </w:tcPr>
          <w:p w14:paraId="3626013A">
            <w:pPr>
              <w:pStyle w:val="10"/>
            </w:pPr>
            <w:r>
              <w:t>指标值确定依据</w:t>
            </w:r>
          </w:p>
        </w:tc>
      </w:tr>
      <w:tr w14:paraId="2167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2B0AB">
            <w:pPr>
              <w:pStyle w:val="13"/>
            </w:pPr>
            <w:r>
              <w:t>产出指标</w:t>
            </w:r>
          </w:p>
        </w:tc>
        <w:tc>
          <w:tcPr>
            <w:tcW w:w="2268" w:type="dxa"/>
            <w:vAlign w:val="center"/>
          </w:tcPr>
          <w:p w14:paraId="1D4DA425">
            <w:pPr>
              <w:pStyle w:val="12"/>
            </w:pPr>
            <w:r>
              <w:t>数量指标</w:t>
            </w:r>
          </w:p>
        </w:tc>
        <w:tc>
          <w:tcPr>
            <w:tcW w:w="2835" w:type="dxa"/>
            <w:vAlign w:val="center"/>
          </w:tcPr>
          <w:p w14:paraId="536D87D8">
            <w:pPr>
              <w:pStyle w:val="12"/>
            </w:pPr>
            <w:r>
              <w:t>适龄在校生</w:t>
            </w:r>
          </w:p>
        </w:tc>
        <w:tc>
          <w:tcPr>
            <w:tcW w:w="5386" w:type="dxa"/>
            <w:vAlign w:val="center"/>
          </w:tcPr>
          <w:p w14:paraId="05E17087">
            <w:pPr>
              <w:pStyle w:val="12"/>
            </w:pPr>
            <w:r>
              <w:t>适龄在校就读学生人数</w:t>
            </w:r>
          </w:p>
        </w:tc>
        <w:tc>
          <w:tcPr>
            <w:tcW w:w="2268" w:type="dxa"/>
            <w:vAlign w:val="center"/>
          </w:tcPr>
          <w:p w14:paraId="015AEC0C">
            <w:pPr>
              <w:pStyle w:val="12"/>
            </w:pPr>
            <w:r>
              <w:t>836人</w:t>
            </w:r>
          </w:p>
        </w:tc>
        <w:tc>
          <w:tcPr>
            <w:tcW w:w="1276" w:type="dxa"/>
            <w:vAlign w:val="center"/>
          </w:tcPr>
          <w:p w14:paraId="0B055589">
            <w:pPr>
              <w:pStyle w:val="12"/>
            </w:pPr>
            <w:r>
              <w:t>城乡义务教育公用经费管理办法</w:t>
            </w:r>
          </w:p>
        </w:tc>
      </w:tr>
      <w:tr w14:paraId="6C2D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9B354"/>
        </w:tc>
        <w:tc>
          <w:tcPr>
            <w:tcW w:w="2268" w:type="dxa"/>
            <w:vAlign w:val="center"/>
          </w:tcPr>
          <w:p w14:paraId="7B2B5148">
            <w:pPr>
              <w:pStyle w:val="12"/>
            </w:pPr>
            <w:r>
              <w:t>质量指标</w:t>
            </w:r>
          </w:p>
        </w:tc>
        <w:tc>
          <w:tcPr>
            <w:tcW w:w="2835" w:type="dxa"/>
            <w:vAlign w:val="center"/>
          </w:tcPr>
          <w:p w14:paraId="5564AF64">
            <w:pPr>
              <w:pStyle w:val="12"/>
            </w:pPr>
            <w:r>
              <w:t>公用经费拨付完成率</w:t>
            </w:r>
          </w:p>
        </w:tc>
        <w:tc>
          <w:tcPr>
            <w:tcW w:w="5386" w:type="dxa"/>
            <w:vAlign w:val="center"/>
          </w:tcPr>
          <w:p w14:paraId="2F1C13DE">
            <w:pPr>
              <w:pStyle w:val="12"/>
            </w:pPr>
            <w:r>
              <w:t>公用经费拨付完成率达到需时进度</w:t>
            </w:r>
          </w:p>
        </w:tc>
        <w:tc>
          <w:tcPr>
            <w:tcW w:w="2268" w:type="dxa"/>
            <w:vAlign w:val="center"/>
          </w:tcPr>
          <w:p w14:paraId="0DDDDFD7">
            <w:pPr>
              <w:pStyle w:val="12"/>
            </w:pPr>
            <w:r>
              <w:t>100%</w:t>
            </w:r>
          </w:p>
        </w:tc>
        <w:tc>
          <w:tcPr>
            <w:tcW w:w="1276" w:type="dxa"/>
            <w:vAlign w:val="center"/>
          </w:tcPr>
          <w:p w14:paraId="7E666EA2">
            <w:pPr>
              <w:pStyle w:val="12"/>
            </w:pPr>
            <w:r>
              <w:t>城乡义务教育公用经费管理办法</w:t>
            </w:r>
          </w:p>
        </w:tc>
      </w:tr>
      <w:tr w14:paraId="03B87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A776F"/>
        </w:tc>
        <w:tc>
          <w:tcPr>
            <w:tcW w:w="2268" w:type="dxa"/>
            <w:vAlign w:val="center"/>
          </w:tcPr>
          <w:p w14:paraId="01C53C4F">
            <w:pPr>
              <w:pStyle w:val="12"/>
            </w:pPr>
            <w:r>
              <w:t>时效指标</w:t>
            </w:r>
          </w:p>
        </w:tc>
        <w:tc>
          <w:tcPr>
            <w:tcW w:w="2835" w:type="dxa"/>
            <w:vAlign w:val="center"/>
          </w:tcPr>
          <w:p w14:paraId="3B2F6BB4">
            <w:pPr>
              <w:pStyle w:val="12"/>
            </w:pPr>
            <w:r>
              <w:t>资金支付率</w:t>
            </w:r>
          </w:p>
        </w:tc>
        <w:tc>
          <w:tcPr>
            <w:tcW w:w="5386" w:type="dxa"/>
            <w:vAlign w:val="center"/>
          </w:tcPr>
          <w:p w14:paraId="2C779611">
            <w:pPr>
              <w:pStyle w:val="12"/>
            </w:pPr>
            <w:r>
              <w:t>按照序时进度完成资金支付</w:t>
            </w:r>
          </w:p>
        </w:tc>
        <w:tc>
          <w:tcPr>
            <w:tcW w:w="2268" w:type="dxa"/>
            <w:vAlign w:val="center"/>
          </w:tcPr>
          <w:p w14:paraId="084F1AEE">
            <w:pPr>
              <w:pStyle w:val="12"/>
            </w:pPr>
            <w:r>
              <w:t>100%</w:t>
            </w:r>
          </w:p>
        </w:tc>
        <w:tc>
          <w:tcPr>
            <w:tcW w:w="1276" w:type="dxa"/>
            <w:vAlign w:val="center"/>
          </w:tcPr>
          <w:p w14:paraId="2A6BD9B0">
            <w:pPr>
              <w:pStyle w:val="12"/>
            </w:pPr>
            <w:r>
              <w:t>城乡义务教育公用经费管理办法</w:t>
            </w:r>
          </w:p>
        </w:tc>
      </w:tr>
      <w:tr w14:paraId="3156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52CC3"/>
        </w:tc>
        <w:tc>
          <w:tcPr>
            <w:tcW w:w="2268" w:type="dxa"/>
            <w:vAlign w:val="center"/>
          </w:tcPr>
          <w:p w14:paraId="34C0EC3B">
            <w:pPr>
              <w:pStyle w:val="12"/>
            </w:pPr>
            <w:r>
              <w:t>成本指标</w:t>
            </w:r>
          </w:p>
        </w:tc>
        <w:tc>
          <w:tcPr>
            <w:tcW w:w="2835" w:type="dxa"/>
            <w:vAlign w:val="center"/>
          </w:tcPr>
          <w:p w14:paraId="002192BC">
            <w:pPr>
              <w:pStyle w:val="12"/>
            </w:pPr>
            <w:r>
              <w:t>生均拨款标准</w:t>
            </w:r>
          </w:p>
        </w:tc>
        <w:tc>
          <w:tcPr>
            <w:tcW w:w="5386" w:type="dxa"/>
            <w:vAlign w:val="center"/>
          </w:tcPr>
          <w:p w14:paraId="3C0DC24E">
            <w:pPr>
              <w:pStyle w:val="12"/>
            </w:pPr>
            <w:r>
              <w:t>小学：（基本标准720元、寄宿生300元、取暖费120元）/生/学年；特教、随班就读学生：标准7000元/生/学年。</w:t>
            </w:r>
          </w:p>
        </w:tc>
        <w:tc>
          <w:tcPr>
            <w:tcW w:w="2268" w:type="dxa"/>
            <w:vAlign w:val="center"/>
          </w:tcPr>
          <w:p w14:paraId="7F08457F">
            <w:pPr>
              <w:pStyle w:val="12"/>
            </w:pPr>
            <w:r>
              <w:t>840元</w:t>
            </w:r>
          </w:p>
        </w:tc>
        <w:tc>
          <w:tcPr>
            <w:tcW w:w="1276" w:type="dxa"/>
            <w:vAlign w:val="center"/>
          </w:tcPr>
          <w:p w14:paraId="2DEC6F5D">
            <w:pPr>
              <w:pStyle w:val="12"/>
            </w:pPr>
            <w:r>
              <w:t>城乡义务教育公用经费管理办法</w:t>
            </w:r>
          </w:p>
        </w:tc>
      </w:tr>
      <w:tr w14:paraId="1C93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766BA">
            <w:pPr>
              <w:pStyle w:val="13"/>
            </w:pPr>
            <w:r>
              <w:t>效益指标</w:t>
            </w:r>
          </w:p>
        </w:tc>
        <w:tc>
          <w:tcPr>
            <w:tcW w:w="2268" w:type="dxa"/>
            <w:vAlign w:val="center"/>
          </w:tcPr>
          <w:p w14:paraId="6ABAD905">
            <w:pPr>
              <w:pStyle w:val="12"/>
            </w:pPr>
            <w:r>
              <w:t>经济效益指标</w:t>
            </w:r>
          </w:p>
        </w:tc>
        <w:tc>
          <w:tcPr>
            <w:tcW w:w="2835" w:type="dxa"/>
            <w:vAlign w:val="center"/>
          </w:tcPr>
          <w:p w14:paraId="7E74D03F">
            <w:pPr>
              <w:pStyle w:val="12"/>
            </w:pPr>
            <w:r>
              <w:t>项目实施成果</w:t>
            </w:r>
          </w:p>
        </w:tc>
        <w:tc>
          <w:tcPr>
            <w:tcW w:w="5386" w:type="dxa"/>
            <w:vAlign w:val="center"/>
          </w:tcPr>
          <w:p w14:paraId="3F8489E1">
            <w:pPr>
              <w:pStyle w:val="12"/>
            </w:pPr>
            <w:r>
              <w:t>减轻受教育学生家庭经济负担</w:t>
            </w:r>
          </w:p>
        </w:tc>
        <w:tc>
          <w:tcPr>
            <w:tcW w:w="2268" w:type="dxa"/>
            <w:vAlign w:val="center"/>
          </w:tcPr>
          <w:p w14:paraId="7F8751EF">
            <w:pPr>
              <w:pStyle w:val="12"/>
            </w:pPr>
            <w:r>
              <w:t>100%</w:t>
            </w:r>
          </w:p>
        </w:tc>
        <w:tc>
          <w:tcPr>
            <w:tcW w:w="1276" w:type="dxa"/>
            <w:vAlign w:val="center"/>
          </w:tcPr>
          <w:p w14:paraId="0701BB31">
            <w:pPr>
              <w:pStyle w:val="12"/>
            </w:pPr>
            <w:r>
              <w:t>城乡义务教育公用经费管理办法</w:t>
            </w:r>
          </w:p>
        </w:tc>
      </w:tr>
      <w:tr w14:paraId="03D8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5079C"/>
        </w:tc>
        <w:tc>
          <w:tcPr>
            <w:tcW w:w="2268" w:type="dxa"/>
            <w:vAlign w:val="center"/>
          </w:tcPr>
          <w:p w14:paraId="02102C7D">
            <w:pPr>
              <w:pStyle w:val="12"/>
            </w:pPr>
            <w:r>
              <w:t>社会效益指标</w:t>
            </w:r>
          </w:p>
        </w:tc>
        <w:tc>
          <w:tcPr>
            <w:tcW w:w="2835" w:type="dxa"/>
            <w:vAlign w:val="center"/>
          </w:tcPr>
          <w:p w14:paraId="313C0769">
            <w:pPr>
              <w:pStyle w:val="12"/>
            </w:pPr>
            <w:r>
              <w:t>学校办学能力提升</w:t>
            </w:r>
          </w:p>
        </w:tc>
        <w:tc>
          <w:tcPr>
            <w:tcW w:w="5386" w:type="dxa"/>
            <w:vAlign w:val="center"/>
          </w:tcPr>
          <w:p w14:paraId="79B56764">
            <w:pPr>
              <w:pStyle w:val="12"/>
            </w:pPr>
            <w:r>
              <w:t>学校办学能</w:t>
            </w:r>
            <w:r>
              <w:rPr>
                <w:rFonts w:hint="eastAsia"/>
                <w:lang w:eastAsia="zh-CN"/>
              </w:rPr>
              <w:t>力提</w:t>
            </w:r>
            <w:r>
              <w:t>升情况及教育教学工作等开展的情况</w:t>
            </w:r>
          </w:p>
        </w:tc>
        <w:tc>
          <w:tcPr>
            <w:tcW w:w="2268" w:type="dxa"/>
            <w:vAlign w:val="center"/>
          </w:tcPr>
          <w:p w14:paraId="12A450C6">
            <w:pPr>
              <w:pStyle w:val="12"/>
            </w:pPr>
            <w:r>
              <w:t>100%</w:t>
            </w:r>
          </w:p>
        </w:tc>
        <w:tc>
          <w:tcPr>
            <w:tcW w:w="1276" w:type="dxa"/>
            <w:vAlign w:val="center"/>
          </w:tcPr>
          <w:p w14:paraId="77B1F2BA">
            <w:pPr>
              <w:pStyle w:val="12"/>
            </w:pPr>
            <w:r>
              <w:t>城乡义务教育公用经费管理办法</w:t>
            </w:r>
          </w:p>
        </w:tc>
      </w:tr>
      <w:tr w14:paraId="34C3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3816A"/>
        </w:tc>
        <w:tc>
          <w:tcPr>
            <w:tcW w:w="2268" w:type="dxa"/>
            <w:vAlign w:val="center"/>
          </w:tcPr>
          <w:p w14:paraId="450A0163">
            <w:pPr>
              <w:pStyle w:val="12"/>
            </w:pPr>
            <w:r>
              <w:t>可持续影响指标</w:t>
            </w:r>
          </w:p>
        </w:tc>
        <w:tc>
          <w:tcPr>
            <w:tcW w:w="2835" w:type="dxa"/>
            <w:vAlign w:val="center"/>
          </w:tcPr>
          <w:p w14:paraId="5509C9E9">
            <w:pPr>
              <w:pStyle w:val="12"/>
            </w:pPr>
            <w:r>
              <w:t>教育发展水平</w:t>
            </w:r>
          </w:p>
        </w:tc>
        <w:tc>
          <w:tcPr>
            <w:tcW w:w="5386" w:type="dxa"/>
            <w:vAlign w:val="center"/>
          </w:tcPr>
          <w:p w14:paraId="5C6A38CF">
            <w:pPr>
              <w:pStyle w:val="12"/>
            </w:pPr>
            <w:r>
              <w:t>辖区内教育环境明显好转</w:t>
            </w:r>
          </w:p>
        </w:tc>
        <w:tc>
          <w:tcPr>
            <w:tcW w:w="2268" w:type="dxa"/>
            <w:vAlign w:val="center"/>
          </w:tcPr>
          <w:p w14:paraId="451D5E2F">
            <w:pPr>
              <w:pStyle w:val="12"/>
            </w:pPr>
            <w:r>
              <w:t>100%</w:t>
            </w:r>
          </w:p>
        </w:tc>
        <w:tc>
          <w:tcPr>
            <w:tcW w:w="1276" w:type="dxa"/>
            <w:vAlign w:val="center"/>
          </w:tcPr>
          <w:p w14:paraId="3B668384">
            <w:pPr>
              <w:pStyle w:val="12"/>
            </w:pPr>
            <w:r>
              <w:t>城乡义务教育公用经费管理办法</w:t>
            </w:r>
          </w:p>
        </w:tc>
      </w:tr>
      <w:tr w14:paraId="1723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AD0E5">
            <w:pPr>
              <w:pStyle w:val="13"/>
            </w:pPr>
            <w:r>
              <w:t>满意度指标</w:t>
            </w:r>
          </w:p>
        </w:tc>
        <w:tc>
          <w:tcPr>
            <w:tcW w:w="2268" w:type="dxa"/>
            <w:vAlign w:val="center"/>
          </w:tcPr>
          <w:p w14:paraId="1B7DE90D">
            <w:pPr>
              <w:pStyle w:val="12"/>
            </w:pPr>
            <w:r>
              <w:t>服务对象满意度指标</w:t>
            </w:r>
          </w:p>
        </w:tc>
        <w:tc>
          <w:tcPr>
            <w:tcW w:w="2835" w:type="dxa"/>
            <w:vAlign w:val="center"/>
          </w:tcPr>
          <w:p w14:paraId="134DB34F">
            <w:pPr>
              <w:pStyle w:val="12"/>
            </w:pPr>
            <w:r>
              <w:t>受益学生家长及调查满意度</w:t>
            </w:r>
          </w:p>
        </w:tc>
        <w:tc>
          <w:tcPr>
            <w:tcW w:w="5386" w:type="dxa"/>
            <w:vAlign w:val="center"/>
          </w:tcPr>
          <w:p w14:paraId="57FC6146">
            <w:pPr>
              <w:pStyle w:val="12"/>
            </w:pPr>
            <w:r>
              <w:t>学生、教师及家长对学校保教保育工作满意度情况</w:t>
            </w:r>
          </w:p>
        </w:tc>
        <w:tc>
          <w:tcPr>
            <w:tcW w:w="2268" w:type="dxa"/>
            <w:vAlign w:val="center"/>
          </w:tcPr>
          <w:p w14:paraId="1BCDD6FF">
            <w:pPr>
              <w:pStyle w:val="12"/>
            </w:pPr>
            <w:r>
              <w:t>≥95%</w:t>
            </w:r>
          </w:p>
        </w:tc>
        <w:tc>
          <w:tcPr>
            <w:tcW w:w="1276" w:type="dxa"/>
            <w:vAlign w:val="center"/>
          </w:tcPr>
          <w:p w14:paraId="4B2D360C">
            <w:pPr>
              <w:pStyle w:val="12"/>
            </w:pPr>
            <w:r>
              <w:t>城乡义务教育公用经费管理办法</w:t>
            </w:r>
          </w:p>
        </w:tc>
      </w:tr>
    </w:tbl>
    <w:p w14:paraId="0A455043">
      <w:pPr>
        <w:sectPr>
          <w:pgSz w:w="16840" w:h="11900" w:orient="landscape"/>
          <w:pgMar w:top="1361" w:right="1020" w:bottom="1134" w:left="1020" w:header="720" w:footer="720" w:gutter="0"/>
          <w:cols w:space="720" w:num="1"/>
        </w:sectPr>
      </w:pPr>
    </w:p>
    <w:p w14:paraId="7FDC614E">
      <w:pPr>
        <w:spacing w:before="0" w:after="0"/>
        <w:ind w:firstLine="560"/>
        <w:jc w:val="left"/>
        <w:outlineLvl w:val="9"/>
      </w:pPr>
      <w:r>
        <w:rPr>
          <w:rFonts w:ascii="方正仿宋_GBK" w:hAnsi="方正仿宋_GBK" w:eastAsia="方正仿宋_GBK" w:cs="方正仿宋_GBK"/>
          <w:b/>
          <w:color w:val="000000"/>
          <w:sz w:val="28"/>
        </w:rPr>
        <w:t>18、冀财教[2025]147号/省级/2026年义教补助经费/东良校区大市口小学公用经费绩效目标表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80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4795F">
            <w:pPr>
              <w:pStyle w:val="11"/>
            </w:pPr>
            <w:r>
              <w:t>单位：万元</w:t>
            </w:r>
          </w:p>
        </w:tc>
      </w:tr>
      <w:tr w14:paraId="65A77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29C44">
            <w:pPr>
              <w:pStyle w:val="10"/>
            </w:pPr>
            <w:r>
              <w:t>项目编码</w:t>
            </w:r>
          </w:p>
        </w:tc>
        <w:tc>
          <w:tcPr>
            <w:tcW w:w="5103" w:type="dxa"/>
            <w:gridSpan w:val="2"/>
            <w:vAlign w:val="center"/>
          </w:tcPr>
          <w:p w14:paraId="043355B1">
            <w:pPr>
              <w:pStyle w:val="12"/>
            </w:pPr>
            <w:r>
              <w:t>13052526P00000410360H</w:t>
            </w:r>
          </w:p>
        </w:tc>
        <w:tc>
          <w:tcPr>
            <w:tcW w:w="2835" w:type="dxa"/>
            <w:vAlign w:val="center"/>
          </w:tcPr>
          <w:p w14:paraId="2589C229">
            <w:pPr>
              <w:pStyle w:val="10"/>
            </w:pPr>
            <w:r>
              <w:t>项目名称</w:t>
            </w:r>
          </w:p>
        </w:tc>
        <w:tc>
          <w:tcPr>
            <w:tcW w:w="6095" w:type="dxa"/>
            <w:gridSpan w:val="3"/>
            <w:vAlign w:val="center"/>
          </w:tcPr>
          <w:p w14:paraId="75B45411">
            <w:pPr>
              <w:pStyle w:val="12"/>
            </w:pPr>
            <w:r>
              <w:t>冀财教[2025]147号/省级/2026年义教补助经费/东良校区大市口小学公用经费</w:t>
            </w:r>
          </w:p>
        </w:tc>
      </w:tr>
      <w:tr w14:paraId="78718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F7005">
            <w:pPr>
              <w:pStyle w:val="10"/>
            </w:pPr>
            <w:r>
              <w:t>预算规模及资金用途</w:t>
            </w:r>
          </w:p>
        </w:tc>
        <w:tc>
          <w:tcPr>
            <w:tcW w:w="2268" w:type="dxa"/>
            <w:vAlign w:val="center"/>
          </w:tcPr>
          <w:p w14:paraId="66B00AE7">
            <w:pPr>
              <w:pStyle w:val="10"/>
            </w:pPr>
            <w:r>
              <w:t>预算数</w:t>
            </w:r>
          </w:p>
        </w:tc>
        <w:tc>
          <w:tcPr>
            <w:tcW w:w="2835" w:type="dxa"/>
            <w:vAlign w:val="center"/>
          </w:tcPr>
          <w:p w14:paraId="15C6E674">
            <w:pPr>
              <w:pStyle w:val="12"/>
            </w:pPr>
            <w:r>
              <w:t>3.04</w:t>
            </w:r>
          </w:p>
        </w:tc>
        <w:tc>
          <w:tcPr>
            <w:tcW w:w="2835" w:type="dxa"/>
            <w:vAlign w:val="center"/>
          </w:tcPr>
          <w:p w14:paraId="63F4B51F">
            <w:pPr>
              <w:pStyle w:val="10"/>
            </w:pPr>
            <w:r>
              <w:t>其中：财政    资金</w:t>
            </w:r>
          </w:p>
        </w:tc>
        <w:tc>
          <w:tcPr>
            <w:tcW w:w="2551" w:type="dxa"/>
            <w:vAlign w:val="center"/>
          </w:tcPr>
          <w:p w14:paraId="1087AB07">
            <w:pPr>
              <w:pStyle w:val="12"/>
            </w:pPr>
            <w:r>
              <w:t>3.04</w:t>
            </w:r>
          </w:p>
        </w:tc>
        <w:tc>
          <w:tcPr>
            <w:tcW w:w="2268" w:type="dxa"/>
            <w:vAlign w:val="center"/>
          </w:tcPr>
          <w:p w14:paraId="74B26CB0">
            <w:pPr>
              <w:pStyle w:val="10"/>
            </w:pPr>
            <w:r>
              <w:t>其他资金</w:t>
            </w:r>
          </w:p>
        </w:tc>
        <w:tc>
          <w:tcPr>
            <w:tcW w:w="1276" w:type="dxa"/>
            <w:vAlign w:val="center"/>
          </w:tcPr>
          <w:p w14:paraId="5A04BAC7">
            <w:pPr>
              <w:pStyle w:val="12"/>
            </w:pPr>
            <w:r>
              <w:t xml:space="preserve"> </w:t>
            </w:r>
          </w:p>
        </w:tc>
      </w:tr>
      <w:tr w14:paraId="0CA56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E62D4"/>
        </w:tc>
        <w:tc>
          <w:tcPr>
            <w:tcW w:w="14033" w:type="dxa"/>
            <w:gridSpan w:val="6"/>
            <w:vAlign w:val="center"/>
          </w:tcPr>
          <w:p w14:paraId="513D0A29">
            <w:pPr>
              <w:pStyle w:val="12"/>
            </w:pPr>
            <w:r>
              <w:t>保障义务教育学校正常运转，完成教育教学活动和其他日常工作任务等方面的费用支出。</w:t>
            </w:r>
          </w:p>
        </w:tc>
      </w:tr>
      <w:tr w14:paraId="738ED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5BDAC">
            <w:pPr>
              <w:pStyle w:val="10"/>
            </w:pPr>
            <w:r>
              <w:t>资金支出计划（%）</w:t>
            </w:r>
          </w:p>
        </w:tc>
        <w:tc>
          <w:tcPr>
            <w:tcW w:w="5103" w:type="dxa"/>
            <w:gridSpan w:val="2"/>
            <w:vAlign w:val="center"/>
          </w:tcPr>
          <w:p w14:paraId="25E2C21A">
            <w:pPr>
              <w:pStyle w:val="10"/>
            </w:pPr>
            <w:r>
              <w:t>3月底</w:t>
            </w:r>
          </w:p>
        </w:tc>
        <w:tc>
          <w:tcPr>
            <w:tcW w:w="2835" w:type="dxa"/>
            <w:vAlign w:val="center"/>
          </w:tcPr>
          <w:p w14:paraId="1522342B">
            <w:pPr>
              <w:pStyle w:val="10"/>
            </w:pPr>
            <w:r>
              <w:t>6月底</w:t>
            </w:r>
          </w:p>
        </w:tc>
        <w:tc>
          <w:tcPr>
            <w:tcW w:w="2551" w:type="dxa"/>
            <w:vAlign w:val="center"/>
          </w:tcPr>
          <w:p w14:paraId="489E3C7F">
            <w:pPr>
              <w:pStyle w:val="10"/>
            </w:pPr>
            <w:r>
              <w:t>10月底</w:t>
            </w:r>
          </w:p>
        </w:tc>
        <w:tc>
          <w:tcPr>
            <w:tcW w:w="3544" w:type="dxa"/>
            <w:gridSpan w:val="2"/>
            <w:vAlign w:val="center"/>
          </w:tcPr>
          <w:p w14:paraId="51D1C358">
            <w:pPr>
              <w:pStyle w:val="10"/>
            </w:pPr>
            <w:r>
              <w:t>12月底</w:t>
            </w:r>
          </w:p>
        </w:tc>
      </w:tr>
      <w:tr w14:paraId="55FD6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D2697"/>
        </w:tc>
        <w:tc>
          <w:tcPr>
            <w:tcW w:w="5103" w:type="dxa"/>
            <w:gridSpan w:val="2"/>
            <w:vAlign w:val="center"/>
          </w:tcPr>
          <w:p w14:paraId="348279D5">
            <w:pPr>
              <w:pStyle w:val="13"/>
            </w:pPr>
            <w:r>
              <w:t>25%</w:t>
            </w:r>
          </w:p>
        </w:tc>
        <w:tc>
          <w:tcPr>
            <w:tcW w:w="2835" w:type="dxa"/>
            <w:vAlign w:val="center"/>
          </w:tcPr>
          <w:p w14:paraId="6FB3588F">
            <w:pPr>
              <w:pStyle w:val="13"/>
            </w:pPr>
            <w:r>
              <w:t>50%</w:t>
            </w:r>
          </w:p>
        </w:tc>
        <w:tc>
          <w:tcPr>
            <w:tcW w:w="2551" w:type="dxa"/>
            <w:vAlign w:val="center"/>
          </w:tcPr>
          <w:p w14:paraId="3726D884">
            <w:pPr>
              <w:pStyle w:val="13"/>
            </w:pPr>
            <w:r>
              <w:t>75%</w:t>
            </w:r>
          </w:p>
        </w:tc>
        <w:tc>
          <w:tcPr>
            <w:tcW w:w="3544" w:type="dxa"/>
            <w:gridSpan w:val="2"/>
            <w:vAlign w:val="center"/>
          </w:tcPr>
          <w:p w14:paraId="0D3F9246">
            <w:pPr>
              <w:pStyle w:val="13"/>
            </w:pPr>
            <w:r>
              <w:t>100%</w:t>
            </w:r>
          </w:p>
        </w:tc>
      </w:tr>
      <w:tr w14:paraId="2AF11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A8C24">
            <w:pPr>
              <w:pStyle w:val="10"/>
            </w:pPr>
            <w:r>
              <w:t>绩效目标</w:t>
            </w:r>
          </w:p>
        </w:tc>
        <w:tc>
          <w:tcPr>
            <w:tcW w:w="14033" w:type="dxa"/>
            <w:gridSpan w:val="6"/>
            <w:vAlign w:val="center"/>
          </w:tcPr>
          <w:p w14:paraId="2B6BAAE4">
            <w:pPr>
              <w:pStyle w:val="12"/>
            </w:pPr>
            <w:r>
              <w:t>1.保障义务教育学校正常运转，完成教育教学活动和其他日常工作任务等方面的费用支出。</w:t>
            </w:r>
          </w:p>
          <w:p w14:paraId="2522651B">
            <w:pPr>
              <w:pStyle w:val="12"/>
            </w:pPr>
            <w:r>
              <w:t>2.按季度分批次拨付公用经费资金30400元，资金拨付率达到100%。</w:t>
            </w:r>
          </w:p>
        </w:tc>
      </w:tr>
    </w:tbl>
    <w:p w14:paraId="6D0A33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9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1FB55">
            <w:pPr>
              <w:pStyle w:val="10"/>
            </w:pPr>
            <w:r>
              <w:t>一级指标</w:t>
            </w:r>
          </w:p>
        </w:tc>
        <w:tc>
          <w:tcPr>
            <w:tcW w:w="2268" w:type="dxa"/>
            <w:vAlign w:val="center"/>
          </w:tcPr>
          <w:p w14:paraId="0920CF83">
            <w:pPr>
              <w:pStyle w:val="10"/>
            </w:pPr>
            <w:r>
              <w:t>二级指标</w:t>
            </w:r>
          </w:p>
        </w:tc>
        <w:tc>
          <w:tcPr>
            <w:tcW w:w="2835" w:type="dxa"/>
            <w:vAlign w:val="center"/>
          </w:tcPr>
          <w:p w14:paraId="65314CCB">
            <w:pPr>
              <w:pStyle w:val="10"/>
            </w:pPr>
            <w:r>
              <w:t>三级指标</w:t>
            </w:r>
          </w:p>
        </w:tc>
        <w:tc>
          <w:tcPr>
            <w:tcW w:w="5386" w:type="dxa"/>
            <w:vAlign w:val="center"/>
          </w:tcPr>
          <w:p w14:paraId="660A913B">
            <w:pPr>
              <w:pStyle w:val="10"/>
            </w:pPr>
            <w:r>
              <w:t>绩效指标描述</w:t>
            </w:r>
          </w:p>
        </w:tc>
        <w:tc>
          <w:tcPr>
            <w:tcW w:w="2268" w:type="dxa"/>
            <w:vAlign w:val="center"/>
          </w:tcPr>
          <w:p w14:paraId="0183A490">
            <w:pPr>
              <w:pStyle w:val="10"/>
            </w:pPr>
            <w:r>
              <w:t>指标值</w:t>
            </w:r>
          </w:p>
        </w:tc>
        <w:tc>
          <w:tcPr>
            <w:tcW w:w="1276" w:type="dxa"/>
            <w:vAlign w:val="center"/>
          </w:tcPr>
          <w:p w14:paraId="5887DAD4">
            <w:pPr>
              <w:pStyle w:val="10"/>
            </w:pPr>
            <w:r>
              <w:t>指标值确定依据</w:t>
            </w:r>
          </w:p>
        </w:tc>
      </w:tr>
      <w:tr w14:paraId="755F7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1D2C5">
            <w:pPr>
              <w:pStyle w:val="13"/>
            </w:pPr>
            <w:r>
              <w:t>产出指标</w:t>
            </w:r>
          </w:p>
        </w:tc>
        <w:tc>
          <w:tcPr>
            <w:tcW w:w="2268" w:type="dxa"/>
            <w:vAlign w:val="center"/>
          </w:tcPr>
          <w:p w14:paraId="621FA37C">
            <w:pPr>
              <w:pStyle w:val="12"/>
            </w:pPr>
            <w:r>
              <w:t>数量指标</w:t>
            </w:r>
          </w:p>
        </w:tc>
        <w:tc>
          <w:tcPr>
            <w:tcW w:w="2835" w:type="dxa"/>
            <w:vAlign w:val="center"/>
          </w:tcPr>
          <w:p w14:paraId="0270E5A5">
            <w:pPr>
              <w:pStyle w:val="12"/>
            </w:pPr>
            <w:r>
              <w:t>适龄在校生</w:t>
            </w:r>
          </w:p>
        </w:tc>
        <w:tc>
          <w:tcPr>
            <w:tcW w:w="5386" w:type="dxa"/>
            <w:vAlign w:val="center"/>
          </w:tcPr>
          <w:p w14:paraId="1BCA53ED">
            <w:pPr>
              <w:pStyle w:val="12"/>
            </w:pPr>
            <w:r>
              <w:t>适龄在校就读学生人数</w:t>
            </w:r>
          </w:p>
        </w:tc>
        <w:tc>
          <w:tcPr>
            <w:tcW w:w="2268" w:type="dxa"/>
            <w:vAlign w:val="center"/>
          </w:tcPr>
          <w:p w14:paraId="1F901388">
            <w:pPr>
              <w:pStyle w:val="12"/>
            </w:pPr>
            <w:r>
              <w:t>102人</w:t>
            </w:r>
          </w:p>
        </w:tc>
        <w:tc>
          <w:tcPr>
            <w:tcW w:w="1276" w:type="dxa"/>
            <w:vAlign w:val="center"/>
          </w:tcPr>
          <w:p w14:paraId="47D927AA">
            <w:pPr>
              <w:pStyle w:val="12"/>
            </w:pPr>
            <w:r>
              <w:t>城乡义务教育公用经费管理办法</w:t>
            </w:r>
          </w:p>
        </w:tc>
      </w:tr>
      <w:tr w14:paraId="7AA61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15A31"/>
        </w:tc>
        <w:tc>
          <w:tcPr>
            <w:tcW w:w="2268" w:type="dxa"/>
            <w:vAlign w:val="center"/>
          </w:tcPr>
          <w:p w14:paraId="26489DC3">
            <w:pPr>
              <w:pStyle w:val="12"/>
            </w:pPr>
            <w:r>
              <w:t>质量指标</w:t>
            </w:r>
          </w:p>
        </w:tc>
        <w:tc>
          <w:tcPr>
            <w:tcW w:w="2835" w:type="dxa"/>
            <w:vAlign w:val="center"/>
          </w:tcPr>
          <w:p w14:paraId="7AD987C7">
            <w:pPr>
              <w:pStyle w:val="12"/>
            </w:pPr>
            <w:r>
              <w:t>公用经费拨付完成率</w:t>
            </w:r>
          </w:p>
        </w:tc>
        <w:tc>
          <w:tcPr>
            <w:tcW w:w="5386" w:type="dxa"/>
            <w:vAlign w:val="center"/>
          </w:tcPr>
          <w:p w14:paraId="3825C00A">
            <w:pPr>
              <w:pStyle w:val="12"/>
            </w:pPr>
            <w:r>
              <w:t>公用经费拨付完成率达到需时进度</w:t>
            </w:r>
          </w:p>
        </w:tc>
        <w:tc>
          <w:tcPr>
            <w:tcW w:w="2268" w:type="dxa"/>
            <w:vAlign w:val="center"/>
          </w:tcPr>
          <w:p w14:paraId="7EF8A7BF">
            <w:pPr>
              <w:pStyle w:val="12"/>
            </w:pPr>
            <w:r>
              <w:t>100%</w:t>
            </w:r>
          </w:p>
        </w:tc>
        <w:tc>
          <w:tcPr>
            <w:tcW w:w="1276" w:type="dxa"/>
            <w:vAlign w:val="center"/>
          </w:tcPr>
          <w:p w14:paraId="7E800E64">
            <w:pPr>
              <w:pStyle w:val="12"/>
            </w:pPr>
            <w:r>
              <w:t>城乡义务教育公用经费管理办法</w:t>
            </w:r>
          </w:p>
        </w:tc>
      </w:tr>
      <w:tr w14:paraId="6295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CDCEF"/>
        </w:tc>
        <w:tc>
          <w:tcPr>
            <w:tcW w:w="2268" w:type="dxa"/>
            <w:vAlign w:val="center"/>
          </w:tcPr>
          <w:p w14:paraId="5078643D">
            <w:pPr>
              <w:pStyle w:val="12"/>
            </w:pPr>
            <w:r>
              <w:t>时效指标</w:t>
            </w:r>
          </w:p>
        </w:tc>
        <w:tc>
          <w:tcPr>
            <w:tcW w:w="2835" w:type="dxa"/>
            <w:vAlign w:val="center"/>
          </w:tcPr>
          <w:p w14:paraId="32DD419E">
            <w:pPr>
              <w:pStyle w:val="12"/>
            </w:pPr>
            <w:r>
              <w:t>资金支付率</w:t>
            </w:r>
          </w:p>
        </w:tc>
        <w:tc>
          <w:tcPr>
            <w:tcW w:w="5386" w:type="dxa"/>
            <w:vAlign w:val="center"/>
          </w:tcPr>
          <w:p w14:paraId="0B87DC9F">
            <w:pPr>
              <w:pStyle w:val="12"/>
            </w:pPr>
            <w:r>
              <w:t>按照序时进度完成资金支付</w:t>
            </w:r>
          </w:p>
        </w:tc>
        <w:tc>
          <w:tcPr>
            <w:tcW w:w="2268" w:type="dxa"/>
            <w:vAlign w:val="center"/>
          </w:tcPr>
          <w:p w14:paraId="02E837BA">
            <w:pPr>
              <w:pStyle w:val="12"/>
            </w:pPr>
            <w:r>
              <w:t>100%</w:t>
            </w:r>
          </w:p>
        </w:tc>
        <w:tc>
          <w:tcPr>
            <w:tcW w:w="1276" w:type="dxa"/>
            <w:vAlign w:val="center"/>
          </w:tcPr>
          <w:p w14:paraId="114998D7">
            <w:pPr>
              <w:pStyle w:val="12"/>
            </w:pPr>
            <w:r>
              <w:t>城乡义务教育公用经费管理办法</w:t>
            </w:r>
          </w:p>
        </w:tc>
      </w:tr>
      <w:tr w14:paraId="029B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EDDCC"/>
        </w:tc>
        <w:tc>
          <w:tcPr>
            <w:tcW w:w="2268" w:type="dxa"/>
            <w:vAlign w:val="center"/>
          </w:tcPr>
          <w:p w14:paraId="259D93DB">
            <w:pPr>
              <w:pStyle w:val="12"/>
            </w:pPr>
            <w:r>
              <w:t>成本指标</w:t>
            </w:r>
          </w:p>
        </w:tc>
        <w:tc>
          <w:tcPr>
            <w:tcW w:w="2835" w:type="dxa"/>
            <w:vAlign w:val="center"/>
          </w:tcPr>
          <w:p w14:paraId="78D5E634">
            <w:pPr>
              <w:pStyle w:val="12"/>
            </w:pPr>
            <w:r>
              <w:t>生均拨款标准</w:t>
            </w:r>
          </w:p>
        </w:tc>
        <w:tc>
          <w:tcPr>
            <w:tcW w:w="5386" w:type="dxa"/>
            <w:vAlign w:val="center"/>
          </w:tcPr>
          <w:p w14:paraId="32B7E38A">
            <w:pPr>
              <w:pStyle w:val="12"/>
            </w:pPr>
            <w:r>
              <w:t>小学：（基本标准720元、寄宿生300元、取暖费120元）/生/学年；特教、随班就读学生：标准7000元/生/学年。</w:t>
            </w:r>
          </w:p>
        </w:tc>
        <w:tc>
          <w:tcPr>
            <w:tcW w:w="2268" w:type="dxa"/>
            <w:vAlign w:val="center"/>
          </w:tcPr>
          <w:p w14:paraId="66940F10">
            <w:pPr>
              <w:pStyle w:val="12"/>
            </w:pPr>
            <w:r>
              <w:t>840元</w:t>
            </w:r>
          </w:p>
        </w:tc>
        <w:tc>
          <w:tcPr>
            <w:tcW w:w="1276" w:type="dxa"/>
            <w:vAlign w:val="center"/>
          </w:tcPr>
          <w:p w14:paraId="66E3A774">
            <w:pPr>
              <w:pStyle w:val="12"/>
            </w:pPr>
            <w:r>
              <w:t>城乡义务教育公用经费管理办法</w:t>
            </w:r>
          </w:p>
        </w:tc>
      </w:tr>
      <w:tr w14:paraId="46D7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F93E2">
            <w:pPr>
              <w:pStyle w:val="13"/>
            </w:pPr>
            <w:r>
              <w:t>效益指标</w:t>
            </w:r>
          </w:p>
        </w:tc>
        <w:tc>
          <w:tcPr>
            <w:tcW w:w="2268" w:type="dxa"/>
            <w:vAlign w:val="center"/>
          </w:tcPr>
          <w:p w14:paraId="7AD4037B">
            <w:pPr>
              <w:pStyle w:val="12"/>
            </w:pPr>
            <w:r>
              <w:t>经济效益指标</w:t>
            </w:r>
          </w:p>
        </w:tc>
        <w:tc>
          <w:tcPr>
            <w:tcW w:w="2835" w:type="dxa"/>
            <w:vAlign w:val="center"/>
          </w:tcPr>
          <w:p w14:paraId="0577B597">
            <w:pPr>
              <w:pStyle w:val="12"/>
            </w:pPr>
            <w:r>
              <w:t>项目实施成果</w:t>
            </w:r>
          </w:p>
        </w:tc>
        <w:tc>
          <w:tcPr>
            <w:tcW w:w="5386" w:type="dxa"/>
            <w:vAlign w:val="center"/>
          </w:tcPr>
          <w:p w14:paraId="052F2D59">
            <w:pPr>
              <w:pStyle w:val="12"/>
            </w:pPr>
            <w:r>
              <w:t>减轻受教育学生家庭经济负担</w:t>
            </w:r>
          </w:p>
        </w:tc>
        <w:tc>
          <w:tcPr>
            <w:tcW w:w="2268" w:type="dxa"/>
            <w:vAlign w:val="center"/>
          </w:tcPr>
          <w:p w14:paraId="77FABFA9">
            <w:pPr>
              <w:pStyle w:val="12"/>
            </w:pPr>
            <w:r>
              <w:t>100%</w:t>
            </w:r>
          </w:p>
        </w:tc>
        <w:tc>
          <w:tcPr>
            <w:tcW w:w="1276" w:type="dxa"/>
            <w:vAlign w:val="center"/>
          </w:tcPr>
          <w:p w14:paraId="103BD3DA">
            <w:pPr>
              <w:pStyle w:val="12"/>
            </w:pPr>
            <w:r>
              <w:t>城乡义务教育公用经费管理办法</w:t>
            </w:r>
          </w:p>
        </w:tc>
      </w:tr>
      <w:tr w14:paraId="5347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711D4"/>
        </w:tc>
        <w:tc>
          <w:tcPr>
            <w:tcW w:w="2268" w:type="dxa"/>
            <w:vAlign w:val="center"/>
          </w:tcPr>
          <w:p w14:paraId="1F610400">
            <w:pPr>
              <w:pStyle w:val="12"/>
            </w:pPr>
            <w:r>
              <w:t>社会效益指标</w:t>
            </w:r>
          </w:p>
        </w:tc>
        <w:tc>
          <w:tcPr>
            <w:tcW w:w="2835" w:type="dxa"/>
            <w:vAlign w:val="center"/>
          </w:tcPr>
          <w:p w14:paraId="503B53EA">
            <w:pPr>
              <w:pStyle w:val="12"/>
            </w:pPr>
            <w:r>
              <w:t>学校办学能力提升</w:t>
            </w:r>
          </w:p>
        </w:tc>
        <w:tc>
          <w:tcPr>
            <w:tcW w:w="5386" w:type="dxa"/>
            <w:vAlign w:val="center"/>
          </w:tcPr>
          <w:p w14:paraId="13125AFE">
            <w:pPr>
              <w:pStyle w:val="12"/>
            </w:pPr>
            <w:r>
              <w:t>学校办学能</w:t>
            </w:r>
            <w:r>
              <w:rPr>
                <w:rFonts w:hint="eastAsia"/>
                <w:lang w:eastAsia="zh-CN"/>
              </w:rPr>
              <w:t>力提</w:t>
            </w:r>
            <w:r>
              <w:t>升情况及教育教学工作等开展的情况</w:t>
            </w:r>
          </w:p>
        </w:tc>
        <w:tc>
          <w:tcPr>
            <w:tcW w:w="2268" w:type="dxa"/>
            <w:vAlign w:val="center"/>
          </w:tcPr>
          <w:p w14:paraId="3849EDFC">
            <w:pPr>
              <w:pStyle w:val="12"/>
            </w:pPr>
            <w:r>
              <w:t>100%</w:t>
            </w:r>
          </w:p>
        </w:tc>
        <w:tc>
          <w:tcPr>
            <w:tcW w:w="1276" w:type="dxa"/>
            <w:vAlign w:val="center"/>
          </w:tcPr>
          <w:p w14:paraId="67A228AD">
            <w:pPr>
              <w:pStyle w:val="12"/>
            </w:pPr>
            <w:r>
              <w:t>城乡义务教育公用经费管理办法</w:t>
            </w:r>
          </w:p>
        </w:tc>
      </w:tr>
      <w:tr w14:paraId="28FDE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530F8"/>
        </w:tc>
        <w:tc>
          <w:tcPr>
            <w:tcW w:w="2268" w:type="dxa"/>
            <w:vAlign w:val="center"/>
          </w:tcPr>
          <w:p w14:paraId="44E13546">
            <w:pPr>
              <w:pStyle w:val="12"/>
            </w:pPr>
            <w:r>
              <w:t>可持续影响指标</w:t>
            </w:r>
          </w:p>
        </w:tc>
        <w:tc>
          <w:tcPr>
            <w:tcW w:w="2835" w:type="dxa"/>
            <w:vAlign w:val="center"/>
          </w:tcPr>
          <w:p w14:paraId="16102B8D">
            <w:pPr>
              <w:pStyle w:val="12"/>
            </w:pPr>
            <w:r>
              <w:t>教育发展水平</w:t>
            </w:r>
          </w:p>
        </w:tc>
        <w:tc>
          <w:tcPr>
            <w:tcW w:w="5386" w:type="dxa"/>
            <w:vAlign w:val="center"/>
          </w:tcPr>
          <w:p w14:paraId="7406688E">
            <w:pPr>
              <w:pStyle w:val="12"/>
            </w:pPr>
            <w:r>
              <w:t>辖区内教育环境明显好转</w:t>
            </w:r>
          </w:p>
        </w:tc>
        <w:tc>
          <w:tcPr>
            <w:tcW w:w="2268" w:type="dxa"/>
            <w:vAlign w:val="center"/>
          </w:tcPr>
          <w:p w14:paraId="04226461">
            <w:pPr>
              <w:pStyle w:val="12"/>
            </w:pPr>
            <w:r>
              <w:t>100%</w:t>
            </w:r>
          </w:p>
        </w:tc>
        <w:tc>
          <w:tcPr>
            <w:tcW w:w="1276" w:type="dxa"/>
            <w:vAlign w:val="center"/>
          </w:tcPr>
          <w:p w14:paraId="285D60FE">
            <w:pPr>
              <w:pStyle w:val="12"/>
            </w:pPr>
            <w:r>
              <w:t>城乡义务教育公用经费管理办法</w:t>
            </w:r>
          </w:p>
        </w:tc>
      </w:tr>
      <w:tr w14:paraId="1D01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F9114">
            <w:pPr>
              <w:pStyle w:val="13"/>
            </w:pPr>
            <w:r>
              <w:t>满意度指标</w:t>
            </w:r>
          </w:p>
        </w:tc>
        <w:tc>
          <w:tcPr>
            <w:tcW w:w="2268" w:type="dxa"/>
            <w:vAlign w:val="center"/>
          </w:tcPr>
          <w:p w14:paraId="2937A1AA">
            <w:pPr>
              <w:pStyle w:val="12"/>
            </w:pPr>
            <w:r>
              <w:t>服务对象满意度指标</w:t>
            </w:r>
          </w:p>
        </w:tc>
        <w:tc>
          <w:tcPr>
            <w:tcW w:w="2835" w:type="dxa"/>
            <w:vAlign w:val="center"/>
          </w:tcPr>
          <w:p w14:paraId="34481C42">
            <w:pPr>
              <w:pStyle w:val="12"/>
            </w:pPr>
            <w:r>
              <w:t>受益学生家长及调查满意度</w:t>
            </w:r>
          </w:p>
        </w:tc>
        <w:tc>
          <w:tcPr>
            <w:tcW w:w="5386" w:type="dxa"/>
            <w:vAlign w:val="center"/>
          </w:tcPr>
          <w:p w14:paraId="53627336">
            <w:pPr>
              <w:pStyle w:val="12"/>
            </w:pPr>
            <w:r>
              <w:t>学生、教师及家长对学校保教保育工作满意度情况</w:t>
            </w:r>
          </w:p>
        </w:tc>
        <w:tc>
          <w:tcPr>
            <w:tcW w:w="2268" w:type="dxa"/>
            <w:vAlign w:val="center"/>
          </w:tcPr>
          <w:p w14:paraId="77763B70">
            <w:pPr>
              <w:pStyle w:val="12"/>
            </w:pPr>
            <w:r>
              <w:t>≥95%</w:t>
            </w:r>
          </w:p>
        </w:tc>
        <w:tc>
          <w:tcPr>
            <w:tcW w:w="1276" w:type="dxa"/>
            <w:vAlign w:val="center"/>
          </w:tcPr>
          <w:p w14:paraId="25319030">
            <w:pPr>
              <w:pStyle w:val="12"/>
            </w:pPr>
            <w:r>
              <w:t>城乡义务教育公用经费管理办法</w:t>
            </w:r>
          </w:p>
        </w:tc>
      </w:tr>
    </w:tbl>
    <w:p w14:paraId="7B8EE57F">
      <w:pPr>
        <w:sectPr>
          <w:pgSz w:w="16840" w:h="11900" w:orient="landscape"/>
          <w:pgMar w:top="1361" w:right="1020" w:bottom="1134" w:left="1020" w:header="720" w:footer="720" w:gutter="0"/>
          <w:cols w:space="720" w:num="1"/>
        </w:sectPr>
      </w:pPr>
    </w:p>
    <w:p w14:paraId="3E5D8C0C">
      <w:pPr>
        <w:spacing w:before="0" w:after="0"/>
        <w:ind w:firstLine="560"/>
        <w:jc w:val="left"/>
        <w:outlineLvl w:val="9"/>
      </w:pPr>
      <w:r>
        <w:rPr>
          <w:rFonts w:ascii="方正仿宋_GBK" w:hAnsi="方正仿宋_GBK" w:eastAsia="方正仿宋_GBK" w:cs="方正仿宋_GBK"/>
          <w:b/>
          <w:color w:val="000000"/>
          <w:sz w:val="28"/>
        </w:rPr>
        <w:t>19、冀财教[2025]147号/省级/2026年义教补助经费/东良校区东良小学公用经费绩效目标表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15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7B1E5">
            <w:pPr>
              <w:pStyle w:val="11"/>
            </w:pPr>
            <w:r>
              <w:t>单位：万元</w:t>
            </w:r>
          </w:p>
        </w:tc>
      </w:tr>
      <w:tr w14:paraId="35415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0D8FC">
            <w:pPr>
              <w:pStyle w:val="10"/>
            </w:pPr>
            <w:r>
              <w:t>项目编码</w:t>
            </w:r>
          </w:p>
        </w:tc>
        <w:tc>
          <w:tcPr>
            <w:tcW w:w="5103" w:type="dxa"/>
            <w:gridSpan w:val="2"/>
            <w:vAlign w:val="center"/>
          </w:tcPr>
          <w:p w14:paraId="2423C883">
            <w:pPr>
              <w:pStyle w:val="12"/>
            </w:pPr>
            <w:r>
              <w:t>13052526P00000410356B</w:t>
            </w:r>
          </w:p>
        </w:tc>
        <w:tc>
          <w:tcPr>
            <w:tcW w:w="2835" w:type="dxa"/>
            <w:vAlign w:val="center"/>
          </w:tcPr>
          <w:p w14:paraId="3DF763BF">
            <w:pPr>
              <w:pStyle w:val="10"/>
            </w:pPr>
            <w:r>
              <w:t>项目名称</w:t>
            </w:r>
          </w:p>
        </w:tc>
        <w:tc>
          <w:tcPr>
            <w:tcW w:w="6095" w:type="dxa"/>
            <w:gridSpan w:val="3"/>
            <w:vAlign w:val="center"/>
          </w:tcPr>
          <w:p w14:paraId="16699E18">
            <w:pPr>
              <w:pStyle w:val="12"/>
            </w:pPr>
            <w:r>
              <w:t>冀财教[2025]147号/省级/2026年义教补助经费/东良校区东良小学公用经费</w:t>
            </w:r>
          </w:p>
        </w:tc>
      </w:tr>
      <w:tr w14:paraId="400FC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9529B">
            <w:pPr>
              <w:pStyle w:val="10"/>
            </w:pPr>
            <w:r>
              <w:t>预算规模及资金用途</w:t>
            </w:r>
          </w:p>
        </w:tc>
        <w:tc>
          <w:tcPr>
            <w:tcW w:w="2268" w:type="dxa"/>
            <w:vAlign w:val="center"/>
          </w:tcPr>
          <w:p w14:paraId="5D59AC9F">
            <w:pPr>
              <w:pStyle w:val="10"/>
            </w:pPr>
            <w:r>
              <w:t>预算数</w:t>
            </w:r>
          </w:p>
        </w:tc>
        <w:tc>
          <w:tcPr>
            <w:tcW w:w="2835" w:type="dxa"/>
            <w:vAlign w:val="center"/>
          </w:tcPr>
          <w:p w14:paraId="3DCB98E2">
            <w:pPr>
              <w:pStyle w:val="12"/>
            </w:pPr>
            <w:r>
              <w:t>13.22</w:t>
            </w:r>
          </w:p>
        </w:tc>
        <w:tc>
          <w:tcPr>
            <w:tcW w:w="2835" w:type="dxa"/>
            <w:vAlign w:val="center"/>
          </w:tcPr>
          <w:p w14:paraId="5D01C544">
            <w:pPr>
              <w:pStyle w:val="10"/>
            </w:pPr>
            <w:r>
              <w:t>其中：财政    资金</w:t>
            </w:r>
          </w:p>
        </w:tc>
        <w:tc>
          <w:tcPr>
            <w:tcW w:w="2551" w:type="dxa"/>
            <w:vAlign w:val="center"/>
          </w:tcPr>
          <w:p w14:paraId="0F742CC6">
            <w:pPr>
              <w:pStyle w:val="12"/>
            </w:pPr>
            <w:r>
              <w:t>13.22</w:t>
            </w:r>
          </w:p>
        </w:tc>
        <w:tc>
          <w:tcPr>
            <w:tcW w:w="2268" w:type="dxa"/>
            <w:vAlign w:val="center"/>
          </w:tcPr>
          <w:p w14:paraId="04ACEEF1">
            <w:pPr>
              <w:pStyle w:val="10"/>
            </w:pPr>
            <w:r>
              <w:t>其他资金</w:t>
            </w:r>
          </w:p>
        </w:tc>
        <w:tc>
          <w:tcPr>
            <w:tcW w:w="1276" w:type="dxa"/>
            <w:vAlign w:val="center"/>
          </w:tcPr>
          <w:p w14:paraId="3C05188A">
            <w:pPr>
              <w:pStyle w:val="12"/>
            </w:pPr>
            <w:r>
              <w:t xml:space="preserve"> </w:t>
            </w:r>
          </w:p>
        </w:tc>
      </w:tr>
      <w:tr w14:paraId="2D6CC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AE279"/>
        </w:tc>
        <w:tc>
          <w:tcPr>
            <w:tcW w:w="14033" w:type="dxa"/>
            <w:gridSpan w:val="6"/>
            <w:vAlign w:val="center"/>
          </w:tcPr>
          <w:p w14:paraId="6C0F676D">
            <w:pPr>
              <w:pStyle w:val="12"/>
            </w:pPr>
            <w:r>
              <w:t>保障义务教育学校正常运转，完成教育教学活动和其他日常工作任务等方面的费用支出。</w:t>
            </w:r>
          </w:p>
        </w:tc>
      </w:tr>
      <w:tr w14:paraId="1CC0C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8164B">
            <w:pPr>
              <w:pStyle w:val="10"/>
            </w:pPr>
            <w:r>
              <w:t>资金支出计划（%）</w:t>
            </w:r>
          </w:p>
        </w:tc>
        <w:tc>
          <w:tcPr>
            <w:tcW w:w="5103" w:type="dxa"/>
            <w:gridSpan w:val="2"/>
            <w:vAlign w:val="center"/>
          </w:tcPr>
          <w:p w14:paraId="02D15748">
            <w:pPr>
              <w:pStyle w:val="10"/>
            </w:pPr>
            <w:r>
              <w:t>3月底</w:t>
            </w:r>
          </w:p>
        </w:tc>
        <w:tc>
          <w:tcPr>
            <w:tcW w:w="2835" w:type="dxa"/>
            <w:vAlign w:val="center"/>
          </w:tcPr>
          <w:p w14:paraId="4EEA66E9">
            <w:pPr>
              <w:pStyle w:val="10"/>
            </w:pPr>
            <w:r>
              <w:t>6月底</w:t>
            </w:r>
          </w:p>
        </w:tc>
        <w:tc>
          <w:tcPr>
            <w:tcW w:w="2551" w:type="dxa"/>
            <w:vAlign w:val="center"/>
          </w:tcPr>
          <w:p w14:paraId="0ECD498A">
            <w:pPr>
              <w:pStyle w:val="10"/>
            </w:pPr>
            <w:r>
              <w:t>10月底</w:t>
            </w:r>
          </w:p>
        </w:tc>
        <w:tc>
          <w:tcPr>
            <w:tcW w:w="3544" w:type="dxa"/>
            <w:gridSpan w:val="2"/>
            <w:vAlign w:val="center"/>
          </w:tcPr>
          <w:p w14:paraId="6025ECD9">
            <w:pPr>
              <w:pStyle w:val="10"/>
            </w:pPr>
            <w:r>
              <w:t>12月底</w:t>
            </w:r>
          </w:p>
        </w:tc>
      </w:tr>
      <w:tr w14:paraId="40C88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0CFBA"/>
        </w:tc>
        <w:tc>
          <w:tcPr>
            <w:tcW w:w="5103" w:type="dxa"/>
            <w:gridSpan w:val="2"/>
            <w:vAlign w:val="center"/>
          </w:tcPr>
          <w:p w14:paraId="7E8DCF61">
            <w:pPr>
              <w:pStyle w:val="13"/>
            </w:pPr>
            <w:r>
              <w:t>25%</w:t>
            </w:r>
          </w:p>
        </w:tc>
        <w:tc>
          <w:tcPr>
            <w:tcW w:w="2835" w:type="dxa"/>
            <w:vAlign w:val="center"/>
          </w:tcPr>
          <w:p w14:paraId="5E802331">
            <w:pPr>
              <w:pStyle w:val="13"/>
            </w:pPr>
            <w:r>
              <w:t>50%</w:t>
            </w:r>
          </w:p>
        </w:tc>
        <w:tc>
          <w:tcPr>
            <w:tcW w:w="2551" w:type="dxa"/>
            <w:vAlign w:val="center"/>
          </w:tcPr>
          <w:p w14:paraId="064A050A">
            <w:pPr>
              <w:pStyle w:val="13"/>
            </w:pPr>
            <w:r>
              <w:t>75%</w:t>
            </w:r>
          </w:p>
        </w:tc>
        <w:tc>
          <w:tcPr>
            <w:tcW w:w="3544" w:type="dxa"/>
            <w:gridSpan w:val="2"/>
            <w:vAlign w:val="center"/>
          </w:tcPr>
          <w:p w14:paraId="00E2A1DC">
            <w:pPr>
              <w:pStyle w:val="13"/>
            </w:pPr>
            <w:r>
              <w:t>100%</w:t>
            </w:r>
          </w:p>
        </w:tc>
      </w:tr>
      <w:tr w14:paraId="41F22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EBC5F">
            <w:pPr>
              <w:pStyle w:val="10"/>
            </w:pPr>
            <w:r>
              <w:t>绩效目标</w:t>
            </w:r>
          </w:p>
        </w:tc>
        <w:tc>
          <w:tcPr>
            <w:tcW w:w="14033" w:type="dxa"/>
            <w:gridSpan w:val="6"/>
            <w:vAlign w:val="center"/>
          </w:tcPr>
          <w:p w14:paraId="57C871F2">
            <w:pPr>
              <w:pStyle w:val="12"/>
            </w:pPr>
            <w:r>
              <w:t>1.保障义务教育学校正常运转，完成教育教学活动和其他日常工作任务等方面的费用支出。</w:t>
            </w:r>
          </w:p>
          <w:p w14:paraId="6CEFF085">
            <w:pPr>
              <w:pStyle w:val="12"/>
            </w:pPr>
            <w:r>
              <w:t>2.按季度分批次拨付公用经费资金132200元，资金拨付率达到100%。</w:t>
            </w:r>
          </w:p>
        </w:tc>
      </w:tr>
    </w:tbl>
    <w:p w14:paraId="51D60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FC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69678">
            <w:pPr>
              <w:pStyle w:val="10"/>
            </w:pPr>
            <w:r>
              <w:t>一级指标</w:t>
            </w:r>
          </w:p>
        </w:tc>
        <w:tc>
          <w:tcPr>
            <w:tcW w:w="2268" w:type="dxa"/>
            <w:vAlign w:val="center"/>
          </w:tcPr>
          <w:p w14:paraId="105A918B">
            <w:pPr>
              <w:pStyle w:val="10"/>
            </w:pPr>
            <w:r>
              <w:t>二级指标</w:t>
            </w:r>
          </w:p>
        </w:tc>
        <w:tc>
          <w:tcPr>
            <w:tcW w:w="2835" w:type="dxa"/>
            <w:vAlign w:val="center"/>
          </w:tcPr>
          <w:p w14:paraId="70871C9C">
            <w:pPr>
              <w:pStyle w:val="10"/>
            </w:pPr>
            <w:r>
              <w:t>三级指标</w:t>
            </w:r>
          </w:p>
        </w:tc>
        <w:tc>
          <w:tcPr>
            <w:tcW w:w="5386" w:type="dxa"/>
            <w:vAlign w:val="center"/>
          </w:tcPr>
          <w:p w14:paraId="1F344535">
            <w:pPr>
              <w:pStyle w:val="10"/>
            </w:pPr>
            <w:r>
              <w:t>绩效指标描述</w:t>
            </w:r>
          </w:p>
        </w:tc>
        <w:tc>
          <w:tcPr>
            <w:tcW w:w="2268" w:type="dxa"/>
            <w:vAlign w:val="center"/>
          </w:tcPr>
          <w:p w14:paraId="41B0A82F">
            <w:pPr>
              <w:pStyle w:val="10"/>
            </w:pPr>
            <w:r>
              <w:t>指标值</w:t>
            </w:r>
          </w:p>
        </w:tc>
        <w:tc>
          <w:tcPr>
            <w:tcW w:w="1276" w:type="dxa"/>
            <w:vAlign w:val="center"/>
          </w:tcPr>
          <w:p w14:paraId="440FCB7A">
            <w:pPr>
              <w:pStyle w:val="10"/>
            </w:pPr>
            <w:r>
              <w:t>指标值确定依据</w:t>
            </w:r>
          </w:p>
        </w:tc>
      </w:tr>
      <w:tr w14:paraId="08DD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1BE0F">
            <w:pPr>
              <w:pStyle w:val="13"/>
            </w:pPr>
            <w:r>
              <w:t>产出指标</w:t>
            </w:r>
          </w:p>
        </w:tc>
        <w:tc>
          <w:tcPr>
            <w:tcW w:w="2268" w:type="dxa"/>
            <w:vAlign w:val="center"/>
          </w:tcPr>
          <w:p w14:paraId="3AFBF3C6">
            <w:pPr>
              <w:pStyle w:val="12"/>
            </w:pPr>
            <w:r>
              <w:t>数量指标</w:t>
            </w:r>
          </w:p>
        </w:tc>
        <w:tc>
          <w:tcPr>
            <w:tcW w:w="2835" w:type="dxa"/>
            <w:vAlign w:val="center"/>
          </w:tcPr>
          <w:p w14:paraId="2E475F94">
            <w:pPr>
              <w:pStyle w:val="12"/>
            </w:pPr>
            <w:r>
              <w:t>适龄在校生</w:t>
            </w:r>
          </w:p>
        </w:tc>
        <w:tc>
          <w:tcPr>
            <w:tcW w:w="5386" w:type="dxa"/>
            <w:vAlign w:val="center"/>
          </w:tcPr>
          <w:p w14:paraId="091EAD18">
            <w:pPr>
              <w:pStyle w:val="12"/>
            </w:pPr>
            <w:r>
              <w:t>适龄在校就读学生人数</w:t>
            </w:r>
          </w:p>
        </w:tc>
        <w:tc>
          <w:tcPr>
            <w:tcW w:w="2268" w:type="dxa"/>
            <w:vAlign w:val="center"/>
          </w:tcPr>
          <w:p w14:paraId="03E0BC5B">
            <w:pPr>
              <w:pStyle w:val="12"/>
            </w:pPr>
            <w:r>
              <w:t>492人</w:t>
            </w:r>
          </w:p>
        </w:tc>
        <w:tc>
          <w:tcPr>
            <w:tcW w:w="1276" w:type="dxa"/>
            <w:vAlign w:val="center"/>
          </w:tcPr>
          <w:p w14:paraId="1529E5D7">
            <w:pPr>
              <w:pStyle w:val="12"/>
            </w:pPr>
            <w:r>
              <w:t>城乡义务教育公用经费管理办法</w:t>
            </w:r>
          </w:p>
        </w:tc>
      </w:tr>
      <w:tr w14:paraId="2853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73EEB"/>
        </w:tc>
        <w:tc>
          <w:tcPr>
            <w:tcW w:w="2268" w:type="dxa"/>
            <w:vAlign w:val="center"/>
          </w:tcPr>
          <w:p w14:paraId="4CB13642">
            <w:pPr>
              <w:pStyle w:val="12"/>
            </w:pPr>
            <w:r>
              <w:t>质量指标</w:t>
            </w:r>
          </w:p>
        </w:tc>
        <w:tc>
          <w:tcPr>
            <w:tcW w:w="2835" w:type="dxa"/>
            <w:vAlign w:val="center"/>
          </w:tcPr>
          <w:p w14:paraId="1396F48C">
            <w:pPr>
              <w:pStyle w:val="12"/>
            </w:pPr>
            <w:r>
              <w:t>公用经费拨付完成率</w:t>
            </w:r>
          </w:p>
        </w:tc>
        <w:tc>
          <w:tcPr>
            <w:tcW w:w="5386" w:type="dxa"/>
            <w:vAlign w:val="center"/>
          </w:tcPr>
          <w:p w14:paraId="4B86CAA8">
            <w:pPr>
              <w:pStyle w:val="12"/>
            </w:pPr>
            <w:r>
              <w:t>公用经费拨付完成率达到需时进度</w:t>
            </w:r>
          </w:p>
        </w:tc>
        <w:tc>
          <w:tcPr>
            <w:tcW w:w="2268" w:type="dxa"/>
            <w:vAlign w:val="center"/>
          </w:tcPr>
          <w:p w14:paraId="6B552EE3">
            <w:pPr>
              <w:pStyle w:val="12"/>
            </w:pPr>
            <w:r>
              <w:t>100%</w:t>
            </w:r>
          </w:p>
        </w:tc>
        <w:tc>
          <w:tcPr>
            <w:tcW w:w="1276" w:type="dxa"/>
            <w:vAlign w:val="center"/>
          </w:tcPr>
          <w:p w14:paraId="164667CA">
            <w:pPr>
              <w:pStyle w:val="12"/>
            </w:pPr>
            <w:r>
              <w:t>城乡义务教育公用经费管理办法</w:t>
            </w:r>
          </w:p>
        </w:tc>
      </w:tr>
      <w:tr w14:paraId="7A66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295DD"/>
        </w:tc>
        <w:tc>
          <w:tcPr>
            <w:tcW w:w="2268" w:type="dxa"/>
            <w:vAlign w:val="center"/>
          </w:tcPr>
          <w:p w14:paraId="0A109690">
            <w:pPr>
              <w:pStyle w:val="12"/>
            </w:pPr>
            <w:r>
              <w:t>时效指标</w:t>
            </w:r>
          </w:p>
        </w:tc>
        <w:tc>
          <w:tcPr>
            <w:tcW w:w="2835" w:type="dxa"/>
            <w:vAlign w:val="center"/>
          </w:tcPr>
          <w:p w14:paraId="5E3E0B21">
            <w:pPr>
              <w:pStyle w:val="12"/>
            </w:pPr>
            <w:r>
              <w:t>资金支付率</w:t>
            </w:r>
          </w:p>
        </w:tc>
        <w:tc>
          <w:tcPr>
            <w:tcW w:w="5386" w:type="dxa"/>
            <w:vAlign w:val="center"/>
          </w:tcPr>
          <w:p w14:paraId="67E394D5">
            <w:pPr>
              <w:pStyle w:val="12"/>
            </w:pPr>
            <w:r>
              <w:t>按照序时进度完成资金支付</w:t>
            </w:r>
          </w:p>
        </w:tc>
        <w:tc>
          <w:tcPr>
            <w:tcW w:w="2268" w:type="dxa"/>
            <w:vAlign w:val="center"/>
          </w:tcPr>
          <w:p w14:paraId="75AE3551">
            <w:pPr>
              <w:pStyle w:val="12"/>
            </w:pPr>
            <w:r>
              <w:t>100%</w:t>
            </w:r>
          </w:p>
        </w:tc>
        <w:tc>
          <w:tcPr>
            <w:tcW w:w="1276" w:type="dxa"/>
            <w:vAlign w:val="center"/>
          </w:tcPr>
          <w:p w14:paraId="759FE600">
            <w:pPr>
              <w:pStyle w:val="12"/>
            </w:pPr>
            <w:r>
              <w:t>城乡义务教育公用经费管理办法</w:t>
            </w:r>
          </w:p>
        </w:tc>
      </w:tr>
      <w:tr w14:paraId="614C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A32E"/>
        </w:tc>
        <w:tc>
          <w:tcPr>
            <w:tcW w:w="2268" w:type="dxa"/>
            <w:vAlign w:val="center"/>
          </w:tcPr>
          <w:p w14:paraId="5ACA0083">
            <w:pPr>
              <w:pStyle w:val="12"/>
            </w:pPr>
            <w:r>
              <w:t>成本指标</w:t>
            </w:r>
          </w:p>
        </w:tc>
        <w:tc>
          <w:tcPr>
            <w:tcW w:w="2835" w:type="dxa"/>
            <w:vAlign w:val="center"/>
          </w:tcPr>
          <w:p w14:paraId="24BCB328">
            <w:pPr>
              <w:pStyle w:val="12"/>
            </w:pPr>
            <w:r>
              <w:t>生均拨款标准</w:t>
            </w:r>
          </w:p>
        </w:tc>
        <w:tc>
          <w:tcPr>
            <w:tcW w:w="5386" w:type="dxa"/>
            <w:vAlign w:val="center"/>
          </w:tcPr>
          <w:p w14:paraId="67A5DF06">
            <w:pPr>
              <w:pStyle w:val="12"/>
            </w:pPr>
            <w:r>
              <w:t>小学：（基本标准720元、寄宿生300元、取暖费120元）/生/学年；特教、随班就读学生：标准7000元/生/学年。</w:t>
            </w:r>
          </w:p>
        </w:tc>
        <w:tc>
          <w:tcPr>
            <w:tcW w:w="2268" w:type="dxa"/>
            <w:vAlign w:val="center"/>
          </w:tcPr>
          <w:p w14:paraId="0BF364D3">
            <w:pPr>
              <w:pStyle w:val="12"/>
            </w:pPr>
            <w:r>
              <w:t>840元</w:t>
            </w:r>
          </w:p>
        </w:tc>
        <w:tc>
          <w:tcPr>
            <w:tcW w:w="1276" w:type="dxa"/>
            <w:vAlign w:val="center"/>
          </w:tcPr>
          <w:p w14:paraId="118C8EF9">
            <w:pPr>
              <w:pStyle w:val="12"/>
            </w:pPr>
            <w:r>
              <w:t>城乡义务教育公用经费管理办法</w:t>
            </w:r>
          </w:p>
        </w:tc>
      </w:tr>
      <w:tr w14:paraId="290C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DBD35">
            <w:pPr>
              <w:pStyle w:val="13"/>
            </w:pPr>
            <w:r>
              <w:t>效益指标</w:t>
            </w:r>
          </w:p>
        </w:tc>
        <w:tc>
          <w:tcPr>
            <w:tcW w:w="2268" w:type="dxa"/>
            <w:vAlign w:val="center"/>
          </w:tcPr>
          <w:p w14:paraId="3E0DFF2C">
            <w:pPr>
              <w:pStyle w:val="12"/>
            </w:pPr>
            <w:r>
              <w:t>经济效益指标</w:t>
            </w:r>
          </w:p>
        </w:tc>
        <w:tc>
          <w:tcPr>
            <w:tcW w:w="2835" w:type="dxa"/>
            <w:vAlign w:val="center"/>
          </w:tcPr>
          <w:p w14:paraId="1B35B8DA">
            <w:pPr>
              <w:pStyle w:val="12"/>
            </w:pPr>
            <w:r>
              <w:t>项目实施成果</w:t>
            </w:r>
          </w:p>
        </w:tc>
        <w:tc>
          <w:tcPr>
            <w:tcW w:w="5386" w:type="dxa"/>
            <w:vAlign w:val="center"/>
          </w:tcPr>
          <w:p w14:paraId="14BC9F69">
            <w:pPr>
              <w:pStyle w:val="12"/>
            </w:pPr>
            <w:r>
              <w:t>减轻受教育学生家庭经济负担</w:t>
            </w:r>
          </w:p>
        </w:tc>
        <w:tc>
          <w:tcPr>
            <w:tcW w:w="2268" w:type="dxa"/>
            <w:vAlign w:val="center"/>
          </w:tcPr>
          <w:p w14:paraId="43BE3107">
            <w:pPr>
              <w:pStyle w:val="12"/>
            </w:pPr>
            <w:r>
              <w:t>100%</w:t>
            </w:r>
          </w:p>
        </w:tc>
        <w:tc>
          <w:tcPr>
            <w:tcW w:w="1276" w:type="dxa"/>
            <w:vAlign w:val="center"/>
          </w:tcPr>
          <w:p w14:paraId="763550F0">
            <w:pPr>
              <w:pStyle w:val="12"/>
            </w:pPr>
            <w:r>
              <w:t>城乡义务教育公用经费管理办法</w:t>
            </w:r>
          </w:p>
        </w:tc>
      </w:tr>
      <w:tr w14:paraId="773D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ECB60"/>
        </w:tc>
        <w:tc>
          <w:tcPr>
            <w:tcW w:w="2268" w:type="dxa"/>
            <w:vAlign w:val="center"/>
          </w:tcPr>
          <w:p w14:paraId="7D65DFD5">
            <w:pPr>
              <w:pStyle w:val="12"/>
            </w:pPr>
            <w:r>
              <w:t>社会效益指标</w:t>
            </w:r>
          </w:p>
        </w:tc>
        <w:tc>
          <w:tcPr>
            <w:tcW w:w="2835" w:type="dxa"/>
            <w:vAlign w:val="center"/>
          </w:tcPr>
          <w:p w14:paraId="1BD167CF">
            <w:pPr>
              <w:pStyle w:val="12"/>
            </w:pPr>
            <w:r>
              <w:t>学校办学能力提升</w:t>
            </w:r>
          </w:p>
        </w:tc>
        <w:tc>
          <w:tcPr>
            <w:tcW w:w="5386" w:type="dxa"/>
            <w:vAlign w:val="center"/>
          </w:tcPr>
          <w:p w14:paraId="7ACDA1CD">
            <w:pPr>
              <w:pStyle w:val="12"/>
            </w:pPr>
            <w:r>
              <w:t>学校办学能</w:t>
            </w:r>
            <w:r>
              <w:rPr>
                <w:rFonts w:hint="eastAsia"/>
                <w:lang w:eastAsia="zh-CN"/>
              </w:rPr>
              <w:t>力提</w:t>
            </w:r>
            <w:r>
              <w:t>升情况及教育教学工作等开展的情况</w:t>
            </w:r>
          </w:p>
        </w:tc>
        <w:tc>
          <w:tcPr>
            <w:tcW w:w="2268" w:type="dxa"/>
            <w:vAlign w:val="center"/>
          </w:tcPr>
          <w:p w14:paraId="48BA30C7">
            <w:pPr>
              <w:pStyle w:val="12"/>
            </w:pPr>
            <w:r>
              <w:t>100%</w:t>
            </w:r>
          </w:p>
        </w:tc>
        <w:tc>
          <w:tcPr>
            <w:tcW w:w="1276" w:type="dxa"/>
            <w:vAlign w:val="center"/>
          </w:tcPr>
          <w:p w14:paraId="7BA2974D">
            <w:pPr>
              <w:pStyle w:val="12"/>
            </w:pPr>
            <w:r>
              <w:t>城乡义务教育公用经费管理办法</w:t>
            </w:r>
          </w:p>
        </w:tc>
      </w:tr>
      <w:tr w14:paraId="409C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83A11"/>
        </w:tc>
        <w:tc>
          <w:tcPr>
            <w:tcW w:w="2268" w:type="dxa"/>
            <w:vAlign w:val="center"/>
          </w:tcPr>
          <w:p w14:paraId="58CEBD2C">
            <w:pPr>
              <w:pStyle w:val="12"/>
            </w:pPr>
            <w:r>
              <w:t>可持续影响指标</w:t>
            </w:r>
          </w:p>
        </w:tc>
        <w:tc>
          <w:tcPr>
            <w:tcW w:w="2835" w:type="dxa"/>
            <w:vAlign w:val="center"/>
          </w:tcPr>
          <w:p w14:paraId="6984AA06">
            <w:pPr>
              <w:pStyle w:val="12"/>
            </w:pPr>
            <w:r>
              <w:t>教育发展水平</w:t>
            </w:r>
          </w:p>
        </w:tc>
        <w:tc>
          <w:tcPr>
            <w:tcW w:w="5386" w:type="dxa"/>
            <w:vAlign w:val="center"/>
          </w:tcPr>
          <w:p w14:paraId="3C27F320">
            <w:pPr>
              <w:pStyle w:val="12"/>
            </w:pPr>
            <w:r>
              <w:t>辖区内教育环境明显好转</w:t>
            </w:r>
          </w:p>
        </w:tc>
        <w:tc>
          <w:tcPr>
            <w:tcW w:w="2268" w:type="dxa"/>
            <w:vAlign w:val="center"/>
          </w:tcPr>
          <w:p w14:paraId="7BAD067F">
            <w:pPr>
              <w:pStyle w:val="12"/>
            </w:pPr>
            <w:r>
              <w:t>100%</w:t>
            </w:r>
          </w:p>
        </w:tc>
        <w:tc>
          <w:tcPr>
            <w:tcW w:w="1276" w:type="dxa"/>
            <w:vAlign w:val="center"/>
          </w:tcPr>
          <w:p w14:paraId="645DE657">
            <w:pPr>
              <w:pStyle w:val="12"/>
            </w:pPr>
            <w:r>
              <w:t>城乡义务教育公用经费管理办法</w:t>
            </w:r>
          </w:p>
        </w:tc>
      </w:tr>
      <w:tr w14:paraId="6800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ABB2D">
            <w:pPr>
              <w:pStyle w:val="13"/>
            </w:pPr>
            <w:r>
              <w:t>满意度指标</w:t>
            </w:r>
          </w:p>
        </w:tc>
        <w:tc>
          <w:tcPr>
            <w:tcW w:w="2268" w:type="dxa"/>
            <w:vAlign w:val="center"/>
          </w:tcPr>
          <w:p w14:paraId="6FF12788">
            <w:pPr>
              <w:pStyle w:val="12"/>
            </w:pPr>
            <w:r>
              <w:t>服务对象满意度指标</w:t>
            </w:r>
          </w:p>
        </w:tc>
        <w:tc>
          <w:tcPr>
            <w:tcW w:w="2835" w:type="dxa"/>
            <w:vAlign w:val="center"/>
          </w:tcPr>
          <w:p w14:paraId="1C96071D">
            <w:pPr>
              <w:pStyle w:val="12"/>
            </w:pPr>
            <w:r>
              <w:t>受益学生家长及调查满意度</w:t>
            </w:r>
          </w:p>
        </w:tc>
        <w:tc>
          <w:tcPr>
            <w:tcW w:w="5386" w:type="dxa"/>
            <w:vAlign w:val="center"/>
          </w:tcPr>
          <w:p w14:paraId="620F3C83">
            <w:pPr>
              <w:pStyle w:val="12"/>
            </w:pPr>
            <w:r>
              <w:t>学生、教师及家长对学校保教保育工作满意度情况</w:t>
            </w:r>
          </w:p>
        </w:tc>
        <w:tc>
          <w:tcPr>
            <w:tcW w:w="2268" w:type="dxa"/>
            <w:vAlign w:val="center"/>
          </w:tcPr>
          <w:p w14:paraId="3AE82DD2">
            <w:pPr>
              <w:pStyle w:val="12"/>
            </w:pPr>
            <w:r>
              <w:t>≥95%</w:t>
            </w:r>
          </w:p>
        </w:tc>
        <w:tc>
          <w:tcPr>
            <w:tcW w:w="1276" w:type="dxa"/>
            <w:vAlign w:val="center"/>
          </w:tcPr>
          <w:p w14:paraId="270B00E9">
            <w:pPr>
              <w:pStyle w:val="12"/>
            </w:pPr>
            <w:r>
              <w:t>城乡义务教育公用经费管理办法</w:t>
            </w:r>
          </w:p>
        </w:tc>
      </w:tr>
    </w:tbl>
    <w:p w14:paraId="5109684D">
      <w:pPr>
        <w:sectPr>
          <w:pgSz w:w="16840" w:h="11900" w:orient="landscape"/>
          <w:pgMar w:top="1361" w:right="1020" w:bottom="1134" w:left="1020" w:header="720" w:footer="720" w:gutter="0"/>
          <w:cols w:space="720" w:num="1"/>
        </w:sectPr>
      </w:pPr>
    </w:p>
    <w:p w14:paraId="5481A002">
      <w:pPr>
        <w:spacing w:before="0" w:after="0"/>
        <w:ind w:firstLine="560"/>
        <w:jc w:val="left"/>
        <w:outlineLvl w:val="9"/>
      </w:pPr>
      <w:r>
        <w:rPr>
          <w:rFonts w:ascii="方正仿宋_GBK" w:hAnsi="方正仿宋_GBK" w:eastAsia="方正仿宋_GBK" w:cs="方正仿宋_GBK"/>
          <w:b/>
          <w:color w:val="000000"/>
          <w:sz w:val="28"/>
        </w:rPr>
        <w:t>20、冀财教[2025]147号/省级/2026年义教补助经费/东良校区高村小学公用经费绩效目标表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B9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C2F1E">
            <w:pPr>
              <w:pStyle w:val="11"/>
            </w:pPr>
            <w:r>
              <w:t>单位：万元</w:t>
            </w:r>
          </w:p>
        </w:tc>
      </w:tr>
      <w:tr w14:paraId="01852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5B9FA">
            <w:pPr>
              <w:pStyle w:val="10"/>
            </w:pPr>
            <w:r>
              <w:t>项目编码</w:t>
            </w:r>
          </w:p>
        </w:tc>
        <w:tc>
          <w:tcPr>
            <w:tcW w:w="5103" w:type="dxa"/>
            <w:gridSpan w:val="2"/>
            <w:vAlign w:val="center"/>
          </w:tcPr>
          <w:p w14:paraId="4C5C4C4A">
            <w:pPr>
              <w:pStyle w:val="12"/>
            </w:pPr>
            <w:r>
              <w:t>13052526P00000410357Y</w:t>
            </w:r>
          </w:p>
        </w:tc>
        <w:tc>
          <w:tcPr>
            <w:tcW w:w="2835" w:type="dxa"/>
            <w:vAlign w:val="center"/>
          </w:tcPr>
          <w:p w14:paraId="596946E0">
            <w:pPr>
              <w:pStyle w:val="10"/>
            </w:pPr>
            <w:r>
              <w:t>项目名称</w:t>
            </w:r>
          </w:p>
        </w:tc>
        <w:tc>
          <w:tcPr>
            <w:tcW w:w="6095" w:type="dxa"/>
            <w:gridSpan w:val="3"/>
            <w:vAlign w:val="center"/>
          </w:tcPr>
          <w:p w14:paraId="1AB8A3AF">
            <w:pPr>
              <w:pStyle w:val="12"/>
            </w:pPr>
            <w:r>
              <w:t>冀财教[2025]147号/省级/2026年义教补助经费/东良校区高村小学公用经费</w:t>
            </w:r>
          </w:p>
        </w:tc>
      </w:tr>
      <w:tr w14:paraId="0811D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2472D">
            <w:pPr>
              <w:pStyle w:val="10"/>
            </w:pPr>
            <w:r>
              <w:t>预算规模及资金用途</w:t>
            </w:r>
          </w:p>
        </w:tc>
        <w:tc>
          <w:tcPr>
            <w:tcW w:w="2268" w:type="dxa"/>
            <w:vAlign w:val="center"/>
          </w:tcPr>
          <w:p w14:paraId="14DDDCDB">
            <w:pPr>
              <w:pStyle w:val="10"/>
            </w:pPr>
            <w:r>
              <w:t>预算数</w:t>
            </w:r>
          </w:p>
        </w:tc>
        <w:tc>
          <w:tcPr>
            <w:tcW w:w="2835" w:type="dxa"/>
            <w:vAlign w:val="center"/>
          </w:tcPr>
          <w:p w14:paraId="57F1A2A2">
            <w:pPr>
              <w:pStyle w:val="12"/>
            </w:pPr>
            <w:r>
              <w:t>4.41</w:t>
            </w:r>
          </w:p>
        </w:tc>
        <w:tc>
          <w:tcPr>
            <w:tcW w:w="2835" w:type="dxa"/>
            <w:vAlign w:val="center"/>
          </w:tcPr>
          <w:p w14:paraId="781C0C1E">
            <w:pPr>
              <w:pStyle w:val="10"/>
            </w:pPr>
            <w:r>
              <w:t>其中：财政    资金</w:t>
            </w:r>
          </w:p>
        </w:tc>
        <w:tc>
          <w:tcPr>
            <w:tcW w:w="2551" w:type="dxa"/>
            <w:vAlign w:val="center"/>
          </w:tcPr>
          <w:p w14:paraId="4054F2D1">
            <w:pPr>
              <w:pStyle w:val="12"/>
            </w:pPr>
            <w:r>
              <w:t>4.41</w:t>
            </w:r>
          </w:p>
        </w:tc>
        <w:tc>
          <w:tcPr>
            <w:tcW w:w="2268" w:type="dxa"/>
            <w:vAlign w:val="center"/>
          </w:tcPr>
          <w:p w14:paraId="7F944FC4">
            <w:pPr>
              <w:pStyle w:val="10"/>
            </w:pPr>
            <w:r>
              <w:t>其他资金</w:t>
            </w:r>
          </w:p>
        </w:tc>
        <w:tc>
          <w:tcPr>
            <w:tcW w:w="1276" w:type="dxa"/>
            <w:vAlign w:val="center"/>
          </w:tcPr>
          <w:p w14:paraId="683762E7">
            <w:pPr>
              <w:pStyle w:val="12"/>
            </w:pPr>
            <w:r>
              <w:t xml:space="preserve"> </w:t>
            </w:r>
          </w:p>
        </w:tc>
      </w:tr>
      <w:tr w14:paraId="42076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5EE60"/>
        </w:tc>
        <w:tc>
          <w:tcPr>
            <w:tcW w:w="14033" w:type="dxa"/>
            <w:gridSpan w:val="6"/>
            <w:vAlign w:val="center"/>
          </w:tcPr>
          <w:p w14:paraId="28210824">
            <w:pPr>
              <w:pStyle w:val="12"/>
            </w:pPr>
            <w:r>
              <w:t>保障义务教育学校正常运转，完成教育教学活动和其他日常工作任务等方面的费用支出。</w:t>
            </w:r>
          </w:p>
        </w:tc>
      </w:tr>
      <w:tr w14:paraId="0E11B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E3AEB">
            <w:pPr>
              <w:pStyle w:val="10"/>
            </w:pPr>
            <w:r>
              <w:t>资金支出计划（%）</w:t>
            </w:r>
          </w:p>
        </w:tc>
        <w:tc>
          <w:tcPr>
            <w:tcW w:w="5103" w:type="dxa"/>
            <w:gridSpan w:val="2"/>
            <w:vAlign w:val="center"/>
          </w:tcPr>
          <w:p w14:paraId="4D2B980B">
            <w:pPr>
              <w:pStyle w:val="10"/>
            </w:pPr>
            <w:r>
              <w:t>3月底</w:t>
            </w:r>
          </w:p>
        </w:tc>
        <w:tc>
          <w:tcPr>
            <w:tcW w:w="2835" w:type="dxa"/>
            <w:vAlign w:val="center"/>
          </w:tcPr>
          <w:p w14:paraId="2319638E">
            <w:pPr>
              <w:pStyle w:val="10"/>
            </w:pPr>
            <w:r>
              <w:t>6月底</w:t>
            </w:r>
          </w:p>
        </w:tc>
        <w:tc>
          <w:tcPr>
            <w:tcW w:w="2551" w:type="dxa"/>
            <w:vAlign w:val="center"/>
          </w:tcPr>
          <w:p w14:paraId="6D3CEDFE">
            <w:pPr>
              <w:pStyle w:val="10"/>
            </w:pPr>
            <w:r>
              <w:t>10月底</w:t>
            </w:r>
          </w:p>
        </w:tc>
        <w:tc>
          <w:tcPr>
            <w:tcW w:w="3544" w:type="dxa"/>
            <w:gridSpan w:val="2"/>
            <w:vAlign w:val="center"/>
          </w:tcPr>
          <w:p w14:paraId="2809425B">
            <w:pPr>
              <w:pStyle w:val="10"/>
            </w:pPr>
            <w:r>
              <w:t>12月底</w:t>
            </w:r>
          </w:p>
        </w:tc>
      </w:tr>
      <w:tr w14:paraId="0F7D1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9846F"/>
        </w:tc>
        <w:tc>
          <w:tcPr>
            <w:tcW w:w="5103" w:type="dxa"/>
            <w:gridSpan w:val="2"/>
            <w:vAlign w:val="center"/>
          </w:tcPr>
          <w:p w14:paraId="186182B7">
            <w:pPr>
              <w:pStyle w:val="13"/>
            </w:pPr>
            <w:r>
              <w:t>25%</w:t>
            </w:r>
          </w:p>
        </w:tc>
        <w:tc>
          <w:tcPr>
            <w:tcW w:w="2835" w:type="dxa"/>
            <w:vAlign w:val="center"/>
          </w:tcPr>
          <w:p w14:paraId="6C95BAAD">
            <w:pPr>
              <w:pStyle w:val="13"/>
            </w:pPr>
            <w:r>
              <w:t>50%</w:t>
            </w:r>
          </w:p>
        </w:tc>
        <w:tc>
          <w:tcPr>
            <w:tcW w:w="2551" w:type="dxa"/>
            <w:vAlign w:val="center"/>
          </w:tcPr>
          <w:p w14:paraId="2D571A60">
            <w:pPr>
              <w:pStyle w:val="13"/>
            </w:pPr>
            <w:r>
              <w:t>75%</w:t>
            </w:r>
          </w:p>
        </w:tc>
        <w:tc>
          <w:tcPr>
            <w:tcW w:w="3544" w:type="dxa"/>
            <w:gridSpan w:val="2"/>
            <w:vAlign w:val="center"/>
          </w:tcPr>
          <w:p w14:paraId="74D27901">
            <w:pPr>
              <w:pStyle w:val="13"/>
            </w:pPr>
            <w:r>
              <w:t>100%</w:t>
            </w:r>
          </w:p>
        </w:tc>
      </w:tr>
      <w:tr w14:paraId="5BB53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9A2EB">
            <w:pPr>
              <w:pStyle w:val="10"/>
            </w:pPr>
            <w:r>
              <w:t>绩效目标</w:t>
            </w:r>
          </w:p>
        </w:tc>
        <w:tc>
          <w:tcPr>
            <w:tcW w:w="14033" w:type="dxa"/>
            <w:gridSpan w:val="6"/>
            <w:vAlign w:val="center"/>
          </w:tcPr>
          <w:p w14:paraId="40EE1BBC">
            <w:pPr>
              <w:pStyle w:val="12"/>
            </w:pPr>
            <w:r>
              <w:t>1.保障义务教育学校正常运转，完成教育教学活动和其他日常工作任务等方面的费用支出。</w:t>
            </w:r>
          </w:p>
          <w:p w14:paraId="7332BD7E">
            <w:pPr>
              <w:pStyle w:val="12"/>
            </w:pPr>
            <w:r>
              <w:t>2.按季度分批次拨付公用经费资金44100元，资金拨付率达到100%。</w:t>
            </w:r>
          </w:p>
        </w:tc>
      </w:tr>
    </w:tbl>
    <w:p w14:paraId="04E37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4F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63DB5">
            <w:pPr>
              <w:pStyle w:val="10"/>
            </w:pPr>
            <w:r>
              <w:t>一级指标</w:t>
            </w:r>
          </w:p>
        </w:tc>
        <w:tc>
          <w:tcPr>
            <w:tcW w:w="2268" w:type="dxa"/>
            <w:vAlign w:val="center"/>
          </w:tcPr>
          <w:p w14:paraId="7BC5B2C1">
            <w:pPr>
              <w:pStyle w:val="10"/>
            </w:pPr>
            <w:r>
              <w:t>二级指标</w:t>
            </w:r>
          </w:p>
        </w:tc>
        <w:tc>
          <w:tcPr>
            <w:tcW w:w="2835" w:type="dxa"/>
            <w:vAlign w:val="center"/>
          </w:tcPr>
          <w:p w14:paraId="687EDD97">
            <w:pPr>
              <w:pStyle w:val="10"/>
            </w:pPr>
            <w:r>
              <w:t>三级指标</w:t>
            </w:r>
          </w:p>
        </w:tc>
        <w:tc>
          <w:tcPr>
            <w:tcW w:w="5386" w:type="dxa"/>
            <w:vAlign w:val="center"/>
          </w:tcPr>
          <w:p w14:paraId="3319C7DC">
            <w:pPr>
              <w:pStyle w:val="10"/>
            </w:pPr>
            <w:r>
              <w:t>绩效指标描述</w:t>
            </w:r>
          </w:p>
        </w:tc>
        <w:tc>
          <w:tcPr>
            <w:tcW w:w="2268" w:type="dxa"/>
            <w:vAlign w:val="center"/>
          </w:tcPr>
          <w:p w14:paraId="0E889930">
            <w:pPr>
              <w:pStyle w:val="10"/>
            </w:pPr>
            <w:r>
              <w:t>指标值</w:t>
            </w:r>
          </w:p>
        </w:tc>
        <w:tc>
          <w:tcPr>
            <w:tcW w:w="1276" w:type="dxa"/>
            <w:vAlign w:val="center"/>
          </w:tcPr>
          <w:p w14:paraId="45909CC2">
            <w:pPr>
              <w:pStyle w:val="10"/>
            </w:pPr>
            <w:r>
              <w:t>指标值确定依据</w:t>
            </w:r>
          </w:p>
        </w:tc>
      </w:tr>
      <w:tr w14:paraId="1635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17D85">
            <w:pPr>
              <w:pStyle w:val="13"/>
            </w:pPr>
            <w:r>
              <w:t>产出指标</w:t>
            </w:r>
          </w:p>
        </w:tc>
        <w:tc>
          <w:tcPr>
            <w:tcW w:w="2268" w:type="dxa"/>
            <w:vAlign w:val="center"/>
          </w:tcPr>
          <w:p w14:paraId="5A4D3406">
            <w:pPr>
              <w:pStyle w:val="12"/>
            </w:pPr>
            <w:r>
              <w:t>数量指标</w:t>
            </w:r>
          </w:p>
        </w:tc>
        <w:tc>
          <w:tcPr>
            <w:tcW w:w="2835" w:type="dxa"/>
            <w:vAlign w:val="center"/>
          </w:tcPr>
          <w:p w14:paraId="160141F8">
            <w:pPr>
              <w:pStyle w:val="12"/>
            </w:pPr>
            <w:r>
              <w:t>适龄在校生</w:t>
            </w:r>
          </w:p>
        </w:tc>
        <w:tc>
          <w:tcPr>
            <w:tcW w:w="5386" w:type="dxa"/>
            <w:vAlign w:val="center"/>
          </w:tcPr>
          <w:p w14:paraId="44DC8F2E">
            <w:pPr>
              <w:pStyle w:val="12"/>
            </w:pPr>
            <w:r>
              <w:t>适龄在校就读学生人数</w:t>
            </w:r>
          </w:p>
        </w:tc>
        <w:tc>
          <w:tcPr>
            <w:tcW w:w="2268" w:type="dxa"/>
            <w:vAlign w:val="center"/>
          </w:tcPr>
          <w:p w14:paraId="1872EA3B">
            <w:pPr>
              <w:pStyle w:val="12"/>
            </w:pPr>
            <w:r>
              <w:t>169人</w:t>
            </w:r>
          </w:p>
        </w:tc>
        <w:tc>
          <w:tcPr>
            <w:tcW w:w="1276" w:type="dxa"/>
            <w:vAlign w:val="center"/>
          </w:tcPr>
          <w:p w14:paraId="01C57769">
            <w:pPr>
              <w:pStyle w:val="12"/>
            </w:pPr>
            <w:r>
              <w:t>城乡义务教育公用经费管理办法</w:t>
            </w:r>
          </w:p>
        </w:tc>
      </w:tr>
      <w:tr w14:paraId="0281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96DF9"/>
        </w:tc>
        <w:tc>
          <w:tcPr>
            <w:tcW w:w="2268" w:type="dxa"/>
            <w:vAlign w:val="center"/>
          </w:tcPr>
          <w:p w14:paraId="7CC8D402">
            <w:pPr>
              <w:pStyle w:val="12"/>
            </w:pPr>
            <w:r>
              <w:t>质量指标</w:t>
            </w:r>
          </w:p>
        </w:tc>
        <w:tc>
          <w:tcPr>
            <w:tcW w:w="2835" w:type="dxa"/>
            <w:vAlign w:val="center"/>
          </w:tcPr>
          <w:p w14:paraId="10B5FBEA">
            <w:pPr>
              <w:pStyle w:val="12"/>
            </w:pPr>
            <w:r>
              <w:t>公用经费拨付完成率</w:t>
            </w:r>
          </w:p>
        </w:tc>
        <w:tc>
          <w:tcPr>
            <w:tcW w:w="5386" w:type="dxa"/>
            <w:vAlign w:val="center"/>
          </w:tcPr>
          <w:p w14:paraId="1A6EB06E">
            <w:pPr>
              <w:pStyle w:val="12"/>
            </w:pPr>
            <w:r>
              <w:t>公用经费拨付完成率达到需时进度</w:t>
            </w:r>
          </w:p>
        </w:tc>
        <w:tc>
          <w:tcPr>
            <w:tcW w:w="2268" w:type="dxa"/>
            <w:vAlign w:val="center"/>
          </w:tcPr>
          <w:p w14:paraId="7B62DE43">
            <w:pPr>
              <w:pStyle w:val="12"/>
            </w:pPr>
            <w:r>
              <w:t>100%</w:t>
            </w:r>
          </w:p>
        </w:tc>
        <w:tc>
          <w:tcPr>
            <w:tcW w:w="1276" w:type="dxa"/>
            <w:vAlign w:val="center"/>
          </w:tcPr>
          <w:p w14:paraId="7491EC32">
            <w:pPr>
              <w:pStyle w:val="12"/>
            </w:pPr>
            <w:r>
              <w:t>城乡义务教育公用经费管理办法</w:t>
            </w:r>
          </w:p>
        </w:tc>
      </w:tr>
      <w:tr w14:paraId="7D71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BE9AE"/>
        </w:tc>
        <w:tc>
          <w:tcPr>
            <w:tcW w:w="2268" w:type="dxa"/>
            <w:vAlign w:val="center"/>
          </w:tcPr>
          <w:p w14:paraId="1E4EDC47">
            <w:pPr>
              <w:pStyle w:val="12"/>
            </w:pPr>
            <w:r>
              <w:t>时效指标</w:t>
            </w:r>
          </w:p>
        </w:tc>
        <w:tc>
          <w:tcPr>
            <w:tcW w:w="2835" w:type="dxa"/>
            <w:vAlign w:val="center"/>
          </w:tcPr>
          <w:p w14:paraId="4DE24BC5">
            <w:pPr>
              <w:pStyle w:val="12"/>
            </w:pPr>
            <w:r>
              <w:t>资金支付率</w:t>
            </w:r>
          </w:p>
        </w:tc>
        <w:tc>
          <w:tcPr>
            <w:tcW w:w="5386" w:type="dxa"/>
            <w:vAlign w:val="center"/>
          </w:tcPr>
          <w:p w14:paraId="0F3E8741">
            <w:pPr>
              <w:pStyle w:val="12"/>
            </w:pPr>
            <w:r>
              <w:t>按照序时进度完成资金支付</w:t>
            </w:r>
          </w:p>
        </w:tc>
        <w:tc>
          <w:tcPr>
            <w:tcW w:w="2268" w:type="dxa"/>
            <w:vAlign w:val="center"/>
          </w:tcPr>
          <w:p w14:paraId="33CAC5AD">
            <w:pPr>
              <w:pStyle w:val="12"/>
            </w:pPr>
            <w:r>
              <w:t>100%</w:t>
            </w:r>
          </w:p>
        </w:tc>
        <w:tc>
          <w:tcPr>
            <w:tcW w:w="1276" w:type="dxa"/>
            <w:vAlign w:val="center"/>
          </w:tcPr>
          <w:p w14:paraId="7502C2C0">
            <w:pPr>
              <w:pStyle w:val="12"/>
            </w:pPr>
            <w:r>
              <w:t>城乡义务教育公用经费管理办法</w:t>
            </w:r>
          </w:p>
        </w:tc>
      </w:tr>
      <w:tr w14:paraId="568A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9DBDF"/>
        </w:tc>
        <w:tc>
          <w:tcPr>
            <w:tcW w:w="2268" w:type="dxa"/>
            <w:vAlign w:val="center"/>
          </w:tcPr>
          <w:p w14:paraId="2E2767A9">
            <w:pPr>
              <w:pStyle w:val="12"/>
            </w:pPr>
            <w:r>
              <w:t>成本指标</w:t>
            </w:r>
          </w:p>
        </w:tc>
        <w:tc>
          <w:tcPr>
            <w:tcW w:w="2835" w:type="dxa"/>
            <w:vAlign w:val="center"/>
          </w:tcPr>
          <w:p w14:paraId="7D781F06">
            <w:pPr>
              <w:pStyle w:val="12"/>
            </w:pPr>
            <w:r>
              <w:t>生均拨款标准</w:t>
            </w:r>
          </w:p>
        </w:tc>
        <w:tc>
          <w:tcPr>
            <w:tcW w:w="5386" w:type="dxa"/>
            <w:vAlign w:val="center"/>
          </w:tcPr>
          <w:p w14:paraId="6D22BF04">
            <w:pPr>
              <w:pStyle w:val="12"/>
            </w:pPr>
            <w:r>
              <w:t>小学：（基本标准720元、寄宿生300元、取暖费120元）/生/学年；特教、随班就读学生：标准7000元/生/学年。</w:t>
            </w:r>
          </w:p>
        </w:tc>
        <w:tc>
          <w:tcPr>
            <w:tcW w:w="2268" w:type="dxa"/>
            <w:vAlign w:val="center"/>
          </w:tcPr>
          <w:p w14:paraId="7BADC27D">
            <w:pPr>
              <w:pStyle w:val="12"/>
            </w:pPr>
            <w:r>
              <w:t>840元</w:t>
            </w:r>
          </w:p>
        </w:tc>
        <w:tc>
          <w:tcPr>
            <w:tcW w:w="1276" w:type="dxa"/>
            <w:vAlign w:val="center"/>
          </w:tcPr>
          <w:p w14:paraId="45F61329">
            <w:pPr>
              <w:pStyle w:val="12"/>
            </w:pPr>
            <w:r>
              <w:t>城乡义务教育公用经费管理办法</w:t>
            </w:r>
          </w:p>
        </w:tc>
      </w:tr>
      <w:tr w14:paraId="1774A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F08AF">
            <w:pPr>
              <w:pStyle w:val="13"/>
            </w:pPr>
            <w:r>
              <w:t>效益指标</w:t>
            </w:r>
          </w:p>
        </w:tc>
        <w:tc>
          <w:tcPr>
            <w:tcW w:w="2268" w:type="dxa"/>
            <w:vAlign w:val="center"/>
          </w:tcPr>
          <w:p w14:paraId="68A4874B">
            <w:pPr>
              <w:pStyle w:val="12"/>
            </w:pPr>
            <w:r>
              <w:t>经济效益指标</w:t>
            </w:r>
          </w:p>
        </w:tc>
        <w:tc>
          <w:tcPr>
            <w:tcW w:w="2835" w:type="dxa"/>
            <w:vAlign w:val="center"/>
          </w:tcPr>
          <w:p w14:paraId="15B8EB12">
            <w:pPr>
              <w:pStyle w:val="12"/>
            </w:pPr>
            <w:r>
              <w:t>项目实施成果</w:t>
            </w:r>
          </w:p>
        </w:tc>
        <w:tc>
          <w:tcPr>
            <w:tcW w:w="5386" w:type="dxa"/>
            <w:vAlign w:val="center"/>
          </w:tcPr>
          <w:p w14:paraId="123EAE97">
            <w:pPr>
              <w:pStyle w:val="12"/>
            </w:pPr>
            <w:r>
              <w:t>减轻受教育学生家庭经济负担</w:t>
            </w:r>
          </w:p>
        </w:tc>
        <w:tc>
          <w:tcPr>
            <w:tcW w:w="2268" w:type="dxa"/>
            <w:vAlign w:val="center"/>
          </w:tcPr>
          <w:p w14:paraId="416CBDC6">
            <w:pPr>
              <w:pStyle w:val="12"/>
            </w:pPr>
            <w:r>
              <w:t>100%</w:t>
            </w:r>
          </w:p>
        </w:tc>
        <w:tc>
          <w:tcPr>
            <w:tcW w:w="1276" w:type="dxa"/>
            <w:vAlign w:val="center"/>
          </w:tcPr>
          <w:p w14:paraId="3301BCE3">
            <w:pPr>
              <w:pStyle w:val="12"/>
            </w:pPr>
            <w:r>
              <w:t>城乡义务教育公用经费管理办法</w:t>
            </w:r>
          </w:p>
        </w:tc>
      </w:tr>
      <w:tr w14:paraId="20EE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E8DBE"/>
        </w:tc>
        <w:tc>
          <w:tcPr>
            <w:tcW w:w="2268" w:type="dxa"/>
            <w:vAlign w:val="center"/>
          </w:tcPr>
          <w:p w14:paraId="12FF829D">
            <w:pPr>
              <w:pStyle w:val="12"/>
            </w:pPr>
            <w:r>
              <w:t>社会效益指标</w:t>
            </w:r>
          </w:p>
        </w:tc>
        <w:tc>
          <w:tcPr>
            <w:tcW w:w="2835" w:type="dxa"/>
            <w:vAlign w:val="center"/>
          </w:tcPr>
          <w:p w14:paraId="701E4271">
            <w:pPr>
              <w:pStyle w:val="12"/>
            </w:pPr>
            <w:r>
              <w:t>学校办学能力提升</w:t>
            </w:r>
          </w:p>
        </w:tc>
        <w:tc>
          <w:tcPr>
            <w:tcW w:w="5386" w:type="dxa"/>
            <w:vAlign w:val="center"/>
          </w:tcPr>
          <w:p w14:paraId="7AEABADA">
            <w:pPr>
              <w:pStyle w:val="12"/>
            </w:pPr>
            <w:r>
              <w:t>学校办学能</w:t>
            </w:r>
            <w:r>
              <w:rPr>
                <w:rFonts w:hint="eastAsia"/>
                <w:lang w:eastAsia="zh-CN"/>
              </w:rPr>
              <w:t>力提</w:t>
            </w:r>
            <w:r>
              <w:t>升情况及教育教学工作等开展的情况</w:t>
            </w:r>
          </w:p>
        </w:tc>
        <w:tc>
          <w:tcPr>
            <w:tcW w:w="2268" w:type="dxa"/>
            <w:vAlign w:val="center"/>
          </w:tcPr>
          <w:p w14:paraId="6C0DBDC3">
            <w:pPr>
              <w:pStyle w:val="12"/>
            </w:pPr>
            <w:r>
              <w:t>100%</w:t>
            </w:r>
          </w:p>
        </w:tc>
        <w:tc>
          <w:tcPr>
            <w:tcW w:w="1276" w:type="dxa"/>
            <w:vAlign w:val="center"/>
          </w:tcPr>
          <w:p w14:paraId="7B197932">
            <w:pPr>
              <w:pStyle w:val="12"/>
            </w:pPr>
            <w:r>
              <w:t>城乡义务教育公用经费管理办法</w:t>
            </w:r>
          </w:p>
        </w:tc>
      </w:tr>
      <w:tr w14:paraId="3A371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C3797"/>
        </w:tc>
        <w:tc>
          <w:tcPr>
            <w:tcW w:w="2268" w:type="dxa"/>
            <w:vAlign w:val="center"/>
          </w:tcPr>
          <w:p w14:paraId="3BB2F453">
            <w:pPr>
              <w:pStyle w:val="12"/>
            </w:pPr>
            <w:r>
              <w:t>可持续影响指标</w:t>
            </w:r>
          </w:p>
        </w:tc>
        <w:tc>
          <w:tcPr>
            <w:tcW w:w="2835" w:type="dxa"/>
            <w:vAlign w:val="center"/>
          </w:tcPr>
          <w:p w14:paraId="11BA3E5D">
            <w:pPr>
              <w:pStyle w:val="12"/>
            </w:pPr>
            <w:r>
              <w:t>教育发展水平</w:t>
            </w:r>
          </w:p>
        </w:tc>
        <w:tc>
          <w:tcPr>
            <w:tcW w:w="5386" w:type="dxa"/>
            <w:vAlign w:val="center"/>
          </w:tcPr>
          <w:p w14:paraId="26189F29">
            <w:pPr>
              <w:pStyle w:val="12"/>
            </w:pPr>
            <w:r>
              <w:t>辖区内教育环境明显好转</w:t>
            </w:r>
          </w:p>
        </w:tc>
        <w:tc>
          <w:tcPr>
            <w:tcW w:w="2268" w:type="dxa"/>
            <w:vAlign w:val="center"/>
          </w:tcPr>
          <w:p w14:paraId="70ACE374">
            <w:pPr>
              <w:pStyle w:val="12"/>
            </w:pPr>
            <w:r>
              <w:t>100%</w:t>
            </w:r>
          </w:p>
        </w:tc>
        <w:tc>
          <w:tcPr>
            <w:tcW w:w="1276" w:type="dxa"/>
            <w:vAlign w:val="center"/>
          </w:tcPr>
          <w:p w14:paraId="35161DCD">
            <w:pPr>
              <w:pStyle w:val="12"/>
            </w:pPr>
            <w:r>
              <w:t>城乡义务教育公用经费管理办法</w:t>
            </w:r>
          </w:p>
        </w:tc>
      </w:tr>
      <w:tr w14:paraId="067A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03FD4">
            <w:pPr>
              <w:pStyle w:val="13"/>
            </w:pPr>
            <w:r>
              <w:t>满意度指标</w:t>
            </w:r>
          </w:p>
        </w:tc>
        <w:tc>
          <w:tcPr>
            <w:tcW w:w="2268" w:type="dxa"/>
            <w:vAlign w:val="center"/>
          </w:tcPr>
          <w:p w14:paraId="3BE2483C">
            <w:pPr>
              <w:pStyle w:val="12"/>
            </w:pPr>
            <w:r>
              <w:t>服务对象满意度指标</w:t>
            </w:r>
          </w:p>
        </w:tc>
        <w:tc>
          <w:tcPr>
            <w:tcW w:w="2835" w:type="dxa"/>
            <w:vAlign w:val="center"/>
          </w:tcPr>
          <w:p w14:paraId="564B58AA">
            <w:pPr>
              <w:pStyle w:val="12"/>
            </w:pPr>
            <w:r>
              <w:t>受益学生家长及调查满意度</w:t>
            </w:r>
          </w:p>
        </w:tc>
        <w:tc>
          <w:tcPr>
            <w:tcW w:w="5386" w:type="dxa"/>
            <w:vAlign w:val="center"/>
          </w:tcPr>
          <w:p w14:paraId="4D21B702">
            <w:pPr>
              <w:pStyle w:val="12"/>
            </w:pPr>
            <w:r>
              <w:t>学生、教师及家长对学校保教保育工作满意度情况</w:t>
            </w:r>
          </w:p>
        </w:tc>
        <w:tc>
          <w:tcPr>
            <w:tcW w:w="2268" w:type="dxa"/>
            <w:vAlign w:val="center"/>
          </w:tcPr>
          <w:p w14:paraId="2AA0361A">
            <w:pPr>
              <w:pStyle w:val="12"/>
            </w:pPr>
            <w:r>
              <w:t>≥95%</w:t>
            </w:r>
          </w:p>
        </w:tc>
        <w:tc>
          <w:tcPr>
            <w:tcW w:w="1276" w:type="dxa"/>
            <w:vAlign w:val="center"/>
          </w:tcPr>
          <w:p w14:paraId="6321A90B">
            <w:pPr>
              <w:pStyle w:val="12"/>
            </w:pPr>
            <w:r>
              <w:t>城乡义务教育公用经费管理办法</w:t>
            </w:r>
          </w:p>
        </w:tc>
      </w:tr>
    </w:tbl>
    <w:p w14:paraId="3227CE3D">
      <w:pPr>
        <w:sectPr>
          <w:pgSz w:w="16840" w:h="11900" w:orient="landscape"/>
          <w:pgMar w:top="1361" w:right="1020" w:bottom="1134" w:left="1020" w:header="720" w:footer="720" w:gutter="0"/>
          <w:cols w:space="720" w:num="1"/>
        </w:sectPr>
      </w:pPr>
    </w:p>
    <w:p w14:paraId="6C1DE7AD">
      <w:pPr>
        <w:spacing w:before="0" w:after="0"/>
        <w:ind w:firstLine="560"/>
        <w:jc w:val="left"/>
        <w:outlineLvl w:val="9"/>
      </w:pPr>
      <w:r>
        <w:rPr>
          <w:rFonts w:ascii="方正仿宋_GBK" w:hAnsi="方正仿宋_GBK" w:eastAsia="方正仿宋_GBK" w:cs="方正仿宋_GBK"/>
          <w:b/>
          <w:color w:val="000000"/>
          <w:sz w:val="28"/>
        </w:rPr>
        <w:t>21、冀财教[2025]147号/省级/2026年义教补助经费/东良校区南位小学公用经费绩效目标表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44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5B8D9">
            <w:pPr>
              <w:pStyle w:val="11"/>
            </w:pPr>
            <w:r>
              <w:t>单位：万元</w:t>
            </w:r>
          </w:p>
        </w:tc>
      </w:tr>
      <w:tr w14:paraId="1AB72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57143">
            <w:pPr>
              <w:pStyle w:val="10"/>
            </w:pPr>
            <w:r>
              <w:t>项目编码</w:t>
            </w:r>
          </w:p>
        </w:tc>
        <w:tc>
          <w:tcPr>
            <w:tcW w:w="5103" w:type="dxa"/>
            <w:gridSpan w:val="2"/>
            <w:vAlign w:val="center"/>
          </w:tcPr>
          <w:p w14:paraId="6FAAB4F9">
            <w:pPr>
              <w:pStyle w:val="12"/>
            </w:pPr>
            <w:r>
              <w:t>13052526P00000410355P</w:t>
            </w:r>
          </w:p>
        </w:tc>
        <w:tc>
          <w:tcPr>
            <w:tcW w:w="2835" w:type="dxa"/>
            <w:vAlign w:val="center"/>
          </w:tcPr>
          <w:p w14:paraId="17BB8BD4">
            <w:pPr>
              <w:pStyle w:val="10"/>
            </w:pPr>
            <w:r>
              <w:t>项目名称</w:t>
            </w:r>
          </w:p>
        </w:tc>
        <w:tc>
          <w:tcPr>
            <w:tcW w:w="6095" w:type="dxa"/>
            <w:gridSpan w:val="3"/>
            <w:vAlign w:val="center"/>
          </w:tcPr>
          <w:p w14:paraId="2E14A210">
            <w:pPr>
              <w:pStyle w:val="12"/>
            </w:pPr>
            <w:r>
              <w:t>冀财教[2025]147号/省级/2026年义教补助经费/东良校区南位小学公用经费</w:t>
            </w:r>
          </w:p>
        </w:tc>
      </w:tr>
      <w:tr w14:paraId="73FF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0C35A">
            <w:pPr>
              <w:pStyle w:val="10"/>
            </w:pPr>
            <w:r>
              <w:t>预算规模及资金用途</w:t>
            </w:r>
          </w:p>
        </w:tc>
        <w:tc>
          <w:tcPr>
            <w:tcW w:w="2268" w:type="dxa"/>
            <w:vAlign w:val="center"/>
          </w:tcPr>
          <w:p w14:paraId="55357D4E">
            <w:pPr>
              <w:pStyle w:val="10"/>
            </w:pPr>
            <w:r>
              <w:t>预算数</w:t>
            </w:r>
          </w:p>
        </w:tc>
        <w:tc>
          <w:tcPr>
            <w:tcW w:w="2835" w:type="dxa"/>
            <w:vAlign w:val="center"/>
          </w:tcPr>
          <w:p w14:paraId="394A5A4F">
            <w:pPr>
              <w:pStyle w:val="12"/>
            </w:pPr>
            <w:r>
              <w:t>19.39</w:t>
            </w:r>
          </w:p>
        </w:tc>
        <w:tc>
          <w:tcPr>
            <w:tcW w:w="2835" w:type="dxa"/>
            <w:vAlign w:val="center"/>
          </w:tcPr>
          <w:p w14:paraId="6AD5C712">
            <w:pPr>
              <w:pStyle w:val="10"/>
            </w:pPr>
            <w:r>
              <w:t>其中：财政    资金</w:t>
            </w:r>
          </w:p>
        </w:tc>
        <w:tc>
          <w:tcPr>
            <w:tcW w:w="2551" w:type="dxa"/>
            <w:vAlign w:val="center"/>
          </w:tcPr>
          <w:p w14:paraId="2E870269">
            <w:pPr>
              <w:pStyle w:val="12"/>
            </w:pPr>
            <w:r>
              <w:t>19.39</w:t>
            </w:r>
          </w:p>
        </w:tc>
        <w:tc>
          <w:tcPr>
            <w:tcW w:w="2268" w:type="dxa"/>
            <w:vAlign w:val="center"/>
          </w:tcPr>
          <w:p w14:paraId="58F121C4">
            <w:pPr>
              <w:pStyle w:val="10"/>
            </w:pPr>
            <w:r>
              <w:t>其他资金</w:t>
            </w:r>
          </w:p>
        </w:tc>
        <w:tc>
          <w:tcPr>
            <w:tcW w:w="1276" w:type="dxa"/>
            <w:vAlign w:val="center"/>
          </w:tcPr>
          <w:p w14:paraId="02E98CF8">
            <w:pPr>
              <w:pStyle w:val="12"/>
            </w:pPr>
            <w:r>
              <w:t xml:space="preserve"> </w:t>
            </w:r>
          </w:p>
        </w:tc>
      </w:tr>
      <w:tr w14:paraId="3BE33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1FB3D"/>
        </w:tc>
        <w:tc>
          <w:tcPr>
            <w:tcW w:w="14033" w:type="dxa"/>
            <w:gridSpan w:val="6"/>
            <w:vAlign w:val="center"/>
          </w:tcPr>
          <w:p w14:paraId="46E03AEE">
            <w:pPr>
              <w:pStyle w:val="12"/>
            </w:pPr>
            <w:r>
              <w:t>保障义务教育学校正常运转，完成教育教学活动和其他日常工作任务等方面的费用支出。</w:t>
            </w:r>
          </w:p>
        </w:tc>
      </w:tr>
      <w:tr w14:paraId="18703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F1E5B">
            <w:pPr>
              <w:pStyle w:val="10"/>
            </w:pPr>
            <w:r>
              <w:t>资金支出计划（%）</w:t>
            </w:r>
          </w:p>
        </w:tc>
        <w:tc>
          <w:tcPr>
            <w:tcW w:w="5103" w:type="dxa"/>
            <w:gridSpan w:val="2"/>
            <w:vAlign w:val="center"/>
          </w:tcPr>
          <w:p w14:paraId="2FAD4824">
            <w:pPr>
              <w:pStyle w:val="10"/>
            </w:pPr>
            <w:r>
              <w:t>3月底</w:t>
            </w:r>
          </w:p>
        </w:tc>
        <w:tc>
          <w:tcPr>
            <w:tcW w:w="2835" w:type="dxa"/>
            <w:vAlign w:val="center"/>
          </w:tcPr>
          <w:p w14:paraId="65290EC8">
            <w:pPr>
              <w:pStyle w:val="10"/>
            </w:pPr>
            <w:r>
              <w:t>6月底</w:t>
            </w:r>
          </w:p>
        </w:tc>
        <w:tc>
          <w:tcPr>
            <w:tcW w:w="2551" w:type="dxa"/>
            <w:vAlign w:val="center"/>
          </w:tcPr>
          <w:p w14:paraId="7EB638E6">
            <w:pPr>
              <w:pStyle w:val="10"/>
            </w:pPr>
            <w:r>
              <w:t>10月底</w:t>
            </w:r>
          </w:p>
        </w:tc>
        <w:tc>
          <w:tcPr>
            <w:tcW w:w="3544" w:type="dxa"/>
            <w:gridSpan w:val="2"/>
            <w:vAlign w:val="center"/>
          </w:tcPr>
          <w:p w14:paraId="782D1F09">
            <w:pPr>
              <w:pStyle w:val="10"/>
            </w:pPr>
            <w:r>
              <w:t>12月底</w:t>
            </w:r>
          </w:p>
        </w:tc>
      </w:tr>
      <w:tr w14:paraId="4667A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8BD28"/>
        </w:tc>
        <w:tc>
          <w:tcPr>
            <w:tcW w:w="5103" w:type="dxa"/>
            <w:gridSpan w:val="2"/>
            <w:vAlign w:val="center"/>
          </w:tcPr>
          <w:p w14:paraId="581980B6">
            <w:pPr>
              <w:pStyle w:val="13"/>
            </w:pPr>
            <w:r>
              <w:t>25%</w:t>
            </w:r>
          </w:p>
        </w:tc>
        <w:tc>
          <w:tcPr>
            <w:tcW w:w="2835" w:type="dxa"/>
            <w:vAlign w:val="center"/>
          </w:tcPr>
          <w:p w14:paraId="50D44985">
            <w:pPr>
              <w:pStyle w:val="13"/>
            </w:pPr>
            <w:r>
              <w:t>50%</w:t>
            </w:r>
          </w:p>
        </w:tc>
        <w:tc>
          <w:tcPr>
            <w:tcW w:w="2551" w:type="dxa"/>
            <w:vAlign w:val="center"/>
          </w:tcPr>
          <w:p w14:paraId="1F3FCDFB">
            <w:pPr>
              <w:pStyle w:val="13"/>
            </w:pPr>
            <w:r>
              <w:t>75%</w:t>
            </w:r>
          </w:p>
        </w:tc>
        <w:tc>
          <w:tcPr>
            <w:tcW w:w="3544" w:type="dxa"/>
            <w:gridSpan w:val="2"/>
            <w:vAlign w:val="center"/>
          </w:tcPr>
          <w:p w14:paraId="68B5B889">
            <w:pPr>
              <w:pStyle w:val="13"/>
            </w:pPr>
            <w:r>
              <w:t>100%</w:t>
            </w:r>
          </w:p>
        </w:tc>
      </w:tr>
      <w:tr w14:paraId="565E7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A18B0">
            <w:pPr>
              <w:pStyle w:val="10"/>
            </w:pPr>
            <w:r>
              <w:t>绩效目标</w:t>
            </w:r>
          </w:p>
        </w:tc>
        <w:tc>
          <w:tcPr>
            <w:tcW w:w="14033" w:type="dxa"/>
            <w:gridSpan w:val="6"/>
            <w:vAlign w:val="center"/>
          </w:tcPr>
          <w:p w14:paraId="328DC50D">
            <w:pPr>
              <w:pStyle w:val="12"/>
            </w:pPr>
            <w:r>
              <w:t>1.保障义务教育学校正常运转，完成教育教学活动和其他日常工作任务等方面的费用支出。</w:t>
            </w:r>
          </w:p>
          <w:p w14:paraId="2E350A42">
            <w:pPr>
              <w:pStyle w:val="12"/>
            </w:pPr>
            <w:r>
              <w:t>2.按季度分批次拨付公用经费资金193900元，资金拨付率达到100%。</w:t>
            </w:r>
          </w:p>
        </w:tc>
      </w:tr>
    </w:tbl>
    <w:p w14:paraId="6A426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7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56929">
            <w:pPr>
              <w:pStyle w:val="10"/>
            </w:pPr>
            <w:r>
              <w:t>一级指标</w:t>
            </w:r>
          </w:p>
        </w:tc>
        <w:tc>
          <w:tcPr>
            <w:tcW w:w="2268" w:type="dxa"/>
            <w:vAlign w:val="center"/>
          </w:tcPr>
          <w:p w14:paraId="226E6C68">
            <w:pPr>
              <w:pStyle w:val="10"/>
            </w:pPr>
            <w:r>
              <w:t>二级指标</w:t>
            </w:r>
          </w:p>
        </w:tc>
        <w:tc>
          <w:tcPr>
            <w:tcW w:w="2835" w:type="dxa"/>
            <w:vAlign w:val="center"/>
          </w:tcPr>
          <w:p w14:paraId="307F13F2">
            <w:pPr>
              <w:pStyle w:val="10"/>
            </w:pPr>
            <w:r>
              <w:t>三级指标</w:t>
            </w:r>
          </w:p>
        </w:tc>
        <w:tc>
          <w:tcPr>
            <w:tcW w:w="5386" w:type="dxa"/>
            <w:vAlign w:val="center"/>
          </w:tcPr>
          <w:p w14:paraId="58726E5A">
            <w:pPr>
              <w:pStyle w:val="10"/>
            </w:pPr>
            <w:r>
              <w:t>绩效指标描述</w:t>
            </w:r>
          </w:p>
        </w:tc>
        <w:tc>
          <w:tcPr>
            <w:tcW w:w="2268" w:type="dxa"/>
            <w:vAlign w:val="center"/>
          </w:tcPr>
          <w:p w14:paraId="6C70195B">
            <w:pPr>
              <w:pStyle w:val="10"/>
            </w:pPr>
            <w:r>
              <w:t>指标值</w:t>
            </w:r>
          </w:p>
        </w:tc>
        <w:tc>
          <w:tcPr>
            <w:tcW w:w="1276" w:type="dxa"/>
            <w:vAlign w:val="center"/>
          </w:tcPr>
          <w:p w14:paraId="00829603">
            <w:pPr>
              <w:pStyle w:val="10"/>
            </w:pPr>
            <w:r>
              <w:t>指标值确定依据</w:t>
            </w:r>
          </w:p>
        </w:tc>
      </w:tr>
      <w:tr w14:paraId="339E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1F897">
            <w:pPr>
              <w:pStyle w:val="13"/>
            </w:pPr>
            <w:r>
              <w:t>产出指标</w:t>
            </w:r>
          </w:p>
        </w:tc>
        <w:tc>
          <w:tcPr>
            <w:tcW w:w="2268" w:type="dxa"/>
            <w:vAlign w:val="center"/>
          </w:tcPr>
          <w:p w14:paraId="2756BCCE">
            <w:pPr>
              <w:pStyle w:val="12"/>
            </w:pPr>
            <w:r>
              <w:t>数量指标</w:t>
            </w:r>
          </w:p>
        </w:tc>
        <w:tc>
          <w:tcPr>
            <w:tcW w:w="2835" w:type="dxa"/>
            <w:vAlign w:val="center"/>
          </w:tcPr>
          <w:p w14:paraId="53E9550D">
            <w:pPr>
              <w:pStyle w:val="12"/>
            </w:pPr>
            <w:r>
              <w:t>适龄在校生</w:t>
            </w:r>
          </w:p>
        </w:tc>
        <w:tc>
          <w:tcPr>
            <w:tcW w:w="5386" w:type="dxa"/>
            <w:vAlign w:val="center"/>
          </w:tcPr>
          <w:p w14:paraId="27D7A187">
            <w:pPr>
              <w:pStyle w:val="12"/>
            </w:pPr>
            <w:r>
              <w:t>适龄在校就读学生人数</w:t>
            </w:r>
          </w:p>
        </w:tc>
        <w:tc>
          <w:tcPr>
            <w:tcW w:w="2268" w:type="dxa"/>
            <w:vAlign w:val="center"/>
          </w:tcPr>
          <w:p w14:paraId="61174BC6">
            <w:pPr>
              <w:pStyle w:val="12"/>
            </w:pPr>
            <w:r>
              <w:t>625人</w:t>
            </w:r>
          </w:p>
        </w:tc>
        <w:tc>
          <w:tcPr>
            <w:tcW w:w="1276" w:type="dxa"/>
            <w:vAlign w:val="center"/>
          </w:tcPr>
          <w:p w14:paraId="795ADAB7">
            <w:pPr>
              <w:pStyle w:val="12"/>
            </w:pPr>
            <w:r>
              <w:t>城乡义务教育公用经费管理办法</w:t>
            </w:r>
          </w:p>
        </w:tc>
      </w:tr>
      <w:tr w14:paraId="02DA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790CD"/>
        </w:tc>
        <w:tc>
          <w:tcPr>
            <w:tcW w:w="2268" w:type="dxa"/>
            <w:vAlign w:val="center"/>
          </w:tcPr>
          <w:p w14:paraId="18FB2808">
            <w:pPr>
              <w:pStyle w:val="12"/>
            </w:pPr>
            <w:r>
              <w:t>质量指标</w:t>
            </w:r>
          </w:p>
        </w:tc>
        <w:tc>
          <w:tcPr>
            <w:tcW w:w="2835" w:type="dxa"/>
            <w:vAlign w:val="center"/>
          </w:tcPr>
          <w:p w14:paraId="2279999C">
            <w:pPr>
              <w:pStyle w:val="12"/>
            </w:pPr>
            <w:r>
              <w:t>公用经费拨付完成率</w:t>
            </w:r>
          </w:p>
        </w:tc>
        <w:tc>
          <w:tcPr>
            <w:tcW w:w="5386" w:type="dxa"/>
            <w:vAlign w:val="center"/>
          </w:tcPr>
          <w:p w14:paraId="4BF4FB76">
            <w:pPr>
              <w:pStyle w:val="12"/>
            </w:pPr>
            <w:r>
              <w:t>公用经费拨付完成率达到需时进度</w:t>
            </w:r>
          </w:p>
        </w:tc>
        <w:tc>
          <w:tcPr>
            <w:tcW w:w="2268" w:type="dxa"/>
            <w:vAlign w:val="center"/>
          </w:tcPr>
          <w:p w14:paraId="5D3BA14B">
            <w:pPr>
              <w:pStyle w:val="12"/>
            </w:pPr>
            <w:r>
              <w:t>100%</w:t>
            </w:r>
          </w:p>
        </w:tc>
        <w:tc>
          <w:tcPr>
            <w:tcW w:w="1276" w:type="dxa"/>
            <w:vAlign w:val="center"/>
          </w:tcPr>
          <w:p w14:paraId="5BAA6A33">
            <w:pPr>
              <w:pStyle w:val="12"/>
            </w:pPr>
            <w:r>
              <w:t>城乡义务教育公用经费管理办法</w:t>
            </w:r>
          </w:p>
        </w:tc>
      </w:tr>
      <w:tr w14:paraId="1A17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6AA64"/>
        </w:tc>
        <w:tc>
          <w:tcPr>
            <w:tcW w:w="2268" w:type="dxa"/>
            <w:vAlign w:val="center"/>
          </w:tcPr>
          <w:p w14:paraId="2AAB742E">
            <w:pPr>
              <w:pStyle w:val="12"/>
            </w:pPr>
            <w:r>
              <w:t>时效指标</w:t>
            </w:r>
          </w:p>
        </w:tc>
        <w:tc>
          <w:tcPr>
            <w:tcW w:w="2835" w:type="dxa"/>
            <w:vAlign w:val="center"/>
          </w:tcPr>
          <w:p w14:paraId="68E1A18F">
            <w:pPr>
              <w:pStyle w:val="12"/>
            </w:pPr>
            <w:r>
              <w:t>资金支付率</w:t>
            </w:r>
          </w:p>
        </w:tc>
        <w:tc>
          <w:tcPr>
            <w:tcW w:w="5386" w:type="dxa"/>
            <w:vAlign w:val="center"/>
          </w:tcPr>
          <w:p w14:paraId="15044613">
            <w:pPr>
              <w:pStyle w:val="12"/>
            </w:pPr>
            <w:r>
              <w:t>按照序时进度完成资金支付</w:t>
            </w:r>
          </w:p>
        </w:tc>
        <w:tc>
          <w:tcPr>
            <w:tcW w:w="2268" w:type="dxa"/>
            <w:vAlign w:val="center"/>
          </w:tcPr>
          <w:p w14:paraId="466E917E">
            <w:pPr>
              <w:pStyle w:val="12"/>
            </w:pPr>
            <w:r>
              <w:t>100%</w:t>
            </w:r>
          </w:p>
        </w:tc>
        <w:tc>
          <w:tcPr>
            <w:tcW w:w="1276" w:type="dxa"/>
            <w:vAlign w:val="center"/>
          </w:tcPr>
          <w:p w14:paraId="5211EF67">
            <w:pPr>
              <w:pStyle w:val="12"/>
            </w:pPr>
            <w:r>
              <w:t>城乡义务教育公用经费管理办法</w:t>
            </w:r>
          </w:p>
        </w:tc>
      </w:tr>
      <w:tr w14:paraId="0684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0B0BC"/>
        </w:tc>
        <w:tc>
          <w:tcPr>
            <w:tcW w:w="2268" w:type="dxa"/>
            <w:vAlign w:val="center"/>
          </w:tcPr>
          <w:p w14:paraId="048C42A2">
            <w:pPr>
              <w:pStyle w:val="12"/>
            </w:pPr>
            <w:r>
              <w:t>成本指标</w:t>
            </w:r>
          </w:p>
        </w:tc>
        <w:tc>
          <w:tcPr>
            <w:tcW w:w="2835" w:type="dxa"/>
            <w:vAlign w:val="center"/>
          </w:tcPr>
          <w:p w14:paraId="234B9FD0">
            <w:pPr>
              <w:pStyle w:val="12"/>
            </w:pPr>
            <w:r>
              <w:t>生均拨款标准</w:t>
            </w:r>
          </w:p>
        </w:tc>
        <w:tc>
          <w:tcPr>
            <w:tcW w:w="5386" w:type="dxa"/>
            <w:vAlign w:val="center"/>
          </w:tcPr>
          <w:p w14:paraId="5907E00E">
            <w:pPr>
              <w:pStyle w:val="12"/>
            </w:pPr>
            <w:r>
              <w:t>小学：（基本标准720元、寄宿生300元、取暖费120元）/生/学年；特教、随班就读学生：标准7000元/生/学年。</w:t>
            </w:r>
          </w:p>
        </w:tc>
        <w:tc>
          <w:tcPr>
            <w:tcW w:w="2268" w:type="dxa"/>
            <w:vAlign w:val="center"/>
          </w:tcPr>
          <w:p w14:paraId="7C57F0ED">
            <w:pPr>
              <w:pStyle w:val="12"/>
            </w:pPr>
            <w:r>
              <w:t>840元</w:t>
            </w:r>
          </w:p>
        </w:tc>
        <w:tc>
          <w:tcPr>
            <w:tcW w:w="1276" w:type="dxa"/>
            <w:vAlign w:val="center"/>
          </w:tcPr>
          <w:p w14:paraId="21B35A60">
            <w:pPr>
              <w:pStyle w:val="12"/>
            </w:pPr>
            <w:r>
              <w:t>城乡义务教育公用经费管理办法</w:t>
            </w:r>
          </w:p>
        </w:tc>
      </w:tr>
      <w:tr w14:paraId="3A48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49A9C">
            <w:pPr>
              <w:pStyle w:val="13"/>
            </w:pPr>
            <w:r>
              <w:t>效益指标</w:t>
            </w:r>
          </w:p>
        </w:tc>
        <w:tc>
          <w:tcPr>
            <w:tcW w:w="2268" w:type="dxa"/>
            <w:vAlign w:val="center"/>
          </w:tcPr>
          <w:p w14:paraId="46958A25">
            <w:pPr>
              <w:pStyle w:val="12"/>
            </w:pPr>
            <w:r>
              <w:t>经济效益指标</w:t>
            </w:r>
          </w:p>
        </w:tc>
        <w:tc>
          <w:tcPr>
            <w:tcW w:w="2835" w:type="dxa"/>
            <w:vAlign w:val="center"/>
          </w:tcPr>
          <w:p w14:paraId="65DC40D2">
            <w:pPr>
              <w:pStyle w:val="12"/>
            </w:pPr>
            <w:r>
              <w:t>项目实施成果</w:t>
            </w:r>
          </w:p>
        </w:tc>
        <w:tc>
          <w:tcPr>
            <w:tcW w:w="5386" w:type="dxa"/>
            <w:vAlign w:val="center"/>
          </w:tcPr>
          <w:p w14:paraId="673C5D1F">
            <w:pPr>
              <w:pStyle w:val="12"/>
            </w:pPr>
            <w:r>
              <w:t>减轻受教育学生家庭经济负担</w:t>
            </w:r>
          </w:p>
        </w:tc>
        <w:tc>
          <w:tcPr>
            <w:tcW w:w="2268" w:type="dxa"/>
            <w:vAlign w:val="center"/>
          </w:tcPr>
          <w:p w14:paraId="43162D7B">
            <w:pPr>
              <w:pStyle w:val="12"/>
            </w:pPr>
            <w:r>
              <w:t>100%</w:t>
            </w:r>
          </w:p>
        </w:tc>
        <w:tc>
          <w:tcPr>
            <w:tcW w:w="1276" w:type="dxa"/>
            <w:vAlign w:val="center"/>
          </w:tcPr>
          <w:p w14:paraId="355E9F14">
            <w:pPr>
              <w:pStyle w:val="12"/>
            </w:pPr>
            <w:r>
              <w:t>城乡义务教育公用经费管理办法</w:t>
            </w:r>
          </w:p>
        </w:tc>
      </w:tr>
      <w:tr w14:paraId="3BF4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73A81"/>
        </w:tc>
        <w:tc>
          <w:tcPr>
            <w:tcW w:w="2268" w:type="dxa"/>
            <w:vAlign w:val="center"/>
          </w:tcPr>
          <w:p w14:paraId="3992BBCB">
            <w:pPr>
              <w:pStyle w:val="12"/>
            </w:pPr>
            <w:r>
              <w:t>社会效益指标</w:t>
            </w:r>
          </w:p>
        </w:tc>
        <w:tc>
          <w:tcPr>
            <w:tcW w:w="2835" w:type="dxa"/>
            <w:vAlign w:val="center"/>
          </w:tcPr>
          <w:p w14:paraId="33130246">
            <w:pPr>
              <w:pStyle w:val="12"/>
            </w:pPr>
            <w:r>
              <w:t>学校办学能力提升</w:t>
            </w:r>
          </w:p>
        </w:tc>
        <w:tc>
          <w:tcPr>
            <w:tcW w:w="5386" w:type="dxa"/>
            <w:vAlign w:val="center"/>
          </w:tcPr>
          <w:p w14:paraId="4CB4C2AD">
            <w:pPr>
              <w:pStyle w:val="12"/>
            </w:pPr>
            <w:r>
              <w:t>学校办学能</w:t>
            </w:r>
            <w:r>
              <w:rPr>
                <w:rFonts w:hint="eastAsia"/>
                <w:lang w:eastAsia="zh-CN"/>
              </w:rPr>
              <w:t>力提</w:t>
            </w:r>
            <w:r>
              <w:t>升情况及教育教学工作等开展的情况</w:t>
            </w:r>
          </w:p>
        </w:tc>
        <w:tc>
          <w:tcPr>
            <w:tcW w:w="2268" w:type="dxa"/>
            <w:vAlign w:val="center"/>
          </w:tcPr>
          <w:p w14:paraId="3BAFA08B">
            <w:pPr>
              <w:pStyle w:val="12"/>
            </w:pPr>
            <w:r>
              <w:t>100%</w:t>
            </w:r>
          </w:p>
        </w:tc>
        <w:tc>
          <w:tcPr>
            <w:tcW w:w="1276" w:type="dxa"/>
            <w:vAlign w:val="center"/>
          </w:tcPr>
          <w:p w14:paraId="137174D0">
            <w:pPr>
              <w:pStyle w:val="12"/>
            </w:pPr>
            <w:r>
              <w:t>城乡义务教育公用经费管理办法</w:t>
            </w:r>
          </w:p>
        </w:tc>
      </w:tr>
      <w:tr w14:paraId="102A9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075AD"/>
        </w:tc>
        <w:tc>
          <w:tcPr>
            <w:tcW w:w="2268" w:type="dxa"/>
            <w:vAlign w:val="center"/>
          </w:tcPr>
          <w:p w14:paraId="2F0D594E">
            <w:pPr>
              <w:pStyle w:val="12"/>
            </w:pPr>
            <w:r>
              <w:t>可持续影响指标</w:t>
            </w:r>
          </w:p>
        </w:tc>
        <w:tc>
          <w:tcPr>
            <w:tcW w:w="2835" w:type="dxa"/>
            <w:vAlign w:val="center"/>
          </w:tcPr>
          <w:p w14:paraId="14840D1D">
            <w:pPr>
              <w:pStyle w:val="12"/>
            </w:pPr>
            <w:r>
              <w:t>教育发展水平</w:t>
            </w:r>
          </w:p>
        </w:tc>
        <w:tc>
          <w:tcPr>
            <w:tcW w:w="5386" w:type="dxa"/>
            <w:vAlign w:val="center"/>
          </w:tcPr>
          <w:p w14:paraId="11772BC9">
            <w:pPr>
              <w:pStyle w:val="12"/>
            </w:pPr>
            <w:r>
              <w:t>辖区内教育环境明显好转</w:t>
            </w:r>
          </w:p>
        </w:tc>
        <w:tc>
          <w:tcPr>
            <w:tcW w:w="2268" w:type="dxa"/>
            <w:vAlign w:val="center"/>
          </w:tcPr>
          <w:p w14:paraId="343D701D">
            <w:pPr>
              <w:pStyle w:val="12"/>
            </w:pPr>
            <w:r>
              <w:t>100%</w:t>
            </w:r>
          </w:p>
        </w:tc>
        <w:tc>
          <w:tcPr>
            <w:tcW w:w="1276" w:type="dxa"/>
            <w:vAlign w:val="center"/>
          </w:tcPr>
          <w:p w14:paraId="1DF4888D">
            <w:pPr>
              <w:pStyle w:val="12"/>
            </w:pPr>
            <w:r>
              <w:t>城乡义务教育公用经费管理办法</w:t>
            </w:r>
          </w:p>
        </w:tc>
      </w:tr>
      <w:tr w14:paraId="4D831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C8F3C">
            <w:pPr>
              <w:pStyle w:val="13"/>
            </w:pPr>
            <w:r>
              <w:t>满意度指标</w:t>
            </w:r>
          </w:p>
        </w:tc>
        <w:tc>
          <w:tcPr>
            <w:tcW w:w="2268" w:type="dxa"/>
            <w:vAlign w:val="center"/>
          </w:tcPr>
          <w:p w14:paraId="24F03DCA">
            <w:pPr>
              <w:pStyle w:val="12"/>
            </w:pPr>
            <w:r>
              <w:t>服务对象满意度指标</w:t>
            </w:r>
          </w:p>
        </w:tc>
        <w:tc>
          <w:tcPr>
            <w:tcW w:w="2835" w:type="dxa"/>
            <w:vAlign w:val="center"/>
          </w:tcPr>
          <w:p w14:paraId="6D2DBC10">
            <w:pPr>
              <w:pStyle w:val="12"/>
            </w:pPr>
            <w:r>
              <w:t>受益学生家长及调查满意度</w:t>
            </w:r>
          </w:p>
        </w:tc>
        <w:tc>
          <w:tcPr>
            <w:tcW w:w="5386" w:type="dxa"/>
            <w:vAlign w:val="center"/>
          </w:tcPr>
          <w:p w14:paraId="5BECB1BB">
            <w:pPr>
              <w:pStyle w:val="12"/>
            </w:pPr>
            <w:r>
              <w:t>学生、教师及家长对学校保教保育工作满意度情况</w:t>
            </w:r>
          </w:p>
        </w:tc>
        <w:tc>
          <w:tcPr>
            <w:tcW w:w="2268" w:type="dxa"/>
            <w:vAlign w:val="center"/>
          </w:tcPr>
          <w:p w14:paraId="4B6AC775">
            <w:pPr>
              <w:pStyle w:val="12"/>
            </w:pPr>
            <w:r>
              <w:t>≥95%</w:t>
            </w:r>
          </w:p>
        </w:tc>
        <w:tc>
          <w:tcPr>
            <w:tcW w:w="1276" w:type="dxa"/>
            <w:vAlign w:val="center"/>
          </w:tcPr>
          <w:p w14:paraId="658B3074">
            <w:pPr>
              <w:pStyle w:val="12"/>
            </w:pPr>
            <w:r>
              <w:t>城乡义务教育公用经费管理办法</w:t>
            </w:r>
          </w:p>
        </w:tc>
      </w:tr>
    </w:tbl>
    <w:p w14:paraId="55FE46F5">
      <w:pPr>
        <w:sectPr>
          <w:pgSz w:w="16840" w:h="11900" w:orient="landscape"/>
          <w:pgMar w:top="1361" w:right="1020" w:bottom="1134" w:left="1020" w:header="720" w:footer="720" w:gutter="0"/>
          <w:cols w:space="720" w:num="1"/>
        </w:sectPr>
      </w:pPr>
    </w:p>
    <w:p w14:paraId="04605099">
      <w:pPr>
        <w:spacing w:before="0" w:after="0"/>
        <w:ind w:firstLine="560"/>
        <w:jc w:val="left"/>
        <w:outlineLvl w:val="9"/>
      </w:pPr>
      <w:r>
        <w:rPr>
          <w:rFonts w:ascii="方正仿宋_GBK" w:hAnsi="方正仿宋_GBK" w:eastAsia="方正仿宋_GBK" w:cs="方正仿宋_GBK"/>
          <w:b/>
          <w:color w:val="000000"/>
          <w:sz w:val="28"/>
        </w:rPr>
        <w:t>22、冀财教[2025]147号/省级/2026年义教补助经费/东良校区泽畔小学公用经费绩效目标表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0A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98250">
            <w:pPr>
              <w:pStyle w:val="11"/>
            </w:pPr>
            <w:r>
              <w:t>单位：万元</w:t>
            </w:r>
          </w:p>
        </w:tc>
      </w:tr>
      <w:tr w14:paraId="13205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7C363">
            <w:pPr>
              <w:pStyle w:val="10"/>
            </w:pPr>
            <w:r>
              <w:t>项目编码</w:t>
            </w:r>
          </w:p>
        </w:tc>
        <w:tc>
          <w:tcPr>
            <w:tcW w:w="5103" w:type="dxa"/>
            <w:gridSpan w:val="2"/>
            <w:vAlign w:val="center"/>
          </w:tcPr>
          <w:p w14:paraId="5D5ABE6C">
            <w:pPr>
              <w:pStyle w:val="12"/>
            </w:pPr>
            <w:r>
              <w:t>13052526P000004103615</w:t>
            </w:r>
          </w:p>
        </w:tc>
        <w:tc>
          <w:tcPr>
            <w:tcW w:w="2835" w:type="dxa"/>
            <w:vAlign w:val="center"/>
          </w:tcPr>
          <w:p w14:paraId="591B1037">
            <w:pPr>
              <w:pStyle w:val="10"/>
            </w:pPr>
            <w:r>
              <w:t>项目名称</w:t>
            </w:r>
          </w:p>
        </w:tc>
        <w:tc>
          <w:tcPr>
            <w:tcW w:w="6095" w:type="dxa"/>
            <w:gridSpan w:val="3"/>
            <w:vAlign w:val="center"/>
          </w:tcPr>
          <w:p w14:paraId="66F19454">
            <w:pPr>
              <w:pStyle w:val="12"/>
            </w:pPr>
            <w:r>
              <w:t>冀财教[2025]147号/省级/2026年义教补助经费/东良校区泽畔小学公用经费</w:t>
            </w:r>
          </w:p>
        </w:tc>
      </w:tr>
      <w:tr w14:paraId="67155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A99F4">
            <w:pPr>
              <w:pStyle w:val="10"/>
            </w:pPr>
            <w:r>
              <w:t>预算规模及资金用途</w:t>
            </w:r>
          </w:p>
        </w:tc>
        <w:tc>
          <w:tcPr>
            <w:tcW w:w="2268" w:type="dxa"/>
            <w:vAlign w:val="center"/>
          </w:tcPr>
          <w:p w14:paraId="20A1CEA0">
            <w:pPr>
              <w:pStyle w:val="10"/>
            </w:pPr>
            <w:r>
              <w:t>预算数</w:t>
            </w:r>
          </w:p>
        </w:tc>
        <w:tc>
          <w:tcPr>
            <w:tcW w:w="2835" w:type="dxa"/>
            <w:vAlign w:val="center"/>
          </w:tcPr>
          <w:p w14:paraId="28A1C7EA">
            <w:pPr>
              <w:pStyle w:val="12"/>
            </w:pPr>
            <w:r>
              <w:t>26.77</w:t>
            </w:r>
          </w:p>
        </w:tc>
        <w:tc>
          <w:tcPr>
            <w:tcW w:w="2835" w:type="dxa"/>
            <w:vAlign w:val="center"/>
          </w:tcPr>
          <w:p w14:paraId="2D8CEB9D">
            <w:pPr>
              <w:pStyle w:val="10"/>
            </w:pPr>
            <w:r>
              <w:t>其中：财政    资金</w:t>
            </w:r>
          </w:p>
        </w:tc>
        <w:tc>
          <w:tcPr>
            <w:tcW w:w="2551" w:type="dxa"/>
            <w:vAlign w:val="center"/>
          </w:tcPr>
          <w:p w14:paraId="33A33766">
            <w:pPr>
              <w:pStyle w:val="12"/>
            </w:pPr>
            <w:r>
              <w:t>26.77</w:t>
            </w:r>
          </w:p>
        </w:tc>
        <w:tc>
          <w:tcPr>
            <w:tcW w:w="2268" w:type="dxa"/>
            <w:vAlign w:val="center"/>
          </w:tcPr>
          <w:p w14:paraId="50B836F4">
            <w:pPr>
              <w:pStyle w:val="10"/>
            </w:pPr>
            <w:r>
              <w:t>其他资金</w:t>
            </w:r>
          </w:p>
        </w:tc>
        <w:tc>
          <w:tcPr>
            <w:tcW w:w="1276" w:type="dxa"/>
            <w:vAlign w:val="center"/>
          </w:tcPr>
          <w:p w14:paraId="6B3531A7">
            <w:pPr>
              <w:pStyle w:val="12"/>
            </w:pPr>
            <w:r>
              <w:t xml:space="preserve"> </w:t>
            </w:r>
          </w:p>
        </w:tc>
      </w:tr>
      <w:tr w14:paraId="5C59E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9CD57"/>
        </w:tc>
        <w:tc>
          <w:tcPr>
            <w:tcW w:w="14033" w:type="dxa"/>
            <w:gridSpan w:val="6"/>
            <w:vAlign w:val="center"/>
          </w:tcPr>
          <w:p w14:paraId="4D0A533B">
            <w:pPr>
              <w:pStyle w:val="12"/>
            </w:pPr>
            <w:r>
              <w:t>保障义务教育学校正常运转，完成教育教学活动和其他日常工作任务等方面的费用支出。</w:t>
            </w:r>
          </w:p>
        </w:tc>
      </w:tr>
      <w:tr w14:paraId="26F68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340FD">
            <w:pPr>
              <w:pStyle w:val="10"/>
            </w:pPr>
            <w:r>
              <w:t>资金支出计划（%）</w:t>
            </w:r>
          </w:p>
        </w:tc>
        <w:tc>
          <w:tcPr>
            <w:tcW w:w="5103" w:type="dxa"/>
            <w:gridSpan w:val="2"/>
            <w:vAlign w:val="center"/>
          </w:tcPr>
          <w:p w14:paraId="10FE52A2">
            <w:pPr>
              <w:pStyle w:val="10"/>
            </w:pPr>
            <w:r>
              <w:t>3月底</w:t>
            </w:r>
          </w:p>
        </w:tc>
        <w:tc>
          <w:tcPr>
            <w:tcW w:w="2835" w:type="dxa"/>
            <w:vAlign w:val="center"/>
          </w:tcPr>
          <w:p w14:paraId="61E3154F">
            <w:pPr>
              <w:pStyle w:val="10"/>
            </w:pPr>
            <w:r>
              <w:t>6月底</w:t>
            </w:r>
          </w:p>
        </w:tc>
        <w:tc>
          <w:tcPr>
            <w:tcW w:w="2551" w:type="dxa"/>
            <w:vAlign w:val="center"/>
          </w:tcPr>
          <w:p w14:paraId="2C730BE3">
            <w:pPr>
              <w:pStyle w:val="10"/>
            </w:pPr>
            <w:r>
              <w:t>10月底</w:t>
            </w:r>
          </w:p>
        </w:tc>
        <w:tc>
          <w:tcPr>
            <w:tcW w:w="3544" w:type="dxa"/>
            <w:gridSpan w:val="2"/>
            <w:vAlign w:val="center"/>
          </w:tcPr>
          <w:p w14:paraId="3E6B9FE1">
            <w:pPr>
              <w:pStyle w:val="10"/>
            </w:pPr>
            <w:r>
              <w:t>12月底</w:t>
            </w:r>
          </w:p>
        </w:tc>
      </w:tr>
      <w:tr w14:paraId="7BC0C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8E81E"/>
        </w:tc>
        <w:tc>
          <w:tcPr>
            <w:tcW w:w="5103" w:type="dxa"/>
            <w:gridSpan w:val="2"/>
            <w:vAlign w:val="center"/>
          </w:tcPr>
          <w:p w14:paraId="733469BB">
            <w:pPr>
              <w:pStyle w:val="13"/>
            </w:pPr>
            <w:r>
              <w:t>25%</w:t>
            </w:r>
          </w:p>
        </w:tc>
        <w:tc>
          <w:tcPr>
            <w:tcW w:w="2835" w:type="dxa"/>
            <w:vAlign w:val="center"/>
          </w:tcPr>
          <w:p w14:paraId="1DB6150F">
            <w:pPr>
              <w:pStyle w:val="13"/>
            </w:pPr>
            <w:r>
              <w:t>50%</w:t>
            </w:r>
          </w:p>
        </w:tc>
        <w:tc>
          <w:tcPr>
            <w:tcW w:w="2551" w:type="dxa"/>
            <w:vAlign w:val="center"/>
          </w:tcPr>
          <w:p w14:paraId="0E01C83D">
            <w:pPr>
              <w:pStyle w:val="13"/>
            </w:pPr>
            <w:r>
              <w:t>75%</w:t>
            </w:r>
          </w:p>
        </w:tc>
        <w:tc>
          <w:tcPr>
            <w:tcW w:w="3544" w:type="dxa"/>
            <w:gridSpan w:val="2"/>
            <w:vAlign w:val="center"/>
          </w:tcPr>
          <w:p w14:paraId="45C78D03">
            <w:pPr>
              <w:pStyle w:val="13"/>
            </w:pPr>
            <w:r>
              <w:t>100%</w:t>
            </w:r>
          </w:p>
        </w:tc>
      </w:tr>
      <w:tr w14:paraId="27FE7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759D6">
            <w:pPr>
              <w:pStyle w:val="10"/>
            </w:pPr>
            <w:r>
              <w:t>绩效目标</w:t>
            </w:r>
          </w:p>
        </w:tc>
        <w:tc>
          <w:tcPr>
            <w:tcW w:w="14033" w:type="dxa"/>
            <w:gridSpan w:val="6"/>
            <w:vAlign w:val="center"/>
          </w:tcPr>
          <w:p w14:paraId="507574E7">
            <w:pPr>
              <w:pStyle w:val="12"/>
            </w:pPr>
            <w:r>
              <w:t>1.保障义务教育学校正常运转，完成教育教学活动和其他日常工作任务等方面的费用支出。</w:t>
            </w:r>
          </w:p>
          <w:p w14:paraId="56B9A724">
            <w:pPr>
              <w:pStyle w:val="12"/>
            </w:pPr>
            <w:r>
              <w:t>2.按季度分批次拨付公用经费资金267700元，资金拨付率达到100%。</w:t>
            </w:r>
          </w:p>
        </w:tc>
      </w:tr>
    </w:tbl>
    <w:p w14:paraId="4E5AD0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3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D7F11">
            <w:pPr>
              <w:pStyle w:val="10"/>
            </w:pPr>
            <w:r>
              <w:t>一级指标</w:t>
            </w:r>
          </w:p>
        </w:tc>
        <w:tc>
          <w:tcPr>
            <w:tcW w:w="2268" w:type="dxa"/>
            <w:vAlign w:val="center"/>
          </w:tcPr>
          <w:p w14:paraId="331B76B5">
            <w:pPr>
              <w:pStyle w:val="10"/>
            </w:pPr>
            <w:r>
              <w:t>二级指标</w:t>
            </w:r>
          </w:p>
        </w:tc>
        <w:tc>
          <w:tcPr>
            <w:tcW w:w="2835" w:type="dxa"/>
            <w:vAlign w:val="center"/>
          </w:tcPr>
          <w:p w14:paraId="0BA64445">
            <w:pPr>
              <w:pStyle w:val="10"/>
            </w:pPr>
            <w:r>
              <w:t>三级指标</w:t>
            </w:r>
          </w:p>
        </w:tc>
        <w:tc>
          <w:tcPr>
            <w:tcW w:w="5386" w:type="dxa"/>
            <w:vAlign w:val="center"/>
          </w:tcPr>
          <w:p w14:paraId="6D5CCD19">
            <w:pPr>
              <w:pStyle w:val="10"/>
            </w:pPr>
            <w:r>
              <w:t>绩效指标描述</w:t>
            </w:r>
          </w:p>
        </w:tc>
        <w:tc>
          <w:tcPr>
            <w:tcW w:w="2268" w:type="dxa"/>
            <w:vAlign w:val="center"/>
          </w:tcPr>
          <w:p w14:paraId="1882505B">
            <w:pPr>
              <w:pStyle w:val="10"/>
            </w:pPr>
            <w:r>
              <w:t>指标值</w:t>
            </w:r>
          </w:p>
        </w:tc>
        <w:tc>
          <w:tcPr>
            <w:tcW w:w="1276" w:type="dxa"/>
            <w:vAlign w:val="center"/>
          </w:tcPr>
          <w:p w14:paraId="2899C3A1">
            <w:pPr>
              <w:pStyle w:val="10"/>
            </w:pPr>
            <w:r>
              <w:t>指标值确定依据</w:t>
            </w:r>
          </w:p>
        </w:tc>
      </w:tr>
      <w:tr w14:paraId="35B7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73582">
            <w:pPr>
              <w:pStyle w:val="13"/>
            </w:pPr>
            <w:r>
              <w:t>产出指标</w:t>
            </w:r>
          </w:p>
        </w:tc>
        <w:tc>
          <w:tcPr>
            <w:tcW w:w="2268" w:type="dxa"/>
            <w:vAlign w:val="center"/>
          </w:tcPr>
          <w:p w14:paraId="6250279E">
            <w:pPr>
              <w:pStyle w:val="12"/>
            </w:pPr>
            <w:r>
              <w:t>数量指标</w:t>
            </w:r>
          </w:p>
        </w:tc>
        <w:tc>
          <w:tcPr>
            <w:tcW w:w="2835" w:type="dxa"/>
            <w:vAlign w:val="center"/>
          </w:tcPr>
          <w:p w14:paraId="3C523B46">
            <w:pPr>
              <w:pStyle w:val="12"/>
            </w:pPr>
            <w:r>
              <w:t>适龄在校生</w:t>
            </w:r>
          </w:p>
        </w:tc>
        <w:tc>
          <w:tcPr>
            <w:tcW w:w="5386" w:type="dxa"/>
            <w:vAlign w:val="center"/>
          </w:tcPr>
          <w:p w14:paraId="31815B2E">
            <w:pPr>
              <w:pStyle w:val="12"/>
            </w:pPr>
            <w:r>
              <w:t>适龄在校就读学生人数</w:t>
            </w:r>
          </w:p>
        </w:tc>
        <w:tc>
          <w:tcPr>
            <w:tcW w:w="2268" w:type="dxa"/>
            <w:vAlign w:val="center"/>
          </w:tcPr>
          <w:p w14:paraId="6E83FCC6">
            <w:pPr>
              <w:pStyle w:val="12"/>
            </w:pPr>
            <w:r>
              <w:t>890人</w:t>
            </w:r>
          </w:p>
        </w:tc>
        <w:tc>
          <w:tcPr>
            <w:tcW w:w="1276" w:type="dxa"/>
            <w:vAlign w:val="center"/>
          </w:tcPr>
          <w:p w14:paraId="0684E3C7">
            <w:pPr>
              <w:pStyle w:val="12"/>
            </w:pPr>
            <w:r>
              <w:t>城乡义务教育公用经费管理办法</w:t>
            </w:r>
          </w:p>
        </w:tc>
      </w:tr>
      <w:tr w14:paraId="1F90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A7ACB"/>
        </w:tc>
        <w:tc>
          <w:tcPr>
            <w:tcW w:w="2268" w:type="dxa"/>
            <w:vAlign w:val="center"/>
          </w:tcPr>
          <w:p w14:paraId="543BEB0D">
            <w:pPr>
              <w:pStyle w:val="12"/>
            </w:pPr>
            <w:r>
              <w:t>质量指标</w:t>
            </w:r>
          </w:p>
        </w:tc>
        <w:tc>
          <w:tcPr>
            <w:tcW w:w="2835" w:type="dxa"/>
            <w:vAlign w:val="center"/>
          </w:tcPr>
          <w:p w14:paraId="316DD4B7">
            <w:pPr>
              <w:pStyle w:val="12"/>
            </w:pPr>
            <w:r>
              <w:t>公用经费拨付完成率</w:t>
            </w:r>
          </w:p>
        </w:tc>
        <w:tc>
          <w:tcPr>
            <w:tcW w:w="5386" w:type="dxa"/>
            <w:vAlign w:val="center"/>
          </w:tcPr>
          <w:p w14:paraId="459BE7F8">
            <w:pPr>
              <w:pStyle w:val="12"/>
            </w:pPr>
            <w:r>
              <w:t>公用经费拨付完成率达到需时进度</w:t>
            </w:r>
          </w:p>
        </w:tc>
        <w:tc>
          <w:tcPr>
            <w:tcW w:w="2268" w:type="dxa"/>
            <w:vAlign w:val="center"/>
          </w:tcPr>
          <w:p w14:paraId="10720A72">
            <w:pPr>
              <w:pStyle w:val="12"/>
            </w:pPr>
            <w:r>
              <w:t>100%</w:t>
            </w:r>
          </w:p>
        </w:tc>
        <w:tc>
          <w:tcPr>
            <w:tcW w:w="1276" w:type="dxa"/>
            <w:vAlign w:val="center"/>
          </w:tcPr>
          <w:p w14:paraId="1599A54E">
            <w:pPr>
              <w:pStyle w:val="12"/>
            </w:pPr>
            <w:r>
              <w:t>城乡义务教育公用经费管理办法</w:t>
            </w:r>
          </w:p>
        </w:tc>
      </w:tr>
      <w:tr w14:paraId="2015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6ED65"/>
        </w:tc>
        <w:tc>
          <w:tcPr>
            <w:tcW w:w="2268" w:type="dxa"/>
            <w:vAlign w:val="center"/>
          </w:tcPr>
          <w:p w14:paraId="4A805CF8">
            <w:pPr>
              <w:pStyle w:val="12"/>
            </w:pPr>
            <w:r>
              <w:t>时效指标</w:t>
            </w:r>
          </w:p>
        </w:tc>
        <w:tc>
          <w:tcPr>
            <w:tcW w:w="2835" w:type="dxa"/>
            <w:vAlign w:val="center"/>
          </w:tcPr>
          <w:p w14:paraId="5D0403EF">
            <w:pPr>
              <w:pStyle w:val="12"/>
            </w:pPr>
            <w:r>
              <w:t>资金支付率</w:t>
            </w:r>
          </w:p>
        </w:tc>
        <w:tc>
          <w:tcPr>
            <w:tcW w:w="5386" w:type="dxa"/>
            <w:vAlign w:val="center"/>
          </w:tcPr>
          <w:p w14:paraId="613A760A">
            <w:pPr>
              <w:pStyle w:val="12"/>
            </w:pPr>
            <w:r>
              <w:t>按照序时进度完成资金支付</w:t>
            </w:r>
          </w:p>
        </w:tc>
        <w:tc>
          <w:tcPr>
            <w:tcW w:w="2268" w:type="dxa"/>
            <w:vAlign w:val="center"/>
          </w:tcPr>
          <w:p w14:paraId="3B988207">
            <w:pPr>
              <w:pStyle w:val="12"/>
            </w:pPr>
            <w:r>
              <w:t>100%</w:t>
            </w:r>
          </w:p>
        </w:tc>
        <w:tc>
          <w:tcPr>
            <w:tcW w:w="1276" w:type="dxa"/>
            <w:vAlign w:val="center"/>
          </w:tcPr>
          <w:p w14:paraId="7ABF6C14">
            <w:pPr>
              <w:pStyle w:val="12"/>
            </w:pPr>
            <w:r>
              <w:t>城乡义务教育公用经费管理办法</w:t>
            </w:r>
          </w:p>
        </w:tc>
      </w:tr>
      <w:tr w14:paraId="7639A1C6">
        <w:tblPrEx>
          <w:tblCellMar>
            <w:top w:w="0" w:type="dxa"/>
            <w:left w:w="108" w:type="dxa"/>
            <w:bottom w:w="0" w:type="dxa"/>
            <w:right w:w="108" w:type="dxa"/>
          </w:tblCellMar>
        </w:tblPrEx>
        <w:trPr>
          <w:trHeight w:val="397" w:hRule="atLeast"/>
          <w:jc w:val="center"/>
        </w:trPr>
        <w:tc>
          <w:tcPr>
            <w:tcW w:w="1276" w:type="dxa"/>
            <w:vMerge w:val="continue"/>
            <w:vAlign w:val="center"/>
          </w:tcPr>
          <w:p w14:paraId="641D4137"/>
        </w:tc>
        <w:tc>
          <w:tcPr>
            <w:tcW w:w="2268" w:type="dxa"/>
            <w:vAlign w:val="center"/>
          </w:tcPr>
          <w:p w14:paraId="7CDFAC05">
            <w:pPr>
              <w:pStyle w:val="12"/>
            </w:pPr>
            <w:r>
              <w:t>成本指标</w:t>
            </w:r>
          </w:p>
        </w:tc>
        <w:tc>
          <w:tcPr>
            <w:tcW w:w="2835" w:type="dxa"/>
            <w:vAlign w:val="center"/>
          </w:tcPr>
          <w:p w14:paraId="6013815A">
            <w:pPr>
              <w:pStyle w:val="12"/>
            </w:pPr>
            <w:r>
              <w:t>生均拨款标准</w:t>
            </w:r>
          </w:p>
        </w:tc>
        <w:tc>
          <w:tcPr>
            <w:tcW w:w="5386" w:type="dxa"/>
            <w:vAlign w:val="center"/>
          </w:tcPr>
          <w:p w14:paraId="6E545C5D">
            <w:pPr>
              <w:pStyle w:val="12"/>
            </w:pPr>
            <w:r>
              <w:t>小学：（基本标准720元、寄宿生300元、取暖费120元）/生/学年；特教、随班就读学生：标准7000元/生/学年。</w:t>
            </w:r>
          </w:p>
        </w:tc>
        <w:tc>
          <w:tcPr>
            <w:tcW w:w="2268" w:type="dxa"/>
            <w:vAlign w:val="center"/>
          </w:tcPr>
          <w:p w14:paraId="6EF6E1E5">
            <w:pPr>
              <w:pStyle w:val="12"/>
            </w:pPr>
            <w:r>
              <w:t>840元</w:t>
            </w:r>
          </w:p>
        </w:tc>
        <w:tc>
          <w:tcPr>
            <w:tcW w:w="1276" w:type="dxa"/>
            <w:vAlign w:val="center"/>
          </w:tcPr>
          <w:p w14:paraId="6BA925BD">
            <w:pPr>
              <w:pStyle w:val="12"/>
            </w:pPr>
            <w:r>
              <w:t>城乡义务教育公用经费管理办法</w:t>
            </w:r>
          </w:p>
        </w:tc>
      </w:tr>
      <w:tr w14:paraId="74B2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73AE0">
            <w:pPr>
              <w:pStyle w:val="13"/>
            </w:pPr>
            <w:r>
              <w:t>效益指标</w:t>
            </w:r>
          </w:p>
        </w:tc>
        <w:tc>
          <w:tcPr>
            <w:tcW w:w="2268" w:type="dxa"/>
            <w:vAlign w:val="center"/>
          </w:tcPr>
          <w:p w14:paraId="4DF6C0A9">
            <w:pPr>
              <w:pStyle w:val="12"/>
            </w:pPr>
            <w:r>
              <w:t>经济效益指标</w:t>
            </w:r>
          </w:p>
        </w:tc>
        <w:tc>
          <w:tcPr>
            <w:tcW w:w="2835" w:type="dxa"/>
            <w:vAlign w:val="center"/>
          </w:tcPr>
          <w:p w14:paraId="7EB08235">
            <w:pPr>
              <w:pStyle w:val="12"/>
            </w:pPr>
            <w:r>
              <w:t>项目实施成果</w:t>
            </w:r>
          </w:p>
        </w:tc>
        <w:tc>
          <w:tcPr>
            <w:tcW w:w="5386" w:type="dxa"/>
            <w:vAlign w:val="center"/>
          </w:tcPr>
          <w:p w14:paraId="6F652AB9">
            <w:pPr>
              <w:pStyle w:val="12"/>
            </w:pPr>
            <w:r>
              <w:t>减轻受教育学生家庭经济负担</w:t>
            </w:r>
          </w:p>
        </w:tc>
        <w:tc>
          <w:tcPr>
            <w:tcW w:w="2268" w:type="dxa"/>
            <w:vAlign w:val="center"/>
          </w:tcPr>
          <w:p w14:paraId="7F3F647A">
            <w:pPr>
              <w:pStyle w:val="12"/>
            </w:pPr>
            <w:r>
              <w:t>100%</w:t>
            </w:r>
          </w:p>
        </w:tc>
        <w:tc>
          <w:tcPr>
            <w:tcW w:w="1276" w:type="dxa"/>
            <w:vAlign w:val="center"/>
          </w:tcPr>
          <w:p w14:paraId="04259B95">
            <w:pPr>
              <w:pStyle w:val="12"/>
            </w:pPr>
            <w:r>
              <w:t>城乡义务教育公用经费管理办法</w:t>
            </w:r>
          </w:p>
        </w:tc>
      </w:tr>
      <w:tr w14:paraId="3DD1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66396"/>
        </w:tc>
        <w:tc>
          <w:tcPr>
            <w:tcW w:w="2268" w:type="dxa"/>
            <w:vAlign w:val="center"/>
          </w:tcPr>
          <w:p w14:paraId="13172891">
            <w:pPr>
              <w:pStyle w:val="12"/>
            </w:pPr>
            <w:r>
              <w:t>社会效益指标</w:t>
            </w:r>
          </w:p>
        </w:tc>
        <w:tc>
          <w:tcPr>
            <w:tcW w:w="2835" w:type="dxa"/>
            <w:vAlign w:val="center"/>
          </w:tcPr>
          <w:p w14:paraId="303D3B5B">
            <w:pPr>
              <w:pStyle w:val="12"/>
            </w:pPr>
            <w:r>
              <w:t>学校办学能力提升</w:t>
            </w:r>
          </w:p>
        </w:tc>
        <w:tc>
          <w:tcPr>
            <w:tcW w:w="5386" w:type="dxa"/>
            <w:vAlign w:val="center"/>
          </w:tcPr>
          <w:p w14:paraId="011F5EC1">
            <w:pPr>
              <w:pStyle w:val="12"/>
            </w:pPr>
            <w:r>
              <w:t>学校办学能</w:t>
            </w:r>
            <w:r>
              <w:rPr>
                <w:rFonts w:hint="eastAsia"/>
                <w:lang w:eastAsia="zh-CN"/>
              </w:rPr>
              <w:t>力提</w:t>
            </w:r>
            <w:r>
              <w:t>升情况及教育教学工作等开展的情况</w:t>
            </w:r>
          </w:p>
        </w:tc>
        <w:tc>
          <w:tcPr>
            <w:tcW w:w="2268" w:type="dxa"/>
            <w:vAlign w:val="center"/>
          </w:tcPr>
          <w:p w14:paraId="36E12B0B">
            <w:pPr>
              <w:pStyle w:val="12"/>
            </w:pPr>
            <w:r>
              <w:t>100%</w:t>
            </w:r>
          </w:p>
        </w:tc>
        <w:tc>
          <w:tcPr>
            <w:tcW w:w="1276" w:type="dxa"/>
            <w:vAlign w:val="center"/>
          </w:tcPr>
          <w:p w14:paraId="75D597DC">
            <w:pPr>
              <w:pStyle w:val="12"/>
            </w:pPr>
            <w:r>
              <w:t>城乡义务教育公用经费管理办法</w:t>
            </w:r>
          </w:p>
        </w:tc>
      </w:tr>
      <w:tr w14:paraId="79E6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04627"/>
        </w:tc>
        <w:tc>
          <w:tcPr>
            <w:tcW w:w="2268" w:type="dxa"/>
            <w:vAlign w:val="center"/>
          </w:tcPr>
          <w:p w14:paraId="2FC17ECD">
            <w:pPr>
              <w:pStyle w:val="12"/>
            </w:pPr>
            <w:r>
              <w:t>可持续影响指标</w:t>
            </w:r>
          </w:p>
        </w:tc>
        <w:tc>
          <w:tcPr>
            <w:tcW w:w="2835" w:type="dxa"/>
            <w:vAlign w:val="center"/>
          </w:tcPr>
          <w:p w14:paraId="583BBE25">
            <w:pPr>
              <w:pStyle w:val="12"/>
            </w:pPr>
            <w:r>
              <w:t>教育发展水平</w:t>
            </w:r>
          </w:p>
        </w:tc>
        <w:tc>
          <w:tcPr>
            <w:tcW w:w="5386" w:type="dxa"/>
            <w:vAlign w:val="center"/>
          </w:tcPr>
          <w:p w14:paraId="50701870">
            <w:pPr>
              <w:pStyle w:val="12"/>
            </w:pPr>
            <w:r>
              <w:t>辖区内教育环境明显好转</w:t>
            </w:r>
          </w:p>
        </w:tc>
        <w:tc>
          <w:tcPr>
            <w:tcW w:w="2268" w:type="dxa"/>
            <w:vAlign w:val="center"/>
          </w:tcPr>
          <w:p w14:paraId="4BEE02E0">
            <w:pPr>
              <w:pStyle w:val="12"/>
            </w:pPr>
            <w:r>
              <w:t>100%</w:t>
            </w:r>
          </w:p>
        </w:tc>
        <w:tc>
          <w:tcPr>
            <w:tcW w:w="1276" w:type="dxa"/>
            <w:vAlign w:val="center"/>
          </w:tcPr>
          <w:p w14:paraId="494A1BBC">
            <w:pPr>
              <w:pStyle w:val="12"/>
            </w:pPr>
            <w:r>
              <w:t>城乡义务教育公用经费管理办法</w:t>
            </w:r>
          </w:p>
        </w:tc>
      </w:tr>
      <w:tr w14:paraId="10F9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9AFBF">
            <w:pPr>
              <w:pStyle w:val="13"/>
            </w:pPr>
            <w:r>
              <w:t>满意度指标</w:t>
            </w:r>
          </w:p>
        </w:tc>
        <w:tc>
          <w:tcPr>
            <w:tcW w:w="2268" w:type="dxa"/>
            <w:vAlign w:val="center"/>
          </w:tcPr>
          <w:p w14:paraId="37D05F5D">
            <w:pPr>
              <w:pStyle w:val="12"/>
            </w:pPr>
            <w:r>
              <w:t>服务对象满意度指标</w:t>
            </w:r>
          </w:p>
        </w:tc>
        <w:tc>
          <w:tcPr>
            <w:tcW w:w="2835" w:type="dxa"/>
            <w:vAlign w:val="center"/>
          </w:tcPr>
          <w:p w14:paraId="710D2EB5">
            <w:pPr>
              <w:pStyle w:val="12"/>
            </w:pPr>
            <w:r>
              <w:t>受益学生家长及调查满意度</w:t>
            </w:r>
          </w:p>
        </w:tc>
        <w:tc>
          <w:tcPr>
            <w:tcW w:w="5386" w:type="dxa"/>
            <w:vAlign w:val="center"/>
          </w:tcPr>
          <w:p w14:paraId="5A84CFD5">
            <w:pPr>
              <w:pStyle w:val="12"/>
            </w:pPr>
            <w:r>
              <w:t>学生、教师及家长对学校保教保育工作满意度情况</w:t>
            </w:r>
          </w:p>
        </w:tc>
        <w:tc>
          <w:tcPr>
            <w:tcW w:w="2268" w:type="dxa"/>
            <w:vAlign w:val="center"/>
          </w:tcPr>
          <w:p w14:paraId="6ABFD5A9">
            <w:pPr>
              <w:pStyle w:val="12"/>
            </w:pPr>
            <w:r>
              <w:t>≥95%</w:t>
            </w:r>
          </w:p>
        </w:tc>
        <w:tc>
          <w:tcPr>
            <w:tcW w:w="1276" w:type="dxa"/>
            <w:vAlign w:val="center"/>
          </w:tcPr>
          <w:p w14:paraId="563C08D0">
            <w:pPr>
              <w:pStyle w:val="12"/>
            </w:pPr>
            <w:r>
              <w:t>城乡义务教育公用经费管理办法</w:t>
            </w:r>
          </w:p>
        </w:tc>
      </w:tr>
    </w:tbl>
    <w:p w14:paraId="6853F53B">
      <w:pPr>
        <w:sectPr>
          <w:pgSz w:w="16840" w:h="11900" w:orient="landscape"/>
          <w:pgMar w:top="1361" w:right="1020" w:bottom="1134" w:left="1020" w:header="720" w:footer="720" w:gutter="0"/>
          <w:cols w:space="720" w:num="1"/>
        </w:sectPr>
      </w:pPr>
    </w:p>
    <w:p w14:paraId="19148C5C">
      <w:pPr>
        <w:spacing w:before="0" w:after="0"/>
        <w:ind w:firstLine="560"/>
        <w:jc w:val="left"/>
        <w:outlineLvl w:val="9"/>
      </w:pPr>
      <w:r>
        <w:rPr>
          <w:rFonts w:ascii="方正仿宋_GBK" w:hAnsi="方正仿宋_GBK" w:eastAsia="方正仿宋_GBK" w:cs="方正仿宋_GBK"/>
          <w:b/>
          <w:color w:val="000000"/>
          <w:sz w:val="28"/>
        </w:rPr>
        <w:t>23、冀财教[2025]147号/省级/2026年义教补助经费/东良校区周村小学公用经费绩效目标表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3C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6B72B">
            <w:pPr>
              <w:pStyle w:val="11"/>
            </w:pPr>
            <w:r>
              <w:t>单位：万元</w:t>
            </w:r>
          </w:p>
        </w:tc>
      </w:tr>
      <w:tr w14:paraId="2ADAE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BC1B7">
            <w:pPr>
              <w:pStyle w:val="10"/>
            </w:pPr>
            <w:r>
              <w:t>项目编码</w:t>
            </w:r>
          </w:p>
        </w:tc>
        <w:tc>
          <w:tcPr>
            <w:tcW w:w="5103" w:type="dxa"/>
            <w:gridSpan w:val="2"/>
            <w:vAlign w:val="center"/>
          </w:tcPr>
          <w:p w14:paraId="3437ACA0">
            <w:pPr>
              <w:pStyle w:val="12"/>
            </w:pPr>
            <w:r>
              <w:t>13052526P00000410358J</w:t>
            </w:r>
          </w:p>
        </w:tc>
        <w:tc>
          <w:tcPr>
            <w:tcW w:w="2835" w:type="dxa"/>
            <w:vAlign w:val="center"/>
          </w:tcPr>
          <w:p w14:paraId="6D3C5D8B">
            <w:pPr>
              <w:pStyle w:val="10"/>
            </w:pPr>
            <w:r>
              <w:t>项目名称</w:t>
            </w:r>
          </w:p>
        </w:tc>
        <w:tc>
          <w:tcPr>
            <w:tcW w:w="6095" w:type="dxa"/>
            <w:gridSpan w:val="3"/>
            <w:vAlign w:val="center"/>
          </w:tcPr>
          <w:p w14:paraId="5BA08125">
            <w:pPr>
              <w:pStyle w:val="12"/>
            </w:pPr>
            <w:r>
              <w:t>冀财教[2025]147号/省级/2026年义教补助经费/东良校区周村小学公用经费</w:t>
            </w:r>
          </w:p>
        </w:tc>
      </w:tr>
      <w:tr w14:paraId="46C52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9164C">
            <w:pPr>
              <w:pStyle w:val="10"/>
            </w:pPr>
            <w:r>
              <w:t>预算规模及资金用途</w:t>
            </w:r>
          </w:p>
        </w:tc>
        <w:tc>
          <w:tcPr>
            <w:tcW w:w="2268" w:type="dxa"/>
            <w:vAlign w:val="center"/>
          </w:tcPr>
          <w:p w14:paraId="504EC138">
            <w:pPr>
              <w:pStyle w:val="10"/>
            </w:pPr>
            <w:r>
              <w:t>预算数</w:t>
            </w:r>
          </w:p>
        </w:tc>
        <w:tc>
          <w:tcPr>
            <w:tcW w:w="2835" w:type="dxa"/>
            <w:vAlign w:val="center"/>
          </w:tcPr>
          <w:p w14:paraId="6205BAF4">
            <w:pPr>
              <w:pStyle w:val="12"/>
            </w:pPr>
            <w:r>
              <w:t>3.99</w:t>
            </w:r>
          </w:p>
        </w:tc>
        <w:tc>
          <w:tcPr>
            <w:tcW w:w="2835" w:type="dxa"/>
            <w:vAlign w:val="center"/>
          </w:tcPr>
          <w:p w14:paraId="5FA8DD40">
            <w:pPr>
              <w:pStyle w:val="10"/>
            </w:pPr>
            <w:r>
              <w:t>其中：财政    资金</w:t>
            </w:r>
          </w:p>
        </w:tc>
        <w:tc>
          <w:tcPr>
            <w:tcW w:w="2551" w:type="dxa"/>
            <w:vAlign w:val="center"/>
          </w:tcPr>
          <w:p w14:paraId="758F5A2E">
            <w:pPr>
              <w:pStyle w:val="12"/>
            </w:pPr>
            <w:r>
              <w:t>3.99</w:t>
            </w:r>
          </w:p>
        </w:tc>
        <w:tc>
          <w:tcPr>
            <w:tcW w:w="2268" w:type="dxa"/>
            <w:vAlign w:val="center"/>
          </w:tcPr>
          <w:p w14:paraId="40B8FC79">
            <w:pPr>
              <w:pStyle w:val="10"/>
            </w:pPr>
            <w:r>
              <w:t>其他资金</w:t>
            </w:r>
          </w:p>
        </w:tc>
        <w:tc>
          <w:tcPr>
            <w:tcW w:w="1276" w:type="dxa"/>
            <w:vAlign w:val="center"/>
          </w:tcPr>
          <w:p w14:paraId="00C11C55">
            <w:pPr>
              <w:pStyle w:val="12"/>
            </w:pPr>
            <w:r>
              <w:t xml:space="preserve"> </w:t>
            </w:r>
          </w:p>
        </w:tc>
      </w:tr>
      <w:tr w14:paraId="5561E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95868"/>
        </w:tc>
        <w:tc>
          <w:tcPr>
            <w:tcW w:w="14033" w:type="dxa"/>
            <w:gridSpan w:val="6"/>
            <w:vAlign w:val="center"/>
          </w:tcPr>
          <w:p w14:paraId="6F28BEF9">
            <w:pPr>
              <w:pStyle w:val="12"/>
            </w:pPr>
            <w:r>
              <w:t>保障义务教育学校正常运转，完成教育教学活动和其他日常工作任务等方面的费用支出。</w:t>
            </w:r>
          </w:p>
        </w:tc>
      </w:tr>
      <w:tr w14:paraId="1228D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D30C1">
            <w:pPr>
              <w:pStyle w:val="10"/>
            </w:pPr>
            <w:r>
              <w:t>资金支出计划（%）</w:t>
            </w:r>
          </w:p>
        </w:tc>
        <w:tc>
          <w:tcPr>
            <w:tcW w:w="5103" w:type="dxa"/>
            <w:gridSpan w:val="2"/>
            <w:vAlign w:val="center"/>
          </w:tcPr>
          <w:p w14:paraId="30E41B35">
            <w:pPr>
              <w:pStyle w:val="10"/>
            </w:pPr>
            <w:r>
              <w:t>3月底</w:t>
            </w:r>
          </w:p>
        </w:tc>
        <w:tc>
          <w:tcPr>
            <w:tcW w:w="2835" w:type="dxa"/>
            <w:vAlign w:val="center"/>
          </w:tcPr>
          <w:p w14:paraId="55AE52CB">
            <w:pPr>
              <w:pStyle w:val="10"/>
            </w:pPr>
            <w:r>
              <w:t>6月底</w:t>
            </w:r>
          </w:p>
        </w:tc>
        <w:tc>
          <w:tcPr>
            <w:tcW w:w="2551" w:type="dxa"/>
            <w:vAlign w:val="center"/>
          </w:tcPr>
          <w:p w14:paraId="7CFADCC2">
            <w:pPr>
              <w:pStyle w:val="10"/>
            </w:pPr>
            <w:r>
              <w:t>10月底</w:t>
            </w:r>
          </w:p>
        </w:tc>
        <w:tc>
          <w:tcPr>
            <w:tcW w:w="3544" w:type="dxa"/>
            <w:gridSpan w:val="2"/>
            <w:vAlign w:val="center"/>
          </w:tcPr>
          <w:p w14:paraId="1904FE35">
            <w:pPr>
              <w:pStyle w:val="10"/>
            </w:pPr>
            <w:r>
              <w:t>12月底</w:t>
            </w:r>
          </w:p>
        </w:tc>
      </w:tr>
      <w:tr w14:paraId="75A8D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D1DFE"/>
        </w:tc>
        <w:tc>
          <w:tcPr>
            <w:tcW w:w="5103" w:type="dxa"/>
            <w:gridSpan w:val="2"/>
            <w:vAlign w:val="center"/>
          </w:tcPr>
          <w:p w14:paraId="213A136D">
            <w:pPr>
              <w:pStyle w:val="13"/>
            </w:pPr>
            <w:r>
              <w:t>25%</w:t>
            </w:r>
          </w:p>
        </w:tc>
        <w:tc>
          <w:tcPr>
            <w:tcW w:w="2835" w:type="dxa"/>
            <w:vAlign w:val="center"/>
          </w:tcPr>
          <w:p w14:paraId="5D89D700">
            <w:pPr>
              <w:pStyle w:val="13"/>
            </w:pPr>
            <w:r>
              <w:t>50%</w:t>
            </w:r>
          </w:p>
        </w:tc>
        <w:tc>
          <w:tcPr>
            <w:tcW w:w="2551" w:type="dxa"/>
            <w:vAlign w:val="center"/>
          </w:tcPr>
          <w:p w14:paraId="118AE242">
            <w:pPr>
              <w:pStyle w:val="13"/>
            </w:pPr>
            <w:r>
              <w:t>75%</w:t>
            </w:r>
          </w:p>
        </w:tc>
        <w:tc>
          <w:tcPr>
            <w:tcW w:w="3544" w:type="dxa"/>
            <w:gridSpan w:val="2"/>
            <w:vAlign w:val="center"/>
          </w:tcPr>
          <w:p w14:paraId="4E3290F5">
            <w:pPr>
              <w:pStyle w:val="13"/>
            </w:pPr>
            <w:r>
              <w:t>100%</w:t>
            </w:r>
          </w:p>
        </w:tc>
      </w:tr>
      <w:tr w14:paraId="7C9BC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42A80">
            <w:pPr>
              <w:pStyle w:val="10"/>
            </w:pPr>
            <w:r>
              <w:t>绩效目标</w:t>
            </w:r>
          </w:p>
        </w:tc>
        <w:tc>
          <w:tcPr>
            <w:tcW w:w="14033" w:type="dxa"/>
            <w:gridSpan w:val="6"/>
            <w:vAlign w:val="center"/>
          </w:tcPr>
          <w:p w14:paraId="1BD6C6FA">
            <w:pPr>
              <w:pStyle w:val="12"/>
            </w:pPr>
            <w:r>
              <w:t>1.保障义务教育学校正常运转，完成教育教学活动和其他日常工作任务等方面的费用支出。</w:t>
            </w:r>
          </w:p>
          <w:p w14:paraId="44A11305">
            <w:pPr>
              <w:pStyle w:val="12"/>
            </w:pPr>
            <w:r>
              <w:t>2.按季度分批次拨付公用经费资金39900元，资金拨付率达到100%。</w:t>
            </w:r>
          </w:p>
        </w:tc>
      </w:tr>
    </w:tbl>
    <w:p w14:paraId="39F36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6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BB5BD">
            <w:pPr>
              <w:pStyle w:val="10"/>
            </w:pPr>
            <w:r>
              <w:t>一级指标</w:t>
            </w:r>
          </w:p>
        </w:tc>
        <w:tc>
          <w:tcPr>
            <w:tcW w:w="2268" w:type="dxa"/>
            <w:vAlign w:val="center"/>
          </w:tcPr>
          <w:p w14:paraId="5219E351">
            <w:pPr>
              <w:pStyle w:val="10"/>
            </w:pPr>
            <w:r>
              <w:t>二级指标</w:t>
            </w:r>
          </w:p>
        </w:tc>
        <w:tc>
          <w:tcPr>
            <w:tcW w:w="2835" w:type="dxa"/>
            <w:vAlign w:val="center"/>
          </w:tcPr>
          <w:p w14:paraId="4C88643B">
            <w:pPr>
              <w:pStyle w:val="10"/>
            </w:pPr>
            <w:r>
              <w:t>三级指标</w:t>
            </w:r>
          </w:p>
        </w:tc>
        <w:tc>
          <w:tcPr>
            <w:tcW w:w="5386" w:type="dxa"/>
            <w:vAlign w:val="center"/>
          </w:tcPr>
          <w:p w14:paraId="2F5CD327">
            <w:pPr>
              <w:pStyle w:val="10"/>
            </w:pPr>
            <w:r>
              <w:t>绩效指标描述</w:t>
            </w:r>
          </w:p>
        </w:tc>
        <w:tc>
          <w:tcPr>
            <w:tcW w:w="2268" w:type="dxa"/>
            <w:vAlign w:val="center"/>
          </w:tcPr>
          <w:p w14:paraId="5026F6E4">
            <w:pPr>
              <w:pStyle w:val="10"/>
            </w:pPr>
            <w:r>
              <w:t>指标值</w:t>
            </w:r>
          </w:p>
        </w:tc>
        <w:tc>
          <w:tcPr>
            <w:tcW w:w="1276" w:type="dxa"/>
            <w:vAlign w:val="center"/>
          </w:tcPr>
          <w:p w14:paraId="046F2E42">
            <w:pPr>
              <w:pStyle w:val="10"/>
            </w:pPr>
            <w:r>
              <w:t>指标值确定依据</w:t>
            </w:r>
          </w:p>
        </w:tc>
      </w:tr>
      <w:tr w14:paraId="5E3B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ED42A">
            <w:pPr>
              <w:pStyle w:val="13"/>
            </w:pPr>
            <w:r>
              <w:t>产出指标</w:t>
            </w:r>
          </w:p>
        </w:tc>
        <w:tc>
          <w:tcPr>
            <w:tcW w:w="2268" w:type="dxa"/>
            <w:vAlign w:val="center"/>
          </w:tcPr>
          <w:p w14:paraId="2D3BABB1">
            <w:pPr>
              <w:pStyle w:val="12"/>
            </w:pPr>
            <w:r>
              <w:t>数量指标</w:t>
            </w:r>
          </w:p>
        </w:tc>
        <w:tc>
          <w:tcPr>
            <w:tcW w:w="2835" w:type="dxa"/>
            <w:vAlign w:val="center"/>
          </w:tcPr>
          <w:p w14:paraId="3D647E89">
            <w:pPr>
              <w:pStyle w:val="12"/>
            </w:pPr>
            <w:r>
              <w:t>适龄在校生</w:t>
            </w:r>
          </w:p>
        </w:tc>
        <w:tc>
          <w:tcPr>
            <w:tcW w:w="5386" w:type="dxa"/>
            <w:vAlign w:val="center"/>
          </w:tcPr>
          <w:p w14:paraId="07F8B98D">
            <w:pPr>
              <w:pStyle w:val="12"/>
            </w:pPr>
            <w:r>
              <w:t>适龄在校就读学生人数</w:t>
            </w:r>
          </w:p>
        </w:tc>
        <w:tc>
          <w:tcPr>
            <w:tcW w:w="2268" w:type="dxa"/>
            <w:vAlign w:val="center"/>
          </w:tcPr>
          <w:p w14:paraId="323B04EC">
            <w:pPr>
              <w:pStyle w:val="12"/>
            </w:pPr>
            <w:r>
              <w:t>153人</w:t>
            </w:r>
          </w:p>
        </w:tc>
        <w:tc>
          <w:tcPr>
            <w:tcW w:w="1276" w:type="dxa"/>
            <w:vAlign w:val="center"/>
          </w:tcPr>
          <w:p w14:paraId="665222AC">
            <w:pPr>
              <w:pStyle w:val="12"/>
            </w:pPr>
            <w:r>
              <w:t>城乡义务教育公用经费管理办法</w:t>
            </w:r>
          </w:p>
        </w:tc>
      </w:tr>
      <w:tr w14:paraId="27AA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097A1"/>
        </w:tc>
        <w:tc>
          <w:tcPr>
            <w:tcW w:w="2268" w:type="dxa"/>
            <w:vAlign w:val="center"/>
          </w:tcPr>
          <w:p w14:paraId="182686B4">
            <w:pPr>
              <w:pStyle w:val="12"/>
            </w:pPr>
            <w:r>
              <w:t>质量指标</w:t>
            </w:r>
          </w:p>
        </w:tc>
        <w:tc>
          <w:tcPr>
            <w:tcW w:w="2835" w:type="dxa"/>
            <w:vAlign w:val="center"/>
          </w:tcPr>
          <w:p w14:paraId="4DE8B9CF">
            <w:pPr>
              <w:pStyle w:val="12"/>
            </w:pPr>
            <w:r>
              <w:t>公用经费拨付完成率</w:t>
            </w:r>
          </w:p>
        </w:tc>
        <w:tc>
          <w:tcPr>
            <w:tcW w:w="5386" w:type="dxa"/>
            <w:vAlign w:val="center"/>
          </w:tcPr>
          <w:p w14:paraId="500E0AD9">
            <w:pPr>
              <w:pStyle w:val="12"/>
            </w:pPr>
            <w:r>
              <w:t>公用经费拨付完成率达到需时进度</w:t>
            </w:r>
          </w:p>
        </w:tc>
        <w:tc>
          <w:tcPr>
            <w:tcW w:w="2268" w:type="dxa"/>
            <w:vAlign w:val="center"/>
          </w:tcPr>
          <w:p w14:paraId="742E7F15">
            <w:pPr>
              <w:pStyle w:val="12"/>
            </w:pPr>
            <w:r>
              <w:t>100%</w:t>
            </w:r>
          </w:p>
        </w:tc>
        <w:tc>
          <w:tcPr>
            <w:tcW w:w="1276" w:type="dxa"/>
            <w:vAlign w:val="center"/>
          </w:tcPr>
          <w:p w14:paraId="4CEBDCF4">
            <w:pPr>
              <w:pStyle w:val="12"/>
            </w:pPr>
            <w:r>
              <w:t>城乡义务教育公用经费管理办法</w:t>
            </w:r>
          </w:p>
        </w:tc>
      </w:tr>
      <w:tr w14:paraId="5017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5F79D"/>
        </w:tc>
        <w:tc>
          <w:tcPr>
            <w:tcW w:w="2268" w:type="dxa"/>
            <w:vAlign w:val="center"/>
          </w:tcPr>
          <w:p w14:paraId="2AF0C483">
            <w:pPr>
              <w:pStyle w:val="12"/>
            </w:pPr>
            <w:r>
              <w:t>时效指标</w:t>
            </w:r>
          </w:p>
        </w:tc>
        <w:tc>
          <w:tcPr>
            <w:tcW w:w="2835" w:type="dxa"/>
            <w:vAlign w:val="center"/>
          </w:tcPr>
          <w:p w14:paraId="738BD81A">
            <w:pPr>
              <w:pStyle w:val="12"/>
            </w:pPr>
            <w:r>
              <w:t>资金支付率</w:t>
            </w:r>
          </w:p>
        </w:tc>
        <w:tc>
          <w:tcPr>
            <w:tcW w:w="5386" w:type="dxa"/>
            <w:vAlign w:val="center"/>
          </w:tcPr>
          <w:p w14:paraId="098CE74A">
            <w:pPr>
              <w:pStyle w:val="12"/>
            </w:pPr>
            <w:r>
              <w:t>按照序时进度完成资金支付</w:t>
            </w:r>
          </w:p>
        </w:tc>
        <w:tc>
          <w:tcPr>
            <w:tcW w:w="2268" w:type="dxa"/>
            <w:vAlign w:val="center"/>
          </w:tcPr>
          <w:p w14:paraId="04887C96">
            <w:pPr>
              <w:pStyle w:val="12"/>
            </w:pPr>
            <w:r>
              <w:t>100%</w:t>
            </w:r>
          </w:p>
        </w:tc>
        <w:tc>
          <w:tcPr>
            <w:tcW w:w="1276" w:type="dxa"/>
            <w:vAlign w:val="center"/>
          </w:tcPr>
          <w:p w14:paraId="4AC47F48">
            <w:pPr>
              <w:pStyle w:val="12"/>
            </w:pPr>
            <w:r>
              <w:t>城乡义务教育公用经费管理办法</w:t>
            </w:r>
          </w:p>
        </w:tc>
      </w:tr>
      <w:tr w14:paraId="4348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818BA"/>
        </w:tc>
        <w:tc>
          <w:tcPr>
            <w:tcW w:w="2268" w:type="dxa"/>
            <w:vAlign w:val="center"/>
          </w:tcPr>
          <w:p w14:paraId="1DE40DF5">
            <w:pPr>
              <w:pStyle w:val="12"/>
            </w:pPr>
            <w:r>
              <w:t>成本指标</w:t>
            </w:r>
          </w:p>
        </w:tc>
        <w:tc>
          <w:tcPr>
            <w:tcW w:w="2835" w:type="dxa"/>
            <w:vAlign w:val="center"/>
          </w:tcPr>
          <w:p w14:paraId="5B8585CF">
            <w:pPr>
              <w:pStyle w:val="12"/>
            </w:pPr>
            <w:r>
              <w:t>生均拨款标准</w:t>
            </w:r>
          </w:p>
        </w:tc>
        <w:tc>
          <w:tcPr>
            <w:tcW w:w="5386" w:type="dxa"/>
            <w:vAlign w:val="center"/>
          </w:tcPr>
          <w:p w14:paraId="6FB0C24F">
            <w:pPr>
              <w:pStyle w:val="12"/>
            </w:pPr>
            <w:r>
              <w:t>小学：（基本标准720元、寄宿生300元、取暖费120元）/生/学年；特教、随班就读学生：标准7000元/生/学年。</w:t>
            </w:r>
          </w:p>
        </w:tc>
        <w:tc>
          <w:tcPr>
            <w:tcW w:w="2268" w:type="dxa"/>
            <w:vAlign w:val="center"/>
          </w:tcPr>
          <w:p w14:paraId="37F7CDB8">
            <w:pPr>
              <w:pStyle w:val="12"/>
            </w:pPr>
            <w:r>
              <w:t>840元</w:t>
            </w:r>
          </w:p>
        </w:tc>
        <w:tc>
          <w:tcPr>
            <w:tcW w:w="1276" w:type="dxa"/>
            <w:vAlign w:val="center"/>
          </w:tcPr>
          <w:p w14:paraId="1FE2402B">
            <w:pPr>
              <w:pStyle w:val="12"/>
            </w:pPr>
            <w:r>
              <w:t>城乡义务教育公用经费管理办法</w:t>
            </w:r>
          </w:p>
        </w:tc>
      </w:tr>
      <w:tr w14:paraId="1F46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B08B4">
            <w:pPr>
              <w:pStyle w:val="13"/>
            </w:pPr>
            <w:r>
              <w:t>效益指标</w:t>
            </w:r>
          </w:p>
        </w:tc>
        <w:tc>
          <w:tcPr>
            <w:tcW w:w="2268" w:type="dxa"/>
            <w:vAlign w:val="center"/>
          </w:tcPr>
          <w:p w14:paraId="6A2C8051">
            <w:pPr>
              <w:pStyle w:val="12"/>
            </w:pPr>
            <w:r>
              <w:t>经济效益指标</w:t>
            </w:r>
          </w:p>
        </w:tc>
        <w:tc>
          <w:tcPr>
            <w:tcW w:w="2835" w:type="dxa"/>
            <w:vAlign w:val="center"/>
          </w:tcPr>
          <w:p w14:paraId="5E116389">
            <w:pPr>
              <w:pStyle w:val="12"/>
            </w:pPr>
            <w:r>
              <w:t>项目实施成果</w:t>
            </w:r>
          </w:p>
        </w:tc>
        <w:tc>
          <w:tcPr>
            <w:tcW w:w="5386" w:type="dxa"/>
            <w:vAlign w:val="center"/>
          </w:tcPr>
          <w:p w14:paraId="248D2E43">
            <w:pPr>
              <w:pStyle w:val="12"/>
            </w:pPr>
            <w:r>
              <w:t>减轻受教育学生家庭经济负担</w:t>
            </w:r>
          </w:p>
        </w:tc>
        <w:tc>
          <w:tcPr>
            <w:tcW w:w="2268" w:type="dxa"/>
            <w:vAlign w:val="center"/>
          </w:tcPr>
          <w:p w14:paraId="52B1CC4D">
            <w:pPr>
              <w:pStyle w:val="12"/>
            </w:pPr>
            <w:r>
              <w:t>100%</w:t>
            </w:r>
          </w:p>
        </w:tc>
        <w:tc>
          <w:tcPr>
            <w:tcW w:w="1276" w:type="dxa"/>
            <w:vAlign w:val="center"/>
          </w:tcPr>
          <w:p w14:paraId="68C5B523">
            <w:pPr>
              <w:pStyle w:val="12"/>
            </w:pPr>
            <w:r>
              <w:t>城乡义务教育公用经费管理办法</w:t>
            </w:r>
          </w:p>
        </w:tc>
      </w:tr>
      <w:tr w14:paraId="6AF9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A43A5"/>
        </w:tc>
        <w:tc>
          <w:tcPr>
            <w:tcW w:w="2268" w:type="dxa"/>
            <w:vAlign w:val="center"/>
          </w:tcPr>
          <w:p w14:paraId="2096BFB7">
            <w:pPr>
              <w:pStyle w:val="12"/>
            </w:pPr>
            <w:r>
              <w:t>社会效益指标</w:t>
            </w:r>
          </w:p>
        </w:tc>
        <w:tc>
          <w:tcPr>
            <w:tcW w:w="2835" w:type="dxa"/>
            <w:vAlign w:val="center"/>
          </w:tcPr>
          <w:p w14:paraId="3F2653D3">
            <w:pPr>
              <w:pStyle w:val="12"/>
            </w:pPr>
            <w:r>
              <w:t>学校办学能力提升</w:t>
            </w:r>
          </w:p>
        </w:tc>
        <w:tc>
          <w:tcPr>
            <w:tcW w:w="5386" w:type="dxa"/>
            <w:vAlign w:val="center"/>
          </w:tcPr>
          <w:p w14:paraId="11338156">
            <w:pPr>
              <w:pStyle w:val="12"/>
            </w:pPr>
            <w:r>
              <w:t>学校办学能</w:t>
            </w:r>
            <w:r>
              <w:rPr>
                <w:rFonts w:hint="eastAsia"/>
                <w:lang w:eastAsia="zh-CN"/>
              </w:rPr>
              <w:t>力提</w:t>
            </w:r>
            <w:r>
              <w:t>升情况及教育教学工作等开展的情况</w:t>
            </w:r>
          </w:p>
        </w:tc>
        <w:tc>
          <w:tcPr>
            <w:tcW w:w="2268" w:type="dxa"/>
            <w:vAlign w:val="center"/>
          </w:tcPr>
          <w:p w14:paraId="60A9D189">
            <w:pPr>
              <w:pStyle w:val="12"/>
            </w:pPr>
            <w:r>
              <w:t>100%</w:t>
            </w:r>
          </w:p>
        </w:tc>
        <w:tc>
          <w:tcPr>
            <w:tcW w:w="1276" w:type="dxa"/>
            <w:vAlign w:val="center"/>
          </w:tcPr>
          <w:p w14:paraId="76043A3F">
            <w:pPr>
              <w:pStyle w:val="12"/>
            </w:pPr>
            <w:r>
              <w:t>城乡义务教育公用经费管理办法</w:t>
            </w:r>
          </w:p>
        </w:tc>
      </w:tr>
      <w:tr w14:paraId="7A4F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687BA"/>
        </w:tc>
        <w:tc>
          <w:tcPr>
            <w:tcW w:w="2268" w:type="dxa"/>
            <w:vAlign w:val="center"/>
          </w:tcPr>
          <w:p w14:paraId="4FD587CB">
            <w:pPr>
              <w:pStyle w:val="12"/>
            </w:pPr>
            <w:r>
              <w:t>可持续影响指标</w:t>
            </w:r>
          </w:p>
        </w:tc>
        <w:tc>
          <w:tcPr>
            <w:tcW w:w="2835" w:type="dxa"/>
            <w:vAlign w:val="center"/>
          </w:tcPr>
          <w:p w14:paraId="6DDB3197">
            <w:pPr>
              <w:pStyle w:val="12"/>
            </w:pPr>
            <w:r>
              <w:t>教育发展水平</w:t>
            </w:r>
          </w:p>
        </w:tc>
        <w:tc>
          <w:tcPr>
            <w:tcW w:w="5386" w:type="dxa"/>
            <w:vAlign w:val="center"/>
          </w:tcPr>
          <w:p w14:paraId="4705CD6D">
            <w:pPr>
              <w:pStyle w:val="12"/>
            </w:pPr>
            <w:r>
              <w:t>辖区内教育环境明显好转</w:t>
            </w:r>
          </w:p>
        </w:tc>
        <w:tc>
          <w:tcPr>
            <w:tcW w:w="2268" w:type="dxa"/>
            <w:vAlign w:val="center"/>
          </w:tcPr>
          <w:p w14:paraId="0F976A9C">
            <w:pPr>
              <w:pStyle w:val="12"/>
            </w:pPr>
            <w:r>
              <w:t>100%</w:t>
            </w:r>
          </w:p>
        </w:tc>
        <w:tc>
          <w:tcPr>
            <w:tcW w:w="1276" w:type="dxa"/>
            <w:vAlign w:val="center"/>
          </w:tcPr>
          <w:p w14:paraId="7AA6EE3F">
            <w:pPr>
              <w:pStyle w:val="12"/>
            </w:pPr>
            <w:r>
              <w:t>城乡义务教育公用经费管理办法</w:t>
            </w:r>
          </w:p>
        </w:tc>
      </w:tr>
      <w:tr w14:paraId="0947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94C3A">
            <w:pPr>
              <w:pStyle w:val="13"/>
            </w:pPr>
            <w:r>
              <w:t>满意度指标</w:t>
            </w:r>
          </w:p>
        </w:tc>
        <w:tc>
          <w:tcPr>
            <w:tcW w:w="2268" w:type="dxa"/>
            <w:vAlign w:val="center"/>
          </w:tcPr>
          <w:p w14:paraId="627544EA">
            <w:pPr>
              <w:pStyle w:val="12"/>
            </w:pPr>
            <w:r>
              <w:t>服务对象满意度指标</w:t>
            </w:r>
          </w:p>
        </w:tc>
        <w:tc>
          <w:tcPr>
            <w:tcW w:w="2835" w:type="dxa"/>
            <w:vAlign w:val="center"/>
          </w:tcPr>
          <w:p w14:paraId="26CF88E2">
            <w:pPr>
              <w:pStyle w:val="12"/>
            </w:pPr>
            <w:r>
              <w:t>受益学生家长及调查满意度</w:t>
            </w:r>
          </w:p>
        </w:tc>
        <w:tc>
          <w:tcPr>
            <w:tcW w:w="5386" w:type="dxa"/>
            <w:vAlign w:val="center"/>
          </w:tcPr>
          <w:p w14:paraId="7DE466EF">
            <w:pPr>
              <w:pStyle w:val="12"/>
            </w:pPr>
            <w:r>
              <w:t>学生、教师及家长对学校保教保育工作满意度情况</w:t>
            </w:r>
          </w:p>
        </w:tc>
        <w:tc>
          <w:tcPr>
            <w:tcW w:w="2268" w:type="dxa"/>
            <w:vAlign w:val="center"/>
          </w:tcPr>
          <w:p w14:paraId="2B78F937">
            <w:pPr>
              <w:pStyle w:val="12"/>
            </w:pPr>
            <w:r>
              <w:t>≥95%</w:t>
            </w:r>
          </w:p>
        </w:tc>
        <w:tc>
          <w:tcPr>
            <w:tcW w:w="1276" w:type="dxa"/>
            <w:vAlign w:val="center"/>
          </w:tcPr>
          <w:p w14:paraId="67B1464B">
            <w:pPr>
              <w:pStyle w:val="12"/>
            </w:pPr>
            <w:r>
              <w:t>城乡义务教育公用经费管理办法</w:t>
            </w:r>
          </w:p>
        </w:tc>
      </w:tr>
    </w:tbl>
    <w:p w14:paraId="3CA3DA3E">
      <w:pPr>
        <w:sectPr>
          <w:pgSz w:w="16840" w:h="11900" w:orient="landscape"/>
          <w:pgMar w:top="1361" w:right="1020" w:bottom="1134" w:left="1020" w:header="720" w:footer="720" w:gutter="0"/>
          <w:cols w:space="720" w:num="1"/>
        </w:sectPr>
      </w:pPr>
    </w:p>
    <w:p w14:paraId="0FD4EB2B">
      <w:pPr>
        <w:spacing w:before="0" w:after="0"/>
        <w:ind w:firstLine="560"/>
        <w:jc w:val="left"/>
        <w:outlineLvl w:val="9"/>
      </w:pPr>
      <w:r>
        <w:rPr>
          <w:rFonts w:ascii="方正仿宋_GBK" w:hAnsi="方正仿宋_GBK" w:eastAsia="方正仿宋_GBK" w:cs="方正仿宋_GBK"/>
          <w:b/>
          <w:color w:val="000000"/>
          <w:sz w:val="28"/>
        </w:rPr>
        <w:t>24、冀财教[2025]147号/省级/义教/2026年校舍安全/周村小学教学楼外墙维修绩效目标表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44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37313">
            <w:pPr>
              <w:pStyle w:val="11"/>
            </w:pPr>
            <w:r>
              <w:t>单位：万元</w:t>
            </w:r>
          </w:p>
        </w:tc>
      </w:tr>
      <w:tr w14:paraId="6BA0B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DB36E">
            <w:pPr>
              <w:pStyle w:val="10"/>
            </w:pPr>
            <w:r>
              <w:t>项目编码</w:t>
            </w:r>
          </w:p>
        </w:tc>
        <w:tc>
          <w:tcPr>
            <w:tcW w:w="5103" w:type="dxa"/>
            <w:gridSpan w:val="2"/>
            <w:vAlign w:val="center"/>
          </w:tcPr>
          <w:p w14:paraId="5692AF5C">
            <w:pPr>
              <w:pStyle w:val="12"/>
            </w:pPr>
            <w:r>
              <w:t>13052526P00876210103D</w:t>
            </w:r>
          </w:p>
        </w:tc>
        <w:tc>
          <w:tcPr>
            <w:tcW w:w="2835" w:type="dxa"/>
            <w:vAlign w:val="center"/>
          </w:tcPr>
          <w:p w14:paraId="279F7BDB">
            <w:pPr>
              <w:pStyle w:val="10"/>
            </w:pPr>
            <w:r>
              <w:t>项目名称</w:t>
            </w:r>
          </w:p>
        </w:tc>
        <w:tc>
          <w:tcPr>
            <w:tcW w:w="6095" w:type="dxa"/>
            <w:gridSpan w:val="3"/>
            <w:vAlign w:val="center"/>
          </w:tcPr>
          <w:p w14:paraId="797F9032">
            <w:pPr>
              <w:pStyle w:val="12"/>
            </w:pPr>
            <w:r>
              <w:t>冀财教[2025]147号/省级/义教/2026年校舍安全/周村小学教学楼外墙维修</w:t>
            </w:r>
          </w:p>
        </w:tc>
      </w:tr>
      <w:tr w14:paraId="0C8BB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6E825">
            <w:pPr>
              <w:pStyle w:val="10"/>
            </w:pPr>
            <w:r>
              <w:t>预算规模及资金用途</w:t>
            </w:r>
          </w:p>
        </w:tc>
        <w:tc>
          <w:tcPr>
            <w:tcW w:w="2268" w:type="dxa"/>
            <w:vAlign w:val="center"/>
          </w:tcPr>
          <w:p w14:paraId="3B545081">
            <w:pPr>
              <w:pStyle w:val="10"/>
            </w:pPr>
            <w:r>
              <w:t>预算数</w:t>
            </w:r>
          </w:p>
        </w:tc>
        <w:tc>
          <w:tcPr>
            <w:tcW w:w="2835" w:type="dxa"/>
            <w:vAlign w:val="center"/>
          </w:tcPr>
          <w:p w14:paraId="64405405">
            <w:pPr>
              <w:pStyle w:val="12"/>
            </w:pPr>
            <w:r>
              <w:t>23.00</w:t>
            </w:r>
          </w:p>
        </w:tc>
        <w:tc>
          <w:tcPr>
            <w:tcW w:w="2835" w:type="dxa"/>
            <w:vAlign w:val="center"/>
          </w:tcPr>
          <w:p w14:paraId="12EA62D2">
            <w:pPr>
              <w:pStyle w:val="10"/>
            </w:pPr>
            <w:r>
              <w:t>其中：财政    资金</w:t>
            </w:r>
          </w:p>
        </w:tc>
        <w:tc>
          <w:tcPr>
            <w:tcW w:w="2551" w:type="dxa"/>
            <w:vAlign w:val="center"/>
          </w:tcPr>
          <w:p w14:paraId="255CEF80">
            <w:pPr>
              <w:pStyle w:val="12"/>
            </w:pPr>
            <w:r>
              <w:t>23.00</w:t>
            </w:r>
          </w:p>
        </w:tc>
        <w:tc>
          <w:tcPr>
            <w:tcW w:w="2268" w:type="dxa"/>
            <w:vAlign w:val="center"/>
          </w:tcPr>
          <w:p w14:paraId="3778A5D4">
            <w:pPr>
              <w:pStyle w:val="10"/>
            </w:pPr>
            <w:r>
              <w:t>其他资金</w:t>
            </w:r>
          </w:p>
        </w:tc>
        <w:tc>
          <w:tcPr>
            <w:tcW w:w="1276" w:type="dxa"/>
            <w:vAlign w:val="center"/>
          </w:tcPr>
          <w:p w14:paraId="05A91CB7">
            <w:pPr>
              <w:pStyle w:val="12"/>
            </w:pPr>
            <w:r>
              <w:t xml:space="preserve"> </w:t>
            </w:r>
          </w:p>
        </w:tc>
      </w:tr>
      <w:tr w14:paraId="1AFE8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1EF6A"/>
        </w:tc>
        <w:tc>
          <w:tcPr>
            <w:tcW w:w="14033" w:type="dxa"/>
            <w:gridSpan w:val="6"/>
            <w:vAlign w:val="center"/>
          </w:tcPr>
          <w:p w14:paraId="403B6178">
            <w:pPr>
              <w:pStyle w:val="12"/>
            </w:pPr>
            <w:r>
              <w:t>完成周村小学教学楼外墙维修，满足学校正常教学需要。</w:t>
            </w:r>
          </w:p>
        </w:tc>
      </w:tr>
      <w:tr w14:paraId="08917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9C684">
            <w:pPr>
              <w:pStyle w:val="10"/>
            </w:pPr>
            <w:r>
              <w:t>资金支出计划（%）</w:t>
            </w:r>
          </w:p>
        </w:tc>
        <w:tc>
          <w:tcPr>
            <w:tcW w:w="5103" w:type="dxa"/>
            <w:gridSpan w:val="2"/>
            <w:vAlign w:val="center"/>
          </w:tcPr>
          <w:p w14:paraId="1322C1FD">
            <w:pPr>
              <w:pStyle w:val="10"/>
            </w:pPr>
            <w:r>
              <w:t>3月底</w:t>
            </w:r>
          </w:p>
        </w:tc>
        <w:tc>
          <w:tcPr>
            <w:tcW w:w="2835" w:type="dxa"/>
            <w:vAlign w:val="center"/>
          </w:tcPr>
          <w:p w14:paraId="4A1EDD96">
            <w:pPr>
              <w:pStyle w:val="10"/>
            </w:pPr>
            <w:r>
              <w:t>6月底</w:t>
            </w:r>
          </w:p>
        </w:tc>
        <w:tc>
          <w:tcPr>
            <w:tcW w:w="2551" w:type="dxa"/>
            <w:vAlign w:val="center"/>
          </w:tcPr>
          <w:p w14:paraId="763FE0D1">
            <w:pPr>
              <w:pStyle w:val="10"/>
            </w:pPr>
            <w:r>
              <w:t>10月底</w:t>
            </w:r>
          </w:p>
        </w:tc>
        <w:tc>
          <w:tcPr>
            <w:tcW w:w="3544" w:type="dxa"/>
            <w:gridSpan w:val="2"/>
            <w:vAlign w:val="center"/>
          </w:tcPr>
          <w:p w14:paraId="4F7AB105">
            <w:pPr>
              <w:pStyle w:val="10"/>
            </w:pPr>
            <w:r>
              <w:t>12月底</w:t>
            </w:r>
          </w:p>
        </w:tc>
      </w:tr>
      <w:tr w14:paraId="5F136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9A603"/>
        </w:tc>
        <w:tc>
          <w:tcPr>
            <w:tcW w:w="5103" w:type="dxa"/>
            <w:gridSpan w:val="2"/>
            <w:vAlign w:val="center"/>
          </w:tcPr>
          <w:p w14:paraId="2D81423A">
            <w:pPr>
              <w:pStyle w:val="13"/>
            </w:pPr>
            <w:r>
              <w:t xml:space="preserve"> </w:t>
            </w:r>
          </w:p>
        </w:tc>
        <w:tc>
          <w:tcPr>
            <w:tcW w:w="2835" w:type="dxa"/>
            <w:vAlign w:val="center"/>
          </w:tcPr>
          <w:p w14:paraId="00F3D2B7">
            <w:pPr>
              <w:pStyle w:val="13"/>
            </w:pPr>
            <w:r>
              <w:t>50%</w:t>
            </w:r>
          </w:p>
        </w:tc>
        <w:tc>
          <w:tcPr>
            <w:tcW w:w="2551" w:type="dxa"/>
            <w:vAlign w:val="center"/>
          </w:tcPr>
          <w:p w14:paraId="51BEB1BB">
            <w:pPr>
              <w:pStyle w:val="13"/>
            </w:pPr>
            <w:r>
              <w:t>100%</w:t>
            </w:r>
          </w:p>
        </w:tc>
        <w:tc>
          <w:tcPr>
            <w:tcW w:w="3544" w:type="dxa"/>
            <w:gridSpan w:val="2"/>
            <w:vAlign w:val="center"/>
          </w:tcPr>
          <w:p w14:paraId="23897ADD">
            <w:pPr>
              <w:pStyle w:val="13"/>
            </w:pPr>
            <w:r>
              <w:t>100%</w:t>
            </w:r>
          </w:p>
        </w:tc>
      </w:tr>
      <w:tr w14:paraId="06E4D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7F830">
            <w:pPr>
              <w:pStyle w:val="10"/>
            </w:pPr>
            <w:r>
              <w:t>绩效目标</w:t>
            </w:r>
          </w:p>
        </w:tc>
        <w:tc>
          <w:tcPr>
            <w:tcW w:w="14033" w:type="dxa"/>
            <w:gridSpan w:val="6"/>
            <w:vAlign w:val="center"/>
          </w:tcPr>
          <w:p w14:paraId="4AE9AC7A">
            <w:pPr>
              <w:pStyle w:val="12"/>
            </w:pPr>
            <w:r>
              <w:t>1.按规定拨付专项资金，资金支付率达到100%。</w:t>
            </w:r>
          </w:p>
          <w:p w14:paraId="5ADDBCED">
            <w:pPr>
              <w:pStyle w:val="12"/>
            </w:pPr>
            <w:r>
              <w:t>2.完成周村小学教学楼外墙维修，满足学校正常教学需要。</w:t>
            </w:r>
          </w:p>
        </w:tc>
      </w:tr>
    </w:tbl>
    <w:p w14:paraId="39F946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6F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4E59F">
            <w:pPr>
              <w:pStyle w:val="10"/>
            </w:pPr>
            <w:r>
              <w:t>一级指标</w:t>
            </w:r>
          </w:p>
        </w:tc>
        <w:tc>
          <w:tcPr>
            <w:tcW w:w="2268" w:type="dxa"/>
            <w:vAlign w:val="center"/>
          </w:tcPr>
          <w:p w14:paraId="5DA95E50">
            <w:pPr>
              <w:pStyle w:val="10"/>
            </w:pPr>
            <w:r>
              <w:t>二级指标</w:t>
            </w:r>
          </w:p>
        </w:tc>
        <w:tc>
          <w:tcPr>
            <w:tcW w:w="2835" w:type="dxa"/>
            <w:vAlign w:val="center"/>
          </w:tcPr>
          <w:p w14:paraId="05835E02">
            <w:pPr>
              <w:pStyle w:val="10"/>
            </w:pPr>
            <w:r>
              <w:t>三级指标</w:t>
            </w:r>
          </w:p>
        </w:tc>
        <w:tc>
          <w:tcPr>
            <w:tcW w:w="5386" w:type="dxa"/>
            <w:vAlign w:val="center"/>
          </w:tcPr>
          <w:p w14:paraId="0E6F1517">
            <w:pPr>
              <w:pStyle w:val="10"/>
            </w:pPr>
            <w:r>
              <w:t>绩效指标描述</w:t>
            </w:r>
          </w:p>
        </w:tc>
        <w:tc>
          <w:tcPr>
            <w:tcW w:w="2268" w:type="dxa"/>
            <w:vAlign w:val="center"/>
          </w:tcPr>
          <w:p w14:paraId="23EC635C">
            <w:pPr>
              <w:pStyle w:val="10"/>
            </w:pPr>
            <w:r>
              <w:t>指标值</w:t>
            </w:r>
          </w:p>
        </w:tc>
        <w:tc>
          <w:tcPr>
            <w:tcW w:w="1276" w:type="dxa"/>
            <w:vAlign w:val="center"/>
          </w:tcPr>
          <w:p w14:paraId="7D46A666">
            <w:pPr>
              <w:pStyle w:val="10"/>
            </w:pPr>
            <w:r>
              <w:t>指标值确定依据</w:t>
            </w:r>
          </w:p>
        </w:tc>
      </w:tr>
      <w:tr w14:paraId="7E94B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EE138">
            <w:pPr>
              <w:pStyle w:val="13"/>
            </w:pPr>
            <w:r>
              <w:t>产出指标</w:t>
            </w:r>
          </w:p>
        </w:tc>
        <w:tc>
          <w:tcPr>
            <w:tcW w:w="2268" w:type="dxa"/>
            <w:vAlign w:val="center"/>
          </w:tcPr>
          <w:p w14:paraId="578DF0BC">
            <w:pPr>
              <w:pStyle w:val="12"/>
            </w:pPr>
            <w:r>
              <w:t>数量指标</w:t>
            </w:r>
          </w:p>
        </w:tc>
        <w:tc>
          <w:tcPr>
            <w:tcW w:w="2835" w:type="dxa"/>
            <w:vAlign w:val="center"/>
          </w:tcPr>
          <w:p w14:paraId="3A2F9B38">
            <w:pPr>
              <w:pStyle w:val="12"/>
            </w:pPr>
            <w:r>
              <w:t>教学楼外墙维修</w:t>
            </w:r>
          </w:p>
        </w:tc>
        <w:tc>
          <w:tcPr>
            <w:tcW w:w="5386" w:type="dxa"/>
            <w:vAlign w:val="center"/>
          </w:tcPr>
          <w:p w14:paraId="57D13AD3">
            <w:pPr>
              <w:pStyle w:val="12"/>
            </w:pPr>
            <w:r>
              <w:t>教学楼外墙维修</w:t>
            </w:r>
          </w:p>
        </w:tc>
        <w:tc>
          <w:tcPr>
            <w:tcW w:w="2268" w:type="dxa"/>
            <w:vAlign w:val="center"/>
          </w:tcPr>
          <w:p w14:paraId="0F010300">
            <w:pPr>
              <w:pStyle w:val="12"/>
            </w:pPr>
            <w:r>
              <w:t>23万元</w:t>
            </w:r>
          </w:p>
        </w:tc>
        <w:tc>
          <w:tcPr>
            <w:tcW w:w="1276" w:type="dxa"/>
            <w:vAlign w:val="center"/>
          </w:tcPr>
          <w:p w14:paraId="4FF741A1">
            <w:pPr>
              <w:pStyle w:val="12"/>
            </w:pPr>
            <w:r>
              <w:t>项目规划</w:t>
            </w:r>
          </w:p>
        </w:tc>
      </w:tr>
      <w:tr w14:paraId="6923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77F0A"/>
        </w:tc>
        <w:tc>
          <w:tcPr>
            <w:tcW w:w="2268" w:type="dxa"/>
            <w:vAlign w:val="center"/>
          </w:tcPr>
          <w:p w14:paraId="493210C5">
            <w:pPr>
              <w:pStyle w:val="12"/>
            </w:pPr>
            <w:r>
              <w:t>质量指标</w:t>
            </w:r>
          </w:p>
        </w:tc>
        <w:tc>
          <w:tcPr>
            <w:tcW w:w="2835" w:type="dxa"/>
            <w:vAlign w:val="center"/>
          </w:tcPr>
          <w:p w14:paraId="26D4B9C2">
            <w:pPr>
              <w:pStyle w:val="12"/>
            </w:pPr>
            <w:r>
              <w:t>资金支付率</w:t>
            </w:r>
          </w:p>
        </w:tc>
        <w:tc>
          <w:tcPr>
            <w:tcW w:w="5386" w:type="dxa"/>
            <w:vAlign w:val="center"/>
          </w:tcPr>
          <w:p w14:paraId="6856FE3C">
            <w:pPr>
              <w:pStyle w:val="12"/>
            </w:pPr>
            <w:r>
              <w:t>按照序时进度完成资金支付</w:t>
            </w:r>
          </w:p>
        </w:tc>
        <w:tc>
          <w:tcPr>
            <w:tcW w:w="2268" w:type="dxa"/>
            <w:vAlign w:val="center"/>
          </w:tcPr>
          <w:p w14:paraId="322D0F6C">
            <w:pPr>
              <w:pStyle w:val="12"/>
            </w:pPr>
            <w:r>
              <w:t>100%</w:t>
            </w:r>
          </w:p>
        </w:tc>
        <w:tc>
          <w:tcPr>
            <w:tcW w:w="1276" w:type="dxa"/>
            <w:vAlign w:val="center"/>
          </w:tcPr>
          <w:p w14:paraId="6E12D6DF">
            <w:pPr>
              <w:pStyle w:val="12"/>
            </w:pPr>
            <w:r>
              <w:t>项目规划</w:t>
            </w:r>
          </w:p>
        </w:tc>
      </w:tr>
      <w:tr w14:paraId="1154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08E18"/>
        </w:tc>
        <w:tc>
          <w:tcPr>
            <w:tcW w:w="2268" w:type="dxa"/>
            <w:vAlign w:val="center"/>
          </w:tcPr>
          <w:p w14:paraId="3136D185">
            <w:pPr>
              <w:pStyle w:val="12"/>
            </w:pPr>
            <w:r>
              <w:t>时效指标</w:t>
            </w:r>
          </w:p>
        </w:tc>
        <w:tc>
          <w:tcPr>
            <w:tcW w:w="2835" w:type="dxa"/>
            <w:vAlign w:val="center"/>
          </w:tcPr>
          <w:p w14:paraId="44705118">
            <w:pPr>
              <w:pStyle w:val="12"/>
            </w:pPr>
            <w:r>
              <w:t>项目竣工验收合格率</w:t>
            </w:r>
          </w:p>
        </w:tc>
        <w:tc>
          <w:tcPr>
            <w:tcW w:w="5386" w:type="dxa"/>
            <w:vAlign w:val="center"/>
          </w:tcPr>
          <w:p w14:paraId="17298627">
            <w:pPr>
              <w:pStyle w:val="12"/>
            </w:pPr>
            <w:r>
              <w:t>项目改造质量达标率</w:t>
            </w:r>
          </w:p>
        </w:tc>
        <w:tc>
          <w:tcPr>
            <w:tcW w:w="2268" w:type="dxa"/>
            <w:vAlign w:val="center"/>
          </w:tcPr>
          <w:p w14:paraId="2EEE8780">
            <w:pPr>
              <w:pStyle w:val="12"/>
            </w:pPr>
            <w:r>
              <w:t>100%</w:t>
            </w:r>
          </w:p>
        </w:tc>
        <w:tc>
          <w:tcPr>
            <w:tcW w:w="1276" w:type="dxa"/>
            <w:vAlign w:val="center"/>
          </w:tcPr>
          <w:p w14:paraId="5B1710AF">
            <w:pPr>
              <w:pStyle w:val="12"/>
            </w:pPr>
            <w:r>
              <w:t>项目规划</w:t>
            </w:r>
          </w:p>
        </w:tc>
      </w:tr>
      <w:tr w14:paraId="3EBF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500E2"/>
        </w:tc>
        <w:tc>
          <w:tcPr>
            <w:tcW w:w="2268" w:type="dxa"/>
            <w:vAlign w:val="center"/>
          </w:tcPr>
          <w:p w14:paraId="51737FF9">
            <w:pPr>
              <w:pStyle w:val="12"/>
            </w:pPr>
            <w:r>
              <w:t>成本指标</w:t>
            </w:r>
          </w:p>
        </w:tc>
        <w:tc>
          <w:tcPr>
            <w:tcW w:w="2835" w:type="dxa"/>
            <w:vAlign w:val="center"/>
          </w:tcPr>
          <w:p w14:paraId="775BE74D">
            <w:pPr>
              <w:pStyle w:val="12"/>
            </w:pPr>
            <w:r>
              <w:t>项目实际成本</w:t>
            </w:r>
          </w:p>
        </w:tc>
        <w:tc>
          <w:tcPr>
            <w:tcW w:w="5386" w:type="dxa"/>
            <w:vAlign w:val="center"/>
          </w:tcPr>
          <w:p w14:paraId="545F32C3">
            <w:pPr>
              <w:pStyle w:val="12"/>
            </w:pPr>
            <w:r>
              <w:t>教学楼外墙维修</w:t>
            </w:r>
          </w:p>
        </w:tc>
        <w:tc>
          <w:tcPr>
            <w:tcW w:w="2268" w:type="dxa"/>
            <w:vAlign w:val="center"/>
          </w:tcPr>
          <w:p w14:paraId="496C36C5">
            <w:pPr>
              <w:pStyle w:val="12"/>
            </w:pPr>
            <w:r>
              <w:t>23万元</w:t>
            </w:r>
          </w:p>
        </w:tc>
        <w:tc>
          <w:tcPr>
            <w:tcW w:w="1276" w:type="dxa"/>
            <w:vAlign w:val="center"/>
          </w:tcPr>
          <w:p w14:paraId="40118389">
            <w:pPr>
              <w:pStyle w:val="12"/>
            </w:pPr>
            <w:r>
              <w:t>项目规划</w:t>
            </w:r>
          </w:p>
        </w:tc>
      </w:tr>
      <w:tr w14:paraId="2ADB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58E0E">
            <w:pPr>
              <w:pStyle w:val="13"/>
            </w:pPr>
            <w:r>
              <w:t>效益指标</w:t>
            </w:r>
          </w:p>
        </w:tc>
        <w:tc>
          <w:tcPr>
            <w:tcW w:w="2268" w:type="dxa"/>
            <w:vAlign w:val="center"/>
          </w:tcPr>
          <w:p w14:paraId="295A74BE">
            <w:pPr>
              <w:pStyle w:val="12"/>
            </w:pPr>
            <w:r>
              <w:t>经济效益指标</w:t>
            </w:r>
          </w:p>
        </w:tc>
        <w:tc>
          <w:tcPr>
            <w:tcW w:w="2835" w:type="dxa"/>
            <w:vAlign w:val="center"/>
          </w:tcPr>
          <w:p w14:paraId="51EB5871">
            <w:pPr>
              <w:pStyle w:val="12"/>
            </w:pPr>
            <w:r>
              <w:t>教育发展水平</w:t>
            </w:r>
          </w:p>
        </w:tc>
        <w:tc>
          <w:tcPr>
            <w:tcW w:w="5386" w:type="dxa"/>
            <w:vAlign w:val="center"/>
          </w:tcPr>
          <w:p w14:paraId="7BBFE7E9">
            <w:pPr>
              <w:pStyle w:val="12"/>
            </w:pPr>
            <w:r>
              <w:t>辖区内教育环境明显好转</w:t>
            </w:r>
          </w:p>
        </w:tc>
        <w:tc>
          <w:tcPr>
            <w:tcW w:w="2268" w:type="dxa"/>
            <w:vAlign w:val="center"/>
          </w:tcPr>
          <w:p w14:paraId="71CA38E5">
            <w:pPr>
              <w:pStyle w:val="12"/>
            </w:pPr>
            <w:r>
              <w:t>≥95%</w:t>
            </w:r>
          </w:p>
        </w:tc>
        <w:tc>
          <w:tcPr>
            <w:tcW w:w="1276" w:type="dxa"/>
            <w:vAlign w:val="center"/>
          </w:tcPr>
          <w:p w14:paraId="0F18A1BA">
            <w:pPr>
              <w:pStyle w:val="12"/>
            </w:pPr>
            <w:r>
              <w:t>项目规划</w:t>
            </w:r>
          </w:p>
        </w:tc>
      </w:tr>
      <w:tr w14:paraId="6988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BCC42"/>
        </w:tc>
        <w:tc>
          <w:tcPr>
            <w:tcW w:w="2268" w:type="dxa"/>
            <w:vAlign w:val="center"/>
          </w:tcPr>
          <w:p w14:paraId="1D621C38">
            <w:pPr>
              <w:pStyle w:val="12"/>
            </w:pPr>
            <w:r>
              <w:t>社会效益指标</w:t>
            </w:r>
          </w:p>
        </w:tc>
        <w:tc>
          <w:tcPr>
            <w:tcW w:w="2835" w:type="dxa"/>
            <w:vAlign w:val="center"/>
          </w:tcPr>
          <w:p w14:paraId="3DFA2C63">
            <w:pPr>
              <w:pStyle w:val="12"/>
            </w:pPr>
            <w:r>
              <w:t>校园环境</w:t>
            </w:r>
          </w:p>
        </w:tc>
        <w:tc>
          <w:tcPr>
            <w:tcW w:w="5386" w:type="dxa"/>
            <w:vAlign w:val="center"/>
          </w:tcPr>
          <w:p w14:paraId="0946D800">
            <w:pPr>
              <w:pStyle w:val="12"/>
            </w:pPr>
            <w:r>
              <w:t>办学条件和环境得到改善</w:t>
            </w:r>
          </w:p>
        </w:tc>
        <w:tc>
          <w:tcPr>
            <w:tcW w:w="2268" w:type="dxa"/>
            <w:vAlign w:val="center"/>
          </w:tcPr>
          <w:p w14:paraId="174A03CB">
            <w:pPr>
              <w:pStyle w:val="12"/>
            </w:pPr>
            <w:r>
              <w:t>≥95%</w:t>
            </w:r>
          </w:p>
        </w:tc>
        <w:tc>
          <w:tcPr>
            <w:tcW w:w="1276" w:type="dxa"/>
            <w:vAlign w:val="center"/>
          </w:tcPr>
          <w:p w14:paraId="33B8FC5D">
            <w:pPr>
              <w:pStyle w:val="12"/>
            </w:pPr>
            <w:r>
              <w:t>项目规划</w:t>
            </w:r>
          </w:p>
        </w:tc>
      </w:tr>
      <w:tr w14:paraId="7327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A5DAC">
            <w:pPr>
              <w:pStyle w:val="13"/>
            </w:pPr>
            <w:r>
              <w:t>满意度指标</w:t>
            </w:r>
          </w:p>
        </w:tc>
        <w:tc>
          <w:tcPr>
            <w:tcW w:w="2268" w:type="dxa"/>
            <w:vAlign w:val="center"/>
          </w:tcPr>
          <w:p w14:paraId="350B1A4A">
            <w:pPr>
              <w:pStyle w:val="12"/>
            </w:pPr>
            <w:r>
              <w:t>服务对象满意度指标</w:t>
            </w:r>
          </w:p>
        </w:tc>
        <w:tc>
          <w:tcPr>
            <w:tcW w:w="2835" w:type="dxa"/>
            <w:vAlign w:val="center"/>
          </w:tcPr>
          <w:p w14:paraId="5B361E01">
            <w:pPr>
              <w:pStyle w:val="12"/>
            </w:pPr>
            <w:r>
              <w:t>受益学生家长及调查满意度</w:t>
            </w:r>
          </w:p>
        </w:tc>
        <w:tc>
          <w:tcPr>
            <w:tcW w:w="5386" w:type="dxa"/>
            <w:vAlign w:val="center"/>
          </w:tcPr>
          <w:p w14:paraId="3F89BC25">
            <w:pPr>
              <w:pStyle w:val="12"/>
            </w:pPr>
            <w:r>
              <w:t>学生、教师及家长对学校工作满意度情况</w:t>
            </w:r>
          </w:p>
        </w:tc>
        <w:tc>
          <w:tcPr>
            <w:tcW w:w="2268" w:type="dxa"/>
            <w:vAlign w:val="center"/>
          </w:tcPr>
          <w:p w14:paraId="78FD0F9B">
            <w:pPr>
              <w:pStyle w:val="12"/>
            </w:pPr>
            <w:r>
              <w:t>≥95%</w:t>
            </w:r>
          </w:p>
        </w:tc>
        <w:tc>
          <w:tcPr>
            <w:tcW w:w="1276" w:type="dxa"/>
            <w:vAlign w:val="center"/>
          </w:tcPr>
          <w:p w14:paraId="11B06F22">
            <w:pPr>
              <w:pStyle w:val="12"/>
            </w:pPr>
            <w:r>
              <w:t>调查问卷</w:t>
            </w:r>
          </w:p>
        </w:tc>
      </w:tr>
    </w:tbl>
    <w:p w14:paraId="575791E1">
      <w:pPr>
        <w:sectPr>
          <w:pgSz w:w="16840" w:h="11900" w:orient="landscape"/>
          <w:pgMar w:top="1361" w:right="1020" w:bottom="1134" w:left="1020" w:header="720" w:footer="720" w:gutter="0"/>
          <w:cols w:space="720" w:num="1"/>
        </w:sectPr>
      </w:pPr>
    </w:p>
    <w:p w14:paraId="464FFAEA">
      <w:pPr>
        <w:spacing w:before="0" w:after="0"/>
        <w:ind w:firstLine="560"/>
        <w:jc w:val="left"/>
        <w:outlineLvl w:val="9"/>
      </w:pPr>
      <w:r>
        <w:rPr>
          <w:rFonts w:ascii="方正仿宋_GBK" w:hAnsi="方正仿宋_GBK" w:eastAsia="方正仿宋_GBK" w:cs="方正仿宋_GBK"/>
          <w:b/>
          <w:color w:val="000000"/>
          <w:sz w:val="28"/>
        </w:rPr>
        <w:t>25、冀财教[2025]149号/省级/2026年学前发展资金/东良校区学前教育公用经费绩效目标表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B5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1DE6E">
            <w:pPr>
              <w:pStyle w:val="11"/>
            </w:pPr>
            <w:r>
              <w:t>单位：万元</w:t>
            </w:r>
          </w:p>
        </w:tc>
      </w:tr>
      <w:tr w14:paraId="2034C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42542">
            <w:pPr>
              <w:pStyle w:val="10"/>
            </w:pPr>
            <w:r>
              <w:t>项目编码</w:t>
            </w:r>
          </w:p>
        </w:tc>
        <w:tc>
          <w:tcPr>
            <w:tcW w:w="5103" w:type="dxa"/>
            <w:gridSpan w:val="2"/>
            <w:vAlign w:val="center"/>
          </w:tcPr>
          <w:p w14:paraId="4EDC170B">
            <w:pPr>
              <w:pStyle w:val="12"/>
            </w:pPr>
            <w:r>
              <w:t>13052526P00875710106D</w:t>
            </w:r>
          </w:p>
        </w:tc>
        <w:tc>
          <w:tcPr>
            <w:tcW w:w="2835" w:type="dxa"/>
            <w:vAlign w:val="center"/>
          </w:tcPr>
          <w:p w14:paraId="3D2B91D8">
            <w:pPr>
              <w:pStyle w:val="10"/>
            </w:pPr>
            <w:r>
              <w:t>项目名称</w:t>
            </w:r>
          </w:p>
        </w:tc>
        <w:tc>
          <w:tcPr>
            <w:tcW w:w="6095" w:type="dxa"/>
            <w:gridSpan w:val="3"/>
            <w:vAlign w:val="center"/>
          </w:tcPr>
          <w:p w14:paraId="7190D7F6">
            <w:pPr>
              <w:pStyle w:val="12"/>
            </w:pPr>
            <w:r>
              <w:t>冀财教[2025]149号/省级/2026年学前发展资金/东良校区学前教育公用经费</w:t>
            </w:r>
          </w:p>
        </w:tc>
      </w:tr>
      <w:tr w14:paraId="094F4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920AE">
            <w:pPr>
              <w:pStyle w:val="10"/>
            </w:pPr>
            <w:r>
              <w:t>预算规模及资金用途</w:t>
            </w:r>
          </w:p>
        </w:tc>
        <w:tc>
          <w:tcPr>
            <w:tcW w:w="2268" w:type="dxa"/>
            <w:vAlign w:val="center"/>
          </w:tcPr>
          <w:p w14:paraId="4FDE6D1B">
            <w:pPr>
              <w:pStyle w:val="10"/>
            </w:pPr>
            <w:r>
              <w:t>预算数</w:t>
            </w:r>
          </w:p>
        </w:tc>
        <w:tc>
          <w:tcPr>
            <w:tcW w:w="2835" w:type="dxa"/>
            <w:vAlign w:val="center"/>
          </w:tcPr>
          <w:p w14:paraId="10E21E55">
            <w:pPr>
              <w:pStyle w:val="12"/>
            </w:pPr>
            <w:r>
              <w:t>13.98</w:t>
            </w:r>
          </w:p>
        </w:tc>
        <w:tc>
          <w:tcPr>
            <w:tcW w:w="2835" w:type="dxa"/>
            <w:vAlign w:val="center"/>
          </w:tcPr>
          <w:p w14:paraId="4B1BB3F5">
            <w:pPr>
              <w:pStyle w:val="10"/>
            </w:pPr>
            <w:r>
              <w:t>其中：财政    资金</w:t>
            </w:r>
          </w:p>
        </w:tc>
        <w:tc>
          <w:tcPr>
            <w:tcW w:w="2551" w:type="dxa"/>
            <w:vAlign w:val="center"/>
          </w:tcPr>
          <w:p w14:paraId="323BFA3B">
            <w:pPr>
              <w:pStyle w:val="12"/>
            </w:pPr>
            <w:r>
              <w:t>13.98</w:t>
            </w:r>
          </w:p>
        </w:tc>
        <w:tc>
          <w:tcPr>
            <w:tcW w:w="2268" w:type="dxa"/>
            <w:vAlign w:val="center"/>
          </w:tcPr>
          <w:p w14:paraId="6A08BF2A">
            <w:pPr>
              <w:pStyle w:val="10"/>
            </w:pPr>
            <w:r>
              <w:t>其他资金</w:t>
            </w:r>
          </w:p>
        </w:tc>
        <w:tc>
          <w:tcPr>
            <w:tcW w:w="1276" w:type="dxa"/>
            <w:vAlign w:val="center"/>
          </w:tcPr>
          <w:p w14:paraId="0FAB2C96">
            <w:pPr>
              <w:pStyle w:val="12"/>
            </w:pPr>
            <w:r>
              <w:t xml:space="preserve"> </w:t>
            </w:r>
          </w:p>
        </w:tc>
      </w:tr>
      <w:tr w14:paraId="4CB3E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7D332"/>
        </w:tc>
        <w:tc>
          <w:tcPr>
            <w:tcW w:w="14033" w:type="dxa"/>
            <w:gridSpan w:val="6"/>
            <w:vAlign w:val="center"/>
          </w:tcPr>
          <w:p w14:paraId="4908C95D">
            <w:pPr>
              <w:pStyle w:val="12"/>
            </w:pPr>
            <w:r>
              <w:t xml:space="preserve"> 保障幼儿园正常运转，完成教育教学活动和其他日常工作任务等方面的费用支出。</w:t>
            </w:r>
          </w:p>
        </w:tc>
      </w:tr>
      <w:tr w14:paraId="29B2C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F3538">
            <w:pPr>
              <w:pStyle w:val="10"/>
            </w:pPr>
            <w:r>
              <w:t>资金支出计划（%）</w:t>
            </w:r>
          </w:p>
        </w:tc>
        <w:tc>
          <w:tcPr>
            <w:tcW w:w="5103" w:type="dxa"/>
            <w:gridSpan w:val="2"/>
            <w:vAlign w:val="center"/>
          </w:tcPr>
          <w:p w14:paraId="4935A098">
            <w:pPr>
              <w:pStyle w:val="10"/>
            </w:pPr>
            <w:r>
              <w:t>3月底</w:t>
            </w:r>
          </w:p>
        </w:tc>
        <w:tc>
          <w:tcPr>
            <w:tcW w:w="2835" w:type="dxa"/>
            <w:vAlign w:val="center"/>
          </w:tcPr>
          <w:p w14:paraId="4669A4C5">
            <w:pPr>
              <w:pStyle w:val="10"/>
            </w:pPr>
            <w:r>
              <w:t>6月底</w:t>
            </w:r>
          </w:p>
        </w:tc>
        <w:tc>
          <w:tcPr>
            <w:tcW w:w="2551" w:type="dxa"/>
            <w:vAlign w:val="center"/>
          </w:tcPr>
          <w:p w14:paraId="797DE4D8">
            <w:pPr>
              <w:pStyle w:val="10"/>
            </w:pPr>
            <w:r>
              <w:t>10月底</w:t>
            </w:r>
          </w:p>
        </w:tc>
        <w:tc>
          <w:tcPr>
            <w:tcW w:w="3544" w:type="dxa"/>
            <w:gridSpan w:val="2"/>
            <w:vAlign w:val="center"/>
          </w:tcPr>
          <w:p w14:paraId="3988E779">
            <w:pPr>
              <w:pStyle w:val="10"/>
            </w:pPr>
            <w:r>
              <w:t>12月底</w:t>
            </w:r>
          </w:p>
        </w:tc>
      </w:tr>
      <w:tr w14:paraId="66807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4B8CE"/>
        </w:tc>
        <w:tc>
          <w:tcPr>
            <w:tcW w:w="5103" w:type="dxa"/>
            <w:gridSpan w:val="2"/>
            <w:vAlign w:val="center"/>
          </w:tcPr>
          <w:p w14:paraId="0A4E4CE8">
            <w:pPr>
              <w:pStyle w:val="13"/>
            </w:pPr>
            <w:r>
              <w:t>25%</w:t>
            </w:r>
          </w:p>
        </w:tc>
        <w:tc>
          <w:tcPr>
            <w:tcW w:w="2835" w:type="dxa"/>
            <w:vAlign w:val="center"/>
          </w:tcPr>
          <w:p w14:paraId="37D44D7A">
            <w:pPr>
              <w:pStyle w:val="13"/>
            </w:pPr>
            <w:r>
              <w:t>50%</w:t>
            </w:r>
          </w:p>
        </w:tc>
        <w:tc>
          <w:tcPr>
            <w:tcW w:w="2551" w:type="dxa"/>
            <w:vAlign w:val="center"/>
          </w:tcPr>
          <w:p w14:paraId="0F94EB13">
            <w:pPr>
              <w:pStyle w:val="13"/>
            </w:pPr>
            <w:r>
              <w:t>75%</w:t>
            </w:r>
          </w:p>
        </w:tc>
        <w:tc>
          <w:tcPr>
            <w:tcW w:w="3544" w:type="dxa"/>
            <w:gridSpan w:val="2"/>
            <w:vAlign w:val="center"/>
          </w:tcPr>
          <w:p w14:paraId="5963A6FE">
            <w:pPr>
              <w:pStyle w:val="13"/>
            </w:pPr>
            <w:r>
              <w:t>100%</w:t>
            </w:r>
          </w:p>
        </w:tc>
      </w:tr>
      <w:tr w14:paraId="6040E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F8787">
            <w:pPr>
              <w:pStyle w:val="10"/>
            </w:pPr>
            <w:r>
              <w:t>绩效目标</w:t>
            </w:r>
          </w:p>
        </w:tc>
        <w:tc>
          <w:tcPr>
            <w:tcW w:w="14033" w:type="dxa"/>
            <w:gridSpan w:val="6"/>
            <w:vAlign w:val="center"/>
          </w:tcPr>
          <w:p w14:paraId="551B4F8C">
            <w:pPr>
              <w:pStyle w:val="12"/>
            </w:pPr>
            <w:r>
              <w:t>1.按季度分批次拨付公用经费资金，资金拨付率达到100%。</w:t>
            </w:r>
          </w:p>
          <w:p w14:paraId="41528773">
            <w:pPr>
              <w:pStyle w:val="12"/>
            </w:pPr>
            <w:r>
              <w:t>2. 保障幼儿园正常运转，完成教育教学活动和其他日常工作任务等方面的费用支出。</w:t>
            </w:r>
          </w:p>
        </w:tc>
      </w:tr>
    </w:tbl>
    <w:p w14:paraId="1D4719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2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40651">
            <w:pPr>
              <w:pStyle w:val="10"/>
            </w:pPr>
            <w:r>
              <w:t>一级指标</w:t>
            </w:r>
          </w:p>
        </w:tc>
        <w:tc>
          <w:tcPr>
            <w:tcW w:w="2268" w:type="dxa"/>
            <w:vAlign w:val="center"/>
          </w:tcPr>
          <w:p w14:paraId="5567866C">
            <w:pPr>
              <w:pStyle w:val="10"/>
            </w:pPr>
            <w:r>
              <w:t>二级指标</w:t>
            </w:r>
          </w:p>
        </w:tc>
        <w:tc>
          <w:tcPr>
            <w:tcW w:w="2835" w:type="dxa"/>
            <w:vAlign w:val="center"/>
          </w:tcPr>
          <w:p w14:paraId="2B33E12B">
            <w:pPr>
              <w:pStyle w:val="10"/>
            </w:pPr>
            <w:r>
              <w:t>三级指标</w:t>
            </w:r>
          </w:p>
        </w:tc>
        <w:tc>
          <w:tcPr>
            <w:tcW w:w="5386" w:type="dxa"/>
            <w:vAlign w:val="center"/>
          </w:tcPr>
          <w:p w14:paraId="02585886">
            <w:pPr>
              <w:pStyle w:val="10"/>
            </w:pPr>
            <w:r>
              <w:t>绩效指标描述</w:t>
            </w:r>
          </w:p>
        </w:tc>
        <w:tc>
          <w:tcPr>
            <w:tcW w:w="2268" w:type="dxa"/>
            <w:vAlign w:val="center"/>
          </w:tcPr>
          <w:p w14:paraId="59D8C0ED">
            <w:pPr>
              <w:pStyle w:val="10"/>
            </w:pPr>
            <w:r>
              <w:t>指标值</w:t>
            </w:r>
          </w:p>
        </w:tc>
        <w:tc>
          <w:tcPr>
            <w:tcW w:w="1276" w:type="dxa"/>
            <w:vAlign w:val="center"/>
          </w:tcPr>
          <w:p w14:paraId="406C71B4">
            <w:pPr>
              <w:pStyle w:val="10"/>
            </w:pPr>
            <w:r>
              <w:t>指标值确定依据</w:t>
            </w:r>
          </w:p>
        </w:tc>
      </w:tr>
      <w:tr w14:paraId="4BA3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31384">
            <w:pPr>
              <w:pStyle w:val="13"/>
            </w:pPr>
            <w:r>
              <w:t>产出指标</w:t>
            </w:r>
          </w:p>
        </w:tc>
        <w:tc>
          <w:tcPr>
            <w:tcW w:w="2268" w:type="dxa"/>
            <w:vAlign w:val="center"/>
          </w:tcPr>
          <w:p w14:paraId="26CF9F27">
            <w:pPr>
              <w:pStyle w:val="12"/>
            </w:pPr>
            <w:r>
              <w:t>数量指标</w:t>
            </w:r>
          </w:p>
        </w:tc>
        <w:tc>
          <w:tcPr>
            <w:tcW w:w="2835" w:type="dxa"/>
            <w:vAlign w:val="center"/>
          </w:tcPr>
          <w:p w14:paraId="288CD8E7">
            <w:pPr>
              <w:pStyle w:val="12"/>
            </w:pPr>
            <w:r>
              <w:t>适龄在校生</w:t>
            </w:r>
          </w:p>
        </w:tc>
        <w:tc>
          <w:tcPr>
            <w:tcW w:w="5386" w:type="dxa"/>
            <w:vAlign w:val="center"/>
          </w:tcPr>
          <w:p w14:paraId="4A742039">
            <w:pPr>
              <w:pStyle w:val="12"/>
            </w:pPr>
            <w:r>
              <w:t>辖区内适龄儿童全覆盖</w:t>
            </w:r>
          </w:p>
        </w:tc>
        <w:tc>
          <w:tcPr>
            <w:tcW w:w="2268" w:type="dxa"/>
            <w:vAlign w:val="center"/>
          </w:tcPr>
          <w:p w14:paraId="60A3BFE8">
            <w:pPr>
              <w:pStyle w:val="12"/>
            </w:pPr>
            <w:r>
              <w:t>932人</w:t>
            </w:r>
          </w:p>
        </w:tc>
        <w:tc>
          <w:tcPr>
            <w:tcW w:w="1276" w:type="dxa"/>
            <w:vAlign w:val="center"/>
          </w:tcPr>
          <w:p w14:paraId="23AA34E9">
            <w:pPr>
              <w:pStyle w:val="12"/>
            </w:pPr>
            <w:r>
              <w:t>幼儿园生均公用经费管理办法</w:t>
            </w:r>
          </w:p>
        </w:tc>
      </w:tr>
      <w:tr w14:paraId="39D7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935DE"/>
        </w:tc>
        <w:tc>
          <w:tcPr>
            <w:tcW w:w="2268" w:type="dxa"/>
            <w:vAlign w:val="center"/>
          </w:tcPr>
          <w:p w14:paraId="0122649A">
            <w:pPr>
              <w:pStyle w:val="12"/>
            </w:pPr>
            <w:r>
              <w:t>质量指标</w:t>
            </w:r>
          </w:p>
        </w:tc>
        <w:tc>
          <w:tcPr>
            <w:tcW w:w="2835" w:type="dxa"/>
            <w:vAlign w:val="center"/>
          </w:tcPr>
          <w:p w14:paraId="39C0FD5F">
            <w:pPr>
              <w:pStyle w:val="12"/>
            </w:pPr>
            <w:r>
              <w:t>预算控制率</w:t>
            </w:r>
          </w:p>
        </w:tc>
        <w:tc>
          <w:tcPr>
            <w:tcW w:w="5386" w:type="dxa"/>
            <w:vAlign w:val="center"/>
          </w:tcPr>
          <w:p w14:paraId="73D17D2F">
            <w:pPr>
              <w:pStyle w:val="12"/>
            </w:pPr>
            <w:r>
              <w:t>预算执行</w:t>
            </w:r>
          </w:p>
        </w:tc>
        <w:tc>
          <w:tcPr>
            <w:tcW w:w="2268" w:type="dxa"/>
            <w:vAlign w:val="center"/>
          </w:tcPr>
          <w:p w14:paraId="006179A2">
            <w:pPr>
              <w:pStyle w:val="12"/>
            </w:pPr>
            <w:r>
              <w:t>≥95%</w:t>
            </w:r>
          </w:p>
        </w:tc>
        <w:tc>
          <w:tcPr>
            <w:tcW w:w="1276" w:type="dxa"/>
            <w:vAlign w:val="center"/>
          </w:tcPr>
          <w:p w14:paraId="3A0B7A34">
            <w:pPr>
              <w:pStyle w:val="12"/>
            </w:pPr>
            <w:r>
              <w:t>幼儿园生均公用经费管理办法</w:t>
            </w:r>
          </w:p>
        </w:tc>
      </w:tr>
      <w:tr w14:paraId="49D0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841BF"/>
        </w:tc>
        <w:tc>
          <w:tcPr>
            <w:tcW w:w="2268" w:type="dxa"/>
            <w:vAlign w:val="center"/>
          </w:tcPr>
          <w:p w14:paraId="08B49783">
            <w:pPr>
              <w:pStyle w:val="12"/>
            </w:pPr>
            <w:r>
              <w:t>时效指标</w:t>
            </w:r>
          </w:p>
        </w:tc>
        <w:tc>
          <w:tcPr>
            <w:tcW w:w="2835" w:type="dxa"/>
            <w:vAlign w:val="center"/>
          </w:tcPr>
          <w:p w14:paraId="65E637A1">
            <w:pPr>
              <w:pStyle w:val="12"/>
            </w:pPr>
            <w:r>
              <w:t>资金支付率</w:t>
            </w:r>
          </w:p>
        </w:tc>
        <w:tc>
          <w:tcPr>
            <w:tcW w:w="5386" w:type="dxa"/>
            <w:vAlign w:val="center"/>
          </w:tcPr>
          <w:p w14:paraId="32F9A430">
            <w:pPr>
              <w:pStyle w:val="12"/>
            </w:pPr>
            <w:r>
              <w:t>按照序时进度完成资金支付</w:t>
            </w:r>
          </w:p>
        </w:tc>
        <w:tc>
          <w:tcPr>
            <w:tcW w:w="2268" w:type="dxa"/>
            <w:vAlign w:val="center"/>
          </w:tcPr>
          <w:p w14:paraId="71CAE5F3">
            <w:pPr>
              <w:pStyle w:val="12"/>
            </w:pPr>
            <w:r>
              <w:t>100%</w:t>
            </w:r>
          </w:p>
        </w:tc>
        <w:tc>
          <w:tcPr>
            <w:tcW w:w="1276" w:type="dxa"/>
            <w:vAlign w:val="center"/>
          </w:tcPr>
          <w:p w14:paraId="7DE8AEE7">
            <w:pPr>
              <w:pStyle w:val="12"/>
            </w:pPr>
            <w:r>
              <w:t>幼儿园生均公用经费管理办法</w:t>
            </w:r>
          </w:p>
        </w:tc>
      </w:tr>
      <w:tr w14:paraId="341E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0414"/>
        </w:tc>
        <w:tc>
          <w:tcPr>
            <w:tcW w:w="2268" w:type="dxa"/>
            <w:vAlign w:val="center"/>
          </w:tcPr>
          <w:p w14:paraId="5E16C247">
            <w:pPr>
              <w:pStyle w:val="12"/>
            </w:pPr>
            <w:r>
              <w:t>成本指标</w:t>
            </w:r>
          </w:p>
        </w:tc>
        <w:tc>
          <w:tcPr>
            <w:tcW w:w="2835" w:type="dxa"/>
            <w:vAlign w:val="center"/>
          </w:tcPr>
          <w:p w14:paraId="12B285A3">
            <w:pPr>
              <w:pStyle w:val="12"/>
            </w:pPr>
            <w:r>
              <w:t>生均拨款标准</w:t>
            </w:r>
          </w:p>
        </w:tc>
        <w:tc>
          <w:tcPr>
            <w:tcW w:w="5386" w:type="dxa"/>
            <w:vAlign w:val="center"/>
          </w:tcPr>
          <w:p w14:paraId="40E91C95">
            <w:pPr>
              <w:pStyle w:val="12"/>
            </w:pPr>
            <w:r>
              <w:t>学前经费600元/生/年</w:t>
            </w:r>
          </w:p>
        </w:tc>
        <w:tc>
          <w:tcPr>
            <w:tcW w:w="2268" w:type="dxa"/>
            <w:vAlign w:val="center"/>
          </w:tcPr>
          <w:p w14:paraId="6F2DA093">
            <w:pPr>
              <w:pStyle w:val="12"/>
            </w:pPr>
            <w:r>
              <w:t>600元</w:t>
            </w:r>
          </w:p>
        </w:tc>
        <w:tc>
          <w:tcPr>
            <w:tcW w:w="1276" w:type="dxa"/>
            <w:vAlign w:val="center"/>
          </w:tcPr>
          <w:p w14:paraId="3303C7B4">
            <w:pPr>
              <w:pStyle w:val="12"/>
            </w:pPr>
            <w:r>
              <w:t>幼儿园生均公用经费管理办法</w:t>
            </w:r>
          </w:p>
        </w:tc>
      </w:tr>
      <w:tr w14:paraId="1920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5EA5D">
            <w:pPr>
              <w:pStyle w:val="13"/>
            </w:pPr>
            <w:r>
              <w:t>效益指标</w:t>
            </w:r>
          </w:p>
        </w:tc>
        <w:tc>
          <w:tcPr>
            <w:tcW w:w="2268" w:type="dxa"/>
            <w:vAlign w:val="center"/>
          </w:tcPr>
          <w:p w14:paraId="47BBC246">
            <w:pPr>
              <w:pStyle w:val="12"/>
            </w:pPr>
            <w:r>
              <w:t>可持续影响指标</w:t>
            </w:r>
          </w:p>
        </w:tc>
        <w:tc>
          <w:tcPr>
            <w:tcW w:w="2835" w:type="dxa"/>
            <w:vAlign w:val="center"/>
          </w:tcPr>
          <w:p w14:paraId="16702FEA">
            <w:pPr>
              <w:pStyle w:val="12"/>
            </w:pPr>
            <w:r>
              <w:t>教育发展水平明显好转</w:t>
            </w:r>
          </w:p>
        </w:tc>
        <w:tc>
          <w:tcPr>
            <w:tcW w:w="5386" w:type="dxa"/>
            <w:vAlign w:val="center"/>
          </w:tcPr>
          <w:p w14:paraId="5F325414">
            <w:pPr>
              <w:pStyle w:val="12"/>
            </w:pPr>
            <w:r>
              <w:t>学生受教育年限</w:t>
            </w:r>
          </w:p>
        </w:tc>
        <w:tc>
          <w:tcPr>
            <w:tcW w:w="2268" w:type="dxa"/>
            <w:vAlign w:val="center"/>
          </w:tcPr>
          <w:p w14:paraId="62909B22">
            <w:pPr>
              <w:pStyle w:val="12"/>
            </w:pPr>
            <w:r>
              <w:t>3年</w:t>
            </w:r>
          </w:p>
        </w:tc>
        <w:tc>
          <w:tcPr>
            <w:tcW w:w="1276" w:type="dxa"/>
            <w:vAlign w:val="center"/>
          </w:tcPr>
          <w:p w14:paraId="3332CF1E">
            <w:pPr>
              <w:pStyle w:val="12"/>
            </w:pPr>
            <w:r>
              <w:t>幼儿园生均公用经费管理办法</w:t>
            </w:r>
          </w:p>
        </w:tc>
      </w:tr>
      <w:tr w14:paraId="0797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36480">
            <w:pPr>
              <w:pStyle w:val="13"/>
            </w:pPr>
            <w:r>
              <w:t>满意度指标</w:t>
            </w:r>
          </w:p>
        </w:tc>
        <w:tc>
          <w:tcPr>
            <w:tcW w:w="2268" w:type="dxa"/>
            <w:vAlign w:val="center"/>
          </w:tcPr>
          <w:p w14:paraId="53257CDB">
            <w:pPr>
              <w:pStyle w:val="12"/>
            </w:pPr>
            <w:r>
              <w:t>服务对象满意度指标</w:t>
            </w:r>
          </w:p>
        </w:tc>
        <w:tc>
          <w:tcPr>
            <w:tcW w:w="2835" w:type="dxa"/>
            <w:vAlign w:val="center"/>
          </w:tcPr>
          <w:p w14:paraId="05E83C4F">
            <w:pPr>
              <w:pStyle w:val="12"/>
            </w:pPr>
            <w:r>
              <w:t>受益学生家长及调查满意度</w:t>
            </w:r>
          </w:p>
        </w:tc>
        <w:tc>
          <w:tcPr>
            <w:tcW w:w="5386" w:type="dxa"/>
            <w:vAlign w:val="center"/>
          </w:tcPr>
          <w:p w14:paraId="20AE32E2">
            <w:pPr>
              <w:pStyle w:val="12"/>
            </w:pPr>
            <w:r>
              <w:t>学生、教师及家长对学校保教保育工作满意度情况</w:t>
            </w:r>
          </w:p>
        </w:tc>
        <w:tc>
          <w:tcPr>
            <w:tcW w:w="2268" w:type="dxa"/>
            <w:vAlign w:val="center"/>
          </w:tcPr>
          <w:p w14:paraId="7F14F2DD">
            <w:pPr>
              <w:pStyle w:val="12"/>
            </w:pPr>
            <w:r>
              <w:t>≥95%</w:t>
            </w:r>
          </w:p>
        </w:tc>
        <w:tc>
          <w:tcPr>
            <w:tcW w:w="1276" w:type="dxa"/>
            <w:vAlign w:val="center"/>
          </w:tcPr>
          <w:p w14:paraId="28C4121F">
            <w:pPr>
              <w:pStyle w:val="12"/>
            </w:pPr>
            <w:r>
              <w:t>调查问卷</w:t>
            </w:r>
          </w:p>
        </w:tc>
      </w:tr>
    </w:tbl>
    <w:p w14:paraId="6D533A03">
      <w:pPr>
        <w:sectPr>
          <w:pgSz w:w="16840" w:h="11900" w:orient="landscape"/>
          <w:pgMar w:top="1361" w:right="1020" w:bottom="1134" w:left="1020" w:header="720" w:footer="720" w:gutter="0"/>
          <w:cols w:space="720" w:num="1"/>
        </w:sectPr>
      </w:pPr>
    </w:p>
    <w:p w14:paraId="11CE934D">
      <w:pPr>
        <w:spacing w:before="0" w:after="0"/>
        <w:ind w:firstLine="560"/>
        <w:jc w:val="left"/>
        <w:outlineLvl w:val="9"/>
      </w:pPr>
      <w:r>
        <w:rPr>
          <w:rFonts w:ascii="方正仿宋_GBK" w:hAnsi="方正仿宋_GBK" w:eastAsia="方正仿宋_GBK" w:cs="方正仿宋_GBK"/>
          <w:b/>
          <w:color w:val="000000"/>
          <w:sz w:val="28"/>
        </w:rPr>
        <w:t>26、冀财教[2025]149号/省级/2026年学前发展资金/东良校区学前教育幼儿资助绩效目标表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69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56169">
            <w:pPr>
              <w:pStyle w:val="11"/>
            </w:pPr>
            <w:r>
              <w:t>单位：万元</w:t>
            </w:r>
          </w:p>
        </w:tc>
      </w:tr>
      <w:tr w14:paraId="637F3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23D5F">
            <w:pPr>
              <w:pStyle w:val="10"/>
            </w:pPr>
            <w:r>
              <w:t>项目编码</w:t>
            </w:r>
          </w:p>
        </w:tc>
        <w:tc>
          <w:tcPr>
            <w:tcW w:w="5103" w:type="dxa"/>
            <w:gridSpan w:val="2"/>
            <w:vAlign w:val="center"/>
          </w:tcPr>
          <w:p w14:paraId="4DE1E692">
            <w:pPr>
              <w:pStyle w:val="12"/>
            </w:pPr>
            <w:r>
              <w:t>13052526P00000210069T</w:t>
            </w:r>
          </w:p>
        </w:tc>
        <w:tc>
          <w:tcPr>
            <w:tcW w:w="2835" w:type="dxa"/>
            <w:vAlign w:val="center"/>
          </w:tcPr>
          <w:p w14:paraId="645948DE">
            <w:pPr>
              <w:pStyle w:val="10"/>
            </w:pPr>
            <w:r>
              <w:t>项目名称</w:t>
            </w:r>
          </w:p>
        </w:tc>
        <w:tc>
          <w:tcPr>
            <w:tcW w:w="6095" w:type="dxa"/>
            <w:gridSpan w:val="3"/>
            <w:vAlign w:val="center"/>
          </w:tcPr>
          <w:p w14:paraId="28EA9F10">
            <w:pPr>
              <w:pStyle w:val="12"/>
            </w:pPr>
            <w:r>
              <w:t>冀财教[2025]149号/省级/2026年学前发展资金/东良校区学前教育幼儿资助</w:t>
            </w:r>
          </w:p>
        </w:tc>
      </w:tr>
      <w:tr w14:paraId="52AE5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8335E">
            <w:pPr>
              <w:pStyle w:val="10"/>
            </w:pPr>
            <w:r>
              <w:t>预算规模及资金用途</w:t>
            </w:r>
          </w:p>
        </w:tc>
        <w:tc>
          <w:tcPr>
            <w:tcW w:w="2268" w:type="dxa"/>
            <w:vAlign w:val="center"/>
          </w:tcPr>
          <w:p w14:paraId="11749EE5">
            <w:pPr>
              <w:pStyle w:val="10"/>
            </w:pPr>
            <w:r>
              <w:t>预算数</w:t>
            </w:r>
          </w:p>
        </w:tc>
        <w:tc>
          <w:tcPr>
            <w:tcW w:w="2835" w:type="dxa"/>
            <w:vAlign w:val="center"/>
          </w:tcPr>
          <w:p w14:paraId="4DE96463">
            <w:pPr>
              <w:pStyle w:val="12"/>
            </w:pPr>
            <w:r>
              <w:t>1.54</w:t>
            </w:r>
          </w:p>
        </w:tc>
        <w:tc>
          <w:tcPr>
            <w:tcW w:w="2835" w:type="dxa"/>
            <w:vAlign w:val="center"/>
          </w:tcPr>
          <w:p w14:paraId="6485FEE8">
            <w:pPr>
              <w:pStyle w:val="10"/>
            </w:pPr>
            <w:r>
              <w:t>其中：财政    资金</w:t>
            </w:r>
          </w:p>
        </w:tc>
        <w:tc>
          <w:tcPr>
            <w:tcW w:w="2551" w:type="dxa"/>
            <w:vAlign w:val="center"/>
          </w:tcPr>
          <w:p w14:paraId="3ABC9A07">
            <w:pPr>
              <w:pStyle w:val="12"/>
            </w:pPr>
            <w:r>
              <w:t>1.54</w:t>
            </w:r>
          </w:p>
        </w:tc>
        <w:tc>
          <w:tcPr>
            <w:tcW w:w="2268" w:type="dxa"/>
            <w:vAlign w:val="center"/>
          </w:tcPr>
          <w:p w14:paraId="0B509466">
            <w:pPr>
              <w:pStyle w:val="10"/>
            </w:pPr>
            <w:r>
              <w:t>其他资金</w:t>
            </w:r>
          </w:p>
        </w:tc>
        <w:tc>
          <w:tcPr>
            <w:tcW w:w="1276" w:type="dxa"/>
            <w:vAlign w:val="center"/>
          </w:tcPr>
          <w:p w14:paraId="0654A38B">
            <w:pPr>
              <w:pStyle w:val="12"/>
            </w:pPr>
            <w:r>
              <w:t xml:space="preserve"> </w:t>
            </w:r>
          </w:p>
        </w:tc>
      </w:tr>
      <w:tr w14:paraId="00D68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02B76"/>
        </w:tc>
        <w:tc>
          <w:tcPr>
            <w:tcW w:w="14033" w:type="dxa"/>
            <w:gridSpan w:val="6"/>
            <w:vAlign w:val="center"/>
          </w:tcPr>
          <w:p w14:paraId="5D9D7876">
            <w:pPr>
              <w:pStyle w:val="12"/>
            </w:pPr>
            <w:r>
              <w:t>保证本年度资助经费足额落实到位，符合享受资助条件的学生应助尽助。</w:t>
            </w:r>
          </w:p>
        </w:tc>
      </w:tr>
      <w:tr w14:paraId="19A8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3374C">
            <w:pPr>
              <w:pStyle w:val="10"/>
            </w:pPr>
            <w:r>
              <w:t>资金支出计划（%）</w:t>
            </w:r>
          </w:p>
        </w:tc>
        <w:tc>
          <w:tcPr>
            <w:tcW w:w="5103" w:type="dxa"/>
            <w:gridSpan w:val="2"/>
            <w:vAlign w:val="center"/>
          </w:tcPr>
          <w:p w14:paraId="6D32EA36">
            <w:pPr>
              <w:pStyle w:val="10"/>
            </w:pPr>
            <w:r>
              <w:t>3月底</w:t>
            </w:r>
          </w:p>
        </w:tc>
        <w:tc>
          <w:tcPr>
            <w:tcW w:w="2835" w:type="dxa"/>
            <w:vAlign w:val="center"/>
          </w:tcPr>
          <w:p w14:paraId="1E159DBE">
            <w:pPr>
              <w:pStyle w:val="10"/>
            </w:pPr>
            <w:r>
              <w:t>6月底</w:t>
            </w:r>
          </w:p>
        </w:tc>
        <w:tc>
          <w:tcPr>
            <w:tcW w:w="2551" w:type="dxa"/>
            <w:vAlign w:val="center"/>
          </w:tcPr>
          <w:p w14:paraId="6E4B5584">
            <w:pPr>
              <w:pStyle w:val="10"/>
            </w:pPr>
            <w:r>
              <w:t>10月底</w:t>
            </w:r>
          </w:p>
        </w:tc>
        <w:tc>
          <w:tcPr>
            <w:tcW w:w="3544" w:type="dxa"/>
            <w:gridSpan w:val="2"/>
            <w:vAlign w:val="center"/>
          </w:tcPr>
          <w:p w14:paraId="6BC0F94F">
            <w:pPr>
              <w:pStyle w:val="10"/>
            </w:pPr>
            <w:r>
              <w:t>12月底</w:t>
            </w:r>
          </w:p>
        </w:tc>
      </w:tr>
      <w:tr w14:paraId="52D48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28DBB"/>
        </w:tc>
        <w:tc>
          <w:tcPr>
            <w:tcW w:w="5103" w:type="dxa"/>
            <w:gridSpan w:val="2"/>
            <w:vAlign w:val="center"/>
          </w:tcPr>
          <w:p w14:paraId="104AF3F1">
            <w:pPr>
              <w:pStyle w:val="13"/>
            </w:pPr>
            <w:r>
              <w:t xml:space="preserve"> </w:t>
            </w:r>
          </w:p>
        </w:tc>
        <w:tc>
          <w:tcPr>
            <w:tcW w:w="2835" w:type="dxa"/>
            <w:vAlign w:val="center"/>
          </w:tcPr>
          <w:p w14:paraId="584EEA8F">
            <w:pPr>
              <w:pStyle w:val="13"/>
            </w:pPr>
            <w:r>
              <w:t>50%</w:t>
            </w:r>
          </w:p>
        </w:tc>
        <w:tc>
          <w:tcPr>
            <w:tcW w:w="2551" w:type="dxa"/>
            <w:vAlign w:val="center"/>
          </w:tcPr>
          <w:p w14:paraId="47B409B2">
            <w:pPr>
              <w:pStyle w:val="13"/>
            </w:pPr>
            <w:r>
              <w:t>50%</w:t>
            </w:r>
          </w:p>
        </w:tc>
        <w:tc>
          <w:tcPr>
            <w:tcW w:w="3544" w:type="dxa"/>
            <w:gridSpan w:val="2"/>
            <w:vAlign w:val="center"/>
          </w:tcPr>
          <w:p w14:paraId="2B5F31C3">
            <w:pPr>
              <w:pStyle w:val="13"/>
            </w:pPr>
            <w:r>
              <w:t>100%</w:t>
            </w:r>
          </w:p>
        </w:tc>
      </w:tr>
      <w:tr w14:paraId="0835E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39E23">
            <w:pPr>
              <w:pStyle w:val="10"/>
            </w:pPr>
            <w:r>
              <w:t>绩效目标</w:t>
            </w:r>
          </w:p>
        </w:tc>
        <w:tc>
          <w:tcPr>
            <w:tcW w:w="14033" w:type="dxa"/>
            <w:gridSpan w:val="6"/>
            <w:vAlign w:val="center"/>
          </w:tcPr>
          <w:p w14:paraId="785909FC">
            <w:pPr>
              <w:pStyle w:val="12"/>
            </w:pPr>
            <w:r>
              <w:t>1.保证本年度资助经费足额落实到位，符合享受资助条件的学生应助尽助。</w:t>
            </w:r>
          </w:p>
          <w:p w14:paraId="21176977">
            <w:pPr>
              <w:pStyle w:val="12"/>
            </w:pPr>
            <w:r>
              <w:t>2.保障落实建档立卡及家庭经济困难儿童资助所需资金，确保建档立卡等家庭经济困难幼儿优先获得资助</w:t>
            </w:r>
          </w:p>
        </w:tc>
      </w:tr>
    </w:tbl>
    <w:p w14:paraId="046F7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9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0399F">
            <w:pPr>
              <w:pStyle w:val="10"/>
            </w:pPr>
            <w:r>
              <w:t>一级指标</w:t>
            </w:r>
          </w:p>
        </w:tc>
        <w:tc>
          <w:tcPr>
            <w:tcW w:w="2268" w:type="dxa"/>
            <w:vAlign w:val="center"/>
          </w:tcPr>
          <w:p w14:paraId="7F796ED9">
            <w:pPr>
              <w:pStyle w:val="10"/>
            </w:pPr>
            <w:r>
              <w:t>二级指标</w:t>
            </w:r>
          </w:p>
        </w:tc>
        <w:tc>
          <w:tcPr>
            <w:tcW w:w="2835" w:type="dxa"/>
            <w:vAlign w:val="center"/>
          </w:tcPr>
          <w:p w14:paraId="6DF5A4F6">
            <w:pPr>
              <w:pStyle w:val="10"/>
            </w:pPr>
            <w:r>
              <w:t>三级指标</w:t>
            </w:r>
          </w:p>
        </w:tc>
        <w:tc>
          <w:tcPr>
            <w:tcW w:w="5386" w:type="dxa"/>
            <w:vAlign w:val="center"/>
          </w:tcPr>
          <w:p w14:paraId="2EB34205">
            <w:pPr>
              <w:pStyle w:val="10"/>
            </w:pPr>
            <w:r>
              <w:t>绩效指标描述</w:t>
            </w:r>
          </w:p>
        </w:tc>
        <w:tc>
          <w:tcPr>
            <w:tcW w:w="2268" w:type="dxa"/>
            <w:vAlign w:val="center"/>
          </w:tcPr>
          <w:p w14:paraId="3F3ED4D3">
            <w:pPr>
              <w:pStyle w:val="10"/>
            </w:pPr>
            <w:r>
              <w:t>指标值</w:t>
            </w:r>
          </w:p>
        </w:tc>
        <w:tc>
          <w:tcPr>
            <w:tcW w:w="1276" w:type="dxa"/>
            <w:vAlign w:val="center"/>
          </w:tcPr>
          <w:p w14:paraId="2E531AD4">
            <w:pPr>
              <w:pStyle w:val="10"/>
            </w:pPr>
            <w:r>
              <w:t>指标值确定依据</w:t>
            </w:r>
          </w:p>
        </w:tc>
      </w:tr>
      <w:tr w14:paraId="7AEC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D2544">
            <w:pPr>
              <w:pStyle w:val="13"/>
            </w:pPr>
            <w:r>
              <w:t>产出指标</w:t>
            </w:r>
          </w:p>
        </w:tc>
        <w:tc>
          <w:tcPr>
            <w:tcW w:w="2268" w:type="dxa"/>
            <w:vAlign w:val="center"/>
          </w:tcPr>
          <w:p w14:paraId="3F2C232C">
            <w:pPr>
              <w:pStyle w:val="12"/>
            </w:pPr>
            <w:r>
              <w:t>数量指标</w:t>
            </w:r>
          </w:p>
        </w:tc>
        <w:tc>
          <w:tcPr>
            <w:tcW w:w="2835" w:type="dxa"/>
            <w:vAlign w:val="center"/>
          </w:tcPr>
          <w:p w14:paraId="13610993">
            <w:pPr>
              <w:pStyle w:val="12"/>
            </w:pPr>
            <w:r>
              <w:t>幼儿资助比例</w:t>
            </w:r>
          </w:p>
        </w:tc>
        <w:tc>
          <w:tcPr>
            <w:tcW w:w="5386" w:type="dxa"/>
            <w:vAlign w:val="center"/>
          </w:tcPr>
          <w:p w14:paraId="07FB82F1">
            <w:pPr>
              <w:pStyle w:val="12"/>
            </w:pPr>
            <w:r>
              <w:t>幼儿资助人数</w:t>
            </w:r>
          </w:p>
          <w:p w14:paraId="072D78EB">
            <w:pPr>
              <w:pStyle w:val="12"/>
            </w:pPr>
          </w:p>
        </w:tc>
        <w:tc>
          <w:tcPr>
            <w:tcW w:w="2268" w:type="dxa"/>
            <w:vAlign w:val="center"/>
          </w:tcPr>
          <w:p w14:paraId="4EEC2A59">
            <w:pPr>
              <w:pStyle w:val="12"/>
            </w:pPr>
            <w:r>
              <w:t>77人</w:t>
            </w:r>
          </w:p>
        </w:tc>
        <w:tc>
          <w:tcPr>
            <w:tcW w:w="1276" w:type="dxa"/>
            <w:vAlign w:val="center"/>
          </w:tcPr>
          <w:p w14:paraId="769CA37A">
            <w:pPr>
              <w:pStyle w:val="12"/>
            </w:pPr>
            <w:r>
              <w:t>幼儿资助经费管理办法</w:t>
            </w:r>
          </w:p>
        </w:tc>
      </w:tr>
      <w:tr w14:paraId="00EA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85FF2"/>
        </w:tc>
        <w:tc>
          <w:tcPr>
            <w:tcW w:w="2268" w:type="dxa"/>
            <w:vAlign w:val="center"/>
          </w:tcPr>
          <w:p w14:paraId="4B6F59D8">
            <w:pPr>
              <w:pStyle w:val="12"/>
            </w:pPr>
            <w:r>
              <w:t>质量指标</w:t>
            </w:r>
          </w:p>
        </w:tc>
        <w:tc>
          <w:tcPr>
            <w:tcW w:w="2835" w:type="dxa"/>
            <w:vAlign w:val="center"/>
          </w:tcPr>
          <w:p w14:paraId="70086A66">
            <w:pPr>
              <w:pStyle w:val="12"/>
            </w:pPr>
            <w:r>
              <w:t>资助资金使用率</w:t>
            </w:r>
          </w:p>
        </w:tc>
        <w:tc>
          <w:tcPr>
            <w:tcW w:w="5386" w:type="dxa"/>
            <w:vAlign w:val="center"/>
          </w:tcPr>
          <w:p w14:paraId="0F3987C2">
            <w:pPr>
              <w:pStyle w:val="12"/>
            </w:pPr>
            <w:r>
              <w:t>符合享受资助条件的学生应助尽助</w:t>
            </w:r>
          </w:p>
        </w:tc>
        <w:tc>
          <w:tcPr>
            <w:tcW w:w="2268" w:type="dxa"/>
            <w:vAlign w:val="center"/>
          </w:tcPr>
          <w:p w14:paraId="5070A6DB">
            <w:pPr>
              <w:pStyle w:val="12"/>
            </w:pPr>
            <w:r>
              <w:t>100%</w:t>
            </w:r>
          </w:p>
        </w:tc>
        <w:tc>
          <w:tcPr>
            <w:tcW w:w="1276" w:type="dxa"/>
            <w:vAlign w:val="center"/>
          </w:tcPr>
          <w:p w14:paraId="348543E5">
            <w:pPr>
              <w:pStyle w:val="12"/>
            </w:pPr>
            <w:r>
              <w:t>幼儿资助经费管理办法</w:t>
            </w:r>
          </w:p>
        </w:tc>
      </w:tr>
      <w:tr w14:paraId="0284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4E4F5"/>
        </w:tc>
        <w:tc>
          <w:tcPr>
            <w:tcW w:w="2268" w:type="dxa"/>
            <w:vAlign w:val="center"/>
          </w:tcPr>
          <w:p w14:paraId="7E04A08F">
            <w:pPr>
              <w:pStyle w:val="12"/>
            </w:pPr>
            <w:r>
              <w:t>时效指标</w:t>
            </w:r>
          </w:p>
        </w:tc>
        <w:tc>
          <w:tcPr>
            <w:tcW w:w="2835" w:type="dxa"/>
            <w:vAlign w:val="center"/>
          </w:tcPr>
          <w:p w14:paraId="6DC4C783">
            <w:pPr>
              <w:pStyle w:val="12"/>
            </w:pPr>
            <w:r>
              <w:t>资金拨付率</w:t>
            </w:r>
          </w:p>
        </w:tc>
        <w:tc>
          <w:tcPr>
            <w:tcW w:w="5386" w:type="dxa"/>
            <w:vAlign w:val="center"/>
          </w:tcPr>
          <w:p w14:paraId="2C882A1F">
            <w:pPr>
              <w:pStyle w:val="12"/>
            </w:pPr>
            <w:r>
              <w:t>所有项目资金支付进度</w:t>
            </w:r>
          </w:p>
        </w:tc>
        <w:tc>
          <w:tcPr>
            <w:tcW w:w="2268" w:type="dxa"/>
            <w:vAlign w:val="center"/>
          </w:tcPr>
          <w:p w14:paraId="6E4EE56F">
            <w:pPr>
              <w:pStyle w:val="12"/>
            </w:pPr>
            <w:r>
              <w:t>100%</w:t>
            </w:r>
          </w:p>
        </w:tc>
        <w:tc>
          <w:tcPr>
            <w:tcW w:w="1276" w:type="dxa"/>
            <w:vAlign w:val="center"/>
          </w:tcPr>
          <w:p w14:paraId="6814CD6E">
            <w:pPr>
              <w:pStyle w:val="12"/>
            </w:pPr>
            <w:r>
              <w:t>幼儿资助经费管理办法</w:t>
            </w:r>
          </w:p>
        </w:tc>
      </w:tr>
      <w:tr w14:paraId="4C64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D13E0"/>
        </w:tc>
        <w:tc>
          <w:tcPr>
            <w:tcW w:w="2268" w:type="dxa"/>
            <w:vAlign w:val="center"/>
          </w:tcPr>
          <w:p w14:paraId="7686D91E">
            <w:pPr>
              <w:pStyle w:val="12"/>
            </w:pPr>
            <w:r>
              <w:t>成本指标</w:t>
            </w:r>
          </w:p>
        </w:tc>
        <w:tc>
          <w:tcPr>
            <w:tcW w:w="2835" w:type="dxa"/>
            <w:vAlign w:val="center"/>
          </w:tcPr>
          <w:p w14:paraId="308F33DE">
            <w:pPr>
              <w:pStyle w:val="12"/>
            </w:pPr>
            <w:r>
              <w:t>幼儿园生均成本</w:t>
            </w:r>
          </w:p>
        </w:tc>
        <w:tc>
          <w:tcPr>
            <w:tcW w:w="5386" w:type="dxa"/>
            <w:vAlign w:val="center"/>
          </w:tcPr>
          <w:p w14:paraId="2FA5BE7A">
            <w:pPr>
              <w:pStyle w:val="12"/>
            </w:pPr>
            <w:r>
              <w:t>按照幼儿园资助标准1000元/生/年</w:t>
            </w:r>
          </w:p>
        </w:tc>
        <w:tc>
          <w:tcPr>
            <w:tcW w:w="2268" w:type="dxa"/>
            <w:vAlign w:val="center"/>
          </w:tcPr>
          <w:p w14:paraId="67DA9ADE">
            <w:pPr>
              <w:pStyle w:val="12"/>
            </w:pPr>
            <w:r>
              <w:t>1000元</w:t>
            </w:r>
          </w:p>
        </w:tc>
        <w:tc>
          <w:tcPr>
            <w:tcW w:w="1276" w:type="dxa"/>
            <w:vAlign w:val="center"/>
          </w:tcPr>
          <w:p w14:paraId="430AB01B">
            <w:pPr>
              <w:pStyle w:val="12"/>
            </w:pPr>
            <w:r>
              <w:t>幼儿资助经费管理办法</w:t>
            </w:r>
          </w:p>
        </w:tc>
      </w:tr>
      <w:tr w14:paraId="4E95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A3829">
            <w:pPr>
              <w:pStyle w:val="13"/>
            </w:pPr>
            <w:r>
              <w:t>效益指标</w:t>
            </w:r>
          </w:p>
        </w:tc>
        <w:tc>
          <w:tcPr>
            <w:tcW w:w="2268" w:type="dxa"/>
            <w:vAlign w:val="center"/>
          </w:tcPr>
          <w:p w14:paraId="4906F34D">
            <w:pPr>
              <w:pStyle w:val="12"/>
            </w:pPr>
            <w:r>
              <w:t>可持续影响指标</w:t>
            </w:r>
          </w:p>
        </w:tc>
        <w:tc>
          <w:tcPr>
            <w:tcW w:w="2835" w:type="dxa"/>
            <w:vAlign w:val="center"/>
          </w:tcPr>
          <w:p w14:paraId="1529EC7D">
            <w:pPr>
              <w:pStyle w:val="12"/>
            </w:pPr>
            <w:r>
              <w:t>幼儿园正常运转</w:t>
            </w:r>
          </w:p>
        </w:tc>
        <w:tc>
          <w:tcPr>
            <w:tcW w:w="5386" w:type="dxa"/>
            <w:vAlign w:val="center"/>
          </w:tcPr>
          <w:p w14:paraId="3CF81026">
            <w:pPr>
              <w:pStyle w:val="12"/>
            </w:pPr>
            <w:r>
              <w:t>幼儿受教育年限</w:t>
            </w:r>
          </w:p>
        </w:tc>
        <w:tc>
          <w:tcPr>
            <w:tcW w:w="2268" w:type="dxa"/>
            <w:vAlign w:val="center"/>
          </w:tcPr>
          <w:p w14:paraId="0C9B48EC">
            <w:pPr>
              <w:pStyle w:val="12"/>
            </w:pPr>
            <w:r>
              <w:t>3年</w:t>
            </w:r>
          </w:p>
        </w:tc>
        <w:tc>
          <w:tcPr>
            <w:tcW w:w="1276" w:type="dxa"/>
            <w:vAlign w:val="center"/>
          </w:tcPr>
          <w:p w14:paraId="270D1319">
            <w:pPr>
              <w:pStyle w:val="12"/>
            </w:pPr>
            <w:r>
              <w:t>幼儿资助经费管理办法</w:t>
            </w:r>
          </w:p>
        </w:tc>
      </w:tr>
      <w:tr w14:paraId="4A3C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311F1">
            <w:pPr>
              <w:pStyle w:val="13"/>
            </w:pPr>
            <w:r>
              <w:t>满意度指标</w:t>
            </w:r>
          </w:p>
        </w:tc>
        <w:tc>
          <w:tcPr>
            <w:tcW w:w="2268" w:type="dxa"/>
            <w:vAlign w:val="center"/>
          </w:tcPr>
          <w:p w14:paraId="7B67D8D0">
            <w:pPr>
              <w:pStyle w:val="12"/>
            </w:pPr>
            <w:r>
              <w:t>服务对象满意度指标</w:t>
            </w:r>
          </w:p>
        </w:tc>
        <w:tc>
          <w:tcPr>
            <w:tcW w:w="2835" w:type="dxa"/>
            <w:vAlign w:val="center"/>
          </w:tcPr>
          <w:p w14:paraId="22E049BA">
            <w:pPr>
              <w:pStyle w:val="12"/>
            </w:pPr>
            <w:r>
              <w:t>受益幼儿家长及调查满意度</w:t>
            </w:r>
          </w:p>
        </w:tc>
        <w:tc>
          <w:tcPr>
            <w:tcW w:w="5386" w:type="dxa"/>
            <w:vAlign w:val="center"/>
          </w:tcPr>
          <w:p w14:paraId="4FB5C80B">
            <w:pPr>
              <w:pStyle w:val="12"/>
            </w:pPr>
            <w:r>
              <w:t>学生、教师及家长对学校保教保育工作满意度情况</w:t>
            </w:r>
          </w:p>
        </w:tc>
        <w:tc>
          <w:tcPr>
            <w:tcW w:w="2268" w:type="dxa"/>
            <w:vAlign w:val="center"/>
          </w:tcPr>
          <w:p w14:paraId="2DF7E25C">
            <w:pPr>
              <w:pStyle w:val="12"/>
            </w:pPr>
            <w:r>
              <w:t>≥95%</w:t>
            </w:r>
          </w:p>
        </w:tc>
        <w:tc>
          <w:tcPr>
            <w:tcW w:w="1276" w:type="dxa"/>
            <w:vAlign w:val="center"/>
          </w:tcPr>
          <w:p w14:paraId="7FBEE9D0">
            <w:pPr>
              <w:pStyle w:val="12"/>
            </w:pPr>
            <w:r>
              <w:t>幼儿资助经费管理办法</w:t>
            </w:r>
          </w:p>
        </w:tc>
      </w:tr>
    </w:tbl>
    <w:p w14:paraId="13B76310">
      <w:pPr>
        <w:sectPr>
          <w:pgSz w:w="16840" w:h="11900" w:orient="landscape"/>
          <w:pgMar w:top="1361" w:right="1020" w:bottom="1134" w:left="1020" w:header="720" w:footer="720" w:gutter="0"/>
          <w:cols w:space="720" w:num="1"/>
        </w:sectPr>
      </w:pPr>
    </w:p>
    <w:p w14:paraId="580167B2">
      <w:pPr>
        <w:spacing w:before="0" w:after="0"/>
        <w:ind w:firstLine="560"/>
        <w:jc w:val="left"/>
        <w:outlineLvl w:val="9"/>
      </w:pPr>
      <w:r>
        <w:rPr>
          <w:rFonts w:ascii="方正仿宋_GBK" w:hAnsi="方正仿宋_GBK" w:eastAsia="方正仿宋_GBK" w:cs="方正仿宋_GBK"/>
          <w:b/>
          <w:color w:val="000000"/>
          <w:sz w:val="28"/>
        </w:rPr>
        <w:t>27、冀财教[2025]149号/省级/2026年学前发展资金/东良校区幼儿园免保育教育费补助绩效目标表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E3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256A4">
            <w:pPr>
              <w:pStyle w:val="11"/>
            </w:pPr>
            <w:r>
              <w:t>单位：万元</w:t>
            </w:r>
          </w:p>
        </w:tc>
      </w:tr>
      <w:tr w14:paraId="4F96D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F4A92">
            <w:pPr>
              <w:pStyle w:val="10"/>
            </w:pPr>
            <w:r>
              <w:t>项目编码</w:t>
            </w:r>
          </w:p>
        </w:tc>
        <w:tc>
          <w:tcPr>
            <w:tcW w:w="5103" w:type="dxa"/>
            <w:gridSpan w:val="2"/>
            <w:vAlign w:val="center"/>
          </w:tcPr>
          <w:p w14:paraId="5AF7C438">
            <w:pPr>
              <w:pStyle w:val="12"/>
            </w:pPr>
            <w:r>
              <w:t>13052526P00876910152W</w:t>
            </w:r>
          </w:p>
        </w:tc>
        <w:tc>
          <w:tcPr>
            <w:tcW w:w="2835" w:type="dxa"/>
            <w:vAlign w:val="center"/>
          </w:tcPr>
          <w:p w14:paraId="6E090B90">
            <w:pPr>
              <w:pStyle w:val="10"/>
            </w:pPr>
            <w:r>
              <w:t>项目名称</w:t>
            </w:r>
          </w:p>
        </w:tc>
        <w:tc>
          <w:tcPr>
            <w:tcW w:w="6095" w:type="dxa"/>
            <w:gridSpan w:val="3"/>
            <w:vAlign w:val="center"/>
          </w:tcPr>
          <w:p w14:paraId="18B0B05C">
            <w:pPr>
              <w:pStyle w:val="12"/>
            </w:pPr>
            <w:r>
              <w:t>冀财教[2025]149号/省级/2026年学前发展资金/东良校区幼儿园免保育教育费补助</w:t>
            </w:r>
          </w:p>
        </w:tc>
      </w:tr>
      <w:tr w14:paraId="7D05D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938CB">
            <w:pPr>
              <w:pStyle w:val="10"/>
            </w:pPr>
            <w:r>
              <w:t>预算规模及资金用途</w:t>
            </w:r>
          </w:p>
        </w:tc>
        <w:tc>
          <w:tcPr>
            <w:tcW w:w="2268" w:type="dxa"/>
            <w:vAlign w:val="center"/>
          </w:tcPr>
          <w:p w14:paraId="6DBFEE1F">
            <w:pPr>
              <w:pStyle w:val="10"/>
            </w:pPr>
            <w:r>
              <w:t>预算数</w:t>
            </w:r>
          </w:p>
        </w:tc>
        <w:tc>
          <w:tcPr>
            <w:tcW w:w="2835" w:type="dxa"/>
            <w:vAlign w:val="center"/>
          </w:tcPr>
          <w:p w14:paraId="1A78B458">
            <w:pPr>
              <w:pStyle w:val="12"/>
            </w:pPr>
            <w:r>
              <w:t>16.72</w:t>
            </w:r>
          </w:p>
        </w:tc>
        <w:tc>
          <w:tcPr>
            <w:tcW w:w="2835" w:type="dxa"/>
            <w:vAlign w:val="center"/>
          </w:tcPr>
          <w:p w14:paraId="7B6312F9">
            <w:pPr>
              <w:pStyle w:val="10"/>
            </w:pPr>
            <w:r>
              <w:t>其中：财政    资金</w:t>
            </w:r>
          </w:p>
        </w:tc>
        <w:tc>
          <w:tcPr>
            <w:tcW w:w="2551" w:type="dxa"/>
            <w:vAlign w:val="center"/>
          </w:tcPr>
          <w:p w14:paraId="72A707D4">
            <w:pPr>
              <w:pStyle w:val="12"/>
            </w:pPr>
            <w:r>
              <w:t>16.72</w:t>
            </w:r>
          </w:p>
        </w:tc>
        <w:tc>
          <w:tcPr>
            <w:tcW w:w="2268" w:type="dxa"/>
            <w:vAlign w:val="center"/>
          </w:tcPr>
          <w:p w14:paraId="4C7F4171">
            <w:pPr>
              <w:pStyle w:val="10"/>
            </w:pPr>
            <w:r>
              <w:t>其他资金</w:t>
            </w:r>
          </w:p>
        </w:tc>
        <w:tc>
          <w:tcPr>
            <w:tcW w:w="1276" w:type="dxa"/>
            <w:vAlign w:val="center"/>
          </w:tcPr>
          <w:p w14:paraId="3C17E9BD">
            <w:pPr>
              <w:pStyle w:val="12"/>
            </w:pPr>
            <w:r>
              <w:t xml:space="preserve"> </w:t>
            </w:r>
          </w:p>
        </w:tc>
      </w:tr>
      <w:tr w14:paraId="1C1AE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9D71D"/>
        </w:tc>
        <w:tc>
          <w:tcPr>
            <w:tcW w:w="14033" w:type="dxa"/>
            <w:gridSpan w:val="6"/>
            <w:vAlign w:val="center"/>
          </w:tcPr>
          <w:p w14:paraId="41D7D6E5">
            <w:pPr>
              <w:pStyle w:val="12"/>
            </w:pPr>
            <w:r>
              <w:t xml:space="preserve"> 保障幼儿园正常运转，完成教育教学活动和其他日常工作任务等方面的费用支出。</w:t>
            </w:r>
          </w:p>
        </w:tc>
      </w:tr>
      <w:tr w14:paraId="69D82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94257">
            <w:pPr>
              <w:pStyle w:val="10"/>
            </w:pPr>
            <w:r>
              <w:t>资金支出计划（%）</w:t>
            </w:r>
          </w:p>
        </w:tc>
        <w:tc>
          <w:tcPr>
            <w:tcW w:w="5103" w:type="dxa"/>
            <w:gridSpan w:val="2"/>
            <w:vAlign w:val="center"/>
          </w:tcPr>
          <w:p w14:paraId="0A7D2774">
            <w:pPr>
              <w:pStyle w:val="10"/>
            </w:pPr>
            <w:r>
              <w:t>3月底</w:t>
            </w:r>
          </w:p>
        </w:tc>
        <w:tc>
          <w:tcPr>
            <w:tcW w:w="2835" w:type="dxa"/>
            <w:vAlign w:val="center"/>
          </w:tcPr>
          <w:p w14:paraId="44BC705E">
            <w:pPr>
              <w:pStyle w:val="10"/>
            </w:pPr>
            <w:r>
              <w:t>6月底</w:t>
            </w:r>
          </w:p>
        </w:tc>
        <w:tc>
          <w:tcPr>
            <w:tcW w:w="2551" w:type="dxa"/>
            <w:vAlign w:val="center"/>
          </w:tcPr>
          <w:p w14:paraId="31723798">
            <w:pPr>
              <w:pStyle w:val="10"/>
            </w:pPr>
            <w:r>
              <w:t>10月底</w:t>
            </w:r>
          </w:p>
        </w:tc>
        <w:tc>
          <w:tcPr>
            <w:tcW w:w="3544" w:type="dxa"/>
            <w:gridSpan w:val="2"/>
            <w:vAlign w:val="center"/>
          </w:tcPr>
          <w:p w14:paraId="3C4B1C65">
            <w:pPr>
              <w:pStyle w:val="10"/>
            </w:pPr>
            <w:r>
              <w:t>12月底</w:t>
            </w:r>
          </w:p>
        </w:tc>
      </w:tr>
      <w:tr w14:paraId="37D05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D23B1"/>
        </w:tc>
        <w:tc>
          <w:tcPr>
            <w:tcW w:w="5103" w:type="dxa"/>
            <w:gridSpan w:val="2"/>
            <w:vAlign w:val="center"/>
          </w:tcPr>
          <w:p w14:paraId="725C6879">
            <w:pPr>
              <w:pStyle w:val="13"/>
            </w:pPr>
            <w:r>
              <w:t>25%</w:t>
            </w:r>
          </w:p>
        </w:tc>
        <w:tc>
          <w:tcPr>
            <w:tcW w:w="2835" w:type="dxa"/>
            <w:vAlign w:val="center"/>
          </w:tcPr>
          <w:p w14:paraId="0D572A0F">
            <w:pPr>
              <w:pStyle w:val="13"/>
            </w:pPr>
            <w:r>
              <w:t>50%</w:t>
            </w:r>
          </w:p>
        </w:tc>
        <w:tc>
          <w:tcPr>
            <w:tcW w:w="2551" w:type="dxa"/>
            <w:vAlign w:val="center"/>
          </w:tcPr>
          <w:p w14:paraId="1E50E16A">
            <w:pPr>
              <w:pStyle w:val="13"/>
            </w:pPr>
            <w:r>
              <w:t>75%</w:t>
            </w:r>
          </w:p>
        </w:tc>
        <w:tc>
          <w:tcPr>
            <w:tcW w:w="3544" w:type="dxa"/>
            <w:gridSpan w:val="2"/>
            <w:vAlign w:val="center"/>
          </w:tcPr>
          <w:p w14:paraId="16BBCA97">
            <w:pPr>
              <w:pStyle w:val="13"/>
            </w:pPr>
            <w:r>
              <w:t>100%</w:t>
            </w:r>
          </w:p>
        </w:tc>
      </w:tr>
      <w:tr w14:paraId="14230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BC6C3">
            <w:pPr>
              <w:pStyle w:val="10"/>
            </w:pPr>
            <w:r>
              <w:t>绩效目标</w:t>
            </w:r>
          </w:p>
        </w:tc>
        <w:tc>
          <w:tcPr>
            <w:tcW w:w="14033" w:type="dxa"/>
            <w:gridSpan w:val="6"/>
            <w:vAlign w:val="center"/>
          </w:tcPr>
          <w:p w14:paraId="04442195">
            <w:pPr>
              <w:pStyle w:val="12"/>
            </w:pPr>
            <w:r>
              <w:t>1. 保障幼儿园正常运转，完成教育教学活动和其他日常工作任务等方面的费用支出。</w:t>
            </w:r>
          </w:p>
        </w:tc>
      </w:tr>
    </w:tbl>
    <w:p w14:paraId="6DF9B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0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B0F1F">
            <w:pPr>
              <w:pStyle w:val="10"/>
            </w:pPr>
            <w:r>
              <w:t>一级指标</w:t>
            </w:r>
          </w:p>
        </w:tc>
        <w:tc>
          <w:tcPr>
            <w:tcW w:w="2268" w:type="dxa"/>
            <w:vAlign w:val="center"/>
          </w:tcPr>
          <w:p w14:paraId="35CAFA0D">
            <w:pPr>
              <w:pStyle w:val="10"/>
            </w:pPr>
            <w:r>
              <w:t>二级指标</w:t>
            </w:r>
          </w:p>
        </w:tc>
        <w:tc>
          <w:tcPr>
            <w:tcW w:w="2835" w:type="dxa"/>
            <w:vAlign w:val="center"/>
          </w:tcPr>
          <w:p w14:paraId="43A3155F">
            <w:pPr>
              <w:pStyle w:val="10"/>
            </w:pPr>
            <w:r>
              <w:t>三级指标</w:t>
            </w:r>
          </w:p>
        </w:tc>
        <w:tc>
          <w:tcPr>
            <w:tcW w:w="5386" w:type="dxa"/>
            <w:vAlign w:val="center"/>
          </w:tcPr>
          <w:p w14:paraId="2C2628FD">
            <w:pPr>
              <w:pStyle w:val="10"/>
            </w:pPr>
            <w:r>
              <w:t>绩效指标描述</w:t>
            </w:r>
          </w:p>
        </w:tc>
        <w:tc>
          <w:tcPr>
            <w:tcW w:w="2268" w:type="dxa"/>
            <w:vAlign w:val="center"/>
          </w:tcPr>
          <w:p w14:paraId="7B0DF8FC">
            <w:pPr>
              <w:pStyle w:val="10"/>
            </w:pPr>
            <w:r>
              <w:t>指标值</w:t>
            </w:r>
          </w:p>
        </w:tc>
        <w:tc>
          <w:tcPr>
            <w:tcW w:w="1276" w:type="dxa"/>
            <w:vAlign w:val="center"/>
          </w:tcPr>
          <w:p w14:paraId="471443AE">
            <w:pPr>
              <w:pStyle w:val="10"/>
            </w:pPr>
            <w:r>
              <w:t>指标值确定依据</w:t>
            </w:r>
          </w:p>
        </w:tc>
      </w:tr>
      <w:tr w14:paraId="426F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D02C8">
            <w:pPr>
              <w:pStyle w:val="13"/>
            </w:pPr>
            <w:r>
              <w:t>产出指标</w:t>
            </w:r>
          </w:p>
        </w:tc>
        <w:tc>
          <w:tcPr>
            <w:tcW w:w="2268" w:type="dxa"/>
            <w:vAlign w:val="center"/>
          </w:tcPr>
          <w:p w14:paraId="17DBCBC3">
            <w:pPr>
              <w:pStyle w:val="12"/>
            </w:pPr>
            <w:r>
              <w:t>数量指标</w:t>
            </w:r>
          </w:p>
        </w:tc>
        <w:tc>
          <w:tcPr>
            <w:tcW w:w="2835" w:type="dxa"/>
            <w:vAlign w:val="center"/>
          </w:tcPr>
          <w:p w14:paraId="6EFEB3A5">
            <w:pPr>
              <w:pStyle w:val="12"/>
            </w:pPr>
            <w:r>
              <w:t>适龄在园生</w:t>
            </w:r>
          </w:p>
        </w:tc>
        <w:tc>
          <w:tcPr>
            <w:tcW w:w="5386" w:type="dxa"/>
            <w:vAlign w:val="center"/>
          </w:tcPr>
          <w:p w14:paraId="62E5260A">
            <w:pPr>
              <w:pStyle w:val="12"/>
            </w:pPr>
            <w:r>
              <w:t>适龄在园学生人数</w:t>
            </w:r>
          </w:p>
        </w:tc>
        <w:tc>
          <w:tcPr>
            <w:tcW w:w="2268" w:type="dxa"/>
            <w:vAlign w:val="center"/>
          </w:tcPr>
          <w:p w14:paraId="53AF20F4">
            <w:pPr>
              <w:pStyle w:val="12"/>
            </w:pPr>
            <w:r>
              <w:t>407人</w:t>
            </w:r>
          </w:p>
        </w:tc>
        <w:tc>
          <w:tcPr>
            <w:tcW w:w="1276" w:type="dxa"/>
            <w:vAlign w:val="center"/>
          </w:tcPr>
          <w:p w14:paraId="5585BCBF">
            <w:pPr>
              <w:pStyle w:val="12"/>
            </w:pPr>
            <w:r>
              <w:t>支持学前教育发展资金管理方法</w:t>
            </w:r>
          </w:p>
        </w:tc>
      </w:tr>
      <w:tr w14:paraId="13B6D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547AC"/>
        </w:tc>
        <w:tc>
          <w:tcPr>
            <w:tcW w:w="2268" w:type="dxa"/>
            <w:vAlign w:val="center"/>
          </w:tcPr>
          <w:p w14:paraId="037DEA14">
            <w:pPr>
              <w:pStyle w:val="12"/>
            </w:pPr>
            <w:r>
              <w:t>质量指标</w:t>
            </w:r>
          </w:p>
        </w:tc>
        <w:tc>
          <w:tcPr>
            <w:tcW w:w="2835" w:type="dxa"/>
            <w:vAlign w:val="center"/>
          </w:tcPr>
          <w:p w14:paraId="3F2CA05C">
            <w:pPr>
              <w:pStyle w:val="12"/>
            </w:pPr>
            <w:r>
              <w:t>公用经费使用率</w:t>
            </w:r>
          </w:p>
        </w:tc>
        <w:tc>
          <w:tcPr>
            <w:tcW w:w="5386" w:type="dxa"/>
            <w:vAlign w:val="center"/>
          </w:tcPr>
          <w:p w14:paraId="38575DC4">
            <w:pPr>
              <w:pStyle w:val="12"/>
            </w:pPr>
            <w:r>
              <w:t>用于弥补经费不足，改善办学条件</w:t>
            </w:r>
          </w:p>
        </w:tc>
        <w:tc>
          <w:tcPr>
            <w:tcW w:w="2268" w:type="dxa"/>
            <w:vAlign w:val="center"/>
          </w:tcPr>
          <w:p w14:paraId="55C72177">
            <w:pPr>
              <w:pStyle w:val="12"/>
            </w:pPr>
            <w:r>
              <w:t>100%</w:t>
            </w:r>
          </w:p>
        </w:tc>
        <w:tc>
          <w:tcPr>
            <w:tcW w:w="1276" w:type="dxa"/>
            <w:vAlign w:val="center"/>
          </w:tcPr>
          <w:p w14:paraId="494C2544">
            <w:pPr>
              <w:pStyle w:val="12"/>
            </w:pPr>
            <w:r>
              <w:t>支持学前教育发展资金管理方法</w:t>
            </w:r>
          </w:p>
        </w:tc>
      </w:tr>
      <w:tr w14:paraId="2224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D99E7"/>
        </w:tc>
        <w:tc>
          <w:tcPr>
            <w:tcW w:w="2268" w:type="dxa"/>
            <w:vAlign w:val="center"/>
          </w:tcPr>
          <w:p w14:paraId="6A012B3E">
            <w:pPr>
              <w:pStyle w:val="12"/>
            </w:pPr>
            <w:r>
              <w:t>时效指标</w:t>
            </w:r>
          </w:p>
        </w:tc>
        <w:tc>
          <w:tcPr>
            <w:tcW w:w="2835" w:type="dxa"/>
            <w:vAlign w:val="center"/>
          </w:tcPr>
          <w:p w14:paraId="55080285">
            <w:pPr>
              <w:pStyle w:val="12"/>
            </w:pPr>
            <w:r>
              <w:t>资金支付率</w:t>
            </w:r>
          </w:p>
        </w:tc>
        <w:tc>
          <w:tcPr>
            <w:tcW w:w="5386" w:type="dxa"/>
            <w:vAlign w:val="center"/>
          </w:tcPr>
          <w:p w14:paraId="18DEE7D5">
            <w:pPr>
              <w:pStyle w:val="12"/>
            </w:pPr>
            <w:r>
              <w:t>按照序时进度完成资金支付</w:t>
            </w:r>
          </w:p>
        </w:tc>
        <w:tc>
          <w:tcPr>
            <w:tcW w:w="2268" w:type="dxa"/>
            <w:vAlign w:val="center"/>
          </w:tcPr>
          <w:p w14:paraId="16FE660B">
            <w:pPr>
              <w:pStyle w:val="12"/>
            </w:pPr>
            <w:r>
              <w:t>100%</w:t>
            </w:r>
          </w:p>
        </w:tc>
        <w:tc>
          <w:tcPr>
            <w:tcW w:w="1276" w:type="dxa"/>
            <w:vAlign w:val="center"/>
          </w:tcPr>
          <w:p w14:paraId="70D8144F">
            <w:pPr>
              <w:pStyle w:val="12"/>
            </w:pPr>
            <w:r>
              <w:t>支持学前教育发展资金管理方法</w:t>
            </w:r>
          </w:p>
        </w:tc>
      </w:tr>
      <w:tr w14:paraId="4FEC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E31C1"/>
        </w:tc>
        <w:tc>
          <w:tcPr>
            <w:tcW w:w="2268" w:type="dxa"/>
            <w:vAlign w:val="center"/>
          </w:tcPr>
          <w:p w14:paraId="5D03F721">
            <w:pPr>
              <w:pStyle w:val="12"/>
            </w:pPr>
            <w:r>
              <w:t>成本指标</w:t>
            </w:r>
          </w:p>
        </w:tc>
        <w:tc>
          <w:tcPr>
            <w:tcW w:w="2835" w:type="dxa"/>
            <w:vAlign w:val="center"/>
          </w:tcPr>
          <w:p w14:paraId="2FBE8F11">
            <w:pPr>
              <w:pStyle w:val="12"/>
            </w:pPr>
            <w:r>
              <w:t>生均拨款标准</w:t>
            </w:r>
          </w:p>
        </w:tc>
        <w:tc>
          <w:tcPr>
            <w:tcW w:w="5386" w:type="dxa"/>
            <w:vAlign w:val="center"/>
          </w:tcPr>
          <w:p w14:paraId="5261C4CA">
            <w:pPr>
              <w:pStyle w:val="12"/>
            </w:pPr>
            <w:r>
              <w:t>根据各学校学前保育费标准进行补助</w:t>
            </w:r>
          </w:p>
        </w:tc>
        <w:tc>
          <w:tcPr>
            <w:tcW w:w="2268" w:type="dxa"/>
            <w:vAlign w:val="center"/>
          </w:tcPr>
          <w:p w14:paraId="3144F2FC">
            <w:pPr>
              <w:pStyle w:val="12"/>
            </w:pPr>
            <w:r>
              <w:t>167157元</w:t>
            </w:r>
          </w:p>
        </w:tc>
        <w:tc>
          <w:tcPr>
            <w:tcW w:w="1276" w:type="dxa"/>
            <w:vAlign w:val="center"/>
          </w:tcPr>
          <w:p w14:paraId="1C157B9D">
            <w:pPr>
              <w:pStyle w:val="12"/>
            </w:pPr>
            <w:r>
              <w:t>支持学前教育发展资金管理方法</w:t>
            </w:r>
          </w:p>
        </w:tc>
      </w:tr>
      <w:tr w14:paraId="0150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3B7E7">
            <w:pPr>
              <w:pStyle w:val="13"/>
            </w:pPr>
            <w:r>
              <w:t>效益指标</w:t>
            </w:r>
          </w:p>
        </w:tc>
        <w:tc>
          <w:tcPr>
            <w:tcW w:w="2268" w:type="dxa"/>
            <w:vAlign w:val="center"/>
          </w:tcPr>
          <w:p w14:paraId="716516D2">
            <w:pPr>
              <w:pStyle w:val="12"/>
            </w:pPr>
            <w:r>
              <w:t>可持续影响指标</w:t>
            </w:r>
          </w:p>
        </w:tc>
        <w:tc>
          <w:tcPr>
            <w:tcW w:w="2835" w:type="dxa"/>
            <w:vAlign w:val="center"/>
          </w:tcPr>
          <w:p w14:paraId="06304202">
            <w:pPr>
              <w:pStyle w:val="12"/>
            </w:pPr>
            <w:r>
              <w:t>学校运转得到提高</w:t>
            </w:r>
          </w:p>
        </w:tc>
        <w:tc>
          <w:tcPr>
            <w:tcW w:w="5386" w:type="dxa"/>
            <w:vAlign w:val="center"/>
          </w:tcPr>
          <w:p w14:paraId="1F4198BE">
            <w:pPr>
              <w:pStyle w:val="12"/>
            </w:pPr>
            <w:r>
              <w:t>学生受教育年限</w:t>
            </w:r>
          </w:p>
        </w:tc>
        <w:tc>
          <w:tcPr>
            <w:tcW w:w="2268" w:type="dxa"/>
            <w:vAlign w:val="center"/>
          </w:tcPr>
          <w:p w14:paraId="470A12D9">
            <w:pPr>
              <w:pStyle w:val="12"/>
            </w:pPr>
            <w:r>
              <w:t>3年</w:t>
            </w:r>
          </w:p>
        </w:tc>
        <w:tc>
          <w:tcPr>
            <w:tcW w:w="1276" w:type="dxa"/>
            <w:vAlign w:val="center"/>
          </w:tcPr>
          <w:p w14:paraId="4CC5512B">
            <w:pPr>
              <w:pStyle w:val="12"/>
            </w:pPr>
            <w:r>
              <w:t>支持学前教育发展资金管理方法</w:t>
            </w:r>
          </w:p>
        </w:tc>
      </w:tr>
      <w:tr w14:paraId="35E9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EA23C">
            <w:pPr>
              <w:pStyle w:val="13"/>
            </w:pPr>
            <w:r>
              <w:t>满意度指标</w:t>
            </w:r>
          </w:p>
        </w:tc>
        <w:tc>
          <w:tcPr>
            <w:tcW w:w="2268" w:type="dxa"/>
            <w:vAlign w:val="center"/>
          </w:tcPr>
          <w:p w14:paraId="030C9818">
            <w:pPr>
              <w:pStyle w:val="12"/>
            </w:pPr>
            <w:r>
              <w:t>服务对象满意度指标</w:t>
            </w:r>
          </w:p>
        </w:tc>
        <w:tc>
          <w:tcPr>
            <w:tcW w:w="2835" w:type="dxa"/>
            <w:vAlign w:val="center"/>
          </w:tcPr>
          <w:p w14:paraId="3CFF8C4A">
            <w:pPr>
              <w:pStyle w:val="12"/>
            </w:pPr>
            <w:r>
              <w:t>受益学生家长及调查满意度</w:t>
            </w:r>
          </w:p>
        </w:tc>
        <w:tc>
          <w:tcPr>
            <w:tcW w:w="5386" w:type="dxa"/>
            <w:vAlign w:val="center"/>
          </w:tcPr>
          <w:p w14:paraId="5FD058DF">
            <w:pPr>
              <w:pStyle w:val="12"/>
            </w:pPr>
            <w:r>
              <w:t>学生、教师及家长对学校保教保育工作满意度情况</w:t>
            </w:r>
          </w:p>
        </w:tc>
        <w:tc>
          <w:tcPr>
            <w:tcW w:w="2268" w:type="dxa"/>
            <w:vAlign w:val="center"/>
          </w:tcPr>
          <w:p w14:paraId="405E2BBA">
            <w:pPr>
              <w:pStyle w:val="12"/>
            </w:pPr>
            <w:r>
              <w:t>≥95%</w:t>
            </w:r>
          </w:p>
        </w:tc>
        <w:tc>
          <w:tcPr>
            <w:tcW w:w="1276" w:type="dxa"/>
            <w:vAlign w:val="center"/>
          </w:tcPr>
          <w:p w14:paraId="75091E65">
            <w:pPr>
              <w:pStyle w:val="12"/>
            </w:pPr>
            <w:r>
              <w:t>支持学前教育发展资金管理方法</w:t>
            </w:r>
          </w:p>
        </w:tc>
      </w:tr>
    </w:tbl>
    <w:p w14:paraId="2209EFA2">
      <w:pPr>
        <w:sectPr>
          <w:pgSz w:w="16840" w:h="11900" w:orient="landscape"/>
          <w:pgMar w:top="1361" w:right="1020" w:bottom="1134" w:left="1020" w:header="720" w:footer="720" w:gutter="0"/>
          <w:cols w:space="720" w:num="1"/>
        </w:sectPr>
      </w:pPr>
    </w:p>
    <w:p w14:paraId="7C387734">
      <w:pPr>
        <w:spacing w:before="0" w:after="0"/>
        <w:ind w:firstLine="560"/>
        <w:jc w:val="left"/>
        <w:outlineLvl w:val="9"/>
      </w:pPr>
      <w:r>
        <w:rPr>
          <w:rFonts w:ascii="方正仿宋_GBK" w:hAnsi="方正仿宋_GBK" w:eastAsia="方正仿宋_GBK" w:cs="方正仿宋_GBK"/>
          <w:b/>
          <w:color w:val="000000"/>
          <w:sz w:val="28"/>
        </w:rPr>
        <w:t>28、县级配套/2026年/东良校区幼儿园免保育教育费补助绩效目标表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30BA1">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AD586">
            <w:pPr>
              <w:pStyle w:val="11"/>
            </w:pPr>
            <w:r>
              <w:t>单位：万元</w:t>
            </w:r>
          </w:p>
        </w:tc>
      </w:tr>
      <w:tr w14:paraId="2BFA4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823F3">
            <w:pPr>
              <w:pStyle w:val="10"/>
            </w:pPr>
            <w:r>
              <w:t>项目编码</w:t>
            </w:r>
          </w:p>
        </w:tc>
        <w:tc>
          <w:tcPr>
            <w:tcW w:w="5103" w:type="dxa"/>
            <w:gridSpan w:val="2"/>
            <w:vAlign w:val="center"/>
          </w:tcPr>
          <w:p w14:paraId="7FCC61E8">
            <w:pPr>
              <w:pStyle w:val="12"/>
            </w:pPr>
            <w:r>
              <w:t>13052526P00876910167T</w:t>
            </w:r>
          </w:p>
        </w:tc>
        <w:tc>
          <w:tcPr>
            <w:tcW w:w="2835" w:type="dxa"/>
            <w:vAlign w:val="center"/>
          </w:tcPr>
          <w:p w14:paraId="29EB9F93">
            <w:pPr>
              <w:pStyle w:val="10"/>
            </w:pPr>
            <w:r>
              <w:t>项目名称</w:t>
            </w:r>
          </w:p>
        </w:tc>
        <w:tc>
          <w:tcPr>
            <w:tcW w:w="6095" w:type="dxa"/>
            <w:gridSpan w:val="3"/>
            <w:vAlign w:val="center"/>
          </w:tcPr>
          <w:p w14:paraId="6300DB96">
            <w:pPr>
              <w:pStyle w:val="12"/>
            </w:pPr>
            <w:r>
              <w:t>县级配套/2026年/东良校区幼儿园免保育教育费补助</w:t>
            </w:r>
          </w:p>
        </w:tc>
      </w:tr>
      <w:tr w14:paraId="5DD8A016">
        <w:tblPrEx>
          <w:tblCellMar>
            <w:top w:w="0" w:type="dxa"/>
            <w:left w:w="108" w:type="dxa"/>
            <w:bottom w:w="0" w:type="dxa"/>
            <w:right w:w="108" w:type="dxa"/>
          </w:tblCellMar>
        </w:tblPrEx>
        <w:trPr>
          <w:trHeight w:val="369" w:hRule="atLeast"/>
          <w:jc w:val="center"/>
        </w:trPr>
        <w:tc>
          <w:tcPr>
            <w:tcW w:w="1276" w:type="dxa"/>
            <w:vMerge w:val="restart"/>
            <w:vAlign w:val="center"/>
          </w:tcPr>
          <w:p w14:paraId="3FB8E397">
            <w:pPr>
              <w:pStyle w:val="10"/>
            </w:pPr>
            <w:r>
              <w:t>预算规模及资金用途</w:t>
            </w:r>
          </w:p>
        </w:tc>
        <w:tc>
          <w:tcPr>
            <w:tcW w:w="2268" w:type="dxa"/>
            <w:vAlign w:val="center"/>
          </w:tcPr>
          <w:p w14:paraId="521A0D97">
            <w:pPr>
              <w:pStyle w:val="10"/>
            </w:pPr>
            <w:r>
              <w:t>预算数</w:t>
            </w:r>
          </w:p>
        </w:tc>
        <w:tc>
          <w:tcPr>
            <w:tcW w:w="2835" w:type="dxa"/>
            <w:vAlign w:val="center"/>
          </w:tcPr>
          <w:p w14:paraId="1263A915">
            <w:pPr>
              <w:pStyle w:val="12"/>
            </w:pPr>
            <w:r>
              <w:t>6.07</w:t>
            </w:r>
          </w:p>
        </w:tc>
        <w:tc>
          <w:tcPr>
            <w:tcW w:w="2835" w:type="dxa"/>
            <w:vAlign w:val="center"/>
          </w:tcPr>
          <w:p w14:paraId="660C1677">
            <w:pPr>
              <w:pStyle w:val="10"/>
            </w:pPr>
            <w:r>
              <w:t>其中：财政    资金</w:t>
            </w:r>
          </w:p>
        </w:tc>
        <w:tc>
          <w:tcPr>
            <w:tcW w:w="2551" w:type="dxa"/>
            <w:vAlign w:val="center"/>
          </w:tcPr>
          <w:p w14:paraId="7ACF6199">
            <w:pPr>
              <w:pStyle w:val="12"/>
            </w:pPr>
            <w:r>
              <w:t>6.07</w:t>
            </w:r>
          </w:p>
        </w:tc>
        <w:tc>
          <w:tcPr>
            <w:tcW w:w="2268" w:type="dxa"/>
            <w:vAlign w:val="center"/>
          </w:tcPr>
          <w:p w14:paraId="33BF7960">
            <w:pPr>
              <w:pStyle w:val="10"/>
            </w:pPr>
            <w:r>
              <w:t>其他资金</w:t>
            </w:r>
          </w:p>
        </w:tc>
        <w:tc>
          <w:tcPr>
            <w:tcW w:w="1276" w:type="dxa"/>
            <w:vAlign w:val="center"/>
          </w:tcPr>
          <w:p w14:paraId="59CD3B37">
            <w:pPr>
              <w:pStyle w:val="12"/>
            </w:pPr>
            <w:r>
              <w:t xml:space="preserve"> </w:t>
            </w:r>
          </w:p>
        </w:tc>
      </w:tr>
      <w:tr w14:paraId="79B06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B5017"/>
        </w:tc>
        <w:tc>
          <w:tcPr>
            <w:tcW w:w="14033" w:type="dxa"/>
            <w:gridSpan w:val="6"/>
            <w:vAlign w:val="center"/>
          </w:tcPr>
          <w:p w14:paraId="3EAF150F">
            <w:pPr>
              <w:pStyle w:val="12"/>
            </w:pPr>
            <w:r>
              <w:t xml:space="preserve"> 保障幼儿园正常运转，完成教育教学活动和其他日常工作任务等方面的费用支出。</w:t>
            </w:r>
          </w:p>
        </w:tc>
      </w:tr>
      <w:tr w14:paraId="1C84CD15">
        <w:tblPrEx>
          <w:tblCellMar>
            <w:top w:w="0" w:type="dxa"/>
            <w:left w:w="108" w:type="dxa"/>
            <w:bottom w:w="0" w:type="dxa"/>
            <w:right w:w="108" w:type="dxa"/>
          </w:tblCellMar>
        </w:tblPrEx>
        <w:trPr>
          <w:trHeight w:val="369" w:hRule="atLeast"/>
          <w:jc w:val="center"/>
        </w:trPr>
        <w:tc>
          <w:tcPr>
            <w:tcW w:w="1276" w:type="dxa"/>
            <w:vMerge w:val="restart"/>
            <w:vAlign w:val="center"/>
          </w:tcPr>
          <w:p w14:paraId="4C3BB348">
            <w:pPr>
              <w:pStyle w:val="10"/>
            </w:pPr>
            <w:r>
              <w:t>资金支出计划（%）</w:t>
            </w:r>
          </w:p>
        </w:tc>
        <w:tc>
          <w:tcPr>
            <w:tcW w:w="5103" w:type="dxa"/>
            <w:gridSpan w:val="2"/>
            <w:vAlign w:val="center"/>
          </w:tcPr>
          <w:p w14:paraId="515516E6">
            <w:pPr>
              <w:pStyle w:val="10"/>
            </w:pPr>
            <w:r>
              <w:t>3月底</w:t>
            </w:r>
          </w:p>
        </w:tc>
        <w:tc>
          <w:tcPr>
            <w:tcW w:w="2835" w:type="dxa"/>
            <w:vAlign w:val="center"/>
          </w:tcPr>
          <w:p w14:paraId="750B359B">
            <w:pPr>
              <w:pStyle w:val="10"/>
            </w:pPr>
            <w:r>
              <w:t>6月底</w:t>
            </w:r>
          </w:p>
        </w:tc>
        <w:tc>
          <w:tcPr>
            <w:tcW w:w="2551" w:type="dxa"/>
            <w:vAlign w:val="center"/>
          </w:tcPr>
          <w:p w14:paraId="39EB731F">
            <w:pPr>
              <w:pStyle w:val="10"/>
            </w:pPr>
            <w:r>
              <w:t>10月底</w:t>
            </w:r>
          </w:p>
        </w:tc>
        <w:tc>
          <w:tcPr>
            <w:tcW w:w="3544" w:type="dxa"/>
            <w:gridSpan w:val="2"/>
            <w:vAlign w:val="center"/>
          </w:tcPr>
          <w:p w14:paraId="71129876">
            <w:pPr>
              <w:pStyle w:val="10"/>
            </w:pPr>
            <w:r>
              <w:t>12月底</w:t>
            </w:r>
          </w:p>
        </w:tc>
      </w:tr>
      <w:tr w14:paraId="3E2E2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D27C3"/>
        </w:tc>
        <w:tc>
          <w:tcPr>
            <w:tcW w:w="5103" w:type="dxa"/>
            <w:gridSpan w:val="2"/>
            <w:vAlign w:val="center"/>
          </w:tcPr>
          <w:p w14:paraId="5588534C">
            <w:pPr>
              <w:pStyle w:val="13"/>
            </w:pPr>
            <w:r>
              <w:t>25%</w:t>
            </w:r>
          </w:p>
        </w:tc>
        <w:tc>
          <w:tcPr>
            <w:tcW w:w="2835" w:type="dxa"/>
            <w:vAlign w:val="center"/>
          </w:tcPr>
          <w:p w14:paraId="554B8F98">
            <w:pPr>
              <w:pStyle w:val="13"/>
            </w:pPr>
            <w:r>
              <w:t>50%</w:t>
            </w:r>
          </w:p>
        </w:tc>
        <w:tc>
          <w:tcPr>
            <w:tcW w:w="2551" w:type="dxa"/>
            <w:vAlign w:val="center"/>
          </w:tcPr>
          <w:p w14:paraId="51230F96">
            <w:pPr>
              <w:pStyle w:val="13"/>
            </w:pPr>
            <w:r>
              <w:t>50%</w:t>
            </w:r>
          </w:p>
        </w:tc>
        <w:tc>
          <w:tcPr>
            <w:tcW w:w="3544" w:type="dxa"/>
            <w:gridSpan w:val="2"/>
            <w:vAlign w:val="center"/>
          </w:tcPr>
          <w:p w14:paraId="016F6B19">
            <w:pPr>
              <w:pStyle w:val="13"/>
            </w:pPr>
            <w:r>
              <w:t>100%</w:t>
            </w:r>
          </w:p>
        </w:tc>
      </w:tr>
      <w:tr w14:paraId="6AD15637">
        <w:tblPrEx>
          <w:tblCellMar>
            <w:top w:w="0" w:type="dxa"/>
            <w:left w:w="108" w:type="dxa"/>
            <w:bottom w:w="0" w:type="dxa"/>
            <w:right w:w="108" w:type="dxa"/>
          </w:tblCellMar>
        </w:tblPrEx>
        <w:trPr>
          <w:trHeight w:val="369" w:hRule="atLeast"/>
          <w:jc w:val="center"/>
        </w:trPr>
        <w:tc>
          <w:tcPr>
            <w:tcW w:w="1276" w:type="dxa"/>
            <w:vAlign w:val="center"/>
          </w:tcPr>
          <w:p w14:paraId="5DE2A983">
            <w:pPr>
              <w:pStyle w:val="10"/>
            </w:pPr>
            <w:r>
              <w:t>绩效目标</w:t>
            </w:r>
          </w:p>
        </w:tc>
        <w:tc>
          <w:tcPr>
            <w:tcW w:w="14033" w:type="dxa"/>
            <w:gridSpan w:val="6"/>
            <w:vAlign w:val="center"/>
          </w:tcPr>
          <w:p w14:paraId="03133ECA">
            <w:pPr>
              <w:pStyle w:val="12"/>
            </w:pPr>
            <w:r>
              <w:t>1. 保障幼儿园正常运转，完成教育教学活动和其他日常工作任务等方面的费用支出。</w:t>
            </w:r>
          </w:p>
        </w:tc>
      </w:tr>
    </w:tbl>
    <w:p w14:paraId="403310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B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9E45F">
            <w:pPr>
              <w:pStyle w:val="10"/>
            </w:pPr>
            <w:r>
              <w:t>一级指标</w:t>
            </w:r>
          </w:p>
        </w:tc>
        <w:tc>
          <w:tcPr>
            <w:tcW w:w="2268" w:type="dxa"/>
            <w:vAlign w:val="center"/>
          </w:tcPr>
          <w:p w14:paraId="3AEF31C9">
            <w:pPr>
              <w:pStyle w:val="10"/>
            </w:pPr>
            <w:r>
              <w:t>二级指标</w:t>
            </w:r>
          </w:p>
        </w:tc>
        <w:tc>
          <w:tcPr>
            <w:tcW w:w="2835" w:type="dxa"/>
            <w:vAlign w:val="center"/>
          </w:tcPr>
          <w:p w14:paraId="55293A6B">
            <w:pPr>
              <w:pStyle w:val="10"/>
            </w:pPr>
            <w:r>
              <w:t>三级指标</w:t>
            </w:r>
          </w:p>
        </w:tc>
        <w:tc>
          <w:tcPr>
            <w:tcW w:w="5386" w:type="dxa"/>
            <w:vAlign w:val="center"/>
          </w:tcPr>
          <w:p w14:paraId="2D4AB083">
            <w:pPr>
              <w:pStyle w:val="10"/>
            </w:pPr>
            <w:r>
              <w:t>绩效指标描述</w:t>
            </w:r>
          </w:p>
        </w:tc>
        <w:tc>
          <w:tcPr>
            <w:tcW w:w="2268" w:type="dxa"/>
            <w:vAlign w:val="center"/>
          </w:tcPr>
          <w:p w14:paraId="17CBF62B">
            <w:pPr>
              <w:pStyle w:val="10"/>
            </w:pPr>
            <w:r>
              <w:t>指标值</w:t>
            </w:r>
          </w:p>
        </w:tc>
        <w:tc>
          <w:tcPr>
            <w:tcW w:w="1276" w:type="dxa"/>
            <w:vAlign w:val="center"/>
          </w:tcPr>
          <w:p w14:paraId="3FA1E6F1">
            <w:pPr>
              <w:pStyle w:val="10"/>
            </w:pPr>
            <w:r>
              <w:t>指标值确定依据</w:t>
            </w:r>
          </w:p>
        </w:tc>
      </w:tr>
      <w:tr w14:paraId="0049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4DB15">
            <w:pPr>
              <w:pStyle w:val="13"/>
            </w:pPr>
            <w:r>
              <w:t>产出指标</w:t>
            </w:r>
          </w:p>
        </w:tc>
        <w:tc>
          <w:tcPr>
            <w:tcW w:w="2268" w:type="dxa"/>
            <w:vAlign w:val="center"/>
          </w:tcPr>
          <w:p w14:paraId="63B5649C">
            <w:pPr>
              <w:pStyle w:val="12"/>
            </w:pPr>
            <w:r>
              <w:t>数量指标</w:t>
            </w:r>
          </w:p>
        </w:tc>
        <w:tc>
          <w:tcPr>
            <w:tcW w:w="2835" w:type="dxa"/>
            <w:vAlign w:val="center"/>
          </w:tcPr>
          <w:p w14:paraId="0D9DBC5E">
            <w:pPr>
              <w:pStyle w:val="12"/>
            </w:pPr>
            <w:r>
              <w:t>适龄在园生</w:t>
            </w:r>
          </w:p>
        </w:tc>
        <w:tc>
          <w:tcPr>
            <w:tcW w:w="5386" w:type="dxa"/>
            <w:vAlign w:val="center"/>
          </w:tcPr>
          <w:p w14:paraId="21290EC1">
            <w:pPr>
              <w:pStyle w:val="12"/>
            </w:pPr>
            <w:r>
              <w:t>适龄在园学生人数</w:t>
            </w:r>
          </w:p>
        </w:tc>
        <w:tc>
          <w:tcPr>
            <w:tcW w:w="2268" w:type="dxa"/>
            <w:vAlign w:val="center"/>
          </w:tcPr>
          <w:p w14:paraId="328DCEF6">
            <w:pPr>
              <w:pStyle w:val="12"/>
            </w:pPr>
            <w:r>
              <w:t>407人</w:t>
            </w:r>
          </w:p>
        </w:tc>
        <w:tc>
          <w:tcPr>
            <w:tcW w:w="1276" w:type="dxa"/>
            <w:vAlign w:val="center"/>
          </w:tcPr>
          <w:p w14:paraId="3A67593E">
            <w:pPr>
              <w:pStyle w:val="12"/>
            </w:pPr>
            <w:r>
              <w:t>支持学前教育发展资金管理方法</w:t>
            </w:r>
          </w:p>
        </w:tc>
      </w:tr>
      <w:tr w14:paraId="693D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4EFE7"/>
        </w:tc>
        <w:tc>
          <w:tcPr>
            <w:tcW w:w="2268" w:type="dxa"/>
            <w:vAlign w:val="center"/>
          </w:tcPr>
          <w:p w14:paraId="2D7B1E3E">
            <w:pPr>
              <w:pStyle w:val="12"/>
            </w:pPr>
            <w:r>
              <w:t>质量指标</w:t>
            </w:r>
          </w:p>
        </w:tc>
        <w:tc>
          <w:tcPr>
            <w:tcW w:w="2835" w:type="dxa"/>
            <w:vAlign w:val="center"/>
          </w:tcPr>
          <w:p w14:paraId="101ACFEF">
            <w:pPr>
              <w:pStyle w:val="12"/>
            </w:pPr>
            <w:r>
              <w:t>公用经费使用率</w:t>
            </w:r>
          </w:p>
        </w:tc>
        <w:tc>
          <w:tcPr>
            <w:tcW w:w="5386" w:type="dxa"/>
            <w:vAlign w:val="center"/>
          </w:tcPr>
          <w:p w14:paraId="00C4AAD6">
            <w:pPr>
              <w:pStyle w:val="12"/>
            </w:pPr>
            <w:r>
              <w:t>用于弥补经费不足，改善办学条件</w:t>
            </w:r>
          </w:p>
        </w:tc>
        <w:tc>
          <w:tcPr>
            <w:tcW w:w="2268" w:type="dxa"/>
            <w:vAlign w:val="center"/>
          </w:tcPr>
          <w:p w14:paraId="2D97C580">
            <w:pPr>
              <w:pStyle w:val="12"/>
            </w:pPr>
            <w:r>
              <w:t>100%</w:t>
            </w:r>
          </w:p>
        </w:tc>
        <w:tc>
          <w:tcPr>
            <w:tcW w:w="1276" w:type="dxa"/>
            <w:vAlign w:val="center"/>
          </w:tcPr>
          <w:p w14:paraId="62912004">
            <w:pPr>
              <w:pStyle w:val="12"/>
            </w:pPr>
            <w:r>
              <w:t>支持学前教育发展资金管理方法</w:t>
            </w:r>
          </w:p>
        </w:tc>
      </w:tr>
      <w:tr w14:paraId="6B84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21A16"/>
        </w:tc>
        <w:tc>
          <w:tcPr>
            <w:tcW w:w="2268" w:type="dxa"/>
            <w:vAlign w:val="center"/>
          </w:tcPr>
          <w:p w14:paraId="68FA3103">
            <w:pPr>
              <w:pStyle w:val="12"/>
            </w:pPr>
            <w:r>
              <w:t>时效指标</w:t>
            </w:r>
          </w:p>
        </w:tc>
        <w:tc>
          <w:tcPr>
            <w:tcW w:w="2835" w:type="dxa"/>
            <w:vAlign w:val="center"/>
          </w:tcPr>
          <w:p w14:paraId="60C2D835">
            <w:pPr>
              <w:pStyle w:val="12"/>
            </w:pPr>
            <w:r>
              <w:t>资金支付率</w:t>
            </w:r>
          </w:p>
        </w:tc>
        <w:tc>
          <w:tcPr>
            <w:tcW w:w="5386" w:type="dxa"/>
            <w:vAlign w:val="center"/>
          </w:tcPr>
          <w:p w14:paraId="550DF073">
            <w:pPr>
              <w:pStyle w:val="12"/>
            </w:pPr>
            <w:r>
              <w:t>按照序时进度完成资金支付</w:t>
            </w:r>
          </w:p>
        </w:tc>
        <w:tc>
          <w:tcPr>
            <w:tcW w:w="2268" w:type="dxa"/>
            <w:vAlign w:val="center"/>
          </w:tcPr>
          <w:p w14:paraId="3F4EFD34">
            <w:pPr>
              <w:pStyle w:val="12"/>
            </w:pPr>
            <w:r>
              <w:t>100%</w:t>
            </w:r>
          </w:p>
        </w:tc>
        <w:tc>
          <w:tcPr>
            <w:tcW w:w="1276" w:type="dxa"/>
            <w:vAlign w:val="center"/>
          </w:tcPr>
          <w:p w14:paraId="1FD53DEE">
            <w:pPr>
              <w:pStyle w:val="12"/>
            </w:pPr>
            <w:r>
              <w:t>支持学前教育发展资金管理方法</w:t>
            </w:r>
          </w:p>
        </w:tc>
      </w:tr>
      <w:tr w14:paraId="0A4A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9B3CD"/>
        </w:tc>
        <w:tc>
          <w:tcPr>
            <w:tcW w:w="2268" w:type="dxa"/>
            <w:vAlign w:val="center"/>
          </w:tcPr>
          <w:p w14:paraId="65D3F197">
            <w:pPr>
              <w:pStyle w:val="12"/>
            </w:pPr>
            <w:r>
              <w:t>成本指标</w:t>
            </w:r>
          </w:p>
        </w:tc>
        <w:tc>
          <w:tcPr>
            <w:tcW w:w="2835" w:type="dxa"/>
            <w:vAlign w:val="center"/>
          </w:tcPr>
          <w:p w14:paraId="652AD095">
            <w:pPr>
              <w:pStyle w:val="12"/>
            </w:pPr>
            <w:r>
              <w:t>生均拨款标准</w:t>
            </w:r>
          </w:p>
        </w:tc>
        <w:tc>
          <w:tcPr>
            <w:tcW w:w="5386" w:type="dxa"/>
            <w:vAlign w:val="center"/>
          </w:tcPr>
          <w:p w14:paraId="347AB650">
            <w:pPr>
              <w:pStyle w:val="12"/>
            </w:pPr>
            <w:r>
              <w:t>根据各学校学前保育费标准进行补助</w:t>
            </w:r>
          </w:p>
        </w:tc>
        <w:tc>
          <w:tcPr>
            <w:tcW w:w="2268" w:type="dxa"/>
            <w:vAlign w:val="center"/>
          </w:tcPr>
          <w:p w14:paraId="44995D2B">
            <w:pPr>
              <w:pStyle w:val="12"/>
            </w:pPr>
            <w:r>
              <w:t>60656元</w:t>
            </w:r>
          </w:p>
        </w:tc>
        <w:tc>
          <w:tcPr>
            <w:tcW w:w="1276" w:type="dxa"/>
            <w:vAlign w:val="center"/>
          </w:tcPr>
          <w:p w14:paraId="47B9BC39">
            <w:pPr>
              <w:pStyle w:val="12"/>
            </w:pPr>
            <w:r>
              <w:t>支持学前教育发展资金管理方法</w:t>
            </w:r>
          </w:p>
        </w:tc>
      </w:tr>
      <w:tr w14:paraId="30AD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0D1D3">
            <w:pPr>
              <w:pStyle w:val="13"/>
            </w:pPr>
            <w:r>
              <w:t>效益指标</w:t>
            </w:r>
          </w:p>
        </w:tc>
        <w:tc>
          <w:tcPr>
            <w:tcW w:w="2268" w:type="dxa"/>
            <w:vAlign w:val="center"/>
          </w:tcPr>
          <w:p w14:paraId="1B82D676">
            <w:pPr>
              <w:pStyle w:val="12"/>
            </w:pPr>
            <w:r>
              <w:t>可持续影响指标</w:t>
            </w:r>
          </w:p>
        </w:tc>
        <w:tc>
          <w:tcPr>
            <w:tcW w:w="2835" w:type="dxa"/>
            <w:vAlign w:val="center"/>
          </w:tcPr>
          <w:p w14:paraId="76FBB08E">
            <w:pPr>
              <w:pStyle w:val="12"/>
            </w:pPr>
            <w:r>
              <w:t>学校运转得到提高</w:t>
            </w:r>
          </w:p>
        </w:tc>
        <w:tc>
          <w:tcPr>
            <w:tcW w:w="5386" w:type="dxa"/>
            <w:vAlign w:val="center"/>
          </w:tcPr>
          <w:p w14:paraId="4E1BF26D">
            <w:pPr>
              <w:pStyle w:val="12"/>
            </w:pPr>
            <w:r>
              <w:t>学生受教育年限</w:t>
            </w:r>
          </w:p>
        </w:tc>
        <w:tc>
          <w:tcPr>
            <w:tcW w:w="2268" w:type="dxa"/>
            <w:vAlign w:val="center"/>
          </w:tcPr>
          <w:p w14:paraId="676C0C11">
            <w:pPr>
              <w:pStyle w:val="12"/>
            </w:pPr>
            <w:r>
              <w:t>3年</w:t>
            </w:r>
          </w:p>
        </w:tc>
        <w:tc>
          <w:tcPr>
            <w:tcW w:w="1276" w:type="dxa"/>
            <w:vAlign w:val="center"/>
          </w:tcPr>
          <w:p w14:paraId="4A9FE9BC">
            <w:pPr>
              <w:pStyle w:val="12"/>
            </w:pPr>
            <w:r>
              <w:t>支持学前教育发展资金管理方法</w:t>
            </w:r>
          </w:p>
        </w:tc>
      </w:tr>
      <w:tr w14:paraId="730B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3CE29">
            <w:pPr>
              <w:pStyle w:val="13"/>
            </w:pPr>
            <w:r>
              <w:t>满意度指标</w:t>
            </w:r>
          </w:p>
        </w:tc>
        <w:tc>
          <w:tcPr>
            <w:tcW w:w="2268" w:type="dxa"/>
            <w:vAlign w:val="center"/>
          </w:tcPr>
          <w:p w14:paraId="6E44C081">
            <w:pPr>
              <w:pStyle w:val="12"/>
            </w:pPr>
            <w:r>
              <w:t>服务对象满意度指标</w:t>
            </w:r>
          </w:p>
        </w:tc>
        <w:tc>
          <w:tcPr>
            <w:tcW w:w="2835" w:type="dxa"/>
            <w:vAlign w:val="center"/>
          </w:tcPr>
          <w:p w14:paraId="0464636A">
            <w:pPr>
              <w:pStyle w:val="12"/>
            </w:pPr>
            <w:r>
              <w:t>受益学生家长及调查满意度</w:t>
            </w:r>
          </w:p>
        </w:tc>
        <w:tc>
          <w:tcPr>
            <w:tcW w:w="5386" w:type="dxa"/>
            <w:vAlign w:val="center"/>
          </w:tcPr>
          <w:p w14:paraId="1F2580F0">
            <w:pPr>
              <w:pStyle w:val="12"/>
            </w:pPr>
            <w:r>
              <w:t>学生、教师及家长对学校保教保育工作满意度情况</w:t>
            </w:r>
          </w:p>
        </w:tc>
        <w:tc>
          <w:tcPr>
            <w:tcW w:w="2268" w:type="dxa"/>
            <w:vAlign w:val="center"/>
          </w:tcPr>
          <w:p w14:paraId="4180DE69">
            <w:pPr>
              <w:pStyle w:val="12"/>
            </w:pPr>
            <w:r>
              <w:t>≥95%</w:t>
            </w:r>
          </w:p>
        </w:tc>
        <w:tc>
          <w:tcPr>
            <w:tcW w:w="1276" w:type="dxa"/>
            <w:vAlign w:val="center"/>
          </w:tcPr>
          <w:p w14:paraId="2E42A91A">
            <w:pPr>
              <w:pStyle w:val="12"/>
            </w:pPr>
            <w:r>
              <w:t>支持学前教育发展资金管理方法</w:t>
            </w:r>
          </w:p>
        </w:tc>
      </w:tr>
    </w:tbl>
    <w:p w14:paraId="7F1ABD0C">
      <w:pPr>
        <w:sectPr>
          <w:pgSz w:w="16840" w:h="11900" w:orient="landscape"/>
          <w:pgMar w:top="1361" w:right="1020" w:bottom="1134" w:left="1020" w:header="720" w:footer="720" w:gutter="0"/>
          <w:cols w:space="720" w:num="1"/>
        </w:sectPr>
      </w:pPr>
    </w:p>
    <w:p w14:paraId="56680BBC">
      <w:pPr>
        <w:spacing w:before="0" w:after="0"/>
        <w:ind w:firstLine="560"/>
        <w:jc w:val="left"/>
        <w:outlineLvl w:val="9"/>
      </w:pPr>
      <w:r>
        <w:rPr>
          <w:rFonts w:ascii="方正仿宋_GBK" w:hAnsi="方正仿宋_GBK" w:eastAsia="方正仿宋_GBK" w:cs="方正仿宋_GBK"/>
          <w:b/>
          <w:color w:val="000000"/>
          <w:sz w:val="28"/>
        </w:rPr>
        <w:t>29、县级配套/东良校区大干言小学公用经费绩效目标表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B8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352EB">
            <w:pPr>
              <w:pStyle w:val="11"/>
            </w:pPr>
            <w:r>
              <w:t>单位：万元</w:t>
            </w:r>
          </w:p>
        </w:tc>
      </w:tr>
      <w:tr w14:paraId="123BF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81EBD">
            <w:pPr>
              <w:pStyle w:val="10"/>
            </w:pPr>
            <w:r>
              <w:t>项目编码</w:t>
            </w:r>
          </w:p>
        </w:tc>
        <w:tc>
          <w:tcPr>
            <w:tcW w:w="5103" w:type="dxa"/>
            <w:gridSpan w:val="2"/>
            <w:vAlign w:val="center"/>
          </w:tcPr>
          <w:p w14:paraId="7B5431FE">
            <w:pPr>
              <w:pStyle w:val="12"/>
            </w:pPr>
            <w:r>
              <w:t>13052526P00000410439P</w:t>
            </w:r>
          </w:p>
        </w:tc>
        <w:tc>
          <w:tcPr>
            <w:tcW w:w="2835" w:type="dxa"/>
            <w:vAlign w:val="center"/>
          </w:tcPr>
          <w:p w14:paraId="76BD5671">
            <w:pPr>
              <w:pStyle w:val="10"/>
            </w:pPr>
            <w:r>
              <w:t>项目名称</w:t>
            </w:r>
          </w:p>
        </w:tc>
        <w:tc>
          <w:tcPr>
            <w:tcW w:w="6095" w:type="dxa"/>
            <w:gridSpan w:val="3"/>
            <w:vAlign w:val="center"/>
          </w:tcPr>
          <w:p w14:paraId="51076A53">
            <w:pPr>
              <w:pStyle w:val="12"/>
            </w:pPr>
            <w:r>
              <w:t>县级配套/东良校区大干言小学公用经费</w:t>
            </w:r>
          </w:p>
        </w:tc>
      </w:tr>
      <w:tr w14:paraId="149A9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513EF">
            <w:pPr>
              <w:pStyle w:val="10"/>
            </w:pPr>
            <w:r>
              <w:t>预算规模及资金用途</w:t>
            </w:r>
          </w:p>
        </w:tc>
        <w:tc>
          <w:tcPr>
            <w:tcW w:w="2268" w:type="dxa"/>
            <w:vAlign w:val="center"/>
          </w:tcPr>
          <w:p w14:paraId="3747D92E">
            <w:pPr>
              <w:pStyle w:val="10"/>
            </w:pPr>
            <w:r>
              <w:t>预算数</w:t>
            </w:r>
          </w:p>
        </w:tc>
        <w:tc>
          <w:tcPr>
            <w:tcW w:w="2835" w:type="dxa"/>
            <w:vAlign w:val="center"/>
          </w:tcPr>
          <w:p w14:paraId="1AB63A8E">
            <w:pPr>
              <w:pStyle w:val="12"/>
            </w:pPr>
            <w:r>
              <w:t>7.72</w:t>
            </w:r>
          </w:p>
        </w:tc>
        <w:tc>
          <w:tcPr>
            <w:tcW w:w="2835" w:type="dxa"/>
            <w:vAlign w:val="center"/>
          </w:tcPr>
          <w:p w14:paraId="433A72A4">
            <w:pPr>
              <w:pStyle w:val="10"/>
            </w:pPr>
            <w:r>
              <w:t>其中：财政    资金</w:t>
            </w:r>
          </w:p>
        </w:tc>
        <w:tc>
          <w:tcPr>
            <w:tcW w:w="2551" w:type="dxa"/>
            <w:vAlign w:val="center"/>
          </w:tcPr>
          <w:p w14:paraId="6D841535">
            <w:pPr>
              <w:pStyle w:val="12"/>
            </w:pPr>
            <w:r>
              <w:t>7.72</w:t>
            </w:r>
          </w:p>
        </w:tc>
        <w:tc>
          <w:tcPr>
            <w:tcW w:w="2268" w:type="dxa"/>
            <w:vAlign w:val="center"/>
          </w:tcPr>
          <w:p w14:paraId="220CEF47">
            <w:pPr>
              <w:pStyle w:val="10"/>
            </w:pPr>
            <w:r>
              <w:t>其他资金</w:t>
            </w:r>
          </w:p>
        </w:tc>
        <w:tc>
          <w:tcPr>
            <w:tcW w:w="1276" w:type="dxa"/>
            <w:vAlign w:val="center"/>
          </w:tcPr>
          <w:p w14:paraId="2A3D833E">
            <w:pPr>
              <w:pStyle w:val="12"/>
            </w:pPr>
            <w:r>
              <w:t xml:space="preserve"> </w:t>
            </w:r>
          </w:p>
        </w:tc>
      </w:tr>
      <w:tr w14:paraId="189DB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19D26"/>
        </w:tc>
        <w:tc>
          <w:tcPr>
            <w:tcW w:w="14033" w:type="dxa"/>
            <w:gridSpan w:val="6"/>
            <w:vAlign w:val="center"/>
          </w:tcPr>
          <w:p w14:paraId="4E706BA2">
            <w:pPr>
              <w:pStyle w:val="12"/>
            </w:pPr>
            <w:r>
              <w:t>保障义务教育学校正常运转，完成教育教学活动和其他日常工作任务等方面的费用支出。</w:t>
            </w:r>
          </w:p>
        </w:tc>
      </w:tr>
      <w:tr w14:paraId="01359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8F942">
            <w:pPr>
              <w:pStyle w:val="10"/>
            </w:pPr>
            <w:r>
              <w:t>资金支出计划（%）</w:t>
            </w:r>
          </w:p>
        </w:tc>
        <w:tc>
          <w:tcPr>
            <w:tcW w:w="5103" w:type="dxa"/>
            <w:gridSpan w:val="2"/>
            <w:vAlign w:val="center"/>
          </w:tcPr>
          <w:p w14:paraId="154B1433">
            <w:pPr>
              <w:pStyle w:val="10"/>
            </w:pPr>
            <w:r>
              <w:t>3月底</w:t>
            </w:r>
          </w:p>
        </w:tc>
        <w:tc>
          <w:tcPr>
            <w:tcW w:w="2835" w:type="dxa"/>
            <w:vAlign w:val="center"/>
          </w:tcPr>
          <w:p w14:paraId="4802153C">
            <w:pPr>
              <w:pStyle w:val="10"/>
            </w:pPr>
            <w:r>
              <w:t>6月底</w:t>
            </w:r>
          </w:p>
        </w:tc>
        <w:tc>
          <w:tcPr>
            <w:tcW w:w="2551" w:type="dxa"/>
            <w:vAlign w:val="center"/>
          </w:tcPr>
          <w:p w14:paraId="572C4349">
            <w:pPr>
              <w:pStyle w:val="10"/>
            </w:pPr>
            <w:r>
              <w:t>10月底</w:t>
            </w:r>
          </w:p>
        </w:tc>
        <w:tc>
          <w:tcPr>
            <w:tcW w:w="3544" w:type="dxa"/>
            <w:gridSpan w:val="2"/>
            <w:vAlign w:val="center"/>
          </w:tcPr>
          <w:p w14:paraId="7069EB83">
            <w:pPr>
              <w:pStyle w:val="10"/>
            </w:pPr>
            <w:r>
              <w:t>12月底</w:t>
            </w:r>
          </w:p>
        </w:tc>
      </w:tr>
      <w:tr w14:paraId="49D85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59C5A"/>
        </w:tc>
        <w:tc>
          <w:tcPr>
            <w:tcW w:w="5103" w:type="dxa"/>
            <w:gridSpan w:val="2"/>
            <w:vAlign w:val="center"/>
          </w:tcPr>
          <w:p w14:paraId="14EAC924">
            <w:pPr>
              <w:pStyle w:val="13"/>
            </w:pPr>
            <w:r>
              <w:t>25%</w:t>
            </w:r>
          </w:p>
        </w:tc>
        <w:tc>
          <w:tcPr>
            <w:tcW w:w="2835" w:type="dxa"/>
            <w:vAlign w:val="center"/>
          </w:tcPr>
          <w:p w14:paraId="5A76FD12">
            <w:pPr>
              <w:pStyle w:val="13"/>
            </w:pPr>
            <w:r>
              <w:t>50%</w:t>
            </w:r>
          </w:p>
        </w:tc>
        <w:tc>
          <w:tcPr>
            <w:tcW w:w="2551" w:type="dxa"/>
            <w:vAlign w:val="center"/>
          </w:tcPr>
          <w:p w14:paraId="4D195BD8">
            <w:pPr>
              <w:pStyle w:val="13"/>
            </w:pPr>
            <w:r>
              <w:t>75%</w:t>
            </w:r>
          </w:p>
        </w:tc>
        <w:tc>
          <w:tcPr>
            <w:tcW w:w="3544" w:type="dxa"/>
            <w:gridSpan w:val="2"/>
            <w:vAlign w:val="center"/>
          </w:tcPr>
          <w:p w14:paraId="62052B17">
            <w:pPr>
              <w:pStyle w:val="13"/>
            </w:pPr>
            <w:r>
              <w:t>100%</w:t>
            </w:r>
          </w:p>
        </w:tc>
      </w:tr>
      <w:tr w14:paraId="242C8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A5C1B">
            <w:pPr>
              <w:pStyle w:val="10"/>
            </w:pPr>
            <w:r>
              <w:t>绩效目标</w:t>
            </w:r>
          </w:p>
        </w:tc>
        <w:tc>
          <w:tcPr>
            <w:tcW w:w="14033" w:type="dxa"/>
            <w:gridSpan w:val="6"/>
            <w:vAlign w:val="center"/>
          </w:tcPr>
          <w:p w14:paraId="1138523A">
            <w:pPr>
              <w:pStyle w:val="12"/>
            </w:pPr>
            <w:r>
              <w:t>1.保障义务教育学校正常运转，完成教育教学活动和其他日常工作任务等方面的费用支出。</w:t>
            </w:r>
          </w:p>
          <w:p w14:paraId="3F88730C">
            <w:pPr>
              <w:pStyle w:val="12"/>
            </w:pPr>
            <w:r>
              <w:t>2.按季度分批次拨付公用经费资金77220元，资金拨付率达到100%。</w:t>
            </w:r>
          </w:p>
        </w:tc>
      </w:tr>
    </w:tbl>
    <w:p w14:paraId="1EF916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F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2BE6D">
            <w:pPr>
              <w:pStyle w:val="10"/>
            </w:pPr>
            <w:r>
              <w:t>一级指标</w:t>
            </w:r>
          </w:p>
        </w:tc>
        <w:tc>
          <w:tcPr>
            <w:tcW w:w="2268" w:type="dxa"/>
            <w:vAlign w:val="center"/>
          </w:tcPr>
          <w:p w14:paraId="6B59E82F">
            <w:pPr>
              <w:pStyle w:val="10"/>
            </w:pPr>
            <w:r>
              <w:t>二级指标</w:t>
            </w:r>
          </w:p>
        </w:tc>
        <w:tc>
          <w:tcPr>
            <w:tcW w:w="2835" w:type="dxa"/>
            <w:vAlign w:val="center"/>
          </w:tcPr>
          <w:p w14:paraId="471F4055">
            <w:pPr>
              <w:pStyle w:val="10"/>
            </w:pPr>
            <w:r>
              <w:t>三级指标</w:t>
            </w:r>
          </w:p>
        </w:tc>
        <w:tc>
          <w:tcPr>
            <w:tcW w:w="5386" w:type="dxa"/>
            <w:vAlign w:val="center"/>
          </w:tcPr>
          <w:p w14:paraId="5450E85E">
            <w:pPr>
              <w:pStyle w:val="10"/>
            </w:pPr>
            <w:r>
              <w:t>绩效指标描述</w:t>
            </w:r>
          </w:p>
        </w:tc>
        <w:tc>
          <w:tcPr>
            <w:tcW w:w="2268" w:type="dxa"/>
            <w:vAlign w:val="center"/>
          </w:tcPr>
          <w:p w14:paraId="44D0293A">
            <w:pPr>
              <w:pStyle w:val="10"/>
            </w:pPr>
            <w:r>
              <w:t>指标值</w:t>
            </w:r>
          </w:p>
        </w:tc>
        <w:tc>
          <w:tcPr>
            <w:tcW w:w="1276" w:type="dxa"/>
            <w:vAlign w:val="center"/>
          </w:tcPr>
          <w:p w14:paraId="2B7D2DCE">
            <w:pPr>
              <w:pStyle w:val="10"/>
            </w:pPr>
            <w:r>
              <w:t>指标值确定依据</w:t>
            </w:r>
          </w:p>
        </w:tc>
      </w:tr>
      <w:tr w14:paraId="7CC6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6F903">
            <w:pPr>
              <w:pStyle w:val="13"/>
            </w:pPr>
            <w:r>
              <w:t>产出指标</w:t>
            </w:r>
          </w:p>
        </w:tc>
        <w:tc>
          <w:tcPr>
            <w:tcW w:w="2268" w:type="dxa"/>
            <w:vAlign w:val="center"/>
          </w:tcPr>
          <w:p w14:paraId="439D575E">
            <w:pPr>
              <w:pStyle w:val="12"/>
            </w:pPr>
            <w:r>
              <w:t>数量指标</w:t>
            </w:r>
          </w:p>
        </w:tc>
        <w:tc>
          <w:tcPr>
            <w:tcW w:w="2835" w:type="dxa"/>
            <w:vAlign w:val="center"/>
          </w:tcPr>
          <w:p w14:paraId="720B7802">
            <w:pPr>
              <w:pStyle w:val="12"/>
            </w:pPr>
            <w:r>
              <w:t>适龄在校生</w:t>
            </w:r>
          </w:p>
        </w:tc>
        <w:tc>
          <w:tcPr>
            <w:tcW w:w="5386" w:type="dxa"/>
            <w:vAlign w:val="center"/>
          </w:tcPr>
          <w:p w14:paraId="7948D90D">
            <w:pPr>
              <w:pStyle w:val="12"/>
            </w:pPr>
            <w:r>
              <w:t>适龄在校就读学生人数</w:t>
            </w:r>
          </w:p>
        </w:tc>
        <w:tc>
          <w:tcPr>
            <w:tcW w:w="2268" w:type="dxa"/>
            <w:vAlign w:val="center"/>
          </w:tcPr>
          <w:p w14:paraId="36113F51">
            <w:pPr>
              <w:pStyle w:val="12"/>
            </w:pPr>
            <w:r>
              <w:t>836人</w:t>
            </w:r>
          </w:p>
        </w:tc>
        <w:tc>
          <w:tcPr>
            <w:tcW w:w="1276" w:type="dxa"/>
            <w:vAlign w:val="center"/>
          </w:tcPr>
          <w:p w14:paraId="16D04418">
            <w:pPr>
              <w:pStyle w:val="12"/>
            </w:pPr>
            <w:r>
              <w:t>城乡义务教育公用经费管理办法</w:t>
            </w:r>
          </w:p>
        </w:tc>
      </w:tr>
      <w:tr w14:paraId="50AB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79E4A"/>
        </w:tc>
        <w:tc>
          <w:tcPr>
            <w:tcW w:w="2268" w:type="dxa"/>
            <w:vAlign w:val="center"/>
          </w:tcPr>
          <w:p w14:paraId="7907E3D6">
            <w:pPr>
              <w:pStyle w:val="12"/>
            </w:pPr>
            <w:r>
              <w:t>质量指标</w:t>
            </w:r>
          </w:p>
        </w:tc>
        <w:tc>
          <w:tcPr>
            <w:tcW w:w="2835" w:type="dxa"/>
            <w:vAlign w:val="center"/>
          </w:tcPr>
          <w:p w14:paraId="4A03EF68">
            <w:pPr>
              <w:pStyle w:val="12"/>
            </w:pPr>
            <w:r>
              <w:t>公用经费拨付完成率</w:t>
            </w:r>
          </w:p>
        </w:tc>
        <w:tc>
          <w:tcPr>
            <w:tcW w:w="5386" w:type="dxa"/>
            <w:vAlign w:val="center"/>
          </w:tcPr>
          <w:p w14:paraId="4A4D1773">
            <w:pPr>
              <w:pStyle w:val="12"/>
            </w:pPr>
            <w:r>
              <w:t>公用经费拨付完成率达到需时进度</w:t>
            </w:r>
          </w:p>
        </w:tc>
        <w:tc>
          <w:tcPr>
            <w:tcW w:w="2268" w:type="dxa"/>
            <w:vAlign w:val="center"/>
          </w:tcPr>
          <w:p w14:paraId="2AEF48E7">
            <w:pPr>
              <w:pStyle w:val="12"/>
            </w:pPr>
            <w:r>
              <w:t>100%</w:t>
            </w:r>
          </w:p>
        </w:tc>
        <w:tc>
          <w:tcPr>
            <w:tcW w:w="1276" w:type="dxa"/>
            <w:vAlign w:val="center"/>
          </w:tcPr>
          <w:p w14:paraId="6CE30DC3">
            <w:pPr>
              <w:pStyle w:val="12"/>
            </w:pPr>
            <w:r>
              <w:t>城乡义务教育公用经费管理办法</w:t>
            </w:r>
          </w:p>
        </w:tc>
      </w:tr>
      <w:tr w14:paraId="7E16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74CC8"/>
        </w:tc>
        <w:tc>
          <w:tcPr>
            <w:tcW w:w="2268" w:type="dxa"/>
            <w:vAlign w:val="center"/>
          </w:tcPr>
          <w:p w14:paraId="0A9D3F17">
            <w:pPr>
              <w:pStyle w:val="12"/>
            </w:pPr>
            <w:r>
              <w:t>时效指标</w:t>
            </w:r>
          </w:p>
        </w:tc>
        <w:tc>
          <w:tcPr>
            <w:tcW w:w="2835" w:type="dxa"/>
            <w:vAlign w:val="center"/>
          </w:tcPr>
          <w:p w14:paraId="6314FD3B">
            <w:pPr>
              <w:pStyle w:val="12"/>
            </w:pPr>
            <w:r>
              <w:t>资金支付率</w:t>
            </w:r>
          </w:p>
        </w:tc>
        <w:tc>
          <w:tcPr>
            <w:tcW w:w="5386" w:type="dxa"/>
            <w:vAlign w:val="center"/>
          </w:tcPr>
          <w:p w14:paraId="60428874">
            <w:pPr>
              <w:pStyle w:val="12"/>
            </w:pPr>
            <w:r>
              <w:t>按照序时进度完成资金支付</w:t>
            </w:r>
          </w:p>
        </w:tc>
        <w:tc>
          <w:tcPr>
            <w:tcW w:w="2268" w:type="dxa"/>
            <w:vAlign w:val="center"/>
          </w:tcPr>
          <w:p w14:paraId="3DD0BA1A">
            <w:pPr>
              <w:pStyle w:val="12"/>
            </w:pPr>
            <w:r>
              <w:t>100%</w:t>
            </w:r>
          </w:p>
        </w:tc>
        <w:tc>
          <w:tcPr>
            <w:tcW w:w="1276" w:type="dxa"/>
            <w:vAlign w:val="center"/>
          </w:tcPr>
          <w:p w14:paraId="24821858">
            <w:pPr>
              <w:pStyle w:val="12"/>
            </w:pPr>
            <w:r>
              <w:t>城乡义务教育公用经费管理办法</w:t>
            </w:r>
          </w:p>
        </w:tc>
      </w:tr>
      <w:tr w14:paraId="38DEA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ECAA"/>
        </w:tc>
        <w:tc>
          <w:tcPr>
            <w:tcW w:w="2268" w:type="dxa"/>
            <w:vAlign w:val="center"/>
          </w:tcPr>
          <w:p w14:paraId="2A7DD2E3">
            <w:pPr>
              <w:pStyle w:val="12"/>
            </w:pPr>
            <w:r>
              <w:t>成本指标</w:t>
            </w:r>
          </w:p>
        </w:tc>
        <w:tc>
          <w:tcPr>
            <w:tcW w:w="2835" w:type="dxa"/>
            <w:vAlign w:val="center"/>
          </w:tcPr>
          <w:p w14:paraId="177DBE78">
            <w:pPr>
              <w:pStyle w:val="12"/>
            </w:pPr>
            <w:r>
              <w:t>生均拨款标准</w:t>
            </w:r>
          </w:p>
        </w:tc>
        <w:tc>
          <w:tcPr>
            <w:tcW w:w="5386" w:type="dxa"/>
            <w:vAlign w:val="center"/>
          </w:tcPr>
          <w:p w14:paraId="5A864150">
            <w:pPr>
              <w:pStyle w:val="12"/>
            </w:pPr>
            <w:r>
              <w:t>小学：（基本标准720元、寄宿生300元、取暖费120元）/生/学年；特教、随班就读学生：标准7000元/生/学年。</w:t>
            </w:r>
          </w:p>
        </w:tc>
        <w:tc>
          <w:tcPr>
            <w:tcW w:w="2268" w:type="dxa"/>
            <w:vAlign w:val="center"/>
          </w:tcPr>
          <w:p w14:paraId="0F400B4E">
            <w:pPr>
              <w:pStyle w:val="12"/>
            </w:pPr>
            <w:r>
              <w:t>840元</w:t>
            </w:r>
          </w:p>
        </w:tc>
        <w:tc>
          <w:tcPr>
            <w:tcW w:w="1276" w:type="dxa"/>
            <w:vAlign w:val="center"/>
          </w:tcPr>
          <w:p w14:paraId="7B86272E">
            <w:pPr>
              <w:pStyle w:val="12"/>
            </w:pPr>
            <w:r>
              <w:t>城乡义务教育公用经费管理办法</w:t>
            </w:r>
          </w:p>
        </w:tc>
      </w:tr>
      <w:tr w14:paraId="2EA4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57478">
            <w:pPr>
              <w:pStyle w:val="13"/>
            </w:pPr>
            <w:r>
              <w:t>效益指标</w:t>
            </w:r>
          </w:p>
        </w:tc>
        <w:tc>
          <w:tcPr>
            <w:tcW w:w="2268" w:type="dxa"/>
            <w:vAlign w:val="center"/>
          </w:tcPr>
          <w:p w14:paraId="5701D309">
            <w:pPr>
              <w:pStyle w:val="12"/>
            </w:pPr>
            <w:r>
              <w:t>经济效益指标</w:t>
            </w:r>
          </w:p>
        </w:tc>
        <w:tc>
          <w:tcPr>
            <w:tcW w:w="2835" w:type="dxa"/>
            <w:vAlign w:val="center"/>
          </w:tcPr>
          <w:p w14:paraId="61948155">
            <w:pPr>
              <w:pStyle w:val="12"/>
            </w:pPr>
            <w:r>
              <w:t>项目实施成果</w:t>
            </w:r>
          </w:p>
        </w:tc>
        <w:tc>
          <w:tcPr>
            <w:tcW w:w="5386" w:type="dxa"/>
            <w:vAlign w:val="center"/>
          </w:tcPr>
          <w:p w14:paraId="2206F19E">
            <w:pPr>
              <w:pStyle w:val="12"/>
            </w:pPr>
            <w:r>
              <w:t>减轻受教育学生家庭经济负担</w:t>
            </w:r>
          </w:p>
        </w:tc>
        <w:tc>
          <w:tcPr>
            <w:tcW w:w="2268" w:type="dxa"/>
            <w:vAlign w:val="center"/>
          </w:tcPr>
          <w:p w14:paraId="36372747">
            <w:pPr>
              <w:pStyle w:val="12"/>
            </w:pPr>
            <w:r>
              <w:t>100%</w:t>
            </w:r>
          </w:p>
        </w:tc>
        <w:tc>
          <w:tcPr>
            <w:tcW w:w="1276" w:type="dxa"/>
            <w:vAlign w:val="center"/>
          </w:tcPr>
          <w:p w14:paraId="6CEF929A">
            <w:pPr>
              <w:pStyle w:val="12"/>
            </w:pPr>
            <w:r>
              <w:t>城乡义务教育公用经费管理办法</w:t>
            </w:r>
          </w:p>
        </w:tc>
      </w:tr>
      <w:tr w14:paraId="7D59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80401"/>
        </w:tc>
        <w:tc>
          <w:tcPr>
            <w:tcW w:w="2268" w:type="dxa"/>
            <w:vAlign w:val="center"/>
          </w:tcPr>
          <w:p w14:paraId="3FED07C5">
            <w:pPr>
              <w:pStyle w:val="12"/>
            </w:pPr>
            <w:r>
              <w:t>社会效益指标</w:t>
            </w:r>
          </w:p>
        </w:tc>
        <w:tc>
          <w:tcPr>
            <w:tcW w:w="2835" w:type="dxa"/>
            <w:vAlign w:val="center"/>
          </w:tcPr>
          <w:p w14:paraId="29DECF5F">
            <w:pPr>
              <w:pStyle w:val="12"/>
            </w:pPr>
            <w:r>
              <w:t>学校办学能力提升</w:t>
            </w:r>
          </w:p>
        </w:tc>
        <w:tc>
          <w:tcPr>
            <w:tcW w:w="5386" w:type="dxa"/>
            <w:vAlign w:val="center"/>
          </w:tcPr>
          <w:p w14:paraId="4ECF7781">
            <w:pPr>
              <w:pStyle w:val="12"/>
            </w:pPr>
            <w:r>
              <w:t>学校办学能</w:t>
            </w:r>
            <w:r>
              <w:rPr>
                <w:rFonts w:hint="eastAsia"/>
                <w:lang w:eastAsia="zh-CN"/>
              </w:rPr>
              <w:t>力提</w:t>
            </w:r>
            <w:r>
              <w:t>升情况及教育教学工作等开展的情况</w:t>
            </w:r>
          </w:p>
        </w:tc>
        <w:tc>
          <w:tcPr>
            <w:tcW w:w="2268" w:type="dxa"/>
            <w:vAlign w:val="center"/>
          </w:tcPr>
          <w:p w14:paraId="2F185304">
            <w:pPr>
              <w:pStyle w:val="12"/>
            </w:pPr>
            <w:r>
              <w:t>100%</w:t>
            </w:r>
          </w:p>
        </w:tc>
        <w:tc>
          <w:tcPr>
            <w:tcW w:w="1276" w:type="dxa"/>
            <w:vAlign w:val="center"/>
          </w:tcPr>
          <w:p w14:paraId="50EBE371">
            <w:pPr>
              <w:pStyle w:val="12"/>
            </w:pPr>
            <w:r>
              <w:t>城乡义务教育公用经费管理办法</w:t>
            </w:r>
          </w:p>
        </w:tc>
      </w:tr>
      <w:tr w14:paraId="6341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A63E5"/>
        </w:tc>
        <w:tc>
          <w:tcPr>
            <w:tcW w:w="2268" w:type="dxa"/>
            <w:vAlign w:val="center"/>
          </w:tcPr>
          <w:p w14:paraId="49D2191F">
            <w:pPr>
              <w:pStyle w:val="12"/>
            </w:pPr>
            <w:r>
              <w:t>可持续影响指标</w:t>
            </w:r>
          </w:p>
        </w:tc>
        <w:tc>
          <w:tcPr>
            <w:tcW w:w="2835" w:type="dxa"/>
            <w:vAlign w:val="center"/>
          </w:tcPr>
          <w:p w14:paraId="7EF82547">
            <w:pPr>
              <w:pStyle w:val="12"/>
            </w:pPr>
            <w:r>
              <w:t>教育发展水平</w:t>
            </w:r>
          </w:p>
        </w:tc>
        <w:tc>
          <w:tcPr>
            <w:tcW w:w="5386" w:type="dxa"/>
            <w:vAlign w:val="center"/>
          </w:tcPr>
          <w:p w14:paraId="5ABDEA41">
            <w:pPr>
              <w:pStyle w:val="12"/>
            </w:pPr>
            <w:r>
              <w:t>辖区内教育环境明显好转</w:t>
            </w:r>
          </w:p>
        </w:tc>
        <w:tc>
          <w:tcPr>
            <w:tcW w:w="2268" w:type="dxa"/>
            <w:vAlign w:val="center"/>
          </w:tcPr>
          <w:p w14:paraId="277B4411">
            <w:pPr>
              <w:pStyle w:val="12"/>
            </w:pPr>
            <w:r>
              <w:t>100%</w:t>
            </w:r>
          </w:p>
        </w:tc>
        <w:tc>
          <w:tcPr>
            <w:tcW w:w="1276" w:type="dxa"/>
            <w:vAlign w:val="center"/>
          </w:tcPr>
          <w:p w14:paraId="6A53E2C3">
            <w:pPr>
              <w:pStyle w:val="12"/>
            </w:pPr>
            <w:r>
              <w:t>城乡义务教育公用经费管理办法</w:t>
            </w:r>
          </w:p>
        </w:tc>
      </w:tr>
      <w:tr w14:paraId="1F49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100B6">
            <w:pPr>
              <w:pStyle w:val="13"/>
            </w:pPr>
            <w:r>
              <w:t>满意度指标</w:t>
            </w:r>
          </w:p>
        </w:tc>
        <w:tc>
          <w:tcPr>
            <w:tcW w:w="2268" w:type="dxa"/>
            <w:vAlign w:val="center"/>
          </w:tcPr>
          <w:p w14:paraId="641EC4C3">
            <w:pPr>
              <w:pStyle w:val="12"/>
            </w:pPr>
            <w:r>
              <w:t>服务对象满意度指标</w:t>
            </w:r>
          </w:p>
        </w:tc>
        <w:tc>
          <w:tcPr>
            <w:tcW w:w="2835" w:type="dxa"/>
            <w:vAlign w:val="center"/>
          </w:tcPr>
          <w:p w14:paraId="3889CC72">
            <w:pPr>
              <w:pStyle w:val="12"/>
            </w:pPr>
            <w:r>
              <w:t>受益学生家长及调查满意度</w:t>
            </w:r>
          </w:p>
        </w:tc>
        <w:tc>
          <w:tcPr>
            <w:tcW w:w="5386" w:type="dxa"/>
            <w:vAlign w:val="center"/>
          </w:tcPr>
          <w:p w14:paraId="2F8B71C9">
            <w:pPr>
              <w:pStyle w:val="12"/>
            </w:pPr>
            <w:r>
              <w:t>学生、教师及家长对学校保教保育工作满意度情况</w:t>
            </w:r>
          </w:p>
        </w:tc>
        <w:tc>
          <w:tcPr>
            <w:tcW w:w="2268" w:type="dxa"/>
            <w:vAlign w:val="center"/>
          </w:tcPr>
          <w:p w14:paraId="425A64CE">
            <w:pPr>
              <w:pStyle w:val="12"/>
            </w:pPr>
            <w:r>
              <w:t>≥95%</w:t>
            </w:r>
          </w:p>
        </w:tc>
        <w:tc>
          <w:tcPr>
            <w:tcW w:w="1276" w:type="dxa"/>
            <w:vAlign w:val="center"/>
          </w:tcPr>
          <w:p w14:paraId="5D6F0EBA">
            <w:pPr>
              <w:pStyle w:val="12"/>
            </w:pPr>
            <w:r>
              <w:t>城乡义务教育公用经费管理办法</w:t>
            </w:r>
          </w:p>
        </w:tc>
      </w:tr>
    </w:tbl>
    <w:p w14:paraId="7B0AF89C">
      <w:pPr>
        <w:sectPr>
          <w:pgSz w:w="16840" w:h="11900" w:orient="landscape"/>
          <w:pgMar w:top="1361" w:right="1020" w:bottom="1134" w:left="1020" w:header="720" w:footer="720" w:gutter="0"/>
          <w:cols w:space="720" w:num="1"/>
        </w:sectPr>
      </w:pPr>
    </w:p>
    <w:p w14:paraId="29AFA7C1">
      <w:pPr>
        <w:spacing w:before="0" w:after="0"/>
        <w:ind w:firstLine="560"/>
        <w:jc w:val="left"/>
        <w:outlineLvl w:val="9"/>
      </w:pPr>
      <w:r>
        <w:rPr>
          <w:rFonts w:ascii="方正仿宋_GBK" w:hAnsi="方正仿宋_GBK" w:eastAsia="方正仿宋_GBK" w:cs="方正仿宋_GBK"/>
          <w:b/>
          <w:color w:val="000000"/>
          <w:sz w:val="28"/>
        </w:rPr>
        <w:t>30、县级配套/东良校区大市口小学公用经费绩效目标表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0D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F54DE">
            <w:pPr>
              <w:pStyle w:val="11"/>
            </w:pPr>
            <w:r>
              <w:t>单位：万元</w:t>
            </w:r>
          </w:p>
        </w:tc>
      </w:tr>
      <w:tr w14:paraId="3F493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AB5B4">
            <w:pPr>
              <w:pStyle w:val="10"/>
            </w:pPr>
            <w:r>
              <w:t>项目编码</w:t>
            </w:r>
          </w:p>
        </w:tc>
        <w:tc>
          <w:tcPr>
            <w:tcW w:w="5103" w:type="dxa"/>
            <w:gridSpan w:val="2"/>
            <w:vAlign w:val="center"/>
          </w:tcPr>
          <w:p w14:paraId="22D7C009">
            <w:pPr>
              <w:pStyle w:val="12"/>
            </w:pPr>
            <w:r>
              <w:t>13052526P000004104403</w:t>
            </w:r>
          </w:p>
        </w:tc>
        <w:tc>
          <w:tcPr>
            <w:tcW w:w="2835" w:type="dxa"/>
            <w:vAlign w:val="center"/>
          </w:tcPr>
          <w:p w14:paraId="0E9A9D40">
            <w:pPr>
              <w:pStyle w:val="10"/>
            </w:pPr>
            <w:r>
              <w:t>项目名称</w:t>
            </w:r>
          </w:p>
        </w:tc>
        <w:tc>
          <w:tcPr>
            <w:tcW w:w="6095" w:type="dxa"/>
            <w:gridSpan w:val="3"/>
            <w:vAlign w:val="center"/>
          </w:tcPr>
          <w:p w14:paraId="6F35ED09">
            <w:pPr>
              <w:pStyle w:val="12"/>
            </w:pPr>
            <w:r>
              <w:t>县级配套/东良校区大市口小学公用经费</w:t>
            </w:r>
          </w:p>
        </w:tc>
      </w:tr>
      <w:tr w14:paraId="39309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CB03A">
            <w:pPr>
              <w:pStyle w:val="10"/>
            </w:pPr>
            <w:r>
              <w:t>预算规模及资金用途</w:t>
            </w:r>
          </w:p>
        </w:tc>
        <w:tc>
          <w:tcPr>
            <w:tcW w:w="2268" w:type="dxa"/>
            <w:vAlign w:val="center"/>
          </w:tcPr>
          <w:p w14:paraId="131155D8">
            <w:pPr>
              <w:pStyle w:val="10"/>
            </w:pPr>
            <w:r>
              <w:t>预算数</w:t>
            </w:r>
          </w:p>
        </w:tc>
        <w:tc>
          <w:tcPr>
            <w:tcW w:w="2835" w:type="dxa"/>
            <w:vAlign w:val="center"/>
          </w:tcPr>
          <w:p w14:paraId="767E37B9">
            <w:pPr>
              <w:pStyle w:val="12"/>
            </w:pPr>
            <w:r>
              <w:t>0.97</w:t>
            </w:r>
          </w:p>
        </w:tc>
        <w:tc>
          <w:tcPr>
            <w:tcW w:w="2835" w:type="dxa"/>
            <w:vAlign w:val="center"/>
          </w:tcPr>
          <w:p w14:paraId="0723E58F">
            <w:pPr>
              <w:pStyle w:val="10"/>
            </w:pPr>
            <w:r>
              <w:t>其中：财政    资金</w:t>
            </w:r>
          </w:p>
        </w:tc>
        <w:tc>
          <w:tcPr>
            <w:tcW w:w="2551" w:type="dxa"/>
            <w:vAlign w:val="center"/>
          </w:tcPr>
          <w:p w14:paraId="7C9E2085">
            <w:pPr>
              <w:pStyle w:val="12"/>
            </w:pPr>
            <w:r>
              <w:t>0.97</w:t>
            </w:r>
          </w:p>
        </w:tc>
        <w:tc>
          <w:tcPr>
            <w:tcW w:w="2268" w:type="dxa"/>
            <w:vAlign w:val="center"/>
          </w:tcPr>
          <w:p w14:paraId="2372343B">
            <w:pPr>
              <w:pStyle w:val="10"/>
            </w:pPr>
            <w:r>
              <w:t>其他资金</w:t>
            </w:r>
          </w:p>
        </w:tc>
        <w:tc>
          <w:tcPr>
            <w:tcW w:w="1276" w:type="dxa"/>
            <w:vAlign w:val="center"/>
          </w:tcPr>
          <w:p w14:paraId="2352147F">
            <w:pPr>
              <w:pStyle w:val="12"/>
            </w:pPr>
            <w:r>
              <w:t xml:space="preserve"> </w:t>
            </w:r>
          </w:p>
        </w:tc>
      </w:tr>
      <w:tr w14:paraId="2A9E3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7A8FF"/>
        </w:tc>
        <w:tc>
          <w:tcPr>
            <w:tcW w:w="14033" w:type="dxa"/>
            <w:gridSpan w:val="6"/>
            <w:vAlign w:val="center"/>
          </w:tcPr>
          <w:p w14:paraId="1ED968E8">
            <w:pPr>
              <w:pStyle w:val="12"/>
            </w:pPr>
            <w:r>
              <w:t>保障义务教育学校正常运转，完成教育教学活动和其他日常工作任务等方面的费用支出。</w:t>
            </w:r>
          </w:p>
        </w:tc>
      </w:tr>
      <w:tr w14:paraId="7C5DB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5B2A9">
            <w:pPr>
              <w:pStyle w:val="10"/>
            </w:pPr>
            <w:r>
              <w:t>资金支出计划（%）</w:t>
            </w:r>
          </w:p>
        </w:tc>
        <w:tc>
          <w:tcPr>
            <w:tcW w:w="5103" w:type="dxa"/>
            <w:gridSpan w:val="2"/>
            <w:vAlign w:val="center"/>
          </w:tcPr>
          <w:p w14:paraId="584FAB1A">
            <w:pPr>
              <w:pStyle w:val="10"/>
            </w:pPr>
            <w:r>
              <w:t>3月底</w:t>
            </w:r>
          </w:p>
        </w:tc>
        <w:tc>
          <w:tcPr>
            <w:tcW w:w="2835" w:type="dxa"/>
            <w:vAlign w:val="center"/>
          </w:tcPr>
          <w:p w14:paraId="6ED68BFD">
            <w:pPr>
              <w:pStyle w:val="10"/>
            </w:pPr>
            <w:r>
              <w:t>6月底</w:t>
            </w:r>
          </w:p>
        </w:tc>
        <w:tc>
          <w:tcPr>
            <w:tcW w:w="2551" w:type="dxa"/>
            <w:vAlign w:val="center"/>
          </w:tcPr>
          <w:p w14:paraId="22A49B61">
            <w:pPr>
              <w:pStyle w:val="10"/>
            </w:pPr>
            <w:r>
              <w:t>10月底</w:t>
            </w:r>
          </w:p>
        </w:tc>
        <w:tc>
          <w:tcPr>
            <w:tcW w:w="3544" w:type="dxa"/>
            <w:gridSpan w:val="2"/>
            <w:vAlign w:val="center"/>
          </w:tcPr>
          <w:p w14:paraId="22FFBC64">
            <w:pPr>
              <w:pStyle w:val="10"/>
            </w:pPr>
            <w:r>
              <w:t>12月底</w:t>
            </w:r>
          </w:p>
        </w:tc>
      </w:tr>
      <w:tr w14:paraId="6200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12D79"/>
        </w:tc>
        <w:tc>
          <w:tcPr>
            <w:tcW w:w="5103" w:type="dxa"/>
            <w:gridSpan w:val="2"/>
            <w:vAlign w:val="center"/>
          </w:tcPr>
          <w:p w14:paraId="42A37564">
            <w:pPr>
              <w:pStyle w:val="13"/>
            </w:pPr>
            <w:r>
              <w:t>25%</w:t>
            </w:r>
          </w:p>
        </w:tc>
        <w:tc>
          <w:tcPr>
            <w:tcW w:w="2835" w:type="dxa"/>
            <w:vAlign w:val="center"/>
          </w:tcPr>
          <w:p w14:paraId="022075FD">
            <w:pPr>
              <w:pStyle w:val="13"/>
            </w:pPr>
            <w:r>
              <w:t>50%</w:t>
            </w:r>
          </w:p>
        </w:tc>
        <w:tc>
          <w:tcPr>
            <w:tcW w:w="2551" w:type="dxa"/>
            <w:vAlign w:val="center"/>
          </w:tcPr>
          <w:p w14:paraId="74F625EE">
            <w:pPr>
              <w:pStyle w:val="13"/>
            </w:pPr>
            <w:r>
              <w:t>75%</w:t>
            </w:r>
          </w:p>
        </w:tc>
        <w:tc>
          <w:tcPr>
            <w:tcW w:w="3544" w:type="dxa"/>
            <w:gridSpan w:val="2"/>
            <w:vAlign w:val="center"/>
          </w:tcPr>
          <w:p w14:paraId="1705B3F6">
            <w:pPr>
              <w:pStyle w:val="13"/>
            </w:pPr>
            <w:r>
              <w:t>100%</w:t>
            </w:r>
          </w:p>
        </w:tc>
      </w:tr>
      <w:tr w14:paraId="00A7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90D14">
            <w:pPr>
              <w:pStyle w:val="10"/>
            </w:pPr>
            <w:r>
              <w:t>绩效目标</w:t>
            </w:r>
          </w:p>
        </w:tc>
        <w:tc>
          <w:tcPr>
            <w:tcW w:w="14033" w:type="dxa"/>
            <w:gridSpan w:val="6"/>
            <w:vAlign w:val="center"/>
          </w:tcPr>
          <w:p w14:paraId="41C8DB80">
            <w:pPr>
              <w:pStyle w:val="12"/>
            </w:pPr>
            <w:r>
              <w:t>1.保障义务教育学校正常运转，完成教育教学活动和其他日常工作任务等方面的费用支出。</w:t>
            </w:r>
          </w:p>
          <w:p w14:paraId="620EE24D">
            <w:pPr>
              <w:pStyle w:val="12"/>
            </w:pPr>
            <w:r>
              <w:t>2.按季度分批次拨付公用经费资金9700元，资金拨付率达到100%。</w:t>
            </w:r>
          </w:p>
        </w:tc>
      </w:tr>
    </w:tbl>
    <w:p w14:paraId="102561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2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7D45F">
            <w:pPr>
              <w:pStyle w:val="10"/>
            </w:pPr>
            <w:r>
              <w:t>一级指标</w:t>
            </w:r>
          </w:p>
        </w:tc>
        <w:tc>
          <w:tcPr>
            <w:tcW w:w="2268" w:type="dxa"/>
            <w:vAlign w:val="center"/>
          </w:tcPr>
          <w:p w14:paraId="06F30205">
            <w:pPr>
              <w:pStyle w:val="10"/>
            </w:pPr>
            <w:r>
              <w:t>二级指标</w:t>
            </w:r>
          </w:p>
        </w:tc>
        <w:tc>
          <w:tcPr>
            <w:tcW w:w="2835" w:type="dxa"/>
            <w:vAlign w:val="center"/>
          </w:tcPr>
          <w:p w14:paraId="1FD9731E">
            <w:pPr>
              <w:pStyle w:val="10"/>
            </w:pPr>
            <w:r>
              <w:t>三级指标</w:t>
            </w:r>
          </w:p>
        </w:tc>
        <w:tc>
          <w:tcPr>
            <w:tcW w:w="5386" w:type="dxa"/>
            <w:vAlign w:val="center"/>
          </w:tcPr>
          <w:p w14:paraId="437E5946">
            <w:pPr>
              <w:pStyle w:val="10"/>
            </w:pPr>
            <w:r>
              <w:t>绩效指标描述</w:t>
            </w:r>
          </w:p>
        </w:tc>
        <w:tc>
          <w:tcPr>
            <w:tcW w:w="2268" w:type="dxa"/>
            <w:vAlign w:val="center"/>
          </w:tcPr>
          <w:p w14:paraId="14ADD503">
            <w:pPr>
              <w:pStyle w:val="10"/>
            </w:pPr>
            <w:r>
              <w:t>指标值</w:t>
            </w:r>
          </w:p>
        </w:tc>
        <w:tc>
          <w:tcPr>
            <w:tcW w:w="1276" w:type="dxa"/>
            <w:vAlign w:val="center"/>
          </w:tcPr>
          <w:p w14:paraId="28D4D0D7">
            <w:pPr>
              <w:pStyle w:val="10"/>
            </w:pPr>
            <w:r>
              <w:t>指标值确定依据</w:t>
            </w:r>
          </w:p>
        </w:tc>
      </w:tr>
      <w:tr w14:paraId="7FC1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7D0CB">
            <w:pPr>
              <w:pStyle w:val="13"/>
            </w:pPr>
            <w:r>
              <w:t>产出指标</w:t>
            </w:r>
          </w:p>
        </w:tc>
        <w:tc>
          <w:tcPr>
            <w:tcW w:w="2268" w:type="dxa"/>
            <w:vAlign w:val="center"/>
          </w:tcPr>
          <w:p w14:paraId="2F0FF4F5">
            <w:pPr>
              <w:pStyle w:val="12"/>
            </w:pPr>
            <w:r>
              <w:t>数量指标</w:t>
            </w:r>
          </w:p>
        </w:tc>
        <w:tc>
          <w:tcPr>
            <w:tcW w:w="2835" w:type="dxa"/>
            <w:vAlign w:val="center"/>
          </w:tcPr>
          <w:p w14:paraId="25BC3149">
            <w:pPr>
              <w:pStyle w:val="12"/>
            </w:pPr>
            <w:r>
              <w:t>适龄在校生</w:t>
            </w:r>
          </w:p>
        </w:tc>
        <w:tc>
          <w:tcPr>
            <w:tcW w:w="5386" w:type="dxa"/>
            <w:vAlign w:val="center"/>
          </w:tcPr>
          <w:p w14:paraId="73456BFF">
            <w:pPr>
              <w:pStyle w:val="12"/>
            </w:pPr>
            <w:r>
              <w:t>适龄在校就读学生人数</w:t>
            </w:r>
          </w:p>
        </w:tc>
        <w:tc>
          <w:tcPr>
            <w:tcW w:w="2268" w:type="dxa"/>
            <w:vAlign w:val="center"/>
          </w:tcPr>
          <w:p w14:paraId="79F0A924">
            <w:pPr>
              <w:pStyle w:val="12"/>
            </w:pPr>
            <w:r>
              <w:t>102人</w:t>
            </w:r>
          </w:p>
        </w:tc>
        <w:tc>
          <w:tcPr>
            <w:tcW w:w="1276" w:type="dxa"/>
            <w:vAlign w:val="center"/>
          </w:tcPr>
          <w:p w14:paraId="44CD7DBA">
            <w:pPr>
              <w:pStyle w:val="12"/>
            </w:pPr>
            <w:r>
              <w:t>城乡义务教育公用经费管理办法</w:t>
            </w:r>
          </w:p>
        </w:tc>
      </w:tr>
      <w:tr w14:paraId="4501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1ACE8"/>
        </w:tc>
        <w:tc>
          <w:tcPr>
            <w:tcW w:w="2268" w:type="dxa"/>
            <w:vAlign w:val="center"/>
          </w:tcPr>
          <w:p w14:paraId="41AA550A">
            <w:pPr>
              <w:pStyle w:val="12"/>
            </w:pPr>
            <w:r>
              <w:t>质量指标</w:t>
            </w:r>
          </w:p>
        </w:tc>
        <w:tc>
          <w:tcPr>
            <w:tcW w:w="2835" w:type="dxa"/>
            <w:vAlign w:val="center"/>
          </w:tcPr>
          <w:p w14:paraId="10BBEC78">
            <w:pPr>
              <w:pStyle w:val="12"/>
            </w:pPr>
            <w:r>
              <w:t>公用经费拨付完成率</w:t>
            </w:r>
          </w:p>
        </w:tc>
        <w:tc>
          <w:tcPr>
            <w:tcW w:w="5386" w:type="dxa"/>
            <w:vAlign w:val="center"/>
          </w:tcPr>
          <w:p w14:paraId="52A6BF57">
            <w:pPr>
              <w:pStyle w:val="12"/>
            </w:pPr>
            <w:r>
              <w:t>公用经费拨付完成率达到需时进度</w:t>
            </w:r>
          </w:p>
        </w:tc>
        <w:tc>
          <w:tcPr>
            <w:tcW w:w="2268" w:type="dxa"/>
            <w:vAlign w:val="center"/>
          </w:tcPr>
          <w:p w14:paraId="24EB40B3">
            <w:pPr>
              <w:pStyle w:val="12"/>
            </w:pPr>
            <w:r>
              <w:t>100%</w:t>
            </w:r>
          </w:p>
        </w:tc>
        <w:tc>
          <w:tcPr>
            <w:tcW w:w="1276" w:type="dxa"/>
            <w:vAlign w:val="center"/>
          </w:tcPr>
          <w:p w14:paraId="689699CD">
            <w:pPr>
              <w:pStyle w:val="12"/>
            </w:pPr>
            <w:r>
              <w:t>城乡义务教育公用经费管理办法</w:t>
            </w:r>
          </w:p>
        </w:tc>
      </w:tr>
      <w:tr w14:paraId="5DB1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252A3"/>
        </w:tc>
        <w:tc>
          <w:tcPr>
            <w:tcW w:w="2268" w:type="dxa"/>
            <w:vAlign w:val="center"/>
          </w:tcPr>
          <w:p w14:paraId="1D6578A4">
            <w:pPr>
              <w:pStyle w:val="12"/>
            </w:pPr>
            <w:r>
              <w:t>时效指标</w:t>
            </w:r>
          </w:p>
        </w:tc>
        <w:tc>
          <w:tcPr>
            <w:tcW w:w="2835" w:type="dxa"/>
            <w:vAlign w:val="center"/>
          </w:tcPr>
          <w:p w14:paraId="5E0B1A51">
            <w:pPr>
              <w:pStyle w:val="12"/>
            </w:pPr>
            <w:r>
              <w:t>资金支付率</w:t>
            </w:r>
          </w:p>
        </w:tc>
        <w:tc>
          <w:tcPr>
            <w:tcW w:w="5386" w:type="dxa"/>
            <w:vAlign w:val="center"/>
          </w:tcPr>
          <w:p w14:paraId="722D9BF2">
            <w:pPr>
              <w:pStyle w:val="12"/>
            </w:pPr>
            <w:r>
              <w:t>按照序时进度完成资金支付</w:t>
            </w:r>
          </w:p>
        </w:tc>
        <w:tc>
          <w:tcPr>
            <w:tcW w:w="2268" w:type="dxa"/>
            <w:vAlign w:val="center"/>
          </w:tcPr>
          <w:p w14:paraId="27E6CFCC">
            <w:pPr>
              <w:pStyle w:val="12"/>
            </w:pPr>
            <w:r>
              <w:t>100%</w:t>
            </w:r>
          </w:p>
        </w:tc>
        <w:tc>
          <w:tcPr>
            <w:tcW w:w="1276" w:type="dxa"/>
            <w:vAlign w:val="center"/>
          </w:tcPr>
          <w:p w14:paraId="681518F3">
            <w:pPr>
              <w:pStyle w:val="12"/>
            </w:pPr>
            <w:r>
              <w:t>城乡义务教育公用经费管理办法</w:t>
            </w:r>
          </w:p>
        </w:tc>
      </w:tr>
      <w:tr w14:paraId="5D10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3F82"/>
        </w:tc>
        <w:tc>
          <w:tcPr>
            <w:tcW w:w="2268" w:type="dxa"/>
            <w:vAlign w:val="center"/>
          </w:tcPr>
          <w:p w14:paraId="7E131D76">
            <w:pPr>
              <w:pStyle w:val="12"/>
            </w:pPr>
            <w:r>
              <w:t>成本指标</w:t>
            </w:r>
          </w:p>
        </w:tc>
        <w:tc>
          <w:tcPr>
            <w:tcW w:w="2835" w:type="dxa"/>
            <w:vAlign w:val="center"/>
          </w:tcPr>
          <w:p w14:paraId="098F9BE8">
            <w:pPr>
              <w:pStyle w:val="12"/>
            </w:pPr>
            <w:r>
              <w:t>生均拨款标准</w:t>
            </w:r>
          </w:p>
        </w:tc>
        <w:tc>
          <w:tcPr>
            <w:tcW w:w="5386" w:type="dxa"/>
            <w:vAlign w:val="center"/>
          </w:tcPr>
          <w:p w14:paraId="64B4D181">
            <w:pPr>
              <w:pStyle w:val="12"/>
            </w:pPr>
            <w:r>
              <w:t>小学：（基本标准720元、寄宿生300元、取暖费120元）/生/学年；特教、随班就读学生：标准7000元/生/学年。</w:t>
            </w:r>
          </w:p>
        </w:tc>
        <w:tc>
          <w:tcPr>
            <w:tcW w:w="2268" w:type="dxa"/>
            <w:vAlign w:val="center"/>
          </w:tcPr>
          <w:p w14:paraId="077BE874">
            <w:pPr>
              <w:pStyle w:val="12"/>
            </w:pPr>
            <w:r>
              <w:t>840元</w:t>
            </w:r>
          </w:p>
        </w:tc>
        <w:tc>
          <w:tcPr>
            <w:tcW w:w="1276" w:type="dxa"/>
            <w:vAlign w:val="center"/>
          </w:tcPr>
          <w:p w14:paraId="2F3AE497">
            <w:pPr>
              <w:pStyle w:val="12"/>
            </w:pPr>
            <w:r>
              <w:t>城乡义务教育公用经费管理办法</w:t>
            </w:r>
          </w:p>
        </w:tc>
      </w:tr>
      <w:tr w14:paraId="6161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67D71">
            <w:pPr>
              <w:pStyle w:val="13"/>
            </w:pPr>
            <w:r>
              <w:t>效益指标</w:t>
            </w:r>
          </w:p>
        </w:tc>
        <w:tc>
          <w:tcPr>
            <w:tcW w:w="2268" w:type="dxa"/>
            <w:vAlign w:val="center"/>
          </w:tcPr>
          <w:p w14:paraId="66C1EAE1">
            <w:pPr>
              <w:pStyle w:val="12"/>
            </w:pPr>
            <w:r>
              <w:t>经济效益指标</w:t>
            </w:r>
          </w:p>
        </w:tc>
        <w:tc>
          <w:tcPr>
            <w:tcW w:w="2835" w:type="dxa"/>
            <w:vAlign w:val="center"/>
          </w:tcPr>
          <w:p w14:paraId="1BA859E9">
            <w:pPr>
              <w:pStyle w:val="12"/>
            </w:pPr>
            <w:r>
              <w:t>项目实施成果</w:t>
            </w:r>
          </w:p>
        </w:tc>
        <w:tc>
          <w:tcPr>
            <w:tcW w:w="5386" w:type="dxa"/>
            <w:vAlign w:val="center"/>
          </w:tcPr>
          <w:p w14:paraId="75E53817">
            <w:pPr>
              <w:pStyle w:val="12"/>
            </w:pPr>
            <w:r>
              <w:t>减轻受教育学生家庭经济负担</w:t>
            </w:r>
          </w:p>
        </w:tc>
        <w:tc>
          <w:tcPr>
            <w:tcW w:w="2268" w:type="dxa"/>
            <w:vAlign w:val="center"/>
          </w:tcPr>
          <w:p w14:paraId="0ADD087F">
            <w:pPr>
              <w:pStyle w:val="12"/>
            </w:pPr>
            <w:r>
              <w:t>100%</w:t>
            </w:r>
          </w:p>
        </w:tc>
        <w:tc>
          <w:tcPr>
            <w:tcW w:w="1276" w:type="dxa"/>
            <w:vAlign w:val="center"/>
          </w:tcPr>
          <w:p w14:paraId="20691E1B">
            <w:pPr>
              <w:pStyle w:val="12"/>
            </w:pPr>
            <w:r>
              <w:t>城乡义务教育公用经费管理办法</w:t>
            </w:r>
          </w:p>
        </w:tc>
      </w:tr>
      <w:tr w14:paraId="2B17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06275"/>
        </w:tc>
        <w:tc>
          <w:tcPr>
            <w:tcW w:w="2268" w:type="dxa"/>
            <w:vAlign w:val="center"/>
          </w:tcPr>
          <w:p w14:paraId="6F1B3C92">
            <w:pPr>
              <w:pStyle w:val="12"/>
            </w:pPr>
            <w:r>
              <w:t>社会效益指标</w:t>
            </w:r>
          </w:p>
        </w:tc>
        <w:tc>
          <w:tcPr>
            <w:tcW w:w="2835" w:type="dxa"/>
            <w:vAlign w:val="center"/>
          </w:tcPr>
          <w:p w14:paraId="369E6A19">
            <w:pPr>
              <w:pStyle w:val="12"/>
            </w:pPr>
            <w:r>
              <w:t>学校办学能力提升</w:t>
            </w:r>
          </w:p>
        </w:tc>
        <w:tc>
          <w:tcPr>
            <w:tcW w:w="5386" w:type="dxa"/>
            <w:vAlign w:val="center"/>
          </w:tcPr>
          <w:p w14:paraId="7E63892A">
            <w:pPr>
              <w:pStyle w:val="12"/>
            </w:pPr>
            <w:r>
              <w:t>学校办学能</w:t>
            </w:r>
            <w:r>
              <w:rPr>
                <w:rFonts w:hint="eastAsia"/>
                <w:lang w:eastAsia="zh-CN"/>
              </w:rPr>
              <w:t>力提</w:t>
            </w:r>
            <w:r>
              <w:t>升情况及教育教学工作等开展的情况</w:t>
            </w:r>
          </w:p>
        </w:tc>
        <w:tc>
          <w:tcPr>
            <w:tcW w:w="2268" w:type="dxa"/>
            <w:vAlign w:val="center"/>
          </w:tcPr>
          <w:p w14:paraId="7B9EED64">
            <w:pPr>
              <w:pStyle w:val="12"/>
            </w:pPr>
            <w:r>
              <w:t>100%</w:t>
            </w:r>
          </w:p>
        </w:tc>
        <w:tc>
          <w:tcPr>
            <w:tcW w:w="1276" w:type="dxa"/>
            <w:vAlign w:val="center"/>
          </w:tcPr>
          <w:p w14:paraId="21765029">
            <w:pPr>
              <w:pStyle w:val="12"/>
            </w:pPr>
            <w:r>
              <w:t>城乡义务教育公用经费管理办法</w:t>
            </w:r>
          </w:p>
        </w:tc>
      </w:tr>
      <w:tr w14:paraId="6DD8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D28DB"/>
        </w:tc>
        <w:tc>
          <w:tcPr>
            <w:tcW w:w="2268" w:type="dxa"/>
            <w:vAlign w:val="center"/>
          </w:tcPr>
          <w:p w14:paraId="4D73C130">
            <w:pPr>
              <w:pStyle w:val="12"/>
            </w:pPr>
            <w:r>
              <w:t>可持续影响指标</w:t>
            </w:r>
          </w:p>
        </w:tc>
        <w:tc>
          <w:tcPr>
            <w:tcW w:w="2835" w:type="dxa"/>
            <w:vAlign w:val="center"/>
          </w:tcPr>
          <w:p w14:paraId="3255D84A">
            <w:pPr>
              <w:pStyle w:val="12"/>
            </w:pPr>
            <w:r>
              <w:t>教育发展水平</w:t>
            </w:r>
          </w:p>
        </w:tc>
        <w:tc>
          <w:tcPr>
            <w:tcW w:w="5386" w:type="dxa"/>
            <w:vAlign w:val="center"/>
          </w:tcPr>
          <w:p w14:paraId="20503E5C">
            <w:pPr>
              <w:pStyle w:val="12"/>
            </w:pPr>
            <w:r>
              <w:t>辖区内教育环境明显好转</w:t>
            </w:r>
          </w:p>
        </w:tc>
        <w:tc>
          <w:tcPr>
            <w:tcW w:w="2268" w:type="dxa"/>
            <w:vAlign w:val="center"/>
          </w:tcPr>
          <w:p w14:paraId="69C9B2FB">
            <w:pPr>
              <w:pStyle w:val="12"/>
            </w:pPr>
            <w:r>
              <w:t>100%</w:t>
            </w:r>
          </w:p>
        </w:tc>
        <w:tc>
          <w:tcPr>
            <w:tcW w:w="1276" w:type="dxa"/>
            <w:vAlign w:val="center"/>
          </w:tcPr>
          <w:p w14:paraId="6ECF0DDE">
            <w:pPr>
              <w:pStyle w:val="12"/>
            </w:pPr>
            <w:r>
              <w:t>城乡义务教育公用经费管理办法</w:t>
            </w:r>
          </w:p>
        </w:tc>
      </w:tr>
      <w:tr w14:paraId="2EEF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96C7F">
            <w:pPr>
              <w:pStyle w:val="13"/>
            </w:pPr>
            <w:r>
              <w:t>满意度指标</w:t>
            </w:r>
          </w:p>
        </w:tc>
        <w:tc>
          <w:tcPr>
            <w:tcW w:w="2268" w:type="dxa"/>
            <w:vAlign w:val="center"/>
          </w:tcPr>
          <w:p w14:paraId="4C0E5216">
            <w:pPr>
              <w:pStyle w:val="12"/>
            </w:pPr>
            <w:r>
              <w:t>服务对象满意度指标</w:t>
            </w:r>
          </w:p>
        </w:tc>
        <w:tc>
          <w:tcPr>
            <w:tcW w:w="2835" w:type="dxa"/>
            <w:vAlign w:val="center"/>
          </w:tcPr>
          <w:p w14:paraId="1A929C0E">
            <w:pPr>
              <w:pStyle w:val="12"/>
            </w:pPr>
            <w:r>
              <w:t>受益学生家长及调查满意度</w:t>
            </w:r>
          </w:p>
        </w:tc>
        <w:tc>
          <w:tcPr>
            <w:tcW w:w="5386" w:type="dxa"/>
            <w:vAlign w:val="center"/>
          </w:tcPr>
          <w:p w14:paraId="7267E964">
            <w:pPr>
              <w:pStyle w:val="12"/>
            </w:pPr>
            <w:r>
              <w:t>学生、教师及家长对学校保教保育工作满意度情况</w:t>
            </w:r>
          </w:p>
        </w:tc>
        <w:tc>
          <w:tcPr>
            <w:tcW w:w="2268" w:type="dxa"/>
            <w:vAlign w:val="center"/>
          </w:tcPr>
          <w:p w14:paraId="6A9DF73A">
            <w:pPr>
              <w:pStyle w:val="12"/>
            </w:pPr>
            <w:r>
              <w:t>≥95%</w:t>
            </w:r>
          </w:p>
        </w:tc>
        <w:tc>
          <w:tcPr>
            <w:tcW w:w="1276" w:type="dxa"/>
            <w:vAlign w:val="center"/>
          </w:tcPr>
          <w:p w14:paraId="4B41952E">
            <w:pPr>
              <w:pStyle w:val="12"/>
            </w:pPr>
            <w:r>
              <w:t>城乡义务教育公用经费管理办法</w:t>
            </w:r>
          </w:p>
        </w:tc>
      </w:tr>
    </w:tbl>
    <w:p w14:paraId="39862228">
      <w:pPr>
        <w:sectPr>
          <w:pgSz w:w="16840" w:h="11900" w:orient="landscape"/>
          <w:pgMar w:top="1361" w:right="1020" w:bottom="1134" w:left="1020" w:header="720" w:footer="720" w:gutter="0"/>
          <w:cols w:space="720" w:num="1"/>
        </w:sectPr>
      </w:pPr>
    </w:p>
    <w:p w14:paraId="55D32655">
      <w:pPr>
        <w:spacing w:before="0" w:after="0"/>
        <w:ind w:firstLine="560"/>
        <w:jc w:val="left"/>
        <w:outlineLvl w:val="9"/>
      </w:pPr>
      <w:r>
        <w:rPr>
          <w:rFonts w:ascii="方正仿宋_GBK" w:hAnsi="方正仿宋_GBK" w:eastAsia="方正仿宋_GBK" w:cs="方正仿宋_GBK"/>
          <w:b/>
          <w:color w:val="000000"/>
          <w:sz w:val="28"/>
        </w:rPr>
        <w:t>31、县级配套/东良校区东良小学公用经费绩效目标表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04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D67D1">
            <w:pPr>
              <w:pStyle w:val="11"/>
            </w:pPr>
            <w:r>
              <w:t>单位：万元</w:t>
            </w:r>
          </w:p>
        </w:tc>
      </w:tr>
      <w:tr w14:paraId="70B72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56826">
            <w:pPr>
              <w:pStyle w:val="10"/>
            </w:pPr>
            <w:r>
              <w:t>项目编码</w:t>
            </w:r>
          </w:p>
        </w:tc>
        <w:tc>
          <w:tcPr>
            <w:tcW w:w="5103" w:type="dxa"/>
            <w:gridSpan w:val="2"/>
            <w:vAlign w:val="center"/>
          </w:tcPr>
          <w:p w14:paraId="30D653FD">
            <w:pPr>
              <w:pStyle w:val="12"/>
            </w:pPr>
            <w:r>
              <w:t>13052526P00000410436W</w:t>
            </w:r>
          </w:p>
        </w:tc>
        <w:tc>
          <w:tcPr>
            <w:tcW w:w="2835" w:type="dxa"/>
            <w:vAlign w:val="center"/>
          </w:tcPr>
          <w:p w14:paraId="4654104A">
            <w:pPr>
              <w:pStyle w:val="10"/>
            </w:pPr>
            <w:r>
              <w:t>项目名称</w:t>
            </w:r>
          </w:p>
        </w:tc>
        <w:tc>
          <w:tcPr>
            <w:tcW w:w="6095" w:type="dxa"/>
            <w:gridSpan w:val="3"/>
            <w:vAlign w:val="center"/>
          </w:tcPr>
          <w:p w14:paraId="337F5359">
            <w:pPr>
              <w:pStyle w:val="12"/>
            </w:pPr>
            <w:r>
              <w:t>县级配套/东良校区东良小学公用经费</w:t>
            </w:r>
          </w:p>
        </w:tc>
      </w:tr>
      <w:tr w14:paraId="12D6E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81420">
            <w:pPr>
              <w:pStyle w:val="10"/>
            </w:pPr>
            <w:r>
              <w:t>预算规模及资金用途</w:t>
            </w:r>
          </w:p>
        </w:tc>
        <w:tc>
          <w:tcPr>
            <w:tcW w:w="2268" w:type="dxa"/>
            <w:vAlign w:val="center"/>
          </w:tcPr>
          <w:p w14:paraId="1D69F8C7">
            <w:pPr>
              <w:pStyle w:val="10"/>
            </w:pPr>
            <w:r>
              <w:t>预算数</w:t>
            </w:r>
          </w:p>
        </w:tc>
        <w:tc>
          <w:tcPr>
            <w:tcW w:w="2835" w:type="dxa"/>
            <w:vAlign w:val="center"/>
          </w:tcPr>
          <w:p w14:paraId="701E0B1F">
            <w:pPr>
              <w:pStyle w:val="12"/>
            </w:pPr>
            <w:r>
              <w:t>4.19</w:t>
            </w:r>
          </w:p>
        </w:tc>
        <w:tc>
          <w:tcPr>
            <w:tcW w:w="2835" w:type="dxa"/>
            <w:vAlign w:val="center"/>
          </w:tcPr>
          <w:p w14:paraId="4110252F">
            <w:pPr>
              <w:pStyle w:val="10"/>
            </w:pPr>
            <w:r>
              <w:t>其中：财政    资金</w:t>
            </w:r>
          </w:p>
        </w:tc>
        <w:tc>
          <w:tcPr>
            <w:tcW w:w="2551" w:type="dxa"/>
            <w:vAlign w:val="center"/>
          </w:tcPr>
          <w:p w14:paraId="7BB75580">
            <w:pPr>
              <w:pStyle w:val="12"/>
            </w:pPr>
            <w:r>
              <w:t>4.19</w:t>
            </w:r>
          </w:p>
        </w:tc>
        <w:tc>
          <w:tcPr>
            <w:tcW w:w="2268" w:type="dxa"/>
            <w:vAlign w:val="center"/>
          </w:tcPr>
          <w:p w14:paraId="4B124931">
            <w:pPr>
              <w:pStyle w:val="10"/>
            </w:pPr>
            <w:r>
              <w:t>其他资金</w:t>
            </w:r>
          </w:p>
        </w:tc>
        <w:tc>
          <w:tcPr>
            <w:tcW w:w="1276" w:type="dxa"/>
            <w:vAlign w:val="center"/>
          </w:tcPr>
          <w:p w14:paraId="731552BB">
            <w:pPr>
              <w:pStyle w:val="12"/>
            </w:pPr>
            <w:r>
              <w:t xml:space="preserve"> </w:t>
            </w:r>
          </w:p>
        </w:tc>
      </w:tr>
      <w:tr w14:paraId="6232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19A1E"/>
        </w:tc>
        <w:tc>
          <w:tcPr>
            <w:tcW w:w="14033" w:type="dxa"/>
            <w:gridSpan w:val="6"/>
            <w:vAlign w:val="center"/>
          </w:tcPr>
          <w:p w14:paraId="521F4220">
            <w:pPr>
              <w:pStyle w:val="12"/>
            </w:pPr>
            <w:r>
              <w:t>保障义务教育学校正常运转，完成教育教学活动和其他日常工作任务等方面的费用支出。</w:t>
            </w:r>
          </w:p>
        </w:tc>
      </w:tr>
      <w:tr w14:paraId="0E3E1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E488C">
            <w:pPr>
              <w:pStyle w:val="10"/>
            </w:pPr>
            <w:r>
              <w:t>资金支出计划（%）</w:t>
            </w:r>
          </w:p>
        </w:tc>
        <w:tc>
          <w:tcPr>
            <w:tcW w:w="5103" w:type="dxa"/>
            <w:gridSpan w:val="2"/>
            <w:vAlign w:val="center"/>
          </w:tcPr>
          <w:p w14:paraId="238B7A1C">
            <w:pPr>
              <w:pStyle w:val="10"/>
            </w:pPr>
            <w:r>
              <w:t>3月底</w:t>
            </w:r>
          </w:p>
        </w:tc>
        <w:tc>
          <w:tcPr>
            <w:tcW w:w="2835" w:type="dxa"/>
            <w:vAlign w:val="center"/>
          </w:tcPr>
          <w:p w14:paraId="04B75473">
            <w:pPr>
              <w:pStyle w:val="10"/>
            </w:pPr>
            <w:r>
              <w:t>6月底</w:t>
            </w:r>
          </w:p>
        </w:tc>
        <w:tc>
          <w:tcPr>
            <w:tcW w:w="2551" w:type="dxa"/>
            <w:vAlign w:val="center"/>
          </w:tcPr>
          <w:p w14:paraId="17E90549">
            <w:pPr>
              <w:pStyle w:val="10"/>
            </w:pPr>
            <w:r>
              <w:t>10月底</w:t>
            </w:r>
          </w:p>
        </w:tc>
        <w:tc>
          <w:tcPr>
            <w:tcW w:w="3544" w:type="dxa"/>
            <w:gridSpan w:val="2"/>
            <w:vAlign w:val="center"/>
          </w:tcPr>
          <w:p w14:paraId="0A347E13">
            <w:pPr>
              <w:pStyle w:val="10"/>
            </w:pPr>
            <w:r>
              <w:t>12月底</w:t>
            </w:r>
          </w:p>
        </w:tc>
      </w:tr>
      <w:tr w14:paraId="22EBF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CC8CA"/>
        </w:tc>
        <w:tc>
          <w:tcPr>
            <w:tcW w:w="5103" w:type="dxa"/>
            <w:gridSpan w:val="2"/>
            <w:vAlign w:val="center"/>
          </w:tcPr>
          <w:p w14:paraId="36C5A62F">
            <w:pPr>
              <w:pStyle w:val="13"/>
            </w:pPr>
            <w:r>
              <w:t>25%</w:t>
            </w:r>
          </w:p>
        </w:tc>
        <w:tc>
          <w:tcPr>
            <w:tcW w:w="2835" w:type="dxa"/>
            <w:vAlign w:val="center"/>
          </w:tcPr>
          <w:p w14:paraId="1F87D000">
            <w:pPr>
              <w:pStyle w:val="13"/>
            </w:pPr>
            <w:r>
              <w:t>50%</w:t>
            </w:r>
          </w:p>
        </w:tc>
        <w:tc>
          <w:tcPr>
            <w:tcW w:w="2551" w:type="dxa"/>
            <w:vAlign w:val="center"/>
          </w:tcPr>
          <w:p w14:paraId="156ADF7C">
            <w:pPr>
              <w:pStyle w:val="13"/>
            </w:pPr>
            <w:r>
              <w:t>75%</w:t>
            </w:r>
          </w:p>
        </w:tc>
        <w:tc>
          <w:tcPr>
            <w:tcW w:w="3544" w:type="dxa"/>
            <w:gridSpan w:val="2"/>
            <w:vAlign w:val="center"/>
          </w:tcPr>
          <w:p w14:paraId="7B905A47">
            <w:pPr>
              <w:pStyle w:val="13"/>
            </w:pPr>
            <w:r>
              <w:t>100%</w:t>
            </w:r>
          </w:p>
        </w:tc>
      </w:tr>
      <w:tr w14:paraId="2460D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53BDA">
            <w:pPr>
              <w:pStyle w:val="10"/>
            </w:pPr>
            <w:r>
              <w:t>绩效目标</w:t>
            </w:r>
          </w:p>
        </w:tc>
        <w:tc>
          <w:tcPr>
            <w:tcW w:w="14033" w:type="dxa"/>
            <w:gridSpan w:val="6"/>
            <w:vAlign w:val="center"/>
          </w:tcPr>
          <w:p w14:paraId="2B8AB674">
            <w:pPr>
              <w:pStyle w:val="12"/>
            </w:pPr>
            <w:r>
              <w:t>1.保障义务教育学校正常运转，完成教育教学活动和其他日常工作任务等方面的费用支出。</w:t>
            </w:r>
          </w:p>
          <w:p w14:paraId="09F2D0B7">
            <w:pPr>
              <w:pStyle w:val="12"/>
            </w:pPr>
            <w:r>
              <w:t>2.按季度分批次拨付公用经费资金41900元，资金拨付率达到100%。</w:t>
            </w:r>
          </w:p>
        </w:tc>
      </w:tr>
    </w:tbl>
    <w:p w14:paraId="39219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AA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7A962">
            <w:pPr>
              <w:pStyle w:val="10"/>
            </w:pPr>
            <w:r>
              <w:t>一级指标</w:t>
            </w:r>
          </w:p>
        </w:tc>
        <w:tc>
          <w:tcPr>
            <w:tcW w:w="2268" w:type="dxa"/>
            <w:vAlign w:val="center"/>
          </w:tcPr>
          <w:p w14:paraId="7759AF8E">
            <w:pPr>
              <w:pStyle w:val="10"/>
            </w:pPr>
            <w:r>
              <w:t>二级指标</w:t>
            </w:r>
          </w:p>
        </w:tc>
        <w:tc>
          <w:tcPr>
            <w:tcW w:w="2835" w:type="dxa"/>
            <w:vAlign w:val="center"/>
          </w:tcPr>
          <w:p w14:paraId="1579938A">
            <w:pPr>
              <w:pStyle w:val="10"/>
            </w:pPr>
            <w:r>
              <w:t>三级指标</w:t>
            </w:r>
          </w:p>
        </w:tc>
        <w:tc>
          <w:tcPr>
            <w:tcW w:w="5386" w:type="dxa"/>
            <w:vAlign w:val="center"/>
          </w:tcPr>
          <w:p w14:paraId="4230E6AC">
            <w:pPr>
              <w:pStyle w:val="10"/>
            </w:pPr>
            <w:r>
              <w:t>绩效指标描述</w:t>
            </w:r>
          </w:p>
        </w:tc>
        <w:tc>
          <w:tcPr>
            <w:tcW w:w="2268" w:type="dxa"/>
            <w:vAlign w:val="center"/>
          </w:tcPr>
          <w:p w14:paraId="6C6DDA0F">
            <w:pPr>
              <w:pStyle w:val="10"/>
            </w:pPr>
            <w:r>
              <w:t>指标值</w:t>
            </w:r>
          </w:p>
        </w:tc>
        <w:tc>
          <w:tcPr>
            <w:tcW w:w="1276" w:type="dxa"/>
            <w:vAlign w:val="center"/>
          </w:tcPr>
          <w:p w14:paraId="6E15329B">
            <w:pPr>
              <w:pStyle w:val="10"/>
            </w:pPr>
            <w:r>
              <w:t>指标值确定依据</w:t>
            </w:r>
          </w:p>
        </w:tc>
      </w:tr>
      <w:tr w14:paraId="0CA5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82F4B">
            <w:pPr>
              <w:pStyle w:val="13"/>
            </w:pPr>
            <w:r>
              <w:t>产出指标</w:t>
            </w:r>
          </w:p>
        </w:tc>
        <w:tc>
          <w:tcPr>
            <w:tcW w:w="2268" w:type="dxa"/>
            <w:vAlign w:val="center"/>
          </w:tcPr>
          <w:p w14:paraId="2089EF4E">
            <w:pPr>
              <w:pStyle w:val="12"/>
            </w:pPr>
            <w:r>
              <w:t>数量指标</w:t>
            </w:r>
          </w:p>
        </w:tc>
        <w:tc>
          <w:tcPr>
            <w:tcW w:w="2835" w:type="dxa"/>
            <w:vAlign w:val="center"/>
          </w:tcPr>
          <w:p w14:paraId="7AFA4A57">
            <w:pPr>
              <w:pStyle w:val="12"/>
            </w:pPr>
            <w:r>
              <w:t>适龄在校生</w:t>
            </w:r>
          </w:p>
        </w:tc>
        <w:tc>
          <w:tcPr>
            <w:tcW w:w="5386" w:type="dxa"/>
            <w:vAlign w:val="center"/>
          </w:tcPr>
          <w:p w14:paraId="5949FE84">
            <w:pPr>
              <w:pStyle w:val="12"/>
            </w:pPr>
            <w:r>
              <w:t>适龄在校就读学生人数</w:t>
            </w:r>
          </w:p>
        </w:tc>
        <w:tc>
          <w:tcPr>
            <w:tcW w:w="2268" w:type="dxa"/>
            <w:vAlign w:val="center"/>
          </w:tcPr>
          <w:p w14:paraId="55A9F01E">
            <w:pPr>
              <w:pStyle w:val="12"/>
            </w:pPr>
            <w:r>
              <w:t>492人</w:t>
            </w:r>
          </w:p>
        </w:tc>
        <w:tc>
          <w:tcPr>
            <w:tcW w:w="1276" w:type="dxa"/>
            <w:vAlign w:val="center"/>
          </w:tcPr>
          <w:p w14:paraId="41C32D52">
            <w:pPr>
              <w:pStyle w:val="12"/>
            </w:pPr>
            <w:r>
              <w:t>城乡义务教育公用经费管理办法</w:t>
            </w:r>
          </w:p>
        </w:tc>
      </w:tr>
      <w:tr w14:paraId="6F51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D57DF"/>
        </w:tc>
        <w:tc>
          <w:tcPr>
            <w:tcW w:w="2268" w:type="dxa"/>
            <w:vAlign w:val="center"/>
          </w:tcPr>
          <w:p w14:paraId="7FBF79DA">
            <w:pPr>
              <w:pStyle w:val="12"/>
            </w:pPr>
            <w:r>
              <w:t>质量指标</w:t>
            </w:r>
          </w:p>
        </w:tc>
        <w:tc>
          <w:tcPr>
            <w:tcW w:w="2835" w:type="dxa"/>
            <w:vAlign w:val="center"/>
          </w:tcPr>
          <w:p w14:paraId="21BEF5F4">
            <w:pPr>
              <w:pStyle w:val="12"/>
            </w:pPr>
            <w:r>
              <w:t>公用经费拨付完成率</w:t>
            </w:r>
          </w:p>
        </w:tc>
        <w:tc>
          <w:tcPr>
            <w:tcW w:w="5386" w:type="dxa"/>
            <w:vAlign w:val="center"/>
          </w:tcPr>
          <w:p w14:paraId="409D3B01">
            <w:pPr>
              <w:pStyle w:val="12"/>
            </w:pPr>
            <w:r>
              <w:t>公用经费拨付完成率达到需时进度</w:t>
            </w:r>
          </w:p>
        </w:tc>
        <w:tc>
          <w:tcPr>
            <w:tcW w:w="2268" w:type="dxa"/>
            <w:vAlign w:val="center"/>
          </w:tcPr>
          <w:p w14:paraId="1ED95D9D">
            <w:pPr>
              <w:pStyle w:val="12"/>
            </w:pPr>
            <w:r>
              <w:t>100%</w:t>
            </w:r>
          </w:p>
        </w:tc>
        <w:tc>
          <w:tcPr>
            <w:tcW w:w="1276" w:type="dxa"/>
            <w:vAlign w:val="center"/>
          </w:tcPr>
          <w:p w14:paraId="257702FD">
            <w:pPr>
              <w:pStyle w:val="12"/>
            </w:pPr>
            <w:r>
              <w:t>城乡义务教育公用经费管理办法</w:t>
            </w:r>
          </w:p>
        </w:tc>
      </w:tr>
      <w:tr w14:paraId="019E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3F1FA"/>
        </w:tc>
        <w:tc>
          <w:tcPr>
            <w:tcW w:w="2268" w:type="dxa"/>
            <w:vAlign w:val="center"/>
          </w:tcPr>
          <w:p w14:paraId="456A0FA7">
            <w:pPr>
              <w:pStyle w:val="12"/>
            </w:pPr>
            <w:r>
              <w:t>时效指标</w:t>
            </w:r>
          </w:p>
        </w:tc>
        <w:tc>
          <w:tcPr>
            <w:tcW w:w="2835" w:type="dxa"/>
            <w:vAlign w:val="center"/>
          </w:tcPr>
          <w:p w14:paraId="1B5D35A2">
            <w:pPr>
              <w:pStyle w:val="12"/>
            </w:pPr>
            <w:r>
              <w:t>资金支付率</w:t>
            </w:r>
          </w:p>
        </w:tc>
        <w:tc>
          <w:tcPr>
            <w:tcW w:w="5386" w:type="dxa"/>
            <w:vAlign w:val="center"/>
          </w:tcPr>
          <w:p w14:paraId="0E47F6A2">
            <w:pPr>
              <w:pStyle w:val="12"/>
            </w:pPr>
            <w:r>
              <w:t>按照序时进度完成资金支付</w:t>
            </w:r>
          </w:p>
        </w:tc>
        <w:tc>
          <w:tcPr>
            <w:tcW w:w="2268" w:type="dxa"/>
            <w:vAlign w:val="center"/>
          </w:tcPr>
          <w:p w14:paraId="3EF8D44B">
            <w:pPr>
              <w:pStyle w:val="12"/>
            </w:pPr>
            <w:r>
              <w:t>100%</w:t>
            </w:r>
          </w:p>
        </w:tc>
        <w:tc>
          <w:tcPr>
            <w:tcW w:w="1276" w:type="dxa"/>
            <w:vAlign w:val="center"/>
          </w:tcPr>
          <w:p w14:paraId="6D0AC5C5">
            <w:pPr>
              <w:pStyle w:val="12"/>
            </w:pPr>
            <w:r>
              <w:t>城乡义务教育公用经费管理办法</w:t>
            </w:r>
          </w:p>
        </w:tc>
      </w:tr>
      <w:tr w14:paraId="2F04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B01FD"/>
        </w:tc>
        <w:tc>
          <w:tcPr>
            <w:tcW w:w="2268" w:type="dxa"/>
            <w:vAlign w:val="center"/>
          </w:tcPr>
          <w:p w14:paraId="1D6EAF30">
            <w:pPr>
              <w:pStyle w:val="12"/>
            </w:pPr>
            <w:r>
              <w:t>成本指标</w:t>
            </w:r>
          </w:p>
        </w:tc>
        <w:tc>
          <w:tcPr>
            <w:tcW w:w="2835" w:type="dxa"/>
            <w:vAlign w:val="center"/>
          </w:tcPr>
          <w:p w14:paraId="181FCD42">
            <w:pPr>
              <w:pStyle w:val="12"/>
            </w:pPr>
            <w:r>
              <w:t>生均拨款标准</w:t>
            </w:r>
          </w:p>
        </w:tc>
        <w:tc>
          <w:tcPr>
            <w:tcW w:w="5386" w:type="dxa"/>
            <w:vAlign w:val="center"/>
          </w:tcPr>
          <w:p w14:paraId="40866FFF">
            <w:pPr>
              <w:pStyle w:val="12"/>
            </w:pPr>
            <w:r>
              <w:t>小学：（基本标准720元、寄宿生300元、取暖费120元）/生/学年；特教、随班就读学生：标准7000元/生/学年。</w:t>
            </w:r>
          </w:p>
        </w:tc>
        <w:tc>
          <w:tcPr>
            <w:tcW w:w="2268" w:type="dxa"/>
            <w:vAlign w:val="center"/>
          </w:tcPr>
          <w:p w14:paraId="56A70CBD">
            <w:pPr>
              <w:pStyle w:val="12"/>
            </w:pPr>
            <w:r>
              <w:t>840元</w:t>
            </w:r>
          </w:p>
        </w:tc>
        <w:tc>
          <w:tcPr>
            <w:tcW w:w="1276" w:type="dxa"/>
            <w:vAlign w:val="center"/>
          </w:tcPr>
          <w:p w14:paraId="292AA97B">
            <w:pPr>
              <w:pStyle w:val="12"/>
            </w:pPr>
            <w:r>
              <w:t>城乡义务教育公用经费管理办法</w:t>
            </w:r>
          </w:p>
        </w:tc>
      </w:tr>
      <w:tr w14:paraId="5EA5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6D202">
            <w:pPr>
              <w:pStyle w:val="13"/>
            </w:pPr>
            <w:r>
              <w:t>效益指标</w:t>
            </w:r>
          </w:p>
        </w:tc>
        <w:tc>
          <w:tcPr>
            <w:tcW w:w="2268" w:type="dxa"/>
            <w:vAlign w:val="center"/>
          </w:tcPr>
          <w:p w14:paraId="244FDCB9">
            <w:pPr>
              <w:pStyle w:val="12"/>
            </w:pPr>
            <w:r>
              <w:t>经济效益指标</w:t>
            </w:r>
          </w:p>
        </w:tc>
        <w:tc>
          <w:tcPr>
            <w:tcW w:w="2835" w:type="dxa"/>
            <w:vAlign w:val="center"/>
          </w:tcPr>
          <w:p w14:paraId="0E85AB28">
            <w:pPr>
              <w:pStyle w:val="12"/>
            </w:pPr>
            <w:r>
              <w:t>项目实施成果</w:t>
            </w:r>
          </w:p>
        </w:tc>
        <w:tc>
          <w:tcPr>
            <w:tcW w:w="5386" w:type="dxa"/>
            <w:vAlign w:val="center"/>
          </w:tcPr>
          <w:p w14:paraId="2FB29ADD">
            <w:pPr>
              <w:pStyle w:val="12"/>
            </w:pPr>
            <w:r>
              <w:t>减轻受教育学生家庭经济负担</w:t>
            </w:r>
          </w:p>
        </w:tc>
        <w:tc>
          <w:tcPr>
            <w:tcW w:w="2268" w:type="dxa"/>
            <w:vAlign w:val="center"/>
          </w:tcPr>
          <w:p w14:paraId="57ACC6C8">
            <w:pPr>
              <w:pStyle w:val="12"/>
            </w:pPr>
            <w:r>
              <w:t>100%</w:t>
            </w:r>
          </w:p>
        </w:tc>
        <w:tc>
          <w:tcPr>
            <w:tcW w:w="1276" w:type="dxa"/>
            <w:vAlign w:val="center"/>
          </w:tcPr>
          <w:p w14:paraId="6A0B7273">
            <w:pPr>
              <w:pStyle w:val="12"/>
            </w:pPr>
            <w:r>
              <w:t>城乡义务教育公用经费管理办法</w:t>
            </w:r>
          </w:p>
        </w:tc>
      </w:tr>
      <w:tr w14:paraId="337C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8BE11"/>
        </w:tc>
        <w:tc>
          <w:tcPr>
            <w:tcW w:w="2268" w:type="dxa"/>
            <w:vAlign w:val="center"/>
          </w:tcPr>
          <w:p w14:paraId="60102DF8">
            <w:pPr>
              <w:pStyle w:val="12"/>
            </w:pPr>
            <w:r>
              <w:t>社会效益指标</w:t>
            </w:r>
          </w:p>
        </w:tc>
        <w:tc>
          <w:tcPr>
            <w:tcW w:w="2835" w:type="dxa"/>
            <w:vAlign w:val="center"/>
          </w:tcPr>
          <w:p w14:paraId="5ABB42E1">
            <w:pPr>
              <w:pStyle w:val="12"/>
            </w:pPr>
            <w:r>
              <w:t>学校办学能力提升</w:t>
            </w:r>
          </w:p>
        </w:tc>
        <w:tc>
          <w:tcPr>
            <w:tcW w:w="5386" w:type="dxa"/>
            <w:vAlign w:val="center"/>
          </w:tcPr>
          <w:p w14:paraId="57DC85DF">
            <w:pPr>
              <w:pStyle w:val="12"/>
            </w:pPr>
            <w:r>
              <w:t>学校办学能</w:t>
            </w:r>
            <w:r>
              <w:rPr>
                <w:rFonts w:hint="eastAsia"/>
                <w:lang w:eastAsia="zh-CN"/>
              </w:rPr>
              <w:t>力提</w:t>
            </w:r>
            <w:r>
              <w:t>升情况及教育教学工作等开展的情况</w:t>
            </w:r>
          </w:p>
        </w:tc>
        <w:tc>
          <w:tcPr>
            <w:tcW w:w="2268" w:type="dxa"/>
            <w:vAlign w:val="center"/>
          </w:tcPr>
          <w:p w14:paraId="15DC186C">
            <w:pPr>
              <w:pStyle w:val="12"/>
            </w:pPr>
            <w:r>
              <w:t>100%</w:t>
            </w:r>
          </w:p>
        </w:tc>
        <w:tc>
          <w:tcPr>
            <w:tcW w:w="1276" w:type="dxa"/>
            <w:vAlign w:val="center"/>
          </w:tcPr>
          <w:p w14:paraId="0EC90888">
            <w:pPr>
              <w:pStyle w:val="12"/>
            </w:pPr>
            <w:r>
              <w:t>城乡义务教育公用经费管理办法</w:t>
            </w:r>
          </w:p>
        </w:tc>
      </w:tr>
      <w:tr w14:paraId="69A1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FDB65"/>
        </w:tc>
        <w:tc>
          <w:tcPr>
            <w:tcW w:w="2268" w:type="dxa"/>
            <w:vAlign w:val="center"/>
          </w:tcPr>
          <w:p w14:paraId="59860076">
            <w:pPr>
              <w:pStyle w:val="12"/>
            </w:pPr>
            <w:r>
              <w:t>可持续影响指标</w:t>
            </w:r>
          </w:p>
        </w:tc>
        <w:tc>
          <w:tcPr>
            <w:tcW w:w="2835" w:type="dxa"/>
            <w:vAlign w:val="center"/>
          </w:tcPr>
          <w:p w14:paraId="0FF565F6">
            <w:pPr>
              <w:pStyle w:val="12"/>
            </w:pPr>
            <w:r>
              <w:t>教育发展水平</w:t>
            </w:r>
          </w:p>
        </w:tc>
        <w:tc>
          <w:tcPr>
            <w:tcW w:w="5386" w:type="dxa"/>
            <w:vAlign w:val="center"/>
          </w:tcPr>
          <w:p w14:paraId="4AAC5BF3">
            <w:pPr>
              <w:pStyle w:val="12"/>
            </w:pPr>
            <w:r>
              <w:t>辖区内教育环境明显好转</w:t>
            </w:r>
          </w:p>
        </w:tc>
        <w:tc>
          <w:tcPr>
            <w:tcW w:w="2268" w:type="dxa"/>
            <w:vAlign w:val="center"/>
          </w:tcPr>
          <w:p w14:paraId="314E122C">
            <w:pPr>
              <w:pStyle w:val="12"/>
            </w:pPr>
            <w:r>
              <w:t>100%</w:t>
            </w:r>
          </w:p>
        </w:tc>
        <w:tc>
          <w:tcPr>
            <w:tcW w:w="1276" w:type="dxa"/>
            <w:vAlign w:val="center"/>
          </w:tcPr>
          <w:p w14:paraId="41D5FF44">
            <w:pPr>
              <w:pStyle w:val="12"/>
            </w:pPr>
            <w:r>
              <w:t>城乡义务教育公用经费管理办法</w:t>
            </w:r>
          </w:p>
        </w:tc>
      </w:tr>
      <w:tr w14:paraId="110B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1289E">
            <w:pPr>
              <w:pStyle w:val="13"/>
            </w:pPr>
            <w:r>
              <w:t>满意度指标</w:t>
            </w:r>
          </w:p>
        </w:tc>
        <w:tc>
          <w:tcPr>
            <w:tcW w:w="2268" w:type="dxa"/>
            <w:vAlign w:val="center"/>
          </w:tcPr>
          <w:p w14:paraId="178D3625">
            <w:pPr>
              <w:pStyle w:val="12"/>
            </w:pPr>
            <w:r>
              <w:t>服务对象满意度指标</w:t>
            </w:r>
          </w:p>
        </w:tc>
        <w:tc>
          <w:tcPr>
            <w:tcW w:w="2835" w:type="dxa"/>
            <w:vAlign w:val="center"/>
          </w:tcPr>
          <w:p w14:paraId="1C1D3FC3">
            <w:pPr>
              <w:pStyle w:val="12"/>
            </w:pPr>
            <w:r>
              <w:t>受益学生家长及调查满意度</w:t>
            </w:r>
          </w:p>
        </w:tc>
        <w:tc>
          <w:tcPr>
            <w:tcW w:w="5386" w:type="dxa"/>
            <w:vAlign w:val="center"/>
          </w:tcPr>
          <w:p w14:paraId="62F38CDA">
            <w:pPr>
              <w:pStyle w:val="12"/>
            </w:pPr>
            <w:r>
              <w:t>学生、教师及家长对学校保教保育工作满意度情况</w:t>
            </w:r>
          </w:p>
        </w:tc>
        <w:tc>
          <w:tcPr>
            <w:tcW w:w="2268" w:type="dxa"/>
            <w:vAlign w:val="center"/>
          </w:tcPr>
          <w:p w14:paraId="0AB4CCBC">
            <w:pPr>
              <w:pStyle w:val="12"/>
            </w:pPr>
            <w:r>
              <w:t>≥95%</w:t>
            </w:r>
          </w:p>
        </w:tc>
        <w:tc>
          <w:tcPr>
            <w:tcW w:w="1276" w:type="dxa"/>
            <w:vAlign w:val="center"/>
          </w:tcPr>
          <w:p w14:paraId="29F72A5A">
            <w:pPr>
              <w:pStyle w:val="12"/>
            </w:pPr>
            <w:r>
              <w:t>城乡义务教育公用经费管理办法</w:t>
            </w:r>
          </w:p>
        </w:tc>
      </w:tr>
    </w:tbl>
    <w:p w14:paraId="41EB9DEB">
      <w:pPr>
        <w:sectPr>
          <w:pgSz w:w="16840" w:h="11900" w:orient="landscape"/>
          <w:pgMar w:top="1361" w:right="1020" w:bottom="1134" w:left="1020" w:header="720" w:footer="720" w:gutter="0"/>
          <w:cols w:space="720" w:num="1"/>
        </w:sectPr>
      </w:pPr>
    </w:p>
    <w:p w14:paraId="0F2A26C3">
      <w:pPr>
        <w:spacing w:before="0" w:after="0"/>
        <w:ind w:firstLine="560"/>
        <w:jc w:val="left"/>
        <w:outlineLvl w:val="9"/>
      </w:pPr>
      <w:r>
        <w:rPr>
          <w:rFonts w:ascii="方正仿宋_GBK" w:hAnsi="方正仿宋_GBK" w:eastAsia="方正仿宋_GBK" w:cs="方正仿宋_GBK"/>
          <w:b/>
          <w:color w:val="000000"/>
          <w:sz w:val="28"/>
        </w:rPr>
        <w:t>32、县级配套/东良校区高村小学公用经费绩效目标表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F8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996FD">
            <w:pPr>
              <w:pStyle w:val="11"/>
            </w:pPr>
            <w:r>
              <w:t>单位：万元</w:t>
            </w:r>
          </w:p>
        </w:tc>
      </w:tr>
      <w:tr w14:paraId="1E013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3F005">
            <w:pPr>
              <w:pStyle w:val="10"/>
            </w:pPr>
            <w:r>
              <w:t>项目编码</w:t>
            </w:r>
          </w:p>
        </w:tc>
        <w:tc>
          <w:tcPr>
            <w:tcW w:w="5103" w:type="dxa"/>
            <w:gridSpan w:val="2"/>
            <w:vAlign w:val="center"/>
          </w:tcPr>
          <w:p w14:paraId="1C41BC73">
            <w:pPr>
              <w:pStyle w:val="12"/>
            </w:pPr>
            <w:r>
              <w:t>13052526P00000410437G</w:t>
            </w:r>
          </w:p>
        </w:tc>
        <w:tc>
          <w:tcPr>
            <w:tcW w:w="2835" w:type="dxa"/>
            <w:vAlign w:val="center"/>
          </w:tcPr>
          <w:p w14:paraId="7BC4C6F8">
            <w:pPr>
              <w:pStyle w:val="10"/>
            </w:pPr>
            <w:r>
              <w:t>项目名称</w:t>
            </w:r>
          </w:p>
        </w:tc>
        <w:tc>
          <w:tcPr>
            <w:tcW w:w="6095" w:type="dxa"/>
            <w:gridSpan w:val="3"/>
            <w:vAlign w:val="center"/>
          </w:tcPr>
          <w:p w14:paraId="73F3A54B">
            <w:pPr>
              <w:pStyle w:val="12"/>
            </w:pPr>
            <w:r>
              <w:t>县级配套/东良校区高村小学公用经费</w:t>
            </w:r>
          </w:p>
        </w:tc>
      </w:tr>
      <w:tr w14:paraId="6AFD2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FDB47">
            <w:pPr>
              <w:pStyle w:val="10"/>
            </w:pPr>
            <w:r>
              <w:t>预算规模及资金用途</w:t>
            </w:r>
          </w:p>
        </w:tc>
        <w:tc>
          <w:tcPr>
            <w:tcW w:w="2268" w:type="dxa"/>
            <w:vAlign w:val="center"/>
          </w:tcPr>
          <w:p w14:paraId="4B37DC4D">
            <w:pPr>
              <w:pStyle w:val="10"/>
            </w:pPr>
            <w:r>
              <w:t>预算数</w:t>
            </w:r>
          </w:p>
        </w:tc>
        <w:tc>
          <w:tcPr>
            <w:tcW w:w="2835" w:type="dxa"/>
            <w:vAlign w:val="center"/>
          </w:tcPr>
          <w:p w14:paraId="25EF2595">
            <w:pPr>
              <w:pStyle w:val="12"/>
            </w:pPr>
            <w:r>
              <w:t>1.40</w:t>
            </w:r>
          </w:p>
        </w:tc>
        <w:tc>
          <w:tcPr>
            <w:tcW w:w="2835" w:type="dxa"/>
            <w:vAlign w:val="center"/>
          </w:tcPr>
          <w:p w14:paraId="6F434837">
            <w:pPr>
              <w:pStyle w:val="10"/>
            </w:pPr>
            <w:r>
              <w:t>其中：财政    资金</w:t>
            </w:r>
          </w:p>
        </w:tc>
        <w:tc>
          <w:tcPr>
            <w:tcW w:w="2551" w:type="dxa"/>
            <w:vAlign w:val="center"/>
          </w:tcPr>
          <w:p w14:paraId="5C7D2650">
            <w:pPr>
              <w:pStyle w:val="12"/>
            </w:pPr>
            <w:r>
              <w:t>1.40</w:t>
            </w:r>
          </w:p>
        </w:tc>
        <w:tc>
          <w:tcPr>
            <w:tcW w:w="2268" w:type="dxa"/>
            <w:vAlign w:val="center"/>
          </w:tcPr>
          <w:p w14:paraId="535050B5">
            <w:pPr>
              <w:pStyle w:val="10"/>
            </w:pPr>
            <w:r>
              <w:t>其他资金</w:t>
            </w:r>
          </w:p>
        </w:tc>
        <w:tc>
          <w:tcPr>
            <w:tcW w:w="1276" w:type="dxa"/>
            <w:vAlign w:val="center"/>
          </w:tcPr>
          <w:p w14:paraId="0EB06093">
            <w:pPr>
              <w:pStyle w:val="12"/>
            </w:pPr>
            <w:r>
              <w:t xml:space="preserve"> </w:t>
            </w:r>
          </w:p>
        </w:tc>
      </w:tr>
      <w:tr w14:paraId="07CF5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2580D"/>
        </w:tc>
        <w:tc>
          <w:tcPr>
            <w:tcW w:w="14033" w:type="dxa"/>
            <w:gridSpan w:val="6"/>
            <w:vAlign w:val="center"/>
          </w:tcPr>
          <w:p w14:paraId="4DD5ADB7">
            <w:pPr>
              <w:pStyle w:val="12"/>
            </w:pPr>
            <w:r>
              <w:t>保障义务教育学校正常运转，完成教育教学活动和其他日常工作任务等方面的费用支出。</w:t>
            </w:r>
          </w:p>
        </w:tc>
      </w:tr>
      <w:tr w14:paraId="0BA01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C195D">
            <w:pPr>
              <w:pStyle w:val="10"/>
            </w:pPr>
            <w:r>
              <w:t>资金支出计划（%）</w:t>
            </w:r>
          </w:p>
        </w:tc>
        <w:tc>
          <w:tcPr>
            <w:tcW w:w="5103" w:type="dxa"/>
            <w:gridSpan w:val="2"/>
            <w:vAlign w:val="center"/>
          </w:tcPr>
          <w:p w14:paraId="251F4337">
            <w:pPr>
              <w:pStyle w:val="10"/>
            </w:pPr>
            <w:r>
              <w:t>3月底</w:t>
            </w:r>
          </w:p>
        </w:tc>
        <w:tc>
          <w:tcPr>
            <w:tcW w:w="2835" w:type="dxa"/>
            <w:vAlign w:val="center"/>
          </w:tcPr>
          <w:p w14:paraId="2B2DE990">
            <w:pPr>
              <w:pStyle w:val="10"/>
            </w:pPr>
            <w:r>
              <w:t>6月底</w:t>
            </w:r>
          </w:p>
        </w:tc>
        <w:tc>
          <w:tcPr>
            <w:tcW w:w="2551" w:type="dxa"/>
            <w:vAlign w:val="center"/>
          </w:tcPr>
          <w:p w14:paraId="7B358DF6">
            <w:pPr>
              <w:pStyle w:val="10"/>
            </w:pPr>
            <w:r>
              <w:t>10月底</w:t>
            </w:r>
          </w:p>
        </w:tc>
        <w:tc>
          <w:tcPr>
            <w:tcW w:w="3544" w:type="dxa"/>
            <w:gridSpan w:val="2"/>
            <w:vAlign w:val="center"/>
          </w:tcPr>
          <w:p w14:paraId="7699F5F8">
            <w:pPr>
              <w:pStyle w:val="10"/>
            </w:pPr>
            <w:r>
              <w:t>12月底</w:t>
            </w:r>
          </w:p>
        </w:tc>
      </w:tr>
      <w:tr w14:paraId="1CE77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7CD02"/>
        </w:tc>
        <w:tc>
          <w:tcPr>
            <w:tcW w:w="5103" w:type="dxa"/>
            <w:gridSpan w:val="2"/>
            <w:vAlign w:val="center"/>
          </w:tcPr>
          <w:p w14:paraId="66823BE2">
            <w:pPr>
              <w:pStyle w:val="13"/>
            </w:pPr>
            <w:r>
              <w:t>25%</w:t>
            </w:r>
          </w:p>
        </w:tc>
        <w:tc>
          <w:tcPr>
            <w:tcW w:w="2835" w:type="dxa"/>
            <w:vAlign w:val="center"/>
          </w:tcPr>
          <w:p w14:paraId="011FE70E">
            <w:pPr>
              <w:pStyle w:val="13"/>
            </w:pPr>
            <w:r>
              <w:t>50%</w:t>
            </w:r>
          </w:p>
        </w:tc>
        <w:tc>
          <w:tcPr>
            <w:tcW w:w="2551" w:type="dxa"/>
            <w:vAlign w:val="center"/>
          </w:tcPr>
          <w:p w14:paraId="0D550A4D">
            <w:pPr>
              <w:pStyle w:val="13"/>
            </w:pPr>
            <w:r>
              <w:t>75%</w:t>
            </w:r>
          </w:p>
        </w:tc>
        <w:tc>
          <w:tcPr>
            <w:tcW w:w="3544" w:type="dxa"/>
            <w:gridSpan w:val="2"/>
            <w:vAlign w:val="center"/>
          </w:tcPr>
          <w:p w14:paraId="1E042FF2">
            <w:pPr>
              <w:pStyle w:val="13"/>
            </w:pPr>
            <w:r>
              <w:t>100%</w:t>
            </w:r>
          </w:p>
        </w:tc>
      </w:tr>
      <w:tr w14:paraId="0257F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C2E49">
            <w:pPr>
              <w:pStyle w:val="10"/>
            </w:pPr>
            <w:r>
              <w:t>绩效目标</w:t>
            </w:r>
          </w:p>
        </w:tc>
        <w:tc>
          <w:tcPr>
            <w:tcW w:w="14033" w:type="dxa"/>
            <w:gridSpan w:val="6"/>
            <w:vAlign w:val="center"/>
          </w:tcPr>
          <w:p w14:paraId="6A919E4A">
            <w:pPr>
              <w:pStyle w:val="12"/>
            </w:pPr>
            <w:r>
              <w:t>1.保障义务教育学校正常运转，完成教育教学活动和其他日常工作任务等方面的费用支出。</w:t>
            </w:r>
          </w:p>
          <w:p w14:paraId="1D8BAF6F">
            <w:pPr>
              <w:pStyle w:val="12"/>
            </w:pPr>
            <w:r>
              <w:t>2.按季度分批次拨付公用经费资金13960元，资金拨付率达到100%。</w:t>
            </w:r>
          </w:p>
        </w:tc>
      </w:tr>
    </w:tbl>
    <w:p w14:paraId="32ACA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0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9F74F">
            <w:pPr>
              <w:pStyle w:val="10"/>
            </w:pPr>
            <w:r>
              <w:t>一级指标</w:t>
            </w:r>
          </w:p>
        </w:tc>
        <w:tc>
          <w:tcPr>
            <w:tcW w:w="2268" w:type="dxa"/>
            <w:vAlign w:val="center"/>
          </w:tcPr>
          <w:p w14:paraId="193BDC67">
            <w:pPr>
              <w:pStyle w:val="10"/>
            </w:pPr>
            <w:r>
              <w:t>二级指标</w:t>
            </w:r>
          </w:p>
        </w:tc>
        <w:tc>
          <w:tcPr>
            <w:tcW w:w="2835" w:type="dxa"/>
            <w:vAlign w:val="center"/>
          </w:tcPr>
          <w:p w14:paraId="4F1BA80A">
            <w:pPr>
              <w:pStyle w:val="10"/>
            </w:pPr>
            <w:r>
              <w:t>三级指标</w:t>
            </w:r>
          </w:p>
        </w:tc>
        <w:tc>
          <w:tcPr>
            <w:tcW w:w="5386" w:type="dxa"/>
            <w:vAlign w:val="center"/>
          </w:tcPr>
          <w:p w14:paraId="357EA0CE">
            <w:pPr>
              <w:pStyle w:val="10"/>
            </w:pPr>
            <w:r>
              <w:t>绩效指标描述</w:t>
            </w:r>
          </w:p>
        </w:tc>
        <w:tc>
          <w:tcPr>
            <w:tcW w:w="2268" w:type="dxa"/>
            <w:vAlign w:val="center"/>
          </w:tcPr>
          <w:p w14:paraId="7AD30545">
            <w:pPr>
              <w:pStyle w:val="10"/>
            </w:pPr>
            <w:r>
              <w:t>指标值</w:t>
            </w:r>
          </w:p>
        </w:tc>
        <w:tc>
          <w:tcPr>
            <w:tcW w:w="1276" w:type="dxa"/>
            <w:vAlign w:val="center"/>
          </w:tcPr>
          <w:p w14:paraId="3831C0FA">
            <w:pPr>
              <w:pStyle w:val="10"/>
            </w:pPr>
            <w:r>
              <w:t>指标值确定依据</w:t>
            </w:r>
          </w:p>
        </w:tc>
      </w:tr>
      <w:tr w14:paraId="418F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63676">
            <w:pPr>
              <w:pStyle w:val="13"/>
            </w:pPr>
            <w:r>
              <w:t>产出指标</w:t>
            </w:r>
          </w:p>
        </w:tc>
        <w:tc>
          <w:tcPr>
            <w:tcW w:w="2268" w:type="dxa"/>
            <w:vAlign w:val="center"/>
          </w:tcPr>
          <w:p w14:paraId="387A3BA0">
            <w:pPr>
              <w:pStyle w:val="12"/>
            </w:pPr>
            <w:r>
              <w:t>数量指标</w:t>
            </w:r>
          </w:p>
        </w:tc>
        <w:tc>
          <w:tcPr>
            <w:tcW w:w="2835" w:type="dxa"/>
            <w:vAlign w:val="center"/>
          </w:tcPr>
          <w:p w14:paraId="696A0741">
            <w:pPr>
              <w:pStyle w:val="12"/>
            </w:pPr>
            <w:r>
              <w:t>适龄在校生</w:t>
            </w:r>
          </w:p>
        </w:tc>
        <w:tc>
          <w:tcPr>
            <w:tcW w:w="5386" w:type="dxa"/>
            <w:vAlign w:val="center"/>
          </w:tcPr>
          <w:p w14:paraId="19A4950C">
            <w:pPr>
              <w:pStyle w:val="12"/>
            </w:pPr>
            <w:r>
              <w:t>适龄在校就读学生人数</w:t>
            </w:r>
          </w:p>
        </w:tc>
        <w:tc>
          <w:tcPr>
            <w:tcW w:w="2268" w:type="dxa"/>
            <w:vAlign w:val="center"/>
          </w:tcPr>
          <w:p w14:paraId="28E2A113">
            <w:pPr>
              <w:pStyle w:val="12"/>
            </w:pPr>
            <w:r>
              <w:t>169人</w:t>
            </w:r>
          </w:p>
        </w:tc>
        <w:tc>
          <w:tcPr>
            <w:tcW w:w="1276" w:type="dxa"/>
            <w:vAlign w:val="center"/>
          </w:tcPr>
          <w:p w14:paraId="56F49E00">
            <w:pPr>
              <w:pStyle w:val="12"/>
            </w:pPr>
            <w:r>
              <w:t>城乡义务教育公用经费管理办法</w:t>
            </w:r>
          </w:p>
        </w:tc>
      </w:tr>
      <w:tr w14:paraId="6E41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339FF"/>
        </w:tc>
        <w:tc>
          <w:tcPr>
            <w:tcW w:w="2268" w:type="dxa"/>
            <w:vAlign w:val="center"/>
          </w:tcPr>
          <w:p w14:paraId="097E7038">
            <w:pPr>
              <w:pStyle w:val="12"/>
            </w:pPr>
            <w:r>
              <w:t>质量指标</w:t>
            </w:r>
          </w:p>
        </w:tc>
        <w:tc>
          <w:tcPr>
            <w:tcW w:w="2835" w:type="dxa"/>
            <w:vAlign w:val="center"/>
          </w:tcPr>
          <w:p w14:paraId="3BB6E8D8">
            <w:pPr>
              <w:pStyle w:val="12"/>
            </w:pPr>
            <w:r>
              <w:t>公用经费拨付完成率</w:t>
            </w:r>
          </w:p>
        </w:tc>
        <w:tc>
          <w:tcPr>
            <w:tcW w:w="5386" w:type="dxa"/>
            <w:vAlign w:val="center"/>
          </w:tcPr>
          <w:p w14:paraId="050BD436">
            <w:pPr>
              <w:pStyle w:val="12"/>
            </w:pPr>
            <w:r>
              <w:t>公用经费拨付完成率达到需时进度</w:t>
            </w:r>
          </w:p>
        </w:tc>
        <w:tc>
          <w:tcPr>
            <w:tcW w:w="2268" w:type="dxa"/>
            <w:vAlign w:val="center"/>
          </w:tcPr>
          <w:p w14:paraId="2CE78F6A">
            <w:pPr>
              <w:pStyle w:val="12"/>
            </w:pPr>
            <w:r>
              <w:t>100%</w:t>
            </w:r>
          </w:p>
        </w:tc>
        <w:tc>
          <w:tcPr>
            <w:tcW w:w="1276" w:type="dxa"/>
            <w:vAlign w:val="center"/>
          </w:tcPr>
          <w:p w14:paraId="3673212D">
            <w:pPr>
              <w:pStyle w:val="12"/>
            </w:pPr>
            <w:r>
              <w:t>城乡义务教育公用经费管理办法</w:t>
            </w:r>
          </w:p>
        </w:tc>
      </w:tr>
      <w:tr w14:paraId="7172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4CA24"/>
        </w:tc>
        <w:tc>
          <w:tcPr>
            <w:tcW w:w="2268" w:type="dxa"/>
            <w:vAlign w:val="center"/>
          </w:tcPr>
          <w:p w14:paraId="4D976C1B">
            <w:pPr>
              <w:pStyle w:val="12"/>
            </w:pPr>
            <w:r>
              <w:t>时效指标</w:t>
            </w:r>
          </w:p>
        </w:tc>
        <w:tc>
          <w:tcPr>
            <w:tcW w:w="2835" w:type="dxa"/>
            <w:vAlign w:val="center"/>
          </w:tcPr>
          <w:p w14:paraId="0ABDAAC5">
            <w:pPr>
              <w:pStyle w:val="12"/>
            </w:pPr>
            <w:r>
              <w:t>资金支付率</w:t>
            </w:r>
          </w:p>
        </w:tc>
        <w:tc>
          <w:tcPr>
            <w:tcW w:w="5386" w:type="dxa"/>
            <w:vAlign w:val="center"/>
          </w:tcPr>
          <w:p w14:paraId="5AD2821F">
            <w:pPr>
              <w:pStyle w:val="12"/>
            </w:pPr>
            <w:r>
              <w:t>按照序时进度完成资金支付</w:t>
            </w:r>
          </w:p>
        </w:tc>
        <w:tc>
          <w:tcPr>
            <w:tcW w:w="2268" w:type="dxa"/>
            <w:vAlign w:val="center"/>
          </w:tcPr>
          <w:p w14:paraId="5A6C74F1">
            <w:pPr>
              <w:pStyle w:val="12"/>
            </w:pPr>
            <w:r>
              <w:t>100%</w:t>
            </w:r>
          </w:p>
        </w:tc>
        <w:tc>
          <w:tcPr>
            <w:tcW w:w="1276" w:type="dxa"/>
            <w:vAlign w:val="center"/>
          </w:tcPr>
          <w:p w14:paraId="0BDA6385">
            <w:pPr>
              <w:pStyle w:val="12"/>
            </w:pPr>
            <w:r>
              <w:t>城乡义务教育公用经费管理办法</w:t>
            </w:r>
          </w:p>
        </w:tc>
      </w:tr>
      <w:tr w14:paraId="156B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A5E89"/>
        </w:tc>
        <w:tc>
          <w:tcPr>
            <w:tcW w:w="2268" w:type="dxa"/>
            <w:vAlign w:val="center"/>
          </w:tcPr>
          <w:p w14:paraId="5336ED94">
            <w:pPr>
              <w:pStyle w:val="12"/>
            </w:pPr>
            <w:r>
              <w:t>成本指标</w:t>
            </w:r>
          </w:p>
        </w:tc>
        <w:tc>
          <w:tcPr>
            <w:tcW w:w="2835" w:type="dxa"/>
            <w:vAlign w:val="center"/>
          </w:tcPr>
          <w:p w14:paraId="04F45D52">
            <w:pPr>
              <w:pStyle w:val="12"/>
            </w:pPr>
            <w:r>
              <w:t>生均拨款标准</w:t>
            </w:r>
          </w:p>
        </w:tc>
        <w:tc>
          <w:tcPr>
            <w:tcW w:w="5386" w:type="dxa"/>
            <w:vAlign w:val="center"/>
          </w:tcPr>
          <w:p w14:paraId="7EA04847">
            <w:pPr>
              <w:pStyle w:val="12"/>
            </w:pPr>
            <w:r>
              <w:t>小学：（基本标准720元、寄宿生300元、取暖费120元）/生/学年；特教、随班就读学生：标准7000元/生/学年。</w:t>
            </w:r>
          </w:p>
        </w:tc>
        <w:tc>
          <w:tcPr>
            <w:tcW w:w="2268" w:type="dxa"/>
            <w:vAlign w:val="center"/>
          </w:tcPr>
          <w:p w14:paraId="7B75F706">
            <w:pPr>
              <w:pStyle w:val="12"/>
            </w:pPr>
            <w:r>
              <w:t>840元</w:t>
            </w:r>
          </w:p>
        </w:tc>
        <w:tc>
          <w:tcPr>
            <w:tcW w:w="1276" w:type="dxa"/>
            <w:vAlign w:val="center"/>
          </w:tcPr>
          <w:p w14:paraId="53E8F956">
            <w:pPr>
              <w:pStyle w:val="12"/>
            </w:pPr>
            <w:r>
              <w:t>城乡义务教育公用经费管理办法</w:t>
            </w:r>
          </w:p>
        </w:tc>
      </w:tr>
      <w:tr w14:paraId="0C28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51882">
            <w:pPr>
              <w:pStyle w:val="13"/>
            </w:pPr>
            <w:r>
              <w:t>效益指标</w:t>
            </w:r>
          </w:p>
        </w:tc>
        <w:tc>
          <w:tcPr>
            <w:tcW w:w="2268" w:type="dxa"/>
            <w:vAlign w:val="center"/>
          </w:tcPr>
          <w:p w14:paraId="5589C5B9">
            <w:pPr>
              <w:pStyle w:val="12"/>
            </w:pPr>
            <w:r>
              <w:t>经济效益指标</w:t>
            </w:r>
          </w:p>
        </w:tc>
        <w:tc>
          <w:tcPr>
            <w:tcW w:w="2835" w:type="dxa"/>
            <w:vAlign w:val="center"/>
          </w:tcPr>
          <w:p w14:paraId="18AE7897">
            <w:pPr>
              <w:pStyle w:val="12"/>
            </w:pPr>
            <w:r>
              <w:t>项目实施成果</w:t>
            </w:r>
          </w:p>
        </w:tc>
        <w:tc>
          <w:tcPr>
            <w:tcW w:w="5386" w:type="dxa"/>
            <w:vAlign w:val="center"/>
          </w:tcPr>
          <w:p w14:paraId="579B5453">
            <w:pPr>
              <w:pStyle w:val="12"/>
            </w:pPr>
            <w:r>
              <w:t>减轻受教育学生家庭经济负担</w:t>
            </w:r>
          </w:p>
        </w:tc>
        <w:tc>
          <w:tcPr>
            <w:tcW w:w="2268" w:type="dxa"/>
            <w:vAlign w:val="center"/>
          </w:tcPr>
          <w:p w14:paraId="704C1315">
            <w:pPr>
              <w:pStyle w:val="12"/>
            </w:pPr>
            <w:r>
              <w:t>100%</w:t>
            </w:r>
          </w:p>
        </w:tc>
        <w:tc>
          <w:tcPr>
            <w:tcW w:w="1276" w:type="dxa"/>
            <w:vAlign w:val="center"/>
          </w:tcPr>
          <w:p w14:paraId="59140153">
            <w:pPr>
              <w:pStyle w:val="12"/>
            </w:pPr>
            <w:r>
              <w:t>城乡义务教育公用经费管理办法</w:t>
            </w:r>
          </w:p>
        </w:tc>
      </w:tr>
      <w:tr w14:paraId="1E30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BCCB0"/>
        </w:tc>
        <w:tc>
          <w:tcPr>
            <w:tcW w:w="2268" w:type="dxa"/>
            <w:vAlign w:val="center"/>
          </w:tcPr>
          <w:p w14:paraId="6FECF9B1">
            <w:pPr>
              <w:pStyle w:val="12"/>
            </w:pPr>
            <w:r>
              <w:t>社会效益指标</w:t>
            </w:r>
          </w:p>
        </w:tc>
        <w:tc>
          <w:tcPr>
            <w:tcW w:w="2835" w:type="dxa"/>
            <w:vAlign w:val="center"/>
          </w:tcPr>
          <w:p w14:paraId="6E2A252C">
            <w:pPr>
              <w:pStyle w:val="12"/>
            </w:pPr>
            <w:r>
              <w:t>学校办学能力提升</w:t>
            </w:r>
          </w:p>
        </w:tc>
        <w:tc>
          <w:tcPr>
            <w:tcW w:w="5386" w:type="dxa"/>
            <w:vAlign w:val="center"/>
          </w:tcPr>
          <w:p w14:paraId="4DBF0905">
            <w:pPr>
              <w:pStyle w:val="12"/>
            </w:pPr>
            <w:r>
              <w:t>学校办学能</w:t>
            </w:r>
            <w:r>
              <w:rPr>
                <w:rFonts w:hint="eastAsia"/>
                <w:lang w:eastAsia="zh-CN"/>
              </w:rPr>
              <w:t>力提</w:t>
            </w:r>
            <w:r>
              <w:t>升情况及教育教学工作等开展的情况</w:t>
            </w:r>
          </w:p>
        </w:tc>
        <w:tc>
          <w:tcPr>
            <w:tcW w:w="2268" w:type="dxa"/>
            <w:vAlign w:val="center"/>
          </w:tcPr>
          <w:p w14:paraId="475B9AE3">
            <w:pPr>
              <w:pStyle w:val="12"/>
            </w:pPr>
            <w:r>
              <w:t>100%</w:t>
            </w:r>
          </w:p>
        </w:tc>
        <w:tc>
          <w:tcPr>
            <w:tcW w:w="1276" w:type="dxa"/>
            <w:vAlign w:val="center"/>
          </w:tcPr>
          <w:p w14:paraId="719F0042">
            <w:pPr>
              <w:pStyle w:val="12"/>
            </w:pPr>
            <w:r>
              <w:t>城乡义务教育公用经费管理办法</w:t>
            </w:r>
          </w:p>
        </w:tc>
      </w:tr>
      <w:tr w14:paraId="1283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702EA"/>
        </w:tc>
        <w:tc>
          <w:tcPr>
            <w:tcW w:w="2268" w:type="dxa"/>
            <w:vAlign w:val="center"/>
          </w:tcPr>
          <w:p w14:paraId="7CAA22C6">
            <w:pPr>
              <w:pStyle w:val="12"/>
            </w:pPr>
            <w:r>
              <w:t>可持续影响指标</w:t>
            </w:r>
          </w:p>
        </w:tc>
        <w:tc>
          <w:tcPr>
            <w:tcW w:w="2835" w:type="dxa"/>
            <w:vAlign w:val="center"/>
          </w:tcPr>
          <w:p w14:paraId="092A15AB">
            <w:pPr>
              <w:pStyle w:val="12"/>
            </w:pPr>
            <w:r>
              <w:t>教育发展水平</w:t>
            </w:r>
          </w:p>
        </w:tc>
        <w:tc>
          <w:tcPr>
            <w:tcW w:w="5386" w:type="dxa"/>
            <w:vAlign w:val="center"/>
          </w:tcPr>
          <w:p w14:paraId="7BD329A9">
            <w:pPr>
              <w:pStyle w:val="12"/>
            </w:pPr>
            <w:r>
              <w:t>辖区内教育环境明显好转</w:t>
            </w:r>
          </w:p>
        </w:tc>
        <w:tc>
          <w:tcPr>
            <w:tcW w:w="2268" w:type="dxa"/>
            <w:vAlign w:val="center"/>
          </w:tcPr>
          <w:p w14:paraId="6A436E5A">
            <w:pPr>
              <w:pStyle w:val="12"/>
            </w:pPr>
            <w:r>
              <w:t>100%</w:t>
            </w:r>
          </w:p>
        </w:tc>
        <w:tc>
          <w:tcPr>
            <w:tcW w:w="1276" w:type="dxa"/>
            <w:vAlign w:val="center"/>
          </w:tcPr>
          <w:p w14:paraId="0BA5C481">
            <w:pPr>
              <w:pStyle w:val="12"/>
            </w:pPr>
            <w:r>
              <w:t>城乡义务教育公用经费管理办法</w:t>
            </w:r>
          </w:p>
        </w:tc>
      </w:tr>
      <w:tr w14:paraId="1211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2545A">
            <w:pPr>
              <w:pStyle w:val="13"/>
            </w:pPr>
            <w:r>
              <w:t>满意度指标</w:t>
            </w:r>
          </w:p>
        </w:tc>
        <w:tc>
          <w:tcPr>
            <w:tcW w:w="2268" w:type="dxa"/>
            <w:vAlign w:val="center"/>
          </w:tcPr>
          <w:p w14:paraId="5419E5DB">
            <w:pPr>
              <w:pStyle w:val="12"/>
            </w:pPr>
            <w:r>
              <w:t>服务对象满意度指标</w:t>
            </w:r>
          </w:p>
        </w:tc>
        <w:tc>
          <w:tcPr>
            <w:tcW w:w="2835" w:type="dxa"/>
            <w:vAlign w:val="center"/>
          </w:tcPr>
          <w:p w14:paraId="54537138">
            <w:pPr>
              <w:pStyle w:val="12"/>
            </w:pPr>
            <w:r>
              <w:t>受益学生家长及调查满意度</w:t>
            </w:r>
          </w:p>
        </w:tc>
        <w:tc>
          <w:tcPr>
            <w:tcW w:w="5386" w:type="dxa"/>
            <w:vAlign w:val="center"/>
          </w:tcPr>
          <w:p w14:paraId="3F1A9062">
            <w:pPr>
              <w:pStyle w:val="12"/>
            </w:pPr>
            <w:r>
              <w:t>学生、教师及家长对学校保教保育工作满意度情况</w:t>
            </w:r>
          </w:p>
        </w:tc>
        <w:tc>
          <w:tcPr>
            <w:tcW w:w="2268" w:type="dxa"/>
            <w:vAlign w:val="center"/>
          </w:tcPr>
          <w:p w14:paraId="5E9FC341">
            <w:pPr>
              <w:pStyle w:val="12"/>
            </w:pPr>
            <w:r>
              <w:t>≥95%</w:t>
            </w:r>
          </w:p>
        </w:tc>
        <w:tc>
          <w:tcPr>
            <w:tcW w:w="1276" w:type="dxa"/>
            <w:vAlign w:val="center"/>
          </w:tcPr>
          <w:p w14:paraId="0B464768">
            <w:pPr>
              <w:pStyle w:val="12"/>
            </w:pPr>
            <w:r>
              <w:t>城乡义务教育公用经费管理办法</w:t>
            </w:r>
          </w:p>
        </w:tc>
      </w:tr>
    </w:tbl>
    <w:p w14:paraId="52F42B3E">
      <w:pPr>
        <w:sectPr>
          <w:pgSz w:w="16840" w:h="11900" w:orient="landscape"/>
          <w:pgMar w:top="1361" w:right="1020" w:bottom="1134" w:left="1020" w:header="720" w:footer="720" w:gutter="0"/>
          <w:cols w:space="720" w:num="1"/>
        </w:sectPr>
      </w:pPr>
    </w:p>
    <w:p w14:paraId="2A4CA71C">
      <w:pPr>
        <w:spacing w:before="0" w:after="0"/>
        <w:ind w:firstLine="560"/>
        <w:jc w:val="left"/>
        <w:outlineLvl w:val="9"/>
      </w:pPr>
      <w:r>
        <w:rPr>
          <w:rFonts w:ascii="方正仿宋_GBK" w:hAnsi="方正仿宋_GBK" w:eastAsia="方正仿宋_GBK" w:cs="方正仿宋_GBK"/>
          <w:b/>
          <w:color w:val="000000"/>
          <w:sz w:val="28"/>
        </w:rPr>
        <w:t>33、县级配套/东良校区南位小学公用经费绩效目标表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A6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BB66C">
            <w:pPr>
              <w:pStyle w:val="11"/>
            </w:pPr>
            <w:r>
              <w:t>单位：万元</w:t>
            </w:r>
          </w:p>
        </w:tc>
      </w:tr>
      <w:tr w14:paraId="2E3FD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E59AF">
            <w:pPr>
              <w:pStyle w:val="10"/>
            </w:pPr>
            <w:r>
              <w:t>项目编码</w:t>
            </w:r>
          </w:p>
        </w:tc>
        <w:tc>
          <w:tcPr>
            <w:tcW w:w="5103" w:type="dxa"/>
            <w:gridSpan w:val="2"/>
            <w:vAlign w:val="center"/>
          </w:tcPr>
          <w:p w14:paraId="51DA3AD9">
            <w:pPr>
              <w:pStyle w:val="12"/>
            </w:pPr>
            <w:r>
              <w:t>13052526P000004104359</w:t>
            </w:r>
          </w:p>
        </w:tc>
        <w:tc>
          <w:tcPr>
            <w:tcW w:w="2835" w:type="dxa"/>
            <w:vAlign w:val="center"/>
          </w:tcPr>
          <w:p w14:paraId="24C591B1">
            <w:pPr>
              <w:pStyle w:val="10"/>
            </w:pPr>
            <w:r>
              <w:t>项目名称</w:t>
            </w:r>
          </w:p>
        </w:tc>
        <w:tc>
          <w:tcPr>
            <w:tcW w:w="6095" w:type="dxa"/>
            <w:gridSpan w:val="3"/>
            <w:vAlign w:val="center"/>
          </w:tcPr>
          <w:p w14:paraId="6E5A117E">
            <w:pPr>
              <w:pStyle w:val="12"/>
            </w:pPr>
            <w:r>
              <w:t>县级配套/东良校区南位小学公用经费</w:t>
            </w:r>
          </w:p>
        </w:tc>
      </w:tr>
      <w:tr w14:paraId="45C8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9762A">
            <w:pPr>
              <w:pStyle w:val="10"/>
            </w:pPr>
            <w:r>
              <w:t>预算规模及资金用途</w:t>
            </w:r>
          </w:p>
        </w:tc>
        <w:tc>
          <w:tcPr>
            <w:tcW w:w="2268" w:type="dxa"/>
            <w:vAlign w:val="center"/>
          </w:tcPr>
          <w:p w14:paraId="3BDADCEB">
            <w:pPr>
              <w:pStyle w:val="10"/>
            </w:pPr>
            <w:r>
              <w:t>预算数</w:t>
            </w:r>
          </w:p>
        </w:tc>
        <w:tc>
          <w:tcPr>
            <w:tcW w:w="2835" w:type="dxa"/>
            <w:vAlign w:val="center"/>
          </w:tcPr>
          <w:p w14:paraId="0800F644">
            <w:pPr>
              <w:pStyle w:val="12"/>
            </w:pPr>
            <w:r>
              <w:t>6.14</w:t>
            </w:r>
          </w:p>
        </w:tc>
        <w:tc>
          <w:tcPr>
            <w:tcW w:w="2835" w:type="dxa"/>
            <w:vAlign w:val="center"/>
          </w:tcPr>
          <w:p w14:paraId="1D827DFB">
            <w:pPr>
              <w:pStyle w:val="10"/>
            </w:pPr>
            <w:r>
              <w:t>其中：财政    资金</w:t>
            </w:r>
          </w:p>
        </w:tc>
        <w:tc>
          <w:tcPr>
            <w:tcW w:w="2551" w:type="dxa"/>
            <w:vAlign w:val="center"/>
          </w:tcPr>
          <w:p w14:paraId="26123539">
            <w:pPr>
              <w:pStyle w:val="12"/>
            </w:pPr>
            <w:r>
              <w:t>6.14</w:t>
            </w:r>
          </w:p>
        </w:tc>
        <w:tc>
          <w:tcPr>
            <w:tcW w:w="2268" w:type="dxa"/>
            <w:vAlign w:val="center"/>
          </w:tcPr>
          <w:p w14:paraId="5E8A386C">
            <w:pPr>
              <w:pStyle w:val="10"/>
            </w:pPr>
            <w:r>
              <w:t>其他资金</w:t>
            </w:r>
          </w:p>
        </w:tc>
        <w:tc>
          <w:tcPr>
            <w:tcW w:w="1276" w:type="dxa"/>
            <w:vAlign w:val="center"/>
          </w:tcPr>
          <w:p w14:paraId="6D2E2C18">
            <w:pPr>
              <w:pStyle w:val="12"/>
            </w:pPr>
            <w:r>
              <w:t xml:space="preserve"> </w:t>
            </w:r>
          </w:p>
        </w:tc>
      </w:tr>
      <w:tr w14:paraId="64E16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CBE44"/>
        </w:tc>
        <w:tc>
          <w:tcPr>
            <w:tcW w:w="14033" w:type="dxa"/>
            <w:gridSpan w:val="6"/>
            <w:vAlign w:val="center"/>
          </w:tcPr>
          <w:p w14:paraId="09A040DD">
            <w:pPr>
              <w:pStyle w:val="12"/>
            </w:pPr>
            <w:r>
              <w:t>保障义务教育学校正常运转，完成教育教学活动和其他日常工作任务等方面的费用支出。</w:t>
            </w:r>
          </w:p>
        </w:tc>
      </w:tr>
      <w:tr w14:paraId="0AD3C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3D860">
            <w:pPr>
              <w:pStyle w:val="10"/>
            </w:pPr>
            <w:r>
              <w:t>资金支出计划（%）</w:t>
            </w:r>
          </w:p>
        </w:tc>
        <w:tc>
          <w:tcPr>
            <w:tcW w:w="5103" w:type="dxa"/>
            <w:gridSpan w:val="2"/>
            <w:vAlign w:val="center"/>
          </w:tcPr>
          <w:p w14:paraId="40685F92">
            <w:pPr>
              <w:pStyle w:val="10"/>
            </w:pPr>
            <w:r>
              <w:t>3月底</w:t>
            </w:r>
          </w:p>
        </w:tc>
        <w:tc>
          <w:tcPr>
            <w:tcW w:w="2835" w:type="dxa"/>
            <w:vAlign w:val="center"/>
          </w:tcPr>
          <w:p w14:paraId="0F3DA431">
            <w:pPr>
              <w:pStyle w:val="10"/>
            </w:pPr>
            <w:r>
              <w:t>6月底</w:t>
            </w:r>
          </w:p>
        </w:tc>
        <w:tc>
          <w:tcPr>
            <w:tcW w:w="2551" w:type="dxa"/>
            <w:vAlign w:val="center"/>
          </w:tcPr>
          <w:p w14:paraId="5A69BC89">
            <w:pPr>
              <w:pStyle w:val="10"/>
            </w:pPr>
            <w:r>
              <w:t>10月底</w:t>
            </w:r>
          </w:p>
        </w:tc>
        <w:tc>
          <w:tcPr>
            <w:tcW w:w="3544" w:type="dxa"/>
            <w:gridSpan w:val="2"/>
            <w:vAlign w:val="center"/>
          </w:tcPr>
          <w:p w14:paraId="18FF35F5">
            <w:pPr>
              <w:pStyle w:val="10"/>
            </w:pPr>
            <w:r>
              <w:t>12月底</w:t>
            </w:r>
          </w:p>
        </w:tc>
      </w:tr>
      <w:tr w14:paraId="1ACFD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2EFF2"/>
        </w:tc>
        <w:tc>
          <w:tcPr>
            <w:tcW w:w="5103" w:type="dxa"/>
            <w:gridSpan w:val="2"/>
            <w:vAlign w:val="center"/>
          </w:tcPr>
          <w:p w14:paraId="2B510916">
            <w:pPr>
              <w:pStyle w:val="13"/>
            </w:pPr>
            <w:r>
              <w:t>25%</w:t>
            </w:r>
          </w:p>
        </w:tc>
        <w:tc>
          <w:tcPr>
            <w:tcW w:w="2835" w:type="dxa"/>
            <w:vAlign w:val="center"/>
          </w:tcPr>
          <w:p w14:paraId="64B28FAA">
            <w:pPr>
              <w:pStyle w:val="13"/>
            </w:pPr>
            <w:r>
              <w:t>50%</w:t>
            </w:r>
          </w:p>
        </w:tc>
        <w:tc>
          <w:tcPr>
            <w:tcW w:w="2551" w:type="dxa"/>
            <w:vAlign w:val="center"/>
          </w:tcPr>
          <w:p w14:paraId="6A686F53">
            <w:pPr>
              <w:pStyle w:val="13"/>
            </w:pPr>
            <w:r>
              <w:t>75%</w:t>
            </w:r>
          </w:p>
        </w:tc>
        <w:tc>
          <w:tcPr>
            <w:tcW w:w="3544" w:type="dxa"/>
            <w:gridSpan w:val="2"/>
            <w:vAlign w:val="center"/>
          </w:tcPr>
          <w:p w14:paraId="3AB0779A">
            <w:pPr>
              <w:pStyle w:val="13"/>
            </w:pPr>
            <w:r>
              <w:t>100%</w:t>
            </w:r>
          </w:p>
        </w:tc>
      </w:tr>
      <w:tr w14:paraId="00B7B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494C0">
            <w:pPr>
              <w:pStyle w:val="10"/>
            </w:pPr>
            <w:r>
              <w:t>绩效目标</w:t>
            </w:r>
          </w:p>
        </w:tc>
        <w:tc>
          <w:tcPr>
            <w:tcW w:w="14033" w:type="dxa"/>
            <w:gridSpan w:val="6"/>
            <w:vAlign w:val="center"/>
          </w:tcPr>
          <w:p w14:paraId="763E5AC8">
            <w:pPr>
              <w:pStyle w:val="12"/>
            </w:pPr>
            <w:r>
              <w:t>1.保障义务教育学校正常运转，完成教育教学活动和其他日常工作任务等方面的费用支出。</w:t>
            </w:r>
          </w:p>
          <w:p w14:paraId="47B73542">
            <w:pPr>
              <w:pStyle w:val="12"/>
            </w:pPr>
            <w:r>
              <w:t>2.按季度分批次拨付公用经费资金61400元，资金拨付率达到100%。</w:t>
            </w:r>
          </w:p>
        </w:tc>
      </w:tr>
    </w:tbl>
    <w:p w14:paraId="2974FC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E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137AC">
            <w:pPr>
              <w:pStyle w:val="10"/>
            </w:pPr>
            <w:r>
              <w:t>一级指标</w:t>
            </w:r>
          </w:p>
        </w:tc>
        <w:tc>
          <w:tcPr>
            <w:tcW w:w="2268" w:type="dxa"/>
            <w:vAlign w:val="center"/>
          </w:tcPr>
          <w:p w14:paraId="34948481">
            <w:pPr>
              <w:pStyle w:val="10"/>
            </w:pPr>
            <w:r>
              <w:t>二级指标</w:t>
            </w:r>
          </w:p>
        </w:tc>
        <w:tc>
          <w:tcPr>
            <w:tcW w:w="2835" w:type="dxa"/>
            <w:vAlign w:val="center"/>
          </w:tcPr>
          <w:p w14:paraId="05417E27">
            <w:pPr>
              <w:pStyle w:val="10"/>
            </w:pPr>
            <w:r>
              <w:t>三级指标</w:t>
            </w:r>
          </w:p>
        </w:tc>
        <w:tc>
          <w:tcPr>
            <w:tcW w:w="5386" w:type="dxa"/>
            <w:vAlign w:val="center"/>
          </w:tcPr>
          <w:p w14:paraId="25981F1C">
            <w:pPr>
              <w:pStyle w:val="10"/>
            </w:pPr>
            <w:r>
              <w:t>绩效指标描述</w:t>
            </w:r>
          </w:p>
        </w:tc>
        <w:tc>
          <w:tcPr>
            <w:tcW w:w="2268" w:type="dxa"/>
            <w:vAlign w:val="center"/>
          </w:tcPr>
          <w:p w14:paraId="72E22994">
            <w:pPr>
              <w:pStyle w:val="10"/>
            </w:pPr>
            <w:r>
              <w:t>指标值</w:t>
            </w:r>
          </w:p>
        </w:tc>
        <w:tc>
          <w:tcPr>
            <w:tcW w:w="1276" w:type="dxa"/>
            <w:vAlign w:val="center"/>
          </w:tcPr>
          <w:p w14:paraId="4633A9F7">
            <w:pPr>
              <w:pStyle w:val="10"/>
            </w:pPr>
            <w:r>
              <w:t>指标值确定依据</w:t>
            </w:r>
          </w:p>
        </w:tc>
      </w:tr>
      <w:tr w14:paraId="615A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B0A32">
            <w:pPr>
              <w:pStyle w:val="13"/>
            </w:pPr>
            <w:r>
              <w:t>产出指标</w:t>
            </w:r>
          </w:p>
        </w:tc>
        <w:tc>
          <w:tcPr>
            <w:tcW w:w="2268" w:type="dxa"/>
            <w:vAlign w:val="center"/>
          </w:tcPr>
          <w:p w14:paraId="35F8B05C">
            <w:pPr>
              <w:pStyle w:val="12"/>
            </w:pPr>
            <w:r>
              <w:t>数量指标</w:t>
            </w:r>
          </w:p>
        </w:tc>
        <w:tc>
          <w:tcPr>
            <w:tcW w:w="2835" w:type="dxa"/>
            <w:vAlign w:val="center"/>
          </w:tcPr>
          <w:p w14:paraId="26420447">
            <w:pPr>
              <w:pStyle w:val="12"/>
            </w:pPr>
            <w:r>
              <w:t>适龄在校生</w:t>
            </w:r>
          </w:p>
        </w:tc>
        <w:tc>
          <w:tcPr>
            <w:tcW w:w="5386" w:type="dxa"/>
            <w:vAlign w:val="center"/>
          </w:tcPr>
          <w:p w14:paraId="1F76F8FD">
            <w:pPr>
              <w:pStyle w:val="12"/>
            </w:pPr>
            <w:r>
              <w:t>适龄在校就读学生人数</w:t>
            </w:r>
          </w:p>
        </w:tc>
        <w:tc>
          <w:tcPr>
            <w:tcW w:w="2268" w:type="dxa"/>
            <w:vAlign w:val="center"/>
          </w:tcPr>
          <w:p w14:paraId="49B6A91F">
            <w:pPr>
              <w:pStyle w:val="12"/>
            </w:pPr>
            <w:r>
              <w:t>625人</w:t>
            </w:r>
          </w:p>
        </w:tc>
        <w:tc>
          <w:tcPr>
            <w:tcW w:w="1276" w:type="dxa"/>
            <w:vAlign w:val="center"/>
          </w:tcPr>
          <w:p w14:paraId="5B0EACC5">
            <w:pPr>
              <w:pStyle w:val="12"/>
            </w:pPr>
            <w:r>
              <w:t>城乡义务教育公用经费管理办法</w:t>
            </w:r>
          </w:p>
        </w:tc>
      </w:tr>
      <w:tr w14:paraId="67B0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8515D"/>
        </w:tc>
        <w:tc>
          <w:tcPr>
            <w:tcW w:w="2268" w:type="dxa"/>
            <w:vAlign w:val="center"/>
          </w:tcPr>
          <w:p w14:paraId="30B78106">
            <w:pPr>
              <w:pStyle w:val="12"/>
            </w:pPr>
            <w:r>
              <w:t>质量指标</w:t>
            </w:r>
          </w:p>
        </w:tc>
        <w:tc>
          <w:tcPr>
            <w:tcW w:w="2835" w:type="dxa"/>
            <w:vAlign w:val="center"/>
          </w:tcPr>
          <w:p w14:paraId="0E8FF04D">
            <w:pPr>
              <w:pStyle w:val="12"/>
            </w:pPr>
            <w:r>
              <w:t>公用经费拨付完成率</w:t>
            </w:r>
          </w:p>
        </w:tc>
        <w:tc>
          <w:tcPr>
            <w:tcW w:w="5386" w:type="dxa"/>
            <w:vAlign w:val="center"/>
          </w:tcPr>
          <w:p w14:paraId="291A0C69">
            <w:pPr>
              <w:pStyle w:val="12"/>
            </w:pPr>
            <w:r>
              <w:t>公用经费拨付完成率达到需时进度</w:t>
            </w:r>
          </w:p>
        </w:tc>
        <w:tc>
          <w:tcPr>
            <w:tcW w:w="2268" w:type="dxa"/>
            <w:vAlign w:val="center"/>
          </w:tcPr>
          <w:p w14:paraId="67E93411">
            <w:pPr>
              <w:pStyle w:val="12"/>
            </w:pPr>
            <w:r>
              <w:t>100%</w:t>
            </w:r>
          </w:p>
        </w:tc>
        <w:tc>
          <w:tcPr>
            <w:tcW w:w="1276" w:type="dxa"/>
            <w:vAlign w:val="center"/>
          </w:tcPr>
          <w:p w14:paraId="3C563B62">
            <w:pPr>
              <w:pStyle w:val="12"/>
            </w:pPr>
            <w:r>
              <w:t>城乡义务教育公用经费管理办法</w:t>
            </w:r>
          </w:p>
        </w:tc>
      </w:tr>
      <w:tr w14:paraId="6214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17B19"/>
        </w:tc>
        <w:tc>
          <w:tcPr>
            <w:tcW w:w="2268" w:type="dxa"/>
            <w:vAlign w:val="center"/>
          </w:tcPr>
          <w:p w14:paraId="1B098424">
            <w:pPr>
              <w:pStyle w:val="12"/>
            </w:pPr>
            <w:r>
              <w:t>时效指标</w:t>
            </w:r>
          </w:p>
        </w:tc>
        <w:tc>
          <w:tcPr>
            <w:tcW w:w="2835" w:type="dxa"/>
            <w:vAlign w:val="center"/>
          </w:tcPr>
          <w:p w14:paraId="060FB359">
            <w:pPr>
              <w:pStyle w:val="12"/>
            </w:pPr>
            <w:r>
              <w:t>资金支付率</w:t>
            </w:r>
          </w:p>
        </w:tc>
        <w:tc>
          <w:tcPr>
            <w:tcW w:w="5386" w:type="dxa"/>
            <w:vAlign w:val="center"/>
          </w:tcPr>
          <w:p w14:paraId="28E93484">
            <w:pPr>
              <w:pStyle w:val="12"/>
            </w:pPr>
            <w:r>
              <w:t>按照序时进度完成资金支付</w:t>
            </w:r>
          </w:p>
        </w:tc>
        <w:tc>
          <w:tcPr>
            <w:tcW w:w="2268" w:type="dxa"/>
            <w:vAlign w:val="center"/>
          </w:tcPr>
          <w:p w14:paraId="55B96F10">
            <w:pPr>
              <w:pStyle w:val="12"/>
            </w:pPr>
            <w:r>
              <w:t>100%</w:t>
            </w:r>
          </w:p>
        </w:tc>
        <w:tc>
          <w:tcPr>
            <w:tcW w:w="1276" w:type="dxa"/>
            <w:vAlign w:val="center"/>
          </w:tcPr>
          <w:p w14:paraId="7A2DC514">
            <w:pPr>
              <w:pStyle w:val="12"/>
            </w:pPr>
            <w:r>
              <w:t>城乡义务教育公用经费管理办法</w:t>
            </w:r>
          </w:p>
        </w:tc>
      </w:tr>
      <w:tr w14:paraId="589F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AE833"/>
        </w:tc>
        <w:tc>
          <w:tcPr>
            <w:tcW w:w="2268" w:type="dxa"/>
            <w:vAlign w:val="center"/>
          </w:tcPr>
          <w:p w14:paraId="7DB5BA66">
            <w:pPr>
              <w:pStyle w:val="12"/>
            </w:pPr>
            <w:r>
              <w:t>成本指标</w:t>
            </w:r>
          </w:p>
        </w:tc>
        <w:tc>
          <w:tcPr>
            <w:tcW w:w="2835" w:type="dxa"/>
            <w:vAlign w:val="center"/>
          </w:tcPr>
          <w:p w14:paraId="7506CEA9">
            <w:pPr>
              <w:pStyle w:val="12"/>
            </w:pPr>
            <w:r>
              <w:t>生均拨款标准</w:t>
            </w:r>
          </w:p>
        </w:tc>
        <w:tc>
          <w:tcPr>
            <w:tcW w:w="5386" w:type="dxa"/>
            <w:vAlign w:val="center"/>
          </w:tcPr>
          <w:p w14:paraId="2DAFB21F">
            <w:pPr>
              <w:pStyle w:val="12"/>
            </w:pPr>
            <w:r>
              <w:t>小学：（基本标准720元、寄宿生300元、取暖费120元）/生/学年；特教、随班就读学生：标准7000元/生/学年。</w:t>
            </w:r>
          </w:p>
        </w:tc>
        <w:tc>
          <w:tcPr>
            <w:tcW w:w="2268" w:type="dxa"/>
            <w:vAlign w:val="center"/>
          </w:tcPr>
          <w:p w14:paraId="1DE8A188">
            <w:pPr>
              <w:pStyle w:val="12"/>
            </w:pPr>
            <w:r>
              <w:t>840元</w:t>
            </w:r>
          </w:p>
        </w:tc>
        <w:tc>
          <w:tcPr>
            <w:tcW w:w="1276" w:type="dxa"/>
            <w:vAlign w:val="center"/>
          </w:tcPr>
          <w:p w14:paraId="79AEE6E0">
            <w:pPr>
              <w:pStyle w:val="12"/>
            </w:pPr>
            <w:r>
              <w:t>城乡义务教育公用经费管理办法</w:t>
            </w:r>
          </w:p>
        </w:tc>
      </w:tr>
      <w:tr w14:paraId="619D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35A6A">
            <w:pPr>
              <w:pStyle w:val="13"/>
            </w:pPr>
            <w:r>
              <w:t>效益指标</w:t>
            </w:r>
          </w:p>
        </w:tc>
        <w:tc>
          <w:tcPr>
            <w:tcW w:w="2268" w:type="dxa"/>
            <w:vAlign w:val="center"/>
          </w:tcPr>
          <w:p w14:paraId="0B51046C">
            <w:pPr>
              <w:pStyle w:val="12"/>
            </w:pPr>
            <w:r>
              <w:t>经济效益指标</w:t>
            </w:r>
          </w:p>
        </w:tc>
        <w:tc>
          <w:tcPr>
            <w:tcW w:w="2835" w:type="dxa"/>
            <w:vAlign w:val="center"/>
          </w:tcPr>
          <w:p w14:paraId="7612FA4A">
            <w:pPr>
              <w:pStyle w:val="12"/>
            </w:pPr>
            <w:r>
              <w:t>项目实施成果</w:t>
            </w:r>
          </w:p>
        </w:tc>
        <w:tc>
          <w:tcPr>
            <w:tcW w:w="5386" w:type="dxa"/>
            <w:vAlign w:val="center"/>
          </w:tcPr>
          <w:p w14:paraId="1811E12A">
            <w:pPr>
              <w:pStyle w:val="12"/>
            </w:pPr>
            <w:r>
              <w:t>减轻受教育学生家庭经济负担</w:t>
            </w:r>
          </w:p>
        </w:tc>
        <w:tc>
          <w:tcPr>
            <w:tcW w:w="2268" w:type="dxa"/>
            <w:vAlign w:val="center"/>
          </w:tcPr>
          <w:p w14:paraId="6209FA5A">
            <w:pPr>
              <w:pStyle w:val="12"/>
            </w:pPr>
            <w:r>
              <w:t>100%</w:t>
            </w:r>
          </w:p>
        </w:tc>
        <w:tc>
          <w:tcPr>
            <w:tcW w:w="1276" w:type="dxa"/>
            <w:vAlign w:val="center"/>
          </w:tcPr>
          <w:p w14:paraId="11096A21">
            <w:pPr>
              <w:pStyle w:val="12"/>
            </w:pPr>
            <w:r>
              <w:t>城乡义务教育公用经费管理办法</w:t>
            </w:r>
          </w:p>
        </w:tc>
      </w:tr>
      <w:tr w14:paraId="22CC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BBC62"/>
        </w:tc>
        <w:tc>
          <w:tcPr>
            <w:tcW w:w="2268" w:type="dxa"/>
            <w:vAlign w:val="center"/>
          </w:tcPr>
          <w:p w14:paraId="2F9C00B4">
            <w:pPr>
              <w:pStyle w:val="12"/>
            </w:pPr>
            <w:r>
              <w:t>社会效益指标</w:t>
            </w:r>
          </w:p>
        </w:tc>
        <w:tc>
          <w:tcPr>
            <w:tcW w:w="2835" w:type="dxa"/>
            <w:vAlign w:val="center"/>
          </w:tcPr>
          <w:p w14:paraId="445841D4">
            <w:pPr>
              <w:pStyle w:val="12"/>
            </w:pPr>
            <w:r>
              <w:t>学校办学能力提升</w:t>
            </w:r>
          </w:p>
        </w:tc>
        <w:tc>
          <w:tcPr>
            <w:tcW w:w="5386" w:type="dxa"/>
            <w:vAlign w:val="center"/>
          </w:tcPr>
          <w:p w14:paraId="01C5A52D">
            <w:pPr>
              <w:pStyle w:val="12"/>
            </w:pPr>
            <w:r>
              <w:t>学校办学能</w:t>
            </w:r>
            <w:r>
              <w:rPr>
                <w:rFonts w:hint="eastAsia"/>
                <w:lang w:eastAsia="zh-CN"/>
              </w:rPr>
              <w:t>力提</w:t>
            </w:r>
            <w:r>
              <w:t>升情况及教育教学工作等开展的情况</w:t>
            </w:r>
          </w:p>
        </w:tc>
        <w:tc>
          <w:tcPr>
            <w:tcW w:w="2268" w:type="dxa"/>
            <w:vAlign w:val="center"/>
          </w:tcPr>
          <w:p w14:paraId="52979304">
            <w:pPr>
              <w:pStyle w:val="12"/>
            </w:pPr>
            <w:r>
              <w:t>100%</w:t>
            </w:r>
          </w:p>
        </w:tc>
        <w:tc>
          <w:tcPr>
            <w:tcW w:w="1276" w:type="dxa"/>
            <w:vAlign w:val="center"/>
          </w:tcPr>
          <w:p w14:paraId="5373831F">
            <w:pPr>
              <w:pStyle w:val="12"/>
            </w:pPr>
            <w:r>
              <w:t>城乡义务教育公用经费管理办法</w:t>
            </w:r>
          </w:p>
        </w:tc>
      </w:tr>
      <w:tr w14:paraId="21CA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ED00B"/>
        </w:tc>
        <w:tc>
          <w:tcPr>
            <w:tcW w:w="2268" w:type="dxa"/>
            <w:vAlign w:val="center"/>
          </w:tcPr>
          <w:p w14:paraId="503158FB">
            <w:pPr>
              <w:pStyle w:val="12"/>
            </w:pPr>
            <w:r>
              <w:t>可持续影响指标</w:t>
            </w:r>
          </w:p>
        </w:tc>
        <w:tc>
          <w:tcPr>
            <w:tcW w:w="2835" w:type="dxa"/>
            <w:vAlign w:val="center"/>
          </w:tcPr>
          <w:p w14:paraId="025E30FE">
            <w:pPr>
              <w:pStyle w:val="12"/>
            </w:pPr>
            <w:r>
              <w:t>教育发展水平</w:t>
            </w:r>
          </w:p>
        </w:tc>
        <w:tc>
          <w:tcPr>
            <w:tcW w:w="5386" w:type="dxa"/>
            <w:vAlign w:val="center"/>
          </w:tcPr>
          <w:p w14:paraId="29CA7CE2">
            <w:pPr>
              <w:pStyle w:val="12"/>
            </w:pPr>
            <w:r>
              <w:t>辖区内教育环境明显好转</w:t>
            </w:r>
          </w:p>
        </w:tc>
        <w:tc>
          <w:tcPr>
            <w:tcW w:w="2268" w:type="dxa"/>
            <w:vAlign w:val="center"/>
          </w:tcPr>
          <w:p w14:paraId="61DD6113">
            <w:pPr>
              <w:pStyle w:val="12"/>
            </w:pPr>
            <w:r>
              <w:t>100%</w:t>
            </w:r>
          </w:p>
        </w:tc>
        <w:tc>
          <w:tcPr>
            <w:tcW w:w="1276" w:type="dxa"/>
            <w:vAlign w:val="center"/>
          </w:tcPr>
          <w:p w14:paraId="0C386686">
            <w:pPr>
              <w:pStyle w:val="12"/>
            </w:pPr>
            <w:r>
              <w:t>城乡义务教育公用经费管理办法</w:t>
            </w:r>
          </w:p>
        </w:tc>
      </w:tr>
      <w:tr w14:paraId="001E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E661B">
            <w:pPr>
              <w:pStyle w:val="13"/>
            </w:pPr>
            <w:r>
              <w:t>满意度指标</w:t>
            </w:r>
          </w:p>
        </w:tc>
        <w:tc>
          <w:tcPr>
            <w:tcW w:w="2268" w:type="dxa"/>
            <w:vAlign w:val="center"/>
          </w:tcPr>
          <w:p w14:paraId="18885CF1">
            <w:pPr>
              <w:pStyle w:val="12"/>
            </w:pPr>
            <w:r>
              <w:t>服务对象满意度指标</w:t>
            </w:r>
          </w:p>
        </w:tc>
        <w:tc>
          <w:tcPr>
            <w:tcW w:w="2835" w:type="dxa"/>
            <w:vAlign w:val="center"/>
          </w:tcPr>
          <w:p w14:paraId="0C34B808">
            <w:pPr>
              <w:pStyle w:val="12"/>
            </w:pPr>
            <w:r>
              <w:t>受益学生家长及调查满意度</w:t>
            </w:r>
          </w:p>
        </w:tc>
        <w:tc>
          <w:tcPr>
            <w:tcW w:w="5386" w:type="dxa"/>
            <w:vAlign w:val="center"/>
          </w:tcPr>
          <w:p w14:paraId="52E1966E">
            <w:pPr>
              <w:pStyle w:val="12"/>
            </w:pPr>
            <w:r>
              <w:t>学生、教师及家长对学校保教保育工作满意度情况</w:t>
            </w:r>
          </w:p>
        </w:tc>
        <w:tc>
          <w:tcPr>
            <w:tcW w:w="2268" w:type="dxa"/>
            <w:vAlign w:val="center"/>
          </w:tcPr>
          <w:p w14:paraId="50740D77">
            <w:pPr>
              <w:pStyle w:val="12"/>
            </w:pPr>
            <w:r>
              <w:t>≥95%</w:t>
            </w:r>
          </w:p>
        </w:tc>
        <w:tc>
          <w:tcPr>
            <w:tcW w:w="1276" w:type="dxa"/>
            <w:vAlign w:val="center"/>
          </w:tcPr>
          <w:p w14:paraId="252489FF">
            <w:pPr>
              <w:pStyle w:val="12"/>
            </w:pPr>
            <w:r>
              <w:t>城乡义务教育公用经费管理办法</w:t>
            </w:r>
          </w:p>
        </w:tc>
      </w:tr>
    </w:tbl>
    <w:p w14:paraId="59E7BBA7">
      <w:pPr>
        <w:sectPr>
          <w:pgSz w:w="16840" w:h="11900" w:orient="landscape"/>
          <w:pgMar w:top="1361" w:right="1020" w:bottom="1134" w:left="1020" w:header="720" w:footer="720" w:gutter="0"/>
          <w:cols w:space="720" w:num="1"/>
        </w:sectPr>
      </w:pPr>
    </w:p>
    <w:p w14:paraId="52034950">
      <w:pPr>
        <w:spacing w:before="0" w:after="0"/>
        <w:ind w:firstLine="560"/>
        <w:jc w:val="left"/>
        <w:outlineLvl w:val="9"/>
      </w:pPr>
      <w:r>
        <w:rPr>
          <w:rFonts w:ascii="方正仿宋_GBK" w:hAnsi="方正仿宋_GBK" w:eastAsia="方正仿宋_GBK" w:cs="方正仿宋_GBK"/>
          <w:b/>
          <w:color w:val="000000"/>
          <w:sz w:val="28"/>
        </w:rPr>
        <w:t>34、县级配套/东良校区学前教育幼儿资助绩效目标表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18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DADDB">
            <w:pPr>
              <w:pStyle w:val="11"/>
            </w:pPr>
            <w:r>
              <w:t>单位：万元</w:t>
            </w:r>
          </w:p>
        </w:tc>
      </w:tr>
      <w:tr w14:paraId="39C0A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F25FC">
            <w:pPr>
              <w:pStyle w:val="10"/>
            </w:pPr>
            <w:r>
              <w:t>项目编码</w:t>
            </w:r>
          </w:p>
        </w:tc>
        <w:tc>
          <w:tcPr>
            <w:tcW w:w="5103" w:type="dxa"/>
            <w:gridSpan w:val="2"/>
            <w:vAlign w:val="center"/>
          </w:tcPr>
          <w:p w14:paraId="5E28A01F">
            <w:pPr>
              <w:pStyle w:val="12"/>
            </w:pPr>
            <w:r>
              <w:t>13052526P00000210083W</w:t>
            </w:r>
          </w:p>
        </w:tc>
        <w:tc>
          <w:tcPr>
            <w:tcW w:w="2835" w:type="dxa"/>
            <w:vAlign w:val="center"/>
          </w:tcPr>
          <w:p w14:paraId="4143CA1A">
            <w:pPr>
              <w:pStyle w:val="10"/>
            </w:pPr>
            <w:r>
              <w:t>项目名称</w:t>
            </w:r>
          </w:p>
        </w:tc>
        <w:tc>
          <w:tcPr>
            <w:tcW w:w="6095" w:type="dxa"/>
            <w:gridSpan w:val="3"/>
            <w:vAlign w:val="center"/>
          </w:tcPr>
          <w:p w14:paraId="0BAD8472">
            <w:pPr>
              <w:pStyle w:val="12"/>
            </w:pPr>
            <w:r>
              <w:t>县级配套/东良校区学前教育幼儿资助</w:t>
            </w:r>
          </w:p>
        </w:tc>
      </w:tr>
      <w:tr w14:paraId="140AE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B2B5F">
            <w:pPr>
              <w:pStyle w:val="10"/>
            </w:pPr>
            <w:r>
              <w:t>预算规模及资金用途</w:t>
            </w:r>
          </w:p>
        </w:tc>
        <w:tc>
          <w:tcPr>
            <w:tcW w:w="2268" w:type="dxa"/>
            <w:vAlign w:val="center"/>
          </w:tcPr>
          <w:p w14:paraId="797BB8E6">
            <w:pPr>
              <w:pStyle w:val="10"/>
            </w:pPr>
            <w:r>
              <w:t>预算数</w:t>
            </w:r>
          </w:p>
        </w:tc>
        <w:tc>
          <w:tcPr>
            <w:tcW w:w="2835" w:type="dxa"/>
            <w:vAlign w:val="center"/>
          </w:tcPr>
          <w:p w14:paraId="5A52DA85">
            <w:pPr>
              <w:pStyle w:val="12"/>
            </w:pPr>
            <w:r>
              <w:t>1.54</w:t>
            </w:r>
          </w:p>
        </w:tc>
        <w:tc>
          <w:tcPr>
            <w:tcW w:w="2835" w:type="dxa"/>
            <w:vAlign w:val="center"/>
          </w:tcPr>
          <w:p w14:paraId="4524789F">
            <w:pPr>
              <w:pStyle w:val="10"/>
            </w:pPr>
            <w:r>
              <w:t>其中：财政    资金</w:t>
            </w:r>
          </w:p>
        </w:tc>
        <w:tc>
          <w:tcPr>
            <w:tcW w:w="2551" w:type="dxa"/>
            <w:vAlign w:val="center"/>
          </w:tcPr>
          <w:p w14:paraId="414EAAF7">
            <w:pPr>
              <w:pStyle w:val="12"/>
            </w:pPr>
            <w:r>
              <w:t>1.54</w:t>
            </w:r>
          </w:p>
        </w:tc>
        <w:tc>
          <w:tcPr>
            <w:tcW w:w="2268" w:type="dxa"/>
            <w:vAlign w:val="center"/>
          </w:tcPr>
          <w:p w14:paraId="0F66126F">
            <w:pPr>
              <w:pStyle w:val="10"/>
            </w:pPr>
            <w:r>
              <w:t>其他资金</w:t>
            </w:r>
          </w:p>
        </w:tc>
        <w:tc>
          <w:tcPr>
            <w:tcW w:w="1276" w:type="dxa"/>
            <w:vAlign w:val="center"/>
          </w:tcPr>
          <w:p w14:paraId="59148D80">
            <w:pPr>
              <w:pStyle w:val="12"/>
            </w:pPr>
            <w:r>
              <w:t xml:space="preserve"> </w:t>
            </w:r>
          </w:p>
        </w:tc>
      </w:tr>
      <w:tr w14:paraId="5AABC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6B037"/>
        </w:tc>
        <w:tc>
          <w:tcPr>
            <w:tcW w:w="14033" w:type="dxa"/>
            <w:gridSpan w:val="6"/>
            <w:vAlign w:val="center"/>
          </w:tcPr>
          <w:p w14:paraId="09D898BB">
            <w:pPr>
              <w:pStyle w:val="12"/>
            </w:pPr>
            <w:r>
              <w:t>保障落实建档立卡及家庭经济困难儿童资助所需资金，确保建档立卡等家庭经济困难幼儿优先获得资助</w:t>
            </w:r>
          </w:p>
        </w:tc>
      </w:tr>
      <w:tr w14:paraId="3633A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B5A81">
            <w:pPr>
              <w:pStyle w:val="10"/>
            </w:pPr>
            <w:r>
              <w:t>资金支出计划（%）</w:t>
            </w:r>
          </w:p>
        </w:tc>
        <w:tc>
          <w:tcPr>
            <w:tcW w:w="5103" w:type="dxa"/>
            <w:gridSpan w:val="2"/>
            <w:vAlign w:val="center"/>
          </w:tcPr>
          <w:p w14:paraId="4BAF5CD6">
            <w:pPr>
              <w:pStyle w:val="10"/>
            </w:pPr>
            <w:r>
              <w:t>3月底</w:t>
            </w:r>
          </w:p>
        </w:tc>
        <w:tc>
          <w:tcPr>
            <w:tcW w:w="2835" w:type="dxa"/>
            <w:vAlign w:val="center"/>
          </w:tcPr>
          <w:p w14:paraId="2D1C7CC7">
            <w:pPr>
              <w:pStyle w:val="10"/>
            </w:pPr>
            <w:r>
              <w:t>6月底</w:t>
            </w:r>
          </w:p>
        </w:tc>
        <w:tc>
          <w:tcPr>
            <w:tcW w:w="2551" w:type="dxa"/>
            <w:vAlign w:val="center"/>
          </w:tcPr>
          <w:p w14:paraId="3F928BDD">
            <w:pPr>
              <w:pStyle w:val="10"/>
            </w:pPr>
            <w:r>
              <w:t>10月底</w:t>
            </w:r>
          </w:p>
        </w:tc>
        <w:tc>
          <w:tcPr>
            <w:tcW w:w="3544" w:type="dxa"/>
            <w:gridSpan w:val="2"/>
            <w:vAlign w:val="center"/>
          </w:tcPr>
          <w:p w14:paraId="14FD7819">
            <w:pPr>
              <w:pStyle w:val="10"/>
            </w:pPr>
            <w:r>
              <w:t>12月底</w:t>
            </w:r>
          </w:p>
        </w:tc>
      </w:tr>
      <w:tr w14:paraId="4D1D4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7D1EC"/>
        </w:tc>
        <w:tc>
          <w:tcPr>
            <w:tcW w:w="5103" w:type="dxa"/>
            <w:gridSpan w:val="2"/>
            <w:vAlign w:val="center"/>
          </w:tcPr>
          <w:p w14:paraId="7EA7D80F">
            <w:pPr>
              <w:pStyle w:val="13"/>
            </w:pPr>
            <w:r>
              <w:t xml:space="preserve"> </w:t>
            </w:r>
          </w:p>
        </w:tc>
        <w:tc>
          <w:tcPr>
            <w:tcW w:w="2835" w:type="dxa"/>
            <w:vAlign w:val="center"/>
          </w:tcPr>
          <w:p w14:paraId="73106481">
            <w:pPr>
              <w:pStyle w:val="13"/>
            </w:pPr>
            <w:r>
              <w:t>50%</w:t>
            </w:r>
          </w:p>
        </w:tc>
        <w:tc>
          <w:tcPr>
            <w:tcW w:w="2551" w:type="dxa"/>
            <w:vAlign w:val="center"/>
          </w:tcPr>
          <w:p w14:paraId="02AFCCDB">
            <w:pPr>
              <w:pStyle w:val="13"/>
            </w:pPr>
            <w:r>
              <w:t>50%</w:t>
            </w:r>
          </w:p>
        </w:tc>
        <w:tc>
          <w:tcPr>
            <w:tcW w:w="3544" w:type="dxa"/>
            <w:gridSpan w:val="2"/>
            <w:vAlign w:val="center"/>
          </w:tcPr>
          <w:p w14:paraId="14D6783C">
            <w:pPr>
              <w:pStyle w:val="13"/>
            </w:pPr>
            <w:r>
              <w:t>100%</w:t>
            </w:r>
          </w:p>
        </w:tc>
      </w:tr>
      <w:tr w14:paraId="40105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0D84C">
            <w:pPr>
              <w:pStyle w:val="10"/>
            </w:pPr>
            <w:r>
              <w:t>绩效目标</w:t>
            </w:r>
          </w:p>
        </w:tc>
        <w:tc>
          <w:tcPr>
            <w:tcW w:w="14033" w:type="dxa"/>
            <w:gridSpan w:val="6"/>
            <w:vAlign w:val="center"/>
          </w:tcPr>
          <w:p w14:paraId="60EDE544">
            <w:pPr>
              <w:pStyle w:val="12"/>
            </w:pPr>
            <w:r>
              <w:t>1.保证本年度资助经费足额落实到位，符合享受资助条件的学生应助尽助。</w:t>
            </w:r>
          </w:p>
          <w:p w14:paraId="1F506005">
            <w:pPr>
              <w:pStyle w:val="12"/>
            </w:pPr>
            <w:r>
              <w:t>2.保障落实建档立卡及家庭经济困难儿童资助所需资金，确保建档立卡等家庭经济困难幼儿优先获得资助</w:t>
            </w:r>
          </w:p>
        </w:tc>
      </w:tr>
    </w:tbl>
    <w:p w14:paraId="53E8F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6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F17A0">
            <w:pPr>
              <w:pStyle w:val="10"/>
            </w:pPr>
            <w:r>
              <w:t>一级指标</w:t>
            </w:r>
          </w:p>
        </w:tc>
        <w:tc>
          <w:tcPr>
            <w:tcW w:w="2268" w:type="dxa"/>
            <w:vAlign w:val="center"/>
          </w:tcPr>
          <w:p w14:paraId="10EE79B6">
            <w:pPr>
              <w:pStyle w:val="10"/>
            </w:pPr>
            <w:r>
              <w:t>二级指标</w:t>
            </w:r>
          </w:p>
        </w:tc>
        <w:tc>
          <w:tcPr>
            <w:tcW w:w="2835" w:type="dxa"/>
            <w:vAlign w:val="center"/>
          </w:tcPr>
          <w:p w14:paraId="5EF6E500">
            <w:pPr>
              <w:pStyle w:val="10"/>
            </w:pPr>
            <w:r>
              <w:t>三级指标</w:t>
            </w:r>
          </w:p>
        </w:tc>
        <w:tc>
          <w:tcPr>
            <w:tcW w:w="5386" w:type="dxa"/>
            <w:vAlign w:val="center"/>
          </w:tcPr>
          <w:p w14:paraId="255359AB">
            <w:pPr>
              <w:pStyle w:val="10"/>
            </w:pPr>
            <w:r>
              <w:t>绩效指标描述</w:t>
            </w:r>
          </w:p>
        </w:tc>
        <w:tc>
          <w:tcPr>
            <w:tcW w:w="2268" w:type="dxa"/>
            <w:vAlign w:val="center"/>
          </w:tcPr>
          <w:p w14:paraId="63993A78">
            <w:pPr>
              <w:pStyle w:val="10"/>
            </w:pPr>
            <w:r>
              <w:t>指标值</w:t>
            </w:r>
          </w:p>
        </w:tc>
        <w:tc>
          <w:tcPr>
            <w:tcW w:w="1276" w:type="dxa"/>
            <w:vAlign w:val="center"/>
          </w:tcPr>
          <w:p w14:paraId="0792DB01">
            <w:pPr>
              <w:pStyle w:val="10"/>
            </w:pPr>
            <w:r>
              <w:t>指标值确定依据</w:t>
            </w:r>
          </w:p>
        </w:tc>
      </w:tr>
      <w:tr w14:paraId="1E1F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59FAD">
            <w:pPr>
              <w:pStyle w:val="13"/>
            </w:pPr>
            <w:r>
              <w:t>产出指标</w:t>
            </w:r>
          </w:p>
        </w:tc>
        <w:tc>
          <w:tcPr>
            <w:tcW w:w="2268" w:type="dxa"/>
            <w:vAlign w:val="center"/>
          </w:tcPr>
          <w:p w14:paraId="34D41F76">
            <w:pPr>
              <w:pStyle w:val="12"/>
            </w:pPr>
            <w:r>
              <w:t>数量指标</w:t>
            </w:r>
          </w:p>
        </w:tc>
        <w:tc>
          <w:tcPr>
            <w:tcW w:w="2835" w:type="dxa"/>
            <w:vAlign w:val="center"/>
          </w:tcPr>
          <w:p w14:paraId="247E7A29">
            <w:pPr>
              <w:pStyle w:val="12"/>
            </w:pPr>
            <w:r>
              <w:t>幼儿资助比例</w:t>
            </w:r>
          </w:p>
        </w:tc>
        <w:tc>
          <w:tcPr>
            <w:tcW w:w="5386" w:type="dxa"/>
            <w:vAlign w:val="center"/>
          </w:tcPr>
          <w:p w14:paraId="4282DA4B">
            <w:pPr>
              <w:pStyle w:val="12"/>
            </w:pPr>
            <w:r>
              <w:t>按学前适龄在园儿童10%测算</w:t>
            </w:r>
          </w:p>
        </w:tc>
        <w:tc>
          <w:tcPr>
            <w:tcW w:w="2268" w:type="dxa"/>
            <w:vAlign w:val="center"/>
          </w:tcPr>
          <w:p w14:paraId="77CB41AC">
            <w:pPr>
              <w:pStyle w:val="12"/>
            </w:pPr>
            <w:r>
              <w:t>77人</w:t>
            </w:r>
          </w:p>
        </w:tc>
        <w:tc>
          <w:tcPr>
            <w:tcW w:w="1276" w:type="dxa"/>
            <w:vAlign w:val="center"/>
          </w:tcPr>
          <w:p w14:paraId="7E9609C2">
            <w:pPr>
              <w:pStyle w:val="12"/>
            </w:pPr>
            <w:r>
              <w:t>幼儿资助经费管理办法</w:t>
            </w:r>
          </w:p>
        </w:tc>
      </w:tr>
      <w:tr w14:paraId="0306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DC7D9"/>
        </w:tc>
        <w:tc>
          <w:tcPr>
            <w:tcW w:w="2268" w:type="dxa"/>
            <w:vAlign w:val="center"/>
          </w:tcPr>
          <w:p w14:paraId="04CD62D9">
            <w:pPr>
              <w:pStyle w:val="12"/>
            </w:pPr>
            <w:r>
              <w:t>质量指标</w:t>
            </w:r>
          </w:p>
        </w:tc>
        <w:tc>
          <w:tcPr>
            <w:tcW w:w="2835" w:type="dxa"/>
            <w:vAlign w:val="center"/>
          </w:tcPr>
          <w:p w14:paraId="2A451BC6">
            <w:pPr>
              <w:pStyle w:val="12"/>
            </w:pPr>
            <w:r>
              <w:t>资助资金使用率</w:t>
            </w:r>
          </w:p>
        </w:tc>
        <w:tc>
          <w:tcPr>
            <w:tcW w:w="5386" w:type="dxa"/>
            <w:vAlign w:val="center"/>
          </w:tcPr>
          <w:p w14:paraId="284CEC27">
            <w:pPr>
              <w:pStyle w:val="12"/>
            </w:pPr>
            <w:r>
              <w:t>符合享受资助条件的学生应助尽助</w:t>
            </w:r>
          </w:p>
        </w:tc>
        <w:tc>
          <w:tcPr>
            <w:tcW w:w="2268" w:type="dxa"/>
            <w:vAlign w:val="center"/>
          </w:tcPr>
          <w:p w14:paraId="0B165541">
            <w:pPr>
              <w:pStyle w:val="12"/>
            </w:pPr>
            <w:r>
              <w:t>100%</w:t>
            </w:r>
          </w:p>
        </w:tc>
        <w:tc>
          <w:tcPr>
            <w:tcW w:w="1276" w:type="dxa"/>
            <w:vAlign w:val="center"/>
          </w:tcPr>
          <w:p w14:paraId="1B7D9BA3">
            <w:pPr>
              <w:pStyle w:val="12"/>
            </w:pPr>
            <w:r>
              <w:t>幼儿资助经费管理办法</w:t>
            </w:r>
          </w:p>
        </w:tc>
      </w:tr>
      <w:tr w14:paraId="5059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09B61"/>
        </w:tc>
        <w:tc>
          <w:tcPr>
            <w:tcW w:w="2268" w:type="dxa"/>
            <w:vAlign w:val="center"/>
          </w:tcPr>
          <w:p w14:paraId="7B62614A">
            <w:pPr>
              <w:pStyle w:val="12"/>
            </w:pPr>
            <w:r>
              <w:t>时效指标</w:t>
            </w:r>
          </w:p>
        </w:tc>
        <w:tc>
          <w:tcPr>
            <w:tcW w:w="2835" w:type="dxa"/>
            <w:vAlign w:val="center"/>
          </w:tcPr>
          <w:p w14:paraId="684E1265">
            <w:pPr>
              <w:pStyle w:val="12"/>
            </w:pPr>
            <w:r>
              <w:t>资金拨付率</w:t>
            </w:r>
          </w:p>
        </w:tc>
        <w:tc>
          <w:tcPr>
            <w:tcW w:w="5386" w:type="dxa"/>
            <w:vAlign w:val="center"/>
          </w:tcPr>
          <w:p w14:paraId="3A8E858A">
            <w:pPr>
              <w:pStyle w:val="12"/>
            </w:pPr>
            <w:r>
              <w:t>所有项目资金支付进度</w:t>
            </w:r>
          </w:p>
        </w:tc>
        <w:tc>
          <w:tcPr>
            <w:tcW w:w="2268" w:type="dxa"/>
            <w:vAlign w:val="center"/>
          </w:tcPr>
          <w:p w14:paraId="3475E1DD">
            <w:pPr>
              <w:pStyle w:val="12"/>
            </w:pPr>
            <w:r>
              <w:t>100%</w:t>
            </w:r>
          </w:p>
        </w:tc>
        <w:tc>
          <w:tcPr>
            <w:tcW w:w="1276" w:type="dxa"/>
            <w:vAlign w:val="center"/>
          </w:tcPr>
          <w:p w14:paraId="28ED3716">
            <w:pPr>
              <w:pStyle w:val="12"/>
            </w:pPr>
            <w:r>
              <w:t>幼儿资助经费管理办法</w:t>
            </w:r>
          </w:p>
        </w:tc>
      </w:tr>
      <w:tr w14:paraId="31C9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B2C86"/>
        </w:tc>
        <w:tc>
          <w:tcPr>
            <w:tcW w:w="2268" w:type="dxa"/>
            <w:vAlign w:val="center"/>
          </w:tcPr>
          <w:p w14:paraId="0F0006F0">
            <w:pPr>
              <w:pStyle w:val="12"/>
            </w:pPr>
            <w:r>
              <w:t>成本指标</w:t>
            </w:r>
          </w:p>
        </w:tc>
        <w:tc>
          <w:tcPr>
            <w:tcW w:w="2835" w:type="dxa"/>
            <w:vAlign w:val="center"/>
          </w:tcPr>
          <w:p w14:paraId="01A44CC4">
            <w:pPr>
              <w:pStyle w:val="12"/>
            </w:pPr>
            <w:r>
              <w:t>幼儿园生均成本</w:t>
            </w:r>
          </w:p>
        </w:tc>
        <w:tc>
          <w:tcPr>
            <w:tcW w:w="5386" w:type="dxa"/>
            <w:vAlign w:val="center"/>
          </w:tcPr>
          <w:p w14:paraId="130F007A">
            <w:pPr>
              <w:pStyle w:val="12"/>
            </w:pPr>
            <w:r>
              <w:t>按照幼儿园资助标准1000元/生/年</w:t>
            </w:r>
          </w:p>
        </w:tc>
        <w:tc>
          <w:tcPr>
            <w:tcW w:w="2268" w:type="dxa"/>
            <w:vAlign w:val="center"/>
          </w:tcPr>
          <w:p w14:paraId="1B445246">
            <w:pPr>
              <w:pStyle w:val="12"/>
            </w:pPr>
            <w:r>
              <w:t>1000元</w:t>
            </w:r>
          </w:p>
        </w:tc>
        <w:tc>
          <w:tcPr>
            <w:tcW w:w="1276" w:type="dxa"/>
            <w:vAlign w:val="center"/>
          </w:tcPr>
          <w:p w14:paraId="4AAC5CE6">
            <w:pPr>
              <w:pStyle w:val="12"/>
            </w:pPr>
            <w:r>
              <w:t>幼儿资助经费管理办法</w:t>
            </w:r>
          </w:p>
        </w:tc>
      </w:tr>
      <w:tr w14:paraId="46BB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8DE16">
            <w:pPr>
              <w:pStyle w:val="13"/>
            </w:pPr>
            <w:r>
              <w:t>效益指标</w:t>
            </w:r>
          </w:p>
        </w:tc>
        <w:tc>
          <w:tcPr>
            <w:tcW w:w="2268" w:type="dxa"/>
            <w:vAlign w:val="center"/>
          </w:tcPr>
          <w:p w14:paraId="492D6207">
            <w:pPr>
              <w:pStyle w:val="12"/>
            </w:pPr>
            <w:r>
              <w:t>可持续影响指标</w:t>
            </w:r>
          </w:p>
        </w:tc>
        <w:tc>
          <w:tcPr>
            <w:tcW w:w="2835" w:type="dxa"/>
            <w:vAlign w:val="center"/>
          </w:tcPr>
          <w:p w14:paraId="6D55DC15">
            <w:pPr>
              <w:pStyle w:val="12"/>
            </w:pPr>
            <w:r>
              <w:t>幼儿园正常运转</w:t>
            </w:r>
          </w:p>
        </w:tc>
        <w:tc>
          <w:tcPr>
            <w:tcW w:w="5386" w:type="dxa"/>
            <w:vAlign w:val="center"/>
          </w:tcPr>
          <w:p w14:paraId="43DFD9D2">
            <w:pPr>
              <w:pStyle w:val="12"/>
            </w:pPr>
            <w:r>
              <w:t>幼儿受教育年限</w:t>
            </w:r>
          </w:p>
        </w:tc>
        <w:tc>
          <w:tcPr>
            <w:tcW w:w="2268" w:type="dxa"/>
            <w:vAlign w:val="center"/>
          </w:tcPr>
          <w:p w14:paraId="0A1E8C9B">
            <w:pPr>
              <w:pStyle w:val="12"/>
            </w:pPr>
            <w:r>
              <w:t>3年</w:t>
            </w:r>
          </w:p>
        </w:tc>
        <w:tc>
          <w:tcPr>
            <w:tcW w:w="1276" w:type="dxa"/>
            <w:vAlign w:val="center"/>
          </w:tcPr>
          <w:p w14:paraId="0EDCA456">
            <w:pPr>
              <w:pStyle w:val="12"/>
            </w:pPr>
            <w:r>
              <w:t>幼儿资助经费管理办法</w:t>
            </w:r>
          </w:p>
        </w:tc>
      </w:tr>
      <w:tr w14:paraId="6B65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F2059">
            <w:pPr>
              <w:pStyle w:val="13"/>
            </w:pPr>
            <w:r>
              <w:t>满意度指标</w:t>
            </w:r>
          </w:p>
        </w:tc>
        <w:tc>
          <w:tcPr>
            <w:tcW w:w="2268" w:type="dxa"/>
            <w:vAlign w:val="center"/>
          </w:tcPr>
          <w:p w14:paraId="50D21BCC">
            <w:pPr>
              <w:pStyle w:val="12"/>
            </w:pPr>
            <w:r>
              <w:t>服务对象满意度指标</w:t>
            </w:r>
          </w:p>
        </w:tc>
        <w:tc>
          <w:tcPr>
            <w:tcW w:w="2835" w:type="dxa"/>
            <w:vAlign w:val="center"/>
          </w:tcPr>
          <w:p w14:paraId="4C736C07">
            <w:pPr>
              <w:pStyle w:val="12"/>
            </w:pPr>
            <w:r>
              <w:t>受益幼儿家长及调查满意度</w:t>
            </w:r>
          </w:p>
        </w:tc>
        <w:tc>
          <w:tcPr>
            <w:tcW w:w="5386" w:type="dxa"/>
            <w:vAlign w:val="center"/>
          </w:tcPr>
          <w:p w14:paraId="5EF2BD55">
            <w:pPr>
              <w:pStyle w:val="12"/>
            </w:pPr>
            <w:r>
              <w:t>学生、教师及家长对学校保教保育工作满意度情况</w:t>
            </w:r>
          </w:p>
        </w:tc>
        <w:tc>
          <w:tcPr>
            <w:tcW w:w="2268" w:type="dxa"/>
            <w:vAlign w:val="center"/>
          </w:tcPr>
          <w:p w14:paraId="58860706">
            <w:pPr>
              <w:pStyle w:val="12"/>
            </w:pPr>
            <w:r>
              <w:t>≥95%</w:t>
            </w:r>
          </w:p>
        </w:tc>
        <w:tc>
          <w:tcPr>
            <w:tcW w:w="1276" w:type="dxa"/>
            <w:vAlign w:val="center"/>
          </w:tcPr>
          <w:p w14:paraId="0447E34F">
            <w:pPr>
              <w:pStyle w:val="12"/>
            </w:pPr>
            <w:r>
              <w:t>幼儿资助经费管理办法</w:t>
            </w:r>
          </w:p>
        </w:tc>
      </w:tr>
    </w:tbl>
    <w:p w14:paraId="4B501E35">
      <w:pPr>
        <w:sectPr>
          <w:pgSz w:w="16840" w:h="11900" w:orient="landscape"/>
          <w:pgMar w:top="1361" w:right="1020" w:bottom="1134" w:left="1020" w:header="720" w:footer="720" w:gutter="0"/>
          <w:cols w:space="720" w:num="1"/>
        </w:sectPr>
      </w:pPr>
    </w:p>
    <w:p w14:paraId="5FA6C4BA">
      <w:pPr>
        <w:spacing w:before="0" w:after="0"/>
        <w:ind w:firstLine="560"/>
        <w:jc w:val="left"/>
        <w:outlineLvl w:val="9"/>
      </w:pPr>
      <w:r>
        <w:rPr>
          <w:rFonts w:ascii="方正仿宋_GBK" w:hAnsi="方正仿宋_GBK" w:eastAsia="方正仿宋_GBK" w:cs="方正仿宋_GBK"/>
          <w:b/>
          <w:color w:val="000000"/>
          <w:sz w:val="28"/>
        </w:rPr>
        <w:t>35、县级配套/东良校区泽畔小学公用经费绩效目标表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42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96361">
            <w:pPr>
              <w:pStyle w:val="11"/>
            </w:pPr>
            <w:r>
              <w:t>单位：万元</w:t>
            </w:r>
          </w:p>
        </w:tc>
      </w:tr>
      <w:tr w14:paraId="57095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239D3">
            <w:pPr>
              <w:pStyle w:val="10"/>
            </w:pPr>
            <w:r>
              <w:t>项目编码</w:t>
            </w:r>
          </w:p>
        </w:tc>
        <w:tc>
          <w:tcPr>
            <w:tcW w:w="5103" w:type="dxa"/>
            <w:gridSpan w:val="2"/>
            <w:vAlign w:val="center"/>
          </w:tcPr>
          <w:p w14:paraId="3D872285">
            <w:pPr>
              <w:pStyle w:val="12"/>
            </w:pPr>
            <w:r>
              <w:t>13052526P00000410441N</w:t>
            </w:r>
          </w:p>
        </w:tc>
        <w:tc>
          <w:tcPr>
            <w:tcW w:w="2835" w:type="dxa"/>
            <w:vAlign w:val="center"/>
          </w:tcPr>
          <w:p w14:paraId="6935E6AB">
            <w:pPr>
              <w:pStyle w:val="10"/>
            </w:pPr>
            <w:r>
              <w:t>项目名称</w:t>
            </w:r>
          </w:p>
        </w:tc>
        <w:tc>
          <w:tcPr>
            <w:tcW w:w="6095" w:type="dxa"/>
            <w:gridSpan w:val="3"/>
            <w:vAlign w:val="center"/>
          </w:tcPr>
          <w:p w14:paraId="6B0EA539">
            <w:pPr>
              <w:pStyle w:val="12"/>
            </w:pPr>
            <w:r>
              <w:t>县级配套/东良校区泽畔小学公用经费</w:t>
            </w:r>
          </w:p>
        </w:tc>
      </w:tr>
      <w:tr w14:paraId="6BC4D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F7913">
            <w:pPr>
              <w:pStyle w:val="10"/>
            </w:pPr>
            <w:r>
              <w:t>预算规模及资金用途</w:t>
            </w:r>
          </w:p>
        </w:tc>
        <w:tc>
          <w:tcPr>
            <w:tcW w:w="2268" w:type="dxa"/>
            <w:vAlign w:val="center"/>
          </w:tcPr>
          <w:p w14:paraId="3FF0F05F">
            <w:pPr>
              <w:pStyle w:val="10"/>
            </w:pPr>
            <w:r>
              <w:t>预算数</w:t>
            </w:r>
          </w:p>
        </w:tc>
        <w:tc>
          <w:tcPr>
            <w:tcW w:w="2835" w:type="dxa"/>
            <w:vAlign w:val="center"/>
          </w:tcPr>
          <w:p w14:paraId="41A28130">
            <w:pPr>
              <w:pStyle w:val="12"/>
            </w:pPr>
            <w:r>
              <w:t>8.48</w:t>
            </w:r>
          </w:p>
        </w:tc>
        <w:tc>
          <w:tcPr>
            <w:tcW w:w="2835" w:type="dxa"/>
            <w:vAlign w:val="center"/>
          </w:tcPr>
          <w:p w14:paraId="1B148AEF">
            <w:pPr>
              <w:pStyle w:val="10"/>
            </w:pPr>
            <w:r>
              <w:t>其中：财政    资金</w:t>
            </w:r>
          </w:p>
        </w:tc>
        <w:tc>
          <w:tcPr>
            <w:tcW w:w="2551" w:type="dxa"/>
            <w:vAlign w:val="center"/>
          </w:tcPr>
          <w:p w14:paraId="6009BEFA">
            <w:pPr>
              <w:pStyle w:val="12"/>
            </w:pPr>
            <w:r>
              <w:t>8.48</w:t>
            </w:r>
          </w:p>
        </w:tc>
        <w:tc>
          <w:tcPr>
            <w:tcW w:w="2268" w:type="dxa"/>
            <w:vAlign w:val="center"/>
          </w:tcPr>
          <w:p w14:paraId="27B95FBC">
            <w:pPr>
              <w:pStyle w:val="10"/>
            </w:pPr>
            <w:r>
              <w:t>其他资金</w:t>
            </w:r>
          </w:p>
        </w:tc>
        <w:tc>
          <w:tcPr>
            <w:tcW w:w="1276" w:type="dxa"/>
            <w:vAlign w:val="center"/>
          </w:tcPr>
          <w:p w14:paraId="1B4FE388">
            <w:pPr>
              <w:pStyle w:val="12"/>
            </w:pPr>
            <w:r>
              <w:t xml:space="preserve"> </w:t>
            </w:r>
          </w:p>
        </w:tc>
      </w:tr>
      <w:tr w14:paraId="785C3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214EC"/>
        </w:tc>
        <w:tc>
          <w:tcPr>
            <w:tcW w:w="14033" w:type="dxa"/>
            <w:gridSpan w:val="6"/>
            <w:vAlign w:val="center"/>
          </w:tcPr>
          <w:p w14:paraId="76EF6F8D">
            <w:pPr>
              <w:pStyle w:val="12"/>
            </w:pPr>
            <w:r>
              <w:t>保障义务教育学校正常运转，完成教育教学活动和其他日常工作任务等方面的费用支出。</w:t>
            </w:r>
          </w:p>
        </w:tc>
      </w:tr>
      <w:tr w14:paraId="766AE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302B3">
            <w:pPr>
              <w:pStyle w:val="10"/>
            </w:pPr>
            <w:r>
              <w:t>资金支出计划（%）</w:t>
            </w:r>
          </w:p>
        </w:tc>
        <w:tc>
          <w:tcPr>
            <w:tcW w:w="5103" w:type="dxa"/>
            <w:gridSpan w:val="2"/>
            <w:vAlign w:val="center"/>
          </w:tcPr>
          <w:p w14:paraId="31C21A6C">
            <w:pPr>
              <w:pStyle w:val="10"/>
            </w:pPr>
            <w:r>
              <w:t>3月底</w:t>
            </w:r>
          </w:p>
        </w:tc>
        <w:tc>
          <w:tcPr>
            <w:tcW w:w="2835" w:type="dxa"/>
            <w:vAlign w:val="center"/>
          </w:tcPr>
          <w:p w14:paraId="05B8C3F7">
            <w:pPr>
              <w:pStyle w:val="10"/>
            </w:pPr>
            <w:r>
              <w:t>6月底</w:t>
            </w:r>
          </w:p>
        </w:tc>
        <w:tc>
          <w:tcPr>
            <w:tcW w:w="2551" w:type="dxa"/>
            <w:vAlign w:val="center"/>
          </w:tcPr>
          <w:p w14:paraId="16594CED">
            <w:pPr>
              <w:pStyle w:val="10"/>
            </w:pPr>
            <w:r>
              <w:t>10月底</w:t>
            </w:r>
          </w:p>
        </w:tc>
        <w:tc>
          <w:tcPr>
            <w:tcW w:w="3544" w:type="dxa"/>
            <w:gridSpan w:val="2"/>
            <w:vAlign w:val="center"/>
          </w:tcPr>
          <w:p w14:paraId="109721CF">
            <w:pPr>
              <w:pStyle w:val="10"/>
            </w:pPr>
            <w:r>
              <w:t>12月底</w:t>
            </w:r>
          </w:p>
        </w:tc>
      </w:tr>
      <w:tr w14:paraId="07022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3C30D"/>
        </w:tc>
        <w:tc>
          <w:tcPr>
            <w:tcW w:w="5103" w:type="dxa"/>
            <w:gridSpan w:val="2"/>
            <w:vAlign w:val="center"/>
          </w:tcPr>
          <w:p w14:paraId="3686EFA3">
            <w:pPr>
              <w:pStyle w:val="13"/>
            </w:pPr>
            <w:r>
              <w:t>25%</w:t>
            </w:r>
          </w:p>
        </w:tc>
        <w:tc>
          <w:tcPr>
            <w:tcW w:w="2835" w:type="dxa"/>
            <w:vAlign w:val="center"/>
          </w:tcPr>
          <w:p w14:paraId="437ECB28">
            <w:pPr>
              <w:pStyle w:val="13"/>
            </w:pPr>
            <w:r>
              <w:t>50%</w:t>
            </w:r>
          </w:p>
        </w:tc>
        <w:tc>
          <w:tcPr>
            <w:tcW w:w="2551" w:type="dxa"/>
            <w:vAlign w:val="center"/>
          </w:tcPr>
          <w:p w14:paraId="55561F85">
            <w:pPr>
              <w:pStyle w:val="13"/>
            </w:pPr>
            <w:r>
              <w:t>75%</w:t>
            </w:r>
          </w:p>
        </w:tc>
        <w:tc>
          <w:tcPr>
            <w:tcW w:w="3544" w:type="dxa"/>
            <w:gridSpan w:val="2"/>
            <w:vAlign w:val="center"/>
          </w:tcPr>
          <w:p w14:paraId="7656A320">
            <w:pPr>
              <w:pStyle w:val="13"/>
            </w:pPr>
            <w:r>
              <w:t>100%</w:t>
            </w:r>
          </w:p>
        </w:tc>
      </w:tr>
      <w:tr w14:paraId="0F450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567CE">
            <w:pPr>
              <w:pStyle w:val="10"/>
            </w:pPr>
            <w:r>
              <w:t>绩效目标</w:t>
            </w:r>
          </w:p>
        </w:tc>
        <w:tc>
          <w:tcPr>
            <w:tcW w:w="14033" w:type="dxa"/>
            <w:gridSpan w:val="6"/>
            <w:vAlign w:val="center"/>
          </w:tcPr>
          <w:p w14:paraId="6CB41295">
            <w:pPr>
              <w:pStyle w:val="12"/>
            </w:pPr>
            <w:r>
              <w:t>1.保障义务教育学校正常运转，完成教育教学活动和其他日常工作任务等方面的费用支出。</w:t>
            </w:r>
          </w:p>
          <w:p w14:paraId="60C6D487">
            <w:pPr>
              <w:pStyle w:val="12"/>
            </w:pPr>
            <w:r>
              <w:t>2.按季度分批次拨付公用经费资金84820元，资金拨付率达到100%。</w:t>
            </w:r>
          </w:p>
        </w:tc>
      </w:tr>
    </w:tbl>
    <w:p w14:paraId="1A6EC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A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755A0">
            <w:pPr>
              <w:pStyle w:val="10"/>
            </w:pPr>
            <w:r>
              <w:t>一级指标</w:t>
            </w:r>
          </w:p>
        </w:tc>
        <w:tc>
          <w:tcPr>
            <w:tcW w:w="2268" w:type="dxa"/>
            <w:vAlign w:val="center"/>
          </w:tcPr>
          <w:p w14:paraId="6208B80B">
            <w:pPr>
              <w:pStyle w:val="10"/>
            </w:pPr>
            <w:r>
              <w:t>二级指标</w:t>
            </w:r>
          </w:p>
        </w:tc>
        <w:tc>
          <w:tcPr>
            <w:tcW w:w="2835" w:type="dxa"/>
            <w:vAlign w:val="center"/>
          </w:tcPr>
          <w:p w14:paraId="1E82C907">
            <w:pPr>
              <w:pStyle w:val="10"/>
            </w:pPr>
            <w:r>
              <w:t>三级指标</w:t>
            </w:r>
          </w:p>
        </w:tc>
        <w:tc>
          <w:tcPr>
            <w:tcW w:w="5386" w:type="dxa"/>
            <w:vAlign w:val="center"/>
          </w:tcPr>
          <w:p w14:paraId="2F6B3D17">
            <w:pPr>
              <w:pStyle w:val="10"/>
            </w:pPr>
            <w:r>
              <w:t>绩效指标描述</w:t>
            </w:r>
          </w:p>
        </w:tc>
        <w:tc>
          <w:tcPr>
            <w:tcW w:w="2268" w:type="dxa"/>
            <w:vAlign w:val="center"/>
          </w:tcPr>
          <w:p w14:paraId="6EB84526">
            <w:pPr>
              <w:pStyle w:val="10"/>
            </w:pPr>
            <w:r>
              <w:t>指标值</w:t>
            </w:r>
          </w:p>
        </w:tc>
        <w:tc>
          <w:tcPr>
            <w:tcW w:w="1276" w:type="dxa"/>
            <w:vAlign w:val="center"/>
          </w:tcPr>
          <w:p w14:paraId="62E9AADC">
            <w:pPr>
              <w:pStyle w:val="10"/>
            </w:pPr>
            <w:r>
              <w:t>指标值确定依据</w:t>
            </w:r>
          </w:p>
        </w:tc>
      </w:tr>
      <w:tr w14:paraId="4815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1A310">
            <w:pPr>
              <w:pStyle w:val="13"/>
            </w:pPr>
            <w:r>
              <w:t>产出指标</w:t>
            </w:r>
          </w:p>
        </w:tc>
        <w:tc>
          <w:tcPr>
            <w:tcW w:w="2268" w:type="dxa"/>
            <w:vAlign w:val="center"/>
          </w:tcPr>
          <w:p w14:paraId="48E41213">
            <w:pPr>
              <w:pStyle w:val="12"/>
            </w:pPr>
            <w:r>
              <w:t>数量指标</w:t>
            </w:r>
          </w:p>
        </w:tc>
        <w:tc>
          <w:tcPr>
            <w:tcW w:w="2835" w:type="dxa"/>
            <w:vAlign w:val="center"/>
          </w:tcPr>
          <w:p w14:paraId="021C7851">
            <w:pPr>
              <w:pStyle w:val="12"/>
            </w:pPr>
            <w:r>
              <w:t>适龄在校生</w:t>
            </w:r>
          </w:p>
        </w:tc>
        <w:tc>
          <w:tcPr>
            <w:tcW w:w="5386" w:type="dxa"/>
            <w:vAlign w:val="center"/>
          </w:tcPr>
          <w:p w14:paraId="1EDBE2EA">
            <w:pPr>
              <w:pStyle w:val="12"/>
            </w:pPr>
            <w:r>
              <w:t>适龄在校就读学生人数</w:t>
            </w:r>
          </w:p>
        </w:tc>
        <w:tc>
          <w:tcPr>
            <w:tcW w:w="2268" w:type="dxa"/>
            <w:vAlign w:val="center"/>
          </w:tcPr>
          <w:p w14:paraId="284E55D9">
            <w:pPr>
              <w:pStyle w:val="12"/>
            </w:pPr>
            <w:r>
              <w:t>890人</w:t>
            </w:r>
          </w:p>
        </w:tc>
        <w:tc>
          <w:tcPr>
            <w:tcW w:w="1276" w:type="dxa"/>
            <w:vAlign w:val="center"/>
          </w:tcPr>
          <w:p w14:paraId="370B1126">
            <w:pPr>
              <w:pStyle w:val="12"/>
            </w:pPr>
            <w:r>
              <w:t>城乡义务教育公用经费管理办法</w:t>
            </w:r>
          </w:p>
        </w:tc>
      </w:tr>
      <w:tr w14:paraId="28B2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2F016"/>
        </w:tc>
        <w:tc>
          <w:tcPr>
            <w:tcW w:w="2268" w:type="dxa"/>
            <w:vAlign w:val="center"/>
          </w:tcPr>
          <w:p w14:paraId="7FB9CACF">
            <w:pPr>
              <w:pStyle w:val="12"/>
            </w:pPr>
            <w:r>
              <w:t>质量指标</w:t>
            </w:r>
          </w:p>
        </w:tc>
        <w:tc>
          <w:tcPr>
            <w:tcW w:w="2835" w:type="dxa"/>
            <w:vAlign w:val="center"/>
          </w:tcPr>
          <w:p w14:paraId="5C548325">
            <w:pPr>
              <w:pStyle w:val="12"/>
            </w:pPr>
            <w:r>
              <w:t>公用经费拨付完成率</w:t>
            </w:r>
          </w:p>
        </w:tc>
        <w:tc>
          <w:tcPr>
            <w:tcW w:w="5386" w:type="dxa"/>
            <w:vAlign w:val="center"/>
          </w:tcPr>
          <w:p w14:paraId="716F3F0A">
            <w:pPr>
              <w:pStyle w:val="12"/>
            </w:pPr>
            <w:r>
              <w:t>公用经费拨付完成率达到需时进度</w:t>
            </w:r>
          </w:p>
        </w:tc>
        <w:tc>
          <w:tcPr>
            <w:tcW w:w="2268" w:type="dxa"/>
            <w:vAlign w:val="center"/>
          </w:tcPr>
          <w:p w14:paraId="7A995B82">
            <w:pPr>
              <w:pStyle w:val="12"/>
            </w:pPr>
            <w:r>
              <w:t>100%</w:t>
            </w:r>
          </w:p>
        </w:tc>
        <w:tc>
          <w:tcPr>
            <w:tcW w:w="1276" w:type="dxa"/>
            <w:vAlign w:val="center"/>
          </w:tcPr>
          <w:p w14:paraId="24D85E47">
            <w:pPr>
              <w:pStyle w:val="12"/>
            </w:pPr>
            <w:r>
              <w:t>城乡义务教育公用经费管理办法</w:t>
            </w:r>
          </w:p>
        </w:tc>
      </w:tr>
      <w:tr w14:paraId="7EA4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91B3A"/>
        </w:tc>
        <w:tc>
          <w:tcPr>
            <w:tcW w:w="2268" w:type="dxa"/>
            <w:vAlign w:val="center"/>
          </w:tcPr>
          <w:p w14:paraId="1D264AC7">
            <w:pPr>
              <w:pStyle w:val="12"/>
            </w:pPr>
            <w:r>
              <w:t>时效指标</w:t>
            </w:r>
          </w:p>
        </w:tc>
        <w:tc>
          <w:tcPr>
            <w:tcW w:w="2835" w:type="dxa"/>
            <w:vAlign w:val="center"/>
          </w:tcPr>
          <w:p w14:paraId="08104F81">
            <w:pPr>
              <w:pStyle w:val="12"/>
            </w:pPr>
            <w:r>
              <w:t>资金支付率</w:t>
            </w:r>
          </w:p>
        </w:tc>
        <w:tc>
          <w:tcPr>
            <w:tcW w:w="5386" w:type="dxa"/>
            <w:vAlign w:val="center"/>
          </w:tcPr>
          <w:p w14:paraId="5613396D">
            <w:pPr>
              <w:pStyle w:val="12"/>
            </w:pPr>
            <w:r>
              <w:t>按照序时进度完成资金支付</w:t>
            </w:r>
          </w:p>
        </w:tc>
        <w:tc>
          <w:tcPr>
            <w:tcW w:w="2268" w:type="dxa"/>
            <w:vAlign w:val="center"/>
          </w:tcPr>
          <w:p w14:paraId="2C5701A5">
            <w:pPr>
              <w:pStyle w:val="12"/>
            </w:pPr>
            <w:r>
              <w:t>100%</w:t>
            </w:r>
          </w:p>
        </w:tc>
        <w:tc>
          <w:tcPr>
            <w:tcW w:w="1276" w:type="dxa"/>
            <w:vAlign w:val="center"/>
          </w:tcPr>
          <w:p w14:paraId="52096086">
            <w:pPr>
              <w:pStyle w:val="12"/>
            </w:pPr>
            <w:r>
              <w:t>城乡义务教育公用经费管理办法</w:t>
            </w:r>
          </w:p>
        </w:tc>
      </w:tr>
      <w:tr w14:paraId="52E9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2E32"/>
        </w:tc>
        <w:tc>
          <w:tcPr>
            <w:tcW w:w="2268" w:type="dxa"/>
            <w:vAlign w:val="center"/>
          </w:tcPr>
          <w:p w14:paraId="7C88211C">
            <w:pPr>
              <w:pStyle w:val="12"/>
            </w:pPr>
            <w:r>
              <w:t>成本指标</w:t>
            </w:r>
          </w:p>
        </w:tc>
        <w:tc>
          <w:tcPr>
            <w:tcW w:w="2835" w:type="dxa"/>
            <w:vAlign w:val="center"/>
          </w:tcPr>
          <w:p w14:paraId="698A56BF">
            <w:pPr>
              <w:pStyle w:val="12"/>
            </w:pPr>
            <w:r>
              <w:t>生均拨款标准</w:t>
            </w:r>
          </w:p>
        </w:tc>
        <w:tc>
          <w:tcPr>
            <w:tcW w:w="5386" w:type="dxa"/>
            <w:vAlign w:val="center"/>
          </w:tcPr>
          <w:p w14:paraId="565877AC">
            <w:pPr>
              <w:pStyle w:val="12"/>
            </w:pPr>
            <w:r>
              <w:t>小学：（基本标准720元、寄宿生300元、取暖费120元）/生/学年；特教、随班就读学生：标准7000元/生/学年。</w:t>
            </w:r>
          </w:p>
        </w:tc>
        <w:tc>
          <w:tcPr>
            <w:tcW w:w="2268" w:type="dxa"/>
            <w:vAlign w:val="center"/>
          </w:tcPr>
          <w:p w14:paraId="154225BF">
            <w:pPr>
              <w:pStyle w:val="12"/>
            </w:pPr>
            <w:r>
              <w:t>840元</w:t>
            </w:r>
          </w:p>
        </w:tc>
        <w:tc>
          <w:tcPr>
            <w:tcW w:w="1276" w:type="dxa"/>
            <w:vAlign w:val="center"/>
          </w:tcPr>
          <w:p w14:paraId="51F89027">
            <w:pPr>
              <w:pStyle w:val="12"/>
            </w:pPr>
            <w:r>
              <w:t>城乡义务教育公用经费管理办法</w:t>
            </w:r>
          </w:p>
        </w:tc>
      </w:tr>
      <w:tr w14:paraId="1479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3EEED">
            <w:pPr>
              <w:pStyle w:val="13"/>
            </w:pPr>
            <w:r>
              <w:t>效益指标</w:t>
            </w:r>
          </w:p>
        </w:tc>
        <w:tc>
          <w:tcPr>
            <w:tcW w:w="2268" w:type="dxa"/>
            <w:vAlign w:val="center"/>
          </w:tcPr>
          <w:p w14:paraId="230F1C3F">
            <w:pPr>
              <w:pStyle w:val="12"/>
            </w:pPr>
            <w:r>
              <w:t>经济效益指标</w:t>
            </w:r>
          </w:p>
        </w:tc>
        <w:tc>
          <w:tcPr>
            <w:tcW w:w="2835" w:type="dxa"/>
            <w:vAlign w:val="center"/>
          </w:tcPr>
          <w:p w14:paraId="1B0D1CDE">
            <w:pPr>
              <w:pStyle w:val="12"/>
            </w:pPr>
            <w:r>
              <w:t>项目实施成果</w:t>
            </w:r>
          </w:p>
        </w:tc>
        <w:tc>
          <w:tcPr>
            <w:tcW w:w="5386" w:type="dxa"/>
            <w:vAlign w:val="center"/>
          </w:tcPr>
          <w:p w14:paraId="68DC2678">
            <w:pPr>
              <w:pStyle w:val="12"/>
            </w:pPr>
            <w:r>
              <w:t>减轻受教育学生家庭经济负担</w:t>
            </w:r>
          </w:p>
        </w:tc>
        <w:tc>
          <w:tcPr>
            <w:tcW w:w="2268" w:type="dxa"/>
            <w:vAlign w:val="center"/>
          </w:tcPr>
          <w:p w14:paraId="171C1722">
            <w:pPr>
              <w:pStyle w:val="12"/>
            </w:pPr>
            <w:r>
              <w:t>100%</w:t>
            </w:r>
          </w:p>
        </w:tc>
        <w:tc>
          <w:tcPr>
            <w:tcW w:w="1276" w:type="dxa"/>
            <w:vAlign w:val="center"/>
          </w:tcPr>
          <w:p w14:paraId="4BACAA80">
            <w:pPr>
              <w:pStyle w:val="12"/>
            </w:pPr>
            <w:r>
              <w:t>城乡义务教育公用经费管理办法</w:t>
            </w:r>
          </w:p>
        </w:tc>
      </w:tr>
      <w:tr w14:paraId="3270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A372"/>
        </w:tc>
        <w:tc>
          <w:tcPr>
            <w:tcW w:w="2268" w:type="dxa"/>
            <w:vAlign w:val="center"/>
          </w:tcPr>
          <w:p w14:paraId="03BD9664">
            <w:pPr>
              <w:pStyle w:val="12"/>
            </w:pPr>
            <w:r>
              <w:t>社会效益指标</w:t>
            </w:r>
          </w:p>
        </w:tc>
        <w:tc>
          <w:tcPr>
            <w:tcW w:w="2835" w:type="dxa"/>
            <w:vAlign w:val="center"/>
          </w:tcPr>
          <w:p w14:paraId="5387EF9E">
            <w:pPr>
              <w:pStyle w:val="12"/>
            </w:pPr>
            <w:r>
              <w:t>学校办学能力提升</w:t>
            </w:r>
          </w:p>
        </w:tc>
        <w:tc>
          <w:tcPr>
            <w:tcW w:w="5386" w:type="dxa"/>
            <w:vAlign w:val="center"/>
          </w:tcPr>
          <w:p w14:paraId="726A7226">
            <w:pPr>
              <w:pStyle w:val="12"/>
            </w:pPr>
            <w:r>
              <w:t>学校办学能</w:t>
            </w:r>
            <w:r>
              <w:rPr>
                <w:rFonts w:hint="eastAsia"/>
                <w:lang w:eastAsia="zh-CN"/>
              </w:rPr>
              <w:t>力提</w:t>
            </w:r>
            <w:r>
              <w:t>升情况及教育教学工作等开展的情况</w:t>
            </w:r>
          </w:p>
        </w:tc>
        <w:tc>
          <w:tcPr>
            <w:tcW w:w="2268" w:type="dxa"/>
            <w:vAlign w:val="center"/>
          </w:tcPr>
          <w:p w14:paraId="14EA3E8A">
            <w:pPr>
              <w:pStyle w:val="12"/>
            </w:pPr>
            <w:r>
              <w:t>100%</w:t>
            </w:r>
          </w:p>
        </w:tc>
        <w:tc>
          <w:tcPr>
            <w:tcW w:w="1276" w:type="dxa"/>
            <w:vAlign w:val="center"/>
          </w:tcPr>
          <w:p w14:paraId="39EFC977">
            <w:pPr>
              <w:pStyle w:val="12"/>
            </w:pPr>
            <w:r>
              <w:t>城乡义务教育公用经费管理办法</w:t>
            </w:r>
          </w:p>
        </w:tc>
      </w:tr>
      <w:tr w14:paraId="7866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CCF6"/>
        </w:tc>
        <w:tc>
          <w:tcPr>
            <w:tcW w:w="2268" w:type="dxa"/>
            <w:vAlign w:val="center"/>
          </w:tcPr>
          <w:p w14:paraId="30627170">
            <w:pPr>
              <w:pStyle w:val="12"/>
            </w:pPr>
            <w:r>
              <w:t>可持续影响指标</w:t>
            </w:r>
          </w:p>
        </w:tc>
        <w:tc>
          <w:tcPr>
            <w:tcW w:w="2835" w:type="dxa"/>
            <w:vAlign w:val="center"/>
          </w:tcPr>
          <w:p w14:paraId="45982015">
            <w:pPr>
              <w:pStyle w:val="12"/>
            </w:pPr>
            <w:r>
              <w:t>教育发展水平</w:t>
            </w:r>
          </w:p>
        </w:tc>
        <w:tc>
          <w:tcPr>
            <w:tcW w:w="5386" w:type="dxa"/>
            <w:vAlign w:val="center"/>
          </w:tcPr>
          <w:p w14:paraId="35CC6C8C">
            <w:pPr>
              <w:pStyle w:val="12"/>
            </w:pPr>
            <w:r>
              <w:t>辖区内教育环境明显好转</w:t>
            </w:r>
          </w:p>
        </w:tc>
        <w:tc>
          <w:tcPr>
            <w:tcW w:w="2268" w:type="dxa"/>
            <w:vAlign w:val="center"/>
          </w:tcPr>
          <w:p w14:paraId="7FE8E877">
            <w:pPr>
              <w:pStyle w:val="12"/>
            </w:pPr>
            <w:r>
              <w:t>100%</w:t>
            </w:r>
          </w:p>
        </w:tc>
        <w:tc>
          <w:tcPr>
            <w:tcW w:w="1276" w:type="dxa"/>
            <w:vAlign w:val="center"/>
          </w:tcPr>
          <w:p w14:paraId="045CC233">
            <w:pPr>
              <w:pStyle w:val="12"/>
            </w:pPr>
            <w:r>
              <w:t>城乡义务教育公用经费管理办法</w:t>
            </w:r>
          </w:p>
        </w:tc>
      </w:tr>
      <w:tr w14:paraId="0E5B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ECBAA">
            <w:pPr>
              <w:pStyle w:val="13"/>
            </w:pPr>
            <w:r>
              <w:t>满意度指标</w:t>
            </w:r>
          </w:p>
        </w:tc>
        <w:tc>
          <w:tcPr>
            <w:tcW w:w="2268" w:type="dxa"/>
            <w:vAlign w:val="center"/>
          </w:tcPr>
          <w:p w14:paraId="4D9E6524">
            <w:pPr>
              <w:pStyle w:val="12"/>
            </w:pPr>
            <w:r>
              <w:t>服务对象满意度指标</w:t>
            </w:r>
          </w:p>
        </w:tc>
        <w:tc>
          <w:tcPr>
            <w:tcW w:w="2835" w:type="dxa"/>
            <w:vAlign w:val="center"/>
          </w:tcPr>
          <w:p w14:paraId="02859125">
            <w:pPr>
              <w:pStyle w:val="12"/>
            </w:pPr>
            <w:r>
              <w:t>受益学生家长及调查满意度</w:t>
            </w:r>
          </w:p>
        </w:tc>
        <w:tc>
          <w:tcPr>
            <w:tcW w:w="5386" w:type="dxa"/>
            <w:vAlign w:val="center"/>
          </w:tcPr>
          <w:p w14:paraId="2C257108">
            <w:pPr>
              <w:pStyle w:val="12"/>
            </w:pPr>
            <w:r>
              <w:t>学生、教师及家长对学校保教保育工作满意度情况</w:t>
            </w:r>
          </w:p>
        </w:tc>
        <w:tc>
          <w:tcPr>
            <w:tcW w:w="2268" w:type="dxa"/>
            <w:vAlign w:val="center"/>
          </w:tcPr>
          <w:p w14:paraId="364B93CB">
            <w:pPr>
              <w:pStyle w:val="12"/>
            </w:pPr>
            <w:r>
              <w:t>≥95%</w:t>
            </w:r>
          </w:p>
        </w:tc>
        <w:tc>
          <w:tcPr>
            <w:tcW w:w="1276" w:type="dxa"/>
            <w:vAlign w:val="center"/>
          </w:tcPr>
          <w:p w14:paraId="77641177">
            <w:pPr>
              <w:pStyle w:val="12"/>
            </w:pPr>
            <w:r>
              <w:t>城乡义务教育公用经费管理办法</w:t>
            </w:r>
          </w:p>
        </w:tc>
      </w:tr>
    </w:tbl>
    <w:p w14:paraId="331D3907">
      <w:pPr>
        <w:sectPr>
          <w:pgSz w:w="16840" w:h="11900" w:orient="landscape"/>
          <w:pgMar w:top="1361" w:right="1020" w:bottom="1134" w:left="1020" w:header="720" w:footer="720" w:gutter="0"/>
          <w:cols w:space="720" w:num="1"/>
        </w:sectPr>
      </w:pPr>
    </w:p>
    <w:p w14:paraId="43986924">
      <w:pPr>
        <w:spacing w:before="0" w:after="0"/>
        <w:ind w:firstLine="560"/>
        <w:jc w:val="left"/>
        <w:outlineLvl w:val="9"/>
      </w:pPr>
      <w:r>
        <w:rPr>
          <w:rFonts w:ascii="方正仿宋_GBK" w:hAnsi="方正仿宋_GBK" w:eastAsia="方正仿宋_GBK" w:cs="方正仿宋_GBK"/>
          <w:b/>
          <w:color w:val="000000"/>
          <w:sz w:val="28"/>
        </w:rPr>
        <w:t>36、县级配套/东良校区周村小学公用经费绩效目标表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5C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3C8F6">
            <w:pPr>
              <w:pStyle w:val="11"/>
            </w:pPr>
            <w:r>
              <w:t>单位：万元</w:t>
            </w:r>
          </w:p>
        </w:tc>
      </w:tr>
      <w:tr w14:paraId="2C0BE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9E3D0">
            <w:pPr>
              <w:pStyle w:val="10"/>
            </w:pPr>
            <w:r>
              <w:t>项目编码</w:t>
            </w:r>
          </w:p>
        </w:tc>
        <w:tc>
          <w:tcPr>
            <w:tcW w:w="5103" w:type="dxa"/>
            <w:gridSpan w:val="2"/>
            <w:vAlign w:val="center"/>
          </w:tcPr>
          <w:p w14:paraId="47A76A96">
            <w:pPr>
              <w:pStyle w:val="12"/>
            </w:pPr>
            <w:r>
              <w:t>13052526P000004104384</w:t>
            </w:r>
          </w:p>
        </w:tc>
        <w:tc>
          <w:tcPr>
            <w:tcW w:w="2835" w:type="dxa"/>
            <w:vAlign w:val="center"/>
          </w:tcPr>
          <w:p w14:paraId="3291861A">
            <w:pPr>
              <w:pStyle w:val="10"/>
            </w:pPr>
            <w:r>
              <w:t>项目名称</w:t>
            </w:r>
          </w:p>
        </w:tc>
        <w:tc>
          <w:tcPr>
            <w:tcW w:w="6095" w:type="dxa"/>
            <w:gridSpan w:val="3"/>
            <w:vAlign w:val="center"/>
          </w:tcPr>
          <w:p w14:paraId="391D200A">
            <w:pPr>
              <w:pStyle w:val="12"/>
            </w:pPr>
            <w:r>
              <w:t>县级配套/东良校区周村小学公用经费</w:t>
            </w:r>
          </w:p>
        </w:tc>
      </w:tr>
      <w:tr w14:paraId="3403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09761">
            <w:pPr>
              <w:pStyle w:val="10"/>
            </w:pPr>
            <w:r>
              <w:t>预算规模及资金用途</w:t>
            </w:r>
          </w:p>
        </w:tc>
        <w:tc>
          <w:tcPr>
            <w:tcW w:w="2268" w:type="dxa"/>
            <w:vAlign w:val="center"/>
          </w:tcPr>
          <w:p w14:paraId="5956CD77">
            <w:pPr>
              <w:pStyle w:val="10"/>
            </w:pPr>
            <w:r>
              <w:t>预算数</w:t>
            </w:r>
          </w:p>
        </w:tc>
        <w:tc>
          <w:tcPr>
            <w:tcW w:w="2835" w:type="dxa"/>
            <w:vAlign w:val="center"/>
          </w:tcPr>
          <w:p w14:paraId="0A3B0CF3">
            <w:pPr>
              <w:pStyle w:val="12"/>
            </w:pPr>
            <w:r>
              <w:t>1.26</w:t>
            </w:r>
          </w:p>
        </w:tc>
        <w:tc>
          <w:tcPr>
            <w:tcW w:w="2835" w:type="dxa"/>
            <w:vAlign w:val="center"/>
          </w:tcPr>
          <w:p w14:paraId="33E405B4">
            <w:pPr>
              <w:pStyle w:val="10"/>
            </w:pPr>
            <w:r>
              <w:t>其中：财政    资金</w:t>
            </w:r>
          </w:p>
        </w:tc>
        <w:tc>
          <w:tcPr>
            <w:tcW w:w="2551" w:type="dxa"/>
            <w:vAlign w:val="center"/>
          </w:tcPr>
          <w:p w14:paraId="6037EBA9">
            <w:pPr>
              <w:pStyle w:val="12"/>
            </w:pPr>
            <w:r>
              <w:t>1.26</w:t>
            </w:r>
          </w:p>
        </w:tc>
        <w:tc>
          <w:tcPr>
            <w:tcW w:w="2268" w:type="dxa"/>
            <w:vAlign w:val="center"/>
          </w:tcPr>
          <w:p w14:paraId="25673851">
            <w:pPr>
              <w:pStyle w:val="10"/>
            </w:pPr>
            <w:r>
              <w:t>其他资金</w:t>
            </w:r>
          </w:p>
        </w:tc>
        <w:tc>
          <w:tcPr>
            <w:tcW w:w="1276" w:type="dxa"/>
            <w:vAlign w:val="center"/>
          </w:tcPr>
          <w:p w14:paraId="53D95530">
            <w:pPr>
              <w:pStyle w:val="12"/>
            </w:pPr>
            <w:r>
              <w:t xml:space="preserve"> </w:t>
            </w:r>
          </w:p>
        </w:tc>
      </w:tr>
      <w:tr w14:paraId="23E5C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0FCA5"/>
        </w:tc>
        <w:tc>
          <w:tcPr>
            <w:tcW w:w="14033" w:type="dxa"/>
            <w:gridSpan w:val="6"/>
            <w:vAlign w:val="center"/>
          </w:tcPr>
          <w:p w14:paraId="1E062DE5">
            <w:pPr>
              <w:pStyle w:val="12"/>
            </w:pPr>
            <w:r>
              <w:t>保障义务教育学校正常运转，完成教育教学活动和其他日常工作任务等方面的费用支出。</w:t>
            </w:r>
          </w:p>
        </w:tc>
      </w:tr>
      <w:tr w14:paraId="2B37E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0CB5E">
            <w:pPr>
              <w:pStyle w:val="10"/>
            </w:pPr>
            <w:r>
              <w:t>资金支出计划（%）</w:t>
            </w:r>
          </w:p>
        </w:tc>
        <w:tc>
          <w:tcPr>
            <w:tcW w:w="5103" w:type="dxa"/>
            <w:gridSpan w:val="2"/>
            <w:vAlign w:val="center"/>
          </w:tcPr>
          <w:p w14:paraId="6FCAAC4E">
            <w:pPr>
              <w:pStyle w:val="10"/>
            </w:pPr>
            <w:r>
              <w:t>3月底</w:t>
            </w:r>
          </w:p>
        </w:tc>
        <w:tc>
          <w:tcPr>
            <w:tcW w:w="2835" w:type="dxa"/>
            <w:vAlign w:val="center"/>
          </w:tcPr>
          <w:p w14:paraId="62DA6B9B">
            <w:pPr>
              <w:pStyle w:val="10"/>
            </w:pPr>
            <w:r>
              <w:t>6月底</w:t>
            </w:r>
          </w:p>
        </w:tc>
        <w:tc>
          <w:tcPr>
            <w:tcW w:w="2551" w:type="dxa"/>
            <w:vAlign w:val="center"/>
          </w:tcPr>
          <w:p w14:paraId="4DB113A3">
            <w:pPr>
              <w:pStyle w:val="10"/>
            </w:pPr>
            <w:r>
              <w:t>10月底</w:t>
            </w:r>
          </w:p>
        </w:tc>
        <w:tc>
          <w:tcPr>
            <w:tcW w:w="3544" w:type="dxa"/>
            <w:gridSpan w:val="2"/>
            <w:vAlign w:val="center"/>
          </w:tcPr>
          <w:p w14:paraId="48524602">
            <w:pPr>
              <w:pStyle w:val="10"/>
            </w:pPr>
            <w:r>
              <w:t>12月底</w:t>
            </w:r>
          </w:p>
        </w:tc>
      </w:tr>
      <w:tr w14:paraId="7BE6E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2A203"/>
        </w:tc>
        <w:tc>
          <w:tcPr>
            <w:tcW w:w="5103" w:type="dxa"/>
            <w:gridSpan w:val="2"/>
            <w:vAlign w:val="center"/>
          </w:tcPr>
          <w:p w14:paraId="6880B474">
            <w:pPr>
              <w:pStyle w:val="13"/>
            </w:pPr>
            <w:r>
              <w:t>25%</w:t>
            </w:r>
          </w:p>
        </w:tc>
        <w:tc>
          <w:tcPr>
            <w:tcW w:w="2835" w:type="dxa"/>
            <w:vAlign w:val="center"/>
          </w:tcPr>
          <w:p w14:paraId="457EF634">
            <w:pPr>
              <w:pStyle w:val="13"/>
            </w:pPr>
            <w:r>
              <w:t>50%</w:t>
            </w:r>
          </w:p>
        </w:tc>
        <w:tc>
          <w:tcPr>
            <w:tcW w:w="2551" w:type="dxa"/>
            <w:vAlign w:val="center"/>
          </w:tcPr>
          <w:p w14:paraId="5D68FD7D">
            <w:pPr>
              <w:pStyle w:val="13"/>
            </w:pPr>
            <w:r>
              <w:t>75%</w:t>
            </w:r>
          </w:p>
        </w:tc>
        <w:tc>
          <w:tcPr>
            <w:tcW w:w="3544" w:type="dxa"/>
            <w:gridSpan w:val="2"/>
            <w:vAlign w:val="center"/>
          </w:tcPr>
          <w:p w14:paraId="1F6D5019">
            <w:pPr>
              <w:pStyle w:val="13"/>
            </w:pPr>
            <w:r>
              <w:t>100%</w:t>
            </w:r>
          </w:p>
        </w:tc>
      </w:tr>
      <w:tr w14:paraId="58C37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6C58F">
            <w:pPr>
              <w:pStyle w:val="10"/>
            </w:pPr>
            <w:r>
              <w:t>绩效目标</w:t>
            </w:r>
          </w:p>
        </w:tc>
        <w:tc>
          <w:tcPr>
            <w:tcW w:w="14033" w:type="dxa"/>
            <w:gridSpan w:val="6"/>
            <w:vAlign w:val="center"/>
          </w:tcPr>
          <w:p w14:paraId="73E5B8EB">
            <w:pPr>
              <w:pStyle w:val="12"/>
            </w:pPr>
            <w:r>
              <w:t>1.保障义务教育学校正常运转，完成教育教学活动和其他日常工作任务等方面的费用支出。</w:t>
            </w:r>
          </w:p>
          <w:p w14:paraId="139ADBDE">
            <w:pPr>
              <w:pStyle w:val="12"/>
            </w:pPr>
            <w:r>
              <w:t>2.按季度分批次拨付公用经费资金12620元，资金拨付率达到100%。</w:t>
            </w:r>
          </w:p>
        </w:tc>
      </w:tr>
    </w:tbl>
    <w:p w14:paraId="5D2FB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E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BDC11">
            <w:pPr>
              <w:pStyle w:val="10"/>
            </w:pPr>
            <w:r>
              <w:t>一级指标</w:t>
            </w:r>
          </w:p>
        </w:tc>
        <w:tc>
          <w:tcPr>
            <w:tcW w:w="2268" w:type="dxa"/>
            <w:vAlign w:val="center"/>
          </w:tcPr>
          <w:p w14:paraId="57F9B0E9">
            <w:pPr>
              <w:pStyle w:val="10"/>
            </w:pPr>
            <w:r>
              <w:t>二级指标</w:t>
            </w:r>
          </w:p>
        </w:tc>
        <w:tc>
          <w:tcPr>
            <w:tcW w:w="2835" w:type="dxa"/>
            <w:vAlign w:val="center"/>
          </w:tcPr>
          <w:p w14:paraId="68EA4638">
            <w:pPr>
              <w:pStyle w:val="10"/>
            </w:pPr>
            <w:r>
              <w:t>三级指标</w:t>
            </w:r>
          </w:p>
        </w:tc>
        <w:tc>
          <w:tcPr>
            <w:tcW w:w="5386" w:type="dxa"/>
            <w:vAlign w:val="center"/>
          </w:tcPr>
          <w:p w14:paraId="04D58995">
            <w:pPr>
              <w:pStyle w:val="10"/>
            </w:pPr>
            <w:r>
              <w:t>绩效指标描述</w:t>
            </w:r>
          </w:p>
        </w:tc>
        <w:tc>
          <w:tcPr>
            <w:tcW w:w="2268" w:type="dxa"/>
            <w:vAlign w:val="center"/>
          </w:tcPr>
          <w:p w14:paraId="5C5FC5F7">
            <w:pPr>
              <w:pStyle w:val="10"/>
            </w:pPr>
            <w:r>
              <w:t>指标值</w:t>
            </w:r>
          </w:p>
        </w:tc>
        <w:tc>
          <w:tcPr>
            <w:tcW w:w="1276" w:type="dxa"/>
            <w:vAlign w:val="center"/>
          </w:tcPr>
          <w:p w14:paraId="24FB53FD">
            <w:pPr>
              <w:pStyle w:val="10"/>
            </w:pPr>
            <w:r>
              <w:t>指标值确定依据</w:t>
            </w:r>
          </w:p>
        </w:tc>
      </w:tr>
      <w:tr w14:paraId="7930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36376">
            <w:pPr>
              <w:pStyle w:val="13"/>
            </w:pPr>
            <w:r>
              <w:t>产出指标</w:t>
            </w:r>
          </w:p>
        </w:tc>
        <w:tc>
          <w:tcPr>
            <w:tcW w:w="2268" w:type="dxa"/>
            <w:vAlign w:val="center"/>
          </w:tcPr>
          <w:p w14:paraId="44C12EA9">
            <w:pPr>
              <w:pStyle w:val="12"/>
            </w:pPr>
            <w:r>
              <w:t>数量指标</w:t>
            </w:r>
          </w:p>
        </w:tc>
        <w:tc>
          <w:tcPr>
            <w:tcW w:w="2835" w:type="dxa"/>
            <w:vAlign w:val="center"/>
          </w:tcPr>
          <w:p w14:paraId="57F1D9DB">
            <w:pPr>
              <w:pStyle w:val="12"/>
            </w:pPr>
            <w:r>
              <w:t>适龄在校生</w:t>
            </w:r>
          </w:p>
        </w:tc>
        <w:tc>
          <w:tcPr>
            <w:tcW w:w="5386" w:type="dxa"/>
            <w:vAlign w:val="center"/>
          </w:tcPr>
          <w:p w14:paraId="0AE8B2D3">
            <w:pPr>
              <w:pStyle w:val="12"/>
            </w:pPr>
            <w:r>
              <w:t>适龄在校就读学生人数</w:t>
            </w:r>
          </w:p>
        </w:tc>
        <w:tc>
          <w:tcPr>
            <w:tcW w:w="2268" w:type="dxa"/>
            <w:vAlign w:val="center"/>
          </w:tcPr>
          <w:p w14:paraId="62097CA5">
            <w:pPr>
              <w:pStyle w:val="12"/>
            </w:pPr>
            <w:r>
              <w:t>153人</w:t>
            </w:r>
          </w:p>
        </w:tc>
        <w:tc>
          <w:tcPr>
            <w:tcW w:w="1276" w:type="dxa"/>
            <w:vAlign w:val="center"/>
          </w:tcPr>
          <w:p w14:paraId="5456BDE0">
            <w:pPr>
              <w:pStyle w:val="12"/>
            </w:pPr>
            <w:r>
              <w:t>城乡义务教育公用经费管理办法</w:t>
            </w:r>
          </w:p>
        </w:tc>
      </w:tr>
      <w:tr w14:paraId="73EB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58D7F"/>
        </w:tc>
        <w:tc>
          <w:tcPr>
            <w:tcW w:w="2268" w:type="dxa"/>
            <w:vAlign w:val="center"/>
          </w:tcPr>
          <w:p w14:paraId="7678BD87">
            <w:pPr>
              <w:pStyle w:val="12"/>
            </w:pPr>
            <w:r>
              <w:t>质量指标</w:t>
            </w:r>
          </w:p>
        </w:tc>
        <w:tc>
          <w:tcPr>
            <w:tcW w:w="2835" w:type="dxa"/>
            <w:vAlign w:val="center"/>
          </w:tcPr>
          <w:p w14:paraId="7C2ADD28">
            <w:pPr>
              <w:pStyle w:val="12"/>
            </w:pPr>
            <w:r>
              <w:t>公用经费拨付完成率</w:t>
            </w:r>
          </w:p>
        </w:tc>
        <w:tc>
          <w:tcPr>
            <w:tcW w:w="5386" w:type="dxa"/>
            <w:vAlign w:val="center"/>
          </w:tcPr>
          <w:p w14:paraId="2C19287F">
            <w:pPr>
              <w:pStyle w:val="12"/>
            </w:pPr>
            <w:r>
              <w:t>公用经费拨付完成率达到需时进度</w:t>
            </w:r>
          </w:p>
        </w:tc>
        <w:tc>
          <w:tcPr>
            <w:tcW w:w="2268" w:type="dxa"/>
            <w:vAlign w:val="center"/>
          </w:tcPr>
          <w:p w14:paraId="152DBAEF">
            <w:pPr>
              <w:pStyle w:val="12"/>
            </w:pPr>
            <w:r>
              <w:t>100%</w:t>
            </w:r>
          </w:p>
        </w:tc>
        <w:tc>
          <w:tcPr>
            <w:tcW w:w="1276" w:type="dxa"/>
            <w:vAlign w:val="center"/>
          </w:tcPr>
          <w:p w14:paraId="3AA101A1">
            <w:pPr>
              <w:pStyle w:val="12"/>
            </w:pPr>
            <w:r>
              <w:t>城乡义务教育公用经费管理办法</w:t>
            </w:r>
          </w:p>
        </w:tc>
      </w:tr>
      <w:tr w14:paraId="5BA55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46FA"/>
        </w:tc>
        <w:tc>
          <w:tcPr>
            <w:tcW w:w="2268" w:type="dxa"/>
            <w:vAlign w:val="center"/>
          </w:tcPr>
          <w:p w14:paraId="247F689D">
            <w:pPr>
              <w:pStyle w:val="12"/>
            </w:pPr>
            <w:r>
              <w:t>时效指标</w:t>
            </w:r>
          </w:p>
        </w:tc>
        <w:tc>
          <w:tcPr>
            <w:tcW w:w="2835" w:type="dxa"/>
            <w:vAlign w:val="center"/>
          </w:tcPr>
          <w:p w14:paraId="7E9A7F67">
            <w:pPr>
              <w:pStyle w:val="12"/>
            </w:pPr>
            <w:r>
              <w:t>资金支付率</w:t>
            </w:r>
          </w:p>
        </w:tc>
        <w:tc>
          <w:tcPr>
            <w:tcW w:w="5386" w:type="dxa"/>
            <w:vAlign w:val="center"/>
          </w:tcPr>
          <w:p w14:paraId="48EBAD8A">
            <w:pPr>
              <w:pStyle w:val="12"/>
            </w:pPr>
            <w:r>
              <w:t>按照序时进度完成资金支付</w:t>
            </w:r>
          </w:p>
        </w:tc>
        <w:tc>
          <w:tcPr>
            <w:tcW w:w="2268" w:type="dxa"/>
            <w:vAlign w:val="center"/>
          </w:tcPr>
          <w:p w14:paraId="7025B0E8">
            <w:pPr>
              <w:pStyle w:val="12"/>
            </w:pPr>
            <w:r>
              <w:t>100%</w:t>
            </w:r>
          </w:p>
        </w:tc>
        <w:tc>
          <w:tcPr>
            <w:tcW w:w="1276" w:type="dxa"/>
            <w:vAlign w:val="center"/>
          </w:tcPr>
          <w:p w14:paraId="51663DEA">
            <w:pPr>
              <w:pStyle w:val="12"/>
            </w:pPr>
            <w:r>
              <w:t>城乡义务教育公用经费管理办法</w:t>
            </w:r>
          </w:p>
        </w:tc>
      </w:tr>
      <w:tr w14:paraId="35C8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6B059"/>
        </w:tc>
        <w:tc>
          <w:tcPr>
            <w:tcW w:w="2268" w:type="dxa"/>
            <w:vAlign w:val="center"/>
          </w:tcPr>
          <w:p w14:paraId="7A720E0B">
            <w:pPr>
              <w:pStyle w:val="12"/>
            </w:pPr>
            <w:r>
              <w:t>成本指标</w:t>
            </w:r>
          </w:p>
        </w:tc>
        <w:tc>
          <w:tcPr>
            <w:tcW w:w="2835" w:type="dxa"/>
            <w:vAlign w:val="center"/>
          </w:tcPr>
          <w:p w14:paraId="587D82A1">
            <w:pPr>
              <w:pStyle w:val="12"/>
            </w:pPr>
            <w:r>
              <w:t>生均拨款标准</w:t>
            </w:r>
          </w:p>
        </w:tc>
        <w:tc>
          <w:tcPr>
            <w:tcW w:w="5386" w:type="dxa"/>
            <w:vAlign w:val="center"/>
          </w:tcPr>
          <w:p w14:paraId="416F82DD">
            <w:pPr>
              <w:pStyle w:val="12"/>
            </w:pPr>
            <w:r>
              <w:t>小学：（基本标准720元、寄宿生300元、取暖费120元）/生/学年；特教、随班就读学生：标准7000元/生/学年。</w:t>
            </w:r>
          </w:p>
        </w:tc>
        <w:tc>
          <w:tcPr>
            <w:tcW w:w="2268" w:type="dxa"/>
            <w:vAlign w:val="center"/>
          </w:tcPr>
          <w:p w14:paraId="0D9A4621">
            <w:pPr>
              <w:pStyle w:val="12"/>
            </w:pPr>
            <w:r>
              <w:t>840元</w:t>
            </w:r>
          </w:p>
        </w:tc>
        <w:tc>
          <w:tcPr>
            <w:tcW w:w="1276" w:type="dxa"/>
            <w:vAlign w:val="center"/>
          </w:tcPr>
          <w:p w14:paraId="206A43A0">
            <w:pPr>
              <w:pStyle w:val="12"/>
            </w:pPr>
            <w:r>
              <w:t>城乡义务教育公用经费管理办法</w:t>
            </w:r>
          </w:p>
        </w:tc>
      </w:tr>
      <w:tr w14:paraId="5A86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4154B">
            <w:pPr>
              <w:pStyle w:val="13"/>
            </w:pPr>
            <w:r>
              <w:t>效益指标</w:t>
            </w:r>
          </w:p>
        </w:tc>
        <w:tc>
          <w:tcPr>
            <w:tcW w:w="2268" w:type="dxa"/>
            <w:vAlign w:val="center"/>
          </w:tcPr>
          <w:p w14:paraId="2DBB7697">
            <w:pPr>
              <w:pStyle w:val="12"/>
            </w:pPr>
            <w:r>
              <w:t>经济效益指标</w:t>
            </w:r>
          </w:p>
        </w:tc>
        <w:tc>
          <w:tcPr>
            <w:tcW w:w="2835" w:type="dxa"/>
            <w:vAlign w:val="center"/>
          </w:tcPr>
          <w:p w14:paraId="410D4B46">
            <w:pPr>
              <w:pStyle w:val="12"/>
            </w:pPr>
            <w:r>
              <w:t>项目实施成果</w:t>
            </w:r>
          </w:p>
        </w:tc>
        <w:tc>
          <w:tcPr>
            <w:tcW w:w="5386" w:type="dxa"/>
            <w:vAlign w:val="center"/>
          </w:tcPr>
          <w:p w14:paraId="2F0292E1">
            <w:pPr>
              <w:pStyle w:val="12"/>
            </w:pPr>
            <w:r>
              <w:t>减轻受教育学生家庭经济负担</w:t>
            </w:r>
          </w:p>
        </w:tc>
        <w:tc>
          <w:tcPr>
            <w:tcW w:w="2268" w:type="dxa"/>
            <w:vAlign w:val="center"/>
          </w:tcPr>
          <w:p w14:paraId="0C1EDCB7">
            <w:pPr>
              <w:pStyle w:val="12"/>
            </w:pPr>
            <w:r>
              <w:t>100%</w:t>
            </w:r>
          </w:p>
        </w:tc>
        <w:tc>
          <w:tcPr>
            <w:tcW w:w="1276" w:type="dxa"/>
            <w:vAlign w:val="center"/>
          </w:tcPr>
          <w:p w14:paraId="70C042B5">
            <w:pPr>
              <w:pStyle w:val="12"/>
            </w:pPr>
            <w:r>
              <w:t>城乡义务教育公用经费管理办法</w:t>
            </w:r>
          </w:p>
        </w:tc>
      </w:tr>
      <w:tr w14:paraId="2E9F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0556C"/>
        </w:tc>
        <w:tc>
          <w:tcPr>
            <w:tcW w:w="2268" w:type="dxa"/>
            <w:vAlign w:val="center"/>
          </w:tcPr>
          <w:p w14:paraId="3FB6E21A">
            <w:pPr>
              <w:pStyle w:val="12"/>
            </w:pPr>
            <w:r>
              <w:t>社会效益指标</w:t>
            </w:r>
          </w:p>
        </w:tc>
        <w:tc>
          <w:tcPr>
            <w:tcW w:w="2835" w:type="dxa"/>
            <w:vAlign w:val="center"/>
          </w:tcPr>
          <w:p w14:paraId="6F7AC465">
            <w:pPr>
              <w:pStyle w:val="12"/>
            </w:pPr>
            <w:r>
              <w:t>学校办学能力提升</w:t>
            </w:r>
          </w:p>
        </w:tc>
        <w:tc>
          <w:tcPr>
            <w:tcW w:w="5386" w:type="dxa"/>
            <w:vAlign w:val="center"/>
          </w:tcPr>
          <w:p w14:paraId="386434EB">
            <w:pPr>
              <w:pStyle w:val="12"/>
            </w:pPr>
            <w:r>
              <w:t>学校办学能</w:t>
            </w:r>
            <w:r>
              <w:rPr>
                <w:rFonts w:hint="eastAsia"/>
                <w:lang w:eastAsia="zh-CN"/>
              </w:rPr>
              <w:t>力提</w:t>
            </w:r>
            <w:r>
              <w:t>升情况及教育教学工作等开展的情况</w:t>
            </w:r>
          </w:p>
        </w:tc>
        <w:tc>
          <w:tcPr>
            <w:tcW w:w="2268" w:type="dxa"/>
            <w:vAlign w:val="center"/>
          </w:tcPr>
          <w:p w14:paraId="23801C16">
            <w:pPr>
              <w:pStyle w:val="12"/>
            </w:pPr>
            <w:r>
              <w:t>100%</w:t>
            </w:r>
          </w:p>
        </w:tc>
        <w:tc>
          <w:tcPr>
            <w:tcW w:w="1276" w:type="dxa"/>
            <w:vAlign w:val="center"/>
          </w:tcPr>
          <w:p w14:paraId="3CB5887C">
            <w:pPr>
              <w:pStyle w:val="12"/>
            </w:pPr>
            <w:r>
              <w:t>城乡义务教育公用经费管理办法</w:t>
            </w:r>
          </w:p>
        </w:tc>
      </w:tr>
      <w:tr w14:paraId="23C4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8F17B"/>
        </w:tc>
        <w:tc>
          <w:tcPr>
            <w:tcW w:w="2268" w:type="dxa"/>
            <w:vAlign w:val="center"/>
          </w:tcPr>
          <w:p w14:paraId="6B5DCFA3">
            <w:pPr>
              <w:pStyle w:val="12"/>
            </w:pPr>
            <w:r>
              <w:t>可持续影响指标</w:t>
            </w:r>
          </w:p>
        </w:tc>
        <w:tc>
          <w:tcPr>
            <w:tcW w:w="2835" w:type="dxa"/>
            <w:vAlign w:val="center"/>
          </w:tcPr>
          <w:p w14:paraId="5D12B474">
            <w:pPr>
              <w:pStyle w:val="12"/>
            </w:pPr>
            <w:r>
              <w:t>教育发展水平</w:t>
            </w:r>
          </w:p>
        </w:tc>
        <w:tc>
          <w:tcPr>
            <w:tcW w:w="5386" w:type="dxa"/>
            <w:vAlign w:val="center"/>
          </w:tcPr>
          <w:p w14:paraId="6C536FFA">
            <w:pPr>
              <w:pStyle w:val="12"/>
            </w:pPr>
            <w:r>
              <w:t>辖区内教育环境明显好转</w:t>
            </w:r>
          </w:p>
        </w:tc>
        <w:tc>
          <w:tcPr>
            <w:tcW w:w="2268" w:type="dxa"/>
            <w:vAlign w:val="center"/>
          </w:tcPr>
          <w:p w14:paraId="02906B70">
            <w:pPr>
              <w:pStyle w:val="12"/>
            </w:pPr>
            <w:r>
              <w:t>100%</w:t>
            </w:r>
          </w:p>
        </w:tc>
        <w:tc>
          <w:tcPr>
            <w:tcW w:w="1276" w:type="dxa"/>
            <w:vAlign w:val="center"/>
          </w:tcPr>
          <w:p w14:paraId="2FD9BAF4">
            <w:pPr>
              <w:pStyle w:val="12"/>
            </w:pPr>
            <w:r>
              <w:t>城乡义务教育公用经费管理办法</w:t>
            </w:r>
          </w:p>
        </w:tc>
      </w:tr>
      <w:tr w14:paraId="2CC4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78870">
            <w:pPr>
              <w:pStyle w:val="13"/>
            </w:pPr>
            <w:r>
              <w:t>满意度指标</w:t>
            </w:r>
          </w:p>
        </w:tc>
        <w:tc>
          <w:tcPr>
            <w:tcW w:w="2268" w:type="dxa"/>
            <w:vAlign w:val="center"/>
          </w:tcPr>
          <w:p w14:paraId="582FC698">
            <w:pPr>
              <w:pStyle w:val="12"/>
            </w:pPr>
            <w:r>
              <w:t>服务对象满意度指标</w:t>
            </w:r>
          </w:p>
        </w:tc>
        <w:tc>
          <w:tcPr>
            <w:tcW w:w="2835" w:type="dxa"/>
            <w:vAlign w:val="center"/>
          </w:tcPr>
          <w:p w14:paraId="6E90FB71">
            <w:pPr>
              <w:pStyle w:val="12"/>
            </w:pPr>
            <w:r>
              <w:t>受益学生家长及调查满意度</w:t>
            </w:r>
          </w:p>
        </w:tc>
        <w:tc>
          <w:tcPr>
            <w:tcW w:w="5386" w:type="dxa"/>
            <w:vAlign w:val="center"/>
          </w:tcPr>
          <w:p w14:paraId="72543001">
            <w:pPr>
              <w:pStyle w:val="12"/>
            </w:pPr>
            <w:r>
              <w:t>学生、教师及家长对学校保教保育工作满意度情况</w:t>
            </w:r>
          </w:p>
        </w:tc>
        <w:tc>
          <w:tcPr>
            <w:tcW w:w="2268" w:type="dxa"/>
            <w:vAlign w:val="center"/>
          </w:tcPr>
          <w:p w14:paraId="704CB3C3">
            <w:pPr>
              <w:pStyle w:val="12"/>
            </w:pPr>
            <w:r>
              <w:t>≥95%</w:t>
            </w:r>
          </w:p>
        </w:tc>
        <w:tc>
          <w:tcPr>
            <w:tcW w:w="1276" w:type="dxa"/>
            <w:vAlign w:val="center"/>
          </w:tcPr>
          <w:p w14:paraId="0D7A6730">
            <w:pPr>
              <w:pStyle w:val="12"/>
            </w:pPr>
            <w:r>
              <w:t>城乡义务教育公用经费管理办法</w:t>
            </w:r>
          </w:p>
        </w:tc>
      </w:tr>
    </w:tbl>
    <w:p w14:paraId="6C9BACF0">
      <w:pPr>
        <w:sectPr>
          <w:pgSz w:w="16840" w:h="11900" w:orient="landscape"/>
          <w:pgMar w:top="1361" w:right="1020" w:bottom="1134" w:left="1020" w:header="720" w:footer="720" w:gutter="0"/>
          <w:cols w:space="720" w:num="1"/>
        </w:sectPr>
      </w:pPr>
    </w:p>
    <w:p w14:paraId="33F13FDD">
      <w:pPr>
        <w:spacing w:before="0" w:after="0"/>
        <w:ind w:firstLine="560"/>
        <w:jc w:val="left"/>
        <w:outlineLvl w:val="9"/>
      </w:pPr>
      <w:r>
        <w:rPr>
          <w:rFonts w:ascii="方正仿宋_GBK" w:hAnsi="方正仿宋_GBK" w:eastAsia="方正仿宋_GBK" w:cs="方正仿宋_GBK"/>
          <w:b/>
          <w:color w:val="000000"/>
          <w:sz w:val="28"/>
        </w:rPr>
        <w:t>37、县级资金/2024年东良校区学前教育公用经费绩效目标表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4A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2F25E">
            <w:pPr>
              <w:pStyle w:val="11"/>
            </w:pPr>
            <w:r>
              <w:t>单位：万元</w:t>
            </w:r>
          </w:p>
        </w:tc>
      </w:tr>
      <w:tr w14:paraId="716DA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F7CB6">
            <w:pPr>
              <w:pStyle w:val="10"/>
            </w:pPr>
            <w:r>
              <w:t>项目编码</w:t>
            </w:r>
          </w:p>
        </w:tc>
        <w:tc>
          <w:tcPr>
            <w:tcW w:w="5103" w:type="dxa"/>
            <w:gridSpan w:val="2"/>
            <w:vAlign w:val="center"/>
          </w:tcPr>
          <w:p w14:paraId="3839027D">
            <w:pPr>
              <w:pStyle w:val="12"/>
            </w:pPr>
            <w:r>
              <w:t>13052526P00875710134R</w:t>
            </w:r>
          </w:p>
        </w:tc>
        <w:tc>
          <w:tcPr>
            <w:tcW w:w="2835" w:type="dxa"/>
            <w:vAlign w:val="center"/>
          </w:tcPr>
          <w:p w14:paraId="6B6B4276">
            <w:pPr>
              <w:pStyle w:val="10"/>
            </w:pPr>
            <w:r>
              <w:t>项目名称</w:t>
            </w:r>
          </w:p>
        </w:tc>
        <w:tc>
          <w:tcPr>
            <w:tcW w:w="6095" w:type="dxa"/>
            <w:gridSpan w:val="3"/>
            <w:vAlign w:val="center"/>
          </w:tcPr>
          <w:p w14:paraId="24DD4744">
            <w:pPr>
              <w:pStyle w:val="12"/>
            </w:pPr>
            <w:r>
              <w:t>县级资金/2024年东良校区学前教育公用经费</w:t>
            </w:r>
          </w:p>
        </w:tc>
      </w:tr>
      <w:tr w14:paraId="06C01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98956">
            <w:pPr>
              <w:pStyle w:val="10"/>
            </w:pPr>
            <w:r>
              <w:t>预算规模及资金用途</w:t>
            </w:r>
          </w:p>
        </w:tc>
        <w:tc>
          <w:tcPr>
            <w:tcW w:w="2268" w:type="dxa"/>
            <w:vAlign w:val="center"/>
          </w:tcPr>
          <w:p w14:paraId="45A7ABD5">
            <w:pPr>
              <w:pStyle w:val="10"/>
            </w:pPr>
            <w:r>
              <w:t>预算数</w:t>
            </w:r>
          </w:p>
        </w:tc>
        <w:tc>
          <w:tcPr>
            <w:tcW w:w="2835" w:type="dxa"/>
            <w:vAlign w:val="center"/>
          </w:tcPr>
          <w:p w14:paraId="03649C85">
            <w:pPr>
              <w:pStyle w:val="12"/>
            </w:pPr>
            <w:r>
              <w:t>55.26</w:t>
            </w:r>
          </w:p>
        </w:tc>
        <w:tc>
          <w:tcPr>
            <w:tcW w:w="2835" w:type="dxa"/>
            <w:vAlign w:val="center"/>
          </w:tcPr>
          <w:p w14:paraId="5A01AE53">
            <w:pPr>
              <w:pStyle w:val="10"/>
            </w:pPr>
            <w:r>
              <w:t>其中：财政    资金</w:t>
            </w:r>
          </w:p>
        </w:tc>
        <w:tc>
          <w:tcPr>
            <w:tcW w:w="2551" w:type="dxa"/>
            <w:vAlign w:val="center"/>
          </w:tcPr>
          <w:p w14:paraId="29884766">
            <w:pPr>
              <w:pStyle w:val="12"/>
            </w:pPr>
            <w:r>
              <w:t>55.26</w:t>
            </w:r>
          </w:p>
        </w:tc>
        <w:tc>
          <w:tcPr>
            <w:tcW w:w="2268" w:type="dxa"/>
            <w:vAlign w:val="center"/>
          </w:tcPr>
          <w:p w14:paraId="33EC3E93">
            <w:pPr>
              <w:pStyle w:val="10"/>
            </w:pPr>
            <w:r>
              <w:t>其他资金</w:t>
            </w:r>
          </w:p>
        </w:tc>
        <w:tc>
          <w:tcPr>
            <w:tcW w:w="1276" w:type="dxa"/>
            <w:vAlign w:val="center"/>
          </w:tcPr>
          <w:p w14:paraId="7351C9C1">
            <w:pPr>
              <w:pStyle w:val="12"/>
            </w:pPr>
            <w:r>
              <w:t xml:space="preserve"> </w:t>
            </w:r>
          </w:p>
        </w:tc>
      </w:tr>
      <w:tr w14:paraId="192E4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B30AA"/>
        </w:tc>
        <w:tc>
          <w:tcPr>
            <w:tcW w:w="14033" w:type="dxa"/>
            <w:gridSpan w:val="6"/>
            <w:vAlign w:val="center"/>
          </w:tcPr>
          <w:p w14:paraId="51C82FF8">
            <w:pPr>
              <w:pStyle w:val="12"/>
            </w:pPr>
            <w:r>
              <w:t>保障幼儿园正常运转，完成教育教学活动和其他日常工作任务等方面的费用支出。</w:t>
            </w:r>
          </w:p>
        </w:tc>
      </w:tr>
      <w:tr w14:paraId="526B9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7A007">
            <w:pPr>
              <w:pStyle w:val="10"/>
            </w:pPr>
            <w:r>
              <w:t>资金支出计划（%）</w:t>
            </w:r>
          </w:p>
        </w:tc>
        <w:tc>
          <w:tcPr>
            <w:tcW w:w="5103" w:type="dxa"/>
            <w:gridSpan w:val="2"/>
            <w:vAlign w:val="center"/>
          </w:tcPr>
          <w:p w14:paraId="3BEEB391">
            <w:pPr>
              <w:pStyle w:val="10"/>
            </w:pPr>
            <w:r>
              <w:t>3月底</w:t>
            </w:r>
          </w:p>
        </w:tc>
        <w:tc>
          <w:tcPr>
            <w:tcW w:w="2835" w:type="dxa"/>
            <w:vAlign w:val="center"/>
          </w:tcPr>
          <w:p w14:paraId="2F6391AC">
            <w:pPr>
              <w:pStyle w:val="10"/>
            </w:pPr>
            <w:r>
              <w:t>6月底</w:t>
            </w:r>
          </w:p>
        </w:tc>
        <w:tc>
          <w:tcPr>
            <w:tcW w:w="2551" w:type="dxa"/>
            <w:vAlign w:val="center"/>
          </w:tcPr>
          <w:p w14:paraId="36AF9C43">
            <w:pPr>
              <w:pStyle w:val="10"/>
            </w:pPr>
            <w:r>
              <w:t>10月底</w:t>
            </w:r>
          </w:p>
        </w:tc>
        <w:tc>
          <w:tcPr>
            <w:tcW w:w="3544" w:type="dxa"/>
            <w:gridSpan w:val="2"/>
            <w:vAlign w:val="center"/>
          </w:tcPr>
          <w:p w14:paraId="39712950">
            <w:pPr>
              <w:pStyle w:val="10"/>
            </w:pPr>
            <w:r>
              <w:t>12月底</w:t>
            </w:r>
          </w:p>
        </w:tc>
      </w:tr>
      <w:tr w14:paraId="79E9F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C646B"/>
        </w:tc>
        <w:tc>
          <w:tcPr>
            <w:tcW w:w="5103" w:type="dxa"/>
            <w:gridSpan w:val="2"/>
            <w:vAlign w:val="center"/>
          </w:tcPr>
          <w:p w14:paraId="04D17F03">
            <w:pPr>
              <w:pStyle w:val="13"/>
            </w:pPr>
            <w:r>
              <w:t>25%</w:t>
            </w:r>
          </w:p>
        </w:tc>
        <w:tc>
          <w:tcPr>
            <w:tcW w:w="2835" w:type="dxa"/>
            <w:vAlign w:val="center"/>
          </w:tcPr>
          <w:p w14:paraId="4F9C720C">
            <w:pPr>
              <w:pStyle w:val="13"/>
            </w:pPr>
            <w:r>
              <w:t>50%</w:t>
            </w:r>
          </w:p>
        </w:tc>
        <w:tc>
          <w:tcPr>
            <w:tcW w:w="2551" w:type="dxa"/>
            <w:vAlign w:val="center"/>
          </w:tcPr>
          <w:p w14:paraId="189B5F24">
            <w:pPr>
              <w:pStyle w:val="13"/>
            </w:pPr>
            <w:r>
              <w:t>75%</w:t>
            </w:r>
          </w:p>
        </w:tc>
        <w:tc>
          <w:tcPr>
            <w:tcW w:w="3544" w:type="dxa"/>
            <w:gridSpan w:val="2"/>
            <w:vAlign w:val="center"/>
          </w:tcPr>
          <w:p w14:paraId="3FB42757">
            <w:pPr>
              <w:pStyle w:val="13"/>
            </w:pPr>
            <w:r>
              <w:t>100%</w:t>
            </w:r>
          </w:p>
        </w:tc>
      </w:tr>
      <w:tr w14:paraId="00D98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2DE7E">
            <w:pPr>
              <w:pStyle w:val="10"/>
            </w:pPr>
            <w:r>
              <w:t>绩效目标</w:t>
            </w:r>
          </w:p>
        </w:tc>
        <w:tc>
          <w:tcPr>
            <w:tcW w:w="14033" w:type="dxa"/>
            <w:gridSpan w:val="6"/>
            <w:vAlign w:val="center"/>
          </w:tcPr>
          <w:p w14:paraId="4645F832">
            <w:pPr>
              <w:pStyle w:val="12"/>
            </w:pPr>
            <w:r>
              <w:t>1.按季度分批次拨付公用经费资金，资金拨付率达到100%。</w:t>
            </w:r>
            <w:r>
              <w:tab/>
            </w:r>
            <w:r>
              <w:tab/>
            </w:r>
          </w:p>
          <w:p w14:paraId="544B9639">
            <w:pPr>
              <w:pStyle w:val="12"/>
            </w:pPr>
            <w:r>
              <w:t>2. 保障幼儿园正常运转，完成教育教学活动和其他日常工作任务等方面的费用支出。</w:t>
            </w:r>
            <w:r>
              <w:tab/>
            </w:r>
            <w:r>
              <w:tab/>
            </w:r>
          </w:p>
        </w:tc>
      </w:tr>
    </w:tbl>
    <w:p w14:paraId="51611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6D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C0988">
            <w:pPr>
              <w:pStyle w:val="10"/>
            </w:pPr>
            <w:r>
              <w:t>一级指标</w:t>
            </w:r>
          </w:p>
        </w:tc>
        <w:tc>
          <w:tcPr>
            <w:tcW w:w="2268" w:type="dxa"/>
            <w:vAlign w:val="center"/>
          </w:tcPr>
          <w:p w14:paraId="05373CAF">
            <w:pPr>
              <w:pStyle w:val="10"/>
            </w:pPr>
            <w:r>
              <w:t>二级指标</w:t>
            </w:r>
          </w:p>
        </w:tc>
        <w:tc>
          <w:tcPr>
            <w:tcW w:w="2835" w:type="dxa"/>
            <w:vAlign w:val="center"/>
          </w:tcPr>
          <w:p w14:paraId="7236F6C3">
            <w:pPr>
              <w:pStyle w:val="10"/>
            </w:pPr>
            <w:r>
              <w:t>三级指标</w:t>
            </w:r>
          </w:p>
        </w:tc>
        <w:tc>
          <w:tcPr>
            <w:tcW w:w="5386" w:type="dxa"/>
            <w:vAlign w:val="center"/>
          </w:tcPr>
          <w:p w14:paraId="207D6BFD">
            <w:pPr>
              <w:pStyle w:val="10"/>
            </w:pPr>
            <w:r>
              <w:t>绩效指标描述</w:t>
            </w:r>
          </w:p>
        </w:tc>
        <w:tc>
          <w:tcPr>
            <w:tcW w:w="2268" w:type="dxa"/>
            <w:vAlign w:val="center"/>
          </w:tcPr>
          <w:p w14:paraId="0C1F8E58">
            <w:pPr>
              <w:pStyle w:val="10"/>
            </w:pPr>
            <w:r>
              <w:t>指标值</w:t>
            </w:r>
          </w:p>
        </w:tc>
        <w:tc>
          <w:tcPr>
            <w:tcW w:w="1276" w:type="dxa"/>
            <w:vAlign w:val="center"/>
          </w:tcPr>
          <w:p w14:paraId="2F558484">
            <w:pPr>
              <w:pStyle w:val="10"/>
            </w:pPr>
            <w:r>
              <w:t>指标值确定依据</w:t>
            </w:r>
          </w:p>
        </w:tc>
      </w:tr>
      <w:tr w14:paraId="5E70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FEA27">
            <w:pPr>
              <w:pStyle w:val="13"/>
            </w:pPr>
            <w:r>
              <w:t>产出指标</w:t>
            </w:r>
          </w:p>
        </w:tc>
        <w:tc>
          <w:tcPr>
            <w:tcW w:w="2268" w:type="dxa"/>
            <w:vAlign w:val="center"/>
          </w:tcPr>
          <w:p w14:paraId="53788E27">
            <w:pPr>
              <w:pStyle w:val="12"/>
            </w:pPr>
            <w:r>
              <w:t>数量指标</w:t>
            </w:r>
          </w:p>
        </w:tc>
        <w:tc>
          <w:tcPr>
            <w:tcW w:w="2835" w:type="dxa"/>
            <w:vAlign w:val="center"/>
          </w:tcPr>
          <w:p w14:paraId="0CE19A1A">
            <w:pPr>
              <w:pStyle w:val="12"/>
            </w:pPr>
            <w:r>
              <w:t>适龄在园生</w:t>
            </w:r>
          </w:p>
        </w:tc>
        <w:tc>
          <w:tcPr>
            <w:tcW w:w="5386" w:type="dxa"/>
            <w:vAlign w:val="center"/>
          </w:tcPr>
          <w:p w14:paraId="157F3848">
            <w:pPr>
              <w:pStyle w:val="12"/>
            </w:pPr>
            <w:r>
              <w:t>适龄在园学生人数</w:t>
            </w:r>
          </w:p>
        </w:tc>
        <w:tc>
          <w:tcPr>
            <w:tcW w:w="2268" w:type="dxa"/>
            <w:vAlign w:val="center"/>
          </w:tcPr>
          <w:p w14:paraId="4107253A">
            <w:pPr>
              <w:pStyle w:val="12"/>
            </w:pPr>
            <w:r>
              <w:t>1228人</w:t>
            </w:r>
          </w:p>
        </w:tc>
        <w:tc>
          <w:tcPr>
            <w:tcW w:w="1276" w:type="dxa"/>
            <w:vAlign w:val="center"/>
          </w:tcPr>
          <w:p w14:paraId="7F7722A9">
            <w:pPr>
              <w:pStyle w:val="12"/>
            </w:pPr>
            <w:r>
              <w:t>学前公用经费管理办法</w:t>
            </w:r>
          </w:p>
        </w:tc>
      </w:tr>
      <w:tr w14:paraId="6E80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52A06"/>
        </w:tc>
        <w:tc>
          <w:tcPr>
            <w:tcW w:w="2268" w:type="dxa"/>
            <w:vAlign w:val="center"/>
          </w:tcPr>
          <w:p w14:paraId="6EE5E842">
            <w:pPr>
              <w:pStyle w:val="12"/>
            </w:pPr>
            <w:r>
              <w:t>质量指标</w:t>
            </w:r>
          </w:p>
        </w:tc>
        <w:tc>
          <w:tcPr>
            <w:tcW w:w="2835" w:type="dxa"/>
            <w:vAlign w:val="center"/>
          </w:tcPr>
          <w:p w14:paraId="1B153ED6">
            <w:pPr>
              <w:pStyle w:val="12"/>
            </w:pPr>
            <w:r>
              <w:t>预算控制率</w:t>
            </w:r>
          </w:p>
        </w:tc>
        <w:tc>
          <w:tcPr>
            <w:tcW w:w="5386" w:type="dxa"/>
            <w:vAlign w:val="center"/>
          </w:tcPr>
          <w:p w14:paraId="627C568E">
            <w:pPr>
              <w:pStyle w:val="12"/>
            </w:pPr>
            <w:r>
              <w:t>预算执行</w:t>
            </w:r>
          </w:p>
        </w:tc>
        <w:tc>
          <w:tcPr>
            <w:tcW w:w="2268" w:type="dxa"/>
            <w:vAlign w:val="center"/>
          </w:tcPr>
          <w:p w14:paraId="3768836E">
            <w:pPr>
              <w:pStyle w:val="12"/>
            </w:pPr>
            <w:r>
              <w:t>≥95%</w:t>
            </w:r>
          </w:p>
        </w:tc>
        <w:tc>
          <w:tcPr>
            <w:tcW w:w="1276" w:type="dxa"/>
            <w:vAlign w:val="center"/>
          </w:tcPr>
          <w:p w14:paraId="4DD84CA7">
            <w:pPr>
              <w:pStyle w:val="12"/>
            </w:pPr>
            <w:r>
              <w:t>学前公用经费管理办法</w:t>
            </w:r>
          </w:p>
        </w:tc>
      </w:tr>
      <w:tr w14:paraId="17C4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E2A6A"/>
        </w:tc>
        <w:tc>
          <w:tcPr>
            <w:tcW w:w="2268" w:type="dxa"/>
            <w:vAlign w:val="center"/>
          </w:tcPr>
          <w:p w14:paraId="3AA1D762">
            <w:pPr>
              <w:pStyle w:val="12"/>
            </w:pPr>
            <w:r>
              <w:t>时效指标</w:t>
            </w:r>
          </w:p>
        </w:tc>
        <w:tc>
          <w:tcPr>
            <w:tcW w:w="2835" w:type="dxa"/>
            <w:vAlign w:val="center"/>
          </w:tcPr>
          <w:p w14:paraId="5AC7CC05">
            <w:pPr>
              <w:pStyle w:val="12"/>
            </w:pPr>
            <w:r>
              <w:t>资金支付率</w:t>
            </w:r>
          </w:p>
        </w:tc>
        <w:tc>
          <w:tcPr>
            <w:tcW w:w="5386" w:type="dxa"/>
            <w:vAlign w:val="center"/>
          </w:tcPr>
          <w:p w14:paraId="30E5071B">
            <w:pPr>
              <w:pStyle w:val="12"/>
            </w:pPr>
            <w:r>
              <w:t>按照序时进度完成资金支付</w:t>
            </w:r>
          </w:p>
        </w:tc>
        <w:tc>
          <w:tcPr>
            <w:tcW w:w="2268" w:type="dxa"/>
            <w:vAlign w:val="center"/>
          </w:tcPr>
          <w:p w14:paraId="1247DACB">
            <w:pPr>
              <w:pStyle w:val="12"/>
            </w:pPr>
            <w:r>
              <w:t>100%</w:t>
            </w:r>
          </w:p>
        </w:tc>
        <w:tc>
          <w:tcPr>
            <w:tcW w:w="1276" w:type="dxa"/>
            <w:vAlign w:val="center"/>
          </w:tcPr>
          <w:p w14:paraId="67FC8C84">
            <w:pPr>
              <w:pStyle w:val="12"/>
            </w:pPr>
            <w:r>
              <w:t>学前公用经费管理办法</w:t>
            </w:r>
          </w:p>
        </w:tc>
      </w:tr>
      <w:tr w14:paraId="2B4B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66710"/>
        </w:tc>
        <w:tc>
          <w:tcPr>
            <w:tcW w:w="2268" w:type="dxa"/>
            <w:vAlign w:val="center"/>
          </w:tcPr>
          <w:p w14:paraId="7B8395A7">
            <w:pPr>
              <w:pStyle w:val="12"/>
            </w:pPr>
            <w:r>
              <w:t>成本指标</w:t>
            </w:r>
          </w:p>
        </w:tc>
        <w:tc>
          <w:tcPr>
            <w:tcW w:w="2835" w:type="dxa"/>
            <w:vAlign w:val="center"/>
          </w:tcPr>
          <w:p w14:paraId="75C9DDAA">
            <w:pPr>
              <w:pStyle w:val="12"/>
            </w:pPr>
            <w:r>
              <w:t>生均拨款标准</w:t>
            </w:r>
          </w:p>
        </w:tc>
        <w:tc>
          <w:tcPr>
            <w:tcW w:w="5386" w:type="dxa"/>
            <w:vAlign w:val="center"/>
          </w:tcPr>
          <w:p w14:paraId="4D152DC7">
            <w:pPr>
              <w:pStyle w:val="12"/>
            </w:pPr>
            <w:r>
              <w:t>学前：（基本标准600元/生/学年）</w:t>
            </w:r>
          </w:p>
        </w:tc>
        <w:tc>
          <w:tcPr>
            <w:tcW w:w="2268" w:type="dxa"/>
            <w:vAlign w:val="center"/>
          </w:tcPr>
          <w:p w14:paraId="18BC9BD2">
            <w:pPr>
              <w:pStyle w:val="12"/>
            </w:pPr>
            <w:r>
              <w:t>600元</w:t>
            </w:r>
          </w:p>
        </w:tc>
        <w:tc>
          <w:tcPr>
            <w:tcW w:w="1276" w:type="dxa"/>
            <w:vAlign w:val="center"/>
          </w:tcPr>
          <w:p w14:paraId="00B7D924">
            <w:pPr>
              <w:pStyle w:val="12"/>
            </w:pPr>
            <w:r>
              <w:t>学前公用经费管理办法</w:t>
            </w:r>
          </w:p>
        </w:tc>
      </w:tr>
      <w:tr w14:paraId="41D1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4E4D9">
            <w:pPr>
              <w:pStyle w:val="13"/>
            </w:pPr>
            <w:r>
              <w:t>效益指标</w:t>
            </w:r>
          </w:p>
        </w:tc>
        <w:tc>
          <w:tcPr>
            <w:tcW w:w="2268" w:type="dxa"/>
            <w:vAlign w:val="center"/>
          </w:tcPr>
          <w:p w14:paraId="54F869FF">
            <w:pPr>
              <w:pStyle w:val="12"/>
            </w:pPr>
            <w:r>
              <w:t>可持续影响指标</w:t>
            </w:r>
          </w:p>
        </w:tc>
        <w:tc>
          <w:tcPr>
            <w:tcW w:w="2835" w:type="dxa"/>
            <w:vAlign w:val="center"/>
          </w:tcPr>
          <w:p w14:paraId="792538DC">
            <w:pPr>
              <w:pStyle w:val="12"/>
            </w:pPr>
            <w:r>
              <w:t>学校运转得到提升</w:t>
            </w:r>
          </w:p>
        </w:tc>
        <w:tc>
          <w:tcPr>
            <w:tcW w:w="5386" w:type="dxa"/>
            <w:vAlign w:val="center"/>
          </w:tcPr>
          <w:p w14:paraId="1E734F64">
            <w:pPr>
              <w:pStyle w:val="12"/>
            </w:pPr>
            <w:r>
              <w:t>幼儿受教育年限</w:t>
            </w:r>
          </w:p>
        </w:tc>
        <w:tc>
          <w:tcPr>
            <w:tcW w:w="2268" w:type="dxa"/>
            <w:vAlign w:val="center"/>
          </w:tcPr>
          <w:p w14:paraId="0320EF78">
            <w:pPr>
              <w:pStyle w:val="12"/>
            </w:pPr>
            <w:r>
              <w:t>3年</w:t>
            </w:r>
          </w:p>
        </w:tc>
        <w:tc>
          <w:tcPr>
            <w:tcW w:w="1276" w:type="dxa"/>
            <w:vAlign w:val="center"/>
          </w:tcPr>
          <w:p w14:paraId="06CAB105">
            <w:pPr>
              <w:pStyle w:val="12"/>
            </w:pPr>
            <w:r>
              <w:t>学前公用经费管理办法</w:t>
            </w:r>
          </w:p>
        </w:tc>
      </w:tr>
      <w:tr w14:paraId="50CE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739B0">
            <w:pPr>
              <w:pStyle w:val="13"/>
            </w:pPr>
            <w:r>
              <w:t>满意度指标</w:t>
            </w:r>
          </w:p>
        </w:tc>
        <w:tc>
          <w:tcPr>
            <w:tcW w:w="2268" w:type="dxa"/>
            <w:vAlign w:val="center"/>
          </w:tcPr>
          <w:p w14:paraId="756FF253">
            <w:pPr>
              <w:pStyle w:val="12"/>
            </w:pPr>
            <w:r>
              <w:t>服务对象满意度指标</w:t>
            </w:r>
          </w:p>
        </w:tc>
        <w:tc>
          <w:tcPr>
            <w:tcW w:w="2835" w:type="dxa"/>
            <w:vAlign w:val="center"/>
          </w:tcPr>
          <w:p w14:paraId="62DEE55F">
            <w:pPr>
              <w:pStyle w:val="12"/>
            </w:pPr>
            <w:r>
              <w:t>受益学生家长及调查满意度</w:t>
            </w:r>
          </w:p>
        </w:tc>
        <w:tc>
          <w:tcPr>
            <w:tcW w:w="5386" w:type="dxa"/>
            <w:vAlign w:val="center"/>
          </w:tcPr>
          <w:p w14:paraId="76C5CD71">
            <w:pPr>
              <w:pStyle w:val="12"/>
            </w:pPr>
            <w:r>
              <w:t>学生、教师及家长对学校保教保育工作满意度情况</w:t>
            </w:r>
          </w:p>
        </w:tc>
        <w:tc>
          <w:tcPr>
            <w:tcW w:w="2268" w:type="dxa"/>
            <w:vAlign w:val="center"/>
          </w:tcPr>
          <w:p w14:paraId="6FDF6767">
            <w:pPr>
              <w:pStyle w:val="12"/>
            </w:pPr>
            <w:r>
              <w:t>≥95%</w:t>
            </w:r>
          </w:p>
        </w:tc>
        <w:tc>
          <w:tcPr>
            <w:tcW w:w="1276" w:type="dxa"/>
            <w:vAlign w:val="center"/>
          </w:tcPr>
          <w:p w14:paraId="7A9DCA31">
            <w:pPr>
              <w:pStyle w:val="12"/>
            </w:pPr>
            <w:r>
              <w:t>群众测评</w:t>
            </w:r>
          </w:p>
        </w:tc>
      </w:tr>
    </w:tbl>
    <w:p w14:paraId="2E455FBB">
      <w:pPr>
        <w:sectPr>
          <w:pgSz w:w="16840" w:h="11900" w:orient="landscape"/>
          <w:pgMar w:top="1361" w:right="1020" w:bottom="1134" w:left="1020" w:header="720" w:footer="720" w:gutter="0"/>
          <w:cols w:space="720" w:num="1"/>
        </w:sectPr>
      </w:pPr>
    </w:p>
    <w:p w14:paraId="709C3C49">
      <w:pPr>
        <w:spacing w:before="0" w:after="0"/>
        <w:ind w:firstLine="560"/>
        <w:jc w:val="left"/>
        <w:outlineLvl w:val="9"/>
      </w:pPr>
      <w:r>
        <w:rPr>
          <w:rFonts w:ascii="方正仿宋_GBK" w:hAnsi="方正仿宋_GBK" w:eastAsia="方正仿宋_GBK" w:cs="方正仿宋_GBK"/>
          <w:b/>
          <w:color w:val="000000"/>
          <w:sz w:val="28"/>
        </w:rPr>
        <w:t>38、县级资金/2026年东良校区学前教育公用经费绩效目标表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53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E9817">
            <w:pPr>
              <w:pStyle w:val="11"/>
            </w:pPr>
            <w:r>
              <w:t>单位：万元</w:t>
            </w:r>
          </w:p>
        </w:tc>
      </w:tr>
      <w:tr w14:paraId="5B251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97F52">
            <w:pPr>
              <w:pStyle w:val="10"/>
            </w:pPr>
            <w:r>
              <w:t>项目编码</w:t>
            </w:r>
          </w:p>
        </w:tc>
        <w:tc>
          <w:tcPr>
            <w:tcW w:w="5103" w:type="dxa"/>
            <w:gridSpan w:val="2"/>
            <w:vAlign w:val="center"/>
          </w:tcPr>
          <w:p w14:paraId="742DADAC">
            <w:pPr>
              <w:pStyle w:val="12"/>
            </w:pPr>
            <w:r>
              <w:t>13052526P00875710120F</w:t>
            </w:r>
          </w:p>
        </w:tc>
        <w:tc>
          <w:tcPr>
            <w:tcW w:w="2835" w:type="dxa"/>
            <w:vAlign w:val="center"/>
          </w:tcPr>
          <w:p w14:paraId="38B9CD13">
            <w:pPr>
              <w:pStyle w:val="10"/>
            </w:pPr>
            <w:r>
              <w:t>项目名称</w:t>
            </w:r>
          </w:p>
        </w:tc>
        <w:tc>
          <w:tcPr>
            <w:tcW w:w="6095" w:type="dxa"/>
            <w:gridSpan w:val="3"/>
            <w:vAlign w:val="center"/>
          </w:tcPr>
          <w:p w14:paraId="515EF7B5">
            <w:pPr>
              <w:pStyle w:val="12"/>
            </w:pPr>
            <w:r>
              <w:t>县级资金/2026年东良校区学前教育公用经费</w:t>
            </w:r>
          </w:p>
        </w:tc>
      </w:tr>
      <w:tr w14:paraId="6AAEC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5837A">
            <w:pPr>
              <w:pStyle w:val="10"/>
            </w:pPr>
            <w:r>
              <w:t>预算规模及资金用途</w:t>
            </w:r>
          </w:p>
        </w:tc>
        <w:tc>
          <w:tcPr>
            <w:tcW w:w="2268" w:type="dxa"/>
            <w:vAlign w:val="center"/>
          </w:tcPr>
          <w:p w14:paraId="614BF673">
            <w:pPr>
              <w:pStyle w:val="10"/>
            </w:pPr>
            <w:r>
              <w:t>预算数</w:t>
            </w:r>
          </w:p>
        </w:tc>
        <w:tc>
          <w:tcPr>
            <w:tcW w:w="2835" w:type="dxa"/>
            <w:vAlign w:val="center"/>
          </w:tcPr>
          <w:p w14:paraId="7CE1096F">
            <w:pPr>
              <w:pStyle w:val="12"/>
            </w:pPr>
            <w:r>
              <w:t>26.54</w:t>
            </w:r>
          </w:p>
        </w:tc>
        <w:tc>
          <w:tcPr>
            <w:tcW w:w="2835" w:type="dxa"/>
            <w:vAlign w:val="center"/>
          </w:tcPr>
          <w:p w14:paraId="66384822">
            <w:pPr>
              <w:pStyle w:val="10"/>
            </w:pPr>
            <w:r>
              <w:t>其中：财政    资金</w:t>
            </w:r>
          </w:p>
        </w:tc>
        <w:tc>
          <w:tcPr>
            <w:tcW w:w="2551" w:type="dxa"/>
            <w:vAlign w:val="center"/>
          </w:tcPr>
          <w:p w14:paraId="3CBF2E9C">
            <w:pPr>
              <w:pStyle w:val="12"/>
            </w:pPr>
            <w:r>
              <w:t>26.54</w:t>
            </w:r>
          </w:p>
        </w:tc>
        <w:tc>
          <w:tcPr>
            <w:tcW w:w="2268" w:type="dxa"/>
            <w:vAlign w:val="center"/>
          </w:tcPr>
          <w:p w14:paraId="718336C0">
            <w:pPr>
              <w:pStyle w:val="10"/>
            </w:pPr>
            <w:r>
              <w:t>其他资金</w:t>
            </w:r>
          </w:p>
        </w:tc>
        <w:tc>
          <w:tcPr>
            <w:tcW w:w="1276" w:type="dxa"/>
            <w:vAlign w:val="center"/>
          </w:tcPr>
          <w:p w14:paraId="633D9668">
            <w:pPr>
              <w:pStyle w:val="12"/>
            </w:pPr>
            <w:r>
              <w:t xml:space="preserve"> </w:t>
            </w:r>
          </w:p>
        </w:tc>
      </w:tr>
      <w:tr w14:paraId="437BA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DC7CE"/>
        </w:tc>
        <w:tc>
          <w:tcPr>
            <w:tcW w:w="14033" w:type="dxa"/>
            <w:gridSpan w:val="6"/>
            <w:vAlign w:val="center"/>
          </w:tcPr>
          <w:p w14:paraId="155D883B">
            <w:pPr>
              <w:pStyle w:val="12"/>
            </w:pPr>
            <w:r>
              <w:t xml:space="preserve"> 保障幼儿园正常运转，完成教育教学活动和其他日常工作任务等方面的费用支出。</w:t>
            </w:r>
          </w:p>
        </w:tc>
      </w:tr>
      <w:tr w14:paraId="4E0CD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EC82A">
            <w:pPr>
              <w:pStyle w:val="10"/>
            </w:pPr>
            <w:r>
              <w:t>资金支出计划（%）</w:t>
            </w:r>
          </w:p>
        </w:tc>
        <w:tc>
          <w:tcPr>
            <w:tcW w:w="5103" w:type="dxa"/>
            <w:gridSpan w:val="2"/>
            <w:vAlign w:val="center"/>
          </w:tcPr>
          <w:p w14:paraId="02F93A2A">
            <w:pPr>
              <w:pStyle w:val="10"/>
            </w:pPr>
            <w:r>
              <w:t>3月底</w:t>
            </w:r>
          </w:p>
        </w:tc>
        <w:tc>
          <w:tcPr>
            <w:tcW w:w="2835" w:type="dxa"/>
            <w:vAlign w:val="center"/>
          </w:tcPr>
          <w:p w14:paraId="60EA96DA">
            <w:pPr>
              <w:pStyle w:val="10"/>
            </w:pPr>
            <w:r>
              <w:t>6月底</w:t>
            </w:r>
          </w:p>
        </w:tc>
        <w:tc>
          <w:tcPr>
            <w:tcW w:w="2551" w:type="dxa"/>
            <w:vAlign w:val="center"/>
          </w:tcPr>
          <w:p w14:paraId="5039A8BF">
            <w:pPr>
              <w:pStyle w:val="10"/>
            </w:pPr>
            <w:r>
              <w:t>10月底</w:t>
            </w:r>
          </w:p>
        </w:tc>
        <w:tc>
          <w:tcPr>
            <w:tcW w:w="3544" w:type="dxa"/>
            <w:gridSpan w:val="2"/>
            <w:vAlign w:val="center"/>
          </w:tcPr>
          <w:p w14:paraId="02AB2B6A">
            <w:pPr>
              <w:pStyle w:val="10"/>
            </w:pPr>
            <w:r>
              <w:t>12月底</w:t>
            </w:r>
          </w:p>
        </w:tc>
      </w:tr>
      <w:tr w14:paraId="6D957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6D8EE"/>
        </w:tc>
        <w:tc>
          <w:tcPr>
            <w:tcW w:w="5103" w:type="dxa"/>
            <w:gridSpan w:val="2"/>
            <w:vAlign w:val="center"/>
          </w:tcPr>
          <w:p w14:paraId="230BE67B">
            <w:pPr>
              <w:pStyle w:val="13"/>
            </w:pPr>
            <w:r>
              <w:t>25%</w:t>
            </w:r>
          </w:p>
        </w:tc>
        <w:tc>
          <w:tcPr>
            <w:tcW w:w="2835" w:type="dxa"/>
            <w:vAlign w:val="center"/>
          </w:tcPr>
          <w:p w14:paraId="4655EB8D">
            <w:pPr>
              <w:pStyle w:val="13"/>
            </w:pPr>
            <w:r>
              <w:t>50%</w:t>
            </w:r>
          </w:p>
        </w:tc>
        <w:tc>
          <w:tcPr>
            <w:tcW w:w="2551" w:type="dxa"/>
            <w:vAlign w:val="center"/>
          </w:tcPr>
          <w:p w14:paraId="48C1C026">
            <w:pPr>
              <w:pStyle w:val="13"/>
            </w:pPr>
            <w:r>
              <w:t>75%</w:t>
            </w:r>
          </w:p>
        </w:tc>
        <w:tc>
          <w:tcPr>
            <w:tcW w:w="3544" w:type="dxa"/>
            <w:gridSpan w:val="2"/>
            <w:vAlign w:val="center"/>
          </w:tcPr>
          <w:p w14:paraId="4CF59DB3">
            <w:pPr>
              <w:pStyle w:val="13"/>
            </w:pPr>
            <w:r>
              <w:t>100%</w:t>
            </w:r>
          </w:p>
        </w:tc>
      </w:tr>
      <w:tr w14:paraId="53A86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A2789">
            <w:pPr>
              <w:pStyle w:val="10"/>
            </w:pPr>
            <w:r>
              <w:t>绩效目标</w:t>
            </w:r>
          </w:p>
        </w:tc>
        <w:tc>
          <w:tcPr>
            <w:tcW w:w="14033" w:type="dxa"/>
            <w:gridSpan w:val="6"/>
            <w:vAlign w:val="center"/>
          </w:tcPr>
          <w:p w14:paraId="27A70A22">
            <w:pPr>
              <w:pStyle w:val="12"/>
            </w:pPr>
            <w:r>
              <w:t>1.按季度分批次拨付公用经费资金，资金拨付率达到100%。</w:t>
            </w:r>
          </w:p>
          <w:p w14:paraId="704A29A3">
            <w:pPr>
              <w:pStyle w:val="12"/>
            </w:pPr>
            <w:r>
              <w:t>2. 保障幼儿园正常运转，完成教育教学活动和其他日常工作任务等方面的费用支出。</w:t>
            </w:r>
          </w:p>
        </w:tc>
      </w:tr>
    </w:tbl>
    <w:p w14:paraId="0C1F7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E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1D218">
            <w:pPr>
              <w:pStyle w:val="10"/>
            </w:pPr>
            <w:r>
              <w:t>一级指标</w:t>
            </w:r>
          </w:p>
        </w:tc>
        <w:tc>
          <w:tcPr>
            <w:tcW w:w="2268" w:type="dxa"/>
            <w:vAlign w:val="center"/>
          </w:tcPr>
          <w:p w14:paraId="074CB8EE">
            <w:pPr>
              <w:pStyle w:val="10"/>
            </w:pPr>
            <w:r>
              <w:t>二级指标</w:t>
            </w:r>
          </w:p>
        </w:tc>
        <w:tc>
          <w:tcPr>
            <w:tcW w:w="2835" w:type="dxa"/>
            <w:vAlign w:val="center"/>
          </w:tcPr>
          <w:p w14:paraId="0E012F24">
            <w:pPr>
              <w:pStyle w:val="10"/>
            </w:pPr>
            <w:r>
              <w:t>三级指标</w:t>
            </w:r>
          </w:p>
        </w:tc>
        <w:tc>
          <w:tcPr>
            <w:tcW w:w="5386" w:type="dxa"/>
            <w:vAlign w:val="center"/>
          </w:tcPr>
          <w:p w14:paraId="4CBE5AE1">
            <w:pPr>
              <w:pStyle w:val="10"/>
            </w:pPr>
            <w:r>
              <w:t>绩效指标描述</w:t>
            </w:r>
          </w:p>
        </w:tc>
        <w:tc>
          <w:tcPr>
            <w:tcW w:w="2268" w:type="dxa"/>
            <w:vAlign w:val="center"/>
          </w:tcPr>
          <w:p w14:paraId="699AD2DB">
            <w:pPr>
              <w:pStyle w:val="10"/>
            </w:pPr>
            <w:r>
              <w:t>指标值</w:t>
            </w:r>
          </w:p>
        </w:tc>
        <w:tc>
          <w:tcPr>
            <w:tcW w:w="1276" w:type="dxa"/>
            <w:vAlign w:val="center"/>
          </w:tcPr>
          <w:p w14:paraId="0DD54DC5">
            <w:pPr>
              <w:pStyle w:val="10"/>
            </w:pPr>
            <w:r>
              <w:t>指标值确定依据</w:t>
            </w:r>
          </w:p>
        </w:tc>
      </w:tr>
      <w:tr w14:paraId="27B7A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2ABBC">
            <w:pPr>
              <w:pStyle w:val="13"/>
            </w:pPr>
            <w:r>
              <w:t>产出指标</w:t>
            </w:r>
          </w:p>
        </w:tc>
        <w:tc>
          <w:tcPr>
            <w:tcW w:w="2268" w:type="dxa"/>
            <w:vAlign w:val="center"/>
          </w:tcPr>
          <w:p w14:paraId="0B4FFDA0">
            <w:pPr>
              <w:pStyle w:val="12"/>
            </w:pPr>
            <w:r>
              <w:t>数量指标</w:t>
            </w:r>
          </w:p>
        </w:tc>
        <w:tc>
          <w:tcPr>
            <w:tcW w:w="2835" w:type="dxa"/>
            <w:vAlign w:val="center"/>
          </w:tcPr>
          <w:p w14:paraId="74809092">
            <w:pPr>
              <w:pStyle w:val="12"/>
            </w:pPr>
            <w:r>
              <w:t>适龄在校生</w:t>
            </w:r>
          </w:p>
        </w:tc>
        <w:tc>
          <w:tcPr>
            <w:tcW w:w="5386" w:type="dxa"/>
            <w:vAlign w:val="center"/>
          </w:tcPr>
          <w:p w14:paraId="2481687D">
            <w:pPr>
              <w:pStyle w:val="12"/>
            </w:pPr>
            <w:r>
              <w:t>辖区内适龄儿童全覆盖</w:t>
            </w:r>
          </w:p>
        </w:tc>
        <w:tc>
          <w:tcPr>
            <w:tcW w:w="2268" w:type="dxa"/>
            <w:vAlign w:val="center"/>
          </w:tcPr>
          <w:p w14:paraId="05F305AF">
            <w:pPr>
              <w:pStyle w:val="12"/>
            </w:pPr>
            <w:r>
              <w:t>932人</w:t>
            </w:r>
          </w:p>
        </w:tc>
        <w:tc>
          <w:tcPr>
            <w:tcW w:w="1276" w:type="dxa"/>
            <w:vAlign w:val="center"/>
          </w:tcPr>
          <w:p w14:paraId="042C9CC6">
            <w:pPr>
              <w:pStyle w:val="12"/>
            </w:pPr>
            <w:r>
              <w:t>幼儿园生均公用经费管理办法</w:t>
            </w:r>
          </w:p>
        </w:tc>
      </w:tr>
      <w:tr w14:paraId="5D3E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D575D"/>
        </w:tc>
        <w:tc>
          <w:tcPr>
            <w:tcW w:w="2268" w:type="dxa"/>
            <w:vAlign w:val="center"/>
          </w:tcPr>
          <w:p w14:paraId="19F3208D">
            <w:pPr>
              <w:pStyle w:val="12"/>
            </w:pPr>
            <w:r>
              <w:t>质量指标</w:t>
            </w:r>
          </w:p>
        </w:tc>
        <w:tc>
          <w:tcPr>
            <w:tcW w:w="2835" w:type="dxa"/>
            <w:vAlign w:val="center"/>
          </w:tcPr>
          <w:p w14:paraId="5BCEE266">
            <w:pPr>
              <w:pStyle w:val="12"/>
            </w:pPr>
            <w:r>
              <w:t>预算控制率</w:t>
            </w:r>
          </w:p>
        </w:tc>
        <w:tc>
          <w:tcPr>
            <w:tcW w:w="5386" w:type="dxa"/>
            <w:vAlign w:val="center"/>
          </w:tcPr>
          <w:p w14:paraId="0551C54A">
            <w:pPr>
              <w:pStyle w:val="12"/>
            </w:pPr>
            <w:r>
              <w:t>预算执行</w:t>
            </w:r>
          </w:p>
        </w:tc>
        <w:tc>
          <w:tcPr>
            <w:tcW w:w="2268" w:type="dxa"/>
            <w:vAlign w:val="center"/>
          </w:tcPr>
          <w:p w14:paraId="5A57EAAC">
            <w:pPr>
              <w:pStyle w:val="12"/>
            </w:pPr>
            <w:r>
              <w:t>≥95%</w:t>
            </w:r>
          </w:p>
        </w:tc>
        <w:tc>
          <w:tcPr>
            <w:tcW w:w="1276" w:type="dxa"/>
            <w:vAlign w:val="center"/>
          </w:tcPr>
          <w:p w14:paraId="21765BF3">
            <w:pPr>
              <w:pStyle w:val="12"/>
            </w:pPr>
            <w:r>
              <w:t>幼儿园生均公用经费管理办法</w:t>
            </w:r>
          </w:p>
        </w:tc>
      </w:tr>
      <w:tr w14:paraId="507F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93FBA"/>
        </w:tc>
        <w:tc>
          <w:tcPr>
            <w:tcW w:w="2268" w:type="dxa"/>
            <w:vAlign w:val="center"/>
          </w:tcPr>
          <w:p w14:paraId="44201FE3">
            <w:pPr>
              <w:pStyle w:val="12"/>
            </w:pPr>
            <w:r>
              <w:t>时效指标</w:t>
            </w:r>
          </w:p>
        </w:tc>
        <w:tc>
          <w:tcPr>
            <w:tcW w:w="2835" w:type="dxa"/>
            <w:vAlign w:val="center"/>
          </w:tcPr>
          <w:p w14:paraId="6E082B6F">
            <w:pPr>
              <w:pStyle w:val="12"/>
            </w:pPr>
            <w:r>
              <w:t>资金支付率</w:t>
            </w:r>
          </w:p>
        </w:tc>
        <w:tc>
          <w:tcPr>
            <w:tcW w:w="5386" w:type="dxa"/>
            <w:vAlign w:val="center"/>
          </w:tcPr>
          <w:p w14:paraId="2285E8BD">
            <w:pPr>
              <w:pStyle w:val="12"/>
            </w:pPr>
            <w:r>
              <w:t>按照序时进度完成资金支付</w:t>
            </w:r>
          </w:p>
        </w:tc>
        <w:tc>
          <w:tcPr>
            <w:tcW w:w="2268" w:type="dxa"/>
            <w:vAlign w:val="center"/>
          </w:tcPr>
          <w:p w14:paraId="4301450B">
            <w:pPr>
              <w:pStyle w:val="12"/>
            </w:pPr>
            <w:r>
              <w:t>100%</w:t>
            </w:r>
          </w:p>
        </w:tc>
        <w:tc>
          <w:tcPr>
            <w:tcW w:w="1276" w:type="dxa"/>
            <w:vAlign w:val="center"/>
          </w:tcPr>
          <w:p w14:paraId="6175CE4B">
            <w:pPr>
              <w:pStyle w:val="12"/>
            </w:pPr>
            <w:r>
              <w:t>幼儿园生均公用经费管理办法</w:t>
            </w:r>
          </w:p>
        </w:tc>
      </w:tr>
      <w:tr w14:paraId="6CAB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D0FA8"/>
        </w:tc>
        <w:tc>
          <w:tcPr>
            <w:tcW w:w="2268" w:type="dxa"/>
            <w:vAlign w:val="center"/>
          </w:tcPr>
          <w:p w14:paraId="1BFF6B97">
            <w:pPr>
              <w:pStyle w:val="12"/>
            </w:pPr>
            <w:r>
              <w:t>成本指标</w:t>
            </w:r>
          </w:p>
        </w:tc>
        <w:tc>
          <w:tcPr>
            <w:tcW w:w="2835" w:type="dxa"/>
            <w:vAlign w:val="center"/>
          </w:tcPr>
          <w:p w14:paraId="6D6DCD1C">
            <w:pPr>
              <w:pStyle w:val="12"/>
            </w:pPr>
            <w:r>
              <w:t>生均拨款标准</w:t>
            </w:r>
          </w:p>
        </w:tc>
        <w:tc>
          <w:tcPr>
            <w:tcW w:w="5386" w:type="dxa"/>
            <w:vAlign w:val="center"/>
          </w:tcPr>
          <w:p w14:paraId="53D6948E">
            <w:pPr>
              <w:pStyle w:val="12"/>
            </w:pPr>
            <w:r>
              <w:t>学前经费600元/生/年</w:t>
            </w:r>
          </w:p>
        </w:tc>
        <w:tc>
          <w:tcPr>
            <w:tcW w:w="2268" w:type="dxa"/>
            <w:vAlign w:val="center"/>
          </w:tcPr>
          <w:p w14:paraId="7D2540E9">
            <w:pPr>
              <w:pStyle w:val="12"/>
            </w:pPr>
            <w:r>
              <w:t>600元</w:t>
            </w:r>
          </w:p>
        </w:tc>
        <w:tc>
          <w:tcPr>
            <w:tcW w:w="1276" w:type="dxa"/>
            <w:vAlign w:val="center"/>
          </w:tcPr>
          <w:p w14:paraId="3A5F08D2">
            <w:pPr>
              <w:pStyle w:val="12"/>
            </w:pPr>
            <w:r>
              <w:t>幼儿园生均公用经费管理办法</w:t>
            </w:r>
          </w:p>
        </w:tc>
      </w:tr>
      <w:tr w14:paraId="3897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38DE4">
            <w:pPr>
              <w:pStyle w:val="13"/>
            </w:pPr>
            <w:r>
              <w:t>效益指标</w:t>
            </w:r>
          </w:p>
        </w:tc>
        <w:tc>
          <w:tcPr>
            <w:tcW w:w="2268" w:type="dxa"/>
            <w:vAlign w:val="center"/>
          </w:tcPr>
          <w:p w14:paraId="7ADFCF1A">
            <w:pPr>
              <w:pStyle w:val="12"/>
            </w:pPr>
            <w:r>
              <w:t>可持续影响指标</w:t>
            </w:r>
          </w:p>
        </w:tc>
        <w:tc>
          <w:tcPr>
            <w:tcW w:w="2835" w:type="dxa"/>
            <w:vAlign w:val="center"/>
          </w:tcPr>
          <w:p w14:paraId="731CE25D">
            <w:pPr>
              <w:pStyle w:val="12"/>
            </w:pPr>
            <w:r>
              <w:t>教育发展水平明显好转</w:t>
            </w:r>
          </w:p>
        </w:tc>
        <w:tc>
          <w:tcPr>
            <w:tcW w:w="5386" w:type="dxa"/>
            <w:vAlign w:val="center"/>
          </w:tcPr>
          <w:p w14:paraId="11EA1C9C">
            <w:pPr>
              <w:pStyle w:val="12"/>
            </w:pPr>
            <w:r>
              <w:t>学生受教育年限</w:t>
            </w:r>
          </w:p>
        </w:tc>
        <w:tc>
          <w:tcPr>
            <w:tcW w:w="2268" w:type="dxa"/>
            <w:vAlign w:val="center"/>
          </w:tcPr>
          <w:p w14:paraId="37A93544">
            <w:pPr>
              <w:pStyle w:val="12"/>
            </w:pPr>
            <w:r>
              <w:t>3年</w:t>
            </w:r>
          </w:p>
        </w:tc>
        <w:tc>
          <w:tcPr>
            <w:tcW w:w="1276" w:type="dxa"/>
            <w:vAlign w:val="center"/>
          </w:tcPr>
          <w:p w14:paraId="51886156">
            <w:pPr>
              <w:pStyle w:val="12"/>
            </w:pPr>
            <w:r>
              <w:t>幼儿园生均公用经费管理办法</w:t>
            </w:r>
          </w:p>
        </w:tc>
      </w:tr>
      <w:tr w14:paraId="590A7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B2915">
            <w:pPr>
              <w:pStyle w:val="13"/>
            </w:pPr>
            <w:r>
              <w:t>满意度指标</w:t>
            </w:r>
          </w:p>
        </w:tc>
        <w:tc>
          <w:tcPr>
            <w:tcW w:w="2268" w:type="dxa"/>
            <w:vAlign w:val="center"/>
          </w:tcPr>
          <w:p w14:paraId="65570BCC">
            <w:pPr>
              <w:pStyle w:val="12"/>
            </w:pPr>
            <w:r>
              <w:t>服务对象满意度指标</w:t>
            </w:r>
          </w:p>
        </w:tc>
        <w:tc>
          <w:tcPr>
            <w:tcW w:w="2835" w:type="dxa"/>
            <w:vAlign w:val="center"/>
          </w:tcPr>
          <w:p w14:paraId="2E711576">
            <w:pPr>
              <w:pStyle w:val="12"/>
            </w:pPr>
            <w:r>
              <w:t>受益学生家长及调查满意度</w:t>
            </w:r>
          </w:p>
        </w:tc>
        <w:tc>
          <w:tcPr>
            <w:tcW w:w="5386" w:type="dxa"/>
            <w:vAlign w:val="center"/>
          </w:tcPr>
          <w:p w14:paraId="046BEA93">
            <w:pPr>
              <w:pStyle w:val="12"/>
            </w:pPr>
            <w:r>
              <w:t>学生、教师及家长对学校保教保育工作满意度情况</w:t>
            </w:r>
          </w:p>
        </w:tc>
        <w:tc>
          <w:tcPr>
            <w:tcW w:w="2268" w:type="dxa"/>
            <w:vAlign w:val="center"/>
          </w:tcPr>
          <w:p w14:paraId="2F9CE177">
            <w:pPr>
              <w:pStyle w:val="12"/>
            </w:pPr>
            <w:r>
              <w:t>≥95%</w:t>
            </w:r>
          </w:p>
        </w:tc>
        <w:tc>
          <w:tcPr>
            <w:tcW w:w="1276" w:type="dxa"/>
            <w:vAlign w:val="center"/>
          </w:tcPr>
          <w:p w14:paraId="72E4393A">
            <w:pPr>
              <w:pStyle w:val="12"/>
            </w:pPr>
            <w:r>
              <w:t>调查问卷</w:t>
            </w:r>
          </w:p>
        </w:tc>
      </w:tr>
    </w:tbl>
    <w:p w14:paraId="62CFDFA2">
      <w:pPr>
        <w:sectPr>
          <w:pgSz w:w="16840" w:h="11900" w:orient="landscape"/>
          <w:pgMar w:top="1361" w:right="1020" w:bottom="1134" w:left="1020" w:header="720" w:footer="720" w:gutter="0"/>
          <w:cols w:space="720" w:num="1"/>
        </w:sectPr>
      </w:pPr>
    </w:p>
    <w:p w14:paraId="4A6C0FEB">
      <w:pPr>
        <w:spacing w:before="0" w:after="0"/>
        <w:ind w:firstLine="560"/>
        <w:jc w:val="left"/>
        <w:outlineLvl w:val="9"/>
      </w:pPr>
      <w:r>
        <w:rPr>
          <w:rFonts w:ascii="方正仿宋_GBK" w:hAnsi="方正仿宋_GBK" w:eastAsia="方正仿宋_GBK" w:cs="方正仿宋_GBK"/>
          <w:b/>
          <w:color w:val="000000"/>
          <w:sz w:val="28"/>
        </w:rPr>
        <w:t>39、学前专项经费/东良校区绩效目标表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79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E3C2E">
            <w:pPr>
              <w:pStyle w:val="11"/>
            </w:pPr>
            <w:r>
              <w:t>单位：万元</w:t>
            </w:r>
          </w:p>
        </w:tc>
      </w:tr>
      <w:tr w14:paraId="6F609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07491">
            <w:pPr>
              <w:pStyle w:val="10"/>
            </w:pPr>
            <w:r>
              <w:t>项目编码</w:t>
            </w:r>
          </w:p>
        </w:tc>
        <w:tc>
          <w:tcPr>
            <w:tcW w:w="5103" w:type="dxa"/>
            <w:gridSpan w:val="2"/>
            <w:vAlign w:val="center"/>
          </w:tcPr>
          <w:p w14:paraId="278415E5">
            <w:pPr>
              <w:pStyle w:val="12"/>
            </w:pPr>
            <w:r>
              <w:t>13052526P000002100950</w:t>
            </w:r>
          </w:p>
        </w:tc>
        <w:tc>
          <w:tcPr>
            <w:tcW w:w="2835" w:type="dxa"/>
            <w:vAlign w:val="center"/>
          </w:tcPr>
          <w:p w14:paraId="084671A3">
            <w:pPr>
              <w:pStyle w:val="10"/>
            </w:pPr>
            <w:r>
              <w:t>项目名称</w:t>
            </w:r>
          </w:p>
        </w:tc>
        <w:tc>
          <w:tcPr>
            <w:tcW w:w="6095" w:type="dxa"/>
            <w:gridSpan w:val="3"/>
            <w:vAlign w:val="center"/>
          </w:tcPr>
          <w:p w14:paraId="37DC5219">
            <w:pPr>
              <w:pStyle w:val="12"/>
            </w:pPr>
            <w:r>
              <w:t>学前专项经费/东良校区</w:t>
            </w:r>
          </w:p>
        </w:tc>
      </w:tr>
      <w:tr w14:paraId="694FF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CBA97">
            <w:pPr>
              <w:pStyle w:val="10"/>
            </w:pPr>
            <w:r>
              <w:t>预算规模及资金用途</w:t>
            </w:r>
          </w:p>
        </w:tc>
        <w:tc>
          <w:tcPr>
            <w:tcW w:w="2268" w:type="dxa"/>
            <w:vAlign w:val="center"/>
          </w:tcPr>
          <w:p w14:paraId="7F310F8D">
            <w:pPr>
              <w:pStyle w:val="10"/>
            </w:pPr>
            <w:r>
              <w:t>预算数</w:t>
            </w:r>
          </w:p>
        </w:tc>
        <w:tc>
          <w:tcPr>
            <w:tcW w:w="2835" w:type="dxa"/>
            <w:vAlign w:val="center"/>
          </w:tcPr>
          <w:p w14:paraId="46546EDD">
            <w:pPr>
              <w:pStyle w:val="12"/>
            </w:pPr>
            <w:r>
              <w:t>38.00</w:t>
            </w:r>
          </w:p>
        </w:tc>
        <w:tc>
          <w:tcPr>
            <w:tcW w:w="2835" w:type="dxa"/>
            <w:vAlign w:val="center"/>
          </w:tcPr>
          <w:p w14:paraId="38C0BFEF">
            <w:pPr>
              <w:pStyle w:val="10"/>
            </w:pPr>
            <w:r>
              <w:t>其中：财政    资金</w:t>
            </w:r>
          </w:p>
        </w:tc>
        <w:tc>
          <w:tcPr>
            <w:tcW w:w="2551" w:type="dxa"/>
            <w:vAlign w:val="center"/>
          </w:tcPr>
          <w:p w14:paraId="7044117D">
            <w:pPr>
              <w:pStyle w:val="12"/>
            </w:pPr>
            <w:r>
              <w:t>38.00</w:t>
            </w:r>
          </w:p>
        </w:tc>
        <w:tc>
          <w:tcPr>
            <w:tcW w:w="2268" w:type="dxa"/>
            <w:vAlign w:val="center"/>
          </w:tcPr>
          <w:p w14:paraId="055072F5">
            <w:pPr>
              <w:pStyle w:val="10"/>
            </w:pPr>
            <w:r>
              <w:t>其他资金</w:t>
            </w:r>
          </w:p>
        </w:tc>
        <w:tc>
          <w:tcPr>
            <w:tcW w:w="1276" w:type="dxa"/>
            <w:vAlign w:val="center"/>
          </w:tcPr>
          <w:p w14:paraId="4581726F">
            <w:pPr>
              <w:pStyle w:val="12"/>
            </w:pPr>
            <w:r>
              <w:t xml:space="preserve"> </w:t>
            </w:r>
          </w:p>
        </w:tc>
      </w:tr>
      <w:tr w14:paraId="71F52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A0210"/>
        </w:tc>
        <w:tc>
          <w:tcPr>
            <w:tcW w:w="14033" w:type="dxa"/>
            <w:gridSpan w:val="6"/>
            <w:vAlign w:val="center"/>
          </w:tcPr>
          <w:p w14:paraId="3D7D807D">
            <w:pPr>
              <w:pStyle w:val="12"/>
            </w:pPr>
            <w:r>
              <w:t>按预算要求完成2026年度学前教学任务提升及教学质量提高。</w:t>
            </w:r>
          </w:p>
        </w:tc>
      </w:tr>
      <w:tr w14:paraId="4BA26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D0641">
            <w:pPr>
              <w:pStyle w:val="10"/>
            </w:pPr>
            <w:r>
              <w:t>资金支出计划（%）</w:t>
            </w:r>
          </w:p>
        </w:tc>
        <w:tc>
          <w:tcPr>
            <w:tcW w:w="5103" w:type="dxa"/>
            <w:gridSpan w:val="2"/>
            <w:vAlign w:val="center"/>
          </w:tcPr>
          <w:p w14:paraId="1E0D6E7E">
            <w:pPr>
              <w:pStyle w:val="10"/>
            </w:pPr>
            <w:r>
              <w:t>3月底</w:t>
            </w:r>
          </w:p>
        </w:tc>
        <w:tc>
          <w:tcPr>
            <w:tcW w:w="2835" w:type="dxa"/>
            <w:vAlign w:val="center"/>
          </w:tcPr>
          <w:p w14:paraId="36D596AF">
            <w:pPr>
              <w:pStyle w:val="10"/>
            </w:pPr>
            <w:r>
              <w:t>6月底</w:t>
            </w:r>
          </w:p>
        </w:tc>
        <w:tc>
          <w:tcPr>
            <w:tcW w:w="2551" w:type="dxa"/>
            <w:vAlign w:val="center"/>
          </w:tcPr>
          <w:p w14:paraId="4D845608">
            <w:pPr>
              <w:pStyle w:val="10"/>
            </w:pPr>
            <w:r>
              <w:t>10月底</w:t>
            </w:r>
          </w:p>
        </w:tc>
        <w:tc>
          <w:tcPr>
            <w:tcW w:w="3544" w:type="dxa"/>
            <w:gridSpan w:val="2"/>
            <w:vAlign w:val="center"/>
          </w:tcPr>
          <w:p w14:paraId="24746DE4">
            <w:pPr>
              <w:pStyle w:val="10"/>
            </w:pPr>
            <w:r>
              <w:t>12月底</w:t>
            </w:r>
          </w:p>
        </w:tc>
      </w:tr>
      <w:tr w14:paraId="73114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B98D9"/>
        </w:tc>
        <w:tc>
          <w:tcPr>
            <w:tcW w:w="5103" w:type="dxa"/>
            <w:gridSpan w:val="2"/>
            <w:vAlign w:val="center"/>
          </w:tcPr>
          <w:p w14:paraId="561B9A21">
            <w:pPr>
              <w:pStyle w:val="13"/>
            </w:pPr>
            <w:r>
              <w:t xml:space="preserve"> </w:t>
            </w:r>
          </w:p>
        </w:tc>
        <w:tc>
          <w:tcPr>
            <w:tcW w:w="2835" w:type="dxa"/>
            <w:vAlign w:val="center"/>
          </w:tcPr>
          <w:p w14:paraId="70518515">
            <w:pPr>
              <w:pStyle w:val="13"/>
            </w:pPr>
            <w:r>
              <w:t>50%</w:t>
            </w:r>
          </w:p>
        </w:tc>
        <w:tc>
          <w:tcPr>
            <w:tcW w:w="2551" w:type="dxa"/>
            <w:vAlign w:val="center"/>
          </w:tcPr>
          <w:p w14:paraId="5A5E8421">
            <w:pPr>
              <w:pStyle w:val="13"/>
            </w:pPr>
            <w:r>
              <w:t>50%</w:t>
            </w:r>
          </w:p>
        </w:tc>
        <w:tc>
          <w:tcPr>
            <w:tcW w:w="3544" w:type="dxa"/>
            <w:gridSpan w:val="2"/>
            <w:vAlign w:val="center"/>
          </w:tcPr>
          <w:p w14:paraId="09058E6A">
            <w:pPr>
              <w:pStyle w:val="13"/>
            </w:pPr>
            <w:r>
              <w:t>100%</w:t>
            </w:r>
          </w:p>
        </w:tc>
      </w:tr>
      <w:tr w14:paraId="27F6E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32B4B">
            <w:pPr>
              <w:pStyle w:val="10"/>
            </w:pPr>
            <w:r>
              <w:t>绩效目标</w:t>
            </w:r>
          </w:p>
        </w:tc>
        <w:tc>
          <w:tcPr>
            <w:tcW w:w="14033" w:type="dxa"/>
            <w:gridSpan w:val="6"/>
            <w:vAlign w:val="center"/>
          </w:tcPr>
          <w:p w14:paraId="060D41D7">
            <w:pPr>
              <w:pStyle w:val="12"/>
            </w:pPr>
            <w:r>
              <w:t>1.按要求完成公立幼儿园保育费按月/季度上缴财政。</w:t>
            </w:r>
          </w:p>
          <w:p w14:paraId="52C12530">
            <w:pPr>
              <w:pStyle w:val="12"/>
            </w:pPr>
            <w:r>
              <w:t>2.按上缴财政序时进度完成公立幼儿园保育费支出。</w:t>
            </w:r>
          </w:p>
          <w:p w14:paraId="64E113BD">
            <w:pPr>
              <w:pStyle w:val="12"/>
            </w:pPr>
            <w:r>
              <w:t>3.按预算要求完成2026年度学前教学任务提升及教学质量提高。</w:t>
            </w:r>
          </w:p>
        </w:tc>
      </w:tr>
    </w:tbl>
    <w:p w14:paraId="25584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1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4D685">
            <w:pPr>
              <w:pStyle w:val="10"/>
            </w:pPr>
            <w:r>
              <w:t>一级指标</w:t>
            </w:r>
          </w:p>
        </w:tc>
        <w:tc>
          <w:tcPr>
            <w:tcW w:w="2268" w:type="dxa"/>
            <w:vAlign w:val="center"/>
          </w:tcPr>
          <w:p w14:paraId="4ACCEB14">
            <w:pPr>
              <w:pStyle w:val="10"/>
            </w:pPr>
            <w:r>
              <w:t>二级指标</w:t>
            </w:r>
          </w:p>
        </w:tc>
        <w:tc>
          <w:tcPr>
            <w:tcW w:w="2835" w:type="dxa"/>
            <w:vAlign w:val="center"/>
          </w:tcPr>
          <w:p w14:paraId="05900CB9">
            <w:pPr>
              <w:pStyle w:val="10"/>
            </w:pPr>
            <w:r>
              <w:t>三级指标</w:t>
            </w:r>
          </w:p>
        </w:tc>
        <w:tc>
          <w:tcPr>
            <w:tcW w:w="5386" w:type="dxa"/>
            <w:vAlign w:val="center"/>
          </w:tcPr>
          <w:p w14:paraId="1961A4F4">
            <w:pPr>
              <w:pStyle w:val="10"/>
            </w:pPr>
            <w:r>
              <w:t>绩效指标描述</w:t>
            </w:r>
          </w:p>
        </w:tc>
        <w:tc>
          <w:tcPr>
            <w:tcW w:w="2268" w:type="dxa"/>
            <w:vAlign w:val="center"/>
          </w:tcPr>
          <w:p w14:paraId="6673466C">
            <w:pPr>
              <w:pStyle w:val="10"/>
            </w:pPr>
            <w:r>
              <w:t>指标值</w:t>
            </w:r>
          </w:p>
        </w:tc>
        <w:tc>
          <w:tcPr>
            <w:tcW w:w="1276" w:type="dxa"/>
            <w:vAlign w:val="center"/>
          </w:tcPr>
          <w:p w14:paraId="758323E1">
            <w:pPr>
              <w:pStyle w:val="10"/>
            </w:pPr>
            <w:r>
              <w:t>指标值确定依据</w:t>
            </w:r>
          </w:p>
        </w:tc>
      </w:tr>
      <w:tr w14:paraId="7F5A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EF719">
            <w:pPr>
              <w:pStyle w:val="13"/>
            </w:pPr>
            <w:r>
              <w:t>产出指标</w:t>
            </w:r>
          </w:p>
        </w:tc>
        <w:tc>
          <w:tcPr>
            <w:tcW w:w="2268" w:type="dxa"/>
            <w:vAlign w:val="center"/>
          </w:tcPr>
          <w:p w14:paraId="133B92C8">
            <w:pPr>
              <w:pStyle w:val="12"/>
            </w:pPr>
            <w:r>
              <w:t>数量指标</w:t>
            </w:r>
          </w:p>
        </w:tc>
        <w:tc>
          <w:tcPr>
            <w:tcW w:w="2835" w:type="dxa"/>
            <w:vAlign w:val="center"/>
          </w:tcPr>
          <w:p w14:paraId="03EBCCEE">
            <w:pPr>
              <w:pStyle w:val="12"/>
            </w:pPr>
            <w:r>
              <w:t>适龄在园生</w:t>
            </w:r>
          </w:p>
        </w:tc>
        <w:tc>
          <w:tcPr>
            <w:tcW w:w="5386" w:type="dxa"/>
            <w:vAlign w:val="center"/>
          </w:tcPr>
          <w:p w14:paraId="65EE7DE4">
            <w:pPr>
              <w:pStyle w:val="12"/>
            </w:pPr>
            <w:r>
              <w:t>适龄在园学生人数</w:t>
            </w:r>
          </w:p>
        </w:tc>
        <w:tc>
          <w:tcPr>
            <w:tcW w:w="2268" w:type="dxa"/>
            <w:vAlign w:val="center"/>
          </w:tcPr>
          <w:p w14:paraId="50B28BE6">
            <w:pPr>
              <w:pStyle w:val="12"/>
            </w:pPr>
            <w:r>
              <w:t>680人</w:t>
            </w:r>
          </w:p>
        </w:tc>
        <w:tc>
          <w:tcPr>
            <w:tcW w:w="1276" w:type="dxa"/>
            <w:vAlign w:val="center"/>
          </w:tcPr>
          <w:p w14:paraId="6D533736">
            <w:pPr>
              <w:pStyle w:val="12"/>
            </w:pPr>
            <w:r>
              <w:t>年度工作计划</w:t>
            </w:r>
          </w:p>
        </w:tc>
      </w:tr>
      <w:tr w14:paraId="70BE0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E037E"/>
        </w:tc>
        <w:tc>
          <w:tcPr>
            <w:tcW w:w="2268" w:type="dxa"/>
            <w:vAlign w:val="center"/>
          </w:tcPr>
          <w:p w14:paraId="04C189ED">
            <w:pPr>
              <w:pStyle w:val="12"/>
            </w:pPr>
            <w:r>
              <w:t>质量指标</w:t>
            </w:r>
          </w:p>
        </w:tc>
        <w:tc>
          <w:tcPr>
            <w:tcW w:w="2835" w:type="dxa"/>
            <w:vAlign w:val="center"/>
          </w:tcPr>
          <w:p w14:paraId="0258F0BB">
            <w:pPr>
              <w:pStyle w:val="12"/>
            </w:pPr>
            <w:r>
              <w:t>按月上缴财政完成率</w:t>
            </w:r>
          </w:p>
        </w:tc>
        <w:tc>
          <w:tcPr>
            <w:tcW w:w="5386" w:type="dxa"/>
            <w:vAlign w:val="center"/>
          </w:tcPr>
          <w:p w14:paraId="69108471">
            <w:pPr>
              <w:pStyle w:val="12"/>
            </w:pPr>
            <w:r>
              <w:t>按月完成公立幼儿园保育费上缴财政</w:t>
            </w:r>
          </w:p>
        </w:tc>
        <w:tc>
          <w:tcPr>
            <w:tcW w:w="2268" w:type="dxa"/>
            <w:vAlign w:val="center"/>
          </w:tcPr>
          <w:p w14:paraId="51F8F8A9">
            <w:pPr>
              <w:pStyle w:val="12"/>
            </w:pPr>
            <w:r>
              <w:t>100%</w:t>
            </w:r>
          </w:p>
        </w:tc>
        <w:tc>
          <w:tcPr>
            <w:tcW w:w="1276" w:type="dxa"/>
            <w:vAlign w:val="center"/>
          </w:tcPr>
          <w:p w14:paraId="7A56D5D4">
            <w:pPr>
              <w:pStyle w:val="12"/>
            </w:pPr>
            <w:r>
              <w:t>年度工作计划</w:t>
            </w:r>
          </w:p>
        </w:tc>
      </w:tr>
      <w:tr w14:paraId="71CD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FFD32"/>
        </w:tc>
        <w:tc>
          <w:tcPr>
            <w:tcW w:w="2268" w:type="dxa"/>
            <w:vAlign w:val="center"/>
          </w:tcPr>
          <w:p w14:paraId="0DC293AC">
            <w:pPr>
              <w:pStyle w:val="12"/>
            </w:pPr>
            <w:r>
              <w:t>时效指标</w:t>
            </w:r>
          </w:p>
        </w:tc>
        <w:tc>
          <w:tcPr>
            <w:tcW w:w="2835" w:type="dxa"/>
            <w:vAlign w:val="center"/>
          </w:tcPr>
          <w:p w14:paraId="6A3F0EE5">
            <w:pPr>
              <w:pStyle w:val="12"/>
            </w:pPr>
            <w:r>
              <w:t>资金支付率</w:t>
            </w:r>
          </w:p>
        </w:tc>
        <w:tc>
          <w:tcPr>
            <w:tcW w:w="5386" w:type="dxa"/>
            <w:vAlign w:val="center"/>
          </w:tcPr>
          <w:p w14:paraId="4C2138E1">
            <w:pPr>
              <w:pStyle w:val="12"/>
            </w:pPr>
            <w:r>
              <w:t>按照上缴财政进度完成公立幼儿园保育费支付</w:t>
            </w:r>
          </w:p>
        </w:tc>
        <w:tc>
          <w:tcPr>
            <w:tcW w:w="2268" w:type="dxa"/>
            <w:vAlign w:val="center"/>
          </w:tcPr>
          <w:p w14:paraId="6C92AD6B">
            <w:pPr>
              <w:pStyle w:val="12"/>
            </w:pPr>
            <w:r>
              <w:t>100%</w:t>
            </w:r>
          </w:p>
        </w:tc>
        <w:tc>
          <w:tcPr>
            <w:tcW w:w="1276" w:type="dxa"/>
            <w:vAlign w:val="center"/>
          </w:tcPr>
          <w:p w14:paraId="2AFD007D">
            <w:pPr>
              <w:pStyle w:val="12"/>
            </w:pPr>
            <w:r>
              <w:t>年度工作计划</w:t>
            </w:r>
          </w:p>
        </w:tc>
      </w:tr>
      <w:tr w14:paraId="35AF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2346"/>
        </w:tc>
        <w:tc>
          <w:tcPr>
            <w:tcW w:w="2268" w:type="dxa"/>
            <w:vAlign w:val="center"/>
          </w:tcPr>
          <w:p w14:paraId="2E5D0342">
            <w:pPr>
              <w:pStyle w:val="12"/>
            </w:pPr>
            <w:r>
              <w:t>成本指标</w:t>
            </w:r>
          </w:p>
        </w:tc>
        <w:tc>
          <w:tcPr>
            <w:tcW w:w="2835" w:type="dxa"/>
            <w:vAlign w:val="center"/>
          </w:tcPr>
          <w:p w14:paraId="51BCB5E6">
            <w:pPr>
              <w:pStyle w:val="12"/>
            </w:pPr>
            <w:r>
              <w:t>公办幼儿园保育费收费标准</w:t>
            </w:r>
          </w:p>
        </w:tc>
        <w:tc>
          <w:tcPr>
            <w:tcW w:w="5386" w:type="dxa"/>
            <w:vAlign w:val="center"/>
          </w:tcPr>
          <w:p w14:paraId="6A524AA1">
            <w:pPr>
              <w:pStyle w:val="12"/>
            </w:pPr>
            <w:r>
              <w:t>农村示范园170元/月/生、农村一类园150元/月/生、农村二类园130元/月/生</w:t>
            </w:r>
          </w:p>
        </w:tc>
        <w:tc>
          <w:tcPr>
            <w:tcW w:w="2268" w:type="dxa"/>
            <w:vAlign w:val="center"/>
          </w:tcPr>
          <w:p w14:paraId="6631BC82">
            <w:pPr>
              <w:pStyle w:val="12"/>
            </w:pPr>
            <w:r>
              <w:t>100%</w:t>
            </w:r>
          </w:p>
        </w:tc>
        <w:tc>
          <w:tcPr>
            <w:tcW w:w="1276" w:type="dxa"/>
            <w:vAlign w:val="center"/>
          </w:tcPr>
          <w:p w14:paraId="5D326561">
            <w:pPr>
              <w:pStyle w:val="12"/>
            </w:pPr>
            <w:r>
              <w:t>年度工作计划</w:t>
            </w:r>
          </w:p>
        </w:tc>
      </w:tr>
      <w:tr w14:paraId="3E480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55A07">
            <w:pPr>
              <w:pStyle w:val="13"/>
            </w:pPr>
            <w:r>
              <w:t>效益指标</w:t>
            </w:r>
          </w:p>
        </w:tc>
        <w:tc>
          <w:tcPr>
            <w:tcW w:w="2268" w:type="dxa"/>
            <w:vAlign w:val="center"/>
          </w:tcPr>
          <w:p w14:paraId="2E60EF5D">
            <w:pPr>
              <w:pStyle w:val="12"/>
            </w:pPr>
            <w:r>
              <w:t>社会效益指标</w:t>
            </w:r>
          </w:p>
        </w:tc>
        <w:tc>
          <w:tcPr>
            <w:tcW w:w="2835" w:type="dxa"/>
            <w:vAlign w:val="center"/>
          </w:tcPr>
          <w:p w14:paraId="60228371">
            <w:pPr>
              <w:pStyle w:val="12"/>
            </w:pPr>
            <w:r>
              <w:t>幼儿园办园能力提升</w:t>
            </w:r>
          </w:p>
        </w:tc>
        <w:tc>
          <w:tcPr>
            <w:tcW w:w="5386" w:type="dxa"/>
            <w:vAlign w:val="center"/>
          </w:tcPr>
          <w:p w14:paraId="16215429">
            <w:pPr>
              <w:pStyle w:val="12"/>
            </w:pPr>
            <w:r>
              <w:t>幼儿园办园能力提升情况及教育教学工作等开展的情况</w:t>
            </w:r>
          </w:p>
        </w:tc>
        <w:tc>
          <w:tcPr>
            <w:tcW w:w="2268" w:type="dxa"/>
            <w:vAlign w:val="center"/>
          </w:tcPr>
          <w:p w14:paraId="5149DAC3">
            <w:pPr>
              <w:pStyle w:val="12"/>
            </w:pPr>
            <w:r>
              <w:t>100%</w:t>
            </w:r>
          </w:p>
        </w:tc>
        <w:tc>
          <w:tcPr>
            <w:tcW w:w="1276" w:type="dxa"/>
            <w:vAlign w:val="center"/>
          </w:tcPr>
          <w:p w14:paraId="23751AF9">
            <w:pPr>
              <w:pStyle w:val="12"/>
            </w:pPr>
            <w:r>
              <w:t>年度工作计划</w:t>
            </w:r>
          </w:p>
        </w:tc>
      </w:tr>
      <w:tr w14:paraId="70654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99A2D">
            <w:pPr>
              <w:pStyle w:val="13"/>
            </w:pPr>
            <w:r>
              <w:t>满意度指标</w:t>
            </w:r>
          </w:p>
        </w:tc>
        <w:tc>
          <w:tcPr>
            <w:tcW w:w="2268" w:type="dxa"/>
            <w:vAlign w:val="center"/>
          </w:tcPr>
          <w:p w14:paraId="11AADEE1">
            <w:pPr>
              <w:pStyle w:val="12"/>
            </w:pPr>
            <w:r>
              <w:t>服务对象满意度指标</w:t>
            </w:r>
          </w:p>
        </w:tc>
        <w:tc>
          <w:tcPr>
            <w:tcW w:w="2835" w:type="dxa"/>
            <w:vAlign w:val="center"/>
          </w:tcPr>
          <w:p w14:paraId="68250AFE">
            <w:pPr>
              <w:pStyle w:val="12"/>
            </w:pPr>
            <w:r>
              <w:t>受益学生家长及调查满意度</w:t>
            </w:r>
          </w:p>
        </w:tc>
        <w:tc>
          <w:tcPr>
            <w:tcW w:w="5386" w:type="dxa"/>
            <w:vAlign w:val="center"/>
          </w:tcPr>
          <w:p w14:paraId="3621B0C5">
            <w:pPr>
              <w:pStyle w:val="12"/>
            </w:pPr>
            <w:r>
              <w:t>幼儿、教师及家长对学校保教保育工作满意度情况</w:t>
            </w:r>
          </w:p>
        </w:tc>
        <w:tc>
          <w:tcPr>
            <w:tcW w:w="2268" w:type="dxa"/>
            <w:vAlign w:val="center"/>
          </w:tcPr>
          <w:p w14:paraId="5985EF79">
            <w:pPr>
              <w:pStyle w:val="12"/>
            </w:pPr>
            <w:r>
              <w:t>≥95%</w:t>
            </w:r>
          </w:p>
        </w:tc>
        <w:tc>
          <w:tcPr>
            <w:tcW w:w="1276" w:type="dxa"/>
            <w:vAlign w:val="center"/>
          </w:tcPr>
          <w:p w14:paraId="25F8A11D">
            <w:pPr>
              <w:pStyle w:val="12"/>
            </w:pPr>
            <w:r>
              <w:t>问卷调查</w:t>
            </w:r>
          </w:p>
        </w:tc>
      </w:tr>
    </w:tbl>
    <w:p w14:paraId="7F046D72">
      <w:pPr>
        <w:sectPr>
          <w:pgSz w:w="16840" w:h="11900" w:orient="landscape"/>
          <w:pgMar w:top="1361" w:right="1020" w:bottom="1134" w:left="1020" w:header="720" w:footer="720" w:gutter="0"/>
          <w:cols w:space="720" w:num="1"/>
        </w:sectPr>
      </w:pPr>
    </w:p>
    <w:p w14:paraId="0AB010A6">
      <w:pPr>
        <w:spacing w:before="10" w:after="10" w:line="240" w:lineRule="auto"/>
        <w:ind w:firstLine="640"/>
        <w:jc w:val="left"/>
        <w:outlineLvl w:val="5"/>
      </w:pPr>
      <w:r>
        <w:rPr>
          <w:rFonts w:ascii="黑体" w:hAnsi="黑体" w:eastAsia="黑体" w:cs="黑体"/>
          <w:color w:val="000000"/>
          <w:sz w:val="32"/>
        </w:rPr>
        <w:t>六、政府采购预算情况</w:t>
      </w:r>
    </w:p>
    <w:p w14:paraId="3A8D36E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E4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B7E923">
            <w:pPr>
              <w:pStyle w:val="9"/>
            </w:pPr>
            <w:r>
              <w:t>360019隆尧县东良校区</w:t>
            </w:r>
          </w:p>
        </w:tc>
        <w:tc>
          <w:tcPr>
            <w:tcW w:w="8676" w:type="dxa"/>
            <w:gridSpan w:val="9"/>
            <w:tcBorders>
              <w:top w:val="single" w:color="FFFFFF" w:sz="6" w:space="0"/>
              <w:left w:val="single" w:color="FFFFFF" w:sz="6" w:space="0"/>
              <w:right w:val="single" w:color="FFFFFF" w:sz="6" w:space="0"/>
            </w:tcBorders>
            <w:vAlign w:val="center"/>
          </w:tcPr>
          <w:p w14:paraId="4FE69790">
            <w:pPr>
              <w:pStyle w:val="21"/>
            </w:pPr>
            <w:r>
              <w:t>单位：万元</w:t>
            </w:r>
          </w:p>
        </w:tc>
      </w:tr>
      <w:tr w14:paraId="3891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0D7FCA">
            <w:pPr>
              <w:pStyle w:val="10"/>
            </w:pPr>
            <w:r>
              <w:t>政府采购项目来源</w:t>
            </w:r>
          </w:p>
        </w:tc>
        <w:tc>
          <w:tcPr>
            <w:tcW w:w="1134" w:type="dxa"/>
            <w:vMerge w:val="restart"/>
            <w:vAlign w:val="center"/>
          </w:tcPr>
          <w:p w14:paraId="5CC9FD8F">
            <w:pPr>
              <w:pStyle w:val="10"/>
            </w:pPr>
            <w:r>
              <w:t>采购物品名称</w:t>
            </w:r>
          </w:p>
        </w:tc>
        <w:tc>
          <w:tcPr>
            <w:tcW w:w="1134" w:type="dxa"/>
            <w:vMerge w:val="restart"/>
            <w:vAlign w:val="center"/>
          </w:tcPr>
          <w:p w14:paraId="289EADF0">
            <w:pPr>
              <w:pStyle w:val="10"/>
            </w:pPr>
            <w:r>
              <w:t>政府采购目录序号</w:t>
            </w:r>
          </w:p>
        </w:tc>
        <w:tc>
          <w:tcPr>
            <w:tcW w:w="709" w:type="dxa"/>
            <w:vMerge w:val="restart"/>
            <w:vAlign w:val="center"/>
          </w:tcPr>
          <w:p w14:paraId="66E07A7B">
            <w:pPr>
              <w:pStyle w:val="10"/>
            </w:pPr>
            <w:r>
              <w:t>计量  单位</w:t>
            </w:r>
          </w:p>
        </w:tc>
        <w:tc>
          <w:tcPr>
            <w:tcW w:w="850" w:type="dxa"/>
            <w:vMerge w:val="restart"/>
            <w:vAlign w:val="center"/>
          </w:tcPr>
          <w:p w14:paraId="7B506C53">
            <w:pPr>
              <w:pStyle w:val="10"/>
            </w:pPr>
            <w:r>
              <w:t>数量</w:t>
            </w:r>
          </w:p>
        </w:tc>
        <w:tc>
          <w:tcPr>
            <w:tcW w:w="850" w:type="dxa"/>
            <w:vMerge w:val="restart"/>
            <w:vAlign w:val="center"/>
          </w:tcPr>
          <w:p w14:paraId="03A6F5A1">
            <w:pPr>
              <w:pStyle w:val="10"/>
            </w:pPr>
            <w:r>
              <w:t>单价</w:t>
            </w:r>
          </w:p>
        </w:tc>
        <w:tc>
          <w:tcPr>
            <w:tcW w:w="7712" w:type="dxa"/>
            <w:gridSpan w:val="8"/>
            <w:vAlign w:val="center"/>
          </w:tcPr>
          <w:p w14:paraId="175A5030">
            <w:pPr>
              <w:pStyle w:val="10"/>
            </w:pPr>
            <w:r>
              <w:t>政府采购金额（当年部门预算安排资金）</w:t>
            </w:r>
          </w:p>
        </w:tc>
        <w:tc>
          <w:tcPr>
            <w:tcW w:w="964" w:type="dxa"/>
            <w:vMerge w:val="restart"/>
            <w:vAlign w:val="center"/>
          </w:tcPr>
          <w:p w14:paraId="300E4BE7">
            <w:pPr>
              <w:pStyle w:val="10"/>
            </w:pPr>
            <w:r>
              <w:t>2026年  预留中  小微企  业份额</w:t>
            </w:r>
          </w:p>
        </w:tc>
      </w:tr>
      <w:tr w14:paraId="256F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9EF6EC">
            <w:pPr>
              <w:pStyle w:val="10"/>
            </w:pPr>
            <w:r>
              <w:t>项目名称</w:t>
            </w:r>
          </w:p>
        </w:tc>
        <w:tc>
          <w:tcPr>
            <w:tcW w:w="964" w:type="dxa"/>
            <w:vAlign w:val="center"/>
          </w:tcPr>
          <w:p w14:paraId="0FD2BB42">
            <w:pPr>
              <w:pStyle w:val="10"/>
            </w:pPr>
            <w:r>
              <w:t>预算    资金</w:t>
            </w:r>
          </w:p>
        </w:tc>
        <w:tc>
          <w:tcPr>
            <w:tcW w:w="1134" w:type="dxa"/>
            <w:vMerge w:val="continue"/>
          </w:tcPr>
          <w:p w14:paraId="39C2942E"/>
        </w:tc>
        <w:tc>
          <w:tcPr>
            <w:tcW w:w="1134" w:type="dxa"/>
            <w:vMerge w:val="continue"/>
          </w:tcPr>
          <w:p w14:paraId="0B07CD28"/>
        </w:tc>
        <w:tc>
          <w:tcPr>
            <w:tcW w:w="709" w:type="dxa"/>
            <w:vMerge w:val="continue"/>
          </w:tcPr>
          <w:p w14:paraId="5D17B873"/>
        </w:tc>
        <w:tc>
          <w:tcPr>
            <w:tcW w:w="850" w:type="dxa"/>
            <w:vMerge w:val="continue"/>
          </w:tcPr>
          <w:p w14:paraId="62219A64"/>
        </w:tc>
        <w:tc>
          <w:tcPr>
            <w:tcW w:w="850" w:type="dxa"/>
            <w:vMerge w:val="continue"/>
          </w:tcPr>
          <w:p w14:paraId="5FEB2D9F"/>
        </w:tc>
        <w:tc>
          <w:tcPr>
            <w:tcW w:w="964" w:type="dxa"/>
            <w:vAlign w:val="center"/>
          </w:tcPr>
          <w:p w14:paraId="73B85159">
            <w:pPr>
              <w:pStyle w:val="10"/>
            </w:pPr>
            <w:r>
              <w:t>合计</w:t>
            </w:r>
          </w:p>
        </w:tc>
        <w:tc>
          <w:tcPr>
            <w:tcW w:w="964" w:type="dxa"/>
            <w:vAlign w:val="center"/>
          </w:tcPr>
          <w:p w14:paraId="4DFA18EB">
            <w:pPr>
              <w:pStyle w:val="10"/>
            </w:pPr>
            <w:r>
              <w:t>一般公共预算拨款</w:t>
            </w:r>
          </w:p>
        </w:tc>
        <w:tc>
          <w:tcPr>
            <w:tcW w:w="964" w:type="dxa"/>
            <w:vAlign w:val="center"/>
          </w:tcPr>
          <w:p w14:paraId="0D159C39">
            <w:pPr>
              <w:pStyle w:val="10"/>
            </w:pPr>
            <w:r>
              <w:t>基金预算拨款</w:t>
            </w:r>
          </w:p>
        </w:tc>
        <w:tc>
          <w:tcPr>
            <w:tcW w:w="964" w:type="dxa"/>
            <w:vAlign w:val="center"/>
          </w:tcPr>
          <w:p w14:paraId="6EC5DDB4">
            <w:pPr>
              <w:pStyle w:val="10"/>
            </w:pPr>
            <w:r>
              <w:t>国有资本经营预算拨款</w:t>
            </w:r>
          </w:p>
        </w:tc>
        <w:tc>
          <w:tcPr>
            <w:tcW w:w="964" w:type="dxa"/>
            <w:vAlign w:val="center"/>
          </w:tcPr>
          <w:p w14:paraId="00C29635">
            <w:pPr>
              <w:pStyle w:val="10"/>
            </w:pPr>
            <w:r>
              <w:t>财政专户核拨</w:t>
            </w:r>
          </w:p>
        </w:tc>
        <w:tc>
          <w:tcPr>
            <w:tcW w:w="964" w:type="dxa"/>
            <w:vAlign w:val="center"/>
          </w:tcPr>
          <w:p w14:paraId="4642B213">
            <w:pPr>
              <w:pStyle w:val="10"/>
            </w:pPr>
            <w:r>
              <w:t>单位    资金</w:t>
            </w:r>
          </w:p>
        </w:tc>
        <w:tc>
          <w:tcPr>
            <w:tcW w:w="964" w:type="dxa"/>
            <w:vAlign w:val="center"/>
          </w:tcPr>
          <w:p w14:paraId="67D6BE3B">
            <w:pPr>
              <w:pStyle w:val="10"/>
            </w:pPr>
            <w:r>
              <w:t>财政拨款结转</w:t>
            </w:r>
          </w:p>
        </w:tc>
        <w:tc>
          <w:tcPr>
            <w:tcW w:w="964" w:type="dxa"/>
            <w:vAlign w:val="center"/>
          </w:tcPr>
          <w:p w14:paraId="116A54D3">
            <w:pPr>
              <w:pStyle w:val="10"/>
            </w:pPr>
            <w:r>
              <w:t>非财政拨款结余</w:t>
            </w:r>
          </w:p>
        </w:tc>
        <w:tc>
          <w:tcPr>
            <w:tcW w:w="964" w:type="dxa"/>
            <w:vMerge w:val="continue"/>
          </w:tcPr>
          <w:p w14:paraId="73BBAFE9"/>
        </w:tc>
      </w:tr>
      <w:tr w14:paraId="5079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23C609">
            <w:pPr>
              <w:pStyle w:val="14"/>
            </w:pPr>
            <w:r>
              <w:t>合  计</w:t>
            </w:r>
          </w:p>
        </w:tc>
        <w:tc>
          <w:tcPr>
            <w:tcW w:w="964" w:type="dxa"/>
            <w:vAlign w:val="center"/>
          </w:tcPr>
          <w:p w14:paraId="3CC42AC7">
            <w:pPr>
              <w:pStyle w:val="15"/>
            </w:pPr>
          </w:p>
        </w:tc>
        <w:tc>
          <w:tcPr>
            <w:tcW w:w="1134" w:type="dxa"/>
            <w:vAlign w:val="center"/>
          </w:tcPr>
          <w:p w14:paraId="50E1FAFF">
            <w:pPr>
              <w:pStyle w:val="16"/>
            </w:pPr>
          </w:p>
        </w:tc>
        <w:tc>
          <w:tcPr>
            <w:tcW w:w="1134" w:type="dxa"/>
            <w:vAlign w:val="center"/>
          </w:tcPr>
          <w:p w14:paraId="65B49188">
            <w:pPr>
              <w:pStyle w:val="16"/>
            </w:pPr>
          </w:p>
        </w:tc>
        <w:tc>
          <w:tcPr>
            <w:tcW w:w="709" w:type="dxa"/>
            <w:vAlign w:val="center"/>
          </w:tcPr>
          <w:p w14:paraId="1F8BE604">
            <w:pPr>
              <w:pStyle w:val="14"/>
            </w:pPr>
          </w:p>
        </w:tc>
        <w:tc>
          <w:tcPr>
            <w:tcW w:w="850" w:type="dxa"/>
            <w:vAlign w:val="center"/>
          </w:tcPr>
          <w:p w14:paraId="4D848729">
            <w:pPr>
              <w:pStyle w:val="15"/>
            </w:pPr>
          </w:p>
        </w:tc>
        <w:tc>
          <w:tcPr>
            <w:tcW w:w="850" w:type="dxa"/>
            <w:vAlign w:val="center"/>
          </w:tcPr>
          <w:p w14:paraId="75ECFEC5">
            <w:pPr>
              <w:pStyle w:val="15"/>
            </w:pPr>
          </w:p>
        </w:tc>
        <w:tc>
          <w:tcPr>
            <w:tcW w:w="964" w:type="dxa"/>
            <w:vAlign w:val="center"/>
          </w:tcPr>
          <w:p w14:paraId="21E91A2F">
            <w:pPr>
              <w:pStyle w:val="15"/>
            </w:pPr>
            <w:r>
              <w:t>2.16</w:t>
            </w:r>
          </w:p>
        </w:tc>
        <w:tc>
          <w:tcPr>
            <w:tcW w:w="964" w:type="dxa"/>
            <w:vAlign w:val="center"/>
          </w:tcPr>
          <w:p w14:paraId="6236D323">
            <w:pPr>
              <w:pStyle w:val="15"/>
            </w:pPr>
            <w:r>
              <w:t>2.16</w:t>
            </w:r>
          </w:p>
        </w:tc>
        <w:tc>
          <w:tcPr>
            <w:tcW w:w="964" w:type="dxa"/>
            <w:vAlign w:val="center"/>
          </w:tcPr>
          <w:p w14:paraId="26ADDA85">
            <w:pPr>
              <w:pStyle w:val="15"/>
            </w:pPr>
          </w:p>
        </w:tc>
        <w:tc>
          <w:tcPr>
            <w:tcW w:w="964" w:type="dxa"/>
            <w:vAlign w:val="center"/>
          </w:tcPr>
          <w:p w14:paraId="2FE7AD8F">
            <w:pPr>
              <w:pStyle w:val="15"/>
            </w:pPr>
          </w:p>
        </w:tc>
        <w:tc>
          <w:tcPr>
            <w:tcW w:w="964" w:type="dxa"/>
            <w:vAlign w:val="center"/>
          </w:tcPr>
          <w:p w14:paraId="48C94FA6">
            <w:pPr>
              <w:pStyle w:val="15"/>
            </w:pPr>
          </w:p>
        </w:tc>
        <w:tc>
          <w:tcPr>
            <w:tcW w:w="964" w:type="dxa"/>
            <w:vAlign w:val="center"/>
          </w:tcPr>
          <w:p w14:paraId="03D326C8">
            <w:pPr>
              <w:pStyle w:val="15"/>
            </w:pPr>
          </w:p>
        </w:tc>
        <w:tc>
          <w:tcPr>
            <w:tcW w:w="964" w:type="dxa"/>
            <w:vAlign w:val="center"/>
          </w:tcPr>
          <w:p w14:paraId="19C83D6C">
            <w:pPr>
              <w:pStyle w:val="15"/>
            </w:pPr>
          </w:p>
        </w:tc>
        <w:tc>
          <w:tcPr>
            <w:tcW w:w="964" w:type="dxa"/>
            <w:vAlign w:val="center"/>
          </w:tcPr>
          <w:p w14:paraId="411023A3">
            <w:pPr>
              <w:pStyle w:val="15"/>
            </w:pPr>
          </w:p>
        </w:tc>
        <w:tc>
          <w:tcPr>
            <w:tcW w:w="964" w:type="dxa"/>
            <w:vAlign w:val="center"/>
          </w:tcPr>
          <w:p w14:paraId="6FEE829E">
            <w:pPr>
              <w:pStyle w:val="15"/>
            </w:pPr>
            <w:r>
              <w:t>2.16</w:t>
            </w:r>
          </w:p>
        </w:tc>
      </w:tr>
      <w:tr w14:paraId="3618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C6238F">
            <w:pPr>
              <w:pStyle w:val="14"/>
            </w:pPr>
            <w:r>
              <w:t>隆尧县东良校区小计</w:t>
            </w:r>
          </w:p>
        </w:tc>
        <w:tc>
          <w:tcPr>
            <w:tcW w:w="964" w:type="dxa"/>
            <w:vAlign w:val="center"/>
          </w:tcPr>
          <w:p w14:paraId="3045784D">
            <w:pPr>
              <w:pStyle w:val="15"/>
            </w:pPr>
          </w:p>
        </w:tc>
        <w:tc>
          <w:tcPr>
            <w:tcW w:w="1134" w:type="dxa"/>
            <w:vAlign w:val="center"/>
          </w:tcPr>
          <w:p w14:paraId="53B072DA">
            <w:pPr>
              <w:pStyle w:val="16"/>
            </w:pPr>
          </w:p>
        </w:tc>
        <w:tc>
          <w:tcPr>
            <w:tcW w:w="1134" w:type="dxa"/>
            <w:vAlign w:val="center"/>
          </w:tcPr>
          <w:p w14:paraId="45E82CED">
            <w:pPr>
              <w:pStyle w:val="16"/>
            </w:pPr>
          </w:p>
        </w:tc>
        <w:tc>
          <w:tcPr>
            <w:tcW w:w="709" w:type="dxa"/>
            <w:vAlign w:val="center"/>
          </w:tcPr>
          <w:p w14:paraId="4DDC6A88">
            <w:pPr>
              <w:pStyle w:val="14"/>
            </w:pPr>
          </w:p>
        </w:tc>
        <w:tc>
          <w:tcPr>
            <w:tcW w:w="850" w:type="dxa"/>
            <w:vAlign w:val="center"/>
          </w:tcPr>
          <w:p w14:paraId="221AE594">
            <w:pPr>
              <w:pStyle w:val="15"/>
            </w:pPr>
          </w:p>
        </w:tc>
        <w:tc>
          <w:tcPr>
            <w:tcW w:w="850" w:type="dxa"/>
            <w:vAlign w:val="center"/>
          </w:tcPr>
          <w:p w14:paraId="73D37F10">
            <w:pPr>
              <w:pStyle w:val="15"/>
            </w:pPr>
          </w:p>
        </w:tc>
        <w:tc>
          <w:tcPr>
            <w:tcW w:w="964" w:type="dxa"/>
            <w:vAlign w:val="center"/>
          </w:tcPr>
          <w:p w14:paraId="05997BB6">
            <w:pPr>
              <w:pStyle w:val="15"/>
            </w:pPr>
            <w:r>
              <w:t>2.16</w:t>
            </w:r>
          </w:p>
        </w:tc>
        <w:tc>
          <w:tcPr>
            <w:tcW w:w="964" w:type="dxa"/>
            <w:vAlign w:val="center"/>
          </w:tcPr>
          <w:p w14:paraId="6A198B53">
            <w:pPr>
              <w:pStyle w:val="15"/>
            </w:pPr>
            <w:r>
              <w:t>2.16</w:t>
            </w:r>
          </w:p>
        </w:tc>
        <w:tc>
          <w:tcPr>
            <w:tcW w:w="964" w:type="dxa"/>
            <w:vAlign w:val="center"/>
          </w:tcPr>
          <w:p w14:paraId="0563CD6D">
            <w:pPr>
              <w:pStyle w:val="15"/>
            </w:pPr>
          </w:p>
        </w:tc>
        <w:tc>
          <w:tcPr>
            <w:tcW w:w="964" w:type="dxa"/>
            <w:vAlign w:val="center"/>
          </w:tcPr>
          <w:p w14:paraId="600AC72B">
            <w:pPr>
              <w:pStyle w:val="15"/>
            </w:pPr>
          </w:p>
        </w:tc>
        <w:tc>
          <w:tcPr>
            <w:tcW w:w="964" w:type="dxa"/>
            <w:vAlign w:val="center"/>
          </w:tcPr>
          <w:p w14:paraId="40EC7E18">
            <w:pPr>
              <w:pStyle w:val="15"/>
            </w:pPr>
          </w:p>
        </w:tc>
        <w:tc>
          <w:tcPr>
            <w:tcW w:w="964" w:type="dxa"/>
            <w:vAlign w:val="center"/>
          </w:tcPr>
          <w:p w14:paraId="3A728641">
            <w:pPr>
              <w:pStyle w:val="15"/>
            </w:pPr>
          </w:p>
        </w:tc>
        <w:tc>
          <w:tcPr>
            <w:tcW w:w="964" w:type="dxa"/>
            <w:vAlign w:val="center"/>
          </w:tcPr>
          <w:p w14:paraId="73FC98C7">
            <w:pPr>
              <w:pStyle w:val="15"/>
            </w:pPr>
          </w:p>
        </w:tc>
        <w:tc>
          <w:tcPr>
            <w:tcW w:w="964" w:type="dxa"/>
            <w:vAlign w:val="center"/>
          </w:tcPr>
          <w:p w14:paraId="27EAB854">
            <w:pPr>
              <w:pStyle w:val="15"/>
            </w:pPr>
          </w:p>
        </w:tc>
        <w:tc>
          <w:tcPr>
            <w:tcW w:w="964" w:type="dxa"/>
            <w:vAlign w:val="center"/>
          </w:tcPr>
          <w:p w14:paraId="1087BF62">
            <w:pPr>
              <w:pStyle w:val="15"/>
            </w:pPr>
            <w:r>
              <w:t>2.16</w:t>
            </w:r>
          </w:p>
        </w:tc>
      </w:tr>
      <w:tr w14:paraId="7B8B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EF6D87">
            <w:pPr>
              <w:pStyle w:val="12"/>
            </w:pPr>
            <w:r>
              <w:t>冀财教[2025]122号/中央/支持学前教育发展/东良校区幼儿园设备购置</w:t>
            </w:r>
          </w:p>
        </w:tc>
        <w:tc>
          <w:tcPr>
            <w:tcW w:w="964" w:type="dxa"/>
            <w:vAlign w:val="center"/>
          </w:tcPr>
          <w:p w14:paraId="721FB099">
            <w:pPr>
              <w:pStyle w:val="11"/>
            </w:pPr>
            <w:r>
              <w:t>28.30</w:t>
            </w:r>
          </w:p>
        </w:tc>
        <w:tc>
          <w:tcPr>
            <w:tcW w:w="1134" w:type="dxa"/>
            <w:vAlign w:val="center"/>
          </w:tcPr>
          <w:p w14:paraId="12CF7B52">
            <w:pPr>
              <w:pStyle w:val="12"/>
            </w:pPr>
            <w:r>
              <w:t>A3 彩色打印机</w:t>
            </w:r>
          </w:p>
        </w:tc>
        <w:tc>
          <w:tcPr>
            <w:tcW w:w="1134" w:type="dxa"/>
            <w:vAlign w:val="center"/>
          </w:tcPr>
          <w:p w14:paraId="48942AB4">
            <w:pPr>
              <w:pStyle w:val="12"/>
            </w:pPr>
            <w:r>
              <w:t>A02021002</w:t>
            </w:r>
          </w:p>
        </w:tc>
        <w:tc>
          <w:tcPr>
            <w:tcW w:w="709" w:type="dxa"/>
            <w:vAlign w:val="center"/>
          </w:tcPr>
          <w:p w14:paraId="1A0021BF">
            <w:pPr>
              <w:pStyle w:val="13"/>
            </w:pPr>
            <w:r>
              <w:t>万元</w:t>
            </w:r>
          </w:p>
        </w:tc>
        <w:tc>
          <w:tcPr>
            <w:tcW w:w="850" w:type="dxa"/>
            <w:vAlign w:val="center"/>
          </w:tcPr>
          <w:p w14:paraId="28D6A40B">
            <w:pPr>
              <w:pStyle w:val="11"/>
            </w:pPr>
            <w:r>
              <w:t>4</w:t>
            </w:r>
          </w:p>
        </w:tc>
        <w:tc>
          <w:tcPr>
            <w:tcW w:w="850" w:type="dxa"/>
            <w:vAlign w:val="center"/>
          </w:tcPr>
          <w:p w14:paraId="32F39FF3">
            <w:pPr>
              <w:pStyle w:val="11"/>
            </w:pPr>
            <w:r>
              <w:t>0.20</w:t>
            </w:r>
          </w:p>
        </w:tc>
        <w:tc>
          <w:tcPr>
            <w:tcW w:w="964" w:type="dxa"/>
            <w:vAlign w:val="center"/>
          </w:tcPr>
          <w:p w14:paraId="4ED7652E">
            <w:pPr>
              <w:pStyle w:val="11"/>
            </w:pPr>
            <w:r>
              <w:t>0.80</w:t>
            </w:r>
          </w:p>
        </w:tc>
        <w:tc>
          <w:tcPr>
            <w:tcW w:w="964" w:type="dxa"/>
            <w:vAlign w:val="center"/>
          </w:tcPr>
          <w:p w14:paraId="27018D95">
            <w:pPr>
              <w:pStyle w:val="11"/>
            </w:pPr>
            <w:r>
              <w:t>0.80</w:t>
            </w:r>
          </w:p>
        </w:tc>
        <w:tc>
          <w:tcPr>
            <w:tcW w:w="964" w:type="dxa"/>
            <w:vAlign w:val="center"/>
          </w:tcPr>
          <w:p w14:paraId="2E6C50F9">
            <w:pPr>
              <w:pStyle w:val="11"/>
            </w:pPr>
          </w:p>
        </w:tc>
        <w:tc>
          <w:tcPr>
            <w:tcW w:w="964" w:type="dxa"/>
            <w:vAlign w:val="center"/>
          </w:tcPr>
          <w:p w14:paraId="379CAB7E">
            <w:pPr>
              <w:pStyle w:val="11"/>
            </w:pPr>
          </w:p>
        </w:tc>
        <w:tc>
          <w:tcPr>
            <w:tcW w:w="964" w:type="dxa"/>
            <w:vAlign w:val="center"/>
          </w:tcPr>
          <w:p w14:paraId="2233FD33">
            <w:pPr>
              <w:pStyle w:val="11"/>
            </w:pPr>
          </w:p>
        </w:tc>
        <w:tc>
          <w:tcPr>
            <w:tcW w:w="964" w:type="dxa"/>
            <w:vAlign w:val="center"/>
          </w:tcPr>
          <w:p w14:paraId="2E5FBC22">
            <w:pPr>
              <w:pStyle w:val="11"/>
            </w:pPr>
          </w:p>
        </w:tc>
        <w:tc>
          <w:tcPr>
            <w:tcW w:w="964" w:type="dxa"/>
            <w:vAlign w:val="center"/>
          </w:tcPr>
          <w:p w14:paraId="01A844E4">
            <w:pPr>
              <w:pStyle w:val="11"/>
            </w:pPr>
          </w:p>
        </w:tc>
        <w:tc>
          <w:tcPr>
            <w:tcW w:w="964" w:type="dxa"/>
            <w:vAlign w:val="center"/>
          </w:tcPr>
          <w:p w14:paraId="6DBFD0FF">
            <w:pPr>
              <w:pStyle w:val="11"/>
            </w:pPr>
          </w:p>
        </w:tc>
        <w:tc>
          <w:tcPr>
            <w:tcW w:w="964" w:type="dxa"/>
            <w:vAlign w:val="center"/>
          </w:tcPr>
          <w:p w14:paraId="6CE8AD58">
            <w:pPr>
              <w:pStyle w:val="11"/>
            </w:pPr>
            <w:r>
              <w:t>0.80</w:t>
            </w:r>
          </w:p>
        </w:tc>
      </w:tr>
      <w:tr w14:paraId="54CB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FF5A7B">
            <w:pPr>
              <w:pStyle w:val="12"/>
            </w:pPr>
            <w:r>
              <w:t>冀财教[2025]147号/省级/2026年义教补助经费/东良校区大干言小学公用经费</w:t>
            </w:r>
          </w:p>
        </w:tc>
        <w:tc>
          <w:tcPr>
            <w:tcW w:w="964" w:type="dxa"/>
            <w:vAlign w:val="center"/>
          </w:tcPr>
          <w:p w14:paraId="1FBD3C2D">
            <w:pPr>
              <w:pStyle w:val="11"/>
            </w:pPr>
            <w:r>
              <w:t>24.38</w:t>
            </w:r>
          </w:p>
        </w:tc>
        <w:tc>
          <w:tcPr>
            <w:tcW w:w="1134" w:type="dxa"/>
            <w:vAlign w:val="center"/>
          </w:tcPr>
          <w:p w14:paraId="0B5D2C15">
            <w:pPr>
              <w:pStyle w:val="12"/>
            </w:pPr>
            <w:r>
              <w:t>A4 黑白打印机</w:t>
            </w:r>
          </w:p>
        </w:tc>
        <w:tc>
          <w:tcPr>
            <w:tcW w:w="1134" w:type="dxa"/>
            <w:vAlign w:val="center"/>
          </w:tcPr>
          <w:p w14:paraId="6C02E287">
            <w:pPr>
              <w:pStyle w:val="12"/>
            </w:pPr>
            <w:r>
              <w:t>A02021003</w:t>
            </w:r>
          </w:p>
        </w:tc>
        <w:tc>
          <w:tcPr>
            <w:tcW w:w="709" w:type="dxa"/>
            <w:vAlign w:val="center"/>
          </w:tcPr>
          <w:p w14:paraId="71FAA17F">
            <w:pPr>
              <w:pStyle w:val="13"/>
            </w:pPr>
            <w:r>
              <w:t>台</w:t>
            </w:r>
          </w:p>
        </w:tc>
        <w:tc>
          <w:tcPr>
            <w:tcW w:w="850" w:type="dxa"/>
            <w:vAlign w:val="center"/>
          </w:tcPr>
          <w:p w14:paraId="5E8B91CF">
            <w:pPr>
              <w:pStyle w:val="11"/>
            </w:pPr>
            <w:r>
              <w:t>2</w:t>
            </w:r>
          </w:p>
        </w:tc>
        <w:tc>
          <w:tcPr>
            <w:tcW w:w="850" w:type="dxa"/>
            <w:vAlign w:val="center"/>
          </w:tcPr>
          <w:p w14:paraId="1664B546">
            <w:pPr>
              <w:pStyle w:val="11"/>
            </w:pPr>
            <w:r>
              <w:t>0.17</w:t>
            </w:r>
          </w:p>
        </w:tc>
        <w:tc>
          <w:tcPr>
            <w:tcW w:w="964" w:type="dxa"/>
            <w:vAlign w:val="center"/>
          </w:tcPr>
          <w:p w14:paraId="082608A3">
            <w:pPr>
              <w:pStyle w:val="11"/>
            </w:pPr>
            <w:r>
              <w:t>0.33</w:t>
            </w:r>
          </w:p>
        </w:tc>
        <w:tc>
          <w:tcPr>
            <w:tcW w:w="964" w:type="dxa"/>
            <w:vAlign w:val="center"/>
          </w:tcPr>
          <w:p w14:paraId="6BE53229">
            <w:pPr>
              <w:pStyle w:val="11"/>
            </w:pPr>
            <w:r>
              <w:t>0.33</w:t>
            </w:r>
          </w:p>
        </w:tc>
        <w:tc>
          <w:tcPr>
            <w:tcW w:w="964" w:type="dxa"/>
            <w:vAlign w:val="center"/>
          </w:tcPr>
          <w:p w14:paraId="0120D105">
            <w:pPr>
              <w:pStyle w:val="11"/>
            </w:pPr>
          </w:p>
        </w:tc>
        <w:tc>
          <w:tcPr>
            <w:tcW w:w="964" w:type="dxa"/>
            <w:vAlign w:val="center"/>
          </w:tcPr>
          <w:p w14:paraId="0766805D">
            <w:pPr>
              <w:pStyle w:val="11"/>
            </w:pPr>
          </w:p>
        </w:tc>
        <w:tc>
          <w:tcPr>
            <w:tcW w:w="964" w:type="dxa"/>
            <w:vAlign w:val="center"/>
          </w:tcPr>
          <w:p w14:paraId="04991474">
            <w:pPr>
              <w:pStyle w:val="11"/>
            </w:pPr>
          </w:p>
        </w:tc>
        <w:tc>
          <w:tcPr>
            <w:tcW w:w="964" w:type="dxa"/>
            <w:vAlign w:val="center"/>
          </w:tcPr>
          <w:p w14:paraId="4A7FCA60">
            <w:pPr>
              <w:pStyle w:val="11"/>
            </w:pPr>
          </w:p>
        </w:tc>
        <w:tc>
          <w:tcPr>
            <w:tcW w:w="964" w:type="dxa"/>
            <w:vAlign w:val="center"/>
          </w:tcPr>
          <w:p w14:paraId="09C32E66">
            <w:pPr>
              <w:pStyle w:val="11"/>
            </w:pPr>
          </w:p>
        </w:tc>
        <w:tc>
          <w:tcPr>
            <w:tcW w:w="964" w:type="dxa"/>
            <w:vAlign w:val="center"/>
          </w:tcPr>
          <w:p w14:paraId="39E6E452">
            <w:pPr>
              <w:pStyle w:val="11"/>
            </w:pPr>
          </w:p>
        </w:tc>
        <w:tc>
          <w:tcPr>
            <w:tcW w:w="964" w:type="dxa"/>
            <w:vAlign w:val="center"/>
          </w:tcPr>
          <w:p w14:paraId="76B74045">
            <w:pPr>
              <w:pStyle w:val="11"/>
            </w:pPr>
            <w:r>
              <w:t>0.33</w:t>
            </w:r>
          </w:p>
        </w:tc>
      </w:tr>
      <w:tr w14:paraId="084B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3EB839">
            <w:pPr>
              <w:pStyle w:val="12"/>
            </w:pPr>
            <w:r>
              <w:t>冀财教[2025]147号/省级/2026年义教补助经费/东良校区大干言小学公用经费</w:t>
            </w:r>
          </w:p>
        </w:tc>
        <w:tc>
          <w:tcPr>
            <w:tcW w:w="964" w:type="dxa"/>
            <w:vAlign w:val="center"/>
          </w:tcPr>
          <w:p w14:paraId="735B133C">
            <w:pPr>
              <w:pStyle w:val="11"/>
            </w:pPr>
            <w:r>
              <w:t>24.38</w:t>
            </w:r>
          </w:p>
        </w:tc>
        <w:tc>
          <w:tcPr>
            <w:tcW w:w="1134" w:type="dxa"/>
            <w:vAlign w:val="center"/>
          </w:tcPr>
          <w:p w14:paraId="31D874E5">
            <w:pPr>
              <w:pStyle w:val="12"/>
            </w:pPr>
            <w:r>
              <w:t>文件柜</w:t>
            </w:r>
          </w:p>
        </w:tc>
        <w:tc>
          <w:tcPr>
            <w:tcW w:w="1134" w:type="dxa"/>
            <w:vAlign w:val="center"/>
          </w:tcPr>
          <w:p w14:paraId="1D4F3ACD">
            <w:pPr>
              <w:pStyle w:val="12"/>
            </w:pPr>
            <w:r>
              <w:t>A05010502</w:t>
            </w:r>
          </w:p>
        </w:tc>
        <w:tc>
          <w:tcPr>
            <w:tcW w:w="709" w:type="dxa"/>
            <w:vAlign w:val="center"/>
          </w:tcPr>
          <w:p w14:paraId="1F0C89EF">
            <w:pPr>
              <w:pStyle w:val="13"/>
            </w:pPr>
            <w:r>
              <w:t>个</w:t>
            </w:r>
          </w:p>
        </w:tc>
        <w:tc>
          <w:tcPr>
            <w:tcW w:w="850" w:type="dxa"/>
            <w:vAlign w:val="center"/>
          </w:tcPr>
          <w:p w14:paraId="610699E2">
            <w:pPr>
              <w:pStyle w:val="11"/>
            </w:pPr>
            <w:r>
              <w:t>4</w:t>
            </w:r>
          </w:p>
        </w:tc>
        <w:tc>
          <w:tcPr>
            <w:tcW w:w="850" w:type="dxa"/>
            <w:vAlign w:val="center"/>
          </w:tcPr>
          <w:p w14:paraId="4E569A86">
            <w:pPr>
              <w:pStyle w:val="11"/>
            </w:pPr>
            <w:r>
              <w:t>0.03</w:t>
            </w:r>
          </w:p>
        </w:tc>
        <w:tc>
          <w:tcPr>
            <w:tcW w:w="964" w:type="dxa"/>
            <w:vAlign w:val="center"/>
          </w:tcPr>
          <w:p w14:paraId="0EF84376">
            <w:pPr>
              <w:pStyle w:val="11"/>
            </w:pPr>
            <w:r>
              <w:t>0.10</w:t>
            </w:r>
          </w:p>
        </w:tc>
        <w:tc>
          <w:tcPr>
            <w:tcW w:w="964" w:type="dxa"/>
            <w:vAlign w:val="center"/>
          </w:tcPr>
          <w:p w14:paraId="257AC202">
            <w:pPr>
              <w:pStyle w:val="11"/>
            </w:pPr>
            <w:r>
              <w:t>0.10</w:t>
            </w:r>
          </w:p>
        </w:tc>
        <w:tc>
          <w:tcPr>
            <w:tcW w:w="964" w:type="dxa"/>
            <w:vAlign w:val="center"/>
          </w:tcPr>
          <w:p w14:paraId="596E4E29">
            <w:pPr>
              <w:pStyle w:val="11"/>
            </w:pPr>
          </w:p>
        </w:tc>
        <w:tc>
          <w:tcPr>
            <w:tcW w:w="964" w:type="dxa"/>
            <w:vAlign w:val="center"/>
          </w:tcPr>
          <w:p w14:paraId="54EBC7AF">
            <w:pPr>
              <w:pStyle w:val="11"/>
            </w:pPr>
          </w:p>
        </w:tc>
        <w:tc>
          <w:tcPr>
            <w:tcW w:w="964" w:type="dxa"/>
            <w:vAlign w:val="center"/>
          </w:tcPr>
          <w:p w14:paraId="0AE2DAD7">
            <w:pPr>
              <w:pStyle w:val="11"/>
            </w:pPr>
          </w:p>
        </w:tc>
        <w:tc>
          <w:tcPr>
            <w:tcW w:w="964" w:type="dxa"/>
            <w:vAlign w:val="center"/>
          </w:tcPr>
          <w:p w14:paraId="1D6CD9BA">
            <w:pPr>
              <w:pStyle w:val="11"/>
            </w:pPr>
          </w:p>
        </w:tc>
        <w:tc>
          <w:tcPr>
            <w:tcW w:w="964" w:type="dxa"/>
            <w:vAlign w:val="center"/>
          </w:tcPr>
          <w:p w14:paraId="1689C7FA">
            <w:pPr>
              <w:pStyle w:val="11"/>
            </w:pPr>
          </w:p>
        </w:tc>
        <w:tc>
          <w:tcPr>
            <w:tcW w:w="964" w:type="dxa"/>
            <w:vAlign w:val="center"/>
          </w:tcPr>
          <w:p w14:paraId="4D033658">
            <w:pPr>
              <w:pStyle w:val="11"/>
            </w:pPr>
          </w:p>
        </w:tc>
        <w:tc>
          <w:tcPr>
            <w:tcW w:w="964" w:type="dxa"/>
            <w:vAlign w:val="center"/>
          </w:tcPr>
          <w:p w14:paraId="34244DF5">
            <w:pPr>
              <w:pStyle w:val="11"/>
            </w:pPr>
            <w:r>
              <w:t>0.10</w:t>
            </w:r>
          </w:p>
        </w:tc>
      </w:tr>
      <w:tr w14:paraId="4689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EDCA2F">
            <w:pPr>
              <w:pStyle w:val="12"/>
            </w:pPr>
            <w:r>
              <w:t>冀财教[2025]147号/省级/2026年义教补助经费/东良校区大市口小学公用经费</w:t>
            </w:r>
          </w:p>
        </w:tc>
        <w:tc>
          <w:tcPr>
            <w:tcW w:w="964" w:type="dxa"/>
            <w:vAlign w:val="center"/>
          </w:tcPr>
          <w:p w14:paraId="4B5A3A45">
            <w:pPr>
              <w:pStyle w:val="11"/>
            </w:pPr>
            <w:r>
              <w:t>3.04</w:t>
            </w:r>
          </w:p>
        </w:tc>
        <w:tc>
          <w:tcPr>
            <w:tcW w:w="1134" w:type="dxa"/>
            <w:vAlign w:val="center"/>
          </w:tcPr>
          <w:p w14:paraId="71E27A93">
            <w:pPr>
              <w:pStyle w:val="12"/>
            </w:pPr>
            <w:r>
              <w:t>A4 黑白打印机</w:t>
            </w:r>
          </w:p>
        </w:tc>
        <w:tc>
          <w:tcPr>
            <w:tcW w:w="1134" w:type="dxa"/>
            <w:vAlign w:val="center"/>
          </w:tcPr>
          <w:p w14:paraId="70A0DB24">
            <w:pPr>
              <w:pStyle w:val="12"/>
            </w:pPr>
            <w:r>
              <w:t>A02021003</w:t>
            </w:r>
          </w:p>
        </w:tc>
        <w:tc>
          <w:tcPr>
            <w:tcW w:w="709" w:type="dxa"/>
            <w:vAlign w:val="center"/>
          </w:tcPr>
          <w:p w14:paraId="6A921581">
            <w:pPr>
              <w:pStyle w:val="13"/>
            </w:pPr>
            <w:r>
              <w:t>台</w:t>
            </w:r>
          </w:p>
        </w:tc>
        <w:tc>
          <w:tcPr>
            <w:tcW w:w="850" w:type="dxa"/>
            <w:vAlign w:val="center"/>
          </w:tcPr>
          <w:p w14:paraId="6F4056AC">
            <w:pPr>
              <w:pStyle w:val="11"/>
            </w:pPr>
            <w:r>
              <w:t>1</w:t>
            </w:r>
          </w:p>
        </w:tc>
        <w:tc>
          <w:tcPr>
            <w:tcW w:w="850" w:type="dxa"/>
            <w:vAlign w:val="center"/>
          </w:tcPr>
          <w:p w14:paraId="6920F037">
            <w:pPr>
              <w:pStyle w:val="11"/>
            </w:pPr>
            <w:r>
              <w:t>0.17</w:t>
            </w:r>
          </w:p>
        </w:tc>
        <w:tc>
          <w:tcPr>
            <w:tcW w:w="964" w:type="dxa"/>
            <w:vAlign w:val="center"/>
          </w:tcPr>
          <w:p w14:paraId="788218BA">
            <w:pPr>
              <w:pStyle w:val="11"/>
            </w:pPr>
            <w:r>
              <w:t>0.17</w:t>
            </w:r>
          </w:p>
        </w:tc>
        <w:tc>
          <w:tcPr>
            <w:tcW w:w="964" w:type="dxa"/>
            <w:vAlign w:val="center"/>
          </w:tcPr>
          <w:p w14:paraId="1653ED2E">
            <w:pPr>
              <w:pStyle w:val="11"/>
            </w:pPr>
            <w:r>
              <w:t>0.17</w:t>
            </w:r>
          </w:p>
        </w:tc>
        <w:tc>
          <w:tcPr>
            <w:tcW w:w="964" w:type="dxa"/>
            <w:vAlign w:val="center"/>
          </w:tcPr>
          <w:p w14:paraId="0BC7A13C">
            <w:pPr>
              <w:pStyle w:val="11"/>
            </w:pPr>
          </w:p>
        </w:tc>
        <w:tc>
          <w:tcPr>
            <w:tcW w:w="964" w:type="dxa"/>
            <w:vAlign w:val="center"/>
          </w:tcPr>
          <w:p w14:paraId="2F2F0497">
            <w:pPr>
              <w:pStyle w:val="11"/>
            </w:pPr>
          </w:p>
        </w:tc>
        <w:tc>
          <w:tcPr>
            <w:tcW w:w="964" w:type="dxa"/>
            <w:vAlign w:val="center"/>
          </w:tcPr>
          <w:p w14:paraId="6B2C64AF">
            <w:pPr>
              <w:pStyle w:val="11"/>
            </w:pPr>
          </w:p>
        </w:tc>
        <w:tc>
          <w:tcPr>
            <w:tcW w:w="964" w:type="dxa"/>
            <w:vAlign w:val="center"/>
          </w:tcPr>
          <w:p w14:paraId="676BD162">
            <w:pPr>
              <w:pStyle w:val="11"/>
            </w:pPr>
          </w:p>
        </w:tc>
        <w:tc>
          <w:tcPr>
            <w:tcW w:w="964" w:type="dxa"/>
            <w:vAlign w:val="center"/>
          </w:tcPr>
          <w:p w14:paraId="18297C06">
            <w:pPr>
              <w:pStyle w:val="11"/>
            </w:pPr>
          </w:p>
        </w:tc>
        <w:tc>
          <w:tcPr>
            <w:tcW w:w="964" w:type="dxa"/>
            <w:vAlign w:val="center"/>
          </w:tcPr>
          <w:p w14:paraId="4E6BCD8C">
            <w:pPr>
              <w:pStyle w:val="11"/>
            </w:pPr>
          </w:p>
        </w:tc>
        <w:tc>
          <w:tcPr>
            <w:tcW w:w="964" w:type="dxa"/>
            <w:vAlign w:val="center"/>
          </w:tcPr>
          <w:p w14:paraId="56EE376E">
            <w:pPr>
              <w:pStyle w:val="11"/>
            </w:pPr>
            <w:r>
              <w:t>0.17</w:t>
            </w:r>
          </w:p>
        </w:tc>
      </w:tr>
      <w:tr w14:paraId="5647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A2F525">
            <w:pPr>
              <w:pStyle w:val="12"/>
            </w:pPr>
            <w:r>
              <w:t>冀财教[2025]147号/省级/2026年义教补助经费/东良校区东良小学公用经费</w:t>
            </w:r>
          </w:p>
        </w:tc>
        <w:tc>
          <w:tcPr>
            <w:tcW w:w="964" w:type="dxa"/>
            <w:vAlign w:val="center"/>
          </w:tcPr>
          <w:p w14:paraId="754D9251">
            <w:pPr>
              <w:pStyle w:val="11"/>
            </w:pPr>
            <w:r>
              <w:t>13.22</w:t>
            </w:r>
          </w:p>
        </w:tc>
        <w:tc>
          <w:tcPr>
            <w:tcW w:w="1134" w:type="dxa"/>
            <w:vAlign w:val="center"/>
          </w:tcPr>
          <w:p w14:paraId="4FB94C49">
            <w:pPr>
              <w:pStyle w:val="12"/>
            </w:pPr>
            <w:r>
              <w:t>A4 黑白打印机</w:t>
            </w:r>
          </w:p>
        </w:tc>
        <w:tc>
          <w:tcPr>
            <w:tcW w:w="1134" w:type="dxa"/>
            <w:vAlign w:val="center"/>
          </w:tcPr>
          <w:p w14:paraId="14F91F3D">
            <w:pPr>
              <w:pStyle w:val="12"/>
            </w:pPr>
            <w:r>
              <w:t>A02021003</w:t>
            </w:r>
          </w:p>
        </w:tc>
        <w:tc>
          <w:tcPr>
            <w:tcW w:w="709" w:type="dxa"/>
            <w:vAlign w:val="center"/>
          </w:tcPr>
          <w:p w14:paraId="61315916">
            <w:pPr>
              <w:pStyle w:val="13"/>
            </w:pPr>
            <w:r>
              <w:t>台</w:t>
            </w:r>
          </w:p>
        </w:tc>
        <w:tc>
          <w:tcPr>
            <w:tcW w:w="850" w:type="dxa"/>
            <w:vAlign w:val="center"/>
          </w:tcPr>
          <w:p w14:paraId="6450CD16">
            <w:pPr>
              <w:pStyle w:val="11"/>
            </w:pPr>
            <w:r>
              <w:t>1</w:t>
            </w:r>
          </w:p>
        </w:tc>
        <w:tc>
          <w:tcPr>
            <w:tcW w:w="850" w:type="dxa"/>
            <w:vAlign w:val="center"/>
          </w:tcPr>
          <w:p w14:paraId="0F77C65E">
            <w:pPr>
              <w:pStyle w:val="11"/>
            </w:pPr>
            <w:r>
              <w:t>0.17</w:t>
            </w:r>
          </w:p>
        </w:tc>
        <w:tc>
          <w:tcPr>
            <w:tcW w:w="964" w:type="dxa"/>
            <w:vAlign w:val="center"/>
          </w:tcPr>
          <w:p w14:paraId="68A65CAF">
            <w:pPr>
              <w:pStyle w:val="11"/>
            </w:pPr>
            <w:r>
              <w:t>0.17</w:t>
            </w:r>
          </w:p>
        </w:tc>
        <w:tc>
          <w:tcPr>
            <w:tcW w:w="964" w:type="dxa"/>
            <w:vAlign w:val="center"/>
          </w:tcPr>
          <w:p w14:paraId="5EDD95EC">
            <w:pPr>
              <w:pStyle w:val="11"/>
            </w:pPr>
            <w:r>
              <w:t>0.17</w:t>
            </w:r>
          </w:p>
        </w:tc>
        <w:tc>
          <w:tcPr>
            <w:tcW w:w="964" w:type="dxa"/>
            <w:vAlign w:val="center"/>
          </w:tcPr>
          <w:p w14:paraId="4C19546D">
            <w:pPr>
              <w:pStyle w:val="11"/>
            </w:pPr>
          </w:p>
        </w:tc>
        <w:tc>
          <w:tcPr>
            <w:tcW w:w="964" w:type="dxa"/>
            <w:vAlign w:val="center"/>
          </w:tcPr>
          <w:p w14:paraId="0A705CEF">
            <w:pPr>
              <w:pStyle w:val="11"/>
            </w:pPr>
          </w:p>
        </w:tc>
        <w:tc>
          <w:tcPr>
            <w:tcW w:w="964" w:type="dxa"/>
            <w:vAlign w:val="center"/>
          </w:tcPr>
          <w:p w14:paraId="6756FE8E">
            <w:pPr>
              <w:pStyle w:val="11"/>
            </w:pPr>
          </w:p>
        </w:tc>
        <w:tc>
          <w:tcPr>
            <w:tcW w:w="964" w:type="dxa"/>
            <w:vAlign w:val="center"/>
          </w:tcPr>
          <w:p w14:paraId="3B7D92D5">
            <w:pPr>
              <w:pStyle w:val="11"/>
            </w:pPr>
          </w:p>
        </w:tc>
        <w:tc>
          <w:tcPr>
            <w:tcW w:w="964" w:type="dxa"/>
            <w:vAlign w:val="center"/>
          </w:tcPr>
          <w:p w14:paraId="77D459CD">
            <w:pPr>
              <w:pStyle w:val="11"/>
            </w:pPr>
          </w:p>
        </w:tc>
        <w:tc>
          <w:tcPr>
            <w:tcW w:w="964" w:type="dxa"/>
            <w:vAlign w:val="center"/>
          </w:tcPr>
          <w:p w14:paraId="76609D38">
            <w:pPr>
              <w:pStyle w:val="11"/>
            </w:pPr>
          </w:p>
        </w:tc>
        <w:tc>
          <w:tcPr>
            <w:tcW w:w="964" w:type="dxa"/>
            <w:vAlign w:val="center"/>
          </w:tcPr>
          <w:p w14:paraId="1107699C">
            <w:pPr>
              <w:pStyle w:val="11"/>
            </w:pPr>
            <w:r>
              <w:t>0.17</w:t>
            </w:r>
          </w:p>
        </w:tc>
      </w:tr>
      <w:tr w14:paraId="7D02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74F3DB">
            <w:pPr>
              <w:pStyle w:val="12"/>
            </w:pPr>
            <w:r>
              <w:t>冀财教[2025]147号/省级/2026年义教补助经费/东良校区高村小学公用经费</w:t>
            </w:r>
          </w:p>
        </w:tc>
        <w:tc>
          <w:tcPr>
            <w:tcW w:w="964" w:type="dxa"/>
            <w:vAlign w:val="center"/>
          </w:tcPr>
          <w:p w14:paraId="10075C50">
            <w:pPr>
              <w:pStyle w:val="11"/>
            </w:pPr>
            <w:r>
              <w:t>4.41</w:t>
            </w:r>
          </w:p>
        </w:tc>
        <w:tc>
          <w:tcPr>
            <w:tcW w:w="1134" w:type="dxa"/>
            <w:vAlign w:val="center"/>
          </w:tcPr>
          <w:p w14:paraId="7D3AD202">
            <w:pPr>
              <w:pStyle w:val="12"/>
            </w:pPr>
            <w:r>
              <w:t>A4 黑白打印机</w:t>
            </w:r>
          </w:p>
        </w:tc>
        <w:tc>
          <w:tcPr>
            <w:tcW w:w="1134" w:type="dxa"/>
            <w:vAlign w:val="center"/>
          </w:tcPr>
          <w:p w14:paraId="738E0DEF">
            <w:pPr>
              <w:pStyle w:val="12"/>
            </w:pPr>
            <w:r>
              <w:t>A02021003</w:t>
            </w:r>
          </w:p>
        </w:tc>
        <w:tc>
          <w:tcPr>
            <w:tcW w:w="709" w:type="dxa"/>
            <w:vAlign w:val="center"/>
          </w:tcPr>
          <w:p w14:paraId="13B7CA87">
            <w:pPr>
              <w:pStyle w:val="13"/>
            </w:pPr>
            <w:r>
              <w:t>台</w:t>
            </w:r>
          </w:p>
        </w:tc>
        <w:tc>
          <w:tcPr>
            <w:tcW w:w="850" w:type="dxa"/>
            <w:vAlign w:val="center"/>
          </w:tcPr>
          <w:p w14:paraId="729BCC7F">
            <w:pPr>
              <w:pStyle w:val="11"/>
            </w:pPr>
            <w:r>
              <w:t>1</w:t>
            </w:r>
          </w:p>
        </w:tc>
        <w:tc>
          <w:tcPr>
            <w:tcW w:w="850" w:type="dxa"/>
            <w:vAlign w:val="center"/>
          </w:tcPr>
          <w:p w14:paraId="7A783649">
            <w:pPr>
              <w:pStyle w:val="11"/>
            </w:pPr>
            <w:r>
              <w:t>0.17</w:t>
            </w:r>
          </w:p>
        </w:tc>
        <w:tc>
          <w:tcPr>
            <w:tcW w:w="964" w:type="dxa"/>
            <w:vAlign w:val="center"/>
          </w:tcPr>
          <w:p w14:paraId="79A32A40">
            <w:pPr>
              <w:pStyle w:val="11"/>
            </w:pPr>
            <w:r>
              <w:t>0.17</w:t>
            </w:r>
          </w:p>
        </w:tc>
        <w:tc>
          <w:tcPr>
            <w:tcW w:w="964" w:type="dxa"/>
            <w:vAlign w:val="center"/>
          </w:tcPr>
          <w:p w14:paraId="4E902D02">
            <w:pPr>
              <w:pStyle w:val="11"/>
            </w:pPr>
            <w:r>
              <w:t>0.17</w:t>
            </w:r>
          </w:p>
        </w:tc>
        <w:tc>
          <w:tcPr>
            <w:tcW w:w="964" w:type="dxa"/>
            <w:vAlign w:val="center"/>
          </w:tcPr>
          <w:p w14:paraId="09A59D42">
            <w:pPr>
              <w:pStyle w:val="11"/>
            </w:pPr>
          </w:p>
        </w:tc>
        <w:tc>
          <w:tcPr>
            <w:tcW w:w="964" w:type="dxa"/>
            <w:vAlign w:val="center"/>
          </w:tcPr>
          <w:p w14:paraId="50FA7950">
            <w:pPr>
              <w:pStyle w:val="11"/>
            </w:pPr>
          </w:p>
        </w:tc>
        <w:tc>
          <w:tcPr>
            <w:tcW w:w="964" w:type="dxa"/>
            <w:vAlign w:val="center"/>
          </w:tcPr>
          <w:p w14:paraId="517B851B">
            <w:pPr>
              <w:pStyle w:val="11"/>
            </w:pPr>
          </w:p>
        </w:tc>
        <w:tc>
          <w:tcPr>
            <w:tcW w:w="964" w:type="dxa"/>
            <w:vAlign w:val="center"/>
          </w:tcPr>
          <w:p w14:paraId="0FEF1789">
            <w:pPr>
              <w:pStyle w:val="11"/>
            </w:pPr>
          </w:p>
        </w:tc>
        <w:tc>
          <w:tcPr>
            <w:tcW w:w="964" w:type="dxa"/>
            <w:vAlign w:val="center"/>
          </w:tcPr>
          <w:p w14:paraId="7E374203">
            <w:pPr>
              <w:pStyle w:val="11"/>
            </w:pPr>
          </w:p>
        </w:tc>
        <w:tc>
          <w:tcPr>
            <w:tcW w:w="964" w:type="dxa"/>
            <w:vAlign w:val="center"/>
          </w:tcPr>
          <w:p w14:paraId="74ACC52E">
            <w:pPr>
              <w:pStyle w:val="11"/>
            </w:pPr>
          </w:p>
        </w:tc>
        <w:tc>
          <w:tcPr>
            <w:tcW w:w="964" w:type="dxa"/>
            <w:vAlign w:val="center"/>
          </w:tcPr>
          <w:p w14:paraId="24138B88">
            <w:pPr>
              <w:pStyle w:val="11"/>
            </w:pPr>
            <w:r>
              <w:t>0.17</w:t>
            </w:r>
          </w:p>
        </w:tc>
      </w:tr>
      <w:tr w14:paraId="0D66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5FD67F">
            <w:pPr>
              <w:pStyle w:val="12"/>
            </w:pPr>
            <w:r>
              <w:t>冀财教[2025]147号/省级/2026年义教补助经费/东良校区泽畔小学公用经费</w:t>
            </w:r>
          </w:p>
        </w:tc>
        <w:tc>
          <w:tcPr>
            <w:tcW w:w="964" w:type="dxa"/>
            <w:vAlign w:val="center"/>
          </w:tcPr>
          <w:p w14:paraId="7712AB47">
            <w:pPr>
              <w:pStyle w:val="11"/>
            </w:pPr>
            <w:r>
              <w:t>26.77</w:t>
            </w:r>
          </w:p>
        </w:tc>
        <w:tc>
          <w:tcPr>
            <w:tcW w:w="1134" w:type="dxa"/>
            <w:vAlign w:val="center"/>
          </w:tcPr>
          <w:p w14:paraId="024E86D6">
            <w:pPr>
              <w:pStyle w:val="12"/>
            </w:pPr>
            <w:r>
              <w:t>A4 黑白打印机</w:t>
            </w:r>
          </w:p>
        </w:tc>
        <w:tc>
          <w:tcPr>
            <w:tcW w:w="1134" w:type="dxa"/>
            <w:vAlign w:val="center"/>
          </w:tcPr>
          <w:p w14:paraId="28168940">
            <w:pPr>
              <w:pStyle w:val="12"/>
            </w:pPr>
            <w:r>
              <w:t>A02021003</w:t>
            </w:r>
          </w:p>
        </w:tc>
        <w:tc>
          <w:tcPr>
            <w:tcW w:w="709" w:type="dxa"/>
            <w:vAlign w:val="center"/>
          </w:tcPr>
          <w:p w14:paraId="50E8B67A">
            <w:pPr>
              <w:pStyle w:val="13"/>
            </w:pPr>
            <w:r>
              <w:t>台</w:t>
            </w:r>
          </w:p>
        </w:tc>
        <w:tc>
          <w:tcPr>
            <w:tcW w:w="850" w:type="dxa"/>
            <w:vAlign w:val="center"/>
          </w:tcPr>
          <w:p w14:paraId="7688B1C2">
            <w:pPr>
              <w:pStyle w:val="11"/>
            </w:pPr>
            <w:r>
              <w:t>1</w:t>
            </w:r>
          </w:p>
        </w:tc>
        <w:tc>
          <w:tcPr>
            <w:tcW w:w="850" w:type="dxa"/>
            <w:vAlign w:val="center"/>
          </w:tcPr>
          <w:p w14:paraId="30369D11">
            <w:pPr>
              <w:pStyle w:val="11"/>
            </w:pPr>
            <w:r>
              <w:t>0.17</w:t>
            </w:r>
          </w:p>
        </w:tc>
        <w:tc>
          <w:tcPr>
            <w:tcW w:w="964" w:type="dxa"/>
            <w:vAlign w:val="center"/>
          </w:tcPr>
          <w:p w14:paraId="28D977D8">
            <w:pPr>
              <w:pStyle w:val="11"/>
            </w:pPr>
            <w:r>
              <w:t>0.17</w:t>
            </w:r>
          </w:p>
        </w:tc>
        <w:tc>
          <w:tcPr>
            <w:tcW w:w="964" w:type="dxa"/>
            <w:vAlign w:val="center"/>
          </w:tcPr>
          <w:p w14:paraId="647078E7">
            <w:pPr>
              <w:pStyle w:val="11"/>
            </w:pPr>
            <w:r>
              <w:t>0.17</w:t>
            </w:r>
          </w:p>
        </w:tc>
        <w:tc>
          <w:tcPr>
            <w:tcW w:w="964" w:type="dxa"/>
            <w:vAlign w:val="center"/>
          </w:tcPr>
          <w:p w14:paraId="01739E21">
            <w:pPr>
              <w:pStyle w:val="11"/>
            </w:pPr>
          </w:p>
        </w:tc>
        <w:tc>
          <w:tcPr>
            <w:tcW w:w="964" w:type="dxa"/>
            <w:vAlign w:val="center"/>
          </w:tcPr>
          <w:p w14:paraId="7515D1A8">
            <w:pPr>
              <w:pStyle w:val="11"/>
            </w:pPr>
          </w:p>
        </w:tc>
        <w:tc>
          <w:tcPr>
            <w:tcW w:w="964" w:type="dxa"/>
            <w:vAlign w:val="center"/>
          </w:tcPr>
          <w:p w14:paraId="0C6D6A58">
            <w:pPr>
              <w:pStyle w:val="11"/>
            </w:pPr>
          </w:p>
        </w:tc>
        <w:tc>
          <w:tcPr>
            <w:tcW w:w="964" w:type="dxa"/>
            <w:vAlign w:val="center"/>
          </w:tcPr>
          <w:p w14:paraId="40B8EFF7">
            <w:pPr>
              <w:pStyle w:val="11"/>
            </w:pPr>
          </w:p>
        </w:tc>
        <w:tc>
          <w:tcPr>
            <w:tcW w:w="964" w:type="dxa"/>
            <w:vAlign w:val="center"/>
          </w:tcPr>
          <w:p w14:paraId="238E594C">
            <w:pPr>
              <w:pStyle w:val="11"/>
            </w:pPr>
          </w:p>
        </w:tc>
        <w:tc>
          <w:tcPr>
            <w:tcW w:w="964" w:type="dxa"/>
            <w:vAlign w:val="center"/>
          </w:tcPr>
          <w:p w14:paraId="6AB2F661">
            <w:pPr>
              <w:pStyle w:val="11"/>
            </w:pPr>
          </w:p>
        </w:tc>
        <w:tc>
          <w:tcPr>
            <w:tcW w:w="964" w:type="dxa"/>
            <w:vAlign w:val="center"/>
          </w:tcPr>
          <w:p w14:paraId="13823519">
            <w:pPr>
              <w:pStyle w:val="11"/>
            </w:pPr>
            <w:r>
              <w:t>0.17</w:t>
            </w:r>
          </w:p>
        </w:tc>
      </w:tr>
      <w:tr w14:paraId="363D6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92DF5C">
            <w:pPr>
              <w:pStyle w:val="12"/>
            </w:pPr>
            <w:r>
              <w:t>冀财教[2025]147号/省级/2026年义教补助经费/东良校区泽畔小学公用经费</w:t>
            </w:r>
          </w:p>
        </w:tc>
        <w:tc>
          <w:tcPr>
            <w:tcW w:w="964" w:type="dxa"/>
            <w:vAlign w:val="center"/>
          </w:tcPr>
          <w:p w14:paraId="141596FE">
            <w:pPr>
              <w:pStyle w:val="11"/>
            </w:pPr>
            <w:r>
              <w:t>26.77</w:t>
            </w:r>
          </w:p>
        </w:tc>
        <w:tc>
          <w:tcPr>
            <w:tcW w:w="1134" w:type="dxa"/>
            <w:vAlign w:val="center"/>
          </w:tcPr>
          <w:p w14:paraId="055A10F4">
            <w:pPr>
              <w:pStyle w:val="12"/>
            </w:pPr>
            <w:r>
              <w:t>文件柜</w:t>
            </w:r>
          </w:p>
        </w:tc>
        <w:tc>
          <w:tcPr>
            <w:tcW w:w="1134" w:type="dxa"/>
            <w:vAlign w:val="center"/>
          </w:tcPr>
          <w:p w14:paraId="579A3241">
            <w:pPr>
              <w:pStyle w:val="12"/>
            </w:pPr>
            <w:r>
              <w:t>A05010502</w:t>
            </w:r>
          </w:p>
        </w:tc>
        <w:tc>
          <w:tcPr>
            <w:tcW w:w="709" w:type="dxa"/>
            <w:vAlign w:val="center"/>
          </w:tcPr>
          <w:p w14:paraId="7559B75D">
            <w:pPr>
              <w:pStyle w:val="13"/>
            </w:pPr>
            <w:r>
              <w:t>个</w:t>
            </w:r>
          </w:p>
        </w:tc>
        <w:tc>
          <w:tcPr>
            <w:tcW w:w="850" w:type="dxa"/>
            <w:vAlign w:val="center"/>
          </w:tcPr>
          <w:p w14:paraId="42E4039F">
            <w:pPr>
              <w:pStyle w:val="11"/>
            </w:pPr>
            <w:r>
              <w:t>4</w:t>
            </w:r>
          </w:p>
        </w:tc>
        <w:tc>
          <w:tcPr>
            <w:tcW w:w="850" w:type="dxa"/>
            <w:vAlign w:val="center"/>
          </w:tcPr>
          <w:p w14:paraId="3C7FDA6D">
            <w:pPr>
              <w:pStyle w:val="11"/>
            </w:pPr>
            <w:r>
              <w:t>0.03</w:t>
            </w:r>
          </w:p>
        </w:tc>
        <w:tc>
          <w:tcPr>
            <w:tcW w:w="964" w:type="dxa"/>
            <w:vAlign w:val="center"/>
          </w:tcPr>
          <w:p w14:paraId="72EC032B">
            <w:pPr>
              <w:pStyle w:val="11"/>
            </w:pPr>
            <w:r>
              <w:t>0.10</w:t>
            </w:r>
          </w:p>
        </w:tc>
        <w:tc>
          <w:tcPr>
            <w:tcW w:w="964" w:type="dxa"/>
            <w:vAlign w:val="center"/>
          </w:tcPr>
          <w:p w14:paraId="3F96BF7A">
            <w:pPr>
              <w:pStyle w:val="11"/>
            </w:pPr>
            <w:r>
              <w:t>0.10</w:t>
            </w:r>
          </w:p>
        </w:tc>
        <w:tc>
          <w:tcPr>
            <w:tcW w:w="964" w:type="dxa"/>
            <w:vAlign w:val="center"/>
          </w:tcPr>
          <w:p w14:paraId="4A178D38">
            <w:pPr>
              <w:pStyle w:val="11"/>
            </w:pPr>
          </w:p>
        </w:tc>
        <w:tc>
          <w:tcPr>
            <w:tcW w:w="964" w:type="dxa"/>
            <w:vAlign w:val="center"/>
          </w:tcPr>
          <w:p w14:paraId="0F21996E">
            <w:pPr>
              <w:pStyle w:val="11"/>
            </w:pPr>
          </w:p>
        </w:tc>
        <w:tc>
          <w:tcPr>
            <w:tcW w:w="964" w:type="dxa"/>
            <w:vAlign w:val="center"/>
          </w:tcPr>
          <w:p w14:paraId="02274080">
            <w:pPr>
              <w:pStyle w:val="11"/>
            </w:pPr>
          </w:p>
        </w:tc>
        <w:tc>
          <w:tcPr>
            <w:tcW w:w="964" w:type="dxa"/>
            <w:vAlign w:val="center"/>
          </w:tcPr>
          <w:p w14:paraId="4A7E7F21">
            <w:pPr>
              <w:pStyle w:val="11"/>
            </w:pPr>
          </w:p>
        </w:tc>
        <w:tc>
          <w:tcPr>
            <w:tcW w:w="964" w:type="dxa"/>
            <w:vAlign w:val="center"/>
          </w:tcPr>
          <w:p w14:paraId="36BD2CF3">
            <w:pPr>
              <w:pStyle w:val="11"/>
            </w:pPr>
          </w:p>
        </w:tc>
        <w:tc>
          <w:tcPr>
            <w:tcW w:w="964" w:type="dxa"/>
            <w:vAlign w:val="center"/>
          </w:tcPr>
          <w:p w14:paraId="7E74CD01">
            <w:pPr>
              <w:pStyle w:val="11"/>
            </w:pPr>
          </w:p>
        </w:tc>
        <w:tc>
          <w:tcPr>
            <w:tcW w:w="964" w:type="dxa"/>
            <w:vAlign w:val="center"/>
          </w:tcPr>
          <w:p w14:paraId="4BE76960">
            <w:pPr>
              <w:pStyle w:val="11"/>
            </w:pPr>
            <w:r>
              <w:t>0.10</w:t>
            </w:r>
          </w:p>
        </w:tc>
      </w:tr>
      <w:tr w14:paraId="3E79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F78D15">
            <w:pPr>
              <w:pStyle w:val="12"/>
            </w:pPr>
            <w:r>
              <w:t>冀财教[2025]147号/省级/2026年义教补助经费/东良校区周村小学公用经费</w:t>
            </w:r>
          </w:p>
        </w:tc>
        <w:tc>
          <w:tcPr>
            <w:tcW w:w="964" w:type="dxa"/>
            <w:vAlign w:val="center"/>
          </w:tcPr>
          <w:p w14:paraId="3CC2BF16">
            <w:pPr>
              <w:pStyle w:val="11"/>
            </w:pPr>
            <w:r>
              <w:t>3.99</w:t>
            </w:r>
          </w:p>
        </w:tc>
        <w:tc>
          <w:tcPr>
            <w:tcW w:w="1134" w:type="dxa"/>
            <w:vAlign w:val="center"/>
          </w:tcPr>
          <w:p w14:paraId="3C368A41">
            <w:pPr>
              <w:pStyle w:val="12"/>
            </w:pPr>
            <w:r>
              <w:t>A4 黑白打印机</w:t>
            </w:r>
          </w:p>
        </w:tc>
        <w:tc>
          <w:tcPr>
            <w:tcW w:w="1134" w:type="dxa"/>
            <w:vAlign w:val="center"/>
          </w:tcPr>
          <w:p w14:paraId="2ACEBDC8">
            <w:pPr>
              <w:pStyle w:val="12"/>
            </w:pPr>
            <w:r>
              <w:t>A02021003</w:t>
            </w:r>
          </w:p>
        </w:tc>
        <w:tc>
          <w:tcPr>
            <w:tcW w:w="709" w:type="dxa"/>
            <w:vAlign w:val="center"/>
          </w:tcPr>
          <w:p w14:paraId="5828D8EA">
            <w:pPr>
              <w:pStyle w:val="13"/>
            </w:pPr>
            <w:r>
              <w:t>台</w:t>
            </w:r>
          </w:p>
        </w:tc>
        <w:tc>
          <w:tcPr>
            <w:tcW w:w="850" w:type="dxa"/>
            <w:vAlign w:val="center"/>
          </w:tcPr>
          <w:p w14:paraId="4EDBB208">
            <w:pPr>
              <w:pStyle w:val="11"/>
            </w:pPr>
            <w:r>
              <w:t>1</w:t>
            </w:r>
          </w:p>
        </w:tc>
        <w:tc>
          <w:tcPr>
            <w:tcW w:w="850" w:type="dxa"/>
            <w:vAlign w:val="center"/>
          </w:tcPr>
          <w:p w14:paraId="1DD3F432">
            <w:pPr>
              <w:pStyle w:val="11"/>
            </w:pPr>
            <w:r>
              <w:t>0.17</w:t>
            </w:r>
          </w:p>
        </w:tc>
        <w:tc>
          <w:tcPr>
            <w:tcW w:w="964" w:type="dxa"/>
            <w:vAlign w:val="center"/>
          </w:tcPr>
          <w:p w14:paraId="4C253532">
            <w:pPr>
              <w:pStyle w:val="11"/>
            </w:pPr>
            <w:r>
              <w:t>0.17</w:t>
            </w:r>
          </w:p>
        </w:tc>
        <w:tc>
          <w:tcPr>
            <w:tcW w:w="964" w:type="dxa"/>
            <w:vAlign w:val="center"/>
          </w:tcPr>
          <w:p w14:paraId="76F3AE56">
            <w:pPr>
              <w:pStyle w:val="11"/>
            </w:pPr>
            <w:r>
              <w:t>0.17</w:t>
            </w:r>
          </w:p>
        </w:tc>
        <w:tc>
          <w:tcPr>
            <w:tcW w:w="964" w:type="dxa"/>
            <w:vAlign w:val="center"/>
          </w:tcPr>
          <w:p w14:paraId="65352D24">
            <w:pPr>
              <w:pStyle w:val="11"/>
            </w:pPr>
          </w:p>
        </w:tc>
        <w:tc>
          <w:tcPr>
            <w:tcW w:w="964" w:type="dxa"/>
            <w:vAlign w:val="center"/>
          </w:tcPr>
          <w:p w14:paraId="6C8F9AC9">
            <w:pPr>
              <w:pStyle w:val="11"/>
            </w:pPr>
          </w:p>
        </w:tc>
        <w:tc>
          <w:tcPr>
            <w:tcW w:w="964" w:type="dxa"/>
            <w:vAlign w:val="center"/>
          </w:tcPr>
          <w:p w14:paraId="0B92A797">
            <w:pPr>
              <w:pStyle w:val="11"/>
            </w:pPr>
          </w:p>
        </w:tc>
        <w:tc>
          <w:tcPr>
            <w:tcW w:w="964" w:type="dxa"/>
            <w:vAlign w:val="center"/>
          </w:tcPr>
          <w:p w14:paraId="11F71B53">
            <w:pPr>
              <w:pStyle w:val="11"/>
            </w:pPr>
          </w:p>
        </w:tc>
        <w:tc>
          <w:tcPr>
            <w:tcW w:w="964" w:type="dxa"/>
            <w:vAlign w:val="center"/>
          </w:tcPr>
          <w:p w14:paraId="6FBBDC6C">
            <w:pPr>
              <w:pStyle w:val="11"/>
            </w:pPr>
          </w:p>
        </w:tc>
        <w:tc>
          <w:tcPr>
            <w:tcW w:w="964" w:type="dxa"/>
            <w:vAlign w:val="center"/>
          </w:tcPr>
          <w:p w14:paraId="57E42505">
            <w:pPr>
              <w:pStyle w:val="11"/>
            </w:pPr>
          </w:p>
        </w:tc>
        <w:tc>
          <w:tcPr>
            <w:tcW w:w="964" w:type="dxa"/>
            <w:vAlign w:val="center"/>
          </w:tcPr>
          <w:p w14:paraId="05050039">
            <w:pPr>
              <w:pStyle w:val="11"/>
            </w:pPr>
            <w:r>
              <w:t>0.17</w:t>
            </w:r>
          </w:p>
        </w:tc>
      </w:tr>
    </w:tbl>
    <w:p w14:paraId="421BB8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7FFC60">
      <w:pPr>
        <w:spacing w:before="0" w:after="0"/>
        <w:ind w:firstLine="640"/>
        <w:jc w:val="left"/>
        <w:outlineLvl w:val="9"/>
      </w:pPr>
      <w:r>
        <w:rPr>
          <w:rFonts w:ascii="Times New Roman" w:hAnsi="Times New Roman" w:eastAsia="方正仿宋_GBK" w:cs="Times New Roman"/>
          <w:color w:val="000000"/>
          <w:sz w:val="32"/>
        </w:rPr>
        <w:t xml:space="preserve"> </w:t>
      </w:r>
    </w:p>
    <w:p w14:paraId="25C2CF85">
      <w:pPr>
        <w:spacing w:before="10" w:after="10" w:line="240" w:lineRule="auto"/>
        <w:ind w:firstLine="640"/>
        <w:jc w:val="left"/>
        <w:outlineLvl w:val="5"/>
      </w:pPr>
      <w:r>
        <w:rPr>
          <w:rFonts w:ascii="黑体" w:hAnsi="黑体" w:eastAsia="黑体" w:cs="黑体"/>
          <w:color w:val="000000"/>
          <w:sz w:val="32"/>
        </w:rPr>
        <w:t>七、国有资产信息</w:t>
      </w:r>
    </w:p>
    <w:p w14:paraId="28834DFF">
      <w:pPr>
        <w:spacing w:before="0" w:after="0" w:line="500" w:lineRule="exact"/>
        <w:ind w:firstLine="560"/>
        <w:jc w:val="left"/>
        <w:outlineLvl w:val="9"/>
      </w:pPr>
      <w:r>
        <w:rPr>
          <w:rFonts w:ascii="Times New Roman" w:hAnsi="Times New Roman" w:eastAsia="方正仿宋_GBK" w:cs="Times New Roman"/>
          <w:b w:val="0"/>
          <w:color w:val="000000"/>
          <w:sz w:val="28"/>
        </w:rPr>
        <w:t>隆尧县东良校区上年末固定资产金额为2924.65万元（详见下表）。本年度拟购置固定资产总额为28.30万元，已按要求列入政府采购预算，详见政府采购预算表。</w:t>
      </w:r>
    </w:p>
    <w:p w14:paraId="19293D7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70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AF5BD0">
            <w:pPr>
              <w:pStyle w:val="9"/>
            </w:pPr>
            <w:r>
              <w:t>360019隆尧县东良校区</w:t>
            </w:r>
          </w:p>
        </w:tc>
        <w:tc>
          <w:tcPr>
            <w:tcW w:w="5670" w:type="dxa"/>
            <w:gridSpan w:val="2"/>
            <w:tcBorders>
              <w:top w:val="single" w:color="FFFFFF" w:sz="6" w:space="0"/>
              <w:left w:val="single" w:color="FFFFFF" w:sz="6" w:space="0"/>
              <w:right w:val="single" w:color="FFFFFF" w:sz="6" w:space="0"/>
            </w:tcBorders>
            <w:vAlign w:val="center"/>
          </w:tcPr>
          <w:p w14:paraId="541FD0AD">
            <w:pPr>
              <w:pStyle w:val="7"/>
            </w:pPr>
            <w:r>
              <w:t>截止时间：2025-12-31</w:t>
            </w:r>
          </w:p>
        </w:tc>
      </w:tr>
      <w:tr w14:paraId="1118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652773">
            <w:pPr>
              <w:pStyle w:val="10"/>
            </w:pPr>
            <w:r>
              <w:t>项   目</w:t>
            </w:r>
          </w:p>
        </w:tc>
        <w:tc>
          <w:tcPr>
            <w:tcW w:w="2835" w:type="dxa"/>
            <w:vAlign w:val="center"/>
          </w:tcPr>
          <w:p w14:paraId="7DD7990A">
            <w:pPr>
              <w:pStyle w:val="10"/>
            </w:pPr>
            <w:r>
              <w:t>数量</w:t>
            </w:r>
          </w:p>
        </w:tc>
        <w:tc>
          <w:tcPr>
            <w:tcW w:w="2835" w:type="dxa"/>
            <w:vAlign w:val="center"/>
          </w:tcPr>
          <w:p w14:paraId="4B82BFF7">
            <w:pPr>
              <w:pStyle w:val="10"/>
            </w:pPr>
            <w:r>
              <w:t>价值（金额单位：万元）</w:t>
            </w:r>
          </w:p>
        </w:tc>
      </w:tr>
      <w:tr w14:paraId="45C0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6E2B71">
            <w:pPr>
              <w:pStyle w:val="12"/>
            </w:pPr>
            <w:r>
              <w:t>资产总额</w:t>
            </w:r>
          </w:p>
        </w:tc>
        <w:tc>
          <w:tcPr>
            <w:tcW w:w="2835" w:type="dxa"/>
            <w:vAlign w:val="center"/>
          </w:tcPr>
          <w:p w14:paraId="422A3115">
            <w:pPr>
              <w:pStyle w:val="13"/>
            </w:pPr>
          </w:p>
        </w:tc>
        <w:tc>
          <w:tcPr>
            <w:tcW w:w="2835" w:type="dxa"/>
            <w:vAlign w:val="center"/>
          </w:tcPr>
          <w:p w14:paraId="4A522EDA">
            <w:pPr>
              <w:pStyle w:val="11"/>
            </w:pPr>
            <w:r>
              <w:t>2924.65</w:t>
            </w:r>
          </w:p>
        </w:tc>
      </w:tr>
      <w:tr w14:paraId="0D3E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6B786">
            <w:pPr>
              <w:pStyle w:val="12"/>
            </w:pPr>
            <w:r>
              <w:t>1、房屋（平方米）</w:t>
            </w:r>
          </w:p>
        </w:tc>
        <w:tc>
          <w:tcPr>
            <w:tcW w:w="2835" w:type="dxa"/>
            <w:vAlign w:val="center"/>
          </w:tcPr>
          <w:p w14:paraId="6E54D6E4">
            <w:pPr>
              <w:pStyle w:val="13"/>
            </w:pPr>
            <w:r>
              <w:t>17848.87</w:t>
            </w:r>
          </w:p>
        </w:tc>
        <w:tc>
          <w:tcPr>
            <w:tcW w:w="2835" w:type="dxa"/>
            <w:vAlign w:val="center"/>
          </w:tcPr>
          <w:p w14:paraId="0C092BF1">
            <w:pPr>
              <w:pStyle w:val="11"/>
            </w:pPr>
            <w:r>
              <w:t>1552.01</w:t>
            </w:r>
          </w:p>
        </w:tc>
      </w:tr>
      <w:tr w14:paraId="7A11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1CA9CE">
            <w:pPr>
              <w:pStyle w:val="12"/>
            </w:pPr>
            <w:r>
              <w:t>　　其中：办公用房（平方米）</w:t>
            </w:r>
          </w:p>
        </w:tc>
        <w:tc>
          <w:tcPr>
            <w:tcW w:w="2835" w:type="dxa"/>
            <w:vAlign w:val="center"/>
          </w:tcPr>
          <w:p w14:paraId="2C547253">
            <w:pPr>
              <w:pStyle w:val="13"/>
            </w:pPr>
            <w:r>
              <w:t>6132.50</w:t>
            </w:r>
          </w:p>
        </w:tc>
        <w:tc>
          <w:tcPr>
            <w:tcW w:w="2835" w:type="dxa"/>
            <w:vAlign w:val="center"/>
          </w:tcPr>
          <w:p w14:paraId="31B2859A">
            <w:pPr>
              <w:pStyle w:val="11"/>
            </w:pPr>
            <w:r>
              <w:t>656.96</w:t>
            </w:r>
          </w:p>
        </w:tc>
      </w:tr>
      <w:tr w14:paraId="03E2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F5F819">
            <w:pPr>
              <w:pStyle w:val="12"/>
            </w:pPr>
            <w:r>
              <w:t>2、车辆（台、辆）</w:t>
            </w:r>
          </w:p>
        </w:tc>
        <w:tc>
          <w:tcPr>
            <w:tcW w:w="2835" w:type="dxa"/>
            <w:vAlign w:val="center"/>
          </w:tcPr>
          <w:p w14:paraId="6AC0B763">
            <w:pPr>
              <w:pStyle w:val="13"/>
            </w:pPr>
          </w:p>
        </w:tc>
        <w:tc>
          <w:tcPr>
            <w:tcW w:w="2835" w:type="dxa"/>
            <w:vAlign w:val="center"/>
          </w:tcPr>
          <w:p w14:paraId="76E40E31">
            <w:pPr>
              <w:pStyle w:val="11"/>
            </w:pPr>
          </w:p>
        </w:tc>
      </w:tr>
      <w:tr w14:paraId="24818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5087C3">
            <w:pPr>
              <w:pStyle w:val="12"/>
            </w:pPr>
            <w:r>
              <w:t>3、单价在20万元以上的设备</w:t>
            </w:r>
          </w:p>
        </w:tc>
        <w:tc>
          <w:tcPr>
            <w:tcW w:w="2835" w:type="dxa"/>
            <w:vAlign w:val="center"/>
          </w:tcPr>
          <w:p w14:paraId="050CE8B4">
            <w:pPr>
              <w:pStyle w:val="13"/>
            </w:pPr>
            <w:r>
              <w:t>1</w:t>
            </w:r>
          </w:p>
        </w:tc>
        <w:tc>
          <w:tcPr>
            <w:tcW w:w="2835" w:type="dxa"/>
            <w:vAlign w:val="center"/>
          </w:tcPr>
          <w:p w14:paraId="3FBF448C">
            <w:pPr>
              <w:pStyle w:val="11"/>
            </w:pPr>
            <w:r>
              <w:t>26.28</w:t>
            </w:r>
          </w:p>
        </w:tc>
      </w:tr>
      <w:tr w14:paraId="09B0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032320">
            <w:pPr>
              <w:pStyle w:val="12"/>
            </w:pPr>
            <w:r>
              <w:t>4、其他固定资产</w:t>
            </w:r>
          </w:p>
        </w:tc>
        <w:tc>
          <w:tcPr>
            <w:tcW w:w="2835" w:type="dxa"/>
            <w:vAlign w:val="center"/>
          </w:tcPr>
          <w:p w14:paraId="2EA56925">
            <w:pPr>
              <w:pStyle w:val="13"/>
            </w:pPr>
            <w:r>
              <w:t>8440</w:t>
            </w:r>
          </w:p>
        </w:tc>
        <w:tc>
          <w:tcPr>
            <w:tcW w:w="2835" w:type="dxa"/>
            <w:vAlign w:val="center"/>
          </w:tcPr>
          <w:p w14:paraId="26B6ADC6">
            <w:pPr>
              <w:pStyle w:val="11"/>
            </w:pPr>
            <w:r>
              <w:t>1346.35</w:t>
            </w:r>
          </w:p>
        </w:tc>
      </w:tr>
    </w:tbl>
    <w:p w14:paraId="757C965B">
      <w:pPr>
        <w:spacing w:before="0" w:after="0"/>
        <w:ind w:firstLine="640"/>
        <w:jc w:val="left"/>
        <w:outlineLvl w:val="9"/>
      </w:pPr>
      <w:r>
        <w:rPr>
          <w:rFonts w:ascii="Times New Roman" w:hAnsi="Times New Roman" w:eastAsia="方正仿宋_GBK" w:cs="Times New Roman"/>
          <w:color w:val="000000"/>
          <w:sz w:val="32"/>
        </w:rPr>
        <w:t xml:space="preserve"> </w:t>
      </w:r>
    </w:p>
    <w:p w14:paraId="57630AC3">
      <w:pPr>
        <w:spacing w:before="10" w:after="10" w:line="240" w:lineRule="auto"/>
        <w:ind w:firstLine="640"/>
        <w:jc w:val="left"/>
        <w:outlineLvl w:val="5"/>
      </w:pPr>
      <w:r>
        <w:rPr>
          <w:rFonts w:ascii="黑体" w:hAnsi="黑体" w:eastAsia="黑体" w:cs="黑体"/>
          <w:color w:val="000000"/>
          <w:sz w:val="32"/>
        </w:rPr>
        <w:t>八、名词解释</w:t>
      </w:r>
    </w:p>
    <w:p w14:paraId="35C9F2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482F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A684D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3B7A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8BD3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2DB5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416A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9A97E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46A2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719F4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98D7FE">
      <w:pPr>
        <w:spacing w:before="10" w:after="10" w:line="240" w:lineRule="auto"/>
        <w:ind w:firstLine="640"/>
        <w:jc w:val="left"/>
        <w:outlineLvl w:val="5"/>
      </w:pPr>
      <w:r>
        <w:rPr>
          <w:rFonts w:ascii="黑体" w:hAnsi="黑体" w:eastAsia="黑体" w:cs="黑体"/>
          <w:color w:val="000000"/>
          <w:sz w:val="32"/>
        </w:rPr>
        <w:t>九、其他需要说明的事项</w:t>
      </w:r>
    </w:p>
    <w:p w14:paraId="1701359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794253C">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十九、隆尧县双碑校区收支预算</w:t>
      </w:r>
      <w:bookmarkEnd w:id="18"/>
    </w:p>
    <w:p w14:paraId="249FD6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16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6A4D66">
            <w:pPr>
              <w:pStyle w:val="9"/>
            </w:pPr>
            <w:r>
              <w:t>360020隆尧县双碑校区</w:t>
            </w:r>
          </w:p>
        </w:tc>
        <w:tc>
          <w:tcPr>
            <w:tcW w:w="2126" w:type="dxa"/>
            <w:tcBorders>
              <w:top w:val="single" w:color="FFFFFF" w:sz="6" w:space="0"/>
              <w:left w:val="single" w:color="FFFFFF" w:sz="6" w:space="0"/>
              <w:right w:val="single" w:color="FFFFFF" w:sz="6" w:space="0"/>
            </w:tcBorders>
            <w:vAlign w:val="center"/>
          </w:tcPr>
          <w:p w14:paraId="6B295FE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A0D7B0E">
            <w:pPr>
              <w:pStyle w:val="7"/>
            </w:pPr>
            <w:r>
              <w:t>单位：万元</w:t>
            </w:r>
          </w:p>
        </w:tc>
      </w:tr>
      <w:tr w14:paraId="7489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6AEC9">
            <w:pPr>
              <w:pStyle w:val="10"/>
            </w:pPr>
            <w:r>
              <w:t>序号</w:t>
            </w:r>
          </w:p>
        </w:tc>
        <w:tc>
          <w:tcPr>
            <w:tcW w:w="6661" w:type="dxa"/>
            <w:gridSpan w:val="2"/>
            <w:vAlign w:val="center"/>
          </w:tcPr>
          <w:p w14:paraId="37667F79">
            <w:pPr>
              <w:pStyle w:val="10"/>
            </w:pPr>
            <w:r>
              <w:t>收入</w:t>
            </w:r>
          </w:p>
        </w:tc>
        <w:tc>
          <w:tcPr>
            <w:tcW w:w="6661" w:type="dxa"/>
            <w:gridSpan w:val="2"/>
            <w:vAlign w:val="center"/>
          </w:tcPr>
          <w:p w14:paraId="46F9C9AB">
            <w:pPr>
              <w:pStyle w:val="10"/>
            </w:pPr>
            <w:r>
              <w:t>支出</w:t>
            </w:r>
          </w:p>
        </w:tc>
      </w:tr>
      <w:tr w14:paraId="753D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88CD84"/>
        </w:tc>
        <w:tc>
          <w:tcPr>
            <w:tcW w:w="4535" w:type="dxa"/>
            <w:vAlign w:val="center"/>
          </w:tcPr>
          <w:p w14:paraId="77F835F4">
            <w:pPr>
              <w:pStyle w:val="10"/>
            </w:pPr>
            <w:r>
              <w:t>项  目</w:t>
            </w:r>
          </w:p>
        </w:tc>
        <w:tc>
          <w:tcPr>
            <w:tcW w:w="2126" w:type="dxa"/>
            <w:vAlign w:val="center"/>
          </w:tcPr>
          <w:p w14:paraId="109E7D79">
            <w:pPr>
              <w:pStyle w:val="10"/>
            </w:pPr>
            <w:r>
              <w:t>预算数</w:t>
            </w:r>
          </w:p>
        </w:tc>
        <w:tc>
          <w:tcPr>
            <w:tcW w:w="4535" w:type="dxa"/>
            <w:vAlign w:val="center"/>
          </w:tcPr>
          <w:p w14:paraId="229CDA84">
            <w:pPr>
              <w:pStyle w:val="10"/>
            </w:pPr>
            <w:r>
              <w:t>项  目</w:t>
            </w:r>
          </w:p>
        </w:tc>
        <w:tc>
          <w:tcPr>
            <w:tcW w:w="2126" w:type="dxa"/>
            <w:vAlign w:val="center"/>
          </w:tcPr>
          <w:p w14:paraId="3CE02BDD">
            <w:pPr>
              <w:pStyle w:val="10"/>
            </w:pPr>
            <w:r>
              <w:t>预算数</w:t>
            </w:r>
          </w:p>
        </w:tc>
      </w:tr>
      <w:tr w14:paraId="26EC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DCC90">
            <w:pPr>
              <w:pStyle w:val="10"/>
            </w:pPr>
            <w:r>
              <w:t>栏次</w:t>
            </w:r>
          </w:p>
        </w:tc>
        <w:tc>
          <w:tcPr>
            <w:tcW w:w="4535" w:type="dxa"/>
            <w:vAlign w:val="center"/>
          </w:tcPr>
          <w:p w14:paraId="625A4130">
            <w:pPr>
              <w:pStyle w:val="10"/>
            </w:pPr>
            <w:r>
              <w:t>1</w:t>
            </w:r>
          </w:p>
        </w:tc>
        <w:tc>
          <w:tcPr>
            <w:tcW w:w="2126" w:type="dxa"/>
            <w:vAlign w:val="center"/>
          </w:tcPr>
          <w:p w14:paraId="134BAE94">
            <w:pPr>
              <w:pStyle w:val="10"/>
            </w:pPr>
            <w:r>
              <w:t>2</w:t>
            </w:r>
          </w:p>
        </w:tc>
        <w:tc>
          <w:tcPr>
            <w:tcW w:w="4535" w:type="dxa"/>
            <w:vAlign w:val="center"/>
          </w:tcPr>
          <w:p w14:paraId="40AB7411">
            <w:pPr>
              <w:pStyle w:val="10"/>
            </w:pPr>
            <w:r>
              <w:t>3</w:t>
            </w:r>
          </w:p>
        </w:tc>
        <w:tc>
          <w:tcPr>
            <w:tcW w:w="2126" w:type="dxa"/>
            <w:vAlign w:val="center"/>
          </w:tcPr>
          <w:p w14:paraId="4A817410">
            <w:pPr>
              <w:pStyle w:val="10"/>
            </w:pPr>
            <w:r>
              <w:t>4</w:t>
            </w:r>
          </w:p>
        </w:tc>
      </w:tr>
      <w:tr w14:paraId="7DFB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1E10F">
            <w:pPr>
              <w:pStyle w:val="13"/>
            </w:pPr>
            <w:r>
              <w:t>1</w:t>
            </w:r>
          </w:p>
        </w:tc>
        <w:tc>
          <w:tcPr>
            <w:tcW w:w="4535" w:type="dxa"/>
            <w:vAlign w:val="center"/>
          </w:tcPr>
          <w:p w14:paraId="2102D077">
            <w:pPr>
              <w:pStyle w:val="12"/>
            </w:pPr>
            <w:r>
              <w:t>一、一般公共预算拨款收入</w:t>
            </w:r>
          </w:p>
        </w:tc>
        <w:tc>
          <w:tcPr>
            <w:tcW w:w="2126" w:type="dxa"/>
            <w:vAlign w:val="center"/>
          </w:tcPr>
          <w:p w14:paraId="15008B96">
            <w:pPr>
              <w:pStyle w:val="11"/>
            </w:pPr>
            <w:r>
              <w:t>2136.41</w:t>
            </w:r>
          </w:p>
        </w:tc>
        <w:tc>
          <w:tcPr>
            <w:tcW w:w="4535" w:type="dxa"/>
            <w:vAlign w:val="center"/>
          </w:tcPr>
          <w:p w14:paraId="12E50BAC">
            <w:pPr>
              <w:pStyle w:val="12"/>
            </w:pPr>
            <w:r>
              <w:t>一、一般公共服务支出</w:t>
            </w:r>
          </w:p>
        </w:tc>
        <w:tc>
          <w:tcPr>
            <w:tcW w:w="2126" w:type="dxa"/>
            <w:vAlign w:val="center"/>
          </w:tcPr>
          <w:p w14:paraId="0E6669A8">
            <w:pPr>
              <w:pStyle w:val="11"/>
            </w:pPr>
          </w:p>
        </w:tc>
      </w:tr>
      <w:tr w14:paraId="3560C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C5BF5">
            <w:pPr>
              <w:pStyle w:val="13"/>
            </w:pPr>
            <w:r>
              <w:t>2</w:t>
            </w:r>
          </w:p>
        </w:tc>
        <w:tc>
          <w:tcPr>
            <w:tcW w:w="4535" w:type="dxa"/>
            <w:vAlign w:val="center"/>
          </w:tcPr>
          <w:p w14:paraId="56136E13">
            <w:pPr>
              <w:pStyle w:val="12"/>
            </w:pPr>
            <w:r>
              <w:t>二、政府性基金预算拨款收入</w:t>
            </w:r>
          </w:p>
        </w:tc>
        <w:tc>
          <w:tcPr>
            <w:tcW w:w="2126" w:type="dxa"/>
            <w:vAlign w:val="center"/>
          </w:tcPr>
          <w:p w14:paraId="795FA339">
            <w:pPr>
              <w:pStyle w:val="11"/>
            </w:pPr>
          </w:p>
        </w:tc>
        <w:tc>
          <w:tcPr>
            <w:tcW w:w="4535" w:type="dxa"/>
            <w:vAlign w:val="center"/>
          </w:tcPr>
          <w:p w14:paraId="77AA5696">
            <w:pPr>
              <w:pStyle w:val="12"/>
            </w:pPr>
            <w:r>
              <w:t>二、外交支出</w:t>
            </w:r>
          </w:p>
        </w:tc>
        <w:tc>
          <w:tcPr>
            <w:tcW w:w="2126" w:type="dxa"/>
            <w:vAlign w:val="center"/>
          </w:tcPr>
          <w:p w14:paraId="3DD08ADC">
            <w:pPr>
              <w:pStyle w:val="11"/>
            </w:pPr>
          </w:p>
        </w:tc>
      </w:tr>
      <w:tr w14:paraId="2069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2536D">
            <w:pPr>
              <w:pStyle w:val="13"/>
            </w:pPr>
            <w:r>
              <w:t>3</w:t>
            </w:r>
          </w:p>
        </w:tc>
        <w:tc>
          <w:tcPr>
            <w:tcW w:w="4535" w:type="dxa"/>
            <w:vAlign w:val="center"/>
          </w:tcPr>
          <w:p w14:paraId="73D46A9E">
            <w:pPr>
              <w:pStyle w:val="12"/>
            </w:pPr>
            <w:r>
              <w:t>三、国有资本经营预算拨款收入</w:t>
            </w:r>
          </w:p>
        </w:tc>
        <w:tc>
          <w:tcPr>
            <w:tcW w:w="2126" w:type="dxa"/>
            <w:vAlign w:val="center"/>
          </w:tcPr>
          <w:p w14:paraId="66DEB796">
            <w:pPr>
              <w:pStyle w:val="11"/>
            </w:pPr>
          </w:p>
        </w:tc>
        <w:tc>
          <w:tcPr>
            <w:tcW w:w="4535" w:type="dxa"/>
            <w:vAlign w:val="center"/>
          </w:tcPr>
          <w:p w14:paraId="6CA858B6">
            <w:pPr>
              <w:pStyle w:val="12"/>
            </w:pPr>
            <w:r>
              <w:t>三、国防支出</w:t>
            </w:r>
          </w:p>
        </w:tc>
        <w:tc>
          <w:tcPr>
            <w:tcW w:w="2126" w:type="dxa"/>
            <w:vAlign w:val="center"/>
          </w:tcPr>
          <w:p w14:paraId="1C8DDBAD">
            <w:pPr>
              <w:pStyle w:val="11"/>
            </w:pPr>
          </w:p>
        </w:tc>
      </w:tr>
      <w:tr w14:paraId="75C4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72ED5">
            <w:pPr>
              <w:pStyle w:val="13"/>
            </w:pPr>
            <w:r>
              <w:t>4</w:t>
            </w:r>
          </w:p>
        </w:tc>
        <w:tc>
          <w:tcPr>
            <w:tcW w:w="4535" w:type="dxa"/>
            <w:vAlign w:val="center"/>
          </w:tcPr>
          <w:p w14:paraId="77F221BF">
            <w:pPr>
              <w:pStyle w:val="12"/>
            </w:pPr>
            <w:r>
              <w:t>四、财政专户管理资金收入</w:t>
            </w:r>
          </w:p>
        </w:tc>
        <w:tc>
          <w:tcPr>
            <w:tcW w:w="2126" w:type="dxa"/>
            <w:vAlign w:val="center"/>
          </w:tcPr>
          <w:p w14:paraId="1BE41F87">
            <w:pPr>
              <w:pStyle w:val="11"/>
            </w:pPr>
          </w:p>
        </w:tc>
        <w:tc>
          <w:tcPr>
            <w:tcW w:w="4535" w:type="dxa"/>
            <w:vAlign w:val="center"/>
          </w:tcPr>
          <w:p w14:paraId="1F68BDDB">
            <w:pPr>
              <w:pStyle w:val="12"/>
            </w:pPr>
            <w:r>
              <w:t>四、公共安全支出</w:t>
            </w:r>
          </w:p>
        </w:tc>
        <w:tc>
          <w:tcPr>
            <w:tcW w:w="2126" w:type="dxa"/>
            <w:vAlign w:val="center"/>
          </w:tcPr>
          <w:p w14:paraId="6FB88E9C">
            <w:pPr>
              <w:pStyle w:val="11"/>
            </w:pPr>
          </w:p>
        </w:tc>
      </w:tr>
      <w:tr w14:paraId="6415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3DA1">
            <w:pPr>
              <w:pStyle w:val="13"/>
            </w:pPr>
            <w:r>
              <w:t>5</w:t>
            </w:r>
          </w:p>
        </w:tc>
        <w:tc>
          <w:tcPr>
            <w:tcW w:w="4535" w:type="dxa"/>
            <w:vAlign w:val="center"/>
          </w:tcPr>
          <w:p w14:paraId="2C41DF8A">
            <w:pPr>
              <w:pStyle w:val="12"/>
            </w:pPr>
            <w:r>
              <w:t>五、单位资金</w:t>
            </w:r>
          </w:p>
        </w:tc>
        <w:tc>
          <w:tcPr>
            <w:tcW w:w="2126" w:type="dxa"/>
            <w:vAlign w:val="center"/>
          </w:tcPr>
          <w:p w14:paraId="55EC01F7">
            <w:pPr>
              <w:pStyle w:val="11"/>
            </w:pPr>
          </w:p>
        </w:tc>
        <w:tc>
          <w:tcPr>
            <w:tcW w:w="4535" w:type="dxa"/>
            <w:vAlign w:val="center"/>
          </w:tcPr>
          <w:p w14:paraId="4C2144FD">
            <w:pPr>
              <w:pStyle w:val="12"/>
            </w:pPr>
            <w:r>
              <w:t>五、教育支出</w:t>
            </w:r>
          </w:p>
        </w:tc>
        <w:tc>
          <w:tcPr>
            <w:tcW w:w="2126" w:type="dxa"/>
            <w:vAlign w:val="center"/>
          </w:tcPr>
          <w:p w14:paraId="4A0F821C">
            <w:pPr>
              <w:pStyle w:val="11"/>
            </w:pPr>
            <w:r>
              <w:t>2136.41</w:t>
            </w:r>
          </w:p>
        </w:tc>
      </w:tr>
      <w:tr w14:paraId="7ACB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CCA9">
            <w:pPr>
              <w:pStyle w:val="13"/>
            </w:pPr>
            <w:r>
              <w:t>6</w:t>
            </w:r>
          </w:p>
        </w:tc>
        <w:tc>
          <w:tcPr>
            <w:tcW w:w="4535" w:type="dxa"/>
            <w:vAlign w:val="center"/>
          </w:tcPr>
          <w:p w14:paraId="0BC20F5F">
            <w:pPr>
              <w:pStyle w:val="12"/>
            </w:pPr>
          </w:p>
        </w:tc>
        <w:tc>
          <w:tcPr>
            <w:tcW w:w="2126" w:type="dxa"/>
            <w:vAlign w:val="center"/>
          </w:tcPr>
          <w:p w14:paraId="050B2250">
            <w:pPr>
              <w:pStyle w:val="11"/>
            </w:pPr>
          </w:p>
        </w:tc>
        <w:tc>
          <w:tcPr>
            <w:tcW w:w="4535" w:type="dxa"/>
            <w:vAlign w:val="center"/>
          </w:tcPr>
          <w:p w14:paraId="605BCFA7">
            <w:pPr>
              <w:pStyle w:val="12"/>
            </w:pPr>
            <w:r>
              <w:t>六、科学技术支出</w:t>
            </w:r>
          </w:p>
        </w:tc>
        <w:tc>
          <w:tcPr>
            <w:tcW w:w="2126" w:type="dxa"/>
            <w:vAlign w:val="center"/>
          </w:tcPr>
          <w:p w14:paraId="0D30350C">
            <w:pPr>
              <w:pStyle w:val="11"/>
            </w:pPr>
          </w:p>
        </w:tc>
      </w:tr>
      <w:tr w14:paraId="1D76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08EA">
            <w:pPr>
              <w:pStyle w:val="13"/>
            </w:pPr>
            <w:r>
              <w:t>7</w:t>
            </w:r>
          </w:p>
        </w:tc>
        <w:tc>
          <w:tcPr>
            <w:tcW w:w="4535" w:type="dxa"/>
            <w:vAlign w:val="center"/>
          </w:tcPr>
          <w:p w14:paraId="6CD8C172">
            <w:pPr>
              <w:pStyle w:val="12"/>
            </w:pPr>
          </w:p>
        </w:tc>
        <w:tc>
          <w:tcPr>
            <w:tcW w:w="2126" w:type="dxa"/>
            <w:vAlign w:val="center"/>
          </w:tcPr>
          <w:p w14:paraId="4BEFA02B">
            <w:pPr>
              <w:pStyle w:val="11"/>
            </w:pPr>
          </w:p>
        </w:tc>
        <w:tc>
          <w:tcPr>
            <w:tcW w:w="4535" w:type="dxa"/>
            <w:vAlign w:val="center"/>
          </w:tcPr>
          <w:p w14:paraId="79A47E61">
            <w:pPr>
              <w:pStyle w:val="12"/>
            </w:pPr>
            <w:r>
              <w:t>七、文化旅游体育与传媒支出</w:t>
            </w:r>
          </w:p>
        </w:tc>
        <w:tc>
          <w:tcPr>
            <w:tcW w:w="2126" w:type="dxa"/>
            <w:vAlign w:val="center"/>
          </w:tcPr>
          <w:p w14:paraId="0437B37D">
            <w:pPr>
              <w:pStyle w:val="11"/>
            </w:pPr>
          </w:p>
        </w:tc>
      </w:tr>
      <w:tr w14:paraId="719973E1">
        <w:tblPrEx>
          <w:tblCellMar>
            <w:top w:w="0" w:type="dxa"/>
            <w:left w:w="108" w:type="dxa"/>
            <w:bottom w:w="0" w:type="dxa"/>
            <w:right w:w="108" w:type="dxa"/>
          </w:tblCellMar>
        </w:tblPrEx>
        <w:trPr>
          <w:trHeight w:val="369" w:hRule="atLeast"/>
          <w:jc w:val="center"/>
        </w:trPr>
        <w:tc>
          <w:tcPr>
            <w:tcW w:w="850" w:type="dxa"/>
            <w:vAlign w:val="center"/>
          </w:tcPr>
          <w:p w14:paraId="50E1CFEE">
            <w:pPr>
              <w:pStyle w:val="13"/>
            </w:pPr>
            <w:r>
              <w:t>8</w:t>
            </w:r>
          </w:p>
        </w:tc>
        <w:tc>
          <w:tcPr>
            <w:tcW w:w="4535" w:type="dxa"/>
            <w:vAlign w:val="center"/>
          </w:tcPr>
          <w:p w14:paraId="4AD7A942">
            <w:pPr>
              <w:pStyle w:val="12"/>
            </w:pPr>
          </w:p>
        </w:tc>
        <w:tc>
          <w:tcPr>
            <w:tcW w:w="2126" w:type="dxa"/>
            <w:vAlign w:val="center"/>
          </w:tcPr>
          <w:p w14:paraId="00288420">
            <w:pPr>
              <w:pStyle w:val="11"/>
            </w:pPr>
          </w:p>
        </w:tc>
        <w:tc>
          <w:tcPr>
            <w:tcW w:w="4535" w:type="dxa"/>
            <w:vAlign w:val="center"/>
          </w:tcPr>
          <w:p w14:paraId="203B3133">
            <w:pPr>
              <w:pStyle w:val="12"/>
            </w:pPr>
            <w:r>
              <w:t>八、社会保障和就业支出</w:t>
            </w:r>
          </w:p>
        </w:tc>
        <w:tc>
          <w:tcPr>
            <w:tcW w:w="2126" w:type="dxa"/>
            <w:vAlign w:val="center"/>
          </w:tcPr>
          <w:p w14:paraId="068AF5EC">
            <w:pPr>
              <w:pStyle w:val="11"/>
            </w:pPr>
          </w:p>
        </w:tc>
      </w:tr>
      <w:tr w14:paraId="3C281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8FA32">
            <w:pPr>
              <w:pStyle w:val="13"/>
            </w:pPr>
            <w:r>
              <w:t>9</w:t>
            </w:r>
          </w:p>
        </w:tc>
        <w:tc>
          <w:tcPr>
            <w:tcW w:w="4535" w:type="dxa"/>
            <w:vAlign w:val="center"/>
          </w:tcPr>
          <w:p w14:paraId="774DEBB6">
            <w:pPr>
              <w:pStyle w:val="12"/>
            </w:pPr>
          </w:p>
        </w:tc>
        <w:tc>
          <w:tcPr>
            <w:tcW w:w="2126" w:type="dxa"/>
            <w:vAlign w:val="center"/>
          </w:tcPr>
          <w:p w14:paraId="5A85B006">
            <w:pPr>
              <w:pStyle w:val="11"/>
            </w:pPr>
          </w:p>
        </w:tc>
        <w:tc>
          <w:tcPr>
            <w:tcW w:w="4535" w:type="dxa"/>
            <w:vAlign w:val="center"/>
          </w:tcPr>
          <w:p w14:paraId="7E623660">
            <w:pPr>
              <w:pStyle w:val="12"/>
            </w:pPr>
            <w:r>
              <w:t>九、社会保险基金支出</w:t>
            </w:r>
          </w:p>
        </w:tc>
        <w:tc>
          <w:tcPr>
            <w:tcW w:w="2126" w:type="dxa"/>
            <w:vAlign w:val="center"/>
          </w:tcPr>
          <w:p w14:paraId="4A8A8005">
            <w:pPr>
              <w:pStyle w:val="11"/>
            </w:pPr>
          </w:p>
        </w:tc>
      </w:tr>
      <w:tr w14:paraId="670C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7CB8B">
            <w:pPr>
              <w:pStyle w:val="13"/>
            </w:pPr>
            <w:r>
              <w:t>10</w:t>
            </w:r>
          </w:p>
        </w:tc>
        <w:tc>
          <w:tcPr>
            <w:tcW w:w="4535" w:type="dxa"/>
            <w:vAlign w:val="center"/>
          </w:tcPr>
          <w:p w14:paraId="56880B77">
            <w:pPr>
              <w:pStyle w:val="12"/>
            </w:pPr>
          </w:p>
        </w:tc>
        <w:tc>
          <w:tcPr>
            <w:tcW w:w="2126" w:type="dxa"/>
            <w:vAlign w:val="center"/>
          </w:tcPr>
          <w:p w14:paraId="76C07DFA">
            <w:pPr>
              <w:pStyle w:val="11"/>
            </w:pPr>
          </w:p>
        </w:tc>
        <w:tc>
          <w:tcPr>
            <w:tcW w:w="4535" w:type="dxa"/>
            <w:vAlign w:val="center"/>
          </w:tcPr>
          <w:p w14:paraId="412ADA5D">
            <w:pPr>
              <w:pStyle w:val="12"/>
            </w:pPr>
            <w:r>
              <w:t>十、卫生健康支出</w:t>
            </w:r>
          </w:p>
        </w:tc>
        <w:tc>
          <w:tcPr>
            <w:tcW w:w="2126" w:type="dxa"/>
            <w:vAlign w:val="center"/>
          </w:tcPr>
          <w:p w14:paraId="6737E70E">
            <w:pPr>
              <w:pStyle w:val="11"/>
            </w:pPr>
          </w:p>
        </w:tc>
      </w:tr>
      <w:tr w14:paraId="6947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48CCD">
            <w:pPr>
              <w:pStyle w:val="13"/>
            </w:pPr>
            <w:r>
              <w:t>11</w:t>
            </w:r>
          </w:p>
        </w:tc>
        <w:tc>
          <w:tcPr>
            <w:tcW w:w="4535" w:type="dxa"/>
            <w:vAlign w:val="center"/>
          </w:tcPr>
          <w:p w14:paraId="5486B597">
            <w:pPr>
              <w:pStyle w:val="12"/>
            </w:pPr>
          </w:p>
        </w:tc>
        <w:tc>
          <w:tcPr>
            <w:tcW w:w="2126" w:type="dxa"/>
            <w:vAlign w:val="center"/>
          </w:tcPr>
          <w:p w14:paraId="4EA48D04">
            <w:pPr>
              <w:pStyle w:val="11"/>
            </w:pPr>
          </w:p>
        </w:tc>
        <w:tc>
          <w:tcPr>
            <w:tcW w:w="4535" w:type="dxa"/>
            <w:vAlign w:val="center"/>
          </w:tcPr>
          <w:p w14:paraId="21B7F003">
            <w:pPr>
              <w:pStyle w:val="12"/>
            </w:pPr>
            <w:r>
              <w:t>十一、节能环保支出</w:t>
            </w:r>
          </w:p>
        </w:tc>
        <w:tc>
          <w:tcPr>
            <w:tcW w:w="2126" w:type="dxa"/>
            <w:vAlign w:val="center"/>
          </w:tcPr>
          <w:p w14:paraId="3718372C">
            <w:pPr>
              <w:pStyle w:val="11"/>
            </w:pPr>
          </w:p>
        </w:tc>
      </w:tr>
      <w:tr w14:paraId="0BA3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B062">
            <w:pPr>
              <w:pStyle w:val="13"/>
            </w:pPr>
            <w:r>
              <w:t>12</w:t>
            </w:r>
          </w:p>
        </w:tc>
        <w:tc>
          <w:tcPr>
            <w:tcW w:w="4535" w:type="dxa"/>
            <w:vAlign w:val="center"/>
          </w:tcPr>
          <w:p w14:paraId="038D6048">
            <w:pPr>
              <w:pStyle w:val="12"/>
            </w:pPr>
          </w:p>
        </w:tc>
        <w:tc>
          <w:tcPr>
            <w:tcW w:w="2126" w:type="dxa"/>
            <w:vAlign w:val="center"/>
          </w:tcPr>
          <w:p w14:paraId="468EF1AE">
            <w:pPr>
              <w:pStyle w:val="11"/>
            </w:pPr>
          </w:p>
        </w:tc>
        <w:tc>
          <w:tcPr>
            <w:tcW w:w="4535" w:type="dxa"/>
            <w:vAlign w:val="center"/>
          </w:tcPr>
          <w:p w14:paraId="5ABD7101">
            <w:pPr>
              <w:pStyle w:val="12"/>
            </w:pPr>
            <w:r>
              <w:t>十二、城乡社区支出</w:t>
            </w:r>
          </w:p>
        </w:tc>
        <w:tc>
          <w:tcPr>
            <w:tcW w:w="2126" w:type="dxa"/>
            <w:vAlign w:val="center"/>
          </w:tcPr>
          <w:p w14:paraId="7B487177">
            <w:pPr>
              <w:pStyle w:val="11"/>
            </w:pPr>
          </w:p>
        </w:tc>
      </w:tr>
      <w:tr w14:paraId="314E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3E1F">
            <w:pPr>
              <w:pStyle w:val="13"/>
            </w:pPr>
            <w:r>
              <w:t>13</w:t>
            </w:r>
          </w:p>
        </w:tc>
        <w:tc>
          <w:tcPr>
            <w:tcW w:w="4535" w:type="dxa"/>
            <w:vAlign w:val="center"/>
          </w:tcPr>
          <w:p w14:paraId="3A056284">
            <w:pPr>
              <w:pStyle w:val="12"/>
            </w:pPr>
          </w:p>
        </w:tc>
        <w:tc>
          <w:tcPr>
            <w:tcW w:w="2126" w:type="dxa"/>
            <w:vAlign w:val="center"/>
          </w:tcPr>
          <w:p w14:paraId="71E67BC6">
            <w:pPr>
              <w:pStyle w:val="11"/>
            </w:pPr>
          </w:p>
        </w:tc>
        <w:tc>
          <w:tcPr>
            <w:tcW w:w="4535" w:type="dxa"/>
            <w:vAlign w:val="center"/>
          </w:tcPr>
          <w:p w14:paraId="326D01D8">
            <w:pPr>
              <w:pStyle w:val="12"/>
            </w:pPr>
            <w:r>
              <w:t>十三、农林水支出</w:t>
            </w:r>
          </w:p>
        </w:tc>
        <w:tc>
          <w:tcPr>
            <w:tcW w:w="2126" w:type="dxa"/>
            <w:vAlign w:val="center"/>
          </w:tcPr>
          <w:p w14:paraId="35895C43">
            <w:pPr>
              <w:pStyle w:val="11"/>
            </w:pPr>
          </w:p>
        </w:tc>
      </w:tr>
      <w:tr w14:paraId="57BB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97A20">
            <w:pPr>
              <w:pStyle w:val="13"/>
            </w:pPr>
            <w:r>
              <w:t>14</w:t>
            </w:r>
          </w:p>
        </w:tc>
        <w:tc>
          <w:tcPr>
            <w:tcW w:w="4535" w:type="dxa"/>
            <w:vAlign w:val="center"/>
          </w:tcPr>
          <w:p w14:paraId="27444A68">
            <w:pPr>
              <w:pStyle w:val="12"/>
            </w:pPr>
          </w:p>
        </w:tc>
        <w:tc>
          <w:tcPr>
            <w:tcW w:w="2126" w:type="dxa"/>
            <w:vAlign w:val="center"/>
          </w:tcPr>
          <w:p w14:paraId="09F3CAB2">
            <w:pPr>
              <w:pStyle w:val="11"/>
            </w:pPr>
          </w:p>
        </w:tc>
        <w:tc>
          <w:tcPr>
            <w:tcW w:w="4535" w:type="dxa"/>
            <w:vAlign w:val="center"/>
          </w:tcPr>
          <w:p w14:paraId="6400286C">
            <w:pPr>
              <w:pStyle w:val="12"/>
            </w:pPr>
            <w:r>
              <w:t>十四、交通运输支出</w:t>
            </w:r>
          </w:p>
        </w:tc>
        <w:tc>
          <w:tcPr>
            <w:tcW w:w="2126" w:type="dxa"/>
            <w:vAlign w:val="center"/>
          </w:tcPr>
          <w:p w14:paraId="254A8F33">
            <w:pPr>
              <w:pStyle w:val="11"/>
            </w:pPr>
          </w:p>
        </w:tc>
      </w:tr>
      <w:tr w14:paraId="4C579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67D5A">
            <w:pPr>
              <w:pStyle w:val="13"/>
            </w:pPr>
            <w:r>
              <w:t>15</w:t>
            </w:r>
          </w:p>
        </w:tc>
        <w:tc>
          <w:tcPr>
            <w:tcW w:w="4535" w:type="dxa"/>
            <w:vAlign w:val="center"/>
          </w:tcPr>
          <w:p w14:paraId="7DEA7F7E">
            <w:pPr>
              <w:pStyle w:val="12"/>
            </w:pPr>
          </w:p>
        </w:tc>
        <w:tc>
          <w:tcPr>
            <w:tcW w:w="2126" w:type="dxa"/>
            <w:vAlign w:val="center"/>
          </w:tcPr>
          <w:p w14:paraId="67247E8D">
            <w:pPr>
              <w:pStyle w:val="11"/>
            </w:pPr>
          </w:p>
        </w:tc>
        <w:tc>
          <w:tcPr>
            <w:tcW w:w="4535" w:type="dxa"/>
            <w:vAlign w:val="center"/>
          </w:tcPr>
          <w:p w14:paraId="75ED6350">
            <w:pPr>
              <w:pStyle w:val="12"/>
            </w:pPr>
            <w:r>
              <w:t>十五、资源勘探工业信息等支出</w:t>
            </w:r>
          </w:p>
        </w:tc>
        <w:tc>
          <w:tcPr>
            <w:tcW w:w="2126" w:type="dxa"/>
            <w:vAlign w:val="center"/>
          </w:tcPr>
          <w:p w14:paraId="3B8D0663">
            <w:pPr>
              <w:pStyle w:val="11"/>
            </w:pPr>
          </w:p>
        </w:tc>
      </w:tr>
      <w:tr w14:paraId="1048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622E9">
            <w:pPr>
              <w:pStyle w:val="13"/>
            </w:pPr>
            <w:r>
              <w:t>16</w:t>
            </w:r>
          </w:p>
        </w:tc>
        <w:tc>
          <w:tcPr>
            <w:tcW w:w="4535" w:type="dxa"/>
            <w:vAlign w:val="center"/>
          </w:tcPr>
          <w:p w14:paraId="69CB1FB6">
            <w:pPr>
              <w:pStyle w:val="12"/>
            </w:pPr>
          </w:p>
        </w:tc>
        <w:tc>
          <w:tcPr>
            <w:tcW w:w="2126" w:type="dxa"/>
            <w:vAlign w:val="center"/>
          </w:tcPr>
          <w:p w14:paraId="7D150F8F">
            <w:pPr>
              <w:pStyle w:val="11"/>
            </w:pPr>
          </w:p>
        </w:tc>
        <w:tc>
          <w:tcPr>
            <w:tcW w:w="4535" w:type="dxa"/>
            <w:vAlign w:val="center"/>
          </w:tcPr>
          <w:p w14:paraId="05F1671E">
            <w:pPr>
              <w:pStyle w:val="12"/>
            </w:pPr>
            <w:r>
              <w:t>十六、商业服务业等支出</w:t>
            </w:r>
          </w:p>
        </w:tc>
        <w:tc>
          <w:tcPr>
            <w:tcW w:w="2126" w:type="dxa"/>
            <w:vAlign w:val="center"/>
          </w:tcPr>
          <w:p w14:paraId="60E98E2C">
            <w:pPr>
              <w:pStyle w:val="11"/>
            </w:pPr>
          </w:p>
        </w:tc>
      </w:tr>
      <w:tr w14:paraId="1700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1280">
            <w:pPr>
              <w:pStyle w:val="13"/>
            </w:pPr>
            <w:r>
              <w:t>17</w:t>
            </w:r>
          </w:p>
        </w:tc>
        <w:tc>
          <w:tcPr>
            <w:tcW w:w="4535" w:type="dxa"/>
            <w:vAlign w:val="center"/>
          </w:tcPr>
          <w:p w14:paraId="5FFCD1BC">
            <w:pPr>
              <w:pStyle w:val="12"/>
            </w:pPr>
          </w:p>
        </w:tc>
        <w:tc>
          <w:tcPr>
            <w:tcW w:w="2126" w:type="dxa"/>
            <w:vAlign w:val="center"/>
          </w:tcPr>
          <w:p w14:paraId="1C6C031B">
            <w:pPr>
              <w:pStyle w:val="11"/>
            </w:pPr>
          </w:p>
        </w:tc>
        <w:tc>
          <w:tcPr>
            <w:tcW w:w="4535" w:type="dxa"/>
            <w:vAlign w:val="center"/>
          </w:tcPr>
          <w:p w14:paraId="1E501D8F">
            <w:pPr>
              <w:pStyle w:val="12"/>
            </w:pPr>
            <w:r>
              <w:t>十七、金融支出</w:t>
            </w:r>
          </w:p>
        </w:tc>
        <w:tc>
          <w:tcPr>
            <w:tcW w:w="2126" w:type="dxa"/>
            <w:vAlign w:val="center"/>
          </w:tcPr>
          <w:p w14:paraId="71DB61CE">
            <w:pPr>
              <w:pStyle w:val="11"/>
            </w:pPr>
          </w:p>
        </w:tc>
      </w:tr>
      <w:tr w14:paraId="6EBC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6A7B">
            <w:pPr>
              <w:pStyle w:val="13"/>
            </w:pPr>
            <w:r>
              <w:t>18</w:t>
            </w:r>
          </w:p>
        </w:tc>
        <w:tc>
          <w:tcPr>
            <w:tcW w:w="4535" w:type="dxa"/>
            <w:vAlign w:val="center"/>
          </w:tcPr>
          <w:p w14:paraId="06D9C736">
            <w:pPr>
              <w:pStyle w:val="12"/>
            </w:pPr>
          </w:p>
        </w:tc>
        <w:tc>
          <w:tcPr>
            <w:tcW w:w="2126" w:type="dxa"/>
            <w:vAlign w:val="center"/>
          </w:tcPr>
          <w:p w14:paraId="57F06E36">
            <w:pPr>
              <w:pStyle w:val="11"/>
            </w:pPr>
          </w:p>
        </w:tc>
        <w:tc>
          <w:tcPr>
            <w:tcW w:w="4535" w:type="dxa"/>
            <w:vAlign w:val="center"/>
          </w:tcPr>
          <w:p w14:paraId="17B02480">
            <w:pPr>
              <w:pStyle w:val="12"/>
            </w:pPr>
            <w:r>
              <w:t>十八、援助其他地区支出</w:t>
            </w:r>
          </w:p>
        </w:tc>
        <w:tc>
          <w:tcPr>
            <w:tcW w:w="2126" w:type="dxa"/>
            <w:vAlign w:val="center"/>
          </w:tcPr>
          <w:p w14:paraId="6C97CBCA">
            <w:pPr>
              <w:pStyle w:val="11"/>
            </w:pPr>
          </w:p>
        </w:tc>
      </w:tr>
      <w:tr w14:paraId="0B1E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FF23">
            <w:pPr>
              <w:pStyle w:val="13"/>
            </w:pPr>
            <w:r>
              <w:t>19</w:t>
            </w:r>
          </w:p>
        </w:tc>
        <w:tc>
          <w:tcPr>
            <w:tcW w:w="4535" w:type="dxa"/>
            <w:vAlign w:val="center"/>
          </w:tcPr>
          <w:p w14:paraId="1E8476C1">
            <w:pPr>
              <w:pStyle w:val="12"/>
            </w:pPr>
          </w:p>
        </w:tc>
        <w:tc>
          <w:tcPr>
            <w:tcW w:w="2126" w:type="dxa"/>
            <w:vAlign w:val="center"/>
          </w:tcPr>
          <w:p w14:paraId="035307F4">
            <w:pPr>
              <w:pStyle w:val="11"/>
            </w:pPr>
          </w:p>
        </w:tc>
        <w:tc>
          <w:tcPr>
            <w:tcW w:w="4535" w:type="dxa"/>
            <w:vAlign w:val="center"/>
          </w:tcPr>
          <w:p w14:paraId="22A678EC">
            <w:pPr>
              <w:pStyle w:val="12"/>
            </w:pPr>
            <w:r>
              <w:t>十九、自然资源海洋气象等支出</w:t>
            </w:r>
          </w:p>
        </w:tc>
        <w:tc>
          <w:tcPr>
            <w:tcW w:w="2126" w:type="dxa"/>
            <w:vAlign w:val="center"/>
          </w:tcPr>
          <w:p w14:paraId="1933CFC9">
            <w:pPr>
              <w:pStyle w:val="11"/>
            </w:pPr>
          </w:p>
        </w:tc>
      </w:tr>
      <w:tr w14:paraId="56A4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37314">
            <w:pPr>
              <w:pStyle w:val="13"/>
            </w:pPr>
            <w:r>
              <w:t>20</w:t>
            </w:r>
          </w:p>
        </w:tc>
        <w:tc>
          <w:tcPr>
            <w:tcW w:w="4535" w:type="dxa"/>
            <w:vAlign w:val="center"/>
          </w:tcPr>
          <w:p w14:paraId="5C47370F">
            <w:pPr>
              <w:pStyle w:val="12"/>
            </w:pPr>
          </w:p>
        </w:tc>
        <w:tc>
          <w:tcPr>
            <w:tcW w:w="2126" w:type="dxa"/>
            <w:vAlign w:val="center"/>
          </w:tcPr>
          <w:p w14:paraId="3E4DC467">
            <w:pPr>
              <w:pStyle w:val="11"/>
            </w:pPr>
          </w:p>
        </w:tc>
        <w:tc>
          <w:tcPr>
            <w:tcW w:w="4535" w:type="dxa"/>
            <w:vAlign w:val="center"/>
          </w:tcPr>
          <w:p w14:paraId="69C180FC">
            <w:pPr>
              <w:pStyle w:val="12"/>
            </w:pPr>
            <w:r>
              <w:t>二十、住房保障支出</w:t>
            </w:r>
          </w:p>
        </w:tc>
        <w:tc>
          <w:tcPr>
            <w:tcW w:w="2126" w:type="dxa"/>
            <w:vAlign w:val="center"/>
          </w:tcPr>
          <w:p w14:paraId="29AF59F4">
            <w:pPr>
              <w:pStyle w:val="11"/>
            </w:pPr>
          </w:p>
        </w:tc>
      </w:tr>
      <w:tr w14:paraId="0D43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7A369">
            <w:pPr>
              <w:pStyle w:val="13"/>
            </w:pPr>
            <w:r>
              <w:t>21</w:t>
            </w:r>
          </w:p>
        </w:tc>
        <w:tc>
          <w:tcPr>
            <w:tcW w:w="4535" w:type="dxa"/>
            <w:vAlign w:val="center"/>
          </w:tcPr>
          <w:p w14:paraId="3FFDC981">
            <w:pPr>
              <w:pStyle w:val="12"/>
            </w:pPr>
          </w:p>
        </w:tc>
        <w:tc>
          <w:tcPr>
            <w:tcW w:w="2126" w:type="dxa"/>
            <w:vAlign w:val="center"/>
          </w:tcPr>
          <w:p w14:paraId="12758293">
            <w:pPr>
              <w:pStyle w:val="11"/>
            </w:pPr>
          </w:p>
        </w:tc>
        <w:tc>
          <w:tcPr>
            <w:tcW w:w="4535" w:type="dxa"/>
            <w:vAlign w:val="center"/>
          </w:tcPr>
          <w:p w14:paraId="186644B5">
            <w:pPr>
              <w:pStyle w:val="12"/>
            </w:pPr>
            <w:r>
              <w:t>二十一、粮油物资储备支出</w:t>
            </w:r>
          </w:p>
        </w:tc>
        <w:tc>
          <w:tcPr>
            <w:tcW w:w="2126" w:type="dxa"/>
            <w:vAlign w:val="center"/>
          </w:tcPr>
          <w:p w14:paraId="0C0E0FAC">
            <w:pPr>
              <w:pStyle w:val="11"/>
            </w:pPr>
          </w:p>
        </w:tc>
      </w:tr>
      <w:tr w14:paraId="2478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DBE8">
            <w:pPr>
              <w:pStyle w:val="13"/>
            </w:pPr>
            <w:r>
              <w:t>22</w:t>
            </w:r>
          </w:p>
        </w:tc>
        <w:tc>
          <w:tcPr>
            <w:tcW w:w="4535" w:type="dxa"/>
            <w:vAlign w:val="center"/>
          </w:tcPr>
          <w:p w14:paraId="472D9D68">
            <w:pPr>
              <w:pStyle w:val="12"/>
            </w:pPr>
          </w:p>
        </w:tc>
        <w:tc>
          <w:tcPr>
            <w:tcW w:w="2126" w:type="dxa"/>
            <w:vAlign w:val="center"/>
          </w:tcPr>
          <w:p w14:paraId="6FD4BFBB">
            <w:pPr>
              <w:pStyle w:val="11"/>
            </w:pPr>
          </w:p>
        </w:tc>
        <w:tc>
          <w:tcPr>
            <w:tcW w:w="4535" w:type="dxa"/>
            <w:vAlign w:val="center"/>
          </w:tcPr>
          <w:p w14:paraId="2EB30DFD">
            <w:pPr>
              <w:pStyle w:val="12"/>
            </w:pPr>
            <w:r>
              <w:t>二十二、国有资本经营预算支出</w:t>
            </w:r>
          </w:p>
        </w:tc>
        <w:tc>
          <w:tcPr>
            <w:tcW w:w="2126" w:type="dxa"/>
            <w:vAlign w:val="center"/>
          </w:tcPr>
          <w:p w14:paraId="7B351525">
            <w:pPr>
              <w:pStyle w:val="11"/>
            </w:pPr>
          </w:p>
        </w:tc>
      </w:tr>
      <w:tr w14:paraId="2134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8348">
            <w:pPr>
              <w:pStyle w:val="13"/>
            </w:pPr>
            <w:r>
              <w:t>23</w:t>
            </w:r>
          </w:p>
        </w:tc>
        <w:tc>
          <w:tcPr>
            <w:tcW w:w="4535" w:type="dxa"/>
            <w:vAlign w:val="center"/>
          </w:tcPr>
          <w:p w14:paraId="1E5AAD84">
            <w:pPr>
              <w:pStyle w:val="12"/>
            </w:pPr>
          </w:p>
        </w:tc>
        <w:tc>
          <w:tcPr>
            <w:tcW w:w="2126" w:type="dxa"/>
            <w:vAlign w:val="center"/>
          </w:tcPr>
          <w:p w14:paraId="489441AF">
            <w:pPr>
              <w:pStyle w:val="11"/>
            </w:pPr>
          </w:p>
        </w:tc>
        <w:tc>
          <w:tcPr>
            <w:tcW w:w="4535" w:type="dxa"/>
            <w:vAlign w:val="center"/>
          </w:tcPr>
          <w:p w14:paraId="6A1838EE">
            <w:pPr>
              <w:pStyle w:val="12"/>
            </w:pPr>
            <w:r>
              <w:t>二十三、灾害防治及应急管理支出</w:t>
            </w:r>
          </w:p>
        </w:tc>
        <w:tc>
          <w:tcPr>
            <w:tcW w:w="2126" w:type="dxa"/>
            <w:vAlign w:val="center"/>
          </w:tcPr>
          <w:p w14:paraId="3655B374">
            <w:pPr>
              <w:pStyle w:val="11"/>
            </w:pPr>
          </w:p>
        </w:tc>
      </w:tr>
      <w:tr w14:paraId="1304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9395">
            <w:pPr>
              <w:pStyle w:val="13"/>
            </w:pPr>
            <w:r>
              <w:t>24</w:t>
            </w:r>
          </w:p>
        </w:tc>
        <w:tc>
          <w:tcPr>
            <w:tcW w:w="4535" w:type="dxa"/>
            <w:vAlign w:val="center"/>
          </w:tcPr>
          <w:p w14:paraId="6A6B4E06">
            <w:pPr>
              <w:pStyle w:val="12"/>
            </w:pPr>
          </w:p>
        </w:tc>
        <w:tc>
          <w:tcPr>
            <w:tcW w:w="2126" w:type="dxa"/>
            <w:vAlign w:val="center"/>
          </w:tcPr>
          <w:p w14:paraId="08FBD840">
            <w:pPr>
              <w:pStyle w:val="11"/>
            </w:pPr>
          </w:p>
        </w:tc>
        <w:tc>
          <w:tcPr>
            <w:tcW w:w="4535" w:type="dxa"/>
            <w:vAlign w:val="center"/>
          </w:tcPr>
          <w:p w14:paraId="4FAC5D74">
            <w:pPr>
              <w:pStyle w:val="12"/>
            </w:pPr>
            <w:r>
              <w:t>二十四、预备费</w:t>
            </w:r>
          </w:p>
        </w:tc>
        <w:tc>
          <w:tcPr>
            <w:tcW w:w="2126" w:type="dxa"/>
            <w:vAlign w:val="center"/>
          </w:tcPr>
          <w:p w14:paraId="40084172">
            <w:pPr>
              <w:pStyle w:val="11"/>
            </w:pPr>
          </w:p>
        </w:tc>
      </w:tr>
      <w:tr w14:paraId="4CE9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DCEED">
            <w:pPr>
              <w:pStyle w:val="13"/>
            </w:pPr>
            <w:r>
              <w:t>25</w:t>
            </w:r>
          </w:p>
        </w:tc>
        <w:tc>
          <w:tcPr>
            <w:tcW w:w="4535" w:type="dxa"/>
            <w:vAlign w:val="center"/>
          </w:tcPr>
          <w:p w14:paraId="2C2A8C0F">
            <w:pPr>
              <w:pStyle w:val="12"/>
            </w:pPr>
          </w:p>
        </w:tc>
        <w:tc>
          <w:tcPr>
            <w:tcW w:w="2126" w:type="dxa"/>
            <w:vAlign w:val="center"/>
          </w:tcPr>
          <w:p w14:paraId="3F75406F">
            <w:pPr>
              <w:pStyle w:val="11"/>
            </w:pPr>
          </w:p>
        </w:tc>
        <w:tc>
          <w:tcPr>
            <w:tcW w:w="4535" w:type="dxa"/>
            <w:vAlign w:val="center"/>
          </w:tcPr>
          <w:p w14:paraId="4D9EE6A8">
            <w:pPr>
              <w:pStyle w:val="12"/>
            </w:pPr>
            <w:r>
              <w:t>二十五、其他支出</w:t>
            </w:r>
          </w:p>
        </w:tc>
        <w:tc>
          <w:tcPr>
            <w:tcW w:w="2126" w:type="dxa"/>
            <w:vAlign w:val="center"/>
          </w:tcPr>
          <w:p w14:paraId="2E0F8144">
            <w:pPr>
              <w:pStyle w:val="11"/>
            </w:pPr>
          </w:p>
        </w:tc>
      </w:tr>
      <w:tr w14:paraId="5713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03504">
            <w:pPr>
              <w:pStyle w:val="13"/>
            </w:pPr>
            <w:r>
              <w:t>26</w:t>
            </w:r>
          </w:p>
        </w:tc>
        <w:tc>
          <w:tcPr>
            <w:tcW w:w="4535" w:type="dxa"/>
            <w:vAlign w:val="center"/>
          </w:tcPr>
          <w:p w14:paraId="10FFE21F">
            <w:pPr>
              <w:pStyle w:val="12"/>
            </w:pPr>
          </w:p>
        </w:tc>
        <w:tc>
          <w:tcPr>
            <w:tcW w:w="2126" w:type="dxa"/>
            <w:vAlign w:val="center"/>
          </w:tcPr>
          <w:p w14:paraId="0DF3D275">
            <w:pPr>
              <w:pStyle w:val="11"/>
            </w:pPr>
          </w:p>
        </w:tc>
        <w:tc>
          <w:tcPr>
            <w:tcW w:w="4535" w:type="dxa"/>
            <w:vAlign w:val="center"/>
          </w:tcPr>
          <w:p w14:paraId="67FC64F6">
            <w:pPr>
              <w:pStyle w:val="12"/>
            </w:pPr>
            <w:r>
              <w:t>二十六、转移性支出</w:t>
            </w:r>
          </w:p>
        </w:tc>
        <w:tc>
          <w:tcPr>
            <w:tcW w:w="2126" w:type="dxa"/>
            <w:vAlign w:val="center"/>
          </w:tcPr>
          <w:p w14:paraId="3F273FC2">
            <w:pPr>
              <w:pStyle w:val="11"/>
            </w:pPr>
          </w:p>
        </w:tc>
      </w:tr>
      <w:tr w14:paraId="3A72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35340">
            <w:pPr>
              <w:pStyle w:val="13"/>
            </w:pPr>
            <w:r>
              <w:t>27</w:t>
            </w:r>
          </w:p>
        </w:tc>
        <w:tc>
          <w:tcPr>
            <w:tcW w:w="4535" w:type="dxa"/>
            <w:vAlign w:val="center"/>
          </w:tcPr>
          <w:p w14:paraId="1E811636">
            <w:pPr>
              <w:pStyle w:val="12"/>
            </w:pPr>
          </w:p>
        </w:tc>
        <w:tc>
          <w:tcPr>
            <w:tcW w:w="2126" w:type="dxa"/>
            <w:vAlign w:val="center"/>
          </w:tcPr>
          <w:p w14:paraId="51D11D85">
            <w:pPr>
              <w:pStyle w:val="11"/>
            </w:pPr>
          </w:p>
        </w:tc>
        <w:tc>
          <w:tcPr>
            <w:tcW w:w="4535" w:type="dxa"/>
            <w:vAlign w:val="center"/>
          </w:tcPr>
          <w:p w14:paraId="48AC4FF4">
            <w:pPr>
              <w:pStyle w:val="12"/>
            </w:pPr>
            <w:r>
              <w:t>二十七、债务还本支出</w:t>
            </w:r>
          </w:p>
        </w:tc>
        <w:tc>
          <w:tcPr>
            <w:tcW w:w="2126" w:type="dxa"/>
            <w:vAlign w:val="center"/>
          </w:tcPr>
          <w:p w14:paraId="6B85C8F8">
            <w:pPr>
              <w:pStyle w:val="11"/>
            </w:pPr>
          </w:p>
        </w:tc>
      </w:tr>
      <w:tr w14:paraId="7B81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EF32">
            <w:pPr>
              <w:pStyle w:val="13"/>
            </w:pPr>
            <w:r>
              <w:t>28</w:t>
            </w:r>
          </w:p>
        </w:tc>
        <w:tc>
          <w:tcPr>
            <w:tcW w:w="4535" w:type="dxa"/>
            <w:vAlign w:val="center"/>
          </w:tcPr>
          <w:p w14:paraId="37416C6A">
            <w:pPr>
              <w:pStyle w:val="12"/>
            </w:pPr>
          </w:p>
        </w:tc>
        <w:tc>
          <w:tcPr>
            <w:tcW w:w="2126" w:type="dxa"/>
            <w:vAlign w:val="center"/>
          </w:tcPr>
          <w:p w14:paraId="3BE61848">
            <w:pPr>
              <w:pStyle w:val="11"/>
            </w:pPr>
          </w:p>
        </w:tc>
        <w:tc>
          <w:tcPr>
            <w:tcW w:w="4535" w:type="dxa"/>
            <w:vAlign w:val="center"/>
          </w:tcPr>
          <w:p w14:paraId="3CB52C6F">
            <w:pPr>
              <w:pStyle w:val="12"/>
            </w:pPr>
            <w:r>
              <w:t>二十八、债务付息支出</w:t>
            </w:r>
          </w:p>
        </w:tc>
        <w:tc>
          <w:tcPr>
            <w:tcW w:w="2126" w:type="dxa"/>
            <w:vAlign w:val="center"/>
          </w:tcPr>
          <w:p w14:paraId="114A0177">
            <w:pPr>
              <w:pStyle w:val="11"/>
            </w:pPr>
          </w:p>
        </w:tc>
      </w:tr>
      <w:tr w14:paraId="592FCADD">
        <w:tblPrEx>
          <w:tblCellMar>
            <w:top w:w="0" w:type="dxa"/>
            <w:left w:w="108" w:type="dxa"/>
            <w:bottom w:w="0" w:type="dxa"/>
            <w:right w:w="108" w:type="dxa"/>
          </w:tblCellMar>
        </w:tblPrEx>
        <w:trPr>
          <w:trHeight w:val="369" w:hRule="atLeast"/>
          <w:jc w:val="center"/>
        </w:trPr>
        <w:tc>
          <w:tcPr>
            <w:tcW w:w="850" w:type="dxa"/>
            <w:vAlign w:val="center"/>
          </w:tcPr>
          <w:p w14:paraId="56742D55">
            <w:pPr>
              <w:pStyle w:val="13"/>
            </w:pPr>
            <w:r>
              <w:t>29</w:t>
            </w:r>
          </w:p>
        </w:tc>
        <w:tc>
          <w:tcPr>
            <w:tcW w:w="4535" w:type="dxa"/>
            <w:vAlign w:val="center"/>
          </w:tcPr>
          <w:p w14:paraId="36E4A671">
            <w:pPr>
              <w:pStyle w:val="12"/>
            </w:pPr>
          </w:p>
        </w:tc>
        <w:tc>
          <w:tcPr>
            <w:tcW w:w="2126" w:type="dxa"/>
            <w:vAlign w:val="center"/>
          </w:tcPr>
          <w:p w14:paraId="6E7E9750">
            <w:pPr>
              <w:pStyle w:val="11"/>
            </w:pPr>
          </w:p>
        </w:tc>
        <w:tc>
          <w:tcPr>
            <w:tcW w:w="4535" w:type="dxa"/>
            <w:vAlign w:val="center"/>
          </w:tcPr>
          <w:p w14:paraId="21DB99AA">
            <w:pPr>
              <w:pStyle w:val="12"/>
            </w:pPr>
            <w:r>
              <w:t>二十九、债务发行费用支出</w:t>
            </w:r>
          </w:p>
        </w:tc>
        <w:tc>
          <w:tcPr>
            <w:tcW w:w="2126" w:type="dxa"/>
            <w:vAlign w:val="center"/>
          </w:tcPr>
          <w:p w14:paraId="6C2992D1">
            <w:pPr>
              <w:pStyle w:val="11"/>
            </w:pPr>
          </w:p>
        </w:tc>
      </w:tr>
      <w:tr w14:paraId="67BFB7F4">
        <w:tblPrEx>
          <w:tblCellMar>
            <w:top w:w="0" w:type="dxa"/>
            <w:left w:w="108" w:type="dxa"/>
            <w:bottom w:w="0" w:type="dxa"/>
            <w:right w:w="108" w:type="dxa"/>
          </w:tblCellMar>
        </w:tblPrEx>
        <w:trPr>
          <w:trHeight w:val="369" w:hRule="atLeast"/>
          <w:jc w:val="center"/>
        </w:trPr>
        <w:tc>
          <w:tcPr>
            <w:tcW w:w="850" w:type="dxa"/>
            <w:vAlign w:val="center"/>
          </w:tcPr>
          <w:p w14:paraId="4AEE0D02">
            <w:pPr>
              <w:pStyle w:val="13"/>
            </w:pPr>
            <w:r>
              <w:t>30</w:t>
            </w:r>
          </w:p>
        </w:tc>
        <w:tc>
          <w:tcPr>
            <w:tcW w:w="4535" w:type="dxa"/>
            <w:vAlign w:val="center"/>
          </w:tcPr>
          <w:p w14:paraId="544FC505">
            <w:pPr>
              <w:pStyle w:val="12"/>
            </w:pPr>
          </w:p>
        </w:tc>
        <w:tc>
          <w:tcPr>
            <w:tcW w:w="2126" w:type="dxa"/>
            <w:vAlign w:val="center"/>
          </w:tcPr>
          <w:p w14:paraId="22317E4E">
            <w:pPr>
              <w:pStyle w:val="11"/>
            </w:pPr>
          </w:p>
        </w:tc>
        <w:tc>
          <w:tcPr>
            <w:tcW w:w="4535" w:type="dxa"/>
            <w:vAlign w:val="center"/>
          </w:tcPr>
          <w:p w14:paraId="7DEC7CE7">
            <w:pPr>
              <w:pStyle w:val="12"/>
            </w:pPr>
            <w:r>
              <w:t>三十、抗疫特别国债安排的支出</w:t>
            </w:r>
          </w:p>
        </w:tc>
        <w:tc>
          <w:tcPr>
            <w:tcW w:w="2126" w:type="dxa"/>
            <w:vAlign w:val="center"/>
          </w:tcPr>
          <w:p w14:paraId="5DEC1CA6">
            <w:pPr>
              <w:pStyle w:val="11"/>
            </w:pPr>
          </w:p>
        </w:tc>
      </w:tr>
      <w:tr w14:paraId="05DB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FC8F2">
            <w:pPr>
              <w:pStyle w:val="13"/>
            </w:pPr>
            <w:r>
              <w:t>31</w:t>
            </w:r>
          </w:p>
        </w:tc>
        <w:tc>
          <w:tcPr>
            <w:tcW w:w="4535" w:type="dxa"/>
            <w:vAlign w:val="center"/>
          </w:tcPr>
          <w:p w14:paraId="7F04D529">
            <w:pPr>
              <w:pStyle w:val="14"/>
            </w:pPr>
            <w:r>
              <w:t>本年收入合计</w:t>
            </w:r>
          </w:p>
        </w:tc>
        <w:tc>
          <w:tcPr>
            <w:tcW w:w="2126" w:type="dxa"/>
            <w:vAlign w:val="center"/>
          </w:tcPr>
          <w:p w14:paraId="1B51225C">
            <w:pPr>
              <w:pStyle w:val="15"/>
            </w:pPr>
            <w:r>
              <w:t>2136.41</w:t>
            </w:r>
          </w:p>
        </w:tc>
        <w:tc>
          <w:tcPr>
            <w:tcW w:w="4535" w:type="dxa"/>
            <w:vAlign w:val="center"/>
          </w:tcPr>
          <w:p w14:paraId="42FEA03F">
            <w:pPr>
              <w:pStyle w:val="14"/>
            </w:pPr>
            <w:r>
              <w:t>本年支出合计</w:t>
            </w:r>
          </w:p>
        </w:tc>
        <w:tc>
          <w:tcPr>
            <w:tcW w:w="2126" w:type="dxa"/>
            <w:vAlign w:val="center"/>
          </w:tcPr>
          <w:p w14:paraId="214CF9B7">
            <w:pPr>
              <w:pStyle w:val="15"/>
            </w:pPr>
            <w:r>
              <w:t>2136.41</w:t>
            </w:r>
          </w:p>
        </w:tc>
      </w:tr>
      <w:tr w14:paraId="3228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F22CE">
            <w:pPr>
              <w:pStyle w:val="13"/>
            </w:pPr>
            <w:r>
              <w:t>32</w:t>
            </w:r>
          </w:p>
        </w:tc>
        <w:tc>
          <w:tcPr>
            <w:tcW w:w="4535" w:type="dxa"/>
            <w:vAlign w:val="center"/>
          </w:tcPr>
          <w:p w14:paraId="6C85FA02">
            <w:pPr>
              <w:pStyle w:val="12"/>
            </w:pPr>
            <w:r>
              <w:t>上年结转结余</w:t>
            </w:r>
          </w:p>
        </w:tc>
        <w:tc>
          <w:tcPr>
            <w:tcW w:w="2126" w:type="dxa"/>
            <w:vAlign w:val="center"/>
          </w:tcPr>
          <w:p w14:paraId="5DF8EFEF">
            <w:pPr>
              <w:pStyle w:val="11"/>
            </w:pPr>
          </w:p>
        </w:tc>
        <w:tc>
          <w:tcPr>
            <w:tcW w:w="4535" w:type="dxa"/>
            <w:vAlign w:val="center"/>
          </w:tcPr>
          <w:p w14:paraId="271236DC">
            <w:pPr>
              <w:pStyle w:val="12"/>
            </w:pPr>
            <w:r>
              <w:t>年终结转结余</w:t>
            </w:r>
          </w:p>
        </w:tc>
        <w:tc>
          <w:tcPr>
            <w:tcW w:w="2126" w:type="dxa"/>
            <w:vAlign w:val="center"/>
          </w:tcPr>
          <w:p w14:paraId="2DD619A3">
            <w:pPr>
              <w:pStyle w:val="11"/>
            </w:pPr>
          </w:p>
        </w:tc>
      </w:tr>
      <w:tr w14:paraId="1163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148FD">
            <w:pPr>
              <w:pStyle w:val="13"/>
            </w:pPr>
            <w:r>
              <w:t>33</w:t>
            </w:r>
          </w:p>
        </w:tc>
        <w:tc>
          <w:tcPr>
            <w:tcW w:w="4535" w:type="dxa"/>
            <w:vAlign w:val="center"/>
          </w:tcPr>
          <w:p w14:paraId="5D2CA5A2">
            <w:pPr>
              <w:pStyle w:val="14"/>
            </w:pPr>
            <w:r>
              <w:t>收入总计</w:t>
            </w:r>
          </w:p>
        </w:tc>
        <w:tc>
          <w:tcPr>
            <w:tcW w:w="2126" w:type="dxa"/>
            <w:vAlign w:val="center"/>
          </w:tcPr>
          <w:p w14:paraId="3C352C1F">
            <w:pPr>
              <w:pStyle w:val="15"/>
            </w:pPr>
            <w:r>
              <w:t>2136.41</w:t>
            </w:r>
          </w:p>
        </w:tc>
        <w:tc>
          <w:tcPr>
            <w:tcW w:w="4535" w:type="dxa"/>
            <w:vAlign w:val="center"/>
          </w:tcPr>
          <w:p w14:paraId="4138E50F">
            <w:pPr>
              <w:pStyle w:val="14"/>
            </w:pPr>
            <w:r>
              <w:t>支出总计</w:t>
            </w:r>
          </w:p>
        </w:tc>
        <w:tc>
          <w:tcPr>
            <w:tcW w:w="2126" w:type="dxa"/>
            <w:vAlign w:val="center"/>
          </w:tcPr>
          <w:p w14:paraId="4018AE3D">
            <w:pPr>
              <w:pStyle w:val="15"/>
            </w:pPr>
            <w:r>
              <w:t>2136.41</w:t>
            </w:r>
          </w:p>
        </w:tc>
      </w:tr>
    </w:tbl>
    <w:p w14:paraId="34EE5EE6">
      <w:pPr>
        <w:sectPr>
          <w:pgSz w:w="16840" w:h="11900" w:orient="landscape"/>
          <w:pgMar w:top="1361" w:right="1020" w:bottom="1134" w:left="1020" w:header="720" w:footer="720" w:gutter="0"/>
          <w:cols w:space="720" w:num="1"/>
        </w:sectPr>
      </w:pPr>
    </w:p>
    <w:p w14:paraId="085DC4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52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89326F">
            <w:pPr>
              <w:pStyle w:val="9"/>
            </w:pPr>
            <w:r>
              <w:t>360020隆尧县双碑校区</w:t>
            </w:r>
          </w:p>
        </w:tc>
        <w:tc>
          <w:tcPr>
            <w:tcW w:w="3402" w:type="dxa"/>
            <w:gridSpan w:val="3"/>
            <w:tcBorders>
              <w:top w:val="single" w:color="FFFFFF" w:sz="6" w:space="0"/>
              <w:left w:val="single" w:color="FFFFFF" w:sz="6" w:space="0"/>
              <w:right w:val="single" w:color="FFFFFF" w:sz="6" w:space="0"/>
            </w:tcBorders>
            <w:vAlign w:val="center"/>
          </w:tcPr>
          <w:p w14:paraId="1629FBB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D919F27">
            <w:pPr>
              <w:pStyle w:val="7"/>
            </w:pPr>
            <w:r>
              <w:t>单位：万元</w:t>
            </w:r>
          </w:p>
        </w:tc>
      </w:tr>
      <w:tr w14:paraId="23F8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405CAD">
            <w:pPr>
              <w:pStyle w:val="10"/>
            </w:pPr>
            <w:r>
              <w:t>序号</w:t>
            </w:r>
          </w:p>
        </w:tc>
        <w:tc>
          <w:tcPr>
            <w:tcW w:w="2551" w:type="dxa"/>
            <w:gridSpan w:val="2"/>
            <w:vAlign w:val="center"/>
          </w:tcPr>
          <w:p w14:paraId="045CB690">
            <w:pPr>
              <w:pStyle w:val="10"/>
            </w:pPr>
            <w:r>
              <w:t>功能分类科目</w:t>
            </w:r>
          </w:p>
        </w:tc>
        <w:tc>
          <w:tcPr>
            <w:tcW w:w="1134" w:type="dxa"/>
            <w:vMerge w:val="restart"/>
            <w:vAlign w:val="center"/>
          </w:tcPr>
          <w:p w14:paraId="7BBCFDC7">
            <w:pPr>
              <w:pStyle w:val="10"/>
            </w:pPr>
            <w:r>
              <w:t>合计</w:t>
            </w:r>
          </w:p>
        </w:tc>
        <w:tc>
          <w:tcPr>
            <w:tcW w:w="9072" w:type="dxa"/>
            <w:gridSpan w:val="8"/>
            <w:vAlign w:val="center"/>
          </w:tcPr>
          <w:p w14:paraId="3BAFA5C2">
            <w:pPr>
              <w:pStyle w:val="10"/>
            </w:pPr>
            <w:r>
              <w:t>本年收入</w:t>
            </w:r>
          </w:p>
        </w:tc>
        <w:tc>
          <w:tcPr>
            <w:tcW w:w="1134" w:type="dxa"/>
            <w:vMerge w:val="restart"/>
            <w:vAlign w:val="center"/>
          </w:tcPr>
          <w:p w14:paraId="72802FD6">
            <w:pPr>
              <w:pStyle w:val="10"/>
            </w:pPr>
            <w:r>
              <w:t>上年结转</w:t>
            </w:r>
          </w:p>
        </w:tc>
      </w:tr>
      <w:tr w14:paraId="6CBD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52E523"/>
        </w:tc>
        <w:tc>
          <w:tcPr>
            <w:tcW w:w="992" w:type="dxa"/>
            <w:vAlign w:val="center"/>
          </w:tcPr>
          <w:p w14:paraId="422FBF75">
            <w:pPr>
              <w:pStyle w:val="10"/>
            </w:pPr>
            <w:r>
              <w:t>科目    编码</w:t>
            </w:r>
          </w:p>
        </w:tc>
        <w:tc>
          <w:tcPr>
            <w:tcW w:w="1559" w:type="dxa"/>
            <w:vAlign w:val="center"/>
          </w:tcPr>
          <w:p w14:paraId="51123080">
            <w:pPr>
              <w:pStyle w:val="10"/>
            </w:pPr>
            <w:r>
              <w:t>科目名称</w:t>
            </w:r>
          </w:p>
        </w:tc>
        <w:tc>
          <w:tcPr>
            <w:tcW w:w="1134" w:type="dxa"/>
            <w:vMerge w:val="continue"/>
          </w:tcPr>
          <w:p w14:paraId="6421CEDA"/>
        </w:tc>
        <w:tc>
          <w:tcPr>
            <w:tcW w:w="1134" w:type="dxa"/>
            <w:vAlign w:val="center"/>
          </w:tcPr>
          <w:p w14:paraId="2A9A78BA">
            <w:pPr>
              <w:pStyle w:val="10"/>
            </w:pPr>
            <w:r>
              <w:t>小计</w:t>
            </w:r>
          </w:p>
        </w:tc>
        <w:tc>
          <w:tcPr>
            <w:tcW w:w="1134" w:type="dxa"/>
            <w:vAlign w:val="center"/>
          </w:tcPr>
          <w:p w14:paraId="1D3AFDD9">
            <w:pPr>
              <w:pStyle w:val="10"/>
            </w:pPr>
            <w:r>
              <w:t>财政拨款 收入</w:t>
            </w:r>
          </w:p>
        </w:tc>
        <w:tc>
          <w:tcPr>
            <w:tcW w:w="1134" w:type="dxa"/>
            <w:vAlign w:val="center"/>
          </w:tcPr>
          <w:p w14:paraId="24E3FEF4">
            <w:pPr>
              <w:pStyle w:val="10"/>
            </w:pPr>
            <w:r>
              <w:t>财政专户 收入</w:t>
            </w:r>
          </w:p>
        </w:tc>
        <w:tc>
          <w:tcPr>
            <w:tcW w:w="1134" w:type="dxa"/>
            <w:vAlign w:val="center"/>
          </w:tcPr>
          <w:p w14:paraId="4998C258">
            <w:pPr>
              <w:pStyle w:val="10"/>
            </w:pPr>
            <w:r>
              <w:t>事业收入</w:t>
            </w:r>
          </w:p>
        </w:tc>
        <w:tc>
          <w:tcPr>
            <w:tcW w:w="1134" w:type="dxa"/>
            <w:vAlign w:val="center"/>
          </w:tcPr>
          <w:p w14:paraId="62A0EFAF">
            <w:pPr>
              <w:pStyle w:val="10"/>
            </w:pPr>
            <w:r>
              <w:t>经营收入</w:t>
            </w:r>
          </w:p>
        </w:tc>
        <w:tc>
          <w:tcPr>
            <w:tcW w:w="1134" w:type="dxa"/>
            <w:vAlign w:val="center"/>
          </w:tcPr>
          <w:p w14:paraId="5FC30957">
            <w:pPr>
              <w:pStyle w:val="10"/>
            </w:pPr>
            <w:r>
              <w:t>上级补助收入</w:t>
            </w:r>
          </w:p>
        </w:tc>
        <w:tc>
          <w:tcPr>
            <w:tcW w:w="1134" w:type="dxa"/>
            <w:vAlign w:val="center"/>
          </w:tcPr>
          <w:p w14:paraId="391B07C0">
            <w:pPr>
              <w:pStyle w:val="10"/>
            </w:pPr>
            <w:r>
              <w:t>附属单位上缴收入</w:t>
            </w:r>
          </w:p>
        </w:tc>
        <w:tc>
          <w:tcPr>
            <w:tcW w:w="1134" w:type="dxa"/>
            <w:vAlign w:val="center"/>
          </w:tcPr>
          <w:p w14:paraId="6817663A">
            <w:pPr>
              <w:pStyle w:val="10"/>
            </w:pPr>
            <w:r>
              <w:t>其他收入</w:t>
            </w:r>
          </w:p>
        </w:tc>
        <w:tc>
          <w:tcPr>
            <w:tcW w:w="1134" w:type="dxa"/>
            <w:vMerge w:val="continue"/>
          </w:tcPr>
          <w:p w14:paraId="4451475E"/>
        </w:tc>
      </w:tr>
      <w:tr w14:paraId="0FCC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DB9EA0">
            <w:pPr>
              <w:pStyle w:val="10"/>
            </w:pPr>
            <w:r>
              <w:t>栏次</w:t>
            </w:r>
          </w:p>
        </w:tc>
        <w:tc>
          <w:tcPr>
            <w:tcW w:w="992" w:type="dxa"/>
            <w:vAlign w:val="center"/>
          </w:tcPr>
          <w:p w14:paraId="54DBE5B8">
            <w:pPr>
              <w:pStyle w:val="10"/>
            </w:pPr>
            <w:r>
              <w:t>1</w:t>
            </w:r>
          </w:p>
        </w:tc>
        <w:tc>
          <w:tcPr>
            <w:tcW w:w="1559" w:type="dxa"/>
            <w:vAlign w:val="center"/>
          </w:tcPr>
          <w:p w14:paraId="4A872E34">
            <w:pPr>
              <w:pStyle w:val="10"/>
            </w:pPr>
            <w:r>
              <w:t>2</w:t>
            </w:r>
          </w:p>
        </w:tc>
        <w:tc>
          <w:tcPr>
            <w:tcW w:w="1134" w:type="dxa"/>
            <w:vAlign w:val="center"/>
          </w:tcPr>
          <w:p w14:paraId="7F60A00C">
            <w:pPr>
              <w:pStyle w:val="10"/>
            </w:pPr>
            <w:r>
              <w:t>3</w:t>
            </w:r>
          </w:p>
        </w:tc>
        <w:tc>
          <w:tcPr>
            <w:tcW w:w="1134" w:type="dxa"/>
            <w:vAlign w:val="center"/>
          </w:tcPr>
          <w:p w14:paraId="7976A5F8">
            <w:pPr>
              <w:pStyle w:val="10"/>
            </w:pPr>
            <w:r>
              <w:t>4</w:t>
            </w:r>
          </w:p>
        </w:tc>
        <w:tc>
          <w:tcPr>
            <w:tcW w:w="1134" w:type="dxa"/>
            <w:vAlign w:val="center"/>
          </w:tcPr>
          <w:p w14:paraId="48BF5D68">
            <w:pPr>
              <w:pStyle w:val="10"/>
            </w:pPr>
            <w:r>
              <w:t>5</w:t>
            </w:r>
          </w:p>
        </w:tc>
        <w:tc>
          <w:tcPr>
            <w:tcW w:w="1134" w:type="dxa"/>
            <w:vAlign w:val="center"/>
          </w:tcPr>
          <w:p w14:paraId="347C425F">
            <w:pPr>
              <w:pStyle w:val="10"/>
            </w:pPr>
            <w:r>
              <w:t>6</w:t>
            </w:r>
          </w:p>
        </w:tc>
        <w:tc>
          <w:tcPr>
            <w:tcW w:w="1134" w:type="dxa"/>
            <w:vAlign w:val="center"/>
          </w:tcPr>
          <w:p w14:paraId="35546A8D">
            <w:pPr>
              <w:pStyle w:val="10"/>
            </w:pPr>
            <w:r>
              <w:t>7</w:t>
            </w:r>
          </w:p>
        </w:tc>
        <w:tc>
          <w:tcPr>
            <w:tcW w:w="1134" w:type="dxa"/>
            <w:vAlign w:val="center"/>
          </w:tcPr>
          <w:p w14:paraId="4278D2AD">
            <w:pPr>
              <w:pStyle w:val="10"/>
            </w:pPr>
            <w:r>
              <w:t>8</w:t>
            </w:r>
          </w:p>
        </w:tc>
        <w:tc>
          <w:tcPr>
            <w:tcW w:w="1134" w:type="dxa"/>
            <w:vAlign w:val="center"/>
          </w:tcPr>
          <w:p w14:paraId="6D63347F">
            <w:pPr>
              <w:pStyle w:val="10"/>
            </w:pPr>
            <w:r>
              <w:t>9</w:t>
            </w:r>
          </w:p>
        </w:tc>
        <w:tc>
          <w:tcPr>
            <w:tcW w:w="1134" w:type="dxa"/>
            <w:vAlign w:val="center"/>
          </w:tcPr>
          <w:p w14:paraId="2B7E8C8C">
            <w:pPr>
              <w:pStyle w:val="10"/>
            </w:pPr>
            <w:r>
              <w:t>10</w:t>
            </w:r>
          </w:p>
        </w:tc>
        <w:tc>
          <w:tcPr>
            <w:tcW w:w="1134" w:type="dxa"/>
            <w:vAlign w:val="center"/>
          </w:tcPr>
          <w:p w14:paraId="6BE23E4D">
            <w:pPr>
              <w:pStyle w:val="10"/>
            </w:pPr>
            <w:r>
              <w:t>11</w:t>
            </w:r>
          </w:p>
        </w:tc>
        <w:tc>
          <w:tcPr>
            <w:tcW w:w="1134" w:type="dxa"/>
            <w:vAlign w:val="center"/>
          </w:tcPr>
          <w:p w14:paraId="189496EB">
            <w:pPr>
              <w:pStyle w:val="10"/>
            </w:pPr>
            <w:r>
              <w:t>12</w:t>
            </w:r>
          </w:p>
        </w:tc>
      </w:tr>
      <w:tr w14:paraId="60BB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27ED7">
            <w:pPr>
              <w:pStyle w:val="13"/>
            </w:pPr>
            <w:r>
              <w:t>1</w:t>
            </w:r>
          </w:p>
        </w:tc>
        <w:tc>
          <w:tcPr>
            <w:tcW w:w="992" w:type="dxa"/>
            <w:vAlign w:val="center"/>
          </w:tcPr>
          <w:p w14:paraId="7B2FAC90">
            <w:pPr>
              <w:pStyle w:val="16"/>
            </w:pPr>
          </w:p>
        </w:tc>
        <w:tc>
          <w:tcPr>
            <w:tcW w:w="1559" w:type="dxa"/>
            <w:vAlign w:val="center"/>
          </w:tcPr>
          <w:p w14:paraId="324BB0C5">
            <w:pPr>
              <w:pStyle w:val="14"/>
            </w:pPr>
            <w:r>
              <w:t>合计</w:t>
            </w:r>
          </w:p>
        </w:tc>
        <w:tc>
          <w:tcPr>
            <w:tcW w:w="1134" w:type="dxa"/>
            <w:vAlign w:val="center"/>
          </w:tcPr>
          <w:p w14:paraId="5B5ABBAE">
            <w:pPr>
              <w:pStyle w:val="15"/>
            </w:pPr>
            <w:r>
              <w:t>2136.41</w:t>
            </w:r>
          </w:p>
        </w:tc>
        <w:tc>
          <w:tcPr>
            <w:tcW w:w="1134" w:type="dxa"/>
            <w:vAlign w:val="center"/>
          </w:tcPr>
          <w:p w14:paraId="47582F95">
            <w:pPr>
              <w:pStyle w:val="15"/>
            </w:pPr>
            <w:r>
              <w:t>2136.41</w:t>
            </w:r>
          </w:p>
        </w:tc>
        <w:tc>
          <w:tcPr>
            <w:tcW w:w="1134" w:type="dxa"/>
            <w:vAlign w:val="center"/>
          </w:tcPr>
          <w:p w14:paraId="7C739036">
            <w:pPr>
              <w:pStyle w:val="15"/>
            </w:pPr>
            <w:r>
              <w:t>2136.41</w:t>
            </w:r>
          </w:p>
        </w:tc>
        <w:tc>
          <w:tcPr>
            <w:tcW w:w="1134" w:type="dxa"/>
            <w:vAlign w:val="center"/>
          </w:tcPr>
          <w:p w14:paraId="7DD56794">
            <w:pPr>
              <w:pStyle w:val="15"/>
            </w:pPr>
          </w:p>
        </w:tc>
        <w:tc>
          <w:tcPr>
            <w:tcW w:w="1134" w:type="dxa"/>
            <w:vAlign w:val="center"/>
          </w:tcPr>
          <w:p w14:paraId="389FDCFF">
            <w:pPr>
              <w:pStyle w:val="15"/>
            </w:pPr>
          </w:p>
        </w:tc>
        <w:tc>
          <w:tcPr>
            <w:tcW w:w="1134" w:type="dxa"/>
            <w:vAlign w:val="center"/>
          </w:tcPr>
          <w:p w14:paraId="6C7A7D44">
            <w:pPr>
              <w:pStyle w:val="15"/>
            </w:pPr>
          </w:p>
        </w:tc>
        <w:tc>
          <w:tcPr>
            <w:tcW w:w="1134" w:type="dxa"/>
            <w:vAlign w:val="center"/>
          </w:tcPr>
          <w:p w14:paraId="4E49E9A6">
            <w:pPr>
              <w:pStyle w:val="15"/>
            </w:pPr>
          </w:p>
        </w:tc>
        <w:tc>
          <w:tcPr>
            <w:tcW w:w="1134" w:type="dxa"/>
            <w:vAlign w:val="center"/>
          </w:tcPr>
          <w:p w14:paraId="14EB597B">
            <w:pPr>
              <w:pStyle w:val="15"/>
            </w:pPr>
          </w:p>
        </w:tc>
        <w:tc>
          <w:tcPr>
            <w:tcW w:w="1134" w:type="dxa"/>
            <w:vAlign w:val="center"/>
          </w:tcPr>
          <w:p w14:paraId="6DAE8E0F">
            <w:pPr>
              <w:pStyle w:val="15"/>
            </w:pPr>
          </w:p>
        </w:tc>
        <w:tc>
          <w:tcPr>
            <w:tcW w:w="1134" w:type="dxa"/>
            <w:vAlign w:val="center"/>
          </w:tcPr>
          <w:p w14:paraId="6FA8CA13">
            <w:pPr>
              <w:pStyle w:val="15"/>
            </w:pPr>
          </w:p>
        </w:tc>
      </w:tr>
      <w:tr w14:paraId="60DB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1CE46">
            <w:pPr>
              <w:pStyle w:val="13"/>
            </w:pPr>
            <w:r>
              <w:t>2</w:t>
            </w:r>
          </w:p>
        </w:tc>
        <w:tc>
          <w:tcPr>
            <w:tcW w:w="992" w:type="dxa"/>
            <w:vAlign w:val="center"/>
          </w:tcPr>
          <w:p w14:paraId="7A9CCDC0">
            <w:pPr>
              <w:pStyle w:val="12"/>
            </w:pPr>
            <w:r>
              <w:t>205</w:t>
            </w:r>
          </w:p>
        </w:tc>
        <w:tc>
          <w:tcPr>
            <w:tcW w:w="1559" w:type="dxa"/>
            <w:vAlign w:val="center"/>
          </w:tcPr>
          <w:p w14:paraId="3DA4621C">
            <w:pPr>
              <w:pStyle w:val="12"/>
            </w:pPr>
            <w:r>
              <w:t>教育支出</w:t>
            </w:r>
          </w:p>
        </w:tc>
        <w:tc>
          <w:tcPr>
            <w:tcW w:w="1134" w:type="dxa"/>
            <w:vAlign w:val="center"/>
          </w:tcPr>
          <w:p w14:paraId="249E2548">
            <w:pPr>
              <w:pStyle w:val="11"/>
            </w:pPr>
            <w:r>
              <w:t>2136.41</w:t>
            </w:r>
          </w:p>
        </w:tc>
        <w:tc>
          <w:tcPr>
            <w:tcW w:w="1134" w:type="dxa"/>
            <w:vAlign w:val="center"/>
          </w:tcPr>
          <w:p w14:paraId="425782C3">
            <w:pPr>
              <w:pStyle w:val="11"/>
            </w:pPr>
            <w:r>
              <w:t>2136.41</w:t>
            </w:r>
          </w:p>
        </w:tc>
        <w:tc>
          <w:tcPr>
            <w:tcW w:w="1134" w:type="dxa"/>
            <w:vAlign w:val="center"/>
          </w:tcPr>
          <w:p w14:paraId="4B84E20A">
            <w:pPr>
              <w:pStyle w:val="11"/>
            </w:pPr>
            <w:r>
              <w:t>2136.41</w:t>
            </w:r>
          </w:p>
        </w:tc>
        <w:tc>
          <w:tcPr>
            <w:tcW w:w="1134" w:type="dxa"/>
            <w:vAlign w:val="center"/>
          </w:tcPr>
          <w:p w14:paraId="1C6EA953">
            <w:pPr>
              <w:pStyle w:val="11"/>
            </w:pPr>
          </w:p>
        </w:tc>
        <w:tc>
          <w:tcPr>
            <w:tcW w:w="1134" w:type="dxa"/>
            <w:vAlign w:val="center"/>
          </w:tcPr>
          <w:p w14:paraId="14326961">
            <w:pPr>
              <w:pStyle w:val="11"/>
            </w:pPr>
          </w:p>
        </w:tc>
        <w:tc>
          <w:tcPr>
            <w:tcW w:w="1134" w:type="dxa"/>
            <w:vAlign w:val="center"/>
          </w:tcPr>
          <w:p w14:paraId="6C1B94F6">
            <w:pPr>
              <w:pStyle w:val="11"/>
            </w:pPr>
          </w:p>
        </w:tc>
        <w:tc>
          <w:tcPr>
            <w:tcW w:w="1134" w:type="dxa"/>
            <w:vAlign w:val="center"/>
          </w:tcPr>
          <w:p w14:paraId="0A618E78">
            <w:pPr>
              <w:pStyle w:val="11"/>
            </w:pPr>
          </w:p>
        </w:tc>
        <w:tc>
          <w:tcPr>
            <w:tcW w:w="1134" w:type="dxa"/>
            <w:vAlign w:val="center"/>
          </w:tcPr>
          <w:p w14:paraId="5F7F1D74">
            <w:pPr>
              <w:pStyle w:val="11"/>
            </w:pPr>
          </w:p>
        </w:tc>
        <w:tc>
          <w:tcPr>
            <w:tcW w:w="1134" w:type="dxa"/>
            <w:vAlign w:val="center"/>
          </w:tcPr>
          <w:p w14:paraId="74BAF86B">
            <w:pPr>
              <w:pStyle w:val="11"/>
            </w:pPr>
          </w:p>
        </w:tc>
        <w:tc>
          <w:tcPr>
            <w:tcW w:w="1134" w:type="dxa"/>
            <w:vAlign w:val="center"/>
          </w:tcPr>
          <w:p w14:paraId="5DB14240">
            <w:pPr>
              <w:pStyle w:val="11"/>
            </w:pPr>
          </w:p>
        </w:tc>
      </w:tr>
      <w:tr w14:paraId="0991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A6820">
            <w:pPr>
              <w:pStyle w:val="13"/>
            </w:pPr>
            <w:r>
              <w:t>3</w:t>
            </w:r>
          </w:p>
        </w:tc>
        <w:tc>
          <w:tcPr>
            <w:tcW w:w="992" w:type="dxa"/>
            <w:vAlign w:val="center"/>
          </w:tcPr>
          <w:p w14:paraId="0F701C49">
            <w:pPr>
              <w:pStyle w:val="12"/>
            </w:pPr>
            <w:r>
              <w:t>20502</w:t>
            </w:r>
          </w:p>
        </w:tc>
        <w:tc>
          <w:tcPr>
            <w:tcW w:w="1559" w:type="dxa"/>
            <w:vAlign w:val="center"/>
          </w:tcPr>
          <w:p w14:paraId="1749D78F">
            <w:pPr>
              <w:pStyle w:val="12"/>
            </w:pPr>
            <w:r>
              <w:t>普通教育</w:t>
            </w:r>
          </w:p>
        </w:tc>
        <w:tc>
          <w:tcPr>
            <w:tcW w:w="1134" w:type="dxa"/>
            <w:vAlign w:val="center"/>
          </w:tcPr>
          <w:p w14:paraId="57E64937">
            <w:pPr>
              <w:pStyle w:val="11"/>
            </w:pPr>
            <w:r>
              <w:t>2136.41</w:t>
            </w:r>
          </w:p>
        </w:tc>
        <w:tc>
          <w:tcPr>
            <w:tcW w:w="1134" w:type="dxa"/>
            <w:vAlign w:val="center"/>
          </w:tcPr>
          <w:p w14:paraId="66FF6E83">
            <w:pPr>
              <w:pStyle w:val="11"/>
            </w:pPr>
            <w:r>
              <w:t>2136.41</w:t>
            </w:r>
          </w:p>
        </w:tc>
        <w:tc>
          <w:tcPr>
            <w:tcW w:w="1134" w:type="dxa"/>
            <w:vAlign w:val="center"/>
          </w:tcPr>
          <w:p w14:paraId="424EC885">
            <w:pPr>
              <w:pStyle w:val="11"/>
            </w:pPr>
            <w:r>
              <w:t>2136.41</w:t>
            </w:r>
          </w:p>
        </w:tc>
        <w:tc>
          <w:tcPr>
            <w:tcW w:w="1134" w:type="dxa"/>
            <w:vAlign w:val="center"/>
          </w:tcPr>
          <w:p w14:paraId="0860514C">
            <w:pPr>
              <w:pStyle w:val="11"/>
            </w:pPr>
          </w:p>
        </w:tc>
        <w:tc>
          <w:tcPr>
            <w:tcW w:w="1134" w:type="dxa"/>
            <w:vAlign w:val="center"/>
          </w:tcPr>
          <w:p w14:paraId="411E4959">
            <w:pPr>
              <w:pStyle w:val="11"/>
            </w:pPr>
          </w:p>
        </w:tc>
        <w:tc>
          <w:tcPr>
            <w:tcW w:w="1134" w:type="dxa"/>
            <w:vAlign w:val="center"/>
          </w:tcPr>
          <w:p w14:paraId="40CD4D68">
            <w:pPr>
              <w:pStyle w:val="11"/>
            </w:pPr>
          </w:p>
        </w:tc>
        <w:tc>
          <w:tcPr>
            <w:tcW w:w="1134" w:type="dxa"/>
            <w:vAlign w:val="center"/>
          </w:tcPr>
          <w:p w14:paraId="62874720">
            <w:pPr>
              <w:pStyle w:val="11"/>
            </w:pPr>
          </w:p>
        </w:tc>
        <w:tc>
          <w:tcPr>
            <w:tcW w:w="1134" w:type="dxa"/>
            <w:vAlign w:val="center"/>
          </w:tcPr>
          <w:p w14:paraId="0BAD2B2D">
            <w:pPr>
              <w:pStyle w:val="11"/>
            </w:pPr>
          </w:p>
        </w:tc>
        <w:tc>
          <w:tcPr>
            <w:tcW w:w="1134" w:type="dxa"/>
            <w:vAlign w:val="center"/>
          </w:tcPr>
          <w:p w14:paraId="09679F5F">
            <w:pPr>
              <w:pStyle w:val="11"/>
            </w:pPr>
          </w:p>
        </w:tc>
        <w:tc>
          <w:tcPr>
            <w:tcW w:w="1134" w:type="dxa"/>
            <w:vAlign w:val="center"/>
          </w:tcPr>
          <w:p w14:paraId="049CB90B">
            <w:pPr>
              <w:pStyle w:val="11"/>
            </w:pPr>
          </w:p>
        </w:tc>
      </w:tr>
      <w:tr w14:paraId="5500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C1FF2">
            <w:pPr>
              <w:pStyle w:val="13"/>
            </w:pPr>
            <w:r>
              <w:t>4</w:t>
            </w:r>
          </w:p>
        </w:tc>
        <w:tc>
          <w:tcPr>
            <w:tcW w:w="992" w:type="dxa"/>
            <w:vAlign w:val="center"/>
          </w:tcPr>
          <w:p w14:paraId="1E089761">
            <w:pPr>
              <w:pStyle w:val="12"/>
            </w:pPr>
            <w:r>
              <w:t>2050201</w:t>
            </w:r>
          </w:p>
        </w:tc>
        <w:tc>
          <w:tcPr>
            <w:tcW w:w="1559" w:type="dxa"/>
            <w:vAlign w:val="center"/>
          </w:tcPr>
          <w:p w14:paraId="6EE645BB">
            <w:pPr>
              <w:pStyle w:val="12"/>
            </w:pPr>
            <w:r>
              <w:t>学前教育</w:t>
            </w:r>
          </w:p>
        </w:tc>
        <w:tc>
          <w:tcPr>
            <w:tcW w:w="1134" w:type="dxa"/>
            <w:vAlign w:val="center"/>
          </w:tcPr>
          <w:p w14:paraId="65883293">
            <w:pPr>
              <w:pStyle w:val="11"/>
            </w:pPr>
            <w:r>
              <w:t>159.05</w:t>
            </w:r>
          </w:p>
        </w:tc>
        <w:tc>
          <w:tcPr>
            <w:tcW w:w="1134" w:type="dxa"/>
            <w:vAlign w:val="center"/>
          </w:tcPr>
          <w:p w14:paraId="2B1AC571">
            <w:pPr>
              <w:pStyle w:val="11"/>
            </w:pPr>
            <w:r>
              <w:t>159.05</w:t>
            </w:r>
          </w:p>
        </w:tc>
        <w:tc>
          <w:tcPr>
            <w:tcW w:w="1134" w:type="dxa"/>
            <w:vAlign w:val="center"/>
          </w:tcPr>
          <w:p w14:paraId="564782D7">
            <w:pPr>
              <w:pStyle w:val="11"/>
            </w:pPr>
            <w:r>
              <w:t>159.05</w:t>
            </w:r>
          </w:p>
        </w:tc>
        <w:tc>
          <w:tcPr>
            <w:tcW w:w="1134" w:type="dxa"/>
            <w:vAlign w:val="center"/>
          </w:tcPr>
          <w:p w14:paraId="79AA15FF">
            <w:pPr>
              <w:pStyle w:val="11"/>
            </w:pPr>
          </w:p>
        </w:tc>
        <w:tc>
          <w:tcPr>
            <w:tcW w:w="1134" w:type="dxa"/>
            <w:vAlign w:val="center"/>
          </w:tcPr>
          <w:p w14:paraId="5137B735">
            <w:pPr>
              <w:pStyle w:val="11"/>
            </w:pPr>
          </w:p>
        </w:tc>
        <w:tc>
          <w:tcPr>
            <w:tcW w:w="1134" w:type="dxa"/>
            <w:vAlign w:val="center"/>
          </w:tcPr>
          <w:p w14:paraId="5D1C512A">
            <w:pPr>
              <w:pStyle w:val="11"/>
            </w:pPr>
          </w:p>
        </w:tc>
        <w:tc>
          <w:tcPr>
            <w:tcW w:w="1134" w:type="dxa"/>
            <w:vAlign w:val="center"/>
          </w:tcPr>
          <w:p w14:paraId="7B089BD0">
            <w:pPr>
              <w:pStyle w:val="11"/>
            </w:pPr>
          </w:p>
        </w:tc>
        <w:tc>
          <w:tcPr>
            <w:tcW w:w="1134" w:type="dxa"/>
            <w:vAlign w:val="center"/>
          </w:tcPr>
          <w:p w14:paraId="0B81795C">
            <w:pPr>
              <w:pStyle w:val="11"/>
            </w:pPr>
          </w:p>
        </w:tc>
        <w:tc>
          <w:tcPr>
            <w:tcW w:w="1134" w:type="dxa"/>
            <w:vAlign w:val="center"/>
          </w:tcPr>
          <w:p w14:paraId="4629172E">
            <w:pPr>
              <w:pStyle w:val="11"/>
            </w:pPr>
          </w:p>
        </w:tc>
        <w:tc>
          <w:tcPr>
            <w:tcW w:w="1134" w:type="dxa"/>
            <w:vAlign w:val="center"/>
          </w:tcPr>
          <w:p w14:paraId="2F0FEB69">
            <w:pPr>
              <w:pStyle w:val="11"/>
            </w:pPr>
          </w:p>
        </w:tc>
      </w:tr>
      <w:tr w14:paraId="7908FD85">
        <w:tblPrEx>
          <w:tblCellMar>
            <w:top w:w="0" w:type="dxa"/>
            <w:left w:w="108" w:type="dxa"/>
            <w:bottom w:w="0" w:type="dxa"/>
            <w:right w:w="108" w:type="dxa"/>
          </w:tblCellMar>
        </w:tblPrEx>
        <w:trPr>
          <w:trHeight w:val="369" w:hRule="atLeast"/>
          <w:jc w:val="center"/>
        </w:trPr>
        <w:tc>
          <w:tcPr>
            <w:tcW w:w="680" w:type="dxa"/>
            <w:vAlign w:val="center"/>
          </w:tcPr>
          <w:p w14:paraId="0DC5BFD6">
            <w:pPr>
              <w:pStyle w:val="13"/>
            </w:pPr>
            <w:r>
              <w:t>5</w:t>
            </w:r>
          </w:p>
        </w:tc>
        <w:tc>
          <w:tcPr>
            <w:tcW w:w="992" w:type="dxa"/>
            <w:vAlign w:val="center"/>
          </w:tcPr>
          <w:p w14:paraId="7EA05CB3">
            <w:pPr>
              <w:pStyle w:val="12"/>
            </w:pPr>
            <w:r>
              <w:t>2050202</w:t>
            </w:r>
          </w:p>
        </w:tc>
        <w:tc>
          <w:tcPr>
            <w:tcW w:w="1559" w:type="dxa"/>
            <w:vAlign w:val="center"/>
          </w:tcPr>
          <w:p w14:paraId="3D261D9F">
            <w:pPr>
              <w:pStyle w:val="12"/>
            </w:pPr>
            <w:r>
              <w:t>小学教育</w:t>
            </w:r>
          </w:p>
        </w:tc>
        <w:tc>
          <w:tcPr>
            <w:tcW w:w="1134" w:type="dxa"/>
            <w:vAlign w:val="center"/>
          </w:tcPr>
          <w:p w14:paraId="61196F53">
            <w:pPr>
              <w:pStyle w:val="11"/>
            </w:pPr>
            <w:r>
              <w:t>1977.36</w:t>
            </w:r>
          </w:p>
        </w:tc>
        <w:tc>
          <w:tcPr>
            <w:tcW w:w="1134" w:type="dxa"/>
            <w:vAlign w:val="center"/>
          </w:tcPr>
          <w:p w14:paraId="4D21D357">
            <w:pPr>
              <w:pStyle w:val="11"/>
            </w:pPr>
            <w:r>
              <w:t>1977.36</w:t>
            </w:r>
          </w:p>
        </w:tc>
        <w:tc>
          <w:tcPr>
            <w:tcW w:w="1134" w:type="dxa"/>
            <w:vAlign w:val="center"/>
          </w:tcPr>
          <w:p w14:paraId="0C1321CC">
            <w:pPr>
              <w:pStyle w:val="11"/>
            </w:pPr>
            <w:r>
              <w:t>1977.36</w:t>
            </w:r>
          </w:p>
        </w:tc>
        <w:tc>
          <w:tcPr>
            <w:tcW w:w="1134" w:type="dxa"/>
            <w:vAlign w:val="center"/>
          </w:tcPr>
          <w:p w14:paraId="54F6C610">
            <w:pPr>
              <w:pStyle w:val="11"/>
            </w:pPr>
          </w:p>
        </w:tc>
        <w:tc>
          <w:tcPr>
            <w:tcW w:w="1134" w:type="dxa"/>
            <w:vAlign w:val="center"/>
          </w:tcPr>
          <w:p w14:paraId="3A9E8E79">
            <w:pPr>
              <w:pStyle w:val="11"/>
            </w:pPr>
          </w:p>
        </w:tc>
        <w:tc>
          <w:tcPr>
            <w:tcW w:w="1134" w:type="dxa"/>
            <w:vAlign w:val="center"/>
          </w:tcPr>
          <w:p w14:paraId="3DC38C71">
            <w:pPr>
              <w:pStyle w:val="11"/>
            </w:pPr>
          </w:p>
        </w:tc>
        <w:tc>
          <w:tcPr>
            <w:tcW w:w="1134" w:type="dxa"/>
            <w:vAlign w:val="center"/>
          </w:tcPr>
          <w:p w14:paraId="0D176025">
            <w:pPr>
              <w:pStyle w:val="11"/>
            </w:pPr>
          </w:p>
        </w:tc>
        <w:tc>
          <w:tcPr>
            <w:tcW w:w="1134" w:type="dxa"/>
            <w:vAlign w:val="center"/>
          </w:tcPr>
          <w:p w14:paraId="3B5761C2">
            <w:pPr>
              <w:pStyle w:val="11"/>
            </w:pPr>
          </w:p>
        </w:tc>
        <w:tc>
          <w:tcPr>
            <w:tcW w:w="1134" w:type="dxa"/>
            <w:vAlign w:val="center"/>
          </w:tcPr>
          <w:p w14:paraId="76582C3B">
            <w:pPr>
              <w:pStyle w:val="11"/>
            </w:pPr>
          </w:p>
        </w:tc>
        <w:tc>
          <w:tcPr>
            <w:tcW w:w="1134" w:type="dxa"/>
            <w:vAlign w:val="center"/>
          </w:tcPr>
          <w:p w14:paraId="7E128645">
            <w:pPr>
              <w:pStyle w:val="11"/>
            </w:pPr>
          </w:p>
        </w:tc>
      </w:tr>
    </w:tbl>
    <w:p w14:paraId="17E526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7C01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0F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ADCF9B">
            <w:pPr>
              <w:pStyle w:val="9"/>
            </w:pPr>
            <w:r>
              <w:t>360020隆尧县双碑校区</w:t>
            </w:r>
          </w:p>
        </w:tc>
        <w:tc>
          <w:tcPr>
            <w:tcW w:w="2722" w:type="dxa"/>
            <w:gridSpan w:val="2"/>
            <w:tcBorders>
              <w:top w:val="single" w:color="FFFFFF" w:sz="6" w:space="0"/>
              <w:left w:val="single" w:color="FFFFFF" w:sz="6" w:space="0"/>
              <w:right w:val="single" w:color="FFFFFF" w:sz="6" w:space="0"/>
            </w:tcBorders>
            <w:vAlign w:val="center"/>
          </w:tcPr>
          <w:p w14:paraId="6356C0D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6ACB69">
            <w:pPr>
              <w:pStyle w:val="7"/>
            </w:pPr>
            <w:r>
              <w:t>单位：万元</w:t>
            </w:r>
          </w:p>
        </w:tc>
      </w:tr>
      <w:tr w14:paraId="4125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2D50D">
            <w:pPr>
              <w:pStyle w:val="10"/>
            </w:pPr>
            <w:r>
              <w:t>序号</w:t>
            </w:r>
          </w:p>
        </w:tc>
        <w:tc>
          <w:tcPr>
            <w:tcW w:w="5527" w:type="dxa"/>
            <w:gridSpan w:val="2"/>
            <w:vAlign w:val="center"/>
          </w:tcPr>
          <w:p w14:paraId="31B37AF3">
            <w:pPr>
              <w:pStyle w:val="10"/>
            </w:pPr>
            <w:r>
              <w:t>功能分类科目</w:t>
            </w:r>
          </w:p>
        </w:tc>
        <w:tc>
          <w:tcPr>
            <w:tcW w:w="1361" w:type="dxa"/>
            <w:vMerge w:val="restart"/>
            <w:vAlign w:val="center"/>
          </w:tcPr>
          <w:p w14:paraId="6042AB69">
            <w:pPr>
              <w:pStyle w:val="10"/>
            </w:pPr>
            <w:r>
              <w:t>合计</w:t>
            </w:r>
          </w:p>
        </w:tc>
        <w:tc>
          <w:tcPr>
            <w:tcW w:w="1361" w:type="dxa"/>
            <w:vMerge w:val="restart"/>
            <w:vAlign w:val="center"/>
          </w:tcPr>
          <w:p w14:paraId="0D398A1C">
            <w:pPr>
              <w:pStyle w:val="10"/>
            </w:pPr>
            <w:r>
              <w:t>基本支出</w:t>
            </w:r>
          </w:p>
        </w:tc>
        <w:tc>
          <w:tcPr>
            <w:tcW w:w="1361" w:type="dxa"/>
            <w:vMerge w:val="restart"/>
            <w:vAlign w:val="center"/>
          </w:tcPr>
          <w:p w14:paraId="1C09C91D">
            <w:pPr>
              <w:pStyle w:val="10"/>
            </w:pPr>
            <w:r>
              <w:t>项目支出</w:t>
            </w:r>
          </w:p>
        </w:tc>
        <w:tc>
          <w:tcPr>
            <w:tcW w:w="1361" w:type="dxa"/>
            <w:vMerge w:val="restart"/>
            <w:vAlign w:val="center"/>
          </w:tcPr>
          <w:p w14:paraId="15D88D44">
            <w:pPr>
              <w:pStyle w:val="10"/>
            </w:pPr>
            <w:r>
              <w:t>经营支出</w:t>
            </w:r>
          </w:p>
        </w:tc>
        <w:tc>
          <w:tcPr>
            <w:tcW w:w="1361" w:type="dxa"/>
            <w:vMerge w:val="restart"/>
            <w:vAlign w:val="center"/>
          </w:tcPr>
          <w:p w14:paraId="07965E82">
            <w:pPr>
              <w:pStyle w:val="10"/>
            </w:pPr>
            <w:r>
              <w:t>上解上级     支出</w:t>
            </w:r>
          </w:p>
        </w:tc>
        <w:tc>
          <w:tcPr>
            <w:tcW w:w="1361" w:type="dxa"/>
            <w:vMerge w:val="restart"/>
            <w:vAlign w:val="center"/>
          </w:tcPr>
          <w:p w14:paraId="76059F37">
            <w:pPr>
              <w:pStyle w:val="10"/>
            </w:pPr>
            <w:r>
              <w:t>对附属单位补助支出</w:t>
            </w:r>
          </w:p>
        </w:tc>
      </w:tr>
      <w:tr w14:paraId="437B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4D60A9"/>
        </w:tc>
        <w:tc>
          <w:tcPr>
            <w:tcW w:w="992" w:type="dxa"/>
            <w:vAlign w:val="center"/>
          </w:tcPr>
          <w:p w14:paraId="38274271">
            <w:pPr>
              <w:pStyle w:val="10"/>
            </w:pPr>
            <w:r>
              <w:t>科目    编码</w:t>
            </w:r>
          </w:p>
        </w:tc>
        <w:tc>
          <w:tcPr>
            <w:tcW w:w="4535" w:type="dxa"/>
            <w:vAlign w:val="center"/>
          </w:tcPr>
          <w:p w14:paraId="7E2B5C47">
            <w:pPr>
              <w:pStyle w:val="10"/>
            </w:pPr>
            <w:r>
              <w:t>科目名称</w:t>
            </w:r>
          </w:p>
        </w:tc>
        <w:tc>
          <w:tcPr>
            <w:tcW w:w="1361" w:type="dxa"/>
            <w:vMerge w:val="continue"/>
          </w:tcPr>
          <w:p w14:paraId="646FB320"/>
        </w:tc>
        <w:tc>
          <w:tcPr>
            <w:tcW w:w="1361" w:type="dxa"/>
            <w:vMerge w:val="continue"/>
          </w:tcPr>
          <w:p w14:paraId="05E0F529"/>
        </w:tc>
        <w:tc>
          <w:tcPr>
            <w:tcW w:w="1361" w:type="dxa"/>
            <w:vMerge w:val="continue"/>
          </w:tcPr>
          <w:p w14:paraId="7BEB9D99"/>
        </w:tc>
        <w:tc>
          <w:tcPr>
            <w:tcW w:w="1361" w:type="dxa"/>
            <w:vMerge w:val="continue"/>
          </w:tcPr>
          <w:p w14:paraId="0F8B85E3"/>
        </w:tc>
        <w:tc>
          <w:tcPr>
            <w:tcW w:w="1361" w:type="dxa"/>
            <w:vMerge w:val="continue"/>
          </w:tcPr>
          <w:p w14:paraId="7027F335"/>
        </w:tc>
        <w:tc>
          <w:tcPr>
            <w:tcW w:w="1361" w:type="dxa"/>
            <w:vMerge w:val="continue"/>
          </w:tcPr>
          <w:p w14:paraId="780F2ACA"/>
        </w:tc>
      </w:tr>
      <w:tr w14:paraId="3389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A1C008">
            <w:pPr>
              <w:pStyle w:val="10"/>
            </w:pPr>
            <w:r>
              <w:t>栏次</w:t>
            </w:r>
          </w:p>
        </w:tc>
        <w:tc>
          <w:tcPr>
            <w:tcW w:w="992" w:type="dxa"/>
            <w:vAlign w:val="center"/>
          </w:tcPr>
          <w:p w14:paraId="243FEC6C">
            <w:pPr>
              <w:pStyle w:val="10"/>
            </w:pPr>
            <w:r>
              <w:t>1</w:t>
            </w:r>
          </w:p>
        </w:tc>
        <w:tc>
          <w:tcPr>
            <w:tcW w:w="4535" w:type="dxa"/>
            <w:vAlign w:val="center"/>
          </w:tcPr>
          <w:p w14:paraId="0D05FDFA">
            <w:pPr>
              <w:pStyle w:val="10"/>
            </w:pPr>
            <w:r>
              <w:t>2</w:t>
            </w:r>
          </w:p>
        </w:tc>
        <w:tc>
          <w:tcPr>
            <w:tcW w:w="1361" w:type="dxa"/>
            <w:vAlign w:val="center"/>
          </w:tcPr>
          <w:p w14:paraId="0AA3F5DF">
            <w:pPr>
              <w:pStyle w:val="10"/>
            </w:pPr>
            <w:r>
              <w:t>3</w:t>
            </w:r>
          </w:p>
        </w:tc>
        <w:tc>
          <w:tcPr>
            <w:tcW w:w="1361" w:type="dxa"/>
            <w:vAlign w:val="center"/>
          </w:tcPr>
          <w:p w14:paraId="301C9D2F">
            <w:pPr>
              <w:pStyle w:val="10"/>
            </w:pPr>
            <w:r>
              <w:t>4</w:t>
            </w:r>
          </w:p>
        </w:tc>
        <w:tc>
          <w:tcPr>
            <w:tcW w:w="1361" w:type="dxa"/>
            <w:vAlign w:val="center"/>
          </w:tcPr>
          <w:p w14:paraId="1FCB16EB">
            <w:pPr>
              <w:pStyle w:val="10"/>
            </w:pPr>
            <w:r>
              <w:t>5</w:t>
            </w:r>
          </w:p>
        </w:tc>
        <w:tc>
          <w:tcPr>
            <w:tcW w:w="1361" w:type="dxa"/>
            <w:vAlign w:val="center"/>
          </w:tcPr>
          <w:p w14:paraId="642EC5C5">
            <w:pPr>
              <w:pStyle w:val="10"/>
            </w:pPr>
            <w:r>
              <w:t>6</w:t>
            </w:r>
          </w:p>
        </w:tc>
        <w:tc>
          <w:tcPr>
            <w:tcW w:w="1361" w:type="dxa"/>
            <w:vAlign w:val="center"/>
          </w:tcPr>
          <w:p w14:paraId="12DDFA8E">
            <w:pPr>
              <w:pStyle w:val="10"/>
            </w:pPr>
            <w:r>
              <w:t>7</w:t>
            </w:r>
          </w:p>
        </w:tc>
        <w:tc>
          <w:tcPr>
            <w:tcW w:w="1361" w:type="dxa"/>
            <w:vAlign w:val="center"/>
          </w:tcPr>
          <w:p w14:paraId="7F15AB55">
            <w:pPr>
              <w:pStyle w:val="10"/>
            </w:pPr>
            <w:r>
              <w:t>8</w:t>
            </w:r>
          </w:p>
        </w:tc>
      </w:tr>
      <w:tr w14:paraId="3DE0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DB33">
            <w:pPr>
              <w:pStyle w:val="13"/>
            </w:pPr>
            <w:r>
              <w:t>1</w:t>
            </w:r>
          </w:p>
        </w:tc>
        <w:tc>
          <w:tcPr>
            <w:tcW w:w="992" w:type="dxa"/>
            <w:vAlign w:val="center"/>
          </w:tcPr>
          <w:p w14:paraId="7C8FF267">
            <w:pPr>
              <w:pStyle w:val="16"/>
            </w:pPr>
          </w:p>
        </w:tc>
        <w:tc>
          <w:tcPr>
            <w:tcW w:w="4535" w:type="dxa"/>
            <w:vAlign w:val="center"/>
          </w:tcPr>
          <w:p w14:paraId="48332446">
            <w:pPr>
              <w:pStyle w:val="14"/>
            </w:pPr>
            <w:r>
              <w:t>合计</w:t>
            </w:r>
          </w:p>
        </w:tc>
        <w:tc>
          <w:tcPr>
            <w:tcW w:w="1361" w:type="dxa"/>
            <w:vAlign w:val="center"/>
          </w:tcPr>
          <w:p w14:paraId="03B90925">
            <w:pPr>
              <w:pStyle w:val="15"/>
            </w:pPr>
            <w:r>
              <w:t>2136.41</w:t>
            </w:r>
          </w:p>
        </w:tc>
        <w:tc>
          <w:tcPr>
            <w:tcW w:w="1361" w:type="dxa"/>
            <w:vAlign w:val="center"/>
          </w:tcPr>
          <w:p w14:paraId="1B372ED1">
            <w:pPr>
              <w:pStyle w:val="15"/>
            </w:pPr>
            <w:r>
              <w:t>1560.12</w:t>
            </w:r>
          </w:p>
        </w:tc>
        <w:tc>
          <w:tcPr>
            <w:tcW w:w="1361" w:type="dxa"/>
            <w:vAlign w:val="center"/>
          </w:tcPr>
          <w:p w14:paraId="19C1743F">
            <w:pPr>
              <w:pStyle w:val="15"/>
            </w:pPr>
            <w:r>
              <w:t>576.29</w:t>
            </w:r>
          </w:p>
        </w:tc>
        <w:tc>
          <w:tcPr>
            <w:tcW w:w="1361" w:type="dxa"/>
            <w:vAlign w:val="center"/>
          </w:tcPr>
          <w:p w14:paraId="36840B00">
            <w:pPr>
              <w:pStyle w:val="15"/>
            </w:pPr>
          </w:p>
        </w:tc>
        <w:tc>
          <w:tcPr>
            <w:tcW w:w="1361" w:type="dxa"/>
            <w:vAlign w:val="center"/>
          </w:tcPr>
          <w:p w14:paraId="3F3A9974">
            <w:pPr>
              <w:pStyle w:val="15"/>
            </w:pPr>
          </w:p>
        </w:tc>
        <w:tc>
          <w:tcPr>
            <w:tcW w:w="1361" w:type="dxa"/>
            <w:vAlign w:val="center"/>
          </w:tcPr>
          <w:p w14:paraId="35961C68">
            <w:pPr>
              <w:pStyle w:val="15"/>
            </w:pPr>
          </w:p>
        </w:tc>
      </w:tr>
      <w:tr w14:paraId="4402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F3F0">
            <w:pPr>
              <w:pStyle w:val="13"/>
            </w:pPr>
            <w:r>
              <w:t>2</w:t>
            </w:r>
          </w:p>
        </w:tc>
        <w:tc>
          <w:tcPr>
            <w:tcW w:w="992" w:type="dxa"/>
            <w:vAlign w:val="center"/>
          </w:tcPr>
          <w:p w14:paraId="1B0F12D5">
            <w:pPr>
              <w:pStyle w:val="12"/>
            </w:pPr>
            <w:r>
              <w:t>205</w:t>
            </w:r>
          </w:p>
        </w:tc>
        <w:tc>
          <w:tcPr>
            <w:tcW w:w="4535" w:type="dxa"/>
            <w:vAlign w:val="center"/>
          </w:tcPr>
          <w:p w14:paraId="20E60872">
            <w:pPr>
              <w:pStyle w:val="12"/>
            </w:pPr>
            <w:r>
              <w:t>教育支出</w:t>
            </w:r>
          </w:p>
        </w:tc>
        <w:tc>
          <w:tcPr>
            <w:tcW w:w="1361" w:type="dxa"/>
            <w:vAlign w:val="center"/>
          </w:tcPr>
          <w:p w14:paraId="516044CD">
            <w:pPr>
              <w:pStyle w:val="11"/>
            </w:pPr>
            <w:r>
              <w:t>2136.41</w:t>
            </w:r>
          </w:p>
        </w:tc>
        <w:tc>
          <w:tcPr>
            <w:tcW w:w="1361" w:type="dxa"/>
            <w:vAlign w:val="center"/>
          </w:tcPr>
          <w:p w14:paraId="733128E4">
            <w:pPr>
              <w:pStyle w:val="11"/>
            </w:pPr>
            <w:r>
              <w:t>1560.12</w:t>
            </w:r>
          </w:p>
        </w:tc>
        <w:tc>
          <w:tcPr>
            <w:tcW w:w="1361" w:type="dxa"/>
            <w:vAlign w:val="center"/>
          </w:tcPr>
          <w:p w14:paraId="7836A437">
            <w:pPr>
              <w:pStyle w:val="11"/>
            </w:pPr>
            <w:r>
              <w:t>576.29</w:t>
            </w:r>
          </w:p>
        </w:tc>
        <w:tc>
          <w:tcPr>
            <w:tcW w:w="1361" w:type="dxa"/>
            <w:vAlign w:val="center"/>
          </w:tcPr>
          <w:p w14:paraId="26C957BE">
            <w:pPr>
              <w:pStyle w:val="11"/>
            </w:pPr>
          </w:p>
        </w:tc>
        <w:tc>
          <w:tcPr>
            <w:tcW w:w="1361" w:type="dxa"/>
            <w:vAlign w:val="center"/>
          </w:tcPr>
          <w:p w14:paraId="438F9740">
            <w:pPr>
              <w:pStyle w:val="11"/>
            </w:pPr>
          </w:p>
        </w:tc>
        <w:tc>
          <w:tcPr>
            <w:tcW w:w="1361" w:type="dxa"/>
            <w:vAlign w:val="center"/>
          </w:tcPr>
          <w:p w14:paraId="3F62675F">
            <w:pPr>
              <w:pStyle w:val="11"/>
            </w:pPr>
          </w:p>
        </w:tc>
      </w:tr>
      <w:tr w14:paraId="27D3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72757">
            <w:pPr>
              <w:pStyle w:val="13"/>
            </w:pPr>
            <w:r>
              <w:t>3</w:t>
            </w:r>
          </w:p>
        </w:tc>
        <w:tc>
          <w:tcPr>
            <w:tcW w:w="992" w:type="dxa"/>
            <w:vAlign w:val="center"/>
          </w:tcPr>
          <w:p w14:paraId="5269FC99">
            <w:pPr>
              <w:pStyle w:val="12"/>
            </w:pPr>
            <w:r>
              <w:t>20502</w:t>
            </w:r>
          </w:p>
        </w:tc>
        <w:tc>
          <w:tcPr>
            <w:tcW w:w="4535" w:type="dxa"/>
            <w:vAlign w:val="center"/>
          </w:tcPr>
          <w:p w14:paraId="1044F941">
            <w:pPr>
              <w:pStyle w:val="12"/>
            </w:pPr>
            <w:r>
              <w:t>普通教育</w:t>
            </w:r>
          </w:p>
        </w:tc>
        <w:tc>
          <w:tcPr>
            <w:tcW w:w="1361" w:type="dxa"/>
            <w:vAlign w:val="center"/>
          </w:tcPr>
          <w:p w14:paraId="568130B0">
            <w:pPr>
              <w:pStyle w:val="11"/>
            </w:pPr>
            <w:r>
              <w:t>2136.41</w:t>
            </w:r>
          </w:p>
        </w:tc>
        <w:tc>
          <w:tcPr>
            <w:tcW w:w="1361" w:type="dxa"/>
            <w:vAlign w:val="center"/>
          </w:tcPr>
          <w:p w14:paraId="6F33EDB5">
            <w:pPr>
              <w:pStyle w:val="11"/>
            </w:pPr>
            <w:r>
              <w:t>1560.12</w:t>
            </w:r>
          </w:p>
        </w:tc>
        <w:tc>
          <w:tcPr>
            <w:tcW w:w="1361" w:type="dxa"/>
            <w:vAlign w:val="center"/>
          </w:tcPr>
          <w:p w14:paraId="09DDDB94">
            <w:pPr>
              <w:pStyle w:val="11"/>
            </w:pPr>
            <w:r>
              <w:t>576.29</w:t>
            </w:r>
          </w:p>
        </w:tc>
        <w:tc>
          <w:tcPr>
            <w:tcW w:w="1361" w:type="dxa"/>
            <w:vAlign w:val="center"/>
          </w:tcPr>
          <w:p w14:paraId="0E3D6679">
            <w:pPr>
              <w:pStyle w:val="11"/>
            </w:pPr>
          </w:p>
        </w:tc>
        <w:tc>
          <w:tcPr>
            <w:tcW w:w="1361" w:type="dxa"/>
            <w:vAlign w:val="center"/>
          </w:tcPr>
          <w:p w14:paraId="2D194846">
            <w:pPr>
              <w:pStyle w:val="11"/>
            </w:pPr>
          </w:p>
        </w:tc>
        <w:tc>
          <w:tcPr>
            <w:tcW w:w="1361" w:type="dxa"/>
            <w:vAlign w:val="center"/>
          </w:tcPr>
          <w:p w14:paraId="2465C7AC">
            <w:pPr>
              <w:pStyle w:val="11"/>
            </w:pPr>
          </w:p>
        </w:tc>
      </w:tr>
      <w:tr w14:paraId="4036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4ABAD">
            <w:pPr>
              <w:pStyle w:val="13"/>
            </w:pPr>
            <w:r>
              <w:t>4</w:t>
            </w:r>
          </w:p>
        </w:tc>
        <w:tc>
          <w:tcPr>
            <w:tcW w:w="992" w:type="dxa"/>
            <w:vAlign w:val="center"/>
          </w:tcPr>
          <w:p w14:paraId="050B7677">
            <w:pPr>
              <w:pStyle w:val="12"/>
            </w:pPr>
            <w:r>
              <w:t>2050201</w:t>
            </w:r>
          </w:p>
        </w:tc>
        <w:tc>
          <w:tcPr>
            <w:tcW w:w="4535" w:type="dxa"/>
            <w:vAlign w:val="center"/>
          </w:tcPr>
          <w:p w14:paraId="1499E39E">
            <w:pPr>
              <w:pStyle w:val="12"/>
            </w:pPr>
            <w:r>
              <w:t>学前教育</w:t>
            </w:r>
          </w:p>
        </w:tc>
        <w:tc>
          <w:tcPr>
            <w:tcW w:w="1361" w:type="dxa"/>
            <w:vAlign w:val="center"/>
          </w:tcPr>
          <w:p w14:paraId="17C142E9">
            <w:pPr>
              <w:pStyle w:val="11"/>
            </w:pPr>
            <w:r>
              <w:t>159.05</w:t>
            </w:r>
          </w:p>
        </w:tc>
        <w:tc>
          <w:tcPr>
            <w:tcW w:w="1361" w:type="dxa"/>
            <w:vAlign w:val="center"/>
          </w:tcPr>
          <w:p w14:paraId="4D8703CE">
            <w:pPr>
              <w:pStyle w:val="11"/>
            </w:pPr>
          </w:p>
        </w:tc>
        <w:tc>
          <w:tcPr>
            <w:tcW w:w="1361" w:type="dxa"/>
            <w:vAlign w:val="center"/>
          </w:tcPr>
          <w:p w14:paraId="22D061DA">
            <w:pPr>
              <w:pStyle w:val="11"/>
            </w:pPr>
            <w:r>
              <w:t>159.05</w:t>
            </w:r>
          </w:p>
        </w:tc>
        <w:tc>
          <w:tcPr>
            <w:tcW w:w="1361" w:type="dxa"/>
            <w:vAlign w:val="center"/>
          </w:tcPr>
          <w:p w14:paraId="1E39DC3E">
            <w:pPr>
              <w:pStyle w:val="11"/>
            </w:pPr>
          </w:p>
        </w:tc>
        <w:tc>
          <w:tcPr>
            <w:tcW w:w="1361" w:type="dxa"/>
            <w:vAlign w:val="center"/>
          </w:tcPr>
          <w:p w14:paraId="3EFD6D49">
            <w:pPr>
              <w:pStyle w:val="11"/>
            </w:pPr>
          </w:p>
        </w:tc>
        <w:tc>
          <w:tcPr>
            <w:tcW w:w="1361" w:type="dxa"/>
            <w:vAlign w:val="center"/>
          </w:tcPr>
          <w:p w14:paraId="1DFB8116">
            <w:pPr>
              <w:pStyle w:val="11"/>
            </w:pPr>
          </w:p>
        </w:tc>
      </w:tr>
      <w:tr w14:paraId="538F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349E4">
            <w:pPr>
              <w:pStyle w:val="13"/>
            </w:pPr>
            <w:r>
              <w:t>5</w:t>
            </w:r>
          </w:p>
        </w:tc>
        <w:tc>
          <w:tcPr>
            <w:tcW w:w="992" w:type="dxa"/>
            <w:vAlign w:val="center"/>
          </w:tcPr>
          <w:p w14:paraId="1A03E1C2">
            <w:pPr>
              <w:pStyle w:val="12"/>
            </w:pPr>
            <w:r>
              <w:t>2050202</w:t>
            </w:r>
          </w:p>
        </w:tc>
        <w:tc>
          <w:tcPr>
            <w:tcW w:w="4535" w:type="dxa"/>
            <w:vAlign w:val="center"/>
          </w:tcPr>
          <w:p w14:paraId="37FB0FFD">
            <w:pPr>
              <w:pStyle w:val="12"/>
            </w:pPr>
            <w:r>
              <w:t>小学教育</w:t>
            </w:r>
          </w:p>
        </w:tc>
        <w:tc>
          <w:tcPr>
            <w:tcW w:w="1361" w:type="dxa"/>
            <w:vAlign w:val="center"/>
          </w:tcPr>
          <w:p w14:paraId="602A6151">
            <w:pPr>
              <w:pStyle w:val="11"/>
            </w:pPr>
            <w:r>
              <w:t>1977.36</w:t>
            </w:r>
          </w:p>
        </w:tc>
        <w:tc>
          <w:tcPr>
            <w:tcW w:w="1361" w:type="dxa"/>
            <w:vAlign w:val="center"/>
          </w:tcPr>
          <w:p w14:paraId="40D72E6A">
            <w:pPr>
              <w:pStyle w:val="11"/>
            </w:pPr>
            <w:r>
              <w:t>1560.12</w:t>
            </w:r>
          </w:p>
        </w:tc>
        <w:tc>
          <w:tcPr>
            <w:tcW w:w="1361" w:type="dxa"/>
            <w:vAlign w:val="center"/>
          </w:tcPr>
          <w:p w14:paraId="0EB052AF">
            <w:pPr>
              <w:pStyle w:val="11"/>
            </w:pPr>
            <w:r>
              <w:t>417.24</w:t>
            </w:r>
          </w:p>
        </w:tc>
        <w:tc>
          <w:tcPr>
            <w:tcW w:w="1361" w:type="dxa"/>
            <w:vAlign w:val="center"/>
          </w:tcPr>
          <w:p w14:paraId="6B943000">
            <w:pPr>
              <w:pStyle w:val="11"/>
            </w:pPr>
          </w:p>
        </w:tc>
        <w:tc>
          <w:tcPr>
            <w:tcW w:w="1361" w:type="dxa"/>
            <w:vAlign w:val="center"/>
          </w:tcPr>
          <w:p w14:paraId="2949A065">
            <w:pPr>
              <w:pStyle w:val="11"/>
            </w:pPr>
          </w:p>
        </w:tc>
        <w:tc>
          <w:tcPr>
            <w:tcW w:w="1361" w:type="dxa"/>
            <w:vAlign w:val="center"/>
          </w:tcPr>
          <w:p w14:paraId="62D50606">
            <w:pPr>
              <w:pStyle w:val="11"/>
            </w:pPr>
          </w:p>
        </w:tc>
      </w:tr>
    </w:tbl>
    <w:p w14:paraId="6B1E74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0EC0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56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2C3693">
            <w:pPr>
              <w:pStyle w:val="9"/>
            </w:pPr>
            <w:r>
              <w:t>360020隆尧县双碑校区</w:t>
            </w:r>
          </w:p>
        </w:tc>
        <w:tc>
          <w:tcPr>
            <w:tcW w:w="3402" w:type="dxa"/>
            <w:tcBorders>
              <w:top w:val="single" w:color="FFFFFF" w:sz="6" w:space="0"/>
              <w:left w:val="single" w:color="FFFFFF" w:sz="6" w:space="0"/>
              <w:right w:val="single" w:color="FFFFFF" w:sz="6" w:space="0"/>
            </w:tcBorders>
            <w:vAlign w:val="center"/>
          </w:tcPr>
          <w:p w14:paraId="3CA843D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EC72301">
            <w:pPr>
              <w:pStyle w:val="7"/>
            </w:pPr>
            <w:r>
              <w:t>单位：万元</w:t>
            </w:r>
          </w:p>
        </w:tc>
      </w:tr>
      <w:tr w14:paraId="6A9C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E2C72">
            <w:pPr>
              <w:pStyle w:val="10"/>
            </w:pPr>
            <w:r>
              <w:t>序号</w:t>
            </w:r>
          </w:p>
        </w:tc>
        <w:tc>
          <w:tcPr>
            <w:tcW w:w="4876" w:type="dxa"/>
            <w:gridSpan w:val="2"/>
            <w:vAlign w:val="center"/>
          </w:tcPr>
          <w:p w14:paraId="18570D6E">
            <w:pPr>
              <w:pStyle w:val="10"/>
            </w:pPr>
            <w:r>
              <w:t>收入</w:t>
            </w:r>
          </w:p>
        </w:tc>
        <w:tc>
          <w:tcPr>
            <w:tcW w:w="9298" w:type="dxa"/>
            <w:gridSpan w:val="5"/>
            <w:vAlign w:val="center"/>
          </w:tcPr>
          <w:p w14:paraId="73EB968A">
            <w:pPr>
              <w:pStyle w:val="10"/>
            </w:pPr>
            <w:r>
              <w:t>支出</w:t>
            </w:r>
          </w:p>
        </w:tc>
      </w:tr>
      <w:tr w14:paraId="2150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F75B6B"/>
        </w:tc>
        <w:tc>
          <w:tcPr>
            <w:tcW w:w="3402" w:type="dxa"/>
            <w:vAlign w:val="center"/>
          </w:tcPr>
          <w:p w14:paraId="2F16DA96">
            <w:pPr>
              <w:pStyle w:val="10"/>
            </w:pPr>
            <w:r>
              <w:t>项  目</w:t>
            </w:r>
          </w:p>
        </w:tc>
        <w:tc>
          <w:tcPr>
            <w:tcW w:w="1474" w:type="dxa"/>
            <w:vAlign w:val="center"/>
          </w:tcPr>
          <w:p w14:paraId="3425BBE1">
            <w:pPr>
              <w:pStyle w:val="10"/>
            </w:pPr>
            <w:r>
              <w:t>金额</w:t>
            </w:r>
          </w:p>
        </w:tc>
        <w:tc>
          <w:tcPr>
            <w:tcW w:w="3402" w:type="dxa"/>
            <w:vAlign w:val="center"/>
          </w:tcPr>
          <w:p w14:paraId="73479BD6">
            <w:pPr>
              <w:pStyle w:val="10"/>
            </w:pPr>
            <w:r>
              <w:t>项  目</w:t>
            </w:r>
          </w:p>
        </w:tc>
        <w:tc>
          <w:tcPr>
            <w:tcW w:w="1474" w:type="dxa"/>
            <w:vAlign w:val="center"/>
          </w:tcPr>
          <w:p w14:paraId="349E3557">
            <w:pPr>
              <w:pStyle w:val="10"/>
            </w:pPr>
            <w:r>
              <w:t>合计</w:t>
            </w:r>
          </w:p>
        </w:tc>
        <w:tc>
          <w:tcPr>
            <w:tcW w:w="1474" w:type="dxa"/>
            <w:vAlign w:val="center"/>
          </w:tcPr>
          <w:p w14:paraId="4C6EEB6E">
            <w:pPr>
              <w:pStyle w:val="10"/>
            </w:pPr>
            <w:r>
              <w:t>一般公共预算财政拨款</w:t>
            </w:r>
          </w:p>
        </w:tc>
        <w:tc>
          <w:tcPr>
            <w:tcW w:w="1474" w:type="dxa"/>
            <w:vAlign w:val="center"/>
          </w:tcPr>
          <w:p w14:paraId="2D198A3B">
            <w:pPr>
              <w:pStyle w:val="10"/>
            </w:pPr>
            <w:r>
              <w:t>政府性基金预算财政    拨款</w:t>
            </w:r>
          </w:p>
        </w:tc>
        <w:tc>
          <w:tcPr>
            <w:tcW w:w="1474" w:type="dxa"/>
            <w:vAlign w:val="center"/>
          </w:tcPr>
          <w:p w14:paraId="3F545117">
            <w:pPr>
              <w:pStyle w:val="10"/>
            </w:pPr>
            <w:r>
              <w:t>国有资本经营预算财政拨款</w:t>
            </w:r>
          </w:p>
        </w:tc>
      </w:tr>
      <w:tr w14:paraId="1689F278">
        <w:tblPrEx>
          <w:tblCellMar>
            <w:top w:w="0" w:type="dxa"/>
            <w:left w:w="108" w:type="dxa"/>
            <w:bottom w:w="0" w:type="dxa"/>
            <w:right w:w="108" w:type="dxa"/>
          </w:tblCellMar>
        </w:tblPrEx>
        <w:trPr>
          <w:trHeight w:val="369" w:hRule="atLeast"/>
          <w:tblHeader/>
          <w:jc w:val="center"/>
        </w:trPr>
        <w:tc>
          <w:tcPr>
            <w:tcW w:w="850" w:type="dxa"/>
            <w:vAlign w:val="center"/>
          </w:tcPr>
          <w:p w14:paraId="39491CBF">
            <w:pPr>
              <w:pStyle w:val="10"/>
            </w:pPr>
            <w:r>
              <w:t>栏次</w:t>
            </w:r>
          </w:p>
        </w:tc>
        <w:tc>
          <w:tcPr>
            <w:tcW w:w="3402" w:type="dxa"/>
            <w:vAlign w:val="center"/>
          </w:tcPr>
          <w:p w14:paraId="419EBB1F">
            <w:pPr>
              <w:pStyle w:val="10"/>
            </w:pPr>
            <w:r>
              <w:t>1</w:t>
            </w:r>
          </w:p>
        </w:tc>
        <w:tc>
          <w:tcPr>
            <w:tcW w:w="1474" w:type="dxa"/>
            <w:vAlign w:val="center"/>
          </w:tcPr>
          <w:p w14:paraId="56702EC7">
            <w:pPr>
              <w:pStyle w:val="10"/>
            </w:pPr>
            <w:r>
              <w:t>2</w:t>
            </w:r>
          </w:p>
        </w:tc>
        <w:tc>
          <w:tcPr>
            <w:tcW w:w="3402" w:type="dxa"/>
            <w:vAlign w:val="center"/>
          </w:tcPr>
          <w:p w14:paraId="6E04C626">
            <w:pPr>
              <w:pStyle w:val="10"/>
            </w:pPr>
            <w:r>
              <w:t>3</w:t>
            </w:r>
          </w:p>
        </w:tc>
        <w:tc>
          <w:tcPr>
            <w:tcW w:w="1474" w:type="dxa"/>
            <w:vAlign w:val="center"/>
          </w:tcPr>
          <w:p w14:paraId="21FE640B">
            <w:pPr>
              <w:pStyle w:val="10"/>
            </w:pPr>
            <w:r>
              <w:t>4</w:t>
            </w:r>
          </w:p>
        </w:tc>
        <w:tc>
          <w:tcPr>
            <w:tcW w:w="1474" w:type="dxa"/>
            <w:vAlign w:val="center"/>
          </w:tcPr>
          <w:p w14:paraId="62D27081">
            <w:pPr>
              <w:pStyle w:val="10"/>
            </w:pPr>
            <w:r>
              <w:t>5</w:t>
            </w:r>
          </w:p>
        </w:tc>
        <w:tc>
          <w:tcPr>
            <w:tcW w:w="1474" w:type="dxa"/>
            <w:vAlign w:val="center"/>
          </w:tcPr>
          <w:p w14:paraId="532C0B59">
            <w:pPr>
              <w:pStyle w:val="10"/>
            </w:pPr>
            <w:r>
              <w:t>6</w:t>
            </w:r>
          </w:p>
        </w:tc>
        <w:tc>
          <w:tcPr>
            <w:tcW w:w="1474" w:type="dxa"/>
            <w:vAlign w:val="center"/>
          </w:tcPr>
          <w:p w14:paraId="7CEEBEF1">
            <w:pPr>
              <w:pStyle w:val="10"/>
            </w:pPr>
            <w:r>
              <w:t>7</w:t>
            </w:r>
          </w:p>
        </w:tc>
      </w:tr>
      <w:tr w14:paraId="1BA6E0DF">
        <w:tblPrEx>
          <w:tblCellMar>
            <w:top w:w="0" w:type="dxa"/>
            <w:left w:w="108" w:type="dxa"/>
            <w:bottom w:w="0" w:type="dxa"/>
            <w:right w:w="108" w:type="dxa"/>
          </w:tblCellMar>
        </w:tblPrEx>
        <w:trPr>
          <w:trHeight w:val="369" w:hRule="atLeast"/>
          <w:jc w:val="center"/>
        </w:trPr>
        <w:tc>
          <w:tcPr>
            <w:tcW w:w="850" w:type="dxa"/>
            <w:vAlign w:val="center"/>
          </w:tcPr>
          <w:p w14:paraId="3F318FC6">
            <w:pPr>
              <w:pStyle w:val="13"/>
            </w:pPr>
            <w:r>
              <w:t>1</w:t>
            </w:r>
          </w:p>
        </w:tc>
        <w:tc>
          <w:tcPr>
            <w:tcW w:w="3402" w:type="dxa"/>
            <w:vAlign w:val="center"/>
          </w:tcPr>
          <w:p w14:paraId="7C663950">
            <w:pPr>
              <w:pStyle w:val="12"/>
            </w:pPr>
            <w:r>
              <w:t>一、一般公共预算拨款</w:t>
            </w:r>
          </w:p>
        </w:tc>
        <w:tc>
          <w:tcPr>
            <w:tcW w:w="1474" w:type="dxa"/>
            <w:vAlign w:val="center"/>
          </w:tcPr>
          <w:p w14:paraId="2F8F451E">
            <w:pPr>
              <w:pStyle w:val="11"/>
            </w:pPr>
            <w:r>
              <w:t>2136.41</w:t>
            </w:r>
          </w:p>
        </w:tc>
        <w:tc>
          <w:tcPr>
            <w:tcW w:w="3402" w:type="dxa"/>
            <w:vAlign w:val="center"/>
          </w:tcPr>
          <w:p w14:paraId="0876A2BD">
            <w:pPr>
              <w:pStyle w:val="12"/>
            </w:pPr>
            <w:r>
              <w:t>一、一般公共服务支出</w:t>
            </w:r>
          </w:p>
        </w:tc>
        <w:tc>
          <w:tcPr>
            <w:tcW w:w="1474" w:type="dxa"/>
            <w:vAlign w:val="center"/>
          </w:tcPr>
          <w:p w14:paraId="03F22E5E">
            <w:pPr>
              <w:pStyle w:val="11"/>
            </w:pPr>
          </w:p>
        </w:tc>
        <w:tc>
          <w:tcPr>
            <w:tcW w:w="1474" w:type="dxa"/>
            <w:vAlign w:val="center"/>
          </w:tcPr>
          <w:p w14:paraId="755A7573">
            <w:pPr>
              <w:pStyle w:val="11"/>
            </w:pPr>
          </w:p>
        </w:tc>
        <w:tc>
          <w:tcPr>
            <w:tcW w:w="1474" w:type="dxa"/>
            <w:vAlign w:val="center"/>
          </w:tcPr>
          <w:p w14:paraId="67F09337">
            <w:pPr>
              <w:pStyle w:val="11"/>
            </w:pPr>
          </w:p>
        </w:tc>
        <w:tc>
          <w:tcPr>
            <w:tcW w:w="1474" w:type="dxa"/>
            <w:vAlign w:val="center"/>
          </w:tcPr>
          <w:p w14:paraId="02A2F4E3">
            <w:pPr>
              <w:pStyle w:val="11"/>
            </w:pPr>
          </w:p>
        </w:tc>
      </w:tr>
      <w:tr w14:paraId="7F2A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16A2F">
            <w:pPr>
              <w:pStyle w:val="13"/>
            </w:pPr>
            <w:r>
              <w:t>2</w:t>
            </w:r>
          </w:p>
        </w:tc>
        <w:tc>
          <w:tcPr>
            <w:tcW w:w="3402" w:type="dxa"/>
            <w:vAlign w:val="center"/>
          </w:tcPr>
          <w:p w14:paraId="79343DBB">
            <w:pPr>
              <w:pStyle w:val="12"/>
            </w:pPr>
            <w:r>
              <w:t>二、政府性基金预算拨款</w:t>
            </w:r>
          </w:p>
        </w:tc>
        <w:tc>
          <w:tcPr>
            <w:tcW w:w="1474" w:type="dxa"/>
            <w:vAlign w:val="center"/>
          </w:tcPr>
          <w:p w14:paraId="7EA13F15">
            <w:pPr>
              <w:pStyle w:val="11"/>
            </w:pPr>
          </w:p>
        </w:tc>
        <w:tc>
          <w:tcPr>
            <w:tcW w:w="3402" w:type="dxa"/>
            <w:vAlign w:val="center"/>
          </w:tcPr>
          <w:p w14:paraId="0B070B81">
            <w:pPr>
              <w:pStyle w:val="12"/>
            </w:pPr>
            <w:r>
              <w:t>二、外交支出</w:t>
            </w:r>
          </w:p>
        </w:tc>
        <w:tc>
          <w:tcPr>
            <w:tcW w:w="1474" w:type="dxa"/>
            <w:vAlign w:val="center"/>
          </w:tcPr>
          <w:p w14:paraId="39201714">
            <w:pPr>
              <w:pStyle w:val="11"/>
            </w:pPr>
          </w:p>
        </w:tc>
        <w:tc>
          <w:tcPr>
            <w:tcW w:w="1474" w:type="dxa"/>
            <w:vAlign w:val="center"/>
          </w:tcPr>
          <w:p w14:paraId="10B18EEC">
            <w:pPr>
              <w:pStyle w:val="11"/>
            </w:pPr>
          </w:p>
        </w:tc>
        <w:tc>
          <w:tcPr>
            <w:tcW w:w="1474" w:type="dxa"/>
            <w:vAlign w:val="center"/>
          </w:tcPr>
          <w:p w14:paraId="7B96E92F">
            <w:pPr>
              <w:pStyle w:val="11"/>
            </w:pPr>
          </w:p>
        </w:tc>
        <w:tc>
          <w:tcPr>
            <w:tcW w:w="1474" w:type="dxa"/>
            <w:vAlign w:val="center"/>
          </w:tcPr>
          <w:p w14:paraId="6F58DCCE">
            <w:pPr>
              <w:pStyle w:val="11"/>
            </w:pPr>
          </w:p>
        </w:tc>
      </w:tr>
      <w:tr w14:paraId="01C5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46DEF">
            <w:pPr>
              <w:pStyle w:val="13"/>
            </w:pPr>
            <w:r>
              <w:t>3</w:t>
            </w:r>
          </w:p>
        </w:tc>
        <w:tc>
          <w:tcPr>
            <w:tcW w:w="3402" w:type="dxa"/>
            <w:vAlign w:val="center"/>
          </w:tcPr>
          <w:p w14:paraId="1624D4AB">
            <w:pPr>
              <w:pStyle w:val="12"/>
            </w:pPr>
            <w:r>
              <w:t>三、国有资本经营预算拨款</w:t>
            </w:r>
          </w:p>
        </w:tc>
        <w:tc>
          <w:tcPr>
            <w:tcW w:w="1474" w:type="dxa"/>
            <w:vAlign w:val="center"/>
          </w:tcPr>
          <w:p w14:paraId="14D66C5A">
            <w:pPr>
              <w:pStyle w:val="11"/>
            </w:pPr>
          </w:p>
        </w:tc>
        <w:tc>
          <w:tcPr>
            <w:tcW w:w="3402" w:type="dxa"/>
            <w:vAlign w:val="center"/>
          </w:tcPr>
          <w:p w14:paraId="01EA8D00">
            <w:pPr>
              <w:pStyle w:val="12"/>
            </w:pPr>
            <w:r>
              <w:t>三、国防支出</w:t>
            </w:r>
          </w:p>
        </w:tc>
        <w:tc>
          <w:tcPr>
            <w:tcW w:w="1474" w:type="dxa"/>
            <w:vAlign w:val="center"/>
          </w:tcPr>
          <w:p w14:paraId="76CDADB6">
            <w:pPr>
              <w:pStyle w:val="11"/>
            </w:pPr>
          </w:p>
        </w:tc>
        <w:tc>
          <w:tcPr>
            <w:tcW w:w="1474" w:type="dxa"/>
            <w:vAlign w:val="center"/>
          </w:tcPr>
          <w:p w14:paraId="7A47C6E8">
            <w:pPr>
              <w:pStyle w:val="11"/>
            </w:pPr>
          </w:p>
        </w:tc>
        <w:tc>
          <w:tcPr>
            <w:tcW w:w="1474" w:type="dxa"/>
            <w:vAlign w:val="center"/>
          </w:tcPr>
          <w:p w14:paraId="0434AF4F">
            <w:pPr>
              <w:pStyle w:val="11"/>
            </w:pPr>
          </w:p>
        </w:tc>
        <w:tc>
          <w:tcPr>
            <w:tcW w:w="1474" w:type="dxa"/>
            <w:vAlign w:val="center"/>
          </w:tcPr>
          <w:p w14:paraId="69809B23">
            <w:pPr>
              <w:pStyle w:val="11"/>
            </w:pPr>
          </w:p>
        </w:tc>
      </w:tr>
      <w:tr w14:paraId="329F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9A67">
            <w:pPr>
              <w:pStyle w:val="13"/>
            </w:pPr>
            <w:r>
              <w:t>4</w:t>
            </w:r>
          </w:p>
        </w:tc>
        <w:tc>
          <w:tcPr>
            <w:tcW w:w="3402" w:type="dxa"/>
            <w:vAlign w:val="center"/>
          </w:tcPr>
          <w:p w14:paraId="77E95983">
            <w:pPr>
              <w:pStyle w:val="12"/>
            </w:pPr>
          </w:p>
        </w:tc>
        <w:tc>
          <w:tcPr>
            <w:tcW w:w="1474" w:type="dxa"/>
            <w:vAlign w:val="center"/>
          </w:tcPr>
          <w:p w14:paraId="649EC3D9">
            <w:pPr>
              <w:pStyle w:val="11"/>
            </w:pPr>
          </w:p>
        </w:tc>
        <w:tc>
          <w:tcPr>
            <w:tcW w:w="3402" w:type="dxa"/>
            <w:vAlign w:val="center"/>
          </w:tcPr>
          <w:p w14:paraId="60BD68A9">
            <w:pPr>
              <w:pStyle w:val="12"/>
            </w:pPr>
            <w:r>
              <w:t>四、公共安全支出</w:t>
            </w:r>
          </w:p>
        </w:tc>
        <w:tc>
          <w:tcPr>
            <w:tcW w:w="1474" w:type="dxa"/>
            <w:vAlign w:val="center"/>
          </w:tcPr>
          <w:p w14:paraId="4F079464">
            <w:pPr>
              <w:pStyle w:val="11"/>
            </w:pPr>
          </w:p>
        </w:tc>
        <w:tc>
          <w:tcPr>
            <w:tcW w:w="1474" w:type="dxa"/>
            <w:vAlign w:val="center"/>
          </w:tcPr>
          <w:p w14:paraId="26D3CAF5">
            <w:pPr>
              <w:pStyle w:val="11"/>
            </w:pPr>
          </w:p>
        </w:tc>
        <w:tc>
          <w:tcPr>
            <w:tcW w:w="1474" w:type="dxa"/>
            <w:vAlign w:val="center"/>
          </w:tcPr>
          <w:p w14:paraId="63BDB019">
            <w:pPr>
              <w:pStyle w:val="11"/>
            </w:pPr>
          </w:p>
        </w:tc>
        <w:tc>
          <w:tcPr>
            <w:tcW w:w="1474" w:type="dxa"/>
            <w:vAlign w:val="center"/>
          </w:tcPr>
          <w:p w14:paraId="1A688695">
            <w:pPr>
              <w:pStyle w:val="11"/>
            </w:pPr>
          </w:p>
        </w:tc>
      </w:tr>
      <w:tr w14:paraId="1B5D0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596C">
            <w:pPr>
              <w:pStyle w:val="13"/>
            </w:pPr>
            <w:r>
              <w:t>5</w:t>
            </w:r>
          </w:p>
        </w:tc>
        <w:tc>
          <w:tcPr>
            <w:tcW w:w="3402" w:type="dxa"/>
            <w:vAlign w:val="center"/>
          </w:tcPr>
          <w:p w14:paraId="7D247508">
            <w:pPr>
              <w:pStyle w:val="12"/>
            </w:pPr>
          </w:p>
        </w:tc>
        <w:tc>
          <w:tcPr>
            <w:tcW w:w="1474" w:type="dxa"/>
            <w:vAlign w:val="center"/>
          </w:tcPr>
          <w:p w14:paraId="581785BC">
            <w:pPr>
              <w:pStyle w:val="11"/>
            </w:pPr>
          </w:p>
        </w:tc>
        <w:tc>
          <w:tcPr>
            <w:tcW w:w="3402" w:type="dxa"/>
            <w:vAlign w:val="center"/>
          </w:tcPr>
          <w:p w14:paraId="484AF07D">
            <w:pPr>
              <w:pStyle w:val="12"/>
            </w:pPr>
            <w:r>
              <w:t>五、教育支出</w:t>
            </w:r>
          </w:p>
        </w:tc>
        <w:tc>
          <w:tcPr>
            <w:tcW w:w="1474" w:type="dxa"/>
            <w:vAlign w:val="center"/>
          </w:tcPr>
          <w:p w14:paraId="4DCAD144">
            <w:pPr>
              <w:pStyle w:val="11"/>
            </w:pPr>
            <w:r>
              <w:t>2136.41</w:t>
            </w:r>
          </w:p>
        </w:tc>
        <w:tc>
          <w:tcPr>
            <w:tcW w:w="1474" w:type="dxa"/>
            <w:vAlign w:val="center"/>
          </w:tcPr>
          <w:p w14:paraId="0B41DBCD">
            <w:pPr>
              <w:pStyle w:val="11"/>
            </w:pPr>
            <w:r>
              <w:t>2136.41</w:t>
            </w:r>
          </w:p>
        </w:tc>
        <w:tc>
          <w:tcPr>
            <w:tcW w:w="1474" w:type="dxa"/>
            <w:vAlign w:val="center"/>
          </w:tcPr>
          <w:p w14:paraId="0E3506EC">
            <w:pPr>
              <w:pStyle w:val="11"/>
            </w:pPr>
          </w:p>
        </w:tc>
        <w:tc>
          <w:tcPr>
            <w:tcW w:w="1474" w:type="dxa"/>
            <w:vAlign w:val="center"/>
          </w:tcPr>
          <w:p w14:paraId="49580B94">
            <w:pPr>
              <w:pStyle w:val="11"/>
            </w:pPr>
          </w:p>
        </w:tc>
      </w:tr>
      <w:tr w14:paraId="5C9DD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06235">
            <w:pPr>
              <w:pStyle w:val="13"/>
            </w:pPr>
            <w:r>
              <w:t>6</w:t>
            </w:r>
          </w:p>
        </w:tc>
        <w:tc>
          <w:tcPr>
            <w:tcW w:w="3402" w:type="dxa"/>
            <w:vAlign w:val="center"/>
          </w:tcPr>
          <w:p w14:paraId="418027EF">
            <w:pPr>
              <w:pStyle w:val="12"/>
            </w:pPr>
          </w:p>
        </w:tc>
        <w:tc>
          <w:tcPr>
            <w:tcW w:w="1474" w:type="dxa"/>
            <w:vAlign w:val="center"/>
          </w:tcPr>
          <w:p w14:paraId="365F6581">
            <w:pPr>
              <w:pStyle w:val="11"/>
            </w:pPr>
          </w:p>
        </w:tc>
        <w:tc>
          <w:tcPr>
            <w:tcW w:w="3402" w:type="dxa"/>
            <w:vAlign w:val="center"/>
          </w:tcPr>
          <w:p w14:paraId="1629E267">
            <w:pPr>
              <w:pStyle w:val="12"/>
            </w:pPr>
            <w:r>
              <w:t>六、科学技术支出</w:t>
            </w:r>
          </w:p>
        </w:tc>
        <w:tc>
          <w:tcPr>
            <w:tcW w:w="1474" w:type="dxa"/>
            <w:vAlign w:val="center"/>
          </w:tcPr>
          <w:p w14:paraId="0D73039E">
            <w:pPr>
              <w:pStyle w:val="11"/>
            </w:pPr>
          </w:p>
        </w:tc>
        <w:tc>
          <w:tcPr>
            <w:tcW w:w="1474" w:type="dxa"/>
            <w:vAlign w:val="center"/>
          </w:tcPr>
          <w:p w14:paraId="334C29B3">
            <w:pPr>
              <w:pStyle w:val="11"/>
            </w:pPr>
          </w:p>
        </w:tc>
        <w:tc>
          <w:tcPr>
            <w:tcW w:w="1474" w:type="dxa"/>
            <w:vAlign w:val="center"/>
          </w:tcPr>
          <w:p w14:paraId="12DF039C">
            <w:pPr>
              <w:pStyle w:val="11"/>
            </w:pPr>
          </w:p>
        </w:tc>
        <w:tc>
          <w:tcPr>
            <w:tcW w:w="1474" w:type="dxa"/>
            <w:vAlign w:val="center"/>
          </w:tcPr>
          <w:p w14:paraId="484949FA">
            <w:pPr>
              <w:pStyle w:val="11"/>
            </w:pPr>
          </w:p>
        </w:tc>
      </w:tr>
      <w:tr w14:paraId="310E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4C5A">
            <w:pPr>
              <w:pStyle w:val="13"/>
            </w:pPr>
            <w:r>
              <w:t>7</w:t>
            </w:r>
          </w:p>
        </w:tc>
        <w:tc>
          <w:tcPr>
            <w:tcW w:w="3402" w:type="dxa"/>
            <w:vAlign w:val="center"/>
          </w:tcPr>
          <w:p w14:paraId="72A2901C">
            <w:pPr>
              <w:pStyle w:val="12"/>
            </w:pPr>
          </w:p>
        </w:tc>
        <w:tc>
          <w:tcPr>
            <w:tcW w:w="1474" w:type="dxa"/>
            <w:vAlign w:val="center"/>
          </w:tcPr>
          <w:p w14:paraId="1C3DAD6D">
            <w:pPr>
              <w:pStyle w:val="11"/>
            </w:pPr>
          </w:p>
        </w:tc>
        <w:tc>
          <w:tcPr>
            <w:tcW w:w="3402" w:type="dxa"/>
            <w:vAlign w:val="center"/>
          </w:tcPr>
          <w:p w14:paraId="5A7C871B">
            <w:pPr>
              <w:pStyle w:val="12"/>
            </w:pPr>
            <w:r>
              <w:t>七、文化旅游体育与传媒支出</w:t>
            </w:r>
          </w:p>
        </w:tc>
        <w:tc>
          <w:tcPr>
            <w:tcW w:w="1474" w:type="dxa"/>
            <w:vAlign w:val="center"/>
          </w:tcPr>
          <w:p w14:paraId="64C40610">
            <w:pPr>
              <w:pStyle w:val="11"/>
            </w:pPr>
          </w:p>
        </w:tc>
        <w:tc>
          <w:tcPr>
            <w:tcW w:w="1474" w:type="dxa"/>
            <w:vAlign w:val="center"/>
          </w:tcPr>
          <w:p w14:paraId="7E953BB1">
            <w:pPr>
              <w:pStyle w:val="11"/>
            </w:pPr>
          </w:p>
        </w:tc>
        <w:tc>
          <w:tcPr>
            <w:tcW w:w="1474" w:type="dxa"/>
            <w:vAlign w:val="center"/>
          </w:tcPr>
          <w:p w14:paraId="06614658">
            <w:pPr>
              <w:pStyle w:val="11"/>
            </w:pPr>
          </w:p>
        </w:tc>
        <w:tc>
          <w:tcPr>
            <w:tcW w:w="1474" w:type="dxa"/>
            <w:vAlign w:val="center"/>
          </w:tcPr>
          <w:p w14:paraId="2BECEDB3">
            <w:pPr>
              <w:pStyle w:val="11"/>
            </w:pPr>
          </w:p>
        </w:tc>
      </w:tr>
      <w:tr w14:paraId="5368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39057">
            <w:pPr>
              <w:pStyle w:val="13"/>
            </w:pPr>
            <w:r>
              <w:t>8</w:t>
            </w:r>
          </w:p>
        </w:tc>
        <w:tc>
          <w:tcPr>
            <w:tcW w:w="3402" w:type="dxa"/>
            <w:vAlign w:val="center"/>
          </w:tcPr>
          <w:p w14:paraId="1F6497EA">
            <w:pPr>
              <w:pStyle w:val="12"/>
            </w:pPr>
          </w:p>
        </w:tc>
        <w:tc>
          <w:tcPr>
            <w:tcW w:w="1474" w:type="dxa"/>
            <w:vAlign w:val="center"/>
          </w:tcPr>
          <w:p w14:paraId="19580175">
            <w:pPr>
              <w:pStyle w:val="11"/>
            </w:pPr>
          </w:p>
        </w:tc>
        <w:tc>
          <w:tcPr>
            <w:tcW w:w="3402" w:type="dxa"/>
            <w:vAlign w:val="center"/>
          </w:tcPr>
          <w:p w14:paraId="74631D54">
            <w:pPr>
              <w:pStyle w:val="12"/>
            </w:pPr>
            <w:r>
              <w:t>八、社会保障和就业支出</w:t>
            </w:r>
          </w:p>
        </w:tc>
        <w:tc>
          <w:tcPr>
            <w:tcW w:w="1474" w:type="dxa"/>
            <w:vAlign w:val="center"/>
          </w:tcPr>
          <w:p w14:paraId="3FC214C7">
            <w:pPr>
              <w:pStyle w:val="11"/>
            </w:pPr>
          </w:p>
        </w:tc>
        <w:tc>
          <w:tcPr>
            <w:tcW w:w="1474" w:type="dxa"/>
            <w:vAlign w:val="center"/>
          </w:tcPr>
          <w:p w14:paraId="1351E8D0">
            <w:pPr>
              <w:pStyle w:val="11"/>
            </w:pPr>
          </w:p>
        </w:tc>
        <w:tc>
          <w:tcPr>
            <w:tcW w:w="1474" w:type="dxa"/>
            <w:vAlign w:val="center"/>
          </w:tcPr>
          <w:p w14:paraId="463A1595">
            <w:pPr>
              <w:pStyle w:val="11"/>
            </w:pPr>
          </w:p>
        </w:tc>
        <w:tc>
          <w:tcPr>
            <w:tcW w:w="1474" w:type="dxa"/>
            <w:vAlign w:val="center"/>
          </w:tcPr>
          <w:p w14:paraId="19B7AA08">
            <w:pPr>
              <w:pStyle w:val="11"/>
            </w:pPr>
          </w:p>
        </w:tc>
      </w:tr>
      <w:tr w14:paraId="4E80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916A4">
            <w:pPr>
              <w:pStyle w:val="13"/>
            </w:pPr>
            <w:r>
              <w:t>9</w:t>
            </w:r>
          </w:p>
        </w:tc>
        <w:tc>
          <w:tcPr>
            <w:tcW w:w="3402" w:type="dxa"/>
            <w:vAlign w:val="center"/>
          </w:tcPr>
          <w:p w14:paraId="4F2704BC">
            <w:pPr>
              <w:pStyle w:val="12"/>
            </w:pPr>
          </w:p>
        </w:tc>
        <w:tc>
          <w:tcPr>
            <w:tcW w:w="1474" w:type="dxa"/>
            <w:vAlign w:val="center"/>
          </w:tcPr>
          <w:p w14:paraId="696F0DED">
            <w:pPr>
              <w:pStyle w:val="11"/>
            </w:pPr>
          </w:p>
        </w:tc>
        <w:tc>
          <w:tcPr>
            <w:tcW w:w="3402" w:type="dxa"/>
            <w:vAlign w:val="center"/>
          </w:tcPr>
          <w:p w14:paraId="322223BA">
            <w:pPr>
              <w:pStyle w:val="12"/>
            </w:pPr>
            <w:r>
              <w:t>九、社会保险基金支出</w:t>
            </w:r>
          </w:p>
        </w:tc>
        <w:tc>
          <w:tcPr>
            <w:tcW w:w="1474" w:type="dxa"/>
            <w:vAlign w:val="center"/>
          </w:tcPr>
          <w:p w14:paraId="30850A91">
            <w:pPr>
              <w:pStyle w:val="11"/>
            </w:pPr>
          </w:p>
        </w:tc>
        <w:tc>
          <w:tcPr>
            <w:tcW w:w="1474" w:type="dxa"/>
            <w:vAlign w:val="center"/>
          </w:tcPr>
          <w:p w14:paraId="14A447C8">
            <w:pPr>
              <w:pStyle w:val="11"/>
            </w:pPr>
          </w:p>
        </w:tc>
        <w:tc>
          <w:tcPr>
            <w:tcW w:w="1474" w:type="dxa"/>
            <w:vAlign w:val="center"/>
          </w:tcPr>
          <w:p w14:paraId="592959DC">
            <w:pPr>
              <w:pStyle w:val="11"/>
            </w:pPr>
          </w:p>
        </w:tc>
        <w:tc>
          <w:tcPr>
            <w:tcW w:w="1474" w:type="dxa"/>
            <w:vAlign w:val="center"/>
          </w:tcPr>
          <w:p w14:paraId="298D625D">
            <w:pPr>
              <w:pStyle w:val="11"/>
            </w:pPr>
          </w:p>
        </w:tc>
      </w:tr>
      <w:tr w14:paraId="1AFF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C6910">
            <w:pPr>
              <w:pStyle w:val="13"/>
            </w:pPr>
            <w:r>
              <w:t>10</w:t>
            </w:r>
          </w:p>
        </w:tc>
        <w:tc>
          <w:tcPr>
            <w:tcW w:w="3402" w:type="dxa"/>
            <w:vAlign w:val="center"/>
          </w:tcPr>
          <w:p w14:paraId="5A5437E1">
            <w:pPr>
              <w:pStyle w:val="12"/>
            </w:pPr>
          </w:p>
        </w:tc>
        <w:tc>
          <w:tcPr>
            <w:tcW w:w="1474" w:type="dxa"/>
            <w:vAlign w:val="center"/>
          </w:tcPr>
          <w:p w14:paraId="058D7A8A">
            <w:pPr>
              <w:pStyle w:val="11"/>
            </w:pPr>
          </w:p>
        </w:tc>
        <w:tc>
          <w:tcPr>
            <w:tcW w:w="3402" w:type="dxa"/>
            <w:vAlign w:val="center"/>
          </w:tcPr>
          <w:p w14:paraId="3DD200A3">
            <w:pPr>
              <w:pStyle w:val="12"/>
            </w:pPr>
            <w:r>
              <w:t>十、卫生健康支出</w:t>
            </w:r>
          </w:p>
        </w:tc>
        <w:tc>
          <w:tcPr>
            <w:tcW w:w="1474" w:type="dxa"/>
            <w:vAlign w:val="center"/>
          </w:tcPr>
          <w:p w14:paraId="73B6FA0C">
            <w:pPr>
              <w:pStyle w:val="11"/>
            </w:pPr>
          </w:p>
        </w:tc>
        <w:tc>
          <w:tcPr>
            <w:tcW w:w="1474" w:type="dxa"/>
            <w:vAlign w:val="center"/>
          </w:tcPr>
          <w:p w14:paraId="269AF188">
            <w:pPr>
              <w:pStyle w:val="11"/>
            </w:pPr>
          </w:p>
        </w:tc>
        <w:tc>
          <w:tcPr>
            <w:tcW w:w="1474" w:type="dxa"/>
            <w:vAlign w:val="center"/>
          </w:tcPr>
          <w:p w14:paraId="033F8402">
            <w:pPr>
              <w:pStyle w:val="11"/>
            </w:pPr>
          </w:p>
        </w:tc>
        <w:tc>
          <w:tcPr>
            <w:tcW w:w="1474" w:type="dxa"/>
            <w:vAlign w:val="center"/>
          </w:tcPr>
          <w:p w14:paraId="659C14AF">
            <w:pPr>
              <w:pStyle w:val="11"/>
            </w:pPr>
          </w:p>
        </w:tc>
      </w:tr>
      <w:tr w14:paraId="4680A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8F35A">
            <w:pPr>
              <w:pStyle w:val="13"/>
            </w:pPr>
            <w:r>
              <w:t>11</w:t>
            </w:r>
          </w:p>
        </w:tc>
        <w:tc>
          <w:tcPr>
            <w:tcW w:w="3402" w:type="dxa"/>
            <w:vAlign w:val="center"/>
          </w:tcPr>
          <w:p w14:paraId="1DD24CF6">
            <w:pPr>
              <w:pStyle w:val="12"/>
            </w:pPr>
          </w:p>
        </w:tc>
        <w:tc>
          <w:tcPr>
            <w:tcW w:w="1474" w:type="dxa"/>
            <w:vAlign w:val="center"/>
          </w:tcPr>
          <w:p w14:paraId="59AC90C8">
            <w:pPr>
              <w:pStyle w:val="11"/>
            </w:pPr>
          </w:p>
        </w:tc>
        <w:tc>
          <w:tcPr>
            <w:tcW w:w="3402" w:type="dxa"/>
            <w:vAlign w:val="center"/>
          </w:tcPr>
          <w:p w14:paraId="481552F3">
            <w:pPr>
              <w:pStyle w:val="12"/>
            </w:pPr>
            <w:r>
              <w:t>十一、节能环保支出</w:t>
            </w:r>
          </w:p>
        </w:tc>
        <w:tc>
          <w:tcPr>
            <w:tcW w:w="1474" w:type="dxa"/>
            <w:vAlign w:val="center"/>
          </w:tcPr>
          <w:p w14:paraId="164B73C3">
            <w:pPr>
              <w:pStyle w:val="11"/>
            </w:pPr>
          </w:p>
        </w:tc>
        <w:tc>
          <w:tcPr>
            <w:tcW w:w="1474" w:type="dxa"/>
            <w:vAlign w:val="center"/>
          </w:tcPr>
          <w:p w14:paraId="6C308D31">
            <w:pPr>
              <w:pStyle w:val="11"/>
            </w:pPr>
          </w:p>
        </w:tc>
        <w:tc>
          <w:tcPr>
            <w:tcW w:w="1474" w:type="dxa"/>
            <w:vAlign w:val="center"/>
          </w:tcPr>
          <w:p w14:paraId="693176AB">
            <w:pPr>
              <w:pStyle w:val="11"/>
            </w:pPr>
          </w:p>
        </w:tc>
        <w:tc>
          <w:tcPr>
            <w:tcW w:w="1474" w:type="dxa"/>
            <w:vAlign w:val="center"/>
          </w:tcPr>
          <w:p w14:paraId="2F78B86F">
            <w:pPr>
              <w:pStyle w:val="11"/>
            </w:pPr>
          </w:p>
        </w:tc>
      </w:tr>
      <w:tr w14:paraId="37D3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41111">
            <w:pPr>
              <w:pStyle w:val="13"/>
            </w:pPr>
            <w:r>
              <w:t>12</w:t>
            </w:r>
          </w:p>
        </w:tc>
        <w:tc>
          <w:tcPr>
            <w:tcW w:w="3402" w:type="dxa"/>
            <w:vAlign w:val="center"/>
          </w:tcPr>
          <w:p w14:paraId="7DC87851">
            <w:pPr>
              <w:pStyle w:val="12"/>
            </w:pPr>
          </w:p>
        </w:tc>
        <w:tc>
          <w:tcPr>
            <w:tcW w:w="1474" w:type="dxa"/>
            <w:vAlign w:val="center"/>
          </w:tcPr>
          <w:p w14:paraId="69A467BD">
            <w:pPr>
              <w:pStyle w:val="11"/>
            </w:pPr>
          </w:p>
        </w:tc>
        <w:tc>
          <w:tcPr>
            <w:tcW w:w="3402" w:type="dxa"/>
            <w:vAlign w:val="center"/>
          </w:tcPr>
          <w:p w14:paraId="2900D752">
            <w:pPr>
              <w:pStyle w:val="12"/>
            </w:pPr>
            <w:r>
              <w:t>十二、城乡社区支出</w:t>
            </w:r>
          </w:p>
        </w:tc>
        <w:tc>
          <w:tcPr>
            <w:tcW w:w="1474" w:type="dxa"/>
            <w:vAlign w:val="center"/>
          </w:tcPr>
          <w:p w14:paraId="14AFA5C8">
            <w:pPr>
              <w:pStyle w:val="11"/>
            </w:pPr>
          </w:p>
        </w:tc>
        <w:tc>
          <w:tcPr>
            <w:tcW w:w="1474" w:type="dxa"/>
            <w:vAlign w:val="center"/>
          </w:tcPr>
          <w:p w14:paraId="08A9E363">
            <w:pPr>
              <w:pStyle w:val="11"/>
            </w:pPr>
          </w:p>
        </w:tc>
        <w:tc>
          <w:tcPr>
            <w:tcW w:w="1474" w:type="dxa"/>
            <w:vAlign w:val="center"/>
          </w:tcPr>
          <w:p w14:paraId="7D28C97F">
            <w:pPr>
              <w:pStyle w:val="11"/>
            </w:pPr>
          </w:p>
        </w:tc>
        <w:tc>
          <w:tcPr>
            <w:tcW w:w="1474" w:type="dxa"/>
            <w:vAlign w:val="center"/>
          </w:tcPr>
          <w:p w14:paraId="5980D329">
            <w:pPr>
              <w:pStyle w:val="11"/>
            </w:pPr>
          </w:p>
        </w:tc>
      </w:tr>
      <w:tr w14:paraId="56852C86">
        <w:tblPrEx>
          <w:tblCellMar>
            <w:top w:w="0" w:type="dxa"/>
            <w:left w:w="108" w:type="dxa"/>
            <w:bottom w:w="0" w:type="dxa"/>
            <w:right w:w="108" w:type="dxa"/>
          </w:tblCellMar>
        </w:tblPrEx>
        <w:trPr>
          <w:trHeight w:val="369" w:hRule="atLeast"/>
          <w:jc w:val="center"/>
        </w:trPr>
        <w:tc>
          <w:tcPr>
            <w:tcW w:w="850" w:type="dxa"/>
            <w:vAlign w:val="center"/>
          </w:tcPr>
          <w:p w14:paraId="27A7B8D3">
            <w:pPr>
              <w:pStyle w:val="13"/>
            </w:pPr>
            <w:r>
              <w:t>13</w:t>
            </w:r>
          </w:p>
        </w:tc>
        <w:tc>
          <w:tcPr>
            <w:tcW w:w="3402" w:type="dxa"/>
            <w:vAlign w:val="center"/>
          </w:tcPr>
          <w:p w14:paraId="40A4ACF5">
            <w:pPr>
              <w:pStyle w:val="12"/>
            </w:pPr>
          </w:p>
        </w:tc>
        <w:tc>
          <w:tcPr>
            <w:tcW w:w="1474" w:type="dxa"/>
            <w:vAlign w:val="center"/>
          </w:tcPr>
          <w:p w14:paraId="6CFA973D">
            <w:pPr>
              <w:pStyle w:val="11"/>
            </w:pPr>
          </w:p>
        </w:tc>
        <w:tc>
          <w:tcPr>
            <w:tcW w:w="3402" w:type="dxa"/>
            <w:vAlign w:val="center"/>
          </w:tcPr>
          <w:p w14:paraId="3D1FA8BB">
            <w:pPr>
              <w:pStyle w:val="12"/>
            </w:pPr>
            <w:r>
              <w:t>十三、农林水支出</w:t>
            </w:r>
          </w:p>
        </w:tc>
        <w:tc>
          <w:tcPr>
            <w:tcW w:w="1474" w:type="dxa"/>
            <w:vAlign w:val="center"/>
          </w:tcPr>
          <w:p w14:paraId="6D046BB3">
            <w:pPr>
              <w:pStyle w:val="11"/>
            </w:pPr>
          </w:p>
        </w:tc>
        <w:tc>
          <w:tcPr>
            <w:tcW w:w="1474" w:type="dxa"/>
            <w:vAlign w:val="center"/>
          </w:tcPr>
          <w:p w14:paraId="36EF1228">
            <w:pPr>
              <w:pStyle w:val="11"/>
            </w:pPr>
          </w:p>
        </w:tc>
        <w:tc>
          <w:tcPr>
            <w:tcW w:w="1474" w:type="dxa"/>
            <w:vAlign w:val="center"/>
          </w:tcPr>
          <w:p w14:paraId="2BB98A70">
            <w:pPr>
              <w:pStyle w:val="11"/>
            </w:pPr>
          </w:p>
        </w:tc>
        <w:tc>
          <w:tcPr>
            <w:tcW w:w="1474" w:type="dxa"/>
            <w:vAlign w:val="center"/>
          </w:tcPr>
          <w:p w14:paraId="7C64B481">
            <w:pPr>
              <w:pStyle w:val="11"/>
            </w:pPr>
          </w:p>
        </w:tc>
      </w:tr>
      <w:tr w14:paraId="71D0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300B">
            <w:pPr>
              <w:pStyle w:val="13"/>
            </w:pPr>
            <w:r>
              <w:t>14</w:t>
            </w:r>
          </w:p>
        </w:tc>
        <w:tc>
          <w:tcPr>
            <w:tcW w:w="3402" w:type="dxa"/>
            <w:vAlign w:val="center"/>
          </w:tcPr>
          <w:p w14:paraId="1FA52DDB">
            <w:pPr>
              <w:pStyle w:val="12"/>
            </w:pPr>
          </w:p>
        </w:tc>
        <w:tc>
          <w:tcPr>
            <w:tcW w:w="1474" w:type="dxa"/>
            <w:vAlign w:val="center"/>
          </w:tcPr>
          <w:p w14:paraId="20E515EA">
            <w:pPr>
              <w:pStyle w:val="11"/>
            </w:pPr>
          </w:p>
        </w:tc>
        <w:tc>
          <w:tcPr>
            <w:tcW w:w="3402" w:type="dxa"/>
            <w:vAlign w:val="center"/>
          </w:tcPr>
          <w:p w14:paraId="66B30CAB">
            <w:pPr>
              <w:pStyle w:val="12"/>
            </w:pPr>
            <w:r>
              <w:t>十四、交通运输支出</w:t>
            </w:r>
          </w:p>
        </w:tc>
        <w:tc>
          <w:tcPr>
            <w:tcW w:w="1474" w:type="dxa"/>
            <w:vAlign w:val="center"/>
          </w:tcPr>
          <w:p w14:paraId="49EC3E19">
            <w:pPr>
              <w:pStyle w:val="11"/>
            </w:pPr>
          </w:p>
        </w:tc>
        <w:tc>
          <w:tcPr>
            <w:tcW w:w="1474" w:type="dxa"/>
            <w:vAlign w:val="center"/>
          </w:tcPr>
          <w:p w14:paraId="48EE3214">
            <w:pPr>
              <w:pStyle w:val="11"/>
            </w:pPr>
          </w:p>
        </w:tc>
        <w:tc>
          <w:tcPr>
            <w:tcW w:w="1474" w:type="dxa"/>
            <w:vAlign w:val="center"/>
          </w:tcPr>
          <w:p w14:paraId="587C6A89">
            <w:pPr>
              <w:pStyle w:val="11"/>
            </w:pPr>
          </w:p>
        </w:tc>
        <w:tc>
          <w:tcPr>
            <w:tcW w:w="1474" w:type="dxa"/>
            <w:vAlign w:val="center"/>
          </w:tcPr>
          <w:p w14:paraId="49F066F1">
            <w:pPr>
              <w:pStyle w:val="11"/>
            </w:pPr>
          </w:p>
        </w:tc>
      </w:tr>
      <w:tr w14:paraId="70B30157">
        <w:tblPrEx>
          <w:tblCellMar>
            <w:top w:w="0" w:type="dxa"/>
            <w:left w:w="108" w:type="dxa"/>
            <w:bottom w:w="0" w:type="dxa"/>
            <w:right w:w="108" w:type="dxa"/>
          </w:tblCellMar>
        </w:tblPrEx>
        <w:trPr>
          <w:trHeight w:val="369" w:hRule="atLeast"/>
          <w:jc w:val="center"/>
        </w:trPr>
        <w:tc>
          <w:tcPr>
            <w:tcW w:w="850" w:type="dxa"/>
            <w:vAlign w:val="center"/>
          </w:tcPr>
          <w:p w14:paraId="21A4D932">
            <w:pPr>
              <w:pStyle w:val="13"/>
            </w:pPr>
            <w:r>
              <w:t>15</w:t>
            </w:r>
          </w:p>
        </w:tc>
        <w:tc>
          <w:tcPr>
            <w:tcW w:w="3402" w:type="dxa"/>
            <w:vAlign w:val="center"/>
          </w:tcPr>
          <w:p w14:paraId="15203661">
            <w:pPr>
              <w:pStyle w:val="12"/>
            </w:pPr>
          </w:p>
        </w:tc>
        <w:tc>
          <w:tcPr>
            <w:tcW w:w="1474" w:type="dxa"/>
            <w:vAlign w:val="center"/>
          </w:tcPr>
          <w:p w14:paraId="43F56AF0">
            <w:pPr>
              <w:pStyle w:val="11"/>
            </w:pPr>
          </w:p>
        </w:tc>
        <w:tc>
          <w:tcPr>
            <w:tcW w:w="3402" w:type="dxa"/>
            <w:vAlign w:val="center"/>
          </w:tcPr>
          <w:p w14:paraId="7F1D7FAC">
            <w:pPr>
              <w:pStyle w:val="12"/>
            </w:pPr>
            <w:r>
              <w:t>十五、资源勘探工业信息等支出</w:t>
            </w:r>
          </w:p>
        </w:tc>
        <w:tc>
          <w:tcPr>
            <w:tcW w:w="1474" w:type="dxa"/>
            <w:vAlign w:val="center"/>
          </w:tcPr>
          <w:p w14:paraId="73A51F33">
            <w:pPr>
              <w:pStyle w:val="11"/>
            </w:pPr>
          </w:p>
        </w:tc>
        <w:tc>
          <w:tcPr>
            <w:tcW w:w="1474" w:type="dxa"/>
            <w:vAlign w:val="center"/>
          </w:tcPr>
          <w:p w14:paraId="2035C1B4">
            <w:pPr>
              <w:pStyle w:val="11"/>
            </w:pPr>
          </w:p>
        </w:tc>
        <w:tc>
          <w:tcPr>
            <w:tcW w:w="1474" w:type="dxa"/>
            <w:vAlign w:val="center"/>
          </w:tcPr>
          <w:p w14:paraId="69164AA5">
            <w:pPr>
              <w:pStyle w:val="11"/>
            </w:pPr>
          </w:p>
        </w:tc>
        <w:tc>
          <w:tcPr>
            <w:tcW w:w="1474" w:type="dxa"/>
            <w:vAlign w:val="center"/>
          </w:tcPr>
          <w:p w14:paraId="2559705B">
            <w:pPr>
              <w:pStyle w:val="11"/>
            </w:pPr>
          </w:p>
        </w:tc>
      </w:tr>
      <w:tr w14:paraId="7CAE2891">
        <w:tblPrEx>
          <w:tblCellMar>
            <w:top w:w="0" w:type="dxa"/>
            <w:left w:w="108" w:type="dxa"/>
            <w:bottom w:w="0" w:type="dxa"/>
            <w:right w:w="108" w:type="dxa"/>
          </w:tblCellMar>
        </w:tblPrEx>
        <w:trPr>
          <w:trHeight w:val="369" w:hRule="atLeast"/>
          <w:jc w:val="center"/>
        </w:trPr>
        <w:tc>
          <w:tcPr>
            <w:tcW w:w="850" w:type="dxa"/>
            <w:vAlign w:val="center"/>
          </w:tcPr>
          <w:p w14:paraId="13C60040">
            <w:pPr>
              <w:pStyle w:val="13"/>
            </w:pPr>
            <w:r>
              <w:t>16</w:t>
            </w:r>
          </w:p>
        </w:tc>
        <w:tc>
          <w:tcPr>
            <w:tcW w:w="3402" w:type="dxa"/>
            <w:vAlign w:val="center"/>
          </w:tcPr>
          <w:p w14:paraId="57DEE962">
            <w:pPr>
              <w:pStyle w:val="12"/>
            </w:pPr>
          </w:p>
        </w:tc>
        <w:tc>
          <w:tcPr>
            <w:tcW w:w="1474" w:type="dxa"/>
            <w:vAlign w:val="center"/>
          </w:tcPr>
          <w:p w14:paraId="153885A2">
            <w:pPr>
              <w:pStyle w:val="11"/>
            </w:pPr>
          </w:p>
        </w:tc>
        <w:tc>
          <w:tcPr>
            <w:tcW w:w="3402" w:type="dxa"/>
            <w:vAlign w:val="center"/>
          </w:tcPr>
          <w:p w14:paraId="4E5C8531">
            <w:pPr>
              <w:pStyle w:val="12"/>
            </w:pPr>
            <w:r>
              <w:t>十六、商业服务业等支出</w:t>
            </w:r>
          </w:p>
        </w:tc>
        <w:tc>
          <w:tcPr>
            <w:tcW w:w="1474" w:type="dxa"/>
            <w:vAlign w:val="center"/>
          </w:tcPr>
          <w:p w14:paraId="1EF3841F">
            <w:pPr>
              <w:pStyle w:val="11"/>
            </w:pPr>
          </w:p>
        </w:tc>
        <w:tc>
          <w:tcPr>
            <w:tcW w:w="1474" w:type="dxa"/>
            <w:vAlign w:val="center"/>
          </w:tcPr>
          <w:p w14:paraId="7DEE0602">
            <w:pPr>
              <w:pStyle w:val="11"/>
            </w:pPr>
          </w:p>
        </w:tc>
        <w:tc>
          <w:tcPr>
            <w:tcW w:w="1474" w:type="dxa"/>
            <w:vAlign w:val="center"/>
          </w:tcPr>
          <w:p w14:paraId="7FC5E4CF">
            <w:pPr>
              <w:pStyle w:val="11"/>
            </w:pPr>
          </w:p>
        </w:tc>
        <w:tc>
          <w:tcPr>
            <w:tcW w:w="1474" w:type="dxa"/>
            <w:vAlign w:val="center"/>
          </w:tcPr>
          <w:p w14:paraId="208F73B0">
            <w:pPr>
              <w:pStyle w:val="11"/>
            </w:pPr>
          </w:p>
        </w:tc>
      </w:tr>
      <w:tr w14:paraId="3DAD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C1024">
            <w:pPr>
              <w:pStyle w:val="13"/>
            </w:pPr>
            <w:r>
              <w:t>17</w:t>
            </w:r>
          </w:p>
        </w:tc>
        <w:tc>
          <w:tcPr>
            <w:tcW w:w="3402" w:type="dxa"/>
            <w:vAlign w:val="center"/>
          </w:tcPr>
          <w:p w14:paraId="2498B319">
            <w:pPr>
              <w:pStyle w:val="12"/>
            </w:pPr>
          </w:p>
        </w:tc>
        <w:tc>
          <w:tcPr>
            <w:tcW w:w="1474" w:type="dxa"/>
            <w:vAlign w:val="center"/>
          </w:tcPr>
          <w:p w14:paraId="6AC67AEC">
            <w:pPr>
              <w:pStyle w:val="11"/>
            </w:pPr>
          </w:p>
        </w:tc>
        <w:tc>
          <w:tcPr>
            <w:tcW w:w="3402" w:type="dxa"/>
            <w:vAlign w:val="center"/>
          </w:tcPr>
          <w:p w14:paraId="63182AD0">
            <w:pPr>
              <w:pStyle w:val="12"/>
            </w:pPr>
            <w:r>
              <w:t>十七、金融支出</w:t>
            </w:r>
          </w:p>
        </w:tc>
        <w:tc>
          <w:tcPr>
            <w:tcW w:w="1474" w:type="dxa"/>
            <w:vAlign w:val="center"/>
          </w:tcPr>
          <w:p w14:paraId="63DB7244">
            <w:pPr>
              <w:pStyle w:val="11"/>
            </w:pPr>
          </w:p>
        </w:tc>
        <w:tc>
          <w:tcPr>
            <w:tcW w:w="1474" w:type="dxa"/>
            <w:vAlign w:val="center"/>
          </w:tcPr>
          <w:p w14:paraId="1AB3F8C8">
            <w:pPr>
              <w:pStyle w:val="11"/>
            </w:pPr>
          </w:p>
        </w:tc>
        <w:tc>
          <w:tcPr>
            <w:tcW w:w="1474" w:type="dxa"/>
            <w:vAlign w:val="center"/>
          </w:tcPr>
          <w:p w14:paraId="3C66C939">
            <w:pPr>
              <w:pStyle w:val="11"/>
            </w:pPr>
          </w:p>
        </w:tc>
        <w:tc>
          <w:tcPr>
            <w:tcW w:w="1474" w:type="dxa"/>
            <w:vAlign w:val="center"/>
          </w:tcPr>
          <w:p w14:paraId="0F0350BA">
            <w:pPr>
              <w:pStyle w:val="11"/>
            </w:pPr>
          </w:p>
        </w:tc>
      </w:tr>
      <w:tr w14:paraId="03FA5C0E">
        <w:tblPrEx>
          <w:tblCellMar>
            <w:top w:w="0" w:type="dxa"/>
            <w:left w:w="108" w:type="dxa"/>
            <w:bottom w:w="0" w:type="dxa"/>
            <w:right w:w="108" w:type="dxa"/>
          </w:tblCellMar>
        </w:tblPrEx>
        <w:trPr>
          <w:trHeight w:val="369" w:hRule="atLeast"/>
          <w:jc w:val="center"/>
        </w:trPr>
        <w:tc>
          <w:tcPr>
            <w:tcW w:w="850" w:type="dxa"/>
            <w:vAlign w:val="center"/>
          </w:tcPr>
          <w:p w14:paraId="17A1CB16">
            <w:pPr>
              <w:pStyle w:val="13"/>
            </w:pPr>
            <w:r>
              <w:t>18</w:t>
            </w:r>
          </w:p>
        </w:tc>
        <w:tc>
          <w:tcPr>
            <w:tcW w:w="3402" w:type="dxa"/>
            <w:vAlign w:val="center"/>
          </w:tcPr>
          <w:p w14:paraId="4A1C02F3">
            <w:pPr>
              <w:pStyle w:val="12"/>
            </w:pPr>
          </w:p>
        </w:tc>
        <w:tc>
          <w:tcPr>
            <w:tcW w:w="1474" w:type="dxa"/>
            <w:vAlign w:val="center"/>
          </w:tcPr>
          <w:p w14:paraId="55624360">
            <w:pPr>
              <w:pStyle w:val="11"/>
            </w:pPr>
          </w:p>
        </w:tc>
        <w:tc>
          <w:tcPr>
            <w:tcW w:w="3402" w:type="dxa"/>
            <w:vAlign w:val="center"/>
          </w:tcPr>
          <w:p w14:paraId="51444983">
            <w:pPr>
              <w:pStyle w:val="12"/>
            </w:pPr>
            <w:r>
              <w:t>十八、援助其他地区支出</w:t>
            </w:r>
          </w:p>
        </w:tc>
        <w:tc>
          <w:tcPr>
            <w:tcW w:w="1474" w:type="dxa"/>
            <w:vAlign w:val="center"/>
          </w:tcPr>
          <w:p w14:paraId="23E8BDE7">
            <w:pPr>
              <w:pStyle w:val="11"/>
            </w:pPr>
          </w:p>
        </w:tc>
        <w:tc>
          <w:tcPr>
            <w:tcW w:w="1474" w:type="dxa"/>
            <w:vAlign w:val="center"/>
          </w:tcPr>
          <w:p w14:paraId="1D3CA2D6">
            <w:pPr>
              <w:pStyle w:val="11"/>
            </w:pPr>
          </w:p>
        </w:tc>
        <w:tc>
          <w:tcPr>
            <w:tcW w:w="1474" w:type="dxa"/>
            <w:vAlign w:val="center"/>
          </w:tcPr>
          <w:p w14:paraId="25D62F13">
            <w:pPr>
              <w:pStyle w:val="11"/>
            </w:pPr>
          </w:p>
        </w:tc>
        <w:tc>
          <w:tcPr>
            <w:tcW w:w="1474" w:type="dxa"/>
            <w:vAlign w:val="center"/>
          </w:tcPr>
          <w:p w14:paraId="799A96F2">
            <w:pPr>
              <w:pStyle w:val="11"/>
            </w:pPr>
          </w:p>
        </w:tc>
      </w:tr>
      <w:tr w14:paraId="40BC2348">
        <w:tblPrEx>
          <w:tblCellMar>
            <w:top w:w="0" w:type="dxa"/>
            <w:left w:w="108" w:type="dxa"/>
            <w:bottom w:w="0" w:type="dxa"/>
            <w:right w:w="108" w:type="dxa"/>
          </w:tblCellMar>
        </w:tblPrEx>
        <w:trPr>
          <w:trHeight w:val="369" w:hRule="atLeast"/>
          <w:jc w:val="center"/>
        </w:trPr>
        <w:tc>
          <w:tcPr>
            <w:tcW w:w="850" w:type="dxa"/>
            <w:vAlign w:val="center"/>
          </w:tcPr>
          <w:p w14:paraId="6CB491C2">
            <w:pPr>
              <w:pStyle w:val="13"/>
            </w:pPr>
            <w:r>
              <w:t>19</w:t>
            </w:r>
          </w:p>
        </w:tc>
        <w:tc>
          <w:tcPr>
            <w:tcW w:w="3402" w:type="dxa"/>
            <w:vAlign w:val="center"/>
          </w:tcPr>
          <w:p w14:paraId="6188C70F">
            <w:pPr>
              <w:pStyle w:val="12"/>
            </w:pPr>
          </w:p>
        </w:tc>
        <w:tc>
          <w:tcPr>
            <w:tcW w:w="1474" w:type="dxa"/>
            <w:vAlign w:val="center"/>
          </w:tcPr>
          <w:p w14:paraId="138F019F">
            <w:pPr>
              <w:pStyle w:val="11"/>
            </w:pPr>
          </w:p>
        </w:tc>
        <w:tc>
          <w:tcPr>
            <w:tcW w:w="3402" w:type="dxa"/>
            <w:vAlign w:val="center"/>
          </w:tcPr>
          <w:p w14:paraId="22E0992D">
            <w:pPr>
              <w:pStyle w:val="12"/>
            </w:pPr>
            <w:r>
              <w:t>十九、自然资源海洋气象等支出</w:t>
            </w:r>
          </w:p>
        </w:tc>
        <w:tc>
          <w:tcPr>
            <w:tcW w:w="1474" w:type="dxa"/>
            <w:vAlign w:val="center"/>
          </w:tcPr>
          <w:p w14:paraId="3A732C62">
            <w:pPr>
              <w:pStyle w:val="11"/>
            </w:pPr>
          </w:p>
        </w:tc>
        <w:tc>
          <w:tcPr>
            <w:tcW w:w="1474" w:type="dxa"/>
            <w:vAlign w:val="center"/>
          </w:tcPr>
          <w:p w14:paraId="2D6EE6E1">
            <w:pPr>
              <w:pStyle w:val="11"/>
            </w:pPr>
          </w:p>
        </w:tc>
        <w:tc>
          <w:tcPr>
            <w:tcW w:w="1474" w:type="dxa"/>
            <w:vAlign w:val="center"/>
          </w:tcPr>
          <w:p w14:paraId="2C62C339">
            <w:pPr>
              <w:pStyle w:val="11"/>
            </w:pPr>
          </w:p>
        </w:tc>
        <w:tc>
          <w:tcPr>
            <w:tcW w:w="1474" w:type="dxa"/>
            <w:vAlign w:val="center"/>
          </w:tcPr>
          <w:p w14:paraId="2A20CAC9">
            <w:pPr>
              <w:pStyle w:val="11"/>
            </w:pPr>
          </w:p>
        </w:tc>
      </w:tr>
      <w:tr w14:paraId="6AA9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FA263">
            <w:pPr>
              <w:pStyle w:val="13"/>
            </w:pPr>
            <w:r>
              <w:t>20</w:t>
            </w:r>
          </w:p>
        </w:tc>
        <w:tc>
          <w:tcPr>
            <w:tcW w:w="3402" w:type="dxa"/>
            <w:vAlign w:val="center"/>
          </w:tcPr>
          <w:p w14:paraId="402006A0">
            <w:pPr>
              <w:pStyle w:val="12"/>
            </w:pPr>
          </w:p>
        </w:tc>
        <w:tc>
          <w:tcPr>
            <w:tcW w:w="1474" w:type="dxa"/>
            <w:vAlign w:val="center"/>
          </w:tcPr>
          <w:p w14:paraId="3B581C66">
            <w:pPr>
              <w:pStyle w:val="11"/>
            </w:pPr>
          </w:p>
        </w:tc>
        <w:tc>
          <w:tcPr>
            <w:tcW w:w="3402" w:type="dxa"/>
            <w:vAlign w:val="center"/>
          </w:tcPr>
          <w:p w14:paraId="37B9D8A8">
            <w:pPr>
              <w:pStyle w:val="12"/>
            </w:pPr>
            <w:r>
              <w:t>二十、住房保障支出</w:t>
            </w:r>
          </w:p>
        </w:tc>
        <w:tc>
          <w:tcPr>
            <w:tcW w:w="1474" w:type="dxa"/>
            <w:vAlign w:val="center"/>
          </w:tcPr>
          <w:p w14:paraId="67DB3770">
            <w:pPr>
              <w:pStyle w:val="11"/>
            </w:pPr>
          </w:p>
        </w:tc>
        <w:tc>
          <w:tcPr>
            <w:tcW w:w="1474" w:type="dxa"/>
            <w:vAlign w:val="center"/>
          </w:tcPr>
          <w:p w14:paraId="138A535C">
            <w:pPr>
              <w:pStyle w:val="11"/>
            </w:pPr>
          </w:p>
        </w:tc>
        <w:tc>
          <w:tcPr>
            <w:tcW w:w="1474" w:type="dxa"/>
            <w:vAlign w:val="center"/>
          </w:tcPr>
          <w:p w14:paraId="2CB4037F">
            <w:pPr>
              <w:pStyle w:val="11"/>
            </w:pPr>
          </w:p>
        </w:tc>
        <w:tc>
          <w:tcPr>
            <w:tcW w:w="1474" w:type="dxa"/>
            <w:vAlign w:val="center"/>
          </w:tcPr>
          <w:p w14:paraId="35B00ACD">
            <w:pPr>
              <w:pStyle w:val="11"/>
            </w:pPr>
          </w:p>
        </w:tc>
      </w:tr>
      <w:tr w14:paraId="4B48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8E400">
            <w:pPr>
              <w:pStyle w:val="13"/>
            </w:pPr>
            <w:r>
              <w:t>21</w:t>
            </w:r>
          </w:p>
        </w:tc>
        <w:tc>
          <w:tcPr>
            <w:tcW w:w="3402" w:type="dxa"/>
            <w:vAlign w:val="center"/>
          </w:tcPr>
          <w:p w14:paraId="089324AD">
            <w:pPr>
              <w:pStyle w:val="12"/>
            </w:pPr>
          </w:p>
        </w:tc>
        <w:tc>
          <w:tcPr>
            <w:tcW w:w="1474" w:type="dxa"/>
            <w:vAlign w:val="center"/>
          </w:tcPr>
          <w:p w14:paraId="7172871D">
            <w:pPr>
              <w:pStyle w:val="11"/>
            </w:pPr>
          </w:p>
        </w:tc>
        <w:tc>
          <w:tcPr>
            <w:tcW w:w="3402" w:type="dxa"/>
            <w:vAlign w:val="center"/>
          </w:tcPr>
          <w:p w14:paraId="5075EDD2">
            <w:pPr>
              <w:pStyle w:val="12"/>
            </w:pPr>
            <w:r>
              <w:t>二十一、粮油物资储备支出</w:t>
            </w:r>
          </w:p>
        </w:tc>
        <w:tc>
          <w:tcPr>
            <w:tcW w:w="1474" w:type="dxa"/>
            <w:vAlign w:val="center"/>
          </w:tcPr>
          <w:p w14:paraId="38806B6A">
            <w:pPr>
              <w:pStyle w:val="11"/>
            </w:pPr>
          </w:p>
        </w:tc>
        <w:tc>
          <w:tcPr>
            <w:tcW w:w="1474" w:type="dxa"/>
            <w:vAlign w:val="center"/>
          </w:tcPr>
          <w:p w14:paraId="7EFFA776">
            <w:pPr>
              <w:pStyle w:val="11"/>
            </w:pPr>
          </w:p>
        </w:tc>
        <w:tc>
          <w:tcPr>
            <w:tcW w:w="1474" w:type="dxa"/>
            <w:vAlign w:val="center"/>
          </w:tcPr>
          <w:p w14:paraId="3EE44809">
            <w:pPr>
              <w:pStyle w:val="11"/>
            </w:pPr>
          </w:p>
        </w:tc>
        <w:tc>
          <w:tcPr>
            <w:tcW w:w="1474" w:type="dxa"/>
            <w:vAlign w:val="center"/>
          </w:tcPr>
          <w:p w14:paraId="3FA882F6">
            <w:pPr>
              <w:pStyle w:val="11"/>
            </w:pPr>
          </w:p>
        </w:tc>
      </w:tr>
      <w:tr w14:paraId="6FF5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81B97">
            <w:pPr>
              <w:pStyle w:val="13"/>
            </w:pPr>
            <w:r>
              <w:t>22</w:t>
            </w:r>
          </w:p>
        </w:tc>
        <w:tc>
          <w:tcPr>
            <w:tcW w:w="3402" w:type="dxa"/>
            <w:vAlign w:val="center"/>
          </w:tcPr>
          <w:p w14:paraId="6E3D42FB">
            <w:pPr>
              <w:pStyle w:val="12"/>
            </w:pPr>
          </w:p>
        </w:tc>
        <w:tc>
          <w:tcPr>
            <w:tcW w:w="1474" w:type="dxa"/>
            <w:vAlign w:val="center"/>
          </w:tcPr>
          <w:p w14:paraId="704A76BC">
            <w:pPr>
              <w:pStyle w:val="11"/>
            </w:pPr>
          </w:p>
        </w:tc>
        <w:tc>
          <w:tcPr>
            <w:tcW w:w="3402" w:type="dxa"/>
            <w:vAlign w:val="center"/>
          </w:tcPr>
          <w:p w14:paraId="1AFD4E4A">
            <w:pPr>
              <w:pStyle w:val="12"/>
            </w:pPr>
            <w:r>
              <w:t>二十二、国有资本经营预算支出</w:t>
            </w:r>
          </w:p>
        </w:tc>
        <w:tc>
          <w:tcPr>
            <w:tcW w:w="1474" w:type="dxa"/>
            <w:vAlign w:val="center"/>
          </w:tcPr>
          <w:p w14:paraId="3C045CE4">
            <w:pPr>
              <w:pStyle w:val="11"/>
            </w:pPr>
          </w:p>
        </w:tc>
        <w:tc>
          <w:tcPr>
            <w:tcW w:w="1474" w:type="dxa"/>
            <w:vAlign w:val="center"/>
          </w:tcPr>
          <w:p w14:paraId="14F74C6E">
            <w:pPr>
              <w:pStyle w:val="11"/>
            </w:pPr>
          </w:p>
        </w:tc>
        <w:tc>
          <w:tcPr>
            <w:tcW w:w="1474" w:type="dxa"/>
            <w:vAlign w:val="center"/>
          </w:tcPr>
          <w:p w14:paraId="251F223A">
            <w:pPr>
              <w:pStyle w:val="11"/>
            </w:pPr>
          </w:p>
        </w:tc>
        <w:tc>
          <w:tcPr>
            <w:tcW w:w="1474" w:type="dxa"/>
            <w:vAlign w:val="center"/>
          </w:tcPr>
          <w:p w14:paraId="7B480564">
            <w:pPr>
              <w:pStyle w:val="11"/>
            </w:pPr>
          </w:p>
        </w:tc>
      </w:tr>
      <w:tr w14:paraId="1C7BFE3E">
        <w:tblPrEx>
          <w:tblCellMar>
            <w:top w:w="0" w:type="dxa"/>
            <w:left w:w="108" w:type="dxa"/>
            <w:bottom w:w="0" w:type="dxa"/>
            <w:right w:w="108" w:type="dxa"/>
          </w:tblCellMar>
        </w:tblPrEx>
        <w:trPr>
          <w:trHeight w:val="369" w:hRule="atLeast"/>
          <w:jc w:val="center"/>
        </w:trPr>
        <w:tc>
          <w:tcPr>
            <w:tcW w:w="850" w:type="dxa"/>
            <w:vAlign w:val="center"/>
          </w:tcPr>
          <w:p w14:paraId="4BAA39A2">
            <w:pPr>
              <w:pStyle w:val="13"/>
            </w:pPr>
            <w:r>
              <w:t>23</w:t>
            </w:r>
          </w:p>
        </w:tc>
        <w:tc>
          <w:tcPr>
            <w:tcW w:w="3402" w:type="dxa"/>
            <w:vAlign w:val="center"/>
          </w:tcPr>
          <w:p w14:paraId="3B068C89">
            <w:pPr>
              <w:pStyle w:val="12"/>
            </w:pPr>
          </w:p>
        </w:tc>
        <w:tc>
          <w:tcPr>
            <w:tcW w:w="1474" w:type="dxa"/>
            <w:vAlign w:val="center"/>
          </w:tcPr>
          <w:p w14:paraId="70186397">
            <w:pPr>
              <w:pStyle w:val="11"/>
            </w:pPr>
          </w:p>
        </w:tc>
        <w:tc>
          <w:tcPr>
            <w:tcW w:w="3402" w:type="dxa"/>
            <w:vAlign w:val="center"/>
          </w:tcPr>
          <w:p w14:paraId="3D2AE915">
            <w:pPr>
              <w:pStyle w:val="12"/>
            </w:pPr>
            <w:r>
              <w:t>二十三、灾害防治及应急管理支出</w:t>
            </w:r>
          </w:p>
        </w:tc>
        <w:tc>
          <w:tcPr>
            <w:tcW w:w="1474" w:type="dxa"/>
            <w:vAlign w:val="center"/>
          </w:tcPr>
          <w:p w14:paraId="32BCCC06">
            <w:pPr>
              <w:pStyle w:val="11"/>
            </w:pPr>
          </w:p>
        </w:tc>
        <w:tc>
          <w:tcPr>
            <w:tcW w:w="1474" w:type="dxa"/>
            <w:vAlign w:val="center"/>
          </w:tcPr>
          <w:p w14:paraId="7D7587A9">
            <w:pPr>
              <w:pStyle w:val="11"/>
            </w:pPr>
          </w:p>
        </w:tc>
        <w:tc>
          <w:tcPr>
            <w:tcW w:w="1474" w:type="dxa"/>
            <w:vAlign w:val="center"/>
          </w:tcPr>
          <w:p w14:paraId="45DF7278">
            <w:pPr>
              <w:pStyle w:val="11"/>
            </w:pPr>
          </w:p>
        </w:tc>
        <w:tc>
          <w:tcPr>
            <w:tcW w:w="1474" w:type="dxa"/>
            <w:vAlign w:val="center"/>
          </w:tcPr>
          <w:p w14:paraId="2C4C3562">
            <w:pPr>
              <w:pStyle w:val="11"/>
            </w:pPr>
          </w:p>
        </w:tc>
      </w:tr>
      <w:tr w14:paraId="3A4B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0F68C">
            <w:pPr>
              <w:pStyle w:val="13"/>
            </w:pPr>
            <w:r>
              <w:t>24</w:t>
            </w:r>
          </w:p>
        </w:tc>
        <w:tc>
          <w:tcPr>
            <w:tcW w:w="3402" w:type="dxa"/>
            <w:vAlign w:val="center"/>
          </w:tcPr>
          <w:p w14:paraId="1052843C">
            <w:pPr>
              <w:pStyle w:val="12"/>
            </w:pPr>
          </w:p>
        </w:tc>
        <w:tc>
          <w:tcPr>
            <w:tcW w:w="1474" w:type="dxa"/>
            <w:vAlign w:val="center"/>
          </w:tcPr>
          <w:p w14:paraId="50B15E2D">
            <w:pPr>
              <w:pStyle w:val="11"/>
            </w:pPr>
          </w:p>
        </w:tc>
        <w:tc>
          <w:tcPr>
            <w:tcW w:w="3402" w:type="dxa"/>
            <w:vAlign w:val="center"/>
          </w:tcPr>
          <w:p w14:paraId="31462C9C">
            <w:pPr>
              <w:pStyle w:val="12"/>
            </w:pPr>
            <w:r>
              <w:t>二十四、预备费</w:t>
            </w:r>
          </w:p>
        </w:tc>
        <w:tc>
          <w:tcPr>
            <w:tcW w:w="1474" w:type="dxa"/>
            <w:vAlign w:val="center"/>
          </w:tcPr>
          <w:p w14:paraId="76FDB2F0">
            <w:pPr>
              <w:pStyle w:val="11"/>
            </w:pPr>
          </w:p>
        </w:tc>
        <w:tc>
          <w:tcPr>
            <w:tcW w:w="1474" w:type="dxa"/>
            <w:vAlign w:val="center"/>
          </w:tcPr>
          <w:p w14:paraId="4E8624FE">
            <w:pPr>
              <w:pStyle w:val="11"/>
            </w:pPr>
          </w:p>
        </w:tc>
        <w:tc>
          <w:tcPr>
            <w:tcW w:w="1474" w:type="dxa"/>
            <w:vAlign w:val="center"/>
          </w:tcPr>
          <w:p w14:paraId="1144E63F">
            <w:pPr>
              <w:pStyle w:val="11"/>
            </w:pPr>
          </w:p>
        </w:tc>
        <w:tc>
          <w:tcPr>
            <w:tcW w:w="1474" w:type="dxa"/>
            <w:vAlign w:val="center"/>
          </w:tcPr>
          <w:p w14:paraId="039147F4">
            <w:pPr>
              <w:pStyle w:val="11"/>
            </w:pPr>
          </w:p>
        </w:tc>
      </w:tr>
      <w:tr w14:paraId="1332A3FC">
        <w:tblPrEx>
          <w:tblCellMar>
            <w:top w:w="0" w:type="dxa"/>
            <w:left w:w="108" w:type="dxa"/>
            <w:bottom w:w="0" w:type="dxa"/>
            <w:right w:w="108" w:type="dxa"/>
          </w:tblCellMar>
        </w:tblPrEx>
        <w:trPr>
          <w:trHeight w:val="369" w:hRule="atLeast"/>
          <w:jc w:val="center"/>
        </w:trPr>
        <w:tc>
          <w:tcPr>
            <w:tcW w:w="850" w:type="dxa"/>
            <w:vAlign w:val="center"/>
          </w:tcPr>
          <w:p w14:paraId="0218DE80">
            <w:pPr>
              <w:pStyle w:val="13"/>
            </w:pPr>
            <w:r>
              <w:t>25</w:t>
            </w:r>
          </w:p>
        </w:tc>
        <w:tc>
          <w:tcPr>
            <w:tcW w:w="3402" w:type="dxa"/>
            <w:vAlign w:val="center"/>
          </w:tcPr>
          <w:p w14:paraId="1B7D20E2">
            <w:pPr>
              <w:pStyle w:val="12"/>
            </w:pPr>
          </w:p>
        </w:tc>
        <w:tc>
          <w:tcPr>
            <w:tcW w:w="1474" w:type="dxa"/>
            <w:vAlign w:val="center"/>
          </w:tcPr>
          <w:p w14:paraId="37868CBC">
            <w:pPr>
              <w:pStyle w:val="11"/>
            </w:pPr>
          </w:p>
        </w:tc>
        <w:tc>
          <w:tcPr>
            <w:tcW w:w="3402" w:type="dxa"/>
            <w:vAlign w:val="center"/>
          </w:tcPr>
          <w:p w14:paraId="3CCCAFED">
            <w:pPr>
              <w:pStyle w:val="12"/>
            </w:pPr>
            <w:r>
              <w:t>二十五、其他支出</w:t>
            </w:r>
          </w:p>
        </w:tc>
        <w:tc>
          <w:tcPr>
            <w:tcW w:w="1474" w:type="dxa"/>
            <w:vAlign w:val="center"/>
          </w:tcPr>
          <w:p w14:paraId="4F874C05">
            <w:pPr>
              <w:pStyle w:val="11"/>
            </w:pPr>
          </w:p>
        </w:tc>
        <w:tc>
          <w:tcPr>
            <w:tcW w:w="1474" w:type="dxa"/>
            <w:vAlign w:val="center"/>
          </w:tcPr>
          <w:p w14:paraId="6C961EDB">
            <w:pPr>
              <w:pStyle w:val="11"/>
            </w:pPr>
          </w:p>
        </w:tc>
        <w:tc>
          <w:tcPr>
            <w:tcW w:w="1474" w:type="dxa"/>
            <w:vAlign w:val="center"/>
          </w:tcPr>
          <w:p w14:paraId="140EE04D">
            <w:pPr>
              <w:pStyle w:val="11"/>
            </w:pPr>
          </w:p>
        </w:tc>
        <w:tc>
          <w:tcPr>
            <w:tcW w:w="1474" w:type="dxa"/>
            <w:vAlign w:val="center"/>
          </w:tcPr>
          <w:p w14:paraId="26CEA040">
            <w:pPr>
              <w:pStyle w:val="11"/>
            </w:pPr>
          </w:p>
        </w:tc>
      </w:tr>
      <w:tr w14:paraId="01A7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7CBB9">
            <w:pPr>
              <w:pStyle w:val="13"/>
            </w:pPr>
            <w:r>
              <w:t>26</w:t>
            </w:r>
          </w:p>
        </w:tc>
        <w:tc>
          <w:tcPr>
            <w:tcW w:w="3402" w:type="dxa"/>
            <w:vAlign w:val="center"/>
          </w:tcPr>
          <w:p w14:paraId="21FACAD6">
            <w:pPr>
              <w:pStyle w:val="12"/>
            </w:pPr>
          </w:p>
        </w:tc>
        <w:tc>
          <w:tcPr>
            <w:tcW w:w="1474" w:type="dxa"/>
            <w:vAlign w:val="center"/>
          </w:tcPr>
          <w:p w14:paraId="36AEB17A">
            <w:pPr>
              <w:pStyle w:val="11"/>
            </w:pPr>
          </w:p>
        </w:tc>
        <w:tc>
          <w:tcPr>
            <w:tcW w:w="3402" w:type="dxa"/>
            <w:vAlign w:val="center"/>
          </w:tcPr>
          <w:p w14:paraId="73BD2EEB">
            <w:pPr>
              <w:pStyle w:val="12"/>
            </w:pPr>
            <w:r>
              <w:t>二十六、转移性支出</w:t>
            </w:r>
          </w:p>
        </w:tc>
        <w:tc>
          <w:tcPr>
            <w:tcW w:w="1474" w:type="dxa"/>
            <w:vAlign w:val="center"/>
          </w:tcPr>
          <w:p w14:paraId="397ACF07">
            <w:pPr>
              <w:pStyle w:val="11"/>
            </w:pPr>
          </w:p>
        </w:tc>
        <w:tc>
          <w:tcPr>
            <w:tcW w:w="1474" w:type="dxa"/>
            <w:vAlign w:val="center"/>
          </w:tcPr>
          <w:p w14:paraId="2FEBED6E">
            <w:pPr>
              <w:pStyle w:val="11"/>
            </w:pPr>
          </w:p>
        </w:tc>
        <w:tc>
          <w:tcPr>
            <w:tcW w:w="1474" w:type="dxa"/>
            <w:vAlign w:val="center"/>
          </w:tcPr>
          <w:p w14:paraId="2161BB70">
            <w:pPr>
              <w:pStyle w:val="11"/>
            </w:pPr>
          </w:p>
        </w:tc>
        <w:tc>
          <w:tcPr>
            <w:tcW w:w="1474" w:type="dxa"/>
            <w:vAlign w:val="center"/>
          </w:tcPr>
          <w:p w14:paraId="65C1CC8F">
            <w:pPr>
              <w:pStyle w:val="11"/>
            </w:pPr>
          </w:p>
        </w:tc>
      </w:tr>
      <w:tr w14:paraId="350C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4A9F">
            <w:pPr>
              <w:pStyle w:val="13"/>
            </w:pPr>
            <w:r>
              <w:t>27</w:t>
            </w:r>
          </w:p>
        </w:tc>
        <w:tc>
          <w:tcPr>
            <w:tcW w:w="3402" w:type="dxa"/>
            <w:vAlign w:val="center"/>
          </w:tcPr>
          <w:p w14:paraId="370CBD8D">
            <w:pPr>
              <w:pStyle w:val="12"/>
            </w:pPr>
          </w:p>
        </w:tc>
        <w:tc>
          <w:tcPr>
            <w:tcW w:w="1474" w:type="dxa"/>
            <w:vAlign w:val="center"/>
          </w:tcPr>
          <w:p w14:paraId="66C81D6B">
            <w:pPr>
              <w:pStyle w:val="11"/>
            </w:pPr>
          </w:p>
        </w:tc>
        <w:tc>
          <w:tcPr>
            <w:tcW w:w="3402" w:type="dxa"/>
            <w:vAlign w:val="center"/>
          </w:tcPr>
          <w:p w14:paraId="3E51034A">
            <w:pPr>
              <w:pStyle w:val="12"/>
            </w:pPr>
            <w:r>
              <w:t>二十七、债务还本支出</w:t>
            </w:r>
          </w:p>
        </w:tc>
        <w:tc>
          <w:tcPr>
            <w:tcW w:w="1474" w:type="dxa"/>
            <w:vAlign w:val="center"/>
          </w:tcPr>
          <w:p w14:paraId="27508937">
            <w:pPr>
              <w:pStyle w:val="11"/>
            </w:pPr>
          </w:p>
        </w:tc>
        <w:tc>
          <w:tcPr>
            <w:tcW w:w="1474" w:type="dxa"/>
            <w:vAlign w:val="center"/>
          </w:tcPr>
          <w:p w14:paraId="39278F3F">
            <w:pPr>
              <w:pStyle w:val="11"/>
            </w:pPr>
          </w:p>
        </w:tc>
        <w:tc>
          <w:tcPr>
            <w:tcW w:w="1474" w:type="dxa"/>
            <w:vAlign w:val="center"/>
          </w:tcPr>
          <w:p w14:paraId="2F0FC480">
            <w:pPr>
              <w:pStyle w:val="11"/>
            </w:pPr>
          </w:p>
        </w:tc>
        <w:tc>
          <w:tcPr>
            <w:tcW w:w="1474" w:type="dxa"/>
            <w:vAlign w:val="center"/>
          </w:tcPr>
          <w:p w14:paraId="4DFE7B9E">
            <w:pPr>
              <w:pStyle w:val="11"/>
            </w:pPr>
          </w:p>
        </w:tc>
      </w:tr>
      <w:tr w14:paraId="048F6640">
        <w:tblPrEx>
          <w:tblCellMar>
            <w:top w:w="0" w:type="dxa"/>
            <w:left w:w="108" w:type="dxa"/>
            <w:bottom w:w="0" w:type="dxa"/>
            <w:right w:w="108" w:type="dxa"/>
          </w:tblCellMar>
        </w:tblPrEx>
        <w:trPr>
          <w:trHeight w:val="369" w:hRule="atLeast"/>
          <w:jc w:val="center"/>
        </w:trPr>
        <w:tc>
          <w:tcPr>
            <w:tcW w:w="850" w:type="dxa"/>
            <w:vAlign w:val="center"/>
          </w:tcPr>
          <w:p w14:paraId="351EE5D0">
            <w:pPr>
              <w:pStyle w:val="13"/>
            </w:pPr>
            <w:r>
              <w:t>28</w:t>
            </w:r>
          </w:p>
        </w:tc>
        <w:tc>
          <w:tcPr>
            <w:tcW w:w="3402" w:type="dxa"/>
            <w:vAlign w:val="center"/>
          </w:tcPr>
          <w:p w14:paraId="56EB1554">
            <w:pPr>
              <w:pStyle w:val="12"/>
            </w:pPr>
          </w:p>
        </w:tc>
        <w:tc>
          <w:tcPr>
            <w:tcW w:w="1474" w:type="dxa"/>
            <w:vAlign w:val="center"/>
          </w:tcPr>
          <w:p w14:paraId="6EE3DD08">
            <w:pPr>
              <w:pStyle w:val="11"/>
            </w:pPr>
          </w:p>
        </w:tc>
        <w:tc>
          <w:tcPr>
            <w:tcW w:w="3402" w:type="dxa"/>
            <w:vAlign w:val="center"/>
          </w:tcPr>
          <w:p w14:paraId="23A0FB32">
            <w:pPr>
              <w:pStyle w:val="12"/>
            </w:pPr>
            <w:r>
              <w:t>二十八、债务付息支出</w:t>
            </w:r>
          </w:p>
        </w:tc>
        <w:tc>
          <w:tcPr>
            <w:tcW w:w="1474" w:type="dxa"/>
            <w:vAlign w:val="center"/>
          </w:tcPr>
          <w:p w14:paraId="45BB70DA">
            <w:pPr>
              <w:pStyle w:val="11"/>
            </w:pPr>
          </w:p>
        </w:tc>
        <w:tc>
          <w:tcPr>
            <w:tcW w:w="1474" w:type="dxa"/>
            <w:vAlign w:val="center"/>
          </w:tcPr>
          <w:p w14:paraId="04EA52A9">
            <w:pPr>
              <w:pStyle w:val="11"/>
            </w:pPr>
          </w:p>
        </w:tc>
        <w:tc>
          <w:tcPr>
            <w:tcW w:w="1474" w:type="dxa"/>
            <w:vAlign w:val="center"/>
          </w:tcPr>
          <w:p w14:paraId="3802FF76">
            <w:pPr>
              <w:pStyle w:val="11"/>
            </w:pPr>
          </w:p>
        </w:tc>
        <w:tc>
          <w:tcPr>
            <w:tcW w:w="1474" w:type="dxa"/>
            <w:vAlign w:val="center"/>
          </w:tcPr>
          <w:p w14:paraId="532C58EC">
            <w:pPr>
              <w:pStyle w:val="11"/>
            </w:pPr>
          </w:p>
        </w:tc>
      </w:tr>
      <w:tr w14:paraId="6C82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E339C">
            <w:pPr>
              <w:pStyle w:val="13"/>
            </w:pPr>
            <w:r>
              <w:t>29</w:t>
            </w:r>
          </w:p>
        </w:tc>
        <w:tc>
          <w:tcPr>
            <w:tcW w:w="3402" w:type="dxa"/>
            <w:vAlign w:val="center"/>
          </w:tcPr>
          <w:p w14:paraId="37554205">
            <w:pPr>
              <w:pStyle w:val="12"/>
            </w:pPr>
          </w:p>
        </w:tc>
        <w:tc>
          <w:tcPr>
            <w:tcW w:w="1474" w:type="dxa"/>
            <w:vAlign w:val="center"/>
          </w:tcPr>
          <w:p w14:paraId="2E51979A">
            <w:pPr>
              <w:pStyle w:val="11"/>
            </w:pPr>
          </w:p>
        </w:tc>
        <w:tc>
          <w:tcPr>
            <w:tcW w:w="3402" w:type="dxa"/>
            <w:vAlign w:val="center"/>
          </w:tcPr>
          <w:p w14:paraId="35E11B7D">
            <w:pPr>
              <w:pStyle w:val="12"/>
            </w:pPr>
            <w:r>
              <w:t>二十九、债务发行费用支出</w:t>
            </w:r>
          </w:p>
        </w:tc>
        <w:tc>
          <w:tcPr>
            <w:tcW w:w="1474" w:type="dxa"/>
            <w:vAlign w:val="center"/>
          </w:tcPr>
          <w:p w14:paraId="65268433">
            <w:pPr>
              <w:pStyle w:val="11"/>
            </w:pPr>
          </w:p>
        </w:tc>
        <w:tc>
          <w:tcPr>
            <w:tcW w:w="1474" w:type="dxa"/>
            <w:vAlign w:val="center"/>
          </w:tcPr>
          <w:p w14:paraId="31225EEC">
            <w:pPr>
              <w:pStyle w:val="11"/>
            </w:pPr>
          </w:p>
        </w:tc>
        <w:tc>
          <w:tcPr>
            <w:tcW w:w="1474" w:type="dxa"/>
            <w:vAlign w:val="center"/>
          </w:tcPr>
          <w:p w14:paraId="49FB4A70">
            <w:pPr>
              <w:pStyle w:val="11"/>
            </w:pPr>
          </w:p>
        </w:tc>
        <w:tc>
          <w:tcPr>
            <w:tcW w:w="1474" w:type="dxa"/>
            <w:vAlign w:val="center"/>
          </w:tcPr>
          <w:p w14:paraId="458EE7E5">
            <w:pPr>
              <w:pStyle w:val="11"/>
            </w:pPr>
          </w:p>
        </w:tc>
      </w:tr>
      <w:tr w14:paraId="4B4B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64D9">
            <w:pPr>
              <w:pStyle w:val="13"/>
            </w:pPr>
            <w:r>
              <w:t>30</w:t>
            </w:r>
          </w:p>
        </w:tc>
        <w:tc>
          <w:tcPr>
            <w:tcW w:w="3402" w:type="dxa"/>
            <w:vAlign w:val="center"/>
          </w:tcPr>
          <w:p w14:paraId="5706C112">
            <w:pPr>
              <w:pStyle w:val="12"/>
            </w:pPr>
          </w:p>
        </w:tc>
        <w:tc>
          <w:tcPr>
            <w:tcW w:w="1474" w:type="dxa"/>
            <w:vAlign w:val="center"/>
          </w:tcPr>
          <w:p w14:paraId="32D7251E">
            <w:pPr>
              <w:pStyle w:val="11"/>
            </w:pPr>
          </w:p>
        </w:tc>
        <w:tc>
          <w:tcPr>
            <w:tcW w:w="3402" w:type="dxa"/>
            <w:vAlign w:val="center"/>
          </w:tcPr>
          <w:p w14:paraId="4CA506A8">
            <w:pPr>
              <w:pStyle w:val="12"/>
            </w:pPr>
            <w:r>
              <w:t>三十、抗疫特别国债安排的支出</w:t>
            </w:r>
          </w:p>
        </w:tc>
        <w:tc>
          <w:tcPr>
            <w:tcW w:w="1474" w:type="dxa"/>
            <w:vAlign w:val="center"/>
          </w:tcPr>
          <w:p w14:paraId="2B2028A1">
            <w:pPr>
              <w:pStyle w:val="11"/>
            </w:pPr>
          </w:p>
        </w:tc>
        <w:tc>
          <w:tcPr>
            <w:tcW w:w="1474" w:type="dxa"/>
            <w:vAlign w:val="center"/>
          </w:tcPr>
          <w:p w14:paraId="68224F4B">
            <w:pPr>
              <w:pStyle w:val="11"/>
            </w:pPr>
          </w:p>
        </w:tc>
        <w:tc>
          <w:tcPr>
            <w:tcW w:w="1474" w:type="dxa"/>
            <w:vAlign w:val="center"/>
          </w:tcPr>
          <w:p w14:paraId="230D613E">
            <w:pPr>
              <w:pStyle w:val="11"/>
            </w:pPr>
          </w:p>
        </w:tc>
        <w:tc>
          <w:tcPr>
            <w:tcW w:w="1474" w:type="dxa"/>
            <w:vAlign w:val="center"/>
          </w:tcPr>
          <w:p w14:paraId="00355118">
            <w:pPr>
              <w:pStyle w:val="11"/>
            </w:pPr>
          </w:p>
        </w:tc>
      </w:tr>
      <w:tr w14:paraId="63C2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94DA9">
            <w:pPr>
              <w:pStyle w:val="13"/>
            </w:pPr>
            <w:r>
              <w:t>31</w:t>
            </w:r>
          </w:p>
        </w:tc>
        <w:tc>
          <w:tcPr>
            <w:tcW w:w="3402" w:type="dxa"/>
            <w:vAlign w:val="center"/>
          </w:tcPr>
          <w:p w14:paraId="3F575764">
            <w:pPr>
              <w:pStyle w:val="12"/>
            </w:pPr>
          </w:p>
        </w:tc>
        <w:tc>
          <w:tcPr>
            <w:tcW w:w="1474" w:type="dxa"/>
            <w:vAlign w:val="center"/>
          </w:tcPr>
          <w:p w14:paraId="3D4617D2">
            <w:pPr>
              <w:pStyle w:val="11"/>
            </w:pPr>
          </w:p>
        </w:tc>
        <w:tc>
          <w:tcPr>
            <w:tcW w:w="3402" w:type="dxa"/>
            <w:vAlign w:val="center"/>
          </w:tcPr>
          <w:p w14:paraId="4F681184">
            <w:pPr>
              <w:pStyle w:val="12"/>
            </w:pPr>
            <w:r>
              <w:t>三十一、人行科目</w:t>
            </w:r>
          </w:p>
        </w:tc>
        <w:tc>
          <w:tcPr>
            <w:tcW w:w="1474" w:type="dxa"/>
            <w:vAlign w:val="center"/>
          </w:tcPr>
          <w:p w14:paraId="36AF4E2B">
            <w:pPr>
              <w:pStyle w:val="11"/>
            </w:pPr>
          </w:p>
        </w:tc>
        <w:tc>
          <w:tcPr>
            <w:tcW w:w="1474" w:type="dxa"/>
            <w:vAlign w:val="center"/>
          </w:tcPr>
          <w:p w14:paraId="6DFB1AEF">
            <w:pPr>
              <w:pStyle w:val="11"/>
            </w:pPr>
          </w:p>
        </w:tc>
        <w:tc>
          <w:tcPr>
            <w:tcW w:w="1474" w:type="dxa"/>
            <w:vAlign w:val="center"/>
          </w:tcPr>
          <w:p w14:paraId="64C8CB8C">
            <w:pPr>
              <w:pStyle w:val="11"/>
            </w:pPr>
          </w:p>
        </w:tc>
        <w:tc>
          <w:tcPr>
            <w:tcW w:w="1474" w:type="dxa"/>
            <w:vAlign w:val="center"/>
          </w:tcPr>
          <w:p w14:paraId="03B6A531">
            <w:pPr>
              <w:pStyle w:val="11"/>
            </w:pPr>
          </w:p>
        </w:tc>
      </w:tr>
      <w:tr w14:paraId="14E8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A3DC">
            <w:pPr>
              <w:pStyle w:val="13"/>
            </w:pPr>
            <w:r>
              <w:t>32</w:t>
            </w:r>
          </w:p>
        </w:tc>
        <w:tc>
          <w:tcPr>
            <w:tcW w:w="3402" w:type="dxa"/>
            <w:vAlign w:val="center"/>
          </w:tcPr>
          <w:p w14:paraId="50F07BC8">
            <w:pPr>
              <w:pStyle w:val="14"/>
            </w:pPr>
            <w:r>
              <w:t>本年收入合计</w:t>
            </w:r>
          </w:p>
        </w:tc>
        <w:tc>
          <w:tcPr>
            <w:tcW w:w="1474" w:type="dxa"/>
            <w:vAlign w:val="center"/>
          </w:tcPr>
          <w:p w14:paraId="5D99895F">
            <w:pPr>
              <w:pStyle w:val="15"/>
            </w:pPr>
            <w:r>
              <w:t>2136.41</w:t>
            </w:r>
          </w:p>
        </w:tc>
        <w:tc>
          <w:tcPr>
            <w:tcW w:w="3402" w:type="dxa"/>
            <w:vAlign w:val="center"/>
          </w:tcPr>
          <w:p w14:paraId="1EF859CE">
            <w:pPr>
              <w:pStyle w:val="14"/>
            </w:pPr>
            <w:r>
              <w:t>本年支出合计</w:t>
            </w:r>
          </w:p>
        </w:tc>
        <w:tc>
          <w:tcPr>
            <w:tcW w:w="1474" w:type="dxa"/>
            <w:vAlign w:val="center"/>
          </w:tcPr>
          <w:p w14:paraId="6C0C65C6">
            <w:pPr>
              <w:pStyle w:val="15"/>
            </w:pPr>
            <w:r>
              <w:t>2136.41</w:t>
            </w:r>
          </w:p>
        </w:tc>
        <w:tc>
          <w:tcPr>
            <w:tcW w:w="1474" w:type="dxa"/>
            <w:vAlign w:val="center"/>
          </w:tcPr>
          <w:p w14:paraId="6F4C9D93">
            <w:pPr>
              <w:pStyle w:val="15"/>
            </w:pPr>
            <w:r>
              <w:t>2136.41</w:t>
            </w:r>
          </w:p>
        </w:tc>
        <w:tc>
          <w:tcPr>
            <w:tcW w:w="1474" w:type="dxa"/>
            <w:vAlign w:val="center"/>
          </w:tcPr>
          <w:p w14:paraId="68D0A162">
            <w:pPr>
              <w:pStyle w:val="15"/>
            </w:pPr>
          </w:p>
        </w:tc>
        <w:tc>
          <w:tcPr>
            <w:tcW w:w="1474" w:type="dxa"/>
            <w:vAlign w:val="center"/>
          </w:tcPr>
          <w:p w14:paraId="22EAACF8">
            <w:pPr>
              <w:pStyle w:val="15"/>
            </w:pPr>
          </w:p>
        </w:tc>
      </w:tr>
      <w:tr w14:paraId="109B6257">
        <w:tblPrEx>
          <w:tblCellMar>
            <w:top w:w="0" w:type="dxa"/>
            <w:left w:w="108" w:type="dxa"/>
            <w:bottom w:w="0" w:type="dxa"/>
            <w:right w:w="108" w:type="dxa"/>
          </w:tblCellMar>
        </w:tblPrEx>
        <w:trPr>
          <w:trHeight w:val="369" w:hRule="atLeast"/>
          <w:jc w:val="center"/>
        </w:trPr>
        <w:tc>
          <w:tcPr>
            <w:tcW w:w="850" w:type="dxa"/>
            <w:vAlign w:val="center"/>
          </w:tcPr>
          <w:p w14:paraId="7F76367D">
            <w:pPr>
              <w:pStyle w:val="13"/>
            </w:pPr>
            <w:r>
              <w:t>33</w:t>
            </w:r>
          </w:p>
        </w:tc>
        <w:tc>
          <w:tcPr>
            <w:tcW w:w="3402" w:type="dxa"/>
            <w:vAlign w:val="center"/>
          </w:tcPr>
          <w:p w14:paraId="63EE77B4">
            <w:pPr>
              <w:pStyle w:val="12"/>
            </w:pPr>
            <w:r>
              <w:t>年初财政拨款结转和结余</w:t>
            </w:r>
          </w:p>
        </w:tc>
        <w:tc>
          <w:tcPr>
            <w:tcW w:w="1474" w:type="dxa"/>
            <w:vAlign w:val="center"/>
          </w:tcPr>
          <w:p w14:paraId="4A40C5FF">
            <w:pPr>
              <w:pStyle w:val="11"/>
            </w:pPr>
          </w:p>
        </w:tc>
        <w:tc>
          <w:tcPr>
            <w:tcW w:w="3402" w:type="dxa"/>
            <w:vAlign w:val="center"/>
          </w:tcPr>
          <w:p w14:paraId="01479434">
            <w:pPr>
              <w:pStyle w:val="12"/>
            </w:pPr>
            <w:r>
              <w:t>年末财政拨款结转和结余</w:t>
            </w:r>
          </w:p>
        </w:tc>
        <w:tc>
          <w:tcPr>
            <w:tcW w:w="1474" w:type="dxa"/>
            <w:vAlign w:val="center"/>
          </w:tcPr>
          <w:p w14:paraId="55845E6F">
            <w:pPr>
              <w:pStyle w:val="11"/>
            </w:pPr>
          </w:p>
        </w:tc>
        <w:tc>
          <w:tcPr>
            <w:tcW w:w="1474" w:type="dxa"/>
            <w:vAlign w:val="center"/>
          </w:tcPr>
          <w:p w14:paraId="44214226">
            <w:pPr>
              <w:pStyle w:val="11"/>
            </w:pPr>
          </w:p>
        </w:tc>
        <w:tc>
          <w:tcPr>
            <w:tcW w:w="1474" w:type="dxa"/>
            <w:vAlign w:val="center"/>
          </w:tcPr>
          <w:p w14:paraId="0CBD3E48">
            <w:pPr>
              <w:pStyle w:val="11"/>
            </w:pPr>
          </w:p>
        </w:tc>
        <w:tc>
          <w:tcPr>
            <w:tcW w:w="1474" w:type="dxa"/>
            <w:vAlign w:val="center"/>
          </w:tcPr>
          <w:p w14:paraId="71542607">
            <w:pPr>
              <w:pStyle w:val="11"/>
            </w:pPr>
          </w:p>
        </w:tc>
      </w:tr>
      <w:tr w14:paraId="4375DD39">
        <w:tblPrEx>
          <w:tblCellMar>
            <w:top w:w="0" w:type="dxa"/>
            <w:left w:w="108" w:type="dxa"/>
            <w:bottom w:w="0" w:type="dxa"/>
            <w:right w:w="108" w:type="dxa"/>
          </w:tblCellMar>
        </w:tblPrEx>
        <w:trPr>
          <w:trHeight w:val="369" w:hRule="atLeast"/>
          <w:jc w:val="center"/>
        </w:trPr>
        <w:tc>
          <w:tcPr>
            <w:tcW w:w="850" w:type="dxa"/>
            <w:vAlign w:val="center"/>
          </w:tcPr>
          <w:p w14:paraId="1469509A">
            <w:pPr>
              <w:pStyle w:val="13"/>
            </w:pPr>
            <w:r>
              <w:t>34</w:t>
            </w:r>
          </w:p>
        </w:tc>
        <w:tc>
          <w:tcPr>
            <w:tcW w:w="3402" w:type="dxa"/>
            <w:vAlign w:val="center"/>
          </w:tcPr>
          <w:p w14:paraId="493E9395">
            <w:pPr>
              <w:pStyle w:val="12"/>
            </w:pPr>
            <w:r>
              <w:t>一、一般公共预算拨款</w:t>
            </w:r>
          </w:p>
        </w:tc>
        <w:tc>
          <w:tcPr>
            <w:tcW w:w="1474" w:type="dxa"/>
            <w:vAlign w:val="center"/>
          </w:tcPr>
          <w:p w14:paraId="3B1DF948">
            <w:pPr>
              <w:pStyle w:val="11"/>
            </w:pPr>
          </w:p>
        </w:tc>
        <w:tc>
          <w:tcPr>
            <w:tcW w:w="3402" w:type="dxa"/>
            <w:vAlign w:val="center"/>
          </w:tcPr>
          <w:p w14:paraId="03EF5E47">
            <w:pPr>
              <w:pStyle w:val="12"/>
            </w:pPr>
          </w:p>
        </w:tc>
        <w:tc>
          <w:tcPr>
            <w:tcW w:w="1474" w:type="dxa"/>
            <w:vAlign w:val="center"/>
          </w:tcPr>
          <w:p w14:paraId="35F5BFF6">
            <w:pPr>
              <w:pStyle w:val="11"/>
            </w:pPr>
          </w:p>
        </w:tc>
        <w:tc>
          <w:tcPr>
            <w:tcW w:w="1474" w:type="dxa"/>
            <w:vAlign w:val="center"/>
          </w:tcPr>
          <w:p w14:paraId="6A03E851">
            <w:pPr>
              <w:pStyle w:val="11"/>
            </w:pPr>
          </w:p>
        </w:tc>
        <w:tc>
          <w:tcPr>
            <w:tcW w:w="1474" w:type="dxa"/>
            <w:vAlign w:val="center"/>
          </w:tcPr>
          <w:p w14:paraId="3ADC6A34">
            <w:pPr>
              <w:pStyle w:val="11"/>
            </w:pPr>
          </w:p>
        </w:tc>
        <w:tc>
          <w:tcPr>
            <w:tcW w:w="1474" w:type="dxa"/>
            <w:vAlign w:val="center"/>
          </w:tcPr>
          <w:p w14:paraId="69F9F0E1">
            <w:pPr>
              <w:pStyle w:val="11"/>
            </w:pPr>
          </w:p>
        </w:tc>
      </w:tr>
      <w:tr w14:paraId="5508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FBE4">
            <w:pPr>
              <w:pStyle w:val="13"/>
            </w:pPr>
            <w:r>
              <w:t>35</w:t>
            </w:r>
          </w:p>
        </w:tc>
        <w:tc>
          <w:tcPr>
            <w:tcW w:w="3402" w:type="dxa"/>
            <w:vAlign w:val="center"/>
          </w:tcPr>
          <w:p w14:paraId="3BAA8B2A">
            <w:pPr>
              <w:pStyle w:val="12"/>
            </w:pPr>
            <w:r>
              <w:t>二、政府性基金预算拨款</w:t>
            </w:r>
          </w:p>
        </w:tc>
        <w:tc>
          <w:tcPr>
            <w:tcW w:w="1474" w:type="dxa"/>
            <w:vAlign w:val="center"/>
          </w:tcPr>
          <w:p w14:paraId="27F2F884">
            <w:pPr>
              <w:pStyle w:val="11"/>
            </w:pPr>
          </w:p>
        </w:tc>
        <w:tc>
          <w:tcPr>
            <w:tcW w:w="3402" w:type="dxa"/>
            <w:vAlign w:val="center"/>
          </w:tcPr>
          <w:p w14:paraId="71BCBF9A">
            <w:pPr>
              <w:pStyle w:val="12"/>
            </w:pPr>
          </w:p>
        </w:tc>
        <w:tc>
          <w:tcPr>
            <w:tcW w:w="1474" w:type="dxa"/>
            <w:vAlign w:val="center"/>
          </w:tcPr>
          <w:p w14:paraId="3F344C82">
            <w:pPr>
              <w:pStyle w:val="11"/>
            </w:pPr>
          </w:p>
        </w:tc>
        <w:tc>
          <w:tcPr>
            <w:tcW w:w="1474" w:type="dxa"/>
            <w:vAlign w:val="center"/>
          </w:tcPr>
          <w:p w14:paraId="45DFB47F">
            <w:pPr>
              <w:pStyle w:val="11"/>
            </w:pPr>
          </w:p>
        </w:tc>
        <w:tc>
          <w:tcPr>
            <w:tcW w:w="1474" w:type="dxa"/>
            <w:vAlign w:val="center"/>
          </w:tcPr>
          <w:p w14:paraId="6308C15A">
            <w:pPr>
              <w:pStyle w:val="11"/>
            </w:pPr>
          </w:p>
        </w:tc>
        <w:tc>
          <w:tcPr>
            <w:tcW w:w="1474" w:type="dxa"/>
            <w:vAlign w:val="center"/>
          </w:tcPr>
          <w:p w14:paraId="5A8F42AB">
            <w:pPr>
              <w:pStyle w:val="11"/>
            </w:pPr>
          </w:p>
        </w:tc>
      </w:tr>
      <w:tr w14:paraId="2B4F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9266">
            <w:pPr>
              <w:pStyle w:val="13"/>
            </w:pPr>
            <w:r>
              <w:t>36</w:t>
            </w:r>
          </w:p>
        </w:tc>
        <w:tc>
          <w:tcPr>
            <w:tcW w:w="3402" w:type="dxa"/>
            <w:vAlign w:val="center"/>
          </w:tcPr>
          <w:p w14:paraId="14608908">
            <w:pPr>
              <w:pStyle w:val="12"/>
            </w:pPr>
            <w:r>
              <w:t>三、国有资本经营预算拨款</w:t>
            </w:r>
          </w:p>
        </w:tc>
        <w:tc>
          <w:tcPr>
            <w:tcW w:w="1474" w:type="dxa"/>
            <w:vAlign w:val="center"/>
          </w:tcPr>
          <w:p w14:paraId="7D4F88F1">
            <w:pPr>
              <w:pStyle w:val="11"/>
            </w:pPr>
          </w:p>
        </w:tc>
        <w:tc>
          <w:tcPr>
            <w:tcW w:w="3402" w:type="dxa"/>
            <w:vAlign w:val="center"/>
          </w:tcPr>
          <w:p w14:paraId="58182A24">
            <w:pPr>
              <w:pStyle w:val="12"/>
            </w:pPr>
          </w:p>
        </w:tc>
        <w:tc>
          <w:tcPr>
            <w:tcW w:w="1474" w:type="dxa"/>
            <w:vAlign w:val="center"/>
          </w:tcPr>
          <w:p w14:paraId="61A937B9">
            <w:pPr>
              <w:pStyle w:val="11"/>
            </w:pPr>
          </w:p>
        </w:tc>
        <w:tc>
          <w:tcPr>
            <w:tcW w:w="1474" w:type="dxa"/>
            <w:vAlign w:val="center"/>
          </w:tcPr>
          <w:p w14:paraId="00F3D67D">
            <w:pPr>
              <w:pStyle w:val="11"/>
            </w:pPr>
          </w:p>
        </w:tc>
        <w:tc>
          <w:tcPr>
            <w:tcW w:w="1474" w:type="dxa"/>
            <w:vAlign w:val="center"/>
          </w:tcPr>
          <w:p w14:paraId="0B1309E1">
            <w:pPr>
              <w:pStyle w:val="11"/>
            </w:pPr>
          </w:p>
        </w:tc>
        <w:tc>
          <w:tcPr>
            <w:tcW w:w="1474" w:type="dxa"/>
            <w:vAlign w:val="center"/>
          </w:tcPr>
          <w:p w14:paraId="5C43C7C3">
            <w:pPr>
              <w:pStyle w:val="11"/>
            </w:pPr>
          </w:p>
        </w:tc>
      </w:tr>
      <w:tr w14:paraId="209C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3E958">
            <w:pPr>
              <w:pStyle w:val="13"/>
            </w:pPr>
            <w:r>
              <w:t>37</w:t>
            </w:r>
          </w:p>
        </w:tc>
        <w:tc>
          <w:tcPr>
            <w:tcW w:w="3402" w:type="dxa"/>
            <w:vAlign w:val="center"/>
          </w:tcPr>
          <w:p w14:paraId="3BAE84AA">
            <w:pPr>
              <w:pStyle w:val="14"/>
            </w:pPr>
            <w:r>
              <w:t>收入总计</w:t>
            </w:r>
          </w:p>
        </w:tc>
        <w:tc>
          <w:tcPr>
            <w:tcW w:w="1474" w:type="dxa"/>
            <w:vAlign w:val="center"/>
          </w:tcPr>
          <w:p w14:paraId="0F6405C7">
            <w:pPr>
              <w:pStyle w:val="15"/>
            </w:pPr>
            <w:r>
              <w:t>2136.41</w:t>
            </w:r>
          </w:p>
        </w:tc>
        <w:tc>
          <w:tcPr>
            <w:tcW w:w="3402" w:type="dxa"/>
            <w:vAlign w:val="center"/>
          </w:tcPr>
          <w:p w14:paraId="2FDC71DC">
            <w:pPr>
              <w:pStyle w:val="14"/>
            </w:pPr>
            <w:r>
              <w:t>支出总计</w:t>
            </w:r>
          </w:p>
        </w:tc>
        <w:tc>
          <w:tcPr>
            <w:tcW w:w="1474" w:type="dxa"/>
            <w:vAlign w:val="center"/>
          </w:tcPr>
          <w:p w14:paraId="154CDAC8">
            <w:pPr>
              <w:pStyle w:val="15"/>
            </w:pPr>
            <w:r>
              <w:t>2136.41</w:t>
            </w:r>
          </w:p>
        </w:tc>
        <w:tc>
          <w:tcPr>
            <w:tcW w:w="1474" w:type="dxa"/>
            <w:vAlign w:val="center"/>
          </w:tcPr>
          <w:p w14:paraId="0BFA32A3">
            <w:pPr>
              <w:pStyle w:val="15"/>
            </w:pPr>
            <w:r>
              <w:t>2136.41</w:t>
            </w:r>
          </w:p>
        </w:tc>
        <w:tc>
          <w:tcPr>
            <w:tcW w:w="1474" w:type="dxa"/>
            <w:vAlign w:val="center"/>
          </w:tcPr>
          <w:p w14:paraId="7FABCA03">
            <w:pPr>
              <w:pStyle w:val="15"/>
            </w:pPr>
          </w:p>
        </w:tc>
        <w:tc>
          <w:tcPr>
            <w:tcW w:w="1474" w:type="dxa"/>
            <w:vAlign w:val="center"/>
          </w:tcPr>
          <w:p w14:paraId="3FBC8E1E">
            <w:pPr>
              <w:pStyle w:val="15"/>
            </w:pPr>
          </w:p>
        </w:tc>
      </w:tr>
    </w:tbl>
    <w:p w14:paraId="3F0F908C">
      <w:pPr>
        <w:sectPr>
          <w:pgSz w:w="16840" w:h="11900" w:orient="landscape"/>
          <w:pgMar w:top="1361" w:right="1020" w:bottom="1134" w:left="1020" w:header="720" w:footer="720" w:gutter="0"/>
          <w:cols w:space="720" w:num="1"/>
        </w:sectPr>
      </w:pPr>
    </w:p>
    <w:p w14:paraId="5DE494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50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76219B">
            <w:pPr>
              <w:pStyle w:val="9"/>
            </w:pPr>
            <w:r>
              <w:t>360020隆尧县双碑校区</w:t>
            </w:r>
          </w:p>
        </w:tc>
        <w:tc>
          <w:tcPr>
            <w:tcW w:w="2551" w:type="dxa"/>
            <w:tcBorders>
              <w:top w:val="single" w:color="FFFFFF" w:sz="6" w:space="0"/>
              <w:left w:val="single" w:color="FFFFFF" w:sz="6" w:space="0"/>
              <w:right w:val="single" w:color="FFFFFF" w:sz="6" w:space="0"/>
            </w:tcBorders>
            <w:vAlign w:val="center"/>
          </w:tcPr>
          <w:p w14:paraId="3D66F2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F6F895">
            <w:pPr>
              <w:pStyle w:val="7"/>
            </w:pPr>
            <w:r>
              <w:t>单位：万元</w:t>
            </w:r>
          </w:p>
        </w:tc>
      </w:tr>
      <w:tr w14:paraId="6539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232E45">
            <w:pPr>
              <w:pStyle w:val="10"/>
            </w:pPr>
            <w:r>
              <w:t>序号</w:t>
            </w:r>
          </w:p>
        </w:tc>
        <w:tc>
          <w:tcPr>
            <w:tcW w:w="5726" w:type="dxa"/>
            <w:gridSpan w:val="2"/>
            <w:vAlign w:val="center"/>
          </w:tcPr>
          <w:p w14:paraId="3F106959">
            <w:pPr>
              <w:pStyle w:val="10"/>
            </w:pPr>
            <w:r>
              <w:t>功能分类科目</w:t>
            </w:r>
          </w:p>
        </w:tc>
        <w:tc>
          <w:tcPr>
            <w:tcW w:w="2551" w:type="dxa"/>
            <w:vMerge w:val="restart"/>
            <w:vAlign w:val="center"/>
          </w:tcPr>
          <w:p w14:paraId="42082D0B">
            <w:pPr>
              <w:pStyle w:val="10"/>
            </w:pPr>
            <w:r>
              <w:t>合计</w:t>
            </w:r>
          </w:p>
        </w:tc>
        <w:tc>
          <w:tcPr>
            <w:tcW w:w="2551" w:type="dxa"/>
            <w:vMerge w:val="restart"/>
            <w:vAlign w:val="center"/>
          </w:tcPr>
          <w:p w14:paraId="0D6A1F43">
            <w:pPr>
              <w:pStyle w:val="10"/>
            </w:pPr>
            <w:r>
              <w:t>基本支出</w:t>
            </w:r>
          </w:p>
        </w:tc>
        <w:tc>
          <w:tcPr>
            <w:tcW w:w="2551" w:type="dxa"/>
            <w:vMerge w:val="restart"/>
            <w:vAlign w:val="center"/>
          </w:tcPr>
          <w:p w14:paraId="74EC72FD">
            <w:pPr>
              <w:pStyle w:val="10"/>
            </w:pPr>
            <w:r>
              <w:t>项目支出</w:t>
            </w:r>
          </w:p>
        </w:tc>
      </w:tr>
      <w:tr w14:paraId="3B41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D9E35"/>
        </w:tc>
        <w:tc>
          <w:tcPr>
            <w:tcW w:w="1191" w:type="dxa"/>
            <w:vAlign w:val="center"/>
          </w:tcPr>
          <w:p w14:paraId="73BC4F50">
            <w:pPr>
              <w:pStyle w:val="10"/>
            </w:pPr>
            <w:r>
              <w:t>科目编码</w:t>
            </w:r>
          </w:p>
        </w:tc>
        <w:tc>
          <w:tcPr>
            <w:tcW w:w="4535" w:type="dxa"/>
            <w:vAlign w:val="center"/>
          </w:tcPr>
          <w:p w14:paraId="138A7754">
            <w:pPr>
              <w:pStyle w:val="10"/>
            </w:pPr>
            <w:r>
              <w:t>科目名称</w:t>
            </w:r>
          </w:p>
        </w:tc>
        <w:tc>
          <w:tcPr>
            <w:tcW w:w="2551" w:type="dxa"/>
            <w:vMerge w:val="continue"/>
          </w:tcPr>
          <w:p w14:paraId="2F5F12E2"/>
        </w:tc>
        <w:tc>
          <w:tcPr>
            <w:tcW w:w="2551" w:type="dxa"/>
            <w:vMerge w:val="continue"/>
          </w:tcPr>
          <w:p w14:paraId="175E1DE8"/>
        </w:tc>
        <w:tc>
          <w:tcPr>
            <w:tcW w:w="2551" w:type="dxa"/>
            <w:vMerge w:val="continue"/>
          </w:tcPr>
          <w:p w14:paraId="1DE8FCA8"/>
        </w:tc>
      </w:tr>
      <w:tr w14:paraId="52D5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74B54">
            <w:pPr>
              <w:pStyle w:val="10"/>
            </w:pPr>
            <w:r>
              <w:t>栏次</w:t>
            </w:r>
          </w:p>
        </w:tc>
        <w:tc>
          <w:tcPr>
            <w:tcW w:w="1191" w:type="dxa"/>
            <w:vAlign w:val="center"/>
          </w:tcPr>
          <w:p w14:paraId="4CE07516">
            <w:pPr>
              <w:pStyle w:val="10"/>
            </w:pPr>
            <w:r>
              <w:t>1</w:t>
            </w:r>
          </w:p>
        </w:tc>
        <w:tc>
          <w:tcPr>
            <w:tcW w:w="4535" w:type="dxa"/>
            <w:vAlign w:val="center"/>
          </w:tcPr>
          <w:p w14:paraId="321A26EE">
            <w:pPr>
              <w:pStyle w:val="10"/>
            </w:pPr>
            <w:r>
              <w:t>2</w:t>
            </w:r>
          </w:p>
        </w:tc>
        <w:tc>
          <w:tcPr>
            <w:tcW w:w="2551" w:type="dxa"/>
            <w:vAlign w:val="center"/>
          </w:tcPr>
          <w:p w14:paraId="25959344">
            <w:pPr>
              <w:pStyle w:val="10"/>
            </w:pPr>
            <w:r>
              <w:t>3</w:t>
            </w:r>
          </w:p>
        </w:tc>
        <w:tc>
          <w:tcPr>
            <w:tcW w:w="2551" w:type="dxa"/>
            <w:vAlign w:val="center"/>
          </w:tcPr>
          <w:p w14:paraId="288BF98E">
            <w:pPr>
              <w:pStyle w:val="10"/>
            </w:pPr>
            <w:r>
              <w:t>4</w:t>
            </w:r>
          </w:p>
        </w:tc>
        <w:tc>
          <w:tcPr>
            <w:tcW w:w="2551" w:type="dxa"/>
            <w:vAlign w:val="center"/>
          </w:tcPr>
          <w:p w14:paraId="081264E4">
            <w:pPr>
              <w:pStyle w:val="10"/>
            </w:pPr>
            <w:r>
              <w:t>5</w:t>
            </w:r>
          </w:p>
        </w:tc>
      </w:tr>
      <w:tr w14:paraId="0FAD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F5B6">
            <w:pPr>
              <w:pStyle w:val="13"/>
            </w:pPr>
            <w:r>
              <w:t>1</w:t>
            </w:r>
          </w:p>
        </w:tc>
        <w:tc>
          <w:tcPr>
            <w:tcW w:w="1191" w:type="dxa"/>
            <w:vAlign w:val="center"/>
          </w:tcPr>
          <w:p w14:paraId="32BD92D7">
            <w:pPr>
              <w:pStyle w:val="16"/>
            </w:pPr>
          </w:p>
        </w:tc>
        <w:tc>
          <w:tcPr>
            <w:tcW w:w="4535" w:type="dxa"/>
            <w:vAlign w:val="center"/>
          </w:tcPr>
          <w:p w14:paraId="2E986682">
            <w:pPr>
              <w:pStyle w:val="14"/>
            </w:pPr>
            <w:r>
              <w:t>合计</w:t>
            </w:r>
          </w:p>
        </w:tc>
        <w:tc>
          <w:tcPr>
            <w:tcW w:w="2551" w:type="dxa"/>
            <w:vAlign w:val="center"/>
          </w:tcPr>
          <w:p w14:paraId="2CC60B9C">
            <w:pPr>
              <w:pStyle w:val="15"/>
            </w:pPr>
            <w:r>
              <w:t>2136.41</w:t>
            </w:r>
          </w:p>
        </w:tc>
        <w:tc>
          <w:tcPr>
            <w:tcW w:w="2551" w:type="dxa"/>
            <w:vAlign w:val="center"/>
          </w:tcPr>
          <w:p w14:paraId="336A46B9">
            <w:pPr>
              <w:pStyle w:val="15"/>
            </w:pPr>
            <w:r>
              <w:t>1560.12</w:t>
            </w:r>
          </w:p>
        </w:tc>
        <w:tc>
          <w:tcPr>
            <w:tcW w:w="2551" w:type="dxa"/>
            <w:vAlign w:val="center"/>
          </w:tcPr>
          <w:p w14:paraId="65E8E416">
            <w:pPr>
              <w:pStyle w:val="15"/>
            </w:pPr>
            <w:r>
              <w:t>576.29</w:t>
            </w:r>
          </w:p>
        </w:tc>
      </w:tr>
      <w:tr w14:paraId="2017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E9BA">
            <w:pPr>
              <w:pStyle w:val="13"/>
            </w:pPr>
            <w:r>
              <w:t>2</w:t>
            </w:r>
          </w:p>
        </w:tc>
        <w:tc>
          <w:tcPr>
            <w:tcW w:w="1191" w:type="dxa"/>
            <w:vAlign w:val="center"/>
          </w:tcPr>
          <w:p w14:paraId="5391CAFC">
            <w:pPr>
              <w:pStyle w:val="12"/>
            </w:pPr>
            <w:r>
              <w:t>205</w:t>
            </w:r>
          </w:p>
        </w:tc>
        <w:tc>
          <w:tcPr>
            <w:tcW w:w="4535" w:type="dxa"/>
            <w:vAlign w:val="center"/>
          </w:tcPr>
          <w:p w14:paraId="7E40E2ED">
            <w:pPr>
              <w:pStyle w:val="12"/>
            </w:pPr>
            <w:r>
              <w:t>教育支出</w:t>
            </w:r>
          </w:p>
        </w:tc>
        <w:tc>
          <w:tcPr>
            <w:tcW w:w="2551" w:type="dxa"/>
            <w:vAlign w:val="center"/>
          </w:tcPr>
          <w:p w14:paraId="102E6C57">
            <w:pPr>
              <w:pStyle w:val="11"/>
            </w:pPr>
            <w:r>
              <w:t>2136.41</w:t>
            </w:r>
          </w:p>
        </w:tc>
        <w:tc>
          <w:tcPr>
            <w:tcW w:w="2551" w:type="dxa"/>
            <w:vAlign w:val="center"/>
          </w:tcPr>
          <w:p w14:paraId="3F8F8711">
            <w:pPr>
              <w:pStyle w:val="11"/>
            </w:pPr>
            <w:r>
              <w:t>1560.12</w:t>
            </w:r>
          </w:p>
        </w:tc>
        <w:tc>
          <w:tcPr>
            <w:tcW w:w="2551" w:type="dxa"/>
            <w:vAlign w:val="center"/>
          </w:tcPr>
          <w:p w14:paraId="243E20C7">
            <w:pPr>
              <w:pStyle w:val="11"/>
            </w:pPr>
            <w:r>
              <w:t>576.29</w:t>
            </w:r>
          </w:p>
        </w:tc>
      </w:tr>
      <w:tr w14:paraId="5382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DEE76">
            <w:pPr>
              <w:pStyle w:val="13"/>
            </w:pPr>
            <w:r>
              <w:t>3</w:t>
            </w:r>
          </w:p>
        </w:tc>
        <w:tc>
          <w:tcPr>
            <w:tcW w:w="1191" w:type="dxa"/>
            <w:vAlign w:val="center"/>
          </w:tcPr>
          <w:p w14:paraId="699CD760">
            <w:pPr>
              <w:pStyle w:val="12"/>
            </w:pPr>
            <w:r>
              <w:t>20502</w:t>
            </w:r>
          </w:p>
        </w:tc>
        <w:tc>
          <w:tcPr>
            <w:tcW w:w="4535" w:type="dxa"/>
            <w:vAlign w:val="center"/>
          </w:tcPr>
          <w:p w14:paraId="705F1FBA">
            <w:pPr>
              <w:pStyle w:val="12"/>
            </w:pPr>
            <w:r>
              <w:t>普通教育</w:t>
            </w:r>
          </w:p>
        </w:tc>
        <w:tc>
          <w:tcPr>
            <w:tcW w:w="2551" w:type="dxa"/>
            <w:vAlign w:val="center"/>
          </w:tcPr>
          <w:p w14:paraId="0167C2FF">
            <w:pPr>
              <w:pStyle w:val="11"/>
            </w:pPr>
            <w:r>
              <w:t>2136.41</w:t>
            </w:r>
          </w:p>
        </w:tc>
        <w:tc>
          <w:tcPr>
            <w:tcW w:w="2551" w:type="dxa"/>
            <w:vAlign w:val="center"/>
          </w:tcPr>
          <w:p w14:paraId="5066831F">
            <w:pPr>
              <w:pStyle w:val="11"/>
            </w:pPr>
            <w:r>
              <w:t>1560.12</w:t>
            </w:r>
          </w:p>
        </w:tc>
        <w:tc>
          <w:tcPr>
            <w:tcW w:w="2551" w:type="dxa"/>
            <w:vAlign w:val="center"/>
          </w:tcPr>
          <w:p w14:paraId="35552D41">
            <w:pPr>
              <w:pStyle w:val="11"/>
            </w:pPr>
            <w:r>
              <w:t>576.29</w:t>
            </w:r>
          </w:p>
        </w:tc>
      </w:tr>
      <w:tr w14:paraId="024B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82B1">
            <w:pPr>
              <w:pStyle w:val="13"/>
            </w:pPr>
            <w:r>
              <w:t>4</w:t>
            </w:r>
          </w:p>
        </w:tc>
        <w:tc>
          <w:tcPr>
            <w:tcW w:w="1191" w:type="dxa"/>
            <w:vAlign w:val="center"/>
          </w:tcPr>
          <w:p w14:paraId="7A9B30F6">
            <w:pPr>
              <w:pStyle w:val="12"/>
            </w:pPr>
            <w:r>
              <w:t>2050201</w:t>
            </w:r>
          </w:p>
        </w:tc>
        <w:tc>
          <w:tcPr>
            <w:tcW w:w="4535" w:type="dxa"/>
            <w:vAlign w:val="center"/>
          </w:tcPr>
          <w:p w14:paraId="3A4FD443">
            <w:pPr>
              <w:pStyle w:val="12"/>
            </w:pPr>
            <w:r>
              <w:t>学前教育</w:t>
            </w:r>
          </w:p>
        </w:tc>
        <w:tc>
          <w:tcPr>
            <w:tcW w:w="2551" w:type="dxa"/>
            <w:vAlign w:val="center"/>
          </w:tcPr>
          <w:p w14:paraId="44283547">
            <w:pPr>
              <w:pStyle w:val="11"/>
            </w:pPr>
            <w:r>
              <w:t>159.05</w:t>
            </w:r>
          </w:p>
        </w:tc>
        <w:tc>
          <w:tcPr>
            <w:tcW w:w="2551" w:type="dxa"/>
            <w:vAlign w:val="center"/>
          </w:tcPr>
          <w:p w14:paraId="2B1A121D">
            <w:pPr>
              <w:pStyle w:val="11"/>
            </w:pPr>
          </w:p>
        </w:tc>
        <w:tc>
          <w:tcPr>
            <w:tcW w:w="2551" w:type="dxa"/>
            <w:vAlign w:val="center"/>
          </w:tcPr>
          <w:p w14:paraId="65DAAA3B">
            <w:pPr>
              <w:pStyle w:val="11"/>
            </w:pPr>
            <w:r>
              <w:t>159.05</w:t>
            </w:r>
          </w:p>
        </w:tc>
      </w:tr>
      <w:tr w14:paraId="07A5C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D86E">
            <w:pPr>
              <w:pStyle w:val="13"/>
            </w:pPr>
            <w:r>
              <w:t>5</w:t>
            </w:r>
          </w:p>
        </w:tc>
        <w:tc>
          <w:tcPr>
            <w:tcW w:w="1191" w:type="dxa"/>
            <w:vAlign w:val="center"/>
          </w:tcPr>
          <w:p w14:paraId="38F64E9B">
            <w:pPr>
              <w:pStyle w:val="12"/>
            </w:pPr>
            <w:r>
              <w:t>2050202</w:t>
            </w:r>
          </w:p>
        </w:tc>
        <w:tc>
          <w:tcPr>
            <w:tcW w:w="4535" w:type="dxa"/>
            <w:vAlign w:val="center"/>
          </w:tcPr>
          <w:p w14:paraId="13E9854D">
            <w:pPr>
              <w:pStyle w:val="12"/>
            </w:pPr>
            <w:r>
              <w:t>小学教育</w:t>
            </w:r>
          </w:p>
        </w:tc>
        <w:tc>
          <w:tcPr>
            <w:tcW w:w="2551" w:type="dxa"/>
            <w:vAlign w:val="center"/>
          </w:tcPr>
          <w:p w14:paraId="6DD87D14">
            <w:pPr>
              <w:pStyle w:val="11"/>
            </w:pPr>
            <w:r>
              <w:t>1977.36</w:t>
            </w:r>
          </w:p>
        </w:tc>
        <w:tc>
          <w:tcPr>
            <w:tcW w:w="2551" w:type="dxa"/>
            <w:vAlign w:val="center"/>
          </w:tcPr>
          <w:p w14:paraId="638877FC">
            <w:pPr>
              <w:pStyle w:val="11"/>
            </w:pPr>
            <w:r>
              <w:t>1560.12</w:t>
            </w:r>
          </w:p>
        </w:tc>
        <w:tc>
          <w:tcPr>
            <w:tcW w:w="2551" w:type="dxa"/>
            <w:vAlign w:val="center"/>
          </w:tcPr>
          <w:p w14:paraId="53772421">
            <w:pPr>
              <w:pStyle w:val="11"/>
            </w:pPr>
            <w:r>
              <w:t>417.24</w:t>
            </w:r>
          </w:p>
        </w:tc>
      </w:tr>
    </w:tbl>
    <w:p w14:paraId="7CDC936C">
      <w:pPr>
        <w:sectPr>
          <w:pgSz w:w="16840" w:h="11900" w:orient="landscape"/>
          <w:pgMar w:top="1361" w:right="1020" w:bottom="1134" w:left="1020" w:header="720" w:footer="720" w:gutter="0"/>
          <w:cols w:space="720" w:num="1"/>
        </w:sectPr>
      </w:pPr>
    </w:p>
    <w:p w14:paraId="0ADC34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4D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A2915D">
            <w:pPr>
              <w:pStyle w:val="9"/>
            </w:pPr>
            <w:r>
              <w:t>360020隆尧县双碑校区</w:t>
            </w:r>
          </w:p>
        </w:tc>
        <w:tc>
          <w:tcPr>
            <w:tcW w:w="2551" w:type="dxa"/>
            <w:tcBorders>
              <w:top w:val="single" w:color="FFFFFF" w:sz="6" w:space="0"/>
              <w:left w:val="single" w:color="FFFFFF" w:sz="6" w:space="0"/>
              <w:right w:val="single" w:color="FFFFFF" w:sz="6" w:space="0"/>
            </w:tcBorders>
            <w:vAlign w:val="center"/>
          </w:tcPr>
          <w:p w14:paraId="75ED78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12961E">
            <w:pPr>
              <w:pStyle w:val="7"/>
            </w:pPr>
            <w:r>
              <w:t>单位：万元</w:t>
            </w:r>
          </w:p>
        </w:tc>
      </w:tr>
      <w:tr w14:paraId="0078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12915">
            <w:pPr>
              <w:pStyle w:val="10"/>
            </w:pPr>
            <w:r>
              <w:t>序号</w:t>
            </w:r>
          </w:p>
        </w:tc>
        <w:tc>
          <w:tcPr>
            <w:tcW w:w="5726" w:type="dxa"/>
            <w:gridSpan w:val="2"/>
            <w:vAlign w:val="center"/>
          </w:tcPr>
          <w:p w14:paraId="44599F3E">
            <w:pPr>
              <w:pStyle w:val="10"/>
            </w:pPr>
            <w:r>
              <w:t>支出部门经济分类科目</w:t>
            </w:r>
          </w:p>
        </w:tc>
        <w:tc>
          <w:tcPr>
            <w:tcW w:w="7653" w:type="dxa"/>
            <w:gridSpan w:val="3"/>
            <w:vAlign w:val="center"/>
          </w:tcPr>
          <w:p w14:paraId="6453C19D">
            <w:pPr>
              <w:pStyle w:val="10"/>
            </w:pPr>
            <w:r>
              <w:t>一般公共预算基本支出</w:t>
            </w:r>
          </w:p>
        </w:tc>
      </w:tr>
      <w:tr w14:paraId="0700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A81DB3"/>
        </w:tc>
        <w:tc>
          <w:tcPr>
            <w:tcW w:w="1191" w:type="dxa"/>
            <w:vAlign w:val="center"/>
          </w:tcPr>
          <w:p w14:paraId="50D1FD39">
            <w:pPr>
              <w:pStyle w:val="10"/>
            </w:pPr>
            <w:r>
              <w:t>科目编码</w:t>
            </w:r>
          </w:p>
        </w:tc>
        <w:tc>
          <w:tcPr>
            <w:tcW w:w="4535" w:type="dxa"/>
            <w:vAlign w:val="center"/>
          </w:tcPr>
          <w:p w14:paraId="329D6522">
            <w:pPr>
              <w:pStyle w:val="10"/>
            </w:pPr>
            <w:r>
              <w:t>科目名称</w:t>
            </w:r>
          </w:p>
        </w:tc>
        <w:tc>
          <w:tcPr>
            <w:tcW w:w="2551" w:type="dxa"/>
            <w:vAlign w:val="center"/>
          </w:tcPr>
          <w:p w14:paraId="533E845F">
            <w:pPr>
              <w:pStyle w:val="10"/>
            </w:pPr>
            <w:r>
              <w:t>合计</w:t>
            </w:r>
          </w:p>
        </w:tc>
        <w:tc>
          <w:tcPr>
            <w:tcW w:w="2551" w:type="dxa"/>
            <w:vAlign w:val="center"/>
          </w:tcPr>
          <w:p w14:paraId="49DFD499">
            <w:pPr>
              <w:pStyle w:val="10"/>
            </w:pPr>
            <w:r>
              <w:t>人员经费</w:t>
            </w:r>
          </w:p>
        </w:tc>
        <w:tc>
          <w:tcPr>
            <w:tcW w:w="2551" w:type="dxa"/>
            <w:vAlign w:val="center"/>
          </w:tcPr>
          <w:p w14:paraId="78F0E09A">
            <w:pPr>
              <w:pStyle w:val="10"/>
            </w:pPr>
            <w:r>
              <w:t>公用经费</w:t>
            </w:r>
          </w:p>
        </w:tc>
      </w:tr>
      <w:tr w14:paraId="0B3D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B66DA">
            <w:pPr>
              <w:pStyle w:val="10"/>
            </w:pPr>
            <w:r>
              <w:t>栏次</w:t>
            </w:r>
          </w:p>
        </w:tc>
        <w:tc>
          <w:tcPr>
            <w:tcW w:w="1191" w:type="dxa"/>
            <w:vAlign w:val="center"/>
          </w:tcPr>
          <w:p w14:paraId="2DAEE494">
            <w:pPr>
              <w:pStyle w:val="10"/>
            </w:pPr>
            <w:r>
              <w:t>1</w:t>
            </w:r>
          </w:p>
        </w:tc>
        <w:tc>
          <w:tcPr>
            <w:tcW w:w="4535" w:type="dxa"/>
            <w:vAlign w:val="center"/>
          </w:tcPr>
          <w:p w14:paraId="419AE1D1">
            <w:pPr>
              <w:pStyle w:val="10"/>
            </w:pPr>
            <w:r>
              <w:t>2</w:t>
            </w:r>
          </w:p>
        </w:tc>
        <w:tc>
          <w:tcPr>
            <w:tcW w:w="2551" w:type="dxa"/>
            <w:vAlign w:val="center"/>
          </w:tcPr>
          <w:p w14:paraId="25816B6C">
            <w:pPr>
              <w:pStyle w:val="10"/>
            </w:pPr>
            <w:r>
              <w:t>3</w:t>
            </w:r>
          </w:p>
        </w:tc>
        <w:tc>
          <w:tcPr>
            <w:tcW w:w="2551" w:type="dxa"/>
            <w:vAlign w:val="center"/>
          </w:tcPr>
          <w:p w14:paraId="2DAEA7C5">
            <w:pPr>
              <w:pStyle w:val="10"/>
            </w:pPr>
            <w:r>
              <w:t>4</w:t>
            </w:r>
          </w:p>
        </w:tc>
        <w:tc>
          <w:tcPr>
            <w:tcW w:w="2551" w:type="dxa"/>
            <w:vAlign w:val="center"/>
          </w:tcPr>
          <w:p w14:paraId="173C6BE4">
            <w:pPr>
              <w:pStyle w:val="10"/>
            </w:pPr>
            <w:r>
              <w:t>5</w:t>
            </w:r>
          </w:p>
        </w:tc>
      </w:tr>
      <w:tr w14:paraId="7A63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1244">
            <w:pPr>
              <w:pStyle w:val="13"/>
            </w:pPr>
            <w:r>
              <w:t>1</w:t>
            </w:r>
          </w:p>
        </w:tc>
        <w:tc>
          <w:tcPr>
            <w:tcW w:w="1191" w:type="dxa"/>
            <w:vAlign w:val="center"/>
          </w:tcPr>
          <w:p w14:paraId="13DF0140">
            <w:pPr>
              <w:pStyle w:val="16"/>
            </w:pPr>
          </w:p>
        </w:tc>
        <w:tc>
          <w:tcPr>
            <w:tcW w:w="4535" w:type="dxa"/>
            <w:vAlign w:val="center"/>
          </w:tcPr>
          <w:p w14:paraId="2F1272A8">
            <w:pPr>
              <w:pStyle w:val="14"/>
            </w:pPr>
            <w:r>
              <w:t>合计</w:t>
            </w:r>
          </w:p>
        </w:tc>
        <w:tc>
          <w:tcPr>
            <w:tcW w:w="2551" w:type="dxa"/>
            <w:vAlign w:val="center"/>
          </w:tcPr>
          <w:p w14:paraId="18074D4E">
            <w:pPr>
              <w:pStyle w:val="15"/>
            </w:pPr>
            <w:r>
              <w:t>1560.12</w:t>
            </w:r>
          </w:p>
        </w:tc>
        <w:tc>
          <w:tcPr>
            <w:tcW w:w="2551" w:type="dxa"/>
            <w:vAlign w:val="center"/>
          </w:tcPr>
          <w:p w14:paraId="6083C982">
            <w:pPr>
              <w:pStyle w:val="15"/>
            </w:pPr>
            <w:r>
              <w:t>1560.12</w:t>
            </w:r>
          </w:p>
        </w:tc>
        <w:tc>
          <w:tcPr>
            <w:tcW w:w="2551" w:type="dxa"/>
            <w:vAlign w:val="center"/>
          </w:tcPr>
          <w:p w14:paraId="1076072E">
            <w:pPr>
              <w:pStyle w:val="15"/>
            </w:pPr>
          </w:p>
        </w:tc>
      </w:tr>
      <w:tr w14:paraId="74D6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0AA5">
            <w:pPr>
              <w:pStyle w:val="13"/>
            </w:pPr>
            <w:r>
              <w:t>2</w:t>
            </w:r>
          </w:p>
        </w:tc>
        <w:tc>
          <w:tcPr>
            <w:tcW w:w="1191" w:type="dxa"/>
            <w:vAlign w:val="center"/>
          </w:tcPr>
          <w:p w14:paraId="33EBE311">
            <w:pPr>
              <w:pStyle w:val="12"/>
            </w:pPr>
            <w:r>
              <w:t>301</w:t>
            </w:r>
          </w:p>
        </w:tc>
        <w:tc>
          <w:tcPr>
            <w:tcW w:w="4535" w:type="dxa"/>
            <w:vAlign w:val="center"/>
          </w:tcPr>
          <w:p w14:paraId="07F9782D">
            <w:pPr>
              <w:pStyle w:val="12"/>
            </w:pPr>
            <w:r>
              <w:t>工资福利支出</w:t>
            </w:r>
          </w:p>
        </w:tc>
        <w:tc>
          <w:tcPr>
            <w:tcW w:w="2551" w:type="dxa"/>
            <w:vAlign w:val="center"/>
          </w:tcPr>
          <w:p w14:paraId="38B39A19">
            <w:pPr>
              <w:pStyle w:val="11"/>
            </w:pPr>
            <w:r>
              <w:t>1456.05</w:t>
            </w:r>
          </w:p>
        </w:tc>
        <w:tc>
          <w:tcPr>
            <w:tcW w:w="2551" w:type="dxa"/>
            <w:vAlign w:val="center"/>
          </w:tcPr>
          <w:p w14:paraId="2F239F5A">
            <w:pPr>
              <w:pStyle w:val="11"/>
            </w:pPr>
            <w:r>
              <w:t>1456.05</w:t>
            </w:r>
          </w:p>
        </w:tc>
        <w:tc>
          <w:tcPr>
            <w:tcW w:w="2551" w:type="dxa"/>
            <w:vAlign w:val="center"/>
          </w:tcPr>
          <w:p w14:paraId="2436036D">
            <w:pPr>
              <w:pStyle w:val="11"/>
            </w:pPr>
          </w:p>
        </w:tc>
      </w:tr>
      <w:tr w14:paraId="35F0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67C80">
            <w:pPr>
              <w:pStyle w:val="13"/>
            </w:pPr>
            <w:r>
              <w:t>3</w:t>
            </w:r>
          </w:p>
        </w:tc>
        <w:tc>
          <w:tcPr>
            <w:tcW w:w="1191" w:type="dxa"/>
            <w:vAlign w:val="center"/>
          </w:tcPr>
          <w:p w14:paraId="3BC3963F">
            <w:pPr>
              <w:pStyle w:val="12"/>
            </w:pPr>
            <w:r>
              <w:t>30101</w:t>
            </w:r>
          </w:p>
        </w:tc>
        <w:tc>
          <w:tcPr>
            <w:tcW w:w="4535" w:type="dxa"/>
            <w:vAlign w:val="center"/>
          </w:tcPr>
          <w:p w14:paraId="25FBD2E5">
            <w:pPr>
              <w:pStyle w:val="12"/>
            </w:pPr>
            <w:r>
              <w:t>基本工资</w:t>
            </w:r>
          </w:p>
        </w:tc>
        <w:tc>
          <w:tcPr>
            <w:tcW w:w="2551" w:type="dxa"/>
            <w:vAlign w:val="center"/>
          </w:tcPr>
          <w:p w14:paraId="77DEEAE3">
            <w:pPr>
              <w:pStyle w:val="11"/>
            </w:pPr>
            <w:r>
              <w:t>653.89</w:t>
            </w:r>
          </w:p>
        </w:tc>
        <w:tc>
          <w:tcPr>
            <w:tcW w:w="2551" w:type="dxa"/>
            <w:vAlign w:val="center"/>
          </w:tcPr>
          <w:p w14:paraId="3AC32F64">
            <w:pPr>
              <w:pStyle w:val="11"/>
            </w:pPr>
            <w:r>
              <w:t>653.89</w:t>
            </w:r>
          </w:p>
        </w:tc>
        <w:tc>
          <w:tcPr>
            <w:tcW w:w="2551" w:type="dxa"/>
            <w:vAlign w:val="center"/>
          </w:tcPr>
          <w:p w14:paraId="50FDA02A">
            <w:pPr>
              <w:pStyle w:val="11"/>
            </w:pPr>
          </w:p>
        </w:tc>
      </w:tr>
      <w:tr w14:paraId="0FC5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B078E">
            <w:pPr>
              <w:pStyle w:val="13"/>
            </w:pPr>
            <w:r>
              <w:t>4</w:t>
            </w:r>
          </w:p>
        </w:tc>
        <w:tc>
          <w:tcPr>
            <w:tcW w:w="1191" w:type="dxa"/>
            <w:vAlign w:val="center"/>
          </w:tcPr>
          <w:p w14:paraId="57C06140">
            <w:pPr>
              <w:pStyle w:val="12"/>
            </w:pPr>
            <w:r>
              <w:t>30102</w:t>
            </w:r>
          </w:p>
        </w:tc>
        <w:tc>
          <w:tcPr>
            <w:tcW w:w="4535" w:type="dxa"/>
            <w:vAlign w:val="center"/>
          </w:tcPr>
          <w:p w14:paraId="4F8F1714">
            <w:pPr>
              <w:pStyle w:val="12"/>
            </w:pPr>
            <w:r>
              <w:t>津贴补贴</w:t>
            </w:r>
          </w:p>
        </w:tc>
        <w:tc>
          <w:tcPr>
            <w:tcW w:w="2551" w:type="dxa"/>
            <w:vAlign w:val="center"/>
          </w:tcPr>
          <w:p w14:paraId="0375233F">
            <w:pPr>
              <w:pStyle w:val="11"/>
            </w:pPr>
            <w:r>
              <w:t>66.23</w:t>
            </w:r>
          </w:p>
        </w:tc>
        <w:tc>
          <w:tcPr>
            <w:tcW w:w="2551" w:type="dxa"/>
            <w:vAlign w:val="center"/>
          </w:tcPr>
          <w:p w14:paraId="42739BB7">
            <w:pPr>
              <w:pStyle w:val="11"/>
            </w:pPr>
            <w:r>
              <w:t>66.23</w:t>
            </w:r>
          </w:p>
        </w:tc>
        <w:tc>
          <w:tcPr>
            <w:tcW w:w="2551" w:type="dxa"/>
            <w:vAlign w:val="center"/>
          </w:tcPr>
          <w:p w14:paraId="7E238CE8">
            <w:pPr>
              <w:pStyle w:val="11"/>
            </w:pPr>
          </w:p>
        </w:tc>
      </w:tr>
      <w:tr w14:paraId="7342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D292">
            <w:pPr>
              <w:pStyle w:val="13"/>
            </w:pPr>
            <w:r>
              <w:t>5</w:t>
            </w:r>
          </w:p>
        </w:tc>
        <w:tc>
          <w:tcPr>
            <w:tcW w:w="1191" w:type="dxa"/>
            <w:vAlign w:val="center"/>
          </w:tcPr>
          <w:p w14:paraId="7C454A3C">
            <w:pPr>
              <w:pStyle w:val="12"/>
            </w:pPr>
            <w:r>
              <w:t>30107</w:t>
            </w:r>
          </w:p>
        </w:tc>
        <w:tc>
          <w:tcPr>
            <w:tcW w:w="4535" w:type="dxa"/>
            <w:vAlign w:val="center"/>
          </w:tcPr>
          <w:p w14:paraId="1D6ED79D">
            <w:pPr>
              <w:pStyle w:val="12"/>
            </w:pPr>
            <w:r>
              <w:t>绩效工资</w:t>
            </w:r>
          </w:p>
        </w:tc>
        <w:tc>
          <w:tcPr>
            <w:tcW w:w="2551" w:type="dxa"/>
            <w:vAlign w:val="center"/>
          </w:tcPr>
          <w:p w14:paraId="0F8538A3">
            <w:pPr>
              <w:pStyle w:val="11"/>
            </w:pPr>
            <w:r>
              <w:t>407.83</w:t>
            </w:r>
          </w:p>
        </w:tc>
        <w:tc>
          <w:tcPr>
            <w:tcW w:w="2551" w:type="dxa"/>
            <w:vAlign w:val="center"/>
          </w:tcPr>
          <w:p w14:paraId="56578D4A">
            <w:pPr>
              <w:pStyle w:val="11"/>
            </w:pPr>
            <w:r>
              <w:t>407.83</w:t>
            </w:r>
          </w:p>
        </w:tc>
        <w:tc>
          <w:tcPr>
            <w:tcW w:w="2551" w:type="dxa"/>
            <w:vAlign w:val="center"/>
          </w:tcPr>
          <w:p w14:paraId="38CEE013">
            <w:pPr>
              <w:pStyle w:val="11"/>
            </w:pPr>
          </w:p>
        </w:tc>
      </w:tr>
      <w:tr w14:paraId="66F9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6A1CD">
            <w:pPr>
              <w:pStyle w:val="13"/>
            </w:pPr>
            <w:r>
              <w:t>6</w:t>
            </w:r>
          </w:p>
        </w:tc>
        <w:tc>
          <w:tcPr>
            <w:tcW w:w="1191" w:type="dxa"/>
            <w:vAlign w:val="center"/>
          </w:tcPr>
          <w:p w14:paraId="49D5F286">
            <w:pPr>
              <w:pStyle w:val="12"/>
            </w:pPr>
            <w:r>
              <w:t>30108</w:t>
            </w:r>
          </w:p>
        </w:tc>
        <w:tc>
          <w:tcPr>
            <w:tcW w:w="4535" w:type="dxa"/>
            <w:vAlign w:val="center"/>
          </w:tcPr>
          <w:p w14:paraId="3ED7F052">
            <w:pPr>
              <w:pStyle w:val="12"/>
            </w:pPr>
            <w:r>
              <w:t>机关事业单位基本养老保险缴费</w:t>
            </w:r>
          </w:p>
        </w:tc>
        <w:tc>
          <w:tcPr>
            <w:tcW w:w="2551" w:type="dxa"/>
            <w:vAlign w:val="center"/>
          </w:tcPr>
          <w:p w14:paraId="24948EF5">
            <w:pPr>
              <w:pStyle w:val="11"/>
            </w:pPr>
            <w:r>
              <w:t>145.52</w:t>
            </w:r>
          </w:p>
        </w:tc>
        <w:tc>
          <w:tcPr>
            <w:tcW w:w="2551" w:type="dxa"/>
            <w:vAlign w:val="center"/>
          </w:tcPr>
          <w:p w14:paraId="24F99CE6">
            <w:pPr>
              <w:pStyle w:val="11"/>
            </w:pPr>
            <w:r>
              <w:t>145.52</w:t>
            </w:r>
          </w:p>
        </w:tc>
        <w:tc>
          <w:tcPr>
            <w:tcW w:w="2551" w:type="dxa"/>
            <w:vAlign w:val="center"/>
          </w:tcPr>
          <w:p w14:paraId="02EBDF2C">
            <w:pPr>
              <w:pStyle w:val="11"/>
            </w:pPr>
          </w:p>
        </w:tc>
      </w:tr>
      <w:tr w14:paraId="38E8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091A3">
            <w:pPr>
              <w:pStyle w:val="13"/>
            </w:pPr>
            <w:r>
              <w:t>7</w:t>
            </w:r>
          </w:p>
        </w:tc>
        <w:tc>
          <w:tcPr>
            <w:tcW w:w="1191" w:type="dxa"/>
            <w:vAlign w:val="center"/>
          </w:tcPr>
          <w:p w14:paraId="1B295EA8">
            <w:pPr>
              <w:pStyle w:val="12"/>
            </w:pPr>
            <w:r>
              <w:t>30110</w:t>
            </w:r>
          </w:p>
        </w:tc>
        <w:tc>
          <w:tcPr>
            <w:tcW w:w="4535" w:type="dxa"/>
            <w:vAlign w:val="center"/>
          </w:tcPr>
          <w:p w14:paraId="653DC27A">
            <w:pPr>
              <w:pStyle w:val="12"/>
            </w:pPr>
            <w:r>
              <w:t>职工基本医疗保险缴费</w:t>
            </w:r>
          </w:p>
        </w:tc>
        <w:tc>
          <w:tcPr>
            <w:tcW w:w="2551" w:type="dxa"/>
            <w:vAlign w:val="center"/>
          </w:tcPr>
          <w:p w14:paraId="0DF60599">
            <w:pPr>
              <w:pStyle w:val="11"/>
            </w:pPr>
            <w:r>
              <w:t>68.37</w:t>
            </w:r>
          </w:p>
        </w:tc>
        <w:tc>
          <w:tcPr>
            <w:tcW w:w="2551" w:type="dxa"/>
            <w:vAlign w:val="center"/>
          </w:tcPr>
          <w:p w14:paraId="32A8505C">
            <w:pPr>
              <w:pStyle w:val="11"/>
            </w:pPr>
            <w:r>
              <w:t>68.37</w:t>
            </w:r>
          </w:p>
        </w:tc>
        <w:tc>
          <w:tcPr>
            <w:tcW w:w="2551" w:type="dxa"/>
            <w:vAlign w:val="center"/>
          </w:tcPr>
          <w:p w14:paraId="5A9FAF66">
            <w:pPr>
              <w:pStyle w:val="11"/>
            </w:pPr>
          </w:p>
        </w:tc>
      </w:tr>
      <w:tr w14:paraId="4D63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E0223">
            <w:pPr>
              <w:pStyle w:val="13"/>
            </w:pPr>
            <w:r>
              <w:t>8</w:t>
            </w:r>
          </w:p>
        </w:tc>
        <w:tc>
          <w:tcPr>
            <w:tcW w:w="1191" w:type="dxa"/>
            <w:vAlign w:val="center"/>
          </w:tcPr>
          <w:p w14:paraId="74BE3EC5">
            <w:pPr>
              <w:pStyle w:val="12"/>
            </w:pPr>
            <w:r>
              <w:t>30112</w:t>
            </w:r>
          </w:p>
        </w:tc>
        <w:tc>
          <w:tcPr>
            <w:tcW w:w="4535" w:type="dxa"/>
            <w:vAlign w:val="center"/>
          </w:tcPr>
          <w:p w14:paraId="4DF956D1">
            <w:pPr>
              <w:pStyle w:val="12"/>
            </w:pPr>
            <w:r>
              <w:t>其他社会保障缴费</w:t>
            </w:r>
          </w:p>
        </w:tc>
        <w:tc>
          <w:tcPr>
            <w:tcW w:w="2551" w:type="dxa"/>
            <w:vAlign w:val="center"/>
          </w:tcPr>
          <w:p w14:paraId="2755489F">
            <w:pPr>
              <w:pStyle w:val="11"/>
            </w:pPr>
            <w:r>
              <w:t>5.14</w:t>
            </w:r>
          </w:p>
        </w:tc>
        <w:tc>
          <w:tcPr>
            <w:tcW w:w="2551" w:type="dxa"/>
            <w:vAlign w:val="center"/>
          </w:tcPr>
          <w:p w14:paraId="27B015DF">
            <w:pPr>
              <w:pStyle w:val="11"/>
            </w:pPr>
            <w:r>
              <w:t>5.14</w:t>
            </w:r>
          </w:p>
        </w:tc>
        <w:tc>
          <w:tcPr>
            <w:tcW w:w="2551" w:type="dxa"/>
            <w:vAlign w:val="center"/>
          </w:tcPr>
          <w:p w14:paraId="15737722">
            <w:pPr>
              <w:pStyle w:val="11"/>
            </w:pPr>
          </w:p>
        </w:tc>
      </w:tr>
      <w:tr w14:paraId="34C9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1E32C">
            <w:pPr>
              <w:pStyle w:val="13"/>
            </w:pPr>
            <w:r>
              <w:t>9</w:t>
            </w:r>
          </w:p>
        </w:tc>
        <w:tc>
          <w:tcPr>
            <w:tcW w:w="1191" w:type="dxa"/>
            <w:vAlign w:val="center"/>
          </w:tcPr>
          <w:p w14:paraId="072A597B">
            <w:pPr>
              <w:pStyle w:val="12"/>
            </w:pPr>
            <w:r>
              <w:t>30113</w:t>
            </w:r>
          </w:p>
        </w:tc>
        <w:tc>
          <w:tcPr>
            <w:tcW w:w="4535" w:type="dxa"/>
            <w:vAlign w:val="center"/>
          </w:tcPr>
          <w:p w14:paraId="349430BB">
            <w:pPr>
              <w:pStyle w:val="12"/>
            </w:pPr>
            <w:r>
              <w:t>住房公积金</w:t>
            </w:r>
          </w:p>
        </w:tc>
        <w:tc>
          <w:tcPr>
            <w:tcW w:w="2551" w:type="dxa"/>
            <w:vAlign w:val="center"/>
          </w:tcPr>
          <w:p w14:paraId="69E7E6BD">
            <w:pPr>
              <w:pStyle w:val="11"/>
            </w:pPr>
            <w:r>
              <w:t>109.07</w:t>
            </w:r>
          </w:p>
        </w:tc>
        <w:tc>
          <w:tcPr>
            <w:tcW w:w="2551" w:type="dxa"/>
            <w:vAlign w:val="center"/>
          </w:tcPr>
          <w:p w14:paraId="6C8B3327">
            <w:pPr>
              <w:pStyle w:val="11"/>
            </w:pPr>
            <w:r>
              <w:t>109.07</w:t>
            </w:r>
          </w:p>
        </w:tc>
        <w:tc>
          <w:tcPr>
            <w:tcW w:w="2551" w:type="dxa"/>
            <w:vAlign w:val="center"/>
          </w:tcPr>
          <w:p w14:paraId="00E7F320">
            <w:pPr>
              <w:pStyle w:val="11"/>
            </w:pPr>
          </w:p>
        </w:tc>
      </w:tr>
      <w:tr w14:paraId="1179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85E2">
            <w:pPr>
              <w:pStyle w:val="13"/>
            </w:pPr>
            <w:r>
              <w:t>10</w:t>
            </w:r>
          </w:p>
        </w:tc>
        <w:tc>
          <w:tcPr>
            <w:tcW w:w="1191" w:type="dxa"/>
            <w:vAlign w:val="center"/>
          </w:tcPr>
          <w:p w14:paraId="5B1BD65E">
            <w:pPr>
              <w:pStyle w:val="12"/>
            </w:pPr>
            <w:r>
              <w:t>303</w:t>
            </w:r>
          </w:p>
        </w:tc>
        <w:tc>
          <w:tcPr>
            <w:tcW w:w="4535" w:type="dxa"/>
            <w:vAlign w:val="center"/>
          </w:tcPr>
          <w:p w14:paraId="3AEDC3BC">
            <w:pPr>
              <w:pStyle w:val="12"/>
            </w:pPr>
            <w:r>
              <w:t>对个人和家庭的补助</w:t>
            </w:r>
          </w:p>
        </w:tc>
        <w:tc>
          <w:tcPr>
            <w:tcW w:w="2551" w:type="dxa"/>
            <w:vAlign w:val="center"/>
          </w:tcPr>
          <w:p w14:paraId="276CC02D">
            <w:pPr>
              <w:pStyle w:val="11"/>
            </w:pPr>
            <w:r>
              <w:t>104.07</w:t>
            </w:r>
          </w:p>
        </w:tc>
        <w:tc>
          <w:tcPr>
            <w:tcW w:w="2551" w:type="dxa"/>
            <w:vAlign w:val="center"/>
          </w:tcPr>
          <w:p w14:paraId="4A8A9C8D">
            <w:pPr>
              <w:pStyle w:val="11"/>
            </w:pPr>
            <w:r>
              <w:t>104.07</w:t>
            </w:r>
          </w:p>
        </w:tc>
        <w:tc>
          <w:tcPr>
            <w:tcW w:w="2551" w:type="dxa"/>
            <w:vAlign w:val="center"/>
          </w:tcPr>
          <w:p w14:paraId="16149A6C">
            <w:pPr>
              <w:pStyle w:val="11"/>
            </w:pPr>
          </w:p>
        </w:tc>
      </w:tr>
      <w:tr w14:paraId="086A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8734">
            <w:pPr>
              <w:pStyle w:val="13"/>
            </w:pPr>
            <w:r>
              <w:t>11</w:t>
            </w:r>
          </w:p>
        </w:tc>
        <w:tc>
          <w:tcPr>
            <w:tcW w:w="1191" w:type="dxa"/>
            <w:vAlign w:val="center"/>
          </w:tcPr>
          <w:p w14:paraId="5A4EC99B">
            <w:pPr>
              <w:pStyle w:val="12"/>
            </w:pPr>
            <w:r>
              <w:t>30302</w:t>
            </w:r>
          </w:p>
        </w:tc>
        <w:tc>
          <w:tcPr>
            <w:tcW w:w="4535" w:type="dxa"/>
            <w:vAlign w:val="center"/>
          </w:tcPr>
          <w:p w14:paraId="0197ECC6">
            <w:pPr>
              <w:pStyle w:val="12"/>
            </w:pPr>
            <w:r>
              <w:t>退休费</w:t>
            </w:r>
          </w:p>
        </w:tc>
        <w:tc>
          <w:tcPr>
            <w:tcW w:w="2551" w:type="dxa"/>
            <w:vAlign w:val="center"/>
          </w:tcPr>
          <w:p w14:paraId="13AE53D2">
            <w:pPr>
              <w:pStyle w:val="11"/>
            </w:pPr>
            <w:r>
              <w:t>98.67</w:t>
            </w:r>
          </w:p>
        </w:tc>
        <w:tc>
          <w:tcPr>
            <w:tcW w:w="2551" w:type="dxa"/>
            <w:vAlign w:val="center"/>
          </w:tcPr>
          <w:p w14:paraId="43189854">
            <w:pPr>
              <w:pStyle w:val="11"/>
            </w:pPr>
            <w:r>
              <w:t>98.67</w:t>
            </w:r>
          </w:p>
        </w:tc>
        <w:tc>
          <w:tcPr>
            <w:tcW w:w="2551" w:type="dxa"/>
            <w:vAlign w:val="center"/>
          </w:tcPr>
          <w:p w14:paraId="49EE4DAD">
            <w:pPr>
              <w:pStyle w:val="11"/>
            </w:pPr>
          </w:p>
        </w:tc>
      </w:tr>
      <w:tr w14:paraId="77BB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D0940">
            <w:pPr>
              <w:pStyle w:val="13"/>
            </w:pPr>
            <w:r>
              <w:t>12</w:t>
            </w:r>
          </w:p>
        </w:tc>
        <w:tc>
          <w:tcPr>
            <w:tcW w:w="1191" w:type="dxa"/>
            <w:vAlign w:val="center"/>
          </w:tcPr>
          <w:p w14:paraId="0EA2330C">
            <w:pPr>
              <w:pStyle w:val="12"/>
            </w:pPr>
            <w:r>
              <w:t>30305</w:t>
            </w:r>
          </w:p>
        </w:tc>
        <w:tc>
          <w:tcPr>
            <w:tcW w:w="4535" w:type="dxa"/>
            <w:vAlign w:val="center"/>
          </w:tcPr>
          <w:p w14:paraId="36EA128B">
            <w:pPr>
              <w:pStyle w:val="12"/>
            </w:pPr>
            <w:r>
              <w:t>生活补助</w:t>
            </w:r>
          </w:p>
        </w:tc>
        <w:tc>
          <w:tcPr>
            <w:tcW w:w="2551" w:type="dxa"/>
            <w:vAlign w:val="center"/>
          </w:tcPr>
          <w:p w14:paraId="49F3B2ED">
            <w:pPr>
              <w:pStyle w:val="11"/>
            </w:pPr>
            <w:r>
              <w:t>5.40</w:t>
            </w:r>
          </w:p>
        </w:tc>
        <w:tc>
          <w:tcPr>
            <w:tcW w:w="2551" w:type="dxa"/>
            <w:vAlign w:val="center"/>
          </w:tcPr>
          <w:p w14:paraId="4413E0CE">
            <w:pPr>
              <w:pStyle w:val="11"/>
            </w:pPr>
            <w:r>
              <w:t>5.40</w:t>
            </w:r>
          </w:p>
        </w:tc>
        <w:tc>
          <w:tcPr>
            <w:tcW w:w="2551" w:type="dxa"/>
            <w:vAlign w:val="center"/>
          </w:tcPr>
          <w:p w14:paraId="5CD34C5C">
            <w:pPr>
              <w:pStyle w:val="11"/>
            </w:pPr>
          </w:p>
        </w:tc>
      </w:tr>
    </w:tbl>
    <w:p w14:paraId="0284FB07">
      <w:pPr>
        <w:sectPr>
          <w:pgSz w:w="16840" w:h="11900" w:orient="landscape"/>
          <w:pgMar w:top="1361" w:right="1020" w:bottom="1134" w:left="1020" w:header="720" w:footer="720" w:gutter="0"/>
          <w:cols w:space="720" w:num="1"/>
        </w:sectPr>
      </w:pPr>
    </w:p>
    <w:p w14:paraId="09379A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96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10D964">
            <w:pPr>
              <w:pStyle w:val="9"/>
            </w:pPr>
            <w:r>
              <w:t>360020隆尧县双碑校区</w:t>
            </w:r>
          </w:p>
        </w:tc>
        <w:tc>
          <w:tcPr>
            <w:tcW w:w="2551" w:type="dxa"/>
            <w:tcBorders>
              <w:top w:val="single" w:color="FFFFFF" w:sz="6" w:space="0"/>
              <w:left w:val="single" w:color="FFFFFF" w:sz="6" w:space="0"/>
              <w:right w:val="single" w:color="FFFFFF" w:sz="6" w:space="0"/>
            </w:tcBorders>
            <w:vAlign w:val="center"/>
          </w:tcPr>
          <w:p w14:paraId="35093EF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5601C5">
            <w:pPr>
              <w:pStyle w:val="7"/>
            </w:pPr>
            <w:r>
              <w:t>单位：万元</w:t>
            </w:r>
          </w:p>
        </w:tc>
      </w:tr>
      <w:tr w14:paraId="32DD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4E76E">
            <w:pPr>
              <w:pStyle w:val="10"/>
            </w:pPr>
            <w:r>
              <w:t>序号</w:t>
            </w:r>
          </w:p>
        </w:tc>
        <w:tc>
          <w:tcPr>
            <w:tcW w:w="5726" w:type="dxa"/>
            <w:gridSpan w:val="2"/>
            <w:vAlign w:val="center"/>
          </w:tcPr>
          <w:p w14:paraId="6C3AF97E">
            <w:pPr>
              <w:pStyle w:val="10"/>
            </w:pPr>
            <w:r>
              <w:t>功能分类科目</w:t>
            </w:r>
          </w:p>
        </w:tc>
        <w:tc>
          <w:tcPr>
            <w:tcW w:w="2551" w:type="dxa"/>
            <w:vMerge w:val="restart"/>
            <w:vAlign w:val="center"/>
          </w:tcPr>
          <w:p w14:paraId="6BD719F4">
            <w:pPr>
              <w:pStyle w:val="10"/>
            </w:pPr>
            <w:r>
              <w:t>合计</w:t>
            </w:r>
          </w:p>
        </w:tc>
        <w:tc>
          <w:tcPr>
            <w:tcW w:w="2551" w:type="dxa"/>
            <w:vMerge w:val="restart"/>
            <w:vAlign w:val="center"/>
          </w:tcPr>
          <w:p w14:paraId="2BAEA78E">
            <w:pPr>
              <w:pStyle w:val="10"/>
            </w:pPr>
            <w:r>
              <w:t>基本支出</w:t>
            </w:r>
          </w:p>
        </w:tc>
        <w:tc>
          <w:tcPr>
            <w:tcW w:w="2551" w:type="dxa"/>
            <w:vMerge w:val="restart"/>
            <w:vAlign w:val="center"/>
          </w:tcPr>
          <w:p w14:paraId="152EF253">
            <w:pPr>
              <w:pStyle w:val="10"/>
            </w:pPr>
            <w:r>
              <w:t>项目支出</w:t>
            </w:r>
          </w:p>
        </w:tc>
      </w:tr>
      <w:tr w14:paraId="5C90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FF6815"/>
        </w:tc>
        <w:tc>
          <w:tcPr>
            <w:tcW w:w="1191" w:type="dxa"/>
            <w:vAlign w:val="center"/>
          </w:tcPr>
          <w:p w14:paraId="776B45C8">
            <w:pPr>
              <w:pStyle w:val="10"/>
            </w:pPr>
            <w:r>
              <w:t>科目编码</w:t>
            </w:r>
          </w:p>
        </w:tc>
        <w:tc>
          <w:tcPr>
            <w:tcW w:w="4535" w:type="dxa"/>
            <w:vAlign w:val="center"/>
          </w:tcPr>
          <w:p w14:paraId="26FE7E7E">
            <w:pPr>
              <w:pStyle w:val="10"/>
            </w:pPr>
            <w:r>
              <w:t>科目名称</w:t>
            </w:r>
          </w:p>
        </w:tc>
        <w:tc>
          <w:tcPr>
            <w:tcW w:w="2551" w:type="dxa"/>
            <w:vMerge w:val="continue"/>
          </w:tcPr>
          <w:p w14:paraId="5ECE22A2"/>
        </w:tc>
        <w:tc>
          <w:tcPr>
            <w:tcW w:w="2551" w:type="dxa"/>
            <w:vMerge w:val="continue"/>
          </w:tcPr>
          <w:p w14:paraId="1C691A36"/>
        </w:tc>
        <w:tc>
          <w:tcPr>
            <w:tcW w:w="2551" w:type="dxa"/>
            <w:vMerge w:val="continue"/>
          </w:tcPr>
          <w:p w14:paraId="143E0E5E"/>
        </w:tc>
      </w:tr>
      <w:tr w14:paraId="3FA6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22C7DC">
            <w:pPr>
              <w:pStyle w:val="10"/>
            </w:pPr>
            <w:r>
              <w:t>栏次</w:t>
            </w:r>
          </w:p>
        </w:tc>
        <w:tc>
          <w:tcPr>
            <w:tcW w:w="1191" w:type="dxa"/>
            <w:vAlign w:val="center"/>
          </w:tcPr>
          <w:p w14:paraId="534C20E1">
            <w:pPr>
              <w:pStyle w:val="10"/>
            </w:pPr>
            <w:r>
              <w:t>1</w:t>
            </w:r>
          </w:p>
        </w:tc>
        <w:tc>
          <w:tcPr>
            <w:tcW w:w="4535" w:type="dxa"/>
            <w:vAlign w:val="center"/>
          </w:tcPr>
          <w:p w14:paraId="4591C633">
            <w:pPr>
              <w:pStyle w:val="10"/>
            </w:pPr>
            <w:r>
              <w:t>2</w:t>
            </w:r>
          </w:p>
        </w:tc>
        <w:tc>
          <w:tcPr>
            <w:tcW w:w="2551" w:type="dxa"/>
            <w:vAlign w:val="center"/>
          </w:tcPr>
          <w:p w14:paraId="4034B2FF">
            <w:pPr>
              <w:pStyle w:val="10"/>
            </w:pPr>
            <w:r>
              <w:t>3</w:t>
            </w:r>
          </w:p>
        </w:tc>
        <w:tc>
          <w:tcPr>
            <w:tcW w:w="2551" w:type="dxa"/>
            <w:vAlign w:val="center"/>
          </w:tcPr>
          <w:p w14:paraId="391C6257">
            <w:pPr>
              <w:pStyle w:val="10"/>
            </w:pPr>
            <w:r>
              <w:t>4</w:t>
            </w:r>
          </w:p>
        </w:tc>
        <w:tc>
          <w:tcPr>
            <w:tcW w:w="2551" w:type="dxa"/>
            <w:vAlign w:val="center"/>
          </w:tcPr>
          <w:p w14:paraId="3F17BE41">
            <w:pPr>
              <w:pStyle w:val="10"/>
            </w:pPr>
            <w:r>
              <w:t>5</w:t>
            </w:r>
          </w:p>
        </w:tc>
      </w:tr>
      <w:tr w14:paraId="2C79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B137F">
            <w:pPr>
              <w:pStyle w:val="13"/>
            </w:pPr>
          </w:p>
        </w:tc>
        <w:tc>
          <w:tcPr>
            <w:tcW w:w="1191" w:type="dxa"/>
            <w:vAlign w:val="center"/>
          </w:tcPr>
          <w:p w14:paraId="0CB4A24C">
            <w:pPr>
              <w:pStyle w:val="12"/>
            </w:pPr>
          </w:p>
        </w:tc>
        <w:tc>
          <w:tcPr>
            <w:tcW w:w="4535" w:type="dxa"/>
            <w:vAlign w:val="center"/>
          </w:tcPr>
          <w:p w14:paraId="59065B6A">
            <w:pPr>
              <w:pStyle w:val="12"/>
            </w:pPr>
          </w:p>
        </w:tc>
        <w:tc>
          <w:tcPr>
            <w:tcW w:w="2551" w:type="dxa"/>
            <w:vAlign w:val="center"/>
          </w:tcPr>
          <w:p w14:paraId="47AFD7BC">
            <w:pPr>
              <w:pStyle w:val="11"/>
            </w:pPr>
          </w:p>
        </w:tc>
        <w:tc>
          <w:tcPr>
            <w:tcW w:w="2551" w:type="dxa"/>
            <w:vAlign w:val="center"/>
          </w:tcPr>
          <w:p w14:paraId="0CAE5671">
            <w:pPr>
              <w:pStyle w:val="11"/>
            </w:pPr>
          </w:p>
        </w:tc>
        <w:tc>
          <w:tcPr>
            <w:tcW w:w="2551" w:type="dxa"/>
            <w:vAlign w:val="center"/>
          </w:tcPr>
          <w:p w14:paraId="45E86ED2">
            <w:pPr>
              <w:pStyle w:val="11"/>
            </w:pPr>
          </w:p>
        </w:tc>
      </w:tr>
    </w:tbl>
    <w:p w14:paraId="492012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586DA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9B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0CAC2">
            <w:pPr>
              <w:pStyle w:val="9"/>
            </w:pPr>
            <w:r>
              <w:t>360020隆尧县双碑校区</w:t>
            </w:r>
          </w:p>
        </w:tc>
        <w:tc>
          <w:tcPr>
            <w:tcW w:w="2551" w:type="dxa"/>
            <w:tcBorders>
              <w:top w:val="single" w:color="FFFFFF" w:sz="6" w:space="0"/>
              <w:left w:val="single" w:color="FFFFFF" w:sz="6" w:space="0"/>
              <w:right w:val="single" w:color="FFFFFF" w:sz="6" w:space="0"/>
            </w:tcBorders>
            <w:vAlign w:val="center"/>
          </w:tcPr>
          <w:p w14:paraId="605C37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C4C08B">
            <w:pPr>
              <w:pStyle w:val="7"/>
            </w:pPr>
            <w:r>
              <w:t>单位：万元</w:t>
            </w:r>
          </w:p>
        </w:tc>
      </w:tr>
      <w:tr w14:paraId="79E7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DE337">
            <w:pPr>
              <w:pStyle w:val="10"/>
            </w:pPr>
            <w:r>
              <w:t>序号</w:t>
            </w:r>
          </w:p>
        </w:tc>
        <w:tc>
          <w:tcPr>
            <w:tcW w:w="5726" w:type="dxa"/>
            <w:gridSpan w:val="2"/>
            <w:vAlign w:val="center"/>
          </w:tcPr>
          <w:p w14:paraId="7752A013">
            <w:pPr>
              <w:pStyle w:val="10"/>
            </w:pPr>
            <w:r>
              <w:t>功能分类科目</w:t>
            </w:r>
          </w:p>
        </w:tc>
        <w:tc>
          <w:tcPr>
            <w:tcW w:w="2551" w:type="dxa"/>
            <w:vMerge w:val="restart"/>
            <w:vAlign w:val="center"/>
          </w:tcPr>
          <w:p w14:paraId="52BDB6EC">
            <w:pPr>
              <w:pStyle w:val="10"/>
            </w:pPr>
            <w:r>
              <w:t>合计</w:t>
            </w:r>
          </w:p>
        </w:tc>
        <w:tc>
          <w:tcPr>
            <w:tcW w:w="2551" w:type="dxa"/>
            <w:vMerge w:val="restart"/>
            <w:vAlign w:val="center"/>
          </w:tcPr>
          <w:p w14:paraId="40216F8B">
            <w:pPr>
              <w:pStyle w:val="10"/>
            </w:pPr>
            <w:r>
              <w:t>基本支出</w:t>
            </w:r>
          </w:p>
        </w:tc>
        <w:tc>
          <w:tcPr>
            <w:tcW w:w="2551" w:type="dxa"/>
            <w:vMerge w:val="restart"/>
            <w:vAlign w:val="center"/>
          </w:tcPr>
          <w:p w14:paraId="581A0E2B">
            <w:pPr>
              <w:pStyle w:val="10"/>
            </w:pPr>
            <w:r>
              <w:t>项目支出</w:t>
            </w:r>
          </w:p>
        </w:tc>
      </w:tr>
      <w:tr w14:paraId="622D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075A6C"/>
        </w:tc>
        <w:tc>
          <w:tcPr>
            <w:tcW w:w="1191" w:type="dxa"/>
            <w:vAlign w:val="center"/>
          </w:tcPr>
          <w:p w14:paraId="4F087871">
            <w:pPr>
              <w:pStyle w:val="10"/>
            </w:pPr>
            <w:r>
              <w:t>科目编码</w:t>
            </w:r>
          </w:p>
        </w:tc>
        <w:tc>
          <w:tcPr>
            <w:tcW w:w="4535" w:type="dxa"/>
            <w:vAlign w:val="center"/>
          </w:tcPr>
          <w:p w14:paraId="6C3AECCD">
            <w:pPr>
              <w:pStyle w:val="10"/>
            </w:pPr>
            <w:r>
              <w:t>科目名称</w:t>
            </w:r>
          </w:p>
        </w:tc>
        <w:tc>
          <w:tcPr>
            <w:tcW w:w="2551" w:type="dxa"/>
            <w:vMerge w:val="continue"/>
          </w:tcPr>
          <w:p w14:paraId="271421C5"/>
        </w:tc>
        <w:tc>
          <w:tcPr>
            <w:tcW w:w="2551" w:type="dxa"/>
            <w:vMerge w:val="continue"/>
          </w:tcPr>
          <w:p w14:paraId="732EF9DA"/>
        </w:tc>
        <w:tc>
          <w:tcPr>
            <w:tcW w:w="2551" w:type="dxa"/>
            <w:vMerge w:val="continue"/>
          </w:tcPr>
          <w:p w14:paraId="64EB86F6"/>
        </w:tc>
      </w:tr>
      <w:tr w14:paraId="05E5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0B5BE">
            <w:pPr>
              <w:pStyle w:val="10"/>
            </w:pPr>
            <w:r>
              <w:t>栏次</w:t>
            </w:r>
          </w:p>
        </w:tc>
        <w:tc>
          <w:tcPr>
            <w:tcW w:w="1191" w:type="dxa"/>
            <w:vAlign w:val="center"/>
          </w:tcPr>
          <w:p w14:paraId="5AF3A5F1">
            <w:pPr>
              <w:pStyle w:val="10"/>
            </w:pPr>
            <w:r>
              <w:t>1</w:t>
            </w:r>
          </w:p>
        </w:tc>
        <w:tc>
          <w:tcPr>
            <w:tcW w:w="4535" w:type="dxa"/>
            <w:vAlign w:val="center"/>
          </w:tcPr>
          <w:p w14:paraId="1EE1BEF5">
            <w:pPr>
              <w:pStyle w:val="10"/>
            </w:pPr>
            <w:r>
              <w:t>2</w:t>
            </w:r>
          </w:p>
        </w:tc>
        <w:tc>
          <w:tcPr>
            <w:tcW w:w="2551" w:type="dxa"/>
            <w:vAlign w:val="center"/>
          </w:tcPr>
          <w:p w14:paraId="5B04B223">
            <w:pPr>
              <w:pStyle w:val="10"/>
            </w:pPr>
            <w:r>
              <w:t>3</w:t>
            </w:r>
          </w:p>
        </w:tc>
        <w:tc>
          <w:tcPr>
            <w:tcW w:w="2551" w:type="dxa"/>
            <w:vAlign w:val="center"/>
          </w:tcPr>
          <w:p w14:paraId="6C64B4FB">
            <w:pPr>
              <w:pStyle w:val="10"/>
            </w:pPr>
            <w:r>
              <w:t>4</w:t>
            </w:r>
          </w:p>
        </w:tc>
        <w:tc>
          <w:tcPr>
            <w:tcW w:w="2551" w:type="dxa"/>
            <w:vAlign w:val="center"/>
          </w:tcPr>
          <w:p w14:paraId="27F6FCF5">
            <w:pPr>
              <w:pStyle w:val="10"/>
            </w:pPr>
            <w:r>
              <w:t>5</w:t>
            </w:r>
          </w:p>
        </w:tc>
      </w:tr>
      <w:tr w14:paraId="28223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840A2">
            <w:pPr>
              <w:pStyle w:val="13"/>
            </w:pPr>
          </w:p>
        </w:tc>
        <w:tc>
          <w:tcPr>
            <w:tcW w:w="1191" w:type="dxa"/>
            <w:vAlign w:val="center"/>
          </w:tcPr>
          <w:p w14:paraId="4AF89EF1">
            <w:pPr>
              <w:pStyle w:val="12"/>
            </w:pPr>
          </w:p>
        </w:tc>
        <w:tc>
          <w:tcPr>
            <w:tcW w:w="4535" w:type="dxa"/>
            <w:vAlign w:val="center"/>
          </w:tcPr>
          <w:p w14:paraId="1EBD3037">
            <w:pPr>
              <w:pStyle w:val="12"/>
            </w:pPr>
          </w:p>
        </w:tc>
        <w:tc>
          <w:tcPr>
            <w:tcW w:w="2551" w:type="dxa"/>
            <w:vAlign w:val="center"/>
          </w:tcPr>
          <w:p w14:paraId="4613EE2D">
            <w:pPr>
              <w:pStyle w:val="11"/>
            </w:pPr>
          </w:p>
        </w:tc>
        <w:tc>
          <w:tcPr>
            <w:tcW w:w="2551" w:type="dxa"/>
            <w:vAlign w:val="center"/>
          </w:tcPr>
          <w:p w14:paraId="3EBBE9C4">
            <w:pPr>
              <w:pStyle w:val="11"/>
            </w:pPr>
          </w:p>
        </w:tc>
        <w:tc>
          <w:tcPr>
            <w:tcW w:w="2551" w:type="dxa"/>
            <w:vAlign w:val="center"/>
          </w:tcPr>
          <w:p w14:paraId="00302085">
            <w:pPr>
              <w:pStyle w:val="11"/>
            </w:pPr>
          </w:p>
        </w:tc>
      </w:tr>
    </w:tbl>
    <w:p w14:paraId="262C22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9C86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93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DB9A41">
            <w:pPr>
              <w:pStyle w:val="9"/>
            </w:pPr>
            <w:r>
              <w:t>360020隆尧县双碑校区</w:t>
            </w:r>
          </w:p>
        </w:tc>
        <w:tc>
          <w:tcPr>
            <w:tcW w:w="2381" w:type="dxa"/>
            <w:tcBorders>
              <w:top w:val="single" w:color="FFFFFF" w:sz="6" w:space="0"/>
              <w:left w:val="single" w:color="FFFFFF" w:sz="6" w:space="0"/>
              <w:right w:val="single" w:color="FFFFFF" w:sz="6" w:space="0"/>
            </w:tcBorders>
            <w:vAlign w:val="center"/>
          </w:tcPr>
          <w:p w14:paraId="39F4CF3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7F02F9E">
            <w:pPr>
              <w:pStyle w:val="7"/>
            </w:pPr>
            <w:r>
              <w:t>单位：万元</w:t>
            </w:r>
          </w:p>
        </w:tc>
      </w:tr>
      <w:tr w14:paraId="5C7A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F7025">
            <w:pPr>
              <w:pStyle w:val="10"/>
            </w:pPr>
            <w:r>
              <w:t>序号</w:t>
            </w:r>
          </w:p>
        </w:tc>
        <w:tc>
          <w:tcPr>
            <w:tcW w:w="3798" w:type="dxa"/>
            <w:vMerge w:val="restart"/>
            <w:vAlign w:val="center"/>
          </w:tcPr>
          <w:p w14:paraId="0DA6205E">
            <w:pPr>
              <w:pStyle w:val="10"/>
            </w:pPr>
            <w:r>
              <w:t>项  目</w:t>
            </w:r>
          </w:p>
        </w:tc>
        <w:tc>
          <w:tcPr>
            <w:tcW w:w="9524" w:type="dxa"/>
            <w:gridSpan w:val="4"/>
            <w:vAlign w:val="center"/>
          </w:tcPr>
          <w:p w14:paraId="116A7837">
            <w:pPr>
              <w:pStyle w:val="10"/>
            </w:pPr>
            <w:r>
              <w:t>资 金 性 质</w:t>
            </w:r>
          </w:p>
        </w:tc>
      </w:tr>
      <w:tr w14:paraId="0F72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FFFCF0"/>
        </w:tc>
        <w:tc>
          <w:tcPr>
            <w:tcW w:w="3798" w:type="dxa"/>
            <w:vMerge w:val="continue"/>
          </w:tcPr>
          <w:p w14:paraId="27C3DB9A"/>
        </w:tc>
        <w:tc>
          <w:tcPr>
            <w:tcW w:w="2381" w:type="dxa"/>
            <w:vAlign w:val="center"/>
          </w:tcPr>
          <w:p w14:paraId="1BB21C91">
            <w:pPr>
              <w:pStyle w:val="10"/>
            </w:pPr>
            <w:r>
              <w:t>合计</w:t>
            </w:r>
          </w:p>
        </w:tc>
        <w:tc>
          <w:tcPr>
            <w:tcW w:w="2381" w:type="dxa"/>
            <w:vAlign w:val="center"/>
          </w:tcPr>
          <w:p w14:paraId="67E9A050">
            <w:pPr>
              <w:pStyle w:val="10"/>
            </w:pPr>
            <w:r>
              <w:t>一般公共预算              财政拨款</w:t>
            </w:r>
          </w:p>
        </w:tc>
        <w:tc>
          <w:tcPr>
            <w:tcW w:w="2381" w:type="dxa"/>
            <w:vAlign w:val="center"/>
          </w:tcPr>
          <w:p w14:paraId="2333F216">
            <w:pPr>
              <w:pStyle w:val="10"/>
            </w:pPr>
            <w:r>
              <w:t>政府性基金                  预算拨款</w:t>
            </w:r>
          </w:p>
        </w:tc>
        <w:tc>
          <w:tcPr>
            <w:tcW w:w="2381" w:type="dxa"/>
            <w:vAlign w:val="center"/>
          </w:tcPr>
          <w:p w14:paraId="7D7AA28D">
            <w:pPr>
              <w:pStyle w:val="10"/>
            </w:pPr>
            <w:r>
              <w:t>国有资本经营              预算财政拨款</w:t>
            </w:r>
          </w:p>
        </w:tc>
      </w:tr>
      <w:tr w14:paraId="3E89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194AC3">
            <w:pPr>
              <w:pStyle w:val="10"/>
            </w:pPr>
            <w:r>
              <w:t>栏次</w:t>
            </w:r>
          </w:p>
        </w:tc>
        <w:tc>
          <w:tcPr>
            <w:tcW w:w="3798" w:type="dxa"/>
            <w:vAlign w:val="center"/>
          </w:tcPr>
          <w:p w14:paraId="7BB303B9">
            <w:pPr>
              <w:pStyle w:val="10"/>
            </w:pPr>
            <w:r>
              <w:t>1</w:t>
            </w:r>
          </w:p>
        </w:tc>
        <w:tc>
          <w:tcPr>
            <w:tcW w:w="2381" w:type="dxa"/>
            <w:vAlign w:val="center"/>
          </w:tcPr>
          <w:p w14:paraId="5CB38F93">
            <w:pPr>
              <w:pStyle w:val="10"/>
            </w:pPr>
            <w:r>
              <w:t>2</w:t>
            </w:r>
          </w:p>
        </w:tc>
        <w:tc>
          <w:tcPr>
            <w:tcW w:w="2381" w:type="dxa"/>
            <w:vAlign w:val="center"/>
          </w:tcPr>
          <w:p w14:paraId="491A644A">
            <w:pPr>
              <w:pStyle w:val="10"/>
            </w:pPr>
            <w:r>
              <w:t>3</w:t>
            </w:r>
          </w:p>
        </w:tc>
        <w:tc>
          <w:tcPr>
            <w:tcW w:w="2381" w:type="dxa"/>
            <w:vAlign w:val="center"/>
          </w:tcPr>
          <w:p w14:paraId="5EC9EE77">
            <w:pPr>
              <w:pStyle w:val="10"/>
            </w:pPr>
            <w:r>
              <w:t>4</w:t>
            </w:r>
          </w:p>
        </w:tc>
        <w:tc>
          <w:tcPr>
            <w:tcW w:w="2381" w:type="dxa"/>
            <w:vAlign w:val="center"/>
          </w:tcPr>
          <w:p w14:paraId="258A4BA7">
            <w:pPr>
              <w:pStyle w:val="10"/>
            </w:pPr>
            <w:r>
              <w:t>5</w:t>
            </w:r>
          </w:p>
        </w:tc>
      </w:tr>
      <w:tr w14:paraId="35D4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DA03B9">
            <w:pPr>
              <w:pStyle w:val="13"/>
            </w:pPr>
          </w:p>
        </w:tc>
        <w:tc>
          <w:tcPr>
            <w:tcW w:w="3798" w:type="dxa"/>
            <w:vAlign w:val="center"/>
          </w:tcPr>
          <w:p w14:paraId="63CD0881">
            <w:pPr>
              <w:pStyle w:val="12"/>
            </w:pPr>
          </w:p>
        </w:tc>
        <w:tc>
          <w:tcPr>
            <w:tcW w:w="2381" w:type="dxa"/>
            <w:vAlign w:val="center"/>
          </w:tcPr>
          <w:p w14:paraId="237C75C1">
            <w:pPr>
              <w:pStyle w:val="11"/>
            </w:pPr>
          </w:p>
        </w:tc>
        <w:tc>
          <w:tcPr>
            <w:tcW w:w="2381" w:type="dxa"/>
            <w:vAlign w:val="center"/>
          </w:tcPr>
          <w:p w14:paraId="2D3C2D87">
            <w:pPr>
              <w:pStyle w:val="11"/>
            </w:pPr>
          </w:p>
        </w:tc>
        <w:tc>
          <w:tcPr>
            <w:tcW w:w="2381" w:type="dxa"/>
            <w:vAlign w:val="center"/>
          </w:tcPr>
          <w:p w14:paraId="44D000B1">
            <w:pPr>
              <w:pStyle w:val="11"/>
            </w:pPr>
          </w:p>
        </w:tc>
        <w:tc>
          <w:tcPr>
            <w:tcW w:w="2381" w:type="dxa"/>
            <w:vAlign w:val="center"/>
          </w:tcPr>
          <w:p w14:paraId="7B95459E">
            <w:pPr>
              <w:pStyle w:val="11"/>
            </w:pPr>
          </w:p>
        </w:tc>
      </w:tr>
    </w:tbl>
    <w:p w14:paraId="6BA7655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C6DC81">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隆尧县双碑校区2026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1A13E8D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地方预决算公开操作规程》和《关于进一步推进预算公开工作的实施意见》规定，现将隆尧县双碑校区2026年单位预算公开如下：</w:t>
      </w:r>
    </w:p>
    <w:p w14:paraId="57674360">
      <w:pPr>
        <w:spacing w:before="10" w:after="10" w:line="240" w:lineRule="auto"/>
        <w:ind w:firstLine="640"/>
        <w:jc w:val="left"/>
        <w:outlineLvl w:val="5"/>
      </w:pPr>
      <w:r>
        <w:rPr>
          <w:rFonts w:ascii="黑体" w:hAnsi="黑体" w:eastAsia="黑体" w:cs="黑体"/>
          <w:color w:val="000000"/>
          <w:sz w:val="32"/>
        </w:rPr>
        <w:t>一、单位职责及机构设置情况</w:t>
      </w:r>
    </w:p>
    <w:p w14:paraId="475838F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1177B55">
      <w:pPr>
        <w:pStyle w:val="17"/>
        <w:rPr>
          <w:rFonts w:hint="eastAsia"/>
        </w:rPr>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w:t>
      </w:r>
    </w:p>
    <w:p w14:paraId="6303F51C">
      <w:pPr>
        <w:pStyle w:val="17"/>
      </w:pPr>
      <w:r>
        <w:rPr>
          <w:rFonts w:hint="eastAsia"/>
        </w:rPr>
        <w:t>隆尧县双碑校区事业编制120名，其中，校长1名</w:t>
      </w:r>
      <w:r>
        <w:rPr>
          <w:rFonts w:hint="eastAsia"/>
          <w:lang w:eastAsia="zh-CN"/>
        </w:rPr>
        <w:t>（</w:t>
      </w:r>
      <w:r>
        <w:rPr>
          <w:rFonts w:hint="eastAsia"/>
        </w:rPr>
        <w:t>正股级</w:t>
      </w:r>
      <w:r>
        <w:rPr>
          <w:rFonts w:hint="eastAsia"/>
          <w:lang w:eastAsia="zh-CN"/>
        </w:rPr>
        <w:t>）</w:t>
      </w:r>
      <w:r>
        <w:rPr>
          <w:rFonts w:hint="eastAsia"/>
        </w:rPr>
        <w:t>，副校长3名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28379D2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B74E1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AA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66DE88">
            <w:pPr>
              <w:pStyle w:val="10"/>
            </w:pPr>
            <w:r>
              <w:t>单位名称</w:t>
            </w:r>
          </w:p>
        </w:tc>
        <w:tc>
          <w:tcPr>
            <w:tcW w:w="1843" w:type="dxa"/>
            <w:vAlign w:val="center"/>
          </w:tcPr>
          <w:p w14:paraId="79E73217">
            <w:pPr>
              <w:pStyle w:val="10"/>
            </w:pPr>
            <w:r>
              <w:t>单位性质</w:t>
            </w:r>
          </w:p>
        </w:tc>
        <w:tc>
          <w:tcPr>
            <w:tcW w:w="2126" w:type="dxa"/>
            <w:vAlign w:val="center"/>
          </w:tcPr>
          <w:p w14:paraId="0ECBA206">
            <w:pPr>
              <w:pStyle w:val="10"/>
            </w:pPr>
            <w:r>
              <w:t>单位规格</w:t>
            </w:r>
          </w:p>
        </w:tc>
        <w:tc>
          <w:tcPr>
            <w:tcW w:w="3827" w:type="dxa"/>
            <w:vAlign w:val="center"/>
          </w:tcPr>
          <w:p w14:paraId="12599A6F">
            <w:pPr>
              <w:pStyle w:val="10"/>
            </w:pPr>
            <w:r>
              <w:t>经费保障形式</w:t>
            </w:r>
          </w:p>
        </w:tc>
      </w:tr>
      <w:tr w14:paraId="2237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543D01">
            <w:pPr>
              <w:pStyle w:val="12"/>
            </w:pPr>
            <w:r>
              <w:t>隆尧县双碑校区</w:t>
            </w:r>
          </w:p>
        </w:tc>
        <w:tc>
          <w:tcPr>
            <w:tcW w:w="1843" w:type="dxa"/>
            <w:vAlign w:val="center"/>
          </w:tcPr>
          <w:p w14:paraId="6D0A25D3">
            <w:pPr>
              <w:pStyle w:val="13"/>
            </w:pPr>
            <w:r>
              <w:t>事业</w:t>
            </w:r>
          </w:p>
        </w:tc>
        <w:tc>
          <w:tcPr>
            <w:tcW w:w="2126" w:type="dxa"/>
            <w:vAlign w:val="center"/>
          </w:tcPr>
          <w:p w14:paraId="44AFA464">
            <w:pPr>
              <w:pStyle w:val="13"/>
            </w:pPr>
            <w:r>
              <w:t>股级</w:t>
            </w:r>
          </w:p>
        </w:tc>
        <w:tc>
          <w:tcPr>
            <w:tcW w:w="3827" w:type="dxa"/>
            <w:vAlign w:val="center"/>
          </w:tcPr>
          <w:p w14:paraId="07926CFE">
            <w:pPr>
              <w:pStyle w:val="13"/>
            </w:pPr>
            <w:r>
              <w:t>财政性资金基本保证</w:t>
            </w:r>
          </w:p>
        </w:tc>
      </w:tr>
    </w:tbl>
    <w:p w14:paraId="2ABA535F">
      <w:pPr>
        <w:spacing w:before="10" w:after="10" w:line="240" w:lineRule="auto"/>
        <w:ind w:firstLine="640"/>
        <w:jc w:val="left"/>
        <w:outlineLvl w:val="5"/>
      </w:pPr>
      <w:r>
        <w:rPr>
          <w:rFonts w:ascii="黑体" w:hAnsi="黑体" w:eastAsia="黑体" w:cs="黑体"/>
          <w:color w:val="000000"/>
          <w:sz w:val="32"/>
        </w:rPr>
        <w:t>二、单位预算安排的总体情况</w:t>
      </w:r>
    </w:p>
    <w:p w14:paraId="5C835500">
      <w:pPr>
        <w:pStyle w:val="18"/>
      </w:pPr>
      <w:r>
        <w:t>按照预算管理有关规定，目前我校单位预算的编制实行综合预算管理，即全部收入和支出都反映的预算中。隆尧县双碑校区的收支包含在单位预算中。</w:t>
      </w:r>
    </w:p>
    <w:p w14:paraId="4B9CF56C">
      <w:pPr>
        <w:pStyle w:val="18"/>
      </w:pPr>
      <w:r>
        <w:t>1、收入说明</w:t>
      </w:r>
    </w:p>
    <w:p w14:paraId="5642E71E">
      <w:pPr>
        <w:pStyle w:val="18"/>
      </w:pPr>
      <w:r>
        <w:t>反映本单位当年全部收入。2026年预算收入2136.41万元，其中：一般公共预算收入2136.41万元，基金预算收入0万元，基金预算收入0万元，国有资本经营预算收入0万元，财政专户拨收入0万元，单位资金收入0万元，上年结转结余0万元</w:t>
      </w:r>
    </w:p>
    <w:p w14:paraId="51F9B891">
      <w:pPr>
        <w:pStyle w:val="18"/>
      </w:pPr>
      <w:r>
        <w:t>2、支出说明</w:t>
      </w:r>
    </w:p>
    <w:p w14:paraId="6E0709C3">
      <w:pPr>
        <w:pStyle w:val="18"/>
      </w:pPr>
      <w:r>
        <w:t>收支预算总表支出栏、基本支出表、项目支出表按经济分类和支出功能分类科目编制，反映隆尧县双碑校区年度单位预算中支出预算的总体情况。2026年单位支出预算为2136.41万元，其中基本支出1560.12万元、项目支出576.29万元。主要为小学教育417.24万元，学前教育159.05万元。</w:t>
      </w:r>
    </w:p>
    <w:p w14:paraId="32127A44">
      <w:pPr>
        <w:pStyle w:val="18"/>
      </w:pPr>
      <w:r>
        <w:t>3、比上年增减情况</w:t>
      </w:r>
    </w:p>
    <w:p w14:paraId="48DA5098">
      <w:pPr>
        <w:pStyle w:val="18"/>
      </w:pPr>
      <w:r>
        <w:t>2026年部门预算收支安排2136.41万元，较2025年年初预算减少327.79万元，其中：基本支出减少67.45万元，主要为公用经费减少，项目支出减少1260.04万元。</w:t>
      </w:r>
    </w:p>
    <w:p w14:paraId="0EF1AE4E">
      <w:pPr>
        <w:spacing w:before="10" w:after="10" w:line="240" w:lineRule="auto"/>
        <w:ind w:firstLine="640"/>
        <w:jc w:val="left"/>
        <w:outlineLvl w:val="5"/>
      </w:pPr>
      <w:r>
        <w:rPr>
          <w:rFonts w:ascii="黑体" w:hAnsi="黑体" w:eastAsia="黑体" w:cs="黑体"/>
          <w:color w:val="000000"/>
          <w:sz w:val="32"/>
        </w:rPr>
        <w:t>三、机关运行经费安排情况</w:t>
      </w:r>
    </w:p>
    <w:p w14:paraId="31CF3EF0">
      <w:pPr>
        <w:pStyle w:val="19"/>
      </w:pPr>
      <w:r>
        <w:t>我单位按学生安排公用经费，无机关运行经费。</w:t>
      </w:r>
    </w:p>
    <w:p w14:paraId="42426A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A229C6">
      <w:pPr>
        <w:pStyle w:val="20"/>
      </w:pPr>
      <w:r>
        <w:t>我单位未安排</w:t>
      </w:r>
      <w:r>
        <w:rPr>
          <w:rFonts w:hint="eastAsia"/>
          <w:lang w:eastAsia="zh-CN"/>
        </w:rPr>
        <w:t>“三公”经费</w:t>
      </w:r>
      <w:r>
        <w:t>。</w:t>
      </w:r>
    </w:p>
    <w:p w14:paraId="3312195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627C20">
      <w:pPr>
        <w:spacing w:before="0" w:after="0"/>
        <w:ind w:firstLine="560"/>
        <w:jc w:val="left"/>
        <w:outlineLvl w:val="9"/>
      </w:pPr>
      <w:r>
        <w:rPr>
          <w:rFonts w:ascii="方正仿宋_GBK" w:hAnsi="方正仿宋_GBK" w:eastAsia="方正仿宋_GBK" w:cs="方正仿宋_GBK"/>
          <w:b/>
          <w:color w:val="000000"/>
          <w:sz w:val="28"/>
        </w:rPr>
        <w:t>1、冀财教[2023]159号/省级/2024年薄弱环节改善与能力提升/隆尧县双碑乡西良后小学新建学生宿舍楼项目绩效目标表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C1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60A53">
            <w:pPr>
              <w:pStyle w:val="11"/>
            </w:pPr>
            <w:r>
              <w:t>单位：万元</w:t>
            </w:r>
          </w:p>
        </w:tc>
      </w:tr>
      <w:tr w14:paraId="54FA5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7D990">
            <w:pPr>
              <w:pStyle w:val="10"/>
            </w:pPr>
            <w:r>
              <w:t>项目编码</w:t>
            </w:r>
          </w:p>
        </w:tc>
        <w:tc>
          <w:tcPr>
            <w:tcW w:w="5103" w:type="dxa"/>
            <w:gridSpan w:val="2"/>
            <w:vAlign w:val="center"/>
          </w:tcPr>
          <w:p w14:paraId="3FA5854A">
            <w:pPr>
              <w:pStyle w:val="12"/>
            </w:pPr>
            <w:r>
              <w:t>13052526P00877010035T</w:t>
            </w:r>
          </w:p>
        </w:tc>
        <w:tc>
          <w:tcPr>
            <w:tcW w:w="2835" w:type="dxa"/>
            <w:vAlign w:val="center"/>
          </w:tcPr>
          <w:p w14:paraId="2B44268D">
            <w:pPr>
              <w:pStyle w:val="10"/>
            </w:pPr>
            <w:r>
              <w:t>项目名称</w:t>
            </w:r>
          </w:p>
        </w:tc>
        <w:tc>
          <w:tcPr>
            <w:tcW w:w="6095" w:type="dxa"/>
            <w:gridSpan w:val="3"/>
            <w:vAlign w:val="center"/>
          </w:tcPr>
          <w:p w14:paraId="3CB19A98">
            <w:pPr>
              <w:pStyle w:val="12"/>
            </w:pPr>
            <w:r>
              <w:t>冀财教[2023]159号/省级/2024年薄弱环节改善与能力提升/隆尧县双碑乡西良后小学新建学生宿舍楼项目</w:t>
            </w:r>
          </w:p>
        </w:tc>
      </w:tr>
      <w:tr w14:paraId="0496F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E7029">
            <w:pPr>
              <w:pStyle w:val="10"/>
            </w:pPr>
            <w:r>
              <w:t>预算规模及资金用途</w:t>
            </w:r>
          </w:p>
        </w:tc>
        <w:tc>
          <w:tcPr>
            <w:tcW w:w="2268" w:type="dxa"/>
            <w:vAlign w:val="center"/>
          </w:tcPr>
          <w:p w14:paraId="10B17FF2">
            <w:pPr>
              <w:pStyle w:val="10"/>
            </w:pPr>
            <w:r>
              <w:t>预算数</w:t>
            </w:r>
          </w:p>
        </w:tc>
        <w:tc>
          <w:tcPr>
            <w:tcW w:w="2835" w:type="dxa"/>
            <w:vAlign w:val="center"/>
          </w:tcPr>
          <w:p w14:paraId="1F181388">
            <w:pPr>
              <w:pStyle w:val="12"/>
            </w:pPr>
            <w:r>
              <w:t>157.34</w:t>
            </w:r>
          </w:p>
        </w:tc>
        <w:tc>
          <w:tcPr>
            <w:tcW w:w="2835" w:type="dxa"/>
            <w:vAlign w:val="center"/>
          </w:tcPr>
          <w:p w14:paraId="17A22587">
            <w:pPr>
              <w:pStyle w:val="10"/>
            </w:pPr>
            <w:r>
              <w:t>其中：财政    资金</w:t>
            </w:r>
          </w:p>
        </w:tc>
        <w:tc>
          <w:tcPr>
            <w:tcW w:w="2551" w:type="dxa"/>
            <w:vAlign w:val="center"/>
          </w:tcPr>
          <w:p w14:paraId="75458CC5">
            <w:pPr>
              <w:pStyle w:val="12"/>
            </w:pPr>
            <w:r>
              <w:t>157.34</w:t>
            </w:r>
          </w:p>
        </w:tc>
        <w:tc>
          <w:tcPr>
            <w:tcW w:w="2268" w:type="dxa"/>
            <w:vAlign w:val="center"/>
          </w:tcPr>
          <w:p w14:paraId="6C18EA27">
            <w:pPr>
              <w:pStyle w:val="10"/>
            </w:pPr>
            <w:r>
              <w:t>其他资金</w:t>
            </w:r>
          </w:p>
        </w:tc>
        <w:tc>
          <w:tcPr>
            <w:tcW w:w="1276" w:type="dxa"/>
            <w:vAlign w:val="center"/>
          </w:tcPr>
          <w:p w14:paraId="1B801C63">
            <w:pPr>
              <w:pStyle w:val="12"/>
            </w:pPr>
            <w:r>
              <w:t xml:space="preserve"> </w:t>
            </w:r>
          </w:p>
        </w:tc>
      </w:tr>
      <w:tr w14:paraId="56337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EBC84"/>
        </w:tc>
        <w:tc>
          <w:tcPr>
            <w:tcW w:w="14033" w:type="dxa"/>
            <w:gridSpan w:val="6"/>
            <w:vAlign w:val="center"/>
          </w:tcPr>
          <w:p w14:paraId="45C5E228">
            <w:pPr>
              <w:pStyle w:val="12"/>
            </w:pPr>
            <w:r>
              <w:t>完成西良后小学新建宿舍楼项目，进一步提升教育质量及教学条件。</w:t>
            </w:r>
          </w:p>
        </w:tc>
      </w:tr>
      <w:tr w14:paraId="5A645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1FDAB">
            <w:pPr>
              <w:pStyle w:val="10"/>
            </w:pPr>
            <w:r>
              <w:t>资金支出计划（%）</w:t>
            </w:r>
          </w:p>
        </w:tc>
        <w:tc>
          <w:tcPr>
            <w:tcW w:w="5103" w:type="dxa"/>
            <w:gridSpan w:val="2"/>
            <w:vAlign w:val="center"/>
          </w:tcPr>
          <w:p w14:paraId="7DBADDE0">
            <w:pPr>
              <w:pStyle w:val="10"/>
            </w:pPr>
            <w:r>
              <w:t>3月底</w:t>
            </w:r>
          </w:p>
        </w:tc>
        <w:tc>
          <w:tcPr>
            <w:tcW w:w="2835" w:type="dxa"/>
            <w:vAlign w:val="center"/>
          </w:tcPr>
          <w:p w14:paraId="6DE4AD6D">
            <w:pPr>
              <w:pStyle w:val="10"/>
            </w:pPr>
            <w:r>
              <w:t>6月底</w:t>
            </w:r>
          </w:p>
        </w:tc>
        <w:tc>
          <w:tcPr>
            <w:tcW w:w="2551" w:type="dxa"/>
            <w:vAlign w:val="center"/>
          </w:tcPr>
          <w:p w14:paraId="71F31A94">
            <w:pPr>
              <w:pStyle w:val="10"/>
            </w:pPr>
            <w:r>
              <w:t>10月底</w:t>
            </w:r>
          </w:p>
        </w:tc>
        <w:tc>
          <w:tcPr>
            <w:tcW w:w="3544" w:type="dxa"/>
            <w:gridSpan w:val="2"/>
            <w:vAlign w:val="center"/>
          </w:tcPr>
          <w:p w14:paraId="14B26D00">
            <w:pPr>
              <w:pStyle w:val="10"/>
            </w:pPr>
            <w:r>
              <w:t>12月底</w:t>
            </w:r>
          </w:p>
        </w:tc>
      </w:tr>
      <w:tr w14:paraId="0E25F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A96C9"/>
        </w:tc>
        <w:tc>
          <w:tcPr>
            <w:tcW w:w="5103" w:type="dxa"/>
            <w:gridSpan w:val="2"/>
            <w:vAlign w:val="center"/>
          </w:tcPr>
          <w:p w14:paraId="3E91CDCE">
            <w:pPr>
              <w:pStyle w:val="13"/>
            </w:pPr>
            <w:r>
              <w:t xml:space="preserve"> </w:t>
            </w:r>
          </w:p>
        </w:tc>
        <w:tc>
          <w:tcPr>
            <w:tcW w:w="2835" w:type="dxa"/>
            <w:vAlign w:val="center"/>
          </w:tcPr>
          <w:p w14:paraId="7C806A7C">
            <w:pPr>
              <w:pStyle w:val="13"/>
            </w:pPr>
            <w:r>
              <w:t xml:space="preserve"> </w:t>
            </w:r>
          </w:p>
        </w:tc>
        <w:tc>
          <w:tcPr>
            <w:tcW w:w="2551" w:type="dxa"/>
            <w:vAlign w:val="center"/>
          </w:tcPr>
          <w:p w14:paraId="330AF1B8">
            <w:pPr>
              <w:pStyle w:val="13"/>
            </w:pPr>
            <w:r>
              <w:t>100%</w:t>
            </w:r>
          </w:p>
        </w:tc>
        <w:tc>
          <w:tcPr>
            <w:tcW w:w="3544" w:type="dxa"/>
            <w:gridSpan w:val="2"/>
            <w:vAlign w:val="center"/>
          </w:tcPr>
          <w:p w14:paraId="0E716E92">
            <w:pPr>
              <w:pStyle w:val="13"/>
            </w:pPr>
            <w:r>
              <w:t>100%</w:t>
            </w:r>
          </w:p>
        </w:tc>
      </w:tr>
      <w:tr w14:paraId="0F8EA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DE49F">
            <w:pPr>
              <w:pStyle w:val="10"/>
            </w:pPr>
            <w:r>
              <w:t>绩效目标</w:t>
            </w:r>
          </w:p>
        </w:tc>
        <w:tc>
          <w:tcPr>
            <w:tcW w:w="14033" w:type="dxa"/>
            <w:gridSpan w:val="6"/>
            <w:vAlign w:val="center"/>
          </w:tcPr>
          <w:p w14:paraId="04A9D390">
            <w:pPr>
              <w:pStyle w:val="12"/>
            </w:pPr>
            <w:r>
              <w:t>1.完成西良后小学新建宿舍楼项目，进一步提升教育质量及教学条件。</w:t>
            </w:r>
          </w:p>
        </w:tc>
      </w:tr>
    </w:tbl>
    <w:p w14:paraId="5CC8E5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8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F845E">
            <w:pPr>
              <w:pStyle w:val="10"/>
            </w:pPr>
            <w:r>
              <w:t>一级指标</w:t>
            </w:r>
          </w:p>
        </w:tc>
        <w:tc>
          <w:tcPr>
            <w:tcW w:w="2268" w:type="dxa"/>
            <w:vAlign w:val="center"/>
          </w:tcPr>
          <w:p w14:paraId="45E80E3F">
            <w:pPr>
              <w:pStyle w:val="10"/>
            </w:pPr>
            <w:r>
              <w:t>二级指标</w:t>
            </w:r>
          </w:p>
        </w:tc>
        <w:tc>
          <w:tcPr>
            <w:tcW w:w="2835" w:type="dxa"/>
            <w:vAlign w:val="center"/>
          </w:tcPr>
          <w:p w14:paraId="1E0F43EA">
            <w:pPr>
              <w:pStyle w:val="10"/>
            </w:pPr>
            <w:r>
              <w:t>三级指标</w:t>
            </w:r>
          </w:p>
        </w:tc>
        <w:tc>
          <w:tcPr>
            <w:tcW w:w="5386" w:type="dxa"/>
            <w:vAlign w:val="center"/>
          </w:tcPr>
          <w:p w14:paraId="50591BA2">
            <w:pPr>
              <w:pStyle w:val="10"/>
            </w:pPr>
            <w:r>
              <w:t>绩效指标描述</w:t>
            </w:r>
          </w:p>
        </w:tc>
        <w:tc>
          <w:tcPr>
            <w:tcW w:w="2268" w:type="dxa"/>
            <w:vAlign w:val="center"/>
          </w:tcPr>
          <w:p w14:paraId="33F4403D">
            <w:pPr>
              <w:pStyle w:val="10"/>
            </w:pPr>
            <w:r>
              <w:t>指标值</w:t>
            </w:r>
          </w:p>
        </w:tc>
        <w:tc>
          <w:tcPr>
            <w:tcW w:w="1276" w:type="dxa"/>
            <w:vAlign w:val="center"/>
          </w:tcPr>
          <w:p w14:paraId="7950F020">
            <w:pPr>
              <w:pStyle w:val="10"/>
            </w:pPr>
            <w:r>
              <w:t>指标值确定依据</w:t>
            </w:r>
          </w:p>
        </w:tc>
      </w:tr>
      <w:tr w14:paraId="4E07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35582">
            <w:pPr>
              <w:pStyle w:val="13"/>
            </w:pPr>
            <w:r>
              <w:t>产出指标</w:t>
            </w:r>
          </w:p>
        </w:tc>
        <w:tc>
          <w:tcPr>
            <w:tcW w:w="2268" w:type="dxa"/>
            <w:vAlign w:val="center"/>
          </w:tcPr>
          <w:p w14:paraId="2679DDD4">
            <w:pPr>
              <w:pStyle w:val="12"/>
            </w:pPr>
            <w:r>
              <w:t>数量指标</w:t>
            </w:r>
          </w:p>
        </w:tc>
        <w:tc>
          <w:tcPr>
            <w:tcW w:w="2835" w:type="dxa"/>
            <w:vAlign w:val="center"/>
          </w:tcPr>
          <w:p w14:paraId="394742B5">
            <w:pPr>
              <w:pStyle w:val="12"/>
            </w:pPr>
            <w:r>
              <w:t>新建附属用房</w:t>
            </w:r>
          </w:p>
        </w:tc>
        <w:tc>
          <w:tcPr>
            <w:tcW w:w="5386" w:type="dxa"/>
            <w:vAlign w:val="center"/>
          </w:tcPr>
          <w:p w14:paraId="700A1C7A">
            <w:pPr>
              <w:pStyle w:val="12"/>
            </w:pPr>
            <w:r>
              <w:t>西良后小学新建宿舍楼面积</w:t>
            </w:r>
          </w:p>
        </w:tc>
        <w:tc>
          <w:tcPr>
            <w:tcW w:w="2268" w:type="dxa"/>
            <w:vAlign w:val="center"/>
          </w:tcPr>
          <w:p w14:paraId="624BD829">
            <w:pPr>
              <w:pStyle w:val="12"/>
            </w:pPr>
            <w:r>
              <w:t>2866.71平方米</w:t>
            </w:r>
          </w:p>
        </w:tc>
        <w:tc>
          <w:tcPr>
            <w:tcW w:w="1276" w:type="dxa"/>
            <w:vAlign w:val="center"/>
          </w:tcPr>
          <w:p w14:paraId="45309752">
            <w:pPr>
              <w:pStyle w:val="12"/>
            </w:pPr>
            <w:r>
              <w:t>项目规划</w:t>
            </w:r>
          </w:p>
        </w:tc>
      </w:tr>
      <w:tr w14:paraId="1E42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BAD7D"/>
        </w:tc>
        <w:tc>
          <w:tcPr>
            <w:tcW w:w="2268" w:type="dxa"/>
            <w:vAlign w:val="center"/>
          </w:tcPr>
          <w:p w14:paraId="41CB5402">
            <w:pPr>
              <w:pStyle w:val="12"/>
            </w:pPr>
            <w:r>
              <w:t>质量指标</w:t>
            </w:r>
          </w:p>
        </w:tc>
        <w:tc>
          <w:tcPr>
            <w:tcW w:w="2835" w:type="dxa"/>
            <w:vAlign w:val="center"/>
          </w:tcPr>
          <w:p w14:paraId="390AE5B5">
            <w:pPr>
              <w:pStyle w:val="12"/>
            </w:pPr>
            <w:r>
              <w:t>工程实施验收合格率</w:t>
            </w:r>
          </w:p>
        </w:tc>
        <w:tc>
          <w:tcPr>
            <w:tcW w:w="5386" w:type="dxa"/>
            <w:vAlign w:val="center"/>
          </w:tcPr>
          <w:p w14:paraId="3C3C9F49">
            <w:pPr>
              <w:pStyle w:val="12"/>
            </w:pPr>
            <w:r>
              <w:t>申报程序的合规，项目实施及资金使用符合项目规划</w:t>
            </w:r>
          </w:p>
        </w:tc>
        <w:tc>
          <w:tcPr>
            <w:tcW w:w="2268" w:type="dxa"/>
            <w:vAlign w:val="center"/>
          </w:tcPr>
          <w:p w14:paraId="19BDF52D">
            <w:pPr>
              <w:pStyle w:val="12"/>
            </w:pPr>
            <w:r>
              <w:t>100%</w:t>
            </w:r>
          </w:p>
        </w:tc>
        <w:tc>
          <w:tcPr>
            <w:tcW w:w="1276" w:type="dxa"/>
            <w:vAlign w:val="center"/>
          </w:tcPr>
          <w:p w14:paraId="504CDEB7">
            <w:pPr>
              <w:pStyle w:val="12"/>
            </w:pPr>
            <w:r>
              <w:t>项目规划</w:t>
            </w:r>
          </w:p>
        </w:tc>
      </w:tr>
      <w:tr w14:paraId="0601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A9E1E"/>
        </w:tc>
        <w:tc>
          <w:tcPr>
            <w:tcW w:w="2268" w:type="dxa"/>
            <w:vAlign w:val="center"/>
          </w:tcPr>
          <w:p w14:paraId="7EB66D7F">
            <w:pPr>
              <w:pStyle w:val="12"/>
            </w:pPr>
            <w:r>
              <w:t>时效指标</w:t>
            </w:r>
          </w:p>
        </w:tc>
        <w:tc>
          <w:tcPr>
            <w:tcW w:w="2835" w:type="dxa"/>
            <w:vAlign w:val="center"/>
          </w:tcPr>
          <w:p w14:paraId="08074E98">
            <w:pPr>
              <w:pStyle w:val="12"/>
            </w:pPr>
            <w:r>
              <w:t>资金支付率</w:t>
            </w:r>
          </w:p>
        </w:tc>
        <w:tc>
          <w:tcPr>
            <w:tcW w:w="5386" w:type="dxa"/>
            <w:vAlign w:val="center"/>
          </w:tcPr>
          <w:p w14:paraId="23AB12E0">
            <w:pPr>
              <w:pStyle w:val="12"/>
            </w:pPr>
            <w:r>
              <w:t>按照序时进度完成资金支付</w:t>
            </w:r>
          </w:p>
        </w:tc>
        <w:tc>
          <w:tcPr>
            <w:tcW w:w="2268" w:type="dxa"/>
            <w:vAlign w:val="center"/>
          </w:tcPr>
          <w:p w14:paraId="443AC5BE">
            <w:pPr>
              <w:pStyle w:val="12"/>
            </w:pPr>
            <w:r>
              <w:t>100%</w:t>
            </w:r>
          </w:p>
        </w:tc>
        <w:tc>
          <w:tcPr>
            <w:tcW w:w="1276" w:type="dxa"/>
            <w:vAlign w:val="center"/>
          </w:tcPr>
          <w:p w14:paraId="0EA8C3C9">
            <w:pPr>
              <w:pStyle w:val="12"/>
            </w:pPr>
            <w:r>
              <w:t>项目规划</w:t>
            </w:r>
          </w:p>
        </w:tc>
      </w:tr>
      <w:tr w14:paraId="314C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67521"/>
        </w:tc>
        <w:tc>
          <w:tcPr>
            <w:tcW w:w="2268" w:type="dxa"/>
            <w:vAlign w:val="center"/>
          </w:tcPr>
          <w:p w14:paraId="093CFC50">
            <w:pPr>
              <w:pStyle w:val="12"/>
            </w:pPr>
            <w:r>
              <w:t>成本指标</w:t>
            </w:r>
          </w:p>
        </w:tc>
        <w:tc>
          <w:tcPr>
            <w:tcW w:w="2835" w:type="dxa"/>
            <w:vAlign w:val="center"/>
          </w:tcPr>
          <w:p w14:paraId="5AC38D1E">
            <w:pPr>
              <w:pStyle w:val="12"/>
            </w:pPr>
            <w:r>
              <w:t>项目成本控制情况</w:t>
            </w:r>
          </w:p>
        </w:tc>
        <w:tc>
          <w:tcPr>
            <w:tcW w:w="5386" w:type="dxa"/>
            <w:vAlign w:val="center"/>
          </w:tcPr>
          <w:p w14:paraId="059388E4">
            <w:pPr>
              <w:pStyle w:val="12"/>
            </w:pPr>
            <w:r>
              <w:t>严格按照审计额进行质保金支付</w:t>
            </w:r>
          </w:p>
        </w:tc>
        <w:tc>
          <w:tcPr>
            <w:tcW w:w="2268" w:type="dxa"/>
            <w:vAlign w:val="center"/>
          </w:tcPr>
          <w:p w14:paraId="697C82FD">
            <w:pPr>
              <w:pStyle w:val="12"/>
            </w:pPr>
            <w:r>
              <w:t>1573357.88元</w:t>
            </w:r>
          </w:p>
        </w:tc>
        <w:tc>
          <w:tcPr>
            <w:tcW w:w="1276" w:type="dxa"/>
            <w:vAlign w:val="center"/>
          </w:tcPr>
          <w:p w14:paraId="5ED03FD0">
            <w:pPr>
              <w:pStyle w:val="12"/>
            </w:pPr>
            <w:r>
              <w:t>项目规划</w:t>
            </w:r>
          </w:p>
        </w:tc>
      </w:tr>
      <w:tr w14:paraId="34C7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B11D5">
            <w:pPr>
              <w:pStyle w:val="13"/>
            </w:pPr>
            <w:r>
              <w:t>效益指标</w:t>
            </w:r>
          </w:p>
        </w:tc>
        <w:tc>
          <w:tcPr>
            <w:tcW w:w="2268" w:type="dxa"/>
            <w:vAlign w:val="center"/>
          </w:tcPr>
          <w:p w14:paraId="1E5E93F8">
            <w:pPr>
              <w:pStyle w:val="12"/>
            </w:pPr>
            <w:r>
              <w:t>可持续影响指标</w:t>
            </w:r>
          </w:p>
        </w:tc>
        <w:tc>
          <w:tcPr>
            <w:tcW w:w="2835" w:type="dxa"/>
            <w:vAlign w:val="center"/>
          </w:tcPr>
          <w:p w14:paraId="4A1D839B">
            <w:pPr>
              <w:pStyle w:val="12"/>
            </w:pPr>
            <w:r>
              <w:t xml:space="preserve"> 学生住宿条件提升</w:t>
            </w:r>
          </w:p>
        </w:tc>
        <w:tc>
          <w:tcPr>
            <w:tcW w:w="5386" w:type="dxa"/>
            <w:vAlign w:val="center"/>
          </w:tcPr>
          <w:p w14:paraId="0EEE113C">
            <w:pPr>
              <w:pStyle w:val="12"/>
            </w:pPr>
            <w:r>
              <w:t>学校办学能</w:t>
            </w:r>
            <w:r>
              <w:rPr>
                <w:rFonts w:hint="eastAsia"/>
                <w:lang w:eastAsia="zh-CN"/>
              </w:rPr>
              <w:t>力提</w:t>
            </w:r>
            <w:r>
              <w:t>升情况及学生住宿条件等开展的情况</w:t>
            </w:r>
          </w:p>
        </w:tc>
        <w:tc>
          <w:tcPr>
            <w:tcW w:w="2268" w:type="dxa"/>
            <w:vAlign w:val="center"/>
          </w:tcPr>
          <w:p w14:paraId="0A8232AC">
            <w:pPr>
              <w:pStyle w:val="12"/>
            </w:pPr>
            <w:r>
              <w:t>100%</w:t>
            </w:r>
          </w:p>
        </w:tc>
        <w:tc>
          <w:tcPr>
            <w:tcW w:w="1276" w:type="dxa"/>
            <w:vAlign w:val="center"/>
          </w:tcPr>
          <w:p w14:paraId="6CB9A927">
            <w:pPr>
              <w:pStyle w:val="12"/>
            </w:pPr>
            <w:r>
              <w:t>项目规划</w:t>
            </w:r>
          </w:p>
        </w:tc>
      </w:tr>
      <w:tr w14:paraId="48D9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DBC3E">
            <w:pPr>
              <w:pStyle w:val="13"/>
            </w:pPr>
            <w:r>
              <w:t>满意度指标</w:t>
            </w:r>
          </w:p>
        </w:tc>
        <w:tc>
          <w:tcPr>
            <w:tcW w:w="2268" w:type="dxa"/>
            <w:vAlign w:val="center"/>
          </w:tcPr>
          <w:p w14:paraId="6C681ADA">
            <w:pPr>
              <w:pStyle w:val="12"/>
            </w:pPr>
            <w:r>
              <w:t>服务对象满意度指标</w:t>
            </w:r>
          </w:p>
        </w:tc>
        <w:tc>
          <w:tcPr>
            <w:tcW w:w="2835" w:type="dxa"/>
            <w:vAlign w:val="center"/>
          </w:tcPr>
          <w:p w14:paraId="2C952F91">
            <w:pPr>
              <w:pStyle w:val="12"/>
            </w:pPr>
            <w:r>
              <w:t>学生、教师及家长对学校教学环境满意度情况</w:t>
            </w:r>
          </w:p>
        </w:tc>
        <w:tc>
          <w:tcPr>
            <w:tcW w:w="5386" w:type="dxa"/>
            <w:vAlign w:val="center"/>
          </w:tcPr>
          <w:p w14:paraId="47B50499">
            <w:pPr>
              <w:pStyle w:val="12"/>
            </w:pPr>
            <w:r>
              <w:t>学生、教师及家长对学生住宿环境满意度情况</w:t>
            </w:r>
          </w:p>
        </w:tc>
        <w:tc>
          <w:tcPr>
            <w:tcW w:w="2268" w:type="dxa"/>
            <w:vAlign w:val="center"/>
          </w:tcPr>
          <w:p w14:paraId="66E206B2">
            <w:pPr>
              <w:pStyle w:val="12"/>
            </w:pPr>
            <w:r>
              <w:t>≥95%</w:t>
            </w:r>
          </w:p>
        </w:tc>
        <w:tc>
          <w:tcPr>
            <w:tcW w:w="1276" w:type="dxa"/>
            <w:vAlign w:val="center"/>
          </w:tcPr>
          <w:p w14:paraId="3A21CC01">
            <w:pPr>
              <w:pStyle w:val="12"/>
            </w:pPr>
            <w:r>
              <w:t>调查问卷</w:t>
            </w:r>
          </w:p>
        </w:tc>
      </w:tr>
    </w:tbl>
    <w:p w14:paraId="646BE3C2">
      <w:pPr>
        <w:sectPr>
          <w:pgSz w:w="16840" w:h="11900" w:orient="landscape"/>
          <w:pgMar w:top="1361" w:right="1020" w:bottom="1134" w:left="1020" w:header="720" w:footer="720" w:gutter="0"/>
          <w:cols w:space="720" w:num="1"/>
        </w:sectPr>
      </w:pPr>
    </w:p>
    <w:p w14:paraId="1E4EB2E1">
      <w:pPr>
        <w:spacing w:before="0" w:after="0"/>
        <w:ind w:firstLine="560"/>
        <w:jc w:val="left"/>
        <w:outlineLvl w:val="9"/>
      </w:pPr>
      <w:r>
        <w:rPr>
          <w:rFonts w:ascii="方正仿宋_GBK" w:hAnsi="方正仿宋_GBK" w:eastAsia="方正仿宋_GBK" w:cs="方正仿宋_GBK"/>
          <w:b/>
          <w:color w:val="000000"/>
          <w:sz w:val="28"/>
        </w:rPr>
        <w:t>2、冀财教[2025]121号/中央/2026年义教补助经费/双碑校大崔庄小学公用经费绩效目标表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2A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B7174">
            <w:pPr>
              <w:pStyle w:val="11"/>
            </w:pPr>
            <w:r>
              <w:t>单位：万元</w:t>
            </w:r>
          </w:p>
        </w:tc>
      </w:tr>
      <w:tr w14:paraId="2B070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94782">
            <w:pPr>
              <w:pStyle w:val="10"/>
            </w:pPr>
            <w:r>
              <w:t>项目编码</w:t>
            </w:r>
          </w:p>
        </w:tc>
        <w:tc>
          <w:tcPr>
            <w:tcW w:w="5103" w:type="dxa"/>
            <w:gridSpan w:val="2"/>
            <w:vAlign w:val="center"/>
          </w:tcPr>
          <w:p w14:paraId="0D51C141">
            <w:pPr>
              <w:pStyle w:val="12"/>
            </w:pPr>
            <w:r>
              <w:t>13052526P000004102879</w:t>
            </w:r>
          </w:p>
        </w:tc>
        <w:tc>
          <w:tcPr>
            <w:tcW w:w="2835" w:type="dxa"/>
            <w:vAlign w:val="center"/>
          </w:tcPr>
          <w:p w14:paraId="5025776F">
            <w:pPr>
              <w:pStyle w:val="10"/>
            </w:pPr>
            <w:r>
              <w:t>项目名称</w:t>
            </w:r>
          </w:p>
        </w:tc>
        <w:tc>
          <w:tcPr>
            <w:tcW w:w="6095" w:type="dxa"/>
            <w:gridSpan w:val="3"/>
            <w:vAlign w:val="center"/>
          </w:tcPr>
          <w:p w14:paraId="3DFF01C0">
            <w:pPr>
              <w:pStyle w:val="12"/>
            </w:pPr>
            <w:r>
              <w:t>冀财教[2025]121号/中央/2026年义教补助经费/双碑校大崔庄小学公用经费</w:t>
            </w:r>
          </w:p>
        </w:tc>
      </w:tr>
      <w:tr w14:paraId="4E9B4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88E7C">
            <w:pPr>
              <w:pStyle w:val="10"/>
            </w:pPr>
            <w:r>
              <w:t>预算规模及资金用途</w:t>
            </w:r>
          </w:p>
        </w:tc>
        <w:tc>
          <w:tcPr>
            <w:tcW w:w="2268" w:type="dxa"/>
            <w:vAlign w:val="center"/>
          </w:tcPr>
          <w:p w14:paraId="3758B709">
            <w:pPr>
              <w:pStyle w:val="10"/>
            </w:pPr>
            <w:r>
              <w:t>预算数</w:t>
            </w:r>
          </w:p>
        </w:tc>
        <w:tc>
          <w:tcPr>
            <w:tcW w:w="2835" w:type="dxa"/>
            <w:vAlign w:val="center"/>
          </w:tcPr>
          <w:p w14:paraId="504ABAAA">
            <w:pPr>
              <w:pStyle w:val="12"/>
            </w:pPr>
            <w:r>
              <w:t>8.89</w:t>
            </w:r>
          </w:p>
        </w:tc>
        <w:tc>
          <w:tcPr>
            <w:tcW w:w="2835" w:type="dxa"/>
            <w:vAlign w:val="center"/>
          </w:tcPr>
          <w:p w14:paraId="2D804150">
            <w:pPr>
              <w:pStyle w:val="10"/>
            </w:pPr>
            <w:r>
              <w:t>其中：财政    资金</w:t>
            </w:r>
          </w:p>
        </w:tc>
        <w:tc>
          <w:tcPr>
            <w:tcW w:w="2551" w:type="dxa"/>
            <w:vAlign w:val="center"/>
          </w:tcPr>
          <w:p w14:paraId="61B80214">
            <w:pPr>
              <w:pStyle w:val="12"/>
            </w:pPr>
            <w:r>
              <w:t>8.89</w:t>
            </w:r>
          </w:p>
        </w:tc>
        <w:tc>
          <w:tcPr>
            <w:tcW w:w="2268" w:type="dxa"/>
            <w:vAlign w:val="center"/>
          </w:tcPr>
          <w:p w14:paraId="69FD4D05">
            <w:pPr>
              <w:pStyle w:val="10"/>
            </w:pPr>
            <w:r>
              <w:t>其他资金</w:t>
            </w:r>
          </w:p>
        </w:tc>
        <w:tc>
          <w:tcPr>
            <w:tcW w:w="1276" w:type="dxa"/>
            <w:vAlign w:val="center"/>
          </w:tcPr>
          <w:p w14:paraId="0E269D85">
            <w:pPr>
              <w:pStyle w:val="12"/>
            </w:pPr>
            <w:r>
              <w:t xml:space="preserve"> </w:t>
            </w:r>
          </w:p>
        </w:tc>
      </w:tr>
      <w:tr w14:paraId="105B9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84AC3"/>
        </w:tc>
        <w:tc>
          <w:tcPr>
            <w:tcW w:w="14033" w:type="dxa"/>
            <w:gridSpan w:val="6"/>
            <w:vAlign w:val="center"/>
          </w:tcPr>
          <w:p w14:paraId="527634CA">
            <w:pPr>
              <w:pStyle w:val="12"/>
            </w:pPr>
            <w:r>
              <w:t>保障学校正常运转，完成各项教育教学活动和其他日常工作任务等方面的费用支出。</w:t>
            </w:r>
            <w:r>
              <w:tab/>
            </w:r>
            <w:r>
              <w:tab/>
            </w:r>
            <w:r>
              <w:tab/>
            </w:r>
            <w:r>
              <w:tab/>
            </w:r>
            <w:r>
              <w:tab/>
            </w:r>
            <w:r>
              <w:tab/>
            </w:r>
          </w:p>
          <w:p w14:paraId="7CFC2447">
            <w:pPr>
              <w:pStyle w:val="12"/>
            </w:pPr>
          </w:p>
        </w:tc>
      </w:tr>
      <w:tr w14:paraId="127DA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B229E">
            <w:pPr>
              <w:pStyle w:val="10"/>
            </w:pPr>
            <w:r>
              <w:t>资金支出计划（%）</w:t>
            </w:r>
          </w:p>
        </w:tc>
        <w:tc>
          <w:tcPr>
            <w:tcW w:w="5103" w:type="dxa"/>
            <w:gridSpan w:val="2"/>
            <w:vAlign w:val="center"/>
          </w:tcPr>
          <w:p w14:paraId="4CBFE1A5">
            <w:pPr>
              <w:pStyle w:val="10"/>
            </w:pPr>
            <w:r>
              <w:t>3月底</w:t>
            </w:r>
          </w:p>
        </w:tc>
        <w:tc>
          <w:tcPr>
            <w:tcW w:w="2835" w:type="dxa"/>
            <w:vAlign w:val="center"/>
          </w:tcPr>
          <w:p w14:paraId="5345964E">
            <w:pPr>
              <w:pStyle w:val="10"/>
            </w:pPr>
            <w:r>
              <w:t>6月底</w:t>
            </w:r>
          </w:p>
        </w:tc>
        <w:tc>
          <w:tcPr>
            <w:tcW w:w="2551" w:type="dxa"/>
            <w:vAlign w:val="center"/>
          </w:tcPr>
          <w:p w14:paraId="21872DF5">
            <w:pPr>
              <w:pStyle w:val="10"/>
            </w:pPr>
            <w:r>
              <w:t>10月底</w:t>
            </w:r>
          </w:p>
        </w:tc>
        <w:tc>
          <w:tcPr>
            <w:tcW w:w="3544" w:type="dxa"/>
            <w:gridSpan w:val="2"/>
            <w:vAlign w:val="center"/>
          </w:tcPr>
          <w:p w14:paraId="2428608C">
            <w:pPr>
              <w:pStyle w:val="10"/>
            </w:pPr>
            <w:r>
              <w:t>12月底</w:t>
            </w:r>
          </w:p>
        </w:tc>
      </w:tr>
      <w:tr w14:paraId="1BBA1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8C0F5"/>
        </w:tc>
        <w:tc>
          <w:tcPr>
            <w:tcW w:w="5103" w:type="dxa"/>
            <w:gridSpan w:val="2"/>
            <w:vAlign w:val="center"/>
          </w:tcPr>
          <w:p w14:paraId="23D05208">
            <w:pPr>
              <w:pStyle w:val="13"/>
            </w:pPr>
            <w:r>
              <w:t>25%</w:t>
            </w:r>
          </w:p>
        </w:tc>
        <w:tc>
          <w:tcPr>
            <w:tcW w:w="2835" w:type="dxa"/>
            <w:vAlign w:val="center"/>
          </w:tcPr>
          <w:p w14:paraId="23623F15">
            <w:pPr>
              <w:pStyle w:val="13"/>
            </w:pPr>
            <w:r>
              <w:t>50%</w:t>
            </w:r>
          </w:p>
        </w:tc>
        <w:tc>
          <w:tcPr>
            <w:tcW w:w="2551" w:type="dxa"/>
            <w:vAlign w:val="center"/>
          </w:tcPr>
          <w:p w14:paraId="63A2B5F9">
            <w:pPr>
              <w:pStyle w:val="13"/>
            </w:pPr>
            <w:r>
              <w:t>75%</w:t>
            </w:r>
          </w:p>
        </w:tc>
        <w:tc>
          <w:tcPr>
            <w:tcW w:w="3544" w:type="dxa"/>
            <w:gridSpan w:val="2"/>
            <w:vAlign w:val="center"/>
          </w:tcPr>
          <w:p w14:paraId="5FA67785">
            <w:pPr>
              <w:pStyle w:val="13"/>
            </w:pPr>
            <w:r>
              <w:t>100%</w:t>
            </w:r>
          </w:p>
        </w:tc>
      </w:tr>
      <w:tr w14:paraId="300C1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854AC">
            <w:pPr>
              <w:pStyle w:val="10"/>
            </w:pPr>
            <w:r>
              <w:t>绩效目标</w:t>
            </w:r>
          </w:p>
        </w:tc>
        <w:tc>
          <w:tcPr>
            <w:tcW w:w="14033" w:type="dxa"/>
            <w:gridSpan w:val="6"/>
            <w:vAlign w:val="center"/>
          </w:tcPr>
          <w:p w14:paraId="10CBE2F3">
            <w:pPr>
              <w:pStyle w:val="12"/>
            </w:pPr>
            <w:r>
              <w:t>1.保障学校正常运转，完成各项教育教学活动和其他日常工作任务等方面的费用支出。</w:t>
            </w:r>
          </w:p>
          <w:p w14:paraId="3A40CEF6">
            <w:pPr>
              <w:pStyle w:val="12"/>
            </w:pPr>
            <w:r>
              <w:t>2.按季度分批次拨付公用经费资金，资金拨付率达到100%。</w:t>
            </w:r>
          </w:p>
        </w:tc>
      </w:tr>
    </w:tbl>
    <w:p w14:paraId="64CC5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88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9E11D">
            <w:pPr>
              <w:pStyle w:val="10"/>
            </w:pPr>
            <w:r>
              <w:t>一级指标</w:t>
            </w:r>
          </w:p>
        </w:tc>
        <w:tc>
          <w:tcPr>
            <w:tcW w:w="2268" w:type="dxa"/>
            <w:vAlign w:val="center"/>
          </w:tcPr>
          <w:p w14:paraId="500CC89B">
            <w:pPr>
              <w:pStyle w:val="10"/>
            </w:pPr>
            <w:r>
              <w:t>二级指标</w:t>
            </w:r>
          </w:p>
        </w:tc>
        <w:tc>
          <w:tcPr>
            <w:tcW w:w="2835" w:type="dxa"/>
            <w:vAlign w:val="center"/>
          </w:tcPr>
          <w:p w14:paraId="0304AD1E">
            <w:pPr>
              <w:pStyle w:val="10"/>
            </w:pPr>
            <w:r>
              <w:t>三级指标</w:t>
            </w:r>
          </w:p>
        </w:tc>
        <w:tc>
          <w:tcPr>
            <w:tcW w:w="5386" w:type="dxa"/>
            <w:vAlign w:val="center"/>
          </w:tcPr>
          <w:p w14:paraId="6BF7FAE3">
            <w:pPr>
              <w:pStyle w:val="10"/>
            </w:pPr>
            <w:r>
              <w:t>绩效指标描述</w:t>
            </w:r>
          </w:p>
        </w:tc>
        <w:tc>
          <w:tcPr>
            <w:tcW w:w="2268" w:type="dxa"/>
            <w:vAlign w:val="center"/>
          </w:tcPr>
          <w:p w14:paraId="62E1DE91">
            <w:pPr>
              <w:pStyle w:val="10"/>
            </w:pPr>
            <w:r>
              <w:t>指标值</w:t>
            </w:r>
          </w:p>
        </w:tc>
        <w:tc>
          <w:tcPr>
            <w:tcW w:w="1276" w:type="dxa"/>
            <w:vAlign w:val="center"/>
          </w:tcPr>
          <w:p w14:paraId="5F7FEC06">
            <w:pPr>
              <w:pStyle w:val="10"/>
            </w:pPr>
            <w:r>
              <w:t>指标值确定依据</w:t>
            </w:r>
          </w:p>
        </w:tc>
      </w:tr>
      <w:tr w14:paraId="01629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2C8D5">
            <w:pPr>
              <w:pStyle w:val="13"/>
            </w:pPr>
            <w:r>
              <w:t>产出指标</w:t>
            </w:r>
          </w:p>
        </w:tc>
        <w:tc>
          <w:tcPr>
            <w:tcW w:w="2268" w:type="dxa"/>
            <w:vAlign w:val="center"/>
          </w:tcPr>
          <w:p w14:paraId="4913F525">
            <w:pPr>
              <w:pStyle w:val="12"/>
            </w:pPr>
            <w:r>
              <w:t>数量指标</w:t>
            </w:r>
          </w:p>
        </w:tc>
        <w:tc>
          <w:tcPr>
            <w:tcW w:w="2835" w:type="dxa"/>
            <w:vAlign w:val="center"/>
          </w:tcPr>
          <w:p w14:paraId="735ED38E">
            <w:pPr>
              <w:pStyle w:val="12"/>
            </w:pPr>
            <w:r>
              <w:t>就读学生数</w:t>
            </w:r>
          </w:p>
        </w:tc>
        <w:tc>
          <w:tcPr>
            <w:tcW w:w="5386" w:type="dxa"/>
            <w:vAlign w:val="center"/>
          </w:tcPr>
          <w:p w14:paraId="3B6CD001">
            <w:pPr>
              <w:pStyle w:val="12"/>
            </w:pPr>
            <w:r>
              <w:t>辐射区域内适龄学生人数</w:t>
            </w:r>
          </w:p>
        </w:tc>
        <w:tc>
          <w:tcPr>
            <w:tcW w:w="2268" w:type="dxa"/>
            <w:vAlign w:val="center"/>
          </w:tcPr>
          <w:p w14:paraId="590DCBC8">
            <w:pPr>
              <w:pStyle w:val="12"/>
            </w:pPr>
            <w:r>
              <w:t>179人</w:t>
            </w:r>
          </w:p>
        </w:tc>
        <w:tc>
          <w:tcPr>
            <w:tcW w:w="1276" w:type="dxa"/>
            <w:vAlign w:val="center"/>
          </w:tcPr>
          <w:p w14:paraId="18EAA8F9">
            <w:pPr>
              <w:pStyle w:val="12"/>
            </w:pPr>
            <w:r>
              <w:t>城乡义务教育公用经费管理办法</w:t>
            </w:r>
          </w:p>
        </w:tc>
      </w:tr>
      <w:tr w14:paraId="5006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930E8"/>
        </w:tc>
        <w:tc>
          <w:tcPr>
            <w:tcW w:w="2268" w:type="dxa"/>
            <w:vAlign w:val="center"/>
          </w:tcPr>
          <w:p w14:paraId="43021E01">
            <w:pPr>
              <w:pStyle w:val="12"/>
            </w:pPr>
            <w:r>
              <w:t>质量指标</w:t>
            </w:r>
          </w:p>
        </w:tc>
        <w:tc>
          <w:tcPr>
            <w:tcW w:w="2835" w:type="dxa"/>
            <w:vAlign w:val="center"/>
          </w:tcPr>
          <w:p w14:paraId="1C786E22">
            <w:pPr>
              <w:pStyle w:val="12"/>
            </w:pPr>
            <w:r>
              <w:t>预算执行率</w:t>
            </w:r>
          </w:p>
        </w:tc>
        <w:tc>
          <w:tcPr>
            <w:tcW w:w="5386" w:type="dxa"/>
            <w:vAlign w:val="center"/>
          </w:tcPr>
          <w:p w14:paraId="456BF77D">
            <w:pPr>
              <w:pStyle w:val="12"/>
            </w:pPr>
            <w:r>
              <w:t>预算执行率</w:t>
            </w:r>
          </w:p>
        </w:tc>
        <w:tc>
          <w:tcPr>
            <w:tcW w:w="2268" w:type="dxa"/>
            <w:vAlign w:val="center"/>
          </w:tcPr>
          <w:p w14:paraId="00EC6D62">
            <w:pPr>
              <w:pStyle w:val="12"/>
            </w:pPr>
            <w:r>
              <w:t>≥95%</w:t>
            </w:r>
          </w:p>
        </w:tc>
        <w:tc>
          <w:tcPr>
            <w:tcW w:w="1276" w:type="dxa"/>
            <w:vAlign w:val="center"/>
          </w:tcPr>
          <w:p w14:paraId="165E00AF">
            <w:pPr>
              <w:pStyle w:val="12"/>
            </w:pPr>
            <w:r>
              <w:t>城乡义务教育公用经费管理办法</w:t>
            </w:r>
          </w:p>
        </w:tc>
      </w:tr>
      <w:tr w14:paraId="56A8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26AFA"/>
        </w:tc>
        <w:tc>
          <w:tcPr>
            <w:tcW w:w="2268" w:type="dxa"/>
            <w:vAlign w:val="center"/>
          </w:tcPr>
          <w:p w14:paraId="4DFF186C">
            <w:pPr>
              <w:pStyle w:val="12"/>
            </w:pPr>
            <w:r>
              <w:t>时效指标</w:t>
            </w:r>
          </w:p>
        </w:tc>
        <w:tc>
          <w:tcPr>
            <w:tcW w:w="2835" w:type="dxa"/>
            <w:vAlign w:val="center"/>
          </w:tcPr>
          <w:p w14:paraId="3E150D9F">
            <w:pPr>
              <w:pStyle w:val="12"/>
            </w:pPr>
            <w:r>
              <w:t>义教经费支付完成率</w:t>
            </w:r>
          </w:p>
        </w:tc>
        <w:tc>
          <w:tcPr>
            <w:tcW w:w="5386" w:type="dxa"/>
            <w:vAlign w:val="center"/>
          </w:tcPr>
          <w:p w14:paraId="60F2A4C4">
            <w:pPr>
              <w:pStyle w:val="12"/>
            </w:pPr>
            <w:r>
              <w:t>按照序时进度完成资金支付</w:t>
            </w:r>
          </w:p>
        </w:tc>
        <w:tc>
          <w:tcPr>
            <w:tcW w:w="2268" w:type="dxa"/>
            <w:vAlign w:val="center"/>
          </w:tcPr>
          <w:p w14:paraId="2D8226E0">
            <w:pPr>
              <w:pStyle w:val="12"/>
            </w:pPr>
            <w:r>
              <w:t>100%</w:t>
            </w:r>
          </w:p>
        </w:tc>
        <w:tc>
          <w:tcPr>
            <w:tcW w:w="1276" w:type="dxa"/>
            <w:vAlign w:val="center"/>
          </w:tcPr>
          <w:p w14:paraId="109459A3">
            <w:pPr>
              <w:pStyle w:val="12"/>
            </w:pPr>
            <w:r>
              <w:t>城乡义务教育公用经费管理办法</w:t>
            </w:r>
          </w:p>
        </w:tc>
      </w:tr>
      <w:tr w14:paraId="18B8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4E9E"/>
        </w:tc>
        <w:tc>
          <w:tcPr>
            <w:tcW w:w="2268" w:type="dxa"/>
            <w:vAlign w:val="center"/>
          </w:tcPr>
          <w:p w14:paraId="3E0EBEE4">
            <w:pPr>
              <w:pStyle w:val="12"/>
            </w:pPr>
            <w:r>
              <w:t>成本指标</w:t>
            </w:r>
          </w:p>
        </w:tc>
        <w:tc>
          <w:tcPr>
            <w:tcW w:w="2835" w:type="dxa"/>
            <w:vAlign w:val="center"/>
          </w:tcPr>
          <w:p w14:paraId="7B6D2C1F">
            <w:pPr>
              <w:pStyle w:val="12"/>
            </w:pPr>
            <w:r>
              <w:t>生均拨款标准</w:t>
            </w:r>
          </w:p>
        </w:tc>
        <w:tc>
          <w:tcPr>
            <w:tcW w:w="5386" w:type="dxa"/>
            <w:vAlign w:val="center"/>
          </w:tcPr>
          <w:p w14:paraId="1E0F2FBD">
            <w:pPr>
              <w:pStyle w:val="12"/>
            </w:pPr>
            <w:r>
              <w:t>小学生公用经费生均公用经费基准定额为720元/年/生，取暖费120元/年/生，住宿生补助300元/年/生的标准，随班就读学生补助7000元/生/年</w:t>
            </w:r>
          </w:p>
        </w:tc>
        <w:tc>
          <w:tcPr>
            <w:tcW w:w="2268" w:type="dxa"/>
            <w:vAlign w:val="center"/>
          </w:tcPr>
          <w:p w14:paraId="51EB404A">
            <w:pPr>
              <w:pStyle w:val="12"/>
            </w:pPr>
            <w:r>
              <w:t>840元</w:t>
            </w:r>
          </w:p>
        </w:tc>
        <w:tc>
          <w:tcPr>
            <w:tcW w:w="1276" w:type="dxa"/>
            <w:vAlign w:val="center"/>
          </w:tcPr>
          <w:p w14:paraId="57270C9E">
            <w:pPr>
              <w:pStyle w:val="12"/>
            </w:pPr>
            <w:r>
              <w:t>城乡义务教育公用经费管理办法</w:t>
            </w:r>
          </w:p>
        </w:tc>
      </w:tr>
      <w:tr w14:paraId="0FCF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28575">
            <w:pPr>
              <w:pStyle w:val="13"/>
            </w:pPr>
            <w:r>
              <w:t>效益指标</w:t>
            </w:r>
          </w:p>
        </w:tc>
        <w:tc>
          <w:tcPr>
            <w:tcW w:w="2268" w:type="dxa"/>
            <w:vAlign w:val="center"/>
          </w:tcPr>
          <w:p w14:paraId="1C177DC8">
            <w:pPr>
              <w:pStyle w:val="12"/>
            </w:pPr>
            <w:r>
              <w:t>可持续影响指标</w:t>
            </w:r>
          </w:p>
        </w:tc>
        <w:tc>
          <w:tcPr>
            <w:tcW w:w="2835" w:type="dxa"/>
            <w:vAlign w:val="center"/>
          </w:tcPr>
          <w:p w14:paraId="5C8E6035">
            <w:pPr>
              <w:pStyle w:val="12"/>
            </w:pPr>
            <w:r>
              <w:t>学校运转得到提高</w:t>
            </w:r>
          </w:p>
        </w:tc>
        <w:tc>
          <w:tcPr>
            <w:tcW w:w="5386" w:type="dxa"/>
            <w:vAlign w:val="center"/>
          </w:tcPr>
          <w:p w14:paraId="468341BF">
            <w:pPr>
              <w:pStyle w:val="12"/>
            </w:pPr>
            <w:r>
              <w:t>学生受教育年限</w:t>
            </w:r>
          </w:p>
        </w:tc>
        <w:tc>
          <w:tcPr>
            <w:tcW w:w="2268" w:type="dxa"/>
            <w:vAlign w:val="center"/>
          </w:tcPr>
          <w:p w14:paraId="06AB8072">
            <w:pPr>
              <w:pStyle w:val="12"/>
            </w:pPr>
            <w:r>
              <w:t>6年</w:t>
            </w:r>
          </w:p>
        </w:tc>
        <w:tc>
          <w:tcPr>
            <w:tcW w:w="1276" w:type="dxa"/>
            <w:vAlign w:val="center"/>
          </w:tcPr>
          <w:p w14:paraId="462A66DE">
            <w:pPr>
              <w:pStyle w:val="12"/>
            </w:pPr>
            <w:r>
              <w:t>城乡义务教育公用经费管理办法</w:t>
            </w:r>
          </w:p>
        </w:tc>
      </w:tr>
      <w:tr w14:paraId="3302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231D6">
            <w:pPr>
              <w:pStyle w:val="13"/>
            </w:pPr>
            <w:r>
              <w:t>满意度指标</w:t>
            </w:r>
          </w:p>
        </w:tc>
        <w:tc>
          <w:tcPr>
            <w:tcW w:w="2268" w:type="dxa"/>
            <w:vAlign w:val="center"/>
          </w:tcPr>
          <w:p w14:paraId="670966D4">
            <w:pPr>
              <w:pStyle w:val="12"/>
            </w:pPr>
            <w:r>
              <w:t>服务对象满意度指标</w:t>
            </w:r>
          </w:p>
        </w:tc>
        <w:tc>
          <w:tcPr>
            <w:tcW w:w="2835" w:type="dxa"/>
            <w:vAlign w:val="center"/>
          </w:tcPr>
          <w:p w14:paraId="2B6DDE6A">
            <w:pPr>
              <w:pStyle w:val="12"/>
            </w:pPr>
            <w:r>
              <w:t>服务对象满意度</w:t>
            </w:r>
          </w:p>
        </w:tc>
        <w:tc>
          <w:tcPr>
            <w:tcW w:w="5386" w:type="dxa"/>
            <w:vAlign w:val="center"/>
          </w:tcPr>
          <w:p w14:paraId="4DD6C3CC">
            <w:pPr>
              <w:pStyle w:val="12"/>
            </w:pPr>
            <w:r>
              <w:t>学校老师和学生满意度</w:t>
            </w:r>
          </w:p>
        </w:tc>
        <w:tc>
          <w:tcPr>
            <w:tcW w:w="2268" w:type="dxa"/>
            <w:vAlign w:val="center"/>
          </w:tcPr>
          <w:p w14:paraId="24D56E67">
            <w:pPr>
              <w:pStyle w:val="12"/>
            </w:pPr>
            <w:r>
              <w:t>≥95%</w:t>
            </w:r>
          </w:p>
        </w:tc>
        <w:tc>
          <w:tcPr>
            <w:tcW w:w="1276" w:type="dxa"/>
            <w:vAlign w:val="center"/>
          </w:tcPr>
          <w:p w14:paraId="05485163">
            <w:pPr>
              <w:pStyle w:val="12"/>
            </w:pPr>
            <w:r>
              <w:t>群众测评</w:t>
            </w:r>
          </w:p>
        </w:tc>
      </w:tr>
    </w:tbl>
    <w:p w14:paraId="31A5E970">
      <w:pPr>
        <w:sectPr>
          <w:pgSz w:w="16840" w:h="11900" w:orient="landscape"/>
          <w:pgMar w:top="1361" w:right="1020" w:bottom="1134" w:left="1020" w:header="720" w:footer="720" w:gutter="0"/>
          <w:cols w:space="720" w:num="1"/>
        </w:sectPr>
      </w:pPr>
    </w:p>
    <w:p w14:paraId="66274B07">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3、冀财教[2025]121号/中央/2026年义教补助经费/双碑校区北村小学公用经费绩效目标表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EC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128DC">
            <w:pPr>
              <w:pStyle w:val="11"/>
            </w:pPr>
            <w:r>
              <w:t>单位：万元</w:t>
            </w:r>
          </w:p>
        </w:tc>
      </w:tr>
      <w:tr w14:paraId="3045C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EB4F8">
            <w:pPr>
              <w:pStyle w:val="10"/>
            </w:pPr>
            <w:r>
              <w:t>项目编码</w:t>
            </w:r>
          </w:p>
        </w:tc>
        <w:tc>
          <w:tcPr>
            <w:tcW w:w="5103" w:type="dxa"/>
            <w:gridSpan w:val="2"/>
            <w:vAlign w:val="center"/>
          </w:tcPr>
          <w:p w14:paraId="529E9A07">
            <w:pPr>
              <w:pStyle w:val="12"/>
            </w:pPr>
            <w:r>
              <w:t>13052526P00000410284E</w:t>
            </w:r>
          </w:p>
        </w:tc>
        <w:tc>
          <w:tcPr>
            <w:tcW w:w="2835" w:type="dxa"/>
            <w:vAlign w:val="center"/>
          </w:tcPr>
          <w:p w14:paraId="414782E8">
            <w:pPr>
              <w:pStyle w:val="10"/>
            </w:pPr>
            <w:r>
              <w:t>项目名称</w:t>
            </w:r>
          </w:p>
        </w:tc>
        <w:tc>
          <w:tcPr>
            <w:tcW w:w="6095" w:type="dxa"/>
            <w:gridSpan w:val="3"/>
            <w:vAlign w:val="center"/>
          </w:tcPr>
          <w:p w14:paraId="4DE800A0">
            <w:pPr>
              <w:pStyle w:val="12"/>
            </w:pPr>
            <w:r>
              <w:t>冀财教[2025]121号/中央/2026年义教补助经费/双碑校区北村小学公用经费</w:t>
            </w:r>
          </w:p>
        </w:tc>
      </w:tr>
      <w:tr w14:paraId="667BE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C84EA">
            <w:pPr>
              <w:pStyle w:val="10"/>
            </w:pPr>
            <w:r>
              <w:t>预算规模及资金用途</w:t>
            </w:r>
          </w:p>
        </w:tc>
        <w:tc>
          <w:tcPr>
            <w:tcW w:w="2268" w:type="dxa"/>
            <w:vAlign w:val="center"/>
          </w:tcPr>
          <w:p w14:paraId="5AA67E1C">
            <w:pPr>
              <w:pStyle w:val="10"/>
            </w:pPr>
            <w:r>
              <w:t>预算数</w:t>
            </w:r>
          </w:p>
        </w:tc>
        <w:tc>
          <w:tcPr>
            <w:tcW w:w="2835" w:type="dxa"/>
            <w:vAlign w:val="center"/>
          </w:tcPr>
          <w:p w14:paraId="7DBFB73E">
            <w:pPr>
              <w:pStyle w:val="12"/>
            </w:pPr>
            <w:r>
              <w:t>18.51</w:t>
            </w:r>
          </w:p>
        </w:tc>
        <w:tc>
          <w:tcPr>
            <w:tcW w:w="2835" w:type="dxa"/>
            <w:vAlign w:val="center"/>
          </w:tcPr>
          <w:p w14:paraId="76707EB2">
            <w:pPr>
              <w:pStyle w:val="10"/>
            </w:pPr>
            <w:r>
              <w:t>其中：财政    资金</w:t>
            </w:r>
          </w:p>
        </w:tc>
        <w:tc>
          <w:tcPr>
            <w:tcW w:w="2551" w:type="dxa"/>
            <w:vAlign w:val="center"/>
          </w:tcPr>
          <w:p w14:paraId="1E9720A2">
            <w:pPr>
              <w:pStyle w:val="12"/>
            </w:pPr>
            <w:r>
              <w:t>18.51</w:t>
            </w:r>
          </w:p>
        </w:tc>
        <w:tc>
          <w:tcPr>
            <w:tcW w:w="2268" w:type="dxa"/>
            <w:vAlign w:val="center"/>
          </w:tcPr>
          <w:p w14:paraId="14A4836D">
            <w:pPr>
              <w:pStyle w:val="10"/>
            </w:pPr>
            <w:r>
              <w:t>其他资金</w:t>
            </w:r>
          </w:p>
        </w:tc>
        <w:tc>
          <w:tcPr>
            <w:tcW w:w="1276" w:type="dxa"/>
            <w:vAlign w:val="center"/>
          </w:tcPr>
          <w:p w14:paraId="1285048F">
            <w:pPr>
              <w:pStyle w:val="12"/>
            </w:pPr>
            <w:r>
              <w:t xml:space="preserve"> </w:t>
            </w:r>
          </w:p>
        </w:tc>
      </w:tr>
      <w:tr w14:paraId="0521D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3E807"/>
        </w:tc>
        <w:tc>
          <w:tcPr>
            <w:tcW w:w="14033" w:type="dxa"/>
            <w:gridSpan w:val="6"/>
            <w:vAlign w:val="center"/>
          </w:tcPr>
          <w:p w14:paraId="26FBAD62">
            <w:pPr>
              <w:pStyle w:val="12"/>
            </w:pPr>
            <w:r>
              <w:t>保障学校正常运转，完成各项教育教学活动和其他日常工作任务等方面的费用支出。</w:t>
            </w:r>
            <w:r>
              <w:tab/>
            </w:r>
            <w:r>
              <w:tab/>
            </w:r>
            <w:r>
              <w:tab/>
            </w:r>
            <w:r>
              <w:tab/>
            </w:r>
            <w:r>
              <w:tab/>
            </w:r>
            <w:r>
              <w:tab/>
            </w:r>
          </w:p>
          <w:p w14:paraId="79DF3583">
            <w:pPr>
              <w:pStyle w:val="12"/>
            </w:pPr>
          </w:p>
        </w:tc>
      </w:tr>
      <w:tr w14:paraId="561BA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8B55C">
            <w:pPr>
              <w:pStyle w:val="10"/>
            </w:pPr>
            <w:r>
              <w:t>资金支出计划（%）</w:t>
            </w:r>
          </w:p>
        </w:tc>
        <w:tc>
          <w:tcPr>
            <w:tcW w:w="5103" w:type="dxa"/>
            <w:gridSpan w:val="2"/>
            <w:vAlign w:val="center"/>
          </w:tcPr>
          <w:p w14:paraId="6F946026">
            <w:pPr>
              <w:pStyle w:val="10"/>
            </w:pPr>
            <w:r>
              <w:t>3月底</w:t>
            </w:r>
          </w:p>
        </w:tc>
        <w:tc>
          <w:tcPr>
            <w:tcW w:w="2835" w:type="dxa"/>
            <w:vAlign w:val="center"/>
          </w:tcPr>
          <w:p w14:paraId="7B1FE709">
            <w:pPr>
              <w:pStyle w:val="10"/>
            </w:pPr>
            <w:r>
              <w:t>6月底</w:t>
            </w:r>
          </w:p>
        </w:tc>
        <w:tc>
          <w:tcPr>
            <w:tcW w:w="2551" w:type="dxa"/>
            <w:vAlign w:val="center"/>
          </w:tcPr>
          <w:p w14:paraId="144BAE20">
            <w:pPr>
              <w:pStyle w:val="10"/>
            </w:pPr>
            <w:r>
              <w:t>10月底</w:t>
            </w:r>
          </w:p>
        </w:tc>
        <w:tc>
          <w:tcPr>
            <w:tcW w:w="3544" w:type="dxa"/>
            <w:gridSpan w:val="2"/>
            <w:vAlign w:val="center"/>
          </w:tcPr>
          <w:p w14:paraId="23587FA0">
            <w:pPr>
              <w:pStyle w:val="10"/>
            </w:pPr>
            <w:r>
              <w:t>12月底</w:t>
            </w:r>
          </w:p>
        </w:tc>
      </w:tr>
      <w:tr w14:paraId="41CB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73C3D"/>
        </w:tc>
        <w:tc>
          <w:tcPr>
            <w:tcW w:w="5103" w:type="dxa"/>
            <w:gridSpan w:val="2"/>
            <w:vAlign w:val="center"/>
          </w:tcPr>
          <w:p w14:paraId="4DDBB2A6">
            <w:pPr>
              <w:pStyle w:val="13"/>
            </w:pPr>
            <w:r>
              <w:t>25%</w:t>
            </w:r>
          </w:p>
        </w:tc>
        <w:tc>
          <w:tcPr>
            <w:tcW w:w="2835" w:type="dxa"/>
            <w:vAlign w:val="center"/>
          </w:tcPr>
          <w:p w14:paraId="62C79A6C">
            <w:pPr>
              <w:pStyle w:val="13"/>
            </w:pPr>
            <w:r>
              <w:t>50%</w:t>
            </w:r>
          </w:p>
        </w:tc>
        <w:tc>
          <w:tcPr>
            <w:tcW w:w="2551" w:type="dxa"/>
            <w:vAlign w:val="center"/>
          </w:tcPr>
          <w:p w14:paraId="35B4CED2">
            <w:pPr>
              <w:pStyle w:val="13"/>
            </w:pPr>
            <w:r>
              <w:t>75%</w:t>
            </w:r>
          </w:p>
        </w:tc>
        <w:tc>
          <w:tcPr>
            <w:tcW w:w="3544" w:type="dxa"/>
            <w:gridSpan w:val="2"/>
            <w:vAlign w:val="center"/>
          </w:tcPr>
          <w:p w14:paraId="542B97DE">
            <w:pPr>
              <w:pStyle w:val="13"/>
            </w:pPr>
            <w:r>
              <w:t>100%</w:t>
            </w:r>
          </w:p>
        </w:tc>
      </w:tr>
      <w:tr w14:paraId="39EA6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9D85C">
            <w:pPr>
              <w:pStyle w:val="10"/>
            </w:pPr>
            <w:r>
              <w:t>绩效目标</w:t>
            </w:r>
          </w:p>
        </w:tc>
        <w:tc>
          <w:tcPr>
            <w:tcW w:w="14033" w:type="dxa"/>
            <w:gridSpan w:val="6"/>
            <w:vAlign w:val="center"/>
          </w:tcPr>
          <w:p w14:paraId="69666E28">
            <w:pPr>
              <w:pStyle w:val="12"/>
            </w:pPr>
            <w:r>
              <w:t>1.按季度分批次拨付公用经费资金，资金拨付率达到100%。</w:t>
            </w:r>
          </w:p>
          <w:p w14:paraId="40040F89">
            <w:pPr>
              <w:pStyle w:val="12"/>
            </w:pPr>
            <w:r>
              <w:t>2.保障学校正常运转，完成各项教育教学活动和其他日常工作任务等方面的费用支出。</w:t>
            </w:r>
          </w:p>
        </w:tc>
      </w:tr>
    </w:tbl>
    <w:p w14:paraId="42B49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7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6F1C9">
            <w:pPr>
              <w:pStyle w:val="10"/>
            </w:pPr>
            <w:r>
              <w:t>一级指标</w:t>
            </w:r>
          </w:p>
        </w:tc>
        <w:tc>
          <w:tcPr>
            <w:tcW w:w="2268" w:type="dxa"/>
            <w:vAlign w:val="center"/>
          </w:tcPr>
          <w:p w14:paraId="2664AE2F">
            <w:pPr>
              <w:pStyle w:val="10"/>
            </w:pPr>
            <w:r>
              <w:t>二级指标</w:t>
            </w:r>
          </w:p>
        </w:tc>
        <w:tc>
          <w:tcPr>
            <w:tcW w:w="2835" w:type="dxa"/>
            <w:vAlign w:val="center"/>
          </w:tcPr>
          <w:p w14:paraId="0624CB45">
            <w:pPr>
              <w:pStyle w:val="10"/>
            </w:pPr>
            <w:r>
              <w:t>三级指标</w:t>
            </w:r>
          </w:p>
        </w:tc>
        <w:tc>
          <w:tcPr>
            <w:tcW w:w="5386" w:type="dxa"/>
            <w:vAlign w:val="center"/>
          </w:tcPr>
          <w:p w14:paraId="2D686312">
            <w:pPr>
              <w:pStyle w:val="10"/>
            </w:pPr>
            <w:r>
              <w:t>绩效指标描述</w:t>
            </w:r>
          </w:p>
        </w:tc>
        <w:tc>
          <w:tcPr>
            <w:tcW w:w="2268" w:type="dxa"/>
            <w:vAlign w:val="center"/>
          </w:tcPr>
          <w:p w14:paraId="02496351">
            <w:pPr>
              <w:pStyle w:val="10"/>
            </w:pPr>
            <w:r>
              <w:t>指标值</w:t>
            </w:r>
          </w:p>
        </w:tc>
        <w:tc>
          <w:tcPr>
            <w:tcW w:w="1276" w:type="dxa"/>
            <w:vAlign w:val="center"/>
          </w:tcPr>
          <w:p w14:paraId="1807F5A4">
            <w:pPr>
              <w:pStyle w:val="10"/>
            </w:pPr>
            <w:r>
              <w:t>指标值确定依据</w:t>
            </w:r>
          </w:p>
        </w:tc>
      </w:tr>
      <w:tr w14:paraId="5519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1CD9E">
            <w:pPr>
              <w:pStyle w:val="13"/>
            </w:pPr>
            <w:r>
              <w:t>产出指标</w:t>
            </w:r>
          </w:p>
        </w:tc>
        <w:tc>
          <w:tcPr>
            <w:tcW w:w="2268" w:type="dxa"/>
            <w:vAlign w:val="center"/>
          </w:tcPr>
          <w:p w14:paraId="6078F58E">
            <w:pPr>
              <w:pStyle w:val="12"/>
            </w:pPr>
            <w:r>
              <w:t>数量指标</w:t>
            </w:r>
          </w:p>
        </w:tc>
        <w:tc>
          <w:tcPr>
            <w:tcW w:w="2835" w:type="dxa"/>
            <w:vAlign w:val="center"/>
          </w:tcPr>
          <w:p w14:paraId="242696C7">
            <w:pPr>
              <w:pStyle w:val="12"/>
            </w:pPr>
            <w:r>
              <w:t>就读学生数</w:t>
            </w:r>
          </w:p>
        </w:tc>
        <w:tc>
          <w:tcPr>
            <w:tcW w:w="5386" w:type="dxa"/>
            <w:vAlign w:val="center"/>
          </w:tcPr>
          <w:p w14:paraId="5C7F629E">
            <w:pPr>
              <w:pStyle w:val="12"/>
            </w:pPr>
            <w:r>
              <w:t>辐射区域内适龄学生人数</w:t>
            </w:r>
          </w:p>
        </w:tc>
        <w:tc>
          <w:tcPr>
            <w:tcW w:w="2268" w:type="dxa"/>
            <w:vAlign w:val="center"/>
          </w:tcPr>
          <w:p w14:paraId="5DFD75C1">
            <w:pPr>
              <w:pStyle w:val="12"/>
            </w:pPr>
            <w:r>
              <w:t>318人</w:t>
            </w:r>
          </w:p>
        </w:tc>
        <w:tc>
          <w:tcPr>
            <w:tcW w:w="1276" w:type="dxa"/>
            <w:vAlign w:val="center"/>
          </w:tcPr>
          <w:p w14:paraId="6D2924D9">
            <w:pPr>
              <w:pStyle w:val="12"/>
            </w:pPr>
            <w:r>
              <w:t>城乡义务教育公用经费管理办法</w:t>
            </w:r>
          </w:p>
        </w:tc>
      </w:tr>
      <w:tr w14:paraId="173B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F549"/>
        </w:tc>
        <w:tc>
          <w:tcPr>
            <w:tcW w:w="2268" w:type="dxa"/>
            <w:vAlign w:val="center"/>
          </w:tcPr>
          <w:p w14:paraId="4DD09E3B">
            <w:pPr>
              <w:pStyle w:val="12"/>
            </w:pPr>
            <w:r>
              <w:t>质量指标</w:t>
            </w:r>
          </w:p>
        </w:tc>
        <w:tc>
          <w:tcPr>
            <w:tcW w:w="2835" w:type="dxa"/>
            <w:vAlign w:val="center"/>
          </w:tcPr>
          <w:p w14:paraId="56043483">
            <w:pPr>
              <w:pStyle w:val="12"/>
            </w:pPr>
            <w:r>
              <w:t>预算执行率</w:t>
            </w:r>
          </w:p>
        </w:tc>
        <w:tc>
          <w:tcPr>
            <w:tcW w:w="5386" w:type="dxa"/>
            <w:vAlign w:val="center"/>
          </w:tcPr>
          <w:p w14:paraId="5242FD6F">
            <w:pPr>
              <w:pStyle w:val="12"/>
            </w:pPr>
            <w:r>
              <w:t>预算执行率</w:t>
            </w:r>
          </w:p>
        </w:tc>
        <w:tc>
          <w:tcPr>
            <w:tcW w:w="2268" w:type="dxa"/>
            <w:vAlign w:val="center"/>
          </w:tcPr>
          <w:p w14:paraId="7EB3EAA9">
            <w:pPr>
              <w:pStyle w:val="12"/>
            </w:pPr>
            <w:r>
              <w:t>≥95%</w:t>
            </w:r>
          </w:p>
        </w:tc>
        <w:tc>
          <w:tcPr>
            <w:tcW w:w="1276" w:type="dxa"/>
            <w:vAlign w:val="center"/>
          </w:tcPr>
          <w:p w14:paraId="6FAC337B">
            <w:pPr>
              <w:pStyle w:val="12"/>
            </w:pPr>
            <w:r>
              <w:t>城乡义务教育公用经费管理办法</w:t>
            </w:r>
          </w:p>
        </w:tc>
      </w:tr>
      <w:tr w14:paraId="22D2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9B015"/>
        </w:tc>
        <w:tc>
          <w:tcPr>
            <w:tcW w:w="2268" w:type="dxa"/>
            <w:vAlign w:val="center"/>
          </w:tcPr>
          <w:p w14:paraId="05E1437B">
            <w:pPr>
              <w:pStyle w:val="12"/>
            </w:pPr>
            <w:r>
              <w:t>时效指标</w:t>
            </w:r>
          </w:p>
        </w:tc>
        <w:tc>
          <w:tcPr>
            <w:tcW w:w="2835" w:type="dxa"/>
            <w:vAlign w:val="center"/>
          </w:tcPr>
          <w:p w14:paraId="7E27B616">
            <w:pPr>
              <w:pStyle w:val="12"/>
            </w:pPr>
            <w:r>
              <w:t>义教经费支付完成率</w:t>
            </w:r>
          </w:p>
        </w:tc>
        <w:tc>
          <w:tcPr>
            <w:tcW w:w="5386" w:type="dxa"/>
            <w:vAlign w:val="center"/>
          </w:tcPr>
          <w:p w14:paraId="2D12AD5E">
            <w:pPr>
              <w:pStyle w:val="12"/>
            </w:pPr>
            <w:r>
              <w:t>按照序时进度完成资金支付</w:t>
            </w:r>
          </w:p>
        </w:tc>
        <w:tc>
          <w:tcPr>
            <w:tcW w:w="2268" w:type="dxa"/>
            <w:vAlign w:val="center"/>
          </w:tcPr>
          <w:p w14:paraId="1E82F2DB">
            <w:pPr>
              <w:pStyle w:val="12"/>
            </w:pPr>
            <w:r>
              <w:t>100%</w:t>
            </w:r>
          </w:p>
        </w:tc>
        <w:tc>
          <w:tcPr>
            <w:tcW w:w="1276" w:type="dxa"/>
            <w:vAlign w:val="center"/>
          </w:tcPr>
          <w:p w14:paraId="353D3603">
            <w:pPr>
              <w:pStyle w:val="12"/>
            </w:pPr>
            <w:r>
              <w:t>城乡义务教育公用经费管理办法</w:t>
            </w:r>
          </w:p>
        </w:tc>
      </w:tr>
      <w:tr w14:paraId="70E4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C091"/>
        </w:tc>
        <w:tc>
          <w:tcPr>
            <w:tcW w:w="2268" w:type="dxa"/>
            <w:vAlign w:val="center"/>
          </w:tcPr>
          <w:p w14:paraId="107D430D">
            <w:pPr>
              <w:pStyle w:val="12"/>
            </w:pPr>
            <w:r>
              <w:t>成本指标</w:t>
            </w:r>
          </w:p>
        </w:tc>
        <w:tc>
          <w:tcPr>
            <w:tcW w:w="2835" w:type="dxa"/>
            <w:vAlign w:val="center"/>
          </w:tcPr>
          <w:p w14:paraId="7FF1A69F">
            <w:pPr>
              <w:pStyle w:val="12"/>
            </w:pPr>
            <w:r>
              <w:t>生均拨款标准</w:t>
            </w:r>
          </w:p>
        </w:tc>
        <w:tc>
          <w:tcPr>
            <w:tcW w:w="5386" w:type="dxa"/>
            <w:vAlign w:val="center"/>
          </w:tcPr>
          <w:p w14:paraId="56E1CE82">
            <w:pPr>
              <w:pStyle w:val="12"/>
            </w:pPr>
            <w:r>
              <w:t>小学生公用经费生均公用经费基准定额为720元/年/生，取暖费120元/年/生，住宿生补助300元/年/生的标准，随班就读学生补助7000元/生/年</w:t>
            </w:r>
          </w:p>
        </w:tc>
        <w:tc>
          <w:tcPr>
            <w:tcW w:w="2268" w:type="dxa"/>
            <w:vAlign w:val="center"/>
          </w:tcPr>
          <w:p w14:paraId="5FCF41F4">
            <w:pPr>
              <w:pStyle w:val="12"/>
            </w:pPr>
            <w:r>
              <w:t>840元</w:t>
            </w:r>
          </w:p>
        </w:tc>
        <w:tc>
          <w:tcPr>
            <w:tcW w:w="1276" w:type="dxa"/>
            <w:vAlign w:val="center"/>
          </w:tcPr>
          <w:p w14:paraId="557D9E44">
            <w:pPr>
              <w:pStyle w:val="12"/>
            </w:pPr>
            <w:r>
              <w:t>城乡义务教育公用经费管理办法</w:t>
            </w:r>
          </w:p>
        </w:tc>
      </w:tr>
      <w:tr w14:paraId="6E43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3EF2A">
            <w:pPr>
              <w:pStyle w:val="13"/>
            </w:pPr>
            <w:r>
              <w:t>效益指标</w:t>
            </w:r>
          </w:p>
        </w:tc>
        <w:tc>
          <w:tcPr>
            <w:tcW w:w="2268" w:type="dxa"/>
            <w:vAlign w:val="center"/>
          </w:tcPr>
          <w:p w14:paraId="533EDB6E">
            <w:pPr>
              <w:pStyle w:val="12"/>
            </w:pPr>
            <w:r>
              <w:t>可持续影响指标</w:t>
            </w:r>
          </w:p>
        </w:tc>
        <w:tc>
          <w:tcPr>
            <w:tcW w:w="2835" w:type="dxa"/>
            <w:vAlign w:val="center"/>
          </w:tcPr>
          <w:p w14:paraId="0ADBD5D8">
            <w:pPr>
              <w:pStyle w:val="12"/>
            </w:pPr>
            <w:r>
              <w:t>学校运转得到提高</w:t>
            </w:r>
          </w:p>
        </w:tc>
        <w:tc>
          <w:tcPr>
            <w:tcW w:w="5386" w:type="dxa"/>
            <w:vAlign w:val="center"/>
          </w:tcPr>
          <w:p w14:paraId="30A04D94">
            <w:pPr>
              <w:pStyle w:val="12"/>
            </w:pPr>
            <w:r>
              <w:t>学生受教育年限</w:t>
            </w:r>
          </w:p>
        </w:tc>
        <w:tc>
          <w:tcPr>
            <w:tcW w:w="2268" w:type="dxa"/>
            <w:vAlign w:val="center"/>
          </w:tcPr>
          <w:p w14:paraId="1D830B4A">
            <w:pPr>
              <w:pStyle w:val="12"/>
            </w:pPr>
            <w:r>
              <w:t>6年</w:t>
            </w:r>
          </w:p>
        </w:tc>
        <w:tc>
          <w:tcPr>
            <w:tcW w:w="1276" w:type="dxa"/>
            <w:vAlign w:val="center"/>
          </w:tcPr>
          <w:p w14:paraId="60CAEDE5">
            <w:pPr>
              <w:pStyle w:val="12"/>
            </w:pPr>
            <w:r>
              <w:t>城乡义务教育公用经费管理办法</w:t>
            </w:r>
          </w:p>
        </w:tc>
      </w:tr>
      <w:tr w14:paraId="569B9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6189D">
            <w:pPr>
              <w:pStyle w:val="13"/>
            </w:pPr>
            <w:r>
              <w:t>满意度指标</w:t>
            </w:r>
          </w:p>
        </w:tc>
        <w:tc>
          <w:tcPr>
            <w:tcW w:w="2268" w:type="dxa"/>
            <w:vAlign w:val="center"/>
          </w:tcPr>
          <w:p w14:paraId="156BE689">
            <w:pPr>
              <w:pStyle w:val="12"/>
            </w:pPr>
            <w:r>
              <w:t>服务对象满意度指标</w:t>
            </w:r>
          </w:p>
        </w:tc>
        <w:tc>
          <w:tcPr>
            <w:tcW w:w="2835" w:type="dxa"/>
            <w:vAlign w:val="center"/>
          </w:tcPr>
          <w:p w14:paraId="793148B6">
            <w:pPr>
              <w:pStyle w:val="12"/>
            </w:pPr>
            <w:r>
              <w:t>服务对象满意度</w:t>
            </w:r>
          </w:p>
        </w:tc>
        <w:tc>
          <w:tcPr>
            <w:tcW w:w="5386" w:type="dxa"/>
            <w:vAlign w:val="center"/>
          </w:tcPr>
          <w:p w14:paraId="713C25DB">
            <w:pPr>
              <w:pStyle w:val="12"/>
            </w:pPr>
            <w:r>
              <w:t>学校老师和学生满意度</w:t>
            </w:r>
          </w:p>
        </w:tc>
        <w:tc>
          <w:tcPr>
            <w:tcW w:w="2268" w:type="dxa"/>
            <w:vAlign w:val="center"/>
          </w:tcPr>
          <w:p w14:paraId="1611ED24">
            <w:pPr>
              <w:pStyle w:val="12"/>
            </w:pPr>
            <w:r>
              <w:t>≥95%</w:t>
            </w:r>
          </w:p>
        </w:tc>
        <w:tc>
          <w:tcPr>
            <w:tcW w:w="1276" w:type="dxa"/>
            <w:vAlign w:val="center"/>
          </w:tcPr>
          <w:p w14:paraId="31674BA2">
            <w:pPr>
              <w:pStyle w:val="12"/>
            </w:pPr>
            <w:r>
              <w:t>群众测评</w:t>
            </w:r>
          </w:p>
        </w:tc>
      </w:tr>
    </w:tbl>
    <w:p w14:paraId="3B23FD35">
      <w:pPr>
        <w:sectPr>
          <w:pgSz w:w="16840" w:h="11900" w:orient="landscape"/>
          <w:pgMar w:top="1361" w:right="1020" w:bottom="1134" w:left="1020" w:header="720" w:footer="720" w:gutter="0"/>
          <w:cols w:space="720" w:num="1"/>
        </w:sectPr>
      </w:pPr>
    </w:p>
    <w:p w14:paraId="1D25641B">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4、冀财教[2025]121号/中央/2026年义教补助经费/双碑校区木花小学公用经费绩效目标表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95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F5DDE">
            <w:pPr>
              <w:pStyle w:val="11"/>
            </w:pPr>
            <w:r>
              <w:t>单位：万元</w:t>
            </w:r>
          </w:p>
        </w:tc>
      </w:tr>
      <w:tr w14:paraId="20AE4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51AF2">
            <w:pPr>
              <w:pStyle w:val="10"/>
            </w:pPr>
            <w:r>
              <w:t>项目编码</w:t>
            </w:r>
          </w:p>
        </w:tc>
        <w:tc>
          <w:tcPr>
            <w:tcW w:w="5103" w:type="dxa"/>
            <w:gridSpan w:val="2"/>
            <w:vAlign w:val="center"/>
          </w:tcPr>
          <w:p w14:paraId="177345A7">
            <w:pPr>
              <w:pStyle w:val="12"/>
            </w:pPr>
            <w:r>
              <w:t>13052526P000004102852</w:t>
            </w:r>
          </w:p>
        </w:tc>
        <w:tc>
          <w:tcPr>
            <w:tcW w:w="2835" w:type="dxa"/>
            <w:vAlign w:val="center"/>
          </w:tcPr>
          <w:p w14:paraId="1A8335C7">
            <w:pPr>
              <w:pStyle w:val="10"/>
            </w:pPr>
            <w:r>
              <w:t>项目名称</w:t>
            </w:r>
          </w:p>
        </w:tc>
        <w:tc>
          <w:tcPr>
            <w:tcW w:w="6095" w:type="dxa"/>
            <w:gridSpan w:val="3"/>
            <w:vAlign w:val="center"/>
          </w:tcPr>
          <w:p w14:paraId="27B0B4D3">
            <w:pPr>
              <w:pStyle w:val="12"/>
            </w:pPr>
            <w:r>
              <w:t>冀财教[2025]121号/中央/2026年义教补助经费/双碑校区木花小学公用经费</w:t>
            </w:r>
          </w:p>
        </w:tc>
      </w:tr>
      <w:tr w14:paraId="5E9E1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B61DD">
            <w:pPr>
              <w:pStyle w:val="10"/>
            </w:pPr>
            <w:r>
              <w:t>预算规模及资金用途</w:t>
            </w:r>
          </w:p>
        </w:tc>
        <w:tc>
          <w:tcPr>
            <w:tcW w:w="2268" w:type="dxa"/>
            <w:vAlign w:val="center"/>
          </w:tcPr>
          <w:p w14:paraId="44CC2765">
            <w:pPr>
              <w:pStyle w:val="10"/>
            </w:pPr>
            <w:r>
              <w:t>预算数</w:t>
            </w:r>
          </w:p>
        </w:tc>
        <w:tc>
          <w:tcPr>
            <w:tcW w:w="2835" w:type="dxa"/>
            <w:vAlign w:val="center"/>
          </w:tcPr>
          <w:p w14:paraId="2EF4428B">
            <w:pPr>
              <w:pStyle w:val="12"/>
            </w:pPr>
            <w:r>
              <w:t>20.40</w:t>
            </w:r>
          </w:p>
        </w:tc>
        <w:tc>
          <w:tcPr>
            <w:tcW w:w="2835" w:type="dxa"/>
            <w:vAlign w:val="center"/>
          </w:tcPr>
          <w:p w14:paraId="178FDF19">
            <w:pPr>
              <w:pStyle w:val="10"/>
            </w:pPr>
            <w:r>
              <w:t>其中：财政    资金</w:t>
            </w:r>
          </w:p>
        </w:tc>
        <w:tc>
          <w:tcPr>
            <w:tcW w:w="2551" w:type="dxa"/>
            <w:vAlign w:val="center"/>
          </w:tcPr>
          <w:p w14:paraId="3DD6DB31">
            <w:pPr>
              <w:pStyle w:val="12"/>
            </w:pPr>
            <w:r>
              <w:t>20.40</w:t>
            </w:r>
          </w:p>
        </w:tc>
        <w:tc>
          <w:tcPr>
            <w:tcW w:w="2268" w:type="dxa"/>
            <w:vAlign w:val="center"/>
          </w:tcPr>
          <w:p w14:paraId="17DF769D">
            <w:pPr>
              <w:pStyle w:val="10"/>
            </w:pPr>
            <w:r>
              <w:t>其他资金</w:t>
            </w:r>
          </w:p>
        </w:tc>
        <w:tc>
          <w:tcPr>
            <w:tcW w:w="1276" w:type="dxa"/>
            <w:vAlign w:val="center"/>
          </w:tcPr>
          <w:p w14:paraId="0314AF15">
            <w:pPr>
              <w:pStyle w:val="12"/>
            </w:pPr>
            <w:r>
              <w:t xml:space="preserve"> </w:t>
            </w:r>
          </w:p>
        </w:tc>
      </w:tr>
      <w:tr w14:paraId="5649F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8354A"/>
        </w:tc>
        <w:tc>
          <w:tcPr>
            <w:tcW w:w="14033" w:type="dxa"/>
            <w:gridSpan w:val="6"/>
            <w:vAlign w:val="center"/>
          </w:tcPr>
          <w:p w14:paraId="36D927B0">
            <w:pPr>
              <w:pStyle w:val="12"/>
            </w:pPr>
            <w:r>
              <w:t>保障学校正常运转，完成各项教育教学活动和其他日常工作任务等方面的费用支出。</w:t>
            </w:r>
            <w:r>
              <w:tab/>
            </w:r>
            <w:r>
              <w:tab/>
            </w:r>
            <w:r>
              <w:tab/>
            </w:r>
            <w:r>
              <w:tab/>
            </w:r>
            <w:r>
              <w:tab/>
            </w:r>
            <w:r>
              <w:tab/>
            </w:r>
          </w:p>
          <w:p w14:paraId="6A8BD295">
            <w:pPr>
              <w:pStyle w:val="12"/>
            </w:pPr>
          </w:p>
        </w:tc>
      </w:tr>
      <w:tr w14:paraId="22477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2E337">
            <w:pPr>
              <w:pStyle w:val="10"/>
            </w:pPr>
            <w:r>
              <w:t>资金支出计划（%）</w:t>
            </w:r>
          </w:p>
        </w:tc>
        <w:tc>
          <w:tcPr>
            <w:tcW w:w="5103" w:type="dxa"/>
            <w:gridSpan w:val="2"/>
            <w:vAlign w:val="center"/>
          </w:tcPr>
          <w:p w14:paraId="73714A7F">
            <w:pPr>
              <w:pStyle w:val="10"/>
            </w:pPr>
            <w:r>
              <w:t>3月底</w:t>
            </w:r>
          </w:p>
        </w:tc>
        <w:tc>
          <w:tcPr>
            <w:tcW w:w="2835" w:type="dxa"/>
            <w:vAlign w:val="center"/>
          </w:tcPr>
          <w:p w14:paraId="09D34F8C">
            <w:pPr>
              <w:pStyle w:val="10"/>
            </w:pPr>
            <w:r>
              <w:t>6月底</w:t>
            </w:r>
          </w:p>
        </w:tc>
        <w:tc>
          <w:tcPr>
            <w:tcW w:w="2551" w:type="dxa"/>
            <w:vAlign w:val="center"/>
          </w:tcPr>
          <w:p w14:paraId="68C47BFB">
            <w:pPr>
              <w:pStyle w:val="10"/>
            </w:pPr>
            <w:r>
              <w:t>10月底</w:t>
            </w:r>
          </w:p>
        </w:tc>
        <w:tc>
          <w:tcPr>
            <w:tcW w:w="3544" w:type="dxa"/>
            <w:gridSpan w:val="2"/>
            <w:vAlign w:val="center"/>
          </w:tcPr>
          <w:p w14:paraId="09C16799">
            <w:pPr>
              <w:pStyle w:val="10"/>
            </w:pPr>
            <w:r>
              <w:t>12月底</w:t>
            </w:r>
          </w:p>
        </w:tc>
      </w:tr>
      <w:tr w14:paraId="53D71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874C1"/>
        </w:tc>
        <w:tc>
          <w:tcPr>
            <w:tcW w:w="5103" w:type="dxa"/>
            <w:gridSpan w:val="2"/>
            <w:vAlign w:val="center"/>
          </w:tcPr>
          <w:p w14:paraId="59E3AD87">
            <w:pPr>
              <w:pStyle w:val="13"/>
            </w:pPr>
            <w:r>
              <w:t>25%</w:t>
            </w:r>
          </w:p>
        </w:tc>
        <w:tc>
          <w:tcPr>
            <w:tcW w:w="2835" w:type="dxa"/>
            <w:vAlign w:val="center"/>
          </w:tcPr>
          <w:p w14:paraId="1408C1DE">
            <w:pPr>
              <w:pStyle w:val="13"/>
            </w:pPr>
            <w:r>
              <w:t>50%</w:t>
            </w:r>
          </w:p>
        </w:tc>
        <w:tc>
          <w:tcPr>
            <w:tcW w:w="2551" w:type="dxa"/>
            <w:vAlign w:val="center"/>
          </w:tcPr>
          <w:p w14:paraId="0107FAEB">
            <w:pPr>
              <w:pStyle w:val="13"/>
            </w:pPr>
            <w:r>
              <w:t>75%</w:t>
            </w:r>
          </w:p>
        </w:tc>
        <w:tc>
          <w:tcPr>
            <w:tcW w:w="3544" w:type="dxa"/>
            <w:gridSpan w:val="2"/>
            <w:vAlign w:val="center"/>
          </w:tcPr>
          <w:p w14:paraId="262B13DD">
            <w:pPr>
              <w:pStyle w:val="13"/>
            </w:pPr>
            <w:r>
              <w:t>100%</w:t>
            </w:r>
          </w:p>
        </w:tc>
      </w:tr>
      <w:tr w14:paraId="1A537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38D27">
            <w:pPr>
              <w:pStyle w:val="10"/>
            </w:pPr>
            <w:r>
              <w:t>绩效目标</w:t>
            </w:r>
          </w:p>
        </w:tc>
        <w:tc>
          <w:tcPr>
            <w:tcW w:w="14033" w:type="dxa"/>
            <w:gridSpan w:val="6"/>
            <w:vAlign w:val="center"/>
          </w:tcPr>
          <w:p w14:paraId="09846185">
            <w:pPr>
              <w:pStyle w:val="12"/>
            </w:pPr>
            <w:r>
              <w:t>1.按季度分批次拨付公用经费资金，资金拨付率达到100%。</w:t>
            </w:r>
          </w:p>
          <w:p w14:paraId="097AAF76">
            <w:pPr>
              <w:pStyle w:val="12"/>
            </w:pPr>
            <w:r>
              <w:t>2.保障学校正常运转，完成各项教育教学活动和其他日常工作任务等方面的费用支出。</w:t>
            </w:r>
          </w:p>
        </w:tc>
      </w:tr>
    </w:tbl>
    <w:p w14:paraId="13AAB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8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803C2">
            <w:pPr>
              <w:pStyle w:val="10"/>
            </w:pPr>
            <w:r>
              <w:t>一级指标</w:t>
            </w:r>
          </w:p>
        </w:tc>
        <w:tc>
          <w:tcPr>
            <w:tcW w:w="2268" w:type="dxa"/>
            <w:vAlign w:val="center"/>
          </w:tcPr>
          <w:p w14:paraId="32C99BFF">
            <w:pPr>
              <w:pStyle w:val="10"/>
            </w:pPr>
            <w:r>
              <w:t>二级指标</w:t>
            </w:r>
          </w:p>
        </w:tc>
        <w:tc>
          <w:tcPr>
            <w:tcW w:w="2835" w:type="dxa"/>
            <w:vAlign w:val="center"/>
          </w:tcPr>
          <w:p w14:paraId="6A99C121">
            <w:pPr>
              <w:pStyle w:val="10"/>
            </w:pPr>
            <w:r>
              <w:t>三级指标</w:t>
            </w:r>
          </w:p>
        </w:tc>
        <w:tc>
          <w:tcPr>
            <w:tcW w:w="5386" w:type="dxa"/>
            <w:vAlign w:val="center"/>
          </w:tcPr>
          <w:p w14:paraId="1496B90C">
            <w:pPr>
              <w:pStyle w:val="10"/>
            </w:pPr>
            <w:r>
              <w:t>绩效指标描述</w:t>
            </w:r>
          </w:p>
        </w:tc>
        <w:tc>
          <w:tcPr>
            <w:tcW w:w="2268" w:type="dxa"/>
            <w:vAlign w:val="center"/>
          </w:tcPr>
          <w:p w14:paraId="77B79E0E">
            <w:pPr>
              <w:pStyle w:val="10"/>
            </w:pPr>
            <w:r>
              <w:t>指标值</w:t>
            </w:r>
          </w:p>
        </w:tc>
        <w:tc>
          <w:tcPr>
            <w:tcW w:w="1276" w:type="dxa"/>
            <w:vAlign w:val="center"/>
          </w:tcPr>
          <w:p w14:paraId="6D6C9979">
            <w:pPr>
              <w:pStyle w:val="10"/>
            </w:pPr>
            <w:r>
              <w:t>指标值确定依据</w:t>
            </w:r>
          </w:p>
        </w:tc>
      </w:tr>
      <w:tr w14:paraId="6A85A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94A80">
            <w:pPr>
              <w:pStyle w:val="13"/>
            </w:pPr>
            <w:r>
              <w:t>产出指标</w:t>
            </w:r>
          </w:p>
        </w:tc>
        <w:tc>
          <w:tcPr>
            <w:tcW w:w="2268" w:type="dxa"/>
            <w:vAlign w:val="center"/>
          </w:tcPr>
          <w:p w14:paraId="5E5983EF">
            <w:pPr>
              <w:pStyle w:val="12"/>
            </w:pPr>
            <w:r>
              <w:t>数量指标</w:t>
            </w:r>
          </w:p>
        </w:tc>
        <w:tc>
          <w:tcPr>
            <w:tcW w:w="2835" w:type="dxa"/>
            <w:vAlign w:val="center"/>
          </w:tcPr>
          <w:p w14:paraId="0F7743B9">
            <w:pPr>
              <w:pStyle w:val="12"/>
            </w:pPr>
            <w:r>
              <w:t>就读学生数</w:t>
            </w:r>
          </w:p>
        </w:tc>
        <w:tc>
          <w:tcPr>
            <w:tcW w:w="5386" w:type="dxa"/>
            <w:vAlign w:val="center"/>
          </w:tcPr>
          <w:p w14:paraId="3093BA4F">
            <w:pPr>
              <w:pStyle w:val="12"/>
            </w:pPr>
            <w:r>
              <w:t>辐射区域内适龄学生人数</w:t>
            </w:r>
          </w:p>
        </w:tc>
        <w:tc>
          <w:tcPr>
            <w:tcW w:w="2268" w:type="dxa"/>
            <w:vAlign w:val="center"/>
          </w:tcPr>
          <w:p w14:paraId="243F282C">
            <w:pPr>
              <w:pStyle w:val="12"/>
            </w:pPr>
            <w:r>
              <w:t>411人</w:t>
            </w:r>
          </w:p>
        </w:tc>
        <w:tc>
          <w:tcPr>
            <w:tcW w:w="1276" w:type="dxa"/>
            <w:vAlign w:val="center"/>
          </w:tcPr>
          <w:p w14:paraId="1A9305B2">
            <w:pPr>
              <w:pStyle w:val="12"/>
            </w:pPr>
            <w:r>
              <w:t>城乡义务教育公用经费管理办法</w:t>
            </w:r>
          </w:p>
        </w:tc>
      </w:tr>
      <w:tr w14:paraId="63AF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C3B1A"/>
        </w:tc>
        <w:tc>
          <w:tcPr>
            <w:tcW w:w="2268" w:type="dxa"/>
            <w:vAlign w:val="center"/>
          </w:tcPr>
          <w:p w14:paraId="09FECE20">
            <w:pPr>
              <w:pStyle w:val="12"/>
            </w:pPr>
            <w:r>
              <w:t>质量指标</w:t>
            </w:r>
          </w:p>
        </w:tc>
        <w:tc>
          <w:tcPr>
            <w:tcW w:w="2835" w:type="dxa"/>
            <w:vAlign w:val="center"/>
          </w:tcPr>
          <w:p w14:paraId="10F5E28F">
            <w:pPr>
              <w:pStyle w:val="12"/>
            </w:pPr>
            <w:r>
              <w:t>预算执行率</w:t>
            </w:r>
          </w:p>
        </w:tc>
        <w:tc>
          <w:tcPr>
            <w:tcW w:w="5386" w:type="dxa"/>
            <w:vAlign w:val="center"/>
          </w:tcPr>
          <w:p w14:paraId="1E649846">
            <w:pPr>
              <w:pStyle w:val="12"/>
            </w:pPr>
            <w:r>
              <w:t>预算执行率</w:t>
            </w:r>
          </w:p>
        </w:tc>
        <w:tc>
          <w:tcPr>
            <w:tcW w:w="2268" w:type="dxa"/>
            <w:vAlign w:val="center"/>
          </w:tcPr>
          <w:p w14:paraId="1C00FE4E">
            <w:pPr>
              <w:pStyle w:val="12"/>
            </w:pPr>
            <w:r>
              <w:t>≥95%</w:t>
            </w:r>
          </w:p>
        </w:tc>
        <w:tc>
          <w:tcPr>
            <w:tcW w:w="1276" w:type="dxa"/>
            <w:vAlign w:val="center"/>
          </w:tcPr>
          <w:p w14:paraId="4BB6B113">
            <w:pPr>
              <w:pStyle w:val="12"/>
            </w:pPr>
            <w:r>
              <w:t>城乡义务教育公用经费管理办法</w:t>
            </w:r>
          </w:p>
        </w:tc>
      </w:tr>
      <w:tr w14:paraId="30E5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F346D"/>
        </w:tc>
        <w:tc>
          <w:tcPr>
            <w:tcW w:w="2268" w:type="dxa"/>
            <w:vAlign w:val="center"/>
          </w:tcPr>
          <w:p w14:paraId="4FDAE83D">
            <w:pPr>
              <w:pStyle w:val="12"/>
            </w:pPr>
            <w:r>
              <w:t>时效指标</w:t>
            </w:r>
          </w:p>
        </w:tc>
        <w:tc>
          <w:tcPr>
            <w:tcW w:w="2835" w:type="dxa"/>
            <w:vAlign w:val="center"/>
          </w:tcPr>
          <w:p w14:paraId="2F5190A9">
            <w:pPr>
              <w:pStyle w:val="12"/>
            </w:pPr>
            <w:r>
              <w:t>义教经费支付完成率</w:t>
            </w:r>
          </w:p>
        </w:tc>
        <w:tc>
          <w:tcPr>
            <w:tcW w:w="5386" w:type="dxa"/>
            <w:vAlign w:val="center"/>
          </w:tcPr>
          <w:p w14:paraId="57B1C2BA">
            <w:pPr>
              <w:pStyle w:val="12"/>
            </w:pPr>
            <w:r>
              <w:t>按照序时进度完成资金支付</w:t>
            </w:r>
          </w:p>
        </w:tc>
        <w:tc>
          <w:tcPr>
            <w:tcW w:w="2268" w:type="dxa"/>
            <w:vAlign w:val="center"/>
          </w:tcPr>
          <w:p w14:paraId="684DE454">
            <w:pPr>
              <w:pStyle w:val="12"/>
            </w:pPr>
            <w:r>
              <w:t>100%</w:t>
            </w:r>
          </w:p>
        </w:tc>
        <w:tc>
          <w:tcPr>
            <w:tcW w:w="1276" w:type="dxa"/>
            <w:vAlign w:val="center"/>
          </w:tcPr>
          <w:p w14:paraId="7751AF28">
            <w:pPr>
              <w:pStyle w:val="12"/>
            </w:pPr>
            <w:r>
              <w:t>城乡义务教育公用经费管理办法</w:t>
            </w:r>
          </w:p>
        </w:tc>
      </w:tr>
      <w:tr w14:paraId="188F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060F2"/>
        </w:tc>
        <w:tc>
          <w:tcPr>
            <w:tcW w:w="2268" w:type="dxa"/>
            <w:vAlign w:val="center"/>
          </w:tcPr>
          <w:p w14:paraId="324706C2">
            <w:pPr>
              <w:pStyle w:val="12"/>
            </w:pPr>
            <w:r>
              <w:t>成本指标</w:t>
            </w:r>
          </w:p>
        </w:tc>
        <w:tc>
          <w:tcPr>
            <w:tcW w:w="2835" w:type="dxa"/>
            <w:vAlign w:val="center"/>
          </w:tcPr>
          <w:p w14:paraId="32BA0FDF">
            <w:pPr>
              <w:pStyle w:val="12"/>
            </w:pPr>
            <w:r>
              <w:t>生均拨款标准</w:t>
            </w:r>
          </w:p>
        </w:tc>
        <w:tc>
          <w:tcPr>
            <w:tcW w:w="5386" w:type="dxa"/>
            <w:vAlign w:val="center"/>
          </w:tcPr>
          <w:p w14:paraId="4DDF9D37">
            <w:pPr>
              <w:pStyle w:val="12"/>
            </w:pPr>
            <w:r>
              <w:t>小学生公用经费生均公用经费基准定额为720元/年/生，取暖费120元/年/生，住宿生补助300元/年/生的标准，随班就读学生补助7000元/生/年</w:t>
            </w:r>
          </w:p>
        </w:tc>
        <w:tc>
          <w:tcPr>
            <w:tcW w:w="2268" w:type="dxa"/>
            <w:vAlign w:val="center"/>
          </w:tcPr>
          <w:p w14:paraId="62776DE4">
            <w:pPr>
              <w:pStyle w:val="12"/>
            </w:pPr>
            <w:r>
              <w:t>840元</w:t>
            </w:r>
          </w:p>
        </w:tc>
        <w:tc>
          <w:tcPr>
            <w:tcW w:w="1276" w:type="dxa"/>
            <w:vAlign w:val="center"/>
          </w:tcPr>
          <w:p w14:paraId="60F2A108">
            <w:pPr>
              <w:pStyle w:val="12"/>
            </w:pPr>
            <w:r>
              <w:t>城乡义务教育公用经费管理办法</w:t>
            </w:r>
          </w:p>
        </w:tc>
      </w:tr>
      <w:tr w14:paraId="14B8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DF3E5">
            <w:pPr>
              <w:pStyle w:val="13"/>
            </w:pPr>
            <w:r>
              <w:t>效益指标</w:t>
            </w:r>
          </w:p>
        </w:tc>
        <w:tc>
          <w:tcPr>
            <w:tcW w:w="2268" w:type="dxa"/>
            <w:vAlign w:val="center"/>
          </w:tcPr>
          <w:p w14:paraId="38E9A3C5">
            <w:pPr>
              <w:pStyle w:val="12"/>
            </w:pPr>
            <w:r>
              <w:t>可持续影响指标</w:t>
            </w:r>
          </w:p>
        </w:tc>
        <w:tc>
          <w:tcPr>
            <w:tcW w:w="2835" w:type="dxa"/>
            <w:vAlign w:val="center"/>
          </w:tcPr>
          <w:p w14:paraId="7C16B9C6">
            <w:pPr>
              <w:pStyle w:val="12"/>
            </w:pPr>
            <w:r>
              <w:t>学校运转得到提高</w:t>
            </w:r>
          </w:p>
        </w:tc>
        <w:tc>
          <w:tcPr>
            <w:tcW w:w="5386" w:type="dxa"/>
            <w:vAlign w:val="center"/>
          </w:tcPr>
          <w:p w14:paraId="7A185F00">
            <w:pPr>
              <w:pStyle w:val="12"/>
            </w:pPr>
            <w:r>
              <w:t>学生受教育年限</w:t>
            </w:r>
          </w:p>
        </w:tc>
        <w:tc>
          <w:tcPr>
            <w:tcW w:w="2268" w:type="dxa"/>
            <w:vAlign w:val="center"/>
          </w:tcPr>
          <w:p w14:paraId="1CB15EDB">
            <w:pPr>
              <w:pStyle w:val="12"/>
            </w:pPr>
            <w:r>
              <w:t>6年</w:t>
            </w:r>
          </w:p>
        </w:tc>
        <w:tc>
          <w:tcPr>
            <w:tcW w:w="1276" w:type="dxa"/>
            <w:vAlign w:val="center"/>
          </w:tcPr>
          <w:p w14:paraId="6D3BDEAC">
            <w:pPr>
              <w:pStyle w:val="12"/>
            </w:pPr>
            <w:r>
              <w:t>城乡义务教育公用经费管理办法</w:t>
            </w:r>
          </w:p>
        </w:tc>
      </w:tr>
      <w:tr w14:paraId="7C39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C7658">
            <w:pPr>
              <w:pStyle w:val="13"/>
            </w:pPr>
            <w:r>
              <w:t>满意度指标</w:t>
            </w:r>
          </w:p>
        </w:tc>
        <w:tc>
          <w:tcPr>
            <w:tcW w:w="2268" w:type="dxa"/>
            <w:vAlign w:val="center"/>
          </w:tcPr>
          <w:p w14:paraId="5C6F7E0A">
            <w:pPr>
              <w:pStyle w:val="12"/>
            </w:pPr>
            <w:r>
              <w:t>服务对象满意度指标</w:t>
            </w:r>
          </w:p>
        </w:tc>
        <w:tc>
          <w:tcPr>
            <w:tcW w:w="2835" w:type="dxa"/>
            <w:vAlign w:val="center"/>
          </w:tcPr>
          <w:p w14:paraId="0CB82E11">
            <w:pPr>
              <w:pStyle w:val="12"/>
            </w:pPr>
            <w:r>
              <w:t>服务对象满意度</w:t>
            </w:r>
          </w:p>
        </w:tc>
        <w:tc>
          <w:tcPr>
            <w:tcW w:w="5386" w:type="dxa"/>
            <w:vAlign w:val="center"/>
          </w:tcPr>
          <w:p w14:paraId="0BC1A80E">
            <w:pPr>
              <w:pStyle w:val="12"/>
            </w:pPr>
            <w:r>
              <w:t>学校老师和学生满意度</w:t>
            </w:r>
          </w:p>
        </w:tc>
        <w:tc>
          <w:tcPr>
            <w:tcW w:w="2268" w:type="dxa"/>
            <w:vAlign w:val="center"/>
          </w:tcPr>
          <w:p w14:paraId="1A947803">
            <w:pPr>
              <w:pStyle w:val="12"/>
            </w:pPr>
            <w:r>
              <w:t>≥95%</w:t>
            </w:r>
          </w:p>
        </w:tc>
        <w:tc>
          <w:tcPr>
            <w:tcW w:w="1276" w:type="dxa"/>
            <w:vAlign w:val="center"/>
          </w:tcPr>
          <w:p w14:paraId="07C9121C">
            <w:pPr>
              <w:pStyle w:val="12"/>
            </w:pPr>
            <w:r>
              <w:t>群众测评</w:t>
            </w:r>
          </w:p>
        </w:tc>
      </w:tr>
    </w:tbl>
    <w:p w14:paraId="0D14124E">
      <w:pPr>
        <w:sectPr>
          <w:pgSz w:w="16840" w:h="11900" w:orient="landscape"/>
          <w:pgMar w:top="1361" w:right="1020" w:bottom="1134" w:left="1020" w:header="720" w:footer="720" w:gutter="0"/>
          <w:cols w:space="720" w:num="1"/>
        </w:sectPr>
      </w:pPr>
    </w:p>
    <w:p w14:paraId="2C299B6B">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5、冀财教[2025]121号/中央/2026年义教补助经费/双碑校区双碑小学公用经费绩效目标表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8C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9797D">
            <w:pPr>
              <w:pStyle w:val="11"/>
            </w:pPr>
            <w:r>
              <w:t>单位：万元</w:t>
            </w:r>
          </w:p>
        </w:tc>
      </w:tr>
      <w:tr w14:paraId="3A419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9DDD7">
            <w:pPr>
              <w:pStyle w:val="10"/>
            </w:pPr>
            <w:r>
              <w:t>项目编码</w:t>
            </w:r>
          </w:p>
        </w:tc>
        <w:tc>
          <w:tcPr>
            <w:tcW w:w="5103" w:type="dxa"/>
            <w:gridSpan w:val="2"/>
            <w:vAlign w:val="center"/>
          </w:tcPr>
          <w:p w14:paraId="0E31E24A">
            <w:pPr>
              <w:pStyle w:val="12"/>
            </w:pPr>
            <w:r>
              <w:t>13052526P000004102827</w:t>
            </w:r>
          </w:p>
        </w:tc>
        <w:tc>
          <w:tcPr>
            <w:tcW w:w="2835" w:type="dxa"/>
            <w:vAlign w:val="center"/>
          </w:tcPr>
          <w:p w14:paraId="40DCEB2E">
            <w:pPr>
              <w:pStyle w:val="10"/>
            </w:pPr>
            <w:r>
              <w:t>项目名称</w:t>
            </w:r>
          </w:p>
        </w:tc>
        <w:tc>
          <w:tcPr>
            <w:tcW w:w="6095" w:type="dxa"/>
            <w:gridSpan w:val="3"/>
            <w:vAlign w:val="center"/>
          </w:tcPr>
          <w:p w14:paraId="416B0406">
            <w:pPr>
              <w:pStyle w:val="12"/>
            </w:pPr>
            <w:r>
              <w:t>冀财教[2025]121号/中央/2026年义教补助经费/双碑校区双碑小学公用经费</w:t>
            </w:r>
          </w:p>
        </w:tc>
      </w:tr>
      <w:tr w14:paraId="435B2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A9478">
            <w:pPr>
              <w:pStyle w:val="10"/>
            </w:pPr>
            <w:r>
              <w:t>预算规模及资金用途</w:t>
            </w:r>
          </w:p>
        </w:tc>
        <w:tc>
          <w:tcPr>
            <w:tcW w:w="2268" w:type="dxa"/>
            <w:vAlign w:val="center"/>
          </w:tcPr>
          <w:p w14:paraId="4F9FF27F">
            <w:pPr>
              <w:pStyle w:val="10"/>
            </w:pPr>
            <w:r>
              <w:t>预算数</w:t>
            </w:r>
          </w:p>
        </w:tc>
        <w:tc>
          <w:tcPr>
            <w:tcW w:w="2835" w:type="dxa"/>
            <w:vAlign w:val="center"/>
          </w:tcPr>
          <w:p w14:paraId="2C531E2E">
            <w:pPr>
              <w:pStyle w:val="12"/>
            </w:pPr>
            <w:r>
              <w:t>21.81</w:t>
            </w:r>
          </w:p>
        </w:tc>
        <w:tc>
          <w:tcPr>
            <w:tcW w:w="2835" w:type="dxa"/>
            <w:vAlign w:val="center"/>
          </w:tcPr>
          <w:p w14:paraId="1B1E3F74">
            <w:pPr>
              <w:pStyle w:val="10"/>
            </w:pPr>
            <w:r>
              <w:t>其中：财政    资金</w:t>
            </w:r>
          </w:p>
        </w:tc>
        <w:tc>
          <w:tcPr>
            <w:tcW w:w="2551" w:type="dxa"/>
            <w:vAlign w:val="center"/>
          </w:tcPr>
          <w:p w14:paraId="71E49E43">
            <w:pPr>
              <w:pStyle w:val="12"/>
            </w:pPr>
            <w:r>
              <w:t>21.81</w:t>
            </w:r>
          </w:p>
        </w:tc>
        <w:tc>
          <w:tcPr>
            <w:tcW w:w="2268" w:type="dxa"/>
            <w:vAlign w:val="center"/>
          </w:tcPr>
          <w:p w14:paraId="22207083">
            <w:pPr>
              <w:pStyle w:val="10"/>
            </w:pPr>
            <w:r>
              <w:t>其他资金</w:t>
            </w:r>
          </w:p>
        </w:tc>
        <w:tc>
          <w:tcPr>
            <w:tcW w:w="1276" w:type="dxa"/>
            <w:vAlign w:val="center"/>
          </w:tcPr>
          <w:p w14:paraId="4A53D590">
            <w:pPr>
              <w:pStyle w:val="12"/>
            </w:pPr>
            <w:r>
              <w:t xml:space="preserve"> </w:t>
            </w:r>
          </w:p>
        </w:tc>
      </w:tr>
      <w:tr w14:paraId="2B6E1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93BA5"/>
        </w:tc>
        <w:tc>
          <w:tcPr>
            <w:tcW w:w="14033" w:type="dxa"/>
            <w:gridSpan w:val="6"/>
            <w:vAlign w:val="center"/>
          </w:tcPr>
          <w:p w14:paraId="26C9DA4E">
            <w:pPr>
              <w:pStyle w:val="12"/>
            </w:pPr>
            <w:r>
              <w:t>保障学校正常运转，完成各项教育教学活动和其他日常工作任务等方面的费用支出。</w:t>
            </w:r>
            <w:r>
              <w:tab/>
            </w:r>
            <w:r>
              <w:tab/>
            </w:r>
            <w:r>
              <w:tab/>
            </w:r>
            <w:r>
              <w:tab/>
            </w:r>
            <w:r>
              <w:tab/>
            </w:r>
            <w:r>
              <w:tab/>
            </w:r>
          </w:p>
          <w:p w14:paraId="205E9803">
            <w:pPr>
              <w:pStyle w:val="12"/>
            </w:pPr>
          </w:p>
        </w:tc>
      </w:tr>
      <w:tr w14:paraId="3866D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96E0C">
            <w:pPr>
              <w:pStyle w:val="10"/>
            </w:pPr>
            <w:r>
              <w:t>资金支出计划（%）</w:t>
            </w:r>
          </w:p>
        </w:tc>
        <w:tc>
          <w:tcPr>
            <w:tcW w:w="5103" w:type="dxa"/>
            <w:gridSpan w:val="2"/>
            <w:vAlign w:val="center"/>
          </w:tcPr>
          <w:p w14:paraId="6BF352E5">
            <w:pPr>
              <w:pStyle w:val="10"/>
            </w:pPr>
            <w:r>
              <w:t>3月底</w:t>
            </w:r>
          </w:p>
        </w:tc>
        <w:tc>
          <w:tcPr>
            <w:tcW w:w="2835" w:type="dxa"/>
            <w:vAlign w:val="center"/>
          </w:tcPr>
          <w:p w14:paraId="732BC55A">
            <w:pPr>
              <w:pStyle w:val="10"/>
            </w:pPr>
            <w:r>
              <w:t>6月底</w:t>
            </w:r>
          </w:p>
        </w:tc>
        <w:tc>
          <w:tcPr>
            <w:tcW w:w="2551" w:type="dxa"/>
            <w:vAlign w:val="center"/>
          </w:tcPr>
          <w:p w14:paraId="346FB9CD">
            <w:pPr>
              <w:pStyle w:val="10"/>
            </w:pPr>
            <w:r>
              <w:t>10月底</w:t>
            </w:r>
          </w:p>
        </w:tc>
        <w:tc>
          <w:tcPr>
            <w:tcW w:w="3544" w:type="dxa"/>
            <w:gridSpan w:val="2"/>
            <w:vAlign w:val="center"/>
          </w:tcPr>
          <w:p w14:paraId="458C948A">
            <w:pPr>
              <w:pStyle w:val="10"/>
            </w:pPr>
            <w:r>
              <w:t>12月底</w:t>
            </w:r>
          </w:p>
        </w:tc>
      </w:tr>
      <w:tr w14:paraId="5E8A0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352CE"/>
        </w:tc>
        <w:tc>
          <w:tcPr>
            <w:tcW w:w="5103" w:type="dxa"/>
            <w:gridSpan w:val="2"/>
            <w:vAlign w:val="center"/>
          </w:tcPr>
          <w:p w14:paraId="741DEFBA">
            <w:pPr>
              <w:pStyle w:val="13"/>
            </w:pPr>
            <w:r>
              <w:t>25%</w:t>
            </w:r>
          </w:p>
        </w:tc>
        <w:tc>
          <w:tcPr>
            <w:tcW w:w="2835" w:type="dxa"/>
            <w:vAlign w:val="center"/>
          </w:tcPr>
          <w:p w14:paraId="684BD49F">
            <w:pPr>
              <w:pStyle w:val="13"/>
            </w:pPr>
            <w:r>
              <w:t>50%</w:t>
            </w:r>
          </w:p>
        </w:tc>
        <w:tc>
          <w:tcPr>
            <w:tcW w:w="2551" w:type="dxa"/>
            <w:vAlign w:val="center"/>
          </w:tcPr>
          <w:p w14:paraId="1567BF78">
            <w:pPr>
              <w:pStyle w:val="13"/>
            </w:pPr>
            <w:r>
              <w:t>75%</w:t>
            </w:r>
          </w:p>
        </w:tc>
        <w:tc>
          <w:tcPr>
            <w:tcW w:w="3544" w:type="dxa"/>
            <w:gridSpan w:val="2"/>
            <w:vAlign w:val="center"/>
          </w:tcPr>
          <w:p w14:paraId="02E01928">
            <w:pPr>
              <w:pStyle w:val="13"/>
            </w:pPr>
            <w:r>
              <w:t>100%</w:t>
            </w:r>
          </w:p>
        </w:tc>
      </w:tr>
      <w:tr w14:paraId="227D1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B5727">
            <w:pPr>
              <w:pStyle w:val="10"/>
            </w:pPr>
            <w:r>
              <w:t>绩效目标</w:t>
            </w:r>
          </w:p>
        </w:tc>
        <w:tc>
          <w:tcPr>
            <w:tcW w:w="14033" w:type="dxa"/>
            <w:gridSpan w:val="6"/>
            <w:vAlign w:val="center"/>
          </w:tcPr>
          <w:p w14:paraId="5C292534">
            <w:pPr>
              <w:pStyle w:val="12"/>
            </w:pPr>
            <w:r>
              <w:t>1.保障学校正常运转，完成各项教育教学活动和其他日常工作任务等方面的费用支出。</w:t>
            </w:r>
          </w:p>
          <w:p w14:paraId="156FCA66">
            <w:pPr>
              <w:pStyle w:val="12"/>
            </w:pPr>
            <w:r>
              <w:t>2.按季度分批次拨付公用经费资金，资金拨付率达到100%。</w:t>
            </w:r>
          </w:p>
        </w:tc>
      </w:tr>
    </w:tbl>
    <w:p w14:paraId="70BE5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1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92CBB">
            <w:pPr>
              <w:pStyle w:val="10"/>
            </w:pPr>
            <w:r>
              <w:t>一级指标</w:t>
            </w:r>
          </w:p>
        </w:tc>
        <w:tc>
          <w:tcPr>
            <w:tcW w:w="2268" w:type="dxa"/>
            <w:vAlign w:val="center"/>
          </w:tcPr>
          <w:p w14:paraId="1404E827">
            <w:pPr>
              <w:pStyle w:val="10"/>
            </w:pPr>
            <w:r>
              <w:t>二级指标</w:t>
            </w:r>
          </w:p>
        </w:tc>
        <w:tc>
          <w:tcPr>
            <w:tcW w:w="2835" w:type="dxa"/>
            <w:vAlign w:val="center"/>
          </w:tcPr>
          <w:p w14:paraId="2606A390">
            <w:pPr>
              <w:pStyle w:val="10"/>
            </w:pPr>
            <w:r>
              <w:t>三级指标</w:t>
            </w:r>
          </w:p>
        </w:tc>
        <w:tc>
          <w:tcPr>
            <w:tcW w:w="5386" w:type="dxa"/>
            <w:vAlign w:val="center"/>
          </w:tcPr>
          <w:p w14:paraId="40257B1C">
            <w:pPr>
              <w:pStyle w:val="10"/>
            </w:pPr>
            <w:r>
              <w:t>绩效指标描述</w:t>
            </w:r>
          </w:p>
        </w:tc>
        <w:tc>
          <w:tcPr>
            <w:tcW w:w="2268" w:type="dxa"/>
            <w:vAlign w:val="center"/>
          </w:tcPr>
          <w:p w14:paraId="06BC4D01">
            <w:pPr>
              <w:pStyle w:val="10"/>
            </w:pPr>
            <w:r>
              <w:t>指标值</w:t>
            </w:r>
          </w:p>
        </w:tc>
        <w:tc>
          <w:tcPr>
            <w:tcW w:w="1276" w:type="dxa"/>
            <w:vAlign w:val="center"/>
          </w:tcPr>
          <w:p w14:paraId="296188F9">
            <w:pPr>
              <w:pStyle w:val="10"/>
            </w:pPr>
            <w:r>
              <w:t>指标值确定依据</w:t>
            </w:r>
          </w:p>
        </w:tc>
      </w:tr>
      <w:tr w14:paraId="36871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FB52C">
            <w:pPr>
              <w:pStyle w:val="13"/>
            </w:pPr>
            <w:r>
              <w:t>产出指标</w:t>
            </w:r>
          </w:p>
        </w:tc>
        <w:tc>
          <w:tcPr>
            <w:tcW w:w="2268" w:type="dxa"/>
            <w:vAlign w:val="center"/>
          </w:tcPr>
          <w:p w14:paraId="143AE33C">
            <w:pPr>
              <w:pStyle w:val="12"/>
            </w:pPr>
            <w:r>
              <w:t>数量指标</w:t>
            </w:r>
          </w:p>
        </w:tc>
        <w:tc>
          <w:tcPr>
            <w:tcW w:w="2835" w:type="dxa"/>
            <w:vAlign w:val="center"/>
          </w:tcPr>
          <w:p w14:paraId="2AFE7E7B">
            <w:pPr>
              <w:pStyle w:val="12"/>
            </w:pPr>
            <w:r>
              <w:t>就读学生数</w:t>
            </w:r>
          </w:p>
        </w:tc>
        <w:tc>
          <w:tcPr>
            <w:tcW w:w="5386" w:type="dxa"/>
            <w:vAlign w:val="center"/>
          </w:tcPr>
          <w:p w14:paraId="481FCA41">
            <w:pPr>
              <w:pStyle w:val="12"/>
            </w:pPr>
            <w:r>
              <w:t>辐射区域内适龄学生人数</w:t>
            </w:r>
          </w:p>
        </w:tc>
        <w:tc>
          <w:tcPr>
            <w:tcW w:w="2268" w:type="dxa"/>
            <w:vAlign w:val="center"/>
          </w:tcPr>
          <w:p w14:paraId="4F9B4338">
            <w:pPr>
              <w:pStyle w:val="12"/>
            </w:pPr>
            <w:r>
              <w:t>432人</w:t>
            </w:r>
          </w:p>
        </w:tc>
        <w:tc>
          <w:tcPr>
            <w:tcW w:w="1276" w:type="dxa"/>
            <w:vAlign w:val="center"/>
          </w:tcPr>
          <w:p w14:paraId="7695CB7F">
            <w:pPr>
              <w:pStyle w:val="12"/>
            </w:pPr>
            <w:r>
              <w:t>城乡义务教育公用经费管理办法</w:t>
            </w:r>
          </w:p>
        </w:tc>
      </w:tr>
      <w:tr w14:paraId="213A8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70AB3"/>
        </w:tc>
        <w:tc>
          <w:tcPr>
            <w:tcW w:w="2268" w:type="dxa"/>
            <w:vAlign w:val="center"/>
          </w:tcPr>
          <w:p w14:paraId="66B0FDD2">
            <w:pPr>
              <w:pStyle w:val="12"/>
            </w:pPr>
            <w:r>
              <w:t>质量指标</w:t>
            </w:r>
          </w:p>
        </w:tc>
        <w:tc>
          <w:tcPr>
            <w:tcW w:w="2835" w:type="dxa"/>
            <w:vAlign w:val="center"/>
          </w:tcPr>
          <w:p w14:paraId="7DDB24B9">
            <w:pPr>
              <w:pStyle w:val="12"/>
            </w:pPr>
            <w:r>
              <w:t>预算执行率</w:t>
            </w:r>
          </w:p>
        </w:tc>
        <w:tc>
          <w:tcPr>
            <w:tcW w:w="5386" w:type="dxa"/>
            <w:vAlign w:val="center"/>
          </w:tcPr>
          <w:p w14:paraId="730F0586">
            <w:pPr>
              <w:pStyle w:val="12"/>
            </w:pPr>
            <w:r>
              <w:t>预算执行率</w:t>
            </w:r>
          </w:p>
        </w:tc>
        <w:tc>
          <w:tcPr>
            <w:tcW w:w="2268" w:type="dxa"/>
            <w:vAlign w:val="center"/>
          </w:tcPr>
          <w:p w14:paraId="62C82EA3">
            <w:pPr>
              <w:pStyle w:val="12"/>
            </w:pPr>
            <w:r>
              <w:t>≥95%</w:t>
            </w:r>
          </w:p>
        </w:tc>
        <w:tc>
          <w:tcPr>
            <w:tcW w:w="1276" w:type="dxa"/>
            <w:vAlign w:val="center"/>
          </w:tcPr>
          <w:p w14:paraId="77E29EA0">
            <w:pPr>
              <w:pStyle w:val="12"/>
            </w:pPr>
            <w:r>
              <w:t>城乡义务教育公用经费管理办法</w:t>
            </w:r>
          </w:p>
        </w:tc>
      </w:tr>
      <w:tr w14:paraId="15D4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817BB"/>
        </w:tc>
        <w:tc>
          <w:tcPr>
            <w:tcW w:w="2268" w:type="dxa"/>
            <w:vAlign w:val="center"/>
          </w:tcPr>
          <w:p w14:paraId="2C083C5A">
            <w:pPr>
              <w:pStyle w:val="12"/>
            </w:pPr>
            <w:r>
              <w:t>时效指标</w:t>
            </w:r>
          </w:p>
        </w:tc>
        <w:tc>
          <w:tcPr>
            <w:tcW w:w="2835" w:type="dxa"/>
            <w:vAlign w:val="center"/>
          </w:tcPr>
          <w:p w14:paraId="673E6C7C">
            <w:pPr>
              <w:pStyle w:val="12"/>
            </w:pPr>
            <w:r>
              <w:t>义教经费支付完成率</w:t>
            </w:r>
          </w:p>
        </w:tc>
        <w:tc>
          <w:tcPr>
            <w:tcW w:w="5386" w:type="dxa"/>
            <w:vAlign w:val="center"/>
          </w:tcPr>
          <w:p w14:paraId="33EF5DFB">
            <w:pPr>
              <w:pStyle w:val="12"/>
            </w:pPr>
            <w:r>
              <w:t>按照序时进度完成资金支付</w:t>
            </w:r>
          </w:p>
        </w:tc>
        <w:tc>
          <w:tcPr>
            <w:tcW w:w="2268" w:type="dxa"/>
            <w:vAlign w:val="center"/>
          </w:tcPr>
          <w:p w14:paraId="16446866">
            <w:pPr>
              <w:pStyle w:val="12"/>
            </w:pPr>
            <w:r>
              <w:t>100%</w:t>
            </w:r>
          </w:p>
        </w:tc>
        <w:tc>
          <w:tcPr>
            <w:tcW w:w="1276" w:type="dxa"/>
            <w:vAlign w:val="center"/>
          </w:tcPr>
          <w:p w14:paraId="7A6EDD17">
            <w:pPr>
              <w:pStyle w:val="12"/>
            </w:pPr>
            <w:r>
              <w:t>城乡义务教育公用经费管理办法</w:t>
            </w:r>
          </w:p>
        </w:tc>
      </w:tr>
      <w:tr w14:paraId="3F4A8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1643C"/>
        </w:tc>
        <w:tc>
          <w:tcPr>
            <w:tcW w:w="2268" w:type="dxa"/>
            <w:vAlign w:val="center"/>
          </w:tcPr>
          <w:p w14:paraId="4DF07B89">
            <w:pPr>
              <w:pStyle w:val="12"/>
            </w:pPr>
            <w:r>
              <w:t>成本指标</w:t>
            </w:r>
          </w:p>
        </w:tc>
        <w:tc>
          <w:tcPr>
            <w:tcW w:w="2835" w:type="dxa"/>
            <w:vAlign w:val="center"/>
          </w:tcPr>
          <w:p w14:paraId="52EEBBEB">
            <w:pPr>
              <w:pStyle w:val="12"/>
            </w:pPr>
            <w:r>
              <w:t>生均拨款标准</w:t>
            </w:r>
          </w:p>
        </w:tc>
        <w:tc>
          <w:tcPr>
            <w:tcW w:w="5386" w:type="dxa"/>
            <w:vAlign w:val="center"/>
          </w:tcPr>
          <w:p w14:paraId="7AEFAF25">
            <w:pPr>
              <w:pStyle w:val="12"/>
            </w:pPr>
            <w:r>
              <w:t>小学生公用经费生均公用经费基准定额为720元/年/生，取暖费120元/年/生，住宿生补助300元/年/生的标准，随班就读学生补助7000元/生/年</w:t>
            </w:r>
          </w:p>
        </w:tc>
        <w:tc>
          <w:tcPr>
            <w:tcW w:w="2268" w:type="dxa"/>
            <w:vAlign w:val="center"/>
          </w:tcPr>
          <w:p w14:paraId="01C8965B">
            <w:pPr>
              <w:pStyle w:val="12"/>
            </w:pPr>
            <w:r>
              <w:t>840元</w:t>
            </w:r>
          </w:p>
        </w:tc>
        <w:tc>
          <w:tcPr>
            <w:tcW w:w="1276" w:type="dxa"/>
            <w:vAlign w:val="center"/>
          </w:tcPr>
          <w:p w14:paraId="1B130473">
            <w:pPr>
              <w:pStyle w:val="12"/>
            </w:pPr>
            <w:r>
              <w:t>城乡义务教育公用经费管理办法</w:t>
            </w:r>
          </w:p>
        </w:tc>
      </w:tr>
      <w:tr w14:paraId="2EEA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76162">
            <w:pPr>
              <w:pStyle w:val="13"/>
            </w:pPr>
            <w:r>
              <w:t>效益指标</w:t>
            </w:r>
          </w:p>
        </w:tc>
        <w:tc>
          <w:tcPr>
            <w:tcW w:w="2268" w:type="dxa"/>
            <w:vAlign w:val="center"/>
          </w:tcPr>
          <w:p w14:paraId="008762C1">
            <w:pPr>
              <w:pStyle w:val="12"/>
            </w:pPr>
            <w:r>
              <w:t>可持续影响指标</w:t>
            </w:r>
          </w:p>
        </w:tc>
        <w:tc>
          <w:tcPr>
            <w:tcW w:w="2835" w:type="dxa"/>
            <w:vAlign w:val="center"/>
          </w:tcPr>
          <w:p w14:paraId="3D6102E2">
            <w:pPr>
              <w:pStyle w:val="12"/>
            </w:pPr>
            <w:r>
              <w:t>学校运转得到提高</w:t>
            </w:r>
          </w:p>
        </w:tc>
        <w:tc>
          <w:tcPr>
            <w:tcW w:w="5386" w:type="dxa"/>
            <w:vAlign w:val="center"/>
          </w:tcPr>
          <w:p w14:paraId="28B22676">
            <w:pPr>
              <w:pStyle w:val="12"/>
            </w:pPr>
            <w:r>
              <w:t>学生受教育年限</w:t>
            </w:r>
          </w:p>
        </w:tc>
        <w:tc>
          <w:tcPr>
            <w:tcW w:w="2268" w:type="dxa"/>
            <w:vAlign w:val="center"/>
          </w:tcPr>
          <w:p w14:paraId="7C310E51">
            <w:pPr>
              <w:pStyle w:val="12"/>
            </w:pPr>
            <w:r>
              <w:t>6年</w:t>
            </w:r>
          </w:p>
        </w:tc>
        <w:tc>
          <w:tcPr>
            <w:tcW w:w="1276" w:type="dxa"/>
            <w:vAlign w:val="center"/>
          </w:tcPr>
          <w:p w14:paraId="23C53AD7">
            <w:pPr>
              <w:pStyle w:val="12"/>
            </w:pPr>
            <w:r>
              <w:t>城乡义务教育公用经费管理办法</w:t>
            </w:r>
          </w:p>
        </w:tc>
      </w:tr>
      <w:tr w14:paraId="77E5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6800C">
            <w:pPr>
              <w:pStyle w:val="13"/>
            </w:pPr>
            <w:r>
              <w:t>满意度指标</w:t>
            </w:r>
          </w:p>
        </w:tc>
        <w:tc>
          <w:tcPr>
            <w:tcW w:w="2268" w:type="dxa"/>
            <w:vAlign w:val="center"/>
          </w:tcPr>
          <w:p w14:paraId="7999D525">
            <w:pPr>
              <w:pStyle w:val="12"/>
            </w:pPr>
            <w:r>
              <w:t>服务对象满意度指标</w:t>
            </w:r>
          </w:p>
        </w:tc>
        <w:tc>
          <w:tcPr>
            <w:tcW w:w="2835" w:type="dxa"/>
            <w:vAlign w:val="center"/>
          </w:tcPr>
          <w:p w14:paraId="2C690389">
            <w:pPr>
              <w:pStyle w:val="12"/>
            </w:pPr>
            <w:r>
              <w:t>服务对象满意度</w:t>
            </w:r>
          </w:p>
        </w:tc>
        <w:tc>
          <w:tcPr>
            <w:tcW w:w="5386" w:type="dxa"/>
            <w:vAlign w:val="center"/>
          </w:tcPr>
          <w:p w14:paraId="59715AA7">
            <w:pPr>
              <w:pStyle w:val="12"/>
            </w:pPr>
            <w:r>
              <w:t>学校老师和学生满意度</w:t>
            </w:r>
          </w:p>
        </w:tc>
        <w:tc>
          <w:tcPr>
            <w:tcW w:w="2268" w:type="dxa"/>
            <w:vAlign w:val="center"/>
          </w:tcPr>
          <w:p w14:paraId="397B3D23">
            <w:pPr>
              <w:pStyle w:val="12"/>
            </w:pPr>
            <w:r>
              <w:t>≥95%</w:t>
            </w:r>
          </w:p>
        </w:tc>
        <w:tc>
          <w:tcPr>
            <w:tcW w:w="1276" w:type="dxa"/>
            <w:vAlign w:val="center"/>
          </w:tcPr>
          <w:p w14:paraId="0D6F1B04">
            <w:pPr>
              <w:pStyle w:val="12"/>
            </w:pPr>
            <w:r>
              <w:t>群众测评</w:t>
            </w:r>
          </w:p>
        </w:tc>
      </w:tr>
    </w:tbl>
    <w:p w14:paraId="41BA4B4A">
      <w:pPr>
        <w:sectPr>
          <w:pgSz w:w="16840" w:h="11900" w:orient="landscape"/>
          <w:pgMar w:top="1361" w:right="1020" w:bottom="1134" w:left="1020" w:header="720" w:footer="720" w:gutter="0"/>
          <w:cols w:space="720" w:num="1"/>
        </w:sectPr>
      </w:pPr>
    </w:p>
    <w:p w14:paraId="422EAFAB">
      <w:pPr>
        <w:spacing w:before="0" w:after="0"/>
        <w:ind w:firstLine="560"/>
        <w:jc w:val="left"/>
        <w:outlineLvl w:val="9"/>
      </w:pPr>
      <w:r>
        <w:rPr>
          <w:rFonts w:ascii="方正仿宋_GBK" w:hAnsi="方正仿宋_GBK" w:eastAsia="方正仿宋_GBK" w:cs="方正仿宋_GBK"/>
          <w:b/>
          <w:color w:val="000000"/>
          <w:sz w:val="28"/>
        </w:rPr>
        <w:t>6、冀财教[2025]121号/中央/2026年义教补助经费/双碑校区西良后小学公用经费绩效目标表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2E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2B186">
            <w:pPr>
              <w:pStyle w:val="11"/>
            </w:pPr>
            <w:r>
              <w:t>单位：万元</w:t>
            </w:r>
          </w:p>
        </w:tc>
      </w:tr>
      <w:tr w14:paraId="16D76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B69FF">
            <w:pPr>
              <w:pStyle w:val="10"/>
            </w:pPr>
            <w:r>
              <w:t>项目编码</w:t>
            </w:r>
          </w:p>
        </w:tc>
        <w:tc>
          <w:tcPr>
            <w:tcW w:w="5103" w:type="dxa"/>
            <w:gridSpan w:val="2"/>
            <w:vAlign w:val="center"/>
          </w:tcPr>
          <w:p w14:paraId="191D9786">
            <w:pPr>
              <w:pStyle w:val="12"/>
            </w:pPr>
            <w:r>
              <w:t>13052526P00000410286M</w:t>
            </w:r>
          </w:p>
        </w:tc>
        <w:tc>
          <w:tcPr>
            <w:tcW w:w="2835" w:type="dxa"/>
            <w:vAlign w:val="center"/>
          </w:tcPr>
          <w:p w14:paraId="405A3C30">
            <w:pPr>
              <w:pStyle w:val="10"/>
            </w:pPr>
            <w:r>
              <w:t>项目名称</w:t>
            </w:r>
          </w:p>
        </w:tc>
        <w:tc>
          <w:tcPr>
            <w:tcW w:w="6095" w:type="dxa"/>
            <w:gridSpan w:val="3"/>
            <w:vAlign w:val="center"/>
          </w:tcPr>
          <w:p w14:paraId="2CCFC74C">
            <w:pPr>
              <w:pStyle w:val="12"/>
            </w:pPr>
            <w:r>
              <w:t>冀财教[2025]121号/中央/2026年义教补助经费/双碑校区西良后小学公用经费</w:t>
            </w:r>
          </w:p>
        </w:tc>
      </w:tr>
      <w:tr w14:paraId="6C57C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F13EF">
            <w:pPr>
              <w:pStyle w:val="10"/>
            </w:pPr>
            <w:r>
              <w:t>预算规模及资金用途</w:t>
            </w:r>
          </w:p>
        </w:tc>
        <w:tc>
          <w:tcPr>
            <w:tcW w:w="2268" w:type="dxa"/>
            <w:vAlign w:val="center"/>
          </w:tcPr>
          <w:p w14:paraId="3177BF03">
            <w:pPr>
              <w:pStyle w:val="10"/>
            </w:pPr>
            <w:r>
              <w:t>预算数</w:t>
            </w:r>
          </w:p>
        </w:tc>
        <w:tc>
          <w:tcPr>
            <w:tcW w:w="2835" w:type="dxa"/>
            <w:vAlign w:val="center"/>
          </w:tcPr>
          <w:p w14:paraId="1CE323DD">
            <w:pPr>
              <w:pStyle w:val="12"/>
            </w:pPr>
            <w:r>
              <w:t>14.26</w:t>
            </w:r>
          </w:p>
        </w:tc>
        <w:tc>
          <w:tcPr>
            <w:tcW w:w="2835" w:type="dxa"/>
            <w:vAlign w:val="center"/>
          </w:tcPr>
          <w:p w14:paraId="4021AD99">
            <w:pPr>
              <w:pStyle w:val="10"/>
            </w:pPr>
            <w:r>
              <w:t>其中：财政    资金</w:t>
            </w:r>
          </w:p>
        </w:tc>
        <w:tc>
          <w:tcPr>
            <w:tcW w:w="2551" w:type="dxa"/>
            <w:vAlign w:val="center"/>
          </w:tcPr>
          <w:p w14:paraId="50F8456B">
            <w:pPr>
              <w:pStyle w:val="12"/>
            </w:pPr>
            <w:r>
              <w:t>14.26</w:t>
            </w:r>
          </w:p>
        </w:tc>
        <w:tc>
          <w:tcPr>
            <w:tcW w:w="2268" w:type="dxa"/>
            <w:vAlign w:val="center"/>
          </w:tcPr>
          <w:p w14:paraId="269E2C5D">
            <w:pPr>
              <w:pStyle w:val="10"/>
            </w:pPr>
            <w:r>
              <w:t>其他资金</w:t>
            </w:r>
          </w:p>
        </w:tc>
        <w:tc>
          <w:tcPr>
            <w:tcW w:w="1276" w:type="dxa"/>
            <w:vAlign w:val="center"/>
          </w:tcPr>
          <w:p w14:paraId="1D8E4354">
            <w:pPr>
              <w:pStyle w:val="12"/>
            </w:pPr>
            <w:r>
              <w:t xml:space="preserve"> </w:t>
            </w:r>
          </w:p>
        </w:tc>
      </w:tr>
      <w:tr w14:paraId="35A27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243E0"/>
        </w:tc>
        <w:tc>
          <w:tcPr>
            <w:tcW w:w="14033" w:type="dxa"/>
            <w:gridSpan w:val="6"/>
            <w:vAlign w:val="center"/>
          </w:tcPr>
          <w:p w14:paraId="40F273B7">
            <w:pPr>
              <w:pStyle w:val="12"/>
            </w:pPr>
            <w:r>
              <w:t>保障学校正常运转，完成各项教育教学活动和其他日常工作任务等方面的费用支出。</w:t>
            </w:r>
            <w:r>
              <w:tab/>
            </w:r>
            <w:r>
              <w:tab/>
            </w:r>
            <w:r>
              <w:tab/>
            </w:r>
            <w:r>
              <w:tab/>
            </w:r>
            <w:r>
              <w:tab/>
            </w:r>
            <w:r>
              <w:tab/>
            </w:r>
          </w:p>
          <w:p w14:paraId="34F5E613">
            <w:pPr>
              <w:pStyle w:val="12"/>
            </w:pPr>
          </w:p>
        </w:tc>
      </w:tr>
      <w:tr w14:paraId="45878EB1">
        <w:tblPrEx>
          <w:tblCellMar>
            <w:top w:w="0" w:type="dxa"/>
            <w:left w:w="108" w:type="dxa"/>
            <w:bottom w:w="0" w:type="dxa"/>
            <w:right w:w="108" w:type="dxa"/>
          </w:tblCellMar>
        </w:tblPrEx>
        <w:trPr>
          <w:trHeight w:val="369" w:hRule="atLeast"/>
          <w:jc w:val="center"/>
        </w:trPr>
        <w:tc>
          <w:tcPr>
            <w:tcW w:w="1276" w:type="dxa"/>
            <w:vMerge w:val="restart"/>
            <w:vAlign w:val="center"/>
          </w:tcPr>
          <w:p w14:paraId="69C46757">
            <w:pPr>
              <w:pStyle w:val="10"/>
            </w:pPr>
            <w:r>
              <w:t>资金支出计划（%）</w:t>
            </w:r>
          </w:p>
        </w:tc>
        <w:tc>
          <w:tcPr>
            <w:tcW w:w="5103" w:type="dxa"/>
            <w:gridSpan w:val="2"/>
            <w:vAlign w:val="center"/>
          </w:tcPr>
          <w:p w14:paraId="4C423CDB">
            <w:pPr>
              <w:pStyle w:val="10"/>
            </w:pPr>
            <w:r>
              <w:t>3月底</w:t>
            </w:r>
          </w:p>
        </w:tc>
        <w:tc>
          <w:tcPr>
            <w:tcW w:w="2835" w:type="dxa"/>
            <w:vAlign w:val="center"/>
          </w:tcPr>
          <w:p w14:paraId="7E2E934B">
            <w:pPr>
              <w:pStyle w:val="10"/>
            </w:pPr>
            <w:r>
              <w:t>6月底</w:t>
            </w:r>
          </w:p>
        </w:tc>
        <w:tc>
          <w:tcPr>
            <w:tcW w:w="2551" w:type="dxa"/>
            <w:vAlign w:val="center"/>
          </w:tcPr>
          <w:p w14:paraId="33EAD277">
            <w:pPr>
              <w:pStyle w:val="10"/>
            </w:pPr>
            <w:r>
              <w:t>10月底</w:t>
            </w:r>
          </w:p>
        </w:tc>
        <w:tc>
          <w:tcPr>
            <w:tcW w:w="3544" w:type="dxa"/>
            <w:gridSpan w:val="2"/>
            <w:vAlign w:val="center"/>
          </w:tcPr>
          <w:p w14:paraId="1A58DE2F">
            <w:pPr>
              <w:pStyle w:val="10"/>
            </w:pPr>
            <w:r>
              <w:t>12月底</w:t>
            </w:r>
          </w:p>
        </w:tc>
      </w:tr>
      <w:tr w14:paraId="1BE089D3">
        <w:tblPrEx>
          <w:tblCellMar>
            <w:top w:w="0" w:type="dxa"/>
            <w:left w:w="108" w:type="dxa"/>
            <w:bottom w:w="0" w:type="dxa"/>
            <w:right w:w="108" w:type="dxa"/>
          </w:tblCellMar>
        </w:tblPrEx>
        <w:trPr>
          <w:trHeight w:val="369" w:hRule="atLeast"/>
          <w:jc w:val="center"/>
        </w:trPr>
        <w:tc>
          <w:tcPr>
            <w:tcW w:w="1276" w:type="dxa"/>
            <w:vMerge w:val="continue"/>
          </w:tcPr>
          <w:p w14:paraId="1F33BA54"/>
        </w:tc>
        <w:tc>
          <w:tcPr>
            <w:tcW w:w="5103" w:type="dxa"/>
            <w:gridSpan w:val="2"/>
            <w:vAlign w:val="center"/>
          </w:tcPr>
          <w:p w14:paraId="7529B5F8">
            <w:pPr>
              <w:pStyle w:val="13"/>
            </w:pPr>
            <w:r>
              <w:t>25%</w:t>
            </w:r>
          </w:p>
        </w:tc>
        <w:tc>
          <w:tcPr>
            <w:tcW w:w="2835" w:type="dxa"/>
            <w:vAlign w:val="center"/>
          </w:tcPr>
          <w:p w14:paraId="1E8CAB6A">
            <w:pPr>
              <w:pStyle w:val="13"/>
            </w:pPr>
            <w:r>
              <w:t>50%</w:t>
            </w:r>
          </w:p>
        </w:tc>
        <w:tc>
          <w:tcPr>
            <w:tcW w:w="2551" w:type="dxa"/>
            <w:vAlign w:val="center"/>
          </w:tcPr>
          <w:p w14:paraId="7F1C46FB">
            <w:pPr>
              <w:pStyle w:val="13"/>
            </w:pPr>
            <w:r>
              <w:t>75%</w:t>
            </w:r>
          </w:p>
        </w:tc>
        <w:tc>
          <w:tcPr>
            <w:tcW w:w="3544" w:type="dxa"/>
            <w:gridSpan w:val="2"/>
            <w:vAlign w:val="center"/>
          </w:tcPr>
          <w:p w14:paraId="35F69D89">
            <w:pPr>
              <w:pStyle w:val="13"/>
            </w:pPr>
            <w:r>
              <w:t>100%</w:t>
            </w:r>
          </w:p>
        </w:tc>
      </w:tr>
      <w:tr w14:paraId="7F52D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80ED0">
            <w:pPr>
              <w:pStyle w:val="10"/>
            </w:pPr>
            <w:r>
              <w:t>绩效目标</w:t>
            </w:r>
          </w:p>
        </w:tc>
        <w:tc>
          <w:tcPr>
            <w:tcW w:w="14033" w:type="dxa"/>
            <w:gridSpan w:val="6"/>
            <w:vAlign w:val="center"/>
          </w:tcPr>
          <w:p w14:paraId="16348ABB">
            <w:pPr>
              <w:pStyle w:val="12"/>
            </w:pPr>
            <w:r>
              <w:t>1.按季度分批次拨付公用经费资金，资金拨付率达到100%。</w:t>
            </w:r>
          </w:p>
          <w:p w14:paraId="48C929FE">
            <w:pPr>
              <w:pStyle w:val="12"/>
            </w:pPr>
            <w:r>
              <w:t>2.保障学校正常运转，完成各项教育教学活动和其他日常工作任务等方面的费用支出。</w:t>
            </w:r>
          </w:p>
        </w:tc>
      </w:tr>
    </w:tbl>
    <w:p w14:paraId="2F412F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3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B5AF2">
            <w:pPr>
              <w:pStyle w:val="10"/>
            </w:pPr>
            <w:r>
              <w:t>一级指标</w:t>
            </w:r>
          </w:p>
        </w:tc>
        <w:tc>
          <w:tcPr>
            <w:tcW w:w="2268" w:type="dxa"/>
            <w:vAlign w:val="center"/>
          </w:tcPr>
          <w:p w14:paraId="68573AA3">
            <w:pPr>
              <w:pStyle w:val="10"/>
            </w:pPr>
            <w:r>
              <w:t>二级指标</w:t>
            </w:r>
          </w:p>
        </w:tc>
        <w:tc>
          <w:tcPr>
            <w:tcW w:w="2835" w:type="dxa"/>
            <w:vAlign w:val="center"/>
          </w:tcPr>
          <w:p w14:paraId="15ED0140">
            <w:pPr>
              <w:pStyle w:val="10"/>
            </w:pPr>
            <w:r>
              <w:t>三级指标</w:t>
            </w:r>
          </w:p>
        </w:tc>
        <w:tc>
          <w:tcPr>
            <w:tcW w:w="5386" w:type="dxa"/>
            <w:vAlign w:val="center"/>
          </w:tcPr>
          <w:p w14:paraId="52B07514">
            <w:pPr>
              <w:pStyle w:val="10"/>
            </w:pPr>
            <w:r>
              <w:t>绩效指标描述</w:t>
            </w:r>
          </w:p>
        </w:tc>
        <w:tc>
          <w:tcPr>
            <w:tcW w:w="2268" w:type="dxa"/>
            <w:vAlign w:val="center"/>
          </w:tcPr>
          <w:p w14:paraId="5E3E0D8F">
            <w:pPr>
              <w:pStyle w:val="10"/>
            </w:pPr>
            <w:r>
              <w:t>指标值</w:t>
            </w:r>
          </w:p>
        </w:tc>
        <w:tc>
          <w:tcPr>
            <w:tcW w:w="1276" w:type="dxa"/>
            <w:vAlign w:val="center"/>
          </w:tcPr>
          <w:p w14:paraId="60E74004">
            <w:pPr>
              <w:pStyle w:val="10"/>
            </w:pPr>
            <w:r>
              <w:t>指标值确定依据</w:t>
            </w:r>
          </w:p>
        </w:tc>
      </w:tr>
      <w:tr w14:paraId="7A50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5A041">
            <w:pPr>
              <w:pStyle w:val="13"/>
            </w:pPr>
            <w:r>
              <w:t>产出指标</w:t>
            </w:r>
          </w:p>
        </w:tc>
        <w:tc>
          <w:tcPr>
            <w:tcW w:w="2268" w:type="dxa"/>
            <w:vAlign w:val="center"/>
          </w:tcPr>
          <w:p w14:paraId="1B01F9C2">
            <w:pPr>
              <w:pStyle w:val="12"/>
            </w:pPr>
            <w:r>
              <w:t>数量指标</w:t>
            </w:r>
          </w:p>
        </w:tc>
        <w:tc>
          <w:tcPr>
            <w:tcW w:w="2835" w:type="dxa"/>
            <w:vAlign w:val="center"/>
          </w:tcPr>
          <w:p w14:paraId="4451E9DC">
            <w:pPr>
              <w:pStyle w:val="12"/>
            </w:pPr>
            <w:r>
              <w:t>就读学生数</w:t>
            </w:r>
          </w:p>
        </w:tc>
        <w:tc>
          <w:tcPr>
            <w:tcW w:w="5386" w:type="dxa"/>
            <w:vAlign w:val="center"/>
          </w:tcPr>
          <w:p w14:paraId="3D0FDBBF">
            <w:pPr>
              <w:pStyle w:val="12"/>
            </w:pPr>
            <w:r>
              <w:t>辐射区域内适龄学生人数</w:t>
            </w:r>
          </w:p>
        </w:tc>
        <w:tc>
          <w:tcPr>
            <w:tcW w:w="2268" w:type="dxa"/>
            <w:vAlign w:val="center"/>
          </w:tcPr>
          <w:p w14:paraId="50CA9A95">
            <w:pPr>
              <w:pStyle w:val="12"/>
            </w:pPr>
            <w:r>
              <w:t>280人</w:t>
            </w:r>
          </w:p>
        </w:tc>
        <w:tc>
          <w:tcPr>
            <w:tcW w:w="1276" w:type="dxa"/>
            <w:vAlign w:val="center"/>
          </w:tcPr>
          <w:p w14:paraId="3B5D5ED5">
            <w:pPr>
              <w:pStyle w:val="12"/>
            </w:pPr>
            <w:r>
              <w:t>城乡义务教育公用经费管理办法</w:t>
            </w:r>
          </w:p>
        </w:tc>
      </w:tr>
      <w:tr w14:paraId="5CB4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5BBE7"/>
        </w:tc>
        <w:tc>
          <w:tcPr>
            <w:tcW w:w="2268" w:type="dxa"/>
            <w:vAlign w:val="center"/>
          </w:tcPr>
          <w:p w14:paraId="3E5933EB">
            <w:pPr>
              <w:pStyle w:val="12"/>
            </w:pPr>
            <w:r>
              <w:t>质量指标</w:t>
            </w:r>
          </w:p>
        </w:tc>
        <w:tc>
          <w:tcPr>
            <w:tcW w:w="2835" w:type="dxa"/>
            <w:vAlign w:val="center"/>
          </w:tcPr>
          <w:p w14:paraId="25E4D103">
            <w:pPr>
              <w:pStyle w:val="12"/>
            </w:pPr>
            <w:r>
              <w:t>预算执行率</w:t>
            </w:r>
          </w:p>
        </w:tc>
        <w:tc>
          <w:tcPr>
            <w:tcW w:w="5386" w:type="dxa"/>
            <w:vAlign w:val="center"/>
          </w:tcPr>
          <w:p w14:paraId="2F9E54D3">
            <w:pPr>
              <w:pStyle w:val="12"/>
            </w:pPr>
            <w:r>
              <w:t>预算执行率</w:t>
            </w:r>
          </w:p>
        </w:tc>
        <w:tc>
          <w:tcPr>
            <w:tcW w:w="2268" w:type="dxa"/>
            <w:vAlign w:val="center"/>
          </w:tcPr>
          <w:p w14:paraId="21282803">
            <w:pPr>
              <w:pStyle w:val="12"/>
            </w:pPr>
            <w:r>
              <w:t>≥95%</w:t>
            </w:r>
          </w:p>
        </w:tc>
        <w:tc>
          <w:tcPr>
            <w:tcW w:w="1276" w:type="dxa"/>
            <w:vAlign w:val="center"/>
          </w:tcPr>
          <w:p w14:paraId="0382C8F9">
            <w:pPr>
              <w:pStyle w:val="12"/>
            </w:pPr>
            <w:r>
              <w:t>城乡义务教育公用经费管理办法</w:t>
            </w:r>
          </w:p>
        </w:tc>
      </w:tr>
      <w:tr w14:paraId="0398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3097B"/>
        </w:tc>
        <w:tc>
          <w:tcPr>
            <w:tcW w:w="2268" w:type="dxa"/>
            <w:vAlign w:val="center"/>
          </w:tcPr>
          <w:p w14:paraId="1F7CBC5D">
            <w:pPr>
              <w:pStyle w:val="12"/>
            </w:pPr>
            <w:r>
              <w:t>时效指标</w:t>
            </w:r>
          </w:p>
        </w:tc>
        <w:tc>
          <w:tcPr>
            <w:tcW w:w="2835" w:type="dxa"/>
            <w:vAlign w:val="center"/>
          </w:tcPr>
          <w:p w14:paraId="304CFA6D">
            <w:pPr>
              <w:pStyle w:val="12"/>
            </w:pPr>
            <w:r>
              <w:t>义教经费支付完成率</w:t>
            </w:r>
          </w:p>
        </w:tc>
        <w:tc>
          <w:tcPr>
            <w:tcW w:w="5386" w:type="dxa"/>
            <w:vAlign w:val="center"/>
          </w:tcPr>
          <w:p w14:paraId="1C5318EB">
            <w:pPr>
              <w:pStyle w:val="12"/>
            </w:pPr>
            <w:r>
              <w:t>按照序时进度完成资金支付</w:t>
            </w:r>
          </w:p>
        </w:tc>
        <w:tc>
          <w:tcPr>
            <w:tcW w:w="2268" w:type="dxa"/>
            <w:vAlign w:val="center"/>
          </w:tcPr>
          <w:p w14:paraId="3B0E65F0">
            <w:pPr>
              <w:pStyle w:val="12"/>
            </w:pPr>
            <w:r>
              <w:t>100%</w:t>
            </w:r>
          </w:p>
        </w:tc>
        <w:tc>
          <w:tcPr>
            <w:tcW w:w="1276" w:type="dxa"/>
            <w:vAlign w:val="center"/>
          </w:tcPr>
          <w:p w14:paraId="217FDE28">
            <w:pPr>
              <w:pStyle w:val="12"/>
            </w:pPr>
            <w:r>
              <w:t>城乡义务教育公用经费管理办法</w:t>
            </w:r>
          </w:p>
        </w:tc>
      </w:tr>
      <w:tr w14:paraId="6D60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E84B1"/>
        </w:tc>
        <w:tc>
          <w:tcPr>
            <w:tcW w:w="2268" w:type="dxa"/>
            <w:vAlign w:val="center"/>
          </w:tcPr>
          <w:p w14:paraId="18D03696">
            <w:pPr>
              <w:pStyle w:val="12"/>
            </w:pPr>
            <w:r>
              <w:t>成本指标</w:t>
            </w:r>
          </w:p>
        </w:tc>
        <w:tc>
          <w:tcPr>
            <w:tcW w:w="2835" w:type="dxa"/>
            <w:vAlign w:val="center"/>
          </w:tcPr>
          <w:p w14:paraId="0E5EB906">
            <w:pPr>
              <w:pStyle w:val="12"/>
            </w:pPr>
            <w:r>
              <w:t>生均拨款标准</w:t>
            </w:r>
          </w:p>
        </w:tc>
        <w:tc>
          <w:tcPr>
            <w:tcW w:w="5386" w:type="dxa"/>
            <w:vAlign w:val="center"/>
          </w:tcPr>
          <w:p w14:paraId="0BD83759">
            <w:pPr>
              <w:pStyle w:val="12"/>
            </w:pPr>
            <w:r>
              <w:t>小学生公用经费生均公用经费基准定额为720元/年/生，取暖费120元/年/生，住宿生补助300元/年/生的标准，随班就读学生补助7000元/生/年</w:t>
            </w:r>
          </w:p>
        </w:tc>
        <w:tc>
          <w:tcPr>
            <w:tcW w:w="2268" w:type="dxa"/>
            <w:vAlign w:val="center"/>
          </w:tcPr>
          <w:p w14:paraId="7607183F">
            <w:pPr>
              <w:pStyle w:val="12"/>
            </w:pPr>
            <w:r>
              <w:t>840元</w:t>
            </w:r>
          </w:p>
        </w:tc>
        <w:tc>
          <w:tcPr>
            <w:tcW w:w="1276" w:type="dxa"/>
            <w:vAlign w:val="center"/>
          </w:tcPr>
          <w:p w14:paraId="44737BEB">
            <w:pPr>
              <w:pStyle w:val="12"/>
            </w:pPr>
            <w:r>
              <w:t>城乡义务教育公用经费管理办法</w:t>
            </w:r>
          </w:p>
        </w:tc>
      </w:tr>
      <w:tr w14:paraId="2D98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676A3">
            <w:pPr>
              <w:pStyle w:val="13"/>
            </w:pPr>
            <w:r>
              <w:t>效益指标</w:t>
            </w:r>
          </w:p>
        </w:tc>
        <w:tc>
          <w:tcPr>
            <w:tcW w:w="2268" w:type="dxa"/>
            <w:vAlign w:val="center"/>
          </w:tcPr>
          <w:p w14:paraId="04C11B81">
            <w:pPr>
              <w:pStyle w:val="12"/>
            </w:pPr>
            <w:r>
              <w:t>可持续影响指标</w:t>
            </w:r>
          </w:p>
        </w:tc>
        <w:tc>
          <w:tcPr>
            <w:tcW w:w="2835" w:type="dxa"/>
            <w:vAlign w:val="center"/>
          </w:tcPr>
          <w:p w14:paraId="367235BA">
            <w:pPr>
              <w:pStyle w:val="12"/>
            </w:pPr>
            <w:r>
              <w:t>学校运转得到提高</w:t>
            </w:r>
          </w:p>
        </w:tc>
        <w:tc>
          <w:tcPr>
            <w:tcW w:w="5386" w:type="dxa"/>
            <w:vAlign w:val="center"/>
          </w:tcPr>
          <w:p w14:paraId="01A0E6D1">
            <w:pPr>
              <w:pStyle w:val="12"/>
            </w:pPr>
            <w:r>
              <w:t>学生受教育年限</w:t>
            </w:r>
          </w:p>
        </w:tc>
        <w:tc>
          <w:tcPr>
            <w:tcW w:w="2268" w:type="dxa"/>
            <w:vAlign w:val="center"/>
          </w:tcPr>
          <w:p w14:paraId="6349348F">
            <w:pPr>
              <w:pStyle w:val="12"/>
            </w:pPr>
            <w:r>
              <w:t>6年</w:t>
            </w:r>
          </w:p>
        </w:tc>
        <w:tc>
          <w:tcPr>
            <w:tcW w:w="1276" w:type="dxa"/>
            <w:vAlign w:val="center"/>
          </w:tcPr>
          <w:p w14:paraId="39E419D1">
            <w:pPr>
              <w:pStyle w:val="12"/>
            </w:pPr>
            <w:r>
              <w:t>城乡义务教育公用经费管理办法</w:t>
            </w:r>
          </w:p>
        </w:tc>
      </w:tr>
      <w:tr w14:paraId="2DD2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805A6">
            <w:pPr>
              <w:pStyle w:val="13"/>
            </w:pPr>
            <w:r>
              <w:t>满意度指标</w:t>
            </w:r>
          </w:p>
        </w:tc>
        <w:tc>
          <w:tcPr>
            <w:tcW w:w="2268" w:type="dxa"/>
            <w:vAlign w:val="center"/>
          </w:tcPr>
          <w:p w14:paraId="28AB44B8">
            <w:pPr>
              <w:pStyle w:val="12"/>
            </w:pPr>
            <w:r>
              <w:t>服务对象满意度指标</w:t>
            </w:r>
          </w:p>
        </w:tc>
        <w:tc>
          <w:tcPr>
            <w:tcW w:w="2835" w:type="dxa"/>
            <w:vAlign w:val="center"/>
          </w:tcPr>
          <w:p w14:paraId="726D394C">
            <w:pPr>
              <w:pStyle w:val="12"/>
            </w:pPr>
            <w:r>
              <w:t>服务对象满意度</w:t>
            </w:r>
          </w:p>
        </w:tc>
        <w:tc>
          <w:tcPr>
            <w:tcW w:w="5386" w:type="dxa"/>
            <w:vAlign w:val="center"/>
          </w:tcPr>
          <w:p w14:paraId="175C35CB">
            <w:pPr>
              <w:pStyle w:val="12"/>
            </w:pPr>
            <w:r>
              <w:t>学校老师和学生满意度</w:t>
            </w:r>
          </w:p>
        </w:tc>
        <w:tc>
          <w:tcPr>
            <w:tcW w:w="2268" w:type="dxa"/>
            <w:vAlign w:val="center"/>
          </w:tcPr>
          <w:p w14:paraId="2ADA6077">
            <w:pPr>
              <w:pStyle w:val="12"/>
            </w:pPr>
            <w:r>
              <w:t>≥95%</w:t>
            </w:r>
          </w:p>
        </w:tc>
        <w:tc>
          <w:tcPr>
            <w:tcW w:w="1276" w:type="dxa"/>
            <w:vAlign w:val="center"/>
          </w:tcPr>
          <w:p w14:paraId="17190D90">
            <w:pPr>
              <w:pStyle w:val="12"/>
            </w:pPr>
            <w:r>
              <w:t>群众测评</w:t>
            </w:r>
          </w:p>
        </w:tc>
      </w:tr>
    </w:tbl>
    <w:p w14:paraId="2D5AE021">
      <w:pPr>
        <w:sectPr>
          <w:pgSz w:w="16840" w:h="11900" w:orient="landscape"/>
          <w:pgMar w:top="1361" w:right="1020" w:bottom="1134" w:left="1020" w:header="720" w:footer="720" w:gutter="0"/>
          <w:cols w:space="720" w:num="1"/>
        </w:sectPr>
      </w:pPr>
    </w:p>
    <w:p w14:paraId="371E3668">
      <w:pPr>
        <w:spacing w:before="0" w:after="0"/>
        <w:ind w:firstLine="560"/>
        <w:jc w:val="left"/>
        <w:outlineLvl w:val="9"/>
      </w:pPr>
      <w:r>
        <w:rPr>
          <w:rFonts w:ascii="方正仿宋_GBK" w:hAnsi="方正仿宋_GBK" w:eastAsia="方正仿宋_GBK" w:cs="方正仿宋_GBK"/>
          <w:b/>
          <w:color w:val="000000"/>
          <w:sz w:val="28"/>
        </w:rPr>
        <w:t>7、冀财教[2025]121号/中央/2026年义教补助经费/双碑校区亦城小学公用经费绩效目标表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72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26859">
            <w:pPr>
              <w:pStyle w:val="11"/>
            </w:pPr>
            <w:r>
              <w:t>单位：万元</w:t>
            </w:r>
          </w:p>
        </w:tc>
      </w:tr>
      <w:tr w14:paraId="1BC02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1E2AC">
            <w:pPr>
              <w:pStyle w:val="10"/>
            </w:pPr>
            <w:r>
              <w:t>项目编码</w:t>
            </w:r>
          </w:p>
        </w:tc>
        <w:tc>
          <w:tcPr>
            <w:tcW w:w="5103" w:type="dxa"/>
            <w:gridSpan w:val="2"/>
            <w:vAlign w:val="center"/>
          </w:tcPr>
          <w:p w14:paraId="2EDE60C1">
            <w:pPr>
              <w:pStyle w:val="12"/>
            </w:pPr>
            <w:r>
              <w:t>13052526P00000410283T</w:t>
            </w:r>
          </w:p>
        </w:tc>
        <w:tc>
          <w:tcPr>
            <w:tcW w:w="2835" w:type="dxa"/>
            <w:vAlign w:val="center"/>
          </w:tcPr>
          <w:p w14:paraId="283367D1">
            <w:pPr>
              <w:pStyle w:val="10"/>
            </w:pPr>
            <w:r>
              <w:t>项目名称</w:t>
            </w:r>
          </w:p>
        </w:tc>
        <w:tc>
          <w:tcPr>
            <w:tcW w:w="6095" w:type="dxa"/>
            <w:gridSpan w:val="3"/>
            <w:vAlign w:val="center"/>
          </w:tcPr>
          <w:p w14:paraId="62CA6F77">
            <w:pPr>
              <w:pStyle w:val="12"/>
            </w:pPr>
            <w:r>
              <w:t>冀财教[2025]121号/中央/2026年义教补助经费/双碑校区亦城小学公用经费</w:t>
            </w:r>
          </w:p>
        </w:tc>
      </w:tr>
      <w:tr w14:paraId="404EE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E7831">
            <w:pPr>
              <w:pStyle w:val="10"/>
            </w:pPr>
            <w:r>
              <w:t>预算规模及资金用途</w:t>
            </w:r>
          </w:p>
        </w:tc>
        <w:tc>
          <w:tcPr>
            <w:tcW w:w="2268" w:type="dxa"/>
            <w:vAlign w:val="center"/>
          </w:tcPr>
          <w:p w14:paraId="6E279F88">
            <w:pPr>
              <w:pStyle w:val="10"/>
            </w:pPr>
            <w:r>
              <w:t>预算数</w:t>
            </w:r>
          </w:p>
        </w:tc>
        <w:tc>
          <w:tcPr>
            <w:tcW w:w="2835" w:type="dxa"/>
            <w:vAlign w:val="center"/>
          </w:tcPr>
          <w:p w14:paraId="7629A521">
            <w:pPr>
              <w:pStyle w:val="12"/>
            </w:pPr>
            <w:r>
              <w:t>10.74</w:t>
            </w:r>
          </w:p>
        </w:tc>
        <w:tc>
          <w:tcPr>
            <w:tcW w:w="2835" w:type="dxa"/>
            <w:vAlign w:val="center"/>
          </w:tcPr>
          <w:p w14:paraId="1F38C7A5">
            <w:pPr>
              <w:pStyle w:val="10"/>
            </w:pPr>
            <w:r>
              <w:t>其中：财政    资金</w:t>
            </w:r>
          </w:p>
        </w:tc>
        <w:tc>
          <w:tcPr>
            <w:tcW w:w="2551" w:type="dxa"/>
            <w:vAlign w:val="center"/>
          </w:tcPr>
          <w:p w14:paraId="13EB23D6">
            <w:pPr>
              <w:pStyle w:val="12"/>
            </w:pPr>
            <w:r>
              <w:t>10.74</w:t>
            </w:r>
          </w:p>
        </w:tc>
        <w:tc>
          <w:tcPr>
            <w:tcW w:w="2268" w:type="dxa"/>
            <w:vAlign w:val="center"/>
          </w:tcPr>
          <w:p w14:paraId="2B59E21D">
            <w:pPr>
              <w:pStyle w:val="10"/>
            </w:pPr>
            <w:r>
              <w:t>其他资金</w:t>
            </w:r>
          </w:p>
        </w:tc>
        <w:tc>
          <w:tcPr>
            <w:tcW w:w="1276" w:type="dxa"/>
            <w:vAlign w:val="center"/>
          </w:tcPr>
          <w:p w14:paraId="4EBE2D7E">
            <w:pPr>
              <w:pStyle w:val="12"/>
            </w:pPr>
            <w:r>
              <w:t xml:space="preserve"> </w:t>
            </w:r>
          </w:p>
        </w:tc>
      </w:tr>
      <w:tr w14:paraId="765B3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0DFB2"/>
        </w:tc>
        <w:tc>
          <w:tcPr>
            <w:tcW w:w="14033" w:type="dxa"/>
            <w:gridSpan w:val="6"/>
            <w:vAlign w:val="center"/>
          </w:tcPr>
          <w:p w14:paraId="33A45830">
            <w:pPr>
              <w:pStyle w:val="12"/>
            </w:pPr>
            <w:r>
              <w:t>保障学校正常运转，完成各项教育教学活动和其他日常工作任务等方面的费用支出。</w:t>
            </w:r>
            <w:r>
              <w:tab/>
            </w:r>
            <w:r>
              <w:tab/>
            </w:r>
            <w:r>
              <w:tab/>
            </w:r>
            <w:r>
              <w:tab/>
            </w:r>
            <w:r>
              <w:tab/>
            </w:r>
            <w:r>
              <w:tab/>
            </w:r>
          </w:p>
          <w:p w14:paraId="5255B2F2">
            <w:pPr>
              <w:pStyle w:val="12"/>
            </w:pPr>
          </w:p>
        </w:tc>
      </w:tr>
      <w:tr w14:paraId="10A5D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D0EB7">
            <w:pPr>
              <w:pStyle w:val="10"/>
            </w:pPr>
            <w:r>
              <w:t>资金支出计划（%）</w:t>
            </w:r>
          </w:p>
        </w:tc>
        <w:tc>
          <w:tcPr>
            <w:tcW w:w="5103" w:type="dxa"/>
            <w:gridSpan w:val="2"/>
            <w:vAlign w:val="center"/>
          </w:tcPr>
          <w:p w14:paraId="56D5A1AB">
            <w:pPr>
              <w:pStyle w:val="10"/>
            </w:pPr>
            <w:r>
              <w:t>3月底</w:t>
            </w:r>
          </w:p>
        </w:tc>
        <w:tc>
          <w:tcPr>
            <w:tcW w:w="2835" w:type="dxa"/>
            <w:vAlign w:val="center"/>
          </w:tcPr>
          <w:p w14:paraId="6E33136E">
            <w:pPr>
              <w:pStyle w:val="10"/>
            </w:pPr>
            <w:r>
              <w:t>6月底</w:t>
            </w:r>
          </w:p>
        </w:tc>
        <w:tc>
          <w:tcPr>
            <w:tcW w:w="2551" w:type="dxa"/>
            <w:vAlign w:val="center"/>
          </w:tcPr>
          <w:p w14:paraId="6C55FD49">
            <w:pPr>
              <w:pStyle w:val="10"/>
            </w:pPr>
            <w:r>
              <w:t>10月底</w:t>
            </w:r>
          </w:p>
        </w:tc>
        <w:tc>
          <w:tcPr>
            <w:tcW w:w="3544" w:type="dxa"/>
            <w:gridSpan w:val="2"/>
            <w:vAlign w:val="center"/>
          </w:tcPr>
          <w:p w14:paraId="25CB2674">
            <w:pPr>
              <w:pStyle w:val="10"/>
            </w:pPr>
            <w:r>
              <w:t>12月底</w:t>
            </w:r>
          </w:p>
        </w:tc>
      </w:tr>
      <w:tr w14:paraId="4B844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565C7"/>
        </w:tc>
        <w:tc>
          <w:tcPr>
            <w:tcW w:w="5103" w:type="dxa"/>
            <w:gridSpan w:val="2"/>
            <w:vAlign w:val="center"/>
          </w:tcPr>
          <w:p w14:paraId="4337BFB4">
            <w:pPr>
              <w:pStyle w:val="13"/>
            </w:pPr>
            <w:r>
              <w:t>25%</w:t>
            </w:r>
          </w:p>
        </w:tc>
        <w:tc>
          <w:tcPr>
            <w:tcW w:w="2835" w:type="dxa"/>
            <w:vAlign w:val="center"/>
          </w:tcPr>
          <w:p w14:paraId="486D39B9">
            <w:pPr>
              <w:pStyle w:val="13"/>
            </w:pPr>
            <w:r>
              <w:t>50%</w:t>
            </w:r>
          </w:p>
        </w:tc>
        <w:tc>
          <w:tcPr>
            <w:tcW w:w="2551" w:type="dxa"/>
            <w:vAlign w:val="center"/>
          </w:tcPr>
          <w:p w14:paraId="0F08DD03">
            <w:pPr>
              <w:pStyle w:val="13"/>
            </w:pPr>
            <w:r>
              <w:t>75%</w:t>
            </w:r>
          </w:p>
        </w:tc>
        <w:tc>
          <w:tcPr>
            <w:tcW w:w="3544" w:type="dxa"/>
            <w:gridSpan w:val="2"/>
            <w:vAlign w:val="center"/>
          </w:tcPr>
          <w:p w14:paraId="01DE2E46">
            <w:pPr>
              <w:pStyle w:val="13"/>
            </w:pPr>
            <w:r>
              <w:t>100%</w:t>
            </w:r>
          </w:p>
        </w:tc>
      </w:tr>
      <w:tr w14:paraId="73BF8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FD151">
            <w:pPr>
              <w:pStyle w:val="10"/>
            </w:pPr>
            <w:r>
              <w:t>绩效目标</w:t>
            </w:r>
          </w:p>
        </w:tc>
        <w:tc>
          <w:tcPr>
            <w:tcW w:w="14033" w:type="dxa"/>
            <w:gridSpan w:val="6"/>
            <w:vAlign w:val="center"/>
          </w:tcPr>
          <w:p w14:paraId="4FCBF7D1">
            <w:pPr>
              <w:pStyle w:val="12"/>
            </w:pPr>
            <w:r>
              <w:t>1.按季度分批次拨付公用经费资金，资金拨付率达到100%。</w:t>
            </w:r>
          </w:p>
          <w:p w14:paraId="5F562586">
            <w:pPr>
              <w:pStyle w:val="12"/>
            </w:pPr>
            <w:r>
              <w:t>2.保障学校正常运转，完成各项教育教学活动和其他日常工作任务等方面的费用支出。</w:t>
            </w:r>
          </w:p>
        </w:tc>
      </w:tr>
    </w:tbl>
    <w:p w14:paraId="16189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78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6F81F">
            <w:pPr>
              <w:pStyle w:val="10"/>
            </w:pPr>
            <w:r>
              <w:t>一级指标</w:t>
            </w:r>
          </w:p>
        </w:tc>
        <w:tc>
          <w:tcPr>
            <w:tcW w:w="2268" w:type="dxa"/>
            <w:vAlign w:val="center"/>
          </w:tcPr>
          <w:p w14:paraId="33434053">
            <w:pPr>
              <w:pStyle w:val="10"/>
            </w:pPr>
            <w:r>
              <w:t>二级指标</w:t>
            </w:r>
          </w:p>
        </w:tc>
        <w:tc>
          <w:tcPr>
            <w:tcW w:w="2835" w:type="dxa"/>
            <w:vAlign w:val="center"/>
          </w:tcPr>
          <w:p w14:paraId="4B2530C6">
            <w:pPr>
              <w:pStyle w:val="10"/>
            </w:pPr>
            <w:r>
              <w:t>三级指标</w:t>
            </w:r>
          </w:p>
        </w:tc>
        <w:tc>
          <w:tcPr>
            <w:tcW w:w="5386" w:type="dxa"/>
            <w:vAlign w:val="center"/>
          </w:tcPr>
          <w:p w14:paraId="21309031">
            <w:pPr>
              <w:pStyle w:val="10"/>
            </w:pPr>
            <w:r>
              <w:t>绩效指标描述</w:t>
            </w:r>
          </w:p>
        </w:tc>
        <w:tc>
          <w:tcPr>
            <w:tcW w:w="2268" w:type="dxa"/>
            <w:vAlign w:val="center"/>
          </w:tcPr>
          <w:p w14:paraId="5802BFD1">
            <w:pPr>
              <w:pStyle w:val="10"/>
            </w:pPr>
            <w:r>
              <w:t>指标值</w:t>
            </w:r>
          </w:p>
        </w:tc>
        <w:tc>
          <w:tcPr>
            <w:tcW w:w="1276" w:type="dxa"/>
            <w:vAlign w:val="center"/>
          </w:tcPr>
          <w:p w14:paraId="6A81C44C">
            <w:pPr>
              <w:pStyle w:val="10"/>
            </w:pPr>
            <w:r>
              <w:t>指标值确定依据</w:t>
            </w:r>
          </w:p>
        </w:tc>
      </w:tr>
      <w:tr w14:paraId="1D94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80223">
            <w:pPr>
              <w:pStyle w:val="13"/>
            </w:pPr>
            <w:r>
              <w:t>产出指标</w:t>
            </w:r>
          </w:p>
        </w:tc>
        <w:tc>
          <w:tcPr>
            <w:tcW w:w="2268" w:type="dxa"/>
            <w:vAlign w:val="center"/>
          </w:tcPr>
          <w:p w14:paraId="1F3B4272">
            <w:pPr>
              <w:pStyle w:val="12"/>
            </w:pPr>
            <w:r>
              <w:t>数量指标</w:t>
            </w:r>
          </w:p>
        </w:tc>
        <w:tc>
          <w:tcPr>
            <w:tcW w:w="2835" w:type="dxa"/>
            <w:vAlign w:val="center"/>
          </w:tcPr>
          <w:p w14:paraId="2CD604D9">
            <w:pPr>
              <w:pStyle w:val="12"/>
            </w:pPr>
            <w:r>
              <w:t>就读学生数</w:t>
            </w:r>
          </w:p>
        </w:tc>
        <w:tc>
          <w:tcPr>
            <w:tcW w:w="5386" w:type="dxa"/>
            <w:vAlign w:val="center"/>
          </w:tcPr>
          <w:p w14:paraId="339A85F2">
            <w:pPr>
              <w:pStyle w:val="12"/>
            </w:pPr>
            <w:r>
              <w:t>辐射区域内适龄学生人数</w:t>
            </w:r>
          </w:p>
        </w:tc>
        <w:tc>
          <w:tcPr>
            <w:tcW w:w="2268" w:type="dxa"/>
            <w:vAlign w:val="center"/>
          </w:tcPr>
          <w:p w14:paraId="29F76CD0">
            <w:pPr>
              <w:pStyle w:val="12"/>
            </w:pPr>
            <w:r>
              <w:t>209人</w:t>
            </w:r>
          </w:p>
        </w:tc>
        <w:tc>
          <w:tcPr>
            <w:tcW w:w="1276" w:type="dxa"/>
            <w:vAlign w:val="center"/>
          </w:tcPr>
          <w:p w14:paraId="620618A8">
            <w:pPr>
              <w:pStyle w:val="12"/>
            </w:pPr>
            <w:r>
              <w:t>城乡义务教育公用经费管理办法</w:t>
            </w:r>
          </w:p>
        </w:tc>
      </w:tr>
      <w:tr w14:paraId="70E8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A8992"/>
        </w:tc>
        <w:tc>
          <w:tcPr>
            <w:tcW w:w="2268" w:type="dxa"/>
            <w:vAlign w:val="center"/>
          </w:tcPr>
          <w:p w14:paraId="12F263AC">
            <w:pPr>
              <w:pStyle w:val="12"/>
            </w:pPr>
            <w:r>
              <w:t>质量指标</w:t>
            </w:r>
          </w:p>
        </w:tc>
        <w:tc>
          <w:tcPr>
            <w:tcW w:w="2835" w:type="dxa"/>
            <w:vAlign w:val="center"/>
          </w:tcPr>
          <w:p w14:paraId="45F16B33">
            <w:pPr>
              <w:pStyle w:val="12"/>
            </w:pPr>
            <w:r>
              <w:t>预算执行率</w:t>
            </w:r>
          </w:p>
        </w:tc>
        <w:tc>
          <w:tcPr>
            <w:tcW w:w="5386" w:type="dxa"/>
            <w:vAlign w:val="center"/>
          </w:tcPr>
          <w:p w14:paraId="25C4B294">
            <w:pPr>
              <w:pStyle w:val="12"/>
            </w:pPr>
            <w:r>
              <w:t>预算执行率</w:t>
            </w:r>
          </w:p>
        </w:tc>
        <w:tc>
          <w:tcPr>
            <w:tcW w:w="2268" w:type="dxa"/>
            <w:vAlign w:val="center"/>
          </w:tcPr>
          <w:p w14:paraId="17986D0B">
            <w:pPr>
              <w:pStyle w:val="12"/>
            </w:pPr>
            <w:r>
              <w:t>≥95%</w:t>
            </w:r>
          </w:p>
        </w:tc>
        <w:tc>
          <w:tcPr>
            <w:tcW w:w="1276" w:type="dxa"/>
            <w:vAlign w:val="center"/>
          </w:tcPr>
          <w:p w14:paraId="6CDBD3C4">
            <w:pPr>
              <w:pStyle w:val="12"/>
            </w:pPr>
            <w:r>
              <w:t>城乡义务教育公用经费管理办法</w:t>
            </w:r>
          </w:p>
        </w:tc>
      </w:tr>
      <w:tr w14:paraId="1887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3434B"/>
        </w:tc>
        <w:tc>
          <w:tcPr>
            <w:tcW w:w="2268" w:type="dxa"/>
            <w:vAlign w:val="center"/>
          </w:tcPr>
          <w:p w14:paraId="44165336">
            <w:pPr>
              <w:pStyle w:val="12"/>
            </w:pPr>
            <w:r>
              <w:t>时效指标</w:t>
            </w:r>
          </w:p>
        </w:tc>
        <w:tc>
          <w:tcPr>
            <w:tcW w:w="2835" w:type="dxa"/>
            <w:vAlign w:val="center"/>
          </w:tcPr>
          <w:p w14:paraId="3D3BFFFC">
            <w:pPr>
              <w:pStyle w:val="12"/>
            </w:pPr>
            <w:r>
              <w:t>义教经费支付完成率</w:t>
            </w:r>
          </w:p>
        </w:tc>
        <w:tc>
          <w:tcPr>
            <w:tcW w:w="5386" w:type="dxa"/>
            <w:vAlign w:val="center"/>
          </w:tcPr>
          <w:p w14:paraId="3A1F3F19">
            <w:pPr>
              <w:pStyle w:val="12"/>
            </w:pPr>
            <w:r>
              <w:t>按照序时进度完成资金支付</w:t>
            </w:r>
          </w:p>
        </w:tc>
        <w:tc>
          <w:tcPr>
            <w:tcW w:w="2268" w:type="dxa"/>
            <w:vAlign w:val="center"/>
          </w:tcPr>
          <w:p w14:paraId="7B8394AE">
            <w:pPr>
              <w:pStyle w:val="12"/>
            </w:pPr>
            <w:r>
              <w:t>100%</w:t>
            </w:r>
          </w:p>
        </w:tc>
        <w:tc>
          <w:tcPr>
            <w:tcW w:w="1276" w:type="dxa"/>
            <w:vAlign w:val="center"/>
          </w:tcPr>
          <w:p w14:paraId="426F6B16">
            <w:pPr>
              <w:pStyle w:val="12"/>
            </w:pPr>
            <w:r>
              <w:t>城乡义务教育公用经费管理办法</w:t>
            </w:r>
          </w:p>
        </w:tc>
      </w:tr>
      <w:tr w14:paraId="23B8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D1564"/>
        </w:tc>
        <w:tc>
          <w:tcPr>
            <w:tcW w:w="2268" w:type="dxa"/>
            <w:vAlign w:val="center"/>
          </w:tcPr>
          <w:p w14:paraId="36A56336">
            <w:pPr>
              <w:pStyle w:val="12"/>
            </w:pPr>
            <w:r>
              <w:t>成本指标</w:t>
            </w:r>
          </w:p>
        </w:tc>
        <w:tc>
          <w:tcPr>
            <w:tcW w:w="2835" w:type="dxa"/>
            <w:vAlign w:val="center"/>
          </w:tcPr>
          <w:p w14:paraId="1001D157">
            <w:pPr>
              <w:pStyle w:val="12"/>
            </w:pPr>
            <w:r>
              <w:t>生均拨款标准</w:t>
            </w:r>
          </w:p>
        </w:tc>
        <w:tc>
          <w:tcPr>
            <w:tcW w:w="5386" w:type="dxa"/>
            <w:vAlign w:val="center"/>
          </w:tcPr>
          <w:p w14:paraId="402EB624">
            <w:pPr>
              <w:pStyle w:val="12"/>
            </w:pPr>
            <w:r>
              <w:t>小学生公用经费生均公用经费基准定额为720元/年/生，取暖费120元/年/生，住宿生补助300元/年/生的标准，随班就读学生补助7000元/生/年</w:t>
            </w:r>
          </w:p>
        </w:tc>
        <w:tc>
          <w:tcPr>
            <w:tcW w:w="2268" w:type="dxa"/>
            <w:vAlign w:val="center"/>
          </w:tcPr>
          <w:p w14:paraId="0971261F">
            <w:pPr>
              <w:pStyle w:val="12"/>
            </w:pPr>
            <w:r>
              <w:t>840元</w:t>
            </w:r>
          </w:p>
        </w:tc>
        <w:tc>
          <w:tcPr>
            <w:tcW w:w="1276" w:type="dxa"/>
            <w:vAlign w:val="center"/>
          </w:tcPr>
          <w:p w14:paraId="08519C9D">
            <w:pPr>
              <w:pStyle w:val="12"/>
            </w:pPr>
            <w:r>
              <w:t>城乡义务教育公用经费管理办法</w:t>
            </w:r>
          </w:p>
        </w:tc>
      </w:tr>
      <w:tr w14:paraId="457D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9A95C">
            <w:pPr>
              <w:pStyle w:val="13"/>
            </w:pPr>
            <w:r>
              <w:t>效益指标</w:t>
            </w:r>
          </w:p>
        </w:tc>
        <w:tc>
          <w:tcPr>
            <w:tcW w:w="2268" w:type="dxa"/>
            <w:vAlign w:val="center"/>
          </w:tcPr>
          <w:p w14:paraId="79AC68C0">
            <w:pPr>
              <w:pStyle w:val="12"/>
            </w:pPr>
            <w:r>
              <w:t>可持续影响指标</w:t>
            </w:r>
          </w:p>
        </w:tc>
        <w:tc>
          <w:tcPr>
            <w:tcW w:w="2835" w:type="dxa"/>
            <w:vAlign w:val="center"/>
          </w:tcPr>
          <w:p w14:paraId="63DD9266">
            <w:pPr>
              <w:pStyle w:val="12"/>
            </w:pPr>
            <w:r>
              <w:t>学校运转得到提高</w:t>
            </w:r>
          </w:p>
        </w:tc>
        <w:tc>
          <w:tcPr>
            <w:tcW w:w="5386" w:type="dxa"/>
            <w:vAlign w:val="center"/>
          </w:tcPr>
          <w:p w14:paraId="5F2DB7E2">
            <w:pPr>
              <w:pStyle w:val="12"/>
            </w:pPr>
            <w:r>
              <w:t>学生受教育年限</w:t>
            </w:r>
          </w:p>
        </w:tc>
        <w:tc>
          <w:tcPr>
            <w:tcW w:w="2268" w:type="dxa"/>
            <w:vAlign w:val="center"/>
          </w:tcPr>
          <w:p w14:paraId="1536528B">
            <w:pPr>
              <w:pStyle w:val="12"/>
            </w:pPr>
            <w:r>
              <w:t>6年</w:t>
            </w:r>
          </w:p>
        </w:tc>
        <w:tc>
          <w:tcPr>
            <w:tcW w:w="1276" w:type="dxa"/>
            <w:vAlign w:val="center"/>
          </w:tcPr>
          <w:p w14:paraId="7D0BCC5B">
            <w:pPr>
              <w:pStyle w:val="12"/>
            </w:pPr>
            <w:r>
              <w:t>城乡义务教育公用经费管理办法</w:t>
            </w:r>
          </w:p>
        </w:tc>
      </w:tr>
      <w:tr w14:paraId="7565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19F18">
            <w:pPr>
              <w:pStyle w:val="13"/>
            </w:pPr>
            <w:r>
              <w:t>满意度指标</w:t>
            </w:r>
          </w:p>
        </w:tc>
        <w:tc>
          <w:tcPr>
            <w:tcW w:w="2268" w:type="dxa"/>
            <w:vAlign w:val="center"/>
          </w:tcPr>
          <w:p w14:paraId="4882AEF7">
            <w:pPr>
              <w:pStyle w:val="12"/>
            </w:pPr>
            <w:r>
              <w:t>服务对象满意度指标</w:t>
            </w:r>
          </w:p>
        </w:tc>
        <w:tc>
          <w:tcPr>
            <w:tcW w:w="2835" w:type="dxa"/>
            <w:vAlign w:val="center"/>
          </w:tcPr>
          <w:p w14:paraId="55DAFF72">
            <w:pPr>
              <w:pStyle w:val="12"/>
            </w:pPr>
            <w:r>
              <w:t>服务对象满意度</w:t>
            </w:r>
          </w:p>
        </w:tc>
        <w:tc>
          <w:tcPr>
            <w:tcW w:w="5386" w:type="dxa"/>
            <w:vAlign w:val="center"/>
          </w:tcPr>
          <w:p w14:paraId="16C2A018">
            <w:pPr>
              <w:pStyle w:val="12"/>
            </w:pPr>
            <w:r>
              <w:t>学校老师和学生满意度</w:t>
            </w:r>
          </w:p>
        </w:tc>
        <w:tc>
          <w:tcPr>
            <w:tcW w:w="2268" w:type="dxa"/>
            <w:vAlign w:val="center"/>
          </w:tcPr>
          <w:p w14:paraId="02473B99">
            <w:pPr>
              <w:pStyle w:val="12"/>
            </w:pPr>
            <w:r>
              <w:t>≥95%</w:t>
            </w:r>
          </w:p>
        </w:tc>
        <w:tc>
          <w:tcPr>
            <w:tcW w:w="1276" w:type="dxa"/>
            <w:vAlign w:val="center"/>
          </w:tcPr>
          <w:p w14:paraId="109449DF">
            <w:pPr>
              <w:pStyle w:val="12"/>
            </w:pPr>
            <w:r>
              <w:t>群众测评</w:t>
            </w:r>
          </w:p>
        </w:tc>
      </w:tr>
    </w:tbl>
    <w:p w14:paraId="1110307C">
      <w:pPr>
        <w:sectPr>
          <w:pgSz w:w="16840" w:h="11900" w:orient="landscape"/>
          <w:pgMar w:top="1361" w:right="1020" w:bottom="1134" w:left="1020" w:header="720" w:footer="720" w:gutter="0"/>
          <w:cols w:space="720" w:num="1"/>
        </w:sectPr>
      </w:pPr>
    </w:p>
    <w:p w14:paraId="1C29BAFA">
      <w:pPr>
        <w:spacing w:before="0" w:after="0"/>
        <w:ind w:firstLine="560"/>
        <w:jc w:val="left"/>
        <w:outlineLvl w:val="9"/>
      </w:pPr>
      <w:r>
        <w:rPr>
          <w:rFonts w:ascii="方正仿宋_GBK" w:hAnsi="方正仿宋_GBK" w:eastAsia="方正仿宋_GBK" w:cs="方正仿宋_GBK"/>
          <w:b/>
          <w:color w:val="000000"/>
          <w:sz w:val="28"/>
        </w:rPr>
        <w:t>8、冀财教[2025]121号/中央/义教/2026年校舍安全/双碑小学教学楼门窗更换绩效目标表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19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83309">
            <w:pPr>
              <w:pStyle w:val="11"/>
            </w:pPr>
            <w:r>
              <w:t>单位：万元</w:t>
            </w:r>
          </w:p>
        </w:tc>
      </w:tr>
      <w:tr w14:paraId="23B9C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0ADC7">
            <w:pPr>
              <w:pStyle w:val="10"/>
            </w:pPr>
            <w:r>
              <w:t>项目编码</w:t>
            </w:r>
          </w:p>
        </w:tc>
        <w:tc>
          <w:tcPr>
            <w:tcW w:w="5103" w:type="dxa"/>
            <w:gridSpan w:val="2"/>
            <w:vAlign w:val="center"/>
          </w:tcPr>
          <w:p w14:paraId="4E743A25">
            <w:pPr>
              <w:pStyle w:val="12"/>
            </w:pPr>
            <w:r>
              <w:t>13052526P00876210087H</w:t>
            </w:r>
          </w:p>
        </w:tc>
        <w:tc>
          <w:tcPr>
            <w:tcW w:w="2835" w:type="dxa"/>
            <w:vAlign w:val="center"/>
          </w:tcPr>
          <w:p w14:paraId="4BD53CC2">
            <w:pPr>
              <w:pStyle w:val="10"/>
            </w:pPr>
            <w:r>
              <w:t>项目名称</w:t>
            </w:r>
          </w:p>
        </w:tc>
        <w:tc>
          <w:tcPr>
            <w:tcW w:w="6095" w:type="dxa"/>
            <w:gridSpan w:val="3"/>
            <w:vAlign w:val="center"/>
          </w:tcPr>
          <w:p w14:paraId="0BBE96BD">
            <w:pPr>
              <w:pStyle w:val="12"/>
            </w:pPr>
            <w:r>
              <w:t>冀财教[2025]121号/中央/义教/2026年校舍安全/双碑小学教学楼门窗更换</w:t>
            </w:r>
          </w:p>
        </w:tc>
      </w:tr>
      <w:tr w14:paraId="079DC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01692">
            <w:pPr>
              <w:pStyle w:val="10"/>
            </w:pPr>
            <w:r>
              <w:t>预算规模及资金用途</w:t>
            </w:r>
          </w:p>
        </w:tc>
        <w:tc>
          <w:tcPr>
            <w:tcW w:w="2268" w:type="dxa"/>
            <w:vAlign w:val="center"/>
          </w:tcPr>
          <w:p w14:paraId="08BC54D7">
            <w:pPr>
              <w:pStyle w:val="10"/>
            </w:pPr>
            <w:r>
              <w:t>预算数</w:t>
            </w:r>
          </w:p>
        </w:tc>
        <w:tc>
          <w:tcPr>
            <w:tcW w:w="2835" w:type="dxa"/>
            <w:vAlign w:val="center"/>
          </w:tcPr>
          <w:p w14:paraId="3B77642F">
            <w:pPr>
              <w:pStyle w:val="12"/>
            </w:pPr>
            <w:r>
              <w:t>20.00</w:t>
            </w:r>
          </w:p>
        </w:tc>
        <w:tc>
          <w:tcPr>
            <w:tcW w:w="2835" w:type="dxa"/>
            <w:vAlign w:val="center"/>
          </w:tcPr>
          <w:p w14:paraId="13D83A9A">
            <w:pPr>
              <w:pStyle w:val="10"/>
            </w:pPr>
            <w:r>
              <w:t>其中：财政    资金</w:t>
            </w:r>
          </w:p>
        </w:tc>
        <w:tc>
          <w:tcPr>
            <w:tcW w:w="2551" w:type="dxa"/>
            <w:vAlign w:val="center"/>
          </w:tcPr>
          <w:p w14:paraId="5AE6010F">
            <w:pPr>
              <w:pStyle w:val="12"/>
            </w:pPr>
            <w:r>
              <w:t>20.00</w:t>
            </w:r>
          </w:p>
        </w:tc>
        <w:tc>
          <w:tcPr>
            <w:tcW w:w="2268" w:type="dxa"/>
            <w:vAlign w:val="center"/>
          </w:tcPr>
          <w:p w14:paraId="3A3C8970">
            <w:pPr>
              <w:pStyle w:val="10"/>
            </w:pPr>
            <w:r>
              <w:t>其他资金</w:t>
            </w:r>
          </w:p>
        </w:tc>
        <w:tc>
          <w:tcPr>
            <w:tcW w:w="1276" w:type="dxa"/>
            <w:vAlign w:val="center"/>
          </w:tcPr>
          <w:p w14:paraId="2690909B">
            <w:pPr>
              <w:pStyle w:val="12"/>
            </w:pPr>
            <w:r>
              <w:t xml:space="preserve"> </w:t>
            </w:r>
          </w:p>
        </w:tc>
      </w:tr>
      <w:tr w14:paraId="56BE1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C7421"/>
        </w:tc>
        <w:tc>
          <w:tcPr>
            <w:tcW w:w="14033" w:type="dxa"/>
            <w:gridSpan w:val="6"/>
            <w:vAlign w:val="center"/>
          </w:tcPr>
          <w:p w14:paraId="03BD37AE">
            <w:pPr>
              <w:pStyle w:val="12"/>
            </w:pPr>
            <w:r>
              <w:t>完成双碑小学教学楼门窗更换等，满足学校正常教学需要。</w:t>
            </w:r>
            <w:r>
              <w:tab/>
            </w:r>
            <w:r>
              <w:tab/>
            </w:r>
            <w:r>
              <w:tab/>
            </w:r>
            <w:r>
              <w:tab/>
            </w:r>
            <w:r>
              <w:tab/>
            </w:r>
            <w:r>
              <w:tab/>
            </w:r>
          </w:p>
          <w:p w14:paraId="7BBFD952">
            <w:pPr>
              <w:pStyle w:val="12"/>
            </w:pPr>
          </w:p>
        </w:tc>
      </w:tr>
      <w:tr w14:paraId="0754A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2237F">
            <w:pPr>
              <w:pStyle w:val="10"/>
            </w:pPr>
            <w:r>
              <w:t>资金支出计划（%）</w:t>
            </w:r>
          </w:p>
        </w:tc>
        <w:tc>
          <w:tcPr>
            <w:tcW w:w="5103" w:type="dxa"/>
            <w:gridSpan w:val="2"/>
            <w:vAlign w:val="center"/>
          </w:tcPr>
          <w:p w14:paraId="61105C34">
            <w:pPr>
              <w:pStyle w:val="10"/>
            </w:pPr>
            <w:r>
              <w:t>3月底</w:t>
            </w:r>
          </w:p>
        </w:tc>
        <w:tc>
          <w:tcPr>
            <w:tcW w:w="2835" w:type="dxa"/>
            <w:vAlign w:val="center"/>
          </w:tcPr>
          <w:p w14:paraId="3B29A83A">
            <w:pPr>
              <w:pStyle w:val="10"/>
            </w:pPr>
            <w:r>
              <w:t>6月底</w:t>
            </w:r>
          </w:p>
        </w:tc>
        <w:tc>
          <w:tcPr>
            <w:tcW w:w="2551" w:type="dxa"/>
            <w:vAlign w:val="center"/>
          </w:tcPr>
          <w:p w14:paraId="646FE8E8">
            <w:pPr>
              <w:pStyle w:val="10"/>
            </w:pPr>
            <w:r>
              <w:t>10月底</w:t>
            </w:r>
          </w:p>
        </w:tc>
        <w:tc>
          <w:tcPr>
            <w:tcW w:w="3544" w:type="dxa"/>
            <w:gridSpan w:val="2"/>
            <w:vAlign w:val="center"/>
          </w:tcPr>
          <w:p w14:paraId="20DD674E">
            <w:pPr>
              <w:pStyle w:val="10"/>
            </w:pPr>
            <w:r>
              <w:t>12月底</w:t>
            </w:r>
          </w:p>
        </w:tc>
      </w:tr>
      <w:tr w14:paraId="468AF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0BD7D"/>
        </w:tc>
        <w:tc>
          <w:tcPr>
            <w:tcW w:w="5103" w:type="dxa"/>
            <w:gridSpan w:val="2"/>
            <w:vAlign w:val="center"/>
          </w:tcPr>
          <w:p w14:paraId="78B8009B">
            <w:pPr>
              <w:pStyle w:val="13"/>
            </w:pPr>
            <w:r>
              <w:t xml:space="preserve"> </w:t>
            </w:r>
          </w:p>
        </w:tc>
        <w:tc>
          <w:tcPr>
            <w:tcW w:w="2835" w:type="dxa"/>
            <w:vAlign w:val="center"/>
          </w:tcPr>
          <w:p w14:paraId="375C3BF3">
            <w:pPr>
              <w:pStyle w:val="13"/>
            </w:pPr>
            <w:r>
              <w:t xml:space="preserve"> </w:t>
            </w:r>
          </w:p>
        </w:tc>
        <w:tc>
          <w:tcPr>
            <w:tcW w:w="2551" w:type="dxa"/>
            <w:vAlign w:val="center"/>
          </w:tcPr>
          <w:p w14:paraId="0EDCF00D">
            <w:pPr>
              <w:pStyle w:val="13"/>
            </w:pPr>
            <w:r>
              <w:t>100%</w:t>
            </w:r>
          </w:p>
        </w:tc>
        <w:tc>
          <w:tcPr>
            <w:tcW w:w="3544" w:type="dxa"/>
            <w:gridSpan w:val="2"/>
            <w:vAlign w:val="center"/>
          </w:tcPr>
          <w:p w14:paraId="42B5D9D7">
            <w:pPr>
              <w:pStyle w:val="13"/>
            </w:pPr>
            <w:r>
              <w:t>100%</w:t>
            </w:r>
          </w:p>
        </w:tc>
      </w:tr>
      <w:tr w14:paraId="496B6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4EEE4">
            <w:pPr>
              <w:pStyle w:val="10"/>
            </w:pPr>
            <w:r>
              <w:t>绩效目标</w:t>
            </w:r>
          </w:p>
        </w:tc>
        <w:tc>
          <w:tcPr>
            <w:tcW w:w="14033" w:type="dxa"/>
            <w:gridSpan w:val="6"/>
            <w:vAlign w:val="center"/>
          </w:tcPr>
          <w:p w14:paraId="7F1E3784">
            <w:pPr>
              <w:pStyle w:val="12"/>
            </w:pPr>
            <w:r>
              <w:t>1.完成双碑小学教学楼门窗更换等，满足学校正常教学需要。</w:t>
            </w:r>
          </w:p>
          <w:p w14:paraId="0E23D5C1">
            <w:pPr>
              <w:pStyle w:val="12"/>
            </w:pPr>
            <w:r>
              <w:t>2.按规定拨付专项资金，资金支付率达到100%。</w:t>
            </w:r>
          </w:p>
        </w:tc>
      </w:tr>
    </w:tbl>
    <w:p w14:paraId="16F36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2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D1982">
            <w:pPr>
              <w:pStyle w:val="10"/>
            </w:pPr>
            <w:r>
              <w:t>一级指标</w:t>
            </w:r>
          </w:p>
        </w:tc>
        <w:tc>
          <w:tcPr>
            <w:tcW w:w="2268" w:type="dxa"/>
            <w:vAlign w:val="center"/>
          </w:tcPr>
          <w:p w14:paraId="284CBB6C">
            <w:pPr>
              <w:pStyle w:val="10"/>
            </w:pPr>
            <w:r>
              <w:t>二级指标</w:t>
            </w:r>
          </w:p>
        </w:tc>
        <w:tc>
          <w:tcPr>
            <w:tcW w:w="2835" w:type="dxa"/>
            <w:vAlign w:val="center"/>
          </w:tcPr>
          <w:p w14:paraId="2240F2E5">
            <w:pPr>
              <w:pStyle w:val="10"/>
            </w:pPr>
            <w:r>
              <w:t>三级指标</w:t>
            </w:r>
          </w:p>
        </w:tc>
        <w:tc>
          <w:tcPr>
            <w:tcW w:w="5386" w:type="dxa"/>
            <w:vAlign w:val="center"/>
          </w:tcPr>
          <w:p w14:paraId="597375CF">
            <w:pPr>
              <w:pStyle w:val="10"/>
            </w:pPr>
            <w:r>
              <w:t>绩效指标描述</w:t>
            </w:r>
          </w:p>
        </w:tc>
        <w:tc>
          <w:tcPr>
            <w:tcW w:w="2268" w:type="dxa"/>
            <w:vAlign w:val="center"/>
          </w:tcPr>
          <w:p w14:paraId="078F53B4">
            <w:pPr>
              <w:pStyle w:val="10"/>
            </w:pPr>
            <w:r>
              <w:t>指标值</w:t>
            </w:r>
          </w:p>
        </w:tc>
        <w:tc>
          <w:tcPr>
            <w:tcW w:w="1276" w:type="dxa"/>
            <w:vAlign w:val="center"/>
          </w:tcPr>
          <w:p w14:paraId="1A72945C">
            <w:pPr>
              <w:pStyle w:val="10"/>
            </w:pPr>
            <w:r>
              <w:t>指标值确定依据</w:t>
            </w:r>
          </w:p>
        </w:tc>
      </w:tr>
      <w:tr w14:paraId="0EAF5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2EF48">
            <w:pPr>
              <w:pStyle w:val="13"/>
            </w:pPr>
            <w:r>
              <w:t>产出指标</w:t>
            </w:r>
          </w:p>
        </w:tc>
        <w:tc>
          <w:tcPr>
            <w:tcW w:w="2268" w:type="dxa"/>
            <w:vAlign w:val="center"/>
          </w:tcPr>
          <w:p w14:paraId="525A411A">
            <w:pPr>
              <w:pStyle w:val="12"/>
            </w:pPr>
            <w:r>
              <w:t>数量指标</w:t>
            </w:r>
          </w:p>
        </w:tc>
        <w:tc>
          <w:tcPr>
            <w:tcW w:w="2835" w:type="dxa"/>
            <w:vAlign w:val="center"/>
          </w:tcPr>
          <w:p w14:paraId="0F1CB685">
            <w:pPr>
              <w:pStyle w:val="12"/>
            </w:pPr>
            <w:r>
              <w:t>双碑小学教学楼门窗更换</w:t>
            </w:r>
          </w:p>
        </w:tc>
        <w:tc>
          <w:tcPr>
            <w:tcW w:w="5386" w:type="dxa"/>
            <w:vAlign w:val="center"/>
          </w:tcPr>
          <w:p w14:paraId="0521F2F1">
            <w:pPr>
              <w:pStyle w:val="12"/>
            </w:pPr>
            <w:r>
              <w:t>双碑小学教学楼门窗更换</w:t>
            </w:r>
          </w:p>
        </w:tc>
        <w:tc>
          <w:tcPr>
            <w:tcW w:w="2268" w:type="dxa"/>
            <w:vAlign w:val="center"/>
          </w:tcPr>
          <w:p w14:paraId="72896BE5">
            <w:pPr>
              <w:pStyle w:val="12"/>
            </w:pPr>
            <w:r>
              <w:t>1项</w:t>
            </w:r>
          </w:p>
        </w:tc>
        <w:tc>
          <w:tcPr>
            <w:tcW w:w="1276" w:type="dxa"/>
            <w:vAlign w:val="center"/>
          </w:tcPr>
          <w:p w14:paraId="34DBD409">
            <w:pPr>
              <w:pStyle w:val="12"/>
            </w:pPr>
            <w:r>
              <w:t>项目规划</w:t>
            </w:r>
          </w:p>
        </w:tc>
      </w:tr>
      <w:tr w14:paraId="0BAA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FBAE4"/>
        </w:tc>
        <w:tc>
          <w:tcPr>
            <w:tcW w:w="2268" w:type="dxa"/>
            <w:vAlign w:val="center"/>
          </w:tcPr>
          <w:p w14:paraId="05A1DC69">
            <w:pPr>
              <w:pStyle w:val="12"/>
            </w:pPr>
            <w:r>
              <w:t>质量指标</w:t>
            </w:r>
          </w:p>
        </w:tc>
        <w:tc>
          <w:tcPr>
            <w:tcW w:w="2835" w:type="dxa"/>
            <w:vAlign w:val="center"/>
          </w:tcPr>
          <w:p w14:paraId="3D46DF2F">
            <w:pPr>
              <w:pStyle w:val="12"/>
            </w:pPr>
            <w:r>
              <w:t>工程实施验收合格率</w:t>
            </w:r>
          </w:p>
        </w:tc>
        <w:tc>
          <w:tcPr>
            <w:tcW w:w="5386" w:type="dxa"/>
            <w:vAlign w:val="center"/>
          </w:tcPr>
          <w:p w14:paraId="6F2E65A6">
            <w:pPr>
              <w:pStyle w:val="12"/>
            </w:pPr>
            <w:r>
              <w:t>申报程序的合规，项目实施及资金使用符合项目规划</w:t>
            </w:r>
          </w:p>
        </w:tc>
        <w:tc>
          <w:tcPr>
            <w:tcW w:w="2268" w:type="dxa"/>
            <w:vAlign w:val="center"/>
          </w:tcPr>
          <w:p w14:paraId="5FAF708B">
            <w:pPr>
              <w:pStyle w:val="12"/>
            </w:pPr>
            <w:r>
              <w:t>100%</w:t>
            </w:r>
          </w:p>
        </w:tc>
        <w:tc>
          <w:tcPr>
            <w:tcW w:w="1276" w:type="dxa"/>
            <w:vAlign w:val="center"/>
          </w:tcPr>
          <w:p w14:paraId="38A6CBFB">
            <w:pPr>
              <w:pStyle w:val="12"/>
            </w:pPr>
            <w:r>
              <w:t>项目规划</w:t>
            </w:r>
          </w:p>
        </w:tc>
      </w:tr>
      <w:tr w14:paraId="1C8A3D9B">
        <w:tblPrEx>
          <w:tblCellMar>
            <w:top w:w="0" w:type="dxa"/>
            <w:left w:w="108" w:type="dxa"/>
            <w:bottom w:w="0" w:type="dxa"/>
            <w:right w:w="108" w:type="dxa"/>
          </w:tblCellMar>
        </w:tblPrEx>
        <w:trPr>
          <w:trHeight w:val="397" w:hRule="atLeast"/>
          <w:jc w:val="center"/>
        </w:trPr>
        <w:tc>
          <w:tcPr>
            <w:tcW w:w="1276" w:type="dxa"/>
            <w:vMerge w:val="continue"/>
            <w:vAlign w:val="center"/>
          </w:tcPr>
          <w:p w14:paraId="17950F3E"/>
        </w:tc>
        <w:tc>
          <w:tcPr>
            <w:tcW w:w="2268" w:type="dxa"/>
            <w:vAlign w:val="center"/>
          </w:tcPr>
          <w:p w14:paraId="0E34DCC4">
            <w:pPr>
              <w:pStyle w:val="12"/>
            </w:pPr>
            <w:r>
              <w:t>时效指标</w:t>
            </w:r>
          </w:p>
        </w:tc>
        <w:tc>
          <w:tcPr>
            <w:tcW w:w="2835" w:type="dxa"/>
            <w:vAlign w:val="center"/>
          </w:tcPr>
          <w:p w14:paraId="21840095">
            <w:pPr>
              <w:pStyle w:val="12"/>
            </w:pPr>
            <w:r>
              <w:t>资金支付率</w:t>
            </w:r>
          </w:p>
        </w:tc>
        <w:tc>
          <w:tcPr>
            <w:tcW w:w="5386" w:type="dxa"/>
            <w:vAlign w:val="center"/>
          </w:tcPr>
          <w:p w14:paraId="6A8EF42D">
            <w:pPr>
              <w:pStyle w:val="12"/>
            </w:pPr>
            <w:r>
              <w:t>按照序时进度完成资金支付</w:t>
            </w:r>
          </w:p>
        </w:tc>
        <w:tc>
          <w:tcPr>
            <w:tcW w:w="2268" w:type="dxa"/>
            <w:vAlign w:val="center"/>
          </w:tcPr>
          <w:p w14:paraId="22D4EE84">
            <w:pPr>
              <w:pStyle w:val="12"/>
            </w:pPr>
            <w:r>
              <w:t>100%</w:t>
            </w:r>
          </w:p>
        </w:tc>
        <w:tc>
          <w:tcPr>
            <w:tcW w:w="1276" w:type="dxa"/>
            <w:vAlign w:val="center"/>
          </w:tcPr>
          <w:p w14:paraId="77199F87">
            <w:pPr>
              <w:pStyle w:val="12"/>
            </w:pPr>
            <w:r>
              <w:t>项目规划</w:t>
            </w:r>
          </w:p>
        </w:tc>
      </w:tr>
      <w:tr w14:paraId="06ED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E4D21"/>
        </w:tc>
        <w:tc>
          <w:tcPr>
            <w:tcW w:w="2268" w:type="dxa"/>
            <w:vAlign w:val="center"/>
          </w:tcPr>
          <w:p w14:paraId="34459783">
            <w:pPr>
              <w:pStyle w:val="12"/>
            </w:pPr>
            <w:r>
              <w:t>成本指标</w:t>
            </w:r>
          </w:p>
        </w:tc>
        <w:tc>
          <w:tcPr>
            <w:tcW w:w="2835" w:type="dxa"/>
            <w:vAlign w:val="center"/>
          </w:tcPr>
          <w:p w14:paraId="52013B28">
            <w:pPr>
              <w:pStyle w:val="12"/>
            </w:pPr>
            <w:r>
              <w:t>项目成本控制情况</w:t>
            </w:r>
          </w:p>
        </w:tc>
        <w:tc>
          <w:tcPr>
            <w:tcW w:w="5386" w:type="dxa"/>
            <w:vAlign w:val="center"/>
          </w:tcPr>
          <w:p w14:paraId="1949B1D7">
            <w:pPr>
              <w:pStyle w:val="12"/>
            </w:pPr>
            <w:r>
              <w:t>严格按照招标价格及审计额进行</w:t>
            </w:r>
          </w:p>
        </w:tc>
        <w:tc>
          <w:tcPr>
            <w:tcW w:w="2268" w:type="dxa"/>
            <w:vAlign w:val="center"/>
          </w:tcPr>
          <w:p w14:paraId="61DE091B">
            <w:pPr>
              <w:pStyle w:val="12"/>
            </w:pPr>
            <w:r>
              <w:t>20万元</w:t>
            </w:r>
          </w:p>
        </w:tc>
        <w:tc>
          <w:tcPr>
            <w:tcW w:w="1276" w:type="dxa"/>
            <w:vAlign w:val="center"/>
          </w:tcPr>
          <w:p w14:paraId="4712A10E">
            <w:pPr>
              <w:pStyle w:val="12"/>
            </w:pPr>
            <w:r>
              <w:t>项目规划</w:t>
            </w:r>
          </w:p>
        </w:tc>
      </w:tr>
      <w:tr w14:paraId="109BC448">
        <w:tblPrEx>
          <w:tblCellMar>
            <w:top w:w="0" w:type="dxa"/>
            <w:left w:w="108" w:type="dxa"/>
            <w:bottom w:w="0" w:type="dxa"/>
            <w:right w:w="108" w:type="dxa"/>
          </w:tblCellMar>
        </w:tblPrEx>
        <w:trPr>
          <w:trHeight w:val="397" w:hRule="atLeast"/>
          <w:jc w:val="center"/>
        </w:trPr>
        <w:tc>
          <w:tcPr>
            <w:tcW w:w="1276" w:type="dxa"/>
            <w:vMerge w:val="restart"/>
            <w:vAlign w:val="center"/>
          </w:tcPr>
          <w:p w14:paraId="6AE69983">
            <w:pPr>
              <w:pStyle w:val="13"/>
            </w:pPr>
            <w:r>
              <w:t>效益指标</w:t>
            </w:r>
          </w:p>
        </w:tc>
        <w:tc>
          <w:tcPr>
            <w:tcW w:w="2268" w:type="dxa"/>
            <w:vAlign w:val="center"/>
          </w:tcPr>
          <w:p w14:paraId="61FF0B6F">
            <w:pPr>
              <w:pStyle w:val="12"/>
            </w:pPr>
            <w:r>
              <w:t>经济效益指标</w:t>
            </w:r>
          </w:p>
        </w:tc>
        <w:tc>
          <w:tcPr>
            <w:tcW w:w="2835" w:type="dxa"/>
            <w:vAlign w:val="center"/>
          </w:tcPr>
          <w:p w14:paraId="5711035E">
            <w:pPr>
              <w:pStyle w:val="12"/>
            </w:pPr>
            <w:r>
              <w:t>学校办学环境提升</w:t>
            </w:r>
          </w:p>
        </w:tc>
        <w:tc>
          <w:tcPr>
            <w:tcW w:w="5386" w:type="dxa"/>
            <w:vAlign w:val="center"/>
          </w:tcPr>
          <w:p w14:paraId="219AA08B">
            <w:pPr>
              <w:pStyle w:val="12"/>
            </w:pPr>
            <w:r>
              <w:t>学校教学环境提升优化率</w:t>
            </w:r>
          </w:p>
        </w:tc>
        <w:tc>
          <w:tcPr>
            <w:tcW w:w="2268" w:type="dxa"/>
            <w:vAlign w:val="center"/>
          </w:tcPr>
          <w:p w14:paraId="0B0BCD76">
            <w:pPr>
              <w:pStyle w:val="12"/>
            </w:pPr>
            <w:r>
              <w:t>≥98%</w:t>
            </w:r>
          </w:p>
        </w:tc>
        <w:tc>
          <w:tcPr>
            <w:tcW w:w="1276" w:type="dxa"/>
            <w:vAlign w:val="center"/>
          </w:tcPr>
          <w:p w14:paraId="67A3BC20">
            <w:pPr>
              <w:pStyle w:val="12"/>
            </w:pPr>
            <w:r>
              <w:t>项目规划</w:t>
            </w:r>
          </w:p>
        </w:tc>
      </w:tr>
      <w:tr w14:paraId="7473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88B7C"/>
        </w:tc>
        <w:tc>
          <w:tcPr>
            <w:tcW w:w="2268" w:type="dxa"/>
            <w:vAlign w:val="center"/>
          </w:tcPr>
          <w:p w14:paraId="121258EA">
            <w:pPr>
              <w:pStyle w:val="12"/>
            </w:pPr>
            <w:r>
              <w:t>社会效益指标</w:t>
            </w:r>
          </w:p>
        </w:tc>
        <w:tc>
          <w:tcPr>
            <w:tcW w:w="2835" w:type="dxa"/>
            <w:vAlign w:val="center"/>
          </w:tcPr>
          <w:p w14:paraId="7B0A15D2">
            <w:pPr>
              <w:pStyle w:val="12"/>
            </w:pPr>
            <w:r>
              <w:t>校园环境</w:t>
            </w:r>
          </w:p>
        </w:tc>
        <w:tc>
          <w:tcPr>
            <w:tcW w:w="5386" w:type="dxa"/>
            <w:vAlign w:val="center"/>
          </w:tcPr>
          <w:p w14:paraId="3B3549E2">
            <w:pPr>
              <w:pStyle w:val="12"/>
            </w:pPr>
            <w:r>
              <w:t>办学条件和环境得到改善</w:t>
            </w:r>
          </w:p>
        </w:tc>
        <w:tc>
          <w:tcPr>
            <w:tcW w:w="2268" w:type="dxa"/>
            <w:vAlign w:val="center"/>
          </w:tcPr>
          <w:p w14:paraId="2643B0D7">
            <w:pPr>
              <w:pStyle w:val="12"/>
            </w:pPr>
            <w:r>
              <w:t>≥95%</w:t>
            </w:r>
          </w:p>
        </w:tc>
        <w:tc>
          <w:tcPr>
            <w:tcW w:w="1276" w:type="dxa"/>
            <w:vAlign w:val="center"/>
          </w:tcPr>
          <w:p w14:paraId="3B668DDC">
            <w:pPr>
              <w:pStyle w:val="12"/>
            </w:pPr>
            <w:r>
              <w:t>城乡义务教育公用经费管理办法</w:t>
            </w:r>
          </w:p>
        </w:tc>
      </w:tr>
      <w:tr w14:paraId="2FE9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E5AC8">
            <w:pPr>
              <w:pStyle w:val="13"/>
            </w:pPr>
            <w:r>
              <w:t>满意度指标</w:t>
            </w:r>
          </w:p>
        </w:tc>
        <w:tc>
          <w:tcPr>
            <w:tcW w:w="2268" w:type="dxa"/>
            <w:vAlign w:val="center"/>
          </w:tcPr>
          <w:p w14:paraId="25504AF2">
            <w:pPr>
              <w:pStyle w:val="12"/>
            </w:pPr>
            <w:r>
              <w:t>服务对象满意度指标</w:t>
            </w:r>
          </w:p>
        </w:tc>
        <w:tc>
          <w:tcPr>
            <w:tcW w:w="2835" w:type="dxa"/>
            <w:vAlign w:val="center"/>
          </w:tcPr>
          <w:p w14:paraId="44CFC1A4">
            <w:pPr>
              <w:pStyle w:val="12"/>
            </w:pPr>
            <w:r>
              <w:t>受益学生家长及调查满意度</w:t>
            </w:r>
          </w:p>
        </w:tc>
        <w:tc>
          <w:tcPr>
            <w:tcW w:w="5386" w:type="dxa"/>
            <w:vAlign w:val="center"/>
          </w:tcPr>
          <w:p w14:paraId="6758F608">
            <w:pPr>
              <w:pStyle w:val="12"/>
            </w:pPr>
            <w:r>
              <w:t>学生、教师及家长对学校教学环境满意度情况</w:t>
            </w:r>
          </w:p>
        </w:tc>
        <w:tc>
          <w:tcPr>
            <w:tcW w:w="2268" w:type="dxa"/>
            <w:vAlign w:val="center"/>
          </w:tcPr>
          <w:p w14:paraId="28029D99">
            <w:pPr>
              <w:pStyle w:val="12"/>
            </w:pPr>
            <w:r>
              <w:t>≥95%</w:t>
            </w:r>
          </w:p>
        </w:tc>
        <w:tc>
          <w:tcPr>
            <w:tcW w:w="1276" w:type="dxa"/>
            <w:vAlign w:val="center"/>
          </w:tcPr>
          <w:p w14:paraId="14EA3382">
            <w:pPr>
              <w:pStyle w:val="12"/>
            </w:pPr>
            <w:r>
              <w:t>项目规划</w:t>
            </w:r>
          </w:p>
        </w:tc>
      </w:tr>
    </w:tbl>
    <w:p w14:paraId="0C1E3D67">
      <w:pPr>
        <w:sectPr>
          <w:pgSz w:w="16840" w:h="11900" w:orient="landscape"/>
          <w:pgMar w:top="1361" w:right="1020" w:bottom="1134" w:left="1020" w:header="720" w:footer="720" w:gutter="0"/>
          <w:cols w:space="720" w:num="1"/>
        </w:sectPr>
      </w:pPr>
    </w:p>
    <w:p w14:paraId="264A82A8">
      <w:pPr>
        <w:spacing w:before="0" w:after="0"/>
        <w:ind w:firstLine="560"/>
        <w:jc w:val="left"/>
        <w:outlineLvl w:val="9"/>
      </w:pPr>
      <w:r>
        <w:rPr>
          <w:rFonts w:ascii="方正仿宋_GBK" w:hAnsi="方正仿宋_GBK" w:eastAsia="方正仿宋_GBK" w:cs="方正仿宋_GBK"/>
          <w:b/>
          <w:color w:val="000000"/>
          <w:sz w:val="28"/>
        </w:rPr>
        <w:t>9、冀财教[2025]121号/中央/义教/2026年校舍安全/西良后小学宿舍楼附属工程绩效目标表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E1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CA9E9">
            <w:pPr>
              <w:pStyle w:val="11"/>
            </w:pPr>
            <w:r>
              <w:t>单位：万元</w:t>
            </w:r>
          </w:p>
        </w:tc>
      </w:tr>
      <w:tr w14:paraId="30431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11A3A">
            <w:pPr>
              <w:pStyle w:val="10"/>
            </w:pPr>
            <w:r>
              <w:t>项目编码</w:t>
            </w:r>
          </w:p>
        </w:tc>
        <w:tc>
          <w:tcPr>
            <w:tcW w:w="5103" w:type="dxa"/>
            <w:gridSpan w:val="2"/>
            <w:vAlign w:val="center"/>
          </w:tcPr>
          <w:p w14:paraId="33F8D266">
            <w:pPr>
              <w:pStyle w:val="12"/>
            </w:pPr>
            <w:r>
              <w:t>13052526P00876210086X</w:t>
            </w:r>
          </w:p>
        </w:tc>
        <w:tc>
          <w:tcPr>
            <w:tcW w:w="2835" w:type="dxa"/>
            <w:vAlign w:val="center"/>
          </w:tcPr>
          <w:p w14:paraId="4D81B2B2">
            <w:pPr>
              <w:pStyle w:val="10"/>
            </w:pPr>
            <w:r>
              <w:t>项目名称</w:t>
            </w:r>
          </w:p>
        </w:tc>
        <w:tc>
          <w:tcPr>
            <w:tcW w:w="6095" w:type="dxa"/>
            <w:gridSpan w:val="3"/>
            <w:vAlign w:val="center"/>
          </w:tcPr>
          <w:p w14:paraId="68B57A6C">
            <w:pPr>
              <w:pStyle w:val="12"/>
            </w:pPr>
            <w:r>
              <w:t>冀财教[2025]121号/中央/义教/2026年校舍安全/西良后小学宿舍楼附属工程</w:t>
            </w:r>
          </w:p>
        </w:tc>
      </w:tr>
      <w:tr w14:paraId="7DCBD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3F728">
            <w:pPr>
              <w:pStyle w:val="10"/>
            </w:pPr>
            <w:r>
              <w:t>预算规模及资金用途</w:t>
            </w:r>
          </w:p>
        </w:tc>
        <w:tc>
          <w:tcPr>
            <w:tcW w:w="2268" w:type="dxa"/>
            <w:vAlign w:val="center"/>
          </w:tcPr>
          <w:p w14:paraId="49CABA72">
            <w:pPr>
              <w:pStyle w:val="10"/>
            </w:pPr>
            <w:r>
              <w:t>预算数</w:t>
            </w:r>
          </w:p>
        </w:tc>
        <w:tc>
          <w:tcPr>
            <w:tcW w:w="2835" w:type="dxa"/>
            <w:vAlign w:val="center"/>
          </w:tcPr>
          <w:p w14:paraId="54C0EFC6">
            <w:pPr>
              <w:pStyle w:val="12"/>
            </w:pPr>
            <w:r>
              <w:t>33.80</w:t>
            </w:r>
          </w:p>
        </w:tc>
        <w:tc>
          <w:tcPr>
            <w:tcW w:w="2835" w:type="dxa"/>
            <w:vAlign w:val="center"/>
          </w:tcPr>
          <w:p w14:paraId="4FEC7064">
            <w:pPr>
              <w:pStyle w:val="10"/>
            </w:pPr>
            <w:r>
              <w:t>其中：财政    资金</w:t>
            </w:r>
          </w:p>
        </w:tc>
        <w:tc>
          <w:tcPr>
            <w:tcW w:w="2551" w:type="dxa"/>
            <w:vAlign w:val="center"/>
          </w:tcPr>
          <w:p w14:paraId="3928C1D1">
            <w:pPr>
              <w:pStyle w:val="12"/>
            </w:pPr>
            <w:r>
              <w:t>33.80</w:t>
            </w:r>
          </w:p>
        </w:tc>
        <w:tc>
          <w:tcPr>
            <w:tcW w:w="2268" w:type="dxa"/>
            <w:vAlign w:val="center"/>
          </w:tcPr>
          <w:p w14:paraId="795BC967">
            <w:pPr>
              <w:pStyle w:val="10"/>
            </w:pPr>
            <w:r>
              <w:t>其他资金</w:t>
            </w:r>
          </w:p>
        </w:tc>
        <w:tc>
          <w:tcPr>
            <w:tcW w:w="1276" w:type="dxa"/>
            <w:vAlign w:val="center"/>
          </w:tcPr>
          <w:p w14:paraId="1992E9A8">
            <w:pPr>
              <w:pStyle w:val="12"/>
            </w:pPr>
            <w:r>
              <w:t xml:space="preserve"> </w:t>
            </w:r>
          </w:p>
        </w:tc>
      </w:tr>
      <w:tr w14:paraId="0387C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16FC2"/>
        </w:tc>
        <w:tc>
          <w:tcPr>
            <w:tcW w:w="14033" w:type="dxa"/>
            <w:gridSpan w:val="6"/>
            <w:vAlign w:val="center"/>
          </w:tcPr>
          <w:p w14:paraId="7CD8F423">
            <w:pPr>
              <w:pStyle w:val="12"/>
            </w:pPr>
            <w:r>
              <w:t>"完成西良后小学宿舍楼院落周边硬化和围墙粉刷等，</w:t>
            </w:r>
          </w:p>
          <w:p w14:paraId="768C0CDA">
            <w:pPr>
              <w:pStyle w:val="12"/>
            </w:pPr>
            <w:r>
              <w:t>满足学校正常教学需要。"</w:t>
            </w:r>
            <w:r>
              <w:tab/>
            </w:r>
            <w:r>
              <w:tab/>
            </w:r>
            <w:r>
              <w:tab/>
            </w:r>
            <w:r>
              <w:tab/>
            </w:r>
            <w:r>
              <w:tab/>
            </w:r>
            <w:r>
              <w:tab/>
            </w:r>
          </w:p>
          <w:p w14:paraId="041964DE">
            <w:pPr>
              <w:pStyle w:val="12"/>
            </w:pPr>
          </w:p>
        </w:tc>
      </w:tr>
      <w:tr w14:paraId="46116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E2166">
            <w:pPr>
              <w:pStyle w:val="10"/>
            </w:pPr>
            <w:r>
              <w:t>资金支出计划（%）</w:t>
            </w:r>
          </w:p>
        </w:tc>
        <w:tc>
          <w:tcPr>
            <w:tcW w:w="5103" w:type="dxa"/>
            <w:gridSpan w:val="2"/>
            <w:vAlign w:val="center"/>
          </w:tcPr>
          <w:p w14:paraId="46CB05D8">
            <w:pPr>
              <w:pStyle w:val="10"/>
            </w:pPr>
            <w:r>
              <w:t>3月底</w:t>
            </w:r>
          </w:p>
        </w:tc>
        <w:tc>
          <w:tcPr>
            <w:tcW w:w="2835" w:type="dxa"/>
            <w:vAlign w:val="center"/>
          </w:tcPr>
          <w:p w14:paraId="59809D08">
            <w:pPr>
              <w:pStyle w:val="10"/>
            </w:pPr>
            <w:r>
              <w:t>6月底</w:t>
            </w:r>
          </w:p>
        </w:tc>
        <w:tc>
          <w:tcPr>
            <w:tcW w:w="2551" w:type="dxa"/>
            <w:vAlign w:val="center"/>
          </w:tcPr>
          <w:p w14:paraId="030AFD20">
            <w:pPr>
              <w:pStyle w:val="10"/>
            </w:pPr>
            <w:r>
              <w:t>10月底</w:t>
            </w:r>
          </w:p>
        </w:tc>
        <w:tc>
          <w:tcPr>
            <w:tcW w:w="3544" w:type="dxa"/>
            <w:gridSpan w:val="2"/>
            <w:vAlign w:val="center"/>
          </w:tcPr>
          <w:p w14:paraId="2C1DE752">
            <w:pPr>
              <w:pStyle w:val="10"/>
            </w:pPr>
            <w:r>
              <w:t>12月底</w:t>
            </w:r>
          </w:p>
        </w:tc>
      </w:tr>
      <w:tr w14:paraId="1E999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D5460"/>
        </w:tc>
        <w:tc>
          <w:tcPr>
            <w:tcW w:w="5103" w:type="dxa"/>
            <w:gridSpan w:val="2"/>
            <w:vAlign w:val="center"/>
          </w:tcPr>
          <w:p w14:paraId="56A2E9DB">
            <w:pPr>
              <w:pStyle w:val="13"/>
            </w:pPr>
            <w:r>
              <w:t xml:space="preserve"> </w:t>
            </w:r>
          </w:p>
        </w:tc>
        <w:tc>
          <w:tcPr>
            <w:tcW w:w="2835" w:type="dxa"/>
            <w:vAlign w:val="center"/>
          </w:tcPr>
          <w:p w14:paraId="6E609F82">
            <w:pPr>
              <w:pStyle w:val="13"/>
            </w:pPr>
            <w:r>
              <w:t xml:space="preserve"> </w:t>
            </w:r>
          </w:p>
        </w:tc>
        <w:tc>
          <w:tcPr>
            <w:tcW w:w="2551" w:type="dxa"/>
            <w:vAlign w:val="center"/>
          </w:tcPr>
          <w:p w14:paraId="45424EF6">
            <w:pPr>
              <w:pStyle w:val="13"/>
            </w:pPr>
            <w:r>
              <w:t>100%</w:t>
            </w:r>
          </w:p>
        </w:tc>
        <w:tc>
          <w:tcPr>
            <w:tcW w:w="3544" w:type="dxa"/>
            <w:gridSpan w:val="2"/>
            <w:vAlign w:val="center"/>
          </w:tcPr>
          <w:p w14:paraId="03F7094D">
            <w:pPr>
              <w:pStyle w:val="13"/>
            </w:pPr>
            <w:r>
              <w:t>100%</w:t>
            </w:r>
          </w:p>
        </w:tc>
      </w:tr>
      <w:tr w14:paraId="1CC3D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DC5E5">
            <w:pPr>
              <w:pStyle w:val="10"/>
            </w:pPr>
            <w:r>
              <w:t>绩效目标</w:t>
            </w:r>
          </w:p>
        </w:tc>
        <w:tc>
          <w:tcPr>
            <w:tcW w:w="14033" w:type="dxa"/>
            <w:gridSpan w:val="6"/>
            <w:vAlign w:val="center"/>
          </w:tcPr>
          <w:p w14:paraId="52BE84DD">
            <w:pPr>
              <w:pStyle w:val="12"/>
            </w:pPr>
            <w:r>
              <w:t>1.完成西良后小学宿舍楼院落周边硬化和围墙粉刷等，</w:t>
            </w:r>
          </w:p>
          <w:p w14:paraId="58C30BC2">
            <w:pPr>
              <w:pStyle w:val="12"/>
            </w:pPr>
            <w:r>
              <w:t>满足学校正常教学需要。</w:t>
            </w:r>
          </w:p>
          <w:p w14:paraId="5A5620F7">
            <w:pPr>
              <w:pStyle w:val="12"/>
            </w:pPr>
            <w:r>
              <w:t>2.按规定拨付专项资金，资金支付率达到100%。</w:t>
            </w:r>
          </w:p>
        </w:tc>
      </w:tr>
    </w:tbl>
    <w:p w14:paraId="583DE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C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59BAC">
            <w:pPr>
              <w:pStyle w:val="10"/>
            </w:pPr>
            <w:r>
              <w:t>一级指标</w:t>
            </w:r>
          </w:p>
        </w:tc>
        <w:tc>
          <w:tcPr>
            <w:tcW w:w="2268" w:type="dxa"/>
            <w:vAlign w:val="center"/>
          </w:tcPr>
          <w:p w14:paraId="0FD28F76">
            <w:pPr>
              <w:pStyle w:val="10"/>
            </w:pPr>
            <w:r>
              <w:t>二级指标</w:t>
            </w:r>
          </w:p>
        </w:tc>
        <w:tc>
          <w:tcPr>
            <w:tcW w:w="2835" w:type="dxa"/>
            <w:vAlign w:val="center"/>
          </w:tcPr>
          <w:p w14:paraId="5846416B">
            <w:pPr>
              <w:pStyle w:val="10"/>
            </w:pPr>
            <w:r>
              <w:t>三级指标</w:t>
            </w:r>
          </w:p>
        </w:tc>
        <w:tc>
          <w:tcPr>
            <w:tcW w:w="5386" w:type="dxa"/>
            <w:vAlign w:val="center"/>
          </w:tcPr>
          <w:p w14:paraId="20337143">
            <w:pPr>
              <w:pStyle w:val="10"/>
            </w:pPr>
            <w:r>
              <w:t>绩效指标描述</w:t>
            </w:r>
          </w:p>
        </w:tc>
        <w:tc>
          <w:tcPr>
            <w:tcW w:w="2268" w:type="dxa"/>
            <w:vAlign w:val="center"/>
          </w:tcPr>
          <w:p w14:paraId="2B64B0A2">
            <w:pPr>
              <w:pStyle w:val="10"/>
            </w:pPr>
            <w:r>
              <w:t>指标值</w:t>
            </w:r>
          </w:p>
        </w:tc>
        <w:tc>
          <w:tcPr>
            <w:tcW w:w="1276" w:type="dxa"/>
            <w:vAlign w:val="center"/>
          </w:tcPr>
          <w:p w14:paraId="480D837D">
            <w:pPr>
              <w:pStyle w:val="10"/>
            </w:pPr>
            <w:r>
              <w:t>指标值确定依据</w:t>
            </w:r>
          </w:p>
        </w:tc>
      </w:tr>
      <w:tr w14:paraId="0A16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B883F">
            <w:pPr>
              <w:pStyle w:val="13"/>
            </w:pPr>
            <w:r>
              <w:t>产出指标</w:t>
            </w:r>
          </w:p>
        </w:tc>
        <w:tc>
          <w:tcPr>
            <w:tcW w:w="2268" w:type="dxa"/>
            <w:vAlign w:val="center"/>
          </w:tcPr>
          <w:p w14:paraId="17BB6929">
            <w:pPr>
              <w:pStyle w:val="12"/>
            </w:pPr>
            <w:r>
              <w:t>数量指标</w:t>
            </w:r>
          </w:p>
        </w:tc>
        <w:tc>
          <w:tcPr>
            <w:tcW w:w="2835" w:type="dxa"/>
            <w:vAlign w:val="center"/>
          </w:tcPr>
          <w:p w14:paraId="6DC950A3">
            <w:pPr>
              <w:pStyle w:val="12"/>
            </w:pPr>
            <w:r>
              <w:t>西良后小学宿舍楼附属工程</w:t>
            </w:r>
          </w:p>
        </w:tc>
        <w:tc>
          <w:tcPr>
            <w:tcW w:w="5386" w:type="dxa"/>
            <w:vAlign w:val="center"/>
          </w:tcPr>
          <w:p w14:paraId="0880D687">
            <w:pPr>
              <w:pStyle w:val="12"/>
            </w:pPr>
            <w:r>
              <w:t>西良后小学宿舍楼周边硬化、围墙粉刷等</w:t>
            </w:r>
          </w:p>
        </w:tc>
        <w:tc>
          <w:tcPr>
            <w:tcW w:w="2268" w:type="dxa"/>
            <w:vAlign w:val="center"/>
          </w:tcPr>
          <w:p w14:paraId="54628B48">
            <w:pPr>
              <w:pStyle w:val="12"/>
            </w:pPr>
            <w:r>
              <w:t>1项</w:t>
            </w:r>
          </w:p>
        </w:tc>
        <w:tc>
          <w:tcPr>
            <w:tcW w:w="1276" w:type="dxa"/>
            <w:vAlign w:val="center"/>
          </w:tcPr>
          <w:p w14:paraId="37A38BA9">
            <w:pPr>
              <w:pStyle w:val="12"/>
            </w:pPr>
            <w:r>
              <w:t>项目规划</w:t>
            </w:r>
          </w:p>
        </w:tc>
      </w:tr>
      <w:tr w14:paraId="20042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1CD6"/>
        </w:tc>
        <w:tc>
          <w:tcPr>
            <w:tcW w:w="2268" w:type="dxa"/>
            <w:vAlign w:val="center"/>
          </w:tcPr>
          <w:p w14:paraId="64CB13EC">
            <w:pPr>
              <w:pStyle w:val="12"/>
            </w:pPr>
            <w:r>
              <w:t>质量指标</w:t>
            </w:r>
          </w:p>
        </w:tc>
        <w:tc>
          <w:tcPr>
            <w:tcW w:w="2835" w:type="dxa"/>
            <w:vAlign w:val="center"/>
          </w:tcPr>
          <w:p w14:paraId="637AA447">
            <w:pPr>
              <w:pStyle w:val="12"/>
            </w:pPr>
            <w:r>
              <w:t>工程实施验收合格率</w:t>
            </w:r>
          </w:p>
        </w:tc>
        <w:tc>
          <w:tcPr>
            <w:tcW w:w="5386" w:type="dxa"/>
            <w:vAlign w:val="center"/>
          </w:tcPr>
          <w:p w14:paraId="5CE16A75">
            <w:pPr>
              <w:pStyle w:val="12"/>
            </w:pPr>
            <w:r>
              <w:t>申报程序的合规，项目实施及资金使用符合项目规划</w:t>
            </w:r>
          </w:p>
        </w:tc>
        <w:tc>
          <w:tcPr>
            <w:tcW w:w="2268" w:type="dxa"/>
            <w:vAlign w:val="center"/>
          </w:tcPr>
          <w:p w14:paraId="610E16F4">
            <w:pPr>
              <w:pStyle w:val="12"/>
            </w:pPr>
            <w:r>
              <w:t>100%</w:t>
            </w:r>
          </w:p>
        </w:tc>
        <w:tc>
          <w:tcPr>
            <w:tcW w:w="1276" w:type="dxa"/>
            <w:vAlign w:val="center"/>
          </w:tcPr>
          <w:p w14:paraId="06D1E63C">
            <w:pPr>
              <w:pStyle w:val="12"/>
            </w:pPr>
            <w:r>
              <w:t>项目规划</w:t>
            </w:r>
          </w:p>
        </w:tc>
      </w:tr>
      <w:tr w14:paraId="232C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7BC05"/>
        </w:tc>
        <w:tc>
          <w:tcPr>
            <w:tcW w:w="2268" w:type="dxa"/>
            <w:vAlign w:val="center"/>
          </w:tcPr>
          <w:p w14:paraId="3697ECD5">
            <w:pPr>
              <w:pStyle w:val="12"/>
            </w:pPr>
            <w:r>
              <w:t>时效指标</w:t>
            </w:r>
          </w:p>
        </w:tc>
        <w:tc>
          <w:tcPr>
            <w:tcW w:w="2835" w:type="dxa"/>
            <w:vAlign w:val="center"/>
          </w:tcPr>
          <w:p w14:paraId="19784C0A">
            <w:pPr>
              <w:pStyle w:val="12"/>
            </w:pPr>
            <w:r>
              <w:t>资金支付率</w:t>
            </w:r>
          </w:p>
        </w:tc>
        <w:tc>
          <w:tcPr>
            <w:tcW w:w="5386" w:type="dxa"/>
            <w:vAlign w:val="center"/>
          </w:tcPr>
          <w:p w14:paraId="201903A6">
            <w:pPr>
              <w:pStyle w:val="12"/>
            </w:pPr>
            <w:r>
              <w:t>按照序时进度完成资金支付</w:t>
            </w:r>
          </w:p>
        </w:tc>
        <w:tc>
          <w:tcPr>
            <w:tcW w:w="2268" w:type="dxa"/>
            <w:vAlign w:val="center"/>
          </w:tcPr>
          <w:p w14:paraId="1EE99983">
            <w:pPr>
              <w:pStyle w:val="12"/>
            </w:pPr>
            <w:r>
              <w:t>100%</w:t>
            </w:r>
          </w:p>
        </w:tc>
        <w:tc>
          <w:tcPr>
            <w:tcW w:w="1276" w:type="dxa"/>
            <w:vAlign w:val="center"/>
          </w:tcPr>
          <w:p w14:paraId="72CFEC07">
            <w:pPr>
              <w:pStyle w:val="12"/>
            </w:pPr>
            <w:r>
              <w:t>项目规划</w:t>
            </w:r>
          </w:p>
        </w:tc>
      </w:tr>
      <w:tr w14:paraId="19D9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ECC1"/>
        </w:tc>
        <w:tc>
          <w:tcPr>
            <w:tcW w:w="2268" w:type="dxa"/>
            <w:vAlign w:val="center"/>
          </w:tcPr>
          <w:p w14:paraId="1D591A0E">
            <w:pPr>
              <w:pStyle w:val="12"/>
            </w:pPr>
            <w:r>
              <w:t>成本指标</w:t>
            </w:r>
          </w:p>
        </w:tc>
        <w:tc>
          <w:tcPr>
            <w:tcW w:w="2835" w:type="dxa"/>
            <w:vAlign w:val="center"/>
          </w:tcPr>
          <w:p w14:paraId="7F464682">
            <w:pPr>
              <w:pStyle w:val="12"/>
            </w:pPr>
            <w:r>
              <w:t>项目成本控制情况</w:t>
            </w:r>
          </w:p>
        </w:tc>
        <w:tc>
          <w:tcPr>
            <w:tcW w:w="5386" w:type="dxa"/>
            <w:vAlign w:val="center"/>
          </w:tcPr>
          <w:p w14:paraId="71F846A3">
            <w:pPr>
              <w:pStyle w:val="12"/>
            </w:pPr>
            <w:r>
              <w:t>严格按照招标价格及审计额进行</w:t>
            </w:r>
          </w:p>
        </w:tc>
        <w:tc>
          <w:tcPr>
            <w:tcW w:w="2268" w:type="dxa"/>
            <w:vAlign w:val="center"/>
          </w:tcPr>
          <w:p w14:paraId="19617BE5">
            <w:pPr>
              <w:pStyle w:val="12"/>
            </w:pPr>
            <w:r>
              <w:t>33.8万元</w:t>
            </w:r>
          </w:p>
        </w:tc>
        <w:tc>
          <w:tcPr>
            <w:tcW w:w="1276" w:type="dxa"/>
            <w:vAlign w:val="center"/>
          </w:tcPr>
          <w:p w14:paraId="3421E3C0">
            <w:pPr>
              <w:pStyle w:val="12"/>
            </w:pPr>
            <w:r>
              <w:t>项目规划</w:t>
            </w:r>
          </w:p>
        </w:tc>
      </w:tr>
      <w:tr w14:paraId="7350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30BC4">
            <w:pPr>
              <w:pStyle w:val="13"/>
            </w:pPr>
            <w:r>
              <w:t>效益指标</w:t>
            </w:r>
          </w:p>
        </w:tc>
        <w:tc>
          <w:tcPr>
            <w:tcW w:w="2268" w:type="dxa"/>
            <w:vAlign w:val="center"/>
          </w:tcPr>
          <w:p w14:paraId="4E9967C2">
            <w:pPr>
              <w:pStyle w:val="12"/>
            </w:pPr>
            <w:r>
              <w:t>经济效益指标</w:t>
            </w:r>
          </w:p>
        </w:tc>
        <w:tc>
          <w:tcPr>
            <w:tcW w:w="2835" w:type="dxa"/>
            <w:vAlign w:val="center"/>
          </w:tcPr>
          <w:p w14:paraId="41AE7F2E">
            <w:pPr>
              <w:pStyle w:val="12"/>
            </w:pPr>
            <w:r>
              <w:t>学校办学环境提升</w:t>
            </w:r>
          </w:p>
        </w:tc>
        <w:tc>
          <w:tcPr>
            <w:tcW w:w="5386" w:type="dxa"/>
            <w:vAlign w:val="center"/>
          </w:tcPr>
          <w:p w14:paraId="4634383B">
            <w:pPr>
              <w:pStyle w:val="12"/>
            </w:pPr>
            <w:r>
              <w:t>学校教学环境提升优化率</w:t>
            </w:r>
          </w:p>
        </w:tc>
        <w:tc>
          <w:tcPr>
            <w:tcW w:w="2268" w:type="dxa"/>
            <w:vAlign w:val="center"/>
          </w:tcPr>
          <w:p w14:paraId="14E1FC72">
            <w:pPr>
              <w:pStyle w:val="12"/>
            </w:pPr>
            <w:r>
              <w:t>≥98%</w:t>
            </w:r>
          </w:p>
        </w:tc>
        <w:tc>
          <w:tcPr>
            <w:tcW w:w="1276" w:type="dxa"/>
            <w:vAlign w:val="center"/>
          </w:tcPr>
          <w:p w14:paraId="1816E04B">
            <w:pPr>
              <w:pStyle w:val="12"/>
            </w:pPr>
            <w:r>
              <w:t>项目规划</w:t>
            </w:r>
          </w:p>
        </w:tc>
      </w:tr>
      <w:tr w14:paraId="2F754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B2700"/>
        </w:tc>
        <w:tc>
          <w:tcPr>
            <w:tcW w:w="2268" w:type="dxa"/>
            <w:vAlign w:val="center"/>
          </w:tcPr>
          <w:p w14:paraId="5E0943DC">
            <w:pPr>
              <w:pStyle w:val="12"/>
            </w:pPr>
            <w:r>
              <w:t>社会效益指标</w:t>
            </w:r>
          </w:p>
        </w:tc>
        <w:tc>
          <w:tcPr>
            <w:tcW w:w="2835" w:type="dxa"/>
            <w:vAlign w:val="center"/>
          </w:tcPr>
          <w:p w14:paraId="4974B5F2">
            <w:pPr>
              <w:pStyle w:val="12"/>
            </w:pPr>
            <w:r>
              <w:t>校园环境</w:t>
            </w:r>
          </w:p>
        </w:tc>
        <w:tc>
          <w:tcPr>
            <w:tcW w:w="5386" w:type="dxa"/>
            <w:vAlign w:val="center"/>
          </w:tcPr>
          <w:p w14:paraId="47C2DCDB">
            <w:pPr>
              <w:pStyle w:val="12"/>
            </w:pPr>
            <w:r>
              <w:t>办学条件和环境得到改善</w:t>
            </w:r>
          </w:p>
        </w:tc>
        <w:tc>
          <w:tcPr>
            <w:tcW w:w="2268" w:type="dxa"/>
            <w:vAlign w:val="center"/>
          </w:tcPr>
          <w:p w14:paraId="0D8115FC">
            <w:pPr>
              <w:pStyle w:val="12"/>
            </w:pPr>
            <w:r>
              <w:t>≥95%</w:t>
            </w:r>
          </w:p>
        </w:tc>
        <w:tc>
          <w:tcPr>
            <w:tcW w:w="1276" w:type="dxa"/>
            <w:vAlign w:val="center"/>
          </w:tcPr>
          <w:p w14:paraId="06573870">
            <w:pPr>
              <w:pStyle w:val="12"/>
            </w:pPr>
            <w:r>
              <w:t>城乡义务教育公用经费管理办法</w:t>
            </w:r>
          </w:p>
        </w:tc>
      </w:tr>
      <w:tr w14:paraId="6D73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17586">
            <w:pPr>
              <w:pStyle w:val="13"/>
            </w:pPr>
            <w:r>
              <w:t>满意度指标</w:t>
            </w:r>
          </w:p>
        </w:tc>
        <w:tc>
          <w:tcPr>
            <w:tcW w:w="2268" w:type="dxa"/>
            <w:vAlign w:val="center"/>
          </w:tcPr>
          <w:p w14:paraId="75664DB5">
            <w:pPr>
              <w:pStyle w:val="12"/>
            </w:pPr>
            <w:r>
              <w:t>服务对象满意度指标</w:t>
            </w:r>
          </w:p>
        </w:tc>
        <w:tc>
          <w:tcPr>
            <w:tcW w:w="2835" w:type="dxa"/>
            <w:vAlign w:val="center"/>
          </w:tcPr>
          <w:p w14:paraId="29C13AB0">
            <w:pPr>
              <w:pStyle w:val="12"/>
            </w:pPr>
            <w:r>
              <w:t>受益学生家长及调查满意度</w:t>
            </w:r>
          </w:p>
        </w:tc>
        <w:tc>
          <w:tcPr>
            <w:tcW w:w="5386" w:type="dxa"/>
            <w:vAlign w:val="center"/>
          </w:tcPr>
          <w:p w14:paraId="191D981E">
            <w:pPr>
              <w:pStyle w:val="12"/>
            </w:pPr>
            <w:r>
              <w:t>学生、教师及家长对学校教学环境满意度情况</w:t>
            </w:r>
          </w:p>
        </w:tc>
        <w:tc>
          <w:tcPr>
            <w:tcW w:w="2268" w:type="dxa"/>
            <w:vAlign w:val="center"/>
          </w:tcPr>
          <w:p w14:paraId="6B8849CC">
            <w:pPr>
              <w:pStyle w:val="12"/>
            </w:pPr>
            <w:r>
              <w:t>≥95%</w:t>
            </w:r>
          </w:p>
        </w:tc>
        <w:tc>
          <w:tcPr>
            <w:tcW w:w="1276" w:type="dxa"/>
            <w:vAlign w:val="center"/>
          </w:tcPr>
          <w:p w14:paraId="7DC2651B">
            <w:pPr>
              <w:pStyle w:val="12"/>
            </w:pPr>
            <w:r>
              <w:t>项目规划</w:t>
            </w:r>
          </w:p>
        </w:tc>
      </w:tr>
    </w:tbl>
    <w:p w14:paraId="635DACF2">
      <w:pPr>
        <w:sectPr>
          <w:pgSz w:w="16840" w:h="11900" w:orient="landscape"/>
          <w:pgMar w:top="1361" w:right="1020" w:bottom="1134" w:left="1020" w:header="720" w:footer="720" w:gutter="0"/>
          <w:cols w:space="720" w:num="1"/>
        </w:sectPr>
      </w:pPr>
    </w:p>
    <w:p w14:paraId="676FCE62">
      <w:pPr>
        <w:spacing w:before="0" w:after="0"/>
        <w:ind w:firstLine="560"/>
        <w:jc w:val="left"/>
        <w:outlineLvl w:val="9"/>
      </w:pPr>
      <w:r>
        <w:rPr>
          <w:rFonts w:ascii="方正仿宋_GBK" w:hAnsi="方正仿宋_GBK" w:eastAsia="方正仿宋_GBK" w:cs="方正仿宋_GBK"/>
          <w:b/>
          <w:color w:val="000000"/>
          <w:sz w:val="28"/>
        </w:rPr>
        <w:t>10、冀财教[2025]122号/中央/2026年学前发展资金/双碑校区学前教育幼儿资助绩效目标表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F9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A2B9F">
            <w:pPr>
              <w:pStyle w:val="11"/>
            </w:pPr>
            <w:r>
              <w:t>单位：万元</w:t>
            </w:r>
          </w:p>
        </w:tc>
      </w:tr>
      <w:tr w14:paraId="462E5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9F902">
            <w:pPr>
              <w:pStyle w:val="10"/>
            </w:pPr>
            <w:r>
              <w:t>项目编码</w:t>
            </w:r>
          </w:p>
        </w:tc>
        <w:tc>
          <w:tcPr>
            <w:tcW w:w="5103" w:type="dxa"/>
            <w:gridSpan w:val="2"/>
            <w:vAlign w:val="center"/>
          </w:tcPr>
          <w:p w14:paraId="50250BF8">
            <w:pPr>
              <w:pStyle w:val="12"/>
            </w:pPr>
            <w:r>
              <w:t>13052526P00000210055G</w:t>
            </w:r>
          </w:p>
        </w:tc>
        <w:tc>
          <w:tcPr>
            <w:tcW w:w="2835" w:type="dxa"/>
            <w:vAlign w:val="center"/>
          </w:tcPr>
          <w:p w14:paraId="070B26B4">
            <w:pPr>
              <w:pStyle w:val="10"/>
            </w:pPr>
            <w:r>
              <w:t>项目名称</w:t>
            </w:r>
          </w:p>
        </w:tc>
        <w:tc>
          <w:tcPr>
            <w:tcW w:w="6095" w:type="dxa"/>
            <w:gridSpan w:val="3"/>
            <w:vAlign w:val="center"/>
          </w:tcPr>
          <w:p w14:paraId="016ADFEC">
            <w:pPr>
              <w:pStyle w:val="12"/>
            </w:pPr>
            <w:r>
              <w:t>冀财教[2025]122号/中央/2026年学前发展资金/双碑校区学前教育幼儿资助</w:t>
            </w:r>
          </w:p>
        </w:tc>
      </w:tr>
      <w:tr w14:paraId="7261F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FBB02">
            <w:pPr>
              <w:pStyle w:val="10"/>
            </w:pPr>
            <w:r>
              <w:t>预算规模及资金用途</w:t>
            </w:r>
          </w:p>
        </w:tc>
        <w:tc>
          <w:tcPr>
            <w:tcW w:w="2268" w:type="dxa"/>
            <w:vAlign w:val="center"/>
          </w:tcPr>
          <w:p w14:paraId="75E63438">
            <w:pPr>
              <w:pStyle w:val="10"/>
            </w:pPr>
            <w:r>
              <w:t>预算数</w:t>
            </w:r>
          </w:p>
        </w:tc>
        <w:tc>
          <w:tcPr>
            <w:tcW w:w="2835" w:type="dxa"/>
            <w:vAlign w:val="center"/>
          </w:tcPr>
          <w:p w14:paraId="1950FB54">
            <w:pPr>
              <w:pStyle w:val="12"/>
            </w:pPr>
            <w:r>
              <w:t>2.16</w:t>
            </w:r>
          </w:p>
        </w:tc>
        <w:tc>
          <w:tcPr>
            <w:tcW w:w="2835" w:type="dxa"/>
            <w:vAlign w:val="center"/>
          </w:tcPr>
          <w:p w14:paraId="4F5B47B5">
            <w:pPr>
              <w:pStyle w:val="10"/>
            </w:pPr>
            <w:r>
              <w:t>其中：财政    资金</w:t>
            </w:r>
          </w:p>
        </w:tc>
        <w:tc>
          <w:tcPr>
            <w:tcW w:w="2551" w:type="dxa"/>
            <w:vAlign w:val="center"/>
          </w:tcPr>
          <w:p w14:paraId="6BCB7975">
            <w:pPr>
              <w:pStyle w:val="12"/>
            </w:pPr>
            <w:r>
              <w:t>2.16</w:t>
            </w:r>
          </w:p>
        </w:tc>
        <w:tc>
          <w:tcPr>
            <w:tcW w:w="2268" w:type="dxa"/>
            <w:vAlign w:val="center"/>
          </w:tcPr>
          <w:p w14:paraId="0D47277B">
            <w:pPr>
              <w:pStyle w:val="10"/>
            </w:pPr>
            <w:r>
              <w:t>其他资金</w:t>
            </w:r>
          </w:p>
        </w:tc>
        <w:tc>
          <w:tcPr>
            <w:tcW w:w="1276" w:type="dxa"/>
            <w:vAlign w:val="center"/>
          </w:tcPr>
          <w:p w14:paraId="7E775760">
            <w:pPr>
              <w:pStyle w:val="12"/>
            </w:pPr>
            <w:r>
              <w:t xml:space="preserve"> </w:t>
            </w:r>
          </w:p>
        </w:tc>
      </w:tr>
      <w:tr w14:paraId="05FF4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8710B"/>
        </w:tc>
        <w:tc>
          <w:tcPr>
            <w:tcW w:w="14033" w:type="dxa"/>
            <w:gridSpan w:val="6"/>
            <w:vAlign w:val="center"/>
          </w:tcPr>
          <w:p w14:paraId="33A3C182">
            <w:pPr>
              <w:pStyle w:val="12"/>
            </w:pPr>
            <w:r>
              <w:t>保障落实建档立卡及家庭经济困难儿童资助所需资金，确保建档立卡等家庭经济困难幼儿优先获得资助</w:t>
            </w:r>
          </w:p>
        </w:tc>
      </w:tr>
      <w:tr w14:paraId="0A64C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0DAD2">
            <w:pPr>
              <w:pStyle w:val="10"/>
            </w:pPr>
            <w:r>
              <w:t>资金支出计划（%）</w:t>
            </w:r>
          </w:p>
        </w:tc>
        <w:tc>
          <w:tcPr>
            <w:tcW w:w="5103" w:type="dxa"/>
            <w:gridSpan w:val="2"/>
            <w:vAlign w:val="center"/>
          </w:tcPr>
          <w:p w14:paraId="1CA5B4AE">
            <w:pPr>
              <w:pStyle w:val="10"/>
            </w:pPr>
            <w:r>
              <w:t>3月底</w:t>
            </w:r>
          </w:p>
        </w:tc>
        <w:tc>
          <w:tcPr>
            <w:tcW w:w="2835" w:type="dxa"/>
            <w:vAlign w:val="center"/>
          </w:tcPr>
          <w:p w14:paraId="06C4C157">
            <w:pPr>
              <w:pStyle w:val="10"/>
            </w:pPr>
            <w:r>
              <w:t>6月底</w:t>
            </w:r>
          </w:p>
        </w:tc>
        <w:tc>
          <w:tcPr>
            <w:tcW w:w="2551" w:type="dxa"/>
            <w:vAlign w:val="center"/>
          </w:tcPr>
          <w:p w14:paraId="1B4F4363">
            <w:pPr>
              <w:pStyle w:val="10"/>
            </w:pPr>
            <w:r>
              <w:t>10月底</w:t>
            </w:r>
          </w:p>
        </w:tc>
        <w:tc>
          <w:tcPr>
            <w:tcW w:w="3544" w:type="dxa"/>
            <w:gridSpan w:val="2"/>
            <w:vAlign w:val="center"/>
          </w:tcPr>
          <w:p w14:paraId="3F0A4B3A">
            <w:pPr>
              <w:pStyle w:val="10"/>
            </w:pPr>
            <w:r>
              <w:t>12月底</w:t>
            </w:r>
          </w:p>
        </w:tc>
      </w:tr>
      <w:tr w14:paraId="01D89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94492"/>
        </w:tc>
        <w:tc>
          <w:tcPr>
            <w:tcW w:w="5103" w:type="dxa"/>
            <w:gridSpan w:val="2"/>
            <w:vAlign w:val="center"/>
          </w:tcPr>
          <w:p w14:paraId="1C001FF1">
            <w:pPr>
              <w:pStyle w:val="13"/>
            </w:pPr>
            <w:r>
              <w:t xml:space="preserve"> </w:t>
            </w:r>
          </w:p>
        </w:tc>
        <w:tc>
          <w:tcPr>
            <w:tcW w:w="2835" w:type="dxa"/>
            <w:vAlign w:val="center"/>
          </w:tcPr>
          <w:p w14:paraId="3FAD47E4">
            <w:pPr>
              <w:pStyle w:val="13"/>
            </w:pPr>
            <w:r>
              <w:t>50%</w:t>
            </w:r>
          </w:p>
        </w:tc>
        <w:tc>
          <w:tcPr>
            <w:tcW w:w="2551" w:type="dxa"/>
            <w:vAlign w:val="center"/>
          </w:tcPr>
          <w:p w14:paraId="72ADD9D3">
            <w:pPr>
              <w:pStyle w:val="13"/>
            </w:pPr>
            <w:r>
              <w:t>50%</w:t>
            </w:r>
          </w:p>
        </w:tc>
        <w:tc>
          <w:tcPr>
            <w:tcW w:w="3544" w:type="dxa"/>
            <w:gridSpan w:val="2"/>
            <w:vAlign w:val="center"/>
          </w:tcPr>
          <w:p w14:paraId="61D71B74">
            <w:pPr>
              <w:pStyle w:val="13"/>
            </w:pPr>
            <w:r>
              <w:t>100%</w:t>
            </w:r>
          </w:p>
        </w:tc>
      </w:tr>
      <w:tr w14:paraId="6550A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212B2">
            <w:pPr>
              <w:pStyle w:val="10"/>
            </w:pPr>
            <w:r>
              <w:t>绩效目标</w:t>
            </w:r>
          </w:p>
        </w:tc>
        <w:tc>
          <w:tcPr>
            <w:tcW w:w="14033" w:type="dxa"/>
            <w:gridSpan w:val="6"/>
            <w:vAlign w:val="center"/>
          </w:tcPr>
          <w:p w14:paraId="6FB2C169">
            <w:pPr>
              <w:pStyle w:val="12"/>
            </w:pPr>
            <w:r>
              <w:t>1.保障落实建档立卡及家庭经济困难儿童资助所需资金，确保建档立卡等家庭经济困难幼儿优先获得资助</w:t>
            </w:r>
          </w:p>
          <w:p w14:paraId="76241A9C">
            <w:pPr>
              <w:pStyle w:val="12"/>
            </w:pPr>
            <w:r>
              <w:t>2.保证本年度资助经费足额落实到位，符合享受资助条件的学生应助尽助。</w:t>
            </w:r>
          </w:p>
        </w:tc>
      </w:tr>
    </w:tbl>
    <w:p w14:paraId="121309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C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345F0">
            <w:pPr>
              <w:pStyle w:val="10"/>
            </w:pPr>
            <w:r>
              <w:t>一级指标</w:t>
            </w:r>
          </w:p>
        </w:tc>
        <w:tc>
          <w:tcPr>
            <w:tcW w:w="2268" w:type="dxa"/>
            <w:vAlign w:val="center"/>
          </w:tcPr>
          <w:p w14:paraId="482099C3">
            <w:pPr>
              <w:pStyle w:val="10"/>
            </w:pPr>
            <w:r>
              <w:t>二级指标</w:t>
            </w:r>
          </w:p>
        </w:tc>
        <w:tc>
          <w:tcPr>
            <w:tcW w:w="2835" w:type="dxa"/>
            <w:vAlign w:val="center"/>
          </w:tcPr>
          <w:p w14:paraId="138B0FE5">
            <w:pPr>
              <w:pStyle w:val="10"/>
            </w:pPr>
            <w:r>
              <w:t>三级指标</w:t>
            </w:r>
          </w:p>
        </w:tc>
        <w:tc>
          <w:tcPr>
            <w:tcW w:w="5386" w:type="dxa"/>
            <w:vAlign w:val="center"/>
          </w:tcPr>
          <w:p w14:paraId="2FA988FF">
            <w:pPr>
              <w:pStyle w:val="10"/>
            </w:pPr>
            <w:r>
              <w:t>绩效指标描述</w:t>
            </w:r>
          </w:p>
        </w:tc>
        <w:tc>
          <w:tcPr>
            <w:tcW w:w="2268" w:type="dxa"/>
            <w:vAlign w:val="center"/>
          </w:tcPr>
          <w:p w14:paraId="332C4E19">
            <w:pPr>
              <w:pStyle w:val="10"/>
            </w:pPr>
            <w:r>
              <w:t>指标值</w:t>
            </w:r>
          </w:p>
        </w:tc>
        <w:tc>
          <w:tcPr>
            <w:tcW w:w="1276" w:type="dxa"/>
            <w:vAlign w:val="center"/>
          </w:tcPr>
          <w:p w14:paraId="21F81AEE">
            <w:pPr>
              <w:pStyle w:val="10"/>
            </w:pPr>
            <w:r>
              <w:t>指标值确定依据</w:t>
            </w:r>
          </w:p>
        </w:tc>
      </w:tr>
      <w:tr w14:paraId="5F0F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015AE">
            <w:pPr>
              <w:pStyle w:val="13"/>
            </w:pPr>
            <w:r>
              <w:t>产出指标</w:t>
            </w:r>
          </w:p>
        </w:tc>
        <w:tc>
          <w:tcPr>
            <w:tcW w:w="2268" w:type="dxa"/>
            <w:vAlign w:val="center"/>
          </w:tcPr>
          <w:p w14:paraId="4626508A">
            <w:pPr>
              <w:pStyle w:val="12"/>
            </w:pPr>
            <w:r>
              <w:t>数量指标</w:t>
            </w:r>
          </w:p>
        </w:tc>
        <w:tc>
          <w:tcPr>
            <w:tcW w:w="2835" w:type="dxa"/>
            <w:vAlign w:val="center"/>
          </w:tcPr>
          <w:p w14:paraId="243E06C6">
            <w:pPr>
              <w:pStyle w:val="12"/>
            </w:pPr>
            <w:r>
              <w:t>幼儿资助比例</w:t>
            </w:r>
          </w:p>
        </w:tc>
        <w:tc>
          <w:tcPr>
            <w:tcW w:w="5386" w:type="dxa"/>
            <w:vAlign w:val="center"/>
          </w:tcPr>
          <w:p w14:paraId="70DBA1E0">
            <w:pPr>
              <w:pStyle w:val="12"/>
            </w:pPr>
            <w:r>
              <w:t>幼儿资助人数</w:t>
            </w:r>
          </w:p>
        </w:tc>
        <w:tc>
          <w:tcPr>
            <w:tcW w:w="2268" w:type="dxa"/>
            <w:vAlign w:val="center"/>
          </w:tcPr>
          <w:p w14:paraId="192DD263">
            <w:pPr>
              <w:pStyle w:val="12"/>
            </w:pPr>
            <w:r>
              <w:t>36人</w:t>
            </w:r>
          </w:p>
        </w:tc>
        <w:tc>
          <w:tcPr>
            <w:tcW w:w="1276" w:type="dxa"/>
            <w:vAlign w:val="center"/>
          </w:tcPr>
          <w:p w14:paraId="65637228">
            <w:pPr>
              <w:pStyle w:val="12"/>
            </w:pPr>
            <w:r>
              <w:t>幼儿资助经费管理办法</w:t>
            </w:r>
          </w:p>
        </w:tc>
      </w:tr>
      <w:tr w14:paraId="6D63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6E99A"/>
        </w:tc>
        <w:tc>
          <w:tcPr>
            <w:tcW w:w="2268" w:type="dxa"/>
            <w:vAlign w:val="center"/>
          </w:tcPr>
          <w:p w14:paraId="4FC705D4">
            <w:pPr>
              <w:pStyle w:val="12"/>
            </w:pPr>
            <w:r>
              <w:t>质量指标</w:t>
            </w:r>
          </w:p>
        </w:tc>
        <w:tc>
          <w:tcPr>
            <w:tcW w:w="2835" w:type="dxa"/>
            <w:vAlign w:val="center"/>
          </w:tcPr>
          <w:p w14:paraId="607C0786">
            <w:pPr>
              <w:pStyle w:val="12"/>
            </w:pPr>
            <w:r>
              <w:t>资助资金使用率</w:t>
            </w:r>
          </w:p>
        </w:tc>
        <w:tc>
          <w:tcPr>
            <w:tcW w:w="5386" w:type="dxa"/>
            <w:vAlign w:val="center"/>
          </w:tcPr>
          <w:p w14:paraId="5A0190EE">
            <w:pPr>
              <w:pStyle w:val="12"/>
            </w:pPr>
            <w:r>
              <w:t>符合享受资助条件的学生应助尽助</w:t>
            </w:r>
          </w:p>
        </w:tc>
        <w:tc>
          <w:tcPr>
            <w:tcW w:w="2268" w:type="dxa"/>
            <w:vAlign w:val="center"/>
          </w:tcPr>
          <w:p w14:paraId="1C0C41C2">
            <w:pPr>
              <w:pStyle w:val="12"/>
            </w:pPr>
            <w:r>
              <w:t>100%</w:t>
            </w:r>
          </w:p>
        </w:tc>
        <w:tc>
          <w:tcPr>
            <w:tcW w:w="1276" w:type="dxa"/>
            <w:vAlign w:val="center"/>
          </w:tcPr>
          <w:p w14:paraId="336D6B02">
            <w:pPr>
              <w:pStyle w:val="12"/>
            </w:pPr>
            <w:r>
              <w:t>幼儿资助经费管理办法</w:t>
            </w:r>
          </w:p>
        </w:tc>
      </w:tr>
      <w:tr w14:paraId="282D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990F6"/>
        </w:tc>
        <w:tc>
          <w:tcPr>
            <w:tcW w:w="2268" w:type="dxa"/>
            <w:vAlign w:val="center"/>
          </w:tcPr>
          <w:p w14:paraId="02DC3455">
            <w:pPr>
              <w:pStyle w:val="12"/>
            </w:pPr>
            <w:r>
              <w:t>时效指标</w:t>
            </w:r>
          </w:p>
        </w:tc>
        <w:tc>
          <w:tcPr>
            <w:tcW w:w="2835" w:type="dxa"/>
            <w:vAlign w:val="center"/>
          </w:tcPr>
          <w:p w14:paraId="789BB9C6">
            <w:pPr>
              <w:pStyle w:val="12"/>
            </w:pPr>
            <w:r>
              <w:t>资金拨付率</w:t>
            </w:r>
          </w:p>
        </w:tc>
        <w:tc>
          <w:tcPr>
            <w:tcW w:w="5386" w:type="dxa"/>
            <w:vAlign w:val="center"/>
          </w:tcPr>
          <w:p w14:paraId="319513AB">
            <w:pPr>
              <w:pStyle w:val="12"/>
            </w:pPr>
            <w:r>
              <w:t>所有项目资金支付进度</w:t>
            </w:r>
          </w:p>
        </w:tc>
        <w:tc>
          <w:tcPr>
            <w:tcW w:w="2268" w:type="dxa"/>
            <w:vAlign w:val="center"/>
          </w:tcPr>
          <w:p w14:paraId="095A8205">
            <w:pPr>
              <w:pStyle w:val="12"/>
            </w:pPr>
            <w:r>
              <w:t>100%</w:t>
            </w:r>
          </w:p>
        </w:tc>
        <w:tc>
          <w:tcPr>
            <w:tcW w:w="1276" w:type="dxa"/>
            <w:vAlign w:val="center"/>
          </w:tcPr>
          <w:p w14:paraId="0C8EC262">
            <w:pPr>
              <w:pStyle w:val="12"/>
            </w:pPr>
            <w:r>
              <w:t>幼儿资助经费管理办法</w:t>
            </w:r>
          </w:p>
        </w:tc>
      </w:tr>
      <w:tr w14:paraId="5017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2113E"/>
        </w:tc>
        <w:tc>
          <w:tcPr>
            <w:tcW w:w="2268" w:type="dxa"/>
            <w:vAlign w:val="center"/>
          </w:tcPr>
          <w:p w14:paraId="1D440DBE">
            <w:pPr>
              <w:pStyle w:val="12"/>
            </w:pPr>
            <w:r>
              <w:t>成本指标</w:t>
            </w:r>
          </w:p>
        </w:tc>
        <w:tc>
          <w:tcPr>
            <w:tcW w:w="2835" w:type="dxa"/>
            <w:vAlign w:val="center"/>
          </w:tcPr>
          <w:p w14:paraId="4116DF10">
            <w:pPr>
              <w:pStyle w:val="12"/>
            </w:pPr>
            <w:r>
              <w:t>幼儿园生均成本</w:t>
            </w:r>
          </w:p>
        </w:tc>
        <w:tc>
          <w:tcPr>
            <w:tcW w:w="5386" w:type="dxa"/>
            <w:vAlign w:val="center"/>
          </w:tcPr>
          <w:p w14:paraId="7D9F9A74">
            <w:pPr>
              <w:pStyle w:val="12"/>
            </w:pPr>
            <w:r>
              <w:t>按照幼儿园资助标准1000元/生/年</w:t>
            </w:r>
          </w:p>
        </w:tc>
        <w:tc>
          <w:tcPr>
            <w:tcW w:w="2268" w:type="dxa"/>
            <w:vAlign w:val="center"/>
          </w:tcPr>
          <w:p w14:paraId="377C349C">
            <w:pPr>
              <w:pStyle w:val="12"/>
            </w:pPr>
            <w:r>
              <w:t>1000元</w:t>
            </w:r>
          </w:p>
        </w:tc>
        <w:tc>
          <w:tcPr>
            <w:tcW w:w="1276" w:type="dxa"/>
            <w:vAlign w:val="center"/>
          </w:tcPr>
          <w:p w14:paraId="1BB0CFE8">
            <w:pPr>
              <w:pStyle w:val="12"/>
            </w:pPr>
            <w:r>
              <w:t>幼儿资助经费管理办法</w:t>
            </w:r>
          </w:p>
        </w:tc>
      </w:tr>
      <w:tr w14:paraId="44E5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CD20A">
            <w:pPr>
              <w:pStyle w:val="13"/>
            </w:pPr>
            <w:r>
              <w:t>效益指标</w:t>
            </w:r>
          </w:p>
        </w:tc>
        <w:tc>
          <w:tcPr>
            <w:tcW w:w="2268" w:type="dxa"/>
            <w:vAlign w:val="center"/>
          </w:tcPr>
          <w:p w14:paraId="2B28C65F">
            <w:pPr>
              <w:pStyle w:val="12"/>
            </w:pPr>
            <w:r>
              <w:t>可持续影响指标</w:t>
            </w:r>
          </w:p>
        </w:tc>
        <w:tc>
          <w:tcPr>
            <w:tcW w:w="2835" w:type="dxa"/>
            <w:vAlign w:val="center"/>
          </w:tcPr>
          <w:p w14:paraId="0E2CE9D7">
            <w:pPr>
              <w:pStyle w:val="12"/>
            </w:pPr>
            <w:r>
              <w:t>幼儿园正常运转</w:t>
            </w:r>
          </w:p>
        </w:tc>
        <w:tc>
          <w:tcPr>
            <w:tcW w:w="5386" w:type="dxa"/>
            <w:vAlign w:val="center"/>
          </w:tcPr>
          <w:p w14:paraId="2FE23246">
            <w:pPr>
              <w:pStyle w:val="12"/>
            </w:pPr>
            <w:r>
              <w:t>幼儿受教育年限</w:t>
            </w:r>
          </w:p>
        </w:tc>
        <w:tc>
          <w:tcPr>
            <w:tcW w:w="2268" w:type="dxa"/>
            <w:vAlign w:val="center"/>
          </w:tcPr>
          <w:p w14:paraId="460B2594">
            <w:pPr>
              <w:pStyle w:val="12"/>
            </w:pPr>
            <w:r>
              <w:t>3年</w:t>
            </w:r>
          </w:p>
        </w:tc>
        <w:tc>
          <w:tcPr>
            <w:tcW w:w="1276" w:type="dxa"/>
            <w:vAlign w:val="center"/>
          </w:tcPr>
          <w:p w14:paraId="1A38A15E">
            <w:pPr>
              <w:pStyle w:val="12"/>
            </w:pPr>
            <w:r>
              <w:t>幼儿资助经费管理办法</w:t>
            </w:r>
          </w:p>
        </w:tc>
      </w:tr>
      <w:tr w14:paraId="67F8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71282">
            <w:pPr>
              <w:pStyle w:val="13"/>
            </w:pPr>
            <w:r>
              <w:t>满意度指标</w:t>
            </w:r>
          </w:p>
        </w:tc>
        <w:tc>
          <w:tcPr>
            <w:tcW w:w="2268" w:type="dxa"/>
            <w:vAlign w:val="center"/>
          </w:tcPr>
          <w:p w14:paraId="66D44693">
            <w:pPr>
              <w:pStyle w:val="12"/>
            </w:pPr>
            <w:r>
              <w:t>服务对象满意度指标</w:t>
            </w:r>
          </w:p>
        </w:tc>
        <w:tc>
          <w:tcPr>
            <w:tcW w:w="2835" w:type="dxa"/>
            <w:vAlign w:val="center"/>
          </w:tcPr>
          <w:p w14:paraId="5A499780">
            <w:pPr>
              <w:pStyle w:val="12"/>
            </w:pPr>
            <w:r>
              <w:t>受益幼儿家长及调查满意度</w:t>
            </w:r>
          </w:p>
        </w:tc>
        <w:tc>
          <w:tcPr>
            <w:tcW w:w="5386" w:type="dxa"/>
            <w:vAlign w:val="center"/>
          </w:tcPr>
          <w:p w14:paraId="6D1798EC">
            <w:pPr>
              <w:pStyle w:val="12"/>
            </w:pPr>
            <w:r>
              <w:t>学生、教师及家长对学校保教保育工作满意度情况</w:t>
            </w:r>
          </w:p>
        </w:tc>
        <w:tc>
          <w:tcPr>
            <w:tcW w:w="2268" w:type="dxa"/>
            <w:vAlign w:val="center"/>
          </w:tcPr>
          <w:p w14:paraId="6A1D470A">
            <w:pPr>
              <w:pStyle w:val="12"/>
            </w:pPr>
            <w:r>
              <w:t>≥95%</w:t>
            </w:r>
          </w:p>
        </w:tc>
        <w:tc>
          <w:tcPr>
            <w:tcW w:w="1276" w:type="dxa"/>
            <w:vAlign w:val="center"/>
          </w:tcPr>
          <w:p w14:paraId="3549DBB4">
            <w:pPr>
              <w:pStyle w:val="12"/>
            </w:pPr>
            <w:r>
              <w:t>幼儿资助经费管理办法</w:t>
            </w:r>
          </w:p>
        </w:tc>
      </w:tr>
    </w:tbl>
    <w:p w14:paraId="2B65811A">
      <w:pPr>
        <w:sectPr>
          <w:pgSz w:w="16840" w:h="11900" w:orient="landscape"/>
          <w:pgMar w:top="1361" w:right="1020" w:bottom="1134" w:left="1020" w:header="720" w:footer="720" w:gutter="0"/>
          <w:cols w:space="720" w:num="1"/>
        </w:sectPr>
      </w:pPr>
    </w:p>
    <w:p w14:paraId="7B1FFEB9">
      <w:pPr>
        <w:spacing w:before="0" w:after="0"/>
        <w:ind w:firstLine="560"/>
        <w:jc w:val="left"/>
        <w:outlineLvl w:val="9"/>
      </w:pPr>
      <w:r>
        <w:rPr>
          <w:rFonts w:ascii="方正仿宋_GBK" w:hAnsi="方正仿宋_GBK" w:eastAsia="方正仿宋_GBK" w:cs="方正仿宋_GBK"/>
          <w:b/>
          <w:color w:val="000000"/>
          <w:sz w:val="28"/>
        </w:rPr>
        <w:t>11、冀财教[2025]122号/中央/2026年学前发展资金/双碑校区幼儿园免保育教育费补助绩效目标表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8E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40438">
            <w:pPr>
              <w:pStyle w:val="11"/>
            </w:pPr>
            <w:r>
              <w:t>单位：万元</w:t>
            </w:r>
          </w:p>
        </w:tc>
      </w:tr>
      <w:tr w14:paraId="2E57A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9A94A">
            <w:pPr>
              <w:pStyle w:val="10"/>
            </w:pPr>
            <w:r>
              <w:t>项目编码</w:t>
            </w:r>
          </w:p>
        </w:tc>
        <w:tc>
          <w:tcPr>
            <w:tcW w:w="5103" w:type="dxa"/>
            <w:gridSpan w:val="2"/>
            <w:vAlign w:val="center"/>
          </w:tcPr>
          <w:p w14:paraId="620E4A9C">
            <w:pPr>
              <w:pStyle w:val="12"/>
            </w:pPr>
            <w:r>
              <w:t>13052526P00876910138T</w:t>
            </w:r>
          </w:p>
        </w:tc>
        <w:tc>
          <w:tcPr>
            <w:tcW w:w="2835" w:type="dxa"/>
            <w:vAlign w:val="center"/>
          </w:tcPr>
          <w:p w14:paraId="7E584F69">
            <w:pPr>
              <w:pStyle w:val="10"/>
            </w:pPr>
            <w:r>
              <w:t>项目名称</w:t>
            </w:r>
          </w:p>
        </w:tc>
        <w:tc>
          <w:tcPr>
            <w:tcW w:w="6095" w:type="dxa"/>
            <w:gridSpan w:val="3"/>
            <w:vAlign w:val="center"/>
          </w:tcPr>
          <w:p w14:paraId="78F0A629">
            <w:pPr>
              <w:pStyle w:val="12"/>
            </w:pPr>
            <w:r>
              <w:t>冀财教[2025]122号/中央/2026年学前发展资金/双碑校区幼儿园免保育教育费补助</w:t>
            </w:r>
          </w:p>
        </w:tc>
      </w:tr>
      <w:tr w14:paraId="2A0C5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BC833">
            <w:pPr>
              <w:pStyle w:val="10"/>
            </w:pPr>
            <w:r>
              <w:t>预算规模及资金用途</w:t>
            </w:r>
          </w:p>
        </w:tc>
        <w:tc>
          <w:tcPr>
            <w:tcW w:w="2268" w:type="dxa"/>
            <w:vAlign w:val="center"/>
          </w:tcPr>
          <w:p w14:paraId="10F3CDF4">
            <w:pPr>
              <w:pStyle w:val="10"/>
            </w:pPr>
            <w:r>
              <w:t>预算数</w:t>
            </w:r>
          </w:p>
        </w:tc>
        <w:tc>
          <w:tcPr>
            <w:tcW w:w="2835" w:type="dxa"/>
            <w:vAlign w:val="center"/>
          </w:tcPr>
          <w:p w14:paraId="30D006D1">
            <w:pPr>
              <w:pStyle w:val="12"/>
            </w:pPr>
            <w:r>
              <w:t>4.45</w:t>
            </w:r>
          </w:p>
        </w:tc>
        <w:tc>
          <w:tcPr>
            <w:tcW w:w="2835" w:type="dxa"/>
            <w:vAlign w:val="center"/>
          </w:tcPr>
          <w:p w14:paraId="06CDDDE5">
            <w:pPr>
              <w:pStyle w:val="10"/>
            </w:pPr>
            <w:r>
              <w:t>其中：财政    资金</w:t>
            </w:r>
          </w:p>
        </w:tc>
        <w:tc>
          <w:tcPr>
            <w:tcW w:w="2551" w:type="dxa"/>
            <w:vAlign w:val="center"/>
          </w:tcPr>
          <w:p w14:paraId="362E9C65">
            <w:pPr>
              <w:pStyle w:val="12"/>
            </w:pPr>
            <w:r>
              <w:t>4.45</w:t>
            </w:r>
          </w:p>
        </w:tc>
        <w:tc>
          <w:tcPr>
            <w:tcW w:w="2268" w:type="dxa"/>
            <w:vAlign w:val="center"/>
          </w:tcPr>
          <w:p w14:paraId="1DF866A4">
            <w:pPr>
              <w:pStyle w:val="10"/>
            </w:pPr>
            <w:r>
              <w:t>其他资金</w:t>
            </w:r>
          </w:p>
        </w:tc>
        <w:tc>
          <w:tcPr>
            <w:tcW w:w="1276" w:type="dxa"/>
            <w:vAlign w:val="center"/>
          </w:tcPr>
          <w:p w14:paraId="3B830CAD">
            <w:pPr>
              <w:pStyle w:val="12"/>
            </w:pPr>
            <w:r>
              <w:t xml:space="preserve"> </w:t>
            </w:r>
          </w:p>
        </w:tc>
      </w:tr>
      <w:tr w14:paraId="7B9E5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DD0F8"/>
        </w:tc>
        <w:tc>
          <w:tcPr>
            <w:tcW w:w="14033" w:type="dxa"/>
            <w:gridSpan w:val="6"/>
            <w:vAlign w:val="center"/>
          </w:tcPr>
          <w:p w14:paraId="73615EE5">
            <w:pPr>
              <w:pStyle w:val="12"/>
            </w:pPr>
            <w:r>
              <w:t xml:space="preserve"> 保障幼儿园正常运转，完成教育教学活动和其他日常工作任务等方面的费用支出。</w:t>
            </w:r>
          </w:p>
        </w:tc>
      </w:tr>
      <w:tr w14:paraId="205C8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396AD">
            <w:pPr>
              <w:pStyle w:val="10"/>
            </w:pPr>
            <w:r>
              <w:t>资金支出计划（%）</w:t>
            </w:r>
          </w:p>
        </w:tc>
        <w:tc>
          <w:tcPr>
            <w:tcW w:w="5103" w:type="dxa"/>
            <w:gridSpan w:val="2"/>
            <w:vAlign w:val="center"/>
          </w:tcPr>
          <w:p w14:paraId="12DCA988">
            <w:pPr>
              <w:pStyle w:val="10"/>
            </w:pPr>
            <w:r>
              <w:t>3月底</w:t>
            </w:r>
          </w:p>
        </w:tc>
        <w:tc>
          <w:tcPr>
            <w:tcW w:w="2835" w:type="dxa"/>
            <w:vAlign w:val="center"/>
          </w:tcPr>
          <w:p w14:paraId="56E14767">
            <w:pPr>
              <w:pStyle w:val="10"/>
            </w:pPr>
            <w:r>
              <w:t>6月底</w:t>
            </w:r>
          </w:p>
        </w:tc>
        <w:tc>
          <w:tcPr>
            <w:tcW w:w="2551" w:type="dxa"/>
            <w:vAlign w:val="center"/>
          </w:tcPr>
          <w:p w14:paraId="0654A1D2">
            <w:pPr>
              <w:pStyle w:val="10"/>
            </w:pPr>
            <w:r>
              <w:t>10月底</w:t>
            </w:r>
          </w:p>
        </w:tc>
        <w:tc>
          <w:tcPr>
            <w:tcW w:w="3544" w:type="dxa"/>
            <w:gridSpan w:val="2"/>
            <w:vAlign w:val="center"/>
          </w:tcPr>
          <w:p w14:paraId="1F6A79EB">
            <w:pPr>
              <w:pStyle w:val="10"/>
            </w:pPr>
            <w:r>
              <w:t>12月底</w:t>
            </w:r>
          </w:p>
        </w:tc>
      </w:tr>
      <w:tr w14:paraId="70342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78350"/>
        </w:tc>
        <w:tc>
          <w:tcPr>
            <w:tcW w:w="5103" w:type="dxa"/>
            <w:gridSpan w:val="2"/>
            <w:vAlign w:val="center"/>
          </w:tcPr>
          <w:p w14:paraId="30ACC267">
            <w:pPr>
              <w:pStyle w:val="13"/>
            </w:pPr>
            <w:r>
              <w:t>25%</w:t>
            </w:r>
          </w:p>
        </w:tc>
        <w:tc>
          <w:tcPr>
            <w:tcW w:w="2835" w:type="dxa"/>
            <w:vAlign w:val="center"/>
          </w:tcPr>
          <w:p w14:paraId="56A6A26B">
            <w:pPr>
              <w:pStyle w:val="13"/>
            </w:pPr>
            <w:r>
              <w:t>50%</w:t>
            </w:r>
          </w:p>
        </w:tc>
        <w:tc>
          <w:tcPr>
            <w:tcW w:w="2551" w:type="dxa"/>
            <w:vAlign w:val="center"/>
          </w:tcPr>
          <w:p w14:paraId="48DA60FA">
            <w:pPr>
              <w:pStyle w:val="13"/>
            </w:pPr>
            <w:r>
              <w:t>75%</w:t>
            </w:r>
          </w:p>
        </w:tc>
        <w:tc>
          <w:tcPr>
            <w:tcW w:w="3544" w:type="dxa"/>
            <w:gridSpan w:val="2"/>
            <w:vAlign w:val="center"/>
          </w:tcPr>
          <w:p w14:paraId="660D9429">
            <w:pPr>
              <w:pStyle w:val="13"/>
            </w:pPr>
            <w:r>
              <w:t>100%</w:t>
            </w:r>
          </w:p>
        </w:tc>
      </w:tr>
      <w:tr w14:paraId="1588D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30E67">
            <w:pPr>
              <w:pStyle w:val="10"/>
            </w:pPr>
            <w:r>
              <w:t>绩效目标</w:t>
            </w:r>
          </w:p>
        </w:tc>
        <w:tc>
          <w:tcPr>
            <w:tcW w:w="14033" w:type="dxa"/>
            <w:gridSpan w:val="6"/>
            <w:vAlign w:val="center"/>
          </w:tcPr>
          <w:p w14:paraId="2565C242">
            <w:pPr>
              <w:pStyle w:val="12"/>
            </w:pPr>
            <w:r>
              <w:t>1. 保障幼儿园正常运转，完成教育教学活动和其他日常工作任务等方面的费用支出。</w:t>
            </w:r>
          </w:p>
        </w:tc>
      </w:tr>
    </w:tbl>
    <w:p w14:paraId="5AFC27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DA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556B1">
            <w:pPr>
              <w:pStyle w:val="10"/>
            </w:pPr>
            <w:r>
              <w:t>一级指标</w:t>
            </w:r>
          </w:p>
        </w:tc>
        <w:tc>
          <w:tcPr>
            <w:tcW w:w="2268" w:type="dxa"/>
            <w:vAlign w:val="center"/>
          </w:tcPr>
          <w:p w14:paraId="10403EBC">
            <w:pPr>
              <w:pStyle w:val="10"/>
            </w:pPr>
            <w:r>
              <w:t>二级指标</w:t>
            </w:r>
          </w:p>
        </w:tc>
        <w:tc>
          <w:tcPr>
            <w:tcW w:w="2835" w:type="dxa"/>
            <w:vAlign w:val="center"/>
          </w:tcPr>
          <w:p w14:paraId="6456BE6F">
            <w:pPr>
              <w:pStyle w:val="10"/>
            </w:pPr>
            <w:r>
              <w:t>三级指标</w:t>
            </w:r>
          </w:p>
        </w:tc>
        <w:tc>
          <w:tcPr>
            <w:tcW w:w="5386" w:type="dxa"/>
            <w:vAlign w:val="center"/>
          </w:tcPr>
          <w:p w14:paraId="04D399B1">
            <w:pPr>
              <w:pStyle w:val="10"/>
            </w:pPr>
            <w:r>
              <w:t>绩效指标描述</w:t>
            </w:r>
          </w:p>
        </w:tc>
        <w:tc>
          <w:tcPr>
            <w:tcW w:w="2268" w:type="dxa"/>
            <w:vAlign w:val="center"/>
          </w:tcPr>
          <w:p w14:paraId="45EE37FB">
            <w:pPr>
              <w:pStyle w:val="10"/>
            </w:pPr>
            <w:r>
              <w:t>指标值</w:t>
            </w:r>
          </w:p>
        </w:tc>
        <w:tc>
          <w:tcPr>
            <w:tcW w:w="1276" w:type="dxa"/>
            <w:vAlign w:val="center"/>
          </w:tcPr>
          <w:p w14:paraId="1C9D32A7">
            <w:pPr>
              <w:pStyle w:val="10"/>
            </w:pPr>
            <w:r>
              <w:t>指标值确定依据</w:t>
            </w:r>
          </w:p>
        </w:tc>
      </w:tr>
      <w:tr w14:paraId="4C9C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7482A">
            <w:pPr>
              <w:pStyle w:val="13"/>
            </w:pPr>
            <w:r>
              <w:t>产出指标</w:t>
            </w:r>
          </w:p>
        </w:tc>
        <w:tc>
          <w:tcPr>
            <w:tcW w:w="2268" w:type="dxa"/>
            <w:vAlign w:val="center"/>
          </w:tcPr>
          <w:p w14:paraId="71A0D00E">
            <w:pPr>
              <w:pStyle w:val="12"/>
            </w:pPr>
            <w:r>
              <w:t>数量指标</w:t>
            </w:r>
          </w:p>
        </w:tc>
        <w:tc>
          <w:tcPr>
            <w:tcW w:w="2835" w:type="dxa"/>
            <w:vAlign w:val="center"/>
          </w:tcPr>
          <w:p w14:paraId="1D7BF1FE">
            <w:pPr>
              <w:pStyle w:val="12"/>
            </w:pPr>
            <w:r>
              <w:t>适龄在园生</w:t>
            </w:r>
          </w:p>
        </w:tc>
        <w:tc>
          <w:tcPr>
            <w:tcW w:w="5386" w:type="dxa"/>
            <w:vAlign w:val="center"/>
          </w:tcPr>
          <w:p w14:paraId="77DD7637">
            <w:pPr>
              <w:pStyle w:val="12"/>
            </w:pPr>
            <w:r>
              <w:t>适龄在园学生人数</w:t>
            </w:r>
          </w:p>
        </w:tc>
        <w:tc>
          <w:tcPr>
            <w:tcW w:w="2268" w:type="dxa"/>
            <w:vAlign w:val="center"/>
          </w:tcPr>
          <w:p w14:paraId="53BA115E">
            <w:pPr>
              <w:pStyle w:val="12"/>
            </w:pPr>
            <w:r>
              <w:t>199人</w:t>
            </w:r>
          </w:p>
        </w:tc>
        <w:tc>
          <w:tcPr>
            <w:tcW w:w="1276" w:type="dxa"/>
            <w:vAlign w:val="center"/>
          </w:tcPr>
          <w:p w14:paraId="192BA76F">
            <w:pPr>
              <w:pStyle w:val="12"/>
            </w:pPr>
            <w:r>
              <w:t>支持学前教育发展资金管理方法</w:t>
            </w:r>
          </w:p>
        </w:tc>
      </w:tr>
      <w:tr w14:paraId="629E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5351B"/>
        </w:tc>
        <w:tc>
          <w:tcPr>
            <w:tcW w:w="2268" w:type="dxa"/>
            <w:vAlign w:val="center"/>
          </w:tcPr>
          <w:p w14:paraId="4B64C8F7">
            <w:pPr>
              <w:pStyle w:val="12"/>
            </w:pPr>
            <w:r>
              <w:t>质量指标</w:t>
            </w:r>
          </w:p>
        </w:tc>
        <w:tc>
          <w:tcPr>
            <w:tcW w:w="2835" w:type="dxa"/>
            <w:vAlign w:val="center"/>
          </w:tcPr>
          <w:p w14:paraId="1F18F5D1">
            <w:pPr>
              <w:pStyle w:val="12"/>
            </w:pPr>
            <w:r>
              <w:t>公用经费使用率</w:t>
            </w:r>
          </w:p>
        </w:tc>
        <w:tc>
          <w:tcPr>
            <w:tcW w:w="5386" w:type="dxa"/>
            <w:vAlign w:val="center"/>
          </w:tcPr>
          <w:p w14:paraId="2D7BA27E">
            <w:pPr>
              <w:pStyle w:val="12"/>
            </w:pPr>
            <w:r>
              <w:t>用于弥补经费不足，改善办学条件</w:t>
            </w:r>
          </w:p>
        </w:tc>
        <w:tc>
          <w:tcPr>
            <w:tcW w:w="2268" w:type="dxa"/>
            <w:vAlign w:val="center"/>
          </w:tcPr>
          <w:p w14:paraId="3BEDC693">
            <w:pPr>
              <w:pStyle w:val="12"/>
            </w:pPr>
            <w:r>
              <w:t>100%</w:t>
            </w:r>
          </w:p>
        </w:tc>
        <w:tc>
          <w:tcPr>
            <w:tcW w:w="1276" w:type="dxa"/>
            <w:vAlign w:val="center"/>
          </w:tcPr>
          <w:p w14:paraId="2CBD4745">
            <w:pPr>
              <w:pStyle w:val="12"/>
            </w:pPr>
            <w:r>
              <w:t>支持学前教育发展资金管理方法</w:t>
            </w:r>
          </w:p>
        </w:tc>
      </w:tr>
      <w:tr w14:paraId="39E3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0ED04"/>
        </w:tc>
        <w:tc>
          <w:tcPr>
            <w:tcW w:w="2268" w:type="dxa"/>
            <w:vAlign w:val="center"/>
          </w:tcPr>
          <w:p w14:paraId="16F78A04">
            <w:pPr>
              <w:pStyle w:val="12"/>
            </w:pPr>
            <w:r>
              <w:t>时效指标</w:t>
            </w:r>
          </w:p>
        </w:tc>
        <w:tc>
          <w:tcPr>
            <w:tcW w:w="2835" w:type="dxa"/>
            <w:vAlign w:val="center"/>
          </w:tcPr>
          <w:p w14:paraId="1FB2A2AF">
            <w:pPr>
              <w:pStyle w:val="12"/>
            </w:pPr>
            <w:r>
              <w:t>资金支付率</w:t>
            </w:r>
          </w:p>
        </w:tc>
        <w:tc>
          <w:tcPr>
            <w:tcW w:w="5386" w:type="dxa"/>
            <w:vAlign w:val="center"/>
          </w:tcPr>
          <w:p w14:paraId="4E9E7059">
            <w:pPr>
              <w:pStyle w:val="12"/>
            </w:pPr>
            <w:r>
              <w:t>按照序时进度完成资金支付</w:t>
            </w:r>
          </w:p>
        </w:tc>
        <w:tc>
          <w:tcPr>
            <w:tcW w:w="2268" w:type="dxa"/>
            <w:vAlign w:val="center"/>
          </w:tcPr>
          <w:p w14:paraId="14DB86B0">
            <w:pPr>
              <w:pStyle w:val="12"/>
            </w:pPr>
            <w:r>
              <w:t>100%</w:t>
            </w:r>
          </w:p>
        </w:tc>
        <w:tc>
          <w:tcPr>
            <w:tcW w:w="1276" w:type="dxa"/>
            <w:vAlign w:val="center"/>
          </w:tcPr>
          <w:p w14:paraId="48847E96">
            <w:pPr>
              <w:pStyle w:val="12"/>
            </w:pPr>
            <w:r>
              <w:t>支持学前教育发展资金管理方法</w:t>
            </w:r>
          </w:p>
        </w:tc>
      </w:tr>
      <w:tr w14:paraId="4914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B4940"/>
        </w:tc>
        <w:tc>
          <w:tcPr>
            <w:tcW w:w="2268" w:type="dxa"/>
            <w:vAlign w:val="center"/>
          </w:tcPr>
          <w:p w14:paraId="5C3DD24E">
            <w:pPr>
              <w:pStyle w:val="12"/>
            </w:pPr>
            <w:r>
              <w:t>成本指标</w:t>
            </w:r>
          </w:p>
        </w:tc>
        <w:tc>
          <w:tcPr>
            <w:tcW w:w="2835" w:type="dxa"/>
            <w:vAlign w:val="center"/>
          </w:tcPr>
          <w:p w14:paraId="60FDFB01">
            <w:pPr>
              <w:pStyle w:val="12"/>
            </w:pPr>
            <w:r>
              <w:t>生均拨款标准</w:t>
            </w:r>
          </w:p>
        </w:tc>
        <w:tc>
          <w:tcPr>
            <w:tcW w:w="5386" w:type="dxa"/>
            <w:vAlign w:val="center"/>
          </w:tcPr>
          <w:p w14:paraId="5C2CA297">
            <w:pPr>
              <w:pStyle w:val="12"/>
            </w:pPr>
            <w:r>
              <w:t>根据各学校学前保育费标准进行补助</w:t>
            </w:r>
          </w:p>
        </w:tc>
        <w:tc>
          <w:tcPr>
            <w:tcW w:w="2268" w:type="dxa"/>
            <w:vAlign w:val="center"/>
          </w:tcPr>
          <w:p w14:paraId="7D4FC6F3">
            <w:pPr>
              <w:pStyle w:val="12"/>
            </w:pPr>
            <w:r>
              <w:t>44539元</w:t>
            </w:r>
          </w:p>
        </w:tc>
        <w:tc>
          <w:tcPr>
            <w:tcW w:w="1276" w:type="dxa"/>
            <w:vAlign w:val="center"/>
          </w:tcPr>
          <w:p w14:paraId="385B5205">
            <w:pPr>
              <w:pStyle w:val="12"/>
            </w:pPr>
            <w:r>
              <w:t>支持学前教育发展资金管理方法</w:t>
            </w:r>
          </w:p>
        </w:tc>
      </w:tr>
      <w:tr w14:paraId="3C32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9C3FA">
            <w:pPr>
              <w:pStyle w:val="13"/>
            </w:pPr>
            <w:r>
              <w:t>效益指标</w:t>
            </w:r>
          </w:p>
        </w:tc>
        <w:tc>
          <w:tcPr>
            <w:tcW w:w="2268" w:type="dxa"/>
            <w:vAlign w:val="center"/>
          </w:tcPr>
          <w:p w14:paraId="21089FDF">
            <w:pPr>
              <w:pStyle w:val="12"/>
            </w:pPr>
            <w:r>
              <w:t>可持续影响指标</w:t>
            </w:r>
          </w:p>
        </w:tc>
        <w:tc>
          <w:tcPr>
            <w:tcW w:w="2835" w:type="dxa"/>
            <w:vAlign w:val="center"/>
          </w:tcPr>
          <w:p w14:paraId="7BBA6747">
            <w:pPr>
              <w:pStyle w:val="12"/>
            </w:pPr>
            <w:r>
              <w:t>学校运转得到提高</w:t>
            </w:r>
          </w:p>
        </w:tc>
        <w:tc>
          <w:tcPr>
            <w:tcW w:w="5386" w:type="dxa"/>
            <w:vAlign w:val="center"/>
          </w:tcPr>
          <w:p w14:paraId="014B3CCB">
            <w:pPr>
              <w:pStyle w:val="12"/>
            </w:pPr>
            <w:r>
              <w:t>学生受教育年限</w:t>
            </w:r>
          </w:p>
        </w:tc>
        <w:tc>
          <w:tcPr>
            <w:tcW w:w="2268" w:type="dxa"/>
            <w:vAlign w:val="center"/>
          </w:tcPr>
          <w:p w14:paraId="6CB1F9F6">
            <w:pPr>
              <w:pStyle w:val="12"/>
            </w:pPr>
            <w:r>
              <w:t>3年</w:t>
            </w:r>
          </w:p>
        </w:tc>
        <w:tc>
          <w:tcPr>
            <w:tcW w:w="1276" w:type="dxa"/>
            <w:vAlign w:val="center"/>
          </w:tcPr>
          <w:p w14:paraId="5597AEB0">
            <w:pPr>
              <w:pStyle w:val="12"/>
            </w:pPr>
            <w:r>
              <w:t>支持学前教育发展资金管理方法</w:t>
            </w:r>
          </w:p>
        </w:tc>
      </w:tr>
      <w:tr w14:paraId="08A5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7E1AF">
            <w:pPr>
              <w:pStyle w:val="13"/>
            </w:pPr>
            <w:r>
              <w:t>满意度指标</w:t>
            </w:r>
          </w:p>
        </w:tc>
        <w:tc>
          <w:tcPr>
            <w:tcW w:w="2268" w:type="dxa"/>
            <w:vAlign w:val="center"/>
          </w:tcPr>
          <w:p w14:paraId="52F30EF4">
            <w:pPr>
              <w:pStyle w:val="12"/>
            </w:pPr>
            <w:r>
              <w:t>服务对象满意度指标</w:t>
            </w:r>
          </w:p>
        </w:tc>
        <w:tc>
          <w:tcPr>
            <w:tcW w:w="2835" w:type="dxa"/>
            <w:vAlign w:val="center"/>
          </w:tcPr>
          <w:p w14:paraId="3FCEC349">
            <w:pPr>
              <w:pStyle w:val="12"/>
            </w:pPr>
            <w:r>
              <w:t>受益学生家长及调查满意度</w:t>
            </w:r>
          </w:p>
        </w:tc>
        <w:tc>
          <w:tcPr>
            <w:tcW w:w="5386" w:type="dxa"/>
            <w:vAlign w:val="center"/>
          </w:tcPr>
          <w:p w14:paraId="7914B3C5">
            <w:pPr>
              <w:pStyle w:val="12"/>
            </w:pPr>
            <w:r>
              <w:t>学生、教师及家长对学校保教保育工作满意度情况</w:t>
            </w:r>
          </w:p>
        </w:tc>
        <w:tc>
          <w:tcPr>
            <w:tcW w:w="2268" w:type="dxa"/>
            <w:vAlign w:val="center"/>
          </w:tcPr>
          <w:p w14:paraId="4DE829DF">
            <w:pPr>
              <w:pStyle w:val="12"/>
            </w:pPr>
            <w:r>
              <w:t>≥95%</w:t>
            </w:r>
          </w:p>
        </w:tc>
        <w:tc>
          <w:tcPr>
            <w:tcW w:w="1276" w:type="dxa"/>
            <w:vAlign w:val="center"/>
          </w:tcPr>
          <w:p w14:paraId="4164C7A3">
            <w:pPr>
              <w:pStyle w:val="12"/>
            </w:pPr>
            <w:r>
              <w:t>支持学前教育发展资金管理方法</w:t>
            </w:r>
          </w:p>
        </w:tc>
      </w:tr>
    </w:tbl>
    <w:p w14:paraId="13242551">
      <w:pPr>
        <w:sectPr>
          <w:pgSz w:w="16840" w:h="11900" w:orient="landscape"/>
          <w:pgMar w:top="1361" w:right="1020" w:bottom="1134" w:left="1020" w:header="720" w:footer="720" w:gutter="0"/>
          <w:cols w:space="720" w:num="1"/>
        </w:sectPr>
      </w:pPr>
    </w:p>
    <w:p w14:paraId="7AE3EBDE">
      <w:pPr>
        <w:spacing w:before="0" w:after="0"/>
        <w:ind w:firstLine="560"/>
        <w:jc w:val="left"/>
        <w:outlineLvl w:val="9"/>
      </w:pPr>
      <w:r>
        <w:rPr>
          <w:rFonts w:ascii="方正仿宋_GBK" w:hAnsi="方正仿宋_GBK" w:eastAsia="方正仿宋_GBK" w:cs="方正仿宋_GBK"/>
          <w:b/>
          <w:color w:val="000000"/>
          <w:sz w:val="28"/>
        </w:rPr>
        <w:t>12、冀财教[2025]122号/中央/支持学前教育发展/双碑校区幼儿园设备购置绩效目标表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36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B250D">
            <w:pPr>
              <w:pStyle w:val="11"/>
            </w:pPr>
            <w:r>
              <w:t>单位：万元</w:t>
            </w:r>
          </w:p>
        </w:tc>
      </w:tr>
      <w:tr w14:paraId="7AB93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95E3F">
            <w:pPr>
              <w:pStyle w:val="10"/>
            </w:pPr>
            <w:r>
              <w:t>项目编码</w:t>
            </w:r>
          </w:p>
        </w:tc>
        <w:tc>
          <w:tcPr>
            <w:tcW w:w="5103" w:type="dxa"/>
            <w:gridSpan w:val="2"/>
            <w:vAlign w:val="center"/>
          </w:tcPr>
          <w:p w14:paraId="692A4ED1">
            <w:pPr>
              <w:pStyle w:val="12"/>
            </w:pPr>
            <w:r>
              <w:t>13052526P00876910181W</w:t>
            </w:r>
          </w:p>
        </w:tc>
        <w:tc>
          <w:tcPr>
            <w:tcW w:w="2835" w:type="dxa"/>
            <w:vAlign w:val="center"/>
          </w:tcPr>
          <w:p w14:paraId="41FA59F0">
            <w:pPr>
              <w:pStyle w:val="10"/>
            </w:pPr>
            <w:r>
              <w:t>项目名称</w:t>
            </w:r>
          </w:p>
        </w:tc>
        <w:tc>
          <w:tcPr>
            <w:tcW w:w="6095" w:type="dxa"/>
            <w:gridSpan w:val="3"/>
            <w:vAlign w:val="center"/>
          </w:tcPr>
          <w:p w14:paraId="43B23883">
            <w:pPr>
              <w:pStyle w:val="12"/>
            </w:pPr>
            <w:r>
              <w:t>冀财教[2025]122号/中央/支持学前教育发展/双碑校区幼儿园设备购置</w:t>
            </w:r>
          </w:p>
        </w:tc>
      </w:tr>
      <w:tr w14:paraId="5B10C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FA9CB">
            <w:pPr>
              <w:pStyle w:val="10"/>
            </w:pPr>
            <w:r>
              <w:t>预算规模及资金用途</w:t>
            </w:r>
          </w:p>
        </w:tc>
        <w:tc>
          <w:tcPr>
            <w:tcW w:w="2268" w:type="dxa"/>
            <w:vAlign w:val="center"/>
          </w:tcPr>
          <w:p w14:paraId="008B57A0">
            <w:pPr>
              <w:pStyle w:val="10"/>
            </w:pPr>
            <w:r>
              <w:t>预算数</w:t>
            </w:r>
          </w:p>
        </w:tc>
        <w:tc>
          <w:tcPr>
            <w:tcW w:w="2835" w:type="dxa"/>
            <w:vAlign w:val="center"/>
          </w:tcPr>
          <w:p w14:paraId="3084E82D">
            <w:pPr>
              <w:pStyle w:val="12"/>
            </w:pPr>
            <w:r>
              <w:t>28.75</w:t>
            </w:r>
          </w:p>
        </w:tc>
        <w:tc>
          <w:tcPr>
            <w:tcW w:w="2835" w:type="dxa"/>
            <w:vAlign w:val="center"/>
          </w:tcPr>
          <w:p w14:paraId="34999755">
            <w:pPr>
              <w:pStyle w:val="10"/>
            </w:pPr>
            <w:r>
              <w:t>其中：财政    资金</w:t>
            </w:r>
          </w:p>
        </w:tc>
        <w:tc>
          <w:tcPr>
            <w:tcW w:w="2551" w:type="dxa"/>
            <w:vAlign w:val="center"/>
          </w:tcPr>
          <w:p w14:paraId="3B66DC2C">
            <w:pPr>
              <w:pStyle w:val="12"/>
            </w:pPr>
            <w:r>
              <w:t>28.75</w:t>
            </w:r>
          </w:p>
        </w:tc>
        <w:tc>
          <w:tcPr>
            <w:tcW w:w="2268" w:type="dxa"/>
            <w:vAlign w:val="center"/>
          </w:tcPr>
          <w:p w14:paraId="76443C46">
            <w:pPr>
              <w:pStyle w:val="10"/>
            </w:pPr>
            <w:r>
              <w:t>其他资金</w:t>
            </w:r>
          </w:p>
        </w:tc>
        <w:tc>
          <w:tcPr>
            <w:tcW w:w="1276" w:type="dxa"/>
            <w:vAlign w:val="center"/>
          </w:tcPr>
          <w:p w14:paraId="7950187D">
            <w:pPr>
              <w:pStyle w:val="12"/>
            </w:pPr>
            <w:r>
              <w:t xml:space="preserve"> </w:t>
            </w:r>
          </w:p>
        </w:tc>
      </w:tr>
      <w:tr w14:paraId="7C508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B7C8E"/>
        </w:tc>
        <w:tc>
          <w:tcPr>
            <w:tcW w:w="14033" w:type="dxa"/>
            <w:gridSpan w:val="6"/>
            <w:vAlign w:val="center"/>
          </w:tcPr>
          <w:p w14:paraId="682B3C5D">
            <w:pPr>
              <w:pStyle w:val="12"/>
            </w:pPr>
            <w:r>
              <w:t>改善就学条件，提升学校形象，保障幼儿安全，创造良好的校园环境。</w:t>
            </w:r>
          </w:p>
        </w:tc>
      </w:tr>
      <w:tr w14:paraId="08BC1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8E4D0">
            <w:pPr>
              <w:pStyle w:val="10"/>
            </w:pPr>
            <w:r>
              <w:t>资金支出计划（%）</w:t>
            </w:r>
          </w:p>
        </w:tc>
        <w:tc>
          <w:tcPr>
            <w:tcW w:w="5103" w:type="dxa"/>
            <w:gridSpan w:val="2"/>
            <w:vAlign w:val="center"/>
          </w:tcPr>
          <w:p w14:paraId="1E34CAA0">
            <w:pPr>
              <w:pStyle w:val="10"/>
            </w:pPr>
            <w:r>
              <w:t>3月底</w:t>
            </w:r>
          </w:p>
        </w:tc>
        <w:tc>
          <w:tcPr>
            <w:tcW w:w="2835" w:type="dxa"/>
            <w:vAlign w:val="center"/>
          </w:tcPr>
          <w:p w14:paraId="661528BB">
            <w:pPr>
              <w:pStyle w:val="10"/>
            </w:pPr>
            <w:r>
              <w:t>6月底</w:t>
            </w:r>
          </w:p>
        </w:tc>
        <w:tc>
          <w:tcPr>
            <w:tcW w:w="2551" w:type="dxa"/>
            <w:vAlign w:val="center"/>
          </w:tcPr>
          <w:p w14:paraId="30077439">
            <w:pPr>
              <w:pStyle w:val="10"/>
            </w:pPr>
            <w:r>
              <w:t>10月底</w:t>
            </w:r>
          </w:p>
        </w:tc>
        <w:tc>
          <w:tcPr>
            <w:tcW w:w="3544" w:type="dxa"/>
            <w:gridSpan w:val="2"/>
            <w:vAlign w:val="center"/>
          </w:tcPr>
          <w:p w14:paraId="5B619916">
            <w:pPr>
              <w:pStyle w:val="10"/>
            </w:pPr>
            <w:r>
              <w:t>12月底</w:t>
            </w:r>
          </w:p>
        </w:tc>
      </w:tr>
      <w:tr w14:paraId="5E4F9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4C143"/>
        </w:tc>
        <w:tc>
          <w:tcPr>
            <w:tcW w:w="5103" w:type="dxa"/>
            <w:gridSpan w:val="2"/>
            <w:vAlign w:val="center"/>
          </w:tcPr>
          <w:p w14:paraId="53D904B0">
            <w:pPr>
              <w:pStyle w:val="13"/>
            </w:pPr>
            <w:r>
              <w:t xml:space="preserve"> </w:t>
            </w:r>
          </w:p>
        </w:tc>
        <w:tc>
          <w:tcPr>
            <w:tcW w:w="2835" w:type="dxa"/>
            <w:vAlign w:val="center"/>
          </w:tcPr>
          <w:p w14:paraId="49E5E6D0">
            <w:pPr>
              <w:pStyle w:val="13"/>
            </w:pPr>
            <w:r>
              <w:t>100%</w:t>
            </w:r>
          </w:p>
        </w:tc>
        <w:tc>
          <w:tcPr>
            <w:tcW w:w="2551" w:type="dxa"/>
            <w:vAlign w:val="center"/>
          </w:tcPr>
          <w:p w14:paraId="5ABA4509">
            <w:pPr>
              <w:pStyle w:val="13"/>
            </w:pPr>
            <w:r>
              <w:t>100%</w:t>
            </w:r>
          </w:p>
        </w:tc>
        <w:tc>
          <w:tcPr>
            <w:tcW w:w="3544" w:type="dxa"/>
            <w:gridSpan w:val="2"/>
            <w:vAlign w:val="center"/>
          </w:tcPr>
          <w:p w14:paraId="37C03376">
            <w:pPr>
              <w:pStyle w:val="13"/>
            </w:pPr>
            <w:r>
              <w:t>100%</w:t>
            </w:r>
          </w:p>
        </w:tc>
      </w:tr>
      <w:tr w14:paraId="60656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358B1">
            <w:pPr>
              <w:pStyle w:val="10"/>
            </w:pPr>
            <w:r>
              <w:t>绩效目标</w:t>
            </w:r>
          </w:p>
        </w:tc>
        <w:tc>
          <w:tcPr>
            <w:tcW w:w="14033" w:type="dxa"/>
            <w:gridSpan w:val="6"/>
            <w:vAlign w:val="center"/>
          </w:tcPr>
          <w:p w14:paraId="3AE2AEEC">
            <w:pPr>
              <w:pStyle w:val="12"/>
            </w:pPr>
            <w:r>
              <w:t>1.项目需资金28.75万元，资金拨付率达到100%。</w:t>
            </w:r>
          </w:p>
          <w:p w14:paraId="617D59A7">
            <w:pPr>
              <w:pStyle w:val="12"/>
            </w:pPr>
            <w:r>
              <w:t>2.改善就学条件，提升学校形象，保障幼儿安全，创造良好的校园环境。</w:t>
            </w:r>
          </w:p>
        </w:tc>
      </w:tr>
    </w:tbl>
    <w:p w14:paraId="795571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D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4162E">
            <w:pPr>
              <w:pStyle w:val="10"/>
            </w:pPr>
            <w:r>
              <w:t>一级指标</w:t>
            </w:r>
          </w:p>
        </w:tc>
        <w:tc>
          <w:tcPr>
            <w:tcW w:w="2268" w:type="dxa"/>
            <w:vAlign w:val="center"/>
          </w:tcPr>
          <w:p w14:paraId="0000C5BF">
            <w:pPr>
              <w:pStyle w:val="10"/>
            </w:pPr>
            <w:r>
              <w:t>二级指标</w:t>
            </w:r>
          </w:p>
        </w:tc>
        <w:tc>
          <w:tcPr>
            <w:tcW w:w="2835" w:type="dxa"/>
            <w:vAlign w:val="center"/>
          </w:tcPr>
          <w:p w14:paraId="4D9702F4">
            <w:pPr>
              <w:pStyle w:val="10"/>
            </w:pPr>
            <w:r>
              <w:t>三级指标</w:t>
            </w:r>
          </w:p>
        </w:tc>
        <w:tc>
          <w:tcPr>
            <w:tcW w:w="5386" w:type="dxa"/>
            <w:vAlign w:val="center"/>
          </w:tcPr>
          <w:p w14:paraId="4E6F837A">
            <w:pPr>
              <w:pStyle w:val="10"/>
            </w:pPr>
            <w:r>
              <w:t>绩效指标描述</w:t>
            </w:r>
          </w:p>
        </w:tc>
        <w:tc>
          <w:tcPr>
            <w:tcW w:w="2268" w:type="dxa"/>
            <w:vAlign w:val="center"/>
          </w:tcPr>
          <w:p w14:paraId="4CFF48B2">
            <w:pPr>
              <w:pStyle w:val="10"/>
            </w:pPr>
            <w:r>
              <w:t>指标值</w:t>
            </w:r>
          </w:p>
        </w:tc>
        <w:tc>
          <w:tcPr>
            <w:tcW w:w="1276" w:type="dxa"/>
            <w:vAlign w:val="center"/>
          </w:tcPr>
          <w:p w14:paraId="248E896C">
            <w:pPr>
              <w:pStyle w:val="10"/>
            </w:pPr>
            <w:r>
              <w:t>指标值确定依据</w:t>
            </w:r>
          </w:p>
        </w:tc>
      </w:tr>
      <w:tr w14:paraId="2617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68DBE">
            <w:pPr>
              <w:pStyle w:val="13"/>
            </w:pPr>
            <w:r>
              <w:t>产出指标</w:t>
            </w:r>
          </w:p>
        </w:tc>
        <w:tc>
          <w:tcPr>
            <w:tcW w:w="2268" w:type="dxa"/>
            <w:vAlign w:val="center"/>
          </w:tcPr>
          <w:p w14:paraId="37839888">
            <w:pPr>
              <w:pStyle w:val="12"/>
            </w:pPr>
            <w:r>
              <w:t>数量指标</w:t>
            </w:r>
          </w:p>
        </w:tc>
        <w:tc>
          <w:tcPr>
            <w:tcW w:w="2835" w:type="dxa"/>
            <w:vAlign w:val="center"/>
          </w:tcPr>
          <w:p w14:paraId="3E0A8A02">
            <w:pPr>
              <w:pStyle w:val="12"/>
            </w:pPr>
            <w:r>
              <w:t>教学设备</w:t>
            </w:r>
          </w:p>
        </w:tc>
        <w:tc>
          <w:tcPr>
            <w:tcW w:w="5386" w:type="dxa"/>
            <w:vAlign w:val="center"/>
          </w:tcPr>
          <w:p w14:paraId="591F1BA9">
            <w:pPr>
              <w:pStyle w:val="12"/>
            </w:pPr>
            <w:r>
              <w:t>幼儿园设备购置</w:t>
            </w:r>
          </w:p>
        </w:tc>
        <w:tc>
          <w:tcPr>
            <w:tcW w:w="2268" w:type="dxa"/>
            <w:vAlign w:val="center"/>
          </w:tcPr>
          <w:p w14:paraId="7F5862A6">
            <w:pPr>
              <w:pStyle w:val="12"/>
            </w:pPr>
            <w:r>
              <w:t>1项</w:t>
            </w:r>
          </w:p>
        </w:tc>
        <w:tc>
          <w:tcPr>
            <w:tcW w:w="1276" w:type="dxa"/>
            <w:vAlign w:val="center"/>
          </w:tcPr>
          <w:p w14:paraId="2B3AF6AA">
            <w:pPr>
              <w:pStyle w:val="12"/>
            </w:pPr>
            <w:r>
              <w:t>项目规划</w:t>
            </w:r>
          </w:p>
        </w:tc>
      </w:tr>
      <w:tr w14:paraId="4BC0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593B7"/>
        </w:tc>
        <w:tc>
          <w:tcPr>
            <w:tcW w:w="2268" w:type="dxa"/>
            <w:vAlign w:val="center"/>
          </w:tcPr>
          <w:p w14:paraId="63D1F5C5">
            <w:pPr>
              <w:pStyle w:val="12"/>
            </w:pPr>
            <w:r>
              <w:t>质量指标</w:t>
            </w:r>
          </w:p>
        </w:tc>
        <w:tc>
          <w:tcPr>
            <w:tcW w:w="2835" w:type="dxa"/>
            <w:vAlign w:val="center"/>
          </w:tcPr>
          <w:p w14:paraId="711DDA12">
            <w:pPr>
              <w:pStyle w:val="12"/>
            </w:pPr>
            <w:r>
              <w:t>工程实施验收合格率</w:t>
            </w:r>
          </w:p>
        </w:tc>
        <w:tc>
          <w:tcPr>
            <w:tcW w:w="5386" w:type="dxa"/>
            <w:vAlign w:val="center"/>
          </w:tcPr>
          <w:p w14:paraId="5C4C4133">
            <w:pPr>
              <w:pStyle w:val="12"/>
            </w:pPr>
            <w:r>
              <w:t>申报程序的合规，项目实施及资金使用符合项目规划</w:t>
            </w:r>
          </w:p>
        </w:tc>
        <w:tc>
          <w:tcPr>
            <w:tcW w:w="2268" w:type="dxa"/>
            <w:vAlign w:val="center"/>
          </w:tcPr>
          <w:p w14:paraId="4AAE7103">
            <w:pPr>
              <w:pStyle w:val="12"/>
            </w:pPr>
            <w:r>
              <w:t>100%</w:t>
            </w:r>
          </w:p>
        </w:tc>
        <w:tc>
          <w:tcPr>
            <w:tcW w:w="1276" w:type="dxa"/>
            <w:vAlign w:val="center"/>
          </w:tcPr>
          <w:p w14:paraId="22D32456">
            <w:pPr>
              <w:pStyle w:val="12"/>
            </w:pPr>
            <w:r>
              <w:t>项目规划</w:t>
            </w:r>
          </w:p>
        </w:tc>
      </w:tr>
      <w:tr w14:paraId="2FF11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247F7"/>
        </w:tc>
        <w:tc>
          <w:tcPr>
            <w:tcW w:w="2268" w:type="dxa"/>
            <w:vAlign w:val="center"/>
          </w:tcPr>
          <w:p w14:paraId="70E4CDC7">
            <w:pPr>
              <w:pStyle w:val="12"/>
            </w:pPr>
            <w:r>
              <w:t>时效指标</w:t>
            </w:r>
          </w:p>
        </w:tc>
        <w:tc>
          <w:tcPr>
            <w:tcW w:w="2835" w:type="dxa"/>
            <w:vAlign w:val="center"/>
          </w:tcPr>
          <w:p w14:paraId="4C7DE1FE">
            <w:pPr>
              <w:pStyle w:val="12"/>
            </w:pPr>
            <w:r>
              <w:t>资金支付率</w:t>
            </w:r>
          </w:p>
        </w:tc>
        <w:tc>
          <w:tcPr>
            <w:tcW w:w="5386" w:type="dxa"/>
            <w:vAlign w:val="center"/>
          </w:tcPr>
          <w:p w14:paraId="3CB87A0D">
            <w:pPr>
              <w:pStyle w:val="12"/>
            </w:pPr>
            <w:r>
              <w:t>按照序时进度完成资金支付</w:t>
            </w:r>
          </w:p>
        </w:tc>
        <w:tc>
          <w:tcPr>
            <w:tcW w:w="2268" w:type="dxa"/>
            <w:vAlign w:val="center"/>
          </w:tcPr>
          <w:p w14:paraId="7B3317BA">
            <w:pPr>
              <w:pStyle w:val="12"/>
            </w:pPr>
            <w:r>
              <w:t>100%</w:t>
            </w:r>
          </w:p>
        </w:tc>
        <w:tc>
          <w:tcPr>
            <w:tcW w:w="1276" w:type="dxa"/>
            <w:vAlign w:val="center"/>
          </w:tcPr>
          <w:p w14:paraId="4EDF0281">
            <w:pPr>
              <w:pStyle w:val="12"/>
            </w:pPr>
            <w:r>
              <w:t>项目规划</w:t>
            </w:r>
          </w:p>
        </w:tc>
      </w:tr>
      <w:tr w14:paraId="0C47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CCA6"/>
        </w:tc>
        <w:tc>
          <w:tcPr>
            <w:tcW w:w="2268" w:type="dxa"/>
            <w:vAlign w:val="center"/>
          </w:tcPr>
          <w:p w14:paraId="27B71FBE">
            <w:pPr>
              <w:pStyle w:val="12"/>
            </w:pPr>
            <w:r>
              <w:t>成本指标</w:t>
            </w:r>
          </w:p>
        </w:tc>
        <w:tc>
          <w:tcPr>
            <w:tcW w:w="2835" w:type="dxa"/>
            <w:vAlign w:val="center"/>
          </w:tcPr>
          <w:p w14:paraId="5A7E6B9E">
            <w:pPr>
              <w:pStyle w:val="12"/>
            </w:pPr>
            <w:r>
              <w:t>项目成本控制情况</w:t>
            </w:r>
          </w:p>
        </w:tc>
        <w:tc>
          <w:tcPr>
            <w:tcW w:w="5386" w:type="dxa"/>
            <w:vAlign w:val="center"/>
          </w:tcPr>
          <w:p w14:paraId="713F74DC">
            <w:pPr>
              <w:pStyle w:val="12"/>
            </w:pPr>
            <w:r>
              <w:t>严格按照招标价格及审计额进行</w:t>
            </w:r>
          </w:p>
        </w:tc>
        <w:tc>
          <w:tcPr>
            <w:tcW w:w="2268" w:type="dxa"/>
            <w:vAlign w:val="center"/>
          </w:tcPr>
          <w:p w14:paraId="13310ECC">
            <w:pPr>
              <w:pStyle w:val="12"/>
            </w:pPr>
            <w:r>
              <w:t>28.75万元</w:t>
            </w:r>
          </w:p>
        </w:tc>
        <w:tc>
          <w:tcPr>
            <w:tcW w:w="1276" w:type="dxa"/>
            <w:vAlign w:val="center"/>
          </w:tcPr>
          <w:p w14:paraId="34D45023">
            <w:pPr>
              <w:pStyle w:val="12"/>
            </w:pPr>
            <w:r>
              <w:t>项目规划</w:t>
            </w:r>
          </w:p>
        </w:tc>
      </w:tr>
      <w:tr w14:paraId="44A6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51861">
            <w:pPr>
              <w:pStyle w:val="13"/>
            </w:pPr>
            <w:r>
              <w:t>效益指标</w:t>
            </w:r>
          </w:p>
        </w:tc>
        <w:tc>
          <w:tcPr>
            <w:tcW w:w="2268" w:type="dxa"/>
            <w:vAlign w:val="center"/>
          </w:tcPr>
          <w:p w14:paraId="5D604382">
            <w:pPr>
              <w:pStyle w:val="12"/>
            </w:pPr>
            <w:r>
              <w:t>经济效益指标</w:t>
            </w:r>
          </w:p>
        </w:tc>
        <w:tc>
          <w:tcPr>
            <w:tcW w:w="2835" w:type="dxa"/>
            <w:vAlign w:val="center"/>
          </w:tcPr>
          <w:p w14:paraId="0BDF72EE">
            <w:pPr>
              <w:pStyle w:val="12"/>
            </w:pPr>
            <w:r>
              <w:t>学校办学环境提升</w:t>
            </w:r>
          </w:p>
        </w:tc>
        <w:tc>
          <w:tcPr>
            <w:tcW w:w="5386" w:type="dxa"/>
            <w:vAlign w:val="center"/>
          </w:tcPr>
          <w:p w14:paraId="1C43DE4C">
            <w:pPr>
              <w:pStyle w:val="12"/>
            </w:pPr>
            <w:r>
              <w:t>学校教学环境提升优化率</w:t>
            </w:r>
          </w:p>
        </w:tc>
        <w:tc>
          <w:tcPr>
            <w:tcW w:w="2268" w:type="dxa"/>
            <w:vAlign w:val="center"/>
          </w:tcPr>
          <w:p w14:paraId="7C07813B">
            <w:pPr>
              <w:pStyle w:val="12"/>
            </w:pPr>
            <w:r>
              <w:t>≥98%</w:t>
            </w:r>
          </w:p>
        </w:tc>
        <w:tc>
          <w:tcPr>
            <w:tcW w:w="1276" w:type="dxa"/>
            <w:vAlign w:val="center"/>
          </w:tcPr>
          <w:p w14:paraId="0E9571A5">
            <w:pPr>
              <w:pStyle w:val="12"/>
            </w:pPr>
            <w:r>
              <w:t>项目规划</w:t>
            </w:r>
          </w:p>
        </w:tc>
      </w:tr>
      <w:tr w14:paraId="0201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4027C">
            <w:pPr>
              <w:pStyle w:val="13"/>
            </w:pPr>
            <w:r>
              <w:t>满意度指标</w:t>
            </w:r>
          </w:p>
        </w:tc>
        <w:tc>
          <w:tcPr>
            <w:tcW w:w="2268" w:type="dxa"/>
            <w:vAlign w:val="center"/>
          </w:tcPr>
          <w:p w14:paraId="1DFDA379">
            <w:pPr>
              <w:pStyle w:val="12"/>
            </w:pPr>
            <w:r>
              <w:t>服务对象满意度指标</w:t>
            </w:r>
          </w:p>
        </w:tc>
        <w:tc>
          <w:tcPr>
            <w:tcW w:w="2835" w:type="dxa"/>
            <w:vAlign w:val="center"/>
          </w:tcPr>
          <w:p w14:paraId="3927B552">
            <w:pPr>
              <w:pStyle w:val="12"/>
            </w:pPr>
            <w:r>
              <w:t>受益学生家长及调查满意度</w:t>
            </w:r>
          </w:p>
        </w:tc>
        <w:tc>
          <w:tcPr>
            <w:tcW w:w="5386" w:type="dxa"/>
            <w:vAlign w:val="center"/>
          </w:tcPr>
          <w:p w14:paraId="6C6E5757">
            <w:pPr>
              <w:pStyle w:val="12"/>
            </w:pPr>
            <w:r>
              <w:t>学生、教师及家长对学校教学环境满意度情况</w:t>
            </w:r>
          </w:p>
        </w:tc>
        <w:tc>
          <w:tcPr>
            <w:tcW w:w="2268" w:type="dxa"/>
            <w:vAlign w:val="center"/>
          </w:tcPr>
          <w:p w14:paraId="1AA4D8EB">
            <w:pPr>
              <w:pStyle w:val="12"/>
            </w:pPr>
            <w:r>
              <w:t>≥95%</w:t>
            </w:r>
          </w:p>
        </w:tc>
        <w:tc>
          <w:tcPr>
            <w:tcW w:w="1276" w:type="dxa"/>
            <w:vAlign w:val="center"/>
          </w:tcPr>
          <w:p w14:paraId="224DAB71">
            <w:pPr>
              <w:pStyle w:val="12"/>
            </w:pPr>
            <w:r>
              <w:t>问卷调查</w:t>
            </w:r>
          </w:p>
        </w:tc>
      </w:tr>
    </w:tbl>
    <w:p w14:paraId="0D2F0B0D">
      <w:pPr>
        <w:sectPr>
          <w:pgSz w:w="16840" w:h="11900" w:orient="landscape"/>
          <w:pgMar w:top="1361" w:right="1020" w:bottom="1134" w:left="1020" w:header="720" w:footer="720" w:gutter="0"/>
          <w:cols w:space="720" w:num="1"/>
        </w:sectPr>
      </w:pPr>
    </w:p>
    <w:p w14:paraId="05AB479A">
      <w:pPr>
        <w:spacing w:before="0" w:after="0"/>
        <w:ind w:firstLine="560"/>
        <w:jc w:val="left"/>
        <w:outlineLvl w:val="9"/>
      </w:pPr>
      <w:r>
        <w:rPr>
          <w:rFonts w:ascii="方正仿宋_GBK" w:hAnsi="方正仿宋_GBK" w:eastAsia="方正仿宋_GBK" w:cs="方正仿宋_GBK"/>
          <w:b/>
          <w:color w:val="000000"/>
          <w:sz w:val="28"/>
        </w:rPr>
        <w:t>13、冀财教[2025]122号/中央/支持学前教育发展/双碑幼儿园保教室及楼道墙板绩效目标表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C2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DBE71">
            <w:pPr>
              <w:pStyle w:val="11"/>
            </w:pPr>
            <w:r>
              <w:t>单位：万元</w:t>
            </w:r>
          </w:p>
        </w:tc>
      </w:tr>
      <w:tr w14:paraId="4B64F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84C1C">
            <w:pPr>
              <w:pStyle w:val="10"/>
            </w:pPr>
            <w:r>
              <w:t>项目编码</w:t>
            </w:r>
          </w:p>
        </w:tc>
        <w:tc>
          <w:tcPr>
            <w:tcW w:w="5103" w:type="dxa"/>
            <w:gridSpan w:val="2"/>
            <w:vAlign w:val="center"/>
          </w:tcPr>
          <w:p w14:paraId="7CAA1410">
            <w:pPr>
              <w:pStyle w:val="12"/>
            </w:pPr>
            <w:r>
              <w:t>13052526P00876910194K</w:t>
            </w:r>
          </w:p>
        </w:tc>
        <w:tc>
          <w:tcPr>
            <w:tcW w:w="2835" w:type="dxa"/>
            <w:vAlign w:val="center"/>
          </w:tcPr>
          <w:p w14:paraId="2052B3D4">
            <w:pPr>
              <w:pStyle w:val="10"/>
            </w:pPr>
            <w:r>
              <w:t>项目名称</w:t>
            </w:r>
          </w:p>
        </w:tc>
        <w:tc>
          <w:tcPr>
            <w:tcW w:w="6095" w:type="dxa"/>
            <w:gridSpan w:val="3"/>
            <w:vAlign w:val="center"/>
          </w:tcPr>
          <w:p w14:paraId="226B64FA">
            <w:pPr>
              <w:pStyle w:val="12"/>
            </w:pPr>
            <w:r>
              <w:t>冀财教[2025]122号/中央/支持学前教育发展/双碑幼儿园保教室及楼道墙板</w:t>
            </w:r>
          </w:p>
        </w:tc>
      </w:tr>
      <w:tr w14:paraId="4DFAF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933BB">
            <w:pPr>
              <w:pStyle w:val="10"/>
            </w:pPr>
            <w:r>
              <w:t>预算规模及资金用途</w:t>
            </w:r>
          </w:p>
        </w:tc>
        <w:tc>
          <w:tcPr>
            <w:tcW w:w="2268" w:type="dxa"/>
            <w:vAlign w:val="center"/>
          </w:tcPr>
          <w:p w14:paraId="26BD69FF">
            <w:pPr>
              <w:pStyle w:val="10"/>
            </w:pPr>
            <w:r>
              <w:t>预算数</w:t>
            </w:r>
          </w:p>
        </w:tc>
        <w:tc>
          <w:tcPr>
            <w:tcW w:w="2835" w:type="dxa"/>
            <w:vAlign w:val="center"/>
          </w:tcPr>
          <w:p w14:paraId="71B3206F">
            <w:pPr>
              <w:pStyle w:val="12"/>
            </w:pPr>
            <w:r>
              <w:t>13.00</w:t>
            </w:r>
          </w:p>
        </w:tc>
        <w:tc>
          <w:tcPr>
            <w:tcW w:w="2835" w:type="dxa"/>
            <w:vAlign w:val="center"/>
          </w:tcPr>
          <w:p w14:paraId="6EDFCF79">
            <w:pPr>
              <w:pStyle w:val="10"/>
            </w:pPr>
            <w:r>
              <w:t>其中：财政    资金</w:t>
            </w:r>
          </w:p>
        </w:tc>
        <w:tc>
          <w:tcPr>
            <w:tcW w:w="2551" w:type="dxa"/>
            <w:vAlign w:val="center"/>
          </w:tcPr>
          <w:p w14:paraId="14A29B63">
            <w:pPr>
              <w:pStyle w:val="12"/>
            </w:pPr>
            <w:r>
              <w:t>13.00</w:t>
            </w:r>
          </w:p>
        </w:tc>
        <w:tc>
          <w:tcPr>
            <w:tcW w:w="2268" w:type="dxa"/>
            <w:vAlign w:val="center"/>
          </w:tcPr>
          <w:p w14:paraId="5F4CE8E1">
            <w:pPr>
              <w:pStyle w:val="10"/>
            </w:pPr>
            <w:r>
              <w:t>其他资金</w:t>
            </w:r>
          </w:p>
        </w:tc>
        <w:tc>
          <w:tcPr>
            <w:tcW w:w="1276" w:type="dxa"/>
            <w:vAlign w:val="center"/>
          </w:tcPr>
          <w:p w14:paraId="5566E34C">
            <w:pPr>
              <w:pStyle w:val="12"/>
            </w:pPr>
            <w:r>
              <w:t xml:space="preserve"> </w:t>
            </w:r>
          </w:p>
        </w:tc>
      </w:tr>
      <w:tr w14:paraId="5D91B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A9731"/>
        </w:tc>
        <w:tc>
          <w:tcPr>
            <w:tcW w:w="14033" w:type="dxa"/>
            <w:gridSpan w:val="6"/>
            <w:vAlign w:val="center"/>
          </w:tcPr>
          <w:p w14:paraId="6BFD8A9B">
            <w:pPr>
              <w:pStyle w:val="12"/>
            </w:pPr>
            <w:r>
              <w:t>改善就学条件，提升学校形象，保障幼儿安全，创造良好的校园环境。</w:t>
            </w:r>
          </w:p>
        </w:tc>
      </w:tr>
      <w:tr w14:paraId="7D122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4E46A">
            <w:pPr>
              <w:pStyle w:val="10"/>
            </w:pPr>
            <w:r>
              <w:t>资金支出计划（%）</w:t>
            </w:r>
          </w:p>
        </w:tc>
        <w:tc>
          <w:tcPr>
            <w:tcW w:w="5103" w:type="dxa"/>
            <w:gridSpan w:val="2"/>
            <w:vAlign w:val="center"/>
          </w:tcPr>
          <w:p w14:paraId="3AA272CC">
            <w:pPr>
              <w:pStyle w:val="10"/>
            </w:pPr>
            <w:r>
              <w:t>3月底</w:t>
            </w:r>
          </w:p>
        </w:tc>
        <w:tc>
          <w:tcPr>
            <w:tcW w:w="2835" w:type="dxa"/>
            <w:vAlign w:val="center"/>
          </w:tcPr>
          <w:p w14:paraId="2D78A849">
            <w:pPr>
              <w:pStyle w:val="10"/>
            </w:pPr>
            <w:r>
              <w:t>6月底</w:t>
            </w:r>
          </w:p>
        </w:tc>
        <w:tc>
          <w:tcPr>
            <w:tcW w:w="2551" w:type="dxa"/>
            <w:vAlign w:val="center"/>
          </w:tcPr>
          <w:p w14:paraId="14D435A3">
            <w:pPr>
              <w:pStyle w:val="10"/>
            </w:pPr>
            <w:r>
              <w:t>10月底</w:t>
            </w:r>
          </w:p>
        </w:tc>
        <w:tc>
          <w:tcPr>
            <w:tcW w:w="3544" w:type="dxa"/>
            <w:gridSpan w:val="2"/>
            <w:vAlign w:val="center"/>
          </w:tcPr>
          <w:p w14:paraId="4FB4BE29">
            <w:pPr>
              <w:pStyle w:val="10"/>
            </w:pPr>
            <w:r>
              <w:t>12月底</w:t>
            </w:r>
          </w:p>
        </w:tc>
      </w:tr>
      <w:tr w14:paraId="593FB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9BE0F"/>
        </w:tc>
        <w:tc>
          <w:tcPr>
            <w:tcW w:w="5103" w:type="dxa"/>
            <w:gridSpan w:val="2"/>
            <w:vAlign w:val="center"/>
          </w:tcPr>
          <w:p w14:paraId="62877700">
            <w:pPr>
              <w:pStyle w:val="13"/>
            </w:pPr>
            <w:r>
              <w:t xml:space="preserve"> </w:t>
            </w:r>
          </w:p>
        </w:tc>
        <w:tc>
          <w:tcPr>
            <w:tcW w:w="2835" w:type="dxa"/>
            <w:vAlign w:val="center"/>
          </w:tcPr>
          <w:p w14:paraId="311AC356">
            <w:pPr>
              <w:pStyle w:val="13"/>
            </w:pPr>
            <w:r>
              <w:t>50%</w:t>
            </w:r>
          </w:p>
        </w:tc>
        <w:tc>
          <w:tcPr>
            <w:tcW w:w="2551" w:type="dxa"/>
            <w:vAlign w:val="center"/>
          </w:tcPr>
          <w:p w14:paraId="11B5CBB7">
            <w:pPr>
              <w:pStyle w:val="13"/>
            </w:pPr>
            <w:r>
              <w:t>100%</w:t>
            </w:r>
          </w:p>
        </w:tc>
        <w:tc>
          <w:tcPr>
            <w:tcW w:w="3544" w:type="dxa"/>
            <w:gridSpan w:val="2"/>
            <w:vAlign w:val="center"/>
          </w:tcPr>
          <w:p w14:paraId="0D4513A5">
            <w:pPr>
              <w:pStyle w:val="13"/>
            </w:pPr>
            <w:r>
              <w:t>100%</w:t>
            </w:r>
          </w:p>
        </w:tc>
      </w:tr>
      <w:tr w14:paraId="3B930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C3E95">
            <w:pPr>
              <w:pStyle w:val="10"/>
            </w:pPr>
            <w:r>
              <w:t>绩效目标</w:t>
            </w:r>
          </w:p>
        </w:tc>
        <w:tc>
          <w:tcPr>
            <w:tcW w:w="14033" w:type="dxa"/>
            <w:gridSpan w:val="6"/>
            <w:vAlign w:val="center"/>
          </w:tcPr>
          <w:p w14:paraId="2AD5DE34">
            <w:pPr>
              <w:pStyle w:val="12"/>
            </w:pPr>
            <w:r>
              <w:t>1.改善就学条件，提升学校形象，保障幼儿安全，创造良好的校园环境。</w:t>
            </w:r>
          </w:p>
          <w:p w14:paraId="0CB00633">
            <w:pPr>
              <w:pStyle w:val="12"/>
            </w:pPr>
            <w:r>
              <w:t>2.项目需资金13万元，资金拨付率达到100%。</w:t>
            </w:r>
          </w:p>
        </w:tc>
      </w:tr>
    </w:tbl>
    <w:p w14:paraId="4F45E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A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EAAC0">
            <w:pPr>
              <w:pStyle w:val="10"/>
            </w:pPr>
            <w:r>
              <w:t>一级指标</w:t>
            </w:r>
          </w:p>
        </w:tc>
        <w:tc>
          <w:tcPr>
            <w:tcW w:w="2268" w:type="dxa"/>
            <w:vAlign w:val="center"/>
          </w:tcPr>
          <w:p w14:paraId="20B1C1F0">
            <w:pPr>
              <w:pStyle w:val="10"/>
            </w:pPr>
            <w:r>
              <w:t>二级指标</w:t>
            </w:r>
          </w:p>
        </w:tc>
        <w:tc>
          <w:tcPr>
            <w:tcW w:w="2835" w:type="dxa"/>
            <w:vAlign w:val="center"/>
          </w:tcPr>
          <w:p w14:paraId="2730320E">
            <w:pPr>
              <w:pStyle w:val="10"/>
            </w:pPr>
            <w:r>
              <w:t>三级指标</w:t>
            </w:r>
          </w:p>
        </w:tc>
        <w:tc>
          <w:tcPr>
            <w:tcW w:w="5386" w:type="dxa"/>
            <w:vAlign w:val="center"/>
          </w:tcPr>
          <w:p w14:paraId="7F6B6EC7">
            <w:pPr>
              <w:pStyle w:val="10"/>
            </w:pPr>
            <w:r>
              <w:t>绩效指标描述</w:t>
            </w:r>
          </w:p>
        </w:tc>
        <w:tc>
          <w:tcPr>
            <w:tcW w:w="2268" w:type="dxa"/>
            <w:vAlign w:val="center"/>
          </w:tcPr>
          <w:p w14:paraId="7DF44664">
            <w:pPr>
              <w:pStyle w:val="10"/>
            </w:pPr>
            <w:r>
              <w:t>指标值</w:t>
            </w:r>
          </w:p>
        </w:tc>
        <w:tc>
          <w:tcPr>
            <w:tcW w:w="1276" w:type="dxa"/>
            <w:vAlign w:val="center"/>
          </w:tcPr>
          <w:p w14:paraId="29FE01C6">
            <w:pPr>
              <w:pStyle w:val="10"/>
            </w:pPr>
            <w:r>
              <w:t>指标值确定依据</w:t>
            </w:r>
          </w:p>
        </w:tc>
      </w:tr>
      <w:tr w14:paraId="286A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D9BF1">
            <w:pPr>
              <w:pStyle w:val="13"/>
            </w:pPr>
            <w:r>
              <w:t>产出指标</w:t>
            </w:r>
          </w:p>
        </w:tc>
        <w:tc>
          <w:tcPr>
            <w:tcW w:w="2268" w:type="dxa"/>
            <w:vAlign w:val="center"/>
          </w:tcPr>
          <w:p w14:paraId="5D97F725">
            <w:pPr>
              <w:pStyle w:val="12"/>
            </w:pPr>
            <w:r>
              <w:t>数量指标</w:t>
            </w:r>
          </w:p>
        </w:tc>
        <w:tc>
          <w:tcPr>
            <w:tcW w:w="2835" w:type="dxa"/>
            <w:vAlign w:val="center"/>
          </w:tcPr>
          <w:p w14:paraId="0F53BBCF">
            <w:pPr>
              <w:pStyle w:val="12"/>
            </w:pPr>
            <w:r>
              <w:t>双碑幼儿园保教室及楼道墙板</w:t>
            </w:r>
          </w:p>
        </w:tc>
        <w:tc>
          <w:tcPr>
            <w:tcW w:w="5386" w:type="dxa"/>
            <w:vAlign w:val="center"/>
          </w:tcPr>
          <w:p w14:paraId="3A5B0716">
            <w:pPr>
              <w:pStyle w:val="12"/>
            </w:pPr>
            <w:r>
              <w:t>保教室及楼道墙板等维修改造</w:t>
            </w:r>
          </w:p>
        </w:tc>
        <w:tc>
          <w:tcPr>
            <w:tcW w:w="2268" w:type="dxa"/>
            <w:vAlign w:val="center"/>
          </w:tcPr>
          <w:p w14:paraId="7FB94CDE">
            <w:pPr>
              <w:pStyle w:val="12"/>
            </w:pPr>
            <w:r>
              <w:t>1项</w:t>
            </w:r>
          </w:p>
        </w:tc>
        <w:tc>
          <w:tcPr>
            <w:tcW w:w="1276" w:type="dxa"/>
            <w:vAlign w:val="center"/>
          </w:tcPr>
          <w:p w14:paraId="56F157B3">
            <w:pPr>
              <w:pStyle w:val="12"/>
            </w:pPr>
            <w:r>
              <w:t>项目规划</w:t>
            </w:r>
          </w:p>
        </w:tc>
      </w:tr>
      <w:tr w14:paraId="36FBB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21A8"/>
        </w:tc>
        <w:tc>
          <w:tcPr>
            <w:tcW w:w="2268" w:type="dxa"/>
            <w:vAlign w:val="center"/>
          </w:tcPr>
          <w:p w14:paraId="3E2A0066">
            <w:pPr>
              <w:pStyle w:val="12"/>
            </w:pPr>
            <w:r>
              <w:t>质量指标</w:t>
            </w:r>
          </w:p>
        </w:tc>
        <w:tc>
          <w:tcPr>
            <w:tcW w:w="2835" w:type="dxa"/>
            <w:vAlign w:val="center"/>
          </w:tcPr>
          <w:p w14:paraId="3871CC2A">
            <w:pPr>
              <w:pStyle w:val="12"/>
            </w:pPr>
            <w:r>
              <w:t>工程实施验收合格率</w:t>
            </w:r>
          </w:p>
        </w:tc>
        <w:tc>
          <w:tcPr>
            <w:tcW w:w="5386" w:type="dxa"/>
            <w:vAlign w:val="center"/>
          </w:tcPr>
          <w:p w14:paraId="448DCD2E">
            <w:pPr>
              <w:pStyle w:val="12"/>
            </w:pPr>
            <w:r>
              <w:t>申报程序的合规，项目实施及资金使用符合项目规划</w:t>
            </w:r>
          </w:p>
        </w:tc>
        <w:tc>
          <w:tcPr>
            <w:tcW w:w="2268" w:type="dxa"/>
            <w:vAlign w:val="center"/>
          </w:tcPr>
          <w:p w14:paraId="663F3507">
            <w:pPr>
              <w:pStyle w:val="12"/>
            </w:pPr>
            <w:r>
              <w:t>100%</w:t>
            </w:r>
          </w:p>
        </w:tc>
        <w:tc>
          <w:tcPr>
            <w:tcW w:w="1276" w:type="dxa"/>
            <w:vAlign w:val="center"/>
          </w:tcPr>
          <w:p w14:paraId="7549DFDD">
            <w:pPr>
              <w:pStyle w:val="12"/>
            </w:pPr>
            <w:r>
              <w:t>项目规划</w:t>
            </w:r>
          </w:p>
        </w:tc>
      </w:tr>
      <w:tr w14:paraId="65AE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346C3"/>
        </w:tc>
        <w:tc>
          <w:tcPr>
            <w:tcW w:w="2268" w:type="dxa"/>
            <w:vAlign w:val="center"/>
          </w:tcPr>
          <w:p w14:paraId="134F85B1">
            <w:pPr>
              <w:pStyle w:val="12"/>
            </w:pPr>
            <w:r>
              <w:t>时效指标</w:t>
            </w:r>
          </w:p>
        </w:tc>
        <w:tc>
          <w:tcPr>
            <w:tcW w:w="2835" w:type="dxa"/>
            <w:vAlign w:val="center"/>
          </w:tcPr>
          <w:p w14:paraId="3078FBAB">
            <w:pPr>
              <w:pStyle w:val="12"/>
            </w:pPr>
            <w:r>
              <w:t>资金支付率</w:t>
            </w:r>
          </w:p>
        </w:tc>
        <w:tc>
          <w:tcPr>
            <w:tcW w:w="5386" w:type="dxa"/>
            <w:vAlign w:val="center"/>
          </w:tcPr>
          <w:p w14:paraId="6B45AF91">
            <w:pPr>
              <w:pStyle w:val="12"/>
            </w:pPr>
            <w:r>
              <w:t>按照序时进度完成资金支付</w:t>
            </w:r>
          </w:p>
        </w:tc>
        <w:tc>
          <w:tcPr>
            <w:tcW w:w="2268" w:type="dxa"/>
            <w:vAlign w:val="center"/>
          </w:tcPr>
          <w:p w14:paraId="0FEF9F03">
            <w:pPr>
              <w:pStyle w:val="12"/>
            </w:pPr>
            <w:r>
              <w:t>100%</w:t>
            </w:r>
          </w:p>
        </w:tc>
        <w:tc>
          <w:tcPr>
            <w:tcW w:w="1276" w:type="dxa"/>
            <w:vAlign w:val="center"/>
          </w:tcPr>
          <w:p w14:paraId="5769FDCF">
            <w:pPr>
              <w:pStyle w:val="12"/>
            </w:pPr>
            <w:r>
              <w:t>项目规划</w:t>
            </w:r>
          </w:p>
        </w:tc>
      </w:tr>
      <w:tr w14:paraId="28217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02FCA"/>
        </w:tc>
        <w:tc>
          <w:tcPr>
            <w:tcW w:w="2268" w:type="dxa"/>
            <w:vAlign w:val="center"/>
          </w:tcPr>
          <w:p w14:paraId="69152A61">
            <w:pPr>
              <w:pStyle w:val="12"/>
            </w:pPr>
            <w:r>
              <w:t>成本指标</w:t>
            </w:r>
          </w:p>
        </w:tc>
        <w:tc>
          <w:tcPr>
            <w:tcW w:w="2835" w:type="dxa"/>
            <w:vAlign w:val="center"/>
          </w:tcPr>
          <w:p w14:paraId="01B76A5F">
            <w:pPr>
              <w:pStyle w:val="12"/>
            </w:pPr>
            <w:r>
              <w:t>项目成本控制情况</w:t>
            </w:r>
          </w:p>
        </w:tc>
        <w:tc>
          <w:tcPr>
            <w:tcW w:w="5386" w:type="dxa"/>
            <w:vAlign w:val="center"/>
          </w:tcPr>
          <w:p w14:paraId="5E758830">
            <w:pPr>
              <w:pStyle w:val="12"/>
            </w:pPr>
            <w:r>
              <w:t>严格按照招标价格及审计额进行</w:t>
            </w:r>
          </w:p>
        </w:tc>
        <w:tc>
          <w:tcPr>
            <w:tcW w:w="2268" w:type="dxa"/>
            <w:vAlign w:val="center"/>
          </w:tcPr>
          <w:p w14:paraId="01C7C73B">
            <w:pPr>
              <w:pStyle w:val="12"/>
            </w:pPr>
            <w:r>
              <w:t>13万元</w:t>
            </w:r>
          </w:p>
        </w:tc>
        <w:tc>
          <w:tcPr>
            <w:tcW w:w="1276" w:type="dxa"/>
            <w:vAlign w:val="center"/>
          </w:tcPr>
          <w:p w14:paraId="0CEF6BCA">
            <w:pPr>
              <w:pStyle w:val="12"/>
            </w:pPr>
            <w:r>
              <w:t>项目规划</w:t>
            </w:r>
          </w:p>
        </w:tc>
      </w:tr>
      <w:tr w14:paraId="17F9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9D9EA">
            <w:pPr>
              <w:pStyle w:val="13"/>
            </w:pPr>
            <w:r>
              <w:t>效益指标</w:t>
            </w:r>
          </w:p>
        </w:tc>
        <w:tc>
          <w:tcPr>
            <w:tcW w:w="2268" w:type="dxa"/>
            <w:vAlign w:val="center"/>
          </w:tcPr>
          <w:p w14:paraId="1BC2AD53">
            <w:pPr>
              <w:pStyle w:val="12"/>
            </w:pPr>
            <w:r>
              <w:t>社会效益指标</w:t>
            </w:r>
          </w:p>
        </w:tc>
        <w:tc>
          <w:tcPr>
            <w:tcW w:w="2835" w:type="dxa"/>
            <w:vAlign w:val="center"/>
          </w:tcPr>
          <w:p w14:paraId="694EFE5B">
            <w:pPr>
              <w:pStyle w:val="12"/>
            </w:pPr>
            <w:r>
              <w:t>学校办学环境提升</w:t>
            </w:r>
          </w:p>
        </w:tc>
        <w:tc>
          <w:tcPr>
            <w:tcW w:w="5386" w:type="dxa"/>
            <w:vAlign w:val="center"/>
          </w:tcPr>
          <w:p w14:paraId="765A9824">
            <w:pPr>
              <w:pStyle w:val="12"/>
            </w:pPr>
            <w:r>
              <w:t>学校教学环境提升优化率</w:t>
            </w:r>
          </w:p>
        </w:tc>
        <w:tc>
          <w:tcPr>
            <w:tcW w:w="2268" w:type="dxa"/>
            <w:vAlign w:val="center"/>
          </w:tcPr>
          <w:p w14:paraId="2BA6C494">
            <w:pPr>
              <w:pStyle w:val="12"/>
            </w:pPr>
            <w:r>
              <w:t>≥98%</w:t>
            </w:r>
          </w:p>
        </w:tc>
        <w:tc>
          <w:tcPr>
            <w:tcW w:w="1276" w:type="dxa"/>
            <w:vAlign w:val="center"/>
          </w:tcPr>
          <w:p w14:paraId="4DF8BE33">
            <w:pPr>
              <w:pStyle w:val="12"/>
            </w:pPr>
            <w:r>
              <w:t>项目规划</w:t>
            </w:r>
          </w:p>
        </w:tc>
      </w:tr>
      <w:tr w14:paraId="14EE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E2241">
            <w:pPr>
              <w:pStyle w:val="13"/>
            </w:pPr>
            <w:r>
              <w:t>满意度指标</w:t>
            </w:r>
          </w:p>
        </w:tc>
        <w:tc>
          <w:tcPr>
            <w:tcW w:w="2268" w:type="dxa"/>
            <w:vAlign w:val="center"/>
          </w:tcPr>
          <w:p w14:paraId="548C6025">
            <w:pPr>
              <w:pStyle w:val="12"/>
            </w:pPr>
            <w:r>
              <w:t>服务对象满意度指标</w:t>
            </w:r>
          </w:p>
        </w:tc>
        <w:tc>
          <w:tcPr>
            <w:tcW w:w="2835" w:type="dxa"/>
            <w:vAlign w:val="center"/>
          </w:tcPr>
          <w:p w14:paraId="43E8DCE0">
            <w:pPr>
              <w:pStyle w:val="12"/>
            </w:pPr>
            <w:r>
              <w:t>受益学生家长及调查满意度</w:t>
            </w:r>
          </w:p>
        </w:tc>
        <w:tc>
          <w:tcPr>
            <w:tcW w:w="5386" w:type="dxa"/>
            <w:vAlign w:val="center"/>
          </w:tcPr>
          <w:p w14:paraId="28833396">
            <w:pPr>
              <w:pStyle w:val="12"/>
            </w:pPr>
            <w:r>
              <w:t>学生、教师及家长对学校教学环境满意度情况</w:t>
            </w:r>
          </w:p>
        </w:tc>
        <w:tc>
          <w:tcPr>
            <w:tcW w:w="2268" w:type="dxa"/>
            <w:vAlign w:val="center"/>
          </w:tcPr>
          <w:p w14:paraId="350C7F2A">
            <w:pPr>
              <w:pStyle w:val="12"/>
            </w:pPr>
            <w:r>
              <w:t>≥95%</w:t>
            </w:r>
          </w:p>
        </w:tc>
        <w:tc>
          <w:tcPr>
            <w:tcW w:w="1276" w:type="dxa"/>
            <w:vAlign w:val="center"/>
          </w:tcPr>
          <w:p w14:paraId="474A69B1">
            <w:pPr>
              <w:pStyle w:val="12"/>
            </w:pPr>
            <w:r>
              <w:t>项目规划</w:t>
            </w:r>
          </w:p>
        </w:tc>
      </w:tr>
    </w:tbl>
    <w:p w14:paraId="43A901D1">
      <w:pPr>
        <w:sectPr>
          <w:pgSz w:w="16840" w:h="11900" w:orient="landscape"/>
          <w:pgMar w:top="1361" w:right="1020" w:bottom="1134" w:left="1020" w:header="720" w:footer="720" w:gutter="0"/>
          <w:cols w:space="720" w:num="1"/>
        </w:sectPr>
      </w:pPr>
    </w:p>
    <w:p w14:paraId="04228E30">
      <w:pPr>
        <w:spacing w:before="0" w:after="0"/>
        <w:ind w:firstLine="560"/>
        <w:jc w:val="left"/>
        <w:outlineLvl w:val="9"/>
      </w:pPr>
      <w:r>
        <w:rPr>
          <w:rFonts w:ascii="方正仿宋_GBK" w:hAnsi="方正仿宋_GBK" w:eastAsia="方正仿宋_GBK" w:cs="方正仿宋_GBK"/>
          <w:b/>
          <w:color w:val="000000"/>
          <w:sz w:val="28"/>
        </w:rPr>
        <w:t>14、冀财教[2025]122号/中央/支持学前教育发展/西良前幼儿园院落硬化及墙壁粉刷绩效目标表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50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104BD">
            <w:pPr>
              <w:pStyle w:val="11"/>
            </w:pPr>
            <w:r>
              <w:t>单位：万元</w:t>
            </w:r>
          </w:p>
        </w:tc>
      </w:tr>
      <w:tr w14:paraId="22BC3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FD781">
            <w:pPr>
              <w:pStyle w:val="10"/>
            </w:pPr>
            <w:r>
              <w:t>项目编码</w:t>
            </w:r>
          </w:p>
        </w:tc>
        <w:tc>
          <w:tcPr>
            <w:tcW w:w="5103" w:type="dxa"/>
            <w:gridSpan w:val="2"/>
            <w:vAlign w:val="center"/>
          </w:tcPr>
          <w:p w14:paraId="64D0F989">
            <w:pPr>
              <w:pStyle w:val="12"/>
            </w:pPr>
            <w:r>
              <w:t>13052526P008769101930</w:t>
            </w:r>
          </w:p>
        </w:tc>
        <w:tc>
          <w:tcPr>
            <w:tcW w:w="2835" w:type="dxa"/>
            <w:vAlign w:val="center"/>
          </w:tcPr>
          <w:p w14:paraId="106577D9">
            <w:pPr>
              <w:pStyle w:val="10"/>
            </w:pPr>
            <w:r>
              <w:t>项目名称</w:t>
            </w:r>
          </w:p>
        </w:tc>
        <w:tc>
          <w:tcPr>
            <w:tcW w:w="6095" w:type="dxa"/>
            <w:gridSpan w:val="3"/>
            <w:vAlign w:val="center"/>
          </w:tcPr>
          <w:p w14:paraId="4F71BB17">
            <w:pPr>
              <w:pStyle w:val="12"/>
            </w:pPr>
            <w:r>
              <w:t>冀财教[2025]122号/中央/支持学前教育发展/西良前幼儿园院落硬化及墙壁粉刷</w:t>
            </w:r>
          </w:p>
        </w:tc>
      </w:tr>
      <w:tr w14:paraId="2DC26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E5626">
            <w:pPr>
              <w:pStyle w:val="10"/>
            </w:pPr>
            <w:r>
              <w:t>预算规模及资金用途</w:t>
            </w:r>
          </w:p>
        </w:tc>
        <w:tc>
          <w:tcPr>
            <w:tcW w:w="2268" w:type="dxa"/>
            <w:vAlign w:val="center"/>
          </w:tcPr>
          <w:p w14:paraId="69B6D206">
            <w:pPr>
              <w:pStyle w:val="10"/>
            </w:pPr>
            <w:r>
              <w:t>预算数</w:t>
            </w:r>
          </w:p>
        </w:tc>
        <w:tc>
          <w:tcPr>
            <w:tcW w:w="2835" w:type="dxa"/>
            <w:vAlign w:val="center"/>
          </w:tcPr>
          <w:p w14:paraId="1C68257D">
            <w:pPr>
              <w:pStyle w:val="12"/>
            </w:pPr>
            <w:r>
              <w:t>15.30</w:t>
            </w:r>
          </w:p>
        </w:tc>
        <w:tc>
          <w:tcPr>
            <w:tcW w:w="2835" w:type="dxa"/>
            <w:vAlign w:val="center"/>
          </w:tcPr>
          <w:p w14:paraId="7EE86D23">
            <w:pPr>
              <w:pStyle w:val="10"/>
            </w:pPr>
            <w:r>
              <w:t>其中：财政    资金</w:t>
            </w:r>
          </w:p>
        </w:tc>
        <w:tc>
          <w:tcPr>
            <w:tcW w:w="2551" w:type="dxa"/>
            <w:vAlign w:val="center"/>
          </w:tcPr>
          <w:p w14:paraId="3F298330">
            <w:pPr>
              <w:pStyle w:val="12"/>
            </w:pPr>
            <w:r>
              <w:t>15.30</w:t>
            </w:r>
          </w:p>
        </w:tc>
        <w:tc>
          <w:tcPr>
            <w:tcW w:w="2268" w:type="dxa"/>
            <w:vAlign w:val="center"/>
          </w:tcPr>
          <w:p w14:paraId="2CEA512B">
            <w:pPr>
              <w:pStyle w:val="10"/>
            </w:pPr>
            <w:r>
              <w:t>其他资金</w:t>
            </w:r>
          </w:p>
        </w:tc>
        <w:tc>
          <w:tcPr>
            <w:tcW w:w="1276" w:type="dxa"/>
            <w:vAlign w:val="center"/>
          </w:tcPr>
          <w:p w14:paraId="7728EE0A">
            <w:pPr>
              <w:pStyle w:val="12"/>
            </w:pPr>
            <w:r>
              <w:t xml:space="preserve"> </w:t>
            </w:r>
          </w:p>
        </w:tc>
      </w:tr>
      <w:tr w14:paraId="00378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A9D86"/>
        </w:tc>
        <w:tc>
          <w:tcPr>
            <w:tcW w:w="14033" w:type="dxa"/>
            <w:gridSpan w:val="6"/>
            <w:vAlign w:val="center"/>
          </w:tcPr>
          <w:p w14:paraId="5D60BFA7">
            <w:pPr>
              <w:pStyle w:val="12"/>
            </w:pPr>
            <w:r>
              <w:t>改善就学条件，提升学校形象，保障幼儿安全，创造良好的校园环境。</w:t>
            </w:r>
          </w:p>
        </w:tc>
      </w:tr>
      <w:tr w14:paraId="63025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CF857">
            <w:pPr>
              <w:pStyle w:val="10"/>
            </w:pPr>
            <w:r>
              <w:t>资金支出计划（%）</w:t>
            </w:r>
          </w:p>
        </w:tc>
        <w:tc>
          <w:tcPr>
            <w:tcW w:w="5103" w:type="dxa"/>
            <w:gridSpan w:val="2"/>
            <w:vAlign w:val="center"/>
          </w:tcPr>
          <w:p w14:paraId="66FC027E">
            <w:pPr>
              <w:pStyle w:val="10"/>
            </w:pPr>
            <w:r>
              <w:t>3月底</w:t>
            </w:r>
          </w:p>
        </w:tc>
        <w:tc>
          <w:tcPr>
            <w:tcW w:w="2835" w:type="dxa"/>
            <w:vAlign w:val="center"/>
          </w:tcPr>
          <w:p w14:paraId="15CEF991">
            <w:pPr>
              <w:pStyle w:val="10"/>
            </w:pPr>
            <w:r>
              <w:t>6月底</w:t>
            </w:r>
          </w:p>
        </w:tc>
        <w:tc>
          <w:tcPr>
            <w:tcW w:w="2551" w:type="dxa"/>
            <w:vAlign w:val="center"/>
          </w:tcPr>
          <w:p w14:paraId="39954DDF">
            <w:pPr>
              <w:pStyle w:val="10"/>
            </w:pPr>
            <w:r>
              <w:t>10月底</w:t>
            </w:r>
          </w:p>
        </w:tc>
        <w:tc>
          <w:tcPr>
            <w:tcW w:w="3544" w:type="dxa"/>
            <w:gridSpan w:val="2"/>
            <w:vAlign w:val="center"/>
          </w:tcPr>
          <w:p w14:paraId="7ED15BD6">
            <w:pPr>
              <w:pStyle w:val="10"/>
            </w:pPr>
            <w:r>
              <w:t>12月底</w:t>
            </w:r>
          </w:p>
        </w:tc>
      </w:tr>
      <w:tr w14:paraId="4E5D9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0D159"/>
        </w:tc>
        <w:tc>
          <w:tcPr>
            <w:tcW w:w="5103" w:type="dxa"/>
            <w:gridSpan w:val="2"/>
            <w:vAlign w:val="center"/>
          </w:tcPr>
          <w:p w14:paraId="73F32D0C">
            <w:pPr>
              <w:pStyle w:val="13"/>
            </w:pPr>
            <w:r>
              <w:t xml:space="preserve"> </w:t>
            </w:r>
          </w:p>
        </w:tc>
        <w:tc>
          <w:tcPr>
            <w:tcW w:w="2835" w:type="dxa"/>
            <w:vAlign w:val="center"/>
          </w:tcPr>
          <w:p w14:paraId="3079FF88">
            <w:pPr>
              <w:pStyle w:val="13"/>
            </w:pPr>
            <w:r>
              <w:t>50%</w:t>
            </w:r>
          </w:p>
        </w:tc>
        <w:tc>
          <w:tcPr>
            <w:tcW w:w="2551" w:type="dxa"/>
            <w:vAlign w:val="center"/>
          </w:tcPr>
          <w:p w14:paraId="395AAE7A">
            <w:pPr>
              <w:pStyle w:val="13"/>
            </w:pPr>
            <w:r>
              <w:t>100%</w:t>
            </w:r>
          </w:p>
        </w:tc>
        <w:tc>
          <w:tcPr>
            <w:tcW w:w="3544" w:type="dxa"/>
            <w:gridSpan w:val="2"/>
            <w:vAlign w:val="center"/>
          </w:tcPr>
          <w:p w14:paraId="68BAB90D">
            <w:pPr>
              <w:pStyle w:val="13"/>
            </w:pPr>
            <w:r>
              <w:t>100%</w:t>
            </w:r>
          </w:p>
        </w:tc>
      </w:tr>
      <w:tr w14:paraId="54BE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06BDF">
            <w:pPr>
              <w:pStyle w:val="10"/>
            </w:pPr>
            <w:r>
              <w:t>绩效目标</w:t>
            </w:r>
          </w:p>
        </w:tc>
        <w:tc>
          <w:tcPr>
            <w:tcW w:w="14033" w:type="dxa"/>
            <w:gridSpan w:val="6"/>
            <w:vAlign w:val="center"/>
          </w:tcPr>
          <w:p w14:paraId="746A0712">
            <w:pPr>
              <w:pStyle w:val="12"/>
            </w:pPr>
            <w:r>
              <w:t>1.改善就学条件，提升学校形象，保障幼儿安全，创造良好的校园环境。</w:t>
            </w:r>
          </w:p>
          <w:p w14:paraId="7A80265E">
            <w:pPr>
              <w:pStyle w:val="12"/>
            </w:pPr>
            <w:r>
              <w:t>2.项目需资金15.3万元，资金拨付率达到100%。</w:t>
            </w:r>
          </w:p>
        </w:tc>
      </w:tr>
    </w:tbl>
    <w:p w14:paraId="6AE54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F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B7AA0">
            <w:pPr>
              <w:pStyle w:val="10"/>
            </w:pPr>
            <w:r>
              <w:t>一级指标</w:t>
            </w:r>
          </w:p>
        </w:tc>
        <w:tc>
          <w:tcPr>
            <w:tcW w:w="2268" w:type="dxa"/>
            <w:vAlign w:val="center"/>
          </w:tcPr>
          <w:p w14:paraId="7314611D">
            <w:pPr>
              <w:pStyle w:val="10"/>
            </w:pPr>
            <w:r>
              <w:t>二级指标</w:t>
            </w:r>
          </w:p>
        </w:tc>
        <w:tc>
          <w:tcPr>
            <w:tcW w:w="2835" w:type="dxa"/>
            <w:vAlign w:val="center"/>
          </w:tcPr>
          <w:p w14:paraId="1879A8BF">
            <w:pPr>
              <w:pStyle w:val="10"/>
            </w:pPr>
            <w:r>
              <w:t>三级指标</w:t>
            </w:r>
          </w:p>
        </w:tc>
        <w:tc>
          <w:tcPr>
            <w:tcW w:w="5386" w:type="dxa"/>
            <w:vAlign w:val="center"/>
          </w:tcPr>
          <w:p w14:paraId="79A6CC46">
            <w:pPr>
              <w:pStyle w:val="10"/>
            </w:pPr>
            <w:r>
              <w:t>绩效指标描述</w:t>
            </w:r>
          </w:p>
        </w:tc>
        <w:tc>
          <w:tcPr>
            <w:tcW w:w="2268" w:type="dxa"/>
            <w:vAlign w:val="center"/>
          </w:tcPr>
          <w:p w14:paraId="09DDEABA">
            <w:pPr>
              <w:pStyle w:val="10"/>
            </w:pPr>
            <w:r>
              <w:t>指标值</w:t>
            </w:r>
          </w:p>
        </w:tc>
        <w:tc>
          <w:tcPr>
            <w:tcW w:w="1276" w:type="dxa"/>
            <w:vAlign w:val="center"/>
          </w:tcPr>
          <w:p w14:paraId="653D22DF">
            <w:pPr>
              <w:pStyle w:val="10"/>
            </w:pPr>
            <w:r>
              <w:t>指标值确定依据</w:t>
            </w:r>
          </w:p>
        </w:tc>
      </w:tr>
      <w:tr w14:paraId="12D5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E448D">
            <w:pPr>
              <w:pStyle w:val="13"/>
            </w:pPr>
            <w:r>
              <w:t>产出指标</w:t>
            </w:r>
          </w:p>
        </w:tc>
        <w:tc>
          <w:tcPr>
            <w:tcW w:w="2268" w:type="dxa"/>
            <w:vAlign w:val="center"/>
          </w:tcPr>
          <w:p w14:paraId="174FECDD">
            <w:pPr>
              <w:pStyle w:val="12"/>
            </w:pPr>
            <w:r>
              <w:t>数量指标</w:t>
            </w:r>
          </w:p>
        </w:tc>
        <w:tc>
          <w:tcPr>
            <w:tcW w:w="2835" w:type="dxa"/>
            <w:vAlign w:val="center"/>
          </w:tcPr>
          <w:p w14:paraId="5D65DA41">
            <w:pPr>
              <w:pStyle w:val="12"/>
            </w:pPr>
            <w:r>
              <w:t>西良前幼儿园院落硬化及墙壁粉刷</w:t>
            </w:r>
          </w:p>
        </w:tc>
        <w:tc>
          <w:tcPr>
            <w:tcW w:w="5386" w:type="dxa"/>
            <w:vAlign w:val="center"/>
          </w:tcPr>
          <w:p w14:paraId="5FACC0E9">
            <w:pPr>
              <w:pStyle w:val="12"/>
            </w:pPr>
            <w:r>
              <w:t>院落硬化、墙壁粉刷等</w:t>
            </w:r>
          </w:p>
        </w:tc>
        <w:tc>
          <w:tcPr>
            <w:tcW w:w="2268" w:type="dxa"/>
            <w:vAlign w:val="center"/>
          </w:tcPr>
          <w:p w14:paraId="69A17471">
            <w:pPr>
              <w:pStyle w:val="12"/>
            </w:pPr>
            <w:r>
              <w:t>1项</w:t>
            </w:r>
          </w:p>
        </w:tc>
        <w:tc>
          <w:tcPr>
            <w:tcW w:w="1276" w:type="dxa"/>
            <w:vAlign w:val="center"/>
          </w:tcPr>
          <w:p w14:paraId="64BA032F">
            <w:pPr>
              <w:pStyle w:val="12"/>
            </w:pPr>
            <w:r>
              <w:t>项目规划</w:t>
            </w:r>
          </w:p>
        </w:tc>
      </w:tr>
      <w:tr w14:paraId="68887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EF658"/>
        </w:tc>
        <w:tc>
          <w:tcPr>
            <w:tcW w:w="2268" w:type="dxa"/>
            <w:vAlign w:val="center"/>
          </w:tcPr>
          <w:p w14:paraId="26481FF1">
            <w:pPr>
              <w:pStyle w:val="12"/>
            </w:pPr>
            <w:r>
              <w:t>质量指标</w:t>
            </w:r>
          </w:p>
        </w:tc>
        <w:tc>
          <w:tcPr>
            <w:tcW w:w="2835" w:type="dxa"/>
            <w:vAlign w:val="center"/>
          </w:tcPr>
          <w:p w14:paraId="1A95C26F">
            <w:pPr>
              <w:pStyle w:val="12"/>
            </w:pPr>
            <w:r>
              <w:t>工程实施验收合格率</w:t>
            </w:r>
          </w:p>
        </w:tc>
        <w:tc>
          <w:tcPr>
            <w:tcW w:w="5386" w:type="dxa"/>
            <w:vAlign w:val="center"/>
          </w:tcPr>
          <w:p w14:paraId="203695CD">
            <w:pPr>
              <w:pStyle w:val="12"/>
            </w:pPr>
            <w:r>
              <w:t>申报程序的合规，项目实施及资金使用符合项目规划</w:t>
            </w:r>
          </w:p>
        </w:tc>
        <w:tc>
          <w:tcPr>
            <w:tcW w:w="2268" w:type="dxa"/>
            <w:vAlign w:val="center"/>
          </w:tcPr>
          <w:p w14:paraId="19BBF725">
            <w:pPr>
              <w:pStyle w:val="12"/>
            </w:pPr>
            <w:r>
              <w:t>100%</w:t>
            </w:r>
          </w:p>
        </w:tc>
        <w:tc>
          <w:tcPr>
            <w:tcW w:w="1276" w:type="dxa"/>
            <w:vAlign w:val="center"/>
          </w:tcPr>
          <w:p w14:paraId="4AC2BED7">
            <w:pPr>
              <w:pStyle w:val="12"/>
            </w:pPr>
            <w:r>
              <w:t>项目规划</w:t>
            </w:r>
          </w:p>
        </w:tc>
      </w:tr>
      <w:tr w14:paraId="5046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633CF"/>
        </w:tc>
        <w:tc>
          <w:tcPr>
            <w:tcW w:w="2268" w:type="dxa"/>
            <w:vAlign w:val="center"/>
          </w:tcPr>
          <w:p w14:paraId="582B2AB7">
            <w:pPr>
              <w:pStyle w:val="12"/>
            </w:pPr>
            <w:r>
              <w:t>时效指标</w:t>
            </w:r>
          </w:p>
        </w:tc>
        <w:tc>
          <w:tcPr>
            <w:tcW w:w="2835" w:type="dxa"/>
            <w:vAlign w:val="center"/>
          </w:tcPr>
          <w:p w14:paraId="3FC34C33">
            <w:pPr>
              <w:pStyle w:val="12"/>
            </w:pPr>
            <w:r>
              <w:t>资金支付率</w:t>
            </w:r>
          </w:p>
        </w:tc>
        <w:tc>
          <w:tcPr>
            <w:tcW w:w="5386" w:type="dxa"/>
            <w:vAlign w:val="center"/>
          </w:tcPr>
          <w:p w14:paraId="1BA6C1B9">
            <w:pPr>
              <w:pStyle w:val="12"/>
            </w:pPr>
            <w:r>
              <w:t>按照序时进度完成资金支付</w:t>
            </w:r>
          </w:p>
        </w:tc>
        <w:tc>
          <w:tcPr>
            <w:tcW w:w="2268" w:type="dxa"/>
            <w:vAlign w:val="center"/>
          </w:tcPr>
          <w:p w14:paraId="255AB732">
            <w:pPr>
              <w:pStyle w:val="12"/>
            </w:pPr>
            <w:r>
              <w:t>100%</w:t>
            </w:r>
          </w:p>
        </w:tc>
        <w:tc>
          <w:tcPr>
            <w:tcW w:w="1276" w:type="dxa"/>
            <w:vAlign w:val="center"/>
          </w:tcPr>
          <w:p w14:paraId="47079553">
            <w:pPr>
              <w:pStyle w:val="12"/>
            </w:pPr>
            <w:r>
              <w:t>项目规划</w:t>
            </w:r>
          </w:p>
        </w:tc>
      </w:tr>
      <w:tr w14:paraId="563B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E215C"/>
        </w:tc>
        <w:tc>
          <w:tcPr>
            <w:tcW w:w="2268" w:type="dxa"/>
            <w:vAlign w:val="center"/>
          </w:tcPr>
          <w:p w14:paraId="6837B1A3">
            <w:pPr>
              <w:pStyle w:val="12"/>
            </w:pPr>
            <w:r>
              <w:t>成本指标</w:t>
            </w:r>
          </w:p>
        </w:tc>
        <w:tc>
          <w:tcPr>
            <w:tcW w:w="2835" w:type="dxa"/>
            <w:vAlign w:val="center"/>
          </w:tcPr>
          <w:p w14:paraId="2F40E902">
            <w:pPr>
              <w:pStyle w:val="12"/>
            </w:pPr>
            <w:r>
              <w:t>项目成本控制情况</w:t>
            </w:r>
          </w:p>
        </w:tc>
        <w:tc>
          <w:tcPr>
            <w:tcW w:w="5386" w:type="dxa"/>
            <w:vAlign w:val="center"/>
          </w:tcPr>
          <w:p w14:paraId="15ACBDF1">
            <w:pPr>
              <w:pStyle w:val="12"/>
            </w:pPr>
            <w:r>
              <w:t>严格按照招标价格及审计额进行</w:t>
            </w:r>
          </w:p>
        </w:tc>
        <w:tc>
          <w:tcPr>
            <w:tcW w:w="2268" w:type="dxa"/>
            <w:vAlign w:val="center"/>
          </w:tcPr>
          <w:p w14:paraId="2DF09398">
            <w:pPr>
              <w:pStyle w:val="12"/>
            </w:pPr>
            <w:r>
              <w:t>15.3万元</w:t>
            </w:r>
          </w:p>
        </w:tc>
        <w:tc>
          <w:tcPr>
            <w:tcW w:w="1276" w:type="dxa"/>
            <w:vAlign w:val="center"/>
          </w:tcPr>
          <w:p w14:paraId="7C264AFE">
            <w:pPr>
              <w:pStyle w:val="12"/>
            </w:pPr>
            <w:r>
              <w:t>项目规划</w:t>
            </w:r>
          </w:p>
        </w:tc>
      </w:tr>
      <w:tr w14:paraId="3C85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010F7">
            <w:pPr>
              <w:pStyle w:val="13"/>
            </w:pPr>
            <w:r>
              <w:t>效益指标</w:t>
            </w:r>
          </w:p>
        </w:tc>
        <w:tc>
          <w:tcPr>
            <w:tcW w:w="2268" w:type="dxa"/>
            <w:vAlign w:val="center"/>
          </w:tcPr>
          <w:p w14:paraId="4428DC9F">
            <w:pPr>
              <w:pStyle w:val="12"/>
            </w:pPr>
            <w:r>
              <w:t>社会效益指标</w:t>
            </w:r>
          </w:p>
        </w:tc>
        <w:tc>
          <w:tcPr>
            <w:tcW w:w="2835" w:type="dxa"/>
            <w:vAlign w:val="center"/>
          </w:tcPr>
          <w:p w14:paraId="4E6C05D0">
            <w:pPr>
              <w:pStyle w:val="12"/>
            </w:pPr>
            <w:r>
              <w:t>学校办学环境提升</w:t>
            </w:r>
          </w:p>
        </w:tc>
        <w:tc>
          <w:tcPr>
            <w:tcW w:w="5386" w:type="dxa"/>
            <w:vAlign w:val="center"/>
          </w:tcPr>
          <w:p w14:paraId="349C89B4">
            <w:pPr>
              <w:pStyle w:val="12"/>
            </w:pPr>
            <w:r>
              <w:t>学校教学环境提升优化率</w:t>
            </w:r>
          </w:p>
        </w:tc>
        <w:tc>
          <w:tcPr>
            <w:tcW w:w="2268" w:type="dxa"/>
            <w:vAlign w:val="center"/>
          </w:tcPr>
          <w:p w14:paraId="77D69E81">
            <w:pPr>
              <w:pStyle w:val="12"/>
            </w:pPr>
            <w:r>
              <w:t>≥98%</w:t>
            </w:r>
          </w:p>
        </w:tc>
        <w:tc>
          <w:tcPr>
            <w:tcW w:w="1276" w:type="dxa"/>
            <w:vAlign w:val="center"/>
          </w:tcPr>
          <w:p w14:paraId="5DE06BB4">
            <w:pPr>
              <w:pStyle w:val="12"/>
            </w:pPr>
            <w:r>
              <w:t>项目规划</w:t>
            </w:r>
          </w:p>
        </w:tc>
      </w:tr>
      <w:tr w14:paraId="2003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75B84">
            <w:pPr>
              <w:pStyle w:val="13"/>
            </w:pPr>
            <w:r>
              <w:t>满意度指标</w:t>
            </w:r>
          </w:p>
        </w:tc>
        <w:tc>
          <w:tcPr>
            <w:tcW w:w="2268" w:type="dxa"/>
            <w:vAlign w:val="center"/>
          </w:tcPr>
          <w:p w14:paraId="30FDC68B">
            <w:pPr>
              <w:pStyle w:val="12"/>
            </w:pPr>
            <w:r>
              <w:t>服务对象满意度指标</w:t>
            </w:r>
          </w:p>
        </w:tc>
        <w:tc>
          <w:tcPr>
            <w:tcW w:w="2835" w:type="dxa"/>
            <w:vAlign w:val="center"/>
          </w:tcPr>
          <w:p w14:paraId="1ACA5055">
            <w:pPr>
              <w:pStyle w:val="12"/>
            </w:pPr>
            <w:r>
              <w:t>受益学生家长及调查满意度</w:t>
            </w:r>
          </w:p>
        </w:tc>
        <w:tc>
          <w:tcPr>
            <w:tcW w:w="5386" w:type="dxa"/>
            <w:vAlign w:val="center"/>
          </w:tcPr>
          <w:p w14:paraId="033F8346">
            <w:pPr>
              <w:pStyle w:val="12"/>
            </w:pPr>
            <w:r>
              <w:t>学生、教师及家长对学校教学环境满意度情况</w:t>
            </w:r>
          </w:p>
        </w:tc>
        <w:tc>
          <w:tcPr>
            <w:tcW w:w="2268" w:type="dxa"/>
            <w:vAlign w:val="center"/>
          </w:tcPr>
          <w:p w14:paraId="3036E054">
            <w:pPr>
              <w:pStyle w:val="12"/>
            </w:pPr>
            <w:r>
              <w:t>≥95%</w:t>
            </w:r>
          </w:p>
        </w:tc>
        <w:tc>
          <w:tcPr>
            <w:tcW w:w="1276" w:type="dxa"/>
            <w:vAlign w:val="center"/>
          </w:tcPr>
          <w:p w14:paraId="45432939">
            <w:pPr>
              <w:pStyle w:val="12"/>
            </w:pPr>
            <w:r>
              <w:t>项目规划</w:t>
            </w:r>
          </w:p>
        </w:tc>
      </w:tr>
    </w:tbl>
    <w:p w14:paraId="695F6481">
      <w:pPr>
        <w:sectPr>
          <w:pgSz w:w="16840" w:h="11900" w:orient="landscape"/>
          <w:pgMar w:top="1361" w:right="1020" w:bottom="1134" w:left="1020" w:header="720" w:footer="720" w:gutter="0"/>
          <w:cols w:space="720" w:num="1"/>
        </w:sectPr>
      </w:pPr>
    </w:p>
    <w:p w14:paraId="49644BB1">
      <w:pPr>
        <w:spacing w:before="0" w:after="0"/>
        <w:ind w:firstLine="560"/>
        <w:jc w:val="left"/>
        <w:outlineLvl w:val="9"/>
      </w:pPr>
      <w:r>
        <w:rPr>
          <w:rFonts w:ascii="方正仿宋_GBK" w:hAnsi="方正仿宋_GBK" w:eastAsia="方正仿宋_GBK" w:cs="方正仿宋_GBK"/>
          <w:b/>
          <w:color w:val="000000"/>
          <w:sz w:val="28"/>
        </w:rPr>
        <w:t>15、冀财教[2025]145号/省级/2026年薄弱学校改造/木花小学食堂改建绩效目标表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BF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FFA25">
            <w:pPr>
              <w:pStyle w:val="11"/>
            </w:pPr>
            <w:r>
              <w:t>单位：万元</w:t>
            </w:r>
          </w:p>
        </w:tc>
      </w:tr>
      <w:tr w14:paraId="4EBD8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87043">
            <w:pPr>
              <w:pStyle w:val="10"/>
            </w:pPr>
            <w:r>
              <w:t>项目编码</w:t>
            </w:r>
          </w:p>
        </w:tc>
        <w:tc>
          <w:tcPr>
            <w:tcW w:w="5103" w:type="dxa"/>
            <w:gridSpan w:val="2"/>
            <w:vAlign w:val="center"/>
          </w:tcPr>
          <w:p w14:paraId="4DB41415">
            <w:pPr>
              <w:pStyle w:val="12"/>
            </w:pPr>
            <w:r>
              <w:t>13052526P00877010026J</w:t>
            </w:r>
          </w:p>
        </w:tc>
        <w:tc>
          <w:tcPr>
            <w:tcW w:w="2835" w:type="dxa"/>
            <w:vAlign w:val="center"/>
          </w:tcPr>
          <w:p w14:paraId="61E775AE">
            <w:pPr>
              <w:pStyle w:val="10"/>
            </w:pPr>
            <w:r>
              <w:t>项目名称</w:t>
            </w:r>
          </w:p>
        </w:tc>
        <w:tc>
          <w:tcPr>
            <w:tcW w:w="6095" w:type="dxa"/>
            <w:gridSpan w:val="3"/>
            <w:vAlign w:val="center"/>
          </w:tcPr>
          <w:p w14:paraId="6877B4FA">
            <w:pPr>
              <w:pStyle w:val="12"/>
            </w:pPr>
            <w:r>
              <w:t>冀财教[2025]145号/省级/2026年薄弱学校改造/木花小学食堂改建</w:t>
            </w:r>
          </w:p>
        </w:tc>
      </w:tr>
      <w:tr w14:paraId="167C7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9881A">
            <w:pPr>
              <w:pStyle w:val="10"/>
            </w:pPr>
            <w:r>
              <w:t>预算规模及资金用途</w:t>
            </w:r>
          </w:p>
        </w:tc>
        <w:tc>
          <w:tcPr>
            <w:tcW w:w="2268" w:type="dxa"/>
            <w:vAlign w:val="center"/>
          </w:tcPr>
          <w:p w14:paraId="340F7D8C">
            <w:pPr>
              <w:pStyle w:val="10"/>
            </w:pPr>
            <w:r>
              <w:t>预算数</w:t>
            </w:r>
          </w:p>
        </w:tc>
        <w:tc>
          <w:tcPr>
            <w:tcW w:w="2835" w:type="dxa"/>
            <w:vAlign w:val="center"/>
          </w:tcPr>
          <w:p w14:paraId="2F310BB1">
            <w:pPr>
              <w:pStyle w:val="12"/>
            </w:pPr>
            <w:r>
              <w:t>18.00</w:t>
            </w:r>
          </w:p>
        </w:tc>
        <w:tc>
          <w:tcPr>
            <w:tcW w:w="2835" w:type="dxa"/>
            <w:vAlign w:val="center"/>
          </w:tcPr>
          <w:p w14:paraId="229C6B73">
            <w:pPr>
              <w:pStyle w:val="10"/>
            </w:pPr>
            <w:r>
              <w:t>其中：财政    资金</w:t>
            </w:r>
          </w:p>
        </w:tc>
        <w:tc>
          <w:tcPr>
            <w:tcW w:w="2551" w:type="dxa"/>
            <w:vAlign w:val="center"/>
          </w:tcPr>
          <w:p w14:paraId="21D214BB">
            <w:pPr>
              <w:pStyle w:val="12"/>
            </w:pPr>
            <w:r>
              <w:t>18.00</w:t>
            </w:r>
          </w:p>
        </w:tc>
        <w:tc>
          <w:tcPr>
            <w:tcW w:w="2268" w:type="dxa"/>
            <w:vAlign w:val="center"/>
          </w:tcPr>
          <w:p w14:paraId="375968E0">
            <w:pPr>
              <w:pStyle w:val="10"/>
            </w:pPr>
            <w:r>
              <w:t>其他资金</w:t>
            </w:r>
          </w:p>
        </w:tc>
        <w:tc>
          <w:tcPr>
            <w:tcW w:w="1276" w:type="dxa"/>
            <w:vAlign w:val="center"/>
          </w:tcPr>
          <w:p w14:paraId="19EA0166">
            <w:pPr>
              <w:pStyle w:val="12"/>
            </w:pPr>
            <w:r>
              <w:t xml:space="preserve"> </w:t>
            </w:r>
          </w:p>
        </w:tc>
      </w:tr>
      <w:tr w14:paraId="75B2B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0DBF5"/>
        </w:tc>
        <w:tc>
          <w:tcPr>
            <w:tcW w:w="14033" w:type="dxa"/>
            <w:gridSpan w:val="6"/>
            <w:vAlign w:val="center"/>
          </w:tcPr>
          <w:p w14:paraId="3D6BE533">
            <w:pPr>
              <w:pStyle w:val="12"/>
            </w:pPr>
            <w:r>
              <w:t>完成 木花小学食堂改建等，满足学校正常教学需要。</w:t>
            </w:r>
            <w:r>
              <w:tab/>
            </w:r>
            <w:r>
              <w:tab/>
            </w:r>
            <w:r>
              <w:tab/>
            </w:r>
            <w:r>
              <w:tab/>
            </w:r>
            <w:r>
              <w:tab/>
            </w:r>
            <w:r>
              <w:tab/>
            </w:r>
          </w:p>
          <w:p w14:paraId="7457A71C">
            <w:pPr>
              <w:pStyle w:val="12"/>
            </w:pPr>
          </w:p>
        </w:tc>
      </w:tr>
      <w:tr w14:paraId="584B1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E0A95">
            <w:pPr>
              <w:pStyle w:val="10"/>
            </w:pPr>
            <w:r>
              <w:t>资金支出计划（%）</w:t>
            </w:r>
          </w:p>
        </w:tc>
        <w:tc>
          <w:tcPr>
            <w:tcW w:w="5103" w:type="dxa"/>
            <w:gridSpan w:val="2"/>
            <w:vAlign w:val="center"/>
          </w:tcPr>
          <w:p w14:paraId="486D8C7F">
            <w:pPr>
              <w:pStyle w:val="10"/>
            </w:pPr>
            <w:r>
              <w:t>3月底</w:t>
            </w:r>
          </w:p>
        </w:tc>
        <w:tc>
          <w:tcPr>
            <w:tcW w:w="2835" w:type="dxa"/>
            <w:vAlign w:val="center"/>
          </w:tcPr>
          <w:p w14:paraId="76B6A11F">
            <w:pPr>
              <w:pStyle w:val="10"/>
            </w:pPr>
            <w:r>
              <w:t>6月底</w:t>
            </w:r>
          </w:p>
        </w:tc>
        <w:tc>
          <w:tcPr>
            <w:tcW w:w="2551" w:type="dxa"/>
            <w:vAlign w:val="center"/>
          </w:tcPr>
          <w:p w14:paraId="74228F2B">
            <w:pPr>
              <w:pStyle w:val="10"/>
            </w:pPr>
            <w:r>
              <w:t>10月底</w:t>
            </w:r>
          </w:p>
        </w:tc>
        <w:tc>
          <w:tcPr>
            <w:tcW w:w="3544" w:type="dxa"/>
            <w:gridSpan w:val="2"/>
            <w:vAlign w:val="center"/>
          </w:tcPr>
          <w:p w14:paraId="7AEB23A7">
            <w:pPr>
              <w:pStyle w:val="10"/>
            </w:pPr>
            <w:r>
              <w:t>12月底</w:t>
            </w:r>
          </w:p>
        </w:tc>
      </w:tr>
      <w:tr w14:paraId="444BB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EC2E1"/>
        </w:tc>
        <w:tc>
          <w:tcPr>
            <w:tcW w:w="5103" w:type="dxa"/>
            <w:gridSpan w:val="2"/>
            <w:vAlign w:val="center"/>
          </w:tcPr>
          <w:p w14:paraId="7B94A460">
            <w:pPr>
              <w:pStyle w:val="13"/>
            </w:pPr>
            <w:r>
              <w:t xml:space="preserve"> </w:t>
            </w:r>
          </w:p>
        </w:tc>
        <w:tc>
          <w:tcPr>
            <w:tcW w:w="2835" w:type="dxa"/>
            <w:vAlign w:val="center"/>
          </w:tcPr>
          <w:p w14:paraId="640E68A2">
            <w:pPr>
              <w:pStyle w:val="13"/>
            </w:pPr>
            <w:r>
              <w:t xml:space="preserve"> </w:t>
            </w:r>
          </w:p>
        </w:tc>
        <w:tc>
          <w:tcPr>
            <w:tcW w:w="2551" w:type="dxa"/>
            <w:vAlign w:val="center"/>
          </w:tcPr>
          <w:p w14:paraId="28AC55DD">
            <w:pPr>
              <w:pStyle w:val="13"/>
            </w:pPr>
            <w:r>
              <w:t>100%</w:t>
            </w:r>
          </w:p>
        </w:tc>
        <w:tc>
          <w:tcPr>
            <w:tcW w:w="3544" w:type="dxa"/>
            <w:gridSpan w:val="2"/>
            <w:vAlign w:val="center"/>
          </w:tcPr>
          <w:p w14:paraId="1668CE1A">
            <w:pPr>
              <w:pStyle w:val="13"/>
            </w:pPr>
            <w:r>
              <w:t>100%</w:t>
            </w:r>
          </w:p>
        </w:tc>
      </w:tr>
      <w:tr w14:paraId="488F3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B9584">
            <w:pPr>
              <w:pStyle w:val="10"/>
            </w:pPr>
            <w:r>
              <w:t>绩效目标</w:t>
            </w:r>
          </w:p>
        </w:tc>
        <w:tc>
          <w:tcPr>
            <w:tcW w:w="14033" w:type="dxa"/>
            <w:gridSpan w:val="6"/>
            <w:vAlign w:val="center"/>
          </w:tcPr>
          <w:p w14:paraId="34E8AD7F">
            <w:pPr>
              <w:pStyle w:val="12"/>
            </w:pPr>
            <w:r>
              <w:t>1.按规定拨付专项资金，资金支付率达到100%。</w:t>
            </w:r>
          </w:p>
          <w:p w14:paraId="24C4E076">
            <w:pPr>
              <w:pStyle w:val="12"/>
            </w:pPr>
            <w:r>
              <w:t>2.完成 木花小学食堂改建等，满足学校正常教学需要。</w:t>
            </w:r>
          </w:p>
        </w:tc>
      </w:tr>
    </w:tbl>
    <w:p w14:paraId="57E9B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8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CC280">
            <w:pPr>
              <w:pStyle w:val="10"/>
            </w:pPr>
            <w:r>
              <w:t>一级指标</w:t>
            </w:r>
          </w:p>
        </w:tc>
        <w:tc>
          <w:tcPr>
            <w:tcW w:w="2268" w:type="dxa"/>
            <w:vAlign w:val="center"/>
          </w:tcPr>
          <w:p w14:paraId="48292C1C">
            <w:pPr>
              <w:pStyle w:val="10"/>
            </w:pPr>
            <w:r>
              <w:t>二级指标</w:t>
            </w:r>
          </w:p>
        </w:tc>
        <w:tc>
          <w:tcPr>
            <w:tcW w:w="2835" w:type="dxa"/>
            <w:vAlign w:val="center"/>
          </w:tcPr>
          <w:p w14:paraId="05326F41">
            <w:pPr>
              <w:pStyle w:val="10"/>
            </w:pPr>
            <w:r>
              <w:t>三级指标</w:t>
            </w:r>
          </w:p>
        </w:tc>
        <w:tc>
          <w:tcPr>
            <w:tcW w:w="5386" w:type="dxa"/>
            <w:vAlign w:val="center"/>
          </w:tcPr>
          <w:p w14:paraId="3CF6D782">
            <w:pPr>
              <w:pStyle w:val="10"/>
            </w:pPr>
            <w:r>
              <w:t>绩效指标描述</w:t>
            </w:r>
          </w:p>
        </w:tc>
        <w:tc>
          <w:tcPr>
            <w:tcW w:w="2268" w:type="dxa"/>
            <w:vAlign w:val="center"/>
          </w:tcPr>
          <w:p w14:paraId="45F31F97">
            <w:pPr>
              <w:pStyle w:val="10"/>
            </w:pPr>
            <w:r>
              <w:t>指标值</w:t>
            </w:r>
          </w:p>
        </w:tc>
        <w:tc>
          <w:tcPr>
            <w:tcW w:w="1276" w:type="dxa"/>
            <w:vAlign w:val="center"/>
          </w:tcPr>
          <w:p w14:paraId="07101468">
            <w:pPr>
              <w:pStyle w:val="10"/>
            </w:pPr>
            <w:r>
              <w:t>指标值确定依据</w:t>
            </w:r>
          </w:p>
        </w:tc>
      </w:tr>
      <w:tr w14:paraId="553E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05900">
            <w:pPr>
              <w:pStyle w:val="13"/>
            </w:pPr>
            <w:r>
              <w:t>产出指标</w:t>
            </w:r>
          </w:p>
        </w:tc>
        <w:tc>
          <w:tcPr>
            <w:tcW w:w="2268" w:type="dxa"/>
            <w:vAlign w:val="center"/>
          </w:tcPr>
          <w:p w14:paraId="196E157C">
            <w:pPr>
              <w:pStyle w:val="12"/>
            </w:pPr>
            <w:r>
              <w:t>数量指标</w:t>
            </w:r>
          </w:p>
        </w:tc>
        <w:tc>
          <w:tcPr>
            <w:tcW w:w="2835" w:type="dxa"/>
            <w:vAlign w:val="center"/>
          </w:tcPr>
          <w:p w14:paraId="4B8710C5">
            <w:pPr>
              <w:pStyle w:val="12"/>
            </w:pPr>
            <w:r>
              <w:t xml:space="preserve"> 木花小学食堂改建</w:t>
            </w:r>
          </w:p>
        </w:tc>
        <w:tc>
          <w:tcPr>
            <w:tcW w:w="5386" w:type="dxa"/>
            <w:vAlign w:val="center"/>
          </w:tcPr>
          <w:p w14:paraId="07EE9965">
            <w:pPr>
              <w:pStyle w:val="12"/>
            </w:pPr>
            <w:r>
              <w:t>餐厅屋顶托架、断桥铝门窗等</w:t>
            </w:r>
          </w:p>
        </w:tc>
        <w:tc>
          <w:tcPr>
            <w:tcW w:w="2268" w:type="dxa"/>
            <w:vAlign w:val="center"/>
          </w:tcPr>
          <w:p w14:paraId="20934736">
            <w:pPr>
              <w:pStyle w:val="12"/>
            </w:pPr>
            <w:r>
              <w:t>1项</w:t>
            </w:r>
          </w:p>
        </w:tc>
        <w:tc>
          <w:tcPr>
            <w:tcW w:w="1276" w:type="dxa"/>
            <w:vAlign w:val="center"/>
          </w:tcPr>
          <w:p w14:paraId="1F897656">
            <w:pPr>
              <w:pStyle w:val="12"/>
            </w:pPr>
            <w:r>
              <w:t>项目规划</w:t>
            </w:r>
          </w:p>
        </w:tc>
      </w:tr>
      <w:tr w14:paraId="5AFC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4846"/>
        </w:tc>
        <w:tc>
          <w:tcPr>
            <w:tcW w:w="2268" w:type="dxa"/>
            <w:vAlign w:val="center"/>
          </w:tcPr>
          <w:p w14:paraId="24698807">
            <w:pPr>
              <w:pStyle w:val="12"/>
            </w:pPr>
            <w:r>
              <w:t>质量指标</w:t>
            </w:r>
          </w:p>
        </w:tc>
        <w:tc>
          <w:tcPr>
            <w:tcW w:w="2835" w:type="dxa"/>
            <w:vAlign w:val="center"/>
          </w:tcPr>
          <w:p w14:paraId="04C5A57B">
            <w:pPr>
              <w:pStyle w:val="12"/>
            </w:pPr>
            <w:r>
              <w:t>工程实施验收合格率</w:t>
            </w:r>
          </w:p>
        </w:tc>
        <w:tc>
          <w:tcPr>
            <w:tcW w:w="5386" w:type="dxa"/>
            <w:vAlign w:val="center"/>
          </w:tcPr>
          <w:p w14:paraId="1E74B6FB">
            <w:pPr>
              <w:pStyle w:val="12"/>
            </w:pPr>
            <w:r>
              <w:t>申报程序的合规，项目实施及资金使用符合项目规划</w:t>
            </w:r>
          </w:p>
        </w:tc>
        <w:tc>
          <w:tcPr>
            <w:tcW w:w="2268" w:type="dxa"/>
            <w:vAlign w:val="center"/>
          </w:tcPr>
          <w:p w14:paraId="62254A2C">
            <w:pPr>
              <w:pStyle w:val="12"/>
            </w:pPr>
            <w:r>
              <w:t>100%</w:t>
            </w:r>
          </w:p>
        </w:tc>
        <w:tc>
          <w:tcPr>
            <w:tcW w:w="1276" w:type="dxa"/>
            <w:vAlign w:val="center"/>
          </w:tcPr>
          <w:p w14:paraId="17FE7983">
            <w:pPr>
              <w:pStyle w:val="12"/>
            </w:pPr>
            <w:r>
              <w:t>项目规划</w:t>
            </w:r>
          </w:p>
        </w:tc>
      </w:tr>
      <w:tr w14:paraId="38C7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3D68"/>
        </w:tc>
        <w:tc>
          <w:tcPr>
            <w:tcW w:w="2268" w:type="dxa"/>
            <w:vAlign w:val="center"/>
          </w:tcPr>
          <w:p w14:paraId="1B3DE62E">
            <w:pPr>
              <w:pStyle w:val="12"/>
            </w:pPr>
            <w:r>
              <w:t>时效指标</w:t>
            </w:r>
          </w:p>
        </w:tc>
        <w:tc>
          <w:tcPr>
            <w:tcW w:w="2835" w:type="dxa"/>
            <w:vAlign w:val="center"/>
          </w:tcPr>
          <w:p w14:paraId="7BE0B545">
            <w:pPr>
              <w:pStyle w:val="12"/>
            </w:pPr>
            <w:r>
              <w:t>资金支付率</w:t>
            </w:r>
          </w:p>
        </w:tc>
        <w:tc>
          <w:tcPr>
            <w:tcW w:w="5386" w:type="dxa"/>
            <w:vAlign w:val="center"/>
          </w:tcPr>
          <w:p w14:paraId="72D9A950">
            <w:pPr>
              <w:pStyle w:val="12"/>
            </w:pPr>
            <w:r>
              <w:t>按照序时进度完成资金支付</w:t>
            </w:r>
          </w:p>
        </w:tc>
        <w:tc>
          <w:tcPr>
            <w:tcW w:w="2268" w:type="dxa"/>
            <w:vAlign w:val="center"/>
          </w:tcPr>
          <w:p w14:paraId="247AE456">
            <w:pPr>
              <w:pStyle w:val="12"/>
            </w:pPr>
            <w:r>
              <w:t>100%</w:t>
            </w:r>
          </w:p>
        </w:tc>
        <w:tc>
          <w:tcPr>
            <w:tcW w:w="1276" w:type="dxa"/>
            <w:vAlign w:val="center"/>
          </w:tcPr>
          <w:p w14:paraId="1B21E730">
            <w:pPr>
              <w:pStyle w:val="12"/>
            </w:pPr>
            <w:r>
              <w:t>项目规划</w:t>
            </w:r>
          </w:p>
        </w:tc>
      </w:tr>
      <w:tr w14:paraId="1C40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6EA4E"/>
        </w:tc>
        <w:tc>
          <w:tcPr>
            <w:tcW w:w="2268" w:type="dxa"/>
            <w:vAlign w:val="center"/>
          </w:tcPr>
          <w:p w14:paraId="402BB9F3">
            <w:pPr>
              <w:pStyle w:val="12"/>
            </w:pPr>
            <w:r>
              <w:t>成本指标</w:t>
            </w:r>
          </w:p>
        </w:tc>
        <w:tc>
          <w:tcPr>
            <w:tcW w:w="2835" w:type="dxa"/>
            <w:vAlign w:val="center"/>
          </w:tcPr>
          <w:p w14:paraId="515BDCC4">
            <w:pPr>
              <w:pStyle w:val="12"/>
            </w:pPr>
            <w:r>
              <w:t>项目成本控制情况</w:t>
            </w:r>
          </w:p>
        </w:tc>
        <w:tc>
          <w:tcPr>
            <w:tcW w:w="5386" w:type="dxa"/>
            <w:vAlign w:val="center"/>
          </w:tcPr>
          <w:p w14:paraId="7EA5E757">
            <w:pPr>
              <w:pStyle w:val="12"/>
            </w:pPr>
            <w:r>
              <w:t>严格按照招标价格及审计额进行</w:t>
            </w:r>
          </w:p>
        </w:tc>
        <w:tc>
          <w:tcPr>
            <w:tcW w:w="2268" w:type="dxa"/>
            <w:vAlign w:val="center"/>
          </w:tcPr>
          <w:p w14:paraId="7A1DC137">
            <w:pPr>
              <w:pStyle w:val="12"/>
            </w:pPr>
            <w:r>
              <w:t>18万元</w:t>
            </w:r>
          </w:p>
        </w:tc>
        <w:tc>
          <w:tcPr>
            <w:tcW w:w="1276" w:type="dxa"/>
            <w:vAlign w:val="center"/>
          </w:tcPr>
          <w:p w14:paraId="2A0309F1">
            <w:pPr>
              <w:pStyle w:val="12"/>
            </w:pPr>
            <w:r>
              <w:t>项目规划</w:t>
            </w:r>
          </w:p>
        </w:tc>
      </w:tr>
      <w:tr w14:paraId="62B30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3A6DA">
            <w:pPr>
              <w:pStyle w:val="13"/>
            </w:pPr>
            <w:r>
              <w:t>效益指标</w:t>
            </w:r>
          </w:p>
        </w:tc>
        <w:tc>
          <w:tcPr>
            <w:tcW w:w="2268" w:type="dxa"/>
            <w:vAlign w:val="center"/>
          </w:tcPr>
          <w:p w14:paraId="62B42F35">
            <w:pPr>
              <w:pStyle w:val="12"/>
            </w:pPr>
            <w:r>
              <w:t>经济效益指标</w:t>
            </w:r>
          </w:p>
        </w:tc>
        <w:tc>
          <w:tcPr>
            <w:tcW w:w="2835" w:type="dxa"/>
            <w:vAlign w:val="center"/>
          </w:tcPr>
          <w:p w14:paraId="547C0F11">
            <w:pPr>
              <w:pStyle w:val="12"/>
            </w:pPr>
            <w:r>
              <w:t>学校办学环境提升</w:t>
            </w:r>
          </w:p>
        </w:tc>
        <w:tc>
          <w:tcPr>
            <w:tcW w:w="5386" w:type="dxa"/>
            <w:vAlign w:val="center"/>
          </w:tcPr>
          <w:p w14:paraId="7485B254">
            <w:pPr>
              <w:pStyle w:val="12"/>
            </w:pPr>
            <w:r>
              <w:t>学校教学环境提升优化率</w:t>
            </w:r>
          </w:p>
        </w:tc>
        <w:tc>
          <w:tcPr>
            <w:tcW w:w="2268" w:type="dxa"/>
            <w:vAlign w:val="center"/>
          </w:tcPr>
          <w:p w14:paraId="6CE06094">
            <w:pPr>
              <w:pStyle w:val="12"/>
            </w:pPr>
            <w:r>
              <w:t>≥98%</w:t>
            </w:r>
          </w:p>
        </w:tc>
        <w:tc>
          <w:tcPr>
            <w:tcW w:w="1276" w:type="dxa"/>
            <w:vAlign w:val="center"/>
          </w:tcPr>
          <w:p w14:paraId="648D2577">
            <w:pPr>
              <w:pStyle w:val="12"/>
            </w:pPr>
            <w:r>
              <w:t>项目规划</w:t>
            </w:r>
          </w:p>
        </w:tc>
      </w:tr>
      <w:tr w14:paraId="6261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94190"/>
        </w:tc>
        <w:tc>
          <w:tcPr>
            <w:tcW w:w="2268" w:type="dxa"/>
            <w:vAlign w:val="center"/>
          </w:tcPr>
          <w:p w14:paraId="44B10B14">
            <w:pPr>
              <w:pStyle w:val="12"/>
            </w:pPr>
            <w:r>
              <w:t>社会效益指标</w:t>
            </w:r>
          </w:p>
        </w:tc>
        <w:tc>
          <w:tcPr>
            <w:tcW w:w="2835" w:type="dxa"/>
            <w:vAlign w:val="center"/>
          </w:tcPr>
          <w:p w14:paraId="12D8D120">
            <w:pPr>
              <w:pStyle w:val="12"/>
            </w:pPr>
            <w:r>
              <w:t>校园环境</w:t>
            </w:r>
          </w:p>
        </w:tc>
        <w:tc>
          <w:tcPr>
            <w:tcW w:w="5386" w:type="dxa"/>
            <w:vAlign w:val="center"/>
          </w:tcPr>
          <w:p w14:paraId="4584F772">
            <w:pPr>
              <w:pStyle w:val="12"/>
            </w:pPr>
            <w:r>
              <w:t>办学条件和环境得到改善</w:t>
            </w:r>
          </w:p>
        </w:tc>
        <w:tc>
          <w:tcPr>
            <w:tcW w:w="2268" w:type="dxa"/>
            <w:vAlign w:val="center"/>
          </w:tcPr>
          <w:p w14:paraId="6DAC8478">
            <w:pPr>
              <w:pStyle w:val="12"/>
            </w:pPr>
            <w:r>
              <w:t>≥95%</w:t>
            </w:r>
          </w:p>
        </w:tc>
        <w:tc>
          <w:tcPr>
            <w:tcW w:w="1276" w:type="dxa"/>
            <w:vAlign w:val="center"/>
          </w:tcPr>
          <w:p w14:paraId="18BF834B">
            <w:pPr>
              <w:pStyle w:val="12"/>
            </w:pPr>
            <w:r>
              <w:t>城乡义务教育公用经费管理办法</w:t>
            </w:r>
          </w:p>
        </w:tc>
      </w:tr>
      <w:tr w14:paraId="13D2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F89DE">
            <w:pPr>
              <w:pStyle w:val="13"/>
            </w:pPr>
            <w:r>
              <w:t>满意度指标</w:t>
            </w:r>
          </w:p>
        </w:tc>
        <w:tc>
          <w:tcPr>
            <w:tcW w:w="2268" w:type="dxa"/>
            <w:vAlign w:val="center"/>
          </w:tcPr>
          <w:p w14:paraId="60A38CD2">
            <w:pPr>
              <w:pStyle w:val="12"/>
            </w:pPr>
            <w:r>
              <w:t>服务对象满意度指标</w:t>
            </w:r>
          </w:p>
        </w:tc>
        <w:tc>
          <w:tcPr>
            <w:tcW w:w="2835" w:type="dxa"/>
            <w:vAlign w:val="center"/>
          </w:tcPr>
          <w:p w14:paraId="16FC44CB">
            <w:pPr>
              <w:pStyle w:val="12"/>
            </w:pPr>
            <w:r>
              <w:t>受益学生家长及调查满意度</w:t>
            </w:r>
          </w:p>
        </w:tc>
        <w:tc>
          <w:tcPr>
            <w:tcW w:w="5386" w:type="dxa"/>
            <w:vAlign w:val="center"/>
          </w:tcPr>
          <w:p w14:paraId="5ED04D17">
            <w:pPr>
              <w:pStyle w:val="12"/>
            </w:pPr>
            <w:r>
              <w:t>学生、教师及家长对学校教学环境满意度情况</w:t>
            </w:r>
          </w:p>
        </w:tc>
        <w:tc>
          <w:tcPr>
            <w:tcW w:w="2268" w:type="dxa"/>
            <w:vAlign w:val="center"/>
          </w:tcPr>
          <w:p w14:paraId="3A8B7291">
            <w:pPr>
              <w:pStyle w:val="12"/>
            </w:pPr>
            <w:r>
              <w:t>≥95%</w:t>
            </w:r>
          </w:p>
        </w:tc>
        <w:tc>
          <w:tcPr>
            <w:tcW w:w="1276" w:type="dxa"/>
            <w:vAlign w:val="center"/>
          </w:tcPr>
          <w:p w14:paraId="4BC1F1FF">
            <w:pPr>
              <w:pStyle w:val="12"/>
            </w:pPr>
            <w:r>
              <w:t>项目规划</w:t>
            </w:r>
          </w:p>
        </w:tc>
      </w:tr>
    </w:tbl>
    <w:p w14:paraId="00E248E5">
      <w:pPr>
        <w:sectPr>
          <w:pgSz w:w="16840" w:h="11900" w:orient="landscape"/>
          <w:pgMar w:top="1361" w:right="1020" w:bottom="1134" w:left="1020" w:header="720" w:footer="720" w:gutter="0"/>
          <w:cols w:space="720" w:num="1"/>
        </w:sectPr>
      </w:pPr>
    </w:p>
    <w:p w14:paraId="08268C4D">
      <w:pPr>
        <w:spacing w:before="0" w:after="0"/>
        <w:ind w:firstLine="560"/>
        <w:jc w:val="left"/>
        <w:outlineLvl w:val="9"/>
      </w:pPr>
      <w:r>
        <w:rPr>
          <w:rFonts w:ascii="方正仿宋_GBK" w:hAnsi="方正仿宋_GBK" w:eastAsia="方正仿宋_GBK" w:cs="方正仿宋_GBK"/>
          <w:b/>
          <w:color w:val="000000"/>
          <w:sz w:val="28"/>
        </w:rPr>
        <w:t>16、冀财教[2025]147号/省级/2026年义教补助经费/双碑校区北村小学公用经费绩效目标表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C9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A4660">
            <w:pPr>
              <w:pStyle w:val="11"/>
            </w:pPr>
            <w:r>
              <w:t>单位：万元</w:t>
            </w:r>
          </w:p>
        </w:tc>
      </w:tr>
      <w:tr w14:paraId="11B5F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5F106">
            <w:pPr>
              <w:pStyle w:val="10"/>
            </w:pPr>
            <w:r>
              <w:t>项目编码</w:t>
            </w:r>
          </w:p>
        </w:tc>
        <w:tc>
          <w:tcPr>
            <w:tcW w:w="5103" w:type="dxa"/>
            <w:gridSpan w:val="2"/>
            <w:vAlign w:val="center"/>
          </w:tcPr>
          <w:p w14:paraId="027781E8">
            <w:pPr>
              <w:pStyle w:val="12"/>
            </w:pPr>
            <w:r>
              <w:t>13052526P000004103640</w:t>
            </w:r>
          </w:p>
        </w:tc>
        <w:tc>
          <w:tcPr>
            <w:tcW w:w="2835" w:type="dxa"/>
            <w:vAlign w:val="center"/>
          </w:tcPr>
          <w:p w14:paraId="1ECEB3F4">
            <w:pPr>
              <w:pStyle w:val="10"/>
            </w:pPr>
            <w:r>
              <w:t>项目名称</w:t>
            </w:r>
          </w:p>
        </w:tc>
        <w:tc>
          <w:tcPr>
            <w:tcW w:w="6095" w:type="dxa"/>
            <w:gridSpan w:val="3"/>
            <w:vAlign w:val="center"/>
          </w:tcPr>
          <w:p w14:paraId="2D20F3FE">
            <w:pPr>
              <w:pStyle w:val="12"/>
            </w:pPr>
            <w:r>
              <w:t>冀财教[2025]147号/省级/2026年义教补助经费/双碑校区北村小学公用经费</w:t>
            </w:r>
          </w:p>
        </w:tc>
      </w:tr>
      <w:tr w14:paraId="09538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307AD">
            <w:pPr>
              <w:pStyle w:val="10"/>
            </w:pPr>
            <w:r>
              <w:t>预算规模及资金用途</w:t>
            </w:r>
          </w:p>
        </w:tc>
        <w:tc>
          <w:tcPr>
            <w:tcW w:w="2268" w:type="dxa"/>
            <w:vAlign w:val="center"/>
          </w:tcPr>
          <w:p w14:paraId="62CA0F05">
            <w:pPr>
              <w:pStyle w:val="10"/>
            </w:pPr>
            <w:r>
              <w:t>预算数</w:t>
            </w:r>
          </w:p>
        </w:tc>
        <w:tc>
          <w:tcPr>
            <w:tcW w:w="2835" w:type="dxa"/>
            <w:vAlign w:val="center"/>
          </w:tcPr>
          <w:p w14:paraId="71E1985E">
            <w:pPr>
              <w:pStyle w:val="12"/>
            </w:pPr>
            <w:r>
              <w:t>9.73</w:t>
            </w:r>
          </w:p>
        </w:tc>
        <w:tc>
          <w:tcPr>
            <w:tcW w:w="2835" w:type="dxa"/>
            <w:vAlign w:val="center"/>
          </w:tcPr>
          <w:p w14:paraId="413EF5D2">
            <w:pPr>
              <w:pStyle w:val="10"/>
            </w:pPr>
            <w:r>
              <w:t>其中：财政    资金</w:t>
            </w:r>
          </w:p>
        </w:tc>
        <w:tc>
          <w:tcPr>
            <w:tcW w:w="2551" w:type="dxa"/>
            <w:vAlign w:val="center"/>
          </w:tcPr>
          <w:p w14:paraId="7FDDFA09">
            <w:pPr>
              <w:pStyle w:val="12"/>
            </w:pPr>
            <w:r>
              <w:t>9.73</w:t>
            </w:r>
          </w:p>
        </w:tc>
        <w:tc>
          <w:tcPr>
            <w:tcW w:w="2268" w:type="dxa"/>
            <w:vAlign w:val="center"/>
          </w:tcPr>
          <w:p w14:paraId="7119C445">
            <w:pPr>
              <w:pStyle w:val="10"/>
            </w:pPr>
            <w:r>
              <w:t>其他资金</w:t>
            </w:r>
          </w:p>
        </w:tc>
        <w:tc>
          <w:tcPr>
            <w:tcW w:w="1276" w:type="dxa"/>
            <w:vAlign w:val="center"/>
          </w:tcPr>
          <w:p w14:paraId="5BBE9E36">
            <w:pPr>
              <w:pStyle w:val="12"/>
            </w:pPr>
            <w:r>
              <w:t xml:space="preserve"> </w:t>
            </w:r>
          </w:p>
        </w:tc>
      </w:tr>
      <w:tr w14:paraId="7D862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B4DCC"/>
        </w:tc>
        <w:tc>
          <w:tcPr>
            <w:tcW w:w="14033" w:type="dxa"/>
            <w:gridSpan w:val="6"/>
            <w:vAlign w:val="center"/>
          </w:tcPr>
          <w:p w14:paraId="328B4CA0">
            <w:pPr>
              <w:pStyle w:val="12"/>
            </w:pPr>
            <w:r>
              <w:t>保障学校正常运转，完成各项教育教学活动和其他日常工作任务等方面的费用支出。</w:t>
            </w:r>
            <w:r>
              <w:tab/>
            </w:r>
            <w:r>
              <w:tab/>
            </w:r>
            <w:r>
              <w:tab/>
            </w:r>
            <w:r>
              <w:tab/>
            </w:r>
            <w:r>
              <w:tab/>
            </w:r>
            <w:r>
              <w:tab/>
            </w:r>
          </w:p>
          <w:p w14:paraId="610196BD">
            <w:pPr>
              <w:pStyle w:val="12"/>
            </w:pPr>
          </w:p>
        </w:tc>
      </w:tr>
      <w:tr w14:paraId="76C97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51B74">
            <w:pPr>
              <w:pStyle w:val="10"/>
            </w:pPr>
            <w:r>
              <w:t>资金支出计划（%）</w:t>
            </w:r>
          </w:p>
        </w:tc>
        <w:tc>
          <w:tcPr>
            <w:tcW w:w="5103" w:type="dxa"/>
            <w:gridSpan w:val="2"/>
            <w:vAlign w:val="center"/>
          </w:tcPr>
          <w:p w14:paraId="29B13511">
            <w:pPr>
              <w:pStyle w:val="10"/>
            </w:pPr>
            <w:r>
              <w:t>3月底</w:t>
            </w:r>
          </w:p>
        </w:tc>
        <w:tc>
          <w:tcPr>
            <w:tcW w:w="2835" w:type="dxa"/>
            <w:vAlign w:val="center"/>
          </w:tcPr>
          <w:p w14:paraId="17B7DBA8">
            <w:pPr>
              <w:pStyle w:val="10"/>
            </w:pPr>
            <w:r>
              <w:t>6月底</w:t>
            </w:r>
          </w:p>
        </w:tc>
        <w:tc>
          <w:tcPr>
            <w:tcW w:w="2551" w:type="dxa"/>
            <w:vAlign w:val="center"/>
          </w:tcPr>
          <w:p w14:paraId="2BA1FC68">
            <w:pPr>
              <w:pStyle w:val="10"/>
            </w:pPr>
            <w:r>
              <w:t>10月底</w:t>
            </w:r>
          </w:p>
        </w:tc>
        <w:tc>
          <w:tcPr>
            <w:tcW w:w="3544" w:type="dxa"/>
            <w:gridSpan w:val="2"/>
            <w:vAlign w:val="center"/>
          </w:tcPr>
          <w:p w14:paraId="0737FFAC">
            <w:pPr>
              <w:pStyle w:val="10"/>
            </w:pPr>
            <w:r>
              <w:t>12月底</w:t>
            </w:r>
          </w:p>
        </w:tc>
      </w:tr>
      <w:tr w14:paraId="3AC26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AB3EA"/>
        </w:tc>
        <w:tc>
          <w:tcPr>
            <w:tcW w:w="5103" w:type="dxa"/>
            <w:gridSpan w:val="2"/>
            <w:vAlign w:val="center"/>
          </w:tcPr>
          <w:p w14:paraId="38E210A1">
            <w:pPr>
              <w:pStyle w:val="13"/>
            </w:pPr>
            <w:r>
              <w:t>25%</w:t>
            </w:r>
          </w:p>
        </w:tc>
        <w:tc>
          <w:tcPr>
            <w:tcW w:w="2835" w:type="dxa"/>
            <w:vAlign w:val="center"/>
          </w:tcPr>
          <w:p w14:paraId="73719A92">
            <w:pPr>
              <w:pStyle w:val="13"/>
            </w:pPr>
            <w:r>
              <w:t>50%</w:t>
            </w:r>
          </w:p>
        </w:tc>
        <w:tc>
          <w:tcPr>
            <w:tcW w:w="2551" w:type="dxa"/>
            <w:vAlign w:val="center"/>
          </w:tcPr>
          <w:p w14:paraId="1C2F9254">
            <w:pPr>
              <w:pStyle w:val="13"/>
            </w:pPr>
            <w:r>
              <w:t>75%</w:t>
            </w:r>
          </w:p>
        </w:tc>
        <w:tc>
          <w:tcPr>
            <w:tcW w:w="3544" w:type="dxa"/>
            <w:gridSpan w:val="2"/>
            <w:vAlign w:val="center"/>
          </w:tcPr>
          <w:p w14:paraId="32770DD6">
            <w:pPr>
              <w:pStyle w:val="13"/>
            </w:pPr>
            <w:r>
              <w:t>100%</w:t>
            </w:r>
          </w:p>
        </w:tc>
      </w:tr>
      <w:tr w14:paraId="5D839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1F36B">
            <w:pPr>
              <w:pStyle w:val="10"/>
            </w:pPr>
            <w:r>
              <w:t>绩效目标</w:t>
            </w:r>
          </w:p>
        </w:tc>
        <w:tc>
          <w:tcPr>
            <w:tcW w:w="14033" w:type="dxa"/>
            <w:gridSpan w:val="6"/>
            <w:vAlign w:val="center"/>
          </w:tcPr>
          <w:p w14:paraId="6A09E683">
            <w:pPr>
              <w:pStyle w:val="12"/>
            </w:pPr>
            <w:r>
              <w:t>1.按季度分批次拨付公用经费资金，资金拨付率达到100%。</w:t>
            </w:r>
          </w:p>
          <w:p w14:paraId="0972C9E1">
            <w:pPr>
              <w:pStyle w:val="12"/>
            </w:pPr>
            <w:r>
              <w:t>2.保障学校正常运转，完成各项教育教学活动和其他日常工作任务等方面的费用支出。</w:t>
            </w:r>
          </w:p>
        </w:tc>
      </w:tr>
    </w:tbl>
    <w:p w14:paraId="37DD7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B1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A295A">
            <w:pPr>
              <w:pStyle w:val="10"/>
            </w:pPr>
            <w:r>
              <w:t>一级指标</w:t>
            </w:r>
          </w:p>
        </w:tc>
        <w:tc>
          <w:tcPr>
            <w:tcW w:w="2268" w:type="dxa"/>
            <w:vAlign w:val="center"/>
          </w:tcPr>
          <w:p w14:paraId="582EEAA9">
            <w:pPr>
              <w:pStyle w:val="10"/>
            </w:pPr>
            <w:r>
              <w:t>二级指标</w:t>
            </w:r>
          </w:p>
        </w:tc>
        <w:tc>
          <w:tcPr>
            <w:tcW w:w="2835" w:type="dxa"/>
            <w:vAlign w:val="center"/>
          </w:tcPr>
          <w:p w14:paraId="4EAF474F">
            <w:pPr>
              <w:pStyle w:val="10"/>
            </w:pPr>
            <w:r>
              <w:t>三级指标</w:t>
            </w:r>
          </w:p>
        </w:tc>
        <w:tc>
          <w:tcPr>
            <w:tcW w:w="5386" w:type="dxa"/>
            <w:vAlign w:val="center"/>
          </w:tcPr>
          <w:p w14:paraId="4E15A970">
            <w:pPr>
              <w:pStyle w:val="10"/>
            </w:pPr>
            <w:r>
              <w:t>绩效指标描述</w:t>
            </w:r>
          </w:p>
        </w:tc>
        <w:tc>
          <w:tcPr>
            <w:tcW w:w="2268" w:type="dxa"/>
            <w:vAlign w:val="center"/>
          </w:tcPr>
          <w:p w14:paraId="1C6BFD5B">
            <w:pPr>
              <w:pStyle w:val="10"/>
            </w:pPr>
            <w:r>
              <w:t>指标值</w:t>
            </w:r>
          </w:p>
        </w:tc>
        <w:tc>
          <w:tcPr>
            <w:tcW w:w="1276" w:type="dxa"/>
            <w:vAlign w:val="center"/>
          </w:tcPr>
          <w:p w14:paraId="33103D3E">
            <w:pPr>
              <w:pStyle w:val="10"/>
            </w:pPr>
            <w:r>
              <w:t>指标值确定依据</w:t>
            </w:r>
          </w:p>
        </w:tc>
      </w:tr>
      <w:tr w14:paraId="1BF88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002A8">
            <w:pPr>
              <w:pStyle w:val="13"/>
            </w:pPr>
            <w:r>
              <w:t>产出指标</w:t>
            </w:r>
          </w:p>
        </w:tc>
        <w:tc>
          <w:tcPr>
            <w:tcW w:w="2268" w:type="dxa"/>
            <w:vAlign w:val="center"/>
          </w:tcPr>
          <w:p w14:paraId="02618E51">
            <w:pPr>
              <w:pStyle w:val="12"/>
            </w:pPr>
            <w:r>
              <w:t>数量指标</w:t>
            </w:r>
          </w:p>
        </w:tc>
        <w:tc>
          <w:tcPr>
            <w:tcW w:w="2835" w:type="dxa"/>
            <w:vAlign w:val="center"/>
          </w:tcPr>
          <w:p w14:paraId="6C87F011">
            <w:pPr>
              <w:pStyle w:val="12"/>
            </w:pPr>
            <w:r>
              <w:t>就读学生数</w:t>
            </w:r>
          </w:p>
        </w:tc>
        <w:tc>
          <w:tcPr>
            <w:tcW w:w="5386" w:type="dxa"/>
            <w:vAlign w:val="center"/>
          </w:tcPr>
          <w:p w14:paraId="75F3218F">
            <w:pPr>
              <w:pStyle w:val="12"/>
            </w:pPr>
            <w:r>
              <w:t>辐射区域内适龄学生人数</w:t>
            </w:r>
          </w:p>
        </w:tc>
        <w:tc>
          <w:tcPr>
            <w:tcW w:w="2268" w:type="dxa"/>
            <w:vAlign w:val="center"/>
          </w:tcPr>
          <w:p w14:paraId="1922BC8C">
            <w:pPr>
              <w:pStyle w:val="12"/>
            </w:pPr>
            <w:r>
              <w:t>318人</w:t>
            </w:r>
          </w:p>
        </w:tc>
        <w:tc>
          <w:tcPr>
            <w:tcW w:w="1276" w:type="dxa"/>
            <w:vAlign w:val="center"/>
          </w:tcPr>
          <w:p w14:paraId="61E51C23">
            <w:pPr>
              <w:pStyle w:val="12"/>
            </w:pPr>
            <w:r>
              <w:t>城乡义务教育公用经费管理办法</w:t>
            </w:r>
          </w:p>
        </w:tc>
      </w:tr>
      <w:tr w14:paraId="5908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09C07"/>
        </w:tc>
        <w:tc>
          <w:tcPr>
            <w:tcW w:w="2268" w:type="dxa"/>
            <w:vAlign w:val="center"/>
          </w:tcPr>
          <w:p w14:paraId="11942F97">
            <w:pPr>
              <w:pStyle w:val="12"/>
            </w:pPr>
            <w:r>
              <w:t>质量指标</w:t>
            </w:r>
          </w:p>
        </w:tc>
        <w:tc>
          <w:tcPr>
            <w:tcW w:w="2835" w:type="dxa"/>
            <w:vAlign w:val="center"/>
          </w:tcPr>
          <w:p w14:paraId="5ACBCFE8">
            <w:pPr>
              <w:pStyle w:val="12"/>
            </w:pPr>
            <w:r>
              <w:t>预算执行率</w:t>
            </w:r>
          </w:p>
        </w:tc>
        <w:tc>
          <w:tcPr>
            <w:tcW w:w="5386" w:type="dxa"/>
            <w:vAlign w:val="center"/>
          </w:tcPr>
          <w:p w14:paraId="67C0D00C">
            <w:pPr>
              <w:pStyle w:val="12"/>
            </w:pPr>
            <w:r>
              <w:t>预算执行率</w:t>
            </w:r>
          </w:p>
        </w:tc>
        <w:tc>
          <w:tcPr>
            <w:tcW w:w="2268" w:type="dxa"/>
            <w:vAlign w:val="center"/>
          </w:tcPr>
          <w:p w14:paraId="02A4E51F">
            <w:pPr>
              <w:pStyle w:val="12"/>
            </w:pPr>
            <w:r>
              <w:t>≥95%</w:t>
            </w:r>
          </w:p>
        </w:tc>
        <w:tc>
          <w:tcPr>
            <w:tcW w:w="1276" w:type="dxa"/>
            <w:vAlign w:val="center"/>
          </w:tcPr>
          <w:p w14:paraId="050A9458">
            <w:pPr>
              <w:pStyle w:val="12"/>
            </w:pPr>
            <w:r>
              <w:t>城乡义务教育公用经费管理办法</w:t>
            </w:r>
          </w:p>
        </w:tc>
      </w:tr>
      <w:tr w14:paraId="09E18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F9769"/>
        </w:tc>
        <w:tc>
          <w:tcPr>
            <w:tcW w:w="2268" w:type="dxa"/>
            <w:vAlign w:val="center"/>
          </w:tcPr>
          <w:p w14:paraId="041F04A4">
            <w:pPr>
              <w:pStyle w:val="12"/>
            </w:pPr>
            <w:r>
              <w:t>时效指标</w:t>
            </w:r>
          </w:p>
        </w:tc>
        <w:tc>
          <w:tcPr>
            <w:tcW w:w="2835" w:type="dxa"/>
            <w:vAlign w:val="center"/>
          </w:tcPr>
          <w:p w14:paraId="5D0166B7">
            <w:pPr>
              <w:pStyle w:val="12"/>
            </w:pPr>
            <w:r>
              <w:t>义教经费支付完成率</w:t>
            </w:r>
          </w:p>
        </w:tc>
        <w:tc>
          <w:tcPr>
            <w:tcW w:w="5386" w:type="dxa"/>
            <w:vAlign w:val="center"/>
          </w:tcPr>
          <w:p w14:paraId="6FE287D2">
            <w:pPr>
              <w:pStyle w:val="12"/>
            </w:pPr>
            <w:r>
              <w:t>按照序时进度完成资金支付</w:t>
            </w:r>
          </w:p>
        </w:tc>
        <w:tc>
          <w:tcPr>
            <w:tcW w:w="2268" w:type="dxa"/>
            <w:vAlign w:val="center"/>
          </w:tcPr>
          <w:p w14:paraId="1B09039F">
            <w:pPr>
              <w:pStyle w:val="12"/>
            </w:pPr>
            <w:r>
              <w:t>100%</w:t>
            </w:r>
          </w:p>
        </w:tc>
        <w:tc>
          <w:tcPr>
            <w:tcW w:w="1276" w:type="dxa"/>
            <w:vAlign w:val="center"/>
          </w:tcPr>
          <w:p w14:paraId="40B48524">
            <w:pPr>
              <w:pStyle w:val="12"/>
            </w:pPr>
            <w:r>
              <w:t>城乡义务教育公用经费管理办法</w:t>
            </w:r>
          </w:p>
        </w:tc>
      </w:tr>
      <w:tr w14:paraId="4597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17A69"/>
        </w:tc>
        <w:tc>
          <w:tcPr>
            <w:tcW w:w="2268" w:type="dxa"/>
            <w:vAlign w:val="center"/>
          </w:tcPr>
          <w:p w14:paraId="6252AB25">
            <w:pPr>
              <w:pStyle w:val="12"/>
            </w:pPr>
            <w:r>
              <w:t>成本指标</w:t>
            </w:r>
          </w:p>
        </w:tc>
        <w:tc>
          <w:tcPr>
            <w:tcW w:w="2835" w:type="dxa"/>
            <w:vAlign w:val="center"/>
          </w:tcPr>
          <w:p w14:paraId="79DDA517">
            <w:pPr>
              <w:pStyle w:val="12"/>
            </w:pPr>
            <w:r>
              <w:t>生均拨款标准</w:t>
            </w:r>
          </w:p>
        </w:tc>
        <w:tc>
          <w:tcPr>
            <w:tcW w:w="5386" w:type="dxa"/>
            <w:vAlign w:val="center"/>
          </w:tcPr>
          <w:p w14:paraId="642CA65F">
            <w:pPr>
              <w:pStyle w:val="12"/>
            </w:pPr>
            <w:r>
              <w:t>小学生公用经费生均公用经费基准定额为720元/年/生，取暖费120元/年/生，住宿生补助300元/年/生的标准，随班就读学生补助7000元/生/年</w:t>
            </w:r>
          </w:p>
        </w:tc>
        <w:tc>
          <w:tcPr>
            <w:tcW w:w="2268" w:type="dxa"/>
            <w:vAlign w:val="center"/>
          </w:tcPr>
          <w:p w14:paraId="6778ACD4">
            <w:pPr>
              <w:pStyle w:val="12"/>
            </w:pPr>
            <w:r>
              <w:t>840元</w:t>
            </w:r>
          </w:p>
        </w:tc>
        <w:tc>
          <w:tcPr>
            <w:tcW w:w="1276" w:type="dxa"/>
            <w:vAlign w:val="center"/>
          </w:tcPr>
          <w:p w14:paraId="682C9740">
            <w:pPr>
              <w:pStyle w:val="12"/>
            </w:pPr>
            <w:r>
              <w:t>城乡义务教育公用经费管理办法</w:t>
            </w:r>
          </w:p>
        </w:tc>
      </w:tr>
      <w:tr w14:paraId="3D1D7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EECC2">
            <w:pPr>
              <w:pStyle w:val="13"/>
            </w:pPr>
            <w:r>
              <w:t>效益指标</w:t>
            </w:r>
          </w:p>
        </w:tc>
        <w:tc>
          <w:tcPr>
            <w:tcW w:w="2268" w:type="dxa"/>
            <w:vAlign w:val="center"/>
          </w:tcPr>
          <w:p w14:paraId="634154BE">
            <w:pPr>
              <w:pStyle w:val="12"/>
            </w:pPr>
            <w:r>
              <w:t>可持续影响指标</w:t>
            </w:r>
          </w:p>
        </w:tc>
        <w:tc>
          <w:tcPr>
            <w:tcW w:w="2835" w:type="dxa"/>
            <w:vAlign w:val="center"/>
          </w:tcPr>
          <w:p w14:paraId="78C8FCCD">
            <w:pPr>
              <w:pStyle w:val="12"/>
            </w:pPr>
            <w:r>
              <w:t>学校运转得到提高</w:t>
            </w:r>
          </w:p>
        </w:tc>
        <w:tc>
          <w:tcPr>
            <w:tcW w:w="5386" w:type="dxa"/>
            <w:vAlign w:val="center"/>
          </w:tcPr>
          <w:p w14:paraId="29B1A199">
            <w:pPr>
              <w:pStyle w:val="12"/>
            </w:pPr>
            <w:r>
              <w:t>学生受教育年限</w:t>
            </w:r>
          </w:p>
        </w:tc>
        <w:tc>
          <w:tcPr>
            <w:tcW w:w="2268" w:type="dxa"/>
            <w:vAlign w:val="center"/>
          </w:tcPr>
          <w:p w14:paraId="772D5D85">
            <w:pPr>
              <w:pStyle w:val="12"/>
            </w:pPr>
            <w:r>
              <w:t>6年</w:t>
            </w:r>
          </w:p>
        </w:tc>
        <w:tc>
          <w:tcPr>
            <w:tcW w:w="1276" w:type="dxa"/>
            <w:vAlign w:val="center"/>
          </w:tcPr>
          <w:p w14:paraId="710F7E24">
            <w:pPr>
              <w:pStyle w:val="12"/>
            </w:pPr>
            <w:r>
              <w:t>城乡义务教育公用经费管理办法</w:t>
            </w:r>
          </w:p>
        </w:tc>
      </w:tr>
      <w:tr w14:paraId="1964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3F267">
            <w:pPr>
              <w:pStyle w:val="13"/>
            </w:pPr>
            <w:r>
              <w:t>满意度指标</w:t>
            </w:r>
          </w:p>
        </w:tc>
        <w:tc>
          <w:tcPr>
            <w:tcW w:w="2268" w:type="dxa"/>
            <w:vAlign w:val="center"/>
          </w:tcPr>
          <w:p w14:paraId="4296C113">
            <w:pPr>
              <w:pStyle w:val="12"/>
            </w:pPr>
            <w:r>
              <w:t>服务对象满意度指标</w:t>
            </w:r>
          </w:p>
        </w:tc>
        <w:tc>
          <w:tcPr>
            <w:tcW w:w="2835" w:type="dxa"/>
            <w:vAlign w:val="center"/>
          </w:tcPr>
          <w:p w14:paraId="69AE326C">
            <w:pPr>
              <w:pStyle w:val="12"/>
            </w:pPr>
            <w:r>
              <w:t>服务对象满意度</w:t>
            </w:r>
          </w:p>
        </w:tc>
        <w:tc>
          <w:tcPr>
            <w:tcW w:w="5386" w:type="dxa"/>
            <w:vAlign w:val="center"/>
          </w:tcPr>
          <w:p w14:paraId="02AC75BA">
            <w:pPr>
              <w:pStyle w:val="12"/>
            </w:pPr>
            <w:r>
              <w:t>学校老师和学生满意度</w:t>
            </w:r>
          </w:p>
        </w:tc>
        <w:tc>
          <w:tcPr>
            <w:tcW w:w="2268" w:type="dxa"/>
            <w:vAlign w:val="center"/>
          </w:tcPr>
          <w:p w14:paraId="0A8852CF">
            <w:pPr>
              <w:pStyle w:val="12"/>
            </w:pPr>
            <w:r>
              <w:t>≥95%</w:t>
            </w:r>
          </w:p>
        </w:tc>
        <w:tc>
          <w:tcPr>
            <w:tcW w:w="1276" w:type="dxa"/>
            <w:vAlign w:val="center"/>
          </w:tcPr>
          <w:p w14:paraId="42E70871">
            <w:pPr>
              <w:pStyle w:val="12"/>
            </w:pPr>
            <w:r>
              <w:t>群众测评</w:t>
            </w:r>
          </w:p>
        </w:tc>
      </w:tr>
    </w:tbl>
    <w:p w14:paraId="357CB128">
      <w:pPr>
        <w:sectPr>
          <w:pgSz w:w="16840" w:h="11900" w:orient="landscape"/>
          <w:pgMar w:top="1361" w:right="1020" w:bottom="1134" w:left="1020" w:header="720" w:footer="720" w:gutter="0"/>
          <w:cols w:space="720" w:num="1"/>
        </w:sectPr>
      </w:pPr>
    </w:p>
    <w:p w14:paraId="6590FC6B">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17、冀财教[2025]147号/省级/2026年义教补助经费/双碑校区大崔庄小学公用经费绩效目标表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DD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C6C10">
            <w:pPr>
              <w:pStyle w:val="11"/>
            </w:pPr>
            <w:r>
              <w:t>单位：万元</w:t>
            </w:r>
          </w:p>
        </w:tc>
      </w:tr>
      <w:tr w14:paraId="79A0E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2E299">
            <w:pPr>
              <w:pStyle w:val="10"/>
            </w:pPr>
            <w:r>
              <w:t>项目编码</w:t>
            </w:r>
          </w:p>
        </w:tc>
        <w:tc>
          <w:tcPr>
            <w:tcW w:w="5103" w:type="dxa"/>
            <w:gridSpan w:val="2"/>
            <w:vAlign w:val="center"/>
          </w:tcPr>
          <w:p w14:paraId="558A76FC">
            <w:pPr>
              <w:pStyle w:val="12"/>
            </w:pPr>
            <w:r>
              <w:t>13052526P00000410367T</w:t>
            </w:r>
          </w:p>
        </w:tc>
        <w:tc>
          <w:tcPr>
            <w:tcW w:w="2835" w:type="dxa"/>
            <w:vAlign w:val="center"/>
          </w:tcPr>
          <w:p w14:paraId="507E6B3E">
            <w:pPr>
              <w:pStyle w:val="10"/>
            </w:pPr>
            <w:r>
              <w:t>项目名称</w:t>
            </w:r>
          </w:p>
        </w:tc>
        <w:tc>
          <w:tcPr>
            <w:tcW w:w="6095" w:type="dxa"/>
            <w:gridSpan w:val="3"/>
            <w:vAlign w:val="center"/>
          </w:tcPr>
          <w:p w14:paraId="492D9975">
            <w:pPr>
              <w:pStyle w:val="12"/>
            </w:pPr>
            <w:r>
              <w:t>冀财教[2025]147号/省级/2026年义教补助经费/双碑校区大崔庄小学公用经费</w:t>
            </w:r>
          </w:p>
        </w:tc>
      </w:tr>
      <w:tr w14:paraId="4B4BC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492C1">
            <w:pPr>
              <w:pStyle w:val="10"/>
            </w:pPr>
            <w:r>
              <w:t>预算规模及资金用途</w:t>
            </w:r>
          </w:p>
        </w:tc>
        <w:tc>
          <w:tcPr>
            <w:tcW w:w="2268" w:type="dxa"/>
            <w:vAlign w:val="center"/>
          </w:tcPr>
          <w:p w14:paraId="0DDFD87E">
            <w:pPr>
              <w:pStyle w:val="10"/>
            </w:pPr>
            <w:r>
              <w:t>预算数</w:t>
            </w:r>
          </w:p>
        </w:tc>
        <w:tc>
          <w:tcPr>
            <w:tcW w:w="2835" w:type="dxa"/>
            <w:vAlign w:val="center"/>
          </w:tcPr>
          <w:p w14:paraId="1DEC0DE3">
            <w:pPr>
              <w:pStyle w:val="12"/>
            </w:pPr>
            <w:r>
              <w:t>4.67</w:t>
            </w:r>
          </w:p>
        </w:tc>
        <w:tc>
          <w:tcPr>
            <w:tcW w:w="2835" w:type="dxa"/>
            <w:vAlign w:val="center"/>
          </w:tcPr>
          <w:p w14:paraId="5BC356A6">
            <w:pPr>
              <w:pStyle w:val="10"/>
            </w:pPr>
            <w:r>
              <w:t>其中：财政    资金</w:t>
            </w:r>
          </w:p>
        </w:tc>
        <w:tc>
          <w:tcPr>
            <w:tcW w:w="2551" w:type="dxa"/>
            <w:vAlign w:val="center"/>
          </w:tcPr>
          <w:p w14:paraId="1DCB220B">
            <w:pPr>
              <w:pStyle w:val="12"/>
            </w:pPr>
            <w:r>
              <w:t>4.67</w:t>
            </w:r>
          </w:p>
        </w:tc>
        <w:tc>
          <w:tcPr>
            <w:tcW w:w="2268" w:type="dxa"/>
            <w:vAlign w:val="center"/>
          </w:tcPr>
          <w:p w14:paraId="3A7CD32B">
            <w:pPr>
              <w:pStyle w:val="10"/>
            </w:pPr>
            <w:r>
              <w:t>其他资金</w:t>
            </w:r>
          </w:p>
        </w:tc>
        <w:tc>
          <w:tcPr>
            <w:tcW w:w="1276" w:type="dxa"/>
            <w:vAlign w:val="center"/>
          </w:tcPr>
          <w:p w14:paraId="74B64470">
            <w:pPr>
              <w:pStyle w:val="12"/>
            </w:pPr>
            <w:r>
              <w:t xml:space="preserve"> </w:t>
            </w:r>
          </w:p>
        </w:tc>
      </w:tr>
      <w:tr w14:paraId="7525D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E7F86"/>
        </w:tc>
        <w:tc>
          <w:tcPr>
            <w:tcW w:w="14033" w:type="dxa"/>
            <w:gridSpan w:val="6"/>
            <w:vAlign w:val="center"/>
          </w:tcPr>
          <w:p w14:paraId="13F57463">
            <w:pPr>
              <w:pStyle w:val="12"/>
            </w:pPr>
            <w:r>
              <w:t>保障学校正常运转，完成各项教育教学活动和其他日常工作任务等方面的费用支出。</w:t>
            </w:r>
            <w:r>
              <w:tab/>
            </w:r>
            <w:r>
              <w:tab/>
            </w:r>
            <w:r>
              <w:tab/>
            </w:r>
            <w:r>
              <w:tab/>
            </w:r>
            <w:r>
              <w:tab/>
            </w:r>
            <w:r>
              <w:tab/>
            </w:r>
          </w:p>
          <w:p w14:paraId="321B7161">
            <w:pPr>
              <w:pStyle w:val="12"/>
            </w:pPr>
          </w:p>
        </w:tc>
      </w:tr>
      <w:tr w14:paraId="2C217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FC8A3">
            <w:pPr>
              <w:pStyle w:val="10"/>
            </w:pPr>
            <w:r>
              <w:t>资金支出计划（%）</w:t>
            </w:r>
          </w:p>
        </w:tc>
        <w:tc>
          <w:tcPr>
            <w:tcW w:w="5103" w:type="dxa"/>
            <w:gridSpan w:val="2"/>
            <w:vAlign w:val="center"/>
          </w:tcPr>
          <w:p w14:paraId="78F6C818">
            <w:pPr>
              <w:pStyle w:val="10"/>
            </w:pPr>
            <w:r>
              <w:t>3月底</w:t>
            </w:r>
          </w:p>
        </w:tc>
        <w:tc>
          <w:tcPr>
            <w:tcW w:w="2835" w:type="dxa"/>
            <w:vAlign w:val="center"/>
          </w:tcPr>
          <w:p w14:paraId="7E9E2F52">
            <w:pPr>
              <w:pStyle w:val="10"/>
            </w:pPr>
            <w:r>
              <w:t>6月底</w:t>
            </w:r>
          </w:p>
        </w:tc>
        <w:tc>
          <w:tcPr>
            <w:tcW w:w="2551" w:type="dxa"/>
            <w:vAlign w:val="center"/>
          </w:tcPr>
          <w:p w14:paraId="6CEC0D50">
            <w:pPr>
              <w:pStyle w:val="10"/>
            </w:pPr>
            <w:r>
              <w:t>10月底</w:t>
            </w:r>
          </w:p>
        </w:tc>
        <w:tc>
          <w:tcPr>
            <w:tcW w:w="3544" w:type="dxa"/>
            <w:gridSpan w:val="2"/>
            <w:vAlign w:val="center"/>
          </w:tcPr>
          <w:p w14:paraId="08B3DBAE">
            <w:pPr>
              <w:pStyle w:val="10"/>
            </w:pPr>
            <w:r>
              <w:t>12月底</w:t>
            </w:r>
          </w:p>
        </w:tc>
      </w:tr>
      <w:tr w14:paraId="4B011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B74CA"/>
        </w:tc>
        <w:tc>
          <w:tcPr>
            <w:tcW w:w="5103" w:type="dxa"/>
            <w:gridSpan w:val="2"/>
            <w:vAlign w:val="center"/>
          </w:tcPr>
          <w:p w14:paraId="278A5BD5">
            <w:pPr>
              <w:pStyle w:val="13"/>
            </w:pPr>
            <w:r>
              <w:t>25%</w:t>
            </w:r>
          </w:p>
        </w:tc>
        <w:tc>
          <w:tcPr>
            <w:tcW w:w="2835" w:type="dxa"/>
            <w:vAlign w:val="center"/>
          </w:tcPr>
          <w:p w14:paraId="6EB93EBF">
            <w:pPr>
              <w:pStyle w:val="13"/>
            </w:pPr>
            <w:r>
              <w:t>50%</w:t>
            </w:r>
          </w:p>
        </w:tc>
        <w:tc>
          <w:tcPr>
            <w:tcW w:w="2551" w:type="dxa"/>
            <w:vAlign w:val="center"/>
          </w:tcPr>
          <w:p w14:paraId="44420E64">
            <w:pPr>
              <w:pStyle w:val="13"/>
            </w:pPr>
            <w:r>
              <w:t>75%</w:t>
            </w:r>
          </w:p>
        </w:tc>
        <w:tc>
          <w:tcPr>
            <w:tcW w:w="3544" w:type="dxa"/>
            <w:gridSpan w:val="2"/>
            <w:vAlign w:val="center"/>
          </w:tcPr>
          <w:p w14:paraId="1E93F18D">
            <w:pPr>
              <w:pStyle w:val="13"/>
            </w:pPr>
            <w:r>
              <w:t>100%</w:t>
            </w:r>
          </w:p>
        </w:tc>
      </w:tr>
      <w:tr w14:paraId="323B0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0D261">
            <w:pPr>
              <w:pStyle w:val="10"/>
            </w:pPr>
            <w:r>
              <w:t>绩效目标</w:t>
            </w:r>
          </w:p>
        </w:tc>
        <w:tc>
          <w:tcPr>
            <w:tcW w:w="14033" w:type="dxa"/>
            <w:gridSpan w:val="6"/>
            <w:vAlign w:val="center"/>
          </w:tcPr>
          <w:p w14:paraId="1AF5C9F5">
            <w:pPr>
              <w:pStyle w:val="12"/>
            </w:pPr>
            <w:r>
              <w:t>1.按季度分批次拨付公用经费资金，资金拨付率达到100%。</w:t>
            </w:r>
          </w:p>
          <w:p w14:paraId="776A6F55">
            <w:pPr>
              <w:pStyle w:val="12"/>
            </w:pPr>
            <w:r>
              <w:t>2.保障学校正常运转，完成各项教育教学活动和其他日常工作任务等方面的费用支出。</w:t>
            </w:r>
          </w:p>
        </w:tc>
      </w:tr>
    </w:tbl>
    <w:p w14:paraId="6A33E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D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CF5EB">
            <w:pPr>
              <w:pStyle w:val="10"/>
            </w:pPr>
            <w:r>
              <w:t>一级指标</w:t>
            </w:r>
          </w:p>
        </w:tc>
        <w:tc>
          <w:tcPr>
            <w:tcW w:w="2268" w:type="dxa"/>
            <w:vAlign w:val="center"/>
          </w:tcPr>
          <w:p w14:paraId="68083023">
            <w:pPr>
              <w:pStyle w:val="10"/>
            </w:pPr>
            <w:r>
              <w:t>二级指标</w:t>
            </w:r>
          </w:p>
        </w:tc>
        <w:tc>
          <w:tcPr>
            <w:tcW w:w="2835" w:type="dxa"/>
            <w:vAlign w:val="center"/>
          </w:tcPr>
          <w:p w14:paraId="0C6DC9B9">
            <w:pPr>
              <w:pStyle w:val="10"/>
            </w:pPr>
            <w:r>
              <w:t>三级指标</w:t>
            </w:r>
          </w:p>
        </w:tc>
        <w:tc>
          <w:tcPr>
            <w:tcW w:w="5386" w:type="dxa"/>
            <w:vAlign w:val="center"/>
          </w:tcPr>
          <w:p w14:paraId="20AAD2E8">
            <w:pPr>
              <w:pStyle w:val="10"/>
            </w:pPr>
            <w:r>
              <w:t>绩效指标描述</w:t>
            </w:r>
          </w:p>
        </w:tc>
        <w:tc>
          <w:tcPr>
            <w:tcW w:w="2268" w:type="dxa"/>
            <w:vAlign w:val="center"/>
          </w:tcPr>
          <w:p w14:paraId="04E61550">
            <w:pPr>
              <w:pStyle w:val="10"/>
            </w:pPr>
            <w:r>
              <w:t>指标值</w:t>
            </w:r>
          </w:p>
        </w:tc>
        <w:tc>
          <w:tcPr>
            <w:tcW w:w="1276" w:type="dxa"/>
            <w:vAlign w:val="center"/>
          </w:tcPr>
          <w:p w14:paraId="5BE0B560">
            <w:pPr>
              <w:pStyle w:val="10"/>
            </w:pPr>
            <w:r>
              <w:t>指标值确定依据</w:t>
            </w:r>
          </w:p>
        </w:tc>
      </w:tr>
      <w:tr w14:paraId="50F14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D5671">
            <w:pPr>
              <w:pStyle w:val="13"/>
            </w:pPr>
            <w:r>
              <w:t>产出指标</w:t>
            </w:r>
          </w:p>
        </w:tc>
        <w:tc>
          <w:tcPr>
            <w:tcW w:w="2268" w:type="dxa"/>
            <w:vAlign w:val="center"/>
          </w:tcPr>
          <w:p w14:paraId="62CE9EA9">
            <w:pPr>
              <w:pStyle w:val="12"/>
            </w:pPr>
            <w:r>
              <w:t>数量指标</w:t>
            </w:r>
          </w:p>
        </w:tc>
        <w:tc>
          <w:tcPr>
            <w:tcW w:w="2835" w:type="dxa"/>
            <w:vAlign w:val="center"/>
          </w:tcPr>
          <w:p w14:paraId="742F31F7">
            <w:pPr>
              <w:pStyle w:val="12"/>
            </w:pPr>
            <w:r>
              <w:t>就读学生数</w:t>
            </w:r>
          </w:p>
        </w:tc>
        <w:tc>
          <w:tcPr>
            <w:tcW w:w="5386" w:type="dxa"/>
            <w:vAlign w:val="center"/>
          </w:tcPr>
          <w:p w14:paraId="602DFEBE">
            <w:pPr>
              <w:pStyle w:val="12"/>
            </w:pPr>
            <w:r>
              <w:t>辐射区域内适龄学生人数</w:t>
            </w:r>
          </w:p>
        </w:tc>
        <w:tc>
          <w:tcPr>
            <w:tcW w:w="2268" w:type="dxa"/>
            <w:vAlign w:val="center"/>
          </w:tcPr>
          <w:p w14:paraId="09C21004">
            <w:pPr>
              <w:pStyle w:val="12"/>
            </w:pPr>
            <w:r>
              <w:t>179人</w:t>
            </w:r>
          </w:p>
        </w:tc>
        <w:tc>
          <w:tcPr>
            <w:tcW w:w="1276" w:type="dxa"/>
            <w:vAlign w:val="center"/>
          </w:tcPr>
          <w:p w14:paraId="5C6924E7">
            <w:pPr>
              <w:pStyle w:val="12"/>
            </w:pPr>
            <w:r>
              <w:t>城乡义务教育公用经费管理办法</w:t>
            </w:r>
          </w:p>
        </w:tc>
      </w:tr>
      <w:tr w14:paraId="0FA7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8AC29"/>
        </w:tc>
        <w:tc>
          <w:tcPr>
            <w:tcW w:w="2268" w:type="dxa"/>
            <w:vAlign w:val="center"/>
          </w:tcPr>
          <w:p w14:paraId="3D28E8C0">
            <w:pPr>
              <w:pStyle w:val="12"/>
            </w:pPr>
            <w:r>
              <w:t>质量指标</w:t>
            </w:r>
          </w:p>
        </w:tc>
        <w:tc>
          <w:tcPr>
            <w:tcW w:w="2835" w:type="dxa"/>
            <w:vAlign w:val="center"/>
          </w:tcPr>
          <w:p w14:paraId="320C12C1">
            <w:pPr>
              <w:pStyle w:val="12"/>
            </w:pPr>
            <w:r>
              <w:t>预算执行率</w:t>
            </w:r>
          </w:p>
        </w:tc>
        <w:tc>
          <w:tcPr>
            <w:tcW w:w="5386" w:type="dxa"/>
            <w:vAlign w:val="center"/>
          </w:tcPr>
          <w:p w14:paraId="277F9083">
            <w:pPr>
              <w:pStyle w:val="12"/>
            </w:pPr>
            <w:r>
              <w:t>预算执行率</w:t>
            </w:r>
          </w:p>
        </w:tc>
        <w:tc>
          <w:tcPr>
            <w:tcW w:w="2268" w:type="dxa"/>
            <w:vAlign w:val="center"/>
          </w:tcPr>
          <w:p w14:paraId="1D711D89">
            <w:pPr>
              <w:pStyle w:val="12"/>
            </w:pPr>
            <w:r>
              <w:t>≥95%</w:t>
            </w:r>
          </w:p>
        </w:tc>
        <w:tc>
          <w:tcPr>
            <w:tcW w:w="1276" w:type="dxa"/>
            <w:vAlign w:val="center"/>
          </w:tcPr>
          <w:p w14:paraId="55B896AC">
            <w:pPr>
              <w:pStyle w:val="12"/>
            </w:pPr>
            <w:r>
              <w:t>城乡义务教育公用经费管理办法</w:t>
            </w:r>
          </w:p>
        </w:tc>
      </w:tr>
      <w:tr w14:paraId="5683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C2882"/>
        </w:tc>
        <w:tc>
          <w:tcPr>
            <w:tcW w:w="2268" w:type="dxa"/>
            <w:vAlign w:val="center"/>
          </w:tcPr>
          <w:p w14:paraId="21BF003B">
            <w:pPr>
              <w:pStyle w:val="12"/>
            </w:pPr>
            <w:r>
              <w:t>时效指标</w:t>
            </w:r>
          </w:p>
        </w:tc>
        <w:tc>
          <w:tcPr>
            <w:tcW w:w="2835" w:type="dxa"/>
            <w:vAlign w:val="center"/>
          </w:tcPr>
          <w:p w14:paraId="7B0D3DF9">
            <w:pPr>
              <w:pStyle w:val="12"/>
            </w:pPr>
            <w:r>
              <w:t>义教经费支付完成率</w:t>
            </w:r>
          </w:p>
        </w:tc>
        <w:tc>
          <w:tcPr>
            <w:tcW w:w="5386" w:type="dxa"/>
            <w:vAlign w:val="center"/>
          </w:tcPr>
          <w:p w14:paraId="77666180">
            <w:pPr>
              <w:pStyle w:val="12"/>
            </w:pPr>
            <w:r>
              <w:t>按照序时进度完成资金支付</w:t>
            </w:r>
          </w:p>
        </w:tc>
        <w:tc>
          <w:tcPr>
            <w:tcW w:w="2268" w:type="dxa"/>
            <w:vAlign w:val="center"/>
          </w:tcPr>
          <w:p w14:paraId="1D8C9A60">
            <w:pPr>
              <w:pStyle w:val="12"/>
            </w:pPr>
            <w:r>
              <w:t>100%</w:t>
            </w:r>
          </w:p>
        </w:tc>
        <w:tc>
          <w:tcPr>
            <w:tcW w:w="1276" w:type="dxa"/>
            <w:vAlign w:val="center"/>
          </w:tcPr>
          <w:p w14:paraId="44C4B606">
            <w:pPr>
              <w:pStyle w:val="12"/>
            </w:pPr>
            <w:r>
              <w:t>城乡义务教育公用经费管理办法</w:t>
            </w:r>
          </w:p>
        </w:tc>
      </w:tr>
      <w:tr w14:paraId="03A6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4B06E"/>
        </w:tc>
        <w:tc>
          <w:tcPr>
            <w:tcW w:w="2268" w:type="dxa"/>
            <w:vAlign w:val="center"/>
          </w:tcPr>
          <w:p w14:paraId="4B1AEAA2">
            <w:pPr>
              <w:pStyle w:val="12"/>
            </w:pPr>
            <w:r>
              <w:t>成本指标</w:t>
            </w:r>
          </w:p>
        </w:tc>
        <w:tc>
          <w:tcPr>
            <w:tcW w:w="2835" w:type="dxa"/>
            <w:vAlign w:val="center"/>
          </w:tcPr>
          <w:p w14:paraId="643A8202">
            <w:pPr>
              <w:pStyle w:val="12"/>
            </w:pPr>
            <w:r>
              <w:t>生均拨款标准</w:t>
            </w:r>
          </w:p>
        </w:tc>
        <w:tc>
          <w:tcPr>
            <w:tcW w:w="5386" w:type="dxa"/>
            <w:vAlign w:val="center"/>
          </w:tcPr>
          <w:p w14:paraId="6DE1A3F3">
            <w:pPr>
              <w:pStyle w:val="12"/>
            </w:pPr>
            <w:r>
              <w:t>小学生公用经费生均公用经费基准定额为720元/年/生，取暖费120元/年/生，住宿生补助300元/年/生的标准，随班就读学生补助7000元/生/年</w:t>
            </w:r>
          </w:p>
        </w:tc>
        <w:tc>
          <w:tcPr>
            <w:tcW w:w="2268" w:type="dxa"/>
            <w:vAlign w:val="center"/>
          </w:tcPr>
          <w:p w14:paraId="6A9590B5">
            <w:pPr>
              <w:pStyle w:val="12"/>
            </w:pPr>
            <w:r>
              <w:t>840元</w:t>
            </w:r>
          </w:p>
        </w:tc>
        <w:tc>
          <w:tcPr>
            <w:tcW w:w="1276" w:type="dxa"/>
            <w:vAlign w:val="center"/>
          </w:tcPr>
          <w:p w14:paraId="6B00E905">
            <w:pPr>
              <w:pStyle w:val="12"/>
            </w:pPr>
            <w:r>
              <w:t>城乡义务教育公用经费管理办法</w:t>
            </w:r>
          </w:p>
        </w:tc>
      </w:tr>
      <w:tr w14:paraId="6FDA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C2D1F">
            <w:pPr>
              <w:pStyle w:val="13"/>
            </w:pPr>
            <w:r>
              <w:t>效益指标</w:t>
            </w:r>
          </w:p>
        </w:tc>
        <w:tc>
          <w:tcPr>
            <w:tcW w:w="2268" w:type="dxa"/>
            <w:vAlign w:val="center"/>
          </w:tcPr>
          <w:p w14:paraId="78761564">
            <w:pPr>
              <w:pStyle w:val="12"/>
            </w:pPr>
            <w:r>
              <w:t>可持续影响指标</w:t>
            </w:r>
          </w:p>
        </w:tc>
        <w:tc>
          <w:tcPr>
            <w:tcW w:w="2835" w:type="dxa"/>
            <w:vAlign w:val="center"/>
          </w:tcPr>
          <w:p w14:paraId="5E10E32D">
            <w:pPr>
              <w:pStyle w:val="12"/>
            </w:pPr>
            <w:r>
              <w:t>学校运转得到提高</w:t>
            </w:r>
          </w:p>
        </w:tc>
        <w:tc>
          <w:tcPr>
            <w:tcW w:w="5386" w:type="dxa"/>
            <w:vAlign w:val="center"/>
          </w:tcPr>
          <w:p w14:paraId="616EBB69">
            <w:pPr>
              <w:pStyle w:val="12"/>
            </w:pPr>
            <w:r>
              <w:t>学生受教育年限</w:t>
            </w:r>
          </w:p>
        </w:tc>
        <w:tc>
          <w:tcPr>
            <w:tcW w:w="2268" w:type="dxa"/>
            <w:vAlign w:val="center"/>
          </w:tcPr>
          <w:p w14:paraId="5ADB8EB4">
            <w:pPr>
              <w:pStyle w:val="12"/>
            </w:pPr>
            <w:r>
              <w:t>6年</w:t>
            </w:r>
          </w:p>
        </w:tc>
        <w:tc>
          <w:tcPr>
            <w:tcW w:w="1276" w:type="dxa"/>
            <w:vAlign w:val="center"/>
          </w:tcPr>
          <w:p w14:paraId="5356AE8B">
            <w:pPr>
              <w:pStyle w:val="12"/>
            </w:pPr>
            <w:r>
              <w:t>城乡义务教育公用经费管理办法</w:t>
            </w:r>
          </w:p>
        </w:tc>
      </w:tr>
      <w:tr w14:paraId="58E0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00BC3">
            <w:pPr>
              <w:pStyle w:val="13"/>
            </w:pPr>
            <w:r>
              <w:t>满意度指标</w:t>
            </w:r>
          </w:p>
        </w:tc>
        <w:tc>
          <w:tcPr>
            <w:tcW w:w="2268" w:type="dxa"/>
            <w:vAlign w:val="center"/>
          </w:tcPr>
          <w:p w14:paraId="1A71C2D3">
            <w:pPr>
              <w:pStyle w:val="12"/>
            </w:pPr>
            <w:r>
              <w:t>服务对象满意度指标</w:t>
            </w:r>
          </w:p>
        </w:tc>
        <w:tc>
          <w:tcPr>
            <w:tcW w:w="2835" w:type="dxa"/>
            <w:vAlign w:val="center"/>
          </w:tcPr>
          <w:p w14:paraId="2A510444">
            <w:pPr>
              <w:pStyle w:val="12"/>
            </w:pPr>
            <w:r>
              <w:t>服务对象满意度</w:t>
            </w:r>
          </w:p>
        </w:tc>
        <w:tc>
          <w:tcPr>
            <w:tcW w:w="5386" w:type="dxa"/>
            <w:vAlign w:val="center"/>
          </w:tcPr>
          <w:p w14:paraId="19250827">
            <w:pPr>
              <w:pStyle w:val="12"/>
            </w:pPr>
            <w:r>
              <w:t>学校老师和学生满意度</w:t>
            </w:r>
          </w:p>
        </w:tc>
        <w:tc>
          <w:tcPr>
            <w:tcW w:w="2268" w:type="dxa"/>
            <w:vAlign w:val="center"/>
          </w:tcPr>
          <w:p w14:paraId="4D7EE390">
            <w:pPr>
              <w:pStyle w:val="12"/>
            </w:pPr>
            <w:r>
              <w:t>≥95%</w:t>
            </w:r>
          </w:p>
        </w:tc>
        <w:tc>
          <w:tcPr>
            <w:tcW w:w="1276" w:type="dxa"/>
            <w:vAlign w:val="center"/>
          </w:tcPr>
          <w:p w14:paraId="1039DAB1">
            <w:pPr>
              <w:pStyle w:val="12"/>
            </w:pPr>
            <w:r>
              <w:t>群众测评</w:t>
            </w:r>
          </w:p>
        </w:tc>
      </w:tr>
    </w:tbl>
    <w:p w14:paraId="6161C609">
      <w:pPr>
        <w:sectPr>
          <w:pgSz w:w="16840" w:h="11900" w:orient="landscape"/>
          <w:pgMar w:top="1361" w:right="1020" w:bottom="1134" w:left="1020" w:header="720" w:footer="720" w:gutter="0"/>
          <w:cols w:space="720" w:num="1"/>
        </w:sectPr>
      </w:pPr>
    </w:p>
    <w:p w14:paraId="02689343">
      <w:pPr>
        <w:spacing w:before="0" w:after="0"/>
        <w:ind w:firstLine="560"/>
        <w:jc w:val="left"/>
        <w:outlineLvl w:val="9"/>
      </w:pPr>
      <w:r>
        <w:rPr>
          <w:rFonts w:ascii="方正仿宋_GBK" w:hAnsi="方正仿宋_GBK" w:eastAsia="方正仿宋_GBK" w:cs="方正仿宋_GBK"/>
          <w:b/>
          <w:color w:val="000000"/>
          <w:sz w:val="28"/>
        </w:rPr>
        <w:t>18、冀财教[2025]147号/省级/2026年义教补助经费/双碑校区木花小学公用经费绩效目标表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A1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D880F">
            <w:pPr>
              <w:pStyle w:val="11"/>
            </w:pPr>
            <w:r>
              <w:t>单位：万元</w:t>
            </w:r>
          </w:p>
        </w:tc>
      </w:tr>
      <w:tr w14:paraId="21BD2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BD426">
            <w:pPr>
              <w:pStyle w:val="10"/>
            </w:pPr>
            <w:r>
              <w:t>项目编码</w:t>
            </w:r>
          </w:p>
        </w:tc>
        <w:tc>
          <w:tcPr>
            <w:tcW w:w="5103" w:type="dxa"/>
            <w:gridSpan w:val="2"/>
            <w:vAlign w:val="center"/>
          </w:tcPr>
          <w:p w14:paraId="54C2A574">
            <w:pPr>
              <w:pStyle w:val="12"/>
            </w:pPr>
            <w:r>
              <w:t>13052526P00000410365K</w:t>
            </w:r>
          </w:p>
        </w:tc>
        <w:tc>
          <w:tcPr>
            <w:tcW w:w="2835" w:type="dxa"/>
            <w:vAlign w:val="center"/>
          </w:tcPr>
          <w:p w14:paraId="226716E0">
            <w:pPr>
              <w:pStyle w:val="10"/>
            </w:pPr>
            <w:r>
              <w:t>项目名称</w:t>
            </w:r>
          </w:p>
        </w:tc>
        <w:tc>
          <w:tcPr>
            <w:tcW w:w="6095" w:type="dxa"/>
            <w:gridSpan w:val="3"/>
            <w:vAlign w:val="center"/>
          </w:tcPr>
          <w:p w14:paraId="1FBD6EC7">
            <w:pPr>
              <w:pStyle w:val="12"/>
            </w:pPr>
            <w:r>
              <w:t>冀财教[2025]147号/省级/2026年义教补助经费/双碑校区木花小学公用经费</w:t>
            </w:r>
          </w:p>
        </w:tc>
      </w:tr>
      <w:tr w14:paraId="469D9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5F71E">
            <w:pPr>
              <w:pStyle w:val="10"/>
            </w:pPr>
            <w:r>
              <w:t>预算规模及资金用途</w:t>
            </w:r>
          </w:p>
        </w:tc>
        <w:tc>
          <w:tcPr>
            <w:tcW w:w="2268" w:type="dxa"/>
            <w:vAlign w:val="center"/>
          </w:tcPr>
          <w:p w14:paraId="507D505A">
            <w:pPr>
              <w:pStyle w:val="10"/>
            </w:pPr>
            <w:r>
              <w:t>预算数</w:t>
            </w:r>
          </w:p>
        </w:tc>
        <w:tc>
          <w:tcPr>
            <w:tcW w:w="2835" w:type="dxa"/>
            <w:vAlign w:val="center"/>
          </w:tcPr>
          <w:p w14:paraId="7750AB02">
            <w:pPr>
              <w:pStyle w:val="12"/>
            </w:pPr>
            <w:r>
              <w:t>10.72</w:t>
            </w:r>
          </w:p>
        </w:tc>
        <w:tc>
          <w:tcPr>
            <w:tcW w:w="2835" w:type="dxa"/>
            <w:vAlign w:val="center"/>
          </w:tcPr>
          <w:p w14:paraId="7A9632C7">
            <w:pPr>
              <w:pStyle w:val="10"/>
            </w:pPr>
            <w:r>
              <w:t>其中：财政    资金</w:t>
            </w:r>
          </w:p>
        </w:tc>
        <w:tc>
          <w:tcPr>
            <w:tcW w:w="2551" w:type="dxa"/>
            <w:vAlign w:val="center"/>
          </w:tcPr>
          <w:p w14:paraId="69C7DA58">
            <w:pPr>
              <w:pStyle w:val="12"/>
            </w:pPr>
            <w:r>
              <w:t>10.72</w:t>
            </w:r>
          </w:p>
        </w:tc>
        <w:tc>
          <w:tcPr>
            <w:tcW w:w="2268" w:type="dxa"/>
            <w:vAlign w:val="center"/>
          </w:tcPr>
          <w:p w14:paraId="2CE96694">
            <w:pPr>
              <w:pStyle w:val="10"/>
            </w:pPr>
            <w:r>
              <w:t>其他资金</w:t>
            </w:r>
          </w:p>
        </w:tc>
        <w:tc>
          <w:tcPr>
            <w:tcW w:w="1276" w:type="dxa"/>
            <w:vAlign w:val="center"/>
          </w:tcPr>
          <w:p w14:paraId="08EC41CB">
            <w:pPr>
              <w:pStyle w:val="12"/>
            </w:pPr>
            <w:r>
              <w:t xml:space="preserve"> </w:t>
            </w:r>
          </w:p>
        </w:tc>
      </w:tr>
      <w:tr w14:paraId="1D80F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F3531"/>
        </w:tc>
        <w:tc>
          <w:tcPr>
            <w:tcW w:w="14033" w:type="dxa"/>
            <w:gridSpan w:val="6"/>
            <w:vAlign w:val="center"/>
          </w:tcPr>
          <w:p w14:paraId="231B329C">
            <w:pPr>
              <w:pStyle w:val="12"/>
            </w:pPr>
            <w:r>
              <w:t>保障学校正常运转，完成各项教育教学活动和其他日常工作任务等方面的费用支出。</w:t>
            </w:r>
            <w:r>
              <w:tab/>
            </w:r>
            <w:r>
              <w:tab/>
            </w:r>
            <w:r>
              <w:tab/>
            </w:r>
            <w:r>
              <w:tab/>
            </w:r>
            <w:r>
              <w:tab/>
            </w:r>
            <w:r>
              <w:tab/>
            </w:r>
          </w:p>
          <w:p w14:paraId="0D21D191">
            <w:pPr>
              <w:pStyle w:val="12"/>
            </w:pPr>
          </w:p>
        </w:tc>
      </w:tr>
      <w:tr w14:paraId="3015A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C7D98">
            <w:pPr>
              <w:pStyle w:val="10"/>
            </w:pPr>
            <w:r>
              <w:t>资金支出计划（%）</w:t>
            </w:r>
          </w:p>
        </w:tc>
        <w:tc>
          <w:tcPr>
            <w:tcW w:w="5103" w:type="dxa"/>
            <w:gridSpan w:val="2"/>
            <w:vAlign w:val="center"/>
          </w:tcPr>
          <w:p w14:paraId="0C3A4B16">
            <w:pPr>
              <w:pStyle w:val="10"/>
            </w:pPr>
            <w:r>
              <w:t>3月底</w:t>
            </w:r>
          </w:p>
        </w:tc>
        <w:tc>
          <w:tcPr>
            <w:tcW w:w="2835" w:type="dxa"/>
            <w:vAlign w:val="center"/>
          </w:tcPr>
          <w:p w14:paraId="2DEE1AF4">
            <w:pPr>
              <w:pStyle w:val="10"/>
            </w:pPr>
            <w:r>
              <w:t>6月底</w:t>
            </w:r>
          </w:p>
        </w:tc>
        <w:tc>
          <w:tcPr>
            <w:tcW w:w="2551" w:type="dxa"/>
            <w:vAlign w:val="center"/>
          </w:tcPr>
          <w:p w14:paraId="18160190">
            <w:pPr>
              <w:pStyle w:val="10"/>
            </w:pPr>
            <w:r>
              <w:t>10月底</w:t>
            </w:r>
          </w:p>
        </w:tc>
        <w:tc>
          <w:tcPr>
            <w:tcW w:w="3544" w:type="dxa"/>
            <w:gridSpan w:val="2"/>
            <w:vAlign w:val="center"/>
          </w:tcPr>
          <w:p w14:paraId="6F756B56">
            <w:pPr>
              <w:pStyle w:val="10"/>
            </w:pPr>
            <w:r>
              <w:t>12月底</w:t>
            </w:r>
          </w:p>
        </w:tc>
      </w:tr>
      <w:tr w14:paraId="57459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7D67F"/>
        </w:tc>
        <w:tc>
          <w:tcPr>
            <w:tcW w:w="5103" w:type="dxa"/>
            <w:gridSpan w:val="2"/>
            <w:vAlign w:val="center"/>
          </w:tcPr>
          <w:p w14:paraId="59D01D87">
            <w:pPr>
              <w:pStyle w:val="13"/>
            </w:pPr>
            <w:r>
              <w:t>25%</w:t>
            </w:r>
          </w:p>
        </w:tc>
        <w:tc>
          <w:tcPr>
            <w:tcW w:w="2835" w:type="dxa"/>
            <w:vAlign w:val="center"/>
          </w:tcPr>
          <w:p w14:paraId="3D2B58C7">
            <w:pPr>
              <w:pStyle w:val="13"/>
            </w:pPr>
            <w:r>
              <w:t>50%</w:t>
            </w:r>
          </w:p>
        </w:tc>
        <w:tc>
          <w:tcPr>
            <w:tcW w:w="2551" w:type="dxa"/>
            <w:vAlign w:val="center"/>
          </w:tcPr>
          <w:p w14:paraId="659DDC55">
            <w:pPr>
              <w:pStyle w:val="13"/>
            </w:pPr>
            <w:r>
              <w:t>75%</w:t>
            </w:r>
          </w:p>
        </w:tc>
        <w:tc>
          <w:tcPr>
            <w:tcW w:w="3544" w:type="dxa"/>
            <w:gridSpan w:val="2"/>
            <w:vAlign w:val="center"/>
          </w:tcPr>
          <w:p w14:paraId="5D6B6E35">
            <w:pPr>
              <w:pStyle w:val="13"/>
            </w:pPr>
            <w:r>
              <w:t>100%</w:t>
            </w:r>
          </w:p>
        </w:tc>
      </w:tr>
      <w:tr w14:paraId="2D983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D7411">
            <w:pPr>
              <w:pStyle w:val="10"/>
            </w:pPr>
            <w:r>
              <w:t>绩效目标</w:t>
            </w:r>
          </w:p>
        </w:tc>
        <w:tc>
          <w:tcPr>
            <w:tcW w:w="14033" w:type="dxa"/>
            <w:gridSpan w:val="6"/>
            <w:vAlign w:val="center"/>
          </w:tcPr>
          <w:p w14:paraId="48427570">
            <w:pPr>
              <w:pStyle w:val="12"/>
            </w:pPr>
            <w:r>
              <w:t>1.按季度分批次拨付公用经费资金，资金拨付率达到100%。</w:t>
            </w:r>
          </w:p>
          <w:p w14:paraId="1EED6674">
            <w:pPr>
              <w:pStyle w:val="12"/>
            </w:pPr>
            <w:r>
              <w:t>2.保障学校正常运转，完成各项教育教学活动和其他日常工作任务等方面的费用支出。</w:t>
            </w:r>
          </w:p>
        </w:tc>
      </w:tr>
    </w:tbl>
    <w:p w14:paraId="499D6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0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EC165">
            <w:pPr>
              <w:pStyle w:val="10"/>
            </w:pPr>
            <w:r>
              <w:t>一级指标</w:t>
            </w:r>
          </w:p>
        </w:tc>
        <w:tc>
          <w:tcPr>
            <w:tcW w:w="2268" w:type="dxa"/>
            <w:vAlign w:val="center"/>
          </w:tcPr>
          <w:p w14:paraId="4F8E9A87">
            <w:pPr>
              <w:pStyle w:val="10"/>
            </w:pPr>
            <w:r>
              <w:t>二级指标</w:t>
            </w:r>
          </w:p>
        </w:tc>
        <w:tc>
          <w:tcPr>
            <w:tcW w:w="2835" w:type="dxa"/>
            <w:vAlign w:val="center"/>
          </w:tcPr>
          <w:p w14:paraId="344B19E7">
            <w:pPr>
              <w:pStyle w:val="10"/>
            </w:pPr>
            <w:r>
              <w:t>三级指标</w:t>
            </w:r>
          </w:p>
        </w:tc>
        <w:tc>
          <w:tcPr>
            <w:tcW w:w="5386" w:type="dxa"/>
            <w:vAlign w:val="center"/>
          </w:tcPr>
          <w:p w14:paraId="13C1816B">
            <w:pPr>
              <w:pStyle w:val="10"/>
            </w:pPr>
            <w:r>
              <w:t>绩效指标描述</w:t>
            </w:r>
          </w:p>
        </w:tc>
        <w:tc>
          <w:tcPr>
            <w:tcW w:w="2268" w:type="dxa"/>
            <w:vAlign w:val="center"/>
          </w:tcPr>
          <w:p w14:paraId="0672B80B">
            <w:pPr>
              <w:pStyle w:val="10"/>
            </w:pPr>
            <w:r>
              <w:t>指标值</w:t>
            </w:r>
          </w:p>
        </w:tc>
        <w:tc>
          <w:tcPr>
            <w:tcW w:w="1276" w:type="dxa"/>
            <w:vAlign w:val="center"/>
          </w:tcPr>
          <w:p w14:paraId="2A7993BB">
            <w:pPr>
              <w:pStyle w:val="10"/>
            </w:pPr>
            <w:r>
              <w:t>指标值确定依据</w:t>
            </w:r>
          </w:p>
        </w:tc>
      </w:tr>
      <w:tr w14:paraId="44D1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4F649">
            <w:pPr>
              <w:pStyle w:val="13"/>
            </w:pPr>
            <w:r>
              <w:t>产出指标</w:t>
            </w:r>
          </w:p>
        </w:tc>
        <w:tc>
          <w:tcPr>
            <w:tcW w:w="2268" w:type="dxa"/>
            <w:vAlign w:val="center"/>
          </w:tcPr>
          <w:p w14:paraId="44F69CF2">
            <w:pPr>
              <w:pStyle w:val="12"/>
            </w:pPr>
            <w:r>
              <w:t>数量指标</w:t>
            </w:r>
          </w:p>
        </w:tc>
        <w:tc>
          <w:tcPr>
            <w:tcW w:w="2835" w:type="dxa"/>
            <w:vAlign w:val="center"/>
          </w:tcPr>
          <w:p w14:paraId="3E4EE9A6">
            <w:pPr>
              <w:pStyle w:val="12"/>
            </w:pPr>
            <w:r>
              <w:t>就读学生数</w:t>
            </w:r>
          </w:p>
        </w:tc>
        <w:tc>
          <w:tcPr>
            <w:tcW w:w="5386" w:type="dxa"/>
            <w:vAlign w:val="center"/>
          </w:tcPr>
          <w:p w14:paraId="5E8D738F">
            <w:pPr>
              <w:pStyle w:val="12"/>
            </w:pPr>
            <w:r>
              <w:t>辐射区域内适龄学生人数</w:t>
            </w:r>
          </w:p>
        </w:tc>
        <w:tc>
          <w:tcPr>
            <w:tcW w:w="2268" w:type="dxa"/>
            <w:vAlign w:val="center"/>
          </w:tcPr>
          <w:p w14:paraId="33A280A4">
            <w:pPr>
              <w:pStyle w:val="12"/>
            </w:pPr>
            <w:r>
              <w:t>411人</w:t>
            </w:r>
          </w:p>
        </w:tc>
        <w:tc>
          <w:tcPr>
            <w:tcW w:w="1276" w:type="dxa"/>
            <w:vAlign w:val="center"/>
          </w:tcPr>
          <w:p w14:paraId="697AA498">
            <w:pPr>
              <w:pStyle w:val="12"/>
            </w:pPr>
            <w:r>
              <w:t>城乡义务教育公用经费管理办法</w:t>
            </w:r>
          </w:p>
        </w:tc>
      </w:tr>
      <w:tr w14:paraId="424E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0FA0D"/>
        </w:tc>
        <w:tc>
          <w:tcPr>
            <w:tcW w:w="2268" w:type="dxa"/>
            <w:vAlign w:val="center"/>
          </w:tcPr>
          <w:p w14:paraId="23708156">
            <w:pPr>
              <w:pStyle w:val="12"/>
            </w:pPr>
            <w:r>
              <w:t>质量指标</w:t>
            </w:r>
          </w:p>
        </w:tc>
        <w:tc>
          <w:tcPr>
            <w:tcW w:w="2835" w:type="dxa"/>
            <w:vAlign w:val="center"/>
          </w:tcPr>
          <w:p w14:paraId="072EB9C0">
            <w:pPr>
              <w:pStyle w:val="12"/>
            </w:pPr>
            <w:r>
              <w:t>预算执行率</w:t>
            </w:r>
          </w:p>
        </w:tc>
        <w:tc>
          <w:tcPr>
            <w:tcW w:w="5386" w:type="dxa"/>
            <w:vAlign w:val="center"/>
          </w:tcPr>
          <w:p w14:paraId="2DFE67C5">
            <w:pPr>
              <w:pStyle w:val="12"/>
            </w:pPr>
            <w:r>
              <w:t>预算执行率</w:t>
            </w:r>
          </w:p>
        </w:tc>
        <w:tc>
          <w:tcPr>
            <w:tcW w:w="2268" w:type="dxa"/>
            <w:vAlign w:val="center"/>
          </w:tcPr>
          <w:p w14:paraId="35FCC782">
            <w:pPr>
              <w:pStyle w:val="12"/>
            </w:pPr>
            <w:r>
              <w:t>≥95%</w:t>
            </w:r>
          </w:p>
        </w:tc>
        <w:tc>
          <w:tcPr>
            <w:tcW w:w="1276" w:type="dxa"/>
            <w:vAlign w:val="center"/>
          </w:tcPr>
          <w:p w14:paraId="4ACA0571">
            <w:pPr>
              <w:pStyle w:val="12"/>
            </w:pPr>
            <w:r>
              <w:t>城乡义务教育公用经费管理办法</w:t>
            </w:r>
          </w:p>
        </w:tc>
      </w:tr>
      <w:tr w14:paraId="1965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FA1B6"/>
        </w:tc>
        <w:tc>
          <w:tcPr>
            <w:tcW w:w="2268" w:type="dxa"/>
            <w:vAlign w:val="center"/>
          </w:tcPr>
          <w:p w14:paraId="0D2F7FE9">
            <w:pPr>
              <w:pStyle w:val="12"/>
            </w:pPr>
            <w:r>
              <w:t>时效指标</w:t>
            </w:r>
          </w:p>
        </w:tc>
        <w:tc>
          <w:tcPr>
            <w:tcW w:w="2835" w:type="dxa"/>
            <w:vAlign w:val="center"/>
          </w:tcPr>
          <w:p w14:paraId="3277A873">
            <w:pPr>
              <w:pStyle w:val="12"/>
            </w:pPr>
            <w:r>
              <w:t>义教经费支付完成率</w:t>
            </w:r>
          </w:p>
        </w:tc>
        <w:tc>
          <w:tcPr>
            <w:tcW w:w="5386" w:type="dxa"/>
            <w:vAlign w:val="center"/>
          </w:tcPr>
          <w:p w14:paraId="6E5B2A24">
            <w:pPr>
              <w:pStyle w:val="12"/>
            </w:pPr>
            <w:r>
              <w:t>按照序时进度完成资金支付</w:t>
            </w:r>
          </w:p>
        </w:tc>
        <w:tc>
          <w:tcPr>
            <w:tcW w:w="2268" w:type="dxa"/>
            <w:vAlign w:val="center"/>
          </w:tcPr>
          <w:p w14:paraId="2898B152">
            <w:pPr>
              <w:pStyle w:val="12"/>
            </w:pPr>
            <w:r>
              <w:t>100%</w:t>
            </w:r>
          </w:p>
        </w:tc>
        <w:tc>
          <w:tcPr>
            <w:tcW w:w="1276" w:type="dxa"/>
            <w:vAlign w:val="center"/>
          </w:tcPr>
          <w:p w14:paraId="52BAF626">
            <w:pPr>
              <w:pStyle w:val="12"/>
            </w:pPr>
            <w:r>
              <w:t>城乡义务教育公用经费管理办法</w:t>
            </w:r>
          </w:p>
        </w:tc>
      </w:tr>
      <w:tr w14:paraId="52B8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702C8"/>
        </w:tc>
        <w:tc>
          <w:tcPr>
            <w:tcW w:w="2268" w:type="dxa"/>
            <w:vAlign w:val="center"/>
          </w:tcPr>
          <w:p w14:paraId="73EF3038">
            <w:pPr>
              <w:pStyle w:val="12"/>
            </w:pPr>
            <w:r>
              <w:t>成本指标</w:t>
            </w:r>
          </w:p>
        </w:tc>
        <w:tc>
          <w:tcPr>
            <w:tcW w:w="2835" w:type="dxa"/>
            <w:vAlign w:val="center"/>
          </w:tcPr>
          <w:p w14:paraId="5DA5A512">
            <w:pPr>
              <w:pStyle w:val="12"/>
            </w:pPr>
            <w:r>
              <w:t>生均拨款标准</w:t>
            </w:r>
          </w:p>
        </w:tc>
        <w:tc>
          <w:tcPr>
            <w:tcW w:w="5386" w:type="dxa"/>
            <w:vAlign w:val="center"/>
          </w:tcPr>
          <w:p w14:paraId="4256AD00">
            <w:pPr>
              <w:pStyle w:val="12"/>
            </w:pPr>
            <w:r>
              <w:t>小学生公用经费生均公用经费基准定额为720元/年/生，取暖费120元/年/生，住宿生补助300元/年/生的标准，随班就读学生补助7000元/生/年</w:t>
            </w:r>
          </w:p>
        </w:tc>
        <w:tc>
          <w:tcPr>
            <w:tcW w:w="2268" w:type="dxa"/>
            <w:vAlign w:val="center"/>
          </w:tcPr>
          <w:p w14:paraId="58685065">
            <w:pPr>
              <w:pStyle w:val="12"/>
            </w:pPr>
            <w:r>
              <w:t>840元</w:t>
            </w:r>
          </w:p>
        </w:tc>
        <w:tc>
          <w:tcPr>
            <w:tcW w:w="1276" w:type="dxa"/>
            <w:vAlign w:val="center"/>
          </w:tcPr>
          <w:p w14:paraId="1528A57D">
            <w:pPr>
              <w:pStyle w:val="12"/>
            </w:pPr>
            <w:r>
              <w:t>城乡义务教育公用经费管理办法</w:t>
            </w:r>
          </w:p>
        </w:tc>
      </w:tr>
      <w:tr w14:paraId="643E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1F866">
            <w:pPr>
              <w:pStyle w:val="13"/>
            </w:pPr>
            <w:r>
              <w:t>效益指标</w:t>
            </w:r>
          </w:p>
        </w:tc>
        <w:tc>
          <w:tcPr>
            <w:tcW w:w="2268" w:type="dxa"/>
            <w:vAlign w:val="center"/>
          </w:tcPr>
          <w:p w14:paraId="2AD66E04">
            <w:pPr>
              <w:pStyle w:val="12"/>
            </w:pPr>
            <w:r>
              <w:t>可持续影响指标</w:t>
            </w:r>
          </w:p>
        </w:tc>
        <w:tc>
          <w:tcPr>
            <w:tcW w:w="2835" w:type="dxa"/>
            <w:vAlign w:val="center"/>
          </w:tcPr>
          <w:p w14:paraId="238ECA30">
            <w:pPr>
              <w:pStyle w:val="12"/>
            </w:pPr>
            <w:r>
              <w:t>学校运转得到提高</w:t>
            </w:r>
          </w:p>
        </w:tc>
        <w:tc>
          <w:tcPr>
            <w:tcW w:w="5386" w:type="dxa"/>
            <w:vAlign w:val="center"/>
          </w:tcPr>
          <w:p w14:paraId="2FD1C7C4">
            <w:pPr>
              <w:pStyle w:val="12"/>
            </w:pPr>
            <w:r>
              <w:t>学生受教育年限</w:t>
            </w:r>
          </w:p>
        </w:tc>
        <w:tc>
          <w:tcPr>
            <w:tcW w:w="2268" w:type="dxa"/>
            <w:vAlign w:val="center"/>
          </w:tcPr>
          <w:p w14:paraId="41B737C5">
            <w:pPr>
              <w:pStyle w:val="12"/>
            </w:pPr>
            <w:r>
              <w:t>6年</w:t>
            </w:r>
          </w:p>
        </w:tc>
        <w:tc>
          <w:tcPr>
            <w:tcW w:w="1276" w:type="dxa"/>
            <w:vAlign w:val="center"/>
          </w:tcPr>
          <w:p w14:paraId="67647D2C">
            <w:pPr>
              <w:pStyle w:val="12"/>
            </w:pPr>
            <w:r>
              <w:t>城乡义务教育公用经费管理办法</w:t>
            </w:r>
          </w:p>
        </w:tc>
      </w:tr>
      <w:tr w14:paraId="4527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D7CDB">
            <w:pPr>
              <w:pStyle w:val="13"/>
            </w:pPr>
            <w:r>
              <w:t>满意度指标</w:t>
            </w:r>
          </w:p>
        </w:tc>
        <w:tc>
          <w:tcPr>
            <w:tcW w:w="2268" w:type="dxa"/>
            <w:vAlign w:val="center"/>
          </w:tcPr>
          <w:p w14:paraId="669E3AFA">
            <w:pPr>
              <w:pStyle w:val="12"/>
            </w:pPr>
            <w:r>
              <w:t>服务对象满意度指标</w:t>
            </w:r>
          </w:p>
        </w:tc>
        <w:tc>
          <w:tcPr>
            <w:tcW w:w="2835" w:type="dxa"/>
            <w:vAlign w:val="center"/>
          </w:tcPr>
          <w:p w14:paraId="2D05AE63">
            <w:pPr>
              <w:pStyle w:val="12"/>
            </w:pPr>
            <w:r>
              <w:t>服务对象满意度</w:t>
            </w:r>
          </w:p>
        </w:tc>
        <w:tc>
          <w:tcPr>
            <w:tcW w:w="5386" w:type="dxa"/>
            <w:vAlign w:val="center"/>
          </w:tcPr>
          <w:p w14:paraId="32BED0D9">
            <w:pPr>
              <w:pStyle w:val="12"/>
            </w:pPr>
            <w:r>
              <w:t>学校老师和学生满意度</w:t>
            </w:r>
          </w:p>
        </w:tc>
        <w:tc>
          <w:tcPr>
            <w:tcW w:w="2268" w:type="dxa"/>
            <w:vAlign w:val="center"/>
          </w:tcPr>
          <w:p w14:paraId="1125E07B">
            <w:pPr>
              <w:pStyle w:val="12"/>
            </w:pPr>
            <w:r>
              <w:t>≥95%</w:t>
            </w:r>
          </w:p>
        </w:tc>
        <w:tc>
          <w:tcPr>
            <w:tcW w:w="1276" w:type="dxa"/>
            <w:vAlign w:val="center"/>
          </w:tcPr>
          <w:p w14:paraId="566F9949">
            <w:pPr>
              <w:pStyle w:val="12"/>
            </w:pPr>
            <w:r>
              <w:t>群众测评</w:t>
            </w:r>
          </w:p>
        </w:tc>
      </w:tr>
    </w:tbl>
    <w:p w14:paraId="3CA55DA9">
      <w:pPr>
        <w:sectPr>
          <w:pgSz w:w="16840" w:h="11900" w:orient="landscape"/>
          <w:pgMar w:top="1361" w:right="1020" w:bottom="1134" w:left="1020" w:header="720" w:footer="720" w:gutter="0"/>
          <w:cols w:space="720" w:num="1"/>
        </w:sectPr>
      </w:pPr>
    </w:p>
    <w:p w14:paraId="0463C8F4">
      <w:pPr>
        <w:spacing w:before="0" w:after="0"/>
        <w:ind w:firstLine="560"/>
        <w:jc w:val="left"/>
        <w:outlineLvl w:val="9"/>
      </w:pPr>
      <w:r>
        <w:rPr>
          <w:rFonts w:ascii="方正仿宋_GBK" w:hAnsi="方正仿宋_GBK" w:eastAsia="方正仿宋_GBK" w:cs="方正仿宋_GBK"/>
          <w:b/>
          <w:color w:val="000000"/>
          <w:sz w:val="28"/>
        </w:rPr>
        <w:t>19、冀财教[2025]147号/省级/2026年义教补助经费/双碑校区双碑小学公用经费绩效目标表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78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84DDC">
            <w:pPr>
              <w:pStyle w:val="11"/>
            </w:pPr>
            <w:r>
              <w:t>单位：万元</w:t>
            </w:r>
          </w:p>
        </w:tc>
      </w:tr>
      <w:tr w14:paraId="73BA6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5825E">
            <w:pPr>
              <w:pStyle w:val="10"/>
            </w:pPr>
            <w:r>
              <w:t>项目编码</w:t>
            </w:r>
          </w:p>
        </w:tc>
        <w:tc>
          <w:tcPr>
            <w:tcW w:w="5103" w:type="dxa"/>
            <w:gridSpan w:val="2"/>
            <w:vAlign w:val="center"/>
          </w:tcPr>
          <w:p w14:paraId="4EB04E85">
            <w:pPr>
              <w:pStyle w:val="12"/>
            </w:pPr>
            <w:r>
              <w:t>13052526P00000410362Q</w:t>
            </w:r>
          </w:p>
        </w:tc>
        <w:tc>
          <w:tcPr>
            <w:tcW w:w="2835" w:type="dxa"/>
            <w:vAlign w:val="center"/>
          </w:tcPr>
          <w:p w14:paraId="4F0D3754">
            <w:pPr>
              <w:pStyle w:val="10"/>
            </w:pPr>
            <w:r>
              <w:t>项目名称</w:t>
            </w:r>
          </w:p>
        </w:tc>
        <w:tc>
          <w:tcPr>
            <w:tcW w:w="6095" w:type="dxa"/>
            <w:gridSpan w:val="3"/>
            <w:vAlign w:val="center"/>
          </w:tcPr>
          <w:p w14:paraId="69A24DC2">
            <w:pPr>
              <w:pStyle w:val="12"/>
            </w:pPr>
            <w:r>
              <w:t>冀财教[2025]147号/省级/2026年义教补助经费/双碑校区双碑小学公用经费</w:t>
            </w:r>
          </w:p>
        </w:tc>
      </w:tr>
      <w:tr w14:paraId="099A1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E65DF">
            <w:pPr>
              <w:pStyle w:val="10"/>
            </w:pPr>
            <w:r>
              <w:t>预算规模及资金用途</w:t>
            </w:r>
          </w:p>
        </w:tc>
        <w:tc>
          <w:tcPr>
            <w:tcW w:w="2268" w:type="dxa"/>
            <w:vAlign w:val="center"/>
          </w:tcPr>
          <w:p w14:paraId="17CF389A">
            <w:pPr>
              <w:pStyle w:val="10"/>
            </w:pPr>
            <w:r>
              <w:t>预算数</w:t>
            </w:r>
          </w:p>
        </w:tc>
        <w:tc>
          <w:tcPr>
            <w:tcW w:w="2835" w:type="dxa"/>
            <w:vAlign w:val="center"/>
          </w:tcPr>
          <w:p w14:paraId="7F9D102A">
            <w:pPr>
              <w:pStyle w:val="12"/>
            </w:pPr>
            <w:r>
              <w:t>11.46</w:t>
            </w:r>
          </w:p>
        </w:tc>
        <w:tc>
          <w:tcPr>
            <w:tcW w:w="2835" w:type="dxa"/>
            <w:vAlign w:val="center"/>
          </w:tcPr>
          <w:p w14:paraId="77642242">
            <w:pPr>
              <w:pStyle w:val="10"/>
            </w:pPr>
            <w:r>
              <w:t>其中：财政    资金</w:t>
            </w:r>
          </w:p>
        </w:tc>
        <w:tc>
          <w:tcPr>
            <w:tcW w:w="2551" w:type="dxa"/>
            <w:vAlign w:val="center"/>
          </w:tcPr>
          <w:p w14:paraId="33CFFA66">
            <w:pPr>
              <w:pStyle w:val="12"/>
            </w:pPr>
            <w:r>
              <w:t>11.46</w:t>
            </w:r>
          </w:p>
        </w:tc>
        <w:tc>
          <w:tcPr>
            <w:tcW w:w="2268" w:type="dxa"/>
            <w:vAlign w:val="center"/>
          </w:tcPr>
          <w:p w14:paraId="041B5A31">
            <w:pPr>
              <w:pStyle w:val="10"/>
            </w:pPr>
            <w:r>
              <w:t>其他资金</w:t>
            </w:r>
          </w:p>
        </w:tc>
        <w:tc>
          <w:tcPr>
            <w:tcW w:w="1276" w:type="dxa"/>
            <w:vAlign w:val="center"/>
          </w:tcPr>
          <w:p w14:paraId="0DD3BD7A">
            <w:pPr>
              <w:pStyle w:val="12"/>
            </w:pPr>
            <w:r>
              <w:t xml:space="preserve"> </w:t>
            </w:r>
          </w:p>
        </w:tc>
      </w:tr>
      <w:tr w14:paraId="22502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A2863"/>
        </w:tc>
        <w:tc>
          <w:tcPr>
            <w:tcW w:w="14033" w:type="dxa"/>
            <w:gridSpan w:val="6"/>
            <w:vAlign w:val="center"/>
          </w:tcPr>
          <w:p w14:paraId="7410C50D">
            <w:pPr>
              <w:pStyle w:val="12"/>
            </w:pPr>
            <w:r>
              <w:t>保障学校正常运转，完成各项教育教学活动和其他日常工作任务等方面的费用支出。</w:t>
            </w:r>
            <w:r>
              <w:tab/>
            </w:r>
            <w:r>
              <w:tab/>
            </w:r>
            <w:r>
              <w:tab/>
            </w:r>
            <w:r>
              <w:tab/>
            </w:r>
            <w:r>
              <w:tab/>
            </w:r>
            <w:r>
              <w:tab/>
            </w:r>
          </w:p>
          <w:p w14:paraId="1137698D">
            <w:pPr>
              <w:pStyle w:val="12"/>
            </w:pPr>
          </w:p>
        </w:tc>
      </w:tr>
      <w:tr w14:paraId="5E1EB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536AB">
            <w:pPr>
              <w:pStyle w:val="10"/>
            </w:pPr>
            <w:r>
              <w:t>资金支出计划（%）</w:t>
            </w:r>
          </w:p>
        </w:tc>
        <w:tc>
          <w:tcPr>
            <w:tcW w:w="5103" w:type="dxa"/>
            <w:gridSpan w:val="2"/>
            <w:vAlign w:val="center"/>
          </w:tcPr>
          <w:p w14:paraId="39AFE118">
            <w:pPr>
              <w:pStyle w:val="10"/>
            </w:pPr>
            <w:r>
              <w:t>3月底</w:t>
            </w:r>
          </w:p>
        </w:tc>
        <w:tc>
          <w:tcPr>
            <w:tcW w:w="2835" w:type="dxa"/>
            <w:vAlign w:val="center"/>
          </w:tcPr>
          <w:p w14:paraId="1358615E">
            <w:pPr>
              <w:pStyle w:val="10"/>
            </w:pPr>
            <w:r>
              <w:t>6月底</w:t>
            </w:r>
          </w:p>
        </w:tc>
        <w:tc>
          <w:tcPr>
            <w:tcW w:w="2551" w:type="dxa"/>
            <w:vAlign w:val="center"/>
          </w:tcPr>
          <w:p w14:paraId="2E706FDA">
            <w:pPr>
              <w:pStyle w:val="10"/>
            </w:pPr>
            <w:r>
              <w:t>10月底</w:t>
            </w:r>
          </w:p>
        </w:tc>
        <w:tc>
          <w:tcPr>
            <w:tcW w:w="3544" w:type="dxa"/>
            <w:gridSpan w:val="2"/>
            <w:vAlign w:val="center"/>
          </w:tcPr>
          <w:p w14:paraId="120609ED">
            <w:pPr>
              <w:pStyle w:val="10"/>
            </w:pPr>
            <w:r>
              <w:t>12月底</w:t>
            </w:r>
          </w:p>
        </w:tc>
      </w:tr>
      <w:tr w14:paraId="5CFE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CDA82"/>
        </w:tc>
        <w:tc>
          <w:tcPr>
            <w:tcW w:w="5103" w:type="dxa"/>
            <w:gridSpan w:val="2"/>
            <w:vAlign w:val="center"/>
          </w:tcPr>
          <w:p w14:paraId="3EF5A54C">
            <w:pPr>
              <w:pStyle w:val="13"/>
            </w:pPr>
            <w:r>
              <w:t>25%</w:t>
            </w:r>
          </w:p>
        </w:tc>
        <w:tc>
          <w:tcPr>
            <w:tcW w:w="2835" w:type="dxa"/>
            <w:vAlign w:val="center"/>
          </w:tcPr>
          <w:p w14:paraId="78F17E81">
            <w:pPr>
              <w:pStyle w:val="13"/>
            </w:pPr>
            <w:r>
              <w:t>50%</w:t>
            </w:r>
          </w:p>
        </w:tc>
        <w:tc>
          <w:tcPr>
            <w:tcW w:w="2551" w:type="dxa"/>
            <w:vAlign w:val="center"/>
          </w:tcPr>
          <w:p w14:paraId="78A5151B">
            <w:pPr>
              <w:pStyle w:val="13"/>
            </w:pPr>
            <w:r>
              <w:t>75%</w:t>
            </w:r>
          </w:p>
        </w:tc>
        <w:tc>
          <w:tcPr>
            <w:tcW w:w="3544" w:type="dxa"/>
            <w:gridSpan w:val="2"/>
            <w:vAlign w:val="center"/>
          </w:tcPr>
          <w:p w14:paraId="302433D0">
            <w:pPr>
              <w:pStyle w:val="13"/>
            </w:pPr>
            <w:r>
              <w:t>100%</w:t>
            </w:r>
          </w:p>
        </w:tc>
      </w:tr>
      <w:tr w14:paraId="0B388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E8BFD">
            <w:pPr>
              <w:pStyle w:val="10"/>
            </w:pPr>
            <w:r>
              <w:t>绩效目标</w:t>
            </w:r>
          </w:p>
        </w:tc>
        <w:tc>
          <w:tcPr>
            <w:tcW w:w="14033" w:type="dxa"/>
            <w:gridSpan w:val="6"/>
            <w:vAlign w:val="center"/>
          </w:tcPr>
          <w:p w14:paraId="6AA99FB0">
            <w:pPr>
              <w:pStyle w:val="12"/>
            </w:pPr>
            <w:r>
              <w:t>1.按季度分批次拨付公用经费资金，资金拨付率达到100%。</w:t>
            </w:r>
          </w:p>
          <w:p w14:paraId="20586A0C">
            <w:pPr>
              <w:pStyle w:val="12"/>
            </w:pPr>
            <w:r>
              <w:t>2.保障学校正常运转，完成各项教育教学活动和其他日常工作任务等方面的费用支出。</w:t>
            </w:r>
          </w:p>
        </w:tc>
      </w:tr>
    </w:tbl>
    <w:p w14:paraId="661B4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B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07926">
            <w:pPr>
              <w:pStyle w:val="10"/>
            </w:pPr>
            <w:r>
              <w:t>一级指标</w:t>
            </w:r>
          </w:p>
        </w:tc>
        <w:tc>
          <w:tcPr>
            <w:tcW w:w="2268" w:type="dxa"/>
            <w:vAlign w:val="center"/>
          </w:tcPr>
          <w:p w14:paraId="0E83E8C0">
            <w:pPr>
              <w:pStyle w:val="10"/>
            </w:pPr>
            <w:r>
              <w:t>二级指标</w:t>
            </w:r>
          </w:p>
        </w:tc>
        <w:tc>
          <w:tcPr>
            <w:tcW w:w="2835" w:type="dxa"/>
            <w:vAlign w:val="center"/>
          </w:tcPr>
          <w:p w14:paraId="33E704E6">
            <w:pPr>
              <w:pStyle w:val="10"/>
            </w:pPr>
            <w:r>
              <w:t>三级指标</w:t>
            </w:r>
          </w:p>
        </w:tc>
        <w:tc>
          <w:tcPr>
            <w:tcW w:w="5386" w:type="dxa"/>
            <w:vAlign w:val="center"/>
          </w:tcPr>
          <w:p w14:paraId="3F35AB7C">
            <w:pPr>
              <w:pStyle w:val="10"/>
            </w:pPr>
            <w:r>
              <w:t>绩效指标描述</w:t>
            </w:r>
          </w:p>
        </w:tc>
        <w:tc>
          <w:tcPr>
            <w:tcW w:w="2268" w:type="dxa"/>
            <w:vAlign w:val="center"/>
          </w:tcPr>
          <w:p w14:paraId="3DB8AC1E">
            <w:pPr>
              <w:pStyle w:val="10"/>
            </w:pPr>
            <w:r>
              <w:t>指标值</w:t>
            </w:r>
          </w:p>
        </w:tc>
        <w:tc>
          <w:tcPr>
            <w:tcW w:w="1276" w:type="dxa"/>
            <w:vAlign w:val="center"/>
          </w:tcPr>
          <w:p w14:paraId="29C19ECE">
            <w:pPr>
              <w:pStyle w:val="10"/>
            </w:pPr>
            <w:r>
              <w:t>指标值确定依据</w:t>
            </w:r>
          </w:p>
        </w:tc>
      </w:tr>
      <w:tr w14:paraId="4FE1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13BB4">
            <w:pPr>
              <w:pStyle w:val="13"/>
            </w:pPr>
            <w:r>
              <w:t>产出指标</w:t>
            </w:r>
          </w:p>
        </w:tc>
        <w:tc>
          <w:tcPr>
            <w:tcW w:w="2268" w:type="dxa"/>
            <w:vAlign w:val="center"/>
          </w:tcPr>
          <w:p w14:paraId="5480B64F">
            <w:pPr>
              <w:pStyle w:val="12"/>
            </w:pPr>
            <w:r>
              <w:t>数量指标</w:t>
            </w:r>
          </w:p>
        </w:tc>
        <w:tc>
          <w:tcPr>
            <w:tcW w:w="2835" w:type="dxa"/>
            <w:vAlign w:val="center"/>
          </w:tcPr>
          <w:p w14:paraId="2F3F892B">
            <w:pPr>
              <w:pStyle w:val="12"/>
            </w:pPr>
            <w:r>
              <w:t>就读学生数</w:t>
            </w:r>
          </w:p>
        </w:tc>
        <w:tc>
          <w:tcPr>
            <w:tcW w:w="5386" w:type="dxa"/>
            <w:vAlign w:val="center"/>
          </w:tcPr>
          <w:p w14:paraId="51E4BADB">
            <w:pPr>
              <w:pStyle w:val="12"/>
            </w:pPr>
            <w:r>
              <w:t>辐射区域内适龄学生人数</w:t>
            </w:r>
          </w:p>
        </w:tc>
        <w:tc>
          <w:tcPr>
            <w:tcW w:w="2268" w:type="dxa"/>
            <w:vAlign w:val="center"/>
          </w:tcPr>
          <w:p w14:paraId="28FED0B7">
            <w:pPr>
              <w:pStyle w:val="12"/>
            </w:pPr>
            <w:r>
              <w:t>432人</w:t>
            </w:r>
          </w:p>
        </w:tc>
        <w:tc>
          <w:tcPr>
            <w:tcW w:w="1276" w:type="dxa"/>
            <w:vAlign w:val="center"/>
          </w:tcPr>
          <w:p w14:paraId="7E8F4F81">
            <w:pPr>
              <w:pStyle w:val="12"/>
            </w:pPr>
            <w:r>
              <w:t>城乡义务教育公用经费管理办法</w:t>
            </w:r>
          </w:p>
        </w:tc>
      </w:tr>
      <w:tr w14:paraId="12A8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340FE"/>
        </w:tc>
        <w:tc>
          <w:tcPr>
            <w:tcW w:w="2268" w:type="dxa"/>
            <w:vAlign w:val="center"/>
          </w:tcPr>
          <w:p w14:paraId="60F0933C">
            <w:pPr>
              <w:pStyle w:val="12"/>
            </w:pPr>
            <w:r>
              <w:t>质量指标</w:t>
            </w:r>
          </w:p>
        </w:tc>
        <w:tc>
          <w:tcPr>
            <w:tcW w:w="2835" w:type="dxa"/>
            <w:vAlign w:val="center"/>
          </w:tcPr>
          <w:p w14:paraId="2B51BBD5">
            <w:pPr>
              <w:pStyle w:val="12"/>
            </w:pPr>
            <w:r>
              <w:t>预算执行率</w:t>
            </w:r>
          </w:p>
        </w:tc>
        <w:tc>
          <w:tcPr>
            <w:tcW w:w="5386" w:type="dxa"/>
            <w:vAlign w:val="center"/>
          </w:tcPr>
          <w:p w14:paraId="6E44CBA7">
            <w:pPr>
              <w:pStyle w:val="12"/>
            </w:pPr>
            <w:r>
              <w:t>预算执行率</w:t>
            </w:r>
          </w:p>
        </w:tc>
        <w:tc>
          <w:tcPr>
            <w:tcW w:w="2268" w:type="dxa"/>
            <w:vAlign w:val="center"/>
          </w:tcPr>
          <w:p w14:paraId="34DD2F02">
            <w:pPr>
              <w:pStyle w:val="12"/>
            </w:pPr>
            <w:r>
              <w:t>≥95%</w:t>
            </w:r>
          </w:p>
        </w:tc>
        <w:tc>
          <w:tcPr>
            <w:tcW w:w="1276" w:type="dxa"/>
            <w:vAlign w:val="center"/>
          </w:tcPr>
          <w:p w14:paraId="504207ED">
            <w:pPr>
              <w:pStyle w:val="12"/>
            </w:pPr>
            <w:r>
              <w:t>城乡义务教育公用经费管理办法</w:t>
            </w:r>
          </w:p>
        </w:tc>
      </w:tr>
      <w:tr w14:paraId="0456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A9AC9"/>
        </w:tc>
        <w:tc>
          <w:tcPr>
            <w:tcW w:w="2268" w:type="dxa"/>
            <w:vAlign w:val="center"/>
          </w:tcPr>
          <w:p w14:paraId="1B9FF5F5">
            <w:pPr>
              <w:pStyle w:val="12"/>
            </w:pPr>
            <w:r>
              <w:t>时效指标</w:t>
            </w:r>
          </w:p>
        </w:tc>
        <w:tc>
          <w:tcPr>
            <w:tcW w:w="2835" w:type="dxa"/>
            <w:vAlign w:val="center"/>
          </w:tcPr>
          <w:p w14:paraId="39EA14F6">
            <w:pPr>
              <w:pStyle w:val="12"/>
            </w:pPr>
            <w:r>
              <w:t>义教经费支付完成率</w:t>
            </w:r>
          </w:p>
        </w:tc>
        <w:tc>
          <w:tcPr>
            <w:tcW w:w="5386" w:type="dxa"/>
            <w:vAlign w:val="center"/>
          </w:tcPr>
          <w:p w14:paraId="5D0AC5AD">
            <w:pPr>
              <w:pStyle w:val="12"/>
            </w:pPr>
            <w:r>
              <w:t>按照序时进度完成资金支付</w:t>
            </w:r>
          </w:p>
        </w:tc>
        <w:tc>
          <w:tcPr>
            <w:tcW w:w="2268" w:type="dxa"/>
            <w:vAlign w:val="center"/>
          </w:tcPr>
          <w:p w14:paraId="301EF817">
            <w:pPr>
              <w:pStyle w:val="12"/>
            </w:pPr>
            <w:r>
              <w:t>100%</w:t>
            </w:r>
          </w:p>
        </w:tc>
        <w:tc>
          <w:tcPr>
            <w:tcW w:w="1276" w:type="dxa"/>
            <w:vAlign w:val="center"/>
          </w:tcPr>
          <w:p w14:paraId="2B8F7D7B">
            <w:pPr>
              <w:pStyle w:val="12"/>
            </w:pPr>
            <w:r>
              <w:t>城乡义务教育公用经费管理办法</w:t>
            </w:r>
          </w:p>
        </w:tc>
      </w:tr>
      <w:tr w14:paraId="63C0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FC9F"/>
        </w:tc>
        <w:tc>
          <w:tcPr>
            <w:tcW w:w="2268" w:type="dxa"/>
            <w:vAlign w:val="center"/>
          </w:tcPr>
          <w:p w14:paraId="30108FC9">
            <w:pPr>
              <w:pStyle w:val="12"/>
            </w:pPr>
            <w:r>
              <w:t>成本指标</w:t>
            </w:r>
          </w:p>
        </w:tc>
        <w:tc>
          <w:tcPr>
            <w:tcW w:w="2835" w:type="dxa"/>
            <w:vAlign w:val="center"/>
          </w:tcPr>
          <w:p w14:paraId="0B455B8A">
            <w:pPr>
              <w:pStyle w:val="12"/>
            </w:pPr>
            <w:r>
              <w:t>生均拨款标准</w:t>
            </w:r>
          </w:p>
        </w:tc>
        <w:tc>
          <w:tcPr>
            <w:tcW w:w="5386" w:type="dxa"/>
            <w:vAlign w:val="center"/>
          </w:tcPr>
          <w:p w14:paraId="4C6DC9F1">
            <w:pPr>
              <w:pStyle w:val="12"/>
            </w:pPr>
            <w:r>
              <w:t>小学生公用经费生均公用经费基准定额为720元/年/生，取暖费120元/年/生，住宿生补助300元/年/生的标准，随班就读学生补助7000元/生/年</w:t>
            </w:r>
          </w:p>
        </w:tc>
        <w:tc>
          <w:tcPr>
            <w:tcW w:w="2268" w:type="dxa"/>
            <w:vAlign w:val="center"/>
          </w:tcPr>
          <w:p w14:paraId="7F5E955F">
            <w:pPr>
              <w:pStyle w:val="12"/>
            </w:pPr>
            <w:r>
              <w:t>840元</w:t>
            </w:r>
          </w:p>
        </w:tc>
        <w:tc>
          <w:tcPr>
            <w:tcW w:w="1276" w:type="dxa"/>
            <w:vAlign w:val="center"/>
          </w:tcPr>
          <w:p w14:paraId="0605FB03">
            <w:pPr>
              <w:pStyle w:val="12"/>
            </w:pPr>
            <w:r>
              <w:t>城乡义务教育公用经费管理办法</w:t>
            </w:r>
          </w:p>
        </w:tc>
      </w:tr>
      <w:tr w14:paraId="6F3B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56A7D">
            <w:pPr>
              <w:pStyle w:val="13"/>
            </w:pPr>
            <w:r>
              <w:t>效益指标</w:t>
            </w:r>
          </w:p>
        </w:tc>
        <w:tc>
          <w:tcPr>
            <w:tcW w:w="2268" w:type="dxa"/>
            <w:vAlign w:val="center"/>
          </w:tcPr>
          <w:p w14:paraId="49BDBC0D">
            <w:pPr>
              <w:pStyle w:val="12"/>
            </w:pPr>
            <w:r>
              <w:t>可持续影响指标</w:t>
            </w:r>
          </w:p>
        </w:tc>
        <w:tc>
          <w:tcPr>
            <w:tcW w:w="2835" w:type="dxa"/>
            <w:vAlign w:val="center"/>
          </w:tcPr>
          <w:p w14:paraId="28E2CAD7">
            <w:pPr>
              <w:pStyle w:val="12"/>
            </w:pPr>
            <w:r>
              <w:t>学校运转得到提高</w:t>
            </w:r>
          </w:p>
        </w:tc>
        <w:tc>
          <w:tcPr>
            <w:tcW w:w="5386" w:type="dxa"/>
            <w:vAlign w:val="center"/>
          </w:tcPr>
          <w:p w14:paraId="2A02D76A">
            <w:pPr>
              <w:pStyle w:val="12"/>
            </w:pPr>
            <w:r>
              <w:t>学生受教育年限</w:t>
            </w:r>
          </w:p>
        </w:tc>
        <w:tc>
          <w:tcPr>
            <w:tcW w:w="2268" w:type="dxa"/>
            <w:vAlign w:val="center"/>
          </w:tcPr>
          <w:p w14:paraId="19F1B7A3">
            <w:pPr>
              <w:pStyle w:val="12"/>
            </w:pPr>
            <w:r>
              <w:t>6年</w:t>
            </w:r>
          </w:p>
        </w:tc>
        <w:tc>
          <w:tcPr>
            <w:tcW w:w="1276" w:type="dxa"/>
            <w:vAlign w:val="center"/>
          </w:tcPr>
          <w:p w14:paraId="6F062CE0">
            <w:pPr>
              <w:pStyle w:val="12"/>
            </w:pPr>
            <w:r>
              <w:t>城乡义务教育公用经费管理办法</w:t>
            </w:r>
          </w:p>
        </w:tc>
      </w:tr>
      <w:tr w14:paraId="7109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F7F22">
            <w:pPr>
              <w:pStyle w:val="13"/>
            </w:pPr>
            <w:r>
              <w:t>满意度指标</w:t>
            </w:r>
          </w:p>
        </w:tc>
        <w:tc>
          <w:tcPr>
            <w:tcW w:w="2268" w:type="dxa"/>
            <w:vAlign w:val="center"/>
          </w:tcPr>
          <w:p w14:paraId="5FB640C2">
            <w:pPr>
              <w:pStyle w:val="12"/>
            </w:pPr>
            <w:r>
              <w:t>服务对象满意度指标</w:t>
            </w:r>
          </w:p>
        </w:tc>
        <w:tc>
          <w:tcPr>
            <w:tcW w:w="2835" w:type="dxa"/>
            <w:vAlign w:val="center"/>
          </w:tcPr>
          <w:p w14:paraId="2B8B029A">
            <w:pPr>
              <w:pStyle w:val="12"/>
            </w:pPr>
            <w:r>
              <w:t>服务对象满意度</w:t>
            </w:r>
          </w:p>
        </w:tc>
        <w:tc>
          <w:tcPr>
            <w:tcW w:w="5386" w:type="dxa"/>
            <w:vAlign w:val="center"/>
          </w:tcPr>
          <w:p w14:paraId="401C94C3">
            <w:pPr>
              <w:pStyle w:val="12"/>
            </w:pPr>
            <w:r>
              <w:t>学校老师和学生满意度</w:t>
            </w:r>
          </w:p>
        </w:tc>
        <w:tc>
          <w:tcPr>
            <w:tcW w:w="2268" w:type="dxa"/>
            <w:vAlign w:val="center"/>
          </w:tcPr>
          <w:p w14:paraId="52A9A4EE">
            <w:pPr>
              <w:pStyle w:val="12"/>
            </w:pPr>
            <w:r>
              <w:t>≥95%</w:t>
            </w:r>
          </w:p>
        </w:tc>
        <w:tc>
          <w:tcPr>
            <w:tcW w:w="1276" w:type="dxa"/>
            <w:vAlign w:val="center"/>
          </w:tcPr>
          <w:p w14:paraId="19EC63C1">
            <w:pPr>
              <w:pStyle w:val="12"/>
            </w:pPr>
            <w:r>
              <w:t>群众测评</w:t>
            </w:r>
          </w:p>
        </w:tc>
      </w:tr>
    </w:tbl>
    <w:p w14:paraId="52E5091E">
      <w:pPr>
        <w:sectPr>
          <w:pgSz w:w="16840" w:h="11900" w:orient="landscape"/>
          <w:pgMar w:top="1361" w:right="1020" w:bottom="1134" w:left="1020" w:header="720" w:footer="720" w:gutter="0"/>
          <w:cols w:space="720" w:num="1"/>
        </w:sectPr>
      </w:pPr>
    </w:p>
    <w:p w14:paraId="1C7E3E46">
      <w:pPr>
        <w:spacing w:before="0" w:after="0"/>
        <w:ind w:firstLine="560"/>
        <w:jc w:val="left"/>
        <w:outlineLvl w:val="9"/>
      </w:pPr>
      <w:r>
        <w:rPr>
          <w:rFonts w:ascii="方正仿宋_GBK" w:hAnsi="方正仿宋_GBK" w:eastAsia="方正仿宋_GBK" w:cs="方正仿宋_GBK"/>
          <w:b/>
          <w:color w:val="000000"/>
          <w:sz w:val="28"/>
        </w:rPr>
        <w:t>20、冀财教[2025]147号/省级/2026年义教补助经费/双碑校区西良后小学公用经费绩效目标表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02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A92EA">
            <w:pPr>
              <w:pStyle w:val="11"/>
            </w:pPr>
            <w:r>
              <w:t>单位：万元</w:t>
            </w:r>
          </w:p>
        </w:tc>
      </w:tr>
      <w:tr w14:paraId="1E38B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F395A">
            <w:pPr>
              <w:pStyle w:val="10"/>
            </w:pPr>
            <w:r>
              <w:t>项目编码</w:t>
            </w:r>
          </w:p>
        </w:tc>
        <w:tc>
          <w:tcPr>
            <w:tcW w:w="5103" w:type="dxa"/>
            <w:gridSpan w:val="2"/>
            <w:vAlign w:val="center"/>
          </w:tcPr>
          <w:p w14:paraId="35FEF1C3">
            <w:pPr>
              <w:pStyle w:val="12"/>
            </w:pPr>
            <w:r>
              <w:t>13052526P000004103667</w:t>
            </w:r>
          </w:p>
        </w:tc>
        <w:tc>
          <w:tcPr>
            <w:tcW w:w="2835" w:type="dxa"/>
            <w:vAlign w:val="center"/>
          </w:tcPr>
          <w:p w14:paraId="58FEB2ED">
            <w:pPr>
              <w:pStyle w:val="10"/>
            </w:pPr>
            <w:r>
              <w:t>项目名称</w:t>
            </w:r>
          </w:p>
        </w:tc>
        <w:tc>
          <w:tcPr>
            <w:tcW w:w="6095" w:type="dxa"/>
            <w:gridSpan w:val="3"/>
            <w:vAlign w:val="center"/>
          </w:tcPr>
          <w:p w14:paraId="7D5A20C5">
            <w:pPr>
              <w:pStyle w:val="12"/>
            </w:pPr>
            <w:r>
              <w:t>冀财教[2025]147号/省级/2026年义教补助经费/双碑校区西良后小学公用经费</w:t>
            </w:r>
          </w:p>
        </w:tc>
      </w:tr>
      <w:tr w14:paraId="73DD5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AF7C4">
            <w:pPr>
              <w:pStyle w:val="10"/>
            </w:pPr>
            <w:r>
              <w:t>预算规模及资金用途</w:t>
            </w:r>
          </w:p>
        </w:tc>
        <w:tc>
          <w:tcPr>
            <w:tcW w:w="2268" w:type="dxa"/>
            <w:vAlign w:val="center"/>
          </w:tcPr>
          <w:p w14:paraId="3414ED5D">
            <w:pPr>
              <w:pStyle w:val="10"/>
            </w:pPr>
            <w:r>
              <w:t>预算数</w:t>
            </w:r>
          </w:p>
        </w:tc>
        <w:tc>
          <w:tcPr>
            <w:tcW w:w="2835" w:type="dxa"/>
            <w:vAlign w:val="center"/>
          </w:tcPr>
          <w:p w14:paraId="5BFE14B6">
            <w:pPr>
              <w:pStyle w:val="12"/>
            </w:pPr>
            <w:r>
              <w:t>7.50</w:t>
            </w:r>
          </w:p>
        </w:tc>
        <w:tc>
          <w:tcPr>
            <w:tcW w:w="2835" w:type="dxa"/>
            <w:vAlign w:val="center"/>
          </w:tcPr>
          <w:p w14:paraId="35235FF1">
            <w:pPr>
              <w:pStyle w:val="10"/>
            </w:pPr>
            <w:r>
              <w:t>其中：财政    资金</w:t>
            </w:r>
          </w:p>
        </w:tc>
        <w:tc>
          <w:tcPr>
            <w:tcW w:w="2551" w:type="dxa"/>
            <w:vAlign w:val="center"/>
          </w:tcPr>
          <w:p w14:paraId="3101B44F">
            <w:pPr>
              <w:pStyle w:val="12"/>
            </w:pPr>
            <w:r>
              <w:t>7.50</w:t>
            </w:r>
          </w:p>
        </w:tc>
        <w:tc>
          <w:tcPr>
            <w:tcW w:w="2268" w:type="dxa"/>
            <w:vAlign w:val="center"/>
          </w:tcPr>
          <w:p w14:paraId="2F901AC7">
            <w:pPr>
              <w:pStyle w:val="10"/>
            </w:pPr>
            <w:r>
              <w:t>其他资金</w:t>
            </w:r>
          </w:p>
        </w:tc>
        <w:tc>
          <w:tcPr>
            <w:tcW w:w="1276" w:type="dxa"/>
            <w:vAlign w:val="center"/>
          </w:tcPr>
          <w:p w14:paraId="66A13715">
            <w:pPr>
              <w:pStyle w:val="12"/>
            </w:pPr>
            <w:r>
              <w:t xml:space="preserve"> </w:t>
            </w:r>
          </w:p>
        </w:tc>
      </w:tr>
      <w:tr w14:paraId="1C266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9F4D6"/>
        </w:tc>
        <w:tc>
          <w:tcPr>
            <w:tcW w:w="14033" w:type="dxa"/>
            <w:gridSpan w:val="6"/>
            <w:vAlign w:val="center"/>
          </w:tcPr>
          <w:p w14:paraId="64ED315C">
            <w:pPr>
              <w:pStyle w:val="12"/>
            </w:pPr>
            <w:r>
              <w:t>保障学校正常运转，完成各项教育教学活动和其他日常工作任务等方面的费用支出。</w:t>
            </w:r>
            <w:r>
              <w:tab/>
            </w:r>
            <w:r>
              <w:tab/>
            </w:r>
            <w:r>
              <w:tab/>
            </w:r>
            <w:r>
              <w:tab/>
            </w:r>
            <w:r>
              <w:tab/>
            </w:r>
            <w:r>
              <w:tab/>
            </w:r>
          </w:p>
          <w:p w14:paraId="72D8BB2F">
            <w:pPr>
              <w:pStyle w:val="12"/>
            </w:pPr>
          </w:p>
        </w:tc>
      </w:tr>
      <w:tr w14:paraId="47F8D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FA42D">
            <w:pPr>
              <w:pStyle w:val="10"/>
            </w:pPr>
            <w:r>
              <w:t>资金支出计划（%）</w:t>
            </w:r>
          </w:p>
        </w:tc>
        <w:tc>
          <w:tcPr>
            <w:tcW w:w="5103" w:type="dxa"/>
            <w:gridSpan w:val="2"/>
            <w:vAlign w:val="center"/>
          </w:tcPr>
          <w:p w14:paraId="2076B2FC">
            <w:pPr>
              <w:pStyle w:val="10"/>
            </w:pPr>
            <w:r>
              <w:t>3月底</w:t>
            </w:r>
          </w:p>
        </w:tc>
        <w:tc>
          <w:tcPr>
            <w:tcW w:w="2835" w:type="dxa"/>
            <w:vAlign w:val="center"/>
          </w:tcPr>
          <w:p w14:paraId="3EE8BC4F">
            <w:pPr>
              <w:pStyle w:val="10"/>
            </w:pPr>
            <w:r>
              <w:t>6月底</w:t>
            </w:r>
          </w:p>
        </w:tc>
        <w:tc>
          <w:tcPr>
            <w:tcW w:w="2551" w:type="dxa"/>
            <w:vAlign w:val="center"/>
          </w:tcPr>
          <w:p w14:paraId="69EA6900">
            <w:pPr>
              <w:pStyle w:val="10"/>
            </w:pPr>
            <w:r>
              <w:t>10月底</w:t>
            </w:r>
          </w:p>
        </w:tc>
        <w:tc>
          <w:tcPr>
            <w:tcW w:w="3544" w:type="dxa"/>
            <w:gridSpan w:val="2"/>
            <w:vAlign w:val="center"/>
          </w:tcPr>
          <w:p w14:paraId="4BAB5BB9">
            <w:pPr>
              <w:pStyle w:val="10"/>
            </w:pPr>
            <w:r>
              <w:t>12月底</w:t>
            </w:r>
          </w:p>
        </w:tc>
      </w:tr>
      <w:tr w14:paraId="537C5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1A6DA"/>
        </w:tc>
        <w:tc>
          <w:tcPr>
            <w:tcW w:w="5103" w:type="dxa"/>
            <w:gridSpan w:val="2"/>
            <w:vAlign w:val="center"/>
          </w:tcPr>
          <w:p w14:paraId="6EFC9FD7">
            <w:pPr>
              <w:pStyle w:val="13"/>
            </w:pPr>
            <w:r>
              <w:t>25%</w:t>
            </w:r>
          </w:p>
        </w:tc>
        <w:tc>
          <w:tcPr>
            <w:tcW w:w="2835" w:type="dxa"/>
            <w:vAlign w:val="center"/>
          </w:tcPr>
          <w:p w14:paraId="2E8EC041">
            <w:pPr>
              <w:pStyle w:val="13"/>
            </w:pPr>
            <w:r>
              <w:t>50%</w:t>
            </w:r>
          </w:p>
        </w:tc>
        <w:tc>
          <w:tcPr>
            <w:tcW w:w="2551" w:type="dxa"/>
            <w:vAlign w:val="center"/>
          </w:tcPr>
          <w:p w14:paraId="4553329D">
            <w:pPr>
              <w:pStyle w:val="13"/>
            </w:pPr>
            <w:r>
              <w:t>75%</w:t>
            </w:r>
          </w:p>
        </w:tc>
        <w:tc>
          <w:tcPr>
            <w:tcW w:w="3544" w:type="dxa"/>
            <w:gridSpan w:val="2"/>
            <w:vAlign w:val="center"/>
          </w:tcPr>
          <w:p w14:paraId="2B4B5900">
            <w:pPr>
              <w:pStyle w:val="13"/>
            </w:pPr>
            <w:r>
              <w:t>100%</w:t>
            </w:r>
          </w:p>
        </w:tc>
      </w:tr>
      <w:tr w14:paraId="4AC98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C10DD">
            <w:pPr>
              <w:pStyle w:val="10"/>
            </w:pPr>
            <w:r>
              <w:t>绩效目标</w:t>
            </w:r>
          </w:p>
        </w:tc>
        <w:tc>
          <w:tcPr>
            <w:tcW w:w="14033" w:type="dxa"/>
            <w:gridSpan w:val="6"/>
            <w:vAlign w:val="center"/>
          </w:tcPr>
          <w:p w14:paraId="3726DBDD">
            <w:pPr>
              <w:pStyle w:val="12"/>
            </w:pPr>
            <w:r>
              <w:t>1.按季度分批次拨付公用经费资金，资金拨付率达到100%。</w:t>
            </w:r>
          </w:p>
          <w:p w14:paraId="5E884793">
            <w:pPr>
              <w:pStyle w:val="12"/>
            </w:pPr>
            <w:r>
              <w:t>2.保障学校正常运转，完成各项教育教学活动和其他日常工作任务等方面的费用支出。</w:t>
            </w:r>
          </w:p>
        </w:tc>
      </w:tr>
    </w:tbl>
    <w:p w14:paraId="6704A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9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A86D6">
            <w:pPr>
              <w:pStyle w:val="10"/>
            </w:pPr>
            <w:r>
              <w:t>一级指标</w:t>
            </w:r>
          </w:p>
        </w:tc>
        <w:tc>
          <w:tcPr>
            <w:tcW w:w="2268" w:type="dxa"/>
            <w:vAlign w:val="center"/>
          </w:tcPr>
          <w:p w14:paraId="0A4A8F98">
            <w:pPr>
              <w:pStyle w:val="10"/>
            </w:pPr>
            <w:r>
              <w:t>二级指标</w:t>
            </w:r>
          </w:p>
        </w:tc>
        <w:tc>
          <w:tcPr>
            <w:tcW w:w="2835" w:type="dxa"/>
            <w:vAlign w:val="center"/>
          </w:tcPr>
          <w:p w14:paraId="4A3DE0FC">
            <w:pPr>
              <w:pStyle w:val="10"/>
            </w:pPr>
            <w:r>
              <w:t>三级指标</w:t>
            </w:r>
          </w:p>
        </w:tc>
        <w:tc>
          <w:tcPr>
            <w:tcW w:w="5386" w:type="dxa"/>
            <w:vAlign w:val="center"/>
          </w:tcPr>
          <w:p w14:paraId="58BEC1B3">
            <w:pPr>
              <w:pStyle w:val="10"/>
            </w:pPr>
            <w:r>
              <w:t>绩效指标描述</w:t>
            </w:r>
          </w:p>
        </w:tc>
        <w:tc>
          <w:tcPr>
            <w:tcW w:w="2268" w:type="dxa"/>
            <w:vAlign w:val="center"/>
          </w:tcPr>
          <w:p w14:paraId="5F2B50CD">
            <w:pPr>
              <w:pStyle w:val="10"/>
            </w:pPr>
            <w:r>
              <w:t>指标值</w:t>
            </w:r>
          </w:p>
        </w:tc>
        <w:tc>
          <w:tcPr>
            <w:tcW w:w="1276" w:type="dxa"/>
            <w:vAlign w:val="center"/>
          </w:tcPr>
          <w:p w14:paraId="119B313D">
            <w:pPr>
              <w:pStyle w:val="10"/>
            </w:pPr>
            <w:r>
              <w:t>指标值确定依据</w:t>
            </w:r>
          </w:p>
        </w:tc>
      </w:tr>
      <w:tr w14:paraId="1527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01BB6">
            <w:pPr>
              <w:pStyle w:val="13"/>
            </w:pPr>
            <w:r>
              <w:t>产出指标</w:t>
            </w:r>
          </w:p>
        </w:tc>
        <w:tc>
          <w:tcPr>
            <w:tcW w:w="2268" w:type="dxa"/>
            <w:vAlign w:val="center"/>
          </w:tcPr>
          <w:p w14:paraId="1378E98F">
            <w:pPr>
              <w:pStyle w:val="12"/>
            </w:pPr>
            <w:r>
              <w:t>数量指标</w:t>
            </w:r>
          </w:p>
        </w:tc>
        <w:tc>
          <w:tcPr>
            <w:tcW w:w="2835" w:type="dxa"/>
            <w:vAlign w:val="center"/>
          </w:tcPr>
          <w:p w14:paraId="352CE477">
            <w:pPr>
              <w:pStyle w:val="12"/>
            </w:pPr>
            <w:r>
              <w:t>就读学生数</w:t>
            </w:r>
          </w:p>
        </w:tc>
        <w:tc>
          <w:tcPr>
            <w:tcW w:w="5386" w:type="dxa"/>
            <w:vAlign w:val="center"/>
          </w:tcPr>
          <w:p w14:paraId="18BBDFB4">
            <w:pPr>
              <w:pStyle w:val="12"/>
            </w:pPr>
            <w:r>
              <w:t>辐射区域内适龄学生人数</w:t>
            </w:r>
          </w:p>
        </w:tc>
        <w:tc>
          <w:tcPr>
            <w:tcW w:w="2268" w:type="dxa"/>
            <w:vAlign w:val="center"/>
          </w:tcPr>
          <w:p w14:paraId="6CBE711B">
            <w:pPr>
              <w:pStyle w:val="12"/>
            </w:pPr>
            <w:r>
              <w:t>280人</w:t>
            </w:r>
          </w:p>
        </w:tc>
        <w:tc>
          <w:tcPr>
            <w:tcW w:w="1276" w:type="dxa"/>
            <w:vAlign w:val="center"/>
          </w:tcPr>
          <w:p w14:paraId="193D6FF1">
            <w:pPr>
              <w:pStyle w:val="12"/>
            </w:pPr>
            <w:r>
              <w:t>城乡义务教育公用经费管理办法</w:t>
            </w:r>
          </w:p>
        </w:tc>
      </w:tr>
      <w:tr w14:paraId="54AB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5C1DC"/>
        </w:tc>
        <w:tc>
          <w:tcPr>
            <w:tcW w:w="2268" w:type="dxa"/>
            <w:vAlign w:val="center"/>
          </w:tcPr>
          <w:p w14:paraId="1708B187">
            <w:pPr>
              <w:pStyle w:val="12"/>
            </w:pPr>
            <w:r>
              <w:t>质量指标</w:t>
            </w:r>
          </w:p>
        </w:tc>
        <w:tc>
          <w:tcPr>
            <w:tcW w:w="2835" w:type="dxa"/>
            <w:vAlign w:val="center"/>
          </w:tcPr>
          <w:p w14:paraId="2FB636E6">
            <w:pPr>
              <w:pStyle w:val="12"/>
            </w:pPr>
            <w:r>
              <w:t>预算执行率</w:t>
            </w:r>
          </w:p>
        </w:tc>
        <w:tc>
          <w:tcPr>
            <w:tcW w:w="5386" w:type="dxa"/>
            <w:vAlign w:val="center"/>
          </w:tcPr>
          <w:p w14:paraId="29588136">
            <w:pPr>
              <w:pStyle w:val="12"/>
            </w:pPr>
            <w:r>
              <w:t>预算执行率</w:t>
            </w:r>
          </w:p>
        </w:tc>
        <w:tc>
          <w:tcPr>
            <w:tcW w:w="2268" w:type="dxa"/>
            <w:vAlign w:val="center"/>
          </w:tcPr>
          <w:p w14:paraId="05382BD2">
            <w:pPr>
              <w:pStyle w:val="12"/>
            </w:pPr>
            <w:r>
              <w:t>≥95%</w:t>
            </w:r>
          </w:p>
        </w:tc>
        <w:tc>
          <w:tcPr>
            <w:tcW w:w="1276" w:type="dxa"/>
            <w:vAlign w:val="center"/>
          </w:tcPr>
          <w:p w14:paraId="672A26EB">
            <w:pPr>
              <w:pStyle w:val="12"/>
            </w:pPr>
            <w:r>
              <w:t>城乡义务教育公用经费管理办法</w:t>
            </w:r>
          </w:p>
        </w:tc>
      </w:tr>
      <w:tr w14:paraId="12E6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3A9AE"/>
        </w:tc>
        <w:tc>
          <w:tcPr>
            <w:tcW w:w="2268" w:type="dxa"/>
            <w:vAlign w:val="center"/>
          </w:tcPr>
          <w:p w14:paraId="692D57C6">
            <w:pPr>
              <w:pStyle w:val="12"/>
            </w:pPr>
            <w:r>
              <w:t>时效指标</w:t>
            </w:r>
          </w:p>
        </w:tc>
        <w:tc>
          <w:tcPr>
            <w:tcW w:w="2835" w:type="dxa"/>
            <w:vAlign w:val="center"/>
          </w:tcPr>
          <w:p w14:paraId="6B8ABB5E">
            <w:pPr>
              <w:pStyle w:val="12"/>
            </w:pPr>
            <w:r>
              <w:t>义教经费支付完成率</w:t>
            </w:r>
          </w:p>
        </w:tc>
        <w:tc>
          <w:tcPr>
            <w:tcW w:w="5386" w:type="dxa"/>
            <w:vAlign w:val="center"/>
          </w:tcPr>
          <w:p w14:paraId="247876AF">
            <w:pPr>
              <w:pStyle w:val="12"/>
            </w:pPr>
            <w:r>
              <w:t>按照序时进度完成资金支付</w:t>
            </w:r>
          </w:p>
        </w:tc>
        <w:tc>
          <w:tcPr>
            <w:tcW w:w="2268" w:type="dxa"/>
            <w:vAlign w:val="center"/>
          </w:tcPr>
          <w:p w14:paraId="1468507F">
            <w:pPr>
              <w:pStyle w:val="12"/>
            </w:pPr>
            <w:r>
              <w:t>100%</w:t>
            </w:r>
          </w:p>
        </w:tc>
        <w:tc>
          <w:tcPr>
            <w:tcW w:w="1276" w:type="dxa"/>
            <w:vAlign w:val="center"/>
          </w:tcPr>
          <w:p w14:paraId="0979011F">
            <w:pPr>
              <w:pStyle w:val="12"/>
            </w:pPr>
            <w:r>
              <w:t>城乡义务教育公用经费管理办法</w:t>
            </w:r>
          </w:p>
        </w:tc>
      </w:tr>
      <w:tr w14:paraId="7115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4A198"/>
        </w:tc>
        <w:tc>
          <w:tcPr>
            <w:tcW w:w="2268" w:type="dxa"/>
            <w:vAlign w:val="center"/>
          </w:tcPr>
          <w:p w14:paraId="40955061">
            <w:pPr>
              <w:pStyle w:val="12"/>
            </w:pPr>
            <w:r>
              <w:t>成本指标</w:t>
            </w:r>
          </w:p>
        </w:tc>
        <w:tc>
          <w:tcPr>
            <w:tcW w:w="2835" w:type="dxa"/>
            <w:vAlign w:val="center"/>
          </w:tcPr>
          <w:p w14:paraId="3DE9A3ED">
            <w:pPr>
              <w:pStyle w:val="12"/>
            </w:pPr>
            <w:r>
              <w:t>生均拨款标准</w:t>
            </w:r>
          </w:p>
        </w:tc>
        <w:tc>
          <w:tcPr>
            <w:tcW w:w="5386" w:type="dxa"/>
            <w:vAlign w:val="center"/>
          </w:tcPr>
          <w:p w14:paraId="79A08429">
            <w:pPr>
              <w:pStyle w:val="12"/>
            </w:pPr>
            <w:r>
              <w:t>小学生公用经费生均公用经费基准定额为720元/年/生，取暖费120元/年/生，住宿生补助300元/年/生的标准，随班就读学生补助7000元/生/年</w:t>
            </w:r>
          </w:p>
        </w:tc>
        <w:tc>
          <w:tcPr>
            <w:tcW w:w="2268" w:type="dxa"/>
            <w:vAlign w:val="center"/>
          </w:tcPr>
          <w:p w14:paraId="0B02AEB1">
            <w:pPr>
              <w:pStyle w:val="12"/>
            </w:pPr>
            <w:r>
              <w:t>840元</w:t>
            </w:r>
          </w:p>
        </w:tc>
        <w:tc>
          <w:tcPr>
            <w:tcW w:w="1276" w:type="dxa"/>
            <w:vAlign w:val="center"/>
          </w:tcPr>
          <w:p w14:paraId="2194AD86">
            <w:pPr>
              <w:pStyle w:val="12"/>
            </w:pPr>
            <w:r>
              <w:t>城乡义务教育公用经费管理办法</w:t>
            </w:r>
          </w:p>
        </w:tc>
      </w:tr>
      <w:tr w14:paraId="6484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40A73">
            <w:pPr>
              <w:pStyle w:val="13"/>
            </w:pPr>
            <w:r>
              <w:t>效益指标</w:t>
            </w:r>
          </w:p>
        </w:tc>
        <w:tc>
          <w:tcPr>
            <w:tcW w:w="2268" w:type="dxa"/>
            <w:vAlign w:val="center"/>
          </w:tcPr>
          <w:p w14:paraId="4ACDF6DA">
            <w:pPr>
              <w:pStyle w:val="12"/>
            </w:pPr>
            <w:r>
              <w:t>可持续影响指标</w:t>
            </w:r>
          </w:p>
        </w:tc>
        <w:tc>
          <w:tcPr>
            <w:tcW w:w="2835" w:type="dxa"/>
            <w:vAlign w:val="center"/>
          </w:tcPr>
          <w:p w14:paraId="4965B444">
            <w:pPr>
              <w:pStyle w:val="12"/>
            </w:pPr>
            <w:r>
              <w:t>学校运转得到提高</w:t>
            </w:r>
          </w:p>
        </w:tc>
        <w:tc>
          <w:tcPr>
            <w:tcW w:w="5386" w:type="dxa"/>
            <w:vAlign w:val="center"/>
          </w:tcPr>
          <w:p w14:paraId="2A22158E">
            <w:pPr>
              <w:pStyle w:val="12"/>
            </w:pPr>
            <w:r>
              <w:t>学生受教育年限</w:t>
            </w:r>
          </w:p>
        </w:tc>
        <w:tc>
          <w:tcPr>
            <w:tcW w:w="2268" w:type="dxa"/>
            <w:vAlign w:val="center"/>
          </w:tcPr>
          <w:p w14:paraId="50003C4A">
            <w:pPr>
              <w:pStyle w:val="12"/>
            </w:pPr>
            <w:r>
              <w:t>6年</w:t>
            </w:r>
          </w:p>
        </w:tc>
        <w:tc>
          <w:tcPr>
            <w:tcW w:w="1276" w:type="dxa"/>
            <w:vAlign w:val="center"/>
          </w:tcPr>
          <w:p w14:paraId="38AE13DD">
            <w:pPr>
              <w:pStyle w:val="12"/>
            </w:pPr>
            <w:r>
              <w:t>城乡义务教育公用经费管理办法</w:t>
            </w:r>
          </w:p>
        </w:tc>
      </w:tr>
      <w:tr w14:paraId="634B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3640B">
            <w:pPr>
              <w:pStyle w:val="13"/>
            </w:pPr>
            <w:r>
              <w:t>满意度指标</w:t>
            </w:r>
          </w:p>
        </w:tc>
        <w:tc>
          <w:tcPr>
            <w:tcW w:w="2268" w:type="dxa"/>
            <w:vAlign w:val="center"/>
          </w:tcPr>
          <w:p w14:paraId="25B24D6E">
            <w:pPr>
              <w:pStyle w:val="12"/>
            </w:pPr>
            <w:r>
              <w:t>服务对象满意度指标</w:t>
            </w:r>
          </w:p>
        </w:tc>
        <w:tc>
          <w:tcPr>
            <w:tcW w:w="2835" w:type="dxa"/>
            <w:vAlign w:val="center"/>
          </w:tcPr>
          <w:p w14:paraId="5892E1C6">
            <w:pPr>
              <w:pStyle w:val="12"/>
            </w:pPr>
            <w:r>
              <w:t>服务对象满意度</w:t>
            </w:r>
          </w:p>
        </w:tc>
        <w:tc>
          <w:tcPr>
            <w:tcW w:w="5386" w:type="dxa"/>
            <w:vAlign w:val="center"/>
          </w:tcPr>
          <w:p w14:paraId="3026F296">
            <w:pPr>
              <w:pStyle w:val="12"/>
            </w:pPr>
            <w:r>
              <w:t>学校老师和学生满意度</w:t>
            </w:r>
          </w:p>
        </w:tc>
        <w:tc>
          <w:tcPr>
            <w:tcW w:w="2268" w:type="dxa"/>
            <w:vAlign w:val="center"/>
          </w:tcPr>
          <w:p w14:paraId="13BE2248">
            <w:pPr>
              <w:pStyle w:val="12"/>
            </w:pPr>
            <w:r>
              <w:t>≥95%</w:t>
            </w:r>
          </w:p>
        </w:tc>
        <w:tc>
          <w:tcPr>
            <w:tcW w:w="1276" w:type="dxa"/>
            <w:vAlign w:val="center"/>
          </w:tcPr>
          <w:p w14:paraId="7845EE63">
            <w:pPr>
              <w:pStyle w:val="12"/>
            </w:pPr>
            <w:r>
              <w:t>群众测评</w:t>
            </w:r>
          </w:p>
        </w:tc>
      </w:tr>
    </w:tbl>
    <w:p w14:paraId="5F69CDE9">
      <w:pPr>
        <w:sectPr>
          <w:pgSz w:w="16840" w:h="11900" w:orient="landscape"/>
          <w:pgMar w:top="1361" w:right="1020" w:bottom="1134" w:left="1020" w:header="720" w:footer="720" w:gutter="0"/>
          <w:cols w:space="720" w:num="1"/>
        </w:sectPr>
      </w:pPr>
    </w:p>
    <w:p w14:paraId="2A126498">
      <w:pPr>
        <w:spacing w:before="0" w:after="0"/>
        <w:ind w:firstLine="560"/>
        <w:jc w:val="left"/>
        <w:outlineLvl w:val="9"/>
      </w:pPr>
      <w:r>
        <w:rPr>
          <w:rFonts w:ascii="方正仿宋_GBK" w:hAnsi="方正仿宋_GBK" w:eastAsia="方正仿宋_GBK" w:cs="方正仿宋_GBK"/>
          <w:b/>
          <w:color w:val="000000"/>
          <w:sz w:val="28"/>
        </w:rPr>
        <w:t>21、冀财教[2025]147号/省级/2026年义教补助经费/双碑校区亦城小学公用经费绩效目标表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5B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BFA13">
            <w:pPr>
              <w:pStyle w:val="11"/>
            </w:pPr>
            <w:r>
              <w:t>单位：万元</w:t>
            </w:r>
          </w:p>
        </w:tc>
      </w:tr>
      <w:tr w14:paraId="2B37A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C6ABE">
            <w:pPr>
              <w:pStyle w:val="10"/>
            </w:pPr>
            <w:r>
              <w:t>项目编码</w:t>
            </w:r>
          </w:p>
        </w:tc>
        <w:tc>
          <w:tcPr>
            <w:tcW w:w="5103" w:type="dxa"/>
            <w:gridSpan w:val="2"/>
            <w:vAlign w:val="center"/>
          </w:tcPr>
          <w:p w14:paraId="6307E073">
            <w:pPr>
              <w:pStyle w:val="12"/>
            </w:pPr>
            <w:r>
              <w:t>13052526P00000410363C</w:t>
            </w:r>
          </w:p>
        </w:tc>
        <w:tc>
          <w:tcPr>
            <w:tcW w:w="2835" w:type="dxa"/>
            <w:vAlign w:val="center"/>
          </w:tcPr>
          <w:p w14:paraId="2D6B31EA">
            <w:pPr>
              <w:pStyle w:val="10"/>
            </w:pPr>
            <w:r>
              <w:t>项目名称</w:t>
            </w:r>
          </w:p>
        </w:tc>
        <w:tc>
          <w:tcPr>
            <w:tcW w:w="6095" w:type="dxa"/>
            <w:gridSpan w:val="3"/>
            <w:vAlign w:val="center"/>
          </w:tcPr>
          <w:p w14:paraId="31E1596E">
            <w:pPr>
              <w:pStyle w:val="12"/>
            </w:pPr>
            <w:r>
              <w:t>冀财教[2025]147号/省级/2026年义教补助经费/双碑校区亦城小学公用经费</w:t>
            </w:r>
          </w:p>
        </w:tc>
      </w:tr>
      <w:tr w14:paraId="7B0E7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B99E7">
            <w:pPr>
              <w:pStyle w:val="10"/>
            </w:pPr>
            <w:r>
              <w:t>预算规模及资金用途</w:t>
            </w:r>
          </w:p>
        </w:tc>
        <w:tc>
          <w:tcPr>
            <w:tcW w:w="2268" w:type="dxa"/>
            <w:vAlign w:val="center"/>
          </w:tcPr>
          <w:p w14:paraId="22F2F257">
            <w:pPr>
              <w:pStyle w:val="10"/>
            </w:pPr>
            <w:r>
              <w:t>预算数</w:t>
            </w:r>
          </w:p>
        </w:tc>
        <w:tc>
          <w:tcPr>
            <w:tcW w:w="2835" w:type="dxa"/>
            <w:vAlign w:val="center"/>
          </w:tcPr>
          <w:p w14:paraId="1977C5F5">
            <w:pPr>
              <w:pStyle w:val="12"/>
            </w:pPr>
            <w:r>
              <w:t>5.64</w:t>
            </w:r>
          </w:p>
        </w:tc>
        <w:tc>
          <w:tcPr>
            <w:tcW w:w="2835" w:type="dxa"/>
            <w:vAlign w:val="center"/>
          </w:tcPr>
          <w:p w14:paraId="48CC1098">
            <w:pPr>
              <w:pStyle w:val="10"/>
            </w:pPr>
            <w:r>
              <w:t>其中：财政    资金</w:t>
            </w:r>
          </w:p>
        </w:tc>
        <w:tc>
          <w:tcPr>
            <w:tcW w:w="2551" w:type="dxa"/>
            <w:vAlign w:val="center"/>
          </w:tcPr>
          <w:p w14:paraId="142D9B99">
            <w:pPr>
              <w:pStyle w:val="12"/>
            </w:pPr>
            <w:r>
              <w:t>5.64</w:t>
            </w:r>
          </w:p>
        </w:tc>
        <w:tc>
          <w:tcPr>
            <w:tcW w:w="2268" w:type="dxa"/>
            <w:vAlign w:val="center"/>
          </w:tcPr>
          <w:p w14:paraId="359D56BD">
            <w:pPr>
              <w:pStyle w:val="10"/>
            </w:pPr>
            <w:r>
              <w:t>其他资金</w:t>
            </w:r>
          </w:p>
        </w:tc>
        <w:tc>
          <w:tcPr>
            <w:tcW w:w="1276" w:type="dxa"/>
            <w:vAlign w:val="center"/>
          </w:tcPr>
          <w:p w14:paraId="03364C19">
            <w:pPr>
              <w:pStyle w:val="12"/>
            </w:pPr>
            <w:r>
              <w:t xml:space="preserve"> </w:t>
            </w:r>
          </w:p>
        </w:tc>
      </w:tr>
      <w:tr w14:paraId="653B1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7AF8E"/>
        </w:tc>
        <w:tc>
          <w:tcPr>
            <w:tcW w:w="14033" w:type="dxa"/>
            <w:gridSpan w:val="6"/>
            <w:vAlign w:val="center"/>
          </w:tcPr>
          <w:p w14:paraId="24409BEB">
            <w:pPr>
              <w:pStyle w:val="12"/>
            </w:pPr>
            <w:r>
              <w:t>保障学校正常运转，完成各项教育教学活动和其他日常工作任务等方面的费用支出。</w:t>
            </w:r>
            <w:r>
              <w:tab/>
            </w:r>
            <w:r>
              <w:tab/>
            </w:r>
            <w:r>
              <w:tab/>
            </w:r>
            <w:r>
              <w:tab/>
            </w:r>
            <w:r>
              <w:tab/>
            </w:r>
            <w:r>
              <w:tab/>
            </w:r>
          </w:p>
          <w:p w14:paraId="2C335D6B">
            <w:pPr>
              <w:pStyle w:val="12"/>
            </w:pPr>
          </w:p>
        </w:tc>
      </w:tr>
      <w:tr w14:paraId="66B10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FEB82">
            <w:pPr>
              <w:pStyle w:val="10"/>
            </w:pPr>
            <w:r>
              <w:t>资金支出计划（%）</w:t>
            </w:r>
          </w:p>
        </w:tc>
        <w:tc>
          <w:tcPr>
            <w:tcW w:w="5103" w:type="dxa"/>
            <w:gridSpan w:val="2"/>
            <w:vAlign w:val="center"/>
          </w:tcPr>
          <w:p w14:paraId="0B5482D6">
            <w:pPr>
              <w:pStyle w:val="10"/>
            </w:pPr>
            <w:r>
              <w:t>3月底</w:t>
            </w:r>
          </w:p>
        </w:tc>
        <w:tc>
          <w:tcPr>
            <w:tcW w:w="2835" w:type="dxa"/>
            <w:vAlign w:val="center"/>
          </w:tcPr>
          <w:p w14:paraId="6E53D8D3">
            <w:pPr>
              <w:pStyle w:val="10"/>
            </w:pPr>
            <w:r>
              <w:t>6月底</w:t>
            </w:r>
          </w:p>
        </w:tc>
        <w:tc>
          <w:tcPr>
            <w:tcW w:w="2551" w:type="dxa"/>
            <w:vAlign w:val="center"/>
          </w:tcPr>
          <w:p w14:paraId="6F1775D1">
            <w:pPr>
              <w:pStyle w:val="10"/>
            </w:pPr>
            <w:r>
              <w:t>10月底</w:t>
            </w:r>
          </w:p>
        </w:tc>
        <w:tc>
          <w:tcPr>
            <w:tcW w:w="3544" w:type="dxa"/>
            <w:gridSpan w:val="2"/>
            <w:vAlign w:val="center"/>
          </w:tcPr>
          <w:p w14:paraId="4FDC8F96">
            <w:pPr>
              <w:pStyle w:val="10"/>
            </w:pPr>
            <w:r>
              <w:t>12月底</w:t>
            </w:r>
          </w:p>
        </w:tc>
      </w:tr>
      <w:tr w14:paraId="5F895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941C7"/>
        </w:tc>
        <w:tc>
          <w:tcPr>
            <w:tcW w:w="5103" w:type="dxa"/>
            <w:gridSpan w:val="2"/>
            <w:vAlign w:val="center"/>
          </w:tcPr>
          <w:p w14:paraId="47ACEB72">
            <w:pPr>
              <w:pStyle w:val="13"/>
            </w:pPr>
            <w:r>
              <w:t>25%</w:t>
            </w:r>
          </w:p>
        </w:tc>
        <w:tc>
          <w:tcPr>
            <w:tcW w:w="2835" w:type="dxa"/>
            <w:vAlign w:val="center"/>
          </w:tcPr>
          <w:p w14:paraId="4246D83E">
            <w:pPr>
              <w:pStyle w:val="13"/>
            </w:pPr>
            <w:r>
              <w:t>50%</w:t>
            </w:r>
          </w:p>
        </w:tc>
        <w:tc>
          <w:tcPr>
            <w:tcW w:w="2551" w:type="dxa"/>
            <w:vAlign w:val="center"/>
          </w:tcPr>
          <w:p w14:paraId="195F9E41">
            <w:pPr>
              <w:pStyle w:val="13"/>
            </w:pPr>
            <w:r>
              <w:t>75%</w:t>
            </w:r>
          </w:p>
        </w:tc>
        <w:tc>
          <w:tcPr>
            <w:tcW w:w="3544" w:type="dxa"/>
            <w:gridSpan w:val="2"/>
            <w:vAlign w:val="center"/>
          </w:tcPr>
          <w:p w14:paraId="6DE54417">
            <w:pPr>
              <w:pStyle w:val="13"/>
            </w:pPr>
            <w:r>
              <w:t>100%</w:t>
            </w:r>
          </w:p>
        </w:tc>
      </w:tr>
      <w:tr w14:paraId="0D07C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C8276">
            <w:pPr>
              <w:pStyle w:val="10"/>
            </w:pPr>
            <w:r>
              <w:t>绩效目标</w:t>
            </w:r>
          </w:p>
        </w:tc>
        <w:tc>
          <w:tcPr>
            <w:tcW w:w="14033" w:type="dxa"/>
            <w:gridSpan w:val="6"/>
            <w:vAlign w:val="center"/>
          </w:tcPr>
          <w:p w14:paraId="0462C606">
            <w:pPr>
              <w:pStyle w:val="12"/>
            </w:pPr>
            <w:r>
              <w:t>1.按季度分批次拨付公用经费资金，资金拨付率达到100%。</w:t>
            </w:r>
          </w:p>
          <w:p w14:paraId="396157A5">
            <w:pPr>
              <w:pStyle w:val="12"/>
            </w:pPr>
            <w:r>
              <w:t>2.保障学校正常运转，完成各项教育教学活动和其他日常工作任务等方面的费用支出。</w:t>
            </w:r>
          </w:p>
        </w:tc>
      </w:tr>
    </w:tbl>
    <w:p w14:paraId="21DD02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6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B333B7B">
            <w:pPr>
              <w:pStyle w:val="10"/>
            </w:pPr>
            <w:r>
              <w:t>一级指标</w:t>
            </w:r>
          </w:p>
        </w:tc>
        <w:tc>
          <w:tcPr>
            <w:tcW w:w="2268" w:type="dxa"/>
            <w:vAlign w:val="center"/>
          </w:tcPr>
          <w:p w14:paraId="71E8E693">
            <w:pPr>
              <w:pStyle w:val="10"/>
            </w:pPr>
            <w:r>
              <w:t>二级指标</w:t>
            </w:r>
          </w:p>
        </w:tc>
        <w:tc>
          <w:tcPr>
            <w:tcW w:w="2835" w:type="dxa"/>
            <w:vAlign w:val="center"/>
          </w:tcPr>
          <w:p w14:paraId="6CE8FED3">
            <w:pPr>
              <w:pStyle w:val="10"/>
            </w:pPr>
            <w:r>
              <w:t>三级指标</w:t>
            </w:r>
          </w:p>
        </w:tc>
        <w:tc>
          <w:tcPr>
            <w:tcW w:w="5386" w:type="dxa"/>
            <w:vAlign w:val="center"/>
          </w:tcPr>
          <w:p w14:paraId="5ED009D3">
            <w:pPr>
              <w:pStyle w:val="10"/>
            </w:pPr>
            <w:r>
              <w:t>绩效指标描述</w:t>
            </w:r>
          </w:p>
        </w:tc>
        <w:tc>
          <w:tcPr>
            <w:tcW w:w="2268" w:type="dxa"/>
            <w:vAlign w:val="center"/>
          </w:tcPr>
          <w:p w14:paraId="5874ADFE">
            <w:pPr>
              <w:pStyle w:val="10"/>
            </w:pPr>
            <w:r>
              <w:t>指标值</w:t>
            </w:r>
          </w:p>
        </w:tc>
        <w:tc>
          <w:tcPr>
            <w:tcW w:w="1276" w:type="dxa"/>
            <w:vAlign w:val="center"/>
          </w:tcPr>
          <w:p w14:paraId="3A205FFD">
            <w:pPr>
              <w:pStyle w:val="10"/>
            </w:pPr>
            <w:r>
              <w:t>指标值确定依据</w:t>
            </w:r>
          </w:p>
        </w:tc>
      </w:tr>
      <w:tr w14:paraId="176F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10233">
            <w:pPr>
              <w:pStyle w:val="13"/>
            </w:pPr>
            <w:r>
              <w:t>产出指标</w:t>
            </w:r>
          </w:p>
        </w:tc>
        <w:tc>
          <w:tcPr>
            <w:tcW w:w="2268" w:type="dxa"/>
            <w:vAlign w:val="center"/>
          </w:tcPr>
          <w:p w14:paraId="32A06976">
            <w:pPr>
              <w:pStyle w:val="12"/>
            </w:pPr>
            <w:r>
              <w:t>数量指标</w:t>
            </w:r>
          </w:p>
        </w:tc>
        <w:tc>
          <w:tcPr>
            <w:tcW w:w="2835" w:type="dxa"/>
            <w:vAlign w:val="center"/>
          </w:tcPr>
          <w:p w14:paraId="5596A42B">
            <w:pPr>
              <w:pStyle w:val="12"/>
            </w:pPr>
            <w:r>
              <w:t>就读学生数</w:t>
            </w:r>
          </w:p>
        </w:tc>
        <w:tc>
          <w:tcPr>
            <w:tcW w:w="5386" w:type="dxa"/>
            <w:vAlign w:val="center"/>
          </w:tcPr>
          <w:p w14:paraId="365A093F">
            <w:pPr>
              <w:pStyle w:val="12"/>
            </w:pPr>
            <w:r>
              <w:t>辐射区域内适龄学生人数</w:t>
            </w:r>
          </w:p>
        </w:tc>
        <w:tc>
          <w:tcPr>
            <w:tcW w:w="2268" w:type="dxa"/>
            <w:vAlign w:val="center"/>
          </w:tcPr>
          <w:p w14:paraId="32F73DBE">
            <w:pPr>
              <w:pStyle w:val="12"/>
            </w:pPr>
            <w:r>
              <w:t>209人</w:t>
            </w:r>
          </w:p>
        </w:tc>
        <w:tc>
          <w:tcPr>
            <w:tcW w:w="1276" w:type="dxa"/>
            <w:vAlign w:val="center"/>
          </w:tcPr>
          <w:p w14:paraId="4B0198A5">
            <w:pPr>
              <w:pStyle w:val="12"/>
            </w:pPr>
            <w:r>
              <w:t>城乡义务教育公用经费管理办法</w:t>
            </w:r>
          </w:p>
        </w:tc>
      </w:tr>
      <w:tr w14:paraId="2C17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D8A3C"/>
        </w:tc>
        <w:tc>
          <w:tcPr>
            <w:tcW w:w="2268" w:type="dxa"/>
            <w:vAlign w:val="center"/>
          </w:tcPr>
          <w:p w14:paraId="787C0CF1">
            <w:pPr>
              <w:pStyle w:val="12"/>
            </w:pPr>
            <w:r>
              <w:t>质量指标</w:t>
            </w:r>
          </w:p>
        </w:tc>
        <w:tc>
          <w:tcPr>
            <w:tcW w:w="2835" w:type="dxa"/>
            <w:vAlign w:val="center"/>
          </w:tcPr>
          <w:p w14:paraId="28606FD6">
            <w:pPr>
              <w:pStyle w:val="12"/>
            </w:pPr>
            <w:r>
              <w:t>预算执行率</w:t>
            </w:r>
          </w:p>
        </w:tc>
        <w:tc>
          <w:tcPr>
            <w:tcW w:w="5386" w:type="dxa"/>
            <w:vAlign w:val="center"/>
          </w:tcPr>
          <w:p w14:paraId="2A89BA91">
            <w:pPr>
              <w:pStyle w:val="12"/>
            </w:pPr>
            <w:r>
              <w:t>预算执行率</w:t>
            </w:r>
          </w:p>
        </w:tc>
        <w:tc>
          <w:tcPr>
            <w:tcW w:w="2268" w:type="dxa"/>
            <w:vAlign w:val="center"/>
          </w:tcPr>
          <w:p w14:paraId="20826E6C">
            <w:pPr>
              <w:pStyle w:val="12"/>
            </w:pPr>
            <w:r>
              <w:t>≥95%</w:t>
            </w:r>
          </w:p>
        </w:tc>
        <w:tc>
          <w:tcPr>
            <w:tcW w:w="1276" w:type="dxa"/>
            <w:vAlign w:val="center"/>
          </w:tcPr>
          <w:p w14:paraId="2E4688F3">
            <w:pPr>
              <w:pStyle w:val="12"/>
            </w:pPr>
            <w:r>
              <w:t>城乡义务教育公用经费管理办法</w:t>
            </w:r>
          </w:p>
        </w:tc>
      </w:tr>
      <w:tr w14:paraId="4D99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EF742"/>
        </w:tc>
        <w:tc>
          <w:tcPr>
            <w:tcW w:w="2268" w:type="dxa"/>
            <w:vAlign w:val="center"/>
          </w:tcPr>
          <w:p w14:paraId="39553E19">
            <w:pPr>
              <w:pStyle w:val="12"/>
            </w:pPr>
            <w:r>
              <w:t>时效指标</w:t>
            </w:r>
          </w:p>
        </w:tc>
        <w:tc>
          <w:tcPr>
            <w:tcW w:w="2835" w:type="dxa"/>
            <w:vAlign w:val="center"/>
          </w:tcPr>
          <w:p w14:paraId="5CD3DED4">
            <w:pPr>
              <w:pStyle w:val="12"/>
            </w:pPr>
            <w:r>
              <w:t>义教经费支付完成率</w:t>
            </w:r>
          </w:p>
        </w:tc>
        <w:tc>
          <w:tcPr>
            <w:tcW w:w="5386" w:type="dxa"/>
            <w:vAlign w:val="center"/>
          </w:tcPr>
          <w:p w14:paraId="366A59B6">
            <w:pPr>
              <w:pStyle w:val="12"/>
            </w:pPr>
            <w:r>
              <w:t>按照序时进度完成资金支付</w:t>
            </w:r>
          </w:p>
        </w:tc>
        <w:tc>
          <w:tcPr>
            <w:tcW w:w="2268" w:type="dxa"/>
            <w:vAlign w:val="center"/>
          </w:tcPr>
          <w:p w14:paraId="2780BAA5">
            <w:pPr>
              <w:pStyle w:val="12"/>
            </w:pPr>
            <w:r>
              <w:t>100%</w:t>
            </w:r>
          </w:p>
        </w:tc>
        <w:tc>
          <w:tcPr>
            <w:tcW w:w="1276" w:type="dxa"/>
            <w:vAlign w:val="center"/>
          </w:tcPr>
          <w:p w14:paraId="1E49706E">
            <w:pPr>
              <w:pStyle w:val="12"/>
            </w:pPr>
            <w:r>
              <w:t>城乡义务教育公用经费管理办法</w:t>
            </w:r>
          </w:p>
        </w:tc>
      </w:tr>
      <w:tr w14:paraId="2EC6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69F21"/>
        </w:tc>
        <w:tc>
          <w:tcPr>
            <w:tcW w:w="2268" w:type="dxa"/>
            <w:vAlign w:val="center"/>
          </w:tcPr>
          <w:p w14:paraId="2FF6C6AB">
            <w:pPr>
              <w:pStyle w:val="12"/>
            </w:pPr>
            <w:r>
              <w:t>成本指标</w:t>
            </w:r>
          </w:p>
        </w:tc>
        <w:tc>
          <w:tcPr>
            <w:tcW w:w="2835" w:type="dxa"/>
            <w:vAlign w:val="center"/>
          </w:tcPr>
          <w:p w14:paraId="6CC27BC0">
            <w:pPr>
              <w:pStyle w:val="12"/>
            </w:pPr>
            <w:r>
              <w:t>生均拨款标准</w:t>
            </w:r>
          </w:p>
        </w:tc>
        <w:tc>
          <w:tcPr>
            <w:tcW w:w="5386" w:type="dxa"/>
            <w:vAlign w:val="center"/>
          </w:tcPr>
          <w:p w14:paraId="2A14C4F8">
            <w:pPr>
              <w:pStyle w:val="12"/>
            </w:pPr>
            <w:r>
              <w:t>小学生公用经费生均公用经费基准定额为720元/年/生，取暖费120元/年/生，住宿生补助300元/年/生的标准，随班就读学生补助7000元/生/年</w:t>
            </w:r>
          </w:p>
        </w:tc>
        <w:tc>
          <w:tcPr>
            <w:tcW w:w="2268" w:type="dxa"/>
            <w:vAlign w:val="center"/>
          </w:tcPr>
          <w:p w14:paraId="378BA7AC">
            <w:pPr>
              <w:pStyle w:val="12"/>
            </w:pPr>
            <w:r>
              <w:t>840元</w:t>
            </w:r>
          </w:p>
        </w:tc>
        <w:tc>
          <w:tcPr>
            <w:tcW w:w="1276" w:type="dxa"/>
            <w:vAlign w:val="center"/>
          </w:tcPr>
          <w:p w14:paraId="16D5CCBB">
            <w:pPr>
              <w:pStyle w:val="12"/>
            </w:pPr>
            <w:r>
              <w:t>城乡义务教育公用经费管理办法</w:t>
            </w:r>
          </w:p>
        </w:tc>
      </w:tr>
      <w:tr w14:paraId="7D20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45FB7">
            <w:pPr>
              <w:pStyle w:val="13"/>
            </w:pPr>
            <w:r>
              <w:t>效益指标</w:t>
            </w:r>
          </w:p>
        </w:tc>
        <w:tc>
          <w:tcPr>
            <w:tcW w:w="2268" w:type="dxa"/>
            <w:vAlign w:val="center"/>
          </w:tcPr>
          <w:p w14:paraId="41B80505">
            <w:pPr>
              <w:pStyle w:val="12"/>
            </w:pPr>
            <w:r>
              <w:t>可持续影响指标</w:t>
            </w:r>
          </w:p>
        </w:tc>
        <w:tc>
          <w:tcPr>
            <w:tcW w:w="2835" w:type="dxa"/>
            <w:vAlign w:val="center"/>
          </w:tcPr>
          <w:p w14:paraId="5B53D20B">
            <w:pPr>
              <w:pStyle w:val="12"/>
            </w:pPr>
            <w:r>
              <w:t>学校运转得到提高</w:t>
            </w:r>
          </w:p>
        </w:tc>
        <w:tc>
          <w:tcPr>
            <w:tcW w:w="5386" w:type="dxa"/>
            <w:vAlign w:val="center"/>
          </w:tcPr>
          <w:p w14:paraId="0249BB01">
            <w:pPr>
              <w:pStyle w:val="12"/>
            </w:pPr>
            <w:r>
              <w:t>学生受教育年限</w:t>
            </w:r>
          </w:p>
        </w:tc>
        <w:tc>
          <w:tcPr>
            <w:tcW w:w="2268" w:type="dxa"/>
            <w:vAlign w:val="center"/>
          </w:tcPr>
          <w:p w14:paraId="3AFE518F">
            <w:pPr>
              <w:pStyle w:val="12"/>
            </w:pPr>
            <w:r>
              <w:t>6年</w:t>
            </w:r>
          </w:p>
        </w:tc>
        <w:tc>
          <w:tcPr>
            <w:tcW w:w="1276" w:type="dxa"/>
            <w:vAlign w:val="center"/>
          </w:tcPr>
          <w:p w14:paraId="29E64E24">
            <w:pPr>
              <w:pStyle w:val="12"/>
            </w:pPr>
            <w:r>
              <w:t>城乡义务教育公用经费管理办法</w:t>
            </w:r>
          </w:p>
        </w:tc>
      </w:tr>
      <w:tr w14:paraId="62DE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55E71">
            <w:pPr>
              <w:pStyle w:val="13"/>
            </w:pPr>
            <w:r>
              <w:t>满意度指标</w:t>
            </w:r>
          </w:p>
        </w:tc>
        <w:tc>
          <w:tcPr>
            <w:tcW w:w="2268" w:type="dxa"/>
            <w:vAlign w:val="center"/>
          </w:tcPr>
          <w:p w14:paraId="77786640">
            <w:pPr>
              <w:pStyle w:val="12"/>
            </w:pPr>
            <w:r>
              <w:t>服务对象满意度指标</w:t>
            </w:r>
          </w:p>
        </w:tc>
        <w:tc>
          <w:tcPr>
            <w:tcW w:w="2835" w:type="dxa"/>
            <w:vAlign w:val="center"/>
          </w:tcPr>
          <w:p w14:paraId="72AED7F5">
            <w:pPr>
              <w:pStyle w:val="12"/>
            </w:pPr>
            <w:r>
              <w:t>服务对象满意度</w:t>
            </w:r>
          </w:p>
        </w:tc>
        <w:tc>
          <w:tcPr>
            <w:tcW w:w="5386" w:type="dxa"/>
            <w:vAlign w:val="center"/>
          </w:tcPr>
          <w:p w14:paraId="7A15B236">
            <w:pPr>
              <w:pStyle w:val="12"/>
            </w:pPr>
            <w:r>
              <w:t>学校老师和学生满意度</w:t>
            </w:r>
          </w:p>
        </w:tc>
        <w:tc>
          <w:tcPr>
            <w:tcW w:w="2268" w:type="dxa"/>
            <w:vAlign w:val="center"/>
          </w:tcPr>
          <w:p w14:paraId="22B812D7">
            <w:pPr>
              <w:pStyle w:val="12"/>
            </w:pPr>
            <w:r>
              <w:t>≥95%</w:t>
            </w:r>
          </w:p>
        </w:tc>
        <w:tc>
          <w:tcPr>
            <w:tcW w:w="1276" w:type="dxa"/>
            <w:vAlign w:val="center"/>
          </w:tcPr>
          <w:p w14:paraId="38EEB387">
            <w:pPr>
              <w:pStyle w:val="12"/>
            </w:pPr>
            <w:r>
              <w:t>群众测评</w:t>
            </w:r>
          </w:p>
        </w:tc>
      </w:tr>
    </w:tbl>
    <w:p w14:paraId="20970447">
      <w:pPr>
        <w:sectPr>
          <w:pgSz w:w="16840" w:h="11900" w:orient="landscape"/>
          <w:pgMar w:top="1361" w:right="1020" w:bottom="1134" w:left="1020" w:header="720" w:footer="720" w:gutter="0"/>
          <w:cols w:space="720" w:num="1"/>
        </w:sectPr>
      </w:pPr>
    </w:p>
    <w:p w14:paraId="43E5F67D">
      <w:pPr>
        <w:spacing w:before="0" w:after="0"/>
        <w:ind w:firstLine="560"/>
        <w:jc w:val="left"/>
        <w:outlineLvl w:val="9"/>
      </w:pPr>
      <w:r>
        <w:rPr>
          <w:rFonts w:ascii="方正仿宋_GBK" w:hAnsi="方正仿宋_GBK" w:eastAsia="方正仿宋_GBK" w:cs="方正仿宋_GBK"/>
          <w:b/>
          <w:color w:val="000000"/>
          <w:sz w:val="28"/>
        </w:rPr>
        <w:t>22、冀财教[2025]147号/省级/义教/2026年校舍安全/亦城小学校舍维修改造绩效目标表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9E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D1F89">
            <w:pPr>
              <w:pStyle w:val="11"/>
            </w:pPr>
            <w:r>
              <w:t>单位：万元</w:t>
            </w:r>
          </w:p>
        </w:tc>
      </w:tr>
      <w:tr w14:paraId="48832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99530">
            <w:pPr>
              <w:pStyle w:val="10"/>
            </w:pPr>
            <w:r>
              <w:t>项目编码</w:t>
            </w:r>
          </w:p>
        </w:tc>
        <w:tc>
          <w:tcPr>
            <w:tcW w:w="5103" w:type="dxa"/>
            <w:gridSpan w:val="2"/>
            <w:vAlign w:val="center"/>
          </w:tcPr>
          <w:p w14:paraId="6D4A980E">
            <w:pPr>
              <w:pStyle w:val="12"/>
            </w:pPr>
            <w:r>
              <w:t>13052526P008762101041</w:t>
            </w:r>
          </w:p>
        </w:tc>
        <w:tc>
          <w:tcPr>
            <w:tcW w:w="2835" w:type="dxa"/>
            <w:vAlign w:val="center"/>
          </w:tcPr>
          <w:p w14:paraId="1DAA8BBE">
            <w:pPr>
              <w:pStyle w:val="10"/>
            </w:pPr>
            <w:r>
              <w:t>项目名称</w:t>
            </w:r>
          </w:p>
        </w:tc>
        <w:tc>
          <w:tcPr>
            <w:tcW w:w="6095" w:type="dxa"/>
            <w:gridSpan w:val="3"/>
            <w:vAlign w:val="center"/>
          </w:tcPr>
          <w:p w14:paraId="38FDF48B">
            <w:pPr>
              <w:pStyle w:val="12"/>
            </w:pPr>
            <w:r>
              <w:t>冀财教[2025]147号/省级/义教/2026年校舍安全/亦城小学校舍维修改造</w:t>
            </w:r>
          </w:p>
        </w:tc>
      </w:tr>
      <w:tr w14:paraId="74591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44C23">
            <w:pPr>
              <w:pStyle w:val="10"/>
            </w:pPr>
            <w:r>
              <w:t>预算规模及资金用途</w:t>
            </w:r>
          </w:p>
        </w:tc>
        <w:tc>
          <w:tcPr>
            <w:tcW w:w="2268" w:type="dxa"/>
            <w:vAlign w:val="center"/>
          </w:tcPr>
          <w:p w14:paraId="4C139AB3">
            <w:pPr>
              <w:pStyle w:val="10"/>
            </w:pPr>
            <w:r>
              <w:t>预算数</w:t>
            </w:r>
          </w:p>
        </w:tc>
        <w:tc>
          <w:tcPr>
            <w:tcW w:w="2835" w:type="dxa"/>
            <w:vAlign w:val="center"/>
          </w:tcPr>
          <w:p w14:paraId="312A1440">
            <w:pPr>
              <w:pStyle w:val="12"/>
            </w:pPr>
            <w:r>
              <w:t>22.00</w:t>
            </w:r>
          </w:p>
        </w:tc>
        <w:tc>
          <w:tcPr>
            <w:tcW w:w="2835" w:type="dxa"/>
            <w:vAlign w:val="center"/>
          </w:tcPr>
          <w:p w14:paraId="1D2BDBAA">
            <w:pPr>
              <w:pStyle w:val="10"/>
            </w:pPr>
            <w:r>
              <w:t>其中：财政    资金</w:t>
            </w:r>
          </w:p>
        </w:tc>
        <w:tc>
          <w:tcPr>
            <w:tcW w:w="2551" w:type="dxa"/>
            <w:vAlign w:val="center"/>
          </w:tcPr>
          <w:p w14:paraId="5AE3C8FA">
            <w:pPr>
              <w:pStyle w:val="12"/>
            </w:pPr>
            <w:r>
              <w:t>22.00</w:t>
            </w:r>
          </w:p>
        </w:tc>
        <w:tc>
          <w:tcPr>
            <w:tcW w:w="2268" w:type="dxa"/>
            <w:vAlign w:val="center"/>
          </w:tcPr>
          <w:p w14:paraId="3E7536B8">
            <w:pPr>
              <w:pStyle w:val="10"/>
            </w:pPr>
            <w:r>
              <w:t>其他资金</w:t>
            </w:r>
          </w:p>
        </w:tc>
        <w:tc>
          <w:tcPr>
            <w:tcW w:w="1276" w:type="dxa"/>
            <w:vAlign w:val="center"/>
          </w:tcPr>
          <w:p w14:paraId="6C26833C">
            <w:pPr>
              <w:pStyle w:val="12"/>
            </w:pPr>
            <w:r>
              <w:t xml:space="preserve"> </w:t>
            </w:r>
          </w:p>
        </w:tc>
      </w:tr>
      <w:tr w14:paraId="57230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E5E5F"/>
        </w:tc>
        <w:tc>
          <w:tcPr>
            <w:tcW w:w="14033" w:type="dxa"/>
            <w:gridSpan w:val="6"/>
            <w:vAlign w:val="center"/>
          </w:tcPr>
          <w:p w14:paraId="3454C823">
            <w:pPr>
              <w:pStyle w:val="12"/>
            </w:pPr>
            <w:r>
              <w:t>完成亦城小学校舍维修改造，满足学校正常教学需要。</w:t>
            </w:r>
            <w:r>
              <w:tab/>
            </w:r>
            <w:r>
              <w:tab/>
            </w:r>
            <w:r>
              <w:tab/>
            </w:r>
            <w:r>
              <w:tab/>
            </w:r>
            <w:r>
              <w:tab/>
            </w:r>
            <w:r>
              <w:tab/>
            </w:r>
          </w:p>
          <w:p w14:paraId="00E16C3E">
            <w:pPr>
              <w:pStyle w:val="12"/>
            </w:pPr>
          </w:p>
        </w:tc>
      </w:tr>
      <w:tr w14:paraId="051D0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169C3">
            <w:pPr>
              <w:pStyle w:val="10"/>
            </w:pPr>
            <w:r>
              <w:t>资金支出计划（%）</w:t>
            </w:r>
          </w:p>
        </w:tc>
        <w:tc>
          <w:tcPr>
            <w:tcW w:w="5103" w:type="dxa"/>
            <w:gridSpan w:val="2"/>
            <w:vAlign w:val="center"/>
          </w:tcPr>
          <w:p w14:paraId="0A049F94">
            <w:pPr>
              <w:pStyle w:val="10"/>
            </w:pPr>
            <w:r>
              <w:t>3月底</w:t>
            </w:r>
          </w:p>
        </w:tc>
        <w:tc>
          <w:tcPr>
            <w:tcW w:w="2835" w:type="dxa"/>
            <w:vAlign w:val="center"/>
          </w:tcPr>
          <w:p w14:paraId="2DBEFD40">
            <w:pPr>
              <w:pStyle w:val="10"/>
            </w:pPr>
            <w:r>
              <w:t>6月底</w:t>
            </w:r>
          </w:p>
        </w:tc>
        <w:tc>
          <w:tcPr>
            <w:tcW w:w="2551" w:type="dxa"/>
            <w:vAlign w:val="center"/>
          </w:tcPr>
          <w:p w14:paraId="676B4403">
            <w:pPr>
              <w:pStyle w:val="10"/>
            </w:pPr>
            <w:r>
              <w:t>10月底</w:t>
            </w:r>
          </w:p>
        </w:tc>
        <w:tc>
          <w:tcPr>
            <w:tcW w:w="3544" w:type="dxa"/>
            <w:gridSpan w:val="2"/>
            <w:vAlign w:val="center"/>
          </w:tcPr>
          <w:p w14:paraId="2FF61979">
            <w:pPr>
              <w:pStyle w:val="10"/>
            </w:pPr>
            <w:r>
              <w:t>12月底</w:t>
            </w:r>
          </w:p>
        </w:tc>
      </w:tr>
      <w:tr w14:paraId="3FF1A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01470"/>
        </w:tc>
        <w:tc>
          <w:tcPr>
            <w:tcW w:w="5103" w:type="dxa"/>
            <w:gridSpan w:val="2"/>
            <w:vAlign w:val="center"/>
          </w:tcPr>
          <w:p w14:paraId="41623066">
            <w:pPr>
              <w:pStyle w:val="13"/>
            </w:pPr>
            <w:r>
              <w:t xml:space="preserve"> </w:t>
            </w:r>
          </w:p>
        </w:tc>
        <w:tc>
          <w:tcPr>
            <w:tcW w:w="2835" w:type="dxa"/>
            <w:vAlign w:val="center"/>
          </w:tcPr>
          <w:p w14:paraId="3376B393">
            <w:pPr>
              <w:pStyle w:val="13"/>
            </w:pPr>
            <w:r>
              <w:t xml:space="preserve"> </w:t>
            </w:r>
          </w:p>
        </w:tc>
        <w:tc>
          <w:tcPr>
            <w:tcW w:w="2551" w:type="dxa"/>
            <w:vAlign w:val="center"/>
          </w:tcPr>
          <w:p w14:paraId="565ACE09">
            <w:pPr>
              <w:pStyle w:val="13"/>
            </w:pPr>
            <w:r>
              <w:t>100%</w:t>
            </w:r>
          </w:p>
        </w:tc>
        <w:tc>
          <w:tcPr>
            <w:tcW w:w="3544" w:type="dxa"/>
            <w:gridSpan w:val="2"/>
            <w:vAlign w:val="center"/>
          </w:tcPr>
          <w:p w14:paraId="701309FB">
            <w:pPr>
              <w:pStyle w:val="13"/>
            </w:pPr>
            <w:r>
              <w:t>100%</w:t>
            </w:r>
          </w:p>
        </w:tc>
      </w:tr>
      <w:tr w14:paraId="7D7B7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4B0B1">
            <w:pPr>
              <w:pStyle w:val="10"/>
            </w:pPr>
            <w:r>
              <w:t>绩效目标</w:t>
            </w:r>
          </w:p>
        </w:tc>
        <w:tc>
          <w:tcPr>
            <w:tcW w:w="14033" w:type="dxa"/>
            <w:gridSpan w:val="6"/>
            <w:vAlign w:val="center"/>
          </w:tcPr>
          <w:p w14:paraId="17C39BA0">
            <w:pPr>
              <w:pStyle w:val="12"/>
            </w:pPr>
            <w:r>
              <w:t>1.按规定拨付专项资金，资金支付率达到100%。</w:t>
            </w:r>
          </w:p>
          <w:p w14:paraId="507366D8">
            <w:pPr>
              <w:pStyle w:val="12"/>
            </w:pPr>
            <w:r>
              <w:t>2.完成亦城小学校舍维修改造，满足学校正常教学需要。</w:t>
            </w:r>
          </w:p>
        </w:tc>
      </w:tr>
    </w:tbl>
    <w:p w14:paraId="7D718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4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8A978">
            <w:pPr>
              <w:pStyle w:val="10"/>
            </w:pPr>
            <w:r>
              <w:t>一级指标</w:t>
            </w:r>
          </w:p>
        </w:tc>
        <w:tc>
          <w:tcPr>
            <w:tcW w:w="2268" w:type="dxa"/>
            <w:vAlign w:val="center"/>
          </w:tcPr>
          <w:p w14:paraId="3F787B31">
            <w:pPr>
              <w:pStyle w:val="10"/>
            </w:pPr>
            <w:r>
              <w:t>二级指标</w:t>
            </w:r>
          </w:p>
        </w:tc>
        <w:tc>
          <w:tcPr>
            <w:tcW w:w="2835" w:type="dxa"/>
            <w:vAlign w:val="center"/>
          </w:tcPr>
          <w:p w14:paraId="78B23342">
            <w:pPr>
              <w:pStyle w:val="10"/>
            </w:pPr>
            <w:r>
              <w:t>三级指标</w:t>
            </w:r>
          </w:p>
        </w:tc>
        <w:tc>
          <w:tcPr>
            <w:tcW w:w="5386" w:type="dxa"/>
            <w:vAlign w:val="center"/>
          </w:tcPr>
          <w:p w14:paraId="4B10F607">
            <w:pPr>
              <w:pStyle w:val="10"/>
            </w:pPr>
            <w:r>
              <w:t>绩效指标描述</w:t>
            </w:r>
          </w:p>
        </w:tc>
        <w:tc>
          <w:tcPr>
            <w:tcW w:w="2268" w:type="dxa"/>
            <w:vAlign w:val="center"/>
          </w:tcPr>
          <w:p w14:paraId="72D74C31">
            <w:pPr>
              <w:pStyle w:val="10"/>
            </w:pPr>
            <w:r>
              <w:t>指标值</w:t>
            </w:r>
          </w:p>
        </w:tc>
        <w:tc>
          <w:tcPr>
            <w:tcW w:w="1276" w:type="dxa"/>
            <w:vAlign w:val="center"/>
          </w:tcPr>
          <w:p w14:paraId="071C3A1F">
            <w:pPr>
              <w:pStyle w:val="10"/>
            </w:pPr>
            <w:r>
              <w:t>指标值确定依据</w:t>
            </w:r>
          </w:p>
        </w:tc>
      </w:tr>
      <w:tr w14:paraId="6DB9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552AD">
            <w:pPr>
              <w:pStyle w:val="13"/>
            </w:pPr>
            <w:r>
              <w:t>产出指标</w:t>
            </w:r>
          </w:p>
        </w:tc>
        <w:tc>
          <w:tcPr>
            <w:tcW w:w="2268" w:type="dxa"/>
            <w:vAlign w:val="center"/>
          </w:tcPr>
          <w:p w14:paraId="5B8D531C">
            <w:pPr>
              <w:pStyle w:val="12"/>
            </w:pPr>
            <w:r>
              <w:t>数量指标</w:t>
            </w:r>
          </w:p>
        </w:tc>
        <w:tc>
          <w:tcPr>
            <w:tcW w:w="2835" w:type="dxa"/>
            <w:vAlign w:val="center"/>
          </w:tcPr>
          <w:p w14:paraId="01F86A60">
            <w:pPr>
              <w:pStyle w:val="12"/>
            </w:pPr>
            <w:r>
              <w:t>亦城小学墙面刷漆、学校地面硬化等维修改造</w:t>
            </w:r>
          </w:p>
        </w:tc>
        <w:tc>
          <w:tcPr>
            <w:tcW w:w="5386" w:type="dxa"/>
            <w:vAlign w:val="center"/>
          </w:tcPr>
          <w:p w14:paraId="0E2899D6">
            <w:pPr>
              <w:pStyle w:val="12"/>
            </w:pPr>
            <w:r>
              <w:t>道路硬化、场地平整和墙面刷漆等</w:t>
            </w:r>
          </w:p>
        </w:tc>
        <w:tc>
          <w:tcPr>
            <w:tcW w:w="2268" w:type="dxa"/>
            <w:vAlign w:val="center"/>
          </w:tcPr>
          <w:p w14:paraId="214FDCC2">
            <w:pPr>
              <w:pStyle w:val="12"/>
            </w:pPr>
            <w:r>
              <w:t>1项</w:t>
            </w:r>
          </w:p>
        </w:tc>
        <w:tc>
          <w:tcPr>
            <w:tcW w:w="1276" w:type="dxa"/>
            <w:vAlign w:val="center"/>
          </w:tcPr>
          <w:p w14:paraId="09D35A70">
            <w:pPr>
              <w:pStyle w:val="12"/>
            </w:pPr>
            <w:r>
              <w:t>项目规划</w:t>
            </w:r>
          </w:p>
        </w:tc>
      </w:tr>
      <w:tr w14:paraId="3FE4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31AFF"/>
        </w:tc>
        <w:tc>
          <w:tcPr>
            <w:tcW w:w="2268" w:type="dxa"/>
            <w:vAlign w:val="center"/>
          </w:tcPr>
          <w:p w14:paraId="1A9020D8">
            <w:pPr>
              <w:pStyle w:val="12"/>
            </w:pPr>
            <w:r>
              <w:t>质量指标</w:t>
            </w:r>
          </w:p>
        </w:tc>
        <w:tc>
          <w:tcPr>
            <w:tcW w:w="2835" w:type="dxa"/>
            <w:vAlign w:val="center"/>
          </w:tcPr>
          <w:p w14:paraId="53217E95">
            <w:pPr>
              <w:pStyle w:val="12"/>
            </w:pPr>
            <w:r>
              <w:t>工程实施验收合格率</w:t>
            </w:r>
          </w:p>
        </w:tc>
        <w:tc>
          <w:tcPr>
            <w:tcW w:w="5386" w:type="dxa"/>
            <w:vAlign w:val="center"/>
          </w:tcPr>
          <w:p w14:paraId="5A391F98">
            <w:pPr>
              <w:pStyle w:val="12"/>
            </w:pPr>
            <w:r>
              <w:t>申报程序的合规，项目实施及资金使用符合项目规划</w:t>
            </w:r>
          </w:p>
        </w:tc>
        <w:tc>
          <w:tcPr>
            <w:tcW w:w="2268" w:type="dxa"/>
            <w:vAlign w:val="center"/>
          </w:tcPr>
          <w:p w14:paraId="2EC252F5">
            <w:pPr>
              <w:pStyle w:val="12"/>
            </w:pPr>
            <w:r>
              <w:t>100%</w:t>
            </w:r>
          </w:p>
        </w:tc>
        <w:tc>
          <w:tcPr>
            <w:tcW w:w="1276" w:type="dxa"/>
            <w:vAlign w:val="center"/>
          </w:tcPr>
          <w:p w14:paraId="25ABAF4C">
            <w:pPr>
              <w:pStyle w:val="12"/>
            </w:pPr>
            <w:r>
              <w:t>项目规划</w:t>
            </w:r>
          </w:p>
        </w:tc>
      </w:tr>
      <w:tr w14:paraId="5EB5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E694B"/>
        </w:tc>
        <w:tc>
          <w:tcPr>
            <w:tcW w:w="2268" w:type="dxa"/>
            <w:vAlign w:val="center"/>
          </w:tcPr>
          <w:p w14:paraId="7AEBF80F">
            <w:pPr>
              <w:pStyle w:val="12"/>
            </w:pPr>
            <w:r>
              <w:t>时效指标</w:t>
            </w:r>
          </w:p>
        </w:tc>
        <w:tc>
          <w:tcPr>
            <w:tcW w:w="2835" w:type="dxa"/>
            <w:vAlign w:val="center"/>
          </w:tcPr>
          <w:p w14:paraId="12C3368D">
            <w:pPr>
              <w:pStyle w:val="12"/>
            </w:pPr>
            <w:r>
              <w:t>资金支付率</w:t>
            </w:r>
          </w:p>
        </w:tc>
        <w:tc>
          <w:tcPr>
            <w:tcW w:w="5386" w:type="dxa"/>
            <w:vAlign w:val="center"/>
          </w:tcPr>
          <w:p w14:paraId="7707842E">
            <w:pPr>
              <w:pStyle w:val="12"/>
            </w:pPr>
            <w:r>
              <w:t>按照序时进度完成资金支付</w:t>
            </w:r>
          </w:p>
        </w:tc>
        <w:tc>
          <w:tcPr>
            <w:tcW w:w="2268" w:type="dxa"/>
            <w:vAlign w:val="center"/>
          </w:tcPr>
          <w:p w14:paraId="6EBD071B">
            <w:pPr>
              <w:pStyle w:val="12"/>
            </w:pPr>
            <w:r>
              <w:t>100%</w:t>
            </w:r>
          </w:p>
        </w:tc>
        <w:tc>
          <w:tcPr>
            <w:tcW w:w="1276" w:type="dxa"/>
            <w:vAlign w:val="center"/>
          </w:tcPr>
          <w:p w14:paraId="52B890C1">
            <w:pPr>
              <w:pStyle w:val="12"/>
            </w:pPr>
            <w:r>
              <w:t>项目规划</w:t>
            </w:r>
          </w:p>
        </w:tc>
      </w:tr>
      <w:tr w14:paraId="4047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43073"/>
        </w:tc>
        <w:tc>
          <w:tcPr>
            <w:tcW w:w="2268" w:type="dxa"/>
            <w:vAlign w:val="center"/>
          </w:tcPr>
          <w:p w14:paraId="16587921">
            <w:pPr>
              <w:pStyle w:val="12"/>
            </w:pPr>
            <w:r>
              <w:t>成本指标</w:t>
            </w:r>
          </w:p>
        </w:tc>
        <w:tc>
          <w:tcPr>
            <w:tcW w:w="2835" w:type="dxa"/>
            <w:vAlign w:val="center"/>
          </w:tcPr>
          <w:p w14:paraId="4654E7FA">
            <w:pPr>
              <w:pStyle w:val="12"/>
            </w:pPr>
            <w:r>
              <w:t>项目成本控制情况</w:t>
            </w:r>
          </w:p>
        </w:tc>
        <w:tc>
          <w:tcPr>
            <w:tcW w:w="5386" w:type="dxa"/>
            <w:vAlign w:val="center"/>
          </w:tcPr>
          <w:p w14:paraId="45DE2848">
            <w:pPr>
              <w:pStyle w:val="12"/>
            </w:pPr>
            <w:r>
              <w:t>严格按照招标价格及审计额进行</w:t>
            </w:r>
          </w:p>
        </w:tc>
        <w:tc>
          <w:tcPr>
            <w:tcW w:w="2268" w:type="dxa"/>
            <w:vAlign w:val="center"/>
          </w:tcPr>
          <w:p w14:paraId="74F4DC02">
            <w:pPr>
              <w:pStyle w:val="12"/>
            </w:pPr>
            <w:r>
              <w:t>22万元</w:t>
            </w:r>
          </w:p>
        </w:tc>
        <w:tc>
          <w:tcPr>
            <w:tcW w:w="1276" w:type="dxa"/>
            <w:vAlign w:val="center"/>
          </w:tcPr>
          <w:p w14:paraId="371D9418">
            <w:pPr>
              <w:pStyle w:val="12"/>
            </w:pPr>
            <w:r>
              <w:t>项目规划</w:t>
            </w:r>
          </w:p>
        </w:tc>
      </w:tr>
      <w:tr w14:paraId="3C72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69C05">
            <w:pPr>
              <w:pStyle w:val="13"/>
            </w:pPr>
            <w:r>
              <w:t>效益指标</w:t>
            </w:r>
          </w:p>
        </w:tc>
        <w:tc>
          <w:tcPr>
            <w:tcW w:w="2268" w:type="dxa"/>
            <w:vAlign w:val="center"/>
          </w:tcPr>
          <w:p w14:paraId="600C5C05">
            <w:pPr>
              <w:pStyle w:val="12"/>
            </w:pPr>
            <w:r>
              <w:t>经济效益指标</w:t>
            </w:r>
          </w:p>
        </w:tc>
        <w:tc>
          <w:tcPr>
            <w:tcW w:w="2835" w:type="dxa"/>
            <w:vAlign w:val="center"/>
          </w:tcPr>
          <w:p w14:paraId="4D3D05D0">
            <w:pPr>
              <w:pStyle w:val="12"/>
            </w:pPr>
            <w:r>
              <w:t>学校办学环境提升</w:t>
            </w:r>
          </w:p>
        </w:tc>
        <w:tc>
          <w:tcPr>
            <w:tcW w:w="5386" w:type="dxa"/>
            <w:vAlign w:val="center"/>
          </w:tcPr>
          <w:p w14:paraId="795005EE">
            <w:pPr>
              <w:pStyle w:val="12"/>
            </w:pPr>
            <w:r>
              <w:t>学校教学环境提升优化率</w:t>
            </w:r>
          </w:p>
        </w:tc>
        <w:tc>
          <w:tcPr>
            <w:tcW w:w="2268" w:type="dxa"/>
            <w:vAlign w:val="center"/>
          </w:tcPr>
          <w:p w14:paraId="5A3EC659">
            <w:pPr>
              <w:pStyle w:val="12"/>
            </w:pPr>
            <w:r>
              <w:t>≥98%</w:t>
            </w:r>
          </w:p>
        </w:tc>
        <w:tc>
          <w:tcPr>
            <w:tcW w:w="1276" w:type="dxa"/>
            <w:vAlign w:val="center"/>
          </w:tcPr>
          <w:p w14:paraId="5BECB388">
            <w:pPr>
              <w:pStyle w:val="12"/>
            </w:pPr>
            <w:r>
              <w:t>项目规划</w:t>
            </w:r>
          </w:p>
        </w:tc>
      </w:tr>
      <w:tr w14:paraId="6788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31BF7"/>
        </w:tc>
        <w:tc>
          <w:tcPr>
            <w:tcW w:w="2268" w:type="dxa"/>
            <w:vAlign w:val="center"/>
          </w:tcPr>
          <w:p w14:paraId="26BEE978">
            <w:pPr>
              <w:pStyle w:val="12"/>
            </w:pPr>
            <w:r>
              <w:t>社会效益指标</w:t>
            </w:r>
          </w:p>
        </w:tc>
        <w:tc>
          <w:tcPr>
            <w:tcW w:w="2835" w:type="dxa"/>
            <w:vAlign w:val="center"/>
          </w:tcPr>
          <w:p w14:paraId="7CA37A1F">
            <w:pPr>
              <w:pStyle w:val="12"/>
            </w:pPr>
            <w:r>
              <w:t>校园环境</w:t>
            </w:r>
          </w:p>
        </w:tc>
        <w:tc>
          <w:tcPr>
            <w:tcW w:w="5386" w:type="dxa"/>
            <w:vAlign w:val="center"/>
          </w:tcPr>
          <w:p w14:paraId="550460F3">
            <w:pPr>
              <w:pStyle w:val="12"/>
            </w:pPr>
            <w:r>
              <w:t>办学条件和环境得到改善</w:t>
            </w:r>
          </w:p>
        </w:tc>
        <w:tc>
          <w:tcPr>
            <w:tcW w:w="2268" w:type="dxa"/>
            <w:vAlign w:val="center"/>
          </w:tcPr>
          <w:p w14:paraId="4EA3B13B">
            <w:pPr>
              <w:pStyle w:val="12"/>
            </w:pPr>
            <w:r>
              <w:t>≥95%</w:t>
            </w:r>
          </w:p>
        </w:tc>
        <w:tc>
          <w:tcPr>
            <w:tcW w:w="1276" w:type="dxa"/>
            <w:vAlign w:val="center"/>
          </w:tcPr>
          <w:p w14:paraId="7AE04A2A">
            <w:pPr>
              <w:pStyle w:val="12"/>
            </w:pPr>
            <w:r>
              <w:t>项目规划</w:t>
            </w:r>
          </w:p>
        </w:tc>
      </w:tr>
      <w:tr w14:paraId="3754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13884">
            <w:pPr>
              <w:pStyle w:val="13"/>
            </w:pPr>
            <w:r>
              <w:t>满意度指标</w:t>
            </w:r>
          </w:p>
        </w:tc>
        <w:tc>
          <w:tcPr>
            <w:tcW w:w="2268" w:type="dxa"/>
            <w:vAlign w:val="center"/>
          </w:tcPr>
          <w:p w14:paraId="5855D0FD">
            <w:pPr>
              <w:pStyle w:val="12"/>
            </w:pPr>
            <w:r>
              <w:t>服务对象满意度指标</w:t>
            </w:r>
          </w:p>
        </w:tc>
        <w:tc>
          <w:tcPr>
            <w:tcW w:w="2835" w:type="dxa"/>
            <w:vAlign w:val="center"/>
          </w:tcPr>
          <w:p w14:paraId="60CB49F5">
            <w:pPr>
              <w:pStyle w:val="12"/>
            </w:pPr>
            <w:r>
              <w:t>受益学生家长及调查满意度</w:t>
            </w:r>
          </w:p>
        </w:tc>
        <w:tc>
          <w:tcPr>
            <w:tcW w:w="5386" w:type="dxa"/>
            <w:vAlign w:val="center"/>
          </w:tcPr>
          <w:p w14:paraId="681AE331">
            <w:pPr>
              <w:pStyle w:val="12"/>
            </w:pPr>
            <w:r>
              <w:t>学生、教师及家长对学校教学环境满意度情况</w:t>
            </w:r>
          </w:p>
        </w:tc>
        <w:tc>
          <w:tcPr>
            <w:tcW w:w="2268" w:type="dxa"/>
            <w:vAlign w:val="center"/>
          </w:tcPr>
          <w:p w14:paraId="696E3AB7">
            <w:pPr>
              <w:pStyle w:val="12"/>
            </w:pPr>
            <w:r>
              <w:t>≥95%</w:t>
            </w:r>
          </w:p>
        </w:tc>
        <w:tc>
          <w:tcPr>
            <w:tcW w:w="1276" w:type="dxa"/>
            <w:vAlign w:val="center"/>
          </w:tcPr>
          <w:p w14:paraId="683AC339">
            <w:pPr>
              <w:pStyle w:val="12"/>
            </w:pPr>
            <w:r>
              <w:t>调查问卷</w:t>
            </w:r>
          </w:p>
        </w:tc>
      </w:tr>
    </w:tbl>
    <w:p w14:paraId="142AC3D9">
      <w:pPr>
        <w:sectPr>
          <w:pgSz w:w="16840" w:h="11900" w:orient="landscape"/>
          <w:pgMar w:top="1361" w:right="1020" w:bottom="1134" w:left="1020" w:header="720" w:footer="720" w:gutter="0"/>
          <w:cols w:space="720" w:num="1"/>
        </w:sectPr>
      </w:pPr>
    </w:p>
    <w:p w14:paraId="0FF477EA">
      <w:pPr>
        <w:spacing w:before="0" w:after="0"/>
        <w:ind w:firstLine="560"/>
        <w:jc w:val="left"/>
        <w:outlineLvl w:val="9"/>
      </w:pPr>
      <w:r>
        <w:rPr>
          <w:rFonts w:ascii="方正仿宋_GBK" w:hAnsi="方正仿宋_GBK" w:eastAsia="方正仿宋_GBK" w:cs="方正仿宋_GBK"/>
          <w:b/>
          <w:color w:val="000000"/>
          <w:sz w:val="28"/>
        </w:rPr>
        <w:t>23、冀财教[2025]148号/支持义务教育发展/双碑校区木花小学公用经费绩效目标表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78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09728">
            <w:pPr>
              <w:pStyle w:val="11"/>
            </w:pPr>
            <w:r>
              <w:t>单位：万元</w:t>
            </w:r>
          </w:p>
        </w:tc>
      </w:tr>
      <w:tr w14:paraId="20FB8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75BE7">
            <w:pPr>
              <w:pStyle w:val="10"/>
            </w:pPr>
            <w:r>
              <w:t>项目编码</w:t>
            </w:r>
          </w:p>
        </w:tc>
        <w:tc>
          <w:tcPr>
            <w:tcW w:w="5103" w:type="dxa"/>
            <w:gridSpan w:val="2"/>
            <w:vAlign w:val="center"/>
          </w:tcPr>
          <w:p w14:paraId="100C8BE9">
            <w:pPr>
              <w:pStyle w:val="12"/>
            </w:pPr>
            <w:r>
              <w:t>13052526P00000210129L</w:t>
            </w:r>
          </w:p>
        </w:tc>
        <w:tc>
          <w:tcPr>
            <w:tcW w:w="2835" w:type="dxa"/>
            <w:vAlign w:val="center"/>
          </w:tcPr>
          <w:p w14:paraId="5BD443BC">
            <w:pPr>
              <w:pStyle w:val="10"/>
            </w:pPr>
            <w:r>
              <w:t>项目名称</w:t>
            </w:r>
          </w:p>
        </w:tc>
        <w:tc>
          <w:tcPr>
            <w:tcW w:w="6095" w:type="dxa"/>
            <w:gridSpan w:val="3"/>
            <w:vAlign w:val="center"/>
          </w:tcPr>
          <w:p w14:paraId="1DA412CA">
            <w:pPr>
              <w:pStyle w:val="12"/>
            </w:pPr>
            <w:r>
              <w:t>冀财教[2025]148号/支持义务教育发展/双碑校区木花小学公用经费</w:t>
            </w:r>
          </w:p>
        </w:tc>
      </w:tr>
      <w:tr w14:paraId="3A400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87F3B">
            <w:pPr>
              <w:pStyle w:val="10"/>
            </w:pPr>
            <w:r>
              <w:t>预算规模及资金用途</w:t>
            </w:r>
          </w:p>
        </w:tc>
        <w:tc>
          <w:tcPr>
            <w:tcW w:w="2268" w:type="dxa"/>
            <w:vAlign w:val="center"/>
          </w:tcPr>
          <w:p w14:paraId="1A148BF1">
            <w:pPr>
              <w:pStyle w:val="10"/>
            </w:pPr>
            <w:r>
              <w:t>预算数</w:t>
            </w:r>
          </w:p>
        </w:tc>
        <w:tc>
          <w:tcPr>
            <w:tcW w:w="2835" w:type="dxa"/>
            <w:vAlign w:val="center"/>
          </w:tcPr>
          <w:p w14:paraId="0BD6D6E5">
            <w:pPr>
              <w:pStyle w:val="12"/>
            </w:pPr>
            <w:r>
              <w:t>6.00</w:t>
            </w:r>
          </w:p>
        </w:tc>
        <w:tc>
          <w:tcPr>
            <w:tcW w:w="2835" w:type="dxa"/>
            <w:vAlign w:val="center"/>
          </w:tcPr>
          <w:p w14:paraId="51DC307F">
            <w:pPr>
              <w:pStyle w:val="10"/>
            </w:pPr>
            <w:r>
              <w:t>其中：财政    资金</w:t>
            </w:r>
          </w:p>
        </w:tc>
        <w:tc>
          <w:tcPr>
            <w:tcW w:w="2551" w:type="dxa"/>
            <w:vAlign w:val="center"/>
          </w:tcPr>
          <w:p w14:paraId="7E302F58">
            <w:pPr>
              <w:pStyle w:val="12"/>
            </w:pPr>
            <w:r>
              <w:t>6.00</w:t>
            </w:r>
          </w:p>
        </w:tc>
        <w:tc>
          <w:tcPr>
            <w:tcW w:w="2268" w:type="dxa"/>
            <w:vAlign w:val="center"/>
          </w:tcPr>
          <w:p w14:paraId="2C30B32D">
            <w:pPr>
              <w:pStyle w:val="10"/>
            </w:pPr>
            <w:r>
              <w:t>其他资金</w:t>
            </w:r>
          </w:p>
        </w:tc>
        <w:tc>
          <w:tcPr>
            <w:tcW w:w="1276" w:type="dxa"/>
            <w:vAlign w:val="center"/>
          </w:tcPr>
          <w:p w14:paraId="739A5371">
            <w:pPr>
              <w:pStyle w:val="12"/>
            </w:pPr>
            <w:r>
              <w:t xml:space="preserve"> </w:t>
            </w:r>
          </w:p>
        </w:tc>
      </w:tr>
      <w:tr w14:paraId="6DCA4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5EC91"/>
        </w:tc>
        <w:tc>
          <w:tcPr>
            <w:tcW w:w="14033" w:type="dxa"/>
            <w:gridSpan w:val="6"/>
            <w:vAlign w:val="center"/>
          </w:tcPr>
          <w:p w14:paraId="037989F3">
            <w:pPr>
              <w:pStyle w:val="12"/>
            </w:pPr>
            <w:r>
              <w:t>改善就学条件，提升学校形象，保障幼儿安全，创造良好的校园环境。</w:t>
            </w:r>
          </w:p>
        </w:tc>
      </w:tr>
      <w:tr w14:paraId="74911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D9B37">
            <w:pPr>
              <w:pStyle w:val="10"/>
            </w:pPr>
            <w:r>
              <w:t>资金支出计划（%）</w:t>
            </w:r>
          </w:p>
        </w:tc>
        <w:tc>
          <w:tcPr>
            <w:tcW w:w="5103" w:type="dxa"/>
            <w:gridSpan w:val="2"/>
            <w:vAlign w:val="center"/>
          </w:tcPr>
          <w:p w14:paraId="08AE7207">
            <w:pPr>
              <w:pStyle w:val="10"/>
            </w:pPr>
            <w:r>
              <w:t>3月底</w:t>
            </w:r>
          </w:p>
        </w:tc>
        <w:tc>
          <w:tcPr>
            <w:tcW w:w="2835" w:type="dxa"/>
            <w:vAlign w:val="center"/>
          </w:tcPr>
          <w:p w14:paraId="4E097EC0">
            <w:pPr>
              <w:pStyle w:val="10"/>
            </w:pPr>
            <w:r>
              <w:t>6月底</w:t>
            </w:r>
          </w:p>
        </w:tc>
        <w:tc>
          <w:tcPr>
            <w:tcW w:w="2551" w:type="dxa"/>
            <w:vAlign w:val="center"/>
          </w:tcPr>
          <w:p w14:paraId="60774E7F">
            <w:pPr>
              <w:pStyle w:val="10"/>
            </w:pPr>
            <w:r>
              <w:t>10月底</w:t>
            </w:r>
          </w:p>
        </w:tc>
        <w:tc>
          <w:tcPr>
            <w:tcW w:w="3544" w:type="dxa"/>
            <w:gridSpan w:val="2"/>
            <w:vAlign w:val="center"/>
          </w:tcPr>
          <w:p w14:paraId="04963B6A">
            <w:pPr>
              <w:pStyle w:val="10"/>
            </w:pPr>
            <w:r>
              <w:t>12月底</w:t>
            </w:r>
          </w:p>
        </w:tc>
      </w:tr>
      <w:tr w14:paraId="378A8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17320"/>
        </w:tc>
        <w:tc>
          <w:tcPr>
            <w:tcW w:w="5103" w:type="dxa"/>
            <w:gridSpan w:val="2"/>
            <w:vAlign w:val="center"/>
          </w:tcPr>
          <w:p w14:paraId="6D299B57">
            <w:pPr>
              <w:pStyle w:val="13"/>
            </w:pPr>
            <w:r>
              <w:t xml:space="preserve"> </w:t>
            </w:r>
          </w:p>
        </w:tc>
        <w:tc>
          <w:tcPr>
            <w:tcW w:w="2835" w:type="dxa"/>
            <w:vAlign w:val="center"/>
          </w:tcPr>
          <w:p w14:paraId="7837311B">
            <w:pPr>
              <w:pStyle w:val="13"/>
            </w:pPr>
            <w:r>
              <w:t>100%</w:t>
            </w:r>
          </w:p>
        </w:tc>
        <w:tc>
          <w:tcPr>
            <w:tcW w:w="2551" w:type="dxa"/>
            <w:vAlign w:val="center"/>
          </w:tcPr>
          <w:p w14:paraId="2C0B9228">
            <w:pPr>
              <w:pStyle w:val="13"/>
            </w:pPr>
            <w:r>
              <w:t>100%</w:t>
            </w:r>
          </w:p>
        </w:tc>
        <w:tc>
          <w:tcPr>
            <w:tcW w:w="3544" w:type="dxa"/>
            <w:gridSpan w:val="2"/>
            <w:vAlign w:val="center"/>
          </w:tcPr>
          <w:p w14:paraId="14DD18EF">
            <w:pPr>
              <w:pStyle w:val="13"/>
            </w:pPr>
            <w:r>
              <w:t>100%</w:t>
            </w:r>
          </w:p>
        </w:tc>
      </w:tr>
      <w:tr w14:paraId="1BB21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916B9">
            <w:pPr>
              <w:pStyle w:val="10"/>
            </w:pPr>
            <w:r>
              <w:t>绩效目标</w:t>
            </w:r>
          </w:p>
        </w:tc>
        <w:tc>
          <w:tcPr>
            <w:tcW w:w="14033" w:type="dxa"/>
            <w:gridSpan w:val="6"/>
            <w:vAlign w:val="center"/>
          </w:tcPr>
          <w:p w14:paraId="7CEB9C41">
            <w:pPr>
              <w:pStyle w:val="12"/>
            </w:pPr>
            <w:r>
              <w:t>1.改善就学条件，提升学校形象，保障幼儿安全，创造良好的校园环境。</w:t>
            </w:r>
          </w:p>
          <w:p w14:paraId="48A0773B">
            <w:pPr>
              <w:pStyle w:val="12"/>
            </w:pPr>
            <w:r>
              <w:t>2.项目需资金6万元，资金拨付率达到100%。</w:t>
            </w:r>
          </w:p>
        </w:tc>
      </w:tr>
    </w:tbl>
    <w:p w14:paraId="08477B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F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62F88">
            <w:pPr>
              <w:pStyle w:val="10"/>
            </w:pPr>
            <w:r>
              <w:t>一级指标</w:t>
            </w:r>
          </w:p>
        </w:tc>
        <w:tc>
          <w:tcPr>
            <w:tcW w:w="2268" w:type="dxa"/>
            <w:vAlign w:val="center"/>
          </w:tcPr>
          <w:p w14:paraId="41399D52">
            <w:pPr>
              <w:pStyle w:val="10"/>
            </w:pPr>
            <w:r>
              <w:t>二级指标</w:t>
            </w:r>
          </w:p>
        </w:tc>
        <w:tc>
          <w:tcPr>
            <w:tcW w:w="2835" w:type="dxa"/>
            <w:vAlign w:val="center"/>
          </w:tcPr>
          <w:p w14:paraId="5D3321A0">
            <w:pPr>
              <w:pStyle w:val="10"/>
            </w:pPr>
            <w:r>
              <w:t>三级指标</w:t>
            </w:r>
          </w:p>
        </w:tc>
        <w:tc>
          <w:tcPr>
            <w:tcW w:w="5386" w:type="dxa"/>
            <w:vAlign w:val="center"/>
          </w:tcPr>
          <w:p w14:paraId="49D8DEF5">
            <w:pPr>
              <w:pStyle w:val="10"/>
            </w:pPr>
            <w:r>
              <w:t>绩效指标描述</w:t>
            </w:r>
          </w:p>
        </w:tc>
        <w:tc>
          <w:tcPr>
            <w:tcW w:w="2268" w:type="dxa"/>
            <w:vAlign w:val="center"/>
          </w:tcPr>
          <w:p w14:paraId="7535EF92">
            <w:pPr>
              <w:pStyle w:val="10"/>
            </w:pPr>
            <w:r>
              <w:t>指标值</w:t>
            </w:r>
          </w:p>
        </w:tc>
        <w:tc>
          <w:tcPr>
            <w:tcW w:w="1276" w:type="dxa"/>
            <w:vAlign w:val="center"/>
          </w:tcPr>
          <w:p w14:paraId="00342DED">
            <w:pPr>
              <w:pStyle w:val="10"/>
            </w:pPr>
            <w:r>
              <w:t>指标值确定依据</w:t>
            </w:r>
          </w:p>
        </w:tc>
      </w:tr>
      <w:tr w14:paraId="4A3B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55B9A">
            <w:pPr>
              <w:pStyle w:val="13"/>
            </w:pPr>
            <w:r>
              <w:t>产出指标</w:t>
            </w:r>
          </w:p>
        </w:tc>
        <w:tc>
          <w:tcPr>
            <w:tcW w:w="2268" w:type="dxa"/>
            <w:vAlign w:val="center"/>
          </w:tcPr>
          <w:p w14:paraId="3E55D91C">
            <w:pPr>
              <w:pStyle w:val="12"/>
            </w:pPr>
            <w:r>
              <w:t>数量指标</w:t>
            </w:r>
          </w:p>
        </w:tc>
        <w:tc>
          <w:tcPr>
            <w:tcW w:w="2835" w:type="dxa"/>
            <w:vAlign w:val="center"/>
          </w:tcPr>
          <w:p w14:paraId="635DBE3B">
            <w:pPr>
              <w:pStyle w:val="12"/>
            </w:pPr>
            <w:r>
              <w:t>教学设备</w:t>
            </w:r>
          </w:p>
        </w:tc>
        <w:tc>
          <w:tcPr>
            <w:tcW w:w="5386" w:type="dxa"/>
            <w:vAlign w:val="center"/>
          </w:tcPr>
          <w:p w14:paraId="3C048420">
            <w:pPr>
              <w:pStyle w:val="12"/>
            </w:pPr>
            <w:r>
              <w:t>智慧黑板购置</w:t>
            </w:r>
          </w:p>
        </w:tc>
        <w:tc>
          <w:tcPr>
            <w:tcW w:w="2268" w:type="dxa"/>
            <w:vAlign w:val="center"/>
          </w:tcPr>
          <w:p w14:paraId="20813396">
            <w:pPr>
              <w:pStyle w:val="12"/>
            </w:pPr>
            <w:r>
              <w:t>1项</w:t>
            </w:r>
          </w:p>
        </w:tc>
        <w:tc>
          <w:tcPr>
            <w:tcW w:w="1276" w:type="dxa"/>
            <w:vAlign w:val="center"/>
          </w:tcPr>
          <w:p w14:paraId="5A3F6E26">
            <w:pPr>
              <w:pStyle w:val="12"/>
            </w:pPr>
            <w:r>
              <w:t>项目规划</w:t>
            </w:r>
          </w:p>
        </w:tc>
      </w:tr>
      <w:tr w14:paraId="7827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EF644"/>
        </w:tc>
        <w:tc>
          <w:tcPr>
            <w:tcW w:w="2268" w:type="dxa"/>
            <w:vAlign w:val="center"/>
          </w:tcPr>
          <w:p w14:paraId="5FE0F230">
            <w:pPr>
              <w:pStyle w:val="12"/>
            </w:pPr>
            <w:r>
              <w:t>质量指标</w:t>
            </w:r>
          </w:p>
        </w:tc>
        <w:tc>
          <w:tcPr>
            <w:tcW w:w="2835" w:type="dxa"/>
            <w:vAlign w:val="center"/>
          </w:tcPr>
          <w:p w14:paraId="4AA3C9A7">
            <w:pPr>
              <w:pStyle w:val="12"/>
            </w:pPr>
            <w:r>
              <w:t>工程实施验收合格率</w:t>
            </w:r>
          </w:p>
        </w:tc>
        <w:tc>
          <w:tcPr>
            <w:tcW w:w="5386" w:type="dxa"/>
            <w:vAlign w:val="center"/>
          </w:tcPr>
          <w:p w14:paraId="46C1258D">
            <w:pPr>
              <w:pStyle w:val="12"/>
            </w:pPr>
            <w:r>
              <w:t>申报程序的合规，项目实施及资金使用符合项目规划</w:t>
            </w:r>
          </w:p>
        </w:tc>
        <w:tc>
          <w:tcPr>
            <w:tcW w:w="2268" w:type="dxa"/>
            <w:vAlign w:val="center"/>
          </w:tcPr>
          <w:p w14:paraId="5FD584AE">
            <w:pPr>
              <w:pStyle w:val="12"/>
            </w:pPr>
            <w:r>
              <w:t>100%</w:t>
            </w:r>
          </w:p>
        </w:tc>
        <w:tc>
          <w:tcPr>
            <w:tcW w:w="1276" w:type="dxa"/>
            <w:vAlign w:val="center"/>
          </w:tcPr>
          <w:p w14:paraId="7A66351B">
            <w:pPr>
              <w:pStyle w:val="12"/>
            </w:pPr>
            <w:r>
              <w:t>项目规划</w:t>
            </w:r>
          </w:p>
        </w:tc>
      </w:tr>
      <w:tr w14:paraId="434D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4933"/>
        </w:tc>
        <w:tc>
          <w:tcPr>
            <w:tcW w:w="2268" w:type="dxa"/>
            <w:vAlign w:val="center"/>
          </w:tcPr>
          <w:p w14:paraId="1D9263F1">
            <w:pPr>
              <w:pStyle w:val="12"/>
            </w:pPr>
            <w:r>
              <w:t>时效指标</w:t>
            </w:r>
          </w:p>
        </w:tc>
        <w:tc>
          <w:tcPr>
            <w:tcW w:w="2835" w:type="dxa"/>
            <w:vAlign w:val="center"/>
          </w:tcPr>
          <w:p w14:paraId="2C97E61C">
            <w:pPr>
              <w:pStyle w:val="12"/>
            </w:pPr>
            <w:r>
              <w:t>资金支付率</w:t>
            </w:r>
          </w:p>
        </w:tc>
        <w:tc>
          <w:tcPr>
            <w:tcW w:w="5386" w:type="dxa"/>
            <w:vAlign w:val="center"/>
          </w:tcPr>
          <w:p w14:paraId="17790C85">
            <w:pPr>
              <w:pStyle w:val="12"/>
            </w:pPr>
            <w:r>
              <w:t>按照序时进度完成资金支付</w:t>
            </w:r>
          </w:p>
        </w:tc>
        <w:tc>
          <w:tcPr>
            <w:tcW w:w="2268" w:type="dxa"/>
            <w:vAlign w:val="center"/>
          </w:tcPr>
          <w:p w14:paraId="51E12682">
            <w:pPr>
              <w:pStyle w:val="12"/>
            </w:pPr>
            <w:r>
              <w:t>100%</w:t>
            </w:r>
          </w:p>
        </w:tc>
        <w:tc>
          <w:tcPr>
            <w:tcW w:w="1276" w:type="dxa"/>
            <w:vAlign w:val="center"/>
          </w:tcPr>
          <w:p w14:paraId="41E33D6C">
            <w:pPr>
              <w:pStyle w:val="12"/>
            </w:pPr>
            <w:r>
              <w:t>项目规划</w:t>
            </w:r>
          </w:p>
        </w:tc>
      </w:tr>
      <w:tr w14:paraId="42D8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743EB"/>
        </w:tc>
        <w:tc>
          <w:tcPr>
            <w:tcW w:w="2268" w:type="dxa"/>
            <w:vAlign w:val="center"/>
          </w:tcPr>
          <w:p w14:paraId="02133C84">
            <w:pPr>
              <w:pStyle w:val="12"/>
            </w:pPr>
            <w:r>
              <w:t>成本指标</w:t>
            </w:r>
          </w:p>
        </w:tc>
        <w:tc>
          <w:tcPr>
            <w:tcW w:w="2835" w:type="dxa"/>
            <w:vAlign w:val="center"/>
          </w:tcPr>
          <w:p w14:paraId="62DC8C3B">
            <w:pPr>
              <w:pStyle w:val="12"/>
            </w:pPr>
            <w:r>
              <w:t>项目成本控制情况</w:t>
            </w:r>
          </w:p>
        </w:tc>
        <w:tc>
          <w:tcPr>
            <w:tcW w:w="5386" w:type="dxa"/>
            <w:vAlign w:val="center"/>
          </w:tcPr>
          <w:p w14:paraId="6A4E8272">
            <w:pPr>
              <w:pStyle w:val="12"/>
            </w:pPr>
            <w:r>
              <w:t>严格按照招标价格及审计额进行</w:t>
            </w:r>
          </w:p>
        </w:tc>
        <w:tc>
          <w:tcPr>
            <w:tcW w:w="2268" w:type="dxa"/>
            <w:vAlign w:val="center"/>
          </w:tcPr>
          <w:p w14:paraId="3ECCEB80">
            <w:pPr>
              <w:pStyle w:val="12"/>
            </w:pPr>
            <w:r>
              <w:t>6万元</w:t>
            </w:r>
          </w:p>
        </w:tc>
        <w:tc>
          <w:tcPr>
            <w:tcW w:w="1276" w:type="dxa"/>
            <w:vAlign w:val="center"/>
          </w:tcPr>
          <w:p w14:paraId="4B92AEE5">
            <w:pPr>
              <w:pStyle w:val="12"/>
            </w:pPr>
            <w:r>
              <w:t>项目规划</w:t>
            </w:r>
          </w:p>
        </w:tc>
      </w:tr>
      <w:tr w14:paraId="642C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1C899">
            <w:pPr>
              <w:pStyle w:val="13"/>
            </w:pPr>
            <w:r>
              <w:t>效益指标</w:t>
            </w:r>
          </w:p>
        </w:tc>
        <w:tc>
          <w:tcPr>
            <w:tcW w:w="2268" w:type="dxa"/>
            <w:vAlign w:val="center"/>
          </w:tcPr>
          <w:p w14:paraId="4AC81E65">
            <w:pPr>
              <w:pStyle w:val="12"/>
            </w:pPr>
            <w:r>
              <w:t>经济效益指标</w:t>
            </w:r>
          </w:p>
        </w:tc>
        <w:tc>
          <w:tcPr>
            <w:tcW w:w="2835" w:type="dxa"/>
            <w:vAlign w:val="center"/>
          </w:tcPr>
          <w:p w14:paraId="2DA76D25">
            <w:pPr>
              <w:pStyle w:val="12"/>
            </w:pPr>
            <w:r>
              <w:t>学校办学环境提升</w:t>
            </w:r>
          </w:p>
        </w:tc>
        <w:tc>
          <w:tcPr>
            <w:tcW w:w="5386" w:type="dxa"/>
            <w:vAlign w:val="center"/>
          </w:tcPr>
          <w:p w14:paraId="55B06E59">
            <w:pPr>
              <w:pStyle w:val="12"/>
            </w:pPr>
            <w:r>
              <w:t>学校教学环境提升优化率</w:t>
            </w:r>
          </w:p>
        </w:tc>
        <w:tc>
          <w:tcPr>
            <w:tcW w:w="2268" w:type="dxa"/>
            <w:vAlign w:val="center"/>
          </w:tcPr>
          <w:p w14:paraId="6ED0C33B">
            <w:pPr>
              <w:pStyle w:val="12"/>
            </w:pPr>
            <w:r>
              <w:t>≥98%</w:t>
            </w:r>
          </w:p>
        </w:tc>
        <w:tc>
          <w:tcPr>
            <w:tcW w:w="1276" w:type="dxa"/>
            <w:vAlign w:val="center"/>
          </w:tcPr>
          <w:p w14:paraId="3BA6A582">
            <w:pPr>
              <w:pStyle w:val="12"/>
            </w:pPr>
            <w:r>
              <w:t>项目规划</w:t>
            </w:r>
          </w:p>
        </w:tc>
      </w:tr>
      <w:tr w14:paraId="4555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FA549">
            <w:pPr>
              <w:pStyle w:val="13"/>
            </w:pPr>
            <w:r>
              <w:t>满意度指标</w:t>
            </w:r>
          </w:p>
        </w:tc>
        <w:tc>
          <w:tcPr>
            <w:tcW w:w="2268" w:type="dxa"/>
            <w:vAlign w:val="center"/>
          </w:tcPr>
          <w:p w14:paraId="1382C4FF">
            <w:pPr>
              <w:pStyle w:val="12"/>
            </w:pPr>
            <w:r>
              <w:t>服务对象满意度指标</w:t>
            </w:r>
          </w:p>
        </w:tc>
        <w:tc>
          <w:tcPr>
            <w:tcW w:w="2835" w:type="dxa"/>
            <w:vAlign w:val="center"/>
          </w:tcPr>
          <w:p w14:paraId="3789E1A3">
            <w:pPr>
              <w:pStyle w:val="12"/>
            </w:pPr>
            <w:r>
              <w:t>受益学生家长及调查满意度</w:t>
            </w:r>
          </w:p>
        </w:tc>
        <w:tc>
          <w:tcPr>
            <w:tcW w:w="5386" w:type="dxa"/>
            <w:vAlign w:val="center"/>
          </w:tcPr>
          <w:p w14:paraId="718099DC">
            <w:pPr>
              <w:pStyle w:val="12"/>
            </w:pPr>
            <w:r>
              <w:t>学生、教师及家长对学校教学环境满意度情况</w:t>
            </w:r>
          </w:p>
        </w:tc>
        <w:tc>
          <w:tcPr>
            <w:tcW w:w="2268" w:type="dxa"/>
            <w:vAlign w:val="center"/>
          </w:tcPr>
          <w:p w14:paraId="1C3CA809">
            <w:pPr>
              <w:pStyle w:val="12"/>
            </w:pPr>
            <w:r>
              <w:t>≥95%</w:t>
            </w:r>
          </w:p>
        </w:tc>
        <w:tc>
          <w:tcPr>
            <w:tcW w:w="1276" w:type="dxa"/>
            <w:vAlign w:val="center"/>
          </w:tcPr>
          <w:p w14:paraId="1644ED61">
            <w:pPr>
              <w:pStyle w:val="12"/>
            </w:pPr>
            <w:r>
              <w:t>调查问卷</w:t>
            </w:r>
          </w:p>
        </w:tc>
      </w:tr>
    </w:tbl>
    <w:p w14:paraId="43439131">
      <w:pPr>
        <w:sectPr>
          <w:pgSz w:w="16840" w:h="11900" w:orient="landscape"/>
          <w:pgMar w:top="1361" w:right="1020" w:bottom="1134" w:left="1020" w:header="720" w:footer="720" w:gutter="0"/>
          <w:cols w:space="720" w:num="1"/>
        </w:sectPr>
      </w:pPr>
    </w:p>
    <w:p w14:paraId="476C1C31">
      <w:pPr>
        <w:spacing w:before="0" w:after="0"/>
        <w:ind w:firstLine="560"/>
        <w:jc w:val="left"/>
        <w:outlineLvl w:val="9"/>
      </w:pPr>
      <w:r>
        <w:rPr>
          <w:rFonts w:ascii="方正仿宋_GBK" w:hAnsi="方正仿宋_GBK" w:eastAsia="方正仿宋_GBK" w:cs="方正仿宋_GBK"/>
          <w:b/>
          <w:color w:val="000000"/>
          <w:sz w:val="28"/>
        </w:rPr>
        <w:t>24、冀财教[2025]149号/省级/2026年学前发展资金/双碑校区学前教育公用经费绩效目标表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12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88589">
            <w:pPr>
              <w:pStyle w:val="11"/>
            </w:pPr>
            <w:r>
              <w:t>单位：万元</w:t>
            </w:r>
          </w:p>
        </w:tc>
      </w:tr>
      <w:tr w14:paraId="37BE0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785D4">
            <w:pPr>
              <w:pStyle w:val="10"/>
            </w:pPr>
            <w:r>
              <w:t>项目编码</w:t>
            </w:r>
          </w:p>
        </w:tc>
        <w:tc>
          <w:tcPr>
            <w:tcW w:w="5103" w:type="dxa"/>
            <w:gridSpan w:val="2"/>
            <w:vAlign w:val="center"/>
          </w:tcPr>
          <w:p w14:paraId="12EA5A53">
            <w:pPr>
              <w:pStyle w:val="12"/>
            </w:pPr>
            <w:r>
              <w:t>13052526P008757101071</w:t>
            </w:r>
          </w:p>
        </w:tc>
        <w:tc>
          <w:tcPr>
            <w:tcW w:w="2835" w:type="dxa"/>
            <w:vAlign w:val="center"/>
          </w:tcPr>
          <w:p w14:paraId="6C77D9C5">
            <w:pPr>
              <w:pStyle w:val="10"/>
            </w:pPr>
            <w:r>
              <w:t>项目名称</w:t>
            </w:r>
          </w:p>
        </w:tc>
        <w:tc>
          <w:tcPr>
            <w:tcW w:w="6095" w:type="dxa"/>
            <w:gridSpan w:val="3"/>
            <w:vAlign w:val="center"/>
          </w:tcPr>
          <w:p w14:paraId="63144B80">
            <w:pPr>
              <w:pStyle w:val="12"/>
            </w:pPr>
            <w:r>
              <w:t>冀财教[2025]149号/省级/2026年学前发展资金/双碑校区学前教育公用经费</w:t>
            </w:r>
          </w:p>
        </w:tc>
      </w:tr>
      <w:tr w14:paraId="0D54D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0F7E5">
            <w:pPr>
              <w:pStyle w:val="10"/>
            </w:pPr>
            <w:r>
              <w:t>预算规模及资金用途</w:t>
            </w:r>
          </w:p>
        </w:tc>
        <w:tc>
          <w:tcPr>
            <w:tcW w:w="2268" w:type="dxa"/>
            <w:vAlign w:val="center"/>
          </w:tcPr>
          <w:p w14:paraId="61EB5603">
            <w:pPr>
              <w:pStyle w:val="10"/>
            </w:pPr>
            <w:r>
              <w:t>预算数</w:t>
            </w:r>
          </w:p>
        </w:tc>
        <w:tc>
          <w:tcPr>
            <w:tcW w:w="2835" w:type="dxa"/>
            <w:vAlign w:val="center"/>
          </w:tcPr>
          <w:p w14:paraId="07C6C16D">
            <w:pPr>
              <w:pStyle w:val="12"/>
            </w:pPr>
            <w:r>
              <w:t>6.60</w:t>
            </w:r>
          </w:p>
        </w:tc>
        <w:tc>
          <w:tcPr>
            <w:tcW w:w="2835" w:type="dxa"/>
            <w:vAlign w:val="center"/>
          </w:tcPr>
          <w:p w14:paraId="304A7F71">
            <w:pPr>
              <w:pStyle w:val="10"/>
            </w:pPr>
            <w:r>
              <w:t>其中：财政    资金</w:t>
            </w:r>
          </w:p>
        </w:tc>
        <w:tc>
          <w:tcPr>
            <w:tcW w:w="2551" w:type="dxa"/>
            <w:vAlign w:val="center"/>
          </w:tcPr>
          <w:p w14:paraId="5F84D219">
            <w:pPr>
              <w:pStyle w:val="12"/>
            </w:pPr>
            <w:r>
              <w:t>6.60</w:t>
            </w:r>
          </w:p>
        </w:tc>
        <w:tc>
          <w:tcPr>
            <w:tcW w:w="2268" w:type="dxa"/>
            <w:vAlign w:val="center"/>
          </w:tcPr>
          <w:p w14:paraId="3238F006">
            <w:pPr>
              <w:pStyle w:val="10"/>
            </w:pPr>
            <w:r>
              <w:t>其他资金</w:t>
            </w:r>
          </w:p>
        </w:tc>
        <w:tc>
          <w:tcPr>
            <w:tcW w:w="1276" w:type="dxa"/>
            <w:vAlign w:val="center"/>
          </w:tcPr>
          <w:p w14:paraId="305586DB">
            <w:pPr>
              <w:pStyle w:val="12"/>
            </w:pPr>
            <w:r>
              <w:t xml:space="preserve"> </w:t>
            </w:r>
          </w:p>
        </w:tc>
      </w:tr>
      <w:tr w14:paraId="132C7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61FDF"/>
        </w:tc>
        <w:tc>
          <w:tcPr>
            <w:tcW w:w="14033" w:type="dxa"/>
            <w:gridSpan w:val="6"/>
            <w:vAlign w:val="center"/>
          </w:tcPr>
          <w:p w14:paraId="656F0E65">
            <w:pPr>
              <w:pStyle w:val="12"/>
            </w:pPr>
            <w:r>
              <w:rPr>
                <w:rFonts w:hint="eastAsia"/>
                <w:lang w:eastAsia="zh-CN"/>
              </w:rPr>
              <w:t>”</w:t>
            </w:r>
            <w:r>
              <w:t>保障幼儿园正常运转，完成教育教学活动和其他日常工作任务等方面的费用支出。</w:t>
            </w:r>
            <w:r>
              <w:tab/>
            </w:r>
            <w:r>
              <w:tab/>
            </w:r>
            <w:r>
              <w:tab/>
            </w:r>
          </w:p>
          <w:p w14:paraId="421908E5">
            <w:pPr>
              <w:pStyle w:val="12"/>
            </w:pPr>
            <w:r>
              <w:t>"</w:t>
            </w:r>
            <w:r>
              <w:tab/>
            </w:r>
            <w:r>
              <w:tab/>
            </w:r>
            <w:r>
              <w:tab/>
            </w:r>
            <w:r>
              <w:tab/>
            </w:r>
            <w:r>
              <w:tab/>
            </w:r>
            <w:r>
              <w:tab/>
            </w:r>
          </w:p>
          <w:p w14:paraId="4A88A056">
            <w:pPr>
              <w:pStyle w:val="12"/>
            </w:pPr>
          </w:p>
        </w:tc>
      </w:tr>
      <w:tr w14:paraId="18C5C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15D29">
            <w:pPr>
              <w:pStyle w:val="10"/>
            </w:pPr>
            <w:r>
              <w:t>资金支出计划（%）</w:t>
            </w:r>
          </w:p>
        </w:tc>
        <w:tc>
          <w:tcPr>
            <w:tcW w:w="5103" w:type="dxa"/>
            <w:gridSpan w:val="2"/>
            <w:vAlign w:val="center"/>
          </w:tcPr>
          <w:p w14:paraId="2E4342AD">
            <w:pPr>
              <w:pStyle w:val="10"/>
            </w:pPr>
            <w:r>
              <w:t>3月底</w:t>
            </w:r>
          </w:p>
        </w:tc>
        <w:tc>
          <w:tcPr>
            <w:tcW w:w="2835" w:type="dxa"/>
            <w:vAlign w:val="center"/>
          </w:tcPr>
          <w:p w14:paraId="36C40E94">
            <w:pPr>
              <w:pStyle w:val="10"/>
            </w:pPr>
            <w:r>
              <w:t>6月底</w:t>
            </w:r>
          </w:p>
        </w:tc>
        <w:tc>
          <w:tcPr>
            <w:tcW w:w="2551" w:type="dxa"/>
            <w:vAlign w:val="center"/>
          </w:tcPr>
          <w:p w14:paraId="0EF3EB1F">
            <w:pPr>
              <w:pStyle w:val="10"/>
            </w:pPr>
            <w:r>
              <w:t>10月底</w:t>
            </w:r>
          </w:p>
        </w:tc>
        <w:tc>
          <w:tcPr>
            <w:tcW w:w="3544" w:type="dxa"/>
            <w:gridSpan w:val="2"/>
            <w:vAlign w:val="center"/>
          </w:tcPr>
          <w:p w14:paraId="500AA22F">
            <w:pPr>
              <w:pStyle w:val="10"/>
            </w:pPr>
            <w:r>
              <w:t>12月底</w:t>
            </w:r>
          </w:p>
        </w:tc>
      </w:tr>
      <w:tr w14:paraId="3FCDB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3C507"/>
        </w:tc>
        <w:tc>
          <w:tcPr>
            <w:tcW w:w="5103" w:type="dxa"/>
            <w:gridSpan w:val="2"/>
            <w:vAlign w:val="center"/>
          </w:tcPr>
          <w:p w14:paraId="2096D90E">
            <w:pPr>
              <w:pStyle w:val="13"/>
            </w:pPr>
            <w:r>
              <w:t>25%</w:t>
            </w:r>
          </w:p>
        </w:tc>
        <w:tc>
          <w:tcPr>
            <w:tcW w:w="2835" w:type="dxa"/>
            <w:vAlign w:val="center"/>
          </w:tcPr>
          <w:p w14:paraId="7753C876">
            <w:pPr>
              <w:pStyle w:val="13"/>
            </w:pPr>
            <w:r>
              <w:t>50%</w:t>
            </w:r>
          </w:p>
        </w:tc>
        <w:tc>
          <w:tcPr>
            <w:tcW w:w="2551" w:type="dxa"/>
            <w:vAlign w:val="center"/>
          </w:tcPr>
          <w:p w14:paraId="38A5F95E">
            <w:pPr>
              <w:pStyle w:val="13"/>
            </w:pPr>
            <w:r>
              <w:t>75%</w:t>
            </w:r>
          </w:p>
        </w:tc>
        <w:tc>
          <w:tcPr>
            <w:tcW w:w="3544" w:type="dxa"/>
            <w:gridSpan w:val="2"/>
            <w:vAlign w:val="center"/>
          </w:tcPr>
          <w:p w14:paraId="2B18FC6E">
            <w:pPr>
              <w:pStyle w:val="13"/>
            </w:pPr>
            <w:r>
              <w:t>100%</w:t>
            </w:r>
          </w:p>
        </w:tc>
      </w:tr>
      <w:tr w14:paraId="648DB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C6BAC">
            <w:pPr>
              <w:pStyle w:val="10"/>
            </w:pPr>
            <w:r>
              <w:t>绩效目标</w:t>
            </w:r>
          </w:p>
        </w:tc>
        <w:tc>
          <w:tcPr>
            <w:tcW w:w="14033" w:type="dxa"/>
            <w:gridSpan w:val="6"/>
            <w:vAlign w:val="center"/>
          </w:tcPr>
          <w:p w14:paraId="64724811">
            <w:pPr>
              <w:pStyle w:val="12"/>
            </w:pPr>
            <w:r>
              <w:t>1.保障幼儿园正常运转，完成教育教学活动和其他日常工作任务等方面的费用支出。</w:t>
            </w:r>
            <w:r>
              <w:tab/>
            </w:r>
            <w:r>
              <w:tab/>
            </w:r>
            <w:r>
              <w:tab/>
            </w:r>
          </w:p>
          <w:p w14:paraId="47CD85AC">
            <w:pPr>
              <w:pStyle w:val="12"/>
            </w:pPr>
          </w:p>
          <w:p w14:paraId="22D9D047">
            <w:pPr>
              <w:pStyle w:val="12"/>
            </w:pPr>
            <w:r>
              <w:t>2.按季度分批次拨付公用经费资金，资金拨付率达到100%。</w:t>
            </w:r>
            <w:r>
              <w:tab/>
            </w:r>
            <w:r>
              <w:tab/>
            </w:r>
            <w:r>
              <w:tab/>
            </w:r>
          </w:p>
          <w:p w14:paraId="49F6C979">
            <w:pPr>
              <w:pStyle w:val="12"/>
            </w:pPr>
          </w:p>
        </w:tc>
      </w:tr>
    </w:tbl>
    <w:p w14:paraId="6EAAC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A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6FE51">
            <w:pPr>
              <w:pStyle w:val="10"/>
            </w:pPr>
            <w:r>
              <w:t>一级指标</w:t>
            </w:r>
          </w:p>
        </w:tc>
        <w:tc>
          <w:tcPr>
            <w:tcW w:w="2268" w:type="dxa"/>
            <w:vAlign w:val="center"/>
          </w:tcPr>
          <w:p w14:paraId="19F13CF6">
            <w:pPr>
              <w:pStyle w:val="10"/>
            </w:pPr>
            <w:r>
              <w:t>二级指标</w:t>
            </w:r>
          </w:p>
        </w:tc>
        <w:tc>
          <w:tcPr>
            <w:tcW w:w="2835" w:type="dxa"/>
            <w:vAlign w:val="center"/>
          </w:tcPr>
          <w:p w14:paraId="27EE1641">
            <w:pPr>
              <w:pStyle w:val="10"/>
            </w:pPr>
            <w:r>
              <w:t>三级指标</w:t>
            </w:r>
          </w:p>
        </w:tc>
        <w:tc>
          <w:tcPr>
            <w:tcW w:w="5386" w:type="dxa"/>
            <w:vAlign w:val="center"/>
          </w:tcPr>
          <w:p w14:paraId="7FEE1260">
            <w:pPr>
              <w:pStyle w:val="10"/>
            </w:pPr>
            <w:r>
              <w:t>绩效指标描述</w:t>
            </w:r>
          </w:p>
        </w:tc>
        <w:tc>
          <w:tcPr>
            <w:tcW w:w="2268" w:type="dxa"/>
            <w:vAlign w:val="center"/>
          </w:tcPr>
          <w:p w14:paraId="3E6EF7AB">
            <w:pPr>
              <w:pStyle w:val="10"/>
            </w:pPr>
            <w:r>
              <w:t>指标值</w:t>
            </w:r>
          </w:p>
        </w:tc>
        <w:tc>
          <w:tcPr>
            <w:tcW w:w="1276" w:type="dxa"/>
            <w:vAlign w:val="center"/>
          </w:tcPr>
          <w:p w14:paraId="02375DCF">
            <w:pPr>
              <w:pStyle w:val="10"/>
            </w:pPr>
            <w:r>
              <w:t>指标值确定依据</w:t>
            </w:r>
          </w:p>
        </w:tc>
      </w:tr>
      <w:tr w14:paraId="199E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F979A">
            <w:pPr>
              <w:pStyle w:val="13"/>
            </w:pPr>
            <w:r>
              <w:t>产出指标</w:t>
            </w:r>
          </w:p>
        </w:tc>
        <w:tc>
          <w:tcPr>
            <w:tcW w:w="2268" w:type="dxa"/>
            <w:vAlign w:val="center"/>
          </w:tcPr>
          <w:p w14:paraId="15263B48">
            <w:pPr>
              <w:pStyle w:val="12"/>
            </w:pPr>
            <w:r>
              <w:t>数量指标</w:t>
            </w:r>
          </w:p>
        </w:tc>
        <w:tc>
          <w:tcPr>
            <w:tcW w:w="2835" w:type="dxa"/>
            <w:vAlign w:val="center"/>
          </w:tcPr>
          <w:p w14:paraId="38F48A3E">
            <w:pPr>
              <w:pStyle w:val="12"/>
            </w:pPr>
            <w:r>
              <w:t>适龄在园生</w:t>
            </w:r>
          </w:p>
        </w:tc>
        <w:tc>
          <w:tcPr>
            <w:tcW w:w="5386" w:type="dxa"/>
            <w:vAlign w:val="center"/>
          </w:tcPr>
          <w:p w14:paraId="3EB1341E">
            <w:pPr>
              <w:pStyle w:val="12"/>
            </w:pPr>
            <w:r>
              <w:t>适龄在园学生人数</w:t>
            </w:r>
          </w:p>
        </w:tc>
        <w:tc>
          <w:tcPr>
            <w:tcW w:w="2268" w:type="dxa"/>
            <w:vAlign w:val="center"/>
          </w:tcPr>
          <w:p w14:paraId="75B982D9">
            <w:pPr>
              <w:pStyle w:val="12"/>
            </w:pPr>
            <w:r>
              <w:t>440人</w:t>
            </w:r>
          </w:p>
        </w:tc>
        <w:tc>
          <w:tcPr>
            <w:tcW w:w="1276" w:type="dxa"/>
            <w:vAlign w:val="center"/>
          </w:tcPr>
          <w:p w14:paraId="0AE3005E">
            <w:pPr>
              <w:pStyle w:val="12"/>
            </w:pPr>
            <w:r>
              <w:t>学前发展资金管理方法</w:t>
            </w:r>
          </w:p>
        </w:tc>
      </w:tr>
      <w:tr w14:paraId="2E4B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78882"/>
        </w:tc>
        <w:tc>
          <w:tcPr>
            <w:tcW w:w="2268" w:type="dxa"/>
            <w:vAlign w:val="center"/>
          </w:tcPr>
          <w:p w14:paraId="521E45BB">
            <w:pPr>
              <w:pStyle w:val="12"/>
            </w:pPr>
            <w:r>
              <w:t>质量指标</w:t>
            </w:r>
          </w:p>
        </w:tc>
        <w:tc>
          <w:tcPr>
            <w:tcW w:w="2835" w:type="dxa"/>
            <w:vAlign w:val="center"/>
          </w:tcPr>
          <w:p w14:paraId="6F0258C5">
            <w:pPr>
              <w:pStyle w:val="12"/>
            </w:pPr>
            <w:r>
              <w:t>预算控制率</w:t>
            </w:r>
          </w:p>
        </w:tc>
        <w:tc>
          <w:tcPr>
            <w:tcW w:w="5386" w:type="dxa"/>
            <w:vAlign w:val="center"/>
          </w:tcPr>
          <w:p w14:paraId="48090A0E">
            <w:pPr>
              <w:pStyle w:val="12"/>
            </w:pPr>
            <w:r>
              <w:t>预算执行</w:t>
            </w:r>
          </w:p>
        </w:tc>
        <w:tc>
          <w:tcPr>
            <w:tcW w:w="2268" w:type="dxa"/>
            <w:vAlign w:val="center"/>
          </w:tcPr>
          <w:p w14:paraId="528D26A5">
            <w:pPr>
              <w:pStyle w:val="12"/>
            </w:pPr>
            <w:r>
              <w:t>≥95%</w:t>
            </w:r>
          </w:p>
        </w:tc>
        <w:tc>
          <w:tcPr>
            <w:tcW w:w="1276" w:type="dxa"/>
            <w:vAlign w:val="center"/>
          </w:tcPr>
          <w:p w14:paraId="0E6EC9F4">
            <w:pPr>
              <w:pStyle w:val="12"/>
            </w:pPr>
            <w:r>
              <w:t>学前发展资金管理方法</w:t>
            </w:r>
          </w:p>
        </w:tc>
      </w:tr>
      <w:tr w14:paraId="4530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8EA40"/>
        </w:tc>
        <w:tc>
          <w:tcPr>
            <w:tcW w:w="2268" w:type="dxa"/>
            <w:vAlign w:val="center"/>
          </w:tcPr>
          <w:p w14:paraId="292DCB2F">
            <w:pPr>
              <w:pStyle w:val="12"/>
            </w:pPr>
            <w:r>
              <w:t>时效指标</w:t>
            </w:r>
          </w:p>
        </w:tc>
        <w:tc>
          <w:tcPr>
            <w:tcW w:w="2835" w:type="dxa"/>
            <w:vAlign w:val="center"/>
          </w:tcPr>
          <w:p w14:paraId="1ED8CC83">
            <w:pPr>
              <w:pStyle w:val="12"/>
            </w:pPr>
            <w:r>
              <w:t>资金支付率</w:t>
            </w:r>
          </w:p>
        </w:tc>
        <w:tc>
          <w:tcPr>
            <w:tcW w:w="5386" w:type="dxa"/>
            <w:vAlign w:val="center"/>
          </w:tcPr>
          <w:p w14:paraId="17B9E8EC">
            <w:pPr>
              <w:pStyle w:val="12"/>
            </w:pPr>
            <w:r>
              <w:t>按照序时进度完成资金支付</w:t>
            </w:r>
          </w:p>
        </w:tc>
        <w:tc>
          <w:tcPr>
            <w:tcW w:w="2268" w:type="dxa"/>
            <w:vAlign w:val="center"/>
          </w:tcPr>
          <w:p w14:paraId="65C8E1A6">
            <w:pPr>
              <w:pStyle w:val="12"/>
            </w:pPr>
            <w:r>
              <w:t>100%</w:t>
            </w:r>
          </w:p>
        </w:tc>
        <w:tc>
          <w:tcPr>
            <w:tcW w:w="1276" w:type="dxa"/>
            <w:vAlign w:val="center"/>
          </w:tcPr>
          <w:p w14:paraId="61C89407">
            <w:pPr>
              <w:pStyle w:val="12"/>
            </w:pPr>
            <w:r>
              <w:t>学前发展资金管理方法</w:t>
            </w:r>
          </w:p>
        </w:tc>
      </w:tr>
      <w:tr w14:paraId="576A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CEC24"/>
        </w:tc>
        <w:tc>
          <w:tcPr>
            <w:tcW w:w="2268" w:type="dxa"/>
            <w:vAlign w:val="center"/>
          </w:tcPr>
          <w:p w14:paraId="48C97779">
            <w:pPr>
              <w:pStyle w:val="12"/>
            </w:pPr>
            <w:r>
              <w:t>成本指标</w:t>
            </w:r>
          </w:p>
        </w:tc>
        <w:tc>
          <w:tcPr>
            <w:tcW w:w="2835" w:type="dxa"/>
            <w:vAlign w:val="center"/>
          </w:tcPr>
          <w:p w14:paraId="120A29D6">
            <w:pPr>
              <w:pStyle w:val="12"/>
            </w:pPr>
            <w:r>
              <w:t>生均拨款标准</w:t>
            </w:r>
          </w:p>
        </w:tc>
        <w:tc>
          <w:tcPr>
            <w:tcW w:w="5386" w:type="dxa"/>
            <w:vAlign w:val="center"/>
          </w:tcPr>
          <w:p w14:paraId="6AE86D49">
            <w:pPr>
              <w:pStyle w:val="12"/>
            </w:pPr>
            <w:r>
              <w:t>学前：（基本标准600元/生/学年）</w:t>
            </w:r>
          </w:p>
        </w:tc>
        <w:tc>
          <w:tcPr>
            <w:tcW w:w="2268" w:type="dxa"/>
            <w:vAlign w:val="center"/>
          </w:tcPr>
          <w:p w14:paraId="460F5342">
            <w:pPr>
              <w:pStyle w:val="12"/>
            </w:pPr>
            <w:r>
              <w:t>600元</w:t>
            </w:r>
          </w:p>
        </w:tc>
        <w:tc>
          <w:tcPr>
            <w:tcW w:w="1276" w:type="dxa"/>
            <w:vAlign w:val="center"/>
          </w:tcPr>
          <w:p w14:paraId="1209A825">
            <w:pPr>
              <w:pStyle w:val="12"/>
            </w:pPr>
            <w:r>
              <w:t>学前发展资金管理方法</w:t>
            </w:r>
          </w:p>
        </w:tc>
      </w:tr>
      <w:tr w14:paraId="2780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CFEE3">
            <w:pPr>
              <w:pStyle w:val="13"/>
            </w:pPr>
            <w:r>
              <w:t>效益指标</w:t>
            </w:r>
          </w:p>
        </w:tc>
        <w:tc>
          <w:tcPr>
            <w:tcW w:w="2268" w:type="dxa"/>
            <w:vAlign w:val="center"/>
          </w:tcPr>
          <w:p w14:paraId="69840F2F">
            <w:pPr>
              <w:pStyle w:val="12"/>
            </w:pPr>
            <w:r>
              <w:t>可持续影响指标</w:t>
            </w:r>
          </w:p>
        </w:tc>
        <w:tc>
          <w:tcPr>
            <w:tcW w:w="2835" w:type="dxa"/>
            <w:vAlign w:val="center"/>
          </w:tcPr>
          <w:p w14:paraId="393D6B1D">
            <w:pPr>
              <w:pStyle w:val="12"/>
            </w:pPr>
            <w:r>
              <w:t>学校运转得到提升</w:t>
            </w:r>
          </w:p>
        </w:tc>
        <w:tc>
          <w:tcPr>
            <w:tcW w:w="5386" w:type="dxa"/>
            <w:vAlign w:val="center"/>
          </w:tcPr>
          <w:p w14:paraId="590D1C7C">
            <w:pPr>
              <w:pStyle w:val="12"/>
            </w:pPr>
            <w:r>
              <w:t>幼儿受教育年限</w:t>
            </w:r>
          </w:p>
        </w:tc>
        <w:tc>
          <w:tcPr>
            <w:tcW w:w="2268" w:type="dxa"/>
            <w:vAlign w:val="center"/>
          </w:tcPr>
          <w:p w14:paraId="7F402524">
            <w:pPr>
              <w:pStyle w:val="12"/>
            </w:pPr>
            <w:r>
              <w:t>3年</w:t>
            </w:r>
          </w:p>
        </w:tc>
        <w:tc>
          <w:tcPr>
            <w:tcW w:w="1276" w:type="dxa"/>
            <w:vAlign w:val="center"/>
          </w:tcPr>
          <w:p w14:paraId="382F4591">
            <w:pPr>
              <w:pStyle w:val="12"/>
            </w:pPr>
            <w:r>
              <w:t>学前发展资金管理方法</w:t>
            </w:r>
          </w:p>
        </w:tc>
      </w:tr>
      <w:tr w14:paraId="0BAD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CAA77">
            <w:pPr>
              <w:pStyle w:val="13"/>
            </w:pPr>
            <w:r>
              <w:t>满意度指标</w:t>
            </w:r>
          </w:p>
        </w:tc>
        <w:tc>
          <w:tcPr>
            <w:tcW w:w="2268" w:type="dxa"/>
            <w:vAlign w:val="center"/>
          </w:tcPr>
          <w:p w14:paraId="73A14605">
            <w:pPr>
              <w:pStyle w:val="12"/>
            </w:pPr>
            <w:r>
              <w:t>服务对象满意度指标</w:t>
            </w:r>
          </w:p>
        </w:tc>
        <w:tc>
          <w:tcPr>
            <w:tcW w:w="2835" w:type="dxa"/>
            <w:vAlign w:val="center"/>
          </w:tcPr>
          <w:p w14:paraId="07935A5A">
            <w:pPr>
              <w:pStyle w:val="12"/>
            </w:pPr>
            <w:r>
              <w:t>受益学生家长及调查满意度</w:t>
            </w:r>
          </w:p>
        </w:tc>
        <w:tc>
          <w:tcPr>
            <w:tcW w:w="5386" w:type="dxa"/>
            <w:vAlign w:val="center"/>
          </w:tcPr>
          <w:p w14:paraId="20A9146A">
            <w:pPr>
              <w:pStyle w:val="12"/>
            </w:pPr>
            <w:r>
              <w:t>学生、教师及家长对学校保教保育工作满意度情况</w:t>
            </w:r>
          </w:p>
        </w:tc>
        <w:tc>
          <w:tcPr>
            <w:tcW w:w="2268" w:type="dxa"/>
            <w:vAlign w:val="center"/>
          </w:tcPr>
          <w:p w14:paraId="73402B36">
            <w:pPr>
              <w:pStyle w:val="12"/>
            </w:pPr>
            <w:r>
              <w:t>≥95%</w:t>
            </w:r>
          </w:p>
        </w:tc>
        <w:tc>
          <w:tcPr>
            <w:tcW w:w="1276" w:type="dxa"/>
            <w:vAlign w:val="center"/>
          </w:tcPr>
          <w:p w14:paraId="50400824">
            <w:pPr>
              <w:pStyle w:val="12"/>
            </w:pPr>
            <w:r>
              <w:t>群众测评</w:t>
            </w:r>
          </w:p>
        </w:tc>
      </w:tr>
    </w:tbl>
    <w:p w14:paraId="3DCA294E">
      <w:pPr>
        <w:sectPr>
          <w:pgSz w:w="16840" w:h="11900" w:orient="landscape"/>
          <w:pgMar w:top="1361" w:right="1020" w:bottom="1134" w:left="1020" w:header="720" w:footer="720" w:gutter="0"/>
          <w:cols w:space="720" w:num="1"/>
        </w:sectPr>
      </w:pPr>
    </w:p>
    <w:p w14:paraId="1E17B62D">
      <w:pPr>
        <w:spacing w:before="0" w:after="0"/>
        <w:ind w:firstLine="560"/>
        <w:jc w:val="left"/>
        <w:outlineLvl w:val="9"/>
      </w:pPr>
      <w:r>
        <w:rPr>
          <w:rFonts w:ascii="方正仿宋_GBK" w:hAnsi="方正仿宋_GBK" w:eastAsia="方正仿宋_GBK" w:cs="方正仿宋_GBK"/>
          <w:b/>
          <w:color w:val="000000"/>
          <w:sz w:val="28"/>
        </w:rPr>
        <w:t>25、冀财教[2025]149号/省级/2026年学前发展资金/双碑校区学前教育幼儿资助绩效目标表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A0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9F96D">
            <w:pPr>
              <w:pStyle w:val="11"/>
            </w:pPr>
            <w:r>
              <w:t>单位：万元</w:t>
            </w:r>
          </w:p>
        </w:tc>
      </w:tr>
      <w:tr w14:paraId="408FC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0CEE3">
            <w:pPr>
              <w:pStyle w:val="10"/>
            </w:pPr>
            <w:r>
              <w:t>项目编码</w:t>
            </w:r>
          </w:p>
        </w:tc>
        <w:tc>
          <w:tcPr>
            <w:tcW w:w="5103" w:type="dxa"/>
            <w:gridSpan w:val="2"/>
            <w:vAlign w:val="center"/>
          </w:tcPr>
          <w:p w14:paraId="3CB2D0EF">
            <w:pPr>
              <w:pStyle w:val="12"/>
            </w:pPr>
            <w:r>
              <w:t>13052526P000002100706</w:t>
            </w:r>
          </w:p>
        </w:tc>
        <w:tc>
          <w:tcPr>
            <w:tcW w:w="2835" w:type="dxa"/>
            <w:vAlign w:val="center"/>
          </w:tcPr>
          <w:p w14:paraId="272F24A8">
            <w:pPr>
              <w:pStyle w:val="10"/>
            </w:pPr>
            <w:r>
              <w:t>项目名称</w:t>
            </w:r>
          </w:p>
        </w:tc>
        <w:tc>
          <w:tcPr>
            <w:tcW w:w="6095" w:type="dxa"/>
            <w:gridSpan w:val="3"/>
            <w:vAlign w:val="center"/>
          </w:tcPr>
          <w:p w14:paraId="226D9DEB">
            <w:pPr>
              <w:pStyle w:val="12"/>
            </w:pPr>
            <w:r>
              <w:t>冀财教[2025]149号/省级/2026年学前发展资金/双碑校区学前教育幼儿资助</w:t>
            </w:r>
          </w:p>
        </w:tc>
      </w:tr>
      <w:tr w14:paraId="77D34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891CD">
            <w:pPr>
              <w:pStyle w:val="10"/>
            </w:pPr>
            <w:r>
              <w:t>预算规模及资金用途</w:t>
            </w:r>
          </w:p>
        </w:tc>
        <w:tc>
          <w:tcPr>
            <w:tcW w:w="2268" w:type="dxa"/>
            <w:vAlign w:val="center"/>
          </w:tcPr>
          <w:p w14:paraId="5FB3C1A1">
            <w:pPr>
              <w:pStyle w:val="10"/>
            </w:pPr>
            <w:r>
              <w:t>预算数</w:t>
            </w:r>
          </w:p>
        </w:tc>
        <w:tc>
          <w:tcPr>
            <w:tcW w:w="2835" w:type="dxa"/>
            <w:vAlign w:val="center"/>
          </w:tcPr>
          <w:p w14:paraId="1F42743C">
            <w:pPr>
              <w:pStyle w:val="12"/>
            </w:pPr>
            <w:r>
              <w:t>0.72</w:t>
            </w:r>
          </w:p>
        </w:tc>
        <w:tc>
          <w:tcPr>
            <w:tcW w:w="2835" w:type="dxa"/>
            <w:vAlign w:val="center"/>
          </w:tcPr>
          <w:p w14:paraId="3A1791DD">
            <w:pPr>
              <w:pStyle w:val="10"/>
            </w:pPr>
            <w:r>
              <w:t>其中：财政    资金</w:t>
            </w:r>
          </w:p>
        </w:tc>
        <w:tc>
          <w:tcPr>
            <w:tcW w:w="2551" w:type="dxa"/>
            <w:vAlign w:val="center"/>
          </w:tcPr>
          <w:p w14:paraId="3DB83726">
            <w:pPr>
              <w:pStyle w:val="12"/>
            </w:pPr>
            <w:r>
              <w:t>0.72</w:t>
            </w:r>
          </w:p>
        </w:tc>
        <w:tc>
          <w:tcPr>
            <w:tcW w:w="2268" w:type="dxa"/>
            <w:vAlign w:val="center"/>
          </w:tcPr>
          <w:p w14:paraId="2E2A6B4D">
            <w:pPr>
              <w:pStyle w:val="10"/>
            </w:pPr>
            <w:r>
              <w:t>其他资金</w:t>
            </w:r>
          </w:p>
        </w:tc>
        <w:tc>
          <w:tcPr>
            <w:tcW w:w="1276" w:type="dxa"/>
            <w:vAlign w:val="center"/>
          </w:tcPr>
          <w:p w14:paraId="289EA647">
            <w:pPr>
              <w:pStyle w:val="12"/>
            </w:pPr>
            <w:r>
              <w:t xml:space="preserve"> </w:t>
            </w:r>
          </w:p>
        </w:tc>
      </w:tr>
      <w:tr w14:paraId="6F4E2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7D0BA"/>
        </w:tc>
        <w:tc>
          <w:tcPr>
            <w:tcW w:w="14033" w:type="dxa"/>
            <w:gridSpan w:val="6"/>
            <w:vAlign w:val="center"/>
          </w:tcPr>
          <w:p w14:paraId="7D1ED0A0">
            <w:pPr>
              <w:pStyle w:val="12"/>
            </w:pPr>
            <w:r>
              <w:t>保障落实建档立卡及家庭经济困难儿童资助所需资金，确保建档立卡等家庭经济困难幼儿优先获得资助</w:t>
            </w:r>
          </w:p>
        </w:tc>
      </w:tr>
      <w:tr w14:paraId="3B46B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CA290">
            <w:pPr>
              <w:pStyle w:val="10"/>
            </w:pPr>
            <w:r>
              <w:t>资金支出计划（%）</w:t>
            </w:r>
          </w:p>
        </w:tc>
        <w:tc>
          <w:tcPr>
            <w:tcW w:w="5103" w:type="dxa"/>
            <w:gridSpan w:val="2"/>
            <w:vAlign w:val="center"/>
          </w:tcPr>
          <w:p w14:paraId="1D013B1A">
            <w:pPr>
              <w:pStyle w:val="10"/>
            </w:pPr>
            <w:r>
              <w:t>3月底</w:t>
            </w:r>
          </w:p>
        </w:tc>
        <w:tc>
          <w:tcPr>
            <w:tcW w:w="2835" w:type="dxa"/>
            <w:vAlign w:val="center"/>
          </w:tcPr>
          <w:p w14:paraId="6C492F9E">
            <w:pPr>
              <w:pStyle w:val="10"/>
            </w:pPr>
            <w:r>
              <w:t>6月底</w:t>
            </w:r>
          </w:p>
        </w:tc>
        <w:tc>
          <w:tcPr>
            <w:tcW w:w="2551" w:type="dxa"/>
            <w:vAlign w:val="center"/>
          </w:tcPr>
          <w:p w14:paraId="50820923">
            <w:pPr>
              <w:pStyle w:val="10"/>
            </w:pPr>
            <w:r>
              <w:t>10月底</w:t>
            </w:r>
          </w:p>
        </w:tc>
        <w:tc>
          <w:tcPr>
            <w:tcW w:w="3544" w:type="dxa"/>
            <w:gridSpan w:val="2"/>
            <w:vAlign w:val="center"/>
          </w:tcPr>
          <w:p w14:paraId="14A82688">
            <w:pPr>
              <w:pStyle w:val="10"/>
            </w:pPr>
            <w:r>
              <w:t>12月底</w:t>
            </w:r>
          </w:p>
        </w:tc>
      </w:tr>
      <w:tr w14:paraId="18479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EE32A"/>
        </w:tc>
        <w:tc>
          <w:tcPr>
            <w:tcW w:w="5103" w:type="dxa"/>
            <w:gridSpan w:val="2"/>
            <w:vAlign w:val="center"/>
          </w:tcPr>
          <w:p w14:paraId="370E879F">
            <w:pPr>
              <w:pStyle w:val="13"/>
            </w:pPr>
            <w:r>
              <w:t xml:space="preserve"> </w:t>
            </w:r>
          </w:p>
        </w:tc>
        <w:tc>
          <w:tcPr>
            <w:tcW w:w="2835" w:type="dxa"/>
            <w:vAlign w:val="center"/>
          </w:tcPr>
          <w:p w14:paraId="598CF00A">
            <w:pPr>
              <w:pStyle w:val="13"/>
            </w:pPr>
            <w:r>
              <w:t>50%</w:t>
            </w:r>
          </w:p>
        </w:tc>
        <w:tc>
          <w:tcPr>
            <w:tcW w:w="2551" w:type="dxa"/>
            <w:vAlign w:val="center"/>
          </w:tcPr>
          <w:p w14:paraId="67178EBE">
            <w:pPr>
              <w:pStyle w:val="13"/>
            </w:pPr>
            <w:r>
              <w:t>50%</w:t>
            </w:r>
          </w:p>
        </w:tc>
        <w:tc>
          <w:tcPr>
            <w:tcW w:w="3544" w:type="dxa"/>
            <w:gridSpan w:val="2"/>
            <w:vAlign w:val="center"/>
          </w:tcPr>
          <w:p w14:paraId="08F216CB">
            <w:pPr>
              <w:pStyle w:val="13"/>
            </w:pPr>
            <w:r>
              <w:t>100%</w:t>
            </w:r>
          </w:p>
        </w:tc>
      </w:tr>
      <w:tr w14:paraId="69DBB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21535">
            <w:pPr>
              <w:pStyle w:val="10"/>
            </w:pPr>
            <w:r>
              <w:t>绩效目标</w:t>
            </w:r>
          </w:p>
        </w:tc>
        <w:tc>
          <w:tcPr>
            <w:tcW w:w="14033" w:type="dxa"/>
            <w:gridSpan w:val="6"/>
            <w:vAlign w:val="center"/>
          </w:tcPr>
          <w:p w14:paraId="17A98DB3">
            <w:pPr>
              <w:pStyle w:val="12"/>
            </w:pPr>
            <w:r>
              <w:t>1.保障落实建档立卡及家庭经济困难儿童资助所需资金，确保建档立卡等家庭经济困难幼儿优先获得资助</w:t>
            </w:r>
          </w:p>
          <w:p w14:paraId="7518CF0E">
            <w:pPr>
              <w:pStyle w:val="12"/>
            </w:pPr>
            <w:r>
              <w:t>2.保证本年度资助经费足额落实到位，符合享受资助条件的学生应助尽助。</w:t>
            </w:r>
          </w:p>
        </w:tc>
      </w:tr>
    </w:tbl>
    <w:p w14:paraId="7DDEF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4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8A001">
            <w:pPr>
              <w:pStyle w:val="10"/>
            </w:pPr>
            <w:r>
              <w:t>一级指标</w:t>
            </w:r>
          </w:p>
        </w:tc>
        <w:tc>
          <w:tcPr>
            <w:tcW w:w="2268" w:type="dxa"/>
            <w:vAlign w:val="center"/>
          </w:tcPr>
          <w:p w14:paraId="6B46CC74">
            <w:pPr>
              <w:pStyle w:val="10"/>
            </w:pPr>
            <w:r>
              <w:t>二级指标</w:t>
            </w:r>
          </w:p>
        </w:tc>
        <w:tc>
          <w:tcPr>
            <w:tcW w:w="2835" w:type="dxa"/>
            <w:vAlign w:val="center"/>
          </w:tcPr>
          <w:p w14:paraId="5128A2D2">
            <w:pPr>
              <w:pStyle w:val="10"/>
            </w:pPr>
            <w:r>
              <w:t>三级指标</w:t>
            </w:r>
          </w:p>
        </w:tc>
        <w:tc>
          <w:tcPr>
            <w:tcW w:w="5386" w:type="dxa"/>
            <w:vAlign w:val="center"/>
          </w:tcPr>
          <w:p w14:paraId="50312FD8">
            <w:pPr>
              <w:pStyle w:val="10"/>
            </w:pPr>
            <w:r>
              <w:t>绩效指标描述</w:t>
            </w:r>
          </w:p>
        </w:tc>
        <w:tc>
          <w:tcPr>
            <w:tcW w:w="2268" w:type="dxa"/>
            <w:vAlign w:val="center"/>
          </w:tcPr>
          <w:p w14:paraId="0CA5ACDD">
            <w:pPr>
              <w:pStyle w:val="10"/>
            </w:pPr>
            <w:r>
              <w:t>指标值</w:t>
            </w:r>
          </w:p>
        </w:tc>
        <w:tc>
          <w:tcPr>
            <w:tcW w:w="1276" w:type="dxa"/>
            <w:vAlign w:val="center"/>
          </w:tcPr>
          <w:p w14:paraId="458996FE">
            <w:pPr>
              <w:pStyle w:val="10"/>
            </w:pPr>
            <w:r>
              <w:t>指标值确定依据</w:t>
            </w:r>
          </w:p>
        </w:tc>
      </w:tr>
      <w:tr w14:paraId="29FA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CFBE1">
            <w:pPr>
              <w:pStyle w:val="13"/>
            </w:pPr>
            <w:r>
              <w:t>产出指标</w:t>
            </w:r>
          </w:p>
        </w:tc>
        <w:tc>
          <w:tcPr>
            <w:tcW w:w="2268" w:type="dxa"/>
            <w:vAlign w:val="center"/>
          </w:tcPr>
          <w:p w14:paraId="630ECE4B">
            <w:pPr>
              <w:pStyle w:val="12"/>
            </w:pPr>
            <w:r>
              <w:t>数量指标</w:t>
            </w:r>
          </w:p>
        </w:tc>
        <w:tc>
          <w:tcPr>
            <w:tcW w:w="2835" w:type="dxa"/>
            <w:vAlign w:val="center"/>
          </w:tcPr>
          <w:p w14:paraId="3A002D0C">
            <w:pPr>
              <w:pStyle w:val="12"/>
            </w:pPr>
            <w:r>
              <w:t>幼儿资助比例</w:t>
            </w:r>
          </w:p>
        </w:tc>
        <w:tc>
          <w:tcPr>
            <w:tcW w:w="5386" w:type="dxa"/>
            <w:vAlign w:val="center"/>
          </w:tcPr>
          <w:p w14:paraId="11C86FC2">
            <w:pPr>
              <w:pStyle w:val="12"/>
            </w:pPr>
            <w:r>
              <w:t>幼儿资助人数</w:t>
            </w:r>
          </w:p>
          <w:p w14:paraId="29B5B434">
            <w:pPr>
              <w:pStyle w:val="12"/>
            </w:pPr>
          </w:p>
        </w:tc>
        <w:tc>
          <w:tcPr>
            <w:tcW w:w="2268" w:type="dxa"/>
            <w:vAlign w:val="center"/>
          </w:tcPr>
          <w:p w14:paraId="6F6DCDDE">
            <w:pPr>
              <w:pStyle w:val="12"/>
            </w:pPr>
            <w:r>
              <w:t>36人</w:t>
            </w:r>
          </w:p>
        </w:tc>
        <w:tc>
          <w:tcPr>
            <w:tcW w:w="1276" w:type="dxa"/>
            <w:vAlign w:val="center"/>
          </w:tcPr>
          <w:p w14:paraId="76AA36E7">
            <w:pPr>
              <w:pStyle w:val="12"/>
            </w:pPr>
            <w:r>
              <w:t>幼儿资助经费管理办法</w:t>
            </w:r>
          </w:p>
        </w:tc>
      </w:tr>
      <w:tr w14:paraId="0FF8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A1E86"/>
        </w:tc>
        <w:tc>
          <w:tcPr>
            <w:tcW w:w="2268" w:type="dxa"/>
            <w:vAlign w:val="center"/>
          </w:tcPr>
          <w:p w14:paraId="50ACA788">
            <w:pPr>
              <w:pStyle w:val="12"/>
            </w:pPr>
            <w:r>
              <w:t>质量指标</w:t>
            </w:r>
          </w:p>
        </w:tc>
        <w:tc>
          <w:tcPr>
            <w:tcW w:w="2835" w:type="dxa"/>
            <w:vAlign w:val="center"/>
          </w:tcPr>
          <w:p w14:paraId="6BCA27EF">
            <w:pPr>
              <w:pStyle w:val="12"/>
            </w:pPr>
            <w:r>
              <w:t>资助资金使用率</w:t>
            </w:r>
          </w:p>
        </w:tc>
        <w:tc>
          <w:tcPr>
            <w:tcW w:w="5386" w:type="dxa"/>
            <w:vAlign w:val="center"/>
          </w:tcPr>
          <w:p w14:paraId="302A4C73">
            <w:pPr>
              <w:pStyle w:val="12"/>
            </w:pPr>
            <w:r>
              <w:t>符合享受资助条件的学生应助尽助</w:t>
            </w:r>
          </w:p>
        </w:tc>
        <w:tc>
          <w:tcPr>
            <w:tcW w:w="2268" w:type="dxa"/>
            <w:vAlign w:val="center"/>
          </w:tcPr>
          <w:p w14:paraId="01193151">
            <w:pPr>
              <w:pStyle w:val="12"/>
            </w:pPr>
            <w:r>
              <w:t>100%</w:t>
            </w:r>
          </w:p>
        </w:tc>
        <w:tc>
          <w:tcPr>
            <w:tcW w:w="1276" w:type="dxa"/>
            <w:vAlign w:val="center"/>
          </w:tcPr>
          <w:p w14:paraId="4A7D8902">
            <w:pPr>
              <w:pStyle w:val="12"/>
            </w:pPr>
            <w:r>
              <w:t>幼儿资助经费管理办法</w:t>
            </w:r>
          </w:p>
        </w:tc>
      </w:tr>
      <w:tr w14:paraId="2C04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0F40A"/>
        </w:tc>
        <w:tc>
          <w:tcPr>
            <w:tcW w:w="2268" w:type="dxa"/>
            <w:vAlign w:val="center"/>
          </w:tcPr>
          <w:p w14:paraId="4426021B">
            <w:pPr>
              <w:pStyle w:val="12"/>
            </w:pPr>
            <w:r>
              <w:t>时效指标</w:t>
            </w:r>
          </w:p>
        </w:tc>
        <w:tc>
          <w:tcPr>
            <w:tcW w:w="2835" w:type="dxa"/>
            <w:vAlign w:val="center"/>
          </w:tcPr>
          <w:p w14:paraId="7EC7574B">
            <w:pPr>
              <w:pStyle w:val="12"/>
            </w:pPr>
            <w:r>
              <w:t>资金拨付率</w:t>
            </w:r>
          </w:p>
        </w:tc>
        <w:tc>
          <w:tcPr>
            <w:tcW w:w="5386" w:type="dxa"/>
            <w:vAlign w:val="center"/>
          </w:tcPr>
          <w:p w14:paraId="6D6FCE8E">
            <w:pPr>
              <w:pStyle w:val="12"/>
            </w:pPr>
            <w:r>
              <w:t>所有项目资金支付进度</w:t>
            </w:r>
          </w:p>
        </w:tc>
        <w:tc>
          <w:tcPr>
            <w:tcW w:w="2268" w:type="dxa"/>
            <w:vAlign w:val="center"/>
          </w:tcPr>
          <w:p w14:paraId="1F79407C">
            <w:pPr>
              <w:pStyle w:val="12"/>
            </w:pPr>
            <w:r>
              <w:t>100%</w:t>
            </w:r>
          </w:p>
        </w:tc>
        <w:tc>
          <w:tcPr>
            <w:tcW w:w="1276" w:type="dxa"/>
            <w:vAlign w:val="center"/>
          </w:tcPr>
          <w:p w14:paraId="2D0B56D7">
            <w:pPr>
              <w:pStyle w:val="12"/>
            </w:pPr>
            <w:r>
              <w:t>幼儿资助经费管理办法</w:t>
            </w:r>
          </w:p>
        </w:tc>
      </w:tr>
      <w:tr w14:paraId="2E9A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B0792"/>
        </w:tc>
        <w:tc>
          <w:tcPr>
            <w:tcW w:w="2268" w:type="dxa"/>
            <w:vAlign w:val="center"/>
          </w:tcPr>
          <w:p w14:paraId="12D919E2">
            <w:pPr>
              <w:pStyle w:val="12"/>
            </w:pPr>
            <w:r>
              <w:t>成本指标</w:t>
            </w:r>
          </w:p>
        </w:tc>
        <w:tc>
          <w:tcPr>
            <w:tcW w:w="2835" w:type="dxa"/>
            <w:vAlign w:val="center"/>
          </w:tcPr>
          <w:p w14:paraId="64398672">
            <w:pPr>
              <w:pStyle w:val="12"/>
            </w:pPr>
            <w:r>
              <w:t>幼儿园生均成本</w:t>
            </w:r>
          </w:p>
        </w:tc>
        <w:tc>
          <w:tcPr>
            <w:tcW w:w="5386" w:type="dxa"/>
            <w:vAlign w:val="center"/>
          </w:tcPr>
          <w:p w14:paraId="7A6EAA3A">
            <w:pPr>
              <w:pStyle w:val="12"/>
            </w:pPr>
            <w:r>
              <w:t>按照幼儿园资助标准1000元/生/年</w:t>
            </w:r>
          </w:p>
        </w:tc>
        <w:tc>
          <w:tcPr>
            <w:tcW w:w="2268" w:type="dxa"/>
            <w:vAlign w:val="center"/>
          </w:tcPr>
          <w:p w14:paraId="045AC043">
            <w:pPr>
              <w:pStyle w:val="12"/>
            </w:pPr>
            <w:r>
              <w:t>1000元</w:t>
            </w:r>
          </w:p>
        </w:tc>
        <w:tc>
          <w:tcPr>
            <w:tcW w:w="1276" w:type="dxa"/>
            <w:vAlign w:val="center"/>
          </w:tcPr>
          <w:p w14:paraId="79670069">
            <w:pPr>
              <w:pStyle w:val="12"/>
            </w:pPr>
            <w:r>
              <w:t>幼儿资助经费管理办法</w:t>
            </w:r>
          </w:p>
        </w:tc>
      </w:tr>
      <w:tr w14:paraId="223D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8B405">
            <w:pPr>
              <w:pStyle w:val="13"/>
            </w:pPr>
            <w:r>
              <w:t>效益指标</w:t>
            </w:r>
          </w:p>
        </w:tc>
        <w:tc>
          <w:tcPr>
            <w:tcW w:w="2268" w:type="dxa"/>
            <w:vAlign w:val="center"/>
          </w:tcPr>
          <w:p w14:paraId="1634E495">
            <w:pPr>
              <w:pStyle w:val="12"/>
            </w:pPr>
            <w:r>
              <w:t>可持续影响指标</w:t>
            </w:r>
          </w:p>
        </w:tc>
        <w:tc>
          <w:tcPr>
            <w:tcW w:w="2835" w:type="dxa"/>
            <w:vAlign w:val="center"/>
          </w:tcPr>
          <w:p w14:paraId="72D131F1">
            <w:pPr>
              <w:pStyle w:val="12"/>
            </w:pPr>
            <w:r>
              <w:t>幼儿园正常运转</w:t>
            </w:r>
          </w:p>
        </w:tc>
        <w:tc>
          <w:tcPr>
            <w:tcW w:w="5386" w:type="dxa"/>
            <w:vAlign w:val="center"/>
          </w:tcPr>
          <w:p w14:paraId="0C7379E4">
            <w:pPr>
              <w:pStyle w:val="12"/>
            </w:pPr>
            <w:r>
              <w:t>幼儿受教育年限</w:t>
            </w:r>
          </w:p>
        </w:tc>
        <w:tc>
          <w:tcPr>
            <w:tcW w:w="2268" w:type="dxa"/>
            <w:vAlign w:val="center"/>
          </w:tcPr>
          <w:p w14:paraId="538A7A80">
            <w:pPr>
              <w:pStyle w:val="12"/>
            </w:pPr>
            <w:r>
              <w:t>3年</w:t>
            </w:r>
          </w:p>
        </w:tc>
        <w:tc>
          <w:tcPr>
            <w:tcW w:w="1276" w:type="dxa"/>
            <w:vAlign w:val="center"/>
          </w:tcPr>
          <w:p w14:paraId="0CF72FFD">
            <w:pPr>
              <w:pStyle w:val="12"/>
            </w:pPr>
            <w:r>
              <w:t>幼儿资助经费管理办法</w:t>
            </w:r>
          </w:p>
        </w:tc>
      </w:tr>
      <w:tr w14:paraId="7B55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F6483">
            <w:pPr>
              <w:pStyle w:val="13"/>
            </w:pPr>
            <w:r>
              <w:t>满意度指标</w:t>
            </w:r>
          </w:p>
        </w:tc>
        <w:tc>
          <w:tcPr>
            <w:tcW w:w="2268" w:type="dxa"/>
            <w:vAlign w:val="center"/>
          </w:tcPr>
          <w:p w14:paraId="414A8ABB">
            <w:pPr>
              <w:pStyle w:val="12"/>
            </w:pPr>
            <w:r>
              <w:t>服务对象满意度指标</w:t>
            </w:r>
          </w:p>
        </w:tc>
        <w:tc>
          <w:tcPr>
            <w:tcW w:w="2835" w:type="dxa"/>
            <w:vAlign w:val="center"/>
          </w:tcPr>
          <w:p w14:paraId="78DAC8A9">
            <w:pPr>
              <w:pStyle w:val="12"/>
            </w:pPr>
            <w:r>
              <w:t>受益幼儿家长及调查满意度</w:t>
            </w:r>
          </w:p>
        </w:tc>
        <w:tc>
          <w:tcPr>
            <w:tcW w:w="5386" w:type="dxa"/>
            <w:vAlign w:val="center"/>
          </w:tcPr>
          <w:p w14:paraId="61DAE9C7">
            <w:pPr>
              <w:pStyle w:val="12"/>
            </w:pPr>
            <w:r>
              <w:t>学生、教师及家长对学校保教保育工作满意度情况</w:t>
            </w:r>
          </w:p>
        </w:tc>
        <w:tc>
          <w:tcPr>
            <w:tcW w:w="2268" w:type="dxa"/>
            <w:vAlign w:val="center"/>
          </w:tcPr>
          <w:p w14:paraId="7F8A9E5F">
            <w:pPr>
              <w:pStyle w:val="12"/>
            </w:pPr>
            <w:r>
              <w:t>≥95%</w:t>
            </w:r>
          </w:p>
        </w:tc>
        <w:tc>
          <w:tcPr>
            <w:tcW w:w="1276" w:type="dxa"/>
            <w:vAlign w:val="center"/>
          </w:tcPr>
          <w:p w14:paraId="28677D33">
            <w:pPr>
              <w:pStyle w:val="12"/>
            </w:pPr>
            <w:r>
              <w:t>幼儿资助经费管理办法</w:t>
            </w:r>
          </w:p>
        </w:tc>
      </w:tr>
    </w:tbl>
    <w:p w14:paraId="70D57505">
      <w:pPr>
        <w:sectPr>
          <w:pgSz w:w="16840" w:h="11900" w:orient="landscape"/>
          <w:pgMar w:top="1361" w:right="1020" w:bottom="1134" w:left="1020" w:header="720" w:footer="720" w:gutter="0"/>
          <w:cols w:space="720" w:num="1"/>
        </w:sectPr>
      </w:pPr>
    </w:p>
    <w:p w14:paraId="1D5CE100">
      <w:pPr>
        <w:spacing w:before="0" w:after="0"/>
        <w:ind w:firstLine="560"/>
        <w:jc w:val="left"/>
        <w:outlineLvl w:val="9"/>
      </w:pPr>
      <w:r>
        <w:rPr>
          <w:rFonts w:ascii="方正仿宋_GBK" w:hAnsi="方正仿宋_GBK" w:eastAsia="方正仿宋_GBK" w:cs="方正仿宋_GBK"/>
          <w:b/>
          <w:color w:val="000000"/>
          <w:sz w:val="28"/>
        </w:rPr>
        <w:t>26、冀财教[2025]149号/省级/2026年学前发展资金/双碑校区幼儿园免保育教育费补助绩效目标表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C5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DD98B">
            <w:pPr>
              <w:pStyle w:val="11"/>
            </w:pPr>
            <w:r>
              <w:t>单位：万元</w:t>
            </w:r>
          </w:p>
        </w:tc>
      </w:tr>
      <w:tr w14:paraId="46263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C3958">
            <w:pPr>
              <w:pStyle w:val="10"/>
            </w:pPr>
            <w:r>
              <w:t>项目编码</w:t>
            </w:r>
          </w:p>
        </w:tc>
        <w:tc>
          <w:tcPr>
            <w:tcW w:w="5103" w:type="dxa"/>
            <w:gridSpan w:val="2"/>
            <w:vAlign w:val="center"/>
          </w:tcPr>
          <w:p w14:paraId="461BCF9A">
            <w:pPr>
              <w:pStyle w:val="12"/>
            </w:pPr>
            <w:r>
              <w:t>13052526P00876910153G</w:t>
            </w:r>
          </w:p>
        </w:tc>
        <w:tc>
          <w:tcPr>
            <w:tcW w:w="2835" w:type="dxa"/>
            <w:vAlign w:val="center"/>
          </w:tcPr>
          <w:p w14:paraId="7322EC3D">
            <w:pPr>
              <w:pStyle w:val="10"/>
            </w:pPr>
            <w:r>
              <w:t>项目名称</w:t>
            </w:r>
          </w:p>
        </w:tc>
        <w:tc>
          <w:tcPr>
            <w:tcW w:w="6095" w:type="dxa"/>
            <w:gridSpan w:val="3"/>
            <w:vAlign w:val="center"/>
          </w:tcPr>
          <w:p w14:paraId="54C8938B">
            <w:pPr>
              <w:pStyle w:val="12"/>
            </w:pPr>
            <w:r>
              <w:t>冀财教[2025]149号/省级/2026年学前发展资金/双碑校区幼儿园免保育教育费补助</w:t>
            </w:r>
          </w:p>
        </w:tc>
      </w:tr>
      <w:tr w14:paraId="28955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6A2DE">
            <w:pPr>
              <w:pStyle w:val="10"/>
            </w:pPr>
            <w:r>
              <w:t>预算规模及资金用途</w:t>
            </w:r>
          </w:p>
        </w:tc>
        <w:tc>
          <w:tcPr>
            <w:tcW w:w="2268" w:type="dxa"/>
            <w:vAlign w:val="center"/>
          </w:tcPr>
          <w:p w14:paraId="05510F3A">
            <w:pPr>
              <w:pStyle w:val="10"/>
            </w:pPr>
            <w:r>
              <w:t>预算数</w:t>
            </w:r>
          </w:p>
        </w:tc>
        <w:tc>
          <w:tcPr>
            <w:tcW w:w="2835" w:type="dxa"/>
            <w:vAlign w:val="center"/>
          </w:tcPr>
          <w:p w14:paraId="7BE61522">
            <w:pPr>
              <w:pStyle w:val="12"/>
            </w:pPr>
            <w:r>
              <w:t>8.17</w:t>
            </w:r>
          </w:p>
        </w:tc>
        <w:tc>
          <w:tcPr>
            <w:tcW w:w="2835" w:type="dxa"/>
            <w:vAlign w:val="center"/>
          </w:tcPr>
          <w:p w14:paraId="7F778B72">
            <w:pPr>
              <w:pStyle w:val="10"/>
            </w:pPr>
            <w:r>
              <w:t>其中：财政    资金</w:t>
            </w:r>
          </w:p>
        </w:tc>
        <w:tc>
          <w:tcPr>
            <w:tcW w:w="2551" w:type="dxa"/>
            <w:vAlign w:val="center"/>
          </w:tcPr>
          <w:p w14:paraId="5DD93FAC">
            <w:pPr>
              <w:pStyle w:val="12"/>
            </w:pPr>
            <w:r>
              <w:t>8.17</w:t>
            </w:r>
          </w:p>
        </w:tc>
        <w:tc>
          <w:tcPr>
            <w:tcW w:w="2268" w:type="dxa"/>
            <w:vAlign w:val="center"/>
          </w:tcPr>
          <w:p w14:paraId="46363785">
            <w:pPr>
              <w:pStyle w:val="10"/>
            </w:pPr>
            <w:r>
              <w:t>其他资金</w:t>
            </w:r>
          </w:p>
        </w:tc>
        <w:tc>
          <w:tcPr>
            <w:tcW w:w="1276" w:type="dxa"/>
            <w:vAlign w:val="center"/>
          </w:tcPr>
          <w:p w14:paraId="0AA1F852">
            <w:pPr>
              <w:pStyle w:val="12"/>
            </w:pPr>
            <w:r>
              <w:t xml:space="preserve"> </w:t>
            </w:r>
          </w:p>
        </w:tc>
      </w:tr>
      <w:tr w14:paraId="00D89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4269C"/>
        </w:tc>
        <w:tc>
          <w:tcPr>
            <w:tcW w:w="14033" w:type="dxa"/>
            <w:gridSpan w:val="6"/>
            <w:vAlign w:val="center"/>
          </w:tcPr>
          <w:p w14:paraId="60C63A8E">
            <w:pPr>
              <w:pStyle w:val="12"/>
            </w:pPr>
            <w:r>
              <w:t xml:space="preserve"> 保障幼儿园正常运转，完成教育教学活动和其他日常工作任务等方面的费用支出。</w:t>
            </w:r>
          </w:p>
        </w:tc>
      </w:tr>
      <w:tr w14:paraId="7B966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0DDC2">
            <w:pPr>
              <w:pStyle w:val="10"/>
            </w:pPr>
            <w:r>
              <w:t>资金支出计划（%）</w:t>
            </w:r>
          </w:p>
        </w:tc>
        <w:tc>
          <w:tcPr>
            <w:tcW w:w="5103" w:type="dxa"/>
            <w:gridSpan w:val="2"/>
            <w:vAlign w:val="center"/>
          </w:tcPr>
          <w:p w14:paraId="6255C9F9">
            <w:pPr>
              <w:pStyle w:val="10"/>
            </w:pPr>
            <w:r>
              <w:t>3月底</w:t>
            </w:r>
          </w:p>
        </w:tc>
        <w:tc>
          <w:tcPr>
            <w:tcW w:w="2835" w:type="dxa"/>
            <w:vAlign w:val="center"/>
          </w:tcPr>
          <w:p w14:paraId="1C5F3352">
            <w:pPr>
              <w:pStyle w:val="10"/>
            </w:pPr>
            <w:r>
              <w:t>6月底</w:t>
            </w:r>
          </w:p>
        </w:tc>
        <w:tc>
          <w:tcPr>
            <w:tcW w:w="2551" w:type="dxa"/>
            <w:vAlign w:val="center"/>
          </w:tcPr>
          <w:p w14:paraId="6853C859">
            <w:pPr>
              <w:pStyle w:val="10"/>
            </w:pPr>
            <w:r>
              <w:t>10月底</w:t>
            </w:r>
          </w:p>
        </w:tc>
        <w:tc>
          <w:tcPr>
            <w:tcW w:w="3544" w:type="dxa"/>
            <w:gridSpan w:val="2"/>
            <w:vAlign w:val="center"/>
          </w:tcPr>
          <w:p w14:paraId="2F46D373">
            <w:pPr>
              <w:pStyle w:val="10"/>
            </w:pPr>
            <w:r>
              <w:t>12月底</w:t>
            </w:r>
          </w:p>
        </w:tc>
      </w:tr>
      <w:tr w14:paraId="39689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FFA8A"/>
        </w:tc>
        <w:tc>
          <w:tcPr>
            <w:tcW w:w="5103" w:type="dxa"/>
            <w:gridSpan w:val="2"/>
            <w:vAlign w:val="center"/>
          </w:tcPr>
          <w:p w14:paraId="3C19C585">
            <w:pPr>
              <w:pStyle w:val="13"/>
            </w:pPr>
            <w:r>
              <w:t>25%</w:t>
            </w:r>
          </w:p>
        </w:tc>
        <w:tc>
          <w:tcPr>
            <w:tcW w:w="2835" w:type="dxa"/>
            <w:vAlign w:val="center"/>
          </w:tcPr>
          <w:p w14:paraId="3198923D">
            <w:pPr>
              <w:pStyle w:val="13"/>
            </w:pPr>
            <w:r>
              <w:t>50%</w:t>
            </w:r>
          </w:p>
        </w:tc>
        <w:tc>
          <w:tcPr>
            <w:tcW w:w="2551" w:type="dxa"/>
            <w:vAlign w:val="center"/>
          </w:tcPr>
          <w:p w14:paraId="1B9D1CBF">
            <w:pPr>
              <w:pStyle w:val="13"/>
            </w:pPr>
            <w:r>
              <w:t>75%</w:t>
            </w:r>
          </w:p>
        </w:tc>
        <w:tc>
          <w:tcPr>
            <w:tcW w:w="3544" w:type="dxa"/>
            <w:gridSpan w:val="2"/>
            <w:vAlign w:val="center"/>
          </w:tcPr>
          <w:p w14:paraId="74D680DE">
            <w:pPr>
              <w:pStyle w:val="13"/>
            </w:pPr>
            <w:r>
              <w:t>100%</w:t>
            </w:r>
          </w:p>
        </w:tc>
      </w:tr>
      <w:tr w14:paraId="269A1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7EDF8">
            <w:pPr>
              <w:pStyle w:val="10"/>
            </w:pPr>
            <w:r>
              <w:t>绩效目标</w:t>
            </w:r>
          </w:p>
        </w:tc>
        <w:tc>
          <w:tcPr>
            <w:tcW w:w="14033" w:type="dxa"/>
            <w:gridSpan w:val="6"/>
            <w:vAlign w:val="center"/>
          </w:tcPr>
          <w:p w14:paraId="62C16775">
            <w:pPr>
              <w:pStyle w:val="12"/>
            </w:pPr>
            <w:r>
              <w:t>1. 保障幼儿园正常运转，完成教育教学活动和其他日常工作任务等方面的费用支出。</w:t>
            </w:r>
          </w:p>
        </w:tc>
      </w:tr>
    </w:tbl>
    <w:p w14:paraId="4C6F67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3F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86129">
            <w:pPr>
              <w:pStyle w:val="10"/>
            </w:pPr>
            <w:r>
              <w:t>一级指标</w:t>
            </w:r>
          </w:p>
        </w:tc>
        <w:tc>
          <w:tcPr>
            <w:tcW w:w="2268" w:type="dxa"/>
            <w:vAlign w:val="center"/>
          </w:tcPr>
          <w:p w14:paraId="777FC706">
            <w:pPr>
              <w:pStyle w:val="10"/>
            </w:pPr>
            <w:r>
              <w:t>二级指标</w:t>
            </w:r>
          </w:p>
        </w:tc>
        <w:tc>
          <w:tcPr>
            <w:tcW w:w="2835" w:type="dxa"/>
            <w:vAlign w:val="center"/>
          </w:tcPr>
          <w:p w14:paraId="41CCB146">
            <w:pPr>
              <w:pStyle w:val="10"/>
            </w:pPr>
            <w:r>
              <w:t>三级指标</w:t>
            </w:r>
          </w:p>
        </w:tc>
        <w:tc>
          <w:tcPr>
            <w:tcW w:w="5386" w:type="dxa"/>
            <w:vAlign w:val="center"/>
          </w:tcPr>
          <w:p w14:paraId="48BB8B98">
            <w:pPr>
              <w:pStyle w:val="10"/>
            </w:pPr>
            <w:r>
              <w:t>绩效指标描述</w:t>
            </w:r>
          </w:p>
        </w:tc>
        <w:tc>
          <w:tcPr>
            <w:tcW w:w="2268" w:type="dxa"/>
            <w:vAlign w:val="center"/>
          </w:tcPr>
          <w:p w14:paraId="1A91E91D">
            <w:pPr>
              <w:pStyle w:val="10"/>
            </w:pPr>
            <w:r>
              <w:t>指标值</w:t>
            </w:r>
          </w:p>
        </w:tc>
        <w:tc>
          <w:tcPr>
            <w:tcW w:w="1276" w:type="dxa"/>
            <w:vAlign w:val="center"/>
          </w:tcPr>
          <w:p w14:paraId="6E596362">
            <w:pPr>
              <w:pStyle w:val="10"/>
            </w:pPr>
            <w:r>
              <w:t>指标值确定依据</w:t>
            </w:r>
          </w:p>
        </w:tc>
      </w:tr>
      <w:tr w14:paraId="54A6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3ED2E">
            <w:pPr>
              <w:pStyle w:val="13"/>
            </w:pPr>
            <w:r>
              <w:t>产出指标</w:t>
            </w:r>
          </w:p>
        </w:tc>
        <w:tc>
          <w:tcPr>
            <w:tcW w:w="2268" w:type="dxa"/>
            <w:vAlign w:val="center"/>
          </w:tcPr>
          <w:p w14:paraId="307E07A8">
            <w:pPr>
              <w:pStyle w:val="12"/>
            </w:pPr>
            <w:r>
              <w:t>数量指标</w:t>
            </w:r>
          </w:p>
        </w:tc>
        <w:tc>
          <w:tcPr>
            <w:tcW w:w="2835" w:type="dxa"/>
            <w:vAlign w:val="center"/>
          </w:tcPr>
          <w:p w14:paraId="0262375B">
            <w:pPr>
              <w:pStyle w:val="12"/>
            </w:pPr>
            <w:r>
              <w:t>适龄在园生</w:t>
            </w:r>
          </w:p>
        </w:tc>
        <w:tc>
          <w:tcPr>
            <w:tcW w:w="5386" w:type="dxa"/>
            <w:vAlign w:val="center"/>
          </w:tcPr>
          <w:p w14:paraId="4AA4A41E">
            <w:pPr>
              <w:pStyle w:val="12"/>
            </w:pPr>
            <w:r>
              <w:t>适龄在园学生人数</w:t>
            </w:r>
          </w:p>
        </w:tc>
        <w:tc>
          <w:tcPr>
            <w:tcW w:w="2268" w:type="dxa"/>
            <w:vAlign w:val="center"/>
          </w:tcPr>
          <w:p w14:paraId="4963A108">
            <w:pPr>
              <w:pStyle w:val="12"/>
            </w:pPr>
            <w:r>
              <w:t>199人</w:t>
            </w:r>
          </w:p>
        </w:tc>
        <w:tc>
          <w:tcPr>
            <w:tcW w:w="1276" w:type="dxa"/>
            <w:vAlign w:val="center"/>
          </w:tcPr>
          <w:p w14:paraId="0A07A2AA">
            <w:pPr>
              <w:pStyle w:val="12"/>
            </w:pPr>
            <w:r>
              <w:t>支持学前教育发展资金管理方法</w:t>
            </w:r>
          </w:p>
        </w:tc>
      </w:tr>
      <w:tr w14:paraId="3F23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8E477"/>
        </w:tc>
        <w:tc>
          <w:tcPr>
            <w:tcW w:w="2268" w:type="dxa"/>
            <w:vAlign w:val="center"/>
          </w:tcPr>
          <w:p w14:paraId="09906143">
            <w:pPr>
              <w:pStyle w:val="12"/>
            </w:pPr>
            <w:r>
              <w:t>质量指标</w:t>
            </w:r>
          </w:p>
        </w:tc>
        <w:tc>
          <w:tcPr>
            <w:tcW w:w="2835" w:type="dxa"/>
            <w:vAlign w:val="center"/>
          </w:tcPr>
          <w:p w14:paraId="15BDA16A">
            <w:pPr>
              <w:pStyle w:val="12"/>
            </w:pPr>
            <w:r>
              <w:t>公用经费使用率</w:t>
            </w:r>
          </w:p>
        </w:tc>
        <w:tc>
          <w:tcPr>
            <w:tcW w:w="5386" w:type="dxa"/>
            <w:vAlign w:val="center"/>
          </w:tcPr>
          <w:p w14:paraId="285D40D3">
            <w:pPr>
              <w:pStyle w:val="12"/>
            </w:pPr>
            <w:r>
              <w:t>用于弥补经费不足，改善办学条件</w:t>
            </w:r>
          </w:p>
        </w:tc>
        <w:tc>
          <w:tcPr>
            <w:tcW w:w="2268" w:type="dxa"/>
            <w:vAlign w:val="center"/>
          </w:tcPr>
          <w:p w14:paraId="4EF321B4">
            <w:pPr>
              <w:pStyle w:val="12"/>
            </w:pPr>
            <w:r>
              <w:t>100%</w:t>
            </w:r>
          </w:p>
        </w:tc>
        <w:tc>
          <w:tcPr>
            <w:tcW w:w="1276" w:type="dxa"/>
            <w:vAlign w:val="center"/>
          </w:tcPr>
          <w:p w14:paraId="6ABD1089">
            <w:pPr>
              <w:pStyle w:val="12"/>
            </w:pPr>
            <w:r>
              <w:t>支持学前教育发展资金管理方法</w:t>
            </w:r>
          </w:p>
        </w:tc>
      </w:tr>
      <w:tr w14:paraId="1E8A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1C625"/>
        </w:tc>
        <w:tc>
          <w:tcPr>
            <w:tcW w:w="2268" w:type="dxa"/>
            <w:vAlign w:val="center"/>
          </w:tcPr>
          <w:p w14:paraId="0AD9DEA2">
            <w:pPr>
              <w:pStyle w:val="12"/>
            </w:pPr>
            <w:r>
              <w:t>时效指标</w:t>
            </w:r>
          </w:p>
        </w:tc>
        <w:tc>
          <w:tcPr>
            <w:tcW w:w="2835" w:type="dxa"/>
            <w:vAlign w:val="center"/>
          </w:tcPr>
          <w:p w14:paraId="6D9E811D">
            <w:pPr>
              <w:pStyle w:val="12"/>
            </w:pPr>
            <w:r>
              <w:t>资金支付率</w:t>
            </w:r>
          </w:p>
        </w:tc>
        <w:tc>
          <w:tcPr>
            <w:tcW w:w="5386" w:type="dxa"/>
            <w:vAlign w:val="center"/>
          </w:tcPr>
          <w:p w14:paraId="3D9B379C">
            <w:pPr>
              <w:pStyle w:val="12"/>
            </w:pPr>
            <w:r>
              <w:t>按照序时进度完成资金支付</w:t>
            </w:r>
          </w:p>
        </w:tc>
        <w:tc>
          <w:tcPr>
            <w:tcW w:w="2268" w:type="dxa"/>
            <w:vAlign w:val="center"/>
          </w:tcPr>
          <w:p w14:paraId="5A029DC7">
            <w:pPr>
              <w:pStyle w:val="12"/>
            </w:pPr>
            <w:r>
              <w:t>100%</w:t>
            </w:r>
          </w:p>
        </w:tc>
        <w:tc>
          <w:tcPr>
            <w:tcW w:w="1276" w:type="dxa"/>
            <w:vAlign w:val="center"/>
          </w:tcPr>
          <w:p w14:paraId="3C92A93B">
            <w:pPr>
              <w:pStyle w:val="12"/>
            </w:pPr>
            <w:r>
              <w:t>支持学前教育发展资金管理方法</w:t>
            </w:r>
          </w:p>
        </w:tc>
      </w:tr>
      <w:tr w14:paraId="6A5B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AFAAC"/>
        </w:tc>
        <w:tc>
          <w:tcPr>
            <w:tcW w:w="2268" w:type="dxa"/>
            <w:vAlign w:val="center"/>
          </w:tcPr>
          <w:p w14:paraId="33E2061B">
            <w:pPr>
              <w:pStyle w:val="12"/>
            </w:pPr>
            <w:r>
              <w:t>成本指标</w:t>
            </w:r>
          </w:p>
        </w:tc>
        <w:tc>
          <w:tcPr>
            <w:tcW w:w="2835" w:type="dxa"/>
            <w:vAlign w:val="center"/>
          </w:tcPr>
          <w:p w14:paraId="095ECAC1">
            <w:pPr>
              <w:pStyle w:val="12"/>
            </w:pPr>
            <w:r>
              <w:t>生均拨款标准</w:t>
            </w:r>
          </w:p>
        </w:tc>
        <w:tc>
          <w:tcPr>
            <w:tcW w:w="5386" w:type="dxa"/>
            <w:vAlign w:val="center"/>
          </w:tcPr>
          <w:p w14:paraId="308BB2F6">
            <w:pPr>
              <w:pStyle w:val="12"/>
            </w:pPr>
            <w:r>
              <w:t>根据各学校学前保育费标准进行补助</w:t>
            </w:r>
          </w:p>
        </w:tc>
        <w:tc>
          <w:tcPr>
            <w:tcW w:w="2268" w:type="dxa"/>
            <w:vAlign w:val="center"/>
          </w:tcPr>
          <w:p w14:paraId="440746F6">
            <w:pPr>
              <w:pStyle w:val="12"/>
            </w:pPr>
            <w:r>
              <w:t>81731元</w:t>
            </w:r>
          </w:p>
        </w:tc>
        <w:tc>
          <w:tcPr>
            <w:tcW w:w="1276" w:type="dxa"/>
            <w:vAlign w:val="center"/>
          </w:tcPr>
          <w:p w14:paraId="0BA65FB0">
            <w:pPr>
              <w:pStyle w:val="12"/>
            </w:pPr>
            <w:r>
              <w:t>支持学前教育发展资金管理方法</w:t>
            </w:r>
          </w:p>
        </w:tc>
      </w:tr>
      <w:tr w14:paraId="6502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580DE">
            <w:pPr>
              <w:pStyle w:val="13"/>
            </w:pPr>
            <w:r>
              <w:t>效益指标</w:t>
            </w:r>
          </w:p>
        </w:tc>
        <w:tc>
          <w:tcPr>
            <w:tcW w:w="2268" w:type="dxa"/>
            <w:vAlign w:val="center"/>
          </w:tcPr>
          <w:p w14:paraId="510F9326">
            <w:pPr>
              <w:pStyle w:val="12"/>
            </w:pPr>
            <w:r>
              <w:t>可持续影响指标</w:t>
            </w:r>
          </w:p>
        </w:tc>
        <w:tc>
          <w:tcPr>
            <w:tcW w:w="2835" w:type="dxa"/>
            <w:vAlign w:val="center"/>
          </w:tcPr>
          <w:p w14:paraId="1DD1FC47">
            <w:pPr>
              <w:pStyle w:val="12"/>
            </w:pPr>
            <w:r>
              <w:t>学校运转得到提高</w:t>
            </w:r>
          </w:p>
        </w:tc>
        <w:tc>
          <w:tcPr>
            <w:tcW w:w="5386" w:type="dxa"/>
            <w:vAlign w:val="center"/>
          </w:tcPr>
          <w:p w14:paraId="498626CE">
            <w:pPr>
              <w:pStyle w:val="12"/>
            </w:pPr>
            <w:r>
              <w:t>学生受教育年限</w:t>
            </w:r>
          </w:p>
        </w:tc>
        <w:tc>
          <w:tcPr>
            <w:tcW w:w="2268" w:type="dxa"/>
            <w:vAlign w:val="center"/>
          </w:tcPr>
          <w:p w14:paraId="46DBFB62">
            <w:pPr>
              <w:pStyle w:val="12"/>
            </w:pPr>
            <w:r>
              <w:t>3年</w:t>
            </w:r>
          </w:p>
        </w:tc>
        <w:tc>
          <w:tcPr>
            <w:tcW w:w="1276" w:type="dxa"/>
            <w:vAlign w:val="center"/>
          </w:tcPr>
          <w:p w14:paraId="19CB96C5">
            <w:pPr>
              <w:pStyle w:val="12"/>
            </w:pPr>
            <w:r>
              <w:t>支持学前教育发展资金管理方法</w:t>
            </w:r>
          </w:p>
        </w:tc>
      </w:tr>
      <w:tr w14:paraId="3FFF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5971A">
            <w:pPr>
              <w:pStyle w:val="13"/>
            </w:pPr>
            <w:r>
              <w:t>满意度指标</w:t>
            </w:r>
          </w:p>
        </w:tc>
        <w:tc>
          <w:tcPr>
            <w:tcW w:w="2268" w:type="dxa"/>
            <w:vAlign w:val="center"/>
          </w:tcPr>
          <w:p w14:paraId="25F617F8">
            <w:pPr>
              <w:pStyle w:val="12"/>
            </w:pPr>
            <w:r>
              <w:t>服务对象满意度指标</w:t>
            </w:r>
          </w:p>
        </w:tc>
        <w:tc>
          <w:tcPr>
            <w:tcW w:w="2835" w:type="dxa"/>
            <w:vAlign w:val="center"/>
          </w:tcPr>
          <w:p w14:paraId="39482C4E">
            <w:pPr>
              <w:pStyle w:val="12"/>
            </w:pPr>
            <w:r>
              <w:t>受益学生家长及调查满意度</w:t>
            </w:r>
          </w:p>
        </w:tc>
        <w:tc>
          <w:tcPr>
            <w:tcW w:w="5386" w:type="dxa"/>
            <w:vAlign w:val="center"/>
          </w:tcPr>
          <w:p w14:paraId="7F3CBC09">
            <w:pPr>
              <w:pStyle w:val="12"/>
            </w:pPr>
            <w:r>
              <w:t>学生、教师及家长对学校保教保育工作满意度情况</w:t>
            </w:r>
          </w:p>
        </w:tc>
        <w:tc>
          <w:tcPr>
            <w:tcW w:w="2268" w:type="dxa"/>
            <w:vAlign w:val="center"/>
          </w:tcPr>
          <w:p w14:paraId="425153C5">
            <w:pPr>
              <w:pStyle w:val="12"/>
            </w:pPr>
            <w:r>
              <w:t>≥95%</w:t>
            </w:r>
          </w:p>
        </w:tc>
        <w:tc>
          <w:tcPr>
            <w:tcW w:w="1276" w:type="dxa"/>
            <w:vAlign w:val="center"/>
          </w:tcPr>
          <w:p w14:paraId="6F375457">
            <w:pPr>
              <w:pStyle w:val="12"/>
            </w:pPr>
            <w:r>
              <w:t>支持学前教育发展资金管理方法</w:t>
            </w:r>
          </w:p>
        </w:tc>
      </w:tr>
    </w:tbl>
    <w:p w14:paraId="6B2D8E00">
      <w:pPr>
        <w:sectPr>
          <w:pgSz w:w="16840" w:h="11900" w:orient="landscape"/>
          <w:pgMar w:top="1361" w:right="1020" w:bottom="1134" w:left="1020" w:header="720" w:footer="720" w:gutter="0"/>
          <w:cols w:space="720" w:num="1"/>
        </w:sectPr>
      </w:pPr>
    </w:p>
    <w:p w14:paraId="24D23E3E">
      <w:pPr>
        <w:spacing w:before="0" w:after="0"/>
        <w:ind w:firstLine="560"/>
        <w:jc w:val="left"/>
        <w:outlineLvl w:val="9"/>
      </w:pPr>
      <w:r>
        <w:rPr>
          <w:rFonts w:ascii="方正仿宋_GBK" w:hAnsi="方正仿宋_GBK" w:eastAsia="方正仿宋_GBK" w:cs="方正仿宋_GBK"/>
          <w:b/>
          <w:color w:val="000000"/>
          <w:sz w:val="28"/>
        </w:rPr>
        <w:t>27、县级配套/2026年/双碑校区幼儿园免保育教育费补助绩效目标表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ED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0F4B3">
            <w:pPr>
              <w:pStyle w:val="11"/>
            </w:pPr>
            <w:r>
              <w:t>单位：万元</w:t>
            </w:r>
          </w:p>
        </w:tc>
      </w:tr>
      <w:tr w14:paraId="02F4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CE3E9">
            <w:pPr>
              <w:pStyle w:val="10"/>
            </w:pPr>
            <w:r>
              <w:t>项目编码</w:t>
            </w:r>
          </w:p>
        </w:tc>
        <w:tc>
          <w:tcPr>
            <w:tcW w:w="5103" w:type="dxa"/>
            <w:gridSpan w:val="2"/>
            <w:vAlign w:val="center"/>
          </w:tcPr>
          <w:p w14:paraId="0C8C2F30">
            <w:pPr>
              <w:pStyle w:val="12"/>
            </w:pPr>
            <w:r>
              <w:t>13052526P00876910168E</w:t>
            </w:r>
          </w:p>
        </w:tc>
        <w:tc>
          <w:tcPr>
            <w:tcW w:w="2835" w:type="dxa"/>
            <w:vAlign w:val="center"/>
          </w:tcPr>
          <w:p w14:paraId="0B79955F">
            <w:pPr>
              <w:pStyle w:val="10"/>
            </w:pPr>
            <w:r>
              <w:t>项目名称</w:t>
            </w:r>
          </w:p>
        </w:tc>
        <w:tc>
          <w:tcPr>
            <w:tcW w:w="6095" w:type="dxa"/>
            <w:gridSpan w:val="3"/>
            <w:vAlign w:val="center"/>
          </w:tcPr>
          <w:p w14:paraId="0A7C26E2">
            <w:pPr>
              <w:pStyle w:val="12"/>
            </w:pPr>
            <w:r>
              <w:t>县级配套/2026年/双碑校区幼儿园免保育教育费补助</w:t>
            </w:r>
          </w:p>
        </w:tc>
      </w:tr>
      <w:tr w14:paraId="755EF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312F1">
            <w:pPr>
              <w:pStyle w:val="10"/>
            </w:pPr>
            <w:r>
              <w:t>预算规模及资金用途</w:t>
            </w:r>
          </w:p>
        </w:tc>
        <w:tc>
          <w:tcPr>
            <w:tcW w:w="2268" w:type="dxa"/>
            <w:vAlign w:val="center"/>
          </w:tcPr>
          <w:p w14:paraId="5DEC5B6D">
            <w:pPr>
              <w:pStyle w:val="10"/>
            </w:pPr>
            <w:r>
              <w:t>预算数</w:t>
            </w:r>
          </w:p>
        </w:tc>
        <w:tc>
          <w:tcPr>
            <w:tcW w:w="2835" w:type="dxa"/>
            <w:vAlign w:val="center"/>
          </w:tcPr>
          <w:p w14:paraId="5AAB0F3B">
            <w:pPr>
              <w:pStyle w:val="12"/>
            </w:pPr>
            <w:r>
              <w:t>2.97</w:t>
            </w:r>
          </w:p>
        </w:tc>
        <w:tc>
          <w:tcPr>
            <w:tcW w:w="2835" w:type="dxa"/>
            <w:vAlign w:val="center"/>
          </w:tcPr>
          <w:p w14:paraId="37BC92BA">
            <w:pPr>
              <w:pStyle w:val="10"/>
            </w:pPr>
            <w:r>
              <w:t>其中：财政    资金</w:t>
            </w:r>
          </w:p>
        </w:tc>
        <w:tc>
          <w:tcPr>
            <w:tcW w:w="2551" w:type="dxa"/>
            <w:vAlign w:val="center"/>
          </w:tcPr>
          <w:p w14:paraId="7E728420">
            <w:pPr>
              <w:pStyle w:val="12"/>
            </w:pPr>
            <w:r>
              <w:t>2.97</w:t>
            </w:r>
          </w:p>
        </w:tc>
        <w:tc>
          <w:tcPr>
            <w:tcW w:w="2268" w:type="dxa"/>
            <w:vAlign w:val="center"/>
          </w:tcPr>
          <w:p w14:paraId="0FFCAAE6">
            <w:pPr>
              <w:pStyle w:val="10"/>
            </w:pPr>
            <w:r>
              <w:t>其他资金</w:t>
            </w:r>
          </w:p>
        </w:tc>
        <w:tc>
          <w:tcPr>
            <w:tcW w:w="1276" w:type="dxa"/>
            <w:vAlign w:val="center"/>
          </w:tcPr>
          <w:p w14:paraId="45AA146C">
            <w:pPr>
              <w:pStyle w:val="12"/>
            </w:pPr>
            <w:r>
              <w:t xml:space="preserve"> </w:t>
            </w:r>
          </w:p>
        </w:tc>
      </w:tr>
      <w:tr w14:paraId="24F2F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0924F"/>
        </w:tc>
        <w:tc>
          <w:tcPr>
            <w:tcW w:w="14033" w:type="dxa"/>
            <w:gridSpan w:val="6"/>
            <w:vAlign w:val="center"/>
          </w:tcPr>
          <w:p w14:paraId="1E04D855">
            <w:pPr>
              <w:pStyle w:val="12"/>
            </w:pPr>
            <w:r>
              <w:t xml:space="preserve"> 保障幼儿园正常运转，完成教育教学活动和其他日常工作任务等方面的费用支出。</w:t>
            </w:r>
          </w:p>
        </w:tc>
      </w:tr>
      <w:tr w14:paraId="15071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04A34">
            <w:pPr>
              <w:pStyle w:val="10"/>
            </w:pPr>
            <w:r>
              <w:t>资金支出计划（%）</w:t>
            </w:r>
          </w:p>
        </w:tc>
        <w:tc>
          <w:tcPr>
            <w:tcW w:w="5103" w:type="dxa"/>
            <w:gridSpan w:val="2"/>
            <w:vAlign w:val="center"/>
          </w:tcPr>
          <w:p w14:paraId="2B93FE08">
            <w:pPr>
              <w:pStyle w:val="10"/>
            </w:pPr>
            <w:r>
              <w:t>3月底</w:t>
            </w:r>
          </w:p>
        </w:tc>
        <w:tc>
          <w:tcPr>
            <w:tcW w:w="2835" w:type="dxa"/>
            <w:vAlign w:val="center"/>
          </w:tcPr>
          <w:p w14:paraId="27DA6E38">
            <w:pPr>
              <w:pStyle w:val="10"/>
            </w:pPr>
            <w:r>
              <w:t>6月底</w:t>
            </w:r>
          </w:p>
        </w:tc>
        <w:tc>
          <w:tcPr>
            <w:tcW w:w="2551" w:type="dxa"/>
            <w:vAlign w:val="center"/>
          </w:tcPr>
          <w:p w14:paraId="0F4A2DB6">
            <w:pPr>
              <w:pStyle w:val="10"/>
            </w:pPr>
            <w:r>
              <w:t>10月底</w:t>
            </w:r>
          </w:p>
        </w:tc>
        <w:tc>
          <w:tcPr>
            <w:tcW w:w="3544" w:type="dxa"/>
            <w:gridSpan w:val="2"/>
            <w:vAlign w:val="center"/>
          </w:tcPr>
          <w:p w14:paraId="25B818B5">
            <w:pPr>
              <w:pStyle w:val="10"/>
            </w:pPr>
            <w:r>
              <w:t>12月底</w:t>
            </w:r>
          </w:p>
        </w:tc>
      </w:tr>
      <w:tr w14:paraId="29108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E7476"/>
        </w:tc>
        <w:tc>
          <w:tcPr>
            <w:tcW w:w="5103" w:type="dxa"/>
            <w:gridSpan w:val="2"/>
            <w:vAlign w:val="center"/>
          </w:tcPr>
          <w:p w14:paraId="1838BB11">
            <w:pPr>
              <w:pStyle w:val="13"/>
            </w:pPr>
            <w:r>
              <w:t>25%</w:t>
            </w:r>
          </w:p>
        </w:tc>
        <w:tc>
          <w:tcPr>
            <w:tcW w:w="2835" w:type="dxa"/>
            <w:vAlign w:val="center"/>
          </w:tcPr>
          <w:p w14:paraId="7CE0C457">
            <w:pPr>
              <w:pStyle w:val="13"/>
            </w:pPr>
            <w:r>
              <w:t>50%</w:t>
            </w:r>
          </w:p>
        </w:tc>
        <w:tc>
          <w:tcPr>
            <w:tcW w:w="2551" w:type="dxa"/>
            <w:vAlign w:val="center"/>
          </w:tcPr>
          <w:p w14:paraId="288FBB17">
            <w:pPr>
              <w:pStyle w:val="13"/>
            </w:pPr>
            <w:r>
              <w:t>75%</w:t>
            </w:r>
          </w:p>
        </w:tc>
        <w:tc>
          <w:tcPr>
            <w:tcW w:w="3544" w:type="dxa"/>
            <w:gridSpan w:val="2"/>
            <w:vAlign w:val="center"/>
          </w:tcPr>
          <w:p w14:paraId="5B4A9020">
            <w:pPr>
              <w:pStyle w:val="13"/>
            </w:pPr>
            <w:r>
              <w:t>100%</w:t>
            </w:r>
          </w:p>
        </w:tc>
      </w:tr>
      <w:tr w14:paraId="08F8B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AE2F8">
            <w:pPr>
              <w:pStyle w:val="10"/>
            </w:pPr>
            <w:r>
              <w:t>绩效目标</w:t>
            </w:r>
          </w:p>
        </w:tc>
        <w:tc>
          <w:tcPr>
            <w:tcW w:w="14033" w:type="dxa"/>
            <w:gridSpan w:val="6"/>
            <w:vAlign w:val="center"/>
          </w:tcPr>
          <w:p w14:paraId="73A208FC">
            <w:pPr>
              <w:pStyle w:val="12"/>
            </w:pPr>
            <w:r>
              <w:t>1. 保障幼儿园正常运转，完成教育教学活动和其他日常工作任务等方面的费用支出。</w:t>
            </w:r>
          </w:p>
        </w:tc>
      </w:tr>
    </w:tbl>
    <w:p w14:paraId="3DE919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7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DF20E">
            <w:pPr>
              <w:pStyle w:val="10"/>
            </w:pPr>
            <w:r>
              <w:t>一级指标</w:t>
            </w:r>
          </w:p>
        </w:tc>
        <w:tc>
          <w:tcPr>
            <w:tcW w:w="2268" w:type="dxa"/>
            <w:vAlign w:val="center"/>
          </w:tcPr>
          <w:p w14:paraId="37B34DE6">
            <w:pPr>
              <w:pStyle w:val="10"/>
            </w:pPr>
            <w:r>
              <w:t>二级指标</w:t>
            </w:r>
          </w:p>
        </w:tc>
        <w:tc>
          <w:tcPr>
            <w:tcW w:w="2835" w:type="dxa"/>
            <w:vAlign w:val="center"/>
          </w:tcPr>
          <w:p w14:paraId="1A156F00">
            <w:pPr>
              <w:pStyle w:val="10"/>
            </w:pPr>
            <w:r>
              <w:t>三级指标</w:t>
            </w:r>
          </w:p>
        </w:tc>
        <w:tc>
          <w:tcPr>
            <w:tcW w:w="5386" w:type="dxa"/>
            <w:vAlign w:val="center"/>
          </w:tcPr>
          <w:p w14:paraId="2A202E16">
            <w:pPr>
              <w:pStyle w:val="10"/>
            </w:pPr>
            <w:r>
              <w:t>绩效指标描述</w:t>
            </w:r>
          </w:p>
        </w:tc>
        <w:tc>
          <w:tcPr>
            <w:tcW w:w="2268" w:type="dxa"/>
            <w:vAlign w:val="center"/>
          </w:tcPr>
          <w:p w14:paraId="027A712A">
            <w:pPr>
              <w:pStyle w:val="10"/>
            </w:pPr>
            <w:r>
              <w:t>指标值</w:t>
            </w:r>
          </w:p>
        </w:tc>
        <w:tc>
          <w:tcPr>
            <w:tcW w:w="1276" w:type="dxa"/>
            <w:vAlign w:val="center"/>
          </w:tcPr>
          <w:p w14:paraId="040E26B4">
            <w:pPr>
              <w:pStyle w:val="10"/>
            </w:pPr>
            <w:r>
              <w:t>指标值确定依据</w:t>
            </w:r>
          </w:p>
        </w:tc>
      </w:tr>
      <w:tr w14:paraId="126C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A4C01">
            <w:pPr>
              <w:pStyle w:val="13"/>
            </w:pPr>
            <w:r>
              <w:t>产出指标</w:t>
            </w:r>
          </w:p>
        </w:tc>
        <w:tc>
          <w:tcPr>
            <w:tcW w:w="2268" w:type="dxa"/>
            <w:vAlign w:val="center"/>
          </w:tcPr>
          <w:p w14:paraId="31F71037">
            <w:pPr>
              <w:pStyle w:val="12"/>
            </w:pPr>
            <w:r>
              <w:t>数量指标</w:t>
            </w:r>
          </w:p>
        </w:tc>
        <w:tc>
          <w:tcPr>
            <w:tcW w:w="2835" w:type="dxa"/>
            <w:vAlign w:val="center"/>
          </w:tcPr>
          <w:p w14:paraId="1DB00B59">
            <w:pPr>
              <w:pStyle w:val="12"/>
            </w:pPr>
            <w:r>
              <w:t>适龄在园生</w:t>
            </w:r>
          </w:p>
        </w:tc>
        <w:tc>
          <w:tcPr>
            <w:tcW w:w="5386" w:type="dxa"/>
            <w:vAlign w:val="center"/>
          </w:tcPr>
          <w:p w14:paraId="52AB5DA6">
            <w:pPr>
              <w:pStyle w:val="12"/>
            </w:pPr>
            <w:r>
              <w:t>适龄在园学生人数</w:t>
            </w:r>
          </w:p>
        </w:tc>
        <w:tc>
          <w:tcPr>
            <w:tcW w:w="2268" w:type="dxa"/>
            <w:vAlign w:val="center"/>
          </w:tcPr>
          <w:p w14:paraId="69F34BC8">
            <w:pPr>
              <w:pStyle w:val="12"/>
            </w:pPr>
            <w:r>
              <w:t>199人</w:t>
            </w:r>
          </w:p>
        </w:tc>
        <w:tc>
          <w:tcPr>
            <w:tcW w:w="1276" w:type="dxa"/>
            <w:vAlign w:val="center"/>
          </w:tcPr>
          <w:p w14:paraId="7FB0CA9A">
            <w:pPr>
              <w:pStyle w:val="12"/>
            </w:pPr>
            <w:r>
              <w:t>支持学前教育发展资金管理方法</w:t>
            </w:r>
          </w:p>
        </w:tc>
      </w:tr>
      <w:tr w14:paraId="6618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7A9C3"/>
        </w:tc>
        <w:tc>
          <w:tcPr>
            <w:tcW w:w="2268" w:type="dxa"/>
            <w:vAlign w:val="center"/>
          </w:tcPr>
          <w:p w14:paraId="39578B2C">
            <w:pPr>
              <w:pStyle w:val="12"/>
            </w:pPr>
            <w:r>
              <w:t>质量指标</w:t>
            </w:r>
          </w:p>
        </w:tc>
        <w:tc>
          <w:tcPr>
            <w:tcW w:w="2835" w:type="dxa"/>
            <w:vAlign w:val="center"/>
          </w:tcPr>
          <w:p w14:paraId="75273729">
            <w:pPr>
              <w:pStyle w:val="12"/>
            </w:pPr>
            <w:r>
              <w:t>公用经费使用率</w:t>
            </w:r>
          </w:p>
        </w:tc>
        <w:tc>
          <w:tcPr>
            <w:tcW w:w="5386" w:type="dxa"/>
            <w:vAlign w:val="center"/>
          </w:tcPr>
          <w:p w14:paraId="436699E7">
            <w:pPr>
              <w:pStyle w:val="12"/>
            </w:pPr>
            <w:r>
              <w:t>用于弥补经费不足，改善办学条件</w:t>
            </w:r>
          </w:p>
        </w:tc>
        <w:tc>
          <w:tcPr>
            <w:tcW w:w="2268" w:type="dxa"/>
            <w:vAlign w:val="center"/>
          </w:tcPr>
          <w:p w14:paraId="28C4567B">
            <w:pPr>
              <w:pStyle w:val="12"/>
            </w:pPr>
            <w:r>
              <w:t>100%</w:t>
            </w:r>
          </w:p>
        </w:tc>
        <w:tc>
          <w:tcPr>
            <w:tcW w:w="1276" w:type="dxa"/>
            <w:vAlign w:val="center"/>
          </w:tcPr>
          <w:p w14:paraId="3D5A20C3">
            <w:pPr>
              <w:pStyle w:val="12"/>
            </w:pPr>
            <w:r>
              <w:t>支持学前教育发展资金管理方法</w:t>
            </w:r>
          </w:p>
        </w:tc>
      </w:tr>
      <w:tr w14:paraId="6C1AA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B6F5D"/>
        </w:tc>
        <w:tc>
          <w:tcPr>
            <w:tcW w:w="2268" w:type="dxa"/>
            <w:vAlign w:val="center"/>
          </w:tcPr>
          <w:p w14:paraId="01E4CE98">
            <w:pPr>
              <w:pStyle w:val="12"/>
            </w:pPr>
            <w:r>
              <w:t>时效指标</w:t>
            </w:r>
          </w:p>
        </w:tc>
        <w:tc>
          <w:tcPr>
            <w:tcW w:w="2835" w:type="dxa"/>
            <w:vAlign w:val="center"/>
          </w:tcPr>
          <w:p w14:paraId="6BEE29BD">
            <w:pPr>
              <w:pStyle w:val="12"/>
            </w:pPr>
            <w:r>
              <w:t>资金支付率</w:t>
            </w:r>
          </w:p>
        </w:tc>
        <w:tc>
          <w:tcPr>
            <w:tcW w:w="5386" w:type="dxa"/>
            <w:vAlign w:val="center"/>
          </w:tcPr>
          <w:p w14:paraId="3CA54E4C">
            <w:pPr>
              <w:pStyle w:val="12"/>
            </w:pPr>
            <w:r>
              <w:t>按照序时进度完成资金支付</w:t>
            </w:r>
          </w:p>
        </w:tc>
        <w:tc>
          <w:tcPr>
            <w:tcW w:w="2268" w:type="dxa"/>
            <w:vAlign w:val="center"/>
          </w:tcPr>
          <w:p w14:paraId="104891CE">
            <w:pPr>
              <w:pStyle w:val="12"/>
            </w:pPr>
            <w:r>
              <w:t>100%</w:t>
            </w:r>
          </w:p>
        </w:tc>
        <w:tc>
          <w:tcPr>
            <w:tcW w:w="1276" w:type="dxa"/>
            <w:vAlign w:val="center"/>
          </w:tcPr>
          <w:p w14:paraId="5C150357">
            <w:pPr>
              <w:pStyle w:val="12"/>
            </w:pPr>
            <w:r>
              <w:t>支持学前教育发展资金管理方法</w:t>
            </w:r>
          </w:p>
        </w:tc>
      </w:tr>
      <w:tr w14:paraId="0EE5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D83AF"/>
        </w:tc>
        <w:tc>
          <w:tcPr>
            <w:tcW w:w="2268" w:type="dxa"/>
            <w:vAlign w:val="center"/>
          </w:tcPr>
          <w:p w14:paraId="5EF04750">
            <w:pPr>
              <w:pStyle w:val="12"/>
            </w:pPr>
            <w:r>
              <w:t>成本指标</w:t>
            </w:r>
          </w:p>
        </w:tc>
        <w:tc>
          <w:tcPr>
            <w:tcW w:w="2835" w:type="dxa"/>
            <w:vAlign w:val="center"/>
          </w:tcPr>
          <w:p w14:paraId="6AFAB680">
            <w:pPr>
              <w:pStyle w:val="12"/>
            </w:pPr>
            <w:r>
              <w:t>生均拨款标准</w:t>
            </w:r>
          </w:p>
        </w:tc>
        <w:tc>
          <w:tcPr>
            <w:tcW w:w="5386" w:type="dxa"/>
            <w:vAlign w:val="center"/>
          </w:tcPr>
          <w:p w14:paraId="290EE013">
            <w:pPr>
              <w:pStyle w:val="12"/>
            </w:pPr>
            <w:r>
              <w:t>根据各学校学前保育费标准进行补助</w:t>
            </w:r>
          </w:p>
        </w:tc>
        <w:tc>
          <w:tcPr>
            <w:tcW w:w="2268" w:type="dxa"/>
            <w:vAlign w:val="center"/>
          </w:tcPr>
          <w:p w14:paraId="65AB8433">
            <w:pPr>
              <w:pStyle w:val="12"/>
            </w:pPr>
            <w:r>
              <w:t>29657元</w:t>
            </w:r>
          </w:p>
        </w:tc>
        <w:tc>
          <w:tcPr>
            <w:tcW w:w="1276" w:type="dxa"/>
            <w:vAlign w:val="center"/>
          </w:tcPr>
          <w:p w14:paraId="09B86239">
            <w:pPr>
              <w:pStyle w:val="12"/>
            </w:pPr>
            <w:r>
              <w:t>支持学前教育发展资金管理方法</w:t>
            </w:r>
          </w:p>
        </w:tc>
      </w:tr>
      <w:tr w14:paraId="4DAE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F1CF8">
            <w:pPr>
              <w:pStyle w:val="13"/>
            </w:pPr>
            <w:r>
              <w:t>效益指标</w:t>
            </w:r>
          </w:p>
        </w:tc>
        <w:tc>
          <w:tcPr>
            <w:tcW w:w="2268" w:type="dxa"/>
            <w:vAlign w:val="center"/>
          </w:tcPr>
          <w:p w14:paraId="5A79FCC5">
            <w:pPr>
              <w:pStyle w:val="12"/>
            </w:pPr>
            <w:r>
              <w:t>可持续影响指标</w:t>
            </w:r>
          </w:p>
        </w:tc>
        <w:tc>
          <w:tcPr>
            <w:tcW w:w="2835" w:type="dxa"/>
            <w:vAlign w:val="center"/>
          </w:tcPr>
          <w:p w14:paraId="73E02F5F">
            <w:pPr>
              <w:pStyle w:val="12"/>
            </w:pPr>
            <w:r>
              <w:t>学校运转得到提高</w:t>
            </w:r>
          </w:p>
        </w:tc>
        <w:tc>
          <w:tcPr>
            <w:tcW w:w="5386" w:type="dxa"/>
            <w:vAlign w:val="center"/>
          </w:tcPr>
          <w:p w14:paraId="2B94F3A7">
            <w:pPr>
              <w:pStyle w:val="12"/>
            </w:pPr>
            <w:r>
              <w:t>学生受教育年限</w:t>
            </w:r>
          </w:p>
        </w:tc>
        <w:tc>
          <w:tcPr>
            <w:tcW w:w="2268" w:type="dxa"/>
            <w:vAlign w:val="center"/>
          </w:tcPr>
          <w:p w14:paraId="67D2E42B">
            <w:pPr>
              <w:pStyle w:val="12"/>
            </w:pPr>
            <w:r>
              <w:t>3年</w:t>
            </w:r>
          </w:p>
        </w:tc>
        <w:tc>
          <w:tcPr>
            <w:tcW w:w="1276" w:type="dxa"/>
            <w:vAlign w:val="center"/>
          </w:tcPr>
          <w:p w14:paraId="45EED698">
            <w:pPr>
              <w:pStyle w:val="12"/>
            </w:pPr>
            <w:r>
              <w:t>支持学前教育发展资金管理方法</w:t>
            </w:r>
          </w:p>
        </w:tc>
      </w:tr>
      <w:tr w14:paraId="5CEC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B5CBD">
            <w:pPr>
              <w:pStyle w:val="13"/>
            </w:pPr>
            <w:r>
              <w:t>满意度指标</w:t>
            </w:r>
          </w:p>
        </w:tc>
        <w:tc>
          <w:tcPr>
            <w:tcW w:w="2268" w:type="dxa"/>
            <w:vAlign w:val="center"/>
          </w:tcPr>
          <w:p w14:paraId="30F7416F">
            <w:pPr>
              <w:pStyle w:val="12"/>
            </w:pPr>
            <w:r>
              <w:t>服务对象满意度指标</w:t>
            </w:r>
          </w:p>
        </w:tc>
        <w:tc>
          <w:tcPr>
            <w:tcW w:w="2835" w:type="dxa"/>
            <w:vAlign w:val="center"/>
          </w:tcPr>
          <w:p w14:paraId="07D61F5D">
            <w:pPr>
              <w:pStyle w:val="12"/>
            </w:pPr>
            <w:r>
              <w:t>受益学生家长及调查满意度</w:t>
            </w:r>
          </w:p>
        </w:tc>
        <w:tc>
          <w:tcPr>
            <w:tcW w:w="5386" w:type="dxa"/>
            <w:vAlign w:val="center"/>
          </w:tcPr>
          <w:p w14:paraId="783CAF1A">
            <w:pPr>
              <w:pStyle w:val="12"/>
            </w:pPr>
            <w:r>
              <w:t>学生、教师及家长对学校保教保育工作满意度情况</w:t>
            </w:r>
          </w:p>
        </w:tc>
        <w:tc>
          <w:tcPr>
            <w:tcW w:w="2268" w:type="dxa"/>
            <w:vAlign w:val="center"/>
          </w:tcPr>
          <w:p w14:paraId="747023A9">
            <w:pPr>
              <w:pStyle w:val="12"/>
            </w:pPr>
            <w:r>
              <w:t>≥95%</w:t>
            </w:r>
          </w:p>
        </w:tc>
        <w:tc>
          <w:tcPr>
            <w:tcW w:w="1276" w:type="dxa"/>
            <w:vAlign w:val="center"/>
          </w:tcPr>
          <w:p w14:paraId="12308203">
            <w:pPr>
              <w:pStyle w:val="12"/>
            </w:pPr>
            <w:r>
              <w:t>支持学前教育发展资金管理方法</w:t>
            </w:r>
          </w:p>
        </w:tc>
      </w:tr>
    </w:tbl>
    <w:p w14:paraId="17121440">
      <w:pPr>
        <w:sectPr>
          <w:pgSz w:w="16840" w:h="11900" w:orient="landscape"/>
          <w:pgMar w:top="1361" w:right="1020" w:bottom="1134" w:left="1020" w:header="720" w:footer="720" w:gutter="0"/>
          <w:cols w:space="720" w:num="1"/>
        </w:sectPr>
      </w:pPr>
    </w:p>
    <w:p w14:paraId="7B09429B">
      <w:pPr>
        <w:spacing w:before="0" w:after="0"/>
        <w:ind w:firstLine="560"/>
        <w:jc w:val="left"/>
        <w:outlineLvl w:val="9"/>
      </w:pPr>
      <w:r>
        <w:rPr>
          <w:rFonts w:ascii="方正仿宋_GBK" w:hAnsi="方正仿宋_GBK" w:eastAsia="方正仿宋_GBK" w:cs="方正仿宋_GBK"/>
          <w:b/>
          <w:color w:val="000000"/>
          <w:sz w:val="28"/>
        </w:rPr>
        <w:t>28、县级配套/双碑校区北村小学公用经费绩效目标表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9F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1929A">
            <w:pPr>
              <w:pStyle w:val="11"/>
            </w:pPr>
            <w:r>
              <w:t>单位：万元</w:t>
            </w:r>
          </w:p>
        </w:tc>
      </w:tr>
      <w:tr w14:paraId="5BF3D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D053A">
            <w:pPr>
              <w:pStyle w:val="10"/>
            </w:pPr>
            <w:r>
              <w:t>项目编码</w:t>
            </w:r>
          </w:p>
        </w:tc>
        <w:tc>
          <w:tcPr>
            <w:tcW w:w="5103" w:type="dxa"/>
            <w:gridSpan w:val="2"/>
            <w:vAlign w:val="center"/>
          </w:tcPr>
          <w:p w14:paraId="221CD348">
            <w:pPr>
              <w:pStyle w:val="12"/>
            </w:pPr>
            <w:r>
              <w:t>13052526P00000410444H</w:t>
            </w:r>
          </w:p>
        </w:tc>
        <w:tc>
          <w:tcPr>
            <w:tcW w:w="2835" w:type="dxa"/>
            <w:vAlign w:val="center"/>
          </w:tcPr>
          <w:p w14:paraId="7382C08B">
            <w:pPr>
              <w:pStyle w:val="10"/>
            </w:pPr>
            <w:r>
              <w:t>项目名称</w:t>
            </w:r>
          </w:p>
        </w:tc>
        <w:tc>
          <w:tcPr>
            <w:tcW w:w="6095" w:type="dxa"/>
            <w:gridSpan w:val="3"/>
            <w:vAlign w:val="center"/>
          </w:tcPr>
          <w:p w14:paraId="2EF6C188">
            <w:pPr>
              <w:pStyle w:val="12"/>
            </w:pPr>
            <w:r>
              <w:t>县级配套/双碑校区北村小学公用经费</w:t>
            </w:r>
          </w:p>
        </w:tc>
      </w:tr>
      <w:tr w14:paraId="51240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2326C">
            <w:pPr>
              <w:pStyle w:val="10"/>
            </w:pPr>
            <w:r>
              <w:t>预算规模及资金用途</w:t>
            </w:r>
          </w:p>
        </w:tc>
        <w:tc>
          <w:tcPr>
            <w:tcW w:w="2268" w:type="dxa"/>
            <w:vAlign w:val="center"/>
          </w:tcPr>
          <w:p w14:paraId="4BEE6373">
            <w:pPr>
              <w:pStyle w:val="10"/>
            </w:pPr>
            <w:r>
              <w:t>预算数</w:t>
            </w:r>
          </w:p>
        </w:tc>
        <w:tc>
          <w:tcPr>
            <w:tcW w:w="2835" w:type="dxa"/>
            <w:vAlign w:val="center"/>
          </w:tcPr>
          <w:p w14:paraId="0A2D1EBA">
            <w:pPr>
              <w:pStyle w:val="12"/>
            </w:pPr>
            <w:r>
              <w:t>3.09</w:t>
            </w:r>
          </w:p>
        </w:tc>
        <w:tc>
          <w:tcPr>
            <w:tcW w:w="2835" w:type="dxa"/>
            <w:vAlign w:val="center"/>
          </w:tcPr>
          <w:p w14:paraId="7293C833">
            <w:pPr>
              <w:pStyle w:val="10"/>
            </w:pPr>
            <w:r>
              <w:t>其中：财政    资金</w:t>
            </w:r>
          </w:p>
        </w:tc>
        <w:tc>
          <w:tcPr>
            <w:tcW w:w="2551" w:type="dxa"/>
            <w:vAlign w:val="center"/>
          </w:tcPr>
          <w:p w14:paraId="29F67744">
            <w:pPr>
              <w:pStyle w:val="12"/>
            </w:pPr>
            <w:r>
              <w:t>3.09</w:t>
            </w:r>
          </w:p>
        </w:tc>
        <w:tc>
          <w:tcPr>
            <w:tcW w:w="2268" w:type="dxa"/>
            <w:vAlign w:val="center"/>
          </w:tcPr>
          <w:p w14:paraId="24D0DABA">
            <w:pPr>
              <w:pStyle w:val="10"/>
            </w:pPr>
            <w:r>
              <w:t>其他资金</w:t>
            </w:r>
          </w:p>
        </w:tc>
        <w:tc>
          <w:tcPr>
            <w:tcW w:w="1276" w:type="dxa"/>
            <w:vAlign w:val="center"/>
          </w:tcPr>
          <w:p w14:paraId="7279A61F">
            <w:pPr>
              <w:pStyle w:val="12"/>
            </w:pPr>
            <w:r>
              <w:t xml:space="preserve"> </w:t>
            </w:r>
          </w:p>
        </w:tc>
      </w:tr>
      <w:tr w14:paraId="48AAB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644A8"/>
        </w:tc>
        <w:tc>
          <w:tcPr>
            <w:tcW w:w="14033" w:type="dxa"/>
            <w:gridSpan w:val="6"/>
            <w:vAlign w:val="center"/>
          </w:tcPr>
          <w:p w14:paraId="225312B3">
            <w:pPr>
              <w:pStyle w:val="12"/>
            </w:pPr>
            <w:r>
              <w:t>保障学校正常运转，完成各项教育教学活动和其他日常工作任务等方面的费用支出。</w:t>
            </w:r>
            <w:r>
              <w:tab/>
            </w:r>
            <w:r>
              <w:tab/>
            </w:r>
            <w:r>
              <w:tab/>
            </w:r>
            <w:r>
              <w:tab/>
            </w:r>
            <w:r>
              <w:tab/>
            </w:r>
            <w:r>
              <w:tab/>
            </w:r>
          </w:p>
          <w:p w14:paraId="2AC488EB">
            <w:pPr>
              <w:pStyle w:val="12"/>
            </w:pPr>
          </w:p>
        </w:tc>
      </w:tr>
      <w:tr w14:paraId="6EF6D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D84B7">
            <w:pPr>
              <w:pStyle w:val="10"/>
            </w:pPr>
            <w:r>
              <w:t>资金支出计划（%）</w:t>
            </w:r>
          </w:p>
        </w:tc>
        <w:tc>
          <w:tcPr>
            <w:tcW w:w="5103" w:type="dxa"/>
            <w:gridSpan w:val="2"/>
            <w:vAlign w:val="center"/>
          </w:tcPr>
          <w:p w14:paraId="4960936F">
            <w:pPr>
              <w:pStyle w:val="10"/>
            </w:pPr>
            <w:r>
              <w:t>3月底</w:t>
            </w:r>
          </w:p>
        </w:tc>
        <w:tc>
          <w:tcPr>
            <w:tcW w:w="2835" w:type="dxa"/>
            <w:vAlign w:val="center"/>
          </w:tcPr>
          <w:p w14:paraId="070A7D9F">
            <w:pPr>
              <w:pStyle w:val="10"/>
            </w:pPr>
            <w:r>
              <w:t>6月底</w:t>
            </w:r>
          </w:p>
        </w:tc>
        <w:tc>
          <w:tcPr>
            <w:tcW w:w="2551" w:type="dxa"/>
            <w:vAlign w:val="center"/>
          </w:tcPr>
          <w:p w14:paraId="5F92F5BD">
            <w:pPr>
              <w:pStyle w:val="10"/>
            </w:pPr>
            <w:r>
              <w:t>10月底</w:t>
            </w:r>
          </w:p>
        </w:tc>
        <w:tc>
          <w:tcPr>
            <w:tcW w:w="3544" w:type="dxa"/>
            <w:gridSpan w:val="2"/>
            <w:vAlign w:val="center"/>
          </w:tcPr>
          <w:p w14:paraId="65B5884A">
            <w:pPr>
              <w:pStyle w:val="10"/>
            </w:pPr>
            <w:r>
              <w:t>12月底</w:t>
            </w:r>
          </w:p>
        </w:tc>
      </w:tr>
      <w:tr w14:paraId="069D6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05480"/>
        </w:tc>
        <w:tc>
          <w:tcPr>
            <w:tcW w:w="5103" w:type="dxa"/>
            <w:gridSpan w:val="2"/>
            <w:vAlign w:val="center"/>
          </w:tcPr>
          <w:p w14:paraId="710645E6">
            <w:pPr>
              <w:pStyle w:val="13"/>
            </w:pPr>
            <w:r>
              <w:t>25%</w:t>
            </w:r>
          </w:p>
        </w:tc>
        <w:tc>
          <w:tcPr>
            <w:tcW w:w="2835" w:type="dxa"/>
            <w:vAlign w:val="center"/>
          </w:tcPr>
          <w:p w14:paraId="06CD19C9">
            <w:pPr>
              <w:pStyle w:val="13"/>
            </w:pPr>
            <w:r>
              <w:t>50%</w:t>
            </w:r>
          </w:p>
        </w:tc>
        <w:tc>
          <w:tcPr>
            <w:tcW w:w="2551" w:type="dxa"/>
            <w:vAlign w:val="center"/>
          </w:tcPr>
          <w:p w14:paraId="0F11A259">
            <w:pPr>
              <w:pStyle w:val="13"/>
            </w:pPr>
            <w:r>
              <w:t>75%</w:t>
            </w:r>
          </w:p>
        </w:tc>
        <w:tc>
          <w:tcPr>
            <w:tcW w:w="3544" w:type="dxa"/>
            <w:gridSpan w:val="2"/>
            <w:vAlign w:val="center"/>
          </w:tcPr>
          <w:p w14:paraId="5AA59EC7">
            <w:pPr>
              <w:pStyle w:val="13"/>
            </w:pPr>
            <w:r>
              <w:t>100%</w:t>
            </w:r>
          </w:p>
        </w:tc>
      </w:tr>
      <w:tr w14:paraId="53C57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9B5E0">
            <w:pPr>
              <w:pStyle w:val="10"/>
            </w:pPr>
            <w:r>
              <w:t>绩效目标</w:t>
            </w:r>
          </w:p>
        </w:tc>
        <w:tc>
          <w:tcPr>
            <w:tcW w:w="14033" w:type="dxa"/>
            <w:gridSpan w:val="6"/>
            <w:vAlign w:val="center"/>
          </w:tcPr>
          <w:p w14:paraId="627739FB">
            <w:pPr>
              <w:pStyle w:val="12"/>
            </w:pPr>
            <w:r>
              <w:t>1.按季度分批次拨付公用经费资金，资金拨付率达到100%。</w:t>
            </w:r>
          </w:p>
          <w:p w14:paraId="63E21430">
            <w:pPr>
              <w:pStyle w:val="12"/>
            </w:pPr>
            <w:r>
              <w:t>2.保障学校正常运转，完成各项教育教学活动和其他日常工作任务等方面的费用支出。</w:t>
            </w:r>
          </w:p>
        </w:tc>
      </w:tr>
    </w:tbl>
    <w:p w14:paraId="05479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9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4809B">
            <w:pPr>
              <w:pStyle w:val="10"/>
            </w:pPr>
            <w:r>
              <w:t>一级指标</w:t>
            </w:r>
          </w:p>
        </w:tc>
        <w:tc>
          <w:tcPr>
            <w:tcW w:w="2268" w:type="dxa"/>
            <w:vAlign w:val="center"/>
          </w:tcPr>
          <w:p w14:paraId="1A9F0010">
            <w:pPr>
              <w:pStyle w:val="10"/>
            </w:pPr>
            <w:r>
              <w:t>二级指标</w:t>
            </w:r>
          </w:p>
        </w:tc>
        <w:tc>
          <w:tcPr>
            <w:tcW w:w="2835" w:type="dxa"/>
            <w:vAlign w:val="center"/>
          </w:tcPr>
          <w:p w14:paraId="56441B13">
            <w:pPr>
              <w:pStyle w:val="10"/>
            </w:pPr>
            <w:r>
              <w:t>三级指标</w:t>
            </w:r>
          </w:p>
        </w:tc>
        <w:tc>
          <w:tcPr>
            <w:tcW w:w="5386" w:type="dxa"/>
            <w:vAlign w:val="center"/>
          </w:tcPr>
          <w:p w14:paraId="63F05B07">
            <w:pPr>
              <w:pStyle w:val="10"/>
            </w:pPr>
            <w:r>
              <w:t>绩效指标描述</w:t>
            </w:r>
          </w:p>
        </w:tc>
        <w:tc>
          <w:tcPr>
            <w:tcW w:w="2268" w:type="dxa"/>
            <w:vAlign w:val="center"/>
          </w:tcPr>
          <w:p w14:paraId="7ED916AB">
            <w:pPr>
              <w:pStyle w:val="10"/>
            </w:pPr>
            <w:r>
              <w:t>指标值</w:t>
            </w:r>
          </w:p>
        </w:tc>
        <w:tc>
          <w:tcPr>
            <w:tcW w:w="1276" w:type="dxa"/>
            <w:vAlign w:val="center"/>
          </w:tcPr>
          <w:p w14:paraId="1F1DF3E0">
            <w:pPr>
              <w:pStyle w:val="10"/>
            </w:pPr>
            <w:r>
              <w:t>指标值确定依据</w:t>
            </w:r>
          </w:p>
        </w:tc>
      </w:tr>
      <w:tr w14:paraId="7367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A0842">
            <w:pPr>
              <w:pStyle w:val="13"/>
            </w:pPr>
            <w:r>
              <w:t>产出指标</w:t>
            </w:r>
          </w:p>
        </w:tc>
        <w:tc>
          <w:tcPr>
            <w:tcW w:w="2268" w:type="dxa"/>
            <w:vAlign w:val="center"/>
          </w:tcPr>
          <w:p w14:paraId="01A5A779">
            <w:pPr>
              <w:pStyle w:val="12"/>
            </w:pPr>
            <w:r>
              <w:t>数量指标</w:t>
            </w:r>
          </w:p>
        </w:tc>
        <w:tc>
          <w:tcPr>
            <w:tcW w:w="2835" w:type="dxa"/>
            <w:vAlign w:val="center"/>
          </w:tcPr>
          <w:p w14:paraId="12E745D8">
            <w:pPr>
              <w:pStyle w:val="12"/>
            </w:pPr>
            <w:r>
              <w:t>就读学生数</w:t>
            </w:r>
          </w:p>
        </w:tc>
        <w:tc>
          <w:tcPr>
            <w:tcW w:w="5386" w:type="dxa"/>
            <w:vAlign w:val="center"/>
          </w:tcPr>
          <w:p w14:paraId="247E39D9">
            <w:pPr>
              <w:pStyle w:val="12"/>
            </w:pPr>
            <w:r>
              <w:t>辐射区域内适龄学生人数</w:t>
            </w:r>
          </w:p>
        </w:tc>
        <w:tc>
          <w:tcPr>
            <w:tcW w:w="2268" w:type="dxa"/>
            <w:vAlign w:val="center"/>
          </w:tcPr>
          <w:p w14:paraId="0C324299">
            <w:pPr>
              <w:pStyle w:val="12"/>
            </w:pPr>
            <w:r>
              <w:t>318人</w:t>
            </w:r>
          </w:p>
        </w:tc>
        <w:tc>
          <w:tcPr>
            <w:tcW w:w="1276" w:type="dxa"/>
            <w:vAlign w:val="center"/>
          </w:tcPr>
          <w:p w14:paraId="040E6A31">
            <w:pPr>
              <w:pStyle w:val="12"/>
            </w:pPr>
            <w:r>
              <w:t>城乡义务教育公用经费管理办法</w:t>
            </w:r>
          </w:p>
        </w:tc>
      </w:tr>
      <w:tr w14:paraId="6356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2ACDE"/>
        </w:tc>
        <w:tc>
          <w:tcPr>
            <w:tcW w:w="2268" w:type="dxa"/>
            <w:vAlign w:val="center"/>
          </w:tcPr>
          <w:p w14:paraId="77339753">
            <w:pPr>
              <w:pStyle w:val="12"/>
            </w:pPr>
            <w:r>
              <w:t>质量指标</w:t>
            </w:r>
          </w:p>
        </w:tc>
        <w:tc>
          <w:tcPr>
            <w:tcW w:w="2835" w:type="dxa"/>
            <w:vAlign w:val="center"/>
          </w:tcPr>
          <w:p w14:paraId="72A5E274">
            <w:pPr>
              <w:pStyle w:val="12"/>
            </w:pPr>
            <w:r>
              <w:t>预算执行率</w:t>
            </w:r>
          </w:p>
        </w:tc>
        <w:tc>
          <w:tcPr>
            <w:tcW w:w="5386" w:type="dxa"/>
            <w:vAlign w:val="center"/>
          </w:tcPr>
          <w:p w14:paraId="19220CAE">
            <w:pPr>
              <w:pStyle w:val="12"/>
            </w:pPr>
            <w:r>
              <w:t>预算执行率</w:t>
            </w:r>
          </w:p>
        </w:tc>
        <w:tc>
          <w:tcPr>
            <w:tcW w:w="2268" w:type="dxa"/>
            <w:vAlign w:val="center"/>
          </w:tcPr>
          <w:p w14:paraId="6F505FCA">
            <w:pPr>
              <w:pStyle w:val="12"/>
            </w:pPr>
            <w:r>
              <w:t>≥95%</w:t>
            </w:r>
          </w:p>
        </w:tc>
        <w:tc>
          <w:tcPr>
            <w:tcW w:w="1276" w:type="dxa"/>
            <w:vAlign w:val="center"/>
          </w:tcPr>
          <w:p w14:paraId="01EC396B">
            <w:pPr>
              <w:pStyle w:val="12"/>
            </w:pPr>
            <w:r>
              <w:t>城乡义务教育公用经费管理办法</w:t>
            </w:r>
          </w:p>
        </w:tc>
      </w:tr>
      <w:tr w14:paraId="52DE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704D8"/>
        </w:tc>
        <w:tc>
          <w:tcPr>
            <w:tcW w:w="2268" w:type="dxa"/>
            <w:vAlign w:val="center"/>
          </w:tcPr>
          <w:p w14:paraId="63FF9DD6">
            <w:pPr>
              <w:pStyle w:val="12"/>
            </w:pPr>
            <w:r>
              <w:t>时效指标</w:t>
            </w:r>
          </w:p>
        </w:tc>
        <w:tc>
          <w:tcPr>
            <w:tcW w:w="2835" w:type="dxa"/>
            <w:vAlign w:val="center"/>
          </w:tcPr>
          <w:p w14:paraId="08C9843F">
            <w:pPr>
              <w:pStyle w:val="12"/>
            </w:pPr>
            <w:r>
              <w:t>义教经费支付完成率</w:t>
            </w:r>
          </w:p>
        </w:tc>
        <w:tc>
          <w:tcPr>
            <w:tcW w:w="5386" w:type="dxa"/>
            <w:vAlign w:val="center"/>
          </w:tcPr>
          <w:p w14:paraId="17E66D22">
            <w:pPr>
              <w:pStyle w:val="12"/>
            </w:pPr>
            <w:r>
              <w:t>按照序时进度完成资金支付</w:t>
            </w:r>
          </w:p>
        </w:tc>
        <w:tc>
          <w:tcPr>
            <w:tcW w:w="2268" w:type="dxa"/>
            <w:vAlign w:val="center"/>
          </w:tcPr>
          <w:p w14:paraId="0CFF0FD4">
            <w:pPr>
              <w:pStyle w:val="12"/>
            </w:pPr>
            <w:r>
              <w:t>100%</w:t>
            </w:r>
          </w:p>
        </w:tc>
        <w:tc>
          <w:tcPr>
            <w:tcW w:w="1276" w:type="dxa"/>
            <w:vAlign w:val="center"/>
          </w:tcPr>
          <w:p w14:paraId="5C6C9F4E">
            <w:pPr>
              <w:pStyle w:val="12"/>
            </w:pPr>
            <w:r>
              <w:t>城乡义务教育公用经费管理办法</w:t>
            </w:r>
          </w:p>
        </w:tc>
      </w:tr>
      <w:tr w14:paraId="0468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C0849"/>
        </w:tc>
        <w:tc>
          <w:tcPr>
            <w:tcW w:w="2268" w:type="dxa"/>
            <w:vAlign w:val="center"/>
          </w:tcPr>
          <w:p w14:paraId="31BA9EDD">
            <w:pPr>
              <w:pStyle w:val="12"/>
            </w:pPr>
            <w:r>
              <w:t>成本指标</w:t>
            </w:r>
          </w:p>
        </w:tc>
        <w:tc>
          <w:tcPr>
            <w:tcW w:w="2835" w:type="dxa"/>
            <w:vAlign w:val="center"/>
          </w:tcPr>
          <w:p w14:paraId="36BA726B">
            <w:pPr>
              <w:pStyle w:val="12"/>
            </w:pPr>
            <w:r>
              <w:t>生均拨款标准</w:t>
            </w:r>
          </w:p>
        </w:tc>
        <w:tc>
          <w:tcPr>
            <w:tcW w:w="5386" w:type="dxa"/>
            <w:vAlign w:val="center"/>
          </w:tcPr>
          <w:p w14:paraId="76C7F7E3">
            <w:pPr>
              <w:pStyle w:val="12"/>
            </w:pPr>
            <w:r>
              <w:t>小学生公用经费生均公用经费基准定额为720元/年/生，取暖费120元/年/生，住宿生补助300元/年/生的标准，随班就读学生补助7000元/生/年</w:t>
            </w:r>
          </w:p>
        </w:tc>
        <w:tc>
          <w:tcPr>
            <w:tcW w:w="2268" w:type="dxa"/>
            <w:vAlign w:val="center"/>
          </w:tcPr>
          <w:p w14:paraId="1978B5C4">
            <w:pPr>
              <w:pStyle w:val="12"/>
            </w:pPr>
            <w:r>
              <w:t>840元</w:t>
            </w:r>
          </w:p>
        </w:tc>
        <w:tc>
          <w:tcPr>
            <w:tcW w:w="1276" w:type="dxa"/>
            <w:vAlign w:val="center"/>
          </w:tcPr>
          <w:p w14:paraId="3987ED12">
            <w:pPr>
              <w:pStyle w:val="12"/>
            </w:pPr>
            <w:r>
              <w:t>城乡义务教育公用经费管理办法</w:t>
            </w:r>
          </w:p>
        </w:tc>
      </w:tr>
      <w:tr w14:paraId="392CA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31AAA">
            <w:pPr>
              <w:pStyle w:val="13"/>
            </w:pPr>
            <w:r>
              <w:t>效益指标</w:t>
            </w:r>
          </w:p>
        </w:tc>
        <w:tc>
          <w:tcPr>
            <w:tcW w:w="2268" w:type="dxa"/>
            <w:vAlign w:val="center"/>
          </w:tcPr>
          <w:p w14:paraId="70DA153E">
            <w:pPr>
              <w:pStyle w:val="12"/>
            </w:pPr>
            <w:r>
              <w:t>可持续影响指标</w:t>
            </w:r>
          </w:p>
        </w:tc>
        <w:tc>
          <w:tcPr>
            <w:tcW w:w="2835" w:type="dxa"/>
            <w:vAlign w:val="center"/>
          </w:tcPr>
          <w:p w14:paraId="48C3629B">
            <w:pPr>
              <w:pStyle w:val="12"/>
            </w:pPr>
            <w:r>
              <w:t>学校运转得到提高</w:t>
            </w:r>
          </w:p>
        </w:tc>
        <w:tc>
          <w:tcPr>
            <w:tcW w:w="5386" w:type="dxa"/>
            <w:vAlign w:val="center"/>
          </w:tcPr>
          <w:p w14:paraId="62D48A63">
            <w:pPr>
              <w:pStyle w:val="12"/>
            </w:pPr>
            <w:r>
              <w:t>学生受教育年限</w:t>
            </w:r>
          </w:p>
        </w:tc>
        <w:tc>
          <w:tcPr>
            <w:tcW w:w="2268" w:type="dxa"/>
            <w:vAlign w:val="center"/>
          </w:tcPr>
          <w:p w14:paraId="172C2DCB">
            <w:pPr>
              <w:pStyle w:val="12"/>
            </w:pPr>
            <w:r>
              <w:t>6年</w:t>
            </w:r>
          </w:p>
        </w:tc>
        <w:tc>
          <w:tcPr>
            <w:tcW w:w="1276" w:type="dxa"/>
            <w:vAlign w:val="center"/>
          </w:tcPr>
          <w:p w14:paraId="12E074DF">
            <w:pPr>
              <w:pStyle w:val="12"/>
            </w:pPr>
            <w:r>
              <w:t>城乡义务教育公用经费管理办法</w:t>
            </w:r>
          </w:p>
        </w:tc>
      </w:tr>
      <w:tr w14:paraId="6148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20EEF">
            <w:pPr>
              <w:pStyle w:val="13"/>
            </w:pPr>
            <w:r>
              <w:t>满意度指标</w:t>
            </w:r>
          </w:p>
        </w:tc>
        <w:tc>
          <w:tcPr>
            <w:tcW w:w="2268" w:type="dxa"/>
            <w:vAlign w:val="center"/>
          </w:tcPr>
          <w:p w14:paraId="5468AB59">
            <w:pPr>
              <w:pStyle w:val="12"/>
            </w:pPr>
            <w:r>
              <w:t>服务对象满意度指标</w:t>
            </w:r>
          </w:p>
        </w:tc>
        <w:tc>
          <w:tcPr>
            <w:tcW w:w="2835" w:type="dxa"/>
            <w:vAlign w:val="center"/>
          </w:tcPr>
          <w:p w14:paraId="3EFD87EB">
            <w:pPr>
              <w:pStyle w:val="12"/>
            </w:pPr>
            <w:r>
              <w:t>服务对象满意度</w:t>
            </w:r>
          </w:p>
        </w:tc>
        <w:tc>
          <w:tcPr>
            <w:tcW w:w="5386" w:type="dxa"/>
            <w:vAlign w:val="center"/>
          </w:tcPr>
          <w:p w14:paraId="6B37018D">
            <w:pPr>
              <w:pStyle w:val="12"/>
            </w:pPr>
            <w:r>
              <w:t>学校老师和学生满意度</w:t>
            </w:r>
          </w:p>
        </w:tc>
        <w:tc>
          <w:tcPr>
            <w:tcW w:w="2268" w:type="dxa"/>
            <w:vAlign w:val="center"/>
          </w:tcPr>
          <w:p w14:paraId="4EFE0D49">
            <w:pPr>
              <w:pStyle w:val="12"/>
            </w:pPr>
            <w:r>
              <w:t>≥95%</w:t>
            </w:r>
          </w:p>
        </w:tc>
        <w:tc>
          <w:tcPr>
            <w:tcW w:w="1276" w:type="dxa"/>
            <w:vAlign w:val="center"/>
          </w:tcPr>
          <w:p w14:paraId="097BBF1C">
            <w:pPr>
              <w:pStyle w:val="12"/>
            </w:pPr>
            <w:r>
              <w:t>群众测评</w:t>
            </w:r>
          </w:p>
        </w:tc>
      </w:tr>
    </w:tbl>
    <w:p w14:paraId="33A1A24F">
      <w:pPr>
        <w:sectPr>
          <w:pgSz w:w="16840" w:h="11900" w:orient="landscape"/>
          <w:pgMar w:top="1361" w:right="1020" w:bottom="1134" w:left="1020" w:header="720" w:footer="720" w:gutter="0"/>
          <w:cols w:space="720" w:num="1"/>
        </w:sectPr>
      </w:pPr>
    </w:p>
    <w:p w14:paraId="080B69EE">
      <w:pPr>
        <w:spacing w:before="0" w:after="0"/>
        <w:ind w:firstLine="560"/>
        <w:jc w:val="left"/>
        <w:outlineLvl w:val="9"/>
      </w:pPr>
      <w:r>
        <w:rPr>
          <w:rFonts w:ascii="方正仿宋_GBK" w:hAnsi="方正仿宋_GBK" w:eastAsia="方正仿宋_GBK" w:cs="方正仿宋_GBK"/>
          <w:b/>
          <w:color w:val="000000"/>
          <w:sz w:val="28"/>
        </w:rPr>
        <w:t>29、县级配套/双碑校区大崔庄小学公用经费绩效目标表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19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F9B55">
            <w:pPr>
              <w:pStyle w:val="11"/>
            </w:pPr>
            <w:r>
              <w:t>单位：万元</w:t>
            </w:r>
          </w:p>
        </w:tc>
      </w:tr>
      <w:tr w14:paraId="28D14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99637">
            <w:pPr>
              <w:pStyle w:val="10"/>
            </w:pPr>
            <w:r>
              <w:t>项目编码</w:t>
            </w:r>
          </w:p>
        </w:tc>
        <w:tc>
          <w:tcPr>
            <w:tcW w:w="5103" w:type="dxa"/>
            <w:gridSpan w:val="2"/>
            <w:vAlign w:val="center"/>
          </w:tcPr>
          <w:p w14:paraId="2FD6A522">
            <w:pPr>
              <w:pStyle w:val="12"/>
            </w:pPr>
            <w:r>
              <w:t>13052526P00000410447C</w:t>
            </w:r>
          </w:p>
        </w:tc>
        <w:tc>
          <w:tcPr>
            <w:tcW w:w="2835" w:type="dxa"/>
            <w:vAlign w:val="center"/>
          </w:tcPr>
          <w:p w14:paraId="7AF81DD7">
            <w:pPr>
              <w:pStyle w:val="10"/>
            </w:pPr>
            <w:r>
              <w:t>项目名称</w:t>
            </w:r>
          </w:p>
        </w:tc>
        <w:tc>
          <w:tcPr>
            <w:tcW w:w="6095" w:type="dxa"/>
            <w:gridSpan w:val="3"/>
            <w:vAlign w:val="center"/>
          </w:tcPr>
          <w:p w14:paraId="1BFDC5B8">
            <w:pPr>
              <w:pStyle w:val="12"/>
            </w:pPr>
            <w:r>
              <w:t>县级配套/双碑校区大崔庄小学公用经费</w:t>
            </w:r>
          </w:p>
        </w:tc>
      </w:tr>
      <w:tr w14:paraId="105E0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5C0D3">
            <w:pPr>
              <w:pStyle w:val="10"/>
            </w:pPr>
            <w:r>
              <w:t>预算规模及资金用途</w:t>
            </w:r>
          </w:p>
        </w:tc>
        <w:tc>
          <w:tcPr>
            <w:tcW w:w="2268" w:type="dxa"/>
            <w:vAlign w:val="center"/>
          </w:tcPr>
          <w:p w14:paraId="68A2F5F4">
            <w:pPr>
              <w:pStyle w:val="10"/>
            </w:pPr>
            <w:r>
              <w:t>预算数</w:t>
            </w:r>
          </w:p>
        </w:tc>
        <w:tc>
          <w:tcPr>
            <w:tcW w:w="2835" w:type="dxa"/>
            <w:vAlign w:val="center"/>
          </w:tcPr>
          <w:p w14:paraId="32AEB2F4">
            <w:pPr>
              <w:pStyle w:val="12"/>
            </w:pPr>
            <w:r>
              <w:t>1.48</w:t>
            </w:r>
          </w:p>
        </w:tc>
        <w:tc>
          <w:tcPr>
            <w:tcW w:w="2835" w:type="dxa"/>
            <w:vAlign w:val="center"/>
          </w:tcPr>
          <w:p w14:paraId="399CF877">
            <w:pPr>
              <w:pStyle w:val="10"/>
            </w:pPr>
            <w:r>
              <w:t>其中：财政    资金</w:t>
            </w:r>
          </w:p>
        </w:tc>
        <w:tc>
          <w:tcPr>
            <w:tcW w:w="2551" w:type="dxa"/>
            <w:vAlign w:val="center"/>
          </w:tcPr>
          <w:p w14:paraId="3B6EA8B9">
            <w:pPr>
              <w:pStyle w:val="12"/>
            </w:pPr>
            <w:r>
              <w:t>1.48</w:t>
            </w:r>
          </w:p>
        </w:tc>
        <w:tc>
          <w:tcPr>
            <w:tcW w:w="2268" w:type="dxa"/>
            <w:vAlign w:val="center"/>
          </w:tcPr>
          <w:p w14:paraId="23A1D9D9">
            <w:pPr>
              <w:pStyle w:val="10"/>
            </w:pPr>
            <w:r>
              <w:t>其他资金</w:t>
            </w:r>
          </w:p>
        </w:tc>
        <w:tc>
          <w:tcPr>
            <w:tcW w:w="1276" w:type="dxa"/>
            <w:vAlign w:val="center"/>
          </w:tcPr>
          <w:p w14:paraId="6E4EB40F">
            <w:pPr>
              <w:pStyle w:val="12"/>
            </w:pPr>
            <w:r>
              <w:t xml:space="preserve"> </w:t>
            </w:r>
          </w:p>
        </w:tc>
      </w:tr>
      <w:tr w14:paraId="15E48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463DA"/>
        </w:tc>
        <w:tc>
          <w:tcPr>
            <w:tcW w:w="14033" w:type="dxa"/>
            <w:gridSpan w:val="6"/>
            <w:vAlign w:val="center"/>
          </w:tcPr>
          <w:p w14:paraId="04ADC6C7">
            <w:pPr>
              <w:pStyle w:val="12"/>
            </w:pPr>
            <w:r>
              <w:rPr>
                <w:rFonts w:hint="eastAsia"/>
                <w:lang w:eastAsia="zh-CN"/>
              </w:rPr>
              <w:t>”</w:t>
            </w:r>
            <w:r>
              <w:t>保障学校正常运转，完成各项教育教学活动和其他日常工作任务等方面的费用支出。</w:t>
            </w:r>
            <w:r>
              <w:tab/>
            </w:r>
            <w:r>
              <w:tab/>
            </w:r>
            <w:r>
              <w:tab/>
            </w:r>
            <w:r>
              <w:tab/>
            </w:r>
            <w:r>
              <w:tab/>
            </w:r>
            <w:r>
              <w:tab/>
            </w:r>
          </w:p>
          <w:p w14:paraId="27402806">
            <w:pPr>
              <w:pStyle w:val="12"/>
            </w:pPr>
            <w:r>
              <w:tab/>
            </w:r>
            <w:r>
              <w:tab/>
            </w:r>
            <w:r>
              <w:tab/>
            </w:r>
            <w:r>
              <w:tab/>
            </w:r>
          </w:p>
          <w:p w14:paraId="7418CA38">
            <w:pPr>
              <w:pStyle w:val="12"/>
            </w:pPr>
            <w:r>
              <w:t>"</w:t>
            </w:r>
            <w:r>
              <w:tab/>
            </w:r>
            <w:r>
              <w:tab/>
            </w:r>
            <w:r>
              <w:tab/>
            </w:r>
            <w:r>
              <w:tab/>
            </w:r>
            <w:r>
              <w:tab/>
            </w:r>
            <w:r>
              <w:tab/>
            </w:r>
          </w:p>
          <w:p w14:paraId="56F9F6CC">
            <w:pPr>
              <w:pStyle w:val="12"/>
            </w:pPr>
          </w:p>
        </w:tc>
      </w:tr>
      <w:tr w14:paraId="1BAB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BFB23">
            <w:pPr>
              <w:pStyle w:val="10"/>
            </w:pPr>
            <w:r>
              <w:t>资金支出计划（%）</w:t>
            </w:r>
          </w:p>
        </w:tc>
        <w:tc>
          <w:tcPr>
            <w:tcW w:w="5103" w:type="dxa"/>
            <w:gridSpan w:val="2"/>
            <w:vAlign w:val="center"/>
          </w:tcPr>
          <w:p w14:paraId="26AF6DED">
            <w:pPr>
              <w:pStyle w:val="10"/>
            </w:pPr>
            <w:r>
              <w:t>3月底</w:t>
            </w:r>
          </w:p>
        </w:tc>
        <w:tc>
          <w:tcPr>
            <w:tcW w:w="2835" w:type="dxa"/>
            <w:vAlign w:val="center"/>
          </w:tcPr>
          <w:p w14:paraId="6D034682">
            <w:pPr>
              <w:pStyle w:val="10"/>
            </w:pPr>
            <w:r>
              <w:t>6月底</w:t>
            </w:r>
          </w:p>
        </w:tc>
        <w:tc>
          <w:tcPr>
            <w:tcW w:w="2551" w:type="dxa"/>
            <w:vAlign w:val="center"/>
          </w:tcPr>
          <w:p w14:paraId="4E89BF6D">
            <w:pPr>
              <w:pStyle w:val="10"/>
            </w:pPr>
            <w:r>
              <w:t>10月底</w:t>
            </w:r>
          </w:p>
        </w:tc>
        <w:tc>
          <w:tcPr>
            <w:tcW w:w="3544" w:type="dxa"/>
            <w:gridSpan w:val="2"/>
            <w:vAlign w:val="center"/>
          </w:tcPr>
          <w:p w14:paraId="36C00653">
            <w:pPr>
              <w:pStyle w:val="10"/>
            </w:pPr>
            <w:r>
              <w:t>12月底</w:t>
            </w:r>
          </w:p>
        </w:tc>
      </w:tr>
      <w:tr w14:paraId="18774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B97F5"/>
        </w:tc>
        <w:tc>
          <w:tcPr>
            <w:tcW w:w="5103" w:type="dxa"/>
            <w:gridSpan w:val="2"/>
            <w:vAlign w:val="center"/>
          </w:tcPr>
          <w:p w14:paraId="05A6641D">
            <w:pPr>
              <w:pStyle w:val="13"/>
            </w:pPr>
            <w:r>
              <w:t>25%</w:t>
            </w:r>
          </w:p>
        </w:tc>
        <w:tc>
          <w:tcPr>
            <w:tcW w:w="2835" w:type="dxa"/>
            <w:vAlign w:val="center"/>
          </w:tcPr>
          <w:p w14:paraId="3456EA8E">
            <w:pPr>
              <w:pStyle w:val="13"/>
            </w:pPr>
            <w:r>
              <w:t>50%</w:t>
            </w:r>
          </w:p>
        </w:tc>
        <w:tc>
          <w:tcPr>
            <w:tcW w:w="2551" w:type="dxa"/>
            <w:vAlign w:val="center"/>
          </w:tcPr>
          <w:p w14:paraId="569C0289">
            <w:pPr>
              <w:pStyle w:val="13"/>
            </w:pPr>
            <w:r>
              <w:t>75%</w:t>
            </w:r>
          </w:p>
        </w:tc>
        <w:tc>
          <w:tcPr>
            <w:tcW w:w="3544" w:type="dxa"/>
            <w:gridSpan w:val="2"/>
            <w:vAlign w:val="center"/>
          </w:tcPr>
          <w:p w14:paraId="6D3ECDB9">
            <w:pPr>
              <w:pStyle w:val="13"/>
            </w:pPr>
            <w:r>
              <w:t>100%</w:t>
            </w:r>
          </w:p>
        </w:tc>
      </w:tr>
      <w:tr w14:paraId="1B58D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7A028">
            <w:pPr>
              <w:pStyle w:val="10"/>
            </w:pPr>
            <w:r>
              <w:t>绩效目标</w:t>
            </w:r>
          </w:p>
        </w:tc>
        <w:tc>
          <w:tcPr>
            <w:tcW w:w="14033" w:type="dxa"/>
            <w:gridSpan w:val="6"/>
            <w:vAlign w:val="center"/>
          </w:tcPr>
          <w:p w14:paraId="62DF9C3B">
            <w:pPr>
              <w:pStyle w:val="12"/>
            </w:pPr>
            <w:r>
              <w:t>1.按季度分批次拨付公用经费资金，资金拨付率达到100%。</w:t>
            </w:r>
            <w:r>
              <w:tab/>
            </w:r>
            <w:r>
              <w:tab/>
            </w:r>
          </w:p>
          <w:p w14:paraId="593C133D">
            <w:pPr>
              <w:pStyle w:val="12"/>
            </w:pPr>
            <w:r>
              <w:t>2.保障学校正常运转，完成各项教育教学活动和其他日常工作任务等方面的费用支出。</w:t>
            </w:r>
            <w:r>
              <w:tab/>
            </w:r>
            <w:r>
              <w:tab/>
            </w:r>
            <w:r>
              <w:tab/>
            </w:r>
            <w:r>
              <w:tab/>
            </w:r>
            <w:r>
              <w:tab/>
            </w:r>
            <w:r>
              <w:tab/>
            </w:r>
          </w:p>
          <w:p w14:paraId="15494C87">
            <w:pPr>
              <w:pStyle w:val="12"/>
            </w:pPr>
            <w:r>
              <w:tab/>
            </w:r>
            <w:r>
              <w:tab/>
            </w:r>
            <w:r>
              <w:tab/>
            </w:r>
            <w:r>
              <w:tab/>
            </w:r>
          </w:p>
          <w:p w14:paraId="0D62119B">
            <w:pPr>
              <w:pStyle w:val="12"/>
            </w:pPr>
          </w:p>
        </w:tc>
      </w:tr>
    </w:tbl>
    <w:p w14:paraId="4304C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4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A50AA">
            <w:pPr>
              <w:pStyle w:val="10"/>
            </w:pPr>
            <w:r>
              <w:t>一级指标</w:t>
            </w:r>
          </w:p>
        </w:tc>
        <w:tc>
          <w:tcPr>
            <w:tcW w:w="2268" w:type="dxa"/>
            <w:vAlign w:val="center"/>
          </w:tcPr>
          <w:p w14:paraId="6BAB0527">
            <w:pPr>
              <w:pStyle w:val="10"/>
            </w:pPr>
            <w:r>
              <w:t>二级指标</w:t>
            </w:r>
          </w:p>
        </w:tc>
        <w:tc>
          <w:tcPr>
            <w:tcW w:w="2835" w:type="dxa"/>
            <w:vAlign w:val="center"/>
          </w:tcPr>
          <w:p w14:paraId="441329D9">
            <w:pPr>
              <w:pStyle w:val="10"/>
            </w:pPr>
            <w:r>
              <w:t>三级指标</w:t>
            </w:r>
          </w:p>
        </w:tc>
        <w:tc>
          <w:tcPr>
            <w:tcW w:w="5386" w:type="dxa"/>
            <w:vAlign w:val="center"/>
          </w:tcPr>
          <w:p w14:paraId="11EB1BE0">
            <w:pPr>
              <w:pStyle w:val="10"/>
            </w:pPr>
            <w:r>
              <w:t>绩效指标描述</w:t>
            </w:r>
          </w:p>
        </w:tc>
        <w:tc>
          <w:tcPr>
            <w:tcW w:w="2268" w:type="dxa"/>
            <w:vAlign w:val="center"/>
          </w:tcPr>
          <w:p w14:paraId="69E06613">
            <w:pPr>
              <w:pStyle w:val="10"/>
            </w:pPr>
            <w:r>
              <w:t>指标值</w:t>
            </w:r>
          </w:p>
        </w:tc>
        <w:tc>
          <w:tcPr>
            <w:tcW w:w="1276" w:type="dxa"/>
            <w:vAlign w:val="center"/>
          </w:tcPr>
          <w:p w14:paraId="05D8D466">
            <w:pPr>
              <w:pStyle w:val="10"/>
            </w:pPr>
            <w:r>
              <w:t>指标值确定依据</w:t>
            </w:r>
          </w:p>
        </w:tc>
      </w:tr>
      <w:tr w14:paraId="404A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1A21E">
            <w:pPr>
              <w:pStyle w:val="13"/>
            </w:pPr>
            <w:r>
              <w:t>产出指标</w:t>
            </w:r>
          </w:p>
        </w:tc>
        <w:tc>
          <w:tcPr>
            <w:tcW w:w="2268" w:type="dxa"/>
            <w:vAlign w:val="center"/>
          </w:tcPr>
          <w:p w14:paraId="7F1FC38F">
            <w:pPr>
              <w:pStyle w:val="12"/>
            </w:pPr>
            <w:r>
              <w:t>数量指标</w:t>
            </w:r>
          </w:p>
        </w:tc>
        <w:tc>
          <w:tcPr>
            <w:tcW w:w="2835" w:type="dxa"/>
            <w:vAlign w:val="center"/>
          </w:tcPr>
          <w:p w14:paraId="17789832">
            <w:pPr>
              <w:pStyle w:val="12"/>
            </w:pPr>
            <w:r>
              <w:t>就读学生数</w:t>
            </w:r>
          </w:p>
        </w:tc>
        <w:tc>
          <w:tcPr>
            <w:tcW w:w="5386" w:type="dxa"/>
            <w:vAlign w:val="center"/>
          </w:tcPr>
          <w:p w14:paraId="7183CBC7">
            <w:pPr>
              <w:pStyle w:val="12"/>
            </w:pPr>
            <w:r>
              <w:t>辐射区域内适龄学生人数</w:t>
            </w:r>
          </w:p>
        </w:tc>
        <w:tc>
          <w:tcPr>
            <w:tcW w:w="2268" w:type="dxa"/>
            <w:vAlign w:val="center"/>
          </w:tcPr>
          <w:p w14:paraId="3EF39A19">
            <w:pPr>
              <w:pStyle w:val="12"/>
            </w:pPr>
            <w:r>
              <w:t>179人</w:t>
            </w:r>
          </w:p>
        </w:tc>
        <w:tc>
          <w:tcPr>
            <w:tcW w:w="1276" w:type="dxa"/>
            <w:vAlign w:val="center"/>
          </w:tcPr>
          <w:p w14:paraId="56FAE96C">
            <w:pPr>
              <w:pStyle w:val="12"/>
            </w:pPr>
            <w:r>
              <w:t>城乡义务教育公用经费管理办法</w:t>
            </w:r>
          </w:p>
        </w:tc>
      </w:tr>
      <w:tr w14:paraId="6BC2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EDC25"/>
        </w:tc>
        <w:tc>
          <w:tcPr>
            <w:tcW w:w="2268" w:type="dxa"/>
            <w:vAlign w:val="center"/>
          </w:tcPr>
          <w:p w14:paraId="16B173CD">
            <w:pPr>
              <w:pStyle w:val="12"/>
            </w:pPr>
            <w:r>
              <w:t>质量指标</w:t>
            </w:r>
          </w:p>
        </w:tc>
        <w:tc>
          <w:tcPr>
            <w:tcW w:w="2835" w:type="dxa"/>
            <w:vAlign w:val="center"/>
          </w:tcPr>
          <w:p w14:paraId="3CB9606A">
            <w:pPr>
              <w:pStyle w:val="12"/>
            </w:pPr>
            <w:r>
              <w:t>预算执行率</w:t>
            </w:r>
          </w:p>
        </w:tc>
        <w:tc>
          <w:tcPr>
            <w:tcW w:w="5386" w:type="dxa"/>
            <w:vAlign w:val="center"/>
          </w:tcPr>
          <w:p w14:paraId="6FAB23E2">
            <w:pPr>
              <w:pStyle w:val="12"/>
            </w:pPr>
            <w:r>
              <w:t>预算执行率</w:t>
            </w:r>
          </w:p>
        </w:tc>
        <w:tc>
          <w:tcPr>
            <w:tcW w:w="2268" w:type="dxa"/>
            <w:vAlign w:val="center"/>
          </w:tcPr>
          <w:p w14:paraId="3458E0FC">
            <w:pPr>
              <w:pStyle w:val="12"/>
            </w:pPr>
            <w:r>
              <w:t>≥95%</w:t>
            </w:r>
          </w:p>
        </w:tc>
        <w:tc>
          <w:tcPr>
            <w:tcW w:w="1276" w:type="dxa"/>
            <w:vAlign w:val="center"/>
          </w:tcPr>
          <w:p w14:paraId="1EF8AE58">
            <w:pPr>
              <w:pStyle w:val="12"/>
            </w:pPr>
            <w:r>
              <w:t>城乡义务教育公用经费管理办法</w:t>
            </w:r>
          </w:p>
        </w:tc>
      </w:tr>
      <w:tr w14:paraId="0365B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A1789"/>
        </w:tc>
        <w:tc>
          <w:tcPr>
            <w:tcW w:w="2268" w:type="dxa"/>
            <w:vAlign w:val="center"/>
          </w:tcPr>
          <w:p w14:paraId="5A12B09C">
            <w:pPr>
              <w:pStyle w:val="12"/>
            </w:pPr>
            <w:r>
              <w:t>时效指标</w:t>
            </w:r>
          </w:p>
        </w:tc>
        <w:tc>
          <w:tcPr>
            <w:tcW w:w="2835" w:type="dxa"/>
            <w:vAlign w:val="center"/>
          </w:tcPr>
          <w:p w14:paraId="2A55CCD9">
            <w:pPr>
              <w:pStyle w:val="12"/>
            </w:pPr>
            <w:r>
              <w:t>义教经费支付完成率</w:t>
            </w:r>
          </w:p>
        </w:tc>
        <w:tc>
          <w:tcPr>
            <w:tcW w:w="5386" w:type="dxa"/>
            <w:vAlign w:val="center"/>
          </w:tcPr>
          <w:p w14:paraId="38301B99">
            <w:pPr>
              <w:pStyle w:val="12"/>
            </w:pPr>
            <w:r>
              <w:t>按照序时进度完成资金支付</w:t>
            </w:r>
          </w:p>
        </w:tc>
        <w:tc>
          <w:tcPr>
            <w:tcW w:w="2268" w:type="dxa"/>
            <w:vAlign w:val="center"/>
          </w:tcPr>
          <w:p w14:paraId="52A35939">
            <w:pPr>
              <w:pStyle w:val="12"/>
            </w:pPr>
            <w:r>
              <w:t>100%</w:t>
            </w:r>
          </w:p>
        </w:tc>
        <w:tc>
          <w:tcPr>
            <w:tcW w:w="1276" w:type="dxa"/>
            <w:vAlign w:val="center"/>
          </w:tcPr>
          <w:p w14:paraId="53696BE2">
            <w:pPr>
              <w:pStyle w:val="12"/>
            </w:pPr>
            <w:r>
              <w:t>城乡义务教育公用经费管理办法</w:t>
            </w:r>
          </w:p>
        </w:tc>
      </w:tr>
      <w:tr w14:paraId="49AE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1F3F9"/>
        </w:tc>
        <w:tc>
          <w:tcPr>
            <w:tcW w:w="2268" w:type="dxa"/>
            <w:vAlign w:val="center"/>
          </w:tcPr>
          <w:p w14:paraId="5AD9B39B">
            <w:pPr>
              <w:pStyle w:val="12"/>
            </w:pPr>
            <w:r>
              <w:t>成本指标</w:t>
            </w:r>
          </w:p>
        </w:tc>
        <w:tc>
          <w:tcPr>
            <w:tcW w:w="2835" w:type="dxa"/>
            <w:vAlign w:val="center"/>
          </w:tcPr>
          <w:p w14:paraId="37296A87">
            <w:pPr>
              <w:pStyle w:val="12"/>
            </w:pPr>
            <w:r>
              <w:t>生均拨款标准</w:t>
            </w:r>
          </w:p>
        </w:tc>
        <w:tc>
          <w:tcPr>
            <w:tcW w:w="5386" w:type="dxa"/>
            <w:vAlign w:val="center"/>
          </w:tcPr>
          <w:p w14:paraId="41E107A4">
            <w:pPr>
              <w:pStyle w:val="12"/>
            </w:pPr>
            <w:r>
              <w:t>小学生公用经费生均公用经费基准定额为720元/年/生，取暖费120元/年/生，住宿生补助300元/年/生的标准，随班就读学生补助7000元/生/年</w:t>
            </w:r>
          </w:p>
        </w:tc>
        <w:tc>
          <w:tcPr>
            <w:tcW w:w="2268" w:type="dxa"/>
            <w:vAlign w:val="center"/>
          </w:tcPr>
          <w:p w14:paraId="6596EBDF">
            <w:pPr>
              <w:pStyle w:val="12"/>
            </w:pPr>
            <w:r>
              <w:t>840元</w:t>
            </w:r>
          </w:p>
        </w:tc>
        <w:tc>
          <w:tcPr>
            <w:tcW w:w="1276" w:type="dxa"/>
            <w:vAlign w:val="center"/>
          </w:tcPr>
          <w:p w14:paraId="058C210F">
            <w:pPr>
              <w:pStyle w:val="12"/>
            </w:pPr>
            <w:r>
              <w:t>城乡义务教育公用经费管理办法</w:t>
            </w:r>
          </w:p>
        </w:tc>
      </w:tr>
      <w:tr w14:paraId="01A4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2EFA5">
            <w:pPr>
              <w:pStyle w:val="13"/>
            </w:pPr>
            <w:r>
              <w:t>效益指标</w:t>
            </w:r>
          </w:p>
        </w:tc>
        <w:tc>
          <w:tcPr>
            <w:tcW w:w="2268" w:type="dxa"/>
            <w:vAlign w:val="center"/>
          </w:tcPr>
          <w:p w14:paraId="5769CCA9">
            <w:pPr>
              <w:pStyle w:val="12"/>
            </w:pPr>
            <w:r>
              <w:t>可持续影响指标</w:t>
            </w:r>
          </w:p>
        </w:tc>
        <w:tc>
          <w:tcPr>
            <w:tcW w:w="2835" w:type="dxa"/>
            <w:vAlign w:val="center"/>
          </w:tcPr>
          <w:p w14:paraId="3BCDDB47">
            <w:pPr>
              <w:pStyle w:val="12"/>
            </w:pPr>
            <w:r>
              <w:t>学校运转得到提高</w:t>
            </w:r>
          </w:p>
        </w:tc>
        <w:tc>
          <w:tcPr>
            <w:tcW w:w="5386" w:type="dxa"/>
            <w:vAlign w:val="center"/>
          </w:tcPr>
          <w:p w14:paraId="769E7928">
            <w:pPr>
              <w:pStyle w:val="12"/>
            </w:pPr>
            <w:r>
              <w:t>学生受教育年限</w:t>
            </w:r>
          </w:p>
        </w:tc>
        <w:tc>
          <w:tcPr>
            <w:tcW w:w="2268" w:type="dxa"/>
            <w:vAlign w:val="center"/>
          </w:tcPr>
          <w:p w14:paraId="7D2E4C5D">
            <w:pPr>
              <w:pStyle w:val="12"/>
            </w:pPr>
            <w:r>
              <w:t>6年</w:t>
            </w:r>
          </w:p>
        </w:tc>
        <w:tc>
          <w:tcPr>
            <w:tcW w:w="1276" w:type="dxa"/>
            <w:vAlign w:val="center"/>
          </w:tcPr>
          <w:p w14:paraId="764C8808">
            <w:pPr>
              <w:pStyle w:val="12"/>
            </w:pPr>
            <w:r>
              <w:t>城乡义务教育公用经费管理办法</w:t>
            </w:r>
          </w:p>
        </w:tc>
      </w:tr>
      <w:tr w14:paraId="5E39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69952">
            <w:pPr>
              <w:pStyle w:val="13"/>
            </w:pPr>
            <w:r>
              <w:t>满意度指标</w:t>
            </w:r>
          </w:p>
        </w:tc>
        <w:tc>
          <w:tcPr>
            <w:tcW w:w="2268" w:type="dxa"/>
            <w:vAlign w:val="center"/>
          </w:tcPr>
          <w:p w14:paraId="074BD406">
            <w:pPr>
              <w:pStyle w:val="12"/>
            </w:pPr>
            <w:r>
              <w:t>服务对象满意度指标</w:t>
            </w:r>
          </w:p>
        </w:tc>
        <w:tc>
          <w:tcPr>
            <w:tcW w:w="2835" w:type="dxa"/>
            <w:vAlign w:val="center"/>
          </w:tcPr>
          <w:p w14:paraId="7A86A0A1">
            <w:pPr>
              <w:pStyle w:val="12"/>
            </w:pPr>
            <w:r>
              <w:t>服务对象满意度</w:t>
            </w:r>
          </w:p>
        </w:tc>
        <w:tc>
          <w:tcPr>
            <w:tcW w:w="5386" w:type="dxa"/>
            <w:vAlign w:val="center"/>
          </w:tcPr>
          <w:p w14:paraId="2F42641E">
            <w:pPr>
              <w:pStyle w:val="12"/>
            </w:pPr>
            <w:r>
              <w:t>学校老师和学生满意度</w:t>
            </w:r>
          </w:p>
        </w:tc>
        <w:tc>
          <w:tcPr>
            <w:tcW w:w="2268" w:type="dxa"/>
            <w:vAlign w:val="center"/>
          </w:tcPr>
          <w:p w14:paraId="488F7DDF">
            <w:pPr>
              <w:pStyle w:val="12"/>
            </w:pPr>
            <w:r>
              <w:t>≥95%</w:t>
            </w:r>
          </w:p>
        </w:tc>
        <w:tc>
          <w:tcPr>
            <w:tcW w:w="1276" w:type="dxa"/>
            <w:vAlign w:val="center"/>
          </w:tcPr>
          <w:p w14:paraId="6BFC089A">
            <w:pPr>
              <w:pStyle w:val="12"/>
            </w:pPr>
            <w:r>
              <w:t>群众测评</w:t>
            </w:r>
          </w:p>
        </w:tc>
      </w:tr>
    </w:tbl>
    <w:p w14:paraId="4E36EC54">
      <w:pPr>
        <w:sectPr>
          <w:pgSz w:w="16840" w:h="11900" w:orient="landscape"/>
          <w:pgMar w:top="1361" w:right="1020" w:bottom="1134" w:left="1020" w:header="720" w:footer="720" w:gutter="0"/>
          <w:cols w:space="720" w:num="1"/>
        </w:sectPr>
      </w:pPr>
    </w:p>
    <w:p w14:paraId="02956EFE">
      <w:pPr>
        <w:spacing w:before="0" w:after="0"/>
        <w:ind w:firstLine="560"/>
        <w:jc w:val="left"/>
        <w:outlineLvl w:val="9"/>
      </w:pPr>
      <w:r>
        <w:rPr>
          <w:rFonts w:ascii="方正仿宋_GBK" w:hAnsi="方正仿宋_GBK" w:eastAsia="方正仿宋_GBK" w:cs="方正仿宋_GBK"/>
          <w:b/>
          <w:color w:val="000000"/>
          <w:sz w:val="28"/>
        </w:rPr>
        <w:t>30、县级配套/双碑校区木花小学公用经费绩效目标表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D0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9CA25">
            <w:pPr>
              <w:pStyle w:val="11"/>
            </w:pPr>
            <w:r>
              <w:t>单位：万元</w:t>
            </w:r>
          </w:p>
        </w:tc>
      </w:tr>
      <w:tr w14:paraId="6ACAA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60048">
            <w:pPr>
              <w:pStyle w:val="10"/>
            </w:pPr>
            <w:r>
              <w:t>项目编码</w:t>
            </w:r>
          </w:p>
        </w:tc>
        <w:tc>
          <w:tcPr>
            <w:tcW w:w="5103" w:type="dxa"/>
            <w:gridSpan w:val="2"/>
            <w:vAlign w:val="center"/>
          </w:tcPr>
          <w:p w14:paraId="3777B6A1">
            <w:pPr>
              <w:pStyle w:val="12"/>
            </w:pPr>
            <w:r>
              <w:t>13052526P000004104455</w:t>
            </w:r>
          </w:p>
        </w:tc>
        <w:tc>
          <w:tcPr>
            <w:tcW w:w="2835" w:type="dxa"/>
            <w:vAlign w:val="center"/>
          </w:tcPr>
          <w:p w14:paraId="5F54971D">
            <w:pPr>
              <w:pStyle w:val="10"/>
            </w:pPr>
            <w:r>
              <w:t>项目名称</w:t>
            </w:r>
          </w:p>
        </w:tc>
        <w:tc>
          <w:tcPr>
            <w:tcW w:w="6095" w:type="dxa"/>
            <w:gridSpan w:val="3"/>
            <w:vAlign w:val="center"/>
          </w:tcPr>
          <w:p w14:paraId="6AD8FC35">
            <w:pPr>
              <w:pStyle w:val="12"/>
            </w:pPr>
            <w:r>
              <w:t>县级配套/双碑校区木花小学公用经费</w:t>
            </w:r>
          </w:p>
        </w:tc>
      </w:tr>
      <w:tr w14:paraId="44B06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D2848">
            <w:pPr>
              <w:pStyle w:val="10"/>
            </w:pPr>
            <w:r>
              <w:t>预算规模及资金用途</w:t>
            </w:r>
          </w:p>
        </w:tc>
        <w:tc>
          <w:tcPr>
            <w:tcW w:w="2268" w:type="dxa"/>
            <w:vAlign w:val="center"/>
          </w:tcPr>
          <w:p w14:paraId="02790176">
            <w:pPr>
              <w:pStyle w:val="10"/>
            </w:pPr>
            <w:r>
              <w:t>预算数</w:t>
            </w:r>
          </w:p>
        </w:tc>
        <w:tc>
          <w:tcPr>
            <w:tcW w:w="2835" w:type="dxa"/>
            <w:vAlign w:val="center"/>
          </w:tcPr>
          <w:p w14:paraId="3E907393">
            <w:pPr>
              <w:pStyle w:val="12"/>
            </w:pPr>
            <w:r>
              <w:t>3.40</w:t>
            </w:r>
          </w:p>
        </w:tc>
        <w:tc>
          <w:tcPr>
            <w:tcW w:w="2835" w:type="dxa"/>
            <w:vAlign w:val="center"/>
          </w:tcPr>
          <w:p w14:paraId="1A1B739D">
            <w:pPr>
              <w:pStyle w:val="10"/>
            </w:pPr>
            <w:r>
              <w:t>其中：财政    资金</w:t>
            </w:r>
          </w:p>
        </w:tc>
        <w:tc>
          <w:tcPr>
            <w:tcW w:w="2551" w:type="dxa"/>
            <w:vAlign w:val="center"/>
          </w:tcPr>
          <w:p w14:paraId="1F8E37CA">
            <w:pPr>
              <w:pStyle w:val="12"/>
            </w:pPr>
            <w:r>
              <w:t>3.40</w:t>
            </w:r>
          </w:p>
        </w:tc>
        <w:tc>
          <w:tcPr>
            <w:tcW w:w="2268" w:type="dxa"/>
            <w:vAlign w:val="center"/>
          </w:tcPr>
          <w:p w14:paraId="0984764F">
            <w:pPr>
              <w:pStyle w:val="10"/>
            </w:pPr>
            <w:r>
              <w:t>其他资金</w:t>
            </w:r>
          </w:p>
        </w:tc>
        <w:tc>
          <w:tcPr>
            <w:tcW w:w="1276" w:type="dxa"/>
            <w:vAlign w:val="center"/>
          </w:tcPr>
          <w:p w14:paraId="5B314B8D">
            <w:pPr>
              <w:pStyle w:val="12"/>
            </w:pPr>
            <w:r>
              <w:t xml:space="preserve"> </w:t>
            </w:r>
          </w:p>
        </w:tc>
      </w:tr>
      <w:tr w14:paraId="5A97B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B4B1D"/>
        </w:tc>
        <w:tc>
          <w:tcPr>
            <w:tcW w:w="14033" w:type="dxa"/>
            <w:gridSpan w:val="6"/>
            <w:vAlign w:val="center"/>
          </w:tcPr>
          <w:p w14:paraId="0D693364">
            <w:pPr>
              <w:pStyle w:val="12"/>
            </w:pPr>
            <w:r>
              <w:t>保障学校正常运转，完成各项教育教学活动和其他日常工作任务等方面的费用支出。</w:t>
            </w:r>
            <w:r>
              <w:tab/>
            </w:r>
            <w:r>
              <w:tab/>
            </w:r>
            <w:r>
              <w:tab/>
            </w:r>
            <w:r>
              <w:tab/>
            </w:r>
            <w:r>
              <w:tab/>
            </w:r>
            <w:r>
              <w:tab/>
            </w:r>
          </w:p>
          <w:p w14:paraId="45491EBF">
            <w:pPr>
              <w:pStyle w:val="12"/>
            </w:pPr>
          </w:p>
        </w:tc>
      </w:tr>
      <w:tr w14:paraId="13F84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0F8D4">
            <w:pPr>
              <w:pStyle w:val="10"/>
            </w:pPr>
            <w:r>
              <w:t>资金支出计划（%）</w:t>
            </w:r>
          </w:p>
        </w:tc>
        <w:tc>
          <w:tcPr>
            <w:tcW w:w="5103" w:type="dxa"/>
            <w:gridSpan w:val="2"/>
            <w:vAlign w:val="center"/>
          </w:tcPr>
          <w:p w14:paraId="021AA48A">
            <w:pPr>
              <w:pStyle w:val="10"/>
            </w:pPr>
            <w:r>
              <w:t>3月底</w:t>
            </w:r>
          </w:p>
        </w:tc>
        <w:tc>
          <w:tcPr>
            <w:tcW w:w="2835" w:type="dxa"/>
            <w:vAlign w:val="center"/>
          </w:tcPr>
          <w:p w14:paraId="0A11F270">
            <w:pPr>
              <w:pStyle w:val="10"/>
            </w:pPr>
            <w:r>
              <w:t>6月底</w:t>
            </w:r>
          </w:p>
        </w:tc>
        <w:tc>
          <w:tcPr>
            <w:tcW w:w="2551" w:type="dxa"/>
            <w:vAlign w:val="center"/>
          </w:tcPr>
          <w:p w14:paraId="4777EFB4">
            <w:pPr>
              <w:pStyle w:val="10"/>
            </w:pPr>
            <w:r>
              <w:t>10月底</w:t>
            </w:r>
          </w:p>
        </w:tc>
        <w:tc>
          <w:tcPr>
            <w:tcW w:w="3544" w:type="dxa"/>
            <w:gridSpan w:val="2"/>
            <w:vAlign w:val="center"/>
          </w:tcPr>
          <w:p w14:paraId="29E61CB4">
            <w:pPr>
              <w:pStyle w:val="10"/>
            </w:pPr>
            <w:r>
              <w:t>12月底</w:t>
            </w:r>
          </w:p>
        </w:tc>
      </w:tr>
      <w:tr w14:paraId="774CF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C8792"/>
        </w:tc>
        <w:tc>
          <w:tcPr>
            <w:tcW w:w="5103" w:type="dxa"/>
            <w:gridSpan w:val="2"/>
            <w:vAlign w:val="center"/>
          </w:tcPr>
          <w:p w14:paraId="1F8C82A7">
            <w:pPr>
              <w:pStyle w:val="13"/>
            </w:pPr>
            <w:r>
              <w:t>25%</w:t>
            </w:r>
          </w:p>
        </w:tc>
        <w:tc>
          <w:tcPr>
            <w:tcW w:w="2835" w:type="dxa"/>
            <w:vAlign w:val="center"/>
          </w:tcPr>
          <w:p w14:paraId="26043A7D">
            <w:pPr>
              <w:pStyle w:val="13"/>
            </w:pPr>
            <w:r>
              <w:t>50%</w:t>
            </w:r>
          </w:p>
        </w:tc>
        <w:tc>
          <w:tcPr>
            <w:tcW w:w="2551" w:type="dxa"/>
            <w:vAlign w:val="center"/>
          </w:tcPr>
          <w:p w14:paraId="442A174E">
            <w:pPr>
              <w:pStyle w:val="13"/>
            </w:pPr>
            <w:r>
              <w:t>75%</w:t>
            </w:r>
          </w:p>
        </w:tc>
        <w:tc>
          <w:tcPr>
            <w:tcW w:w="3544" w:type="dxa"/>
            <w:gridSpan w:val="2"/>
            <w:vAlign w:val="center"/>
          </w:tcPr>
          <w:p w14:paraId="4D1B7548">
            <w:pPr>
              <w:pStyle w:val="13"/>
            </w:pPr>
            <w:r>
              <w:t>100%</w:t>
            </w:r>
          </w:p>
        </w:tc>
      </w:tr>
      <w:tr w14:paraId="4292B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B279A">
            <w:pPr>
              <w:pStyle w:val="10"/>
            </w:pPr>
            <w:r>
              <w:t>绩效目标</w:t>
            </w:r>
          </w:p>
        </w:tc>
        <w:tc>
          <w:tcPr>
            <w:tcW w:w="14033" w:type="dxa"/>
            <w:gridSpan w:val="6"/>
            <w:vAlign w:val="center"/>
          </w:tcPr>
          <w:p w14:paraId="5AD9151D">
            <w:pPr>
              <w:pStyle w:val="12"/>
            </w:pPr>
            <w:r>
              <w:t>1.按季度分批次拨付公用经费资金，资金拨付率达到100%。</w:t>
            </w:r>
          </w:p>
          <w:p w14:paraId="6D717E84">
            <w:pPr>
              <w:pStyle w:val="12"/>
            </w:pPr>
            <w:r>
              <w:t>2.保障学校正常运转，完成各项教育教学活动和其他日常工作任务等方面的费用支出。</w:t>
            </w:r>
          </w:p>
        </w:tc>
      </w:tr>
    </w:tbl>
    <w:p w14:paraId="1662E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8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23FA4">
            <w:pPr>
              <w:pStyle w:val="10"/>
            </w:pPr>
            <w:r>
              <w:t>一级指标</w:t>
            </w:r>
          </w:p>
        </w:tc>
        <w:tc>
          <w:tcPr>
            <w:tcW w:w="2268" w:type="dxa"/>
            <w:vAlign w:val="center"/>
          </w:tcPr>
          <w:p w14:paraId="5E56EC27">
            <w:pPr>
              <w:pStyle w:val="10"/>
            </w:pPr>
            <w:r>
              <w:t>二级指标</w:t>
            </w:r>
          </w:p>
        </w:tc>
        <w:tc>
          <w:tcPr>
            <w:tcW w:w="2835" w:type="dxa"/>
            <w:vAlign w:val="center"/>
          </w:tcPr>
          <w:p w14:paraId="127D327E">
            <w:pPr>
              <w:pStyle w:val="10"/>
            </w:pPr>
            <w:r>
              <w:t>三级指标</w:t>
            </w:r>
          </w:p>
        </w:tc>
        <w:tc>
          <w:tcPr>
            <w:tcW w:w="5386" w:type="dxa"/>
            <w:vAlign w:val="center"/>
          </w:tcPr>
          <w:p w14:paraId="42A842D4">
            <w:pPr>
              <w:pStyle w:val="10"/>
            </w:pPr>
            <w:r>
              <w:t>绩效指标描述</w:t>
            </w:r>
          </w:p>
        </w:tc>
        <w:tc>
          <w:tcPr>
            <w:tcW w:w="2268" w:type="dxa"/>
            <w:vAlign w:val="center"/>
          </w:tcPr>
          <w:p w14:paraId="60B000DB">
            <w:pPr>
              <w:pStyle w:val="10"/>
            </w:pPr>
            <w:r>
              <w:t>指标值</w:t>
            </w:r>
          </w:p>
        </w:tc>
        <w:tc>
          <w:tcPr>
            <w:tcW w:w="1276" w:type="dxa"/>
            <w:vAlign w:val="center"/>
          </w:tcPr>
          <w:p w14:paraId="78711EBC">
            <w:pPr>
              <w:pStyle w:val="10"/>
            </w:pPr>
            <w:r>
              <w:t>指标值确定依据</w:t>
            </w:r>
          </w:p>
        </w:tc>
      </w:tr>
      <w:tr w14:paraId="0B07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CA3B5">
            <w:pPr>
              <w:pStyle w:val="13"/>
            </w:pPr>
            <w:r>
              <w:t>产出指标</w:t>
            </w:r>
          </w:p>
        </w:tc>
        <w:tc>
          <w:tcPr>
            <w:tcW w:w="2268" w:type="dxa"/>
            <w:vAlign w:val="center"/>
          </w:tcPr>
          <w:p w14:paraId="64772BFE">
            <w:pPr>
              <w:pStyle w:val="12"/>
            </w:pPr>
            <w:r>
              <w:t>数量指标</w:t>
            </w:r>
          </w:p>
        </w:tc>
        <w:tc>
          <w:tcPr>
            <w:tcW w:w="2835" w:type="dxa"/>
            <w:vAlign w:val="center"/>
          </w:tcPr>
          <w:p w14:paraId="701CD008">
            <w:pPr>
              <w:pStyle w:val="12"/>
            </w:pPr>
            <w:r>
              <w:t>就读学生数</w:t>
            </w:r>
          </w:p>
        </w:tc>
        <w:tc>
          <w:tcPr>
            <w:tcW w:w="5386" w:type="dxa"/>
            <w:vAlign w:val="center"/>
          </w:tcPr>
          <w:p w14:paraId="7C4FE095">
            <w:pPr>
              <w:pStyle w:val="12"/>
            </w:pPr>
            <w:r>
              <w:t>辐射区域内适龄学生人数</w:t>
            </w:r>
          </w:p>
        </w:tc>
        <w:tc>
          <w:tcPr>
            <w:tcW w:w="2268" w:type="dxa"/>
            <w:vAlign w:val="center"/>
          </w:tcPr>
          <w:p w14:paraId="1CD031A6">
            <w:pPr>
              <w:pStyle w:val="12"/>
            </w:pPr>
            <w:r>
              <w:t>411人</w:t>
            </w:r>
          </w:p>
        </w:tc>
        <w:tc>
          <w:tcPr>
            <w:tcW w:w="1276" w:type="dxa"/>
            <w:vAlign w:val="center"/>
          </w:tcPr>
          <w:p w14:paraId="369A26F7">
            <w:pPr>
              <w:pStyle w:val="12"/>
            </w:pPr>
            <w:r>
              <w:t>城乡义务教育公用经费管理办法</w:t>
            </w:r>
          </w:p>
        </w:tc>
      </w:tr>
      <w:tr w14:paraId="52C5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C9242"/>
        </w:tc>
        <w:tc>
          <w:tcPr>
            <w:tcW w:w="2268" w:type="dxa"/>
            <w:vAlign w:val="center"/>
          </w:tcPr>
          <w:p w14:paraId="2F2E58CA">
            <w:pPr>
              <w:pStyle w:val="12"/>
            </w:pPr>
            <w:r>
              <w:t>质量指标</w:t>
            </w:r>
          </w:p>
        </w:tc>
        <w:tc>
          <w:tcPr>
            <w:tcW w:w="2835" w:type="dxa"/>
            <w:vAlign w:val="center"/>
          </w:tcPr>
          <w:p w14:paraId="1BC416EF">
            <w:pPr>
              <w:pStyle w:val="12"/>
            </w:pPr>
            <w:r>
              <w:t>预算执行率</w:t>
            </w:r>
          </w:p>
        </w:tc>
        <w:tc>
          <w:tcPr>
            <w:tcW w:w="5386" w:type="dxa"/>
            <w:vAlign w:val="center"/>
          </w:tcPr>
          <w:p w14:paraId="0D7C6FDA">
            <w:pPr>
              <w:pStyle w:val="12"/>
            </w:pPr>
            <w:r>
              <w:t>预算执行率</w:t>
            </w:r>
          </w:p>
        </w:tc>
        <w:tc>
          <w:tcPr>
            <w:tcW w:w="2268" w:type="dxa"/>
            <w:vAlign w:val="center"/>
          </w:tcPr>
          <w:p w14:paraId="7EB75C18">
            <w:pPr>
              <w:pStyle w:val="12"/>
            </w:pPr>
            <w:r>
              <w:t>≥95%</w:t>
            </w:r>
          </w:p>
        </w:tc>
        <w:tc>
          <w:tcPr>
            <w:tcW w:w="1276" w:type="dxa"/>
            <w:vAlign w:val="center"/>
          </w:tcPr>
          <w:p w14:paraId="660D38E3">
            <w:pPr>
              <w:pStyle w:val="12"/>
            </w:pPr>
            <w:r>
              <w:t>城乡义务教育公用经费管理办法</w:t>
            </w:r>
          </w:p>
        </w:tc>
      </w:tr>
      <w:tr w14:paraId="0F19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0209C"/>
        </w:tc>
        <w:tc>
          <w:tcPr>
            <w:tcW w:w="2268" w:type="dxa"/>
            <w:vAlign w:val="center"/>
          </w:tcPr>
          <w:p w14:paraId="5625AE7F">
            <w:pPr>
              <w:pStyle w:val="12"/>
            </w:pPr>
            <w:r>
              <w:t>时效指标</w:t>
            </w:r>
          </w:p>
        </w:tc>
        <w:tc>
          <w:tcPr>
            <w:tcW w:w="2835" w:type="dxa"/>
            <w:vAlign w:val="center"/>
          </w:tcPr>
          <w:p w14:paraId="68D95444">
            <w:pPr>
              <w:pStyle w:val="12"/>
            </w:pPr>
            <w:r>
              <w:t>义教经费支付完成率</w:t>
            </w:r>
          </w:p>
        </w:tc>
        <w:tc>
          <w:tcPr>
            <w:tcW w:w="5386" w:type="dxa"/>
            <w:vAlign w:val="center"/>
          </w:tcPr>
          <w:p w14:paraId="2F991A5E">
            <w:pPr>
              <w:pStyle w:val="12"/>
            </w:pPr>
            <w:r>
              <w:t>按照序时进度完成资金支付</w:t>
            </w:r>
          </w:p>
        </w:tc>
        <w:tc>
          <w:tcPr>
            <w:tcW w:w="2268" w:type="dxa"/>
            <w:vAlign w:val="center"/>
          </w:tcPr>
          <w:p w14:paraId="4149FDF6">
            <w:pPr>
              <w:pStyle w:val="12"/>
            </w:pPr>
            <w:r>
              <w:t>100%</w:t>
            </w:r>
          </w:p>
        </w:tc>
        <w:tc>
          <w:tcPr>
            <w:tcW w:w="1276" w:type="dxa"/>
            <w:vAlign w:val="center"/>
          </w:tcPr>
          <w:p w14:paraId="50024373">
            <w:pPr>
              <w:pStyle w:val="12"/>
            </w:pPr>
            <w:r>
              <w:t>城乡义务教育公用经费管理办法</w:t>
            </w:r>
          </w:p>
        </w:tc>
      </w:tr>
      <w:tr w14:paraId="51CE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97913"/>
        </w:tc>
        <w:tc>
          <w:tcPr>
            <w:tcW w:w="2268" w:type="dxa"/>
            <w:vAlign w:val="center"/>
          </w:tcPr>
          <w:p w14:paraId="0CEC700C">
            <w:pPr>
              <w:pStyle w:val="12"/>
            </w:pPr>
            <w:r>
              <w:t>成本指标</w:t>
            </w:r>
          </w:p>
        </w:tc>
        <w:tc>
          <w:tcPr>
            <w:tcW w:w="2835" w:type="dxa"/>
            <w:vAlign w:val="center"/>
          </w:tcPr>
          <w:p w14:paraId="3A93F14C">
            <w:pPr>
              <w:pStyle w:val="12"/>
            </w:pPr>
            <w:r>
              <w:t>生均拨款标准</w:t>
            </w:r>
          </w:p>
        </w:tc>
        <w:tc>
          <w:tcPr>
            <w:tcW w:w="5386" w:type="dxa"/>
            <w:vAlign w:val="center"/>
          </w:tcPr>
          <w:p w14:paraId="2782A638">
            <w:pPr>
              <w:pStyle w:val="12"/>
            </w:pPr>
            <w:r>
              <w:t>小学生公用经费生均公用经费基准定额为720元/年/生，取暖费120元/年/生，住宿生补助300元/年/生的标准，随班就读学生补助7000元/生/年</w:t>
            </w:r>
          </w:p>
        </w:tc>
        <w:tc>
          <w:tcPr>
            <w:tcW w:w="2268" w:type="dxa"/>
            <w:vAlign w:val="center"/>
          </w:tcPr>
          <w:p w14:paraId="415B4308">
            <w:pPr>
              <w:pStyle w:val="12"/>
            </w:pPr>
            <w:r>
              <w:t>840元</w:t>
            </w:r>
          </w:p>
        </w:tc>
        <w:tc>
          <w:tcPr>
            <w:tcW w:w="1276" w:type="dxa"/>
            <w:vAlign w:val="center"/>
          </w:tcPr>
          <w:p w14:paraId="036C03EA">
            <w:pPr>
              <w:pStyle w:val="12"/>
            </w:pPr>
            <w:r>
              <w:t>城乡义务教育公用经费管理办法</w:t>
            </w:r>
          </w:p>
        </w:tc>
      </w:tr>
      <w:tr w14:paraId="53B1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14A78">
            <w:pPr>
              <w:pStyle w:val="13"/>
            </w:pPr>
            <w:r>
              <w:t>效益指标</w:t>
            </w:r>
          </w:p>
        </w:tc>
        <w:tc>
          <w:tcPr>
            <w:tcW w:w="2268" w:type="dxa"/>
            <w:vAlign w:val="center"/>
          </w:tcPr>
          <w:p w14:paraId="759DD095">
            <w:pPr>
              <w:pStyle w:val="12"/>
            </w:pPr>
            <w:r>
              <w:t>可持续影响指标</w:t>
            </w:r>
          </w:p>
        </w:tc>
        <w:tc>
          <w:tcPr>
            <w:tcW w:w="2835" w:type="dxa"/>
            <w:vAlign w:val="center"/>
          </w:tcPr>
          <w:p w14:paraId="7E4C9AAD">
            <w:pPr>
              <w:pStyle w:val="12"/>
            </w:pPr>
            <w:r>
              <w:t>学校运转得到提高</w:t>
            </w:r>
          </w:p>
        </w:tc>
        <w:tc>
          <w:tcPr>
            <w:tcW w:w="5386" w:type="dxa"/>
            <w:vAlign w:val="center"/>
          </w:tcPr>
          <w:p w14:paraId="1D41EFB1">
            <w:pPr>
              <w:pStyle w:val="12"/>
            </w:pPr>
            <w:r>
              <w:t>学生受教育年限</w:t>
            </w:r>
          </w:p>
        </w:tc>
        <w:tc>
          <w:tcPr>
            <w:tcW w:w="2268" w:type="dxa"/>
            <w:vAlign w:val="center"/>
          </w:tcPr>
          <w:p w14:paraId="3492783E">
            <w:pPr>
              <w:pStyle w:val="12"/>
            </w:pPr>
            <w:r>
              <w:t>6年</w:t>
            </w:r>
          </w:p>
        </w:tc>
        <w:tc>
          <w:tcPr>
            <w:tcW w:w="1276" w:type="dxa"/>
            <w:vAlign w:val="center"/>
          </w:tcPr>
          <w:p w14:paraId="6AE92F04">
            <w:pPr>
              <w:pStyle w:val="12"/>
            </w:pPr>
            <w:r>
              <w:t>城乡义务教育公用经费管理办法</w:t>
            </w:r>
          </w:p>
        </w:tc>
      </w:tr>
      <w:tr w14:paraId="518B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3FEAD">
            <w:pPr>
              <w:pStyle w:val="13"/>
            </w:pPr>
            <w:r>
              <w:t>满意度指标</w:t>
            </w:r>
          </w:p>
        </w:tc>
        <w:tc>
          <w:tcPr>
            <w:tcW w:w="2268" w:type="dxa"/>
            <w:vAlign w:val="center"/>
          </w:tcPr>
          <w:p w14:paraId="78FF62F0">
            <w:pPr>
              <w:pStyle w:val="12"/>
            </w:pPr>
            <w:r>
              <w:t>服务对象满意度指标</w:t>
            </w:r>
          </w:p>
        </w:tc>
        <w:tc>
          <w:tcPr>
            <w:tcW w:w="2835" w:type="dxa"/>
            <w:vAlign w:val="center"/>
          </w:tcPr>
          <w:p w14:paraId="2537F39C">
            <w:pPr>
              <w:pStyle w:val="12"/>
            </w:pPr>
            <w:r>
              <w:t>服务对象满意度</w:t>
            </w:r>
          </w:p>
        </w:tc>
        <w:tc>
          <w:tcPr>
            <w:tcW w:w="5386" w:type="dxa"/>
            <w:vAlign w:val="center"/>
          </w:tcPr>
          <w:p w14:paraId="2D552E75">
            <w:pPr>
              <w:pStyle w:val="12"/>
            </w:pPr>
            <w:r>
              <w:t>学校老师和学生满意度</w:t>
            </w:r>
          </w:p>
        </w:tc>
        <w:tc>
          <w:tcPr>
            <w:tcW w:w="2268" w:type="dxa"/>
            <w:vAlign w:val="center"/>
          </w:tcPr>
          <w:p w14:paraId="23BC6159">
            <w:pPr>
              <w:pStyle w:val="12"/>
            </w:pPr>
            <w:r>
              <w:t>≥95%</w:t>
            </w:r>
          </w:p>
        </w:tc>
        <w:tc>
          <w:tcPr>
            <w:tcW w:w="1276" w:type="dxa"/>
            <w:vAlign w:val="center"/>
          </w:tcPr>
          <w:p w14:paraId="7648146B">
            <w:pPr>
              <w:pStyle w:val="12"/>
            </w:pPr>
            <w:r>
              <w:t>群众测评</w:t>
            </w:r>
          </w:p>
        </w:tc>
      </w:tr>
    </w:tbl>
    <w:p w14:paraId="75F4D1CA">
      <w:pPr>
        <w:sectPr>
          <w:pgSz w:w="16840" w:h="11900" w:orient="landscape"/>
          <w:pgMar w:top="1361" w:right="1020" w:bottom="1134" w:left="1020" w:header="720" w:footer="720" w:gutter="0"/>
          <w:cols w:space="720" w:num="1"/>
        </w:sectPr>
      </w:pPr>
    </w:p>
    <w:p w14:paraId="5B50698C">
      <w:pPr>
        <w:spacing w:before="0" w:after="0"/>
        <w:ind w:firstLine="560"/>
        <w:jc w:val="left"/>
        <w:outlineLvl w:val="9"/>
      </w:pPr>
      <w:r>
        <w:rPr>
          <w:rFonts w:ascii="方正仿宋_GBK" w:hAnsi="方正仿宋_GBK" w:eastAsia="方正仿宋_GBK" w:cs="方正仿宋_GBK"/>
          <w:b/>
          <w:color w:val="000000"/>
          <w:sz w:val="28"/>
        </w:rPr>
        <w:t>31、县级配套/双碑校区双碑小学公用经费绩效目标表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BB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D9ECF">
            <w:pPr>
              <w:pStyle w:val="11"/>
            </w:pPr>
            <w:r>
              <w:t>单位：万元</w:t>
            </w:r>
          </w:p>
        </w:tc>
      </w:tr>
      <w:tr w14:paraId="5AB79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00E26">
            <w:pPr>
              <w:pStyle w:val="10"/>
            </w:pPr>
            <w:r>
              <w:t>项目编码</w:t>
            </w:r>
          </w:p>
        </w:tc>
        <w:tc>
          <w:tcPr>
            <w:tcW w:w="5103" w:type="dxa"/>
            <w:gridSpan w:val="2"/>
            <w:vAlign w:val="center"/>
          </w:tcPr>
          <w:p w14:paraId="62BA9D98">
            <w:pPr>
              <w:pStyle w:val="12"/>
            </w:pPr>
            <w:r>
              <w:t>13052526P00000410442A</w:t>
            </w:r>
          </w:p>
        </w:tc>
        <w:tc>
          <w:tcPr>
            <w:tcW w:w="2835" w:type="dxa"/>
            <w:vAlign w:val="center"/>
          </w:tcPr>
          <w:p w14:paraId="1CEF54F2">
            <w:pPr>
              <w:pStyle w:val="10"/>
            </w:pPr>
            <w:r>
              <w:t>项目名称</w:t>
            </w:r>
          </w:p>
        </w:tc>
        <w:tc>
          <w:tcPr>
            <w:tcW w:w="6095" w:type="dxa"/>
            <w:gridSpan w:val="3"/>
            <w:vAlign w:val="center"/>
          </w:tcPr>
          <w:p w14:paraId="5C298A79">
            <w:pPr>
              <w:pStyle w:val="12"/>
            </w:pPr>
            <w:r>
              <w:t>县级配套/双碑校区双碑小学公用经费</w:t>
            </w:r>
          </w:p>
        </w:tc>
      </w:tr>
      <w:tr w14:paraId="4CCA7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DDDD4">
            <w:pPr>
              <w:pStyle w:val="10"/>
            </w:pPr>
            <w:r>
              <w:t>预算规模及资金用途</w:t>
            </w:r>
          </w:p>
        </w:tc>
        <w:tc>
          <w:tcPr>
            <w:tcW w:w="2268" w:type="dxa"/>
            <w:vAlign w:val="center"/>
          </w:tcPr>
          <w:p w14:paraId="2E170A0C">
            <w:pPr>
              <w:pStyle w:val="10"/>
            </w:pPr>
            <w:r>
              <w:t>预算数</w:t>
            </w:r>
          </w:p>
        </w:tc>
        <w:tc>
          <w:tcPr>
            <w:tcW w:w="2835" w:type="dxa"/>
            <w:vAlign w:val="center"/>
          </w:tcPr>
          <w:p w14:paraId="1DCB93DA">
            <w:pPr>
              <w:pStyle w:val="12"/>
            </w:pPr>
            <w:r>
              <w:t>3.63</w:t>
            </w:r>
          </w:p>
        </w:tc>
        <w:tc>
          <w:tcPr>
            <w:tcW w:w="2835" w:type="dxa"/>
            <w:vAlign w:val="center"/>
          </w:tcPr>
          <w:p w14:paraId="23877647">
            <w:pPr>
              <w:pStyle w:val="10"/>
            </w:pPr>
            <w:r>
              <w:t>其中：财政    资金</w:t>
            </w:r>
          </w:p>
        </w:tc>
        <w:tc>
          <w:tcPr>
            <w:tcW w:w="2551" w:type="dxa"/>
            <w:vAlign w:val="center"/>
          </w:tcPr>
          <w:p w14:paraId="5E133992">
            <w:pPr>
              <w:pStyle w:val="12"/>
            </w:pPr>
            <w:r>
              <w:t>3.63</w:t>
            </w:r>
          </w:p>
        </w:tc>
        <w:tc>
          <w:tcPr>
            <w:tcW w:w="2268" w:type="dxa"/>
            <w:vAlign w:val="center"/>
          </w:tcPr>
          <w:p w14:paraId="76AF2BB5">
            <w:pPr>
              <w:pStyle w:val="10"/>
            </w:pPr>
            <w:r>
              <w:t>其他资金</w:t>
            </w:r>
          </w:p>
        </w:tc>
        <w:tc>
          <w:tcPr>
            <w:tcW w:w="1276" w:type="dxa"/>
            <w:vAlign w:val="center"/>
          </w:tcPr>
          <w:p w14:paraId="57C9924C">
            <w:pPr>
              <w:pStyle w:val="12"/>
            </w:pPr>
            <w:r>
              <w:t xml:space="preserve"> </w:t>
            </w:r>
          </w:p>
        </w:tc>
      </w:tr>
      <w:tr w14:paraId="5D248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BB952"/>
        </w:tc>
        <w:tc>
          <w:tcPr>
            <w:tcW w:w="14033" w:type="dxa"/>
            <w:gridSpan w:val="6"/>
            <w:vAlign w:val="center"/>
          </w:tcPr>
          <w:p w14:paraId="049C2257">
            <w:pPr>
              <w:pStyle w:val="12"/>
            </w:pPr>
            <w:r>
              <w:t>保障学校正常运转，完成各项教育教学活动和其他日常工作任务等方面的费用支出。</w:t>
            </w:r>
            <w:r>
              <w:tab/>
            </w:r>
            <w:r>
              <w:tab/>
            </w:r>
            <w:r>
              <w:tab/>
            </w:r>
            <w:r>
              <w:tab/>
            </w:r>
            <w:r>
              <w:tab/>
            </w:r>
            <w:r>
              <w:tab/>
            </w:r>
          </w:p>
          <w:p w14:paraId="063D24E6">
            <w:pPr>
              <w:pStyle w:val="12"/>
            </w:pPr>
          </w:p>
        </w:tc>
      </w:tr>
      <w:tr w14:paraId="37B5D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965D9">
            <w:pPr>
              <w:pStyle w:val="10"/>
            </w:pPr>
            <w:r>
              <w:t>资金支出计划（%）</w:t>
            </w:r>
          </w:p>
        </w:tc>
        <w:tc>
          <w:tcPr>
            <w:tcW w:w="5103" w:type="dxa"/>
            <w:gridSpan w:val="2"/>
            <w:vAlign w:val="center"/>
          </w:tcPr>
          <w:p w14:paraId="30971FDB">
            <w:pPr>
              <w:pStyle w:val="10"/>
            </w:pPr>
            <w:r>
              <w:t>3月底</w:t>
            </w:r>
          </w:p>
        </w:tc>
        <w:tc>
          <w:tcPr>
            <w:tcW w:w="2835" w:type="dxa"/>
            <w:vAlign w:val="center"/>
          </w:tcPr>
          <w:p w14:paraId="0C10AAA7">
            <w:pPr>
              <w:pStyle w:val="10"/>
            </w:pPr>
            <w:r>
              <w:t>6月底</w:t>
            </w:r>
          </w:p>
        </w:tc>
        <w:tc>
          <w:tcPr>
            <w:tcW w:w="2551" w:type="dxa"/>
            <w:vAlign w:val="center"/>
          </w:tcPr>
          <w:p w14:paraId="40AA2523">
            <w:pPr>
              <w:pStyle w:val="10"/>
            </w:pPr>
            <w:r>
              <w:t>10月底</w:t>
            </w:r>
          </w:p>
        </w:tc>
        <w:tc>
          <w:tcPr>
            <w:tcW w:w="3544" w:type="dxa"/>
            <w:gridSpan w:val="2"/>
            <w:vAlign w:val="center"/>
          </w:tcPr>
          <w:p w14:paraId="62FD0123">
            <w:pPr>
              <w:pStyle w:val="10"/>
            </w:pPr>
            <w:r>
              <w:t>12月底</w:t>
            </w:r>
          </w:p>
        </w:tc>
      </w:tr>
      <w:tr w14:paraId="001FA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0BEC1"/>
        </w:tc>
        <w:tc>
          <w:tcPr>
            <w:tcW w:w="5103" w:type="dxa"/>
            <w:gridSpan w:val="2"/>
            <w:vAlign w:val="center"/>
          </w:tcPr>
          <w:p w14:paraId="78271477">
            <w:pPr>
              <w:pStyle w:val="13"/>
            </w:pPr>
            <w:r>
              <w:t>25%</w:t>
            </w:r>
          </w:p>
        </w:tc>
        <w:tc>
          <w:tcPr>
            <w:tcW w:w="2835" w:type="dxa"/>
            <w:vAlign w:val="center"/>
          </w:tcPr>
          <w:p w14:paraId="555F4F5D">
            <w:pPr>
              <w:pStyle w:val="13"/>
            </w:pPr>
            <w:r>
              <w:t>50%</w:t>
            </w:r>
          </w:p>
        </w:tc>
        <w:tc>
          <w:tcPr>
            <w:tcW w:w="2551" w:type="dxa"/>
            <w:vAlign w:val="center"/>
          </w:tcPr>
          <w:p w14:paraId="21387725">
            <w:pPr>
              <w:pStyle w:val="13"/>
            </w:pPr>
            <w:r>
              <w:t>75%</w:t>
            </w:r>
          </w:p>
        </w:tc>
        <w:tc>
          <w:tcPr>
            <w:tcW w:w="3544" w:type="dxa"/>
            <w:gridSpan w:val="2"/>
            <w:vAlign w:val="center"/>
          </w:tcPr>
          <w:p w14:paraId="20633DF5">
            <w:pPr>
              <w:pStyle w:val="13"/>
            </w:pPr>
            <w:r>
              <w:t>100%</w:t>
            </w:r>
          </w:p>
        </w:tc>
      </w:tr>
      <w:tr w14:paraId="673BA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3BC02">
            <w:pPr>
              <w:pStyle w:val="10"/>
            </w:pPr>
            <w:r>
              <w:t>绩效目标</w:t>
            </w:r>
          </w:p>
        </w:tc>
        <w:tc>
          <w:tcPr>
            <w:tcW w:w="14033" w:type="dxa"/>
            <w:gridSpan w:val="6"/>
            <w:vAlign w:val="center"/>
          </w:tcPr>
          <w:p w14:paraId="4E3BAD42">
            <w:pPr>
              <w:pStyle w:val="12"/>
            </w:pPr>
            <w:r>
              <w:t>1.按季度分批次拨付公用经费资金，资金拨付率达到100%。</w:t>
            </w:r>
          </w:p>
          <w:p w14:paraId="48D7FBBA">
            <w:pPr>
              <w:pStyle w:val="12"/>
            </w:pPr>
            <w:r>
              <w:t>2.保障学校正常运转，完成各项教育教学活动和其他日常工作任务等方面的费用支出。</w:t>
            </w:r>
          </w:p>
        </w:tc>
      </w:tr>
    </w:tbl>
    <w:p w14:paraId="674ECB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A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DF6F0">
            <w:pPr>
              <w:pStyle w:val="10"/>
            </w:pPr>
            <w:r>
              <w:t>一级指标</w:t>
            </w:r>
          </w:p>
        </w:tc>
        <w:tc>
          <w:tcPr>
            <w:tcW w:w="2268" w:type="dxa"/>
            <w:vAlign w:val="center"/>
          </w:tcPr>
          <w:p w14:paraId="31F516E4">
            <w:pPr>
              <w:pStyle w:val="10"/>
            </w:pPr>
            <w:r>
              <w:t>二级指标</w:t>
            </w:r>
          </w:p>
        </w:tc>
        <w:tc>
          <w:tcPr>
            <w:tcW w:w="2835" w:type="dxa"/>
            <w:vAlign w:val="center"/>
          </w:tcPr>
          <w:p w14:paraId="0BE3E562">
            <w:pPr>
              <w:pStyle w:val="10"/>
            </w:pPr>
            <w:r>
              <w:t>三级指标</w:t>
            </w:r>
          </w:p>
        </w:tc>
        <w:tc>
          <w:tcPr>
            <w:tcW w:w="5386" w:type="dxa"/>
            <w:vAlign w:val="center"/>
          </w:tcPr>
          <w:p w14:paraId="298D961B">
            <w:pPr>
              <w:pStyle w:val="10"/>
            </w:pPr>
            <w:r>
              <w:t>绩效指标描述</w:t>
            </w:r>
          </w:p>
        </w:tc>
        <w:tc>
          <w:tcPr>
            <w:tcW w:w="2268" w:type="dxa"/>
            <w:vAlign w:val="center"/>
          </w:tcPr>
          <w:p w14:paraId="459CF6EF">
            <w:pPr>
              <w:pStyle w:val="10"/>
            </w:pPr>
            <w:r>
              <w:t>指标值</w:t>
            </w:r>
          </w:p>
        </w:tc>
        <w:tc>
          <w:tcPr>
            <w:tcW w:w="1276" w:type="dxa"/>
            <w:vAlign w:val="center"/>
          </w:tcPr>
          <w:p w14:paraId="5635EA06">
            <w:pPr>
              <w:pStyle w:val="10"/>
            </w:pPr>
            <w:r>
              <w:t>指标值确定依据</w:t>
            </w:r>
          </w:p>
        </w:tc>
      </w:tr>
      <w:tr w14:paraId="62B7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FE2C3">
            <w:pPr>
              <w:pStyle w:val="13"/>
            </w:pPr>
            <w:r>
              <w:t>产出指标</w:t>
            </w:r>
          </w:p>
        </w:tc>
        <w:tc>
          <w:tcPr>
            <w:tcW w:w="2268" w:type="dxa"/>
            <w:vAlign w:val="center"/>
          </w:tcPr>
          <w:p w14:paraId="006A204C">
            <w:pPr>
              <w:pStyle w:val="12"/>
            </w:pPr>
            <w:r>
              <w:t>数量指标</w:t>
            </w:r>
          </w:p>
        </w:tc>
        <w:tc>
          <w:tcPr>
            <w:tcW w:w="2835" w:type="dxa"/>
            <w:vAlign w:val="center"/>
          </w:tcPr>
          <w:p w14:paraId="1FAEC84F">
            <w:pPr>
              <w:pStyle w:val="12"/>
            </w:pPr>
            <w:r>
              <w:t>就读学生数</w:t>
            </w:r>
          </w:p>
        </w:tc>
        <w:tc>
          <w:tcPr>
            <w:tcW w:w="5386" w:type="dxa"/>
            <w:vAlign w:val="center"/>
          </w:tcPr>
          <w:p w14:paraId="15D47A1E">
            <w:pPr>
              <w:pStyle w:val="12"/>
            </w:pPr>
            <w:r>
              <w:t>辐射区域内适龄学生人数</w:t>
            </w:r>
          </w:p>
        </w:tc>
        <w:tc>
          <w:tcPr>
            <w:tcW w:w="2268" w:type="dxa"/>
            <w:vAlign w:val="center"/>
          </w:tcPr>
          <w:p w14:paraId="2365733D">
            <w:pPr>
              <w:pStyle w:val="12"/>
            </w:pPr>
            <w:r>
              <w:t>432人</w:t>
            </w:r>
          </w:p>
        </w:tc>
        <w:tc>
          <w:tcPr>
            <w:tcW w:w="1276" w:type="dxa"/>
            <w:vAlign w:val="center"/>
          </w:tcPr>
          <w:p w14:paraId="2BDFD859">
            <w:pPr>
              <w:pStyle w:val="12"/>
            </w:pPr>
            <w:r>
              <w:t>城乡义务教育公用经费管理办法</w:t>
            </w:r>
          </w:p>
        </w:tc>
      </w:tr>
      <w:tr w14:paraId="6463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CD79B"/>
        </w:tc>
        <w:tc>
          <w:tcPr>
            <w:tcW w:w="2268" w:type="dxa"/>
            <w:vAlign w:val="center"/>
          </w:tcPr>
          <w:p w14:paraId="591DFC2B">
            <w:pPr>
              <w:pStyle w:val="12"/>
            </w:pPr>
            <w:r>
              <w:t>质量指标</w:t>
            </w:r>
          </w:p>
        </w:tc>
        <w:tc>
          <w:tcPr>
            <w:tcW w:w="2835" w:type="dxa"/>
            <w:vAlign w:val="center"/>
          </w:tcPr>
          <w:p w14:paraId="4965045A">
            <w:pPr>
              <w:pStyle w:val="12"/>
            </w:pPr>
            <w:r>
              <w:t>预算执行率</w:t>
            </w:r>
          </w:p>
        </w:tc>
        <w:tc>
          <w:tcPr>
            <w:tcW w:w="5386" w:type="dxa"/>
            <w:vAlign w:val="center"/>
          </w:tcPr>
          <w:p w14:paraId="31210A83">
            <w:pPr>
              <w:pStyle w:val="12"/>
            </w:pPr>
            <w:r>
              <w:t>预算执行率</w:t>
            </w:r>
          </w:p>
        </w:tc>
        <w:tc>
          <w:tcPr>
            <w:tcW w:w="2268" w:type="dxa"/>
            <w:vAlign w:val="center"/>
          </w:tcPr>
          <w:p w14:paraId="052260B5">
            <w:pPr>
              <w:pStyle w:val="12"/>
            </w:pPr>
            <w:r>
              <w:t>≥95%</w:t>
            </w:r>
          </w:p>
        </w:tc>
        <w:tc>
          <w:tcPr>
            <w:tcW w:w="1276" w:type="dxa"/>
            <w:vAlign w:val="center"/>
          </w:tcPr>
          <w:p w14:paraId="657615E2">
            <w:pPr>
              <w:pStyle w:val="12"/>
            </w:pPr>
            <w:r>
              <w:t>城乡义务教育公用经费管理办法</w:t>
            </w:r>
          </w:p>
        </w:tc>
      </w:tr>
      <w:tr w14:paraId="58BC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5086D"/>
        </w:tc>
        <w:tc>
          <w:tcPr>
            <w:tcW w:w="2268" w:type="dxa"/>
            <w:vAlign w:val="center"/>
          </w:tcPr>
          <w:p w14:paraId="3937F30E">
            <w:pPr>
              <w:pStyle w:val="12"/>
            </w:pPr>
            <w:r>
              <w:t>时效指标</w:t>
            </w:r>
          </w:p>
        </w:tc>
        <w:tc>
          <w:tcPr>
            <w:tcW w:w="2835" w:type="dxa"/>
            <w:vAlign w:val="center"/>
          </w:tcPr>
          <w:p w14:paraId="578F6A6D">
            <w:pPr>
              <w:pStyle w:val="12"/>
            </w:pPr>
            <w:r>
              <w:t>义教经费支付完成率</w:t>
            </w:r>
          </w:p>
        </w:tc>
        <w:tc>
          <w:tcPr>
            <w:tcW w:w="5386" w:type="dxa"/>
            <w:vAlign w:val="center"/>
          </w:tcPr>
          <w:p w14:paraId="689FBDBB">
            <w:pPr>
              <w:pStyle w:val="12"/>
            </w:pPr>
            <w:r>
              <w:t>按照序时进度完成资金支付</w:t>
            </w:r>
          </w:p>
        </w:tc>
        <w:tc>
          <w:tcPr>
            <w:tcW w:w="2268" w:type="dxa"/>
            <w:vAlign w:val="center"/>
          </w:tcPr>
          <w:p w14:paraId="76C84228">
            <w:pPr>
              <w:pStyle w:val="12"/>
            </w:pPr>
            <w:r>
              <w:t>100%</w:t>
            </w:r>
          </w:p>
        </w:tc>
        <w:tc>
          <w:tcPr>
            <w:tcW w:w="1276" w:type="dxa"/>
            <w:vAlign w:val="center"/>
          </w:tcPr>
          <w:p w14:paraId="5ABD759E">
            <w:pPr>
              <w:pStyle w:val="12"/>
            </w:pPr>
            <w:r>
              <w:t>城乡义务教育公用经费管理办法</w:t>
            </w:r>
          </w:p>
        </w:tc>
      </w:tr>
      <w:tr w14:paraId="6A29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3652A"/>
        </w:tc>
        <w:tc>
          <w:tcPr>
            <w:tcW w:w="2268" w:type="dxa"/>
            <w:vAlign w:val="center"/>
          </w:tcPr>
          <w:p w14:paraId="11771F0F">
            <w:pPr>
              <w:pStyle w:val="12"/>
            </w:pPr>
            <w:r>
              <w:t>成本指标</w:t>
            </w:r>
          </w:p>
        </w:tc>
        <w:tc>
          <w:tcPr>
            <w:tcW w:w="2835" w:type="dxa"/>
            <w:vAlign w:val="center"/>
          </w:tcPr>
          <w:p w14:paraId="3DE7DEC6">
            <w:pPr>
              <w:pStyle w:val="12"/>
            </w:pPr>
            <w:r>
              <w:t>生均拨款标准</w:t>
            </w:r>
          </w:p>
        </w:tc>
        <w:tc>
          <w:tcPr>
            <w:tcW w:w="5386" w:type="dxa"/>
            <w:vAlign w:val="center"/>
          </w:tcPr>
          <w:p w14:paraId="3285B8C5">
            <w:pPr>
              <w:pStyle w:val="12"/>
            </w:pPr>
            <w:r>
              <w:t>小学生公用经费生均公用经费基准定额为720元/年/生，取暖费120元/年/生，住宿生补助300元/年/生的标准，随班就读学生补助7000元/生/年</w:t>
            </w:r>
          </w:p>
        </w:tc>
        <w:tc>
          <w:tcPr>
            <w:tcW w:w="2268" w:type="dxa"/>
            <w:vAlign w:val="center"/>
          </w:tcPr>
          <w:p w14:paraId="5A91268C">
            <w:pPr>
              <w:pStyle w:val="12"/>
            </w:pPr>
            <w:r>
              <w:t>840元</w:t>
            </w:r>
          </w:p>
        </w:tc>
        <w:tc>
          <w:tcPr>
            <w:tcW w:w="1276" w:type="dxa"/>
            <w:vAlign w:val="center"/>
          </w:tcPr>
          <w:p w14:paraId="5584C68D">
            <w:pPr>
              <w:pStyle w:val="12"/>
            </w:pPr>
            <w:r>
              <w:t>城乡义务教育公用经费管理办法</w:t>
            </w:r>
          </w:p>
        </w:tc>
      </w:tr>
      <w:tr w14:paraId="0FB8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B4B19">
            <w:pPr>
              <w:pStyle w:val="13"/>
            </w:pPr>
            <w:r>
              <w:t>效益指标</w:t>
            </w:r>
          </w:p>
        </w:tc>
        <w:tc>
          <w:tcPr>
            <w:tcW w:w="2268" w:type="dxa"/>
            <w:vAlign w:val="center"/>
          </w:tcPr>
          <w:p w14:paraId="7FFEC893">
            <w:pPr>
              <w:pStyle w:val="12"/>
            </w:pPr>
            <w:r>
              <w:t>可持续影响指标</w:t>
            </w:r>
          </w:p>
        </w:tc>
        <w:tc>
          <w:tcPr>
            <w:tcW w:w="2835" w:type="dxa"/>
            <w:vAlign w:val="center"/>
          </w:tcPr>
          <w:p w14:paraId="3D790755">
            <w:pPr>
              <w:pStyle w:val="12"/>
            </w:pPr>
            <w:r>
              <w:t>学校运转得到提高</w:t>
            </w:r>
          </w:p>
        </w:tc>
        <w:tc>
          <w:tcPr>
            <w:tcW w:w="5386" w:type="dxa"/>
            <w:vAlign w:val="center"/>
          </w:tcPr>
          <w:p w14:paraId="1A077BC0">
            <w:pPr>
              <w:pStyle w:val="12"/>
            </w:pPr>
            <w:r>
              <w:t>学生受教育年限</w:t>
            </w:r>
          </w:p>
        </w:tc>
        <w:tc>
          <w:tcPr>
            <w:tcW w:w="2268" w:type="dxa"/>
            <w:vAlign w:val="center"/>
          </w:tcPr>
          <w:p w14:paraId="70E417EA">
            <w:pPr>
              <w:pStyle w:val="12"/>
            </w:pPr>
            <w:r>
              <w:t>6年</w:t>
            </w:r>
          </w:p>
        </w:tc>
        <w:tc>
          <w:tcPr>
            <w:tcW w:w="1276" w:type="dxa"/>
            <w:vAlign w:val="center"/>
          </w:tcPr>
          <w:p w14:paraId="31B6A024">
            <w:pPr>
              <w:pStyle w:val="12"/>
            </w:pPr>
            <w:r>
              <w:t>城乡义务教育公用经费管理办法</w:t>
            </w:r>
          </w:p>
        </w:tc>
      </w:tr>
      <w:tr w14:paraId="20BF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61B01">
            <w:pPr>
              <w:pStyle w:val="13"/>
            </w:pPr>
            <w:r>
              <w:t>满意度指标</w:t>
            </w:r>
          </w:p>
        </w:tc>
        <w:tc>
          <w:tcPr>
            <w:tcW w:w="2268" w:type="dxa"/>
            <w:vAlign w:val="center"/>
          </w:tcPr>
          <w:p w14:paraId="60C1FB09">
            <w:pPr>
              <w:pStyle w:val="12"/>
            </w:pPr>
            <w:r>
              <w:t>服务对象满意度指标</w:t>
            </w:r>
          </w:p>
        </w:tc>
        <w:tc>
          <w:tcPr>
            <w:tcW w:w="2835" w:type="dxa"/>
            <w:vAlign w:val="center"/>
          </w:tcPr>
          <w:p w14:paraId="6C0B5833">
            <w:pPr>
              <w:pStyle w:val="12"/>
            </w:pPr>
            <w:r>
              <w:t>服务对象满意度</w:t>
            </w:r>
          </w:p>
        </w:tc>
        <w:tc>
          <w:tcPr>
            <w:tcW w:w="5386" w:type="dxa"/>
            <w:vAlign w:val="center"/>
          </w:tcPr>
          <w:p w14:paraId="2438C265">
            <w:pPr>
              <w:pStyle w:val="12"/>
            </w:pPr>
            <w:r>
              <w:t>学校老师和学生满意度</w:t>
            </w:r>
          </w:p>
        </w:tc>
        <w:tc>
          <w:tcPr>
            <w:tcW w:w="2268" w:type="dxa"/>
            <w:vAlign w:val="center"/>
          </w:tcPr>
          <w:p w14:paraId="4EEAEA42">
            <w:pPr>
              <w:pStyle w:val="12"/>
            </w:pPr>
            <w:r>
              <w:t>≥95%</w:t>
            </w:r>
          </w:p>
        </w:tc>
        <w:tc>
          <w:tcPr>
            <w:tcW w:w="1276" w:type="dxa"/>
            <w:vAlign w:val="center"/>
          </w:tcPr>
          <w:p w14:paraId="0455DAB6">
            <w:pPr>
              <w:pStyle w:val="12"/>
            </w:pPr>
            <w:r>
              <w:t>群众测评</w:t>
            </w:r>
          </w:p>
        </w:tc>
      </w:tr>
    </w:tbl>
    <w:p w14:paraId="21F7C794">
      <w:pPr>
        <w:sectPr>
          <w:pgSz w:w="16840" w:h="11900" w:orient="landscape"/>
          <w:pgMar w:top="1361" w:right="1020" w:bottom="1134" w:left="1020" w:header="720" w:footer="720" w:gutter="0"/>
          <w:cols w:space="720" w:num="1"/>
        </w:sectPr>
      </w:pPr>
    </w:p>
    <w:p w14:paraId="1A5BEBB2">
      <w:pPr>
        <w:spacing w:before="0" w:after="0"/>
        <w:ind w:firstLine="560"/>
        <w:jc w:val="left"/>
        <w:outlineLvl w:val="9"/>
      </w:pPr>
      <w:r>
        <w:rPr>
          <w:rFonts w:ascii="方正仿宋_GBK" w:hAnsi="方正仿宋_GBK" w:eastAsia="方正仿宋_GBK" w:cs="方正仿宋_GBK"/>
          <w:b/>
          <w:color w:val="000000"/>
          <w:sz w:val="28"/>
        </w:rPr>
        <w:t>32、县级配套/双碑校区西良后小学公用经费绩效目标表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56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1311B">
            <w:pPr>
              <w:pStyle w:val="11"/>
            </w:pPr>
            <w:r>
              <w:t>单位：万元</w:t>
            </w:r>
          </w:p>
        </w:tc>
      </w:tr>
      <w:tr w14:paraId="33671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E8E4C">
            <w:pPr>
              <w:pStyle w:val="10"/>
            </w:pPr>
            <w:r>
              <w:t>项目编码</w:t>
            </w:r>
          </w:p>
        </w:tc>
        <w:tc>
          <w:tcPr>
            <w:tcW w:w="5103" w:type="dxa"/>
            <w:gridSpan w:val="2"/>
            <w:vAlign w:val="center"/>
          </w:tcPr>
          <w:p w14:paraId="11572E5F">
            <w:pPr>
              <w:pStyle w:val="12"/>
            </w:pPr>
            <w:r>
              <w:t>13052526P00000410446Q</w:t>
            </w:r>
          </w:p>
        </w:tc>
        <w:tc>
          <w:tcPr>
            <w:tcW w:w="2835" w:type="dxa"/>
            <w:vAlign w:val="center"/>
          </w:tcPr>
          <w:p w14:paraId="3693B986">
            <w:pPr>
              <w:pStyle w:val="10"/>
            </w:pPr>
            <w:r>
              <w:t>项目名称</w:t>
            </w:r>
          </w:p>
        </w:tc>
        <w:tc>
          <w:tcPr>
            <w:tcW w:w="6095" w:type="dxa"/>
            <w:gridSpan w:val="3"/>
            <w:vAlign w:val="center"/>
          </w:tcPr>
          <w:p w14:paraId="24308134">
            <w:pPr>
              <w:pStyle w:val="12"/>
            </w:pPr>
            <w:r>
              <w:t>县级配套/双碑校区西良后小学公用经费</w:t>
            </w:r>
          </w:p>
        </w:tc>
      </w:tr>
      <w:tr w14:paraId="7047B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6DC71">
            <w:pPr>
              <w:pStyle w:val="10"/>
            </w:pPr>
            <w:r>
              <w:t>预算规模及资金用途</w:t>
            </w:r>
          </w:p>
        </w:tc>
        <w:tc>
          <w:tcPr>
            <w:tcW w:w="2268" w:type="dxa"/>
            <w:vAlign w:val="center"/>
          </w:tcPr>
          <w:p w14:paraId="1D1DD181">
            <w:pPr>
              <w:pStyle w:val="10"/>
            </w:pPr>
            <w:r>
              <w:t>预算数</w:t>
            </w:r>
          </w:p>
        </w:tc>
        <w:tc>
          <w:tcPr>
            <w:tcW w:w="2835" w:type="dxa"/>
            <w:vAlign w:val="center"/>
          </w:tcPr>
          <w:p w14:paraId="10AFF03B">
            <w:pPr>
              <w:pStyle w:val="12"/>
            </w:pPr>
            <w:r>
              <w:t>2.38</w:t>
            </w:r>
          </w:p>
        </w:tc>
        <w:tc>
          <w:tcPr>
            <w:tcW w:w="2835" w:type="dxa"/>
            <w:vAlign w:val="center"/>
          </w:tcPr>
          <w:p w14:paraId="17B1AAE2">
            <w:pPr>
              <w:pStyle w:val="10"/>
            </w:pPr>
            <w:r>
              <w:t>其中：财政    资金</w:t>
            </w:r>
          </w:p>
        </w:tc>
        <w:tc>
          <w:tcPr>
            <w:tcW w:w="2551" w:type="dxa"/>
            <w:vAlign w:val="center"/>
          </w:tcPr>
          <w:p w14:paraId="663687FA">
            <w:pPr>
              <w:pStyle w:val="12"/>
            </w:pPr>
            <w:r>
              <w:t>2.38</w:t>
            </w:r>
          </w:p>
        </w:tc>
        <w:tc>
          <w:tcPr>
            <w:tcW w:w="2268" w:type="dxa"/>
            <w:vAlign w:val="center"/>
          </w:tcPr>
          <w:p w14:paraId="038DB695">
            <w:pPr>
              <w:pStyle w:val="10"/>
            </w:pPr>
            <w:r>
              <w:t>其他资金</w:t>
            </w:r>
          </w:p>
        </w:tc>
        <w:tc>
          <w:tcPr>
            <w:tcW w:w="1276" w:type="dxa"/>
            <w:vAlign w:val="center"/>
          </w:tcPr>
          <w:p w14:paraId="3CF646D0">
            <w:pPr>
              <w:pStyle w:val="12"/>
            </w:pPr>
            <w:r>
              <w:t xml:space="preserve"> </w:t>
            </w:r>
          </w:p>
        </w:tc>
      </w:tr>
      <w:tr w14:paraId="27F53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5D441"/>
        </w:tc>
        <w:tc>
          <w:tcPr>
            <w:tcW w:w="14033" w:type="dxa"/>
            <w:gridSpan w:val="6"/>
            <w:vAlign w:val="center"/>
          </w:tcPr>
          <w:p w14:paraId="4C77143C">
            <w:pPr>
              <w:pStyle w:val="12"/>
            </w:pPr>
            <w:r>
              <w:t>保障学校正常运转，完成各项教育教学活动和其他日常工作任务等方面的费用支出。</w:t>
            </w:r>
            <w:r>
              <w:tab/>
            </w:r>
            <w:r>
              <w:tab/>
            </w:r>
            <w:r>
              <w:tab/>
            </w:r>
            <w:r>
              <w:tab/>
            </w:r>
            <w:r>
              <w:tab/>
            </w:r>
            <w:r>
              <w:tab/>
            </w:r>
          </w:p>
          <w:p w14:paraId="798A50DB">
            <w:pPr>
              <w:pStyle w:val="12"/>
            </w:pPr>
          </w:p>
        </w:tc>
      </w:tr>
      <w:tr w14:paraId="59BC3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51934">
            <w:pPr>
              <w:pStyle w:val="10"/>
            </w:pPr>
            <w:r>
              <w:t>资金支出计划（%）</w:t>
            </w:r>
          </w:p>
        </w:tc>
        <w:tc>
          <w:tcPr>
            <w:tcW w:w="5103" w:type="dxa"/>
            <w:gridSpan w:val="2"/>
            <w:vAlign w:val="center"/>
          </w:tcPr>
          <w:p w14:paraId="45504D11">
            <w:pPr>
              <w:pStyle w:val="10"/>
            </w:pPr>
            <w:r>
              <w:t>3月底</w:t>
            </w:r>
          </w:p>
        </w:tc>
        <w:tc>
          <w:tcPr>
            <w:tcW w:w="2835" w:type="dxa"/>
            <w:vAlign w:val="center"/>
          </w:tcPr>
          <w:p w14:paraId="1702290B">
            <w:pPr>
              <w:pStyle w:val="10"/>
            </w:pPr>
            <w:r>
              <w:t>6月底</w:t>
            </w:r>
          </w:p>
        </w:tc>
        <w:tc>
          <w:tcPr>
            <w:tcW w:w="2551" w:type="dxa"/>
            <w:vAlign w:val="center"/>
          </w:tcPr>
          <w:p w14:paraId="65CBF9C7">
            <w:pPr>
              <w:pStyle w:val="10"/>
            </w:pPr>
            <w:r>
              <w:t>10月底</w:t>
            </w:r>
          </w:p>
        </w:tc>
        <w:tc>
          <w:tcPr>
            <w:tcW w:w="3544" w:type="dxa"/>
            <w:gridSpan w:val="2"/>
            <w:vAlign w:val="center"/>
          </w:tcPr>
          <w:p w14:paraId="3720777E">
            <w:pPr>
              <w:pStyle w:val="10"/>
            </w:pPr>
            <w:r>
              <w:t>12月底</w:t>
            </w:r>
          </w:p>
        </w:tc>
      </w:tr>
      <w:tr w14:paraId="73CFE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EA567"/>
        </w:tc>
        <w:tc>
          <w:tcPr>
            <w:tcW w:w="5103" w:type="dxa"/>
            <w:gridSpan w:val="2"/>
            <w:vAlign w:val="center"/>
          </w:tcPr>
          <w:p w14:paraId="7A07A3CD">
            <w:pPr>
              <w:pStyle w:val="13"/>
            </w:pPr>
            <w:r>
              <w:t>25%</w:t>
            </w:r>
          </w:p>
        </w:tc>
        <w:tc>
          <w:tcPr>
            <w:tcW w:w="2835" w:type="dxa"/>
            <w:vAlign w:val="center"/>
          </w:tcPr>
          <w:p w14:paraId="6B4DCD9A">
            <w:pPr>
              <w:pStyle w:val="13"/>
            </w:pPr>
            <w:r>
              <w:t>50%</w:t>
            </w:r>
          </w:p>
        </w:tc>
        <w:tc>
          <w:tcPr>
            <w:tcW w:w="2551" w:type="dxa"/>
            <w:vAlign w:val="center"/>
          </w:tcPr>
          <w:p w14:paraId="76184EF7">
            <w:pPr>
              <w:pStyle w:val="13"/>
            </w:pPr>
            <w:r>
              <w:t>75%</w:t>
            </w:r>
          </w:p>
        </w:tc>
        <w:tc>
          <w:tcPr>
            <w:tcW w:w="3544" w:type="dxa"/>
            <w:gridSpan w:val="2"/>
            <w:vAlign w:val="center"/>
          </w:tcPr>
          <w:p w14:paraId="01CB3229">
            <w:pPr>
              <w:pStyle w:val="13"/>
            </w:pPr>
            <w:r>
              <w:t>100%</w:t>
            </w:r>
          </w:p>
        </w:tc>
      </w:tr>
      <w:tr w14:paraId="1EC0D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D4F51">
            <w:pPr>
              <w:pStyle w:val="10"/>
            </w:pPr>
            <w:r>
              <w:t>绩效目标</w:t>
            </w:r>
          </w:p>
        </w:tc>
        <w:tc>
          <w:tcPr>
            <w:tcW w:w="14033" w:type="dxa"/>
            <w:gridSpan w:val="6"/>
            <w:vAlign w:val="center"/>
          </w:tcPr>
          <w:p w14:paraId="0628DA57">
            <w:pPr>
              <w:pStyle w:val="12"/>
            </w:pPr>
            <w:r>
              <w:t>1.按季度分批次拨付公用经费资金，资金拨付率达到100%。</w:t>
            </w:r>
          </w:p>
          <w:p w14:paraId="4D579BBC">
            <w:pPr>
              <w:pStyle w:val="12"/>
            </w:pPr>
            <w:r>
              <w:t>2.保障学校正常运转，完成各项教育教学活动和其他日常工作任务等方面的费用支出。</w:t>
            </w:r>
          </w:p>
        </w:tc>
      </w:tr>
    </w:tbl>
    <w:p w14:paraId="0E3404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27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E6DE2">
            <w:pPr>
              <w:pStyle w:val="10"/>
            </w:pPr>
            <w:r>
              <w:t>一级指标</w:t>
            </w:r>
          </w:p>
        </w:tc>
        <w:tc>
          <w:tcPr>
            <w:tcW w:w="2268" w:type="dxa"/>
            <w:vAlign w:val="center"/>
          </w:tcPr>
          <w:p w14:paraId="4C2F2DFA">
            <w:pPr>
              <w:pStyle w:val="10"/>
            </w:pPr>
            <w:r>
              <w:t>二级指标</w:t>
            </w:r>
          </w:p>
        </w:tc>
        <w:tc>
          <w:tcPr>
            <w:tcW w:w="2835" w:type="dxa"/>
            <w:vAlign w:val="center"/>
          </w:tcPr>
          <w:p w14:paraId="7D530EA3">
            <w:pPr>
              <w:pStyle w:val="10"/>
            </w:pPr>
            <w:r>
              <w:t>三级指标</w:t>
            </w:r>
          </w:p>
        </w:tc>
        <w:tc>
          <w:tcPr>
            <w:tcW w:w="5386" w:type="dxa"/>
            <w:vAlign w:val="center"/>
          </w:tcPr>
          <w:p w14:paraId="17EB8AEF">
            <w:pPr>
              <w:pStyle w:val="10"/>
            </w:pPr>
            <w:r>
              <w:t>绩效指标描述</w:t>
            </w:r>
          </w:p>
        </w:tc>
        <w:tc>
          <w:tcPr>
            <w:tcW w:w="2268" w:type="dxa"/>
            <w:vAlign w:val="center"/>
          </w:tcPr>
          <w:p w14:paraId="2C555B46">
            <w:pPr>
              <w:pStyle w:val="10"/>
            </w:pPr>
            <w:r>
              <w:t>指标值</w:t>
            </w:r>
          </w:p>
        </w:tc>
        <w:tc>
          <w:tcPr>
            <w:tcW w:w="1276" w:type="dxa"/>
            <w:vAlign w:val="center"/>
          </w:tcPr>
          <w:p w14:paraId="57789AEF">
            <w:pPr>
              <w:pStyle w:val="10"/>
            </w:pPr>
            <w:r>
              <w:t>指标值确定依据</w:t>
            </w:r>
          </w:p>
        </w:tc>
      </w:tr>
      <w:tr w14:paraId="31D17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E74F4">
            <w:pPr>
              <w:pStyle w:val="13"/>
            </w:pPr>
            <w:r>
              <w:t>产出指标</w:t>
            </w:r>
          </w:p>
        </w:tc>
        <w:tc>
          <w:tcPr>
            <w:tcW w:w="2268" w:type="dxa"/>
            <w:vAlign w:val="center"/>
          </w:tcPr>
          <w:p w14:paraId="774A52B4">
            <w:pPr>
              <w:pStyle w:val="12"/>
            </w:pPr>
            <w:r>
              <w:t>数量指标</w:t>
            </w:r>
          </w:p>
        </w:tc>
        <w:tc>
          <w:tcPr>
            <w:tcW w:w="2835" w:type="dxa"/>
            <w:vAlign w:val="center"/>
          </w:tcPr>
          <w:p w14:paraId="7A2A789A">
            <w:pPr>
              <w:pStyle w:val="12"/>
            </w:pPr>
            <w:r>
              <w:t>就读学生数</w:t>
            </w:r>
          </w:p>
        </w:tc>
        <w:tc>
          <w:tcPr>
            <w:tcW w:w="5386" w:type="dxa"/>
            <w:vAlign w:val="center"/>
          </w:tcPr>
          <w:p w14:paraId="02FA1109">
            <w:pPr>
              <w:pStyle w:val="12"/>
            </w:pPr>
            <w:r>
              <w:t>辐射区域内适龄学生人数</w:t>
            </w:r>
          </w:p>
        </w:tc>
        <w:tc>
          <w:tcPr>
            <w:tcW w:w="2268" w:type="dxa"/>
            <w:vAlign w:val="center"/>
          </w:tcPr>
          <w:p w14:paraId="529EBADA">
            <w:pPr>
              <w:pStyle w:val="12"/>
            </w:pPr>
            <w:r>
              <w:t>280人</w:t>
            </w:r>
          </w:p>
        </w:tc>
        <w:tc>
          <w:tcPr>
            <w:tcW w:w="1276" w:type="dxa"/>
            <w:vAlign w:val="center"/>
          </w:tcPr>
          <w:p w14:paraId="6B9A1E3B">
            <w:pPr>
              <w:pStyle w:val="12"/>
            </w:pPr>
            <w:r>
              <w:t>城乡义务教育公用经费管理办法</w:t>
            </w:r>
          </w:p>
        </w:tc>
      </w:tr>
      <w:tr w14:paraId="1E98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49C0F"/>
        </w:tc>
        <w:tc>
          <w:tcPr>
            <w:tcW w:w="2268" w:type="dxa"/>
            <w:vAlign w:val="center"/>
          </w:tcPr>
          <w:p w14:paraId="172708D6">
            <w:pPr>
              <w:pStyle w:val="12"/>
            </w:pPr>
            <w:r>
              <w:t>质量指标</w:t>
            </w:r>
          </w:p>
        </w:tc>
        <w:tc>
          <w:tcPr>
            <w:tcW w:w="2835" w:type="dxa"/>
            <w:vAlign w:val="center"/>
          </w:tcPr>
          <w:p w14:paraId="1895C478">
            <w:pPr>
              <w:pStyle w:val="12"/>
            </w:pPr>
            <w:r>
              <w:t>预算执行率</w:t>
            </w:r>
          </w:p>
        </w:tc>
        <w:tc>
          <w:tcPr>
            <w:tcW w:w="5386" w:type="dxa"/>
            <w:vAlign w:val="center"/>
          </w:tcPr>
          <w:p w14:paraId="3A764B85">
            <w:pPr>
              <w:pStyle w:val="12"/>
            </w:pPr>
            <w:r>
              <w:t>预算执行率</w:t>
            </w:r>
          </w:p>
        </w:tc>
        <w:tc>
          <w:tcPr>
            <w:tcW w:w="2268" w:type="dxa"/>
            <w:vAlign w:val="center"/>
          </w:tcPr>
          <w:p w14:paraId="71C3296A">
            <w:pPr>
              <w:pStyle w:val="12"/>
            </w:pPr>
            <w:r>
              <w:t>≥95%</w:t>
            </w:r>
          </w:p>
        </w:tc>
        <w:tc>
          <w:tcPr>
            <w:tcW w:w="1276" w:type="dxa"/>
            <w:vAlign w:val="center"/>
          </w:tcPr>
          <w:p w14:paraId="6770C078">
            <w:pPr>
              <w:pStyle w:val="12"/>
            </w:pPr>
            <w:r>
              <w:t>城乡义务教育公用经费管理办法</w:t>
            </w:r>
          </w:p>
        </w:tc>
      </w:tr>
      <w:tr w14:paraId="4861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520B9"/>
        </w:tc>
        <w:tc>
          <w:tcPr>
            <w:tcW w:w="2268" w:type="dxa"/>
            <w:vAlign w:val="center"/>
          </w:tcPr>
          <w:p w14:paraId="140C6CF6">
            <w:pPr>
              <w:pStyle w:val="12"/>
            </w:pPr>
            <w:r>
              <w:t>时效指标</w:t>
            </w:r>
          </w:p>
        </w:tc>
        <w:tc>
          <w:tcPr>
            <w:tcW w:w="2835" w:type="dxa"/>
            <w:vAlign w:val="center"/>
          </w:tcPr>
          <w:p w14:paraId="6AD0E091">
            <w:pPr>
              <w:pStyle w:val="12"/>
            </w:pPr>
            <w:r>
              <w:t>义教经费支付完成率</w:t>
            </w:r>
          </w:p>
        </w:tc>
        <w:tc>
          <w:tcPr>
            <w:tcW w:w="5386" w:type="dxa"/>
            <w:vAlign w:val="center"/>
          </w:tcPr>
          <w:p w14:paraId="00B187CE">
            <w:pPr>
              <w:pStyle w:val="12"/>
            </w:pPr>
            <w:r>
              <w:t>按照序时进度完成资金支付</w:t>
            </w:r>
          </w:p>
        </w:tc>
        <w:tc>
          <w:tcPr>
            <w:tcW w:w="2268" w:type="dxa"/>
            <w:vAlign w:val="center"/>
          </w:tcPr>
          <w:p w14:paraId="080FCE6D">
            <w:pPr>
              <w:pStyle w:val="12"/>
            </w:pPr>
            <w:r>
              <w:t>100%</w:t>
            </w:r>
          </w:p>
        </w:tc>
        <w:tc>
          <w:tcPr>
            <w:tcW w:w="1276" w:type="dxa"/>
            <w:vAlign w:val="center"/>
          </w:tcPr>
          <w:p w14:paraId="7F42B2A5">
            <w:pPr>
              <w:pStyle w:val="12"/>
            </w:pPr>
            <w:r>
              <w:t>城乡义务教育公用经费管理办法</w:t>
            </w:r>
          </w:p>
        </w:tc>
      </w:tr>
      <w:tr w14:paraId="5181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C5C3D"/>
        </w:tc>
        <w:tc>
          <w:tcPr>
            <w:tcW w:w="2268" w:type="dxa"/>
            <w:vAlign w:val="center"/>
          </w:tcPr>
          <w:p w14:paraId="0294F938">
            <w:pPr>
              <w:pStyle w:val="12"/>
            </w:pPr>
            <w:r>
              <w:t>成本指标</w:t>
            </w:r>
          </w:p>
        </w:tc>
        <w:tc>
          <w:tcPr>
            <w:tcW w:w="2835" w:type="dxa"/>
            <w:vAlign w:val="center"/>
          </w:tcPr>
          <w:p w14:paraId="2AAB730A">
            <w:pPr>
              <w:pStyle w:val="12"/>
            </w:pPr>
            <w:r>
              <w:t>生均拨款标准</w:t>
            </w:r>
          </w:p>
        </w:tc>
        <w:tc>
          <w:tcPr>
            <w:tcW w:w="5386" w:type="dxa"/>
            <w:vAlign w:val="center"/>
          </w:tcPr>
          <w:p w14:paraId="5EEDD36F">
            <w:pPr>
              <w:pStyle w:val="12"/>
            </w:pPr>
            <w:r>
              <w:t>小学生公用经费生均公用经费基准定额为720元/年/生，取暖费120元/年/生，住宿生补助300元/年/生的标准，随班就读学生补助7000元/生/年</w:t>
            </w:r>
          </w:p>
        </w:tc>
        <w:tc>
          <w:tcPr>
            <w:tcW w:w="2268" w:type="dxa"/>
            <w:vAlign w:val="center"/>
          </w:tcPr>
          <w:p w14:paraId="5742094A">
            <w:pPr>
              <w:pStyle w:val="12"/>
            </w:pPr>
            <w:r>
              <w:t>840元</w:t>
            </w:r>
          </w:p>
        </w:tc>
        <w:tc>
          <w:tcPr>
            <w:tcW w:w="1276" w:type="dxa"/>
            <w:vAlign w:val="center"/>
          </w:tcPr>
          <w:p w14:paraId="07A46C04">
            <w:pPr>
              <w:pStyle w:val="12"/>
            </w:pPr>
            <w:r>
              <w:t>城乡义务教育公用经费管理办法</w:t>
            </w:r>
          </w:p>
        </w:tc>
      </w:tr>
      <w:tr w14:paraId="0084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ABC43">
            <w:pPr>
              <w:pStyle w:val="13"/>
            </w:pPr>
            <w:r>
              <w:t>效益指标</w:t>
            </w:r>
          </w:p>
        </w:tc>
        <w:tc>
          <w:tcPr>
            <w:tcW w:w="2268" w:type="dxa"/>
            <w:vAlign w:val="center"/>
          </w:tcPr>
          <w:p w14:paraId="2BAE9F79">
            <w:pPr>
              <w:pStyle w:val="12"/>
            </w:pPr>
            <w:r>
              <w:t>可持续影响指标</w:t>
            </w:r>
          </w:p>
        </w:tc>
        <w:tc>
          <w:tcPr>
            <w:tcW w:w="2835" w:type="dxa"/>
            <w:vAlign w:val="center"/>
          </w:tcPr>
          <w:p w14:paraId="7E66A186">
            <w:pPr>
              <w:pStyle w:val="12"/>
            </w:pPr>
            <w:r>
              <w:t>学校运转得到提高</w:t>
            </w:r>
          </w:p>
        </w:tc>
        <w:tc>
          <w:tcPr>
            <w:tcW w:w="5386" w:type="dxa"/>
            <w:vAlign w:val="center"/>
          </w:tcPr>
          <w:p w14:paraId="7786938D">
            <w:pPr>
              <w:pStyle w:val="12"/>
            </w:pPr>
            <w:r>
              <w:t>学生受教育年限</w:t>
            </w:r>
          </w:p>
        </w:tc>
        <w:tc>
          <w:tcPr>
            <w:tcW w:w="2268" w:type="dxa"/>
            <w:vAlign w:val="center"/>
          </w:tcPr>
          <w:p w14:paraId="7B46D560">
            <w:pPr>
              <w:pStyle w:val="12"/>
            </w:pPr>
            <w:r>
              <w:t>6年</w:t>
            </w:r>
          </w:p>
        </w:tc>
        <w:tc>
          <w:tcPr>
            <w:tcW w:w="1276" w:type="dxa"/>
            <w:vAlign w:val="center"/>
          </w:tcPr>
          <w:p w14:paraId="68BE777B">
            <w:pPr>
              <w:pStyle w:val="12"/>
            </w:pPr>
            <w:r>
              <w:t>城乡义务教育公用经费管理办法</w:t>
            </w:r>
          </w:p>
        </w:tc>
      </w:tr>
      <w:tr w14:paraId="6A15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23C96">
            <w:pPr>
              <w:pStyle w:val="13"/>
            </w:pPr>
            <w:r>
              <w:t>满意度指标</w:t>
            </w:r>
          </w:p>
        </w:tc>
        <w:tc>
          <w:tcPr>
            <w:tcW w:w="2268" w:type="dxa"/>
            <w:vAlign w:val="center"/>
          </w:tcPr>
          <w:p w14:paraId="29FF61A9">
            <w:pPr>
              <w:pStyle w:val="12"/>
            </w:pPr>
            <w:r>
              <w:t>服务对象满意度指标</w:t>
            </w:r>
          </w:p>
        </w:tc>
        <w:tc>
          <w:tcPr>
            <w:tcW w:w="2835" w:type="dxa"/>
            <w:vAlign w:val="center"/>
          </w:tcPr>
          <w:p w14:paraId="27DA8484">
            <w:pPr>
              <w:pStyle w:val="12"/>
            </w:pPr>
            <w:r>
              <w:t>服务对象满意度</w:t>
            </w:r>
          </w:p>
        </w:tc>
        <w:tc>
          <w:tcPr>
            <w:tcW w:w="5386" w:type="dxa"/>
            <w:vAlign w:val="center"/>
          </w:tcPr>
          <w:p w14:paraId="15A9267A">
            <w:pPr>
              <w:pStyle w:val="12"/>
            </w:pPr>
            <w:r>
              <w:t>学校老师和学生满意度</w:t>
            </w:r>
          </w:p>
        </w:tc>
        <w:tc>
          <w:tcPr>
            <w:tcW w:w="2268" w:type="dxa"/>
            <w:vAlign w:val="center"/>
          </w:tcPr>
          <w:p w14:paraId="55717DEE">
            <w:pPr>
              <w:pStyle w:val="12"/>
            </w:pPr>
            <w:r>
              <w:t>≥95%</w:t>
            </w:r>
          </w:p>
        </w:tc>
        <w:tc>
          <w:tcPr>
            <w:tcW w:w="1276" w:type="dxa"/>
            <w:vAlign w:val="center"/>
          </w:tcPr>
          <w:p w14:paraId="5113FEA0">
            <w:pPr>
              <w:pStyle w:val="12"/>
            </w:pPr>
            <w:r>
              <w:t>群众测评</w:t>
            </w:r>
          </w:p>
        </w:tc>
      </w:tr>
    </w:tbl>
    <w:p w14:paraId="67B54BC2">
      <w:pPr>
        <w:sectPr>
          <w:pgSz w:w="16840" w:h="11900" w:orient="landscape"/>
          <w:pgMar w:top="1361" w:right="1020" w:bottom="1134" w:left="1020" w:header="720" w:footer="720" w:gutter="0"/>
          <w:cols w:space="720" w:num="1"/>
        </w:sectPr>
      </w:pPr>
    </w:p>
    <w:p w14:paraId="4A7D15F2">
      <w:pPr>
        <w:spacing w:before="0" w:after="0"/>
        <w:ind w:firstLine="560"/>
        <w:jc w:val="left"/>
        <w:outlineLvl w:val="9"/>
      </w:pPr>
      <w:r>
        <w:rPr>
          <w:rFonts w:ascii="方正仿宋_GBK" w:hAnsi="方正仿宋_GBK" w:eastAsia="方正仿宋_GBK" w:cs="方正仿宋_GBK"/>
          <w:b/>
          <w:color w:val="000000"/>
          <w:sz w:val="28"/>
        </w:rPr>
        <w:t>33、县级配套/双碑校区学前教育幼儿资助绩效目标表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03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F56A9">
            <w:pPr>
              <w:pStyle w:val="11"/>
            </w:pPr>
            <w:r>
              <w:t>单位：万元</w:t>
            </w:r>
          </w:p>
        </w:tc>
      </w:tr>
      <w:tr w14:paraId="0781F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4F30B">
            <w:pPr>
              <w:pStyle w:val="10"/>
            </w:pPr>
            <w:r>
              <w:t>项目编码</w:t>
            </w:r>
          </w:p>
        </w:tc>
        <w:tc>
          <w:tcPr>
            <w:tcW w:w="5103" w:type="dxa"/>
            <w:gridSpan w:val="2"/>
            <w:vAlign w:val="center"/>
          </w:tcPr>
          <w:p w14:paraId="1BB2F046">
            <w:pPr>
              <w:pStyle w:val="12"/>
            </w:pPr>
            <w:r>
              <w:t>13052526P00000210084G</w:t>
            </w:r>
          </w:p>
        </w:tc>
        <w:tc>
          <w:tcPr>
            <w:tcW w:w="2835" w:type="dxa"/>
            <w:vAlign w:val="center"/>
          </w:tcPr>
          <w:p w14:paraId="5DB8B5B2">
            <w:pPr>
              <w:pStyle w:val="10"/>
            </w:pPr>
            <w:r>
              <w:t>项目名称</w:t>
            </w:r>
          </w:p>
        </w:tc>
        <w:tc>
          <w:tcPr>
            <w:tcW w:w="6095" w:type="dxa"/>
            <w:gridSpan w:val="3"/>
            <w:vAlign w:val="center"/>
          </w:tcPr>
          <w:p w14:paraId="55E6616E">
            <w:pPr>
              <w:pStyle w:val="12"/>
            </w:pPr>
            <w:r>
              <w:t>县级配套/双碑校区学前教育幼儿资助</w:t>
            </w:r>
          </w:p>
        </w:tc>
      </w:tr>
      <w:tr w14:paraId="6A9B2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56D27">
            <w:pPr>
              <w:pStyle w:val="10"/>
            </w:pPr>
            <w:r>
              <w:t>预算规模及资金用途</w:t>
            </w:r>
          </w:p>
        </w:tc>
        <w:tc>
          <w:tcPr>
            <w:tcW w:w="2268" w:type="dxa"/>
            <w:vAlign w:val="center"/>
          </w:tcPr>
          <w:p w14:paraId="7ECB5BF4">
            <w:pPr>
              <w:pStyle w:val="10"/>
            </w:pPr>
            <w:r>
              <w:t>预算数</w:t>
            </w:r>
          </w:p>
        </w:tc>
        <w:tc>
          <w:tcPr>
            <w:tcW w:w="2835" w:type="dxa"/>
            <w:vAlign w:val="center"/>
          </w:tcPr>
          <w:p w14:paraId="6EB37685">
            <w:pPr>
              <w:pStyle w:val="12"/>
            </w:pPr>
            <w:r>
              <w:t>0.72</w:t>
            </w:r>
          </w:p>
        </w:tc>
        <w:tc>
          <w:tcPr>
            <w:tcW w:w="2835" w:type="dxa"/>
            <w:vAlign w:val="center"/>
          </w:tcPr>
          <w:p w14:paraId="39ABCAF5">
            <w:pPr>
              <w:pStyle w:val="10"/>
            </w:pPr>
            <w:r>
              <w:t>其中：财政    资金</w:t>
            </w:r>
          </w:p>
        </w:tc>
        <w:tc>
          <w:tcPr>
            <w:tcW w:w="2551" w:type="dxa"/>
            <w:vAlign w:val="center"/>
          </w:tcPr>
          <w:p w14:paraId="376D223E">
            <w:pPr>
              <w:pStyle w:val="12"/>
            </w:pPr>
            <w:r>
              <w:t>0.72</w:t>
            </w:r>
          </w:p>
        </w:tc>
        <w:tc>
          <w:tcPr>
            <w:tcW w:w="2268" w:type="dxa"/>
            <w:vAlign w:val="center"/>
          </w:tcPr>
          <w:p w14:paraId="0C1FC75F">
            <w:pPr>
              <w:pStyle w:val="10"/>
            </w:pPr>
            <w:r>
              <w:t>其他资金</w:t>
            </w:r>
          </w:p>
        </w:tc>
        <w:tc>
          <w:tcPr>
            <w:tcW w:w="1276" w:type="dxa"/>
            <w:vAlign w:val="center"/>
          </w:tcPr>
          <w:p w14:paraId="3BC60A73">
            <w:pPr>
              <w:pStyle w:val="12"/>
            </w:pPr>
            <w:r>
              <w:t xml:space="preserve"> </w:t>
            </w:r>
          </w:p>
        </w:tc>
      </w:tr>
      <w:tr w14:paraId="28B88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EF416"/>
        </w:tc>
        <w:tc>
          <w:tcPr>
            <w:tcW w:w="14033" w:type="dxa"/>
            <w:gridSpan w:val="6"/>
            <w:vAlign w:val="center"/>
          </w:tcPr>
          <w:p w14:paraId="127AD39D">
            <w:pPr>
              <w:pStyle w:val="12"/>
            </w:pPr>
            <w:r>
              <w:t>保障落实建档立卡及家庭经济困难儿童资助所需资金，确保建档立卡等家庭经济困难幼儿优先获得资助</w:t>
            </w:r>
          </w:p>
        </w:tc>
      </w:tr>
      <w:tr w14:paraId="0FB1C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B502E">
            <w:pPr>
              <w:pStyle w:val="10"/>
            </w:pPr>
            <w:r>
              <w:t>资金支出计划（%）</w:t>
            </w:r>
          </w:p>
        </w:tc>
        <w:tc>
          <w:tcPr>
            <w:tcW w:w="5103" w:type="dxa"/>
            <w:gridSpan w:val="2"/>
            <w:vAlign w:val="center"/>
          </w:tcPr>
          <w:p w14:paraId="632A2E0E">
            <w:pPr>
              <w:pStyle w:val="10"/>
            </w:pPr>
            <w:r>
              <w:t>3月底</w:t>
            </w:r>
          </w:p>
        </w:tc>
        <w:tc>
          <w:tcPr>
            <w:tcW w:w="2835" w:type="dxa"/>
            <w:vAlign w:val="center"/>
          </w:tcPr>
          <w:p w14:paraId="09FCA859">
            <w:pPr>
              <w:pStyle w:val="10"/>
            </w:pPr>
            <w:r>
              <w:t>6月底</w:t>
            </w:r>
          </w:p>
        </w:tc>
        <w:tc>
          <w:tcPr>
            <w:tcW w:w="2551" w:type="dxa"/>
            <w:vAlign w:val="center"/>
          </w:tcPr>
          <w:p w14:paraId="5589966D">
            <w:pPr>
              <w:pStyle w:val="10"/>
            </w:pPr>
            <w:r>
              <w:t>10月底</w:t>
            </w:r>
          </w:p>
        </w:tc>
        <w:tc>
          <w:tcPr>
            <w:tcW w:w="3544" w:type="dxa"/>
            <w:gridSpan w:val="2"/>
            <w:vAlign w:val="center"/>
          </w:tcPr>
          <w:p w14:paraId="4840DBC9">
            <w:pPr>
              <w:pStyle w:val="10"/>
            </w:pPr>
            <w:r>
              <w:t>12月底</w:t>
            </w:r>
          </w:p>
        </w:tc>
      </w:tr>
      <w:tr w14:paraId="48A78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E4576"/>
        </w:tc>
        <w:tc>
          <w:tcPr>
            <w:tcW w:w="5103" w:type="dxa"/>
            <w:gridSpan w:val="2"/>
            <w:vAlign w:val="center"/>
          </w:tcPr>
          <w:p w14:paraId="256E8AAC">
            <w:pPr>
              <w:pStyle w:val="13"/>
            </w:pPr>
            <w:r>
              <w:t xml:space="preserve"> </w:t>
            </w:r>
          </w:p>
        </w:tc>
        <w:tc>
          <w:tcPr>
            <w:tcW w:w="2835" w:type="dxa"/>
            <w:vAlign w:val="center"/>
          </w:tcPr>
          <w:p w14:paraId="51765750">
            <w:pPr>
              <w:pStyle w:val="13"/>
            </w:pPr>
            <w:r>
              <w:t>50%</w:t>
            </w:r>
          </w:p>
        </w:tc>
        <w:tc>
          <w:tcPr>
            <w:tcW w:w="2551" w:type="dxa"/>
            <w:vAlign w:val="center"/>
          </w:tcPr>
          <w:p w14:paraId="29FFDE69">
            <w:pPr>
              <w:pStyle w:val="13"/>
            </w:pPr>
            <w:r>
              <w:t>50%</w:t>
            </w:r>
          </w:p>
        </w:tc>
        <w:tc>
          <w:tcPr>
            <w:tcW w:w="3544" w:type="dxa"/>
            <w:gridSpan w:val="2"/>
            <w:vAlign w:val="center"/>
          </w:tcPr>
          <w:p w14:paraId="3C289D10">
            <w:pPr>
              <w:pStyle w:val="13"/>
            </w:pPr>
            <w:r>
              <w:t>100%</w:t>
            </w:r>
          </w:p>
        </w:tc>
      </w:tr>
      <w:tr w14:paraId="4ED21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63F3D">
            <w:pPr>
              <w:pStyle w:val="10"/>
            </w:pPr>
            <w:r>
              <w:t>绩效目标</w:t>
            </w:r>
          </w:p>
        </w:tc>
        <w:tc>
          <w:tcPr>
            <w:tcW w:w="14033" w:type="dxa"/>
            <w:gridSpan w:val="6"/>
            <w:vAlign w:val="center"/>
          </w:tcPr>
          <w:p w14:paraId="5A259BD7">
            <w:pPr>
              <w:pStyle w:val="12"/>
            </w:pPr>
            <w:r>
              <w:t>1.保障落实建档立卡及家庭经济困难儿童资助所需资金，确保建档立卡等家庭经济困难幼儿优先获得资助</w:t>
            </w:r>
          </w:p>
          <w:p w14:paraId="69836E81">
            <w:pPr>
              <w:pStyle w:val="12"/>
            </w:pPr>
            <w:r>
              <w:t>2.保证本年度资助经费足额落实到位，符合享受资助条件的学生应助尽助。</w:t>
            </w:r>
          </w:p>
        </w:tc>
      </w:tr>
    </w:tbl>
    <w:p w14:paraId="6BBCE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A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05DF0">
            <w:pPr>
              <w:pStyle w:val="10"/>
            </w:pPr>
            <w:r>
              <w:t>一级指标</w:t>
            </w:r>
          </w:p>
        </w:tc>
        <w:tc>
          <w:tcPr>
            <w:tcW w:w="2268" w:type="dxa"/>
            <w:vAlign w:val="center"/>
          </w:tcPr>
          <w:p w14:paraId="7A9866F2">
            <w:pPr>
              <w:pStyle w:val="10"/>
            </w:pPr>
            <w:r>
              <w:t>二级指标</w:t>
            </w:r>
          </w:p>
        </w:tc>
        <w:tc>
          <w:tcPr>
            <w:tcW w:w="2835" w:type="dxa"/>
            <w:vAlign w:val="center"/>
          </w:tcPr>
          <w:p w14:paraId="2C7A846F">
            <w:pPr>
              <w:pStyle w:val="10"/>
            </w:pPr>
            <w:r>
              <w:t>三级指标</w:t>
            </w:r>
          </w:p>
        </w:tc>
        <w:tc>
          <w:tcPr>
            <w:tcW w:w="5386" w:type="dxa"/>
            <w:vAlign w:val="center"/>
          </w:tcPr>
          <w:p w14:paraId="4B14E082">
            <w:pPr>
              <w:pStyle w:val="10"/>
            </w:pPr>
            <w:r>
              <w:t>绩效指标描述</w:t>
            </w:r>
          </w:p>
        </w:tc>
        <w:tc>
          <w:tcPr>
            <w:tcW w:w="2268" w:type="dxa"/>
            <w:vAlign w:val="center"/>
          </w:tcPr>
          <w:p w14:paraId="025C25B5">
            <w:pPr>
              <w:pStyle w:val="10"/>
            </w:pPr>
            <w:r>
              <w:t>指标值</w:t>
            </w:r>
          </w:p>
        </w:tc>
        <w:tc>
          <w:tcPr>
            <w:tcW w:w="1276" w:type="dxa"/>
            <w:vAlign w:val="center"/>
          </w:tcPr>
          <w:p w14:paraId="2064755A">
            <w:pPr>
              <w:pStyle w:val="10"/>
            </w:pPr>
            <w:r>
              <w:t>指标值确定依据</w:t>
            </w:r>
          </w:p>
        </w:tc>
      </w:tr>
      <w:tr w14:paraId="76D5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04A12">
            <w:pPr>
              <w:pStyle w:val="13"/>
            </w:pPr>
            <w:r>
              <w:t>产出指标</w:t>
            </w:r>
          </w:p>
        </w:tc>
        <w:tc>
          <w:tcPr>
            <w:tcW w:w="2268" w:type="dxa"/>
            <w:vAlign w:val="center"/>
          </w:tcPr>
          <w:p w14:paraId="7D515B59">
            <w:pPr>
              <w:pStyle w:val="12"/>
            </w:pPr>
            <w:r>
              <w:t>数量指标</w:t>
            </w:r>
          </w:p>
        </w:tc>
        <w:tc>
          <w:tcPr>
            <w:tcW w:w="2835" w:type="dxa"/>
            <w:vAlign w:val="center"/>
          </w:tcPr>
          <w:p w14:paraId="57B7872B">
            <w:pPr>
              <w:pStyle w:val="12"/>
            </w:pPr>
            <w:r>
              <w:t>幼儿资助比例</w:t>
            </w:r>
          </w:p>
        </w:tc>
        <w:tc>
          <w:tcPr>
            <w:tcW w:w="5386" w:type="dxa"/>
            <w:vAlign w:val="center"/>
          </w:tcPr>
          <w:p w14:paraId="5BE0F8F7">
            <w:pPr>
              <w:pStyle w:val="12"/>
            </w:pPr>
            <w:r>
              <w:t>按学前适龄在园儿童10%测算</w:t>
            </w:r>
          </w:p>
        </w:tc>
        <w:tc>
          <w:tcPr>
            <w:tcW w:w="2268" w:type="dxa"/>
            <w:vAlign w:val="center"/>
          </w:tcPr>
          <w:p w14:paraId="4CF74F2C">
            <w:pPr>
              <w:pStyle w:val="12"/>
            </w:pPr>
            <w:r>
              <w:t>36人</w:t>
            </w:r>
          </w:p>
        </w:tc>
        <w:tc>
          <w:tcPr>
            <w:tcW w:w="1276" w:type="dxa"/>
            <w:vAlign w:val="center"/>
          </w:tcPr>
          <w:p w14:paraId="18C0A7CC">
            <w:pPr>
              <w:pStyle w:val="12"/>
            </w:pPr>
            <w:r>
              <w:t>幼儿资助经费管理办法</w:t>
            </w:r>
          </w:p>
        </w:tc>
      </w:tr>
      <w:tr w14:paraId="77E7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5795E"/>
        </w:tc>
        <w:tc>
          <w:tcPr>
            <w:tcW w:w="2268" w:type="dxa"/>
            <w:vAlign w:val="center"/>
          </w:tcPr>
          <w:p w14:paraId="3ED02EA4">
            <w:pPr>
              <w:pStyle w:val="12"/>
            </w:pPr>
            <w:r>
              <w:t>质量指标</w:t>
            </w:r>
          </w:p>
        </w:tc>
        <w:tc>
          <w:tcPr>
            <w:tcW w:w="2835" w:type="dxa"/>
            <w:vAlign w:val="center"/>
          </w:tcPr>
          <w:p w14:paraId="0802D198">
            <w:pPr>
              <w:pStyle w:val="12"/>
            </w:pPr>
            <w:r>
              <w:t>资助资金使用率</w:t>
            </w:r>
          </w:p>
        </w:tc>
        <w:tc>
          <w:tcPr>
            <w:tcW w:w="5386" w:type="dxa"/>
            <w:vAlign w:val="center"/>
          </w:tcPr>
          <w:p w14:paraId="44522607">
            <w:pPr>
              <w:pStyle w:val="12"/>
            </w:pPr>
            <w:r>
              <w:t>符合享受资助条件的学生应助尽助</w:t>
            </w:r>
          </w:p>
        </w:tc>
        <w:tc>
          <w:tcPr>
            <w:tcW w:w="2268" w:type="dxa"/>
            <w:vAlign w:val="center"/>
          </w:tcPr>
          <w:p w14:paraId="0FB84F8F">
            <w:pPr>
              <w:pStyle w:val="12"/>
            </w:pPr>
            <w:r>
              <w:t>100%</w:t>
            </w:r>
          </w:p>
        </w:tc>
        <w:tc>
          <w:tcPr>
            <w:tcW w:w="1276" w:type="dxa"/>
            <w:vAlign w:val="center"/>
          </w:tcPr>
          <w:p w14:paraId="5B8A6E56">
            <w:pPr>
              <w:pStyle w:val="12"/>
            </w:pPr>
            <w:r>
              <w:t>幼儿资助经费管理办法</w:t>
            </w:r>
          </w:p>
        </w:tc>
      </w:tr>
      <w:tr w14:paraId="7DD15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DD245"/>
        </w:tc>
        <w:tc>
          <w:tcPr>
            <w:tcW w:w="2268" w:type="dxa"/>
            <w:vAlign w:val="center"/>
          </w:tcPr>
          <w:p w14:paraId="035B990A">
            <w:pPr>
              <w:pStyle w:val="12"/>
            </w:pPr>
            <w:r>
              <w:t>时效指标</w:t>
            </w:r>
          </w:p>
        </w:tc>
        <w:tc>
          <w:tcPr>
            <w:tcW w:w="2835" w:type="dxa"/>
            <w:vAlign w:val="center"/>
          </w:tcPr>
          <w:p w14:paraId="20C8D6EF">
            <w:pPr>
              <w:pStyle w:val="12"/>
            </w:pPr>
            <w:r>
              <w:t>资金拨付率</w:t>
            </w:r>
          </w:p>
        </w:tc>
        <w:tc>
          <w:tcPr>
            <w:tcW w:w="5386" w:type="dxa"/>
            <w:vAlign w:val="center"/>
          </w:tcPr>
          <w:p w14:paraId="3E34D50E">
            <w:pPr>
              <w:pStyle w:val="12"/>
            </w:pPr>
            <w:r>
              <w:t>所有项目资金支付进度</w:t>
            </w:r>
          </w:p>
        </w:tc>
        <w:tc>
          <w:tcPr>
            <w:tcW w:w="2268" w:type="dxa"/>
            <w:vAlign w:val="center"/>
          </w:tcPr>
          <w:p w14:paraId="703FB4E5">
            <w:pPr>
              <w:pStyle w:val="12"/>
            </w:pPr>
            <w:r>
              <w:t>100%</w:t>
            </w:r>
          </w:p>
        </w:tc>
        <w:tc>
          <w:tcPr>
            <w:tcW w:w="1276" w:type="dxa"/>
            <w:vAlign w:val="center"/>
          </w:tcPr>
          <w:p w14:paraId="6DDE1248">
            <w:pPr>
              <w:pStyle w:val="12"/>
            </w:pPr>
            <w:r>
              <w:t>幼儿资助经费管理办法</w:t>
            </w:r>
          </w:p>
        </w:tc>
      </w:tr>
      <w:tr w14:paraId="1D91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3B2D3"/>
        </w:tc>
        <w:tc>
          <w:tcPr>
            <w:tcW w:w="2268" w:type="dxa"/>
            <w:vAlign w:val="center"/>
          </w:tcPr>
          <w:p w14:paraId="792B7EE4">
            <w:pPr>
              <w:pStyle w:val="12"/>
            </w:pPr>
            <w:r>
              <w:t>成本指标</w:t>
            </w:r>
          </w:p>
        </w:tc>
        <w:tc>
          <w:tcPr>
            <w:tcW w:w="2835" w:type="dxa"/>
            <w:vAlign w:val="center"/>
          </w:tcPr>
          <w:p w14:paraId="77B0715B">
            <w:pPr>
              <w:pStyle w:val="12"/>
            </w:pPr>
            <w:r>
              <w:t>幼儿园生均成本</w:t>
            </w:r>
          </w:p>
        </w:tc>
        <w:tc>
          <w:tcPr>
            <w:tcW w:w="5386" w:type="dxa"/>
            <w:vAlign w:val="center"/>
          </w:tcPr>
          <w:p w14:paraId="345380A0">
            <w:pPr>
              <w:pStyle w:val="12"/>
            </w:pPr>
            <w:r>
              <w:t>按照幼儿园资助标准1000元/生/年</w:t>
            </w:r>
          </w:p>
        </w:tc>
        <w:tc>
          <w:tcPr>
            <w:tcW w:w="2268" w:type="dxa"/>
            <w:vAlign w:val="center"/>
          </w:tcPr>
          <w:p w14:paraId="1DADBC7C">
            <w:pPr>
              <w:pStyle w:val="12"/>
            </w:pPr>
            <w:r>
              <w:t>1000元</w:t>
            </w:r>
          </w:p>
        </w:tc>
        <w:tc>
          <w:tcPr>
            <w:tcW w:w="1276" w:type="dxa"/>
            <w:vAlign w:val="center"/>
          </w:tcPr>
          <w:p w14:paraId="31A0A771">
            <w:pPr>
              <w:pStyle w:val="12"/>
            </w:pPr>
            <w:r>
              <w:t>幼儿资助经费管理办法</w:t>
            </w:r>
          </w:p>
        </w:tc>
      </w:tr>
      <w:tr w14:paraId="4377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FD467">
            <w:pPr>
              <w:pStyle w:val="13"/>
            </w:pPr>
            <w:r>
              <w:t>效益指标</w:t>
            </w:r>
          </w:p>
        </w:tc>
        <w:tc>
          <w:tcPr>
            <w:tcW w:w="2268" w:type="dxa"/>
            <w:vAlign w:val="center"/>
          </w:tcPr>
          <w:p w14:paraId="267B07AE">
            <w:pPr>
              <w:pStyle w:val="12"/>
            </w:pPr>
            <w:r>
              <w:t>可持续影响指标</w:t>
            </w:r>
          </w:p>
        </w:tc>
        <w:tc>
          <w:tcPr>
            <w:tcW w:w="2835" w:type="dxa"/>
            <w:vAlign w:val="center"/>
          </w:tcPr>
          <w:p w14:paraId="5F80B125">
            <w:pPr>
              <w:pStyle w:val="12"/>
            </w:pPr>
            <w:r>
              <w:t>幼儿园正常运转</w:t>
            </w:r>
          </w:p>
        </w:tc>
        <w:tc>
          <w:tcPr>
            <w:tcW w:w="5386" w:type="dxa"/>
            <w:vAlign w:val="center"/>
          </w:tcPr>
          <w:p w14:paraId="642F1685">
            <w:pPr>
              <w:pStyle w:val="12"/>
            </w:pPr>
            <w:r>
              <w:t>幼儿受教育年限</w:t>
            </w:r>
          </w:p>
        </w:tc>
        <w:tc>
          <w:tcPr>
            <w:tcW w:w="2268" w:type="dxa"/>
            <w:vAlign w:val="center"/>
          </w:tcPr>
          <w:p w14:paraId="7CDF48DB">
            <w:pPr>
              <w:pStyle w:val="12"/>
            </w:pPr>
            <w:r>
              <w:t>3年</w:t>
            </w:r>
          </w:p>
        </w:tc>
        <w:tc>
          <w:tcPr>
            <w:tcW w:w="1276" w:type="dxa"/>
            <w:vAlign w:val="center"/>
          </w:tcPr>
          <w:p w14:paraId="3C9AAC09">
            <w:pPr>
              <w:pStyle w:val="12"/>
            </w:pPr>
            <w:r>
              <w:t>幼儿资助经费管理办法</w:t>
            </w:r>
          </w:p>
        </w:tc>
      </w:tr>
      <w:tr w14:paraId="7B8A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260D1">
            <w:pPr>
              <w:pStyle w:val="13"/>
            </w:pPr>
            <w:r>
              <w:t>满意度指标</w:t>
            </w:r>
          </w:p>
        </w:tc>
        <w:tc>
          <w:tcPr>
            <w:tcW w:w="2268" w:type="dxa"/>
            <w:vAlign w:val="center"/>
          </w:tcPr>
          <w:p w14:paraId="17ACACB1">
            <w:pPr>
              <w:pStyle w:val="12"/>
            </w:pPr>
            <w:r>
              <w:t>服务对象满意度指标</w:t>
            </w:r>
          </w:p>
        </w:tc>
        <w:tc>
          <w:tcPr>
            <w:tcW w:w="2835" w:type="dxa"/>
            <w:vAlign w:val="center"/>
          </w:tcPr>
          <w:p w14:paraId="008025B0">
            <w:pPr>
              <w:pStyle w:val="12"/>
            </w:pPr>
            <w:r>
              <w:t>受益幼儿家长及调查满意度</w:t>
            </w:r>
          </w:p>
        </w:tc>
        <w:tc>
          <w:tcPr>
            <w:tcW w:w="5386" w:type="dxa"/>
            <w:vAlign w:val="center"/>
          </w:tcPr>
          <w:p w14:paraId="025EFD1E">
            <w:pPr>
              <w:pStyle w:val="12"/>
            </w:pPr>
            <w:r>
              <w:t>学生、教师及家长对学校保教保育工作满意度情况</w:t>
            </w:r>
          </w:p>
        </w:tc>
        <w:tc>
          <w:tcPr>
            <w:tcW w:w="2268" w:type="dxa"/>
            <w:vAlign w:val="center"/>
          </w:tcPr>
          <w:p w14:paraId="58C2E306">
            <w:pPr>
              <w:pStyle w:val="12"/>
            </w:pPr>
            <w:r>
              <w:t>≥95%</w:t>
            </w:r>
          </w:p>
        </w:tc>
        <w:tc>
          <w:tcPr>
            <w:tcW w:w="1276" w:type="dxa"/>
            <w:vAlign w:val="center"/>
          </w:tcPr>
          <w:p w14:paraId="3F177B32">
            <w:pPr>
              <w:pStyle w:val="12"/>
            </w:pPr>
            <w:r>
              <w:t>幼儿资助经费管理办法</w:t>
            </w:r>
          </w:p>
        </w:tc>
      </w:tr>
    </w:tbl>
    <w:p w14:paraId="02E2A105">
      <w:pPr>
        <w:sectPr>
          <w:pgSz w:w="16840" w:h="11900" w:orient="landscape"/>
          <w:pgMar w:top="1361" w:right="1020" w:bottom="1134" w:left="1020" w:header="720" w:footer="720" w:gutter="0"/>
          <w:cols w:space="720" w:num="1"/>
        </w:sectPr>
      </w:pPr>
    </w:p>
    <w:p w14:paraId="0899A5C2">
      <w:pPr>
        <w:spacing w:before="0" w:after="0"/>
        <w:ind w:firstLine="560"/>
        <w:jc w:val="left"/>
        <w:outlineLvl w:val="9"/>
      </w:pPr>
      <w:r>
        <w:rPr>
          <w:rFonts w:ascii="方正仿宋_GBK" w:hAnsi="方正仿宋_GBK" w:eastAsia="方正仿宋_GBK" w:cs="方正仿宋_GBK"/>
          <w:b/>
          <w:color w:val="000000"/>
          <w:sz w:val="28"/>
        </w:rPr>
        <w:t>34、县级配套/双碑校区亦城小学公用经费绩效目标表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A1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0CBAC">
            <w:pPr>
              <w:pStyle w:val="11"/>
            </w:pPr>
            <w:r>
              <w:t>单位：万元</w:t>
            </w:r>
          </w:p>
        </w:tc>
      </w:tr>
      <w:tr w14:paraId="458B0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754FC">
            <w:pPr>
              <w:pStyle w:val="10"/>
            </w:pPr>
            <w:r>
              <w:t>项目编码</w:t>
            </w:r>
          </w:p>
        </w:tc>
        <w:tc>
          <w:tcPr>
            <w:tcW w:w="5103" w:type="dxa"/>
            <w:gridSpan w:val="2"/>
            <w:vAlign w:val="center"/>
          </w:tcPr>
          <w:p w14:paraId="437A3887">
            <w:pPr>
              <w:pStyle w:val="12"/>
            </w:pPr>
            <w:r>
              <w:t>13052526P00000410443X</w:t>
            </w:r>
          </w:p>
        </w:tc>
        <w:tc>
          <w:tcPr>
            <w:tcW w:w="2835" w:type="dxa"/>
            <w:vAlign w:val="center"/>
          </w:tcPr>
          <w:p w14:paraId="18400D15">
            <w:pPr>
              <w:pStyle w:val="10"/>
            </w:pPr>
            <w:r>
              <w:t>项目名称</w:t>
            </w:r>
          </w:p>
        </w:tc>
        <w:tc>
          <w:tcPr>
            <w:tcW w:w="6095" w:type="dxa"/>
            <w:gridSpan w:val="3"/>
            <w:vAlign w:val="center"/>
          </w:tcPr>
          <w:p w14:paraId="380B3972">
            <w:pPr>
              <w:pStyle w:val="12"/>
            </w:pPr>
            <w:r>
              <w:t>县级配套/双碑校区亦城小学公用经费</w:t>
            </w:r>
          </w:p>
        </w:tc>
      </w:tr>
      <w:tr w14:paraId="6D555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D225B">
            <w:pPr>
              <w:pStyle w:val="10"/>
            </w:pPr>
            <w:r>
              <w:t>预算规模及资金用途</w:t>
            </w:r>
          </w:p>
        </w:tc>
        <w:tc>
          <w:tcPr>
            <w:tcW w:w="2268" w:type="dxa"/>
            <w:vAlign w:val="center"/>
          </w:tcPr>
          <w:p w14:paraId="1FA66DDB">
            <w:pPr>
              <w:pStyle w:val="10"/>
            </w:pPr>
            <w:r>
              <w:t>预算数</w:t>
            </w:r>
          </w:p>
        </w:tc>
        <w:tc>
          <w:tcPr>
            <w:tcW w:w="2835" w:type="dxa"/>
            <w:vAlign w:val="center"/>
          </w:tcPr>
          <w:p w14:paraId="44F46E67">
            <w:pPr>
              <w:pStyle w:val="12"/>
            </w:pPr>
            <w:r>
              <w:t>1.79</w:t>
            </w:r>
          </w:p>
        </w:tc>
        <w:tc>
          <w:tcPr>
            <w:tcW w:w="2835" w:type="dxa"/>
            <w:vAlign w:val="center"/>
          </w:tcPr>
          <w:p w14:paraId="2954EAEE">
            <w:pPr>
              <w:pStyle w:val="10"/>
            </w:pPr>
            <w:r>
              <w:t>其中：财政    资金</w:t>
            </w:r>
          </w:p>
        </w:tc>
        <w:tc>
          <w:tcPr>
            <w:tcW w:w="2551" w:type="dxa"/>
            <w:vAlign w:val="center"/>
          </w:tcPr>
          <w:p w14:paraId="134AE2EC">
            <w:pPr>
              <w:pStyle w:val="12"/>
            </w:pPr>
            <w:r>
              <w:t>1.79</w:t>
            </w:r>
          </w:p>
        </w:tc>
        <w:tc>
          <w:tcPr>
            <w:tcW w:w="2268" w:type="dxa"/>
            <w:vAlign w:val="center"/>
          </w:tcPr>
          <w:p w14:paraId="234DF293">
            <w:pPr>
              <w:pStyle w:val="10"/>
            </w:pPr>
            <w:r>
              <w:t>其他资金</w:t>
            </w:r>
          </w:p>
        </w:tc>
        <w:tc>
          <w:tcPr>
            <w:tcW w:w="1276" w:type="dxa"/>
            <w:vAlign w:val="center"/>
          </w:tcPr>
          <w:p w14:paraId="2B8A2744">
            <w:pPr>
              <w:pStyle w:val="12"/>
            </w:pPr>
            <w:r>
              <w:t xml:space="preserve"> </w:t>
            </w:r>
          </w:p>
        </w:tc>
      </w:tr>
      <w:tr w14:paraId="5709B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87352"/>
        </w:tc>
        <w:tc>
          <w:tcPr>
            <w:tcW w:w="14033" w:type="dxa"/>
            <w:gridSpan w:val="6"/>
            <w:vAlign w:val="center"/>
          </w:tcPr>
          <w:p w14:paraId="2031EAA8">
            <w:pPr>
              <w:pStyle w:val="12"/>
            </w:pPr>
            <w:r>
              <w:t>保障学校正常运转，完成各项教育教学活动和其他日常工作任务等方面的费用支出。</w:t>
            </w:r>
            <w:r>
              <w:tab/>
            </w:r>
            <w:r>
              <w:tab/>
            </w:r>
            <w:r>
              <w:tab/>
            </w:r>
            <w:r>
              <w:tab/>
            </w:r>
            <w:r>
              <w:tab/>
            </w:r>
            <w:r>
              <w:tab/>
            </w:r>
          </w:p>
          <w:p w14:paraId="0F5E7E28">
            <w:pPr>
              <w:pStyle w:val="12"/>
            </w:pPr>
          </w:p>
        </w:tc>
      </w:tr>
      <w:tr w14:paraId="0BF7E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655FA">
            <w:pPr>
              <w:pStyle w:val="10"/>
            </w:pPr>
            <w:r>
              <w:t>资金支出计划（%）</w:t>
            </w:r>
          </w:p>
        </w:tc>
        <w:tc>
          <w:tcPr>
            <w:tcW w:w="5103" w:type="dxa"/>
            <w:gridSpan w:val="2"/>
            <w:vAlign w:val="center"/>
          </w:tcPr>
          <w:p w14:paraId="2BFF1E0A">
            <w:pPr>
              <w:pStyle w:val="10"/>
            </w:pPr>
            <w:r>
              <w:t>3月底</w:t>
            </w:r>
          </w:p>
        </w:tc>
        <w:tc>
          <w:tcPr>
            <w:tcW w:w="2835" w:type="dxa"/>
            <w:vAlign w:val="center"/>
          </w:tcPr>
          <w:p w14:paraId="069A1639">
            <w:pPr>
              <w:pStyle w:val="10"/>
            </w:pPr>
            <w:r>
              <w:t>6月底</w:t>
            </w:r>
          </w:p>
        </w:tc>
        <w:tc>
          <w:tcPr>
            <w:tcW w:w="2551" w:type="dxa"/>
            <w:vAlign w:val="center"/>
          </w:tcPr>
          <w:p w14:paraId="14E19A64">
            <w:pPr>
              <w:pStyle w:val="10"/>
            </w:pPr>
            <w:r>
              <w:t>10月底</w:t>
            </w:r>
          </w:p>
        </w:tc>
        <w:tc>
          <w:tcPr>
            <w:tcW w:w="3544" w:type="dxa"/>
            <w:gridSpan w:val="2"/>
            <w:vAlign w:val="center"/>
          </w:tcPr>
          <w:p w14:paraId="2E3EDF80">
            <w:pPr>
              <w:pStyle w:val="10"/>
            </w:pPr>
            <w:r>
              <w:t>12月底</w:t>
            </w:r>
          </w:p>
        </w:tc>
      </w:tr>
      <w:tr w14:paraId="634AF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E39FA"/>
        </w:tc>
        <w:tc>
          <w:tcPr>
            <w:tcW w:w="5103" w:type="dxa"/>
            <w:gridSpan w:val="2"/>
            <w:vAlign w:val="center"/>
          </w:tcPr>
          <w:p w14:paraId="3B1554FD">
            <w:pPr>
              <w:pStyle w:val="13"/>
            </w:pPr>
            <w:r>
              <w:t>25%</w:t>
            </w:r>
          </w:p>
        </w:tc>
        <w:tc>
          <w:tcPr>
            <w:tcW w:w="2835" w:type="dxa"/>
            <w:vAlign w:val="center"/>
          </w:tcPr>
          <w:p w14:paraId="1B07606A">
            <w:pPr>
              <w:pStyle w:val="13"/>
            </w:pPr>
            <w:r>
              <w:t>50%</w:t>
            </w:r>
          </w:p>
        </w:tc>
        <w:tc>
          <w:tcPr>
            <w:tcW w:w="2551" w:type="dxa"/>
            <w:vAlign w:val="center"/>
          </w:tcPr>
          <w:p w14:paraId="0231D555">
            <w:pPr>
              <w:pStyle w:val="13"/>
            </w:pPr>
            <w:r>
              <w:t>75%</w:t>
            </w:r>
          </w:p>
        </w:tc>
        <w:tc>
          <w:tcPr>
            <w:tcW w:w="3544" w:type="dxa"/>
            <w:gridSpan w:val="2"/>
            <w:vAlign w:val="center"/>
          </w:tcPr>
          <w:p w14:paraId="7845877C">
            <w:pPr>
              <w:pStyle w:val="13"/>
            </w:pPr>
            <w:r>
              <w:t>100%</w:t>
            </w:r>
          </w:p>
        </w:tc>
      </w:tr>
      <w:tr w14:paraId="2E63E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18839">
            <w:pPr>
              <w:pStyle w:val="10"/>
            </w:pPr>
            <w:r>
              <w:t>绩效目标</w:t>
            </w:r>
          </w:p>
        </w:tc>
        <w:tc>
          <w:tcPr>
            <w:tcW w:w="14033" w:type="dxa"/>
            <w:gridSpan w:val="6"/>
            <w:vAlign w:val="center"/>
          </w:tcPr>
          <w:p w14:paraId="0C69879D">
            <w:pPr>
              <w:pStyle w:val="12"/>
            </w:pPr>
            <w:r>
              <w:t>1.按季度分批次拨付公用经费资金，资金拨付率达到100%。</w:t>
            </w:r>
          </w:p>
          <w:p w14:paraId="5890A628">
            <w:pPr>
              <w:pStyle w:val="12"/>
            </w:pPr>
            <w:r>
              <w:t>2.保障学校正常运转，完成各项教育教学活动和其他日常工作任务等方面的费用支出。</w:t>
            </w:r>
          </w:p>
        </w:tc>
      </w:tr>
    </w:tbl>
    <w:p w14:paraId="4823C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1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374BD">
            <w:pPr>
              <w:pStyle w:val="10"/>
            </w:pPr>
            <w:r>
              <w:t>一级指标</w:t>
            </w:r>
          </w:p>
        </w:tc>
        <w:tc>
          <w:tcPr>
            <w:tcW w:w="2268" w:type="dxa"/>
            <w:vAlign w:val="center"/>
          </w:tcPr>
          <w:p w14:paraId="6BEDC555">
            <w:pPr>
              <w:pStyle w:val="10"/>
            </w:pPr>
            <w:r>
              <w:t>二级指标</w:t>
            </w:r>
          </w:p>
        </w:tc>
        <w:tc>
          <w:tcPr>
            <w:tcW w:w="2835" w:type="dxa"/>
            <w:vAlign w:val="center"/>
          </w:tcPr>
          <w:p w14:paraId="306F0B8D">
            <w:pPr>
              <w:pStyle w:val="10"/>
            </w:pPr>
            <w:r>
              <w:t>三级指标</w:t>
            </w:r>
          </w:p>
        </w:tc>
        <w:tc>
          <w:tcPr>
            <w:tcW w:w="5386" w:type="dxa"/>
            <w:vAlign w:val="center"/>
          </w:tcPr>
          <w:p w14:paraId="3E375D78">
            <w:pPr>
              <w:pStyle w:val="10"/>
            </w:pPr>
            <w:r>
              <w:t>绩效指标描述</w:t>
            </w:r>
          </w:p>
        </w:tc>
        <w:tc>
          <w:tcPr>
            <w:tcW w:w="2268" w:type="dxa"/>
            <w:vAlign w:val="center"/>
          </w:tcPr>
          <w:p w14:paraId="536570AF">
            <w:pPr>
              <w:pStyle w:val="10"/>
            </w:pPr>
            <w:r>
              <w:t>指标值</w:t>
            </w:r>
          </w:p>
        </w:tc>
        <w:tc>
          <w:tcPr>
            <w:tcW w:w="1276" w:type="dxa"/>
            <w:vAlign w:val="center"/>
          </w:tcPr>
          <w:p w14:paraId="0E0027F5">
            <w:pPr>
              <w:pStyle w:val="10"/>
            </w:pPr>
            <w:r>
              <w:t>指标值确定依据</w:t>
            </w:r>
          </w:p>
        </w:tc>
      </w:tr>
      <w:tr w14:paraId="4C276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3207C">
            <w:pPr>
              <w:pStyle w:val="13"/>
            </w:pPr>
            <w:r>
              <w:t>产出指标</w:t>
            </w:r>
          </w:p>
        </w:tc>
        <w:tc>
          <w:tcPr>
            <w:tcW w:w="2268" w:type="dxa"/>
            <w:vAlign w:val="center"/>
          </w:tcPr>
          <w:p w14:paraId="5CE270AA">
            <w:pPr>
              <w:pStyle w:val="12"/>
            </w:pPr>
            <w:r>
              <w:t>数量指标</w:t>
            </w:r>
          </w:p>
        </w:tc>
        <w:tc>
          <w:tcPr>
            <w:tcW w:w="2835" w:type="dxa"/>
            <w:vAlign w:val="center"/>
          </w:tcPr>
          <w:p w14:paraId="247244A7">
            <w:pPr>
              <w:pStyle w:val="12"/>
            </w:pPr>
            <w:r>
              <w:t>就读学生数</w:t>
            </w:r>
          </w:p>
        </w:tc>
        <w:tc>
          <w:tcPr>
            <w:tcW w:w="5386" w:type="dxa"/>
            <w:vAlign w:val="center"/>
          </w:tcPr>
          <w:p w14:paraId="2217F603">
            <w:pPr>
              <w:pStyle w:val="12"/>
            </w:pPr>
            <w:r>
              <w:t>辐射区域内适龄学生人数</w:t>
            </w:r>
          </w:p>
        </w:tc>
        <w:tc>
          <w:tcPr>
            <w:tcW w:w="2268" w:type="dxa"/>
            <w:vAlign w:val="center"/>
          </w:tcPr>
          <w:p w14:paraId="611BBEC8">
            <w:pPr>
              <w:pStyle w:val="12"/>
            </w:pPr>
            <w:r>
              <w:t>209人</w:t>
            </w:r>
          </w:p>
        </w:tc>
        <w:tc>
          <w:tcPr>
            <w:tcW w:w="1276" w:type="dxa"/>
            <w:vAlign w:val="center"/>
          </w:tcPr>
          <w:p w14:paraId="7CE34437">
            <w:pPr>
              <w:pStyle w:val="12"/>
            </w:pPr>
            <w:r>
              <w:t>城乡义务教育公用经费管理办法</w:t>
            </w:r>
          </w:p>
        </w:tc>
      </w:tr>
      <w:tr w14:paraId="7B8C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71AA1"/>
        </w:tc>
        <w:tc>
          <w:tcPr>
            <w:tcW w:w="2268" w:type="dxa"/>
            <w:vAlign w:val="center"/>
          </w:tcPr>
          <w:p w14:paraId="6372FFC5">
            <w:pPr>
              <w:pStyle w:val="12"/>
            </w:pPr>
            <w:r>
              <w:t>质量指标</w:t>
            </w:r>
          </w:p>
        </w:tc>
        <w:tc>
          <w:tcPr>
            <w:tcW w:w="2835" w:type="dxa"/>
            <w:vAlign w:val="center"/>
          </w:tcPr>
          <w:p w14:paraId="5575147B">
            <w:pPr>
              <w:pStyle w:val="12"/>
            </w:pPr>
            <w:r>
              <w:t>预算执行率</w:t>
            </w:r>
          </w:p>
        </w:tc>
        <w:tc>
          <w:tcPr>
            <w:tcW w:w="5386" w:type="dxa"/>
            <w:vAlign w:val="center"/>
          </w:tcPr>
          <w:p w14:paraId="0F3CB97F">
            <w:pPr>
              <w:pStyle w:val="12"/>
            </w:pPr>
            <w:r>
              <w:t>预算执行率</w:t>
            </w:r>
          </w:p>
        </w:tc>
        <w:tc>
          <w:tcPr>
            <w:tcW w:w="2268" w:type="dxa"/>
            <w:vAlign w:val="center"/>
          </w:tcPr>
          <w:p w14:paraId="21FB47AF">
            <w:pPr>
              <w:pStyle w:val="12"/>
            </w:pPr>
            <w:r>
              <w:t>≥95%</w:t>
            </w:r>
          </w:p>
        </w:tc>
        <w:tc>
          <w:tcPr>
            <w:tcW w:w="1276" w:type="dxa"/>
            <w:vAlign w:val="center"/>
          </w:tcPr>
          <w:p w14:paraId="1722054A">
            <w:pPr>
              <w:pStyle w:val="12"/>
            </w:pPr>
            <w:r>
              <w:t>城乡义务教育公用经费管理办法</w:t>
            </w:r>
          </w:p>
        </w:tc>
      </w:tr>
      <w:tr w14:paraId="52D5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2825B"/>
        </w:tc>
        <w:tc>
          <w:tcPr>
            <w:tcW w:w="2268" w:type="dxa"/>
            <w:vAlign w:val="center"/>
          </w:tcPr>
          <w:p w14:paraId="6C2CFA91">
            <w:pPr>
              <w:pStyle w:val="12"/>
            </w:pPr>
            <w:r>
              <w:t>时效指标</w:t>
            </w:r>
          </w:p>
        </w:tc>
        <w:tc>
          <w:tcPr>
            <w:tcW w:w="2835" w:type="dxa"/>
            <w:vAlign w:val="center"/>
          </w:tcPr>
          <w:p w14:paraId="11A5C56A">
            <w:pPr>
              <w:pStyle w:val="12"/>
            </w:pPr>
            <w:r>
              <w:t>义教经费支付完成率</w:t>
            </w:r>
          </w:p>
        </w:tc>
        <w:tc>
          <w:tcPr>
            <w:tcW w:w="5386" w:type="dxa"/>
            <w:vAlign w:val="center"/>
          </w:tcPr>
          <w:p w14:paraId="6AF24B36">
            <w:pPr>
              <w:pStyle w:val="12"/>
            </w:pPr>
            <w:r>
              <w:t>按照序时进度完成资金支付</w:t>
            </w:r>
          </w:p>
        </w:tc>
        <w:tc>
          <w:tcPr>
            <w:tcW w:w="2268" w:type="dxa"/>
            <w:vAlign w:val="center"/>
          </w:tcPr>
          <w:p w14:paraId="0E2CA63E">
            <w:pPr>
              <w:pStyle w:val="12"/>
            </w:pPr>
            <w:r>
              <w:t>100%</w:t>
            </w:r>
          </w:p>
        </w:tc>
        <w:tc>
          <w:tcPr>
            <w:tcW w:w="1276" w:type="dxa"/>
            <w:vAlign w:val="center"/>
          </w:tcPr>
          <w:p w14:paraId="2A5CF69F">
            <w:pPr>
              <w:pStyle w:val="12"/>
            </w:pPr>
            <w:r>
              <w:t>城乡义务教育公用经费管理办法</w:t>
            </w:r>
          </w:p>
        </w:tc>
      </w:tr>
      <w:tr w14:paraId="6AE7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C4CD8"/>
        </w:tc>
        <w:tc>
          <w:tcPr>
            <w:tcW w:w="2268" w:type="dxa"/>
            <w:vAlign w:val="center"/>
          </w:tcPr>
          <w:p w14:paraId="4A0438ED">
            <w:pPr>
              <w:pStyle w:val="12"/>
            </w:pPr>
            <w:r>
              <w:t>成本指标</w:t>
            </w:r>
          </w:p>
        </w:tc>
        <w:tc>
          <w:tcPr>
            <w:tcW w:w="2835" w:type="dxa"/>
            <w:vAlign w:val="center"/>
          </w:tcPr>
          <w:p w14:paraId="62FD9F0B">
            <w:pPr>
              <w:pStyle w:val="12"/>
            </w:pPr>
            <w:r>
              <w:t>生均拨款标准</w:t>
            </w:r>
          </w:p>
        </w:tc>
        <w:tc>
          <w:tcPr>
            <w:tcW w:w="5386" w:type="dxa"/>
            <w:vAlign w:val="center"/>
          </w:tcPr>
          <w:p w14:paraId="09E54616">
            <w:pPr>
              <w:pStyle w:val="12"/>
            </w:pPr>
            <w:r>
              <w:t>小学生公用经费生均公用经费基准定额为720元/年/生，取暖费120元/年/生，住宿生补助300元/年/生的标准，随班就读学生补助7000元/生/年</w:t>
            </w:r>
          </w:p>
        </w:tc>
        <w:tc>
          <w:tcPr>
            <w:tcW w:w="2268" w:type="dxa"/>
            <w:vAlign w:val="center"/>
          </w:tcPr>
          <w:p w14:paraId="5FC101C7">
            <w:pPr>
              <w:pStyle w:val="12"/>
            </w:pPr>
            <w:r>
              <w:t>840元</w:t>
            </w:r>
          </w:p>
        </w:tc>
        <w:tc>
          <w:tcPr>
            <w:tcW w:w="1276" w:type="dxa"/>
            <w:vAlign w:val="center"/>
          </w:tcPr>
          <w:p w14:paraId="12BE97E7">
            <w:pPr>
              <w:pStyle w:val="12"/>
            </w:pPr>
            <w:r>
              <w:t>城乡义务教育公用经费管理办法</w:t>
            </w:r>
          </w:p>
        </w:tc>
      </w:tr>
      <w:tr w14:paraId="29D8F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51CDA">
            <w:pPr>
              <w:pStyle w:val="13"/>
            </w:pPr>
            <w:r>
              <w:t>效益指标</w:t>
            </w:r>
          </w:p>
        </w:tc>
        <w:tc>
          <w:tcPr>
            <w:tcW w:w="2268" w:type="dxa"/>
            <w:vAlign w:val="center"/>
          </w:tcPr>
          <w:p w14:paraId="2DD2ECD1">
            <w:pPr>
              <w:pStyle w:val="12"/>
            </w:pPr>
            <w:r>
              <w:t>可持续影响指标</w:t>
            </w:r>
          </w:p>
        </w:tc>
        <w:tc>
          <w:tcPr>
            <w:tcW w:w="2835" w:type="dxa"/>
            <w:vAlign w:val="center"/>
          </w:tcPr>
          <w:p w14:paraId="54DD01CA">
            <w:pPr>
              <w:pStyle w:val="12"/>
            </w:pPr>
            <w:r>
              <w:t>学校运转得到提高</w:t>
            </w:r>
          </w:p>
        </w:tc>
        <w:tc>
          <w:tcPr>
            <w:tcW w:w="5386" w:type="dxa"/>
            <w:vAlign w:val="center"/>
          </w:tcPr>
          <w:p w14:paraId="5DFAC338">
            <w:pPr>
              <w:pStyle w:val="12"/>
            </w:pPr>
            <w:r>
              <w:t>学生受教育年限</w:t>
            </w:r>
          </w:p>
        </w:tc>
        <w:tc>
          <w:tcPr>
            <w:tcW w:w="2268" w:type="dxa"/>
            <w:vAlign w:val="center"/>
          </w:tcPr>
          <w:p w14:paraId="2C7D8DEB">
            <w:pPr>
              <w:pStyle w:val="12"/>
            </w:pPr>
            <w:r>
              <w:t>6年</w:t>
            </w:r>
          </w:p>
        </w:tc>
        <w:tc>
          <w:tcPr>
            <w:tcW w:w="1276" w:type="dxa"/>
            <w:vAlign w:val="center"/>
          </w:tcPr>
          <w:p w14:paraId="517E4C61">
            <w:pPr>
              <w:pStyle w:val="12"/>
            </w:pPr>
            <w:r>
              <w:t>城乡义务教育公用经费管理办法</w:t>
            </w:r>
          </w:p>
        </w:tc>
      </w:tr>
      <w:tr w14:paraId="0216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27556">
            <w:pPr>
              <w:pStyle w:val="13"/>
            </w:pPr>
            <w:r>
              <w:t>满意度指标</w:t>
            </w:r>
          </w:p>
        </w:tc>
        <w:tc>
          <w:tcPr>
            <w:tcW w:w="2268" w:type="dxa"/>
            <w:vAlign w:val="center"/>
          </w:tcPr>
          <w:p w14:paraId="50DACBF4">
            <w:pPr>
              <w:pStyle w:val="12"/>
            </w:pPr>
            <w:r>
              <w:t>服务对象满意度指标</w:t>
            </w:r>
          </w:p>
        </w:tc>
        <w:tc>
          <w:tcPr>
            <w:tcW w:w="2835" w:type="dxa"/>
            <w:vAlign w:val="center"/>
          </w:tcPr>
          <w:p w14:paraId="153CEFF7">
            <w:pPr>
              <w:pStyle w:val="12"/>
            </w:pPr>
            <w:r>
              <w:t>服务对象满意度</w:t>
            </w:r>
          </w:p>
        </w:tc>
        <w:tc>
          <w:tcPr>
            <w:tcW w:w="5386" w:type="dxa"/>
            <w:vAlign w:val="center"/>
          </w:tcPr>
          <w:p w14:paraId="58574754">
            <w:pPr>
              <w:pStyle w:val="12"/>
            </w:pPr>
            <w:r>
              <w:t>学校老师和学生满意度</w:t>
            </w:r>
          </w:p>
        </w:tc>
        <w:tc>
          <w:tcPr>
            <w:tcW w:w="2268" w:type="dxa"/>
            <w:vAlign w:val="center"/>
          </w:tcPr>
          <w:p w14:paraId="6E08B5C1">
            <w:pPr>
              <w:pStyle w:val="12"/>
            </w:pPr>
            <w:r>
              <w:t>≥95%</w:t>
            </w:r>
          </w:p>
        </w:tc>
        <w:tc>
          <w:tcPr>
            <w:tcW w:w="1276" w:type="dxa"/>
            <w:vAlign w:val="center"/>
          </w:tcPr>
          <w:p w14:paraId="1CCDE01C">
            <w:pPr>
              <w:pStyle w:val="12"/>
            </w:pPr>
            <w:r>
              <w:t>群众测评</w:t>
            </w:r>
          </w:p>
        </w:tc>
      </w:tr>
    </w:tbl>
    <w:p w14:paraId="1B7F841B">
      <w:pPr>
        <w:sectPr>
          <w:pgSz w:w="16840" w:h="11900" w:orient="landscape"/>
          <w:pgMar w:top="1361" w:right="1020" w:bottom="1134" w:left="1020" w:header="720" w:footer="720" w:gutter="0"/>
          <w:cols w:space="720" w:num="1"/>
        </w:sectPr>
      </w:pPr>
    </w:p>
    <w:p w14:paraId="5699165E">
      <w:pPr>
        <w:spacing w:before="0" w:after="0"/>
        <w:ind w:firstLine="560"/>
        <w:jc w:val="left"/>
        <w:outlineLvl w:val="9"/>
      </w:pPr>
      <w:r>
        <w:rPr>
          <w:rFonts w:ascii="方正仿宋_GBK" w:hAnsi="方正仿宋_GBK" w:eastAsia="方正仿宋_GBK" w:cs="方正仿宋_GBK"/>
          <w:b/>
          <w:color w:val="000000"/>
          <w:sz w:val="28"/>
        </w:rPr>
        <w:t>35、县级资金/2024年双碑校区学前教育公用经费绩效目标表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37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1E0E9">
            <w:pPr>
              <w:pStyle w:val="11"/>
            </w:pPr>
            <w:r>
              <w:t>单位：万元</w:t>
            </w:r>
          </w:p>
        </w:tc>
      </w:tr>
      <w:tr w14:paraId="57232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FDD2C">
            <w:pPr>
              <w:pStyle w:val="10"/>
            </w:pPr>
            <w:r>
              <w:t>项目编码</w:t>
            </w:r>
          </w:p>
        </w:tc>
        <w:tc>
          <w:tcPr>
            <w:tcW w:w="5103" w:type="dxa"/>
            <w:gridSpan w:val="2"/>
            <w:vAlign w:val="center"/>
          </w:tcPr>
          <w:p w14:paraId="480329A2">
            <w:pPr>
              <w:pStyle w:val="12"/>
            </w:pPr>
            <w:r>
              <w:t>13052526P00875710135D</w:t>
            </w:r>
          </w:p>
        </w:tc>
        <w:tc>
          <w:tcPr>
            <w:tcW w:w="2835" w:type="dxa"/>
            <w:vAlign w:val="center"/>
          </w:tcPr>
          <w:p w14:paraId="39A3E10A">
            <w:pPr>
              <w:pStyle w:val="10"/>
            </w:pPr>
            <w:r>
              <w:t>项目名称</w:t>
            </w:r>
          </w:p>
        </w:tc>
        <w:tc>
          <w:tcPr>
            <w:tcW w:w="6095" w:type="dxa"/>
            <w:gridSpan w:val="3"/>
            <w:vAlign w:val="center"/>
          </w:tcPr>
          <w:p w14:paraId="292E63F0">
            <w:pPr>
              <w:pStyle w:val="12"/>
            </w:pPr>
            <w:r>
              <w:t>县级资金/2024年双碑校区学前教育公用经费</w:t>
            </w:r>
          </w:p>
        </w:tc>
      </w:tr>
      <w:tr w14:paraId="6D70B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4A312">
            <w:pPr>
              <w:pStyle w:val="10"/>
            </w:pPr>
            <w:r>
              <w:t>预算规模及资金用途</w:t>
            </w:r>
          </w:p>
        </w:tc>
        <w:tc>
          <w:tcPr>
            <w:tcW w:w="2268" w:type="dxa"/>
            <w:vAlign w:val="center"/>
          </w:tcPr>
          <w:p w14:paraId="22F94372">
            <w:pPr>
              <w:pStyle w:val="10"/>
            </w:pPr>
            <w:r>
              <w:t>预算数</w:t>
            </w:r>
          </w:p>
        </w:tc>
        <w:tc>
          <w:tcPr>
            <w:tcW w:w="2835" w:type="dxa"/>
            <w:vAlign w:val="center"/>
          </w:tcPr>
          <w:p w14:paraId="1F2D8244">
            <w:pPr>
              <w:pStyle w:val="12"/>
            </w:pPr>
            <w:r>
              <w:t>25.44</w:t>
            </w:r>
          </w:p>
        </w:tc>
        <w:tc>
          <w:tcPr>
            <w:tcW w:w="2835" w:type="dxa"/>
            <w:vAlign w:val="center"/>
          </w:tcPr>
          <w:p w14:paraId="441E21A5">
            <w:pPr>
              <w:pStyle w:val="10"/>
            </w:pPr>
            <w:r>
              <w:t>其中：财政    资金</w:t>
            </w:r>
          </w:p>
        </w:tc>
        <w:tc>
          <w:tcPr>
            <w:tcW w:w="2551" w:type="dxa"/>
            <w:vAlign w:val="center"/>
          </w:tcPr>
          <w:p w14:paraId="15FCEFF9">
            <w:pPr>
              <w:pStyle w:val="12"/>
            </w:pPr>
            <w:r>
              <w:t>25.44</w:t>
            </w:r>
          </w:p>
        </w:tc>
        <w:tc>
          <w:tcPr>
            <w:tcW w:w="2268" w:type="dxa"/>
            <w:vAlign w:val="center"/>
          </w:tcPr>
          <w:p w14:paraId="04728761">
            <w:pPr>
              <w:pStyle w:val="10"/>
            </w:pPr>
            <w:r>
              <w:t>其他资金</w:t>
            </w:r>
          </w:p>
        </w:tc>
        <w:tc>
          <w:tcPr>
            <w:tcW w:w="1276" w:type="dxa"/>
            <w:vAlign w:val="center"/>
          </w:tcPr>
          <w:p w14:paraId="0AD8EB66">
            <w:pPr>
              <w:pStyle w:val="12"/>
            </w:pPr>
            <w:r>
              <w:t xml:space="preserve"> </w:t>
            </w:r>
          </w:p>
        </w:tc>
      </w:tr>
      <w:tr w14:paraId="5C205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E7B9C"/>
        </w:tc>
        <w:tc>
          <w:tcPr>
            <w:tcW w:w="14033" w:type="dxa"/>
            <w:gridSpan w:val="6"/>
            <w:vAlign w:val="center"/>
          </w:tcPr>
          <w:p w14:paraId="114306D7">
            <w:pPr>
              <w:pStyle w:val="12"/>
            </w:pPr>
            <w:r>
              <w:rPr>
                <w:rFonts w:hint="eastAsia"/>
                <w:lang w:eastAsia="zh-CN"/>
              </w:rPr>
              <w:t>“</w:t>
            </w:r>
            <w:r>
              <w:t>按季度分批次拨付公用经费资金，资金拨付率达到100%。</w:t>
            </w:r>
            <w:r>
              <w:tab/>
            </w:r>
            <w:r>
              <w:tab/>
            </w:r>
            <w:r>
              <w:t>"</w:t>
            </w:r>
            <w:r>
              <w:tab/>
            </w:r>
            <w:r>
              <w:tab/>
            </w:r>
            <w:r>
              <w:tab/>
            </w:r>
            <w:r>
              <w:tab/>
            </w:r>
            <w:r>
              <w:tab/>
            </w:r>
            <w:r>
              <w:tab/>
            </w:r>
          </w:p>
          <w:p w14:paraId="6E116992">
            <w:pPr>
              <w:pStyle w:val="12"/>
            </w:pPr>
          </w:p>
        </w:tc>
      </w:tr>
      <w:tr w14:paraId="75879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F1DB1">
            <w:pPr>
              <w:pStyle w:val="10"/>
            </w:pPr>
            <w:r>
              <w:t>资金支出计划（%）</w:t>
            </w:r>
          </w:p>
        </w:tc>
        <w:tc>
          <w:tcPr>
            <w:tcW w:w="5103" w:type="dxa"/>
            <w:gridSpan w:val="2"/>
            <w:vAlign w:val="center"/>
          </w:tcPr>
          <w:p w14:paraId="0B801222">
            <w:pPr>
              <w:pStyle w:val="10"/>
            </w:pPr>
            <w:r>
              <w:t>3月底</w:t>
            </w:r>
          </w:p>
        </w:tc>
        <w:tc>
          <w:tcPr>
            <w:tcW w:w="2835" w:type="dxa"/>
            <w:vAlign w:val="center"/>
          </w:tcPr>
          <w:p w14:paraId="29C7D685">
            <w:pPr>
              <w:pStyle w:val="10"/>
            </w:pPr>
            <w:r>
              <w:t>6月底</w:t>
            </w:r>
          </w:p>
        </w:tc>
        <w:tc>
          <w:tcPr>
            <w:tcW w:w="2551" w:type="dxa"/>
            <w:vAlign w:val="center"/>
          </w:tcPr>
          <w:p w14:paraId="6A7A5C66">
            <w:pPr>
              <w:pStyle w:val="10"/>
            </w:pPr>
            <w:r>
              <w:t>10月底</w:t>
            </w:r>
          </w:p>
        </w:tc>
        <w:tc>
          <w:tcPr>
            <w:tcW w:w="3544" w:type="dxa"/>
            <w:gridSpan w:val="2"/>
            <w:vAlign w:val="center"/>
          </w:tcPr>
          <w:p w14:paraId="2E748819">
            <w:pPr>
              <w:pStyle w:val="10"/>
            </w:pPr>
            <w:r>
              <w:t>12月底</w:t>
            </w:r>
          </w:p>
        </w:tc>
      </w:tr>
      <w:tr w14:paraId="26314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DB48F"/>
        </w:tc>
        <w:tc>
          <w:tcPr>
            <w:tcW w:w="5103" w:type="dxa"/>
            <w:gridSpan w:val="2"/>
            <w:vAlign w:val="center"/>
          </w:tcPr>
          <w:p w14:paraId="36773125">
            <w:pPr>
              <w:pStyle w:val="13"/>
            </w:pPr>
            <w:r>
              <w:t>25%</w:t>
            </w:r>
          </w:p>
        </w:tc>
        <w:tc>
          <w:tcPr>
            <w:tcW w:w="2835" w:type="dxa"/>
            <w:vAlign w:val="center"/>
          </w:tcPr>
          <w:p w14:paraId="72A3B779">
            <w:pPr>
              <w:pStyle w:val="13"/>
            </w:pPr>
            <w:r>
              <w:t>50%</w:t>
            </w:r>
          </w:p>
        </w:tc>
        <w:tc>
          <w:tcPr>
            <w:tcW w:w="2551" w:type="dxa"/>
            <w:vAlign w:val="center"/>
          </w:tcPr>
          <w:p w14:paraId="454477A9">
            <w:pPr>
              <w:pStyle w:val="13"/>
            </w:pPr>
            <w:r>
              <w:t>75%</w:t>
            </w:r>
          </w:p>
        </w:tc>
        <w:tc>
          <w:tcPr>
            <w:tcW w:w="3544" w:type="dxa"/>
            <w:gridSpan w:val="2"/>
            <w:vAlign w:val="center"/>
          </w:tcPr>
          <w:p w14:paraId="45FCE412">
            <w:pPr>
              <w:pStyle w:val="13"/>
            </w:pPr>
            <w:r>
              <w:t>100%</w:t>
            </w:r>
          </w:p>
        </w:tc>
      </w:tr>
      <w:tr w14:paraId="498DE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DB83B">
            <w:pPr>
              <w:pStyle w:val="10"/>
            </w:pPr>
            <w:r>
              <w:t>绩效目标</w:t>
            </w:r>
          </w:p>
        </w:tc>
        <w:tc>
          <w:tcPr>
            <w:tcW w:w="14033" w:type="dxa"/>
            <w:gridSpan w:val="6"/>
            <w:vAlign w:val="center"/>
          </w:tcPr>
          <w:p w14:paraId="4CB66FAA">
            <w:pPr>
              <w:pStyle w:val="12"/>
            </w:pPr>
            <w:r>
              <w:t>1.按季度分批次拨付公用经费资金，资金拨付率达到100%。</w:t>
            </w:r>
            <w:r>
              <w:tab/>
            </w:r>
            <w:r>
              <w:tab/>
            </w:r>
          </w:p>
          <w:p w14:paraId="12E01333">
            <w:pPr>
              <w:pStyle w:val="12"/>
            </w:pPr>
            <w:r>
              <w:t>2.保障幼儿园正常运转，完成教育教学活动和其他日常工作任务等方面的费用支出。</w:t>
            </w:r>
            <w:r>
              <w:tab/>
            </w:r>
            <w:r>
              <w:tab/>
            </w:r>
          </w:p>
        </w:tc>
      </w:tr>
    </w:tbl>
    <w:p w14:paraId="779A9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D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6FB6D">
            <w:pPr>
              <w:pStyle w:val="10"/>
            </w:pPr>
            <w:r>
              <w:t>一级指标</w:t>
            </w:r>
          </w:p>
        </w:tc>
        <w:tc>
          <w:tcPr>
            <w:tcW w:w="2268" w:type="dxa"/>
            <w:vAlign w:val="center"/>
          </w:tcPr>
          <w:p w14:paraId="25B7FC98">
            <w:pPr>
              <w:pStyle w:val="10"/>
            </w:pPr>
            <w:r>
              <w:t>二级指标</w:t>
            </w:r>
          </w:p>
        </w:tc>
        <w:tc>
          <w:tcPr>
            <w:tcW w:w="2835" w:type="dxa"/>
            <w:vAlign w:val="center"/>
          </w:tcPr>
          <w:p w14:paraId="54437FB5">
            <w:pPr>
              <w:pStyle w:val="10"/>
            </w:pPr>
            <w:r>
              <w:t>三级指标</w:t>
            </w:r>
          </w:p>
        </w:tc>
        <w:tc>
          <w:tcPr>
            <w:tcW w:w="5386" w:type="dxa"/>
            <w:vAlign w:val="center"/>
          </w:tcPr>
          <w:p w14:paraId="2D6C2106">
            <w:pPr>
              <w:pStyle w:val="10"/>
            </w:pPr>
            <w:r>
              <w:t>绩效指标描述</w:t>
            </w:r>
          </w:p>
        </w:tc>
        <w:tc>
          <w:tcPr>
            <w:tcW w:w="2268" w:type="dxa"/>
            <w:vAlign w:val="center"/>
          </w:tcPr>
          <w:p w14:paraId="7178CA26">
            <w:pPr>
              <w:pStyle w:val="10"/>
            </w:pPr>
            <w:r>
              <w:t>指标值</w:t>
            </w:r>
          </w:p>
        </w:tc>
        <w:tc>
          <w:tcPr>
            <w:tcW w:w="1276" w:type="dxa"/>
            <w:vAlign w:val="center"/>
          </w:tcPr>
          <w:p w14:paraId="3DF8987E">
            <w:pPr>
              <w:pStyle w:val="10"/>
            </w:pPr>
            <w:r>
              <w:t>指标值确定依据</w:t>
            </w:r>
          </w:p>
        </w:tc>
      </w:tr>
      <w:tr w14:paraId="38E0F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64E57">
            <w:pPr>
              <w:pStyle w:val="13"/>
            </w:pPr>
            <w:r>
              <w:t>产出指标</w:t>
            </w:r>
          </w:p>
        </w:tc>
        <w:tc>
          <w:tcPr>
            <w:tcW w:w="2268" w:type="dxa"/>
            <w:vAlign w:val="center"/>
          </w:tcPr>
          <w:p w14:paraId="1B2356DA">
            <w:pPr>
              <w:pStyle w:val="12"/>
            </w:pPr>
            <w:r>
              <w:t>数量指标</w:t>
            </w:r>
          </w:p>
        </w:tc>
        <w:tc>
          <w:tcPr>
            <w:tcW w:w="2835" w:type="dxa"/>
            <w:vAlign w:val="center"/>
          </w:tcPr>
          <w:p w14:paraId="040E646C">
            <w:pPr>
              <w:pStyle w:val="12"/>
            </w:pPr>
            <w:r>
              <w:t>适龄在园生</w:t>
            </w:r>
          </w:p>
        </w:tc>
        <w:tc>
          <w:tcPr>
            <w:tcW w:w="5386" w:type="dxa"/>
            <w:vAlign w:val="center"/>
          </w:tcPr>
          <w:p w14:paraId="4B6A7570">
            <w:pPr>
              <w:pStyle w:val="12"/>
            </w:pPr>
            <w:r>
              <w:t>适龄在园学生人数</w:t>
            </w:r>
          </w:p>
        </w:tc>
        <w:tc>
          <w:tcPr>
            <w:tcW w:w="2268" w:type="dxa"/>
            <w:vAlign w:val="center"/>
          </w:tcPr>
          <w:p w14:paraId="46250D57">
            <w:pPr>
              <w:pStyle w:val="12"/>
            </w:pPr>
            <w:r>
              <w:t>566人</w:t>
            </w:r>
          </w:p>
        </w:tc>
        <w:tc>
          <w:tcPr>
            <w:tcW w:w="1276" w:type="dxa"/>
            <w:vAlign w:val="center"/>
          </w:tcPr>
          <w:p w14:paraId="226ACE38">
            <w:pPr>
              <w:pStyle w:val="12"/>
            </w:pPr>
            <w:r>
              <w:t>学前公用经费管理办法</w:t>
            </w:r>
          </w:p>
        </w:tc>
      </w:tr>
      <w:tr w14:paraId="1CEC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3D608"/>
        </w:tc>
        <w:tc>
          <w:tcPr>
            <w:tcW w:w="2268" w:type="dxa"/>
            <w:vAlign w:val="center"/>
          </w:tcPr>
          <w:p w14:paraId="34E7799D">
            <w:pPr>
              <w:pStyle w:val="12"/>
            </w:pPr>
            <w:r>
              <w:t>质量指标</w:t>
            </w:r>
          </w:p>
        </w:tc>
        <w:tc>
          <w:tcPr>
            <w:tcW w:w="2835" w:type="dxa"/>
            <w:vAlign w:val="center"/>
          </w:tcPr>
          <w:p w14:paraId="0D5A1C9B">
            <w:pPr>
              <w:pStyle w:val="12"/>
            </w:pPr>
            <w:r>
              <w:t>预算控制率</w:t>
            </w:r>
          </w:p>
        </w:tc>
        <w:tc>
          <w:tcPr>
            <w:tcW w:w="5386" w:type="dxa"/>
            <w:vAlign w:val="center"/>
          </w:tcPr>
          <w:p w14:paraId="7C6825B0">
            <w:pPr>
              <w:pStyle w:val="12"/>
            </w:pPr>
            <w:r>
              <w:t>预算执行</w:t>
            </w:r>
          </w:p>
        </w:tc>
        <w:tc>
          <w:tcPr>
            <w:tcW w:w="2268" w:type="dxa"/>
            <w:vAlign w:val="center"/>
          </w:tcPr>
          <w:p w14:paraId="760A66A9">
            <w:pPr>
              <w:pStyle w:val="12"/>
            </w:pPr>
            <w:r>
              <w:t>≥95%</w:t>
            </w:r>
          </w:p>
        </w:tc>
        <w:tc>
          <w:tcPr>
            <w:tcW w:w="1276" w:type="dxa"/>
            <w:vAlign w:val="center"/>
          </w:tcPr>
          <w:p w14:paraId="529367F3">
            <w:pPr>
              <w:pStyle w:val="12"/>
            </w:pPr>
            <w:r>
              <w:t>学前公用经费管理办法</w:t>
            </w:r>
          </w:p>
        </w:tc>
      </w:tr>
      <w:tr w14:paraId="0E03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C2BBB"/>
        </w:tc>
        <w:tc>
          <w:tcPr>
            <w:tcW w:w="2268" w:type="dxa"/>
            <w:vAlign w:val="center"/>
          </w:tcPr>
          <w:p w14:paraId="3FDD70B0">
            <w:pPr>
              <w:pStyle w:val="12"/>
            </w:pPr>
            <w:r>
              <w:t>时效指标</w:t>
            </w:r>
          </w:p>
        </w:tc>
        <w:tc>
          <w:tcPr>
            <w:tcW w:w="2835" w:type="dxa"/>
            <w:vAlign w:val="center"/>
          </w:tcPr>
          <w:p w14:paraId="2C59A0A7">
            <w:pPr>
              <w:pStyle w:val="12"/>
            </w:pPr>
            <w:r>
              <w:t>资金支付率</w:t>
            </w:r>
          </w:p>
        </w:tc>
        <w:tc>
          <w:tcPr>
            <w:tcW w:w="5386" w:type="dxa"/>
            <w:vAlign w:val="center"/>
          </w:tcPr>
          <w:p w14:paraId="756CDB40">
            <w:pPr>
              <w:pStyle w:val="12"/>
            </w:pPr>
            <w:r>
              <w:t>按照序时进度完成资金支付</w:t>
            </w:r>
          </w:p>
        </w:tc>
        <w:tc>
          <w:tcPr>
            <w:tcW w:w="2268" w:type="dxa"/>
            <w:vAlign w:val="center"/>
          </w:tcPr>
          <w:p w14:paraId="380F95DB">
            <w:pPr>
              <w:pStyle w:val="12"/>
            </w:pPr>
            <w:r>
              <w:t>100%</w:t>
            </w:r>
          </w:p>
        </w:tc>
        <w:tc>
          <w:tcPr>
            <w:tcW w:w="1276" w:type="dxa"/>
            <w:vAlign w:val="center"/>
          </w:tcPr>
          <w:p w14:paraId="452D3D31">
            <w:pPr>
              <w:pStyle w:val="12"/>
            </w:pPr>
            <w:r>
              <w:t>学前公用经费管理办法</w:t>
            </w:r>
          </w:p>
        </w:tc>
      </w:tr>
      <w:tr w14:paraId="16F2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AC2C8"/>
        </w:tc>
        <w:tc>
          <w:tcPr>
            <w:tcW w:w="2268" w:type="dxa"/>
            <w:vAlign w:val="center"/>
          </w:tcPr>
          <w:p w14:paraId="298C9F65">
            <w:pPr>
              <w:pStyle w:val="12"/>
            </w:pPr>
            <w:r>
              <w:t>成本指标</w:t>
            </w:r>
          </w:p>
        </w:tc>
        <w:tc>
          <w:tcPr>
            <w:tcW w:w="2835" w:type="dxa"/>
            <w:vAlign w:val="center"/>
          </w:tcPr>
          <w:p w14:paraId="578872DC">
            <w:pPr>
              <w:pStyle w:val="12"/>
            </w:pPr>
            <w:r>
              <w:t>生均拨款标准</w:t>
            </w:r>
          </w:p>
        </w:tc>
        <w:tc>
          <w:tcPr>
            <w:tcW w:w="5386" w:type="dxa"/>
            <w:vAlign w:val="center"/>
          </w:tcPr>
          <w:p w14:paraId="55BA56D0">
            <w:pPr>
              <w:pStyle w:val="12"/>
            </w:pPr>
            <w:r>
              <w:t>学前：（基本标准600元/生/学年）</w:t>
            </w:r>
          </w:p>
        </w:tc>
        <w:tc>
          <w:tcPr>
            <w:tcW w:w="2268" w:type="dxa"/>
            <w:vAlign w:val="center"/>
          </w:tcPr>
          <w:p w14:paraId="366E55DC">
            <w:pPr>
              <w:pStyle w:val="12"/>
            </w:pPr>
            <w:r>
              <w:t>600元</w:t>
            </w:r>
          </w:p>
        </w:tc>
        <w:tc>
          <w:tcPr>
            <w:tcW w:w="1276" w:type="dxa"/>
            <w:vAlign w:val="center"/>
          </w:tcPr>
          <w:p w14:paraId="098A9FB9">
            <w:pPr>
              <w:pStyle w:val="12"/>
            </w:pPr>
            <w:r>
              <w:t>学前公用经费管理办法</w:t>
            </w:r>
          </w:p>
        </w:tc>
      </w:tr>
      <w:tr w14:paraId="0D29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EDFF8">
            <w:pPr>
              <w:pStyle w:val="13"/>
            </w:pPr>
            <w:r>
              <w:t>效益指标</w:t>
            </w:r>
          </w:p>
        </w:tc>
        <w:tc>
          <w:tcPr>
            <w:tcW w:w="2268" w:type="dxa"/>
            <w:vAlign w:val="center"/>
          </w:tcPr>
          <w:p w14:paraId="5EDD7FEC">
            <w:pPr>
              <w:pStyle w:val="12"/>
            </w:pPr>
            <w:r>
              <w:t>可持续影响指标</w:t>
            </w:r>
          </w:p>
        </w:tc>
        <w:tc>
          <w:tcPr>
            <w:tcW w:w="2835" w:type="dxa"/>
            <w:vAlign w:val="center"/>
          </w:tcPr>
          <w:p w14:paraId="25CBAB21">
            <w:pPr>
              <w:pStyle w:val="12"/>
            </w:pPr>
            <w:r>
              <w:t>学校运转得到提升</w:t>
            </w:r>
          </w:p>
        </w:tc>
        <w:tc>
          <w:tcPr>
            <w:tcW w:w="5386" w:type="dxa"/>
            <w:vAlign w:val="center"/>
          </w:tcPr>
          <w:p w14:paraId="5F8F0D1E">
            <w:pPr>
              <w:pStyle w:val="12"/>
            </w:pPr>
            <w:r>
              <w:t>幼儿受教育年限</w:t>
            </w:r>
          </w:p>
        </w:tc>
        <w:tc>
          <w:tcPr>
            <w:tcW w:w="2268" w:type="dxa"/>
            <w:vAlign w:val="center"/>
          </w:tcPr>
          <w:p w14:paraId="0EC29328">
            <w:pPr>
              <w:pStyle w:val="12"/>
            </w:pPr>
            <w:r>
              <w:t>3年</w:t>
            </w:r>
          </w:p>
        </w:tc>
        <w:tc>
          <w:tcPr>
            <w:tcW w:w="1276" w:type="dxa"/>
            <w:vAlign w:val="center"/>
          </w:tcPr>
          <w:p w14:paraId="70284720">
            <w:pPr>
              <w:pStyle w:val="12"/>
            </w:pPr>
            <w:r>
              <w:t>学前公用经费管理办法</w:t>
            </w:r>
          </w:p>
        </w:tc>
      </w:tr>
      <w:tr w14:paraId="6176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0FFFB">
            <w:pPr>
              <w:pStyle w:val="13"/>
            </w:pPr>
            <w:r>
              <w:t>满意度指标</w:t>
            </w:r>
          </w:p>
        </w:tc>
        <w:tc>
          <w:tcPr>
            <w:tcW w:w="2268" w:type="dxa"/>
            <w:vAlign w:val="center"/>
          </w:tcPr>
          <w:p w14:paraId="084A63D2">
            <w:pPr>
              <w:pStyle w:val="12"/>
            </w:pPr>
            <w:r>
              <w:t>服务对象满意度指标</w:t>
            </w:r>
          </w:p>
        </w:tc>
        <w:tc>
          <w:tcPr>
            <w:tcW w:w="2835" w:type="dxa"/>
            <w:vAlign w:val="center"/>
          </w:tcPr>
          <w:p w14:paraId="7D24704C">
            <w:pPr>
              <w:pStyle w:val="12"/>
            </w:pPr>
            <w:r>
              <w:t>受益学生家长及调查满意度</w:t>
            </w:r>
          </w:p>
        </w:tc>
        <w:tc>
          <w:tcPr>
            <w:tcW w:w="5386" w:type="dxa"/>
            <w:vAlign w:val="center"/>
          </w:tcPr>
          <w:p w14:paraId="52D417B4">
            <w:pPr>
              <w:pStyle w:val="12"/>
            </w:pPr>
            <w:r>
              <w:t>学生、教师及家长对学校保教保育工作满意度情况</w:t>
            </w:r>
          </w:p>
        </w:tc>
        <w:tc>
          <w:tcPr>
            <w:tcW w:w="2268" w:type="dxa"/>
            <w:vAlign w:val="center"/>
          </w:tcPr>
          <w:p w14:paraId="5AB43BE7">
            <w:pPr>
              <w:pStyle w:val="12"/>
            </w:pPr>
            <w:r>
              <w:t>≥95%</w:t>
            </w:r>
          </w:p>
        </w:tc>
        <w:tc>
          <w:tcPr>
            <w:tcW w:w="1276" w:type="dxa"/>
            <w:vAlign w:val="center"/>
          </w:tcPr>
          <w:p w14:paraId="79A759F1">
            <w:pPr>
              <w:pStyle w:val="12"/>
            </w:pPr>
            <w:r>
              <w:t>群众测评</w:t>
            </w:r>
          </w:p>
        </w:tc>
      </w:tr>
    </w:tbl>
    <w:p w14:paraId="0F78E922">
      <w:pPr>
        <w:sectPr>
          <w:pgSz w:w="16840" w:h="11900" w:orient="landscape"/>
          <w:pgMar w:top="1361" w:right="1020" w:bottom="1134" w:left="1020" w:header="720" w:footer="720" w:gutter="0"/>
          <w:cols w:space="720" w:num="1"/>
        </w:sectPr>
      </w:pPr>
    </w:p>
    <w:p w14:paraId="3FC58364">
      <w:pPr>
        <w:spacing w:before="0" w:after="0"/>
        <w:ind w:firstLine="560"/>
        <w:jc w:val="left"/>
        <w:outlineLvl w:val="9"/>
      </w:pPr>
      <w:r>
        <w:rPr>
          <w:rFonts w:ascii="方正仿宋_GBK" w:hAnsi="方正仿宋_GBK" w:eastAsia="方正仿宋_GBK" w:cs="方正仿宋_GBK"/>
          <w:b/>
          <w:color w:val="000000"/>
          <w:sz w:val="28"/>
        </w:rPr>
        <w:t>36、县级资金/2026年双碑校区学前教育公用经费绩效目标表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8F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9BEF4">
            <w:pPr>
              <w:pStyle w:val="11"/>
            </w:pPr>
            <w:r>
              <w:t>单位：万元</w:t>
            </w:r>
          </w:p>
        </w:tc>
      </w:tr>
      <w:tr w14:paraId="11A4B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EBA5D">
            <w:pPr>
              <w:pStyle w:val="10"/>
            </w:pPr>
            <w:r>
              <w:t>项目编码</w:t>
            </w:r>
          </w:p>
        </w:tc>
        <w:tc>
          <w:tcPr>
            <w:tcW w:w="5103" w:type="dxa"/>
            <w:gridSpan w:val="2"/>
            <w:vAlign w:val="center"/>
          </w:tcPr>
          <w:p w14:paraId="352C2D8F">
            <w:pPr>
              <w:pStyle w:val="12"/>
            </w:pPr>
            <w:r>
              <w:t>13052526P008757101213</w:t>
            </w:r>
          </w:p>
        </w:tc>
        <w:tc>
          <w:tcPr>
            <w:tcW w:w="2835" w:type="dxa"/>
            <w:vAlign w:val="center"/>
          </w:tcPr>
          <w:p w14:paraId="48366EE8">
            <w:pPr>
              <w:pStyle w:val="10"/>
            </w:pPr>
            <w:r>
              <w:t>项目名称</w:t>
            </w:r>
          </w:p>
        </w:tc>
        <w:tc>
          <w:tcPr>
            <w:tcW w:w="6095" w:type="dxa"/>
            <w:gridSpan w:val="3"/>
            <w:vAlign w:val="center"/>
          </w:tcPr>
          <w:p w14:paraId="2C2A3857">
            <w:pPr>
              <w:pStyle w:val="12"/>
            </w:pPr>
            <w:r>
              <w:t>县级资金/2026年双碑校区学前教育公用经费</w:t>
            </w:r>
          </w:p>
        </w:tc>
      </w:tr>
      <w:tr w14:paraId="53C48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1AB63">
            <w:pPr>
              <w:pStyle w:val="10"/>
            </w:pPr>
            <w:r>
              <w:t>预算规模及资金用途</w:t>
            </w:r>
          </w:p>
        </w:tc>
        <w:tc>
          <w:tcPr>
            <w:tcW w:w="2268" w:type="dxa"/>
            <w:vAlign w:val="center"/>
          </w:tcPr>
          <w:p w14:paraId="015FECD7">
            <w:pPr>
              <w:pStyle w:val="10"/>
            </w:pPr>
            <w:r>
              <w:t>预算数</w:t>
            </w:r>
          </w:p>
        </w:tc>
        <w:tc>
          <w:tcPr>
            <w:tcW w:w="2835" w:type="dxa"/>
            <w:vAlign w:val="center"/>
          </w:tcPr>
          <w:p w14:paraId="599EC350">
            <w:pPr>
              <w:pStyle w:val="12"/>
            </w:pPr>
            <w:r>
              <w:t>12.53</w:t>
            </w:r>
          </w:p>
        </w:tc>
        <w:tc>
          <w:tcPr>
            <w:tcW w:w="2835" w:type="dxa"/>
            <w:vAlign w:val="center"/>
          </w:tcPr>
          <w:p w14:paraId="578ACCB5">
            <w:pPr>
              <w:pStyle w:val="10"/>
            </w:pPr>
            <w:r>
              <w:t>其中：财政    资金</w:t>
            </w:r>
          </w:p>
        </w:tc>
        <w:tc>
          <w:tcPr>
            <w:tcW w:w="2551" w:type="dxa"/>
            <w:vAlign w:val="center"/>
          </w:tcPr>
          <w:p w14:paraId="6F28C963">
            <w:pPr>
              <w:pStyle w:val="12"/>
            </w:pPr>
            <w:r>
              <w:t>12.53</w:t>
            </w:r>
          </w:p>
        </w:tc>
        <w:tc>
          <w:tcPr>
            <w:tcW w:w="2268" w:type="dxa"/>
            <w:vAlign w:val="center"/>
          </w:tcPr>
          <w:p w14:paraId="5D24C006">
            <w:pPr>
              <w:pStyle w:val="10"/>
            </w:pPr>
            <w:r>
              <w:t>其他资金</w:t>
            </w:r>
          </w:p>
        </w:tc>
        <w:tc>
          <w:tcPr>
            <w:tcW w:w="1276" w:type="dxa"/>
            <w:vAlign w:val="center"/>
          </w:tcPr>
          <w:p w14:paraId="4A2A770C">
            <w:pPr>
              <w:pStyle w:val="12"/>
            </w:pPr>
            <w:r>
              <w:t xml:space="preserve"> </w:t>
            </w:r>
          </w:p>
        </w:tc>
      </w:tr>
      <w:tr w14:paraId="527A6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9677C"/>
        </w:tc>
        <w:tc>
          <w:tcPr>
            <w:tcW w:w="14033" w:type="dxa"/>
            <w:gridSpan w:val="6"/>
            <w:vAlign w:val="center"/>
          </w:tcPr>
          <w:p w14:paraId="7F66115D">
            <w:pPr>
              <w:pStyle w:val="12"/>
            </w:pPr>
            <w:r>
              <w:rPr>
                <w:rFonts w:hint="eastAsia"/>
                <w:lang w:eastAsia="zh-CN"/>
              </w:rPr>
              <w:t>”</w:t>
            </w:r>
            <w:r>
              <w:t>保障幼儿园正常运转，完成教育教学活动和其他日常工作任务等方面的费用支出。</w:t>
            </w:r>
            <w:r>
              <w:tab/>
            </w:r>
            <w:r>
              <w:tab/>
            </w:r>
            <w:r>
              <w:tab/>
            </w:r>
            <w:r>
              <w:t>"</w:t>
            </w:r>
            <w:r>
              <w:tab/>
            </w:r>
            <w:r>
              <w:tab/>
            </w:r>
            <w:r>
              <w:tab/>
            </w:r>
            <w:r>
              <w:tab/>
            </w:r>
            <w:r>
              <w:tab/>
            </w:r>
            <w:r>
              <w:tab/>
            </w:r>
          </w:p>
          <w:p w14:paraId="08917434">
            <w:pPr>
              <w:pStyle w:val="12"/>
            </w:pPr>
          </w:p>
        </w:tc>
      </w:tr>
      <w:tr w14:paraId="0812E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13621">
            <w:pPr>
              <w:pStyle w:val="10"/>
            </w:pPr>
            <w:r>
              <w:t>资金支出计划（%）</w:t>
            </w:r>
          </w:p>
        </w:tc>
        <w:tc>
          <w:tcPr>
            <w:tcW w:w="5103" w:type="dxa"/>
            <w:gridSpan w:val="2"/>
            <w:vAlign w:val="center"/>
          </w:tcPr>
          <w:p w14:paraId="2FA284F3">
            <w:pPr>
              <w:pStyle w:val="10"/>
            </w:pPr>
            <w:r>
              <w:t>3月底</w:t>
            </w:r>
          </w:p>
        </w:tc>
        <w:tc>
          <w:tcPr>
            <w:tcW w:w="2835" w:type="dxa"/>
            <w:vAlign w:val="center"/>
          </w:tcPr>
          <w:p w14:paraId="39E18D2D">
            <w:pPr>
              <w:pStyle w:val="10"/>
            </w:pPr>
            <w:r>
              <w:t>6月底</w:t>
            </w:r>
          </w:p>
        </w:tc>
        <w:tc>
          <w:tcPr>
            <w:tcW w:w="2551" w:type="dxa"/>
            <w:vAlign w:val="center"/>
          </w:tcPr>
          <w:p w14:paraId="627B422E">
            <w:pPr>
              <w:pStyle w:val="10"/>
            </w:pPr>
            <w:r>
              <w:t>10月底</w:t>
            </w:r>
          </w:p>
        </w:tc>
        <w:tc>
          <w:tcPr>
            <w:tcW w:w="3544" w:type="dxa"/>
            <w:gridSpan w:val="2"/>
            <w:vAlign w:val="center"/>
          </w:tcPr>
          <w:p w14:paraId="2EFA8450">
            <w:pPr>
              <w:pStyle w:val="10"/>
            </w:pPr>
            <w:r>
              <w:t>12月底</w:t>
            </w:r>
          </w:p>
        </w:tc>
      </w:tr>
      <w:tr w14:paraId="65494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11990"/>
        </w:tc>
        <w:tc>
          <w:tcPr>
            <w:tcW w:w="5103" w:type="dxa"/>
            <w:gridSpan w:val="2"/>
            <w:vAlign w:val="center"/>
          </w:tcPr>
          <w:p w14:paraId="5F312B07">
            <w:pPr>
              <w:pStyle w:val="13"/>
            </w:pPr>
            <w:r>
              <w:t>25%</w:t>
            </w:r>
          </w:p>
        </w:tc>
        <w:tc>
          <w:tcPr>
            <w:tcW w:w="2835" w:type="dxa"/>
            <w:vAlign w:val="center"/>
          </w:tcPr>
          <w:p w14:paraId="297DBF09">
            <w:pPr>
              <w:pStyle w:val="13"/>
            </w:pPr>
            <w:r>
              <w:t>50%</w:t>
            </w:r>
          </w:p>
        </w:tc>
        <w:tc>
          <w:tcPr>
            <w:tcW w:w="2551" w:type="dxa"/>
            <w:vAlign w:val="center"/>
          </w:tcPr>
          <w:p w14:paraId="3EA7F0B6">
            <w:pPr>
              <w:pStyle w:val="13"/>
            </w:pPr>
            <w:r>
              <w:t>75%</w:t>
            </w:r>
          </w:p>
        </w:tc>
        <w:tc>
          <w:tcPr>
            <w:tcW w:w="3544" w:type="dxa"/>
            <w:gridSpan w:val="2"/>
            <w:vAlign w:val="center"/>
          </w:tcPr>
          <w:p w14:paraId="03A6D509">
            <w:pPr>
              <w:pStyle w:val="13"/>
            </w:pPr>
            <w:r>
              <w:t>100%</w:t>
            </w:r>
          </w:p>
        </w:tc>
      </w:tr>
      <w:tr w14:paraId="233D1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1EA88">
            <w:pPr>
              <w:pStyle w:val="10"/>
            </w:pPr>
            <w:r>
              <w:t>绩效目标</w:t>
            </w:r>
          </w:p>
        </w:tc>
        <w:tc>
          <w:tcPr>
            <w:tcW w:w="14033" w:type="dxa"/>
            <w:gridSpan w:val="6"/>
            <w:vAlign w:val="center"/>
          </w:tcPr>
          <w:p w14:paraId="49D0EA4E">
            <w:pPr>
              <w:pStyle w:val="12"/>
            </w:pPr>
            <w:r>
              <w:t>1.保障幼儿园正常运转，完成教育教学活动和其他日常工作任务等方面的费用支出。</w:t>
            </w:r>
            <w:r>
              <w:tab/>
            </w:r>
            <w:r>
              <w:tab/>
            </w:r>
            <w:r>
              <w:tab/>
            </w:r>
          </w:p>
          <w:p w14:paraId="25B3834B">
            <w:pPr>
              <w:pStyle w:val="12"/>
            </w:pPr>
            <w:r>
              <w:t>2.按季度分批次拨付公用经费资金，资金拨付率达到100%。</w:t>
            </w:r>
            <w:r>
              <w:tab/>
            </w:r>
            <w:r>
              <w:tab/>
            </w:r>
            <w:r>
              <w:tab/>
            </w:r>
          </w:p>
          <w:p w14:paraId="3A3E9A23">
            <w:pPr>
              <w:pStyle w:val="12"/>
            </w:pPr>
          </w:p>
        </w:tc>
      </w:tr>
    </w:tbl>
    <w:p w14:paraId="4F362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9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4A83A">
            <w:pPr>
              <w:pStyle w:val="10"/>
            </w:pPr>
            <w:r>
              <w:t>一级指标</w:t>
            </w:r>
          </w:p>
        </w:tc>
        <w:tc>
          <w:tcPr>
            <w:tcW w:w="2268" w:type="dxa"/>
            <w:vAlign w:val="center"/>
          </w:tcPr>
          <w:p w14:paraId="355AA1D7">
            <w:pPr>
              <w:pStyle w:val="10"/>
            </w:pPr>
            <w:r>
              <w:t>二级指标</w:t>
            </w:r>
          </w:p>
        </w:tc>
        <w:tc>
          <w:tcPr>
            <w:tcW w:w="2835" w:type="dxa"/>
            <w:vAlign w:val="center"/>
          </w:tcPr>
          <w:p w14:paraId="1A588E3E">
            <w:pPr>
              <w:pStyle w:val="10"/>
            </w:pPr>
            <w:r>
              <w:t>三级指标</w:t>
            </w:r>
          </w:p>
        </w:tc>
        <w:tc>
          <w:tcPr>
            <w:tcW w:w="5386" w:type="dxa"/>
            <w:vAlign w:val="center"/>
          </w:tcPr>
          <w:p w14:paraId="25899005">
            <w:pPr>
              <w:pStyle w:val="10"/>
            </w:pPr>
            <w:r>
              <w:t>绩效指标描述</w:t>
            </w:r>
          </w:p>
        </w:tc>
        <w:tc>
          <w:tcPr>
            <w:tcW w:w="2268" w:type="dxa"/>
            <w:vAlign w:val="center"/>
          </w:tcPr>
          <w:p w14:paraId="217D717D">
            <w:pPr>
              <w:pStyle w:val="10"/>
            </w:pPr>
            <w:r>
              <w:t>指标值</w:t>
            </w:r>
          </w:p>
        </w:tc>
        <w:tc>
          <w:tcPr>
            <w:tcW w:w="1276" w:type="dxa"/>
            <w:vAlign w:val="center"/>
          </w:tcPr>
          <w:p w14:paraId="05BC1DF0">
            <w:pPr>
              <w:pStyle w:val="10"/>
            </w:pPr>
            <w:r>
              <w:t>指标值确定依据</w:t>
            </w:r>
          </w:p>
        </w:tc>
      </w:tr>
      <w:tr w14:paraId="75FE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18600">
            <w:pPr>
              <w:pStyle w:val="13"/>
            </w:pPr>
            <w:r>
              <w:t>产出指标</w:t>
            </w:r>
          </w:p>
        </w:tc>
        <w:tc>
          <w:tcPr>
            <w:tcW w:w="2268" w:type="dxa"/>
            <w:vAlign w:val="center"/>
          </w:tcPr>
          <w:p w14:paraId="50D2C0F1">
            <w:pPr>
              <w:pStyle w:val="12"/>
            </w:pPr>
            <w:r>
              <w:t>数量指标</w:t>
            </w:r>
          </w:p>
        </w:tc>
        <w:tc>
          <w:tcPr>
            <w:tcW w:w="2835" w:type="dxa"/>
            <w:vAlign w:val="center"/>
          </w:tcPr>
          <w:p w14:paraId="29BA238D">
            <w:pPr>
              <w:pStyle w:val="12"/>
            </w:pPr>
            <w:r>
              <w:t>适龄在园生</w:t>
            </w:r>
          </w:p>
        </w:tc>
        <w:tc>
          <w:tcPr>
            <w:tcW w:w="5386" w:type="dxa"/>
            <w:vAlign w:val="center"/>
          </w:tcPr>
          <w:p w14:paraId="65457428">
            <w:pPr>
              <w:pStyle w:val="12"/>
            </w:pPr>
            <w:r>
              <w:t>适龄在园学生人数</w:t>
            </w:r>
          </w:p>
        </w:tc>
        <w:tc>
          <w:tcPr>
            <w:tcW w:w="2268" w:type="dxa"/>
            <w:vAlign w:val="center"/>
          </w:tcPr>
          <w:p w14:paraId="26DED513">
            <w:pPr>
              <w:pStyle w:val="12"/>
            </w:pPr>
            <w:r>
              <w:t>440人</w:t>
            </w:r>
          </w:p>
        </w:tc>
        <w:tc>
          <w:tcPr>
            <w:tcW w:w="1276" w:type="dxa"/>
            <w:vAlign w:val="center"/>
          </w:tcPr>
          <w:p w14:paraId="345FA813">
            <w:pPr>
              <w:pStyle w:val="12"/>
            </w:pPr>
            <w:r>
              <w:t>学前发展资金管理方法</w:t>
            </w:r>
          </w:p>
        </w:tc>
      </w:tr>
      <w:tr w14:paraId="2AA5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451C9"/>
        </w:tc>
        <w:tc>
          <w:tcPr>
            <w:tcW w:w="2268" w:type="dxa"/>
            <w:vAlign w:val="center"/>
          </w:tcPr>
          <w:p w14:paraId="2647F9F6">
            <w:pPr>
              <w:pStyle w:val="12"/>
            </w:pPr>
            <w:r>
              <w:t>质量指标</w:t>
            </w:r>
          </w:p>
        </w:tc>
        <w:tc>
          <w:tcPr>
            <w:tcW w:w="2835" w:type="dxa"/>
            <w:vAlign w:val="center"/>
          </w:tcPr>
          <w:p w14:paraId="781E990F">
            <w:pPr>
              <w:pStyle w:val="12"/>
            </w:pPr>
            <w:r>
              <w:t>预算控制率</w:t>
            </w:r>
          </w:p>
        </w:tc>
        <w:tc>
          <w:tcPr>
            <w:tcW w:w="5386" w:type="dxa"/>
            <w:vAlign w:val="center"/>
          </w:tcPr>
          <w:p w14:paraId="23616E66">
            <w:pPr>
              <w:pStyle w:val="12"/>
            </w:pPr>
            <w:r>
              <w:t>预算执行</w:t>
            </w:r>
          </w:p>
        </w:tc>
        <w:tc>
          <w:tcPr>
            <w:tcW w:w="2268" w:type="dxa"/>
            <w:vAlign w:val="center"/>
          </w:tcPr>
          <w:p w14:paraId="04B4C8DB">
            <w:pPr>
              <w:pStyle w:val="12"/>
            </w:pPr>
            <w:r>
              <w:t>≥95%</w:t>
            </w:r>
          </w:p>
        </w:tc>
        <w:tc>
          <w:tcPr>
            <w:tcW w:w="1276" w:type="dxa"/>
            <w:vAlign w:val="center"/>
          </w:tcPr>
          <w:p w14:paraId="72089FBA">
            <w:pPr>
              <w:pStyle w:val="12"/>
            </w:pPr>
            <w:r>
              <w:t>学前发展资金管理方法</w:t>
            </w:r>
          </w:p>
        </w:tc>
      </w:tr>
      <w:tr w14:paraId="5C5EB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4571F"/>
        </w:tc>
        <w:tc>
          <w:tcPr>
            <w:tcW w:w="2268" w:type="dxa"/>
            <w:vAlign w:val="center"/>
          </w:tcPr>
          <w:p w14:paraId="28F14443">
            <w:pPr>
              <w:pStyle w:val="12"/>
            </w:pPr>
            <w:r>
              <w:t>时效指标</w:t>
            </w:r>
          </w:p>
        </w:tc>
        <w:tc>
          <w:tcPr>
            <w:tcW w:w="2835" w:type="dxa"/>
            <w:vAlign w:val="center"/>
          </w:tcPr>
          <w:p w14:paraId="7BCC0891">
            <w:pPr>
              <w:pStyle w:val="12"/>
            </w:pPr>
            <w:r>
              <w:t>资金支付率</w:t>
            </w:r>
          </w:p>
        </w:tc>
        <w:tc>
          <w:tcPr>
            <w:tcW w:w="5386" w:type="dxa"/>
            <w:vAlign w:val="center"/>
          </w:tcPr>
          <w:p w14:paraId="6C3299F3">
            <w:pPr>
              <w:pStyle w:val="12"/>
            </w:pPr>
            <w:r>
              <w:t>按照序时进度完成资金支付</w:t>
            </w:r>
          </w:p>
        </w:tc>
        <w:tc>
          <w:tcPr>
            <w:tcW w:w="2268" w:type="dxa"/>
            <w:vAlign w:val="center"/>
          </w:tcPr>
          <w:p w14:paraId="33C282D8">
            <w:pPr>
              <w:pStyle w:val="12"/>
            </w:pPr>
            <w:r>
              <w:t>100%</w:t>
            </w:r>
          </w:p>
        </w:tc>
        <w:tc>
          <w:tcPr>
            <w:tcW w:w="1276" w:type="dxa"/>
            <w:vAlign w:val="center"/>
          </w:tcPr>
          <w:p w14:paraId="7FB407B9">
            <w:pPr>
              <w:pStyle w:val="12"/>
            </w:pPr>
            <w:r>
              <w:t>学前发展资金管理方法</w:t>
            </w:r>
          </w:p>
        </w:tc>
      </w:tr>
      <w:tr w14:paraId="0D12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3DBF3"/>
        </w:tc>
        <w:tc>
          <w:tcPr>
            <w:tcW w:w="2268" w:type="dxa"/>
            <w:vAlign w:val="center"/>
          </w:tcPr>
          <w:p w14:paraId="6EB35DAB">
            <w:pPr>
              <w:pStyle w:val="12"/>
            </w:pPr>
            <w:r>
              <w:t>成本指标</w:t>
            </w:r>
          </w:p>
        </w:tc>
        <w:tc>
          <w:tcPr>
            <w:tcW w:w="2835" w:type="dxa"/>
            <w:vAlign w:val="center"/>
          </w:tcPr>
          <w:p w14:paraId="4F24C7C4">
            <w:pPr>
              <w:pStyle w:val="12"/>
            </w:pPr>
            <w:r>
              <w:t>生均拨款标准</w:t>
            </w:r>
          </w:p>
        </w:tc>
        <w:tc>
          <w:tcPr>
            <w:tcW w:w="5386" w:type="dxa"/>
            <w:vAlign w:val="center"/>
          </w:tcPr>
          <w:p w14:paraId="585A1EDD">
            <w:pPr>
              <w:pStyle w:val="12"/>
            </w:pPr>
            <w:r>
              <w:t>学前：（基本标准600元/生/学年）</w:t>
            </w:r>
          </w:p>
        </w:tc>
        <w:tc>
          <w:tcPr>
            <w:tcW w:w="2268" w:type="dxa"/>
            <w:vAlign w:val="center"/>
          </w:tcPr>
          <w:p w14:paraId="1F30A47C">
            <w:pPr>
              <w:pStyle w:val="12"/>
            </w:pPr>
            <w:r>
              <w:t>600元</w:t>
            </w:r>
          </w:p>
        </w:tc>
        <w:tc>
          <w:tcPr>
            <w:tcW w:w="1276" w:type="dxa"/>
            <w:vAlign w:val="center"/>
          </w:tcPr>
          <w:p w14:paraId="33F693D7">
            <w:pPr>
              <w:pStyle w:val="12"/>
            </w:pPr>
            <w:r>
              <w:t>学前发展资金管理方法</w:t>
            </w:r>
          </w:p>
        </w:tc>
      </w:tr>
      <w:tr w14:paraId="40BE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8CB97">
            <w:pPr>
              <w:pStyle w:val="13"/>
            </w:pPr>
            <w:r>
              <w:t>效益指标</w:t>
            </w:r>
          </w:p>
        </w:tc>
        <w:tc>
          <w:tcPr>
            <w:tcW w:w="2268" w:type="dxa"/>
            <w:vAlign w:val="center"/>
          </w:tcPr>
          <w:p w14:paraId="77F76836">
            <w:pPr>
              <w:pStyle w:val="12"/>
            </w:pPr>
            <w:r>
              <w:t>可持续影响指标</w:t>
            </w:r>
          </w:p>
        </w:tc>
        <w:tc>
          <w:tcPr>
            <w:tcW w:w="2835" w:type="dxa"/>
            <w:vAlign w:val="center"/>
          </w:tcPr>
          <w:p w14:paraId="4B2D79C3">
            <w:pPr>
              <w:pStyle w:val="12"/>
            </w:pPr>
            <w:r>
              <w:t>学校运转得到提升</w:t>
            </w:r>
          </w:p>
        </w:tc>
        <w:tc>
          <w:tcPr>
            <w:tcW w:w="5386" w:type="dxa"/>
            <w:vAlign w:val="center"/>
          </w:tcPr>
          <w:p w14:paraId="390AB0B0">
            <w:pPr>
              <w:pStyle w:val="12"/>
            </w:pPr>
            <w:r>
              <w:t>幼儿受教育年限</w:t>
            </w:r>
          </w:p>
        </w:tc>
        <w:tc>
          <w:tcPr>
            <w:tcW w:w="2268" w:type="dxa"/>
            <w:vAlign w:val="center"/>
          </w:tcPr>
          <w:p w14:paraId="7F6CE0D3">
            <w:pPr>
              <w:pStyle w:val="12"/>
            </w:pPr>
            <w:r>
              <w:t>3年</w:t>
            </w:r>
          </w:p>
        </w:tc>
        <w:tc>
          <w:tcPr>
            <w:tcW w:w="1276" w:type="dxa"/>
            <w:vAlign w:val="center"/>
          </w:tcPr>
          <w:p w14:paraId="082D3F39">
            <w:pPr>
              <w:pStyle w:val="12"/>
            </w:pPr>
            <w:r>
              <w:t>学前发展资金管理方法</w:t>
            </w:r>
          </w:p>
        </w:tc>
      </w:tr>
      <w:tr w14:paraId="03F1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75235">
            <w:pPr>
              <w:pStyle w:val="13"/>
            </w:pPr>
            <w:r>
              <w:t>满意度指标</w:t>
            </w:r>
          </w:p>
        </w:tc>
        <w:tc>
          <w:tcPr>
            <w:tcW w:w="2268" w:type="dxa"/>
            <w:vAlign w:val="center"/>
          </w:tcPr>
          <w:p w14:paraId="015F4DB4">
            <w:pPr>
              <w:pStyle w:val="12"/>
            </w:pPr>
            <w:r>
              <w:t>服务对象满意度指标</w:t>
            </w:r>
          </w:p>
        </w:tc>
        <w:tc>
          <w:tcPr>
            <w:tcW w:w="2835" w:type="dxa"/>
            <w:vAlign w:val="center"/>
          </w:tcPr>
          <w:p w14:paraId="26EE8D51">
            <w:pPr>
              <w:pStyle w:val="12"/>
            </w:pPr>
            <w:r>
              <w:t>受益学生家长及调查满意度</w:t>
            </w:r>
          </w:p>
        </w:tc>
        <w:tc>
          <w:tcPr>
            <w:tcW w:w="5386" w:type="dxa"/>
            <w:vAlign w:val="center"/>
          </w:tcPr>
          <w:p w14:paraId="34F12A98">
            <w:pPr>
              <w:pStyle w:val="12"/>
            </w:pPr>
            <w:r>
              <w:t>学生、教师及家长对学校保教保育工作满意度情况</w:t>
            </w:r>
          </w:p>
        </w:tc>
        <w:tc>
          <w:tcPr>
            <w:tcW w:w="2268" w:type="dxa"/>
            <w:vAlign w:val="center"/>
          </w:tcPr>
          <w:p w14:paraId="26C867CD">
            <w:pPr>
              <w:pStyle w:val="12"/>
            </w:pPr>
            <w:r>
              <w:t>≥95%</w:t>
            </w:r>
          </w:p>
        </w:tc>
        <w:tc>
          <w:tcPr>
            <w:tcW w:w="1276" w:type="dxa"/>
            <w:vAlign w:val="center"/>
          </w:tcPr>
          <w:p w14:paraId="451C44C1">
            <w:pPr>
              <w:pStyle w:val="12"/>
            </w:pPr>
            <w:r>
              <w:t>群众测评</w:t>
            </w:r>
          </w:p>
        </w:tc>
      </w:tr>
    </w:tbl>
    <w:p w14:paraId="7F06EC4A">
      <w:pPr>
        <w:sectPr>
          <w:pgSz w:w="16840" w:h="11900" w:orient="landscape"/>
          <w:pgMar w:top="1361" w:right="1020" w:bottom="1134" w:left="1020" w:header="720" w:footer="720" w:gutter="0"/>
          <w:cols w:space="720" w:num="1"/>
        </w:sectPr>
      </w:pPr>
    </w:p>
    <w:p w14:paraId="33A005B1">
      <w:pPr>
        <w:spacing w:before="0" w:after="0"/>
        <w:ind w:firstLine="560"/>
        <w:jc w:val="left"/>
        <w:outlineLvl w:val="9"/>
      </w:pPr>
      <w:r>
        <w:rPr>
          <w:rFonts w:ascii="方正仿宋_GBK" w:hAnsi="方正仿宋_GBK" w:eastAsia="方正仿宋_GBK" w:cs="方正仿宋_GBK"/>
          <w:b/>
          <w:color w:val="000000"/>
          <w:sz w:val="28"/>
        </w:rPr>
        <w:t>37、学前专项经费/双碑校区绩效目标表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92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31F01">
            <w:pPr>
              <w:pStyle w:val="11"/>
            </w:pPr>
            <w:r>
              <w:t>单位：万元</w:t>
            </w:r>
          </w:p>
        </w:tc>
      </w:tr>
      <w:tr w14:paraId="1F259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46EA9">
            <w:pPr>
              <w:pStyle w:val="10"/>
            </w:pPr>
            <w:r>
              <w:t>项目编码</w:t>
            </w:r>
          </w:p>
        </w:tc>
        <w:tc>
          <w:tcPr>
            <w:tcW w:w="5103" w:type="dxa"/>
            <w:gridSpan w:val="2"/>
            <w:vAlign w:val="center"/>
          </w:tcPr>
          <w:p w14:paraId="19A40140">
            <w:pPr>
              <w:pStyle w:val="12"/>
            </w:pPr>
            <w:r>
              <w:t>13052526P00000210096K</w:t>
            </w:r>
          </w:p>
        </w:tc>
        <w:tc>
          <w:tcPr>
            <w:tcW w:w="2835" w:type="dxa"/>
            <w:vAlign w:val="center"/>
          </w:tcPr>
          <w:p w14:paraId="37813307">
            <w:pPr>
              <w:pStyle w:val="10"/>
            </w:pPr>
            <w:r>
              <w:t>项目名称</w:t>
            </w:r>
          </w:p>
        </w:tc>
        <w:tc>
          <w:tcPr>
            <w:tcW w:w="6095" w:type="dxa"/>
            <w:gridSpan w:val="3"/>
            <w:vAlign w:val="center"/>
          </w:tcPr>
          <w:p w14:paraId="620CB1B9">
            <w:pPr>
              <w:pStyle w:val="12"/>
            </w:pPr>
            <w:r>
              <w:t>学前专项经费/双碑校区</w:t>
            </w:r>
          </w:p>
        </w:tc>
      </w:tr>
      <w:tr w14:paraId="091C9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F2FF2">
            <w:pPr>
              <w:pStyle w:val="10"/>
            </w:pPr>
            <w:r>
              <w:t>预算规模及资金用途</w:t>
            </w:r>
          </w:p>
        </w:tc>
        <w:tc>
          <w:tcPr>
            <w:tcW w:w="2268" w:type="dxa"/>
            <w:vAlign w:val="center"/>
          </w:tcPr>
          <w:p w14:paraId="4887EF5D">
            <w:pPr>
              <w:pStyle w:val="10"/>
            </w:pPr>
            <w:r>
              <w:t>预算数</w:t>
            </w:r>
          </w:p>
        </w:tc>
        <w:tc>
          <w:tcPr>
            <w:tcW w:w="2835" w:type="dxa"/>
            <w:vAlign w:val="center"/>
          </w:tcPr>
          <w:p w14:paraId="51676969">
            <w:pPr>
              <w:pStyle w:val="12"/>
            </w:pPr>
            <w:r>
              <w:t>38.24</w:t>
            </w:r>
          </w:p>
        </w:tc>
        <w:tc>
          <w:tcPr>
            <w:tcW w:w="2835" w:type="dxa"/>
            <w:vAlign w:val="center"/>
          </w:tcPr>
          <w:p w14:paraId="119A6FB7">
            <w:pPr>
              <w:pStyle w:val="10"/>
            </w:pPr>
            <w:r>
              <w:t>其中：财政    资金</w:t>
            </w:r>
          </w:p>
        </w:tc>
        <w:tc>
          <w:tcPr>
            <w:tcW w:w="2551" w:type="dxa"/>
            <w:vAlign w:val="center"/>
          </w:tcPr>
          <w:p w14:paraId="38A4DB99">
            <w:pPr>
              <w:pStyle w:val="12"/>
            </w:pPr>
            <w:r>
              <w:t>38.24</w:t>
            </w:r>
          </w:p>
        </w:tc>
        <w:tc>
          <w:tcPr>
            <w:tcW w:w="2268" w:type="dxa"/>
            <w:vAlign w:val="center"/>
          </w:tcPr>
          <w:p w14:paraId="71A0232A">
            <w:pPr>
              <w:pStyle w:val="10"/>
            </w:pPr>
            <w:r>
              <w:t>其他资金</w:t>
            </w:r>
          </w:p>
        </w:tc>
        <w:tc>
          <w:tcPr>
            <w:tcW w:w="1276" w:type="dxa"/>
            <w:vAlign w:val="center"/>
          </w:tcPr>
          <w:p w14:paraId="333F3CD1">
            <w:pPr>
              <w:pStyle w:val="12"/>
            </w:pPr>
            <w:r>
              <w:t xml:space="preserve"> </w:t>
            </w:r>
          </w:p>
        </w:tc>
      </w:tr>
      <w:tr w14:paraId="070C6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0F352"/>
        </w:tc>
        <w:tc>
          <w:tcPr>
            <w:tcW w:w="14033" w:type="dxa"/>
            <w:gridSpan w:val="6"/>
            <w:vAlign w:val="center"/>
          </w:tcPr>
          <w:p w14:paraId="139CBDBE">
            <w:pPr>
              <w:pStyle w:val="12"/>
            </w:pPr>
            <w:r>
              <w:t>按预算要求完成2026年度学前教学任务提升及教学质量提高。</w:t>
            </w:r>
          </w:p>
        </w:tc>
      </w:tr>
      <w:tr w14:paraId="46E0D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BB00F">
            <w:pPr>
              <w:pStyle w:val="10"/>
            </w:pPr>
            <w:r>
              <w:t>资金支出计划（%）</w:t>
            </w:r>
          </w:p>
        </w:tc>
        <w:tc>
          <w:tcPr>
            <w:tcW w:w="5103" w:type="dxa"/>
            <w:gridSpan w:val="2"/>
            <w:vAlign w:val="center"/>
          </w:tcPr>
          <w:p w14:paraId="4E4BC2F9">
            <w:pPr>
              <w:pStyle w:val="10"/>
            </w:pPr>
            <w:r>
              <w:t>3月底</w:t>
            </w:r>
          </w:p>
        </w:tc>
        <w:tc>
          <w:tcPr>
            <w:tcW w:w="2835" w:type="dxa"/>
            <w:vAlign w:val="center"/>
          </w:tcPr>
          <w:p w14:paraId="001E9932">
            <w:pPr>
              <w:pStyle w:val="10"/>
            </w:pPr>
            <w:r>
              <w:t>6月底</w:t>
            </w:r>
          </w:p>
        </w:tc>
        <w:tc>
          <w:tcPr>
            <w:tcW w:w="2551" w:type="dxa"/>
            <w:vAlign w:val="center"/>
          </w:tcPr>
          <w:p w14:paraId="27C4E795">
            <w:pPr>
              <w:pStyle w:val="10"/>
            </w:pPr>
            <w:r>
              <w:t>10月底</w:t>
            </w:r>
          </w:p>
        </w:tc>
        <w:tc>
          <w:tcPr>
            <w:tcW w:w="3544" w:type="dxa"/>
            <w:gridSpan w:val="2"/>
            <w:vAlign w:val="center"/>
          </w:tcPr>
          <w:p w14:paraId="4547251E">
            <w:pPr>
              <w:pStyle w:val="10"/>
            </w:pPr>
            <w:r>
              <w:t>12月底</w:t>
            </w:r>
          </w:p>
        </w:tc>
      </w:tr>
      <w:tr w14:paraId="23426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D9371"/>
        </w:tc>
        <w:tc>
          <w:tcPr>
            <w:tcW w:w="5103" w:type="dxa"/>
            <w:gridSpan w:val="2"/>
            <w:vAlign w:val="center"/>
          </w:tcPr>
          <w:p w14:paraId="1AC8D188">
            <w:pPr>
              <w:pStyle w:val="13"/>
            </w:pPr>
            <w:r>
              <w:t xml:space="preserve"> </w:t>
            </w:r>
          </w:p>
        </w:tc>
        <w:tc>
          <w:tcPr>
            <w:tcW w:w="2835" w:type="dxa"/>
            <w:vAlign w:val="center"/>
          </w:tcPr>
          <w:p w14:paraId="26B820CD">
            <w:pPr>
              <w:pStyle w:val="13"/>
            </w:pPr>
            <w:r>
              <w:t>50%</w:t>
            </w:r>
          </w:p>
        </w:tc>
        <w:tc>
          <w:tcPr>
            <w:tcW w:w="2551" w:type="dxa"/>
            <w:vAlign w:val="center"/>
          </w:tcPr>
          <w:p w14:paraId="6469D47D">
            <w:pPr>
              <w:pStyle w:val="13"/>
            </w:pPr>
            <w:r>
              <w:t>75%</w:t>
            </w:r>
          </w:p>
        </w:tc>
        <w:tc>
          <w:tcPr>
            <w:tcW w:w="3544" w:type="dxa"/>
            <w:gridSpan w:val="2"/>
            <w:vAlign w:val="center"/>
          </w:tcPr>
          <w:p w14:paraId="1DFFC0EC">
            <w:pPr>
              <w:pStyle w:val="13"/>
            </w:pPr>
            <w:r>
              <w:t>100%</w:t>
            </w:r>
          </w:p>
        </w:tc>
      </w:tr>
      <w:tr w14:paraId="633D7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9B8B9">
            <w:pPr>
              <w:pStyle w:val="10"/>
            </w:pPr>
            <w:r>
              <w:t>绩效目标</w:t>
            </w:r>
          </w:p>
        </w:tc>
        <w:tc>
          <w:tcPr>
            <w:tcW w:w="14033" w:type="dxa"/>
            <w:gridSpan w:val="6"/>
            <w:vAlign w:val="center"/>
          </w:tcPr>
          <w:p w14:paraId="49C153CD">
            <w:pPr>
              <w:pStyle w:val="12"/>
            </w:pPr>
            <w:r>
              <w:t>1.按预算要求完成2026年度学前教学任务提升及教学质量提高。</w:t>
            </w:r>
          </w:p>
          <w:p w14:paraId="14A54753">
            <w:pPr>
              <w:pStyle w:val="12"/>
            </w:pPr>
            <w:r>
              <w:t>2.按要求完成公立幼儿园保育费按月/季度上缴财政。</w:t>
            </w:r>
          </w:p>
          <w:p w14:paraId="4300E2CA">
            <w:pPr>
              <w:pStyle w:val="12"/>
            </w:pPr>
            <w:r>
              <w:t>3.按上缴财政序时进度完成公立幼儿园保育费支出。</w:t>
            </w:r>
          </w:p>
        </w:tc>
      </w:tr>
    </w:tbl>
    <w:p w14:paraId="561D2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B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AED17">
            <w:pPr>
              <w:pStyle w:val="10"/>
            </w:pPr>
            <w:r>
              <w:t>一级指标</w:t>
            </w:r>
          </w:p>
        </w:tc>
        <w:tc>
          <w:tcPr>
            <w:tcW w:w="2268" w:type="dxa"/>
            <w:vAlign w:val="center"/>
          </w:tcPr>
          <w:p w14:paraId="521D0EF9">
            <w:pPr>
              <w:pStyle w:val="10"/>
            </w:pPr>
            <w:r>
              <w:t>二级指标</w:t>
            </w:r>
          </w:p>
        </w:tc>
        <w:tc>
          <w:tcPr>
            <w:tcW w:w="2835" w:type="dxa"/>
            <w:vAlign w:val="center"/>
          </w:tcPr>
          <w:p w14:paraId="0E117039">
            <w:pPr>
              <w:pStyle w:val="10"/>
            </w:pPr>
            <w:r>
              <w:t>三级指标</w:t>
            </w:r>
          </w:p>
        </w:tc>
        <w:tc>
          <w:tcPr>
            <w:tcW w:w="5386" w:type="dxa"/>
            <w:vAlign w:val="center"/>
          </w:tcPr>
          <w:p w14:paraId="4C7778BD">
            <w:pPr>
              <w:pStyle w:val="10"/>
            </w:pPr>
            <w:r>
              <w:t>绩效指标描述</w:t>
            </w:r>
          </w:p>
        </w:tc>
        <w:tc>
          <w:tcPr>
            <w:tcW w:w="2268" w:type="dxa"/>
            <w:vAlign w:val="center"/>
          </w:tcPr>
          <w:p w14:paraId="7E26FD22">
            <w:pPr>
              <w:pStyle w:val="10"/>
            </w:pPr>
            <w:r>
              <w:t>指标值</w:t>
            </w:r>
          </w:p>
        </w:tc>
        <w:tc>
          <w:tcPr>
            <w:tcW w:w="1276" w:type="dxa"/>
            <w:vAlign w:val="center"/>
          </w:tcPr>
          <w:p w14:paraId="014157ED">
            <w:pPr>
              <w:pStyle w:val="10"/>
            </w:pPr>
            <w:r>
              <w:t>指标值确定依据</w:t>
            </w:r>
          </w:p>
        </w:tc>
      </w:tr>
      <w:tr w14:paraId="1AE5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C8740">
            <w:pPr>
              <w:pStyle w:val="13"/>
            </w:pPr>
            <w:r>
              <w:t>产出指标</w:t>
            </w:r>
          </w:p>
        </w:tc>
        <w:tc>
          <w:tcPr>
            <w:tcW w:w="2268" w:type="dxa"/>
            <w:vAlign w:val="center"/>
          </w:tcPr>
          <w:p w14:paraId="3CE97F70">
            <w:pPr>
              <w:pStyle w:val="12"/>
            </w:pPr>
            <w:r>
              <w:t>数量指标</w:t>
            </w:r>
          </w:p>
        </w:tc>
        <w:tc>
          <w:tcPr>
            <w:tcW w:w="2835" w:type="dxa"/>
            <w:vAlign w:val="center"/>
          </w:tcPr>
          <w:p w14:paraId="156B491C">
            <w:pPr>
              <w:pStyle w:val="12"/>
            </w:pPr>
            <w:r>
              <w:t>适龄在园生</w:t>
            </w:r>
          </w:p>
        </w:tc>
        <w:tc>
          <w:tcPr>
            <w:tcW w:w="5386" w:type="dxa"/>
            <w:vAlign w:val="center"/>
          </w:tcPr>
          <w:p w14:paraId="6255793B">
            <w:pPr>
              <w:pStyle w:val="12"/>
            </w:pPr>
            <w:r>
              <w:t>适龄在园学生人数</w:t>
            </w:r>
          </w:p>
        </w:tc>
        <w:tc>
          <w:tcPr>
            <w:tcW w:w="2268" w:type="dxa"/>
            <w:vAlign w:val="center"/>
          </w:tcPr>
          <w:p w14:paraId="51D1DD26">
            <w:pPr>
              <w:pStyle w:val="12"/>
            </w:pPr>
            <w:r>
              <w:t>386人</w:t>
            </w:r>
          </w:p>
        </w:tc>
        <w:tc>
          <w:tcPr>
            <w:tcW w:w="1276" w:type="dxa"/>
            <w:vAlign w:val="center"/>
          </w:tcPr>
          <w:p w14:paraId="70131A9B">
            <w:pPr>
              <w:pStyle w:val="12"/>
            </w:pPr>
            <w:r>
              <w:t>年度工作计划</w:t>
            </w:r>
          </w:p>
        </w:tc>
      </w:tr>
      <w:tr w14:paraId="085F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95493"/>
        </w:tc>
        <w:tc>
          <w:tcPr>
            <w:tcW w:w="2268" w:type="dxa"/>
            <w:vAlign w:val="center"/>
          </w:tcPr>
          <w:p w14:paraId="40D8F9F7">
            <w:pPr>
              <w:pStyle w:val="12"/>
            </w:pPr>
            <w:r>
              <w:t>质量指标</w:t>
            </w:r>
          </w:p>
        </w:tc>
        <w:tc>
          <w:tcPr>
            <w:tcW w:w="2835" w:type="dxa"/>
            <w:vAlign w:val="center"/>
          </w:tcPr>
          <w:p w14:paraId="35C6E5C9">
            <w:pPr>
              <w:pStyle w:val="12"/>
            </w:pPr>
            <w:r>
              <w:t>按月上缴财政完成率</w:t>
            </w:r>
          </w:p>
        </w:tc>
        <w:tc>
          <w:tcPr>
            <w:tcW w:w="5386" w:type="dxa"/>
            <w:vAlign w:val="center"/>
          </w:tcPr>
          <w:p w14:paraId="62B3C976">
            <w:pPr>
              <w:pStyle w:val="12"/>
            </w:pPr>
            <w:r>
              <w:t>按月完成公立幼儿园保育费上缴财政</w:t>
            </w:r>
          </w:p>
        </w:tc>
        <w:tc>
          <w:tcPr>
            <w:tcW w:w="2268" w:type="dxa"/>
            <w:vAlign w:val="center"/>
          </w:tcPr>
          <w:p w14:paraId="7F28FF16">
            <w:pPr>
              <w:pStyle w:val="12"/>
            </w:pPr>
            <w:r>
              <w:t>100%</w:t>
            </w:r>
          </w:p>
        </w:tc>
        <w:tc>
          <w:tcPr>
            <w:tcW w:w="1276" w:type="dxa"/>
            <w:vAlign w:val="center"/>
          </w:tcPr>
          <w:p w14:paraId="65F15662">
            <w:pPr>
              <w:pStyle w:val="12"/>
            </w:pPr>
            <w:r>
              <w:t>年度工作计划</w:t>
            </w:r>
          </w:p>
        </w:tc>
      </w:tr>
      <w:tr w14:paraId="0547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6B0B7"/>
        </w:tc>
        <w:tc>
          <w:tcPr>
            <w:tcW w:w="2268" w:type="dxa"/>
            <w:vAlign w:val="center"/>
          </w:tcPr>
          <w:p w14:paraId="5702CFDE">
            <w:pPr>
              <w:pStyle w:val="12"/>
            </w:pPr>
            <w:r>
              <w:t>时效指标</w:t>
            </w:r>
          </w:p>
        </w:tc>
        <w:tc>
          <w:tcPr>
            <w:tcW w:w="2835" w:type="dxa"/>
            <w:vAlign w:val="center"/>
          </w:tcPr>
          <w:p w14:paraId="3DB0B170">
            <w:pPr>
              <w:pStyle w:val="12"/>
            </w:pPr>
            <w:r>
              <w:t>资金支付率</w:t>
            </w:r>
          </w:p>
        </w:tc>
        <w:tc>
          <w:tcPr>
            <w:tcW w:w="5386" w:type="dxa"/>
            <w:vAlign w:val="center"/>
          </w:tcPr>
          <w:p w14:paraId="4B95BEA1">
            <w:pPr>
              <w:pStyle w:val="12"/>
            </w:pPr>
            <w:r>
              <w:t>按照上缴财政进度完成公立幼儿园保育费支付</w:t>
            </w:r>
          </w:p>
        </w:tc>
        <w:tc>
          <w:tcPr>
            <w:tcW w:w="2268" w:type="dxa"/>
            <w:vAlign w:val="center"/>
          </w:tcPr>
          <w:p w14:paraId="6301A9C8">
            <w:pPr>
              <w:pStyle w:val="12"/>
            </w:pPr>
            <w:r>
              <w:t>100%</w:t>
            </w:r>
          </w:p>
        </w:tc>
        <w:tc>
          <w:tcPr>
            <w:tcW w:w="1276" w:type="dxa"/>
            <w:vAlign w:val="center"/>
          </w:tcPr>
          <w:p w14:paraId="2DF657B7">
            <w:pPr>
              <w:pStyle w:val="12"/>
            </w:pPr>
            <w:r>
              <w:t>年度工作计划</w:t>
            </w:r>
          </w:p>
        </w:tc>
      </w:tr>
      <w:tr w14:paraId="2B68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A78AD"/>
        </w:tc>
        <w:tc>
          <w:tcPr>
            <w:tcW w:w="2268" w:type="dxa"/>
            <w:vAlign w:val="center"/>
          </w:tcPr>
          <w:p w14:paraId="2BAC9153">
            <w:pPr>
              <w:pStyle w:val="12"/>
            </w:pPr>
            <w:r>
              <w:t>成本指标</w:t>
            </w:r>
          </w:p>
        </w:tc>
        <w:tc>
          <w:tcPr>
            <w:tcW w:w="2835" w:type="dxa"/>
            <w:vAlign w:val="center"/>
          </w:tcPr>
          <w:p w14:paraId="182D8715">
            <w:pPr>
              <w:pStyle w:val="12"/>
            </w:pPr>
            <w:r>
              <w:t>公办幼儿园保育费收费标准</w:t>
            </w:r>
          </w:p>
        </w:tc>
        <w:tc>
          <w:tcPr>
            <w:tcW w:w="5386" w:type="dxa"/>
            <w:vAlign w:val="center"/>
          </w:tcPr>
          <w:p w14:paraId="46DA4896">
            <w:pPr>
              <w:pStyle w:val="12"/>
            </w:pPr>
            <w:r>
              <w:t>农村示范园170元/月/生、农村一类园150元/月/生、农村二类园130元/月/生</w:t>
            </w:r>
          </w:p>
        </w:tc>
        <w:tc>
          <w:tcPr>
            <w:tcW w:w="2268" w:type="dxa"/>
            <w:vAlign w:val="center"/>
          </w:tcPr>
          <w:p w14:paraId="36715D58">
            <w:pPr>
              <w:pStyle w:val="12"/>
            </w:pPr>
            <w:r>
              <w:t>100%</w:t>
            </w:r>
          </w:p>
        </w:tc>
        <w:tc>
          <w:tcPr>
            <w:tcW w:w="1276" w:type="dxa"/>
            <w:vAlign w:val="center"/>
          </w:tcPr>
          <w:p w14:paraId="569AE190">
            <w:pPr>
              <w:pStyle w:val="12"/>
            </w:pPr>
            <w:r>
              <w:t>年度工作计划</w:t>
            </w:r>
          </w:p>
        </w:tc>
      </w:tr>
      <w:tr w14:paraId="725D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53DAF">
            <w:pPr>
              <w:pStyle w:val="13"/>
            </w:pPr>
            <w:r>
              <w:t>效益指标</w:t>
            </w:r>
          </w:p>
        </w:tc>
        <w:tc>
          <w:tcPr>
            <w:tcW w:w="2268" w:type="dxa"/>
            <w:vAlign w:val="center"/>
          </w:tcPr>
          <w:p w14:paraId="1A2DDB65">
            <w:pPr>
              <w:pStyle w:val="12"/>
            </w:pPr>
            <w:r>
              <w:t>社会效益指标</w:t>
            </w:r>
          </w:p>
        </w:tc>
        <w:tc>
          <w:tcPr>
            <w:tcW w:w="2835" w:type="dxa"/>
            <w:vAlign w:val="center"/>
          </w:tcPr>
          <w:p w14:paraId="02DA28A1">
            <w:pPr>
              <w:pStyle w:val="12"/>
            </w:pPr>
            <w:r>
              <w:t>幼儿园办园能力提升</w:t>
            </w:r>
          </w:p>
        </w:tc>
        <w:tc>
          <w:tcPr>
            <w:tcW w:w="5386" w:type="dxa"/>
            <w:vAlign w:val="center"/>
          </w:tcPr>
          <w:p w14:paraId="43B0BB9A">
            <w:pPr>
              <w:pStyle w:val="12"/>
            </w:pPr>
            <w:r>
              <w:t>幼儿园办园能力提升情况及教育教学工作等开展的情况</w:t>
            </w:r>
          </w:p>
        </w:tc>
        <w:tc>
          <w:tcPr>
            <w:tcW w:w="2268" w:type="dxa"/>
            <w:vAlign w:val="center"/>
          </w:tcPr>
          <w:p w14:paraId="69E3C375">
            <w:pPr>
              <w:pStyle w:val="12"/>
            </w:pPr>
            <w:r>
              <w:t>100%</w:t>
            </w:r>
          </w:p>
        </w:tc>
        <w:tc>
          <w:tcPr>
            <w:tcW w:w="1276" w:type="dxa"/>
            <w:vAlign w:val="center"/>
          </w:tcPr>
          <w:p w14:paraId="0DDA594E">
            <w:pPr>
              <w:pStyle w:val="12"/>
            </w:pPr>
            <w:r>
              <w:t>年度工作计划</w:t>
            </w:r>
          </w:p>
        </w:tc>
      </w:tr>
      <w:tr w14:paraId="5017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BE65B">
            <w:pPr>
              <w:pStyle w:val="13"/>
            </w:pPr>
            <w:r>
              <w:t>满意度指标</w:t>
            </w:r>
          </w:p>
        </w:tc>
        <w:tc>
          <w:tcPr>
            <w:tcW w:w="2268" w:type="dxa"/>
            <w:vAlign w:val="center"/>
          </w:tcPr>
          <w:p w14:paraId="5FA1EA06">
            <w:pPr>
              <w:pStyle w:val="12"/>
            </w:pPr>
            <w:r>
              <w:t>服务对象满意度指标</w:t>
            </w:r>
          </w:p>
        </w:tc>
        <w:tc>
          <w:tcPr>
            <w:tcW w:w="2835" w:type="dxa"/>
            <w:vAlign w:val="center"/>
          </w:tcPr>
          <w:p w14:paraId="36C2BC7D">
            <w:pPr>
              <w:pStyle w:val="12"/>
            </w:pPr>
            <w:r>
              <w:t>受益学生家长及调查满意度</w:t>
            </w:r>
          </w:p>
        </w:tc>
        <w:tc>
          <w:tcPr>
            <w:tcW w:w="5386" w:type="dxa"/>
            <w:vAlign w:val="center"/>
          </w:tcPr>
          <w:p w14:paraId="721B0AAA">
            <w:pPr>
              <w:pStyle w:val="12"/>
            </w:pPr>
            <w:r>
              <w:t>幼儿、教师及家长对学校保教保育工作满意度情况</w:t>
            </w:r>
          </w:p>
        </w:tc>
        <w:tc>
          <w:tcPr>
            <w:tcW w:w="2268" w:type="dxa"/>
            <w:vAlign w:val="center"/>
          </w:tcPr>
          <w:p w14:paraId="6D49EC25">
            <w:pPr>
              <w:pStyle w:val="12"/>
            </w:pPr>
            <w:r>
              <w:t>≥95%</w:t>
            </w:r>
          </w:p>
        </w:tc>
        <w:tc>
          <w:tcPr>
            <w:tcW w:w="1276" w:type="dxa"/>
            <w:vAlign w:val="center"/>
          </w:tcPr>
          <w:p w14:paraId="67D148B2">
            <w:pPr>
              <w:pStyle w:val="12"/>
            </w:pPr>
            <w:r>
              <w:t>年度工作计划</w:t>
            </w:r>
          </w:p>
        </w:tc>
      </w:tr>
    </w:tbl>
    <w:p w14:paraId="121BC8EE">
      <w:pPr>
        <w:sectPr>
          <w:pgSz w:w="16840" w:h="11900" w:orient="landscape"/>
          <w:pgMar w:top="1361" w:right="1020" w:bottom="1134" w:left="1020" w:header="720" w:footer="720" w:gutter="0"/>
          <w:cols w:space="720" w:num="1"/>
        </w:sectPr>
      </w:pPr>
    </w:p>
    <w:p w14:paraId="4BA6D07F">
      <w:pPr>
        <w:spacing w:before="10" w:after="10" w:line="240" w:lineRule="auto"/>
        <w:ind w:firstLine="640"/>
        <w:jc w:val="left"/>
        <w:outlineLvl w:val="5"/>
      </w:pPr>
      <w:r>
        <w:rPr>
          <w:rFonts w:ascii="黑体" w:hAnsi="黑体" w:eastAsia="黑体" w:cs="黑体"/>
          <w:color w:val="000000"/>
          <w:sz w:val="32"/>
        </w:rPr>
        <w:t>六、政府采购预算情况</w:t>
      </w:r>
    </w:p>
    <w:p w14:paraId="2801921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F2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913170">
            <w:pPr>
              <w:pStyle w:val="9"/>
            </w:pPr>
            <w:r>
              <w:t>360020隆尧县双碑校区</w:t>
            </w:r>
          </w:p>
        </w:tc>
        <w:tc>
          <w:tcPr>
            <w:tcW w:w="8676" w:type="dxa"/>
            <w:gridSpan w:val="9"/>
            <w:tcBorders>
              <w:top w:val="single" w:color="FFFFFF" w:sz="6" w:space="0"/>
              <w:left w:val="single" w:color="FFFFFF" w:sz="6" w:space="0"/>
              <w:right w:val="single" w:color="FFFFFF" w:sz="6" w:space="0"/>
            </w:tcBorders>
            <w:vAlign w:val="center"/>
          </w:tcPr>
          <w:p w14:paraId="5194AA5D">
            <w:pPr>
              <w:pStyle w:val="21"/>
            </w:pPr>
            <w:r>
              <w:t>单位：万元</w:t>
            </w:r>
          </w:p>
        </w:tc>
      </w:tr>
      <w:tr w14:paraId="5C27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7191AE">
            <w:pPr>
              <w:pStyle w:val="10"/>
            </w:pPr>
            <w:r>
              <w:t>政府采购项目来源</w:t>
            </w:r>
          </w:p>
        </w:tc>
        <w:tc>
          <w:tcPr>
            <w:tcW w:w="1134" w:type="dxa"/>
            <w:vMerge w:val="restart"/>
            <w:vAlign w:val="center"/>
          </w:tcPr>
          <w:p w14:paraId="41F97160">
            <w:pPr>
              <w:pStyle w:val="10"/>
            </w:pPr>
            <w:r>
              <w:t>采购物品名称</w:t>
            </w:r>
          </w:p>
        </w:tc>
        <w:tc>
          <w:tcPr>
            <w:tcW w:w="1134" w:type="dxa"/>
            <w:vMerge w:val="restart"/>
            <w:vAlign w:val="center"/>
          </w:tcPr>
          <w:p w14:paraId="6EA1A303">
            <w:pPr>
              <w:pStyle w:val="10"/>
            </w:pPr>
            <w:r>
              <w:t>政府采购目录序号</w:t>
            </w:r>
          </w:p>
        </w:tc>
        <w:tc>
          <w:tcPr>
            <w:tcW w:w="709" w:type="dxa"/>
            <w:vMerge w:val="restart"/>
            <w:vAlign w:val="center"/>
          </w:tcPr>
          <w:p w14:paraId="30DBE493">
            <w:pPr>
              <w:pStyle w:val="10"/>
            </w:pPr>
            <w:r>
              <w:t>计量  单位</w:t>
            </w:r>
          </w:p>
        </w:tc>
        <w:tc>
          <w:tcPr>
            <w:tcW w:w="850" w:type="dxa"/>
            <w:vMerge w:val="restart"/>
            <w:vAlign w:val="center"/>
          </w:tcPr>
          <w:p w14:paraId="00949E98">
            <w:pPr>
              <w:pStyle w:val="10"/>
            </w:pPr>
            <w:r>
              <w:t>数量</w:t>
            </w:r>
          </w:p>
        </w:tc>
        <w:tc>
          <w:tcPr>
            <w:tcW w:w="850" w:type="dxa"/>
            <w:vMerge w:val="restart"/>
            <w:vAlign w:val="center"/>
          </w:tcPr>
          <w:p w14:paraId="0FA5A077">
            <w:pPr>
              <w:pStyle w:val="10"/>
            </w:pPr>
            <w:r>
              <w:t>单价</w:t>
            </w:r>
          </w:p>
        </w:tc>
        <w:tc>
          <w:tcPr>
            <w:tcW w:w="7712" w:type="dxa"/>
            <w:gridSpan w:val="8"/>
            <w:vAlign w:val="center"/>
          </w:tcPr>
          <w:p w14:paraId="0B459F48">
            <w:pPr>
              <w:pStyle w:val="10"/>
            </w:pPr>
            <w:r>
              <w:t>政府采购金额（当年部门预算安排资金）</w:t>
            </w:r>
          </w:p>
        </w:tc>
        <w:tc>
          <w:tcPr>
            <w:tcW w:w="964" w:type="dxa"/>
            <w:vMerge w:val="restart"/>
            <w:vAlign w:val="center"/>
          </w:tcPr>
          <w:p w14:paraId="3143E161">
            <w:pPr>
              <w:pStyle w:val="10"/>
            </w:pPr>
            <w:r>
              <w:t>2026年  预留中  小微企  业份额</w:t>
            </w:r>
          </w:p>
        </w:tc>
      </w:tr>
      <w:tr w14:paraId="100A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D025244">
            <w:pPr>
              <w:pStyle w:val="10"/>
            </w:pPr>
            <w:r>
              <w:t>项目名称</w:t>
            </w:r>
          </w:p>
        </w:tc>
        <w:tc>
          <w:tcPr>
            <w:tcW w:w="964" w:type="dxa"/>
            <w:vAlign w:val="center"/>
          </w:tcPr>
          <w:p w14:paraId="7F7470F6">
            <w:pPr>
              <w:pStyle w:val="10"/>
            </w:pPr>
            <w:r>
              <w:t>预算    资金</w:t>
            </w:r>
          </w:p>
        </w:tc>
        <w:tc>
          <w:tcPr>
            <w:tcW w:w="1134" w:type="dxa"/>
            <w:vMerge w:val="continue"/>
          </w:tcPr>
          <w:p w14:paraId="7271F2A5"/>
        </w:tc>
        <w:tc>
          <w:tcPr>
            <w:tcW w:w="1134" w:type="dxa"/>
            <w:vMerge w:val="continue"/>
          </w:tcPr>
          <w:p w14:paraId="53ABEAB9"/>
        </w:tc>
        <w:tc>
          <w:tcPr>
            <w:tcW w:w="709" w:type="dxa"/>
            <w:vMerge w:val="continue"/>
          </w:tcPr>
          <w:p w14:paraId="41DCC299"/>
        </w:tc>
        <w:tc>
          <w:tcPr>
            <w:tcW w:w="850" w:type="dxa"/>
            <w:vMerge w:val="continue"/>
          </w:tcPr>
          <w:p w14:paraId="00AD63AC"/>
        </w:tc>
        <w:tc>
          <w:tcPr>
            <w:tcW w:w="850" w:type="dxa"/>
            <w:vMerge w:val="continue"/>
          </w:tcPr>
          <w:p w14:paraId="43F7F91D"/>
        </w:tc>
        <w:tc>
          <w:tcPr>
            <w:tcW w:w="964" w:type="dxa"/>
            <w:vAlign w:val="center"/>
          </w:tcPr>
          <w:p w14:paraId="4AA228BC">
            <w:pPr>
              <w:pStyle w:val="10"/>
            </w:pPr>
            <w:r>
              <w:t>合计</w:t>
            </w:r>
          </w:p>
        </w:tc>
        <w:tc>
          <w:tcPr>
            <w:tcW w:w="964" w:type="dxa"/>
            <w:vAlign w:val="center"/>
          </w:tcPr>
          <w:p w14:paraId="5AD5EA34">
            <w:pPr>
              <w:pStyle w:val="10"/>
            </w:pPr>
            <w:r>
              <w:t>一般公共预算拨款</w:t>
            </w:r>
          </w:p>
        </w:tc>
        <w:tc>
          <w:tcPr>
            <w:tcW w:w="964" w:type="dxa"/>
            <w:vAlign w:val="center"/>
          </w:tcPr>
          <w:p w14:paraId="14C1A0E9">
            <w:pPr>
              <w:pStyle w:val="10"/>
            </w:pPr>
            <w:r>
              <w:t>基金预算拨款</w:t>
            </w:r>
          </w:p>
        </w:tc>
        <w:tc>
          <w:tcPr>
            <w:tcW w:w="964" w:type="dxa"/>
            <w:vAlign w:val="center"/>
          </w:tcPr>
          <w:p w14:paraId="350FD89D">
            <w:pPr>
              <w:pStyle w:val="10"/>
            </w:pPr>
            <w:r>
              <w:t>国有资本经营预算拨款</w:t>
            </w:r>
          </w:p>
        </w:tc>
        <w:tc>
          <w:tcPr>
            <w:tcW w:w="964" w:type="dxa"/>
            <w:vAlign w:val="center"/>
          </w:tcPr>
          <w:p w14:paraId="38AA9A8E">
            <w:pPr>
              <w:pStyle w:val="10"/>
            </w:pPr>
            <w:r>
              <w:t>财政专户核拨</w:t>
            </w:r>
          </w:p>
        </w:tc>
        <w:tc>
          <w:tcPr>
            <w:tcW w:w="964" w:type="dxa"/>
            <w:vAlign w:val="center"/>
          </w:tcPr>
          <w:p w14:paraId="3A8E69C4">
            <w:pPr>
              <w:pStyle w:val="10"/>
            </w:pPr>
            <w:r>
              <w:t>单位    资金</w:t>
            </w:r>
          </w:p>
        </w:tc>
        <w:tc>
          <w:tcPr>
            <w:tcW w:w="964" w:type="dxa"/>
            <w:vAlign w:val="center"/>
          </w:tcPr>
          <w:p w14:paraId="4F37924F">
            <w:pPr>
              <w:pStyle w:val="10"/>
            </w:pPr>
            <w:r>
              <w:t>财政拨款结转</w:t>
            </w:r>
          </w:p>
        </w:tc>
        <w:tc>
          <w:tcPr>
            <w:tcW w:w="964" w:type="dxa"/>
            <w:vAlign w:val="center"/>
          </w:tcPr>
          <w:p w14:paraId="4D7301FB">
            <w:pPr>
              <w:pStyle w:val="10"/>
            </w:pPr>
            <w:r>
              <w:t>非财政拨款结余</w:t>
            </w:r>
          </w:p>
        </w:tc>
        <w:tc>
          <w:tcPr>
            <w:tcW w:w="964" w:type="dxa"/>
            <w:vMerge w:val="continue"/>
          </w:tcPr>
          <w:p w14:paraId="22619AC7"/>
        </w:tc>
      </w:tr>
      <w:tr w14:paraId="0EE2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2B7680">
            <w:pPr>
              <w:pStyle w:val="14"/>
            </w:pPr>
            <w:r>
              <w:t>合  计</w:t>
            </w:r>
          </w:p>
        </w:tc>
        <w:tc>
          <w:tcPr>
            <w:tcW w:w="964" w:type="dxa"/>
            <w:vAlign w:val="center"/>
          </w:tcPr>
          <w:p w14:paraId="3F7AFE7D">
            <w:pPr>
              <w:pStyle w:val="15"/>
            </w:pPr>
          </w:p>
        </w:tc>
        <w:tc>
          <w:tcPr>
            <w:tcW w:w="1134" w:type="dxa"/>
            <w:vAlign w:val="center"/>
          </w:tcPr>
          <w:p w14:paraId="3C95D306">
            <w:pPr>
              <w:pStyle w:val="16"/>
            </w:pPr>
          </w:p>
        </w:tc>
        <w:tc>
          <w:tcPr>
            <w:tcW w:w="1134" w:type="dxa"/>
            <w:vAlign w:val="center"/>
          </w:tcPr>
          <w:p w14:paraId="192ECE73">
            <w:pPr>
              <w:pStyle w:val="16"/>
            </w:pPr>
          </w:p>
        </w:tc>
        <w:tc>
          <w:tcPr>
            <w:tcW w:w="709" w:type="dxa"/>
            <w:vAlign w:val="center"/>
          </w:tcPr>
          <w:p w14:paraId="21C21CCA">
            <w:pPr>
              <w:pStyle w:val="14"/>
            </w:pPr>
          </w:p>
        </w:tc>
        <w:tc>
          <w:tcPr>
            <w:tcW w:w="850" w:type="dxa"/>
            <w:vAlign w:val="center"/>
          </w:tcPr>
          <w:p w14:paraId="757A3D80">
            <w:pPr>
              <w:pStyle w:val="15"/>
            </w:pPr>
          </w:p>
        </w:tc>
        <w:tc>
          <w:tcPr>
            <w:tcW w:w="850" w:type="dxa"/>
            <w:vAlign w:val="center"/>
          </w:tcPr>
          <w:p w14:paraId="77B39563">
            <w:pPr>
              <w:pStyle w:val="15"/>
            </w:pPr>
          </w:p>
        </w:tc>
        <w:tc>
          <w:tcPr>
            <w:tcW w:w="964" w:type="dxa"/>
            <w:vAlign w:val="center"/>
          </w:tcPr>
          <w:p w14:paraId="7A66CF63">
            <w:pPr>
              <w:pStyle w:val="15"/>
            </w:pPr>
            <w:r>
              <w:t>13.77</w:t>
            </w:r>
          </w:p>
        </w:tc>
        <w:tc>
          <w:tcPr>
            <w:tcW w:w="964" w:type="dxa"/>
            <w:vAlign w:val="center"/>
          </w:tcPr>
          <w:p w14:paraId="26AA8551">
            <w:pPr>
              <w:pStyle w:val="15"/>
            </w:pPr>
            <w:r>
              <w:t>13.77</w:t>
            </w:r>
          </w:p>
        </w:tc>
        <w:tc>
          <w:tcPr>
            <w:tcW w:w="964" w:type="dxa"/>
            <w:vAlign w:val="center"/>
          </w:tcPr>
          <w:p w14:paraId="3872417C">
            <w:pPr>
              <w:pStyle w:val="15"/>
            </w:pPr>
          </w:p>
        </w:tc>
        <w:tc>
          <w:tcPr>
            <w:tcW w:w="964" w:type="dxa"/>
            <w:vAlign w:val="center"/>
          </w:tcPr>
          <w:p w14:paraId="52399E36">
            <w:pPr>
              <w:pStyle w:val="15"/>
            </w:pPr>
          </w:p>
        </w:tc>
        <w:tc>
          <w:tcPr>
            <w:tcW w:w="964" w:type="dxa"/>
            <w:vAlign w:val="center"/>
          </w:tcPr>
          <w:p w14:paraId="3C023EF9">
            <w:pPr>
              <w:pStyle w:val="15"/>
            </w:pPr>
          </w:p>
        </w:tc>
        <w:tc>
          <w:tcPr>
            <w:tcW w:w="964" w:type="dxa"/>
            <w:vAlign w:val="center"/>
          </w:tcPr>
          <w:p w14:paraId="07865DF2">
            <w:pPr>
              <w:pStyle w:val="15"/>
            </w:pPr>
          </w:p>
        </w:tc>
        <w:tc>
          <w:tcPr>
            <w:tcW w:w="964" w:type="dxa"/>
            <w:vAlign w:val="center"/>
          </w:tcPr>
          <w:p w14:paraId="1AA84E99">
            <w:pPr>
              <w:pStyle w:val="15"/>
            </w:pPr>
          </w:p>
        </w:tc>
        <w:tc>
          <w:tcPr>
            <w:tcW w:w="964" w:type="dxa"/>
            <w:vAlign w:val="center"/>
          </w:tcPr>
          <w:p w14:paraId="31C1983C">
            <w:pPr>
              <w:pStyle w:val="15"/>
            </w:pPr>
          </w:p>
        </w:tc>
        <w:tc>
          <w:tcPr>
            <w:tcW w:w="964" w:type="dxa"/>
            <w:vAlign w:val="center"/>
          </w:tcPr>
          <w:p w14:paraId="0BA65B13">
            <w:pPr>
              <w:pStyle w:val="15"/>
            </w:pPr>
            <w:r>
              <w:t>13.77</w:t>
            </w:r>
          </w:p>
        </w:tc>
      </w:tr>
      <w:tr w14:paraId="617B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62C035">
            <w:pPr>
              <w:pStyle w:val="14"/>
            </w:pPr>
            <w:r>
              <w:t>隆尧县双碑校区小计</w:t>
            </w:r>
          </w:p>
        </w:tc>
        <w:tc>
          <w:tcPr>
            <w:tcW w:w="964" w:type="dxa"/>
            <w:vAlign w:val="center"/>
          </w:tcPr>
          <w:p w14:paraId="406344FC">
            <w:pPr>
              <w:pStyle w:val="15"/>
            </w:pPr>
          </w:p>
        </w:tc>
        <w:tc>
          <w:tcPr>
            <w:tcW w:w="1134" w:type="dxa"/>
            <w:vAlign w:val="center"/>
          </w:tcPr>
          <w:p w14:paraId="4828507D">
            <w:pPr>
              <w:pStyle w:val="16"/>
            </w:pPr>
          </w:p>
        </w:tc>
        <w:tc>
          <w:tcPr>
            <w:tcW w:w="1134" w:type="dxa"/>
            <w:vAlign w:val="center"/>
          </w:tcPr>
          <w:p w14:paraId="72B1B7FF">
            <w:pPr>
              <w:pStyle w:val="16"/>
            </w:pPr>
          </w:p>
        </w:tc>
        <w:tc>
          <w:tcPr>
            <w:tcW w:w="709" w:type="dxa"/>
            <w:vAlign w:val="center"/>
          </w:tcPr>
          <w:p w14:paraId="70BA1A69">
            <w:pPr>
              <w:pStyle w:val="14"/>
            </w:pPr>
          </w:p>
        </w:tc>
        <w:tc>
          <w:tcPr>
            <w:tcW w:w="850" w:type="dxa"/>
            <w:vAlign w:val="center"/>
          </w:tcPr>
          <w:p w14:paraId="7FE1A325">
            <w:pPr>
              <w:pStyle w:val="15"/>
            </w:pPr>
          </w:p>
        </w:tc>
        <w:tc>
          <w:tcPr>
            <w:tcW w:w="850" w:type="dxa"/>
            <w:vAlign w:val="center"/>
          </w:tcPr>
          <w:p w14:paraId="42F19010">
            <w:pPr>
              <w:pStyle w:val="15"/>
            </w:pPr>
          </w:p>
        </w:tc>
        <w:tc>
          <w:tcPr>
            <w:tcW w:w="964" w:type="dxa"/>
            <w:vAlign w:val="center"/>
          </w:tcPr>
          <w:p w14:paraId="4A5411D6">
            <w:pPr>
              <w:pStyle w:val="15"/>
            </w:pPr>
            <w:r>
              <w:t>13.77</w:t>
            </w:r>
          </w:p>
        </w:tc>
        <w:tc>
          <w:tcPr>
            <w:tcW w:w="964" w:type="dxa"/>
            <w:vAlign w:val="center"/>
          </w:tcPr>
          <w:p w14:paraId="5607C1A7">
            <w:pPr>
              <w:pStyle w:val="15"/>
            </w:pPr>
            <w:r>
              <w:t>13.77</w:t>
            </w:r>
          </w:p>
        </w:tc>
        <w:tc>
          <w:tcPr>
            <w:tcW w:w="964" w:type="dxa"/>
            <w:vAlign w:val="center"/>
          </w:tcPr>
          <w:p w14:paraId="1025F26E">
            <w:pPr>
              <w:pStyle w:val="15"/>
            </w:pPr>
          </w:p>
        </w:tc>
        <w:tc>
          <w:tcPr>
            <w:tcW w:w="964" w:type="dxa"/>
            <w:vAlign w:val="center"/>
          </w:tcPr>
          <w:p w14:paraId="330456EC">
            <w:pPr>
              <w:pStyle w:val="15"/>
            </w:pPr>
          </w:p>
        </w:tc>
        <w:tc>
          <w:tcPr>
            <w:tcW w:w="964" w:type="dxa"/>
            <w:vAlign w:val="center"/>
          </w:tcPr>
          <w:p w14:paraId="5B87A79F">
            <w:pPr>
              <w:pStyle w:val="15"/>
            </w:pPr>
          </w:p>
        </w:tc>
        <w:tc>
          <w:tcPr>
            <w:tcW w:w="964" w:type="dxa"/>
            <w:vAlign w:val="center"/>
          </w:tcPr>
          <w:p w14:paraId="20418AA8">
            <w:pPr>
              <w:pStyle w:val="15"/>
            </w:pPr>
          </w:p>
        </w:tc>
        <w:tc>
          <w:tcPr>
            <w:tcW w:w="964" w:type="dxa"/>
            <w:vAlign w:val="center"/>
          </w:tcPr>
          <w:p w14:paraId="07BCA405">
            <w:pPr>
              <w:pStyle w:val="15"/>
            </w:pPr>
          </w:p>
        </w:tc>
        <w:tc>
          <w:tcPr>
            <w:tcW w:w="964" w:type="dxa"/>
            <w:vAlign w:val="center"/>
          </w:tcPr>
          <w:p w14:paraId="376982FF">
            <w:pPr>
              <w:pStyle w:val="15"/>
            </w:pPr>
          </w:p>
        </w:tc>
        <w:tc>
          <w:tcPr>
            <w:tcW w:w="964" w:type="dxa"/>
            <w:vAlign w:val="center"/>
          </w:tcPr>
          <w:p w14:paraId="515A6CD9">
            <w:pPr>
              <w:pStyle w:val="15"/>
            </w:pPr>
            <w:r>
              <w:t>13.77</w:t>
            </w:r>
          </w:p>
        </w:tc>
      </w:tr>
      <w:tr w14:paraId="5E17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ADF5D7">
            <w:pPr>
              <w:pStyle w:val="12"/>
            </w:pPr>
            <w:r>
              <w:t>冀财教[2025]122号/中央/支持学前教育发展/双碑校区幼儿园设备购置</w:t>
            </w:r>
          </w:p>
        </w:tc>
        <w:tc>
          <w:tcPr>
            <w:tcW w:w="964" w:type="dxa"/>
            <w:vAlign w:val="center"/>
          </w:tcPr>
          <w:p w14:paraId="7341B750">
            <w:pPr>
              <w:pStyle w:val="11"/>
            </w:pPr>
            <w:r>
              <w:t>28.75</w:t>
            </w:r>
          </w:p>
        </w:tc>
        <w:tc>
          <w:tcPr>
            <w:tcW w:w="1134" w:type="dxa"/>
            <w:vAlign w:val="center"/>
          </w:tcPr>
          <w:p w14:paraId="06A04FBA">
            <w:pPr>
              <w:pStyle w:val="12"/>
            </w:pPr>
            <w:r>
              <w:t>A4 彩色打印机</w:t>
            </w:r>
          </w:p>
        </w:tc>
        <w:tc>
          <w:tcPr>
            <w:tcW w:w="1134" w:type="dxa"/>
            <w:vAlign w:val="center"/>
          </w:tcPr>
          <w:p w14:paraId="4AE7F61C">
            <w:pPr>
              <w:pStyle w:val="12"/>
            </w:pPr>
            <w:r>
              <w:t>A02021004</w:t>
            </w:r>
          </w:p>
        </w:tc>
        <w:tc>
          <w:tcPr>
            <w:tcW w:w="709" w:type="dxa"/>
            <w:vAlign w:val="center"/>
          </w:tcPr>
          <w:p w14:paraId="3B2018BD">
            <w:pPr>
              <w:pStyle w:val="13"/>
            </w:pPr>
            <w:r>
              <w:t>万元</w:t>
            </w:r>
          </w:p>
        </w:tc>
        <w:tc>
          <w:tcPr>
            <w:tcW w:w="850" w:type="dxa"/>
            <w:vAlign w:val="center"/>
          </w:tcPr>
          <w:p w14:paraId="55DF681A">
            <w:pPr>
              <w:pStyle w:val="11"/>
            </w:pPr>
            <w:r>
              <w:t>3</w:t>
            </w:r>
          </w:p>
        </w:tc>
        <w:tc>
          <w:tcPr>
            <w:tcW w:w="850" w:type="dxa"/>
            <w:vAlign w:val="center"/>
          </w:tcPr>
          <w:p w14:paraId="261B3ADD">
            <w:pPr>
              <w:pStyle w:val="11"/>
            </w:pPr>
            <w:r>
              <w:t>0.25</w:t>
            </w:r>
          </w:p>
        </w:tc>
        <w:tc>
          <w:tcPr>
            <w:tcW w:w="964" w:type="dxa"/>
            <w:vAlign w:val="center"/>
          </w:tcPr>
          <w:p w14:paraId="36EC604D">
            <w:pPr>
              <w:pStyle w:val="11"/>
            </w:pPr>
            <w:r>
              <w:t>0.75</w:t>
            </w:r>
          </w:p>
        </w:tc>
        <w:tc>
          <w:tcPr>
            <w:tcW w:w="964" w:type="dxa"/>
            <w:vAlign w:val="center"/>
          </w:tcPr>
          <w:p w14:paraId="0C827106">
            <w:pPr>
              <w:pStyle w:val="11"/>
            </w:pPr>
            <w:r>
              <w:t>0.75</w:t>
            </w:r>
          </w:p>
        </w:tc>
        <w:tc>
          <w:tcPr>
            <w:tcW w:w="964" w:type="dxa"/>
            <w:vAlign w:val="center"/>
          </w:tcPr>
          <w:p w14:paraId="2F508FDC">
            <w:pPr>
              <w:pStyle w:val="11"/>
            </w:pPr>
          </w:p>
        </w:tc>
        <w:tc>
          <w:tcPr>
            <w:tcW w:w="964" w:type="dxa"/>
            <w:vAlign w:val="center"/>
          </w:tcPr>
          <w:p w14:paraId="27CCFA81">
            <w:pPr>
              <w:pStyle w:val="11"/>
            </w:pPr>
          </w:p>
        </w:tc>
        <w:tc>
          <w:tcPr>
            <w:tcW w:w="964" w:type="dxa"/>
            <w:vAlign w:val="center"/>
          </w:tcPr>
          <w:p w14:paraId="52EF25FA">
            <w:pPr>
              <w:pStyle w:val="11"/>
            </w:pPr>
          </w:p>
        </w:tc>
        <w:tc>
          <w:tcPr>
            <w:tcW w:w="964" w:type="dxa"/>
            <w:vAlign w:val="center"/>
          </w:tcPr>
          <w:p w14:paraId="05AAD5CC">
            <w:pPr>
              <w:pStyle w:val="11"/>
            </w:pPr>
          </w:p>
        </w:tc>
        <w:tc>
          <w:tcPr>
            <w:tcW w:w="964" w:type="dxa"/>
            <w:vAlign w:val="center"/>
          </w:tcPr>
          <w:p w14:paraId="52A7295F">
            <w:pPr>
              <w:pStyle w:val="11"/>
            </w:pPr>
          </w:p>
        </w:tc>
        <w:tc>
          <w:tcPr>
            <w:tcW w:w="964" w:type="dxa"/>
            <w:vAlign w:val="center"/>
          </w:tcPr>
          <w:p w14:paraId="7C952696">
            <w:pPr>
              <w:pStyle w:val="11"/>
            </w:pPr>
          </w:p>
        </w:tc>
        <w:tc>
          <w:tcPr>
            <w:tcW w:w="964" w:type="dxa"/>
            <w:vAlign w:val="center"/>
          </w:tcPr>
          <w:p w14:paraId="1A1EDF0A">
            <w:pPr>
              <w:pStyle w:val="11"/>
            </w:pPr>
            <w:r>
              <w:t>0.75</w:t>
            </w:r>
          </w:p>
        </w:tc>
      </w:tr>
      <w:tr w14:paraId="27C0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2E2228">
            <w:pPr>
              <w:pStyle w:val="12"/>
            </w:pPr>
            <w:r>
              <w:t>冀财教[2025]147号/省级/2026年义教补助经费/双碑校区大崔庄小学公用经费</w:t>
            </w:r>
          </w:p>
        </w:tc>
        <w:tc>
          <w:tcPr>
            <w:tcW w:w="964" w:type="dxa"/>
            <w:vAlign w:val="center"/>
          </w:tcPr>
          <w:p w14:paraId="4C3959D1">
            <w:pPr>
              <w:pStyle w:val="11"/>
            </w:pPr>
            <w:r>
              <w:t>4.67</w:t>
            </w:r>
          </w:p>
        </w:tc>
        <w:tc>
          <w:tcPr>
            <w:tcW w:w="1134" w:type="dxa"/>
            <w:vAlign w:val="center"/>
          </w:tcPr>
          <w:p w14:paraId="5EAA6449">
            <w:pPr>
              <w:pStyle w:val="12"/>
            </w:pPr>
            <w:r>
              <w:t>台式计算机</w:t>
            </w:r>
          </w:p>
        </w:tc>
        <w:tc>
          <w:tcPr>
            <w:tcW w:w="1134" w:type="dxa"/>
            <w:vAlign w:val="center"/>
          </w:tcPr>
          <w:p w14:paraId="4260CDD7">
            <w:pPr>
              <w:pStyle w:val="12"/>
            </w:pPr>
            <w:r>
              <w:t>A02010105</w:t>
            </w:r>
          </w:p>
        </w:tc>
        <w:tc>
          <w:tcPr>
            <w:tcW w:w="709" w:type="dxa"/>
            <w:vAlign w:val="center"/>
          </w:tcPr>
          <w:p w14:paraId="6122CAEF">
            <w:pPr>
              <w:pStyle w:val="13"/>
            </w:pPr>
            <w:r>
              <w:t>万元</w:t>
            </w:r>
          </w:p>
        </w:tc>
        <w:tc>
          <w:tcPr>
            <w:tcW w:w="850" w:type="dxa"/>
            <w:vAlign w:val="center"/>
          </w:tcPr>
          <w:p w14:paraId="3695E5BD">
            <w:pPr>
              <w:pStyle w:val="11"/>
            </w:pPr>
            <w:r>
              <w:t>1</w:t>
            </w:r>
          </w:p>
        </w:tc>
        <w:tc>
          <w:tcPr>
            <w:tcW w:w="850" w:type="dxa"/>
            <w:vAlign w:val="center"/>
          </w:tcPr>
          <w:p w14:paraId="07D1FF0C">
            <w:pPr>
              <w:pStyle w:val="11"/>
            </w:pPr>
            <w:r>
              <w:t>0.42</w:t>
            </w:r>
          </w:p>
        </w:tc>
        <w:tc>
          <w:tcPr>
            <w:tcW w:w="964" w:type="dxa"/>
            <w:vAlign w:val="center"/>
          </w:tcPr>
          <w:p w14:paraId="124793B2">
            <w:pPr>
              <w:pStyle w:val="11"/>
            </w:pPr>
            <w:r>
              <w:t>0.42</w:t>
            </w:r>
          </w:p>
        </w:tc>
        <w:tc>
          <w:tcPr>
            <w:tcW w:w="964" w:type="dxa"/>
            <w:vAlign w:val="center"/>
          </w:tcPr>
          <w:p w14:paraId="376E79E4">
            <w:pPr>
              <w:pStyle w:val="11"/>
            </w:pPr>
            <w:r>
              <w:t>0.42</w:t>
            </w:r>
          </w:p>
        </w:tc>
        <w:tc>
          <w:tcPr>
            <w:tcW w:w="964" w:type="dxa"/>
            <w:vAlign w:val="center"/>
          </w:tcPr>
          <w:p w14:paraId="7977F9B0">
            <w:pPr>
              <w:pStyle w:val="11"/>
            </w:pPr>
          </w:p>
        </w:tc>
        <w:tc>
          <w:tcPr>
            <w:tcW w:w="964" w:type="dxa"/>
            <w:vAlign w:val="center"/>
          </w:tcPr>
          <w:p w14:paraId="5B3247C0">
            <w:pPr>
              <w:pStyle w:val="11"/>
            </w:pPr>
          </w:p>
        </w:tc>
        <w:tc>
          <w:tcPr>
            <w:tcW w:w="964" w:type="dxa"/>
            <w:vAlign w:val="center"/>
          </w:tcPr>
          <w:p w14:paraId="22451209">
            <w:pPr>
              <w:pStyle w:val="11"/>
            </w:pPr>
          </w:p>
        </w:tc>
        <w:tc>
          <w:tcPr>
            <w:tcW w:w="964" w:type="dxa"/>
            <w:vAlign w:val="center"/>
          </w:tcPr>
          <w:p w14:paraId="56CD6366">
            <w:pPr>
              <w:pStyle w:val="11"/>
            </w:pPr>
          </w:p>
        </w:tc>
        <w:tc>
          <w:tcPr>
            <w:tcW w:w="964" w:type="dxa"/>
            <w:vAlign w:val="center"/>
          </w:tcPr>
          <w:p w14:paraId="4BD17D32">
            <w:pPr>
              <w:pStyle w:val="11"/>
            </w:pPr>
          </w:p>
        </w:tc>
        <w:tc>
          <w:tcPr>
            <w:tcW w:w="964" w:type="dxa"/>
            <w:vAlign w:val="center"/>
          </w:tcPr>
          <w:p w14:paraId="60A9D627">
            <w:pPr>
              <w:pStyle w:val="11"/>
            </w:pPr>
          </w:p>
        </w:tc>
        <w:tc>
          <w:tcPr>
            <w:tcW w:w="964" w:type="dxa"/>
            <w:vAlign w:val="center"/>
          </w:tcPr>
          <w:p w14:paraId="70E282CC">
            <w:pPr>
              <w:pStyle w:val="11"/>
            </w:pPr>
            <w:r>
              <w:t>0.42</w:t>
            </w:r>
          </w:p>
        </w:tc>
      </w:tr>
      <w:tr w14:paraId="28AD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6432EF">
            <w:pPr>
              <w:pStyle w:val="12"/>
            </w:pPr>
            <w:r>
              <w:t>冀财教[2025]147号/省级/2026年义教补助经费/双碑校区大崔庄小学公用经费</w:t>
            </w:r>
          </w:p>
        </w:tc>
        <w:tc>
          <w:tcPr>
            <w:tcW w:w="964" w:type="dxa"/>
            <w:vAlign w:val="center"/>
          </w:tcPr>
          <w:p w14:paraId="1E6CD340">
            <w:pPr>
              <w:pStyle w:val="11"/>
            </w:pPr>
            <w:r>
              <w:t>4.67</w:t>
            </w:r>
          </w:p>
        </w:tc>
        <w:tc>
          <w:tcPr>
            <w:tcW w:w="1134" w:type="dxa"/>
            <w:vAlign w:val="center"/>
          </w:tcPr>
          <w:p w14:paraId="17017DB8">
            <w:pPr>
              <w:pStyle w:val="12"/>
            </w:pPr>
            <w:r>
              <w:t>A4 黑白打印机</w:t>
            </w:r>
          </w:p>
        </w:tc>
        <w:tc>
          <w:tcPr>
            <w:tcW w:w="1134" w:type="dxa"/>
            <w:vAlign w:val="center"/>
          </w:tcPr>
          <w:p w14:paraId="236DE556">
            <w:pPr>
              <w:pStyle w:val="12"/>
            </w:pPr>
            <w:r>
              <w:t>A02021003</w:t>
            </w:r>
          </w:p>
        </w:tc>
        <w:tc>
          <w:tcPr>
            <w:tcW w:w="709" w:type="dxa"/>
            <w:vAlign w:val="center"/>
          </w:tcPr>
          <w:p w14:paraId="18453FEC">
            <w:pPr>
              <w:pStyle w:val="13"/>
            </w:pPr>
            <w:r>
              <w:t>万元</w:t>
            </w:r>
          </w:p>
        </w:tc>
        <w:tc>
          <w:tcPr>
            <w:tcW w:w="850" w:type="dxa"/>
            <w:vAlign w:val="center"/>
          </w:tcPr>
          <w:p w14:paraId="24171130">
            <w:pPr>
              <w:pStyle w:val="11"/>
            </w:pPr>
            <w:r>
              <w:t>2</w:t>
            </w:r>
          </w:p>
        </w:tc>
        <w:tc>
          <w:tcPr>
            <w:tcW w:w="850" w:type="dxa"/>
            <w:vAlign w:val="center"/>
          </w:tcPr>
          <w:p w14:paraId="1E451809">
            <w:pPr>
              <w:pStyle w:val="11"/>
            </w:pPr>
            <w:r>
              <w:t>0.19</w:t>
            </w:r>
          </w:p>
        </w:tc>
        <w:tc>
          <w:tcPr>
            <w:tcW w:w="964" w:type="dxa"/>
            <w:vAlign w:val="center"/>
          </w:tcPr>
          <w:p w14:paraId="573F32B3">
            <w:pPr>
              <w:pStyle w:val="11"/>
            </w:pPr>
            <w:r>
              <w:t>0.38</w:t>
            </w:r>
          </w:p>
        </w:tc>
        <w:tc>
          <w:tcPr>
            <w:tcW w:w="964" w:type="dxa"/>
            <w:vAlign w:val="center"/>
          </w:tcPr>
          <w:p w14:paraId="5C6BD1C2">
            <w:pPr>
              <w:pStyle w:val="11"/>
            </w:pPr>
            <w:r>
              <w:t>0.38</w:t>
            </w:r>
          </w:p>
        </w:tc>
        <w:tc>
          <w:tcPr>
            <w:tcW w:w="964" w:type="dxa"/>
            <w:vAlign w:val="center"/>
          </w:tcPr>
          <w:p w14:paraId="5E907710">
            <w:pPr>
              <w:pStyle w:val="11"/>
            </w:pPr>
          </w:p>
        </w:tc>
        <w:tc>
          <w:tcPr>
            <w:tcW w:w="964" w:type="dxa"/>
            <w:vAlign w:val="center"/>
          </w:tcPr>
          <w:p w14:paraId="4A77CEA0">
            <w:pPr>
              <w:pStyle w:val="11"/>
            </w:pPr>
          </w:p>
        </w:tc>
        <w:tc>
          <w:tcPr>
            <w:tcW w:w="964" w:type="dxa"/>
            <w:vAlign w:val="center"/>
          </w:tcPr>
          <w:p w14:paraId="118434DE">
            <w:pPr>
              <w:pStyle w:val="11"/>
            </w:pPr>
          </w:p>
        </w:tc>
        <w:tc>
          <w:tcPr>
            <w:tcW w:w="964" w:type="dxa"/>
            <w:vAlign w:val="center"/>
          </w:tcPr>
          <w:p w14:paraId="0DD33408">
            <w:pPr>
              <w:pStyle w:val="11"/>
            </w:pPr>
          </w:p>
        </w:tc>
        <w:tc>
          <w:tcPr>
            <w:tcW w:w="964" w:type="dxa"/>
            <w:vAlign w:val="center"/>
          </w:tcPr>
          <w:p w14:paraId="12DF8D55">
            <w:pPr>
              <w:pStyle w:val="11"/>
            </w:pPr>
          </w:p>
        </w:tc>
        <w:tc>
          <w:tcPr>
            <w:tcW w:w="964" w:type="dxa"/>
            <w:vAlign w:val="center"/>
          </w:tcPr>
          <w:p w14:paraId="163373CB">
            <w:pPr>
              <w:pStyle w:val="11"/>
            </w:pPr>
          </w:p>
        </w:tc>
        <w:tc>
          <w:tcPr>
            <w:tcW w:w="964" w:type="dxa"/>
            <w:vAlign w:val="center"/>
          </w:tcPr>
          <w:p w14:paraId="147B3E17">
            <w:pPr>
              <w:pStyle w:val="11"/>
            </w:pPr>
            <w:r>
              <w:t>0.38</w:t>
            </w:r>
          </w:p>
        </w:tc>
      </w:tr>
      <w:tr w14:paraId="0C88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D016BA">
            <w:pPr>
              <w:pStyle w:val="12"/>
            </w:pPr>
            <w:r>
              <w:t>冀财教[2025]147号/省级/2026年义教补助经费/双碑校区木花小学公用经费</w:t>
            </w:r>
          </w:p>
        </w:tc>
        <w:tc>
          <w:tcPr>
            <w:tcW w:w="964" w:type="dxa"/>
            <w:vAlign w:val="center"/>
          </w:tcPr>
          <w:p w14:paraId="6C4D8CFF">
            <w:pPr>
              <w:pStyle w:val="11"/>
            </w:pPr>
            <w:r>
              <w:t>10.72</w:t>
            </w:r>
          </w:p>
        </w:tc>
        <w:tc>
          <w:tcPr>
            <w:tcW w:w="1134" w:type="dxa"/>
            <w:vAlign w:val="center"/>
          </w:tcPr>
          <w:p w14:paraId="5106E62B">
            <w:pPr>
              <w:pStyle w:val="12"/>
            </w:pPr>
            <w:r>
              <w:t>会议桌</w:t>
            </w:r>
          </w:p>
        </w:tc>
        <w:tc>
          <w:tcPr>
            <w:tcW w:w="1134" w:type="dxa"/>
            <w:vAlign w:val="center"/>
          </w:tcPr>
          <w:p w14:paraId="59707826">
            <w:pPr>
              <w:pStyle w:val="12"/>
            </w:pPr>
            <w:r>
              <w:t>A05010202</w:t>
            </w:r>
          </w:p>
        </w:tc>
        <w:tc>
          <w:tcPr>
            <w:tcW w:w="709" w:type="dxa"/>
            <w:vAlign w:val="center"/>
          </w:tcPr>
          <w:p w14:paraId="140AAB5B">
            <w:pPr>
              <w:pStyle w:val="13"/>
            </w:pPr>
            <w:r>
              <w:t>万元</w:t>
            </w:r>
          </w:p>
        </w:tc>
        <w:tc>
          <w:tcPr>
            <w:tcW w:w="850" w:type="dxa"/>
            <w:vAlign w:val="center"/>
          </w:tcPr>
          <w:p w14:paraId="2CAC067A">
            <w:pPr>
              <w:pStyle w:val="11"/>
            </w:pPr>
            <w:r>
              <w:t>22</w:t>
            </w:r>
          </w:p>
        </w:tc>
        <w:tc>
          <w:tcPr>
            <w:tcW w:w="850" w:type="dxa"/>
            <w:vAlign w:val="center"/>
          </w:tcPr>
          <w:p w14:paraId="4C3D599B">
            <w:pPr>
              <w:pStyle w:val="11"/>
            </w:pPr>
            <w:r>
              <w:t>0.06</w:t>
            </w:r>
          </w:p>
        </w:tc>
        <w:tc>
          <w:tcPr>
            <w:tcW w:w="964" w:type="dxa"/>
            <w:vAlign w:val="center"/>
          </w:tcPr>
          <w:p w14:paraId="44A97FFE">
            <w:pPr>
              <w:pStyle w:val="11"/>
            </w:pPr>
            <w:r>
              <w:t>1.28</w:t>
            </w:r>
          </w:p>
        </w:tc>
        <w:tc>
          <w:tcPr>
            <w:tcW w:w="964" w:type="dxa"/>
            <w:vAlign w:val="center"/>
          </w:tcPr>
          <w:p w14:paraId="6862D67A">
            <w:pPr>
              <w:pStyle w:val="11"/>
            </w:pPr>
            <w:r>
              <w:t>1.28</w:t>
            </w:r>
          </w:p>
        </w:tc>
        <w:tc>
          <w:tcPr>
            <w:tcW w:w="964" w:type="dxa"/>
            <w:vAlign w:val="center"/>
          </w:tcPr>
          <w:p w14:paraId="2D6213D9">
            <w:pPr>
              <w:pStyle w:val="11"/>
            </w:pPr>
          </w:p>
        </w:tc>
        <w:tc>
          <w:tcPr>
            <w:tcW w:w="964" w:type="dxa"/>
            <w:vAlign w:val="center"/>
          </w:tcPr>
          <w:p w14:paraId="35AF545E">
            <w:pPr>
              <w:pStyle w:val="11"/>
            </w:pPr>
          </w:p>
        </w:tc>
        <w:tc>
          <w:tcPr>
            <w:tcW w:w="964" w:type="dxa"/>
            <w:vAlign w:val="center"/>
          </w:tcPr>
          <w:p w14:paraId="79D66BA7">
            <w:pPr>
              <w:pStyle w:val="11"/>
            </w:pPr>
          </w:p>
        </w:tc>
        <w:tc>
          <w:tcPr>
            <w:tcW w:w="964" w:type="dxa"/>
            <w:vAlign w:val="center"/>
          </w:tcPr>
          <w:p w14:paraId="2C638779">
            <w:pPr>
              <w:pStyle w:val="11"/>
            </w:pPr>
          </w:p>
        </w:tc>
        <w:tc>
          <w:tcPr>
            <w:tcW w:w="964" w:type="dxa"/>
            <w:vAlign w:val="center"/>
          </w:tcPr>
          <w:p w14:paraId="7E76FE53">
            <w:pPr>
              <w:pStyle w:val="11"/>
            </w:pPr>
          </w:p>
        </w:tc>
        <w:tc>
          <w:tcPr>
            <w:tcW w:w="964" w:type="dxa"/>
            <w:vAlign w:val="center"/>
          </w:tcPr>
          <w:p w14:paraId="5CDFAC4A">
            <w:pPr>
              <w:pStyle w:val="11"/>
            </w:pPr>
          </w:p>
        </w:tc>
        <w:tc>
          <w:tcPr>
            <w:tcW w:w="964" w:type="dxa"/>
            <w:vAlign w:val="center"/>
          </w:tcPr>
          <w:p w14:paraId="21513A2E">
            <w:pPr>
              <w:pStyle w:val="11"/>
            </w:pPr>
            <w:r>
              <w:t>1.28</w:t>
            </w:r>
          </w:p>
        </w:tc>
      </w:tr>
      <w:tr w14:paraId="64828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60E7B3">
            <w:pPr>
              <w:pStyle w:val="12"/>
            </w:pPr>
            <w:r>
              <w:t>冀财教[2025]147号/省级/2026年义教补助经费/双碑校区木花小学公用经费</w:t>
            </w:r>
          </w:p>
        </w:tc>
        <w:tc>
          <w:tcPr>
            <w:tcW w:w="964" w:type="dxa"/>
            <w:vAlign w:val="center"/>
          </w:tcPr>
          <w:p w14:paraId="7F2FEC95">
            <w:pPr>
              <w:pStyle w:val="11"/>
            </w:pPr>
            <w:r>
              <w:t>10.72</w:t>
            </w:r>
          </w:p>
        </w:tc>
        <w:tc>
          <w:tcPr>
            <w:tcW w:w="1134" w:type="dxa"/>
            <w:vAlign w:val="center"/>
          </w:tcPr>
          <w:p w14:paraId="3E22FD8C">
            <w:pPr>
              <w:pStyle w:val="12"/>
            </w:pPr>
            <w:r>
              <w:t>会议椅</w:t>
            </w:r>
          </w:p>
        </w:tc>
        <w:tc>
          <w:tcPr>
            <w:tcW w:w="1134" w:type="dxa"/>
            <w:vAlign w:val="center"/>
          </w:tcPr>
          <w:p w14:paraId="370B9AF1">
            <w:pPr>
              <w:pStyle w:val="12"/>
            </w:pPr>
            <w:r>
              <w:t>A05010303</w:t>
            </w:r>
          </w:p>
        </w:tc>
        <w:tc>
          <w:tcPr>
            <w:tcW w:w="709" w:type="dxa"/>
            <w:vAlign w:val="center"/>
          </w:tcPr>
          <w:p w14:paraId="3B51F041">
            <w:pPr>
              <w:pStyle w:val="13"/>
            </w:pPr>
            <w:r>
              <w:t>万元</w:t>
            </w:r>
          </w:p>
        </w:tc>
        <w:tc>
          <w:tcPr>
            <w:tcW w:w="850" w:type="dxa"/>
            <w:vAlign w:val="center"/>
          </w:tcPr>
          <w:p w14:paraId="3494A7C2">
            <w:pPr>
              <w:pStyle w:val="11"/>
            </w:pPr>
            <w:r>
              <w:t>54</w:t>
            </w:r>
          </w:p>
        </w:tc>
        <w:tc>
          <w:tcPr>
            <w:tcW w:w="850" w:type="dxa"/>
            <w:vAlign w:val="center"/>
          </w:tcPr>
          <w:p w14:paraId="4B83A699">
            <w:pPr>
              <w:pStyle w:val="11"/>
            </w:pPr>
            <w:r>
              <w:t>0.02</w:t>
            </w:r>
          </w:p>
        </w:tc>
        <w:tc>
          <w:tcPr>
            <w:tcW w:w="964" w:type="dxa"/>
            <w:vAlign w:val="center"/>
          </w:tcPr>
          <w:p w14:paraId="048D9D5C">
            <w:pPr>
              <w:pStyle w:val="11"/>
            </w:pPr>
            <w:r>
              <w:t>1.30</w:t>
            </w:r>
          </w:p>
        </w:tc>
        <w:tc>
          <w:tcPr>
            <w:tcW w:w="964" w:type="dxa"/>
            <w:vAlign w:val="center"/>
          </w:tcPr>
          <w:p w14:paraId="1018395E">
            <w:pPr>
              <w:pStyle w:val="11"/>
            </w:pPr>
            <w:r>
              <w:t>1.30</w:t>
            </w:r>
          </w:p>
        </w:tc>
        <w:tc>
          <w:tcPr>
            <w:tcW w:w="964" w:type="dxa"/>
            <w:vAlign w:val="center"/>
          </w:tcPr>
          <w:p w14:paraId="72AF4654">
            <w:pPr>
              <w:pStyle w:val="11"/>
            </w:pPr>
          </w:p>
        </w:tc>
        <w:tc>
          <w:tcPr>
            <w:tcW w:w="964" w:type="dxa"/>
            <w:vAlign w:val="center"/>
          </w:tcPr>
          <w:p w14:paraId="1486D1BE">
            <w:pPr>
              <w:pStyle w:val="11"/>
            </w:pPr>
          </w:p>
        </w:tc>
        <w:tc>
          <w:tcPr>
            <w:tcW w:w="964" w:type="dxa"/>
            <w:vAlign w:val="center"/>
          </w:tcPr>
          <w:p w14:paraId="33B89136">
            <w:pPr>
              <w:pStyle w:val="11"/>
            </w:pPr>
          </w:p>
        </w:tc>
        <w:tc>
          <w:tcPr>
            <w:tcW w:w="964" w:type="dxa"/>
            <w:vAlign w:val="center"/>
          </w:tcPr>
          <w:p w14:paraId="4AE55339">
            <w:pPr>
              <w:pStyle w:val="11"/>
            </w:pPr>
          </w:p>
        </w:tc>
        <w:tc>
          <w:tcPr>
            <w:tcW w:w="964" w:type="dxa"/>
            <w:vAlign w:val="center"/>
          </w:tcPr>
          <w:p w14:paraId="45E6C927">
            <w:pPr>
              <w:pStyle w:val="11"/>
            </w:pPr>
          </w:p>
        </w:tc>
        <w:tc>
          <w:tcPr>
            <w:tcW w:w="964" w:type="dxa"/>
            <w:vAlign w:val="center"/>
          </w:tcPr>
          <w:p w14:paraId="51F145AB">
            <w:pPr>
              <w:pStyle w:val="11"/>
            </w:pPr>
          </w:p>
        </w:tc>
        <w:tc>
          <w:tcPr>
            <w:tcW w:w="964" w:type="dxa"/>
            <w:vAlign w:val="center"/>
          </w:tcPr>
          <w:p w14:paraId="1F0EFC36">
            <w:pPr>
              <w:pStyle w:val="11"/>
            </w:pPr>
            <w:r>
              <w:t>1.30</w:t>
            </w:r>
          </w:p>
        </w:tc>
      </w:tr>
      <w:tr w14:paraId="03A4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E26B64">
            <w:pPr>
              <w:pStyle w:val="12"/>
            </w:pPr>
            <w:r>
              <w:t>冀财教[2025]147号/省级/2026年义教补助经费/双碑校区西良后小学公用经费</w:t>
            </w:r>
          </w:p>
        </w:tc>
        <w:tc>
          <w:tcPr>
            <w:tcW w:w="964" w:type="dxa"/>
            <w:vAlign w:val="center"/>
          </w:tcPr>
          <w:p w14:paraId="62557AC6">
            <w:pPr>
              <w:pStyle w:val="11"/>
            </w:pPr>
            <w:r>
              <w:t>7.50</w:t>
            </w:r>
          </w:p>
        </w:tc>
        <w:tc>
          <w:tcPr>
            <w:tcW w:w="1134" w:type="dxa"/>
            <w:vAlign w:val="center"/>
          </w:tcPr>
          <w:p w14:paraId="2006FAA1">
            <w:pPr>
              <w:pStyle w:val="12"/>
            </w:pPr>
            <w:r>
              <w:t>A4 黑白打印机</w:t>
            </w:r>
          </w:p>
        </w:tc>
        <w:tc>
          <w:tcPr>
            <w:tcW w:w="1134" w:type="dxa"/>
            <w:vAlign w:val="center"/>
          </w:tcPr>
          <w:p w14:paraId="7CF68D97">
            <w:pPr>
              <w:pStyle w:val="12"/>
            </w:pPr>
            <w:r>
              <w:t>A02021003</w:t>
            </w:r>
          </w:p>
        </w:tc>
        <w:tc>
          <w:tcPr>
            <w:tcW w:w="709" w:type="dxa"/>
            <w:vAlign w:val="center"/>
          </w:tcPr>
          <w:p w14:paraId="6D5B06E1">
            <w:pPr>
              <w:pStyle w:val="13"/>
            </w:pPr>
            <w:r>
              <w:t>万元</w:t>
            </w:r>
          </w:p>
        </w:tc>
        <w:tc>
          <w:tcPr>
            <w:tcW w:w="850" w:type="dxa"/>
            <w:vAlign w:val="center"/>
          </w:tcPr>
          <w:p w14:paraId="3CE752CB">
            <w:pPr>
              <w:pStyle w:val="11"/>
            </w:pPr>
            <w:r>
              <w:t>2</w:t>
            </w:r>
          </w:p>
        </w:tc>
        <w:tc>
          <w:tcPr>
            <w:tcW w:w="850" w:type="dxa"/>
            <w:vAlign w:val="center"/>
          </w:tcPr>
          <w:p w14:paraId="5D18927B">
            <w:pPr>
              <w:pStyle w:val="11"/>
            </w:pPr>
            <w:r>
              <w:t>0.19</w:t>
            </w:r>
          </w:p>
        </w:tc>
        <w:tc>
          <w:tcPr>
            <w:tcW w:w="964" w:type="dxa"/>
            <w:vAlign w:val="center"/>
          </w:tcPr>
          <w:p w14:paraId="1624EBAD">
            <w:pPr>
              <w:pStyle w:val="11"/>
            </w:pPr>
            <w:r>
              <w:t>0.38</w:t>
            </w:r>
          </w:p>
        </w:tc>
        <w:tc>
          <w:tcPr>
            <w:tcW w:w="964" w:type="dxa"/>
            <w:vAlign w:val="center"/>
          </w:tcPr>
          <w:p w14:paraId="79739F26">
            <w:pPr>
              <w:pStyle w:val="11"/>
            </w:pPr>
            <w:r>
              <w:t>0.38</w:t>
            </w:r>
          </w:p>
        </w:tc>
        <w:tc>
          <w:tcPr>
            <w:tcW w:w="964" w:type="dxa"/>
            <w:vAlign w:val="center"/>
          </w:tcPr>
          <w:p w14:paraId="2BF289B8">
            <w:pPr>
              <w:pStyle w:val="11"/>
            </w:pPr>
          </w:p>
        </w:tc>
        <w:tc>
          <w:tcPr>
            <w:tcW w:w="964" w:type="dxa"/>
            <w:vAlign w:val="center"/>
          </w:tcPr>
          <w:p w14:paraId="412F921D">
            <w:pPr>
              <w:pStyle w:val="11"/>
            </w:pPr>
          </w:p>
        </w:tc>
        <w:tc>
          <w:tcPr>
            <w:tcW w:w="964" w:type="dxa"/>
            <w:vAlign w:val="center"/>
          </w:tcPr>
          <w:p w14:paraId="50ECE218">
            <w:pPr>
              <w:pStyle w:val="11"/>
            </w:pPr>
          </w:p>
        </w:tc>
        <w:tc>
          <w:tcPr>
            <w:tcW w:w="964" w:type="dxa"/>
            <w:vAlign w:val="center"/>
          </w:tcPr>
          <w:p w14:paraId="2B51CF9F">
            <w:pPr>
              <w:pStyle w:val="11"/>
            </w:pPr>
          </w:p>
        </w:tc>
        <w:tc>
          <w:tcPr>
            <w:tcW w:w="964" w:type="dxa"/>
            <w:vAlign w:val="center"/>
          </w:tcPr>
          <w:p w14:paraId="06BF2047">
            <w:pPr>
              <w:pStyle w:val="11"/>
            </w:pPr>
          </w:p>
        </w:tc>
        <w:tc>
          <w:tcPr>
            <w:tcW w:w="964" w:type="dxa"/>
            <w:vAlign w:val="center"/>
          </w:tcPr>
          <w:p w14:paraId="4856F9F9">
            <w:pPr>
              <w:pStyle w:val="11"/>
            </w:pPr>
          </w:p>
        </w:tc>
        <w:tc>
          <w:tcPr>
            <w:tcW w:w="964" w:type="dxa"/>
            <w:vAlign w:val="center"/>
          </w:tcPr>
          <w:p w14:paraId="7DCA7451">
            <w:pPr>
              <w:pStyle w:val="11"/>
            </w:pPr>
            <w:r>
              <w:t>0.38</w:t>
            </w:r>
          </w:p>
        </w:tc>
      </w:tr>
      <w:tr w14:paraId="52E3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5D9D5D">
            <w:pPr>
              <w:pStyle w:val="12"/>
            </w:pPr>
            <w:r>
              <w:t>冀财教[2025]147号/省级/2026年义教补助经费/双碑校区西良后小学公用经费</w:t>
            </w:r>
          </w:p>
        </w:tc>
        <w:tc>
          <w:tcPr>
            <w:tcW w:w="964" w:type="dxa"/>
            <w:vAlign w:val="center"/>
          </w:tcPr>
          <w:p w14:paraId="48912E7B">
            <w:pPr>
              <w:pStyle w:val="11"/>
            </w:pPr>
            <w:r>
              <w:t>7.50</w:t>
            </w:r>
          </w:p>
        </w:tc>
        <w:tc>
          <w:tcPr>
            <w:tcW w:w="1134" w:type="dxa"/>
            <w:vAlign w:val="center"/>
          </w:tcPr>
          <w:p w14:paraId="01D471AD">
            <w:pPr>
              <w:pStyle w:val="12"/>
            </w:pPr>
            <w:r>
              <w:t>会议桌</w:t>
            </w:r>
          </w:p>
        </w:tc>
        <w:tc>
          <w:tcPr>
            <w:tcW w:w="1134" w:type="dxa"/>
            <w:vAlign w:val="center"/>
          </w:tcPr>
          <w:p w14:paraId="1C0526FA">
            <w:pPr>
              <w:pStyle w:val="12"/>
            </w:pPr>
            <w:r>
              <w:t>A05010202</w:t>
            </w:r>
          </w:p>
        </w:tc>
        <w:tc>
          <w:tcPr>
            <w:tcW w:w="709" w:type="dxa"/>
            <w:vAlign w:val="center"/>
          </w:tcPr>
          <w:p w14:paraId="4AB91E1E">
            <w:pPr>
              <w:pStyle w:val="13"/>
            </w:pPr>
            <w:r>
              <w:t>万元</w:t>
            </w:r>
          </w:p>
        </w:tc>
        <w:tc>
          <w:tcPr>
            <w:tcW w:w="850" w:type="dxa"/>
            <w:vAlign w:val="center"/>
          </w:tcPr>
          <w:p w14:paraId="34EBED6D">
            <w:pPr>
              <w:pStyle w:val="11"/>
            </w:pPr>
            <w:r>
              <w:t>1</w:t>
            </w:r>
          </w:p>
        </w:tc>
        <w:tc>
          <w:tcPr>
            <w:tcW w:w="850" w:type="dxa"/>
            <w:vAlign w:val="center"/>
          </w:tcPr>
          <w:p w14:paraId="782C1942">
            <w:pPr>
              <w:pStyle w:val="11"/>
            </w:pPr>
            <w:r>
              <w:t>1.64</w:t>
            </w:r>
          </w:p>
        </w:tc>
        <w:tc>
          <w:tcPr>
            <w:tcW w:w="964" w:type="dxa"/>
            <w:vAlign w:val="center"/>
          </w:tcPr>
          <w:p w14:paraId="50C036D7">
            <w:pPr>
              <w:pStyle w:val="11"/>
            </w:pPr>
            <w:r>
              <w:t>1.64</w:t>
            </w:r>
          </w:p>
        </w:tc>
        <w:tc>
          <w:tcPr>
            <w:tcW w:w="964" w:type="dxa"/>
            <w:vAlign w:val="center"/>
          </w:tcPr>
          <w:p w14:paraId="546E0492">
            <w:pPr>
              <w:pStyle w:val="11"/>
            </w:pPr>
            <w:r>
              <w:t>1.64</w:t>
            </w:r>
          </w:p>
        </w:tc>
        <w:tc>
          <w:tcPr>
            <w:tcW w:w="964" w:type="dxa"/>
            <w:vAlign w:val="center"/>
          </w:tcPr>
          <w:p w14:paraId="20602A66">
            <w:pPr>
              <w:pStyle w:val="11"/>
            </w:pPr>
          </w:p>
        </w:tc>
        <w:tc>
          <w:tcPr>
            <w:tcW w:w="964" w:type="dxa"/>
            <w:vAlign w:val="center"/>
          </w:tcPr>
          <w:p w14:paraId="51FCCC39">
            <w:pPr>
              <w:pStyle w:val="11"/>
            </w:pPr>
          </w:p>
        </w:tc>
        <w:tc>
          <w:tcPr>
            <w:tcW w:w="964" w:type="dxa"/>
            <w:vAlign w:val="center"/>
          </w:tcPr>
          <w:p w14:paraId="4214EFBF">
            <w:pPr>
              <w:pStyle w:val="11"/>
            </w:pPr>
          </w:p>
        </w:tc>
        <w:tc>
          <w:tcPr>
            <w:tcW w:w="964" w:type="dxa"/>
            <w:vAlign w:val="center"/>
          </w:tcPr>
          <w:p w14:paraId="39AF59DA">
            <w:pPr>
              <w:pStyle w:val="11"/>
            </w:pPr>
          </w:p>
        </w:tc>
        <w:tc>
          <w:tcPr>
            <w:tcW w:w="964" w:type="dxa"/>
            <w:vAlign w:val="center"/>
          </w:tcPr>
          <w:p w14:paraId="2ACFC83B">
            <w:pPr>
              <w:pStyle w:val="11"/>
            </w:pPr>
          </w:p>
        </w:tc>
        <w:tc>
          <w:tcPr>
            <w:tcW w:w="964" w:type="dxa"/>
            <w:vAlign w:val="center"/>
          </w:tcPr>
          <w:p w14:paraId="00910F53">
            <w:pPr>
              <w:pStyle w:val="11"/>
            </w:pPr>
          </w:p>
        </w:tc>
        <w:tc>
          <w:tcPr>
            <w:tcW w:w="964" w:type="dxa"/>
            <w:vAlign w:val="center"/>
          </w:tcPr>
          <w:p w14:paraId="6830DB0F">
            <w:pPr>
              <w:pStyle w:val="11"/>
            </w:pPr>
            <w:r>
              <w:t>1.64</w:t>
            </w:r>
          </w:p>
        </w:tc>
      </w:tr>
      <w:tr w14:paraId="61CC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8E4D7A">
            <w:pPr>
              <w:pStyle w:val="12"/>
            </w:pPr>
            <w:r>
              <w:t>冀财教[2025]147号/省级/2026年义教补助经费/双碑校区亦城小学公用经费</w:t>
            </w:r>
          </w:p>
        </w:tc>
        <w:tc>
          <w:tcPr>
            <w:tcW w:w="964" w:type="dxa"/>
            <w:vAlign w:val="center"/>
          </w:tcPr>
          <w:p w14:paraId="1BDF5FC9">
            <w:pPr>
              <w:pStyle w:val="11"/>
            </w:pPr>
            <w:r>
              <w:t>5.64</w:t>
            </w:r>
          </w:p>
        </w:tc>
        <w:tc>
          <w:tcPr>
            <w:tcW w:w="1134" w:type="dxa"/>
            <w:vAlign w:val="center"/>
          </w:tcPr>
          <w:p w14:paraId="53C5AD34">
            <w:pPr>
              <w:pStyle w:val="12"/>
            </w:pPr>
            <w:r>
              <w:t>会议桌</w:t>
            </w:r>
          </w:p>
        </w:tc>
        <w:tc>
          <w:tcPr>
            <w:tcW w:w="1134" w:type="dxa"/>
            <w:vAlign w:val="center"/>
          </w:tcPr>
          <w:p w14:paraId="5B89E881">
            <w:pPr>
              <w:pStyle w:val="12"/>
            </w:pPr>
            <w:r>
              <w:t>A05010202</w:t>
            </w:r>
          </w:p>
        </w:tc>
        <w:tc>
          <w:tcPr>
            <w:tcW w:w="709" w:type="dxa"/>
            <w:vAlign w:val="center"/>
          </w:tcPr>
          <w:p w14:paraId="7CDC9525">
            <w:pPr>
              <w:pStyle w:val="13"/>
            </w:pPr>
            <w:r>
              <w:t>万元</w:t>
            </w:r>
          </w:p>
        </w:tc>
        <w:tc>
          <w:tcPr>
            <w:tcW w:w="850" w:type="dxa"/>
            <w:vAlign w:val="center"/>
          </w:tcPr>
          <w:p w14:paraId="1D7B404A">
            <w:pPr>
              <w:pStyle w:val="11"/>
            </w:pPr>
            <w:r>
              <w:t>1</w:t>
            </w:r>
          </w:p>
        </w:tc>
        <w:tc>
          <w:tcPr>
            <w:tcW w:w="850" w:type="dxa"/>
            <w:vAlign w:val="center"/>
          </w:tcPr>
          <w:p w14:paraId="011D025C">
            <w:pPr>
              <w:pStyle w:val="11"/>
            </w:pPr>
            <w:r>
              <w:t>1.64</w:t>
            </w:r>
          </w:p>
        </w:tc>
        <w:tc>
          <w:tcPr>
            <w:tcW w:w="964" w:type="dxa"/>
            <w:vAlign w:val="center"/>
          </w:tcPr>
          <w:p w14:paraId="48107144">
            <w:pPr>
              <w:pStyle w:val="11"/>
            </w:pPr>
            <w:r>
              <w:t>1.64</w:t>
            </w:r>
          </w:p>
        </w:tc>
        <w:tc>
          <w:tcPr>
            <w:tcW w:w="964" w:type="dxa"/>
            <w:vAlign w:val="center"/>
          </w:tcPr>
          <w:p w14:paraId="32BF99B0">
            <w:pPr>
              <w:pStyle w:val="11"/>
            </w:pPr>
            <w:r>
              <w:t>1.64</w:t>
            </w:r>
          </w:p>
        </w:tc>
        <w:tc>
          <w:tcPr>
            <w:tcW w:w="964" w:type="dxa"/>
            <w:vAlign w:val="center"/>
          </w:tcPr>
          <w:p w14:paraId="62EB80EA">
            <w:pPr>
              <w:pStyle w:val="11"/>
            </w:pPr>
          </w:p>
        </w:tc>
        <w:tc>
          <w:tcPr>
            <w:tcW w:w="964" w:type="dxa"/>
            <w:vAlign w:val="center"/>
          </w:tcPr>
          <w:p w14:paraId="2F7A99A3">
            <w:pPr>
              <w:pStyle w:val="11"/>
            </w:pPr>
          </w:p>
        </w:tc>
        <w:tc>
          <w:tcPr>
            <w:tcW w:w="964" w:type="dxa"/>
            <w:vAlign w:val="center"/>
          </w:tcPr>
          <w:p w14:paraId="5FE58403">
            <w:pPr>
              <w:pStyle w:val="11"/>
            </w:pPr>
          </w:p>
        </w:tc>
        <w:tc>
          <w:tcPr>
            <w:tcW w:w="964" w:type="dxa"/>
            <w:vAlign w:val="center"/>
          </w:tcPr>
          <w:p w14:paraId="37817877">
            <w:pPr>
              <w:pStyle w:val="11"/>
            </w:pPr>
          </w:p>
        </w:tc>
        <w:tc>
          <w:tcPr>
            <w:tcW w:w="964" w:type="dxa"/>
            <w:vAlign w:val="center"/>
          </w:tcPr>
          <w:p w14:paraId="361EFE12">
            <w:pPr>
              <w:pStyle w:val="11"/>
            </w:pPr>
          </w:p>
        </w:tc>
        <w:tc>
          <w:tcPr>
            <w:tcW w:w="964" w:type="dxa"/>
            <w:vAlign w:val="center"/>
          </w:tcPr>
          <w:p w14:paraId="4EBA7428">
            <w:pPr>
              <w:pStyle w:val="11"/>
            </w:pPr>
          </w:p>
        </w:tc>
        <w:tc>
          <w:tcPr>
            <w:tcW w:w="964" w:type="dxa"/>
            <w:vAlign w:val="center"/>
          </w:tcPr>
          <w:p w14:paraId="3031C28E">
            <w:pPr>
              <w:pStyle w:val="11"/>
            </w:pPr>
            <w:r>
              <w:t>1.64</w:t>
            </w:r>
          </w:p>
        </w:tc>
      </w:tr>
      <w:tr w14:paraId="6509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75EEFC">
            <w:pPr>
              <w:pStyle w:val="12"/>
            </w:pPr>
            <w:r>
              <w:t>冀财教[2025]148号/支持义务教育发展/双碑校区木花小学公用经费</w:t>
            </w:r>
          </w:p>
        </w:tc>
        <w:tc>
          <w:tcPr>
            <w:tcW w:w="964" w:type="dxa"/>
            <w:vAlign w:val="center"/>
          </w:tcPr>
          <w:p w14:paraId="7C388D3C">
            <w:pPr>
              <w:pStyle w:val="11"/>
            </w:pPr>
            <w:r>
              <w:t>6.00</w:t>
            </w:r>
          </w:p>
        </w:tc>
        <w:tc>
          <w:tcPr>
            <w:tcW w:w="1134" w:type="dxa"/>
            <w:vAlign w:val="center"/>
          </w:tcPr>
          <w:p w14:paraId="5537E432">
            <w:pPr>
              <w:pStyle w:val="12"/>
            </w:pPr>
            <w:r>
              <w:t>触控一体机</w:t>
            </w:r>
          </w:p>
        </w:tc>
        <w:tc>
          <w:tcPr>
            <w:tcW w:w="1134" w:type="dxa"/>
            <w:vAlign w:val="center"/>
          </w:tcPr>
          <w:p w14:paraId="1EB94D3A">
            <w:pPr>
              <w:pStyle w:val="12"/>
            </w:pPr>
            <w:r>
              <w:t>A02020800</w:t>
            </w:r>
          </w:p>
        </w:tc>
        <w:tc>
          <w:tcPr>
            <w:tcW w:w="709" w:type="dxa"/>
            <w:vAlign w:val="center"/>
          </w:tcPr>
          <w:p w14:paraId="2F307F6B">
            <w:pPr>
              <w:pStyle w:val="13"/>
            </w:pPr>
            <w:r>
              <w:t>万元</w:t>
            </w:r>
          </w:p>
        </w:tc>
        <w:tc>
          <w:tcPr>
            <w:tcW w:w="850" w:type="dxa"/>
            <w:vAlign w:val="center"/>
          </w:tcPr>
          <w:p w14:paraId="3A8D274D">
            <w:pPr>
              <w:pStyle w:val="11"/>
            </w:pPr>
            <w:r>
              <w:t>3</w:t>
            </w:r>
          </w:p>
        </w:tc>
        <w:tc>
          <w:tcPr>
            <w:tcW w:w="850" w:type="dxa"/>
            <w:vAlign w:val="center"/>
          </w:tcPr>
          <w:p w14:paraId="09B8B5BB">
            <w:pPr>
              <w:pStyle w:val="11"/>
            </w:pPr>
            <w:r>
              <w:t>2.00</w:t>
            </w:r>
          </w:p>
        </w:tc>
        <w:tc>
          <w:tcPr>
            <w:tcW w:w="964" w:type="dxa"/>
            <w:vAlign w:val="center"/>
          </w:tcPr>
          <w:p w14:paraId="4DBA3A19">
            <w:pPr>
              <w:pStyle w:val="11"/>
            </w:pPr>
            <w:r>
              <w:t>6.00</w:t>
            </w:r>
          </w:p>
        </w:tc>
        <w:tc>
          <w:tcPr>
            <w:tcW w:w="964" w:type="dxa"/>
            <w:vAlign w:val="center"/>
          </w:tcPr>
          <w:p w14:paraId="00ABE9BD">
            <w:pPr>
              <w:pStyle w:val="11"/>
            </w:pPr>
            <w:r>
              <w:t>6.00</w:t>
            </w:r>
          </w:p>
        </w:tc>
        <w:tc>
          <w:tcPr>
            <w:tcW w:w="964" w:type="dxa"/>
            <w:vAlign w:val="center"/>
          </w:tcPr>
          <w:p w14:paraId="68FEE45F">
            <w:pPr>
              <w:pStyle w:val="11"/>
            </w:pPr>
          </w:p>
        </w:tc>
        <w:tc>
          <w:tcPr>
            <w:tcW w:w="964" w:type="dxa"/>
            <w:vAlign w:val="center"/>
          </w:tcPr>
          <w:p w14:paraId="2924EE9B">
            <w:pPr>
              <w:pStyle w:val="11"/>
            </w:pPr>
          </w:p>
        </w:tc>
        <w:tc>
          <w:tcPr>
            <w:tcW w:w="964" w:type="dxa"/>
            <w:vAlign w:val="center"/>
          </w:tcPr>
          <w:p w14:paraId="187F385A">
            <w:pPr>
              <w:pStyle w:val="11"/>
            </w:pPr>
          </w:p>
        </w:tc>
        <w:tc>
          <w:tcPr>
            <w:tcW w:w="964" w:type="dxa"/>
            <w:vAlign w:val="center"/>
          </w:tcPr>
          <w:p w14:paraId="0C938020">
            <w:pPr>
              <w:pStyle w:val="11"/>
            </w:pPr>
          </w:p>
        </w:tc>
        <w:tc>
          <w:tcPr>
            <w:tcW w:w="964" w:type="dxa"/>
            <w:vAlign w:val="center"/>
          </w:tcPr>
          <w:p w14:paraId="3EF38CFB">
            <w:pPr>
              <w:pStyle w:val="11"/>
            </w:pPr>
          </w:p>
        </w:tc>
        <w:tc>
          <w:tcPr>
            <w:tcW w:w="964" w:type="dxa"/>
            <w:vAlign w:val="center"/>
          </w:tcPr>
          <w:p w14:paraId="185717E2">
            <w:pPr>
              <w:pStyle w:val="11"/>
            </w:pPr>
          </w:p>
        </w:tc>
        <w:tc>
          <w:tcPr>
            <w:tcW w:w="964" w:type="dxa"/>
            <w:vAlign w:val="center"/>
          </w:tcPr>
          <w:p w14:paraId="2708E1E4">
            <w:pPr>
              <w:pStyle w:val="11"/>
            </w:pPr>
            <w:r>
              <w:t>6.00</w:t>
            </w:r>
          </w:p>
        </w:tc>
      </w:tr>
    </w:tbl>
    <w:p w14:paraId="346B3D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4DD9D3">
      <w:pPr>
        <w:spacing w:before="0" w:after="0"/>
        <w:ind w:firstLine="640"/>
        <w:jc w:val="left"/>
        <w:outlineLvl w:val="9"/>
      </w:pPr>
      <w:r>
        <w:rPr>
          <w:rFonts w:ascii="Times New Roman" w:hAnsi="Times New Roman" w:eastAsia="方正仿宋_GBK" w:cs="Times New Roman"/>
          <w:color w:val="000000"/>
          <w:sz w:val="32"/>
        </w:rPr>
        <w:t xml:space="preserve"> </w:t>
      </w:r>
    </w:p>
    <w:p w14:paraId="5654EED8">
      <w:pPr>
        <w:spacing w:before="10" w:after="10" w:line="240" w:lineRule="auto"/>
        <w:ind w:firstLine="640"/>
        <w:jc w:val="left"/>
        <w:outlineLvl w:val="5"/>
      </w:pPr>
      <w:r>
        <w:rPr>
          <w:rFonts w:ascii="黑体" w:hAnsi="黑体" w:eastAsia="黑体" w:cs="黑体"/>
          <w:color w:val="000000"/>
          <w:sz w:val="32"/>
        </w:rPr>
        <w:t>七、国有资产信息</w:t>
      </w:r>
    </w:p>
    <w:p w14:paraId="2FB3EBF9">
      <w:pPr>
        <w:spacing w:before="0" w:after="0" w:line="500" w:lineRule="exact"/>
        <w:ind w:firstLine="560"/>
        <w:jc w:val="left"/>
        <w:outlineLvl w:val="9"/>
      </w:pPr>
      <w:r>
        <w:rPr>
          <w:rFonts w:ascii="Times New Roman" w:hAnsi="Times New Roman" w:eastAsia="方正仿宋_GBK" w:cs="Times New Roman"/>
          <w:b w:val="0"/>
          <w:color w:val="000000"/>
          <w:sz w:val="28"/>
        </w:rPr>
        <w:t>隆尧县双碑校区上年末固定资产金额为2669.36万元（详见下表）。本年度拟购置固定资产总额为60.45万元，已按要求列入政府采购预算，详见政府采购预算表。</w:t>
      </w:r>
    </w:p>
    <w:p w14:paraId="5F9EB4E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4F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4E3C7A">
            <w:pPr>
              <w:pStyle w:val="9"/>
            </w:pPr>
            <w:r>
              <w:t>360020隆尧县双碑校区</w:t>
            </w:r>
          </w:p>
        </w:tc>
        <w:tc>
          <w:tcPr>
            <w:tcW w:w="5670" w:type="dxa"/>
            <w:gridSpan w:val="2"/>
            <w:tcBorders>
              <w:top w:val="single" w:color="FFFFFF" w:sz="6" w:space="0"/>
              <w:left w:val="single" w:color="FFFFFF" w:sz="6" w:space="0"/>
              <w:right w:val="single" w:color="FFFFFF" w:sz="6" w:space="0"/>
            </w:tcBorders>
            <w:vAlign w:val="center"/>
          </w:tcPr>
          <w:p w14:paraId="5195F918">
            <w:pPr>
              <w:pStyle w:val="7"/>
            </w:pPr>
            <w:r>
              <w:t>截止时间：2025-12-31</w:t>
            </w:r>
          </w:p>
        </w:tc>
      </w:tr>
      <w:tr w14:paraId="4CCC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FC1D92">
            <w:pPr>
              <w:pStyle w:val="10"/>
            </w:pPr>
            <w:r>
              <w:t>项   目</w:t>
            </w:r>
          </w:p>
        </w:tc>
        <w:tc>
          <w:tcPr>
            <w:tcW w:w="2835" w:type="dxa"/>
            <w:vAlign w:val="center"/>
          </w:tcPr>
          <w:p w14:paraId="55A7092C">
            <w:pPr>
              <w:pStyle w:val="10"/>
            </w:pPr>
            <w:r>
              <w:t>数量</w:t>
            </w:r>
          </w:p>
        </w:tc>
        <w:tc>
          <w:tcPr>
            <w:tcW w:w="2835" w:type="dxa"/>
            <w:vAlign w:val="center"/>
          </w:tcPr>
          <w:p w14:paraId="6073AC2F">
            <w:pPr>
              <w:pStyle w:val="10"/>
            </w:pPr>
            <w:r>
              <w:t>价值（金额单位：万元）</w:t>
            </w:r>
          </w:p>
        </w:tc>
      </w:tr>
      <w:tr w14:paraId="6741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38295C">
            <w:pPr>
              <w:pStyle w:val="12"/>
            </w:pPr>
            <w:r>
              <w:t>资产总额</w:t>
            </w:r>
          </w:p>
        </w:tc>
        <w:tc>
          <w:tcPr>
            <w:tcW w:w="2835" w:type="dxa"/>
            <w:vAlign w:val="center"/>
          </w:tcPr>
          <w:p w14:paraId="7A3236B4">
            <w:pPr>
              <w:pStyle w:val="13"/>
            </w:pPr>
          </w:p>
        </w:tc>
        <w:tc>
          <w:tcPr>
            <w:tcW w:w="2835" w:type="dxa"/>
            <w:vAlign w:val="center"/>
          </w:tcPr>
          <w:p w14:paraId="0D5B61C4">
            <w:pPr>
              <w:pStyle w:val="11"/>
            </w:pPr>
            <w:r>
              <w:t>2669.36</w:t>
            </w:r>
          </w:p>
        </w:tc>
      </w:tr>
      <w:tr w14:paraId="6907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D29279">
            <w:pPr>
              <w:pStyle w:val="12"/>
            </w:pPr>
            <w:r>
              <w:t>1、房屋（平方米）</w:t>
            </w:r>
          </w:p>
        </w:tc>
        <w:tc>
          <w:tcPr>
            <w:tcW w:w="2835" w:type="dxa"/>
            <w:vAlign w:val="center"/>
          </w:tcPr>
          <w:p w14:paraId="30889DCF">
            <w:pPr>
              <w:pStyle w:val="13"/>
            </w:pPr>
            <w:r>
              <w:t>21098.23</w:t>
            </w:r>
          </w:p>
        </w:tc>
        <w:tc>
          <w:tcPr>
            <w:tcW w:w="2835" w:type="dxa"/>
            <w:vAlign w:val="center"/>
          </w:tcPr>
          <w:p w14:paraId="1BF8DB18">
            <w:pPr>
              <w:pStyle w:val="11"/>
            </w:pPr>
            <w:r>
              <w:t>1668.78</w:t>
            </w:r>
          </w:p>
        </w:tc>
      </w:tr>
      <w:tr w14:paraId="26A7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BD1954">
            <w:pPr>
              <w:pStyle w:val="12"/>
            </w:pPr>
            <w:r>
              <w:t>　　其中：办公用房（平方米）</w:t>
            </w:r>
          </w:p>
        </w:tc>
        <w:tc>
          <w:tcPr>
            <w:tcW w:w="2835" w:type="dxa"/>
            <w:vAlign w:val="center"/>
          </w:tcPr>
          <w:p w14:paraId="0B000857">
            <w:pPr>
              <w:pStyle w:val="13"/>
            </w:pPr>
            <w:r>
              <w:t>2818.69</w:t>
            </w:r>
          </w:p>
        </w:tc>
        <w:tc>
          <w:tcPr>
            <w:tcW w:w="2835" w:type="dxa"/>
            <w:vAlign w:val="center"/>
          </w:tcPr>
          <w:p w14:paraId="442A53E0">
            <w:pPr>
              <w:pStyle w:val="11"/>
            </w:pPr>
            <w:r>
              <w:t>222.87</w:t>
            </w:r>
          </w:p>
        </w:tc>
      </w:tr>
      <w:tr w14:paraId="5907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1756D7">
            <w:pPr>
              <w:pStyle w:val="12"/>
            </w:pPr>
            <w:r>
              <w:t>2、车辆（台、辆）</w:t>
            </w:r>
          </w:p>
        </w:tc>
        <w:tc>
          <w:tcPr>
            <w:tcW w:w="2835" w:type="dxa"/>
            <w:vAlign w:val="center"/>
          </w:tcPr>
          <w:p w14:paraId="0D8E9A4C">
            <w:pPr>
              <w:pStyle w:val="13"/>
            </w:pPr>
          </w:p>
        </w:tc>
        <w:tc>
          <w:tcPr>
            <w:tcW w:w="2835" w:type="dxa"/>
            <w:vAlign w:val="center"/>
          </w:tcPr>
          <w:p w14:paraId="00C29683">
            <w:pPr>
              <w:pStyle w:val="11"/>
            </w:pPr>
          </w:p>
        </w:tc>
      </w:tr>
      <w:tr w14:paraId="197E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E90949">
            <w:pPr>
              <w:pStyle w:val="12"/>
            </w:pPr>
            <w:r>
              <w:t>3、单价在20万元以上的设备</w:t>
            </w:r>
          </w:p>
        </w:tc>
        <w:tc>
          <w:tcPr>
            <w:tcW w:w="2835" w:type="dxa"/>
            <w:vAlign w:val="center"/>
          </w:tcPr>
          <w:p w14:paraId="0C6CACF0">
            <w:pPr>
              <w:pStyle w:val="13"/>
            </w:pPr>
            <w:r>
              <w:t>1</w:t>
            </w:r>
          </w:p>
        </w:tc>
        <w:tc>
          <w:tcPr>
            <w:tcW w:w="2835" w:type="dxa"/>
            <w:vAlign w:val="center"/>
          </w:tcPr>
          <w:p w14:paraId="5A27EC44">
            <w:pPr>
              <w:pStyle w:val="11"/>
            </w:pPr>
            <w:r>
              <w:t>26.28</w:t>
            </w:r>
          </w:p>
        </w:tc>
      </w:tr>
      <w:tr w14:paraId="5037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DC5814">
            <w:pPr>
              <w:pStyle w:val="12"/>
            </w:pPr>
            <w:r>
              <w:t>4、其他固定资产</w:t>
            </w:r>
          </w:p>
        </w:tc>
        <w:tc>
          <w:tcPr>
            <w:tcW w:w="2835" w:type="dxa"/>
            <w:vAlign w:val="center"/>
          </w:tcPr>
          <w:p w14:paraId="24358057">
            <w:pPr>
              <w:pStyle w:val="13"/>
            </w:pPr>
            <w:r>
              <w:t>46284</w:t>
            </w:r>
          </w:p>
        </w:tc>
        <w:tc>
          <w:tcPr>
            <w:tcW w:w="2835" w:type="dxa"/>
            <w:vAlign w:val="center"/>
          </w:tcPr>
          <w:p w14:paraId="6891915E">
            <w:pPr>
              <w:pStyle w:val="11"/>
            </w:pPr>
            <w:r>
              <w:t>974.29</w:t>
            </w:r>
          </w:p>
        </w:tc>
      </w:tr>
    </w:tbl>
    <w:p w14:paraId="09F00903">
      <w:pPr>
        <w:spacing w:before="0" w:after="0"/>
        <w:ind w:firstLine="640"/>
        <w:jc w:val="left"/>
        <w:outlineLvl w:val="9"/>
      </w:pPr>
      <w:r>
        <w:rPr>
          <w:rFonts w:ascii="Times New Roman" w:hAnsi="Times New Roman" w:eastAsia="方正仿宋_GBK" w:cs="Times New Roman"/>
          <w:color w:val="000000"/>
          <w:sz w:val="32"/>
        </w:rPr>
        <w:t xml:space="preserve"> </w:t>
      </w:r>
    </w:p>
    <w:p w14:paraId="4D892023">
      <w:pPr>
        <w:spacing w:before="10" w:after="10" w:line="240" w:lineRule="auto"/>
        <w:ind w:firstLine="640"/>
        <w:jc w:val="left"/>
        <w:outlineLvl w:val="5"/>
      </w:pPr>
      <w:r>
        <w:rPr>
          <w:rFonts w:ascii="黑体" w:hAnsi="黑体" w:eastAsia="黑体" w:cs="黑体"/>
          <w:color w:val="000000"/>
          <w:sz w:val="32"/>
        </w:rPr>
        <w:t>八、名词解释</w:t>
      </w:r>
    </w:p>
    <w:p w14:paraId="12DD77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0E9E1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B64B2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743EA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3299B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1C60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2598F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8F1DA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4B9D3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21BF8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0A122D">
      <w:pPr>
        <w:spacing w:before="10" w:after="10" w:line="240" w:lineRule="auto"/>
        <w:ind w:firstLine="640"/>
        <w:jc w:val="left"/>
        <w:outlineLvl w:val="5"/>
      </w:pPr>
      <w:r>
        <w:rPr>
          <w:rFonts w:ascii="黑体" w:hAnsi="黑体" w:eastAsia="黑体" w:cs="黑体"/>
          <w:color w:val="000000"/>
          <w:sz w:val="32"/>
        </w:rPr>
        <w:t>九、其他需要说明的事项</w:t>
      </w:r>
    </w:p>
    <w:p w14:paraId="3FF99F0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7EFF32F">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二十、隆尧县山口校区收支预算</w:t>
      </w:r>
      <w:bookmarkEnd w:id="19"/>
    </w:p>
    <w:p w14:paraId="164D54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6ED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5B7784">
            <w:pPr>
              <w:pStyle w:val="9"/>
            </w:pPr>
            <w:r>
              <w:t>360021隆尧县山口校区</w:t>
            </w:r>
          </w:p>
        </w:tc>
        <w:tc>
          <w:tcPr>
            <w:tcW w:w="2126" w:type="dxa"/>
            <w:tcBorders>
              <w:top w:val="single" w:color="FFFFFF" w:sz="6" w:space="0"/>
              <w:left w:val="single" w:color="FFFFFF" w:sz="6" w:space="0"/>
              <w:right w:val="single" w:color="FFFFFF" w:sz="6" w:space="0"/>
            </w:tcBorders>
            <w:vAlign w:val="center"/>
          </w:tcPr>
          <w:p w14:paraId="1E00051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8215B1">
            <w:pPr>
              <w:pStyle w:val="7"/>
            </w:pPr>
            <w:r>
              <w:t>单位：万元</w:t>
            </w:r>
          </w:p>
        </w:tc>
      </w:tr>
      <w:tr w14:paraId="0BD4B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AD37B9">
            <w:pPr>
              <w:pStyle w:val="10"/>
            </w:pPr>
            <w:r>
              <w:t>序号</w:t>
            </w:r>
          </w:p>
        </w:tc>
        <w:tc>
          <w:tcPr>
            <w:tcW w:w="6661" w:type="dxa"/>
            <w:gridSpan w:val="2"/>
            <w:vAlign w:val="center"/>
          </w:tcPr>
          <w:p w14:paraId="07302642">
            <w:pPr>
              <w:pStyle w:val="10"/>
            </w:pPr>
            <w:r>
              <w:t>收入</w:t>
            </w:r>
          </w:p>
        </w:tc>
        <w:tc>
          <w:tcPr>
            <w:tcW w:w="6661" w:type="dxa"/>
            <w:gridSpan w:val="2"/>
            <w:vAlign w:val="center"/>
          </w:tcPr>
          <w:p w14:paraId="24DB64B2">
            <w:pPr>
              <w:pStyle w:val="10"/>
            </w:pPr>
            <w:r>
              <w:t>支出</w:t>
            </w:r>
          </w:p>
        </w:tc>
      </w:tr>
      <w:tr w14:paraId="0EC2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EED14"/>
        </w:tc>
        <w:tc>
          <w:tcPr>
            <w:tcW w:w="4535" w:type="dxa"/>
            <w:vAlign w:val="center"/>
          </w:tcPr>
          <w:p w14:paraId="3D0F1AE8">
            <w:pPr>
              <w:pStyle w:val="10"/>
            </w:pPr>
            <w:r>
              <w:t>项  目</w:t>
            </w:r>
          </w:p>
        </w:tc>
        <w:tc>
          <w:tcPr>
            <w:tcW w:w="2126" w:type="dxa"/>
            <w:vAlign w:val="center"/>
          </w:tcPr>
          <w:p w14:paraId="5D614247">
            <w:pPr>
              <w:pStyle w:val="10"/>
            </w:pPr>
            <w:r>
              <w:t>预算数</w:t>
            </w:r>
          </w:p>
        </w:tc>
        <w:tc>
          <w:tcPr>
            <w:tcW w:w="4535" w:type="dxa"/>
            <w:vAlign w:val="center"/>
          </w:tcPr>
          <w:p w14:paraId="6DE936BB">
            <w:pPr>
              <w:pStyle w:val="10"/>
            </w:pPr>
            <w:r>
              <w:t>项  目</w:t>
            </w:r>
          </w:p>
        </w:tc>
        <w:tc>
          <w:tcPr>
            <w:tcW w:w="2126" w:type="dxa"/>
            <w:vAlign w:val="center"/>
          </w:tcPr>
          <w:p w14:paraId="04C2475A">
            <w:pPr>
              <w:pStyle w:val="10"/>
            </w:pPr>
            <w:r>
              <w:t>预算数</w:t>
            </w:r>
          </w:p>
        </w:tc>
      </w:tr>
      <w:tr w14:paraId="0219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BF87DD">
            <w:pPr>
              <w:pStyle w:val="10"/>
            </w:pPr>
            <w:r>
              <w:t>栏次</w:t>
            </w:r>
          </w:p>
        </w:tc>
        <w:tc>
          <w:tcPr>
            <w:tcW w:w="4535" w:type="dxa"/>
            <w:vAlign w:val="center"/>
          </w:tcPr>
          <w:p w14:paraId="31B28036">
            <w:pPr>
              <w:pStyle w:val="10"/>
            </w:pPr>
            <w:r>
              <w:t>1</w:t>
            </w:r>
          </w:p>
        </w:tc>
        <w:tc>
          <w:tcPr>
            <w:tcW w:w="2126" w:type="dxa"/>
            <w:vAlign w:val="center"/>
          </w:tcPr>
          <w:p w14:paraId="3EECEBE8">
            <w:pPr>
              <w:pStyle w:val="10"/>
            </w:pPr>
            <w:r>
              <w:t>2</w:t>
            </w:r>
          </w:p>
        </w:tc>
        <w:tc>
          <w:tcPr>
            <w:tcW w:w="4535" w:type="dxa"/>
            <w:vAlign w:val="center"/>
          </w:tcPr>
          <w:p w14:paraId="153D143A">
            <w:pPr>
              <w:pStyle w:val="10"/>
            </w:pPr>
            <w:r>
              <w:t>3</w:t>
            </w:r>
          </w:p>
        </w:tc>
        <w:tc>
          <w:tcPr>
            <w:tcW w:w="2126" w:type="dxa"/>
            <w:vAlign w:val="center"/>
          </w:tcPr>
          <w:p w14:paraId="78A31BAC">
            <w:pPr>
              <w:pStyle w:val="10"/>
            </w:pPr>
            <w:r>
              <w:t>4</w:t>
            </w:r>
          </w:p>
        </w:tc>
      </w:tr>
      <w:tr w14:paraId="06810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5C32D">
            <w:pPr>
              <w:pStyle w:val="13"/>
            </w:pPr>
            <w:r>
              <w:t>1</w:t>
            </w:r>
          </w:p>
        </w:tc>
        <w:tc>
          <w:tcPr>
            <w:tcW w:w="4535" w:type="dxa"/>
            <w:vAlign w:val="center"/>
          </w:tcPr>
          <w:p w14:paraId="580323CC">
            <w:pPr>
              <w:pStyle w:val="12"/>
            </w:pPr>
            <w:r>
              <w:t>一、一般公共预算拨款收入</w:t>
            </w:r>
          </w:p>
        </w:tc>
        <w:tc>
          <w:tcPr>
            <w:tcW w:w="2126" w:type="dxa"/>
            <w:vAlign w:val="center"/>
          </w:tcPr>
          <w:p w14:paraId="6044FC70">
            <w:pPr>
              <w:pStyle w:val="11"/>
            </w:pPr>
            <w:r>
              <w:t>2942.65</w:t>
            </w:r>
          </w:p>
        </w:tc>
        <w:tc>
          <w:tcPr>
            <w:tcW w:w="4535" w:type="dxa"/>
            <w:vAlign w:val="center"/>
          </w:tcPr>
          <w:p w14:paraId="6054494F">
            <w:pPr>
              <w:pStyle w:val="12"/>
            </w:pPr>
            <w:r>
              <w:t>一、一般公共服务支出</w:t>
            </w:r>
          </w:p>
        </w:tc>
        <w:tc>
          <w:tcPr>
            <w:tcW w:w="2126" w:type="dxa"/>
            <w:vAlign w:val="center"/>
          </w:tcPr>
          <w:p w14:paraId="21B6696A">
            <w:pPr>
              <w:pStyle w:val="11"/>
            </w:pPr>
          </w:p>
        </w:tc>
      </w:tr>
      <w:tr w14:paraId="34386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A31CB">
            <w:pPr>
              <w:pStyle w:val="13"/>
            </w:pPr>
            <w:r>
              <w:t>2</w:t>
            </w:r>
          </w:p>
        </w:tc>
        <w:tc>
          <w:tcPr>
            <w:tcW w:w="4535" w:type="dxa"/>
            <w:vAlign w:val="center"/>
          </w:tcPr>
          <w:p w14:paraId="046A27AE">
            <w:pPr>
              <w:pStyle w:val="12"/>
            </w:pPr>
            <w:r>
              <w:t>二、政府性基金预算拨款收入</w:t>
            </w:r>
          </w:p>
        </w:tc>
        <w:tc>
          <w:tcPr>
            <w:tcW w:w="2126" w:type="dxa"/>
            <w:vAlign w:val="center"/>
          </w:tcPr>
          <w:p w14:paraId="73B8CACE">
            <w:pPr>
              <w:pStyle w:val="11"/>
            </w:pPr>
          </w:p>
        </w:tc>
        <w:tc>
          <w:tcPr>
            <w:tcW w:w="4535" w:type="dxa"/>
            <w:vAlign w:val="center"/>
          </w:tcPr>
          <w:p w14:paraId="67D5CCF6">
            <w:pPr>
              <w:pStyle w:val="12"/>
            </w:pPr>
            <w:r>
              <w:t>二、外交支出</w:t>
            </w:r>
          </w:p>
        </w:tc>
        <w:tc>
          <w:tcPr>
            <w:tcW w:w="2126" w:type="dxa"/>
            <w:vAlign w:val="center"/>
          </w:tcPr>
          <w:p w14:paraId="7FB350A1">
            <w:pPr>
              <w:pStyle w:val="11"/>
            </w:pPr>
          </w:p>
        </w:tc>
      </w:tr>
      <w:tr w14:paraId="04E97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816E2">
            <w:pPr>
              <w:pStyle w:val="13"/>
            </w:pPr>
            <w:r>
              <w:t>3</w:t>
            </w:r>
          </w:p>
        </w:tc>
        <w:tc>
          <w:tcPr>
            <w:tcW w:w="4535" w:type="dxa"/>
            <w:vAlign w:val="center"/>
          </w:tcPr>
          <w:p w14:paraId="585101A3">
            <w:pPr>
              <w:pStyle w:val="12"/>
            </w:pPr>
            <w:r>
              <w:t>三、国有资本经营预算拨款收入</w:t>
            </w:r>
          </w:p>
        </w:tc>
        <w:tc>
          <w:tcPr>
            <w:tcW w:w="2126" w:type="dxa"/>
            <w:vAlign w:val="center"/>
          </w:tcPr>
          <w:p w14:paraId="08468EDC">
            <w:pPr>
              <w:pStyle w:val="11"/>
            </w:pPr>
          </w:p>
        </w:tc>
        <w:tc>
          <w:tcPr>
            <w:tcW w:w="4535" w:type="dxa"/>
            <w:vAlign w:val="center"/>
          </w:tcPr>
          <w:p w14:paraId="1C17B943">
            <w:pPr>
              <w:pStyle w:val="12"/>
            </w:pPr>
            <w:r>
              <w:t>三、国防支出</w:t>
            </w:r>
          </w:p>
        </w:tc>
        <w:tc>
          <w:tcPr>
            <w:tcW w:w="2126" w:type="dxa"/>
            <w:vAlign w:val="center"/>
          </w:tcPr>
          <w:p w14:paraId="7D60FB43">
            <w:pPr>
              <w:pStyle w:val="11"/>
            </w:pPr>
          </w:p>
        </w:tc>
      </w:tr>
      <w:tr w14:paraId="3D71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04DE">
            <w:pPr>
              <w:pStyle w:val="13"/>
            </w:pPr>
            <w:r>
              <w:t>4</w:t>
            </w:r>
          </w:p>
        </w:tc>
        <w:tc>
          <w:tcPr>
            <w:tcW w:w="4535" w:type="dxa"/>
            <w:vAlign w:val="center"/>
          </w:tcPr>
          <w:p w14:paraId="639D090E">
            <w:pPr>
              <w:pStyle w:val="12"/>
            </w:pPr>
            <w:r>
              <w:t>四、财政专户管理资金收入</w:t>
            </w:r>
          </w:p>
        </w:tc>
        <w:tc>
          <w:tcPr>
            <w:tcW w:w="2126" w:type="dxa"/>
            <w:vAlign w:val="center"/>
          </w:tcPr>
          <w:p w14:paraId="1BEF3375">
            <w:pPr>
              <w:pStyle w:val="11"/>
            </w:pPr>
          </w:p>
        </w:tc>
        <w:tc>
          <w:tcPr>
            <w:tcW w:w="4535" w:type="dxa"/>
            <w:vAlign w:val="center"/>
          </w:tcPr>
          <w:p w14:paraId="59B7E041">
            <w:pPr>
              <w:pStyle w:val="12"/>
            </w:pPr>
            <w:r>
              <w:t>四、公共安全支出</w:t>
            </w:r>
          </w:p>
        </w:tc>
        <w:tc>
          <w:tcPr>
            <w:tcW w:w="2126" w:type="dxa"/>
            <w:vAlign w:val="center"/>
          </w:tcPr>
          <w:p w14:paraId="4E6C1EBF">
            <w:pPr>
              <w:pStyle w:val="11"/>
            </w:pPr>
          </w:p>
        </w:tc>
      </w:tr>
      <w:tr w14:paraId="56EE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72DAA">
            <w:pPr>
              <w:pStyle w:val="13"/>
            </w:pPr>
            <w:r>
              <w:t>5</w:t>
            </w:r>
          </w:p>
        </w:tc>
        <w:tc>
          <w:tcPr>
            <w:tcW w:w="4535" w:type="dxa"/>
            <w:vAlign w:val="center"/>
          </w:tcPr>
          <w:p w14:paraId="776FEAEB">
            <w:pPr>
              <w:pStyle w:val="12"/>
            </w:pPr>
            <w:r>
              <w:t>五、单位资金</w:t>
            </w:r>
          </w:p>
        </w:tc>
        <w:tc>
          <w:tcPr>
            <w:tcW w:w="2126" w:type="dxa"/>
            <w:vAlign w:val="center"/>
          </w:tcPr>
          <w:p w14:paraId="6FC7BC3F">
            <w:pPr>
              <w:pStyle w:val="11"/>
            </w:pPr>
          </w:p>
        </w:tc>
        <w:tc>
          <w:tcPr>
            <w:tcW w:w="4535" w:type="dxa"/>
            <w:vAlign w:val="center"/>
          </w:tcPr>
          <w:p w14:paraId="42805FAD">
            <w:pPr>
              <w:pStyle w:val="12"/>
            </w:pPr>
            <w:r>
              <w:t>五、教育支出</w:t>
            </w:r>
          </w:p>
        </w:tc>
        <w:tc>
          <w:tcPr>
            <w:tcW w:w="2126" w:type="dxa"/>
            <w:vAlign w:val="center"/>
          </w:tcPr>
          <w:p w14:paraId="152F52EC">
            <w:pPr>
              <w:pStyle w:val="11"/>
            </w:pPr>
            <w:r>
              <w:t>2942.65</w:t>
            </w:r>
          </w:p>
        </w:tc>
      </w:tr>
      <w:tr w14:paraId="000D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981BF">
            <w:pPr>
              <w:pStyle w:val="13"/>
            </w:pPr>
            <w:r>
              <w:t>6</w:t>
            </w:r>
          </w:p>
        </w:tc>
        <w:tc>
          <w:tcPr>
            <w:tcW w:w="4535" w:type="dxa"/>
            <w:vAlign w:val="center"/>
          </w:tcPr>
          <w:p w14:paraId="1DCAC784">
            <w:pPr>
              <w:pStyle w:val="12"/>
            </w:pPr>
          </w:p>
        </w:tc>
        <w:tc>
          <w:tcPr>
            <w:tcW w:w="2126" w:type="dxa"/>
            <w:vAlign w:val="center"/>
          </w:tcPr>
          <w:p w14:paraId="48344ECF">
            <w:pPr>
              <w:pStyle w:val="11"/>
            </w:pPr>
          </w:p>
        </w:tc>
        <w:tc>
          <w:tcPr>
            <w:tcW w:w="4535" w:type="dxa"/>
            <w:vAlign w:val="center"/>
          </w:tcPr>
          <w:p w14:paraId="763EF116">
            <w:pPr>
              <w:pStyle w:val="12"/>
            </w:pPr>
            <w:r>
              <w:t>六、科学技术支出</w:t>
            </w:r>
          </w:p>
        </w:tc>
        <w:tc>
          <w:tcPr>
            <w:tcW w:w="2126" w:type="dxa"/>
            <w:vAlign w:val="center"/>
          </w:tcPr>
          <w:p w14:paraId="7334FA18">
            <w:pPr>
              <w:pStyle w:val="11"/>
            </w:pPr>
          </w:p>
        </w:tc>
      </w:tr>
      <w:tr w14:paraId="6ADD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1577">
            <w:pPr>
              <w:pStyle w:val="13"/>
            </w:pPr>
            <w:r>
              <w:t>7</w:t>
            </w:r>
          </w:p>
        </w:tc>
        <w:tc>
          <w:tcPr>
            <w:tcW w:w="4535" w:type="dxa"/>
            <w:vAlign w:val="center"/>
          </w:tcPr>
          <w:p w14:paraId="31342AF6">
            <w:pPr>
              <w:pStyle w:val="12"/>
            </w:pPr>
          </w:p>
        </w:tc>
        <w:tc>
          <w:tcPr>
            <w:tcW w:w="2126" w:type="dxa"/>
            <w:vAlign w:val="center"/>
          </w:tcPr>
          <w:p w14:paraId="0B005254">
            <w:pPr>
              <w:pStyle w:val="11"/>
            </w:pPr>
          </w:p>
        </w:tc>
        <w:tc>
          <w:tcPr>
            <w:tcW w:w="4535" w:type="dxa"/>
            <w:vAlign w:val="center"/>
          </w:tcPr>
          <w:p w14:paraId="1E0C6A5A">
            <w:pPr>
              <w:pStyle w:val="12"/>
            </w:pPr>
            <w:r>
              <w:t>七、文化旅游体育与传媒支出</w:t>
            </w:r>
          </w:p>
        </w:tc>
        <w:tc>
          <w:tcPr>
            <w:tcW w:w="2126" w:type="dxa"/>
            <w:vAlign w:val="center"/>
          </w:tcPr>
          <w:p w14:paraId="61C30E49">
            <w:pPr>
              <w:pStyle w:val="11"/>
            </w:pPr>
          </w:p>
        </w:tc>
      </w:tr>
      <w:tr w14:paraId="22CB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01DEF">
            <w:pPr>
              <w:pStyle w:val="13"/>
            </w:pPr>
            <w:r>
              <w:t>8</w:t>
            </w:r>
          </w:p>
        </w:tc>
        <w:tc>
          <w:tcPr>
            <w:tcW w:w="4535" w:type="dxa"/>
            <w:vAlign w:val="center"/>
          </w:tcPr>
          <w:p w14:paraId="7B4BF27B">
            <w:pPr>
              <w:pStyle w:val="12"/>
            </w:pPr>
          </w:p>
        </w:tc>
        <w:tc>
          <w:tcPr>
            <w:tcW w:w="2126" w:type="dxa"/>
            <w:vAlign w:val="center"/>
          </w:tcPr>
          <w:p w14:paraId="341F5BD1">
            <w:pPr>
              <w:pStyle w:val="11"/>
            </w:pPr>
          </w:p>
        </w:tc>
        <w:tc>
          <w:tcPr>
            <w:tcW w:w="4535" w:type="dxa"/>
            <w:vAlign w:val="center"/>
          </w:tcPr>
          <w:p w14:paraId="31E0AF75">
            <w:pPr>
              <w:pStyle w:val="12"/>
            </w:pPr>
            <w:r>
              <w:t>八、社会保障和就业支出</w:t>
            </w:r>
          </w:p>
        </w:tc>
        <w:tc>
          <w:tcPr>
            <w:tcW w:w="2126" w:type="dxa"/>
            <w:vAlign w:val="center"/>
          </w:tcPr>
          <w:p w14:paraId="0522A572">
            <w:pPr>
              <w:pStyle w:val="11"/>
            </w:pPr>
          </w:p>
        </w:tc>
      </w:tr>
      <w:tr w14:paraId="7D93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C7B6B">
            <w:pPr>
              <w:pStyle w:val="13"/>
            </w:pPr>
            <w:r>
              <w:t>9</w:t>
            </w:r>
          </w:p>
        </w:tc>
        <w:tc>
          <w:tcPr>
            <w:tcW w:w="4535" w:type="dxa"/>
            <w:vAlign w:val="center"/>
          </w:tcPr>
          <w:p w14:paraId="1F1324D8">
            <w:pPr>
              <w:pStyle w:val="12"/>
            </w:pPr>
          </w:p>
        </w:tc>
        <w:tc>
          <w:tcPr>
            <w:tcW w:w="2126" w:type="dxa"/>
            <w:vAlign w:val="center"/>
          </w:tcPr>
          <w:p w14:paraId="13EA22CF">
            <w:pPr>
              <w:pStyle w:val="11"/>
            </w:pPr>
          </w:p>
        </w:tc>
        <w:tc>
          <w:tcPr>
            <w:tcW w:w="4535" w:type="dxa"/>
            <w:vAlign w:val="center"/>
          </w:tcPr>
          <w:p w14:paraId="27D443CB">
            <w:pPr>
              <w:pStyle w:val="12"/>
            </w:pPr>
            <w:r>
              <w:t>九、社会保险基金支出</w:t>
            </w:r>
          </w:p>
        </w:tc>
        <w:tc>
          <w:tcPr>
            <w:tcW w:w="2126" w:type="dxa"/>
            <w:vAlign w:val="center"/>
          </w:tcPr>
          <w:p w14:paraId="2CDB1E6F">
            <w:pPr>
              <w:pStyle w:val="11"/>
            </w:pPr>
          </w:p>
        </w:tc>
      </w:tr>
      <w:tr w14:paraId="20FD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D95F">
            <w:pPr>
              <w:pStyle w:val="13"/>
            </w:pPr>
            <w:r>
              <w:t>10</w:t>
            </w:r>
          </w:p>
        </w:tc>
        <w:tc>
          <w:tcPr>
            <w:tcW w:w="4535" w:type="dxa"/>
            <w:vAlign w:val="center"/>
          </w:tcPr>
          <w:p w14:paraId="22269A6A">
            <w:pPr>
              <w:pStyle w:val="12"/>
            </w:pPr>
          </w:p>
        </w:tc>
        <w:tc>
          <w:tcPr>
            <w:tcW w:w="2126" w:type="dxa"/>
            <w:vAlign w:val="center"/>
          </w:tcPr>
          <w:p w14:paraId="0F916864">
            <w:pPr>
              <w:pStyle w:val="11"/>
            </w:pPr>
          </w:p>
        </w:tc>
        <w:tc>
          <w:tcPr>
            <w:tcW w:w="4535" w:type="dxa"/>
            <w:vAlign w:val="center"/>
          </w:tcPr>
          <w:p w14:paraId="19A60535">
            <w:pPr>
              <w:pStyle w:val="12"/>
            </w:pPr>
            <w:r>
              <w:t>十、卫生健康支出</w:t>
            </w:r>
          </w:p>
        </w:tc>
        <w:tc>
          <w:tcPr>
            <w:tcW w:w="2126" w:type="dxa"/>
            <w:vAlign w:val="center"/>
          </w:tcPr>
          <w:p w14:paraId="1A302D03">
            <w:pPr>
              <w:pStyle w:val="11"/>
            </w:pPr>
          </w:p>
        </w:tc>
      </w:tr>
      <w:tr w14:paraId="5F16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35DE">
            <w:pPr>
              <w:pStyle w:val="13"/>
            </w:pPr>
            <w:r>
              <w:t>11</w:t>
            </w:r>
          </w:p>
        </w:tc>
        <w:tc>
          <w:tcPr>
            <w:tcW w:w="4535" w:type="dxa"/>
            <w:vAlign w:val="center"/>
          </w:tcPr>
          <w:p w14:paraId="5874DEF9">
            <w:pPr>
              <w:pStyle w:val="12"/>
            </w:pPr>
          </w:p>
        </w:tc>
        <w:tc>
          <w:tcPr>
            <w:tcW w:w="2126" w:type="dxa"/>
            <w:vAlign w:val="center"/>
          </w:tcPr>
          <w:p w14:paraId="799A337F">
            <w:pPr>
              <w:pStyle w:val="11"/>
            </w:pPr>
          </w:p>
        </w:tc>
        <w:tc>
          <w:tcPr>
            <w:tcW w:w="4535" w:type="dxa"/>
            <w:vAlign w:val="center"/>
          </w:tcPr>
          <w:p w14:paraId="153D1245">
            <w:pPr>
              <w:pStyle w:val="12"/>
            </w:pPr>
            <w:r>
              <w:t>十一、节能环保支出</w:t>
            </w:r>
          </w:p>
        </w:tc>
        <w:tc>
          <w:tcPr>
            <w:tcW w:w="2126" w:type="dxa"/>
            <w:vAlign w:val="center"/>
          </w:tcPr>
          <w:p w14:paraId="58B0255A">
            <w:pPr>
              <w:pStyle w:val="11"/>
            </w:pPr>
          </w:p>
        </w:tc>
      </w:tr>
      <w:tr w14:paraId="3C2C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1EA63">
            <w:pPr>
              <w:pStyle w:val="13"/>
            </w:pPr>
            <w:r>
              <w:t>12</w:t>
            </w:r>
          </w:p>
        </w:tc>
        <w:tc>
          <w:tcPr>
            <w:tcW w:w="4535" w:type="dxa"/>
            <w:vAlign w:val="center"/>
          </w:tcPr>
          <w:p w14:paraId="50ECFAE4">
            <w:pPr>
              <w:pStyle w:val="12"/>
            </w:pPr>
          </w:p>
        </w:tc>
        <w:tc>
          <w:tcPr>
            <w:tcW w:w="2126" w:type="dxa"/>
            <w:vAlign w:val="center"/>
          </w:tcPr>
          <w:p w14:paraId="5E85FDB5">
            <w:pPr>
              <w:pStyle w:val="11"/>
            </w:pPr>
          </w:p>
        </w:tc>
        <w:tc>
          <w:tcPr>
            <w:tcW w:w="4535" w:type="dxa"/>
            <w:vAlign w:val="center"/>
          </w:tcPr>
          <w:p w14:paraId="69548D55">
            <w:pPr>
              <w:pStyle w:val="12"/>
            </w:pPr>
            <w:r>
              <w:t>十二、城乡社区支出</w:t>
            </w:r>
          </w:p>
        </w:tc>
        <w:tc>
          <w:tcPr>
            <w:tcW w:w="2126" w:type="dxa"/>
            <w:vAlign w:val="center"/>
          </w:tcPr>
          <w:p w14:paraId="5A807A14">
            <w:pPr>
              <w:pStyle w:val="11"/>
            </w:pPr>
          </w:p>
        </w:tc>
      </w:tr>
      <w:tr w14:paraId="4312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D5D4">
            <w:pPr>
              <w:pStyle w:val="13"/>
            </w:pPr>
            <w:r>
              <w:t>13</w:t>
            </w:r>
          </w:p>
        </w:tc>
        <w:tc>
          <w:tcPr>
            <w:tcW w:w="4535" w:type="dxa"/>
            <w:vAlign w:val="center"/>
          </w:tcPr>
          <w:p w14:paraId="5E541CB7">
            <w:pPr>
              <w:pStyle w:val="12"/>
            </w:pPr>
          </w:p>
        </w:tc>
        <w:tc>
          <w:tcPr>
            <w:tcW w:w="2126" w:type="dxa"/>
            <w:vAlign w:val="center"/>
          </w:tcPr>
          <w:p w14:paraId="5B5FE8AF">
            <w:pPr>
              <w:pStyle w:val="11"/>
            </w:pPr>
          </w:p>
        </w:tc>
        <w:tc>
          <w:tcPr>
            <w:tcW w:w="4535" w:type="dxa"/>
            <w:vAlign w:val="center"/>
          </w:tcPr>
          <w:p w14:paraId="02431310">
            <w:pPr>
              <w:pStyle w:val="12"/>
            </w:pPr>
            <w:r>
              <w:t>十三、农林水支出</w:t>
            </w:r>
          </w:p>
        </w:tc>
        <w:tc>
          <w:tcPr>
            <w:tcW w:w="2126" w:type="dxa"/>
            <w:vAlign w:val="center"/>
          </w:tcPr>
          <w:p w14:paraId="1220C23F">
            <w:pPr>
              <w:pStyle w:val="11"/>
            </w:pPr>
          </w:p>
        </w:tc>
      </w:tr>
      <w:tr w14:paraId="45E9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BC3A">
            <w:pPr>
              <w:pStyle w:val="13"/>
            </w:pPr>
            <w:r>
              <w:t>14</w:t>
            </w:r>
          </w:p>
        </w:tc>
        <w:tc>
          <w:tcPr>
            <w:tcW w:w="4535" w:type="dxa"/>
            <w:vAlign w:val="center"/>
          </w:tcPr>
          <w:p w14:paraId="7ED64806">
            <w:pPr>
              <w:pStyle w:val="12"/>
            </w:pPr>
          </w:p>
        </w:tc>
        <w:tc>
          <w:tcPr>
            <w:tcW w:w="2126" w:type="dxa"/>
            <w:vAlign w:val="center"/>
          </w:tcPr>
          <w:p w14:paraId="0DF931AD">
            <w:pPr>
              <w:pStyle w:val="11"/>
            </w:pPr>
          </w:p>
        </w:tc>
        <w:tc>
          <w:tcPr>
            <w:tcW w:w="4535" w:type="dxa"/>
            <w:vAlign w:val="center"/>
          </w:tcPr>
          <w:p w14:paraId="30DF0524">
            <w:pPr>
              <w:pStyle w:val="12"/>
            </w:pPr>
            <w:r>
              <w:t>十四、交通运输支出</w:t>
            </w:r>
          </w:p>
        </w:tc>
        <w:tc>
          <w:tcPr>
            <w:tcW w:w="2126" w:type="dxa"/>
            <w:vAlign w:val="center"/>
          </w:tcPr>
          <w:p w14:paraId="6E74ED87">
            <w:pPr>
              <w:pStyle w:val="11"/>
            </w:pPr>
          </w:p>
        </w:tc>
      </w:tr>
      <w:tr w14:paraId="182C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36C2">
            <w:pPr>
              <w:pStyle w:val="13"/>
            </w:pPr>
            <w:r>
              <w:t>15</w:t>
            </w:r>
          </w:p>
        </w:tc>
        <w:tc>
          <w:tcPr>
            <w:tcW w:w="4535" w:type="dxa"/>
            <w:vAlign w:val="center"/>
          </w:tcPr>
          <w:p w14:paraId="6172510B">
            <w:pPr>
              <w:pStyle w:val="12"/>
            </w:pPr>
          </w:p>
        </w:tc>
        <w:tc>
          <w:tcPr>
            <w:tcW w:w="2126" w:type="dxa"/>
            <w:vAlign w:val="center"/>
          </w:tcPr>
          <w:p w14:paraId="31D7CD71">
            <w:pPr>
              <w:pStyle w:val="11"/>
            </w:pPr>
          </w:p>
        </w:tc>
        <w:tc>
          <w:tcPr>
            <w:tcW w:w="4535" w:type="dxa"/>
            <w:vAlign w:val="center"/>
          </w:tcPr>
          <w:p w14:paraId="7F6262F3">
            <w:pPr>
              <w:pStyle w:val="12"/>
            </w:pPr>
            <w:r>
              <w:t>十五、资源勘探工业信息等支出</w:t>
            </w:r>
          </w:p>
        </w:tc>
        <w:tc>
          <w:tcPr>
            <w:tcW w:w="2126" w:type="dxa"/>
            <w:vAlign w:val="center"/>
          </w:tcPr>
          <w:p w14:paraId="442FF3DA">
            <w:pPr>
              <w:pStyle w:val="11"/>
            </w:pPr>
          </w:p>
        </w:tc>
      </w:tr>
      <w:tr w14:paraId="39A2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056E7">
            <w:pPr>
              <w:pStyle w:val="13"/>
            </w:pPr>
            <w:r>
              <w:t>16</w:t>
            </w:r>
          </w:p>
        </w:tc>
        <w:tc>
          <w:tcPr>
            <w:tcW w:w="4535" w:type="dxa"/>
            <w:vAlign w:val="center"/>
          </w:tcPr>
          <w:p w14:paraId="777A7377">
            <w:pPr>
              <w:pStyle w:val="12"/>
            </w:pPr>
          </w:p>
        </w:tc>
        <w:tc>
          <w:tcPr>
            <w:tcW w:w="2126" w:type="dxa"/>
            <w:vAlign w:val="center"/>
          </w:tcPr>
          <w:p w14:paraId="4709CE6A">
            <w:pPr>
              <w:pStyle w:val="11"/>
            </w:pPr>
          </w:p>
        </w:tc>
        <w:tc>
          <w:tcPr>
            <w:tcW w:w="4535" w:type="dxa"/>
            <w:vAlign w:val="center"/>
          </w:tcPr>
          <w:p w14:paraId="0BB0EB42">
            <w:pPr>
              <w:pStyle w:val="12"/>
            </w:pPr>
            <w:r>
              <w:t>十六、商业服务业等支出</w:t>
            </w:r>
          </w:p>
        </w:tc>
        <w:tc>
          <w:tcPr>
            <w:tcW w:w="2126" w:type="dxa"/>
            <w:vAlign w:val="center"/>
          </w:tcPr>
          <w:p w14:paraId="1BE6EE8E">
            <w:pPr>
              <w:pStyle w:val="11"/>
            </w:pPr>
          </w:p>
        </w:tc>
      </w:tr>
      <w:tr w14:paraId="0306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4864">
            <w:pPr>
              <w:pStyle w:val="13"/>
            </w:pPr>
            <w:r>
              <w:t>17</w:t>
            </w:r>
          </w:p>
        </w:tc>
        <w:tc>
          <w:tcPr>
            <w:tcW w:w="4535" w:type="dxa"/>
            <w:vAlign w:val="center"/>
          </w:tcPr>
          <w:p w14:paraId="7BC6F4F1">
            <w:pPr>
              <w:pStyle w:val="12"/>
            </w:pPr>
          </w:p>
        </w:tc>
        <w:tc>
          <w:tcPr>
            <w:tcW w:w="2126" w:type="dxa"/>
            <w:vAlign w:val="center"/>
          </w:tcPr>
          <w:p w14:paraId="3D0AFE6E">
            <w:pPr>
              <w:pStyle w:val="11"/>
            </w:pPr>
          </w:p>
        </w:tc>
        <w:tc>
          <w:tcPr>
            <w:tcW w:w="4535" w:type="dxa"/>
            <w:vAlign w:val="center"/>
          </w:tcPr>
          <w:p w14:paraId="213340F4">
            <w:pPr>
              <w:pStyle w:val="12"/>
            </w:pPr>
            <w:r>
              <w:t>十七、金融支出</w:t>
            </w:r>
          </w:p>
        </w:tc>
        <w:tc>
          <w:tcPr>
            <w:tcW w:w="2126" w:type="dxa"/>
            <w:vAlign w:val="center"/>
          </w:tcPr>
          <w:p w14:paraId="3FAF2AB2">
            <w:pPr>
              <w:pStyle w:val="11"/>
            </w:pPr>
          </w:p>
        </w:tc>
      </w:tr>
      <w:tr w14:paraId="6BC9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30F24">
            <w:pPr>
              <w:pStyle w:val="13"/>
            </w:pPr>
            <w:r>
              <w:t>18</w:t>
            </w:r>
          </w:p>
        </w:tc>
        <w:tc>
          <w:tcPr>
            <w:tcW w:w="4535" w:type="dxa"/>
            <w:vAlign w:val="center"/>
          </w:tcPr>
          <w:p w14:paraId="0543EC14">
            <w:pPr>
              <w:pStyle w:val="12"/>
            </w:pPr>
          </w:p>
        </w:tc>
        <w:tc>
          <w:tcPr>
            <w:tcW w:w="2126" w:type="dxa"/>
            <w:vAlign w:val="center"/>
          </w:tcPr>
          <w:p w14:paraId="3B0953C2">
            <w:pPr>
              <w:pStyle w:val="11"/>
            </w:pPr>
          </w:p>
        </w:tc>
        <w:tc>
          <w:tcPr>
            <w:tcW w:w="4535" w:type="dxa"/>
            <w:vAlign w:val="center"/>
          </w:tcPr>
          <w:p w14:paraId="77B4F240">
            <w:pPr>
              <w:pStyle w:val="12"/>
            </w:pPr>
            <w:r>
              <w:t>十八、援助其他地区支出</w:t>
            </w:r>
          </w:p>
        </w:tc>
        <w:tc>
          <w:tcPr>
            <w:tcW w:w="2126" w:type="dxa"/>
            <w:vAlign w:val="center"/>
          </w:tcPr>
          <w:p w14:paraId="5CECF63A">
            <w:pPr>
              <w:pStyle w:val="11"/>
            </w:pPr>
          </w:p>
        </w:tc>
      </w:tr>
      <w:tr w14:paraId="4AC2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6937A">
            <w:pPr>
              <w:pStyle w:val="13"/>
            </w:pPr>
            <w:r>
              <w:t>19</w:t>
            </w:r>
          </w:p>
        </w:tc>
        <w:tc>
          <w:tcPr>
            <w:tcW w:w="4535" w:type="dxa"/>
            <w:vAlign w:val="center"/>
          </w:tcPr>
          <w:p w14:paraId="77B086E6">
            <w:pPr>
              <w:pStyle w:val="12"/>
            </w:pPr>
          </w:p>
        </w:tc>
        <w:tc>
          <w:tcPr>
            <w:tcW w:w="2126" w:type="dxa"/>
            <w:vAlign w:val="center"/>
          </w:tcPr>
          <w:p w14:paraId="1EE8678D">
            <w:pPr>
              <w:pStyle w:val="11"/>
            </w:pPr>
          </w:p>
        </w:tc>
        <w:tc>
          <w:tcPr>
            <w:tcW w:w="4535" w:type="dxa"/>
            <w:vAlign w:val="center"/>
          </w:tcPr>
          <w:p w14:paraId="564A00BF">
            <w:pPr>
              <w:pStyle w:val="12"/>
            </w:pPr>
            <w:r>
              <w:t>十九、自然资源海洋气象等支出</w:t>
            </w:r>
          </w:p>
        </w:tc>
        <w:tc>
          <w:tcPr>
            <w:tcW w:w="2126" w:type="dxa"/>
            <w:vAlign w:val="center"/>
          </w:tcPr>
          <w:p w14:paraId="0B05768B">
            <w:pPr>
              <w:pStyle w:val="11"/>
            </w:pPr>
          </w:p>
        </w:tc>
      </w:tr>
      <w:tr w14:paraId="7BE9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26DDB">
            <w:pPr>
              <w:pStyle w:val="13"/>
            </w:pPr>
            <w:r>
              <w:t>20</w:t>
            </w:r>
          </w:p>
        </w:tc>
        <w:tc>
          <w:tcPr>
            <w:tcW w:w="4535" w:type="dxa"/>
            <w:vAlign w:val="center"/>
          </w:tcPr>
          <w:p w14:paraId="5A374E26">
            <w:pPr>
              <w:pStyle w:val="12"/>
            </w:pPr>
          </w:p>
        </w:tc>
        <w:tc>
          <w:tcPr>
            <w:tcW w:w="2126" w:type="dxa"/>
            <w:vAlign w:val="center"/>
          </w:tcPr>
          <w:p w14:paraId="5ABED8A0">
            <w:pPr>
              <w:pStyle w:val="11"/>
            </w:pPr>
          </w:p>
        </w:tc>
        <w:tc>
          <w:tcPr>
            <w:tcW w:w="4535" w:type="dxa"/>
            <w:vAlign w:val="center"/>
          </w:tcPr>
          <w:p w14:paraId="21226E84">
            <w:pPr>
              <w:pStyle w:val="12"/>
            </w:pPr>
            <w:r>
              <w:t>二十、住房保障支出</w:t>
            </w:r>
          </w:p>
        </w:tc>
        <w:tc>
          <w:tcPr>
            <w:tcW w:w="2126" w:type="dxa"/>
            <w:vAlign w:val="center"/>
          </w:tcPr>
          <w:p w14:paraId="6C08401C">
            <w:pPr>
              <w:pStyle w:val="11"/>
            </w:pPr>
          </w:p>
        </w:tc>
      </w:tr>
      <w:tr w14:paraId="4912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E5D90">
            <w:pPr>
              <w:pStyle w:val="13"/>
            </w:pPr>
            <w:r>
              <w:t>21</w:t>
            </w:r>
          </w:p>
        </w:tc>
        <w:tc>
          <w:tcPr>
            <w:tcW w:w="4535" w:type="dxa"/>
            <w:vAlign w:val="center"/>
          </w:tcPr>
          <w:p w14:paraId="73B7210D">
            <w:pPr>
              <w:pStyle w:val="12"/>
            </w:pPr>
          </w:p>
        </w:tc>
        <w:tc>
          <w:tcPr>
            <w:tcW w:w="2126" w:type="dxa"/>
            <w:vAlign w:val="center"/>
          </w:tcPr>
          <w:p w14:paraId="4878BBF5">
            <w:pPr>
              <w:pStyle w:val="11"/>
            </w:pPr>
          </w:p>
        </w:tc>
        <w:tc>
          <w:tcPr>
            <w:tcW w:w="4535" w:type="dxa"/>
            <w:vAlign w:val="center"/>
          </w:tcPr>
          <w:p w14:paraId="63BA980E">
            <w:pPr>
              <w:pStyle w:val="12"/>
            </w:pPr>
            <w:r>
              <w:t>二十一、粮油物资储备支出</w:t>
            </w:r>
          </w:p>
        </w:tc>
        <w:tc>
          <w:tcPr>
            <w:tcW w:w="2126" w:type="dxa"/>
            <w:vAlign w:val="center"/>
          </w:tcPr>
          <w:p w14:paraId="75E60E87">
            <w:pPr>
              <w:pStyle w:val="11"/>
            </w:pPr>
          </w:p>
        </w:tc>
      </w:tr>
      <w:tr w14:paraId="7BD6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5DD58">
            <w:pPr>
              <w:pStyle w:val="13"/>
            </w:pPr>
            <w:r>
              <w:t>22</w:t>
            </w:r>
          </w:p>
        </w:tc>
        <w:tc>
          <w:tcPr>
            <w:tcW w:w="4535" w:type="dxa"/>
            <w:vAlign w:val="center"/>
          </w:tcPr>
          <w:p w14:paraId="38A646EE">
            <w:pPr>
              <w:pStyle w:val="12"/>
            </w:pPr>
          </w:p>
        </w:tc>
        <w:tc>
          <w:tcPr>
            <w:tcW w:w="2126" w:type="dxa"/>
            <w:vAlign w:val="center"/>
          </w:tcPr>
          <w:p w14:paraId="32D7EE10">
            <w:pPr>
              <w:pStyle w:val="11"/>
            </w:pPr>
          </w:p>
        </w:tc>
        <w:tc>
          <w:tcPr>
            <w:tcW w:w="4535" w:type="dxa"/>
            <w:vAlign w:val="center"/>
          </w:tcPr>
          <w:p w14:paraId="3A9B463B">
            <w:pPr>
              <w:pStyle w:val="12"/>
            </w:pPr>
            <w:r>
              <w:t>二十二、国有资本经营预算支出</w:t>
            </w:r>
          </w:p>
        </w:tc>
        <w:tc>
          <w:tcPr>
            <w:tcW w:w="2126" w:type="dxa"/>
            <w:vAlign w:val="center"/>
          </w:tcPr>
          <w:p w14:paraId="6CB12859">
            <w:pPr>
              <w:pStyle w:val="11"/>
            </w:pPr>
          </w:p>
        </w:tc>
      </w:tr>
      <w:tr w14:paraId="6149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184D">
            <w:pPr>
              <w:pStyle w:val="13"/>
            </w:pPr>
            <w:r>
              <w:t>23</w:t>
            </w:r>
          </w:p>
        </w:tc>
        <w:tc>
          <w:tcPr>
            <w:tcW w:w="4535" w:type="dxa"/>
            <w:vAlign w:val="center"/>
          </w:tcPr>
          <w:p w14:paraId="69849AFD">
            <w:pPr>
              <w:pStyle w:val="12"/>
            </w:pPr>
          </w:p>
        </w:tc>
        <w:tc>
          <w:tcPr>
            <w:tcW w:w="2126" w:type="dxa"/>
            <w:vAlign w:val="center"/>
          </w:tcPr>
          <w:p w14:paraId="78DA8B9D">
            <w:pPr>
              <w:pStyle w:val="11"/>
            </w:pPr>
          </w:p>
        </w:tc>
        <w:tc>
          <w:tcPr>
            <w:tcW w:w="4535" w:type="dxa"/>
            <w:vAlign w:val="center"/>
          </w:tcPr>
          <w:p w14:paraId="12DEC13A">
            <w:pPr>
              <w:pStyle w:val="12"/>
            </w:pPr>
            <w:r>
              <w:t>二十三、灾害防治及应急管理支出</w:t>
            </w:r>
          </w:p>
        </w:tc>
        <w:tc>
          <w:tcPr>
            <w:tcW w:w="2126" w:type="dxa"/>
            <w:vAlign w:val="center"/>
          </w:tcPr>
          <w:p w14:paraId="0ECB7D31">
            <w:pPr>
              <w:pStyle w:val="11"/>
            </w:pPr>
          </w:p>
        </w:tc>
      </w:tr>
      <w:tr w14:paraId="6668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ABC0">
            <w:pPr>
              <w:pStyle w:val="13"/>
            </w:pPr>
            <w:r>
              <w:t>24</w:t>
            </w:r>
          </w:p>
        </w:tc>
        <w:tc>
          <w:tcPr>
            <w:tcW w:w="4535" w:type="dxa"/>
            <w:vAlign w:val="center"/>
          </w:tcPr>
          <w:p w14:paraId="6B2F23E1">
            <w:pPr>
              <w:pStyle w:val="12"/>
            </w:pPr>
          </w:p>
        </w:tc>
        <w:tc>
          <w:tcPr>
            <w:tcW w:w="2126" w:type="dxa"/>
            <w:vAlign w:val="center"/>
          </w:tcPr>
          <w:p w14:paraId="451694CC">
            <w:pPr>
              <w:pStyle w:val="11"/>
            </w:pPr>
          </w:p>
        </w:tc>
        <w:tc>
          <w:tcPr>
            <w:tcW w:w="4535" w:type="dxa"/>
            <w:vAlign w:val="center"/>
          </w:tcPr>
          <w:p w14:paraId="55DCC575">
            <w:pPr>
              <w:pStyle w:val="12"/>
            </w:pPr>
            <w:r>
              <w:t>二十四、预备费</w:t>
            </w:r>
          </w:p>
        </w:tc>
        <w:tc>
          <w:tcPr>
            <w:tcW w:w="2126" w:type="dxa"/>
            <w:vAlign w:val="center"/>
          </w:tcPr>
          <w:p w14:paraId="0F85AFB7">
            <w:pPr>
              <w:pStyle w:val="11"/>
            </w:pPr>
          </w:p>
        </w:tc>
      </w:tr>
      <w:tr w14:paraId="7EAA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B801">
            <w:pPr>
              <w:pStyle w:val="13"/>
            </w:pPr>
            <w:r>
              <w:t>25</w:t>
            </w:r>
          </w:p>
        </w:tc>
        <w:tc>
          <w:tcPr>
            <w:tcW w:w="4535" w:type="dxa"/>
            <w:vAlign w:val="center"/>
          </w:tcPr>
          <w:p w14:paraId="4A756AA3">
            <w:pPr>
              <w:pStyle w:val="12"/>
            </w:pPr>
          </w:p>
        </w:tc>
        <w:tc>
          <w:tcPr>
            <w:tcW w:w="2126" w:type="dxa"/>
            <w:vAlign w:val="center"/>
          </w:tcPr>
          <w:p w14:paraId="75C5DB93">
            <w:pPr>
              <w:pStyle w:val="11"/>
            </w:pPr>
          </w:p>
        </w:tc>
        <w:tc>
          <w:tcPr>
            <w:tcW w:w="4535" w:type="dxa"/>
            <w:vAlign w:val="center"/>
          </w:tcPr>
          <w:p w14:paraId="306D1361">
            <w:pPr>
              <w:pStyle w:val="12"/>
            </w:pPr>
            <w:r>
              <w:t>二十五、其他支出</w:t>
            </w:r>
          </w:p>
        </w:tc>
        <w:tc>
          <w:tcPr>
            <w:tcW w:w="2126" w:type="dxa"/>
            <w:vAlign w:val="center"/>
          </w:tcPr>
          <w:p w14:paraId="79A006A3">
            <w:pPr>
              <w:pStyle w:val="11"/>
            </w:pPr>
          </w:p>
        </w:tc>
      </w:tr>
      <w:tr w14:paraId="0860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C197F">
            <w:pPr>
              <w:pStyle w:val="13"/>
            </w:pPr>
            <w:r>
              <w:t>26</w:t>
            </w:r>
          </w:p>
        </w:tc>
        <w:tc>
          <w:tcPr>
            <w:tcW w:w="4535" w:type="dxa"/>
            <w:vAlign w:val="center"/>
          </w:tcPr>
          <w:p w14:paraId="0D9E592E">
            <w:pPr>
              <w:pStyle w:val="12"/>
            </w:pPr>
          </w:p>
        </w:tc>
        <w:tc>
          <w:tcPr>
            <w:tcW w:w="2126" w:type="dxa"/>
            <w:vAlign w:val="center"/>
          </w:tcPr>
          <w:p w14:paraId="04314A64">
            <w:pPr>
              <w:pStyle w:val="11"/>
            </w:pPr>
          </w:p>
        </w:tc>
        <w:tc>
          <w:tcPr>
            <w:tcW w:w="4535" w:type="dxa"/>
            <w:vAlign w:val="center"/>
          </w:tcPr>
          <w:p w14:paraId="7E5A274A">
            <w:pPr>
              <w:pStyle w:val="12"/>
            </w:pPr>
            <w:r>
              <w:t>二十六、转移性支出</w:t>
            </w:r>
          </w:p>
        </w:tc>
        <w:tc>
          <w:tcPr>
            <w:tcW w:w="2126" w:type="dxa"/>
            <w:vAlign w:val="center"/>
          </w:tcPr>
          <w:p w14:paraId="48B62A8C">
            <w:pPr>
              <w:pStyle w:val="11"/>
            </w:pPr>
          </w:p>
        </w:tc>
      </w:tr>
      <w:tr w14:paraId="0300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EE394">
            <w:pPr>
              <w:pStyle w:val="13"/>
            </w:pPr>
            <w:r>
              <w:t>27</w:t>
            </w:r>
          </w:p>
        </w:tc>
        <w:tc>
          <w:tcPr>
            <w:tcW w:w="4535" w:type="dxa"/>
            <w:vAlign w:val="center"/>
          </w:tcPr>
          <w:p w14:paraId="4CF5E2DC">
            <w:pPr>
              <w:pStyle w:val="12"/>
            </w:pPr>
          </w:p>
        </w:tc>
        <w:tc>
          <w:tcPr>
            <w:tcW w:w="2126" w:type="dxa"/>
            <w:vAlign w:val="center"/>
          </w:tcPr>
          <w:p w14:paraId="5AD77D6C">
            <w:pPr>
              <w:pStyle w:val="11"/>
            </w:pPr>
          </w:p>
        </w:tc>
        <w:tc>
          <w:tcPr>
            <w:tcW w:w="4535" w:type="dxa"/>
            <w:vAlign w:val="center"/>
          </w:tcPr>
          <w:p w14:paraId="75F4FEEC">
            <w:pPr>
              <w:pStyle w:val="12"/>
            </w:pPr>
            <w:r>
              <w:t>二十七、债务还本支出</w:t>
            </w:r>
          </w:p>
        </w:tc>
        <w:tc>
          <w:tcPr>
            <w:tcW w:w="2126" w:type="dxa"/>
            <w:vAlign w:val="center"/>
          </w:tcPr>
          <w:p w14:paraId="02E4F7E1">
            <w:pPr>
              <w:pStyle w:val="11"/>
            </w:pPr>
          </w:p>
        </w:tc>
      </w:tr>
      <w:tr w14:paraId="0619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01B2">
            <w:pPr>
              <w:pStyle w:val="13"/>
            </w:pPr>
            <w:r>
              <w:t>28</w:t>
            </w:r>
          </w:p>
        </w:tc>
        <w:tc>
          <w:tcPr>
            <w:tcW w:w="4535" w:type="dxa"/>
            <w:vAlign w:val="center"/>
          </w:tcPr>
          <w:p w14:paraId="176AAF4E">
            <w:pPr>
              <w:pStyle w:val="12"/>
            </w:pPr>
          </w:p>
        </w:tc>
        <w:tc>
          <w:tcPr>
            <w:tcW w:w="2126" w:type="dxa"/>
            <w:vAlign w:val="center"/>
          </w:tcPr>
          <w:p w14:paraId="037B41D3">
            <w:pPr>
              <w:pStyle w:val="11"/>
            </w:pPr>
          </w:p>
        </w:tc>
        <w:tc>
          <w:tcPr>
            <w:tcW w:w="4535" w:type="dxa"/>
            <w:vAlign w:val="center"/>
          </w:tcPr>
          <w:p w14:paraId="4647A3A5">
            <w:pPr>
              <w:pStyle w:val="12"/>
            </w:pPr>
            <w:r>
              <w:t>二十八、债务付息支出</w:t>
            </w:r>
          </w:p>
        </w:tc>
        <w:tc>
          <w:tcPr>
            <w:tcW w:w="2126" w:type="dxa"/>
            <w:vAlign w:val="center"/>
          </w:tcPr>
          <w:p w14:paraId="21D6F751">
            <w:pPr>
              <w:pStyle w:val="11"/>
            </w:pPr>
          </w:p>
        </w:tc>
      </w:tr>
      <w:tr w14:paraId="41CC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1FB1">
            <w:pPr>
              <w:pStyle w:val="13"/>
            </w:pPr>
            <w:r>
              <w:t>29</w:t>
            </w:r>
          </w:p>
        </w:tc>
        <w:tc>
          <w:tcPr>
            <w:tcW w:w="4535" w:type="dxa"/>
            <w:vAlign w:val="center"/>
          </w:tcPr>
          <w:p w14:paraId="2C4E7ECC">
            <w:pPr>
              <w:pStyle w:val="12"/>
            </w:pPr>
          </w:p>
        </w:tc>
        <w:tc>
          <w:tcPr>
            <w:tcW w:w="2126" w:type="dxa"/>
            <w:vAlign w:val="center"/>
          </w:tcPr>
          <w:p w14:paraId="1CA6A88C">
            <w:pPr>
              <w:pStyle w:val="11"/>
            </w:pPr>
          </w:p>
        </w:tc>
        <w:tc>
          <w:tcPr>
            <w:tcW w:w="4535" w:type="dxa"/>
            <w:vAlign w:val="center"/>
          </w:tcPr>
          <w:p w14:paraId="503529BF">
            <w:pPr>
              <w:pStyle w:val="12"/>
            </w:pPr>
            <w:r>
              <w:t>二十九、债务发行费用支出</w:t>
            </w:r>
          </w:p>
        </w:tc>
        <w:tc>
          <w:tcPr>
            <w:tcW w:w="2126" w:type="dxa"/>
            <w:vAlign w:val="center"/>
          </w:tcPr>
          <w:p w14:paraId="507E420E">
            <w:pPr>
              <w:pStyle w:val="11"/>
            </w:pPr>
          </w:p>
        </w:tc>
      </w:tr>
      <w:tr w14:paraId="7DB39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9F5F5">
            <w:pPr>
              <w:pStyle w:val="13"/>
            </w:pPr>
            <w:r>
              <w:t>30</w:t>
            </w:r>
          </w:p>
        </w:tc>
        <w:tc>
          <w:tcPr>
            <w:tcW w:w="4535" w:type="dxa"/>
            <w:vAlign w:val="center"/>
          </w:tcPr>
          <w:p w14:paraId="00B09179">
            <w:pPr>
              <w:pStyle w:val="12"/>
            </w:pPr>
          </w:p>
        </w:tc>
        <w:tc>
          <w:tcPr>
            <w:tcW w:w="2126" w:type="dxa"/>
            <w:vAlign w:val="center"/>
          </w:tcPr>
          <w:p w14:paraId="28015948">
            <w:pPr>
              <w:pStyle w:val="11"/>
            </w:pPr>
          </w:p>
        </w:tc>
        <w:tc>
          <w:tcPr>
            <w:tcW w:w="4535" w:type="dxa"/>
            <w:vAlign w:val="center"/>
          </w:tcPr>
          <w:p w14:paraId="3C79ACB8">
            <w:pPr>
              <w:pStyle w:val="12"/>
            </w:pPr>
            <w:r>
              <w:t>三十、抗疫特别国债安排的支出</w:t>
            </w:r>
          </w:p>
        </w:tc>
        <w:tc>
          <w:tcPr>
            <w:tcW w:w="2126" w:type="dxa"/>
            <w:vAlign w:val="center"/>
          </w:tcPr>
          <w:p w14:paraId="79836216">
            <w:pPr>
              <w:pStyle w:val="11"/>
            </w:pPr>
          </w:p>
        </w:tc>
      </w:tr>
      <w:tr w14:paraId="39AF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E0BAA">
            <w:pPr>
              <w:pStyle w:val="13"/>
            </w:pPr>
            <w:r>
              <w:t>31</w:t>
            </w:r>
          </w:p>
        </w:tc>
        <w:tc>
          <w:tcPr>
            <w:tcW w:w="4535" w:type="dxa"/>
            <w:vAlign w:val="center"/>
          </w:tcPr>
          <w:p w14:paraId="3D0C8BCE">
            <w:pPr>
              <w:pStyle w:val="14"/>
            </w:pPr>
            <w:r>
              <w:t>本年收入合计</w:t>
            </w:r>
          </w:p>
        </w:tc>
        <w:tc>
          <w:tcPr>
            <w:tcW w:w="2126" w:type="dxa"/>
            <w:vAlign w:val="center"/>
          </w:tcPr>
          <w:p w14:paraId="24E2053E">
            <w:pPr>
              <w:pStyle w:val="15"/>
            </w:pPr>
            <w:r>
              <w:t>2942.65</w:t>
            </w:r>
          </w:p>
        </w:tc>
        <w:tc>
          <w:tcPr>
            <w:tcW w:w="4535" w:type="dxa"/>
            <w:vAlign w:val="center"/>
          </w:tcPr>
          <w:p w14:paraId="1E5BE085">
            <w:pPr>
              <w:pStyle w:val="14"/>
            </w:pPr>
            <w:r>
              <w:t>本年支出合计</w:t>
            </w:r>
          </w:p>
        </w:tc>
        <w:tc>
          <w:tcPr>
            <w:tcW w:w="2126" w:type="dxa"/>
            <w:vAlign w:val="center"/>
          </w:tcPr>
          <w:p w14:paraId="4506EACA">
            <w:pPr>
              <w:pStyle w:val="15"/>
            </w:pPr>
            <w:r>
              <w:t>2942.65</w:t>
            </w:r>
          </w:p>
        </w:tc>
      </w:tr>
      <w:tr w14:paraId="129D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0121">
            <w:pPr>
              <w:pStyle w:val="13"/>
            </w:pPr>
            <w:r>
              <w:t>32</w:t>
            </w:r>
          </w:p>
        </w:tc>
        <w:tc>
          <w:tcPr>
            <w:tcW w:w="4535" w:type="dxa"/>
            <w:vAlign w:val="center"/>
          </w:tcPr>
          <w:p w14:paraId="28F53A36">
            <w:pPr>
              <w:pStyle w:val="12"/>
            </w:pPr>
            <w:r>
              <w:t>上年结转结余</w:t>
            </w:r>
          </w:p>
        </w:tc>
        <w:tc>
          <w:tcPr>
            <w:tcW w:w="2126" w:type="dxa"/>
            <w:vAlign w:val="center"/>
          </w:tcPr>
          <w:p w14:paraId="77289C20">
            <w:pPr>
              <w:pStyle w:val="11"/>
            </w:pPr>
          </w:p>
        </w:tc>
        <w:tc>
          <w:tcPr>
            <w:tcW w:w="4535" w:type="dxa"/>
            <w:vAlign w:val="center"/>
          </w:tcPr>
          <w:p w14:paraId="46982123">
            <w:pPr>
              <w:pStyle w:val="12"/>
            </w:pPr>
            <w:r>
              <w:t>年终结转结余</w:t>
            </w:r>
          </w:p>
        </w:tc>
        <w:tc>
          <w:tcPr>
            <w:tcW w:w="2126" w:type="dxa"/>
            <w:vAlign w:val="center"/>
          </w:tcPr>
          <w:p w14:paraId="11BD2355">
            <w:pPr>
              <w:pStyle w:val="11"/>
            </w:pPr>
          </w:p>
        </w:tc>
      </w:tr>
      <w:tr w14:paraId="1FCF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98D35">
            <w:pPr>
              <w:pStyle w:val="13"/>
            </w:pPr>
            <w:r>
              <w:t>33</w:t>
            </w:r>
          </w:p>
        </w:tc>
        <w:tc>
          <w:tcPr>
            <w:tcW w:w="4535" w:type="dxa"/>
            <w:vAlign w:val="center"/>
          </w:tcPr>
          <w:p w14:paraId="7BC54D15">
            <w:pPr>
              <w:pStyle w:val="14"/>
            </w:pPr>
            <w:r>
              <w:t>收入总计</w:t>
            </w:r>
          </w:p>
        </w:tc>
        <w:tc>
          <w:tcPr>
            <w:tcW w:w="2126" w:type="dxa"/>
            <w:vAlign w:val="center"/>
          </w:tcPr>
          <w:p w14:paraId="4F03BC82">
            <w:pPr>
              <w:pStyle w:val="15"/>
            </w:pPr>
            <w:r>
              <w:t>2942.65</w:t>
            </w:r>
          </w:p>
        </w:tc>
        <w:tc>
          <w:tcPr>
            <w:tcW w:w="4535" w:type="dxa"/>
            <w:vAlign w:val="center"/>
          </w:tcPr>
          <w:p w14:paraId="4DC9CD3A">
            <w:pPr>
              <w:pStyle w:val="14"/>
            </w:pPr>
            <w:r>
              <w:t>支出总计</w:t>
            </w:r>
          </w:p>
        </w:tc>
        <w:tc>
          <w:tcPr>
            <w:tcW w:w="2126" w:type="dxa"/>
            <w:vAlign w:val="center"/>
          </w:tcPr>
          <w:p w14:paraId="48A59D2E">
            <w:pPr>
              <w:pStyle w:val="15"/>
            </w:pPr>
            <w:r>
              <w:t>2942.65</w:t>
            </w:r>
          </w:p>
        </w:tc>
      </w:tr>
    </w:tbl>
    <w:p w14:paraId="1FCC4737">
      <w:pPr>
        <w:sectPr>
          <w:pgSz w:w="16840" w:h="11900" w:orient="landscape"/>
          <w:pgMar w:top="1361" w:right="1020" w:bottom="1134" w:left="1020" w:header="720" w:footer="720" w:gutter="0"/>
          <w:cols w:space="720" w:num="1"/>
        </w:sectPr>
      </w:pPr>
    </w:p>
    <w:p w14:paraId="734547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0E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926064">
            <w:pPr>
              <w:pStyle w:val="9"/>
            </w:pPr>
            <w:r>
              <w:t>360021隆尧县山口校区</w:t>
            </w:r>
          </w:p>
        </w:tc>
        <w:tc>
          <w:tcPr>
            <w:tcW w:w="3402" w:type="dxa"/>
            <w:gridSpan w:val="3"/>
            <w:tcBorders>
              <w:top w:val="single" w:color="FFFFFF" w:sz="6" w:space="0"/>
              <w:left w:val="single" w:color="FFFFFF" w:sz="6" w:space="0"/>
              <w:right w:val="single" w:color="FFFFFF" w:sz="6" w:space="0"/>
            </w:tcBorders>
            <w:vAlign w:val="center"/>
          </w:tcPr>
          <w:p w14:paraId="5D545B5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17AA52E">
            <w:pPr>
              <w:pStyle w:val="7"/>
            </w:pPr>
            <w:r>
              <w:t>单位：万元</w:t>
            </w:r>
          </w:p>
        </w:tc>
      </w:tr>
      <w:tr w14:paraId="1F86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00D147">
            <w:pPr>
              <w:pStyle w:val="10"/>
            </w:pPr>
            <w:r>
              <w:t>序号</w:t>
            </w:r>
          </w:p>
        </w:tc>
        <w:tc>
          <w:tcPr>
            <w:tcW w:w="2551" w:type="dxa"/>
            <w:gridSpan w:val="2"/>
            <w:vAlign w:val="center"/>
          </w:tcPr>
          <w:p w14:paraId="2174A526">
            <w:pPr>
              <w:pStyle w:val="10"/>
            </w:pPr>
            <w:r>
              <w:t>功能分类科目</w:t>
            </w:r>
          </w:p>
        </w:tc>
        <w:tc>
          <w:tcPr>
            <w:tcW w:w="1134" w:type="dxa"/>
            <w:vMerge w:val="restart"/>
            <w:vAlign w:val="center"/>
          </w:tcPr>
          <w:p w14:paraId="6CDBE79A">
            <w:pPr>
              <w:pStyle w:val="10"/>
            </w:pPr>
            <w:r>
              <w:t>合计</w:t>
            </w:r>
          </w:p>
        </w:tc>
        <w:tc>
          <w:tcPr>
            <w:tcW w:w="9072" w:type="dxa"/>
            <w:gridSpan w:val="8"/>
            <w:vAlign w:val="center"/>
          </w:tcPr>
          <w:p w14:paraId="1FE42526">
            <w:pPr>
              <w:pStyle w:val="10"/>
            </w:pPr>
            <w:r>
              <w:t>本年收入</w:t>
            </w:r>
          </w:p>
        </w:tc>
        <w:tc>
          <w:tcPr>
            <w:tcW w:w="1134" w:type="dxa"/>
            <w:vMerge w:val="restart"/>
            <w:vAlign w:val="center"/>
          </w:tcPr>
          <w:p w14:paraId="37A9FFCF">
            <w:pPr>
              <w:pStyle w:val="10"/>
            </w:pPr>
            <w:r>
              <w:t>上年结转</w:t>
            </w:r>
          </w:p>
        </w:tc>
      </w:tr>
      <w:tr w14:paraId="4C94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382516"/>
        </w:tc>
        <w:tc>
          <w:tcPr>
            <w:tcW w:w="992" w:type="dxa"/>
            <w:vAlign w:val="center"/>
          </w:tcPr>
          <w:p w14:paraId="17AE1372">
            <w:pPr>
              <w:pStyle w:val="10"/>
            </w:pPr>
            <w:r>
              <w:t>科目    编码</w:t>
            </w:r>
          </w:p>
        </w:tc>
        <w:tc>
          <w:tcPr>
            <w:tcW w:w="1559" w:type="dxa"/>
            <w:vAlign w:val="center"/>
          </w:tcPr>
          <w:p w14:paraId="52918485">
            <w:pPr>
              <w:pStyle w:val="10"/>
            </w:pPr>
            <w:r>
              <w:t>科目名称</w:t>
            </w:r>
          </w:p>
        </w:tc>
        <w:tc>
          <w:tcPr>
            <w:tcW w:w="1134" w:type="dxa"/>
            <w:vMerge w:val="continue"/>
          </w:tcPr>
          <w:p w14:paraId="4A75826E"/>
        </w:tc>
        <w:tc>
          <w:tcPr>
            <w:tcW w:w="1134" w:type="dxa"/>
            <w:vAlign w:val="center"/>
          </w:tcPr>
          <w:p w14:paraId="1CB8C9EA">
            <w:pPr>
              <w:pStyle w:val="10"/>
            </w:pPr>
            <w:r>
              <w:t>小计</w:t>
            </w:r>
          </w:p>
        </w:tc>
        <w:tc>
          <w:tcPr>
            <w:tcW w:w="1134" w:type="dxa"/>
            <w:vAlign w:val="center"/>
          </w:tcPr>
          <w:p w14:paraId="79C9F8D5">
            <w:pPr>
              <w:pStyle w:val="10"/>
            </w:pPr>
            <w:r>
              <w:t>财政拨款 收入</w:t>
            </w:r>
          </w:p>
        </w:tc>
        <w:tc>
          <w:tcPr>
            <w:tcW w:w="1134" w:type="dxa"/>
            <w:vAlign w:val="center"/>
          </w:tcPr>
          <w:p w14:paraId="18F71CDF">
            <w:pPr>
              <w:pStyle w:val="10"/>
            </w:pPr>
            <w:r>
              <w:t>财政专户 收入</w:t>
            </w:r>
          </w:p>
        </w:tc>
        <w:tc>
          <w:tcPr>
            <w:tcW w:w="1134" w:type="dxa"/>
            <w:vAlign w:val="center"/>
          </w:tcPr>
          <w:p w14:paraId="42651D58">
            <w:pPr>
              <w:pStyle w:val="10"/>
            </w:pPr>
            <w:r>
              <w:t>事业收入</w:t>
            </w:r>
          </w:p>
        </w:tc>
        <w:tc>
          <w:tcPr>
            <w:tcW w:w="1134" w:type="dxa"/>
            <w:vAlign w:val="center"/>
          </w:tcPr>
          <w:p w14:paraId="7FA7579A">
            <w:pPr>
              <w:pStyle w:val="10"/>
            </w:pPr>
            <w:r>
              <w:t>经营收入</w:t>
            </w:r>
          </w:p>
        </w:tc>
        <w:tc>
          <w:tcPr>
            <w:tcW w:w="1134" w:type="dxa"/>
            <w:vAlign w:val="center"/>
          </w:tcPr>
          <w:p w14:paraId="4B509918">
            <w:pPr>
              <w:pStyle w:val="10"/>
            </w:pPr>
            <w:r>
              <w:t>上级补助收入</w:t>
            </w:r>
          </w:p>
        </w:tc>
        <w:tc>
          <w:tcPr>
            <w:tcW w:w="1134" w:type="dxa"/>
            <w:vAlign w:val="center"/>
          </w:tcPr>
          <w:p w14:paraId="49ABE5DA">
            <w:pPr>
              <w:pStyle w:val="10"/>
            </w:pPr>
            <w:r>
              <w:t>附属单位上缴收入</w:t>
            </w:r>
          </w:p>
        </w:tc>
        <w:tc>
          <w:tcPr>
            <w:tcW w:w="1134" w:type="dxa"/>
            <w:vAlign w:val="center"/>
          </w:tcPr>
          <w:p w14:paraId="4242278A">
            <w:pPr>
              <w:pStyle w:val="10"/>
            </w:pPr>
            <w:r>
              <w:t>其他收入</w:t>
            </w:r>
          </w:p>
        </w:tc>
        <w:tc>
          <w:tcPr>
            <w:tcW w:w="1134" w:type="dxa"/>
            <w:vMerge w:val="continue"/>
          </w:tcPr>
          <w:p w14:paraId="65667BEC"/>
        </w:tc>
      </w:tr>
      <w:tr w14:paraId="09285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32D280">
            <w:pPr>
              <w:pStyle w:val="10"/>
            </w:pPr>
            <w:r>
              <w:t>栏次</w:t>
            </w:r>
          </w:p>
        </w:tc>
        <w:tc>
          <w:tcPr>
            <w:tcW w:w="992" w:type="dxa"/>
            <w:vAlign w:val="center"/>
          </w:tcPr>
          <w:p w14:paraId="4E105997">
            <w:pPr>
              <w:pStyle w:val="10"/>
            </w:pPr>
            <w:r>
              <w:t>1</w:t>
            </w:r>
          </w:p>
        </w:tc>
        <w:tc>
          <w:tcPr>
            <w:tcW w:w="1559" w:type="dxa"/>
            <w:vAlign w:val="center"/>
          </w:tcPr>
          <w:p w14:paraId="1A41A3E6">
            <w:pPr>
              <w:pStyle w:val="10"/>
            </w:pPr>
            <w:r>
              <w:t>2</w:t>
            </w:r>
          </w:p>
        </w:tc>
        <w:tc>
          <w:tcPr>
            <w:tcW w:w="1134" w:type="dxa"/>
            <w:vAlign w:val="center"/>
          </w:tcPr>
          <w:p w14:paraId="0AD46293">
            <w:pPr>
              <w:pStyle w:val="10"/>
            </w:pPr>
            <w:r>
              <w:t>3</w:t>
            </w:r>
          </w:p>
        </w:tc>
        <w:tc>
          <w:tcPr>
            <w:tcW w:w="1134" w:type="dxa"/>
            <w:vAlign w:val="center"/>
          </w:tcPr>
          <w:p w14:paraId="7A2D31BA">
            <w:pPr>
              <w:pStyle w:val="10"/>
            </w:pPr>
            <w:r>
              <w:t>4</w:t>
            </w:r>
          </w:p>
        </w:tc>
        <w:tc>
          <w:tcPr>
            <w:tcW w:w="1134" w:type="dxa"/>
            <w:vAlign w:val="center"/>
          </w:tcPr>
          <w:p w14:paraId="0A678269">
            <w:pPr>
              <w:pStyle w:val="10"/>
            </w:pPr>
            <w:r>
              <w:t>5</w:t>
            </w:r>
          </w:p>
        </w:tc>
        <w:tc>
          <w:tcPr>
            <w:tcW w:w="1134" w:type="dxa"/>
            <w:vAlign w:val="center"/>
          </w:tcPr>
          <w:p w14:paraId="1FEB7781">
            <w:pPr>
              <w:pStyle w:val="10"/>
            </w:pPr>
            <w:r>
              <w:t>6</w:t>
            </w:r>
          </w:p>
        </w:tc>
        <w:tc>
          <w:tcPr>
            <w:tcW w:w="1134" w:type="dxa"/>
            <w:vAlign w:val="center"/>
          </w:tcPr>
          <w:p w14:paraId="6CD51DAD">
            <w:pPr>
              <w:pStyle w:val="10"/>
            </w:pPr>
            <w:r>
              <w:t>7</w:t>
            </w:r>
          </w:p>
        </w:tc>
        <w:tc>
          <w:tcPr>
            <w:tcW w:w="1134" w:type="dxa"/>
            <w:vAlign w:val="center"/>
          </w:tcPr>
          <w:p w14:paraId="2D9E7E2E">
            <w:pPr>
              <w:pStyle w:val="10"/>
            </w:pPr>
            <w:r>
              <w:t>8</w:t>
            </w:r>
          </w:p>
        </w:tc>
        <w:tc>
          <w:tcPr>
            <w:tcW w:w="1134" w:type="dxa"/>
            <w:vAlign w:val="center"/>
          </w:tcPr>
          <w:p w14:paraId="0472919A">
            <w:pPr>
              <w:pStyle w:val="10"/>
            </w:pPr>
            <w:r>
              <w:t>9</w:t>
            </w:r>
          </w:p>
        </w:tc>
        <w:tc>
          <w:tcPr>
            <w:tcW w:w="1134" w:type="dxa"/>
            <w:vAlign w:val="center"/>
          </w:tcPr>
          <w:p w14:paraId="572D9144">
            <w:pPr>
              <w:pStyle w:val="10"/>
            </w:pPr>
            <w:r>
              <w:t>10</w:t>
            </w:r>
          </w:p>
        </w:tc>
        <w:tc>
          <w:tcPr>
            <w:tcW w:w="1134" w:type="dxa"/>
            <w:vAlign w:val="center"/>
          </w:tcPr>
          <w:p w14:paraId="1168E725">
            <w:pPr>
              <w:pStyle w:val="10"/>
            </w:pPr>
            <w:r>
              <w:t>11</w:t>
            </w:r>
          </w:p>
        </w:tc>
        <w:tc>
          <w:tcPr>
            <w:tcW w:w="1134" w:type="dxa"/>
            <w:vAlign w:val="center"/>
          </w:tcPr>
          <w:p w14:paraId="6E007CE2">
            <w:pPr>
              <w:pStyle w:val="10"/>
            </w:pPr>
            <w:r>
              <w:t>12</w:t>
            </w:r>
          </w:p>
        </w:tc>
      </w:tr>
      <w:tr w14:paraId="41DEE9A1">
        <w:tblPrEx>
          <w:tblCellMar>
            <w:top w:w="0" w:type="dxa"/>
            <w:left w:w="108" w:type="dxa"/>
            <w:bottom w:w="0" w:type="dxa"/>
            <w:right w:w="108" w:type="dxa"/>
          </w:tblCellMar>
        </w:tblPrEx>
        <w:trPr>
          <w:trHeight w:val="369" w:hRule="atLeast"/>
          <w:jc w:val="center"/>
        </w:trPr>
        <w:tc>
          <w:tcPr>
            <w:tcW w:w="680" w:type="dxa"/>
            <w:vAlign w:val="center"/>
          </w:tcPr>
          <w:p w14:paraId="79EB9BCD">
            <w:pPr>
              <w:pStyle w:val="13"/>
            </w:pPr>
            <w:r>
              <w:t>1</w:t>
            </w:r>
          </w:p>
        </w:tc>
        <w:tc>
          <w:tcPr>
            <w:tcW w:w="992" w:type="dxa"/>
            <w:vAlign w:val="center"/>
          </w:tcPr>
          <w:p w14:paraId="33E4AFAD">
            <w:pPr>
              <w:pStyle w:val="16"/>
            </w:pPr>
          </w:p>
        </w:tc>
        <w:tc>
          <w:tcPr>
            <w:tcW w:w="1559" w:type="dxa"/>
            <w:vAlign w:val="center"/>
          </w:tcPr>
          <w:p w14:paraId="2CA21103">
            <w:pPr>
              <w:pStyle w:val="14"/>
            </w:pPr>
            <w:r>
              <w:t>合计</w:t>
            </w:r>
          </w:p>
        </w:tc>
        <w:tc>
          <w:tcPr>
            <w:tcW w:w="1134" w:type="dxa"/>
            <w:vAlign w:val="center"/>
          </w:tcPr>
          <w:p w14:paraId="3851755F">
            <w:pPr>
              <w:pStyle w:val="15"/>
            </w:pPr>
            <w:r>
              <w:t>2942.65</w:t>
            </w:r>
          </w:p>
        </w:tc>
        <w:tc>
          <w:tcPr>
            <w:tcW w:w="1134" w:type="dxa"/>
            <w:vAlign w:val="center"/>
          </w:tcPr>
          <w:p w14:paraId="5294B3C7">
            <w:pPr>
              <w:pStyle w:val="15"/>
            </w:pPr>
            <w:r>
              <w:t>2942.65</w:t>
            </w:r>
          </w:p>
        </w:tc>
        <w:tc>
          <w:tcPr>
            <w:tcW w:w="1134" w:type="dxa"/>
            <w:vAlign w:val="center"/>
          </w:tcPr>
          <w:p w14:paraId="2D94E76F">
            <w:pPr>
              <w:pStyle w:val="15"/>
            </w:pPr>
            <w:r>
              <w:t>2942.65</w:t>
            </w:r>
          </w:p>
        </w:tc>
        <w:tc>
          <w:tcPr>
            <w:tcW w:w="1134" w:type="dxa"/>
            <w:vAlign w:val="center"/>
          </w:tcPr>
          <w:p w14:paraId="5E44CBF2">
            <w:pPr>
              <w:pStyle w:val="15"/>
            </w:pPr>
          </w:p>
        </w:tc>
        <w:tc>
          <w:tcPr>
            <w:tcW w:w="1134" w:type="dxa"/>
            <w:vAlign w:val="center"/>
          </w:tcPr>
          <w:p w14:paraId="3AD212A5">
            <w:pPr>
              <w:pStyle w:val="15"/>
            </w:pPr>
          </w:p>
        </w:tc>
        <w:tc>
          <w:tcPr>
            <w:tcW w:w="1134" w:type="dxa"/>
            <w:vAlign w:val="center"/>
          </w:tcPr>
          <w:p w14:paraId="0F5BF17C">
            <w:pPr>
              <w:pStyle w:val="15"/>
            </w:pPr>
          </w:p>
        </w:tc>
        <w:tc>
          <w:tcPr>
            <w:tcW w:w="1134" w:type="dxa"/>
            <w:vAlign w:val="center"/>
          </w:tcPr>
          <w:p w14:paraId="66E1A0FD">
            <w:pPr>
              <w:pStyle w:val="15"/>
            </w:pPr>
          </w:p>
        </w:tc>
        <w:tc>
          <w:tcPr>
            <w:tcW w:w="1134" w:type="dxa"/>
            <w:vAlign w:val="center"/>
          </w:tcPr>
          <w:p w14:paraId="4059080E">
            <w:pPr>
              <w:pStyle w:val="15"/>
            </w:pPr>
          </w:p>
        </w:tc>
        <w:tc>
          <w:tcPr>
            <w:tcW w:w="1134" w:type="dxa"/>
            <w:vAlign w:val="center"/>
          </w:tcPr>
          <w:p w14:paraId="22F46CFF">
            <w:pPr>
              <w:pStyle w:val="15"/>
            </w:pPr>
          </w:p>
        </w:tc>
        <w:tc>
          <w:tcPr>
            <w:tcW w:w="1134" w:type="dxa"/>
            <w:vAlign w:val="center"/>
          </w:tcPr>
          <w:p w14:paraId="76F1929F">
            <w:pPr>
              <w:pStyle w:val="15"/>
            </w:pPr>
          </w:p>
        </w:tc>
      </w:tr>
      <w:tr w14:paraId="6F3F6435">
        <w:tblPrEx>
          <w:tblCellMar>
            <w:top w:w="0" w:type="dxa"/>
            <w:left w:w="108" w:type="dxa"/>
            <w:bottom w:w="0" w:type="dxa"/>
            <w:right w:w="108" w:type="dxa"/>
          </w:tblCellMar>
        </w:tblPrEx>
        <w:trPr>
          <w:trHeight w:val="369" w:hRule="atLeast"/>
          <w:jc w:val="center"/>
        </w:trPr>
        <w:tc>
          <w:tcPr>
            <w:tcW w:w="680" w:type="dxa"/>
            <w:vAlign w:val="center"/>
          </w:tcPr>
          <w:p w14:paraId="1B566926">
            <w:pPr>
              <w:pStyle w:val="13"/>
            </w:pPr>
            <w:r>
              <w:t>2</w:t>
            </w:r>
          </w:p>
        </w:tc>
        <w:tc>
          <w:tcPr>
            <w:tcW w:w="992" w:type="dxa"/>
            <w:vAlign w:val="center"/>
          </w:tcPr>
          <w:p w14:paraId="3F8CE42F">
            <w:pPr>
              <w:pStyle w:val="12"/>
            </w:pPr>
            <w:r>
              <w:t>205</w:t>
            </w:r>
          </w:p>
        </w:tc>
        <w:tc>
          <w:tcPr>
            <w:tcW w:w="1559" w:type="dxa"/>
            <w:vAlign w:val="center"/>
          </w:tcPr>
          <w:p w14:paraId="127F9BBA">
            <w:pPr>
              <w:pStyle w:val="12"/>
            </w:pPr>
            <w:r>
              <w:t>教育支出</w:t>
            </w:r>
          </w:p>
        </w:tc>
        <w:tc>
          <w:tcPr>
            <w:tcW w:w="1134" w:type="dxa"/>
            <w:vAlign w:val="center"/>
          </w:tcPr>
          <w:p w14:paraId="45D2537F">
            <w:pPr>
              <w:pStyle w:val="11"/>
            </w:pPr>
            <w:r>
              <w:t>2942.65</w:t>
            </w:r>
          </w:p>
        </w:tc>
        <w:tc>
          <w:tcPr>
            <w:tcW w:w="1134" w:type="dxa"/>
            <w:vAlign w:val="center"/>
          </w:tcPr>
          <w:p w14:paraId="126E278E">
            <w:pPr>
              <w:pStyle w:val="11"/>
            </w:pPr>
            <w:r>
              <w:t>2942.65</w:t>
            </w:r>
          </w:p>
        </w:tc>
        <w:tc>
          <w:tcPr>
            <w:tcW w:w="1134" w:type="dxa"/>
            <w:vAlign w:val="center"/>
          </w:tcPr>
          <w:p w14:paraId="587C00D6">
            <w:pPr>
              <w:pStyle w:val="11"/>
            </w:pPr>
            <w:r>
              <w:t>2942.65</w:t>
            </w:r>
          </w:p>
        </w:tc>
        <w:tc>
          <w:tcPr>
            <w:tcW w:w="1134" w:type="dxa"/>
            <w:vAlign w:val="center"/>
          </w:tcPr>
          <w:p w14:paraId="25946D25">
            <w:pPr>
              <w:pStyle w:val="11"/>
            </w:pPr>
          </w:p>
        </w:tc>
        <w:tc>
          <w:tcPr>
            <w:tcW w:w="1134" w:type="dxa"/>
            <w:vAlign w:val="center"/>
          </w:tcPr>
          <w:p w14:paraId="75AFF56B">
            <w:pPr>
              <w:pStyle w:val="11"/>
            </w:pPr>
          </w:p>
        </w:tc>
        <w:tc>
          <w:tcPr>
            <w:tcW w:w="1134" w:type="dxa"/>
            <w:vAlign w:val="center"/>
          </w:tcPr>
          <w:p w14:paraId="26143CC8">
            <w:pPr>
              <w:pStyle w:val="11"/>
            </w:pPr>
          </w:p>
        </w:tc>
        <w:tc>
          <w:tcPr>
            <w:tcW w:w="1134" w:type="dxa"/>
            <w:vAlign w:val="center"/>
          </w:tcPr>
          <w:p w14:paraId="41007A49">
            <w:pPr>
              <w:pStyle w:val="11"/>
            </w:pPr>
          </w:p>
        </w:tc>
        <w:tc>
          <w:tcPr>
            <w:tcW w:w="1134" w:type="dxa"/>
            <w:vAlign w:val="center"/>
          </w:tcPr>
          <w:p w14:paraId="2BD7F891">
            <w:pPr>
              <w:pStyle w:val="11"/>
            </w:pPr>
          </w:p>
        </w:tc>
        <w:tc>
          <w:tcPr>
            <w:tcW w:w="1134" w:type="dxa"/>
            <w:vAlign w:val="center"/>
          </w:tcPr>
          <w:p w14:paraId="725CCE13">
            <w:pPr>
              <w:pStyle w:val="11"/>
            </w:pPr>
          </w:p>
        </w:tc>
        <w:tc>
          <w:tcPr>
            <w:tcW w:w="1134" w:type="dxa"/>
            <w:vAlign w:val="center"/>
          </w:tcPr>
          <w:p w14:paraId="537A1C13">
            <w:pPr>
              <w:pStyle w:val="11"/>
            </w:pPr>
          </w:p>
        </w:tc>
      </w:tr>
      <w:tr w14:paraId="0779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E97A4">
            <w:pPr>
              <w:pStyle w:val="13"/>
            </w:pPr>
            <w:r>
              <w:t>3</w:t>
            </w:r>
          </w:p>
        </w:tc>
        <w:tc>
          <w:tcPr>
            <w:tcW w:w="992" w:type="dxa"/>
            <w:vAlign w:val="center"/>
          </w:tcPr>
          <w:p w14:paraId="4D9C3A48">
            <w:pPr>
              <w:pStyle w:val="12"/>
            </w:pPr>
            <w:r>
              <w:t>20502</w:t>
            </w:r>
          </w:p>
        </w:tc>
        <w:tc>
          <w:tcPr>
            <w:tcW w:w="1559" w:type="dxa"/>
            <w:vAlign w:val="center"/>
          </w:tcPr>
          <w:p w14:paraId="5CCE8877">
            <w:pPr>
              <w:pStyle w:val="12"/>
            </w:pPr>
            <w:r>
              <w:t>普通教育</w:t>
            </w:r>
          </w:p>
        </w:tc>
        <w:tc>
          <w:tcPr>
            <w:tcW w:w="1134" w:type="dxa"/>
            <w:vAlign w:val="center"/>
          </w:tcPr>
          <w:p w14:paraId="5210FFBF">
            <w:pPr>
              <w:pStyle w:val="11"/>
            </w:pPr>
            <w:r>
              <w:t>2942.65</w:t>
            </w:r>
          </w:p>
        </w:tc>
        <w:tc>
          <w:tcPr>
            <w:tcW w:w="1134" w:type="dxa"/>
            <w:vAlign w:val="center"/>
          </w:tcPr>
          <w:p w14:paraId="0A40859F">
            <w:pPr>
              <w:pStyle w:val="11"/>
            </w:pPr>
            <w:r>
              <w:t>2942.65</w:t>
            </w:r>
          </w:p>
        </w:tc>
        <w:tc>
          <w:tcPr>
            <w:tcW w:w="1134" w:type="dxa"/>
            <w:vAlign w:val="center"/>
          </w:tcPr>
          <w:p w14:paraId="04AC49D0">
            <w:pPr>
              <w:pStyle w:val="11"/>
            </w:pPr>
            <w:r>
              <w:t>2942.65</w:t>
            </w:r>
          </w:p>
        </w:tc>
        <w:tc>
          <w:tcPr>
            <w:tcW w:w="1134" w:type="dxa"/>
            <w:vAlign w:val="center"/>
          </w:tcPr>
          <w:p w14:paraId="50D2DAF5">
            <w:pPr>
              <w:pStyle w:val="11"/>
            </w:pPr>
          </w:p>
        </w:tc>
        <w:tc>
          <w:tcPr>
            <w:tcW w:w="1134" w:type="dxa"/>
            <w:vAlign w:val="center"/>
          </w:tcPr>
          <w:p w14:paraId="6E1F4BD6">
            <w:pPr>
              <w:pStyle w:val="11"/>
            </w:pPr>
          </w:p>
        </w:tc>
        <w:tc>
          <w:tcPr>
            <w:tcW w:w="1134" w:type="dxa"/>
            <w:vAlign w:val="center"/>
          </w:tcPr>
          <w:p w14:paraId="161AAC16">
            <w:pPr>
              <w:pStyle w:val="11"/>
            </w:pPr>
          </w:p>
        </w:tc>
        <w:tc>
          <w:tcPr>
            <w:tcW w:w="1134" w:type="dxa"/>
            <w:vAlign w:val="center"/>
          </w:tcPr>
          <w:p w14:paraId="552F9067">
            <w:pPr>
              <w:pStyle w:val="11"/>
            </w:pPr>
          </w:p>
        </w:tc>
        <w:tc>
          <w:tcPr>
            <w:tcW w:w="1134" w:type="dxa"/>
            <w:vAlign w:val="center"/>
          </w:tcPr>
          <w:p w14:paraId="60222DC3">
            <w:pPr>
              <w:pStyle w:val="11"/>
            </w:pPr>
          </w:p>
        </w:tc>
        <w:tc>
          <w:tcPr>
            <w:tcW w:w="1134" w:type="dxa"/>
            <w:vAlign w:val="center"/>
          </w:tcPr>
          <w:p w14:paraId="20259740">
            <w:pPr>
              <w:pStyle w:val="11"/>
            </w:pPr>
          </w:p>
        </w:tc>
        <w:tc>
          <w:tcPr>
            <w:tcW w:w="1134" w:type="dxa"/>
            <w:vAlign w:val="center"/>
          </w:tcPr>
          <w:p w14:paraId="69BF6154">
            <w:pPr>
              <w:pStyle w:val="11"/>
            </w:pPr>
          </w:p>
        </w:tc>
      </w:tr>
      <w:tr w14:paraId="114E0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5F1D6">
            <w:pPr>
              <w:pStyle w:val="13"/>
            </w:pPr>
            <w:r>
              <w:t>4</w:t>
            </w:r>
          </w:p>
        </w:tc>
        <w:tc>
          <w:tcPr>
            <w:tcW w:w="992" w:type="dxa"/>
            <w:vAlign w:val="center"/>
          </w:tcPr>
          <w:p w14:paraId="203E7968">
            <w:pPr>
              <w:pStyle w:val="12"/>
            </w:pPr>
            <w:r>
              <w:t>2050201</w:t>
            </w:r>
          </w:p>
        </w:tc>
        <w:tc>
          <w:tcPr>
            <w:tcW w:w="1559" w:type="dxa"/>
            <w:vAlign w:val="center"/>
          </w:tcPr>
          <w:p w14:paraId="3C551E68">
            <w:pPr>
              <w:pStyle w:val="12"/>
            </w:pPr>
            <w:r>
              <w:t>学前教育</w:t>
            </w:r>
          </w:p>
        </w:tc>
        <w:tc>
          <w:tcPr>
            <w:tcW w:w="1134" w:type="dxa"/>
            <w:vAlign w:val="center"/>
          </w:tcPr>
          <w:p w14:paraId="6B1E97CD">
            <w:pPr>
              <w:pStyle w:val="11"/>
            </w:pPr>
            <w:r>
              <w:t>185.58</w:t>
            </w:r>
          </w:p>
        </w:tc>
        <w:tc>
          <w:tcPr>
            <w:tcW w:w="1134" w:type="dxa"/>
            <w:vAlign w:val="center"/>
          </w:tcPr>
          <w:p w14:paraId="2DF95E74">
            <w:pPr>
              <w:pStyle w:val="11"/>
            </w:pPr>
            <w:r>
              <w:t>185.58</w:t>
            </w:r>
          </w:p>
        </w:tc>
        <w:tc>
          <w:tcPr>
            <w:tcW w:w="1134" w:type="dxa"/>
            <w:vAlign w:val="center"/>
          </w:tcPr>
          <w:p w14:paraId="68F89FDF">
            <w:pPr>
              <w:pStyle w:val="11"/>
            </w:pPr>
            <w:r>
              <w:t>185.58</w:t>
            </w:r>
          </w:p>
        </w:tc>
        <w:tc>
          <w:tcPr>
            <w:tcW w:w="1134" w:type="dxa"/>
            <w:vAlign w:val="center"/>
          </w:tcPr>
          <w:p w14:paraId="6049A766">
            <w:pPr>
              <w:pStyle w:val="11"/>
            </w:pPr>
          </w:p>
        </w:tc>
        <w:tc>
          <w:tcPr>
            <w:tcW w:w="1134" w:type="dxa"/>
            <w:vAlign w:val="center"/>
          </w:tcPr>
          <w:p w14:paraId="231A3782">
            <w:pPr>
              <w:pStyle w:val="11"/>
            </w:pPr>
          </w:p>
        </w:tc>
        <w:tc>
          <w:tcPr>
            <w:tcW w:w="1134" w:type="dxa"/>
            <w:vAlign w:val="center"/>
          </w:tcPr>
          <w:p w14:paraId="369CF906">
            <w:pPr>
              <w:pStyle w:val="11"/>
            </w:pPr>
          </w:p>
        </w:tc>
        <w:tc>
          <w:tcPr>
            <w:tcW w:w="1134" w:type="dxa"/>
            <w:vAlign w:val="center"/>
          </w:tcPr>
          <w:p w14:paraId="297ECEA8">
            <w:pPr>
              <w:pStyle w:val="11"/>
            </w:pPr>
          </w:p>
        </w:tc>
        <w:tc>
          <w:tcPr>
            <w:tcW w:w="1134" w:type="dxa"/>
            <w:vAlign w:val="center"/>
          </w:tcPr>
          <w:p w14:paraId="6505B450">
            <w:pPr>
              <w:pStyle w:val="11"/>
            </w:pPr>
          </w:p>
        </w:tc>
        <w:tc>
          <w:tcPr>
            <w:tcW w:w="1134" w:type="dxa"/>
            <w:vAlign w:val="center"/>
          </w:tcPr>
          <w:p w14:paraId="4A3A801B">
            <w:pPr>
              <w:pStyle w:val="11"/>
            </w:pPr>
          </w:p>
        </w:tc>
        <w:tc>
          <w:tcPr>
            <w:tcW w:w="1134" w:type="dxa"/>
            <w:vAlign w:val="center"/>
          </w:tcPr>
          <w:p w14:paraId="1397C76B">
            <w:pPr>
              <w:pStyle w:val="11"/>
            </w:pPr>
          </w:p>
        </w:tc>
      </w:tr>
      <w:tr w14:paraId="650C7FE6">
        <w:tblPrEx>
          <w:tblCellMar>
            <w:top w:w="0" w:type="dxa"/>
            <w:left w:w="108" w:type="dxa"/>
            <w:bottom w:w="0" w:type="dxa"/>
            <w:right w:w="108" w:type="dxa"/>
          </w:tblCellMar>
        </w:tblPrEx>
        <w:trPr>
          <w:trHeight w:val="369" w:hRule="atLeast"/>
          <w:jc w:val="center"/>
        </w:trPr>
        <w:tc>
          <w:tcPr>
            <w:tcW w:w="680" w:type="dxa"/>
            <w:vAlign w:val="center"/>
          </w:tcPr>
          <w:p w14:paraId="0F4C7155">
            <w:pPr>
              <w:pStyle w:val="13"/>
            </w:pPr>
            <w:r>
              <w:t>5</w:t>
            </w:r>
          </w:p>
        </w:tc>
        <w:tc>
          <w:tcPr>
            <w:tcW w:w="992" w:type="dxa"/>
            <w:vAlign w:val="center"/>
          </w:tcPr>
          <w:p w14:paraId="4A16BB38">
            <w:pPr>
              <w:pStyle w:val="12"/>
            </w:pPr>
            <w:r>
              <w:t>2050202</w:t>
            </w:r>
          </w:p>
        </w:tc>
        <w:tc>
          <w:tcPr>
            <w:tcW w:w="1559" w:type="dxa"/>
            <w:vAlign w:val="center"/>
          </w:tcPr>
          <w:p w14:paraId="45278959">
            <w:pPr>
              <w:pStyle w:val="12"/>
            </w:pPr>
            <w:r>
              <w:t>小学教育</w:t>
            </w:r>
          </w:p>
        </w:tc>
        <w:tc>
          <w:tcPr>
            <w:tcW w:w="1134" w:type="dxa"/>
            <w:vAlign w:val="center"/>
          </w:tcPr>
          <w:p w14:paraId="2FBD6863">
            <w:pPr>
              <w:pStyle w:val="11"/>
            </w:pPr>
            <w:r>
              <w:t>2757.06</w:t>
            </w:r>
          </w:p>
        </w:tc>
        <w:tc>
          <w:tcPr>
            <w:tcW w:w="1134" w:type="dxa"/>
            <w:vAlign w:val="center"/>
          </w:tcPr>
          <w:p w14:paraId="4E33F538">
            <w:pPr>
              <w:pStyle w:val="11"/>
            </w:pPr>
            <w:r>
              <w:t>2757.06</w:t>
            </w:r>
          </w:p>
        </w:tc>
        <w:tc>
          <w:tcPr>
            <w:tcW w:w="1134" w:type="dxa"/>
            <w:vAlign w:val="center"/>
          </w:tcPr>
          <w:p w14:paraId="631BB4E8">
            <w:pPr>
              <w:pStyle w:val="11"/>
            </w:pPr>
            <w:r>
              <w:t>2757.06</w:t>
            </w:r>
          </w:p>
        </w:tc>
        <w:tc>
          <w:tcPr>
            <w:tcW w:w="1134" w:type="dxa"/>
            <w:vAlign w:val="center"/>
          </w:tcPr>
          <w:p w14:paraId="4AE5C2D9">
            <w:pPr>
              <w:pStyle w:val="11"/>
            </w:pPr>
          </w:p>
        </w:tc>
        <w:tc>
          <w:tcPr>
            <w:tcW w:w="1134" w:type="dxa"/>
            <w:vAlign w:val="center"/>
          </w:tcPr>
          <w:p w14:paraId="78849C8E">
            <w:pPr>
              <w:pStyle w:val="11"/>
            </w:pPr>
          </w:p>
        </w:tc>
        <w:tc>
          <w:tcPr>
            <w:tcW w:w="1134" w:type="dxa"/>
            <w:vAlign w:val="center"/>
          </w:tcPr>
          <w:p w14:paraId="7EB0F6D0">
            <w:pPr>
              <w:pStyle w:val="11"/>
            </w:pPr>
          </w:p>
        </w:tc>
        <w:tc>
          <w:tcPr>
            <w:tcW w:w="1134" w:type="dxa"/>
            <w:vAlign w:val="center"/>
          </w:tcPr>
          <w:p w14:paraId="46768B3D">
            <w:pPr>
              <w:pStyle w:val="11"/>
            </w:pPr>
          </w:p>
        </w:tc>
        <w:tc>
          <w:tcPr>
            <w:tcW w:w="1134" w:type="dxa"/>
            <w:vAlign w:val="center"/>
          </w:tcPr>
          <w:p w14:paraId="2FCD2D95">
            <w:pPr>
              <w:pStyle w:val="11"/>
            </w:pPr>
          </w:p>
        </w:tc>
        <w:tc>
          <w:tcPr>
            <w:tcW w:w="1134" w:type="dxa"/>
            <w:vAlign w:val="center"/>
          </w:tcPr>
          <w:p w14:paraId="62428F1C">
            <w:pPr>
              <w:pStyle w:val="11"/>
            </w:pPr>
          </w:p>
        </w:tc>
        <w:tc>
          <w:tcPr>
            <w:tcW w:w="1134" w:type="dxa"/>
            <w:vAlign w:val="center"/>
          </w:tcPr>
          <w:p w14:paraId="39E74F15">
            <w:pPr>
              <w:pStyle w:val="11"/>
            </w:pPr>
          </w:p>
        </w:tc>
      </w:tr>
    </w:tbl>
    <w:p w14:paraId="49A87B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A052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451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96DFC5">
            <w:pPr>
              <w:pStyle w:val="9"/>
            </w:pPr>
            <w:r>
              <w:t>360021隆尧县山口校区</w:t>
            </w:r>
          </w:p>
        </w:tc>
        <w:tc>
          <w:tcPr>
            <w:tcW w:w="2722" w:type="dxa"/>
            <w:gridSpan w:val="2"/>
            <w:tcBorders>
              <w:top w:val="single" w:color="FFFFFF" w:sz="6" w:space="0"/>
              <w:left w:val="single" w:color="FFFFFF" w:sz="6" w:space="0"/>
              <w:right w:val="single" w:color="FFFFFF" w:sz="6" w:space="0"/>
            </w:tcBorders>
            <w:vAlign w:val="center"/>
          </w:tcPr>
          <w:p w14:paraId="2B386F0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8F84870">
            <w:pPr>
              <w:pStyle w:val="7"/>
            </w:pPr>
            <w:r>
              <w:t>单位：万元</w:t>
            </w:r>
          </w:p>
        </w:tc>
      </w:tr>
      <w:tr w14:paraId="3EE1F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949BA">
            <w:pPr>
              <w:pStyle w:val="10"/>
            </w:pPr>
            <w:r>
              <w:t>序号</w:t>
            </w:r>
          </w:p>
        </w:tc>
        <w:tc>
          <w:tcPr>
            <w:tcW w:w="5527" w:type="dxa"/>
            <w:gridSpan w:val="2"/>
            <w:vAlign w:val="center"/>
          </w:tcPr>
          <w:p w14:paraId="0E9708B8">
            <w:pPr>
              <w:pStyle w:val="10"/>
            </w:pPr>
            <w:r>
              <w:t>功能分类科目</w:t>
            </w:r>
          </w:p>
        </w:tc>
        <w:tc>
          <w:tcPr>
            <w:tcW w:w="1361" w:type="dxa"/>
            <w:vMerge w:val="restart"/>
            <w:vAlign w:val="center"/>
          </w:tcPr>
          <w:p w14:paraId="4B635B2A">
            <w:pPr>
              <w:pStyle w:val="10"/>
            </w:pPr>
            <w:r>
              <w:t>合计</w:t>
            </w:r>
          </w:p>
        </w:tc>
        <w:tc>
          <w:tcPr>
            <w:tcW w:w="1361" w:type="dxa"/>
            <w:vMerge w:val="restart"/>
            <w:vAlign w:val="center"/>
          </w:tcPr>
          <w:p w14:paraId="261467AA">
            <w:pPr>
              <w:pStyle w:val="10"/>
            </w:pPr>
            <w:r>
              <w:t>基本支出</w:t>
            </w:r>
          </w:p>
        </w:tc>
        <w:tc>
          <w:tcPr>
            <w:tcW w:w="1361" w:type="dxa"/>
            <w:vMerge w:val="restart"/>
            <w:vAlign w:val="center"/>
          </w:tcPr>
          <w:p w14:paraId="6BBBF0EE">
            <w:pPr>
              <w:pStyle w:val="10"/>
            </w:pPr>
            <w:r>
              <w:t>项目支出</w:t>
            </w:r>
          </w:p>
        </w:tc>
        <w:tc>
          <w:tcPr>
            <w:tcW w:w="1361" w:type="dxa"/>
            <w:vMerge w:val="restart"/>
            <w:vAlign w:val="center"/>
          </w:tcPr>
          <w:p w14:paraId="50BA067D">
            <w:pPr>
              <w:pStyle w:val="10"/>
            </w:pPr>
            <w:r>
              <w:t>经营支出</w:t>
            </w:r>
          </w:p>
        </w:tc>
        <w:tc>
          <w:tcPr>
            <w:tcW w:w="1361" w:type="dxa"/>
            <w:vMerge w:val="restart"/>
            <w:vAlign w:val="center"/>
          </w:tcPr>
          <w:p w14:paraId="086115CB">
            <w:pPr>
              <w:pStyle w:val="10"/>
            </w:pPr>
            <w:r>
              <w:t>上解上级     支出</w:t>
            </w:r>
          </w:p>
        </w:tc>
        <w:tc>
          <w:tcPr>
            <w:tcW w:w="1361" w:type="dxa"/>
            <w:vMerge w:val="restart"/>
            <w:vAlign w:val="center"/>
          </w:tcPr>
          <w:p w14:paraId="2B6C0DFA">
            <w:pPr>
              <w:pStyle w:val="10"/>
            </w:pPr>
            <w:r>
              <w:t>对附属单位补助支出</w:t>
            </w:r>
          </w:p>
        </w:tc>
      </w:tr>
      <w:tr w14:paraId="59F5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4E6ED7"/>
        </w:tc>
        <w:tc>
          <w:tcPr>
            <w:tcW w:w="992" w:type="dxa"/>
            <w:vAlign w:val="center"/>
          </w:tcPr>
          <w:p w14:paraId="16E24ED2">
            <w:pPr>
              <w:pStyle w:val="10"/>
            </w:pPr>
            <w:r>
              <w:t>科目    编码</w:t>
            </w:r>
          </w:p>
        </w:tc>
        <w:tc>
          <w:tcPr>
            <w:tcW w:w="4535" w:type="dxa"/>
            <w:vAlign w:val="center"/>
          </w:tcPr>
          <w:p w14:paraId="44083CC5">
            <w:pPr>
              <w:pStyle w:val="10"/>
            </w:pPr>
            <w:r>
              <w:t>科目名称</w:t>
            </w:r>
          </w:p>
        </w:tc>
        <w:tc>
          <w:tcPr>
            <w:tcW w:w="1361" w:type="dxa"/>
            <w:vMerge w:val="continue"/>
          </w:tcPr>
          <w:p w14:paraId="357F4AFA"/>
        </w:tc>
        <w:tc>
          <w:tcPr>
            <w:tcW w:w="1361" w:type="dxa"/>
            <w:vMerge w:val="continue"/>
          </w:tcPr>
          <w:p w14:paraId="02154020"/>
        </w:tc>
        <w:tc>
          <w:tcPr>
            <w:tcW w:w="1361" w:type="dxa"/>
            <w:vMerge w:val="continue"/>
          </w:tcPr>
          <w:p w14:paraId="4D990A42"/>
        </w:tc>
        <w:tc>
          <w:tcPr>
            <w:tcW w:w="1361" w:type="dxa"/>
            <w:vMerge w:val="continue"/>
          </w:tcPr>
          <w:p w14:paraId="6F42B937"/>
        </w:tc>
        <w:tc>
          <w:tcPr>
            <w:tcW w:w="1361" w:type="dxa"/>
            <w:vMerge w:val="continue"/>
          </w:tcPr>
          <w:p w14:paraId="34C3C11F"/>
        </w:tc>
        <w:tc>
          <w:tcPr>
            <w:tcW w:w="1361" w:type="dxa"/>
            <w:vMerge w:val="continue"/>
          </w:tcPr>
          <w:p w14:paraId="6AD8113A"/>
        </w:tc>
      </w:tr>
      <w:tr w14:paraId="3DA78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E70F8">
            <w:pPr>
              <w:pStyle w:val="10"/>
            </w:pPr>
            <w:r>
              <w:t>栏次</w:t>
            </w:r>
          </w:p>
        </w:tc>
        <w:tc>
          <w:tcPr>
            <w:tcW w:w="992" w:type="dxa"/>
            <w:vAlign w:val="center"/>
          </w:tcPr>
          <w:p w14:paraId="416BCF0B">
            <w:pPr>
              <w:pStyle w:val="10"/>
            </w:pPr>
            <w:r>
              <w:t>1</w:t>
            </w:r>
          </w:p>
        </w:tc>
        <w:tc>
          <w:tcPr>
            <w:tcW w:w="4535" w:type="dxa"/>
            <w:vAlign w:val="center"/>
          </w:tcPr>
          <w:p w14:paraId="6081175B">
            <w:pPr>
              <w:pStyle w:val="10"/>
            </w:pPr>
            <w:r>
              <w:t>2</w:t>
            </w:r>
          </w:p>
        </w:tc>
        <w:tc>
          <w:tcPr>
            <w:tcW w:w="1361" w:type="dxa"/>
            <w:vAlign w:val="center"/>
          </w:tcPr>
          <w:p w14:paraId="06660419">
            <w:pPr>
              <w:pStyle w:val="10"/>
            </w:pPr>
            <w:r>
              <w:t>3</w:t>
            </w:r>
          </w:p>
        </w:tc>
        <w:tc>
          <w:tcPr>
            <w:tcW w:w="1361" w:type="dxa"/>
            <w:vAlign w:val="center"/>
          </w:tcPr>
          <w:p w14:paraId="5D63CE62">
            <w:pPr>
              <w:pStyle w:val="10"/>
            </w:pPr>
            <w:r>
              <w:t>4</w:t>
            </w:r>
          </w:p>
        </w:tc>
        <w:tc>
          <w:tcPr>
            <w:tcW w:w="1361" w:type="dxa"/>
            <w:vAlign w:val="center"/>
          </w:tcPr>
          <w:p w14:paraId="75FE49CE">
            <w:pPr>
              <w:pStyle w:val="10"/>
            </w:pPr>
            <w:r>
              <w:t>5</w:t>
            </w:r>
          </w:p>
        </w:tc>
        <w:tc>
          <w:tcPr>
            <w:tcW w:w="1361" w:type="dxa"/>
            <w:vAlign w:val="center"/>
          </w:tcPr>
          <w:p w14:paraId="4A983DE7">
            <w:pPr>
              <w:pStyle w:val="10"/>
            </w:pPr>
            <w:r>
              <w:t>6</w:t>
            </w:r>
          </w:p>
        </w:tc>
        <w:tc>
          <w:tcPr>
            <w:tcW w:w="1361" w:type="dxa"/>
            <w:vAlign w:val="center"/>
          </w:tcPr>
          <w:p w14:paraId="1EB2A3AD">
            <w:pPr>
              <w:pStyle w:val="10"/>
            </w:pPr>
            <w:r>
              <w:t>7</w:t>
            </w:r>
          </w:p>
        </w:tc>
        <w:tc>
          <w:tcPr>
            <w:tcW w:w="1361" w:type="dxa"/>
            <w:vAlign w:val="center"/>
          </w:tcPr>
          <w:p w14:paraId="1B337E73">
            <w:pPr>
              <w:pStyle w:val="10"/>
            </w:pPr>
            <w:r>
              <w:t>8</w:t>
            </w:r>
          </w:p>
        </w:tc>
      </w:tr>
      <w:tr w14:paraId="79C7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0D080">
            <w:pPr>
              <w:pStyle w:val="13"/>
            </w:pPr>
            <w:r>
              <w:t>1</w:t>
            </w:r>
          </w:p>
        </w:tc>
        <w:tc>
          <w:tcPr>
            <w:tcW w:w="992" w:type="dxa"/>
            <w:vAlign w:val="center"/>
          </w:tcPr>
          <w:p w14:paraId="115E404D">
            <w:pPr>
              <w:pStyle w:val="16"/>
            </w:pPr>
          </w:p>
        </w:tc>
        <w:tc>
          <w:tcPr>
            <w:tcW w:w="4535" w:type="dxa"/>
            <w:vAlign w:val="center"/>
          </w:tcPr>
          <w:p w14:paraId="7CB5E6AE">
            <w:pPr>
              <w:pStyle w:val="14"/>
            </w:pPr>
            <w:r>
              <w:t>合计</w:t>
            </w:r>
          </w:p>
        </w:tc>
        <w:tc>
          <w:tcPr>
            <w:tcW w:w="1361" w:type="dxa"/>
            <w:vAlign w:val="center"/>
          </w:tcPr>
          <w:p w14:paraId="48BF8D8E">
            <w:pPr>
              <w:pStyle w:val="15"/>
            </w:pPr>
            <w:r>
              <w:t>2942.65</w:t>
            </w:r>
          </w:p>
        </w:tc>
        <w:tc>
          <w:tcPr>
            <w:tcW w:w="1361" w:type="dxa"/>
            <w:vAlign w:val="center"/>
          </w:tcPr>
          <w:p w14:paraId="17AB7945">
            <w:pPr>
              <w:pStyle w:val="15"/>
            </w:pPr>
            <w:r>
              <w:t>2394.13</w:t>
            </w:r>
          </w:p>
        </w:tc>
        <w:tc>
          <w:tcPr>
            <w:tcW w:w="1361" w:type="dxa"/>
            <w:vAlign w:val="center"/>
          </w:tcPr>
          <w:p w14:paraId="217F0500">
            <w:pPr>
              <w:pStyle w:val="15"/>
            </w:pPr>
            <w:r>
              <w:t>548.51</w:t>
            </w:r>
          </w:p>
        </w:tc>
        <w:tc>
          <w:tcPr>
            <w:tcW w:w="1361" w:type="dxa"/>
            <w:vAlign w:val="center"/>
          </w:tcPr>
          <w:p w14:paraId="25FD1D40">
            <w:pPr>
              <w:pStyle w:val="15"/>
            </w:pPr>
          </w:p>
        </w:tc>
        <w:tc>
          <w:tcPr>
            <w:tcW w:w="1361" w:type="dxa"/>
            <w:vAlign w:val="center"/>
          </w:tcPr>
          <w:p w14:paraId="689D00F5">
            <w:pPr>
              <w:pStyle w:val="15"/>
            </w:pPr>
          </w:p>
        </w:tc>
        <w:tc>
          <w:tcPr>
            <w:tcW w:w="1361" w:type="dxa"/>
            <w:vAlign w:val="center"/>
          </w:tcPr>
          <w:p w14:paraId="168F49E9">
            <w:pPr>
              <w:pStyle w:val="15"/>
            </w:pPr>
          </w:p>
        </w:tc>
      </w:tr>
      <w:tr w14:paraId="427B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B682">
            <w:pPr>
              <w:pStyle w:val="13"/>
            </w:pPr>
            <w:r>
              <w:t>2</w:t>
            </w:r>
          </w:p>
        </w:tc>
        <w:tc>
          <w:tcPr>
            <w:tcW w:w="992" w:type="dxa"/>
            <w:vAlign w:val="center"/>
          </w:tcPr>
          <w:p w14:paraId="488D3F7E">
            <w:pPr>
              <w:pStyle w:val="12"/>
            </w:pPr>
            <w:r>
              <w:t>205</w:t>
            </w:r>
          </w:p>
        </w:tc>
        <w:tc>
          <w:tcPr>
            <w:tcW w:w="4535" w:type="dxa"/>
            <w:vAlign w:val="center"/>
          </w:tcPr>
          <w:p w14:paraId="78808DAA">
            <w:pPr>
              <w:pStyle w:val="12"/>
            </w:pPr>
            <w:r>
              <w:t>教育支出</w:t>
            </w:r>
          </w:p>
        </w:tc>
        <w:tc>
          <w:tcPr>
            <w:tcW w:w="1361" w:type="dxa"/>
            <w:vAlign w:val="center"/>
          </w:tcPr>
          <w:p w14:paraId="0B810B45">
            <w:pPr>
              <w:pStyle w:val="11"/>
            </w:pPr>
            <w:r>
              <w:t>2942.65</w:t>
            </w:r>
          </w:p>
        </w:tc>
        <w:tc>
          <w:tcPr>
            <w:tcW w:w="1361" w:type="dxa"/>
            <w:vAlign w:val="center"/>
          </w:tcPr>
          <w:p w14:paraId="5F752B50">
            <w:pPr>
              <w:pStyle w:val="11"/>
            </w:pPr>
            <w:r>
              <w:t>2394.13</w:t>
            </w:r>
          </w:p>
        </w:tc>
        <w:tc>
          <w:tcPr>
            <w:tcW w:w="1361" w:type="dxa"/>
            <w:vAlign w:val="center"/>
          </w:tcPr>
          <w:p w14:paraId="2BD3D684">
            <w:pPr>
              <w:pStyle w:val="11"/>
            </w:pPr>
            <w:r>
              <w:t>548.51</w:t>
            </w:r>
          </w:p>
        </w:tc>
        <w:tc>
          <w:tcPr>
            <w:tcW w:w="1361" w:type="dxa"/>
            <w:vAlign w:val="center"/>
          </w:tcPr>
          <w:p w14:paraId="2CE33E5F">
            <w:pPr>
              <w:pStyle w:val="11"/>
            </w:pPr>
          </w:p>
        </w:tc>
        <w:tc>
          <w:tcPr>
            <w:tcW w:w="1361" w:type="dxa"/>
            <w:vAlign w:val="center"/>
          </w:tcPr>
          <w:p w14:paraId="19AC2A54">
            <w:pPr>
              <w:pStyle w:val="11"/>
            </w:pPr>
          </w:p>
        </w:tc>
        <w:tc>
          <w:tcPr>
            <w:tcW w:w="1361" w:type="dxa"/>
            <w:vAlign w:val="center"/>
          </w:tcPr>
          <w:p w14:paraId="3D8C54A7">
            <w:pPr>
              <w:pStyle w:val="11"/>
            </w:pPr>
          </w:p>
        </w:tc>
      </w:tr>
      <w:tr w14:paraId="4FA5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CAC34">
            <w:pPr>
              <w:pStyle w:val="13"/>
            </w:pPr>
            <w:r>
              <w:t>3</w:t>
            </w:r>
          </w:p>
        </w:tc>
        <w:tc>
          <w:tcPr>
            <w:tcW w:w="992" w:type="dxa"/>
            <w:vAlign w:val="center"/>
          </w:tcPr>
          <w:p w14:paraId="372D348F">
            <w:pPr>
              <w:pStyle w:val="12"/>
            </w:pPr>
            <w:r>
              <w:t>20502</w:t>
            </w:r>
          </w:p>
        </w:tc>
        <w:tc>
          <w:tcPr>
            <w:tcW w:w="4535" w:type="dxa"/>
            <w:vAlign w:val="center"/>
          </w:tcPr>
          <w:p w14:paraId="6EE69C5E">
            <w:pPr>
              <w:pStyle w:val="12"/>
            </w:pPr>
            <w:r>
              <w:t>普通教育</w:t>
            </w:r>
          </w:p>
        </w:tc>
        <w:tc>
          <w:tcPr>
            <w:tcW w:w="1361" w:type="dxa"/>
            <w:vAlign w:val="center"/>
          </w:tcPr>
          <w:p w14:paraId="49CF8F2E">
            <w:pPr>
              <w:pStyle w:val="11"/>
            </w:pPr>
            <w:r>
              <w:t>2942.65</w:t>
            </w:r>
          </w:p>
        </w:tc>
        <w:tc>
          <w:tcPr>
            <w:tcW w:w="1361" w:type="dxa"/>
            <w:vAlign w:val="center"/>
          </w:tcPr>
          <w:p w14:paraId="1905F1A8">
            <w:pPr>
              <w:pStyle w:val="11"/>
            </w:pPr>
            <w:r>
              <w:t>2394.13</w:t>
            </w:r>
          </w:p>
        </w:tc>
        <w:tc>
          <w:tcPr>
            <w:tcW w:w="1361" w:type="dxa"/>
            <w:vAlign w:val="center"/>
          </w:tcPr>
          <w:p w14:paraId="726493B9">
            <w:pPr>
              <w:pStyle w:val="11"/>
            </w:pPr>
            <w:r>
              <w:t>548.51</w:t>
            </w:r>
          </w:p>
        </w:tc>
        <w:tc>
          <w:tcPr>
            <w:tcW w:w="1361" w:type="dxa"/>
            <w:vAlign w:val="center"/>
          </w:tcPr>
          <w:p w14:paraId="170AE950">
            <w:pPr>
              <w:pStyle w:val="11"/>
            </w:pPr>
          </w:p>
        </w:tc>
        <w:tc>
          <w:tcPr>
            <w:tcW w:w="1361" w:type="dxa"/>
            <w:vAlign w:val="center"/>
          </w:tcPr>
          <w:p w14:paraId="0B01EDC3">
            <w:pPr>
              <w:pStyle w:val="11"/>
            </w:pPr>
          </w:p>
        </w:tc>
        <w:tc>
          <w:tcPr>
            <w:tcW w:w="1361" w:type="dxa"/>
            <w:vAlign w:val="center"/>
          </w:tcPr>
          <w:p w14:paraId="70AF0CEC">
            <w:pPr>
              <w:pStyle w:val="11"/>
            </w:pPr>
          </w:p>
        </w:tc>
      </w:tr>
      <w:tr w14:paraId="46B8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9CDE5">
            <w:pPr>
              <w:pStyle w:val="13"/>
            </w:pPr>
            <w:r>
              <w:t>4</w:t>
            </w:r>
          </w:p>
        </w:tc>
        <w:tc>
          <w:tcPr>
            <w:tcW w:w="992" w:type="dxa"/>
            <w:vAlign w:val="center"/>
          </w:tcPr>
          <w:p w14:paraId="1A8BF468">
            <w:pPr>
              <w:pStyle w:val="12"/>
            </w:pPr>
            <w:r>
              <w:t>2050201</w:t>
            </w:r>
          </w:p>
        </w:tc>
        <w:tc>
          <w:tcPr>
            <w:tcW w:w="4535" w:type="dxa"/>
            <w:vAlign w:val="center"/>
          </w:tcPr>
          <w:p w14:paraId="70ACEB33">
            <w:pPr>
              <w:pStyle w:val="12"/>
            </w:pPr>
            <w:r>
              <w:t>学前教育</w:t>
            </w:r>
          </w:p>
        </w:tc>
        <w:tc>
          <w:tcPr>
            <w:tcW w:w="1361" w:type="dxa"/>
            <w:vAlign w:val="center"/>
          </w:tcPr>
          <w:p w14:paraId="1D68BA18">
            <w:pPr>
              <w:pStyle w:val="11"/>
            </w:pPr>
            <w:r>
              <w:t>185.58</w:t>
            </w:r>
          </w:p>
        </w:tc>
        <w:tc>
          <w:tcPr>
            <w:tcW w:w="1361" w:type="dxa"/>
            <w:vAlign w:val="center"/>
          </w:tcPr>
          <w:p w14:paraId="2139C118">
            <w:pPr>
              <w:pStyle w:val="11"/>
            </w:pPr>
          </w:p>
        </w:tc>
        <w:tc>
          <w:tcPr>
            <w:tcW w:w="1361" w:type="dxa"/>
            <w:vAlign w:val="center"/>
          </w:tcPr>
          <w:p w14:paraId="4A434485">
            <w:pPr>
              <w:pStyle w:val="11"/>
            </w:pPr>
            <w:r>
              <w:t>185.58</w:t>
            </w:r>
          </w:p>
        </w:tc>
        <w:tc>
          <w:tcPr>
            <w:tcW w:w="1361" w:type="dxa"/>
            <w:vAlign w:val="center"/>
          </w:tcPr>
          <w:p w14:paraId="5F4D0A51">
            <w:pPr>
              <w:pStyle w:val="11"/>
            </w:pPr>
          </w:p>
        </w:tc>
        <w:tc>
          <w:tcPr>
            <w:tcW w:w="1361" w:type="dxa"/>
            <w:vAlign w:val="center"/>
          </w:tcPr>
          <w:p w14:paraId="60EA2EED">
            <w:pPr>
              <w:pStyle w:val="11"/>
            </w:pPr>
          </w:p>
        </w:tc>
        <w:tc>
          <w:tcPr>
            <w:tcW w:w="1361" w:type="dxa"/>
            <w:vAlign w:val="center"/>
          </w:tcPr>
          <w:p w14:paraId="78E36276">
            <w:pPr>
              <w:pStyle w:val="11"/>
            </w:pPr>
          </w:p>
        </w:tc>
      </w:tr>
      <w:tr w14:paraId="55F5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76C84">
            <w:pPr>
              <w:pStyle w:val="13"/>
            </w:pPr>
            <w:r>
              <w:t>5</w:t>
            </w:r>
          </w:p>
        </w:tc>
        <w:tc>
          <w:tcPr>
            <w:tcW w:w="992" w:type="dxa"/>
            <w:vAlign w:val="center"/>
          </w:tcPr>
          <w:p w14:paraId="46E742E4">
            <w:pPr>
              <w:pStyle w:val="12"/>
            </w:pPr>
            <w:r>
              <w:t>2050202</w:t>
            </w:r>
          </w:p>
        </w:tc>
        <w:tc>
          <w:tcPr>
            <w:tcW w:w="4535" w:type="dxa"/>
            <w:vAlign w:val="center"/>
          </w:tcPr>
          <w:p w14:paraId="39974469">
            <w:pPr>
              <w:pStyle w:val="12"/>
            </w:pPr>
            <w:r>
              <w:t>小学教育</w:t>
            </w:r>
          </w:p>
        </w:tc>
        <w:tc>
          <w:tcPr>
            <w:tcW w:w="1361" w:type="dxa"/>
            <w:vAlign w:val="center"/>
          </w:tcPr>
          <w:p w14:paraId="6272FA47">
            <w:pPr>
              <w:pStyle w:val="11"/>
            </w:pPr>
            <w:r>
              <w:t>2757.06</w:t>
            </w:r>
          </w:p>
        </w:tc>
        <w:tc>
          <w:tcPr>
            <w:tcW w:w="1361" w:type="dxa"/>
            <w:vAlign w:val="center"/>
          </w:tcPr>
          <w:p w14:paraId="0BF19B95">
            <w:pPr>
              <w:pStyle w:val="11"/>
            </w:pPr>
            <w:r>
              <w:t>2394.13</w:t>
            </w:r>
          </w:p>
        </w:tc>
        <w:tc>
          <w:tcPr>
            <w:tcW w:w="1361" w:type="dxa"/>
            <w:vAlign w:val="center"/>
          </w:tcPr>
          <w:p w14:paraId="21EA59E9">
            <w:pPr>
              <w:pStyle w:val="11"/>
            </w:pPr>
            <w:r>
              <w:t>362.93</w:t>
            </w:r>
          </w:p>
        </w:tc>
        <w:tc>
          <w:tcPr>
            <w:tcW w:w="1361" w:type="dxa"/>
            <w:vAlign w:val="center"/>
          </w:tcPr>
          <w:p w14:paraId="469926BE">
            <w:pPr>
              <w:pStyle w:val="11"/>
            </w:pPr>
          </w:p>
        </w:tc>
        <w:tc>
          <w:tcPr>
            <w:tcW w:w="1361" w:type="dxa"/>
            <w:vAlign w:val="center"/>
          </w:tcPr>
          <w:p w14:paraId="07AD2D60">
            <w:pPr>
              <w:pStyle w:val="11"/>
            </w:pPr>
          </w:p>
        </w:tc>
        <w:tc>
          <w:tcPr>
            <w:tcW w:w="1361" w:type="dxa"/>
            <w:vAlign w:val="center"/>
          </w:tcPr>
          <w:p w14:paraId="5E77202E">
            <w:pPr>
              <w:pStyle w:val="11"/>
            </w:pPr>
          </w:p>
        </w:tc>
      </w:tr>
    </w:tbl>
    <w:p w14:paraId="5F7A60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D648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25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F5BF95">
            <w:pPr>
              <w:pStyle w:val="9"/>
            </w:pPr>
            <w:r>
              <w:t>360021隆尧县山口校区</w:t>
            </w:r>
          </w:p>
        </w:tc>
        <w:tc>
          <w:tcPr>
            <w:tcW w:w="3402" w:type="dxa"/>
            <w:tcBorders>
              <w:top w:val="single" w:color="FFFFFF" w:sz="6" w:space="0"/>
              <w:left w:val="single" w:color="FFFFFF" w:sz="6" w:space="0"/>
              <w:right w:val="single" w:color="FFFFFF" w:sz="6" w:space="0"/>
            </w:tcBorders>
            <w:vAlign w:val="center"/>
          </w:tcPr>
          <w:p w14:paraId="54E36F6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5928419">
            <w:pPr>
              <w:pStyle w:val="7"/>
            </w:pPr>
            <w:r>
              <w:t>单位：万元</w:t>
            </w:r>
          </w:p>
        </w:tc>
      </w:tr>
      <w:tr w14:paraId="3954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01C24">
            <w:pPr>
              <w:pStyle w:val="10"/>
            </w:pPr>
            <w:r>
              <w:t>序号</w:t>
            </w:r>
          </w:p>
        </w:tc>
        <w:tc>
          <w:tcPr>
            <w:tcW w:w="4876" w:type="dxa"/>
            <w:gridSpan w:val="2"/>
            <w:vAlign w:val="center"/>
          </w:tcPr>
          <w:p w14:paraId="45C95131">
            <w:pPr>
              <w:pStyle w:val="10"/>
            </w:pPr>
            <w:r>
              <w:t>收入</w:t>
            </w:r>
          </w:p>
        </w:tc>
        <w:tc>
          <w:tcPr>
            <w:tcW w:w="9298" w:type="dxa"/>
            <w:gridSpan w:val="5"/>
            <w:vAlign w:val="center"/>
          </w:tcPr>
          <w:p w14:paraId="6A9BC093">
            <w:pPr>
              <w:pStyle w:val="10"/>
            </w:pPr>
            <w:r>
              <w:t>支出</w:t>
            </w:r>
          </w:p>
        </w:tc>
      </w:tr>
      <w:tr w14:paraId="65E4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54A65E"/>
        </w:tc>
        <w:tc>
          <w:tcPr>
            <w:tcW w:w="3402" w:type="dxa"/>
            <w:vAlign w:val="center"/>
          </w:tcPr>
          <w:p w14:paraId="0037257C">
            <w:pPr>
              <w:pStyle w:val="10"/>
            </w:pPr>
            <w:r>
              <w:t>项  目</w:t>
            </w:r>
          </w:p>
        </w:tc>
        <w:tc>
          <w:tcPr>
            <w:tcW w:w="1474" w:type="dxa"/>
            <w:vAlign w:val="center"/>
          </w:tcPr>
          <w:p w14:paraId="07F350C2">
            <w:pPr>
              <w:pStyle w:val="10"/>
            </w:pPr>
            <w:r>
              <w:t>金额</w:t>
            </w:r>
          </w:p>
        </w:tc>
        <w:tc>
          <w:tcPr>
            <w:tcW w:w="3402" w:type="dxa"/>
            <w:vAlign w:val="center"/>
          </w:tcPr>
          <w:p w14:paraId="1D7660A0">
            <w:pPr>
              <w:pStyle w:val="10"/>
            </w:pPr>
            <w:r>
              <w:t>项  目</w:t>
            </w:r>
          </w:p>
        </w:tc>
        <w:tc>
          <w:tcPr>
            <w:tcW w:w="1474" w:type="dxa"/>
            <w:vAlign w:val="center"/>
          </w:tcPr>
          <w:p w14:paraId="6FBF7180">
            <w:pPr>
              <w:pStyle w:val="10"/>
            </w:pPr>
            <w:r>
              <w:t>合计</w:t>
            </w:r>
          </w:p>
        </w:tc>
        <w:tc>
          <w:tcPr>
            <w:tcW w:w="1474" w:type="dxa"/>
            <w:vAlign w:val="center"/>
          </w:tcPr>
          <w:p w14:paraId="2C0D98DC">
            <w:pPr>
              <w:pStyle w:val="10"/>
            </w:pPr>
            <w:r>
              <w:t>一般公共预算财政拨款</w:t>
            </w:r>
          </w:p>
        </w:tc>
        <w:tc>
          <w:tcPr>
            <w:tcW w:w="1474" w:type="dxa"/>
            <w:vAlign w:val="center"/>
          </w:tcPr>
          <w:p w14:paraId="40ACF884">
            <w:pPr>
              <w:pStyle w:val="10"/>
            </w:pPr>
            <w:r>
              <w:t>政府性基金预算财政    拨款</w:t>
            </w:r>
          </w:p>
        </w:tc>
        <w:tc>
          <w:tcPr>
            <w:tcW w:w="1474" w:type="dxa"/>
            <w:vAlign w:val="center"/>
          </w:tcPr>
          <w:p w14:paraId="6F628C9A">
            <w:pPr>
              <w:pStyle w:val="10"/>
            </w:pPr>
            <w:r>
              <w:t>国有资本经营预算财政拨款</w:t>
            </w:r>
          </w:p>
        </w:tc>
      </w:tr>
      <w:tr w14:paraId="02E2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9AFC5">
            <w:pPr>
              <w:pStyle w:val="10"/>
            </w:pPr>
            <w:r>
              <w:t>栏次</w:t>
            </w:r>
          </w:p>
        </w:tc>
        <w:tc>
          <w:tcPr>
            <w:tcW w:w="3402" w:type="dxa"/>
            <w:vAlign w:val="center"/>
          </w:tcPr>
          <w:p w14:paraId="32A45DED">
            <w:pPr>
              <w:pStyle w:val="10"/>
            </w:pPr>
            <w:r>
              <w:t>1</w:t>
            </w:r>
          </w:p>
        </w:tc>
        <w:tc>
          <w:tcPr>
            <w:tcW w:w="1474" w:type="dxa"/>
            <w:vAlign w:val="center"/>
          </w:tcPr>
          <w:p w14:paraId="13F63FE2">
            <w:pPr>
              <w:pStyle w:val="10"/>
            </w:pPr>
            <w:r>
              <w:t>2</w:t>
            </w:r>
          </w:p>
        </w:tc>
        <w:tc>
          <w:tcPr>
            <w:tcW w:w="3402" w:type="dxa"/>
            <w:vAlign w:val="center"/>
          </w:tcPr>
          <w:p w14:paraId="4C30122E">
            <w:pPr>
              <w:pStyle w:val="10"/>
            </w:pPr>
            <w:r>
              <w:t>3</w:t>
            </w:r>
          </w:p>
        </w:tc>
        <w:tc>
          <w:tcPr>
            <w:tcW w:w="1474" w:type="dxa"/>
            <w:vAlign w:val="center"/>
          </w:tcPr>
          <w:p w14:paraId="541FD23C">
            <w:pPr>
              <w:pStyle w:val="10"/>
            </w:pPr>
            <w:r>
              <w:t>4</w:t>
            </w:r>
          </w:p>
        </w:tc>
        <w:tc>
          <w:tcPr>
            <w:tcW w:w="1474" w:type="dxa"/>
            <w:vAlign w:val="center"/>
          </w:tcPr>
          <w:p w14:paraId="6C1B72E5">
            <w:pPr>
              <w:pStyle w:val="10"/>
            </w:pPr>
            <w:r>
              <w:t>5</w:t>
            </w:r>
          </w:p>
        </w:tc>
        <w:tc>
          <w:tcPr>
            <w:tcW w:w="1474" w:type="dxa"/>
            <w:vAlign w:val="center"/>
          </w:tcPr>
          <w:p w14:paraId="5F8D20C3">
            <w:pPr>
              <w:pStyle w:val="10"/>
            </w:pPr>
            <w:r>
              <w:t>6</w:t>
            </w:r>
          </w:p>
        </w:tc>
        <w:tc>
          <w:tcPr>
            <w:tcW w:w="1474" w:type="dxa"/>
            <w:vAlign w:val="center"/>
          </w:tcPr>
          <w:p w14:paraId="5A0FA3B2">
            <w:pPr>
              <w:pStyle w:val="10"/>
            </w:pPr>
            <w:r>
              <w:t>7</w:t>
            </w:r>
          </w:p>
        </w:tc>
      </w:tr>
      <w:tr w14:paraId="339F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C372F">
            <w:pPr>
              <w:pStyle w:val="13"/>
            </w:pPr>
            <w:r>
              <w:t>1</w:t>
            </w:r>
          </w:p>
        </w:tc>
        <w:tc>
          <w:tcPr>
            <w:tcW w:w="3402" w:type="dxa"/>
            <w:vAlign w:val="center"/>
          </w:tcPr>
          <w:p w14:paraId="1676AC9A">
            <w:pPr>
              <w:pStyle w:val="12"/>
            </w:pPr>
            <w:r>
              <w:t>一、一般公共预算拨款</w:t>
            </w:r>
          </w:p>
        </w:tc>
        <w:tc>
          <w:tcPr>
            <w:tcW w:w="1474" w:type="dxa"/>
            <w:vAlign w:val="center"/>
          </w:tcPr>
          <w:p w14:paraId="1DBDAC8F">
            <w:pPr>
              <w:pStyle w:val="11"/>
            </w:pPr>
            <w:r>
              <w:t>2942.65</w:t>
            </w:r>
          </w:p>
        </w:tc>
        <w:tc>
          <w:tcPr>
            <w:tcW w:w="3402" w:type="dxa"/>
            <w:vAlign w:val="center"/>
          </w:tcPr>
          <w:p w14:paraId="1092E5C8">
            <w:pPr>
              <w:pStyle w:val="12"/>
            </w:pPr>
            <w:r>
              <w:t>一、一般公共服务支出</w:t>
            </w:r>
          </w:p>
        </w:tc>
        <w:tc>
          <w:tcPr>
            <w:tcW w:w="1474" w:type="dxa"/>
            <w:vAlign w:val="center"/>
          </w:tcPr>
          <w:p w14:paraId="10DC4753">
            <w:pPr>
              <w:pStyle w:val="11"/>
            </w:pPr>
          </w:p>
        </w:tc>
        <w:tc>
          <w:tcPr>
            <w:tcW w:w="1474" w:type="dxa"/>
            <w:vAlign w:val="center"/>
          </w:tcPr>
          <w:p w14:paraId="0E5995C5">
            <w:pPr>
              <w:pStyle w:val="11"/>
            </w:pPr>
          </w:p>
        </w:tc>
        <w:tc>
          <w:tcPr>
            <w:tcW w:w="1474" w:type="dxa"/>
            <w:vAlign w:val="center"/>
          </w:tcPr>
          <w:p w14:paraId="647B6BF3">
            <w:pPr>
              <w:pStyle w:val="11"/>
            </w:pPr>
          </w:p>
        </w:tc>
        <w:tc>
          <w:tcPr>
            <w:tcW w:w="1474" w:type="dxa"/>
            <w:vAlign w:val="center"/>
          </w:tcPr>
          <w:p w14:paraId="47218BB3">
            <w:pPr>
              <w:pStyle w:val="11"/>
            </w:pPr>
          </w:p>
        </w:tc>
      </w:tr>
      <w:tr w14:paraId="1CBF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FDCA4">
            <w:pPr>
              <w:pStyle w:val="13"/>
            </w:pPr>
            <w:r>
              <w:t>2</w:t>
            </w:r>
          </w:p>
        </w:tc>
        <w:tc>
          <w:tcPr>
            <w:tcW w:w="3402" w:type="dxa"/>
            <w:vAlign w:val="center"/>
          </w:tcPr>
          <w:p w14:paraId="0BC7A955">
            <w:pPr>
              <w:pStyle w:val="12"/>
            </w:pPr>
            <w:r>
              <w:t>二、政府性基金预算拨款</w:t>
            </w:r>
          </w:p>
        </w:tc>
        <w:tc>
          <w:tcPr>
            <w:tcW w:w="1474" w:type="dxa"/>
            <w:vAlign w:val="center"/>
          </w:tcPr>
          <w:p w14:paraId="4A120E3D">
            <w:pPr>
              <w:pStyle w:val="11"/>
            </w:pPr>
          </w:p>
        </w:tc>
        <w:tc>
          <w:tcPr>
            <w:tcW w:w="3402" w:type="dxa"/>
            <w:vAlign w:val="center"/>
          </w:tcPr>
          <w:p w14:paraId="63DBE9DE">
            <w:pPr>
              <w:pStyle w:val="12"/>
            </w:pPr>
            <w:r>
              <w:t>二、外交支出</w:t>
            </w:r>
          </w:p>
        </w:tc>
        <w:tc>
          <w:tcPr>
            <w:tcW w:w="1474" w:type="dxa"/>
            <w:vAlign w:val="center"/>
          </w:tcPr>
          <w:p w14:paraId="04062C93">
            <w:pPr>
              <w:pStyle w:val="11"/>
            </w:pPr>
          </w:p>
        </w:tc>
        <w:tc>
          <w:tcPr>
            <w:tcW w:w="1474" w:type="dxa"/>
            <w:vAlign w:val="center"/>
          </w:tcPr>
          <w:p w14:paraId="70DE6155">
            <w:pPr>
              <w:pStyle w:val="11"/>
            </w:pPr>
          </w:p>
        </w:tc>
        <w:tc>
          <w:tcPr>
            <w:tcW w:w="1474" w:type="dxa"/>
            <w:vAlign w:val="center"/>
          </w:tcPr>
          <w:p w14:paraId="5A3C2671">
            <w:pPr>
              <w:pStyle w:val="11"/>
            </w:pPr>
          </w:p>
        </w:tc>
        <w:tc>
          <w:tcPr>
            <w:tcW w:w="1474" w:type="dxa"/>
            <w:vAlign w:val="center"/>
          </w:tcPr>
          <w:p w14:paraId="03D367B4">
            <w:pPr>
              <w:pStyle w:val="11"/>
            </w:pPr>
          </w:p>
        </w:tc>
      </w:tr>
      <w:tr w14:paraId="65C3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4238">
            <w:pPr>
              <w:pStyle w:val="13"/>
            </w:pPr>
            <w:r>
              <w:t>3</w:t>
            </w:r>
          </w:p>
        </w:tc>
        <w:tc>
          <w:tcPr>
            <w:tcW w:w="3402" w:type="dxa"/>
            <w:vAlign w:val="center"/>
          </w:tcPr>
          <w:p w14:paraId="65534CB4">
            <w:pPr>
              <w:pStyle w:val="12"/>
            </w:pPr>
            <w:r>
              <w:t>三、国有资本经营预算拨款</w:t>
            </w:r>
          </w:p>
        </w:tc>
        <w:tc>
          <w:tcPr>
            <w:tcW w:w="1474" w:type="dxa"/>
            <w:vAlign w:val="center"/>
          </w:tcPr>
          <w:p w14:paraId="16F8B7D6">
            <w:pPr>
              <w:pStyle w:val="11"/>
            </w:pPr>
          </w:p>
        </w:tc>
        <w:tc>
          <w:tcPr>
            <w:tcW w:w="3402" w:type="dxa"/>
            <w:vAlign w:val="center"/>
          </w:tcPr>
          <w:p w14:paraId="3D883246">
            <w:pPr>
              <w:pStyle w:val="12"/>
            </w:pPr>
            <w:r>
              <w:t>三、国防支出</w:t>
            </w:r>
          </w:p>
        </w:tc>
        <w:tc>
          <w:tcPr>
            <w:tcW w:w="1474" w:type="dxa"/>
            <w:vAlign w:val="center"/>
          </w:tcPr>
          <w:p w14:paraId="446009EA">
            <w:pPr>
              <w:pStyle w:val="11"/>
            </w:pPr>
          </w:p>
        </w:tc>
        <w:tc>
          <w:tcPr>
            <w:tcW w:w="1474" w:type="dxa"/>
            <w:vAlign w:val="center"/>
          </w:tcPr>
          <w:p w14:paraId="542327D9">
            <w:pPr>
              <w:pStyle w:val="11"/>
            </w:pPr>
          </w:p>
        </w:tc>
        <w:tc>
          <w:tcPr>
            <w:tcW w:w="1474" w:type="dxa"/>
            <w:vAlign w:val="center"/>
          </w:tcPr>
          <w:p w14:paraId="47E554C7">
            <w:pPr>
              <w:pStyle w:val="11"/>
            </w:pPr>
          </w:p>
        </w:tc>
        <w:tc>
          <w:tcPr>
            <w:tcW w:w="1474" w:type="dxa"/>
            <w:vAlign w:val="center"/>
          </w:tcPr>
          <w:p w14:paraId="25F50B3A">
            <w:pPr>
              <w:pStyle w:val="11"/>
            </w:pPr>
          </w:p>
        </w:tc>
      </w:tr>
      <w:tr w14:paraId="0CF2F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D063">
            <w:pPr>
              <w:pStyle w:val="13"/>
            </w:pPr>
            <w:r>
              <w:t>4</w:t>
            </w:r>
          </w:p>
        </w:tc>
        <w:tc>
          <w:tcPr>
            <w:tcW w:w="3402" w:type="dxa"/>
            <w:vAlign w:val="center"/>
          </w:tcPr>
          <w:p w14:paraId="46473E94">
            <w:pPr>
              <w:pStyle w:val="12"/>
            </w:pPr>
          </w:p>
        </w:tc>
        <w:tc>
          <w:tcPr>
            <w:tcW w:w="1474" w:type="dxa"/>
            <w:vAlign w:val="center"/>
          </w:tcPr>
          <w:p w14:paraId="029958AE">
            <w:pPr>
              <w:pStyle w:val="11"/>
            </w:pPr>
          </w:p>
        </w:tc>
        <w:tc>
          <w:tcPr>
            <w:tcW w:w="3402" w:type="dxa"/>
            <w:vAlign w:val="center"/>
          </w:tcPr>
          <w:p w14:paraId="413B27ED">
            <w:pPr>
              <w:pStyle w:val="12"/>
            </w:pPr>
            <w:r>
              <w:t>四、公共安全支出</w:t>
            </w:r>
          </w:p>
        </w:tc>
        <w:tc>
          <w:tcPr>
            <w:tcW w:w="1474" w:type="dxa"/>
            <w:vAlign w:val="center"/>
          </w:tcPr>
          <w:p w14:paraId="10A79056">
            <w:pPr>
              <w:pStyle w:val="11"/>
            </w:pPr>
          </w:p>
        </w:tc>
        <w:tc>
          <w:tcPr>
            <w:tcW w:w="1474" w:type="dxa"/>
            <w:vAlign w:val="center"/>
          </w:tcPr>
          <w:p w14:paraId="1D7491C3">
            <w:pPr>
              <w:pStyle w:val="11"/>
            </w:pPr>
          </w:p>
        </w:tc>
        <w:tc>
          <w:tcPr>
            <w:tcW w:w="1474" w:type="dxa"/>
            <w:vAlign w:val="center"/>
          </w:tcPr>
          <w:p w14:paraId="10484861">
            <w:pPr>
              <w:pStyle w:val="11"/>
            </w:pPr>
          </w:p>
        </w:tc>
        <w:tc>
          <w:tcPr>
            <w:tcW w:w="1474" w:type="dxa"/>
            <w:vAlign w:val="center"/>
          </w:tcPr>
          <w:p w14:paraId="08C81CAB">
            <w:pPr>
              <w:pStyle w:val="11"/>
            </w:pPr>
          </w:p>
        </w:tc>
      </w:tr>
      <w:tr w14:paraId="3096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500A5">
            <w:pPr>
              <w:pStyle w:val="13"/>
            </w:pPr>
            <w:r>
              <w:t>5</w:t>
            </w:r>
          </w:p>
        </w:tc>
        <w:tc>
          <w:tcPr>
            <w:tcW w:w="3402" w:type="dxa"/>
            <w:vAlign w:val="center"/>
          </w:tcPr>
          <w:p w14:paraId="4BE61D6D">
            <w:pPr>
              <w:pStyle w:val="12"/>
            </w:pPr>
          </w:p>
        </w:tc>
        <w:tc>
          <w:tcPr>
            <w:tcW w:w="1474" w:type="dxa"/>
            <w:vAlign w:val="center"/>
          </w:tcPr>
          <w:p w14:paraId="3D54239F">
            <w:pPr>
              <w:pStyle w:val="11"/>
            </w:pPr>
          </w:p>
        </w:tc>
        <w:tc>
          <w:tcPr>
            <w:tcW w:w="3402" w:type="dxa"/>
            <w:vAlign w:val="center"/>
          </w:tcPr>
          <w:p w14:paraId="0DCF247E">
            <w:pPr>
              <w:pStyle w:val="12"/>
            </w:pPr>
            <w:r>
              <w:t>五、教育支出</w:t>
            </w:r>
          </w:p>
        </w:tc>
        <w:tc>
          <w:tcPr>
            <w:tcW w:w="1474" w:type="dxa"/>
            <w:vAlign w:val="center"/>
          </w:tcPr>
          <w:p w14:paraId="2D22482C">
            <w:pPr>
              <w:pStyle w:val="11"/>
            </w:pPr>
            <w:r>
              <w:t>2942.65</w:t>
            </w:r>
          </w:p>
        </w:tc>
        <w:tc>
          <w:tcPr>
            <w:tcW w:w="1474" w:type="dxa"/>
            <w:vAlign w:val="center"/>
          </w:tcPr>
          <w:p w14:paraId="18950387">
            <w:pPr>
              <w:pStyle w:val="11"/>
            </w:pPr>
            <w:r>
              <w:t>2942.65</w:t>
            </w:r>
          </w:p>
        </w:tc>
        <w:tc>
          <w:tcPr>
            <w:tcW w:w="1474" w:type="dxa"/>
            <w:vAlign w:val="center"/>
          </w:tcPr>
          <w:p w14:paraId="58C4F3B4">
            <w:pPr>
              <w:pStyle w:val="11"/>
            </w:pPr>
          </w:p>
        </w:tc>
        <w:tc>
          <w:tcPr>
            <w:tcW w:w="1474" w:type="dxa"/>
            <w:vAlign w:val="center"/>
          </w:tcPr>
          <w:p w14:paraId="1C1BD568">
            <w:pPr>
              <w:pStyle w:val="11"/>
            </w:pPr>
          </w:p>
        </w:tc>
      </w:tr>
      <w:tr w14:paraId="6CDF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AC91">
            <w:pPr>
              <w:pStyle w:val="13"/>
            </w:pPr>
            <w:r>
              <w:t>6</w:t>
            </w:r>
          </w:p>
        </w:tc>
        <w:tc>
          <w:tcPr>
            <w:tcW w:w="3402" w:type="dxa"/>
            <w:vAlign w:val="center"/>
          </w:tcPr>
          <w:p w14:paraId="15FCD3D7">
            <w:pPr>
              <w:pStyle w:val="12"/>
            </w:pPr>
          </w:p>
        </w:tc>
        <w:tc>
          <w:tcPr>
            <w:tcW w:w="1474" w:type="dxa"/>
            <w:vAlign w:val="center"/>
          </w:tcPr>
          <w:p w14:paraId="4A12C888">
            <w:pPr>
              <w:pStyle w:val="11"/>
            </w:pPr>
          </w:p>
        </w:tc>
        <w:tc>
          <w:tcPr>
            <w:tcW w:w="3402" w:type="dxa"/>
            <w:vAlign w:val="center"/>
          </w:tcPr>
          <w:p w14:paraId="1EA4521E">
            <w:pPr>
              <w:pStyle w:val="12"/>
            </w:pPr>
            <w:r>
              <w:t>六、科学技术支出</w:t>
            </w:r>
          </w:p>
        </w:tc>
        <w:tc>
          <w:tcPr>
            <w:tcW w:w="1474" w:type="dxa"/>
            <w:vAlign w:val="center"/>
          </w:tcPr>
          <w:p w14:paraId="04BD52BB">
            <w:pPr>
              <w:pStyle w:val="11"/>
            </w:pPr>
          </w:p>
        </w:tc>
        <w:tc>
          <w:tcPr>
            <w:tcW w:w="1474" w:type="dxa"/>
            <w:vAlign w:val="center"/>
          </w:tcPr>
          <w:p w14:paraId="37A7EBC5">
            <w:pPr>
              <w:pStyle w:val="11"/>
            </w:pPr>
          </w:p>
        </w:tc>
        <w:tc>
          <w:tcPr>
            <w:tcW w:w="1474" w:type="dxa"/>
            <w:vAlign w:val="center"/>
          </w:tcPr>
          <w:p w14:paraId="02660A70">
            <w:pPr>
              <w:pStyle w:val="11"/>
            </w:pPr>
          </w:p>
        </w:tc>
        <w:tc>
          <w:tcPr>
            <w:tcW w:w="1474" w:type="dxa"/>
            <w:vAlign w:val="center"/>
          </w:tcPr>
          <w:p w14:paraId="5F902A74">
            <w:pPr>
              <w:pStyle w:val="11"/>
            </w:pPr>
          </w:p>
        </w:tc>
      </w:tr>
      <w:tr w14:paraId="30B1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6416F">
            <w:pPr>
              <w:pStyle w:val="13"/>
            </w:pPr>
            <w:r>
              <w:t>7</w:t>
            </w:r>
          </w:p>
        </w:tc>
        <w:tc>
          <w:tcPr>
            <w:tcW w:w="3402" w:type="dxa"/>
            <w:vAlign w:val="center"/>
          </w:tcPr>
          <w:p w14:paraId="11799EFB">
            <w:pPr>
              <w:pStyle w:val="12"/>
            </w:pPr>
          </w:p>
        </w:tc>
        <w:tc>
          <w:tcPr>
            <w:tcW w:w="1474" w:type="dxa"/>
            <w:vAlign w:val="center"/>
          </w:tcPr>
          <w:p w14:paraId="65F316A3">
            <w:pPr>
              <w:pStyle w:val="11"/>
            </w:pPr>
          </w:p>
        </w:tc>
        <w:tc>
          <w:tcPr>
            <w:tcW w:w="3402" w:type="dxa"/>
            <w:vAlign w:val="center"/>
          </w:tcPr>
          <w:p w14:paraId="3F261188">
            <w:pPr>
              <w:pStyle w:val="12"/>
            </w:pPr>
            <w:r>
              <w:t>七、文化旅游体育与传媒支出</w:t>
            </w:r>
          </w:p>
        </w:tc>
        <w:tc>
          <w:tcPr>
            <w:tcW w:w="1474" w:type="dxa"/>
            <w:vAlign w:val="center"/>
          </w:tcPr>
          <w:p w14:paraId="10B2C422">
            <w:pPr>
              <w:pStyle w:val="11"/>
            </w:pPr>
          </w:p>
        </w:tc>
        <w:tc>
          <w:tcPr>
            <w:tcW w:w="1474" w:type="dxa"/>
            <w:vAlign w:val="center"/>
          </w:tcPr>
          <w:p w14:paraId="6CB329E7">
            <w:pPr>
              <w:pStyle w:val="11"/>
            </w:pPr>
          </w:p>
        </w:tc>
        <w:tc>
          <w:tcPr>
            <w:tcW w:w="1474" w:type="dxa"/>
            <w:vAlign w:val="center"/>
          </w:tcPr>
          <w:p w14:paraId="0560A26F">
            <w:pPr>
              <w:pStyle w:val="11"/>
            </w:pPr>
          </w:p>
        </w:tc>
        <w:tc>
          <w:tcPr>
            <w:tcW w:w="1474" w:type="dxa"/>
            <w:vAlign w:val="center"/>
          </w:tcPr>
          <w:p w14:paraId="51837216">
            <w:pPr>
              <w:pStyle w:val="11"/>
            </w:pPr>
          </w:p>
        </w:tc>
      </w:tr>
      <w:tr w14:paraId="69C2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66B39">
            <w:pPr>
              <w:pStyle w:val="13"/>
            </w:pPr>
            <w:r>
              <w:t>8</w:t>
            </w:r>
          </w:p>
        </w:tc>
        <w:tc>
          <w:tcPr>
            <w:tcW w:w="3402" w:type="dxa"/>
            <w:vAlign w:val="center"/>
          </w:tcPr>
          <w:p w14:paraId="388B2D2B">
            <w:pPr>
              <w:pStyle w:val="12"/>
            </w:pPr>
          </w:p>
        </w:tc>
        <w:tc>
          <w:tcPr>
            <w:tcW w:w="1474" w:type="dxa"/>
            <w:vAlign w:val="center"/>
          </w:tcPr>
          <w:p w14:paraId="16B1FCB8">
            <w:pPr>
              <w:pStyle w:val="11"/>
            </w:pPr>
          </w:p>
        </w:tc>
        <w:tc>
          <w:tcPr>
            <w:tcW w:w="3402" w:type="dxa"/>
            <w:vAlign w:val="center"/>
          </w:tcPr>
          <w:p w14:paraId="123AD2A6">
            <w:pPr>
              <w:pStyle w:val="12"/>
            </w:pPr>
            <w:r>
              <w:t>八、社会保障和就业支出</w:t>
            </w:r>
          </w:p>
        </w:tc>
        <w:tc>
          <w:tcPr>
            <w:tcW w:w="1474" w:type="dxa"/>
            <w:vAlign w:val="center"/>
          </w:tcPr>
          <w:p w14:paraId="127CEB6D">
            <w:pPr>
              <w:pStyle w:val="11"/>
            </w:pPr>
          </w:p>
        </w:tc>
        <w:tc>
          <w:tcPr>
            <w:tcW w:w="1474" w:type="dxa"/>
            <w:vAlign w:val="center"/>
          </w:tcPr>
          <w:p w14:paraId="7B4E263B">
            <w:pPr>
              <w:pStyle w:val="11"/>
            </w:pPr>
          </w:p>
        </w:tc>
        <w:tc>
          <w:tcPr>
            <w:tcW w:w="1474" w:type="dxa"/>
            <w:vAlign w:val="center"/>
          </w:tcPr>
          <w:p w14:paraId="16F96746">
            <w:pPr>
              <w:pStyle w:val="11"/>
            </w:pPr>
          </w:p>
        </w:tc>
        <w:tc>
          <w:tcPr>
            <w:tcW w:w="1474" w:type="dxa"/>
            <w:vAlign w:val="center"/>
          </w:tcPr>
          <w:p w14:paraId="0E541D47">
            <w:pPr>
              <w:pStyle w:val="11"/>
            </w:pPr>
          </w:p>
        </w:tc>
      </w:tr>
      <w:tr w14:paraId="122C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AE128">
            <w:pPr>
              <w:pStyle w:val="13"/>
            </w:pPr>
            <w:r>
              <w:t>9</w:t>
            </w:r>
          </w:p>
        </w:tc>
        <w:tc>
          <w:tcPr>
            <w:tcW w:w="3402" w:type="dxa"/>
            <w:vAlign w:val="center"/>
          </w:tcPr>
          <w:p w14:paraId="37445FCF">
            <w:pPr>
              <w:pStyle w:val="12"/>
            </w:pPr>
          </w:p>
        </w:tc>
        <w:tc>
          <w:tcPr>
            <w:tcW w:w="1474" w:type="dxa"/>
            <w:vAlign w:val="center"/>
          </w:tcPr>
          <w:p w14:paraId="62D8B9C1">
            <w:pPr>
              <w:pStyle w:val="11"/>
            </w:pPr>
          </w:p>
        </w:tc>
        <w:tc>
          <w:tcPr>
            <w:tcW w:w="3402" w:type="dxa"/>
            <w:vAlign w:val="center"/>
          </w:tcPr>
          <w:p w14:paraId="18FA3B01">
            <w:pPr>
              <w:pStyle w:val="12"/>
            </w:pPr>
            <w:r>
              <w:t>九、社会保险基金支出</w:t>
            </w:r>
          </w:p>
        </w:tc>
        <w:tc>
          <w:tcPr>
            <w:tcW w:w="1474" w:type="dxa"/>
            <w:vAlign w:val="center"/>
          </w:tcPr>
          <w:p w14:paraId="30E78AC5">
            <w:pPr>
              <w:pStyle w:val="11"/>
            </w:pPr>
          </w:p>
        </w:tc>
        <w:tc>
          <w:tcPr>
            <w:tcW w:w="1474" w:type="dxa"/>
            <w:vAlign w:val="center"/>
          </w:tcPr>
          <w:p w14:paraId="43BAB30C">
            <w:pPr>
              <w:pStyle w:val="11"/>
            </w:pPr>
          </w:p>
        </w:tc>
        <w:tc>
          <w:tcPr>
            <w:tcW w:w="1474" w:type="dxa"/>
            <w:vAlign w:val="center"/>
          </w:tcPr>
          <w:p w14:paraId="4B0D0475">
            <w:pPr>
              <w:pStyle w:val="11"/>
            </w:pPr>
          </w:p>
        </w:tc>
        <w:tc>
          <w:tcPr>
            <w:tcW w:w="1474" w:type="dxa"/>
            <w:vAlign w:val="center"/>
          </w:tcPr>
          <w:p w14:paraId="363E9463">
            <w:pPr>
              <w:pStyle w:val="11"/>
            </w:pPr>
          </w:p>
        </w:tc>
      </w:tr>
      <w:tr w14:paraId="1081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27367">
            <w:pPr>
              <w:pStyle w:val="13"/>
            </w:pPr>
            <w:r>
              <w:t>10</w:t>
            </w:r>
          </w:p>
        </w:tc>
        <w:tc>
          <w:tcPr>
            <w:tcW w:w="3402" w:type="dxa"/>
            <w:vAlign w:val="center"/>
          </w:tcPr>
          <w:p w14:paraId="0AC28C4E">
            <w:pPr>
              <w:pStyle w:val="12"/>
            </w:pPr>
          </w:p>
        </w:tc>
        <w:tc>
          <w:tcPr>
            <w:tcW w:w="1474" w:type="dxa"/>
            <w:vAlign w:val="center"/>
          </w:tcPr>
          <w:p w14:paraId="508A86A3">
            <w:pPr>
              <w:pStyle w:val="11"/>
            </w:pPr>
          </w:p>
        </w:tc>
        <w:tc>
          <w:tcPr>
            <w:tcW w:w="3402" w:type="dxa"/>
            <w:vAlign w:val="center"/>
          </w:tcPr>
          <w:p w14:paraId="3725B517">
            <w:pPr>
              <w:pStyle w:val="12"/>
            </w:pPr>
            <w:r>
              <w:t>十、卫生健康支出</w:t>
            </w:r>
          </w:p>
        </w:tc>
        <w:tc>
          <w:tcPr>
            <w:tcW w:w="1474" w:type="dxa"/>
            <w:vAlign w:val="center"/>
          </w:tcPr>
          <w:p w14:paraId="7662A2DE">
            <w:pPr>
              <w:pStyle w:val="11"/>
            </w:pPr>
          </w:p>
        </w:tc>
        <w:tc>
          <w:tcPr>
            <w:tcW w:w="1474" w:type="dxa"/>
            <w:vAlign w:val="center"/>
          </w:tcPr>
          <w:p w14:paraId="7423C7BA">
            <w:pPr>
              <w:pStyle w:val="11"/>
            </w:pPr>
          </w:p>
        </w:tc>
        <w:tc>
          <w:tcPr>
            <w:tcW w:w="1474" w:type="dxa"/>
            <w:vAlign w:val="center"/>
          </w:tcPr>
          <w:p w14:paraId="07BBADD1">
            <w:pPr>
              <w:pStyle w:val="11"/>
            </w:pPr>
          </w:p>
        </w:tc>
        <w:tc>
          <w:tcPr>
            <w:tcW w:w="1474" w:type="dxa"/>
            <w:vAlign w:val="center"/>
          </w:tcPr>
          <w:p w14:paraId="0987C936">
            <w:pPr>
              <w:pStyle w:val="11"/>
            </w:pPr>
          </w:p>
        </w:tc>
      </w:tr>
      <w:tr w14:paraId="7C91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1454C">
            <w:pPr>
              <w:pStyle w:val="13"/>
            </w:pPr>
            <w:r>
              <w:t>11</w:t>
            </w:r>
          </w:p>
        </w:tc>
        <w:tc>
          <w:tcPr>
            <w:tcW w:w="3402" w:type="dxa"/>
            <w:vAlign w:val="center"/>
          </w:tcPr>
          <w:p w14:paraId="6D13CF20">
            <w:pPr>
              <w:pStyle w:val="12"/>
            </w:pPr>
          </w:p>
        </w:tc>
        <w:tc>
          <w:tcPr>
            <w:tcW w:w="1474" w:type="dxa"/>
            <w:vAlign w:val="center"/>
          </w:tcPr>
          <w:p w14:paraId="13496D38">
            <w:pPr>
              <w:pStyle w:val="11"/>
            </w:pPr>
          </w:p>
        </w:tc>
        <w:tc>
          <w:tcPr>
            <w:tcW w:w="3402" w:type="dxa"/>
            <w:vAlign w:val="center"/>
          </w:tcPr>
          <w:p w14:paraId="29A41D5A">
            <w:pPr>
              <w:pStyle w:val="12"/>
            </w:pPr>
            <w:r>
              <w:t>十一、节能环保支出</w:t>
            </w:r>
          </w:p>
        </w:tc>
        <w:tc>
          <w:tcPr>
            <w:tcW w:w="1474" w:type="dxa"/>
            <w:vAlign w:val="center"/>
          </w:tcPr>
          <w:p w14:paraId="4E20BD16">
            <w:pPr>
              <w:pStyle w:val="11"/>
            </w:pPr>
          </w:p>
        </w:tc>
        <w:tc>
          <w:tcPr>
            <w:tcW w:w="1474" w:type="dxa"/>
            <w:vAlign w:val="center"/>
          </w:tcPr>
          <w:p w14:paraId="68909682">
            <w:pPr>
              <w:pStyle w:val="11"/>
            </w:pPr>
          </w:p>
        </w:tc>
        <w:tc>
          <w:tcPr>
            <w:tcW w:w="1474" w:type="dxa"/>
            <w:vAlign w:val="center"/>
          </w:tcPr>
          <w:p w14:paraId="0CF93F53">
            <w:pPr>
              <w:pStyle w:val="11"/>
            </w:pPr>
          </w:p>
        </w:tc>
        <w:tc>
          <w:tcPr>
            <w:tcW w:w="1474" w:type="dxa"/>
            <w:vAlign w:val="center"/>
          </w:tcPr>
          <w:p w14:paraId="2016CC1C">
            <w:pPr>
              <w:pStyle w:val="11"/>
            </w:pPr>
          </w:p>
        </w:tc>
      </w:tr>
      <w:tr w14:paraId="37C0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59CFE">
            <w:pPr>
              <w:pStyle w:val="13"/>
            </w:pPr>
            <w:r>
              <w:t>12</w:t>
            </w:r>
          </w:p>
        </w:tc>
        <w:tc>
          <w:tcPr>
            <w:tcW w:w="3402" w:type="dxa"/>
            <w:vAlign w:val="center"/>
          </w:tcPr>
          <w:p w14:paraId="3B872E65">
            <w:pPr>
              <w:pStyle w:val="12"/>
            </w:pPr>
          </w:p>
        </w:tc>
        <w:tc>
          <w:tcPr>
            <w:tcW w:w="1474" w:type="dxa"/>
            <w:vAlign w:val="center"/>
          </w:tcPr>
          <w:p w14:paraId="1453F0FC">
            <w:pPr>
              <w:pStyle w:val="11"/>
            </w:pPr>
          </w:p>
        </w:tc>
        <w:tc>
          <w:tcPr>
            <w:tcW w:w="3402" w:type="dxa"/>
            <w:vAlign w:val="center"/>
          </w:tcPr>
          <w:p w14:paraId="6D7C4D9C">
            <w:pPr>
              <w:pStyle w:val="12"/>
            </w:pPr>
            <w:r>
              <w:t>十二、城乡社区支出</w:t>
            </w:r>
          </w:p>
        </w:tc>
        <w:tc>
          <w:tcPr>
            <w:tcW w:w="1474" w:type="dxa"/>
            <w:vAlign w:val="center"/>
          </w:tcPr>
          <w:p w14:paraId="57D2C798">
            <w:pPr>
              <w:pStyle w:val="11"/>
            </w:pPr>
          </w:p>
        </w:tc>
        <w:tc>
          <w:tcPr>
            <w:tcW w:w="1474" w:type="dxa"/>
            <w:vAlign w:val="center"/>
          </w:tcPr>
          <w:p w14:paraId="354330EB">
            <w:pPr>
              <w:pStyle w:val="11"/>
            </w:pPr>
          </w:p>
        </w:tc>
        <w:tc>
          <w:tcPr>
            <w:tcW w:w="1474" w:type="dxa"/>
            <w:vAlign w:val="center"/>
          </w:tcPr>
          <w:p w14:paraId="1C87123D">
            <w:pPr>
              <w:pStyle w:val="11"/>
            </w:pPr>
          </w:p>
        </w:tc>
        <w:tc>
          <w:tcPr>
            <w:tcW w:w="1474" w:type="dxa"/>
            <w:vAlign w:val="center"/>
          </w:tcPr>
          <w:p w14:paraId="79D14973">
            <w:pPr>
              <w:pStyle w:val="11"/>
            </w:pPr>
          </w:p>
        </w:tc>
      </w:tr>
      <w:tr w14:paraId="66AA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BBFD3">
            <w:pPr>
              <w:pStyle w:val="13"/>
            </w:pPr>
            <w:r>
              <w:t>13</w:t>
            </w:r>
          </w:p>
        </w:tc>
        <w:tc>
          <w:tcPr>
            <w:tcW w:w="3402" w:type="dxa"/>
            <w:vAlign w:val="center"/>
          </w:tcPr>
          <w:p w14:paraId="456EE57D">
            <w:pPr>
              <w:pStyle w:val="12"/>
            </w:pPr>
          </w:p>
        </w:tc>
        <w:tc>
          <w:tcPr>
            <w:tcW w:w="1474" w:type="dxa"/>
            <w:vAlign w:val="center"/>
          </w:tcPr>
          <w:p w14:paraId="1E979EC0">
            <w:pPr>
              <w:pStyle w:val="11"/>
            </w:pPr>
          </w:p>
        </w:tc>
        <w:tc>
          <w:tcPr>
            <w:tcW w:w="3402" w:type="dxa"/>
            <w:vAlign w:val="center"/>
          </w:tcPr>
          <w:p w14:paraId="4A770847">
            <w:pPr>
              <w:pStyle w:val="12"/>
            </w:pPr>
            <w:r>
              <w:t>十三、农林水支出</w:t>
            </w:r>
          </w:p>
        </w:tc>
        <w:tc>
          <w:tcPr>
            <w:tcW w:w="1474" w:type="dxa"/>
            <w:vAlign w:val="center"/>
          </w:tcPr>
          <w:p w14:paraId="1A6D6376">
            <w:pPr>
              <w:pStyle w:val="11"/>
            </w:pPr>
          </w:p>
        </w:tc>
        <w:tc>
          <w:tcPr>
            <w:tcW w:w="1474" w:type="dxa"/>
            <w:vAlign w:val="center"/>
          </w:tcPr>
          <w:p w14:paraId="219191D1">
            <w:pPr>
              <w:pStyle w:val="11"/>
            </w:pPr>
          </w:p>
        </w:tc>
        <w:tc>
          <w:tcPr>
            <w:tcW w:w="1474" w:type="dxa"/>
            <w:vAlign w:val="center"/>
          </w:tcPr>
          <w:p w14:paraId="4560C7A0">
            <w:pPr>
              <w:pStyle w:val="11"/>
            </w:pPr>
          </w:p>
        </w:tc>
        <w:tc>
          <w:tcPr>
            <w:tcW w:w="1474" w:type="dxa"/>
            <w:vAlign w:val="center"/>
          </w:tcPr>
          <w:p w14:paraId="0616550B">
            <w:pPr>
              <w:pStyle w:val="11"/>
            </w:pPr>
          </w:p>
        </w:tc>
      </w:tr>
      <w:tr w14:paraId="7E07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A7639">
            <w:pPr>
              <w:pStyle w:val="13"/>
            </w:pPr>
            <w:r>
              <w:t>14</w:t>
            </w:r>
          </w:p>
        </w:tc>
        <w:tc>
          <w:tcPr>
            <w:tcW w:w="3402" w:type="dxa"/>
            <w:vAlign w:val="center"/>
          </w:tcPr>
          <w:p w14:paraId="21D8F6F1">
            <w:pPr>
              <w:pStyle w:val="12"/>
            </w:pPr>
          </w:p>
        </w:tc>
        <w:tc>
          <w:tcPr>
            <w:tcW w:w="1474" w:type="dxa"/>
            <w:vAlign w:val="center"/>
          </w:tcPr>
          <w:p w14:paraId="49404AE9">
            <w:pPr>
              <w:pStyle w:val="11"/>
            </w:pPr>
          </w:p>
        </w:tc>
        <w:tc>
          <w:tcPr>
            <w:tcW w:w="3402" w:type="dxa"/>
            <w:vAlign w:val="center"/>
          </w:tcPr>
          <w:p w14:paraId="0093AB67">
            <w:pPr>
              <w:pStyle w:val="12"/>
            </w:pPr>
            <w:r>
              <w:t>十四、交通运输支出</w:t>
            </w:r>
          </w:p>
        </w:tc>
        <w:tc>
          <w:tcPr>
            <w:tcW w:w="1474" w:type="dxa"/>
            <w:vAlign w:val="center"/>
          </w:tcPr>
          <w:p w14:paraId="2FC1BA34">
            <w:pPr>
              <w:pStyle w:val="11"/>
            </w:pPr>
          </w:p>
        </w:tc>
        <w:tc>
          <w:tcPr>
            <w:tcW w:w="1474" w:type="dxa"/>
            <w:vAlign w:val="center"/>
          </w:tcPr>
          <w:p w14:paraId="7EE06D3D">
            <w:pPr>
              <w:pStyle w:val="11"/>
            </w:pPr>
          </w:p>
        </w:tc>
        <w:tc>
          <w:tcPr>
            <w:tcW w:w="1474" w:type="dxa"/>
            <w:vAlign w:val="center"/>
          </w:tcPr>
          <w:p w14:paraId="0B085706">
            <w:pPr>
              <w:pStyle w:val="11"/>
            </w:pPr>
          </w:p>
        </w:tc>
        <w:tc>
          <w:tcPr>
            <w:tcW w:w="1474" w:type="dxa"/>
            <w:vAlign w:val="center"/>
          </w:tcPr>
          <w:p w14:paraId="11940D26">
            <w:pPr>
              <w:pStyle w:val="11"/>
            </w:pPr>
          </w:p>
        </w:tc>
      </w:tr>
      <w:tr w14:paraId="2574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7D8A6">
            <w:pPr>
              <w:pStyle w:val="13"/>
            </w:pPr>
            <w:r>
              <w:t>15</w:t>
            </w:r>
          </w:p>
        </w:tc>
        <w:tc>
          <w:tcPr>
            <w:tcW w:w="3402" w:type="dxa"/>
            <w:vAlign w:val="center"/>
          </w:tcPr>
          <w:p w14:paraId="1AF99B9F">
            <w:pPr>
              <w:pStyle w:val="12"/>
            </w:pPr>
          </w:p>
        </w:tc>
        <w:tc>
          <w:tcPr>
            <w:tcW w:w="1474" w:type="dxa"/>
            <w:vAlign w:val="center"/>
          </w:tcPr>
          <w:p w14:paraId="5045FBEB">
            <w:pPr>
              <w:pStyle w:val="11"/>
            </w:pPr>
          </w:p>
        </w:tc>
        <w:tc>
          <w:tcPr>
            <w:tcW w:w="3402" w:type="dxa"/>
            <w:vAlign w:val="center"/>
          </w:tcPr>
          <w:p w14:paraId="7F6E531B">
            <w:pPr>
              <w:pStyle w:val="12"/>
            </w:pPr>
            <w:r>
              <w:t>十五、资源勘探工业信息等支出</w:t>
            </w:r>
          </w:p>
        </w:tc>
        <w:tc>
          <w:tcPr>
            <w:tcW w:w="1474" w:type="dxa"/>
            <w:vAlign w:val="center"/>
          </w:tcPr>
          <w:p w14:paraId="1C5D116E">
            <w:pPr>
              <w:pStyle w:val="11"/>
            </w:pPr>
          </w:p>
        </w:tc>
        <w:tc>
          <w:tcPr>
            <w:tcW w:w="1474" w:type="dxa"/>
            <w:vAlign w:val="center"/>
          </w:tcPr>
          <w:p w14:paraId="10C878E0">
            <w:pPr>
              <w:pStyle w:val="11"/>
            </w:pPr>
          </w:p>
        </w:tc>
        <w:tc>
          <w:tcPr>
            <w:tcW w:w="1474" w:type="dxa"/>
            <w:vAlign w:val="center"/>
          </w:tcPr>
          <w:p w14:paraId="1ABAD8DC">
            <w:pPr>
              <w:pStyle w:val="11"/>
            </w:pPr>
          </w:p>
        </w:tc>
        <w:tc>
          <w:tcPr>
            <w:tcW w:w="1474" w:type="dxa"/>
            <w:vAlign w:val="center"/>
          </w:tcPr>
          <w:p w14:paraId="179FA1E8">
            <w:pPr>
              <w:pStyle w:val="11"/>
            </w:pPr>
          </w:p>
        </w:tc>
      </w:tr>
      <w:tr w14:paraId="5049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29FF6">
            <w:pPr>
              <w:pStyle w:val="13"/>
            </w:pPr>
            <w:r>
              <w:t>16</w:t>
            </w:r>
          </w:p>
        </w:tc>
        <w:tc>
          <w:tcPr>
            <w:tcW w:w="3402" w:type="dxa"/>
            <w:vAlign w:val="center"/>
          </w:tcPr>
          <w:p w14:paraId="4BFA24D2">
            <w:pPr>
              <w:pStyle w:val="12"/>
            </w:pPr>
          </w:p>
        </w:tc>
        <w:tc>
          <w:tcPr>
            <w:tcW w:w="1474" w:type="dxa"/>
            <w:vAlign w:val="center"/>
          </w:tcPr>
          <w:p w14:paraId="2A84EF82">
            <w:pPr>
              <w:pStyle w:val="11"/>
            </w:pPr>
          </w:p>
        </w:tc>
        <w:tc>
          <w:tcPr>
            <w:tcW w:w="3402" w:type="dxa"/>
            <w:vAlign w:val="center"/>
          </w:tcPr>
          <w:p w14:paraId="1594C270">
            <w:pPr>
              <w:pStyle w:val="12"/>
            </w:pPr>
            <w:r>
              <w:t>十六、商业服务业等支出</w:t>
            </w:r>
          </w:p>
        </w:tc>
        <w:tc>
          <w:tcPr>
            <w:tcW w:w="1474" w:type="dxa"/>
            <w:vAlign w:val="center"/>
          </w:tcPr>
          <w:p w14:paraId="562A8FCD">
            <w:pPr>
              <w:pStyle w:val="11"/>
            </w:pPr>
          </w:p>
        </w:tc>
        <w:tc>
          <w:tcPr>
            <w:tcW w:w="1474" w:type="dxa"/>
            <w:vAlign w:val="center"/>
          </w:tcPr>
          <w:p w14:paraId="0E6BB434">
            <w:pPr>
              <w:pStyle w:val="11"/>
            </w:pPr>
          </w:p>
        </w:tc>
        <w:tc>
          <w:tcPr>
            <w:tcW w:w="1474" w:type="dxa"/>
            <w:vAlign w:val="center"/>
          </w:tcPr>
          <w:p w14:paraId="5C21C9FD">
            <w:pPr>
              <w:pStyle w:val="11"/>
            </w:pPr>
          </w:p>
        </w:tc>
        <w:tc>
          <w:tcPr>
            <w:tcW w:w="1474" w:type="dxa"/>
            <w:vAlign w:val="center"/>
          </w:tcPr>
          <w:p w14:paraId="5E46C006">
            <w:pPr>
              <w:pStyle w:val="11"/>
            </w:pPr>
          </w:p>
        </w:tc>
      </w:tr>
      <w:tr w14:paraId="1086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9F6ED">
            <w:pPr>
              <w:pStyle w:val="13"/>
            </w:pPr>
            <w:r>
              <w:t>17</w:t>
            </w:r>
          </w:p>
        </w:tc>
        <w:tc>
          <w:tcPr>
            <w:tcW w:w="3402" w:type="dxa"/>
            <w:vAlign w:val="center"/>
          </w:tcPr>
          <w:p w14:paraId="3B840773">
            <w:pPr>
              <w:pStyle w:val="12"/>
            </w:pPr>
          </w:p>
        </w:tc>
        <w:tc>
          <w:tcPr>
            <w:tcW w:w="1474" w:type="dxa"/>
            <w:vAlign w:val="center"/>
          </w:tcPr>
          <w:p w14:paraId="21095EDA">
            <w:pPr>
              <w:pStyle w:val="11"/>
            </w:pPr>
          </w:p>
        </w:tc>
        <w:tc>
          <w:tcPr>
            <w:tcW w:w="3402" w:type="dxa"/>
            <w:vAlign w:val="center"/>
          </w:tcPr>
          <w:p w14:paraId="2A7D65FA">
            <w:pPr>
              <w:pStyle w:val="12"/>
            </w:pPr>
            <w:r>
              <w:t>十七、金融支出</w:t>
            </w:r>
          </w:p>
        </w:tc>
        <w:tc>
          <w:tcPr>
            <w:tcW w:w="1474" w:type="dxa"/>
            <w:vAlign w:val="center"/>
          </w:tcPr>
          <w:p w14:paraId="123FC6A9">
            <w:pPr>
              <w:pStyle w:val="11"/>
            </w:pPr>
          </w:p>
        </w:tc>
        <w:tc>
          <w:tcPr>
            <w:tcW w:w="1474" w:type="dxa"/>
            <w:vAlign w:val="center"/>
          </w:tcPr>
          <w:p w14:paraId="07D2C245">
            <w:pPr>
              <w:pStyle w:val="11"/>
            </w:pPr>
          </w:p>
        </w:tc>
        <w:tc>
          <w:tcPr>
            <w:tcW w:w="1474" w:type="dxa"/>
            <w:vAlign w:val="center"/>
          </w:tcPr>
          <w:p w14:paraId="440156F9">
            <w:pPr>
              <w:pStyle w:val="11"/>
            </w:pPr>
          </w:p>
        </w:tc>
        <w:tc>
          <w:tcPr>
            <w:tcW w:w="1474" w:type="dxa"/>
            <w:vAlign w:val="center"/>
          </w:tcPr>
          <w:p w14:paraId="765CBAE9">
            <w:pPr>
              <w:pStyle w:val="11"/>
            </w:pPr>
          </w:p>
        </w:tc>
      </w:tr>
      <w:tr w14:paraId="3C4BB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324C2">
            <w:pPr>
              <w:pStyle w:val="13"/>
            </w:pPr>
            <w:r>
              <w:t>18</w:t>
            </w:r>
          </w:p>
        </w:tc>
        <w:tc>
          <w:tcPr>
            <w:tcW w:w="3402" w:type="dxa"/>
            <w:vAlign w:val="center"/>
          </w:tcPr>
          <w:p w14:paraId="2CA67630">
            <w:pPr>
              <w:pStyle w:val="12"/>
            </w:pPr>
          </w:p>
        </w:tc>
        <w:tc>
          <w:tcPr>
            <w:tcW w:w="1474" w:type="dxa"/>
            <w:vAlign w:val="center"/>
          </w:tcPr>
          <w:p w14:paraId="3F5BF169">
            <w:pPr>
              <w:pStyle w:val="11"/>
            </w:pPr>
          </w:p>
        </w:tc>
        <w:tc>
          <w:tcPr>
            <w:tcW w:w="3402" w:type="dxa"/>
            <w:vAlign w:val="center"/>
          </w:tcPr>
          <w:p w14:paraId="57E774E9">
            <w:pPr>
              <w:pStyle w:val="12"/>
            </w:pPr>
            <w:r>
              <w:t>十八、援助其他地区支出</w:t>
            </w:r>
          </w:p>
        </w:tc>
        <w:tc>
          <w:tcPr>
            <w:tcW w:w="1474" w:type="dxa"/>
            <w:vAlign w:val="center"/>
          </w:tcPr>
          <w:p w14:paraId="0D700EC0">
            <w:pPr>
              <w:pStyle w:val="11"/>
            </w:pPr>
          </w:p>
        </w:tc>
        <w:tc>
          <w:tcPr>
            <w:tcW w:w="1474" w:type="dxa"/>
            <w:vAlign w:val="center"/>
          </w:tcPr>
          <w:p w14:paraId="542C432B">
            <w:pPr>
              <w:pStyle w:val="11"/>
            </w:pPr>
          </w:p>
        </w:tc>
        <w:tc>
          <w:tcPr>
            <w:tcW w:w="1474" w:type="dxa"/>
            <w:vAlign w:val="center"/>
          </w:tcPr>
          <w:p w14:paraId="75297454">
            <w:pPr>
              <w:pStyle w:val="11"/>
            </w:pPr>
          </w:p>
        </w:tc>
        <w:tc>
          <w:tcPr>
            <w:tcW w:w="1474" w:type="dxa"/>
            <w:vAlign w:val="center"/>
          </w:tcPr>
          <w:p w14:paraId="3ECAD5A6">
            <w:pPr>
              <w:pStyle w:val="11"/>
            </w:pPr>
          </w:p>
        </w:tc>
      </w:tr>
      <w:tr w14:paraId="4C33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C7432">
            <w:pPr>
              <w:pStyle w:val="13"/>
            </w:pPr>
            <w:r>
              <w:t>19</w:t>
            </w:r>
          </w:p>
        </w:tc>
        <w:tc>
          <w:tcPr>
            <w:tcW w:w="3402" w:type="dxa"/>
            <w:vAlign w:val="center"/>
          </w:tcPr>
          <w:p w14:paraId="3698B312">
            <w:pPr>
              <w:pStyle w:val="12"/>
            </w:pPr>
          </w:p>
        </w:tc>
        <w:tc>
          <w:tcPr>
            <w:tcW w:w="1474" w:type="dxa"/>
            <w:vAlign w:val="center"/>
          </w:tcPr>
          <w:p w14:paraId="2E762D62">
            <w:pPr>
              <w:pStyle w:val="11"/>
            </w:pPr>
          </w:p>
        </w:tc>
        <w:tc>
          <w:tcPr>
            <w:tcW w:w="3402" w:type="dxa"/>
            <w:vAlign w:val="center"/>
          </w:tcPr>
          <w:p w14:paraId="14DAB2A8">
            <w:pPr>
              <w:pStyle w:val="12"/>
            </w:pPr>
            <w:r>
              <w:t>十九、自然资源海洋气象等支出</w:t>
            </w:r>
          </w:p>
        </w:tc>
        <w:tc>
          <w:tcPr>
            <w:tcW w:w="1474" w:type="dxa"/>
            <w:vAlign w:val="center"/>
          </w:tcPr>
          <w:p w14:paraId="4B23C73F">
            <w:pPr>
              <w:pStyle w:val="11"/>
            </w:pPr>
          </w:p>
        </w:tc>
        <w:tc>
          <w:tcPr>
            <w:tcW w:w="1474" w:type="dxa"/>
            <w:vAlign w:val="center"/>
          </w:tcPr>
          <w:p w14:paraId="1C076CAA">
            <w:pPr>
              <w:pStyle w:val="11"/>
            </w:pPr>
          </w:p>
        </w:tc>
        <w:tc>
          <w:tcPr>
            <w:tcW w:w="1474" w:type="dxa"/>
            <w:vAlign w:val="center"/>
          </w:tcPr>
          <w:p w14:paraId="3FA60829">
            <w:pPr>
              <w:pStyle w:val="11"/>
            </w:pPr>
          </w:p>
        </w:tc>
        <w:tc>
          <w:tcPr>
            <w:tcW w:w="1474" w:type="dxa"/>
            <w:vAlign w:val="center"/>
          </w:tcPr>
          <w:p w14:paraId="38C96CA1">
            <w:pPr>
              <w:pStyle w:val="11"/>
            </w:pPr>
          </w:p>
        </w:tc>
      </w:tr>
      <w:tr w14:paraId="686B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73101">
            <w:pPr>
              <w:pStyle w:val="13"/>
            </w:pPr>
            <w:r>
              <w:t>20</w:t>
            </w:r>
          </w:p>
        </w:tc>
        <w:tc>
          <w:tcPr>
            <w:tcW w:w="3402" w:type="dxa"/>
            <w:vAlign w:val="center"/>
          </w:tcPr>
          <w:p w14:paraId="5F9E95E3">
            <w:pPr>
              <w:pStyle w:val="12"/>
            </w:pPr>
          </w:p>
        </w:tc>
        <w:tc>
          <w:tcPr>
            <w:tcW w:w="1474" w:type="dxa"/>
            <w:vAlign w:val="center"/>
          </w:tcPr>
          <w:p w14:paraId="695B55AE">
            <w:pPr>
              <w:pStyle w:val="11"/>
            </w:pPr>
          </w:p>
        </w:tc>
        <w:tc>
          <w:tcPr>
            <w:tcW w:w="3402" w:type="dxa"/>
            <w:vAlign w:val="center"/>
          </w:tcPr>
          <w:p w14:paraId="4365D23D">
            <w:pPr>
              <w:pStyle w:val="12"/>
            </w:pPr>
            <w:r>
              <w:t>二十、住房保障支出</w:t>
            </w:r>
          </w:p>
        </w:tc>
        <w:tc>
          <w:tcPr>
            <w:tcW w:w="1474" w:type="dxa"/>
            <w:vAlign w:val="center"/>
          </w:tcPr>
          <w:p w14:paraId="3D7AFD48">
            <w:pPr>
              <w:pStyle w:val="11"/>
            </w:pPr>
          </w:p>
        </w:tc>
        <w:tc>
          <w:tcPr>
            <w:tcW w:w="1474" w:type="dxa"/>
            <w:vAlign w:val="center"/>
          </w:tcPr>
          <w:p w14:paraId="3D6B25AE">
            <w:pPr>
              <w:pStyle w:val="11"/>
            </w:pPr>
          </w:p>
        </w:tc>
        <w:tc>
          <w:tcPr>
            <w:tcW w:w="1474" w:type="dxa"/>
            <w:vAlign w:val="center"/>
          </w:tcPr>
          <w:p w14:paraId="46F46279">
            <w:pPr>
              <w:pStyle w:val="11"/>
            </w:pPr>
          </w:p>
        </w:tc>
        <w:tc>
          <w:tcPr>
            <w:tcW w:w="1474" w:type="dxa"/>
            <w:vAlign w:val="center"/>
          </w:tcPr>
          <w:p w14:paraId="7B564680">
            <w:pPr>
              <w:pStyle w:val="11"/>
            </w:pPr>
          </w:p>
        </w:tc>
      </w:tr>
      <w:tr w14:paraId="2AF4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6D18F">
            <w:pPr>
              <w:pStyle w:val="13"/>
            </w:pPr>
            <w:r>
              <w:t>21</w:t>
            </w:r>
          </w:p>
        </w:tc>
        <w:tc>
          <w:tcPr>
            <w:tcW w:w="3402" w:type="dxa"/>
            <w:vAlign w:val="center"/>
          </w:tcPr>
          <w:p w14:paraId="5B183573">
            <w:pPr>
              <w:pStyle w:val="12"/>
            </w:pPr>
          </w:p>
        </w:tc>
        <w:tc>
          <w:tcPr>
            <w:tcW w:w="1474" w:type="dxa"/>
            <w:vAlign w:val="center"/>
          </w:tcPr>
          <w:p w14:paraId="7CA01FF8">
            <w:pPr>
              <w:pStyle w:val="11"/>
            </w:pPr>
          </w:p>
        </w:tc>
        <w:tc>
          <w:tcPr>
            <w:tcW w:w="3402" w:type="dxa"/>
            <w:vAlign w:val="center"/>
          </w:tcPr>
          <w:p w14:paraId="13E2105D">
            <w:pPr>
              <w:pStyle w:val="12"/>
            </w:pPr>
            <w:r>
              <w:t>二十一、粮油物资储备支出</w:t>
            </w:r>
          </w:p>
        </w:tc>
        <w:tc>
          <w:tcPr>
            <w:tcW w:w="1474" w:type="dxa"/>
            <w:vAlign w:val="center"/>
          </w:tcPr>
          <w:p w14:paraId="3F73D358">
            <w:pPr>
              <w:pStyle w:val="11"/>
            </w:pPr>
          </w:p>
        </w:tc>
        <w:tc>
          <w:tcPr>
            <w:tcW w:w="1474" w:type="dxa"/>
            <w:vAlign w:val="center"/>
          </w:tcPr>
          <w:p w14:paraId="3BA5F636">
            <w:pPr>
              <w:pStyle w:val="11"/>
            </w:pPr>
          </w:p>
        </w:tc>
        <w:tc>
          <w:tcPr>
            <w:tcW w:w="1474" w:type="dxa"/>
            <w:vAlign w:val="center"/>
          </w:tcPr>
          <w:p w14:paraId="12522C79">
            <w:pPr>
              <w:pStyle w:val="11"/>
            </w:pPr>
          </w:p>
        </w:tc>
        <w:tc>
          <w:tcPr>
            <w:tcW w:w="1474" w:type="dxa"/>
            <w:vAlign w:val="center"/>
          </w:tcPr>
          <w:p w14:paraId="4D8439F9">
            <w:pPr>
              <w:pStyle w:val="11"/>
            </w:pPr>
          </w:p>
        </w:tc>
      </w:tr>
      <w:tr w14:paraId="4B42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D5E2E">
            <w:pPr>
              <w:pStyle w:val="13"/>
            </w:pPr>
            <w:r>
              <w:t>22</w:t>
            </w:r>
          </w:p>
        </w:tc>
        <w:tc>
          <w:tcPr>
            <w:tcW w:w="3402" w:type="dxa"/>
            <w:vAlign w:val="center"/>
          </w:tcPr>
          <w:p w14:paraId="38D3894A">
            <w:pPr>
              <w:pStyle w:val="12"/>
            </w:pPr>
          </w:p>
        </w:tc>
        <w:tc>
          <w:tcPr>
            <w:tcW w:w="1474" w:type="dxa"/>
            <w:vAlign w:val="center"/>
          </w:tcPr>
          <w:p w14:paraId="4471549E">
            <w:pPr>
              <w:pStyle w:val="11"/>
            </w:pPr>
          </w:p>
        </w:tc>
        <w:tc>
          <w:tcPr>
            <w:tcW w:w="3402" w:type="dxa"/>
            <w:vAlign w:val="center"/>
          </w:tcPr>
          <w:p w14:paraId="380C449D">
            <w:pPr>
              <w:pStyle w:val="12"/>
            </w:pPr>
            <w:r>
              <w:t>二十二、国有资本经营预算支出</w:t>
            </w:r>
          </w:p>
        </w:tc>
        <w:tc>
          <w:tcPr>
            <w:tcW w:w="1474" w:type="dxa"/>
            <w:vAlign w:val="center"/>
          </w:tcPr>
          <w:p w14:paraId="61C0D560">
            <w:pPr>
              <w:pStyle w:val="11"/>
            </w:pPr>
          </w:p>
        </w:tc>
        <w:tc>
          <w:tcPr>
            <w:tcW w:w="1474" w:type="dxa"/>
            <w:vAlign w:val="center"/>
          </w:tcPr>
          <w:p w14:paraId="3241A006">
            <w:pPr>
              <w:pStyle w:val="11"/>
            </w:pPr>
          </w:p>
        </w:tc>
        <w:tc>
          <w:tcPr>
            <w:tcW w:w="1474" w:type="dxa"/>
            <w:vAlign w:val="center"/>
          </w:tcPr>
          <w:p w14:paraId="5AD0D092">
            <w:pPr>
              <w:pStyle w:val="11"/>
            </w:pPr>
          </w:p>
        </w:tc>
        <w:tc>
          <w:tcPr>
            <w:tcW w:w="1474" w:type="dxa"/>
            <w:vAlign w:val="center"/>
          </w:tcPr>
          <w:p w14:paraId="019C094B">
            <w:pPr>
              <w:pStyle w:val="11"/>
            </w:pPr>
          </w:p>
        </w:tc>
      </w:tr>
      <w:tr w14:paraId="6568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7236">
            <w:pPr>
              <w:pStyle w:val="13"/>
            </w:pPr>
            <w:r>
              <w:t>23</w:t>
            </w:r>
          </w:p>
        </w:tc>
        <w:tc>
          <w:tcPr>
            <w:tcW w:w="3402" w:type="dxa"/>
            <w:vAlign w:val="center"/>
          </w:tcPr>
          <w:p w14:paraId="42970C56">
            <w:pPr>
              <w:pStyle w:val="12"/>
            </w:pPr>
          </w:p>
        </w:tc>
        <w:tc>
          <w:tcPr>
            <w:tcW w:w="1474" w:type="dxa"/>
            <w:vAlign w:val="center"/>
          </w:tcPr>
          <w:p w14:paraId="791FDFA1">
            <w:pPr>
              <w:pStyle w:val="11"/>
            </w:pPr>
          </w:p>
        </w:tc>
        <w:tc>
          <w:tcPr>
            <w:tcW w:w="3402" w:type="dxa"/>
            <w:vAlign w:val="center"/>
          </w:tcPr>
          <w:p w14:paraId="63C13895">
            <w:pPr>
              <w:pStyle w:val="12"/>
            </w:pPr>
            <w:r>
              <w:t>二十三、灾害防治及应急管理支出</w:t>
            </w:r>
          </w:p>
        </w:tc>
        <w:tc>
          <w:tcPr>
            <w:tcW w:w="1474" w:type="dxa"/>
            <w:vAlign w:val="center"/>
          </w:tcPr>
          <w:p w14:paraId="2E9B85DE">
            <w:pPr>
              <w:pStyle w:val="11"/>
            </w:pPr>
          </w:p>
        </w:tc>
        <w:tc>
          <w:tcPr>
            <w:tcW w:w="1474" w:type="dxa"/>
            <w:vAlign w:val="center"/>
          </w:tcPr>
          <w:p w14:paraId="665B2704">
            <w:pPr>
              <w:pStyle w:val="11"/>
            </w:pPr>
          </w:p>
        </w:tc>
        <w:tc>
          <w:tcPr>
            <w:tcW w:w="1474" w:type="dxa"/>
            <w:vAlign w:val="center"/>
          </w:tcPr>
          <w:p w14:paraId="4C6541FA">
            <w:pPr>
              <w:pStyle w:val="11"/>
            </w:pPr>
          </w:p>
        </w:tc>
        <w:tc>
          <w:tcPr>
            <w:tcW w:w="1474" w:type="dxa"/>
            <w:vAlign w:val="center"/>
          </w:tcPr>
          <w:p w14:paraId="7A4A164D">
            <w:pPr>
              <w:pStyle w:val="11"/>
            </w:pPr>
          </w:p>
        </w:tc>
      </w:tr>
      <w:tr w14:paraId="1DB2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358B6">
            <w:pPr>
              <w:pStyle w:val="13"/>
            </w:pPr>
            <w:r>
              <w:t>24</w:t>
            </w:r>
          </w:p>
        </w:tc>
        <w:tc>
          <w:tcPr>
            <w:tcW w:w="3402" w:type="dxa"/>
            <w:vAlign w:val="center"/>
          </w:tcPr>
          <w:p w14:paraId="377E95A0">
            <w:pPr>
              <w:pStyle w:val="12"/>
            </w:pPr>
          </w:p>
        </w:tc>
        <w:tc>
          <w:tcPr>
            <w:tcW w:w="1474" w:type="dxa"/>
            <w:vAlign w:val="center"/>
          </w:tcPr>
          <w:p w14:paraId="3AFD24E3">
            <w:pPr>
              <w:pStyle w:val="11"/>
            </w:pPr>
          </w:p>
        </w:tc>
        <w:tc>
          <w:tcPr>
            <w:tcW w:w="3402" w:type="dxa"/>
            <w:vAlign w:val="center"/>
          </w:tcPr>
          <w:p w14:paraId="0FC45334">
            <w:pPr>
              <w:pStyle w:val="12"/>
            </w:pPr>
            <w:r>
              <w:t>二十四、预备费</w:t>
            </w:r>
          </w:p>
        </w:tc>
        <w:tc>
          <w:tcPr>
            <w:tcW w:w="1474" w:type="dxa"/>
            <w:vAlign w:val="center"/>
          </w:tcPr>
          <w:p w14:paraId="08B37943">
            <w:pPr>
              <w:pStyle w:val="11"/>
            </w:pPr>
          </w:p>
        </w:tc>
        <w:tc>
          <w:tcPr>
            <w:tcW w:w="1474" w:type="dxa"/>
            <w:vAlign w:val="center"/>
          </w:tcPr>
          <w:p w14:paraId="099D85EB">
            <w:pPr>
              <w:pStyle w:val="11"/>
            </w:pPr>
          </w:p>
        </w:tc>
        <w:tc>
          <w:tcPr>
            <w:tcW w:w="1474" w:type="dxa"/>
            <w:vAlign w:val="center"/>
          </w:tcPr>
          <w:p w14:paraId="569C378B">
            <w:pPr>
              <w:pStyle w:val="11"/>
            </w:pPr>
          </w:p>
        </w:tc>
        <w:tc>
          <w:tcPr>
            <w:tcW w:w="1474" w:type="dxa"/>
            <w:vAlign w:val="center"/>
          </w:tcPr>
          <w:p w14:paraId="4190A15E">
            <w:pPr>
              <w:pStyle w:val="11"/>
            </w:pPr>
          </w:p>
        </w:tc>
      </w:tr>
      <w:tr w14:paraId="0A3F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BD9E">
            <w:pPr>
              <w:pStyle w:val="13"/>
            </w:pPr>
            <w:r>
              <w:t>25</w:t>
            </w:r>
          </w:p>
        </w:tc>
        <w:tc>
          <w:tcPr>
            <w:tcW w:w="3402" w:type="dxa"/>
            <w:vAlign w:val="center"/>
          </w:tcPr>
          <w:p w14:paraId="3258F065">
            <w:pPr>
              <w:pStyle w:val="12"/>
            </w:pPr>
          </w:p>
        </w:tc>
        <w:tc>
          <w:tcPr>
            <w:tcW w:w="1474" w:type="dxa"/>
            <w:vAlign w:val="center"/>
          </w:tcPr>
          <w:p w14:paraId="41331E88">
            <w:pPr>
              <w:pStyle w:val="11"/>
            </w:pPr>
          </w:p>
        </w:tc>
        <w:tc>
          <w:tcPr>
            <w:tcW w:w="3402" w:type="dxa"/>
            <w:vAlign w:val="center"/>
          </w:tcPr>
          <w:p w14:paraId="24B0C524">
            <w:pPr>
              <w:pStyle w:val="12"/>
            </w:pPr>
            <w:r>
              <w:t>二十五、其他支出</w:t>
            </w:r>
          </w:p>
        </w:tc>
        <w:tc>
          <w:tcPr>
            <w:tcW w:w="1474" w:type="dxa"/>
            <w:vAlign w:val="center"/>
          </w:tcPr>
          <w:p w14:paraId="684C3537">
            <w:pPr>
              <w:pStyle w:val="11"/>
            </w:pPr>
          </w:p>
        </w:tc>
        <w:tc>
          <w:tcPr>
            <w:tcW w:w="1474" w:type="dxa"/>
            <w:vAlign w:val="center"/>
          </w:tcPr>
          <w:p w14:paraId="2C1C3930">
            <w:pPr>
              <w:pStyle w:val="11"/>
            </w:pPr>
          </w:p>
        </w:tc>
        <w:tc>
          <w:tcPr>
            <w:tcW w:w="1474" w:type="dxa"/>
            <w:vAlign w:val="center"/>
          </w:tcPr>
          <w:p w14:paraId="532B47FF">
            <w:pPr>
              <w:pStyle w:val="11"/>
            </w:pPr>
          </w:p>
        </w:tc>
        <w:tc>
          <w:tcPr>
            <w:tcW w:w="1474" w:type="dxa"/>
            <w:vAlign w:val="center"/>
          </w:tcPr>
          <w:p w14:paraId="67494AEA">
            <w:pPr>
              <w:pStyle w:val="11"/>
            </w:pPr>
          </w:p>
        </w:tc>
      </w:tr>
      <w:tr w14:paraId="1EE0F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BFA7A">
            <w:pPr>
              <w:pStyle w:val="13"/>
            </w:pPr>
            <w:r>
              <w:t>26</w:t>
            </w:r>
          </w:p>
        </w:tc>
        <w:tc>
          <w:tcPr>
            <w:tcW w:w="3402" w:type="dxa"/>
            <w:vAlign w:val="center"/>
          </w:tcPr>
          <w:p w14:paraId="4CFF5D7E">
            <w:pPr>
              <w:pStyle w:val="12"/>
            </w:pPr>
          </w:p>
        </w:tc>
        <w:tc>
          <w:tcPr>
            <w:tcW w:w="1474" w:type="dxa"/>
            <w:vAlign w:val="center"/>
          </w:tcPr>
          <w:p w14:paraId="52B64721">
            <w:pPr>
              <w:pStyle w:val="11"/>
            </w:pPr>
          </w:p>
        </w:tc>
        <w:tc>
          <w:tcPr>
            <w:tcW w:w="3402" w:type="dxa"/>
            <w:vAlign w:val="center"/>
          </w:tcPr>
          <w:p w14:paraId="18339BF1">
            <w:pPr>
              <w:pStyle w:val="12"/>
            </w:pPr>
            <w:r>
              <w:t>二十六、转移性支出</w:t>
            </w:r>
          </w:p>
        </w:tc>
        <w:tc>
          <w:tcPr>
            <w:tcW w:w="1474" w:type="dxa"/>
            <w:vAlign w:val="center"/>
          </w:tcPr>
          <w:p w14:paraId="02B41DF8">
            <w:pPr>
              <w:pStyle w:val="11"/>
            </w:pPr>
          </w:p>
        </w:tc>
        <w:tc>
          <w:tcPr>
            <w:tcW w:w="1474" w:type="dxa"/>
            <w:vAlign w:val="center"/>
          </w:tcPr>
          <w:p w14:paraId="06286DD3">
            <w:pPr>
              <w:pStyle w:val="11"/>
            </w:pPr>
          </w:p>
        </w:tc>
        <w:tc>
          <w:tcPr>
            <w:tcW w:w="1474" w:type="dxa"/>
            <w:vAlign w:val="center"/>
          </w:tcPr>
          <w:p w14:paraId="49B52617">
            <w:pPr>
              <w:pStyle w:val="11"/>
            </w:pPr>
          </w:p>
        </w:tc>
        <w:tc>
          <w:tcPr>
            <w:tcW w:w="1474" w:type="dxa"/>
            <w:vAlign w:val="center"/>
          </w:tcPr>
          <w:p w14:paraId="076C3347">
            <w:pPr>
              <w:pStyle w:val="11"/>
            </w:pPr>
          </w:p>
        </w:tc>
      </w:tr>
      <w:tr w14:paraId="1BAA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D440D">
            <w:pPr>
              <w:pStyle w:val="13"/>
            </w:pPr>
            <w:r>
              <w:t>27</w:t>
            </w:r>
          </w:p>
        </w:tc>
        <w:tc>
          <w:tcPr>
            <w:tcW w:w="3402" w:type="dxa"/>
            <w:vAlign w:val="center"/>
          </w:tcPr>
          <w:p w14:paraId="7E58D709">
            <w:pPr>
              <w:pStyle w:val="12"/>
            </w:pPr>
          </w:p>
        </w:tc>
        <w:tc>
          <w:tcPr>
            <w:tcW w:w="1474" w:type="dxa"/>
            <w:vAlign w:val="center"/>
          </w:tcPr>
          <w:p w14:paraId="4795CAE7">
            <w:pPr>
              <w:pStyle w:val="11"/>
            </w:pPr>
          </w:p>
        </w:tc>
        <w:tc>
          <w:tcPr>
            <w:tcW w:w="3402" w:type="dxa"/>
            <w:vAlign w:val="center"/>
          </w:tcPr>
          <w:p w14:paraId="1CC40DD3">
            <w:pPr>
              <w:pStyle w:val="12"/>
            </w:pPr>
            <w:r>
              <w:t>二十七、债务还本支出</w:t>
            </w:r>
          </w:p>
        </w:tc>
        <w:tc>
          <w:tcPr>
            <w:tcW w:w="1474" w:type="dxa"/>
            <w:vAlign w:val="center"/>
          </w:tcPr>
          <w:p w14:paraId="098761EE">
            <w:pPr>
              <w:pStyle w:val="11"/>
            </w:pPr>
          </w:p>
        </w:tc>
        <w:tc>
          <w:tcPr>
            <w:tcW w:w="1474" w:type="dxa"/>
            <w:vAlign w:val="center"/>
          </w:tcPr>
          <w:p w14:paraId="208AFEF5">
            <w:pPr>
              <w:pStyle w:val="11"/>
            </w:pPr>
          </w:p>
        </w:tc>
        <w:tc>
          <w:tcPr>
            <w:tcW w:w="1474" w:type="dxa"/>
            <w:vAlign w:val="center"/>
          </w:tcPr>
          <w:p w14:paraId="359A6CA9">
            <w:pPr>
              <w:pStyle w:val="11"/>
            </w:pPr>
          </w:p>
        </w:tc>
        <w:tc>
          <w:tcPr>
            <w:tcW w:w="1474" w:type="dxa"/>
            <w:vAlign w:val="center"/>
          </w:tcPr>
          <w:p w14:paraId="27D7ACF6">
            <w:pPr>
              <w:pStyle w:val="11"/>
            </w:pPr>
          </w:p>
        </w:tc>
      </w:tr>
      <w:tr w14:paraId="719D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21626">
            <w:pPr>
              <w:pStyle w:val="13"/>
            </w:pPr>
            <w:r>
              <w:t>28</w:t>
            </w:r>
          </w:p>
        </w:tc>
        <w:tc>
          <w:tcPr>
            <w:tcW w:w="3402" w:type="dxa"/>
            <w:vAlign w:val="center"/>
          </w:tcPr>
          <w:p w14:paraId="36A2B10C">
            <w:pPr>
              <w:pStyle w:val="12"/>
            </w:pPr>
          </w:p>
        </w:tc>
        <w:tc>
          <w:tcPr>
            <w:tcW w:w="1474" w:type="dxa"/>
            <w:vAlign w:val="center"/>
          </w:tcPr>
          <w:p w14:paraId="1B49BA9D">
            <w:pPr>
              <w:pStyle w:val="11"/>
            </w:pPr>
          </w:p>
        </w:tc>
        <w:tc>
          <w:tcPr>
            <w:tcW w:w="3402" w:type="dxa"/>
            <w:vAlign w:val="center"/>
          </w:tcPr>
          <w:p w14:paraId="3E9B1C2E">
            <w:pPr>
              <w:pStyle w:val="12"/>
            </w:pPr>
            <w:r>
              <w:t>二十八、债务付息支出</w:t>
            </w:r>
          </w:p>
        </w:tc>
        <w:tc>
          <w:tcPr>
            <w:tcW w:w="1474" w:type="dxa"/>
            <w:vAlign w:val="center"/>
          </w:tcPr>
          <w:p w14:paraId="6807944C">
            <w:pPr>
              <w:pStyle w:val="11"/>
            </w:pPr>
          </w:p>
        </w:tc>
        <w:tc>
          <w:tcPr>
            <w:tcW w:w="1474" w:type="dxa"/>
            <w:vAlign w:val="center"/>
          </w:tcPr>
          <w:p w14:paraId="32F35182">
            <w:pPr>
              <w:pStyle w:val="11"/>
            </w:pPr>
          </w:p>
        </w:tc>
        <w:tc>
          <w:tcPr>
            <w:tcW w:w="1474" w:type="dxa"/>
            <w:vAlign w:val="center"/>
          </w:tcPr>
          <w:p w14:paraId="6D262ED8">
            <w:pPr>
              <w:pStyle w:val="11"/>
            </w:pPr>
          </w:p>
        </w:tc>
        <w:tc>
          <w:tcPr>
            <w:tcW w:w="1474" w:type="dxa"/>
            <w:vAlign w:val="center"/>
          </w:tcPr>
          <w:p w14:paraId="2109242B">
            <w:pPr>
              <w:pStyle w:val="11"/>
            </w:pPr>
          </w:p>
        </w:tc>
      </w:tr>
      <w:tr w14:paraId="7C5F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0D1F4">
            <w:pPr>
              <w:pStyle w:val="13"/>
            </w:pPr>
            <w:r>
              <w:t>29</w:t>
            </w:r>
          </w:p>
        </w:tc>
        <w:tc>
          <w:tcPr>
            <w:tcW w:w="3402" w:type="dxa"/>
            <w:vAlign w:val="center"/>
          </w:tcPr>
          <w:p w14:paraId="31B34225">
            <w:pPr>
              <w:pStyle w:val="12"/>
            </w:pPr>
          </w:p>
        </w:tc>
        <w:tc>
          <w:tcPr>
            <w:tcW w:w="1474" w:type="dxa"/>
            <w:vAlign w:val="center"/>
          </w:tcPr>
          <w:p w14:paraId="2A464108">
            <w:pPr>
              <w:pStyle w:val="11"/>
            </w:pPr>
          </w:p>
        </w:tc>
        <w:tc>
          <w:tcPr>
            <w:tcW w:w="3402" w:type="dxa"/>
            <w:vAlign w:val="center"/>
          </w:tcPr>
          <w:p w14:paraId="75CD847E">
            <w:pPr>
              <w:pStyle w:val="12"/>
            </w:pPr>
            <w:r>
              <w:t>二十九、债务发行费用支出</w:t>
            </w:r>
          </w:p>
        </w:tc>
        <w:tc>
          <w:tcPr>
            <w:tcW w:w="1474" w:type="dxa"/>
            <w:vAlign w:val="center"/>
          </w:tcPr>
          <w:p w14:paraId="45B7F950">
            <w:pPr>
              <w:pStyle w:val="11"/>
            </w:pPr>
          </w:p>
        </w:tc>
        <w:tc>
          <w:tcPr>
            <w:tcW w:w="1474" w:type="dxa"/>
            <w:vAlign w:val="center"/>
          </w:tcPr>
          <w:p w14:paraId="706BEB92">
            <w:pPr>
              <w:pStyle w:val="11"/>
            </w:pPr>
          </w:p>
        </w:tc>
        <w:tc>
          <w:tcPr>
            <w:tcW w:w="1474" w:type="dxa"/>
            <w:vAlign w:val="center"/>
          </w:tcPr>
          <w:p w14:paraId="6B23838B">
            <w:pPr>
              <w:pStyle w:val="11"/>
            </w:pPr>
          </w:p>
        </w:tc>
        <w:tc>
          <w:tcPr>
            <w:tcW w:w="1474" w:type="dxa"/>
            <w:vAlign w:val="center"/>
          </w:tcPr>
          <w:p w14:paraId="77C29E75">
            <w:pPr>
              <w:pStyle w:val="11"/>
            </w:pPr>
          </w:p>
        </w:tc>
      </w:tr>
      <w:tr w14:paraId="7659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102A">
            <w:pPr>
              <w:pStyle w:val="13"/>
            </w:pPr>
            <w:r>
              <w:t>30</w:t>
            </w:r>
          </w:p>
        </w:tc>
        <w:tc>
          <w:tcPr>
            <w:tcW w:w="3402" w:type="dxa"/>
            <w:vAlign w:val="center"/>
          </w:tcPr>
          <w:p w14:paraId="3C0811F3">
            <w:pPr>
              <w:pStyle w:val="12"/>
            </w:pPr>
          </w:p>
        </w:tc>
        <w:tc>
          <w:tcPr>
            <w:tcW w:w="1474" w:type="dxa"/>
            <w:vAlign w:val="center"/>
          </w:tcPr>
          <w:p w14:paraId="7057BC0F">
            <w:pPr>
              <w:pStyle w:val="11"/>
            </w:pPr>
          </w:p>
        </w:tc>
        <w:tc>
          <w:tcPr>
            <w:tcW w:w="3402" w:type="dxa"/>
            <w:vAlign w:val="center"/>
          </w:tcPr>
          <w:p w14:paraId="1A2B16A3">
            <w:pPr>
              <w:pStyle w:val="12"/>
            </w:pPr>
            <w:r>
              <w:t>三十、抗疫特别国债安排的支出</w:t>
            </w:r>
          </w:p>
        </w:tc>
        <w:tc>
          <w:tcPr>
            <w:tcW w:w="1474" w:type="dxa"/>
            <w:vAlign w:val="center"/>
          </w:tcPr>
          <w:p w14:paraId="778C75EE">
            <w:pPr>
              <w:pStyle w:val="11"/>
            </w:pPr>
          </w:p>
        </w:tc>
        <w:tc>
          <w:tcPr>
            <w:tcW w:w="1474" w:type="dxa"/>
            <w:vAlign w:val="center"/>
          </w:tcPr>
          <w:p w14:paraId="0CA80761">
            <w:pPr>
              <w:pStyle w:val="11"/>
            </w:pPr>
          </w:p>
        </w:tc>
        <w:tc>
          <w:tcPr>
            <w:tcW w:w="1474" w:type="dxa"/>
            <w:vAlign w:val="center"/>
          </w:tcPr>
          <w:p w14:paraId="77E759B7">
            <w:pPr>
              <w:pStyle w:val="11"/>
            </w:pPr>
          </w:p>
        </w:tc>
        <w:tc>
          <w:tcPr>
            <w:tcW w:w="1474" w:type="dxa"/>
            <w:vAlign w:val="center"/>
          </w:tcPr>
          <w:p w14:paraId="239FF285">
            <w:pPr>
              <w:pStyle w:val="11"/>
            </w:pPr>
          </w:p>
        </w:tc>
      </w:tr>
      <w:tr w14:paraId="060B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2D5A">
            <w:pPr>
              <w:pStyle w:val="13"/>
            </w:pPr>
            <w:r>
              <w:t>31</w:t>
            </w:r>
          </w:p>
        </w:tc>
        <w:tc>
          <w:tcPr>
            <w:tcW w:w="3402" w:type="dxa"/>
            <w:vAlign w:val="center"/>
          </w:tcPr>
          <w:p w14:paraId="0C308090">
            <w:pPr>
              <w:pStyle w:val="12"/>
            </w:pPr>
          </w:p>
        </w:tc>
        <w:tc>
          <w:tcPr>
            <w:tcW w:w="1474" w:type="dxa"/>
            <w:vAlign w:val="center"/>
          </w:tcPr>
          <w:p w14:paraId="32A84942">
            <w:pPr>
              <w:pStyle w:val="11"/>
            </w:pPr>
          </w:p>
        </w:tc>
        <w:tc>
          <w:tcPr>
            <w:tcW w:w="3402" w:type="dxa"/>
            <w:vAlign w:val="center"/>
          </w:tcPr>
          <w:p w14:paraId="2677A121">
            <w:pPr>
              <w:pStyle w:val="12"/>
            </w:pPr>
            <w:r>
              <w:t>三十一、人行科目</w:t>
            </w:r>
          </w:p>
        </w:tc>
        <w:tc>
          <w:tcPr>
            <w:tcW w:w="1474" w:type="dxa"/>
            <w:vAlign w:val="center"/>
          </w:tcPr>
          <w:p w14:paraId="51FA85A4">
            <w:pPr>
              <w:pStyle w:val="11"/>
            </w:pPr>
          </w:p>
        </w:tc>
        <w:tc>
          <w:tcPr>
            <w:tcW w:w="1474" w:type="dxa"/>
            <w:vAlign w:val="center"/>
          </w:tcPr>
          <w:p w14:paraId="6F9E356F">
            <w:pPr>
              <w:pStyle w:val="11"/>
            </w:pPr>
          </w:p>
        </w:tc>
        <w:tc>
          <w:tcPr>
            <w:tcW w:w="1474" w:type="dxa"/>
            <w:vAlign w:val="center"/>
          </w:tcPr>
          <w:p w14:paraId="107D9FFE">
            <w:pPr>
              <w:pStyle w:val="11"/>
            </w:pPr>
          </w:p>
        </w:tc>
        <w:tc>
          <w:tcPr>
            <w:tcW w:w="1474" w:type="dxa"/>
            <w:vAlign w:val="center"/>
          </w:tcPr>
          <w:p w14:paraId="72698A27">
            <w:pPr>
              <w:pStyle w:val="11"/>
            </w:pPr>
          </w:p>
        </w:tc>
      </w:tr>
      <w:tr w14:paraId="19C9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3D86F">
            <w:pPr>
              <w:pStyle w:val="13"/>
            </w:pPr>
            <w:r>
              <w:t>32</w:t>
            </w:r>
          </w:p>
        </w:tc>
        <w:tc>
          <w:tcPr>
            <w:tcW w:w="3402" w:type="dxa"/>
            <w:vAlign w:val="center"/>
          </w:tcPr>
          <w:p w14:paraId="110194CC">
            <w:pPr>
              <w:pStyle w:val="14"/>
            </w:pPr>
            <w:r>
              <w:t>本年收入合计</w:t>
            </w:r>
          </w:p>
        </w:tc>
        <w:tc>
          <w:tcPr>
            <w:tcW w:w="1474" w:type="dxa"/>
            <w:vAlign w:val="center"/>
          </w:tcPr>
          <w:p w14:paraId="2FCDCCBB">
            <w:pPr>
              <w:pStyle w:val="15"/>
            </w:pPr>
            <w:r>
              <w:t>2942.65</w:t>
            </w:r>
          </w:p>
        </w:tc>
        <w:tc>
          <w:tcPr>
            <w:tcW w:w="3402" w:type="dxa"/>
            <w:vAlign w:val="center"/>
          </w:tcPr>
          <w:p w14:paraId="5B7F16A0">
            <w:pPr>
              <w:pStyle w:val="14"/>
            </w:pPr>
            <w:r>
              <w:t>本年支出合计</w:t>
            </w:r>
          </w:p>
        </w:tc>
        <w:tc>
          <w:tcPr>
            <w:tcW w:w="1474" w:type="dxa"/>
            <w:vAlign w:val="center"/>
          </w:tcPr>
          <w:p w14:paraId="44BC1FBD">
            <w:pPr>
              <w:pStyle w:val="15"/>
            </w:pPr>
            <w:r>
              <w:t>2942.65</w:t>
            </w:r>
          </w:p>
        </w:tc>
        <w:tc>
          <w:tcPr>
            <w:tcW w:w="1474" w:type="dxa"/>
            <w:vAlign w:val="center"/>
          </w:tcPr>
          <w:p w14:paraId="0ADC21BB">
            <w:pPr>
              <w:pStyle w:val="15"/>
            </w:pPr>
            <w:r>
              <w:t>2942.65</w:t>
            </w:r>
          </w:p>
        </w:tc>
        <w:tc>
          <w:tcPr>
            <w:tcW w:w="1474" w:type="dxa"/>
            <w:vAlign w:val="center"/>
          </w:tcPr>
          <w:p w14:paraId="60A839CB">
            <w:pPr>
              <w:pStyle w:val="15"/>
            </w:pPr>
          </w:p>
        </w:tc>
        <w:tc>
          <w:tcPr>
            <w:tcW w:w="1474" w:type="dxa"/>
            <w:vAlign w:val="center"/>
          </w:tcPr>
          <w:p w14:paraId="1E983DC9">
            <w:pPr>
              <w:pStyle w:val="15"/>
            </w:pPr>
          </w:p>
        </w:tc>
      </w:tr>
      <w:tr w14:paraId="13F9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8A9DE">
            <w:pPr>
              <w:pStyle w:val="13"/>
            </w:pPr>
            <w:r>
              <w:t>33</w:t>
            </w:r>
          </w:p>
        </w:tc>
        <w:tc>
          <w:tcPr>
            <w:tcW w:w="3402" w:type="dxa"/>
            <w:vAlign w:val="center"/>
          </w:tcPr>
          <w:p w14:paraId="43B2F4D8">
            <w:pPr>
              <w:pStyle w:val="12"/>
            </w:pPr>
            <w:r>
              <w:t>年初财政拨款结转和结余</w:t>
            </w:r>
          </w:p>
        </w:tc>
        <w:tc>
          <w:tcPr>
            <w:tcW w:w="1474" w:type="dxa"/>
            <w:vAlign w:val="center"/>
          </w:tcPr>
          <w:p w14:paraId="16F156E6">
            <w:pPr>
              <w:pStyle w:val="11"/>
            </w:pPr>
          </w:p>
        </w:tc>
        <w:tc>
          <w:tcPr>
            <w:tcW w:w="3402" w:type="dxa"/>
            <w:vAlign w:val="center"/>
          </w:tcPr>
          <w:p w14:paraId="6C340139">
            <w:pPr>
              <w:pStyle w:val="12"/>
            </w:pPr>
            <w:r>
              <w:t>年末财政拨款结转和结余</w:t>
            </w:r>
          </w:p>
        </w:tc>
        <w:tc>
          <w:tcPr>
            <w:tcW w:w="1474" w:type="dxa"/>
            <w:vAlign w:val="center"/>
          </w:tcPr>
          <w:p w14:paraId="63EAC2D9">
            <w:pPr>
              <w:pStyle w:val="11"/>
            </w:pPr>
          </w:p>
        </w:tc>
        <w:tc>
          <w:tcPr>
            <w:tcW w:w="1474" w:type="dxa"/>
            <w:vAlign w:val="center"/>
          </w:tcPr>
          <w:p w14:paraId="607AFA58">
            <w:pPr>
              <w:pStyle w:val="11"/>
            </w:pPr>
          </w:p>
        </w:tc>
        <w:tc>
          <w:tcPr>
            <w:tcW w:w="1474" w:type="dxa"/>
            <w:vAlign w:val="center"/>
          </w:tcPr>
          <w:p w14:paraId="521EFB5B">
            <w:pPr>
              <w:pStyle w:val="11"/>
            </w:pPr>
          </w:p>
        </w:tc>
        <w:tc>
          <w:tcPr>
            <w:tcW w:w="1474" w:type="dxa"/>
            <w:vAlign w:val="center"/>
          </w:tcPr>
          <w:p w14:paraId="06F1D863">
            <w:pPr>
              <w:pStyle w:val="11"/>
            </w:pPr>
          </w:p>
        </w:tc>
      </w:tr>
      <w:tr w14:paraId="0D88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9045">
            <w:pPr>
              <w:pStyle w:val="13"/>
            </w:pPr>
            <w:r>
              <w:t>34</w:t>
            </w:r>
          </w:p>
        </w:tc>
        <w:tc>
          <w:tcPr>
            <w:tcW w:w="3402" w:type="dxa"/>
            <w:vAlign w:val="center"/>
          </w:tcPr>
          <w:p w14:paraId="56725553">
            <w:pPr>
              <w:pStyle w:val="12"/>
            </w:pPr>
            <w:r>
              <w:t>一、一般公共预算拨款</w:t>
            </w:r>
          </w:p>
        </w:tc>
        <w:tc>
          <w:tcPr>
            <w:tcW w:w="1474" w:type="dxa"/>
            <w:vAlign w:val="center"/>
          </w:tcPr>
          <w:p w14:paraId="21F48180">
            <w:pPr>
              <w:pStyle w:val="11"/>
            </w:pPr>
          </w:p>
        </w:tc>
        <w:tc>
          <w:tcPr>
            <w:tcW w:w="3402" w:type="dxa"/>
            <w:vAlign w:val="center"/>
          </w:tcPr>
          <w:p w14:paraId="107ED082">
            <w:pPr>
              <w:pStyle w:val="12"/>
            </w:pPr>
          </w:p>
        </w:tc>
        <w:tc>
          <w:tcPr>
            <w:tcW w:w="1474" w:type="dxa"/>
            <w:vAlign w:val="center"/>
          </w:tcPr>
          <w:p w14:paraId="61912409">
            <w:pPr>
              <w:pStyle w:val="11"/>
            </w:pPr>
          </w:p>
        </w:tc>
        <w:tc>
          <w:tcPr>
            <w:tcW w:w="1474" w:type="dxa"/>
            <w:vAlign w:val="center"/>
          </w:tcPr>
          <w:p w14:paraId="7D64B5E5">
            <w:pPr>
              <w:pStyle w:val="11"/>
            </w:pPr>
          </w:p>
        </w:tc>
        <w:tc>
          <w:tcPr>
            <w:tcW w:w="1474" w:type="dxa"/>
            <w:vAlign w:val="center"/>
          </w:tcPr>
          <w:p w14:paraId="540F41C9">
            <w:pPr>
              <w:pStyle w:val="11"/>
            </w:pPr>
          </w:p>
        </w:tc>
        <w:tc>
          <w:tcPr>
            <w:tcW w:w="1474" w:type="dxa"/>
            <w:vAlign w:val="center"/>
          </w:tcPr>
          <w:p w14:paraId="185092DB">
            <w:pPr>
              <w:pStyle w:val="11"/>
            </w:pPr>
          </w:p>
        </w:tc>
      </w:tr>
      <w:tr w14:paraId="55BD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ADBF">
            <w:pPr>
              <w:pStyle w:val="13"/>
            </w:pPr>
            <w:r>
              <w:t>35</w:t>
            </w:r>
          </w:p>
        </w:tc>
        <w:tc>
          <w:tcPr>
            <w:tcW w:w="3402" w:type="dxa"/>
            <w:vAlign w:val="center"/>
          </w:tcPr>
          <w:p w14:paraId="165EA6E1">
            <w:pPr>
              <w:pStyle w:val="12"/>
            </w:pPr>
            <w:r>
              <w:t>二、政府性基金预算拨款</w:t>
            </w:r>
          </w:p>
        </w:tc>
        <w:tc>
          <w:tcPr>
            <w:tcW w:w="1474" w:type="dxa"/>
            <w:vAlign w:val="center"/>
          </w:tcPr>
          <w:p w14:paraId="371DFA2C">
            <w:pPr>
              <w:pStyle w:val="11"/>
            </w:pPr>
          </w:p>
        </w:tc>
        <w:tc>
          <w:tcPr>
            <w:tcW w:w="3402" w:type="dxa"/>
            <w:vAlign w:val="center"/>
          </w:tcPr>
          <w:p w14:paraId="7B19A73B">
            <w:pPr>
              <w:pStyle w:val="12"/>
            </w:pPr>
          </w:p>
        </w:tc>
        <w:tc>
          <w:tcPr>
            <w:tcW w:w="1474" w:type="dxa"/>
            <w:vAlign w:val="center"/>
          </w:tcPr>
          <w:p w14:paraId="79A70FAE">
            <w:pPr>
              <w:pStyle w:val="11"/>
            </w:pPr>
          </w:p>
        </w:tc>
        <w:tc>
          <w:tcPr>
            <w:tcW w:w="1474" w:type="dxa"/>
            <w:vAlign w:val="center"/>
          </w:tcPr>
          <w:p w14:paraId="52BE299A">
            <w:pPr>
              <w:pStyle w:val="11"/>
            </w:pPr>
          </w:p>
        </w:tc>
        <w:tc>
          <w:tcPr>
            <w:tcW w:w="1474" w:type="dxa"/>
            <w:vAlign w:val="center"/>
          </w:tcPr>
          <w:p w14:paraId="508C8C06">
            <w:pPr>
              <w:pStyle w:val="11"/>
            </w:pPr>
          </w:p>
        </w:tc>
        <w:tc>
          <w:tcPr>
            <w:tcW w:w="1474" w:type="dxa"/>
            <w:vAlign w:val="center"/>
          </w:tcPr>
          <w:p w14:paraId="085E7C7B">
            <w:pPr>
              <w:pStyle w:val="11"/>
            </w:pPr>
          </w:p>
        </w:tc>
      </w:tr>
      <w:tr w14:paraId="5D15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64BC">
            <w:pPr>
              <w:pStyle w:val="13"/>
            </w:pPr>
            <w:r>
              <w:t>36</w:t>
            </w:r>
          </w:p>
        </w:tc>
        <w:tc>
          <w:tcPr>
            <w:tcW w:w="3402" w:type="dxa"/>
            <w:vAlign w:val="center"/>
          </w:tcPr>
          <w:p w14:paraId="736F2D2E">
            <w:pPr>
              <w:pStyle w:val="12"/>
            </w:pPr>
            <w:r>
              <w:t>三、国有资本经营预算拨款</w:t>
            </w:r>
          </w:p>
        </w:tc>
        <w:tc>
          <w:tcPr>
            <w:tcW w:w="1474" w:type="dxa"/>
            <w:vAlign w:val="center"/>
          </w:tcPr>
          <w:p w14:paraId="21897E9C">
            <w:pPr>
              <w:pStyle w:val="11"/>
            </w:pPr>
          </w:p>
        </w:tc>
        <w:tc>
          <w:tcPr>
            <w:tcW w:w="3402" w:type="dxa"/>
            <w:vAlign w:val="center"/>
          </w:tcPr>
          <w:p w14:paraId="41E07FF1">
            <w:pPr>
              <w:pStyle w:val="12"/>
            </w:pPr>
          </w:p>
        </w:tc>
        <w:tc>
          <w:tcPr>
            <w:tcW w:w="1474" w:type="dxa"/>
            <w:vAlign w:val="center"/>
          </w:tcPr>
          <w:p w14:paraId="60C8402C">
            <w:pPr>
              <w:pStyle w:val="11"/>
            </w:pPr>
          </w:p>
        </w:tc>
        <w:tc>
          <w:tcPr>
            <w:tcW w:w="1474" w:type="dxa"/>
            <w:vAlign w:val="center"/>
          </w:tcPr>
          <w:p w14:paraId="71E583E5">
            <w:pPr>
              <w:pStyle w:val="11"/>
            </w:pPr>
          </w:p>
        </w:tc>
        <w:tc>
          <w:tcPr>
            <w:tcW w:w="1474" w:type="dxa"/>
            <w:vAlign w:val="center"/>
          </w:tcPr>
          <w:p w14:paraId="578C7054">
            <w:pPr>
              <w:pStyle w:val="11"/>
            </w:pPr>
          </w:p>
        </w:tc>
        <w:tc>
          <w:tcPr>
            <w:tcW w:w="1474" w:type="dxa"/>
            <w:vAlign w:val="center"/>
          </w:tcPr>
          <w:p w14:paraId="49F512A3">
            <w:pPr>
              <w:pStyle w:val="11"/>
            </w:pPr>
          </w:p>
        </w:tc>
      </w:tr>
      <w:tr w14:paraId="54E2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3183A">
            <w:pPr>
              <w:pStyle w:val="13"/>
            </w:pPr>
            <w:r>
              <w:t>37</w:t>
            </w:r>
          </w:p>
        </w:tc>
        <w:tc>
          <w:tcPr>
            <w:tcW w:w="3402" w:type="dxa"/>
            <w:vAlign w:val="center"/>
          </w:tcPr>
          <w:p w14:paraId="07F3B8D6">
            <w:pPr>
              <w:pStyle w:val="14"/>
            </w:pPr>
            <w:r>
              <w:t>收入总计</w:t>
            </w:r>
          </w:p>
        </w:tc>
        <w:tc>
          <w:tcPr>
            <w:tcW w:w="1474" w:type="dxa"/>
            <w:vAlign w:val="center"/>
          </w:tcPr>
          <w:p w14:paraId="7F5C066F">
            <w:pPr>
              <w:pStyle w:val="15"/>
            </w:pPr>
            <w:r>
              <w:t>2942.65</w:t>
            </w:r>
          </w:p>
        </w:tc>
        <w:tc>
          <w:tcPr>
            <w:tcW w:w="3402" w:type="dxa"/>
            <w:vAlign w:val="center"/>
          </w:tcPr>
          <w:p w14:paraId="19E19ADA">
            <w:pPr>
              <w:pStyle w:val="14"/>
            </w:pPr>
            <w:r>
              <w:t>支出总计</w:t>
            </w:r>
          </w:p>
        </w:tc>
        <w:tc>
          <w:tcPr>
            <w:tcW w:w="1474" w:type="dxa"/>
            <w:vAlign w:val="center"/>
          </w:tcPr>
          <w:p w14:paraId="3330514D">
            <w:pPr>
              <w:pStyle w:val="15"/>
            </w:pPr>
            <w:r>
              <w:t>2942.65</w:t>
            </w:r>
          </w:p>
        </w:tc>
        <w:tc>
          <w:tcPr>
            <w:tcW w:w="1474" w:type="dxa"/>
            <w:vAlign w:val="center"/>
          </w:tcPr>
          <w:p w14:paraId="432F592D">
            <w:pPr>
              <w:pStyle w:val="15"/>
            </w:pPr>
            <w:r>
              <w:t>2942.65</w:t>
            </w:r>
          </w:p>
        </w:tc>
        <w:tc>
          <w:tcPr>
            <w:tcW w:w="1474" w:type="dxa"/>
            <w:vAlign w:val="center"/>
          </w:tcPr>
          <w:p w14:paraId="402BAD91">
            <w:pPr>
              <w:pStyle w:val="15"/>
            </w:pPr>
          </w:p>
        </w:tc>
        <w:tc>
          <w:tcPr>
            <w:tcW w:w="1474" w:type="dxa"/>
            <w:vAlign w:val="center"/>
          </w:tcPr>
          <w:p w14:paraId="2F1254DA">
            <w:pPr>
              <w:pStyle w:val="15"/>
            </w:pPr>
          </w:p>
        </w:tc>
      </w:tr>
    </w:tbl>
    <w:p w14:paraId="731104DB">
      <w:pPr>
        <w:sectPr>
          <w:pgSz w:w="16840" w:h="11900" w:orient="landscape"/>
          <w:pgMar w:top="1361" w:right="1020" w:bottom="1134" w:left="1020" w:header="720" w:footer="720" w:gutter="0"/>
          <w:cols w:space="720" w:num="1"/>
        </w:sectPr>
      </w:pPr>
    </w:p>
    <w:p w14:paraId="7A6996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7C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4470EE">
            <w:pPr>
              <w:pStyle w:val="9"/>
            </w:pPr>
            <w:r>
              <w:t>360021隆尧县山口校区</w:t>
            </w:r>
          </w:p>
        </w:tc>
        <w:tc>
          <w:tcPr>
            <w:tcW w:w="2551" w:type="dxa"/>
            <w:tcBorders>
              <w:top w:val="single" w:color="FFFFFF" w:sz="6" w:space="0"/>
              <w:left w:val="single" w:color="FFFFFF" w:sz="6" w:space="0"/>
              <w:right w:val="single" w:color="FFFFFF" w:sz="6" w:space="0"/>
            </w:tcBorders>
            <w:vAlign w:val="center"/>
          </w:tcPr>
          <w:p w14:paraId="53C5D8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8B544F">
            <w:pPr>
              <w:pStyle w:val="7"/>
            </w:pPr>
            <w:r>
              <w:t>单位：万元</w:t>
            </w:r>
          </w:p>
        </w:tc>
      </w:tr>
      <w:tr w14:paraId="3E8A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E527BA">
            <w:pPr>
              <w:pStyle w:val="10"/>
            </w:pPr>
            <w:r>
              <w:t>序号</w:t>
            </w:r>
          </w:p>
        </w:tc>
        <w:tc>
          <w:tcPr>
            <w:tcW w:w="5726" w:type="dxa"/>
            <w:gridSpan w:val="2"/>
            <w:vAlign w:val="center"/>
          </w:tcPr>
          <w:p w14:paraId="526FF19B">
            <w:pPr>
              <w:pStyle w:val="10"/>
            </w:pPr>
            <w:r>
              <w:t>功能分类科目</w:t>
            </w:r>
          </w:p>
        </w:tc>
        <w:tc>
          <w:tcPr>
            <w:tcW w:w="2551" w:type="dxa"/>
            <w:vMerge w:val="restart"/>
            <w:vAlign w:val="center"/>
          </w:tcPr>
          <w:p w14:paraId="35EB5E97">
            <w:pPr>
              <w:pStyle w:val="10"/>
            </w:pPr>
            <w:r>
              <w:t>合计</w:t>
            </w:r>
          </w:p>
        </w:tc>
        <w:tc>
          <w:tcPr>
            <w:tcW w:w="2551" w:type="dxa"/>
            <w:vMerge w:val="restart"/>
            <w:vAlign w:val="center"/>
          </w:tcPr>
          <w:p w14:paraId="79125044">
            <w:pPr>
              <w:pStyle w:val="10"/>
            </w:pPr>
            <w:r>
              <w:t>基本支出</w:t>
            </w:r>
          </w:p>
        </w:tc>
        <w:tc>
          <w:tcPr>
            <w:tcW w:w="2551" w:type="dxa"/>
            <w:vMerge w:val="restart"/>
            <w:vAlign w:val="center"/>
          </w:tcPr>
          <w:p w14:paraId="716BE97B">
            <w:pPr>
              <w:pStyle w:val="10"/>
            </w:pPr>
            <w:r>
              <w:t>项目支出</w:t>
            </w:r>
          </w:p>
        </w:tc>
      </w:tr>
      <w:tr w14:paraId="2692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713BB"/>
        </w:tc>
        <w:tc>
          <w:tcPr>
            <w:tcW w:w="1191" w:type="dxa"/>
            <w:vAlign w:val="center"/>
          </w:tcPr>
          <w:p w14:paraId="56CE9007">
            <w:pPr>
              <w:pStyle w:val="10"/>
            </w:pPr>
            <w:r>
              <w:t>科目编码</w:t>
            </w:r>
          </w:p>
        </w:tc>
        <w:tc>
          <w:tcPr>
            <w:tcW w:w="4535" w:type="dxa"/>
            <w:vAlign w:val="center"/>
          </w:tcPr>
          <w:p w14:paraId="7BA44F30">
            <w:pPr>
              <w:pStyle w:val="10"/>
            </w:pPr>
            <w:r>
              <w:t>科目名称</w:t>
            </w:r>
          </w:p>
        </w:tc>
        <w:tc>
          <w:tcPr>
            <w:tcW w:w="2551" w:type="dxa"/>
            <w:vMerge w:val="continue"/>
          </w:tcPr>
          <w:p w14:paraId="4989EBE9"/>
        </w:tc>
        <w:tc>
          <w:tcPr>
            <w:tcW w:w="2551" w:type="dxa"/>
            <w:vMerge w:val="continue"/>
          </w:tcPr>
          <w:p w14:paraId="217DD6F1"/>
        </w:tc>
        <w:tc>
          <w:tcPr>
            <w:tcW w:w="2551" w:type="dxa"/>
            <w:vMerge w:val="continue"/>
          </w:tcPr>
          <w:p w14:paraId="5629B174"/>
        </w:tc>
      </w:tr>
      <w:tr w14:paraId="40B7D850">
        <w:tblPrEx>
          <w:tblCellMar>
            <w:top w:w="0" w:type="dxa"/>
            <w:left w:w="108" w:type="dxa"/>
            <w:bottom w:w="0" w:type="dxa"/>
            <w:right w:w="108" w:type="dxa"/>
          </w:tblCellMar>
        </w:tblPrEx>
        <w:trPr>
          <w:trHeight w:val="369" w:hRule="atLeast"/>
          <w:tblHeader/>
          <w:jc w:val="center"/>
        </w:trPr>
        <w:tc>
          <w:tcPr>
            <w:tcW w:w="850" w:type="dxa"/>
            <w:vAlign w:val="center"/>
          </w:tcPr>
          <w:p w14:paraId="61D20213">
            <w:pPr>
              <w:pStyle w:val="10"/>
            </w:pPr>
            <w:r>
              <w:t>栏次</w:t>
            </w:r>
          </w:p>
        </w:tc>
        <w:tc>
          <w:tcPr>
            <w:tcW w:w="1191" w:type="dxa"/>
            <w:vAlign w:val="center"/>
          </w:tcPr>
          <w:p w14:paraId="131F4DC3">
            <w:pPr>
              <w:pStyle w:val="10"/>
            </w:pPr>
            <w:r>
              <w:t>1</w:t>
            </w:r>
          </w:p>
        </w:tc>
        <w:tc>
          <w:tcPr>
            <w:tcW w:w="4535" w:type="dxa"/>
            <w:vAlign w:val="center"/>
          </w:tcPr>
          <w:p w14:paraId="6A9384EF">
            <w:pPr>
              <w:pStyle w:val="10"/>
            </w:pPr>
            <w:r>
              <w:t>2</w:t>
            </w:r>
          </w:p>
        </w:tc>
        <w:tc>
          <w:tcPr>
            <w:tcW w:w="2551" w:type="dxa"/>
            <w:vAlign w:val="center"/>
          </w:tcPr>
          <w:p w14:paraId="7F782188">
            <w:pPr>
              <w:pStyle w:val="10"/>
            </w:pPr>
            <w:r>
              <w:t>3</w:t>
            </w:r>
          </w:p>
        </w:tc>
        <w:tc>
          <w:tcPr>
            <w:tcW w:w="2551" w:type="dxa"/>
            <w:vAlign w:val="center"/>
          </w:tcPr>
          <w:p w14:paraId="2C5ED10F">
            <w:pPr>
              <w:pStyle w:val="10"/>
            </w:pPr>
            <w:r>
              <w:t>4</w:t>
            </w:r>
          </w:p>
        </w:tc>
        <w:tc>
          <w:tcPr>
            <w:tcW w:w="2551" w:type="dxa"/>
            <w:vAlign w:val="center"/>
          </w:tcPr>
          <w:p w14:paraId="42272BF2">
            <w:pPr>
              <w:pStyle w:val="10"/>
            </w:pPr>
            <w:r>
              <w:t>5</w:t>
            </w:r>
          </w:p>
        </w:tc>
      </w:tr>
      <w:tr w14:paraId="1578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2177B">
            <w:pPr>
              <w:pStyle w:val="13"/>
            </w:pPr>
            <w:r>
              <w:t>1</w:t>
            </w:r>
          </w:p>
        </w:tc>
        <w:tc>
          <w:tcPr>
            <w:tcW w:w="1191" w:type="dxa"/>
            <w:vAlign w:val="center"/>
          </w:tcPr>
          <w:p w14:paraId="0A231972">
            <w:pPr>
              <w:pStyle w:val="16"/>
            </w:pPr>
          </w:p>
        </w:tc>
        <w:tc>
          <w:tcPr>
            <w:tcW w:w="4535" w:type="dxa"/>
            <w:vAlign w:val="center"/>
          </w:tcPr>
          <w:p w14:paraId="6D199099">
            <w:pPr>
              <w:pStyle w:val="14"/>
            </w:pPr>
            <w:r>
              <w:t>合计</w:t>
            </w:r>
          </w:p>
        </w:tc>
        <w:tc>
          <w:tcPr>
            <w:tcW w:w="2551" w:type="dxa"/>
            <w:vAlign w:val="center"/>
          </w:tcPr>
          <w:p w14:paraId="067D0026">
            <w:pPr>
              <w:pStyle w:val="15"/>
            </w:pPr>
            <w:r>
              <w:t>2942.65</w:t>
            </w:r>
          </w:p>
        </w:tc>
        <w:tc>
          <w:tcPr>
            <w:tcW w:w="2551" w:type="dxa"/>
            <w:vAlign w:val="center"/>
          </w:tcPr>
          <w:p w14:paraId="23B0FD36">
            <w:pPr>
              <w:pStyle w:val="15"/>
            </w:pPr>
            <w:r>
              <w:t>2394.13</w:t>
            </w:r>
          </w:p>
        </w:tc>
        <w:tc>
          <w:tcPr>
            <w:tcW w:w="2551" w:type="dxa"/>
            <w:vAlign w:val="center"/>
          </w:tcPr>
          <w:p w14:paraId="1EB6AE2F">
            <w:pPr>
              <w:pStyle w:val="15"/>
            </w:pPr>
            <w:r>
              <w:t>548.51</w:t>
            </w:r>
          </w:p>
        </w:tc>
      </w:tr>
      <w:tr w14:paraId="788F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392F">
            <w:pPr>
              <w:pStyle w:val="13"/>
            </w:pPr>
            <w:r>
              <w:t>2</w:t>
            </w:r>
          </w:p>
        </w:tc>
        <w:tc>
          <w:tcPr>
            <w:tcW w:w="1191" w:type="dxa"/>
            <w:vAlign w:val="center"/>
          </w:tcPr>
          <w:p w14:paraId="60A6EC38">
            <w:pPr>
              <w:pStyle w:val="12"/>
            </w:pPr>
            <w:r>
              <w:t>205</w:t>
            </w:r>
          </w:p>
        </w:tc>
        <w:tc>
          <w:tcPr>
            <w:tcW w:w="4535" w:type="dxa"/>
            <w:vAlign w:val="center"/>
          </w:tcPr>
          <w:p w14:paraId="521E4B69">
            <w:pPr>
              <w:pStyle w:val="12"/>
            </w:pPr>
            <w:r>
              <w:t>教育支出</w:t>
            </w:r>
          </w:p>
        </w:tc>
        <w:tc>
          <w:tcPr>
            <w:tcW w:w="2551" w:type="dxa"/>
            <w:vAlign w:val="center"/>
          </w:tcPr>
          <w:p w14:paraId="3A49BC06">
            <w:pPr>
              <w:pStyle w:val="11"/>
            </w:pPr>
            <w:r>
              <w:t>2942.65</w:t>
            </w:r>
          </w:p>
        </w:tc>
        <w:tc>
          <w:tcPr>
            <w:tcW w:w="2551" w:type="dxa"/>
            <w:vAlign w:val="center"/>
          </w:tcPr>
          <w:p w14:paraId="5D736CAA">
            <w:pPr>
              <w:pStyle w:val="11"/>
            </w:pPr>
            <w:r>
              <w:t>2394.13</w:t>
            </w:r>
          </w:p>
        </w:tc>
        <w:tc>
          <w:tcPr>
            <w:tcW w:w="2551" w:type="dxa"/>
            <w:vAlign w:val="center"/>
          </w:tcPr>
          <w:p w14:paraId="19FFD399">
            <w:pPr>
              <w:pStyle w:val="11"/>
            </w:pPr>
            <w:r>
              <w:t>548.51</w:t>
            </w:r>
          </w:p>
        </w:tc>
      </w:tr>
      <w:tr w14:paraId="6346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4584">
            <w:pPr>
              <w:pStyle w:val="13"/>
            </w:pPr>
            <w:r>
              <w:t>3</w:t>
            </w:r>
          </w:p>
        </w:tc>
        <w:tc>
          <w:tcPr>
            <w:tcW w:w="1191" w:type="dxa"/>
            <w:vAlign w:val="center"/>
          </w:tcPr>
          <w:p w14:paraId="33D5F672">
            <w:pPr>
              <w:pStyle w:val="12"/>
            </w:pPr>
            <w:r>
              <w:t>20502</w:t>
            </w:r>
          </w:p>
        </w:tc>
        <w:tc>
          <w:tcPr>
            <w:tcW w:w="4535" w:type="dxa"/>
            <w:vAlign w:val="center"/>
          </w:tcPr>
          <w:p w14:paraId="68E0D878">
            <w:pPr>
              <w:pStyle w:val="12"/>
            </w:pPr>
            <w:r>
              <w:t>普通教育</w:t>
            </w:r>
          </w:p>
        </w:tc>
        <w:tc>
          <w:tcPr>
            <w:tcW w:w="2551" w:type="dxa"/>
            <w:vAlign w:val="center"/>
          </w:tcPr>
          <w:p w14:paraId="2AD2CAEC">
            <w:pPr>
              <w:pStyle w:val="11"/>
            </w:pPr>
            <w:r>
              <w:t>2942.65</w:t>
            </w:r>
          </w:p>
        </w:tc>
        <w:tc>
          <w:tcPr>
            <w:tcW w:w="2551" w:type="dxa"/>
            <w:vAlign w:val="center"/>
          </w:tcPr>
          <w:p w14:paraId="356131DB">
            <w:pPr>
              <w:pStyle w:val="11"/>
            </w:pPr>
            <w:r>
              <w:t>2394.13</w:t>
            </w:r>
          </w:p>
        </w:tc>
        <w:tc>
          <w:tcPr>
            <w:tcW w:w="2551" w:type="dxa"/>
            <w:vAlign w:val="center"/>
          </w:tcPr>
          <w:p w14:paraId="08BA68AE">
            <w:pPr>
              <w:pStyle w:val="11"/>
            </w:pPr>
            <w:r>
              <w:t>548.51</w:t>
            </w:r>
          </w:p>
        </w:tc>
      </w:tr>
      <w:tr w14:paraId="1CC2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99353">
            <w:pPr>
              <w:pStyle w:val="13"/>
            </w:pPr>
            <w:r>
              <w:t>4</w:t>
            </w:r>
          </w:p>
        </w:tc>
        <w:tc>
          <w:tcPr>
            <w:tcW w:w="1191" w:type="dxa"/>
            <w:vAlign w:val="center"/>
          </w:tcPr>
          <w:p w14:paraId="7D71859C">
            <w:pPr>
              <w:pStyle w:val="12"/>
            </w:pPr>
            <w:r>
              <w:t>2050201</w:t>
            </w:r>
          </w:p>
        </w:tc>
        <w:tc>
          <w:tcPr>
            <w:tcW w:w="4535" w:type="dxa"/>
            <w:vAlign w:val="center"/>
          </w:tcPr>
          <w:p w14:paraId="1DE3D9ED">
            <w:pPr>
              <w:pStyle w:val="12"/>
            </w:pPr>
            <w:r>
              <w:t>学前教育</w:t>
            </w:r>
          </w:p>
        </w:tc>
        <w:tc>
          <w:tcPr>
            <w:tcW w:w="2551" w:type="dxa"/>
            <w:vAlign w:val="center"/>
          </w:tcPr>
          <w:p w14:paraId="44F096CC">
            <w:pPr>
              <w:pStyle w:val="11"/>
            </w:pPr>
            <w:r>
              <w:t>185.58</w:t>
            </w:r>
          </w:p>
        </w:tc>
        <w:tc>
          <w:tcPr>
            <w:tcW w:w="2551" w:type="dxa"/>
            <w:vAlign w:val="center"/>
          </w:tcPr>
          <w:p w14:paraId="65D7A6FE">
            <w:pPr>
              <w:pStyle w:val="11"/>
            </w:pPr>
          </w:p>
        </w:tc>
        <w:tc>
          <w:tcPr>
            <w:tcW w:w="2551" w:type="dxa"/>
            <w:vAlign w:val="center"/>
          </w:tcPr>
          <w:p w14:paraId="5DBB840E">
            <w:pPr>
              <w:pStyle w:val="11"/>
            </w:pPr>
            <w:r>
              <w:t>185.58</w:t>
            </w:r>
          </w:p>
        </w:tc>
      </w:tr>
      <w:tr w14:paraId="4529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EE8CB">
            <w:pPr>
              <w:pStyle w:val="13"/>
            </w:pPr>
            <w:r>
              <w:t>5</w:t>
            </w:r>
          </w:p>
        </w:tc>
        <w:tc>
          <w:tcPr>
            <w:tcW w:w="1191" w:type="dxa"/>
            <w:vAlign w:val="center"/>
          </w:tcPr>
          <w:p w14:paraId="0328A428">
            <w:pPr>
              <w:pStyle w:val="12"/>
            </w:pPr>
            <w:r>
              <w:t>2050202</w:t>
            </w:r>
          </w:p>
        </w:tc>
        <w:tc>
          <w:tcPr>
            <w:tcW w:w="4535" w:type="dxa"/>
            <w:vAlign w:val="center"/>
          </w:tcPr>
          <w:p w14:paraId="3D516EEA">
            <w:pPr>
              <w:pStyle w:val="12"/>
            </w:pPr>
            <w:r>
              <w:t>小学教育</w:t>
            </w:r>
          </w:p>
        </w:tc>
        <w:tc>
          <w:tcPr>
            <w:tcW w:w="2551" w:type="dxa"/>
            <w:vAlign w:val="center"/>
          </w:tcPr>
          <w:p w14:paraId="3AE72E2C">
            <w:pPr>
              <w:pStyle w:val="11"/>
            </w:pPr>
            <w:r>
              <w:t>2757.06</w:t>
            </w:r>
          </w:p>
        </w:tc>
        <w:tc>
          <w:tcPr>
            <w:tcW w:w="2551" w:type="dxa"/>
            <w:vAlign w:val="center"/>
          </w:tcPr>
          <w:p w14:paraId="16D71900">
            <w:pPr>
              <w:pStyle w:val="11"/>
            </w:pPr>
            <w:r>
              <w:t>2394.13</w:t>
            </w:r>
          </w:p>
        </w:tc>
        <w:tc>
          <w:tcPr>
            <w:tcW w:w="2551" w:type="dxa"/>
            <w:vAlign w:val="center"/>
          </w:tcPr>
          <w:p w14:paraId="6A4EE2A4">
            <w:pPr>
              <w:pStyle w:val="11"/>
            </w:pPr>
            <w:r>
              <w:t>362.93</w:t>
            </w:r>
          </w:p>
        </w:tc>
      </w:tr>
    </w:tbl>
    <w:p w14:paraId="0A56321E">
      <w:pPr>
        <w:sectPr>
          <w:pgSz w:w="16840" w:h="11900" w:orient="landscape"/>
          <w:pgMar w:top="1361" w:right="1020" w:bottom="1134" w:left="1020" w:header="720" w:footer="720" w:gutter="0"/>
          <w:cols w:space="720" w:num="1"/>
        </w:sectPr>
      </w:pPr>
    </w:p>
    <w:p w14:paraId="7B9CD6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4E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B35D53">
            <w:pPr>
              <w:pStyle w:val="9"/>
            </w:pPr>
            <w:r>
              <w:t>360021隆尧县山口校区</w:t>
            </w:r>
          </w:p>
        </w:tc>
        <w:tc>
          <w:tcPr>
            <w:tcW w:w="2551" w:type="dxa"/>
            <w:tcBorders>
              <w:top w:val="single" w:color="FFFFFF" w:sz="6" w:space="0"/>
              <w:left w:val="single" w:color="FFFFFF" w:sz="6" w:space="0"/>
              <w:right w:val="single" w:color="FFFFFF" w:sz="6" w:space="0"/>
            </w:tcBorders>
            <w:vAlign w:val="center"/>
          </w:tcPr>
          <w:p w14:paraId="4EF6EEA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6AD7EA">
            <w:pPr>
              <w:pStyle w:val="7"/>
            </w:pPr>
            <w:r>
              <w:t>单位：万元</w:t>
            </w:r>
          </w:p>
        </w:tc>
      </w:tr>
      <w:tr w14:paraId="3A2D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DCB38">
            <w:pPr>
              <w:pStyle w:val="10"/>
            </w:pPr>
            <w:r>
              <w:t>序号</w:t>
            </w:r>
          </w:p>
        </w:tc>
        <w:tc>
          <w:tcPr>
            <w:tcW w:w="5726" w:type="dxa"/>
            <w:gridSpan w:val="2"/>
            <w:vAlign w:val="center"/>
          </w:tcPr>
          <w:p w14:paraId="5501F448">
            <w:pPr>
              <w:pStyle w:val="10"/>
            </w:pPr>
            <w:r>
              <w:t>支出部门经济分类科目</w:t>
            </w:r>
          </w:p>
        </w:tc>
        <w:tc>
          <w:tcPr>
            <w:tcW w:w="7653" w:type="dxa"/>
            <w:gridSpan w:val="3"/>
            <w:vAlign w:val="center"/>
          </w:tcPr>
          <w:p w14:paraId="19D9C918">
            <w:pPr>
              <w:pStyle w:val="10"/>
            </w:pPr>
            <w:r>
              <w:t>一般公共预算基本支出</w:t>
            </w:r>
          </w:p>
        </w:tc>
      </w:tr>
      <w:tr w14:paraId="4E375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F16AC"/>
        </w:tc>
        <w:tc>
          <w:tcPr>
            <w:tcW w:w="1191" w:type="dxa"/>
            <w:vAlign w:val="center"/>
          </w:tcPr>
          <w:p w14:paraId="7BF858A0">
            <w:pPr>
              <w:pStyle w:val="10"/>
            </w:pPr>
            <w:r>
              <w:t>科目编码</w:t>
            </w:r>
          </w:p>
        </w:tc>
        <w:tc>
          <w:tcPr>
            <w:tcW w:w="4535" w:type="dxa"/>
            <w:vAlign w:val="center"/>
          </w:tcPr>
          <w:p w14:paraId="64BB0293">
            <w:pPr>
              <w:pStyle w:val="10"/>
            </w:pPr>
            <w:r>
              <w:t>科目名称</w:t>
            </w:r>
          </w:p>
        </w:tc>
        <w:tc>
          <w:tcPr>
            <w:tcW w:w="2551" w:type="dxa"/>
            <w:vAlign w:val="center"/>
          </w:tcPr>
          <w:p w14:paraId="7F52F12A">
            <w:pPr>
              <w:pStyle w:val="10"/>
            </w:pPr>
            <w:r>
              <w:t>合计</w:t>
            </w:r>
          </w:p>
        </w:tc>
        <w:tc>
          <w:tcPr>
            <w:tcW w:w="2551" w:type="dxa"/>
            <w:vAlign w:val="center"/>
          </w:tcPr>
          <w:p w14:paraId="60F6CF1F">
            <w:pPr>
              <w:pStyle w:val="10"/>
            </w:pPr>
            <w:r>
              <w:t>人员经费</w:t>
            </w:r>
          </w:p>
        </w:tc>
        <w:tc>
          <w:tcPr>
            <w:tcW w:w="2551" w:type="dxa"/>
            <w:vAlign w:val="center"/>
          </w:tcPr>
          <w:p w14:paraId="02E3D72B">
            <w:pPr>
              <w:pStyle w:val="10"/>
            </w:pPr>
            <w:r>
              <w:t>公用经费</w:t>
            </w:r>
          </w:p>
        </w:tc>
      </w:tr>
      <w:tr w14:paraId="2517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343495">
            <w:pPr>
              <w:pStyle w:val="10"/>
            </w:pPr>
            <w:r>
              <w:t>栏次</w:t>
            </w:r>
          </w:p>
        </w:tc>
        <w:tc>
          <w:tcPr>
            <w:tcW w:w="1191" w:type="dxa"/>
            <w:vAlign w:val="center"/>
          </w:tcPr>
          <w:p w14:paraId="2F860F07">
            <w:pPr>
              <w:pStyle w:val="10"/>
            </w:pPr>
            <w:r>
              <w:t>1</w:t>
            </w:r>
          </w:p>
        </w:tc>
        <w:tc>
          <w:tcPr>
            <w:tcW w:w="4535" w:type="dxa"/>
            <w:vAlign w:val="center"/>
          </w:tcPr>
          <w:p w14:paraId="4C35111A">
            <w:pPr>
              <w:pStyle w:val="10"/>
            </w:pPr>
            <w:r>
              <w:t>2</w:t>
            </w:r>
          </w:p>
        </w:tc>
        <w:tc>
          <w:tcPr>
            <w:tcW w:w="2551" w:type="dxa"/>
            <w:vAlign w:val="center"/>
          </w:tcPr>
          <w:p w14:paraId="1703B32B">
            <w:pPr>
              <w:pStyle w:val="10"/>
            </w:pPr>
            <w:r>
              <w:t>3</w:t>
            </w:r>
          </w:p>
        </w:tc>
        <w:tc>
          <w:tcPr>
            <w:tcW w:w="2551" w:type="dxa"/>
            <w:vAlign w:val="center"/>
          </w:tcPr>
          <w:p w14:paraId="1497C11E">
            <w:pPr>
              <w:pStyle w:val="10"/>
            </w:pPr>
            <w:r>
              <w:t>4</w:t>
            </w:r>
          </w:p>
        </w:tc>
        <w:tc>
          <w:tcPr>
            <w:tcW w:w="2551" w:type="dxa"/>
            <w:vAlign w:val="center"/>
          </w:tcPr>
          <w:p w14:paraId="726FFFA5">
            <w:pPr>
              <w:pStyle w:val="10"/>
            </w:pPr>
            <w:r>
              <w:t>5</w:t>
            </w:r>
          </w:p>
        </w:tc>
      </w:tr>
      <w:tr w14:paraId="5E59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27F1">
            <w:pPr>
              <w:pStyle w:val="13"/>
            </w:pPr>
            <w:r>
              <w:t>1</w:t>
            </w:r>
          </w:p>
        </w:tc>
        <w:tc>
          <w:tcPr>
            <w:tcW w:w="1191" w:type="dxa"/>
            <w:vAlign w:val="center"/>
          </w:tcPr>
          <w:p w14:paraId="3D0CC42A">
            <w:pPr>
              <w:pStyle w:val="16"/>
            </w:pPr>
          </w:p>
        </w:tc>
        <w:tc>
          <w:tcPr>
            <w:tcW w:w="4535" w:type="dxa"/>
            <w:vAlign w:val="center"/>
          </w:tcPr>
          <w:p w14:paraId="2F65051B">
            <w:pPr>
              <w:pStyle w:val="14"/>
            </w:pPr>
            <w:r>
              <w:t>合计</w:t>
            </w:r>
          </w:p>
        </w:tc>
        <w:tc>
          <w:tcPr>
            <w:tcW w:w="2551" w:type="dxa"/>
            <w:vAlign w:val="center"/>
          </w:tcPr>
          <w:p w14:paraId="1F239033">
            <w:pPr>
              <w:pStyle w:val="15"/>
            </w:pPr>
            <w:r>
              <w:t>2394.13</w:t>
            </w:r>
          </w:p>
        </w:tc>
        <w:tc>
          <w:tcPr>
            <w:tcW w:w="2551" w:type="dxa"/>
            <w:vAlign w:val="center"/>
          </w:tcPr>
          <w:p w14:paraId="541196C7">
            <w:pPr>
              <w:pStyle w:val="15"/>
            </w:pPr>
            <w:r>
              <w:t>2394.13</w:t>
            </w:r>
          </w:p>
        </w:tc>
        <w:tc>
          <w:tcPr>
            <w:tcW w:w="2551" w:type="dxa"/>
            <w:vAlign w:val="center"/>
          </w:tcPr>
          <w:p w14:paraId="6B5AE5C2">
            <w:pPr>
              <w:pStyle w:val="15"/>
            </w:pPr>
          </w:p>
        </w:tc>
      </w:tr>
      <w:tr w14:paraId="788F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934A">
            <w:pPr>
              <w:pStyle w:val="13"/>
            </w:pPr>
            <w:r>
              <w:t>2</w:t>
            </w:r>
          </w:p>
        </w:tc>
        <w:tc>
          <w:tcPr>
            <w:tcW w:w="1191" w:type="dxa"/>
            <w:vAlign w:val="center"/>
          </w:tcPr>
          <w:p w14:paraId="456160C1">
            <w:pPr>
              <w:pStyle w:val="12"/>
            </w:pPr>
            <w:r>
              <w:t>301</w:t>
            </w:r>
          </w:p>
        </w:tc>
        <w:tc>
          <w:tcPr>
            <w:tcW w:w="4535" w:type="dxa"/>
            <w:vAlign w:val="center"/>
          </w:tcPr>
          <w:p w14:paraId="54CE01AA">
            <w:pPr>
              <w:pStyle w:val="12"/>
            </w:pPr>
            <w:r>
              <w:t>工资福利支出</w:t>
            </w:r>
          </w:p>
        </w:tc>
        <w:tc>
          <w:tcPr>
            <w:tcW w:w="2551" w:type="dxa"/>
            <w:vAlign w:val="center"/>
          </w:tcPr>
          <w:p w14:paraId="6E391362">
            <w:pPr>
              <w:pStyle w:val="11"/>
            </w:pPr>
            <w:r>
              <w:t>2250.17</w:t>
            </w:r>
          </w:p>
        </w:tc>
        <w:tc>
          <w:tcPr>
            <w:tcW w:w="2551" w:type="dxa"/>
            <w:vAlign w:val="center"/>
          </w:tcPr>
          <w:p w14:paraId="4D16A7F6">
            <w:pPr>
              <w:pStyle w:val="11"/>
            </w:pPr>
            <w:r>
              <w:t>2250.17</w:t>
            </w:r>
          </w:p>
        </w:tc>
        <w:tc>
          <w:tcPr>
            <w:tcW w:w="2551" w:type="dxa"/>
            <w:vAlign w:val="center"/>
          </w:tcPr>
          <w:p w14:paraId="0AAB05B4">
            <w:pPr>
              <w:pStyle w:val="11"/>
            </w:pPr>
          </w:p>
        </w:tc>
      </w:tr>
      <w:tr w14:paraId="5035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E34AE">
            <w:pPr>
              <w:pStyle w:val="13"/>
            </w:pPr>
            <w:r>
              <w:t>3</w:t>
            </w:r>
          </w:p>
        </w:tc>
        <w:tc>
          <w:tcPr>
            <w:tcW w:w="1191" w:type="dxa"/>
            <w:vAlign w:val="center"/>
          </w:tcPr>
          <w:p w14:paraId="269922A0">
            <w:pPr>
              <w:pStyle w:val="12"/>
            </w:pPr>
            <w:r>
              <w:t>30101</w:t>
            </w:r>
          </w:p>
        </w:tc>
        <w:tc>
          <w:tcPr>
            <w:tcW w:w="4535" w:type="dxa"/>
            <w:vAlign w:val="center"/>
          </w:tcPr>
          <w:p w14:paraId="2F8EB149">
            <w:pPr>
              <w:pStyle w:val="12"/>
            </w:pPr>
            <w:r>
              <w:t>基本工资</w:t>
            </w:r>
          </w:p>
        </w:tc>
        <w:tc>
          <w:tcPr>
            <w:tcW w:w="2551" w:type="dxa"/>
            <w:vAlign w:val="center"/>
          </w:tcPr>
          <w:p w14:paraId="7F471C49">
            <w:pPr>
              <w:pStyle w:val="11"/>
            </w:pPr>
            <w:r>
              <w:t>1030.40</w:t>
            </w:r>
          </w:p>
        </w:tc>
        <w:tc>
          <w:tcPr>
            <w:tcW w:w="2551" w:type="dxa"/>
            <w:vAlign w:val="center"/>
          </w:tcPr>
          <w:p w14:paraId="31151DF7">
            <w:pPr>
              <w:pStyle w:val="11"/>
            </w:pPr>
            <w:r>
              <w:t>1030.40</w:t>
            </w:r>
          </w:p>
        </w:tc>
        <w:tc>
          <w:tcPr>
            <w:tcW w:w="2551" w:type="dxa"/>
            <w:vAlign w:val="center"/>
          </w:tcPr>
          <w:p w14:paraId="708D1026">
            <w:pPr>
              <w:pStyle w:val="11"/>
            </w:pPr>
          </w:p>
        </w:tc>
      </w:tr>
      <w:tr w14:paraId="20FB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5B33">
            <w:pPr>
              <w:pStyle w:val="13"/>
            </w:pPr>
            <w:r>
              <w:t>4</w:t>
            </w:r>
          </w:p>
        </w:tc>
        <w:tc>
          <w:tcPr>
            <w:tcW w:w="1191" w:type="dxa"/>
            <w:vAlign w:val="center"/>
          </w:tcPr>
          <w:p w14:paraId="18D47363">
            <w:pPr>
              <w:pStyle w:val="12"/>
            </w:pPr>
            <w:r>
              <w:t>30102</w:t>
            </w:r>
          </w:p>
        </w:tc>
        <w:tc>
          <w:tcPr>
            <w:tcW w:w="4535" w:type="dxa"/>
            <w:vAlign w:val="center"/>
          </w:tcPr>
          <w:p w14:paraId="3E9BC244">
            <w:pPr>
              <w:pStyle w:val="12"/>
            </w:pPr>
            <w:r>
              <w:t>津贴补贴</w:t>
            </w:r>
          </w:p>
        </w:tc>
        <w:tc>
          <w:tcPr>
            <w:tcW w:w="2551" w:type="dxa"/>
            <w:vAlign w:val="center"/>
          </w:tcPr>
          <w:p w14:paraId="654065BB">
            <w:pPr>
              <w:pStyle w:val="11"/>
            </w:pPr>
            <w:r>
              <w:t>105.30</w:t>
            </w:r>
          </w:p>
        </w:tc>
        <w:tc>
          <w:tcPr>
            <w:tcW w:w="2551" w:type="dxa"/>
            <w:vAlign w:val="center"/>
          </w:tcPr>
          <w:p w14:paraId="5E6711C7">
            <w:pPr>
              <w:pStyle w:val="11"/>
            </w:pPr>
            <w:r>
              <w:t>105.30</w:t>
            </w:r>
          </w:p>
        </w:tc>
        <w:tc>
          <w:tcPr>
            <w:tcW w:w="2551" w:type="dxa"/>
            <w:vAlign w:val="center"/>
          </w:tcPr>
          <w:p w14:paraId="2E8606D7">
            <w:pPr>
              <w:pStyle w:val="11"/>
            </w:pPr>
          </w:p>
        </w:tc>
      </w:tr>
      <w:tr w14:paraId="3077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E9C05">
            <w:pPr>
              <w:pStyle w:val="13"/>
            </w:pPr>
            <w:r>
              <w:t>5</w:t>
            </w:r>
          </w:p>
        </w:tc>
        <w:tc>
          <w:tcPr>
            <w:tcW w:w="1191" w:type="dxa"/>
            <w:vAlign w:val="center"/>
          </w:tcPr>
          <w:p w14:paraId="56445708">
            <w:pPr>
              <w:pStyle w:val="12"/>
            </w:pPr>
            <w:r>
              <w:t>30107</w:t>
            </w:r>
          </w:p>
        </w:tc>
        <w:tc>
          <w:tcPr>
            <w:tcW w:w="4535" w:type="dxa"/>
            <w:vAlign w:val="center"/>
          </w:tcPr>
          <w:p w14:paraId="51B828C2">
            <w:pPr>
              <w:pStyle w:val="12"/>
            </w:pPr>
            <w:r>
              <w:t>绩效工资</w:t>
            </w:r>
          </w:p>
        </w:tc>
        <w:tc>
          <w:tcPr>
            <w:tcW w:w="2551" w:type="dxa"/>
            <w:vAlign w:val="center"/>
          </w:tcPr>
          <w:p w14:paraId="2BCA89EB">
            <w:pPr>
              <w:pStyle w:val="11"/>
            </w:pPr>
            <w:r>
              <w:t>601.33</w:t>
            </w:r>
          </w:p>
        </w:tc>
        <w:tc>
          <w:tcPr>
            <w:tcW w:w="2551" w:type="dxa"/>
            <w:vAlign w:val="center"/>
          </w:tcPr>
          <w:p w14:paraId="53BACF15">
            <w:pPr>
              <w:pStyle w:val="11"/>
            </w:pPr>
            <w:r>
              <w:t>601.33</w:t>
            </w:r>
          </w:p>
        </w:tc>
        <w:tc>
          <w:tcPr>
            <w:tcW w:w="2551" w:type="dxa"/>
            <w:vAlign w:val="center"/>
          </w:tcPr>
          <w:p w14:paraId="0BF41DF4">
            <w:pPr>
              <w:pStyle w:val="11"/>
            </w:pPr>
          </w:p>
        </w:tc>
      </w:tr>
      <w:tr w14:paraId="3FFB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36A6">
            <w:pPr>
              <w:pStyle w:val="13"/>
            </w:pPr>
            <w:r>
              <w:t>6</w:t>
            </w:r>
          </w:p>
        </w:tc>
        <w:tc>
          <w:tcPr>
            <w:tcW w:w="1191" w:type="dxa"/>
            <w:vAlign w:val="center"/>
          </w:tcPr>
          <w:p w14:paraId="120269BF">
            <w:pPr>
              <w:pStyle w:val="12"/>
            </w:pPr>
            <w:r>
              <w:t>30108</w:t>
            </w:r>
          </w:p>
        </w:tc>
        <w:tc>
          <w:tcPr>
            <w:tcW w:w="4535" w:type="dxa"/>
            <w:vAlign w:val="center"/>
          </w:tcPr>
          <w:p w14:paraId="64747BC3">
            <w:pPr>
              <w:pStyle w:val="12"/>
            </w:pPr>
            <w:r>
              <w:t>机关事业单位基本养老保险缴费</w:t>
            </w:r>
          </w:p>
        </w:tc>
        <w:tc>
          <w:tcPr>
            <w:tcW w:w="2551" w:type="dxa"/>
            <w:vAlign w:val="center"/>
          </w:tcPr>
          <w:p w14:paraId="375FDFDB">
            <w:pPr>
              <w:pStyle w:val="11"/>
            </w:pPr>
            <w:r>
              <w:t>231.95</w:t>
            </w:r>
          </w:p>
        </w:tc>
        <w:tc>
          <w:tcPr>
            <w:tcW w:w="2551" w:type="dxa"/>
            <w:vAlign w:val="center"/>
          </w:tcPr>
          <w:p w14:paraId="487550B9">
            <w:pPr>
              <w:pStyle w:val="11"/>
            </w:pPr>
            <w:r>
              <w:t>231.95</w:t>
            </w:r>
          </w:p>
        </w:tc>
        <w:tc>
          <w:tcPr>
            <w:tcW w:w="2551" w:type="dxa"/>
            <w:vAlign w:val="center"/>
          </w:tcPr>
          <w:p w14:paraId="01FC9623">
            <w:pPr>
              <w:pStyle w:val="11"/>
            </w:pPr>
          </w:p>
        </w:tc>
      </w:tr>
      <w:tr w14:paraId="2DF3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00BE6">
            <w:pPr>
              <w:pStyle w:val="13"/>
            </w:pPr>
            <w:r>
              <w:t>7</w:t>
            </w:r>
          </w:p>
        </w:tc>
        <w:tc>
          <w:tcPr>
            <w:tcW w:w="1191" w:type="dxa"/>
            <w:vAlign w:val="center"/>
          </w:tcPr>
          <w:p w14:paraId="128CD7F7">
            <w:pPr>
              <w:pStyle w:val="12"/>
            </w:pPr>
            <w:r>
              <w:t>30110</w:t>
            </w:r>
          </w:p>
        </w:tc>
        <w:tc>
          <w:tcPr>
            <w:tcW w:w="4535" w:type="dxa"/>
            <w:vAlign w:val="center"/>
          </w:tcPr>
          <w:p w14:paraId="5257B940">
            <w:pPr>
              <w:pStyle w:val="12"/>
            </w:pPr>
            <w:r>
              <w:t>职工基本医疗保险缴费</w:t>
            </w:r>
          </w:p>
        </w:tc>
        <w:tc>
          <w:tcPr>
            <w:tcW w:w="2551" w:type="dxa"/>
            <w:vAlign w:val="center"/>
          </w:tcPr>
          <w:p w14:paraId="3B5FBBDE">
            <w:pPr>
              <w:pStyle w:val="11"/>
            </w:pPr>
            <w:r>
              <w:t>106.37</w:t>
            </w:r>
          </w:p>
        </w:tc>
        <w:tc>
          <w:tcPr>
            <w:tcW w:w="2551" w:type="dxa"/>
            <w:vAlign w:val="center"/>
          </w:tcPr>
          <w:p w14:paraId="34080F4D">
            <w:pPr>
              <w:pStyle w:val="11"/>
            </w:pPr>
            <w:r>
              <w:t>106.37</w:t>
            </w:r>
          </w:p>
        </w:tc>
        <w:tc>
          <w:tcPr>
            <w:tcW w:w="2551" w:type="dxa"/>
            <w:vAlign w:val="center"/>
          </w:tcPr>
          <w:p w14:paraId="70DCD260">
            <w:pPr>
              <w:pStyle w:val="11"/>
            </w:pPr>
          </w:p>
        </w:tc>
      </w:tr>
      <w:tr w14:paraId="3EB72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6078">
            <w:pPr>
              <w:pStyle w:val="13"/>
            </w:pPr>
            <w:r>
              <w:t>8</w:t>
            </w:r>
          </w:p>
        </w:tc>
        <w:tc>
          <w:tcPr>
            <w:tcW w:w="1191" w:type="dxa"/>
            <w:vAlign w:val="center"/>
          </w:tcPr>
          <w:p w14:paraId="15CBFD44">
            <w:pPr>
              <w:pStyle w:val="12"/>
            </w:pPr>
            <w:r>
              <w:t>30112</w:t>
            </w:r>
          </w:p>
        </w:tc>
        <w:tc>
          <w:tcPr>
            <w:tcW w:w="4535" w:type="dxa"/>
            <w:vAlign w:val="center"/>
          </w:tcPr>
          <w:p w14:paraId="1DB1975F">
            <w:pPr>
              <w:pStyle w:val="12"/>
            </w:pPr>
            <w:r>
              <w:t>其他社会保障缴费</w:t>
            </w:r>
          </w:p>
        </w:tc>
        <w:tc>
          <w:tcPr>
            <w:tcW w:w="2551" w:type="dxa"/>
            <w:vAlign w:val="center"/>
          </w:tcPr>
          <w:p w14:paraId="3661D37E">
            <w:pPr>
              <w:pStyle w:val="11"/>
            </w:pPr>
            <w:r>
              <w:t>6.38</w:t>
            </w:r>
          </w:p>
        </w:tc>
        <w:tc>
          <w:tcPr>
            <w:tcW w:w="2551" w:type="dxa"/>
            <w:vAlign w:val="center"/>
          </w:tcPr>
          <w:p w14:paraId="7699B760">
            <w:pPr>
              <w:pStyle w:val="11"/>
            </w:pPr>
            <w:r>
              <w:t>6.38</w:t>
            </w:r>
          </w:p>
        </w:tc>
        <w:tc>
          <w:tcPr>
            <w:tcW w:w="2551" w:type="dxa"/>
            <w:vAlign w:val="center"/>
          </w:tcPr>
          <w:p w14:paraId="722E77D8">
            <w:pPr>
              <w:pStyle w:val="11"/>
            </w:pPr>
          </w:p>
        </w:tc>
      </w:tr>
      <w:tr w14:paraId="28275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899C">
            <w:pPr>
              <w:pStyle w:val="13"/>
            </w:pPr>
            <w:r>
              <w:t>9</w:t>
            </w:r>
          </w:p>
        </w:tc>
        <w:tc>
          <w:tcPr>
            <w:tcW w:w="1191" w:type="dxa"/>
            <w:vAlign w:val="center"/>
          </w:tcPr>
          <w:p w14:paraId="4DC2FE3B">
            <w:pPr>
              <w:pStyle w:val="12"/>
            </w:pPr>
            <w:r>
              <w:t>30113</w:t>
            </w:r>
          </w:p>
        </w:tc>
        <w:tc>
          <w:tcPr>
            <w:tcW w:w="4535" w:type="dxa"/>
            <w:vAlign w:val="center"/>
          </w:tcPr>
          <w:p w14:paraId="6982D5F5">
            <w:pPr>
              <w:pStyle w:val="12"/>
            </w:pPr>
            <w:r>
              <w:t>住房公积金</w:t>
            </w:r>
          </w:p>
        </w:tc>
        <w:tc>
          <w:tcPr>
            <w:tcW w:w="2551" w:type="dxa"/>
            <w:vAlign w:val="center"/>
          </w:tcPr>
          <w:p w14:paraId="0EBC01B0">
            <w:pPr>
              <w:pStyle w:val="11"/>
            </w:pPr>
            <w:r>
              <w:t>168.45</w:t>
            </w:r>
          </w:p>
        </w:tc>
        <w:tc>
          <w:tcPr>
            <w:tcW w:w="2551" w:type="dxa"/>
            <w:vAlign w:val="center"/>
          </w:tcPr>
          <w:p w14:paraId="6A8CF025">
            <w:pPr>
              <w:pStyle w:val="11"/>
            </w:pPr>
            <w:r>
              <w:t>168.45</w:t>
            </w:r>
          </w:p>
        </w:tc>
        <w:tc>
          <w:tcPr>
            <w:tcW w:w="2551" w:type="dxa"/>
            <w:vAlign w:val="center"/>
          </w:tcPr>
          <w:p w14:paraId="68347D57">
            <w:pPr>
              <w:pStyle w:val="11"/>
            </w:pPr>
          </w:p>
        </w:tc>
      </w:tr>
      <w:tr w14:paraId="7439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40A05">
            <w:pPr>
              <w:pStyle w:val="13"/>
            </w:pPr>
            <w:r>
              <w:t>10</w:t>
            </w:r>
          </w:p>
        </w:tc>
        <w:tc>
          <w:tcPr>
            <w:tcW w:w="1191" w:type="dxa"/>
            <w:vAlign w:val="center"/>
          </w:tcPr>
          <w:p w14:paraId="707255B7">
            <w:pPr>
              <w:pStyle w:val="12"/>
            </w:pPr>
            <w:r>
              <w:t>303</w:t>
            </w:r>
          </w:p>
        </w:tc>
        <w:tc>
          <w:tcPr>
            <w:tcW w:w="4535" w:type="dxa"/>
            <w:vAlign w:val="center"/>
          </w:tcPr>
          <w:p w14:paraId="0AAA9859">
            <w:pPr>
              <w:pStyle w:val="12"/>
            </w:pPr>
            <w:r>
              <w:t>对个人和家庭的补助</w:t>
            </w:r>
          </w:p>
        </w:tc>
        <w:tc>
          <w:tcPr>
            <w:tcW w:w="2551" w:type="dxa"/>
            <w:vAlign w:val="center"/>
          </w:tcPr>
          <w:p w14:paraId="6E3588D8">
            <w:pPr>
              <w:pStyle w:val="11"/>
            </w:pPr>
            <w:r>
              <w:t>143.96</w:t>
            </w:r>
          </w:p>
        </w:tc>
        <w:tc>
          <w:tcPr>
            <w:tcW w:w="2551" w:type="dxa"/>
            <w:vAlign w:val="center"/>
          </w:tcPr>
          <w:p w14:paraId="428330A9">
            <w:pPr>
              <w:pStyle w:val="11"/>
            </w:pPr>
            <w:r>
              <w:t>143.96</w:t>
            </w:r>
          </w:p>
        </w:tc>
        <w:tc>
          <w:tcPr>
            <w:tcW w:w="2551" w:type="dxa"/>
            <w:vAlign w:val="center"/>
          </w:tcPr>
          <w:p w14:paraId="3FB7AF5A">
            <w:pPr>
              <w:pStyle w:val="11"/>
            </w:pPr>
          </w:p>
        </w:tc>
      </w:tr>
      <w:tr w14:paraId="6767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4EE76">
            <w:pPr>
              <w:pStyle w:val="13"/>
            </w:pPr>
            <w:r>
              <w:t>11</w:t>
            </w:r>
          </w:p>
        </w:tc>
        <w:tc>
          <w:tcPr>
            <w:tcW w:w="1191" w:type="dxa"/>
            <w:vAlign w:val="center"/>
          </w:tcPr>
          <w:p w14:paraId="654A993C">
            <w:pPr>
              <w:pStyle w:val="12"/>
            </w:pPr>
            <w:r>
              <w:t>30302</w:t>
            </w:r>
          </w:p>
        </w:tc>
        <w:tc>
          <w:tcPr>
            <w:tcW w:w="4535" w:type="dxa"/>
            <w:vAlign w:val="center"/>
          </w:tcPr>
          <w:p w14:paraId="43C00C02">
            <w:pPr>
              <w:pStyle w:val="12"/>
            </w:pPr>
            <w:r>
              <w:t>退休费</w:t>
            </w:r>
          </w:p>
        </w:tc>
        <w:tc>
          <w:tcPr>
            <w:tcW w:w="2551" w:type="dxa"/>
            <w:vAlign w:val="center"/>
          </w:tcPr>
          <w:p w14:paraId="794B8193">
            <w:pPr>
              <w:pStyle w:val="11"/>
            </w:pPr>
            <w:r>
              <w:t>132.80</w:t>
            </w:r>
          </w:p>
        </w:tc>
        <w:tc>
          <w:tcPr>
            <w:tcW w:w="2551" w:type="dxa"/>
            <w:vAlign w:val="center"/>
          </w:tcPr>
          <w:p w14:paraId="6E006812">
            <w:pPr>
              <w:pStyle w:val="11"/>
            </w:pPr>
            <w:r>
              <w:t>132.80</w:t>
            </w:r>
          </w:p>
        </w:tc>
        <w:tc>
          <w:tcPr>
            <w:tcW w:w="2551" w:type="dxa"/>
            <w:vAlign w:val="center"/>
          </w:tcPr>
          <w:p w14:paraId="2BC63181">
            <w:pPr>
              <w:pStyle w:val="11"/>
            </w:pPr>
          </w:p>
        </w:tc>
      </w:tr>
      <w:tr w14:paraId="6BE8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5E1E5">
            <w:pPr>
              <w:pStyle w:val="13"/>
            </w:pPr>
            <w:r>
              <w:t>12</w:t>
            </w:r>
          </w:p>
        </w:tc>
        <w:tc>
          <w:tcPr>
            <w:tcW w:w="1191" w:type="dxa"/>
            <w:vAlign w:val="center"/>
          </w:tcPr>
          <w:p w14:paraId="17AAEE0E">
            <w:pPr>
              <w:pStyle w:val="12"/>
            </w:pPr>
            <w:r>
              <w:t>30305</w:t>
            </w:r>
          </w:p>
        </w:tc>
        <w:tc>
          <w:tcPr>
            <w:tcW w:w="4535" w:type="dxa"/>
            <w:vAlign w:val="center"/>
          </w:tcPr>
          <w:p w14:paraId="261078D3">
            <w:pPr>
              <w:pStyle w:val="12"/>
            </w:pPr>
            <w:r>
              <w:t>生活补助</w:t>
            </w:r>
          </w:p>
        </w:tc>
        <w:tc>
          <w:tcPr>
            <w:tcW w:w="2551" w:type="dxa"/>
            <w:vAlign w:val="center"/>
          </w:tcPr>
          <w:p w14:paraId="30C9330B">
            <w:pPr>
              <w:pStyle w:val="11"/>
            </w:pPr>
            <w:r>
              <w:t>11.16</w:t>
            </w:r>
          </w:p>
        </w:tc>
        <w:tc>
          <w:tcPr>
            <w:tcW w:w="2551" w:type="dxa"/>
            <w:vAlign w:val="center"/>
          </w:tcPr>
          <w:p w14:paraId="7C8181A6">
            <w:pPr>
              <w:pStyle w:val="11"/>
            </w:pPr>
            <w:r>
              <w:t>11.16</w:t>
            </w:r>
          </w:p>
        </w:tc>
        <w:tc>
          <w:tcPr>
            <w:tcW w:w="2551" w:type="dxa"/>
            <w:vAlign w:val="center"/>
          </w:tcPr>
          <w:p w14:paraId="63A2B4B1">
            <w:pPr>
              <w:pStyle w:val="11"/>
            </w:pPr>
          </w:p>
        </w:tc>
      </w:tr>
    </w:tbl>
    <w:p w14:paraId="4DABA333">
      <w:pPr>
        <w:sectPr>
          <w:pgSz w:w="16840" w:h="11900" w:orient="landscape"/>
          <w:pgMar w:top="1361" w:right="1020" w:bottom="1134" w:left="1020" w:header="720" w:footer="720" w:gutter="0"/>
          <w:cols w:space="720" w:num="1"/>
        </w:sectPr>
      </w:pPr>
    </w:p>
    <w:p w14:paraId="33A290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05F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04B20D">
            <w:pPr>
              <w:pStyle w:val="9"/>
            </w:pPr>
            <w:r>
              <w:t>360021隆尧县山口校区</w:t>
            </w:r>
          </w:p>
        </w:tc>
        <w:tc>
          <w:tcPr>
            <w:tcW w:w="2551" w:type="dxa"/>
            <w:tcBorders>
              <w:top w:val="single" w:color="FFFFFF" w:sz="6" w:space="0"/>
              <w:left w:val="single" w:color="FFFFFF" w:sz="6" w:space="0"/>
              <w:right w:val="single" w:color="FFFFFF" w:sz="6" w:space="0"/>
            </w:tcBorders>
            <w:vAlign w:val="center"/>
          </w:tcPr>
          <w:p w14:paraId="1EF0A58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135C49">
            <w:pPr>
              <w:pStyle w:val="7"/>
            </w:pPr>
            <w:r>
              <w:t>单位：万元</w:t>
            </w:r>
          </w:p>
        </w:tc>
      </w:tr>
      <w:tr w14:paraId="55133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C2DF2">
            <w:pPr>
              <w:pStyle w:val="10"/>
            </w:pPr>
            <w:r>
              <w:t>序号</w:t>
            </w:r>
          </w:p>
        </w:tc>
        <w:tc>
          <w:tcPr>
            <w:tcW w:w="5726" w:type="dxa"/>
            <w:gridSpan w:val="2"/>
            <w:vAlign w:val="center"/>
          </w:tcPr>
          <w:p w14:paraId="3C55CFA7">
            <w:pPr>
              <w:pStyle w:val="10"/>
            </w:pPr>
            <w:r>
              <w:t>功能分类科目</w:t>
            </w:r>
          </w:p>
        </w:tc>
        <w:tc>
          <w:tcPr>
            <w:tcW w:w="2551" w:type="dxa"/>
            <w:vMerge w:val="restart"/>
            <w:vAlign w:val="center"/>
          </w:tcPr>
          <w:p w14:paraId="25BC209F">
            <w:pPr>
              <w:pStyle w:val="10"/>
            </w:pPr>
            <w:r>
              <w:t>合计</w:t>
            </w:r>
          </w:p>
        </w:tc>
        <w:tc>
          <w:tcPr>
            <w:tcW w:w="2551" w:type="dxa"/>
            <w:vMerge w:val="restart"/>
            <w:vAlign w:val="center"/>
          </w:tcPr>
          <w:p w14:paraId="203353B7">
            <w:pPr>
              <w:pStyle w:val="10"/>
            </w:pPr>
            <w:r>
              <w:t>基本支出</w:t>
            </w:r>
          </w:p>
        </w:tc>
        <w:tc>
          <w:tcPr>
            <w:tcW w:w="2551" w:type="dxa"/>
            <w:vMerge w:val="restart"/>
            <w:vAlign w:val="center"/>
          </w:tcPr>
          <w:p w14:paraId="3779A413">
            <w:pPr>
              <w:pStyle w:val="10"/>
            </w:pPr>
            <w:r>
              <w:t>项目支出</w:t>
            </w:r>
          </w:p>
        </w:tc>
      </w:tr>
      <w:tr w14:paraId="1326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059F93"/>
        </w:tc>
        <w:tc>
          <w:tcPr>
            <w:tcW w:w="1191" w:type="dxa"/>
            <w:vAlign w:val="center"/>
          </w:tcPr>
          <w:p w14:paraId="26D3319B">
            <w:pPr>
              <w:pStyle w:val="10"/>
            </w:pPr>
            <w:r>
              <w:t>科目编码</w:t>
            </w:r>
          </w:p>
        </w:tc>
        <w:tc>
          <w:tcPr>
            <w:tcW w:w="4535" w:type="dxa"/>
            <w:vAlign w:val="center"/>
          </w:tcPr>
          <w:p w14:paraId="3F9F0784">
            <w:pPr>
              <w:pStyle w:val="10"/>
            </w:pPr>
            <w:r>
              <w:t>科目名称</w:t>
            </w:r>
          </w:p>
        </w:tc>
        <w:tc>
          <w:tcPr>
            <w:tcW w:w="2551" w:type="dxa"/>
            <w:vMerge w:val="continue"/>
          </w:tcPr>
          <w:p w14:paraId="69EBBCB6"/>
        </w:tc>
        <w:tc>
          <w:tcPr>
            <w:tcW w:w="2551" w:type="dxa"/>
            <w:vMerge w:val="continue"/>
          </w:tcPr>
          <w:p w14:paraId="45607A04"/>
        </w:tc>
        <w:tc>
          <w:tcPr>
            <w:tcW w:w="2551" w:type="dxa"/>
            <w:vMerge w:val="continue"/>
          </w:tcPr>
          <w:p w14:paraId="58AFA31B"/>
        </w:tc>
      </w:tr>
      <w:tr w14:paraId="76BD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347BA">
            <w:pPr>
              <w:pStyle w:val="10"/>
            </w:pPr>
            <w:r>
              <w:t>栏次</w:t>
            </w:r>
          </w:p>
        </w:tc>
        <w:tc>
          <w:tcPr>
            <w:tcW w:w="1191" w:type="dxa"/>
            <w:vAlign w:val="center"/>
          </w:tcPr>
          <w:p w14:paraId="06F61C1C">
            <w:pPr>
              <w:pStyle w:val="10"/>
            </w:pPr>
            <w:r>
              <w:t>1</w:t>
            </w:r>
          </w:p>
        </w:tc>
        <w:tc>
          <w:tcPr>
            <w:tcW w:w="4535" w:type="dxa"/>
            <w:vAlign w:val="center"/>
          </w:tcPr>
          <w:p w14:paraId="170B512B">
            <w:pPr>
              <w:pStyle w:val="10"/>
            </w:pPr>
            <w:r>
              <w:t>2</w:t>
            </w:r>
          </w:p>
        </w:tc>
        <w:tc>
          <w:tcPr>
            <w:tcW w:w="2551" w:type="dxa"/>
            <w:vAlign w:val="center"/>
          </w:tcPr>
          <w:p w14:paraId="25C1CD02">
            <w:pPr>
              <w:pStyle w:val="10"/>
            </w:pPr>
            <w:r>
              <w:t>3</w:t>
            </w:r>
          </w:p>
        </w:tc>
        <w:tc>
          <w:tcPr>
            <w:tcW w:w="2551" w:type="dxa"/>
            <w:vAlign w:val="center"/>
          </w:tcPr>
          <w:p w14:paraId="57FCA7B2">
            <w:pPr>
              <w:pStyle w:val="10"/>
            </w:pPr>
            <w:r>
              <w:t>4</w:t>
            </w:r>
          </w:p>
        </w:tc>
        <w:tc>
          <w:tcPr>
            <w:tcW w:w="2551" w:type="dxa"/>
            <w:vAlign w:val="center"/>
          </w:tcPr>
          <w:p w14:paraId="3A2D591F">
            <w:pPr>
              <w:pStyle w:val="10"/>
            </w:pPr>
            <w:r>
              <w:t>5</w:t>
            </w:r>
          </w:p>
        </w:tc>
      </w:tr>
      <w:tr w14:paraId="1D21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6312">
            <w:pPr>
              <w:pStyle w:val="13"/>
            </w:pPr>
          </w:p>
        </w:tc>
        <w:tc>
          <w:tcPr>
            <w:tcW w:w="1191" w:type="dxa"/>
            <w:vAlign w:val="center"/>
          </w:tcPr>
          <w:p w14:paraId="7463AD9E">
            <w:pPr>
              <w:pStyle w:val="12"/>
            </w:pPr>
          </w:p>
        </w:tc>
        <w:tc>
          <w:tcPr>
            <w:tcW w:w="4535" w:type="dxa"/>
            <w:vAlign w:val="center"/>
          </w:tcPr>
          <w:p w14:paraId="5BD789E3">
            <w:pPr>
              <w:pStyle w:val="12"/>
            </w:pPr>
          </w:p>
        </w:tc>
        <w:tc>
          <w:tcPr>
            <w:tcW w:w="2551" w:type="dxa"/>
            <w:vAlign w:val="center"/>
          </w:tcPr>
          <w:p w14:paraId="3DA79F9E">
            <w:pPr>
              <w:pStyle w:val="11"/>
            </w:pPr>
          </w:p>
        </w:tc>
        <w:tc>
          <w:tcPr>
            <w:tcW w:w="2551" w:type="dxa"/>
            <w:vAlign w:val="center"/>
          </w:tcPr>
          <w:p w14:paraId="2E43C1E9">
            <w:pPr>
              <w:pStyle w:val="11"/>
            </w:pPr>
          </w:p>
        </w:tc>
        <w:tc>
          <w:tcPr>
            <w:tcW w:w="2551" w:type="dxa"/>
            <w:vAlign w:val="center"/>
          </w:tcPr>
          <w:p w14:paraId="2FD06EDD">
            <w:pPr>
              <w:pStyle w:val="11"/>
            </w:pPr>
          </w:p>
        </w:tc>
      </w:tr>
    </w:tbl>
    <w:p w14:paraId="001A07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AE90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BB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9AA3BF">
            <w:pPr>
              <w:pStyle w:val="9"/>
            </w:pPr>
            <w:r>
              <w:t>360021隆尧县山口校区</w:t>
            </w:r>
          </w:p>
        </w:tc>
        <w:tc>
          <w:tcPr>
            <w:tcW w:w="2551" w:type="dxa"/>
            <w:tcBorders>
              <w:top w:val="single" w:color="FFFFFF" w:sz="6" w:space="0"/>
              <w:left w:val="single" w:color="FFFFFF" w:sz="6" w:space="0"/>
              <w:right w:val="single" w:color="FFFFFF" w:sz="6" w:space="0"/>
            </w:tcBorders>
            <w:vAlign w:val="center"/>
          </w:tcPr>
          <w:p w14:paraId="3E099B1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8ADBC0">
            <w:pPr>
              <w:pStyle w:val="7"/>
            </w:pPr>
            <w:r>
              <w:t>单位：万元</w:t>
            </w:r>
          </w:p>
        </w:tc>
      </w:tr>
      <w:tr w14:paraId="7D87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A8F8D6">
            <w:pPr>
              <w:pStyle w:val="10"/>
            </w:pPr>
            <w:r>
              <w:t>序号</w:t>
            </w:r>
          </w:p>
        </w:tc>
        <w:tc>
          <w:tcPr>
            <w:tcW w:w="5726" w:type="dxa"/>
            <w:gridSpan w:val="2"/>
            <w:vAlign w:val="center"/>
          </w:tcPr>
          <w:p w14:paraId="693FE326">
            <w:pPr>
              <w:pStyle w:val="10"/>
            </w:pPr>
            <w:r>
              <w:t>功能分类科目</w:t>
            </w:r>
          </w:p>
        </w:tc>
        <w:tc>
          <w:tcPr>
            <w:tcW w:w="2551" w:type="dxa"/>
            <w:vMerge w:val="restart"/>
            <w:vAlign w:val="center"/>
          </w:tcPr>
          <w:p w14:paraId="68CDCC56">
            <w:pPr>
              <w:pStyle w:val="10"/>
            </w:pPr>
            <w:r>
              <w:t>合计</w:t>
            </w:r>
          </w:p>
        </w:tc>
        <w:tc>
          <w:tcPr>
            <w:tcW w:w="2551" w:type="dxa"/>
            <w:vMerge w:val="restart"/>
            <w:vAlign w:val="center"/>
          </w:tcPr>
          <w:p w14:paraId="4E37C5EA">
            <w:pPr>
              <w:pStyle w:val="10"/>
            </w:pPr>
            <w:r>
              <w:t>基本支出</w:t>
            </w:r>
          </w:p>
        </w:tc>
        <w:tc>
          <w:tcPr>
            <w:tcW w:w="2551" w:type="dxa"/>
            <w:vMerge w:val="restart"/>
            <w:vAlign w:val="center"/>
          </w:tcPr>
          <w:p w14:paraId="5A79AFAA">
            <w:pPr>
              <w:pStyle w:val="10"/>
            </w:pPr>
            <w:r>
              <w:t>项目支出</w:t>
            </w:r>
          </w:p>
        </w:tc>
      </w:tr>
      <w:tr w14:paraId="5BB4D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635BF1"/>
        </w:tc>
        <w:tc>
          <w:tcPr>
            <w:tcW w:w="1191" w:type="dxa"/>
            <w:vAlign w:val="center"/>
          </w:tcPr>
          <w:p w14:paraId="30165F15">
            <w:pPr>
              <w:pStyle w:val="10"/>
            </w:pPr>
            <w:r>
              <w:t>科目编码</w:t>
            </w:r>
          </w:p>
        </w:tc>
        <w:tc>
          <w:tcPr>
            <w:tcW w:w="4535" w:type="dxa"/>
            <w:vAlign w:val="center"/>
          </w:tcPr>
          <w:p w14:paraId="003ECCCB">
            <w:pPr>
              <w:pStyle w:val="10"/>
            </w:pPr>
            <w:r>
              <w:t>科目名称</w:t>
            </w:r>
          </w:p>
        </w:tc>
        <w:tc>
          <w:tcPr>
            <w:tcW w:w="2551" w:type="dxa"/>
            <w:vMerge w:val="continue"/>
          </w:tcPr>
          <w:p w14:paraId="0AC6AE65"/>
        </w:tc>
        <w:tc>
          <w:tcPr>
            <w:tcW w:w="2551" w:type="dxa"/>
            <w:vMerge w:val="continue"/>
          </w:tcPr>
          <w:p w14:paraId="0B0D2D1D"/>
        </w:tc>
        <w:tc>
          <w:tcPr>
            <w:tcW w:w="2551" w:type="dxa"/>
            <w:vMerge w:val="continue"/>
          </w:tcPr>
          <w:p w14:paraId="2EF3B269"/>
        </w:tc>
      </w:tr>
      <w:tr w14:paraId="7B193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84910">
            <w:pPr>
              <w:pStyle w:val="10"/>
            </w:pPr>
            <w:r>
              <w:t>栏次</w:t>
            </w:r>
          </w:p>
        </w:tc>
        <w:tc>
          <w:tcPr>
            <w:tcW w:w="1191" w:type="dxa"/>
            <w:vAlign w:val="center"/>
          </w:tcPr>
          <w:p w14:paraId="2367E0E2">
            <w:pPr>
              <w:pStyle w:val="10"/>
            </w:pPr>
            <w:r>
              <w:t>1</w:t>
            </w:r>
          </w:p>
        </w:tc>
        <w:tc>
          <w:tcPr>
            <w:tcW w:w="4535" w:type="dxa"/>
            <w:vAlign w:val="center"/>
          </w:tcPr>
          <w:p w14:paraId="55BC4AF2">
            <w:pPr>
              <w:pStyle w:val="10"/>
            </w:pPr>
            <w:r>
              <w:t>2</w:t>
            </w:r>
          </w:p>
        </w:tc>
        <w:tc>
          <w:tcPr>
            <w:tcW w:w="2551" w:type="dxa"/>
            <w:vAlign w:val="center"/>
          </w:tcPr>
          <w:p w14:paraId="5B0C4146">
            <w:pPr>
              <w:pStyle w:val="10"/>
            </w:pPr>
            <w:r>
              <w:t>3</w:t>
            </w:r>
          </w:p>
        </w:tc>
        <w:tc>
          <w:tcPr>
            <w:tcW w:w="2551" w:type="dxa"/>
            <w:vAlign w:val="center"/>
          </w:tcPr>
          <w:p w14:paraId="1F6E286B">
            <w:pPr>
              <w:pStyle w:val="10"/>
            </w:pPr>
            <w:r>
              <w:t>4</w:t>
            </w:r>
          </w:p>
        </w:tc>
        <w:tc>
          <w:tcPr>
            <w:tcW w:w="2551" w:type="dxa"/>
            <w:vAlign w:val="center"/>
          </w:tcPr>
          <w:p w14:paraId="1C2B77BD">
            <w:pPr>
              <w:pStyle w:val="10"/>
            </w:pPr>
            <w:r>
              <w:t>5</w:t>
            </w:r>
          </w:p>
        </w:tc>
      </w:tr>
      <w:tr w14:paraId="318A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B5A0">
            <w:pPr>
              <w:pStyle w:val="13"/>
            </w:pPr>
          </w:p>
        </w:tc>
        <w:tc>
          <w:tcPr>
            <w:tcW w:w="1191" w:type="dxa"/>
            <w:vAlign w:val="center"/>
          </w:tcPr>
          <w:p w14:paraId="642614CC">
            <w:pPr>
              <w:pStyle w:val="12"/>
            </w:pPr>
          </w:p>
        </w:tc>
        <w:tc>
          <w:tcPr>
            <w:tcW w:w="4535" w:type="dxa"/>
            <w:vAlign w:val="center"/>
          </w:tcPr>
          <w:p w14:paraId="7192C586">
            <w:pPr>
              <w:pStyle w:val="12"/>
            </w:pPr>
          </w:p>
        </w:tc>
        <w:tc>
          <w:tcPr>
            <w:tcW w:w="2551" w:type="dxa"/>
            <w:vAlign w:val="center"/>
          </w:tcPr>
          <w:p w14:paraId="6179E503">
            <w:pPr>
              <w:pStyle w:val="11"/>
            </w:pPr>
          </w:p>
        </w:tc>
        <w:tc>
          <w:tcPr>
            <w:tcW w:w="2551" w:type="dxa"/>
            <w:vAlign w:val="center"/>
          </w:tcPr>
          <w:p w14:paraId="0ACBCE21">
            <w:pPr>
              <w:pStyle w:val="11"/>
            </w:pPr>
          </w:p>
        </w:tc>
        <w:tc>
          <w:tcPr>
            <w:tcW w:w="2551" w:type="dxa"/>
            <w:vAlign w:val="center"/>
          </w:tcPr>
          <w:p w14:paraId="760A999D">
            <w:pPr>
              <w:pStyle w:val="11"/>
            </w:pPr>
          </w:p>
        </w:tc>
      </w:tr>
    </w:tbl>
    <w:p w14:paraId="2C4C7E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4703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3A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2F9A62">
            <w:pPr>
              <w:pStyle w:val="9"/>
            </w:pPr>
            <w:r>
              <w:t>360021隆尧县山口校区</w:t>
            </w:r>
          </w:p>
        </w:tc>
        <w:tc>
          <w:tcPr>
            <w:tcW w:w="2381" w:type="dxa"/>
            <w:tcBorders>
              <w:top w:val="single" w:color="FFFFFF" w:sz="6" w:space="0"/>
              <w:left w:val="single" w:color="FFFFFF" w:sz="6" w:space="0"/>
              <w:right w:val="single" w:color="FFFFFF" w:sz="6" w:space="0"/>
            </w:tcBorders>
            <w:vAlign w:val="center"/>
          </w:tcPr>
          <w:p w14:paraId="6EBE7B8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7813BC4">
            <w:pPr>
              <w:pStyle w:val="7"/>
            </w:pPr>
            <w:r>
              <w:t>单位：万元</w:t>
            </w:r>
          </w:p>
        </w:tc>
      </w:tr>
      <w:tr w14:paraId="2C139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BB460">
            <w:pPr>
              <w:pStyle w:val="10"/>
            </w:pPr>
            <w:r>
              <w:t>序号</w:t>
            </w:r>
          </w:p>
        </w:tc>
        <w:tc>
          <w:tcPr>
            <w:tcW w:w="3798" w:type="dxa"/>
            <w:vMerge w:val="restart"/>
            <w:vAlign w:val="center"/>
          </w:tcPr>
          <w:p w14:paraId="0B87243A">
            <w:pPr>
              <w:pStyle w:val="10"/>
            </w:pPr>
            <w:r>
              <w:t>项  目</w:t>
            </w:r>
          </w:p>
        </w:tc>
        <w:tc>
          <w:tcPr>
            <w:tcW w:w="9524" w:type="dxa"/>
            <w:gridSpan w:val="4"/>
            <w:vAlign w:val="center"/>
          </w:tcPr>
          <w:p w14:paraId="59C21EFB">
            <w:pPr>
              <w:pStyle w:val="10"/>
            </w:pPr>
            <w:r>
              <w:t>资 金 性 质</w:t>
            </w:r>
          </w:p>
        </w:tc>
      </w:tr>
      <w:tr w14:paraId="454B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5D4DE7"/>
        </w:tc>
        <w:tc>
          <w:tcPr>
            <w:tcW w:w="3798" w:type="dxa"/>
            <w:vMerge w:val="continue"/>
          </w:tcPr>
          <w:p w14:paraId="1BB069C0"/>
        </w:tc>
        <w:tc>
          <w:tcPr>
            <w:tcW w:w="2381" w:type="dxa"/>
            <w:vAlign w:val="center"/>
          </w:tcPr>
          <w:p w14:paraId="35292D2C">
            <w:pPr>
              <w:pStyle w:val="10"/>
            </w:pPr>
            <w:r>
              <w:t>合计</w:t>
            </w:r>
          </w:p>
        </w:tc>
        <w:tc>
          <w:tcPr>
            <w:tcW w:w="2381" w:type="dxa"/>
            <w:vAlign w:val="center"/>
          </w:tcPr>
          <w:p w14:paraId="00F8DE8B">
            <w:pPr>
              <w:pStyle w:val="10"/>
            </w:pPr>
            <w:r>
              <w:t>一般公共预算              财政拨款</w:t>
            </w:r>
          </w:p>
        </w:tc>
        <w:tc>
          <w:tcPr>
            <w:tcW w:w="2381" w:type="dxa"/>
            <w:vAlign w:val="center"/>
          </w:tcPr>
          <w:p w14:paraId="42C92491">
            <w:pPr>
              <w:pStyle w:val="10"/>
            </w:pPr>
            <w:r>
              <w:t>政府性基金                  预算拨款</w:t>
            </w:r>
          </w:p>
        </w:tc>
        <w:tc>
          <w:tcPr>
            <w:tcW w:w="2381" w:type="dxa"/>
            <w:vAlign w:val="center"/>
          </w:tcPr>
          <w:p w14:paraId="51688937">
            <w:pPr>
              <w:pStyle w:val="10"/>
            </w:pPr>
            <w:r>
              <w:t>国有资本经营              预算财政拨款</w:t>
            </w:r>
          </w:p>
        </w:tc>
      </w:tr>
      <w:tr w14:paraId="4FFC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6976D2">
            <w:pPr>
              <w:pStyle w:val="10"/>
            </w:pPr>
            <w:r>
              <w:t>栏次</w:t>
            </w:r>
          </w:p>
        </w:tc>
        <w:tc>
          <w:tcPr>
            <w:tcW w:w="3798" w:type="dxa"/>
            <w:vAlign w:val="center"/>
          </w:tcPr>
          <w:p w14:paraId="75C082D2">
            <w:pPr>
              <w:pStyle w:val="10"/>
            </w:pPr>
            <w:r>
              <w:t>1</w:t>
            </w:r>
          </w:p>
        </w:tc>
        <w:tc>
          <w:tcPr>
            <w:tcW w:w="2381" w:type="dxa"/>
            <w:vAlign w:val="center"/>
          </w:tcPr>
          <w:p w14:paraId="78B73728">
            <w:pPr>
              <w:pStyle w:val="10"/>
            </w:pPr>
            <w:r>
              <w:t>2</w:t>
            </w:r>
          </w:p>
        </w:tc>
        <w:tc>
          <w:tcPr>
            <w:tcW w:w="2381" w:type="dxa"/>
            <w:vAlign w:val="center"/>
          </w:tcPr>
          <w:p w14:paraId="5F5AC413">
            <w:pPr>
              <w:pStyle w:val="10"/>
            </w:pPr>
            <w:r>
              <w:t>3</w:t>
            </w:r>
          </w:p>
        </w:tc>
        <w:tc>
          <w:tcPr>
            <w:tcW w:w="2381" w:type="dxa"/>
            <w:vAlign w:val="center"/>
          </w:tcPr>
          <w:p w14:paraId="36B82388">
            <w:pPr>
              <w:pStyle w:val="10"/>
            </w:pPr>
            <w:r>
              <w:t>4</w:t>
            </w:r>
          </w:p>
        </w:tc>
        <w:tc>
          <w:tcPr>
            <w:tcW w:w="2381" w:type="dxa"/>
            <w:vAlign w:val="center"/>
          </w:tcPr>
          <w:p w14:paraId="7F7E7C16">
            <w:pPr>
              <w:pStyle w:val="10"/>
            </w:pPr>
            <w:r>
              <w:t>5</w:t>
            </w:r>
          </w:p>
        </w:tc>
      </w:tr>
      <w:tr w14:paraId="24A6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03BAAD">
            <w:pPr>
              <w:pStyle w:val="13"/>
            </w:pPr>
          </w:p>
        </w:tc>
        <w:tc>
          <w:tcPr>
            <w:tcW w:w="3798" w:type="dxa"/>
            <w:vAlign w:val="center"/>
          </w:tcPr>
          <w:p w14:paraId="1B5F8E58">
            <w:pPr>
              <w:pStyle w:val="12"/>
            </w:pPr>
          </w:p>
        </w:tc>
        <w:tc>
          <w:tcPr>
            <w:tcW w:w="2381" w:type="dxa"/>
            <w:vAlign w:val="center"/>
          </w:tcPr>
          <w:p w14:paraId="62761D2A">
            <w:pPr>
              <w:pStyle w:val="11"/>
            </w:pPr>
          </w:p>
        </w:tc>
        <w:tc>
          <w:tcPr>
            <w:tcW w:w="2381" w:type="dxa"/>
            <w:vAlign w:val="center"/>
          </w:tcPr>
          <w:p w14:paraId="050AC198">
            <w:pPr>
              <w:pStyle w:val="11"/>
            </w:pPr>
          </w:p>
        </w:tc>
        <w:tc>
          <w:tcPr>
            <w:tcW w:w="2381" w:type="dxa"/>
            <w:vAlign w:val="center"/>
          </w:tcPr>
          <w:p w14:paraId="38868FD0">
            <w:pPr>
              <w:pStyle w:val="11"/>
            </w:pPr>
          </w:p>
        </w:tc>
        <w:tc>
          <w:tcPr>
            <w:tcW w:w="2381" w:type="dxa"/>
            <w:vAlign w:val="center"/>
          </w:tcPr>
          <w:p w14:paraId="41F2A333">
            <w:pPr>
              <w:pStyle w:val="11"/>
            </w:pPr>
          </w:p>
        </w:tc>
      </w:tr>
    </w:tbl>
    <w:p w14:paraId="2BB7C20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DD30998">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隆尧县山口校区2026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6D2A40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地方预决算公开操作规程》和《关于进一步推进预算公开工作的实施意见》规定，现将隆尧县山口校区2026年单位预算公开如下：</w:t>
      </w:r>
    </w:p>
    <w:p w14:paraId="5241C37D">
      <w:pPr>
        <w:spacing w:before="10" w:after="10" w:line="240" w:lineRule="auto"/>
        <w:ind w:firstLine="640"/>
        <w:jc w:val="left"/>
        <w:outlineLvl w:val="5"/>
      </w:pPr>
      <w:r>
        <w:rPr>
          <w:rFonts w:ascii="黑体" w:hAnsi="黑体" w:eastAsia="黑体" w:cs="黑体"/>
          <w:color w:val="000000"/>
          <w:sz w:val="32"/>
        </w:rPr>
        <w:t>一、单位职责及机构设置情况</w:t>
      </w:r>
    </w:p>
    <w:p w14:paraId="53BB48B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6B7E54">
      <w:pPr>
        <w:pStyle w:val="17"/>
        <w:rPr>
          <w:rFonts w:hint="eastAsia"/>
        </w:rPr>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w:t>
      </w:r>
    </w:p>
    <w:p w14:paraId="22A4542C">
      <w:pPr>
        <w:pStyle w:val="17"/>
      </w:pPr>
      <w:r>
        <w:rPr>
          <w:rFonts w:hint="eastAsia"/>
        </w:rPr>
        <w:t>隆尧县山口校区事业编制175名，其中，校长1名</w:t>
      </w:r>
      <w:r>
        <w:rPr>
          <w:rFonts w:hint="eastAsia"/>
          <w:lang w:eastAsia="zh-CN"/>
        </w:rPr>
        <w:t>（</w:t>
      </w:r>
      <w:r>
        <w:rPr>
          <w:rFonts w:hint="eastAsia"/>
        </w:rPr>
        <w:t>正股级</w:t>
      </w:r>
      <w:r>
        <w:rPr>
          <w:rFonts w:hint="eastAsia"/>
          <w:lang w:eastAsia="zh-CN"/>
        </w:rPr>
        <w:t>）</w:t>
      </w:r>
      <w:r>
        <w:rPr>
          <w:rFonts w:hint="eastAsia"/>
        </w:rPr>
        <w:t>，副校长3名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493593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048D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2F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7BAB63">
            <w:pPr>
              <w:pStyle w:val="10"/>
            </w:pPr>
            <w:r>
              <w:t>单位名称</w:t>
            </w:r>
          </w:p>
        </w:tc>
        <w:tc>
          <w:tcPr>
            <w:tcW w:w="1843" w:type="dxa"/>
            <w:vAlign w:val="center"/>
          </w:tcPr>
          <w:p w14:paraId="04550DFE">
            <w:pPr>
              <w:pStyle w:val="10"/>
            </w:pPr>
            <w:r>
              <w:t>单位性质</w:t>
            </w:r>
          </w:p>
        </w:tc>
        <w:tc>
          <w:tcPr>
            <w:tcW w:w="2126" w:type="dxa"/>
            <w:vAlign w:val="center"/>
          </w:tcPr>
          <w:p w14:paraId="11A88382">
            <w:pPr>
              <w:pStyle w:val="10"/>
            </w:pPr>
            <w:r>
              <w:t>单位规格</w:t>
            </w:r>
          </w:p>
        </w:tc>
        <w:tc>
          <w:tcPr>
            <w:tcW w:w="3827" w:type="dxa"/>
            <w:vAlign w:val="center"/>
          </w:tcPr>
          <w:p w14:paraId="03DF4A5D">
            <w:pPr>
              <w:pStyle w:val="10"/>
            </w:pPr>
            <w:r>
              <w:t>经费保障形式</w:t>
            </w:r>
          </w:p>
        </w:tc>
      </w:tr>
      <w:tr w14:paraId="2F3C4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2C4FAE">
            <w:pPr>
              <w:pStyle w:val="12"/>
            </w:pPr>
            <w:r>
              <w:t>隆尧县山口校区</w:t>
            </w:r>
          </w:p>
        </w:tc>
        <w:tc>
          <w:tcPr>
            <w:tcW w:w="1843" w:type="dxa"/>
            <w:vAlign w:val="center"/>
          </w:tcPr>
          <w:p w14:paraId="157F0A9A">
            <w:pPr>
              <w:pStyle w:val="13"/>
            </w:pPr>
            <w:r>
              <w:t>事业</w:t>
            </w:r>
          </w:p>
        </w:tc>
        <w:tc>
          <w:tcPr>
            <w:tcW w:w="2126" w:type="dxa"/>
            <w:vAlign w:val="center"/>
          </w:tcPr>
          <w:p w14:paraId="2ED17355">
            <w:pPr>
              <w:pStyle w:val="13"/>
            </w:pPr>
            <w:r>
              <w:t>股级</w:t>
            </w:r>
          </w:p>
        </w:tc>
        <w:tc>
          <w:tcPr>
            <w:tcW w:w="3827" w:type="dxa"/>
            <w:vAlign w:val="center"/>
          </w:tcPr>
          <w:p w14:paraId="33C29CEE">
            <w:pPr>
              <w:pStyle w:val="13"/>
            </w:pPr>
            <w:r>
              <w:t>财政性资金基本保证</w:t>
            </w:r>
          </w:p>
        </w:tc>
      </w:tr>
    </w:tbl>
    <w:p w14:paraId="71259AA1">
      <w:pPr>
        <w:spacing w:before="10" w:after="10" w:line="240" w:lineRule="auto"/>
        <w:ind w:firstLine="640"/>
        <w:jc w:val="left"/>
        <w:outlineLvl w:val="5"/>
      </w:pPr>
      <w:r>
        <w:rPr>
          <w:rFonts w:ascii="黑体" w:hAnsi="黑体" w:eastAsia="黑体" w:cs="黑体"/>
          <w:color w:val="000000"/>
          <w:sz w:val="32"/>
        </w:rPr>
        <w:t>二、单位预算安排的总体情况</w:t>
      </w:r>
    </w:p>
    <w:p w14:paraId="12E40013">
      <w:pPr>
        <w:pStyle w:val="18"/>
      </w:pPr>
      <w:r>
        <w:t>二、单位预算安排的总体情况</w:t>
      </w:r>
    </w:p>
    <w:p w14:paraId="0F7A6CDB">
      <w:pPr>
        <w:pStyle w:val="18"/>
      </w:pPr>
      <w:r>
        <w:t>按照预算管理有关规定，目前我校区单位预算的编制实行综合预算管理，即全部收入和支出都反映的预算中。隆尧县山口校区的收支包含在单位预算中。</w:t>
      </w:r>
    </w:p>
    <w:p w14:paraId="57365966">
      <w:pPr>
        <w:pStyle w:val="18"/>
      </w:pPr>
      <w:r>
        <w:t>1、收入说明</w:t>
      </w:r>
    </w:p>
    <w:p w14:paraId="06443156">
      <w:pPr>
        <w:pStyle w:val="18"/>
      </w:pPr>
      <w:r>
        <w:t>反映本单位当年全部收入。2026年预算收入2942.65万元，其中：一般公共预算收入2942.65万元，基金预算收入0万元，上年结转收入0万元，财政专户收入0万元，其他来源收入0万元。</w:t>
      </w:r>
    </w:p>
    <w:p w14:paraId="1F3E9DF9">
      <w:pPr>
        <w:pStyle w:val="18"/>
      </w:pPr>
      <w:r>
        <w:t>2、支出说明</w:t>
      </w:r>
    </w:p>
    <w:p w14:paraId="155C204F">
      <w:pPr>
        <w:pStyle w:val="18"/>
      </w:pPr>
      <w:r>
        <w:t>收支预算总表支出栏、基本支出表、项目支出表按经济分类和支出功能分类科目编制，反映我单位预算中支出预算的总体情况。2026年单位支出预算为2942.65万元，其中基本支出2394.14万元；项目支出548.51万元。</w:t>
      </w:r>
    </w:p>
    <w:p w14:paraId="29A2780D">
      <w:pPr>
        <w:pStyle w:val="18"/>
      </w:pPr>
      <w:r>
        <w:t>3、比上年增减情况</w:t>
      </w:r>
    </w:p>
    <w:p w14:paraId="43ED6744">
      <w:pPr>
        <w:pStyle w:val="18"/>
      </w:pPr>
      <w:r>
        <w:t>2026年部门预算收支安排2942.65万元，较2025年预算减少103.79万元，其中基本支出减少161.46万元，项目支出增加57.67万元</w:t>
      </w:r>
      <w:r>
        <w:rPr>
          <w:rFonts w:hint="eastAsia"/>
          <w:lang w:eastAsia="zh-CN"/>
        </w:rPr>
        <w:t>。</w:t>
      </w:r>
    </w:p>
    <w:p w14:paraId="08EA1945">
      <w:pPr>
        <w:spacing w:before="10" w:after="10" w:line="240" w:lineRule="auto"/>
        <w:ind w:firstLine="640"/>
        <w:jc w:val="left"/>
        <w:outlineLvl w:val="5"/>
      </w:pPr>
      <w:r>
        <w:rPr>
          <w:rFonts w:ascii="黑体" w:hAnsi="黑体" w:eastAsia="黑体" w:cs="黑体"/>
          <w:color w:val="000000"/>
          <w:sz w:val="32"/>
        </w:rPr>
        <w:t>三、机关运行经费安排情况</w:t>
      </w:r>
    </w:p>
    <w:p w14:paraId="3AD0E00B">
      <w:pPr>
        <w:pStyle w:val="19"/>
      </w:pPr>
      <w:r>
        <w:t>三、机关运行经费安排情况</w:t>
      </w:r>
    </w:p>
    <w:p w14:paraId="2372F5BB">
      <w:pPr>
        <w:pStyle w:val="19"/>
      </w:pPr>
      <w:r>
        <w:t>机关运行经费安排情况</w:t>
      </w:r>
    </w:p>
    <w:p w14:paraId="61483FC3">
      <w:pPr>
        <w:pStyle w:val="19"/>
      </w:pPr>
      <w:r>
        <w:t>2026年我单位机关运行经费安排0万元</w:t>
      </w:r>
    </w:p>
    <w:p w14:paraId="31892EE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7509AA">
      <w:pPr>
        <w:pStyle w:val="20"/>
      </w:pPr>
      <w:r>
        <w:t>四、财政拨款“三公”经费预算情况及增减变化原因</w:t>
      </w:r>
    </w:p>
    <w:p w14:paraId="12AAA1A8">
      <w:pPr>
        <w:pStyle w:val="20"/>
      </w:pPr>
      <w:r>
        <w:t>我单位未安排</w:t>
      </w:r>
      <w:r>
        <w:rPr>
          <w:rFonts w:hint="eastAsia"/>
          <w:lang w:eastAsia="zh-CN"/>
        </w:rPr>
        <w:t>“三公”经费</w:t>
      </w:r>
      <w:r>
        <w:t>。</w:t>
      </w:r>
    </w:p>
    <w:p w14:paraId="3DFB740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78350AD">
      <w:pPr>
        <w:spacing w:before="0" w:after="0"/>
        <w:ind w:firstLine="560"/>
        <w:jc w:val="left"/>
        <w:outlineLvl w:val="9"/>
      </w:pPr>
      <w:r>
        <w:rPr>
          <w:rFonts w:ascii="方正仿宋_GBK" w:hAnsi="方正仿宋_GBK" w:eastAsia="方正仿宋_GBK" w:cs="方正仿宋_GBK"/>
          <w:b/>
          <w:color w:val="000000"/>
          <w:sz w:val="28"/>
        </w:rPr>
        <w:t>1、冀财教[2025]119号/中央/2026年薄弱学校改造/第四实验小学体育场地改建绩效目标表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32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9F90D">
            <w:pPr>
              <w:pStyle w:val="11"/>
            </w:pPr>
            <w:r>
              <w:t>单位：万元</w:t>
            </w:r>
          </w:p>
        </w:tc>
      </w:tr>
      <w:tr w14:paraId="140D3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25206">
            <w:pPr>
              <w:pStyle w:val="10"/>
            </w:pPr>
            <w:r>
              <w:t>项目编码</w:t>
            </w:r>
          </w:p>
        </w:tc>
        <w:tc>
          <w:tcPr>
            <w:tcW w:w="5103" w:type="dxa"/>
            <w:gridSpan w:val="2"/>
            <w:vAlign w:val="center"/>
          </w:tcPr>
          <w:p w14:paraId="1FDBC3B4">
            <w:pPr>
              <w:pStyle w:val="12"/>
            </w:pPr>
            <w:r>
              <w:t>13052526P008770100224</w:t>
            </w:r>
          </w:p>
        </w:tc>
        <w:tc>
          <w:tcPr>
            <w:tcW w:w="2835" w:type="dxa"/>
            <w:vAlign w:val="center"/>
          </w:tcPr>
          <w:p w14:paraId="4E5407A5">
            <w:pPr>
              <w:pStyle w:val="10"/>
            </w:pPr>
            <w:r>
              <w:t>项目名称</w:t>
            </w:r>
          </w:p>
        </w:tc>
        <w:tc>
          <w:tcPr>
            <w:tcW w:w="6095" w:type="dxa"/>
            <w:gridSpan w:val="3"/>
            <w:vAlign w:val="center"/>
          </w:tcPr>
          <w:p w14:paraId="0FFA87E1">
            <w:pPr>
              <w:pStyle w:val="12"/>
            </w:pPr>
            <w:r>
              <w:t>冀财教[2025]119号/中央/2026年薄弱学校改造/第四实验小学体育场地改建</w:t>
            </w:r>
          </w:p>
        </w:tc>
      </w:tr>
      <w:tr w14:paraId="478FE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27768">
            <w:pPr>
              <w:pStyle w:val="10"/>
            </w:pPr>
            <w:r>
              <w:t>预算规模及资金用途</w:t>
            </w:r>
          </w:p>
        </w:tc>
        <w:tc>
          <w:tcPr>
            <w:tcW w:w="2268" w:type="dxa"/>
            <w:vAlign w:val="center"/>
          </w:tcPr>
          <w:p w14:paraId="2C74D89A">
            <w:pPr>
              <w:pStyle w:val="10"/>
            </w:pPr>
            <w:r>
              <w:t>预算数</w:t>
            </w:r>
          </w:p>
        </w:tc>
        <w:tc>
          <w:tcPr>
            <w:tcW w:w="2835" w:type="dxa"/>
            <w:vAlign w:val="center"/>
          </w:tcPr>
          <w:p w14:paraId="0A597622">
            <w:pPr>
              <w:pStyle w:val="12"/>
            </w:pPr>
            <w:r>
              <w:t>50.00</w:t>
            </w:r>
          </w:p>
        </w:tc>
        <w:tc>
          <w:tcPr>
            <w:tcW w:w="2835" w:type="dxa"/>
            <w:vAlign w:val="center"/>
          </w:tcPr>
          <w:p w14:paraId="6308837D">
            <w:pPr>
              <w:pStyle w:val="10"/>
            </w:pPr>
            <w:r>
              <w:t>其中：财政    资金</w:t>
            </w:r>
          </w:p>
        </w:tc>
        <w:tc>
          <w:tcPr>
            <w:tcW w:w="2551" w:type="dxa"/>
            <w:vAlign w:val="center"/>
          </w:tcPr>
          <w:p w14:paraId="324210A4">
            <w:pPr>
              <w:pStyle w:val="12"/>
            </w:pPr>
            <w:r>
              <w:t>50.00</w:t>
            </w:r>
          </w:p>
        </w:tc>
        <w:tc>
          <w:tcPr>
            <w:tcW w:w="2268" w:type="dxa"/>
            <w:vAlign w:val="center"/>
          </w:tcPr>
          <w:p w14:paraId="2FAA5252">
            <w:pPr>
              <w:pStyle w:val="10"/>
            </w:pPr>
            <w:r>
              <w:t>其他资金</w:t>
            </w:r>
          </w:p>
        </w:tc>
        <w:tc>
          <w:tcPr>
            <w:tcW w:w="1276" w:type="dxa"/>
            <w:vAlign w:val="center"/>
          </w:tcPr>
          <w:p w14:paraId="56943DB9">
            <w:pPr>
              <w:pStyle w:val="12"/>
            </w:pPr>
            <w:r>
              <w:t xml:space="preserve"> </w:t>
            </w:r>
          </w:p>
        </w:tc>
      </w:tr>
      <w:tr w14:paraId="73142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4C5E5"/>
        </w:tc>
        <w:tc>
          <w:tcPr>
            <w:tcW w:w="14033" w:type="dxa"/>
            <w:gridSpan w:val="6"/>
            <w:vAlign w:val="center"/>
          </w:tcPr>
          <w:p w14:paraId="63AA46FD">
            <w:pPr>
              <w:pStyle w:val="12"/>
            </w:pPr>
            <w:r>
              <w:t>改善就学条件，提升学校形象，保障义务教育阶段教学安全，创造良好的校园环境。</w:t>
            </w:r>
          </w:p>
        </w:tc>
      </w:tr>
      <w:tr w14:paraId="2DA64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384CF">
            <w:pPr>
              <w:pStyle w:val="10"/>
            </w:pPr>
            <w:r>
              <w:t>资金支出计划（%）</w:t>
            </w:r>
          </w:p>
        </w:tc>
        <w:tc>
          <w:tcPr>
            <w:tcW w:w="5103" w:type="dxa"/>
            <w:gridSpan w:val="2"/>
            <w:vAlign w:val="center"/>
          </w:tcPr>
          <w:p w14:paraId="4B21CD33">
            <w:pPr>
              <w:pStyle w:val="10"/>
            </w:pPr>
            <w:r>
              <w:t>3月底</w:t>
            </w:r>
          </w:p>
        </w:tc>
        <w:tc>
          <w:tcPr>
            <w:tcW w:w="2835" w:type="dxa"/>
            <w:vAlign w:val="center"/>
          </w:tcPr>
          <w:p w14:paraId="5E228F56">
            <w:pPr>
              <w:pStyle w:val="10"/>
            </w:pPr>
            <w:r>
              <w:t>6月底</w:t>
            </w:r>
          </w:p>
        </w:tc>
        <w:tc>
          <w:tcPr>
            <w:tcW w:w="2551" w:type="dxa"/>
            <w:vAlign w:val="center"/>
          </w:tcPr>
          <w:p w14:paraId="4F34A60B">
            <w:pPr>
              <w:pStyle w:val="10"/>
            </w:pPr>
            <w:r>
              <w:t>10月底</w:t>
            </w:r>
          </w:p>
        </w:tc>
        <w:tc>
          <w:tcPr>
            <w:tcW w:w="3544" w:type="dxa"/>
            <w:gridSpan w:val="2"/>
            <w:vAlign w:val="center"/>
          </w:tcPr>
          <w:p w14:paraId="6160585D">
            <w:pPr>
              <w:pStyle w:val="10"/>
            </w:pPr>
            <w:r>
              <w:t>12月底</w:t>
            </w:r>
          </w:p>
        </w:tc>
      </w:tr>
      <w:tr w14:paraId="2D025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1724B"/>
        </w:tc>
        <w:tc>
          <w:tcPr>
            <w:tcW w:w="5103" w:type="dxa"/>
            <w:gridSpan w:val="2"/>
            <w:vAlign w:val="center"/>
          </w:tcPr>
          <w:p w14:paraId="0F67EBC0">
            <w:pPr>
              <w:pStyle w:val="13"/>
            </w:pPr>
            <w:r>
              <w:t xml:space="preserve"> </w:t>
            </w:r>
          </w:p>
        </w:tc>
        <w:tc>
          <w:tcPr>
            <w:tcW w:w="2835" w:type="dxa"/>
            <w:vAlign w:val="center"/>
          </w:tcPr>
          <w:p w14:paraId="3D88D976">
            <w:pPr>
              <w:pStyle w:val="13"/>
            </w:pPr>
            <w:r>
              <w:t xml:space="preserve"> </w:t>
            </w:r>
          </w:p>
        </w:tc>
        <w:tc>
          <w:tcPr>
            <w:tcW w:w="2551" w:type="dxa"/>
            <w:vAlign w:val="center"/>
          </w:tcPr>
          <w:p w14:paraId="2132FB7A">
            <w:pPr>
              <w:pStyle w:val="13"/>
            </w:pPr>
            <w:r>
              <w:t>100%</w:t>
            </w:r>
          </w:p>
        </w:tc>
        <w:tc>
          <w:tcPr>
            <w:tcW w:w="3544" w:type="dxa"/>
            <w:gridSpan w:val="2"/>
            <w:vAlign w:val="center"/>
          </w:tcPr>
          <w:p w14:paraId="70985EEB">
            <w:pPr>
              <w:pStyle w:val="13"/>
            </w:pPr>
            <w:r>
              <w:t>100%</w:t>
            </w:r>
          </w:p>
        </w:tc>
      </w:tr>
      <w:tr w14:paraId="0BF49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F7993">
            <w:pPr>
              <w:pStyle w:val="10"/>
            </w:pPr>
            <w:r>
              <w:t>绩效目标</w:t>
            </w:r>
          </w:p>
        </w:tc>
        <w:tc>
          <w:tcPr>
            <w:tcW w:w="14033" w:type="dxa"/>
            <w:gridSpan w:val="6"/>
            <w:vAlign w:val="center"/>
          </w:tcPr>
          <w:p w14:paraId="0DB8E39C">
            <w:pPr>
              <w:pStyle w:val="12"/>
            </w:pPr>
            <w:r>
              <w:t>1.改善就学条件，提升学校形象，保障义务教育阶段教学安全，创造良好的校园环境。</w:t>
            </w:r>
          </w:p>
          <w:p w14:paraId="78DE4F3E">
            <w:pPr>
              <w:pStyle w:val="12"/>
            </w:pPr>
            <w:r>
              <w:t>2.项目需资金50万元，资金拨付率达到100%。</w:t>
            </w:r>
          </w:p>
        </w:tc>
      </w:tr>
    </w:tbl>
    <w:p w14:paraId="12CC5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A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9EB07">
            <w:pPr>
              <w:pStyle w:val="10"/>
            </w:pPr>
            <w:r>
              <w:t>一级指标</w:t>
            </w:r>
          </w:p>
        </w:tc>
        <w:tc>
          <w:tcPr>
            <w:tcW w:w="2268" w:type="dxa"/>
            <w:vAlign w:val="center"/>
          </w:tcPr>
          <w:p w14:paraId="431981B7">
            <w:pPr>
              <w:pStyle w:val="10"/>
            </w:pPr>
            <w:r>
              <w:t>二级指标</w:t>
            </w:r>
          </w:p>
        </w:tc>
        <w:tc>
          <w:tcPr>
            <w:tcW w:w="2835" w:type="dxa"/>
            <w:vAlign w:val="center"/>
          </w:tcPr>
          <w:p w14:paraId="6E76448D">
            <w:pPr>
              <w:pStyle w:val="10"/>
            </w:pPr>
            <w:r>
              <w:t>三级指标</w:t>
            </w:r>
          </w:p>
        </w:tc>
        <w:tc>
          <w:tcPr>
            <w:tcW w:w="5386" w:type="dxa"/>
            <w:vAlign w:val="center"/>
          </w:tcPr>
          <w:p w14:paraId="6F096544">
            <w:pPr>
              <w:pStyle w:val="10"/>
            </w:pPr>
            <w:r>
              <w:t>绩效指标描述</w:t>
            </w:r>
          </w:p>
        </w:tc>
        <w:tc>
          <w:tcPr>
            <w:tcW w:w="2268" w:type="dxa"/>
            <w:vAlign w:val="center"/>
          </w:tcPr>
          <w:p w14:paraId="65FE97DC">
            <w:pPr>
              <w:pStyle w:val="10"/>
            </w:pPr>
            <w:r>
              <w:t>指标值</w:t>
            </w:r>
          </w:p>
        </w:tc>
        <w:tc>
          <w:tcPr>
            <w:tcW w:w="1276" w:type="dxa"/>
            <w:vAlign w:val="center"/>
          </w:tcPr>
          <w:p w14:paraId="585CFF6A">
            <w:pPr>
              <w:pStyle w:val="10"/>
            </w:pPr>
            <w:r>
              <w:t>指标值确定依据</w:t>
            </w:r>
          </w:p>
        </w:tc>
      </w:tr>
      <w:tr w14:paraId="1AAE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D938B">
            <w:pPr>
              <w:pStyle w:val="13"/>
            </w:pPr>
            <w:r>
              <w:t>产出指标</w:t>
            </w:r>
          </w:p>
        </w:tc>
        <w:tc>
          <w:tcPr>
            <w:tcW w:w="2268" w:type="dxa"/>
            <w:vAlign w:val="center"/>
          </w:tcPr>
          <w:p w14:paraId="6EC8C5C2">
            <w:pPr>
              <w:pStyle w:val="12"/>
            </w:pPr>
            <w:r>
              <w:t>数量指标</w:t>
            </w:r>
          </w:p>
        </w:tc>
        <w:tc>
          <w:tcPr>
            <w:tcW w:w="2835" w:type="dxa"/>
            <w:vAlign w:val="center"/>
          </w:tcPr>
          <w:p w14:paraId="3BF0696D">
            <w:pPr>
              <w:pStyle w:val="12"/>
            </w:pPr>
            <w:r>
              <w:t>第四实验小学体育场地改建</w:t>
            </w:r>
          </w:p>
        </w:tc>
        <w:tc>
          <w:tcPr>
            <w:tcW w:w="5386" w:type="dxa"/>
            <w:vAlign w:val="center"/>
          </w:tcPr>
          <w:p w14:paraId="0B3FD375">
            <w:pPr>
              <w:pStyle w:val="12"/>
            </w:pPr>
            <w:r>
              <w:t>50mm10500针人造草坪、5mm厚硅pu、13mm透气型塑胶跑道</w:t>
            </w:r>
          </w:p>
        </w:tc>
        <w:tc>
          <w:tcPr>
            <w:tcW w:w="2268" w:type="dxa"/>
            <w:vAlign w:val="center"/>
          </w:tcPr>
          <w:p w14:paraId="5F1339DE">
            <w:pPr>
              <w:pStyle w:val="12"/>
            </w:pPr>
            <w:r>
              <w:t>1项</w:t>
            </w:r>
          </w:p>
        </w:tc>
        <w:tc>
          <w:tcPr>
            <w:tcW w:w="1276" w:type="dxa"/>
            <w:vAlign w:val="center"/>
          </w:tcPr>
          <w:p w14:paraId="200D5B02">
            <w:pPr>
              <w:pStyle w:val="12"/>
            </w:pPr>
            <w:r>
              <w:t>项目规划</w:t>
            </w:r>
          </w:p>
        </w:tc>
      </w:tr>
      <w:tr w14:paraId="7C11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5BF15"/>
        </w:tc>
        <w:tc>
          <w:tcPr>
            <w:tcW w:w="2268" w:type="dxa"/>
            <w:vAlign w:val="center"/>
          </w:tcPr>
          <w:p w14:paraId="54800BC7">
            <w:pPr>
              <w:pStyle w:val="12"/>
            </w:pPr>
            <w:r>
              <w:t>质量指标</w:t>
            </w:r>
          </w:p>
        </w:tc>
        <w:tc>
          <w:tcPr>
            <w:tcW w:w="2835" w:type="dxa"/>
            <w:vAlign w:val="center"/>
          </w:tcPr>
          <w:p w14:paraId="6E2F623C">
            <w:pPr>
              <w:pStyle w:val="12"/>
            </w:pPr>
            <w:r>
              <w:t>工程实施验收合格率</w:t>
            </w:r>
          </w:p>
        </w:tc>
        <w:tc>
          <w:tcPr>
            <w:tcW w:w="5386" w:type="dxa"/>
            <w:vAlign w:val="center"/>
          </w:tcPr>
          <w:p w14:paraId="7F6F352C">
            <w:pPr>
              <w:pStyle w:val="12"/>
            </w:pPr>
            <w:r>
              <w:t>申报程序的合规，项目实施及资金使用符合项目规划</w:t>
            </w:r>
          </w:p>
        </w:tc>
        <w:tc>
          <w:tcPr>
            <w:tcW w:w="2268" w:type="dxa"/>
            <w:vAlign w:val="center"/>
          </w:tcPr>
          <w:p w14:paraId="6F73DB09">
            <w:pPr>
              <w:pStyle w:val="12"/>
            </w:pPr>
            <w:r>
              <w:t>100%</w:t>
            </w:r>
          </w:p>
        </w:tc>
        <w:tc>
          <w:tcPr>
            <w:tcW w:w="1276" w:type="dxa"/>
            <w:vAlign w:val="center"/>
          </w:tcPr>
          <w:p w14:paraId="4017274B">
            <w:pPr>
              <w:pStyle w:val="12"/>
            </w:pPr>
            <w:r>
              <w:t>项目规划</w:t>
            </w:r>
          </w:p>
        </w:tc>
      </w:tr>
      <w:tr w14:paraId="0A0D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013B0"/>
        </w:tc>
        <w:tc>
          <w:tcPr>
            <w:tcW w:w="2268" w:type="dxa"/>
            <w:vAlign w:val="center"/>
          </w:tcPr>
          <w:p w14:paraId="23B01054">
            <w:pPr>
              <w:pStyle w:val="12"/>
            </w:pPr>
            <w:r>
              <w:t>时效指标</w:t>
            </w:r>
          </w:p>
        </w:tc>
        <w:tc>
          <w:tcPr>
            <w:tcW w:w="2835" w:type="dxa"/>
            <w:vAlign w:val="center"/>
          </w:tcPr>
          <w:p w14:paraId="19DAB7BE">
            <w:pPr>
              <w:pStyle w:val="12"/>
            </w:pPr>
            <w:r>
              <w:t>资金支付率</w:t>
            </w:r>
          </w:p>
        </w:tc>
        <w:tc>
          <w:tcPr>
            <w:tcW w:w="5386" w:type="dxa"/>
            <w:vAlign w:val="center"/>
          </w:tcPr>
          <w:p w14:paraId="14C5EF96">
            <w:pPr>
              <w:pStyle w:val="12"/>
            </w:pPr>
            <w:r>
              <w:t>按照序时进度完成资金支付</w:t>
            </w:r>
          </w:p>
        </w:tc>
        <w:tc>
          <w:tcPr>
            <w:tcW w:w="2268" w:type="dxa"/>
            <w:vAlign w:val="center"/>
          </w:tcPr>
          <w:p w14:paraId="33C8CBE9">
            <w:pPr>
              <w:pStyle w:val="12"/>
            </w:pPr>
            <w:r>
              <w:t>100%</w:t>
            </w:r>
          </w:p>
        </w:tc>
        <w:tc>
          <w:tcPr>
            <w:tcW w:w="1276" w:type="dxa"/>
            <w:vAlign w:val="center"/>
          </w:tcPr>
          <w:p w14:paraId="18CADCDE">
            <w:pPr>
              <w:pStyle w:val="12"/>
            </w:pPr>
            <w:r>
              <w:t>项目规划</w:t>
            </w:r>
          </w:p>
        </w:tc>
      </w:tr>
      <w:tr w14:paraId="1814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68D0"/>
        </w:tc>
        <w:tc>
          <w:tcPr>
            <w:tcW w:w="2268" w:type="dxa"/>
            <w:vAlign w:val="center"/>
          </w:tcPr>
          <w:p w14:paraId="1F349A60">
            <w:pPr>
              <w:pStyle w:val="12"/>
            </w:pPr>
            <w:r>
              <w:t>成本指标</w:t>
            </w:r>
          </w:p>
        </w:tc>
        <w:tc>
          <w:tcPr>
            <w:tcW w:w="2835" w:type="dxa"/>
            <w:vAlign w:val="center"/>
          </w:tcPr>
          <w:p w14:paraId="2AD71533">
            <w:pPr>
              <w:pStyle w:val="12"/>
            </w:pPr>
            <w:r>
              <w:t>项目成本控制情况</w:t>
            </w:r>
          </w:p>
        </w:tc>
        <w:tc>
          <w:tcPr>
            <w:tcW w:w="5386" w:type="dxa"/>
            <w:vAlign w:val="center"/>
          </w:tcPr>
          <w:p w14:paraId="0CBA616F">
            <w:pPr>
              <w:pStyle w:val="12"/>
            </w:pPr>
            <w:r>
              <w:t>严格按照招标价格及审计额进行</w:t>
            </w:r>
          </w:p>
        </w:tc>
        <w:tc>
          <w:tcPr>
            <w:tcW w:w="2268" w:type="dxa"/>
            <w:vAlign w:val="center"/>
          </w:tcPr>
          <w:p w14:paraId="54B3CC78">
            <w:pPr>
              <w:pStyle w:val="12"/>
            </w:pPr>
            <w:r>
              <w:t>50万元</w:t>
            </w:r>
          </w:p>
        </w:tc>
        <w:tc>
          <w:tcPr>
            <w:tcW w:w="1276" w:type="dxa"/>
            <w:vAlign w:val="center"/>
          </w:tcPr>
          <w:p w14:paraId="57CC26A2">
            <w:pPr>
              <w:pStyle w:val="12"/>
            </w:pPr>
            <w:r>
              <w:t>项目规划</w:t>
            </w:r>
          </w:p>
        </w:tc>
      </w:tr>
      <w:tr w14:paraId="01B83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92DFE">
            <w:pPr>
              <w:pStyle w:val="13"/>
            </w:pPr>
            <w:r>
              <w:t>效益指标</w:t>
            </w:r>
          </w:p>
        </w:tc>
        <w:tc>
          <w:tcPr>
            <w:tcW w:w="2268" w:type="dxa"/>
            <w:vAlign w:val="center"/>
          </w:tcPr>
          <w:p w14:paraId="4792A82F">
            <w:pPr>
              <w:pStyle w:val="12"/>
            </w:pPr>
            <w:r>
              <w:t>可持续影响指标</w:t>
            </w:r>
          </w:p>
        </w:tc>
        <w:tc>
          <w:tcPr>
            <w:tcW w:w="2835" w:type="dxa"/>
            <w:vAlign w:val="center"/>
          </w:tcPr>
          <w:p w14:paraId="64EB2263">
            <w:pPr>
              <w:pStyle w:val="12"/>
            </w:pPr>
            <w:r>
              <w:t>学校办学环境提升</w:t>
            </w:r>
          </w:p>
        </w:tc>
        <w:tc>
          <w:tcPr>
            <w:tcW w:w="5386" w:type="dxa"/>
            <w:vAlign w:val="center"/>
          </w:tcPr>
          <w:p w14:paraId="11405DFA">
            <w:pPr>
              <w:pStyle w:val="12"/>
            </w:pPr>
            <w:r>
              <w:t>学校教学环境提升优化率</w:t>
            </w:r>
          </w:p>
        </w:tc>
        <w:tc>
          <w:tcPr>
            <w:tcW w:w="2268" w:type="dxa"/>
            <w:vAlign w:val="center"/>
          </w:tcPr>
          <w:p w14:paraId="27D73C81">
            <w:pPr>
              <w:pStyle w:val="12"/>
            </w:pPr>
            <w:r>
              <w:t>≥98%</w:t>
            </w:r>
          </w:p>
        </w:tc>
        <w:tc>
          <w:tcPr>
            <w:tcW w:w="1276" w:type="dxa"/>
            <w:vAlign w:val="center"/>
          </w:tcPr>
          <w:p w14:paraId="607E3B04">
            <w:pPr>
              <w:pStyle w:val="12"/>
            </w:pPr>
            <w:r>
              <w:t>项目规划</w:t>
            </w:r>
          </w:p>
        </w:tc>
      </w:tr>
      <w:tr w14:paraId="7528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EA009">
            <w:pPr>
              <w:pStyle w:val="13"/>
            </w:pPr>
            <w:r>
              <w:t>满意度指标</w:t>
            </w:r>
          </w:p>
        </w:tc>
        <w:tc>
          <w:tcPr>
            <w:tcW w:w="2268" w:type="dxa"/>
            <w:vAlign w:val="center"/>
          </w:tcPr>
          <w:p w14:paraId="61103B45">
            <w:pPr>
              <w:pStyle w:val="12"/>
            </w:pPr>
            <w:r>
              <w:t>服务对象满意度指标</w:t>
            </w:r>
          </w:p>
        </w:tc>
        <w:tc>
          <w:tcPr>
            <w:tcW w:w="2835" w:type="dxa"/>
            <w:vAlign w:val="center"/>
          </w:tcPr>
          <w:p w14:paraId="1807F24E">
            <w:pPr>
              <w:pStyle w:val="12"/>
            </w:pPr>
            <w:r>
              <w:t>受益学生家长及调查满意度</w:t>
            </w:r>
          </w:p>
        </w:tc>
        <w:tc>
          <w:tcPr>
            <w:tcW w:w="5386" w:type="dxa"/>
            <w:vAlign w:val="center"/>
          </w:tcPr>
          <w:p w14:paraId="52E2BB21">
            <w:pPr>
              <w:pStyle w:val="12"/>
            </w:pPr>
            <w:r>
              <w:t>学生、教师及家长对学校教学环境满意度情况</w:t>
            </w:r>
          </w:p>
        </w:tc>
        <w:tc>
          <w:tcPr>
            <w:tcW w:w="2268" w:type="dxa"/>
            <w:vAlign w:val="center"/>
          </w:tcPr>
          <w:p w14:paraId="6AC131FE">
            <w:pPr>
              <w:pStyle w:val="12"/>
            </w:pPr>
            <w:r>
              <w:t>≥95%</w:t>
            </w:r>
          </w:p>
        </w:tc>
        <w:tc>
          <w:tcPr>
            <w:tcW w:w="1276" w:type="dxa"/>
            <w:vAlign w:val="center"/>
          </w:tcPr>
          <w:p w14:paraId="78C1EAE7">
            <w:pPr>
              <w:pStyle w:val="12"/>
            </w:pPr>
            <w:r>
              <w:t>项目规划</w:t>
            </w:r>
          </w:p>
        </w:tc>
      </w:tr>
    </w:tbl>
    <w:p w14:paraId="5E94BCFD">
      <w:pPr>
        <w:sectPr>
          <w:pgSz w:w="16840" w:h="11900" w:orient="landscape"/>
          <w:pgMar w:top="1361" w:right="1020" w:bottom="1134" w:left="1020" w:header="720" w:footer="720" w:gutter="0"/>
          <w:cols w:space="720" w:num="1"/>
        </w:sectPr>
      </w:pPr>
    </w:p>
    <w:p w14:paraId="48768021">
      <w:pPr>
        <w:spacing w:before="0" w:after="0"/>
        <w:ind w:firstLine="560"/>
        <w:jc w:val="left"/>
        <w:outlineLvl w:val="9"/>
      </w:pPr>
      <w:r>
        <w:rPr>
          <w:rFonts w:ascii="方正仿宋_GBK" w:hAnsi="方正仿宋_GBK" w:eastAsia="方正仿宋_GBK" w:cs="方正仿宋_GBK"/>
          <w:b/>
          <w:color w:val="000000"/>
          <w:sz w:val="28"/>
        </w:rPr>
        <w:t>2、冀财教[2025]121号/中央/2026年义教补助经费/山口校区第四实验小学公用经费绩效目标表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A7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0C487">
            <w:pPr>
              <w:pStyle w:val="11"/>
            </w:pPr>
            <w:r>
              <w:t>单位：万元</w:t>
            </w:r>
          </w:p>
        </w:tc>
      </w:tr>
      <w:tr w14:paraId="07313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13123">
            <w:pPr>
              <w:pStyle w:val="10"/>
            </w:pPr>
            <w:r>
              <w:t>项目编码</w:t>
            </w:r>
          </w:p>
        </w:tc>
        <w:tc>
          <w:tcPr>
            <w:tcW w:w="5103" w:type="dxa"/>
            <w:gridSpan w:val="2"/>
            <w:vAlign w:val="center"/>
          </w:tcPr>
          <w:p w14:paraId="17F3EB7B">
            <w:pPr>
              <w:pStyle w:val="12"/>
            </w:pPr>
            <w:r>
              <w:t>13052526P00000410288W</w:t>
            </w:r>
          </w:p>
        </w:tc>
        <w:tc>
          <w:tcPr>
            <w:tcW w:w="2835" w:type="dxa"/>
            <w:vAlign w:val="center"/>
          </w:tcPr>
          <w:p w14:paraId="32104B1A">
            <w:pPr>
              <w:pStyle w:val="10"/>
            </w:pPr>
            <w:r>
              <w:t>项目名称</w:t>
            </w:r>
          </w:p>
        </w:tc>
        <w:tc>
          <w:tcPr>
            <w:tcW w:w="6095" w:type="dxa"/>
            <w:gridSpan w:val="3"/>
            <w:vAlign w:val="center"/>
          </w:tcPr>
          <w:p w14:paraId="0744BC07">
            <w:pPr>
              <w:pStyle w:val="12"/>
            </w:pPr>
            <w:r>
              <w:t>冀财教[2025]121号/中央/2026年义教补助经费/山口校区第四实验小学公用经费</w:t>
            </w:r>
          </w:p>
        </w:tc>
      </w:tr>
      <w:tr w14:paraId="37F0E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E22BA">
            <w:pPr>
              <w:pStyle w:val="10"/>
            </w:pPr>
            <w:r>
              <w:t>预算规模及资金用途</w:t>
            </w:r>
          </w:p>
        </w:tc>
        <w:tc>
          <w:tcPr>
            <w:tcW w:w="2268" w:type="dxa"/>
            <w:vAlign w:val="center"/>
          </w:tcPr>
          <w:p w14:paraId="5F44F573">
            <w:pPr>
              <w:pStyle w:val="10"/>
            </w:pPr>
            <w:r>
              <w:t>预算数</w:t>
            </w:r>
          </w:p>
        </w:tc>
        <w:tc>
          <w:tcPr>
            <w:tcW w:w="2835" w:type="dxa"/>
            <w:vAlign w:val="center"/>
          </w:tcPr>
          <w:p w14:paraId="24763A69">
            <w:pPr>
              <w:pStyle w:val="12"/>
            </w:pPr>
            <w:r>
              <w:t>12.03</w:t>
            </w:r>
          </w:p>
        </w:tc>
        <w:tc>
          <w:tcPr>
            <w:tcW w:w="2835" w:type="dxa"/>
            <w:vAlign w:val="center"/>
          </w:tcPr>
          <w:p w14:paraId="703CC0E8">
            <w:pPr>
              <w:pStyle w:val="10"/>
            </w:pPr>
            <w:r>
              <w:t>其中：财政    资金</w:t>
            </w:r>
          </w:p>
        </w:tc>
        <w:tc>
          <w:tcPr>
            <w:tcW w:w="2551" w:type="dxa"/>
            <w:vAlign w:val="center"/>
          </w:tcPr>
          <w:p w14:paraId="44A188A1">
            <w:pPr>
              <w:pStyle w:val="12"/>
            </w:pPr>
            <w:r>
              <w:t>12.03</w:t>
            </w:r>
          </w:p>
        </w:tc>
        <w:tc>
          <w:tcPr>
            <w:tcW w:w="2268" w:type="dxa"/>
            <w:vAlign w:val="center"/>
          </w:tcPr>
          <w:p w14:paraId="23D3C103">
            <w:pPr>
              <w:pStyle w:val="10"/>
            </w:pPr>
            <w:r>
              <w:t>其他资金</w:t>
            </w:r>
          </w:p>
        </w:tc>
        <w:tc>
          <w:tcPr>
            <w:tcW w:w="1276" w:type="dxa"/>
            <w:vAlign w:val="center"/>
          </w:tcPr>
          <w:p w14:paraId="1CCA7CE0">
            <w:pPr>
              <w:pStyle w:val="12"/>
            </w:pPr>
            <w:r>
              <w:t xml:space="preserve"> </w:t>
            </w:r>
          </w:p>
        </w:tc>
      </w:tr>
      <w:tr w14:paraId="25259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71303"/>
        </w:tc>
        <w:tc>
          <w:tcPr>
            <w:tcW w:w="14033" w:type="dxa"/>
            <w:gridSpan w:val="6"/>
            <w:vAlign w:val="center"/>
          </w:tcPr>
          <w:p w14:paraId="3CEDBC12">
            <w:pPr>
              <w:pStyle w:val="12"/>
            </w:pPr>
            <w:r>
              <w:t>保障学校正常运转，完成各项教育教学活动和其他日常工作任务等方面的费用支出。</w:t>
            </w:r>
            <w:r>
              <w:tab/>
            </w:r>
            <w:r>
              <w:tab/>
            </w:r>
            <w:r>
              <w:tab/>
            </w:r>
            <w:r>
              <w:tab/>
            </w:r>
            <w:r>
              <w:tab/>
            </w:r>
            <w:r>
              <w:tab/>
            </w:r>
          </w:p>
          <w:p w14:paraId="4F90668C">
            <w:pPr>
              <w:pStyle w:val="12"/>
            </w:pPr>
          </w:p>
        </w:tc>
      </w:tr>
      <w:tr w14:paraId="1F9B7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F7434">
            <w:pPr>
              <w:pStyle w:val="10"/>
            </w:pPr>
            <w:r>
              <w:t>资金支出计划（%）</w:t>
            </w:r>
          </w:p>
        </w:tc>
        <w:tc>
          <w:tcPr>
            <w:tcW w:w="5103" w:type="dxa"/>
            <w:gridSpan w:val="2"/>
            <w:vAlign w:val="center"/>
          </w:tcPr>
          <w:p w14:paraId="0EB4C0D0">
            <w:pPr>
              <w:pStyle w:val="10"/>
            </w:pPr>
            <w:r>
              <w:t>3月底</w:t>
            </w:r>
          </w:p>
        </w:tc>
        <w:tc>
          <w:tcPr>
            <w:tcW w:w="2835" w:type="dxa"/>
            <w:vAlign w:val="center"/>
          </w:tcPr>
          <w:p w14:paraId="08527F39">
            <w:pPr>
              <w:pStyle w:val="10"/>
            </w:pPr>
            <w:r>
              <w:t>6月底</w:t>
            </w:r>
          </w:p>
        </w:tc>
        <w:tc>
          <w:tcPr>
            <w:tcW w:w="2551" w:type="dxa"/>
            <w:vAlign w:val="center"/>
          </w:tcPr>
          <w:p w14:paraId="58021840">
            <w:pPr>
              <w:pStyle w:val="10"/>
            </w:pPr>
            <w:r>
              <w:t>10月底</w:t>
            </w:r>
          </w:p>
        </w:tc>
        <w:tc>
          <w:tcPr>
            <w:tcW w:w="3544" w:type="dxa"/>
            <w:gridSpan w:val="2"/>
            <w:vAlign w:val="center"/>
          </w:tcPr>
          <w:p w14:paraId="15254358">
            <w:pPr>
              <w:pStyle w:val="10"/>
            </w:pPr>
            <w:r>
              <w:t>12月底</w:t>
            </w:r>
          </w:p>
        </w:tc>
      </w:tr>
      <w:tr w14:paraId="77761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93E4F"/>
        </w:tc>
        <w:tc>
          <w:tcPr>
            <w:tcW w:w="5103" w:type="dxa"/>
            <w:gridSpan w:val="2"/>
            <w:vAlign w:val="center"/>
          </w:tcPr>
          <w:p w14:paraId="1906A16F">
            <w:pPr>
              <w:pStyle w:val="13"/>
            </w:pPr>
            <w:r>
              <w:t>25%</w:t>
            </w:r>
          </w:p>
        </w:tc>
        <w:tc>
          <w:tcPr>
            <w:tcW w:w="2835" w:type="dxa"/>
            <w:vAlign w:val="center"/>
          </w:tcPr>
          <w:p w14:paraId="1E2506E2">
            <w:pPr>
              <w:pStyle w:val="13"/>
            </w:pPr>
            <w:r>
              <w:t>50%</w:t>
            </w:r>
          </w:p>
        </w:tc>
        <w:tc>
          <w:tcPr>
            <w:tcW w:w="2551" w:type="dxa"/>
            <w:vAlign w:val="center"/>
          </w:tcPr>
          <w:p w14:paraId="0A6274EF">
            <w:pPr>
              <w:pStyle w:val="13"/>
            </w:pPr>
            <w:r>
              <w:t>75%</w:t>
            </w:r>
          </w:p>
        </w:tc>
        <w:tc>
          <w:tcPr>
            <w:tcW w:w="3544" w:type="dxa"/>
            <w:gridSpan w:val="2"/>
            <w:vAlign w:val="center"/>
          </w:tcPr>
          <w:p w14:paraId="64E9E8C2">
            <w:pPr>
              <w:pStyle w:val="13"/>
            </w:pPr>
            <w:r>
              <w:t>100%</w:t>
            </w:r>
          </w:p>
        </w:tc>
      </w:tr>
      <w:tr w14:paraId="106B5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D8469">
            <w:pPr>
              <w:pStyle w:val="10"/>
            </w:pPr>
            <w:r>
              <w:t>绩效目标</w:t>
            </w:r>
          </w:p>
        </w:tc>
        <w:tc>
          <w:tcPr>
            <w:tcW w:w="14033" w:type="dxa"/>
            <w:gridSpan w:val="6"/>
            <w:vAlign w:val="center"/>
          </w:tcPr>
          <w:p w14:paraId="3174F76F">
            <w:pPr>
              <w:pStyle w:val="12"/>
            </w:pPr>
            <w:r>
              <w:t>1.按季度分批次拨付公用经费资金，资金拨付率达到100%。</w:t>
            </w:r>
          </w:p>
          <w:p w14:paraId="7E3F47CF">
            <w:pPr>
              <w:pStyle w:val="12"/>
            </w:pPr>
            <w:r>
              <w:t>2.保障学校正常运转，完成各项教育教学活动和其他日常工作任务等方面的费用支出。</w:t>
            </w:r>
          </w:p>
        </w:tc>
      </w:tr>
    </w:tbl>
    <w:p w14:paraId="461E6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2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E1458">
            <w:pPr>
              <w:pStyle w:val="10"/>
            </w:pPr>
            <w:r>
              <w:t>一级指标</w:t>
            </w:r>
          </w:p>
        </w:tc>
        <w:tc>
          <w:tcPr>
            <w:tcW w:w="2268" w:type="dxa"/>
            <w:vAlign w:val="center"/>
          </w:tcPr>
          <w:p w14:paraId="7243DD63">
            <w:pPr>
              <w:pStyle w:val="10"/>
            </w:pPr>
            <w:r>
              <w:t>二级指标</w:t>
            </w:r>
          </w:p>
        </w:tc>
        <w:tc>
          <w:tcPr>
            <w:tcW w:w="2835" w:type="dxa"/>
            <w:vAlign w:val="center"/>
          </w:tcPr>
          <w:p w14:paraId="28E50D65">
            <w:pPr>
              <w:pStyle w:val="10"/>
            </w:pPr>
            <w:r>
              <w:t>三级指标</w:t>
            </w:r>
          </w:p>
        </w:tc>
        <w:tc>
          <w:tcPr>
            <w:tcW w:w="5386" w:type="dxa"/>
            <w:vAlign w:val="center"/>
          </w:tcPr>
          <w:p w14:paraId="7C2AD28C">
            <w:pPr>
              <w:pStyle w:val="10"/>
            </w:pPr>
            <w:r>
              <w:t>绩效指标描述</w:t>
            </w:r>
          </w:p>
        </w:tc>
        <w:tc>
          <w:tcPr>
            <w:tcW w:w="2268" w:type="dxa"/>
            <w:vAlign w:val="center"/>
          </w:tcPr>
          <w:p w14:paraId="645FD71C">
            <w:pPr>
              <w:pStyle w:val="10"/>
            </w:pPr>
            <w:r>
              <w:t>指标值</w:t>
            </w:r>
          </w:p>
        </w:tc>
        <w:tc>
          <w:tcPr>
            <w:tcW w:w="1276" w:type="dxa"/>
            <w:vAlign w:val="center"/>
          </w:tcPr>
          <w:p w14:paraId="1DF81B54">
            <w:pPr>
              <w:pStyle w:val="10"/>
            </w:pPr>
            <w:r>
              <w:t>指标值确定依据</w:t>
            </w:r>
          </w:p>
        </w:tc>
      </w:tr>
      <w:tr w14:paraId="14C7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14973">
            <w:pPr>
              <w:pStyle w:val="13"/>
            </w:pPr>
            <w:r>
              <w:t>产出指标</w:t>
            </w:r>
          </w:p>
        </w:tc>
        <w:tc>
          <w:tcPr>
            <w:tcW w:w="2268" w:type="dxa"/>
            <w:vAlign w:val="center"/>
          </w:tcPr>
          <w:p w14:paraId="58382624">
            <w:pPr>
              <w:pStyle w:val="12"/>
            </w:pPr>
            <w:r>
              <w:t>数量指标</w:t>
            </w:r>
          </w:p>
        </w:tc>
        <w:tc>
          <w:tcPr>
            <w:tcW w:w="2835" w:type="dxa"/>
            <w:vAlign w:val="center"/>
          </w:tcPr>
          <w:p w14:paraId="02DB26AA">
            <w:pPr>
              <w:pStyle w:val="12"/>
            </w:pPr>
            <w:r>
              <w:t>就读学生数</w:t>
            </w:r>
          </w:p>
        </w:tc>
        <w:tc>
          <w:tcPr>
            <w:tcW w:w="5386" w:type="dxa"/>
            <w:vAlign w:val="center"/>
          </w:tcPr>
          <w:p w14:paraId="6D856339">
            <w:pPr>
              <w:pStyle w:val="12"/>
            </w:pPr>
            <w:r>
              <w:t>辐射区域内适龄学生人数</w:t>
            </w:r>
          </w:p>
        </w:tc>
        <w:tc>
          <w:tcPr>
            <w:tcW w:w="2268" w:type="dxa"/>
            <w:vAlign w:val="center"/>
          </w:tcPr>
          <w:p w14:paraId="4B6E3EB9">
            <w:pPr>
              <w:pStyle w:val="12"/>
            </w:pPr>
            <w:r>
              <w:t>249人</w:t>
            </w:r>
          </w:p>
        </w:tc>
        <w:tc>
          <w:tcPr>
            <w:tcW w:w="1276" w:type="dxa"/>
            <w:vAlign w:val="center"/>
          </w:tcPr>
          <w:p w14:paraId="4421DA17">
            <w:pPr>
              <w:pStyle w:val="12"/>
            </w:pPr>
            <w:r>
              <w:t>城乡义务教育公用经费管理办法</w:t>
            </w:r>
          </w:p>
        </w:tc>
      </w:tr>
      <w:tr w14:paraId="5C8A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621C1"/>
        </w:tc>
        <w:tc>
          <w:tcPr>
            <w:tcW w:w="2268" w:type="dxa"/>
            <w:vAlign w:val="center"/>
          </w:tcPr>
          <w:p w14:paraId="552A1015">
            <w:pPr>
              <w:pStyle w:val="12"/>
            </w:pPr>
            <w:r>
              <w:t>质量指标</w:t>
            </w:r>
          </w:p>
        </w:tc>
        <w:tc>
          <w:tcPr>
            <w:tcW w:w="2835" w:type="dxa"/>
            <w:vAlign w:val="center"/>
          </w:tcPr>
          <w:p w14:paraId="3A72EDA3">
            <w:pPr>
              <w:pStyle w:val="12"/>
            </w:pPr>
            <w:r>
              <w:t>预算执行率</w:t>
            </w:r>
          </w:p>
        </w:tc>
        <w:tc>
          <w:tcPr>
            <w:tcW w:w="5386" w:type="dxa"/>
            <w:vAlign w:val="center"/>
          </w:tcPr>
          <w:p w14:paraId="7473CCA2">
            <w:pPr>
              <w:pStyle w:val="12"/>
            </w:pPr>
            <w:r>
              <w:t>预算执行率</w:t>
            </w:r>
          </w:p>
        </w:tc>
        <w:tc>
          <w:tcPr>
            <w:tcW w:w="2268" w:type="dxa"/>
            <w:vAlign w:val="center"/>
          </w:tcPr>
          <w:p w14:paraId="64F01855">
            <w:pPr>
              <w:pStyle w:val="12"/>
            </w:pPr>
            <w:r>
              <w:t>≥95%</w:t>
            </w:r>
          </w:p>
        </w:tc>
        <w:tc>
          <w:tcPr>
            <w:tcW w:w="1276" w:type="dxa"/>
            <w:vAlign w:val="center"/>
          </w:tcPr>
          <w:p w14:paraId="1C6354CA">
            <w:pPr>
              <w:pStyle w:val="12"/>
            </w:pPr>
            <w:r>
              <w:t>城乡义务教育公用经费管理办法</w:t>
            </w:r>
          </w:p>
        </w:tc>
      </w:tr>
      <w:tr w14:paraId="374B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B63CE"/>
        </w:tc>
        <w:tc>
          <w:tcPr>
            <w:tcW w:w="2268" w:type="dxa"/>
            <w:vAlign w:val="center"/>
          </w:tcPr>
          <w:p w14:paraId="16D7C0DD">
            <w:pPr>
              <w:pStyle w:val="12"/>
            </w:pPr>
            <w:r>
              <w:t>时效指标</w:t>
            </w:r>
          </w:p>
        </w:tc>
        <w:tc>
          <w:tcPr>
            <w:tcW w:w="2835" w:type="dxa"/>
            <w:vAlign w:val="center"/>
          </w:tcPr>
          <w:p w14:paraId="01863D85">
            <w:pPr>
              <w:pStyle w:val="12"/>
            </w:pPr>
            <w:r>
              <w:t>义教经费支付完成率</w:t>
            </w:r>
          </w:p>
        </w:tc>
        <w:tc>
          <w:tcPr>
            <w:tcW w:w="5386" w:type="dxa"/>
            <w:vAlign w:val="center"/>
          </w:tcPr>
          <w:p w14:paraId="284C5C24">
            <w:pPr>
              <w:pStyle w:val="12"/>
            </w:pPr>
            <w:r>
              <w:t>按照序时进度完成资金支付</w:t>
            </w:r>
          </w:p>
        </w:tc>
        <w:tc>
          <w:tcPr>
            <w:tcW w:w="2268" w:type="dxa"/>
            <w:vAlign w:val="center"/>
          </w:tcPr>
          <w:p w14:paraId="0988A55D">
            <w:pPr>
              <w:pStyle w:val="12"/>
            </w:pPr>
            <w:r>
              <w:t>100%</w:t>
            </w:r>
          </w:p>
        </w:tc>
        <w:tc>
          <w:tcPr>
            <w:tcW w:w="1276" w:type="dxa"/>
            <w:vAlign w:val="center"/>
          </w:tcPr>
          <w:p w14:paraId="12EF22C2">
            <w:pPr>
              <w:pStyle w:val="12"/>
            </w:pPr>
            <w:r>
              <w:t>城乡义务教育公用经费管理办法</w:t>
            </w:r>
          </w:p>
        </w:tc>
      </w:tr>
      <w:tr w14:paraId="7526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58A6B"/>
        </w:tc>
        <w:tc>
          <w:tcPr>
            <w:tcW w:w="2268" w:type="dxa"/>
            <w:vAlign w:val="center"/>
          </w:tcPr>
          <w:p w14:paraId="5F63712C">
            <w:pPr>
              <w:pStyle w:val="12"/>
            </w:pPr>
            <w:r>
              <w:t>成本指标</w:t>
            </w:r>
          </w:p>
        </w:tc>
        <w:tc>
          <w:tcPr>
            <w:tcW w:w="2835" w:type="dxa"/>
            <w:vAlign w:val="center"/>
          </w:tcPr>
          <w:p w14:paraId="1E17A5BD">
            <w:pPr>
              <w:pStyle w:val="12"/>
            </w:pPr>
            <w:r>
              <w:t>生均拨款标准</w:t>
            </w:r>
          </w:p>
        </w:tc>
        <w:tc>
          <w:tcPr>
            <w:tcW w:w="5386" w:type="dxa"/>
            <w:vAlign w:val="center"/>
          </w:tcPr>
          <w:p w14:paraId="0E07B24D">
            <w:pPr>
              <w:pStyle w:val="12"/>
            </w:pPr>
            <w:r>
              <w:t>小学生公用经费生均公用经费基准定额为720元/年/生，取暖费120元/年/生，住宿生补助300元/年/生的标准，随班就读学生补助7000元/生/年</w:t>
            </w:r>
          </w:p>
        </w:tc>
        <w:tc>
          <w:tcPr>
            <w:tcW w:w="2268" w:type="dxa"/>
            <w:vAlign w:val="center"/>
          </w:tcPr>
          <w:p w14:paraId="41E7B341">
            <w:pPr>
              <w:pStyle w:val="12"/>
            </w:pPr>
            <w:r>
              <w:t>840元</w:t>
            </w:r>
          </w:p>
        </w:tc>
        <w:tc>
          <w:tcPr>
            <w:tcW w:w="1276" w:type="dxa"/>
            <w:vAlign w:val="center"/>
          </w:tcPr>
          <w:p w14:paraId="59ACEE86">
            <w:pPr>
              <w:pStyle w:val="12"/>
            </w:pPr>
            <w:r>
              <w:t>城乡义务教育公用经费管理办法</w:t>
            </w:r>
          </w:p>
        </w:tc>
      </w:tr>
      <w:tr w14:paraId="7083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70733">
            <w:pPr>
              <w:pStyle w:val="13"/>
            </w:pPr>
            <w:r>
              <w:t>效益指标</w:t>
            </w:r>
          </w:p>
        </w:tc>
        <w:tc>
          <w:tcPr>
            <w:tcW w:w="2268" w:type="dxa"/>
            <w:vAlign w:val="center"/>
          </w:tcPr>
          <w:p w14:paraId="22183CB9">
            <w:pPr>
              <w:pStyle w:val="12"/>
            </w:pPr>
            <w:r>
              <w:t>可持续影响指标</w:t>
            </w:r>
          </w:p>
        </w:tc>
        <w:tc>
          <w:tcPr>
            <w:tcW w:w="2835" w:type="dxa"/>
            <w:vAlign w:val="center"/>
          </w:tcPr>
          <w:p w14:paraId="04F9CE91">
            <w:pPr>
              <w:pStyle w:val="12"/>
            </w:pPr>
            <w:r>
              <w:t>学校运转得到提高</w:t>
            </w:r>
          </w:p>
        </w:tc>
        <w:tc>
          <w:tcPr>
            <w:tcW w:w="5386" w:type="dxa"/>
            <w:vAlign w:val="center"/>
          </w:tcPr>
          <w:p w14:paraId="3739B0B2">
            <w:pPr>
              <w:pStyle w:val="12"/>
            </w:pPr>
            <w:r>
              <w:t>学生受教育年限</w:t>
            </w:r>
          </w:p>
        </w:tc>
        <w:tc>
          <w:tcPr>
            <w:tcW w:w="2268" w:type="dxa"/>
            <w:vAlign w:val="center"/>
          </w:tcPr>
          <w:p w14:paraId="6DBDE8C6">
            <w:pPr>
              <w:pStyle w:val="12"/>
            </w:pPr>
            <w:r>
              <w:t>6年</w:t>
            </w:r>
          </w:p>
        </w:tc>
        <w:tc>
          <w:tcPr>
            <w:tcW w:w="1276" w:type="dxa"/>
            <w:vAlign w:val="center"/>
          </w:tcPr>
          <w:p w14:paraId="150B5913">
            <w:pPr>
              <w:pStyle w:val="12"/>
            </w:pPr>
            <w:r>
              <w:t>城乡义务教育公用经费管理办法</w:t>
            </w:r>
          </w:p>
        </w:tc>
      </w:tr>
      <w:tr w14:paraId="15D1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C5166">
            <w:pPr>
              <w:pStyle w:val="13"/>
            </w:pPr>
            <w:r>
              <w:t>满意度指标</w:t>
            </w:r>
          </w:p>
        </w:tc>
        <w:tc>
          <w:tcPr>
            <w:tcW w:w="2268" w:type="dxa"/>
            <w:vAlign w:val="center"/>
          </w:tcPr>
          <w:p w14:paraId="6B10DD00">
            <w:pPr>
              <w:pStyle w:val="12"/>
            </w:pPr>
            <w:r>
              <w:t>服务对象满意度指标</w:t>
            </w:r>
          </w:p>
        </w:tc>
        <w:tc>
          <w:tcPr>
            <w:tcW w:w="2835" w:type="dxa"/>
            <w:vAlign w:val="center"/>
          </w:tcPr>
          <w:p w14:paraId="372ABC6C">
            <w:pPr>
              <w:pStyle w:val="12"/>
            </w:pPr>
            <w:r>
              <w:t>服务对象满意度</w:t>
            </w:r>
          </w:p>
        </w:tc>
        <w:tc>
          <w:tcPr>
            <w:tcW w:w="5386" w:type="dxa"/>
            <w:vAlign w:val="center"/>
          </w:tcPr>
          <w:p w14:paraId="70688944">
            <w:pPr>
              <w:pStyle w:val="12"/>
            </w:pPr>
            <w:r>
              <w:t>学校老师和学生满意度</w:t>
            </w:r>
          </w:p>
        </w:tc>
        <w:tc>
          <w:tcPr>
            <w:tcW w:w="2268" w:type="dxa"/>
            <w:vAlign w:val="center"/>
          </w:tcPr>
          <w:p w14:paraId="7B1C4201">
            <w:pPr>
              <w:pStyle w:val="12"/>
            </w:pPr>
            <w:r>
              <w:t>≥95%</w:t>
            </w:r>
          </w:p>
        </w:tc>
        <w:tc>
          <w:tcPr>
            <w:tcW w:w="1276" w:type="dxa"/>
            <w:vAlign w:val="center"/>
          </w:tcPr>
          <w:p w14:paraId="5F878BEB">
            <w:pPr>
              <w:pStyle w:val="12"/>
            </w:pPr>
            <w:r>
              <w:t>群众测评</w:t>
            </w:r>
          </w:p>
        </w:tc>
      </w:tr>
    </w:tbl>
    <w:p w14:paraId="634C4CF9">
      <w:pPr>
        <w:sectPr>
          <w:pgSz w:w="16840" w:h="11900" w:orient="landscape"/>
          <w:pgMar w:top="1361" w:right="1020" w:bottom="1134" w:left="1020" w:header="720" w:footer="720" w:gutter="0"/>
          <w:cols w:space="720" w:num="1"/>
        </w:sectPr>
      </w:pPr>
    </w:p>
    <w:p w14:paraId="09CAE3A9">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3、冀财教[2025]121号/中央/2026年义教补助经费/山口校区东尚中心小学公用经费绩效目标表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4A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24FF8">
            <w:pPr>
              <w:pStyle w:val="11"/>
            </w:pPr>
            <w:r>
              <w:t>单位：万元</w:t>
            </w:r>
          </w:p>
        </w:tc>
      </w:tr>
      <w:tr w14:paraId="5413A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F5B8E">
            <w:pPr>
              <w:pStyle w:val="10"/>
            </w:pPr>
            <w:r>
              <w:t>项目编码</w:t>
            </w:r>
          </w:p>
        </w:tc>
        <w:tc>
          <w:tcPr>
            <w:tcW w:w="5103" w:type="dxa"/>
            <w:gridSpan w:val="2"/>
            <w:vAlign w:val="center"/>
          </w:tcPr>
          <w:p w14:paraId="4A8A7565">
            <w:pPr>
              <w:pStyle w:val="12"/>
            </w:pPr>
            <w:r>
              <w:t>13052526P00000410289G</w:t>
            </w:r>
          </w:p>
        </w:tc>
        <w:tc>
          <w:tcPr>
            <w:tcW w:w="2835" w:type="dxa"/>
            <w:vAlign w:val="center"/>
          </w:tcPr>
          <w:p w14:paraId="7A788274">
            <w:pPr>
              <w:pStyle w:val="10"/>
            </w:pPr>
            <w:r>
              <w:t>项目名称</w:t>
            </w:r>
          </w:p>
        </w:tc>
        <w:tc>
          <w:tcPr>
            <w:tcW w:w="6095" w:type="dxa"/>
            <w:gridSpan w:val="3"/>
            <w:vAlign w:val="center"/>
          </w:tcPr>
          <w:p w14:paraId="46E60004">
            <w:pPr>
              <w:pStyle w:val="12"/>
            </w:pPr>
            <w:r>
              <w:t>冀财教[2025]121号/中央/2026年义教补助经费/山口校区东尚中心小学公用经费</w:t>
            </w:r>
          </w:p>
        </w:tc>
      </w:tr>
      <w:tr w14:paraId="0284B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7501A">
            <w:pPr>
              <w:pStyle w:val="10"/>
            </w:pPr>
            <w:r>
              <w:t>预算规模及资金用途</w:t>
            </w:r>
          </w:p>
        </w:tc>
        <w:tc>
          <w:tcPr>
            <w:tcW w:w="2268" w:type="dxa"/>
            <w:vAlign w:val="center"/>
          </w:tcPr>
          <w:p w14:paraId="04FB0772">
            <w:pPr>
              <w:pStyle w:val="10"/>
            </w:pPr>
            <w:r>
              <w:t>预算数</w:t>
            </w:r>
          </w:p>
        </w:tc>
        <w:tc>
          <w:tcPr>
            <w:tcW w:w="2835" w:type="dxa"/>
            <w:vAlign w:val="center"/>
          </w:tcPr>
          <w:p w14:paraId="307ED2BD">
            <w:pPr>
              <w:pStyle w:val="12"/>
            </w:pPr>
            <w:r>
              <w:t>5.38</w:t>
            </w:r>
          </w:p>
        </w:tc>
        <w:tc>
          <w:tcPr>
            <w:tcW w:w="2835" w:type="dxa"/>
            <w:vAlign w:val="center"/>
          </w:tcPr>
          <w:p w14:paraId="22E2A7DF">
            <w:pPr>
              <w:pStyle w:val="10"/>
            </w:pPr>
            <w:r>
              <w:t>其中：财政    资金</w:t>
            </w:r>
          </w:p>
        </w:tc>
        <w:tc>
          <w:tcPr>
            <w:tcW w:w="2551" w:type="dxa"/>
            <w:vAlign w:val="center"/>
          </w:tcPr>
          <w:p w14:paraId="23032053">
            <w:pPr>
              <w:pStyle w:val="12"/>
            </w:pPr>
            <w:r>
              <w:t>5.38</w:t>
            </w:r>
          </w:p>
        </w:tc>
        <w:tc>
          <w:tcPr>
            <w:tcW w:w="2268" w:type="dxa"/>
            <w:vAlign w:val="center"/>
          </w:tcPr>
          <w:p w14:paraId="32B34D48">
            <w:pPr>
              <w:pStyle w:val="10"/>
            </w:pPr>
            <w:r>
              <w:t>其他资金</w:t>
            </w:r>
          </w:p>
        </w:tc>
        <w:tc>
          <w:tcPr>
            <w:tcW w:w="1276" w:type="dxa"/>
            <w:vAlign w:val="center"/>
          </w:tcPr>
          <w:p w14:paraId="0D063033">
            <w:pPr>
              <w:pStyle w:val="12"/>
            </w:pPr>
            <w:r>
              <w:t xml:space="preserve"> </w:t>
            </w:r>
          </w:p>
        </w:tc>
      </w:tr>
      <w:tr w14:paraId="5CFCE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C74D6"/>
        </w:tc>
        <w:tc>
          <w:tcPr>
            <w:tcW w:w="14033" w:type="dxa"/>
            <w:gridSpan w:val="6"/>
            <w:vAlign w:val="center"/>
          </w:tcPr>
          <w:p w14:paraId="5C35C8DE">
            <w:pPr>
              <w:pStyle w:val="12"/>
            </w:pPr>
            <w:r>
              <w:t>保障学校正常运转，完成各项教育教学活动和其他日常工作任务等方面的费用支出。</w:t>
            </w:r>
            <w:r>
              <w:tab/>
            </w:r>
            <w:r>
              <w:tab/>
            </w:r>
            <w:r>
              <w:tab/>
            </w:r>
            <w:r>
              <w:tab/>
            </w:r>
            <w:r>
              <w:tab/>
            </w:r>
            <w:r>
              <w:tab/>
            </w:r>
          </w:p>
          <w:p w14:paraId="4868E5A2">
            <w:pPr>
              <w:pStyle w:val="12"/>
            </w:pPr>
          </w:p>
        </w:tc>
      </w:tr>
      <w:tr w14:paraId="538A0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3DE3C">
            <w:pPr>
              <w:pStyle w:val="10"/>
            </w:pPr>
            <w:r>
              <w:t>资金支出计划（%）</w:t>
            </w:r>
          </w:p>
        </w:tc>
        <w:tc>
          <w:tcPr>
            <w:tcW w:w="5103" w:type="dxa"/>
            <w:gridSpan w:val="2"/>
            <w:vAlign w:val="center"/>
          </w:tcPr>
          <w:p w14:paraId="099C49BE">
            <w:pPr>
              <w:pStyle w:val="10"/>
            </w:pPr>
            <w:r>
              <w:t>3月底</w:t>
            </w:r>
          </w:p>
        </w:tc>
        <w:tc>
          <w:tcPr>
            <w:tcW w:w="2835" w:type="dxa"/>
            <w:vAlign w:val="center"/>
          </w:tcPr>
          <w:p w14:paraId="40BBA3F3">
            <w:pPr>
              <w:pStyle w:val="10"/>
            </w:pPr>
            <w:r>
              <w:t>6月底</w:t>
            </w:r>
          </w:p>
        </w:tc>
        <w:tc>
          <w:tcPr>
            <w:tcW w:w="2551" w:type="dxa"/>
            <w:vAlign w:val="center"/>
          </w:tcPr>
          <w:p w14:paraId="1FFC0F3D">
            <w:pPr>
              <w:pStyle w:val="10"/>
            </w:pPr>
            <w:r>
              <w:t>10月底</w:t>
            </w:r>
          </w:p>
        </w:tc>
        <w:tc>
          <w:tcPr>
            <w:tcW w:w="3544" w:type="dxa"/>
            <w:gridSpan w:val="2"/>
            <w:vAlign w:val="center"/>
          </w:tcPr>
          <w:p w14:paraId="7C1266CD">
            <w:pPr>
              <w:pStyle w:val="10"/>
            </w:pPr>
            <w:r>
              <w:t>12月底</w:t>
            </w:r>
          </w:p>
        </w:tc>
      </w:tr>
      <w:tr w14:paraId="3D4C4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70875"/>
        </w:tc>
        <w:tc>
          <w:tcPr>
            <w:tcW w:w="5103" w:type="dxa"/>
            <w:gridSpan w:val="2"/>
            <w:vAlign w:val="center"/>
          </w:tcPr>
          <w:p w14:paraId="4486DD6D">
            <w:pPr>
              <w:pStyle w:val="13"/>
            </w:pPr>
            <w:r>
              <w:t>25%</w:t>
            </w:r>
          </w:p>
        </w:tc>
        <w:tc>
          <w:tcPr>
            <w:tcW w:w="2835" w:type="dxa"/>
            <w:vAlign w:val="center"/>
          </w:tcPr>
          <w:p w14:paraId="00840B13">
            <w:pPr>
              <w:pStyle w:val="13"/>
            </w:pPr>
            <w:r>
              <w:t>50%</w:t>
            </w:r>
          </w:p>
        </w:tc>
        <w:tc>
          <w:tcPr>
            <w:tcW w:w="2551" w:type="dxa"/>
            <w:vAlign w:val="center"/>
          </w:tcPr>
          <w:p w14:paraId="381731B5">
            <w:pPr>
              <w:pStyle w:val="13"/>
            </w:pPr>
            <w:r>
              <w:t>75%</w:t>
            </w:r>
          </w:p>
        </w:tc>
        <w:tc>
          <w:tcPr>
            <w:tcW w:w="3544" w:type="dxa"/>
            <w:gridSpan w:val="2"/>
            <w:vAlign w:val="center"/>
          </w:tcPr>
          <w:p w14:paraId="3D388CA2">
            <w:pPr>
              <w:pStyle w:val="13"/>
            </w:pPr>
            <w:r>
              <w:t>100%</w:t>
            </w:r>
          </w:p>
        </w:tc>
      </w:tr>
      <w:tr w14:paraId="55675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64D60">
            <w:pPr>
              <w:pStyle w:val="10"/>
            </w:pPr>
            <w:r>
              <w:t>绩效目标</w:t>
            </w:r>
          </w:p>
        </w:tc>
        <w:tc>
          <w:tcPr>
            <w:tcW w:w="14033" w:type="dxa"/>
            <w:gridSpan w:val="6"/>
            <w:vAlign w:val="center"/>
          </w:tcPr>
          <w:p w14:paraId="5C11B0A6">
            <w:pPr>
              <w:pStyle w:val="12"/>
            </w:pPr>
            <w:r>
              <w:t>1.按季度分批次拨付公用经费资金，资金拨付率达到100%。</w:t>
            </w:r>
          </w:p>
          <w:p w14:paraId="1B3400BB">
            <w:pPr>
              <w:pStyle w:val="12"/>
            </w:pPr>
            <w:r>
              <w:t>2.保障学校正常运转，完成各项教育教学活动和其他日常工作任务等方面的费用支出。</w:t>
            </w:r>
          </w:p>
        </w:tc>
      </w:tr>
    </w:tbl>
    <w:p w14:paraId="437379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12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5CCA6">
            <w:pPr>
              <w:pStyle w:val="10"/>
            </w:pPr>
            <w:r>
              <w:t>一级指标</w:t>
            </w:r>
          </w:p>
        </w:tc>
        <w:tc>
          <w:tcPr>
            <w:tcW w:w="2268" w:type="dxa"/>
            <w:vAlign w:val="center"/>
          </w:tcPr>
          <w:p w14:paraId="21DD7102">
            <w:pPr>
              <w:pStyle w:val="10"/>
            </w:pPr>
            <w:r>
              <w:t>二级指标</w:t>
            </w:r>
          </w:p>
        </w:tc>
        <w:tc>
          <w:tcPr>
            <w:tcW w:w="2835" w:type="dxa"/>
            <w:vAlign w:val="center"/>
          </w:tcPr>
          <w:p w14:paraId="388608D1">
            <w:pPr>
              <w:pStyle w:val="10"/>
            </w:pPr>
            <w:r>
              <w:t>三级指标</w:t>
            </w:r>
          </w:p>
        </w:tc>
        <w:tc>
          <w:tcPr>
            <w:tcW w:w="5386" w:type="dxa"/>
            <w:vAlign w:val="center"/>
          </w:tcPr>
          <w:p w14:paraId="441D329A">
            <w:pPr>
              <w:pStyle w:val="10"/>
            </w:pPr>
            <w:r>
              <w:t>绩效指标描述</w:t>
            </w:r>
          </w:p>
        </w:tc>
        <w:tc>
          <w:tcPr>
            <w:tcW w:w="2268" w:type="dxa"/>
            <w:vAlign w:val="center"/>
          </w:tcPr>
          <w:p w14:paraId="2A2F7A2E">
            <w:pPr>
              <w:pStyle w:val="10"/>
            </w:pPr>
            <w:r>
              <w:t>指标值</w:t>
            </w:r>
          </w:p>
        </w:tc>
        <w:tc>
          <w:tcPr>
            <w:tcW w:w="1276" w:type="dxa"/>
            <w:vAlign w:val="center"/>
          </w:tcPr>
          <w:p w14:paraId="472B3F07">
            <w:pPr>
              <w:pStyle w:val="10"/>
            </w:pPr>
            <w:r>
              <w:t>指标值确定依据</w:t>
            </w:r>
          </w:p>
        </w:tc>
      </w:tr>
      <w:tr w14:paraId="724F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8DEB2">
            <w:pPr>
              <w:pStyle w:val="13"/>
            </w:pPr>
            <w:r>
              <w:t>产出指标</w:t>
            </w:r>
          </w:p>
        </w:tc>
        <w:tc>
          <w:tcPr>
            <w:tcW w:w="2268" w:type="dxa"/>
            <w:vAlign w:val="center"/>
          </w:tcPr>
          <w:p w14:paraId="6B999D25">
            <w:pPr>
              <w:pStyle w:val="12"/>
            </w:pPr>
            <w:r>
              <w:t>数量指标</w:t>
            </w:r>
          </w:p>
        </w:tc>
        <w:tc>
          <w:tcPr>
            <w:tcW w:w="2835" w:type="dxa"/>
            <w:vAlign w:val="center"/>
          </w:tcPr>
          <w:p w14:paraId="33F7CBFE">
            <w:pPr>
              <w:pStyle w:val="12"/>
            </w:pPr>
            <w:r>
              <w:t>就读学生数</w:t>
            </w:r>
          </w:p>
        </w:tc>
        <w:tc>
          <w:tcPr>
            <w:tcW w:w="5386" w:type="dxa"/>
            <w:vAlign w:val="center"/>
          </w:tcPr>
          <w:p w14:paraId="519FC9BE">
            <w:pPr>
              <w:pStyle w:val="12"/>
            </w:pPr>
            <w:r>
              <w:t>辐射区域内适龄学生人数</w:t>
            </w:r>
          </w:p>
        </w:tc>
        <w:tc>
          <w:tcPr>
            <w:tcW w:w="2268" w:type="dxa"/>
            <w:vAlign w:val="center"/>
          </w:tcPr>
          <w:p w14:paraId="78FC38EF">
            <w:pPr>
              <w:pStyle w:val="12"/>
            </w:pPr>
            <w:r>
              <w:t>101人</w:t>
            </w:r>
          </w:p>
        </w:tc>
        <w:tc>
          <w:tcPr>
            <w:tcW w:w="1276" w:type="dxa"/>
            <w:vAlign w:val="center"/>
          </w:tcPr>
          <w:p w14:paraId="630662B1">
            <w:pPr>
              <w:pStyle w:val="12"/>
            </w:pPr>
            <w:r>
              <w:t>城乡义务教育公用经费管理办法</w:t>
            </w:r>
          </w:p>
        </w:tc>
      </w:tr>
      <w:tr w14:paraId="726F3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FD06F"/>
        </w:tc>
        <w:tc>
          <w:tcPr>
            <w:tcW w:w="2268" w:type="dxa"/>
            <w:vAlign w:val="center"/>
          </w:tcPr>
          <w:p w14:paraId="11938D4B">
            <w:pPr>
              <w:pStyle w:val="12"/>
            </w:pPr>
            <w:r>
              <w:t>质量指标</w:t>
            </w:r>
          </w:p>
        </w:tc>
        <w:tc>
          <w:tcPr>
            <w:tcW w:w="2835" w:type="dxa"/>
            <w:vAlign w:val="center"/>
          </w:tcPr>
          <w:p w14:paraId="31B2A6EC">
            <w:pPr>
              <w:pStyle w:val="12"/>
            </w:pPr>
            <w:r>
              <w:t>预算执行率</w:t>
            </w:r>
          </w:p>
        </w:tc>
        <w:tc>
          <w:tcPr>
            <w:tcW w:w="5386" w:type="dxa"/>
            <w:vAlign w:val="center"/>
          </w:tcPr>
          <w:p w14:paraId="6BF921FB">
            <w:pPr>
              <w:pStyle w:val="12"/>
            </w:pPr>
            <w:r>
              <w:t>预算执行率</w:t>
            </w:r>
          </w:p>
        </w:tc>
        <w:tc>
          <w:tcPr>
            <w:tcW w:w="2268" w:type="dxa"/>
            <w:vAlign w:val="center"/>
          </w:tcPr>
          <w:p w14:paraId="7C66C7A2">
            <w:pPr>
              <w:pStyle w:val="12"/>
            </w:pPr>
            <w:r>
              <w:t>≥95%</w:t>
            </w:r>
          </w:p>
        </w:tc>
        <w:tc>
          <w:tcPr>
            <w:tcW w:w="1276" w:type="dxa"/>
            <w:vAlign w:val="center"/>
          </w:tcPr>
          <w:p w14:paraId="066F983D">
            <w:pPr>
              <w:pStyle w:val="12"/>
            </w:pPr>
            <w:r>
              <w:t>城乡义务教育公用经费管理办法</w:t>
            </w:r>
          </w:p>
        </w:tc>
      </w:tr>
      <w:tr w14:paraId="6E6C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FF763"/>
        </w:tc>
        <w:tc>
          <w:tcPr>
            <w:tcW w:w="2268" w:type="dxa"/>
            <w:vAlign w:val="center"/>
          </w:tcPr>
          <w:p w14:paraId="01E8C62D">
            <w:pPr>
              <w:pStyle w:val="12"/>
            </w:pPr>
            <w:r>
              <w:t>时效指标</w:t>
            </w:r>
          </w:p>
        </w:tc>
        <w:tc>
          <w:tcPr>
            <w:tcW w:w="2835" w:type="dxa"/>
            <w:vAlign w:val="center"/>
          </w:tcPr>
          <w:p w14:paraId="3ED69EE9">
            <w:pPr>
              <w:pStyle w:val="12"/>
            </w:pPr>
            <w:r>
              <w:t>义教经费支付完成率</w:t>
            </w:r>
          </w:p>
        </w:tc>
        <w:tc>
          <w:tcPr>
            <w:tcW w:w="5386" w:type="dxa"/>
            <w:vAlign w:val="center"/>
          </w:tcPr>
          <w:p w14:paraId="508101C5">
            <w:pPr>
              <w:pStyle w:val="12"/>
            </w:pPr>
            <w:r>
              <w:t>按照序时进度完成资金支付</w:t>
            </w:r>
          </w:p>
        </w:tc>
        <w:tc>
          <w:tcPr>
            <w:tcW w:w="2268" w:type="dxa"/>
            <w:vAlign w:val="center"/>
          </w:tcPr>
          <w:p w14:paraId="0E17CB1D">
            <w:pPr>
              <w:pStyle w:val="12"/>
            </w:pPr>
            <w:r>
              <w:t>100%</w:t>
            </w:r>
          </w:p>
        </w:tc>
        <w:tc>
          <w:tcPr>
            <w:tcW w:w="1276" w:type="dxa"/>
            <w:vAlign w:val="center"/>
          </w:tcPr>
          <w:p w14:paraId="04185488">
            <w:pPr>
              <w:pStyle w:val="12"/>
            </w:pPr>
            <w:r>
              <w:t>城乡义务教育公用经费管理办法</w:t>
            </w:r>
          </w:p>
        </w:tc>
      </w:tr>
      <w:tr w14:paraId="2A3C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8DB1"/>
        </w:tc>
        <w:tc>
          <w:tcPr>
            <w:tcW w:w="2268" w:type="dxa"/>
            <w:vAlign w:val="center"/>
          </w:tcPr>
          <w:p w14:paraId="4A86595F">
            <w:pPr>
              <w:pStyle w:val="12"/>
            </w:pPr>
            <w:r>
              <w:t>成本指标</w:t>
            </w:r>
          </w:p>
        </w:tc>
        <w:tc>
          <w:tcPr>
            <w:tcW w:w="2835" w:type="dxa"/>
            <w:vAlign w:val="center"/>
          </w:tcPr>
          <w:p w14:paraId="7702B0C8">
            <w:pPr>
              <w:pStyle w:val="12"/>
            </w:pPr>
            <w:r>
              <w:t>生均拨款标准</w:t>
            </w:r>
          </w:p>
        </w:tc>
        <w:tc>
          <w:tcPr>
            <w:tcW w:w="5386" w:type="dxa"/>
            <w:vAlign w:val="center"/>
          </w:tcPr>
          <w:p w14:paraId="5584C3BA">
            <w:pPr>
              <w:pStyle w:val="12"/>
            </w:pPr>
            <w:r>
              <w:t>小学生公用经费生均公用经费基准定额为720元/年/生，取暖费120元/年/生，住宿生补助300元/年/生的标准，随班就读学生补助7000元/生/年</w:t>
            </w:r>
          </w:p>
        </w:tc>
        <w:tc>
          <w:tcPr>
            <w:tcW w:w="2268" w:type="dxa"/>
            <w:vAlign w:val="center"/>
          </w:tcPr>
          <w:p w14:paraId="1150F47F">
            <w:pPr>
              <w:pStyle w:val="12"/>
            </w:pPr>
            <w:r>
              <w:t>840元</w:t>
            </w:r>
          </w:p>
        </w:tc>
        <w:tc>
          <w:tcPr>
            <w:tcW w:w="1276" w:type="dxa"/>
            <w:vAlign w:val="center"/>
          </w:tcPr>
          <w:p w14:paraId="7F340A08">
            <w:pPr>
              <w:pStyle w:val="12"/>
            </w:pPr>
            <w:r>
              <w:t>城乡义务教育公用经费管理办法</w:t>
            </w:r>
          </w:p>
        </w:tc>
      </w:tr>
      <w:tr w14:paraId="68C8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A398B">
            <w:pPr>
              <w:pStyle w:val="13"/>
            </w:pPr>
            <w:r>
              <w:t>效益指标</w:t>
            </w:r>
          </w:p>
        </w:tc>
        <w:tc>
          <w:tcPr>
            <w:tcW w:w="2268" w:type="dxa"/>
            <w:vAlign w:val="center"/>
          </w:tcPr>
          <w:p w14:paraId="67B52489">
            <w:pPr>
              <w:pStyle w:val="12"/>
            </w:pPr>
            <w:r>
              <w:t>可持续影响指标</w:t>
            </w:r>
          </w:p>
        </w:tc>
        <w:tc>
          <w:tcPr>
            <w:tcW w:w="2835" w:type="dxa"/>
            <w:vAlign w:val="center"/>
          </w:tcPr>
          <w:p w14:paraId="44E88563">
            <w:pPr>
              <w:pStyle w:val="12"/>
            </w:pPr>
            <w:r>
              <w:t>学校运转得到提高</w:t>
            </w:r>
          </w:p>
        </w:tc>
        <w:tc>
          <w:tcPr>
            <w:tcW w:w="5386" w:type="dxa"/>
            <w:vAlign w:val="center"/>
          </w:tcPr>
          <w:p w14:paraId="7229ADED">
            <w:pPr>
              <w:pStyle w:val="12"/>
            </w:pPr>
            <w:r>
              <w:t>学生受教育年限</w:t>
            </w:r>
          </w:p>
        </w:tc>
        <w:tc>
          <w:tcPr>
            <w:tcW w:w="2268" w:type="dxa"/>
            <w:vAlign w:val="center"/>
          </w:tcPr>
          <w:p w14:paraId="1D9FC001">
            <w:pPr>
              <w:pStyle w:val="12"/>
            </w:pPr>
            <w:r>
              <w:t>6年</w:t>
            </w:r>
          </w:p>
        </w:tc>
        <w:tc>
          <w:tcPr>
            <w:tcW w:w="1276" w:type="dxa"/>
            <w:vAlign w:val="center"/>
          </w:tcPr>
          <w:p w14:paraId="6DC6DCD0">
            <w:pPr>
              <w:pStyle w:val="12"/>
            </w:pPr>
            <w:r>
              <w:t>城乡义务教育公用经费管理办法</w:t>
            </w:r>
          </w:p>
        </w:tc>
      </w:tr>
      <w:tr w14:paraId="6582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26DD9">
            <w:pPr>
              <w:pStyle w:val="13"/>
            </w:pPr>
            <w:r>
              <w:t>满意度指标</w:t>
            </w:r>
          </w:p>
        </w:tc>
        <w:tc>
          <w:tcPr>
            <w:tcW w:w="2268" w:type="dxa"/>
            <w:vAlign w:val="center"/>
          </w:tcPr>
          <w:p w14:paraId="4E8FC748">
            <w:pPr>
              <w:pStyle w:val="12"/>
            </w:pPr>
            <w:r>
              <w:t>服务对象满意度指标</w:t>
            </w:r>
          </w:p>
        </w:tc>
        <w:tc>
          <w:tcPr>
            <w:tcW w:w="2835" w:type="dxa"/>
            <w:vAlign w:val="center"/>
          </w:tcPr>
          <w:p w14:paraId="09981506">
            <w:pPr>
              <w:pStyle w:val="12"/>
            </w:pPr>
            <w:r>
              <w:t>服务对象满意度</w:t>
            </w:r>
          </w:p>
        </w:tc>
        <w:tc>
          <w:tcPr>
            <w:tcW w:w="5386" w:type="dxa"/>
            <w:vAlign w:val="center"/>
          </w:tcPr>
          <w:p w14:paraId="48E71B3F">
            <w:pPr>
              <w:pStyle w:val="12"/>
            </w:pPr>
            <w:r>
              <w:t>学校老师和学生满意度</w:t>
            </w:r>
          </w:p>
        </w:tc>
        <w:tc>
          <w:tcPr>
            <w:tcW w:w="2268" w:type="dxa"/>
            <w:vAlign w:val="center"/>
          </w:tcPr>
          <w:p w14:paraId="79BDA365">
            <w:pPr>
              <w:pStyle w:val="12"/>
            </w:pPr>
            <w:r>
              <w:t>≥95%</w:t>
            </w:r>
          </w:p>
        </w:tc>
        <w:tc>
          <w:tcPr>
            <w:tcW w:w="1276" w:type="dxa"/>
            <w:vAlign w:val="center"/>
          </w:tcPr>
          <w:p w14:paraId="3D8C443C">
            <w:pPr>
              <w:pStyle w:val="12"/>
            </w:pPr>
            <w:r>
              <w:t>群众测评</w:t>
            </w:r>
          </w:p>
        </w:tc>
      </w:tr>
    </w:tbl>
    <w:p w14:paraId="33AB0311">
      <w:pPr>
        <w:sectPr>
          <w:pgSz w:w="16840" w:h="11900" w:orient="landscape"/>
          <w:pgMar w:top="1361" w:right="1020" w:bottom="1134" w:left="1020" w:header="720" w:footer="720" w:gutter="0"/>
          <w:cols w:space="720" w:num="1"/>
        </w:sectPr>
      </w:pPr>
    </w:p>
    <w:p w14:paraId="69C3FB60">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4、冀财教[2025]121号/中央/2026年义教补助经费/山口校区后庄中心小学公用经费绩效目标表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2F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BE3FE">
            <w:pPr>
              <w:pStyle w:val="11"/>
            </w:pPr>
            <w:r>
              <w:t>单位：万元</w:t>
            </w:r>
          </w:p>
        </w:tc>
      </w:tr>
      <w:tr w14:paraId="359A0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E8760">
            <w:pPr>
              <w:pStyle w:val="10"/>
            </w:pPr>
            <w:r>
              <w:t>项目编码</w:t>
            </w:r>
          </w:p>
        </w:tc>
        <w:tc>
          <w:tcPr>
            <w:tcW w:w="5103" w:type="dxa"/>
            <w:gridSpan w:val="2"/>
            <w:vAlign w:val="center"/>
          </w:tcPr>
          <w:p w14:paraId="2F16970F">
            <w:pPr>
              <w:pStyle w:val="12"/>
            </w:pPr>
            <w:r>
              <w:t>13052526P00000410290U</w:t>
            </w:r>
          </w:p>
        </w:tc>
        <w:tc>
          <w:tcPr>
            <w:tcW w:w="2835" w:type="dxa"/>
            <w:vAlign w:val="center"/>
          </w:tcPr>
          <w:p w14:paraId="45A7A03C">
            <w:pPr>
              <w:pStyle w:val="10"/>
            </w:pPr>
            <w:r>
              <w:t>项目名称</w:t>
            </w:r>
          </w:p>
        </w:tc>
        <w:tc>
          <w:tcPr>
            <w:tcW w:w="6095" w:type="dxa"/>
            <w:gridSpan w:val="3"/>
            <w:vAlign w:val="center"/>
          </w:tcPr>
          <w:p w14:paraId="703B1FAD">
            <w:pPr>
              <w:pStyle w:val="12"/>
            </w:pPr>
            <w:r>
              <w:t>冀财教[2025]121号/中央/2026年义教补助经费/山口校区后庄中心小学公用经费</w:t>
            </w:r>
          </w:p>
        </w:tc>
      </w:tr>
      <w:tr w14:paraId="0153E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37465">
            <w:pPr>
              <w:pStyle w:val="10"/>
            </w:pPr>
            <w:r>
              <w:t>预算规模及资金用途</w:t>
            </w:r>
          </w:p>
        </w:tc>
        <w:tc>
          <w:tcPr>
            <w:tcW w:w="2268" w:type="dxa"/>
            <w:vAlign w:val="center"/>
          </w:tcPr>
          <w:p w14:paraId="396DF853">
            <w:pPr>
              <w:pStyle w:val="10"/>
            </w:pPr>
            <w:r>
              <w:t>预算数</w:t>
            </w:r>
          </w:p>
        </w:tc>
        <w:tc>
          <w:tcPr>
            <w:tcW w:w="2835" w:type="dxa"/>
            <w:vAlign w:val="center"/>
          </w:tcPr>
          <w:p w14:paraId="0E13B388">
            <w:pPr>
              <w:pStyle w:val="12"/>
            </w:pPr>
            <w:r>
              <w:t>5.66</w:t>
            </w:r>
          </w:p>
        </w:tc>
        <w:tc>
          <w:tcPr>
            <w:tcW w:w="2835" w:type="dxa"/>
            <w:vAlign w:val="center"/>
          </w:tcPr>
          <w:p w14:paraId="524F1A6A">
            <w:pPr>
              <w:pStyle w:val="10"/>
            </w:pPr>
            <w:r>
              <w:t>其中：财政    资金</w:t>
            </w:r>
          </w:p>
        </w:tc>
        <w:tc>
          <w:tcPr>
            <w:tcW w:w="2551" w:type="dxa"/>
            <w:vAlign w:val="center"/>
          </w:tcPr>
          <w:p w14:paraId="3D0AC052">
            <w:pPr>
              <w:pStyle w:val="12"/>
            </w:pPr>
            <w:r>
              <w:t>5.66</w:t>
            </w:r>
          </w:p>
        </w:tc>
        <w:tc>
          <w:tcPr>
            <w:tcW w:w="2268" w:type="dxa"/>
            <w:vAlign w:val="center"/>
          </w:tcPr>
          <w:p w14:paraId="05C85957">
            <w:pPr>
              <w:pStyle w:val="10"/>
            </w:pPr>
            <w:r>
              <w:t>其他资金</w:t>
            </w:r>
          </w:p>
        </w:tc>
        <w:tc>
          <w:tcPr>
            <w:tcW w:w="1276" w:type="dxa"/>
            <w:vAlign w:val="center"/>
          </w:tcPr>
          <w:p w14:paraId="1F8216A6">
            <w:pPr>
              <w:pStyle w:val="12"/>
            </w:pPr>
            <w:r>
              <w:t xml:space="preserve"> </w:t>
            </w:r>
          </w:p>
        </w:tc>
      </w:tr>
      <w:tr w14:paraId="0FD2C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E2110"/>
        </w:tc>
        <w:tc>
          <w:tcPr>
            <w:tcW w:w="14033" w:type="dxa"/>
            <w:gridSpan w:val="6"/>
            <w:vAlign w:val="center"/>
          </w:tcPr>
          <w:p w14:paraId="27AB8C3E">
            <w:pPr>
              <w:pStyle w:val="12"/>
            </w:pPr>
            <w:r>
              <w:t>保障学校正常运转，完成各项教育教学活动和其他日常工作任务等方面的费用支出。</w:t>
            </w:r>
            <w:r>
              <w:tab/>
            </w:r>
            <w:r>
              <w:tab/>
            </w:r>
            <w:r>
              <w:tab/>
            </w:r>
            <w:r>
              <w:tab/>
            </w:r>
            <w:r>
              <w:tab/>
            </w:r>
            <w:r>
              <w:tab/>
            </w:r>
          </w:p>
          <w:p w14:paraId="34464830">
            <w:pPr>
              <w:pStyle w:val="12"/>
            </w:pPr>
          </w:p>
        </w:tc>
      </w:tr>
      <w:tr w14:paraId="28C1A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8FA45">
            <w:pPr>
              <w:pStyle w:val="10"/>
            </w:pPr>
            <w:r>
              <w:t>资金支出计划（%）</w:t>
            </w:r>
          </w:p>
        </w:tc>
        <w:tc>
          <w:tcPr>
            <w:tcW w:w="5103" w:type="dxa"/>
            <w:gridSpan w:val="2"/>
            <w:vAlign w:val="center"/>
          </w:tcPr>
          <w:p w14:paraId="6CEDFDAC">
            <w:pPr>
              <w:pStyle w:val="10"/>
            </w:pPr>
            <w:r>
              <w:t>3月底</w:t>
            </w:r>
          </w:p>
        </w:tc>
        <w:tc>
          <w:tcPr>
            <w:tcW w:w="2835" w:type="dxa"/>
            <w:vAlign w:val="center"/>
          </w:tcPr>
          <w:p w14:paraId="1423D9DA">
            <w:pPr>
              <w:pStyle w:val="10"/>
            </w:pPr>
            <w:r>
              <w:t>6月底</w:t>
            </w:r>
          </w:p>
        </w:tc>
        <w:tc>
          <w:tcPr>
            <w:tcW w:w="2551" w:type="dxa"/>
            <w:vAlign w:val="center"/>
          </w:tcPr>
          <w:p w14:paraId="0F2464CB">
            <w:pPr>
              <w:pStyle w:val="10"/>
            </w:pPr>
            <w:r>
              <w:t>10月底</w:t>
            </w:r>
          </w:p>
        </w:tc>
        <w:tc>
          <w:tcPr>
            <w:tcW w:w="3544" w:type="dxa"/>
            <w:gridSpan w:val="2"/>
            <w:vAlign w:val="center"/>
          </w:tcPr>
          <w:p w14:paraId="03695D24">
            <w:pPr>
              <w:pStyle w:val="10"/>
            </w:pPr>
            <w:r>
              <w:t>12月底</w:t>
            </w:r>
          </w:p>
        </w:tc>
      </w:tr>
      <w:tr w14:paraId="1D37D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9CCF9"/>
        </w:tc>
        <w:tc>
          <w:tcPr>
            <w:tcW w:w="5103" w:type="dxa"/>
            <w:gridSpan w:val="2"/>
            <w:vAlign w:val="center"/>
          </w:tcPr>
          <w:p w14:paraId="3F0C375B">
            <w:pPr>
              <w:pStyle w:val="13"/>
            </w:pPr>
            <w:r>
              <w:t>25%</w:t>
            </w:r>
          </w:p>
        </w:tc>
        <w:tc>
          <w:tcPr>
            <w:tcW w:w="2835" w:type="dxa"/>
            <w:vAlign w:val="center"/>
          </w:tcPr>
          <w:p w14:paraId="6A520D98">
            <w:pPr>
              <w:pStyle w:val="13"/>
            </w:pPr>
            <w:r>
              <w:t>50%</w:t>
            </w:r>
          </w:p>
        </w:tc>
        <w:tc>
          <w:tcPr>
            <w:tcW w:w="2551" w:type="dxa"/>
            <w:vAlign w:val="center"/>
          </w:tcPr>
          <w:p w14:paraId="7272F551">
            <w:pPr>
              <w:pStyle w:val="13"/>
            </w:pPr>
            <w:r>
              <w:t>75%</w:t>
            </w:r>
          </w:p>
        </w:tc>
        <w:tc>
          <w:tcPr>
            <w:tcW w:w="3544" w:type="dxa"/>
            <w:gridSpan w:val="2"/>
            <w:vAlign w:val="center"/>
          </w:tcPr>
          <w:p w14:paraId="2CABB0C5">
            <w:pPr>
              <w:pStyle w:val="13"/>
            </w:pPr>
            <w:r>
              <w:t>100%</w:t>
            </w:r>
          </w:p>
        </w:tc>
      </w:tr>
      <w:tr w14:paraId="3B623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BD7C5">
            <w:pPr>
              <w:pStyle w:val="10"/>
            </w:pPr>
            <w:r>
              <w:t>绩效目标</w:t>
            </w:r>
          </w:p>
        </w:tc>
        <w:tc>
          <w:tcPr>
            <w:tcW w:w="14033" w:type="dxa"/>
            <w:gridSpan w:val="6"/>
            <w:vAlign w:val="center"/>
          </w:tcPr>
          <w:p w14:paraId="24BB6B89">
            <w:pPr>
              <w:pStyle w:val="12"/>
            </w:pPr>
            <w:r>
              <w:t>1.按季度分批次拨付公用经费资金，资金拨付率达到100%。</w:t>
            </w:r>
          </w:p>
          <w:p w14:paraId="6FA68CEF">
            <w:pPr>
              <w:pStyle w:val="12"/>
            </w:pPr>
            <w:r>
              <w:t>2.保障学校正常运转，完成各项教育教学活动和其他日常工作任务等方面的费用支出。</w:t>
            </w:r>
          </w:p>
        </w:tc>
      </w:tr>
    </w:tbl>
    <w:p w14:paraId="265B61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E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1E278">
            <w:pPr>
              <w:pStyle w:val="10"/>
            </w:pPr>
            <w:r>
              <w:t>一级指标</w:t>
            </w:r>
          </w:p>
        </w:tc>
        <w:tc>
          <w:tcPr>
            <w:tcW w:w="2268" w:type="dxa"/>
            <w:vAlign w:val="center"/>
          </w:tcPr>
          <w:p w14:paraId="1296BDEB">
            <w:pPr>
              <w:pStyle w:val="10"/>
            </w:pPr>
            <w:r>
              <w:t>二级指标</w:t>
            </w:r>
          </w:p>
        </w:tc>
        <w:tc>
          <w:tcPr>
            <w:tcW w:w="2835" w:type="dxa"/>
            <w:vAlign w:val="center"/>
          </w:tcPr>
          <w:p w14:paraId="40155B9C">
            <w:pPr>
              <w:pStyle w:val="10"/>
            </w:pPr>
            <w:r>
              <w:t>三级指标</w:t>
            </w:r>
          </w:p>
        </w:tc>
        <w:tc>
          <w:tcPr>
            <w:tcW w:w="5386" w:type="dxa"/>
            <w:vAlign w:val="center"/>
          </w:tcPr>
          <w:p w14:paraId="2B7B0A44">
            <w:pPr>
              <w:pStyle w:val="10"/>
            </w:pPr>
            <w:r>
              <w:t>绩效指标描述</w:t>
            </w:r>
          </w:p>
        </w:tc>
        <w:tc>
          <w:tcPr>
            <w:tcW w:w="2268" w:type="dxa"/>
            <w:vAlign w:val="center"/>
          </w:tcPr>
          <w:p w14:paraId="7ADEE65D">
            <w:pPr>
              <w:pStyle w:val="10"/>
            </w:pPr>
            <w:r>
              <w:t>指标值</w:t>
            </w:r>
          </w:p>
        </w:tc>
        <w:tc>
          <w:tcPr>
            <w:tcW w:w="1276" w:type="dxa"/>
            <w:vAlign w:val="center"/>
          </w:tcPr>
          <w:p w14:paraId="7F1B6761">
            <w:pPr>
              <w:pStyle w:val="10"/>
            </w:pPr>
            <w:r>
              <w:t>指标值确定依据</w:t>
            </w:r>
          </w:p>
        </w:tc>
      </w:tr>
      <w:tr w14:paraId="733A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BD6E7">
            <w:pPr>
              <w:pStyle w:val="13"/>
            </w:pPr>
            <w:r>
              <w:t>产出指标</w:t>
            </w:r>
          </w:p>
        </w:tc>
        <w:tc>
          <w:tcPr>
            <w:tcW w:w="2268" w:type="dxa"/>
            <w:vAlign w:val="center"/>
          </w:tcPr>
          <w:p w14:paraId="52F55907">
            <w:pPr>
              <w:pStyle w:val="12"/>
            </w:pPr>
            <w:r>
              <w:t>数量指标</w:t>
            </w:r>
          </w:p>
        </w:tc>
        <w:tc>
          <w:tcPr>
            <w:tcW w:w="2835" w:type="dxa"/>
            <w:vAlign w:val="center"/>
          </w:tcPr>
          <w:p w14:paraId="3AAE2C3F">
            <w:pPr>
              <w:pStyle w:val="12"/>
            </w:pPr>
            <w:r>
              <w:t>就读学生数</w:t>
            </w:r>
          </w:p>
        </w:tc>
        <w:tc>
          <w:tcPr>
            <w:tcW w:w="5386" w:type="dxa"/>
            <w:vAlign w:val="center"/>
          </w:tcPr>
          <w:p w14:paraId="4F16829E">
            <w:pPr>
              <w:pStyle w:val="12"/>
            </w:pPr>
            <w:r>
              <w:t>辐射区域内适龄学生人数</w:t>
            </w:r>
          </w:p>
        </w:tc>
        <w:tc>
          <w:tcPr>
            <w:tcW w:w="2268" w:type="dxa"/>
            <w:vAlign w:val="center"/>
          </w:tcPr>
          <w:p w14:paraId="294B3BD8">
            <w:pPr>
              <w:pStyle w:val="12"/>
            </w:pPr>
            <w:r>
              <w:t>100人</w:t>
            </w:r>
          </w:p>
        </w:tc>
        <w:tc>
          <w:tcPr>
            <w:tcW w:w="1276" w:type="dxa"/>
            <w:vAlign w:val="center"/>
          </w:tcPr>
          <w:p w14:paraId="7DE4BDF7">
            <w:pPr>
              <w:pStyle w:val="12"/>
            </w:pPr>
            <w:r>
              <w:t>城乡义务教育公用经费管理办法</w:t>
            </w:r>
          </w:p>
        </w:tc>
      </w:tr>
      <w:tr w14:paraId="2DB3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5E6F7"/>
        </w:tc>
        <w:tc>
          <w:tcPr>
            <w:tcW w:w="2268" w:type="dxa"/>
            <w:vAlign w:val="center"/>
          </w:tcPr>
          <w:p w14:paraId="154401F8">
            <w:pPr>
              <w:pStyle w:val="12"/>
            </w:pPr>
            <w:r>
              <w:t>质量指标</w:t>
            </w:r>
          </w:p>
        </w:tc>
        <w:tc>
          <w:tcPr>
            <w:tcW w:w="2835" w:type="dxa"/>
            <w:vAlign w:val="center"/>
          </w:tcPr>
          <w:p w14:paraId="6CC79E43">
            <w:pPr>
              <w:pStyle w:val="12"/>
            </w:pPr>
            <w:r>
              <w:t>预算执行率</w:t>
            </w:r>
          </w:p>
        </w:tc>
        <w:tc>
          <w:tcPr>
            <w:tcW w:w="5386" w:type="dxa"/>
            <w:vAlign w:val="center"/>
          </w:tcPr>
          <w:p w14:paraId="079CAC3D">
            <w:pPr>
              <w:pStyle w:val="12"/>
            </w:pPr>
            <w:r>
              <w:t>预算执行率</w:t>
            </w:r>
          </w:p>
        </w:tc>
        <w:tc>
          <w:tcPr>
            <w:tcW w:w="2268" w:type="dxa"/>
            <w:vAlign w:val="center"/>
          </w:tcPr>
          <w:p w14:paraId="6E645643">
            <w:pPr>
              <w:pStyle w:val="12"/>
            </w:pPr>
            <w:r>
              <w:t>≥95%</w:t>
            </w:r>
          </w:p>
        </w:tc>
        <w:tc>
          <w:tcPr>
            <w:tcW w:w="1276" w:type="dxa"/>
            <w:vAlign w:val="center"/>
          </w:tcPr>
          <w:p w14:paraId="3A221FFD">
            <w:pPr>
              <w:pStyle w:val="12"/>
            </w:pPr>
            <w:r>
              <w:t>城乡义务教育公用经费管理办法</w:t>
            </w:r>
          </w:p>
        </w:tc>
      </w:tr>
      <w:tr w14:paraId="7E80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66E66"/>
        </w:tc>
        <w:tc>
          <w:tcPr>
            <w:tcW w:w="2268" w:type="dxa"/>
            <w:vAlign w:val="center"/>
          </w:tcPr>
          <w:p w14:paraId="62892990">
            <w:pPr>
              <w:pStyle w:val="12"/>
            </w:pPr>
            <w:r>
              <w:t>时效指标</w:t>
            </w:r>
          </w:p>
        </w:tc>
        <w:tc>
          <w:tcPr>
            <w:tcW w:w="2835" w:type="dxa"/>
            <w:vAlign w:val="center"/>
          </w:tcPr>
          <w:p w14:paraId="34035E0C">
            <w:pPr>
              <w:pStyle w:val="12"/>
            </w:pPr>
            <w:r>
              <w:t>义教经费支付完成率</w:t>
            </w:r>
          </w:p>
        </w:tc>
        <w:tc>
          <w:tcPr>
            <w:tcW w:w="5386" w:type="dxa"/>
            <w:vAlign w:val="center"/>
          </w:tcPr>
          <w:p w14:paraId="0526916D">
            <w:pPr>
              <w:pStyle w:val="12"/>
            </w:pPr>
            <w:r>
              <w:t>按照序时进度完成资金支付</w:t>
            </w:r>
          </w:p>
        </w:tc>
        <w:tc>
          <w:tcPr>
            <w:tcW w:w="2268" w:type="dxa"/>
            <w:vAlign w:val="center"/>
          </w:tcPr>
          <w:p w14:paraId="74C7D76F">
            <w:pPr>
              <w:pStyle w:val="12"/>
            </w:pPr>
            <w:r>
              <w:t>100%</w:t>
            </w:r>
          </w:p>
        </w:tc>
        <w:tc>
          <w:tcPr>
            <w:tcW w:w="1276" w:type="dxa"/>
            <w:vAlign w:val="center"/>
          </w:tcPr>
          <w:p w14:paraId="4B513BC1">
            <w:pPr>
              <w:pStyle w:val="12"/>
            </w:pPr>
            <w:r>
              <w:t>城乡义务教育公用经费管理办法</w:t>
            </w:r>
          </w:p>
        </w:tc>
      </w:tr>
      <w:tr w14:paraId="5471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3E1E3"/>
        </w:tc>
        <w:tc>
          <w:tcPr>
            <w:tcW w:w="2268" w:type="dxa"/>
            <w:vAlign w:val="center"/>
          </w:tcPr>
          <w:p w14:paraId="48AD9D04">
            <w:pPr>
              <w:pStyle w:val="12"/>
            </w:pPr>
            <w:r>
              <w:t>成本指标</w:t>
            </w:r>
          </w:p>
        </w:tc>
        <w:tc>
          <w:tcPr>
            <w:tcW w:w="2835" w:type="dxa"/>
            <w:vAlign w:val="center"/>
          </w:tcPr>
          <w:p w14:paraId="433F57B1">
            <w:pPr>
              <w:pStyle w:val="12"/>
            </w:pPr>
            <w:r>
              <w:t>生均拨款标准</w:t>
            </w:r>
          </w:p>
        </w:tc>
        <w:tc>
          <w:tcPr>
            <w:tcW w:w="5386" w:type="dxa"/>
            <w:vAlign w:val="center"/>
          </w:tcPr>
          <w:p w14:paraId="602C7590">
            <w:pPr>
              <w:pStyle w:val="12"/>
            </w:pPr>
            <w:r>
              <w:t>小学生公用经费生均公用经费基准定额为720元/年/生，取暖费120元/年/生，住宿生补助300元/年/生的标准，随班就读学生补助7000元/生/年</w:t>
            </w:r>
          </w:p>
        </w:tc>
        <w:tc>
          <w:tcPr>
            <w:tcW w:w="2268" w:type="dxa"/>
            <w:vAlign w:val="center"/>
          </w:tcPr>
          <w:p w14:paraId="51AD6660">
            <w:pPr>
              <w:pStyle w:val="12"/>
            </w:pPr>
            <w:r>
              <w:t>840元</w:t>
            </w:r>
          </w:p>
        </w:tc>
        <w:tc>
          <w:tcPr>
            <w:tcW w:w="1276" w:type="dxa"/>
            <w:vAlign w:val="center"/>
          </w:tcPr>
          <w:p w14:paraId="28B1F12A">
            <w:pPr>
              <w:pStyle w:val="12"/>
            </w:pPr>
            <w:r>
              <w:t>城乡义务教育公用经费管理办法</w:t>
            </w:r>
          </w:p>
        </w:tc>
      </w:tr>
      <w:tr w14:paraId="5006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C495F">
            <w:pPr>
              <w:pStyle w:val="13"/>
            </w:pPr>
            <w:r>
              <w:t>效益指标</w:t>
            </w:r>
          </w:p>
        </w:tc>
        <w:tc>
          <w:tcPr>
            <w:tcW w:w="2268" w:type="dxa"/>
            <w:vAlign w:val="center"/>
          </w:tcPr>
          <w:p w14:paraId="602CE367">
            <w:pPr>
              <w:pStyle w:val="12"/>
            </w:pPr>
            <w:r>
              <w:t>可持续影响指标</w:t>
            </w:r>
          </w:p>
        </w:tc>
        <w:tc>
          <w:tcPr>
            <w:tcW w:w="2835" w:type="dxa"/>
            <w:vAlign w:val="center"/>
          </w:tcPr>
          <w:p w14:paraId="45CEA7EF">
            <w:pPr>
              <w:pStyle w:val="12"/>
            </w:pPr>
            <w:r>
              <w:t>学校运转得到提高</w:t>
            </w:r>
          </w:p>
        </w:tc>
        <w:tc>
          <w:tcPr>
            <w:tcW w:w="5386" w:type="dxa"/>
            <w:vAlign w:val="center"/>
          </w:tcPr>
          <w:p w14:paraId="543F258E">
            <w:pPr>
              <w:pStyle w:val="12"/>
            </w:pPr>
            <w:r>
              <w:t>学生受教育年限</w:t>
            </w:r>
          </w:p>
        </w:tc>
        <w:tc>
          <w:tcPr>
            <w:tcW w:w="2268" w:type="dxa"/>
            <w:vAlign w:val="center"/>
          </w:tcPr>
          <w:p w14:paraId="5E2B6108">
            <w:pPr>
              <w:pStyle w:val="12"/>
            </w:pPr>
            <w:r>
              <w:t>6年</w:t>
            </w:r>
          </w:p>
        </w:tc>
        <w:tc>
          <w:tcPr>
            <w:tcW w:w="1276" w:type="dxa"/>
            <w:vAlign w:val="center"/>
          </w:tcPr>
          <w:p w14:paraId="1C963403">
            <w:pPr>
              <w:pStyle w:val="12"/>
            </w:pPr>
            <w:r>
              <w:t>城乡义务教育公用经费管理办法</w:t>
            </w:r>
          </w:p>
        </w:tc>
      </w:tr>
      <w:tr w14:paraId="1226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B7718">
            <w:pPr>
              <w:pStyle w:val="13"/>
            </w:pPr>
            <w:r>
              <w:t>满意度指标</w:t>
            </w:r>
          </w:p>
        </w:tc>
        <w:tc>
          <w:tcPr>
            <w:tcW w:w="2268" w:type="dxa"/>
            <w:vAlign w:val="center"/>
          </w:tcPr>
          <w:p w14:paraId="3F8A4BF9">
            <w:pPr>
              <w:pStyle w:val="12"/>
            </w:pPr>
            <w:r>
              <w:t>服务对象满意度指标</w:t>
            </w:r>
          </w:p>
        </w:tc>
        <w:tc>
          <w:tcPr>
            <w:tcW w:w="2835" w:type="dxa"/>
            <w:vAlign w:val="center"/>
          </w:tcPr>
          <w:p w14:paraId="685C0927">
            <w:pPr>
              <w:pStyle w:val="12"/>
            </w:pPr>
            <w:r>
              <w:t>服务对象满意度</w:t>
            </w:r>
          </w:p>
        </w:tc>
        <w:tc>
          <w:tcPr>
            <w:tcW w:w="5386" w:type="dxa"/>
            <w:vAlign w:val="center"/>
          </w:tcPr>
          <w:p w14:paraId="20F488FF">
            <w:pPr>
              <w:pStyle w:val="12"/>
            </w:pPr>
            <w:r>
              <w:t>学校老师和学生满意度</w:t>
            </w:r>
          </w:p>
        </w:tc>
        <w:tc>
          <w:tcPr>
            <w:tcW w:w="2268" w:type="dxa"/>
            <w:vAlign w:val="center"/>
          </w:tcPr>
          <w:p w14:paraId="21F73B43">
            <w:pPr>
              <w:pStyle w:val="12"/>
            </w:pPr>
            <w:r>
              <w:t>≥95%</w:t>
            </w:r>
          </w:p>
        </w:tc>
        <w:tc>
          <w:tcPr>
            <w:tcW w:w="1276" w:type="dxa"/>
            <w:vAlign w:val="center"/>
          </w:tcPr>
          <w:p w14:paraId="441A30B7">
            <w:pPr>
              <w:pStyle w:val="12"/>
            </w:pPr>
            <w:r>
              <w:t>群众测评</w:t>
            </w:r>
          </w:p>
        </w:tc>
      </w:tr>
    </w:tbl>
    <w:p w14:paraId="7F0CCFB1">
      <w:pPr>
        <w:sectPr>
          <w:pgSz w:w="16840" w:h="11900" w:orient="landscape"/>
          <w:pgMar w:top="1361" w:right="1020" w:bottom="1134" w:left="1020" w:header="720" w:footer="720" w:gutter="0"/>
          <w:cols w:space="720" w:num="1"/>
        </w:sectPr>
      </w:pPr>
    </w:p>
    <w:p w14:paraId="1EE3522E">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5、冀财教[2025]121号/中央/2026年义教补助经费/山口校区齐村小学公用经费绩效目标表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E4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BC680">
            <w:pPr>
              <w:pStyle w:val="11"/>
            </w:pPr>
            <w:r>
              <w:t>单位：万元</w:t>
            </w:r>
          </w:p>
        </w:tc>
      </w:tr>
      <w:tr w14:paraId="5E1C8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05169">
            <w:pPr>
              <w:pStyle w:val="10"/>
            </w:pPr>
            <w:r>
              <w:t>项目编码</w:t>
            </w:r>
          </w:p>
        </w:tc>
        <w:tc>
          <w:tcPr>
            <w:tcW w:w="5103" w:type="dxa"/>
            <w:gridSpan w:val="2"/>
            <w:vAlign w:val="center"/>
          </w:tcPr>
          <w:p w14:paraId="05B0231D">
            <w:pPr>
              <w:pStyle w:val="12"/>
            </w:pPr>
            <w:r>
              <w:t>13052526P000004102923</w:t>
            </w:r>
          </w:p>
        </w:tc>
        <w:tc>
          <w:tcPr>
            <w:tcW w:w="2835" w:type="dxa"/>
            <w:vAlign w:val="center"/>
          </w:tcPr>
          <w:p w14:paraId="07ACE0D6">
            <w:pPr>
              <w:pStyle w:val="10"/>
            </w:pPr>
            <w:r>
              <w:t>项目名称</w:t>
            </w:r>
          </w:p>
        </w:tc>
        <w:tc>
          <w:tcPr>
            <w:tcW w:w="6095" w:type="dxa"/>
            <w:gridSpan w:val="3"/>
            <w:vAlign w:val="center"/>
          </w:tcPr>
          <w:p w14:paraId="64B3C2C9">
            <w:pPr>
              <w:pStyle w:val="12"/>
            </w:pPr>
            <w:r>
              <w:t>冀财教[2025]121号/中央/2026年义教补助经费/山口校区齐村小学公用经费</w:t>
            </w:r>
          </w:p>
        </w:tc>
      </w:tr>
      <w:tr w14:paraId="01D4E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F8D0A">
            <w:pPr>
              <w:pStyle w:val="10"/>
            </w:pPr>
            <w:r>
              <w:t>预算规模及资金用途</w:t>
            </w:r>
          </w:p>
        </w:tc>
        <w:tc>
          <w:tcPr>
            <w:tcW w:w="2268" w:type="dxa"/>
            <w:vAlign w:val="center"/>
          </w:tcPr>
          <w:p w14:paraId="76D7E589">
            <w:pPr>
              <w:pStyle w:val="10"/>
            </w:pPr>
            <w:r>
              <w:t>预算数</w:t>
            </w:r>
          </w:p>
        </w:tc>
        <w:tc>
          <w:tcPr>
            <w:tcW w:w="2835" w:type="dxa"/>
            <w:vAlign w:val="center"/>
          </w:tcPr>
          <w:p w14:paraId="27EF6F7B">
            <w:pPr>
              <w:pStyle w:val="12"/>
            </w:pPr>
            <w:r>
              <w:t>31.18</w:t>
            </w:r>
          </w:p>
        </w:tc>
        <w:tc>
          <w:tcPr>
            <w:tcW w:w="2835" w:type="dxa"/>
            <w:vAlign w:val="center"/>
          </w:tcPr>
          <w:p w14:paraId="57AB3093">
            <w:pPr>
              <w:pStyle w:val="10"/>
            </w:pPr>
            <w:r>
              <w:t>其中：财政    资金</w:t>
            </w:r>
          </w:p>
        </w:tc>
        <w:tc>
          <w:tcPr>
            <w:tcW w:w="2551" w:type="dxa"/>
            <w:vAlign w:val="center"/>
          </w:tcPr>
          <w:p w14:paraId="4B1E7795">
            <w:pPr>
              <w:pStyle w:val="12"/>
            </w:pPr>
            <w:r>
              <w:t>31.18</w:t>
            </w:r>
          </w:p>
        </w:tc>
        <w:tc>
          <w:tcPr>
            <w:tcW w:w="2268" w:type="dxa"/>
            <w:vAlign w:val="center"/>
          </w:tcPr>
          <w:p w14:paraId="61C0A079">
            <w:pPr>
              <w:pStyle w:val="10"/>
            </w:pPr>
            <w:r>
              <w:t>其他资金</w:t>
            </w:r>
          </w:p>
        </w:tc>
        <w:tc>
          <w:tcPr>
            <w:tcW w:w="1276" w:type="dxa"/>
            <w:vAlign w:val="center"/>
          </w:tcPr>
          <w:p w14:paraId="1DFF7246">
            <w:pPr>
              <w:pStyle w:val="12"/>
            </w:pPr>
            <w:r>
              <w:t xml:space="preserve"> </w:t>
            </w:r>
          </w:p>
        </w:tc>
      </w:tr>
      <w:tr w14:paraId="0E34E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38158"/>
        </w:tc>
        <w:tc>
          <w:tcPr>
            <w:tcW w:w="14033" w:type="dxa"/>
            <w:gridSpan w:val="6"/>
            <w:vAlign w:val="center"/>
          </w:tcPr>
          <w:p w14:paraId="774D8AC6">
            <w:pPr>
              <w:pStyle w:val="12"/>
            </w:pPr>
            <w:r>
              <w:t>保障学校正常运转，完成各项教育教学活动和其他日常工作任务等方面的费用支出。</w:t>
            </w:r>
            <w:r>
              <w:tab/>
            </w:r>
            <w:r>
              <w:tab/>
            </w:r>
            <w:r>
              <w:tab/>
            </w:r>
            <w:r>
              <w:tab/>
            </w:r>
            <w:r>
              <w:tab/>
            </w:r>
            <w:r>
              <w:tab/>
            </w:r>
          </w:p>
          <w:p w14:paraId="1F85C089">
            <w:pPr>
              <w:pStyle w:val="12"/>
            </w:pPr>
          </w:p>
        </w:tc>
      </w:tr>
      <w:tr w14:paraId="5FCB5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13BD4">
            <w:pPr>
              <w:pStyle w:val="10"/>
            </w:pPr>
            <w:r>
              <w:t>资金支出计划（%）</w:t>
            </w:r>
          </w:p>
        </w:tc>
        <w:tc>
          <w:tcPr>
            <w:tcW w:w="5103" w:type="dxa"/>
            <w:gridSpan w:val="2"/>
            <w:vAlign w:val="center"/>
          </w:tcPr>
          <w:p w14:paraId="4C58C666">
            <w:pPr>
              <w:pStyle w:val="10"/>
            </w:pPr>
            <w:r>
              <w:t>3月底</w:t>
            </w:r>
          </w:p>
        </w:tc>
        <w:tc>
          <w:tcPr>
            <w:tcW w:w="2835" w:type="dxa"/>
            <w:vAlign w:val="center"/>
          </w:tcPr>
          <w:p w14:paraId="6B111A91">
            <w:pPr>
              <w:pStyle w:val="10"/>
            </w:pPr>
            <w:r>
              <w:t>6月底</w:t>
            </w:r>
          </w:p>
        </w:tc>
        <w:tc>
          <w:tcPr>
            <w:tcW w:w="2551" w:type="dxa"/>
            <w:vAlign w:val="center"/>
          </w:tcPr>
          <w:p w14:paraId="79555172">
            <w:pPr>
              <w:pStyle w:val="10"/>
            </w:pPr>
            <w:r>
              <w:t>10月底</w:t>
            </w:r>
          </w:p>
        </w:tc>
        <w:tc>
          <w:tcPr>
            <w:tcW w:w="3544" w:type="dxa"/>
            <w:gridSpan w:val="2"/>
            <w:vAlign w:val="center"/>
          </w:tcPr>
          <w:p w14:paraId="62E60FDC">
            <w:pPr>
              <w:pStyle w:val="10"/>
            </w:pPr>
            <w:r>
              <w:t>12月底</w:t>
            </w:r>
          </w:p>
        </w:tc>
      </w:tr>
      <w:tr w14:paraId="17DEE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4FEC8"/>
        </w:tc>
        <w:tc>
          <w:tcPr>
            <w:tcW w:w="5103" w:type="dxa"/>
            <w:gridSpan w:val="2"/>
            <w:vAlign w:val="center"/>
          </w:tcPr>
          <w:p w14:paraId="379D553B">
            <w:pPr>
              <w:pStyle w:val="13"/>
            </w:pPr>
            <w:r>
              <w:t>25%</w:t>
            </w:r>
          </w:p>
        </w:tc>
        <w:tc>
          <w:tcPr>
            <w:tcW w:w="2835" w:type="dxa"/>
            <w:vAlign w:val="center"/>
          </w:tcPr>
          <w:p w14:paraId="1CA021F7">
            <w:pPr>
              <w:pStyle w:val="13"/>
            </w:pPr>
            <w:r>
              <w:t>50%</w:t>
            </w:r>
          </w:p>
        </w:tc>
        <w:tc>
          <w:tcPr>
            <w:tcW w:w="2551" w:type="dxa"/>
            <w:vAlign w:val="center"/>
          </w:tcPr>
          <w:p w14:paraId="3C6EEE28">
            <w:pPr>
              <w:pStyle w:val="13"/>
            </w:pPr>
            <w:r>
              <w:t>75%</w:t>
            </w:r>
          </w:p>
        </w:tc>
        <w:tc>
          <w:tcPr>
            <w:tcW w:w="3544" w:type="dxa"/>
            <w:gridSpan w:val="2"/>
            <w:vAlign w:val="center"/>
          </w:tcPr>
          <w:p w14:paraId="10201FA6">
            <w:pPr>
              <w:pStyle w:val="13"/>
            </w:pPr>
            <w:r>
              <w:t>100%</w:t>
            </w:r>
          </w:p>
        </w:tc>
      </w:tr>
      <w:tr w14:paraId="502D9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567FD">
            <w:pPr>
              <w:pStyle w:val="10"/>
            </w:pPr>
            <w:r>
              <w:t>绩效目标</w:t>
            </w:r>
          </w:p>
        </w:tc>
        <w:tc>
          <w:tcPr>
            <w:tcW w:w="14033" w:type="dxa"/>
            <w:gridSpan w:val="6"/>
            <w:vAlign w:val="center"/>
          </w:tcPr>
          <w:p w14:paraId="71089578">
            <w:pPr>
              <w:pStyle w:val="12"/>
            </w:pPr>
            <w:r>
              <w:t>1.按季度分批次拨付公用经费资金，资金拨付率达到100%。</w:t>
            </w:r>
          </w:p>
          <w:p w14:paraId="51B2C13D">
            <w:pPr>
              <w:pStyle w:val="12"/>
            </w:pPr>
            <w:r>
              <w:t>2.保障学校正常运转，完成各项教育教学活动和其他日常工作任务等方面的费用支出。</w:t>
            </w:r>
          </w:p>
        </w:tc>
      </w:tr>
    </w:tbl>
    <w:p w14:paraId="697DA3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D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6516A">
            <w:pPr>
              <w:pStyle w:val="10"/>
            </w:pPr>
            <w:r>
              <w:t>一级指标</w:t>
            </w:r>
          </w:p>
        </w:tc>
        <w:tc>
          <w:tcPr>
            <w:tcW w:w="2268" w:type="dxa"/>
            <w:vAlign w:val="center"/>
          </w:tcPr>
          <w:p w14:paraId="73E15D7B">
            <w:pPr>
              <w:pStyle w:val="10"/>
            </w:pPr>
            <w:r>
              <w:t>二级指标</w:t>
            </w:r>
          </w:p>
        </w:tc>
        <w:tc>
          <w:tcPr>
            <w:tcW w:w="2835" w:type="dxa"/>
            <w:vAlign w:val="center"/>
          </w:tcPr>
          <w:p w14:paraId="2E74CC95">
            <w:pPr>
              <w:pStyle w:val="10"/>
            </w:pPr>
            <w:r>
              <w:t>三级指标</w:t>
            </w:r>
          </w:p>
        </w:tc>
        <w:tc>
          <w:tcPr>
            <w:tcW w:w="5386" w:type="dxa"/>
            <w:vAlign w:val="center"/>
          </w:tcPr>
          <w:p w14:paraId="79CECABC">
            <w:pPr>
              <w:pStyle w:val="10"/>
            </w:pPr>
            <w:r>
              <w:t>绩效指标描述</w:t>
            </w:r>
          </w:p>
        </w:tc>
        <w:tc>
          <w:tcPr>
            <w:tcW w:w="2268" w:type="dxa"/>
            <w:vAlign w:val="center"/>
          </w:tcPr>
          <w:p w14:paraId="3338A1A5">
            <w:pPr>
              <w:pStyle w:val="10"/>
            </w:pPr>
            <w:r>
              <w:t>指标值</w:t>
            </w:r>
          </w:p>
        </w:tc>
        <w:tc>
          <w:tcPr>
            <w:tcW w:w="1276" w:type="dxa"/>
            <w:vAlign w:val="center"/>
          </w:tcPr>
          <w:p w14:paraId="66157699">
            <w:pPr>
              <w:pStyle w:val="10"/>
            </w:pPr>
            <w:r>
              <w:t>指标值确定依据</w:t>
            </w:r>
          </w:p>
        </w:tc>
      </w:tr>
      <w:tr w14:paraId="1AFA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CFC27">
            <w:pPr>
              <w:pStyle w:val="13"/>
            </w:pPr>
            <w:r>
              <w:t>产出指标</w:t>
            </w:r>
          </w:p>
        </w:tc>
        <w:tc>
          <w:tcPr>
            <w:tcW w:w="2268" w:type="dxa"/>
            <w:vAlign w:val="center"/>
          </w:tcPr>
          <w:p w14:paraId="5933BA89">
            <w:pPr>
              <w:pStyle w:val="12"/>
            </w:pPr>
            <w:r>
              <w:t>数量指标</w:t>
            </w:r>
          </w:p>
        </w:tc>
        <w:tc>
          <w:tcPr>
            <w:tcW w:w="2835" w:type="dxa"/>
            <w:vAlign w:val="center"/>
          </w:tcPr>
          <w:p w14:paraId="227356D7">
            <w:pPr>
              <w:pStyle w:val="12"/>
            </w:pPr>
            <w:r>
              <w:t>就读学生数</w:t>
            </w:r>
          </w:p>
        </w:tc>
        <w:tc>
          <w:tcPr>
            <w:tcW w:w="5386" w:type="dxa"/>
            <w:vAlign w:val="center"/>
          </w:tcPr>
          <w:p w14:paraId="325FBDA0">
            <w:pPr>
              <w:pStyle w:val="12"/>
            </w:pPr>
            <w:r>
              <w:t>辐射区域内适龄学生人数</w:t>
            </w:r>
          </w:p>
        </w:tc>
        <w:tc>
          <w:tcPr>
            <w:tcW w:w="2268" w:type="dxa"/>
            <w:vAlign w:val="center"/>
          </w:tcPr>
          <w:p w14:paraId="59B2FC68">
            <w:pPr>
              <w:pStyle w:val="12"/>
            </w:pPr>
            <w:r>
              <w:t>562人</w:t>
            </w:r>
          </w:p>
        </w:tc>
        <w:tc>
          <w:tcPr>
            <w:tcW w:w="1276" w:type="dxa"/>
            <w:vAlign w:val="center"/>
          </w:tcPr>
          <w:p w14:paraId="73FDBE01">
            <w:pPr>
              <w:pStyle w:val="12"/>
            </w:pPr>
            <w:r>
              <w:t>城乡义务教育公用经费管理办法</w:t>
            </w:r>
          </w:p>
        </w:tc>
      </w:tr>
      <w:tr w14:paraId="5C62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B5FE"/>
        </w:tc>
        <w:tc>
          <w:tcPr>
            <w:tcW w:w="2268" w:type="dxa"/>
            <w:vAlign w:val="center"/>
          </w:tcPr>
          <w:p w14:paraId="741305D7">
            <w:pPr>
              <w:pStyle w:val="12"/>
            </w:pPr>
            <w:r>
              <w:t>质量指标</w:t>
            </w:r>
          </w:p>
        </w:tc>
        <w:tc>
          <w:tcPr>
            <w:tcW w:w="2835" w:type="dxa"/>
            <w:vAlign w:val="center"/>
          </w:tcPr>
          <w:p w14:paraId="5970F818">
            <w:pPr>
              <w:pStyle w:val="12"/>
            </w:pPr>
            <w:r>
              <w:t>预算执行率</w:t>
            </w:r>
          </w:p>
        </w:tc>
        <w:tc>
          <w:tcPr>
            <w:tcW w:w="5386" w:type="dxa"/>
            <w:vAlign w:val="center"/>
          </w:tcPr>
          <w:p w14:paraId="5E7C1E40">
            <w:pPr>
              <w:pStyle w:val="12"/>
            </w:pPr>
            <w:r>
              <w:t>预算执行率</w:t>
            </w:r>
          </w:p>
        </w:tc>
        <w:tc>
          <w:tcPr>
            <w:tcW w:w="2268" w:type="dxa"/>
            <w:vAlign w:val="center"/>
          </w:tcPr>
          <w:p w14:paraId="5978CAF4">
            <w:pPr>
              <w:pStyle w:val="12"/>
            </w:pPr>
            <w:r>
              <w:t>≥95%</w:t>
            </w:r>
          </w:p>
        </w:tc>
        <w:tc>
          <w:tcPr>
            <w:tcW w:w="1276" w:type="dxa"/>
            <w:vAlign w:val="center"/>
          </w:tcPr>
          <w:p w14:paraId="54E8D1D9">
            <w:pPr>
              <w:pStyle w:val="12"/>
            </w:pPr>
            <w:r>
              <w:t>城乡义务教育公用经费管理办法</w:t>
            </w:r>
          </w:p>
        </w:tc>
      </w:tr>
      <w:tr w14:paraId="191B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AFA22"/>
        </w:tc>
        <w:tc>
          <w:tcPr>
            <w:tcW w:w="2268" w:type="dxa"/>
            <w:vAlign w:val="center"/>
          </w:tcPr>
          <w:p w14:paraId="38558E3B">
            <w:pPr>
              <w:pStyle w:val="12"/>
            </w:pPr>
            <w:r>
              <w:t>时效指标</w:t>
            </w:r>
          </w:p>
        </w:tc>
        <w:tc>
          <w:tcPr>
            <w:tcW w:w="2835" w:type="dxa"/>
            <w:vAlign w:val="center"/>
          </w:tcPr>
          <w:p w14:paraId="5A1AB896">
            <w:pPr>
              <w:pStyle w:val="12"/>
            </w:pPr>
            <w:r>
              <w:t>义教经费支付完成率</w:t>
            </w:r>
          </w:p>
        </w:tc>
        <w:tc>
          <w:tcPr>
            <w:tcW w:w="5386" w:type="dxa"/>
            <w:vAlign w:val="center"/>
          </w:tcPr>
          <w:p w14:paraId="7F6BA92A">
            <w:pPr>
              <w:pStyle w:val="12"/>
            </w:pPr>
            <w:r>
              <w:t>按照序时进度完成资金支付</w:t>
            </w:r>
          </w:p>
        </w:tc>
        <w:tc>
          <w:tcPr>
            <w:tcW w:w="2268" w:type="dxa"/>
            <w:vAlign w:val="center"/>
          </w:tcPr>
          <w:p w14:paraId="64A6C6BD">
            <w:pPr>
              <w:pStyle w:val="12"/>
            </w:pPr>
            <w:r>
              <w:t>100%</w:t>
            </w:r>
          </w:p>
        </w:tc>
        <w:tc>
          <w:tcPr>
            <w:tcW w:w="1276" w:type="dxa"/>
            <w:vAlign w:val="center"/>
          </w:tcPr>
          <w:p w14:paraId="6D7502EF">
            <w:pPr>
              <w:pStyle w:val="12"/>
            </w:pPr>
            <w:r>
              <w:t>城乡义务教育公用经费管理办法</w:t>
            </w:r>
          </w:p>
        </w:tc>
      </w:tr>
      <w:tr w14:paraId="0250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93D88"/>
        </w:tc>
        <w:tc>
          <w:tcPr>
            <w:tcW w:w="2268" w:type="dxa"/>
            <w:vAlign w:val="center"/>
          </w:tcPr>
          <w:p w14:paraId="31CD3E6B">
            <w:pPr>
              <w:pStyle w:val="12"/>
            </w:pPr>
            <w:r>
              <w:t>成本指标</w:t>
            </w:r>
          </w:p>
        </w:tc>
        <w:tc>
          <w:tcPr>
            <w:tcW w:w="2835" w:type="dxa"/>
            <w:vAlign w:val="center"/>
          </w:tcPr>
          <w:p w14:paraId="677F134B">
            <w:pPr>
              <w:pStyle w:val="12"/>
            </w:pPr>
            <w:r>
              <w:t>生均拨款标准</w:t>
            </w:r>
          </w:p>
        </w:tc>
        <w:tc>
          <w:tcPr>
            <w:tcW w:w="5386" w:type="dxa"/>
            <w:vAlign w:val="center"/>
          </w:tcPr>
          <w:p w14:paraId="551E8E55">
            <w:pPr>
              <w:pStyle w:val="12"/>
            </w:pPr>
            <w:r>
              <w:t>小学生公用经费生均公用经费基准定额为720元/年/生，取暖费120元/年/生，住宿生补助300元/年/生的标准，随班就读学生补助7000元/生/年</w:t>
            </w:r>
          </w:p>
        </w:tc>
        <w:tc>
          <w:tcPr>
            <w:tcW w:w="2268" w:type="dxa"/>
            <w:vAlign w:val="center"/>
          </w:tcPr>
          <w:p w14:paraId="76D6ED9C">
            <w:pPr>
              <w:pStyle w:val="12"/>
            </w:pPr>
            <w:r>
              <w:t>840元</w:t>
            </w:r>
          </w:p>
        </w:tc>
        <w:tc>
          <w:tcPr>
            <w:tcW w:w="1276" w:type="dxa"/>
            <w:vAlign w:val="center"/>
          </w:tcPr>
          <w:p w14:paraId="193022D8">
            <w:pPr>
              <w:pStyle w:val="12"/>
            </w:pPr>
            <w:r>
              <w:t>城乡义务教育公用经费管理办法</w:t>
            </w:r>
          </w:p>
        </w:tc>
      </w:tr>
      <w:tr w14:paraId="6C5D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D04F5">
            <w:pPr>
              <w:pStyle w:val="13"/>
            </w:pPr>
            <w:r>
              <w:t>效益指标</w:t>
            </w:r>
          </w:p>
        </w:tc>
        <w:tc>
          <w:tcPr>
            <w:tcW w:w="2268" w:type="dxa"/>
            <w:vAlign w:val="center"/>
          </w:tcPr>
          <w:p w14:paraId="4C02E78B">
            <w:pPr>
              <w:pStyle w:val="12"/>
            </w:pPr>
            <w:r>
              <w:t>可持续影响指标</w:t>
            </w:r>
          </w:p>
        </w:tc>
        <w:tc>
          <w:tcPr>
            <w:tcW w:w="2835" w:type="dxa"/>
            <w:vAlign w:val="center"/>
          </w:tcPr>
          <w:p w14:paraId="16C9BA27">
            <w:pPr>
              <w:pStyle w:val="12"/>
            </w:pPr>
            <w:r>
              <w:t>学校运转得到提高</w:t>
            </w:r>
          </w:p>
        </w:tc>
        <w:tc>
          <w:tcPr>
            <w:tcW w:w="5386" w:type="dxa"/>
            <w:vAlign w:val="center"/>
          </w:tcPr>
          <w:p w14:paraId="000F7384">
            <w:pPr>
              <w:pStyle w:val="12"/>
            </w:pPr>
            <w:r>
              <w:t>学生受教育年限</w:t>
            </w:r>
          </w:p>
        </w:tc>
        <w:tc>
          <w:tcPr>
            <w:tcW w:w="2268" w:type="dxa"/>
            <w:vAlign w:val="center"/>
          </w:tcPr>
          <w:p w14:paraId="52B4E142">
            <w:pPr>
              <w:pStyle w:val="12"/>
            </w:pPr>
            <w:r>
              <w:t>6年</w:t>
            </w:r>
          </w:p>
        </w:tc>
        <w:tc>
          <w:tcPr>
            <w:tcW w:w="1276" w:type="dxa"/>
            <w:vAlign w:val="center"/>
          </w:tcPr>
          <w:p w14:paraId="61FB832E">
            <w:pPr>
              <w:pStyle w:val="12"/>
            </w:pPr>
            <w:r>
              <w:t>城乡义务教育公用经费管理办法</w:t>
            </w:r>
          </w:p>
        </w:tc>
      </w:tr>
      <w:tr w14:paraId="1C07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551F3">
            <w:pPr>
              <w:pStyle w:val="13"/>
            </w:pPr>
            <w:r>
              <w:t>满意度指标</w:t>
            </w:r>
          </w:p>
        </w:tc>
        <w:tc>
          <w:tcPr>
            <w:tcW w:w="2268" w:type="dxa"/>
            <w:vAlign w:val="center"/>
          </w:tcPr>
          <w:p w14:paraId="38C5F62B">
            <w:pPr>
              <w:pStyle w:val="12"/>
            </w:pPr>
            <w:r>
              <w:t>服务对象满意度指标</w:t>
            </w:r>
          </w:p>
        </w:tc>
        <w:tc>
          <w:tcPr>
            <w:tcW w:w="2835" w:type="dxa"/>
            <w:vAlign w:val="center"/>
          </w:tcPr>
          <w:p w14:paraId="640312BE">
            <w:pPr>
              <w:pStyle w:val="12"/>
            </w:pPr>
            <w:r>
              <w:t>服务对象满意度</w:t>
            </w:r>
          </w:p>
        </w:tc>
        <w:tc>
          <w:tcPr>
            <w:tcW w:w="5386" w:type="dxa"/>
            <w:vAlign w:val="center"/>
          </w:tcPr>
          <w:p w14:paraId="75D6E8C9">
            <w:pPr>
              <w:pStyle w:val="12"/>
            </w:pPr>
            <w:r>
              <w:t>学校老师和学生满意度</w:t>
            </w:r>
          </w:p>
        </w:tc>
        <w:tc>
          <w:tcPr>
            <w:tcW w:w="2268" w:type="dxa"/>
            <w:vAlign w:val="center"/>
          </w:tcPr>
          <w:p w14:paraId="0D802CFA">
            <w:pPr>
              <w:pStyle w:val="12"/>
            </w:pPr>
            <w:r>
              <w:t>≥95%</w:t>
            </w:r>
          </w:p>
        </w:tc>
        <w:tc>
          <w:tcPr>
            <w:tcW w:w="1276" w:type="dxa"/>
            <w:vAlign w:val="center"/>
          </w:tcPr>
          <w:p w14:paraId="674CD414">
            <w:pPr>
              <w:pStyle w:val="12"/>
            </w:pPr>
            <w:r>
              <w:t>群众测评</w:t>
            </w:r>
          </w:p>
        </w:tc>
      </w:tr>
    </w:tbl>
    <w:p w14:paraId="0CEEACCD">
      <w:pPr>
        <w:sectPr>
          <w:pgSz w:w="16840" w:h="11900" w:orient="landscape"/>
          <w:pgMar w:top="1361" w:right="1020" w:bottom="1134" w:left="1020" w:header="720" w:footer="720" w:gutter="0"/>
          <w:cols w:space="720" w:num="1"/>
        </w:sectPr>
      </w:pPr>
    </w:p>
    <w:p w14:paraId="4716E240">
      <w:pPr>
        <w:spacing w:before="0" w:after="0"/>
        <w:ind w:firstLine="560"/>
        <w:jc w:val="left"/>
        <w:outlineLvl w:val="9"/>
      </w:pPr>
      <w:r>
        <w:rPr>
          <w:rFonts w:ascii="方正仿宋_GBK" w:hAnsi="方正仿宋_GBK" w:eastAsia="方正仿宋_GBK" w:cs="方正仿宋_GBK"/>
          <w:b/>
          <w:color w:val="000000"/>
          <w:sz w:val="28"/>
        </w:rPr>
        <w:t>6、冀财教[2025]121号/中央/2026年义教补助经费/山口校区水饭中心小学公用经费绩效目标表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BF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9CEA2">
            <w:pPr>
              <w:pStyle w:val="11"/>
            </w:pPr>
            <w:r>
              <w:t>单位：万元</w:t>
            </w:r>
          </w:p>
        </w:tc>
      </w:tr>
      <w:tr w14:paraId="16B4C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36AB6">
            <w:pPr>
              <w:pStyle w:val="10"/>
            </w:pPr>
            <w:r>
              <w:t>项目编码</w:t>
            </w:r>
          </w:p>
        </w:tc>
        <w:tc>
          <w:tcPr>
            <w:tcW w:w="5103" w:type="dxa"/>
            <w:gridSpan w:val="2"/>
            <w:vAlign w:val="center"/>
          </w:tcPr>
          <w:p w14:paraId="3E66E406">
            <w:pPr>
              <w:pStyle w:val="12"/>
            </w:pPr>
            <w:r>
              <w:t>13052526P00000410291F</w:t>
            </w:r>
          </w:p>
        </w:tc>
        <w:tc>
          <w:tcPr>
            <w:tcW w:w="2835" w:type="dxa"/>
            <w:vAlign w:val="center"/>
          </w:tcPr>
          <w:p w14:paraId="07FAB7A4">
            <w:pPr>
              <w:pStyle w:val="10"/>
            </w:pPr>
            <w:r>
              <w:t>项目名称</w:t>
            </w:r>
          </w:p>
        </w:tc>
        <w:tc>
          <w:tcPr>
            <w:tcW w:w="6095" w:type="dxa"/>
            <w:gridSpan w:val="3"/>
            <w:vAlign w:val="center"/>
          </w:tcPr>
          <w:p w14:paraId="02750AFC">
            <w:pPr>
              <w:pStyle w:val="12"/>
            </w:pPr>
            <w:r>
              <w:t>冀财教[2025]121号/中央/2026年义教补助经费/山口校区水饭中心小学公用经费</w:t>
            </w:r>
          </w:p>
        </w:tc>
      </w:tr>
      <w:tr w14:paraId="4C44F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E6EB4">
            <w:pPr>
              <w:pStyle w:val="10"/>
            </w:pPr>
            <w:r>
              <w:t>预算规模及资金用途</w:t>
            </w:r>
          </w:p>
        </w:tc>
        <w:tc>
          <w:tcPr>
            <w:tcW w:w="2268" w:type="dxa"/>
            <w:vAlign w:val="center"/>
          </w:tcPr>
          <w:p w14:paraId="140EDED3">
            <w:pPr>
              <w:pStyle w:val="10"/>
            </w:pPr>
            <w:r>
              <w:t>预算数</w:t>
            </w:r>
          </w:p>
        </w:tc>
        <w:tc>
          <w:tcPr>
            <w:tcW w:w="2835" w:type="dxa"/>
            <w:vAlign w:val="center"/>
          </w:tcPr>
          <w:p w14:paraId="11058060">
            <w:pPr>
              <w:pStyle w:val="12"/>
            </w:pPr>
            <w:r>
              <w:t>56.52</w:t>
            </w:r>
          </w:p>
        </w:tc>
        <w:tc>
          <w:tcPr>
            <w:tcW w:w="2835" w:type="dxa"/>
            <w:vAlign w:val="center"/>
          </w:tcPr>
          <w:p w14:paraId="7DAD5459">
            <w:pPr>
              <w:pStyle w:val="10"/>
            </w:pPr>
            <w:r>
              <w:t>其中：财政    资金</w:t>
            </w:r>
          </w:p>
        </w:tc>
        <w:tc>
          <w:tcPr>
            <w:tcW w:w="2551" w:type="dxa"/>
            <w:vAlign w:val="center"/>
          </w:tcPr>
          <w:p w14:paraId="2869FCF2">
            <w:pPr>
              <w:pStyle w:val="12"/>
            </w:pPr>
            <w:r>
              <w:t>56.52</w:t>
            </w:r>
          </w:p>
        </w:tc>
        <w:tc>
          <w:tcPr>
            <w:tcW w:w="2268" w:type="dxa"/>
            <w:vAlign w:val="center"/>
          </w:tcPr>
          <w:p w14:paraId="64F232CC">
            <w:pPr>
              <w:pStyle w:val="10"/>
            </w:pPr>
            <w:r>
              <w:t>其他资金</w:t>
            </w:r>
          </w:p>
        </w:tc>
        <w:tc>
          <w:tcPr>
            <w:tcW w:w="1276" w:type="dxa"/>
            <w:vAlign w:val="center"/>
          </w:tcPr>
          <w:p w14:paraId="4CA6116F">
            <w:pPr>
              <w:pStyle w:val="12"/>
            </w:pPr>
            <w:r>
              <w:t xml:space="preserve"> </w:t>
            </w:r>
          </w:p>
        </w:tc>
      </w:tr>
      <w:tr w14:paraId="48301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0D212"/>
        </w:tc>
        <w:tc>
          <w:tcPr>
            <w:tcW w:w="14033" w:type="dxa"/>
            <w:gridSpan w:val="6"/>
            <w:vAlign w:val="center"/>
          </w:tcPr>
          <w:p w14:paraId="392DACF4">
            <w:pPr>
              <w:pStyle w:val="12"/>
            </w:pPr>
            <w:r>
              <w:t>保障学校正常运转，完成各项教育教学活动和其他日常工作任务等方面的费用支出。</w:t>
            </w:r>
            <w:r>
              <w:tab/>
            </w:r>
            <w:r>
              <w:tab/>
            </w:r>
            <w:r>
              <w:tab/>
            </w:r>
            <w:r>
              <w:tab/>
            </w:r>
            <w:r>
              <w:tab/>
            </w:r>
            <w:r>
              <w:tab/>
            </w:r>
          </w:p>
          <w:p w14:paraId="5BC833A9">
            <w:pPr>
              <w:pStyle w:val="12"/>
            </w:pPr>
          </w:p>
        </w:tc>
      </w:tr>
      <w:tr w14:paraId="1268C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12C28">
            <w:pPr>
              <w:pStyle w:val="10"/>
            </w:pPr>
            <w:r>
              <w:t>资金支出计划（%）</w:t>
            </w:r>
          </w:p>
        </w:tc>
        <w:tc>
          <w:tcPr>
            <w:tcW w:w="5103" w:type="dxa"/>
            <w:gridSpan w:val="2"/>
            <w:vAlign w:val="center"/>
          </w:tcPr>
          <w:p w14:paraId="59D11AEF">
            <w:pPr>
              <w:pStyle w:val="10"/>
            </w:pPr>
            <w:r>
              <w:t>3月底</w:t>
            </w:r>
          </w:p>
        </w:tc>
        <w:tc>
          <w:tcPr>
            <w:tcW w:w="2835" w:type="dxa"/>
            <w:vAlign w:val="center"/>
          </w:tcPr>
          <w:p w14:paraId="1637E7CC">
            <w:pPr>
              <w:pStyle w:val="10"/>
            </w:pPr>
            <w:r>
              <w:t>6月底</w:t>
            </w:r>
          </w:p>
        </w:tc>
        <w:tc>
          <w:tcPr>
            <w:tcW w:w="2551" w:type="dxa"/>
            <w:vAlign w:val="center"/>
          </w:tcPr>
          <w:p w14:paraId="04E8ABC1">
            <w:pPr>
              <w:pStyle w:val="10"/>
            </w:pPr>
            <w:r>
              <w:t>10月底</w:t>
            </w:r>
          </w:p>
        </w:tc>
        <w:tc>
          <w:tcPr>
            <w:tcW w:w="3544" w:type="dxa"/>
            <w:gridSpan w:val="2"/>
            <w:vAlign w:val="center"/>
          </w:tcPr>
          <w:p w14:paraId="00541303">
            <w:pPr>
              <w:pStyle w:val="10"/>
            </w:pPr>
            <w:r>
              <w:t>12月底</w:t>
            </w:r>
          </w:p>
        </w:tc>
      </w:tr>
      <w:tr w14:paraId="006CC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089EA"/>
        </w:tc>
        <w:tc>
          <w:tcPr>
            <w:tcW w:w="5103" w:type="dxa"/>
            <w:gridSpan w:val="2"/>
            <w:vAlign w:val="center"/>
          </w:tcPr>
          <w:p w14:paraId="64317900">
            <w:pPr>
              <w:pStyle w:val="13"/>
            </w:pPr>
            <w:r>
              <w:t>25%</w:t>
            </w:r>
          </w:p>
        </w:tc>
        <w:tc>
          <w:tcPr>
            <w:tcW w:w="2835" w:type="dxa"/>
            <w:vAlign w:val="center"/>
          </w:tcPr>
          <w:p w14:paraId="13B6482D">
            <w:pPr>
              <w:pStyle w:val="13"/>
            </w:pPr>
            <w:r>
              <w:t>50%</w:t>
            </w:r>
          </w:p>
        </w:tc>
        <w:tc>
          <w:tcPr>
            <w:tcW w:w="2551" w:type="dxa"/>
            <w:vAlign w:val="center"/>
          </w:tcPr>
          <w:p w14:paraId="62876987">
            <w:pPr>
              <w:pStyle w:val="13"/>
            </w:pPr>
            <w:r>
              <w:t>75%</w:t>
            </w:r>
          </w:p>
        </w:tc>
        <w:tc>
          <w:tcPr>
            <w:tcW w:w="3544" w:type="dxa"/>
            <w:gridSpan w:val="2"/>
            <w:vAlign w:val="center"/>
          </w:tcPr>
          <w:p w14:paraId="13E448E9">
            <w:pPr>
              <w:pStyle w:val="13"/>
            </w:pPr>
            <w:r>
              <w:t>100%</w:t>
            </w:r>
          </w:p>
        </w:tc>
      </w:tr>
      <w:tr w14:paraId="02F09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A9A4D">
            <w:pPr>
              <w:pStyle w:val="10"/>
            </w:pPr>
            <w:r>
              <w:t>绩效目标</w:t>
            </w:r>
          </w:p>
        </w:tc>
        <w:tc>
          <w:tcPr>
            <w:tcW w:w="14033" w:type="dxa"/>
            <w:gridSpan w:val="6"/>
            <w:vAlign w:val="center"/>
          </w:tcPr>
          <w:p w14:paraId="37601CBD">
            <w:pPr>
              <w:pStyle w:val="12"/>
            </w:pPr>
            <w:r>
              <w:t>1.按季度分批次拨付公用经费资金，资金拨付率达到100%。</w:t>
            </w:r>
          </w:p>
          <w:p w14:paraId="36607386">
            <w:pPr>
              <w:pStyle w:val="12"/>
            </w:pPr>
            <w:r>
              <w:t>2.保障学校正常运转，完成各项教育教学活动和其他日常工作任务等方面的费用支出。</w:t>
            </w:r>
          </w:p>
        </w:tc>
      </w:tr>
    </w:tbl>
    <w:p w14:paraId="150515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F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3EB8F">
            <w:pPr>
              <w:pStyle w:val="10"/>
            </w:pPr>
            <w:r>
              <w:t>一级指标</w:t>
            </w:r>
          </w:p>
        </w:tc>
        <w:tc>
          <w:tcPr>
            <w:tcW w:w="2268" w:type="dxa"/>
            <w:vAlign w:val="center"/>
          </w:tcPr>
          <w:p w14:paraId="38E06627">
            <w:pPr>
              <w:pStyle w:val="10"/>
            </w:pPr>
            <w:r>
              <w:t>二级指标</w:t>
            </w:r>
          </w:p>
        </w:tc>
        <w:tc>
          <w:tcPr>
            <w:tcW w:w="2835" w:type="dxa"/>
            <w:vAlign w:val="center"/>
          </w:tcPr>
          <w:p w14:paraId="05223CC3">
            <w:pPr>
              <w:pStyle w:val="10"/>
            </w:pPr>
            <w:r>
              <w:t>三级指标</w:t>
            </w:r>
          </w:p>
        </w:tc>
        <w:tc>
          <w:tcPr>
            <w:tcW w:w="5386" w:type="dxa"/>
            <w:vAlign w:val="center"/>
          </w:tcPr>
          <w:p w14:paraId="268B9DCB">
            <w:pPr>
              <w:pStyle w:val="10"/>
            </w:pPr>
            <w:r>
              <w:t>绩效指标描述</w:t>
            </w:r>
          </w:p>
        </w:tc>
        <w:tc>
          <w:tcPr>
            <w:tcW w:w="2268" w:type="dxa"/>
            <w:vAlign w:val="center"/>
          </w:tcPr>
          <w:p w14:paraId="422F9D4B">
            <w:pPr>
              <w:pStyle w:val="10"/>
            </w:pPr>
            <w:r>
              <w:t>指标值</w:t>
            </w:r>
          </w:p>
        </w:tc>
        <w:tc>
          <w:tcPr>
            <w:tcW w:w="1276" w:type="dxa"/>
            <w:vAlign w:val="center"/>
          </w:tcPr>
          <w:p w14:paraId="1C0772D5">
            <w:pPr>
              <w:pStyle w:val="10"/>
            </w:pPr>
            <w:r>
              <w:t>指标值确定依据</w:t>
            </w:r>
          </w:p>
        </w:tc>
      </w:tr>
      <w:tr w14:paraId="4C56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373EF">
            <w:pPr>
              <w:pStyle w:val="13"/>
            </w:pPr>
            <w:r>
              <w:t>产出指标</w:t>
            </w:r>
          </w:p>
        </w:tc>
        <w:tc>
          <w:tcPr>
            <w:tcW w:w="2268" w:type="dxa"/>
            <w:vAlign w:val="center"/>
          </w:tcPr>
          <w:p w14:paraId="1CB4CD30">
            <w:pPr>
              <w:pStyle w:val="12"/>
            </w:pPr>
            <w:r>
              <w:t>数量指标</w:t>
            </w:r>
          </w:p>
        </w:tc>
        <w:tc>
          <w:tcPr>
            <w:tcW w:w="2835" w:type="dxa"/>
            <w:vAlign w:val="center"/>
          </w:tcPr>
          <w:p w14:paraId="71A154E3">
            <w:pPr>
              <w:pStyle w:val="12"/>
            </w:pPr>
            <w:r>
              <w:t>就读学生数</w:t>
            </w:r>
          </w:p>
        </w:tc>
        <w:tc>
          <w:tcPr>
            <w:tcW w:w="5386" w:type="dxa"/>
            <w:vAlign w:val="center"/>
          </w:tcPr>
          <w:p w14:paraId="3336046E">
            <w:pPr>
              <w:pStyle w:val="12"/>
            </w:pPr>
            <w:r>
              <w:t>辐射区域内适龄学生人数</w:t>
            </w:r>
          </w:p>
        </w:tc>
        <w:tc>
          <w:tcPr>
            <w:tcW w:w="2268" w:type="dxa"/>
            <w:vAlign w:val="center"/>
          </w:tcPr>
          <w:p w14:paraId="1D03CA1E">
            <w:pPr>
              <w:pStyle w:val="12"/>
            </w:pPr>
            <w:r>
              <w:t>973人</w:t>
            </w:r>
          </w:p>
        </w:tc>
        <w:tc>
          <w:tcPr>
            <w:tcW w:w="1276" w:type="dxa"/>
            <w:vAlign w:val="center"/>
          </w:tcPr>
          <w:p w14:paraId="597F26F9">
            <w:pPr>
              <w:pStyle w:val="12"/>
            </w:pPr>
            <w:r>
              <w:t>城乡义务教育公用经费管理办法</w:t>
            </w:r>
          </w:p>
        </w:tc>
      </w:tr>
      <w:tr w14:paraId="6D64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66426"/>
        </w:tc>
        <w:tc>
          <w:tcPr>
            <w:tcW w:w="2268" w:type="dxa"/>
            <w:vAlign w:val="center"/>
          </w:tcPr>
          <w:p w14:paraId="39BFD764">
            <w:pPr>
              <w:pStyle w:val="12"/>
            </w:pPr>
            <w:r>
              <w:t>质量指标</w:t>
            </w:r>
          </w:p>
        </w:tc>
        <w:tc>
          <w:tcPr>
            <w:tcW w:w="2835" w:type="dxa"/>
            <w:vAlign w:val="center"/>
          </w:tcPr>
          <w:p w14:paraId="6E4D2E9B">
            <w:pPr>
              <w:pStyle w:val="12"/>
            </w:pPr>
            <w:r>
              <w:t>预算执行率</w:t>
            </w:r>
          </w:p>
        </w:tc>
        <w:tc>
          <w:tcPr>
            <w:tcW w:w="5386" w:type="dxa"/>
            <w:vAlign w:val="center"/>
          </w:tcPr>
          <w:p w14:paraId="4275A79B">
            <w:pPr>
              <w:pStyle w:val="12"/>
            </w:pPr>
            <w:r>
              <w:t>预算执行率</w:t>
            </w:r>
          </w:p>
        </w:tc>
        <w:tc>
          <w:tcPr>
            <w:tcW w:w="2268" w:type="dxa"/>
            <w:vAlign w:val="center"/>
          </w:tcPr>
          <w:p w14:paraId="37EE3080">
            <w:pPr>
              <w:pStyle w:val="12"/>
            </w:pPr>
            <w:r>
              <w:t>≥95%</w:t>
            </w:r>
          </w:p>
        </w:tc>
        <w:tc>
          <w:tcPr>
            <w:tcW w:w="1276" w:type="dxa"/>
            <w:vAlign w:val="center"/>
          </w:tcPr>
          <w:p w14:paraId="42F50F13">
            <w:pPr>
              <w:pStyle w:val="12"/>
            </w:pPr>
            <w:r>
              <w:t>城乡义务教育公用经费管理办法</w:t>
            </w:r>
          </w:p>
        </w:tc>
      </w:tr>
      <w:tr w14:paraId="3C4E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4EB97"/>
        </w:tc>
        <w:tc>
          <w:tcPr>
            <w:tcW w:w="2268" w:type="dxa"/>
            <w:vAlign w:val="center"/>
          </w:tcPr>
          <w:p w14:paraId="166FAE27">
            <w:pPr>
              <w:pStyle w:val="12"/>
            </w:pPr>
            <w:r>
              <w:t>时效指标</w:t>
            </w:r>
          </w:p>
        </w:tc>
        <w:tc>
          <w:tcPr>
            <w:tcW w:w="2835" w:type="dxa"/>
            <w:vAlign w:val="center"/>
          </w:tcPr>
          <w:p w14:paraId="0183815A">
            <w:pPr>
              <w:pStyle w:val="12"/>
            </w:pPr>
            <w:r>
              <w:t>义教经费支付完成率</w:t>
            </w:r>
          </w:p>
        </w:tc>
        <w:tc>
          <w:tcPr>
            <w:tcW w:w="5386" w:type="dxa"/>
            <w:vAlign w:val="center"/>
          </w:tcPr>
          <w:p w14:paraId="1DA2DFC6">
            <w:pPr>
              <w:pStyle w:val="12"/>
            </w:pPr>
            <w:r>
              <w:t>按照序时进度完成资金支付</w:t>
            </w:r>
          </w:p>
        </w:tc>
        <w:tc>
          <w:tcPr>
            <w:tcW w:w="2268" w:type="dxa"/>
            <w:vAlign w:val="center"/>
          </w:tcPr>
          <w:p w14:paraId="347E894F">
            <w:pPr>
              <w:pStyle w:val="12"/>
            </w:pPr>
            <w:r>
              <w:t>100%</w:t>
            </w:r>
          </w:p>
        </w:tc>
        <w:tc>
          <w:tcPr>
            <w:tcW w:w="1276" w:type="dxa"/>
            <w:vAlign w:val="center"/>
          </w:tcPr>
          <w:p w14:paraId="19AF7BF2">
            <w:pPr>
              <w:pStyle w:val="12"/>
            </w:pPr>
            <w:r>
              <w:t>城乡义务教育公用经费管理办法</w:t>
            </w:r>
          </w:p>
        </w:tc>
      </w:tr>
      <w:tr w14:paraId="66867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9172A"/>
        </w:tc>
        <w:tc>
          <w:tcPr>
            <w:tcW w:w="2268" w:type="dxa"/>
            <w:vAlign w:val="center"/>
          </w:tcPr>
          <w:p w14:paraId="00127AC9">
            <w:pPr>
              <w:pStyle w:val="12"/>
            </w:pPr>
            <w:r>
              <w:t>成本指标</w:t>
            </w:r>
          </w:p>
        </w:tc>
        <w:tc>
          <w:tcPr>
            <w:tcW w:w="2835" w:type="dxa"/>
            <w:vAlign w:val="center"/>
          </w:tcPr>
          <w:p w14:paraId="7E9312B9">
            <w:pPr>
              <w:pStyle w:val="12"/>
            </w:pPr>
            <w:r>
              <w:t>生均拨款标准</w:t>
            </w:r>
          </w:p>
        </w:tc>
        <w:tc>
          <w:tcPr>
            <w:tcW w:w="5386" w:type="dxa"/>
            <w:vAlign w:val="center"/>
          </w:tcPr>
          <w:p w14:paraId="00686E45">
            <w:pPr>
              <w:pStyle w:val="12"/>
            </w:pPr>
            <w:r>
              <w:t>小学生公用经费生均公用经费基准定额为720元/年/生，取暖费120元/年/生，住宿生补助300元/年/生的标准，随班就读学生补助7000元/生/年</w:t>
            </w:r>
          </w:p>
        </w:tc>
        <w:tc>
          <w:tcPr>
            <w:tcW w:w="2268" w:type="dxa"/>
            <w:vAlign w:val="center"/>
          </w:tcPr>
          <w:p w14:paraId="18261211">
            <w:pPr>
              <w:pStyle w:val="12"/>
            </w:pPr>
            <w:r>
              <w:t>840元</w:t>
            </w:r>
          </w:p>
        </w:tc>
        <w:tc>
          <w:tcPr>
            <w:tcW w:w="1276" w:type="dxa"/>
            <w:vAlign w:val="center"/>
          </w:tcPr>
          <w:p w14:paraId="6E25AF4E">
            <w:pPr>
              <w:pStyle w:val="12"/>
            </w:pPr>
            <w:r>
              <w:t>城乡义务教育公用经费管理办法</w:t>
            </w:r>
          </w:p>
        </w:tc>
      </w:tr>
      <w:tr w14:paraId="79AE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29FDD">
            <w:pPr>
              <w:pStyle w:val="13"/>
            </w:pPr>
            <w:r>
              <w:t>效益指标</w:t>
            </w:r>
          </w:p>
        </w:tc>
        <w:tc>
          <w:tcPr>
            <w:tcW w:w="2268" w:type="dxa"/>
            <w:vAlign w:val="center"/>
          </w:tcPr>
          <w:p w14:paraId="2A8F635F">
            <w:pPr>
              <w:pStyle w:val="12"/>
            </w:pPr>
            <w:r>
              <w:t>可持续影响指标</w:t>
            </w:r>
          </w:p>
        </w:tc>
        <w:tc>
          <w:tcPr>
            <w:tcW w:w="2835" w:type="dxa"/>
            <w:vAlign w:val="center"/>
          </w:tcPr>
          <w:p w14:paraId="6F52539A">
            <w:pPr>
              <w:pStyle w:val="12"/>
            </w:pPr>
            <w:r>
              <w:t>学校运转得到提高</w:t>
            </w:r>
          </w:p>
        </w:tc>
        <w:tc>
          <w:tcPr>
            <w:tcW w:w="5386" w:type="dxa"/>
            <w:vAlign w:val="center"/>
          </w:tcPr>
          <w:p w14:paraId="409FBCE8">
            <w:pPr>
              <w:pStyle w:val="12"/>
            </w:pPr>
            <w:r>
              <w:t>学生受教育年限</w:t>
            </w:r>
          </w:p>
        </w:tc>
        <w:tc>
          <w:tcPr>
            <w:tcW w:w="2268" w:type="dxa"/>
            <w:vAlign w:val="center"/>
          </w:tcPr>
          <w:p w14:paraId="5442DDF3">
            <w:pPr>
              <w:pStyle w:val="12"/>
            </w:pPr>
            <w:r>
              <w:t>6年</w:t>
            </w:r>
          </w:p>
        </w:tc>
        <w:tc>
          <w:tcPr>
            <w:tcW w:w="1276" w:type="dxa"/>
            <w:vAlign w:val="center"/>
          </w:tcPr>
          <w:p w14:paraId="2A52081E">
            <w:pPr>
              <w:pStyle w:val="12"/>
            </w:pPr>
            <w:r>
              <w:t>城乡义务教育公用经费管理办法</w:t>
            </w:r>
          </w:p>
        </w:tc>
      </w:tr>
      <w:tr w14:paraId="3A79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64BED">
            <w:pPr>
              <w:pStyle w:val="13"/>
            </w:pPr>
            <w:r>
              <w:t>满意度指标</w:t>
            </w:r>
          </w:p>
        </w:tc>
        <w:tc>
          <w:tcPr>
            <w:tcW w:w="2268" w:type="dxa"/>
            <w:vAlign w:val="center"/>
          </w:tcPr>
          <w:p w14:paraId="1D3D73CD">
            <w:pPr>
              <w:pStyle w:val="12"/>
            </w:pPr>
            <w:r>
              <w:t>服务对象满意度指标</w:t>
            </w:r>
          </w:p>
        </w:tc>
        <w:tc>
          <w:tcPr>
            <w:tcW w:w="2835" w:type="dxa"/>
            <w:vAlign w:val="center"/>
          </w:tcPr>
          <w:p w14:paraId="4F9BDB9F">
            <w:pPr>
              <w:pStyle w:val="12"/>
            </w:pPr>
            <w:r>
              <w:t>服务对象满意度</w:t>
            </w:r>
          </w:p>
        </w:tc>
        <w:tc>
          <w:tcPr>
            <w:tcW w:w="5386" w:type="dxa"/>
            <w:vAlign w:val="center"/>
          </w:tcPr>
          <w:p w14:paraId="52570E2A">
            <w:pPr>
              <w:pStyle w:val="12"/>
            </w:pPr>
            <w:r>
              <w:t>学校老师和学生满意度</w:t>
            </w:r>
          </w:p>
        </w:tc>
        <w:tc>
          <w:tcPr>
            <w:tcW w:w="2268" w:type="dxa"/>
            <w:vAlign w:val="center"/>
          </w:tcPr>
          <w:p w14:paraId="04B5345C">
            <w:pPr>
              <w:pStyle w:val="12"/>
            </w:pPr>
            <w:r>
              <w:t>≥95%</w:t>
            </w:r>
          </w:p>
        </w:tc>
        <w:tc>
          <w:tcPr>
            <w:tcW w:w="1276" w:type="dxa"/>
            <w:vAlign w:val="center"/>
          </w:tcPr>
          <w:p w14:paraId="482A0044">
            <w:pPr>
              <w:pStyle w:val="12"/>
            </w:pPr>
            <w:r>
              <w:t>群众测评</w:t>
            </w:r>
          </w:p>
        </w:tc>
      </w:tr>
    </w:tbl>
    <w:p w14:paraId="418AFF95">
      <w:pPr>
        <w:sectPr>
          <w:pgSz w:w="16840" w:h="11900" w:orient="landscape"/>
          <w:pgMar w:top="1361" w:right="1020" w:bottom="1134" w:left="1020" w:header="720" w:footer="720" w:gutter="0"/>
          <w:cols w:space="720" w:num="1"/>
        </w:sectPr>
      </w:pPr>
    </w:p>
    <w:p w14:paraId="0ED0C13E">
      <w:pPr>
        <w:spacing w:before="0" w:after="0"/>
        <w:ind w:firstLine="560"/>
        <w:jc w:val="left"/>
        <w:outlineLvl w:val="9"/>
      </w:pPr>
      <w:r>
        <w:rPr>
          <w:rFonts w:ascii="方正仿宋_GBK" w:hAnsi="方正仿宋_GBK" w:eastAsia="方正仿宋_GBK" w:cs="方正仿宋_GBK"/>
          <w:b/>
          <w:color w:val="000000"/>
          <w:sz w:val="28"/>
        </w:rPr>
        <w:t>7、冀财教[2025]121号/中央/义教/2026年校舍安全/第四实验小学北侧教学楼维修改造绩效目标表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D3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8A301">
            <w:pPr>
              <w:pStyle w:val="11"/>
            </w:pPr>
            <w:r>
              <w:t>单位：万元</w:t>
            </w:r>
          </w:p>
        </w:tc>
      </w:tr>
      <w:tr w14:paraId="0A7AA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1B684">
            <w:pPr>
              <w:pStyle w:val="10"/>
            </w:pPr>
            <w:r>
              <w:t>项目编码</w:t>
            </w:r>
          </w:p>
        </w:tc>
        <w:tc>
          <w:tcPr>
            <w:tcW w:w="5103" w:type="dxa"/>
            <w:gridSpan w:val="2"/>
            <w:vAlign w:val="center"/>
          </w:tcPr>
          <w:p w14:paraId="30E9C0D4">
            <w:pPr>
              <w:pStyle w:val="12"/>
            </w:pPr>
            <w:r>
              <w:t>13052526P00876210089Q</w:t>
            </w:r>
          </w:p>
        </w:tc>
        <w:tc>
          <w:tcPr>
            <w:tcW w:w="2835" w:type="dxa"/>
            <w:vAlign w:val="center"/>
          </w:tcPr>
          <w:p w14:paraId="69168CFD">
            <w:pPr>
              <w:pStyle w:val="10"/>
            </w:pPr>
            <w:r>
              <w:t>项目名称</w:t>
            </w:r>
          </w:p>
        </w:tc>
        <w:tc>
          <w:tcPr>
            <w:tcW w:w="6095" w:type="dxa"/>
            <w:gridSpan w:val="3"/>
            <w:vAlign w:val="center"/>
          </w:tcPr>
          <w:p w14:paraId="6E272844">
            <w:pPr>
              <w:pStyle w:val="12"/>
            </w:pPr>
            <w:r>
              <w:t>冀财教[2025]121号/中央/义教/2026年校舍安全/第四实验小学北侧教学楼维修改造</w:t>
            </w:r>
          </w:p>
        </w:tc>
      </w:tr>
      <w:tr w14:paraId="385E0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6B97C">
            <w:pPr>
              <w:pStyle w:val="10"/>
            </w:pPr>
            <w:r>
              <w:t>预算规模及资金用途</w:t>
            </w:r>
          </w:p>
        </w:tc>
        <w:tc>
          <w:tcPr>
            <w:tcW w:w="2268" w:type="dxa"/>
            <w:vAlign w:val="center"/>
          </w:tcPr>
          <w:p w14:paraId="015E8861">
            <w:pPr>
              <w:pStyle w:val="10"/>
            </w:pPr>
            <w:r>
              <w:t>预算数</w:t>
            </w:r>
          </w:p>
        </w:tc>
        <w:tc>
          <w:tcPr>
            <w:tcW w:w="2835" w:type="dxa"/>
            <w:vAlign w:val="center"/>
          </w:tcPr>
          <w:p w14:paraId="7AAD723C">
            <w:pPr>
              <w:pStyle w:val="12"/>
            </w:pPr>
            <w:r>
              <w:t>54.00</w:t>
            </w:r>
          </w:p>
        </w:tc>
        <w:tc>
          <w:tcPr>
            <w:tcW w:w="2835" w:type="dxa"/>
            <w:vAlign w:val="center"/>
          </w:tcPr>
          <w:p w14:paraId="006AC2AF">
            <w:pPr>
              <w:pStyle w:val="10"/>
            </w:pPr>
            <w:r>
              <w:t>其中：财政    资金</w:t>
            </w:r>
          </w:p>
        </w:tc>
        <w:tc>
          <w:tcPr>
            <w:tcW w:w="2551" w:type="dxa"/>
            <w:vAlign w:val="center"/>
          </w:tcPr>
          <w:p w14:paraId="1667BA04">
            <w:pPr>
              <w:pStyle w:val="12"/>
            </w:pPr>
            <w:r>
              <w:t>54.00</w:t>
            </w:r>
          </w:p>
        </w:tc>
        <w:tc>
          <w:tcPr>
            <w:tcW w:w="2268" w:type="dxa"/>
            <w:vAlign w:val="center"/>
          </w:tcPr>
          <w:p w14:paraId="186B5D81">
            <w:pPr>
              <w:pStyle w:val="10"/>
            </w:pPr>
            <w:r>
              <w:t>其他资金</w:t>
            </w:r>
          </w:p>
        </w:tc>
        <w:tc>
          <w:tcPr>
            <w:tcW w:w="1276" w:type="dxa"/>
            <w:vAlign w:val="center"/>
          </w:tcPr>
          <w:p w14:paraId="41659D1F">
            <w:pPr>
              <w:pStyle w:val="12"/>
            </w:pPr>
            <w:r>
              <w:t xml:space="preserve"> </w:t>
            </w:r>
          </w:p>
        </w:tc>
      </w:tr>
      <w:tr w14:paraId="0B6E4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A291C"/>
        </w:tc>
        <w:tc>
          <w:tcPr>
            <w:tcW w:w="14033" w:type="dxa"/>
            <w:gridSpan w:val="6"/>
            <w:vAlign w:val="center"/>
          </w:tcPr>
          <w:p w14:paraId="00E53059">
            <w:pPr>
              <w:pStyle w:val="12"/>
            </w:pPr>
            <w:r>
              <w:t>改善就学条件，提升学校形象，保障义务教育阶段教学安全，创造良好的校园环境。</w:t>
            </w:r>
            <w:r>
              <w:tab/>
            </w:r>
            <w:r>
              <w:tab/>
            </w:r>
            <w:r>
              <w:tab/>
            </w:r>
            <w:r>
              <w:tab/>
            </w:r>
            <w:r>
              <w:tab/>
            </w:r>
            <w:r>
              <w:tab/>
            </w:r>
          </w:p>
          <w:p w14:paraId="53257708">
            <w:pPr>
              <w:pStyle w:val="12"/>
            </w:pPr>
          </w:p>
        </w:tc>
      </w:tr>
      <w:tr w14:paraId="2638C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D4B44">
            <w:pPr>
              <w:pStyle w:val="10"/>
            </w:pPr>
            <w:r>
              <w:t>资金支出计划（%）</w:t>
            </w:r>
          </w:p>
        </w:tc>
        <w:tc>
          <w:tcPr>
            <w:tcW w:w="5103" w:type="dxa"/>
            <w:gridSpan w:val="2"/>
            <w:vAlign w:val="center"/>
          </w:tcPr>
          <w:p w14:paraId="4D405CCE">
            <w:pPr>
              <w:pStyle w:val="10"/>
            </w:pPr>
            <w:r>
              <w:t>3月底</w:t>
            </w:r>
          </w:p>
        </w:tc>
        <w:tc>
          <w:tcPr>
            <w:tcW w:w="2835" w:type="dxa"/>
            <w:vAlign w:val="center"/>
          </w:tcPr>
          <w:p w14:paraId="5DEA0543">
            <w:pPr>
              <w:pStyle w:val="10"/>
            </w:pPr>
            <w:r>
              <w:t>6月底</w:t>
            </w:r>
          </w:p>
        </w:tc>
        <w:tc>
          <w:tcPr>
            <w:tcW w:w="2551" w:type="dxa"/>
            <w:vAlign w:val="center"/>
          </w:tcPr>
          <w:p w14:paraId="5E994FEB">
            <w:pPr>
              <w:pStyle w:val="10"/>
            </w:pPr>
            <w:r>
              <w:t>10月底</w:t>
            </w:r>
          </w:p>
        </w:tc>
        <w:tc>
          <w:tcPr>
            <w:tcW w:w="3544" w:type="dxa"/>
            <w:gridSpan w:val="2"/>
            <w:vAlign w:val="center"/>
          </w:tcPr>
          <w:p w14:paraId="1838446F">
            <w:pPr>
              <w:pStyle w:val="10"/>
            </w:pPr>
            <w:r>
              <w:t>12月底</w:t>
            </w:r>
          </w:p>
        </w:tc>
      </w:tr>
      <w:tr w14:paraId="1C1CE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E5D49"/>
        </w:tc>
        <w:tc>
          <w:tcPr>
            <w:tcW w:w="5103" w:type="dxa"/>
            <w:gridSpan w:val="2"/>
            <w:vAlign w:val="center"/>
          </w:tcPr>
          <w:p w14:paraId="00D17DFE">
            <w:pPr>
              <w:pStyle w:val="13"/>
            </w:pPr>
            <w:r>
              <w:t xml:space="preserve"> </w:t>
            </w:r>
          </w:p>
        </w:tc>
        <w:tc>
          <w:tcPr>
            <w:tcW w:w="2835" w:type="dxa"/>
            <w:vAlign w:val="center"/>
          </w:tcPr>
          <w:p w14:paraId="206B4B84">
            <w:pPr>
              <w:pStyle w:val="13"/>
            </w:pPr>
            <w:r>
              <w:t xml:space="preserve"> </w:t>
            </w:r>
          </w:p>
        </w:tc>
        <w:tc>
          <w:tcPr>
            <w:tcW w:w="2551" w:type="dxa"/>
            <w:vAlign w:val="center"/>
          </w:tcPr>
          <w:p w14:paraId="2A5C21A4">
            <w:pPr>
              <w:pStyle w:val="13"/>
            </w:pPr>
            <w:r>
              <w:t>100%</w:t>
            </w:r>
          </w:p>
        </w:tc>
        <w:tc>
          <w:tcPr>
            <w:tcW w:w="3544" w:type="dxa"/>
            <w:gridSpan w:val="2"/>
            <w:vAlign w:val="center"/>
          </w:tcPr>
          <w:p w14:paraId="607E5459">
            <w:pPr>
              <w:pStyle w:val="13"/>
            </w:pPr>
            <w:r>
              <w:t>100%</w:t>
            </w:r>
          </w:p>
        </w:tc>
      </w:tr>
      <w:tr w14:paraId="21608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392A7">
            <w:pPr>
              <w:pStyle w:val="10"/>
            </w:pPr>
            <w:r>
              <w:t>绩效目标</w:t>
            </w:r>
          </w:p>
        </w:tc>
        <w:tc>
          <w:tcPr>
            <w:tcW w:w="14033" w:type="dxa"/>
            <w:gridSpan w:val="6"/>
            <w:vAlign w:val="center"/>
          </w:tcPr>
          <w:p w14:paraId="5B102518">
            <w:pPr>
              <w:pStyle w:val="12"/>
            </w:pPr>
            <w:r>
              <w:t>1.改善就学条件，提升学校形象，保障义务教育阶段教学安全，创造良好的校园环境。</w:t>
            </w:r>
            <w:r>
              <w:tab/>
            </w:r>
            <w:r>
              <w:tab/>
            </w:r>
            <w:r>
              <w:tab/>
            </w:r>
            <w:r>
              <w:tab/>
            </w:r>
            <w:r>
              <w:tab/>
            </w:r>
            <w:r>
              <w:tab/>
            </w:r>
          </w:p>
          <w:p w14:paraId="74A62A74">
            <w:pPr>
              <w:pStyle w:val="12"/>
            </w:pPr>
          </w:p>
          <w:p w14:paraId="1C26AB91">
            <w:pPr>
              <w:pStyle w:val="12"/>
            </w:pPr>
            <w:r>
              <w:t>2.项目需资金54万元，资金拨付率达到100%。</w:t>
            </w:r>
            <w:r>
              <w:tab/>
            </w:r>
            <w:r>
              <w:tab/>
            </w:r>
            <w:r>
              <w:tab/>
            </w:r>
            <w:r>
              <w:tab/>
            </w:r>
            <w:r>
              <w:tab/>
            </w:r>
            <w:r>
              <w:tab/>
            </w:r>
          </w:p>
          <w:p w14:paraId="6643E1B4">
            <w:pPr>
              <w:pStyle w:val="12"/>
            </w:pPr>
          </w:p>
        </w:tc>
      </w:tr>
    </w:tbl>
    <w:p w14:paraId="230C2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E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594B5">
            <w:pPr>
              <w:pStyle w:val="10"/>
            </w:pPr>
            <w:r>
              <w:t>一级指标</w:t>
            </w:r>
          </w:p>
        </w:tc>
        <w:tc>
          <w:tcPr>
            <w:tcW w:w="2268" w:type="dxa"/>
            <w:vAlign w:val="center"/>
          </w:tcPr>
          <w:p w14:paraId="336DA818">
            <w:pPr>
              <w:pStyle w:val="10"/>
            </w:pPr>
            <w:r>
              <w:t>二级指标</w:t>
            </w:r>
          </w:p>
        </w:tc>
        <w:tc>
          <w:tcPr>
            <w:tcW w:w="2835" w:type="dxa"/>
            <w:vAlign w:val="center"/>
          </w:tcPr>
          <w:p w14:paraId="3C524453">
            <w:pPr>
              <w:pStyle w:val="10"/>
            </w:pPr>
            <w:r>
              <w:t>三级指标</w:t>
            </w:r>
          </w:p>
        </w:tc>
        <w:tc>
          <w:tcPr>
            <w:tcW w:w="5386" w:type="dxa"/>
            <w:vAlign w:val="center"/>
          </w:tcPr>
          <w:p w14:paraId="3545284A">
            <w:pPr>
              <w:pStyle w:val="10"/>
            </w:pPr>
            <w:r>
              <w:t>绩效指标描述</w:t>
            </w:r>
          </w:p>
        </w:tc>
        <w:tc>
          <w:tcPr>
            <w:tcW w:w="2268" w:type="dxa"/>
            <w:vAlign w:val="center"/>
          </w:tcPr>
          <w:p w14:paraId="51432139">
            <w:pPr>
              <w:pStyle w:val="10"/>
            </w:pPr>
            <w:r>
              <w:t>指标值</w:t>
            </w:r>
          </w:p>
        </w:tc>
        <w:tc>
          <w:tcPr>
            <w:tcW w:w="1276" w:type="dxa"/>
            <w:vAlign w:val="center"/>
          </w:tcPr>
          <w:p w14:paraId="35D0233D">
            <w:pPr>
              <w:pStyle w:val="10"/>
            </w:pPr>
            <w:r>
              <w:t>指标值确定依据</w:t>
            </w:r>
          </w:p>
        </w:tc>
      </w:tr>
      <w:tr w14:paraId="0820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DD0A3">
            <w:pPr>
              <w:pStyle w:val="13"/>
            </w:pPr>
            <w:r>
              <w:t>产出指标</w:t>
            </w:r>
          </w:p>
        </w:tc>
        <w:tc>
          <w:tcPr>
            <w:tcW w:w="2268" w:type="dxa"/>
            <w:vAlign w:val="center"/>
          </w:tcPr>
          <w:p w14:paraId="2ED7CF13">
            <w:pPr>
              <w:pStyle w:val="12"/>
            </w:pPr>
            <w:r>
              <w:t>数量指标</w:t>
            </w:r>
          </w:p>
        </w:tc>
        <w:tc>
          <w:tcPr>
            <w:tcW w:w="2835" w:type="dxa"/>
            <w:vAlign w:val="center"/>
          </w:tcPr>
          <w:p w14:paraId="741AE312">
            <w:pPr>
              <w:pStyle w:val="12"/>
            </w:pPr>
            <w:r>
              <w:t>第四实验小学北侧教学楼维修改造</w:t>
            </w:r>
          </w:p>
        </w:tc>
        <w:tc>
          <w:tcPr>
            <w:tcW w:w="5386" w:type="dxa"/>
            <w:vAlign w:val="center"/>
          </w:tcPr>
          <w:p w14:paraId="6EE8CE6B">
            <w:pPr>
              <w:pStyle w:val="12"/>
            </w:pPr>
            <w:r>
              <w:t>拆除门窗、更换断桥铝门窗、一楼地砖更换、二楼地坪漆等</w:t>
            </w:r>
          </w:p>
        </w:tc>
        <w:tc>
          <w:tcPr>
            <w:tcW w:w="2268" w:type="dxa"/>
            <w:vAlign w:val="center"/>
          </w:tcPr>
          <w:p w14:paraId="3E05D640">
            <w:pPr>
              <w:pStyle w:val="12"/>
            </w:pPr>
            <w:r>
              <w:t>1项</w:t>
            </w:r>
          </w:p>
        </w:tc>
        <w:tc>
          <w:tcPr>
            <w:tcW w:w="1276" w:type="dxa"/>
            <w:vAlign w:val="center"/>
          </w:tcPr>
          <w:p w14:paraId="24C3AB95">
            <w:pPr>
              <w:pStyle w:val="12"/>
            </w:pPr>
            <w:r>
              <w:t>项目规划</w:t>
            </w:r>
          </w:p>
        </w:tc>
      </w:tr>
      <w:tr w14:paraId="3474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135B4"/>
        </w:tc>
        <w:tc>
          <w:tcPr>
            <w:tcW w:w="2268" w:type="dxa"/>
            <w:vAlign w:val="center"/>
          </w:tcPr>
          <w:p w14:paraId="68A88341">
            <w:pPr>
              <w:pStyle w:val="12"/>
            </w:pPr>
            <w:r>
              <w:t>质量指标</w:t>
            </w:r>
          </w:p>
        </w:tc>
        <w:tc>
          <w:tcPr>
            <w:tcW w:w="2835" w:type="dxa"/>
            <w:vAlign w:val="center"/>
          </w:tcPr>
          <w:p w14:paraId="60BB5651">
            <w:pPr>
              <w:pStyle w:val="12"/>
            </w:pPr>
            <w:r>
              <w:t>工程实施验收合格率</w:t>
            </w:r>
          </w:p>
        </w:tc>
        <w:tc>
          <w:tcPr>
            <w:tcW w:w="5386" w:type="dxa"/>
            <w:vAlign w:val="center"/>
          </w:tcPr>
          <w:p w14:paraId="6354FE10">
            <w:pPr>
              <w:pStyle w:val="12"/>
            </w:pPr>
            <w:r>
              <w:t>申报程序的合规，项目实施及资金使用符合项目规划</w:t>
            </w:r>
          </w:p>
        </w:tc>
        <w:tc>
          <w:tcPr>
            <w:tcW w:w="2268" w:type="dxa"/>
            <w:vAlign w:val="center"/>
          </w:tcPr>
          <w:p w14:paraId="73BFDB07">
            <w:pPr>
              <w:pStyle w:val="12"/>
            </w:pPr>
            <w:r>
              <w:t>100%</w:t>
            </w:r>
          </w:p>
        </w:tc>
        <w:tc>
          <w:tcPr>
            <w:tcW w:w="1276" w:type="dxa"/>
            <w:vAlign w:val="center"/>
          </w:tcPr>
          <w:p w14:paraId="50264FF3">
            <w:pPr>
              <w:pStyle w:val="12"/>
            </w:pPr>
            <w:r>
              <w:t>项目规划</w:t>
            </w:r>
          </w:p>
        </w:tc>
      </w:tr>
      <w:tr w14:paraId="4CD1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A9F71"/>
        </w:tc>
        <w:tc>
          <w:tcPr>
            <w:tcW w:w="2268" w:type="dxa"/>
            <w:vAlign w:val="center"/>
          </w:tcPr>
          <w:p w14:paraId="382ABABF">
            <w:pPr>
              <w:pStyle w:val="12"/>
            </w:pPr>
            <w:r>
              <w:t>时效指标</w:t>
            </w:r>
          </w:p>
        </w:tc>
        <w:tc>
          <w:tcPr>
            <w:tcW w:w="2835" w:type="dxa"/>
            <w:vAlign w:val="center"/>
          </w:tcPr>
          <w:p w14:paraId="5FB68F24">
            <w:pPr>
              <w:pStyle w:val="12"/>
            </w:pPr>
            <w:r>
              <w:t>资金支付率</w:t>
            </w:r>
          </w:p>
        </w:tc>
        <w:tc>
          <w:tcPr>
            <w:tcW w:w="5386" w:type="dxa"/>
            <w:vAlign w:val="center"/>
          </w:tcPr>
          <w:p w14:paraId="534BFA21">
            <w:pPr>
              <w:pStyle w:val="12"/>
            </w:pPr>
            <w:r>
              <w:t>按照序时进度完成资金支付</w:t>
            </w:r>
          </w:p>
        </w:tc>
        <w:tc>
          <w:tcPr>
            <w:tcW w:w="2268" w:type="dxa"/>
            <w:vAlign w:val="center"/>
          </w:tcPr>
          <w:p w14:paraId="6FB61C1E">
            <w:pPr>
              <w:pStyle w:val="12"/>
            </w:pPr>
            <w:r>
              <w:t>100%</w:t>
            </w:r>
          </w:p>
        </w:tc>
        <w:tc>
          <w:tcPr>
            <w:tcW w:w="1276" w:type="dxa"/>
            <w:vAlign w:val="center"/>
          </w:tcPr>
          <w:p w14:paraId="511FEFD2">
            <w:pPr>
              <w:pStyle w:val="12"/>
            </w:pPr>
            <w:r>
              <w:t>项目规划</w:t>
            </w:r>
          </w:p>
        </w:tc>
      </w:tr>
      <w:tr w14:paraId="4F13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68D59"/>
        </w:tc>
        <w:tc>
          <w:tcPr>
            <w:tcW w:w="2268" w:type="dxa"/>
            <w:vAlign w:val="center"/>
          </w:tcPr>
          <w:p w14:paraId="3B209CE0">
            <w:pPr>
              <w:pStyle w:val="12"/>
            </w:pPr>
            <w:r>
              <w:t>成本指标</w:t>
            </w:r>
          </w:p>
        </w:tc>
        <w:tc>
          <w:tcPr>
            <w:tcW w:w="2835" w:type="dxa"/>
            <w:vAlign w:val="center"/>
          </w:tcPr>
          <w:p w14:paraId="31AE2832">
            <w:pPr>
              <w:pStyle w:val="12"/>
            </w:pPr>
            <w:r>
              <w:t>项目成本控制情况</w:t>
            </w:r>
          </w:p>
        </w:tc>
        <w:tc>
          <w:tcPr>
            <w:tcW w:w="5386" w:type="dxa"/>
            <w:vAlign w:val="center"/>
          </w:tcPr>
          <w:p w14:paraId="3A12C846">
            <w:pPr>
              <w:pStyle w:val="12"/>
            </w:pPr>
            <w:r>
              <w:t>严格按照招标价格及审计额进行</w:t>
            </w:r>
          </w:p>
        </w:tc>
        <w:tc>
          <w:tcPr>
            <w:tcW w:w="2268" w:type="dxa"/>
            <w:vAlign w:val="center"/>
          </w:tcPr>
          <w:p w14:paraId="3FFC3B2B">
            <w:pPr>
              <w:pStyle w:val="12"/>
            </w:pPr>
            <w:r>
              <w:t>54万元</w:t>
            </w:r>
          </w:p>
        </w:tc>
        <w:tc>
          <w:tcPr>
            <w:tcW w:w="1276" w:type="dxa"/>
            <w:vAlign w:val="center"/>
          </w:tcPr>
          <w:p w14:paraId="2ACD97B7">
            <w:pPr>
              <w:pStyle w:val="12"/>
            </w:pPr>
            <w:r>
              <w:t>项目规划</w:t>
            </w:r>
          </w:p>
        </w:tc>
      </w:tr>
      <w:tr w14:paraId="435F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E7E8C">
            <w:pPr>
              <w:pStyle w:val="13"/>
            </w:pPr>
            <w:r>
              <w:t>效益指标</w:t>
            </w:r>
          </w:p>
        </w:tc>
        <w:tc>
          <w:tcPr>
            <w:tcW w:w="2268" w:type="dxa"/>
            <w:vAlign w:val="center"/>
          </w:tcPr>
          <w:p w14:paraId="146779F3">
            <w:pPr>
              <w:pStyle w:val="12"/>
            </w:pPr>
            <w:r>
              <w:t>社会效益指标</w:t>
            </w:r>
          </w:p>
        </w:tc>
        <w:tc>
          <w:tcPr>
            <w:tcW w:w="2835" w:type="dxa"/>
            <w:vAlign w:val="center"/>
          </w:tcPr>
          <w:p w14:paraId="52A98365">
            <w:pPr>
              <w:pStyle w:val="12"/>
            </w:pPr>
            <w:r>
              <w:t>学校办学环境提升</w:t>
            </w:r>
          </w:p>
        </w:tc>
        <w:tc>
          <w:tcPr>
            <w:tcW w:w="5386" w:type="dxa"/>
            <w:vAlign w:val="center"/>
          </w:tcPr>
          <w:p w14:paraId="28ADEB4C">
            <w:pPr>
              <w:pStyle w:val="12"/>
            </w:pPr>
            <w:r>
              <w:t>学校教学环境提升优化率</w:t>
            </w:r>
          </w:p>
        </w:tc>
        <w:tc>
          <w:tcPr>
            <w:tcW w:w="2268" w:type="dxa"/>
            <w:vAlign w:val="center"/>
          </w:tcPr>
          <w:p w14:paraId="50C2F617">
            <w:pPr>
              <w:pStyle w:val="12"/>
            </w:pPr>
            <w:r>
              <w:t>≥98%</w:t>
            </w:r>
          </w:p>
        </w:tc>
        <w:tc>
          <w:tcPr>
            <w:tcW w:w="1276" w:type="dxa"/>
            <w:vAlign w:val="center"/>
          </w:tcPr>
          <w:p w14:paraId="41D86A4A">
            <w:pPr>
              <w:pStyle w:val="12"/>
            </w:pPr>
            <w:r>
              <w:t>项目规划</w:t>
            </w:r>
          </w:p>
        </w:tc>
      </w:tr>
      <w:tr w14:paraId="2A7B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D3A94">
            <w:pPr>
              <w:pStyle w:val="13"/>
            </w:pPr>
            <w:r>
              <w:t>满意度指标</w:t>
            </w:r>
          </w:p>
        </w:tc>
        <w:tc>
          <w:tcPr>
            <w:tcW w:w="2268" w:type="dxa"/>
            <w:vAlign w:val="center"/>
          </w:tcPr>
          <w:p w14:paraId="2A01C21E">
            <w:pPr>
              <w:pStyle w:val="12"/>
            </w:pPr>
            <w:r>
              <w:t>服务对象满意度指标</w:t>
            </w:r>
          </w:p>
        </w:tc>
        <w:tc>
          <w:tcPr>
            <w:tcW w:w="2835" w:type="dxa"/>
            <w:vAlign w:val="center"/>
          </w:tcPr>
          <w:p w14:paraId="34A6246E">
            <w:pPr>
              <w:pStyle w:val="12"/>
            </w:pPr>
            <w:r>
              <w:t>受益学生家长及调查满意度</w:t>
            </w:r>
          </w:p>
        </w:tc>
        <w:tc>
          <w:tcPr>
            <w:tcW w:w="5386" w:type="dxa"/>
            <w:vAlign w:val="center"/>
          </w:tcPr>
          <w:p w14:paraId="61F55EBB">
            <w:pPr>
              <w:pStyle w:val="12"/>
            </w:pPr>
            <w:r>
              <w:t>学生、教师及家长对学校教学环境满意度情况</w:t>
            </w:r>
          </w:p>
        </w:tc>
        <w:tc>
          <w:tcPr>
            <w:tcW w:w="2268" w:type="dxa"/>
            <w:vAlign w:val="center"/>
          </w:tcPr>
          <w:p w14:paraId="1CD05E3C">
            <w:pPr>
              <w:pStyle w:val="12"/>
            </w:pPr>
            <w:r>
              <w:t>≥95%</w:t>
            </w:r>
          </w:p>
        </w:tc>
        <w:tc>
          <w:tcPr>
            <w:tcW w:w="1276" w:type="dxa"/>
            <w:vAlign w:val="center"/>
          </w:tcPr>
          <w:p w14:paraId="3702D5DC">
            <w:pPr>
              <w:pStyle w:val="12"/>
            </w:pPr>
            <w:r>
              <w:t>调查问卷</w:t>
            </w:r>
          </w:p>
        </w:tc>
      </w:tr>
    </w:tbl>
    <w:p w14:paraId="1C335B4F">
      <w:pPr>
        <w:sectPr>
          <w:pgSz w:w="16840" w:h="11900" w:orient="landscape"/>
          <w:pgMar w:top="1361" w:right="1020" w:bottom="1134" w:left="1020" w:header="720" w:footer="720" w:gutter="0"/>
          <w:cols w:space="720" w:num="1"/>
        </w:sectPr>
      </w:pPr>
    </w:p>
    <w:p w14:paraId="35BAD0AC">
      <w:pPr>
        <w:spacing w:before="0" w:after="0"/>
        <w:ind w:firstLine="560"/>
        <w:jc w:val="left"/>
        <w:outlineLvl w:val="9"/>
      </w:pPr>
      <w:r>
        <w:rPr>
          <w:rFonts w:ascii="方正仿宋_GBK" w:hAnsi="方正仿宋_GBK" w:eastAsia="方正仿宋_GBK" w:cs="方正仿宋_GBK"/>
          <w:b/>
          <w:color w:val="000000"/>
          <w:sz w:val="28"/>
        </w:rPr>
        <w:t>8、冀财教[2025]121号/中央/义教/2026年校舍安全/水饭小学校舍维修改造绩效目标表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FA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99834">
            <w:pPr>
              <w:pStyle w:val="11"/>
            </w:pPr>
            <w:r>
              <w:t>单位：万元</w:t>
            </w:r>
          </w:p>
        </w:tc>
      </w:tr>
      <w:tr w14:paraId="6D524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1A300">
            <w:pPr>
              <w:pStyle w:val="10"/>
            </w:pPr>
            <w:r>
              <w:t>项目编码</w:t>
            </w:r>
          </w:p>
        </w:tc>
        <w:tc>
          <w:tcPr>
            <w:tcW w:w="5103" w:type="dxa"/>
            <w:gridSpan w:val="2"/>
            <w:vAlign w:val="center"/>
          </w:tcPr>
          <w:p w14:paraId="06102F88">
            <w:pPr>
              <w:pStyle w:val="12"/>
            </w:pPr>
            <w:r>
              <w:t>13052526P008762100885</w:t>
            </w:r>
          </w:p>
        </w:tc>
        <w:tc>
          <w:tcPr>
            <w:tcW w:w="2835" w:type="dxa"/>
            <w:vAlign w:val="center"/>
          </w:tcPr>
          <w:p w14:paraId="2B173095">
            <w:pPr>
              <w:pStyle w:val="10"/>
            </w:pPr>
            <w:r>
              <w:t>项目名称</w:t>
            </w:r>
          </w:p>
        </w:tc>
        <w:tc>
          <w:tcPr>
            <w:tcW w:w="6095" w:type="dxa"/>
            <w:gridSpan w:val="3"/>
            <w:vAlign w:val="center"/>
          </w:tcPr>
          <w:p w14:paraId="7DE3C83F">
            <w:pPr>
              <w:pStyle w:val="12"/>
            </w:pPr>
            <w:r>
              <w:t>冀财教[2025]121号/中央/义教/2026年校舍安全/水饭小学校舍维修改造</w:t>
            </w:r>
          </w:p>
        </w:tc>
      </w:tr>
      <w:tr w14:paraId="42F30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41A1C">
            <w:pPr>
              <w:pStyle w:val="10"/>
            </w:pPr>
            <w:r>
              <w:t>预算规模及资金用途</w:t>
            </w:r>
          </w:p>
        </w:tc>
        <w:tc>
          <w:tcPr>
            <w:tcW w:w="2268" w:type="dxa"/>
            <w:vAlign w:val="center"/>
          </w:tcPr>
          <w:p w14:paraId="3EC18C8A">
            <w:pPr>
              <w:pStyle w:val="10"/>
            </w:pPr>
            <w:r>
              <w:t>预算数</w:t>
            </w:r>
          </w:p>
        </w:tc>
        <w:tc>
          <w:tcPr>
            <w:tcW w:w="2835" w:type="dxa"/>
            <w:vAlign w:val="center"/>
          </w:tcPr>
          <w:p w14:paraId="5BCF1A37">
            <w:pPr>
              <w:pStyle w:val="12"/>
            </w:pPr>
            <w:r>
              <w:t>41.00</w:t>
            </w:r>
          </w:p>
        </w:tc>
        <w:tc>
          <w:tcPr>
            <w:tcW w:w="2835" w:type="dxa"/>
            <w:vAlign w:val="center"/>
          </w:tcPr>
          <w:p w14:paraId="177A332A">
            <w:pPr>
              <w:pStyle w:val="10"/>
            </w:pPr>
            <w:r>
              <w:t>其中：财政    资金</w:t>
            </w:r>
          </w:p>
        </w:tc>
        <w:tc>
          <w:tcPr>
            <w:tcW w:w="2551" w:type="dxa"/>
            <w:vAlign w:val="center"/>
          </w:tcPr>
          <w:p w14:paraId="3151CFD7">
            <w:pPr>
              <w:pStyle w:val="12"/>
            </w:pPr>
            <w:r>
              <w:t>41.00</w:t>
            </w:r>
          </w:p>
        </w:tc>
        <w:tc>
          <w:tcPr>
            <w:tcW w:w="2268" w:type="dxa"/>
            <w:vAlign w:val="center"/>
          </w:tcPr>
          <w:p w14:paraId="36D0F5EC">
            <w:pPr>
              <w:pStyle w:val="10"/>
            </w:pPr>
            <w:r>
              <w:t>其他资金</w:t>
            </w:r>
          </w:p>
        </w:tc>
        <w:tc>
          <w:tcPr>
            <w:tcW w:w="1276" w:type="dxa"/>
            <w:vAlign w:val="center"/>
          </w:tcPr>
          <w:p w14:paraId="1E1F6BF2">
            <w:pPr>
              <w:pStyle w:val="12"/>
            </w:pPr>
            <w:r>
              <w:t xml:space="preserve"> </w:t>
            </w:r>
          </w:p>
        </w:tc>
      </w:tr>
      <w:tr w14:paraId="79AC0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B57D4"/>
        </w:tc>
        <w:tc>
          <w:tcPr>
            <w:tcW w:w="14033" w:type="dxa"/>
            <w:gridSpan w:val="6"/>
            <w:vAlign w:val="center"/>
          </w:tcPr>
          <w:p w14:paraId="14978971">
            <w:pPr>
              <w:pStyle w:val="12"/>
            </w:pPr>
            <w:r>
              <w:t>改善就学条件，提升学校形象，保障义务教育阶段教学安全，创造良好的校园环境。</w:t>
            </w:r>
          </w:p>
        </w:tc>
      </w:tr>
      <w:tr w14:paraId="30F4C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B860C">
            <w:pPr>
              <w:pStyle w:val="10"/>
            </w:pPr>
            <w:r>
              <w:t>资金支出计划（%）</w:t>
            </w:r>
          </w:p>
        </w:tc>
        <w:tc>
          <w:tcPr>
            <w:tcW w:w="5103" w:type="dxa"/>
            <w:gridSpan w:val="2"/>
            <w:vAlign w:val="center"/>
          </w:tcPr>
          <w:p w14:paraId="509E344C">
            <w:pPr>
              <w:pStyle w:val="10"/>
            </w:pPr>
            <w:r>
              <w:t>3月底</w:t>
            </w:r>
          </w:p>
        </w:tc>
        <w:tc>
          <w:tcPr>
            <w:tcW w:w="2835" w:type="dxa"/>
            <w:vAlign w:val="center"/>
          </w:tcPr>
          <w:p w14:paraId="2F496D06">
            <w:pPr>
              <w:pStyle w:val="10"/>
            </w:pPr>
            <w:r>
              <w:t>6月底</w:t>
            </w:r>
          </w:p>
        </w:tc>
        <w:tc>
          <w:tcPr>
            <w:tcW w:w="2551" w:type="dxa"/>
            <w:vAlign w:val="center"/>
          </w:tcPr>
          <w:p w14:paraId="1547DB54">
            <w:pPr>
              <w:pStyle w:val="10"/>
            </w:pPr>
            <w:r>
              <w:t>10月底</w:t>
            </w:r>
          </w:p>
        </w:tc>
        <w:tc>
          <w:tcPr>
            <w:tcW w:w="3544" w:type="dxa"/>
            <w:gridSpan w:val="2"/>
            <w:vAlign w:val="center"/>
          </w:tcPr>
          <w:p w14:paraId="13D4B961">
            <w:pPr>
              <w:pStyle w:val="10"/>
            </w:pPr>
            <w:r>
              <w:t>12月底</w:t>
            </w:r>
          </w:p>
        </w:tc>
      </w:tr>
      <w:tr w14:paraId="518EF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C7EEE"/>
        </w:tc>
        <w:tc>
          <w:tcPr>
            <w:tcW w:w="5103" w:type="dxa"/>
            <w:gridSpan w:val="2"/>
            <w:vAlign w:val="center"/>
          </w:tcPr>
          <w:p w14:paraId="75192DA2">
            <w:pPr>
              <w:pStyle w:val="13"/>
            </w:pPr>
            <w:r>
              <w:t xml:space="preserve"> </w:t>
            </w:r>
          </w:p>
        </w:tc>
        <w:tc>
          <w:tcPr>
            <w:tcW w:w="2835" w:type="dxa"/>
            <w:vAlign w:val="center"/>
          </w:tcPr>
          <w:p w14:paraId="7C387DAD">
            <w:pPr>
              <w:pStyle w:val="13"/>
            </w:pPr>
            <w:r>
              <w:t xml:space="preserve"> </w:t>
            </w:r>
          </w:p>
        </w:tc>
        <w:tc>
          <w:tcPr>
            <w:tcW w:w="2551" w:type="dxa"/>
            <w:vAlign w:val="center"/>
          </w:tcPr>
          <w:p w14:paraId="341369DF">
            <w:pPr>
              <w:pStyle w:val="13"/>
            </w:pPr>
            <w:r>
              <w:t>100%</w:t>
            </w:r>
          </w:p>
        </w:tc>
        <w:tc>
          <w:tcPr>
            <w:tcW w:w="3544" w:type="dxa"/>
            <w:gridSpan w:val="2"/>
            <w:vAlign w:val="center"/>
          </w:tcPr>
          <w:p w14:paraId="7606A609">
            <w:pPr>
              <w:pStyle w:val="13"/>
            </w:pPr>
            <w:r>
              <w:t>100%</w:t>
            </w:r>
          </w:p>
        </w:tc>
      </w:tr>
      <w:tr w14:paraId="0360A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A270D">
            <w:pPr>
              <w:pStyle w:val="10"/>
            </w:pPr>
            <w:r>
              <w:t>绩效目标</w:t>
            </w:r>
          </w:p>
        </w:tc>
        <w:tc>
          <w:tcPr>
            <w:tcW w:w="14033" w:type="dxa"/>
            <w:gridSpan w:val="6"/>
            <w:vAlign w:val="center"/>
          </w:tcPr>
          <w:p w14:paraId="7902E68C">
            <w:pPr>
              <w:pStyle w:val="12"/>
            </w:pPr>
            <w:r>
              <w:t>1.改善就学条件，提升学校形象，保障义务教育阶段教学安全，创造良好的校园环境。</w:t>
            </w:r>
          </w:p>
          <w:p w14:paraId="4AC0AFAA">
            <w:pPr>
              <w:pStyle w:val="12"/>
            </w:pPr>
            <w:r>
              <w:t>2.项目需资金41万元，资金拨付率达到100%。</w:t>
            </w:r>
          </w:p>
        </w:tc>
      </w:tr>
    </w:tbl>
    <w:p w14:paraId="5E9602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6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61895">
            <w:pPr>
              <w:pStyle w:val="10"/>
            </w:pPr>
            <w:r>
              <w:t>一级指标</w:t>
            </w:r>
          </w:p>
        </w:tc>
        <w:tc>
          <w:tcPr>
            <w:tcW w:w="2268" w:type="dxa"/>
            <w:vAlign w:val="center"/>
          </w:tcPr>
          <w:p w14:paraId="2D55796D">
            <w:pPr>
              <w:pStyle w:val="10"/>
            </w:pPr>
            <w:r>
              <w:t>二级指标</w:t>
            </w:r>
          </w:p>
        </w:tc>
        <w:tc>
          <w:tcPr>
            <w:tcW w:w="2835" w:type="dxa"/>
            <w:vAlign w:val="center"/>
          </w:tcPr>
          <w:p w14:paraId="28958471">
            <w:pPr>
              <w:pStyle w:val="10"/>
            </w:pPr>
            <w:r>
              <w:t>三级指标</w:t>
            </w:r>
          </w:p>
        </w:tc>
        <w:tc>
          <w:tcPr>
            <w:tcW w:w="5386" w:type="dxa"/>
            <w:vAlign w:val="center"/>
          </w:tcPr>
          <w:p w14:paraId="68588CB3">
            <w:pPr>
              <w:pStyle w:val="10"/>
            </w:pPr>
            <w:r>
              <w:t>绩效指标描述</w:t>
            </w:r>
          </w:p>
        </w:tc>
        <w:tc>
          <w:tcPr>
            <w:tcW w:w="2268" w:type="dxa"/>
            <w:vAlign w:val="center"/>
          </w:tcPr>
          <w:p w14:paraId="3DA386B1">
            <w:pPr>
              <w:pStyle w:val="10"/>
            </w:pPr>
            <w:r>
              <w:t>指标值</w:t>
            </w:r>
          </w:p>
        </w:tc>
        <w:tc>
          <w:tcPr>
            <w:tcW w:w="1276" w:type="dxa"/>
            <w:vAlign w:val="center"/>
          </w:tcPr>
          <w:p w14:paraId="34AF122B">
            <w:pPr>
              <w:pStyle w:val="10"/>
            </w:pPr>
            <w:r>
              <w:t>指标值确定依据</w:t>
            </w:r>
          </w:p>
        </w:tc>
      </w:tr>
      <w:tr w14:paraId="3C00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5E9E6">
            <w:pPr>
              <w:pStyle w:val="13"/>
            </w:pPr>
            <w:r>
              <w:t>产出指标</w:t>
            </w:r>
          </w:p>
        </w:tc>
        <w:tc>
          <w:tcPr>
            <w:tcW w:w="2268" w:type="dxa"/>
            <w:vAlign w:val="center"/>
          </w:tcPr>
          <w:p w14:paraId="3935016A">
            <w:pPr>
              <w:pStyle w:val="12"/>
            </w:pPr>
            <w:r>
              <w:t>数量指标</w:t>
            </w:r>
          </w:p>
        </w:tc>
        <w:tc>
          <w:tcPr>
            <w:tcW w:w="2835" w:type="dxa"/>
            <w:vAlign w:val="center"/>
          </w:tcPr>
          <w:p w14:paraId="744FB39F">
            <w:pPr>
              <w:pStyle w:val="12"/>
            </w:pPr>
            <w:r>
              <w:t>水饭小学2026年校舍维修改造</w:t>
            </w:r>
          </w:p>
        </w:tc>
        <w:tc>
          <w:tcPr>
            <w:tcW w:w="5386" w:type="dxa"/>
            <w:vAlign w:val="center"/>
          </w:tcPr>
          <w:p w14:paraId="4055B28F">
            <w:pPr>
              <w:pStyle w:val="12"/>
            </w:pPr>
            <w:r>
              <w:t>宿舍楼更换门窗、教学楼前地面维修改造等</w:t>
            </w:r>
          </w:p>
        </w:tc>
        <w:tc>
          <w:tcPr>
            <w:tcW w:w="2268" w:type="dxa"/>
            <w:vAlign w:val="center"/>
          </w:tcPr>
          <w:p w14:paraId="150E7A12">
            <w:pPr>
              <w:pStyle w:val="12"/>
            </w:pPr>
            <w:r>
              <w:t>1项</w:t>
            </w:r>
          </w:p>
        </w:tc>
        <w:tc>
          <w:tcPr>
            <w:tcW w:w="1276" w:type="dxa"/>
            <w:vAlign w:val="center"/>
          </w:tcPr>
          <w:p w14:paraId="2F67E5EA">
            <w:pPr>
              <w:pStyle w:val="12"/>
            </w:pPr>
            <w:r>
              <w:t>项目规划</w:t>
            </w:r>
          </w:p>
        </w:tc>
      </w:tr>
      <w:tr w14:paraId="0509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5C77E"/>
        </w:tc>
        <w:tc>
          <w:tcPr>
            <w:tcW w:w="2268" w:type="dxa"/>
            <w:vAlign w:val="center"/>
          </w:tcPr>
          <w:p w14:paraId="5B792504">
            <w:pPr>
              <w:pStyle w:val="12"/>
            </w:pPr>
            <w:r>
              <w:t>质量指标</w:t>
            </w:r>
          </w:p>
        </w:tc>
        <w:tc>
          <w:tcPr>
            <w:tcW w:w="2835" w:type="dxa"/>
            <w:vAlign w:val="center"/>
          </w:tcPr>
          <w:p w14:paraId="5892EE2F">
            <w:pPr>
              <w:pStyle w:val="12"/>
            </w:pPr>
            <w:r>
              <w:t>工程实施验收合格率</w:t>
            </w:r>
          </w:p>
        </w:tc>
        <w:tc>
          <w:tcPr>
            <w:tcW w:w="5386" w:type="dxa"/>
            <w:vAlign w:val="center"/>
          </w:tcPr>
          <w:p w14:paraId="05129188">
            <w:pPr>
              <w:pStyle w:val="12"/>
            </w:pPr>
            <w:r>
              <w:t>申报程序的合规，项目实施及资金使用符合项目规划</w:t>
            </w:r>
          </w:p>
        </w:tc>
        <w:tc>
          <w:tcPr>
            <w:tcW w:w="2268" w:type="dxa"/>
            <w:vAlign w:val="center"/>
          </w:tcPr>
          <w:p w14:paraId="4BFEFF44">
            <w:pPr>
              <w:pStyle w:val="12"/>
            </w:pPr>
            <w:r>
              <w:t>100%</w:t>
            </w:r>
          </w:p>
        </w:tc>
        <w:tc>
          <w:tcPr>
            <w:tcW w:w="1276" w:type="dxa"/>
            <w:vAlign w:val="center"/>
          </w:tcPr>
          <w:p w14:paraId="07D1731F">
            <w:pPr>
              <w:pStyle w:val="12"/>
            </w:pPr>
            <w:r>
              <w:t>项目规划</w:t>
            </w:r>
          </w:p>
        </w:tc>
      </w:tr>
      <w:tr w14:paraId="0658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D388A"/>
        </w:tc>
        <w:tc>
          <w:tcPr>
            <w:tcW w:w="2268" w:type="dxa"/>
            <w:vAlign w:val="center"/>
          </w:tcPr>
          <w:p w14:paraId="3DF900C5">
            <w:pPr>
              <w:pStyle w:val="12"/>
            </w:pPr>
            <w:r>
              <w:t>时效指标</w:t>
            </w:r>
          </w:p>
        </w:tc>
        <w:tc>
          <w:tcPr>
            <w:tcW w:w="2835" w:type="dxa"/>
            <w:vAlign w:val="center"/>
          </w:tcPr>
          <w:p w14:paraId="27783744">
            <w:pPr>
              <w:pStyle w:val="12"/>
            </w:pPr>
            <w:r>
              <w:t>资金支付率</w:t>
            </w:r>
          </w:p>
        </w:tc>
        <w:tc>
          <w:tcPr>
            <w:tcW w:w="5386" w:type="dxa"/>
            <w:vAlign w:val="center"/>
          </w:tcPr>
          <w:p w14:paraId="2A2ABBC2">
            <w:pPr>
              <w:pStyle w:val="12"/>
            </w:pPr>
            <w:r>
              <w:t>按照序时进度完成资金支付</w:t>
            </w:r>
          </w:p>
        </w:tc>
        <w:tc>
          <w:tcPr>
            <w:tcW w:w="2268" w:type="dxa"/>
            <w:vAlign w:val="center"/>
          </w:tcPr>
          <w:p w14:paraId="6596D547">
            <w:pPr>
              <w:pStyle w:val="12"/>
            </w:pPr>
            <w:r>
              <w:t>100%</w:t>
            </w:r>
          </w:p>
        </w:tc>
        <w:tc>
          <w:tcPr>
            <w:tcW w:w="1276" w:type="dxa"/>
            <w:vAlign w:val="center"/>
          </w:tcPr>
          <w:p w14:paraId="703C0A14">
            <w:pPr>
              <w:pStyle w:val="12"/>
            </w:pPr>
            <w:r>
              <w:t>项目规划</w:t>
            </w:r>
          </w:p>
        </w:tc>
      </w:tr>
      <w:tr w14:paraId="17E0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B888B"/>
        </w:tc>
        <w:tc>
          <w:tcPr>
            <w:tcW w:w="2268" w:type="dxa"/>
            <w:vAlign w:val="center"/>
          </w:tcPr>
          <w:p w14:paraId="60B4FFB0">
            <w:pPr>
              <w:pStyle w:val="12"/>
            </w:pPr>
            <w:r>
              <w:t>成本指标</w:t>
            </w:r>
          </w:p>
        </w:tc>
        <w:tc>
          <w:tcPr>
            <w:tcW w:w="2835" w:type="dxa"/>
            <w:vAlign w:val="center"/>
          </w:tcPr>
          <w:p w14:paraId="30566A44">
            <w:pPr>
              <w:pStyle w:val="12"/>
            </w:pPr>
            <w:r>
              <w:t>项目成本控制情况</w:t>
            </w:r>
          </w:p>
        </w:tc>
        <w:tc>
          <w:tcPr>
            <w:tcW w:w="5386" w:type="dxa"/>
            <w:vAlign w:val="center"/>
          </w:tcPr>
          <w:p w14:paraId="63F51817">
            <w:pPr>
              <w:pStyle w:val="12"/>
            </w:pPr>
            <w:r>
              <w:t>严格按照招标价格及审计额进行</w:t>
            </w:r>
          </w:p>
        </w:tc>
        <w:tc>
          <w:tcPr>
            <w:tcW w:w="2268" w:type="dxa"/>
            <w:vAlign w:val="center"/>
          </w:tcPr>
          <w:p w14:paraId="0EDEBEDE">
            <w:pPr>
              <w:pStyle w:val="12"/>
            </w:pPr>
            <w:r>
              <w:t>41万元</w:t>
            </w:r>
          </w:p>
        </w:tc>
        <w:tc>
          <w:tcPr>
            <w:tcW w:w="1276" w:type="dxa"/>
            <w:vAlign w:val="center"/>
          </w:tcPr>
          <w:p w14:paraId="3D9381D5">
            <w:pPr>
              <w:pStyle w:val="12"/>
            </w:pPr>
            <w:r>
              <w:t>项目规划</w:t>
            </w:r>
          </w:p>
        </w:tc>
      </w:tr>
      <w:tr w14:paraId="171F1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FC441">
            <w:pPr>
              <w:pStyle w:val="13"/>
            </w:pPr>
            <w:r>
              <w:t>效益指标</w:t>
            </w:r>
          </w:p>
        </w:tc>
        <w:tc>
          <w:tcPr>
            <w:tcW w:w="2268" w:type="dxa"/>
            <w:vAlign w:val="center"/>
          </w:tcPr>
          <w:p w14:paraId="5C2CC5D0">
            <w:pPr>
              <w:pStyle w:val="12"/>
            </w:pPr>
            <w:r>
              <w:t>可持续影响指标</w:t>
            </w:r>
          </w:p>
        </w:tc>
        <w:tc>
          <w:tcPr>
            <w:tcW w:w="2835" w:type="dxa"/>
            <w:vAlign w:val="center"/>
          </w:tcPr>
          <w:p w14:paraId="25A775BC">
            <w:pPr>
              <w:pStyle w:val="12"/>
            </w:pPr>
            <w:r>
              <w:t>学校办学环境提升</w:t>
            </w:r>
          </w:p>
        </w:tc>
        <w:tc>
          <w:tcPr>
            <w:tcW w:w="5386" w:type="dxa"/>
            <w:vAlign w:val="center"/>
          </w:tcPr>
          <w:p w14:paraId="7290C45A">
            <w:pPr>
              <w:pStyle w:val="12"/>
            </w:pPr>
            <w:r>
              <w:t>学校教学环境提升优化率</w:t>
            </w:r>
          </w:p>
        </w:tc>
        <w:tc>
          <w:tcPr>
            <w:tcW w:w="2268" w:type="dxa"/>
            <w:vAlign w:val="center"/>
          </w:tcPr>
          <w:p w14:paraId="4E377A1D">
            <w:pPr>
              <w:pStyle w:val="12"/>
            </w:pPr>
            <w:r>
              <w:t>≥98%</w:t>
            </w:r>
          </w:p>
        </w:tc>
        <w:tc>
          <w:tcPr>
            <w:tcW w:w="1276" w:type="dxa"/>
            <w:vAlign w:val="center"/>
          </w:tcPr>
          <w:p w14:paraId="1F7E0609">
            <w:pPr>
              <w:pStyle w:val="12"/>
            </w:pPr>
            <w:r>
              <w:t>项目规划</w:t>
            </w:r>
          </w:p>
        </w:tc>
      </w:tr>
      <w:tr w14:paraId="37D67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7FA6B">
            <w:pPr>
              <w:pStyle w:val="13"/>
            </w:pPr>
            <w:r>
              <w:t>满意度指标</w:t>
            </w:r>
          </w:p>
        </w:tc>
        <w:tc>
          <w:tcPr>
            <w:tcW w:w="2268" w:type="dxa"/>
            <w:vAlign w:val="center"/>
          </w:tcPr>
          <w:p w14:paraId="395601AF">
            <w:pPr>
              <w:pStyle w:val="12"/>
            </w:pPr>
            <w:r>
              <w:t>服务对象满意度指标</w:t>
            </w:r>
          </w:p>
        </w:tc>
        <w:tc>
          <w:tcPr>
            <w:tcW w:w="2835" w:type="dxa"/>
            <w:vAlign w:val="center"/>
          </w:tcPr>
          <w:p w14:paraId="59A3C6C0">
            <w:pPr>
              <w:pStyle w:val="12"/>
            </w:pPr>
            <w:r>
              <w:t>受益学生家长及调查满意度</w:t>
            </w:r>
          </w:p>
        </w:tc>
        <w:tc>
          <w:tcPr>
            <w:tcW w:w="5386" w:type="dxa"/>
            <w:vAlign w:val="center"/>
          </w:tcPr>
          <w:p w14:paraId="178164A0">
            <w:pPr>
              <w:pStyle w:val="12"/>
            </w:pPr>
            <w:r>
              <w:t>学生、教师及家长对学校教学环境满意度情况</w:t>
            </w:r>
          </w:p>
        </w:tc>
        <w:tc>
          <w:tcPr>
            <w:tcW w:w="2268" w:type="dxa"/>
            <w:vAlign w:val="center"/>
          </w:tcPr>
          <w:p w14:paraId="1967E67D">
            <w:pPr>
              <w:pStyle w:val="12"/>
            </w:pPr>
            <w:r>
              <w:t>≥95%</w:t>
            </w:r>
          </w:p>
        </w:tc>
        <w:tc>
          <w:tcPr>
            <w:tcW w:w="1276" w:type="dxa"/>
            <w:vAlign w:val="center"/>
          </w:tcPr>
          <w:p w14:paraId="1568A68D">
            <w:pPr>
              <w:pStyle w:val="12"/>
            </w:pPr>
            <w:r>
              <w:t>调查问卷</w:t>
            </w:r>
          </w:p>
        </w:tc>
      </w:tr>
    </w:tbl>
    <w:p w14:paraId="254AAA98">
      <w:pPr>
        <w:sectPr>
          <w:pgSz w:w="16840" w:h="11900" w:orient="landscape"/>
          <w:pgMar w:top="1361" w:right="1020" w:bottom="1134" w:left="1020" w:header="720" w:footer="720" w:gutter="0"/>
          <w:cols w:space="720" w:num="1"/>
        </w:sectPr>
      </w:pPr>
    </w:p>
    <w:p w14:paraId="7AB8A030">
      <w:pPr>
        <w:spacing w:before="0" w:after="0"/>
        <w:ind w:firstLine="560"/>
        <w:jc w:val="left"/>
        <w:outlineLvl w:val="9"/>
      </w:pPr>
      <w:r>
        <w:rPr>
          <w:rFonts w:ascii="方正仿宋_GBK" w:hAnsi="方正仿宋_GBK" w:eastAsia="方正仿宋_GBK" w:cs="方正仿宋_GBK"/>
          <w:b/>
          <w:color w:val="000000"/>
          <w:sz w:val="28"/>
        </w:rPr>
        <w:t>9、冀财教[2025]122号/中央/2026年学前发展资金/山口校区学前教育幼儿资助绩效目标表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C8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59F9C">
            <w:pPr>
              <w:pStyle w:val="11"/>
            </w:pPr>
            <w:r>
              <w:t>单位：万元</w:t>
            </w:r>
          </w:p>
        </w:tc>
      </w:tr>
      <w:tr w14:paraId="0B062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7D8A7">
            <w:pPr>
              <w:pStyle w:val="10"/>
            </w:pPr>
            <w:r>
              <w:t>项目编码</w:t>
            </w:r>
          </w:p>
        </w:tc>
        <w:tc>
          <w:tcPr>
            <w:tcW w:w="5103" w:type="dxa"/>
            <w:gridSpan w:val="2"/>
            <w:vAlign w:val="center"/>
          </w:tcPr>
          <w:p w14:paraId="1D7F5C41">
            <w:pPr>
              <w:pStyle w:val="12"/>
            </w:pPr>
            <w:r>
              <w:t>13052526P000002100564</w:t>
            </w:r>
          </w:p>
        </w:tc>
        <w:tc>
          <w:tcPr>
            <w:tcW w:w="2835" w:type="dxa"/>
            <w:vAlign w:val="center"/>
          </w:tcPr>
          <w:p w14:paraId="000374DE">
            <w:pPr>
              <w:pStyle w:val="10"/>
            </w:pPr>
            <w:r>
              <w:t>项目名称</w:t>
            </w:r>
          </w:p>
        </w:tc>
        <w:tc>
          <w:tcPr>
            <w:tcW w:w="6095" w:type="dxa"/>
            <w:gridSpan w:val="3"/>
            <w:vAlign w:val="center"/>
          </w:tcPr>
          <w:p w14:paraId="152B748F">
            <w:pPr>
              <w:pStyle w:val="12"/>
            </w:pPr>
            <w:r>
              <w:t>冀财教[2025]122号/中央/2026年学前发展资金/山口校区学前教育幼儿资助</w:t>
            </w:r>
          </w:p>
        </w:tc>
      </w:tr>
      <w:tr w14:paraId="5895D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A85BA">
            <w:pPr>
              <w:pStyle w:val="10"/>
            </w:pPr>
            <w:r>
              <w:t>预算规模及资金用途</w:t>
            </w:r>
          </w:p>
        </w:tc>
        <w:tc>
          <w:tcPr>
            <w:tcW w:w="2268" w:type="dxa"/>
            <w:vAlign w:val="center"/>
          </w:tcPr>
          <w:p w14:paraId="22FFA57C">
            <w:pPr>
              <w:pStyle w:val="10"/>
            </w:pPr>
            <w:r>
              <w:t>预算数</w:t>
            </w:r>
          </w:p>
        </w:tc>
        <w:tc>
          <w:tcPr>
            <w:tcW w:w="2835" w:type="dxa"/>
            <w:vAlign w:val="center"/>
          </w:tcPr>
          <w:p w14:paraId="72BCDB74">
            <w:pPr>
              <w:pStyle w:val="12"/>
            </w:pPr>
            <w:r>
              <w:t>3.42</w:t>
            </w:r>
          </w:p>
        </w:tc>
        <w:tc>
          <w:tcPr>
            <w:tcW w:w="2835" w:type="dxa"/>
            <w:vAlign w:val="center"/>
          </w:tcPr>
          <w:p w14:paraId="5B4B2321">
            <w:pPr>
              <w:pStyle w:val="10"/>
            </w:pPr>
            <w:r>
              <w:t>其中：财政    资金</w:t>
            </w:r>
          </w:p>
        </w:tc>
        <w:tc>
          <w:tcPr>
            <w:tcW w:w="2551" w:type="dxa"/>
            <w:vAlign w:val="center"/>
          </w:tcPr>
          <w:p w14:paraId="112C2055">
            <w:pPr>
              <w:pStyle w:val="12"/>
            </w:pPr>
            <w:r>
              <w:t>3.42</w:t>
            </w:r>
          </w:p>
        </w:tc>
        <w:tc>
          <w:tcPr>
            <w:tcW w:w="2268" w:type="dxa"/>
            <w:vAlign w:val="center"/>
          </w:tcPr>
          <w:p w14:paraId="69FDE2FA">
            <w:pPr>
              <w:pStyle w:val="10"/>
            </w:pPr>
            <w:r>
              <w:t>其他资金</w:t>
            </w:r>
          </w:p>
        </w:tc>
        <w:tc>
          <w:tcPr>
            <w:tcW w:w="1276" w:type="dxa"/>
            <w:vAlign w:val="center"/>
          </w:tcPr>
          <w:p w14:paraId="301ED472">
            <w:pPr>
              <w:pStyle w:val="12"/>
            </w:pPr>
            <w:r>
              <w:t xml:space="preserve"> </w:t>
            </w:r>
          </w:p>
        </w:tc>
      </w:tr>
      <w:tr w14:paraId="46A17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50881"/>
        </w:tc>
        <w:tc>
          <w:tcPr>
            <w:tcW w:w="14033" w:type="dxa"/>
            <w:gridSpan w:val="6"/>
            <w:vAlign w:val="center"/>
          </w:tcPr>
          <w:p w14:paraId="4B0D4157">
            <w:pPr>
              <w:pStyle w:val="12"/>
            </w:pPr>
            <w:r>
              <w:t>保障落实建档立卡及家庭经济困难儿童资助所需资金，确保建档立卡等家庭经济困难幼儿优先获得资助</w:t>
            </w:r>
          </w:p>
        </w:tc>
      </w:tr>
      <w:tr w14:paraId="369DB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B9587">
            <w:pPr>
              <w:pStyle w:val="10"/>
            </w:pPr>
            <w:r>
              <w:t>资金支出计划（%）</w:t>
            </w:r>
          </w:p>
        </w:tc>
        <w:tc>
          <w:tcPr>
            <w:tcW w:w="5103" w:type="dxa"/>
            <w:gridSpan w:val="2"/>
            <w:vAlign w:val="center"/>
          </w:tcPr>
          <w:p w14:paraId="26C0028B">
            <w:pPr>
              <w:pStyle w:val="10"/>
            </w:pPr>
            <w:r>
              <w:t>3月底</w:t>
            </w:r>
          </w:p>
        </w:tc>
        <w:tc>
          <w:tcPr>
            <w:tcW w:w="2835" w:type="dxa"/>
            <w:vAlign w:val="center"/>
          </w:tcPr>
          <w:p w14:paraId="067C03CF">
            <w:pPr>
              <w:pStyle w:val="10"/>
            </w:pPr>
            <w:r>
              <w:t>6月底</w:t>
            </w:r>
          </w:p>
        </w:tc>
        <w:tc>
          <w:tcPr>
            <w:tcW w:w="2551" w:type="dxa"/>
            <w:vAlign w:val="center"/>
          </w:tcPr>
          <w:p w14:paraId="358E7896">
            <w:pPr>
              <w:pStyle w:val="10"/>
            </w:pPr>
            <w:r>
              <w:t>10月底</w:t>
            </w:r>
          </w:p>
        </w:tc>
        <w:tc>
          <w:tcPr>
            <w:tcW w:w="3544" w:type="dxa"/>
            <w:gridSpan w:val="2"/>
            <w:vAlign w:val="center"/>
          </w:tcPr>
          <w:p w14:paraId="2EDE8DD1">
            <w:pPr>
              <w:pStyle w:val="10"/>
            </w:pPr>
            <w:r>
              <w:t>12月底</w:t>
            </w:r>
          </w:p>
        </w:tc>
      </w:tr>
      <w:tr w14:paraId="3AE65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260A2"/>
        </w:tc>
        <w:tc>
          <w:tcPr>
            <w:tcW w:w="5103" w:type="dxa"/>
            <w:gridSpan w:val="2"/>
            <w:vAlign w:val="center"/>
          </w:tcPr>
          <w:p w14:paraId="74D2DB85">
            <w:pPr>
              <w:pStyle w:val="13"/>
            </w:pPr>
            <w:r>
              <w:t>25%</w:t>
            </w:r>
          </w:p>
        </w:tc>
        <w:tc>
          <w:tcPr>
            <w:tcW w:w="2835" w:type="dxa"/>
            <w:vAlign w:val="center"/>
          </w:tcPr>
          <w:p w14:paraId="05F1F832">
            <w:pPr>
              <w:pStyle w:val="13"/>
            </w:pPr>
            <w:r>
              <w:t>50%</w:t>
            </w:r>
          </w:p>
        </w:tc>
        <w:tc>
          <w:tcPr>
            <w:tcW w:w="2551" w:type="dxa"/>
            <w:vAlign w:val="center"/>
          </w:tcPr>
          <w:p w14:paraId="6AE9936C">
            <w:pPr>
              <w:pStyle w:val="13"/>
            </w:pPr>
            <w:r>
              <w:t>75%</w:t>
            </w:r>
          </w:p>
        </w:tc>
        <w:tc>
          <w:tcPr>
            <w:tcW w:w="3544" w:type="dxa"/>
            <w:gridSpan w:val="2"/>
            <w:vAlign w:val="center"/>
          </w:tcPr>
          <w:p w14:paraId="077504BF">
            <w:pPr>
              <w:pStyle w:val="13"/>
            </w:pPr>
            <w:r>
              <w:t>100%</w:t>
            </w:r>
          </w:p>
        </w:tc>
      </w:tr>
      <w:tr w14:paraId="27085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C9FFB">
            <w:pPr>
              <w:pStyle w:val="10"/>
            </w:pPr>
            <w:r>
              <w:t>绩效目标</w:t>
            </w:r>
          </w:p>
        </w:tc>
        <w:tc>
          <w:tcPr>
            <w:tcW w:w="14033" w:type="dxa"/>
            <w:gridSpan w:val="6"/>
            <w:vAlign w:val="center"/>
          </w:tcPr>
          <w:p w14:paraId="42EF0E24">
            <w:pPr>
              <w:pStyle w:val="12"/>
            </w:pPr>
            <w:r>
              <w:t>1.保证本年度资助经费足额落实到位，符合享受资助条件的学生应助尽助。</w:t>
            </w:r>
          </w:p>
          <w:p w14:paraId="42C73AC3">
            <w:pPr>
              <w:pStyle w:val="12"/>
            </w:pPr>
            <w:r>
              <w:t>2.保障落实建档立卡及家庭经济困难儿童资助所需资金，确保建档立卡等家庭经济困难幼儿优先获得资助</w:t>
            </w:r>
          </w:p>
        </w:tc>
      </w:tr>
    </w:tbl>
    <w:p w14:paraId="49C69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0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0B2E6">
            <w:pPr>
              <w:pStyle w:val="10"/>
            </w:pPr>
            <w:r>
              <w:t>一级指标</w:t>
            </w:r>
          </w:p>
        </w:tc>
        <w:tc>
          <w:tcPr>
            <w:tcW w:w="2268" w:type="dxa"/>
            <w:vAlign w:val="center"/>
          </w:tcPr>
          <w:p w14:paraId="34C6E5A4">
            <w:pPr>
              <w:pStyle w:val="10"/>
            </w:pPr>
            <w:r>
              <w:t>二级指标</w:t>
            </w:r>
          </w:p>
        </w:tc>
        <w:tc>
          <w:tcPr>
            <w:tcW w:w="2835" w:type="dxa"/>
            <w:vAlign w:val="center"/>
          </w:tcPr>
          <w:p w14:paraId="1AF2DF9E">
            <w:pPr>
              <w:pStyle w:val="10"/>
            </w:pPr>
            <w:r>
              <w:t>三级指标</w:t>
            </w:r>
          </w:p>
        </w:tc>
        <w:tc>
          <w:tcPr>
            <w:tcW w:w="5386" w:type="dxa"/>
            <w:vAlign w:val="center"/>
          </w:tcPr>
          <w:p w14:paraId="073146FD">
            <w:pPr>
              <w:pStyle w:val="10"/>
            </w:pPr>
            <w:r>
              <w:t>绩效指标描述</w:t>
            </w:r>
          </w:p>
        </w:tc>
        <w:tc>
          <w:tcPr>
            <w:tcW w:w="2268" w:type="dxa"/>
            <w:vAlign w:val="center"/>
          </w:tcPr>
          <w:p w14:paraId="5C8A3998">
            <w:pPr>
              <w:pStyle w:val="10"/>
            </w:pPr>
            <w:r>
              <w:t>指标值</w:t>
            </w:r>
          </w:p>
        </w:tc>
        <w:tc>
          <w:tcPr>
            <w:tcW w:w="1276" w:type="dxa"/>
            <w:vAlign w:val="center"/>
          </w:tcPr>
          <w:p w14:paraId="2FA256A4">
            <w:pPr>
              <w:pStyle w:val="10"/>
            </w:pPr>
            <w:r>
              <w:t>指标值确定依据</w:t>
            </w:r>
          </w:p>
        </w:tc>
      </w:tr>
      <w:tr w14:paraId="633A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41D55">
            <w:pPr>
              <w:pStyle w:val="13"/>
            </w:pPr>
            <w:r>
              <w:t>产出指标</w:t>
            </w:r>
          </w:p>
        </w:tc>
        <w:tc>
          <w:tcPr>
            <w:tcW w:w="2268" w:type="dxa"/>
            <w:vAlign w:val="center"/>
          </w:tcPr>
          <w:p w14:paraId="5680DBA9">
            <w:pPr>
              <w:pStyle w:val="12"/>
            </w:pPr>
            <w:r>
              <w:t>数量指标</w:t>
            </w:r>
          </w:p>
        </w:tc>
        <w:tc>
          <w:tcPr>
            <w:tcW w:w="2835" w:type="dxa"/>
            <w:vAlign w:val="center"/>
          </w:tcPr>
          <w:p w14:paraId="79844407">
            <w:pPr>
              <w:pStyle w:val="12"/>
            </w:pPr>
            <w:r>
              <w:t>幼儿资助比例</w:t>
            </w:r>
          </w:p>
        </w:tc>
        <w:tc>
          <w:tcPr>
            <w:tcW w:w="5386" w:type="dxa"/>
            <w:vAlign w:val="center"/>
          </w:tcPr>
          <w:p w14:paraId="5D6085F6">
            <w:pPr>
              <w:pStyle w:val="12"/>
            </w:pPr>
            <w:r>
              <w:t>按学前适龄在园儿童10%测算</w:t>
            </w:r>
          </w:p>
        </w:tc>
        <w:tc>
          <w:tcPr>
            <w:tcW w:w="2268" w:type="dxa"/>
            <w:vAlign w:val="center"/>
          </w:tcPr>
          <w:p w14:paraId="6E532758">
            <w:pPr>
              <w:pStyle w:val="12"/>
            </w:pPr>
            <w:r>
              <w:t>10%</w:t>
            </w:r>
          </w:p>
        </w:tc>
        <w:tc>
          <w:tcPr>
            <w:tcW w:w="1276" w:type="dxa"/>
            <w:vAlign w:val="center"/>
          </w:tcPr>
          <w:p w14:paraId="4C3C9041">
            <w:pPr>
              <w:pStyle w:val="12"/>
            </w:pPr>
            <w:r>
              <w:t>幼儿资助经费管理办法</w:t>
            </w:r>
          </w:p>
        </w:tc>
      </w:tr>
      <w:tr w14:paraId="276E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CF20B"/>
        </w:tc>
        <w:tc>
          <w:tcPr>
            <w:tcW w:w="2268" w:type="dxa"/>
            <w:vAlign w:val="center"/>
          </w:tcPr>
          <w:p w14:paraId="1FA01500">
            <w:pPr>
              <w:pStyle w:val="12"/>
            </w:pPr>
            <w:r>
              <w:t>质量指标</w:t>
            </w:r>
          </w:p>
        </w:tc>
        <w:tc>
          <w:tcPr>
            <w:tcW w:w="2835" w:type="dxa"/>
            <w:vAlign w:val="center"/>
          </w:tcPr>
          <w:p w14:paraId="179FF4AD">
            <w:pPr>
              <w:pStyle w:val="12"/>
            </w:pPr>
            <w:r>
              <w:t>资助资金使用率</w:t>
            </w:r>
          </w:p>
        </w:tc>
        <w:tc>
          <w:tcPr>
            <w:tcW w:w="5386" w:type="dxa"/>
            <w:vAlign w:val="center"/>
          </w:tcPr>
          <w:p w14:paraId="58C38AA4">
            <w:pPr>
              <w:pStyle w:val="12"/>
            </w:pPr>
            <w:r>
              <w:t>符合享受资助条件的学生应助尽助</w:t>
            </w:r>
          </w:p>
        </w:tc>
        <w:tc>
          <w:tcPr>
            <w:tcW w:w="2268" w:type="dxa"/>
            <w:vAlign w:val="center"/>
          </w:tcPr>
          <w:p w14:paraId="0E28631D">
            <w:pPr>
              <w:pStyle w:val="12"/>
            </w:pPr>
            <w:r>
              <w:t>100%</w:t>
            </w:r>
          </w:p>
        </w:tc>
        <w:tc>
          <w:tcPr>
            <w:tcW w:w="1276" w:type="dxa"/>
            <w:vAlign w:val="center"/>
          </w:tcPr>
          <w:p w14:paraId="1DC8AC63">
            <w:pPr>
              <w:pStyle w:val="12"/>
            </w:pPr>
            <w:r>
              <w:t>幼儿资助经费管理办法</w:t>
            </w:r>
          </w:p>
        </w:tc>
      </w:tr>
      <w:tr w14:paraId="0AD5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5F5D0"/>
        </w:tc>
        <w:tc>
          <w:tcPr>
            <w:tcW w:w="2268" w:type="dxa"/>
            <w:vAlign w:val="center"/>
          </w:tcPr>
          <w:p w14:paraId="4CD75D9C">
            <w:pPr>
              <w:pStyle w:val="12"/>
            </w:pPr>
            <w:r>
              <w:t>时效指标</w:t>
            </w:r>
          </w:p>
        </w:tc>
        <w:tc>
          <w:tcPr>
            <w:tcW w:w="2835" w:type="dxa"/>
            <w:vAlign w:val="center"/>
          </w:tcPr>
          <w:p w14:paraId="325A3AE6">
            <w:pPr>
              <w:pStyle w:val="12"/>
            </w:pPr>
            <w:r>
              <w:t>资金拨付率</w:t>
            </w:r>
          </w:p>
        </w:tc>
        <w:tc>
          <w:tcPr>
            <w:tcW w:w="5386" w:type="dxa"/>
            <w:vAlign w:val="center"/>
          </w:tcPr>
          <w:p w14:paraId="4B268567">
            <w:pPr>
              <w:pStyle w:val="12"/>
            </w:pPr>
            <w:r>
              <w:t>所有项目资金支付进度</w:t>
            </w:r>
          </w:p>
        </w:tc>
        <w:tc>
          <w:tcPr>
            <w:tcW w:w="2268" w:type="dxa"/>
            <w:vAlign w:val="center"/>
          </w:tcPr>
          <w:p w14:paraId="76D5D9D6">
            <w:pPr>
              <w:pStyle w:val="12"/>
            </w:pPr>
            <w:r>
              <w:t>100%</w:t>
            </w:r>
          </w:p>
        </w:tc>
        <w:tc>
          <w:tcPr>
            <w:tcW w:w="1276" w:type="dxa"/>
            <w:vAlign w:val="center"/>
          </w:tcPr>
          <w:p w14:paraId="75DC1063">
            <w:pPr>
              <w:pStyle w:val="12"/>
            </w:pPr>
            <w:r>
              <w:t>幼儿资助经费管理办法</w:t>
            </w:r>
          </w:p>
        </w:tc>
      </w:tr>
      <w:tr w14:paraId="7FBE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F76B5"/>
        </w:tc>
        <w:tc>
          <w:tcPr>
            <w:tcW w:w="2268" w:type="dxa"/>
            <w:vAlign w:val="center"/>
          </w:tcPr>
          <w:p w14:paraId="05F8B286">
            <w:pPr>
              <w:pStyle w:val="12"/>
            </w:pPr>
            <w:r>
              <w:t>成本指标</w:t>
            </w:r>
          </w:p>
        </w:tc>
        <w:tc>
          <w:tcPr>
            <w:tcW w:w="2835" w:type="dxa"/>
            <w:vAlign w:val="center"/>
          </w:tcPr>
          <w:p w14:paraId="25B79640">
            <w:pPr>
              <w:pStyle w:val="12"/>
            </w:pPr>
            <w:r>
              <w:t>幼儿园生均成本</w:t>
            </w:r>
          </w:p>
        </w:tc>
        <w:tc>
          <w:tcPr>
            <w:tcW w:w="5386" w:type="dxa"/>
            <w:vAlign w:val="center"/>
          </w:tcPr>
          <w:p w14:paraId="48004D14">
            <w:pPr>
              <w:pStyle w:val="12"/>
            </w:pPr>
            <w:r>
              <w:t>按照幼儿园资助标准1000元/生/年</w:t>
            </w:r>
          </w:p>
        </w:tc>
        <w:tc>
          <w:tcPr>
            <w:tcW w:w="2268" w:type="dxa"/>
            <w:vAlign w:val="center"/>
          </w:tcPr>
          <w:p w14:paraId="1D340A63">
            <w:pPr>
              <w:pStyle w:val="12"/>
            </w:pPr>
            <w:r>
              <w:t>1000元</w:t>
            </w:r>
          </w:p>
        </w:tc>
        <w:tc>
          <w:tcPr>
            <w:tcW w:w="1276" w:type="dxa"/>
            <w:vAlign w:val="center"/>
          </w:tcPr>
          <w:p w14:paraId="3D8B323E">
            <w:pPr>
              <w:pStyle w:val="12"/>
            </w:pPr>
            <w:r>
              <w:t>幼儿资助经费管理办法</w:t>
            </w:r>
          </w:p>
        </w:tc>
      </w:tr>
      <w:tr w14:paraId="7C89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EE088">
            <w:pPr>
              <w:pStyle w:val="13"/>
            </w:pPr>
            <w:r>
              <w:t>效益指标</w:t>
            </w:r>
          </w:p>
        </w:tc>
        <w:tc>
          <w:tcPr>
            <w:tcW w:w="2268" w:type="dxa"/>
            <w:vAlign w:val="center"/>
          </w:tcPr>
          <w:p w14:paraId="01B4232E">
            <w:pPr>
              <w:pStyle w:val="12"/>
            </w:pPr>
            <w:r>
              <w:t>可持续影响指标</w:t>
            </w:r>
          </w:p>
        </w:tc>
        <w:tc>
          <w:tcPr>
            <w:tcW w:w="2835" w:type="dxa"/>
            <w:vAlign w:val="center"/>
          </w:tcPr>
          <w:p w14:paraId="775B98E9">
            <w:pPr>
              <w:pStyle w:val="12"/>
            </w:pPr>
            <w:r>
              <w:t>幼儿园正常运转</w:t>
            </w:r>
          </w:p>
        </w:tc>
        <w:tc>
          <w:tcPr>
            <w:tcW w:w="5386" w:type="dxa"/>
            <w:vAlign w:val="center"/>
          </w:tcPr>
          <w:p w14:paraId="1B90B367">
            <w:pPr>
              <w:pStyle w:val="12"/>
            </w:pPr>
            <w:r>
              <w:t>幼儿受教育年限</w:t>
            </w:r>
          </w:p>
        </w:tc>
        <w:tc>
          <w:tcPr>
            <w:tcW w:w="2268" w:type="dxa"/>
            <w:vAlign w:val="center"/>
          </w:tcPr>
          <w:p w14:paraId="73D63EDA">
            <w:pPr>
              <w:pStyle w:val="12"/>
            </w:pPr>
            <w:r>
              <w:t>3年</w:t>
            </w:r>
          </w:p>
        </w:tc>
        <w:tc>
          <w:tcPr>
            <w:tcW w:w="1276" w:type="dxa"/>
            <w:vAlign w:val="center"/>
          </w:tcPr>
          <w:p w14:paraId="4151F4B6">
            <w:pPr>
              <w:pStyle w:val="12"/>
            </w:pPr>
            <w:r>
              <w:t>幼儿资助经费管理办法</w:t>
            </w:r>
          </w:p>
        </w:tc>
      </w:tr>
      <w:tr w14:paraId="2016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74AFD">
            <w:pPr>
              <w:pStyle w:val="13"/>
            </w:pPr>
            <w:r>
              <w:t>满意度指标</w:t>
            </w:r>
          </w:p>
        </w:tc>
        <w:tc>
          <w:tcPr>
            <w:tcW w:w="2268" w:type="dxa"/>
            <w:vAlign w:val="center"/>
          </w:tcPr>
          <w:p w14:paraId="6A70BD27">
            <w:pPr>
              <w:pStyle w:val="12"/>
            </w:pPr>
            <w:r>
              <w:t>服务对象满意度指标</w:t>
            </w:r>
          </w:p>
        </w:tc>
        <w:tc>
          <w:tcPr>
            <w:tcW w:w="2835" w:type="dxa"/>
            <w:vAlign w:val="center"/>
          </w:tcPr>
          <w:p w14:paraId="38BDD4DC">
            <w:pPr>
              <w:pStyle w:val="12"/>
            </w:pPr>
            <w:r>
              <w:t>受益幼儿家长及调查满意度</w:t>
            </w:r>
          </w:p>
        </w:tc>
        <w:tc>
          <w:tcPr>
            <w:tcW w:w="5386" w:type="dxa"/>
            <w:vAlign w:val="center"/>
          </w:tcPr>
          <w:p w14:paraId="19019F17">
            <w:pPr>
              <w:pStyle w:val="12"/>
            </w:pPr>
            <w:r>
              <w:t>学生、教师及家长对学校保教保育工作满意度情况</w:t>
            </w:r>
          </w:p>
        </w:tc>
        <w:tc>
          <w:tcPr>
            <w:tcW w:w="2268" w:type="dxa"/>
            <w:vAlign w:val="center"/>
          </w:tcPr>
          <w:p w14:paraId="4350C527">
            <w:pPr>
              <w:pStyle w:val="12"/>
            </w:pPr>
            <w:r>
              <w:t>≥95%</w:t>
            </w:r>
          </w:p>
        </w:tc>
        <w:tc>
          <w:tcPr>
            <w:tcW w:w="1276" w:type="dxa"/>
            <w:vAlign w:val="center"/>
          </w:tcPr>
          <w:p w14:paraId="183D15A0">
            <w:pPr>
              <w:pStyle w:val="12"/>
            </w:pPr>
            <w:r>
              <w:t>幼儿资助经费管理办法</w:t>
            </w:r>
          </w:p>
        </w:tc>
      </w:tr>
    </w:tbl>
    <w:p w14:paraId="232A6755">
      <w:pPr>
        <w:sectPr>
          <w:pgSz w:w="16840" w:h="11900" w:orient="landscape"/>
          <w:pgMar w:top="1361" w:right="1020" w:bottom="1134" w:left="1020" w:header="720" w:footer="720" w:gutter="0"/>
          <w:cols w:space="720" w:num="1"/>
        </w:sectPr>
      </w:pPr>
    </w:p>
    <w:p w14:paraId="4A4C7913">
      <w:pPr>
        <w:spacing w:before="0" w:after="0"/>
        <w:ind w:firstLine="560"/>
        <w:jc w:val="left"/>
        <w:outlineLvl w:val="9"/>
      </w:pPr>
      <w:r>
        <w:rPr>
          <w:rFonts w:ascii="方正仿宋_GBK" w:hAnsi="方正仿宋_GBK" w:eastAsia="方正仿宋_GBK" w:cs="方正仿宋_GBK"/>
          <w:b/>
          <w:color w:val="000000"/>
          <w:sz w:val="28"/>
        </w:rPr>
        <w:t>10、冀财教[2025]122号/中央/2026年学前发展资金/山口校区幼儿园免保育教育费补助绩效目标表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D8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B2E8C">
            <w:pPr>
              <w:pStyle w:val="11"/>
            </w:pPr>
            <w:r>
              <w:t>单位：万元</w:t>
            </w:r>
          </w:p>
        </w:tc>
      </w:tr>
      <w:tr w14:paraId="726FF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AA12B">
            <w:pPr>
              <w:pStyle w:val="10"/>
            </w:pPr>
            <w:r>
              <w:t>项目编码</w:t>
            </w:r>
          </w:p>
        </w:tc>
        <w:tc>
          <w:tcPr>
            <w:tcW w:w="5103" w:type="dxa"/>
            <w:gridSpan w:val="2"/>
            <w:vAlign w:val="center"/>
          </w:tcPr>
          <w:p w14:paraId="371B1F3B">
            <w:pPr>
              <w:pStyle w:val="12"/>
            </w:pPr>
            <w:r>
              <w:t>13052526P00876910139E</w:t>
            </w:r>
          </w:p>
        </w:tc>
        <w:tc>
          <w:tcPr>
            <w:tcW w:w="2835" w:type="dxa"/>
            <w:vAlign w:val="center"/>
          </w:tcPr>
          <w:p w14:paraId="182EEC40">
            <w:pPr>
              <w:pStyle w:val="10"/>
            </w:pPr>
            <w:r>
              <w:t>项目名称</w:t>
            </w:r>
          </w:p>
        </w:tc>
        <w:tc>
          <w:tcPr>
            <w:tcW w:w="6095" w:type="dxa"/>
            <w:gridSpan w:val="3"/>
            <w:vAlign w:val="center"/>
          </w:tcPr>
          <w:p w14:paraId="54808470">
            <w:pPr>
              <w:pStyle w:val="12"/>
            </w:pPr>
            <w:r>
              <w:t>冀财教[2025]122号/中央/2026年学前发展资金/山口校区幼儿园免保育教育费补助</w:t>
            </w:r>
          </w:p>
        </w:tc>
      </w:tr>
      <w:tr w14:paraId="47707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29D2A">
            <w:pPr>
              <w:pStyle w:val="10"/>
            </w:pPr>
            <w:r>
              <w:t>预算规模及资金用途</w:t>
            </w:r>
          </w:p>
        </w:tc>
        <w:tc>
          <w:tcPr>
            <w:tcW w:w="2268" w:type="dxa"/>
            <w:vAlign w:val="center"/>
          </w:tcPr>
          <w:p w14:paraId="32245CD5">
            <w:pPr>
              <w:pStyle w:val="10"/>
            </w:pPr>
            <w:r>
              <w:t>预算数</w:t>
            </w:r>
          </w:p>
        </w:tc>
        <w:tc>
          <w:tcPr>
            <w:tcW w:w="2835" w:type="dxa"/>
            <w:vAlign w:val="center"/>
          </w:tcPr>
          <w:p w14:paraId="108DD1AF">
            <w:pPr>
              <w:pStyle w:val="12"/>
            </w:pPr>
            <w:r>
              <w:t>6.33</w:t>
            </w:r>
          </w:p>
        </w:tc>
        <w:tc>
          <w:tcPr>
            <w:tcW w:w="2835" w:type="dxa"/>
            <w:vAlign w:val="center"/>
          </w:tcPr>
          <w:p w14:paraId="68DDB7BF">
            <w:pPr>
              <w:pStyle w:val="10"/>
            </w:pPr>
            <w:r>
              <w:t>其中：财政    资金</w:t>
            </w:r>
          </w:p>
        </w:tc>
        <w:tc>
          <w:tcPr>
            <w:tcW w:w="2551" w:type="dxa"/>
            <w:vAlign w:val="center"/>
          </w:tcPr>
          <w:p w14:paraId="0D247D87">
            <w:pPr>
              <w:pStyle w:val="12"/>
            </w:pPr>
            <w:r>
              <w:t>6.33</w:t>
            </w:r>
          </w:p>
        </w:tc>
        <w:tc>
          <w:tcPr>
            <w:tcW w:w="2268" w:type="dxa"/>
            <w:vAlign w:val="center"/>
          </w:tcPr>
          <w:p w14:paraId="23BE5C00">
            <w:pPr>
              <w:pStyle w:val="10"/>
            </w:pPr>
            <w:r>
              <w:t>其他资金</w:t>
            </w:r>
          </w:p>
        </w:tc>
        <w:tc>
          <w:tcPr>
            <w:tcW w:w="1276" w:type="dxa"/>
            <w:vAlign w:val="center"/>
          </w:tcPr>
          <w:p w14:paraId="211B0106">
            <w:pPr>
              <w:pStyle w:val="12"/>
            </w:pPr>
            <w:r>
              <w:t xml:space="preserve"> </w:t>
            </w:r>
          </w:p>
        </w:tc>
      </w:tr>
      <w:tr w14:paraId="23D48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CC322"/>
        </w:tc>
        <w:tc>
          <w:tcPr>
            <w:tcW w:w="14033" w:type="dxa"/>
            <w:gridSpan w:val="6"/>
            <w:vAlign w:val="center"/>
          </w:tcPr>
          <w:p w14:paraId="0C7B5412">
            <w:pPr>
              <w:pStyle w:val="12"/>
            </w:pPr>
            <w:r>
              <w:t>保障幼儿园正常运转，完成教育教学活动和其他日常工作任务等方面的费用支出。</w:t>
            </w:r>
          </w:p>
        </w:tc>
      </w:tr>
      <w:tr w14:paraId="618E6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C9F9D">
            <w:pPr>
              <w:pStyle w:val="10"/>
            </w:pPr>
            <w:r>
              <w:t>资金支出计划（%）</w:t>
            </w:r>
          </w:p>
        </w:tc>
        <w:tc>
          <w:tcPr>
            <w:tcW w:w="5103" w:type="dxa"/>
            <w:gridSpan w:val="2"/>
            <w:vAlign w:val="center"/>
          </w:tcPr>
          <w:p w14:paraId="4FB4F365">
            <w:pPr>
              <w:pStyle w:val="10"/>
            </w:pPr>
            <w:r>
              <w:t>3月底</w:t>
            </w:r>
          </w:p>
        </w:tc>
        <w:tc>
          <w:tcPr>
            <w:tcW w:w="2835" w:type="dxa"/>
            <w:vAlign w:val="center"/>
          </w:tcPr>
          <w:p w14:paraId="2E612728">
            <w:pPr>
              <w:pStyle w:val="10"/>
            </w:pPr>
            <w:r>
              <w:t>6月底</w:t>
            </w:r>
          </w:p>
        </w:tc>
        <w:tc>
          <w:tcPr>
            <w:tcW w:w="2551" w:type="dxa"/>
            <w:vAlign w:val="center"/>
          </w:tcPr>
          <w:p w14:paraId="6269F88B">
            <w:pPr>
              <w:pStyle w:val="10"/>
            </w:pPr>
            <w:r>
              <w:t>10月底</w:t>
            </w:r>
          </w:p>
        </w:tc>
        <w:tc>
          <w:tcPr>
            <w:tcW w:w="3544" w:type="dxa"/>
            <w:gridSpan w:val="2"/>
            <w:vAlign w:val="center"/>
          </w:tcPr>
          <w:p w14:paraId="02DDD9D7">
            <w:pPr>
              <w:pStyle w:val="10"/>
            </w:pPr>
            <w:r>
              <w:t>12月底</w:t>
            </w:r>
          </w:p>
        </w:tc>
      </w:tr>
      <w:tr w14:paraId="5AC5C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FDD3A"/>
        </w:tc>
        <w:tc>
          <w:tcPr>
            <w:tcW w:w="5103" w:type="dxa"/>
            <w:gridSpan w:val="2"/>
            <w:vAlign w:val="center"/>
          </w:tcPr>
          <w:p w14:paraId="3AD19AD1">
            <w:pPr>
              <w:pStyle w:val="13"/>
            </w:pPr>
            <w:r>
              <w:t>25%</w:t>
            </w:r>
          </w:p>
        </w:tc>
        <w:tc>
          <w:tcPr>
            <w:tcW w:w="2835" w:type="dxa"/>
            <w:vAlign w:val="center"/>
          </w:tcPr>
          <w:p w14:paraId="044C2925">
            <w:pPr>
              <w:pStyle w:val="13"/>
            </w:pPr>
            <w:r>
              <w:t>50%</w:t>
            </w:r>
          </w:p>
        </w:tc>
        <w:tc>
          <w:tcPr>
            <w:tcW w:w="2551" w:type="dxa"/>
            <w:vAlign w:val="center"/>
          </w:tcPr>
          <w:p w14:paraId="01C3F842">
            <w:pPr>
              <w:pStyle w:val="13"/>
            </w:pPr>
            <w:r>
              <w:t>75%</w:t>
            </w:r>
          </w:p>
        </w:tc>
        <w:tc>
          <w:tcPr>
            <w:tcW w:w="3544" w:type="dxa"/>
            <w:gridSpan w:val="2"/>
            <w:vAlign w:val="center"/>
          </w:tcPr>
          <w:p w14:paraId="584A621F">
            <w:pPr>
              <w:pStyle w:val="13"/>
            </w:pPr>
            <w:r>
              <w:t>100%</w:t>
            </w:r>
          </w:p>
        </w:tc>
      </w:tr>
      <w:tr w14:paraId="3F982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F47BF">
            <w:pPr>
              <w:pStyle w:val="10"/>
            </w:pPr>
            <w:r>
              <w:t>绩效目标</w:t>
            </w:r>
          </w:p>
        </w:tc>
        <w:tc>
          <w:tcPr>
            <w:tcW w:w="14033" w:type="dxa"/>
            <w:gridSpan w:val="6"/>
            <w:vAlign w:val="center"/>
          </w:tcPr>
          <w:p w14:paraId="08A02958">
            <w:pPr>
              <w:pStyle w:val="12"/>
            </w:pPr>
            <w:r>
              <w:t>1.保障幼儿园正常运转，完成教育教学活动和其他日常工作任务等方面的费用支出。</w:t>
            </w:r>
          </w:p>
        </w:tc>
      </w:tr>
    </w:tbl>
    <w:p w14:paraId="59E48D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9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2AC56">
            <w:pPr>
              <w:pStyle w:val="10"/>
            </w:pPr>
            <w:r>
              <w:t>一级指标</w:t>
            </w:r>
          </w:p>
        </w:tc>
        <w:tc>
          <w:tcPr>
            <w:tcW w:w="2268" w:type="dxa"/>
            <w:vAlign w:val="center"/>
          </w:tcPr>
          <w:p w14:paraId="1D15BB3F">
            <w:pPr>
              <w:pStyle w:val="10"/>
            </w:pPr>
            <w:r>
              <w:t>二级指标</w:t>
            </w:r>
          </w:p>
        </w:tc>
        <w:tc>
          <w:tcPr>
            <w:tcW w:w="2835" w:type="dxa"/>
            <w:vAlign w:val="center"/>
          </w:tcPr>
          <w:p w14:paraId="337C6415">
            <w:pPr>
              <w:pStyle w:val="10"/>
            </w:pPr>
            <w:r>
              <w:t>三级指标</w:t>
            </w:r>
          </w:p>
        </w:tc>
        <w:tc>
          <w:tcPr>
            <w:tcW w:w="5386" w:type="dxa"/>
            <w:vAlign w:val="center"/>
          </w:tcPr>
          <w:p w14:paraId="55C881D0">
            <w:pPr>
              <w:pStyle w:val="10"/>
            </w:pPr>
            <w:r>
              <w:t>绩效指标描述</w:t>
            </w:r>
          </w:p>
        </w:tc>
        <w:tc>
          <w:tcPr>
            <w:tcW w:w="2268" w:type="dxa"/>
            <w:vAlign w:val="center"/>
          </w:tcPr>
          <w:p w14:paraId="1619F6FE">
            <w:pPr>
              <w:pStyle w:val="10"/>
            </w:pPr>
            <w:r>
              <w:t>指标值</w:t>
            </w:r>
          </w:p>
        </w:tc>
        <w:tc>
          <w:tcPr>
            <w:tcW w:w="1276" w:type="dxa"/>
            <w:vAlign w:val="center"/>
          </w:tcPr>
          <w:p w14:paraId="707EE92C">
            <w:pPr>
              <w:pStyle w:val="10"/>
            </w:pPr>
            <w:r>
              <w:t>指标值确定依据</w:t>
            </w:r>
          </w:p>
        </w:tc>
      </w:tr>
      <w:tr w14:paraId="2E43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BD746">
            <w:pPr>
              <w:pStyle w:val="13"/>
            </w:pPr>
            <w:r>
              <w:t>产出指标</w:t>
            </w:r>
          </w:p>
        </w:tc>
        <w:tc>
          <w:tcPr>
            <w:tcW w:w="2268" w:type="dxa"/>
            <w:vAlign w:val="center"/>
          </w:tcPr>
          <w:p w14:paraId="17FA5565">
            <w:pPr>
              <w:pStyle w:val="12"/>
            </w:pPr>
            <w:r>
              <w:t>数量指标</w:t>
            </w:r>
          </w:p>
        </w:tc>
        <w:tc>
          <w:tcPr>
            <w:tcW w:w="2835" w:type="dxa"/>
            <w:vAlign w:val="center"/>
          </w:tcPr>
          <w:p w14:paraId="342157BA">
            <w:pPr>
              <w:pStyle w:val="12"/>
            </w:pPr>
            <w:r>
              <w:t>适龄在园生</w:t>
            </w:r>
          </w:p>
        </w:tc>
        <w:tc>
          <w:tcPr>
            <w:tcW w:w="5386" w:type="dxa"/>
            <w:vAlign w:val="center"/>
          </w:tcPr>
          <w:p w14:paraId="7D266D3D">
            <w:pPr>
              <w:pStyle w:val="12"/>
            </w:pPr>
            <w:r>
              <w:t>适龄在园大班学生人数</w:t>
            </w:r>
          </w:p>
        </w:tc>
        <w:tc>
          <w:tcPr>
            <w:tcW w:w="2268" w:type="dxa"/>
            <w:vAlign w:val="center"/>
          </w:tcPr>
          <w:p w14:paraId="083F39E6">
            <w:pPr>
              <w:pStyle w:val="12"/>
            </w:pPr>
            <w:r>
              <w:t>283人</w:t>
            </w:r>
          </w:p>
        </w:tc>
        <w:tc>
          <w:tcPr>
            <w:tcW w:w="1276" w:type="dxa"/>
            <w:vAlign w:val="center"/>
          </w:tcPr>
          <w:p w14:paraId="15110A1B">
            <w:pPr>
              <w:pStyle w:val="12"/>
            </w:pPr>
            <w:r>
              <w:t>免保育教育费生均财政补助标准</w:t>
            </w:r>
          </w:p>
        </w:tc>
      </w:tr>
      <w:tr w14:paraId="7E29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53CE5"/>
        </w:tc>
        <w:tc>
          <w:tcPr>
            <w:tcW w:w="2268" w:type="dxa"/>
            <w:vAlign w:val="center"/>
          </w:tcPr>
          <w:p w14:paraId="64999B04">
            <w:pPr>
              <w:pStyle w:val="12"/>
            </w:pPr>
            <w:r>
              <w:t>质量指标</w:t>
            </w:r>
          </w:p>
        </w:tc>
        <w:tc>
          <w:tcPr>
            <w:tcW w:w="2835" w:type="dxa"/>
            <w:vAlign w:val="center"/>
          </w:tcPr>
          <w:p w14:paraId="33EB870B">
            <w:pPr>
              <w:pStyle w:val="12"/>
            </w:pPr>
            <w:r>
              <w:t>预算控制率</w:t>
            </w:r>
          </w:p>
        </w:tc>
        <w:tc>
          <w:tcPr>
            <w:tcW w:w="5386" w:type="dxa"/>
            <w:vAlign w:val="center"/>
          </w:tcPr>
          <w:p w14:paraId="6183CEE4">
            <w:pPr>
              <w:pStyle w:val="12"/>
            </w:pPr>
            <w:r>
              <w:t>预算执行</w:t>
            </w:r>
          </w:p>
        </w:tc>
        <w:tc>
          <w:tcPr>
            <w:tcW w:w="2268" w:type="dxa"/>
            <w:vAlign w:val="center"/>
          </w:tcPr>
          <w:p w14:paraId="634EEC83">
            <w:pPr>
              <w:pStyle w:val="12"/>
            </w:pPr>
            <w:r>
              <w:t>≥95%</w:t>
            </w:r>
          </w:p>
        </w:tc>
        <w:tc>
          <w:tcPr>
            <w:tcW w:w="1276" w:type="dxa"/>
            <w:vAlign w:val="center"/>
          </w:tcPr>
          <w:p w14:paraId="2E02DA23">
            <w:pPr>
              <w:pStyle w:val="12"/>
            </w:pPr>
            <w:r>
              <w:t>免保育教育费生均财政补助标准</w:t>
            </w:r>
          </w:p>
        </w:tc>
      </w:tr>
      <w:tr w14:paraId="7C75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1424A"/>
        </w:tc>
        <w:tc>
          <w:tcPr>
            <w:tcW w:w="2268" w:type="dxa"/>
            <w:vAlign w:val="center"/>
          </w:tcPr>
          <w:p w14:paraId="580EBE8F">
            <w:pPr>
              <w:pStyle w:val="12"/>
            </w:pPr>
            <w:r>
              <w:t>时效指标</w:t>
            </w:r>
          </w:p>
        </w:tc>
        <w:tc>
          <w:tcPr>
            <w:tcW w:w="2835" w:type="dxa"/>
            <w:vAlign w:val="center"/>
          </w:tcPr>
          <w:p w14:paraId="159F5B9F">
            <w:pPr>
              <w:pStyle w:val="12"/>
            </w:pPr>
            <w:r>
              <w:t>资金支付率</w:t>
            </w:r>
          </w:p>
        </w:tc>
        <w:tc>
          <w:tcPr>
            <w:tcW w:w="5386" w:type="dxa"/>
            <w:vAlign w:val="center"/>
          </w:tcPr>
          <w:p w14:paraId="2AC6E567">
            <w:pPr>
              <w:pStyle w:val="12"/>
            </w:pPr>
            <w:r>
              <w:t>按照序时进度完成资金支付</w:t>
            </w:r>
          </w:p>
        </w:tc>
        <w:tc>
          <w:tcPr>
            <w:tcW w:w="2268" w:type="dxa"/>
            <w:vAlign w:val="center"/>
          </w:tcPr>
          <w:p w14:paraId="084B5A44">
            <w:pPr>
              <w:pStyle w:val="12"/>
            </w:pPr>
            <w:r>
              <w:t>100%</w:t>
            </w:r>
          </w:p>
        </w:tc>
        <w:tc>
          <w:tcPr>
            <w:tcW w:w="1276" w:type="dxa"/>
            <w:vAlign w:val="center"/>
          </w:tcPr>
          <w:p w14:paraId="19314E00">
            <w:pPr>
              <w:pStyle w:val="12"/>
            </w:pPr>
            <w:r>
              <w:t>免保育教育费生均财政补助标准</w:t>
            </w:r>
          </w:p>
        </w:tc>
      </w:tr>
      <w:tr w14:paraId="124F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0494B"/>
        </w:tc>
        <w:tc>
          <w:tcPr>
            <w:tcW w:w="2268" w:type="dxa"/>
            <w:vAlign w:val="center"/>
          </w:tcPr>
          <w:p w14:paraId="442F7DA5">
            <w:pPr>
              <w:pStyle w:val="12"/>
            </w:pPr>
            <w:r>
              <w:t>成本指标</w:t>
            </w:r>
          </w:p>
        </w:tc>
        <w:tc>
          <w:tcPr>
            <w:tcW w:w="2835" w:type="dxa"/>
            <w:vAlign w:val="center"/>
          </w:tcPr>
          <w:p w14:paraId="597E11A3">
            <w:pPr>
              <w:pStyle w:val="12"/>
            </w:pPr>
            <w:r>
              <w:t xml:space="preserve"> 免保育教育费补助</w:t>
            </w:r>
          </w:p>
        </w:tc>
        <w:tc>
          <w:tcPr>
            <w:tcW w:w="5386" w:type="dxa"/>
            <w:vAlign w:val="center"/>
          </w:tcPr>
          <w:p w14:paraId="07F55FCB">
            <w:pPr>
              <w:pStyle w:val="12"/>
            </w:pPr>
            <w:r>
              <w:t>免保育教育费补助</w:t>
            </w:r>
          </w:p>
        </w:tc>
        <w:tc>
          <w:tcPr>
            <w:tcW w:w="2268" w:type="dxa"/>
            <w:vAlign w:val="center"/>
          </w:tcPr>
          <w:p w14:paraId="28F945B7">
            <w:pPr>
              <w:pStyle w:val="12"/>
            </w:pPr>
            <w:r>
              <w:t>63339元</w:t>
            </w:r>
          </w:p>
        </w:tc>
        <w:tc>
          <w:tcPr>
            <w:tcW w:w="1276" w:type="dxa"/>
            <w:vAlign w:val="center"/>
          </w:tcPr>
          <w:p w14:paraId="0D2A342F">
            <w:pPr>
              <w:pStyle w:val="12"/>
            </w:pPr>
            <w:r>
              <w:t>免保育教育费生均财政补助标准</w:t>
            </w:r>
          </w:p>
        </w:tc>
      </w:tr>
      <w:tr w14:paraId="7766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F18D2">
            <w:pPr>
              <w:pStyle w:val="13"/>
            </w:pPr>
            <w:r>
              <w:t>效益指标</w:t>
            </w:r>
          </w:p>
        </w:tc>
        <w:tc>
          <w:tcPr>
            <w:tcW w:w="2268" w:type="dxa"/>
            <w:vAlign w:val="center"/>
          </w:tcPr>
          <w:p w14:paraId="157E05E8">
            <w:pPr>
              <w:pStyle w:val="12"/>
            </w:pPr>
            <w:r>
              <w:t>可持续影响指标</w:t>
            </w:r>
          </w:p>
        </w:tc>
        <w:tc>
          <w:tcPr>
            <w:tcW w:w="2835" w:type="dxa"/>
            <w:vAlign w:val="center"/>
          </w:tcPr>
          <w:p w14:paraId="764BD714">
            <w:pPr>
              <w:pStyle w:val="12"/>
            </w:pPr>
            <w:r>
              <w:t>学校运转得到提升</w:t>
            </w:r>
          </w:p>
        </w:tc>
        <w:tc>
          <w:tcPr>
            <w:tcW w:w="5386" w:type="dxa"/>
            <w:vAlign w:val="center"/>
          </w:tcPr>
          <w:p w14:paraId="3E7ED65E">
            <w:pPr>
              <w:pStyle w:val="12"/>
            </w:pPr>
            <w:r>
              <w:t>幼儿受教育年限</w:t>
            </w:r>
          </w:p>
        </w:tc>
        <w:tc>
          <w:tcPr>
            <w:tcW w:w="2268" w:type="dxa"/>
            <w:vAlign w:val="center"/>
          </w:tcPr>
          <w:p w14:paraId="131AD6D4">
            <w:pPr>
              <w:pStyle w:val="12"/>
            </w:pPr>
            <w:r>
              <w:t>3年</w:t>
            </w:r>
          </w:p>
        </w:tc>
        <w:tc>
          <w:tcPr>
            <w:tcW w:w="1276" w:type="dxa"/>
            <w:vAlign w:val="center"/>
          </w:tcPr>
          <w:p w14:paraId="78C52FD7">
            <w:pPr>
              <w:pStyle w:val="12"/>
            </w:pPr>
            <w:r>
              <w:t>免保育教育费生均财政补助标准</w:t>
            </w:r>
          </w:p>
        </w:tc>
      </w:tr>
      <w:tr w14:paraId="06DB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5D838">
            <w:pPr>
              <w:pStyle w:val="13"/>
            </w:pPr>
            <w:r>
              <w:t>满意度指标</w:t>
            </w:r>
          </w:p>
        </w:tc>
        <w:tc>
          <w:tcPr>
            <w:tcW w:w="2268" w:type="dxa"/>
            <w:vAlign w:val="center"/>
          </w:tcPr>
          <w:p w14:paraId="149CD47E">
            <w:pPr>
              <w:pStyle w:val="12"/>
            </w:pPr>
            <w:r>
              <w:t>服务对象满意度指标</w:t>
            </w:r>
          </w:p>
        </w:tc>
        <w:tc>
          <w:tcPr>
            <w:tcW w:w="2835" w:type="dxa"/>
            <w:vAlign w:val="center"/>
          </w:tcPr>
          <w:p w14:paraId="7BCC387B">
            <w:pPr>
              <w:pStyle w:val="12"/>
            </w:pPr>
            <w:r>
              <w:t>受益学生家长及调查满意度</w:t>
            </w:r>
          </w:p>
        </w:tc>
        <w:tc>
          <w:tcPr>
            <w:tcW w:w="5386" w:type="dxa"/>
            <w:vAlign w:val="center"/>
          </w:tcPr>
          <w:p w14:paraId="07D1CD4D">
            <w:pPr>
              <w:pStyle w:val="12"/>
            </w:pPr>
            <w:r>
              <w:t>学生、教师及家长对学校保教保育工作满意度情况</w:t>
            </w:r>
          </w:p>
        </w:tc>
        <w:tc>
          <w:tcPr>
            <w:tcW w:w="2268" w:type="dxa"/>
            <w:vAlign w:val="center"/>
          </w:tcPr>
          <w:p w14:paraId="522A2F29">
            <w:pPr>
              <w:pStyle w:val="12"/>
            </w:pPr>
            <w:r>
              <w:t>≥95%</w:t>
            </w:r>
          </w:p>
        </w:tc>
        <w:tc>
          <w:tcPr>
            <w:tcW w:w="1276" w:type="dxa"/>
            <w:vAlign w:val="center"/>
          </w:tcPr>
          <w:p w14:paraId="7186B729">
            <w:pPr>
              <w:pStyle w:val="12"/>
            </w:pPr>
            <w:r>
              <w:t>免保育教育费生均财政补助标准</w:t>
            </w:r>
          </w:p>
        </w:tc>
      </w:tr>
    </w:tbl>
    <w:p w14:paraId="73EE48D5">
      <w:pPr>
        <w:sectPr>
          <w:pgSz w:w="16840" w:h="11900" w:orient="landscape"/>
          <w:pgMar w:top="1361" w:right="1020" w:bottom="1134" w:left="1020" w:header="720" w:footer="720" w:gutter="0"/>
          <w:cols w:space="720" w:num="1"/>
        </w:sectPr>
      </w:pPr>
    </w:p>
    <w:p w14:paraId="644F7A0B">
      <w:pPr>
        <w:spacing w:before="0" w:after="0"/>
        <w:ind w:firstLine="560"/>
        <w:jc w:val="left"/>
        <w:outlineLvl w:val="9"/>
      </w:pPr>
      <w:r>
        <w:rPr>
          <w:rFonts w:ascii="方正仿宋_GBK" w:hAnsi="方正仿宋_GBK" w:eastAsia="方正仿宋_GBK" w:cs="方正仿宋_GBK"/>
          <w:b/>
          <w:color w:val="000000"/>
          <w:sz w:val="28"/>
        </w:rPr>
        <w:t>11、冀财教[2025]122号/中央/支持学前教育发展/后庄幼儿园活动用房等维修改造绩效目标表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F1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87B20">
            <w:pPr>
              <w:pStyle w:val="11"/>
            </w:pPr>
            <w:r>
              <w:t>单位：万元</w:t>
            </w:r>
          </w:p>
        </w:tc>
      </w:tr>
      <w:tr w14:paraId="27E8E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C1C1E">
            <w:pPr>
              <w:pStyle w:val="10"/>
            </w:pPr>
            <w:r>
              <w:t>项目编码</w:t>
            </w:r>
          </w:p>
        </w:tc>
        <w:tc>
          <w:tcPr>
            <w:tcW w:w="5103" w:type="dxa"/>
            <w:gridSpan w:val="2"/>
            <w:vAlign w:val="center"/>
          </w:tcPr>
          <w:p w14:paraId="3C54AAFA">
            <w:pPr>
              <w:pStyle w:val="12"/>
            </w:pPr>
            <w:r>
              <w:t>13052526P008769101982</w:t>
            </w:r>
          </w:p>
        </w:tc>
        <w:tc>
          <w:tcPr>
            <w:tcW w:w="2835" w:type="dxa"/>
            <w:vAlign w:val="center"/>
          </w:tcPr>
          <w:p w14:paraId="5F78ED84">
            <w:pPr>
              <w:pStyle w:val="10"/>
            </w:pPr>
            <w:r>
              <w:t>项目名称</w:t>
            </w:r>
          </w:p>
        </w:tc>
        <w:tc>
          <w:tcPr>
            <w:tcW w:w="6095" w:type="dxa"/>
            <w:gridSpan w:val="3"/>
            <w:vAlign w:val="center"/>
          </w:tcPr>
          <w:p w14:paraId="7E2D4E25">
            <w:pPr>
              <w:pStyle w:val="12"/>
            </w:pPr>
            <w:r>
              <w:t>冀财教[2025]122号/中央/支持学前教育发展/后庄幼儿园活动用房等维修改造</w:t>
            </w:r>
          </w:p>
        </w:tc>
      </w:tr>
      <w:tr w14:paraId="48B17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E0CF1">
            <w:pPr>
              <w:pStyle w:val="10"/>
            </w:pPr>
            <w:r>
              <w:t>预算规模及资金用途</w:t>
            </w:r>
          </w:p>
        </w:tc>
        <w:tc>
          <w:tcPr>
            <w:tcW w:w="2268" w:type="dxa"/>
            <w:vAlign w:val="center"/>
          </w:tcPr>
          <w:p w14:paraId="6D54F9C6">
            <w:pPr>
              <w:pStyle w:val="10"/>
            </w:pPr>
            <w:r>
              <w:t>预算数</w:t>
            </w:r>
          </w:p>
        </w:tc>
        <w:tc>
          <w:tcPr>
            <w:tcW w:w="2835" w:type="dxa"/>
            <w:vAlign w:val="center"/>
          </w:tcPr>
          <w:p w14:paraId="12B0BC3E">
            <w:pPr>
              <w:pStyle w:val="12"/>
            </w:pPr>
            <w:r>
              <w:t>21.00</w:t>
            </w:r>
          </w:p>
        </w:tc>
        <w:tc>
          <w:tcPr>
            <w:tcW w:w="2835" w:type="dxa"/>
            <w:vAlign w:val="center"/>
          </w:tcPr>
          <w:p w14:paraId="7C8A56DE">
            <w:pPr>
              <w:pStyle w:val="10"/>
            </w:pPr>
            <w:r>
              <w:t>其中：财政    资金</w:t>
            </w:r>
          </w:p>
        </w:tc>
        <w:tc>
          <w:tcPr>
            <w:tcW w:w="2551" w:type="dxa"/>
            <w:vAlign w:val="center"/>
          </w:tcPr>
          <w:p w14:paraId="12735EA7">
            <w:pPr>
              <w:pStyle w:val="12"/>
            </w:pPr>
            <w:r>
              <w:t>21.00</w:t>
            </w:r>
          </w:p>
        </w:tc>
        <w:tc>
          <w:tcPr>
            <w:tcW w:w="2268" w:type="dxa"/>
            <w:vAlign w:val="center"/>
          </w:tcPr>
          <w:p w14:paraId="1C8CE675">
            <w:pPr>
              <w:pStyle w:val="10"/>
            </w:pPr>
            <w:r>
              <w:t>其他资金</w:t>
            </w:r>
          </w:p>
        </w:tc>
        <w:tc>
          <w:tcPr>
            <w:tcW w:w="1276" w:type="dxa"/>
            <w:vAlign w:val="center"/>
          </w:tcPr>
          <w:p w14:paraId="3734082C">
            <w:pPr>
              <w:pStyle w:val="12"/>
            </w:pPr>
            <w:r>
              <w:t xml:space="preserve"> </w:t>
            </w:r>
          </w:p>
        </w:tc>
      </w:tr>
      <w:tr w14:paraId="53580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4A1DC"/>
        </w:tc>
        <w:tc>
          <w:tcPr>
            <w:tcW w:w="14033" w:type="dxa"/>
            <w:gridSpan w:val="6"/>
            <w:vAlign w:val="center"/>
          </w:tcPr>
          <w:p w14:paraId="67BB2E56">
            <w:pPr>
              <w:pStyle w:val="12"/>
            </w:pPr>
            <w:r>
              <w:t>改善就学条件，提升学校形象，保障幼儿安全，创造良好的校园环境。</w:t>
            </w:r>
          </w:p>
        </w:tc>
      </w:tr>
      <w:tr w14:paraId="61133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AE44C">
            <w:pPr>
              <w:pStyle w:val="10"/>
            </w:pPr>
            <w:r>
              <w:t>资金支出计划（%）</w:t>
            </w:r>
          </w:p>
        </w:tc>
        <w:tc>
          <w:tcPr>
            <w:tcW w:w="5103" w:type="dxa"/>
            <w:gridSpan w:val="2"/>
            <w:vAlign w:val="center"/>
          </w:tcPr>
          <w:p w14:paraId="6B77FF5C">
            <w:pPr>
              <w:pStyle w:val="10"/>
            </w:pPr>
            <w:r>
              <w:t>3月底</w:t>
            </w:r>
          </w:p>
        </w:tc>
        <w:tc>
          <w:tcPr>
            <w:tcW w:w="2835" w:type="dxa"/>
            <w:vAlign w:val="center"/>
          </w:tcPr>
          <w:p w14:paraId="09DE2A25">
            <w:pPr>
              <w:pStyle w:val="10"/>
            </w:pPr>
            <w:r>
              <w:t>6月底</w:t>
            </w:r>
          </w:p>
        </w:tc>
        <w:tc>
          <w:tcPr>
            <w:tcW w:w="2551" w:type="dxa"/>
            <w:vAlign w:val="center"/>
          </w:tcPr>
          <w:p w14:paraId="0147D815">
            <w:pPr>
              <w:pStyle w:val="10"/>
            </w:pPr>
            <w:r>
              <w:t>10月底</w:t>
            </w:r>
          </w:p>
        </w:tc>
        <w:tc>
          <w:tcPr>
            <w:tcW w:w="3544" w:type="dxa"/>
            <w:gridSpan w:val="2"/>
            <w:vAlign w:val="center"/>
          </w:tcPr>
          <w:p w14:paraId="3CCB902C">
            <w:pPr>
              <w:pStyle w:val="10"/>
            </w:pPr>
            <w:r>
              <w:t>12月底</w:t>
            </w:r>
          </w:p>
        </w:tc>
      </w:tr>
      <w:tr w14:paraId="170A2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445C0"/>
        </w:tc>
        <w:tc>
          <w:tcPr>
            <w:tcW w:w="5103" w:type="dxa"/>
            <w:gridSpan w:val="2"/>
            <w:vAlign w:val="center"/>
          </w:tcPr>
          <w:p w14:paraId="12DFCF9B">
            <w:pPr>
              <w:pStyle w:val="13"/>
            </w:pPr>
            <w:r>
              <w:t xml:space="preserve"> </w:t>
            </w:r>
          </w:p>
        </w:tc>
        <w:tc>
          <w:tcPr>
            <w:tcW w:w="2835" w:type="dxa"/>
            <w:vAlign w:val="center"/>
          </w:tcPr>
          <w:p w14:paraId="60DE96D2">
            <w:pPr>
              <w:pStyle w:val="13"/>
            </w:pPr>
            <w:r>
              <w:t>100%</w:t>
            </w:r>
          </w:p>
        </w:tc>
        <w:tc>
          <w:tcPr>
            <w:tcW w:w="2551" w:type="dxa"/>
            <w:vAlign w:val="center"/>
          </w:tcPr>
          <w:p w14:paraId="07648887">
            <w:pPr>
              <w:pStyle w:val="13"/>
            </w:pPr>
            <w:r>
              <w:t>100%</w:t>
            </w:r>
          </w:p>
        </w:tc>
        <w:tc>
          <w:tcPr>
            <w:tcW w:w="3544" w:type="dxa"/>
            <w:gridSpan w:val="2"/>
            <w:vAlign w:val="center"/>
          </w:tcPr>
          <w:p w14:paraId="47085515">
            <w:pPr>
              <w:pStyle w:val="13"/>
            </w:pPr>
            <w:r>
              <w:t>100%</w:t>
            </w:r>
          </w:p>
        </w:tc>
      </w:tr>
      <w:tr w14:paraId="71C65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C78E1">
            <w:pPr>
              <w:pStyle w:val="10"/>
            </w:pPr>
            <w:r>
              <w:t>绩效目标</w:t>
            </w:r>
          </w:p>
        </w:tc>
        <w:tc>
          <w:tcPr>
            <w:tcW w:w="14033" w:type="dxa"/>
            <w:gridSpan w:val="6"/>
            <w:vAlign w:val="center"/>
          </w:tcPr>
          <w:p w14:paraId="538280D3">
            <w:pPr>
              <w:pStyle w:val="12"/>
            </w:pPr>
            <w:r>
              <w:t>1.改善就学条件，提升学校形象，保障幼儿安全，创造良好的校园环境。</w:t>
            </w:r>
          </w:p>
          <w:p w14:paraId="19E362D6">
            <w:pPr>
              <w:pStyle w:val="12"/>
            </w:pPr>
            <w:r>
              <w:t>2.项目需资金21万元，资金拨付率达到100%。</w:t>
            </w:r>
          </w:p>
        </w:tc>
      </w:tr>
    </w:tbl>
    <w:p w14:paraId="02A311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C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C45DF">
            <w:pPr>
              <w:pStyle w:val="10"/>
            </w:pPr>
            <w:r>
              <w:t>一级指标</w:t>
            </w:r>
          </w:p>
        </w:tc>
        <w:tc>
          <w:tcPr>
            <w:tcW w:w="2268" w:type="dxa"/>
            <w:vAlign w:val="center"/>
          </w:tcPr>
          <w:p w14:paraId="2E1AD086">
            <w:pPr>
              <w:pStyle w:val="10"/>
            </w:pPr>
            <w:r>
              <w:t>二级指标</w:t>
            </w:r>
          </w:p>
        </w:tc>
        <w:tc>
          <w:tcPr>
            <w:tcW w:w="2835" w:type="dxa"/>
            <w:vAlign w:val="center"/>
          </w:tcPr>
          <w:p w14:paraId="76D16D9C">
            <w:pPr>
              <w:pStyle w:val="10"/>
            </w:pPr>
            <w:r>
              <w:t>三级指标</w:t>
            </w:r>
          </w:p>
        </w:tc>
        <w:tc>
          <w:tcPr>
            <w:tcW w:w="5386" w:type="dxa"/>
            <w:vAlign w:val="center"/>
          </w:tcPr>
          <w:p w14:paraId="28C66E9D">
            <w:pPr>
              <w:pStyle w:val="10"/>
            </w:pPr>
            <w:r>
              <w:t>绩效指标描述</w:t>
            </w:r>
          </w:p>
        </w:tc>
        <w:tc>
          <w:tcPr>
            <w:tcW w:w="2268" w:type="dxa"/>
            <w:vAlign w:val="center"/>
          </w:tcPr>
          <w:p w14:paraId="61BE6440">
            <w:pPr>
              <w:pStyle w:val="10"/>
            </w:pPr>
            <w:r>
              <w:t>指标值</w:t>
            </w:r>
          </w:p>
        </w:tc>
        <w:tc>
          <w:tcPr>
            <w:tcW w:w="1276" w:type="dxa"/>
            <w:vAlign w:val="center"/>
          </w:tcPr>
          <w:p w14:paraId="493F72DF">
            <w:pPr>
              <w:pStyle w:val="10"/>
            </w:pPr>
            <w:r>
              <w:t>指标值确定依据</w:t>
            </w:r>
          </w:p>
        </w:tc>
      </w:tr>
      <w:tr w14:paraId="5319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59156">
            <w:pPr>
              <w:pStyle w:val="13"/>
            </w:pPr>
            <w:r>
              <w:t>产出指标</w:t>
            </w:r>
          </w:p>
        </w:tc>
        <w:tc>
          <w:tcPr>
            <w:tcW w:w="2268" w:type="dxa"/>
            <w:vAlign w:val="center"/>
          </w:tcPr>
          <w:p w14:paraId="7376C037">
            <w:pPr>
              <w:pStyle w:val="12"/>
            </w:pPr>
            <w:r>
              <w:t>数量指标</w:t>
            </w:r>
          </w:p>
        </w:tc>
        <w:tc>
          <w:tcPr>
            <w:tcW w:w="2835" w:type="dxa"/>
            <w:vAlign w:val="center"/>
          </w:tcPr>
          <w:p w14:paraId="19D7FB0A">
            <w:pPr>
              <w:pStyle w:val="12"/>
            </w:pPr>
            <w:r>
              <w:t>后庄幼儿园活动用房等维修改造</w:t>
            </w:r>
          </w:p>
        </w:tc>
        <w:tc>
          <w:tcPr>
            <w:tcW w:w="5386" w:type="dxa"/>
            <w:vAlign w:val="center"/>
          </w:tcPr>
          <w:p w14:paraId="682EC41B">
            <w:pPr>
              <w:pStyle w:val="12"/>
            </w:pPr>
            <w:r>
              <w:t>教学楼内外墙粉刷、绘画，院落围墙粉刷，户外悬浮地板等</w:t>
            </w:r>
          </w:p>
        </w:tc>
        <w:tc>
          <w:tcPr>
            <w:tcW w:w="2268" w:type="dxa"/>
            <w:vAlign w:val="center"/>
          </w:tcPr>
          <w:p w14:paraId="3226EEBD">
            <w:pPr>
              <w:pStyle w:val="12"/>
            </w:pPr>
            <w:r>
              <w:t>1项</w:t>
            </w:r>
          </w:p>
        </w:tc>
        <w:tc>
          <w:tcPr>
            <w:tcW w:w="1276" w:type="dxa"/>
            <w:vAlign w:val="center"/>
          </w:tcPr>
          <w:p w14:paraId="0AC36415">
            <w:pPr>
              <w:pStyle w:val="12"/>
            </w:pPr>
            <w:r>
              <w:t>项目规划</w:t>
            </w:r>
          </w:p>
        </w:tc>
      </w:tr>
      <w:tr w14:paraId="0760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19862"/>
        </w:tc>
        <w:tc>
          <w:tcPr>
            <w:tcW w:w="2268" w:type="dxa"/>
            <w:vAlign w:val="center"/>
          </w:tcPr>
          <w:p w14:paraId="36F55468">
            <w:pPr>
              <w:pStyle w:val="12"/>
            </w:pPr>
            <w:r>
              <w:t>质量指标</w:t>
            </w:r>
          </w:p>
        </w:tc>
        <w:tc>
          <w:tcPr>
            <w:tcW w:w="2835" w:type="dxa"/>
            <w:vAlign w:val="center"/>
          </w:tcPr>
          <w:p w14:paraId="5329FFEA">
            <w:pPr>
              <w:pStyle w:val="12"/>
            </w:pPr>
            <w:r>
              <w:t>工程实施验收合格率</w:t>
            </w:r>
          </w:p>
        </w:tc>
        <w:tc>
          <w:tcPr>
            <w:tcW w:w="5386" w:type="dxa"/>
            <w:vAlign w:val="center"/>
          </w:tcPr>
          <w:p w14:paraId="706FF962">
            <w:pPr>
              <w:pStyle w:val="12"/>
            </w:pPr>
            <w:r>
              <w:t>申报程序的合规，项目实施及资金使用符合项目规划</w:t>
            </w:r>
          </w:p>
        </w:tc>
        <w:tc>
          <w:tcPr>
            <w:tcW w:w="2268" w:type="dxa"/>
            <w:vAlign w:val="center"/>
          </w:tcPr>
          <w:p w14:paraId="4675B5E1">
            <w:pPr>
              <w:pStyle w:val="12"/>
            </w:pPr>
            <w:r>
              <w:t>100%</w:t>
            </w:r>
          </w:p>
        </w:tc>
        <w:tc>
          <w:tcPr>
            <w:tcW w:w="1276" w:type="dxa"/>
            <w:vAlign w:val="center"/>
          </w:tcPr>
          <w:p w14:paraId="2AD72FE8">
            <w:pPr>
              <w:pStyle w:val="12"/>
            </w:pPr>
            <w:r>
              <w:t>项目规划</w:t>
            </w:r>
          </w:p>
        </w:tc>
      </w:tr>
      <w:tr w14:paraId="30179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EB55"/>
        </w:tc>
        <w:tc>
          <w:tcPr>
            <w:tcW w:w="2268" w:type="dxa"/>
            <w:vAlign w:val="center"/>
          </w:tcPr>
          <w:p w14:paraId="055CEDCA">
            <w:pPr>
              <w:pStyle w:val="12"/>
            </w:pPr>
            <w:r>
              <w:t>时效指标</w:t>
            </w:r>
          </w:p>
        </w:tc>
        <w:tc>
          <w:tcPr>
            <w:tcW w:w="2835" w:type="dxa"/>
            <w:vAlign w:val="center"/>
          </w:tcPr>
          <w:p w14:paraId="2F043AD8">
            <w:pPr>
              <w:pStyle w:val="12"/>
            </w:pPr>
            <w:r>
              <w:t>资金支付率</w:t>
            </w:r>
          </w:p>
        </w:tc>
        <w:tc>
          <w:tcPr>
            <w:tcW w:w="5386" w:type="dxa"/>
            <w:vAlign w:val="center"/>
          </w:tcPr>
          <w:p w14:paraId="10520FED">
            <w:pPr>
              <w:pStyle w:val="12"/>
            </w:pPr>
            <w:r>
              <w:t>按照序时进度完成资金支付</w:t>
            </w:r>
          </w:p>
        </w:tc>
        <w:tc>
          <w:tcPr>
            <w:tcW w:w="2268" w:type="dxa"/>
            <w:vAlign w:val="center"/>
          </w:tcPr>
          <w:p w14:paraId="26C5A266">
            <w:pPr>
              <w:pStyle w:val="12"/>
            </w:pPr>
            <w:r>
              <w:t>100%</w:t>
            </w:r>
          </w:p>
        </w:tc>
        <w:tc>
          <w:tcPr>
            <w:tcW w:w="1276" w:type="dxa"/>
            <w:vAlign w:val="center"/>
          </w:tcPr>
          <w:p w14:paraId="0065BD9D">
            <w:pPr>
              <w:pStyle w:val="12"/>
            </w:pPr>
            <w:r>
              <w:t>项目规划</w:t>
            </w:r>
          </w:p>
        </w:tc>
      </w:tr>
      <w:tr w14:paraId="2D0A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164B6"/>
        </w:tc>
        <w:tc>
          <w:tcPr>
            <w:tcW w:w="2268" w:type="dxa"/>
            <w:vAlign w:val="center"/>
          </w:tcPr>
          <w:p w14:paraId="2676040B">
            <w:pPr>
              <w:pStyle w:val="12"/>
            </w:pPr>
            <w:r>
              <w:t>成本指标</w:t>
            </w:r>
          </w:p>
        </w:tc>
        <w:tc>
          <w:tcPr>
            <w:tcW w:w="2835" w:type="dxa"/>
            <w:vAlign w:val="center"/>
          </w:tcPr>
          <w:p w14:paraId="592FFF3D">
            <w:pPr>
              <w:pStyle w:val="12"/>
            </w:pPr>
            <w:r>
              <w:t>项目成本控制情况</w:t>
            </w:r>
          </w:p>
        </w:tc>
        <w:tc>
          <w:tcPr>
            <w:tcW w:w="5386" w:type="dxa"/>
            <w:vAlign w:val="center"/>
          </w:tcPr>
          <w:p w14:paraId="544CA148">
            <w:pPr>
              <w:pStyle w:val="12"/>
            </w:pPr>
            <w:r>
              <w:t>严格按照招标价格及审计额进行</w:t>
            </w:r>
          </w:p>
        </w:tc>
        <w:tc>
          <w:tcPr>
            <w:tcW w:w="2268" w:type="dxa"/>
            <w:vAlign w:val="center"/>
          </w:tcPr>
          <w:p w14:paraId="15C6C101">
            <w:pPr>
              <w:pStyle w:val="12"/>
            </w:pPr>
            <w:r>
              <w:t>21万元</w:t>
            </w:r>
          </w:p>
        </w:tc>
        <w:tc>
          <w:tcPr>
            <w:tcW w:w="1276" w:type="dxa"/>
            <w:vAlign w:val="center"/>
          </w:tcPr>
          <w:p w14:paraId="20B3E57F">
            <w:pPr>
              <w:pStyle w:val="12"/>
            </w:pPr>
            <w:r>
              <w:t>项目规划</w:t>
            </w:r>
          </w:p>
        </w:tc>
      </w:tr>
      <w:tr w14:paraId="3CFB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E29B7">
            <w:pPr>
              <w:pStyle w:val="13"/>
            </w:pPr>
            <w:r>
              <w:t>效益指标</w:t>
            </w:r>
          </w:p>
        </w:tc>
        <w:tc>
          <w:tcPr>
            <w:tcW w:w="2268" w:type="dxa"/>
            <w:vAlign w:val="center"/>
          </w:tcPr>
          <w:p w14:paraId="5285857A">
            <w:pPr>
              <w:pStyle w:val="12"/>
            </w:pPr>
            <w:r>
              <w:t>可持续影响指标</w:t>
            </w:r>
          </w:p>
        </w:tc>
        <w:tc>
          <w:tcPr>
            <w:tcW w:w="2835" w:type="dxa"/>
            <w:vAlign w:val="center"/>
          </w:tcPr>
          <w:p w14:paraId="5C1957B6">
            <w:pPr>
              <w:pStyle w:val="12"/>
            </w:pPr>
            <w:r>
              <w:t>学校办学环境提升</w:t>
            </w:r>
          </w:p>
        </w:tc>
        <w:tc>
          <w:tcPr>
            <w:tcW w:w="5386" w:type="dxa"/>
            <w:vAlign w:val="center"/>
          </w:tcPr>
          <w:p w14:paraId="308F2104">
            <w:pPr>
              <w:pStyle w:val="12"/>
            </w:pPr>
            <w:r>
              <w:t>学校教学环境提升优化率</w:t>
            </w:r>
          </w:p>
        </w:tc>
        <w:tc>
          <w:tcPr>
            <w:tcW w:w="2268" w:type="dxa"/>
            <w:vAlign w:val="center"/>
          </w:tcPr>
          <w:p w14:paraId="4668C40F">
            <w:pPr>
              <w:pStyle w:val="12"/>
            </w:pPr>
            <w:r>
              <w:t>≥98%</w:t>
            </w:r>
          </w:p>
        </w:tc>
        <w:tc>
          <w:tcPr>
            <w:tcW w:w="1276" w:type="dxa"/>
            <w:vAlign w:val="center"/>
          </w:tcPr>
          <w:p w14:paraId="0D3A9875">
            <w:pPr>
              <w:pStyle w:val="12"/>
            </w:pPr>
            <w:r>
              <w:t>项目规划</w:t>
            </w:r>
          </w:p>
        </w:tc>
      </w:tr>
      <w:tr w14:paraId="30F7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E7FC4">
            <w:pPr>
              <w:pStyle w:val="13"/>
            </w:pPr>
            <w:r>
              <w:t>满意度指标</w:t>
            </w:r>
          </w:p>
        </w:tc>
        <w:tc>
          <w:tcPr>
            <w:tcW w:w="2268" w:type="dxa"/>
            <w:vAlign w:val="center"/>
          </w:tcPr>
          <w:p w14:paraId="6093DFD2">
            <w:pPr>
              <w:pStyle w:val="12"/>
            </w:pPr>
            <w:r>
              <w:t>服务对象满意度指标</w:t>
            </w:r>
          </w:p>
        </w:tc>
        <w:tc>
          <w:tcPr>
            <w:tcW w:w="2835" w:type="dxa"/>
            <w:vAlign w:val="center"/>
          </w:tcPr>
          <w:p w14:paraId="47F516AF">
            <w:pPr>
              <w:pStyle w:val="12"/>
            </w:pPr>
            <w:r>
              <w:t>受益学生家长及调查满意度</w:t>
            </w:r>
          </w:p>
        </w:tc>
        <w:tc>
          <w:tcPr>
            <w:tcW w:w="5386" w:type="dxa"/>
            <w:vAlign w:val="center"/>
          </w:tcPr>
          <w:p w14:paraId="3D3EDA79">
            <w:pPr>
              <w:pStyle w:val="12"/>
            </w:pPr>
            <w:r>
              <w:t>学生、教师及家长对学校教学环境满意度情况</w:t>
            </w:r>
          </w:p>
        </w:tc>
        <w:tc>
          <w:tcPr>
            <w:tcW w:w="2268" w:type="dxa"/>
            <w:vAlign w:val="center"/>
          </w:tcPr>
          <w:p w14:paraId="56C34549">
            <w:pPr>
              <w:pStyle w:val="12"/>
            </w:pPr>
            <w:r>
              <w:t>≥95%</w:t>
            </w:r>
          </w:p>
        </w:tc>
        <w:tc>
          <w:tcPr>
            <w:tcW w:w="1276" w:type="dxa"/>
            <w:vAlign w:val="center"/>
          </w:tcPr>
          <w:p w14:paraId="3BA82314">
            <w:pPr>
              <w:pStyle w:val="12"/>
            </w:pPr>
            <w:r>
              <w:t>项目规划</w:t>
            </w:r>
          </w:p>
        </w:tc>
      </w:tr>
    </w:tbl>
    <w:p w14:paraId="6094DEEE">
      <w:pPr>
        <w:sectPr>
          <w:pgSz w:w="16840" w:h="11900" w:orient="landscape"/>
          <w:pgMar w:top="1361" w:right="1020" w:bottom="1134" w:left="1020" w:header="720" w:footer="720" w:gutter="0"/>
          <w:cols w:space="720" w:num="1"/>
        </w:sectPr>
      </w:pPr>
    </w:p>
    <w:p w14:paraId="00525D15">
      <w:pPr>
        <w:spacing w:before="0" w:after="0"/>
        <w:ind w:firstLine="560"/>
        <w:jc w:val="left"/>
        <w:outlineLvl w:val="9"/>
      </w:pPr>
      <w:r>
        <w:rPr>
          <w:rFonts w:ascii="方正仿宋_GBK" w:hAnsi="方正仿宋_GBK" w:eastAsia="方正仿宋_GBK" w:cs="方正仿宋_GBK"/>
          <w:b/>
          <w:color w:val="000000"/>
          <w:sz w:val="28"/>
        </w:rPr>
        <w:t>12、冀财教[2025]122号/中央/支持学前教育发展/齐村幼儿园悬浮地板改造绩效目标表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4E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265A2">
            <w:pPr>
              <w:pStyle w:val="11"/>
            </w:pPr>
            <w:r>
              <w:t>单位：万元</w:t>
            </w:r>
          </w:p>
        </w:tc>
      </w:tr>
      <w:tr w14:paraId="51E11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0E785">
            <w:pPr>
              <w:pStyle w:val="10"/>
            </w:pPr>
            <w:r>
              <w:t>项目编码</w:t>
            </w:r>
          </w:p>
        </w:tc>
        <w:tc>
          <w:tcPr>
            <w:tcW w:w="5103" w:type="dxa"/>
            <w:gridSpan w:val="2"/>
            <w:vAlign w:val="center"/>
          </w:tcPr>
          <w:p w14:paraId="534E5878">
            <w:pPr>
              <w:pStyle w:val="12"/>
            </w:pPr>
            <w:r>
              <w:t>13052526P00876910197E</w:t>
            </w:r>
          </w:p>
        </w:tc>
        <w:tc>
          <w:tcPr>
            <w:tcW w:w="2835" w:type="dxa"/>
            <w:vAlign w:val="center"/>
          </w:tcPr>
          <w:p w14:paraId="57D6DB14">
            <w:pPr>
              <w:pStyle w:val="10"/>
            </w:pPr>
            <w:r>
              <w:t>项目名称</w:t>
            </w:r>
          </w:p>
        </w:tc>
        <w:tc>
          <w:tcPr>
            <w:tcW w:w="6095" w:type="dxa"/>
            <w:gridSpan w:val="3"/>
            <w:vAlign w:val="center"/>
          </w:tcPr>
          <w:p w14:paraId="7373F67B">
            <w:pPr>
              <w:pStyle w:val="12"/>
            </w:pPr>
            <w:r>
              <w:t>冀财教[2025]122号/中央/支持学前教育发展/齐村幼儿园悬浮地板改造</w:t>
            </w:r>
          </w:p>
        </w:tc>
      </w:tr>
      <w:tr w14:paraId="5FA56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FF1A6">
            <w:pPr>
              <w:pStyle w:val="10"/>
            </w:pPr>
            <w:r>
              <w:t>预算规模及资金用途</w:t>
            </w:r>
          </w:p>
        </w:tc>
        <w:tc>
          <w:tcPr>
            <w:tcW w:w="2268" w:type="dxa"/>
            <w:vAlign w:val="center"/>
          </w:tcPr>
          <w:p w14:paraId="7DBFD332">
            <w:pPr>
              <w:pStyle w:val="10"/>
            </w:pPr>
            <w:r>
              <w:t>预算数</w:t>
            </w:r>
          </w:p>
        </w:tc>
        <w:tc>
          <w:tcPr>
            <w:tcW w:w="2835" w:type="dxa"/>
            <w:vAlign w:val="center"/>
          </w:tcPr>
          <w:p w14:paraId="44BA1250">
            <w:pPr>
              <w:pStyle w:val="12"/>
            </w:pPr>
            <w:r>
              <w:t>6.00</w:t>
            </w:r>
          </w:p>
        </w:tc>
        <w:tc>
          <w:tcPr>
            <w:tcW w:w="2835" w:type="dxa"/>
            <w:vAlign w:val="center"/>
          </w:tcPr>
          <w:p w14:paraId="02545AB8">
            <w:pPr>
              <w:pStyle w:val="10"/>
            </w:pPr>
            <w:r>
              <w:t>其中：财政    资金</w:t>
            </w:r>
          </w:p>
        </w:tc>
        <w:tc>
          <w:tcPr>
            <w:tcW w:w="2551" w:type="dxa"/>
            <w:vAlign w:val="center"/>
          </w:tcPr>
          <w:p w14:paraId="09937441">
            <w:pPr>
              <w:pStyle w:val="12"/>
            </w:pPr>
            <w:r>
              <w:t>6.00</w:t>
            </w:r>
          </w:p>
        </w:tc>
        <w:tc>
          <w:tcPr>
            <w:tcW w:w="2268" w:type="dxa"/>
            <w:vAlign w:val="center"/>
          </w:tcPr>
          <w:p w14:paraId="38410D9E">
            <w:pPr>
              <w:pStyle w:val="10"/>
            </w:pPr>
            <w:r>
              <w:t>其他资金</w:t>
            </w:r>
          </w:p>
        </w:tc>
        <w:tc>
          <w:tcPr>
            <w:tcW w:w="1276" w:type="dxa"/>
            <w:vAlign w:val="center"/>
          </w:tcPr>
          <w:p w14:paraId="0F22AF87">
            <w:pPr>
              <w:pStyle w:val="12"/>
            </w:pPr>
            <w:r>
              <w:t xml:space="preserve"> </w:t>
            </w:r>
          </w:p>
        </w:tc>
      </w:tr>
      <w:tr w14:paraId="288FC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F06BE"/>
        </w:tc>
        <w:tc>
          <w:tcPr>
            <w:tcW w:w="14033" w:type="dxa"/>
            <w:gridSpan w:val="6"/>
            <w:vAlign w:val="center"/>
          </w:tcPr>
          <w:p w14:paraId="6B31DA56">
            <w:pPr>
              <w:pStyle w:val="12"/>
            </w:pPr>
            <w:r>
              <w:t>改善就学条件，提升学校形象，保障幼儿安全，创造良好的校园环境。</w:t>
            </w:r>
          </w:p>
        </w:tc>
      </w:tr>
      <w:tr w14:paraId="593D9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89F60">
            <w:pPr>
              <w:pStyle w:val="10"/>
            </w:pPr>
            <w:r>
              <w:t>资金支出计划（%）</w:t>
            </w:r>
          </w:p>
        </w:tc>
        <w:tc>
          <w:tcPr>
            <w:tcW w:w="5103" w:type="dxa"/>
            <w:gridSpan w:val="2"/>
            <w:vAlign w:val="center"/>
          </w:tcPr>
          <w:p w14:paraId="76D6BC2D">
            <w:pPr>
              <w:pStyle w:val="10"/>
            </w:pPr>
            <w:r>
              <w:t>3月底</w:t>
            </w:r>
          </w:p>
        </w:tc>
        <w:tc>
          <w:tcPr>
            <w:tcW w:w="2835" w:type="dxa"/>
            <w:vAlign w:val="center"/>
          </w:tcPr>
          <w:p w14:paraId="65DADC8C">
            <w:pPr>
              <w:pStyle w:val="10"/>
            </w:pPr>
            <w:r>
              <w:t>6月底</w:t>
            </w:r>
          </w:p>
        </w:tc>
        <w:tc>
          <w:tcPr>
            <w:tcW w:w="2551" w:type="dxa"/>
            <w:vAlign w:val="center"/>
          </w:tcPr>
          <w:p w14:paraId="312E0EAB">
            <w:pPr>
              <w:pStyle w:val="10"/>
            </w:pPr>
            <w:r>
              <w:t>10月底</w:t>
            </w:r>
          </w:p>
        </w:tc>
        <w:tc>
          <w:tcPr>
            <w:tcW w:w="3544" w:type="dxa"/>
            <w:gridSpan w:val="2"/>
            <w:vAlign w:val="center"/>
          </w:tcPr>
          <w:p w14:paraId="551C20E2">
            <w:pPr>
              <w:pStyle w:val="10"/>
            </w:pPr>
            <w:r>
              <w:t>12月底</w:t>
            </w:r>
          </w:p>
        </w:tc>
      </w:tr>
      <w:tr w14:paraId="0AD5E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6BF51"/>
        </w:tc>
        <w:tc>
          <w:tcPr>
            <w:tcW w:w="5103" w:type="dxa"/>
            <w:gridSpan w:val="2"/>
            <w:vAlign w:val="center"/>
          </w:tcPr>
          <w:p w14:paraId="1DC8CECD">
            <w:pPr>
              <w:pStyle w:val="13"/>
            </w:pPr>
            <w:r>
              <w:t xml:space="preserve"> </w:t>
            </w:r>
          </w:p>
        </w:tc>
        <w:tc>
          <w:tcPr>
            <w:tcW w:w="2835" w:type="dxa"/>
            <w:vAlign w:val="center"/>
          </w:tcPr>
          <w:p w14:paraId="2B96C0E5">
            <w:pPr>
              <w:pStyle w:val="13"/>
            </w:pPr>
            <w:r>
              <w:t>100%</w:t>
            </w:r>
          </w:p>
        </w:tc>
        <w:tc>
          <w:tcPr>
            <w:tcW w:w="2551" w:type="dxa"/>
            <w:vAlign w:val="center"/>
          </w:tcPr>
          <w:p w14:paraId="4D882FAE">
            <w:pPr>
              <w:pStyle w:val="13"/>
            </w:pPr>
            <w:r>
              <w:t>100%</w:t>
            </w:r>
          </w:p>
        </w:tc>
        <w:tc>
          <w:tcPr>
            <w:tcW w:w="3544" w:type="dxa"/>
            <w:gridSpan w:val="2"/>
            <w:vAlign w:val="center"/>
          </w:tcPr>
          <w:p w14:paraId="5163D1B0">
            <w:pPr>
              <w:pStyle w:val="13"/>
            </w:pPr>
            <w:r>
              <w:t>100%</w:t>
            </w:r>
          </w:p>
        </w:tc>
      </w:tr>
      <w:tr w14:paraId="27C2B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5CD47">
            <w:pPr>
              <w:pStyle w:val="10"/>
            </w:pPr>
            <w:r>
              <w:t>绩效目标</w:t>
            </w:r>
          </w:p>
        </w:tc>
        <w:tc>
          <w:tcPr>
            <w:tcW w:w="14033" w:type="dxa"/>
            <w:gridSpan w:val="6"/>
            <w:vAlign w:val="center"/>
          </w:tcPr>
          <w:p w14:paraId="71329733">
            <w:pPr>
              <w:pStyle w:val="12"/>
            </w:pPr>
            <w:r>
              <w:t>1.项目需资金6万元，资金拨付率达到100%。</w:t>
            </w:r>
          </w:p>
          <w:p w14:paraId="061A6E7B">
            <w:pPr>
              <w:pStyle w:val="12"/>
            </w:pPr>
            <w:r>
              <w:t>2.改善就学条件，提升学校形象，保障幼儿安全，创造良好的校园环境。</w:t>
            </w:r>
          </w:p>
        </w:tc>
      </w:tr>
    </w:tbl>
    <w:p w14:paraId="289382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E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212F0">
            <w:pPr>
              <w:pStyle w:val="10"/>
            </w:pPr>
            <w:r>
              <w:t>一级指标</w:t>
            </w:r>
          </w:p>
        </w:tc>
        <w:tc>
          <w:tcPr>
            <w:tcW w:w="2268" w:type="dxa"/>
            <w:vAlign w:val="center"/>
          </w:tcPr>
          <w:p w14:paraId="709BC03E">
            <w:pPr>
              <w:pStyle w:val="10"/>
            </w:pPr>
            <w:r>
              <w:t>二级指标</w:t>
            </w:r>
          </w:p>
        </w:tc>
        <w:tc>
          <w:tcPr>
            <w:tcW w:w="2835" w:type="dxa"/>
            <w:vAlign w:val="center"/>
          </w:tcPr>
          <w:p w14:paraId="3E304069">
            <w:pPr>
              <w:pStyle w:val="10"/>
            </w:pPr>
            <w:r>
              <w:t>三级指标</w:t>
            </w:r>
          </w:p>
        </w:tc>
        <w:tc>
          <w:tcPr>
            <w:tcW w:w="5386" w:type="dxa"/>
            <w:vAlign w:val="center"/>
          </w:tcPr>
          <w:p w14:paraId="366307CC">
            <w:pPr>
              <w:pStyle w:val="10"/>
            </w:pPr>
            <w:r>
              <w:t>绩效指标描述</w:t>
            </w:r>
          </w:p>
        </w:tc>
        <w:tc>
          <w:tcPr>
            <w:tcW w:w="2268" w:type="dxa"/>
            <w:vAlign w:val="center"/>
          </w:tcPr>
          <w:p w14:paraId="7179B5B7">
            <w:pPr>
              <w:pStyle w:val="10"/>
            </w:pPr>
            <w:r>
              <w:t>指标值</w:t>
            </w:r>
          </w:p>
        </w:tc>
        <w:tc>
          <w:tcPr>
            <w:tcW w:w="1276" w:type="dxa"/>
            <w:vAlign w:val="center"/>
          </w:tcPr>
          <w:p w14:paraId="59C933A1">
            <w:pPr>
              <w:pStyle w:val="10"/>
            </w:pPr>
            <w:r>
              <w:t>指标值确定依据</w:t>
            </w:r>
          </w:p>
        </w:tc>
      </w:tr>
      <w:tr w14:paraId="3FBD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4254A">
            <w:pPr>
              <w:pStyle w:val="13"/>
            </w:pPr>
            <w:r>
              <w:t>产出指标</w:t>
            </w:r>
          </w:p>
        </w:tc>
        <w:tc>
          <w:tcPr>
            <w:tcW w:w="2268" w:type="dxa"/>
            <w:vAlign w:val="center"/>
          </w:tcPr>
          <w:p w14:paraId="5BB5F78C">
            <w:pPr>
              <w:pStyle w:val="12"/>
            </w:pPr>
            <w:r>
              <w:t>数量指标</w:t>
            </w:r>
          </w:p>
        </w:tc>
        <w:tc>
          <w:tcPr>
            <w:tcW w:w="2835" w:type="dxa"/>
            <w:vAlign w:val="center"/>
          </w:tcPr>
          <w:p w14:paraId="6829C503">
            <w:pPr>
              <w:pStyle w:val="12"/>
            </w:pPr>
            <w:r>
              <w:t>齐村幼儿园悬浮地板改造</w:t>
            </w:r>
          </w:p>
        </w:tc>
        <w:tc>
          <w:tcPr>
            <w:tcW w:w="5386" w:type="dxa"/>
            <w:vAlign w:val="center"/>
          </w:tcPr>
          <w:p w14:paraId="19BCABFB">
            <w:pPr>
              <w:pStyle w:val="12"/>
            </w:pPr>
            <w:r>
              <w:t>悬浮地板改造等</w:t>
            </w:r>
          </w:p>
        </w:tc>
        <w:tc>
          <w:tcPr>
            <w:tcW w:w="2268" w:type="dxa"/>
            <w:vAlign w:val="center"/>
          </w:tcPr>
          <w:p w14:paraId="41F28C0E">
            <w:pPr>
              <w:pStyle w:val="12"/>
            </w:pPr>
            <w:r>
              <w:t>1项</w:t>
            </w:r>
          </w:p>
        </w:tc>
        <w:tc>
          <w:tcPr>
            <w:tcW w:w="1276" w:type="dxa"/>
            <w:vAlign w:val="center"/>
          </w:tcPr>
          <w:p w14:paraId="3FF2897E">
            <w:pPr>
              <w:pStyle w:val="12"/>
            </w:pPr>
            <w:r>
              <w:t>项目规划</w:t>
            </w:r>
          </w:p>
        </w:tc>
      </w:tr>
      <w:tr w14:paraId="3766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040D7"/>
        </w:tc>
        <w:tc>
          <w:tcPr>
            <w:tcW w:w="2268" w:type="dxa"/>
            <w:vAlign w:val="center"/>
          </w:tcPr>
          <w:p w14:paraId="5ED22D9B">
            <w:pPr>
              <w:pStyle w:val="12"/>
            </w:pPr>
            <w:r>
              <w:t>质量指标</w:t>
            </w:r>
          </w:p>
        </w:tc>
        <w:tc>
          <w:tcPr>
            <w:tcW w:w="2835" w:type="dxa"/>
            <w:vAlign w:val="center"/>
          </w:tcPr>
          <w:p w14:paraId="36EED57F">
            <w:pPr>
              <w:pStyle w:val="12"/>
            </w:pPr>
            <w:r>
              <w:t>工程实施验收合格率</w:t>
            </w:r>
          </w:p>
        </w:tc>
        <w:tc>
          <w:tcPr>
            <w:tcW w:w="5386" w:type="dxa"/>
            <w:vAlign w:val="center"/>
          </w:tcPr>
          <w:p w14:paraId="61F8C19F">
            <w:pPr>
              <w:pStyle w:val="12"/>
            </w:pPr>
            <w:r>
              <w:t>申报程序的合规，项目实施及资金使用符合项目规划</w:t>
            </w:r>
          </w:p>
        </w:tc>
        <w:tc>
          <w:tcPr>
            <w:tcW w:w="2268" w:type="dxa"/>
            <w:vAlign w:val="center"/>
          </w:tcPr>
          <w:p w14:paraId="6FDD61DA">
            <w:pPr>
              <w:pStyle w:val="12"/>
            </w:pPr>
            <w:r>
              <w:t>100%</w:t>
            </w:r>
          </w:p>
        </w:tc>
        <w:tc>
          <w:tcPr>
            <w:tcW w:w="1276" w:type="dxa"/>
            <w:vAlign w:val="center"/>
          </w:tcPr>
          <w:p w14:paraId="01C7A510">
            <w:pPr>
              <w:pStyle w:val="12"/>
            </w:pPr>
            <w:r>
              <w:t>项目规划</w:t>
            </w:r>
          </w:p>
        </w:tc>
      </w:tr>
      <w:tr w14:paraId="4A76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D7EF"/>
        </w:tc>
        <w:tc>
          <w:tcPr>
            <w:tcW w:w="2268" w:type="dxa"/>
            <w:vAlign w:val="center"/>
          </w:tcPr>
          <w:p w14:paraId="2F3C9662">
            <w:pPr>
              <w:pStyle w:val="12"/>
            </w:pPr>
            <w:r>
              <w:t>时效指标</w:t>
            </w:r>
          </w:p>
        </w:tc>
        <w:tc>
          <w:tcPr>
            <w:tcW w:w="2835" w:type="dxa"/>
            <w:vAlign w:val="center"/>
          </w:tcPr>
          <w:p w14:paraId="74EF9CA4">
            <w:pPr>
              <w:pStyle w:val="12"/>
            </w:pPr>
            <w:r>
              <w:t>资金支付率</w:t>
            </w:r>
          </w:p>
        </w:tc>
        <w:tc>
          <w:tcPr>
            <w:tcW w:w="5386" w:type="dxa"/>
            <w:vAlign w:val="center"/>
          </w:tcPr>
          <w:p w14:paraId="7D60A894">
            <w:pPr>
              <w:pStyle w:val="12"/>
            </w:pPr>
            <w:r>
              <w:t>按照序时进度完成资金支付</w:t>
            </w:r>
          </w:p>
        </w:tc>
        <w:tc>
          <w:tcPr>
            <w:tcW w:w="2268" w:type="dxa"/>
            <w:vAlign w:val="center"/>
          </w:tcPr>
          <w:p w14:paraId="2F09C829">
            <w:pPr>
              <w:pStyle w:val="12"/>
            </w:pPr>
            <w:r>
              <w:t>100%</w:t>
            </w:r>
          </w:p>
        </w:tc>
        <w:tc>
          <w:tcPr>
            <w:tcW w:w="1276" w:type="dxa"/>
            <w:vAlign w:val="center"/>
          </w:tcPr>
          <w:p w14:paraId="6F520FEC">
            <w:pPr>
              <w:pStyle w:val="12"/>
            </w:pPr>
            <w:r>
              <w:t>项目规划</w:t>
            </w:r>
          </w:p>
        </w:tc>
      </w:tr>
      <w:tr w14:paraId="53CF4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5DC9"/>
        </w:tc>
        <w:tc>
          <w:tcPr>
            <w:tcW w:w="2268" w:type="dxa"/>
            <w:vAlign w:val="center"/>
          </w:tcPr>
          <w:p w14:paraId="46E09938">
            <w:pPr>
              <w:pStyle w:val="12"/>
            </w:pPr>
            <w:r>
              <w:t>成本指标</w:t>
            </w:r>
          </w:p>
        </w:tc>
        <w:tc>
          <w:tcPr>
            <w:tcW w:w="2835" w:type="dxa"/>
            <w:vAlign w:val="center"/>
          </w:tcPr>
          <w:p w14:paraId="1336CF2C">
            <w:pPr>
              <w:pStyle w:val="12"/>
            </w:pPr>
            <w:r>
              <w:t>项目成本控制情况</w:t>
            </w:r>
          </w:p>
        </w:tc>
        <w:tc>
          <w:tcPr>
            <w:tcW w:w="5386" w:type="dxa"/>
            <w:vAlign w:val="center"/>
          </w:tcPr>
          <w:p w14:paraId="0B878B41">
            <w:pPr>
              <w:pStyle w:val="12"/>
            </w:pPr>
            <w:r>
              <w:t>严格按照招标价格及审计额进行</w:t>
            </w:r>
          </w:p>
        </w:tc>
        <w:tc>
          <w:tcPr>
            <w:tcW w:w="2268" w:type="dxa"/>
            <w:vAlign w:val="center"/>
          </w:tcPr>
          <w:p w14:paraId="2DE6FE6A">
            <w:pPr>
              <w:pStyle w:val="12"/>
            </w:pPr>
            <w:r>
              <w:t>6万元</w:t>
            </w:r>
          </w:p>
        </w:tc>
        <w:tc>
          <w:tcPr>
            <w:tcW w:w="1276" w:type="dxa"/>
            <w:vAlign w:val="center"/>
          </w:tcPr>
          <w:p w14:paraId="278C4385">
            <w:pPr>
              <w:pStyle w:val="12"/>
            </w:pPr>
            <w:r>
              <w:t>项目规划</w:t>
            </w:r>
          </w:p>
        </w:tc>
      </w:tr>
      <w:tr w14:paraId="3184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DAA9E">
            <w:pPr>
              <w:pStyle w:val="13"/>
            </w:pPr>
            <w:r>
              <w:t>效益指标</w:t>
            </w:r>
          </w:p>
        </w:tc>
        <w:tc>
          <w:tcPr>
            <w:tcW w:w="2268" w:type="dxa"/>
            <w:vAlign w:val="center"/>
          </w:tcPr>
          <w:p w14:paraId="1902FE33">
            <w:pPr>
              <w:pStyle w:val="12"/>
            </w:pPr>
            <w:r>
              <w:t>可持续影响指标</w:t>
            </w:r>
          </w:p>
        </w:tc>
        <w:tc>
          <w:tcPr>
            <w:tcW w:w="2835" w:type="dxa"/>
            <w:vAlign w:val="center"/>
          </w:tcPr>
          <w:p w14:paraId="10A452FD">
            <w:pPr>
              <w:pStyle w:val="12"/>
            </w:pPr>
            <w:r>
              <w:t>学校办学环境提升</w:t>
            </w:r>
          </w:p>
        </w:tc>
        <w:tc>
          <w:tcPr>
            <w:tcW w:w="5386" w:type="dxa"/>
            <w:vAlign w:val="center"/>
          </w:tcPr>
          <w:p w14:paraId="47335082">
            <w:pPr>
              <w:pStyle w:val="12"/>
            </w:pPr>
            <w:r>
              <w:t>学校教学环境提升优化率</w:t>
            </w:r>
          </w:p>
        </w:tc>
        <w:tc>
          <w:tcPr>
            <w:tcW w:w="2268" w:type="dxa"/>
            <w:vAlign w:val="center"/>
          </w:tcPr>
          <w:p w14:paraId="1A9E946F">
            <w:pPr>
              <w:pStyle w:val="12"/>
            </w:pPr>
            <w:r>
              <w:t>≥98%</w:t>
            </w:r>
          </w:p>
        </w:tc>
        <w:tc>
          <w:tcPr>
            <w:tcW w:w="1276" w:type="dxa"/>
            <w:vAlign w:val="center"/>
          </w:tcPr>
          <w:p w14:paraId="2E6EFCC9">
            <w:pPr>
              <w:pStyle w:val="12"/>
            </w:pPr>
            <w:r>
              <w:t>项目规划</w:t>
            </w:r>
          </w:p>
        </w:tc>
      </w:tr>
      <w:tr w14:paraId="1894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64803">
            <w:pPr>
              <w:pStyle w:val="13"/>
            </w:pPr>
            <w:r>
              <w:t>满意度指标</w:t>
            </w:r>
          </w:p>
        </w:tc>
        <w:tc>
          <w:tcPr>
            <w:tcW w:w="2268" w:type="dxa"/>
            <w:vAlign w:val="center"/>
          </w:tcPr>
          <w:p w14:paraId="139CCBCB">
            <w:pPr>
              <w:pStyle w:val="12"/>
            </w:pPr>
            <w:r>
              <w:t>服务对象满意度指标</w:t>
            </w:r>
          </w:p>
        </w:tc>
        <w:tc>
          <w:tcPr>
            <w:tcW w:w="2835" w:type="dxa"/>
            <w:vAlign w:val="center"/>
          </w:tcPr>
          <w:p w14:paraId="3B6AD597">
            <w:pPr>
              <w:pStyle w:val="12"/>
            </w:pPr>
            <w:r>
              <w:t>受益学生家长及调查满意度</w:t>
            </w:r>
          </w:p>
        </w:tc>
        <w:tc>
          <w:tcPr>
            <w:tcW w:w="5386" w:type="dxa"/>
            <w:vAlign w:val="center"/>
          </w:tcPr>
          <w:p w14:paraId="1D9C810A">
            <w:pPr>
              <w:pStyle w:val="12"/>
            </w:pPr>
            <w:r>
              <w:t>学生、教师及家长对学校教学环境满意度情况</w:t>
            </w:r>
          </w:p>
        </w:tc>
        <w:tc>
          <w:tcPr>
            <w:tcW w:w="2268" w:type="dxa"/>
            <w:vAlign w:val="center"/>
          </w:tcPr>
          <w:p w14:paraId="7FC567EF">
            <w:pPr>
              <w:pStyle w:val="12"/>
            </w:pPr>
            <w:r>
              <w:t>≥95%</w:t>
            </w:r>
          </w:p>
        </w:tc>
        <w:tc>
          <w:tcPr>
            <w:tcW w:w="1276" w:type="dxa"/>
            <w:vAlign w:val="center"/>
          </w:tcPr>
          <w:p w14:paraId="3E4CCFD3">
            <w:pPr>
              <w:pStyle w:val="12"/>
            </w:pPr>
            <w:r>
              <w:t>项目规划</w:t>
            </w:r>
          </w:p>
        </w:tc>
      </w:tr>
    </w:tbl>
    <w:p w14:paraId="73DC1E4D">
      <w:pPr>
        <w:sectPr>
          <w:pgSz w:w="16840" w:h="11900" w:orient="landscape"/>
          <w:pgMar w:top="1361" w:right="1020" w:bottom="1134" w:left="1020" w:header="720" w:footer="720" w:gutter="0"/>
          <w:cols w:space="720" w:num="1"/>
        </w:sectPr>
      </w:pPr>
    </w:p>
    <w:p w14:paraId="2527FCDA">
      <w:pPr>
        <w:spacing w:before="0" w:after="0"/>
        <w:ind w:firstLine="560"/>
        <w:jc w:val="left"/>
        <w:outlineLvl w:val="9"/>
      </w:pPr>
      <w:r>
        <w:rPr>
          <w:rFonts w:ascii="方正仿宋_GBK" w:hAnsi="方正仿宋_GBK" w:eastAsia="方正仿宋_GBK" w:cs="方正仿宋_GBK"/>
          <w:b/>
          <w:color w:val="000000"/>
          <w:sz w:val="28"/>
        </w:rPr>
        <w:t>13、冀财教[2025]122号/中央/支持学前教育发展/山口校区幼儿园设备购置绩效目标表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85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27E52">
            <w:pPr>
              <w:pStyle w:val="11"/>
            </w:pPr>
            <w:r>
              <w:t>单位：万元</w:t>
            </w:r>
          </w:p>
        </w:tc>
      </w:tr>
      <w:tr w14:paraId="6B53F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4ABDF">
            <w:pPr>
              <w:pStyle w:val="10"/>
            </w:pPr>
            <w:r>
              <w:t>项目编码</w:t>
            </w:r>
          </w:p>
        </w:tc>
        <w:tc>
          <w:tcPr>
            <w:tcW w:w="5103" w:type="dxa"/>
            <w:gridSpan w:val="2"/>
            <w:vAlign w:val="center"/>
          </w:tcPr>
          <w:p w14:paraId="1A0A2FC2">
            <w:pPr>
              <w:pStyle w:val="12"/>
            </w:pPr>
            <w:r>
              <w:t>13052526P00876910182G</w:t>
            </w:r>
          </w:p>
        </w:tc>
        <w:tc>
          <w:tcPr>
            <w:tcW w:w="2835" w:type="dxa"/>
            <w:vAlign w:val="center"/>
          </w:tcPr>
          <w:p w14:paraId="58DC8A48">
            <w:pPr>
              <w:pStyle w:val="10"/>
            </w:pPr>
            <w:r>
              <w:t>项目名称</w:t>
            </w:r>
          </w:p>
        </w:tc>
        <w:tc>
          <w:tcPr>
            <w:tcW w:w="6095" w:type="dxa"/>
            <w:gridSpan w:val="3"/>
            <w:vAlign w:val="center"/>
          </w:tcPr>
          <w:p w14:paraId="209DFDE8">
            <w:pPr>
              <w:pStyle w:val="12"/>
            </w:pPr>
            <w:r>
              <w:t>冀财教[2025]122号/中央/支持学前教育发展/山口校区幼儿园设备购置</w:t>
            </w:r>
          </w:p>
        </w:tc>
      </w:tr>
      <w:tr w14:paraId="3DA76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7A567">
            <w:pPr>
              <w:pStyle w:val="10"/>
            </w:pPr>
            <w:r>
              <w:t>预算规模及资金用途</w:t>
            </w:r>
          </w:p>
        </w:tc>
        <w:tc>
          <w:tcPr>
            <w:tcW w:w="2268" w:type="dxa"/>
            <w:vAlign w:val="center"/>
          </w:tcPr>
          <w:p w14:paraId="04120002">
            <w:pPr>
              <w:pStyle w:val="10"/>
            </w:pPr>
            <w:r>
              <w:t>预算数</w:t>
            </w:r>
          </w:p>
        </w:tc>
        <w:tc>
          <w:tcPr>
            <w:tcW w:w="2835" w:type="dxa"/>
            <w:vAlign w:val="center"/>
          </w:tcPr>
          <w:p w14:paraId="21B55527">
            <w:pPr>
              <w:pStyle w:val="12"/>
            </w:pPr>
            <w:r>
              <w:t>16.85</w:t>
            </w:r>
          </w:p>
        </w:tc>
        <w:tc>
          <w:tcPr>
            <w:tcW w:w="2835" w:type="dxa"/>
            <w:vAlign w:val="center"/>
          </w:tcPr>
          <w:p w14:paraId="27CB005D">
            <w:pPr>
              <w:pStyle w:val="10"/>
            </w:pPr>
            <w:r>
              <w:t>其中：财政    资金</w:t>
            </w:r>
          </w:p>
        </w:tc>
        <w:tc>
          <w:tcPr>
            <w:tcW w:w="2551" w:type="dxa"/>
            <w:vAlign w:val="center"/>
          </w:tcPr>
          <w:p w14:paraId="445BE30F">
            <w:pPr>
              <w:pStyle w:val="12"/>
            </w:pPr>
            <w:r>
              <w:t>16.85</w:t>
            </w:r>
          </w:p>
        </w:tc>
        <w:tc>
          <w:tcPr>
            <w:tcW w:w="2268" w:type="dxa"/>
            <w:vAlign w:val="center"/>
          </w:tcPr>
          <w:p w14:paraId="4A297AE7">
            <w:pPr>
              <w:pStyle w:val="10"/>
            </w:pPr>
            <w:r>
              <w:t>其他资金</w:t>
            </w:r>
          </w:p>
        </w:tc>
        <w:tc>
          <w:tcPr>
            <w:tcW w:w="1276" w:type="dxa"/>
            <w:vAlign w:val="center"/>
          </w:tcPr>
          <w:p w14:paraId="3BAFA098">
            <w:pPr>
              <w:pStyle w:val="12"/>
            </w:pPr>
            <w:r>
              <w:t xml:space="preserve"> </w:t>
            </w:r>
          </w:p>
        </w:tc>
      </w:tr>
      <w:tr w14:paraId="122DC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AC8B9"/>
        </w:tc>
        <w:tc>
          <w:tcPr>
            <w:tcW w:w="14033" w:type="dxa"/>
            <w:gridSpan w:val="6"/>
            <w:vAlign w:val="center"/>
          </w:tcPr>
          <w:p w14:paraId="38583772">
            <w:pPr>
              <w:pStyle w:val="12"/>
            </w:pPr>
            <w:r>
              <w:t>改善就学条件，提升学校形象，保障幼儿安全，创造良好的校园环境。</w:t>
            </w:r>
          </w:p>
        </w:tc>
      </w:tr>
      <w:tr w14:paraId="791C2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420EA">
            <w:pPr>
              <w:pStyle w:val="10"/>
            </w:pPr>
            <w:r>
              <w:t>资金支出计划（%）</w:t>
            </w:r>
          </w:p>
        </w:tc>
        <w:tc>
          <w:tcPr>
            <w:tcW w:w="5103" w:type="dxa"/>
            <w:gridSpan w:val="2"/>
            <w:vAlign w:val="center"/>
          </w:tcPr>
          <w:p w14:paraId="132C5609">
            <w:pPr>
              <w:pStyle w:val="10"/>
            </w:pPr>
            <w:r>
              <w:t>3月底</w:t>
            </w:r>
          </w:p>
        </w:tc>
        <w:tc>
          <w:tcPr>
            <w:tcW w:w="2835" w:type="dxa"/>
            <w:vAlign w:val="center"/>
          </w:tcPr>
          <w:p w14:paraId="0260BA7D">
            <w:pPr>
              <w:pStyle w:val="10"/>
            </w:pPr>
            <w:r>
              <w:t>6月底</w:t>
            </w:r>
          </w:p>
        </w:tc>
        <w:tc>
          <w:tcPr>
            <w:tcW w:w="2551" w:type="dxa"/>
            <w:vAlign w:val="center"/>
          </w:tcPr>
          <w:p w14:paraId="34AF4D95">
            <w:pPr>
              <w:pStyle w:val="10"/>
            </w:pPr>
            <w:r>
              <w:t>10月底</w:t>
            </w:r>
          </w:p>
        </w:tc>
        <w:tc>
          <w:tcPr>
            <w:tcW w:w="3544" w:type="dxa"/>
            <w:gridSpan w:val="2"/>
            <w:vAlign w:val="center"/>
          </w:tcPr>
          <w:p w14:paraId="734A2939">
            <w:pPr>
              <w:pStyle w:val="10"/>
            </w:pPr>
            <w:r>
              <w:t>12月底</w:t>
            </w:r>
          </w:p>
        </w:tc>
      </w:tr>
      <w:tr w14:paraId="7C855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8CE1A"/>
        </w:tc>
        <w:tc>
          <w:tcPr>
            <w:tcW w:w="5103" w:type="dxa"/>
            <w:gridSpan w:val="2"/>
            <w:vAlign w:val="center"/>
          </w:tcPr>
          <w:p w14:paraId="25882949">
            <w:pPr>
              <w:pStyle w:val="13"/>
            </w:pPr>
            <w:r>
              <w:t xml:space="preserve"> </w:t>
            </w:r>
          </w:p>
        </w:tc>
        <w:tc>
          <w:tcPr>
            <w:tcW w:w="2835" w:type="dxa"/>
            <w:vAlign w:val="center"/>
          </w:tcPr>
          <w:p w14:paraId="1B1B3FE1">
            <w:pPr>
              <w:pStyle w:val="13"/>
            </w:pPr>
            <w:r>
              <w:t>100%</w:t>
            </w:r>
          </w:p>
        </w:tc>
        <w:tc>
          <w:tcPr>
            <w:tcW w:w="2551" w:type="dxa"/>
            <w:vAlign w:val="center"/>
          </w:tcPr>
          <w:p w14:paraId="146DAAC2">
            <w:pPr>
              <w:pStyle w:val="13"/>
            </w:pPr>
            <w:r>
              <w:t>100%</w:t>
            </w:r>
          </w:p>
        </w:tc>
        <w:tc>
          <w:tcPr>
            <w:tcW w:w="3544" w:type="dxa"/>
            <w:gridSpan w:val="2"/>
            <w:vAlign w:val="center"/>
          </w:tcPr>
          <w:p w14:paraId="11CCE268">
            <w:pPr>
              <w:pStyle w:val="13"/>
            </w:pPr>
            <w:r>
              <w:t>100%</w:t>
            </w:r>
          </w:p>
        </w:tc>
      </w:tr>
      <w:tr w14:paraId="7981C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4851C">
            <w:pPr>
              <w:pStyle w:val="10"/>
            </w:pPr>
            <w:r>
              <w:t>绩效目标</w:t>
            </w:r>
          </w:p>
        </w:tc>
        <w:tc>
          <w:tcPr>
            <w:tcW w:w="14033" w:type="dxa"/>
            <w:gridSpan w:val="6"/>
            <w:vAlign w:val="center"/>
          </w:tcPr>
          <w:p w14:paraId="0E7728D3">
            <w:pPr>
              <w:pStyle w:val="12"/>
            </w:pPr>
            <w:r>
              <w:t>1.项目需资金16.85万元，资金拨付率达到100%。</w:t>
            </w:r>
          </w:p>
          <w:p w14:paraId="3525F478">
            <w:pPr>
              <w:pStyle w:val="12"/>
            </w:pPr>
            <w:r>
              <w:t>2.改善就学条件，提升学校形象，保障幼儿安全，创造良好的校园环境。</w:t>
            </w:r>
          </w:p>
        </w:tc>
      </w:tr>
    </w:tbl>
    <w:p w14:paraId="3D7B12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22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4AAE1">
            <w:pPr>
              <w:pStyle w:val="10"/>
            </w:pPr>
            <w:r>
              <w:t>一级指标</w:t>
            </w:r>
          </w:p>
        </w:tc>
        <w:tc>
          <w:tcPr>
            <w:tcW w:w="2268" w:type="dxa"/>
            <w:vAlign w:val="center"/>
          </w:tcPr>
          <w:p w14:paraId="5F402C1C">
            <w:pPr>
              <w:pStyle w:val="10"/>
            </w:pPr>
            <w:r>
              <w:t>二级指标</w:t>
            </w:r>
          </w:p>
        </w:tc>
        <w:tc>
          <w:tcPr>
            <w:tcW w:w="2835" w:type="dxa"/>
            <w:vAlign w:val="center"/>
          </w:tcPr>
          <w:p w14:paraId="3F1F77BF">
            <w:pPr>
              <w:pStyle w:val="10"/>
            </w:pPr>
            <w:r>
              <w:t>三级指标</w:t>
            </w:r>
          </w:p>
        </w:tc>
        <w:tc>
          <w:tcPr>
            <w:tcW w:w="5386" w:type="dxa"/>
            <w:vAlign w:val="center"/>
          </w:tcPr>
          <w:p w14:paraId="0CAF6FFF">
            <w:pPr>
              <w:pStyle w:val="10"/>
            </w:pPr>
            <w:r>
              <w:t>绩效指标描述</w:t>
            </w:r>
          </w:p>
        </w:tc>
        <w:tc>
          <w:tcPr>
            <w:tcW w:w="2268" w:type="dxa"/>
            <w:vAlign w:val="center"/>
          </w:tcPr>
          <w:p w14:paraId="64188189">
            <w:pPr>
              <w:pStyle w:val="10"/>
            </w:pPr>
            <w:r>
              <w:t>指标值</w:t>
            </w:r>
          </w:p>
        </w:tc>
        <w:tc>
          <w:tcPr>
            <w:tcW w:w="1276" w:type="dxa"/>
            <w:vAlign w:val="center"/>
          </w:tcPr>
          <w:p w14:paraId="4E0C107E">
            <w:pPr>
              <w:pStyle w:val="10"/>
            </w:pPr>
            <w:r>
              <w:t>指标值确定依据</w:t>
            </w:r>
          </w:p>
        </w:tc>
      </w:tr>
      <w:tr w14:paraId="2DAE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730EF">
            <w:pPr>
              <w:pStyle w:val="13"/>
            </w:pPr>
            <w:r>
              <w:t>产出指标</w:t>
            </w:r>
          </w:p>
        </w:tc>
        <w:tc>
          <w:tcPr>
            <w:tcW w:w="2268" w:type="dxa"/>
            <w:vAlign w:val="center"/>
          </w:tcPr>
          <w:p w14:paraId="3AF114A6">
            <w:pPr>
              <w:pStyle w:val="12"/>
            </w:pPr>
            <w:r>
              <w:t>数量指标</w:t>
            </w:r>
          </w:p>
        </w:tc>
        <w:tc>
          <w:tcPr>
            <w:tcW w:w="2835" w:type="dxa"/>
            <w:vAlign w:val="center"/>
          </w:tcPr>
          <w:p w14:paraId="7DF6F23C">
            <w:pPr>
              <w:pStyle w:val="12"/>
            </w:pPr>
            <w:r>
              <w:t>山口校区幼儿园设备购置</w:t>
            </w:r>
          </w:p>
        </w:tc>
        <w:tc>
          <w:tcPr>
            <w:tcW w:w="5386" w:type="dxa"/>
            <w:vAlign w:val="center"/>
          </w:tcPr>
          <w:p w14:paraId="648DAEEF">
            <w:pPr>
              <w:pStyle w:val="12"/>
            </w:pPr>
            <w:r>
              <w:t>幼儿教学用一体机75、大型室外滑梯组合等</w:t>
            </w:r>
          </w:p>
        </w:tc>
        <w:tc>
          <w:tcPr>
            <w:tcW w:w="2268" w:type="dxa"/>
            <w:vAlign w:val="center"/>
          </w:tcPr>
          <w:p w14:paraId="232010BA">
            <w:pPr>
              <w:pStyle w:val="12"/>
            </w:pPr>
            <w:r>
              <w:t>1项</w:t>
            </w:r>
          </w:p>
        </w:tc>
        <w:tc>
          <w:tcPr>
            <w:tcW w:w="1276" w:type="dxa"/>
            <w:vAlign w:val="center"/>
          </w:tcPr>
          <w:p w14:paraId="73F72B2D">
            <w:pPr>
              <w:pStyle w:val="12"/>
            </w:pPr>
            <w:r>
              <w:t>项目规划</w:t>
            </w:r>
          </w:p>
        </w:tc>
      </w:tr>
      <w:tr w14:paraId="3270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B8BF1"/>
        </w:tc>
        <w:tc>
          <w:tcPr>
            <w:tcW w:w="2268" w:type="dxa"/>
            <w:vAlign w:val="center"/>
          </w:tcPr>
          <w:p w14:paraId="24443EAA">
            <w:pPr>
              <w:pStyle w:val="12"/>
            </w:pPr>
            <w:r>
              <w:t>质量指标</w:t>
            </w:r>
          </w:p>
        </w:tc>
        <w:tc>
          <w:tcPr>
            <w:tcW w:w="2835" w:type="dxa"/>
            <w:vAlign w:val="center"/>
          </w:tcPr>
          <w:p w14:paraId="68521A6F">
            <w:pPr>
              <w:pStyle w:val="12"/>
            </w:pPr>
            <w:r>
              <w:t>工程实施验收合格率</w:t>
            </w:r>
          </w:p>
        </w:tc>
        <w:tc>
          <w:tcPr>
            <w:tcW w:w="5386" w:type="dxa"/>
            <w:vAlign w:val="center"/>
          </w:tcPr>
          <w:p w14:paraId="554E8A60">
            <w:pPr>
              <w:pStyle w:val="12"/>
            </w:pPr>
            <w:r>
              <w:t>申报程序的合规，项目实施及资金使用符合项目规划</w:t>
            </w:r>
          </w:p>
        </w:tc>
        <w:tc>
          <w:tcPr>
            <w:tcW w:w="2268" w:type="dxa"/>
            <w:vAlign w:val="center"/>
          </w:tcPr>
          <w:p w14:paraId="351C7D3D">
            <w:pPr>
              <w:pStyle w:val="12"/>
            </w:pPr>
            <w:r>
              <w:t>100%</w:t>
            </w:r>
          </w:p>
        </w:tc>
        <w:tc>
          <w:tcPr>
            <w:tcW w:w="1276" w:type="dxa"/>
            <w:vAlign w:val="center"/>
          </w:tcPr>
          <w:p w14:paraId="631ECB0A">
            <w:pPr>
              <w:pStyle w:val="12"/>
            </w:pPr>
            <w:r>
              <w:t>项目规划</w:t>
            </w:r>
          </w:p>
        </w:tc>
      </w:tr>
      <w:tr w14:paraId="1A3E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2923C"/>
        </w:tc>
        <w:tc>
          <w:tcPr>
            <w:tcW w:w="2268" w:type="dxa"/>
            <w:vAlign w:val="center"/>
          </w:tcPr>
          <w:p w14:paraId="24069F2D">
            <w:pPr>
              <w:pStyle w:val="12"/>
            </w:pPr>
            <w:r>
              <w:t>时效指标</w:t>
            </w:r>
          </w:p>
        </w:tc>
        <w:tc>
          <w:tcPr>
            <w:tcW w:w="2835" w:type="dxa"/>
            <w:vAlign w:val="center"/>
          </w:tcPr>
          <w:p w14:paraId="3BC029A5">
            <w:pPr>
              <w:pStyle w:val="12"/>
            </w:pPr>
            <w:r>
              <w:t>资金支付率</w:t>
            </w:r>
          </w:p>
        </w:tc>
        <w:tc>
          <w:tcPr>
            <w:tcW w:w="5386" w:type="dxa"/>
            <w:vAlign w:val="center"/>
          </w:tcPr>
          <w:p w14:paraId="1AA636A0">
            <w:pPr>
              <w:pStyle w:val="12"/>
            </w:pPr>
            <w:r>
              <w:t>按照序时进度完成资金支付</w:t>
            </w:r>
          </w:p>
        </w:tc>
        <w:tc>
          <w:tcPr>
            <w:tcW w:w="2268" w:type="dxa"/>
            <w:vAlign w:val="center"/>
          </w:tcPr>
          <w:p w14:paraId="6BC3BFED">
            <w:pPr>
              <w:pStyle w:val="12"/>
            </w:pPr>
            <w:r>
              <w:t>100%</w:t>
            </w:r>
          </w:p>
        </w:tc>
        <w:tc>
          <w:tcPr>
            <w:tcW w:w="1276" w:type="dxa"/>
            <w:vAlign w:val="center"/>
          </w:tcPr>
          <w:p w14:paraId="13ED7931">
            <w:pPr>
              <w:pStyle w:val="12"/>
            </w:pPr>
            <w:r>
              <w:t>项目规划</w:t>
            </w:r>
          </w:p>
        </w:tc>
      </w:tr>
      <w:tr w14:paraId="3916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F9F4C"/>
        </w:tc>
        <w:tc>
          <w:tcPr>
            <w:tcW w:w="2268" w:type="dxa"/>
            <w:vAlign w:val="center"/>
          </w:tcPr>
          <w:p w14:paraId="59354464">
            <w:pPr>
              <w:pStyle w:val="12"/>
            </w:pPr>
            <w:r>
              <w:t>成本指标</w:t>
            </w:r>
          </w:p>
        </w:tc>
        <w:tc>
          <w:tcPr>
            <w:tcW w:w="2835" w:type="dxa"/>
            <w:vAlign w:val="center"/>
          </w:tcPr>
          <w:p w14:paraId="1B5F69F6">
            <w:pPr>
              <w:pStyle w:val="12"/>
            </w:pPr>
            <w:r>
              <w:t>项目成本控制情况</w:t>
            </w:r>
          </w:p>
        </w:tc>
        <w:tc>
          <w:tcPr>
            <w:tcW w:w="5386" w:type="dxa"/>
            <w:vAlign w:val="center"/>
          </w:tcPr>
          <w:p w14:paraId="15B4D94E">
            <w:pPr>
              <w:pStyle w:val="12"/>
            </w:pPr>
            <w:r>
              <w:t>严格按照招标价格及审计额进行</w:t>
            </w:r>
          </w:p>
        </w:tc>
        <w:tc>
          <w:tcPr>
            <w:tcW w:w="2268" w:type="dxa"/>
            <w:vAlign w:val="center"/>
          </w:tcPr>
          <w:p w14:paraId="7712A1C8">
            <w:pPr>
              <w:pStyle w:val="12"/>
            </w:pPr>
            <w:r>
              <w:t>16.85万元</w:t>
            </w:r>
          </w:p>
        </w:tc>
        <w:tc>
          <w:tcPr>
            <w:tcW w:w="1276" w:type="dxa"/>
            <w:vAlign w:val="center"/>
          </w:tcPr>
          <w:p w14:paraId="7B9CF4AA">
            <w:pPr>
              <w:pStyle w:val="12"/>
            </w:pPr>
            <w:r>
              <w:t>项目规划</w:t>
            </w:r>
          </w:p>
        </w:tc>
      </w:tr>
      <w:tr w14:paraId="230C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7E29C">
            <w:pPr>
              <w:pStyle w:val="13"/>
            </w:pPr>
            <w:r>
              <w:t>效益指标</w:t>
            </w:r>
          </w:p>
        </w:tc>
        <w:tc>
          <w:tcPr>
            <w:tcW w:w="2268" w:type="dxa"/>
            <w:vAlign w:val="center"/>
          </w:tcPr>
          <w:p w14:paraId="7CA01DE8">
            <w:pPr>
              <w:pStyle w:val="12"/>
            </w:pPr>
            <w:r>
              <w:t>可持续影响指标</w:t>
            </w:r>
          </w:p>
        </w:tc>
        <w:tc>
          <w:tcPr>
            <w:tcW w:w="2835" w:type="dxa"/>
            <w:vAlign w:val="center"/>
          </w:tcPr>
          <w:p w14:paraId="1748009F">
            <w:pPr>
              <w:pStyle w:val="12"/>
            </w:pPr>
            <w:r>
              <w:t>学校办学环境提升</w:t>
            </w:r>
          </w:p>
        </w:tc>
        <w:tc>
          <w:tcPr>
            <w:tcW w:w="5386" w:type="dxa"/>
            <w:vAlign w:val="center"/>
          </w:tcPr>
          <w:p w14:paraId="3940A96E">
            <w:pPr>
              <w:pStyle w:val="12"/>
            </w:pPr>
            <w:r>
              <w:t>学校教学环境提升优化率</w:t>
            </w:r>
          </w:p>
        </w:tc>
        <w:tc>
          <w:tcPr>
            <w:tcW w:w="2268" w:type="dxa"/>
            <w:vAlign w:val="center"/>
          </w:tcPr>
          <w:p w14:paraId="59A980AE">
            <w:pPr>
              <w:pStyle w:val="12"/>
            </w:pPr>
            <w:r>
              <w:t>≥98%</w:t>
            </w:r>
          </w:p>
        </w:tc>
        <w:tc>
          <w:tcPr>
            <w:tcW w:w="1276" w:type="dxa"/>
            <w:vAlign w:val="center"/>
          </w:tcPr>
          <w:p w14:paraId="79082F86">
            <w:pPr>
              <w:pStyle w:val="12"/>
            </w:pPr>
            <w:r>
              <w:t>项目规划</w:t>
            </w:r>
          </w:p>
        </w:tc>
      </w:tr>
      <w:tr w14:paraId="00D7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363C7">
            <w:pPr>
              <w:pStyle w:val="13"/>
            </w:pPr>
            <w:r>
              <w:t>满意度指标</w:t>
            </w:r>
          </w:p>
        </w:tc>
        <w:tc>
          <w:tcPr>
            <w:tcW w:w="2268" w:type="dxa"/>
            <w:vAlign w:val="center"/>
          </w:tcPr>
          <w:p w14:paraId="14565B46">
            <w:pPr>
              <w:pStyle w:val="12"/>
            </w:pPr>
            <w:r>
              <w:t>服务对象满意度指标</w:t>
            </w:r>
          </w:p>
        </w:tc>
        <w:tc>
          <w:tcPr>
            <w:tcW w:w="2835" w:type="dxa"/>
            <w:vAlign w:val="center"/>
          </w:tcPr>
          <w:p w14:paraId="6A2E28A7">
            <w:pPr>
              <w:pStyle w:val="12"/>
            </w:pPr>
            <w:r>
              <w:t>受益学生家长及调查满意度</w:t>
            </w:r>
          </w:p>
        </w:tc>
        <w:tc>
          <w:tcPr>
            <w:tcW w:w="5386" w:type="dxa"/>
            <w:vAlign w:val="center"/>
          </w:tcPr>
          <w:p w14:paraId="544ABD4D">
            <w:pPr>
              <w:pStyle w:val="12"/>
            </w:pPr>
            <w:r>
              <w:t>学生、教师及家长对学校教学环境满意度情况</w:t>
            </w:r>
          </w:p>
        </w:tc>
        <w:tc>
          <w:tcPr>
            <w:tcW w:w="2268" w:type="dxa"/>
            <w:vAlign w:val="center"/>
          </w:tcPr>
          <w:p w14:paraId="74129C31">
            <w:pPr>
              <w:pStyle w:val="12"/>
            </w:pPr>
            <w:r>
              <w:t>≥95%</w:t>
            </w:r>
          </w:p>
        </w:tc>
        <w:tc>
          <w:tcPr>
            <w:tcW w:w="1276" w:type="dxa"/>
            <w:vAlign w:val="center"/>
          </w:tcPr>
          <w:p w14:paraId="4E0F3C52">
            <w:pPr>
              <w:pStyle w:val="12"/>
            </w:pPr>
            <w:r>
              <w:t>项目规划</w:t>
            </w:r>
          </w:p>
        </w:tc>
      </w:tr>
    </w:tbl>
    <w:p w14:paraId="541ED31F">
      <w:pPr>
        <w:sectPr>
          <w:pgSz w:w="16840" w:h="11900" w:orient="landscape"/>
          <w:pgMar w:top="1361" w:right="1020" w:bottom="1134" w:left="1020" w:header="720" w:footer="720" w:gutter="0"/>
          <w:cols w:space="720" w:num="1"/>
        </w:sectPr>
      </w:pPr>
    </w:p>
    <w:p w14:paraId="0B8C2ED9">
      <w:pPr>
        <w:spacing w:before="0" w:after="0"/>
        <w:ind w:firstLine="560"/>
        <w:jc w:val="left"/>
        <w:outlineLvl w:val="9"/>
      </w:pPr>
      <w:r>
        <w:rPr>
          <w:rFonts w:ascii="方正仿宋_GBK" w:hAnsi="方正仿宋_GBK" w:eastAsia="方正仿宋_GBK" w:cs="方正仿宋_GBK"/>
          <w:b/>
          <w:color w:val="000000"/>
          <w:sz w:val="28"/>
        </w:rPr>
        <w:t>14、冀财教[2025]147号/省级/2026年义教补助经费/山口校区第四实验小学公用经费绩效目标表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72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61F37">
            <w:pPr>
              <w:pStyle w:val="11"/>
            </w:pPr>
            <w:r>
              <w:t>单位：万元</w:t>
            </w:r>
          </w:p>
        </w:tc>
      </w:tr>
      <w:tr w14:paraId="1EAE0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C3250">
            <w:pPr>
              <w:pStyle w:val="10"/>
            </w:pPr>
            <w:r>
              <w:t>项目编码</w:t>
            </w:r>
          </w:p>
        </w:tc>
        <w:tc>
          <w:tcPr>
            <w:tcW w:w="5103" w:type="dxa"/>
            <w:gridSpan w:val="2"/>
            <w:vAlign w:val="center"/>
          </w:tcPr>
          <w:p w14:paraId="31FEEB4F">
            <w:pPr>
              <w:pStyle w:val="12"/>
            </w:pPr>
            <w:r>
              <w:t>13052526P00000410368E</w:t>
            </w:r>
          </w:p>
        </w:tc>
        <w:tc>
          <w:tcPr>
            <w:tcW w:w="2835" w:type="dxa"/>
            <w:vAlign w:val="center"/>
          </w:tcPr>
          <w:p w14:paraId="79A58DC2">
            <w:pPr>
              <w:pStyle w:val="10"/>
            </w:pPr>
            <w:r>
              <w:t>项目名称</w:t>
            </w:r>
          </w:p>
        </w:tc>
        <w:tc>
          <w:tcPr>
            <w:tcW w:w="6095" w:type="dxa"/>
            <w:gridSpan w:val="3"/>
            <w:vAlign w:val="center"/>
          </w:tcPr>
          <w:p w14:paraId="4C4F6926">
            <w:pPr>
              <w:pStyle w:val="12"/>
            </w:pPr>
            <w:r>
              <w:t>冀财教[2025]147号/省级/2026年义教补助经费/山口校区第四实验小学公用经费</w:t>
            </w:r>
          </w:p>
        </w:tc>
      </w:tr>
      <w:tr w14:paraId="4F144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F553E">
            <w:pPr>
              <w:pStyle w:val="10"/>
            </w:pPr>
            <w:r>
              <w:t>预算规模及资金用途</w:t>
            </w:r>
          </w:p>
        </w:tc>
        <w:tc>
          <w:tcPr>
            <w:tcW w:w="2268" w:type="dxa"/>
            <w:vAlign w:val="center"/>
          </w:tcPr>
          <w:p w14:paraId="1A8F37DE">
            <w:pPr>
              <w:pStyle w:val="10"/>
            </w:pPr>
            <w:r>
              <w:t>预算数</w:t>
            </w:r>
          </w:p>
        </w:tc>
        <w:tc>
          <w:tcPr>
            <w:tcW w:w="2835" w:type="dxa"/>
            <w:vAlign w:val="center"/>
          </w:tcPr>
          <w:p w14:paraId="0058069D">
            <w:pPr>
              <w:pStyle w:val="12"/>
            </w:pPr>
            <w:r>
              <w:t>16.69</w:t>
            </w:r>
          </w:p>
        </w:tc>
        <w:tc>
          <w:tcPr>
            <w:tcW w:w="2835" w:type="dxa"/>
            <w:vAlign w:val="center"/>
          </w:tcPr>
          <w:p w14:paraId="567C2B32">
            <w:pPr>
              <w:pStyle w:val="10"/>
            </w:pPr>
            <w:r>
              <w:t>其中：财政    资金</w:t>
            </w:r>
          </w:p>
        </w:tc>
        <w:tc>
          <w:tcPr>
            <w:tcW w:w="2551" w:type="dxa"/>
            <w:vAlign w:val="center"/>
          </w:tcPr>
          <w:p w14:paraId="7854D883">
            <w:pPr>
              <w:pStyle w:val="12"/>
            </w:pPr>
            <w:r>
              <w:t>16.69</w:t>
            </w:r>
          </w:p>
        </w:tc>
        <w:tc>
          <w:tcPr>
            <w:tcW w:w="2268" w:type="dxa"/>
            <w:vAlign w:val="center"/>
          </w:tcPr>
          <w:p w14:paraId="5FB00E8C">
            <w:pPr>
              <w:pStyle w:val="10"/>
            </w:pPr>
            <w:r>
              <w:t>其他资金</w:t>
            </w:r>
          </w:p>
        </w:tc>
        <w:tc>
          <w:tcPr>
            <w:tcW w:w="1276" w:type="dxa"/>
            <w:vAlign w:val="center"/>
          </w:tcPr>
          <w:p w14:paraId="17A51B59">
            <w:pPr>
              <w:pStyle w:val="12"/>
            </w:pPr>
            <w:r>
              <w:t xml:space="preserve"> </w:t>
            </w:r>
          </w:p>
        </w:tc>
      </w:tr>
      <w:tr w14:paraId="18378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74FB1"/>
        </w:tc>
        <w:tc>
          <w:tcPr>
            <w:tcW w:w="14033" w:type="dxa"/>
            <w:gridSpan w:val="6"/>
            <w:vAlign w:val="center"/>
          </w:tcPr>
          <w:p w14:paraId="07466FED">
            <w:pPr>
              <w:pStyle w:val="12"/>
            </w:pPr>
            <w:r>
              <w:t>保障学校正常运转，完成各项教育教学活动和其他日常工作任务等方面的费用支出。</w:t>
            </w:r>
            <w:r>
              <w:tab/>
            </w:r>
            <w:r>
              <w:tab/>
            </w:r>
            <w:r>
              <w:tab/>
            </w:r>
            <w:r>
              <w:tab/>
            </w:r>
            <w:r>
              <w:tab/>
            </w:r>
            <w:r>
              <w:tab/>
            </w:r>
          </w:p>
          <w:p w14:paraId="4B81675C">
            <w:pPr>
              <w:pStyle w:val="12"/>
            </w:pPr>
          </w:p>
        </w:tc>
      </w:tr>
      <w:tr w14:paraId="5303E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91500">
            <w:pPr>
              <w:pStyle w:val="10"/>
            </w:pPr>
            <w:r>
              <w:t>资金支出计划（%）</w:t>
            </w:r>
          </w:p>
        </w:tc>
        <w:tc>
          <w:tcPr>
            <w:tcW w:w="5103" w:type="dxa"/>
            <w:gridSpan w:val="2"/>
            <w:vAlign w:val="center"/>
          </w:tcPr>
          <w:p w14:paraId="20098F66">
            <w:pPr>
              <w:pStyle w:val="10"/>
            </w:pPr>
            <w:r>
              <w:t>3月底</w:t>
            </w:r>
          </w:p>
        </w:tc>
        <w:tc>
          <w:tcPr>
            <w:tcW w:w="2835" w:type="dxa"/>
            <w:vAlign w:val="center"/>
          </w:tcPr>
          <w:p w14:paraId="02E6EB67">
            <w:pPr>
              <w:pStyle w:val="10"/>
            </w:pPr>
            <w:r>
              <w:t>6月底</w:t>
            </w:r>
          </w:p>
        </w:tc>
        <w:tc>
          <w:tcPr>
            <w:tcW w:w="2551" w:type="dxa"/>
            <w:vAlign w:val="center"/>
          </w:tcPr>
          <w:p w14:paraId="472526A5">
            <w:pPr>
              <w:pStyle w:val="10"/>
            </w:pPr>
            <w:r>
              <w:t>10月底</w:t>
            </w:r>
          </w:p>
        </w:tc>
        <w:tc>
          <w:tcPr>
            <w:tcW w:w="3544" w:type="dxa"/>
            <w:gridSpan w:val="2"/>
            <w:vAlign w:val="center"/>
          </w:tcPr>
          <w:p w14:paraId="550CE50E">
            <w:pPr>
              <w:pStyle w:val="10"/>
            </w:pPr>
            <w:r>
              <w:t>12月底</w:t>
            </w:r>
          </w:p>
        </w:tc>
      </w:tr>
      <w:tr w14:paraId="3460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E28A4"/>
        </w:tc>
        <w:tc>
          <w:tcPr>
            <w:tcW w:w="5103" w:type="dxa"/>
            <w:gridSpan w:val="2"/>
            <w:vAlign w:val="center"/>
          </w:tcPr>
          <w:p w14:paraId="41DB3CC2">
            <w:pPr>
              <w:pStyle w:val="13"/>
            </w:pPr>
            <w:r>
              <w:t>25%</w:t>
            </w:r>
          </w:p>
        </w:tc>
        <w:tc>
          <w:tcPr>
            <w:tcW w:w="2835" w:type="dxa"/>
            <w:vAlign w:val="center"/>
          </w:tcPr>
          <w:p w14:paraId="2CCBE9BC">
            <w:pPr>
              <w:pStyle w:val="13"/>
            </w:pPr>
            <w:r>
              <w:t>50%</w:t>
            </w:r>
          </w:p>
        </w:tc>
        <w:tc>
          <w:tcPr>
            <w:tcW w:w="2551" w:type="dxa"/>
            <w:vAlign w:val="center"/>
          </w:tcPr>
          <w:p w14:paraId="0B5684D9">
            <w:pPr>
              <w:pStyle w:val="13"/>
            </w:pPr>
            <w:r>
              <w:t>75%</w:t>
            </w:r>
          </w:p>
        </w:tc>
        <w:tc>
          <w:tcPr>
            <w:tcW w:w="3544" w:type="dxa"/>
            <w:gridSpan w:val="2"/>
            <w:vAlign w:val="center"/>
          </w:tcPr>
          <w:p w14:paraId="7E2BB279">
            <w:pPr>
              <w:pStyle w:val="13"/>
            </w:pPr>
            <w:r>
              <w:t>100%</w:t>
            </w:r>
          </w:p>
        </w:tc>
      </w:tr>
      <w:tr w14:paraId="7C90F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3AE09">
            <w:pPr>
              <w:pStyle w:val="10"/>
            </w:pPr>
            <w:r>
              <w:t>绩效目标</w:t>
            </w:r>
          </w:p>
        </w:tc>
        <w:tc>
          <w:tcPr>
            <w:tcW w:w="14033" w:type="dxa"/>
            <w:gridSpan w:val="6"/>
            <w:vAlign w:val="center"/>
          </w:tcPr>
          <w:p w14:paraId="51B8B664">
            <w:pPr>
              <w:pStyle w:val="12"/>
            </w:pPr>
            <w:r>
              <w:t>1.按季度分批次拨付公用经费资金，资金拨付率达到100%。</w:t>
            </w:r>
          </w:p>
          <w:p w14:paraId="127E48F8">
            <w:pPr>
              <w:pStyle w:val="12"/>
            </w:pPr>
            <w:r>
              <w:t>2.保障学校正常运转，完成各项教育教学活动和其他日常工作任务等方面的费用支出。</w:t>
            </w:r>
          </w:p>
        </w:tc>
      </w:tr>
    </w:tbl>
    <w:p w14:paraId="311DD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E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9BA85">
            <w:pPr>
              <w:pStyle w:val="10"/>
            </w:pPr>
            <w:r>
              <w:t>一级指标</w:t>
            </w:r>
          </w:p>
        </w:tc>
        <w:tc>
          <w:tcPr>
            <w:tcW w:w="2268" w:type="dxa"/>
            <w:vAlign w:val="center"/>
          </w:tcPr>
          <w:p w14:paraId="43D6A944">
            <w:pPr>
              <w:pStyle w:val="10"/>
            </w:pPr>
            <w:r>
              <w:t>二级指标</w:t>
            </w:r>
          </w:p>
        </w:tc>
        <w:tc>
          <w:tcPr>
            <w:tcW w:w="2835" w:type="dxa"/>
            <w:vAlign w:val="center"/>
          </w:tcPr>
          <w:p w14:paraId="2C09027C">
            <w:pPr>
              <w:pStyle w:val="10"/>
            </w:pPr>
            <w:r>
              <w:t>三级指标</w:t>
            </w:r>
          </w:p>
        </w:tc>
        <w:tc>
          <w:tcPr>
            <w:tcW w:w="5386" w:type="dxa"/>
            <w:vAlign w:val="center"/>
          </w:tcPr>
          <w:p w14:paraId="68D932DC">
            <w:pPr>
              <w:pStyle w:val="10"/>
            </w:pPr>
            <w:r>
              <w:t>绩效指标描述</w:t>
            </w:r>
          </w:p>
        </w:tc>
        <w:tc>
          <w:tcPr>
            <w:tcW w:w="2268" w:type="dxa"/>
            <w:vAlign w:val="center"/>
          </w:tcPr>
          <w:p w14:paraId="69CE23F6">
            <w:pPr>
              <w:pStyle w:val="10"/>
            </w:pPr>
            <w:r>
              <w:t>指标值</w:t>
            </w:r>
          </w:p>
        </w:tc>
        <w:tc>
          <w:tcPr>
            <w:tcW w:w="1276" w:type="dxa"/>
            <w:vAlign w:val="center"/>
          </w:tcPr>
          <w:p w14:paraId="317376CD">
            <w:pPr>
              <w:pStyle w:val="10"/>
            </w:pPr>
            <w:r>
              <w:t>指标值确定依据</w:t>
            </w:r>
          </w:p>
        </w:tc>
      </w:tr>
      <w:tr w14:paraId="739C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F42E9">
            <w:pPr>
              <w:pStyle w:val="13"/>
            </w:pPr>
            <w:r>
              <w:t>产出指标</w:t>
            </w:r>
          </w:p>
        </w:tc>
        <w:tc>
          <w:tcPr>
            <w:tcW w:w="2268" w:type="dxa"/>
            <w:vAlign w:val="center"/>
          </w:tcPr>
          <w:p w14:paraId="451C1888">
            <w:pPr>
              <w:pStyle w:val="12"/>
            </w:pPr>
            <w:r>
              <w:t>数量指标</w:t>
            </w:r>
          </w:p>
        </w:tc>
        <w:tc>
          <w:tcPr>
            <w:tcW w:w="2835" w:type="dxa"/>
            <w:vAlign w:val="center"/>
          </w:tcPr>
          <w:p w14:paraId="6031FF94">
            <w:pPr>
              <w:pStyle w:val="12"/>
            </w:pPr>
            <w:r>
              <w:t>就读学生数</w:t>
            </w:r>
          </w:p>
        </w:tc>
        <w:tc>
          <w:tcPr>
            <w:tcW w:w="5386" w:type="dxa"/>
            <w:vAlign w:val="center"/>
          </w:tcPr>
          <w:p w14:paraId="1D50E50B">
            <w:pPr>
              <w:pStyle w:val="12"/>
            </w:pPr>
            <w:r>
              <w:t>辐射区域内适龄学生人数</w:t>
            </w:r>
          </w:p>
        </w:tc>
        <w:tc>
          <w:tcPr>
            <w:tcW w:w="2268" w:type="dxa"/>
            <w:vAlign w:val="center"/>
          </w:tcPr>
          <w:p w14:paraId="1259358E">
            <w:pPr>
              <w:pStyle w:val="12"/>
            </w:pPr>
            <w:r>
              <w:t>249人</w:t>
            </w:r>
          </w:p>
        </w:tc>
        <w:tc>
          <w:tcPr>
            <w:tcW w:w="1276" w:type="dxa"/>
            <w:vAlign w:val="center"/>
          </w:tcPr>
          <w:p w14:paraId="313445B5">
            <w:pPr>
              <w:pStyle w:val="12"/>
            </w:pPr>
            <w:r>
              <w:t>城乡义务教育公用经费管理办法</w:t>
            </w:r>
          </w:p>
        </w:tc>
      </w:tr>
      <w:tr w14:paraId="2665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1ECCB"/>
        </w:tc>
        <w:tc>
          <w:tcPr>
            <w:tcW w:w="2268" w:type="dxa"/>
            <w:vAlign w:val="center"/>
          </w:tcPr>
          <w:p w14:paraId="7FB807A7">
            <w:pPr>
              <w:pStyle w:val="12"/>
            </w:pPr>
            <w:r>
              <w:t>质量指标</w:t>
            </w:r>
          </w:p>
        </w:tc>
        <w:tc>
          <w:tcPr>
            <w:tcW w:w="2835" w:type="dxa"/>
            <w:vAlign w:val="center"/>
          </w:tcPr>
          <w:p w14:paraId="1AD355CB">
            <w:pPr>
              <w:pStyle w:val="12"/>
            </w:pPr>
            <w:r>
              <w:t>预算执行率</w:t>
            </w:r>
          </w:p>
        </w:tc>
        <w:tc>
          <w:tcPr>
            <w:tcW w:w="5386" w:type="dxa"/>
            <w:vAlign w:val="center"/>
          </w:tcPr>
          <w:p w14:paraId="3EAEAE68">
            <w:pPr>
              <w:pStyle w:val="12"/>
            </w:pPr>
            <w:r>
              <w:t>预算执行率</w:t>
            </w:r>
          </w:p>
        </w:tc>
        <w:tc>
          <w:tcPr>
            <w:tcW w:w="2268" w:type="dxa"/>
            <w:vAlign w:val="center"/>
          </w:tcPr>
          <w:p w14:paraId="07E621B2">
            <w:pPr>
              <w:pStyle w:val="12"/>
            </w:pPr>
            <w:r>
              <w:t>≥95%</w:t>
            </w:r>
          </w:p>
        </w:tc>
        <w:tc>
          <w:tcPr>
            <w:tcW w:w="1276" w:type="dxa"/>
            <w:vAlign w:val="center"/>
          </w:tcPr>
          <w:p w14:paraId="7EADB353">
            <w:pPr>
              <w:pStyle w:val="12"/>
            </w:pPr>
            <w:r>
              <w:t>城乡义务教育公用经费管理办法</w:t>
            </w:r>
          </w:p>
        </w:tc>
      </w:tr>
      <w:tr w14:paraId="571E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69B51"/>
        </w:tc>
        <w:tc>
          <w:tcPr>
            <w:tcW w:w="2268" w:type="dxa"/>
            <w:vAlign w:val="center"/>
          </w:tcPr>
          <w:p w14:paraId="4DE31C23">
            <w:pPr>
              <w:pStyle w:val="12"/>
            </w:pPr>
            <w:r>
              <w:t>时效指标</w:t>
            </w:r>
          </w:p>
        </w:tc>
        <w:tc>
          <w:tcPr>
            <w:tcW w:w="2835" w:type="dxa"/>
            <w:vAlign w:val="center"/>
          </w:tcPr>
          <w:p w14:paraId="5FCF9550">
            <w:pPr>
              <w:pStyle w:val="12"/>
            </w:pPr>
            <w:r>
              <w:t>义教经费支付完成率</w:t>
            </w:r>
          </w:p>
        </w:tc>
        <w:tc>
          <w:tcPr>
            <w:tcW w:w="5386" w:type="dxa"/>
            <w:vAlign w:val="center"/>
          </w:tcPr>
          <w:p w14:paraId="2AD6CFB4">
            <w:pPr>
              <w:pStyle w:val="12"/>
            </w:pPr>
            <w:r>
              <w:t>按照序时进度完成资金支付</w:t>
            </w:r>
          </w:p>
        </w:tc>
        <w:tc>
          <w:tcPr>
            <w:tcW w:w="2268" w:type="dxa"/>
            <w:vAlign w:val="center"/>
          </w:tcPr>
          <w:p w14:paraId="78B9A336">
            <w:pPr>
              <w:pStyle w:val="12"/>
            </w:pPr>
            <w:r>
              <w:t>100%</w:t>
            </w:r>
          </w:p>
        </w:tc>
        <w:tc>
          <w:tcPr>
            <w:tcW w:w="1276" w:type="dxa"/>
            <w:vAlign w:val="center"/>
          </w:tcPr>
          <w:p w14:paraId="53F97096">
            <w:pPr>
              <w:pStyle w:val="12"/>
            </w:pPr>
            <w:r>
              <w:t>城乡义务教育公用经费管理办法</w:t>
            </w:r>
          </w:p>
        </w:tc>
      </w:tr>
      <w:tr w14:paraId="03AB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05EBA"/>
        </w:tc>
        <w:tc>
          <w:tcPr>
            <w:tcW w:w="2268" w:type="dxa"/>
            <w:vAlign w:val="center"/>
          </w:tcPr>
          <w:p w14:paraId="62C070CC">
            <w:pPr>
              <w:pStyle w:val="12"/>
            </w:pPr>
            <w:r>
              <w:t>成本指标</w:t>
            </w:r>
          </w:p>
        </w:tc>
        <w:tc>
          <w:tcPr>
            <w:tcW w:w="2835" w:type="dxa"/>
            <w:vAlign w:val="center"/>
          </w:tcPr>
          <w:p w14:paraId="6C3D0715">
            <w:pPr>
              <w:pStyle w:val="12"/>
            </w:pPr>
            <w:r>
              <w:t>生均拨款标准</w:t>
            </w:r>
          </w:p>
        </w:tc>
        <w:tc>
          <w:tcPr>
            <w:tcW w:w="5386" w:type="dxa"/>
            <w:vAlign w:val="center"/>
          </w:tcPr>
          <w:p w14:paraId="3B6E9D33">
            <w:pPr>
              <w:pStyle w:val="12"/>
            </w:pPr>
            <w:r>
              <w:t>小学生公用经费生均公用经费基准定额为720元/年/生，取暖费120元/年/生，住宿生补助300元/年/生的标准，随班就读学生补助7000元/生/年</w:t>
            </w:r>
          </w:p>
        </w:tc>
        <w:tc>
          <w:tcPr>
            <w:tcW w:w="2268" w:type="dxa"/>
            <w:vAlign w:val="center"/>
          </w:tcPr>
          <w:p w14:paraId="2AC8E77D">
            <w:pPr>
              <w:pStyle w:val="12"/>
            </w:pPr>
            <w:r>
              <w:t>840元</w:t>
            </w:r>
          </w:p>
        </w:tc>
        <w:tc>
          <w:tcPr>
            <w:tcW w:w="1276" w:type="dxa"/>
            <w:vAlign w:val="center"/>
          </w:tcPr>
          <w:p w14:paraId="662898BF">
            <w:pPr>
              <w:pStyle w:val="12"/>
            </w:pPr>
            <w:r>
              <w:t>城乡义务教育公用经费管理办法</w:t>
            </w:r>
          </w:p>
        </w:tc>
      </w:tr>
      <w:tr w14:paraId="5E64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B43A8">
            <w:pPr>
              <w:pStyle w:val="13"/>
            </w:pPr>
            <w:r>
              <w:t>效益指标</w:t>
            </w:r>
          </w:p>
        </w:tc>
        <w:tc>
          <w:tcPr>
            <w:tcW w:w="2268" w:type="dxa"/>
            <w:vAlign w:val="center"/>
          </w:tcPr>
          <w:p w14:paraId="05A9E12D">
            <w:pPr>
              <w:pStyle w:val="12"/>
            </w:pPr>
            <w:r>
              <w:t>可持续影响指标</w:t>
            </w:r>
          </w:p>
        </w:tc>
        <w:tc>
          <w:tcPr>
            <w:tcW w:w="2835" w:type="dxa"/>
            <w:vAlign w:val="center"/>
          </w:tcPr>
          <w:p w14:paraId="42C78917">
            <w:pPr>
              <w:pStyle w:val="12"/>
            </w:pPr>
            <w:r>
              <w:t>学校运转得到提高</w:t>
            </w:r>
          </w:p>
        </w:tc>
        <w:tc>
          <w:tcPr>
            <w:tcW w:w="5386" w:type="dxa"/>
            <w:vAlign w:val="center"/>
          </w:tcPr>
          <w:p w14:paraId="5BEA12C6">
            <w:pPr>
              <w:pStyle w:val="12"/>
            </w:pPr>
            <w:r>
              <w:t>学生受教育年限</w:t>
            </w:r>
          </w:p>
        </w:tc>
        <w:tc>
          <w:tcPr>
            <w:tcW w:w="2268" w:type="dxa"/>
            <w:vAlign w:val="center"/>
          </w:tcPr>
          <w:p w14:paraId="535D608D">
            <w:pPr>
              <w:pStyle w:val="12"/>
            </w:pPr>
            <w:r>
              <w:t>6年</w:t>
            </w:r>
          </w:p>
        </w:tc>
        <w:tc>
          <w:tcPr>
            <w:tcW w:w="1276" w:type="dxa"/>
            <w:vAlign w:val="center"/>
          </w:tcPr>
          <w:p w14:paraId="0B7EBDD9">
            <w:pPr>
              <w:pStyle w:val="12"/>
            </w:pPr>
            <w:r>
              <w:t>城乡义务教育公用经费管理办法</w:t>
            </w:r>
          </w:p>
        </w:tc>
      </w:tr>
      <w:tr w14:paraId="7A97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E3003">
            <w:pPr>
              <w:pStyle w:val="13"/>
            </w:pPr>
            <w:r>
              <w:t>满意度指标</w:t>
            </w:r>
          </w:p>
        </w:tc>
        <w:tc>
          <w:tcPr>
            <w:tcW w:w="2268" w:type="dxa"/>
            <w:vAlign w:val="center"/>
          </w:tcPr>
          <w:p w14:paraId="6EE74498">
            <w:pPr>
              <w:pStyle w:val="12"/>
            </w:pPr>
            <w:r>
              <w:t>服务对象满意度指标</w:t>
            </w:r>
          </w:p>
        </w:tc>
        <w:tc>
          <w:tcPr>
            <w:tcW w:w="2835" w:type="dxa"/>
            <w:vAlign w:val="center"/>
          </w:tcPr>
          <w:p w14:paraId="1362A0B2">
            <w:pPr>
              <w:pStyle w:val="12"/>
            </w:pPr>
            <w:r>
              <w:t>服务对象满意度</w:t>
            </w:r>
          </w:p>
        </w:tc>
        <w:tc>
          <w:tcPr>
            <w:tcW w:w="5386" w:type="dxa"/>
            <w:vAlign w:val="center"/>
          </w:tcPr>
          <w:p w14:paraId="0A99E6C0">
            <w:pPr>
              <w:pStyle w:val="12"/>
            </w:pPr>
            <w:r>
              <w:t>学校老师和学生满意度</w:t>
            </w:r>
          </w:p>
        </w:tc>
        <w:tc>
          <w:tcPr>
            <w:tcW w:w="2268" w:type="dxa"/>
            <w:vAlign w:val="center"/>
          </w:tcPr>
          <w:p w14:paraId="6E92250F">
            <w:pPr>
              <w:pStyle w:val="12"/>
            </w:pPr>
            <w:r>
              <w:t>≥95%</w:t>
            </w:r>
          </w:p>
        </w:tc>
        <w:tc>
          <w:tcPr>
            <w:tcW w:w="1276" w:type="dxa"/>
            <w:vAlign w:val="center"/>
          </w:tcPr>
          <w:p w14:paraId="6BA22132">
            <w:pPr>
              <w:pStyle w:val="12"/>
            </w:pPr>
            <w:r>
              <w:t>群众测评</w:t>
            </w:r>
          </w:p>
        </w:tc>
      </w:tr>
    </w:tbl>
    <w:p w14:paraId="721AD672">
      <w:pPr>
        <w:sectPr>
          <w:pgSz w:w="16840" w:h="11900" w:orient="landscape"/>
          <w:pgMar w:top="1361" w:right="1020" w:bottom="1134" w:left="1020" w:header="720" w:footer="720" w:gutter="0"/>
          <w:cols w:space="720" w:num="1"/>
        </w:sectPr>
      </w:pPr>
    </w:p>
    <w:p w14:paraId="2F3438F4">
      <w:pPr>
        <w:spacing w:before="0" w:after="0"/>
        <w:ind w:firstLine="560"/>
        <w:jc w:val="left"/>
        <w:outlineLvl w:val="9"/>
      </w:pPr>
      <w:r>
        <w:rPr>
          <w:rFonts w:ascii="方正仿宋_GBK" w:hAnsi="方正仿宋_GBK" w:eastAsia="方正仿宋_GBK" w:cs="方正仿宋_GBK"/>
          <w:b/>
          <w:color w:val="000000"/>
          <w:sz w:val="28"/>
        </w:rPr>
        <w:t>15、冀财教[2025]147号/省级/2026年义教补助经费/山口校区东尚中心小学公用经费绩效目标表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49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3A7FD">
            <w:pPr>
              <w:pStyle w:val="11"/>
            </w:pPr>
            <w:r>
              <w:t>单位：万元</w:t>
            </w:r>
          </w:p>
        </w:tc>
      </w:tr>
      <w:tr w14:paraId="4103F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559DE">
            <w:pPr>
              <w:pStyle w:val="10"/>
            </w:pPr>
            <w:r>
              <w:t>项目编码</w:t>
            </w:r>
          </w:p>
        </w:tc>
        <w:tc>
          <w:tcPr>
            <w:tcW w:w="5103" w:type="dxa"/>
            <w:gridSpan w:val="2"/>
            <w:vAlign w:val="center"/>
          </w:tcPr>
          <w:p w14:paraId="4E16A772">
            <w:pPr>
              <w:pStyle w:val="12"/>
            </w:pPr>
            <w:r>
              <w:t>13052526P000004103692</w:t>
            </w:r>
          </w:p>
        </w:tc>
        <w:tc>
          <w:tcPr>
            <w:tcW w:w="2835" w:type="dxa"/>
            <w:vAlign w:val="center"/>
          </w:tcPr>
          <w:p w14:paraId="305E6BB5">
            <w:pPr>
              <w:pStyle w:val="10"/>
            </w:pPr>
            <w:r>
              <w:t>项目名称</w:t>
            </w:r>
          </w:p>
        </w:tc>
        <w:tc>
          <w:tcPr>
            <w:tcW w:w="6095" w:type="dxa"/>
            <w:gridSpan w:val="3"/>
            <w:vAlign w:val="center"/>
          </w:tcPr>
          <w:p w14:paraId="40F69449">
            <w:pPr>
              <w:pStyle w:val="12"/>
            </w:pPr>
            <w:r>
              <w:t>冀财教[2025]147号/省级/2026年义教补助经费/山口校区东尚中心小学公用经费</w:t>
            </w:r>
          </w:p>
        </w:tc>
      </w:tr>
      <w:tr w14:paraId="6D53A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546A5">
            <w:pPr>
              <w:pStyle w:val="10"/>
            </w:pPr>
            <w:r>
              <w:t>预算规模及资金用途</w:t>
            </w:r>
          </w:p>
        </w:tc>
        <w:tc>
          <w:tcPr>
            <w:tcW w:w="2268" w:type="dxa"/>
            <w:vAlign w:val="center"/>
          </w:tcPr>
          <w:p w14:paraId="4DECD563">
            <w:pPr>
              <w:pStyle w:val="10"/>
            </w:pPr>
            <w:r>
              <w:t>预算数</w:t>
            </w:r>
          </w:p>
        </w:tc>
        <w:tc>
          <w:tcPr>
            <w:tcW w:w="2835" w:type="dxa"/>
            <w:vAlign w:val="center"/>
          </w:tcPr>
          <w:p w14:paraId="4AB6640B">
            <w:pPr>
              <w:pStyle w:val="12"/>
            </w:pPr>
            <w:r>
              <w:t>2.83</w:t>
            </w:r>
          </w:p>
        </w:tc>
        <w:tc>
          <w:tcPr>
            <w:tcW w:w="2835" w:type="dxa"/>
            <w:vAlign w:val="center"/>
          </w:tcPr>
          <w:p w14:paraId="6AF7E94F">
            <w:pPr>
              <w:pStyle w:val="10"/>
            </w:pPr>
            <w:r>
              <w:t>其中：财政    资金</w:t>
            </w:r>
          </w:p>
        </w:tc>
        <w:tc>
          <w:tcPr>
            <w:tcW w:w="2551" w:type="dxa"/>
            <w:vAlign w:val="center"/>
          </w:tcPr>
          <w:p w14:paraId="7A8EFB93">
            <w:pPr>
              <w:pStyle w:val="12"/>
            </w:pPr>
            <w:r>
              <w:t>2.83</w:t>
            </w:r>
          </w:p>
        </w:tc>
        <w:tc>
          <w:tcPr>
            <w:tcW w:w="2268" w:type="dxa"/>
            <w:vAlign w:val="center"/>
          </w:tcPr>
          <w:p w14:paraId="4A40CF8C">
            <w:pPr>
              <w:pStyle w:val="10"/>
            </w:pPr>
            <w:r>
              <w:t>其他资金</w:t>
            </w:r>
          </w:p>
        </w:tc>
        <w:tc>
          <w:tcPr>
            <w:tcW w:w="1276" w:type="dxa"/>
            <w:vAlign w:val="center"/>
          </w:tcPr>
          <w:p w14:paraId="57CA5FFE">
            <w:pPr>
              <w:pStyle w:val="12"/>
            </w:pPr>
            <w:r>
              <w:t xml:space="preserve"> </w:t>
            </w:r>
          </w:p>
        </w:tc>
      </w:tr>
      <w:tr w14:paraId="3A078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3C8FC"/>
        </w:tc>
        <w:tc>
          <w:tcPr>
            <w:tcW w:w="14033" w:type="dxa"/>
            <w:gridSpan w:val="6"/>
            <w:vAlign w:val="center"/>
          </w:tcPr>
          <w:p w14:paraId="03F89E40">
            <w:pPr>
              <w:pStyle w:val="12"/>
            </w:pPr>
            <w:r>
              <w:t>保障学校正常运转，完成各项教育教学活动和其他日常工作任务等方面的费用支出。</w:t>
            </w:r>
            <w:r>
              <w:tab/>
            </w:r>
            <w:r>
              <w:tab/>
            </w:r>
            <w:r>
              <w:tab/>
            </w:r>
            <w:r>
              <w:tab/>
            </w:r>
            <w:r>
              <w:tab/>
            </w:r>
            <w:r>
              <w:tab/>
            </w:r>
          </w:p>
          <w:p w14:paraId="52AEE86F">
            <w:pPr>
              <w:pStyle w:val="12"/>
            </w:pPr>
          </w:p>
        </w:tc>
      </w:tr>
      <w:tr w14:paraId="32812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12C66">
            <w:pPr>
              <w:pStyle w:val="10"/>
            </w:pPr>
            <w:r>
              <w:t>资金支出计划（%）</w:t>
            </w:r>
          </w:p>
        </w:tc>
        <w:tc>
          <w:tcPr>
            <w:tcW w:w="5103" w:type="dxa"/>
            <w:gridSpan w:val="2"/>
            <w:vAlign w:val="center"/>
          </w:tcPr>
          <w:p w14:paraId="137227B1">
            <w:pPr>
              <w:pStyle w:val="10"/>
            </w:pPr>
            <w:r>
              <w:t>3月底</w:t>
            </w:r>
          </w:p>
        </w:tc>
        <w:tc>
          <w:tcPr>
            <w:tcW w:w="2835" w:type="dxa"/>
            <w:vAlign w:val="center"/>
          </w:tcPr>
          <w:p w14:paraId="482C7EE1">
            <w:pPr>
              <w:pStyle w:val="10"/>
            </w:pPr>
            <w:r>
              <w:t>6月底</w:t>
            </w:r>
          </w:p>
        </w:tc>
        <w:tc>
          <w:tcPr>
            <w:tcW w:w="2551" w:type="dxa"/>
            <w:vAlign w:val="center"/>
          </w:tcPr>
          <w:p w14:paraId="352884B4">
            <w:pPr>
              <w:pStyle w:val="10"/>
            </w:pPr>
            <w:r>
              <w:t>10月底</w:t>
            </w:r>
          </w:p>
        </w:tc>
        <w:tc>
          <w:tcPr>
            <w:tcW w:w="3544" w:type="dxa"/>
            <w:gridSpan w:val="2"/>
            <w:vAlign w:val="center"/>
          </w:tcPr>
          <w:p w14:paraId="170F6C23">
            <w:pPr>
              <w:pStyle w:val="10"/>
            </w:pPr>
            <w:r>
              <w:t>12月底</w:t>
            </w:r>
          </w:p>
        </w:tc>
      </w:tr>
      <w:tr w14:paraId="236AF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875D7"/>
        </w:tc>
        <w:tc>
          <w:tcPr>
            <w:tcW w:w="5103" w:type="dxa"/>
            <w:gridSpan w:val="2"/>
            <w:vAlign w:val="center"/>
          </w:tcPr>
          <w:p w14:paraId="1E5265A6">
            <w:pPr>
              <w:pStyle w:val="13"/>
            </w:pPr>
            <w:r>
              <w:t>25%</w:t>
            </w:r>
          </w:p>
        </w:tc>
        <w:tc>
          <w:tcPr>
            <w:tcW w:w="2835" w:type="dxa"/>
            <w:vAlign w:val="center"/>
          </w:tcPr>
          <w:p w14:paraId="4AB07E36">
            <w:pPr>
              <w:pStyle w:val="13"/>
            </w:pPr>
            <w:r>
              <w:t>50%</w:t>
            </w:r>
          </w:p>
        </w:tc>
        <w:tc>
          <w:tcPr>
            <w:tcW w:w="2551" w:type="dxa"/>
            <w:vAlign w:val="center"/>
          </w:tcPr>
          <w:p w14:paraId="36686564">
            <w:pPr>
              <w:pStyle w:val="13"/>
            </w:pPr>
            <w:r>
              <w:t>75%</w:t>
            </w:r>
          </w:p>
        </w:tc>
        <w:tc>
          <w:tcPr>
            <w:tcW w:w="3544" w:type="dxa"/>
            <w:gridSpan w:val="2"/>
            <w:vAlign w:val="center"/>
          </w:tcPr>
          <w:p w14:paraId="557C928D">
            <w:pPr>
              <w:pStyle w:val="13"/>
            </w:pPr>
            <w:r>
              <w:t>100%</w:t>
            </w:r>
          </w:p>
        </w:tc>
      </w:tr>
      <w:tr w14:paraId="51C04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50791">
            <w:pPr>
              <w:pStyle w:val="10"/>
            </w:pPr>
            <w:r>
              <w:t>绩效目标</w:t>
            </w:r>
          </w:p>
        </w:tc>
        <w:tc>
          <w:tcPr>
            <w:tcW w:w="14033" w:type="dxa"/>
            <w:gridSpan w:val="6"/>
            <w:vAlign w:val="center"/>
          </w:tcPr>
          <w:p w14:paraId="48BC830D">
            <w:pPr>
              <w:pStyle w:val="12"/>
            </w:pPr>
            <w:r>
              <w:t>1.按季度分批次拨付公用经费资金，资金拨付率达到100%。</w:t>
            </w:r>
          </w:p>
          <w:p w14:paraId="5D7567CD">
            <w:pPr>
              <w:pStyle w:val="12"/>
            </w:pPr>
            <w:r>
              <w:t>2.保障学校正常运转，完成各项教育教学活动和其他日常工作任务等方面的费用支出。</w:t>
            </w:r>
          </w:p>
        </w:tc>
      </w:tr>
    </w:tbl>
    <w:p w14:paraId="41672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8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5D29F">
            <w:pPr>
              <w:pStyle w:val="10"/>
            </w:pPr>
            <w:r>
              <w:t>一级指标</w:t>
            </w:r>
          </w:p>
        </w:tc>
        <w:tc>
          <w:tcPr>
            <w:tcW w:w="2268" w:type="dxa"/>
            <w:vAlign w:val="center"/>
          </w:tcPr>
          <w:p w14:paraId="039612E5">
            <w:pPr>
              <w:pStyle w:val="10"/>
            </w:pPr>
            <w:r>
              <w:t>二级指标</w:t>
            </w:r>
          </w:p>
        </w:tc>
        <w:tc>
          <w:tcPr>
            <w:tcW w:w="2835" w:type="dxa"/>
            <w:vAlign w:val="center"/>
          </w:tcPr>
          <w:p w14:paraId="73E74934">
            <w:pPr>
              <w:pStyle w:val="10"/>
            </w:pPr>
            <w:r>
              <w:t>三级指标</w:t>
            </w:r>
          </w:p>
        </w:tc>
        <w:tc>
          <w:tcPr>
            <w:tcW w:w="5386" w:type="dxa"/>
            <w:vAlign w:val="center"/>
          </w:tcPr>
          <w:p w14:paraId="2E13AC72">
            <w:pPr>
              <w:pStyle w:val="10"/>
            </w:pPr>
            <w:r>
              <w:t>绩效指标描述</w:t>
            </w:r>
          </w:p>
        </w:tc>
        <w:tc>
          <w:tcPr>
            <w:tcW w:w="2268" w:type="dxa"/>
            <w:vAlign w:val="center"/>
          </w:tcPr>
          <w:p w14:paraId="15C64938">
            <w:pPr>
              <w:pStyle w:val="10"/>
            </w:pPr>
            <w:r>
              <w:t>指标值</w:t>
            </w:r>
          </w:p>
        </w:tc>
        <w:tc>
          <w:tcPr>
            <w:tcW w:w="1276" w:type="dxa"/>
            <w:vAlign w:val="center"/>
          </w:tcPr>
          <w:p w14:paraId="65567A16">
            <w:pPr>
              <w:pStyle w:val="10"/>
            </w:pPr>
            <w:r>
              <w:t>指标值确定依据</w:t>
            </w:r>
          </w:p>
        </w:tc>
      </w:tr>
      <w:tr w14:paraId="4795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2B275">
            <w:pPr>
              <w:pStyle w:val="13"/>
            </w:pPr>
            <w:r>
              <w:t>产出指标</w:t>
            </w:r>
          </w:p>
        </w:tc>
        <w:tc>
          <w:tcPr>
            <w:tcW w:w="2268" w:type="dxa"/>
            <w:vAlign w:val="center"/>
          </w:tcPr>
          <w:p w14:paraId="0989EB55">
            <w:pPr>
              <w:pStyle w:val="12"/>
            </w:pPr>
            <w:r>
              <w:t>数量指标</w:t>
            </w:r>
          </w:p>
        </w:tc>
        <w:tc>
          <w:tcPr>
            <w:tcW w:w="2835" w:type="dxa"/>
            <w:vAlign w:val="center"/>
          </w:tcPr>
          <w:p w14:paraId="6D50051A">
            <w:pPr>
              <w:pStyle w:val="12"/>
            </w:pPr>
            <w:r>
              <w:t>就读学生数</w:t>
            </w:r>
          </w:p>
        </w:tc>
        <w:tc>
          <w:tcPr>
            <w:tcW w:w="5386" w:type="dxa"/>
            <w:vAlign w:val="center"/>
          </w:tcPr>
          <w:p w14:paraId="133581BE">
            <w:pPr>
              <w:pStyle w:val="12"/>
            </w:pPr>
            <w:r>
              <w:t>辐射区域内适龄学生人数</w:t>
            </w:r>
          </w:p>
        </w:tc>
        <w:tc>
          <w:tcPr>
            <w:tcW w:w="2268" w:type="dxa"/>
            <w:vAlign w:val="center"/>
          </w:tcPr>
          <w:p w14:paraId="5EBF708C">
            <w:pPr>
              <w:pStyle w:val="12"/>
            </w:pPr>
            <w:r>
              <w:t>101人</w:t>
            </w:r>
          </w:p>
        </w:tc>
        <w:tc>
          <w:tcPr>
            <w:tcW w:w="1276" w:type="dxa"/>
            <w:vAlign w:val="center"/>
          </w:tcPr>
          <w:p w14:paraId="421A46D2">
            <w:pPr>
              <w:pStyle w:val="12"/>
            </w:pPr>
            <w:r>
              <w:t>城乡义务教育公用经费管理办法</w:t>
            </w:r>
          </w:p>
        </w:tc>
      </w:tr>
      <w:tr w14:paraId="6852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DC44B"/>
        </w:tc>
        <w:tc>
          <w:tcPr>
            <w:tcW w:w="2268" w:type="dxa"/>
            <w:vAlign w:val="center"/>
          </w:tcPr>
          <w:p w14:paraId="35F9D3D7">
            <w:pPr>
              <w:pStyle w:val="12"/>
            </w:pPr>
            <w:r>
              <w:t>质量指标</w:t>
            </w:r>
          </w:p>
        </w:tc>
        <w:tc>
          <w:tcPr>
            <w:tcW w:w="2835" w:type="dxa"/>
            <w:vAlign w:val="center"/>
          </w:tcPr>
          <w:p w14:paraId="67E1FF88">
            <w:pPr>
              <w:pStyle w:val="12"/>
            </w:pPr>
            <w:r>
              <w:t>预算执行率</w:t>
            </w:r>
          </w:p>
        </w:tc>
        <w:tc>
          <w:tcPr>
            <w:tcW w:w="5386" w:type="dxa"/>
            <w:vAlign w:val="center"/>
          </w:tcPr>
          <w:p w14:paraId="01049100">
            <w:pPr>
              <w:pStyle w:val="12"/>
            </w:pPr>
            <w:r>
              <w:t>预算执行率</w:t>
            </w:r>
          </w:p>
        </w:tc>
        <w:tc>
          <w:tcPr>
            <w:tcW w:w="2268" w:type="dxa"/>
            <w:vAlign w:val="center"/>
          </w:tcPr>
          <w:p w14:paraId="63EE1E26">
            <w:pPr>
              <w:pStyle w:val="12"/>
            </w:pPr>
            <w:r>
              <w:t>≥95%</w:t>
            </w:r>
          </w:p>
        </w:tc>
        <w:tc>
          <w:tcPr>
            <w:tcW w:w="1276" w:type="dxa"/>
            <w:vAlign w:val="center"/>
          </w:tcPr>
          <w:p w14:paraId="25C9A4DD">
            <w:pPr>
              <w:pStyle w:val="12"/>
            </w:pPr>
            <w:r>
              <w:t>城乡义务教育公用经费管理办法</w:t>
            </w:r>
          </w:p>
        </w:tc>
      </w:tr>
      <w:tr w14:paraId="19F1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74921"/>
        </w:tc>
        <w:tc>
          <w:tcPr>
            <w:tcW w:w="2268" w:type="dxa"/>
            <w:vAlign w:val="center"/>
          </w:tcPr>
          <w:p w14:paraId="5F9ED52E">
            <w:pPr>
              <w:pStyle w:val="12"/>
            </w:pPr>
            <w:r>
              <w:t>时效指标</w:t>
            </w:r>
          </w:p>
        </w:tc>
        <w:tc>
          <w:tcPr>
            <w:tcW w:w="2835" w:type="dxa"/>
            <w:vAlign w:val="center"/>
          </w:tcPr>
          <w:p w14:paraId="0D21FF35">
            <w:pPr>
              <w:pStyle w:val="12"/>
            </w:pPr>
            <w:r>
              <w:t>义教经费支付完成率</w:t>
            </w:r>
          </w:p>
        </w:tc>
        <w:tc>
          <w:tcPr>
            <w:tcW w:w="5386" w:type="dxa"/>
            <w:vAlign w:val="center"/>
          </w:tcPr>
          <w:p w14:paraId="5A5BDC80">
            <w:pPr>
              <w:pStyle w:val="12"/>
            </w:pPr>
            <w:r>
              <w:t>按照序时进度完成资金支付</w:t>
            </w:r>
          </w:p>
        </w:tc>
        <w:tc>
          <w:tcPr>
            <w:tcW w:w="2268" w:type="dxa"/>
            <w:vAlign w:val="center"/>
          </w:tcPr>
          <w:p w14:paraId="24FF5123">
            <w:pPr>
              <w:pStyle w:val="12"/>
            </w:pPr>
            <w:r>
              <w:t>100%</w:t>
            </w:r>
          </w:p>
        </w:tc>
        <w:tc>
          <w:tcPr>
            <w:tcW w:w="1276" w:type="dxa"/>
            <w:vAlign w:val="center"/>
          </w:tcPr>
          <w:p w14:paraId="796E96F8">
            <w:pPr>
              <w:pStyle w:val="12"/>
            </w:pPr>
            <w:r>
              <w:t>城乡义务教育公用经费管理办法</w:t>
            </w:r>
          </w:p>
        </w:tc>
      </w:tr>
      <w:tr w14:paraId="1776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1AE4A"/>
        </w:tc>
        <w:tc>
          <w:tcPr>
            <w:tcW w:w="2268" w:type="dxa"/>
            <w:vAlign w:val="center"/>
          </w:tcPr>
          <w:p w14:paraId="02970581">
            <w:pPr>
              <w:pStyle w:val="12"/>
            </w:pPr>
            <w:r>
              <w:t>成本指标</w:t>
            </w:r>
          </w:p>
        </w:tc>
        <w:tc>
          <w:tcPr>
            <w:tcW w:w="2835" w:type="dxa"/>
            <w:vAlign w:val="center"/>
          </w:tcPr>
          <w:p w14:paraId="141D2E26">
            <w:pPr>
              <w:pStyle w:val="12"/>
            </w:pPr>
            <w:r>
              <w:t>生均拨款标准</w:t>
            </w:r>
          </w:p>
        </w:tc>
        <w:tc>
          <w:tcPr>
            <w:tcW w:w="5386" w:type="dxa"/>
            <w:vAlign w:val="center"/>
          </w:tcPr>
          <w:p w14:paraId="7F3015F2">
            <w:pPr>
              <w:pStyle w:val="12"/>
            </w:pPr>
            <w:r>
              <w:t>小学生公用经费生均公用经费基准定额为720元/年/生，取暖费120元/年/生，住宿生补助300元/年/生的标准，随班就读学生补助7000元/生/年</w:t>
            </w:r>
          </w:p>
        </w:tc>
        <w:tc>
          <w:tcPr>
            <w:tcW w:w="2268" w:type="dxa"/>
            <w:vAlign w:val="center"/>
          </w:tcPr>
          <w:p w14:paraId="0FE7109A">
            <w:pPr>
              <w:pStyle w:val="12"/>
            </w:pPr>
            <w:r>
              <w:t>840元</w:t>
            </w:r>
          </w:p>
        </w:tc>
        <w:tc>
          <w:tcPr>
            <w:tcW w:w="1276" w:type="dxa"/>
            <w:vAlign w:val="center"/>
          </w:tcPr>
          <w:p w14:paraId="3BDC744D">
            <w:pPr>
              <w:pStyle w:val="12"/>
            </w:pPr>
            <w:r>
              <w:t>城乡义务教育公用经费管理办法</w:t>
            </w:r>
          </w:p>
        </w:tc>
      </w:tr>
      <w:tr w14:paraId="6F8E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301EC">
            <w:pPr>
              <w:pStyle w:val="13"/>
            </w:pPr>
            <w:r>
              <w:t>效益指标</w:t>
            </w:r>
          </w:p>
        </w:tc>
        <w:tc>
          <w:tcPr>
            <w:tcW w:w="2268" w:type="dxa"/>
            <w:vAlign w:val="center"/>
          </w:tcPr>
          <w:p w14:paraId="2A05CCE4">
            <w:pPr>
              <w:pStyle w:val="12"/>
            </w:pPr>
            <w:r>
              <w:t>可持续影响指标</w:t>
            </w:r>
          </w:p>
        </w:tc>
        <w:tc>
          <w:tcPr>
            <w:tcW w:w="2835" w:type="dxa"/>
            <w:vAlign w:val="center"/>
          </w:tcPr>
          <w:p w14:paraId="4777AD21">
            <w:pPr>
              <w:pStyle w:val="12"/>
            </w:pPr>
            <w:r>
              <w:t>学校运转得到提高</w:t>
            </w:r>
          </w:p>
        </w:tc>
        <w:tc>
          <w:tcPr>
            <w:tcW w:w="5386" w:type="dxa"/>
            <w:vAlign w:val="center"/>
          </w:tcPr>
          <w:p w14:paraId="7BF3FD74">
            <w:pPr>
              <w:pStyle w:val="12"/>
            </w:pPr>
            <w:r>
              <w:t>学生受教育年限</w:t>
            </w:r>
          </w:p>
        </w:tc>
        <w:tc>
          <w:tcPr>
            <w:tcW w:w="2268" w:type="dxa"/>
            <w:vAlign w:val="center"/>
          </w:tcPr>
          <w:p w14:paraId="1328950D">
            <w:pPr>
              <w:pStyle w:val="12"/>
            </w:pPr>
            <w:r>
              <w:t>6年</w:t>
            </w:r>
          </w:p>
        </w:tc>
        <w:tc>
          <w:tcPr>
            <w:tcW w:w="1276" w:type="dxa"/>
            <w:vAlign w:val="center"/>
          </w:tcPr>
          <w:p w14:paraId="43DF5B63">
            <w:pPr>
              <w:pStyle w:val="12"/>
            </w:pPr>
            <w:r>
              <w:t>城乡义务教育公用经费管理办法</w:t>
            </w:r>
          </w:p>
        </w:tc>
      </w:tr>
      <w:tr w14:paraId="497C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FDCD2">
            <w:pPr>
              <w:pStyle w:val="13"/>
            </w:pPr>
            <w:r>
              <w:t>满意度指标</w:t>
            </w:r>
          </w:p>
        </w:tc>
        <w:tc>
          <w:tcPr>
            <w:tcW w:w="2268" w:type="dxa"/>
            <w:vAlign w:val="center"/>
          </w:tcPr>
          <w:p w14:paraId="57CA5F3E">
            <w:pPr>
              <w:pStyle w:val="12"/>
            </w:pPr>
            <w:r>
              <w:t>服务对象满意度指标</w:t>
            </w:r>
          </w:p>
        </w:tc>
        <w:tc>
          <w:tcPr>
            <w:tcW w:w="2835" w:type="dxa"/>
            <w:vAlign w:val="center"/>
          </w:tcPr>
          <w:p w14:paraId="112E0B7D">
            <w:pPr>
              <w:pStyle w:val="12"/>
            </w:pPr>
            <w:r>
              <w:t>服务对象满意度</w:t>
            </w:r>
          </w:p>
        </w:tc>
        <w:tc>
          <w:tcPr>
            <w:tcW w:w="5386" w:type="dxa"/>
            <w:vAlign w:val="center"/>
          </w:tcPr>
          <w:p w14:paraId="55330ACE">
            <w:pPr>
              <w:pStyle w:val="12"/>
            </w:pPr>
            <w:r>
              <w:t>学校老师和学生满意度</w:t>
            </w:r>
          </w:p>
        </w:tc>
        <w:tc>
          <w:tcPr>
            <w:tcW w:w="2268" w:type="dxa"/>
            <w:vAlign w:val="center"/>
          </w:tcPr>
          <w:p w14:paraId="5BFF7B5A">
            <w:pPr>
              <w:pStyle w:val="12"/>
            </w:pPr>
            <w:r>
              <w:t>≥95%</w:t>
            </w:r>
          </w:p>
        </w:tc>
        <w:tc>
          <w:tcPr>
            <w:tcW w:w="1276" w:type="dxa"/>
            <w:vAlign w:val="center"/>
          </w:tcPr>
          <w:p w14:paraId="64247FED">
            <w:pPr>
              <w:pStyle w:val="12"/>
            </w:pPr>
            <w:r>
              <w:t>群众测评</w:t>
            </w:r>
          </w:p>
        </w:tc>
      </w:tr>
    </w:tbl>
    <w:p w14:paraId="736CA618">
      <w:pPr>
        <w:sectPr>
          <w:pgSz w:w="16840" w:h="11900" w:orient="landscape"/>
          <w:pgMar w:top="1361" w:right="1020" w:bottom="1134" w:left="1020" w:header="720" w:footer="720" w:gutter="0"/>
          <w:cols w:space="720" w:num="1"/>
        </w:sectPr>
      </w:pPr>
    </w:p>
    <w:p w14:paraId="73343F25">
      <w:pPr>
        <w:spacing w:before="0" w:after="0"/>
        <w:ind w:firstLine="560"/>
        <w:jc w:val="left"/>
        <w:outlineLvl w:val="9"/>
      </w:pPr>
      <w:r>
        <w:rPr>
          <w:rFonts w:ascii="方正仿宋_GBK" w:hAnsi="方正仿宋_GBK" w:eastAsia="方正仿宋_GBK" w:cs="方正仿宋_GBK"/>
          <w:b/>
          <w:color w:val="000000"/>
          <w:sz w:val="28"/>
        </w:rPr>
        <w:t>16、冀财教[2025]147号/省级/2026年义教补助经费/山口校区后庄中心小学公用经费绩效目标表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58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9DE56">
            <w:pPr>
              <w:pStyle w:val="11"/>
            </w:pPr>
            <w:r>
              <w:t>单位：万元</w:t>
            </w:r>
          </w:p>
        </w:tc>
      </w:tr>
      <w:tr w14:paraId="3EC69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03484">
            <w:pPr>
              <w:pStyle w:val="10"/>
            </w:pPr>
            <w:r>
              <w:t>项目编码</w:t>
            </w:r>
          </w:p>
        </w:tc>
        <w:tc>
          <w:tcPr>
            <w:tcW w:w="5103" w:type="dxa"/>
            <w:gridSpan w:val="2"/>
            <w:vAlign w:val="center"/>
          </w:tcPr>
          <w:p w14:paraId="24ECD1BA">
            <w:pPr>
              <w:pStyle w:val="12"/>
            </w:pPr>
            <w:r>
              <w:t>13052526P00000410370D</w:t>
            </w:r>
          </w:p>
        </w:tc>
        <w:tc>
          <w:tcPr>
            <w:tcW w:w="2835" w:type="dxa"/>
            <w:vAlign w:val="center"/>
          </w:tcPr>
          <w:p w14:paraId="622A7F53">
            <w:pPr>
              <w:pStyle w:val="10"/>
            </w:pPr>
            <w:r>
              <w:t>项目名称</w:t>
            </w:r>
          </w:p>
        </w:tc>
        <w:tc>
          <w:tcPr>
            <w:tcW w:w="6095" w:type="dxa"/>
            <w:gridSpan w:val="3"/>
            <w:vAlign w:val="center"/>
          </w:tcPr>
          <w:p w14:paraId="25EE5169">
            <w:pPr>
              <w:pStyle w:val="12"/>
            </w:pPr>
            <w:r>
              <w:t>冀财教[2025]147号/省级/2026年义教补助经费/山口校区后庄中心小学公用经费</w:t>
            </w:r>
          </w:p>
        </w:tc>
      </w:tr>
      <w:tr w14:paraId="72C20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521DA">
            <w:pPr>
              <w:pStyle w:val="10"/>
            </w:pPr>
            <w:r>
              <w:t>预算规模及资金用途</w:t>
            </w:r>
          </w:p>
        </w:tc>
        <w:tc>
          <w:tcPr>
            <w:tcW w:w="2268" w:type="dxa"/>
            <w:vAlign w:val="center"/>
          </w:tcPr>
          <w:p w14:paraId="108478A7">
            <w:pPr>
              <w:pStyle w:val="10"/>
            </w:pPr>
            <w:r>
              <w:t>预算数</w:t>
            </w:r>
          </w:p>
        </w:tc>
        <w:tc>
          <w:tcPr>
            <w:tcW w:w="2835" w:type="dxa"/>
            <w:vAlign w:val="center"/>
          </w:tcPr>
          <w:p w14:paraId="1BF75647">
            <w:pPr>
              <w:pStyle w:val="12"/>
            </w:pPr>
            <w:r>
              <w:t>2.61</w:t>
            </w:r>
          </w:p>
        </w:tc>
        <w:tc>
          <w:tcPr>
            <w:tcW w:w="2835" w:type="dxa"/>
            <w:vAlign w:val="center"/>
          </w:tcPr>
          <w:p w14:paraId="7BD80896">
            <w:pPr>
              <w:pStyle w:val="10"/>
            </w:pPr>
            <w:r>
              <w:t>其中：财政    资金</w:t>
            </w:r>
          </w:p>
        </w:tc>
        <w:tc>
          <w:tcPr>
            <w:tcW w:w="2551" w:type="dxa"/>
            <w:vAlign w:val="center"/>
          </w:tcPr>
          <w:p w14:paraId="274F2AFF">
            <w:pPr>
              <w:pStyle w:val="12"/>
            </w:pPr>
            <w:r>
              <w:t>2.61</w:t>
            </w:r>
          </w:p>
        </w:tc>
        <w:tc>
          <w:tcPr>
            <w:tcW w:w="2268" w:type="dxa"/>
            <w:vAlign w:val="center"/>
          </w:tcPr>
          <w:p w14:paraId="3A893C52">
            <w:pPr>
              <w:pStyle w:val="10"/>
            </w:pPr>
            <w:r>
              <w:t>其他资金</w:t>
            </w:r>
          </w:p>
        </w:tc>
        <w:tc>
          <w:tcPr>
            <w:tcW w:w="1276" w:type="dxa"/>
            <w:vAlign w:val="center"/>
          </w:tcPr>
          <w:p w14:paraId="33CF2806">
            <w:pPr>
              <w:pStyle w:val="12"/>
            </w:pPr>
            <w:r>
              <w:t xml:space="preserve"> </w:t>
            </w:r>
          </w:p>
        </w:tc>
      </w:tr>
      <w:tr w14:paraId="52260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3F674"/>
        </w:tc>
        <w:tc>
          <w:tcPr>
            <w:tcW w:w="14033" w:type="dxa"/>
            <w:gridSpan w:val="6"/>
            <w:vAlign w:val="center"/>
          </w:tcPr>
          <w:p w14:paraId="6ACF2C83">
            <w:pPr>
              <w:pStyle w:val="12"/>
            </w:pPr>
            <w:r>
              <w:t>保障学校正常运转，完成各项教育教学活动和其他日常工作任务等方面的费用支出。</w:t>
            </w:r>
            <w:r>
              <w:tab/>
            </w:r>
            <w:r>
              <w:tab/>
            </w:r>
            <w:r>
              <w:tab/>
            </w:r>
            <w:r>
              <w:tab/>
            </w:r>
            <w:r>
              <w:tab/>
            </w:r>
            <w:r>
              <w:tab/>
            </w:r>
          </w:p>
          <w:p w14:paraId="5B0DEFA1">
            <w:pPr>
              <w:pStyle w:val="12"/>
            </w:pPr>
          </w:p>
        </w:tc>
      </w:tr>
      <w:tr w14:paraId="1A87C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78E02">
            <w:pPr>
              <w:pStyle w:val="10"/>
            </w:pPr>
            <w:r>
              <w:t>资金支出计划（%）</w:t>
            </w:r>
          </w:p>
        </w:tc>
        <w:tc>
          <w:tcPr>
            <w:tcW w:w="5103" w:type="dxa"/>
            <w:gridSpan w:val="2"/>
            <w:vAlign w:val="center"/>
          </w:tcPr>
          <w:p w14:paraId="26D3327D">
            <w:pPr>
              <w:pStyle w:val="10"/>
            </w:pPr>
            <w:r>
              <w:t>3月底</w:t>
            </w:r>
          </w:p>
        </w:tc>
        <w:tc>
          <w:tcPr>
            <w:tcW w:w="2835" w:type="dxa"/>
            <w:vAlign w:val="center"/>
          </w:tcPr>
          <w:p w14:paraId="708AB8BD">
            <w:pPr>
              <w:pStyle w:val="10"/>
            </w:pPr>
            <w:r>
              <w:t>6月底</w:t>
            </w:r>
          </w:p>
        </w:tc>
        <w:tc>
          <w:tcPr>
            <w:tcW w:w="2551" w:type="dxa"/>
            <w:vAlign w:val="center"/>
          </w:tcPr>
          <w:p w14:paraId="61B869DC">
            <w:pPr>
              <w:pStyle w:val="10"/>
            </w:pPr>
            <w:r>
              <w:t>10月底</w:t>
            </w:r>
          </w:p>
        </w:tc>
        <w:tc>
          <w:tcPr>
            <w:tcW w:w="3544" w:type="dxa"/>
            <w:gridSpan w:val="2"/>
            <w:vAlign w:val="center"/>
          </w:tcPr>
          <w:p w14:paraId="56CE1843">
            <w:pPr>
              <w:pStyle w:val="10"/>
            </w:pPr>
            <w:r>
              <w:t>12月底</w:t>
            </w:r>
          </w:p>
        </w:tc>
      </w:tr>
      <w:tr w14:paraId="38C66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A120A"/>
        </w:tc>
        <w:tc>
          <w:tcPr>
            <w:tcW w:w="5103" w:type="dxa"/>
            <w:gridSpan w:val="2"/>
            <w:vAlign w:val="center"/>
          </w:tcPr>
          <w:p w14:paraId="33A92BCB">
            <w:pPr>
              <w:pStyle w:val="13"/>
            </w:pPr>
            <w:r>
              <w:t>25%</w:t>
            </w:r>
          </w:p>
        </w:tc>
        <w:tc>
          <w:tcPr>
            <w:tcW w:w="2835" w:type="dxa"/>
            <w:vAlign w:val="center"/>
          </w:tcPr>
          <w:p w14:paraId="2D96439D">
            <w:pPr>
              <w:pStyle w:val="13"/>
            </w:pPr>
            <w:r>
              <w:t>50%</w:t>
            </w:r>
          </w:p>
        </w:tc>
        <w:tc>
          <w:tcPr>
            <w:tcW w:w="2551" w:type="dxa"/>
            <w:vAlign w:val="center"/>
          </w:tcPr>
          <w:p w14:paraId="45B55648">
            <w:pPr>
              <w:pStyle w:val="13"/>
            </w:pPr>
            <w:r>
              <w:t>75%</w:t>
            </w:r>
          </w:p>
        </w:tc>
        <w:tc>
          <w:tcPr>
            <w:tcW w:w="3544" w:type="dxa"/>
            <w:gridSpan w:val="2"/>
            <w:vAlign w:val="center"/>
          </w:tcPr>
          <w:p w14:paraId="549C8615">
            <w:pPr>
              <w:pStyle w:val="13"/>
            </w:pPr>
            <w:r>
              <w:t>100%</w:t>
            </w:r>
          </w:p>
        </w:tc>
      </w:tr>
      <w:tr w14:paraId="266CB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F9FE4">
            <w:pPr>
              <w:pStyle w:val="10"/>
            </w:pPr>
            <w:r>
              <w:t>绩效目标</w:t>
            </w:r>
          </w:p>
        </w:tc>
        <w:tc>
          <w:tcPr>
            <w:tcW w:w="14033" w:type="dxa"/>
            <w:gridSpan w:val="6"/>
            <w:vAlign w:val="center"/>
          </w:tcPr>
          <w:p w14:paraId="0DADCF58">
            <w:pPr>
              <w:pStyle w:val="12"/>
            </w:pPr>
            <w:r>
              <w:t>1.按季度分批次拨付公用经费资金，资金拨付率达到100%。</w:t>
            </w:r>
          </w:p>
          <w:p w14:paraId="5C4E6D02">
            <w:pPr>
              <w:pStyle w:val="12"/>
            </w:pPr>
            <w:r>
              <w:t>2.保障学校正常运转，完成各项教育教学活动和其他日常工作任务等方面的费用支出。</w:t>
            </w:r>
          </w:p>
        </w:tc>
      </w:tr>
    </w:tbl>
    <w:p w14:paraId="518FF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8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8E6F3">
            <w:pPr>
              <w:pStyle w:val="10"/>
            </w:pPr>
            <w:r>
              <w:t>一级指标</w:t>
            </w:r>
          </w:p>
        </w:tc>
        <w:tc>
          <w:tcPr>
            <w:tcW w:w="2268" w:type="dxa"/>
            <w:vAlign w:val="center"/>
          </w:tcPr>
          <w:p w14:paraId="417F1A99">
            <w:pPr>
              <w:pStyle w:val="10"/>
            </w:pPr>
            <w:r>
              <w:t>二级指标</w:t>
            </w:r>
          </w:p>
        </w:tc>
        <w:tc>
          <w:tcPr>
            <w:tcW w:w="2835" w:type="dxa"/>
            <w:vAlign w:val="center"/>
          </w:tcPr>
          <w:p w14:paraId="5EE16397">
            <w:pPr>
              <w:pStyle w:val="10"/>
            </w:pPr>
            <w:r>
              <w:t>三级指标</w:t>
            </w:r>
          </w:p>
        </w:tc>
        <w:tc>
          <w:tcPr>
            <w:tcW w:w="5386" w:type="dxa"/>
            <w:vAlign w:val="center"/>
          </w:tcPr>
          <w:p w14:paraId="2FBA2133">
            <w:pPr>
              <w:pStyle w:val="10"/>
            </w:pPr>
            <w:r>
              <w:t>绩效指标描述</w:t>
            </w:r>
          </w:p>
        </w:tc>
        <w:tc>
          <w:tcPr>
            <w:tcW w:w="2268" w:type="dxa"/>
            <w:vAlign w:val="center"/>
          </w:tcPr>
          <w:p w14:paraId="203444BD">
            <w:pPr>
              <w:pStyle w:val="10"/>
            </w:pPr>
            <w:r>
              <w:t>指标值</w:t>
            </w:r>
          </w:p>
        </w:tc>
        <w:tc>
          <w:tcPr>
            <w:tcW w:w="1276" w:type="dxa"/>
            <w:vAlign w:val="center"/>
          </w:tcPr>
          <w:p w14:paraId="2C696F17">
            <w:pPr>
              <w:pStyle w:val="10"/>
            </w:pPr>
            <w:r>
              <w:t>指标值确定依据</w:t>
            </w:r>
          </w:p>
        </w:tc>
      </w:tr>
      <w:tr w14:paraId="23AF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58315">
            <w:pPr>
              <w:pStyle w:val="13"/>
            </w:pPr>
            <w:r>
              <w:t>产出指标</w:t>
            </w:r>
          </w:p>
        </w:tc>
        <w:tc>
          <w:tcPr>
            <w:tcW w:w="2268" w:type="dxa"/>
            <w:vAlign w:val="center"/>
          </w:tcPr>
          <w:p w14:paraId="31C7C38D">
            <w:pPr>
              <w:pStyle w:val="12"/>
            </w:pPr>
            <w:r>
              <w:t>数量指标</w:t>
            </w:r>
          </w:p>
        </w:tc>
        <w:tc>
          <w:tcPr>
            <w:tcW w:w="2835" w:type="dxa"/>
            <w:vAlign w:val="center"/>
          </w:tcPr>
          <w:p w14:paraId="79C48A9C">
            <w:pPr>
              <w:pStyle w:val="12"/>
            </w:pPr>
            <w:r>
              <w:t>就读学生数</w:t>
            </w:r>
          </w:p>
        </w:tc>
        <w:tc>
          <w:tcPr>
            <w:tcW w:w="5386" w:type="dxa"/>
            <w:vAlign w:val="center"/>
          </w:tcPr>
          <w:p w14:paraId="2AAAF481">
            <w:pPr>
              <w:pStyle w:val="12"/>
            </w:pPr>
            <w:r>
              <w:t>辐射区域内适龄学生人数</w:t>
            </w:r>
          </w:p>
        </w:tc>
        <w:tc>
          <w:tcPr>
            <w:tcW w:w="2268" w:type="dxa"/>
            <w:vAlign w:val="center"/>
          </w:tcPr>
          <w:p w14:paraId="4F4BE68E">
            <w:pPr>
              <w:pStyle w:val="12"/>
            </w:pPr>
            <w:r>
              <w:t>100人</w:t>
            </w:r>
          </w:p>
        </w:tc>
        <w:tc>
          <w:tcPr>
            <w:tcW w:w="1276" w:type="dxa"/>
            <w:vAlign w:val="center"/>
          </w:tcPr>
          <w:p w14:paraId="545AE6B5">
            <w:pPr>
              <w:pStyle w:val="12"/>
            </w:pPr>
            <w:r>
              <w:t>城乡义务教育公用经费管理办法</w:t>
            </w:r>
          </w:p>
        </w:tc>
      </w:tr>
      <w:tr w14:paraId="67B6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E6BE9"/>
        </w:tc>
        <w:tc>
          <w:tcPr>
            <w:tcW w:w="2268" w:type="dxa"/>
            <w:vAlign w:val="center"/>
          </w:tcPr>
          <w:p w14:paraId="5F3A1F6D">
            <w:pPr>
              <w:pStyle w:val="12"/>
            </w:pPr>
            <w:r>
              <w:t>质量指标</w:t>
            </w:r>
          </w:p>
        </w:tc>
        <w:tc>
          <w:tcPr>
            <w:tcW w:w="2835" w:type="dxa"/>
            <w:vAlign w:val="center"/>
          </w:tcPr>
          <w:p w14:paraId="0BCAE028">
            <w:pPr>
              <w:pStyle w:val="12"/>
            </w:pPr>
            <w:r>
              <w:t>预算执行率</w:t>
            </w:r>
          </w:p>
        </w:tc>
        <w:tc>
          <w:tcPr>
            <w:tcW w:w="5386" w:type="dxa"/>
            <w:vAlign w:val="center"/>
          </w:tcPr>
          <w:p w14:paraId="2230B5BA">
            <w:pPr>
              <w:pStyle w:val="12"/>
            </w:pPr>
            <w:r>
              <w:t>预算执行率</w:t>
            </w:r>
          </w:p>
        </w:tc>
        <w:tc>
          <w:tcPr>
            <w:tcW w:w="2268" w:type="dxa"/>
            <w:vAlign w:val="center"/>
          </w:tcPr>
          <w:p w14:paraId="581D938F">
            <w:pPr>
              <w:pStyle w:val="12"/>
            </w:pPr>
            <w:r>
              <w:t>≥95%</w:t>
            </w:r>
          </w:p>
        </w:tc>
        <w:tc>
          <w:tcPr>
            <w:tcW w:w="1276" w:type="dxa"/>
            <w:vAlign w:val="center"/>
          </w:tcPr>
          <w:p w14:paraId="18C81A08">
            <w:pPr>
              <w:pStyle w:val="12"/>
            </w:pPr>
            <w:r>
              <w:t>城乡义务教育公用经费管理办法</w:t>
            </w:r>
          </w:p>
        </w:tc>
      </w:tr>
      <w:tr w14:paraId="4CF2E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050AE"/>
        </w:tc>
        <w:tc>
          <w:tcPr>
            <w:tcW w:w="2268" w:type="dxa"/>
            <w:vAlign w:val="center"/>
          </w:tcPr>
          <w:p w14:paraId="2D80BAF7">
            <w:pPr>
              <w:pStyle w:val="12"/>
            </w:pPr>
            <w:r>
              <w:t>时效指标</w:t>
            </w:r>
          </w:p>
        </w:tc>
        <w:tc>
          <w:tcPr>
            <w:tcW w:w="2835" w:type="dxa"/>
            <w:vAlign w:val="center"/>
          </w:tcPr>
          <w:p w14:paraId="6767C60D">
            <w:pPr>
              <w:pStyle w:val="12"/>
            </w:pPr>
            <w:r>
              <w:t>义教经费支付完成率</w:t>
            </w:r>
          </w:p>
        </w:tc>
        <w:tc>
          <w:tcPr>
            <w:tcW w:w="5386" w:type="dxa"/>
            <w:vAlign w:val="center"/>
          </w:tcPr>
          <w:p w14:paraId="344CABCC">
            <w:pPr>
              <w:pStyle w:val="12"/>
            </w:pPr>
            <w:r>
              <w:t>按照序时进度完成资金支付</w:t>
            </w:r>
          </w:p>
        </w:tc>
        <w:tc>
          <w:tcPr>
            <w:tcW w:w="2268" w:type="dxa"/>
            <w:vAlign w:val="center"/>
          </w:tcPr>
          <w:p w14:paraId="44A1D73F">
            <w:pPr>
              <w:pStyle w:val="12"/>
            </w:pPr>
            <w:r>
              <w:t>100%</w:t>
            </w:r>
          </w:p>
        </w:tc>
        <w:tc>
          <w:tcPr>
            <w:tcW w:w="1276" w:type="dxa"/>
            <w:vAlign w:val="center"/>
          </w:tcPr>
          <w:p w14:paraId="68791C98">
            <w:pPr>
              <w:pStyle w:val="12"/>
            </w:pPr>
            <w:r>
              <w:t>城乡义务教育公用经费管理办法</w:t>
            </w:r>
          </w:p>
        </w:tc>
      </w:tr>
      <w:tr w14:paraId="2A025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7B125"/>
        </w:tc>
        <w:tc>
          <w:tcPr>
            <w:tcW w:w="2268" w:type="dxa"/>
            <w:vAlign w:val="center"/>
          </w:tcPr>
          <w:p w14:paraId="2153ED4B">
            <w:pPr>
              <w:pStyle w:val="12"/>
            </w:pPr>
            <w:r>
              <w:t>成本指标</w:t>
            </w:r>
          </w:p>
        </w:tc>
        <w:tc>
          <w:tcPr>
            <w:tcW w:w="2835" w:type="dxa"/>
            <w:vAlign w:val="center"/>
          </w:tcPr>
          <w:p w14:paraId="48AE4F2C">
            <w:pPr>
              <w:pStyle w:val="12"/>
            </w:pPr>
            <w:r>
              <w:t>生均拨款标准</w:t>
            </w:r>
          </w:p>
        </w:tc>
        <w:tc>
          <w:tcPr>
            <w:tcW w:w="5386" w:type="dxa"/>
            <w:vAlign w:val="center"/>
          </w:tcPr>
          <w:p w14:paraId="705E8BA6">
            <w:pPr>
              <w:pStyle w:val="12"/>
            </w:pPr>
            <w:r>
              <w:t>小学生公用经费生均公用经费基准定额为720元/年/生，取暖费120元/年/生，住宿生补助300元/年/生的标准，随班就读学生补助7000元/生/年</w:t>
            </w:r>
          </w:p>
        </w:tc>
        <w:tc>
          <w:tcPr>
            <w:tcW w:w="2268" w:type="dxa"/>
            <w:vAlign w:val="center"/>
          </w:tcPr>
          <w:p w14:paraId="40B40FBE">
            <w:pPr>
              <w:pStyle w:val="12"/>
            </w:pPr>
            <w:r>
              <w:t>840元</w:t>
            </w:r>
          </w:p>
        </w:tc>
        <w:tc>
          <w:tcPr>
            <w:tcW w:w="1276" w:type="dxa"/>
            <w:vAlign w:val="center"/>
          </w:tcPr>
          <w:p w14:paraId="06508CDF">
            <w:pPr>
              <w:pStyle w:val="12"/>
            </w:pPr>
            <w:r>
              <w:t>城乡义务教育公用经费管理办法</w:t>
            </w:r>
          </w:p>
        </w:tc>
      </w:tr>
      <w:tr w14:paraId="4F9C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4E445">
            <w:pPr>
              <w:pStyle w:val="13"/>
            </w:pPr>
            <w:r>
              <w:t>效益指标</w:t>
            </w:r>
          </w:p>
        </w:tc>
        <w:tc>
          <w:tcPr>
            <w:tcW w:w="2268" w:type="dxa"/>
            <w:vAlign w:val="center"/>
          </w:tcPr>
          <w:p w14:paraId="007E8209">
            <w:pPr>
              <w:pStyle w:val="12"/>
            </w:pPr>
            <w:r>
              <w:t>可持续影响指标</w:t>
            </w:r>
          </w:p>
        </w:tc>
        <w:tc>
          <w:tcPr>
            <w:tcW w:w="2835" w:type="dxa"/>
            <w:vAlign w:val="center"/>
          </w:tcPr>
          <w:p w14:paraId="6EB29DC7">
            <w:pPr>
              <w:pStyle w:val="12"/>
            </w:pPr>
            <w:r>
              <w:t>学校运转得到提高</w:t>
            </w:r>
          </w:p>
        </w:tc>
        <w:tc>
          <w:tcPr>
            <w:tcW w:w="5386" w:type="dxa"/>
            <w:vAlign w:val="center"/>
          </w:tcPr>
          <w:p w14:paraId="727209F9">
            <w:pPr>
              <w:pStyle w:val="12"/>
            </w:pPr>
            <w:r>
              <w:t>学生受教育年限</w:t>
            </w:r>
          </w:p>
        </w:tc>
        <w:tc>
          <w:tcPr>
            <w:tcW w:w="2268" w:type="dxa"/>
            <w:vAlign w:val="center"/>
          </w:tcPr>
          <w:p w14:paraId="0C7BCCE6">
            <w:pPr>
              <w:pStyle w:val="12"/>
            </w:pPr>
            <w:r>
              <w:t>6年</w:t>
            </w:r>
          </w:p>
        </w:tc>
        <w:tc>
          <w:tcPr>
            <w:tcW w:w="1276" w:type="dxa"/>
            <w:vAlign w:val="center"/>
          </w:tcPr>
          <w:p w14:paraId="3C9FD088">
            <w:pPr>
              <w:pStyle w:val="12"/>
            </w:pPr>
            <w:r>
              <w:t>城乡义务教育公用经费管理办法</w:t>
            </w:r>
          </w:p>
        </w:tc>
      </w:tr>
      <w:tr w14:paraId="017E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EE7DB">
            <w:pPr>
              <w:pStyle w:val="13"/>
            </w:pPr>
            <w:r>
              <w:t>满意度指标</w:t>
            </w:r>
          </w:p>
        </w:tc>
        <w:tc>
          <w:tcPr>
            <w:tcW w:w="2268" w:type="dxa"/>
            <w:vAlign w:val="center"/>
          </w:tcPr>
          <w:p w14:paraId="43236660">
            <w:pPr>
              <w:pStyle w:val="12"/>
            </w:pPr>
            <w:r>
              <w:t>服务对象满意度指标</w:t>
            </w:r>
          </w:p>
        </w:tc>
        <w:tc>
          <w:tcPr>
            <w:tcW w:w="2835" w:type="dxa"/>
            <w:vAlign w:val="center"/>
          </w:tcPr>
          <w:p w14:paraId="2C3D759D">
            <w:pPr>
              <w:pStyle w:val="12"/>
            </w:pPr>
            <w:r>
              <w:t>服务对象满意度</w:t>
            </w:r>
          </w:p>
        </w:tc>
        <w:tc>
          <w:tcPr>
            <w:tcW w:w="5386" w:type="dxa"/>
            <w:vAlign w:val="center"/>
          </w:tcPr>
          <w:p w14:paraId="52651F07">
            <w:pPr>
              <w:pStyle w:val="12"/>
            </w:pPr>
            <w:r>
              <w:t>学校老师和学生满意度</w:t>
            </w:r>
          </w:p>
        </w:tc>
        <w:tc>
          <w:tcPr>
            <w:tcW w:w="2268" w:type="dxa"/>
            <w:vAlign w:val="center"/>
          </w:tcPr>
          <w:p w14:paraId="06A5CAA0">
            <w:pPr>
              <w:pStyle w:val="12"/>
            </w:pPr>
            <w:r>
              <w:t>≥95%</w:t>
            </w:r>
          </w:p>
        </w:tc>
        <w:tc>
          <w:tcPr>
            <w:tcW w:w="1276" w:type="dxa"/>
            <w:vAlign w:val="center"/>
          </w:tcPr>
          <w:p w14:paraId="276F03F7">
            <w:pPr>
              <w:pStyle w:val="12"/>
            </w:pPr>
            <w:r>
              <w:t>群众测评</w:t>
            </w:r>
          </w:p>
        </w:tc>
      </w:tr>
    </w:tbl>
    <w:p w14:paraId="3CC0D237">
      <w:pPr>
        <w:sectPr>
          <w:pgSz w:w="16840" w:h="11900" w:orient="landscape"/>
          <w:pgMar w:top="1361" w:right="1020" w:bottom="1134" w:left="1020" w:header="720" w:footer="720" w:gutter="0"/>
          <w:cols w:space="720" w:num="1"/>
        </w:sectPr>
      </w:pPr>
    </w:p>
    <w:p w14:paraId="6D9F6A90">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17、冀财教[2025]147号/省级/2026年义教补助经费/山口校区齐村小学公用经费绩效目标表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2B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13B34">
            <w:pPr>
              <w:pStyle w:val="11"/>
            </w:pPr>
            <w:r>
              <w:t>单位：万元</w:t>
            </w:r>
          </w:p>
        </w:tc>
      </w:tr>
      <w:tr w14:paraId="72478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94F65">
            <w:pPr>
              <w:pStyle w:val="10"/>
            </w:pPr>
            <w:r>
              <w:t>项目编码</w:t>
            </w:r>
          </w:p>
        </w:tc>
        <w:tc>
          <w:tcPr>
            <w:tcW w:w="5103" w:type="dxa"/>
            <w:gridSpan w:val="2"/>
            <w:vAlign w:val="center"/>
          </w:tcPr>
          <w:p w14:paraId="72A5D1CB">
            <w:pPr>
              <w:pStyle w:val="12"/>
            </w:pPr>
            <w:r>
              <w:t>13052526P00000410372L</w:t>
            </w:r>
          </w:p>
        </w:tc>
        <w:tc>
          <w:tcPr>
            <w:tcW w:w="2835" w:type="dxa"/>
            <w:vAlign w:val="center"/>
          </w:tcPr>
          <w:p w14:paraId="70BE357D">
            <w:pPr>
              <w:pStyle w:val="10"/>
            </w:pPr>
            <w:r>
              <w:t>项目名称</w:t>
            </w:r>
          </w:p>
        </w:tc>
        <w:tc>
          <w:tcPr>
            <w:tcW w:w="6095" w:type="dxa"/>
            <w:gridSpan w:val="3"/>
            <w:vAlign w:val="center"/>
          </w:tcPr>
          <w:p w14:paraId="273E8A2D">
            <w:pPr>
              <w:pStyle w:val="12"/>
            </w:pPr>
            <w:r>
              <w:t>冀财教[2025]147号/省级/2026年义教补助经费/山口校区齐村小学公用经费</w:t>
            </w:r>
          </w:p>
        </w:tc>
      </w:tr>
      <w:tr w14:paraId="6E74B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10CA6">
            <w:pPr>
              <w:pStyle w:val="10"/>
            </w:pPr>
            <w:r>
              <w:t>预算规模及资金用途</w:t>
            </w:r>
          </w:p>
        </w:tc>
        <w:tc>
          <w:tcPr>
            <w:tcW w:w="2268" w:type="dxa"/>
            <w:vAlign w:val="center"/>
          </w:tcPr>
          <w:p w14:paraId="2966918B">
            <w:pPr>
              <w:pStyle w:val="10"/>
            </w:pPr>
            <w:r>
              <w:t>预算数</w:t>
            </w:r>
          </w:p>
        </w:tc>
        <w:tc>
          <w:tcPr>
            <w:tcW w:w="2835" w:type="dxa"/>
            <w:vAlign w:val="center"/>
          </w:tcPr>
          <w:p w14:paraId="1593C904">
            <w:pPr>
              <w:pStyle w:val="12"/>
            </w:pPr>
            <w:r>
              <w:t>16.39</w:t>
            </w:r>
          </w:p>
        </w:tc>
        <w:tc>
          <w:tcPr>
            <w:tcW w:w="2835" w:type="dxa"/>
            <w:vAlign w:val="center"/>
          </w:tcPr>
          <w:p w14:paraId="00941FEC">
            <w:pPr>
              <w:pStyle w:val="10"/>
            </w:pPr>
            <w:r>
              <w:t>其中：财政    资金</w:t>
            </w:r>
          </w:p>
        </w:tc>
        <w:tc>
          <w:tcPr>
            <w:tcW w:w="2551" w:type="dxa"/>
            <w:vAlign w:val="center"/>
          </w:tcPr>
          <w:p w14:paraId="7AE1624A">
            <w:pPr>
              <w:pStyle w:val="12"/>
            </w:pPr>
            <w:r>
              <w:t>16.39</w:t>
            </w:r>
          </w:p>
        </w:tc>
        <w:tc>
          <w:tcPr>
            <w:tcW w:w="2268" w:type="dxa"/>
            <w:vAlign w:val="center"/>
          </w:tcPr>
          <w:p w14:paraId="24A7F0B0">
            <w:pPr>
              <w:pStyle w:val="10"/>
            </w:pPr>
            <w:r>
              <w:t>其他资金</w:t>
            </w:r>
          </w:p>
        </w:tc>
        <w:tc>
          <w:tcPr>
            <w:tcW w:w="1276" w:type="dxa"/>
            <w:vAlign w:val="center"/>
          </w:tcPr>
          <w:p w14:paraId="51CA5ADE">
            <w:pPr>
              <w:pStyle w:val="12"/>
            </w:pPr>
            <w:r>
              <w:t xml:space="preserve"> </w:t>
            </w:r>
          </w:p>
        </w:tc>
      </w:tr>
      <w:tr w14:paraId="79986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C10CF"/>
        </w:tc>
        <w:tc>
          <w:tcPr>
            <w:tcW w:w="14033" w:type="dxa"/>
            <w:gridSpan w:val="6"/>
            <w:vAlign w:val="center"/>
          </w:tcPr>
          <w:p w14:paraId="0642B1BB">
            <w:pPr>
              <w:pStyle w:val="12"/>
            </w:pPr>
            <w:r>
              <w:t>保障学校正常运转，完成各项教育教学活动和其他日常工作任务等方面的费用支出。</w:t>
            </w:r>
            <w:r>
              <w:tab/>
            </w:r>
            <w:r>
              <w:tab/>
            </w:r>
            <w:r>
              <w:tab/>
            </w:r>
            <w:r>
              <w:tab/>
            </w:r>
            <w:r>
              <w:tab/>
            </w:r>
            <w:r>
              <w:tab/>
            </w:r>
          </w:p>
          <w:p w14:paraId="51C63525">
            <w:pPr>
              <w:pStyle w:val="12"/>
            </w:pPr>
          </w:p>
        </w:tc>
      </w:tr>
      <w:tr w14:paraId="2BA7F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FB565">
            <w:pPr>
              <w:pStyle w:val="10"/>
            </w:pPr>
            <w:r>
              <w:t>资金支出计划（%）</w:t>
            </w:r>
          </w:p>
        </w:tc>
        <w:tc>
          <w:tcPr>
            <w:tcW w:w="5103" w:type="dxa"/>
            <w:gridSpan w:val="2"/>
            <w:vAlign w:val="center"/>
          </w:tcPr>
          <w:p w14:paraId="4103B54A">
            <w:pPr>
              <w:pStyle w:val="10"/>
            </w:pPr>
            <w:r>
              <w:t>3月底</w:t>
            </w:r>
          </w:p>
        </w:tc>
        <w:tc>
          <w:tcPr>
            <w:tcW w:w="2835" w:type="dxa"/>
            <w:vAlign w:val="center"/>
          </w:tcPr>
          <w:p w14:paraId="18B78600">
            <w:pPr>
              <w:pStyle w:val="10"/>
            </w:pPr>
            <w:r>
              <w:t>6月底</w:t>
            </w:r>
          </w:p>
        </w:tc>
        <w:tc>
          <w:tcPr>
            <w:tcW w:w="2551" w:type="dxa"/>
            <w:vAlign w:val="center"/>
          </w:tcPr>
          <w:p w14:paraId="489BF03B">
            <w:pPr>
              <w:pStyle w:val="10"/>
            </w:pPr>
            <w:r>
              <w:t>10月底</w:t>
            </w:r>
          </w:p>
        </w:tc>
        <w:tc>
          <w:tcPr>
            <w:tcW w:w="3544" w:type="dxa"/>
            <w:gridSpan w:val="2"/>
            <w:vAlign w:val="center"/>
          </w:tcPr>
          <w:p w14:paraId="7CF8D89E">
            <w:pPr>
              <w:pStyle w:val="10"/>
            </w:pPr>
            <w:r>
              <w:t>12月底</w:t>
            </w:r>
          </w:p>
        </w:tc>
      </w:tr>
      <w:tr w14:paraId="0F16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39189"/>
        </w:tc>
        <w:tc>
          <w:tcPr>
            <w:tcW w:w="5103" w:type="dxa"/>
            <w:gridSpan w:val="2"/>
            <w:vAlign w:val="center"/>
          </w:tcPr>
          <w:p w14:paraId="4E9F73A5">
            <w:pPr>
              <w:pStyle w:val="13"/>
            </w:pPr>
            <w:r>
              <w:t>25%</w:t>
            </w:r>
          </w:p>
        </w:tc>
        <w:tc>
          <w:tcPr>
            <w:tcW w:w="2835" w:type="dxa"/>
            <w:vAlign w:val="center"/>
          </w:tcPr>
          <w:p w14:paraId="47FE3C39">
            <w:pPr>
              <w:pStyle w:val="13"/>
            </w:pPr>
            <w:r>
              <w:t>50%</w:t>
            </w:r>
          </w:p>
        </w:tc>
        <w:tc>
          <w:tcPr>
            <w:tcW w:w="2551" w:type="dxa"/>
            <w:vAlign w:val="center"/>
          </w:tcPr>
          <w:p w14:paraId="49A59043">
            <w:pPr>
              <w:pStyle w:val="13"/>
            </w:pPr>
            <w:r>
              <w:t>75%</w:t>
            </w:r>
          </w:p>
        </w:tc>
        <w:tc>
          <w:tcPr>
            <w:tcW w:w="3544" w:type="dxa"/>
            <w:gridSpan w:val="2"/>
            <w:vAlign w:val="center"/>
          </w:tcPr>
          <w:p w14:paraId="17200B74">
            <w:pPr>
              <w:pStyle w:val="13"/>
            </w:pPr>
            <w:r>
              <w:t>100%</w:t>
            </w:r>
          </w:p>
        </w:tc>
      </w:tr>
      <w:tr w14:paraId="29757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30697">
            <w:pPr>
              <w:pStyle w:val="10"/>
            </w:pPr>
            <w:r>
              <w:t>绩效目标</w:t>
            </w:r>
          </w:p>
        </w:tc>
        <w:tc>
          <w:tcPr>
            <w:tcW w:w="14033" w:type="dxa"/>
            <w:gridSpan w:val="6"/>
            <w:vAlign w:val="center"/>
          </w:tcPr>
          <w:p w14:paraId="512F3A65">
            <w:pPr>
              <w:pStyle w:val="12"/>
            </w:pPr>
            <w:r>
              <w:t>1.按季度分批次拨付公用经费资金，资金拨付率达到100%。</w:t>
            </w:r>
          </w:p>
          <w:p w14:paraId="61C09DE2">
            <w:pPr>
              <w:pStyle w:val="12"/>
            </w:pPr>
            <w:r>
              <w:t>2.保障学校正常运转，完成各项教育教学活动和其他日常工作任务等方面的费用支出。</w:t>
            </w:r>
          </w:p>
        </w:tc>
      </w:tr>
    </w:tbl>
    <w:p w14:paraId="38417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1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1C40F">
            <w:pPr>
              <w:pStyle w:val="10"/>
            </w:pPr>
            <w:r>
              <w:t>一级指标</w:t>
            </w:r>
          </w:p>
        </w:tc>
        <w:tc>
          <w:tcPr>
            <w:tcW w:w="2268" w:type="dxa"/>
            <w:vAlign w:val="center"/>
          </w:tcPr>
          <w:p w14:paraId="1661EFC0">
            <w:pPr>
              <w:pStyle w:val="10"/>
            </w:pPr>
            <w:r>
              <w:t>二级指标</w:t>
            </w:r>
          </w:p>
        </w:tc>
        <w:tc>
          <w:tcPr>
            <w:tcW w:w="2835" w:type="dxa"/>
            <w:vAlign w:val="center"/>
          </w:tcPr>
          <w:p w14:paraId="2E35231E">
            <w:pPr>
              <w:pStyle w:val="10"/>
            </w:pPr>
            <w:r>
              <w:t>三级指标</w:t>
            </w:r>
          </w:p>
        </w:tc>
        <w:tc>
          <w:tcPr>
            <w:tcW w:w="5386" w:type="dxa"/>
            <w:vAlign w:val="center"/>
          </w:tcPr>
          <w:p w14:paraId="49E6E3D8">
            <w:pPr>
              <w:pStyle w:val="10"/>
            </w:pPr>
            <w:r>
              <w:t>绩效指标描述</w:t>
            </w:r>
          </w:p>
        </w:tc>
        <w:tc>
          <w:tcPr>
            <w:tcW w:w="2268" w:type="dxa"/>
            <w:vAlign w:val="center"/>
          </w:tcPr>
          <w:p w14:paraId="04226F8F">
            <w:pPr>
              <w:pStyle w:val="10"/>
            </w:pPr>
            <w:r>
              <w:t>指标值</w:t>
            </w:r>
          </w:p>
        </w:tc>
        <w:tc>
          <w:tcPr>
            <w:tcW w:w="1276" w:type="dxa"/>
            <w:vAlign w:val="center"/>
          </w:tcPr>
          <w:p w14:paraId="71D9FB93">
            <w:pPr>
              <w:pStyle w:val="10"/>
            </w:pPr>
            <w:r>
              <w:t>指标值确定依据</w:t>
            </w:r>
          </w:p>
        </w:tc>
      </w:tr>
      <w:tr w14:paraId="4705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91EBD">
            <w:pPr>
              <w:pStyle w:val="13"/>
            </w:pPr>
            <w:r>
              <w:t>产出指标</w:t>
            </w:r>
          </w:p>
        </w:tc>
        <w:tc>
          <w:tcPr>
            <w:tcW w:w="2268" w:type="dxa"/>
            <w:vAlign w:val="center"/>
          </w:tcPr>
          <w:p w14:paraId="455FA5AB">
            <w:pPr>
              <w:pStyle w:val="12"/>
            </w:pPr>
            <w:r>
              <w:t>数量指标</w:t>
            </w:r>
          </w:p>
        </w:tc>
        <w:tc>
          <w:tcPr>
            <w:tcW w:w="2835" w:type="dxa"/>
            <w:vAlign w:val="center"/>
          </w:tcPr>
          <w:p w14:paraId="1BCD35CD">
            <w:pPr>
              <w:pStyle w:val="12"/>
            </w:pPr>
            <w:r>
              <w:t>就读学生数</w:t>
            </w:r>
          </w:p>
        </w:tc>
        <w:tc>
          <w:tcPr>
            <w:tcW w:w="5386" w:type="dxa"/>
            <w:vAlign w:val="center"/>
          </w:tcPr>
          <w:p w14:paraId="729862E5">
            <w:pPr>
              <w:pStyle w:val="12"/>
            </w:pPr>
            <w:r>
              <w:t>辐射区域内适龄学生人数</w:t>
            </w:r>
          </w:p>
        </w:tc>
        <w:tc>
          <w:tcPr>
            <w:tcW w:w="2268" w:type="dxa"/>
            <w:vAlign w:val="center"/>
          </w:tcPr>
          <w:p w14:paraId="1C871C96">
            <w:pPr>
              <w:pStyle w:val="12"/>
            </w:pPr>
            <w:r>
              <w:t>562人</w:t>
            </w:r>
          </w:p>
        </w:tc>
        <w:tc>
          <w:tcPr>
            <w:tcW w:w="1276" w:type="dxa"/>
            <w:vAlign w:val="center"/>
          </w:tcPr>
          <w:p w14:paraId="2633F4A5">
            <w:pPr>
              <w:pStyle w:val="12"/>
            </w:pPr>
            <w:r>
              <w:t>城乡义务教育公用经费管理办法</w:t>
            </w:r>
          </w:p>
        </w:tc>
      </w:tr>
      <w:tr w14:paraId="49E1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0714"/>
        </w:tc>
        <w:tc>
          <w:tcPr>
            <w:tcW w:w="2268" w:type="dxa"/>
            <w:vAlign w:val="center"/>
          </w:tcPr>
          <w:p w14:paraId="56D2082B">
            <w:pPr>
              <w:pStyle w:val="12"/>
            </w:pPr>
            <w:r>
              <w:t>质量指标</w:t>
            </w:r>
          </w:p>
        </w:tc>
        <w:tc>
          <w:tcPr>
            <w:tcW w:w="2835" w:type="dxa"/>
            <w:vAlign w:val="center"/>
          </w:tcPr>
          <w:p w14:paraId="442C5C44">
            <w:pPr>
              <w:pStyle w:val="12"/>
            </w:pPr>
            <w:r>
              <w:t>预算执行率</w:t>
            </w:r>
          </w:p>
        </w:tc>
        <w:tc>
          <w:tcPr>
            <w:tcW w:w="5386" w:type="dxa"/>
            <w:vAlign w:val="center"/>
          </w:tcPr>
          <w:p w14:paraId="446C8BD8">
            <w:pPr>
              <w:pStyle w:val="12"/>
            </w:pPr>
            <w:r>
              <w:t>预算执行率</w:t>
            </w:r>
          </w:p>
        </w:tc>
        <w:tc>
          <w:tcPr>
            <w:tcW w:w="2268" w:type="dxa"/>
            <w:vAlign w:val="center"/>
          </w:tcPr>
          <w:p w14:paraId="30316AF8">
            <w:pPr>
              <w:pStyle w:val="12"/>
            </w:pPr>
            <w:r>
              <w:t>≥95%</w:t>
            </w:r>
          </w:p>
        </w:tc>
        <w:tc>
          <w:tcPr>
            <w:tcW w:w="1276" w:type="dxa"/>
            <w:vAlign w:val="center"/>
          </w:tcPr>
          <w:p w14:paraId="305DA9AE">
            <w:pPr>
              <w:pStyle w:val="12"/>
            </w:pPr>
            <w:r>
              <w:t>城乡义务教育公用经费管理办法</w:t>
            </w:r>
          </w:p>
        </w:tc>
      </w:tr>
      <w:tr w14:paraId="47F3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DCF53"/>
        </w:tc>
        <w:tc>
          <w:tcPr>
            <w:tcW w:w="2268" w:type="dxa"/>
            <w:vAlign w:val="center"/>
          </w:tcPr>
          <w:p w14:paraId="0243436A">
            <w:pPr>
              <w:pStyle w:val="12"/>
            </w:pPr>
            <w:r>
              <w:t>时效指标</w:t>
            </w:r>
          </w:p>
        </w:tc>
        <w:tc>
          <w:tcPr>
            <w:tcW w:w="2835" w:type="dxa"/>
            <w:vAlign w:val="center"/>
          </w:tcPr>
          <w:p w14:paraId="4CBDE15E">
            <w:pPr>
              <w:pStyle w:val="12"/>
            </w:pPr>
            <w:r>
              <w:t>义教经费支付完成率</w:t>
            </w:r>
          </w:p>
        </w:tc>
        <w:tc>
          <w:tcPr>
            <w:tcW w:w="5386" w:type="dxa"/>
            <w:vAlign w:val="center"/>
          </w:tcPr>
          <w:p w14:paraId="7BC0E0CE">
            <w:pPr>
              <w:pStyle w:val="12"/>
            </w:pPr>
            <w:r>
              <w:t>按照序时进度完成资金支付</w:t>
            </w:r>
          </w:p>
        </w:tc>
        <w:tc>
          <w:tcPr>
            <w:tcW w:w="2268" w:type="dxa"/>
            <w:vAlign w:val="center"/>
          </w:tcPr>
          <w:p w14:paraId="4E8590CA">
            <w:pPr>
              <w:pStyle w:val="12"/>
            </w:pPr>
            <w:r>
              <w:t>100%</w:t>
            </w:r>
          </w:p>
        </w:tc>
        <w:tc>
          <w:tcPr>
            <w:tcW w:w="1276" w:type="dxa"/>
            <w:vAlign w:val="center"/>
          </w:tcPr>
          <w:p w14:paraId="34DB758E">
            <w:pPr>
              <w:pStyle w:val="12"/>
            </w:pPr>
            <w:r>
              <w:t>城乡义务教育公用经费管理办法</w:t>
            </w:r>
          </w:p>
        </w:tc>
      </w:tr>
      <w:tr w14:paraId="1820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DF457"/>
        </w:tc>
        <w:tc>
          <w:tcPr>
            <w:tcW w:w="2268" w:type="dxa"/>
            <w:vAlign w:val="center"/>
          </w:tcPr>
          <w:p w14:paraId="6BE93873">
            <w:pPr>
              <w:pStyle w:val="12"/>
            </w:pPr>
            <w:r>
              <w:t>成本指标</w:t>
            </w:r>
          </w:p>
        </w:tc>
        <w:tc>
          <w:tcPr>
            <w:tcW w:w="2835" w:type="dxa"/>
            <w:vAlign w:val="center"/>
          </w:tcPr>
          <w:p w14:paraId="346301CA">
            <w:pPr>
              <w:pStyle w:val="12"/>
            </w:pPr>
            <w:r>
              <w:t>生均拨款标准</w:t>
            </w:r>
          </w:p>
        </w:tc>
        <w:tc>
          <w:tcPr>
            <w:tcW w:w="5386" w:type="dxa"/>
            <w:vAlign w:val="center"/>
          </w:tcPr>
          <w:p w14:paraId="2F90B876">
            <w:pPr>
              <w:pStyle w:val="12"/>
            </w:pPr>
            <w:r>
              <w:t>小学生公用经费生均公用经费基准定额为720元/年/生，取暖费120元/年/生，住宿生补助300元/年/生的标准，随班就读学生补助7000元/生/年</w:t>
            </w:r>
          </w:p>
        </w:tc>
        <w:tc>
          <w:tcPr>
            <w:tcW w:w="2268" w:type="dxa"/>
            <w:vAlign w:val="center"/>
          </w:tcPr>
          <w:p w14:paraId="0F307F24">
            <w:pPr>
              <w:pStyle w:val="12"/>
            </w:pPr>
            <w:r>
              <w:t>840元</w:t>
            </w:r>
          </w:p>
        </w:tc>
        <w:tc>
          <w:tcPr>
            <w:tcW w:w="1276" w:type="dxa"/>
            <w:vAlign w:val="center"/>
          </w:tcPr>
          <w:p w14:paraId="71116072">
            <w:pPr>
              <w:pStyle w:val="12"/>
            </w:pPr>
            <w:r>
              <w:t>城乡义务教育公用经费管理办法</w:t>
            </w:r>
          </w:p>
        </w:tc>
      </w:tr>
      <w:tr w14:paraId="66F8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8FDC0">
            <w:pPr>
              <w:pStyle w:val="13"/>
            </w:pPr>
            <w:r>
              <w:t>效益指标</w:t>
            </w:r>
          </w:p>
        </w:tc>
        <w:tc>
          <w:tcPr>
            <w:tcW w:w="2268" w:type="dxa"/>
            <w:vAlign w:val="center"/>
          </w:tcPr>
          <w:p w14:paraId="71FF170F">
            <w:pPr>
              <w:pStyle w:val="12"/>
            </w:pPr>
            <w:r>
              <w:t>可持续影响指标</w:t>
            </w:r>
          </w:p>
        </w:tc>
        <w:tc>
          <w:tcPr>
            <w:tcW w:w="2835" w:type="dxa"/>
            <w:vAlign w:val="center"/>
          </w:tcPr>
          <w:p w14:paraId="3E523963">
            <w:pPr>
              <w:pStyle w:val="12"/>
            </w:pPr>
            <w:r>
              <w:t>学校运转得到提高</w:t>
            </w:r>
          </w:p>
        </w:tc>
        <w:tc>
          <w:tcPr>
            <w:tcW w:w="5386" w:type="dxa"/>
            <w:vAlign w:val="center"/>
          </w:tcPr>
          <w:p w14:paraId="3563ADAC">
            <w:pPr>
              <w:pStyle w:val="12"/>
            </w:pPr>
            <w:r>
              <w:t>学生受教育年限</w:t>
            </w:r>
          </w:p>
        </w:tc>
        <w:tc>
          <w:tcPr>
            <w:tcW w:w="2268" w:type="dxa"/>
            <w:vAlign w:val="center"/>
          </w:tcPr>
          <w:p w14:paraId="49B8DB09">
            <w:pPr>
              <w:pStyle w:val="12"/>
            </w:pPr>
            <w:r>
              <w:t>6年</w:t>
            </w:r>
          </w:p>
        </w:tc>
        <w:tc>
          <w:tcPr>
            <w:tcW w:w="1276" w:type="dxa"/>
            <w:vAlign w:val="center"/>
          </w:tcPr>
          <w:p w14:paraId="4AC70CA2">
            <w:pPr>
              <w:pStyle w:val="12"/>
            </w:pPr>
            <w:r>
              <w:t>城乡义务教育公用经费管理办法</w:t>
            </w:r>
          </w:p>
        </w:tc>
      </w:tr>
      <w:tr w14:paraId="784B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3BB94">
            <w:pPr>
              <w:pStyle w:val="13"/>
            </w:pPr>
            <w:r>
              <w:t>满意度指标</w:t>
            </w:r>
          </w:p>
        </w:tc>
        <w:tc>
          <w:tcPr>
            <w:tcW w:w="2268" w:type="dxa"/>
            <w:vAlign w:val="center"/>
          </w:tcPr>
          <w:p w14:paraId="7F50D11E">
            <w:pPr>
              <w:pStyle w:val="12"/>
            </w:pPr>
            <w:r>
              <w:t>服务对象满意度指标</w:t>
            </w:r>
          </w:p>
        </w:tc>
        <w:tc>
          <w:tcPr>
            <w:tcW w:w="2835" w:type="dxa"/>
            <w:vAlign w:val="center"/>
          </w:tcPr>
          <w:p w14:paraId="34D49068">
            <w:pPr>
              <w:pStyle w:val="12"/>
            </w:pPr>
            <w:r>
              <w:t>服务对象满意度</w:t>
            </w:r>
          </w:p>
        </w:tc>
        <w:tc>
          <w:tcPr>
            <w:tcW w:w="5386" w:type="dxa"/>
            <w:vAlign w:val="center"/>
          </w:tcPr>
          <w:p w14:paraId="002BDFB7">
            <w:pPr>
              <w:pStyle w:val="12"/>
            </w:pPr>
            <w:r>
              <w:t>学校老师和学生满意度</w:t>
            </w:r>
          </w:p>
        </w:tc>
        <w:tc>
          <w:tcPr>
            <w:tcW w:w="2268" w:type="dxa"/>
            <w:vAlign w:val="center"/>
          </w:tcPr>
          <w:p w14:paraId="60DE9CA6">
            <w:pPr>
              <w:pStyle w:val="12"/>
            </w:pPr>
            <w:r>
              <w:t>≥95%</w:t>
            </w:r>
          </w:p>
        </w:tc>
        <w:tc>
          <w:tcPr>
            <w:tcW w:w="1276" w:type="dxa"/>
            <w:vAlign w:val="center"/>
          </w:tcPr>
          <w:p w14:paraId="5E73663F">
            <w:pPr>
              <w:pStyle w:val="12"/>
            </w:pPr>
            <w:r>
              <w:t>群众测评</w:t>
            </w:r>
          </w:p>
        </w:tc>
      </w:tr>
    </w:tbl>
    <w:p w14:paraId="26079F2A">
      <w:pPr>
        <w:sectPr>
          <w:pgSz w:w="16840" w:h="11900" w:orient="landscape"/>
          <w:pgMar w:top="1361" w:right="1020" w:bottom="1134" w:left="1020" w:header="720" w:footer="720" w:gutter="0"/>
          <w:cols w:space="720" w:num="1"/>
        </w:sectPr>
      </w:pPr>
    </w:p>
    <w:p w14:paraId="4947DB11">
      <w:pPr>
        <w:spacing w:before="0" w:after="0"/>
        <w:ind w:firstLine="560"/>
        <w:jc w:val="left"/>
        <w:outlineLvl w:val="9"/>
      </w:pPr>
      <w:r>
        <w:rPr>
          <w:rFonts w:ascii="方正仿宋_GBK" w:hAnsi="方正仿宋_GBK" w:eastAsia="方正仿宋_GBK" w:cs="方正仿宋_GBK"/>
          <w:b/>
          <w:color w:val="000000"/>
          <w:sz w:val="28"/>
        </w:rPr>
        <w:t>18、冀财教[2025]147号/省级/2026年义教补助经费/山口校区水饭中心小学公用经费绩效目标表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CC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DB533">
            <w:pPr>
              <w:pStyle w:val="11"/>
            </w:pPr>
            <w:r>
              <w:t>单位：万元</w:t>
            </w:r>
          </w:p>
        </w:tc>
      </w:tr>
      <w:tr w14:paraId="6E19E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DB11A">
            <w:pPr>
              <w:pStyle w:val="10"/>
            </w:pPr>
            <w:r>
              <w:t>项目编码</w:t>
            </w:r>
          </w:p>
        </w:tc>
        <w:tc>
          <w:tcPr>
            <w:tcW w:w="5103" w:type="dxa"/>
            <w:gridSpan w:val="2"/>
            <w:vAlign w:val="center"/>
          </w:tcPr>
          <w:p w14:paraId="572C6F22">
            <w:pPr>
              <w:pStyle w:val="12"/>
            </w:pPr>
            <w:r>
              <w:t>13052526P000004103711</w:t>
            </w:r>
          </w:p>
        </w:tc>
        <w:tc>
          <w:tcPr>
            <w:tcW w:w="2835" w:type="dxa"/>
            <w:vAlign w:val="center"/>
          </w:tcPr>
          <w:p w14:paraId="366FEB6C">
            <w:pPr>
              <w:pStyle w:val="10"/>
            </w:pPr>
            <w:r>
              <w:t>项目名称</w:t>
            </w:r>
          </w:p>
        </w:tc>
        <w:tc>
          <w:tcPr>
            <w:tcW w:w="6095" w:type="dxa"/>
            <w:gridSpan w:val="3"/>
            <w:vAlign w:val="center"/>
          </w:tcPr>
          <w:p w14:paraId="014BE43F">
            <w:pPr>
              <w:pStyle w:val="12"/>
            </w:pPr>
            <w:r>
              <w:t>冀财教[2025]147号/省级/2026年义教补助经费/山口校区水饭中心小学公用经费</w:t>
            </w:r>
          </w:p>
        </w:tc>
      </w:tr>
      <w:tr w14:paraId="3217D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6F12F">
            <w:pPr>
              <w:pStyle w:val="10"/>
            </w:pPr>
            <w:r>
              <w:t>预算规模及资金用途</w:t>
            </w:r>
          </w:p>
        </w:tc>
        <w:tc>
          <w:tcPr>
            <w:tcW w:w="2268" w:type="dxa"/>
            <w:vAlign w:val="center"/>
          </w:tcPr>
          <w:p w14:paraId="2B8B67CB">
            <w:pPr>
              <w:pStyle w:val="10"/>
            </w:pPr>
            <w:r>
              <w:t>预算数</w:t>
            </w:r>
          </w:p>
        </w:tc>
        <w:tc>
          <w:tcPr>
            <w:tcW w:w="2835" w:type="dxa"/>
            <w:vAlign w:val="center"/>
          </w:tcPr>
          <w:p w14:paraId="517FFA2D">
            <w:pPr>
              <w:pStyle w:val="12"/>
            </w:pPr>
            <w:r>
              <w:t>29.71</w:t>
            </w:r>
          </w:p>
        </w:tc>
        <w:tc>
          <w:tcPr>
            <w:tcW w:w="2835" w:type="dxa"/>
            <w:vAlign w:val="center"/>
          </w:tcPr>
          <w:p w14:paraId="78553FCE">
            <w:pPr>
              <w:pStyle w:val="10"/>
            </w:pPr>
            <w:r>
              <w:t>其中：财政    资金</w:t>
            </w:r>
          </w:p>
        </w:tc>
        <w:tc>
          <w:tcPr>
            <w:tcW w:w="2551" w:type="dxa"/>
            <w:vAlign w:val="center"/>
          </w:tcPr>
          <w:p w14:paraId="4593976B">
            <w:pPr>
              <w:pStyle w:val="12"/>
            </w:pPr>
            <w:r>
              <w:t>29.71</w:t>
            </w:r>
          </w:p>
        </w:tc>
        <w:tc>
          <w:tcPr>
            <w:tcW w:w="2268" w:type="dxa"/>
            <w:vAlign w:val="center"/>
          </w:tcPr>
          <w:p w14:paraId="1FD81330">
            <w:pPr>
              <w:pStyle w:val="10"/>
            </w:pPr>
            <w:r>
              <w:t>其他资金</w:t>
            </w:r>
          </w:p>
        </w:tc>
        <w:tc>
          <w:tcPr>
            <w:tcW w:w="1276" w:type="dxa"/>
            <w:vAlign w:val="center"/>
          </w:tcPr>
          <w:p w14:paraId="19AA56FA">
            <w:pPr>
              <w:pStyle w:val="12"/>
            </w:pPr>
            <w:r>
              <w:t xml:space="preserve"> </w:t>
            </w:r>
          </w:p>
        </w:tc>
      </w:tr>
      <w:tr w14:paraId="680F8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B7228"/>
        </w:tc>
        <w:tc>
          <w:tcPr>
            <w:tcW w:w="14033" w:type="dxa"/>
            <w:gridSpan w:val="6"/>
            <w:vAlign w:val="center"/>
          </w:tcPr>
          <w:p w14:paraId="37765D03">
            <w:pPr>
              <w:pStyle w:val="12"/>
            </w:pPr>
            <w:r>
              <w:t>保障学校正常运转，完成各项教育教学活动和其他日常工作任务等方面的费用支出。</w:t>
            </w:r>
            <w:r>
              <w:tab/>
            </w:r>
            <w:r>
              <w:tab/>
            </w:r>
            <w:r>
              <w:tab/>
            </w:r>
            <w:r>
              <w:tab/>
            </w:r>
            <w:r>
              <w:tab/>
            </w:r>
            <w:r>
              <w:tab/>
            </w:r>
          </w:p>
          <w:p w14:paraId="3AE18701">
            <w:pPr>
              <w:pStyle w:val="12"/>
            </w:pPr>
          </w:p>
        </w:tc>
      </w:tr>
      <w:tr w14:paraId="1ABAC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87D1A">
            <w:pPr>
              <w:pStyle w:val="10"/>
            </w:pPr>
            <w:r>
              <w:t>资金支出计划（%）</w:t>
            </w:r>
          </w:p>
        </w:tc>
        <w:tc>
          <w:tcPr>
            <w:tcW w:w="5103" w:type="dxa"/>
            <w:gridSpan w:val="2"/>
            <w:vAlign w:val="center"/>
          </w:tcPr>
          <w:p w14:paraId="5845E5FA">
            <w:pPr>
              <w:pStyle w:val="10"/>
            </w:pPr>
            <w:r>
              <w:t>3月底</w:t>
            </w:r>
          </w:p>
        </w:tc>
        <w:tc>
          <w:tcPr>
            <w:tcW w:w="2835" w:type="dxa"/>
            <w:vAlign w:val="center"/>
          </w:tcPr>
          <w:p w14:paraId="22F89296">
            <w:pPr>
              <w:pStyle w:val="10"/>
            </w:pPr>
            <w:r>
              <w:t>6月底</w:t>
            </w:r>
          </w:p>
        </w:tc>
        <w:tc>
          <w:tcPr>
            <w:tcW w:w="2551" w:type="dxa"/>
            <w:vAlign w:val="center"/>
          </w:tcPr>
          <w:p w14:paraId="058EEEB7">
            <w:pPr>
              <w:pStyle w:val="10"/>
            </w:pPr>
            <w:r>
              <w:t>10月底</w:t>
            </w:r>
          </w:p>
        </w:tc>
        <w:tc>
          <w:tcPr>
            <w:tcW w:w="3544" w:type="dxa"/>
            <w:gridSpan w:val="2"/>
            <w:vAlign w:val="center"/>
          </w:tcPr>
          <w:p w14:paraId="06E28A33">
            <w:pPr>
              <w:pStyle w:val="10"/>
            </w:pPr>
            <w:r>
              <w:t>12月底</w:t>
            </w:r>
          </w:p>
        </w:tc>
      </w:tr>
      <w:tr w14:paraId="37E8A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FBB35"/>
        </w:tc>
        <w:tc>
          <w:tcPr>
            <w:tcW w:w="5103" w:type="dxa"/>
            <w:gridSpan w:val="2"/>
            <w:vAlign w:val="center"/>
          </w:tcPr>
          <w:p w14:paraId="7ED41ECD">
            <w:pPr>
              <w:pStyle w:val="13"/>
            </w:pPr>
            <w:r>
              <w:t>25%</w:t>
            </w:r>
          </w:p>
        </w:tc>
        <w:tc>
          <w:tcPr>
            <w:tcW w:w="2835" w:type="dxa"/>
            <w:vAlign w:val="center"/>
          </w:tcPr>
          <w:p w14:paraId="38B70020">
            <w:pPr>
              <w:pStyle w:val="13"/>
            </w:pPr>
            <w:r>
              <w:t>50%</w:t>
            </w:r>
          </w:p>
        </w:tc>
        <w:tc>
          <w:tcPr>
            <w:tcW w:w="2551" w:type="dxa"/>
            <w:vAlign w:val="center"/>
          </w:tcPr>
          <w:p w14:paraId="7C6FBA3A">
            <w:pPr>
              <w:pStyle w:val="13"/>
            </w:pPr>
            <w:r>
              <w:t>75%</w:t>
            </w:r>
          </w:p>
        </w:tc>
        <w:tc>
          <w:tcPr>
            <w:tcW w:w="3544" w:type="dxa"/>
            <w:gridSpan w:val="2"/>
            <w:vAlign w:val="center"/>
          </w:tcPr>
          <w:p w14:paraId="5CE0E6D4">
            <w:pPr>
              <w:pStyle w:val="13"/>
            </w:pPr>
            <w:r>
              <w:t>100%</w:t>
            </w:r>
          </w:p>
        </w:tc>
      </w:tr>
      <w:tr w14:paraId="52FA7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60CDD">
            <w:pPr>
              <w:pStyle w:val="10"/>
            </w:pPr>
            <w:r>
              <w:t>绩效目标</w:t>
            </w:r>
          </w:p>
        </w:tc>
        <w:tc>
          <w:tcPr>
            <w:tcW w:w="14033" w:type="dxa"/>
            <w:gridSpan w:val="6"/>
            <w:vAlign w:val="center"/>
          </w:tcPr>
          <w:p w14:paraId="192365AE">
            <w:pPr>
              <w:pStyle w:val="12"/>
            </w:pPr>
            <w:r>
              <w:t>1.按季度分批次拨付公用经费资金，资金拨付率达到100%。</w:t>
            </w:r>
          </w:p>
          <w:p w14:paraId="0F3E0E48">
            <w:pPr>
              <w:pStyle w:val="12"/>
            </w:pPr>
            <w:r>
              <w:t>2.保障学校正常运转，完成各项教育教学活动和其他日常工作任务等方面的费用支出。</w:t>
            </w:r>
          </w:p>
        </w:tc>
      </w:tr>
    </w:tbl>
    <w:p w14:paraId="06A04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1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A5ABA">
            <w:pPr>
              <w:pStyle w:val="10"/>
            </w:pPr>
            <w:r>
              <w:t>一级指标</w:t>
            </w:r>
          </w:p>
        </w:tc>
        <w:tc>
          <w:tcPr>
            <w:tcW w:w="2268" w:type="dxa"/>
            <w:vAlign w:val="center"/>
          </w:tcPr>
          <w:p w14:paraId="3597D293">
            <w:pPr>
              <w:pStyle w:val="10"/>
            </w:pPr>
            <w:r>
              <w:t>二级指标</w:t>
            </w:r>
          </w:p>
        </w:tc>
        <w:tc>
          <w:tcPr>
            <w:tcW w:w="2835" w:type="dxa"/>
            <w:vAlign w:val="center"/>
          </w:tcPr>
          <w:p w14:paraId="3A4AD296">
            <w:pPr>
              <w:pStyle w:val="10"/>
            </w:pPr>
            <w:r>
              <w:t>三级指标</w:t>
            </w:r>
          </w:p>
        </w:tc>
        <w:tc>
          <w:tcPr>
            <w:tcW w:w="5386" w:type="dxa"/>
            <w:vAlign w:val="center"/>
          </w:tcPr>
          <w:p w14:paraId="4BD93EBE">
            <w:pPr>
              <w:pStyle w:val="10"/>
            </w:pPr>
            <w:r>
              <w:t>绩效指标描述</w:t>
            </w:r>
          </w:p>
        </w:tc>
        <w:tc>
          <w:tcPr>
            <w:tcW w:w="2268" w:type="dxa"/>
            <w:vAlign w:val="center"/>
          </w:tcPr>
          <w:p w14:paraId="443E3A82">
            <w:pPr>
              <w:pStyle w:val="10"/>
            </w:pPr>
            <w:r>
              <w:t>指标值</w:t>
            </w:r>
          </w:p>
        </w:tc>
        <w:tc>
          <w:tcPr>
            <w:tcW w:w="1276" w:type="dxa"/>
            <w:vAlign w:val="center"/>
          </w:tcPr>
          <w:p w14:paraId="57A87031">
            <w:pPr>
              <w:pStyle w:val="10"/>
            </w:pPr>
            <w:r>
              <w:t>指标值确定依据</w:t>
            </w:r>
          </w:p>
        </w:tc>
      </w:tr>
      <w:tr w14:paraId="657B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12D0A">
            <w:pPr>
              <w:pStyle w:val="13"/>
            </w:pPr>
            <w:r>
              <w:t>产出指标</w:t>
            </w:r>
          </w:p>
        </w:tc>
        <w:tc>
          <w:tcPr>
            <w:tcW w:w="2268" w:type="dxa"/>
            <w:vAlign w:val="center"/>
          </w:tcPr>
          <w:p w14:paraId="1E03D8E3">
            <w:pPr>
              <w:pStyle w:val="12"/>
            </w:pPr>
            <w:r>
              <w:t>数量指标</w:t>
            </w:r>
          </w:p>
        </w:tc>
        <w:tc>
          <w:tcPr>
            <w:tcW w:w="2835" w:type="dxa"/>
            <w:vAlign w:val="center"/>
          </w:tcPr>
          <w:p w14:paraId="6CA3BB13">
            <w:pPr>
              <w:pStyle w:val="12"/>
            </w:pPr>
            <w:r>
              <w:t>就读学生数</w:t>
            </w:r>
          </w:p>
        </w:tc>
        <w:tc>
          <w:tcPr>
            <w:tcW w:w="5386" w:type="dxa"/>
            <w:vAlign w:val="center"/>
          </w:tcPr>
          <w:p w14:paraId="7D289FD9">
            <w:pPr>
              <w:pStyle w:val="12"/>
            </w:pPr>
            <w:r>
              <w:t>辐射区域内适龄学生人数</w:t>
            </w:r>
          </w:p>
        </w:tc>
        <w:tc>
          <w:tcPr>
            <w:tcW w:w="2268" w:type="dxa"/>
            <w:vAlign w:val="center"/>
          </w:tcPr>
          <w:p w14:paraId="72D70620">
            <w:pPr>
              <w:pStyle w:val="12"/>
            </w:pPr>
            <w:r>
              <w:t>973人</w:t>
            </w:r>
          </w:p>
        </w:tc>
        <w:tc>
          <w:tcPr>
            <w:tcW w:w="1276" w:type="dxa"/>
            <w:vAlign w:val="center"/>
          </w:tcPr>
          <w:p w14:paraId="7A4BC2A2">
            <w:pPr>
              <w:pStyle w:val="12"/>
            </w:pPr>
            <w:r>
              <w:t>城乡义务教育公用经费管理办法</w:t>
            </w:r>
          </w:p>
        </w:tc>
      </w:tr>
      <w:tr w14:paraId="5C98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E063"/>
        </w:tc>
        <w:tc>
          <w:tcPr>
            <w:tcW w:w="2268" w:type="dxa"/>
            <w:vAlign w:val="center"/>
          </w:tcPr>
          <w:p w14:paraId="6FD1035A">
            <w:pPr>
              <w:pStyle w:val="12"/>
            </w:pPr>
            <w:r>
              <w:t>质量指标</w:t>
            </w:r>
          </w:p>
        </w:tc>
        <w:tc>
          <w:tcPr>
            <w:tcW w:w="2835" w:type="dxa"/>
            <w:vAlign w:val="center"/>
          </w:tcPr>
          <w:p w14:paraId="72E00522">
            <w:pPr>
              <w:pStyle w:val="12"/>
            </w:pPr>
            <w:r>
              <w:t>预算执行率</w:t>
            </w:r>
          </w:p>
        </w:tc>
        <w:tc>
          <w:tcPr>
            <w:tcW w:w="5386" w:type="dxa"/>
            <w:vAlign w:val="center"/>
          </w:tcPr>
          <w:p w14:paraId="48B6D144">
            <w:pPr>
              <w:pStyle w:val="12"/>
            </w:pPr>
            <w:r>
              <w:t>预算执行率</w:t>
            </w:r>
          </w:p>
        </w:tc>
        <w:tc>
          <w:tcPr>
            <w:tcW w:w="2268" w:type="dxa"/>
            <w:vAlign w:val="center"/>
          </w:tcPr>
          <w:p w14:paraId="39323D2F">
            <w:pPr>
              <w:pStyle w:val="12"/>
            </w:pPr>
            <w:r>
              <w:t>≥95%</w:t>
            </w:r>
          </w:p>
        </w:tc>
        <w:tc>
          <w:tcPr>
            <w:tcW w:w="1276" w:type="dxa"/>
            <w:vAlign w:val="center"/>
          </w:tcPr>
          <w:p w14:paraId="049986EF">
            <w:pPr>
              <w:pStyle w:val="12"/>
            </w:pPr>
            <w:r>
              <w:t>城乡义务教育公用经费管理办法</w:t>
            </w:r>
          </w:p>
        </w:tc>
      </w:tr>
      <w:tr w14:paraId="46A5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6F3F"/>
        </w:tc>
        <w:tc>
          <w:tcPr>
            <w:tcW w:w="2268" w:type="dxa"/>
            <w:vAlign w:val="center"/>
          </w:tcPr>
          <w:p w14:paraId="4DC494BD">
            <w:pPr>
              <w:pStyle w:val="12"/>
            </w:pPr>
            <w:r>
              <w:t>时效指标</w:t>
            </w:r>
          </w:p>
        </w:tc>
        <w:tc>
          <w:tcPr>
            <w:tcW w:w="2835" w:type="dxa"/>
            <w:vAlign w:val="center"/>
          </w:tcPr>
          <w:p w14:paraId="43EC3326">
            <w:pPr>
              <w:pStyle w:val="12"/>
            </w:pPr>
            <w:r>
              <w:t>义教经费支付完成率</w:t>
            </w:r>
          </w:p>
        </w:tc>
        <w:tc>
          <w:tcPr>
            <w:tcW w:w="5386" w:type="dxa"/>
            <w:vAlign w:val="center"/>
          </w:tcPr>
          <w:p w14:paraId="1CF16896">
            <w:pPr>
              <w:pStyle w:val="12"/>
            </w:pPr>
            <w:r>
              <w:t>按照序时进度完成资金支付</w:t>
            </w:r>
          </w:p>
        </w:tc>
        <w:tc>
          <w:tcPr>
            <w:tcW w:w="2268" w:type="dxa"/>
            <w:vAlign w:val="center"/>
          </w:tcPr>
          <w:p w14:paraId="61C7FB37">
            <w:pPr>
              <w:pStyle w:val="12"/>
            </w:pPr>
            <w:r>
              <w:t>100%</w:t>
            </w:r>
          </w:p>
        </w:tc>
        <w:tc>
          <w:tcPr>
            <w:tcW w:w="1276" w:type="dxa"/>
            <w:vAlign w:val="center"/>
          </w:tcPr>
          <w:p w14:paraId="7D653E85">
            <w:pPr>
              <w:pStyle w:val="12"/>
            </w:pPr>
            <w:r>
              <w:t>城乡义务教育公用经费管理办法</w:t>
            </w:r>
          </w:p>
        </w:tc>
      </w:tr>
      <w:tr w14:paraId="46AEE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00D8B"/>
        </w:tc>
        <w:tc>
          <w:tcPr>
            <w:tcW w:w="2268" w:type="dxa"/>
            <w:vAlign w:val="center"/>
          </w:tcPr>
          <w:p w14:paraId="05B8E656">
            <w:pPr>
              <w:pStyle w:val="12"/>
            </w:pPr>
            <w:r>
              <w:t>成本指标</w:t>
            </w:r>
          </w:p>
        </w:tc>
        <w:tc>
          <w:tcPr>
            <w:tcW w:w="2835" w:type="dxa"/>
            <w:vAlign w:val="center"/>
          </w:tcPr>
          <w:p w14:paraId="3E339C53">
            <w:pPr>
              <w:pStyle w:val="12"/>
            </w:pPr>
            <w:r>
              <w:t>生均拨款标准</w:t>
            </w:r>
          </w:p>
        </w:tc>
        <w:tc>
          <w:tcPr>
            <w:tcW w:w="5386" w:type="dxa"/>
            <w:vAlign w:val="center"/>
          </w:tcPr>
          <w:p w14:paraId="417AEBAB">
            <w:pPr>
              <w:pStyle w:val="12"/>
            </w:pPr>
            <w:r>
              <w:t>小学生公用经费生均公用经费基准定额为720元/年/生，取暖费120元/年/生，住宿生补助300元/年/生的标准，随班就读学生补助7000元/生/年</w:t>
            </w:r>
          </w:p>
        </w:tc>
        <w:tc>
          <w:tcPr>
            <w:tcW w:w="2268" w:type="dxa"/>
            <w:vAlign w:val="center"/>
          </w:tcPr>
          <w:p w14:paraId="6C3EF497">
            <w:pPr>
              <w:pStyle w:val="12"/>
            </w:pPr>
            <w:r>
              <w:t>840元</w:t>
            </w:r>
          </w:p>
        </w:tc>
        <w:tc>
          <w:tcPr>
            <w:tcW w:w="1276" w:type="dxa"/>
            <w:vAlign w:val="center"/>
          </w:tcPr>
          <w:p w14:paraId="7C822B6B">
            <w:pPr>
              <w:pStyle w:val="12"/>
            </w:pPr>
            <w:r>
              <w:t>城乡义务教育公用经费管理办法</w:t>
            </w:r>
          </w:p>
        </w:tc>
      </w:tr>
      <w:tr w14:paraId="6B86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83AD3">
            <w:pPr>
              <w:pStyle w:val="13"/>
            </w:pPr>
            <w:r>
              <w:t>效益指标</w:t>
            </w:r>
          </w:p>
        </w:tc>
        <w:tc>
          <w:tcPr>
            <w:tcW w:w="2268" w:type="dxa"/>
            <w:vAlign w:val="center"/>
          </w:tcPr>
          <w:p w14:paraId="695ADE97">
            <w:pPr>
              <w:pStyle w:val="12"/>
            </w:pPr>
            <w:r>
              <w:t>可持续影响指标</w:t>
            </w:r>
          </w:p>
        </w:tc>
        <w:tc>
          <w:tcPr>
            <w:tcW w:w="2835" w:type="dxa"/>
            <w:vAlign w:val="center"/>
          </w:tcPr>
          <w:p w14:paraId="0B379454">
            <w:pPr>
              <w:pStyle w:val="12"/>
            </w:pPr>
            <w:r>
              <w:t>学校运转得到提高</w:t>
            </w:r>
          </w:p>
        </w:tc>
        <w:tc>
          <w:tcPr>
            <w:tcW w:w="5386" w:type="dxa"/>
            <w:vAlign w:val="center"/>
          </w:tcPr>
          <w:p w14:paraId="4C925628">
            <w:pPr>
              <w:pStyle w:val="12"/>
            </w:pPr>
            <w:r>
              <w:t>学生受教育年限</w:t>
            </w:r>
          </w:p>
        </w:tc>
        <w:tc>
          <w:tcPr>
            <w:tcW w:w="2268" w:type="dxa"/>
            <w:vAlign w:val="center"/>
          </w:tcPr>
          <w:p w14:paraId="404E60B1">
            <w:pPr>
              <w:pStyle w:val="12"/>
            </w:pPr>
            <w:r>
              <w:t>6年</w:t>
            </w:r>
          </w:p>
        </w:tc>
        <w:tc>
          <w:tcPr>
            <w:tcW w:w="1276" w:type="dxa"/>
            <w:vAlign w:val="center"/>
          </w:tcPr>
          <w:p w14:paraId="4AC28744">
            <w:pPr>
              <w:pStyle w:val="12"/>
            </w:pPr>
            <w:r>
              <w:t>城乡义务教育公用经费管理办法</w:t>
            </w:r>
          </w:p>
        </w:tc>
      </w:tr>
      <w:tr w14:paraId="68F7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B38E8">
            <w:pPr>
              <w:pStyle w:val="13"/>
            </w:pPr>
            <w:r>
              <w:t>满意度指标</w:t>
            </w:r>
          </w:p>
        </w:tc>
        <w:tc>
          <w:tcPr>
            <w:tcW w:w="2268" w:type="dxa"/>
            <w:vAlign w:val="center"/>
          </w:tcPr>
          <w:p w14:paraId="66F66675">
            <w:pPr>
              <w:pStyle w:val="12"/>
            </w:pPr>
            <w:r>
              <w:t>服务对象满意度指标</w:t>
            </w:r>
          </w:p>
        </w:tc>
        <w:tc>
          <w:tcPr>
            <w:tcW w:w="2835" w:type="dxa"/>
            <w:vAlign w:val="center"/>
          </w:tcPr>
          <w:p w14:paraId="15F8044B">
            <w:pPr>
              <w:pStyle w:val="12"/>
            </w:pPr>
            <w:r>
              <w:t>服务对象满意度</w:t>
            </w:r>
          </w:p>
        </w:tc>
        <w:tc>
          <w:tcPr>
            <w:tcW w:w="5386" w:type="dxa"/>
            <w:vAlign w:val="center"/>
          </w:tcPr>
          <w:p w14:paraId="2976154C">
            <w:pPr>
              <w:pStyle w:val="12"/>
            </w:pPr>
            <w:r>
              <w:t>学校老师和学生满意度</w:t>
            </w:r>
          </w:p>
        </w:tc>
        <w:tc>
          <w:tcPr>
            <w:tcW w:w="2268" w:type="dxa"/>
            <w:vAlign w:val="center"/>
          </w:tcPr>
          <w:p w14:paraId="40BD39C4">
            <w:pPr>
              <w:pStyle w:val="12"/>
            </w:pPr>
            <w:r>
              <w:t>≥95%</w:t>
            </w:r>
          </w:p>
        </w:tc>
        <w:tc>
          <w:tcPr>
            <w:tcW w:w="1276" w:type="dxa"/>
            <w:vAlign w:val="center"/>
          </w:tcPr>
          <w:p w14:paraId="6843814B">
            <w:pPr>
              <w:pStyle w:val="12"/>
            </w:pPr>
            <w:r>
              <w:t>群众测评</w:t>
            </w:r>
          </w:p>
        </w:tc>
      </w:tr>
    </w:tbl>
    <w:p w14:paraId="58D4F2BA">
      <w:pPr>
        <w:sectPr>
          <w:pgSz w:w="16840" w:h="11900" w:orient="landscape"/>
          <w:pgMar w:top="1361" w:right="1020" w:bottom="1134" w:left="1020" w:header="720" w:footer="720" w:gutter="0"/>
          <w:cols w:space="720" w:num="1"/>
        </w:sectPr>
      </w:pPr>
    </w:p>
    <w:p w14:paraId="274DDFDC">
      <w:pPr>
        <w:spacing w:before="0" w:after="0"/>
        <w:ind w:firstLine="560"/>
        <w:jc w:val="left"/>
        <w:outlineLvl w:val="9"/>
      </w:pPr>
      <w:r>
        <w:rPr>
          <w:rFonts w:ascii="方正仿宋_GBK" w:hAnsi="方正仿宋_GBK" w:eastAsia="方正仿宋_GBK" w:cs="方正仿宋_GBK"/>
          <w:b/>
          <w:color w:val="000000"/>
          <w:sz w:val="28"/>
        </w:rPr>
        <w:t>19、冀财教[2025]148号/支持义务教育发展/山口校区第四实验小学公用经费绩效目标表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60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E38C2">
            <w:pPr>
              <w:pStyle w:val="11"/>
            </w:pPr>
            <w:r>
              <w:t>单位：万元</w:t>
            </w:r>
          </w:p>
        </w:tc>
      </w:tr>
      <w:tr w14:paraId="56455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2BD11">
            <w:pPr>
              <w:pStyle w:val="10"/>
            </w:pPr>
            <w:r>
              <w:t>项目编码</w:t>
            </w:r>
          </w:p>
        </w:tc>
        <w:tc>
          <w:tcPr>
            <w:tcW w:w="5103" w:type="dxa"/>
            <w:gridSpan w:val="2"/>
            <w:vAlign w:val="center"/>
          </w:tcPr>
          <w:p w14:paraId="7FDAF438">
            <w:pPr>
              <w:pStyle w:val="12"/>
            </w:pPr>
            <w:r>
              <w:t>13052526P00000210131K</w:t>
            </w:r>
          </w:p>
        </w:tc>
        <w:tc>
          <w:tcPr>
            <w:tcW w:w="2835" w:type="dxa"/>
            <w:vAlign w:val="center"/>
          </w:tcPr>
          <w:p w14:paraId="15EC10F9">
            <w:pPr>
              <w:pStyle w:val="10"/>
            </w:pPr>
            <w:r>
              <w:t>项目名称</w:t>
            </w:r>
          </w:p>
        </w:tc>
        <w:tc>
          <w:tcPr>
            <w:tcW w:w="6095" w:type="dxa"/>
            <w:gridSpan w:val="3"/>
            <w:vAlign w:val="center"/>
          </w:tcPr>
          <w:p w14:paraId="0949983F">
            <w:pPr>
              <w:pStyle w:val="12"/>
            </w:pPr>
            <w:r>
              <w:t>冀财教[2025]148号/支持义务教育发展/山口校区第四实验小学公用经费</w:t>
            </w:r>
          </w:p>
        </w:tc>
      </w:tr>
      <w:tr w14:paraId="66159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05B64">
            <w:pPr>
              <w:pStyle w:val="10"/>
            </w:pPr>
            <w:r>
              <w:t>预算规模及资金用途</w:t>
            </w:r>
          </w:p>
        </w:tc>
        <w:tc>
          <w:tcPr>
            <w:tcW w:w="2268" w:type="dxa"/>
            <w:vAlign w:val="center"/>
          </w:tcPr>
          <w:p w14:paraId="23EB5863">
            <w:pPr>
              <w:pStyle w:val="10"/>
            </w:pPr>
            <w:r>
              <w:t>预算数</w:t>
            </w:r>
          </w:p>
        </w:tc>
        <w:tc>
          <w:tcPr>
            <w:tcW w:w="2835" w:type="dxa"/>
            <w:vAlign w:val="center"/>
          </w:tcPr>
          <w:p w14:paraId="392D5D80">
            <w:pPr>
              <w:pStyle w:val="12"/>
            </w:pPr>
            <w:r>
              <w:t>4.00</w:t>
            </w:r>
          </w:p>
        </w:tc>
        <w:tc>
          <w:tcPr>
            <w:tcW w:w="2835" w:type="dxa"/>
            <w:vAlign w:val="center"/>
          </w:tcPr>
          <w:p w14:paraId="61BB7924">
            <w:pPr>
              <w:pStyle w:val="10"/>
            </w:pPr>
            <w:r>
              <w:t>其中：财政    资金</w:t>
            </w:r>
          </w:p>
        </w:tc>
        <w:tc>
          <w:tcPr>
            <w:tcW w:w="2551" w:type="dxa"/>
            <w:vAlign w:val="center"/>
          </w:tcPr>
          <w:p w14:paraId="68B2AC4F">
            <w:pPr>
              <w:pStyle w:val="12"/>
            </w:pPr>
            <w:r>
              <w:t>4.00</w:t>
            </w:r>
          </w:p>
        </w:tc>
        <w:tc>
          <w:tcPr>
            <w:tcW w:w="2268" w:type="dxa"/>
            <w:vAlign w:val="center"/>
          </w:tcPr>
          <w:p w14:paraId="6947BF40">
            <w:pPr>
              <w:pStyle w:val="10"/>
            </w:pPr>
            <w:r>
              <w:t>其他资金</w:t>
            </w:r>
          </w:p>
        </w:tc>
        <w:tc>
          <w:tcPr>
            <w:tcW w:w="1276" w:type="dxa"/>
            <w:vAlign w:val="center"/>
          </w:tcPr>
          <w:p w14:paraId="78EB8A8E">
            <w:pPr>
              <w:pStyle w:val="12"/>
            </w:pPr>
            <w:r>
              <w:t xml:space="preserve"> </w:t>
            </w:r>
          </w:p>
        </w:tc>
      </w:tr>
      <w:tr w14:paraId="3DBAB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61CFC"/>
        </w:tc>
        <w:tc>
          <w:tcPr>
            <w:tcW w:w="14033" w:type="dxa"/>
            <w:gridSpan w:val="6"/>
            <w:vAlign w:val="center"/>
          </w:tcPr>
          <w:p w14:paraId="3D11F986">
            <w:pPr>
              <w:pStyle w:val="12"/>
            </w:pPr>
            <w:r>
              <w:t>改善办学条件，提升学校形象，保障教学质量，创造良好的校园环境。</w:t>
            </w:r>
          </w:p>
        </w:tc>
      </w:tr>
      <w:tr w14:paraId="31452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81B00">
            <w:pPr>
              <w:pStyle w:val="10"/>
            </w:pPr>
            <w:r>
              <w:t>资金支出计划（%）</w:t>
            </w:r>
          </w:p>
        </w:tc>
        <w:tc>
          <w:tcPr>
            <w:tcW w:w="5103" w:type="dxa"/>
            <w:gridSpan w:val="2"/>
            <w:vAlign w:val="center"/>
          </w:tcPr>
          <w:p w14:paraId="47E75854">
            <w:pPr>
              <w:pStyle w:val="10"/>
            </w:pPr>
            <w:r>
              <w:t>3月底</w:t>
            </w:r>
          </w:p>
        </w:tc>
        <w:tc>
          <w:tcPr>
            <w:tcW w:w="2835" w:type="dxa"/>
            <w:vAlign w:val="center"/>
          </w:tcPr>
          <w:p w14:paraId="3475C420">
            <w:pPr>
              <w:pStyle w:val="10"/>
            </w:pPr>
            <w:r>
              <w:t>6月底</w:t>
            </w:r>
          </w:p>
        </w:tc>
        <w:tc>
          <w:tcPr>
            <w:tcW w:w="2551" w:type="dxa"/>
            <w:vAlign w:val="center"/>
          </w:tcPr>
          <w:p w14:paraId="09FC2910">
            <w:pPr>
              <w:pStyle w:val="10"/>
            </w:pPr>
            <w:r>
              <w:t>10月底</w:t>
            </w:r>
          </w:p>
        </w:tc>
        <w:tc>
          <w:tcPr>
            <w:tcW w:w="3544" w:type="dxa"/>
            <w:gridSpan w:val="2"/>
            <w:vAlign w:val="center"/>
          </w:tcPr>
          <w:p w14:paraId="59F4CBA9">
            <w:pPr>
              <w:pStyle w:val="10"/>
            </w:pPr>
            <w:r>
              <w:t>12月底</w:t>
            </w:r>
          </w:p>
        </w:tc>
      </w:tr>
      <w:tr w14:paraId="2B4FF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B327C"/>
        </w:tc>
        <w:tc>
          <w:tcPr>
            <w:tcW w:w="5103" w:type="dxa"/>
            <w:gridSpan w:val="2"/>
            <w:vAlign w:val="center"/>
          </w:tcPr>
          <w:p w14:paraId="4D612773">
            <w:pPr>
              <w:pStyle w:val="13"/>
            </w:pPr>
            <w:r>
              <w:t xml:space="preserve"> </w:t>
            </w:r>
          </w:p>
        </w:tc>
        <w:tc>
          <w:tcPr>
            <w:tcW w:w="2835" w:type="dxa"/>
            <w:vAlign w:val="center"/>
          </w:tcPr>
          <w:p w14:paraId="74CBD51A">
            <w:pPr>
              <w:pStyle w:val="13"/>
            </w:pPr>
            <w:r>
              <w:t xml:space="preserve"> </w:t>
            </w:r>
          </w:p>
        </w:tc>
        <w:tc>
          <w:tcPr>
            <w:tcW w:w="2551" w:type="dxa"/>
            <w:vAlign w:val="center"/>
          </w:tcPr>
          <w:p w14:paraId="0630EFDA">
            <w:pPr>
              <w:pStyle w:val="13"/>
            </w:pPr>
            <w:r>
              <w:t>100%</w:t>
            </w:r>
          </w:p>
        </w:tc>
        <w:tc>
          <w:tcPr>
            <w:tcW w:w="3544" w:type="dxa"/>
            <w:gridSpan w:val="2"/>
            <w:vAlign w:val="center"/>
          </w:tcPr>
          <w:p w14:paraId="779EA3E6">
            <w:pPr>
              <w:pStyle w:val="13"/>
            </w:pPr>
            <w:r>
              <w:t>100%</w:t>
            </w:r>
          </w:p>
        </w:tc>
      </w:tr>
      <w:tr w14:paraId="56A48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A22B5">
            <w:pPr>
              <w:pStyle w:val="10"/>
            </w:pPr>
            <w:r>
              <w:t>绩效目标</w:t>
            </w:r>
          </w:p>
        </w:tc>
        <w:tc>
          <w:tcPr>
            <w:tcW w:w="14033" w:type="dxa"/>
            <w:gridSpan w:val="6"/>
            <w:vAlign w:val="center"/>
          </w:tcPr>
          <w:p w14:paraId="6CDC366C">
            <w:pPr>
              <w:pStyle w:val="12"/>
            </w:pPr>
            <w:r>
              <w:t>1.项目需资金4万元，资金拨付率达到100%。</w:t>
            </w:r>
          </w:p>
          <w:p w14:paraId="1C464F7C">
            <w:pPr>
              <w:pStyle w:val="12"/>
            </w:pPr>
            <w:r>
              <w:t>2.改善办学条件，提升学校形象，保障教学质量，创造良好的校园环境。</w:t>
            </w:r>
          </w:p>
        </w:tc>
      </w:tr>
    </w:tbl>
    <w:p w14:paraId="3B90EC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1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E8743">
            <w:pPr>
              <w:pStyle w:val="10"/>
            </w:pPr>
            <w:r>
              <w:t>一级指标</w:t>
            </w:r>
          </w:p>
        </w:tc>
        <w:tc>
          <w:tcPr>
            <w:tcW w:w="2268" w:type="dxa"/>
            <w:vAlign w:val="center"/>
          </w:tcPr>
          <w:p w14:paraId="56990065">
            <w:pPr>
              <w:pStyle w:val="10"/>
            </w:pPr>
            <w:r>
              <w:t>二级指标</w:t>
            </w:r>
          </w:p>
        </w:tc>
        <w:tc>
          <w:tcPr>
            <w:tcW w:w="2835" w:type="dxa"/>
            <w:vAlign w:val="center"/>
          </w:tcPr>
          <w:p w14:paraId="7AB15D6D">
            <w:pPr>
              <w:pStyle w:val="10"/>
            </w:pPr>
            <w:r>
              <w:t>三级指标</w:t>
            </w:r>
          </w:p>
        </w:tc>
        <w:tc>
          <w:tcPr>
            <w:tcW w:w="5386" w:type="dxa"/>
            <w:vAlign w:val="center"/>
          </w:tcPr>
          <w:p w14:paraId="5862BEAC">
            <w:pPr>
              <w:pStyle w:val="10"/>
            </w:pPr>
            <w:r>
              <w:t>绩效指标描述</w:t>
            </w:r>
          </w:p>
        </w:tc>
        <w:tc>
          <w:tcPr>
            <w:tcW w:w="2268" w:type="dxa"/>
            <w:vAlign w:val="center"/>
          </w:tcPr>
          <w:p w14:paraId="69C9A003">
            <w:pPr>
              <w:pStyle w:val="10"/>
            </w:pPr>
            <w:r>
              <w:t>指标值</w:t>
            </w:r>
          </w:p>
        </w:tc>
        <w:tc>
          <w:tcPr>
            <w:tcW w:w="1276" w:type="dxa"/>
            <w:vAlign w:val="center"/>
          </w:tcPr>
          <w:p w14:paraId="6676A254">
            <w:pPr>
              <w:pStyle w:val="10"/>
            </w:pPr>
            <w:r>
              <w:t>指标值确定依据</w:t>
            </w:r>
          </w:p>
        </w:tc>
      </w:tr>
      <w:tr w14:paraId="69EE2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B7004">
            <w:pPr>
              <w:pStyle w:val="13"/>
            </w:pPr>
            <w:r>
              <w:t>产出指标</w:t>
            </w:r>
          </w:p>
        </w:tc>
        <w:tc>
          <w:tcPr>
            <w:tcW w:w="2268" w:type="dxa"/>
            <w:vAlign w:val="center"/>
          </w:tcPr>
          <w:p w14:paraId="5C4ABEC2">
            <w:pPr>
              <w:pStyle w:val="12"/>
            </w:pPr>
            <w:r>
              <w:t>数量指标</w:t>
            </w:r>
          </w:p>
        </w:tc>
        <w:tc>
          <w:tcPr>
            <w:tcW w:w="2835" w:type="dxa"/>
            <w:vAlign w:val="center"/>
          </w:tcPr>
          <w:p w14:paraId="59B00878">
            <w:pPr>
              <w:pStyle w:val="12"/>
            </w:pPr>
            <w:r>
              <w:t>山口校区第四实验小学公用经费</w:t>
            </w:r>
          </w:p>
        </w:tc>
        <w:tc>
          <w:tcPr>
            <w:tcW w:w="5386" w:type="dxa"/>
            <w:vAlign w:val="center"/>
          </w:tcPr>
          <w:p w14:paraId="55541499">
            <w:pPr>
              <w:pStyle w:val="12"/>
            </w:pPr>
            <w:r>
              <w:t>购置智慧黑板2台</w:t>
            </w:r>
          </w:p>
        </w:tc>
        <w:tc>
          <w:tcPr>
            <w:tcW w:w="2268" w:type="dxa"/>
            <w:vAlign w:val="center"/>
          </w:tcPr>
          <w:p w14:paraId="50B7C0CB">
            <w:pPr>
              <w:pStyle w:val="12"/>
            </w:pPr>
            <w:r>
              <w:t>1项</w:t>
            </w:r>
          </w:p>
        </w:tc>
        <w:tc>
          <w:tcPr>
            <w:tcW w:w="1276" w:type="dxa"/>
            <w:vAlign w:val="center"/>
          </w:tcPr>
          <w:p w14:paraId="53BBBA34">
            <w:pPr>
              <w:pStyle w:val="12"/>
            </w:pPr>
            <w:r>
              <w:t>项目规划</w:t>
            </w:r>
          </w:p>
        </w:tc>
      </w:tr>
      <w:tr w14:paraId="7EDA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48A1A"/>
        </w:tc>
        <w:tc>
          <w:tcPr>
            <w:tcW w:w="2268" w:type="dxa"/>
            <w:vAlign w:val="center"/>
          </w:tcPr>
          <w:p w14:paraId="72318ED7">
            <w:pPr>
              <w:pStyle w:val="12"/>
            </w:pPr>
            <w:r>
              <w:t>质量指标</w:t>
            </w:r>
          </w:p>
        </w:tc>
        <w:tc>
          <w:tcPr>
            <w:tcW w:w="2835" w:type="dxa"/>
            <w:vAlign w:val="center"/>
          </w:tcPr>
          <w:p w14:paraId="489D0C67">
            <w:pPr>
              <w:pStyle w:val="12"/>
            </w:pPr>
            <w:r>
              <w:t>工程实施验收合格率</w:t>
            </w:r>
          </w:p>
        </w:tc>
        <w:tc>
          <w:tcPr>
            <w:tcW w:w="5386" w:type="dxa"/>
            <w:vAlign w:val="center"/>
          </w:tcPr>
          <w:p w14:paraId="489E8086">
            <w:pPr>
              <w:pStyle w:val="12"/>
            </w:pPr>
            <w:r>
              <w:t>申报程序的合规，项目实施及资金使用符合项目规划</w:t>
            </w:r>
          </w:p>
        </w:tc>
        <w:tc>
          <w:tcPr>
            <w:tcW w:w="2268" w:type="dxa"/>
            <w:vAlign w:val="center"/>
          </w:tcPr>
          <w:p w14:paraId="6E5E2D84">
            <w:pPr>
              <w:pStyle w:val="12"/>
            </w:pPr>
            <w:r>
              <w:t>100%</w:t>
            </w:r>
          </w:p>
        </w:tc>
        <w:tc>
          <w:tcPr>
            <w:tcW w:w="1276" w:type="dxa"/>
            <w:vAlign w:val="center"/>
          </w:tcPr>
          <w:p w14:paraId="72B687AC">
            <w:pPr>
              <w:pStyle w:val="12"/>
            </w:pPr>
            <w:r>
              <w:t>项目规划</w:t>
            </w:r>
          </w:p>
        </w:tc>
      </w:tr>
      <w:tr w14:paraId="106F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F5F95"/>
        </w:tc>
        <w:tc>
          <w:tcPr>
            <w:tcW w:w="2268" w:type="dxa"/>
            <w:vAlign w:val="center"/>
          </w:tcPr>
          <w:p w14:paraId="3ACAF6CB">
            <w:pPr>
              <w:pStyle w:val="12"/>
            </w:pPr>
            <w:r>
              <w:t>时效指标</w:t>
            </w:r>
          </w:p>
        </w:tc>
        <w:tc>
          <w:tcPr>
            <w:tcW w:w="2835" w:type="dxa"/>
            <w:vAlign w:val="center"/>
          </w:tcPr>
          <w:p w14:paraId="577D952C">
            <w:pPr>
              <w:pStyle w:val="12"/>
            </w:pPr>
            <w:r>
              <w:t>资金支付率</w:t>
            </w:r>
          </w:p>
        </w:tc>
        <w:tc>
          <w:tcPr>
            <w:tcW w:w="5386" w:type="dxa"/>
            <w:vAlign w:val="center"/>
          </w:tcPr>
          <w:p w14:paraId="58F5D4A0">
            <w:pPr>
              <w:pStyle w:val="12"/>
            </w:pPr>
            <w:r>
              <w:t>按照序时进度完成资金支付</w:t>
            </w:r>
          </w:p>
        </w:tc>
        <w:tc>
          <w:tcPr>
            <w:tcW w:w="2268" w:type="dxa"/>
            <w:vAlign w:val="center"/>
          </w:tcPr>
          <w:p w14:paraId="195C2068">
            <w:pPr>
              <w:pStyle w:val="12"/>
            </w:pPr>
            <w:r>
              <w:t>100%</w:t>
            </w:r>
          </w:p>
        </w:tc>
        <w:tc>
          <w:tcPr>
            <w:tcW w:w="1276" w:type="dxa"/>
            <w:vAlign w:val="center"/>
          </w:tcPr>
          <w:p w14:paraId="55669286">
            <w:pPr>
              <w:pStyle w:val="12"/>
            </w:pPr>
            <w:r>
              <w:t>项目规划</w:t>
            </w:r>
          </w:p>
        </w:tc>
      </w:tr>
      <w:tr w14:paraId="1990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F1D4C"/>
        </w:tc>
        <w:tc>
          <w:tcPr>
            <w:tcW w:w="2268" w:type="dxa"/>
            <w:vAlign w:val="center"/>
          </w:tcPr>
          <w:p w14:paraId="1815293F">
            <w:pPr>
              <w:pStyle w:val="12"/>
            </w:pPr>
            <w:r>
              <w:t>成本指标</w:t>
            </w:r>
          </w:p>
        </w:tc>
        <w:tc>
          <w:tcPr>
            <w:tcW w:w="2835" w:type="dxa"/>
            <w:vAlign w:val="center"/>
          </w:tcPr>
          <w:p w14:paraId="7DA6BB9F">
            <w:pPr>
              <w:pStyle w:val="12"/>
            </w:pPr>
            <w:r>
              <w:t>项目成本控制情况</w:t>
            </w:r>
          </w:p>
        </w:tc>
        <w:tc>
          <w:tcPr>
            <w:tcW w:w="5386" w:type="dxa"/>
            <w:vAlign w:val="center"/>
          </w:tcPr>
          <w:p w14:paraId="66B17A10">
            <w:pPr>
              <w:pStyle w:val="12"/>
            </w:pPr>
            <w:r>
              <w:t>严格按照招标价格及审计额进行</w:t>
            </w:r>
          </w:p>
        </w:tc>
        <w:tc>
          <w:tcPr>
            <w:tcW w:w="2268" w:type="dxa"/>
            <w:vAlign w:val="center"/>
          </w:tcPr>
          <w:p w14:paraId="3C0B0659">
            <w:pPr>
              <w:pStyle w:val="12"/>
            </w:pPr>
            <w:r>
              <w:t>4万元</w:t>
            </w:r>
          </w:p>
        </w:tc>
        <w:tc>
          <w:tcPr>
            <w:tcW w:w="1276" w:type="dxa"/>
            <w:vAlign w:val="center"/>
          </w:tcPr>
          <w:p w14:paraId="3EFEB827">
            <w:pPr>
              <w:pStyle w:val="12"/>
            </w:pPr>
            <w:r>
              <w:t>项目规划</w:t>
            </w:r>
          </w:p>
        </w:tc>
      </w:tr>
      <w:tr w14:paraId="37EE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070E7">
            <w:pPr>
              <w:pStyle w:val="13"/>
            </w:pPr>
            <w:r>
              <w:t>效益指标</w:t>
            </w:r>
          </w:p>
        </w:tc>
        <w:tc>
          <w:tcPr>
            <w:tcW w:w="2268" w:type="dxa"/>
            <w:vAlign w:val="center"/>
          </w:tcPr>
          <w:p w14:paraId="36D406CB">
            <w:pPr>
              <w:pStyle w:val="12"/>
            </w:pPr>
            <w:r>
              <w:t>可持续影响指标</w:t>
            </w:r>
          </w:p>
        </w:tc>
        <w:tc>
          <w:tcPr>
            <w:tcW w:w="2835" w:type="dxa"/>
            <w:vAlign w:val="center"/>
          </w:tcPr>
          <w:p w14:paraId="6482E1D8">
            <w:pPr>
              <w:pStyle w:val="12"/>
            </w:pPr>
            <w:r>
              <w:t>学校办学环境提升</w:t>
            </w:r>
          </w:p>
        </w:tc>
        <w:tc>
          <w:tcPr>
            <w:tcW w:w="5386" w:type="dxa"/>
            <w:vAlign w:val="center"/>
          </w:tcPr>
          <w:p w14:paraId="4D2936F4">
            <w:pPr>
              <w:pStyle w:val="12"/>
            </w:pPr>
            <w:r>
              <w:t>学校教学环境提升优化率</w:t>
            </w:r>
          </w:p>
        </w:tc>
        <w:tc>
          <w:tcPr>
            <w:tcW w:w="2268" w:type="dxa"/>
            <w:vAlign w:val="center"/>
          </w:tcPr>
          <w:p w14:paraId="579EBF46">
            <w:pPr>
              <w:pStyle w:val="12"/>
            </w:pPr>
            <w:r>
              <w:t>≥98%</w:t>
            </w:r>
          </w:p>
        </w:tc>
        <w:tc>
          <w:tcPr>
            <w:tcW w:w="1276" w:type="dxa"/>
            <w:vAlign w:val="center"/>
          </w:tcPr>
          <w:p w14:paraId="289DAD97">
            <w:pPr>
              <w:pStyle w:val="12"/>
            </w:pPr>
            <w:r>
              <w:t>项目规划</w:t>
            </w:r>
          </w:p>
        </w:tc>
      </w:tr>
      <w:tr w14:paraId="6F64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3773D">
            <w:pPr>
              <w:pStyle w:val="13"/>
            </w:pPr>
            <w:r>
              <w:t>满意度指标</w:t>
            </w:r>
          </w:p>
        </w:tc>
        <w:tc>
          <w:tcPr>
            <w:tcW w:w="2268" w:type="dxa"/>
            <w:vAlign w:val="center"/>
          </w:tcPr>
          <w:p w14:paraId="53E8D310">
            <w:pPr>
              <w:pStyle w:val="12"/>
            </w:pPr>
            <w:r>
              <w:t>服务对象满意度指标</w:t>
            </w:r>
          </w:p>
        </w:tc>
        <w:tc>
          <w:tcPr>
            <w:tcW w:w="2835" w:type="dxa"/>
            <w:vAlign w:val="center"/>
          </w:tcPr>
          <w:p w14:paraId="0BCCF4C2">
            <w:pPr>
              <w:pStyle w:val="12"/>
            </w:pPr>
            <w:r>
              <w:t>受益学生家长及调查满意度</w:t>
            </w:r>
          </w:p>
        </w:tc>
        <w:tc>
          <w:tcPr>
            <w:tcW w:w="5386" w:type="dxa"/>
            <w:vAlign w:val="center"/>
          </w:tcPr>
          <w:p w14:paraId="234A6977">
            <w:pPr>
              <w:pStyle w:val="12"/>
            </w:pPr>
            <w:r>
              <w:t>学生、教师及家长对学校教学环境满意度情况</w:t>
            </w:r>
          </w:p>
        </w:tc>
        <w:tc>
          <w:tcPr>
            <w:tcW w:w="2268" w:type="dxa"/>
            <w:vAlign w:val="center"/>
          </w:tcPr>
          <w:p w14:paraId="1CD0FFF1">
            <w:pPr>
              <w:pStyle w:val="12"/>
            </w:pPr>
            <w:r>
              <w:t>≥95%</w:t>
            </w:r>
          </w:p>
        </w:tc>
        <w:tc>
          <w:tcPr>
            <w:tcW w:w="1276" w:type="dxa"/>
            <w:vAlign w:val="center"/>
          </w:tcPr>
          <w:p w14:paraId="58C2C5D8">
            <w:pPr>
              <w:pStyle w:val="12"/>
            </w:pPr>
            <w:r>
              <w:t>项目规划</w:t>
            </w:r>
          </w:p>
        </w:tc>
      </w:tr>
    </w:tbl>
    <w:p w14:paraId="0AC412B7">
      <w:pPr>
        <w:sectPr>
          <w:pgSz w:w="16840" w:h="11900" w:orient="landscape"/>
          <w:pgMar w:top="1361" w:right="1020" w:bottom="1134" w:left="1020" w:header="720" w:footer="720" w:gutter="0"/>
          <w:cols w:space="720" w:num="1"/>
        </w:sectPr>
      </w:pPr>
    </w:p>
    <w:p w14:paraId="25B65288">
      <w:pPr>
        <w:spacing w:before="0" w:after="0"/>
        <w:ind w:firstLine="560"/>
        <w:jc w:val="left"/>
        <w:outlineLvl w:val="9"/>
      </w:pPr>
      <w:r>
        <w:rPr>
          <w:rFonts w:ascii="方正仿宋_GBK" w:hAnsi="方正仿宋_GBK" w:eastAsia="方正仿宋_GBK" w:cs="方正仿宋_GBK"/>
          <w:b/>
          <w:color w:val="000000"/>
          <w:sz w:val="28"/>
        </w:rPr>
        <w:t>20、冀财教[2025]148号/支持义务教育发展/山口校区水饭小学空调购置绩效目标表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7D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15D59">
            <w:pPr>
              <w:pStyle w:val="11"/>
            </w:pPr>
            <w:r>
              <w:t>单位：万元</w:t>
            </w:r>
          </w:p>
        </w:tc>
      </w:tr>
      <w:tr w14:paraId="38564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8FED6">
            <w:pPr>
              <w:pStyle w:val="10"/>
            </w:pPr>
            <w:r>
              <w:t>项目编码</w:t>
            </w:r>
          </w:p>
        </w:tc>
        <w:tc>
          <w:tcPr>
            <w:tcW w:w="5103" w:type="dxa"/>
            <w:gridSpan w:val="2"/>
            <w:vAlign w:val="center"/>
          </w:tcPr>
          <w:p w14:paraId="424965DA">
            <w:pPr>
              <w:pStyle w:val="12"/>
            </w:pPr>
            <w:r>
              <w:t>13052526P000002101300</w:t>
            </w:r>
          </w:p>
        </w:tc>
        <w:tc>
          <w:tcPr>
            <w:tcW w:w="2835" w:type="dxa"/>
            <w:vAlign w:val="center"/>
          </w:tcPr>
          <w:p w14:paraId="6216BCEB">
            <w:pPr>
              <w:pStyle w:val="10"/>
            </w:pPr>
            <w:r>
              <w:t>项目名称</w:t>
            </w:r>
          </w:p>
        </w:tc>
        <w:tc>
          <w:tcPr>
            <w:tcW w:w="6095" w:type="dxa"/>
            <w:gridSpan w:val="3"/>
            <w:vAlign w:val="center"/>
          </w:tcPr>
          <w:p w14:paraId="28E59D76">
            <w:pPr>
              <w:pStyle w:val="12"/>
            </w:pPr>
            <w:r>
              <w:t>冀财教[2025]148号/支持义务教育发展/山口校区水饭小学空调购置</w:t>
            </w:r>
          </w:p>
        </w:tc>
      </w:tr>
      <w:tr w14:paraId="391AC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FD8E5">
            <w:pPr>
              <w:pStyle w:val="10"/>
            </w:pPr>
            <w:r>
              <w:t>预算规模及资金用途</w:t>
            </w:r>
          </w:p>
        </w:tc>
        <w:tc>
          <w:tcPr>
            <w:tcW w:w="2268" w:type="dxa"/>
            <w:vAlign w:val="center"/>
          </w:tcPr>
          <w:p w14:paraId="6C1AB3DC">
            <w:pPr>
              <w:pStyle w:val="10"/>
            </w:pPr>
            <w:r>
              <w:t>预算数</w:t>
            </w:r>
          </w:p>
        </w:tc>
        <w:tc>
          <w:tcPr>
            <w:tcW w:w="2835" w:type="dxa"/>
            <w:vAlign w:val="center"/>
          </w:tcPr>
          <w:p w14:paraId="5B596D07">
            <w:pPr>
              <w:pStyle w:val="12"/>
            </w:pPr>
            <w:r>
              <w:t>16.50</w:t>
            </w:r>
          </w:p>
        </w:tc>
        <w:tc>
          <w:tcPr>
            <w:tcW w:w="2835" w:type="dxa"/>
            <w:vAlign w:val="center"/>
          </w:tcPr>
          <w:p w14:paraId="71D52767">
            <w:pPr>
              <w:pStyle w:val="10"/>
            </w:pPr>
            <w:r>
              <w:t>其中：财政    资金</w:t>
            </w:r>
          </w:p>
        </w:tc>
        <w:tc>
          <w:tcPr>
            <w:tcW w:w="2551" w:type="dxa"/>
            <w:vAlign w:val="center"/>
          </w:tcPr>
          <w:p w14:paraId="65F7337D">
            <w:pPr>
              <w:pStyle w:val="12"/>
            </w:pPr>
            <w:r>
              <w:t>16.50</w:t>
            </w:r>
          </w:p>
        </w:tc>
        <w:tc>
          <w:tcPr>
            <w:tcW w:w="2268" w:type="dxa"/>
            <w:vAlign w:val="center"/>
          </w:tcPr>
          <w:p w14:paraId="694CF848">
            <w:pPr>
              <w:pStyle w:val="10"/>
            </w:pPr>
            <w:r>
              <w:t>其他资金</w:t>
            </w:r>
          </w:p>
        </w:tc>
        <w:tc>
          <w:tcPr>
            <w:tcW w:w="1276" w:type="dxa"/>
            <w:vAlign w:val="center"/>
          </w:tcPr>
          <w:p w14:paraId="082E11C7">
            <w:pPr>
              <w:pStyle w:val="12"/>
            </w:pPr>
            <w:r>
              <w:t xml:space="preserve"> </w:t>
            </w:r>
          </w:p>
        </w:tc>
      </w:tr>
      <w:tr w14:paraId="0CAF3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C4190"/>
        </w:tc>
        <w:tc>
          <w:tcPr>
            <w:tcW w:w="14033" w:type="dxa"/>
            <w:gridSpan w:val="6"/>
            <w:vAlign w:val="center"/>
          </w:tcPr>
          <w:p w14:paraId="4B900234">
            <w:pPr>
              <w:pStyle w:val="12"/>
            </w:pPr>
            <w:r>
              <w:t>改善办学条件，提升学校形象，保障教学质量，创造良好的校园环境。</w:t>
            </w:r>
          </w:p>
        </w:tc>
      </w:tr>
      <w:tr w14:paraId="0F497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85FB9">
            <w:pPr>
              <w:pStyle w:val="10"/>
            </w:pPr>
            <w:r>
              <w:t>资金支出计划（%）</w:t>
            </w:r>
          </w:p>
        </w:tc>
        <w:tc>
          <w:tcPr>
            <w:tcW w:w="5103" w:type="dxa"/>
            <w:gridSpan w:val="2"/>
            <w:vAlign w:val="center"/>
          </w:tcPr>
          <w:p w14:paraId="656A618A">
            <w:pPr>
              <w:pStyle w:val="10"/>
            </w:pPr>
            <w:r>
              <w:t>3月底</w:t>
            </w:r>
          </w:p>
        </w:tc>
        <w:tc>
          <w:tcPr>
            <w:tcW w:w="2835" w:type="dxa"/>
            <w:vAlign w:val="center"/>
          </w:tcPr>
          <w:p w14:paraId="3D2B8A7B">
            <w:pPr>
              <w:pStyle w:val="10"/>
            </w:pPr>
            <w:r>
              <w:t>6月底</w:t>
            </w:r>
          </w:p>
        </w:tc>
        <w:tc>
          <w:tcPr>
            <w:tcW w:w="2551" w:type="dxa"/>
            <w:vAlign w:val="center"/>
          </w:tcPr>
          <w:p w14:paraId="58C734B8">
            <w:pPr>
              <w:pStyle w:val="10"/>
            </w:pPr>
            <w:r>
              <w:t>10月底</w:t>
            </w:r>
          </w:p>
        </w:tc>
        <w:tc>
          <w:tcPr>
            <w:tcW w:w="3544" w:type="dxa"/>
            <w:gridSpan w:val="2"/>
            <w:vAlign w:val="center"/>
          </w:tcPr>
          <w:p w14:paraId="051F9244">
            <w:pPr>
              <w:pStyle w:val="10"/>
            </w:pPr>
            <w:r>
              <w:t>12月底</w:t>
            </w:r>
          </w:p>
        </w:tc>
      </w:tr>
      <w:tr w14:paraId="3F89D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98CCB"/>
        </w:tc>
        <w:tc>
          <w:tcPr>
            <w:tcW w:w="5103" w:type="dxa"/>
            <w:gridSpan w:val="2"/>
            <w:vAlign w:val="center"/>
          </w:tcPr>
          <w:p w14:paraId="06ACA884">
            <w:pPr>
              <w:pStyle w:val="13"/>
            </w:pPr>
            <w:r>
              <w:t xml:space="preserve"> </w:t>
            </w:r>
          </w:p>
        </w:tc>
        <w:tc>
          <w:tcPr>
            <w:tcW w:w="2835" w:type="dxa"/>
            <w:vAlign w:val="center"/>
          </w:tcPr>
          <w:p w14:paraId="5F2924B3">
            <w:pPr>
              <w:pStyle w:val="13"/>
            </w:pPr>
            <w:r>
              <w:t xml:space="preserve"> </w:t>
            </w:r>
          </w:p>
        </w:tc>
        <w:tc>
          <w:tcPr>
            <w:tcW w:w="2551" w:type="dxa"/>
            <w:vAlign w:val="center"/>
          </w:tcPr>
          <w:p w14:paraId="68AB810C">
            <w:pPr>
              <w:pStyle w:val="13"/>
            </w:pPr>
            <w:r>
              <w:t>100%</w:t>
            </w:r>
          </w:p>
        </w:tc>
        <w:tc>
          <w:tcPr>
            <w:tcW w:w="3544" w:type="dxa"/>
            <w:gridSpan w:val="2"/>
            <w:vAlign w:val="center"/>
          </w:tcPr>
          <w:p w14:paraId="5E250A82">
            <w:pPr>
              <w:pStyle w:val="13"/>
            </w:pPr>
            <w:r>
              <w:t>100%</w:t>
            </w:r>
          </w:p>
        </w:tc>
      </w:tr>
      <w:tr w14:paraId="6F1B9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BF9A6">
            <w:pPr>
              <w:pStyle w:val="10"/>
            </w:pPr>
            <w:r>
              <w:t>绩效目标</w:t>
            </w:r>
          </w:p>
        </w:tc>
        <w:tc>
          <w:tcPr>
            <w:tcW w:w="14033" w:type="dxa"/>
            <w:gridSpan w:val="6"/>
            <w:vAlign w:val="center"/>
          </w:tcPr>
          <w:p w14:paraId="0C85E0A2">
            <w:pPr>
              <w:pStyle w:val="12"/>
            </w:pPr>
            <w:r>
              <w:t>1.项目需资金16.5万元，资金拨付率达到100%。</w:t>
            </w:r>
          </w:p>
          <w:p w14:paraId="2BD96AC0">
            <w:pPr>
              <w:pStyle w:val="12"/>
            </w:pPr>
            <w:r>
              <w:t>2.改善办学条件，提升学校形象，保障教学质量，创造良好的校园环境。</w:t>
            </w:r>
          </w:p>
        </w:tc>
      </w:tr>
    </w:tbl>
    <w:p w14:paraId="0F20E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D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58430">
            <w:pPr>
              <w:pStyle w:val="10"/>
            </w:pPr>
            <w:r>
              <w:t>一级指标</w:t>
            </w:r>
          </w:p>
        </w:tc>
        <w:tc>
          <w:tcPr>
            <w:tcW w:w="2268" w:type="dxa"/>
            <w:vAlign w:val="center"/>
          </w:tcPr>
          <w:p w14:paraId="50DE9AFA">
            <w:pPr>
              <w:pStyle w:val="10"/>
            </w:pPr>
            <w:r>
              <w:t>二级指标</w:t>
            </w:r>
          </w:p>
        </w:tc>
        <w:tc>
          <w:tcPr>
            <w:tcW w:w="2835" w:type="dxa"/>
            <w:vAlign w:val="center"/>
          </w:tcPr>
          <w:p w14:paraId="05F7EB5D">
            <w:pPr>
              <w:pStyle w:val="10"/>
            </w:pPr>
            <w:r>
              <w:t>三级指标</w:t>
            </w:r>
          </w:p>
        </w:tc>
        <w:tc>
          <w:tcPr>
            <w:tcW w:w="5386" w:type="dxa"/>
            <w:vAlign w:val="center"/>
          </w:tcPr>
          <w:p w14:paraId="39431F5F">
            <w:pPr>
              <w:pStyle w:val="10"/>
            </w:pPr>
            <w:r>
              <w:t>绩效指标描述</w:t>
            </w:r>
          </w:p>
        </w:tc>
        <w:tc>
          <w:tcPr>
            <w:tcW w:w="2268" w:type="dxa"/>
            <w:vAlign w:val="center"/>
          </w:tcPr>
          <w:p w14:paraId="04A6B91C">
            <w:pPr>
              <w:pStyle w:val="10"/>
            </w:pPr>
            <w:r>
              <w:t>指标值</w:t>
            </w:r>
          </w:p>
        </w:tc>
        <w:tc>
          <w:tcPr>
            <w:tcW w:w="1276" w:type="dxa"/>
            <w:vAlign w:val="center"/>
          </w:tcPr>
          <w:p w14:paraId="337F96AF">
            <w:pPr>
              <w:pStyle w:val="10"/>
            </w:pPr>
            <w:r>
              <w:t>指标值确定依据</w:t>
            </w:r>
          </w:p>
        </w:tc>
      </w:tr>
      <w:tr w14:paraId="23CD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2E938">
            <w:pPr>
              <w:pStyle w:val="13"/>
            </w:pPr>
            <w:r>
              <w:t>产出指标</w:t>
            </w:r>
          </w:p>
        </w:tc>
        <w:tc>
          <w:tcPr>
            <w:tcW w:w="2268" w:type="dxa"/>
            <w:vAlign w:val="center"/>
          </w:tcPr>
          <w:p w14:paraId="25112266">
            <w:pPr>
              <w:pStyle w:val="12"/>
            </w:pPr>
            <w:r>
              <w:t>数量指标</w:t>
            </w:r>
          </w:p>
        </w:tc>
        <w:tc>
          <w:tcPr>
            <w:tcW w:w="2835" w:type="dxa"/>
            <w:vAlign w:val="center"/>
          </w:tcPr>
          <w:p w14:paraId="386F96BA">
            <w:pPr>
              <w:pStyle w:val="12"/>
            </w:pPr>
            <w:r>
              <w:t>山口校区水饭小学空调购置</w:t>
            </w:r>
          </w:p>
        </w:tc>
        <w:tc>
          <w:tcPr>
            <w:tcW w:w="5386" w:type="dxa"/>
            <w:vAlign w:val="center"/>
          </w:tcPr>
          <w:p w14:paraId="202E64BF">
            <w:pPr>
              <w:pStyle w:val="12"/>
            </w:pPr>
            <w:r>
              <w:t>72空调</w:t>
            </w:r>
          </w:p>
        </w:tc>
        <w:tc>
          <w:tcPr>
            <w:tcW w:w="2268" w:type="dxa"/>
            <w:vAlign w:val="center"/>
          </w:tcPr>
          <w:p w14:paraId="2717C128">
            <w:pPr>
              <w:pStyle w:val="12"/>
            </w:pPr>
            <w:r>
              <w:t>1项</w:t>
            </w:r>
          </w:p>
        </w:tc>
        <w:tc>
          <w:tcPr>
            <w:tcW w:w="1276" w:type="dxa"/>
            <w:vAlign w:val="center"/>
          </w:tcPr>
          <w:p w14:paraId="128ED27D">
            <w:pPr>
              <w:pStyle w:val="12"/>
            </w:pPr>
            <w:r>
              <w:t>项目规划</w:t>
            </w:r>
          </w:p>
        </w:tc>
      </w:tr>
      <w:tr w14:paraId="1580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FD9DA"/>
        </w:tc>
        <w:tc>
          <w:tcPr>
            <w:tcW w:w="2268" w:type="dxa"/>
            <w:vAlign w:val="center"/>
          </w:tcPr>
          <w:p w14:paraId="2D2D70D7">
            <w:pPr>
              <w:pStyle w:val="12"/>
            </w:pPr>
            <w:r>
              <w:t>质量指标</w:t>
            </w:r>
          </w:p>
        </w:tc>
        <w:tc>
          <w:tcPr>
            <w:tcW w:w="2835" w:type="dxa"/>
            <w:vAlign w:val="center"/>
          </w:tcPr>
          <w:p w14:paraId="18F7EF36">
            <w:pPr>
              <w:pStyle w:val="12"/>
            </w:pPr>
            <w:r>
              <w:t>工程实施验收合格率</w:t>
            </w:r>
          </w:p>
        </w:tc>
        <w:tc>
          <w:tcPr>
            <w:tcW w:w="5386" w:type="dxa"/>
            <w:vAlign w:val="center"/>
          </w:tcPr>
          <w:p w14:paraId="2CC3024B">
            <w:pPr>
              <w:pStyle w:val="12"/>
            </w:pPr>
            <w:r>
              <w:t>申报程序的合规，项目实施及资金使用符合项目规划</w:t>
            </w:r>
          </w:p>
        </w:tc>
        <w:tc>
          <w:tcPr>
            <w:tcW w:w="2268" w:type="dxa"/>
            <w:vAlign w:val="center"/>
          </w:tcPr>
          <w:p w14:paraId="11EE0033">
            <w:pPr>
              <w:pStyle w:val="12"/>
            </w:pPr>
            <w:r>
              <w:t>100%</w:t>
            </w:r>
          </w:p>
        </w:tc>
        <w:tc>
          <w:tcPr>
            <w:tcW w:w="1276" w:type="dxa"/>
            <w:vAlign w:val="center"/>
          </w:tcPr>
          <w:p w14:paraId="4913BD97">
            <w:pPr>
              <w:pStyle w:val="12"/>
            </w:pPr>
            <w:r>
              <w:t>项目规划</w:t>
            </w:r>
          </w:p>
        </w:tc>
      </w:tr>
      <w:tr w14:paraId="3856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79697"/>
        </w:tc>
        <w:tc>
          <w:tcPr>
            <w:tcW w:w="2268" w:type="dxa"/>
            <w:vAlign w:val="center"/>
          </w:tcPr>
          <w:p w14:paraId="661F03DF">
            <w:pPr>
              <w:pStyle w:val="12"/>
            </w:pPr>
            <w:r>
              <w:t>时效指标</w:t>
            </w:r>
          </w:p>
        </w:tc>
        <w:tc>
          <w:tcPr>
            <w:tcW w:w="2835" w:type="dxa"/>
            <w:vAlign w:val="center"/>
          </w:tcPr>
          <w:p w14:paraId="5A3CD5F1">
            <w:pPr>
              <w:pStyle w:val="12"/>
            </w:pPr>
            <w:r>
              <w:t>资金支付率</w:t>
            </w:r>
          </w:p>
        </w:tc>
        <w:tc>
          <w:tcPr>
            <w:tcW w:w="5386" w:type="dxa"/>
            <w:vAlign w:val="center"/>
          </w:tcPr>
          <w:p w14:paraId="4B97495C">
            <w:pPr>
              <w:pStyle w:val="12"/>
            </w:pPr>
            <w:r>
              <w:t>按照序时进度完成资金支付</w:t>
            </w:r>
          </w:p>
        </w:tc>
        <w:tc>
          <w:tcPr>
            <w:tcW w:w="2268" w:type="dxa"/>
            <w:vAlign w:val="center"/>
          </w:tcPr>
          <w:p w14:paraId="7DC57681">
            <w:pPr>
              <w:pStyle w:val="12"/>
            </w:pPr>
            <w:r>
              <w:t>100%</w:t>
            </w:r>
          </w:p>
        </w:tc>
        <w:tc>
          <w:tcPr>
            <w:tcW w:w="1276" w:type="dxa"/>
            <w:vAlign w:val="center"/>
          </w:tcPr>
          <w:p w14:paraId="29E142BA">
            <w:pPr>
              <w:pStyle w:val="12"/>
            </w:pPr>
            <w:r>
              <w:t>项目规划</w:t>
            </w:r>
          </w:p>
        </w:tc>
      </w:tr>
      <w:tr w14:paraId="182A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083E5"/>
        </w:tc>
        <w:tc>
          <w:tcPr>
            <w:tcW w:w="2268" w:type="dxa"/>
            <w:vAlign w:val="center"/>
          </w:tcPr>
          <w:p w14:paraId="29313326">
            <w:pPr>
              <w:pStyle w:val="12"/>
            </w:pPr>
            <w:r>
              <w:t>成本指标</w:t>
            </w:r>
          </w:p>
        </w:tc>
        <w:tc>
          <w:tcPr>
            <w:tcW w:w="2835" w:type="dxa"/>
            <w:vAlign w:val="center"/>
          </w:tcPr>
          <w:p w14:paraId="718EE624">
            <w:pPr>
              <w:pStyle w:val="12"/>
            </w:pPr>
            <w:r>
              <w:t>项目成本控制情况</w:t>
            </w:r>
          </w:p>
        </w:tc>
        <w:tc>
          <w:tcPr>
            <w:tcW w:w="5386" w:type="dxa"/>
            <w:vAlign w:val="center"/>
          </w:tcPr>
          <w:p w14:paraId="1BDA6BA2">
            <w:pPr>
              <w:pStyle w:val="12"/>
            </w:pPr>
            <w:r>
              <w:t>严格按照招标价格及审计额进行</w:t>
            </w:r>
          </w:p>
        </w:tc>
        <w:tc>
          <w:tcPr>
            <w:tcW w:w="2268" w:type="dxa"/>
            <w:vAlign w:val="center"/>
          </w:tcPr>
          <w:p w14:paraId="14BBC0C3">
            <w:pPr>
              <w:pStyle w:val="12"/>
            </w:pPr>
            <w:r>
              <w:t>16.5万元</w:t>
            </w:r>
          </w:p>
        </w:tc>
        <w:tc>
          <w:tcPr>
            <w:tcW w:w="1276" w:type="dxa"/>
            <w:vAlign w:val="center"/>
          </w:tcPr>
          <w:p w14:paraId="4BBA7018">
            <w:pPr>
              <w:pStyle w:val="12"/>
            </w:pPr>
            <w:r>
              <w:t>项目规划</w:t>
            </w:r>
          </w:p>
        </w:tc>
      </w:tr>
      <w:tr w14:paraId="30E5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F7BA7">
            <w:pPr>
              <w:pStyle w:val="13"/>
            </w:pPr>
            <w:r>
              <w:t>效益指标</w:t>
            </w:r>
          </w:p>
        </w:tc>
        <w:tc>
          <w:tcPr>
            <w:tcW w:w="2268" w:type="dxa"/>
            <w:vAlign w:val="center"/>
          </w:tcPr>
          <w:p w14:paraId="3554DC30">
            <w:pPr>
              <w:pStyle w:val="12"/>
            </w:pPr>
            <w:r>
              <w:t>可持续影响指标</w:t>
            </w:r>
          </w:p>
        </w:tc>
        <w:tc>
          <w:tcPr>
            <w:tcW w:w="2835" w:type="dxa"/>
            <w:vAlign w:val="center"/>
          </w:tcPr>
          <w:p w14:paraId="172B6FC4">
            <w:pPr>
              <w:pStyle w:val="12"/>
            </w:pPr>
            <w:r>
              <w:t>学校办学环境提升</w:t>
            </w:r>
          </w:p>
        </w:tc>
        <w:tc>
          <w:tcPr>
            <w:tcW w:w="5386" w:type="dxa"/>
            <w:vAlign w:val="center"/>
          </w:tcPr>
          <w:p w14:paraId="4DF9B30F">
            <w:pPr>
              <w:pStyle w:val="12"/>
            </w:pPr>
            <w:r>
              <w:t>学校教学环境提升优化率</w:t>
            </w:r>
          </w:p>
        </w:tc>
        <w:tc>
          <w:tcPr>
            <w:tcW w:w="2268" w:type="dxa"/>
            <w:vAlign w:val="center"/>
          </w:tcPr>
          <w:p w14:paraId="5818412F">
            <w:pPr>
              <w:pStyle w:val="12"/>
            </w:pPr>
            <w:r>
              <w:t>≥98%</w:t>
            </w:r>
          </w:p>
        </w:tc>
        <w:tc>
          <w:tcPr>
            <w:tcW w:w="1276" w:type="dxa"/>
            <w:vAlign w:val="center"/>
          </w:tcPr>
          <w:p w14:paraId="0D7C8C11">
            <w:pPr>
              <w:pStyle w:val="12"/>
            </w:pPr>
            <w:r>
              <w:t>项目规划</w:t>
            </w:r>
          </w:p>
        </w:tc>
      </w:tr>
      <w:tr w14:paraId="5318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A8974">
            <w:pPr>
              <w:pStyle w:val="13"/>
            </w:pPr>
            <w:r>
              <w:t>满意度指标</w:t>
            </w:r>
          </w:p>
        </w:tc>
        <w:tc>
          <w:tcPr>
            <w:tcW w:w="2268" w:type="dxa"/>
            <w:vAlign w:val="center"/>
          </w:tcPr>
          <w:p w14:paraId="3C68E665">
            <w:pPr>
              <w:pStyle w:val="12"/>
            </w:pPr>
            <w:r>
              <w:t>服务对象满意度指标</w:t>
            </w:r>
          </w:p>
        </w:tc>
        <w:tc>
          <w:tcPr>
            <w:tcW w:w="2835" w:type="dxa"/>
            <w:vAlign w:val="center"/>
          </w:tcPr>
          <w:p w14:paraId="0F12D83A">
            <w:pPr>
              <w:pStyle w:val="12"/>
            </w:pPr>
            <w:r>
              <w:t>受益学生家长及调查满意度</w:t>
            </w:r>
          </w:p>
        </w:tc>
        <w:tc>
          <w:tcPr>
            <w:tcW w:w="5386" w:type="dxa"/>
            <w:vAlign w:val="center"/>
          </w:tcPr>
          <w:p w14:paraId="78035F35">
            <w:pPr>
              <w:pStyle w:val="12"/>
            </w:pPr>
            <w:r>
              <w:t>学生、教师及家长对学校教学环境满意度情况</w:t>
            </w:r>
          </w:p>
        </w:tc>
        <w:tc>
          <w:tcPr>
            <w:tcW w:w="2268" w:type="dxa"/>
            <w:vAlign w:val="center"/>
          </w:tcPr>
          <w:p w14:paraId="029D557F">
            <w:pPr>
              <w:pStyle w:val="12"/>
            </w:pPr>
            <w:r>
              <w:t>≥95%</w:t>
            </w:r>
          </w:p>
        </w:tc>
        <w:tc>
          <w:tcPr>
            <w:tcW w:w="1276" w:type="dxa"/>
            <w:vAlign w:val="center"/>
          </w:tcPr>
          <w:p w14:paraId="17AF669C">
            <w:pPr>
              <w:pStyle w:val="12"/>
            </w:pPr>
            <w:r>
              <w:t>项目规划</w:t>
            </w:r>
          </w:p>
        </w:tc>
      </w:tr>
    </w:tbl>
    <w:p w14:paraId="7072D00A">
      <w:pPr>
        <w:sectPr>
          <w:pgSz w:w="16840" w:h="11900" w:orient="landscape"/>
          <w:pgMar w:top="1361" w:right="1020" w:bottom="1134" w:left="1020" w:header="720" w:footer="720" w:gutter="0"/>
          <w:cols w:space="720" w:num="1"/>
        </w:sectPr>
      </w:pPr>
    </w:p>
    <w:p w14:paraId="31364E40">
      <w:pPr>
        <w:spacing w:before="0" w:after="0"/>
        <w:ind w:firstLine="560"/>
        <w:jc w:val="left"/>
        <w:outlineLvl w:val="9"/>
      </w:pPr>
      <w:r>
        <w:rPr>
          <w:rFonts w:ascii="方正仿宋_GBK" w:hAnsi="方正仿宋_GBK" w:eastAsia="方正仿宋_GBK" w:cs="方正仿宋_GBK"/>
          <w:b/>
          <w:color w:val="000000"/>
          <w:sz w:val="28"/>
        </w:rPr>
        <w:t>21、冀财教[2025]149号/省级/2026年学前发展资金/山口校区学前教育公用经费绩效目标表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0F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D6050">
            <w:pPr>
              <w:pStyle w:val="11"/>
            </w:pPr>
            <w:r>
              <w:t>单位：万元</w:t>
            </w:r>
          </w:p>
        </w:tc>
      </w:tr>
      <w:tr w14:paraId="481C0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89A35">
            <w:pPr>
              <w:pStyle w:val="10"/>
            </w:pPr>
            <w:r>
              <w:t>项目编码</w:t>
            </w:r>
          </w:p>
        </w:tc>
        <w:tc>
          <w:tcPr>
            <w:tcW w:w="5103" w:type="dxa"/>
            <w:gridSpan w:val="2"/>
            <w:vAlign w:val="center"/>
          </w:tcPr>
          <w:p w14:paraId="36415AB9">
            <w:pPr>
              <w:pStyle w:val="12"/>
            </w:pPr>
            <w:r>
              <w:t>13052526P00875710108L</w:t>
            </w:r>
          </w:p>
        </w:tc>
        <w:tc>
          <w:tcPr>
            <w:tcW w:w="2835" w:type="dxa"/>
            <w:vAlign w:val="center"/>
          </w:tcPr>
          <w:p w14:paraId="63A6CA48">
            <w:pPr>
              <w:pStyle w:val="10"/>
            </w:pPr>
            <w:r>
              <w:t>项目名称</w:t>
            </w:r>
          </w:p>
        </w:tc>
        <w:tc>
          <w:tcPr>
            <w:tcW w:w="6095" w:type="dxa"/>
            <w:gridSpan w:val="3"/>
            <w:vAlign w:val="center"/>
          </w:tcPr>
          <w:p w14:paraId="36EA644F">
            <w:pPr>
              <w:pStyle w:val="12"/>
            </w:pPr>
            <w:r>
              <w:t>冀财教[2025]149号/省级/2026年学前发展资金/山口校区学前教育公用经费</w:t>
            </w:r>
          </w:p>
        </w:tc>
      </w:tr>
      <w:tr w14:paraId="324A4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BB6C1">
            <w:pPr>
              <w:pStyle w:val="10"/>
            </w:pPr>
            <w:r>
              <w:t>预算规模及资金用途</w:t>
            </w:r>
          </w:p>
        </w:tc>
        <w:tc>
          <w:tcPr>
            <w:tcW w:w="2268" w:type="dxa"/>
            <w:vAlign w:val="center"/>
          </w:tcPr>
          <w:p w14:paraId="16735514">
            <w:pPr>
              <w:pStyle w:val="10"/>
            </w:pPr>
            <w:r>
              <w:t>预算数</w:t>
            </w:r>
          </w:p>
        </w:tc>
        <w:tc>
          <w:tcPr>
            <w:tcW w:w="2835" w:type="dxa"/>
            <w:vAlign w:val="center"/>
          </w:tcPr>
          <w:p w14:paraId="01B6EB89">
            <w:pPr>
              <w:pStyle w:val="12"/>
            </w:pPr>
            <w:r>
              <w:t>10.50</w:t>
            </w:r>
          </w:p>
        </w:tc>
        <w:tc>
          <w:tcPr>
            <w:tcW w:w="2835" w:type="dxa"/>
            <w:vAlign w:val="center"/>
          </w:tcPr>
          <w:p w14:paraId="7527B6A2">
            <w:pPr>
              <w:pStyle w:val="10"/>
            </w:pPr>
            <w:r>
              <w:t>其中：财政    资金</w:t>
            </w:r>
          </w:p>
        </w:tc>
        <w:tc>
          <w:tcPr>
            <w:tcW w:w="2551" w:type="dxa"/>
            <w:vAlign w:val="center"/>
          </w:tcPr>
          <w:p w14:paraId="6C1CAA96">
            <w:pPr>
              <w:pStyle w:val="12"/>
            </w:pPr>
            <w:r>
              <w:t>10.50</w:t>
            </w:r>
          </w:p>
        </w:tc>
        <w:tc>
          <w:tcPr>
            <w:tcW w:w="2268" w:type="dxa"/>
            <w:vAlign w:val="center"/>
          </w:tcPr>
          <w:p w14:paraId="60EBAE63">
            <w:pPr>
              <w:pStyle w:val="10"/>
            </w:pPr>
            <w:r>
              <w:t>其他资金</w:t>
            </w:r>
          </w:p>
        </w:tc>
        <w:tc>
          <w:tcPr>
            <w:tcW w:w="1276" w:type="dxa"/>
            <w:vAlign w:val="center"/>
          </w:tcPr>
          <w:p w14:paraId="0315541A">
            <w:pPr>
              <w:pStyle w:val="12"/>
            </w:pPr>
            <w:r>
              <w:t xml:space="preserve"> </w:t>
            </w:r>
          </w:p>
        </w:tc>
      </w:tr>
      <w:tr w14:paraId="05BB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38A69"/>
        </w:tc>
        <w:tc>
          <w:tcPr>
            <w:tcW w:w="14033" w:type="dxa"/>
            <w:gridSpan w:val="6"/>
            <w:vAlign w:val="center"/>
          </w:tcPr>
          <w:p w14:paraId="7F2DD1AE">
            <w:pPr>
              <w:pStyle w:val="12"/>
            </w:pPr>
            <w:r>
              <w:t>保障幼儿园正常运转，完成教育教学活动和其他日常工作任务等方面的费用支出。</w:t>
            </w:r>
          </w:p>
        </w:tc>
      </w:tr>
      <w:tr w14:paraId="3B4FF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15B58">
            <w:pPr>
              <w:pStyle w:val="10"/>
            </w:pPr>
            <w:r>
              <w:t>资金支出计划（%）</w:t>
            </w:r>
          </w:p>
        </w:tc>
        <w:tc>
          <w:tcPr>
            <w:tcW w:w="5103" w:type="dxa"/>
            <w:gridSpan w:val="2"/>
            <w:vAlign w:val="center"/>
          </w:tcPr>
          <w:p w14:paraId="4CA44203">
            <w:pPr>
              <w:pStyle w:val="10"/>
            </w:pPr>
            <w:r>
              <w:t>3月底</w:t>
            </w:r>
          </w:p>
        </w:tc>
        <w:tc>
          <w:tcPr>
            <w:tcW w:w="2835" w:type="dxa"/>
            <w:vAlign w:val="center"/>
          </w:tcPr>
          <w:p w14:paraId="22D8D1D5">
            <w:pPr>
              <w:pStyle w:val="10"/>
            </w:pPr>
            <w:r>
              <w:t>6月底</w:t>
            </w:r>
          </w:p>
        </w:tc>
        <w:tc>
          <w:tcPr>
            <w:tcW w:w="2551" w:type="dxa"/>
            <w:vAlign w:val="center"/>
          </w:tcPr>
          <w:p w14:paraId="45A7D6D6">
            <w:pPr>
              <w:pStyle w:val="10"/>
            </w:pPr>
            <w:r>
              <w:t>10月底</w:t>
            </w:r>
          </w:p>
        </w:tc>
        <w:tc>
          <w:tcPr>
            <w:tcW w:w="3544" w:type="dxa"/>
            <w:gridSpan w:val="2"/>
            <w:vAlign w:val="center"/>
          </w:tcPr>
          <w:p w14:paraId="72CD558D">
            <w:pPr>
              <w:pStyle w:val="10"/>
            </w:pPr>
            <w:r>
              <w:t>12月底</w:t>
            </w:r>
          </w:p>
        </w:tc>
      </w:tr>
      <w:tr w14:paraId="15114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65ACD"/>
        </w:tc>
        <w:tc>
          <w:tcPr>
            <w:tcW w:w="5103" w:type="dxa"/>
            <w:gridSpan w:val="2"/>
            <w:vAlign w:val="center"/>
          </w:tcPr>
          <w:p w14:paraId="0C748863">
            <w:pPr>
              <w:pStyle w:val="13"/>
            </w:pPr>
            <w:r>
              <w:t>25%</w:t>
            </w:r>
          </w:p>
        </w:tc>
        <w:tc>
          <w:tcPr>
            <w:tcW w:w="2835" w:type="dxa"/>
            <w:vAlign w:val="center"/>
          </w:tcPr>
          <w:p w14:paraId="144B5C67">
            <w:pPr>
              <w:pStyle w:val="13"/>
            </w:pPr>
            <w:r>
              <w:t>50%</w:t>
            </w:r>
          </w:p>
        </w:tc>
        <w:tc>
          <w:tcPr>
            <w:tcW w:w="2551" w:type="dxa"/>
            <w:vAlign w:val="center"/>
          </w:tcPr>
          <w:p w14:paraId="7E00F359">
            <w:pPr>
              <w:pStyle w:val="13"/>
            </w:pPr>
            <w:r>
              <w:t>75%</w:t>
            </w:r>
          </w:p>
        </w:tc>
        <w:tc>
          <w:tcPr>
            <w:tcW w:w="3544" w:type="dxa"/>
            <w:gridSpan w:val="2"/>
            <w:vAlign w:val="center"/>
          </w:tcPr>
          <w:p w14:paraId="22FEC076">
            <w:pPr>
              <w:pStyle w:val="13"/>
            </w:pPr>
            <w:r>
              <w:t>100%</w:t>
            </w:r>
          </w:p>
        </w:tc>
      </w:tr>
      <w:tr w14:paraId="396DB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CCBA5">
            <w:pPr>
              <w:pStyle w:val="10"/>
            </w:pPr>
            <w:r>
              <w:t>绩效目标</w:t>
            </w:r>
          </w:p>
        </w:tc>
        <w:tc>
          <w:tcPr>
            <w:tcW w:w="14033" w:type="dxa"/>
            <w:gridSpan w:val="6"/>
            <w:vAlign w:val="center"/>
          </w:tcPr>
          <w:p w14:paraId="5409A736">
            <w:pPr>
              <w:pStyle w:val="12"/>
            </w:pPr>
            <w:r>
              <w:t>1.保障幼儿园正常运转，完成教育教学活动和其他日常工作任务等方面的费用支出。</w:t>
            </w:r>
            <w:r>
              <w:tab/>
            </w:r>
            <w:r>
              <w:tab/>
            </w:r>
          </w:p>
          <w:p w14:paraId="4B4C73BA">
            <w:pPr>
              <w:pStyle w:val="12"/>
            </w:pPr>
            <w:r>
              <w:t>2.按季度分批次拨付公用经费资金，资金拨付率达到100%。</w:t>
            </w:r>
            <w:r>
              <w:tab/>
            </w:r>
            <w:r>
              <w:tab/>
            </w:r>
          </w:p>
        </w:tc>
      </w:tr>
    </w:tbl>
    <w:p w14:paraId="180FC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66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43075">
            <w:pPr>
              <w:pStyle w:val="10"/>
            </w:pPr>
            <w:r>
              <w:t>一级指标</w:t>
            </w:r>
          </w:p>
        </w:tc>
        <w:tc>
          <w:tcPr>
            <w:tcW w:w="2268" w:type="dxa"/>
            <w:vAlign w:val="center"/>
          </w:tcPr>
          <w:p w14:paraId="218DD2F1">
            <w:pPr>
              <w:pStyle w:val="10"/>
            </w:pPr>
            <w:r>
              <w:t>二级指标</w:t>
            </w:r>
          </w:p>
        </w:tc>
        <w:tc>
          <w:tcPr>
            <w:tcW w:w="2835" w:type="dxa"/>
            <w:vAlign w:val="center"/>
          </w:tcPr>
          <w:p w14:paraId="215A27DE">
            <w:pPr>
              <w:pStyle w:val="10"/>
            </w:pPr>
            <w:r>
              <w:t>三级指标</w:t>
            </w:r>
          </w:p>
        </w:tc>
        <w:tc>
          <w:tcPr>
            <w:tcW w:w="5386" w:type="dxa"/>
            <w:vAlign w:val="center"/>
          </w:tcPr>
          <w:p w14:paraId="0D51ECC3">
            <w:pPr>
              <w:pStyle w:val="10"/>
            </w:pPr>
            <w:r>
              <w:t>绩效指标描述</w:t>
            </w:r>
          </w:p>
        </w:tc>
        <w:tc>
          <w:tcPr>
            <w:tcW w:w="2268" w:type="dxa"/>
            <w:vAlign w:val="center"/>
          </w:tcPr>
          <w:p w14:paraId="767A8154">
            <w:pPr>
              <w:pStyle w:val="10"/>
            </w:pPr>
            <w:r>
              <w:t>指标值</w:t>
            </w:r>
          </w:p>
        </w:tc>
        <w:tc>
          <w:tcPr>
            <w:tcW w:w="1276" w:type="dxa"/>
            <w:vAlign w:val="center"/>
          </w:tcPr>
          <w:p w14:paraId="63A55631">
            <w:pPr>
              <w:pStyle w:val="10"/>
            </w:pPr>
            <w:r>
              <w:t>指标值确定依据</w:t>
            </w:r>
          </w:p>
        </w:tc>
      </w:tr>
      <w:tr w14:paraId="0BE6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36845">
            <w:pPr>
              <w:pStyle w:val="13"/>
            </w:pPr>
            <w:r>
              <w:t>产出指标</w:t>
            </w:r>
          </w:p>
        </w:tc>
        <w:tc>
          <w:tcPr>
            <w:tcW w:w="2268" w:type="dxa"/>
            <w:vAlign w:val="center"/>
          </w:tcPr>
          <w:p w14:paraId="594AC67B">
            <w:pPr>
              <w:pStyle w:val="12"/>
            </w:pPr>
            <w:r>
              <w:t>数量指标</w:t>
            </w:r>
          </w:p>
        </w:tc>
        <w:tc>
          <w:tcPr>
            <w:tcW w:w="2835" w:type="dxa"/>
            <w:vAlign w:val="center"/>
          </w:tcPr>
          <w:p w14:paraId="4952853A">
            <w:pPr>
              <w:pStyle w:val="12"/>
            </w:pPr>
            <w:r>
              <w:t>适龄在园生</w:t>
            </w:r>
          </w:p>
        </w:tc>
        <w:tc>
          <w:tcPr>
            <w:tcW w:w="5386" w:type="dxa"/>
            <w:vAlign w:val="center"/>
          </w:tcPr>
          <w:p w14:paraId="6BCE911E">
            <w:pPr>
              <w:pStyle w:val="12"/>
            </w:pPr>
            <w:r>
              <w:t>适龄在园学生人数</w:t>
            </w:r>
          </w:p>
        </w:tc>
        <w:tc>
          <w:tcPr>
            <w:tcW w:w="2268" w:type="dxa"/>
            <w:vAlign w:val="center"/>
          </w:tcPr>
          <w:p w14:paraId="49DC3743">
            <w:pPr>
              <w:pStyle w:val="12"/>
            </w:pPr>
            <w:r>
              <w:t>700人</w:t>
            </w:r>
          </w:p>
        </w:tc>
        <w:tc>
          <w:tcPr>
            <w:tcW w:w="1276" w:type="dxa"/>
            <w:vAlign w:val="center"/>
          </w:tcPr>
          <w:p w14:paraId="415DAF05">
            <w:pPr>
              <w:pStyle w:val="12"/>
            </w:pPr>
            <w:r>
              <w:t>学前发展资金管理方法</w:t>
            </w:r>
          </w:p>
        </w:tc>
      </w:tr>
      <w:tr w14:paraId="30C8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4535"/>
        </w:tc>
        <w:tc>
          <w:tcPr>
            <w:tcW w:w="2268" w:type="dxa"/>
            <w:vAlign w:val="center"/>
          </w:tcPr>
          <w:p w14:paraId="63502082">
            <w:pPr>
              <w:pStyle w:val="12"/>
            </w:pPr>
            <w:r>
              <w:t>质量指标</w:t>
            </w:r>
          </w:p>
        </w:tc>
        <w:tc>
          <w:tcPr>
            <w:tcW w:w="2835" w:type="dxa"/>
            <w:vAlign w:val="center"/>
          </w:tcPr>
          <w:p w14:paraId="0E7F02B6">
            <w:pPr>
              <w:pStyle w:val="12"/>
            </w:pPr>
            <w:r>
              <w:t>预算控制率</w:t>
            </w:r>
          </w:p>
        </w:tc>
        <w:tc>
          <w:tcPr>
            <w:tcW w:w="5386" w:type="dxa"/>
            <w:vAlign w:val="center"/>
          </w:tcPr>
          <w:p w14:paraId="3F60BDA6">
            <w:pPr>
              <w:pStyle w:val="12"/>
            </w:pPr>
            <w:r>
              <w:t>预算执行</w:t>
            </w:r>
          </w:p>
        </w:tc>
        <w:tc>
          <w:tcPr>
            <w:tcW w:w="2268" w:type="dxa"/>
            <w:vAlign w:val="center"/>
          </w:tcPr>
          <w:p w14:paraId="75FBFD69">
            <w:pPr>
              <w:pStyle w:val="12"/>
            </w:pPr>
            <w:r>
              <w:t>≥95%</w:t>
            </w:r>
          </w:p>
        </w:tc>
        <w:tc>
          <w:tcPr>
            <w:tcW w:w="1276" w:type="dxa"/>
            <w:vAlign w:val="center"/>
          </w:tcPr>
          <w:p w14:paraId="5DCFD43D">
            <w:pPr>
              <w:pStyle w:val="12"/>
            </w:pPr>
            <w:r>
              <w:t>学前发展资金管理方法</w:t>
            </w:r>
          </w:p>
        </w:tc>
      </w:tr>
      <w:tr w14:paraId="4527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20B77"/>
        </w:tc>
        <w:tc>
          <w:tcPr>
            <w:tcW w:w="2268" w:type="dxa"/>
            <w:vAlign w:val="center"/>
          </w:tcPr>
          <w:p w14:paraId="730CB3C3">
            <w:pPr>
              <w:pStyle w:val="12"/>
            </w:pPr>
            <w:r>
              <w:t>时效指标</w:t>
            </w:r>
          </w:p>
        </w:tc>
        <w:tc>
          <w:tcPr>
            <w:tcW w:w="2835" w:type="dxa"/>
            <w:vAlign w:val="center"/>
          </w:tcPr>
          <w:p w14:paraId="22BED54D">
            <w:pPr>
              <w:pStyle w:val="12"/>
            </w:pPr>
            <w:r>
              <w:t>资金支付率</w:t>
            </w:r>
          </w:p>
        </w:tc>
        <w:tc>
          <w:tcPr>
            <w:tcW w:w="5386" w:type="dxa"/>
            <w:vAlign w:val="center"/>
          </w:tcPr>
          <w:p w14:paraId="45D878CD">
            <w:pPr>
              <w:pStyle w:val="12"/>
            </w:pPr>
            <w:r>
              <w:t>按照序时进度完成资金支付</w:t>
            </w:r>
          </w:p>
        </w:tc>
        <w:tc>
          <w:tcPr>
            <w:tcW w:w="2268" w:type="dxa"/>
            <w:vAlign w:val="center"/>
          </w:tcPr>
          <w:p w14:paraId="5CA7D074">
            <w:pPr>
              <w:pStyle w:val="12"/>
            </w:pPr>
            <w:r>
              <w:t>100%</w:t>
            </w:r>
          </w:p>
        </w:tc>
        <w:tc>
          <w:tcPr>
            <w:tcW w:w="1276" w:type="dxa"/>
            <w:vAlign w:val="center"/>
          </w:tcPr>
          <w:p w14:paraId="7A5FEF86">
            <w:pPr>
              <w:pStyle w:val="12"/>
            </w:pPr>
            <w:r>
              <w:t>学前发展资金管理方法</w:t>
            </w:r>
          </w:p>
        </w:tc>
      </w:tr>
      <w:tr w14:paraId="69D2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BAC1A"/>
        </w:tc>
        <w:tc>
          <w:tcPr>
            <w:tcW w:w="2268" w:type="dxa"/>
            <w:vAlign w:val="center"/>
          </w:tcPr>
          <w:p w14:paraId="381CE018">
            <w:pPr>
              <w:pStyle w:val="12"/>
            </w:pPr>
            <w:r>
              <w:t>成本指标</w:t>
            </w:r>
          </w:p>
        </w:tc>
        <w:tc>
          <w:tcPr>
            <w:tcW w:w="2835" w:type="dxa"/>
            <w:vAlign w:val="center"/>
          </w:tcPr>
          <w:p w14:paraId="400EC6BB">
            <w:pPr>
              <w:pStyle w:val="12"/>
            </w:pPr>
            <w:r>
              <w:t>生均拨款标准</w:t>
            </w:r>
          </w:p>
        </w:tc>
        <w:tc>
          <w:tcPr>
            <w:tcW w:w="5386" w:type="dxa"/>
            <w:vAlign w:val="center"/>
          </w:tcPr>
          <w:p w14:paraId="0CE696C7">
            <w:pPr>
              <w:pStyle w:val="12"/>
            </w:pPr>
            <w:r>
              <w:t>学前：（基本标准600元/生/学年）</w:t>
            </w:r>
          </w:p>
        </w:tc>
        <w:tc>
          <w:tcPr>
            <w:tcW w:w="2268" w:type="dxa"/>
            <w:vAlign w:val="center"/>
          </w:tcPr>
          <w:p w14:paraId="50A47BDC">
            <w:pPr>
              <w:pStyle w:val="12"/>
            </w:pPr>
            <w:r>
              <w:t>600元</w:t>
            </w:r>
          </w:p>
        </w:tc>
        <w:tc>
          <w:tcPr>
            <w:tcW w:w="1276" w:type="dxa"/>
            <w:vAlign w:val="center"/>
          </w:tcPr>
          <w:p w14:paraId="2CC23584">
            <w:pPr>
              <w:pStyle w:val="12"/>
            </w:pPr>
            <w:r>
              <w:t>学前发展资金管理方法</w:t>
            </w:r>
          </w:p>
        </w:tc>
      </w:tr>
      <w:tr w14:paraId="3C76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22098">
            <w:pPr>
              <w:pStyle w:val="13"/>
            </w:pPr>
            <w:r>
              <w:t>效益指标</w:t>
            </w:r>
          </w:p>
        </w:tc>
        <w:tc>
          <w:tcPr>
            <w:tcW w:w="2268" w:type="dxa"/>
            <w:vAlign w:val="center"/>
          </w:tcPr>
          <w:p w14:paraId="051553EC">
            <w:pPr>
              <w:pStyle w:val="12"/>
            </w:pPr>
            <w:r>
              <w:t>可持续影响指标</w:t>
            </w:r>
          </w:p>
        </w:tc>
        <w:tc>
          <w:tcPr>
            <w:tcW w:w="2835" w:type="dxa"/>
            <w:vAlign w:val="center"/>
          </w:tcPr>
          <w:p w14:paraId="2B576D2E">
            <w:pPr>
              <w:pStyle w:val="12"/>
            </w:pPr>
            <w:r>
              <w:t>学校运转得到提升</w:t>
            </w:r>
          </w:p>
        </w:tc>
        <w:tc>
          <w:tcPr>
            <w:tcW w:w="5386" w:type="dxa"/>
            <w:vAlign w:val="center"/>
          </w:tcPr>
          <w:p w14:paraId="7C87CC48">
            <w:pPr>
              <w:pStyle w:val="12"/>
            </w:pPr>
            <w:r>
              <w:t>幼儿受教育年限</w:t>
            </w:r>
          </w:p>
        </w:tc>
        <w:tc>
          <w:tcPr>
            <w:tcW w:w="2268" w:type="dxa"/>
            <w:vAlign w:val="center"/>
          </w:tcPr>
          <w:p w14:paraId="5B069ACE">
            <w:pPr>
              <w:pStyle w:val="12"/>
            </w:pPr>
            <w:r>
              <w:t>3年</w:t>
            </w:r>
          </w:p>
        </w:tc>
        <w:tc>
          <w:tcPr>
            <w:tcW w:w="1276" w:type="dxa"/>
            <w:vAlign w:val="center"/>
          </w:tcPr>
          <w:p w14:paraId="2B1229CB">
            <w:pPr>
              <w:pStyle w:val="12"/>
            </w:pPr>
            <w:r>
              <w:t>学前发展资金管理方法</w:t>
            </w:r>
          </w:p>
        </w:tc>
      </w:tr>
      <w:tr w14:paraId="7290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D2D13">
            <w:pPr>
              <w:pStyle w:val="13"/>
            </w:pPr>
            <w:r>
              <w:t>满意度指标</w:t>
            </w:r>
          </w:p>
        </w:tc>
        <w:tc>
          <w:tcPr>
            <w:tcW w:w="2268" w:type="dxa"/>
            <w:vAlign w:val="center"/>
          </w:tcPr>
          <w:p w14:paraId="06D971A7">
            <w:pPr>
              <w:pStyle w:val="12"/>
            </w:pPr>
            <w:r>
              <w:t>服务对象满意度指标</w:t>
            </w:r>
          </w:p>
        </w:tc>
        <w:tc>
          <w:tcPr>
            <w:tcW w:w="2835" w:type="dxa"/>
            <w:vAlign w:val="center"/>
          </w:tcPr>
          <w:p w14:paraId="32A28CB9">
            <w:pPr>
              <w:pStyle w:val="12"/>
            </w:pPr>
            <w:r>
              <w:t>受益学生家长及调查满意度</w:t>
            </w:r>
          </w:p>
        </w:tc>
        <w:tc>
          <w:tcPr>
            <w:tcW w:w="5386" w:type="dxa"/>
            <w:vAlign w:val="center"/>
          </w:tcPr>
          <w:p w14:paraId="11EF9C8C">
            <w:pPr>
              <w:pStyle w:val="12"/>
            </w:pPr>
            <w:r>
              <w:t>学生、教师及家长对学校保教保育工作满意度情况</w:t>
            </w:r>
          </w:p>
        </w:tc>
        <w:tc>
          <w:tcPr>
            <w:tcW w:w="2268" w:type="dxa"/>
            <w:vAlign w:val="center"/>
          </w:tcPr>
          <w:p w14:paraId="0A5F2290">
            <w:pPr>
              <w:pStyle w:val="12"/>
            </w:pPr>
            <w:r>
              <w:t>≥95%</w:t>
            </w:r>
          </w:p>
        </w:tc>
        <w:tc>
          <w:tcPr>
            <w:tcW w:w="1276" w:type="dxa"/>
            <w:vAlign w:val="center"/>
          </w:tcPr>
          <w:p w14:paraId="15FF1E34">
            <w:pPr>
              <w:pStyle w:val="12"/>
            </w:pPr>
            <w:r>
              <w:t>群众测评</w:t>
            </w:r>
          </w:p>
        </w:tc>
      </w:tr>
    </w:tbl>
    <w:p w14:paraId="66CADA2D">
      <w:pPr>
        <w:sectPr>
          <w:pgSz w:w="16840" w:h="11900" w:orient="landscape"/>
          <w:pgMar w:top="1361" w:right="1020" w:bottom="1134" w:left="1020" w:header="720" w:footer="720" w:gutter="0"/>
          <w:cols w:space="720" w:num="1"/>
        </w:sectPr>
      </w:pPr>
    </w:p>
    <w:p w14:paraId="56CFE056">
      <w:pPr>
        <w:spacing w:before="0" w:after="0"/>
        <w:ind w:firstLine="560"/>
        <w:jc w:val="left"/>
        <w:outlineLvl w:val="9"/>
      </w:pPr>
      <w:r>
        <w:rPr>
          <w:rFonts w:ascii="方正仿宋_GBK" w:hAnsi="方正仿宋_GBK" w:eastAsia="方正仿宋_GBK" w:cs="方正仿宋_GBK"/>
          <w:b/>
          <w:color w:val="000000"/>
          <w:sz w:val="28"/>
        </w:rPr>
        <w:t>22、冀财教[2025]149号/省级/2026年学前发展资金/山口校区学前教育幼儿资助绩效目标表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3D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FDC5D">
            <w:pPr>
              <w:pStyle w:val="11"/>
            </w:pPr>
            <w:r>
              <w:t>单位：万元</w:t>
            </w:r>
          </w:p>
        </w:tc>
      </w:tr>
      <w:tr w14:paraId="7EF64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3303C">
            <w:pPr>
              <w:pStyle w:val="10"/>
            </w:pPr>
            <w:r>
              <w:t>项目编码</w:t>
            </w:r>
          </w:p>
        </w:tc>
        <w:tc>
          <w:tcPr>
            <w:tcW w:w="5103" w:type="dxa"/>
            <w:gridSpan w:val="2"/>
            <w:vAlign w:val="center"/>
          </w:tcPr>
          <w:p w14:paraId="1E85809D">
            <w:pPr>
              <w:pStyle w:val="12"/>
            </w:pPr>
            <w:r>
              <w:t>13052526P00000210071R</w:t>
            </w:r>
          </w:p>
        </w:tc>
        <w:tc>
          <w:tcPr>
            <w:tcW w:w="2835" w:type="dxa"/>
            <w:vAlign w:val="center"/>
          </w:tcPr>
          <w:p w14:paraId="7B8C16B0">
            <w:pPr>
              <w:pStyle w:val="10"/>
            </w:pPr>
            <w:r>
              <w:t>项目名称</w:t>
            </w:r>
          </w:p>
        </w:tc>
        <w:tc>
          <w:tcPr>
            <w:tcW w:w="6095" w:type="dxa"/>
            <w:gridSpan w:val="3"/>
            <w:vAlign w:val="center"/>
          </w:tcPr>
          <w:p w14:paraId="6465A31C">
            <w:pPr>
              <w:pStyle w:val="12"/>
            </w:pPr>
            <w:r>
              <w:t>冀财教[2025]149号/省级/2026年学前发展资金/山口校区学前教育幼儿资助</w:t>
            </w:r>
          </w:p>
        </w:tc>
      </w:tr>
      <w:tr w14:paraId="1D692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F2D03">
            <w:pPr>
              <w:pStyle w:val="10"/>
            </w:pPr>
            <w:r>
              <w:t>预算规模及资金用途</w:t>
            </w:r>
          </w:p>
        </w:tc>
        <w:tc>
          <w:tcPr>
            <w:tcW w:w="2268" w:type="dxa"/>
            <w:vAlign w:val="center"/>
          </w:tcPr>
          <w:p w14:paraId="6C48F7DF">
            <w:pPr>
              <w:pStyle w:val="10"/>
            </w:pPr>
            <w:r>
              <w:t>预算数</w:t>
            </w:r>
          </w:p>
        </w:tc>
        <w:tc>
          <w:tcPr>
            <w:tcW w:w="2835" w:type="dxa"/>
            <w:vAlign w:val="center"/>
          </w:tcPr>
          <w:p w14:paraId="0CE7FCF9">
            <w:pPr>
              <w:pStyle w:val="12"/>
            </w:pPr>
            <w:r>
              <w:t>1.14</w:t>
            </w:r>
          </w:p>
        </w:tc>
        <w:tc>
          <w:tcPr>
            <w:tcW w:w="2835" w:type="dxa"/>
            <w:vAlign w:val="center"/>
          </w:tcPr>
          <w:p w14:paraId="546A760F">
            <w:pPr>
              <w:pStyle w:val="10"/>
            </w:pPr>
            <w:r>
              <w:t>其中：财政    资金</w:t>
            </w:r>
          </w:p>
        </w:tc>
        <w:tc>
          <w:tcPr>
            <w:tcW w:w="2551" w:type="dxa"/>
            <w:vAlign w:val="center"/>
          </w:tcPr>
          <w:p w14:paraId="3EC5A7BD">
            <w:pPr>
              <w:pStyle w:val="12"/>
            </w:pPr>
            <w:r>
              <w:t>1.14</w:t>
            </w:r>
          </w:p>
        </w:tc>
        <w:tc>
          <w:tcPr>
            <w:tcW w:w="2268" w:type="dxa"/>
            <w:vAlign w:val="center"/>
          </w:tcPr>
          <w:p w14:paraId="0A2D970E">
            <w:pPr>
              <w:pStyle w:val="10"/>
            </w:pPr>
            <w:r>
              <w:t>其他资金</w:t>
            </w:r>
          </w:p>
        </w:tc>
        <w:tc>
          <w:tcPr>
            <w:tcW w:w="1276" w:type="dxa"/>
            <w:vAlign w:val="center"/>
          </w:tcPr>
          <w:p w14:paraId="3BB1AFD2">
            <w:pPr>
              <w:pStyle w:val="12"/>
            </w:pPr>
            <w:r>
              <w:t xml:space="preserve"> </w:t>
            </w:r>
          </w:p>
        </w:tc>
      </w:tr>
      <w:tr w14:paraId="1139F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B961E"/>
        </w:tc>
        <w:tc>
          <w:tcPr>
            <w:tcW w:w="14033" w:type="dxa"/>
            <w:gridSpan w:val="6"/>
            <w:vAlign w:val="center"/>
          </w:tcPr>
          <w:p w14:paraId="4F88648C">
            <w:pPr>
              <w:pStyle w:val="12"/>
            </w:pPr>
            <w:r>
              <w:t>保障落实建档立卡及家庭经济困难儿童资助所需资金，确保建档立卡等家庭经济困难幼儿优先获得资助</w:t>
            </w:r>
          </w:p>
        </w:tc>
      </w:tr>
      <w:tr w14:paraId="33612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FDF7A">
            <w:pPr>
              <w:pStyle w:val="10"/>
            </w:pPr>
            <w:r>
              <w:t>资金支出计划（%）</w:t>
            </w:r>
          </w:p>
        </w:tc>
        <w:tc>
          <w:tcPr>
            <w:tcW w:w="5103" w:type="dxa"/>
            <w:gridSpan w:val="2"/>
            <w:vAlign w:val="center"/>
          </w:tcPr>
          <w:p w14:paraId="3AD91888">
            <w:pPr>
              <w:pStyle w:val="10"/>
            </w:pPr>
            <w:r>
              <w:t>3月底</w:t>
            </w:r>
          </w:p>
        </w:tc>
        <w:tc>
          <w:tcPr>
            <w:tcW w:w="2835" w:type="dxa"/>
            <w:vAlign w:val="center"/>
          </w:tcPr>
          <w:p w14:paraId="2B3701B5">
            <w:pPr>
              <w:pStyle w:val="10"/>
            </w:pPr>
            <w:r>
              <w:t>6月底</w:t>
            </w:r>
          </w:p>
        </w:tc>
        <w:tc>
          <w:tcPr>
            <w:tcW w:w="2551" w:type="dxa"/>
            <w:vAlign w:val="center"/>
          </w:tcPr>
          <w:p w14:paraId="1E51734E">
            <w:pPr>
              <w:pStyle w:val="10"/>
            </w:pPr>
            <w:r>
              <w:t>10月底</w:t>
            </w:r>
          </w:p>
        </w:tc>
        <w:tc>
          <w:tcPr>
            <w:tcW w:w="3544" w:type="dxa"/>
            <w:gridSpan w:val="2"/>
            <w:vAlign w:val="center"/>
          </w:tcPr>
          <w:p w14:paraId="7AE95572">
            <w:pPr>
              <w:pStyle w:val="10"/>
            </w:pPr>
            <w:r>
              <w:t>12月底</w:t>
            </w:r>
          </w:p>
        </w:tc>
      </w:tr>
      <w:tr w14:paraId="01C91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76810"/>
        </w:tc>
        <w:tc>
          <w:tcPr>
            <w:tcW w:w="5103" w:type="dxa"/>
            <w:gridSpan w:val="2"/>
            <w:vAlign w:val="center"/>
          </w:tcPr>
          <w:p w14:paraId="0D741DA6">
            <w:pPr>
              <w:pStyle w:val="13"/>
            </w:pPr>
            <w:r>
              <w:t>25%</w:t>
            </w:r>
          </w:p>
        </w:tc>
        <w:tc>
          <w:tcPr>
            <w:tcW w:w="2835" w:type="dxa"/>
            <w:vAlign w:val="center"/>
          </w:tcPr>
          <w:p w14:paraId="2406E61F">
            <w:pPr>
              <w:pStyle w:val="13"/>
            </w:pPr>
            <w:r>
              <w:t>50%</w:t>
            </w:r>
          </w:p>
        </w:tc>
        <w:tc>
          <w:tcPr>
            <w:tcW w:w="2551" w:type="dxa"/>
            <w:vAlign w:val="center"/>
          </w:tcPr>
          <w:p w14:paraId="4AB6EAF5">
            <w:pPr>
              <w:pStyle w:val="13"/>
            </w:pPr>
            <w:r>
              <w:t>75%</w:t>
            </w:r>
          </w:p>
        </w:tc>
        <w:tc>
          <w:tcPr>
            <w:tcW w:w="3544" w:type="dxa"/>
            <w:gridSpan w:val="2"/>
            <w:vAlign w:val="center"/>
          </w:tcPr>
          <w:p w14:paraId="0220222F">
            <w:pPr>
              <w:pStyle w:val="13"/>
            </w:pPr>
            <w:r>
              <w:t>100%</w:t>
            </w:r>
          </w:p>
        </w:tc>
      </w:tr>
      <w:tr w14:paraId="06564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7D467">
            <w:pPr>
              <w:pStyle w:val="10"/>
            </w:pPr>
            <w:r>
              <w:t>绩效目标</w:t>
            </w:r>
          </w:p>
        </w:tc>
        <w:tc>
          <w:tcPr>
            <w:tcW w:w="14033" w:type="dxa"/>
            <w:gridSpan w:val="6"/>
            <w:vAlign w:val="center"/>
          </w:tcPr>
          <w:p w14:paraId="0C372C37">
            <w:pPr>
              <w:pStyle w:val="12"/>
            </w:pPr>
            <w:r>
              <w:t>1.保证本年度资助经费足额落实到位，符合享受资助条件的学生应助尽助。</w:t>
            </w:r>
          </w:p>
          <w:p w14:paraId="592AF2B6">
            <w:pPr>
              <w:pStyle w:val="12"/>
            </w:pPr>
            <w:r>
              <w:t>2.保障落实建档立卡及家庭经济困难儿童资助所需资金，确保建档立卡等家庭经济困难幼儿优先获得资助</w:t>
            </w:r>
          </w:p>
        </w:tc>
      </w:tr>
    </w:tbl>
    <w:p w14:paraId="6FEE8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6F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1FA32">
            <w:pPr>
              <w:pStyle w:val="10"/>
            </w:pPr>
            <w:r>
              <w:t>一级指标</w:t>
            </w:r>
          </w:p>
        </w:tc>
        <w:tc>
          <w:tcPr>
            <w:tcW w:w="2268" w:type="dxa"/>
            <w:vAlign w:val="center"/>
          </w:tcPr>
          <w:p w14:paraId="1D7C2871">
            <w:pPr>
              <w:pStyle w:val="10"/>
            </w:pPr>
            <w:r>
              <w:t>二级指标</w:t>
            </w:r>
          </w:p>
        </w:tc>
        <w:tc>
          <w:tcPr>
            <w:tcW w:w="2835" w:type="dxa"/>
            <w:vAlign w:val="center"/>
          </w:tcPr>
          <w:p w14:paraId="21C8D9C5">
            <w:pPr>
              <w:pStyle w:val="10"/>
            </w:pPr>
            <w:r>
              <w:t>三级指标</w:t>
            </w:r>
          </w:p>
        </w:tc>
        <w:tc>
          <w:tcPr>
            <w:tcW w:w="5386" w:type="dxa"/>
            <w:vAlign w:val="center"/>
          </w:tcPr>
          <w:p w14:paraId="1FB7D28E">
            <w:pPr>
              <w:pStyle w:val="10"/>
            </w:pPr>
            <w:r>
              <w:t>绩效指标描述</w:t>
            </w:r>
          </w:p>
        </w:tc>
        <w:tc>
          <w:tcPr>
            <w:tcW w:w="2268" w:type="dxa"/>
            <w:vAlign w:val="center"/>
          </w:tcPr>
          <w:p w14:paraId="2C464E13">
            <w:pPr>
              <w:pStyle w:val="10"/>
            </w:pPr>
            <w:r>
              <w:t>指标值</w:t>
            </w:r>
          </w:p>
        </w:tc>
        <w:tc>
          <w:tcPr>
            <w:tcW w:w="1276" w:type="dxa"/>
            <w:vAlign w:val="center"/>
          </w:tcPr>
          <w:p w14:paraId="6728E12D">
            <w:pPr>
              <w:pStyle w:val="10"/>
            </w:pPr>
            <w:r>
              <w:t>指标值确定依据</w:t>
            </w:r>
          </w:p>
        </w:tc>
      </w:tr>
      <w:tr w14:paraId="309E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2F1D4">
            <w:pPr>
              <w:pStyle w:val="13"/>
            </w:pPr>
            <w:r>
              <w:t>产出指标</w:t>
            </w:r>
          </w:p>
        </w:tc>
        <w:tc>
          <w:tcPr>
            <w:tcW w:w="2268" w:type="dxa"/>
            <w:vAlign w:val="center"/>
          </w:tcPr>
          <w:p w14:paraId="70305381">
            <w:pPr>
              <w:pStyle w:val="12"/>
            </w:pPr>
            <w:r>
              <w:t>数量指标</w:t>
            </w:r>
          </w:p>
        </w:tc>
        <w:tc>
          <w:tcPr>
            <w:tcW w:w="2835" w:type="dxa"/>
            <w:vAlign w:val="center"/>
          </w:tcPr>
          <w:p w14:paraId="7DC2FD98">
            <w:pPr>
              <w:pStyle w:val="12"/>
            </w:pPr>
            <w:r>
              <w:t>幼儿资助比例</w:t>
            </w:r>
          </w:p>
        </w:tc>
        <w:tc>
          <w:tcPr>
            <w:tcW w:w="5386" w:type="dxa"/>
            <w:vAlign w:val="center"/>
          </w:tcPr>
          <w:p w14:paraId="4263DBA8">
            <w:pPr>
              <w:pStyle w:val="12"/>
            </w:pPr>
            <w:r>
              <w:t>按学前适龄在园儿童10%测算</w:t>
            </w:r>
          </w:p>
        </w:tc>
        <w:tc>
          <w:tcPr>
            <w:tcW w:w="2268" w:type="dxa"/>
            <w:vAlign w:val="center"/>
          </w:tcPr>
          <w:p w14:paraId="7004FF03">
            <w:pPr>
              <w:pStyle w:val="12"/>
            </w:pPr>
            <w:r>
              <w:t>10%</w:t>
            </w:r>
          </w:p>
        </w:tc>
        <w:tc>
          <w:tcPr>
            <w:tcW w:w="1276" w:type="dxa"/>
            <w:vAlign w:val="center"/>
          </w:tcPr>
          <w:p w14:paraId="67FBEA84">
            <w:pPr>
              <w:pStyle w:val="12"/>
            </w:pPr>
            <w:r>
              <w:t>幼儿资助经费管理办法</w:t>
            </w:r>
          </w:p>
        </w:tc>
      </w:tr>
      <w:tr w14:paraId="3806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39DE2"/>
        </w:tc>
        <w:tc>
          <w:tcPr>
            <w:tcW w:w="2268" w:type="dxa"/>
            <w:vAlign w:val="center"/>
          </w:tcPr>
          <w:p w14:paraId="3FBCB544">
            <w:pPr>
              <w:pStyle w:val="12"/>
            </w:pPr>
            <w:r>
              <w:t>质量指标</w:t>
            </w:r>
          </w:p>
        </w:tc>
        <w:tc>
          <w:tcPr>
            <w:tcW w:w="2835" w:type="dxa"/>
            <w:vAlign w:val="center"/>
          </w:tcPr>
          <w:p w14:paraId="18ECF46E">
            <w:pPr>
              <w:pStyle w:val="12"/>
            </w:pPr>
            <w:r>
              <w:t>资助资金使用率</w:t>
            </w:r>
          </w:p>
        </w:tc>
        <w:tc>
          <w:tcPr>
            <w:tcW w:w="5386" w:type="dxa"/>
            <w:vAlign w:val="center"/>
          </w:tcPr>
          <w:p w14:paraId="54D9E782">
            <w:pPr>
              <w:pStyle w:val="12"/>
            </w:pPr>
            <w:r>
              <w:t>符合享受资助条件的学生应助尽助</w:t>
            </w:r>
          </w:p>
        </w:tc>
        <w:tc>
          <w:tcPr>
            <w:tcW w:w="2268" w:type="dxa"/>
            <w:vAlign w:val="center"/>
          </w:tcPr>
          <w:p w14:paraId="14B79868">
            <w:pPr>
              <w:pStyle w:val="12"/>
            </w:pPr>
            <w:r>
              <w:t>100%</w:t>
            </w:r>
          </w:p>
        </w:tc>
        <w:tc>
          <w:tcPr>
            <w:tcW w:w="1276" w:type="dxa"/>
            <w:vAlign w:val="center"/>
          </w:tcPr>
          <w:p w14:paraId="3C45BDEB">
            <w:pPr>
              <w:pStyle w:val="12"/>
            </w:pPr>
            <w:r>
              <w:t>幼儿资助经费管理办法</w:t>
            </w:r>
          </w:p>
        </w:tc>
      </w:tr>
      <w:tr w14:paraId="5104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5422B"/>
        </w:tc>
        <w:tc>
          <w:tcPr>
            <w:tcW w:w="2268" w:type="dxa"/>
            <w:vAlign w:val="center"/>
          </w:tcPr>
          <w:p w14:paraId="5E76B30D">
            <w:pPr>
              <w:pStyle w:val="12"/>
            </w:pPr>
            <w:r>
              <w:t>时效指标</w:t>
            </w:r>
          </w:p>
        </w:tc>
        <w:tc>
          <w:tcPr>
            <w:tcW w:w="2835" w:type="dxa"/>
            <w:vAlign w:val="center"/>
          </w:tcPr>
          <w:p w14:paraId="3C6D363B">
            <w:pPr>
              <w:pStyle w:val="12"/>
            </w:pPr>
            <w:r>
              <w:t>资金拨付率</w:t>
            </w:r>
          </w:p>
        </w:tc>
        <w:tc>
          <w:tcPr>
            <w:tcW w:w="5386" w:type="dxa"/>
            <w:vAlign w:val="center"/>
          </w:tcPr>
          <w:p w14:paraId="014D77FC">
            <w:pPr>
              <w:pStyle w:val="12"/>
            </w:pPr>
            <w:r>
              <w:t>所有项目资金支付进度</w:t>
            </w:r>
          </w:p>
        </w:tc>
        <w:tc>
          <w:tcPr>
            <w:tcW w:w="2268" w:type="dxa"/>
            <w:vAlign w:val="center"/>
          </w:tcPr>
          <w:p w14:paraId="1CF40FF7">
            <w:pPr>
              <w:pStyle w:val="12"/>
            </w:pPr>
            <w:r>
              <w:t>100%</w:t>
            </w:r>
          </w:p>
        </w:tc>
        <w:tc>
          <w:tcPr>
            <w:tcW w:w="1276" w:type="dxa"/>
            <w:vAlign w:val="center"/>
          </w:tcPr>
          <w:p w14:paraId="7127AFD3">
            <w:pPr>
              <w:pStyle w:val="12"/>
            </w:pPr>
            <w:r>
              <w:t>幼儿资助经费管理办法</w:t>
            </w:r>
          </w:p>
        </w:tc>
      </w:tr>
      <w:tr w14:paraId="79B2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882F5"/>
        </w:tc>
        <w:tc>
          <w:tcPr>
            <w:tcW w:w="2268" w:type="dxa"/>
            <w:vAlign w:val="center"/>
          </w:tcPr>
          <w:p w14:paraId="0192F5A5">
            <w:pPr>
              <w:pStyle w:val="12"/>
            </w:pPr>
            <w:r>
              <w:t>成本指标</w:t>
            </w:r>
          </w:p>
        </w:tc>
        <w:tc>
          <w:tcPr>
            <w:tcW w:w="2835" w:type="dxa"/>
            <w:vAlign w:val="center"/>
          </w:tcPr>
          <w:p w14:paraId="749B1EE6">
            <w:pPr>
              <w:pStyle w:val="12"/>
            </w:pPr>
            <w:r>
              <w:t>幼儿园生均成本</w:t>
            </w:r>
          </w:p>
        </w:tc>
        <w:tc>
          <w:tcPr>
            <w:tcW w:w="5386" w:type="dxa"/>
            <w:vAlign w:val="center"/>
          </w:tcPr>
          <w:p w14:paraId="58DB209F">
            <w:pPr>
              <w:pStyle w:val="12"/>
            </w:pPr>
            <w:r>
              <w:t>按照幼儿园资助标准1000元/生/年</w:t>
            </w:r>
          </w:p>
        </w:tc>
        <w:tc>
          <w:tcPr>
            <w:tcW w:w="2268" w:type="dxa"/>
            <w:vAlign w:val="center"/>
          </w:tcPr>
          <w:p w14:paraId="0F75F025">
            <w:pPr>
              <w:pStyle w:val="12"/>
            </w:pPr>
            <w:r>
              <w:t>1000元</w:t>
            </w:r>
          </w:p>
        </w:tc>
        <w:tc>
          <w:tcPr>
            <w:tcW w:w="1276" w:type="dxa"/>
            <w:vAlign w:val="center"/>
          </w:tcPr>
          <w:p w14:paraId="512D8768">
            <w:pPr>
              <w:pStyle w:val="12"/>
            </w:pPr>
            <w:r>
              <w:t>幼儿资助经费管理办法</w:t>
            </w:r>
          </w:p>
        </w:tc>
      </w:tr>
      <w:tr w14:paraId="1DE0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43A08">
            <w:pPr>
              <w:pStyle w:val="13"/>
            </w:pPr>
            <w:r>
              <w:t>效益指标</w:t>
            </w:r>
          </w:p>
        </w:tc>
        <w:tc>
          <w:tcPr>
            <w:tcW w:w="2268" w:type="dxa"/>
            <w:vAlign w:val="center"/>
          </w:tcPr>
          <w:p w14:paraId="45439499">
            <w:pPr>
              <w:pStyle w:val="12"/>
            </w:pPr>
            <w:r>
              <w:t>可持续影响指标</w:t>
            </w:r>
          </w:p>
        </w:tc>
        <w:tc>
          <w:tcPr>
            <w:tcW w:w="2835" w:type="dxa"/>
            <w:vAlign w:val="center"/>
          </w:tcPr>
          <w:p w14:paraId="626B8812">
            <w:pPr>
              <w:pStyle w:val="12"/>
            </w:pPr>
            <w:r>
              <w:t>幼儿园正常运转</w:t>
            </w:r>
          </w:p>
        </w:tc>
        <w:tc>
          <w:tcPr>
            <w:tcW w:w="5386" w:type="dxa"/>
            <w:vAlign w:val="center"/>
          </w:tcPr>
          <w:p w14:paraId="79CEA18E">
            <w:pPr>
              <w:pStyle w:val="12"/>
            </w:pPr>
            <w:r>
              <w:t>幼儿受教育年限</w:t>
            </w:r>
          </w:p>
        </w:tc>
        <w:tc>
          <w:tcPr>
            <w:tcW w:w="2268" w:type="dxa"/>
            <w:vAlign w:val="center"/>
          </w:tcPr>
          <w:p w14:paraId="39FB4512">
            <w:pPr>
              <w:pStyle w:val="12"/>
            </w:pPr>
            <w:r>
              <w:t>3年</w:t>
            </w:r>
          </w:p>
        </w:tc>
        <w:tc>
          <w:tcPr>
            <w:tcW w:w="1276" w:type="dxa"/>
            <w:vAlign w:val="center"/>
          </w:tcPr>
          <w:p w14:paraId="2BC91DAE">
            <w:pPr>
              <w:pStyle w:val="12"/>
            </w:pPr>
            <w:r>
              <w:t>幼儿资助经费管理办法</w:t>
            </w:r>
          </w:p>
        </w:tc>
      </w:tr>
      <w:tr w14:paraId="0567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256C8">
            <w:pPr>
              <w:pStyle w:val="13"/>
            </w:pPr>
            <w:r>
              <w:t>满意度指标</w:t>
            </w:r>
          </w:p>
        </w:tc>
        <w:tc>
          <w:tcPr>
            <w:tcW w:w="2268" w:type="dxa"/>
            <w:vAlign w:val="center"/>
          </w:tcPr>
          <w:p w14:paraId="4E4F5DA2">
            <w:pPr>
              <w:pStyle w:val="12"/>
            </w:pPr>
            <w:r>
              <w:t>服务对象满意度指标</w:t>
            </w:r>
          </w:p>
        </w:tc>
        <w:tc>
          <w:tcPr>
            <w:tcW w:w="2835" w:type="dxa"/>
            <w:vAlign w:val="center"/>
          </w:tcPr>
          <w:p w14:paraId="6EAC2569">
            <w:pPr>
              <w:pStyle w:val="12"/>
            </w:pPr>
            <w:r>
              <w:t>受益幼儿家长及调查满意度</w:t>
            </w:r>
          </w:p>
        </w:tc>
        <w:tc>
          <w:tcPr>
            <w:tcW w:w="5386" w:type="dxa"/>
            <w:vAlign w:val="center"/>
          </w:tcPr>
          <w:p w14:paraId="10087A5F">
            <w:pPr>
              <w:pStyle w:val="12"/>
            </w:pPr>
            <w:r>
              <w:t>学生、教师及家长对学校保教保育工作满意度情况</w:t>
            </w:r>
          </w:p>
        </w:tc>
        <w:tc>
          <w:tcPr>
            <w:tcW w:w="2268" w:type="dxa"/>
            <w:vAlign w:val="center"/>
          </w:tcPr>
          <w:p w14:paraId="3DAF730A">
            <w:pPr>
              <w:pStyle w:val="12"/>
            </w:pPr>
            <w:r>
              <w:t>≥95%</w:t>
            </w:r>
          </w:p>
        </w:tc>
        <w:tc>
          <w:tcPr>
            <w:tcW w:w="1276" w:type="dxa"/>
            <w:vAlign w:val="center"/>
          </w:tcPr>
          <w:p w14:paraId="53DD8F3C">
            <w:pPr>
              <w:pStyle w:val="12"/>
            </w:pPr>
            <w:r>
              <w:t>幼儿资助经费管理办法</w:t>
            </w:r>
          </w:p>
        </w:tc>
      </w:tr>
    </w:tbl>
    <w:p w14:paraId="5F98790B">
      <w:pPr>
        <w:sectPr>
          <w:pgSz w:w="16840" w:h="11900" w:orient="landscape"/>
          <w:pgMar w:top="1361" w:right="1020" w:bottom="1134" w:left="1020" w:header="720" w:footer="720" w:gutter="0"/>
          <w:cols w:space="720" w:num="1"/>
        </w:sectPr>
      </w:pPr>
    </w:p>
    <w:p w14:paraId="4D9FC505">
      <w:pPr>
        <w:spacing w:before="0" w:after="0"/>
        <w:ind w:firstLine="560"/>
        <w:jc w:val="left"/>
        <w:outlineLvl w:val="9"/>
      </w:pPr>
      <w:r>
        <w:rPr>
          <w:rFonts w:ascii="方正仿宋_GBK" w:hAnsi="方正仿宋_GBK" w:eastAsia="方正仿宋_GBK" w:cs="方正仿宋_GBK"/>
          <w:b/>
          <w:color w:val="000000"/>
          <w:sz w:val="28"/>
        </w:rPr>
        <w:t>23、冀财教[2025]149号/省级/2026年学前发展资金/山口校区幼儿园免保育教育费补助绩效目标表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65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A5B30">
            <w:pPr>
              <w:pStyle w:val="11"/>
            </w:pPr>
            <w:r>
              <w:t>单位：万元</w:t>
            </w:r>
          </w:p>
        </w:tc>
      </w:tr>
      <w:tr w14:paraId="1BDDE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7AC7F">
            <w:pPr>
              <w:pStyle w:val="10"/>
            </w:pPr>
            <w:r>
              <w:t>项目编码</w:t>
            </w:r>
          </w:p>
        </w:tc>
        <w:tc>
          <w:tcPr>
            <w:tcW w:w="5103" w:type="dxa"/>
            <w:gridSpan w:val="2"/>
            <w:vAlign w:val="center"/>
          </w:tcPr>
          <w:p w14:paraId="066DCBFC">
            <w:pPr>
              <w:pStyle w:val="12"/>
            </w:pPr>
            <w:r>
              <w:t>13052526P008769101544</w:t>
            </w:r>
          </w:p>
        </w:tc>
        <w:tc>
          <w:tcPr>
            <w:tcW w:w="2835" w:type="dxa"/>
            <w:vAlign w:val="center"/>
          </w:tcPr>
          <w:p w14:paraId="40AF7415">
            <w:pPr>
              <w:pStyle w:val="10"/>
            </w:pPr>
            <w:r>
              <w:t>项目名称</w:t>
            </w:r>
          </w:p>
        </w:tc>
        <w:tc>
          <w:tcPr>
            <w:tcW w:w="6095" w:type="dxa"/>
            <w:gridSpan w:val="3"/>
            <w:vAlign w:val="center"/>
          </w:tcPr>
          <w:p w14:paraId="36A2C2F0">
            <w:pPr>
              <w:pStyle w:val="12"/>
            </w:pPr>
            <w:r>
              <w:t>冀财教[2025]149号/省级/2026年学前发展资金/山口校区幼儿园免保育教育费补助</w:t>
            </w:r>
          </w:p>
        </w:tc>
      </w:tr>
      <w:tr w14:paraId="61AF8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75289">
            <w:pPr>
              <w:pStyle w:val="10"/>
            </w:pPr>
            <w:r>
              <w:t>预算规模及资金用途</w:t>
            </w:r>
          </w:p>
        </w:tc>
        <w:tc>
          <w:tcPr>
            <w:tcW w:w="2268" w:type="dxa"/>
            <w:vAlign w:val="center"/>
          </w:tcPr>
          <w:p w14:paraId="7D932DBE">
            <w:pPr>
              <w:pStyle w:val="10"/>
            </w:pPr>
            <w:r>
              <w:t>预算数</w:t>
            </w:r>
          </w:p>
        </w:tc>
        <w:tc>
          <w:tcPr>
            <w:tcW w:w="2835" w:type="dxa"/>
            <w:vAlign w:val="center"/>
          </w:tcPr>
          <w:p w14:paraId="45B436DC">
            <w:pPr>
              <w:pStyle w:val="12"/>
            </w:pPr>
            <w:r>
              <w:t>11.62</w:t>
            </w:r>
          </w:p>
        </w:tc>
        <w:tc>
          <w:tcPr>
            <w:tcW w:w="2835" w:type="dxa"/>
            <w:vAlign w:val="center"/>
          </w:tcPr>
          <w:p w14:paraId="0E767FF0">
            <w:pPr>
              <w:pStyle w:val="10"/>
            </w:pPr>
            <w:r>
              <w:t>其中：财政    资金</w:t>
            </w:r>
          </w:p>
        </w:tc>
        <w:tc>
          <w:tcPr>
            <w:tcW w:w="2551" w:type="dxa"/>
            <w:vAlign w:val="center"/>
          </w:tcPr>
          <w:p w14:paraId="3D48D310">
            <w:pPr>
              <w:pStyle w:val="12"/>
            </w:pPr>
            <w:r>
              <w:t>11.62</w:t>
            </w:r>
          </w:p>
        </w:tc>
        <w:tc>
          <w:tcPr>
            <w:tcW w:w="2268" w:type="dxa"/>
            <w:vAlign w:val="center"/>
          </w:tcPr>
          <w:p w14:paraId="1FC62B0A">
            <w:pPr>
              <w:pStyle w:val="10"/>
            </w:pPr>
            <w:r>
              <w:t>其他资金</w:t>
            </w:r>
          </w:p>
        </w:tc>
        <w:tc>
          <w:tcPr>
            <w:tcW w:w="1276" w:type="dxa"/>
            <w:vAlign w:val="center"/>
          </w:tcPr>
          <w:p w14:paraId="05CA5E7E">
            <w:pPr>
              <w:pStyle w:val="12"/>
            </w:pPr>
            <w:r>
              <w:t xml:space="preserve"> </w:t>
            </w:r>
          </w:p>
        </w:tc>
      </w:tr>
      <w:tr w14:paraId="05DB1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40F7A"/>
        </w:tc>
        <w:tc>
          <w:tcPr>
            <w:tcW w:w="14033" w:type="dxa"/>
            <w:gridSpan w:val="6"/>
            <w:vAlign w:val="center"/>
          </w:tcPr>
          <w:p w14:paraId="100D2231">
            <w:pPr>
              <w:pStyle w:val="12"/>
            </w:pPr>
            <w:r>
              <w:t>保障幼儿园正常运转，完成教育教学活动和其他日常工作任务等方面的费用支出。</w:t>
            </w:r>
          </w:p>
        </w:tc>
      </w:tr>
      <w:tr w14:paraId="3D53A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A606C">
            <w:pPr>
              <w:pStyle w:val="10"/>
            </w:pPr>
            <w:r>
              <w:t>资金支出计划（%）</w:t>
            </w:r>
          </w:p>
        </w:tc>
        <w:tc>
          <w:tcPr>
            <w:tcW w:w="5103" w:type="dxa"/>
            <w:gridSpan w:val="2"/>
            <w:vAlign w:val="center"/>
          </w:tcPr>
          <w:p w14:paraId="38C01887">
            <w:pPr>
              <w:pStyle w:val="10"/>
            </w:pPr>
            <w:r>
              <w:t>3月底</w:t>
            </w:r>
          </w:p>
        </w:tc>
        <w:tc>
          <w:tcPr>
            <w:tcW w:w="2835" w:type="dxa"/>
            <w:vAlign w:val="center"/>
          </w:tcPr>
          <w:p w14:paraId="5352E2ED">
            <w:pPr>
              <w:pStyle w:val="10"/>
            </w:pPr>
            <w:r>
              <w:t>6月底</w:t>
            </w:r>
          </w:p>
        </w:tc>
        <w:tc>
          <w:tcPr>
            <w:tcW w:w="2551" w:type="dxa"/>
            <w:vAlign w:val="center"/>
          </w:tcPr>
          <w:p w14:paraId="4741C7EB">
            <w:pPr>
              <w:pStyle w:val="10"/>
            </w:pPr>
            <w:r>
              <w:t>10月底</w:t>
            </w:r>
          </w:p>
        </w:tc>
        <w:tc>
          <w:tcPr>
            <w:tcW w:w="3544" w:type="dxa"/>
            <w:gridSpan w:val="2"/>
            <w:vAlign w:val="center"/>
          </w:tcPr>
          <w:p w14:paraId="029BB5B2">
            <w:pPr>
              <w:pStyle w:val="10"/>
            </w:pPr>
            <w:r>
              <w:t>12月底</w:t>
            </w:r>
          </w:p>
        </w:tc>
      </w:tr>
      <w:tr w14:paraId="3CC5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C2093"/>
        </w:tc>
        <w:tc>
          <w:tcPr>
            <w:tcW w:w="5103" w:type="dxa"/>
            <w:gridSpan w:val="2"/>
            <w:vAlign w:val="center"/>
          </w:tcPr>
          <w:p w14:paraId="5ED96CE4">
            <w:pPr>
              <w:pStyle w:val="13"/>
            </w:pPr>
            <w:r>
              <w:t>25%</w:t>
            </w:r>
          </w:p>
        </w:tc>
        <w:tc>
          <w:tcPr>
            <w:tcW w:w="2835" w:type="dxa"/>
            <w:vAlign w:val="center"/>
          </w:tcPr>
          <w:p w14:paraId="63A0159B">
            <w:pPr>
              <w:pStyle w:val="13"/>
            </w:pPr>
            <w:r>
              <w:t>50%</w:t>
            </w:r>
          </w:p>
        </w:tc>
        <w:tc>
          <w:tcPr>
            <w:tcW w:w="2551" w:type="dxa"/>
            <w:vAlign w:val="center"/>
          </w:tcPr>
          <w:p w14:paraId="1BBDBE44">
            <w:pPr>
              <w:pStyle w:val="13"/>
            </w:pPr>
            <w:r>
              <w:t>75%</w:t>
            </w:r>
          </w:p>
        </w:tc>
        <w:tc>
          <w:tcPr>
            <w:tcW w:w="3544" w:type="dxa"/>
            <w:gridSpan w:val="2"/>
            <w:vAlign w:val="center"/>
          </w:tcPr>
          <w:p w14:paraId="59F5C7C6">
            <w:pPr>
              <w:pStyle w:val="13"/>
            </w:pPr>
            <w:r>
              <w:t>100%</w:t>
            </w:r>
          </w:p>
        </w:tc>
      </w:tr>
      <w:tr w14:paraId="73069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31A6C">
            <w:pPr>
              <w:pStyle w:val="10"/>
            </w:pPr>
            <w:r>
              <w:t>绩效目标</w:t>
            </w:r>
          </w:p>
        </w:tc>
        <w:tc>
          <w:tcPr>
            <w:tcW w:w="14033" w:type="dxa"/>
            <w:gridSpan w:val="6"/>
            <w:vAlign w:val="center"/>
          </w:tcPr>
          <w:p w14:paraId="6E470DB5">
            <w:pPr>
              <w:pStyle w:val="12"/>
            </w:pPr>
            <w:r>
              <w:t>1.保障幼儿园正常运转，完成教育教学活动和其他日常工作任务等方面的费用支出。</w:t>
            </w:r>
          </w:p>
        </w:tc>
      </w:tr>
    </w:tbl>
    <w:p w14:paraId="1FC52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E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598B2">
            <w:pPr>
              <w:pStyle w:val="10"/>
            </w:pPr>
            <w:r>
              <w:t>一级指标</w:t>
            </w:r>
          </w:p>
        </w:tc>
        <w:tc>
          <w:tcPr>
            <w:tcW w:w="2268" w:type="dxa"/>
            <w:vAlign w:val="center"/>
          </w:tcPr>
          <w:p w14:paraId="25E5BD69">
            <w:pPr>
              <w:pStyle w:val="10"/>
            </w:pPr>
            <w:r>
              <w:t>二级指标</w:t>
            </w:r>
          </w:p>
        </w:tc>
        <w:tc>
          <w:tcPr>
            <w:tcW w:w="2835" w:type="dxa"/>
            <w:vAlign w:val="center"/>
          </w:tcPr>
          <w:p w14:paraId="51B5F221">
            <w:pPr>
              <w:pStyle w:val="10"/>
            </w:pPr>
            <w:r>
              <w:t>三级指标</w:t>
            </w:r>
          </w:p>
        </w:tc>
        <w:tc>
          <w:tcPr>
            <w:tcW w:w="5386" w:type="dxa"/>
            <w:vAlign w:val="center"/>
          </w:tcPr>
          <w:p w14:paraId="2209BB97">
            <w:pPr>
              <w:pStyle w:val="10"/>
            </w:pPr>
            <w:r>
              <w:t>绩效指标描述</w:t>
            </w:r>
          </w:p>
        </w:tc>
        <w:tc>
          <w:tcPr>
            <w:tcW w:w="2268" w:type="dxa"/>
            <w:vAlign w:val="center"/>
          </w:tcPr>
          <w:p w14:paraId="5ACFA370">
            <w:pPr>
              <w:pStyle w:val="10"/>
            </w:pPr>
            <w:r>
              <w:t>指标值</w:t>
            </w:r>
          </w:p>
        </w:tc>
        <w:tc>
          <w:tcPr>
            <w:tcW w:w="1276" w:type="dxa"/>
            <w:vAlign w:val="center"/>
          </w:tcPr>
          <w:p w14:paraId="7AA0B20C">
            <w:pPr>
              <w:pStyle w:val="10"/>
            </w:pPr>
            <w:r>
              <w:t>指标值确定依据</w:t>
            </w:r>
          </w:p>
        </w:tc>
      </w:tr>
      <w:tr w14:paraId="2B04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7C971">
            <w:pPr>
              <w:pStyle w:val="13"/>
            </w:pPr>
            <w:r>
              <w:t>产出指标</w:t>
            </w:r>
          </w:p>
        </w:tc>
        <w:tc>
          <w:tcPr>
            <w:tcW w:w="2268" w:type="dxa"/>
            <w:vAlign w:val="center"/>
          </w:tcPr>
          <w:p w14:paraId="69F2B2CC">
            <w:pPr>
              <w:pStyle w:val="12"/>
            </w:pPr>
            <w:r>
              <w:t>数量指标</w:t>
            </w:r>
          </w:p>
        </w:tc>
        <w:tc>
          <w:tcPr>
            <w:tcW w:w="2835" w:type="dxa"/>
            <w:vAlign w:val="center"/>
          </w:tcPr>
          <w:p w14:paraId="3BE08EB3">
            <w:pPr>
              <w:pStyle w:val="12"/>
            </w:pPr>
            <w:r>
              <w:t>适龄在园生</w:t>
            </w:r>
          </w:p>
        </w:tc>
        <w:tc>
          <w:tcPr>
            <w:tcW w:w="5386" w:type="dxa"/>
            <w:vAlign w:val="center"/>
          </w:tcPr>
          <w:p w14:paraId="1B2F0AC7">
            <w:pPr>
              <w:pStyle w:val="12"/>
            </w:pPr>
            <w:r>
              <w:t>适龄在园大班学生人数</w:t>
            </w:r>
          </w:p>
        </w:tc>
        <w:tc>
          <w:tcPr>
            <w:tcW w:w="2268" w:type="dxa"/>
            <w:vAlign w:val="center"/>
          </w:tcPr>
          <w:p w14:paraId="769CBC01">
            <w:pPr>
              <w:pStyle w:val="12"/>
            </w:pPr>
            <w:r>
              <w:t>283人</w:t>
            </w:r>
          </w:p>
        </w:tc>
        <w:tc>
          <w:tcPr>
            <w:tcW w:w="1276" w:type="dxa"/>
            <w:vAlign w:val="center"/>
          </w:tcPr>
          <w:p w14:paraId="5C6FB03A">
            <w:pPr>
              <w:pStyle w:val="12"/>
            </w:pPr>
            <w:r>
              <w:t>免保育教育费生均财政补助标准</w:t>
            </w:r>
          </w:p>
        </w:tc>
      </w:tr>
      <w:tr w14:paraId="58FA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BA976"/>
        </w:tc>
        <w:tc>
          <w:tcPr>
            <w:tcW w:w="2268" w:type="dxa"/>
            <w:vAlign w:val="center"/>
          </w:tcPr>
          <w:p w14:paraId="7AD7027D">
            <w:pPr>
              <w:pStyle w:val="12"/>
            </w:pPr>
            <w:r>
              <w:t>质量指标</w:t>
            </w:r>
          </w:p>
        </w:tc>
        <w:tc>
          <w:tcPr>
            <w:tcW w:w="2835" w:type="dxa"/>
            <w:vAlign w:val="center"/>
          </w:tcPr>
          <w:p w14:paraId="2D3B5163">
            <w:pPr>
              <w:pStyle w:val="12"/>
            </w:pPr>
            <w:r>
              <w:t>预算控制率</w:t>
            </w:r>
          </w:p>
        </w:tc>
        <w:tc>
          <w:tcPr>
            <w:tcW w:w="5386" w:type="dxa"/>
            <w:vAlign w:val="center"/>
          </w:tcPr>
          <w:p w14:paraId="0A62BC15">
            <w:pPr>
              <w:pStyle w:val="12"/>
            </w:pPr>
            <w:r>
              <w:t>预算执行</w:t>
            </w:r>
          </w:p>
        </w:tc>
        <w:tc>
          <w:tcPr>
            <w:tcW w:w="2268" w:type="dxa"/>
            <w:vAlign w:val="center"/>
          </w:tcPr>
          <w:p w14:paraId="679C55D3">
            <w:pPr>
              <w:pStyle w:val="12"/>
            </w:pPr>
            <w:r>
              <w:t>≥95%</w:t>
            </w:r>
          </w:p>
        </w:tc>
        <w:tc>
          <w:tcPr>
            <w:tcW w:w="1276" w:type="dxa"/>
            <w:vAlign w:val="center"/>
          </w:tcPr>
          <w:p w14:paraId="4E819FE5">
            <w:pPr>
              <w:pStyle w:val="12"/>
            </w:pPr>
            <w:r>
              <w:t>免保育教育费生均财政补助标准</w:t>
            </w:r>
          </w:p>
        </w:tc>
      </w:tr>
      <w:tr w14:paraId="1DF5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CEE33"/>
        </w:tc>
        <w:tc>
          <w:tcPr>
            <w:tcW w:w="2268" w:type="dxa"/>
            <w:vAlign w:val="center"/>
          </w:tcPr>
          <w:p w14:paraId="0638B589">
            <w:pPr>
              <w:pStyle w:val="12"/>
            </w:pPr>
            <w:r>
              <w:t>时效指标</w:t>
            </w:r>
          </w:p>
        </w:tc>
        <w:tc>
          <w:tcPr>
            <w:tcW w:w="2835" w:type="dxa"/>
            <w:vAlign w:val="center"/>
          </w:tcPr>
          <w:p w14:paraId="3482787A">
            <w:pPr>
              <w:pStyle w:val="12"/>
            </w:pPr>
            <w:r>
              <w:t>资金支付率</w:t>
            </w:r>
          </w:p>
        </w:tc>
        <w:tc>
          <w:tcPr>
            <w:tcW w:w="5386" w:type="dxa"/>
            <w:vAlign w:val="center"/>
          </w:tcPr>
          <w:p w14:paraId="41D387EC">
            <w:pPr>
              <w:pStyle w:val="12"/>
            </w:pPr>
            <w:r>
              <w:t>按照序时进度完成资金支付</w:t>
            </w:r>
          </w:p>
        </w:tc>
        <w:tc>
          <w:tcPr>
            <w:tcW w:w="2268" w:type="dxa"/>
            <w:vAlign w:val="center"/>
          </w:tcPr>
          <w:p w14:paraId="2D6D83BD">
            <w:pPr>
              <w:pStyle w:val="12"/>
            </w:pPr>
            <w:r>
              <w:t>100%</w:t>
            </w:r>
          </w:p>
        </w:tc>
        <w:tc>
          <w:tcPr>
            <w:tcW w:w="1276" w:type="dxa"/>
            <w:vAlign w:val="center"/>
          </w:tcPr>
          <w:p w14:paraId="6EC1F7CC">
            <w:pPr>
              <w:pStyle w:val="12"/>
            </w:pPr>
            <w:r>
              <w:t>免保育教育费生均财政补助标准</w:t>
            </w:r>
          </w:p>
        </w:tc>
      </w:tr>
      <w:tr w14:paraId="3C9E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1D7D4"/>
        </w:tc>
        <w:tc>
          <w:tcPr>
            <w:tcW w:w="2268" w:type="dxa"/>
            <w:vAlign w:val="center"/>
          </w:tcPr>
          <w:p w14:paraId="4DFAE651">
            <w:pPr>
              <w:pStyle w:val="12"/>
            </w:pPr>
            <w:r>
              <w:t>成本指标</w:t>
            </w:r>
          </w:p>
        </w:tc>
        <w:tc>
          <w:tcPr>
            <w:tcW w:w="2835" w:type="dxa"/>
            <w:vAlign w:val="center"/>
          </w:tcPr>
          <w:p w14:paraId="6CD8C1CF">
            <w:pPr>
              <w:pStyle w:val="12"/>
            </w:pPr>
            <w:r>
              <w:t xml:space="preserve"> 免保育教育费补助</w:t>
            </w:r>
          </w:p>
        </w:tc>
        <w:tc>
          <w:tcPr>
            <w:tcW w:w="5386" w:type="dxa"/>
            <w:vAlign w:val="center"/>
          </w:tcPr>
          <w:p w14:paraId="3262D91F">
            <w:pPr>
              <w:pStyle w:val="12"/>
            </w:pPr>
            <w:r>
              <w:t>免保育教育费补助</w:t>
            </w:r>
          </w:p>
        </w:tc>
        <w:tc>
          <w:tcPr>
            <w:tcW w:w="2268" w:type="dxa"/>
            <w:vAlign w:val="center"/>
          </w:tcPr>
          <w:p w14:paraId="38276550">
            <w:pPr>
              <w:pStyle w:val="12"/>
            </w:pPr>
            <w:r>
              <w:t>116230元</w:t>
            </w:r>
          </w:p>
        </w:tc>
        <w:tc>
          <w:tcPr>
            <w:tcW w:w="1276" w:type="dxa"/>
            <w:vAlign w:val="center"/>
          </w:tcPr>
          <w:p w14:paraId="4B56C002">
            <w:pPr>
              <w:pStyle w:val="12"/>
            </w:pPr>
            <w:r>
              <w:t>免保育教育费生均财政补助标准</w:t>
            </w:r>
          </w:p>
        </w:tc>
      </w:tr>
      <w:tr w14:paraId="648B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50095">
            <w:pPr>
              <w:pStyle w:val="13"/>
            </w:pPr>
            <w:r>
              <w:t>效益指标</w:t>
            </w:r>
          </w:p>
        </w:tc>
        <w:tc>
          <w:tcPr>
            <w:tcW w:w="2268" w:type="dxa"/>
            <w:vAlign w:val="center"/>
          </w:tcPr>
          <w:p w14:paraId="449AEF11">
            <w:pPr>
              <w:pStyle w:val="12"/>
            </w:pPr>
            <w:r>
              <w:t>可持续影响指标</w:t>
            </w:r>
          </w:p>
        </w:tc>
        <w:tc>
          <w:tcPr>
            <w:tcW w:w="2835" w:type="dxa"/>
            <w:vAlign w:val="center"/>
          </w:tcPr>
          <w:p w14:paraId="21E774E4">
            <w:pPr>
              <w:pStyle w:val="12"/>
            </w:pPr>
            <w:r>
              <w:t>学校运转得到提升</w:t>
            </w:r>
          </w:p>
        </w:tc>
        <w:tc>
          <w:tcPr>
            <w:tcW w:w="5386" w:type="dxa"/>
            <w:vAlign w:val="center"/>
          </w:tcPr>
          <w:p w14:paraId="2C57A2DF">
            <w:pPr>
              <w:pStyle w:val="12"/>
            </w:pPr>
            <w:r>
              <w:t>幼儿受教育年限</w:t>
            </w:r>
          </w:p>
        </w:tc>
        <w:tc>
          <w:tcPr>
            <w:tcW w:w="2268" w:type="dxa"/>
            <w:vAlign w:val="center"/>
          </w:tcPr>
          <w:p w14:paraId="65BFEC68">
            <w:pPr>
              <w:pStyle w:val="12"/>
            </w:pPr>
            <w:r>
              <w:t>3年</w:t>
            </w:r>
          </w:p>
        </w:tc>
        <w:tc>
          <w:tcPr>
            <w:tcW w:w="1276" w:type="dxa"/>
            <w:vAlign w:val="center"/>
          </w:tcPr>
          <w:p w14:paraId="7278DFF7">
            <w:pPr>
              <w:pStyle w:val="12"/>
            </w:pPr>
            <w:r>
              <w:t>免保育教育费生均财政补助标准</w:t>
            </w:r>
          </w:p>
        </w:tc>
      </w:tr>
      <w:tr w14:paraId="5A4B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40931">
            <w:pPr>
              <w:pStyle w:val="13"/>
            </w:pPr>
            <w:r>
              <w:t>满意度指标</w:t>
            </w:r>
          </w:p>
        </w:tc>
        <w:tc>
          <w:tcPr>
            <w:tcW w:w="2268" w:type="dxa"/>
            <w:vAlign w:val="center"/>
          </w:tcPr>
          <w:p w14:paraId="40E360D1">
            <w:pPr>
              <w:pStyle w:val="12"/>
            </w:pPr>
            <w:r>
              <w:t>服务对象满意度指标</w:t>
            </w:r>
          </w:p>
        </w:tc>
        <w:tc>
          <w:tcPr>
            <w:tcW w:w="2835" w:type="dxa"/>
            <w:vAlign w:val="center"/>
          </w:tcPr>
          <w:p w14:paraId="66C3BB5D">
            <w:pPr>
              <w:pStyle w:val="12"/>
            </w:pPr>
            <w:r>
              <w:t>受益学生家长及调查满意度</w:t>
            </w:r>
          </w:p>
        </w:tc>
        <w:tc>
          <w:tcPr>
            <w:tcW w:w="5386" w:type="dxa"/>
            <w:vAlign w:val="center"/>
          </w:tcPr>
          <w:p w14:paraId="55AE0DD7">
            <w:pPr>
              <w:pStyle w:val="12"/>
            </w:pPr>
            <w:r>
              <w:t>学生、教师及家长对学校保教保育工作满意度情况</w:t>
            </w:r>
          </w:p>
        </w:tc>
        <w:tc>
          <w:tcPr>
            <w:tcW w:w="2268" w:type="dxa"/>
            <w:vAlign w:val="center"/>
          </w:tcPr>
          <w:p w14:paraId="202401F1">
            <w:pPr>
              <w:pStyle w:val="12"/>
            </w:pPr>
            <w:r>
              <w:t>≥95%</w:t>
            </w:r>
          </w:p>
        </w:tc>
        <w:tc>
          <w:tcPr>
            <w:tcW w:w="1276" w:type="dxa"/>
            <w:vAlign w:val="center"/>
          </w:tcPr>
          <w:p w14:paraId="750B60D7">
            <w:pPr>
              <w:pStyle w:val="12"/>
            </w:pPr>
            <w:r>
              <w:t>免保育教育费生均财政补助标准</w:t>
            </w:r>
          </w:p>
        </w:tc>
      </w:tr>
    </w:tbl>
    <w:p w14:paraId="46129C0A">
      <w:pPr>
        <w:sectPr>
          <w:pgSz w:w="16840" w:h="11900" w:orient="landscape"/>
          <w:pgMar w:top="1361" w:right="1020" w:bottom="1134" w:left="1020" w:header="720" w:footer="720" w:gutter="0"/>
          <w:cols w:space="720" w:num="1"/>
        </w:sectPr>
      </w:pPr>
    </w:p>
    <w:p w14:paraId="3D2B4074">
      <w:pPr>
        <w:spacing w:before="0" w:after="0"/>
        <w:ind w:firstLine="560"/>
        <w:jc w:val="left"/>
        <w:outlineLvl w:val="9"/>
      </w:pPr>
      <w:r>
        <w:rPr>
          <w:rFonts w:ascii="方正仿宋_GBK" w:hAnsi="方正仿宋_GBK" w:eastAsia="方正仿宋_GBK" w:cs="方正仿宋_GBK"/>
          <w:b/>
          <w:color w:val="000000"/>
          <w:sz w:val="28"/>
        </w:rPr>
        <w:t>24、县级配套/2026年/山口校区幼儿园免保育教育费补助绩效目标表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1A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2ABCD">
            <w:pPr>
              <w:pStyle w:val="11"/>
            </w:pPr>
            <w:r>
              <w:t>单位：万元</w:t>
            </w:r>
          </w:p>
        </w:tc>
      </w:tr>
      <w:tr w14:paraId="51092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DD81F">
            <w:pPr>
              <w:pStyle w:val="10"/>
            </w:pPr>
            <w:r>
              <w:t>项目编码</w:t>
            </w:r>
          </w:p>
        </w:tc>
        <w:tc>
          <w:tcPr>
            <w:tcW w:w="5103" w:type="dxa"/>
            <w:gridSpan w:val="2"/>
            <w:vAlign w:val="center"/>
          </w:tcPr>
          <w:p w14:paraId="5F156C10">
            <w:pPr>
              <w:pStyle w:val="12"/>
            </w:pPr>
            <w:r>
              <w:t>13052526P008769101692</w:t>
            </w:r>
          </w:p>
        </w:tc>
        <w:tc>
          <w:tcPr>
            <w:tcW w:w="2835" w:type="dxa"/>
            <w:vAlign w:val="center"/>
          </w:tcPr>
          <w:p w14:paraId="005AB0BE">
            <w:pPr>
              <w:pStyle w:val="10"/>
            </w:pPr>
            <w:r>
              <w:t>项目名称</w:t>
            </w:r>
          </w:p>
        </w:tc>
        <w:tc>
          <w:tcPr>
            <w:tcW w:w="6095" w:type="dxa"/>
            <w:gridSpan w:val="3"/>
            <w:vAlign w:val="center"/>
          </w:tcPr>
          <w:p w14:paraId="190042B4">
            <w:pPr>
              <w:pStyle w:val="12"/>
            </w:pPr>
            <w:r>
              <w:t>县级配套/2026年/山口校区幼儿园免保育教育费补助</w:t>
            </w:r>
          </w:p>
        </w:tc>
      </w:tr>
      <w:tr w14:paraId="7D96A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CB0D9">
            <w:pPr>
              <w:pStyle w:val="10"/>
            </w:pPr>
            <w:r>
              <w:t>预算规模及资金用途</w:t>
            </w:r>
          </w:p>
        </w:tc>
        <w:tc>
          <w:tcPr>
            <w:tcW w:w="2268" w:type="dxa"/>
            <w:vAlign w:val="center"/>
          </w:tcPr>
          <w:p w14:paraId="03AA3DDC">
            <w:pPr>
              <w:pStyle w:val="10"/>
            </w:pPr>
            <w:r>
              <w:t>预算数</w:t>
            </w:r>
          </w:p>
        </w:tc>
        <w:tc>
          <w:tcPr>
            <w:tcW w:w="2835" w:type="dxa"/>
            <w:vAlign w:val="center"/>
          </w:tcPr>
          <w:p w14:paraId="21275869">
            <w:pPr>
              <w:pStyle w:val="12"/>
            </w:pPr>
            <w:r>
              <w:t>4.22</w:t>
            </w:r>
          </w:p>
        </w:tc>
        <w:tc>
          <w:tcPr>
            <w:tcW w:w="2835" w:type="dxa"/>
            <w:vAlign w:val="center"/>
          </w:tcPr>
          <w:p w14:paraId="6D3DF753">
            <w:pPr>
              <w:pStyle w:val="10"/>
            </w:pPr>
            <w:r>
              <w:t>其中：财政    资金</w:t>
            </w:r>
          </w:p>
        </w:tc>
        <w:tc>
          <w:tcPr>
            <w:tcW w:w="2551" w:type="dxa"/>
            <w:vAlign w:val="center"/>
          </w:tcPr>
          <w:p w14:paraId="5277FDFF">
            <w:pPr>
              <w:pStyle w:val="12"/>
            </w:pPr>
            <w:r>
              <w:t>4.22</w:t>
            </w:r>
          </w:p>
        </w:tc>
        <w:tc>
          <w:tcPr>
            <w:tcW w:w="2268" w:type="dxa"/>
            <w:vAlign w:val="center"/>
          </w:tcPr>
          <w:p w14:paraId="294D3520">
            <w:pPr>
              <w:pStyle w:val="10"/>
            </w:pPr>
            <w:r>
              <w:t>其他资金</w:t>
            </w:r>
          </w:p>
        </w:tc>
        <w:tc>
          <w:tcPr>
            <w:tcW w:w="1276" w:type="dxa"/>
            <w:vAlign w:val="center"/>
          </w:tcPr>
          <w:p w14:paraId="06094359">
            <w:pPr>
              <w:pStyle w:val="12"/>
            </w:pPr>
            <w:r>
              <w:t xml:space="preserve"> </w:t>
            </w:r>
          </w:p>
        </w:tc>
      </w:tr>
      <w:tr w14:paraId="2981B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4A50A"/>
        </w:tc>
        <w:tc>
          <w:tcPr>
            <w:tcW w:w="14033" w:type="dxa"/>
            <w:gridSpan w:val="6"/>
            <w:vAlign w:val="center"/>
          </w:tcPr>
          <w:p w14:paraId="425B484B">
            <w:pPr>
              <w:pStyle w:val="12"/>
            </w:pPr>
            <w:r>
              <w:t>保障幼儿园正常运转，完成教育教学活动和其他日常工作任务等方面的费用支出。</w:t>
            </w:r>
          </w:p>
        </w:tc>
      </w:tr>
      <w:tr w14:paraId="3DF37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6927A">
            <w:pPr>
              <w:pStyle w:val="10"/>
            </w:pPr>
            <w:r>
              <w:t>资金支出计划（%）</w:t>
            </w:r>
          </w:p>
        </w:tc>
        <w:tc>
          <w:tcPr>
            <w:tcW w:w="5103" w:type="dxa"/>
            <w:gridSpan w:val="2"/>
            <w:vAlign w:val="center"/>
          </w:tcPr>
          <w:p w14:paraId="5DC725D5">
            <w:pPr>
              <w:pStyle w:val="10"/>
            </w:pPr>
            <w:r>
              <w:t>3月底</w:t>
            </w:r>
          </w:p>
        </w:tc>
        <w:tc>
          <w:tcPr>
            <w:tcW w:w="2835" w:type="dxa"/>
            <w:vAlign w:val="center"/>
          </w:tcPr>
          <w:p w14:paraId="149CBCB3">
            <w:pPr>
              <w:pStyle w:val="10"/>
            </w:pPr>
            <w:r>
              <w:t>6月底</w:t>
            </w:r>
          </w:p>
        </w:tc>
        <w:tc>
          <w:tcPr>
            <w:tcW w:w="2551" w:type="dxa"/>
            <w:vAlign w:val="center"/>
          </w:tcPr>
          <w:p w14:paraId="1F6DB257">
            <w:pPr>
              <w:pStyle w:val="10"/>
            </w:pPr>
            <w:r>
              <w:t>10月底</w:t>
            </w:r>
          </w:p>
        </w:tc>
        <w:tc>
          <w:tcPr>
            <w:tcW w:w="3544" w:type="dxa"/>
            <w:gridSpan w:val="2"/>
            <w:vAlign w:val="center"/>
          </w:tcPr>
          <w:p w14:paraId="238A289B">
            <w:pPr>
              <w:pStyle w:val="10"/>
            </w:pPr>
            <w:r>
              <w:t>12月底</w:t>
            </w:r>
          </w:p>
        </w:tc>
      </w:tr>
      <w:tr w14:paraId="41CF4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D45C3"/>
        </w:tc>
        <w:tc>
          <w:tcPr>
            <w:tcW w:w="5103" w:type="dxa"/>
            <w:gridSpan w:val="2"/>
            <w:vAlign w:val="center"/>
          </w:tcPr>
          <w:p w14:paraId="4815CB85">
            <w:pPr>
              <w:pStyle w:val="13"/>
            </w:pPr>
            <w:r>
              <w:t>25%</w:t>
            </w:r>
          </w:p>
        </w:tc>
        <w:tc>
          <w:tcPr>
            <w:tcW w:w="2835" w:type="dxa"/>
            <w:vAlign w:val="center"/>
          </w:tcPr>
          <w:p w14:paraId="757FEC0B">
            <w:pPr>
              <w:pStyle w:val="13"/>
            </w:pPr>
            <w:r>
              <w:t>50%</w:t>
            </w:r>
          </w:p>
        </w:tc>
        <w:tc>
          <w:tcPr>
            <w:tcW w:w="2551" w:type="dxa"/>
            <w:vAlign w:val="center"/>
          </w:tcPr>
          <w:p w14:paraId="0794BF15">
            <w:pPr>
              <w:pStyle w:val="13"/>
            </w:pPr>
            <w:r>
              <w:t>75%</w:t>
            </w:r>
          </w:p>
        </w:tc>
        <w:tc>
          <w:tcPr>
            <w:tcW w:w="3544" w:type="dxa"/>
            <w:gridSpan w:val="2"/>
            <w:vAlign w:val="center"/>
          </w:tcPr>
          <w:p w14:paraId="79146D52">
            <w:pPr>
              <w:pStyle w:val="13"/>
            </w:pPr>
            <w:r>
              <w:t>100%</w:t>
            </w:r>
          </w:p>
        </w:tc>
      </w:tr>
      <w:tr w14:paraId="523E5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DFCB8">
            <w:pPr>
              <w:pStyle w:val="10"/>
            </w:pPr>
            <w:r>
              <w:t>绩效目标</w:t>
            </w:r>
          </w:p>
        </w:tc>
        <w:tc>
          <w:tcPr>
            <w:tcW w:w="14033" w:type="dxa"/>
            <w:gridSpan w:val="6"/>
            <w:vAlign w:val="center"/>
          </w:tcPr>
          <w:p w14:paraId="291343D6">
            <w:pPr>
              <w:pStyle w:val="12"/>
            </w:pPr>
            <w:r>
              <w:t>1.保障幼儿园正常运转，完成教育教学活动和其他日常工作任务等方面的费用支出。</w:t>
            </w:r>
          </w:p>
        </w:tc>
      </w:tr>
    </w:tbl>
    <w:p w14:paraId="47B79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7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26D3A">
            <w:pPr>
              <w:pStyle w:val="10"/>
            </w:pPr>
            <w:r>
              <w:t>一级指标</w:t>
            </w:r>
          </w:p>
        </w:tc>
        <w:tc>
          <w:tcPr>
            <w:tcW w:w="2268" w:type="dxa"/>
            <w:vAlign w:val="center"/>
          </w:tcPr>
          <w:p w14:paraId="07EA4114">
            <w:pPr>
              <w:pStyle w:val="10"/>
            </w:pPr>
            <w:r>
              <w:t>二级指标</w:t>
            </w:r>
          </w:p>
        </w:tc>
        <w:tc>
          <w:tcPr>
            <w:tcW w:w="2835" w:type="dxa"/>
            <w:vAlign w:val="center"/>
          </w:tcPr>
          <w:p w14:paraId="2E1AAB0A">
            <w:pPr>
              <w:pStyle w:val="10"/>
            </w:pPr>
            <w:r>
              <w:t>三级指标</w:t>
            </w:r>
          </w:p>
        </w:tc>
        <w:tc>
          <w:tcPr>
            <w:tcW w:w="5386" w:type="dxa"/>
            <w:vAlign w:val="center"/>
          </w:tcPr>
          <w:p w14:paraId="6DACBE91">
            <w:pPr>
              <w:pStyle w:val="10"/>
            </w:pPr>
            <w:r>
              <w:t>绩效指标描述</w:t>
            </w:r>
          </w:p>
        </w:tc>
        <w:tc>
          <w:tcPr>
            <w:tcW w:w="2268" w:type="dxa"/>
            <w:vAlign w:val="center"/>
          </w:tcPr>
          <w:p w14:paraId="44A9BFE8">
            <w:pPr>
              <w:pStyle w:val="10"/>
            </w:pPr>
            <w:r>
              <w:t>指标值</w:t>
            </w:r>
          </w:p>
        </w:tc>
        <w:tc>
          <w:tcPr>
            <w:tcW w:w="1276" w:type="dxa"/>
            <w:vAlign w:val="center"/>
          </w:tcPr>
          <w:p w14:paraId="4B3E66A2">
            <w:pPr>
              <w:pStyle w:val="10"/>
            </w:pPr>
            <w:r>
              <w:t>指标值确定依据</w:t>
            </w:r>
          </w:p>
        </w:tc>
      </w:tr>
      <w:tr w14:paraId="05A9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BBD3C">
            <w:pPr>
              <w:pStyle w:val="13"/>
            </w:pPr>
            <w:r>
              <w:t>产出指标</w:t>
            </w:r>
          </w:p>
        </w:tc>
        <w:tc>
          <w:tcPr>
            <w:tcW w:w="2268" w:type="dxa"/>
            <w:vAlign w:val="center"/>
          </w:tcPr>
          <w:p w14:paraId="59B711BA">
            <w:pPr>
              <w:pStyle w:val="12"/>
            </w:pPr>
            <w:r>
              <w:t>数量指标</w:t>
            </w:r>
          </w:p>
        </w:tc>
        <w:tc>
          <w:tcPr>
            <w:tcW w:w="2835" w:type="dxa"/>
            <w:vAlign w:val="center"/>
          </w:tcPr>
          <w:p w14:paraId="05F43253">
            <w:pPr>
              <w:pStyle w:val="12"/>
            </w:pPr>
            <w:r>
              <w:t>适龄在园生</w:t>
            </w:r>
          </w:p>
        </w:tc>
        <w:tc>
          <w:tcPr>
            <w:tcW w:w="5386" w:type="dxa"/>
            <w:vAlign w:val="center"/>
          </w:tcPr>
          <w:p w14:paraId="1031D316">
            <w:pPr>
              <w:pStyle w:val="12"/>
            </w:pPr>
            <w:r>
              <w:t>适龄在园大班学生人数</w:t>
            </w:r>
          </w:p>
        </w:tc>
        <w:tc>
          <w:tcPr>
            <w:tcW w:w="2268" w:type="dxa"/>
            <w:vAlign w:val="center"/>
          </w:tcPr>
          <w:p w14:paraId="6E6D24F9">
            <w:pPr>
              <w:pStyle w:val="12"/>
            </w:pPr>
            <w:r>
              <w:t>283人</w:t>
            </w:r>
          </w:p>
        </w:tc>
        <w:tc>
          <w:tcPr>
            <w:tcW w:w="1276" w:type="dxa"/>
            <w:vAlign w:val="center"/>
          </w:tcPr>
          <w:p w14:paraId="44C214A1">
            <w:pPr>
              <w:pStyle w:val="12"/>
            </w:pPr>
            <w:r>
              <w:t>免保育教育费生均财政补助标准</w:t>
            </w:r>
          </w:p>
        </w:tc>
      </w:tr>
      <w:tr w14:paraId="4976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AD37C"/>
        </w:tc>
        <w:tc>
          <w:tcPr>
            <w:tcW w:w="2268" w:type="dxa"/>
            <w:vAlign w:val="center"/>
          </w:tcPr>
          <w:p w14:paraId="7642BCD9">
            <w:pPr>
              <w:pStyle w:val="12"/>
            </w:pPr>
            <w:r>
              <w:t>质量指标</w:t>
            </w:r>
          </w:p>
        </w:tc>
        <w:tc>
          <w:tcPr>
            <w:tcW w:w="2835" w:type="dxa"/>
            <w:vAlign w:val="center"/>
          </w:tcPr>
          <w:p w14:paraId="2E20B8C1">
            <w:pPr>
              <w:pStyle w:val="12"/>
            </w:pPr>
            <w:r>
              <w:t>预算控制率</w:t>
            </w:r>
          </w:p>
        </w:tc>
        <w:tc>
          <w:tcPr>
            <w:tcW w:w="5386" w:type="dxa"/>
            <w:vAlign w:val="center"/>
          </w:tcPr>
          <w:p w14:paraId="75B03325">
            <w:pPr>
              <w:pStyle w:val="12"/>
            </w:pPr>
            <w:r>
              <w:t>预算执行</w:t>
            </w:r>
          </w:p>
        </w:tc>
        <w:tc>
          <w:tcPr>
            <w:tcW w:w="2268" w:type="dxa"/>
            <w:vAlign w:val="center"/>
          </w:tcPr>
          <w:p w14:paraId="5C75D60F">
            <w:pPr>
              <w:pStyle w:val="12"/>
            </w:pPr>
            <w:r>
              <w:t>≥95%</w:t>
            </w:r>
          </w:p>
        </w:tc>
        <w:tc>
          <w:tcPr>
            <w:tcW w:w="1276" w:type="dxa"/>
            <w:vAlign w:val="center"/>
          </w:tcPr>
          <w:p w14:paraId="649A1915">
            <w:pPr>
              <w:pStyle w:val="12"/>
            </w:pPr>
            <w:r>
              <w:t>免保育教育费生均财政补助标准</w:t>
            </w:r>
          </w:p>
        </w:tc>
      </w:tr>
      <w:tr w14:paraId="3562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1D70A"/>
        </w:tc>
        <w:tc>
          <w:tcPr>
            <w:tcW w:w="2268" w:type="dxa"/>
            <w:vAlign w:val="center"/>
          </w:tcPr>
          <w:p w14:paraId="158D13F9">
            <w:pPr>
              <w:pStyle w:val="12"/>
            </w:pPr>
            <w:r>
              <w:t>时效指标</w:t>
            </w:r>
          </w:p>
        </w:tc>
        <w:tc>
          <w:tcPr>
            <w:tcW w:w="2835" w:type="dxa"/>
            <w:vAlign w:val="center"/>
          </w:tcPr>
          <w:p w14:paraId="4EDC55F8">
            <w:pPr>
              <w:pStyle w:val="12"/>
            </w:pPr>
            <w:r>
              <w:t>资金支付率</w:t>
            </w:r>
          </w:p>
        </w:tc>
        <w:tc>
          <w:tcPr>
            <w:tcW w:w="5386" w:type="dxa"/>
            <w:vAlign w:val="center"/>
          </w:tcPr>
          <w:p w14:paraId="75096F35">
            <w:pPr>
              <w:pStyle w:val="12"/>
            </w:pPr>
            <w:r>
              <w:t>按照序时进度完成资金支付</w:t>
            </w:r>
          </w:p>
        </w:tc>
        <w:tc>
          <w:tcPr>
            <w:tcW w:w="2268" w:type="dxa"/>
            <w:vAlign w:val="center"/>
          </w:tcPr>
          <w:p w14:paraId="7A766AD7">
            <w:pPr>
              <w:pStyle w:val="12"/>
            </w:pPr>
            <w:r>
              <w:t>100%</w:t>
            </w:r>
          </w:p>
        </w:tc>
        <w:tc>
          <w:tcPr>
            <w:tcW w:w="1276" w:type="dxa"/>
            <w:vAlign w:val="center"/>
          </w:tcPr>
          <w:p w14:paraId="5974AC53">
            <w:pPr>
              <w:pStyle w:val="12"/>
            </w:pPr>
            <w:r>
              <w:t>免保育教育费生均财政补助标准</w:t>
            </w:r>
          </w:p>
        </w:tc>
      </w:tr>
      <w:tr w14:paraId="446E9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CCECC"/>
        </w:tc>
        <w:tc>
          <w:tcPr>
            <w:tcW w:w="2268" w:type="dxa"/>
            <w:vAlign w:val="center"/>
          </w:tcPr>
          <w:p w14:paraId="289A9165">
            <w:pPr>
              <w:pStyle w:val="12"/>
            </w:pPr>
            <w:r>
              <w:t>成本指标</w:t>
            </w:r>
          </w:p>
        </w:tc>
        <w:tc>
          <w:tcPr>
            <w:tcW w:w="2835" w:type="dxa"/>
            <w:vAlign w:val="center"/>
          </w:tcPr>
          <w:p w14:paraId="3403334C">
            <w:pPr>
              <w:pStyle w:val="12"/>
            </w:pPr>
            <w:r>
              <w:t xml:space="preserve"> 免保育教育费补助</w:t>
            </w:r>
          </w:p>
        </w:tc>
        <w:tc>
          <w:tcPr>
            <w:tcW w:w="5386" w:type="dxa"/>
            <w:vAlign w:val="center"/>
          </w:tcPr>
          <w:p w14:paraId="61E198DA">
            <w:pPr>
              <w:pStyle w:val="12"/>
            </w:pPr>
            <w:r>
              <w:t>免保育教育费补助</w:t>
            </w:r>
          </w:p>
        </w:tc>
        <w:tc>
          <w:tcPr>
            <w:tcW w:w="2268" w:type="dxa"/>
            <w:vAlign w:val="center"/>
          </w:tcPr>
          <w:p w14:paraId="423BB804">
            <w:pPr>
              <w:pStyle w:val="12"/>
            </w:pPr>
            <w:r>
              <w:t>42176元</w:t>
            </w:r>
          </w:p>
        </w:tc>
        <w:tc>
          <w:tcPr>
            <w:tcW w:w="1276" w:type="dxa"/>
            <w:vAlign w:val="center"/>
          </w:tcPr>
          <w:p w14:paraId="296F1A00">
            <w:pPr>
              <w:pStyle w:val="12"/>
            </w:pPr>
            <w:r>
              <w:t>免保育教育费生均财政补助标准</w:t>
            </w:r>
          </w:p>
        </w:tc>
      </w:tr>
      <w:tr w14:paraId="7DE7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FA252">
            <w:pPr>
              <w:pStyle w:val="13"/>
            </w:pPr>
            <w:r>
              <w:t>效益指标</w:t>
            </w:r>
          </w:p>
        </w:tc>
        <w:tc>
          <w:tcPr>
            <w:tcW w:w="2268" w:type="dxa"/>
            <w:vAlign w:val="center"/>
          </w:tcPr>
          <w:p w14:paraId="57BB1C4C">
            <w:pPr>
              <w:pStyle w:val="12"/>
            </w:pPr>
            <w:r>
              <w:t>可持续影响指标</w:t>
            </w:r>
          </w:p>
        </w:tc>
        <w:tc>
          <w:tcPr>
            <w:tcW w:w="2835" w:type="dxa"/>
            <w:vAlign w:val="center"/>
          </w:tcPr>
          <w:p w14:paraId="2F09B43D">
            <w:pPr>
              <w:pStyle w:val="12"/>
            </w:pPr>
            <w:r>
              <w:t>学校运转得到提升</w:t>
            </w:r>
          </w:p>
        </w:tc>
        <w:tc>
          <w:tcPr>
            <w:tcW w:w="5386" w:type="dxa"/>
            <w:vAlign w:val="center"/>
          </w:tcPr>
          <w:p w14:paraId="50646DB9">
            <w:pPr>
              <w:pStyle w:val="12"/>
            </w:pPr>
            <w:r>
              <w:t>幼儿受教育年限</w:t>
            </w:r>
          </w:p>
        </w:tc>
        <w:tc>
          <w:tcPr>
            <w:tcW w:w="2268" w:type="dxa"/>
            <w:vAlign w:val="center"/>
          </w:tcPr>
          <w:p w14:paraId="321F7665">
            <w:pPr>
              <w:pStyle w:val="12"/>
            </w:pPr>
            <w:r>
              <w:t>3年</w:t>
            </w:r>
          </w:p>
        </w:tc>
        <w:tc>
          <w:tcPr>
            <w:tcW w:w="1276" w:type="dxa"/>
            <w:vAlign w:val="center"/>
          </w:tcPr>
          <w:p w14:paraId="42AA80AD">
            <w:pPr>
              <w:pStyle w:val="12"/>
            </w:pPr>
            <w:r>
              <w:t>免保育教育费生均财政补助标准</w:t>
            </w:r>
          </w:p>
        </w:tc>
      </w:tr>
      <w:tr w14:paraId="40AA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32BC6">
            <w:pPr>
              <w:pStyle w:val="13"/>
            </w:pPr>
            <w:r>
              <w:t>满意度指标</w:t>
            </w:r>
          </w:p>
        </w:tc>
        <w:tc>
          <w:tcPr>
            <w:tcW w:w="2268" w:type="dxa"/>
            <w:vAlign w:val="center"/>
          </w:tcPr>
          <w:p w14:paraId="3AB57A71">
            <w:pPr>
              <w:pStyle w:val="12"/>
            </w:pPr>
            <w:r>
              <w:t>服务对象满意度指标</w:t>
            </w:r>
          </w:p>
        </w:tc>
        <w:tc>
          <w:tcPr>
            <w:tcW w:w="2835" w:type="dxa"/>
            <w:vAlign w:val="center"/>
          </w:tcPr>
          <w:p w14:paraId="13411AFF">
            <w:pPr>
              <w:pStyle w:val="12"/>
            </w:pPr>
            <w:r>
              <w:t>受益学生家长及调查满意度</w:t>
            </w:r>
          </w:p>
        </w:tc>
        <w:tc>
          <w:tcPr>
            <w:tcW w:w="5386" w:type="dxa"/>
            <w:vAlign w:val="center"/>
          </w:tcPr>
          <w:p w14:paraId="594C7520">
            <w:pPr>
              <w:pStyle w:val="12"/>
            </w:pPr>
            <w:r>
              <w:t>学生、教师及家长对学校保教保育工作满意度情况</w:t>
            </w:r>
          </w:p>
        </w:tc>
        <w:tc>
          <w:tcPr>
            <w:tcW w:w="2268" w:type="dxa"/>
            <w:vAlign w:val="center"/>
          </w:tcPr>
          <w:p w14:paraId="48A6CCE3">
            <w:pPr>
              <w:pStyle w:val="12"/>
            </w:pPr>
            <w:r>
              <w:t>≥95%</w:t>
            </w:r>
          </w:p>
        </w:tc>
        <w:tc>
          <w:tcPr>
            <w:tcW w:w="1276" w:type="dxa"/>
            <w:vAlign w:val="center"/>
          </w:tcPr>
          <w:p w14:paraId="3F8D2906">
            <w:pPr>
              <w:pStyle w:val="12"/>
            </w:pPr>
            <w:r>
              <w:t>免保育教育费生均财政补助标准</w:t>
            </w:r>
          </w:p>
        </w:tc>
      </w:tr>
    </w:tbl>
    <w:p w14:paraId="648B22FF">
      <w:pPr>
        <w:sectPr>
          <w:pgSz w:w="16840" w:h="11900" w:orient="landscape"/>
          <w:pgMar w:top="1361" w:right="1020" w:bottom="1134" w:left="1020" w:header="720" w:footer="720" w:gutter="0"/>
          <w:cols w:space="720" w:num="1"/>
        </w:sectPr>
      </w:pPr>
    </w:p>
    <w:p w14:paraId="7A38F50B">
      <w:pPr>
        <w:spacing w:before="0" w:after="0"/>
        <w:ind w:firstLine="560"/>
        <w:jc w:val="left"/>
        <w:outlineLvl w:val="9"/>
      </w:pPr>
      <w:r>
        <w:rPr>
          <w:rFonts w:ascii="方正仿宋_GBK" w:hAnsi="方正仿宋_GBK" w:eastAsia="方正仿宋_GBK" w:cs="方正仿宋_GBK"/>
          <w:b/>
          <w:color w:val="000000"/>
          <w:sz w:val="28"/>
        </w:rPr>
        <w:t>25、县级配套/山口校区第四实验小学公用经费绩效目标表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4C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FB968">
            <w:pPr>
              <w:pStyle w:val="11"/>
            </w:pPr>
            <w:r>
              <w:t>单位：万元</w:t>
            </w:r>
          </w:p>
        </w:tc>
      </w:tr>
      <w:tr w14:paraId="4CD90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241E7">
            <w:pPr>
              <w:pStyle w:val="10"/>
            </w:pPr>
            <w:r>
              <w:t>项目编码</w:t>
            </w:r>
          </w:p>
        </w:tc>
        <w:tc>
          <w:tcPr>
            <w:tcW w:w="5103" w:type="dxa"/>
            <w:gridSpan w:val="2"/>
            <w:vAlign w:val="center"/>
          </w:tcPr>
          <w:p w14:paraId="478DBA70">
            <w:pPr>
              <w:pStyle w:val="12"/>
            </w:pPr>
            <w:r>
              <w:t>13052526P000004104480</w:t>
            </w:r>
          </w:p>
        </w:tc>
        <w:tc>
          <w:tcPr>
            <w:tcW w:w="2835" w:type="dxa"/>
            <w:vAlign w:val="center"/>
          </w:tcPr>
          <w:p w14:paraId="328E8472">
            <w:pPr>
              <w:pStyle w:val="10"/>
            </w:pPr>
            <w:r>
              <w:t>项目名称</w:t>
            </w:r>
          </w:p>
        </w:tc>
        <w:tc>
          <w:tcPr>
            <w:tcW w:w="6095" w:type="dxa"/>
            <w:gridSpan w:val="3"/>
            <w:vAlign w:val="center"/>
          </w:tcPr>
          <w:p w14:paraId="7E655ED1">
            <w:pPr>
              <w:pStyle w:val="12"/>
            </w:pPr>
            <w:r>
              <w:t>县级配套/山口校区第四实验小学公用经费</w:t>
            </w:r>
          </w:p>
        </w:tc>
      </w:tr>
      <w:tr w14:paraId="629EA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B544B">
            <w:pPr>
              <w:pStyle w:val="10"/>
            </w:pPr>
            <w:r>
              <w:t>预算规模及资金用途</w:t>
            </w:r>
          </w:p>
        </w:tc>
        <w:tc>
          <w:tcPr>
            <w:tcW w:w="2268" w:type="dxa"/>
            <w:vAlign w:val="center"/>
          </w:tcPr>
          <w:p w14:paraId="098B2634">
            <w:pPr>
              <w:pStyle w:val="10"/>
            </w:pPr>
            <w:r>
              <w:t>预算数</w:t>
            </w:r>
          </w:p>
        </w:tc>
        <w:tc>
          <w:tcPr>
            <w:tcW w:w="2835" w:type="dxa"/>
            <w:vAlign w:val="center"/>
          </w:tcPr>
          <w:p w14:paraId="41504DD0">
            <w:pPr>
              <w:pStyle w:val="12"/>
            </w:pPr>
            <w:r>
              <w:t>2.11</w:t>
            </w:r>
          </w:p>
        </w:tc>
        <w:tc>
          <w:tcPr>
            <w:tcW w:w="2835" w:type="dxa"/>
            <w:vAlign w:val="center"/>
          </w:tcPr>
          <w:p w14:paraId="586A4EDD">
            <w:pPr>
              <w:pStyle w:val="10"/>
            </w:pPr>
            <w:r>
              <w:t>其中：财政    资金</w:t>
            </w:r>
          </w:p>
        </w:tc>
        <w:tc>
          <w:tcPr>
            <w:tcW w:w="2551" w:type="dxa"/>
            <w:vAlign w:val="center"/>
          </w:tcPr>
          <w:p w14:paraId="18A947A5">
            <w:pPr>
              <w:pStyle w:val="12"/>
            </w:pPr>
            <w:r>
              <w:t>2.11</w:t>
            </w:r>
          </w:p>
        </w:tc>
        <w:tc>
          <w:tcPr>
            <w:tcW w:w="2268" w:type="dxa"/>
            <w:vAlign w:val="center"/>
          </w:tcPr>
          <w:p w14:paraId="2E564B0D">
            <w:pPr>
              <w:pStyle w:val="10"/>
            </w:pPr>
            <w:r>
              <w:t>其他资金</w:t>
            </w:r>
          </w:p>
        </w:tc>
        <w:tc>
          <w:tcPr>
            <w:tcW w:w="1276" w:type="dxa"/>
            <w:vAlign w:val="center"/>
          </w:tcPr>
          <w:p w14:paraId="155E7F47">
            <w:pPr>
              <w:pStyle w:val="12"/>
            </w:pPr>
            <w:r>
              <w:t xml:space="preserve"> </w:t>
            </w:r>
          </w:p>
        </w:tc>
      </w:tr>
      <w:tr w14:paraId="476FB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7A0A3"/>
        </w:tc>
        <w:tc>
          <w:tcPr>
            <w:tcW w:w="14033" w:type="dxa"/>
            <w:gridSpan w:val="6"/>
            <w:vAlign w:val="center"/>
          </w:tcPr>
          <w:p w14:paraId="511E7951">
            <w:pPr>
              <w:pStyle w:val="12"/>
            </w:pPr>
            <w:r>
              <w:t>保障学校正常运转，完成各项教育教学活动和其他日常工作任务等方面的费用支出。</w:t>
            </w:r>
            <w:r>
              <w:tab/>
            </w:r>
            <w:r>
              <w:tab/>
            </w:r>
            <w:r>
              <w:tab/>
            </w:r>
            <w:r>
              <w:tab/>
            </w:r>
            <w:r>
              <w:tab/>
            </w:r>
            <w:r>
              <w:tab/>
            </w:r>
          </w:p>
          <w:p w14:paraId="268715DE">
            <w:pPr>
              <w:pStyle w:val="12"/>
            </w:pPr>
          </w:p>
        </w:tc>
      </w:tr>
      <w:tr w14:paraId="0BAB1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BCF69">
            <w:pPr>
              <w:pStyle w:val="10"/>
            </w:pPr>
            <w:r>
              <w:t>资金支出计划（%）</w:t>
            </w:r>
          </w:p>
        </w:tc>
        <w:tc>
          <w:tcPr>
            <w:tcW w:w="5103" w:type="dxa"/>
            <w:gridSpan w:val="2"/>
            <w:vAlign w:val="center"/>
          </w:tcPr>
          <w:p w14:paraId="2FF87DA8">
            <w:pPr>
              <w:pStyle w:val="10"/>
            </w:pPr>
            <w:r>
              <w:t>3月底</w:t>
            </w:r>
          </w:p>
        </w:tc>
        <w:tc>
          <w:tcPr>
            <w:tcW w:w="2835" w:type="dxa"/>
            <w:vAlign w:val="center"/>
          </w:tcPr>
          <w:p w14:paraId="1E7EFC15">
            <w:pPr>
              <w:pStyle w:val="10"/>
            </w:pPr>
            <w:r>
              <w:t>6月底</w:t>
            </w:r>
          </w:p>
        </w:tc>
        <w:tc>
          <w:tcPr>
            <w:tcW w:w="2551" w:type="dxa"/>
            <w:vAlign w:val="center"/>
          </w:tcPr>
          <w:p w14:paraId="1E535D4E">
            <w:pPr>
              <w:pStyle w:val="10"/>
            </w:pPr>
            <w:r>
              <w:t>10月底</w:t>
            </w:r>
          </w:p>
        </w:tc>
        <w:tc>
          <w:tcPr>
            <w:tcW w:w="3544" w:type="dxa"/>
            <w:gridSpan w:val="2"/>
            <w:vAlign w:val="center"/>
          </w:tcPr>
          <w:p w14:paraId="1CD87006">
            <w:pPr>
              <w:pStyle w:val="10"/>
            </w:pPr>
            <w:r>
              <w:t>12月底</w:t>
            </w:r>
          </w:p>
        </w:tc>
      </w:tr>
      <w:tr w14:paraId="626DA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90345"/>
        </w:tc>
        <w:tc>
          <w:tcPr>
            <w:tcW w:w="5103" w:type="dxa"/>
            <w:gridSpan w:val="2"/>
            <w:vAlign w:val="center"/>
          </w:tcPr>
          <w:p w14:paraId="760B01AA">
            <w:pPr>
              <w:pStyle w:val="13"/>
            </w:pPr>
            <w:r>
              <w:t>25%</w:t>
            </w:r>
          </w:p>
        </w:tc>
        <w:tc>
          <w:tcPr>
            <w:tcW w:w="2835" w:type="dxa"/>
            <w:vAlign w:val="center"/>
          </w:tcPr>
          <w:p w14:paraId="7CA2435E">
            <w:pPr>
              <w:pStyle w:val="13"/>
            </w:pPr>
            <w:r>
              <w:t>50%</w:t>
            </w:r>
          </w:p>
        </w:tc>
        <w:tc>
          <w:tcPr>
            <w:tcW w:w="2551" w:type="dxa"/>
            <w:vAlign w:val="center"/>
          </w:tcPr>
          <w:p w14:paraId="29BE2AA2">
            <w:pPr>
              <w:pStyle w:val="13"/>
            </w:pPr>
            <w:r>
              <w:t>75%</w:t>
            </w:r>
          </w:p>
        </w:tc>
        <w:tc>
          <w:tcPr>
            <w:tcW w:w="3544" w:type="dxa"/>
            <w:gridSpan w:val="2"/>
            <w:vAlign w:val="center"/>
          </w:tcPr>
          <w:p w14:paraId="12DBD628">
            <w:pPr>
              <w:pStyle w:val="13"/>
            </w:pPr>
            <w:r>
              <w:t>100%</w:t>
            </w:r>
          </w:p>
        </w:tc>
      </w:tr>
      <w:tr w14:paraId="62C83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D1ED5">
            <w:pPr>
              <w:pStyle w:val="10"/>
            </w:pPr>
            <w:r>
              <w:t>绩效目标</w:t>
            </w:r>
          </w:p>
        </w:tc>
        <w:tc>
          <w:tcPr>
            <w:tcW w:w="14033" w:type="dxa"/>
            <w:gridSpan w:val="6"/>
            <w:vAlign w:val="center"/>
          </w:tcPr>
          <w:p w14:paraId="0FDF20B6">
            <w:pPr>
              <w:pStyle w:val="12"/>
            </w:pPr>
            <w:r>
              <w:t>1.按季度分批次拨付公用经费资金，资金拨付率达到100%。</w:t>
            </w:r>
          </w:p>
          <w:p w14:paraId="08A76ABC">
            <w:pPr>
              <w:pStyle w:val="12"/>
            </w:pPr>
            <w:r>
              <w:t>2.保障学校正常运转，完成各项教育教学活动和其他日常工作任务等方面的费用支出。</w:t>
            </w:r>
          </w:p>
        </w:tc>
      </w:tr>
    </w:tbl>
    <w:p w14:paraId="7C44E9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6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D252D">
            <w:pPr>
              <w:pStyle w:val="10"/>
            </w:pPr>
            <w:r>
              <w:t>一级指标</w:t>
            </w:r>
          </w:p>
        </w:tc>
        <w:tc>
          <w:tcPr>
            <w:tcW w:w="2268" w:type="dxa"/>
            <w:vAlign w:val="center"/>
          </w:tcPr>
          <w:p w14:paraId="01D93D81">
            <w:pPr>
              <w:pStyle w:val="10"/>
            </w:pPr>
            <w:r>
              <w:t>二级指标</w:t>
            </w:r>
          </w:p>
        </w:tc>
        <w:tc>
          <w:tcPr>
            <w:tcW w:w="2835" w:type="dxa"/>
            <w:vAlign w:val="center"/>
          </w:tcPr>
          <w:p w14:paraId="1347C929">
            <w:pPr>
              <w:pStyle w:val="10"/>
            </w:pPr>
            <w:r>
              <w:t>三级指标</w:t>
            </w:r>
          </w:p>
        </w:tc>
        <w:tc>
          <w:tcPr>
            <w:tcW w:w="5386" w:type="dxa"/>
            <w:vAlign w:val="center"/>
          </w:tcPr>
          <w:p w14:paraId="77F1D2B1">
            <w:pPr>
              <w:pStyle w:val="10"/>
            </w:pPr>
            <w:r>
              <w:t>绩效指标描述</w:t>
            </w:r>
          </w:p>
        </w:tc>
        <w:tc>
          <w:tcPr>
            <w:tcW w:w="2268" w:type="dxa"/>
            <w:vAlign w:val="center"/>
          </w:tcPr>
          <w:p w14:paraId="7F5CD977">
            <w:pPr>
              <w:pStyle w:val="10"/>
            </w:pPr>
            <w:r>
              <w:t>指标值</w:t>
            </w:r>
          </w:p>
        </w:tc>
        <w:tc>
          <w:tcPr>
            <w:tcW w:w="1276" w:type="dxa"/>
            <w:vAlign w:val="center"/>
          </w:tcPr>
          <w:p w14:paraId="36838757">
            <w:pPr>
              <w:pStyle w:val="10"/>
            </w:pPr>
            <w:r>
              <w:t>指标值确定依据</w:t>
            </w:r>
          </w:p>
        </w:tc>
      </w:tr>
      <w:tr w14:paraId="7AF3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7B92E">
            <w:pPr>
              <w:pStyle w:val="13"/>
            </w:pPr>
            <w:r>
              <w:t>产出指标</w:t>
            </w:r>
          </w:p>
        </w:tc>
        <w:tc>
          <w:tcPr>
            <w:tcW w:w="2268" w:type="dxa"/>
            <w:vAlign w:val="center"/>
          </w:tcPr>
          <w:p w14:paraId="385A994E">
            <w:pPr>
              <w:pStyle w:val="12"/>
            </w:pPr>
            <w:r>
              <w:t>数量指标</w:t>
            </w:r>
          </w:p>
        </w:tc>
        <w:tc>
          <w:tcPr>
            <w:tcW w:w="2835" w:type="dxa"/>
            <w:vAlign w:val="center"/>
          </w:tcPr>
          <w:p w14:paraId="2C145467">
            <w:pPr>
              <w:pStyle w:val="12"/>
            </w:pPr>
            <w:r>
              <w:t>就读学生数</w:t>
            </w:r>
          </w:p>
        </w:tc>
        <w:tc>
          <w:tcPr>
            <w:tcW w:w="5386" w:type="dxa"/>
            <w:vAlign w:val="center"/>
          </w:tcPr>
          <w:p w14:paraId="7954736F">
            <w:pPr>
              <w:pStyle w:val="12"/>
            </w:pPr>
            <w:r>
              <w:t>辐射区域内适龄学生人数</w:t>
            </w:r>
          </w:p>
        </w:tc>
        <w:tc>
          <w:tcPr>
            <w:tcW w:w="2268" w:type="dxa"/>
            <w:vAlign w:val="center"/>
          </w:tcPr>
          <w:p w14:paraId="4AE48B56">
            <w:pPr>
              <w:pStyle w:val="12"/>
            </w:pPr>
            <w:r>
              <w:t>249人</w:t>
            </w:r>
          </w:p>
        </w:tc>
        <w:tc>
          <w:tcPr>
            <w:tcW w:w="1276" w:type="dxa"/>
            <w:vAlign w:val="center"/>
          </w:tcPr>
          <w:p w14:paraId="0135D818">
            <w:pPr>
              <w:pStyle w:val="12"/>
            </w:pPr>
            <w:r>
              <w:t>城乡义务教育公用经费管理办法</w:t>
            </w:r>
          </w:p>
        </w:tc>
      </w:tr>
      <w:tr w14:paraId="4032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FE8B0"/>
        </w:tc>
        <w:tc>
          <w:tcPr>
            <w:tcW w:w="2268" w:type="dxa"/>
            <w:vAlign w:val="center"/>
          </w:tcPr>
          <w:p w14:paraId="0041E30E">
            <w:pPr>
              <w:pStyle w:val="12"/>
            </w:pPr>
            <w:r>
              <w:t>质量指标</w:t>
            </w:r>
          </w:p>
        </w:tc>
        <w:tc>
          <w:tcPr>
            <w:tcW w:w="2835" w:type="dxa"/>
            <w:vAlign w:val="center"/>
          </w:tcPr>
          <w:p w14:paraId="56FE0AB2">
            <w:pPr>
              <w:pStyle w:val="12"/>
            </w:pPr>
            <w:r>
              <w:t>预算执行率</w:t>
            </w:r>
          </w:p>
        </w:tc>
        <w:tc>
          <w:tcPr>
            <w:tcW w:w="5386" w:type="dxa"/>
            <w:vAlign w:val="center"/>
          </w:tcPr>
          <w:p w14:paraId="430406DA">
            <w:pPr>
              <w:pStyle w:val="12"/>
            </w:pPr>
            <w:r>
              <w:t>预算执行率</w:t>
            </w:r>
          </w:p>
        </w:tc>
        <w:tc>
          <w:tcPr>
            <w:tcW w:w="2268" w:type="dxa"/>
            <w:vAlign w:val="center"/>
          </w:tcPr>
          <w:p w14:paraId="3112AB7A">
            <w:pPr>
              <w:pStyle w:val="12"/>
            </w:pPr>
            <w:r>
              <w:t>≥95%</w:t>
            </w:r>
          </w:p>
        </w:tc>
        <w:tc>
          <w:tcPr>
            <w:tcW w:w="1276" w:type="dxa"/>
            <w:vAlign w:val="center"/>
          </w:tcPr>
          <w:p w14:paraId="665DA3ED">
            <w:pPr>
              <w:pStyle w:val="12"/>
            </w:pPr>
            <w:r>
              <w:t>城乡义务教育公用经费管理办法</w:t>
            </w:r>
          </w:p>
        </w:tc>
      </w:tr>
      <w:tr w14:paraId="1A45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2E6CC"/>
        </w:tc>
        <w:tc>
          <w:tcPr>
            <w:tcW w:w="2268" w:type="dxa"/>
            <w:vAlign w:val="center"/>
          </w:tcPr>
          <w:p w14:paraId="52A74E86">
            <w:pPr>
              <w:pStyle w:val="12"/>
            </w:pPr>
            <w:r>
              <w:t>时效指标</w:t>
            </w:r>
          </w:p>
        </w:tc>
        <w:tc>
          <w:tcPr>
            <w:tcW w:w="2835" w:type="dxa"/>
            <w:vAlign w:val="center"/>
          </w:tcPr>
          <w:p w14:paraId="30CCDB52">
            <w:pPr>
              <w:pStyle w:val="12"/>
            </w:pPr>
            <w:r>
              <w:t>义教经费支付完成率</w:t>
            </w:r>
          </w:p>
        </w:tc>
        <w:tc>
          <w:tcPr>
            <w:tcW w:w="5386" w:type="dxa"/>
            <w:vAlign w:val="center"/>
          </w:tcPr>
          <w:p w14:paraId="5212D176">
            <w:pPr>
              <w:pStyle w:val="12"/>
            </w:pPr>
            <w:r>
              <w:t>按照序时进度完成资金支付</w:t>
            </w:r>
          </w:p>
        </w:tc>
        <w:tc>
          <w:tcPr>
            <w:tcW w:w="2268" w:type="dxa"/>
            <w:vAlign w:val="center"/>
          </w:tcPr>
          <w:p w14:paraId="5AAD6E3B">
            <w:pPr>
              <w:pStyle w:val="12"/>
            </w:pPr>
            <w:r>
              <w:t>100%</w:t>
            </w:r>
          </w:p>
        </w:tc>
        <w:tc>
          <w:tcPr>
            <w:tcW w:w="1276" w:type="dxa"/>
            <w:vAlign w:val="center"/>
          </w:tcPr>
          <w:p w14:paraId="2DA783A2">
            <w:pPr>
              <w:pStyle w:val="12"/>
            </w:pPr>
            <w:r>
              <w:t>城乡义务教育公用经费管理办法</w:t>
            </w:r>
          </w:p>
        </w:tc>
      </w:tr>
      <w:tr w14:paraId="1EC3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B0343"/>
        </w:tc>
        <w:tc>
          <w:tcPr>
            <w:tcW w:w="2268" w:type="dxa"/>
            <w:vAlign w:val="center"/>
          </w:tcPr>
          <w:p w14:paraId="6E00A05F">
            <w:pPr>
              <w:pStyle w:val="12"/>
            </w:pPr>
            <w:r>
              <w:t>成本指标</w:t>
            </w:r>
          </w:p>
        </w:tc>
        <w:tc>
          <w:tcPr>
            <w:tcW w:w="2835" w:type="dxa"/>
            <w:vAlign w:val="center"/>
          </w:tcPr>
          <w:p w14:paraId="39D0382B">
            <w:pPr>
              <w:pStyle w:val="12"/>
            </w:pPr>
            <w:r>
              <w:t>生均拨款标准</w:t>
            </w:r>
          </w:p>
        </w:tc>
        <w:tc>
          <w:tcPr>
            <w:tcW w:w="5386" w:type="dxa"/>
            <w:vAlign w:val="center"/>
          </w:tcPr>
          <w:p w14:paraId="08B48C24">
            <w:pPr>
              <w:pStyle w:val="12"/>
            </w:pPr>
            <w:r>
              <w:t>小学生公用经费生均公用经费基准定额为720元/年/生，取暖费120元/年/生，住宿生补助300元/年/生的标准，随班就读学生补助7000元/生/年</w:t>
            </w:r>
          </w:p>
        </w:tc>
        <w:tc>
          <w:tcPr>
            <w:tcW w:w="2268" w:type="dxa"/>
            <w:vAlign w:val="center"/>
          </w:tcPr>
          <w:p w14:paraId="401D61C4">
            <w:pPr>
              <w:pStyle w:val="12"/>
            </w:pPr>
            <w:r>
              <w:t>840元</w:t>
            </w:r>
          </w:p>
        </w:tc>
        <w:tc>
          <w:tcPr>
            <w:tcW w:w="1276" w:type="dxa"/>
            <w:vAlign w:val="center"/>
          </w:tcPr>
          <w:p w14:paraId="681AB49A">
            <w:pPr>
              <w:pStyle w:val="12"/>
            </w:pPr>
            <w:r>
              <w:t>城乡义务教育公用经费管理办法</w:t>
            </w:r>
          </w:p>
        </w:tc>
      </w:tr>
      <w:tr w14:paraId="02C8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564BD">
            <w:pPr>
              <w:pStyle w:val="13"/>
            </w:pPr>
            <w:r>
              <w:t>效益指标</w:t>
            </w:r>
          </w:p>
        </w:tc>
        <w:tc>
          <w:tcPr>
            <w:tcW w:w="2268" w:type="dxa"/>
            <w:vAlign w:val="center"/>
          </w:tcPr>
          <w:p w14:paraId="3BD48535">
            <w:pPr>
              <w:pStyle w:val="12"/>
            </w:pPr>
            <w:r>
              <w:t>可持续影响指标</w:t>
            </w:r>
          </w:p>
        </w:tc>
        <w:tc>
          <w:tcPr>
            <w:tcW w:w="2835" w:type="dxa"/>
            <w:vAlign w:val="center"/>
          </w:tcPr>
          <w:p w14:paraId="2F872998">
            <w:pPr>
              <w:pStyle w:val="12"/>
            </w:pPr>
            <w:r>
              <w:t>学校运转得到提高</w:t>
            </w:r>
          </w:p>
        </w:tc>
        <w:tc>
          <w:tcPr>
            <w:tcW w:w="5386" w:type="dxa"/>
            <w:vAlign w:val="center"/>
          </w:tcPr>
          <w:p w14:paraId="5FBA8321">
            <w:pPr>
              <w:pStyle w:val="12"/>
            </w:pPr>
            <w:r>
              <w:t>学生受教育年限</w:t>
            </w:r>
          </w:p>
        </w:tc>
        <w:tc>
          <w:tcPr>
            <w:tcW w:w="2268" w:type="dxa"/>
            <w:vAlign w:val="center"/>
          </w:tcPr>
          <w:p w14:paraId="42A53F86">
            <w:pPr>
              <w:pStyle w:val="12"/>
            </w:pPr>
            <w:r>
              <w:t>6年</w:t>
            </w:r>
          </w:p>
        </w:tc>
        <w:tc>
          <w:tcPr>
            <w:tcW w:w="1276" w:type="dxa"/>
            <w:vAlign w:val="center"/>
          </w:tcPr>
          <w:p w14:paraId="63C18A57">
            <w:pPr>
              <w:pStyle w:val="12"/>
            </w:pPr>
            <w:r>
              <w:t>城乡义务教育公用经费管理办法</w:t>
            </w:r>
          </w:p>
        </w:tc>
      </w:tr>
      <w:tr w14:paraId="4A93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1B812">
            <w:pPr>
              <w:pStyle w:val="13"/>
            </w:pPr>
            <w:r>
              <w:t>满意度指标</w:t>
            </w:r>
          </w:p>
        </w:tc>
        <w:tc>
          <w:tcPr>
            <w:tcW w:w="2268" w:type="dxa"/>
            <w:vAlign w:val="center"/>
          </w:tcPr>
          <w:p w14:paraId="4205EC59">
            <w:pPr>
              <w:pStyle w:val="12"/>
            </w:pPr>
            <w:r>
              <w:t>服务对象满意度指标</w:t>
            </w:r>
          </w:p>
        </w:tc>
        <w:tc>
          <w:tcPr>
            <w:tcW w:w="2835" w:type="dxa"/>
            <w:vAlign w:val="center"/>
          </w:tcPr>
          <w:p w14:paraId="12D2FF55">
            <w:pPr>
              <w:pStyle w:val="12"/>
            </w:pPr>
            <w:r>
              <w:t>服务对象满意度</w:t>
            </w:r>
          </w:p>
        </w:tc>
        <w:tc>
          <w:tcPr>
            <w:tcW w:w="5386" w:type="dxa"/>
            <w:vAlign w:val="center"/>
          </w:tcPr>
          <w:p w14:paraId="684B848E">
            <w:pPr>
              <w:pStyle w:val="12"/>
            </w:pPr>
            <w:r>
              <w:t>学校老师和学生满意度</w:t>
            </w:r>
          </w:p>
        </w:tc>
        <w:tc>
          <w:tcPr>
            <w:tcW w:w="2268" w:type="dxa"/>
            <w:vAlign w:val="center"/>
          </w:tcPr>
          <w:p w14:paraId="32828B0C">
            <w:pPr>
              <w:pStyle w:val="12"/>
            </w:pPr>
            <w:r>
              <w:t>≥95%</w:t>
            </w:r>
          </w:p>
        </w:tc>
        <w:tc>
          <w:tcPr>
            <w:tcW w:w="1276" w:type="dxa"/>
            <w:vAlign w:val="center"/>
          </w:tcPr>
          <w:p w14:paraId="0C95D956">
            <w:pPr>
              <w:pStyle w:val="12"/>
            </w:pPr>
            <w:r>
              <w:t>群众测评</w:t>
            </w:r>
          </w:p>
        </w:tc>
      </w:tr>
    </w:tbl>
    <w:p w14:paraId="7D0CBD1D">
      <w:pPr>
        <w:sectPr>
          <w:pgSz w:w="16840" w:h="11900" w:orient="landscape"/>
          <w:pgMar w:top="1361" w:right="1020" w:bottom="1134" w:left="1020" w:header="720" w:footer="720" w:gutter="0"/>
          <w:cols w:space="720" w:num="1"/>
        </w:sectPr>
      </w:pPr>
    </w:p>
    <w:p w14:paraId="11A89379">
      <w:pPr>
        <w:spacing w:before="0" w:after="0"/>
        <w:ind w:firstLine="560"/>
        <w:jc w:val="left"/>
        <w:outlineLvl w:val="9"/>
      </w:pPr>
      <w:r>
        <w:rPr>
          <w:rFonts w:ascii="方正仿宋_GBK" w:hAnsi="方正仿宋_GBK" w:eastAsia="方正仿宋_GBK" w:cs="方正仿宋_GBK"/>
          <w:b/>
          <w:color w:val="000000"/>
          <w:sz w:val="28"/>
        </w:rPr>
        <w:t>26、县级配套/山口校区东尚中心小学公用经费绩效目标表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8B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E84A4">
            <w:pPr>
              <w:pStyle w:val="11"/>
            </w:pPr>
            <w:r>
              <w:t>单位：万元</w:t>
            </w:r>
          </w:p>
        </w:tc>
      </w:tr>
      <w:tr w14:paraId="3B3FA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DB337">
            <w:pPr>
              <w:pStyle w:val="10"/>
            </w:pPr>
            <w:r>
              <w:t>项目编码</w:t>
            </w:r>
          </w:p>
        </w:tc>
        <w:tc>
          <w:tcPr>
            <w:tcW w:w="5103" w:type="dxa"/>
            <w:gridSpan w:val="2"/>
            <w:vAlign w:val="center"/>
          </w:tcPr>
          <w:p w14:paraId="5B14E1BA">
            <w:pPr>
              <w:pStyle w:val="12"/>
            </w:pPr>
            <w:r>
              <w:t>13052526P00000410449K</w:t>
            </w:r>
          </w:p>
        </w:tc>
        <w:tc>
          <w:tcPr>
            <w:tcW w:w="2835" w:type="dxa"/>
            <w:vAlign w:val="center"/>
          </w:tcPr>
          <w:p w14:paraId="1933AE5B">
            <w:pPr>
              <w:pStyle w:val="10"/>
            </w:pPr>
            <w:r>
              <w:t>项目名称</w:t>
            </w:r>
          </w:p>
        </w:tc>
        <w:tc>
          <w:tcPr>
            <w:tcW w:w="6095" w:type="dxa"/>
            <w:gridSpan w:val="3"/>
            <w:vAlign w:val="center"/>
          </w:tcPr>
          <w:p w14:paraId="177543BE">
            <w:pPr>
              <w:pStyle w:val="12"/>
            </w:pPr>
            <w:r>
              <w:t>县级配套/山口校区东尚中心小学公用经费</w:t>
            </w:r>
          </w:p>
        </w:tc>
      </w:tr>
      <w:tr w14:paraId="74810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FB16B">
            <w:pPr>
              <w:pStyle w:val="10"/>
            </w:pPr>
            <w:r>
              <w:t>预算规模及资金用途</w:t>
            </w:r>
          </w:p>
        </w:tc>
        <w:tc>
          <w:tcPr>
            <w:tcW w:w="2268" w:type="dxa"/>
            <w:vAlign w:val="center"/>
          </w:tcPr>
          <w:p w14:paraId="3332B094">
            <w:pPr>
              <w:pStyle w:val="10"/>
            </w:pPr>
            <w:r>
              <w:t>预算数</w:t>
            </w:r>
          </w:p>
        </w:tc>
        <w:tc>
          <w:tcPr>
            <w:tcW w:w="2835" w:type="dxa"/>
            <w:vAlign w:val="center"/>
          </w:tcPr>
          <w:p w14:paraId="19CFECB6">
            <w:pPr>
              <w:pStyle w:val="12"/>
            </w:pPr>
            <w:r>
              <w:t>0.89</w:t>
            </w:r>
          </w:p>
        </w:tc>
        <w:tc>
          <w:tcPr>
            <w:tcW w:w="2835" w:type="dxa"/>
            <w:vAlign w:val="center"/>
          </w:tcPr>
          <w:p w14:paraId="1E2FDE1A">
            <w:pPr>
              <w:pStyle w:val="10"/>
            </w:pPr>
            <w:r>
              <w:t>其中：财政    资金</w:t>
            </w:r>
          </w:p>
        </w:tc>
        <w:tc>
          <w:tcPr>
            <w:tcW w:w="2551" w:type="dxa"/>
            <w:vAlign w:val="center"/>
          </w:tcPr>
          <w:p w14:paraId="41D3D477">
            <w:pPr>
              <w:pStyle w:val="12"/>
            </w:pPr>
            <w:r>
              <w:t>0.89</w:t>
            </w:r>
          </w:p>
        </w:tc>
        <w:tc>
          <w:tcPr>
            <w:tcW w:w="2268" w:type="dxa"/>
            <w:vAlign w:val="center"/>
          </w:tcPr>
          <w:p w14:paraId="2730E124">
            <w:pPr>
              <w:pStyle w:val="10"/>
            </w:pPr>
            <w:r>
              <w:t>其他资金</w:t>
            </w:r>
          </w:p>
        </w:tc>
        <w:tc>
          <w:tcPr>
            <w:tcW w:w="1276" w:type="dxa"/>
            <w:vAlign w:val="center"/>
          </w:tcPr>
          <w:p w14:paraId="7042EA5C">
            <w:pPr>
              <w:pStyle w:val="12"/>
            </w:pPr>
            <w:r>
              <w:t xml:space="preserve"> </w:t>
            </w:r>
          </w:p>
        </w:tc>
      </w:tr>
      <w:tr w14:paraId="636F0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3E3DC"/>
        </w:tc>
        <w:tc>
          <w:tcPr>
            <w:tcW w:w="14033" w:type="dxa"/>
            <w:gridSpan w:val="6"/>
            <w:vAlign w:val="center"/>
          </w:tcPr>
          <w:p w14:paraId="3C67DD9A">
            <w:pPr>
              <w:pStyle w:val="12"/>
            </w:pPr>
            <w:r>
              <w:t>保障学校正常运转，完成各项教育教学活动和其他日常工作任务等方面的费用支出。</w:t>
            </w:r>
            <w:r>
              <w:tab/>
            </w:r>
            <w:r>
              <w:tab/>
            </w:r>
            <w:r>
              <w:tab/>
            </w:r>
            <w:r>
              <w:tab/>
            </w:r>
            <w:r>
              <w:tab/>
            </w:r>
            <w:r>
              <w:tab/>
            </w:r>
          </w:p>
          <w:p w14:paraId="1E07FF39">
            <w:pPr>
              <w:pStyle w:val="12"/>
            </w:pPr>
          </w:p>
        </w:tc>
      </w:tr>
      <w:tr w14:paraId="2B3E0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FEE03">
            <w:pPr>
              <w:pStyle w:val="10"/>
            </w:pPr>
            <w:r>
              <w:t>资金支出计划（%）</w:t>
            </w:r>
          </w:p>
        </w:tc>
        <w:tc>
          <w:tcPr>
            <w:tcW w:w="5103" w:type="dxa"/>
            <w:gridSpan w:val="2"/>
            <w:vAlign w:val="center"/>
          </w:tcPr>
          <w:p w14:paraId="143F146B">
            <w:pPr>
              <w:pStyle w:val="10"/>
            </w:pPr>
            <w:r>
              <w:t>3月底</w:t>
            </w:r>
          </w:p>
        </w:tc>
        <w:tc>
          <w:tcPr>
            <w:tcW w:w="2835" w:type="dxa"/>
            <w:vAlign w:val="center"/>
          </w:tcPr>
          <w:p w14:paraId="20EA619C">
            <w:pPr>
              <w:pStyle w:val="10"/>
            </w:pPr>
            <w:r>
              <w:t>6月底</w:t>
            </w:r>
          </w:p>
        </w:tc>
        <w:tc>
          <w:tcPr>
            <w:tcW w:w="2551" w:type="dxa"/>
            <w:vAlign w:val="center"/>
          </w:tcPr>
          <w:p w14:paraId="5A9F9C52">
            <w:pPr>
              <w:pStyle w:val="10"/>
            </w:pPr>
            <w:r>
              <w:t>10月底</w:t>
            </w:r>
          </w:p>
        </w:tc>
        <w:tc>
          <w:tcPr>
            <w:tcW w:w="3544" w:type="dxa"/>
            <w:gridSpan w:val="2"/>
            <w:vAlign w:val="center"/>
          </w:tcPr>
          <w:p w14:paraId="704E93F9">
            <w:pPr>
              <w:pStyle w:val="10"/>
            </w:pPr>
            <w:r>
              <w:t>12月底</w:t>
            </w:r>
          </w:p>
        </w:tc>
      </w:tr>
      <w:tr w14:paraId="005A5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96B9C"/>
        </w:tc>
        <w:tc>
          <w:tcPr>
            <w:tcW w:w="5103" w:type="dxa"/>
            <w:gridSpan w:val="2"/>
            <w:vAlign w:val="center"/>
          </w:tcPr>
          <w:p w14:paraId="26261936">
            <w:pPr>
              <w:pStyle w:val="13"/>
            </w:pPr>
            <w:r>
              <w:t>25%</w:t>
            </w:r>
          </w:p>
        </w:tc>
        <w:tc>
          <w:tcPr>
            <w:tcW w:w="2835" w:type="dxa"/>
            <w:vAlign w:val="center"/>
          </w:tcPr>
          <w:p w14:paraId="456DAFCE">
            <w:pPr>
              <w:pStyle w:val="13"/>
            </w:pPr>
            <w:r>
              <w:t>50%</w:t>
            </w:r>
          </w:p>
        </w:tc>
        <w:tc>
          <w:tcPr>
            <w:tcW w:w="2551" w:type="dxa"/>
            <w:vAlign w:val="center"/>
          </w:tcPr>
          <w:p w14:paraId="02B2F329">
            <w:pPr>
              <w:pStyle w:val="13"/>
            </w:pPr>
            <w:r>
              <w:t>75%</w:t>
            </w:r>
          </w:p>
        </w:tc>
        <w:tc>
          <w:tcPr>
            <w:tcW w:w="3544" w:type="dxa"/>
            <w:gridSpan w:val="2"/>
            <w:vAlign w:val="center"/>
          </w:tcPr>
          <w:p w14:paraId="10AB3888">
            <w:pPr>
              <w:pStyle w:val="13"/>
            </w:pPr>
            <w:r>
              <w:t>100%</w:t>
            </w:r>
          </w:p>
        </w:tc>
      </w:tr>
      <w:tr w14:paraId="77B08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616D1">
            <w:pPr>
              <w:pStyle w:val="10"/>
            </w:pPr>
            <w:r>
              <w:t>绩效目标</w:t>
            </w:r>
          </w:p>
        </w:tc>
        <w:tc>
          <w:tcPr>
            <w:tcW w:w="14033" w:type="dxa"/>
            <w:gridSpan w:val="6"/>
            <w:vAlign w:val="center"/>
          </w:tcPr>
          <w:p w14:paraId="3F0DA0C1">
            <w:pPr>
              <w:pStyle w:val="12"/>
            </w:pPr>
            <w:r>
              <w:t>1.按季度分批次拨付公用经费资金，资金拨付率达到100%。</w:t>
            </w:r>
          </w:p>
          <w:p w14:paraId="2A13E914">
            <w:pPr>
              <w:pStyle w:val="12"/>
            </w:pPr>
            <w:r>
              <w:t>2.保障学校正常运转，完成各项教育教学活动和其他日常工作任务等方面的费用支出。</w:t>
            </w:r>
          </w:p>
        </w:tc>
      </w:tr>
    </w:tbl>
    <w:p w14:paraId="2647E9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9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C74AE">
            <w:pPr>
              <w:pStyle w:val="10"/>
            </w:pPr>
            <w:r>
              <w:t>一级指标</w:t>
            </w:r>
          </w:p>
        </w:tc>
        <w:tc>
          <w:tcPr>
            <w:tcW w:w="2268" w:type="dxa"/>
            <w:vAlign w:val="center"/>
          </w:tcPr>
          <w:p w14:paraId="6894D2A9">
            <w:pPr>
              <w:pStyle w:val="10"/>
            </w:pPr>
            <w:r>
              <w:t>二级指标</w:t>
            </w:r>
          </w:p>
        </w:tc>
        <w:tc>
          <w:tcPr>
            <w:tcW w:w="2835" w:type="dxa"/>
            <w:vAlign w:val="center"/>
          </w:tcPr>
          <w:p w14:paraId="04856F97">
            <w:pPr>
              <w:pStyle w:val="10"/>
            </w:pPr>
            <w:r>
              <w:t>三级指标</w:t>
            </w:r>
          </w:p>
        </w:tc>
        <w:tc>
          <w:tcPr>
            <w:tcW w:w="5386" w:type="dxa"/>
            <w:vAlign w:val="center"/>
          </w:tcPr>
          <w:p w14:paraId="7AD3E545">
            <w:pPr>
              <w:pStyle w:val="10"/>
            </w:pPr>
            <w:r>
              <w:t>绩效指标描述</w:t>
            </w:r>
          </w:p>
        </w:tc>
        <w:tc>
          <w:tcPr>
            <w:tcW w:w="2268" w:type="dxa"/>
            <w:vAlign w:val="center"/>
          </w:tcPr>
          <w:p w14:paraId="04126DF1">
            <w:pPr>
              <w:pStyle w:val="10"/>
            </w:pPr>
            <w:r>
              <w:t>指标值</w:t>
            </w:r>
          </w:p>
        </w:tc>
        <w:tc>
          <w:tcPr>
            <w:tcW w:w="1276" w:type="dxa"/>
            <w:vAlign w:val="center"/>
          </w:tcPr>
          <w:p w14:paraId="6209DDD8">
            <w:pPr>
              <w:pStyle w:val="10"/>
            </w:pPr>
            <w:r>
              <w:t>指标值确定依据</w:t>
            </w:r>
          </w:p>
        </w:tc>
      </w:tr>
      <w:tr w14:paraId="0931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13A70">
            <w:pPr>
              <w:pStyle w:val="13"/>
            </w:pPr>
            <w:r>
              <w:t>产出指标</w:t>
            </w:r>
          </w:p>
        </w:tc>
        <w:tc>
          <w:tcPr>
            <w:tcW w:w="2268" w:type="dxa"/>
            <w:vAlign w:val="center"/>
          </w:tcPr>
          <w:p w14:paraId="66CDBC10">
            <w:pPr>
              <w:pStyle w:val="12"/>
            </w:pPr>
            <w:r>
              <w:t>数量指标</w:t>
            </w:r>
          </w:p>
        </w:tc>
        <w:tc>
          <w:tcPr>
            <w:tcW w:w="2835" w:type="dxa"/>
            <w:vAlign w:val="center"/>
          </w:tcPr>
          <w:p w14:paraId="4714C442">
            <w:pPr>
              <w:pStyle w:val="12"/>
            </w:pPr>
            <w:r>
              <w:t>就读学生数</w:t>
            </w:r>
          </w:p>
        </w:tc>
        <w:tc>
          <w:tcPr>
            <w:tcW w:w="5386" w:type="dxa"/>
            <w:vAlign w:val="center"/>
          </w:tcPr>
          <w:p w14:paraId="7F727406">
            <w:pPr>
              <w:pStyle w:val="12"/>
            </w:pPr>
            <w:r>
              <w:t>辐射区域内适龄学生人数</w:t>
            </w:r>
          </w:p>
        </w:tc>
        <w:tc>
          <w:tcPr>
            <w:tcW w:w="2268" w:type="dxa"/>
            <w:vAlign w:val="center"/>
          </w:tcPr>
          <w:p w14:paraId="3FD169CB">
            <w:pPr>
              <w:pStyle w:val="12"/>
            </w:pPr>
            <w:r>
              <w:t>101人</w:t>
            </w:r>
          </w:p>
        </w:tc>
        <w:tc>
          <w:tcPr>
            <w:tcW w:w="1276" w:type="dxa"/>
            <w:vAlign w:val="center"/>
          </w:tcPr>
          <w:p w14:paraId="79CCC289">
            <w:pPr>
              <w:pStyle w:val="12"/>
            </w:pPr>
            <w:r>
              <w:t>城乡义务教育公用经费管理办法</w:t>
            </w:r>
          </w:p>
        </w:tc>
      </w:tr>
      <w:tr w14:paraId="17CD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4D20B"/>
        </w:tc>
        <w:tc>
          <w:tcPr>
            <w:tcW w:w="2268" w:type="dxa"/>
            <w:vAlign w:val="center"/>
          </w:tcPr>
          <w:p w14:paraId="1BD9DEE4">
            <w:pPr>
              <w:pStyle w:val="12"/>
            </w:pPr>
            <w:r>
              <w:t>质量指标</w:t>
            </w:r>
          </w:p>
        </w:tc>
        <w:tc>
          <w:tcPr>
            <w:tcW w:w="2835" w:type="dxa"/>
            <w:vAlign w:val="center"/>
          </w:tcPr>
          <w:p w14:paraId="5C1DE455">
            <w:pPr>
              <w:pStyle w:val="12"/>
            </w:pPr>
            <w:r>
              <w:t>预算执行率</w:t>
            </w:r>
          </w:p>
        </w:tc>
        <w:tc>
          <w:tcPr>
            <w:tcW w:w="5386" w:type="dxa"/>
            <w:vAlign w:val="center"/>
          </w:tcPr>
          <w:p w14:paraId="5F968999">
            <w:pPr>
              <w:pStyle w:val="12"/>
            </w:pPr>
            <w:r>
              <w:t>预算执行率</w:t>
            </w:r>
          </w:p>
        </w:tc>
        <w:tc>
          <w:tcPr>
            <w:tcW w:w="2268" w:type="dxa"/>
            <w:vAlign w:val="center"/>
          </w:tcPr>
          <w:p w14:paraId="5CABA361">
            <w:pPr>
              <w:pStyle w:val="12"/>
            </w:pPr>
            <w:r>
              <w:t>≥95%</w:t>
            </w:r>
          </w:p>
        </w:tc>
        <w:tc>
          <w:tcPr>
            <w:tcW w:w="1276" w:type="dxa"/>
            <w:vAlign w:val="center"/>
          </w:tcPr>
          <w:p w14:paraId="20603825">
            <w:pPr>
              <w:pStyle w:val="12"/>
            </w:pPr>
            <w:r>
              <w:t>城乡义务教育公用经费管理办法</w:t>
            </w:r>
          </w:p>
        </w:tc>
      </w:tr>
      <w:tr w14:paraId="2CD1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2BA52"/>
        </w:tc>
        <w:tc>
          <w:tcPr>
            <w:tcW w:w="2268" w:type="dxa"/>
            <w:vAlign w:val="center"/>
          </w:tcPr>
          <w:p w14:paraId="10B675AD">
            <w:pPr>
              <w:pStyle w:val="12"/>
            </w:pPr>
            <w:r>
              <w:t>时效指标</w:t>
            </w:r>
          </w:p>
        </w:tc>
        <w:tc>
          <w:tcPr>
            <w:tcW w:w="2835" w:type="dxa"/>
            <w:vAlign w:val="center"/>
          </w:tcPr>
          <w:p w14:paraId="538C5760">
            <w:pPr>
              <w:pStyle w:val="12"/>
            </w:pPr>
            <w:r>
              <w:t>义教经费支付完成率</w:t>
            </w:r>
          </w:p>
        </w:tc>
        <w:tc>
          <w:tcPr>
            <w:tcW w:w="5386" w:type="dxa"/>
            <w:vAlign w:val="center"/>
          </w:tcPr>
          <w:p w14:paraId="211CD6B6">
            <w:pPr>
              <w:pStyle w:val="12"/>
            </w:pPr>
            <w:r>
              <w:t>按照序时进度完成资金支付</w:t>
            </w:r>
          </w:p>
        </w:tc>
        <w:tc>
          <w:tcPr>
            <w:tcW w:w="2268" w:type="dxa"/>
            <w:vAlign w:val="center"/>
          </w:tcPr>
          <w:p w14:paraId="1445199B">
            <w:pPr>
              <w:pStyle w:val="12"/>
            </w:pPr>
            <w:r>
              <w:t>100%</w:t>
            </w:r>
          </w:p>
        </w:tc>
        <w:tc>
          <w:tcPr>
            <w:tcW w:w="1276" w:type="dxa"/>
            <w:vAlign w:val="center"/>
          </w:tcPr>
          <w:p w14:paraId="1C29E32E">
            <w:pPr>
              <w:pStyle w:val="12"/>
            </w:pPr>
            <w:r>
              <w:t>城乡义务教育公用经费管理办法</w:t>
            </w:r>
          </w:p>
        </w:tc>
      </w:tr>
      <w:tr w14:paraId="4117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50E8F"/>
        </w:tc>
        <w:tc>
          <w:tcPr>
            <w:tcW w:w="2268" w:type="dxa"/>
            <w:vAlign w:val="center"/>
          </w:tcPr>
          <w:p w14:paraId="29117117">
            <w:pPr>
              <w:pStyle w:val="12"/>
            </w:pPr>
            <w:r>
              <w:t>成本指标</w:t>
            </w:r>
          </w:p>
        </w:tc>
        <w:tc>
          <w:tcPr>
            <w:tcW w:w="2835" w:type="dxa"/>
            <w:vAlign w:val="center"/>
          </w:tcPr>
          <w:p w14:paraId="7EE08060">
            <w:pPr>
              <w:pStyle w:val="12"/>
            </w:pPr>
            <w:r>
              <w:t>生均拨款标准</w:t>
            </w:r>
          </w:p>
        </w:tc>
        <w:tc>
          <w:tcPr>
            <w:tcW w:w="5386" w:type="dxa"/>
            <w:vAlign w:val="center"/>
          </w:tcPr>
          <w:p w14:paraId="126B3F6C">
            <w:pPr>
              <w:pStyle w:val="12"/>
            </w:pPr>
            <w:r>
              <w:t>小学生公用经费生均公用经费基准定额为720元/年/生，取暖费120元/年/生，住宿生补助300元/年/生的标准，随班就读学生补助7000元/生/年</w:t>
            </w:r>
          </w:p>
        </w:tc>
        <w:tc>
          <w:tcPr>
            <w:tcW w:w="2268" w:type="dxa"/>
            <w:vAlign w:val="center"/>
          </w:tcPr>
          <w:p w14:paraId="41A4C5CE">
            <w:pPr>
              <w:pStyle w:val="12"/>
            </w:pPr>
            <w:r>
              <w:t>840元</w:t>
            </w:r>
          </w:p>
        </w:tc>
        <w:tc>
          <w:tcPr>
            <w:tcW w:w="1276" w:type="dxa"/>
            <w:vAlign w:val="center"/>
          </w:tcPr>
          <w:p w14:paraId="46D168FF">
            <w:pPr>
              <w:pStyle w:val="12"/>
            </w:pPr>
            <w:r>
              <w:t>城乡义务教育公用经费管理办法</w:t>
            </w:r>
          </w:p>
        </w:tc>
      </w:tr>
      <w:tr w14:paraId="3C24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D77CA">
            <w:pPr>
              <w:pStyle w:val="13"/>
            </w:pPr>
            <w:r>
              <w:t>效益指标</w:t>
            </w:r>
          </w:p>
        </w:tc>
        <w:tc>
          <w:tcPr>
            <w:tcW w:w="2268" w:type="dxa"/>
            <w:vAlign w:val="center"/>
          </w:tcPr>
          <w:p w14:paraId="2EDA3180">
            <w:pPr>
              <w:pStyle w:val="12"/>
            </w:pPr>
            <w:r>
              <w:t>可持续影响指标</w:t>
            </w:r>
          </w:p>
        </w:tc>
        <w:tc>
          <w:tcPr>
            <w:tcW w:w="2835" w:type="dxa"/>
            <w:vAlign w:val="center"/>
          </w:tcPr>
          <w:p w14:paraId="6AE7F905">
            <w:pPr>
              <w:pStyle w:val="12"/>
            </w:pPr>
            <w:r>
              <w:t>学校运转得到提高</w:t>
            </w:r>
          </w:p>
        </w:tc>
        <w:tc>
          <w:tcPr>
            <w:tcW w:w="5386" w:type="dxa"/>
            <w:vAlign w:val="center"/>
          </w:tcPr>
          <w:p w14:paraId="24EE53EE">
            <w:pPr>
              <w:pStyle w:val="12"/>
            </w:pPr>
            <w:r>
              <w:t>学生受教育年限</w:t>
            </w:r>
          </w:p>
        </w:tc>
        <w:tc>
          <w:tcPr>
            <w:tcW w:w="2268" w:type="dxa"/>
            <w:vAlign w:val="center"/>
          </w:tcPr>
          <w:p w14:paraId="7B6AF8F9">
            <w:pPr>
              <w:pStyle w:val="12"/>
            </w:pPr>
            <w:r>
              <w:t>6年</w:t>
            </w:r>
          </w:p>
        </w:tc>
        <w:tc>
          <w:tcPr>
            <w:tcW w:w="1276" w:type="dxa"/>
            <w:vAlign w:val="center"/>
          </w:tcPr>
          <w:p w14:paraId="28402DA8">
            <w:pPr>
              <w:pStyle w:val="12"/>
            </w:pPr>
            <w:r>
              <w:t>城乡义务教育公用经费管理办法</w:t>
            </w:r>
          </w:p>
        </w:tc>
      </w:tr>
      <w:tr w14:paraId="34C4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C6D8A">
            <w:pPr>
              <w:pStyle w:val="13"/>
            </w:pPr>
            <w:r>
              <w:t>满意度指标</w:t>
            </w:r>
          </w:p>
        </w:tc>
        <w:tc>
          <w:tcPr>
            <w:tcW w:w="2268" w:type="dxa"/>
            <w:vAlign w:val="center"/>
          </w:tcPr>
          <w:p w14:paraId="43036BED">
            <w:pPr>
              <w:pStyle w:val="12"/>
            </w:pPr>
            <w:r>
              <w:t>服务对象满意度指标</w:t>
            </w:r>
          </w:p>
        </w:tc>
        <w:tc>
          <w:tcPr>
            <w:tcW w:w="2835" w:type="dxa"/>
            <w:vAlign w:val="center"/>
          </w:tcPr>
          <w:p w14:paraId="53B1E5CE">
            <w:pPr>
              <w:pStyle w:val="12"/>
            </w:pPr>
            <w:r>
              <w:t>服务对象满意度</w:t>
            </w:r>
          </w:p>
        </w:tc>
        <w:tc>
          <w:tcPr>
            <w:tcW w:w="5386" w:type="dxa"/>
            <w:vAlign w:val="center"/>
          </w:tcPr>
          <w:p w14:paraId="48A703E8">
            <w:pPr>
              <w:pStyle w:val="12"/>
            </w:pPr>
            <w:r>
              <w:t>学校老师和学生满意度</w:t>
            </w:r>
          </w:p>
        </w:tc>
        <w:tc>
          <w:tcPr>
            <w:tcW w:w="2268" w:type="dxa"/>
            <w:vAlign w:val="center"/>
          </w:tcPr>
          <w:p w14:paraId="1734E16F">
            <w:pPr>
              <w:pStyle w:val="12"/>
            </w:pPr>
            <w:r>
              <w:t>≥95%</w:t>
            </w:r>
          </w:p>
        </w:tc>
        <w:tc>
          <w:tcPr>
            <w:tcW w:w="1276" w:type="dxa"/>
            <w:vAlign w:val="center"/>
          </w:tcPr>
          <w:p w14:paraId="1575F4CA">
            <w:pPr>
              <w:pStyle w:val="12"/>
            </w:pPr>
            <w:r>
              <w:t>群众测评</w:t>
            </w:r>
          </w:p>
        </w:tc>
      </w:tr>
    </w:tbl>
    <w:p w14:paraId="2358B391">
      <w:pPr>
        <w:sectPr>
          <w:pgSz w:w="16840" w:h="11900" w:orient="landscape"/>
          <w:pgMar w:top="1361" w:right="1020" w:bottom="1134" w:left="1020" w:header="720" w:footer="720" w:gutter="0"/>
          <w:cols w:space="720" w:num="1"/>
        </w:sectPr>
      </w:pPr>
    </w:p>
    <w:p w14:paraId="48248EE5">
      <w:pPr>
        <w:spacing w:before="0" w:after="0"/>
        <w:ind w:firstLine="560"/>
        <w:jc w:val="left"/>
        <w:outlineLvl w:val="9"/>
      </w:pPr>
      <w:r>
        <w:rPr>
          <w:rFonts w:ascii="方正仿宋_GBK" w:hAnsi="方正仿宋_GBK" w:eastAsia="方正仿宋_GBK" w:cs="方正仿宋_GBK"/>
          <w:b/>
          <w:color w:val="000000"/>
          <w:sz w:val="28"/>
        </w:rPr>
        <w:t>27、县级配套/山口校区后庄中心小学公用经费绩效目标表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68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D1935">
            <w:pPr>
              <w:pStyle w:val="11"/>
            </w:pPr>
            <w:r>
              <w:t>单位：万元</w:t>
            </w:r>
          </w:p>
        </w:tc>
      </w:tr>
      <w:tr w14:paraId="169C1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CD1F7">
            <w:pPr>
              <w:pStyle w:val="10"/>
            </w:pPr>
            <w:r>
              <w:t>项目编码</w:t>
            </w:r>
          </w:p>
        </w:tc>
        <w:tc>
          <w:tcPr>
            <w:tcW w:w="5103" w:type="dxa"/>
            <w:gridSpan w:val="2"/>
            <w:vAlign w:val="center"/>
          </w:tcPr>
          <w:p w14:paraId="7B112837">
            <w:pPr>
              <w:pStyle w:val="12"/>
            </w:pPr>
            <w:r>
              <w:t>13052526P00000410450Y</w:t>
            </w:r>
          </w:p>
        </w:tc>
        <w:tc>
          <w:tcPr>
            <w:tcW w:w="2835" w:type="dxa"/>
            <w:vAlign w:val="center"/>
          </w:tcPr>
          <w:p w14:paraId="68151B63">
            <w:pPr>
              <w:pStyle w:val="10"/>
            </w:pPr>
            <w:r>
              <w:t>项目名称</w:t>
            </w:r>
          </w:p>
        </w:tc>
        <w:tc>
          <w:tcPr>
            <w:tcW w:w="6095" w:type="dxa"/>
            <w:gridSpan w:val="3"/>
            <w:vAlign w:val="center"/>
          </w:tcPr>
          <w:p w14:paraId="143DD6E2">
            <w:pPr>
              <w:pStyle w:val="12"/>
            </w:pPr>
            <w:r>
              <w:t>县级配套/山口校区后庄中心小学公用经费</w:t>
            </w:r>
          </w:p>
        </w:tc>
      </w:tr>
      <w:tr w14:paraId="0EC70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B843A">
            <w:pPr>
              <w:pStyle w:val="10"/>
            </w:pPr>
            <w:r>
              <w:t>预算规模及资金用途</w:t>
            </w:r>
          </w:p>
        </w:tc>
        <w:tc>
          <w:tcPr>
            <w:tcW w:w="2268" w:type="dxa"/>
            <w:vAlign w:val="center"/>
          </w:tcPr>
          <w:p w14:paraId="01F38311">
            <w:pPr>
              <w:pStyle w:val="10"/>
            </w:pPr>
            <w:r>
              <w:t>预算数</w:t>
            </w:r>
          </w:p>
        </w:tc>
        <w:tc>
          <w:tcPr>
            <w:tcW w:w="2835" w:type="dxa"/>
            <w:vAlign w:val="center"/>
          </w:tcPr>
          <w:p w14:paraId="3826A855">
            <w:pPr>
              <w:pStyle w:val="12"/>
            </w:pPr>
            <w:r>
              <w:t>0.83</w:t>
            </w:r>
          </w:p>
        </w:tc>
        <w:tc>
          <w:tcPr>
            <w:tcW w:w="2835" w:type="dxa"/>
            <w:vAlign w:val="center"/>
          </w:tcPr>
          <w:p w14:paraId="05A97F6D">
            <w:pPr>
              <w:pStyle w:val="10"/>
            </w:pPr>
            <w:r>
              <w:t>其中：财政    资金</w:t>
            </w:r>
          </w:p>
        </w:tc>
        <w:tc>
          <w:tcPr>
            <w:tcW w:w="2551" w:type="dxa"/>
            <w:vAlign w:val="center"/>
          </w:tcPr>
          <w:p w14:paraId="2141666F">
            <w:pPr>
              <w:pStyle w:val="12"/>
            </w:pPr>
            <w:r>
              <w:t>0.83</w:t>
            </w:r>
          </w:p>
        </w:tc>
        <w:tc>
          <w:tcPr>
            <w:tcW w:w="2268" w:type="dxa"/>
            <w:vAlign w:val="center"/>
          </w:tcPr>
          <w:p w14:paraId="4980142F">
            <w:pPr>
              <w:pStyle w:val="10"/>
            </w:pPr>
            <w:r>
              <w:t>其他资金</w:t>
            </w:r>
          </w:p>
        </w:tc>
        <w:tc>
          <w:tcPr>
            <w:tcW w:w="1276" w:type="dxa"/>
            <w:vAlign w:val="center"/>
          </w:tcPr>
          <w:p w14:paraId="715DAD42">
            <w:pPr>
              <w:pStyle w:val="12"/>
            </w:pPr>
            <w:r>
              <w:t xml:space="preserve"> </w:t>
            </w:r>
          </w:p>
        </w:tc>
      </w:tr>
      <w:tr w14:paraId="4DB90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92987"/>
        </w:tc>
        <w:tc>
          <w:tcPr>
            <w:tcW w:w="14033" w:type="dxa"/>
            <w:gridSpan w:val="6"/>
            <w:vAlign w:val="center"/>
          </w:tcPr>
          <w:p w14:paraId="2121B338">
            <w:pPr>
              <w:pStyle w:val="12"/>
            </w:pPr>
            <w:r>
              <w:t>保障学校正常运转，完成各项教育教学活动和其他日常工作任务等方面的费用支出。</w:t>
            </w:r>
            <w:r>
              <w:tab/>
            </w:r>
            <w:r>
              <w:tab/>
            </w:r>
            <w:r>
              <w:tab/>
            </w:r>
            <w:r>
              <w:tab/>
            </w:r>
            <w:r>
              <w:tab/>
            </w:r>
            <w:r>
              <w:tab/>
            </w:r>
          </w:p>
          <w:p w14:paraId="52204390">
            <w:pPr>
              <w:pStyle w:val="12"/>
            </w:pPr>
          </w:p>
        </w:tc>
      </w:tr>
      <w:tr w14:paraId="1E214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1D6DF">
            <w:pPr>
              <w:pStyle w:val="10"/>
            </w:pPr>
            <w:r>
              <w:t>资金支出计划（%）</w:t>
            </w:r>
          </w:p>
        </w:tc>
        <w:tc>
          <w:tcPr>
            <w:tcW w:w="5103" w:type="dxa"/>
            <w:gridSpan w:val="2"/>
            <w:vAlign w:val="center"/>
          </w:tcPr>
          <w:p w14:paraId="02A96690">
            <w:pPr>
              <w:pStyle w:val="10"/>
            </w:pPr>
            <w:r>
              <w:t>3月底</w:t>
            </w:r>
          </w:p>
        </w:tc>
        <w:tc>
          <w:tcPr>
            <w:tcW w:w="2835" w:type="dxa"/>
            <w:vAlign w:val="center"/>
          </w:tcPr>
          <w:p w14:paraId="7D1CFB34">
            <w:pPr>
              <w:pStyle w:val="10"/>
            </w:pPr>
            <w:r>
              <w:t>6月底</w:t>
            </w:r>
          </w:p>
        </w:tc>
        <w:tc>
          <w:tcPr>
            <w:tcW w:w="2551" w:type="dxa"/>
            <w:vAlign w:val="center"/>
          </w:tcPr>
          <w:p w14:paraId="26DAEA86">
            <w:pPr>
              <w:pStyle w:val="10"/>
            </w:pPr>
            <w:r>
              <w:t>10月底</w:t>
            </w:r>
          </w:p>
        </w:tc>
        <w:tc>
          <w:tcPr>
            <w:tcW w:w="3544" w:type="dxa"/>
            <w:gridSpan w:val="2"/>
            <w:vAlign w:val="center"/>
          </w:tcPr>
          <w:p w14:paraId="4B499942">
            <w:pPr>
              <w:pStyle w:val="10"/>
            </w:pPr>
            <w:r>
              <w:t>12月底</w:t>
            </w:r>
          </w:p>
        </w:tc>
      </w:tr>
      <w:tr w14:paraId="7F448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CF18B"/>
        </w:tc>
        <w:tc>
          <w:tcPr>
            <w:tcW w:w="5103" w:type="dxa"/>
            <w:gridSpan w:val="2"/>
            <w:vAlign w:val="center"/>
          </w:tcPr>
          <w:p w14:paraId="25718B79">
            <w:pPr>
              <w:pStyle w:val="13"/>
            </w:pPr>
            <w:r>
              <w:t>25%</w:t>
            </w:r>
          </w:p>
        </w:tc>
        <w:tc>
          <w:tcPr>
            <w:tcW w:w="2835" w:type="dxa"/>
            <w:vAlign w:val="center"/>
          </w:tcPr>
          <w:p w14:paraId="3A2386A2">
            <w:pPr>
              <w:pStyle w:val="13"/>
            </w:pPr>
            <w:r>
              <w:t>50%</w:t>
            </w:r>
          </w:p>
        </w:tc>
        <w:tc>
          <w:tcPr>
            <w:tcW w:w="2551" w:type="dxa"/>
            <w:vAlign w:val="center"/>
          </w:tcPr>
          <w:p w14:paraId="67294D91">
            <w:pPr>
              <w:pStyle w:val="13"/>
            </w:pPr>
            <w:r>
              <w:t>75%</w:t>
            </w:r>
          </w:p>
        </w:tc>
        <w:tc>
          <w:tcPr>
            <w:tcW w:w="3544" w:type="dxa"/>
            <w:gridSpan w:val="2"/>
            <w:vAlign w:val="center"/>
          </w:tcPr>
          <w:p w14:paraId="20C49E5E">
            <w:pPr>
              <w:pStyle w:val="13"/>
            </w:pPr>
            <w:r>
              <w:t>100%</w:t>
            </w:r>
          </w:p>
        </w:tc>
      </w:tr>
      <w:tr w14:paraId="53753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1B4DC">
            <w:pPr>
              <w:pStyle w:val="10"/>
            </w:pPr>
            <w:r>
              <w:t>绩效目标</w:t>
            </w:r>
          </w:p>
        </w:tc>
        <w:tc>
          <w:tcPr>
            <w:tcW w:w="14033" w:type="dxa"/>
            <w:gridSpan w:val="6"/>
            <w:vAlign w:val="center"/>
          </w:tcPr>
          <w:p w14:paraId="462A31F6">
            <w:pPr>
              <w:pStyle w:val="12"/>
            </w:pPr>
            <w:r>
              <w:t>1.按季度分批次拨付公用经费资金，资金拨付率达到100%。</w:t>
            </w:r>
          </w:p>
          <w:p w14:paraId="3FAF4651">
            <w:pPr>
              <w:pStyle w:val="12"/>
            </w:pPr>
            <w:r>
              <w:t>2.保障学校正常运转，完成各项教育教学活动和其他日常工作任务等方面的费用支出。</w:t>
            </w:r>
          </w:p>
        </w:tc>
      </w:tr>
    </w:tbl>
    <w:p w14:paraId="6B62E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D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54D0CB">
            <w:pPr>
              <w:pStyle w:val="10"/>
            </w:pPr>
            <w:r>
              <w:t>一级指标</w:t>
            </w:r>
          </w:p>
        </w:tc>
        <w:tc>
          <w:tcPr>
            <w:tcW w:w="2268" w:type="dxa"/>
            <w:vAlign w:val="center"/>
          </w:tcPr>
          <w:p w14:paraId="2B96948A">
            <w:pPr>
              <w:pStyle w:val="10"/>
            </w:pPr>
            <w:r>
              <w:t>二级指标</w:t>
            </w:r>
          </w:p>
        </w:tc>
        <w:tc>
          <w:tcPr>
            <w:tcW w:w="2835" w:type="dxa"/>
            <w:vAlign w:val="center"/>
          </w:tcPr>
          <w:p w14:paraId="6F9AF533">
            <w:pPr>
              <w:pStyle w:val="10"/>
            </w:pPr>
            <w:r>
              <w:t>三级指标</w:t>
            </w:r>
          </w:p>
        </w:tc>
        <w:tc>
          <w:tcPr>
            <w:tcW w:w="5386" w:type="dxa"/>
            <w:vAlign w:val="center"/>
          </w:tcPr>
          <w:p w14:paraId="5065E5EA">
            <w:pPr>
              <w:pStyle w:val="10"/>
            </w:pPr>
            <w:r>
              <w:t>绩效指标描述</w:t>
            </w:r>
          </w:p>
        </w:tc>
        <w:tc>
          <w:tcPr>
            <w:tcW w:w="2268" w:type="dxa"/>
            <w:vAlign w:val="center"/>
          </w:tcPr>
          <w:p w14:paraId="51B4D9A0">
            <w:pPr>
              <w:pStyle w:val="10"/>
            </w:pPr>
            <w:r>
              <w:t>指标值</w:t>
            </w:r>
          </w:p>
        </w:tc>
        <w:tc>
          <w:tcPr>
            <w:tcW w:w="1276" w:type="dxa"/>
            <w:vAlign w:val="center"/>
          </w:tcPr>
          <w:p w14:paraId="24627BB9">
            <w:pPr>
              <w:pStyle w:val="10"/>
            </w:pPr>
            <w:r>
              <w:t>指标值确定依据</w:t>
            </w:r>
          </w:p>
        </w:tc>
      </w:tr>
      <w:tr w14:paraId="71D5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5ECB9">
            <w:pPr>
              <w:pStyle w:val="13"/>
            </w:pPr>
            <w:r>
              <w:t>产出指标</w:t>
            </w:r>
          </w:p>
        </w:tc>
        <w:tc>
          <w:tcPr>
            <w:tcW w:w="2268" w:type="dxa"/>
            <w:vAlign w:val="center"/>
          </w:tcPr>
          <w:p w14:paraId="1FBF1007">
            <w:pPr>
              <w:pStyle w:val="12"/>
            </w:pPr>
            <w:r>
              <w:t>数量指标</w:t>
            </w:r>
          </w:p>
        </w:tc>
        <w:tc>
          <w:tcPr>
            <w:tcW w:w="2835" w:type="dxa"/>
            <w:vAlign w:val="center"/>
          </w:tcPr>
          <w:p w14:paraId="022B16D9">
            <w:pPr>
              <w:pStyle w:val="12"/>
            </w:pPr>
            <w:r>
              <w:t>就读学生数</w:t>
            </w:r>
          </w:p>
        </w:tc>
        <w:tc>
          <w:tcPr>
            <w:tcW w:w="5386" w:type="dxa"/>
            <w:vAlign w:val="center"/>
          </w:tcPr>
          <w:p w14:paraId="02030E9B">
            <w:pPr>
              <w:pStyle w:val="12"/>
            </w:pPr>
            <w:r>
              <w:t>辐射区域内适龄学生人数</w:t>
            </w:r>
          </w:p>
        </w:tc>
        <w:tc>
          <w:tcPr>
            <w:tcW w:w="2268" w:type="dxa"/>
            <w:vAlign w:val="center"/>
          </w:tcPr>
          <w:p w14:paraId="0AF97057">
            <w:pPr>
              <w:pStyle w:val="12"/>
            </w:pPr>
            <w:r>
              <w:t>100人</w:t>
            </w:r>
          </w:p>
        </w:tc>
        <w:tc>
          <w:tcPr>
            <w:tcW w:w="1276" w:type="dxa"/>
            <w:vAlign w:val="center"/>
          </w:tcPr>
          <w:p w14:paraId="4CFA1B1D">
            <w:pPr>
              <w:pStyle w:val="12"/>
            </w:pPr>
            <w:r>
              <w:t>城乡义务教育公用经费管理办法</w:t>
            </w:r>
          </w:p>
        </w:tc>
      </w:tr>
      <w:tr w14:paraId="295C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FBAE4"/>
        </w:tc>
        <w:tc>
          <w:tcPr>
            <w:tcW w:w="2268" w:type="dxa"/>
            <w:vAlign w:val="center"/>
          </w:tcPr>
          <w:p w14:paraId="75A76630">
            <w:pPr>
              <w:pStyle w:val="12"/>
            </w:pPr>
            <w:r>
              <w:t>质量指标</w:t>
            </w:r>
          </w:p>
        </w:tc>
        <w:tc>
          <w:tcPr>
            <w:tcW w:w="2835" w:type="dxa"/>
            <w:vAlign w:val="center"/>
          </w:tcPr>
          <w:p w14:paraId="31249809">
            <w:pPr>
              <w:pStyle w:val="12"/>
            </w:pPr>
            <w:r>
              <w:t>预算执行率</w:t>
            </w:r>
          </w:p>
        </w:tc>
        <w:tc>
          <w:tcPr>
            <w:tcW w:w="5386" w:type="dxa"/>
            <w:vAlign w:val="center"/>
          </w:tcPr>
          <w:p w14:paraId="67578958">
            <w:pPr>
              <w:pStyle w:val="12"/>
            </w:pPr>
            <w:r>
              <w:t>预算执行率</w:t>
            </w:r>
          </w:p>
        </w:tc>
        <w:tc>
          <w:tcPr>
            <w:tcW w:w="2268" w:type="dxa"/>
            <w:vAlign w:val="center"/>
          </w:tcPr>
          <w:p w14:paraId="7E6196B3">
            <w:pPr>
              <w:pStyle w:val="12"/>
            </w:pPr>
            <w:r>
              <w:t>≥95%</w:t>
            </w:r>
          </w:p>
        </w:tc>
        <w:tc>
          <w:tcPr>
            <w:tcW w:w="1276" w:type="dxa"/>
            <w:vAlign w:val="center"/>
          </w:tcPr>
          <w:p w14:paraId="396ED1FD">
            <w:pPr>
              <w:pStyle w:val="12"/>
            </w:pPr>
            <w:r>
              <w:t>城乡义务教育公用经费管理办法</w:t>
            </w:r>
          </w:p>
        </w:tc>
      </w:tr>
      <w:tr w14:paraId="4C99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97A63"/>
        </w:tc>
        <w:tc>
          <w:tcPr>
            <w:tcW w:w="2268" w:type="dxa"/>
            <w:vAlign w:val="center"/>
          </w:tcPr>
          <w:p w14:paraId="53DC11BA">
            <w:pPr>
              <w:pStyle w:val="12"/>
            </w:pPr>
            <w:r>
              <w:t>时效指标</w:t>
            </w:r>
          </w:p>
        </w:tc>
        <w:tc>
          <w:tcPr>
            <w:tcW w:w="2835" w:type="dxa"/>
            <w:vAlign w:val="center"/>
          </w:tcPr>
          <w:p w14:paraId="513019E2">
            <w:pPr>
              <w:pStyle w:val="12"/>
            </w:pPr>
            <w:r>
              <w:t>义教经费支付完成率</w:t>
            </w:r>
          </w:p>
        </w:tc>
        <w:tc>
          <w:tcPr>
            <w:tcW w:w="5386" w:type="dxa"/>
            <w:vAlign w:val="center"/>
          </w:tcPr>
          <w:p w14:paraId="19426F2B">
            <w:pPr>
              <w:pStyle w:val="12"/>
            </w:pPr>
            <w:r>
              <w:t>按照序时进度完成资金支付</w:t>
            </w:r>
          </w:p>
        </w:tc>
        <w:tc>
          <w:tcPr>
            <w:tcW w:w="2268" w:type="dxa"/>
            <w:vAlign w:val="center"/>
          </w:tcPr>
          <w:p w14:paraId="3DFDD42C">
            <w:pPr>
              <w:pStyle w:val="12"/>
            </w:pPr>
            <w:r>
              <w:t>100%</w:t>
            </w:r>
          </w:p>
        </w:tc>
        <w:tc>
          <w:tcPr>
            <w:tcW w:w="1276" w:type="dxa"/>
            <w:vAlign w:val="center"/>
          </w:tcPr>
          <w:p w14:paraId="0041E426">
            <w:pPr>
              <w:pStyle w:val="12"/>
            </w:pPr>
            <w:r>
              <w:t>城乡义务教育公用经费管理办法</w:t>
            </w:r>
          </w:p>
        </w:tc>
      </w:tr>
      <w:tr w14:paraId="371A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B85B4"/>
        </w:tc>
        <w:tc>
          <w:tcPr>
            <w:tcW w:w="2268" w:type="dxa"/>
            <w:vAlign w:val="center"/>
          </w:tcPr>
          <w:p w14:paraId="51D713CC">
            <w:pPr>
              <w:pStyle w:val="12"/>
            </w:pPr>
            <w:r>
              <w:t>成本指标</w:t>
            </w:r>
          </w:p>
        </w:tc>
        <w:tc>
          <w:tcPr>
            <w:tcW w:w="2835" w:type="dxa"/>
            <w:vAlign w:val="center"/>
          </w:tcPr>
          <w:p w14:paraId="6588EDC2">
            <w:pPr>
              <w:pStyle w:val="12"/>
            </w:pPr>
            <w:r>
              <w:t>生均拨款标准</w:t>
            </w:r>
          </w:p>
        </w:tc>
        <w:tc>
          <w:tcPr>
            <w:tcW w:w="5386" w:type="dxa"/>
            <w:vAlign w:val="center"/>
          </w:tcPr>
          <w:p w14:paraId="768E03AB">
            <w:pPr>
              <w:pStyle w:val="12"/>
            </w:pPr>
            <w:r>
              <w:t>小学生公用经费生均公用经费基准定额为720元/年/生，取暖费120元/年/生，住宿生补助300元/年/生的标准，随班就读学生补助7000元/生/年</w:t>
            </w:r>
          </w:p>
        </w:tc>
        <w:tc>
          <w:tcPr>
            <w:tcW w:w="2268" w:type="dxa"/>
            <w:vAlign w:val="center"/>
          </w:tcPr>
          <w:p w14:paraId="4A812DB6">
            <w:pPr>
              <w:pStyle w:val="12"/>
            </w:pPr>
            <w:r>
              <w:t>840元</w:t>
            </w:r>
          </w:p>
        </w:tc>
        <w:tc>
          <w:tcPr>
            <w:tcW w:w="1276" w:type="dxa"/>
            <w:vAlign w:val="center"/>
          </w:tcPr>
          <w:p w14:paraId="2755E4B9">
            <w:pPr>
              <w:pStyle w:val="12"/>
            </w:pPr>
            <w:r>
              <w:t>城乡义务教育公用经费管理办法</w:t>
            </w:r>
          </w:p>
        </w:tc>
      </w:tr>
      <w:tr w14:paraId="398D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94544">
            <w:pPr>
              <w:pStyle w:val="13"/>
            </w:pPr>
            <w:r>
              <w:t>效益指标</w:t>
            </w:r>
          </w:p>
        </w:tc>
        <w:tc>
          <w:tcPr>
            <w:tcW w:w="2268" w:type="dxa"/>
            <w:vAlign w:val="center"/>
          </w:tcPr>
          <w:p w14:paraId="69FAA18A">
            <w:pPr>
              <w:pStyle w:val="12"/>
            </w:pPr>
            <w:r>
              <w:t>可持续影响指标</w:t>
            </w:r>
          </w:p>
        </w:tc>
        <w:tc>
          <w:tcPr>
            <w:tcW w:w="2835" w:type="dxa"/>
            <w:vAlign w:val="center"/>
          </w:tcPr>
          <w:p w14:paraId="250B0A26">
            <w:pPr>
              <w:pStyle w:val="12"/>
            </w:pPr>
            <w:r>
              <w:t>学校运转得到提高</w:t>
            </w:r>
          </w:p>
        </w:tc>
        <w:tc>
          <w:tcPr>
            <w:tcW w:w="5386" w:type="dxa"/>
            <w:vAlign w:val="center"/>
          </w:tcPr>
          <w:p w14:paraId="1B55687B">
            <w:pPr>
              <w:pStyle w:val="12"/>
            </w:pPr>
            <w:r>
              <w:t>学生受教育年限</w:t>
            </w:r>
          </w:p>
        </w:tc>
        <w:tc>
          <w:tcPr>
            <w:tcW w:w="2268" w:type="dxa"/>
            <w:vAlign w:val="center"/>
          </w:tcPr>
          <w:p w14:paraId="0F7698E3">
            <w:pPr>
              <w:pStyle w:val="12"/>
            </w:pPr>
            <w:r>
              <w:t>6年</w:t>
            </w:r>
          </w:p>
        </w:tc>
        <w:tc>
          <w:tcPr>
            <w:tcW w:w="1276" w:type="dxa"/>
            <w:vAlign w:val="center"/>
          </w:tcPr>
          <w:p w14:paraId="2C26EA40">
            <w:pPr>
              <w:pStyle w:val="12"/>
            </w:pPr>
            <w:r>
              <w:t>城乡义务教育公用经费管理办法</w:t>
            </w:r>
          </w:p>
        </w:tc>
      </w:tr>
      <w:tr w14:paraId="2EC3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35D4C">
            <w:pPr>
              <w:pStyle w:val="13"/>
            </w:pPr>
            <w:r>
              <w:t>满意度指标</w:t>
            </w:r>
          </w:p>
        </w:tc>
        <w:tc>
          <w:tcPr>
            <w:tcW w:w="2268" w:type="dxa"/>
            <w:vAlign w:val="center"/>
          </w:tcPr>
          <w:p w14:paraId="3CD09BA9">
            <w:pPr>
              <w:pStyle w:val="12"/>
            </w:pPr>
            <w:r>
              <w:t>服务对象满意度指标</w:t>
            </w:r>
          </w:p>
        </w:tc>
        <w:tc>
          <w:tcPr>
            <w:tcW w:w="2835" w:type="dxa"/>
            <w:vAlign w:val="center"/>
          </w:tcPr>
          <w:p w14:paraId="2075A006">
            <w:pPr>
              <w:pStyle w:val="12"/>
            </w:pPr>
            <w:r>
              <w:t>服务对象满意度</w:t>
            </w:r>
          </w:p>
        </w:tc>
        <w:tc>
          <w:tcPr>
            <w:tcW w:w="5386" w:type="dxa"/>
            <w:vAlign w:val="center"/>
          </w:tcPr>
          <w:p w14:paraId="288ACEFE">
            <w:pPr>
              <w:pStyle w:val="12"/>
            </w:pPr>
            <w:r>
              <w:t>学校老师和学生满意度</w:t>
            </w:r>
          </w:p>
        </w:tc>
        <w:tc>
          <w:tcPr>
            <w:tcW w:w="2268" w:type="dxa"/>
            <w:vAlign w:val="center"/>
          </w:tcPr>
          <w:p w14:paraId="737225F0">
            <w:pPr>
              <w:pStyle w:val="12"/>
            </w:pPr>
            <w:r>
              <w:t>≥95%</w:t>
            </w:r>
          </w:p>
        </w:tc>
        <w:tc>
          <w:tcPr>
            <w:tcW w:w="1276" w:type="dxa"/>
            <w:vAlign w:val="center"/>
          </w:tcPr>
          <w:p w14:paraId="4E3F9CBB">
            <w:pPr>
              <w:pStyle w:val="12"/>
            </w:pPr>
            <w:r>
              <w:t>群众测评</w:t>
            </w:r>
          </w:p>
        </w:tc>
      </w:tr>
    </w:tbl>
    <w:p w14:paraId="2417B7CB">
      <w:pPr>
        <w:sectPr>
          <w:pgSz w:w="16840" w:h="11900" w:orient="landscape"/>
          <w:pgMar w:top="1361" w:right="1020" w:bottom="1134" w:left="1020" w:header="720" w:footer="720" w:gutter="0"/>
          <w:cols w:space="720" w:num="1"/>
        </w:sectPr>
      </w:pPr>
    </w:p>
    <w:p w14:paraId="2E29E43A">
      <w:pPr>
        <w:spacing w:before="0" w:after="0"/>
        <w:ind w:firstLine="560"/>
        <w:jc w:val="left"/>
        <w:outlineLvl w:val="9"/>
      </w:pPr>
      <w:r>
        <w:rPr>
          <w:rFonts w:ascii="方正仿宋_GBK" w:hAnsi="方正仿宋_GBK" w:eastAsia="方正仿宋_GBK" w:cs="方正仿宋_GBK"/>
          <w:b/>
          <w:color w:val="000000"/>
          <w:sz w:val="28"/>
        </w:rPr>
        <w:t>28、县级配套/山口校区齐村小学公用经费绩效目标表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DE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1A99E">
            <w:pPr>
              <w:pStyle w:val="11"/>
            </w:pPr>
            <w:r>
              <w:t>单位：万元</w:t>
            </w:r>
          </w:p>
        </w:tc>
      </w:tr>
      <w:tr w14:paraId="422B5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E164A">
            <w:pPr>
              <w:pStyle w:val="10"/>
            </w:pPr>
            <w:r>
              <w:t>项目编码</w:t>
            </w:r>
          </w:p>
        </w:tc>
        <w:tc>
          <w:tcPr>
            <w:tcW w:w="5103" w:type="dxa"/>
            <w:gridSpan w:val="2"/>
            <w:vAlign w:val="center"/>
          </w:tcPr>
          <w:p w14:paraId="56780700">
            <w:pPr>
              <w:pStyle w:val="12"/>
            </w:pPr>
            <w:r>
              <w:t>13052526P000004104526</w:t>
            </w:r>
          </w:p>
        </w:tc>
        <w:tc>
          <w:tcPr>
            <w:tcW w:w="2835" w:type="dxa"/>
            <w:vAlign w:val="center"/>
          </w:tcPr>
          <w:p w14:paraId="76FAC2B6">
            <w:pPr>
              <w:pStyle w:val="10"/>
            </w:pPr>
            <w:r>
              <w:t>项目名称</w:t>
            </w:r>
          </w:p>
        </w:tc>
        <w:tc>
          <w:tcPr>
            <w:tcW w:w="6095" w:type="dxa"/>
            <w:gridSpan w:val="3"/>
            <w:vAlign w:val="center"/>
          </w:tcPr>
          <w:p w14:paraId="4278B6CA">
            <w:pPr>
              <w:pStyle w:val="12"/>
            </w:pPr>
            <w:r>
              <w:t>县级配套/山口校区齐村小学公用经费</w:t>
            </w:r>
          </w:p>
        </w:tc>
      </w:tr>
      <w:tr w14:paraId="2C55D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62BDE">
            <w:pPr>
              <w:pStyle w:val="10"/>
            </w:pPr>
            <w:r>
              <w:t>预算规模及资金用途</w:t>
            </w:r>
          </w:p>
        </w:tc>
        <w:tc>
          <w:tcPr>
            <w:tcW w:w="2268" w:type="dxa"/>
            <w:vAlign w:val="center"/>
          </w:tcPr>
          <w:p w14:paraId="524C4E5F">
            <w:pPr>
              <w:pStyle w:val="10"/>
            </w:pPr>
            <w:r>
              <w:t>预算数</w:t>
            </w:r>
          </w:p>
        </w:tc>
        <w:tc>
          <w:tcPr>
            <w:tcW w:w="2835" w:type="dxa"/>
            <w:vAlign w:val="center"/>
          </w:tcPr>
          <w:p w14:paraId="46581FFD">
            <w:pPr>
              <w:pStyle w:val="12"/>
            </w:pPr>
            <w:r>
              <w:t>5.19</w:t>
            </w:r>
          </w:p>
        </w:tc>
        <w:tc>
          <w:tcPr>
            <w:tcW w:w="2835" w:type="dxa"/>
            <w:vAlign w:val="center"/>
          </w:tcPr>
          <w:p w14:paraId="4A6849EB">
            <w:pPr>
              <w:pStyle w:val="10"/>
            </w:pPr>
            <w:r>
              <w:t>其中：财政    资金</w:t>
            </w:r>
          </w:p>
        </w:tc>
        <w:tc>
          <w:tcPr>
            <w:tcW w:w="2551" w:type="dxa"/>
            <w:vAlign w:val="center"/>
          </w:tcPr>
          <w:p w14:paraId="70FB7B20">
            <w:pPr>
              <w:pStyle w:val="12"/>
            </w:pPr>
            <w:r>
              <w:t>5.19</w:t>
            </w:r>
          </w:p>
        </w:tc>
        <w:tc>
          <w:tcPr>
            <w:tcW w:w="2268" w:type="dxa"/>
            <w:vAlign w:val="center"/>
          </w:tcPr>
          <w:p w14:paraId="591D9591">
            <w:pPr>
              <w:pStyle w:val="10"/>
            </w:pPr>
            <w:r>
              <w:t>其他资金</w:t>
            </w:r>
          </w:p>
        </w:tc>
        <w:tc>
          <w:tcPr>
            <w:tcW w:w="1276" w:type="dxa"/>
            <w:vAlign w:val="center"/>
          </w:tcPr>
          <w:p w14:paraId="64B4B60C">
            <w:pPr>
              <w:pStyle w:val="12"/>
            </w:pPr>
            <w:r>
              <w:t xml:space="preserve"> </w:t>
            </w:r>
          </w:p>
        </w:tc>
      </w:tr>
      <w:tr w14:paraId="56C49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32F73"/>
        </w:tc>
        <w:tc>
          <w:tcPr>
            <w:tcW w:w="14033" w:type="dxa"/>
            <w:gridSpan w:val="6"/>
            <w:vAlign w:val="center"/>
          </w:tcPr>
          <w:p w14:paraId="23592BA6">
            <w:pPr>
              <w:pStyle w:val="12"/>
            </w:pPr>
            <w:r>
              <w:t>保障学校正常运转，完成各项教育教学活动和其他日常工作任务等方面的费用支出。</w:t>
            </w:r>
            <w:r>
              <w:tab/>
            </w:r>
            <w:r>
              <w:tab/>
            </w:r>
            <w:r>
              <w:tab/>
            </w:r>
            <w:r>
              <w:tab/>
            </w:r>
            <w:r>
              <w:tab/>
            </w:r>
            <w:r>
              <w:tab/>
            </w:r>
          </w:p>
          <w:p w14:paraId="288FE58A">
            <w:pPr>
              <w:pStyle w:val="12"/>
            </w:pPr>
          </w:p>
        </w:tc>
      </w:tr>
      <w:tr w14:paraId="27953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90750">
            <w:pPr>
              <w:pStyle w:val="10"/>
            </w:pPr>
            <w:r>
              <w:t>资金支出计划（%）</w:t>
            </w:r>
          </w:p>
        </w:tc>
        <w:tc>
          <w:tcPr>
            <w:tcW w:w="5103" w:type="dxa"/>
            <w:gridSpan w:val="2"/>
            <w:vAlign w:val="center"/>
          </w:tcPr>
          <w:p w14:paraId="4332F755">
            <w:pPr>
              <w:pStyle w:val="10"/>
            </w:pPr>
            <w:r>
              <w:t>3月底</w:t>
            </w:r>
          </w:p>
        </w:tc>
        <w:tc>
          <w:tcPr>
            <w:tcW w:w="2835" w:type="dxa"/>
            <w:vAlign w:val="center"/>
          </w:tcPr>
          <w:p w14:paraId="63F0B0C8">
            <w:pPr>
              <w:pStyle w:val="10"/>
            </w:pPr>
            <w:r>
              <w:t>6月底</w:t>
            </w:r>
          </w:p>
        </w:tc>
        <w:tc>
          <w:tcPr>
            <w:tcW w:w="2551" w:type="dxa"/>
            <w:vAlign w:val="center"/>
          </w:tcPr>
          <w:p w14:paraId="01EB5730">
            <w:pPr>
              <w:pStyle w:val="10"/>
            </w:pPr>
            <w:r>
              <w:t>10月底</w:t>
            </w:r>
          </w:p>
        </w:tc>
        <w:tc>
          <w:tcPr>
            <w:tcW w:w="3544" w:type="dxa"/>
            <w:gridSpan w:val="2"/>
            <w:vAlign w:val="center"/>
          </w:tcPr>
          <w:p w14:paraId="4AD95A02">
            <w:pPr>
              <w:pStyle w:val="10"/>
            </w:pPr>
            <w:r>
              <w:t>12月底</w:t>
            </w:r>
          </w:p>
        </w:tc>
      </w:tr>
      <w:tr w14:paraId="6A005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2481E"/>
        </w:tc>
        <w:tc>
          <w:tcPr>
            <w:tcW w:w="5103" w:type="dxa"/>
            <w:gridSpan w:val="2"/>
            <w:vAlign w:val="center"/>
          </w:tcPr>
          <w:p w14:paraId="75EE0FC1">
            <w:pPr>
              <w:pStyle w:val="13"/>
            </w:pPr>
            <w:r>
              <w:t>25%</w:t>
            </w:r>
          </w:p>
        </w:tc>
        <w:tc>
          <w:tcPr>
            <w:tcW w:w="2835" w:type="dxa"/>
            <w:vAlign w:val="center"/>
          </w:tcPr>
          <w:p w14:paraId="2CF4F6F2">
            <w:pPr>
              <w:pStyle w:val="13"/>
            </w:pPr>
            <w:r>
              <w:t>50%</w:t>
            </w:r>
          </w:p>
        </w:tc>
        <w:tc>
          <w:tcPr>
            <w:tcW w:w="2551" w:type="dxa"/>
            <w:vAlign w:val="center"/>
          </w:tcPr>
          <w:p w14:paraId="5863643C">
            <w:pPr>
              <w:pStyle w:val="13"/>
            </w:pPr>
            <w:r>
              <w:t>75%</w:t>
            </w:r>
          </w:p>
        </w:tc>
        <w:tc>
          <w:tcPr>
            <w:tcW w:w="3544" w:type="dxa"/>
            <w:gridSpan w:val="2"/>
            <w:vAlign w:val="center"/>
          </w:tcPr>
          <w:p w14:paraId="707D9AF1">
            <w:pPr>
              <w:pStyle w:val="13"/>
            </w:pPr>
            <w:r>
              <w:t>100%</w:t>
            </w:r>
          </w:p>
        </w:tc>
      </w:tr>
      <w:tr w14:paraId="79E12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C6D08">
            <w:pPr>
              <w:pStyle w:val="10"/>
            </w:pPr>
            <w:r>
              <w:t>绩效目标</w:t>
            </w:r>
          </w:p>
        </w:tc>
        <w:tc>
          <w:tcPr>
            <w:tcW w:w="14033" w:type="dxa"/>
            <w:gridSpan w:val="6"/>
            <w:vAlign w:val="center"/>
          </w:tcPr>
          <w:p w14:paraId="7FA21905">
            <w:pPr>
              <w:pStyle w:val="12"/>
            </w:pPr>
            <w:r>
              <w:t>1.保障学校正常运转，完成各项教育教学活动和其他日常工作任务等方面的费用支出。</w:t>
            </w:r>
          </w:p>
          <w:p w14:paraId="37D7FB33">
            <w:pPr>
              <w:pStyle w:val="12"/>
            </w:pPr>
            <w:r>
              <w:t>2.按季度分批次拨付公用经费资金，资金拨付率达到100%。</w:t>
            </w:r>
          </w:p>
        </w:tc>
      </w:tr>
    </w:tbl>
    <w:p w14:paraId="30153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A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17A59">
            <w:pPr>
              <w:pStyle w:val="10"/>
            </w:pPr>
            <w:r>
              <w:t>一级指标</w:t>
            </w:r>
          </w:p>
        </w:tc>
        <w:tc>
          <w:tcPr>
            <w:tcW w:w="2268" w:type="dxa"/>
            <w:vAlign w:val="center"/>
          </w:tcPr>
          <w:p w14:paraId="446349B2">
            <w:pPr>
              <w:pStyle w:val="10"/>
            </w:pPr>
            <w:r>
              <w:t>二级指标</w:t>
            </w:r>
          </w:p>
        </w:tc>
        <w:tc>
          <w:tcPr>
            <w:tcW w:w="2835" w:type="dxa"/>
            <w:vAlign w:val="center"/>
          </w:tcPr>
          <w:p w14:paraId="49B7E6B6">
            <w:pPr>
              <w:pStyle w:val="10"/>
            </w:pPr>
            <w:r>
              <w:t>三级指标</w:t>
            </w:r>
          </w:p>
        </w:tc>
        <w:tc>
          <w:tcPr>
            <w:tcW w:w="5386" w:type="dxa"/>
            <w:vAlign w:val="center"/>
          </w:tcPr>
          <w:p w14:paraId="4114D986">
            <w:pPr>
              <w:pStyle w:val="10"/>
            </w:pPr>
            <w:r>
              <w:t>绩效指标描述</w:t>
            </w:r>
          </w:p>
        </w:tc>
        <w:tc>
          <w:tcPr>
            <w:tcW w:w="2268" w:type="dxa"/>
            <w:vAlign w:val="center"/>
          </w:tcPr>
          <w:p w14:paraId="56C4073B">
            <w:pPr>
              <w:pStyle w:val="10"/>
            </w:pPr>
            <w:r>
              <w:t>指标值</w:t>
            </w:r>
          </w:p>
        </w:tc>
        <w:tc>
          <w:tcPr>
            <w:tcW w:w="1276" w:type="dxa"/>
            <w:vAlign w:val="center"/>
          </w:tcPr>
          <w:p w14:paraId="0E886E2B">
            <w:pPr>
              <w:pStyle w:val="10"/>
            </w:pPr>
            <w:r>
              <w:t>指标值确定依据</w:t>
            </w:r>
          </w:p>
        </w:tc>
      </w:tr>
      <w:tr w14:paraId="522A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971EC">
            <w:pPr>
              <w:pStyle w:val="13"/>
            </w:pPr>
            <w:r>
              <w:t>产出指标</w:t>
            </w:r>
          </w:p>
        </w:tc>
        <w:tc>
          <w:tcPr>
            <w:tcW w:w="2268" w:type="dxa"/>
            <w:vAlign w:val="center"/>
          </w:tcPr>
          <w:p w14:paraId="4AE14776">
            <w:pPr>
              <w:pStyle w:val="12"/>
            </w:pPr>
            <w:r>
              <w:t>数量指标</w:t>
            </w:r>
          </w:p>
        </w:tc>
        <w:tc>
          <w:tcPr>
            <w:tcW w:w="2835" w:type="dxa"/>
            <w:vAlign w:val="center"/>
          </w:tcPr>
          <w:p w14:paraId="777711E9">
            <w:pPr>
              <w:pStyle w:val="12"/>
            </w:pPr>
            <w:r>
              <w:t>就读学生数</w:t>
            </w:r>
          </w:p>
        </w:tc>
        <w:tc>
          <w:tcPr>
            <w:tcW w:w="5386" w:type="dxa"/>
            <w:vAlign w:val="center"/>
          </w:tcPr>
          <w:p w14:paraId="6AAA12FD">
            <w:pPr>
              <w:pStyle w:val="12"/>
            </w:pPr>
            <w:r>
              <w:t>辐射区域内适龄学生人数</w:t>
            </w:r>
          </w:p>
        </w:tc>
        <w:tc>
          <w:tcPr>
            <w:tcW w:w="2268" w:type="dxa"/>
            <w:vAlign w:val="center"/>
          </w:tcPr>
          <w:p w14:paraId="253814BB">
            <w:pPr>
              <w:pStyle w:val="12"/>
            </w:pPr>
            <w:r>
              <w:t>562人</w:t>
            </w:r>
          </w:p>
        </w:tc>
        <w:tc>
          <w:tcPr>
            <w:tcW w:w="1276" w:type="dxa"/>
            <w:vAlign w:val="center"/>
          </w:tcPr>
          <w:p w14:paraId="19DA605A">
            <w:pPr>
              <w:pStyle w:val="12"/>
            </w:pPr>
            <w:r>
              <w:t>城乡义务教育公用经费管理办法</w:t>
            </w:r>
          </w:p>
        </w:tc>
      </w:tr>
      <w:tr w14:paraId="1BFF9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2C704"/>
        </w:tc>
        <w:tc>
          <w:tcPr>
            <w:tcW w:w="2268" w:type="dxa"/>
            <w:vAlign w:val="center"/>
          </w:tcPr>
          <w:p w14:paraId="15F0266C">
            <w:pPr>
              <w:pStyle w:val="12"/>
            </w:pPr>
            <w:r>
              <w:t>质量指标</w:t>
            </w:r>
          </w:p>
        </w:tc>
        <w:tc>
          <w:tcPr>
            <w:tcW w:w="2835" w:type="dxa"/>
            <w:vAlign w:val="center"/>
          </w:tcPr>
          <w:p w14:paraId="283F01F6">
            <w:pPr>
              <w:pStyle w:val="12"/>
            </w:pPr>
            <w:r>
              <w:t>预算执行率</w:t>
            </w:r>
          </w:p>
        </w:tc>
        <w:tc>
          <w:tcPr>
            <w:tcW w:w="5386" w:type="dxa"/>
            <w:vAlign w:val="center"/>
          </w:tcPr>
          <w:p w14:paraId="57076D48">
            <w:pPr>
              <w:pStyle w:val="12"/>
            </w:pPr>
            <w:r>
              <w:t>预算执行率</w:t>
            </w:r>
          </w:p>
        </w:tc>
        <w:tc>
          <w:tcPr>
            <w:tcW w:w="2268" w:type="dxa"/>
            <w:vAlign w:val="center"/>
          </w:tcPr>
          <w:p w14:paraId="7AAC6B69">
            <w:pPr>
              <w:pStyle w:val="12"/>
            </w:pPr>
            <w:r>
              <w:t>≥95%</w:t>
            </w:r>
          </w:p>
        </w:tc>
        <w:tc>
          <w:tcPr>
            <w:tcW w:w="1276" w:type="dxa"/>
            <w:vAlign w:val="center"/>
          </w:tcPr>
          <w:p w14:paraId="2FCD10AA">
            <w:pPr>
              <w:pStyle w:val="12"/>
            </w:pPr>
            <w:r>
              <w:t>城乡义务教育公用经费管理办法</w:t>
            </w:r>
          </w:p>
        </w:tc>
      </w:tr>
      <w:tr w14:paraId="5161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92EE3"/>
        </w:tc>
        <w:tc>
          <w:tcPr>
            <w:tcW w:w="2268" w:type="dxa"/>
            <w:vAlign w:val="center"/>
          </w:tcPr>
          <w:p w14:paraId="5F88374A">
            <w:pPr>
              <w:pStyle w:val="12"/>
            </w:pPr>
            <w:r>
              <w:t>时效指标</w:t>
            </w:r>
          </w:p>
        </w:tc>
        <w:tc>
          <w:tcPr>
            <w:tcW w:w="2835" w:type="dxa"/>
            <w:vAlign w:val="center"/>
          </w:tcPr>
          <w:p w14:paraId="3487CF7C">
            <w:pPr>
              <w:pStyle w:val="12"/>
            </w:pPr>
            <w:r>
              <w:t>义教经费支付完成率</w:t>
            </w:r>
          </w:p>
        </w:tc>
        <w:tc>
          <w:tcPr>
            <w:tcW w:w="5386" w:type="dxa"/>
            <w:vAlign w:val="center"/>
          </w:tcPr>
          <w:p w14:paraId="6F110250">
            <w:pPr>
              <w:pStyle w:val="12"/>
            </w:pPr>
            <w:r>
              <w:t>按照序时进度完成资金支付</w:t>
            </w:r>
          </w:p>
        </w:tc>
        <w:tc>
          <w:tcPr>
            <w:tcW w:w="2268" w:type="dxa"/>
            <w:vAlign w:val="center"/>
          </w:tcPr>
          <w:p w14:paraId="604D052E">
            <w:pPr>
              <w:pStyle w:val="12"/>
            </w:pPr>
            <w:r>
              <w:t>100%</w:t>
            </w:r>
          </w:p>
        </w:tc>
        <w:tc>
          <w:tcPr>
            <w:tcW w:w="1276" w:type="dxa"/>
            <w:vAlign w:val="center"/>
          </w:tcPr>
          <w:p w14:paraId="39AE9BFF">
            <w:pPr>
              <w:pStyle w:val="12"/>
            </w:pPr>
            <w:r>
              <w:t>城乡义务教育公用经费管理办法</w:t>
            </w:r>
          </w:p>
        </w:tc>
      </w:tr>
      <w:tr w14:paraId="29E8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451CD"/>
        </w:tc>
        <w:tc>
          <w:tcPr>
            <w:tcW w:w="2268" w:type="dxa"/>
            <w:vAlign w:val="center"/>
          </w:tcPr>
          <w:p w14:paraId="77115C35">
            <w:pPr>
              <w:pStyle w:val="12"/>
            </w:pPr>
            <w:r>
              <w:t>成本指标</w:t>
            </w:r>
          </w:p>
        </w:tc>
        <w:tc>
          <w:tcPr>
            <w:tcW w:w="2835" w:type="dxa"/>
            <w:vAlign w:val="center"/>
          </w:tcPr>
          <w:p w14:paraId="39FAA409">
            <w:pPr>
              <w:pStyle w:val="12"/>
            </w:pPr>
            <w:r>
              <w:t>生均拨款标准</w:t>
            </w:r>
          </w:p>
        </w:tc>
        <w:tc>
          <w:tcPr>
            <w:tcW w:w="5386" w:type="dxa"/>
            <w:vAlign w:val="center"/>
          </w:tcPr>
          <w:p w14:paraId="48A7506E">
            <w:pPr>
              <w:pStyle w:val="12"/>
            </w:pPr>
            <w:r>
              <w:t>小学生公用经费生均公用经费基准定额为720元/年/生，取暖费120元/年/生，住宿生补助300元/年/生的标准，随班就读学生补助7000元/生/年</w:t>
            </w:r>
          </w:p>
        </w:tc>
        <w:tc>
          <w:tcPr>
            <w:tcW w:w="2268" w:type="dxa"/>
            <w:vAlign w:val="center"/>
          </w:tcPr>
          <w:p w14:paraId="427679CD">
            <w:pPr>
              <w:pStyle w:val="12"/>
            </w:pPr>
            <w:r>
              <w:t>840元</w:t>
            </w:r>
          </w:p>
        </w:tc>
        <w:tc>
          <w:tcPr>
            <w:tcW w:w="1276" w:type="dxa"/>
            <w:vAlign w:val="center"/>
          </w:tcPr>
          <w:p w14:paraId="058D67EB">
            <w:pPr>
              <w:pStyle w:val="12"/>
            </w:pPr>
            <w:r>
              <w:t>城乡义务教育公用经费管理办法</w:t>
            </w:r>
          </w:p>
        </w:tc>
      </w:tr>
      <w:tr w14:paraId="70DD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77FAA">
            <w:pPr>
              <w:pStyle w:val="13"/>
            </w:pPr>
            <w:r>
              <w:t>效益指标</w:t>
            </w:r>
          </w:p>
        </w:tc>
        <w:tc>
          <w:tcPr>
            <w:tcW w:w="2268" w:type="dxa"/>
            <w:vAlign w:val="center"/>
          </w:tcPr>
          <w:p w14:paraId="65D6A151">
            <w:pPr>
              <w:pStyle w:val="12"/>
            </w:pPr>
            <w:r>
              <w:t>可持续影响指标</w:t>
            </w:r>
          </w:p>
        </w:tc>
        <w:tc>
          <w:tcPr>
            <w:tcW w:w="2835" w:type="dxa"/>
            <w:vAlign w:val="center"/>
          </w:tcPr>
          <w:p w14:paraId="47741918">
            <w:pPr>
              <w:pStyle w:val="12"/>
            </w:pPr>
            <w:r>
              <w:t>学校运转得到提高</w:t>
            </w:r>
          </w:p>
        </w:tc>
        <w:tc>
          <w:tcPr>
            <w:tcW w:w="5386" w:type="dxa"/>
            <w:vAlign w:val="center"/>
          </w:tcPr>
          <w:p w14:paraId="4A2683F5">
            <w:pPr>
              <w:pStyle w:val="12"/>
            </w:pPr>
            <w:r>
              <w:t>学生受教育年限</w:t>
            </w:r>
          </w:p>
        </w:tc>
        <w:tc>
          <w:tcPr>
            <w:tcW w:w="2268" w:type="dxa"/>
            <w:vAlign w:val="center"/>
          </w:tcPr>
          <w:p w14:paraId="4A3BEEB8">
            <w:pPr>
              <w:pStyle w:val="12"/>
            </w:pPr>
            <w:r>
              <w:t>6年</w:t>
            </w:r>
          </w:p>
        </w:tc>
        <w:tc>
          <w:tcPr>
            <w:tcW w:w="1276" w:type="dxa"/>
            <w:vAlign w:val="center"/>
          </w:tcPr>
          <w:p w14:paraId="3AFB4EEE">
            <w:pPr>
              <w:pStyle w:val="12"/>
            </w:pPr>
            <w:r>
              <w:t>城乡义务教育公用经费管理办法</w:t>
            </w:r>
          </w:p>
        </w:tc>
      </w:tr>
      <w:tr w14:paraId="4ABE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7EFC9">
            <w:pPr>
              <w:pStyle w:val="13"/>
            </w:pPr>
            <w:r>
              <w:t>满意度指标</w:t>
            </w:r>
          </w:p>
        </w:tc>
        <w:tc>
          <w:tcPr>
            <w:tcW w:w="2268" w:type="dxa"/>
            <w:vAlign w:val="center"/>
          </w:tcPr>
          <w:p w14:paraId="5A617633">
            <w:pPr>
              <w:pStyle w:val="12"/>
            </w:pPr>
            <w:r>
              <w:t>服务对象满意度指标</w:t>
            </w:r>
          </w:p>
        </w:tc>
        <w:tc>
          <w:tcPr>
            <w:tcW w:w="2835" w:type="dxa"/>
            <w:vAlign w:val="center"/>
          </w:tcPr>
          <w:p w14:paraId="1E42E697">
            <w:pPr>
              <w:pStyle w:val="12"/>
            </w:pPr>
            <w:r>
              <w:t>服务对象满意度</w:t>
            </w:r>
          </w:p>
        </w:tc>
        <w:tc>
          <w:tcPr>
            <w:tcW w:w="5386" w:type="dxa"/>
            <w:vAlign w:val="center"/>
          </w:tcPr>
          <w:p w14:paraId="3BBB0448">
            <w:pPr>
              <w:pStyle w:val="12"/>
            </w:pPr>
            <w:r>
              <w:t>学校老师和学生满意度</w:t>
            </w:r>
          </w:p>
        </w:tc>
        <w:tc>
          <w:tcPr>
            <w:tcW w:w="2268" w:type="dxa"/>
            <w:vAlign w:val="center"/>
          </w:tcPr>
          <w:p w14:paraId="4BD0A960">
            <w:pPr>
              <w:pStyle w:val="12"/>
            </w:pPr>
            <w:r>
              <w:t>≥95%</w:t>
            </w:r>
          </w:p>
        </w:tc>
        <w:tc>
          <w:tcPr>
            <w:tcW w:w="1276" w:type="dxa"/>
            <w:vAlign w:val="center"/>
          </w:tcPr>
          <w:p w14:paraId="08519507">
            <w:pPr>
              <w:pStyle w:val="12"/>
            </w:pPr>
            <w:r>
              <w:t>群众测评</w:t>
            </w:r>
          </w:p>
        </w:tc>
      </w:tr>
    </w:tbl>
    <w:p w14:paraId="607CE0DA">
      <w:pPr>
        <w:sectPr>
          <w:pgSz w:w="16840" w:h="11900" w:orient="landscape"/>
          <w:pgMar w:top="1361" w:right="1020" w:bottom="1134" w:left="1020" w:header="720" w:footer="720" w:gutter="0"/>
          <w:cols w:space="720" w:num="1"/>
        </w:sectPr>
      </w:pPr>
    </w:p>
    <w:p w14:paraId="13F142F3">
      <w:pPr>
        <w:spacing w:before="0" w:after="0"/>
        <w:ind w:firstLine="560"/>
        <w:jc w:val="left"/>
        <w:outlineLvl w:val="9"/>
      </w:pPr>
      <w:r>
        <w:rPr>
          <w:rFonts w:ascii="方正仿宋_GBK" w:hAnsi="方正仿宋_GBK" w:eastAsia="方正仿宋_GBK" w:cs="方正仿宋_GBK"/>
          <w:b/>
          <w:color w:val="000000"/>
          <w:sz w:val="28"/>
        </w:rPr>
        <w:t>29、县级配套/山口校区水饭中心小学公用经费绩效目标表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CD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DD2F9">
            <w:pPr>
              <w:pStyle w:val="11"/>
            </w:pPr>
            <w:r>
              <w:t>单位：万元</w:t>
            </w:r>
          </w:p>
        </w:tc>
      </w:tr>
      <w:tr w14:paraId="54EED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7CE18">
            <w:pPr>
              <w:pStyle w:val="10"/>
            </w:pPr>
            <w:r>
              <w:t>项目编码</w:t>
            </w:r>
          </w:p>
        </w:tc>
        <w:tc>
          <w:tcPr>
            <w:tcW w:w="5103" w:type="dxa"/>
            <w:gridSpan w:val="2"/>
            <w:vAlign w:val="center"/>
          </w:tcPr>
          <w:p w14:paraId="4E7EB635">
            <w:pPr>
              <w:pStyle w:val="12"/>
            </w:pPr>
            <w:r>
              <w:t>13052526P00000410451J</w:t>
            </w:r>
          </w:p>
        </w:tc>
        <w:tc>
          <w:tcPr>
            <w:tcW w:w="2835" w:type="dxa"/>
            <w:vAlign w:val="center"/>
          </w:tcPr>
          <w:p w14:paraId="2F63160A">
            <w:pPr>
              <w:pStyle w:val="10"/>
            </w:pPr>
            <w:r>
              <w:t>项目名称</w:t>
            </w:r>
          </w:p>
        </w:tc>
        <w:tc>
          <w:tcPr>
            <w:tcW w:w="6095" w:type="dxa"/>
            <w:gridSpan w:val="3"/>
            <w:vAlign w:val="center"/>
          </w:tcPr>
          <w:p w14:paraId="1631B008">
            <w:pPr>
              <w:pStyle w:val="12"/>
            </w:pPr>
            <w:r>
              <w:t>县级配套/山口校区水饭中心小学公用经费</w:t>
            </w:r>
          </w:p>
        </w:tc>
      </w:tr>
      <w:tr w14:paraId="498F5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20BC6">
            <w:pPr>
              <w:pStyle w:val="10"/>
            </w:pPr>
            <w:r>
              <w:t>预算规模及资金用途</w:t>
            </w:r>
          </w:p>
        </w:tc>
        <w:tc>
          <w:tcPr>
            <w:tcW w:w="2268" w:type="dxa"/>
            <w:vAlign w:val="center"/>
          </w:tcPr>
          <w:p w14:paraId="7200AA54">
            <w:pPr>
              <w:pStyle w:val="10"/>
            </w:pPr>
            <w:r>
              <w:t>预算数</w:t>
            </w:r>
          </w:p>
        </w:tc>
        <w:tc>
          <w:tcPr>
            <w:tcW w:w="2835" w:type="dxa"/>
            <w:vAlign w:val="center"/>
          </w:tcPr>
          <w:p w14:paraId="2A943AC2">
            <w:pPr>
              <w:pStyle w:val="12"/>
            </w:pPr>
            <w:r>
              <w:t>9.41</w:t>
            </w:r>
          </w:p>
        </w:tc>
        <w:tc>
          <w:tcPr>
            <w:tcW w:w="2835" w:type="dxa"/>
            <w:vAlign w:val="center"/>
          </w:tcPr>
          <w:p w14:paraId="21523828">
            <w:pPr>
              <w:pStyle w:val="10"/>
            </w:pPr>
            <w:r>
              <w:t>其中：财政    资金</w:t>
            </w:r>
          </w:p>
        </w:tc>
        <w:tc>
          <w:tcPr>
            <w:tcW w:w="2551" w:type="dxa"/>
            <w:vAlign w:val="center"/>
          </w:tcPr>
          <w:p w14:paraId="135D545E">
            <w:pPr>
              <w:pStyle w:val="12"/>
            </w:pPr>
            <w:r>
              <w:t>9.41</w:t>
            </w:r>
          </w:p>
        </w:tc>
        <w:tc>
          <w:tcPr>
            <w:tcW w:w="2268" w:type="dxa"/>
            <w:vAlign w:val="center"/>
          </w:tcPr>
          <w:p w14:paraId="6C97C39B">
            <w:pPr>
              <w:pStyle w:val="10"/>
            </w:pPr>
            <w:r>
              <w:t>其他资金</w:t>
            </w:r>
          </w:p>
        </w:tc>
        <w:tc>
          <w:tcPr>
            <w:tcW w:w="1276" w:type="dxa"/>
            <w:vAlign w:val="center"/>
          </w:tcPr>
          <w:p w14:paraId="7B624C32">
            <w:pPr>
              <w:pStyle w:val="12"/>
            </w:pPr>
            <w:r>
              <w:t xml:space="preserve"> </w:t>
            </w:r>
          </w:p>
        </w:tc>
      </w:tr>
      <w:tr w14:paraId="31182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D99C9"/>
        </w:tc>
        <w:tc>
          <w:tcPr>
            <w:tcW w:w="14033" w:type="dxa"/>
            <w:gridSpan w:val="6"/>
            <w:vAlign w:val="center"/>
          </w:tcPr>
          <w:p w14:paraId="0FF6391F">
            <w:pPr>
              <w:pStyle w:val="12"/>
            </w:pPr>
            <w:r>
              <w:t>保障学校正常运转，完成各项教育教学活动和其他日常工作任务等方面的费用支出。</w:t>
            </w:r>
            <w:r>
              <w:tab/>
            </w:r>
            <w:r>
              <w:tab/>
            </w:r>
            <w:r>
              <w:tab/>
            </w:r>
            <w:r>
              <w:tab/>
            </w:r>
            <w:r>
              <w:tab/>
            </w:r>
            <w:r>
              <w:tab/>
            </w:r>
          </w:p>
          <w:p w14:paraId="525A4B9D">
            <w:pPr>
              <w:pStyle w:val="12"/>
            </w:pPr>
          </w:p>
        </w:tc>
      </w:tr>
      <w:tr w14:paraId="276D7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2FB21">
            <w:pPr>
              <w:pStyle w:val="10"/>
            </w:pPr>
            <w:r>
              <w:t>资金支出计划（%）</w:t>
            </w:r>
          </w:p>
        </w:tc>
        <w:tc>
          <w:tcPr>
            <w:tcW w:w="5103" w:type="dxa"/>
            <w:gridSpan w:val="2"/>
            <w:vAlign w:val="center"/>
          </w:tcPr>
          <w:p w14:paraId="549AE358">
            <w:pPr>
              <w:pStyle w:val="10"/>
            </w:pPr>
            <w:r>
              <w:t>3月底</w:t>
            </w:r>
          </w:p>
        </w:tc>
        <w:tc>
          <w:tcPr>
            <w:tcW w:w="2835" w:type="dxa"/>
            <w:vAlign w:val="center"/>
          </w:tcPr>
          <w:p w14:paraId="54AE37FC">
            <w:pPr>
              <w:pStyle w:val="10"/>
            </w:pPr>
            <w:r>
              <w:t>6月底</w:t>
            </w:r>
          </w:p>
        </w:tc>
        <w:tc>
          <w:tcPr>
            <w:tcW w:w="2551" w:type="dxa"/>
            <w:vAlign w:val="center"/>
          </w:tcPr>
          <w:p w14:paraId="1E1DADEF">
            <w:pPr>
              <w:pStyle w:val="10"/>
            </w:pPr>
            <w:r>
              <w:t>10月底</w:t>
            </w:r>
          </w:p>
        </w:tc>
        <w:tc>
          <w:tcPr>
            <w:tcW w:w="3544" w:type="dxa"/>
            <w:gridSpan w:val="2"/>
            <w:vAlign w:val="center"/>
          </w:tcPr>
          <w:p w14:paraId="6361E6CF">
            <w:pPr>
              <w:pStyle w:val="10"/>
            </w:pPr>
            <w:r>
              <w:t>12月底</w:t>
            </w:r>
          </w:p>
        </w:tc>
      </w:tr>
      <w:tr w14:paraId="416B1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D4CC6"/>
        </w:tc>
        <w:tc>
          <w:tcPr>
            <w:tcW w:w="5103" w:type="dxa"/>
            <w:gridSpan w:val="2"/>
            <w:vAlign w:val="center"/>
          </w:tcPr>
          <w:p w14:paraId="51032B21">
            <w:pPr>
              <w:pStyle w:val="13"/>
            </w:pPr>
            <w:r>
              <w:t>25%</w:t>
            </w:r>
          </w:p>
        </w:tc>
        <w:tc>
          <w:tcPr>
            <w:tcW w:w="2835" w:type="dxa"/>
            <w:vAlign w:val="center"/>
          </w:tcPr>
          <w:p w14:paraId="1523D164">
            <w:pPr>
              <w:pStyle w:val="13"/>
            </w:pPr>
            <w:r>
              <w:t>50%</w:t>
            </w:r>
          </w:p>
        </w:tc>
        <w:tc>
          <w:tcPr>
            <w:tcW w:w="2551" w:type="dxa"/>
            <w:vAlign w:val="center"/>
          </w:tcPr>
          <w:p w14:paraId="087B658D">
            <w:pPr>
              <w:pStyle w:val="13"/>
            </w:pPr>
            <w:r>
              <w:t>75%</w:t>
            </w:r>
          </w:p>
        </w:tc>
        <w:tc>
          <w:tcPr>
            <w:tcW w:w="3544" w:type="dxa"/>
            <w:gridSpan w:val="2"/>
            <w:vAlign w:val="center"/>
          </w:tcPr>
          <w:p w14:paraId="392910CC">
            <w:pPr>
              <w:pStyle w:val="13"/>
            </w:pPr>
            <w:r>
              <w:t>100%</w:t>
            </w:r>
          </w:p>
        </w:tc>
      </w:tr>
      <w:tr w14:paraId="08669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7E933">
            <w:pPr>
              <w:pStyle w:val="10"/>
            </w:pPr>
            <w:r>
              <w:t>绩效目标</w:t>
            </w:r>
          </w:p>
        </w:tc>
        <w:tc>
          <w:tcPr>
            <w:tcW w:w="14033" w:type="dxa"/>
            <w:gridSpan w:val="6"/>
            <w:vAlign w:val="center"/>
          </w:tcPr>
          <w:p w14:paraId="3C3C4B8D">
            <w:pPr>
              <w:pStyle w:val="12"/>
            </w:pPr>
            <w:r>
              <w:t>1.按季度分批次拨付公用经费资金，资金拨付率达到100%。</w:t>
            </w:r>
          </w:p>
          <w:p w14:paraId="5F0282DA">
            <w:pPr>
              <w:pStyle w:val="12"/>
            </w:pPr>
            <w:r>
              <w:t>2.保障学校正常运转，完成各项教育教学活动和其他日常工作任务等方面的费用支出。</w:t>
            </w:r>
          </w:p>
        </w:tc>
      </w:tr>
    </w:tbl>
    <w:p w14:paraId="44EE2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B9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6B815">
            <w:pPr>
              <w:pStyle w:val="10"/>
            </w:pPr>
            <w:r>
              <w:t>一级指标</w:t>
            </w:r>
          </w:p>
        </w:tc>
        <w:tc>
          <w:tcPr>
            <w:tcW w:w="2268" w:type="dxa"/>
            <w:vAlign w:val="center"/>
          </w:tcPr>
          <w:p w14:paraId="69896480">
            <w:pPr>
              <w:pStyle w:val="10"/>
            </w:pPr>
            <w:r>
              <w:t>二级指标</w:t>
            </w:r>
          </w:p>
        </w:tc>
        <w:tc>
          <w:tcPr>
            <w:tcW w:w="2835" w:type="dxa"/>
            <w:vAlign w:val="center"/>
          </w:tcPr>
          <w:p w14:paraId="03CB1B4F">
            <w:pPr>
              <w:pStyle w:val="10"/>
            </w:pPr>
            <w:r>
              <w:t>三级指标</w:t>
            </w:r>
          </w:p>
        </w:tc>
        <w:tc>
          <w:tcPr>
            <w:tcW w:w="5386" w:type="dxa"/>
            <w:vAlign w:val="center"/>
          </w:tcPr>
          <w:p w14:paraId="7B003A5C">
            <w:pPr>
              <w:pStyle w:val="10"/>
            </w:pPr>
            <w:r>
              <w:t>绩效指标描述</w:t>
            </w:r>
          </w:p>
        </w:tc>
        <w:tc>
          <w:tcPr>
            <w:tcW w:w="2268" w:type="dxa"/>
            <w:vAlign w:val="center"/>
          </w:tcPr>
          <w:p w14:paraId="39E22600">
            <w:pPr>
              <w:pStyle w:val="10"/>
            </w:pPr>
            <w:r>
              <w:t>指标值</w:t>
            </w:r>
          </w:p>
        </w:tc>
        <w:tc>
          <w:tcPr>
            <w:tcW w:w="1276" w:type="dxa"/>
            <w:vAlign w:val="center"/>
          </w:tcPr>
          <w:p w14:paraId="48CAE9D7">
            <w:pPr>
              <w:pStyle w:val="10"/>
            </w:pPr>
            <w:r>
              <w:t>指标值确定依据</w:t>
            </w:r>
          </w:p>
        </w:tc>
      </w:tr>
      <w:tr w14:paraId="5D32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7BE65">
            <w:pPr>
              <w:pStyle w:val="13"/>
            </w:pPr>
            <w:r>
              <w:t>产出指标</w:t>
            </w:r>
          </w:p>
        </w:tc>
        <w:tc>
          <w:tcPr>
            <w:tcW w:w="2268" w:type="dxa"/>
            <w:vAlign w:val="center"/>
          </w:tcPr>
          <w:p w14:paraId="0F984159">
            <w:pPr>
              <w:pStyle w:val="12"/>
            </w:pPr>
            <w:r>
              <w:t>数量指标</w:t>
            </w:r>
          </w:p>
        </w:tc>
        <w:tc>
          <w:tcPr>
            <w:tcW w:w="2835" w:type="dxa"/>
            <w:vAlign w:val="center"/>
          </w:tcPr>
          <w:p w14:paraId="250C9BA6">
            <w:pPr>
              <w:pStyle w:val="12"/>
            </w:pPr>
            <w:r>
              <w:t>就读学生数</w:t>
            </w:r>
          </w:p>
        </w:tc>
        <w:tc>
          <w:tcPr>
            <w:tcW w:w="5386" w:type="dxa"/>
            <w:vAlign w:val="center"/>
          </w:tcPr>
          <w:p w14:paraId="030A8F4C">
            <w:pPr>
              <w:pStyle w:val="12"/>
            </w:pPr>
            <w:r>
              <w:t>辐射区域内适龄学生人数</w:t>
            </w:r>
          </w:p>
        </w:tc>
        <w:tc>
          <w:tcPr>
            <w:tcW w:w="2268" w:type="dxa"/>
            <w:vAlign w:val="center"/>
          </w:tcPr>
          <w:p w14:paraId="3F2192B5">
            <w:pPr>
              <w:pStyle w:val="12"/>
            </w:pPr>
            <w:r>
              <w:t>973人</w:t>
            </w:r>
          </w:p>
        </w:tc>
        <w:tc>
          <w:tcPr>
            <w:tcW w:w="1276" w:type="dxa"/>
            <w:vAlign w:val="center"/>
          </w:tcPr>
          <w:p w14:paraId="4D1671FF">
            <w:pPr>
              <w:pStyle w:val="12"/>
            </w:pPr>
            <w:r>
              <w:t>城乡义务教育公用经费管理办法</w:t>
            </w:r>
          </w:p>
        </w:tc>
      </w:tr>
      <w:tr w14:paraId="42C9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8D649"/>
        </w:tc>
        <w:tc>
          <w:tcPr>
            <w:tcW w:w="2268" w:type="dxa"/>
            <w:vAlign w:val="center"/>
          </w:tcPr>
          <w:p w14:paraId="638172DA">
            <w:pPr>
              <w:pStyle w:val="12"/>
            </w:pPr>
            <w:r>
              <w:t>质量指标</w:t>
            </w:r>
          </w:p>
        </w:tc>
        <w:tc>
          <w:tcPr>
            <w:tcW w:w="2835" w:type="dxa"/>
            <w:vAlign w:val="center"/>
          </w:tcPr>
          <w:p w14:paraId="5EAAED35">
            <w:pPr>
              <w:pStyle w:val="12"/>
            </w:pPr>
            <w:r>
              <w:t>预算执行率</w:t>
            </w:r>
          </w:p>
        </w:tc>
        <w:tc>
          <w:tcPr>
            <w:tcW w:w="5386" w:type="dxa"/>
            <w:vAlign w:val="center"/>
          </w:tcPr>
          <w:p w14:paraId="3D6FDFAB">
            <w:pPr>
              <w:pStyle w:val="12"/>
            </w:pPr>
            <w:r>
              <w:t>预算执行率</w:t>
            </w:r>
          </w:p>
        </w:tc>
        <w:tc>
          <w:tcPr>
            <w:tcW w:w="2268" w:type="dxa"/>
            <w:vAlign w:val="center"/>
          </w:tcPr>
          <w:p w14:paraId="4183A289">
            <w:pPr>
              <w:pStyle w:val="12"/>
            </w:pPr>
            <w:r>
              <w:t>≥95%</w:t>
            </w:r>
          </w:p>
        </w:tc>
        <w:tc>
          <w:tcPr>
            <w:tcW w:w="1276" w:type="dxa"/>
            <w:vAlign w:val="center"/>
          </w:tcPr>
          <w:p w14:paraId="6B64F19B">
            <w:pPr>
              <w:pStyle w:val="12"/>
            </w:pPr>
            <w:r>
              <w:t>城乡义务教育公用经费管理办法</w:t>
            </w:r>
          </w:p>
        </w:tc>
      </w:tr>
      <w:tr w14:paraId="14BC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DA0E1"/>
        </w:tc>
        <w:tc>
          <w:tcPr>
            <w:tcW w:w="2268" w:type="dxa"/>
            <w:vAlign w:val="center"/>
          </w:tcPr>
          <w:p w14:paraId="3A878C83">
            <w:pPr>
              <w:pStyle w:val="12"/>
            </w:pPr>
            <w:r>
              <w:t>时效指标</w:t>
            </w:r>
          </w:p>
        </w:tc>
        <w:tc>
          <w:tcPr>
            <w:tcW w:w="2835" w:type="dxa"/>
            <w:vAlign w:val="center"/>
          </w:tcPr>
          <w:p w14:paraId="2E874D33">
            <w:pPr>
              <w:pStyle w:val="12"/>
            </w:pPr>
            <w:r>
              <w:t>义教经费支付完成率</w:t>
            </w:r>
          </w:p>
        </w:tc>
        <w:tc>
          <w:tcPr>
            <w:tcW w:w="5386" w:type="dxa"/>
            <w:vAlign w:val="center"/>
          </w:tcPr>
          <w:p w14:paraId="20EBB8CE">
            <w:pPr>
              <w:pStyle w:val="12"/>
            </w:pPr>
            <w:r>
              <w:t>按照序时进度完成资金支付</w:t>
            </w:r>
          </w:p>
        </w:tc>
        <w:tc>
          <w:tcPr>
            <w:tcW w:w="2268" w:type="dxa"/>
            <w:vAlign w:val="center"/>
          </w:tcPr>
          <w:p w14:paraId="1F442820">
            <w:pPr>
              <w:pStyle w:val="12"/>
            </w:pPr>
            <w:r>
              <w:t>100%</w:t>
            </w:r>
          </w:p>
        </w:tc>
        <w:tc>
          <w:tcPr>
            <w:tcW w:w="1276" w:type="dxa"/>
            <w:vAlign w:val="center"/>
          </w:tcPr>
          <w:p w14:paraId="33F4179D">
            <w:pPr>
              <w:pStyle w:val="12"/>
            </w:pPr>
            <w:r>
              <w:t>城乡义务教育公用经费管理办法</w:t>
            </w:r>
          </w:p>
        </w:tc>
      </w:tr>
      <w:tr w14:paraId="50A7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92FCB"/>
        </w:tc>
        <w:tc>
          <w:tcPr>
            <w:tcW w:w="2268" w:type="dxa"/>
            <w:vAlign w:val="center"/>
          </w:tcPr>
          <w:p w14:paraId="7C32A05E">
            <w:pPr>
              <w:pStyle w:val="12"/>
            </w:pPr>
            <w:r>
              <w:t>成本指标</w:t>
            </w:r>
          </w:p>
        </w:tc>
        <w:tc>
          <w:tcPr>
            <w:tcW w:w="2835" w:type="dxa"/>
            <w:vAlign w:val="center"/>
          </w:tcPr>
          <w:p w14:paraId="230846B2">
            <w:pPr>
              <w:pStyle w:val="12"/>
            </w:pPr>
            <w:r>
              <w:t>生均拨款标准</w:t>
            </w:r>
          </w:p>
        </w:tc>
        <w:tc>
          <w:tcPr>
            <w:tcW w:w="5386" w:type="dxa"/>
            <w:vAlign w:val="center"/>
          </w:tcPr>
          <w:p w14:paraId="46944B28">
            <w:pPr>
              <w:pStyle w:val="12"/>
            </w:pPr>
            <w:r>
              <w:t>小学生公用经费生均公用经费基准定额为720元/年/生，取暖费120元/年/生，住宿生补助300元/年/生的标准，随班就读学生补助7000元/生/年</w:t>
            </w:r>
          </w:p>
        </w:tc>
        <w:tc>
          <w:tcPr>
            <w:tcW w:w="2268" w:type="dxa"/>
            <w:vAlign w:val="center"/>
          </w:tcPr>
          <w:p w14:paraId="30580D7B">
            <w:pPr>
              <w:pStyle w:val="12"/>
            </w:pPr>
            <w:r>
              <w:t>840元</w:t>
            </w:r>
          </w:p>
        </w:tc>
        <w:tc>
          <w:tcPr>
            <w:tcW w:w="1276" w:type="dxa"/>
            <w:vAlign w:val="center"/>
          </w:tcPr>
          <w:p w14:paraId="34346DFF">
            <w:pPr>
              <w:pStyle w:val="12"/>
            </w:pPr>
            <w:r>
              <w:t>城乡义务教育公用经费管理办法</w:t>
            </w:r>
          </w:p>
        </w:tc>
      </w:tr>
      <w:tr w14:paraId="42889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130FA">
            <w:pPr>
              <w:pStyle w:val="13"/>
            </w:pPr>
            <w:r>
              <w:t>效益指标</w:t>
            </w:r>
          </w:p>
        </w:tc>
        <w:tc>
          <w:tcPr>
            <w:tcW w:w="2268" w:type="dxa"/>
            <w:vAlign w:val="center"/>
          </w:tcPr>
          <w:p w14:paraId="09B65C66">
            <w:pPr>
              <w:pStyle w:val="12"/>
            </w:pPr>
            <w:r>
              <w:t>可持续影响指标</w:t>
            </w:r>
          </w:p>
        </w:tc>
        <w:tc>
          <w:tcPr>
            <w:tcW w:w="2835" w:type="dxa"/>
            <w:vAlign w:val="center"/>
          </w:tcPr>
          <w:p w14:paraId="04EE8303">
            <w:pPr>
              <w:pStyle w:val="12"/>
            </w:pPr>
            <w:r>
              <w:t>学校运转得到提高</w:t>
            </w:r>
          </w:p>
        </w:tc>
        <w:tc>
          <w:tcPr>
            <w:tcW w:w="5386" w:type="dxa"/>
            <w:vAlign w:val="center"/>
          </w:tcPr>
          <w:p w14:paraId="5C25A8B7">
            <w:pPr>
              <w:pStyle w:val="12"/>
            </w:pPr>
            <w:r>
              <w:t>学生受教育年限</w:t>
            </w:r>
          </w:p>
        </w:tc>
        <w:tc>
          <w:tcPr>
            <w:tcW w:w="2268" w:type="dxa"/>
            <w:vAlign w:val="center"/>
          </w:tcPr>
          <w:p w14:paraId="34BE2148">
            <w:pPr>
              <w:pStyle w:val="12"/>
            </w:pPr>
            <w:r>
              <w:t>6年</w:t>
            </w:r>
          </w:p>
        </w:tc>
        <w:tc>
          <w:tcPr>
            <w:tcW w:w="1276" w:type="dxa"/>
            <w:vAlign w:val="center"/>
          </w:tcPr>
          <w:p w14:paraId="0F13080C">
            <w:pPr>
              <w:pStyle w:val="12"/>
            </w:pPr>
            <w:r>
              <w:t>城乡义务教育公用经费管理办法</w:t>
            </w:r>
          </w:p>
        </w:tc>
      </w:tr>
      <w:tr w14:paraId="3279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41C42">
            <w:pPr>
              <w:pStyle w:val="13"/>
            </w:pPr>
            <w:r>
              <w:t>满意度指标</w:t>
            </w:r>
          </w:p>
        </w:tc>
        <w:tc>
          <w:tcPr>
            <w:tcW w:w="2268" w:type="dxa"/>
            <w:vAlign w:val="center"/>
          </w:tcPr>
          <w:p w14:paraId="09120407">
            <w:pPr>
              <w:pStyle w:val="12"/>
            </w:pPr>
            <w:r>
              <w:t>服务对象满意度指标</w:t>
            </w:r>
          </w:p>
        </w:tc>
        <w:tc>
          <w:tcPr>
            <w:tcW w:w="2835" w:type="dxa"/>
            <w:vAlign w:val="center"/>
          </w:tcPr>
          <w:p w14:paraId="444B349D">
            <w:pPr>
              <w:pStyle w:val="12"/>
            </w:pPr>
            <w:r>
              <w:t>服务对象满意度</w:t>
            </w:r>
          </w:p>
        </w:tc>
        <w:tc>
          <w:tcPr>
            <w:tcW w:w="5386" w:type="dxa"/>
            <w:vAlign w:val="center"/>
          </w:tcPr>
          <w:p w14:paraId="00090873">
            <w:pPr>
              <w:pStyle w:val="12"/>
            </w:pPr>
            <w:r>
              <w:t>学校老师和学生满意度</w:t>
            </w:r>
          </w:p>
        </w:tc>
        <w:tc>
          <w:tcPr>
            <w:tcW w:w="2268" w:type="dxa"/>
            <w:vAlign w:val="center"/>
          </w:tcPr>
          <w:p w14:paraId="725D3F78">
            <w:pPr>
              <w:pStyle w:val="12"/>
            </w:pPr>
            <w:r>
              <w:t>≥95%</w:t>
            </w:r>
          </w:p>
        </w:tc>
        <w:tc>
          <w:tcPr>
            <w:tcW w:w="1276" w:type="dxa"/>
            <w:vAlign w:val="center"/>
          </w:tcPr>
          <w:p w14:paraId="035340A9">
            <w:pPr>
              <w:pStyle w:val="12"/>
            </w:pPr>
            <w:r>
              <w:t>群众测评</w:t>
            </w:r>
          </w:p>
        </w:tc>
      </w:tr>
    </w:tbl>
    <w:p w14:paraId="4D5650C4">
      <w:pPr>
        <w:sectPr>
          <w:pgSz w:w="16840" w:h="11900" w:orient="landscape"/>
          <w:pgMar w:top="1361" w:right="1020" w:bottom="1134" w:left="1020" w:header="720" w:footer="720" w:gutter="0"/>
          <w:cols w:space="720" w:num="1"/>
        </w:sectPr>
      </w:pPr>
    </w:p>
    <w:p w14:paraId="2E9477F1">
      <w:pPr>
        <w:spacing w:before="0" w:after="0"/>
        <w:ind w:firstLine="560"/>
        <w:jc w:val="left"/>
        <w:outlineLvl w:val="9"/>
      </w:pPr>
      <w:r>
        <w:rPr>
          <w:rFonts w:ascii="方正仿宋_GBK" w:hAnsi="方正仿宋_GBK" w:eastAsia="方正仿宋_GBK" w:cs="方正仿宋_GBK"/>
          <w:b/>
          <w:color w:val="000000"/>
          <w:sz w:val="28"/>
        </w:rPr>
        <w:t>30、县级配套/山口校区学前教育幼儿资助绩效目标表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99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60A13">
            <w:pPr>
              <w:pStyle w:val="11"/>
            </w:pPr>
            <w:r>
              <w:t>单位：万元</w:t>
            </w:r>
          </w:p>
        </w:tc>
      </w:tr>
      <w:tr w14:paraId="782C3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EE75E">
            <w:pPr>
              <w:pStyle w:val="10"/>
            </w:pPr>
            <w:r>
              <w:t>项目编码</w:t>
            </w:r>
          </w:p>
        </w:tc>
        <w:tc>
          <w:tcPr>
            <w:tcW w:w="5103" w:type="dxa"/>
            <w:gridSpan w:val="2"/>
            <w:vAlign w:val="center"/>
          </w:tcPr>
          <w:p w14:paraId="1C881947">
            <w:pPr>
              <w:pStyle w:val="12"/>
            </w:pPr>
            <w:r>
              <w:t>13052526P000002100854</w:t>
            </w:r>
          </w:p>
        </w:tc>
        <w:tc>
          <w:tcPr>
            <w:tcW w:w="2835" w:type="dxa"/>
            <w:vAlign w:val="center"/>
          </w:tcPr>
          <w:p w14:paraId="45438108">
            <w:pPr>
              <w:pStyle w:val="10"/>
            </w:pPr>
            <w:r>
              <w:t>项目名称</w:t>
            </w:r>
          </w:p>
        </w:tc>
        <w:tc>
          <w:tcPr>
            <w:tcW w:w="6095" w:type="dxa"/>
            <w:gridSpan w:val="3"/>
            <w:vAlign w:val="center"/>
          </w:tcPr>
          <w:p w14:paraId="22CC8B87">
            <w:pPr>
              <w:pStyle w:val="12"/>
            </w:pPr>
            <w:r>
              <w:t>县级配套/山口校区学前教育幼儿资助</w:t>
            </w:r>
          </w:p>
        </w:tc>
      </w:tr>
      <w:tr w14:paraId="674CB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184F4">
            <w:pPr>
              <w:pStyle w:val="10"/>
            </w:pPr>
            <w:r>
              <w:t>预算规模及资金用途</w:t>
            </w:r>
          </w:p>
        </w:tc>
        <w:tc>
          <w:tcPr>
            <w:tcW w:w="2268" w:type="dxa"/>
            <w:vAlign w:val="center"/>
          </w:tcPr>
          <w:p w14:paraId="2D1FE9A2">
            <w:pPr>
              <w:pStyle w:val="10"/>
            </w:pPr>
            <w:r>
              <w:t>预算数</w:t>
            </w:r>
          </w:p>
        </w:tc>
        <w:tc>
          <w:tcPr>
            <w:tcW w:w="2835" w:type="dxa"/>
            <w:vAlign w:val="center"/>
          </w:tcPr>
          <w:p w14:paraId="26B5999B">
            <w:pPr>
              <w:pStyle w:val="12"/>
            </w:pPr>
            <w:r>
              <w:t>1.14</w:t>
            </w:r>
          </w:p>
        </w:tc>
        <w:tc>
          <w:tcPr>
            <w:tcW w:w="2835" w:type="dxa"/>
            <w:vAlign w:val="center"/>
          </w:tcPr>
          <w:p w14:paraId="47AD6C62">
            <w:pPr>
              <w:pStyle w:val="10"/>
            </w:pPr>
            <w:r>
              <w:t>其中：财政    资金</w:t>
            </w:r>
          </w:p>
        </w:tc>
        <w:tc>
          <w:tcPr>
            <w:tcW w:w="2551" w:type="dxa"/>
            <w:vAlign w:val="center"/>
          </w:tcPr>
          <w:p w14:paraId="3D44DEFF">
            <w:pPr>
              <w:pStyle w:val="12"/>
            </w:pPr>
            <w:r>
              <w:t>1.14</w:t>
            </w:r>
          </w:p>
        </w:tc>
        <w:tc>
          <w:tcPr>
            <w:tcW w:w="2268" w:type="dxa"/>
            <w:vAlign w:val="center"/>
          </w:tcPr>
          <w:p w14:paraId="32724C7B">
            <w:pPr>
              <w:pStyle w:val="10"/>
            </w:pPr>
            <w:r>
              <w:t>其他资金</w:t>
            </w:r>
          </w:p>
        </w:tc>
        <w:tc>
          <w:tcPr>
            <w:tcW w:w="1276" w:type="dxa"/>
            <w:vAlign w:val="center"/>
          </w:tcPr>
          <w:p w14:paraId="1E5E65A8">
            <w:pPr>
              <w:pStyle w:val="12"/>
            </w:pPr>
            <w:r>
              <w:t xml:space="preserve"> </w:t>
            </w:r>
          </w:p>
        </w:tc>
      </w:tr>
      <w:tr w14:paraId="5DFAC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B3EBF"/>
        </w:tc>
        <w:tc>
          <w:tcPr>
            <w:tcW w:w="14033" w:type="dxa"/>
            <w:gridSpan w:val="6"/>
            <w:vAlign w:val="center"/>
          </w:tcPr>
          <w:p w14:paraId="2FEDB155">
            <w:pPr>
              <w:pStyle w:val="12"/>
            </w:pPr>
            <w:r>
              <w:t>保障落实建档立卡及家庭经济困难儿童资助所需资金，确保建档立卡等家庭经济困难幼儿优先获得资助</w:t>
            </w:r>
          </w:p>
        </w:tc>
      </w:tr>
      <w:tr w14:paraId="068F5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A5E47">
            <w:pPr>
              <w:pStyle w:val="10"/>
            </w:pPr>
            <w:r>
              <w:t>资金支出计划（%）</w:t>
            </w:r>
          </w:p>
        </w:tc>
        <w:tc>
          <w:tcPr>
            <w:tcW w:w="5103" w:type="dxa"/>
            <w:gridSpan w:val="2"/>
            <w:vAlign w:val="center"/>
          </w:tcPr>
          <w:p w14:paraId="652F6D77">
            <w:pPr>
              <w:pStyle w:val="10"/>
            </w:pPr>
            <w:r>
              <w:t>3月底</w:t>
            </w:r>
          </w:p>
        </w:tc>
        <w:tc>
          <w:tcPr>
            <w:tcW w:w="2835" w:type="dxa"/>
            <w:vAlign w:val="center"/>
          </w:tcPr>
          <w:p w14:paraId="12765F13">
            <w:pPr>
              <w:pStyle w:val="10"/>
            </w:pPr>
            <w:r>
              <w:t>6月底</w:t>
            </w:r>
          </w:p>
        </w:tc>
        <w:tc>
          <w:tcPr>
            <w:tcW w:w="2551" w:type="dxa"/>
            <w:vAlign w:val="center"/>
          </w:tcPr>
          <w:p w14:paraId="7ABAA5E1">
            <w:pPr>
              <w:pStyle w:val="10"/>
            </w:pPr>
            <w:r>
              <w:t>10月底</w:t>
            </w:r>
          </w:p>
        </w:tc>
        <w:tc>
          <w:tcPr>
            <w:tcW w:w="3544" w:type="dxa"/>
            <w:gridSpan w:val="2"/>
            <w:vAlign w:val="center"/>
          </w:tcPr>
          <w:p w14:paraId="42D6F603">
            <w:pPr>
              <w:pStyle w:val="10"/>
            </w:pPr>
            <w:r>
              <w:t>12月底</w:t>
            </w:r>
          </w:p>
        </w:tc>
      </w:tr>
      <w:tr w14:paraId="3E1AA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14B9F"/>
        </w:tc>
        <w:tc>
          <w:tcPr>
            <w:tcW w:w="5103" w:type="dxa"/>
            <w:gridSpan w:val="2"/>
            <w:vAlign w:val="center"/>
          </w:tcPr>
          <w:p w14:paraId="1EF81ACA">
            <w:pPr>
              <w:pStyle w:val="13"/>
            </w:pPr>
            <w:r>
              <w:t>25%</w:t>
            </w:r>
          </w:p>
        </w:tc>
        <w:tc>
          <w:tcPr>
            <w:tcW w:w="2835" w:type="dxa"/>
            <w:vAlign w:val="center"/>
          </w:tcPr>
          <w:p w14:paraId="684AFD11">
            <w:pPr>
              <w:pStyle w:val="13"/>
            </w:pPr>
            <w:r>
              <w:t>50%</w:t>
            </w:r>
          </w:p>
        </w:tc>
        <w:tc>
          <w:tcPr>
            <w:tcW w:w="2551" w:type="dxa"/>
            <w:vAlign w:val="center"/>
          </w:tcPr>
          <w:p w14:paraId="6C27BAD3">
            <w:pPr>
              <w:pStyle w:val="13"/>
            </w:pPr>
            <w:r>
              <w:t>75%</w:t>
            </w:r>
          </w:p>
        </w:tc>
        <w:tc>
          <w:tcPr>
            <w:tcW w:w="3544" w:type="dxa"/>
            <w:gridSpan w:val="2"/>
            <w:vAlign w:val="center"/>
          </w:tcPr>
          <w:p w14:paraId="5E2CD18A">
            <w:pPr>
              <w:pStyle w:val="13"/>
            </w:pPr>
            <w:r>
              <w:t>100%</w:t>
            </w:r>
          </w:p>
        </w:tc>
      </w:tr>
      <w:tr w14:paraId="1E617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29593">
            <w:pPr>
              <w:pStyle w:val="10"/>
            </w:pPr>
            <w:r>
              <w:t>绩效目标</w:t>
            </w:r>
          </w:p>
        </w:tc>
        <w:tc>
          <w:tcPr>
            <w:tcW w:w="14033" w:type="dxa"/>
            <w:gridSpan w:val="6"/>
            <w:vAlign w:val="center"/>
          </w:tcPr>
          <w:p w14:paraId="54F722A7">
            <w:pPr>
              <w:pStyle w:val="12"/>
            </w:pPr>
            <w:r>
              <w:t>1.保障落实建档立卡及家庭经济困难儿童资助所需资金，确保建档立卡等家庭经济困难幼儿优先获得资助</w:t>
            </w:r>
          </w:p>
          <w:p w14:paraId="0DE6846F">
            <w:pPr>
              <w:pStyle w:val="12"/>
            </w:pPr>
            <w:r>
              <w:t>2.保证本年度资助经费足额落实到位，符合享受资助条件的学生应助尽助。</w:t>
            </w:r>
          </w:p>
        </w:tc>
      </w:tr>
    </w:tbl>
    <w:p w14:paraId="0696E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B4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3CFA6">
            <w:pPr>
              <w:pStyle w:val="10"/>
            </w:pPr>
            <w:r>
              <w:t>一级指标</w:t>
            </w:r>
          </w:p>
        </w:tc>
        <w:tc>
          <w:tcPr>
            <w:tcW w:w="2268" w:type="dxa"/>
            <w:vAlign w:val="center"/>
          </w:tcPr>
          <w:p w14:paraId="68E197AB">
            <w:pPr>
              <w:pStyle w:val="10"/>
            </w:pPr>
            <w:r>
              <w:t>二级指标</w:t>
            </w:r>
          </w:p>
        </w:tc>
        <w:tc>
          <w:tcPr>
            <w:tcW w:w="2835" w:type="dxa"/>
            <w:vAlign w:val="center"/>
          </w:tcPr>
          <w:p w14:paraId="03EAF743">
            <w:pPr>
              <w:pStyle w:val="10"/>
            </w:pPr>
            <w:r>
              <w:t>三级指标</w:t>
            </w:r>
          </w:p>
        </w:tc>
        <w:tc>
          <w:tcPr>
            <w:tcW w:w="5386" w:type="dxa"/>
            <w:vAlign w:val="center"/>
          </w:tcPr>
          <w:p w14:paraId="337581AB">
            <w:pPr>
              <w:pStyle w:val="10"/>
            </w:pPr>
            <w:r>
              <w:t>绩效指标描述</w:t>
            </w:r>
          </w:p>
        </w:tc>
        <w:tc>
          <w:tcPr>
            <w:tcW w:w="2268" w:type="dxa"/>
            <w:vAlign w:val="center"/>
          </w:tcPr>
          <w:p w14:paraId="4FBAC561">
            <w:pPr>
              <w:pStyle w:val="10"/>
            </w:pPr>
            <w:r>
              <w:t>指标值</w:t>
            </w:r>
          </w:p>
        </w:tc>
        <w:tc>
          <w:tcPr>
            <w:tcW w:w="1276" w:type="dxa"/>
            <w:vAlign w:val="center"/>
          </w:tcPr>
          <w:p w14:paraId="58A528C0">
            <w:pPr>
              <w:pStyle w:val="10"/>
            </w:pPr>
            <w:r>
              <w:t>指标值确定依据</w:t>
            </w:r>
          </w:p>
        </w:tc>
      </w:tr>
      <w:tr w14:paraId="7D6A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138B8">
            <w:pPr>
              <w:pStyle w:val="13"/>
            </w:pPr>
            <w:r>
              <w:t>产出指标</w:t>
            </w:r>
          </w:p>
        </w:tc>
        <w:tc>
          <w:tcPr>
            <w:tcW w:w="2268" w:type="dxa"/>
            <w:vAlign w:val="center"/>
          </w:tcPr>
          <w:p w14:paraId="268B4685">
            <w:pPr>
              <w:pStyle w:val="12"/>
            </w:pPr>
            <w:r>
              <w:t>数量指标</w:t>
            </w:r>
          </w:p>
        </w:tc>
        <w:tc>
          <w:tcPr>
            <w:tcW w:w="2835" w:type="dxa"/>
            <w:vAlign w:val="center"/>
          </w:tcPr>
          <w:p w14:paraId="5A4A7F2E">
            <w:pPr>
              <w:pStyle w:val="12"/>
            </w:pPr>
            <w:r>
              <w:t>幼儿资助比例</w:t>
            </w:r>
          </w:p>
        </w:tc>
        <w:tc>
          <w:tcPr>
            <w:tcW w:w="5386" w:type="dxa"/>
            <w:vAlign w:val="center"/>
          </w:tcPr>
          <w:p w14:paraId="46B8EE9E">
            <w:pPr>
              <w:pStyle w:val="12"/>
            </w:pPr>
            <w:r>
              <w:t>按学前适龄在园儿童10%测算</w:t>
            </w:r>
          </w:p>
        </w:tc>
        <w:tc>
          <w:tcPr>
            <w:tcW w:w="2268" w:type="dxa"/>
            <w:vAlign w:val="center"/>
          </w:tcPr>
          <w:p w14:paraId="7DFE6DEE">
            <w:pPr>
              <w:pStyle w:val="12"/>
            </w:pPr>
            <w:r>
              <w:t>10%</w:t>
            </w:r>
          </w:p>
        </w:tc>
        <w:tc>
          <w:tcPr>
            <w:tcW w:w="1276" w:type="dxa"/>
            <w:vAlign w:val="center"/>
          </w:tcPr>
          <w:p w14:paraId="3166F291">
            <w:pPr>
              <w:pStyle w:val="12"/>
            </w:pPr>
            <w:r>
              <w:t>幼儿资助经费管理办法</w:t>
            </w:r>
          </w:p>
        </w:tc>
      </w:tr>
      <w:tr w14:paraId="3FEB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731BF"/>
        </w:tc>
        <w:tc>
          <w:tcPr>
            <w:tcW w:w="2268" w:type="dxa"/>
            <w:vAlign w:val="center"/>
          </w:tcPr>
          <w:p w14:paraId="715FF6A2">
            <w:pPr>
              <w:pStyle w:val="12"/>
            </w:pPr>
            <w:r>
              <w:t>质量指标</w:t>
            </w:r>
          </w:p>
        </w:tc>
        <w:tc>
          <w:tcPr>
            <w:tcW w:w="2835" w:type="dxa"/>
            <w:vAlign w:val="center"/>
          </w:tcPr>
          <w:p w14:paraId="1B131246">
            <w:pPr>
              <w:pStyle w:val="12"/>
            </w:pPr>
            <w:r>
              <w:t>资助资金使用率</w:t>
            </w:r>
          </w:p>
        </w:tc>
        <w:tc>
          <w:tcPr>
            <w:tcW w:w="5386" w:type="dxa"/>
            <w:vAlign w:val="center"/>
          </w:tcPr>
          <w:p w14:paraId="356F9A38">
            <w:pPr>
              <w:pStyle w:val="12"/>
            </w:pPr>
            <w:r>
              <w:t>符合享受资助条件的学生应助尽助</w:t>
            </w:r>
          </w:p>
        </w:tc>
        <w:tc>
          <w:tcPr>
            <w:tcW w:w="2268" w:type="dxa"/>
            <w:vAlign w:val="center"/>
          </w:tcPr>
          <w:p w14:paraId="0714AF1D">
            <w:pPr>
              <w:pStyle w:val="12"/>
            </w:pPr>
            <w:r>
              <w:t>100%</w:t>
            </w:r>
          </w:p>
        </w:tc>
        <w:tc>
          <w:tcPr>
            <w:tcW w:w="1276" w:type="dxa"/>
            <w:vAlign w:val="center"/>
          </w:tcPr>
          <w:p w14:paraId="677FFC5A">
            <w:pPr>
              <w:pStyle w:val="12"/>
            </w:pPr>
            <w:r>
              <w:t>幼儿资助经费管理办法</w:t>
            </w:r>
          </w:p>
        </w:tc>
      </w:tr>
      <w:tr w14:paraId="47912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5C6A5"/>
        </w:tc>
        <w:tc>
          <w:tcPr>
            <w:tcW w:w="2268" w:type="dxa"/>
            <w:vAlign w:val="center"/>
          </w:tcPr>
          <w:p w14:paraId="6A964F42">
            <w:pPr>
              <w:pStyle w:val="12"/>
            </w:pPr>
            <w:r>
              <w:t>时效指标</w:t>
            </w:r>
          </w:p>
        </w:tc>
        <w:tc>
          <w:tcPr>
            <w:tcW w:w="2835" w:type="dxa"/>
            <w:vAlign w:val="center"/>
          </w:tcPr>
          <w:p w14:paraId="377CBA96">
            <w:pPr>
              <w:pStyle w:val="12"/>
            </w:pPr>
            <w:r>
              <w:t>资金拨付率</w:t>
            </w:r>
          </w:p>
        </w:tc>
        <w:tc>
          <w:tcPr>
            <w:tcW w:w="5386" w:type="dxa"/>
            <w:vAlign w:val="center"/>
          </w:tcPr>
          <w:p w14:paraId="0CC768E9">
            <w:pPr>
              <w:pStyle w:val="12"/>
            </w:pPr>
            <w:r>
              <w:t>所有项目资金支付进度</w:t>
            </w:r>
          </w:p>
        </w:tc>
        <w:tc>
          <w:tcPr>
            <w:tcW w:w="2268" w:type="dxa"/>
            <w:vAlign w:val="center"/>
          </w:tcPr>
          <w:p w14:paraId="114116D4">
            <w:pPr>
              <w:pStyle w:val="12"/>
            </w:pPr>
            <w:r>
              <w:t>100%</w:t>
            </w:r>
          </w:p>
        </w:tc>
        <w:tc>
          <w:tcPr>
            <w:tcW w:w="1276" w:type="dxa"/>
            <w:vAlign w:val="center"/>
          </w:tcPr>
          <w:p w14:paraId="78EE3876">
            <w:pPr>
              <w:pStyle w:val="12"/>
            </w:pPr>
            <w:r>
              <w:t>幼儿资助经费管理办法</w:t>
            </w:r>
          </w:p>
        </w:tc>
      </w:tr>
      <w:tr w14:paraId="0B33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4B026"/>
        </w:tc>
        <w:tc>
          <w:tcPr>
            <w:tcW w:w="2268" w:type="dxa"/>
            <w:vAlign w:val="center"/>
          </w:tcPr>
          <w:p w14:paraId="5AB75E3B">
            <w:pPr>
              <w:pStyle w:val="12"/>
            </w:pPr>
            <w:r>
              <w:t>成本指标</w:t>
            </w:r>
          </w:p>
        </w:tc>
        <w:tc>
          <w:tcPr>
            <w:tcW w:w="2835" w:type="dxa"/>
            <w:vAlign w:val="center"/>
          </w:tcPr>
          <w:p w14:paraId="21B372DD">
            <w:pPr>
              <w:pStyle w:val="12"/>
            </w:pPr>
            <w:r>
              <w:t>幼儿园生均成本</w:t>
            </w:r>
          </w:p>
        </w:tc>
        <w:tc>
          <w:tcPr>
            <w:tcW w:w="5386" w:type="dxa"/>
            <w:vAlign w:val="center"/>
          </w:tcPr>
          <w:p w14:paraId="6D83060A">
            <w:pPr>
              <w:pStyle w:val="12"/>
            </w:pPr>
            <w:r>
              <w:t>按照幼儿园资助标准1000元/生/年</w:t>
            </w:r>
          </w:p>
        </w:tc>
        <w:tc>
          <w:tcPr>
            <w:tcW w:w="2268" w:type="dxa"/>
            <w:vAlign w:val="center"/>
          </w:tcPr>
          <w:p w14:paraId="4D97B0B6">
            <w:pPr>
              <w:pStyle w:val="12"/>
            </w:pPr>
            <w:r>
              <w:t>1000元</w:t>
            </w:r>
          </w:p>
        </w:tc>
        <w:tc>
          <w:tcPr>
            <w:tcW w:w="1276" w:type="dxa"/>
            <w:vAlign w:val="center"/>
          </w:tcPr>
          <w:p w14:paraId="0FDC0432">
            <w:pPr>
              <w:pStyle w:val="12"/>
            </w:pPr>
            <w:r>
              <w:t>幼儿资助经费管理办法</w:t>
            </w:r>
          </w:p>
        </w:tc>
      </w:tr>
      <w:tr w14:paraId="63BE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63E0C">
            <w:pPr>
              <w:pStyle w:val="13"/>
            </w:pPr>
            <w:r>
              <w:t>效益指标</w:t>
            </w:r>
          </w:p>
        </w:tc>
        <w:tc>
          <w:tcPr>
            <w:tcW w:w="2268" w:type="dxa"/>
            <w:vAlign w:val="center"/>
          </w:tcPr>
          <w:p w14:paraId="7D3A9D86">
            <w:pPr>
              <w:pStyle w:val="12"/>
            </w:pPr>
            <w:r>
              <w:t>可持续影响指标</w:t>
            </w:r>
          </w:p>
        </w:tc>
        <w:tc>
          <w:tcPr>
            <w:tcW w:w="2835" w:type="dxa"/>
            <w:vAlign w:val="center"/>
          </w:tcPr>
          <w:p w14:paraId="7D64610B">
            <w:pPr>
              <w:pStyle w:val="12"/>
            </w:pPr>
            <w:r>
              <w:t>幼儿园正常运转</w:t>
            </w:r>
          </w:p>
        </w:tc>
        <w:tc>
          <w:tcPr>
            <w:tcW w:w="5386" w:type="dxa"/>
            <w:vAlign w:val="center"/>
          </w:tcPr>
          <w:p w14:paraId="0206E975">
            <w:pPr>
              <w:pStyle w:val="12"/>
            </w:pPr>
            <w:r>
              <w:t>幼儿受教育年限</w:t>
            </w:r>
          </w:p>
        </w:tc>
        <w:tc>
          <w:tcPr>
            <w:tcW w:w="2268" w:type="dxa"/>
            <w:vAlign w:val="center"/>
          </w:tcPr>
          <w:p w14:paraId="5C80CD87">
            <w:pPr>
              <w:pStyle w:val="12"/>
            </w:pPr>
            <w:r>
              <w:t>3年</w:t>
            </w:r>
          </w:p>
        </w:tc>
        <w:tc>
          <w:tcPr>
            <w:tcW w:w="1276" w:type="dxa"/>
            <w:vAlign w:val="center"/>
          </w:tcPr>
          <w:p w14:paraId="6215A9D2">
            <w:pPr>
              <w:pStyle w:val="12"/>
            </w:pPr>
            <w:r>
              <w:t>幼儿资助经费管理办法</w:t>
            </w:r>
          </w:p>
        </w:tc>
      </w:tr>
      <w:tr w14:paraId="60D6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6A60E">
            <w:pPr>
              <w:pStyle w:val="13"/>
            </w:pPr>
            <w:r>
              <w:t>满意度指标</w:t>
            </w:r>
          </w:p>
        </w:tc>
        <w:tc>
          <w:tcPr>
            <w:tcW w:w="2268" w:type="dxa"/>
            <w:vAlign w:val="center"/>
          </w:tcPr>
          <w:p w14:paraId="33E13362">
            <w:pPr>
              <w:pStyle w:val="12"/>
            </w:pPr>
            <w:r>
              <w:t>服务对象满意度指标</w:t>
            </w:r>
          </w:p>
        </w:tc>
        <w:tc>
          <w:tcPr>
            <w:tcW w:w="2835" w:type="dxa"/>
            <w:vAlign w:val="center"/>
          </w:tcPr>
          <w:p w14:paraId="6323B995">
            <w:pPr>
              <w:pStyle w:val="12"/>
            </w:pPr>
            <w:r>
              <w:t>受益幼儿家长及调查满意度</w:t>
            </w:r>
          </w:p>
        </w:tc>
        <w:tc>
          <w:tcPr>
            <w:tcW w:w="5386" w:type="dxa"/>
            <w:vAlign w:val="center"/>
          </w:tcPr>
          <w:p w14:paraId="17B4566E">
            <w:pPr>
              <w:pStyle w:val="12"/>
            </w:pPr>
            <w:r>
              <w:t>学生、教师及家长对学校保教保育工作满意度情况</w:t>
            </w:r>
          </w:p>
        </w:tc>
        <w:tc>
          <w:tcPr>
            <w:tcW w:w="2268" w:type="dxa"/>
            <w:vAlign w:val="center"/>
          </w:tcPr>
          <w:p w14:paraId="1A9A044B">
            <w:pPr>
              <w:pStyle w:val="12"/>
            </w:pPr>
            <w:r>
              <w:t>≥95%</w:t>
            </w:r>
          </w:p>
        </w:tc>
        <w:tc>
          <w:tcPr>
            <w:tcW w:w="1276" w:type="dxa"/>
            <w:vAlign w:val="center"/>
          </w:tcPr>
          <w:p w14:paraId="15301DE0">
            <w:pPr>
              <w:pStyle w:val="12"/>
            </w:pPr>
            <w:r>
              <w:t>幼儿资助经费管理办法</w:t>
            </w:r>
          </w:p>
        </w:tc>
      </w:tr>
    </w:tbl>
    <w:p w14:paraId="65AA0992">
      <w:pPr>
        <w:sectPr>
          <w:pgSz w:w="16840" w:h="11900" w:orient="landscape"/>
          <w:pgMar w:top="1361" w:right="1020" w:bottom="1134" w:left="1020" w:header="720" w:footer="720" w:gutter="0"/>
          <w:cols w:space="720" w:num="1"/>
        </w:sectPr>
      </w:pPr>
    </w:p>
    <w:p w14:paraId="5DD19EC5">
      <w:pPr>
        <w:spacing w:before="0" w:after="0"/>
        <w:ind w:firstLine="560"/>
        <w:jc w:val="left"/>
        <w:outlineLvl w:val="9"/>
      </w:pPr>
      <w:r>
        <w:rPr>
          <w:rFonts w:ascii="方正仿宋_GBK" w:hAnsi="方正仿宋_GBK" w:eastAsia="方正仿宋_GBK" w:cs="方正仿宋_GBK"/>
          <w:b/>
          <w:color w:val="000000"/>
          <w:sz w:val="28"/>
        </w:rPr>
        <w:t>31、县级资金/2024年山口校区学前教育公用经费绩效目标表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D3BA8">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E7DD5">
            <w:pPr>
              <w:pStyle w:val="11"/>
            </w:pPr>
            <w:r>
              <w:t>单位：万元</w:t>
            </w:r>
          </w:p>
        </w:tc>
      </w:tr>
      <w:tr w14:paraId="39FC4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0135E">
            <w:pPr>
              <w:pStyle w:val="10"/>
            </w:pPr>
            <w:r>
              <w:t>项目编码</w:t>
            </w:r>
          </w:p>
        </w:tc>
        <w:tc>
          <w:tcPr>
            <w:tcW w:w="5103" w:type="dxa"/>
            <w:gridSpan w:val="2"/>
            <w:vAlign w:val="center"/>
          </w:tcPr>
          <w:p w14:paraId="6DE94CE7">
            <w:pPr>
              <w:pStyle w:val="12"/>
            </w:pPr>
            <w:r>
              <w:t>13052526P008757101361</w:t>
            </w:r>
          </w:p>
        </w:tc>
        <w:tc>
          <w:tcPr>
            <w:tcW w:w="2835" w:type="dxa"/>
            <w:vAlign w:val="center"/>
          </w:tcPr>
          <w:p w14:paraId="127BD57A">
            <w:pPr>
              <w:pStyle w:val="10"/>
            </w:pPr>
            <w:r>
              <w:t>项目名称</w:t>
            </w:r>
          </w:p>
        </w:tc>
        <w:tc>
          <w:tcPr>
            <w:tcW w:w="6095" w:type="dxa"/>
            <w:gridSpan w:val="3"/>
            <w:vAlign w:val="center"/>
          </w:tcPr>
          <w:p w14:paraId="75673CFA">
            <w:pPr>
              <w:pStyle w:val="12"/>
            </w:pPr>
            <w:r>
              <w:t>县级资金/2024年山口校区学前教育公用经费</w:t>
            </w:r>
          </w:p>
        </w:tc>
      </w:tr>
      <w:tr w14:paraId="39468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E87CA">
            <w:pPr>
              <w:pStyle w:val="10"/>
            </w:pPr>
            <w:r>
              <w:t>预算规模及资金用途</w:t>
            </w:r>
          </w:p>
        </w:tc>
        <w:tc>
          <w:tcPr>
            <w:tcW w:w="2268" w:type="dxa"/>
            <w:vAlign w:val="center"/>
          </w:tcPr>
          <w:p w14:paraId="59384329">
            <w:pPr>
              <w:pStyle w:val="10"/>
            </w:pPr>
            <w:r>
              <w:t>预算数</w:t>
            </w:r>
          </w:p>
        </w:tc>
        <w:tc>
          <w:tcPr>
            <w:tcW w:w="2835" w:type="dxa"/>
            <w:vAlign w:val="center"/>
          </w:tcPr>
          <w:p w14:paraId="190CA872">
            <w:pPr>
              <w:pStyle w:val="12"/>
            </w:pPr>
            <w:r>
              <w:t>56.43</w:t>
            </w:r>
          </w:p>
        </w:tc>
        <w:tc>
          <w:tcPr>
            <w:tcW w:w="2835" w:type="dxa"/>
            <w:vAlign w:val="center"/>
          </w:tcPr>
          <w:p w14:paraId="5062166B">
            <w:pPr>
              <w:pStyle w:val="10"/>
            </w:pPr>
            <w:r>
              <w:t>其中：财政    资金</w:t>
            </w:r>
          </w:p>
        </w:tc>
        <w:tc>
          <w:tcPr>
            <w:tcW w:w="2551" w:type="dxa"/>
            <w:vAlign w:val="center"/>
          </w:tcPr>
          <w:p w14:paraId="18D7FAAD">
            <w:pPr>
              <w:pStyle w:val="12"/>
            </w:pPr>
            <w:r>
              <w:t>56.43</w:t>
            </w:r>
          </w:p>
        </w:tc>
        <w:tc>
          <w:tcPr>
            <w:tcW w:w="2268" w:type="dxa"/>
            <w:vAlign w:val="center"/>
          </w:tcPr>
          <w:p w14:paraId="121968E4">
            <w:pPr>
              <w:pStyle w:val="10"/>
            </w:pPr>
            <w:r>
              <w:t>其他资金</w:t>
            </w:r>
          </w:p>
        </w:tc>
        <w:tc>
          <w:tcPr>
            <w:tcW w:w="1276" w:type="dxa"/>
            <w:vAlign w:val="center"/>
          </w:tcPr>
          <w:p w14:paraId="43F0631B">
            <w:pPr>
              <w:pStyle w:val="12"/>
            </w:pPr>
            <w:r>
              <w:t xml:space="preserve"> </w:t>
            </w:r>
          </w:p>
        </w:tc>
      </w:tr>
      <w:tr w14:paraId="55C50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CCFF3"/>
        </w:tc>
        <w:tc>
          <w:tcPr>
            <w:tcW w:w="14033" w:type="dxa"/>
            <w:gridSpan w:val="6"/>
            <w:vAlign w:val="center"/>
          </w:tcPr>
          <w:p w14:paraId="4DEBE379">
            <w:pPr>
              <w:pStyle w:val="12"/>
            </w:pPr>
            <w:r>
              <w:t xml:space="preserve"> 保障幼儿园正常运转，完成教育教学活动和其他日常工作任务等方面的费用支出。</w:t>
            </w:r>
          </w:p>
        </w:tc>
      </w:tr>
      <w:tr w14:paraId="42925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257F5">
            <w:pPr>
              <w:pStyle w:val="10"/>
            </w:pPr>
            <w:r>
              <w:t>资金支出计划（%）</w:t>
            </w:r>
          </w:p>
        </w:tc>
        <w:tc>
          <w:tcPr>
            <w:tcW w:w="5103" w:type="dxa"/>
            <w:gridSpan w:val="2"/>
            <w:vAlign w:val="center"/>
          </w:tcPr>
          <w:p w14:paraId="23462A81">
            <w:pPr>
              <w:pStyle w:val="10"/>
            </w:pPr>
            <w:r>
              <w:t>3月底</w:t>
            </w:r>
          </w:p>
        </w:tc>
        <w:tc>
          <w:tcPr>
            <w:tcW w:w="2835" w:type="dxa"/>
            <w:vAlign w:val="center"/>
          </w:tcPr>
          <w:p w14:paraId="6EE35E5D">
            <w:pPr>
              <w:pStyle w:val="10"/>
            </w:pPr>
            <w:r>
              <w:t>6月底</w:t>
            </w:r>
          </w:p>
        </w:tc>
        <w:tc>
          <w:tcPr>
            <w:tcW w:w="2551" w:type="dxa"/>
            <w:vAlign w:val="center"/>
          </w:tcPr>
          <w:p w14:paraId="3123AF40">
            <w:pPr>
              <w:pStyle w:val="10"/>
            </w:pPr>
            <w:r>
              <w:t>10月底</w:t>
            </w:r>
          </w:p>
        </w:tc>
        <w:tc>
          <w:tcPr>
            <w:tcW w:w="3544" w:type="dxa"/>
            <w:gridSpan w:val="2"/>
            <w:vAlign w:val="center"/>
          </w:tcPr>
          <w:p w14:paraId="036D2F02">
            <w:pPr>
              <w:pStyle w:val="10"/>
            </w:pPr>
            <w:r>
              <w:t>12月底</w:t>
            </w:r>
          </w:p>
        </w:tc>
      </w:tr>
      <w:tr w14:paraId="50995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DA87A"/>
        </w:tc>
        <w:tc>
          <w:tcPr>
            <w:tcW w:w="5103" w:type="dxa"/>
            <w:gridSpan w:val="2"/>
            <w:vAlign w:val="center"/>
          </w:tcPr>
          <w:p w14:paraId="4B013350">
            <w:pPr>
              <w:pStyle w:val="13"/>
            </w:pPr>
            <w:r>
              <w:t>25%</w:t>
            </w:r>
          </w:p>
        </w:tc>
        <w:tc>
          <w:tcPr>
            <w:tcW w:w="2835" w:type="dxa"/>
            <w:vAlign w:val="center"/>
          </w:tcPr>
          <w:p w14:paraId="0DD7F7B2">
            <w:pPr>
              <w:pStyle w:val="13"/>
            </w:pPr>
            <w:r>
              <w:t>50%</w:t>
            </w:r>
          </w:p>
        </w:tc>
        <w:tc>
          <w:tcPr>
            <w:tcW w:w="2551" w:type="dxa"/>
            <w:vAlign w:val="center"/>
          </w:tcPr>
          <w:p w14:paraId="4D6E93EA">
            <w:pPr>
              <w:pStyle w:val="13"/>
            </w:pPr>
            <w:r>
              <w:t>75%</w:t>
            </w:r>
          </w:p>
        </w:tc>
        <w:tc>
          <w:tcPr>
            <w:tcW w:w="3544" w:type="dxa"/>
            <w:gridSpan w:val="2"/>
            <w:vAlign w:val="center"/>
          </w:tcPr>
          <w:p w14:paraId="53D05A70">
            <w:pPr>
              <w:pStyle w:val="13"/>
            </w:pPr>
            <w:r>
              <w:t>100%</w:t>
            </w:r>
          </w:p>
        </w:tc>
      </w:tr>
      <w:tr w14:paraId="6DAB4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924BD">
            <w:pPr>
              <w:pStyle w:val="10"/>
            </w:pPr>
            <w:r>
              <w:t>绩效目标</w:t>
            </w:r>
          </w:p>
        </w:tc>
        <w:tc>
          <w:tcPr>
            <w:tcW w:w="14033" w:type="dxa"/>
            <w:gridSpan w:val="6"/>
            <w:vAlign w:val="center"/>
          </w:tcPr>
          <w:p w14:paraId="2F84B932">
            <w:pPr>
              <w:pStyle w:val="12"/>
            </w:pPr>
            <w:r>
              <w:t>1.按季度分批次拨付公用经费资金，资金拨付率达到100%。</w:t>
            </w:r>
            <w:r>
              <w:tab/>
            </w:r>
            <w:r>
              <w:tab/>
            </w:r>
          </w:p>
          <w:p w14:paraId="55D06698">
            <w:pPr>
              <w:pStyle w:val="12"/>
            </w:pPr>
            <w:r>
              <w:t>2. 保障幼儿园正常运转，完成教育教学活动和其他日常工作任务等方面的费用支出。</w:t>
            </w:r>
            <w:r>
              <w:tab/>
            </w:r>
            <w:r>
              <w:tab/>
            </w:r>
          </w:p>
        </w:tc>
      </w:tr>
    </w:tbl>
    <w:p w14:paraId="2645D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5C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E32CF">
            <w:pPr>
              <w:pStyle w:val="10"/>
            </w:pPr>
            <w:r>
              <w:t>一级指标</w:t>
            </w:r>
          </w:p>
        </w:tc>
        <w:tc>
          <w:tcPr>
            <w:tcW w:w="2268" w:type="dxa"/>
            <w:vAlign w:val="center"/>
          </w:tcPr>
          <w:p w14:paraId="7BEFFD3C">
            <w:pPr>
              <w:pStyle w:val="10"/>
            </w:pPr>
            <w:r>
              <w:t>二级指标</w:t>
            </w:r>
          </w:p>
        </w:tc>
        <w:tc>
          <w:tcPr>
            <w:tcW w:w="2835" w:type="dxa"/>
            <w:vAlign w:val="center"/>
          </w:tcPr>
          <w:p w14:paraId="356280B4">
            <w:pPr>
              <w:pStyle w:val="10"/>
            </w:pPr>
            <w:r>
              <w:t>三级指标</w:t>
            </w:r>
          </w:p>
        </w:tc>
        <w:tc>
          <w:tcPr>
            <w:tcW w:w="5386" w:type="dxa"/>
            <w:vAlign w:val="center"/>
          </w:tcPr>
          <w:p w14:paraId="656C2B1D">
            <w:pPr>
              <w:pStyle w:val="10"/>
            </w:pPr>
            <w:r>
              <w:t>绩效指标描述</w:t>
            </w:r>
          </w:p>
        </w:tc>
        <w:tc>
          <w:tcPr>
            <w:tcW w:w="2268" w:type="dxa"/>
            <w:vAlign w:val="center"/>
          </w:tcPr>
          <w:p w14:paraId="75D321D3">
            <w:pPr>
              <w:pStyle w:val="10"/>
            </w:pPr>
            <w:r>
              <w:t>指标值</w:t>
            </w:r>
          </w:p>
        </w:tc>
        <w:tc>
          <w:tcPr>
            <w:tcW w:w="1276" w:type="dxa"/>
            <w:vAlign w:val="center"/>
          </w:tcPr>
          <w:p w14:paraId="47F6ED44">
            <w:pPr>
              <w:pStyle w:val="10"/>
            </w:pPr>
            <w:r>
              <w:t>指标值确定依据</w:t>
            </w:r>
          </w:p>
        </w:tc>
      </w:tr>
      <w:tr w14:paraId="38B0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683F6">
            <w:pPr>
              <w:pStyle w:val="13"/>
            </w:pPr>
            <w:r>
              <w:t>产出指标</w:t>
            </w:r>
          </w:p>
        </w:tc>
        <w:tc>
          <w:tcPr>
            <w:tcW w:w="2268" w:type="dxa"/>
            <w:vAlign w:val="center"/>
          </w:tcPr>
          <w:p w14:paraId="4B8CD018">
            <w:pPr>
              <w:pStyle w:val="12"/>
            </w:pPr>
            <w:r>
              <w:t>数量指标</w:t>
            </w:r>
          </w:p>
        </w:tc>
        <w:tc>
          <w:tcPr>
            <w:tcW w:w="2835" w:type="dxa"/>
            <w:vAlign w:val="center"/>
          </w:tcPr>
          <w:p w14:paraId="223BAE71">
            <w:pPr>
              <w:pStyle w:val="12"/>
            </w:pPr>
            <w:r>
              <w:t>适龄在园生</w:t>
            </w:r>
          </w:p>
        </w:tc>
        <w:tc>
          <w:tcPr>
            <w:tcW w:w="5386" w:type="dxa"/>
            <w:vAlign w:val="center"/>
          </w:tcPr>
          <w:p w14:paraId="07453C10">
            <w:pPr>
              <w:pStyle w:val="12"/>
            </w:pPr>
            <w:r>
              <w:t>适龄在园学生人数</w:t>
            </w:r>
          </w:p>
        </w:tc>
        <w:tc>
          <w:tcPr>
            <w:tcW w:w="2268" w:type="dxa"/>
            <w:vAlign w:val="center"/>
          </w:tcPr>
          <w:p w14:paraId="2618646C">
            <w:pPr>
              <w:pStyle w:val="12"/>
            </w:pPr>
            <w:r>
              <w:t>1254人</w:t>
            </w:r>
          </w:p>
        </w:tc>
        <w:tc>
          <w:tcPr>
            <w:tcW w:w="1276" w:type="dxa"/>
            <w:vAlign w:val="center"/>
          </w:tcPr>
          <w:p w14:paraId="5A83C1E3">
            <w:pPr>
              <w:pStyle w:val="12"/>
            </w:pPr>
            <w:r>
              <w:t>学前公用经费管理办法</w:t>
            </w:r>
          </w:p>
        </w:tc>
      </w:tr>
      <w:tr w14:paraId="13D3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A5E9C"/>
        </w:tc>
        <w:tc>
          <w:tcPr>
            <w:tcW w:w="2268" w:type="dxa"/>
            <w:vAlign w:val="center"/>
          </w:tcPr>
          <w:p w14:paraId="3678CD6F">
            <w:pPr>
              <w:pStyle w:val="12"/>
            </w:pPr>
            <w:r>
              <w:t>质量指标</w:t>
            </w:r>
          </w:p>
        </w:tc>
        <w:tc>
          <w:tcPr>
            <w:tcW w:w="2835" w:type="dxa"/>
            <w:vAlign w:val="center"/>
          </w:tcPr>
          <w:p w14:paraId="53FEE294">
            <w:pPr>
              <w:pStyle w:val="12"/>
            </w:pPr>
            <w:r>
              <w:t>预算控制率</w:t>
            </w:r>
          </w:p>
        </w:tc>
        <w:tc>
          <w:tcPr>
            <w:tcW w:w="5386" w:type="dxa"/>
            <w:vAlign w:val="center"/>
          </w:tcPr>
          <w:p w14:paraId="5C0F974D">
            <w:pPr>
              <w:pStyle w:val="12"/>
            </w:pPr>
            <w:r>
              <w:t>预算执行</w:t>
            </w:r>
          </w:p>
        </w:tc>
        <w:tc>
          <w:tcPr>
            <w:tcW w:w="2268" w:type="dxa"/>
            <w:vAlign w:val="center"/>
          </w:tcPr>
          <w:p w14:paraId="1CB2318C">
            <w:pPr>
              <w:pStyle w:val="12"/>
            </w:pPr>
            <w:r>
              <w:t>≥95%</w:t>
            </w:r>
          </w:p>
        </w:tc>
        <w:tc>
          <w:tcPr>
            <w:tcW w:w="1276" w:type="dxa"/>
            <w:vAlign w:val="center"/>
          </w:tcPr>
          <w:p w14:paraId="2F35C7AC">
            <w:pPr>
              <w:pStyle w:val="12"/>
            </w:pPr>
            <w:r>
              <w:t>学前公用经费管理办法</w:t>
            </w:r>
          </w:p>
        </w:tc>
      </w:tr>
      <w:tr w14:paraId="660A6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AACD7"/>
        </w:tc>
        <w:tc>
          <w:tcPr>
            <w:tcW w:w="2268" w:type="dxa"/>
            <w:vAlign w:val="center"/>
          </w:tcPr>
          <w:p w14:paraId="758C315A">
            <w:pPr>
              <w:pStyle w:val="12"/>
            </w:pPr>
            <w:r>
              <w:t>时效指标</w:t>
            </w:r>
          </w:p>
        </w:tc>
        <w:tc>
          <w:tcPr>
            <w:tcW w:w="2835" w:type="dxa"/>
            <w:vAlign w:val="center"/>
          </w:tcPr>
          <w:p w14:paraId="5F4A5B0E">
            <w:pPr>
              <w:pStyle w:val="12"/>
            </w:pPr>
            <w:r>
              <w:t>资金支付率</w:t>
            </w:r>
          </w:p>
        </w:tc>
        <w:tc>
          <w:tcPr>
            <w:tcW w:w="5386" w:type="dxa"/>
            <w:vAlign w:val="center"/>
          </w:tcPr>
          <w:p w14:paraId="59760479">
            <w:pPr>
              <w:pStyle w:val="12"/>
            </w:pPr>
            <w:r>
              <w:t>按照序时进度完成资金支付</w:t>
            </w:r>
          </w:p>
        </w:tc>
        <w:tc>
          <w:tcPr>
            <w:tcW w:w="2268" w:type="dxa"/>
            <w:vAlign w:val="center"/>
          </w:tcPr>
          <w:p w14:paraId="7D73C7E9">
            <w:pPr>
              <w:pStyle w:val="12"/>
            </w:pPr>
            <w:r>
              <w:t>100%</w:t>
            </w:r>
          </w:p>
        </w:tc>
        <w:tc>
          <w:tcPr>
            <w:tcW w:w="1276" w:type="dxa"/>
            <w:vAlign w:val="center"/>
          </w:tcPr>
          <w:p w14:paraId="4591951B">
            <w:pPr>
              <w:pStyle w:val="12"/>
            </w:pPr>
            <w:r>
              <w:t>学前公用经费管理办法</w:t>
            </w:r>
          </w:p>
        </w:tc>
      </w:tr>
      <w:tr w14:paraId="70F6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DAEBF"/>
        </w:tc>
        <w:tc>
          <w:tcPr>
            <w:tcW w:w="2268" w:type="dxa"/>
            <w:vAlign w:val="center"/>
          </w:tcPr>
          <w:p w14:paraId="27F05519">
            <w:pPr>
              <w:pStyle w:val="12"/>
            </w:pPr>
            <w:r>
              <w:t>成本指标</w:t>
            </w:r>
          </w:p>
        </w:tc>
        <w:tc>
          <w:tcPr>
            <w:tcW w:w="2835" w:type="dxa"/>
            <w:vAlign w:val="center"/>
          </w:tcPr>
          <w:p w14:paraId="6AE5844A">
            <w:pPr>
              <w:pStyle w:val="12"/>
            </w:pPr>
            <w:r>
              <w:t>生均拨款标准</w:t>
            </w:r>
          </w:p>
        </w:tc>
        <w:tc>
          <w:tcPr>
            <w:tcW w:w="5386" w:type="dxa"/>
            <w:vAlign w:val="center"/>
          </w:tcPr>
          <w:p w14:paraId="4EC5F4F6">
            <w:pPr>
              <w:pStyle w:val="12"/>
            </w:pPr>
            <w:r>
              <w:t>学前：（基本标准600元/生/学年）</w:t>
            </w:r>
          </w:p>
        </w:tc>
        <w:tc>
          <w:tcPr>
            <w:tcW w:w="2268" w:type="dxa"/>
            <w:vAlign w:val="center"/>
          </w:tcPr>
          <w:p w14:paraId="5EF629B0">
            <w:pPr>
              <w:pStyle w:val="12"/>
            </w:pPr>
            <w:r>
              <w:t>600元</w:t>
            </w:r>
          </w:p>
        </w:tc>
        <w:tc>
          <w:tcPr>
            <w:tcW w:w="1276" w:type="dxa"/>
            <w:vAlign w:val="center"/>
          </w:tcPr>
          <w:p w14:paraId="72FE1951">
            <w:pPr>
              <w:pStyle w:val="12"/>
            </w:pPr>
            <w:r>
              <w:t>学前公用经费管理办法</w:t>
            </w:r>
          </w:p>
        </w:tc>
      </w:tr>
      <w:tr w14:paraId="4AEB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1CA3A">
            <w:pPr>
              <w:pStyle w:val="13"/>
            </w:pPr>
            <w:r>
              <w:t>效益指标</w:t>
            </w:r>
          </w:p>
        </w:tc>
        <w:tc>
          <w:tcPr>
            <w:tcW w:w="2268" w:type="dxa"/>
            <w:vAlign w:val="center"/>
          </w:tcPr>
          <w:p w14:paraId="7D790557">
            <w:pPr>
              <w:pStyle w:val="12"/>
            </w:pPr>
            <w:r>
              <w:t>可持续影响指标</w:t>
            </w:r>
          </w:p>
        </w:tc>
        <w:tc>
          <w:tcPr>
            <w:tcW w:w="2835" w:type="dxa"/>
            <w:vAlign w:val="center"/>
          </w:tcPr>
          <w:p w14:paraId="3D994562">
            <w:pPr>
              <w:pStyle w:val="12"/>
            </w:pPr>
            <w:r>
              <w:t>学校运转得到提升</w:t>
            </w:r>
          </w:p>
        </w:tc>
        <w:tc>
          <w:tcPr>
            <w:tcW w:w="5386" w:type="dxa"/>
            <w:vAlign w:val="center"/>
          </w:tcPr>
          <w:p w14:paraId="310CC3A4">
            <w:pPr>
              <w:pStyle w:val="12"/>
            </w:pPr>
            <w:r>
              <w:t>幼儿受教育年限</w:t>
            </w:r>
          </w:p>
        </w:tc>
        <w:tc>
          <w:tcPr>
            <w:tcW w:w="2268" w:type="dxa"/>
            <w:vAlign w:val="center"/>
          </w:tcPr>
          <w:p w14:paraId="00074733">
            <w:pPr>
              <w:pStyle w:val="12"/>
            </w:pPr>
            <w:r>
              <w:t>3年</w:t>
            </w:r>
          </w:p>
        </w:tc>
        <w:tc>
          <w:tcPr>
            <w:tcW w:w="1276" w:type="dxa"/>
            <w:vAlign w:val="center"/>
          </w:tcPr>
          <w:p w14:paraId="4A826F1D">
            <w:pPr>
              <w:pStyle w:val="12"/>
            </w:pPr>
            <w:r>
              <w:t>学前公用经费管理办法</w:t>
            </w:r>
          </w:p>
        </w:tc>
      </w:tr>
      <w:tr w14:paraId="73DE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FD617">
            <w:pPr>
              <w:pStyle w:val="13"/>
            </w:pPr>
            <w:r>
              <w:t>满意度指标</w:t>
            </w:r>
          </w:p>
        </w:tc>
        <w:tc>
          <w:tcPr>
            <w:tcW w:w="2268" w:type="dxa"/>
            <w:vAlign w:val="center"/>
          </w:tcPr>
          <w:p w14:paraId="7900F438">
            <w:pPr>
              <w:pStyle w:val="12"/>
            </w:pPr>
            <w:r>
              <w:t>服务对象满意度指标</w:t>
            </w:r>
          </w:p>
        </w:tc>
        <w:tc>
          <w:tcPr>
            <w:tcW w:w="2835" w:type="dxa"/>
            <w:vAlign w:val="center"/>
          </w:tcPr>
          <w:p w14:paraId="4997BDFE">
            <w:pPr>
              <w:pStyle w:val="12"/>
            </w:pPr>
            <w:r>
              <w:t>受益学生家长及调查满意度</w:t>
            </w:r>
          </w:p>
        </w:tc>
        <w:tc>
          <w:tcPr>
            <w:tcW w:w="5386" w:type="dxa"/>
            <w:vAlign w:val="center"/>
          </w:tcPr>
          <w:p w14:paraId="60F78ADC">
            <w:pPr>
              <w:pStyle w:val="12"/>
            </w:pPr>
            <w:r>
              <w:t>学生、教师及家长对学校保教保育工作满意度情况</w:t>
            </w:r>
          </w:p>
        </w:tc>
        <w:tc>
          <w:tcPr>
            <w:tcW w:w="2268" w:type="dxa"/>
            <w:vAlign w:val="center"/>
          </w:tcPr>
          <w:p w14:paraId="1386985C">
            <w:pPr>
              <w:pStyle w:val="12"/>
            </w:pPr>
            <w:r>
              <w:t>≥95%</w:t>
            </w:r>
          </w:p>
        </w:tc>
        <w:tc>
          <w:tcPr>
            <w:tcW w:w="1276" w:type="dxa"/>
            <w:vAlign w:val="center"/>
          </w:tcPr>
          <w:p w14:paraId="70E4A13D">
            <w:pPr>
              <w:pStyle w:val="12"/>
            </w:pPr>
            <w:r>
              <w:t>群众测评</w:t>
            </w:r>
          </w:p>
        </w:tc>
      </w:tr>
    </w:tbl>
    <w:p w14:paraId="5E87F778">
      <w:pPr>
        <w:sectPr>
          <w:pgSz w:w="16840" w:h="11900" w:orient="landscape"/>
          <w:pgMar w:top="1361" w:right="1020" w:bottom="1134" w:left="1020" w:header="720" w:footer="720" w:gutter="0"/>
          <w:cols w:space="720" w:num="1"/>
        </w:sectPr>
      </w:pPr>
    </w:p>
    <w:p w14:paraId="5F9D56C9">
      <w:pPr>
        <w:spacing w:before="0" w:after="0"/>
        <w:ind w:firstLine="560"/>
        <w:jc w:val="left"/>
        <w:outlineLvl w:val="9"/>
      </w:pPr>
      <w:r>
        <w:rPr>
          <w:rFonts w:ascii="方正仿宋_GBK" w:hAnsi="方正仿宋_GBK" w:eastAsia="方正仿宋_GBK" w:cs="方正仿宋_GBK"/>
          <w:b/>
          <w:color w:val="000000"/>
          <w:sz w:val="28"/>
        </w:rPr>
        <w:t>32、县级资金/2026年山口校区学前教育公用经费绩效目标表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E7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270A7">
            <w:pPr>
              <w:pStyle w:val="11"/>
            </w:pPr>
            <w:r>
              <w:t>单位：万元</w:t>
            </w:r>
          </w:p>
        </w:tc>
      </w:tr>
      <w:tr w14:paraId="13B6A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D9D0F">
            <w:pPr>
              <w:pStyle w:val="10"/>
            </w:pPr>
            <w:r>
              <w:t>项目编码</w:t>
            </w:r>
          </w:p>
        </w:tc>
        <w:tc>
          <w:tcPr>
            <w:tcW w:w="5103" w:type="dxa"/>
            <w:gridSpan w:val="2"/>
            <w:vAlign w:val="center"/>
          </w:tcPr>
          <w:p w14:paraId="7E2D8CFD">
            <w:pPr>
              <w:pStyle w:val="12"/>
            </w:pPr>
            <w:r>
              <w:t>13052526P00875710122N</w:t>
            </w:r>
          </w:p>
        </w:tc>
        <w:tc>
          <w:tcPr>
            <w:tcW w:w="2835" w:type="dxa"/>
            <w:vAlign w:val="center"/>
          </w:tcPr>
          <w:p w14:paraId="17115523">
            <w:pPr>
              <w:pStyle w:val="10"/>
            </w:pPr>
            <w:r>
              <w:t>项目名称</w:t>
            </w:r>
          </w:p>
        </w:tc>
        <w:tc>
          <w:tcPr>
            <w:tcW w:w="6095" w:type="dxa"/>
            <w:gridSpan w:val="3"/>
            <w:vAlign w:val="center"/>
          </w:tcPr>
          <w:p w14:paraId="15882EB0">
            <w:pPr>
              <w:pStyle w:val="12"/>
            </w:pPr>
            <w:r>
              <w:t>县级资金/2026年山口校区学前教育公用经费</w:t>
            </w:r>
          </w:p>
        </w:tc>
      </w:tr>
      <w:tr w14:paraId="30800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D3593">
            <w:pPr>
              <w:pStyle w:val="10"/>
            </w:pPr>
            <w:r>
              <w:t>预算规模及资金用途</w:t>
            </w:r>
          </w:p>
        </w:tc>
        <w:tc>
          <w:tcPr>
            <w:tcW w:w="2268" w:type="dxa"/>
            <w:vAlign w:val="center"/>
          </w:tcPr>
          <w:p w14:paraId="3F49A363">
            <w:pPr>
              <w:pStyle w:val="10"/>
            </w:pPr>
            <w:r>
              <w:t>预算数</w:t>
            </w:r>
          </w:p>
        </w:tc>
        <w:tc>
          <w:tcPr>
            <w:tcW w:w="2835" w:type="dxa"/>
            <w:vAlign w:val="center"/>
          </w:tcPr>
          <w:p w14:paraId="160635A1">
            <w:pPr>
              <w:pStyle w:val="12"/>
            </w:pPr>
            <w:r>
              <w:t>19.93</w:t>
            </w:r>
          </w:p>
        </w:tc>
        <w:tc>
          <w:tcPr>
            <w:tcW w:w="2835" w:type="dxa"/>
            <w:vAlign w:val="center"/>
          </w:tcPr>
          <w:p w14:paraId="14D4779B">
            <w:pPr>
              <w:pStyle w:val="10"/>
            </w:pPr>
            <w:r>
              <w:t>其中：财政    资金</w:t>
            </w:r>
          </w:p>
        </w:tc>
        <w:tc>
          <w:tcPr>
            <w:tcW w:w="2551" w:type="dxa"/>
            <w:vAlign w:val="center"/>
          </w:tcPr>
          <w:p w14:paraId="6F888D84">
            <w:pPr>
              <w:pStyle w:val="12"/>
            </w:pPr>
            <w:r>
              <w:t>19.93</w:t>
            </w:r>
          </w:p>
        </w:tc>
        <w:tc>
          <w:tcPr>
            <w:tcW w:w="2268" w:type="dxa"/>
            <w:vAlign w:val="center"/>
          </w:tcPr>
          <w:p w14:paraId="78293175">
            <w:pPr>
              <w:pStyle w:val="10"/>
            </w:pPr>
            <w:r>
              <w:t>其他资金</w:t>
            </w:r>
          </w:p>
        </w:tc>
        <w:tc>
          <w:tcPr>
            <w:tcW w:w="1276" w:type="dxa"/>
            <w:vAlign w:val="center"/>
          </w:tcPr>
          <w:p w14:paraId="67A8DCA8">
            <w:pPr>
              <w:pStyle w:val="12"/>
            </w:pPr>
            <w:r>
              <w:t xml:space="preserve"> </w:t>
            </w:r>
          </w:p>
        </w:tc>
      </w:tr>
      <w:tr w14:paraId="7B314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D905A"/>
        </w:tc>
        <w:tc>
          <w:tcPr>
            <w:tcW w:w="14033" w:type="dxa"/>
            <w:gridSpan w:val="6"/>
            <w:vAlign w:val="center"/>
          </w:tcPr>
          <w:p w14:paraId="2FF68AE2">
            <w:pPr>
              <w:pStyle w:val="12"/>
            </w:pPr>
            <w:r>
              <w:t>保障幼儿园正常运转，完成教育教学活动和其他日常工作任务等方面的费用支出。</w:t>
            </w:r>
          </w:p>
        </w:tc>
      </w:tr>
      <w:tr w14:paraId="33D98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93E33">
            <w:pPr>
              <w:pStyle w:val="10"/>
            </w:pPr>
            <w:r>
              <w:t>资金支出计划（%）</w:t>
            </w:r>
          </w:p>
        </w:tc>
        <w:tc>
          <w:tcPr>
            <w:tcW w:w="5103" w:type="dxa"/>
            <w:gridSpan w:val="2"/>
            <w:vAlign w:val="center"/>
          </w:tcPr>
          <w:p w14:paraId="3A982250">
            <w:pPr>
              <w:pStyle w:val="10"/>
            </w:pPr>
            <w:r>
              <w:t>3月底</w:t>
            </w:r>
          </w:p>
        </w:tc>
        <w:tc>
          <w:tcPr>
            <w:tcW w:w="2835" w:type="dxa"/>
            <w:vAlign w:val="center"/>
          </w:tcPr>
          <w:p w14:paraId="6EAEEF03">
            <w:pPr>
              <w:pStyle w:val="10"/>
            </w:pPr>
            <w:r>
              <w:t>6月底</w:t>
            </w:r>
          </w:p>
        </w:tc>
        <w:tc>
          <w:tcPr>
            <w:tcW w:w="2551" w:type="dxa"/>
            <w:vAlign w:val="center"/>
          </w:tcPr>
          <w:p w14:paraId="0312C0AB">
            <w:pPr>
              <w:pStyle w:val="10"/>
            </w:pPr>
            <w:r>
              <w:t>10月底</w:t>
            </w:r>
          </w:p>
        </w:tc>
        <w:tc>
          <w:tcPr>
            <w:tcW w:w="3544" w:type="dxa"/>
            <w:gridSpan w:val="2"/>
            <w:vAlign w:val="center"/>
          </w:tcPr>
          <w:p w14:paraId="6EEDA913">
            <w:pPr>
              <w:pStyle w:val="10"/>
            </w:pPr>
            <w:r>
              <w:t>12月底</w:t>
            </w:r>
          </w:p>
        </w:tc>
      </w:tr>
      <w:tr w14:paraId="24580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F0A63"/>
        </w:tc>
        <w:tc>
          <w:tcPr>
            <w:tcW w:w="5103" w:type="dxa"/>
            <w:gridSpan w:val="2"/>
            <w:vAlign w:val="center"/>
          </w:tcPr>
          <w:p w14:paraId="774777E5">
            <w:pPr>
              <w:pStyle w:val="13"/>
            </w:pPr>
            <w:r>
              <w:t>25%</w:t>
            </w:r>
          </w:p>
        </w:tc>
        <w:tc>
          <w:tcPr>
            <w:tcW w:w="2835" w:type="dxa"/>
            <w:vAlign w:val="center"/>
          </w:tcPr>
          <w:p w14:paraId="73E2D576">
            <w:pPr>
              <w:pStyle w:val="13"/>
            </w:pPr>
            <w:r>
              <w:t>50%</w:t>
            </w:r>
          </w:p>
        </w:tc>
        <w:tc>
          <w:tcPr>
            <w:tcW w:w="2551" w:type="dxa"/>
            <w:vAlign w:val="center"/>
          </w:tcPr>
          <w:p w14:paraId="2686E2A0">
            <w:pPr>
              <w:pStyle w:val="13"/>
            </w:pPr>
            <w:r>
              <w:t>75%</w:t>
            </w:r>
          </w:p>
        </w:tc>
        <w:tc>
          <w:tcPr>
            <w:tcW w:w="3544" w:type="dxa"/>
            <w:gridSpan w:val="2"/>
            <w:vAlign w:val="center"/>
          </w:tcPr>
          <w:p w14:paraId="330B35B4">
            <w:pPr>
              <w:pStyle w:val="13"/>
            </w:pPr>
            <w:r>
              <w:t>100%</w:t>
            </w:r>
          </w:p>
        </w:tc>
      </w:tr>
      <w:tr w14:paraId="561DE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7ECD8">
            <w:pPr>
              <w:pStyle w:val="10"/>
            </w:pPr>
            <w:r>
              <w:t>绩效目标</w:t>
            </w:r>
          </w:p>
        </w:tc>
        <w:tc>
          <w:tcPr>
            <w:tcW w:w="14033" w:type="dxa"/>
            <w:gridSpan w:val="6"/>
            <w:vAlign w:val="center"/>
          </w:tcPr>
          <w:p w14:paraId="09C4937C">
            <w:pPr>
              <w:pStyle w:val="12"/>
            </w:pPr>
            <w:r>
              <w:t>1.保障幼儿园正常运转，完成教育教学活动和其他日常工作任务等方面的费用支出。</w:t>
            </w:r>
            <w:r>
              <w:tab/>
            </w:r>
            <w:r>
              <w:tab/>
            </w:r>
          </w:p>
          <w:p w14:paraId="55B7396A">
            <w:pPr>
              <w:pStyle w:val="12"/>
            </w:pPr>
            <w:r>
              <w:t>2.按季度分批次拨付公用经费资金，资金拨付率达到100%。</w:t>
            </w:r>
            <w:r>
              <w:tab/>
            </w:r>
            <w:r>
              <w:tab/>
            </w:r>
          </w:p>
        </w:tc>
      </w:tr>
    </w:tbl>
    <w:p w14:paraId="11B29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9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28C13">
            <w:pPr>
              <w:pStyle w:val="10"/>
            </w:pPr>
            <w:r>
              <w:t>一级指标</w:t>
            </w:r>
          </w:p>
        </w:tc>
        <w:tc>
          <w:tcPr>
            <w:tcW w:w="2268" w:type="dxa"/>
            <w:vAlign w:val="center"/>
          </w:tcPr>
          <w:p w14:paraId="6123B60D">
            <w:pPr>
              <w:pStyle w:val="10"/>
            </w:pPr>
            <w:r>
              <w:t>二级指标</w:t>
            </w:r>
          </w:p>
        </w:tc>
        <w:tc>
          <w:tcPr>
            <w:tcW w:w="2835" w:type="dxa"/>
            <w:vAlign w:val="center"/>
          </w:tcPr>
          <w:p w14:paraId="03AFD586">
            <w:pPr>
              <w:pStyle w:val="10"/>
            </w:pPr>
            <w:r>
              <w:t>三级指标</w:t>
            </w:r>
          </w:p>
        </w:tc>
        <w:tc>
          <w:tcPr>
            <w:tcW w:w="5386" w:type="dxa"/>
            <w:vAlign w:val="center"/>
          </w:tcPr>
          <w:p w14:paraId="5DFA92A1">
            <w:pPr>
              <w:pStyle w:val="10"/>
            </w:pPr>
            <w:r>
              <w:t>绩效指标描述</w:t>
            </w:r>
          </w:p>
        </w:tc>
        <w:tc>
          <w:tcPr>
            <w:tcW w:w="2268" w:type="dxa"/>
            <w:vAlign w:val="center"/>
          </w:tcPr>
          <w:p w14:paraId="426B971F">
            <w:pPr>
              <w:pStyle w:val="10"/>
            </w:pPr>
            <w:r>
              <w:t>指标值</w:t>
            </w:r>
          </w:p>
        </w:tc>
        <w:tc>
          <w:tcPr>
            <w:tcW w:w="1276" w:type="dxa"/>
            <w:vAlign w:val="center"/>
          </w:tcPr>
          <w:p w14:paraId="7081AF72">
            <w:pPr>
              <w:pStyle w:val="10"/>
            </w:pPr>
            <w:r>
              <w:t>指标值确定依据</w:t>
            </w:r>
          </w:p>
        </w:tc>
      </w:tr>
      <w:tr w14:paraId="424D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46367">
            <w:pPr>
              <w:pStyle w:val="13"/>
            </w:pPr>
            <w:r>
              <w:t>产出指标</w:t>
            </w:r>
          </w:p>
        </w:tc>
        <w:tc>
          <w:tcPr>
            <w:tcW w:w="2268" w:type="dxa"/>
            <w:vAlign w:val="center"/>
          </w:tcPr>
          <w:p w14:paraId="5420E55B">
            <w:pPr>
              <w:pStyle w:val="12"/>
            </w:pPr>
            <w:r>
              <w:t>数量指标</w:t>
            </w:r>
          </w:p>
        </w:tc>
        <w:tc>
          <w:tcPr>
            <w:tcW w:w="2835" w:type="dxa"/>
            <w:vAlign w:val="center"/>
          </w:tcPr>
          <w:p w14:paraId="0F22F1F7">
            <w:pPr>
              <w:pStyle w:val="12"/>
            </w:pPr>
            <w:r>
              <w:t>适龄在园生</w:t>
            </w:r>
          </w:p>
        </w:tc>
        <w:tc>
          <w:tcPr>
            <w:tcW w:w="5386" w:type="dxa"/>
            <w:vAlign w:val="center"/>
          </w:tcPr>
          <w:p w14:paraId="045BD69C">
            <w:pPr>
              <w:pStyle w:val="12"/>
            </w:pPr>
            <w:r>
              <w:t>适龄在园学生人数</w:t>
            </w:r>
          </w:p>
        </w:tc>
        <w:tc>
          <w:tcPr>
            <w:tcW w:w="2268" w:type="dxa"/>
            <w:vAlign w:val="center"/>
          </w:tcPr>
          <w:p w14:paraId="083A44EC">
            <w:pPr>
              <w:pStyle w:val="12"/>
            </w:pPr>
            <w:r>
              <w:t>700人</w:t>
            </w:r>
          </w:p>
        </w:tc>
        <w:tc>
          <w:tcPr>
            <w:tcW w:w="1276" w:type="dxa"/>
            <w:vAlign w:val="center"/>
          </w:tcPr>
          <w:p w14:paraId="503704DE">
            <w:pPr>
              <w:pStyle w:val="12"/>
            </w:pPr>
            <w:r>
              <w:t>学前发展资金管理方法</w:t>
            </w:r>
          </w:p>
        </w:tc>
      </w:tr>
      <w:tr w14:paraId="4E04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4448"/>
        </w:tc>
        <w:tc>
          <w:tcPr>
            <w:tcW w:w="2268" w:type="dxa"/>
            <w:vAlign w:val="center"/>
          </w:tcPr>
          <w:p w14:paraId="6987CC69">
            <w:pPr>
              <w:pStyle w:val="12"/>
            </w:pPr>
            <w:r>
              <w:t>质量指标</w:t>
            </w:r>
          </w:p>
        </w:tc>
        <w:tc>
          <w:tcPr>
            <w:tcW w:w="2835" w:type="dxa"/>
            <w:vAlign w:val="center"/>
          </w:tcPr>
          <w:p w14:paraId="550E303A">
            <w:pPr>
              <w:pStyle w:val="12"/>
            </w:pPr>
            <w:r>
              <w:t>预算控制率</w:t>
            </w:r>
          </w:p>
        </w:tc>
        <w:tc>
          <w:tcPr>
            <w:tcW w:w="5386" w:type="dxa"/>
            <w:vAlign w:val="center"/>
          </w:tcPr>
          <w:p w14:paraId="10787D1C">
            <w:pPr>
              <w:pStyle w:val="12"/>
            </w:pPr>
            <w:r>
              <w:t>预算执行</w:t>
            </w:r>
          </w:p>
        </w:tc>
        <w:tc>
          <w:tcPr>
            <w:tcW w:w="2268" w:type="dxa"/>
            <w:vAlign w:val="center"/>
          </w:tcPr>
          <w:p w14:paraId="689E472D">
            <w:pPr>
              <w:pStyle w:val="12"/>
            </w:pPr>
            <w:r>
              <w:t>≥95%</w:t>
            </w:r>
          </w:p>
        </w:tc>
        <w:tc>
          <w:tcPr>
            <w:tcW w:w="1276" w:type="dxa"/>
            <w:vAlign w:val="center"/>
          </w:tcPr>
          <w:p w14:paraId="12AAC921">
            <w:pPr>
              <w:pStyle w:val="12"/>
            </w:pPr>
            <w:r>
              <w:t>学前发展资金管理方法</w:t>
            </w:r>
          </w:p>
        </w:tc>
      </w:tr>
      <w:tr w14:paraId="7070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05D7A"/>
        </w:tc>
        <w:tc>
          <w:tcPr>
            <w:tcW w:w="2268" w:type="dxa"/>
            <w:vAlign w:val="center"/>
          </w:tcPr>
          <w:p w14:paraId="0C8FA45C">
            <w:pPr>
              <w:pStyle w:val="12"/>
            </w:pPr>
            <w:r>
              <w:t>时效指标</w:t>
            </w:r>
          </w:p>
        </w:tc>
        <w:tc>
          <w:tcPr>
            <w:tcW w:w="2835" w:type="dxa"/>
            <w:vAlign w:val="center"/>
          </w:tcPr>
          <w:p w14:paraId="31B725B9">
            <w:pPr>
              <w:pStyle w:val="12"/>
            </w:pPr>
            <w:r>
              <w:t>资金支付率</w:t>
            </w:r>
          </w:p>
        </w:tc>
        <w:tc>
          <w:tcPr>
            <w:tcW w:w="5386" w:type="dxa"/>
            <w:vAlign w:val="center"/>
          </w:tcPr>
          <w:p w14:paraId="4FAC12D2">
            <w:pPr>
              <w:pStyle w:val="12"/>
            </w:pPr>
            <w:r>
              <w:t>按照序时进度完成资金支付</w:t>
            </w:r>
          </w:p>
        </w:tc>
        <w:tc>
          <w:tcPr>
            <w:tcW w:w="2268" w:type="dxa"/>
            <w:vAlign w:val="center"/>
          </w:tcPr>
          <w:p w14:paraId="131286CF">
            <w:pPr>
              <w:pStyle w:val="12"/>
            </w:pPr>
            <w:r>
              <w:t>100%</w:t>
            </w:r>
          </w:p>
        </w:tc>
        <w:tc>
          <w:tcPr>
            <w:tcW w:w="1276" w:type="dxa"/>
            <w:vAlign w:val="center"/>
          </w:tcPr>
          <w:p w14:paraId="6B5746F9">
            <w:pPr>
              <w:pStyle w:val="12"/>
            </w:pPr>
            <w:r>
              <w:t>学前发展资金管理方法</w:t>
            </w:r>
          </w:p>
        </w:tc>
      </w:tr>
      <w:tr w14:paraId="67EB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05F16"/>
        </w:tc>
        <w:tc>
          <w:tcPr>
            <w:tcW w:w="2268" w:type="dxa"/>
            <w:vAlign w:val="center"/>
          </w:tcPr>
          <w:p w14:paraId="05976A7F">
            <w:pPr>
              <w:pStyle w:val="12"/>
            </w:pPr>
            <w:r>
              <w:t>成本指标</w:t>
            </w:r>
          </w:p>
        </w:tc>
        <w:tc>
          <w:tcPr>
            <w:tcW w:w="2835" w:type="dxa"/>
            <w:vAlign w:val="center"/>
          </w:tcPr>
          <w:p w14:paraId="5E988BDE">
            <w:pPr>
              <w:pStyle w:val="12"/>
            </w:pPr>
            <w:r>
              <w:t>生均拨款标准</w:t>
            </w:r>
          </w:p>
        </w:tc>
        <w:tc>
          <w:tcPr>
            <w:tcW w:w="5386" w:type="dxa"/>
            <w:vAlign w:val="center"/>
          </w:tcPr>
          <w:p w14:paraId="38657D39">
            <w:pPr>
              <w:pStyle w:val="12"/>
            </w:pPr>
            <w:r>
              <w:t>学前：（基本标准600元/生/学年）</w:t>
            </w:r>
          </w:p>
        </w:tc>
        <w:tc>
          <w:tcPr>
            <w:tcW w:w="2268" w:type="dxa"/>
            <w:vAlign w:val="center"/>
          </w:tcPr>
          <w:p w14:paraId="3E81FB86">
            <w:pPr>
              <w:pStyle w:val="12"/>
            </w:pPr>
            <w:r>
              <w:t>600元</w:t>
            </w:r>
          </w:p>
        </w:tc>
        <w:tc>
          <w:tcPr>
            <w:tcW w:w="1276" w:type="dxa"/>
            <w:vAlign w:val="center"/>
          </w:tcPr>
          <w:p w14:paraId="7D6B24E5">
            <w:pPr>
              <w:pStyle w:val="12"/>
            </w:pPr>
            <w:r>
              <w:t>学前发展资金管理方法</w:t>
            </w:r>
          </w:p>
        </w:tc>
      </w:tr>
      <w:tr w14:paraId="11CC5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58A2E">
            <w:pPr>
              <w:pStyle w:val="13"/>
            </w:pPr>
            <w:r>
              <w:t>效益指标</w:t>
            </w:r>
          </w:p>
        </w:tc>
        <w:tc>
          <w:tcPr>
            <w:tcW w:w="2268" w:type="dxa"/>
            <w:vAlign w:val="center"/>
          </w:tcPr>
          <w:p w14:paraId="6F4FABDB">
            <w:pPr>
              <w:pStyle w:val="12"/>
            </w:pPr>
            <w:r>
              <w:t>可持续影响指标</w:t>
            </w:r>
          </w:p>
        </w:tc>
        <w:tc>
          <w:tcPr>
            <w:tcW w:w="2835" w:type="dxa"/>
            <w:vAlign w:val="center"/>
          </w:tcPr>
          <w:p w14:paraId="52C3F0AB">
            <w:pPr>
              <w:pStyle w:val="12"/>
            </w:pPr>
            <w:r>
              <w:t>学校运转得到提升</w:t>
            </w:r>
          </w:p>
        </w:tc>
        <w:tc>
          <w:tcPr>
            <w:tcW w:w="5386" w:type="dxa"/>
            <w:vAlign w:val="center"/>
          </w:tcPr>
          <w:p w14:paraId="1599B789">
            <w:pPr>
              <w:pStyle w:val="12"/>
            </w:pPr>
            <w:r>
              <w:t>幼儿受教育年限</w:t>
            </w:r>
          </w:p>
        </w:tc>
        <w:tc>
          <w:tcPr>
            <w:tcW w:w="2268" w:type="dxa"/>
            <w:vAlign w:val="center"/>
          </w:tcPr>
          <w:p w14:paraId="5C564802">
            <w:pPr>
              <w:pStyle w:val="12"/>
            </w:pPr>
            <w:r>
              <w:t>3年</w:t>
            </w:r>
          </w:p>
        </w:tc>
        <w:tc>
          <w:tcPr>
            <w:tcW w:w="1276" w:type="dxa"/>
            <w:vAlign w:val="center"/>
          </w:tcPr>
          <w:p w14:paraId="41BBA941">
            <w:pPr>
              <w:pStyle w:val="12"/>
            </w:pPr>
            <w:r>
              <w:t>学前发展资金管理方法</w:t>
            </w:r>
          </w:p>
        </w:tc>
      </w:tr>
      <w:tr w14:paraId="0523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4CEAC">
            <w:pPr>
              <w:pStyle w:val="13"/>
            </w:pPr>
            <w:r>
              <w:t>满意度指标</w:t>
            </w:r>
          </w:p>
        </w:tc>
        <w:tc>
          <w:tcPr>
            <w:tcW w:w="2268" w:type="dxa"/>
            <w:vAlign w:val="center"/>
          </w:tcPr>
          <w:p w14:paraId="1FE954FF">
            <w:pPr>
              <w:pStyle w:val="12"/>
            </w:pPr>
            <w:r>
              <w:t>服务对象满意度指标</w:t>
            </w:r>
          </w:p>
        </w:tc>
        <w:tc>
          <w:tcPr>
            <w:tcW w:w="2835" w:type="dxa"/>
            <w:vAlign w:val="center"/>
          </w:tcPr>
          <w:p w14:paraId="039E22BF">
            <w:pPr>
              <w:pStyle w:val="12"/>
            </w:pPr>
            <w:r>
              <w:t>受益学生家长及调查满意度</w:t>
            </w:r>
          </w:p>
        </w:tc>
        <w:tc>
          <w:tcPr>
            <w:tcW w:w="5386" w:type="dxa"/>
            <w:vAlign w:val="center"/>
          </w:tcPr>
          <w:p w14:paraId="364F270B">
            <w:pPr>
              <w:pStyle w:val="12"/>
            </w:pPr>
            <w:r>
              <w:t>学生、教师及家长对学校保教保育工作满意度情况</w:t>
            </w:r>
          </w:p>
        </w:tc>
        <w:tc>
          <w:tcPr>
            <w:tcW w:w="2268" w:type="dxa"/>
            <w:vAlign w:val="center"/>
          </w:tcPr>
          <w:p w14:paraId="03A91736">
            <w:pPr>
              <w:pStyle w:val="12"/>
            </w:pPr>
            <w:r>
              <w:t>≥95%</w:t>
            </w:r>
          </w:p>
        </w:tc>
        <w:tc>
          <w:tcPr>
            <w:tcW w:w="1276" w:type="dxa"/>
            <w:vAlign w:val="center"/>
          </w:tcPr>
          <w:p w14:paraId="72D6AA15">
            <w:pPr>
              <w:pStyle w:val="12"/>
            </w:pPr>
            <w:r>
              <w:t>群众测评</w:t>
            </w:r>
          </w:p>
        </w:tc>
      </w:tr>
    </w:tbl>
    <w:p w14:paraId="53C9BF09">
      <w:pPr>
        <w:sectPr>
          <w:pgSz w:w="16840" w:h="11900" w:orient="landscape"/>
          <w:pgMar w:top="1361" w:right="1020" w:bottom="1134" w:left="1020" w:header="720" w:footer="720" w:gutter="0"/>
          <w:cols w:space="720" w:num="1"/>
        </w:sectPr>
      </w:pPr>
    </w:p>
    <w:p w14:paraId="4C9311AE">
      <w:pPr>
        <w:spacing w:before="0" w:after="0"/>
        <w:ind w:firstLine="560"/>
        <w:jc w:val="left"/>
        <w:outlineLvl w:val="9"/>
      </w:pPr>
      <w:r>
        <w:rPr>
          <w:rFonts w:ascii="方正仿宋_GBK" w:hAnsi="方正仿宋_GBK" w:eastAsia="方正仿宋_GBK" w:cs="方正仿宋_GBK"/>
          <w:b/>
          <w:color w:val="000000"/>
          <w:sz w:val="28"/>
        </w:rPr>
        <w:t>33、学前专项经费/山口校区绩效目标表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66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78EEF">
            <w:pPr>
              <w:pStyle w:val="11"/>
            </w:pPr>
            <w:r>
              <w:t>单位：万元</w:t>
            </w:r>
          </w:p>
        </w:tc>
      </w:tr>
      <w:tr w14:paraId="0D669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4C66C">
            <w:pPr>
              <w:pStyle w:val="10"/>
            </w:pPr>
            <w:r>
              <w:t>项目编码</w:t>
            </w:r>
          </w:p>
        </w:tc>
        <w:tc>
          <w:tcPr>
            <w:tcW w:w="5103" w:type="dxa"/>
            <w:gridSpan w:val="2"/>
            <w:vAlign w:val="center"/>
          </w:tcPr>
          <w:p w14:paraId="612F7755">
            <w:pPr>
              <w:pStyle w:val="12"/>
            </w:pPr>
            <w:r>
              <w:t>13052526P000002100977</w:t>
            </w:r>
          </w:p>
        </w:tc>
        <w:tc>
          <w:tcPr>
            <w:tcW w:w="2835" w:type="dxa"/>
            <w:vAlign w:val="center"/>
          </w:tcPr>
          <w:p w14:paraId="104A5F7B">
            <w:pPr>
              <w:pStyle w:val="10"/>
            </w:pPr>
            <w:r>
              <w:t>项目名称</w:t>
            </w:r>
          </w:p>
        </w:tc>
        <w:tc>
          <w:tcPr>
            <w:tcW w:w="6095" w:type="dxa"/>
            <w:gridSpan w:val="3"/>
            <w:vAlign w:val="center"/>
          </w:tcPr>
          <w:p w14:paraId="3A131B6A">
            <w:pPr>
              <w:pStyle w:val="12"/>
            </w:pPr>
            <w:r>
              <w:t>学前专项经费/山口校区</w:t>
            </w:r>
          </w:p>
        </w:tc>
      </w:tr>
      <w:tr w14:paraId="3D37B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F60BC">
            <w:pPr>
              <w:pStyle w:val="10"/>
            </w:pPr>
            <w:r>
              <w:t>预算规模及资金用途</w:t>
            </w:r>
          </w:p>
        </w:tc>
        <w:tc>
          <w:tcPr>
            <w:tcW w:w="2268" w:type="dxa"/>
            <w:vAlign w:val="center"/>
          </w:tcPr>
          <w:p w14:paraId="74E51C2F">
            <w:pPr>
              <w:pStyle w:val="10"/>
            </w:pPr>
            <w:r>
              <w:t>预算数</w:t>
            </w:r>
          </w:p>
        </w:tc>
        <w:tc>
          <w:tcPr>
            <w:tcW w:w="2835" w:type="dxa"/>
            <w:vAlign w:val="center"/>
          </w:tcPr>
          <w:p w14:paraId="7E40AEB4">
            <w:pPr>
              <w:pStyle w:val="12"/>
            </w:pPr>
            <w:r>
              <w:t>27.00</w:t>
            </w:r>
          </w:p>
        </w:tc>
        <w:tc>
          <w:tcPr>
            <w:tcW w:w="2835" w:type="dxa"/>
            <w:vAlign w:val="center"/>
          </w:tcPr>
          <w:p w14:paraId="4E00DC0B">
            <w:pPr>
              <w:pStyle w:val="10"/>
            </w:pPr>
            <w:r>
              <w:t>其中：财政    资金</w:t>
            </w:r>
          </w:p>
        </w:tc>
        <w:tc>
          <w:tcPr>
            <w:tcW w:w="2551" w:type="dxa"/>
            <w:vAlign w:val="center"/>
          </w:tcPr>
          <w:p w14:paraId="03A0B037">
            <w:pPr>
              <w:pStyle w:val="12"/>
            </w:pPr>
            <w:r>
              <w:t>27.00</w:t>
            </w:r>
          </w:p>
        </w:tc>
        <w:tc>
          <w:tcPr>
            <w:tcW w:w="2268" w:type="dxa"/>
            <w:vAlign w:val="center"/>
          </w:tcPr>
          <w:p w14:paraId="137AF708">
            <w:pPr>
              <w:pStyle w:val="10"/>
            </w:pPr>
            <w:r>
              <w:t>其他资金</w:t>
            </w:r>
          </w:p>
        </w:tc>
        <w:tc>
          <w:tcPr>
            <w:tcW w:w="1276" w:type="dxa"/>
            <w:vAlign w:val="center"/>
          </w:tcPr>
          <w:p w14:paraId="5ED169D0">
            <w:pPr>
              <w:pStyle w:val="12"/>
            </w:pPr>
            <w:r>
              <w:t xml:space="preserve"> </w:t>
            </w:r>
          </w:p>
        </w:tc>
      </w:tr>
      <w:tr w14:paraId="374FC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4A0A6"/>
        </w:tc>
        <w:tc>
          <w:tcPr>
            <w:tcW w:w="14033" w:type="dxa"/>
            <w:gridSpan w:val="6"/>
            <w:vAlign w:val="center"/>
          </w:tcPr>
          <w:p w14:paraId="17CBE133">
            <w:pPr>
              <w:pStyle w:val="12"/>
            </w:pPr>
            <w:r>
              <w:t>按上缴财政序时进度完成公立幼儿园保育费支出。</w:t>
            </w:r>
          </w:p>
        </w:tc>
      </w:tr>
      <w:tr w14:paraId="7BE8E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FA49F">
            <w:pPr>
              <w:pStyle w:val="10"/>
            </w:pPr>
            <w:r>
              <w:t>资金支出计划（%）</w:t>
            </w:r>
          </w:p>
        </w:tc>
        <w:tc>
          <w:tcPr>
            <w:tcW w:w="5103" w:type="dxa"/>
            <w:gridSpan w:val="2"/>
            <w:vAlign w:val="center"/>
          </w:tcPr>
          <w:p w14:paraId="7B77E853">
            <w:pPr>
              <w:pStyle w:val="10"/>
            </w:pPr>
            <w:r>
              <w:t>3月底</w:t>
            </w:r>
          </w:p>
        </w:tc>
        <w:tc>
          <w:tcPr>
            <w:tcW w:w="2835" w:type="dxa"/>
            <w:vAlign w:val="center"/>
          </w:tcPr>
          <w:p w14:paraId="15DB369F">
            <w:pPr>
              <w:pStyle w:val="10"/>
            </w:pPr>
            <w:r>
              <w:t>6月底</w:t>
            </w:r>
          </w:p>
        </w:tc>
        <w:tc>
          <w:tcPr>
            <w:tcW w:w="2551" w:type="dxa"/>
            <w:vAlign w:val="center"/>
          </w:tcPr>
          <w:p w14:paraId="47A3349D">
            <w:pPr>
              <w:pStyle w:val="10"/>
            </w:pPr>
            <w:r>
              <w:t>10月底</w:t>
            </w:r>
          </w:p>
        </w:tc>
        <w:tc>
          <w:tcPr>
            <w:tcW w:w="3544" w:type="dxa"/>
            <w:gridSpan w:val="2"/>
            <w:vAlign w:val="center"/>
          </w:tcPr>
          <w:p w14:paraId="2AF5BA69">
            <w:pPr>
              <w:pStyle w:val="10"/>
            </w:pPr>
            <w:r>
              <w:t>12月底</w:t>
            </w:r>
          </w:p>
        </w:tc>
      </w:tr>
      <w:tr w14:paraId="6E74D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F882C"/>
        </w:tc>
        <w:tc>
          <w:tcPr>
            <w:tcW w:w="5103" w:type="dxa"/>
            <w:gridSpan w:val="2"/>
            <w:vAlign w:val="center"/>
          </w:tcPr>
          <w:p w14:paraId="64EA1180">
            <w:pPr>
              <w:pStyle w:val="13"/>
            </w:pPr>
            <w:r>
              <w:t>25%</w:t>
            </w:r>
          </w:p>
        </w:tc>
        <w:tc>
          <w:tcPr>
            <w:tcW w:w="2835" w:type="dxa"/>
            <w:vAlign w:val="center"/>
          </w:tcPr>
          <w:p w14:paraId="4EDE5DB6">
            <w:pPr>
              <w:pStyle w:val="13"/>
            </w:pPr>
            <w:r>
              <w:t>50%</w:t>
            </w:r>
          </w:p>
        </w:tc>
        <w:tc>
          <w:tcPr>
            <w:tcW w:w="2551" w:type="dxa"/>
            <w:vAlign w:val="center"/>
          </w:tcPr>
          <w:p w14:paraId="04C945D1">
            <w:pPr>
              <w:pStyle w:val="13"/>
            </w:pPr>
            <w:r>
              <w:t>75%</w:t>
            </w:r>
          </w:p>
        </w:tc>
        <w:tc>
          <w:tcPr>
            <w:tcW w:w="3544" w:type="dxa"/>
            <w:gridSpan w:val="2"/>
            <w:vAlign w:val="center"/>
          </w:tcPr>
          <w:p w14:paraId="2DCCD697">
            <w:pPr>
              <w:pStyle w:val="13"/>
            </w:pPr>
            <w:r>
              <w:t>100%</w:t>
            </w:r>
          </w:p>
        </w:tc>
      </w:tr>
      <w:tr w14:paraId="694A2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CAC6A">
            <w:pPr>
              <w:pStyle w:val="10"/>
            </w:pPr>
            <w:r>
              <w:t>绩效目标</w:t>
            </w:r>
          </w:p>
        </w:tc>
        <w:tc>
          <w:tcPr>
            <w:tcW w:w="14033" w:type="dxa"/>
            <w:gridSpan w:val="6"/>
            <w:vAlign w:val="center"/>
          </w:tcPr>
          <w:p w14:paraId="2B3BD675">
            <w:pPr>
              <w:pStyle w:val="12"/>
            </w:pPr>
            <w:r>
              <w:t>1.按预算要求完成2026年度学前教学任务提升及教学质量提高。</w:t>
            </w:r>
          </w:p>
          <w:p w14:paraId="41277D31">
            <w:pPr>
              <w:pStyle w:val="12"/>
            </w:pPr>
            <w:r>
              <w:t>2.按要求完成公立幼儿园保育费按月/季度上缴财政。</w:t>
            </w:r>
          </w:p>
          <w:p w14:paraId="299C73E9">
            <w:pPr>
              <w:pStyle w:val="12"/>
            </w:pPr>
            <w:r>
              <w:t>3.按上缴财政序时进度完成公立幼儿园保育费支出。</w:t>
            </w:r>
          </w:p>
        </w:tc>
      </w:tr>
    </w:tbl>
    <w:p w14:paraId="23A61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7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B44C8">
            <w:pPr>
              <w:pStyle w:val="10"/>
            </w:pPr>
            <w:r>
              <w:t>一级指标</w:t>
            </w:r>
          </w:p>
        </w:tc>
        <w:tc>
          <w:tcPr>
            <w:tcW w:w="2268" w:type="dxa"/>
            <w:vAlign w:val="center"/>
          </w:tcPr>
          <w:p w14:paraId="49007679">
            <w:pPr>
              <w:pStyle w:val="10"/>
            </w:pPr>
            <w:r>
              <w:t>二级指标</w:t>
            </w:r>
          </w:p>
        </w:tc>
        <w:tc>
          <w:tcPr>
            <w:tcW w:w="2835" w:type="dxa"/>
            <w:vAlign w:val="center"/>
          </w:tcPr>
          <w:p w14:paraId="12E4D8EB">
            <w:pPr>
              <w:pStyle w:val="10"/>
            </w:pPr>
            <w:r>
              <w:t>三级指标</w:t>
            </w:r>
          </w:p>
        </w:tc>
        <w:tc>
          <w:tcPr>
            <w:tcW w:w="5386" w:type="dxa"/>
            <w:vAlign w:val="center"/>
          </w:tcPr>
          <w:p w14:paraId="0114B7D8">
            <w:pPr>
              <w:pStyle w:val="10"/>
            </w:pPr>
            <w:r>
              <w:t>绩效指标描述</w:t>
            </w:r>
          </w:p>
        </w:tc>
        <w:tc>
          <w:tcPr>
            <w:tcW w:w="2268" w:type="dxa"/>
            <w:vAlign w:val="center"/>
          </w:tcPr>
          <w:p w14:paraId="4F548CF3">
            <w:pPr>
              <w:pStyle w:val="10"/>
            </w:pPr>
            <w:r>
              <w:t>指标值</w:t>
            </w:r>
          </w:p>
        </w:tc>
        <w:tc>
          <w:tcPr>
            <w:tcW w:w="1276" w:type="dxa"/>
            <w:vAlign w:val="center"/>
          </w:tcPr>
          <w:p w14:paraId="20D8298C">
            <w:pPr>
              <w:pStyle w:val="10"/>
            </w:pPr>
            <w:r>
              <w:t>指标值确定依据</w:t>
            </w:r>
          </w:p>
        </w:tc>
      </w:tr>
      <w:tr w14:paraId="391F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D49C3">
            <w:pPr>
              <w:pStyle w:val="13"/>
            </w:pPr>
            <w:r>
              <w:t>产出指标</w:t>
            </w:r>
          </w:p>
        </w:tc>
        <w:tc>
          <w:tcPr>
            <w:tcW w:w="2268" w:type="dxa"/>
            <w:vAlign w:val="center"/>
          </w:tcPr>
          <w:p w14:paraId="59222A0B">
            <w:pPr>
              <w:pStyle w:val="12"/>
            </w:pPr>
            <w:r>
              <w:t>数量指标</w:t>
            </w:r>
          </w:p>
        </w:tc>
        <w:tc>
          <w:tcPr>
            <w:tcW w:w="2835" w:type="dxa"/>
            <w:vAlign w:val="center"/>
          </w:tcPr>
          <w:p w14:paraId="4C5ABBDF">
            <w:pPr>
              <w:pStyle w:val="12"/>
            </w:pPr>
            <w:r>
              <w:t>适龄在园生</w:t>
            </w:r>
          </w:p>
        </w:tc>
        <w:tc>
          <w:tcPr>
            <w:tcW w:w="5386" w:type="dxa"/>
            <w:vAlign w:val="center"/>
          </w:tcPr>
          <w:p w14:paraId="346832D2">
            <w:pPr>
              <w:pStyle w:val="12"/>
            </w:pPr>
            <w:r>
              <w:t>适龄在园学生人数</w:t>
            </w:r>
          </w:p>
        </w:tc>
        <w:tc>
          <w:tcPr>
            <w:tcW w:w="2268" w:type="dxa"/>
            <w:vAlign w:val="center"/>
          </w:tcPr>
          <w:p w14:paraId="257A5D1A">
            <w:pPr>
              <w:pStyle w:val="12"/>
            </w:pPr>
            <w:r>
              <w:t>213人</w:t>
            </w:r>
          </w:p>
        </w:tc>
        <w:tc>
          <w:tcPr>
            <w:tcW w:w="1276" w:type="dxa"/>
            <w:vAlign w:val="center"/>
          </w:tcPr>
          <w:p w14:paraId="0737612B">
            <w:pPr>
              <w:pStyle w:val="12"/>
            </w:pPr>
            <w:r>
              <w:t>年度工作计划</w:t>
            </w:r>
          </w:p>
        </w:tc>
      </w:tr>
      <w:tr w14:paraId="502B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F88BB"/>
        </w:tc>
        <w:tc>
          <w:tcPr>
            <w:tcW w:w="2268" w:type="dxa"/>
            <w:vAlign w:val="center"/>
          </w:tcPr>
          <w:p w14:paraId="516B04F0">
            <w:pPr>
              <w:pStyle w:val="12"/>
            </w:pPr>
            <w:r>
              <w:t>质量指标</w:t>
            </w:r>
          </w:p>
        </w:tc>
        <w:tc>
          <w:tcPr>
            <w:tcW w:w="2835" w:type="dxa"/>
            <w:vAlign w:val="center"/>
          </w:tcPr>
          <w:p w14:paraId="5ED6DB42">
            <w:pPr>
              <w:pStyle w:val="12"/>
            </w:pPr>
            <w:r>
              <w:t>按月上缴财政完成率</w:t>
            </w:r>
          </w:p>
        </w:tc>
        <w:tc>
          <w:tcPr>
            <w:tcW w:w="5386" w:type="dxa"/>
            <w:vAlign w:val="center"/>
          </w:tcPr>
          <w:p w14:paraId="5F8C8DB6">
            <w:pPr>
              <w:pStyle w:val="12"/>
            </w:pPr>
            <w:r>
              <w:t>按月完成公立幼儿园保育费上缴财政</w:t>
            </w:r>
          </w:p>
        </w:tc>
        <w:tc>
          <w:tcPr>
            <w:tcW w:w="2268" w:type="dxa"/>
            <w:vAlign w:val="center"/>
          </w:tcPr>
          <w:p w14:paraId="4AAA7D28">
            <w:pPr>
              <w:pStyle w:val="12"/>
            </w:pPr>
            <w:r>
              <w:t>100%</w:t>
            </w:r>
          </w:p>
        </w:tc>
        <w:tc>
          <w:tcPr>
            <w:tcW w:w="1276" w:type="dxa"/>
            <w:vAlign w:val="center"/>
          </w:tcPr>
          <w:p w14:paraId="3181C4D2">
            <w:pPr>
              <w:pStyle w:val="12"/>
            </w:pPr>
            <w:r>
              <w:t>年度工作计划</w:t>
            </w:r>
          </w:p>
        </w:tc>
      </w:tr>
      <w:tr w14:paraId="5A34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5F904"/>
        </w:tc>
        <w:tc>
          <w:tcPr>
            <w:tcW w:w="2268" w:type="dxa"/>
            <w:vAlign w:val="center"/>
          </w:tcPr>
          <w:p w14:paraId="0BA75A13">
            <w:pPr>
              <w:pStyle w:val="12"/>
            </w:pPr>
            <w:r>
              <w:t>时效指标</w:t>
            </w:r>
          </w:p>
        </w:tc>
        <w:tc>
          <w:tcPr>
            <w:tcW w:w="2835" w:type="dxa"/>
            <w:vAlign w:val="center"/>
          </w:tcPr>
          <w:p w14:paraId="37BD0397">
            <w:pPr>
              <w:pStyle w:val="12"/>
            </w:pPr>
            <w:r>
              <w:t>资金支付率</w:t>
            </w:r>
          </w:p>
        </w:tc>
        <w:tc>
          <w:tcPr>
            <w:tcW w:w="5386" w:type="dxa"/>
            <w:vAlign w:val="center"/>
          </w:tcPr>
          <w:p w14:paraId="73240B46">
            <w:pPr>
              <w:pStyle w:val="12"/>
            </w:pPr>
            <w:r>
              <w:t>按照上缴财政进度完成公立幼儿园保育费支付</w:t>
            </w:r>
          </w:p>
        </w:tc>
        <w:tc>
          <w:tcPr>
            <w:tcW w:w="2268" w:type="dxa"/>
            <w:vAlign w:val="center"/>
          </w:tcPr>
          <w:p w14:paraId="6283AACA">
            <w:pPr>
              <w:pStyle w:val="12"/>
            </w:pPr>
            <w:r>
              <w:t>100%</w:t>
            </w:r>
          </w:p>
        </w:tc>
        <w:tc>
          <w:tcPr>
            <w:tcW w:w="1276" w:type="dxa"/>
            <w:vAlign w:val="center"/>
          </w:tcPr>
          <w:p w14:paraId="79CA6BA7">
            <w:pPr>
              <w:pStyle w:val="12"/>
            </w:pPr>
            <w:r>
              <w:t>年度工作计划</w:t>
            </w:r>
          </w:p>
        </w:tc>
      </w:tr>
      <w:tr w14:paraId="3F87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1FBA0"/>
        </w:tc>
        <w:tc>
          <w:tcPr>
            <w:tcW w:w="2268" w:type="dxa"/>
            <w:vAlign w:val="center"/>
          </w:tcPr>
          <w:p w14:paraId="2DD396EA">
            <w:pPr>
              <w:pStyle w:val="12"/>
            </w:pPr>
            <w:r>
              <w:t>成本指标</w:t>
            </w:r>
          </w:p>
        </w:tc>
        <w:tc>
          <w:tcPr>
            <w:tcW w:w="2835" w:type="dxa"/>
            <w:vAlign w:val="center"/>
          </w:tcPr>
          <w:p w14:paraId="38116AFB">
            <w:pPr>
              <w:pStyle w:val="12"/>
            </w:pPr>
            <w:r>
              <w:t>公办幼儿园保育费收费标准</w:t>
            </w:r>
          </w:p>
        </w:tc>
        <w:tc>
          <w:tcPr>
            <w:tcW w:w="5386" w:type="dxa"/>
            <w:vAlign w:val="center"/>
          </w:tcPr>
          <w:p w14:paraId="7AB852E4">
            <w:pPr>
              <w:pStyle w:val="12"/>
            </w:pPr>
            <w:r>
              <w:t>农村示范园170元/月/生、农村一类园150元/月/生、农村二类园130元/月/生</w:t>
            </w:r>
          </w:p>
        </w:tc>
        <w:tc>
          <w:tcPr>
            <w:tcW w:w="2268" w:type="dxa"/>
            <w:vAlign w:val="center"/>
          </w:tcPr>
          <w:p w14:paraId="24F54921">
            <w:pPr>
              <w:pStyle w:val="12"/>
            </w:pPr>
            <w:r>
              <w:t>100%</w:t>
            </w:r>
          </w:p>
        </w:tc>
        <w:tc>
          <w:tcPr>
            <w:tcW w:w="1276" w:type="dxa"/>
            <w:vAlign w:val="center"/>
          </w:tcPr>
          <w:p w14:paraId="69D11C4C">
            <w:pPr>
              <w:pStyle w:val="12"/>
            </w:pPr>
            <w:r>
              <w:t>年度工作计划</w:t>
            </w:r>
          </w:p>
        </w:tc>
      </w:tr>
      <w:tr w14:paraId="65B8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F47BD">
            <w:pPr>
              <w:pStyle w:val="13"/>
            </w:pPr>
            <w:r>
              <w:t>效益指标</w:t>
            </w:r>
          </w:p>
        </w:tc>
        <w:tc>
          <w:tcPr>
            <w:tcW w:w="2268" w:type="dxa"/>
            <w:vAlign w:val="center"/>
          </w:tcPr>
          <w:p w14:paraId="7C2397D9">
            <w:pPr>
              <w:pStyle w:val="12"/>
            </w:pPr>
            <w:r>
              <w:t>可持续影响指标</w:t>
            </w:r>
          </w:p>
        </w:tc>
        <w:tc>
          <w:tcPr>
            <w:tcW w:w="2835" w:type="dxa"/>
            <w:vAlign w:val="center"/>
          </w:tcPr>
          <w:p w14:paraId="010B5EE5">
            <w:pPr>
              <w:pStyle w:val="12"/>
            </w:pPr>
            <w:r>
              <w:t>幼儿园办园能力提升</w:t>
            </w:r>
          </w:p>
        </w:tc>
        <w:tc>
          <w:tcPr>
            <w:tcW w:w="5386" w:type="dxa"/>
            <w:vAlign w:val="center"/>
          </w:tcPr>
          <w:p w14:paraId="45C632C8">
            <w:pPr>
              <w:pStyle w:val="12"/>
            </w:pPr>
            <w:r>
              <w:t>幼儿园办园能力提升情况及教育教学工作等开展的情况</w:t>
            </w:r>
          </w:p>
        </w:tc>
        <w:tc>
          <w:tcPr>
            <w:tcW w:w="2268" w:type="dxa"/>
            <w:vAlign w:val="center"/>
          </w:tcPr>
          <w:p w14:paraId="72177D61">
            <w:pPr>
              <w:pStyle w:val="12"/>
            </w:pPr>
            <w:r>
              <w:t>100%</w:t>
            </w:r>
          </w:p>
        </w:tc>
        <w:tc>
          <w:tcPr>
            <w:tcW w:w="1276" w:type="dxa"/>
            <w:vAlign w:val="center"/>
          </w:tcPr>
          <w:p w14:paraId="3BF0B4F4">
            <w:pPr>
              <w:pStyle w:val="12"/>
            </w:pPr>
            <w:r>
              <w:t>年度工作计划</w:t>
            </w:r>
          </w:p>
        </w:tc>
      </w:tr>
      <w:tr w14:paraId="371D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70851">
            <w:pPr>
              <w:pStyle w:val="13"/>
            </w:pPr>
            <w:r>
              <w:t>满意度指标</w:t>
            </w:r>
          </w:p>
        </w:tc>
        <w:tc>
          <w:tcPr>
            <w:tcW w:w="2268" w:type="dxa"/>
            <w:vAlign w:val="center"/>
          </w:tcPr>
          <w:p w14:paraId="53C89388">
            <w:pPr>
              <w:pStyle w:val="12"/>
            </w:pPr>
            <w:r>
              <w:t>服务对象满意度指标</w:t>
            </w:r>
          </w:p>
        </w:tc>
        <w:tc>
          <w:tcPr>
            <w:tcW w:w="2835" w:type="dxa"/>
            <w:vAlign w:val="center"/>
          </w:tcPr>
          <w:p w14:paraId="5A1E665D">
            <w:pPr>
              <w:pStyle w:val="12"/>
            </w:pPr>
            <w:r>
              <w:t>受益学生家长及调查满意度</w:t>
            </w:r>
          </w:p>
        </w:tc>
        <w:tc>
          <w:tcPr>
            <w:tcW w:w="5386" w:type="dxa"/>
            <w:vAlign w:val="center"/>
          </w:tcPr>
          <w:p w14:paraId="55734B00">
            <w:pPr>
              <w:pStyle w:val="12"/>
            </w:pPr>
            <w:r>
              <w:t>幼儿、教师及家长对学校保教保育工作满意度情况</w:t>
            </w:r>
          </w:p>
        </w:tc>
        <w:tc>
          <w:tcPr>
            <w:tcW w:w="2268" w:type="dxa"/>
            <w:vAlign w:val="center"/>
          </w:tcPr>
          <w:p w14:paraId="27049D14">
            <w:pPr>
              <w:pStyle w:val="12"/>
            </w:pPr>
            <w:r>
              <w:t>≥95%</w:t>
            </w:r>
          </w:p>
        </w:tc>
        <w:tc>
          <w:tcPr>
            <w:tcW w:w="1276" w:type="dxa"/>
            <w:vAlign w:val="center"/>
          </w:tcPr>
          <w:p w14:paraId="7B38E944">
            <w:pPr>
              <w:pStyle w:val="12"/>
            </w:pPr>
            <w:r>
              <w:t>年度工作计划</w:t>
            </w:r>
          </w:p>
        </w:tc>
      </w:tr>
    </w:tbl>
    <w:p w14:paraId="4E177AAB">
      <w:pPr>
        <w:sectPr>
          <w:pgSz w:w="16840" w:h="11900" w:orient="landscape"/>
          <w:pgMar w:top="1361" w:right="1020" w:bottom="1134" w:left="1020" w:header="720" w:footer="720" w:gutter="0"/>
          <w:cols w:space="720" w:num="1"/>
        </w:sectPr>
      </w:pPr>
    </w:p>
    <w:p w14:paraId="1CCED3B0">
      <w:pPr>
        <w:spacing w:before="10" w:after="10" w:line="240" w:lineRule="auto"/>
        <w:ind w:firstLine="640"/>
        <w:jc w:val="left"/>
        <w:outlineLvl w:val="5"/>
      </w:pPr>
      <w:r>
        <w:rPr>
          <w:rFonts w:ascii="黑体" w:hAnsi="黑体" w:eastAsia="黑体" w:cs="黑体"/>
          <w:color w:val="000000"/>
          <w:sz w:val="32"/>
        </w:rPr>
        <w:t>六、政府采购预算情况</w:t>
      </w:r>
    </w:p>
    <w:p w14:paraId="0311C06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88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1E9DB6">
            <w:pPr>
              <w:pStyle w:val="9"/>
            </w:pPr>
            <w:r>
              <w:t>360021隆尧县山口校区</w:t>
            </w:r>
          </w:p>
        </w:tc>
        <w:tc>
          <w:tcPr>
            <w:tcW w:w="8676" w:type="dxa"/>
            <w:gridSpan w:val="9"/>
            <w:tcBorders>
              <w:top w:val="single" w:color="FFFFFF" w:sz="6" w:space="0"/>
              <w:left w:val="single" w:color="FFFFFF" w:sz="6" w:space="0"/>
              <w:right w:val="single" w:color="FFFFFF" w:sz="6" w:space="0"/>
            </w:tcBorders>
            <w:vAlign w:val="center"/>
          </w:tcPr>
          <w:p w14:paraId="069574D7">
            <w:pPr>
              <w:pStyle w:val="21"/>
            </w:pPr>
            <w:r>
              <w:t>单位：万元</w:t>
            </w:r>
          </w:p>
        </w:tc>
      </w:tr>
      <w:tr w14:paraId="3883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109AA4">
            <w:pPr>
              <w:pStyle w:val="10"/>
            </w:pPr>
            <w:r>
              <w:t>政府采购项目来源</w:t>
            </w:r>
          </w:p>
        </w:tc>
        <w:tc>
          <w:tcPr>
            <w:tcW w:w="1134" w:type="dxa"/>
            <w:vMerge w:val="restart"/>
            <w:vAlign w:val="center"/>
          </w:tcPr>
          <w:p w14:paraId="755A6C17">
            <w:pPr>
              <w:pStyle w:val="10"/>
            </w:pPr>
            <w:r>
              <w:t>采购物品名称</w:t>
            </w:r>
          </w:p>
        </w:tc>
        <w:tc>
          <w:tcPr>
            <w:tcW w:w="1134" w:type="dxa"/>
            <w:vMerge w:val="restart"/>
            <w:vAlign w:val="center"/>
          </w:tcPr>
          <w:p w14:paraId="4B1239F0">
            <w:pPr>
              <w:pStyle w:val="10"/>
            </w:pPr>
            <w:r>
              <w:t>政府采购目录序号</w:t>
            </w:r>
          </w:p>
        </w:tc>
        <w:tc>
          <w:tcPr>
            <w:tcW w:w="709" w:type="dxa"/>
            <w:vMerge w:val="restart"/>
            <w:vAlign w:val="center"/>
          </w:tcPr>
          <w:p w14:paraId="6C0D3FD3">
            <w:pPr>
              <w:pStyle w:val="10"/>
            </w:pPr>
            <w:r>
              <w:t>计量  单位</w:t>
            </w:r>
          </w:p>
        </w:tc>
        <w:tc>
          <w:tcPr>
            <w:tcW w:w="850" w:type="dxa"/>
            <w:vMerge w:val="restart"/>
            <w:vAlign w:val="center"/>
          </w:tcPr>
          <w:p w14:paraId="3155B178">
            <w:pPr>
              <w:pStyle w:val="10"/>
            </w:pPr>
            <w:r>
              <w:t>数量</w:t>
            </w:r>
          </w:p>
        </w:tc>
        <w:tc>
          <w:tcPr>
            <w:tcW w:w="850" w:type="dxa"/>
            <w:vMerge w:val="restart"/>
            <w:vAlign w:val="center"/>
          </w:tcPr>
          <w:p w14:paraId="743C723E">
            <w:pPr>
              <w:pStyle w:val="10"/>
            </w:pPr>
            <w:r>
              <w:t>单价</w:t>
            </w:r>
          </w:p>
        </w:tc>
        <w:tc>
          <w:tcPr>
            <w:tcW w:w="7712" w:type="dxa"/>
            <w:gridSpan w:val="8"/>
            <w:vAlign w:val="center"/>
          </w:tcPr>
          <w:p w14:paraId="77B3AE2B">
            <w:pPr>
              <w:pStyle w:val="10"/>
            </w:pPr>
            <w:r>
              <w:t>政府采购金额（当年部门预算安排资金）</w:t>
            </w:r>
          </w:p>
        </w:tc>
        <w:tc>
          <w:tcPr>
            <w:tcW w:w="964" w:type="dxa"/>
            <w:vMerge w:val="restart"/>
            <w:vAlign w:val="center"/>
          </w:tcPr>
          <w:p w14:paraId="2C425BA4">
            <w:pPr>
              <w:pStyle w:val="10"/>
            </w:pPr>
            <w:r>
              <w:t>2026年  预留中  小微企  业份额</w:t>
            </w:r>
          </w:p>
        </w:tc>
      </w:tr>
      <w:tr w14:paraId="5AD3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5DCF3A">
            <w:pPr>
              <w:pStyle w:val="10"/>
            </w:pPr>
            <w:r>
              <w:t>项目名称</w:t>
            </w:r>
          </w:p>
        </w:tc>
        <w:tc>
          <w:tcPr>
            <w:tcW w:w="964" w:type="dxa"/>
            <w:vAlign w:val="center"/>
          </w:tcPr>
          <w:p w14:paraId="0835029B">
            <w:pPr>
              <w:pStyle w:val="10"/>
            </w:pPr>
            <w:r>
              <w:t>预算    资金</w:t>
            </w:r>
          </w:p>
        </w:tc>
        <w:tc>
          <w:tcPr>
            <w:tcW w:w="1134" w:type="dxa"/>
            <w:vMerge w:val="continue"/>
          </w:tcPr>
          <w:p w14:paraId="1BA7AEE7"/>
        </w:tc>
        <w:tc>
          <w:tcPr>
            <w:tcW w:w="1134" w:type="dxa"/>
            <w:vMerge w:val="continue"/>
          </w:tcPr>
          <w:p w14:paraId="29860AB5"/>
        </w:tc>
        <w:tc>
          <w:tcPr>
            <w:tcW w:w="709" w:type="dxa"/>
            <w:vMerge w:val="continue"/>
          </w:tcPr>
          <w:p w14:paraId="737954C3"/>
        </w:tc>
        <w:tc>
          <w:tcPr>
            <w:tcW w:w="850" w:type="dxa"/>
            <w:vMerge w:val="continue"/>
          </w:tcPr>
          <w:p w14:paraId="7E0E7362"/>
        </w:tc>
        <w:tc>
          <w:tcPr>
            <w:tcW w:w="850" w:type="dxa"/>
            <w:vMerge w:val="continue"/>
          </w:tcPr>
          <w:p w14:paraId="1BF0D95A"/>
        </w:tc>
        <w:tc>
          <w:tcPr>
            <w:tcW w:w="964" w:type="dxa"/>
            <w:vAlign w:val="center"/>
          </w:tcPr>
          <w:p w14:paraId="27DCFA81">
            <w:pPr>
              <w:pStyle w:val="10"/>
            </w:pPr>
            <w:r>
              <w:t>合计</w:t>
            </w:r>
          </w:p>
        </w:tc>
        <w:tc>
          <w:tcPr>
            <w:tcW w:w="964" w:type="dxa"/>
            <w:vAlign w:val="center"/>
          </w:tcPr>
          <w:p w14:paraId="5BFAB19E">
            <w:pPr>
              <w:pStyle w:val="10"/>
            </w:pPr>
            <w:r>
              <w:t>一般公共预算拨款</w:t>
            </w:r>
          </w:p>
        </w:tc>
        <w:tc>
          <w:tcPr>
            <w:tcW w:w="964" w:type="dxa"/>
            <w:vAlign w:val="center"/>
          </w:tcPr>
          <w:p w14:paraId="6A9ABF82">
            <w:pPr>
              <w:pStyle w:val="10"/>
            </w:pPr>
            <w:r>
              <w:t>基金预算拨款</w:t>
            </w:r>
          </w:p>
        </w:tc>
        <w:tc>
          <w:tcPr>
            <w:tcW w:w="964" w:type="dxa"/>
            <w:vAlign w:val="center"/>
          </w:tcPr>
          <w:p w14:paraId="2CED238F">
            <w:pPr>
              <w:pStyle w:val="10"/>
            </w:pPr>
            <w:r>
              <w:t>国有资本经营预算拨款</w:t>
            </w:r>
          </w:p>
        </w:tc>
        <w:tc>
          <w:tcPr>
            <w:tcW w:w="964" w:type="dxa"/>
            <w:vAlign w:val="center"/>
          </w:tcPr>
          <w:p w14:paraId="7FF92762">
            <w:pPr>
              <w:pStyle w:val="10"/>
            </w:pPr>
            <w:r>
              <w:t>财政专户核拨</w:t>
            </w:r>
          </w:p>
        </w:tc>
        <w:tc>
          <w:tcPr>
            <w:tcW w:w="964" w:type="dxa"/>
            <w:vAlign w:val="center"/>
          </w:tcPr>
          <w:p w14:paraId="65CA1761">
            <w:pPr>
              <w:pStyle w:val="10"/>
            </w:pPr>
            <w:r>
              <w:t>单位    资金</w:t>
            </w:r>
          </w:p>
        </w:tc>
        <w:tc>
          <w:tcPr>
            <w:tcW w:w="964" w:type="dxa"/>
            <w:vAlign w:val="center"/>
          </w:tcPr>
          <w:p w14:paraId="475918E3">
            <w:pPr>
              <w:pStyle w:val="10"/>
            </w:pPr>
            <w:r>
              <w:t>财政拨款结转</w:t>
            </w:r>
          </w:p>
        </w:tc>
        <w:tc>
          <w:tcPr>
            <w:tcW w:w="964" w:type="dxa"/>
            <w:vAlign w:val="center"/>
          </w:tcPr>
          <w:p w14:paraId="1628274E">
            <w:pPr>
              <w:pStyle w:val="10"/>
            </w:pPr>
            <w:r>
              <w:t>非财政拨款结余</w:t>
            </w:r>
          </w:p>
        </w:tc>
        <w:tc>
          <w:tcPr>
            <w:tcW w:w="964" w:type="dxa"/>
            <w:vMerge w:val="continue"/>
          </w:tcPr>
          <w:p w14:paraId="3AC51CCA"/>
        </w:tc>
      </w:tr>
      <w:tr w14:paraId="3913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CB6ABC">
            <w:pPr>
              <w:pStyle w:val="14"/>
            </w:pPr>
            <w:r>
              <w:t>合  计</w:t>
            </w:r>
          </w:p>
        </w:tc>
        <w:tc>
          <w:tcPr>
            <w:tcW w:w="964" w:type="dxa"/>
            <w:vAlign w:val="center"/>
          </w:tcPr>
          <w:p w14:paraId="0B987C2A">
            <w:pPr>
              <w:pStyle w:val="15"/>
            </w:pPr>
          </w:p>
        </w:tc>
        <w:tc>
          <w:tcPr>
            <w:tcW w:w="1134" w:type="dxa"/>
            <w:vAlign w:val="center"/>
          </w:tcPr>
          <w:p w14:paraId="27D79112">
            <w:pPr>
              <w:pStyle w:val="16"/>
            </w:pPr>
          </w:p>
        </w:tc>
        <w:tc>
          <w:tcPr>
            <w:tcW w:w="1134" w:type="dxa"/>
            <w:vAlign w:val="center"/>
          </w:tcPr>
          <w:p w14:paraId="40CE42C3">
            <w:pPr>
              <w:pStyle w:val="16"/>
            </w:pPr>
          </w:p>
        </w:tc>
        <w:tc>
          <w:tcPr>
            <w:tcW w:w="709" w:type="dxa"/>
            <w:vAlign w:val="center"/>
          </w:tcPr>
          <w:p w14:paraId="5BF27E41">
            <w:pPr>
              <w:pStyle w:val="14"/>
            </w:pPr>
          </w:p>
        </w:tc>
        <w:tc>
          <w:tcPr>
            <w:tcW w:w="850" w:type="dxa"/>
            <w:vAlign w:val="center"/>
          </w:tcPr>
          <w:p w14:paraId="6C62A519">
            <w:pPr>
              <w:pStyle w:val="15"/>
            </w:pPr>
          </w:p>
        </w:tc>
        <w:tc>
          <w:tcPr>
            <w:tcW w:w="850" w:type="dxa"/>
            <w:vAlign w:val="center"/>
          </w:tcPr>
          <w:p w14:paraId="1A4ECC10">
            <w:pPr>
              <w:pStyle w:val="15"/>
            </w:pPr>
          </w:p>
        </w:tc>
        <w:tc>
          <w:tcPr>
            <w:tcW w:w="964" w:type="dxa"/>
            <w:vAlign w:val="center"/>
          </w:tcPr>
          <w:p w14:paraId="1E0B7BDA">
            <w:pPr>
              <w:pStyle w:val="15"/>
            </w:pPr>
            <w:r>
              <w:t>16.75</w:t>
            </w:r>
          </w:p>
        </w:tc>
        <w:tc>
          <w:tcPr>
            <w:tcW w:w="964" w:type="dxa"/>
            <w:vAlign w:val="center"/>
          </w:tcPr>
          <w:p w14:paraId="3C3F0A84">
            <w:pPr>
              <w:pStyle w:val="15"/>
            </w:pPr>
            <w:r>
              <w:t>16.75</w:t>
            </w:r>
          </w:p>
        </w:tc>
        <w:tc>
          <w:tcPr>
            <w:tcW w:w="964" w:type="dxa"/>
            <w:vAlign w:val="center"/>
          </w:tcPr>
          <w:p w14:paraId="1F12F778">
            <w:pPr>
              <w:pStyle w:val="15"/>
            </w:pPr>
          </w:p>
        </w:tc>
        <w:tc>
          <w:tcPr>
            <w:tcW w:w="964" w:type="dxa"/>
            <w:vAlign w:val="center"/>
          </w:tcPr>
          <w:p w14:paraId="09EEAD72">
            <w:pPr>
              <w:pStyle w:val="15"/>
            </w:pPr>
          </w:p>
        </w:tc>
        <w:tc>
          <w:tcPr>
            <w:tcW w:w="964" w:type="dxa"/>
            <w:vAlign w:val="center"/>
          </w:tcPr>
          <w:p w14:paraId="4FDB1FF1">
            <w:pPr>
              <w:pStyle w:val="15"/>
            </w:pPr>
          </w:p>
        </w:tc>
        <w:tc>
          <w:tcPr>
            <w:tcW w:w="964" w:type="dxa"/>
            <w:vAlign w:val="center"/>
          </w:tcPr>
          <w:p w14:paraId="7C9B4745">
            <w:pPr>
              <w:pStyle w:val="15"/>
            </w:pPr>
          </w:p>
        </w:tc>
        <w:tc>
          <w:tcPr>
            <w:tcW w:w="964" w:type="dxa"/>
            <w:vAlign w:val="center"/>
          </w:tcPr>
          <w:p w14:paraId="4E8AE186">
            <w:pPr>
              <w:pStyle w:val="15"/>
            </w:pPr>
          </w:p>
        </w:tc>
        <w:tc>
          <w:tcPr>
            <w:tcW w:w="964" w:type="dxa"/>
            <w:vAlign w:val="center"/>
          </w:tcPr>
          <w:p w14:paraId="77A74B72">
            <w:pPr>
              <w:pStyle w:val="15"/>
            </w:pPr>
          </w:p>
        </w:tc>
        <w:tc>
          <w:tcPr>
            <w:tcW w:w="964" w:type="dxa"/>
            <w:vAlign w:val="center"/>
          </w:tcPr>
          <w:p w14:paraId="2D5B7B74">
            <w:pPr>
              <w:pStyle w:val="15"/>
            </w:pPr>
            <w:r>
              <w:t>16.75</w:t>
            </w:r>
          </w:p>
        </w:tc>
      </w:tr>
      <w:tr w14:paraId="722A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297967">
            <w:pPr>
              <w:pStyle w:val="14"/>
            </w:pPr>
            <w:r>
              <w:t>隆尧县山口校区小计</w:t>
            </w:r>
          </w:p>
        </w:tc>
        <w:tc>
          <w:tcPr>
            <w:tcW w:w="964" w:type="dxa"/>
            <w:vAlign w:val="center"/>
          </w:tcPr>
          <w:p w14:paraId="6211F4CA">
            <w:pPr>
              <w:pStyle w:val="15"/>
            </w:pPr>
          </w:p>
        </w:tc>
        <w:tc>
          <w:tcPr>
            <w:tcW w:w="1134" w:type="dxa"/>
            <w:vAlign w:val="center"/>
          </w:tcPr>
          <w:p w14:paraId="63D1A0D5">
            <w:pPr>
              <w:pStyle w:val="16"/>
            </w:pPr>
          </w:p>
        </w:tc>
        <w:tc>
          <w:tcPr>
            <w:tcW w:w="1134" w:type="dxa"/>
            <w:vAlign w:val="center"/>
          </w:tcPr>
          <w:p w14:paraId="4B6F30D3">
            <w:pPr>
              <w:pStyle w:val="16"/>
            </w:pPr>
          </w:p>
        </w:tc>
        <w:tc>
          <w:tcPr>
            <w:tcW w:w="709" w:type="dxa"/>
            <w:vAlign w:val="center"/>
          </w:tcPr>
          <w:p w14:paraId="13C9C2B9">
            <w:pPr>
              <w:pStyle w:val="14"/>
            </w:pPr>
          </w:p>
        </w:tc>
        <w:tc>
          <w:tcPr>
            <w:tcW w:w="850" w:type="dxa"/>
            <w:vAlign w:val="center"/>
          </w:tcPr>
          <w:p w14:paraId="152B4371">
            <w:pPr>
              <w:pStyle w:val="15"/>
            </w:pPr>
          </w:p>
        </w:tc>
        <w:tc>
          <w:tcPr>
            <w:tcW w:w="850" w:type="dxa"/>
            <w:vAlign w:val="center"/>
          </w:tcPr>
          <w:p w14:paraId="0542A04D">
            <w:pPr>
              <w:pStyle w:val="15"/>
            </w:pPr>
          </w:p>
        </w:tc>
        <w:tc>
          <w:tcPr>
            <w:tcW w:w="964" w:type="dxa"/>
            <w:vAlign w:val="center"/>
          </w:tcPr>
          <w:p w14:paraId="3645A3EE">
            <w:pPr>
              <w:pStyle w:val="15"/>
            </w:pPr>
            <w:r>
              <w:t>16.75</w:t>
            </w:r>
          </w:p>
        </w:tc>
        <w:tc>
          <w:tcPr>
            <w:tcW w:w="964" w:type="dxa"/>
            <w:vAlign w:val="center"/>
          </w:tcPr>
          <w:p w14:paraId="7D6952CC">
            <w:pPr>
              <w:pStyle w:val="15"/>
            </w:pPr>
            <w:r>
              <w:t>16.75</w:t>
            </w:r>
          </w:p>
        </w:tc>
        <w:tc>
          <w:tcPr>
            <w:tcW w:w="964" w:type="dxa"/>
            <w:vAlign w:val="center"/>
          </w:tcPr>
          <w:p w14:paraId="6509443E">
            <w:pPr>
              <w:pStyle w:val="15"/>
            </w:pPr>
          </w:p>
        </w:tc>
        <w:tc>
          <w:tcPr>
            <w:tcW w:w="964" w:type="dxa"/>
            <w:vAlign w:val="center"/>
          </w:tcPr>
          <w:p w14:paraId="7BB31797">
            <w:pPr>
              <w:pStyle w:val="15"/>
            </w:pPr>
          </w:p>
        </w:tc>
        <w:tc>
          <w:tcPr>
            <w:tcW w:w="964" w:type="dxa"/>
            <w:vAlign w:val="center"/>
          </w:tcPr>
          <w:p w14:paraId="1967D4ED">
            <w:pPr>
              <w:pStyle w:val="15"/>
            </w:pPr>
          </w:p>
        </w:tc>
        <w:tc>
          <w:tcPr>
            <w:tcW w:w="964" w:type="dxa"/>
            <w:vAlign w:val="center"/>
          </w:tcPr>
          <w:p w14:paraId="43340721">
            <w:pPr>
              <w:pStyle w:val="15"/>
            </w:pPr>
          </w:p>
        </w:tc>
        <w:tc>
          <w:tcPr>
            <w:tcW w:w="964" w:type="dxa"/>
            <w:vAlign w:val="center"/>
          </w:tcPr>
          <w:p w14:paraId="6D9B7549">
            <w:pPr>
              <w:pStyle w:val="15"/>
            </w:pPr>
          </w:p>
        </w:tc>
        <w:tc>
          <w:tcPr>
            <w:tcW w:w="964" w:type="dxa"/>
            <w:vAlign w:val="center"/>
          </w:tcPr>
          <w:p w14:paraId="23EE342E">
            <w:pPr>
              <w:pStyle w:val="15"/>
            </w:pPr>
          </w:p>
        </w:tc>
        <w:tc>
          <w:tcPr>
            <w:tcW w:w="964" w:type="dxa"/>
            <w:vAlign w:val="center"/>
          </w:tcPr>
          <w:p w14:paraId="4B9B415D">
            <w:pPr>
              <w:pStyle w:val="15"/>
            </w:pPr>
            <w:r>
              <w:t>16.75</w:t>
            </w:r>
          </w:p>
        </w:tc>
      </w:tr>
      <w:tr w14:paraId="38EB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C6A113">
            <w:pPr>
              <w:pStyle w:val="12"/>
            </w:pPr>
            <w:r>
              <w:t>冀财教[2025]122号/中央/支持学前教育发展/山口校区幼儿园设备购置</w:t>
            </w:r>
          </w:p>
        </w:tc>
        <w:tc>
          <w:tcPr>
            <w:tcW w:w="964" w:type="dxa"/>
            <w:vAlign w:val="center"/>
          </w:tcPr>
          <w:p w14:paraId="51632D28">
            <w:pPr>
              <w:pStyle w:val="11"/>
            </w:pPr>
            <w:r>
              <w:t>16.85</w:t>
            </w:r>
          </w:p>
        </w:tc>
        <w:tc>
          <w:tcPr>
            <w:tcW w:w="1134" w:type="dxa"/>
            <w:vAlign w:val="center"/>
          </w:tcPr>
          <w:p w14:paraId="33AC7F1F">
            <w:pPr>
              <w:pStyle w:val="12"/>
            </w:pPr>
            <w:r>
              <w:t>空调机</w:t>
            </w:r>
          </w:p>
        </w:tc>
        <w:tc>
          <w:tcPr>
            <w:tcW w:w="1134" w:type="dxa"/>
            <w:vAlign w:val="center"/>
          </w:tcPr>
          <w:p w14:paraId="3D453CE2">
            <w:pPr>
              <w:pStyle w:val="12"/>
            </w:pPr>
            <w:r>
              <w:t>A02061804</w:t>
            </w:r>
          </w:p>
        </w:tc>
        <w:tc>
          <w:tcPr>
            <w:tcW w:w="709" w:type="dxa"/>
            <w:vAlign w:val="center"/>
          </w:tcPr>
          <w:p w14:paraId="08A1DE4D">
            <w:pPr>
              <w:pStyle w:val="13"/>
            </w:pPr>
            <w:r>
              <w:t>台</w:t>
            </w:r>
          </w:p>
        </w:tc>
        <w:tc>
          <w:tcPr>
            <w:tcW w:w="850" w:type="dxa"/>
            <w:vAlign w:val="center"/>
          </w:tcPr>
          <w:p w14:paraId="59CC23EB">
            <w:pPr>
              <w:pStyle w:val="11"/>
            </w:pPr>
            <w:r>
              <w:t>1</w:t>
            </w:r>
          </w:p>
        </w:tc>
        <w:tc>
          <w:tcPr>
            <w:tcW w:w="850" w:type="dxa"/>
            <w:vAlign w:val="center"/>
          </w:tcPr>
          <w:p w14:paraId="08C71458">
            <w:pPr>
              <w:pStyle w:val="11"/>
            </w:pPr>
            <w:r>
              <w:t>0.25</w:t>
            </w:r>
          </w:p>
        </w:tc>
        <w:tc>
          <w:tcPr>
            <w:tcW w:w="964" w:type="dxa"/>
            <w:vAlign w:val="center"/>
          </w:tcPr>
          <w:p w14:paraId="667080B0">
            <w:pPr>
              <w:pStyle w:val="11"/>
            </w:pPr>
            <w:r>
              <w:t>0.25</w:t>
            </w:r>
          </w:p>
        </w:tc>
        <w:tc>
          <w:tcPr>
            <w:tcW w:w="964" w:type="dxa"/>
            <w:vAlign w:val="center"/>
          </w:tcPr>
          <w:p w14:paraId="4352D871">
            <w:pPr>
              <w:pStyle w:val="11"/>
            </w:pPr>
            <w:r>
              <w:t>0.25</w:t>
            </w:r>
          </w:p>
        </w:tc>
        <w:tc>
          <w:tcPr>
            <w:tcW w:w="964" w:type="dxa"/>
            <w:vAlign w:val="center"/>
          </w:tcPr>
          <w:p w14:paraId="068E05A4">
            <w:pPr>
              <w:pStyle w:val="11"/>
            </w:pPr>
          </w:p>
        </w:tc>
        <w:tc>
          <w:tcPr>
            <w:tcW w:w="964" w:type="dxa"/>
            <w:vAlign w:val="center"/>
          </w:tcPr>
          <w:p w14:paraId="77D50FA5">
            <w:pPr>
              <w:pStyle w:val="11"/>
            </w:pPr>
          </w:p>
        </w:tc>
        <w:tc>
          <w:tcPr>
            <w:tcW w:w="964" w:type="dxa"/>
            <w:vAlign w:val="center"/>
          </w:tcPr>
          <w:p w14:paraId="16242E90">
            <w:pPr>
              <w:pStyle w:val="11"/>
            </w:pPr>
          </w:p>
        </w:tc>
        <w:tc>
          <w:tcPr>
            <w:tcW w:w="964" w:type="dxa"/>
            <w:vAlign w:val="center"/>
          </w:tcPr>
          <w:p w14:paraId="74639B43">
            <w:pPr>
              <w:pStyle w:val="11"/>
            </w:pPr>
          </w:p>
        </w:tc>
        <w:tc>
          <w:tcPr>
            <w:tcW w:w="964" w:type="dxa"/>
            <w:vAlign w:val="center"/>
          </w:tcPr>
          <w:p w14:paraId="4ACBFA82">
            <w:pPr>
              <w:pStyle w:val="11"/>
            </w:pPr>
          </w:p>
        </w:tc>
        <w:tc>
          <w:tcPr>
            <w:tcW w:w="964" w:type="dxa"/>
            <w:vAlign w:val="center"/>
          </w:tcPr>
          <w:p w14:paraId="38720D60">
            <w:pPr>
              <w:pStyle w:val="11"/>
            </w:pPr>
          </w:p>
        </w:tc>
        <w:tc>
          <w:tcPr>
            <w:tcW w:w="964" w:type="dxa"/>
            <w:vAlign w:val="center"/>
          </w:tcPr>
          <w:p w14:paraId="2B80EE0C">
            <w:pPr>
              <w:pStyle w:val="11"/>
            </w:pPr>
            <w:r>
              <w:t>0.25</w:t>
            </w:r>
          </w:p>
        </w:tc>
      </w:tr>
      <w:tr w14:paraId="5481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4A3F1A">
            <w:pPr>
              <w:pStyle w:val="12"/>
            </w:pPr>
            <w:r>
              <w:t>冀财教[2025]148号/支持义务教育发展/山口校区水饭小学空调购置</w:t>
            </w:r>
          </w:p>
        </w:tc>
        <w:tc>
          <w:tcPr>
            <w:tcW w:w="964" w:type="dxa"/>
            <w:vAlign w:val="center"/>
          </w:tcPr>
          <w:p w14:paraId="5B5CC536">
            <w:pPr>
              <w:pStyle w:val="11"/>
            </w:pPr>
            <w:r>
              <w:t>16.50</w:t>
            </w:r>
          </w:p>
        </w:tc>
        <w:tc>
          <w:tcPr>
            <w:tcW w:w="1134" w:type="dxa"/>
            <w:vAlign w:val="center"/>
          </w:tcPr>
          <w:p w14:paraId="5716EBA9">
            <w:pPr>
              <w:pStyle w:val="12"/>
            </w:pPr>
            <w:r>
              <w:t>空调机</w:t>
            </w:r>
          </w:p>
        </w:tc>
        <w:tc>
          <w:tcPr>
            <w:tcW w:w="1134" w:type="dxa"/>
            <w:vAlign w:val="center"/>
          </w:tcPr>
          <w:p w14:paraId="0FC51DB5">
            <w:pPr>
              <w:pStyle w:val="12"/>
            </w:pPr>
            <w:r>
              <w:t>A02061804</w:t>
            </w:r>
          </w:p>
        </w:tc>
        <w:tc>
          <w:tcPr>
            <w:tcW w:w="709" w:type="dxa"/>
            <w:vAlign w:val="center"/>
          </w:tcPr>
          <w:p w14:paraId="6537542E">
            <w:pPr>
              <w:pStyle w:val="13"/>
            </w:pPr>
            <w:r>
              <w:t>台</w:t>
            </w:r>
          </w:p>
        </w:tc>
        <w:tc>
          <w:tcPr>
            <w:tcW w:w="850" w:type="dxa"/>
            <w:vAlign w:val="center"/>
          </w:tcPr>
          <w:p w14:paraId="4B0B9A2C">
            <w:pPr>
              <w:pStyle w:val="11"/>
            </w:pPr>
            <w:r>
              <w:t>30</w:t>
            </w:r>
          </w:p>
        </w:tc>
        <w:tc>
          <w:tcPr>
            <w:tcW w:w="850" w:type="dxa"/>
            <w:vAlign w:val="center"/>
          </w:tcPr>
          <w:p w14:paraId="261D9E07">
            <w:pPr>
              <w:pStyle w:val="11"/>
            </w:pPr>
            <w:r>
              <w:t>0.55</w:t>
            </w:r>
          </w:p>
        </w:tc>
        <w:tc>
          <w:tcPr>
            <w:tcW w:w="964" w:type="dxa"/>
            <w:vAlign w:val="center"/>
          </w:tcPr>
          <w:p w14:paraId="1F4C4BC6">
            <w:pPr>
              <w:pStyle w:val="11"/>
            </w:pPr>
            <w:r>
              <w:t>16.50</w:t>
            </w:r>
          </w:p>
        </w:tc>
        <w:tc>
          <w:tcPr>
            <w:tcW w:w="964" w:type="dxa"/>
            <w:vAlign w:val="center"/>
          </w:tcPr>
          <w:p w14:paraId="7AC22EAD">
            <w:pPr>
              <w:pStyle w:val="11"/>
            </w:pPr>
            <w:r>
              <w:t>16.50</w:t>
            </w:r>
          </w:p>
        </w:tc>
        <w:tc>
          <w:tcPr>
            <w:tcW w:w="964" w:type="dxa"/>
            <w:vAlign w:val="center"/>
          </w:tcPr>
          <w:p w14:paraId="20D418A5">
            <w:pPr>
              <w:pStyle w:val="11"/>
            </w:pPr>
          </w:p>
        </w:tc>
        <w:tc>
          <w:tcPr>
            <w:tcW w:w="964" w:type="dxa"/>
            <w:vAlign w:val="center"/>
          </w:tcPr>
          <w:p w14:paraId="37D2DBED">
            <w:pPr>
              <w:pStyle w:val="11"/>
            </w:pPr>
          </w:p>
        </w:tc>
        <w:tc>
          <w:tcPr>
            <w:tcW w:w="964" w:type="dxa"/>
            <w:vAlign w:val="center"/>
          </w:tcPr>
          <w:p w14:paraId="22988D42">
            <w:pPr>
              <w:pStyle w:val="11"/>
            </w:pPr>
          </w:p>
        </w:tc>
        <w:tc>
          <w:tcPr>
            <w:tcW w:w="964" w:type="dxa"/>
            <w:vAlign w:val="center"/>
          </w:tcPr>
          <w:p w14:paraId="21381154">
            <w:pPr>
              <w:pStyle w:val="11"/>
            </w:pPr>
          </w:p>
        </w:tc>
        <w:tc>
          <w:tcPr>
            <w:tcW w:w="964" w:type="dxa"/>
            <w:vAlign w:val="center"/>
          </w:tcPr>
          <w:p w14:paraId="12DD3FA5">
            <w:pPr>
              <w:pStyle w:val="11"/>
            </w:pPr>
          </w:p>
        </w:tc>
        <w:tc>
          <w:tcPr>
            <w:tcW w:w="964" w:type="dxa"/>
            <w:vAlign w:val="center"/>
          </w:tcPr>
          <w:p w14:paraId="666CE537">
            <w:pPr>
              <w:pStyle w:val="11"/>
            </w:pPr>
          </w:p>
        </w:tc>
        <w:tc>
          <w:tcPr>
            <w:tcW w:w="964" w:type="dxa"/>
            <w:vAlign w:val="center"/>
          </w:tcPr>
          <w:p w14:paraId="37709F17">
            <w:pPr>
              <w:pStyle w:val="11"/>
            </w:pPr>
            <w:r>
              <w:t>16.50</w:t>
            </w:r>
          </w:p>
        </w:tc>
      </w:tr>
    </w:tbl>
    <w:p w14:paraId="7F5A48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5FF027">
      <w:pPr>
        <w:spacing w:before="0" w:after="0"/>
        <w:ind w:firstLine="640"/>
        <w:jc w:val="left"/>
        <w:outlineLvl w:val="9"/>
      </w:pPr>
      <w:r>
        <w:rPr>
          <w:rFonts w:ascii="Times New Roman" w:hAnsi="Times New Roman" w:eastAsia="方正仿宋_GBK" w:cs="Times New Roman"/>
          <w:color w:val="000000"/>
          <w:sz w:val="32"/>
        </w:rPr>
        <w:t xml:space="preserve"> </w:t>
      </w:r>
    </w:p>
    <w:p w14:paraId="233D7F6A">
      <w:pPr>
        <w:spacing w:before="10" w:after="10" w:line="240" w:lineRule="auto"/>
        <w:ind w:firstLine="640"/>
        <w:jc w:val="left"/>
        <w:outlineLvl w:val="5"/>
      </w:pPr>
      <w:r>
        <w:rPr>
          <w:rFonts w:ascii="黑体" w:hAnsi="黑体" w:eastAsia="黑体" w:cs="黑体"/>
          <w:color w:val="000000"/>
          <w:sz w:val="32"/>
        </w:rPr>
        <w:t>七、国有资产信息</w:t>
      </w:r>
    </w:p>
    <w:p w14:paraId="1CBF285F">
      <w:pPr>
        <w:spacing w:before="0" w:after="0" w:line="500" w:lineRule="exact"/>
        <w:ind w:firstLine="560"/>
        <w:jc w:val="left"/>
        <w:outlineLvl w:val="9"/>
      </w:pPr>
      <w:r>
        <w:rPr>
          <w:rFonts w:ascii="Times New Roman" w:hAnsi="Times New Roman" w:eastAsia="方正仿宋_GBK" w:cs="Times New Roman"/>
          <w:b w:val="0"/>
          <w:color w:val="000000"/>
          <w:sz w:val="28"/>
        </w:rPr>
        <w:t>隆尧县山口校区上年末固定资产金额为3597.31万元（详见下表）。本年度拟购置固定资产总额为45.30万元，已按要求列入政府采购预算，详见政府采购预算表。</w:t>
      </w:r>
    </w:p>
    <w:p w14:paraId="2B5F18F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15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A41701">
            <w:pPr>
              <w:pStyle w:val="9"/>
            </w:pPr>
            <w:r>
              <w:t>360021隆尧县山口校区</w:t>
            </w:r>
          </w:p>
        </w:tc>
        <w:tc>
          <w:tcPr>
            <w:tcW w:w="5670" w:type="dxa"/>
            <w:gridSpan w:val="2"/>
            <w:tcBorders>
              <w:top w:val="single" w:color="FFFFFF" w:sz="6" w:space="0"/>
              <w:left w:val="single" w:color="FFFFFF" w:sz="6" w:space="0"/>
              <w:right w:val="single" w:color="FFFFFF" w:sz="6" w:space="0"/>
            </w:tcBorders>
            <w:vAlign w:val="center"/>
          </w:tcPr>
          <w:p w14:paraId="558BBA94">
            <w:pPr>
              <w:pStyle w:val="7"/>
            </w:pPr>
            <w:r>
              <w:t>截止时间：2025-12-31</w:t>
            </w:r>
          </w:p>
        </w:tc>
      </w:tr>
      <w:tr w14:paraId="48EE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4F5ECB">
            <w:pPr>
              <w:pStyle w:val="10"/>
            </w:pPr>
            <w:r>
              <w:t>项   目</w:t>
            </w:r>
          </w:p>
        </w:tc>
        <w:tc>
          <w:tcPr>
            <w:tcW w:w="2835" w:type="dxa"/>
            <w:vAlign w:val="center"/>
          </w:tcPr>
          <w:p w14:paraId="2CAD928A">
            <w:pPr>
              <w:pStyle w:val="10"/>
            </w:pPr>
            <w:r>
              <w:t>数量</w:t>
            </w:r>
          </w:p>
        </w:tc>
        <w:tc>
          <w:tcPr>
            <w:tcW w:w="2835" w:type="dxa"/>
            <w:vAlign w:val="center"/>
          </w:tcPr>
          <w:p w14:paraId="109EFA1B">
            <w:pPr>
              <w:pStyle w:val="10"/>
            </w:pPr>
            <w:r>
              <w:t>价值（金额单位：万元）</w:t>
            </w:r>
          </w:p>
        </w:tc>
      </w:tr>
      <w:tr w14:paraId="1FF8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817FA1">
            <w:pPr>
              <w:pStyle w:val="12"/>
            </w:pPr>
            <w:r>
              <w:t>资产总额</w:t>
            </w:r>
          </w:p>
        </w:tc>
        <w:tc>
          <w:tcPr>
            <w:tcW w:w="2835" w:type="dxa"/>
            <w:vAlign w:val="center"/>
          </w:tcPr>
          <w:p w14:paraId="29C2115E">
            <w:pPr>
              <w:pStyle w:val="13"/>
            </w:pPr>
          </w:p>
        </w:tc>
        <w:tc>
          <w:tcPr>
            <w:tcW w:w="2835" w:type="dxa"/>
            <w:vAlign w:val="center"/>
          </w:tcPr>
          <w:p w14:paraId="555648A0">
            <w:pPr>
              <w:pStyle w:val="11"/>
            </w:pPr>
            <w:r>
              <w:t>3597.31</w:t>
            </w:r>
          </w:p>
        </w:tc>
      </w:tr>
      <w:tr w14:paraId="6D14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2D7860">
            <w:pPr>
              <w:pStyle w:val="12"/>
            </w:pPr>
            <w:r>
              <w:t>1、房屋（平方米）</w:t>
            </w:r>
          </w:p>
        </w:tc>
        <w:tc>
          <w:tcPr>
            <w:tcW w:w="2835" w:type="dxa"/>
            <w:vAlign w:val="center"/>
          </w:tcPr>
          <w:p w14:paraId="6FE6C9EE">
            <w:pPr>
              <w:pStyle w:val="13"/>
            </w:pPr>
            <w:r>
              <w:t>29364.53</w:t>
            </w:r>
          </w:p>
        </w:tc>
        <w:tc>
          <w:tcPr>
            <w:tcW w:w="2835" w:type="dxa"/>
            <w:vAlign w:val="center"/>
          </w:tcPr>
          <w:p w14:paraId="33B24253">
            <w:pPr>
              <w:pStyle w:val="11"/>
            </w:pPr>
            <w:r>
              <w:t>2589.72</w:t>
            </w:r>
          </w:p>
        </w:tc>
      </w:tr>
      <w:tr w14:paraId="0BA8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920DEB">
            <w:pPr>
              <w:pStyle w:val="12"/>
            </w:pPr>
            <w:r>
              <w:t>　　其中：办公用房（平方米）</w:t>
            </w:r>
          </w:p>
        </w:tc>
        <w:tc>
          <w:tcPr>
            <w:tcW w:w="2835" w:type="dxa"/>
            <w:vAlign w:val="center"/>
          </w:tcPr>
          <w:p w14:paraId="3BD8A803">
            <w:pPr>
              <w:pStyle w:val="13"/>
            </w:pPr>
            <w:r>
              <w:t>18685.38</w:t>
            </w:r>
          </w:p>
        </w:tc>
        <w:tc>
          <w:tcPr>
            <w:tcW w:w="2835" w:type="dxa"/>
            <w:vAlign w:val="center"/>
          </w:tcPr>
          <w:p w14:paraId="0C446123">
            <w:pPr>
              <w:pStyle w:val="11"/>
            </w:pPr>
            <w:r>
              <w:t>1374.52</w:t>
            </w:r>
          </w:p>
        </w:tc>
      </w:tr>
      <w:tr w14:paraId="2CF4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0CE574">
            <w:pPr>
              <w:pStyle w:val="12"/>
            </w:pPr>
            <w:r>
              <w:t>2、车辆（台、辆）</w:t>
            </w:r>
          </w:p>
        </w:tc>
        <w:tc>
          <w:tcPr>
            <w:tcW w:w="2835" w:type="dxa"/>
            <w:vAlign w:val="center"/>
          </w:tcPr>
          <w:p w14:paraId="4BB87442">
            <w:pPr>
              <w:pStyle w:val="13"/>
            </w:pPr>
          </w:p>
        </w:tc>
        <w:tc>
          <w:tcPr>
            <w:tcW w:w="2835" w:type="dxa"/>
            <w:vAlign w:val="center"/>
          </w:tcPr>
          <w:p w14:paraId="4C8CE358">
            <w:pPr>
              <w:pStyle w:val="11"/>
            </w:pPr>
          </w:p>
        </w:tc>
      </w:tr>
      <w:tr w14:paraId="6A91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0929E8">
            <w:pPr>
              <w:pStyle w:val="12"/>
            </w:pPr>
            <w:r>
              <w:t>3、单价在20万元以上的设备</w:t>
            </w:r>
          </w:p>
        </w:tc>
        <w:tc>
          <w:tcPr>
            <w:tcW w:w="2835" w:type="dxa"/>
            <w:vAlign w:val="center"/>
          </w:tcPr>
          <w:p w14:paraId="1957395F">
            <w:pPr>
              <w:pStyle w:val="13"/>
            </w:pPr>
            <w:r>
              <w:t>1</w:t>
            </w:r>
          </w:p>
        </w:tc>
        <w:tc>
          <w:tcPr>
            <w:tcW w:w="2835" w:type="dxa"/>
            <w:vAlign w:val="center"/>
          </w:tcPr>
          <w:p w14:paraId="310B6A98">
            <w:pPr>
              <w:pStyle w:val="11"/>
            </w:pPr>
            <w:r>
              <w:t>26.28</w:t>
            </w:r>
          </w:p>
        </w:tc>
      </w:tr>
      <w:tr w14:paraId="25B9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A0855E">
            <w:pPr>
              <w:pStyle w:val="12"/>
            </w:pPr>
            <w:r>
              <w:t>4、其他固定资产</w:t>
            </w:r>
          </w:p>
        </w:tc>
        <w:tc>
          <w:tcPr>
            <w:tcW w:w="2835" w:type="dxa"/>
            <w:vAlign w:val="center"/>
          </w:tcPr>
          <w:p w14:paraId="2012485F">
            <w:pPr>
              <w:pStyle w:val="13"/>
            </w:pPr>
            <w:r>
              <w:t>4088</w:t>
            </w:r>
          </w:p>
        </w:tc>
        <w:tc>
          <w:tcPr>
            <w:tcW w:w="2835" w:type="dxa"/>
            <w:vAlign w:val="center"/>
          </w:tcPr>
          <w:p w14:paraId="0666FBF2">
            <w:pPr>
              <w:pStyle w:val="11"/>
            </w:pPr>
            <w:r>
              <w:t>981.31</w:t>
            </w:r>
          </w:p>
        </w:tc>
      </w:tr>
    </w:tbl>
    <w:p w14:paraId="7AD56C7F">
      <w:pPr>
        <w:spacing w:before="0" w:after="0"/>
        <w:ind w:firstLine="640"/>
        <w:jc w:val="left"/>
        <w:outlineLvl w:val="9"/>
      </w:pPr>
      <w:r>
        <w:rPr>
          <w:rFonts w:ascii="Times New Roman" w:hAnsi="Times New Roman" w:eastAsia="方正仿宋_GBK" w:cs="Times New Roman"/>
          <w:color w:val="000000"/>
          <w:sz w:val="32"/>
        </w:rPr>
        <w:t xml:space="preserve"> </w:t>
      </w:r>
    </w:p>
    <w:p w14:paraId="77BDDF16">
      <w:pPr>
        <w:spacing w:before="10" w:after="10" w:line="240" w:lineRule="auto"/>
        <w:ind w:firstLine="640"/>
        <w:jc w:val="left"/>
        <w:outlineLvl w:val="5"/>
      </w:pPr>
      <w:r>
        <w:rPr>
          <w:rFonts w:ascii="黑体" w:hAnsi="黑体" w:eastAsia="黑体" w:cs="黑体"/>
          <w:color w:val="000000"/>
          <w:sz w:val="32"/>
        </w:rPr>
        <w:t>八、名词解释</w:t>
      </w:r>
    </w:p>
    <w:p w14:paraId="399EBFE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A962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75B0B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A289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98242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D7B5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14ED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5DCEF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13FB0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FAC8F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C695C1">
      <w:pPr>
        <w:spacing w:before="10" w:after="10" w:line="240" w:lineRule="auto"/>
        <w:ind w:firstLine="640"/>
        <w:jc w:val="left"/>
        <w:outlineLvl w:val="5"/>
      </w:pPr>
      <w:r>
        <w:rPr>
          <w:rFonts w:ascii="黑体" w:hAnsi="黑体" w:eastAsia="黑体" w:cs="黑体"/>
          <w:color w:val="000000"/>
          <w:sz w:val="32"/>
        </w:rPr>
        <w:t>九、其他需要说明的事项</w:t>
      </w:r>
    </w:p>
    <w:p w14:paraId="23E92E4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6B5FEE3">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二十一、隆尧县尹村校区收支预算</w:t>
      </w:r>
      <w:bookmarkEnd w:id="20"/>
    </w:p>
    <w:p w14:paraId="5A45DE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596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EC67D1">
            <w:pPr>
              <w:pStyle w:val="9"/>
            </w:pPr>
            <w:r>
              <w:t>360022隆尧县尹村校区</w:t>
            </w:r>
          </w:p>
        </w:tc>
        <w:tc>
          <w:tcPr>
            <w:tcW w:w="2126" w:type="dxa"/>
            <w:tcBorders>
              <w:top w:val="single" w:color="FFFFFF" w:sz="6" w:space="0"/>
              <w:left w:val="single" w:color="FFFFFF" w:sz="6" w:space="0"/>
              <w:right w:val="single" w:color="FFFFFF" w:sz="6" w:space="0"/>
            </w:tcBorders>
            <w:vAlign w:val="center"/>
          </w:tcPr>
          <w:p w14:paraId="2C34595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9C386D6">
            <w:pPr>
              <w:pStyle w:val="7"/>
            </w:pPr>
            <w:r>
              <w:t>单位：万元</w:t>
            </w:r>
          </w:p>
        </w:tc>
      </w:tr>
      <w:tr w14:paraId="49BF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6268B">
            <w:pPr>
              <w:pStyle w:val="10"/>
            </w:pPr>
            <w:r>
              <w:t>序号</w:t>
            </w:r>
          </w:p>
        </w:tc>
        <w:tc>
          <w:tcPr>
            <w:tcW w:w="6661" w:type="dxa"/>
            <w:gridSpan w:val="2"/>
            <w:vAlign w:val="center"/>
          </w:tcPr>
          <w:p w14:paraId="6C1F11FF">
            <w:pPr>
              <w:pStyle w:val="10"/>
            </w:pPr>
            <w:r>
              <w:t>收入</w:t>
            </w:r>
          </w:p>
        </w:tc>
        <w:tc>
          <w:tcPr>
            <w:tcW w:w="6661" w:type="dxa"/>
            <w:gridSpan w:val="2"/>
            <w:vAlign w:val="center"/>
          </w:tcPr>
          <w:p w14:paraId="69551F83">
            <w:pPr>
              <w:pStyle w:val="10"/>
            </w:pPr>
            <w:r>
              <w:t>支出</w:t>
            </w:r>
          </w:p>
        </w:tc>
      </w:tr>
      <w:tr w14:paraId="38FB1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9A9C7E"/>
        </w:tc>
        <w:tc>
          <w:tcPr>
            <w:tcW w:w="4535" w:type="dxa"/>
            <w:vAlign w:val="center"/>
          </w:tcPr>
          <w:p w14:paraId="412D2C52">
            <w:pPr>
              <w:pStyle w:val="10"/>
            </w:pPr>
            <w:r>
              <w:t>项  目</w:t>
            </w:r>
          </w:p>
        </w:tc>
        <w:tc>
          <w:tcPr>
            <w:tcW w:w="2126" w:type="dxa"/>
            <w:vAlign w:val="center"/>
          </w:tcPr>
          <w:p w14:paraId="27F2643C">
            <w:pPr>
              <w:pStyle w:val="10"/>
            </w:pPr>
            <w:r>
              <w:t>预算数</w:t>
            </w:r>
          </w:p>
        </w:tc>
        <w:tc>
          <w:tcPr>
            <w:tcW w:w="4535" w:type="dxa"/>
            <w:vAlign w:val="center"/>
          </w:tcPr>
          <w:p w14:paraId="67ECC7B9">
            <w:pPr>
              <w:pStyle w:val="10"/>
            </w:pPr>
            <w:r>
              <w:t>项  目</w:t>
            </w:r>
          </w:p>
        </w:tc>
        <w:tc>
          <w:tcPr>
            <w:tcW w:w="2126" w:type="dxa"/>
            <w:vAlign w:val="center"/>
          </w:tcPr>
          <w:p w14:paraId="539BD41D">
            <w:pPr>
              <w:pStyle w:val="10"/>
            </w:pPr>
            <w:r>
              <w:t>预算数</w:t>
            </w:r>
          </w:p>
        </w:tc>
      </w:tr>
      <w:tr w14:paraId="5660A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14D749">
            <w:pPr>
              <w:pStyle w:val="10"/>
            </w:pPr>
            <w:r>
              <w:t>栏次</w:t>
            </w:r>
          </w:p>
        </w:tc>
        <w:tc>
          <w:tcPr>
            <w:tcW w:w="4535" w:type="dxa"/>
            <w:vAlign w:val="center"/>
          </w:tcPr>
          <w:p w14:paraId="5FCF8E8E">
            <w:pPr>
              <w:pStyle w:val="10"/>
            </w:pPr>
            <w:r>
              <w:t>1</w:t>
            </w:r>
          </w:p>
        </w:tc>
        <w:tc>
          <w:tcPr>
            <w:tcW w:w="2126" w:type="dxa"/>
            <w:vAlign w:val="center"/>
          </w:tcPr>
          <w:p w14:paraId="1553EFF2">
            <w:pPr>
              <w:pStyle w:val="10"/>
            </w:pPr>
            <w:r>
              <w:t>2</w:t>
            </w:r>
          </w:p>
        </w:tc>
        <w:tc>
          <w:tcPr>
            <w:tcW w:w="4535" w:type="dxa"/>
            <w:vAlign w:val="center"/>
          </w:tcPr>
          <w:p w14:paraId="22545A95">
            <w:pPr>
              <w:pStyle w:val="10"/>
            </w:pPr>
            <w:r>
              <w:t>3</w:t>
            </w:r>
          </w:p>
        </w:tc>
        <w:tc>
          <w:tcPr>
            <w:tcW w:w="2126" w:type="dxa"/>
            <w:vAlign w:val="center"/>
          </w:tcPr>
          <w:p w14:paraId="12FC8AAD">
            <w:pPr>
              <w:pStyle w:val="10"/>
            </w:pPr>
            <w:r>
              <w:t>4</w:t>
            </w:r>
          </w:p>
        </w:tc>
      </w:tr>
      <w:tr w14:paraId="24E5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3F4E">
            <w:pPr>
              <w:pStyle w:val="13"/>
            </w:pPr>
            <w:r>
              <w:t>1</w:t>
            </w:r>
          </w:p>
        </w:tc>
        <w:tc>
          <w:tcPr>
            <w:tcW w:w="4535" w:type="dxa"/>
            <w:vAlign w:val="center"/>
          </w:tcPr>
          <w:p w14:paraId="21057436">
            <w:pPr>
              <w:pStyle w:val="12"/>
            </w:pPr>
            <w:r>
              <w:t>一、一般公共预算拨款收入</w:t>
            </w:r>
          </w:p>
        </w:tc>
        <w:tc>
          <w:tcPr>
            <w:tcW w:w="2126" w:type="dxa"/>
            <w:vAlign w:val="center"/>
          </w:tcPr>
          <w:p w14:paraId="0D8C1E4C">
            <w:pPr>
              <w:pStyle w:val="11"/>
            </w:pPr>
            <w:r>
              <w:t>3991.51</w:t>
            </w:r>
          </w:p>
        </w:tc>
        <w:tc>
          <w:tcPr>
            <w:tcW w:w="4535" w:type="dxa"/>
            <w:vAlign w:val="center"/>
          </w:tcPr>
          <w:p w14:paraId="46A54E3D">
            <w:pPr>
              <w:pStyle w:val="12"/>
            </w:pPr>
            <w:r>
              <w:t>一、一般公共服务支出</w:t>
            </w:r>
          </w:p>
        </w:tc>
        <w:tc>
          <w:tcPr>
            <w:tcW w:w="2126" w:type="dxa"/>
            <w:vAlign w:val="center"/>
          </w:tcPr>
          <w:p w14:paraId="69F19524">
            <w:pPr>
              <w:pStyle w:val="11"/>
            </w:pPr>
          </w:p>
        </w:tc>
      </w:tr>
      <w:tr w14:paraId="2528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C7847">
            <w:pPr>
              <w:pStyle w:val="13"/>
            </w:pPr>
            <w:r>
              <w:t>2</w:t>
            </w:r>
          </w:p>
        </w:tc>
        <w:tc>
          <w:tcPr>
            <w:tcW w:w="4535" w:type="dxa"/>
            <w:vAlign w:val="center"/>
          </w:tcPr>
          <w:p w14:paraId="34B19DCC">
            <w:pPr>
              <w:pStyle w:val="12"/>
            </w:pPr>
            <w:r>
              <w:t>二、政府性基金预算拨款收入</w:t>
            </w:r>
          </w:p>
        </w:tc>
        <w:tc>
          <w:tcPr>
            <w:tcW w:w="2126" w:type="dxa"/>
            <w:vAlign w:val="center"/>
          </w:tcPr>
          <w:p w14:paraId="5A893EC5">
            <w:pPr>
              <w:pStyle w:val="11"/>
            </w:pPr>
          </w:p>
        </w:tc>
        <w:tc>
          <w:tcPr>
            <w:tcW w:w="4535" w:type="dxa"/>
            <w:vAlign w:val="center"/>
          </w:tcPr>
          <w:p w14:paraId="5A0898D0">
            <w:pPr>
              <w:pStyle w:val="12"/>
            </w:pPr>
            <w:r>
              <w:t>二、外交支出</w:t>
            </w:r>
          </w:p>
        </w:tc>
        <w:tc>
          <w:tcPr>
            <w:tcW w:w="2126" w:type="dxa"/>
            <w:vAlign w:val="center"/>
          </w:tcPr>
          <w:p w14:paraId="11A7E5C9">
            <w:pPr>
              <w:pStyle w:val="11"/>
            </w:pPr>
          </w:p>
        </w:tc>
      </w:tr>
      <w:tr w14:paraId="2B93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60B8">
            <w:pPr>
              <w:pStyle w:val="13"/>
            </w:pPr>
            <w:r>
              <w:t>3</w:t>
            </w:r>
          </w:p>
        </w:tc>
        <w:tc>
          <w:tcPr>
            <w:tcW w:w="4535" w:type="dxa"/>
            <w:vAlign w:val="center"/>
          </w:tcPr>
          <w:p w14:paraId="14648D9C">
            <w:pPr>
              <w:pStyle w:val="12"/>
            </w:pPr>
            <w:r>
              <w:t>三、国有资本经营预算拨款收入</w:t>
            </w:r>
          </w:p>
        </w:tc>
        <w:tc>
          <w:tcPr>
            <w:tcW w:w="2126" w:type="dxa"/>
            <w:vAlign w:val="center"/>
          </w:tcPr>
          <w:p w14:paraId="1175E3EC">
            <w:pPr>
              <w:pStyle w:val="11"/>
            </w:pPr>
          </w:p>
        </w:tc>
        <w:tc>
          <w:tcPr>
            <w:tcW w:w="4535" w:type="dxa"/>
            <w:vAlign w:val="center"/>
          </w:tcPr>
          <w:p w14:paraId="2B67BF61">
            <w:pPr>
              <w:pStyle w:val="12"/>
            </w:pPr>
            <w:r>
              <w:t>三、国防支出</w:t>
            </w:r>
          </w:p>
        </w:tc>
        <w:tc>
          <w:tcPr>
            <w:tcW w:w="2126" w:type="dxa"/>
            <w:vAlign w:val="center"/>
          </w:tcPr>
          <w:p w14:paraId="172FD6EB">
            <w:pPr>
              <w:pStyle w:val="11"/>
            </w:pPr>
          </w:p>
        </w:tc>
      </w:tr>
      <w:tr w14:paraId="1056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A4DE">
            <w:pPr>
              <w:pStyle w:val="13"/>
            </w:pPr>
            <w:r>
              <w:t>4</w:t>
            </w:r>
          </w:p>
        </w:tc>
        <w:tc>
          <w:tcPr>
            <w:tcW w:w="4535" w:type="dxa"/>
            <w:vAlign w:val="center"/>
          </w:tcPr>
          <w:p w14:paraId="394032B5">
            <w:pPr>
              <w:pStyle w:val="12"/>
            </w:pPr>
            <w:r>
              <w:t>四、财政专户管理资金收入</w:t>
            </w:r>
          </w:p>
        </w:tc>
        <w:tc>
          <w:tcPr>
            <w:tcW w:w="2126" w:type="dxa"/>
            <w:vAlign w:val="center"/>
          </w:tcPr>
          <w:p w14:paraId="74C8C41D">
            <w:pPr>
              <w:pStyle w:val="11"/>
            </w:pPr>
          </w:p>
        </w:tc>
        <w:tc>
          <w:tcPr>
            <w:tcW w:w="4535" w:type="dxa"/>
            <w:vAlign w:val="center"/>
          </w:tcPr>
          <w:p w14:paraId="7D049F75">
            <w:pPr>
              <w:pStyle w:val="12"/>
            </w:pPr>
            <w:r>
              <w:t>四、公共安全支出</w:t>
            </w:r>
          </w:p>
        </w:tc>
        <w:tc>
          <w:tcPr>
            <w:tcW w:w="2126" w:type="dxa"/>
            <w:vAlign w:val="center"/>
          </w:tcPr>
          <w:p w14:paraId="10DF1487">
            <w:pPr>
              <w:pStyle w:val="11"/>
            </w:pPr>
          </w:p>
        </w:tc>
      </w:tr>
      <w:tr w14:paraId="3EBE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3C202">
            <w:pPr>
              <w:pStyle w:val="13"/>
            </w:pPr>
            <w:r>
              <w:t>5</w:t>
            </w:r>
          </w:p>
        </w:tc>
        <w:tc>
          <w:tcPr>
            <w:tcW w:w="4535" w:type="dxa"/>
            <w:vAlign w:val="center"/>
          </w:tcPr>
          <w:p w14:paraId="03064895">
            <w:pPr>
              <w:pStyle w:val="12"/>
            </w:pPr>
            <w:r>
              <w:t>五、单位资金</w:t>
            </w:r>
          </w:p>
        </w:tc>
        <w:tc>
          <w:tcPr>
            <w:tcW w:w="2126" w:type="dxa"/>
            <w:vAlign w:val="center"/>
          </w:tcPr>
          <w:p w14:paraId="6DC22751">
            <w:pPr>
              <w:pStyle w:val="11"/>
            </w:pPr>
          </w:p>
        </w:tc>
        <w:tc>
          <w:tcPr>
            <w:tcW w:w="4535" w:type="dxa"/>
            <w:vAlign w:val="center"/>
          </w:tcPr>
          <w:p w14:paraId="510CBE0C">
            <w:pPr>
              <w:pStyle w:val="12"/>
            </w:pPr>
            <w:r>
              <w:t>五、教育支出</w:t>
            </w:r>
          </w:p>
        </w:tc>
        <w:tc>
          <w:tcPr>
            <w:tcW w:w="2126" w:type="dxa"/>
            <w:vAlign w:val="center"/>
          </w:tcPr>
          <w:p w14:paraId="3A5769E0">
            <w:pPr>
              <w:pStyle w:val="11"/>
            </w:pPr>
            <w:r>
              <w:t>3991.51</w:t>
            </w:r>
          </w:p>
        </w:tc>
      </w:tr>
      <w:tr w14:paraId="0E6A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B228">
            <w:pPr>
              <w:pStyle w:val="13"/>
            </w:pPr>
            <w:r>
              <w:t>6</w:t>
            </w:r>
          </w:p>
        </w:tc>
        <w:tc>
          <w:tcPr>
            <w:tcW w:w="4535" w:type="dxa"/>
            <w:vAlign w:val="center"/>
          </w:tcPr>
          <w:p w14:paraId="4277563A">
            <w:pPr>
              <w:pStyle w:val="12"/>
            </w:pPr>
          </w:p>
        </w:tc>
        <w:tc>
          <w:tcPr>
            <w:tcW w:w="2126" w:type="dxa"/>
            <w:vAlign w:val="center"/>
          </w:tcPr>
          <w:p w14:paraId="109884E1">
            <w:pPr>
              <w:pStyle w:val="11"/>
            </w:pPr>
          </w:p>
        </w:tc>
        <w:tc>
          <w:tcPr>
            <w:tcW w:w="4535" w:type="dxa"/>
            <w:vAlign w:val="center"/>
          </w:tcPr>
          <w:p w14:paraId="058DFCA7">
            <w:pPr>
              <w:pStyle w:val="12"/>
            </w:pPr>
            <w:r>
              <w:t>六、科学技术支出</w:t>
            </w:r>
          </w:p>
        </w:tc>
        <w:tc>
          <w:tcPr>
            <w:tcW w:w="2126" w:type="dxa"/>
            <w:vAlign w:val="center"/>
          </w:tcPr>
          <w:p w14:paraId="4F4A13E1">
            <w:pPr>
              <w:pStyle w:val="11"/>
            </w:pPr>
          </w:p>
        </w:tc>
      </w:tr>
      <w:tr w14:paraId="7588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8ABB4">
            <w:pPr>
              <w:pStyle w:val="13"/>
            </w:pPr>
            <w:r>
              <w:t>7</w:t>
            </w:r>
          </w:p>
        </w:tc>
        <w:tc>
          <w:tcPr>
            <w:tcW w:w="4535" w:type="dxa"/>
            <w:vAlign w:val="center"/>
          </w:tcPr>
          <w:p w14:paraId="37F3EEA8">
            <w:pPr>
              <w:pStyle w:val="12"/>
            </w:pPr>
          </w:p>
        </w:tc>
        <w:tc>
          <w:tcPr>
            <w:tcW w:w="2126" w:type="dxa"/>
            <w:vAlign w:val="center"/>
          </w:tcPr>
          <w:p w14:paraId="26BCE398">
            <w:pPr>
              <w:pStyle w:val="11"/>
            </w:pPr>
          </w:p>
        </w:tc>
        <w:tc>
          <w:tcPr>
            <w:tcW w:w="4535" w:type="dxa"/>
            <w:vAlign w:val="center"/>
          </w:tcPr>
          <w:p w14:paraId="7403685E">
            <w:pPr>
              <w:pStyle w:val="12"/>
            </w:pPr>
            <w:r>
              <w:t>七、文化旅游体育与传媒支出</w:t>
            </w:r>
          </w:p>
        </w:tc>
        <w:tc>
          <w:tcPr>
            <w:tcW w:w="2126" w:type="dxa"/>
            <w:vAlign w:val="center"/>
          </w:tcPr>
          <w:p w14:paraId="0DCE6383">
            <w:pPr>
              <w:pStyle w:val="11"/>
            </w:pPr>
          </w:p>
        </w:tc>
      </w:tr>
      <w:tr w14:paraId="71C6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1501B">
            <w:pPr>
              <w:pStyle w:val="13"/>
            </w:pPr>
            <w:r>
              <w:t>8</w:t>
            </w:r>
          </w:p>
        </w:tc>
        <w:tc>
          <w:tcPr>
            <w:tcW w:w="4535" w:type="dxa"/>
            <w:vAlign w:val="center"/>
          </w:tcPr>
          <w:p w14:paraId="4AE0A485">
            <w:pPr>
              <w:pStyle w:val="12"/>
            </w:pPr>
          </w:p>
        </w:tc>
        <w:tc>
          <w:tcPr>
            <w:tcW w:w="2126" w:type="dxa"/>
            <w:vAlign w:val="center"/>
          </w:tcPr>
          <w:p w14:paraId="344FF2D6">
            <w:pPr>
              <w:pStyle w:val="11"/>
            </w:pPr>
          </w:p>
        </w:tc>
        <w:tc>
          <w:tcPr>
            <w:tcW w:w="4535" w:type="dxa"/>
            <w:vAlign w:val="center"/>
          </w:tcPr>
          <w:p w14:paraId="5FBC2804">
            <w:pPr>
              <w:pStyle w:val="12"/>
            </w:pPr>
            <w:r>
              <w:t>八、社会保障和就业支出</w:t>
            </w:r>
          </w:p>
        </w:tc>
        <w:tc>
          <w:tcPr>
            <w:tcW w:w="2126" w:type="dxa"/>
            <w:vAlign w:val="center"/>
          </w:tcPr>
          <w:p w14:paraId="3B613487">
            <w:pPr>
              <w:pStyle w:val="11"/>
            </w:pPr>
          </w:p>
        </w:tc>
      </w:tr>
      <w:tr w14:paraId="63D9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4EFA7">
            <w:pPr>
              <w:pStyle w:val="13"/>
            </w:pPr>
            <w:r>
              <w:t>9</w:t>
            </w:r>
          </w:p>
        </w:tc>
        <w:tc>
          <w:tcPr>
            <w:tcW w:w="4535" w:type="dxa"/>
            <w:vAlign w:val="center"/>
          </w:tcPr>
          <w:p w14:paraId="5CAD89C3">
            <w:pPr>
              <w:pStyle w:val="12"/>
            </w:pPr>
          </w:p>
        </w:tc>
        <w:tc>
          <w:tcPr>
            <w:tcW w:w="2126" w:type="dxa"/>
            <w:vAlign w:val="center"/>
          </w:tcPr>
          <w:p w14:paraId="2702FBA7">
            <w:pPr>
              <w:pStyle w:val="11"/>
            </w:pPr>
          </w:p>
        </w:tc>
        <w:tc>
          <w:tcPr>
            <w:tcW w:w="4535" w:type="dxa"/>
            <w:vAlign w:val="center"/>
          </w:tcPr>
          <w:p w14:paraId="20D8AC4E">
            <w:pPr>
              <w:pStyle w:val="12"/>
            </w:pPr>
            <w:r>
              <w:t>九、社会保险基金支出</w:t>
            </w:r>
          </w:p>
        </w:tc>
        <w:tc>
          <w:tcPr>
            <w:tcW w:w="2126" w:type="dxa"/>
            <w:vAlign w:val="center"/>
          </w:tcPr>
          <w:p w14:paraId="10C1B7CD">
            <w:pPr>
              <w:pStyle w:val="11"/>
            </w:pPr>
          </w:p>
        </w:tc>
      </w:tr>
      <w:tr w14:paraId="72CC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DFD6">
            <w:pPr>
              <w:pStyle w:val="13"/>
            </w:pPr>
            <w:r>
              <w:t>10</w:t>
            </w:r>
          </w:p>
        </w:tc>
        <w:tc>
          <w:tcPr>
            <w:tcW w:w="4535" w:type="dxa"/>
            <w:vAlign w:val="center"/>
          </w:tcPr>
          <w:p w14:paraId="55A9B7F7">
            <w:pPr>
              <w:pStyle w:val="12"/>
            </w:pPr>
          </w:p>
        </w:tc>
        <w:tc>
          <w:tcPr>
            <w:tcW w:w="2126" w:type="dxa"/>
            <w:vAlign w:val="center"/>
          </w:tcPr>
          <w:p w14:paraId="144A9460">
            <w:pPr>
              <w:pStyle w:val="11"/>
            </w:pPr>
          </w:p>
        </w:tc>
        <w:tc>
          <w:tcPr>
            <w:tcW w:w="4535" w:type="dxa"/>
            <w:vAlign w:val="center"/>
          </w:tcPr>
          <w:p w14:paraId="3C892182">
            <w:pPr>
              <w:pStyle w:val="12"/>
            </w:pPr>
            <w:r>
              <w:t>十、卫生健康支出</w:t>
            </w:r>
          </w:p>
        </w:tc>
        <w:tc>
          <w:tcPr>
            <w:tcW w:w="2126" w:type="dxa"/>
            <w:vAlign w:val="center"/>
          </w:tcPr>
          <w:p w14:paraId="438B0BB6">
            <w:pPr>
              <w:pStyle w:val="11"/>
            </w:pPr>
          </w:p>
        </w:tc>
      </w:tr>
      <w:tr w14:paraId="653E3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BE68">
            <w:pPr>
              <w:pStyle w:val="13"/>
            </w:pPr>
            <w:r>
              <w:t>11</w:t>
            </w:r>
          </w:p>
        </w:tc>
        <w:tc>
          <w:tcPr>
            <w:tcW w:w="4535" w:type="dxa"/>
            <w:vAlign w:val="center"/>
          </w:tcPr>
          <w:p w14:paraId="3D1D3C9B">
            <w:pPr>
              <w:pStyle w:val="12"/>
            </w:pPr>
          </w:p>
        </w:tc>
        <w:tc>
          <w:tcPr>
            <w:tcW w:w="2126" w:type="dxa"/>
            <w:vAlign w:val="center"/>
          </w:tcPr>
          <w:p w14:paraId="3284FBE8">
            <w:pPr>
              <w:pStyle w:val="11"/>
            </w:pPr>
          </w:p>
        </w:tc>
        <w:tc>
          <w:tcPr>
            <w:tcW w:w="4535" w:type="dxa"/>
            <w:vAlign w:val="center"/>
          </w:tcPr>
          <w:p w14:paraId="6608352D">
            <w:pPr>
              <w:pStyle w:val="12"/>
            </w:pPr>
            <w:r>
              <w:t>十一、节能环保支出</w:t>
            </w:r>
          </w:p>
        </w:tc>
        <w:tc>
          <w:tcPr>
            <w:tcW w:w="2126" w:type="dxa"/>
            <w:vAlign w:val="center"/>
          </w:tcPr>
          <w:p w14:paraId="2042D3F0">
            <w:pPr>
              <w:pStyle w:val="11"/>
            </w:pPr>
          </w:p>
        </w:tc>
      </w:tr>
      <w:tr w14:paraId="7CAF9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A428">
            <w:pPr>
              <w:pStyle w:val="13"/>
            </w:pPr>
            <w:r>
              <w:t>12</w:t>
            </w:r>
          </w:p>
        </w:tc>
        <w:tc>
          <w:tcPr>
            <w:tcW w:w="4535" w:type="dxa"/>
            <w:vAlign w:val="center"/>
          </w:tcPr>
          <w:p w14:paraId="7DB5BF36">
            <w:pPr>
              <w:pStyle w:val="12"/>
            </w:pPr>
          </w:p>
        </w:tc>
        <w:tc>
          <w:tcPr>
            <w:tcW w:w="2126" w:type="dxa"/>
            <w:vAlign w:val="center"/>
          </w:tcPr>
          <w:p w14:paraId="30923144">
            <w:pPr>
              <w:pStyle w:val="11"/>
            </w:pPr>
          </w:p>
        </w:tc>
        <w:tc>
          <w:tcPr>
            <w:tcW w:w="4535" w:type="dxa"/>
            <w:vAlign w:val="center"/>
          </w:tcPr>
          <w:p w14:paraId="2D5BCA57">
            <w:pPr>
              <w:pStyle w:val="12"/>
            </w:pPr>
            <w:r>
              <w:t>十二、城乡社区支出</w:t>
            </w:r>
          </w:p>
        </w:tc>
        <w:tc>
          <w:tcPr>
            <w:tcW w:w="2126" w:type="dxa"/>
            <w:vAlign w:val="center"/>
          </w:tcPr>
          <w:p w14:paraId="6CF0061C">
            <w:pPr>
              <w:pStyle w:val="11"/>
            </w:pPr>
          </w:p>
        </w:tc>
      </w:tr>
      <w:tr w14:paraId="1961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2A466">
            <w:pPr>
              <w:pStyle w:val="13"/>
            </w:pPr>
            <w:r>
              <w:t>13</w:t>
            </w:r>
          </w:p>
        </w:tc>
        <w:tc>
          <w:tcPr>
            <w:tcW w:w="4535" w:type="dxa"/>
            <w:vAlign w:val="center"/>
          </w:tcPr>
          <w:p w14:paraId="5A1E6CD1">
            <w:pPr>
              <w:pStyle w:val="12"/>
            </w:pPr>
          </w:p>
        </w:tc>
        <w:tc>
          <w:tcPr>
            <w:tcW w:w="2126" w:type="dxa"/>
            <w:vAlign w:val="center"/>
          </w:tcPr>
          <w:p w14:paraId="7242E6B6">
            <w:pPr>
              <w:pStyle w:val="11"/>
            </w:pPr>
          </w:p>
        </w:tc>
        <w:tc>
          <w:tcPr>
            <w:tcW w:w="4535" w:type="dxa"/>
            <w:vAlign w:val="center"/>
          </w:tcPr>
          <w:p w14:paraId="737D1951">
            <w:pPr>
              <w:pStyle w:val="12"/>
            </w:pPr>
            <w:r>
              <w:t>十三、农林水支出</w:t>
            </w:r>
          </w:p>
        </w:tc>
        <w:tc>
          <w:tcPr>
            <w:tcW w:w="2126" w:type="dxa"/>
            <w:vAlign w:val="center"/>
          </w:tcPr>
          <w:p w14:paraId="3C9D14CF">
            <w:pPr>
              <w:pStyle w:val="11"/>
            </w:pPr>
          </w:p>
        </w:tc>
      </w:tr>
      <w:tr w14:paraId="22E2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21E6">
            <w:pPr>
              <w:pStyle w:val="13"/>
            </w:pPr>
            <w:r>
              <w:t>14</w:t>
            </w:r>
          </w:p>
        </w:tc>
        <w:tc>
          <w:tcPr>
            <w:tcW w:w="4535" w:type="dxa"/>
            <w:vAlign w:val="center"/>
          </w:tcPr>
          <w:p w14:paraId="3D0ADC46">
            <w:pPr>
              <w:pStyle w:val="12"/>
            </w:pPr>
          </w:p>
        </w:tc>
        <w:tc>
          <w:tcPr>
            <w:tcW w:w="2126" w:type="dxa"/>
            <w:vAlign w:val="center"/>
          </w:tcPr>
          <w:p w14:paraId="2FFB4865">
            <w:pPr>
              <w:pStyle w:val="11"/>
            </w:pPr>
          </w:p>
        </w:tc>
        <w:tc>
          <w:tcPr>
            <w:tcW w:w="4535" w:type="dxa"/>
            <w:vAlign w:val="center"/>
          </w:tcPr>
          <w:p w14:paraId="117BAB87">
            <w:pPr>
              <w:pStyle w:val="12"/>
            </w:pPr>
            <w:r>
              <w:t>十四、交通运输支出</w:t>
            </w:r>
          </w:p>
        </w:tc>
        <w:tc>
          <w:tcPr>
            <w:tcW w:w="2126" w:type="dxa"/>
            <w:vAlign w:val="center"/>
          </w:tcPr>
          <w:p w14:paraId="2146822D">
            <w:pPr>
              <w:pStyle w:val="11"/>
            </w:pPr>
          </w:p>
        </w:tc>
      </w:tr>
      <w:tr w14:paraId="3FE0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A658E">
            <w:pPr>
              <w:pStyle w:val="13"/>
            </w:pPr>
            <w:r>
              <w:t>15</w:t>
            </w:r>
          </w:p>
        </w:tc>
        <w:tc>
          <w:tcPr>
            <w:tcW w:w="4535" w:type="dxa"/>
            <w:vAlign w:val="center"/>
          </w:tcPr>
          <w:p w14:paraId="0078ECB1">
            <w:pPr>
              <w:pStyle w:val="12"/>
            </w:pPr>
          </w:p>
        </w:tc>
        <w:tc>
          <w:tcPr>
            <w:tcW w:w="2126" w:type="dxa"/>
            <w:vAlign w:val="center"/>
          </w:tcPr>
          <w:p w14:paraId="79CF6A35">
            <w:pPr>
              <w:pStyle w:val="11"/>
            </w:pPr>
          </w:p>
        </w:tc>
        <w:tc>
          <w:tcPr>
            <w:tcW w:w="4535" w:type="dxa"/>
            <w:vAlign w:val="center"/>
          </w:tcPr>
          <w:p w14:paraId="3E17C671">
            <w:pPr>
              <w:pStyle w:val="12"/>
            </w:pPr>
            <w:r>
              <w:t>十五、资源勘探工业信息等支出</w:t>
            </w:r>
          </w:p>
        </w:tc>
        <w:tc>
          <w:tcPr>
            <w:tcW w:w="2126" w:type="dxa"/>
            <w:vAlign w:val="center"/>
          </w:tcPr>
          <w:p w14:paraId="6873A3D0">
            <w:pPr>
              <w:pStyle w:val="11"/>
            </w:pPr>
          </w:p>
        </w:tc>
      </w:tr>
      <w:tr w14:paraId="28E9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5EE71">
            <w:pPr>
              <w:pStyle w:val="13"/>
            </w:pPr>
            <w:r>
              <w:t>16</w:t>
            </w:r>
          </w:p>
        </w:tc>
        <w:tc>
          <w:tcPr>
            <w:tcW w:w="4535" w:type="dxa"/>
            <w:vAlign w:val="center"/>
          </w:tcPr>
          <w:p w14:paraId="40D032C0">
            <w:pPr>
              <w:pStyle w:val="12"/>
            </w:pPr>
          </w:p>
        </w:tc>
        <w:tc>
          <w:tcPr>
            <w:tcW w:w="2126" w:type="dxa"/>
            <w:vAlign w:val="center"/>
          </w:tcPr>
          <w:p w14:paraId="6AAAC651">
            <w:pPr>
              <w:pStyle w:val="11"/>
            </w:pPr>
          </w:p>
        </w:tc>
        <w:tc>
          <w:tcPr>
            <w:tcW w:w="4535" w:type="dxa"/>
            <w:vAlign w:val="center"/>
          </w:tcPr>
          <w:p w14:paraId="012290A4">
            <w:pPr>
              <w:pStyle w:val="12"/>
            </w:pPr>
            <w:r>
              <w:t>十六、商业服务业等支出</w:t>
            </w:r>
          </w:p>
        </w:tc>
        <w:tc>
          <w:tcPr>
            <w:tcW w:w="2126" w:type="dxa"/>
            <w:vAlign w:val="center"/>
          </w:tcPr>
          <w:p w14:paraId="3478886D">
            <w:pPr>
              <w:pStyle w:val="11"/>
            </w:pPr>
          </w:p>
        </w:tc>
      </w:tr>
      <w:tr w14:paraId="45F3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0DC7">
            <w:pPr>
              <w:pStyle w:val="13"/>
            </w:pPr>
            <w:r>
              <w:t>17</w:t>
            </w:r>
          </w:p>
        </w:tc>
        <w:tc>
          <w:tcPr>
            <w:tcW w:w="4535" w:type="dxa"/>
            <w:vAlign w:val="center"/>
          </w:tcPr>
          <w:p w14:paraId="4F6FCB01">
            <w:pPr>
              <w:pStyle w:val="12"/>
            </w:pPr>
          </w:p>
        </w:tc>
        <w:tc>
          <w:tcPr>
            <w:tcW w:w="2126" w:type="dxa"/>
            <w:vAlign w:val="center"/>
          </w:tcPr>
          <w:p w14:paraId="31D04EED">
            <w:pPr>
              <w:pStyle w:val="11"/>
            </w:pPr>
          </w:p>
        </w:tc>
        <w:tc>
          <w:tcPr>
            <w:tcW w:w="4535" w:type="dxa"/>
            <w:vAlign w:val="center"/>
          </w:tcPr>
          <w:p w14:paraId="078A4C64">
            <w:pPr>
              <w:pStyle w:val="12"/>
            </w:pPr>
            <w:r>
              <w:t>十七、金融支出</w:t>
            </w:r>
          </w:p>
        </w:tc>
        <w:tc>
          <w:tcPr>
            <w:tcW w:w="2126" w:type="dxa"/>
            <w:vAlign w:val="center"/>
          </w:tcPr>
          <w:p w14:paraId="7BD69528">
            <w:pPr>
              <w:pStyle w:val="11"/>
            </w:pPr>
          </w:p>
        </w:tc>
      </w:tr>
      <w:tr w14:paraId="13C5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8DE08">
            <w:pPr>
              <w:pStyle w:val="13"/>
            </w:pPr>
            <w:r>
              <w:t>18</w:t>
            </w:r>
          </w:p>
        </w:tc>
        <w:tc>
          <w:tcPr>
            <w:tcW w:w="4535" w:type="dxa"/>
            <w:vAlign w:val="center"/>
          </w:tcPr>
          <w:p w14:paraId="7656897B">
            <w:pPr>
              <w:pStyle w:val="12"/>
            </w:pPr>
          </w:p>
        </w:tc>
        <w:tc>
          <w:tcPr>
            <w:tcW w:w="2126" w:type="dxa"/>
            <w:vAlign w:val="center"/>
          </w:tcPr>
          <w:p w14:paraId="16482604">
            <w:pPr>
              <w:pStyle w:val="11"/>
            </w:pPr>
          </w:p>
        </w:tc>
        <w:tc>
          <w:tcPr>
            <w:tcW w:w="4535" w:type="dxa"/>
            <w:vAlign w:val="center"/>
          </w:tcPr>
          <w:p w14:paraId="50448495">
            <w:pPr>
              <w:pStyle w:val="12"/>
            </w:pPr>
            <w:r>
              <w:t>十八、援助其他地区支出</w:t>
            </w:r>
          </w:p>
        </w:tc>
        <w:tc>
          <w:tcPr>
            <w:tcW w:w="2126" w:type="dxa"/>
            <w:vAlign w:val="center"/>
          </w:tcPr>
          <w:p w14:paraId="39AA1B17">
            <w:pPr>
              <w:pStyle w:val="11"/>
            </w:pPr>
          </w:p>
        </w:tc>
      </w:tr>
      <w:tr w14:paraId="3E371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B890B">
            <w:pPr>
              <w:pStyle w:val="13"/>
            </w:pPr>
            <w:r>
              <w:t>19</w:t>
            </w:r>
          </w:p>
        </w:tc>
        <w:tc>
          <w:tcPr>
            <w:tcW w:w="4535" w:type="dxa"/>
            <w:vAlign w:val="center"/>
          </w:tcPr>
          <w:p w14:paraId="1F7F99B6">
            <w:pPr>
              <w:pStyle w:val="12"/>
            </w:pPr>
          </w:p>
        </w:tc>
        <w:tc>
          <w:tcPr>
            <w:tcW w:w="2126" w:type="dxa"/>
            <w:vAlign w:val="center"/>
          </w:tcPr>
          <w:p w14:paraId="4AB51A98">
            <w:pPr>
              <w:pStyle w:val="11"/>
            </w:pPr>
          </w:p>
        </w:tc>
        <w:tc>
          <w:tcPr>
            <w:tcW w:w="4535" w:type="dxa"/>
            <w:vAlign w:val="center"/>
          </w:tcPr>
          <w:p w14:paraId="616DA8FA">
            <w:pPr>
              <w:pStyle w:val="12"/>
            </w:pPr>
            <w:r>
              <w:t>十九、自然资源海洋气象等支出</w:t>
            </w:r>
          </w:p>
        </w:tc>
        <w:tc>
          <w:tcPr>
            <w:tcW w:w="2126" w:type="dxa"/>
            <w:vAlign w:val="center"/>
          </w:tcPr>
          <w:p w14:paraId="5610B743">
            <w:pPr>
              <w:pStyle w:val="11"/>
            </w:pPr>
          </w:p>
        </w:tc>
      </w:tr>
      <w:tr w14:paraId="11C5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30539">
            <w:pPr>
              <w:pStyle w:val="13"/>
            </w:pPr>
            <w:r>
              <w:t>20</w:t>
            </w:r>
          </w:p>
        </w:tc>
        <w:tc>
          <w:tcPr>
            <w:tcW w:w="4535" w:type="dxa"/>
            <w:vAlign w:val="center"/>
          </w:tcPr>
          <w:p w14:paraId="7BA9F74F">
            <w:pPr>
              <w:pStyle w:val="12"/>
            </w:pPr>
          </w:p>
        </w:tc>
        <w:tc>
          <w:tcPr>
            <w:tcW w:w="2126" w:type="dxa"/>
            <w:vAlign w:val="center"/>
          </w:tcPr>
          <w:p w14:paraId="3DA1EE56">
            <w:pPr>
              <w:pStyle w:val="11"/>
            </w:pPr>
          </w:p>
        </w:tc>
        <w:tc>
          <w:tcPr>
            <w:tcW w:w="4535" w:type="dxa"/>
            <w:vAlign w:val="center"/>
          </w:tcPr>
          <w:p w14:paraId="375D5544">
            <w:pPr>
              <w:pStyle w:val="12"/>
            </w:pPr>
            <w:r>
              <w:t>二十、住房保障支出</w:t>
            </w:r>
          </w:p>
        </w:tc>
        <w:tc>
          <w:tcPr>
            <w:tcW w:w="2126" w:type="dxa"/>
            <w:vAlign w:val="center"/>
          </w:tcPr>
          <w:p w14:paraId="3C5CEBBC">
            <w:pPr>
              <w:pStyle w:val="11"/>
            </w:pPr>
          </w:p>
        </w:tc>
      </w:tr>
      <w:tr w14:paraId="4EBA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D290C">
            <w:pPr>
              <w:pStyle w:val="13"/>
            </w:pPr>
            <w:r>
              <w:t>21</w:t>
            </w:r>
          </w:p>
        </w:tc>
        <w:tc>
          <w:tcPr>
            <w:tcW w:w="4535" w:type="dxa"/>
            <w:vAlign w:val="center"/>
          </w:tcPr>
          <w:p w14:paraId="281381B9">
            <w:pPr>
              <w:pStyle w:val="12"/>
            </w:pPr>
          </w:p>
        </w:tc>
        <w:tc>
          <w:tcPr>
            <w:tcW w:w="2126" w:type="dxa"/>
            <w:vAlign w:val="center"/>
          </w:tcPr>
          <w:p w14:paraId="496054E9">
            <w:pPr>
              <w:pStyle w:val="11"/>
            </w:pPr>
          </w:p>
        </w:tc>
        <w:tc>
          <w:tcPr>
            <w:tcW w:w="4535" w:type="dxa"/>
            <w:vAlign w:val="center"/>
          </w:tcPr>
          <w:p w14:paraId="5A8C1894">
            <w:pPr>
              <w:pStyle w:val="12"/>
            </w:pPr>
            <w:r>
              <w:t>二十一、粮油物资储备支出</w:t>
            </w:r>
          </w:p>
        </w:tc>
        <w:tc>
          <w:tcPr>
            <w:tcW w:w="2126" w:type="dxa"/>
            <w:vAlign w:val="center"/>
          </w:tcPr>
          <w:p w14:paraId="0A72DF75">
            <w:pPr>
              <w:pStyle w:val="11"/>
            </w:pPr>
          </w:p>
        </w:tc>
      </w:tr>
      <w:tr w14:paraId="68F2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4F384">
            <w:pPr>
              <w:pStyle w:val="13"/>
            </w:pPr>
            <w:r>
              <w:t>22</w:t>
            </w:r>
          </w:p>
        </w:tc>
        <w:tc>
          <w:tcPr>
            <w:tcW w:w="4535" w:type="dxa"/>
            <w:vAlign w:val="center"/>
          </w:tcPr>
          <w:p w14:paraId="153CBE1B">
            <w:pPr>
              <w:pStyle w:val="12"/>
            </w:pPr>
          </w:p>
        </w:tc>
        <w:tc>
          <w:tcPr>
            <w:tcW w:w="2126" w:type="dxa"/>
            <w:vAlign w:val="center"/>
          </w:tcPr>
          <w:p w14:paraId="732CC691">
            <w:pPr>
              <w:pStyle w:val="11"/>
            </w:pPr>
          </w:p>
        </w:tc>
        <w:tc>
          <w:tcPr>
            <w:tcW w:w="4535" w:type="dxa"/>
            <w:vAlign w:val="center"/>
          </w:tcPr>
          <w:p w14:paraId="6BDA3CCB">
            <w:pPr>
              <w:pStyle w:val="12"/>
            </w:pPr>
            <w:r>
              <w:t>二十二、国有资本经营预算支出</w:t>
            </w:r>
          </w:p>
        </w:tc>
        <w:tc>
          <w:tcPr>
            <w:tcW w:w="2126" w:type="dxa"/>
            <w:vAlign w:val="center"/>
          </w:tcPr>
          <w:p w14:paraId="2ED6D050">
            <w:pPr>
              <w:pStyle w:val="11"/>
            </w:pPr>
          </w:p>
        </w:tc>
      </w:tr>
      <w:tr w14:paraId="621C3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C3E80">
            <w:pPr>
              <w:pStyle w:val="13"/>
            </w:pPr>
            <w:r>
              <w:t>23</w:t>
            </w:r>
          </w:p>
        </w:tc>
        <w:tc>
          <w:tcPr>
            <w:tcW w:w="4535" w:type="dxa"/>
            <w:vAlign w:val="center"/>
          </w:tcPr>
          <w:p w14:paraId="502D714D">
            <w:pPr>
              <w:pStyle w:val="12"/>
            </w:pPr>
          </w:p>
        </w:tc>
        <w:tc>
          <w:tcPr>
            <w:tcW w:w="2126" w:type="dxa"/>
            <w:vAlign w:val="center"/>
          </w:tcPr>
          <w:p w14:paraId="47C66040">
            <w:pPr>
              <w:pStyle w:val="11"/>
            </w:pPr>
          </w:p>
        </w:tc>
        <w:tc>
          <w:tcPr>
            <w:tcW w:w="4535" w:type="dxa"/>
            <w:vAlign w:val="center"/>
          </w:tcPr>
          <w:p w14:paraId="4ACF2E54">
            <w:pPr>
              <w:pStyle w:val="12"/>
            </w:pPr>
            <w:r>
              <w:t>二十三、灾害防治及应急管理支出</w:t>
            </w:r>
          </w:p>
        </w:tc>
        <w:tc>
          <w:tcPr>
            <w:tcW w:w="2126" w:type="dxa"/>
            <w:vAlign w:val="center"/>
          </w:tcPr>
          <w:p w14:paraId="50F572F4">
            <w:pPr>
              <w:pStyle w:val="11"/>
            </w:pPr>
          </w:p>
        </w:tc>
      </w:tr>
      <w:tr w14:paraId="2005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F4002">
            <w:pPr>
              <w:pStyle w:val="13"/>
            </w:pPr>
            <w:r>
              <w:t>24</w:t>
            </w:r>
          </w:p>
        </w:tc>
        <w:tc>
          <w:tcPr>
            <w:tcW w:w="4535" w:type="dxa"/>
            <w:vAlign w:val="center"/>
          </w:tcPr>
          <w:p w14:paraId="3BC79656">
            <w:pPr>
              <w:pStyle w:val="12"/>
            </w:pPr>
          </w:p>
        </w:tc>
        <w:tc>
          <w:tcPr>
            <w:tcW w:w="2126" w:type="dxa"/>
            <w:vAlign w:val="center"/>
          </w:tcPr>
          <w:p w14:paraId="0AC0DBD1">
            <w:pPr>
              <w:pStyle w:val="11"/>
            </w:pPr>
          </w:p>
        </w:tc>
        <w:tc>
          <w:tcPr>
            <w:tcW w:w="4535" w:type="dxa"/>
            <w:vAlign w:val="center"/>
          </w:tcPr>
          <w:p w14:paraId="1E37147C">
            <w:pPr>
              <w:pStyle w:val="12"/>
            </w:pPr>
            <w:r>
              <w:t>二十四、预备费</w:t>
            </w:r>
          </w:p>
        </w:tc>
        <w:tc>
          <w:tcPr>
            <w:tcW w:w="2126" w:type="dxa"/>
            <w:vAlign w:val="center"/>
          </w:tcPr>
          <w:p w14:paraId="3ADE941C">
            <w:pPr>
              <w:pStyle w:val="11"/>
            </w:pPr>
          </w:p>
        </w:tc>
      </w:tr>
      <w:tr w14:paraId="3498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8FDCB">
            <w:pPr>
              <w:pStyle w:val="13"/>
            </w:pPr>
            <w:r>
              <w:t>25</w:t>
            </w:r>
          </w:p>
        </w:tc>
        <w:tc>
          <w:tcPr>
            <w:tcW w:w="4535" w:type="dxa"/>
            <w:vAlign w:val="center"/>
          </w:tcPr>
          <w:p w14:paraId="2B968408">
            <w:pPr>
              <w:pStyle w:val="12"/>
            </w:pPr>
          </w:p>
        </w:tc>
        <w:tc>
          <w:tcPr>
            <w:tcW w:w="2126" w:type="dxa"/>
            <w:vAlign w:val="center"/>
          </w:tcPr>
          <w:p w14:paraId="6FFC9599">
            <w:pPr>
              <w:pStyle w:val="11"/>
            </w:pPr>
          </w:p>
        </w:tc>
        <w:tc>
          <w:tcPr>
            <w:tcW w:w="4535" w:type="dxa"/>
            <w:vAlign w:val="center"/>
          </w:tcPr>
          <w:p w14:paraId="5A25642F">
            <w:pPr>
              <w:pStyle w:val="12"/>
            </w:pPr>
            <w:r>
              <w:t>二十五、其他支出</w:t>
            </w:r>
          </w:p>
        </w:tc>
        <w:tc>
          <w:tcPr>
            <w:tcW w:w="2126" w:type="dxa"/>
            <w:vAlign w:val="center"/>
          </w:tcPr>
          <w:p w14:paraId="26B4C751">
            <w:pPr>
              <w:pStyle w:val="11"/>
            </w:pPr>
          </w:p>
        </w:tc>
      </w:tr>
      <w:tr w14:paraId="13A8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623AC">
            <w:pPr>
              <w:pStyle w:val="13"/>
            </w:pPr>
            <w:r>
              <w:t>26</w:t>
            </w:r>
          </w:p>
        </w:tc>
        <w:tc>
          <w:tcPr>
            <w:tcW w:w="4535" w:type="dxa"/>
            <w:vAlign w:val="center"/>
          </w:tcPr>
          <w:p w14:paraId="13B36D10">
            <w:pPr>
              <w:pStyle w:val="12"/>
            </w:pPr>
          </w:p>
        </w:tc>
        <w:tc>
          <w:tcPr>
            <w:tcW w:w="2126" w:type="dxa"/>
            <w:vAlign w:val="center"/>
          </w:tcPr>
          <w:p w14:paraId="207959D8">
            <w:pPr>
              <w:pStyle w:val="11"/>
            </w:pPr>
          </w:p>
        </w:tc>
        <w:tc>
          <w:tcPr>
            <w:tcW w:w="4535" w:type="dxa"/>
            <w:vAlign w:val="center"/>
          </w:tcPr>
          <w:p w14:paraId="2CBD944D">
            <w:pPr>
              <w:pStyle w:val="12"/>
            </w:pPr>
            <w:r>
              <w:t>二十六、转移性支出</w:t>
            </w:r>
          </w:p>
        </w:tc>
        <w:tc>
          <w:tcPr>
            <w:tcW w:w="2126" w:type="dxa"/>
            <w:vAlign w:val="center"/>
          </w:tcPr>
          <w:p w14:paraId="405AC966">
            <w:pPr>
              <w:pStyle w:val="11"/>
            </w:pPr>
          </w:p>
        </w:tc>
      </w:tr>
      <w:tr w14:paraId="3979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4D7D7">
            <w:pPr>
              <w:pStyle w:val="13"/>
            </w:pPr>
            <w:r>
              <w:t>27</w:t>
            </w:r>
          </w:p>
        </w:tc>
        <w:tc>
          <w:tcPr>
            <w:tcW w:w="4535" w:type="dxa"/>
            <w:vAlign w:val="center"/>
          </w:tcPr>
          <w:p w14:paraId="7E685107">
            <w:pPr>
              <w:pStyle w:val="12"/>
            </w:pPr>
          </w:p>
        </w:tc>
        <w:tc>
          <w:tcPr>
            <w:tcW w:w="2126" w:type="dxa"/>
            <w:vAlign w:val="center"/>
          </w:tcPr>
          <w:p w14:paraId="48FC8690">
            <w:pPr>
              <w:pStyle w:val="11"/>
            </w:pPr>
          </w:p>
        </w:tc>
        <w:tc>
          <w:tcPr>
            <w:tcW w:w="4535" w:type="dxa"/>
            <w:vAlign w:val="center"/>
          </w:tcPr>
          <w:p w14:paraId="76B16F1E">
            <w:pPr>
              <w:pStyle w:val="12"/>
            </w:pPr>
            <w:r>
              <w:t>二十七、债务还本支出</w:t>
            </w:r>
          </w:p>
        </w:tc>
        <w:tc>
          <w:tcPr>
            <w:tcW w:w="2126" w:type="dxa"/>
            <w:vAlign w:val="center"/>
          </w:tcPr>
          <w:p w14:paraId="2D701B3E">
            <w:pPr>
              <w:pStyle w:val="11"/>
            </w:pPr>
          </w:p>
        </w:tc>
      </w:tr>
      <w:tr w14:paraId="6362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5811">
            <w:pPr>
              <w:pStyle w:val="13"/>
            </w:pPr>
            <w:r>
              <w:t>28</w:t>
            </w:r>
          </w:p>
        </w:tc>
        <w:tc>
          <w:tcPr>
            <w:tcW w:w="4535" w:type="dxa"/>
            <w:vAlign w:val="center"/>
          </w:tcPr>
          <w:p w14:paraId="370C0BCE">
            <w:pPr>
              <w:pStyle w:val="12"/>
            </w:pPr>
          </w:p>
        </w:tc>
        <w:tc>
          <w:tcPr>
            <w:tcW w:w="2126" w:type="dxa"/>
            <w:vAlign w:val="center"/>
          </w:tcPr>
          <w:p w14:paraId="7C5526E3">
            <w:pPr>
              <w:pStyle w:val="11"/>
            </w:pPr>
          </w:p>
        </w:tc>
        <w:tc>
          <w:tcPr>
            <w:tcW w:w="4535" w:type="dxa"/>
            <w:vAlign w:val="center"/>
          </w:tcPr>
          <w:p w14:paraId="64D3B15F">
            <w:pPr>
              <w:pStyle w:val="12"/>
            </w:pPr>
            <w:r>
              <w:t>二十八、债务付息支出</w:t>
            </w:r>
          </w:p>
        </w:tc>
        <w:tc>
          <w:tcPr>
            <w:tcW w:w="2126" w:type="dxa"/>
            <w:vAlign w:val="center"/>
          </w:tcPr>
          <w:p w14:paraId="71BE993B">
            <w:pPr>
              <w:pStyle w:val="11"/>
            </w:pPr>
          </w:p>
        </w:tc>
      </w:tr>
      <w:tr w14:paraId="4E91C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8C819">
            <w:pPr>
              <w:pStyle w:val="13"/>
            </w:pPr>
            <w:r>
              <w:t>29</w:t>
            </w:r>
          </w:p>
        </w:tc>
        <w:tc>
          <w:tcPr>
            <w:tcW w:w="4535" w:type="dxa"/>
            <w:vAlign w:val="center"/>
          </w:tcPr>
          <w:p w14:paraId="2B494C01">
            <w:pPr>
              <w:pStyle w:val="12"/>
            </w:pPr>
          </w:p>
        </w:tc>
        <w:tc>
          <w:tcPr>
            <w:tcW w:w="2126" w:type="dxa"/>
            <w:vAlign w:val="center"/>
          </w:tcPr>
          <w:p w14:paraId="562F338B">
            <w:pPr>
              <w:pStyle w:val="11"/>
            </w:pPr>
          </w:p>
        </w:tc>
        <w:tc>
          <w:tcPr>
            <w:tcW w:w="4535" w:type="dxa"/>
            <w:vAlign w:val="center"/>
          </w:tcPr>
          <w:p w14:paraId="6F82C9B3">
            <w:pPr>
              <w:pStyle w:val="12"/>
            </w:pPr>
            <w:r>
              <w:t>二十九、债务发行费用支出</w:t>
            </w:r>
          </w:p>
        </w:tc>
        <w:tc>
          <w:tcPr>
            <w:tcW w:w="2126" w:type="dxa"/>
            <w:vAlign w:val="center"/>
          </w:tcPr>
          <w:p w14:paraId="0BFBD37B">
            <w:pPr>
              <w:pStyle w:val="11"/>
            </w:pPr>
          </w:p>
        </w:tc>
      </w:tr>
      <w:tr w14:paraId="3750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26716">
            <w:pPr>
              <w:pStyle w:val="13"/>
            </w:pPr>
            <w:r>
              <w:t>30</w:t>
            </w:r>
          </w:p>
        </w:tc>
        <w:tc>
          <w:tcPr>
            <w:tcW w:w="4535" w:type="dxa"/>
            <w:vAlign w:val="center"/>
          </w:tcPr>
          <w:p w14:paraId="6D0D1560">
            <w:pPr>
              <w:pStyle w:val="12"/>
            </w:pPr>
          </w:p>
        </w:tc>
        <w:tc>
          <w:tcPr>
            <w:tcW w:w="2126" w:type="dxa"/>
            <w:vAlign w:val="center"/>
          </w:tcPr>
          <w:p w14:paraId="7DCAEDDE">
            <w:pPr>
              <w:pStyle w:val="11"/>
            </w:pPr>
          </w:p>
        </w:tc>
        <w:tc>
          <w:tcPr>
            <w:tcW w:w="4535" w:type="dxa"/>
            <w:vAlign w:val="center"/>
          </w:tcPr>
          <w:p w14:paraId="5D22E334">
            <w:pPr>
              <w:pStyle w:val="12"/>
            </w:pPr>
            <w:r>
              <w:t>三十、抗疫特别国债安排的支出</w:t>
            </w:r>
          </w:p>
        </w:tc>
        <w:tc>
          <w:tcPr>
            <w:tcW w:w="2126" w:type="dxa"/>
            <w:vAlign w:val="center"/>
          </w:tcPr>
          <w:p w14:paraId="32022406">
            <w:pPr>
              <w:pStyle w:val="11"/>
            </w:pPr>
          </w:p>
        </w:tc>
      </w:tr>
      <w:tr w14:paraId="2B0D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35F2">
            <w:pPr>
              <w:pStyle w:val="13"/>
            </w:pPr>
            <w:r>
              <w:t>31</w:t>
            </w:r>
          </w:p>
        </w:tc>
        <w:tc>
          <w:tcPr>
            <w:tcW w:w="4535" w:type="dxa"/>
            <w:vAlign w:val="center"/>
          </w:tcPr>
          <w:p w14:paraId="457ACA20">
            <w:pPr>
              <w:pStyle w:val="14"/>
            </w:pPr>
            <w:r>
              <w:t>本年收入合计</w:t>
            </w:r>
          </w:p>
        </w:tc>
        <w:tc>
          <w:tcPr>
            <w:tcW w:w="2126" w:type="dxa"/>
            <w:vAlign w:val="center"/>
          </w:tcPr>
          <w:p w14:paraId="25E5C3B2">
            <w:pPr>
              <w:pStyle w:val="15"/>
            </w:pPr>
            <w:r>
              <w:t>3991.51</w:t>
            </w:r>
          </w:p>
        </w:tc>
        <w:tc>
          <w:tcPr>
            <w:tcW w:w="4535" w:type="dxa"/>
            <w:vAlign w:val="center"/>
          </w:tcPr>
          <w:p w14:paraId="59EBC0C5">
            <w:pPr>
              <w:pStyle w:val="14"/>
            </w:pPr>
            <w:r>
              <w:t>本年支出合计</w:t>
            </w:r>
          </w:p>
        </w:tc>
        <w:tc>
          <w:tcPr>
            <w:tcW w:w="2126" w:type="dxa"/>
            <w:vAlign w:val="center"/>
          </w:tcPr>
          <w:p w14:paraId="4227A69F">
            <w:pPr>
              <w:pStyle w:val="15"/>
            </w:pPr>
            <w:r>
              <w:t>3991.51</w:t>
            </w:r>
          </w:p>
        </w:tc>
      </w:tr>
      <w:tr w14:paraId="53ED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8CF58">
            <w:pPr>
              <w:pStyle w:val="13"/>
            </w:pPr>
            <w:r>
              <w:t>32</w:t>
            </w:r>
          </w:p>
        </w:tc>
        <w:tc>
          <w:tcPr>
            <w:tcW w:w="4535" w:type="dxa"/>
            <w:vAlign w:val="center"/>
          </w:tcPr>
          <w:p w14:paraId="35945545">
            <w:pPr>
              <w:pStyle w:val="12"/>
            </w:pPr>
            <w:r>
              <w:t>上年结转结余</w:t>
            </w:r>
          </w:p>
        </w:tc>
        <w:tc>
          <w:tcPr>
            <w:tcW w:w="2126" w:type="dxa"/>
            <w:vAlign w:val="center"/>
          </w:tcPr>
          <w:p w14:paraId="49A1F6FB">
            <w:pPr>
              <w:pStyle w:val="11"/>
            </w:pPr>
          </w:p>
        </w:tc>
        <w:tc>
          <w:tcPr>
            <w:tcW w:w="4535" w:type="dxa"/>
            <w:vAlign w:val="center"/>
          </w:tcPr>
          <w:p w14:paraId="4A08B66D">
            <w:pPr>
              <w:pStyle w:val="12"/>
            </w:pPr>
            <w:r>
              <w:t>年终结转结余</w:t>
            </w:r>
          </w:p>
        </w:tc>
        <w:tc>
          <w:tcPr>
            <w:tcW w:w="2126" w:type="dxa"/>
            <w:vAlign w:val="center"/>
          </w:tcPr>
          <w:p w14:paraId="088BDB43">
            <w:pPr>
              <w:pStyle w:val="11"/>
            </w:pPr>
          </w:p>
        </w:tc>
      </w:tr>
      <w:tr w14:paraId="1DBD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8F6BB">
            <w:pPr>
              <w:pStyle w:val="13"/>
            </w:pPr>
            <w:r>
              <w:t>33</w:t>
            </w:r>
          </w:p>
        </w:tc>
        <w:tc>
          <w:tcPr>
            <w:tcW w:w="4535" w:type="dxa"/>
            <w:vAlign w:val="center"/>
          </w:tcPr>
          <w:p w14:paraId="48D6DB8B">
            <w:pPr>
              <w:pStyle w:val="14"/>
            </w:pPr>
            <w:r>
              <w:t>收入总计</w:t>
            </w:r>
          </w:p>
        </w:tc>
        <w:tc>
          <w:tcPr>
            <w:tcW w:w="2126" w:type="dxa"/>
            <w:vAlign w:val="center"/>
          </w:tcPr>
          <w:p w14:paraId="6BD8AE68">
            <w:pPr>
              <w:pStyle w:val="15"/>
            </w:pPr>
            <w:r>
              <w:t>3991.51</w:t>
            </w:r>
          </w:p>
        </w:tc>
        <w:tc>
          <w:tcPr>
            <w:tcW w:w="4535" w:type="dxa"/>
            <w:vAlign w:val="center"/>
          </w:tcPr>
          <w:p w14:paraId="37EB2F6A">
            <w:pPr>
              <w:pStyle w:val="14"/>
            </w:pPr>
            <w:r>
              <w:t>支出总计</w:t>
            </w:r>
          </w:p>
        </w:tc>
        <w:tc>
          <w:tcPr>
            <w:tcW w:w="2126" w:type="dxa"/>
            <w:vAlign w:val="center"/>
          </w:tcPr>
          <w:p w14:paraId="728CBAA8">
            <w:pPr>
              <w:pStyle w:val="15"/>
            </w:pPr>
            <w:r>
              <w:t>3991.51</w:t>
            </w:r>
          </w:p>
        </w:tc>
      </w:tr>
    </w:tbl>
    <w:p w14:paraId="21168189">
      <w:pPr>
        <w:sectPr>
          <w:pgSz w:w="16840" w:h="11900" w:orient="landscape"/>
          <w:pgMar w:top="1361" w:right="1020" w:bottom="1134" w:left="1020" w:header="720" w:footer="720" w:gutter="0"/>
          <w:cols w:space="720" w:num="1"/>
        </w:sectPr>
      </w:pPr>
    </w:p>
    <w:p w14:paraId="1799FE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5D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73C606">
            <w:pPr>
              <w:pStyle w:val="9"/>
            </w:pPr>
            <w:r>
              <w:t>360022隆尧县尹村校区</w:t>
            </w:r>
          </w:p>
        </w:tc>
        <w:tc>
          <w:tcPr>
            <w:tcW w:w="3402" w:type="dxa"/>
            <w:gridSpan w:val="3"/>
            <w:tcBorders>
              <w:top w:val="single" w:color="FFFFFF" w:sz="6" w:space="0"/>
              <w:left w:val="single" w:color="FFFFFF" w:sz="6" w:space="0"/>
              <w:right w:val="single" w:color="FFFFFF" w:sz="6" w:space="0"/>
            </w:tcBorders>
            <w:vAlign w:val="center"/>
          </w:tcPr>
          <w:p w14:paraId="4628D0F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C6FC8CF">
            <w:pPr>
              <w:pStyle w:val="7"/>
            </w:pPr>
            <w:r>
              <w:t>单位：万元</w:t>
            </w:r>
          </w:p>
        </w:tc>
      </w:tr>
      <w:tr w14:paraId="5F79F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C6FE86">
            <w:pPr>
              <w:pStyle w:val="10"/>
            </w:pPr>
            <w:r>
              <w:t>序号</w:t>
            </w:r>
          </w:p>
        </w:tc>
        <w:tc>
          <w:tcPr>
            <w:tcW w:w="2551" w:type="dxa"/>
            <w:gridSpan w:val="2"/>
            <w:vAlign w:val="center"/>
          </w:tcPr>
          <w:p w14:paraId="350F6AB8">
            <w:pPr>
              <w:pStyle w:val="10"/>
            </w:pPr>
            <w:r>
              <w:t>功能分类科目</w:t>
            </w:r>
          </w:p>
        </w:tc>
        <w:tc>
          <w:tcPr>
            <w:tcW w:w="1134" w:type="dxa"/>
            <w:vMerge w:val="restart"/>
            <w:vAlign w:val="center"/>
          </w:tcPr>
          <w:p w14:paraId="64A04B0E">
            <w:pPr>
              <w:pStyle w:val="10"/>
            </w:pPr>
            <w:r>
              <w:t>合计</w:t>
            </w:r>
          </w:p>
        </w:tc>
        <w:tc>
          <w:tcPr>
            <w:tcW w:w="9072" w:type="dxa"/>
            <w:gridSpan w:val="8"/>
            <w:vAlign w:val="center"/>
          </w:tcPr>
          <w:p w14:paraId="0B2C08BD">
            <w:pPr>
              <w:pStyle w:val="10"/>
            </w:pPr>
            <w:r>
              <w:t>本年收入</w:t>
            </w:r>
          </w:p>
        </w:tc>
        <w:tc>
          <w:tcPr>
            <w:tcW w:w="1134" w:type="dxa"/>
            <w:vMerge w:val="restart"/>
            <w:vAlign w:val="center"/>
          </w:tcPr>
          <w:p w14:paraId="5FED9AA8">
            <w:pPr>
              <w:pStyle w:val="10"/>
            </w:pPr>
            <w:r>
              <w:t>上年结转</w:t>
            </w:r>
          </w:p>
        </w:tc>
      </w:tr>
      <w:tr w14:paraId="4AAF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964055"/>
        </w:tc>
        <w:tc>
          <w:tcPr>
            <w:tcW w:w="992" w:type="dxa"/>
            <w:vAlign w:val="center"/>
          </w:tcPr>
          <w:p w14:paraId="762AB6B8">
            <w:pPr>
              <w:pStyle w:val="10"/>
            </w:pPr>
            <w:r>
              <w:t>科目    编码</w:t>
            </w:r>
          </w:p>
        </w:tc>
        <w:tc>
          <w:tcPr>
            <w:tcW w:w="1559" w:type="dxa"/>
            <w:vAlign w:val="center"/>
          </w:tcPr>
          <w:p w14:paraId="79AD9329">
            <w:pPr>
              <w:pStyle w:val="10"/>
            </w:pPr>
            <w:r>
              <w:t>科目名称</w:t>
            </w:r>
          </w:p>
        </w:tc>
        <w:tc>
          <w:tcPr>
            <w:tcW w:w="1134" w:type="dxa"/>
            <w:vMerge w:val="continue"/>
          </w:tcPr>
          <w:p w14:paraId="76EA7B81"/>
        </w:tc>
        <w:tc>
          <w:tcPr>
            <w:tcW w:w="1134" w:type="dxa"/>
            <w:vAlign w:val="center"/>
          </w:tcPr>
          <w:p w14:paraId="090A407D">
            <w:pPr>
              <w:pStyle w:val="10"/>
            </w:pPr>
            <w:r>
              <w:t>小计</w:t>
            </w:r>
          </w:p>
        </w:tc>
        <w:tc>
          <w:tcPr>
            <w:tcW w:w="1134" w:type="dxa"/>
            <w:vAlign w:val="center"/>
          </w:tcPr>
          <w:p w14:paraId="3159C294">
            <w:pPr>
              <w:pStyle w:val="10"/>
            </w:pPr>
            <w:r>
              <w:t>财政拨款 收入</w:t>
            </w:r>
          </w:p>
        </w:tc>
        <w:tc>
          <w:tcPr>
            <w:tcW w:w="1134" w:type="dxa"/>
            <w:vAlign w:val="center"/>
          </w:tcPr>
          <w:p w14:paraId="1AFFEC4A">
            <w:pPr>
              <w:pStyle w:val="10"/>
            </w:pPr>
            <w:r>
              <w:t>财政专户 收入</w:t>
            </w:r>
          </w:p>
        </w:tc>
        <w:tc>
          <w:tcPr>
            <w:tcW w:w="1134" w:type="dxa"/>
            <w:vAlign w:val="center"/>
          </w:tcPr>
          <w:p w14:paraId="0DF5963C">
            <w:pPr>
              <w:pStyle w:val="10"/>
            </w:pPr>
            <w:r>
              <w:t>事业收入</w:t>
            </w:r>
          </w:p>
        </w:tc>
        <w:tc>
          <w:tcPr>
            <w:tcW w:w="1134" w:type="dxa"/>
            <w:vAlign w:val="center"/>
          </w:tcPr>
          <w:p w14:paraId="5F4545E5">
            <w:pPr>
              <w:pStyle w:val="10"/>
            </w:pPr>
            <w:r>
              <w:t>经营收入</w:t>
            </w:r>
          </w:p>
        </w:tc>
        <w:tc>
          <w:tcPr>
            <w:tcW w:w="1134" w:type="dxa"/>
            <w:vAlign w:val="center"/>
          </w:tcPr>
          <w:p w14:paraId="10354ACA">
            <w:pPr>
              <w:pStyle w:val="10"/>
            </w:pPr>
            <w:r>
              <w:t>上级补助收入</w:t>
            </w:r>
          </w:p>
        </w:tc>
        <w:tc>
          <w:tcPr>
            <w:tcW w:w="1134" w:type="dxa"/>
            <w:vAlign w:val="center"/>
          </w:tcPr>
          <w:p w14:paraId="55C497A8">
            <w:pPr>
              <w:pStyle w:val="10"/>
            </w:pPr>
            <w:r>
              <w:t>附属单位上缴收入</w:t>
            </w:r>
          </w:p>
        </w:tc>
        <w:tc>
          <w:tcPr>
            <w:tcW w:w="1134" w:type="dxa"/>
            <w:vAlign w:val="center"/>
          </w:tcPr>
          <w:p w14:paraId="03EF744D">
            <w:pPr>
              <w:pStyle w:val="10"/>
            </w:pPr>
            <w:r>
              <w:t>其他收入</w:t>
            </w:r>
          </w:p>
        </w:tc>
        <w:tc>
          <w:tcPr>
            <w:tcW w:w="1134" w:type="dxa"/>
            <w:vMerge w:val="continue"/>
          </w:tcPr>
          <w:p w14:paraId="7063A816"/>
        </w:tc>
      </w:tr>
      <w:tr w14:paraId="3DD8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4CBCD8">
            <w:pPr>
              <w:pStyle w:val="10"/>
            </w:pPr>
            <w:r>
              <w:t>栏次</w:t>
            </w:r>
          </w:p>
        </w:tc>
        <w:tc>
          <w:tcPr>
            <w:tcW w:w="992" w:type="dxa"/>
            <w:vAlign w:val="center"/>
          </w:tcPr>
          <w:p w14:paraId="7AE15D3E">
            <w:pPr>
              <w:pStyle w:val="10"/>
            </w:pPr>
            <w:r>
              <w:t>1</w:t>
            </w:r>
          </w:p>
        </w:tc>
        <w:tc>
          <w:tcPr>
            <w:tcW w:w="1559" w:type="dxa"/>
            <w:vAlign w:val="center"/>
          </w:tcPr>
          <w:p w14:paraId="74213D5A">
            <w:pPr>
              <w:pStyle w:val="10"/>
            </w:pPr>
            <w:r>
              <w:t>2</w:t>
            </w:r>
          </w:p>
        </w:tc>
        <w:tc>
          <w:tcPr>
            <w:tcW w:w="1134" w:type="dxa"/>
            <w:vAlign w:val="center"/>
          </w:tcPr>
          <w:p w14:paraId="409A4861">
            <w:pPr>
              <w:pStyle w:val="10"/>
            </w:pPr>
            <w:r>
              <w:t>3</w:t>
            </w:r>
          </w:p>
        </w:tc>
        <w:tc>
          <w:tcPr>
            <w:tcW w:w="1134" w:type="dxa"/>
            <w:vAlign w:val="center"/>
          </w:tcPr>
          <w:p w14:paraId="3C1A9144">
            <w:pPr>
              <w:pStyle w:val="10"/>
            </w:pPr>
            <w:r>
              <w:t>4</w:t>
            </w:r>
          </w:p>
        </w:tc>
        <w:tc>
          <w:tcPr>
            <w:tcW w:w="1134" w:type="dxa"/>
            <w:vAlign w:val="center"/>
          </w:tcPr>
          <w:p w14:paraId="3B6A4BEA">
            <w:pPr>
              <w:pStyle w:val="10"/>
            </w:pPr>
            <w:r>
              <w:t>5</w:t>
            </w:r>
          </w:p>
        </w:tc>
        <w:tc>
          <w:tcPr>
            <w:tcW w:w="1134" w:type="dxa"/>
            <w:vAlign w:val="center"/>
          </w:tcPr>
          <w:p w14:paraId="0A1EC4B6">
            <w:pPr>
              <w:pStyle w:val="10"/>
            </w:pPr>
            <w:r>
              <w:t>6</w:t>
            </w:r>
          </w:p>
        </w:tc>
        <w:tc>
          <w:tcPr>
            <w:tcW w:w="1134" w:type="dxa"/>
            <w:vAlign w:val="center"/>
          </w:tcPr>
          <w:p w14:paraId="583AA875">
            <w:pPr>
              <w:pStyle w:val="10"/>
            </w:pPr>
            <w:r>
              <w:t>7</w:t>
            </w:r>
          </w:p>
        </w:tc>
        <w:tc>
          <w:tcPr>
            <w:tcW w:w="1134" w:type="dxa"/>
            <w:vAlign w:val="center"/>
          </w:tcPr>
          <w:p w14:paraId="6186D417">
            <w:pPr>
              <w:pStyle w:val="10"/>
            </w:pPr>
            <w:r>
              <w:t>8</w:t>
            </w:r>
          </w:p>
        </w:tc>
        <w:tc>
          <w:tcPr>
            <w:tcW w:w="1134" w:type="dxa"/>
            <w:vAlign w:val="center"/>
          </w:tcPr>
          <w:p w14:paraId="23C9A827">
            <w:pPr>
              <w:pStyle w:val="10"/>
            </w:pPr>
            <w:r>
              <w:t>9</w:t>
            </w:r>
          </w:p>
        </w:tc>
        <w:tc>
          <w:tcPr>
            <w:tcW w:w="1134" w:type="dxa"/>
            <w:vAlign w:val="center"/>
          </w:tcPr>
          <w:p w14:paraId="65AA8294">
            <w:pPr>
              <w:pStyle w:val="10"/>
            </w:pPr>
            <w:r>
              <w:t>10</w:t>
            </w:r>
          </w:p>
        </w:tc>
        <w:tc>
          <w:tcPr>
            <w:tcW w:w="1134" w:type="dxa"/>
            <w:vAlign w:val="center"/>
          </w:tcPr>
          <w:p w14:paraId="7346CAF2">
            <w:pPr>
              <w:pStyle w:val="10"/>
            </w:pPr>
            <w:r>
              <w:t>11</w:t>
            </w:r>
          </w:p>
        </w:tc>
        <w:tc>
          <w:tcPr>
            <w:tcW w:w="1134" w:type="dxa"/>
            <w:vAlign w:val="center"/>
          </w:tcPr>
          <w:p w14:paraId="181A00FC">
            <w:pPr>
              <w:pStyle w:val="10"/>
            </w:pPr>
            <w:r>
              <w:t>12</w:t>
            </w:r>
          </w:p>
        </w:tc>
      </w:tr>
      <w:tr w14:paraId="5F9C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8D3D7">
            <w:pPr>
              <w:pStyle w:val="13"/>
            </w:pPr>
            <w:r>
              <w:t>1</w:t>
            </w:r>
          </w:p>
        </w:tc>
        <w:tc>
          <w:tcPr>
            <w:tcW w:w="992" w:type="dxa"/>
            <w:vAlign w:val="center"/>
          </w:tcPr>
          <w:p w14:paraId="79E36526">
            <w:pPr>
              <w:pStyle w:val="16"/>
            </w:pPr>
          </w:p>
        </w:tc>
        <w:tc>
          <w:tcPr>
            <w:tcW w:w="1559" w:type="dxa"/>
            <w:vAlign w:val="center"/>
          </w:tcPr>
          <w:p w14:paraId="4AC00044">
            <w:pPr>
              <w:pStyle w:val="14"/>
            </w:pPr>
            <w:r>
              <w:t>合计</w:t>
            </w:r>
          </w:p>
        </w:tc>
        <w:tc>
          <w:tcPr>
            <w:tcW w:w="1134" w:type="dxa"/>
            <w:vAlign w:val="center"/>
          </w:tcPr>
          <w:p w14:paraId="123DF0AE">
            <w:pPr>
              <w:pStyle w:val="15"/>
            </w:pPr>
            <w:r>
              <w:t>3991.51</w:t>
            </w:r>
          </w:p>
        </w:tc>
        <w:tc>
          <w:tcPr>
            <w:tcW w:w="1134" w:type="dxa"/>
            <w:vAlign w:val="center"/>
          </w:tcPr>
          <w:p w14:paraId="403C7963">
            <w:pPr>
              <w:pStyle w:val="15"/>
            </w:pPr>
            <w:r>
              <w:t>3991.51</w:t>
            </w:r>
          </w:p>
        </w:tc>
        <w:tc>
          <w:tcPr>
            <w:tcW w:w="1134" w:type="dxa"/>
            <w:vAlign w:val="center"/>
          </w:tcPr>
          <w:p w14:paraId="1065323A">
            <w:pPr>
              <w:pStyle w:val="15"/>
            </w:pPr>
            <w:r>
              <w:t>3991.51</w:t>
            </w:r>
          </w:p>
        </w:tc>
        <w:tc>
          <w:tcPr>
            <w:tcW w:w="1134" w:type="dxa"/>
            <w:vAlign w:val="center"/>
          </w:tcPr>
          <w:p w14:paraId="649D4834">
            <w:pPr>
              <w:pStyle w:val="15"/>
            </w:pPr>
          </w:p>
        </w:tc>
        <w:tc>
          <w:tcPr>
            <w:tcW w:w="1134" w:type="dxa"/>
            <w:vAlign w:val="center"/>
          </w:tcPr>
          <w:p w14:paraId="50124BFD">
            <w:pPr>
              <w:pStyle w:val="15"/>
            </w:pPr>
          </w:p>
        </w:tc>
        <w:tc>
          <w:tcPr>
            <w:tcW w:w="1134" w:type="dxa"/>
            <w:vAlign w:val="center"/>
          </w:tcPr>
          <w:p w14:paraId="7A14D643">
            <w:pPr>
              <w:pStyle w:val="15"/>
            </w:pPr>
          </w:p>
        </w:tc>
        <w:tc>
          <w:tcPr>
            <w:tcW w:w="1134" w:type="dxa"/>
            <w:vAlign w:val="center"/>
          </w:tcPr>
          <w:p w14:paraId="3C80D652">
            <w:pPr>
              <w:pStyle w:val="15"/>
            </w:pPr>
          </w:p>
        </w:tc>
        <w:tc>
          <w:tcPr>
            <w:tcW w:w="1134" w:type="dxa"/>
            <w:vAlign w:val="center"/>
          </w:tcPr>
          <w:p w14:paraId="53693228">
            <w:pPr>
              <w:pStyle w:val="15"/>
            </w:pPr>
          </w:p>
        </w:tc>
        <w:tc>
          <w:tcPr>
            <w:tcW w:w="1134" w:type="dxa"/>
            <w:vAlign w:val="center"/>
          </w:tcPr>
          <w:p w14:paraId="7B07C7AA">
            <w:pPr>
              <w:pStyle w:val="15"/>
            </w:pPr>
          </w:p>
        </w:tc>
        <w:tc>
          <w:tcPr>
            <w:tcW w:w="1134" w:type="dxa"/>
            <w:vAlign w:val="center"/>
          </w:tcPr>
          <w:p w14:paraId="34BACBDE">
            <w:pPr>
              <w:pStyle w:val="15"/>
            </w:pPr>
          </w:p>
        </w:tc>
      </w:tr>
      <w:tr w14:paraId="75C5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FD333">
            <w:pPr>
              <w:pStyle w:val="13"/>
            </w:pPr>
            <w:r>
              <w:t>2</w:t>
            </w:r>
          </w:p>
        </w:tc>
        <w:tc>
          <w:tcPr>
            <w:tcW w:w="992" w:type="dxa"/>
            <w:vAlign w:val="center"/>
          </w:tcPr>
          <w:p w14:paraId="15BE2753">
            <w:pPr>
              <w:pStyle w:val="12"/>
            </w:pPr>
            <w:r>
              <w:t>205</w:t>
            </w:r>
          </w:p>
        </w:tc>
        <w:tc>
          <w:tcPr>
            <w:tcW w:w="1559" w:type="dxa"/>
            <w:vAlign w:val="center"/>
          </w:tcPr>
          <w:p w14:paraId="264911C8">
            <w:pPr>
              <w:pStyle w:val="12"/>
            </w:pPr>
            <w:r>
              <w:t>教育支出</w:t>
            </w:r>
          </w:p>
        </w:tc>
        <w:tc>
          <w:tcPr>
            <w:tcW w:w="1134" w:type="dxa"/>
            <w:vAlign w:val="center"/>
          </w:tcPr>
          <w:p w14:paraId="7B70B522">
            <w:pPr>
              <w:pStyle w:val="11"/>
            </w:pPr>
            <w:r>
              <w:t>3991.51</w:t>
            </w:r>
          </w:p>
        </w:tc>
        <w:tc>
          <w:tcPr>
            <w:tcW w:w="1134" w:type="dxa"/>
            <w:vAlign w:val="center"/>
          </w:tcPr>
          <w:p w14:paraId="10ABD9D2">
            <w:pPr>
              <w:pStyle w:val="11"/>
            </w:pPr>
            <w:r>
              <w:t>3991.51</w:t>
            </w:r>
          </w:p>
        </w:tc>
        <w:tc>
          <w:tcPr>
            <w:tcW w:w="1134" w:type="dxa"/>
            <w:vAlign w:val="center"/>
          </w:tcPr>
          <w:p w14:paraId="5EF1CBF2">
            <w:pPr>
              <w:pStyle w:val="11"/>
            </w:pPr>
            <w:r>
              <w:t>3991.51</w:t>
            </w:r>
          </w:p>
        </w:tc>
        <w:tc>
          <w:tcPr>
            <w:tcW w:w="1134" w:type="dxa"/>
            <w:vAlign w:val="center"/>
          </w:tcPr>
          <w:p w14:paraId="6C1059C4">
            <w:pPr>
              <w:pStyle w:val="11"/>
            </w:pPr>
          </w:p>
        </w:tc>
        <w:tc>
          <w:tcPr>
            <w:tcW w:w="1134" w:type="dxa"/>
            <w:vAlign w:val="center"/>
          </w:tcPr>
          <w:p w14:paraId="3A3DEAA2">
            <w:pPr>
              <w:pStyle w:val="11"/>
            </w:pPr>
          </w:p>
        </w:tc>
        <w:tc>
          <w:tcPr>
            <w:tcW w:w="1134" w:type="dxa"/>
            <w:vAlign w:val="center"/>
          </w:tcPr>
          <w:p w14:paraId="6C76A75B">
            <w:pPr>
              <w:pStyle w:val="11"/>
            </w:pPr>
          </w:p>
        </w:tc>
        <w:tc>
          <w:tcPr>
            <w:tcW w:w="1134" w:type="dxa"/>
            <w:vAlign w:val="center"/>
          </w:tcPr>
          <w:p w14:paraId="3DEE1AC8">
            <w:pPr>
              <w:pStyle w:val="11"/>
            </w:pPr>
          </w:p>
        </w:tc>
        <w:tc>
          <w:tcPr>
            <w:tcW w:w="1134" w:type="dxa"/>
            <w:vAlign w:val="center"/>
          </w:tcPr>
          <w:p w14:paraId="389589FF">
            <w:pPr>
              <w:pStyle w:val="11"/>
            </w:pPr>
          </w:p>
        </w:tc>
        <w:tc>
          <w:tcPr>
            <w:tcW w:w="1134" w:type="dxa"/>
            <w:vAlign w:val="center"/>
          </w:tcPr>
          <w:p w14:paraId="07D3C1CB">
            <w:pPr>
              <w:pStyle w:val="11"/>
            </w:pPr>
          </w:p>
        </w:tc>
        <w:tc>
          <w:tcPr>
            <w:tcW w:w="1134" w:type="dxa"/>
            <w:vAlign w:val="center"/>
          </w:tcPr>
          <w:p w14:paraId="6A7A92A4">
            <w:pPr>
              <w:pStyle w:val="11"/>
            </w:pPr>
          </w:p>
        </w:tc>
      </w:tr>
      <w:tr w14:paraId="28A9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EE92E">
            <w:pPr>
              <w:pStyle w:val="13"/>
            </w:pPr>
            <w:r>
              <w:t>3</w:t>
            </w:r>
          </w:p>
        </w:tc>
        <w:tc>
          <w:tcPr>
            <w:tcW w:w="992" w:type="dxa"/>
            <w:vAlign w:val="center"/>
          </w:tcPr>
          <w:p w14:paraId="107082C8">
            <w:pPr>
              <w:pStyle w:val="12"/>
            </w:pPr>
            <w:r>
              <w:t>20502</w:t>
            </w:r>
          </w:p>
        </w:tc>
        <w:tc>
          <w:tcPr>
            <w:tcW w:w="1559" w:type="dxa"/>
            <w:vAlign w:val="center"/>
          </w:tcPr>
          <w:p w14:paraId="0BFB3EFD">
            <w:pPr>
              <w:pStyle w:val="12"/>
            </w:pPr>
            <w:r>
              <w:t>普通教育</w:t>
            </w:r>
          </w:p>
        </w:tc>
        <w:tc>
          <w:tcPr>
            <w:tcW w:w="1134" w:type="dxa"/>
            <w:vAlign w:val="center"/>
          </w:tcPr>
          <w:p w14:paraId="6CB04ECA">
            <w:pPr>
              <w:pStyle w:val="11"/>
            </w:pPr>
            <w:r>
              <w:t>3991.51</w:t>
            </w:r>
          </w:p>
        </w:tc>
        <w:tc>
          <w:tcPr>
            <w:tcW w:w="1134" w:type="dxa"/>
            <w:vAlign w:val="center"/>
          </w:tcPr>
          <w:p w14:paraId="1B73AEB7">
            <w:pPr>
              <w:pStyle w:val="11"/>
            </w:pPr>
            <w:r>
              <w:t>3991.51</w:t>
            </w:r>
          </w:p>
        </w:tc>
        <w:tc>
          <w:tcPr>
            <w:tcW w:w="1134" w:type="dxa"/>
            <w:vAlign w:val="center"/>
          </w:tcPr>
          <w:p w14:paraId="5EF78C6C">
            <w:pPr>
              <w:pStyle w:val="11"/>
            </w:pPr>
            <w:r>
              <w:t>3991.51</w:t>
            </w:r>
          </w:p>
        </w:tc>
        <w:tc>
          <w:tcPr>
            <w:tcW w:w="1134" w:type="dxa"/>
            <w:vAlign w:val="center"/>
          </w:tcPr>
          <w:p w14:paraId="736A0767">
            <w:pPr>
              <w:pStyle w:val="11"/>
            </w:pPr>
          </w:p>
        </w:tc>
        <w:tc>
          <w:tcPr>
            <w:tcW w:w="1134" w:type="dxa"/>
            <w:vAlign w:val="center"/>
          </w:tcPr>
          <w:p w14:paraId="11A293B4">
            <w:pPr>
              <w:pStyle w:val="11"/>
            </w:pPr>
          </w:p>
        </w:tc>
        <w:tc>
          <w:tcPr>
            <w:tcW w:w="1134" w:type="dxa"/>
            <w:vAlign w:val="center"/>
          </w:tcPr>
          <w:p w14:paraId="39287336">
            <w:pPr>
              <w:pStyle w:val="11"/>
            </w:pPr>
          </w:p>
        </w:tc>
        <w:tc>
          <w:tcPr>
            <w:tcW w:w="1134" w:type="dxa"/>
            <w:vAlign w:val="center"/>
          </w:tcPr>
          <w:p w14:paraId="70B693EA">
            <w:pPr>
              <w:pStyle w:val="11"/>
            </w:pPr>
          </w:p>
        </w:tc>
        <w:tc>
          <w:tcPr>
            <w:tcW w:w="1134" w:type="dxa"/>
            <w:vAlign w:val="center"/>
          </w:tcPr>
          <w:p w14:paraId="16584CBB">
            <w:pPr>
              <w:pStyle w:val="11"/>
            </w:pPr>
          </w:p>
        </w:tc>
        <w:tc>
          <w:tcPr>
            <w:tcW w:w="1134" w:type="dxa"/>
            <w:vAlign w:val="center"/>
          </w:tcPr>
          <w:p w14:paraId="25172563">
            <w:pPr>
              <w:pStyle w:val="11"/>
            </w:pPr>
          </w:p>
        </w:tc>
        <w:tc>
          <w:tcPr>
            <w:tcW w:w="1134" w:type="dxa"/>
            <w:vAlign w:val="center"/>
          </w:tcPr>
          <w:p w14:paraId="6E29CD4B">
            <w:pPr>
              <w:pStyle w:val="11"/>
            </w:pPr>
          </w:p>
        </w:tc>
      </w:tr>
      <w:tr w14:paraId="6080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92C66">
            <w:pPr>
              <w:pStyle w:val="13"/>
            </w:pPr>
            <w:r>
              <w:t>4</w:t>
            </w:r>
          </w:p>
        </w:tc>
        <w:tc>
          <w:tcPr>
            <w:tcW w:w="992" w:type="dxa"/>
            <w:vAlign w:val="center"/>
          </w:tcPr>
          <w:p w14:paraId="01C2781D">
            <w:pPr>
              <w:pStyle w:val="12"/>
            </w:pPr>
            <w:r>
              <w:t>2050201</w:t>
            </w:r>
          </w:p>
        </w:tc>
        <w:tc>
          <w:tcPr>
            <w:tcW w:w="1559" w:type="dxa"/>
            <w:vAlign w:val="center"/>
          </w:tcPr>
          <w:p w14:paraId="6FC83B13">
            <w:pPr>
              <w:pStyle w:val="12"/>
            </w:pPr>
            <w:r>
              <w:t>学前教育</w:t>
            </w:r>
          </w:p>
        </w:tc>
        <w:tc>
          <w:tcPr>
            <w:tcW w:w="1134" w:type="dxa"/>
            <w:vAlign w:val="center"/>
          </w:tcPr>
          <w:p w14:paraId="3270405E">
            <w:pPr>
              <w:pStyle w:val="11"/>
            </w:pPr>
            <w:r>
              <w:t>621.31</w:t>
            </w:r>
          </w:p>
        </w:tc>
        <w:tc>
          <w:tcPr>
            <w:tcW w:w="1134" w:type="dxa"/>
            <w:vAlign w:val="center"/>
          </w:tcPr>
          <w:p w14:paraId="79E5E167">
            <w:pPr>
              <w:pStyle w:val="11"/>
            </w:pPr>
            <w:r>
              <w:t>621.31</w:t>
            </w:r>
          </w:p>
        </w:tc>
        <w:tc>
          <w:tcPr>
            <w:tcW w:w="1134" w:type="dxa"/>
            <w:vAlign w:val="center"/>
          </w:tcPr>
          <w:p w14:paraId="765A4C4C">
            <w:pPr>
              <w:pStyle w:val="11"/>
            </w:pPr>
            <w:r>
              <w:t>621.31</w:t>
            </w:r>
          </w:p>
        </w:tc>
        <w:tc>
          <w:tcPr>
            <w:tcW w:w="1134" w:type="dxa"/>
            <w:vAlign w:val="center"/>
          </w:tcPr>
          <w:p w14:paraId="2E31723D">
            <w:pPr>
              <w:pStyle w:val="11"/>
            </w:pPr>
          </w:p>
        </w:tc>
        <w:tc>
          <w:tcPr>
            <w:tcW w:w="1134" w:type="dxa"/>
            <w:vAlign w:val="center"/>
          </w:tcPr>
          <w:p w14:paraId="0B3148F3">
            <w:pPr>
              <w:pStyle w:val="11"/>
            </w:pPr>
          </w:p>
        </w:tc>
        <w:tc>
          <w:tcPr>
            <w:tcW w:w="1134" w:type="dxa"/>
            <w:vAlign w:val="center"/>
          </w:tcPr>
          <w:p w14:paraId="0C9FC410">
            <w:pPr>
              <w:pStyle w:val="11"/>
            </w:pPr>
          </w:p>
        </w:tc>
        <w:tc>
          <w:tcPr>
            <w:tcW w:w="1134" w:type="dxa"/>
            <w:vAlign w:val="center"/>
          </w:tcPr>
          <w:p w14:paraId="10B2BF7F">
            <w:pPr>
              <w:pStyle w:val="11"/>
            </w:pPr>
          </w:p>
        </w:tc>
        <w:tc>
          <w:tcPr>
            <w:tcW w:w="1134" w:type="dxa"/>
            <w:vAlign w:val="center"/>
          </w:tcPr>
          <w:p w14:paraId="7B9BDF87">
            <w:pPr>
              <w:pStyle w:val="11"/>
            </w:pPr>
          </w:p>
        </w:tc>
        <w:tc>
          <w:tcPr>
            <w:tcW w:w="1134" w:type="dxa"/>
            <w:vAlign w:val="center"/>
          </w:tcPr>
          <w:p w14:paraId="3E8FD4A9">
            <w:pPr>
              <w:pStyle w:val="11"/>
            </w:pPr>
          </w:p>
        </w:tc>
        <w:tc>
          <w:tcPr>
            <w:tcW w:w="1134" w:type="dxa"/>
            <w:vAlign w:val="center"/>
          </w:tcPr>
          <w:p w14:paraId="1DA9E517">
            <w:pPr>
              <w:pStyle w:val="11"/>
            </w:pPr>
          </w:p>
        </w:tc>
      </w:tr>
      <w:tr w14:paraId="26BF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7B2F1">
            <w:pPr>
              <w:pStyle w:val="13"/>
            </w:pPr>
            <w:r>
              <w:t>5</w:t>
            </w:r>
          </w:p>
        </w:tc>
        <w:tc>
          <w:tcPr>
            <w:tcW w:w="992" w:type="dxa"/>
            <w:vAlign w:val="center"/>
          </w:tcPr>
          <w:p w14:paraId="4019CF93">
            <w:pPr>
              <w:pStyle w:val="12"/>
            </w:pPr>
            <w:r>
              <w:t>2050202</w:t>
            </w:r>
          </w:p>
        </w:tc>
        <w:tc>
          <w:tcPr>
            <w:tcW w:w="1559" w:type="dxa"/>
            <w:vAlign w:val="center"/>
          </w:tcPr>
          <w:p w14:paraId="441F1E25">
            <w:pPr>
              <w:pStyle w:val="12"/>
            </w:pPr>
            <w:r>
              <w:t>小学教育</w:t>
            </w:r>
          </w:p>
        </w:tc>
        <w:tc>
          <w:tcPr>
            <w:tcW w:w="1134" w:type="dxa"/>
            <w:vAlign w:val="center"/>
          </w:tcPr>
          <w:p w14:paraId="378D1CF7">
            <w:pPr>
              <w:pStyle w:val="11"/>
            </w:pPr>
            <w:r>
              <w:t>3370.20</w:t>
            </w:r>
          </w:p>
        </w:tc>
        <w:tc>
          <w:tcPr>
            <w:tcW w:w="1134" w:type="dxa"/>
            <w:vAlign w:val="center"/>
          </w:tcPr>
          <w:p w14:paraId="762BC64C">
            <w:pPr>
              <w:pStyle w:val="11"/>
            </w:pPr>
            <w:r>
              <w:t>3370.20</w:t>
            </w:r>
          </w:p>
        </w:tc>
        <w:tc>
          <w:tcPr>
            <w:tcW w:w="1134" w:type="dxa"/>
            <w:vAlign w:val="center"/>
          </w:tcPr>
          <w:p w14:paraId="3CEBEF88">
            <w:pPr>
              <w:pStyle w:val="11"/>
            </w:pPr>
            <w:r>
              <w:t>3370.20</w:t>
            </w:r>
          </w:p>
        </w:tc>
        <w:tc>
          <w:tcPr>
            <w:tcW w:w="1134" w:type="dxa"/>
            <w:vAlign w:val="center"/>
          </w:tcPr>
          <w:p w14:paraId="01581059">
            <w:pPr>
              <w:pStyle w:val="11"/>
            </w:pPr>
          </w:p>
        </w:tc>
        <w:tc>
          <w:tcPr>
            <w:tcW w:w="1134" w:type="dxa"/>
            <w:vAlign w:val="center"/>
          </w:tcPr>
          <w:p w14:paraId="375DBE71">
            <w:pPr>
              <w:pStyle w:val="11"/>
            </w:pPr>
          </w:p>
        </w:tc>
        <w:tc>
          <w:tcPr>
            <w:tcW w:w="1134" w:type="dxa"/>
            <w:vAlign w:val="center"/>
          </w:tcPr>
          <w:p w14:paraId="528B6A24">
            <w:pPr>
              <w:pStyle w:val="11"/>
            </w:pPr>
          </w:p>
        </w:tc>
        <w:tc>
          <w:tcPr>
            <w:tcW w:w="1134" w:type="dxa"/>
            <w:vAlign w:val="center"/>
          </w:tcPr>
          <w:p w14:paraId="6AF252E6">
            <w:pPr>
              <w:pStyle w:val="11"/>
            </w:pPr>
          </w:p>
        </w:tc>
        <w:tc>
          <w:tcPr>
            <w:tcW w:w="1134" w:type="dxa"/>
            <w:vAlign w:val="center"/>
          </w:tcPr>
          <w:p w14:paraId="65903E34">
            <w:pPr>
              <w:pStyle w:val="11"/>
            </w:pPr>
          </w:p>
        </w:tc>
        <w:tc>
          <w:tcPr>
            <w:tcW w:w="1134" w:type="dxa"/>
            <w:vAlign w:val="center"/>
          </w:tcPr>
          <w:p w14:paraId="4F5DB87E">
            <w:pPr>
              <w:pStyle w:val="11"/>
            </w:pPr>
          </w:p>
        </w:tc>
        <w:tc>
          <w:tcPr>
            <w:tcW w:w="1134" w:type="dxa"/>
            <w:vAlign w:val="center"/>
          </w:tcPr>
          <w:p w14:paraId="0546EB2F">
            <w:pPr>
              <w:pStyle w:val="11"/>
            </w:pPr>
          </w:p>
        </w:tc>
      </w:tr>
    </w:tbl>
    <w:p w14:paraId="2801E8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497C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9C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C87EF8">
            <w:pPr>
              <w:pStyle w:val="9"/>
            </w:pPr>
            <w:r>
              <w:t>360022隆尧县尹村校区</w:t>
            </w:r>
          </w:p>
        </w:tc>
        <w:tc>
          <w:tcPr>
            <w:tcW w:w="2722" w:type="dxa"/>
            <w:gridSpan w:val="2"/>
            <w:tcBorders>
              <w:top w:val="single" w:color="FFFFFF" w:sz="6" w:space="0"/>
              <w:left w:val="single" w:color="FFFFFF" w:sz="6" w:space="0"/>
              <w:right w:val="single" w:color="FFFFFF" w:sz="6" w:space="0"/>
            </w:tcBorders>
            <w:vAlign w:val="center"/>
          </w:tcPr>
          <w:p w14:paraId="5011701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198B238">
            <w:pPr>
              <w:pStyle w:val="7"/>
            </w:pPr>
            <w:r>
              <w:t>单位：万元</w:t>
            </w:r>
          </w:p>
        </w:tc>
      </w:tr>
      <w:tr w14:paraId="09DD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7F9B3">
            <w:pPr>
              <w:pStyle w:val="10"/>
            </w:pPr>
            <w:r>
              <w:t>序号</w:t>
            </w:r>
          </w:p>
        </w:tc>
        <w:tc>
          <w:tcPr>
            <w:tcW w:w="5527" w:type="dxa"/>
            <w:gridSpan w:val="2"/>
            <w:vAlign w:val="center"/>
          </w:tcPr>
          <w:p w14:paraId="34FE4A83">
            <w:pPr>
              <w:pStyle w:val="10"/>
            </w:pPr>
            <w:r>
              <w:t>功能分类科目</w:t>
            </w:r>
          </w:p>
        </w:tc>
        <w:tc>
          <w:tcPr>
            <w:tcW w:w="1361" w:type="dxa"/>
            <w:vMerge w:val="restart"/>
            <w:vAlign w:val="center"/>
          </w:tcPr>
          <w:p w14:paraId="00A1114E">
            <w:pPr>
              <w:pStyle w:val="10"/>
            </w:pPr>
            <w:r>
              <w:t>合计</w:t>
            </w:r>
          </w:p>
        </w:tc>
        <w:tc>
          <w:tcPr>
            <w:tcW w:w="1361" w:type="dxa"/>
            <w:vMerge w:val="restart"/>
            <w:vAlign w:val="center"/>
          </w:tcPr>
          <w:p w14:paraId="59E0C980">
            <w:pPr>
              <w:pStyle w:val="10"/>
            </w:pPr>
            <w:r>
              <w:t>基本支出</w:t>
            </w:r>
          </w:p>
        </w:tc>
        <w:tc>
          <w:tcPr>
            <w:tcW w:w="1361" w:type="dxa"/>
            <w:vMerge w:val="restart"/>
            <w:vAlign w:val="center"/>
          </w:tcPr>
          <w:p w14:paraId="57764E25">
            <w:pPr>
              <w:pStyle w:val="10"/>
            </w:pPr>
            <w:r>
              <w:t>项目支出</w:t>
            </w:r>
          </w:p>
        </w:tc>
        <w:tc>
          <w:tcPr>
            <w:tcW w:w="1361" w:type="dxa"/>
            <w:vMerge w:val="restart"/>
            <w:vAlign w:val="center"/>
          </w:tcPr>
          <w:p w14:paraId="6F993EA8">
            <w:pPr>
              <w:pStyle w:val="10"/>
            </w:pPr>
            <w:r>
              <w:t>经营支出</w:t>
            </w:r>
          </w:p>
        </w:tc>
        <w:tc>
          <w:tcPr>
            <w:tcW w:w="1361" w:type="dxa"/>
            <w:vMerge w:val="restart"/>
            <w:vAlign w:val="center"/>
          </w:tcPr>
          <w:p w14:paraId="3651831B">
            <w:pPr>
              <w:pStyle w:val="10"/>
            </w:pPr>
            <w:r>
              <w:t>上解上级     支出</w:t>
            </w:r>
          </w:p>
        </w:tc>
        <w:tc>
          <w:tcPr>
            <w:tcW w:w="1361" w:type="dxa"/>
            <w:vMerge w:val="restart"/>
            <w:vAlign w:val="center"/>
          </w:tcPr>
          <w:p w14:paraId="777F424F">
            <w:pPr>
              <w:pStyle w:val="10"/>
            </w:pPr>
            <w:r>
              <w:t>对附属单位补助支出</w:t>
            </w:r>
          </w:p>
        </w:tc>
      </w:tr>
      <w:tr w14:paraId="2770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BC351"/>
        </w:tc>
        <w:tc>
          <w:tcPr>
            <w:tcW w:w="992" w:type="dxa"/>
            <w:vAlign w:val="center"/>
          </w:tcPr>
          <w:p w14:paraId="13065399">
            <w:pPr>
              <w:pStyle w:val="10"/>
            </w:pPr>
            <w:r>
              <w:t>科目    编码</w:t>
            </w:r>
          </w:p>
        </w:tc>
        <w:tc>
          <w:tcPr>
            <w:tcW w:w="4535" w:type="dxa"/>
            <w:vAlign w:val="center"/>
          </w:tcPr>
          <w:p w14:paraId="4F6D8E67">
            <w:pPr>
              <w:pStyle w:val="10"/>
            </w:pPr>
            <w:r>
              <w:t>科目名称</w:t>
            </w:r>
          </w:p>
        </w:tc>
        <w:tc>
          <w:tcPr>
            <w:tcW w:w="1361" w:type="dxa"/>
            <w:vMerge w:val="continue"/>
          </w:tcPr>
          <w:p w14:paraId="1628D5D1"/>
        </w:tc>
        <w:tc>
          <w:tcPr>
            <w:tcW w:w="1361" w:type="dxa"/>
            <w:vMerge w:val="continue"/>
          </w:tcPr>
          <w:p w14:paraId="11340508"/>
        </w:tc>
        <w:tc>
          <w:tcPr>
            <w:tcW w:w="1361" w:type="dxa"/>
            <w:vMerge w:val="continue"/>
          </w:tcPr>
          <w:p w14:paraId="132E15FE"/>
        </w:tc>
        <w:tc>
          <w:tcPr>
            <w:tcW w:w="1361" w:type="dxa"/>
            <w:vMerge w:val="continue"/>
          </w:tcPr>
          <w:p w14:paraId="776406AF"/>
        </w:tc>
        <w:tc>
          <w:tcPr>
            <w:tcW w:w="1361" w:type="dxa"/>
            <w:vMerge w:val="continue"/>
          </w:tcPr>
          <w:p w14:paraId="7079E61A"/>
        </w:tc>
        <w:tc>
          <w:tcPr>
            <w:tcW w:w="1361" w:type="dxa"/>
            <w:vMerge w:val="continue"/>
          </w:tcPr>
          <w:p w14:paraId="3BD909F5"/>
        </w:tc>
      </w:tr>
      <w:tr w14:paraId="70CB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6D4C2">
            <w:pPr>
              <w:pStyle w:val="10"/>
            </w:pPr>
            <w:r>
              <w:t>栏次</w:t>
            </w:r>
          </w:p>
        </w:tc>
        <w:tc>
          <w:tcPr>
            <w:tcW w:w="992" w:type="dxa"/>
            <w:vAlign w:val="center"/>
          </w:tcPr>
          <w:p w14:paraId="54C4F672">
            <w:pPr>
              <w:pStyle w:val="10"/>
            </w:pPr>
            <w:r>
              <w:t>1</w:t>
            </w:r>
          </w:p>
        </w:tc>
        <w:tc>
          <w:tcPr>
            <w:tcW w:w="4535" w:type="dxa"/>
            <w:vAlign w:val="center"/>
          </w:tcPr>
          <w:p w14:paraId="2C5C2F35">
            <w:pPr>
              <w:pStyle w:val="10"/>
            </w:pPr>
            <w:r>
              <w:t>2</w:t>
            </w:r>
          </w:p>
        </w:tc>
        <w:tc>
          <w:tcPr>
            <w:tcW w:w="1361" w:type="dxa"/>
            <w:vAlign w:val="center"/>
          </w:tcPr>
          <w:p w14:paraId="5006CF08">
            <w:pPr>
              <w:pStyle w:val="10"/>
            </w:pPr>
            <w:r>
              <w:t>3</w:t>
            </w:r>
          </w:p>
        </w:tc>
        <w:tc>
          <w:tcPr>
            <w:tcW w:w="1361" w:type="dxa"/>
            <w:vAlign w:val="center"/>
          </w:tcPr>
          <w:p w14:paraId="1039701F">
            <w:pPr>
              <w:pStyle w:val="10"/>
            </w:pPr>
            <w:r>
              <w:t>4</w:t>
            </w:r>
          </w:p>
        </w:tc>
        <w:tc>
          <w:tcPr>
            <w:tcW w:w="1361" w:type="dxa"/>
            <w:vAlign w:val="center"/>
          </w:tcPr>
          <w:p w14:paraId="2B1FED3E">
            <w:pPr>
              <w:pStyle w:val="10"/>
            </w:pPr>
            <w:r>
              <w:t>5</w:t>
            </w:r>
          </w:p>
        </w:tc>
        <w:tc>
          <w:tcPr>
            <w:tcW w:w="1361" w:type="dxa"/>
            <w:vAlign w:val="center"/>
          </w:tcPr>
          <w:p w14:paraId="37309764">
            <w:pPr>
              <w:pStyle w:val="10"/>
            </w:pPr>
            <w:r>
              <w:t>6</w:t>
            </w:r>
          </w:p>
        </w:tc>
        <w:tc>
          <w:tcPr>
            <w:tcW w:w="1361" w:type="dxa"/>
            <w:vAlign w:val="center"/>
          </w:tcPr>
          <w:p w14:paraId="796145F2">
            <w:pPr>
              <w:pStyle w:val="10"/>
            </w:pPr>
            <w:r>
              <w:t>7</w:t>
            </w:r>
          </w:p>
        </w:tc>
        <w:tc>
          <w:tcPr>
            <w:tcW w:w="1361" w:type="dxa"/>
            <w:vAlign w:val="center"/>
          </w:tcPr>
          <w:p w14:paraId="116EDA1F">
            <w:pPr>
              <w:pStyle w:val="10"/>
            </w:pPr>
            <w:r>
              <w:t>8</w:t>
            </w:r>
          </w:p>
        </w:tc>
      </w:tr>
      <w:tr w14:paraId="08A8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9A61">
            <w:pPr>
              <w:pStyle w:val="13"/>
            </w:pPr>
            <w:r>
              <w:t>1</w:t>
            </w:r>
          </w:p>
        </w:tc>
        <w:tc>
          <w:tcPr>
            <w:tcW w:w="992" w:type="dxa"/>
            <w:vAlign w:val="center"/>
          </w:tcPr>
          <w:p w14:paraId="6F0A700C">
            <w:pPr>
              <w:pStyle w:val="16"/>
            </w:pPr>
          </w:p>
        </w:tc>
        <w:tc>
          <w:tcPr>
            <w:tcW w:w="4535" w:type="dxa"/>
            <w:vAlign w:val="center"/>
          </w:tcPr>
          <w:p w14:paraId="49B131ED">
            <w:pPr>
              <w:pStyle w:val="14"/>
            </w:pPr>
            <w:r>
              <w:t>合计</w:t>
            </w:r>
          </w:p>
        </w:tc>
        <w:tc>
          <w:tcPr>
            <w:tcW w:w="1361" w:type="dxa"/>
            <w:vAlign w:val="center"/>
          </w:tcPr>
          <w:p w14:paraId="2A754F2A">
            <w:pPr>
              <w:pStyle w:val="15"/>
            </w:pPr>
            <w:r>
              <w:t>3991.51</w:t>
            </w:r>
          </w:p>
        </w:tc>
        <w:tc>
          <w:tcPr>
            <w:tcW w:w="1361" w:type="dxa"/>
            <w:vAlign w:val="center"/>
          </w:tcPr>
          <w:p w14:paraId="24992154">
            <w:pPr>
              <w:pStyle w:val="15"/>
            </w:pPr>
            <w:r>
              <w:t>2836.43</w:t>
            </w:r>
          </w:p>
        </w:tc>
        <w:tc>
          <w:tcPr>
            <w:tcW w:w="1361" w:type="dxa"/>
            <w:vAlign w:val="center"/>
          </w:tcPr>
          <w:p w14:paraId="601CAE4C">
            <w:pPr>
              <w:pStyle w:val="15"/>
            </w:pPr>
            <w:r>
              <w:t>1155.08</w:t>
            </w:r>
          </w:p>
        </w:tc>
        <w:tc>
          <w:tcPr>
            <w:tcW w:w="1361" w:type="dxa"/>
            <w:vAlign w:val="center"/>
          </w:tcPr>
          <w:p w14:paraId="2DB7D1BC">
            <w:pPr>
              <w:pStyle w:val="15"/>
            </w:pPr>
          </w:p>
        </w:tc>
        <w:tc>
          <w:tcPr>
            <w:tcW w:w="1361" w:type="dxa"/>
            <w:vAlign w:val="center"/>
          </w:tcPr>
          <w:p w14:paraId="50C8BFD7">
            <w:pPr>
              <w:pStyle w:val="15"/>
            </w:pPr>
          </w:p>
        </w:tc>
        <w:tc>
          <w:tcPr>
            <w:tcW w:w="1361" w:type="dxa"/>
            <w:vAlign w:val="center"/>
          </w:tcPr>
          <w:p w14:paraId="227276F2">
            <w:pPr>
              <w:pStyle w:val="15"/>
            </w:pPr>
          </w:p>
        </w:tc>
      </w:tr>
      <w:tr w14:paraId="2497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6A77">
            <w:pPr>
              <w:pStyle w:val="13"/>
            </w:pPr>
            <w:r>
              <w:t>2</w:t>
            </w:r>
          </w:p>
        </w:tc>
        <w:tc>
          <w:tcPr>
            <w:tcW w:w="992" w:type="dxa"/>
            <w:vAlign w:val="center"/>
          </w:tcPr>
          <w:p w14:paraId="2478537A">
            <w:pPr>
              <w:pStyle w:val="12"/>
            </w:pPr>
            <w:r>
              <w:t>205</w:t>
            </w:r>
          </w:p>
        </w:tc>
        <w:tc>
          <w:tcPr>
            <w:tcW w:w="4535" w:type="dxa"/>
            <w:vAlign w:val="center"/>
          </w:tcPr>
          <w:p w14:paraId="7800B9D2">
            <w:pPr>
              <w:pStyle w:val="12"/>
            </w:pPr>
            <w:r>
              <w:t>教育支出</w:t>
            </w:r>
          </w:p>
        </w:tc>
        <w:tc>
          <w:tcPr>
            <w:tcW w:w="1361" w:type="dxa"/>
            <w:vAlign w:val="center"/>
          </w:tcPr>
          <w:p w14:paraId="5365E316">
            <w:pPr>
              <w:pStyle w:val="11"/>
            </w:pPr>
            <w:r>
              <w:t>3991.51</w:t>
            </w:r>
          </w:p>
        </w:tc>
        <w:tc>
          <w:tcPr>
            <w:tcW w:w="1361" w:type="dxa"/>
            <w:vAlign w:val="center"/>
          </w:tcPr>
          <w:p w14:paraId="7E5CD9EF">
            <w:pPr>
              <w:pStyle w:val="11"/>
            </w:pPr>
            <w:r>
              <w:t>2836.43</w:t>
            </w:r>
          </w:p>
        </w:tc>
        <w:tc>
          <w:tcPr>
            <w:tcW w:w="1361" w:type="dxa"/>
            <w:vAlign w:val="center"/>
          </w:tcPr>
          <w:p w14:paraId="754C1DCF">
            <w:pPr>
              <w:pStyle w:val="11"/>
            </w:pPr>
            <w:r>
              <w:t>1155.08</w:t>
            </w:r>
          </w:p>
        </w:tc>
        <w:tc>
          <w:tcPr>
            <w:tcW w:w="1361" w:type="dxa"/>
            <w:vAlign w:val="center"/>
          </w:tcPr>
          <w:p w14:paraId="1466385D">
            <w:pPr>
              <w:pStyle w:val="11"/>
            </w:pPr>
          </w:p>
        </w:tc>
        <w:tc>
          <w:tcPr>
            <w:tcW w:w="1361" w:type="dxa"/>
            <w:vAlign w:val="center"/>
          </w:tcPr>
          <w:p w14:paraId="3B9C2B08">
            <w:pPr>
              <w:pStyle w:val="11"/>
            </w:pPr>
          </w:p>
        </w:tc>
        <w:tc>
          <w:tcPr>
            <w:tcW w:w="1361" w:type="dxa"/>
            <w:vAlign w:val="center"/>
          </w:tcPr>
          <w:p w14:paraId="1D519CBB">
            <w:pPr>
              <w:pStyle w:val="11"/>
            </w:pPr>
          </w:p>
        </w:tc>
      </w:tr>
      <w:tr w14:paraId="3E07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F917C">
            <w:pPr>
              <w:pStyle w:val="13"/>
            </w:pPr>
            <w:r>
              <w:t>3</w:t>
            </w:r>
          </w:p>
        </w:tc>
        <w:tc>
          <w:tcPr>
            <w:tcW w:w="992" w:type="dxa"/>
            <w:vAlign w:val="center"/>
          </w:tcPr>
          <w:p w14:paraId="084DCBDC">
            <w:pPr>
              <w:pStyle w:val="12"/>
            </w:pPr>
            <w:r>
              <w:t>20502</w:t>
            </w:r>
          </w:p>
        </w:tc>
        <w:tc>
          <w:tcPr>
            <w:tcW w:w="4535" w:type="dxa"/>
            <w:vAlign w:val="center"/>
          </w:tcPr>
          <w:p w14:paraId="04A244D7">
            <w:pPr>
              <w:pStyle w:val="12"/>
            </w:pPr>
            <w:r>
              <w:t>普通教育</w:t>
            </w:r>
          </w:p>
        </w:tc>
        <w:tc>
          <w:tcPr>
            <w:tcW w:w="1361" w:type="dxa"/>
            <w:vAlign w:val="center"/>
          </w:tcPr>
          <w:p w14:paraId="3353B0B7">
            <w:pPr>
              <w:pStyle w:val="11"/>
            </w:pPr>
            <w:r>
              <w:t>3991.51</w:t>
            </w:r>
          </w:p>
        </w:tc>
        <w:tc>
          <w:tcPr>
            <w:tcW w:w="1361" w:type="dxa"/>
            <w:vAlign w:val="center"/>
          </w:tcPr>
          <w:p w14:paraId="78E0D5E2">
            <w:pPr>
              <w:pStyle w:val="11"/>
            </w:pPr>
            <w:r>
              <w:t>2836.43</w:t>
            </w:r>
          </w:p>
        </w:tc>
        <w:tc>
          <w:tcPr>
            <w:tcW w:w="1361" w:type="dxa"/>
            <w:vAlign w:val="center"/>
          </w:tcPr>
          <w:p w14:paraId="3488D1DB">
            <w:pPr>
              <w:pStyle w:val="11"/>
            </w:pPr>
            <w:r>
              <w:t>1155.08</w:t>
            </w:r>
          </w:p>
        </w:tc>
        <w:tc>
          <w:tcPr>
            <w:tcW w:w="1361" w:type="dxa"/>
            <w:vAlign w:val="center"/>
          </w:tcPr>
          <w:p w14:paraId="7F701304">
            <w:pPr>
              <w:pStyle w:val="11"/>
            </w:pPr>
          </w:p>
        </w:tc>
        <w:tc>
          <w:tcPr>
            <w:tcW w:w="1361" w:type="dxa"/>
            <w:vAlign w:val="center"/>
          </w:tcPr>
          <w:p w14:paraId="6B38D0E4">
            <w:pPr>
              <w:pStyle w:val="11"/>
            </w:pPr>
          </w:p>
        </w:tc>
        <w:tc>
          <w:tcPr>
            <w:tcW w:w="1361" w:type="dxa"/>
            <w:vAlign w:val="center"/>
          </w:tcPr>
          <w:p w14:paraId="188FF78D">
            <w:pPr>
              <w:pStyle w:val="11"/>
            </w:pPr>
          </w:p>
        </w:tc>
      </w:tr>
      <w:tr w14:paraId="14726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45C26">
            <w:pPr>
              <w:pStyle w:val="13"/>
            </w:pPr>
            <w:r>
              <w:t>4</w:t>
            </w:r>
          </w:p>
        </w:tc>
        <w:tc>
          <w:tcPr>
            <w:tcW w:w="992" w:type="dxa"/>
            <w:vAlign w:val="center"/>
          </w:tcPr>
          <w:p w14:paraId="2C5B4664">
            <w:pPr>
              <w:pStyle w:val="12"/>
            </w:pPr>
            <w:r>
              <w:t>2050201</w:t>
            </w:r>
          </w:p>
        </w:tc>
        <w:tc>
          <w:tcPr>
            <w:tcW w:w="4535" w:type="dxa"/>
            <w:vAlign w:val="center"/>
          </w:tcPr>
          <w:p w14:paraId="55D29D5B">
            <w:pPr>
              <w:pStyle w:val="12"/>
            </w:pPr>
            <w:r>
              <w:t>学前教育</w:t>
            </w:r>
          </w:p>
        </w:tc>
        <w:tc>
          <w:tcPr>
            <w:tcW w:w="1361" w:type="dxa"/>
            <w:vAlign w:val="center"/>
          </w:tcPr>
          <w:p w14:paraId="26202CF2">
            <w:pPr>
              <w:pStyle w:val="11"/>
            </w:pPr>
            <w:r>
              <w:t>621.31</w:t>
            </w:r>
          </w:p>
        </w:tc>
        <w:tc>
          <w:tcPr>
            <w:tcW w:w="1361" w:type="dxa"/>
            <w:vAlign w:val="center"/>
          </w:tcPr>
          <w:p w14:paraId="0BAC4DB7">
            <w:pPr>
              <w:pStyle w:val="11"/>
            </w:pPr>
          </w:p>
        </w:tc>
        <w:tc>
          <w:tcPr>
            <w:tcW w:w="1361" w:type="dxa"/>
            <w:vAlign w:val="center"/>
          </w:tcPr>
          <w:p w14:paraId="04E0EF96">
            <w:pPr>
              <w:pStyle w:val="11"/>
            </w:pPr>
            <w:r>
              <w:t>621.31</w:t>
            </w:r>
          </w:p>
        </w:tc>
        <w:tc>
          <w:tcPr>
            <w:tcW w:w="1361" w:type="dxa"/>
            <w:vAlign w:val="center"/>
          </w:tcPr>
          <w:p w14:paraId="7464B667">
            <w:pPr>
              <w:pStyle w:val="11"/>
            </w:pPr>
          </w:p>
        </w:tc>
        <w:tc>
          <w:tcPr>
            <w:tcW w:w="1361" w:type="dxa"/>
            <w:vAlign w:val="center"/>
          </w:tcPr>
          <w:p w14:paraId="3F803C31">
            <w:pPr>
              <w:pStyle w:val="11"/>
            </w:pPr>
          </w:p>
        </w:tc>
        <w:tc>
          <w:tcPr>
            <w:tcW w:w="1361" w:type="dxa"/>
            <w:vAlign w:val="center"/>
          </w:tcPr>
          <w:p w14:paraId="266E79F3">
            <w:pPr>
              <w:pStyle w:val="11"/>
            </w:pPr>
          </w:p>
        </w:tc>
      </w:tr>
      <w:tr w14:paraId="55A6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57992">
            <w:pPr>
              <w:pStyle w:val="13"/>
            </w:pPr>
            <w:r>
              <w:t>5</w:t>
            </w:r>
          </w:p>
        </w:tc>
        <w:tc>
          <w:tcPr>
            <w:tcW w:w="992" w:type="dxa"/>
            <w:vAlign w:val="center"/>
          </w:tcPr>
          <w:p w14:paraId="79BB6845">
            <w:pPr>
              <w:pStyle w:val="12"/>
            </w:pPr>
            <w:r>
              <w:t>2050202</w:t>
            </w:r>
          </w:p>
        </w:tc>
        <w:tc>
          <w:tcPr>
            <w:tcW w:w="4535" w:type="dxa"/>
            <w:vAlign w:val="center"/>
          </w:tcPr>
          <w:p w14:paraId="46A8F89D">
            <w:pPr>
              <w:pStyle w:val="12"/>
            </w:pPr>
            <w:r>
              <w:t>小学教育</w:t>
            </w:r>
          </w:p>
        </w:tc>
        <w:tc>
          <w:tcPr>
            <w:tcW w:w="1361" w:type="dxa"/>
            <w:vAlign w:val="center"/>
          </w:tcPr>
          <w:p w14:paraId="0861967B">
            <w:pPr>
              <w:pStyle w:val="11"/>
            </w:pPr>
            <w:r>
              <w:t>3370.20</w:t>
            </w:r>
          </w:p>
        </w:tc>
        <w:tc>
          <w:tcPr>
            <w:tcW w:w="1361" w:type="dxa"/>
            <w:vAlign w:val="center"/>
          </w:tcPr>
          <w:p w14:paraId="6EE3AE57">
            <w:pPr>
              <w:pStyle w:val="11"/>
            </w:pPr>
            <w:r>
              <w:t>2836.43</w:t>
            </w:r>
          </w:p>
        </w:tc>
        <w:tc>
          <w:tcPr>
            <w:tcW w:w="1361" w:type="dxa"/>
            <w:vAlign w:val="center"/>
          </w:tcPr>
          <w:p w14:paraId="5A9666A0">
            <w:pPr>
              <w:pStyle w:val="11"/>
            </w:pPr>
            <w:r>
              <w:t>533.77</w:t>
            </w:r>
          </w:p>
        </w:tc>
        <w:tc>
          <w:tcPr>
            <w:tcW w:w="1361" w:type="dxa"/>
            <w:vAlign w:val="center"/>
          </w:tcPr>
          <w:p w14:paraId="2C17DA64">
            <w:pPr>
              <w:pStyle w:val="11"/>
            </w:pPr>
          </w:p>
        </w:tc>
        <w:tc>
          <w:tcPr>
            <w:tcW w:w="1361" w:type="dxa"/>
            <w:vAlign w:val="center"/>
          </w:tcPr>
          <w:p w14:paraId="70279C6E">
            <w:pPr>
              <w:pStyle w:val="11"/>
            </w:pPr>
          </w:p>
        </w:tc>
        <w:tc>
          <w:tcPr>
            <w:tcW w:w="1361" w:type="dxa"/>
            <w:vAlign w:val="center"/>
          </w:tcPr>
          <w:p w14:paraId="7325005A">
            <w:pPr>
              <w:pStyle w:val="11"/>
            </w:pPr>
          </w:p>
        </w:tc>
      </w:tr>
    </w:tbl>
    <w:p w14:paraId="571DFC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EEDA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48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66474B">
            <w:pPr>
              <w:pStyle w:val="9"/>
            </w:pPr>
            <w:r>
              <w:t>360022隆尧县尹村校区</w:t>
            </w:r>
          </w:p>
        </w:tc>
        <w:tc>
          <w:tcPr>
            <w:tcW w:w="3402" w:type="dxa"/>
            <w:tcBorders>
              <w:top w:val="single" w:color="FFFFFF" w:sz="6" w:space="0"/>
              <w:left w:val="single" w:color="FFFFFF" w:sz="6" w:space="0"/>
              <w:right w:val="single" w:color="FFFFFF" w:sz="6" w:space="0"/>
            </w:tcBorders>
            <w:vAlign w:val="center"/>
          </w:tcPr>
          <w:p w14:paraId="720DB93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919AECC">
            <w:pPr>
              <w:pStyle w:val="7"/>
            </w:pPr>
            <w:r>
              <w:t>单位：万元</w:t>
            </w:r>
          </w:p>
        </w:tc>
      </w:tr>
      <w:tr w14:paraId="2526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3BD24">
            <w:pPr>
              <w:pStyle w:val="10"/>
            </w:pPr>
            <w:r>
              <w:t>序号</w:t>
            </w:r>
          </w:p>
        </w:tc>
        <w:tc>
          <w:tcPr>
            <w:tcW w:w="4876" w:type="dxa"/>
            <w:gridSpan w:val="2"/>
            <w:vAlign w:val="center"/>
          </w:tcPr>
          <w:p w14:paraId="0A924888">
            <w:pPr>
              <w:pStyle w:val="10"/>
            </w:pPr>
            <w:r>
              <w:t>收入</w:t>
            </w:r>
          </w:p>
        </w:tc>
        <w:tc>
          <w:tcPr>
            <w:tcW w:w="9298" w:type="dxa"/>
            <w:gridSpan w:val="5"/>
            <w:vAlign w:val="center"/>
          </w:tcPr>
          <w:p w14:paraId="10791678">
            <w:pPr>
              <w:pStyle w:val="10"/>
            </w:pPr>
            <w:r>
              <w:t>支出</w:t>
            </w:r>
          </w:p>
        </w:tc>
      </w:tr>
      <w:tr w14:paraId="7DFF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9C141"/>
        </w:tc>
        <w:tc>
          <w:tcPr>
            <w:tcW w:w="3402" w:type="dxa"/>
            <w:vAlign w:val="center"/>
          </w:tcPr>
          <w:p w14:paraId="2E9496A3">
            <w:pPr>
              <w:pStyle w:val="10"/>
            </w:pPr>
            <w:r>
              <w:t>项  目</w:t>
            </w:r>
          </w:p>
        </w:tc>
        <w:tc>
          <w:tcPr>
            <w:tcW w:w="1474" w:type="dxa"/>
            <w:vAlign w:val="center"/>
          </w:tcPr>
          <w:p w14:paraId="03EC5464">
            <w:pPr>
              <w:pStyle w:val="10"/>
            </w:pPr>
            <w:r>
              <w:t>金额</w:t>
            </w:r>
          </w:p>
        </w:tc>
        <w:tc>
          <w:tcPr>
            <w:tcW w:w="3402" w:type="dxa"/>
            <w:vAlign w:val="center"/>
          </w:tcPr>
          <w:p w14:paraId="58E600E7">
            <w:pPr>
              <w:pStyle w:val="10"/>
            </w:pPr>
            <w:r>
              <w:t>项  目</w:t>
            </w:r>
          </w:p>
        </w:tc>
        <w:tc>
          <w:tcPr>
            <w:tcW w:w="1474" w:type="dxa"/>
            <w:vAlign w:val="center"/>
          </w:tcPr>
          <w:p w14:paraId="173CD81F">
            <w:pPr>
              <w:pStyle w:val="10"/>
            </w:pPr>
            <w:r>
              <w:t>合计</w:t>
            </w:r>
          </w:p>
        </w:tc>
        <w:tc>
          <w:tcPr>
            <w:tcW w:w="1474" w:type="dxa"/>
            <w:vAlign w:val="center"/>
          </w:tcPr>
          <w:p w14:paraId="64F8BBF7">
            <w:pPr>
              <w:pStyle w:val="10"/>
            </w:pPr>
            <w:r>
              <w:t>一般公共预算财政拨款</w:t>
            </w:r>
          </w:p>
        </w:tc>
        <w:tc>
          <w:tcPr>
            <w:tcW w:w="1474" w:type="dxa"/>
            <w:vAlign w:val="center"/>
          </w:tcPr>
          <w:p w14:paraId="62B48982">
            <w:pPr>
              <w:pStyle w:val="10"/>
            </w:pPr>
            <w:r>
              <w:t>政府性基金预算财政    拨款</w:t>
            </w:r>
          </w:p>
        </w:tc>
        <w:tc>
          <w:tcPr>
            <w:tcW w:w="1474" w:type="dxa"/>
            <w:vAlign w:val="center"/>
          </w:tcPr>
          <w:p w14:paraId="43EDDCA6">
            <w:pPr>
              <w:pStyle w:val="10"/>
            </w:pPr>
            <w:r>
              <w:t>国有资本经营预算财政拨款</w:t>
            </w:r>
          </w:p>
        </w:tc>
      </w:tr>
      <w:tr w14:paraId="2778C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BDD29">
            <w:pPr>
              <w:pStyle w:val="10"/>
            </w:pPr>
            <w:r>
              <w:t>栏次</w:t>
            </w:r>
          </w:p>
        </w:tc>
        <w:tc>
          <w:tcPr>
            <w:tcW w:w="3402" w:type="dxa"/>
            <w:vAlign w:val="center"/>
          </w:tcPr>
          <w:p w14:paraId="61BB0353">
            <w:pPr>
              <w:pStyle w:val="10"/>
            </w:pPr>
            <w:r>
              <w:t>1</w:t>
            </w:r>
          </w:p>
        </w:tc>
        <w:tc>
          <w:tcPr>
            <w:tcW w:w="1474" w:type="dxa"/>
            <w:vAlign w:val="center"/>
          </w:tcPr>
          <w:p w14:paraId="3AD32DEF">
            <w:pPr>
              <w:pStyle w:val="10"/>
            </w:pPr>
            <w:r>
              <w:t>2</w:t>
            </w:r>
          </w:p>
        </w:tc>
        <w:tc>
          <w:tcPr>
            <w:tcW w:w="3402" w:type="dxa"/>
            <w:vAlign w:val="center"/>
          </w:tcPr>
          <w:p w14:paraId="14079151">
            <w:pPr>
              <w:pStyle w:val="10"/>
            </w:pPr>
            <w:r>
              <w:t>3</w:t>
            </w:r>
          </w:p>
        </w:tc>
        <w:tc>
          <w:tcPr>
            <w:tcW w:w="1474" w:type="dxa"/>
            <w:vAlign w:val="center"/>
          </w:tcPr>
          <w:p w14:paraId="361745C9">
            <w:pPr>
              <w:pStyle w:val="10"/>
            </w:pPr>
            <w:r>
              <w:t>4</w:t>
            </w:r>
          </w:p>
        </w:tc>
        <w:tc>
          <w:tcPr>
            <w:tcW w:w="1474" w:type="dxa"/>
            <w:vAlign w:val="center"/>
          </w:tcPr>
          <w:p w14:paraId="558501F5">
            <w:pPr>
              <w:pStyle w:val="10"/>
            </w:pPr>
            <w:r>
              <w:t>5</w:t>
            </w:r>
          </w:p>
        </w:tc>
        <w:tc>
          <w:tcPr>
            <w:tcW w:w="1474" w:type="dxa"/>
            <w:vAlign w:val="center"/>
          </w:tcPr>
          <w:p w14:paraId="666938FA">
            <w:pPr>
              <w:pStyle w:val="10"/>
            </w:pPr>
            <w:r>
              <w:t>6</w:t>
            </w:r>
          </w:p>
        </w:tc>
        <w:tc>
          <w:tcPr>
            <w:tcW w:w="1474" w:type="dxa"/>
            <w:vAlign w:val="center"/>
          </w:tcPr>
          <w:p w14:paraId="2FC70415">
            <w:pPr>
              <w:pStyle w:val="10"/>
            </w:pPr>
            <w:r>
              <w:t>7</w:t>
            </w:r>
          </w:p>
        </w:tc>
      </w:tr>
      <w:tr w14:paraId="2B2E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38BEE">
            <w:pPr>
              <w:pStyle w:val="13"/>
            </w:pPr>
            <w:r>
              <w:t>1</w:t>
            </w:r>
          </w:p>
        </w:tc>
        <w:tc>
          <w:tcPr>
            <w:tcW w:w="3402" w:type="dxa"/>
            <w:vAlign w:val="center"/>
          </w:tcPr>
          <w:p w14:paraId="7565611A">
            <w:pPr>
              <w:pStyle w:val="12"/>
            </w:pPr>
            <w:r>
              <w:t>一、一般公共预算拨款</w:t>
            </w:r>
          </w:p>
        </w:tc>
        <w:tc>
          <w:tcPr>
            <w:tcW w:w="1474" w:type="dxa"/>
            <w:vAlign w:val="center"/>
          </w:tcPr>
          <w:p w14:paraId="3565DFF3">
            <w:pPr>
              <w:pStyle w:val="11"/>
            </w:pPr>
            <w:r>
              <w:t>3991.51</w:t>
            </w:r>
          </w:p>
        </w:tc>
        <w:tc>
          <w:tcPr>
            <w:tcW w:w="3402" w:type="dxa"/>
            <w:vAlign w:val="center"/>
          </w:tcPr>
          <w:p w14:paraId="7EEA1113">
            <w:pPr>
              <w:pStyle w:val="12"/>
            </w:pPr>
            <w:r>
              <w:t>一、一般公共服务支出</w:t>
            </w:r>
          </w:p>
        </w:tc>
        <w:tc>
          <w:tcPr>
            <w:tcW w:w="1474" w:type="dxa"/>
            <w:vAlign w:val="center"/>
          </w:tcPr>
          <w:p w14:paraId="6113D090">
            <w:pPr>
              <w:pStyle w:val="11"/>
            </w:pPr>
          </w:p>
        </w:tc>
        <w:tc>
          <w:tcPr>
            <w:tcW w:w="1474" w:type="dxa"/>
            <w:vAlign w:val="center"/>
          </w:tcPr>
          <w:p w14:paraId="7B286613">
            <w:pPr>
              <w:pStyle w:val="11"/>
            </w:pPr>
          </w:p>
        </w:tc>
        <w:tc>
          <w:tcPr>
            <w:tcW w:w="1474" w:type="dxa"/>
            <w:vAlign w:val="center"/>
          </w:tcPr>
          <w:p w14:paraId="2DF80469">
            <w:pPr>
              <w:pStyle w:val="11"/>
            </w:pPr>
          </w:p>
        </w:tc>
        <w:tc>
          <w:tcPr>
            <w:tcW w:w="1474" w:type="dxa"/>
            <w:vAlign w:val="center"/>
          </w:tcPr>
          <w:p w14:paraId="7FA18EBF">
            <w:pPr>
              <w:pStyle w:val="11"/>
            </w:pPr>
          </w:p>
        </w:tc>
      </w:tr>
      <w:tr w14:paraId="2174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42E8">
            <w:pPr>
              <w:pStyle w:val="13"/>
            </w:pPr>
            <w:r>
              <w:t>2</w:t>
            </w:r>
          </w:p>
        </w:tc>
        <w:tc>
          <w:tcPr>
            <w:tcW w:w="3402" w:type="dxa"/>
            <w:vAlign w:val="center"/>
          </w:tcPr>
          <w:p w14:paraId="3C8B8D8B">
            <w:pPr>
              <w:pStyle w:val="12"/>
            </w:pPr>
            <w:r>
              <w:t>二、政府性基金预算拨款</w:t>
            </w:r>
          </w:p>
        </w:tc>
        <w:tc>
          <w:tcPr>
            <w:tcW w:w="1474" w:type="dxa"/>
            <w:vAlign w:val="center"/>
          </w:tcPr>
          <w:p w14:paraId="798B7F2C">
            <w:pPr>
              <w:pStyle w:val="11"/>
            </w:pPr>
          </w:p>
        </w:tc>
        <w:tc>
          <w:tcPr>
            <w:tcW w:w="3402" w:type="dxa"/>
            <w:vAlign w:val="center"/>
          </w:tcPr>
          <w:p w14:paraId="7BC34E8B">
            <w:pPr>
              <w:pStyle w:val="12"/>
            </w:pPr>
            <w:r>
              <w:t>二、外交支出</w:t>
            </w:r>
          </w:p>
        </w:tc>
        <w:tc>
          <w:tcPr>
            <w:tcW w:w="1474" w:type="dxa"/>
            <w:vAlign w:val="center"/>
          </w:tcPr>
          <w:p w14:paraId="75C22C1F">
            <w:pPr>
              <w:pStyle w:val="11"/>
            </w:pPr>
          </w:p>
        </w:tc>
        <w:tc>
          <w:tcPr>
            <w:tcW w:w="1474" w:type="dxa"/>
            <w:vAlign w:val="center"/>
          </w:tcPr>
          <w:p w14:paraId="141FDC91">
            <w:pPr>
              <w:pStyle w:val="11"/>
            </w:pPr>
          </w:p>
        </w:tc>
        <w:tc>
          <w:tcPr>
            <w:tcW w:w="1474" w:type="dxa"/>
            <w:vAlign w:val="center"/>
          </w:tcPr>
          <w:p w14:paraId="3A527F1C">
            <w:pPr>
              <w:pStyle w:val="11"/>
            </w:pPr>
          </w:p>
        </w:tc>
        <w:tc>
          <w:tcPr>
            <w:tcW w:w="1474" w:type="dxa"/>
            <w:vAlign w:val="center"/>
          </w:tcPr>
          <w:p w14:paraId="7766DF95">
            <w:pPr>
              <w:pStyle w:val="11"/>
            </w:pPr>
          </w:p>
        </w:tc>
      </w:tr>
      <w:tr w14:paraId="2D7D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5703">
            <w:pPr>
              <w:pStyle w:val="13"/>
            </w:pPr>
            <w:r>
              <w:t>3</w:t>
            </w:r>
          </w:p>
        </w:tc>
        <w:tc>
          <w:tcPr>
            <w:tcW w:w="3402" w:type="dxa"/>
            <w:vAlign w:val="center"/>
          </w:tcPr>
          <w:p w14:paraId="4E34C6BC">
            <w:pPr>
              <w:pStyle w:val="12"/>
            </w:pPr>
            <w:r>
              <w:t>三、国有资本经营预算拨款</w:t>
            </w:r>
          </w:p>
        </w:tc>
        <w:tc>
          <w:tcPr>
            <w:tcW w:w="1474" w:type="dxa"/>
            <w:vAlign w:val="center"/>
          </w:tcPr>
          <w:p w14:paraId="6C3B7B10">
            <w:pPr>
              <w:pStyle w:val="11"/>
            </w:pPr>
          </w:p>
        </w:tc>
        <w:tc>
          <w:tcPr>
            <w:tcW w:w="3402" w:type="dxa"/>
            <w:vAlign w:val="center"/>
          </w:tcPr>
          <w:p w14:paraId="777101D1">
            <w:pPr>
              <w:pStyle w:val="12"/>
            </w:pPr>
            <w:r>
              <w:t>三、国防支出</w:t>
            </w:r>
          </w:p>
        </w:tc>
        <w:tc>
          <w:tcPr>
            <w:tcW w:w="1474" w:type="dxa"/>
            <w:vAlign w:val="center"/>
          </w:tcPr>
          <w:p w14:paraId="302C4F47">
            <w:pPr>
              <w:pStyle w:val="11"/>
            </w:pPr>
          </w:p>
        </w:tc>
        <w:tc>
          <w:tcPr>
            <w:tcW w:w="1474" w:type="dxa"/>
            <w:vAlign w:val="center"/>
          </w:tcPr>
          <w:p w14:paraId="0C8CF407">
            <w:pPr>
              <w:pStyle w:val="11"/>
            </w:pPr>
          </w:p>
        </w:tc>
        <w:tc>
          <w:tcPr>
            <w:tcW w:w="1474" w:type="dxa"/>
            <w:vAlign w:val="center"/>
          </w:tcPr>
          <w:p w14:paraId="3DC2E416">
            <w:pPr>
              <w:pStyle w:val="11"/>
            </w:pPr>
          </w:p>
        </w:tc>
        <w:tc>
          <w:tcPr>
            <w:tcW w:w="1474" w:type="dxa"/>
            <w:vAlign w:val="center"/>
          </w:tcPr>
          <w:p w14:paraId="5461A6A7">
            <w:pPr>
              <w:pStyle w:val="11"/>
            </w:pPr>
          </w:p>
        </w:tc>
      </w:tr>
      <w:tr w14:paraId="3ADA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7364D">
            <w:pPr>
              <w:pStyle w:val="13"/>
            </w:pPr>
            <w:r>
              <w:t>4</w:t>
            </w:r>
          </w:p>
        </w:tc>
        <w:tc>
          <w:tcPr>
            <w:tcW w:w="3402" w:type="dxa"/>
            <w:vAlign w:val="center"/>
          </w:tcPr>
          <w:p w14:paraId="09EAAF00">
            <w:pPr>
              <w:pStyle w:val="12"/>
            </w:pPr>
          </w:p>
        </w:tc>
        <w:tc>
          <w:tcPr>
            <w:tcW w:w="1474" w:type="dxa"/>
            <w:vAlign w:val="center"/>
          </w:tcPr>
          <w:p w14:paraId="399941D8">
            <w:pPr>
              <w:pStyle w:val="11"/>
            </w:pPr>
          </w:p>
        </w:tc>
        <w:tc>
          <w:tcPr>
            <w:tcW w:w="3402" w:type="dxa"/>
            <w:vAlign w:val="center"/>
          </w:tcPr>
          <w:p w14:paraId="3C058818">
            <w:pPr>
              <w:pStyle w:val="12"/>
            </w:pPr>
            <w:r>
              <w:t>四、公共安全支出</w:t>
            </w:r>
          </w:p>
        </w:tc>
        <w:tc>
          <w:tcPr>
            <w:tcW w:w="1474" w:type="dxa"/>
            <w:vAlign w:val="center"/>
          </w:tcPr>
          <w:p w14:paraId="22E41BB1">
            <w:pPr>
              <w:pStyle w:val="11"/>
            </w:pPr>
          </w:p>
        </w:tc>
        <w:tc>
          <w:tcPr>
            <w:tcW w:w="1474" w:type="dxa"/>
            <w:vAlign w:val="center"/>
          </w:tcPr>
          <w:p w14:paraId="77C392C1">
            <w:pPr>
              <w:pStyle w:val="11"/>
            </w:pPr>
          </w:p>
        </w:tc>
        <w:tc>
          <w:tcPr>
            <w:tcW w:w="1474" w:type="dxa"/>
            <w:vAlign w:val="center"/>
          </w:tcPr>
          <w:p w14:paraId="2C75C15D">
            <w:pPr>
              <w:pStyle w:val="11"/>
            </w:pPr>
          </w:p>
        </w:tc>
        <w:tc>
          <w:tcPr>
            <w:tcW w:w="1474" w:type="dxa"/>
            <w:vAlign w:val="center"/>
          </w:tcPr>
          <w:p w14:paraId="17A5518C">
            <w:pPr>
              <w:pStyle w:val="11"/>
            </w:pPr>
          </w:p>
        </w:tc>
      </w:tr>
      <w:tr w14:paraId="1D07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B9B1">
            <w:pPr>
              <w:pStyle w:val="13"/>
            </w:pPr>
            <w:r>
              <w:t>5</w:t>
            </w:r>
          </w:p>
        </w:tc>
        <w:tc>
          <w:tcPr>
            <w:tcW w:w="3402" w:type="dxa"/>
            <w:vAlign w:val="center"/>
          </w:tcPr>
          <w:p w14:paraId="06EAD171">
            <w:pPr>
              <w:pStyle w:val="12"/>
            </w:pPr>
          </w:p>
        </w:tc>
        <w:tc>
          <w:tcPr>
            <w:tcW w:w="1474" w:type="dxa"/>
            <w:vAlign w:val="center"/>
          </w:tcPr>
          <w:p w14:paraId="30679223">
            <w:pPr>
              <w:pStyle w:val="11"/>
            </w:pPr>
          </w:p>
        </w:tc>
        <w:tc>
          <w:tcPr>
            <w:tcW w:w="3402" w:type="dxa"/>
            <w:vAlign w:val="center"/>
          </w:tcPr>
          <w:p w14:paraId="60DE0716">
            <w:pPr>
              <w:pStyle w:val="12"/>
            </w:pPr>
            <w:r>
              <w:t>五、教育支出</w:t>
            </w:r>
          </w:p>
        </w:tc>
        <w:tc>
          <w:tcPr>
            <w:tcW w:w="1474" w:type="dxa"/>
            <w:vAlign w:val="center"/>
          </w:tcPr>
          <w:p w14:paraId="547A6AB8">
            <w:pPr>
              <w:pStyle w:val="11"/>
            </w:pPr>
            <w:r>
              <w:t>3991.51</w:t>
            </w:r>
          </w:p>
        </w:tc>
        <w:tc>
          <w:tcPr>
            <w:tcW w:w="1474" w:type="dxa"/>
            <w:vAlign w:val="center"/>
          </w:tcPr>
          <w:p w14:paraId="1D0CEEA7">
            <w:pPr>
              <w:pStyle w:val="11"/>
            </w:pPr>
            <w:r>
              <w:t>3991.51</w:t>
            </w:r>
          </w:p>
        </w:tc>
        <w:tc>
          <w:tcPr>
            <w:tcW w:w="1474" w:type="dxa"/>
            <w:vAlign w:val="center"/>
          </w:tcPr>
          <w:p w14:paraId="78FA193D">
            <w:pPr>
              <w:pStyle w:val="11"/>
            </w:pPr>
          </w:p>
        </w:tc>
        <w:tc>
          <w:tcPr>
            <w:tcW w:w="1474" w:type="dxa"/>
            <w:vAlign w:val="center"/>
          </w:tcPr>
          <w:p w14:paraId="67A710F2">
            <w:pPr>
              <w:pStyle w:val="11"/>
            </w:pPr>
          </w:p>
        </w:tc>
      </w:tr>
      <w:tr w14:paraId="42C2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FC7B">
            <w:pPr>
              <w:pStyle w:val="13"/>
            </w:pPr>
            <w:r>
              <w:t>6</w:t>
            </w:r>
          </w:p>
        </w:tc>
        <w:tc>
          <w:tcPr>
            <w:tcW w:w="3402" w:type="dxa"/>
            <w:vAlign w:val="center"/>
          </w:tcPr>
          <w:p w14:paraId="642CC825">
            <w:pPr>
              <w:pStyle w:val="12"/>
            </w:pPr>
          </w:p>
        </w:tc>
        <w:tc>
          <w:tcPr>
            <w:tcW w:w="1474" w:type="dxa"/>
            <w:vAlign w:val="center"/>
          </w:tcPr>
          <w:p w14:paraId="231E8F8D">
            <w:pPr>
              <w:pStyle w:val="11"/>
            </w:pPr>
          </w:p>
        </w:tc>
        <w:tc>
          <w:tcPr>
            <w:tcW w:w="3402" w:type="dxa"/>
            <w:vAlign w:val="center"/>
          </w:tcPr>
          <w:p w14:paraId="3A277935">
            <w:pPr>
              <w:pStyle w:val="12"/>
            </w:pPr>
            <w:r>
              <w:t>六、科学技术支出</w:t>
            </w:r>
          </w:p>
        </w:tc>
        <w:tc>
          <w:tcPr>
            <w:tcW w:w="1474" w:type="dxa"/>
            <w:vAlign w:val="center"/>
          </w:tcPr>
          <w:p w14:paraId="7007D1D0">
            <w:pPr>
              <w:pStyle w:val="11"/>
            </w:pPr>
          </w:p>
        </w:tc>
        <w:tc>
          <w:tcPr>
            <w:tcW w:w="1474" w:type="dxa"/>
            <w:vAlign w:val="center"/>
          </w:tcPr>
          <w:p w14:paraId="300BE396">
            <w:pPr>
              <w:pStyle w:val="11"/>
            </w:pPr>
          </w:p>
        </w:tc>
        <w:tc>
          <w:tcPr>
            <w:tcW w:w="1474" w:type="dxa"/>
            <w:vAlign w:val="center"/>
          </w:tcPr>
          <w:p w14:paraId="22674E80">
            <w:pPr>
              <w:pStyle w:val="11"/>
            </w:pPr>
          </w:p>
        </w:tc>
        <w:tc>
          <w:tcPr>
            <w:tcW w:w="1474" w:type="dxa"/>
            <w:vAlign w:val="center"/>
          </w:tcPr>
          <w:p w14:paraId="4285A8FC">
            <w:pPr>
              <w:pStyle w:val="11"/>
            </w:pPr>
          </w:p>
        </w:tc>
      </w:tr>
      <w:tr w14:paraId="6CB8C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F4BD1">
            <w:pPr>
              <w:pStyle w:val="13"/>
            </w:pPr>
            <w:r>
              <w:t>7</w:t>
            </w:r>
          </w:p>
        </w:tc>
        <w:tc>
          <w:tcPr>
            <w:tcW w:w="3402" w:type="dxa"/>
            <w:vAlign w:val="center"/>
          </w:tcPr>
          <w:p w14:paraId="07E0C202">
            <w:pPr>
              <w:pStyle w:val="12"/>
            </w:pPr>
          </w:p>
        </w:tc>
        <w:tc>
          <w:tcPr>
            <w:tcW w:w="1474" w:type="dxa"/>
            <w:vAlign w:val="center"/>
          </w:tcPr>
          <w:p w14:paraId="1FBCE697">
            <w:pPr>
              <w:pStyle w:val="11"/>
            </w:pPr>
          </w:p>
        </w:tc>
        <w:tc>
          <w:tcPr>
            <w:tcW w:w="3402" w:type="dxa"/>
            <w:vAlign w:val="center"/>
          </w:tcPr>
          <w:p w14:paraId="10EF69DA">
            <w:pPr>
              <w:pStyle w:val="12"/>
            </w:pPr>
            <w:r>
              <w:t>七、文化旅游体育与传媒支出</w:t>
            </w:r>
          </w:p>
        </w:tc>
        <w:tc>
          <w:tcPr>
            <w:tcW w:w="1474" w:type="dxa"/>
            <w:vAlign w:val="center"/>
          </w:tcPr>
          <w:p w14:paraId="70BAC9BD">
            <w:pPr>
              <w:pStyle w:val="11"/>
            </w:pPr>
          </w:p>
        </w:tc>
        <w:tc>
          <w:tcPr>
            <w:tcW w:w="1474" w:type="dxa"/>
            <w:vAlign w:val="center"/>
          </w:tcPr>
          <w:p w14:paraId="6E2C7FC9">
            <w:pPr>
              <w:pStyle w:val="11"/>
            </w:pPr>
          </w:p>
        </w:tc>
        <w:tc>
          <w:tcPr>
            <w:tcW w:w="1474" w:type="dxa"/>
            <w:vAlign w:val="center"/>
          </w:tcPr>
          <w:p w14:paraId="5D8303BC">
            <w:pPr>
              <w:pStyle w:val="11"/>
            </w:pPr>
          </w:p>
        </w:tc>
        <w:tc>
          <w:tcPr>
            <w:tcW w:w="1474" w:type="dxa"/>
            <w:vAlign w:val="center"/>
          </w:tcPr>
          <w:p w14:paraId="74D7202D">
            <w:pPr>
              <w:pStyle w:val="11"/>
            </w:pPr>
          </w:p>
        </w:tc>
      </w:tr>
      <w:tr w14:paraId="6D99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354F">
            <w:pPr>
              <w:pStyle w:val="13"/>
            </w:pPr>
            <w:r>
              <w:t>8</w:t>
            </w:r>
          </w:p>
        </w:tc>
        <w:tc>
          <w:tcPr>
            <w:tcW w:w="3402" w:type="dxa"/>
            <w:vAlign w:val="center"/>
          </w:tcPr>
          <w:p w14:paraId="42AA36B3">
            <w:pPr>
              <w:pStyle w:val="12"/>
            </w:pPr>
          </w:p>
        </w:tc>
        <w:tc>
          <w:tcPr>
            <w:tcW w:w="1474" w:type="dxa"/>
            <w:vAlign w:val="center"/>
          </w:tcPr>
          <w:p w14:paraId="692526DD">
            <w:pPr>
              <w:pStyle w:val="11"/>
            </w:pPr>
          </w:p>
        </w:tc>
        <w:tc>
          <w:tcPr>
            <w:tcW w:w="3402" w:type="dxa"/>
            <w:vAlign w:val="center"/>
          </w:tcPr>
          <w:p w14:paraId="7952019A">
            <w:pPr>
              <w:pStyle w:val="12"/>
            </w:pPr>
            <w:r>
              <w:t>八、社会保障和就业支出</w:t>
            </w:r>
          </w:p>
        </w:tc>
        <w:tc>
          <w:tcPr>
            <w:tcW w:w="1474" w:type="dxa"/>
            <w:vAlign w:val="center"/>
          </w:tcPr>
          <w:p w14:paraId="647A6D94">
            <w:pPr>
              <w:pStyle w:val="11"/>
            </w:pPr>
          </w:p>
        </w:tc>
        <w:tc>
          <w:tcPr>
            <w:tcW w:w="1474" w:type="dxa"/>
            <w:vAlign w:val="center"/>
          </w:tcPr>
          <w:p w14:paraId="25B86E5C">
            <w:pPr>
              <w:pStyle w:val="11"/>
            </w:pPr>
          </w:p>
        </w:tc>
        <w:tc>
          <w:tcPr>
            <w:tcW w:w="1474" w:type="dxa"/>
            <w:vAlign w:val="center"/>
          </w:tcPr>
          <w:p w14:paraId="3E5803FA">
            <w:pPr>
              <w:pStyle w:val="11"/>
            </w:pPr>
          </w:p>
        </w:tc>
        <w:tc>
          <w:tcPr>
            <w:tcW w:w="1474" w:type="dxa"/>
            <w:vAlign w:val="center"/>
          </w:tcPr>
          <w:p w14:paraId="30246C62">
            <w:pPr>
              <w:pStyle w:val="11"/>
            </w:pPr>
          </w:p>
        </w:tc>
      </w:tr>
      <w:tr w14:paraId="7F62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F8F3F">
            <w:pPr>
              <w:pStyle w:val="13"/>
            </w:pPr>
            <w:r>
              <w:t>9</w:t>
            </w:r>
          </w:p>
        </w:tc>
        <w:tc>
          <w:tcPr>
            <w:tcW w:w="3402" w:type="dxa"/>
            <w:vAlign w:val="center"/>
          </w:tcPr>
          <w:p w14:paraId="6B01DBE8">
            <w:pPr>
              <w:pStyle w:val="12"/>
            </w:pPr>
          </w:p>
        </w:tc>
        <w:tc>
          <w:tcPr>
            <w:tcW w:w="1474" w:type="dxa"/>
            <w:vAlign w:val="center"/>
          </w:tcPr>
          <w:p w14:paraId="5854F7D1">
            <w:pPr>
              <w:pStyle w:val="11"/>
            </w:pPr>
          </w:p>
        </w:tc>
        <w:tc>
          <w:tcPr>
            <w:tcW w:w="3402" w:type="dxa"/>
            <w:vAlign w:val="center"/>
          </w:tcPr>
          <w:p w14:paraId="62CA60E7">
            <w:pPr>
              <w:pStyle w:val="12"/>
            </w:pPr>
            <w:r>
              <w:t>九、社会保险基金支出</w:t>
            </w:r>
          </w:p>
        </w:tc>
        <w:tc>
          <w:tcPr>
            <w:tcW w:w="1474" w:type="dxa"/>
            <w:vAlign w:val="center"/>
          </w:tcPr>
          <w:p w14:paraId="2D3F1D59">
            <w:pPr>
              <w:pStyle w:val="11"/>
            </w:pPr>
          </w:p>
        </w:tc>
        <w:tc>
          <w:tcPr>
            <w:tcW w:w="1474" w:type="dxa"/>
            <w:vAlign w:val="center"/>
          </w:tcPr>
          <w:p w14:paraId="6FF1F94E">
            <w:pPr>
              <w:pStyle w:val="11"/>
            </w:pPr>
          </w:p>
        </w:tc>
        <w:tc>
          <w:tcPr>
            <w:tcW w:w="1474" w:type="dxa"/>
            <w:vAlign w:val="center"/>
          </w:tcPr>
          <w:p w14:paraId="777DEC27">
            <w:pPr>
              <w:pStyle w:val="11"/>
            </w:pPr>
          </w:p>
        </w:tc>
        <w:tc>
          <w:tcPr>
            <w:tcW w:w="1474" w:type="dxa"/>
            <w:vAlign w:val="center"/>
          </w:tcPr>
          <w:p w14:paraId="29BB08EB">
            <w:pPr>
              <w:pStyle w:val="11"/>
            </w:pPr>
          </w:p>
        </w:tc>
      </w:tr>
      <w:tr w14:paraId="4540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5DAA5">
            <w:pPr>
              <w:pStyle w:val="13"/>
            </w:pPr>
            <w:r>
              <w:t>10</w:t>
            </w:r>
          </w:p>
        </w:tc>
        <w:tc>
          <w:tcPr>
            <w:tcW w:w="3402" w:type="dxa"/>
            <w:vAlign w:val="center"/>
          </w:tcPr>
          <w:p w14:paraId="615F8BA2">
            <w:pPr>
              <w:pStyle w:val="12"/>
            </w:pPr>
          </w:p>
        </w:tc>
        <w:tc>
          <w:tcPr>
            <w:tcW w:w="1474" w:type="dxa"/>
            <w:vAlign w:val="center"/>
          </w:tcPr>
          <w:p w14:paraId="5E791237">
            <w:pPr>
              <w:pStyle w:val="11"/>
            </w:pPr>
          </w:p>
        </w:tc>
        <w:tc>
          <w:tcPr>
            <w:tcW w:w="3402" w:type="dxa"/>
            <w:vAlign w:val="center"/>
          </w:tcPr>
          <w:p w14:paraId="06975C07">
            <w:pPr>
              <w:pStyle w:val="12"/>
            </w:pPr>
            <w:r>
              <w:t>十、卫生健康支出</w:t>
            </w:r>
          </w:p>
        </w:tc>
        <w:tc>
          <w:tcPr>
            <w:tcW w:w="1474" w:type="dxa"/>
            <w:vAlign w:val="center"/>
          </w:tcPr>
          <w:p w14:paraId="75A16CED">
            <w:pPr>
              <w:pStyle w:val="11"/>
            </w:pPr>
          </w:p>
        </w:tc>
        <w:tc>
          <w:tcPr>
            <w:tcW w:w="1474" w:type="dxa"/>
            <w:vAlign w:val="center"/>
          </w:tcPr>
          <w:p w14:paraId="1ABA7C3D">
            <w:pPr>
              <w:pStyle w:val="11"/>
            </w:pPr>
          </w:p>
        </w:tc>
        <w:tc>
          <w:tcPr>
            <w:tcW w:w="1474" w:type="dxa"/>
            <w:vAlign w:val="center"/>
          </w:tcPr>
          <w:p w14:paraId="2FE7F2DC">
            <w:pPr>
              <w:pStyle w:val="11"/>
            </w:pPr>
          </w:p>
        </w:tc>
        <w:tc>
          <w:tcPr>
            <w:tcW w:w="1474" w:type="dxa"/>
            <w:vAlign w:val="center"/>
          </w:tcPr>
          <w:p w14:paraId="148CE5AD">
            <w:pPr>
              <w:pStyle w:val="11"/>
            </w:pPr>
          </w:p>
        </w:tc>
      </w:tr>
      <w:tr w14:paraId="46CB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276D4">
            <w:pPr>
              <w:pStyle w:val="13"/>
            </w:pPr>
            <w:r>
              <w:t>11</w:t>
            </w:r>
          </w:p>
        </w:tc>
        <w:tc>
          <w:tcPr>
            <w:tcW w:w="3402" w:type="dxa"/>
            <w:vAlign w:val="center"/>
          </w:tcPr>
          <w:p w14:paraId="7EA5CD30">
            <w:pPr>
              <w:pStyle w:val="12"/>
            </w:pPr>
          </w:p>
        </w:tc>
        <w:tc>
          <w:tcPr>
            <w:tcW w:w="1474" w:type="dxa"/>
            <w:vAlign w:val="center"/>
          </w:tcPr>
          <w:p w14:paraId="0DA856A9">
            <w:pPr>
              <w:pStyle w:val="11"/>
            </w:pPr>
          </w:p>
        </w:tc>
        <w:tc>
          <w:tcPr>
            <w:tcW w:w="3402" w:type="dxa"/>
            <w:vAlign w:val="center"/>
          </w:tcPr>
          <w:p w14:paraId="6ACF7A56">
            <w:pPr>
              <w:pStyle w:val="12"/>
            </w:pPr>
            <w:r>
              <w:t>十一、节能环保支出</w:t>
            </w:r>
          </w:p>
        </w:tc>
        <w:tc>
          <w:tcPr>
            <w:tcW w:w="1474" w:type="dxa"/>
            <w:vAlign w:val="center"/>
          </w:tcPr>
          <w:p w14:paraId="57ED6FF8">
            <w:pPr>
              <w:pStyle w:val="11"/>
            </w:pPr>
          </w:p>
        </w:tc>
        <w:tc>
          <w:tcPr>
            <w:tcW w:w="1474" w:type="dxa"/>
            <w:vAlign w:val="center"/>
          </w:tcPr>
          <w:p w14:paraId="579992CE">
            <w:pPr>
              <w:pStyle w:val="11"/>
            </w:pPr>
          </w:p>
        </w:tc>
        <w:tc>
          <w:tcPr>
            <w:tcW w:w="1474" w:type="dxa"/>
            <w:vAlign w:val="center"/>
          </w:tcPr>
          <w:p w14:paraId="56B462D6">
            <w:pPr>
              <w:pStyle w:val="11"/>
            </w:pPr>
          </w:p>
        </w:tc>
        <w:tc>
          <w:tcPr>
            <w:tcW w:w="1474" w:type="dxa"/>
            <w:vAlign w:val="center"/>
          </w:tcPr>
          <w:p w14:paraId="6A11CE83">
            <w:pPr>
              <w:pStyle w:val="11"/>
            </w:pPr>
          </w:p>
        </w:tc>
      </w:tr>
      <w:tr w14:paraId="4CE7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B2462">
            <w:pPr>
              <w:pStyle w:val="13"/>
            </w:pPr>
            <w:r>
              <w:t>12</w:t>
            </w:r>
          </w:p>
        </w:tc>
        <w:tc>
          <w:tcPr>
            <w:tcW w:w="3402" w:type="dxa"/>
            <w:vAlign w:val="center"/>
          </w:tcPr>
          <w:p w14:paraId="5BF7544D">
            <w:pPr>
              <w:pStyle w:val="12"/>
            </w:pPr>
          </w:p>
        </w:tc>
        <w:tc>
          <w:tcPr>
            <w:tcW w:w="1474" w:type="dxa"/>
            <w:vAlign w:val="center"/>
          </w:tcPr>
          <w:p w14:paraId="183E950F">
            <w:pPr>
              <w:pStyle w:val="11"/>
            </w:pPr>
          </w:p>
        </w:tc>
        <w:tc>
          <w:tcPr>
            <w:tcW w:w="3402" w:type="dxa"/>
            <w:vAlign w:val="center"/>
          </w:tcPr>
          <w:p w14:paraId="2A694229">
            <w:pPr>
              <w:pStyle w:val="12"/>
            </w:pPr>
            <w:r>
              <w:t>十二、城乡社区支出</w:t>
            </w:r>
          </w:p>
        </w:tc>
        <w:tc>
          <w:tcPr>
            <w:tcW w:w="1474" w:type="dxa"/>
            <w:vAlign w:val="center"/>
          </w:tcPr>
          <w:p w14:paraId="5BC6386A">
            <w:pPr>
              <w:pStyle w:val="11"/>
            </w:pPr>
          </w:p>
        </w:tc>
        <w:tc>
          <w:tcPr>
            <w:tcW w:w="1474" w:type="dxa"/>
            <w:vAlign w:val="center"/>
          </w:tcPr>
          <w:p w14:paraId="301033B4">
            <w:pPr>
              <w:pStyle w:val="11"/>
            </w:pPr>
          </w:p>
        </w:tc>
        <w:tc>
          <w:tcPr>
            <w:tcW w:w="1474" w:type="dxa"/>
            <w:vAlign w:val="center"/>
          </w:tcPr>
          <w:p w14:paraId="1ABDF62F">
            <w:pPr>
              <w:pStyle w:val="11"/>
            </w:pPr>
          </w:p>
        </w:tc>
        <w:tc>
          <w:tcPr>
            <w:tcW w:w="1474" w:type="dxa"/>
            <w:vAlign w:val="center"/>
          </w:tcPr>
          <w:p w14:paraId="6AC87609">
            <w:pPr>
              <w:pStyle w:val="11"/>
            </w:pPr>
          </w:p>
        </w:tc>
      </w:tr>
      <w:tr w14:paraId="3082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347B3">
            <w:pPr>
              <w:pStyle w:val="13"/>
            </w:pPr>
            <w:r>
              <w:t>13</w:t>
            </w:r>
          </w:p>
        </w:tc>
        <w:tc>
          <w:tcPr>
            <w:tcW w:w="3402" w:type="dxa"/>
            <w:vAlign w:val="center"/>
          </w:tcPr>
          <w:p w14:paraId="02A3AF8C">
            <w:pPr>
              <w:pStyle w:val="12"/>
            </w:pPr>
          </w:p>
        </w:tc>
        <w:tc>
          <w:tcPr>
            <w:tcW w:w="1474" w:type="dxa"/>
            <w:vAlign w:val="center"/>
          </w:tcPr>
          <w:p w14:paraId="485E6FED">
            <w:pPr>
              <w:pStyle w:val="11"/>
            </w:pPr>
          </w:p>
        </w:tc>
        <w:tc>
          <w:tcPr>
            <w:tcW w:w="3402" w:type="dxa"/>
            <w:vAlign w:val="center"/>
          </w:tcPr>
          <w:p w14:paraId="5B9C6067">
            <w:pPr>
              <w:pStyle w:val="12"/>
            </w:pPr>
            <w:r>
              <w:t>十三、农林水支出</w:t>
            </w:r>
          </w:p>
        </w:tc>
        <w:tc>
          <w:tcPr>
            <w:tcW w:w="1474" w:type="dxa"/>
            <w:vAlign w:val="center"/>
          </w:tcPr>
          <w:p w14:paraId="12277BA7">
            <w:pPr>
              <w:pStyle w:val="11"/>
            </w:pPr>
          </w:p>
        </w:tc>
        <w:tc>
          <w:tcPr>
            <w:tcW w:w="1474" w:type="dxa"/>
            <w:vAlign w:val="center"/>
          </w:tcPr>
          <w:p w14:paraId="3E76F71A">
            <w:pPr>
              <w:pStyle w:val="11"/>
            </w:pPr>
          </w:p>
        </w:tc>
        <w:tc>
          <w:tcPr>
            <w:tcW w:w="1474" w:type="dxa"/>
            <w:vAlign w:val="center"/>
          </w:tcPr>
          <w:p w14:paraId="75F96ABC">
            <w:pPr>
              <w:pStyle w:val="11"/>
            </w:pPr>
          </w:p>
        </w:tc>
        <w:tc>
          <w:tcPr>
            <w:tcW w:w="1474" w:type="dxa"/>
            <w:vAlign w:val="center"/>
          </w:tcPr>
          <w:p w14:paraId="44287393">
            <w:pPr>
              <w:pStyle w:val="11"/>
            </w:pPr>
          </w:p>
        </w:tc>
      </w:tr>
      <w:tr w14:paraId="397B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0642A">
            <w:pPr>
              <w:pStyle w:val="13"/>
            </w:pPr>
            <w:r>
              <w:t>14</w:t>
            </w:r>
          </w:p>
        </w:tc>
        <w:tc>
          <w:tcPr>
            <w:tcW w:w="3402" w:type="dxa"/>
            <w:vAlign w:val="center"/>
          </w:tcPr>
          <w:p w14:paraId="0AF12348">
            <w:pPr>
              <w:pStyle w:val="12"/>
            </w:pPr>
          </w:p>
        </w:tc>
        <w:tc>
          <w:tcPr>
            <w:tcW w:w="1474" w:type="dxa"/>
            <w:vAlign w:val="center"/>
          </w:tcPr>
          <w:p w14:paraId="592F5761">
            <w:pPr>
              <w:pStyle w:val="11"/>
            </w:pPr>
          </w:p>
        </w:tc>
        <w:tc>
          <w:tcPr>
            <w:tcW w:w="3402" w:type="dxa"/>
            <w:vAlign w:val="center"/>
          </w:tcPr>
          <w:p w14:paraId="682E9EF4">
            <w:pPr>
              <w:pStyle w:val="12"/>
            </w:pPr>
            <w:r>
              <w:t>十四、交通运输支出</w:t>
            </w:r>
          </w:p>
        </w:tc>
        <w:tc>
          <w:tcPr>
            <w:tcW w:w="1474" w:type="dxa"/>
            <w:vAlign w:val="center"/>
          </w:tcPr>
          <w:p w14:paraId="55230910">
            <w:pPr>
              <w:pStyle w:val="11"/>
            </w:pPr>
          </w:p>
        </w:tc>
        <w:tc>
          <w:tcPr>
            <w:tcW w:w="1474" w:type="dxa"/>
            <w:vAlign w:val="center"/>
          </w:tcPr>
          <w:p w14:paraId="3CC9F713">
            <w:pPr>
              <w:pStyle w:val="11"/>
            </w:pPr>
          </w:p>
        </w:tc>
        <w:tc>
          <w:tcPr>
            <w:tcW w:w="1474" w:type="dxa"/>
            <w:vAlign w:val="center"/>
          </w:tcPr>
          <w:p w14:paraId="0F0DC1A3">
            <w:pPr>
              <w:pStyle w:val="11"/>
            </w:pPr>
          </w:p>
        </w:tc>
        <w:tc>
          <w:tcPr>
            <w:tcW w:w="1474" w:type="dxa"/>
            <w:vAlign w:val="center"/>
          </w:tcPr>
          <w:p w14:paraId="55EA7669">
            <w:pPr>
              <w:pStyle w:val="11"/>
            </w:pPr>
          </w:p>
        </w:tc>
      </w:tr>
      <w:tr w14:paraId="3DB5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8497E">
            <w:pPr>
              <w:pStyle w:val="13"/>
            </w:pPr>
            <w:r>
              <w:t>15</w:t>
            </w:r>
          </w:p>
        </w:tc>
        <w:tc>
          <w:tcPr>
            <w:tcW w:w="3402" w:type="dxa"/>
            <w:vAlign w:val="center"/>
          </w:tcPr>
          <w:p w14:paraId="09AF43A9">
            <w:pPr>
              <w:pStyle w:val="12"/>
            </w:pPr>
          </w:p>
        </w:tc>
        <w:tc>
          <w:tcPr>
            <w:tcW w:w="1474" w:type="dxa"/>
            <w:vAlign w:val="center"/>
          </w:tcPr>
          <w:p w14:paraId="725ECA03">
            <w:pPr>
              <w:pStyle w:val="11"/>
            </w:pPr>
          </w:p>
        </w:tc>
        <w:tc>
          <w:tcPr>
            <w:tcW w:w="3402" w:type="dxa"/>
            <w:vAlign w:val="center"/>
          </w:tcPr>
          <w:p w14:paraId="595D22BC">
            <w:pPr>
              <w:pStyle w:val="12"/>
            </w:pPr>
            <w:r>
              <w:t>十五、资源勘探工业信息等支出</w:t>
            </w:r>
          </w:p>
        </w:tc>
        <w:tc>
          <w:tcPr>
            <w:tcW w:w="1474" w:type="dxa"/>
            <w:vAlign w:val="center"/>
          </w:tcPr>
          <w:p w14:paraId="0E747AAC">
            <w:pPr>
              <w:pStyle w:val="11"/>
            </w:pPr>
          </w:p>
        </w:tc>
        <w:tc>
          <w:tcPr>
            <w:tcW w:w="1474" w:type="dxa"/>
            <w:vAlign w:val="center"/>
          </w:tcPr>
          <w:p w14:paraId="4BD814EC">
            <w:pPr>
              <w:pStyle w:val="11"/>
            </w:pPr>
          </w:p>
        </w:tc>
        <w:tc>
          <w:tcPr>
            <w:tcW w:w="1474" w:type="dxa"/>
            <w:vAlign w:val="center"/>
          </w:tcPr>
          <w:p w14:paraId="0E78CF3F">
            <w:pPr>
              <w:pStyle w:val="11"/>
            </w:pPr>
          </w:p>
        </w:tc>
        <w:tc>
          <w:tcPr>
            <w:tcW w:w="1474" w:type="dxa"/>
            <w:vAlign w:val="center"/>
          </w:tcPr>
          <w:p w14:paraId="056AB826">
            <w:pPr>
              <w:pStyle w:val="11"/>
            </w:pPr>
          </w:p>
        </w:tc>
      </w:tr>
      <w:tr w14:paraId="475D1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8998C">
            <w:pPr>
              <w:pStyle w:val="13"/>
            </w:pPr>
            <w:r>
              <w:t>16</w:t>
            </w:r>
          </w:p>
        </w:tc>
        <w:tc>
          <w:tcPr>
            <w:tcW w:w="3402" w:type="dxa"/>
            <w:vAlign w:val="center"/>
          </w:tcPr>
          <w:p w14:paraId="79C41516">
            <w:pPr>
              <w:pStyle w:val="12"/>
            </w:pPr>
          </w:p>
        </w:tc>
        <w:tc>
          <w:tcPr>
            <w:tcW w:w="1474" w:type="dxa"/>
            <w:vAlign w:val="center"/>
          </w:tcPr>
          <w:p w14:paraId="38382938">
            <w:pPr>
              <w:pStyle w:val="11"/>
            </w:pPr>
          </w:p>
        </w:tc>
        <w:tc>
          <w:tcPr>
            <w:tcW w:w="3402" w:type="dxa"/>
            <w:vAlign w:val="center"/>
          </w:tcPr>
          <w:p w14:paraId="27AB253A">
            <w:pPr>
              <w:pStyle w:val="12"/>
            </w:pPr>
            <w:r>
              <w:t>十六、商业服务业等支出</w:t>
            </w:r>
          </w:p>
        </w:tc>
        <w:tc>
          <w:tcPr>
            <w:tcW w:w="1474" w:type="dxa"/>
            <w:vAlign w:val="center"/>
          </w:tcPr>
          <w:p w14:paraId="7BA492DF">
            <w:pPr>
              <w:pStyle w:val="11"/>
            </w:pPr>
          </w:p>
        </w:tc>
        <w:tc>
          <w:tcPr>
            <w:tcW w:w="1474" w:type="dxa"/>
            <w:vAlign w:val="center"/>
          </w:tcPr>
          <w:p w14:paraId="59D16C1C">
            <w:pPr>
              <w:pStyle w:val="11"/>
            </w:pPr>
          </w:p>
        </w:tc>
        <w:tc>
          <w:tcPr>
            <w:tcW w:w="1474" w:type="dxa"/>
            <w:vAlign w:val="center"/>
          </w:tcPr>
          <w:p w14:paraId="57CB70C0">
            <w:pPr>
              <w:pStyle w:val="11"/>
            </w:pPr>
          </w:p>
        </w:tc>
        <w:tc>
          <w:tcPr>
            <w:tcW w:w="1474" w:type="dxa"/>
            <w:vAlign w:val="center"/>
          </w:tcPr>
          <w:p w14:paraId="3819AEAF">
            <w:pPr>
              <w:pStyle w:val="11"/>
            </w:pPr>
          </w:p>
        </w:tc>
      </w:tr>
      <w:tr w14:paraId="45D7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A33C5">
            <w:pPr>
              <w:pStyle w:val="13"/>
            </w:pPr>
            <w:r>
              <w:t>17</w:t>
            </w:r>
          </w:p>
        </w:tc>
        <w:tc>
          <w:tcPr>
            <w:tcW w:w="3402" w:type="dxa"/>
            <w:vAlign w:val="center"/>
          </w:tcPr>
          <w:p w14:paraId="013B7EA5">
            <w:pPr>
              <w:pStyle w:val="12"/>
            </w:pPr>
          </w:p>
        </w:tc>
        <w:tc>
          <w:tcPr>
            <w:tcW w:w="1474" w:type="dxa"/>
            <w:vAlign w:val="center"/>
          </w:tcPr>
          <w:p w14:paraId="5DC108F8">
            <w:pPr>
              <w:pStyle w:val="11"/>
            </w:pPr>
          </w:p>
        </w:tc>
        <w:tc>
          <w:tcPr>
            <w:tcW w:w="3402" w:type="dxa"/>
            <w:vAlign w:val="center"/>
          </w:tcPr>
          <w:p w14:paraId="26AA766A">
            <w:pPr>
              <w:pStyle w:val="12"/>
            </w:pPr>
            <w:r>
              <w:t>十七、金融支出</w:t>
            </w:r>
          </w:p>
        </w:tc>
        <w:tc>
          <w:tcPr>
            <w:tcW w:w="1474" w:type="dxa"/>
            <w:vAlign w:val="center"/>
          </w:tcPr>
          <w:p w14:paraId="4D8976CD">
            <w:pPr>
              <w:pStyle w:val="11"/>
            </w:pPr>
          </w:p>
        </w:tc>
        <w:tc>
          <w:tcPr>
            <w:tcW w:w="1474" w:type="dxa"/>
            <w:vAlign w:val="center"/>
          </w:tcPr>
          <w:p w14:paraId="69C827FB">
            <w:pPr>
              <w:pStyle w:val="11"/>
            </w:pPr>
          </w:p>
        </w:tc>
        <w:tc>
          <w:tcPr>
            <w:tcW w:w="1474" w:type="dxa"/>
            <w:vAlign w:val="center"/>
          </w:tcPr>
          <w:p w14:paraId="330B6ED7">
            <w:pPr>
              <w:pStyle w:val="11"/>
            </w:pPr>
          </w:p>
        </w:tc>
        <w:tc>
          <w:tcPr>
            <w:tcW w:w="1474" w:type="dxa"/>
            <w:vAlign w:val="center"/>
          </w:tcPr>
          <w:p w14:paraId="5BA1CF3C">
            <w:pPr>
              <w:pStyle w:val="11"/>
            </w:pPr>
          </w:p>
        </w:tc>
      </w:tr>
      <w:tr w14:paraId="6349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020F">
            <w:pPr>
              <w:pStyle w:val="13"/>
            </w:pPr>
            <w:r>
              <w:t>18</w:t>
            </w:r>
          </w:p>
        </w:tc>
        <w:tc>
          <w:tcPr>
            <w:tcW w:w="3402" w:type="dxa"/>
            <w:vAlign w:val="center"/>
          </w:tcPr>
          <w:p w14:paraId="6E89A5E2">
            <w:pPr>
              <w:pStyle w:val="12"/>
            </w:pPr>
          </w:p>
        </w:tc>
        <w:tc>
          <w:tcPr>
            <w:tcW w:w="1474" w:type="dxa"/>
            <w:vAlign w:val="center"/>
          </w:tcPr>
          <w:p w14:paraId="14B433CF">
            <w:pPr>
              <w:pStyle w:val="11"/>
            </w:pPr>
          </w:p>
        </w:tc>
        <w:tc>
          <w:tcPr>
            <w:tcW w:w="3402" w:type="dxa"/>
            <w:vAlign w:val="center"/>
          </w:tcPr>
          <w:p w14:paraId="7F3B9A9F">
            <w:pPr>
              <w:pStyle w:val="12"/>
            </w:pPr>
            <w:r>
              <w:t>十八、援助其他地区支出</w:t>
            </w:r>
          </w:p>
        </w:tc>
        <w:tc>
          <w:tcPr>
            <w:tcW w:w="1474" w:type="dxa"/>
            <w:vAlign w:val="center"/>
          </w:tcPr>
          <w:p w14:paraId="272539F2">
            <w:pPr>
              <w:pStyle w:val="11"/>
            </w:pPr>
          </w:p>
        </w:tc>
        <w:tc>
          <w:tcPr>
            <w:tcW w:w="1474" w:type="dxa"/>
            <w:vAlign w:val="center"/>
          </w:tcPr>
          <w:p w14:paraId="6FA61E4A">
            <w:pPr>
              <w:pStyle w:val="11"/>
            </w:pPr>
          </w:p>
        </w:tc>
        <w:tc>
          <w:tcPr>
            <w:tcW w:w="1474" w:type="dxa"/>
            <w:vAlign w:val="center"/>
          </w:tcPr>
          <w:p w14:paraId="3B6E2EFA">
            <w:pPr>
              <w:pStyle w:val="11"/>
            </w:pPr>
          </w:p>
        </w:tc>
        <w:tc>
          <w:tcPr>
            <w:tcW w:w="1474" w:type="dxa"/>
            <w:vAlign w:val="center"/>
          </w:tcPr>
          <w:p w14:paraId="5BCF1EA4">
            <w:pPr>
              <w:pStyle w:val="11"/>
            </w:pPr>
          </w:p>
        </w:tc>
      </w:tr>
      <w:tr w14:paraId="2D5EB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C238">
            <w:pPr>
              <w:pStyle w:val="13"/>
            </w:pPr>
            <w:r>
              <w:t>19</w:t>
            </w:r>
          </w:p>
        </w:tc>
        <w:tc>
          <w:tcPr>
            <w:tcW w:w="3402" w:type="dxa"/>
            <w:vAlign w:val="center"/>
          </w:tcPr>
          <w:p w14:paraId="36DB6D73">
            <w:pPr>
              <w:pStyle w:val="12"/>
            </w:pPr>
          </w:p>
        </w:tc>
        <w:tc>
          <w:tcPr>
            <w:tcW w:w="1474" w:type="dxa"/>
            <w:vAlign w:val="center"/>
          </w:tcPr>
          <w:p w14:paraId="6B0B5389">
            <w:pPr>
              <w:pStyle w:val="11"/>
            </w:pPr>
          </w:p>
        </w:tc>
        <w:tc>
          <w:tcPr>
            <w:tcW w:w="3402" w:type="dxa"/>
            <w:vAlign w:val="center"/>
          </w:tcPr>
          <w:p w14:paraId="0C949344">
            <w:pPr>
              <w:pStyle w:val="12"/>
            </w:pPr>
            <w:r>
              <w:t>十九、自然资源海洋气象等支出</w:t>
            </w:r>
          </w:p>
        </w:tc>
        <w:tc>
          <w:tcPr>
            <w:tcW w:w="1474" w:type="dxa"/>
            <w:vAlign w:val="center"/>
          </w:tcPr>
          <w:p w14:paraId="3EA3E9DD">
            <w:pPr>
              <w:pStyle w:val="11"/>
            </w:pPr>
          </w:p>
        </w:tc>
        <w:tc>
          <w:tcPr>
            <w:tcW w:w="1474" w:type="dxa"/>
            <w:vAlign w:val="center"/>
          </w:tcPr>
          <w:p w14:paraId="2B44FB14">
            <w:pPr>
              <w:pStyle w:val="11"/>
            </w:pPr>
          </w:p>
        </w:tc>
        <w:tc>
          <w:tcPr>
            <w:tcW w:w="1474" w:type="dxa"/>
            <w:vAlign w:val="center"/>
          </w:tcPr>
          <w:p w14:paraId="3994F5D7">
            <w:pPr>
              <w:pStyle w:val="11"/>
            </w:pPr>
          </w:p>
        </w:tc>
        <w:tc>
          <w:tcPr>
            <w:tcW w:w="1474" w:type="dxa"/>
            <w:vAlign w:val="center"/>
          </w:tcPr>
          <w:p w14:paraId="0ACF980B">
            <w:pPr>
              <w:pStyle w:val="11"/>
            </w:pPr>
          </w:p>
        </w:tc>
      </w:tr>
      <w:tr w14:paraId="2D97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439F5">
            <w:pPr>
              <w:pStyle w:val="13"/>
            </w:pPr>
            <w:r>
              <w:t>20</w:t>
            </w:r>
          </w:p>
        </w:tc>
        <w:tc>
          <w:tcPr>
            <w:tcW w:w="3402" w:type="dxa"/>
            <w:vAlign w:val="center"/>
          </w:tcPr>
          <w:p w14:paraId="119FE9E0">
            <w:pPr>
              <w:pStyle w:val="12"/>
            </w:pPr>
          </w:p>
        </w:tc>
        <w:tc>
          <w:tcPr>
            <w:tcW w:w="1474" w:type="dxa"/>
            <w:vAlign w:val="center"/>
          </w:tcPr>
          <w:p w14:paraId="48097671">
            <w:pPr>
              <w:pStyle w:val="11"/>
            </w:pPr>
          </w:p>
        </w:tc>
        <w:tc>
          <w:tcPr>
            <w:tcW w:w="3402" w:type="dxa"/>
            <w:vAlign w:val="center"/>
          </w:tcPr>
          <w:p w14:paraId="2E73AA08">
            <w:pPr>
              <w:pStyle w:val="12"/>
            </w:pPr>
            <w:r>
              <w:t>二十、住房保障支出</w:t>
            </w:r>
          </w:p>
        </w:tc>
        <w:tc>
          <w:tcPr>
            <w:tcW w:w="1474" w:type="dxa"/>
            <w:vAlign w:val="center"/>
          </w:tcPr>
          <w:p w14:paraId="19AA43AC">
            <w:pPr>
              <w:pStyle w:val="11"/>
            </w:pPr>
          </w:p>
        </w:tc>
        <w:tc>
          <w:tcPr>
            <w:tcW w:w="1474" w:type="dxa"/>
            <w:vAlign w:val="center"/>
          </w:tcPr>
          <w:p w14:paraId="2FD3DBA7">
            <w:pPr>
              <w:pStyle w:val="11"/>
            </w:pPr>
          </w:p>
        </w:tc>
        <w:tc>
          <w:tcPr>
            <w:tcW w:w="1474" w:type="dxa"/>
            <w:vAlign w:val="center"/>
          </w:tcPr>
          <w:p w14:paraId="44E22536">
            <w:pPr>
              <w:pStyle w:val="11"/>
            </w:pPr>
          </w:p>
        </w:tc>
        <w:tc>
          <w:tcPr>
            <w:tcW w:w="1474" w:type="dxa"/>
            <w:vAlign w:val="center"/>
          </w:tcPr>
          <w:p w14:paraId="185730EB">
            <w:pPr>
              <w:pStyle w:val="11"/>
            </w:pPr>
          </w:p>
        </w:tc>
      </w:tr>
      <w:tr w14:paraId="6229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5C61">
            <w:pPr>
              <w:pStyle w:val="13"/>
            </w:pPr>
            <w:r>
              <w:t>21</w:t>
            </w:r>
          </w:p>
        </w:tc>
        <w:tc>
          <w:tcPr>
            <w:tcW w:w="3402" w:type="dxa"/>
            <w:vAlign w:val="center"/>
          </w:tcPr>
          <w:p w14:paraId="122DA953">
            <w:pPr>
              <w:pStyle w:val="12"/>
            </w:pPr>
          </w:p>
        </w:tc>
        <w:tc>
          <w:tcPr>
            <w:tcW w:w="1474" w:type="dxa"/>
            <w:vAlign w:val="center"/>
          </w:tcPr>
          <w:p w14:paraId="5215B8B8">
            <w:pPr>
              <w:pStyle w:val="11"/>
            </w:pPr>
          </w:p>
        </w:tc>
        <w:tc>
          <w:tcPr>
            <w:tcW w:w="3402" w:type="dxa"/>
            <w:vAlign w:val="center"/>
          </w:tcPr>
          <w:p w14:paraId="3F696DFE">
            <w:pPr>
              <w:pStyle w:val="12"/>
            </w:pPr>
            <w:r>
              <w:t>二十一、粮油物资储备支出</w:t>
            </w:r>
          </w:p>
        </w:tc>
        <w:tc>
          <w:tcPr>
            <w:tcW w:w="1474" w:type="dxa"/>
            <w:vAlign w:val="center"/>
          </w:tcPr>
          <w:p w14:paraId="4ADA7D2F">
            <w:pPr>
              <w:pStyle w:val="11"/>
            </w:pPr>
          </w:p>
        </w:tc>
        <w:tc>
          <w:tcPr>
            <w:tcW w:w="1474" w:type="dxa"/>
            <w:vAlign w:val="center"/>
          </w:tcPr>
          <w:p w14:paraId="4BD853FA">
            <w:pPr>
              <w:pStyle w:val="11"/>
            </w:pPr>
          </w:p>
        </w:tc>
        <w:tc>
          <w:tcPr>
            <w:tcW w:w="1474" w:type="dxa"/>
            <w:vAlign w:val="center"/>
          </w:tcPr>
          <w:p w14:paraId="610E85EA">
            <w:pPr>
              <w:pStyle w:val="11"/>
            </w:pPr>
          </w:p>
        </w:tc>
        <w:tc>
          <w:tcPr>
            <w:tcW w:w="1474" w:type="dxa"/>
            <w:vAlign w:val="center"/>
          </w:tcPr>
          <w:p w14:paraId="121CFA0A">
            <w:pPr>
              <w:pStyle w:val="11"/>
            </w:pPr>
          </w:p>
        </w:tc>
      </w:tr>
      <w:tr w14:paraId="072F4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D0E0">
            <w:pPr>
              <w:pStyle w:val="13"/>
            </w:pPr>
            <w:r>
              <w:t>22</w:t>
            </w:r>
          </w:p>
        </w:tc>
        <w:tc>
          <w:tcPr>
            <w:tcW w:w="3402" w:type="dxa"/>
            <w:vAlign w:val="center"/>
          </w:tcPr>
          <w:p w14:paraId="45DDEA8E">
            <w:pPr>
              <w:pStyle w:val="12"/>
            </w:pPr>
          </w:p>
        </w:tc>
        <w:tc>
          <w:tcPr>
            <w:tcW w:w="1474" w:type="dxa"/>
            <w:vAlign w:val="center"/>
          </w:tcPr>
          <w:p w14:paraId="15F1308F">
            <w:pPr>
              <w:pStyle w:val="11"/>
            </w:pPr>
          </w:p>
        </w:tc>
        <w:tc>
          <w:tcPr>
            <w:tcW w:w="3402" w:type="dxa"/>
            <w:vAlign w:val="center"/>
          </w:tcPr>
          <w:p w14:paraId="0A17C044">
            <w:pPr>
              <w:pStyle w:val="12"/>
            </w:pPr>
            <w:r>
              <w:t>二十二、国有资本经营预算支出</w:t>
            </w:r>
          </w:p>
        </w:tc>
        <w:tc>
          <w:tcPr>
            <w:tcW w:w="1474" w:type="dxa"/>
            <w:vAlign w:val="center"/>
          </w:tcPr>
          <w:p w14:paraId="78A514F1">
            <w:pPr>
              <w:pStyle w:val="11"/>
            </w:pPr>
          </w:p>
        </w:tc>
        <w:tc>
          <w:tcPr>
            <w:tcW w:w="1474" w:type="dxa"/>
            <w:vAlign w:val="center"/>
          </w:tcPr>
          <w:p w14:paraId="24F142EA">
            <w:pPr>
              <w:pStyle w:val="11"/>
            </w:pPr>
          </w:p>
        </w:tc>
        <w:tc>
          <w:tcPr>
            <w:tcW w:w="1474" w:type="dxa"/>
            <w:vAlign w:val="center"/>
          </w:tcPr>
          <w:p w14:paraId="0191F27F">
            <w:pPr>
              <w:pStyle w:val="11"/>
            </w:pPr>
          </w:p>
        </w:tc>
        <w:tc>
          <w:tcPr>
            <w:tcW w:w="1474" w:type="dxa"/>
            <w:vAlign w:val="center"/>
          </w:tcPr>
          <w:p w14:paraId="2B272DE9">
            <w:pPr>
              <w:pStyle w:val="11"/>
            </w:pPr>
          </w:p>
        </w:tc>
      </w:tr>
      <w:tr w14:paraId="2704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7494A">
            <w:pPr>
              <w:pStyle w:val="13"/>
            </w:pPr>
            <w:r>
              <w:t>23</w:t>
            </w:r>
          </w:p>
        </w:tc>
        <w:tc>
          <w:tcPr>
            <w:tcW w:w="3402" w:type="dxa"/>
            <w:vAlign w:val="center"/>
          </w:tcPr>
          <w:p w14:paraId="5944CB76">
            <w:pPr>
              <w:pStyle w:val="12"/>
            </w:pPr>
          </w:p>
        </w:tc>
        <w:tc>
          <w:tcPr>
            <w:tcW w:w="1474" w:type="dxa"/>
            <w:vAlign w:val="center"/>
          </w:tcPr>
          <w:p w14:paraId="7C09166F">
            <w:pPr>
              <w:pStyle w:val="11"/>
            </w:pPr>
          </w:p>
        </w:tc>
        <w:tc>
          <w:tcPr>
            <w:tcW w:w="3402" w:type="dxa"/>
            <w:vAlign w:val="center"/>
          </w:tcPr>
          <w:p w14:paraId="6FD0022E">
            <w:pPr>
              <w:pStyle w:val="12"/>
            </w:pPr>
            <w:r>
              <w:t>二十三、灾害防治及应急管理支出</w:t>
            </w:r>
          </w:p>
        </w:tc>
        <w:tc>
          <w:tcPr>
            <w:tcW w:w="1474" w:type="dxa"/>
            <w:vAlign w:val="center"/>
          </w:tcPr>
          <w:p w14:paraId="47116B87">
            <w:pPr>
              <w:pStyle w:val="11"/>
            </w:pPr>
          </w:p>
        </w:tc>
        <w:tc>
          <w:tcPr>
            <w:tcW w:w="1474" w:type="dxa"/>
            <w:vAlign w:val="center"/>
          </w:tcPr>
          <w:p w14:paraId="76C23022">
            <w:pPr>
              <w:pStyle w:val="11"/>
            </w:pPr>
          </w:p>
        </w:tc>
        <w:tc>
          <w:tcPr>
            <w:tcW w:w="1474" w:type="dxa"/>
            <w:vAlign w:val="center"/>
          </w:tcPr>
          <w:p w14:paraId="071F08E2">
            <w:pPr>
              <w:pStyle w:val="11"/>
            </w:pPr>
          </w:p>
        </w:tc>
        <w:tc>
          <w:tcPr>
            <w:tcW w:w="1474" w:type="dxa"/>
            <w:vAlign w:val="center"/>
          </w:tcPr>
          <w:p w14:paraId="1243236D">
            <w:pPr>
              <w:pStyle w:val="11"/>
            </w:pPr>
          </w:p>
        </w:tc>
      </w:tr>
      <w:tr w14:paraId="777B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D0F7">
            <w:pPr>
              <w:pStyle w:val="13"/>
            </w:pPr>
            <w:r>
              <w:t>24</w:t>
            </w:r>
          </w:p>
        </w:tc>
        <w:tc>
          <w:tcPr>
            <w:tcW w:w="3402" w:type="dxa"/>
            <w:vAlign w:val="center"/>
          </w:tcPr>
          <w:p w14:paraId="77AD03E7">
            <w:pPr>
              <w:pStyle w:val="12"/>
            </w:pPr>
          </w:p>
        </w:tc>
        <w:tc>
          <w:tcPr>
            <w:tcW w:w="1474" w:type="dxa"/>
            <w:vAlign w:val="center"/>
          </w:tcPr>
          <w:p w14:paraId="67660769">
            <w:pPr>
              <w:pStyle w:val="11"/>
            </w:pPr>
          </w:p>
        </w:tc>
        <w:tc>
          <w:tcPr>
            <w:tcW w:w="3402" w:type="dxa"/>
            <w:vAlign w:val="center"/>
          </w:tcPr>
          <w:p w14:paraId="72006621">
            <w:pPr>
              <w:pStyle w:val="12"/>
            </w:pPr>
            <w:r>
              <w:t>二十四、预备费</w:t>
            </w:r>
          </w:p>
        </w:tc>
        <w:tc>
          <w:tcPr>
            <w:tcW w:w="1474" w:type="dxa"/>
            <w:vAlign w:val="center"/>
          </w:tcPr>
          <w:p w14:paraId="17AFF254">
            <w:pPr>
              <w:pStyle w:val="11"/>
            </w:pPr>
          </w:p>
        </w:tc>
        <w:tc>
          <w:tcPr>
            <w:tcW w:w="1474" w:type="dxa"/>
            <w:vAlign w:val="center"/>
          </w:tcPr>
          <w:p w14:paraId="33E61B1F">
            <w:pPr>
              <w:pStyle w:val="11"/>
            </w:pPr>
          </w:p>
        </w:tc>
        <w:tc>
          <w:tcPr>
            <w:tcW w:w="1474" w:type="dxa"/>
            <w:vAlign w:val="center"/>
          </w:tcPr>
          <w:p w14:paraId="1DA86678">
            <w:pPr>
              <w:pStyle w:val="11"/>
            </w:pPr>
          </w:p>
        </w:tc>
        <w:tc>
          <w:tcPr>
            <w:tcW w:w="1474" w:type="dxa"/>
            <w:vAlign w:val="center"/>
          </w:tcPr>
          <w:p w14:paraId="742EADC7">
            <w:pPr>
              <w:pStyle w:val="11"/>
            </w:pPr>
          </w:p>
        </w:tc>
      </w:tr>
      <w:tr w14:paraId="466F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C695">
            <w:pPr>
              <w:pStyle w:val="13"/>
            </w:pPr>
            <w:r>
              <w:t>25</w:t>
            </w:r>
          </w:p>
        </w:tc>
        <w:tc>
          <w:tcPr>
            <w:tcW w:w="3402" w:type="dxa"/>
            <w:vAlign w:val="center"/>
          </w:tcPr>
          <w:p w14:paraId="05CCE7F6">
            <w:pPr>
              <w:pStyle w:val="12"/>
            </w:pPr>
          </w:p>
        </w:tc>
        <w:tc>
          <w:tcPr>
            <w:tcW w:w="1474" w:type="dxa"/>
            <w:vAlign w:val="center"/>
          </w:tcPr>
          <w:p w14:paraId="7A5E0EA1">
            <w:pPr>
              <w:pStyle w:val="11"/>
            </w:pPr>
          </w:p>
        </w:tc>
        <w:tc>
          <w:tcPr>
            <w:tcW w:w="3402" w:type="dxa"/>
            <w:vAlign w:val="center"/>
          </w:tcPr>
          <w:p w14:paraId="4A9845D3">
            <w:pPr>
              <w:pStyle w:val="12"/>
            </w:pPr>
            <w:r>
              <w:t>二十五、其他支出</w:t>
            </w:r>
          </w:p>
        </w:tc>
        <w:tc>
          <w:tcPr>
            <w:tcW w:w="1474" w:type="dxa"/>
            <w:vAlign w:val="center"/>
          </w:tcPr>
          <w:p w14:paraId="4106E39D">
            <w:pPr>
              <w:pStyle w:val="11"/>
            </w:pPr>
          </w:p>
        </w:tc>
        <w:tc>
          <w:tcPr>
            <w:tcW w:w="1474" w:type="dxa"/>
            <w:vAlign w:val="center"/>
          </w:tcPr>
          <w:p w14:paraId="55FF9860">
            <w:pPr>
              <w:pStyle w:val="11"/>
            </w:pPr>
          </w:p>
        </w:tc>
        <w:tc>
          <w:tcPr>
            <w:tcW w:w="1474" w:type="dxa"/>
            <w:vAlign w:val="center"/>
          </w:tcPr>
          <w:p w14:paraId="075F80E3">
            <w:pPr>
              <w:pStyle w:val="11"/>
            </w:pPr>
          </w:p>
        </w:tc>
        <w:tc>
          <w:tcPr>
            <w:tcW w:w="1474" w:type="dxa"/>
            <w:vAlign w:val="center"/>
          </w:tcPr>
          <w:p w14:paraId="14B8EC93">
            <w:pPr>
              <w:pStyle w:val="11"/>
            </w:pPr>
          </w:p>
        </w:tc>
      </w:tr>
      <w:tr w14:paraId="3A5C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23563">
            <w:pPr>
              <w:pStyle w:val="13"/>
            </w:pPr>
            <w:r>
              <w:t>26</w:t>
            </w:r>
          </w:p>
        </w:tc>
        <w:tc>
          <w:tcPr>
            <w:tcW w:w="3402" w:type="dxa"/>
            <w:vAlign w:val="center"/>
          </w:tcPr>
          <w:p w14:paraId="7D2C4725">
            <w:pPr>
              <w:pStyle w:val="12"/>
            </w:pPr>
          </w:p>
        </w:tc>
        <w:tc>
          <w:tcPr>
            <w:tcW w:w="1474" w:type="dxa"/>
            <w:vAlign w:val="center"/>
          </w:tcPr>
          <w:p w14:paraId="134557E4">
            <w:pPr>
              <w:pStyle w:val="11"/>
            </w:pPr>
          </w:p>
        </w:tc>
        <w:tc>
          <w:tcPr>
            <w:tcW w:w="3402" w:type="dxa"/>
            <w:vAlign w:val="center"/>
          </w:tcPr>
          <w:p w14:paraId="1321E6B2">
            <w:pPr>
              <w:pStyle w:val="12"/>
            </w:pPr>
            <w:r>
              <w:t>二十六、转移性支出</w:t>
            </w:r>
          </w:p>
        </w:tc>
        <w:tc>
          <w:tcPr>
            <w:tcW w:w="1474" w:type="dxa"/>
            <w:vAlign w:val="center"/>
          </w:tcPr>
          <w:p w14:paraId="38B0D10F">
            <w:pPr>
              <w:pStyle w:val="11"/>
            </w:pPr>
          </w:p>
        </w:tc>
        <w:tc>
          <w:tcPr>
            <w:tcW w:w="1474" w:type="dxa"/>
            <w:vAlign w:val="center"/>
          </w:tcPr>
          <w:p w14:paraId="5B6021A9">
            <w:pPr>
              <w:pStyle w:val="11"/>
            </w:pPr>
          </w:p>
        </w:tc>
        <w:tc>
          <w:tcPr>
            <w:tcW w:w="1474" w:type="dxa"/>
            <w:vAlign w:val="center"/>
          </w:tcPr>
          <w:p w14:paraId="1C8346DD">
            <w:pPr>
              <w:pStyle w:val="11"/>
            </w:pPr>
          </w:p>
        </w:tc>
        <w:tc>
          <w:tcPr>
            <w:tcW w:w="1474" w:type="dxa"/>
            <w:vAlign w:val="center"/>
          </w:tcPr>
          <w:p w14:paraId="74870EDF">
            <w:pPr>
              <w:pStyle w:val="11"/>
            </w:pPr>
          </w:p>
        </w:tc>
      </w:tr>
      <w:tr w14:paraId="3477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DD03F">
            <w:pPr>
              <w:pStyle w:val="13"/>
            </w:pPr>
            <w:r>
              <w:t>27</w:t>
            </w:r>
          </w:p>
        </w:tc>
        <w:tc>
          <w:tcPr>
            <w:tcW w:w="3402" w:type="dxa"/>
            <w:vAlign w:val="center"/>
          </w:tcPr>
          <w:p w14:paraId="4AC8CF94">
            <w:pPr>
              <w:pStyle w:val="12"/>
            </w:pPr>
          </w:p>
        </w:tc>
        <w:tc>
          <w:tcPr>
            <w:tcW w:w="1474" w:type="dxa"/>
            <w:vAlign w:val="center"/>
          </w:tcPr>
          <w:p w14:paraId="2730F60B">
            <w:pPr>
              <w:pStyle w:val="11"/>
            </w:pPr>
          </w:p>
        </w:tc>
        <w:tc>
          <w:tcPr>
            <w:tcW w:w="3402" w:type="dxa"/>
            <w:vAlign w:val="center"/>
          </w:tcPr>
          <w:p w14:paraId="3D273F20">
            <w:pPr>
              <w:pStyle w:val="12"/>
            </w:pPr>
            <w:r>
              <w:t>二十七、债务还本支出</w:t>
            </w:r>
          </w:p>
        </w:tc>
        <w:tc>
          <w:tcPr>
            <w:tcW w:w="1474" w:type="dxa"/>
            <w:vAlign w:val="center"/>
          </w:tcPr>
          <w:p w14:paraId="0E1B91A0">
            <w:pPr>
              <w:pStyle w:val="11"/>
            </w:pPr>
          </w:p>
        </w:tc>
        <w:tc>
          <w:tcPr>
            <w:tcW w:w="1474" w:type="dxa"/>
            <w:vAlign w:val="center"/>
          </w:tcPr>
          <w:p w14:paraId="6ECEEE52">
            <w:pPr>
              <w:pStyle w:val="11"/>
            </w:pPr>
          </w:p>
        </w:tc>
        <w:tc>
          <w:tcPr>
            <w:tcW w:w="1474" w:type="dxa"/>
            <w:vAlign w:val="center"/>
          </w:tcPr>
          <w:p w14:paraId="7731091B">
            <w:pPr>
              <w:pStyle w:val="11"/>
            </w:pPr>
          </w:p>
        </w:tc>
        <w:tc>
          <w:tcPr>
            <w:tcW w:w="1474" w:type="dxa"/>
            <w:vAlign w:val="center"/>
          </w:tcPr>
          <w:p w14:paraId="2BD496F1">
            <w:pPr>
              <w:pStyle w:val="11"/>
            </w:pPr>
          </w:p>
        </w:tc>
      </w:tr>
      <w:tr w14:paraId="0FB2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DC831">
            <w:pPr>
              <w:pStyle w:val="13"/>
            </w:pPr>
            <w:r>
              <w:t>28</w:t>
            </w:r>
          </w:p>
        </w:tc>
        <w:tc>
          <w:tcPr>
            <w:tcW w:w="3402" w:type="dxa"/>
            <w:vAlign w:val="center"/>
          </w:tcPr>
          <w:p w14:paraId="4222F788">
            <w:pPr>
              <w:pStyle w:val="12"/>
            </w:pPr>
          </w:p>
        </w:tc>
        <w:tc>
          <w:tcPr>
            <w:tcW w:w="1474" w:type="dxa"/>
            <w:vAlign w:val="center"/>
          </w:tcPr>
          <w:p w14:paraId="2D8A3EA9">
            <w:pPr>
              <w:pStyle w:val="11"/>
            </w:pPr>
          </w:p>
        </w:tc>
        <w:tc>
          <w:tcPr>
            <w:tcW w:w="3402" w:type="dxa"/>
            <w:vAlign w:val="center"/>
          </w:tcPr>
          <w:p w14:paraId="34A66D40">
            <w:pPr>
              <w:pStyle w:val="12"/>
            </w:pPr>
            <w:r>
              <w:t>二十八、债务付息支出</w:t>
            </w:r>
          </w:p>
        </w:tc>
        <w:tc>
          <w:tcPr>
            <w:tcW w:w="1474" w:type="dxa"/>
            <w:vAlign w:val="center"/>
          </w:tcPr>
          <w:p w14:paraId="01DAE7FE">
            <w:pPr>
              <w:pStyle w:val="11"/>
            </w:pPr>
          </w:p>
        </w:tc>
        <w:tc>
          <w:tcPr>
            <w:tcW w:w="1474" w:type="dxa"/>
            <w:vAlign w:val="center"/>
          </w:tcPr>
          <w:p w14:paraId="4D4077D2">
            <w:pPr>
              <w:pStyle w:val="11"/>
            </w:pPr>
          </w:p>
        </w:tc>
        <w:tc>
          <w:tcPr>
            <w:tcW w:w="1474" w:type="dxa"/>
            <w:vAlign w:val="center"/>
          </w:tcPr>
          <w:p w14:paraId="538C0601">
            <w:pPr>
              <w:pStyle w:val="11"/>
            </w:pPr>
          </w:p>
        </w:tc>
        <w:tc>
          <w:tcPr>
            <w:tcW w:w="1474" w:type="dxa"/>
            <w:vAlign w:val="center"/>
          </w:tcPr>
          <w:p w14:paraId="6AB292CB">
            <w:pPr>
              <w:pStyle w:val="11"/>
            </w:pPr>
          </w:p>
        </w:tc>
      </w:tr>
      <w:tr w14:paraId="48D69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DA8F6">
            <w:pPr>
              <w:pStyle w:val="13"/>
            </w:pPr>
            <w:r>
              <w:t>29</w:t>
            </w:r>
          </w:p>
        </w:tc>
        <w:tc>
          <w:tcPr>
            <w:tcW w:w="3402" w:type="dxa"/>
            <w:vAlign w:val="center"/>
          </w:tcPr>
          <w:p w14:paraId="2F621B85">
            <w:pPr>
              <w:pStyle w:val="12"/>
            </w:pPr>
          </w:p>
        </w:tc>
        <w:tc>
          <w:tcPr>
            <w:tcW w:w="1474" w:type="dxa"/>
            <w:vAlign w:val="center"/>
          </w:tcPr>
          <w:p w14:paraId="427BDC25">
            <w:pPr>
              <w:pStyle w:val="11"/>
            </w:pPr>
          </w:p>
        </w:tc>
        <w:tc>
          <w:tcPr>
            <w:tcW w:w="3402" w:type="dxa"/>
            <w:vAlign w:val="center"/>
          </w:tcPr>
          <w:p w14:paraId="297F6416">
            <w:pPr>
              <w:pStyle w:val="12"/>
            </w:pPr>
            <w:r>
              <w:t>二十九、债务发行费用支出</w:t>
            </w:r>
          </w:p>
        </w:tc>
        <w:tc>
          <w:tcPr>
            <w:tcW w:w="1474" w:type="dxa"/>
            <w:vAlign w:val="center"/>
          </w:tcPr>
          <w:p w14:paraId="7BBB8181">
            <w:pPr>
              <w:pStyle w:val="11"/>
            </w:pPr>
          </w:p>
        </w:tc>
        <w:tc>
          <w:tcPr>
            <w:tcW w:w="1474" w:type="dxa"/>
            <w:vAlign w:val="center"/>
          </w:tcPr>
          <w:p w14:paraId="11B915CD">
            <w:pPr>
              <w:pStyle w:val="11"/>
            </w:pPr>
          </w:p>
        </w:tc>
        <w:tc>
          <w:tcPr>
            <w:tcW w:w="1474" w:type="dxa"/>
            <w:vAlign w:val="center"/>
          </w:tcPr>
          <w:p w14:paraId="377513CE">
            <w:pPr>
              <w:pStyle w:val="11"/>
            </w:pPr>
          </w:p>
        </w:tc>
        <w:tc>
          <w:tcPr>
            <w:tcW w:w="1474" w:type="dxa"/>
            <w:vAlign w:val="center"/>
          </w:tcPr>
          <w:p w14:paraId="194F4C5C">
            <w:pPr>
              <w:pStyle w:val="11"/>
            </w:pPr>
          </w:p>
        </w:tc>
      </w:tr>
      <w:tr w14:paraId="2E00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75B0F">
            <w:pPr>
              <w:pStyle w:val="13"/>
            </w:pPr>
            <w:r>
              <w:t>30</w:t>
            </w:r>
          </w:p>
        </w:tc>
        <w:tc>
          <w:tcPr>
            <w:tcW w:w="3402" w:type="dxa"/>
            <w:vAlign w:val="center"/>
          </w:tcPr>
          <w:p w14:paraId="273F6894">
            <w:pPr>
              <w:pStyle w:val="12"/>
            </w:pPr>
          </w:p>
        </w:tc>
        <w:tc>
          <w:tcPr>
            <w:tcW w:w="1474" w:type="dxa"/>
            <w:vAlign w:val="center"/>
          </w:tcPr>
          <w:p w14:paraId="7C89CAFC">
            <w:pPr>
              <w:pStyle w:val="11"/>
            </w:pPr>
          </w:p>
        </w:tc>
        <w:tc>
          <w:tcPr>
            <w:tcW w:w="3402" w:type="dxa"/>
            <w:vAlign w:val="center"/>
          </w:tcPr>
          <w:p w14:paraId="28AE9485">
            <w:pPr>
              <w:pStyle w:val="12"/>
            </w:pPr>
            <w:r>
              <w:t>三十、抗疫特别国债安排的支出</w:t>
            </w:r>
          </w:p>
        </w:tc>
        <w:tc>
          <w:tcPr>
            <w:tcW w:w="1474" w:type="dxa"/>
            <w:vAlign w:val="center"/>
          </w:tcPr>
          <w:p w14:paraId="10C0278E">
            <w:pPr>
              <w:pStyle w:val="11"/>
            </w:pPr>
          </w:p>
        </w:tc>
        <w:tc>
          <w:tcPr>
            <w:tcW w:w="1474" w:type="dxa"/>
            <w:vAlign w:val="center"/>
          </w:tcPr>
          <w:p w14:paraId="57738B0C">
            <w:pPr>
              <w:pStyle w:val="11"/>
            </w:pPr>
          </w:p>
        </w:tc>
        <w:tc>
          <w:tcPr>
            <w:tcW w:w="1474" w:type="dxa"/>
            <w:vAlign w:val="center"/>
          </w:tcPr>
          <w:p w14:paraId="07C9EC1B">
            <w:pPr>
              <w:pStyle w:val="11"/>
            </w:pPr>
          </w:p>
        </w:tc>
        <w:tc>
          <w:tcPr>
            <w:tcW w:w="1474" w:type="dxa"/>
            <w:vAlign w:val="center"/>
          </w:tcPr>
          <w:p w14:paraId="5A356A9A">
            <w:pPr>
              <w:pStyle w:val="11"/>
            </w:pPr>
          </w:p>
        </w:tc>
      </w:tr>
      <w:tr w14:paraId="73B8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3FD88">
            <w:pPr>
              <w:pStyle w:val="13"/>
            </w:pPr>
            <w:r>
              <w:t>31</w:t>
            </w:r>
          </w:p>
        </w:tc>
        <w:tc>
          <w:tcPr>
            <w:tcW w:w="3402" w:type="dxa"/>
            <w:vAlign w:val="center"/>
          </w:tcPr>
          <w:p w14:paraId="0C031EB1">
            <w:pPr>
              <w:pStyle w:val="12"/>
            </w:pPr>
          </w:p>
        </w:tc>
        <w:tc>
          <w:tcPr>
            <w:tcW w:w="1474" w:type="dxa"/>
            <w:vAlign w:val="center"/>
          </w:tcPr>
          <w:p w14:paraId="4D11CD31">
            <w:pPr>
              <w:pStyle w:val="11"/>
            </w:pPr>
          </w:p>
        </w:tc>
        <w:tc>
          <w:tcPr>
            <w:tcW w:w="3402" w:type="dxa"/>
            <w:vAlign w:val="center"/>
          </w:tcPr>
          <w:p w14:paraId="751F40A1">
            <w:pPr>
              <w:pStyle w:val="12"/>
            </w:pPr>
            <w:r>
              <w:t>三十一、人行科目</w:t>
            </w:r>
          </w:p>
        </w:tc>
        <w:tc>
          <w:tcPr>
            <w:tcW w:w="1474" w:type="dxa"/>
            <w:vAlign w:val="center"/>
          </w:tcPr>
          <w:p w14:paraId="36DAC7B4">
            <w:pPr>
              <w:pStyle w:val="11"/>
            </w:pPr>
          </w:p>
        </w:tc>
        <w:tc>
          <w:tcPr>
            <w:tcW w:w="1474" w:type="dxa"/>
            <w:vAlign w:val="center"/>
          </w:tcPr>
          <w:p w14:paraId="1BDBF185">
            <w:pPr>
              <w:pStyle w:val="11"/>
            </w:pPr>
          </w:p>
        </w:tc>
        <w:tc>
          <w:tcPr>
            <w:tcW w:w="1474" w:type="dxa"/>
            <w:vAlign w:val="center"/>
          </w:tcPr>
          <w:p w14:paraId="523D49A8">
            <w:pPr>
              <w:pStyle w:val="11"/>
            </w:pPr>
          </w:p>
        </w:tc>
        <w:tc>
          <w:tcPr>
            <w:tcW w:w="1474" w:type="dxa"/>
            <w:vAlign w:val="center"/>
          </w:tcPr>
          <w:p w14:paraId="71AEC6C6">
            <w:pPr>
              <w:pStyle w:val="11"/>
            </w:pPr>
          </w:p>
        </w:tc>
      </w:tr>
      <w:tr w14:paraId="39AA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42849">
            <w:pPr>
              <w:pStyle w:val="13"/>
            </w:pPr>
            <w:r>
              <w:t>32</w:t>
            </w:r>
          </w:p>
        </w:tc>
        <w:tc>
          <w:tcPr>
            <w:tcW w:w="3402" w:type="dxa"/>
            <w:vAlign w:val="center"/>
          </w:tcPr>
          <w:p w14:paraId="13E6993F">
            <w:pPr>
              <w:pStyle w:val="14"/>
            </w:pPr>
            <w:r>
              <w:t>本年收入合计</w:t>
            </w:r>
          </w:p>
        </w:tc>
        <w:tc>
          <w:tcPr>
            <w:tcW w:w="1474" w:type="dxa"/>
            <w:vAlign w:val="center"/>
          </w:tcPr>
          <w:p w14:paraId="7511084F">
            <w:pPr>
              <w:pStyle w:val="15"/>
            </w:pPr>
            <w:r>
              <w:t>3991.51</w:t>
            </w:r>
          </w:p>
        </w:tc>
        <w:tc>
          <w:tcPr>
            <w:tcW w:w="3402" w:type="dxa"/>
            <w:vAlign w:val="center"/>
          </w:tcPr>
          <w:p w14:paraId="2B0C4348">
            <w:pPr>
              <w:pStyle w:val="14"/>
            </w:pPr>
            <w:r>
              <w:t>本年支出合计</w:t>
            </w:r>
          </w:p>
        </w:tc>
        <w:tc>
          <w:tcPr>
            <w:tcW w:w="1474" w:type="dxa"/>
            <w:vAlign w:val="center"/>
          </w:tcPr>
          <w:p w14:paraId="3B4F1BE2">
            <w:pPr>
              <w:pStyle w:val="15"/>
            </w:pPr>
            <w:r>
              <w:t>3991.51</w:t>
            </w:r>
          </w:p>
        </w:tc>
        <w:tc>
          <w:tcPr>
            <w:tcW w:w="1474" w:type="dxa"/>
            <w:vAlign w:val="center"/>
          </w:tcPr>
          <w:p w14:paraId="790EC36F">
            <w:pPr>
              <w:pStyle w:val="15"/>
            </w:pPr>
            <w:r>
              <w:t>3991.51</w:t>
            </w:r>
          </w:p>
        </w:tc>
        <w:tc>
          <w:tcPr>
            <w:tcW w:w="1474" w:type="dxa"/>
            <w:vAlign w:val="center"/>
          </w:tcPr>
          <w:p w14:paraId="7A9CAE85">
            <w:pPr>
              <w:pStyle w:val="15"/>
            </w:pPr>
          </w:p>
        </w:tc>
        <w:tc>
          <w:tcPr>
            <w:tcW w:w="1474" w:type="dxa"/>
            <w:vAlign w:val="center"/>
          </w:tcPr>
          <w:p w14:paraId="09362C23">
            <w:pPr>
              <w:pStyle w:val="15"/>
            </w:pPr>
          </w:p>
        </w:tc>
      </w:tr>
      <w:tr w14:paraId="1C4A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88381">
            <w:pPr>
              <w:pStyle w:val="13"/>
            </w:pPr>
            <w:r>
              <w:t>33</w:t>
            </w:r>
          </w:p>
        </w:tc>
        <w:tc>
          <w:tcPr>
            <w:tcW w:w="3402" w:type="dxa"/>
            <w:vAlign w:val="center"/>
          </w:tcPr>
          <w:p w14:paraId="1930B6F7">
            <w:pPr>
              <w:pStyle w:val="12"/>
            </w:pPr>
            <w:r>
              <w:t>年初财政拨款结转和结余</w:t>
            </w:r>
          </w:p>
        </w:tc>
        <w:tc>
          <w:tcPr>
            <w:tcW w:w="1474" w:type="dxa"/>
            <w:vAlign w:val="center"/>
          </w:tcPr>
          <w:p w14:paraId="2224BDA8">
            <w:pPr>
              <w:pStyle w:val="11"/>
            </w:pPr>
          </w:p>
        </w:tc>
        <w:tc>
          <w:tcPr>
            <w:tcW w:w="3402" w:type="dxa"/>
            <w:vAlign w:val="center"/>
          </w:tcPr>
          <w:p w14:paraId="4660626E">
            <w:pPr>
              <w:pStyle w:val="12"/>
            </w:pPr>
            <w:r>
              <w:t>年末财政拨款结转和结余</w:t>
            </w:r>
          </w:p>
        </w:tc>
        <w:tc>
          <w:tcPr>
            <w:tcW w:w="1474" w:type="dxa"/>
            <w:vAlign w:val="center"/>
          </w:tcPr>
          <w:p w14:paraId="379FD3C3">
            <w:pPr>
              <w:pStyle w:val="11"/>
            </w:pPr>
          </w:p>
        </w:tc>
        <w:tc>
          <w:tcPr>
            <w:tcW w:w="1474" w:type="dxa"/>
            <w:vAlign w:val="center"/>
          </w:tcPr>
          <w:p w14:paraId="00DC1089">
            <w:pPr>
              <w:pStyle w:val="11"/>
            </w:pPr>
          </w:p>
        </w:tc>
        <w:tc>
          <w:tcPr>
            <w:tcW w:w="1474" w:type="dxa"/>
            <w:vAlign w:val="center"/>
          </w:tcPr>
          <w:p w14:paraId="1D924C3F">
            <w:pPr>
              <w:pStyle w:val="11"/>
            </w:pPr>
          </w:p>
        </w:tc>
        <w:tc>
          <w:tcPr>
            <w:tcW w:w="1474" w:type="dxa"/>
            <w:vAlign w:val="center"/>
          </w:tcPr>
          <w:p w14:paraId="51828A64">
            <w:pPr>
              <w:pStyle w:val="11"/>
            </w:pPr>
          </w:p>
        </w:tc>
      </w:tr>
      <w:tr w14:paraId="2C58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1E226">
            <w:pPr>
              <w:pStyle w:val="13"/>
            </w:pPr>
            <w:r>
              <w:t>34</w:t>
            </w:r>
          </w:p>
        </w:tc>
        <w:tc>
          <w:tcPr>
            <w:tcW w:w="3402" w:type="dxa"/>
            <w:vAlign w:val="center"/>
          </w:tcPr>
          <w:p w14:paraId="210EA6F6">
            <w:pPr>
              <w:pStyle w:val="12"/>
            </w:pPr>
            <w:r>
              <w:t>一、一般公共预算拨款</w:t>
            </w:r>
          </w:p>
        </w:tc>
        <w:tc>
          <w:tcPr>
            <w:tcW w:w="1474" w:type="dxa"/>
            <w:vAlign w:val="center"/>
          </w:tcPr>
          <w:p w14:paraId="415CE067">
            <w:pPr>
              <w:pStyle w:val="11"/>
            </w:pPr>
          </w:p>
        </w:tc>
        <w:tc>
          <w:tcPr>
            <w:tcW w:w="3402" w:type="dxa"/>
            <w:vAlign w:val="center"/>
          </w:tcPr>
          <w:p w14:paraId="27D6EB6F">
            <w:pPr>
              <w:pStyle w:val="12"/>
            </w:pPr>
          </w:p>
        </w:tc>
        <w:tc>
          <w:tcPr>
            <w:tcW w:w="1474" w:type="dxa"/>
            <w:vAlign w:val="center"/>
          </w:tcPr>
          <w:p w14:paraId="5CF0BF83">
            <w:pPr>
              <w:pStyle w:val="11"/>
            </w:pPr>
          </w:p>
        </w:tc>
        <w:tc>
          <w:tcPr>
            <w:tcW w:w="1474" w:type="dxa"/>
            <w:vAlign w:val="center"/>
          </w:tcPr>
          <w:p w14:paraId="70D77E3F">
            <w:pPr>
              <w:pStyle w:val="11"/>
            </w:pPr>
          </w:p>
        </w:tc>
        <w:tc>
          <w:tcPr>
            <w:tcW w:w="1474" w:type="dxa"/>
            <w:vAlign w:val="center"/>
          </w:tcPr>
          <w:p w14:paraId="23E6BC33">
            <w:pPr>
              <w:pStyle w:val="11"/>
            </w:pPr>
          </w:p>
        </w:tc>
        <w:tc>
          <w:tcPr>
            <w:tcW w:w="1474" w:type="dxa"/>
            <w:vAlign w:val="center"/>
          </w:tcPr>
          <w:p w14:paraId="18D1DFE4">
            <w:pPr>
              <w:pStyle w:val="11"/>
            </w:pPr>
          </w:p>
        </w:tc>
      </w:tr>
      <w:tr w14:paraId="434C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A0127">
            <w:pPr>
              <w:pStyle w:val="13"/>
            </w:pPr>
            <w:r>
              <w:t>35</w:t>
            </w:r>
          </w:p>
        </w:tc>
        <w:tc>
          <w:tcPr>
            <w:tcW w:w="3402" w:type="dxa"/>
            <w:vAlign w:val="center"/>
          </w:tcPr>
          <w:p w14:paraId="24D9CA93">
            <w:pPr>
              <w:pStyle w:val="12"/>
            </w:pPr>
            <w:r>
              <w:t>二、政府性基金预算拨款</w:t>
            </w:r>
          </w:p>
        </w:tc>
        <w:tc>
          <w:tcPr>
            <w:tcW w:w="1474" w:type="dxa"/>
            <w:vAlign w:val="center"/>
          </w:tcPr>
          <w:p w14:paraId="67709A5C">
            <w:pPr>
              <w:pStyle w:val="11"/>
            </w:pPr>
          </w:p>
        </w:tc>
        <w:tc>
          <w:tcPr>
            <w:tcW w:w="3402" w:type="dxa"/>
            <w:vAlign w:val="center"/>
          </w:tcPr>
          <w:p w14:paraId="1F2A7259">
            <w:pPr>
              <w:pStyle w:val="12"/>
            </w:pPr>
          </w:p>
        </w:tc>
        <w:tc>
          <w:tcPr>
            <w:tcW w:w="1474" w:type="dxa"/>
            <w:vAlign w:val="center"/>
          </w:tcPr>
          <w:p w14:paraId="7525AE0D">
            <w:pPr>
              <w:pStyle w:val="11"/>
            </w:pPr>
          </w:p>
        </w:tc>
        <w:tc>
          <w:tcPr>
            <w:tcW w:w="1474" w:type="dxa"/>
            <w:vAlign w:val="center"/>
          </w:tcPr>
          <w:p w14:paraId="5BC6B35E">
            <w:pPr>
              <w:pStyle w:val="11"/>
            </w:pPr>
          </w:p>
        </w:tc>
        <w:tc>
          <w:tcPr>
            <w:tcW w:w="1474" w:type="dxa"/>
            <w:vAlign w:val="center"/>
          </w:tcPr>
          <w:p w14:paraId="486AE383">
            <w:pPr>
              <w:pStyle w:val="11"/>
            </w:pPr>
          </w:p>
        </w:tc>
        <w:tc>
          <w:tcPr>
            <w:tcW w:w="1474" w:type="dxa"/>
            <w:vAlign w:val="center"/>
          </w:tcPr>
          <w:p w14:paraId="46C8DF6C">
            <w:pPr>
              <w:pStyle w:val="11"/>
            </w:pPr>
          </w:p>
        </w:tc>
      </w:tr>
      <w:tr w14:paraId="1464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0BCB9">
            <w:pPr>
              <w:pStyle w:val="13"/>
            </w:pPr>
            <w:r>
              <w:t>36</w:t>
            </w:r>
          </w:p>
        </w:tc>
        <w:tc>
          <w:tcPr>
            <w:tcW w:w="3402" w:type="dxa"/>
            <w:vAlign w:val="center"/>
          </w:tcPr>
          <w:p w14:paraId="42F83FD2">
            <w:pPr>
              <w:pStyle w:val="12"/>
            </w:pPr>
            <w:r>
              <w:t>三、国有资本经营预算拨款</w:t>
            </w:r>
          </w:p>
        </w:tc>
        <w:tc>
          <w:tcPr>
            <w:tcW w:w="1474" w:type="dxa"/>
            <w:vAlign w:val="center"/>
          </w:tcPr>
          <w:p w14:paraId="0432F7D8">
            <w:pPr>
              <w:pStyle w:val="11"/>
            </w:pPr>
          </w:p>
        </w:tc>
        <w:tc>
          <w:tcPr>
            <w:tcW w:w="3402" w:type="dxa"/>
            <w:vAlign w:val="center"/>
          </w:tcPr>
          <w:p w14:paraId="5D243A39">
            <w:pPr>
              <w:pStyle w:val="12"/>
            </w:pPr>
          </w:p>
        </w:tc>
        <w:tc>
          <w:tcPr>
            <w:tcW w:w="1474" w:type="dxa"/>
            <w:vAlign w:val="center"/>
          </w:tcPr>
          <w:p w14:paraId="5FCE3A27">
            <w:pPr>
              <w:pStyle w:val="11"/>
            </w:pPr>
          </w:p>
        </w:tc>
        <w:tc>
          <w:tcPr>
            <w:tcW w:w="1474" w:type="dxa"/>
            <w:vAlign w:val="center"/>
          </w:tcPr>
          <w:p w14:paraId="5A26D769">
            <w:pPr>
              <w:pStyle w:val="11"/>
            </w:pPr>
          </w:p>
        </w:tc>
        <w:tc>
          <w:tcPr>
            <w:tcW w:w="1474" w:type="dxa"/>
            <w:vAlign w:val="center"/>
          </w:tcPr>
          <w:p w14:paraId="64C2FD8A">
            <w:pPr>
              <w:pStyle w:val="11"/>
            </w:pPr>
          </w:p>
        </w:tc>
        <w:tc>
          <w:tcPr>
            <w:tcW w:w="1474" w:type="dxa"/>
            <w:vAlign w:val="center"/>
          </w:tcPr>
          <w:p w14:paraId="14153BD3">
            <w:pPr>
              <w:pStyle w:val="11"/>
            </w:pPr>
          </w:p>
        </w:tc>
      </w:tr>
      <w:tr w14:paraId="10B0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8F615">
            <w:pPr>
              <w:pStyle w:val="13"/>
            </w:pPr>
            <w:r>
              <w:t>37</w:t>
            </w:r>
          </w:p>
        </w:tc>
        <w:tc>
          <w:tcPr>
            <w:tcW w:w="3402" w:type="dxa"/>
            <w:vAlign w:val="center"/>
          </w:tcPr>
          <w:p w14:paraId="73CE4611">
            <w:pPr>
              <w:pStyle w:val="14"/>
            </w:pPr>
            <w:r>
              <w:t>收入总计</w:t>
            </w:r>
          </w:p>
        </w:tc>
        <w:tc>
          <w:tcPr>
            <w:tcW w:w="1474" w:type="dxa"/>
            <w:vAlign w:val="center"/>
          </w:tcPr>
          <w:p w14:paraId="50495BE9">
            <w:pPr>
              <w:pStyle w:val="15"/>
            </w:pPr>
            <w:r>
              <w:t>3991.51</w:t>
            </w:r>
          </w:p>
        </w:tc>
        <w:tc>
          <w:tcPr>
            <w:tcW w:w="3402" w:type="dxa"/>
            <w:vAlign w:val="center"/>
          </w:tcPr>
          <w:p w14:paraId="498A50EE">
            <w:pPr>
              <w:pStyle w:val="14"/>
            </w:pPr>
            <w:r>
              <w:t>支出总计</w:t>
            </w:r>
          </w:p>
        </w:tc>
        <w:tc>
          <w:tcPr>
            <w:tcW w:w="1474" w:type="dxa"/>
            <w:vAlign w:val="center"/>
          </w:tcPr>
          <w:p w14:paraId="35FD0C27">
            <w:pPr>
              <w:pStyle w:val="15"/>
            </w:pPr>
            <w:r>
              <w:t>3991.51</w:t>
            </w:r>
          </w:p>
        </w:tc>
        <w:tc>
          <w:tcPr>
            <w:tcW w:w="1474" w:type="dxa"/>
            <w:vAlign w:val="center"/>
          </w:tcPr>
          <w:p w14:paraId="2491AE20">
            <w:pPr>
              <w:pStyle w:val="15"/>
            </w:pPr>
            <w:r>
              <w:t>3991.51</w:t>
            </w:r>
          </w:p>
        </w:tc>
        <w:tc>
          <w:tcPr>
            <w:tcW w:w="1474" w:type="dxa"/>
            <w:vAlign w:val="center"/>
          </w:tcPr>
          <w:p w14:paraId="04C5A7C9">
            <w:pPr>
              <w:pStyle w:val="15"/>
            </w:pPr>
          </w:p>
        </w:tc>
        <w:tc>
          <w:tcPr>
            <w:tcW w:w="1474" w:type="dxa"/>
            <w:vAlign w:val="center"/>
          </w:tcPr>
          <w:p w14:paraId="4A38722F">
            <w:pPr>
              <w:pStyle w:val="15"/>
            </w:pPr>
          </w:p>
        </w:tc>
      </w:tr>
    </w:tbl>
    <w:p w14:paraId="0CA37307">
      <w:pPr>
        <w:sectPr>
          <w:pgSz w:w="16840" w:h="11900" w:orient="landscape"/>
          <w:pgMar w:top="1361" w:right="1020" w:bottom="1134" w:left="1020" w:header="720" w:footer="720" w:gutter="0"/>
          <w:cols w:space="720" w:num="1"/>
        </w:sectPr>
      </w:pPr>
    </w:p>
    <w:p w14:paraId="4BCCD7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DD4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D8012C">
            <w:pPr>
              <w:pStyle w:val="9"/>
            </w:pPr>
            <w:r>
              <w:t>360022隆尧县尹村校区</w:t>
            </w:r>
          </w:p>
        </w:tc>
        <w:tc>
          <w:tcPr>
            <w:tcW w:w="2551" w:type="dxa"/>
            <w:tcBorders>
              <w:top w:val="single" w:color="FFFFFF" w:sz="6" w:space="0"/>
              <w:left w:val="single" w:color="FFFFFF" w:sz="6" w:space="0"/>
              <w:right w:val="single" w:color="FFFFFF" w:sz="6" w:space="0"/>
            </w:tcBorders>
            <w:vAlign w:val="center"/>
          </w:tcPr>
          <w:p w14:paraId="7DBDD2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A3323F">
            <w:pPr>
              <w:pStyle w:val="7"/>
            </w:pPr>
            <w:r>
              <w:t>单位：万元</w:t>
            </w:r>
          </w:p>
        </w:tc>
      </w:tr>
      <w:tr w14:paraId="1A29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E49A39">
            <w:pPr>
              <w:pStyle w:val="10"/>
            </w:pPr>
            <w:r>
              <w:t>序号</w:t>
            </w:r>
          </w:p>
        </w:tc>
        <w:tc>
          <w:tcPr>
            <w:tcW w:w="5726" w:type="dxa"/>
            <w:gridSpan w:val="2"/>
            <w:vAlign w:val="center"/>
          </w:tcPr>
          <w:p w14:paraId="1FFD540B">
            <w:pPr>
              <w:pStyle w:val="10"/>
            </w:pPr>
            <w:r>
              <w:t>功能分类科目</w:t>
            </w:r>
          </w:p>
        </w:tc>
        <w:tc>
          <w:tcPr>
            <w:tcW w:w="2551" w:type="dxa"/>
            <w:vMerge w:val="restart"/>
            <w:vAlign w:val="center"/>
          </w:tcPr>
          <w:p w14:paraId="4E1B1D8E">
            <w:pPr>
              <w:pStyle w:val="10"/>
            </w:pPr>
            <w:r>
              <w:t>合计</w:t>
            </w:r>
          </w:p>
        </w:tc>
        <w:tc>
          <w:tcPr>
            <w:tcW w:w="2551" w:type="dxa"/>
            <w:vMerge w:val="restart"/>
            <w:vAlign w:val="center"/>
          </w:tcPr>
          <w:p w14:paraId="4DDBF3BA">
            <w:pPr>
              <w:pStyle w:val="10"/>
            </w:pPr>
            <w:r>
              <w:t>基本支出</w:t>
            </w:r>
          </w:p>
        </w:tc>
        <w:tc>
          <w:tcPr>
            <w:tcW w:w="2551" w:type="dxa"/>
            <w:vMerge w:val="restart"/>
            <w:vAlign w:val="center"/>
          </w:tcPr>
          <w:p w14:paraId="3AD45DE4">
            <w:pPr>
              <w:pStyle w:val="10"/>
            </w:pPr>
            <w:r>
              <w:t>项目支出</w:t>
            </w:r>
          </w:p>
        </w:tc>
      </w:tr>
      <w:tr w14:paraId="6A72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2007B"/>
        </w:tc>
        <w:tc>
          <w:tcPr>
            <w:tcW w:w="1191" w:type="dxa"/>
            <w:vAlign w:val="center"/>
          </w:tcPr>
          <w:p w14:paraId="4EC6C2B6">
            <w:pPr>
              <w:pStyle w:val="10"/>
            </w:pPr>
            <w:r>
              <w:t>科目编码</w:t>
            </w:r>
          </w:p>
        </w:tc>
        <w:tc>
          <w:tcPr>
            <w:tcW w:w="4535" w:type="dxa"/>
            <w:vAlign w:val="center"/>
          </w:tcPr>
          <w:p w14:paraId="0A956962">
            <w:pPr>
              <w:pStyle w:val="10"/>
            </w:pPr>
            <w:r>
              <w:t>科目名称</w:t>
            </w:r>
          </w:p>
        </w:tc>
        <w:tc>
          <w:tcPr>
            <w:tcW w:w="2551" w:type="dxa"/>
            <w:vMerge w:val="continue"/>
          </w:tcPr>
          <w:p w14:paraId="035F6634"/>
        </w:tc>
        <w:tc>
          <w:tcPr>
            <w:tcW w:w="2551" w:type="dxa"/>
            <w:vMerge w:val="continue"/>
          </w:tcPr>
          <w:p w14:paraId="42E03325"/>
        </w:tc>
        <w:tc>
          <w:tcPr>
            <w:tcW w:w="2551" w:type="dxa"/>
            <w:vMerge w:val="continue"/>
          </w:tcPr>
          <w:p w14:paraId="70BA87B2"/>
        </w:tc>
      </w:tr>
      <w:tr w14:paraId="341F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9DA4DB">
            <w:pPr>
              <w:pStyle w:val="10"/>
            </w:pPr>
            <w:r>
              <w:t>栏次</w:t>
            </w:r>
          </w:p>
        </w:tc>
        <w:tc>
          <w:tcPr>
            <w:tcW w:w="1191" w:type="dxa"/>
            <w:vAlign w:val="center"/>
          </w:tcPr>
          <w:p w14:paraId="75E757CE">
            <w:pPr>
              <w:pStyle w:val="10"/>
            </w:pPr>
            <w:r>
              <w:t>1</w:t>
            </w:r>
          </w:p>
        </w:tc>
        <w:tc>
          <w:tcPr>
            <w:tcW w:w="4535" w:type="dxa"/>
            <w:vAlign w:val="center"/>
          </w:tcPr>
          <w:p w14:paraId="59666716">
            <w:pPr>
              <w:pStyle w:val="10"/>
            </w:pPr>
            <w:r>
              <w:t>2</w:t>
            </w:r>
          </w:p>
        </w:tc>
        <w:tc>
          <w:tcPr>
            <w:tcW w:w="2551" w:type="dxa"/>
            <w:vAlign w:val="center"/>
          </w:tcPr>
          <w:p w14:paraId="4B92742B">
            <w:pPr>
              <w:pStyle w:val="10"/>
            </w:pPr>
            <w:r>
              <w:t>3</w:t>
            </w:r>
          </w:p>
        </w:tc>
        <w:tc>
          <w:tcPr>
            <w:tcW w:w="2551" w:type="dxa"/>
            <w:vAlign w:val="center"/>
          </w:tcPr>
          <w:p w14:paraId="32F5AF70">
            <w:pPr>
              <w:pStyle w:val="10"/>
            </w:pPr>
            <w:r>
              <w:t>4</w:t>
            </w:r>
          </w:p>
        </w:tc>
        <w:tc>
          <w:tcPr>
            <w:tcW w:w="2551" w:type="dxa"/>
            <w:vAlign w:val="center"/>
          </w:tcPr>
          <w:p w14:paraId="289B48BC">
            <w:pPr>
              <w:pStyle w:val="10"/>
            </w:pPr>
            <w:r>
              <w:t>5</w:t>
            </w:r>
          </w:p>
        </w:tc>
      </w:tr>
      <w:tr w14:paraId="71D0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5C972">
            <w:pPr>
              <w:pStyle w:val="13"/>
            </w:pPr>
            <w:r>
              <w:t>1</w:t>
            </w:r>
          </w:p>
        </w:tc>
        <w:tc>
          <w:tcPr>
            <w:tcW w:w="1191" w:type="dxa"/>
            <w:vAlign w:val="center"/>
          </w:tcPr>
          <w:p w14:paraId="64057774">
            <w:pPr>
              <w:pStyle w:val="16"/>
            </w:pPr>
          </w:p>
        </w:tc>
        <w:tc>
          <w:tcPr>
            <w:tcW w:w="4535" w:type="dxa"/>
            <w:vAlign w:val="center"/>
          </w:tcPr>
          <w:p w14:paraId="4814FE55">
            <w:pPr>
              <w:pStyle w:val="14"/>
            </w:pPr>
            <w:r>
              <w:t>合计</w:t>
            </w:r>
          </w:p>
        </w:tc>
        <w:tc>
          <w:tcPr>
            <w:tcW w:w="2551" w:type="dxa"/>
            <w:vAlign w:val="center"/>
          </w:tcPr>
          <w:p w14:paraId="1DD74636">
            <w:pPr>
              <w:pStyle w:val="15"/>
            </w:pPr>
            <w:r>
              <w:t>3991.51</w:t>
            </w:r>
          </w:p>
        </w:tc>
        <w:tc>
          <w:tcPr>
            <w:tcW w:w="2551" w:type="dxa"/>
            <w:vAlign w:val="center"/>
          </w:tcPr>
          <w:p w14:paraId="0AEFC368">
            <w:pPr>
              <w:pStyle w:val="15"/>
            </w:pPr>
            <w:r>
              <w:t>2836.43</w:t>
            </w:r>
          </w:p>
        </w:tc>
        <w:tc>
          <w:tcPr>
            <w:tcW w:w="2551" w:type="dxa"/>
            <w:vAlign w:val="center"/>
          </w:tcPr>
          <w:p w14:paraId="7488335F">
            <w:pPr>
              <w:pStyle w:val="15"/>
            </w:pPr>
            <w:r>
              <w:t>1155.08</w:t>
            </w:r>
          </w:p>
        </w:tc>
      </w:tr>
      <w:tr w14:paraId="4B352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C18C">
            <w:pPr>
              <w:pStyle w:val="13"/>
            </w:pPr>
            <w:r>
              <w:t>2</w:t>
            </w:r>
          </w:p>
        </w:tc>
        <w:tc>
          <w:tcPr>
            <w:tcW w:w="1191" w:type="dxa"/>
            <w:vAlign w:val="center"/>
          </w:tcPr>
          <w:p w14:paraId="01628C77">
            <w:pPr>
              <w:pStyle w:val="12"/>
            </w:pPr>
            <w:r>
              <w:t>205</w:t>
            </w:r>
          </w:p>
        </w:tc>
        <w:tc>
          <w:tcPr>
            <w:tcW w:w="4535" w:type="dxa"/>
            <w:vAlign w:val="center"/>
          </w:tcPr>
          <w:p w14:paraId="2694920A">
            <w:pPr>
              <w:pStyle w:val="12"/>
            </w:pPr>
            <w:r>
              <w:t>教育支出</w:t>
            </w:r>
          </w:p>
        </w:tc>
        <w:tc>
          <w:tcPr>
            <w:tcW w:w="2551" w:type="dxa"/>
            <w:vAlign w:val="center"/>
          </w:tcPr>
          <w:p w14:paraId="31551AB3">
            <w:pPr>
              <w:pStyle w:val="11"/>
            </w:pPr>
            <w:r>
              <w:t>3991.51</w:t>
            </w:r>
          </w:p>
        </w:tc>
        <w:tc>
          <w:tcPr>
            <w:tcW w:w="2551" w:type="dxa"/>
            <w:vAlign w:val="center"/>
          </w:tcPr>
          <w:p w14:paraId="087C74FC">
            <w:pPr>
              <w:pStyle w:val="11"/>
            </w:pPr>
            <w:r>
              <w:t>2836.43</w:t>
            </w:r>
          </w:p>
        </w:tc>
        <w:tc>
          <w:tcPr>
            <w:tcW w:w="2551" w:type="dxa"/>
            <w:vAlign w:val="center"/>
          </w:tcPr>
          <w:p w14:paraId="4B16DF04">
            <w:pPr>
              <w:pStyle w:val="11"/>
            </w:pPr>
            <w:r>
              <w:t>1155.08</w:t>
            </w:r>
          </w:p>
        </w:tc>
      </w:tr>
      <w:tr w14:paraId="5650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7CAB">
            <w:pPr>
              <w:pStyle w:val="13"/>
            </w:pPr>
            <w:r>
              <w:t>3</w:t>
            </w:r>
          </w:p>
        </w:tc>
        <w:tc>
          <w:tcPr>
            <w:tcW w:w="1191" w:type="dxa"/>
            <w:vAlign w:val="center"/>
          </w:tcPr>
          <w:p w14:paraId="0EF280ED">
            <w:pPr>
              <w:pStyle w:val="12"/>
            </w:pPr>
            <w:r>
              <w:t>20502</w:t>
            </w:r>
          </w:p>
        </w:tc>
        <w:tc>
          <w:tcPr>
            <w:tcW w:w="4535" w:type="dxa"/>
            <w:vAlign w:val="center"/>
          </w:tcPr>
          <w:p w14:paraId="708416AF">
            <w:pPr>
              <w:pStyle w:val="12"/>
            </w:pPr>
            <w:r>
              <w:t>普通教育</w:t>
            </w:r>
          </w:p>
        </w:tc>
        <w:tc>
          <w:tcPr>
            <w:tcW w:w="2551" w:type="dxa"/>
            <w:vAlign w:val="center"/>
          </w:tcPr>
          <w:p w14:paraId="74EE0245">
            <w:pPr>
              <w:pStyle w:val="11"/>
            </w:pPr>
            <w:r>
              <w:t>3991.51</w:t>
            </w:r>
          </w:p>
        </w:tc>
        <w:tc>
          <w:tcPr>
            <w:tcW w:w="2551" w:type="dxa"/>
            <w:vAlign w:val="center"/>
          </w:tcPr>
          <w:p w14:paraId="684376C7">
            <w:pPr>
              <w:pStyle w:val="11"/>
            </w:pPr>
            <w:r>
              <w:t>2836.43</w:t>
            </w:r>
          </w:p>
        </w:tc>
        <w:tc>
          <w:tcPr>
            <w:tcW w:w="2551" w:type="dxa"/>
            <w:vAlign w:val="center"/>
          </w:tcPr>
          <w:p w14:paraId="45A7B6EB">
            <w:pPr>
              <w:pStyle w:val="11"/>
            </w:pPr>
            <w:r>
              <w:t>1155.08</w:t>
            </w:r>
          </w:p>
        </w:tc>
      </w:tr>
      <w:tr w14:paraId="6C6C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D8D14">
            <w:pPr>
              <w:pStyle w:val="13"/>
            </w:pPr>
            <w:r>
              <w:t>4</w:t>
            </w:r>
          </w:p>
        </w:tc>
        <w:tc>
          <w:tcPr>
            <w:tcW w:w="1191" w:type="dxa"/>
            <w:vAlign w:val="center"/>
          </w:tcPr>
          <w:p w14:paraId="6AAF49EB">
            <w:pPr>
              <w:pStyle w:val="12"/>
            </w:pPr>
            <w:r>
              <w:t>2050201</w:t>
            </w:r>
          </w:p>
        </w:tc>
        <w:tc>
          <w:tcPr>
            <w:tcW w:w="4535" w:type="dxa"/>
            <w:vAlign w:val="center"/>
          </w:tcPr>
          <w:p w14:paraId="0683396A">
            <w:pPr>
              <w:pStyle w:val="12"/>
            </w:pPr>
            <w:r>
              <w:t>学前教育</w:t>
            </w:r>
          </w:p>
        </w:tc>
        <w:tc>
          <w:tcPr>
            <w:tcW w:w="2551" w:type="dxa"/>
            <w:vAlign w:val="center"/>
          </w:tcPr>
          <w:p w14:paraId="282BC55A">
            <w:pPr>
              <w:pStyle w:val="11"/>
            </w:pPr>
            <w:r>
              <w:t>621.31</w:t>
            </w:r>
          </w:p>
        </w:tc>
        <w:tc>
          <w:tcPr>
            <w:tcW w:w="2551" w:type="dxa"/>
            <w:vAlign w:val="center"/>
          </w:tcPr>
          <w:p w14:paraId="66C835CF">
            <w:pPr>
              <w:pStyle w:val="11"/>
            </w:pPr>
          </w:p>
        </w:tc>
        <w:tc>
          <w:tcPr>
            <w:tcW w:w="2551" w:type="dxa"/>
            <w:vAlign w:val="center"/>
          </w:tcPr>
          <w:p w14:paraId="2069576B">
            <w:pPr>
              <w:pStyle w:val="11"/>
            </w:pPr>
            <w:r>
              <w:t>621.31</w:t>
            </w:r>
          </w:p>
        </w:tc>
      </w:tr>
      <w:tr w14:paraId="16A2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33B29">
            <w:pPr>
              <w:pStyle w:val="13"/>
            </w:pPr>
            <w:r>
              <w:t>5</w:t>
            </w:r>
          </w:p>
        </w:tc>
        <w:tc>
          <w:tcPr>
            <w:tcW w:w="1191" w:type="dxa"/>
            <w:vAlign w:val="center"/>
          </w:tcPr>
          <w:p w14:paraId="7075DEA8">
            <w:pPr>
              <w:pStyle w:val="12"/>
            </w:pPr>
            <w:r>
              <w:t>2050202</w:t>
            </w:r>
          </w:p>
        </w:tc>
        <w:tc>
          <w:tcPr>
            <w:tcW w:w="4535" w:type="dxa"/>
            <w:vAlign w:val="center"/>
          </w:tcPr>
          <w:p w14:paraId="4A128746">
            <w:pPr>
              <w:pStyle w:val="12"/>
            </w:pPr>
            <w:r>
              <w:t>小学教育</w:t>
            </w:r>
          </w:p>
        </w:tc>
        <w:tc>
          <w:tcPr>
            <w:tcW w:w="2551" w:type="dxa"/>
            <w:vAlign w:val="center"/>
          </w:tcPr>
          <w:p w14:paraId="7538FDA0">
            <w:pPr>
              <w:pStyle w:val="11"/>
            </w:pPr>
            <w:r>
              <w:t>3370.20</w:t>
            </w:r>
          </w:p>
        </w:tc>
        <w:tc>
          <w:tcPr>
            <w:tcW w:w="2551" w:type="dxa"/>
            <w:vAlign w:val="center"/>
          </w:tcPr>
          <w:p w14:paraId="5F78D25A">
            <w:pPr>
              <w:pStyle w:val="11"/>
            </w:pPr>
            <w:r>
              <w:t>2836.43</w:t>
            </w:r>
          </w:p>
        </w:tc>
        <w:tc>
          <w:tcPr>
            <w:tcW w:w="2551" w:type="dxa"/>
            <w:vAlign w:val="center"/>
          </w:tcPr>
          <w:p w14:paraId="58C1271E">
            <w:pPr>
              <w:pStyle w:val="11"/>
            </w:pPr>
            <w:r>
              <w:t>533.77</w:t>
            </w:r>
          </w:p>
        </w:tc>
      </w:tr>
    </w:tbl>
    <w:p w14:paraId="462B4E13">
      <w:pPr>
        <w:sectPr>
          <w:pgSz w:w="16840" w:h="11900" w:orient="landscape"/>
          <w:pgMar w:top="1361" w:right="1020" w:bottom="1134" w:left="1020" w:header="720" w:footer="720" w:gutter="0"/>
          <w:cols w:space="720" w:num="1"/>
        </w:sectPr>
      </w:pPr>
    </w:p>
    <w:p w14:paraId="46AEE5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06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802B5E">
            <w:pPr>
              <w:pStyle w:val="9"/>
            </w:pPr>
            <w:r>
              <w:t>360022隆尧县尹村校区</w:t>
            </w:r>
          </w:p>
        </w:tc>
        <w:tc>
          <w:tcPr>
            <w:tcW w:w="2551" w:type="dxa"/>
            <w:tcBorders>
              <w:top w:val="single" w:color="FFFFFF" w:sz="6" w:space="0"/>
              <w:left w:val="single" w:color="FFFFFF" w:sz="6" w:space="0"/>
              <w:right w:val="single" w:color="FFFFFF" w:sz="6" w:space="0"/>
            </w:tcBorders>
            <w:vAlign w:val="center"/>
          </w:tcPr>
          <w:p w14:paraId="152874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CA9333">
            <w:pPr>
              <w:pStyle w:val="7"/>
            </w:pPr>
            <w:r>
              <w:t>单位：万元</w:t>
            </w:r>
          </w:p>
        </w:tc>
      </w:tr>
      <w:tr w14:paraId="5C69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9A42D">
            <w:pPr>
              <w:pStyle w:val="10"/>
            </w:pPr>
            <w:r>
              <w:t>序号</w:t>
            </w:r>
          </w:p>
        </w:tc>
        <w:tc>
          <w:tcPr>
            <w:tcW w:w="5726" w:type="dxa"/>
            <w:gridSpan w:val="2"/>
            <w:vAlign w:val="center"/>
          </w:tcPr>
          <w:p w14:paraId="019F6B55">
            <w:pPr>
              <w:pStyle w:val="10"/>
            </w:pPr>
            <w:r>
              <w:t>支出部门经济分类科目</w:t>
            </w:r>
          </w:p>
        </w:tc>
        <w:tc>
          <w:tcPr>
            <w:tcW w:w="7653" w:type="dxa"/>
            <w:gridSpan w:val="3"/>
            <w:vAlign w:val="center"/>
          </w:tcPr>
          <w:p w14:paraId="08F4A634">
            <w:pPr>
              <w:pStyle w:val="10"/>
            </w:pPr>
            <w:r>
              <w:t>一般公共预算基本支出</w:t>
            </w:r>
          </w:p>
        </w:tc>
      </w:tr>
      <w:tr w14:paraId="328B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E6193"/>
        </w:tc>
        <w:tc>
          <w:tcPr>
            <w:tcW w:w="1191" w:type="dxa"/>
            <w:vAlign w:val="center"/>
          </w:tcPr>
          <w:p w14:paraId="0BF4E22F">
            <w:pPr>
              <w:pStyle w:val="10"/>
            </w:pPr>
            <w:r>
              <w:t>科目编码</w:t>
            </w:r>
          </w:p>
        </w:tc>
        <w:tc>
          <w:tcPr>
            <w:tcW w:w="4535" w:type="dxa"/>
            <w:vAlign w:val="center"/>
          </w:tcPr>
          <w:p w14:paraId="6705447F">
            <w:pPr>
              <w:pStyle w:val="10"/>
            </w:pPr>
            <w:r>
              <w:t>科目名称</w:t>
            </w:r>
          </w:p>
        </w:tc>
        <w:tc>
          <w:tcPr>
            <w:tcW w:w="2551" w:type="dxa"/>
            <w:vAlign w:val="center"/>
          </w:tcPr>
          <w:p w14:paraId="24B437DF">
            <w:pPr>
              <w:pStyle w:val="10"/>
            </w:pPr>
            <w:r>
              <w:t>合计</w:t>
            </w:r>
          </w:p>
        </w:tc>
        <w:tc>
          <w:tcPr>
            <w:tcW w:w="2551" w:type="dxa"/>
            <w:vAlign w:val="center"/>
          </w:tcPr>
          <w:p w14:paraId="4F6FCC81">
            <w:pPr>
              <w:pStyle w:val="10"/>
            </w:pPr>
            <w:r>
              <w:t>人员经费</w:t>
            </w:r>
          </w:p>
        </w:tc>
        <w:tc>
          <w:tcPr>
            <w:tcW w:w="2551" w:type="dxa"/>
            <w:vAlign w:val="center"/>
          </w:tcPr>
          <w:p w14:paraId="070ED269">
            <w:pPr>
              <w:pStyle w:val="10"/>
            </w:pPr>
            <w:r>
              <w:t>公用经费</w:t>
            </w:r>
          </w:p>
        </w:tc>
      </w:tr>
      <w:tr w14:paraId="0961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B938AF">
            <w:pPr>
              <w:pStyle w:val="10"/>
            </w:pPr>
            <w:r>
              <w:t>栏次</w:t>
            </w:r>
          </w:p>
        </w:tc>
        <w:tc>
          <w:tcPr>
            <w:tcW w:w="1191" w:type="dxa"/>
            <w:vAlign w:val="center"/>
          </w:tcPr>
          <w:p w14:paraId="78473E92">
            <w:pPr>
              <w:pStyle w:val="10"/>
            </w:pPr>
            <w:r>
              <w:t>1</w:t>
            </w:r>
          </w:p>
        </w:tc>
        <w:tc>
          <w:tcPr>
            <w:tcW w:w="4535" w:type="dxa"/>
            <w:vAlign w:val="center"/>
          </w:tcPr>
          <w:p w14:paraId="6A53E4AB">
            <w:pPr>
              <w:pStyle w:val="10"/>
            </w:pPr>
            <w:r>
              <w:t>2</w:t>
            </w:r>
          </w:p>
        </w:tc>
        <w:tc>
          <w:tcPr>
            <w:tcW w:w="2551" w:type="dxa"/>
            <w:vAlign w:val="center"/>
          </w:tcPr>
          <w:p w14:paraId="1BDF16E4">
            <w:pPr>
              <w:pStyle w:val="10"/>
            </w:pPr>
            <w:r>
              <w:t>3</w:t>
            </w:r>
          </w:p>
        </w:tc>
        <w:tc>
          <w:tcPr>
            <w:tcW w:w="2551" w:type="dxa"/>
            <w:vAlign w:val="center"/>
          </w:tcPr>
          <w:p w14:paraId="25FFB820">
            <w:pPr>
              <w:pStyle w:val="10"/>
            </w:pPr>
            <w:r>
              <w:t>4</w:t>
            </w:r>
          </w:p>
        </w:tc>
        <w:tc>
          <w:tcPr>
            <w:tcW w:w="2551" w:type="dxa"/>
            <w:vAlign w:val="center"/>
          </w:tcPr>
          <w:p w14:paraId="13DB8C14">
            <w:pPr>
              <w:pStyle w:val="10"/>
            </w:pPr>
            <w:r>
              <w:t>5</w:t>
            </w:r>
          </w:p>
        </w:tc>
      </w:tr>
      <w:tr w14:paraId="2345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62E69">
            <w:pPr>
              <w:pStyle w:val="13"/>
            </w:pPr>
            <w:r>
              <w:t>1</w:t>
            </w:r>
          </w:p>
        </w:tc>
        <w:tc>
          <w:tcPr>
            <w:tcW w:w="1191" w:type="dxa"/>
            <w:vAlign w:val="center"/>
          </w:tcPr>
          <w:p w14:paraId="437B703C">
            <w:pPr>
              <w:pStyle w:val="16"/>
            </w:pPr>
          </w:p>
        </w:tc>
        <w:tc>
          <w:tcPr>
            <w:tcW w:w="4535" w:type="dxa"/>
            <w:vAlign w:val="center"/>
          </w:tcPr>
          <w:p w14:paraId="5E3D2CB5">
            <w:pPr>
              <w:pStyle w:val="14"/>
            </w:pPr>
            <w:r>
              <w:t>合计</w:t>
            </w:r>
          </w:p>
        </w:tc>
        <w:tc>
          <w:tcPr>
            <w:tcW w:w="2551" w:type="dxa"/>
            <w:vAlign w:val="center"/>
          </w:tcPr>
          <w:p w14:paraId="31394D04">
            <w:pPr>
              <w:pStyle w:val="15"/>
            </w:pPr>
            <w:r>
              <w:t>2836.43</w:t>
            </w:r>
          </w:p>
        </w:tc>
        <w:tc>
          <w:tcPr>
            <w:tcW w:w="2551" w:type="dxa"/>
            <w:vAlign w:val="center"/>
          </w:tcPr>
          <w:p w14:paraId="5BC9D985">
            <w:pPr>
              <w:pStyle w:val="15"/>
            </w:pPr>
            <w:r>
              <w:t>2836.43</w:t>
            </w:r>
          </w:p>
        </w:tc>
        <w:tc>
          <w:tcPr>
            <w:tcW w:w="2551" w:type="dxa"/>
            <w:vAlign w:val="center"/>
          </w:tcPr>
          <w:p w14:paraId="4FDC302B">
            <w:pPr>
              <w:pStyle w:val="15"/>
            </w:pPr>
          </w:p>
        </w:tc>
      </w:tr>
      <w:tr w14:paraId="7636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803F">
            <w:pPr>
              <w:pStyle w:val="13"/>
            </w:pPr>
            <w:r>
              <w:t>2</w:t>
            </w:r>
          </w:p>
        </w:tc>
        <w:tc>
          <w:tcPr>
            <w:tcW w:w="1191" w:type="dxa"/>
            <w:vAlign w:val="center"/>
          </w:tcPr>
          <w:p w14:paraId="38C5216E">
            <w:pPr>
              <w:pStyle w:val="12"/>
            </w:pPr>
            <w:r>
              <w:t>301</w:t>
            </w:r>
          </w:p>
        </w:tc>
        <w:tc>
          <w:tcPr>
            <w:tcW w:w="4535" w:type="dxa"/>
            <w:vAlign w:val="center"/>
          </w:tcPr>
          <w:p w14:paraId="44274758">
            <w:pPr>
              <w:pStyle w:val="12"/>
            </w:pPr>
            <w:r>
              <w:t>工资福利支出</w:t>
            </w:r>
          </w:p>
        </w:tc>
        <w:tc>
          <w:tcPr>
            <w:tcW w:w="2551" w:type="dxa"/>
            <w:vAlign w:val="center"/>
          </w:tcPr>
          <w:p w14:paraId="17EEA5CF">
            <w:pPr>
              <w:pStyle w:val="11"/>
            </w:pPr>
            <w:r>
              <w:t>2668.80</w:t>
            </w:r>
          </w:p>
        </w:tc>
        <w:tc>
          <w:tcPr>
            <w:tcW w:w="2551" w:type="dxa"/>
            <w:vAlign w:val="center"/>
          </w:tcPr>
          <w:p w14:paraId="1AB9F9C3">
            <w:pPr>
              <w:pStyle w:val="11"/>
            </w:pPr>
            <w:r>
              <w:t>2668.80</w:t>
            </w:r>
          </w:p>
        </w:tc>
        <w:tc>
          <w:tcPr>
            <w:tcW w:w="2551" w:type="dxa"/>
            <w:vAlign w:val="center"/>
          </w:tcPr>
          <w:p w14:paraId="6F666E1A">
            <w:pPr>
              <w:pStyle w:val="11"/>
            </w:pPr>
          </w:p>
        </w:tc>
      </w:tr>
      <w:tr w14:paraId="6826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D91E6">
            <w:pPr>
              <w:pStyle w:val="13"/>
            </w:pPr>
            <w:r>
              <w:t>3</w:t>
            </w:r>
          </w:p>
        </w:tc>
        <w:tc>
          <w:tcPr>
            <w:tcW w:w="1191" w:type="dxa"/>
            <w:vAlign w:val="center"/>
          </w:tcPr>
          <w:p w14:paraId="17802C31">
            <w:pPr>
              <w:pStyle w:val="12"/>
            </w:pPr>
            <w:r>
              <w:t>30101</w:t>
            </w:r>
          </w:p>
        </w:tc>
        <w:tc>
          <w:tcPr>
            <w:tcW w:w="4535" w:type="dxa"/>
            <w:vAlign w:val="center"/>
          </w:tcPr>
          <w:p w14:paraId="4A78C9C0">
            <w:pPr>
              <w:pStyle w:val="12"/>
            </w:pPr>
            <w:r>
              <w:t>基本工资</w:t>
            </w:r>
          </w:p>
        </w:tc>
        <w:tc>
          <w:tcPr>
            <w:tcW w:w="2551" w:type="dxa"/>
            <w:vAlign w:val="center"/>
          </w:tcPr>
          <w:p w14:paraId="620AD016">
            <w:pPr>
              <w:pStyle w:val="11"/>
            </w:pPr>
            <w:r>
              <w:t>1225.97</w:t>
            </w:r>
          </w:p>
        </w:tc>
        <w:tc>
          <w:tcPr>
            <w:tcW w:w="2551" w:type="dxa"/>
            <w:vAlign w:val="center"/>
          </w:tcPr>
          <w:p w14:paraId="042798DD">
            <w:pPr>
              <w:pStyle w:val="11"/>
            </w:pPr>
            <w:r>
              <w:t>1225.97</w:t>
            </w:r>
          </w:p>
        </w:tc>
        <w:tc>
          <w:tcPr>
            <w:tcW w:w="2551" w:type="dxa"/>
            <w:vAlign w:val="center"/>
          </w:tcPr>
          <w:p w14:paraId="361383DD">
            <w:pPr>
              <w:pStyle w:val="11"/>
            </w:pPr>
          </w:p>
        </w:tc>
      </w:tr>
      <w:tr w14:paraId="415F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0DAAD">
            <w:pPr>
              <w:pStyle w:val="13"/>
            </w:pPr>
            <w:r>
              <w:t>4</w:t>
            </w:r>
          </w:p>
        </w:tc>
        <w:tc>
          <w:tcPr>
            <w:tcW w:w="1191" w:type="dxa"/>
            <w:vAlign w:val="center"/>
          </w:tcPr>
          <w:p w14:paraId="4F6488A0">
            <w:pPr>
              <w:pStyle w:val="12"/>
            </w:pPr>
            <w:r>
              <w:t>30102</w:t>
            </w:r>
          </w:p>
        </w:tc>
        <w:tc>
          <w:tcPr>
            <w:tcW w:w="4535" w:type="dxa"/>
            <w:vAlign w:val="center"/>
          </w:tcPr>
          <w:p w14:paraId="74C30759">
            <w:pPr>
              <w:pStyle w:val="12"/>
            </w:pPr>
            <w:r>
              <w:t>津贴补贴</w:t>
            </w:r>
          </w:p>
        </w:tc>
        <w:tc>
          <w:tcPr>
            <w:tcW w:w="2551" w:type="dxa"/>
            <w:vAlign w:val="center"/>
          </w:tcPr>
          <w:p w14:paraId="0EA70DEA">
            <w:pPr>
              <w:pStyle w:val="11"/>
            </w:pPr>
            <w:r>
              <w:t>128.13</w:t>
            </w:r>
          </w:p>
        </w:tc>
        <w:tc>
          <w:tcPr>
            <w:tcW w:w="2551" w:type="dxa"/>
            <w:vAlign w:val="center"/>
          </w:tcPr>
          <w:p w14:paraId="28BA193C">
            <w:pPr>
              <w:pStyle w:val="11"/>
            </w:pPr>
            <w:r>
              <w:t>128.13</w:t>
            </w:r>
          </w:p>
        </w:tc>
        <w:tc>
          <w:tcPr>
            <w:tcW w:w="2551" w:type="dxa"/>
            <w:vAlign w:val="center"/>
          </w:tcPr>
          <w:p w14:paraId="2A0CB294">
            <w:pPr>
              <w:pStyle w:val="11"/>
            </w:pPr>
          </w:p>
        </w:tc>
      </w:tr>
      <w:tr w14:paraId="0C84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7E7DE">
            <w:pPr>
              <w:pStyle w:val="13"/>
            </w:pPr>
            <w:r>
              <w:t>5</w:t>
            </w:r>
          </w:p>
        </w:tc>
        <w:tc>
          <w:tcPr>
            <w:tcW w:w="1191" w:type="dxa"/>
            <w:vAlign w:val="center"/>
          </w:tcPr>
          <w:p w14:paraId="56076462">
            <w:pPr>
              <w:pStyle w:val="12"/>
            </w:pPr>
            <w:r>
              <w:t>30107</w:t>
            </w:r>
          </w:p>
        </w:tc>
        <w:tc>
          <w:tcPr>
            <w:tcW w:w="4535" w:type="dxa"/>
            <w:vAlign w:val="center"/>
          </w:tcPr>
          <w:p w14:paraId="1849FF6A">
            <w:pPr>
              <w:pStyle w:val="12"/>
            </w:pPr>
            <w:r>
              <w:t>绩效工资</w:t>
            </w:r>
          </w:p>
        </w:tc>
        <w:tc>
          <w:tcPr>
            <w:tcW w:w="2551" w:type="dxa"/>
            <w:vAlign w:val="center"/>
          </w:tcPr>
          <w:p w14:paraId="5E78388F">
            <w:pPr>
              <w:pStyle w:val="11"/>
            </w:pPr>
            <w:r>
              <w:t>714.71</w:t>
            </w:r>
          </w:p>
        </w:tc>
        <w:tc>
          <w:tcPr>
            <w:tcW w:w="2551" w:type="dxa"/>
            <w:vAlign w:val="center"/>
          </w:tcPr>
          <w:p w14:paraId="6AEA7E10">
            <w:pPr>
              <w:pStyle w:val="11"/>
            </w:pPr>
            <w:r>
              <w:t>714.71</w:t>
            </w:r>
          </w:p>
        </w:tc>
        <w:tc>
          <w:tcPr>
            <w:tcW w:w="2551" w:type="dxa"/>
            <w:vAlign w:val="center"/>
          </w:tcPr>
          <w:p w14:paraId="2EA64C09">
            <w:pPr>
              <w:pStyle w:val="11"/>
            </w:pPr>
          </w:p>
        </w:tc>
      </w:tr>
      <w:tr w14:paraId="0CF56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A2744">
            <w:pPr>
              <w:pStyle w:val="13"/>
            </w:pPr>
            <w:r>
              <w:t>6</w:t>
            </w:r>
          </w:p>
        </w:tc>
        <w:tc>
          <w:tcPr>
            <w:tcW w:w="1191" w:type="dxa"/>
            <w:vAlign w:val="center"/>
          </w:tcPr>
          <w:p w14:paraId="32657D90">
            <w:pPr>
              <w:pStyle w:val="12"/>
            </w:pPr>
            <w:r>
              <w:t>30108</w:t>
            </w:r>
          </w:p>
        </w:tc>
        <w:tc>
          <w:tcPr>
            <w:tcW w:w="4535" w:type="dxa"/>
            <w:vAlign w:val="center"/>
          </w:tcPr>
          <w:p w14:paraId="1EEB4F38">
            <w:pPr>
              <w:pStyle w:val="12"/>
            </w:pPr>
            <w:r>
              <w:t>机关事业单位基本养老保险缴费</w:t>
            </w:r>
          </w:p>
        </w:tc>
        <w:tc>
          <w:tcPr>
            <w:tcW w:w="2551" w:type="dxa"/>
            <w:vAlign w:val="center"/>
          </w:tcPr>
          <w:p w14:paraId="73E61462">
            <w:pPr>
              <w:pStyle w:val="11"/>
            </w:pPr>
            <w:r>
              <w:t>268.83</w:t>
            </w:r>
          </w:p>
        </w:tc>
        <w:tc>
          <w:tcPr>
            <w:tcW w:w="2551" w:type="dxa"/>
            <w:vAlign w:val="center"/>
          </w:tcPr>
          <w:p w14:paraId="07DDA99D">
            <w:pPr>
              <w:pStyle w:val="11"/>
            </w:pPr>
            <w:r>
              <w:t>268.83</w:t>
            </w:r>
          </w:p>
        </w:tc>
        <w:tc>
          <w:tcPr>
            <w:tcW w:w="2551" w:type="dxa"/>
            <w:vAlign w:val="center"/>
          </w:tcPr>
          <w:p w14:paraId="3302FF2B">
            <w:pPr>
              <w:pStyle w:val="11"/>
            </w:pPr>
          </w:p>
        </w:tc>
      </w:tr>
      <w:tr w14:paraId="40E1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1774C">
            <w:pPr>
              <w:pStyle w:val="13"/>
            </w:pPr>
            <w:r>
              <w:t>7</w:t>
            </w:r>
          </w:p>
        </w:tc>
        <w:tc>
          <w:tcPr>
            <w:tcW w:w="1191" w:type="dxa"/>
            <w:vAlign w:val="center"/>
          </w:tcPr>
          <w:p w14:paraId="6BB11A63">
            <w:pPr>
              <w:pStyle w:val="12"/>
            </w:pPr>
            <w:r>
              <w:t>30110</w:t>
            </w:r>
          </w:p>
        </w:tc>
        <w:tc>
          <w:tcPr>
            <w:tcW w:w="4535" w:type="dxa"/>
            <w:vAlign w:val="center"/>
          </w:tcPr>
          <w:p w14:paraId="10D88A95">
            <w:pPr>
              <w:pStyle w:val="12"/>
            </w:pPr>
            <w:r>
              <w:t>职工基本医疗保险缴费</w:t>
            </w:r>
          </w:p>
        </w:tc>
        <w:tc>
          <w:tcPr>
            <w:tcW w:w="2551" w:type="dxa"/>
            <w:vAlign w:val="center"/>
          </w:tcPr>
          <w:p w14:paraId="235BDF89">
            <w:pPr>
              <w:pStyle w:val="11"/>
            </w:pPr>
            <w:r>
              <w:t>123.66</w:t>
            </w:r>
          </w:p>
        </w:tc>
        <w:tc>
          <w:tcPr>
            <w:tcW w:w="2551" w:type="dxa"/>
            <w:vAlign w:val="center"/>
          </w:tcPr>
          <w:p w14:paraId="38EAFEF7">
            <w:pPr>
              <w:pStyle w:val="11"/>
            </w:pPr>
            <w:r>
              <w:t>123.66</w:t>
            </w:r>
          </w:p>
        </w:tc>
        <w:tc>
          <w:tcPr>
            <w:tcW w:w="2551" w:type="dxa"/>
            <w:vAlign w:val="center"/>
          </w:tcPr>
          <w:p w14:paraId="4C30DC25">
            <w:pPr>
              <w:pStyle w:val="11"/>
            </w:pPr>
          </w:p>
        </w:tc>
      </w:tr>
      <w:tr w14:paraId="05F27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F259E">
            <w:pPr>
              <w:pStyle w:val="13"/>
            </w:pPr>
            <w:r>
              <w:t>8</w:t>
            </w:r>
          </w:p>
        </w:tc>
        <w:tc>
          <w:tcPr>
            <w:tcW w:w="1191" w:type="dxa"/>
            <w:vAlign w:val="center"/>
          </w:tcPr>
          <w:p w14:paraId="396383D0">
            <w:pPr>
              <w:pStyle w:val="12"/>
            </w:pPr>
            <w:r>
              <w:t>30112</w:t>
            </w:r>
          </w:p>
        </w:tc>
        <w:tc>
          <w:tcPr>
            <w:tcW w:w="4535" w:type="dxa"/>
            <w:vAlign w:val="center"/>
          </w:tcPr>
          <w:p w14:paraId="6B8DD732">
            <w:pPr>
              <w:pStyle w:val="12"/>
            </w:pPr>
            <w:r>
              <w:t>其他社会保障缴费</w:t>
            </w:r>
          </w:p>
        </w:tc>
        <w:tc>
          <w:tcPr>
            <w:tcW w:w="2551" w:type="dxa"/>
            <w:vAlign w:val="center"/>
          </w:tcPr>
          <w:p w14:paraId="3FEF97B7">
            <w:pPr>
              <w:pStyle w:val="11"/>
            </w:pPr>
            <w:r>
              <w:t>7.54</w:t>
            </w:r>
          </w:p>
        </w:tc>
        <w:tc>
          <w:tcPr>
            <w:tcW w:w="2551" w:type="dxa"/>
            <w:vAlign w:val="center"/>
          </w:tcPr>
          <w:p w14:paraId="6D1D3610">
            <w:pPr>
              <w:pStyle w:val="11"/>
            </w:pPr>
            <w:r>
              <w:t>7.54</w:t>
            </w:r>
          </w:p>
        </w:tc>
        <w:tc>
          <w:tcPr>
            <w:tcW w:w="2551" w:type="dxa"/>
            <w:vAlign w:val="center"/>
          </w:tcPr>
          <w:p w14:paraId="40F48C13">
            <w:pPr>
              <w:pStyle w:val="11"/>
            </w:pPr>
          </w:p>
        </w:tc>
      </w:tr>
      <w:tr w14:paraId="6FC3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C3D57">
            <w:pPr>
              <w:pStyle w:val="13"/>
            </w:pPr>
            <w:r>
              <w:t>9</w:t>
            </w:r>
          </w:p>
        </w:tc>
        <w:tc>
          <w:tcPr>
            <w:tcW w:w="1191" w:type="dxa"/>
            <w:vAlign w:val="center"/>
          </w:tcPr>
          <w:p w14:paraId="19ECD880">
            <w:pPr>
              <w:pStyle w:val="12"/>
            </w:pPr>
            <w:r>
              <w:t>30113</w:t>
            </w:r>
          </w:p>
        </w:tc>
        <w:tc>
          <w:tcPr>
            <w:tcW w:w="4535" w:type="dxa"/>
            <w:vAlign w:val="center"/>
          </w:tcPr>
          <w:p w14:paraId="362ED957">
            <w:pPr>
              <w:pStyle w:val="12"/>
            </w:pPr>
            <w:r>
              <w:t>住房公积金</w:t>
            </w:r>
          </w:p>
        </w:tc>
        <w:tc>
          <w:tcPr>
            <w:tcW w:w="2551" w:type="dxa"/>
            <w:vAlign w:val="center"/>
          </w:tcPr>
          <w:p w14:paraId="7D90E5BF">
            <w:pPr>
              <w:pStyle w:val="11"/>
            </w:pPr>
            <w:r>
              <w:t>199.95</w:t>
            </w:r>
          </w:p>
        </w:tc>
        <w:tc>
          <w:tcPr>
            <w:tcW w:w="2551" w:type="dxa"/>
            <w:vAlign w:val="center"/>
          </w:tcPr>
          <w:p w14:paraId="3CF6D2D4">
            <w:pPr>
              <w:pStyle w:val="11"/>
            </w:pPr>
            <w:r>
              <w:t>199.95</w:t>
            </w:r>
          </w:p>
        </w:tc>
        <w:tc>
          <w:tcPr>
            <w:tcW w:w="2551" w:type="dxa"/>
            <w:vAlign w:val="center"/>
          </w:tcPr>
          <w:p w14:paraId="468925C9">
            <w:pPr>
              <w:pStyle w:val="11"/>
            </w:pPr>
          </w:p>
        </w:tc>
      </w:tr>
      <w:tr w14:paraId="77E6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9737D">
            <w:pPr>
              <w:pStyle w:val="13"/>
            </w:pPr>
            <w:r>
              <w:t>10</w:t>
            </w:r>
          </w:p>
        </w:tc>
        <w:tc>
          <w:tcPr>
            <w:tcW w:w="1191" w:type="dxa"/>
            <w:vAlign w:val="center"/>
          </w:tcPr>
          <w:p w14:paraId="4DC08E55">
            <w:pPr>
              <w:pStyle w:val="12"/>
            </w:pPr>
            <w:r>
              <w:t>303</w:t>
            </w:r>
          </w:p>
        </w:tc>
        <w:tc>
          <w:tcPr>
            <w:tcW w:w="4535" w:type="dxa"/>
            <w:vAlign w:val="center"/>
          </w:tcPr>
          <w:p w14:paraId="753310E3">
            <w:pPr>
              <w:pStyle w:val="12"/>
            </w:pPr>
            <w:r>
              <w:t>对个人和家庭的补助</w:t>
            </w:r>
          </w:p>
        </w:tc>
        <w:tc>
          <w:tcPr>
            <w:tcW w:w="2551" w:type="dxa"/>
            <w:vAlign w:val="center"/>
          </w:tcPr>
          <w:p w14:paraId="0415FB85">
            <w:pPr>
              <w:pStyle w:val="11"/>
            </w:pPr>
            <w:r>
              <w:t>167.63</w:t>
            </w:r>
          </w:p>
        </w:tc>
        <w:tc>
          <w:tcPr>
            <w:tcW w:w="2551" w:type="dxa"/>
            <w:vAlign w:val="center"/>
          </w:tcPr>
          <w:p w14:paraId="307524A0">
            <w:pPr>
              <w:pStyle w:val="11"/>
            </w:pPr>
            <w:r>
              <w:t>167.63</w:t>
            </w:r>
          </w:p>
        </w:tc>
        <w:tc>
          <w:tcPr>
            <w:tcW w:w="2551" w:type="dxa"/>
            <w:vAlign w:val="center"/>
          </w:tcPr>
          <w:p w14:paraId="16A8AF15">
            <w:pPr>
              <w:pStyle w:val="11"/>
            </w:pPr>
          </w:p>
        </w:tc>
      </w:tr>
      <w:tr w14:paraId="5375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F5AA">
            <w:pPr>
              <w:pStyle w:val="13"/>
            </w:pPr>
            <w:r>
              <w:t>11</w:t>
            </w:r>
          </w:p>
        </w:tc>
        <w:tc>
          <w:tcPr>
            <w:tcW w:w="1191" w:type="dxa"/>
            <w:vAlign w:val="center"/>
          </w:tcPr>
          <w:p w14:paraId="3DF87D67">
            <w:pPr>
              <w:pStyle w:val="12"/>
            </w:pPr>
            <w:r>
              <w:t>30302</w:t>
            </w:r>
          </w:p>
        </w:tc>
        <w:tc>
          <w:tcPr>
            <w:tcW w:w="4535" w:type="dxa"/>
            <w:vAlign w:val="center"/>
          </w:tcPr>
          <w:p w14:paraId="52A36BAC">
            <w:pPr>
              <w:pStyle w:val="12"/>
            </w:pPr>
            <w:r>
              <w:t>退休费</w:t>
            </w:r>
          </w:p>
        </w:tc>
        <w:tc>
          <w:tcPr>
            <w:tcW w:w="2551" w:type="dxa"/>
            <w:vAlign w:val="center"/>
          </w:tcPr>
          <w:p w14:paraId="6CD66AD7">
            <w:pPr>
              <w:pStyle w:val="11"/>
            </w:pPr>
            <w:r>
              <w:t>158.09</w:t>
            </w:r>
          </w:p>
        </w:tc>
        <w:tc>
          <w:tcPr>
            <w:tcW w:w="2551" w:type="dxa"/>
            <w:vAlign w:val="center"/>
          </w:tcPr>
          <w:p w14:paraId="59FF0904">
            <w:pPr>
              <w:pStyle w:val="11"/>
            </w:pPr>
            <w:r>
              <w:t>158.09</w:t>
            </w:r>
          </w:p>
        </w:tc>
        <w:tc>
          <w:tcPr>
            <w:tcW w:w="2551" w:type="dxa"/>
            <w:vAlign w:val="center"/>
          </w:tcPr>
          <w:p w14:paraId="38B4A3EE">
            <w:pPr>
              <w:pStyle w:val="11"/>
            </w:pPr>
          </w:p>
        </w:tc>
      </w:tr>
      <w:tr w14:paraId="7188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D0985">
            <w:pPr>
              <w:pStyle w:val="13"/>
            </w:pPr>
            <w:r>
              <w:t>12</w:t>
            </w:r>
          </w:p>
        </w:tc>
        <w:tc>
          <w:tcPr>
            <w:tcW w:w="1191" w:type="dxa"/>
            <w:vAlign w:val="center"/>
          </w:tcPr>
          <w:p w14:paraId="2C357685">
            <w:pPr>
              <w:pStyle w:val="12"/>
            </w:pPr>
            <w:r>
              <w:t>30305</w:t>
            </w:r>
          </w:p>
        </w:tc>
        <w:tc>
          <w:tcPr>
            <w:tcW w:w="4535" w:type="dxa"/>
            <w:vAlign w:val="center"/>
          </w:tcPr>
          <w:p w14:paraId="465D5A5C">
            <w:pPr>
              <w:pStyle w:val="12"/>
            </w:pPr>
            <w:r>
              <w:t>生活补助</w:t>
            </w:r>
          </w:p>
        </w:tc>
        <w:tc>
          <w:tcPr>
            <w:tcW w:w="2551" w:type="dxa"/>
            <w:vAlign w:val="center"/>
          </w:tcPr>
          <w:p w14:paraId="535D38A6">
            <w:pPr>
              <w:pStyle w:val="11"/>
            </w:pPr>
            <w:r>
              <w:t>9.54</w:t>
            </w:r>
          </w:p>
        </w:tc>
        <w:tc>
          <w:tcPr>
            <w:tcW w:w="2551" w:type="dxa"/>
            <w:vAlign w:val="center"/>
          </w:tcPr>
          <w:p w14:paraId="772A3A3E">
            <w:pPr>
              <w:pStyle w:val="11"/>
            </w:pPr>
            <w:r>
              <w:t>9.54</w:t>
            </w:r>
          </w:p>
        </w:tc>
        <w:tc>
          <w:tcPr>
            <w:tcW w:w="2551" w:type="dxa"/>
            <w:vAlign w:val="center"/>
          </w:tcPr>
          <w:p w14:paraId="000EE513">
            <w:pPr>
              <w:pStyle w:val="11"/>
            </w:pPr>
          </w:p>
        </w:tc>
      </w:tr>
    </w:tbl>
    <w:p w14:paraId="14ACA668">
      <w:pPr>
        <w:sectPr>
          <w:pgSz w:w="16840" w:h="11900" w:orient="landscape"/>
          <w:pgMar w:top="1361" w:right="1020" w:bottom="1134" w:left="1020" w:header="720" w:footer="720" w:gutter="0"/>
          <w:cols w:space="720" w:num="1"/>
        </w:sectPr>
      </w:pPr>
    </w:p>
    <w:p w14:paraId="4B3079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22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7FF59F">
            <w:pPr>
              <w:pStyle w:val="9"/>
            </w:pPr>
            <w:r>
              <w:t>360022隆尧县尹村校区</w:t>
            </w:r>
          </w:p>
        </w:tc>
        <w:tc>
          <w:tcPr>
            <w:tcW w:w="2551" w:type="dxa"/>
            <w:tcBorders>
              <w:top w:val="single" w:color="FFFFFF" w:sz="6" w:space="0"/>
              <w:left w:val="single" w:color="FFFFFF" w:sz="6" w:space="0"/>
              <w:right w:val="single" w:color="FFFFFF" w:sz="6" w:space="0"/>
            </w:tcBorders>
            <w:vAlign w:val="center"/>
          </w:tcPr>
          <w:p w14:paraId="7DCBC9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E00EF1">
            <w:pPr>
              <w:pStyle w:val="7"/>
            </w:pPr>
            <w:r>
              <w:t>单位：万元</w:t>
            </w:r>
          </w:p>
        </w:tc>
      </w:tr>
      <w:tr w14:paraId="2EC4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99441">
            <w:pPr>
              <w:pStyle w:val="10"/>
            </w:pPr>
            <w:r>
              <w:t>序号</w:t>
            </w:r>
          </w:p>
        </w:tc>
        <w:tc>
          <w:tcPr>
            <w:tcW w:w="5726" w:type="dxa"/>
            <w:gridSpan w:val="2"/>
            <w:vAlign w:val="center"/>
          </w:tcPr>
          <w:p w14:paraId="14C13CB2">
            <w:pPr>
              <w:pStyle w:val="10"/>
            </w:pPr>
            <w:r>
              <w:t>功能分类科目</w:t>
            </w:r>
          </w:p>
        </w:tc>
        <w:tc>
          <w:tcPr>
            <w:tcW w:w="2551" w:type="dxa"/>
            <w:vMerge w:val="restart"/>
            <w:vAlign w:val="center"/>
          </w:tcPr>
          <w:p w14:paraId="73504C7F">
            <w:pPr>
              <w:pStyle w:val="10"/>
            </w:pPr>
            <w:r>
              <w:t>合计</w:t>
            </w:r>
          </w:p>
        </w:tc>
        <w:tc>
          <w:tcPr>
            <w:tcW w:w="2551" w:type="dxa"/>
            <w:vMerge w:val="restart"/>
            <w:vAlign w:val="center"/>
          </w:tcPr>
          <w:p w14:paraId="1E534589">
            <w:pPr>
              <w:pStyle w:val="10"/>
            </w:pPr>
            <w:r>
              <w:t>基本支出</w:t>
            </w:r>
          </w:p>
        </w:tc>
        <w:tc>
          <w:tcPr>
            <w:tcW w:w="2551" w:type="dxa"/>
            <w:vMerge w:val="restart"/>
            <w:vAlign w:val="center"/>
          </w:tcPr>
          <w:p w14:paraId="61A94FC8">
            <w:pPr>
              <w:pStyle w:val="10"/>
            </w:pPr>
            <w:r>
              <w:t>项目支出</w:t>
            </w:r>
          </w:p>
        </w:tc>
      </w:tr>
      <w:tr w14:paraId="4D44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CD8B00"/>
        </w:tc>
        <w:tc>
          <w:tcPr>
            <w:tcW w:w="1191" w:type="dxa"/>
            <w:vAlign w:val="center"/>
          </w:tcPr>
          <w:p w14:paraId="051DEE92">
            <w:pPr>
              <w:pStyle w:val="10"/>
            </w:pPr>
            <w:r>
              <w:t>科目编码</w:t>
            </w:r>
          </w:p>
        </w:tc>
        <w:tc>
          <w:tcPr>
            <w:tcW w:w="4535" w:type="dxa"/>
            <w:vAlign w:val="center"/>
          </w:tcPr>
          <w:p w14:paraId="0C056CD8">
            <w:pPr>
              <w:pStyle w:val="10"/>
            </w:pPr>
            <w:r>
              <w:t>科目名称</w:t>
            </w:r>
          </w:p>
        </w:tc>
        <w:tc>
          <w:tcPr>
            <w:tcW w:w="2551" w:type="dxa"/>
            <w:vMerge w:val="continue"/>
          </w:tcPr>
          <w:p w14:paraId="3D1C3E0D"/>
        </w:tc>
        <w:tc>
          <w:tcPr>
            <w:tcW w:w="2551" w:type="dxa"/>
            <w:vMerge w:val="continue"/>
          </w:tcPr>
          <w:p w14:paraId="7D74C1E3"/>
        </w:tc>
        <w:tc>
          <w:tcPr>
            <w:tcW w:w="2551" w:type="dxa"/>
            <w:vMerge w:val="continue"/>
          </w:tcPr>
          <w:p w14:paraId="46BFFCE3"/>
        </w:tc>
      </w:tr>
      <w:tr w14:paraId="2F69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900EE">
            <w:pPr>
              <w:pStyle w:val="10"/>
            </w:pPr>
            <w:r>
              <w:t>栏次</w:t>
            </w:r>
          </w:p>
        </w:tc>
        <w:tc>
          <w:tcPr>
            <w:tcW w:w="1191" w:type="dxa"/>
            <w:vAlign w:val="center"/>
          </w:tcPr>
          <w:p w14:paraId="0553E344">
            <w:pPr>
              <w:pStyle w:val="10"/>
            </w:pPr>
            <w:r>
              <w:t>1</w:t>
            </w:r>
          </w:p>
        </w:tc>
        <w:tc>
          <w:tcPr>
            <w:tcW w:w="4535" w:type="dxa"/>
            <w:vAlign w:val="center"/>
          </w:tcPr>
          <w:p w14:paraId="56B3671C">
            <w:pPr>
              <w:pStyle w:val="10"/>
            </w:pPr>
            <w:r>
              <w:t>2</w:t>
            </w:r>
          </w:p>
        </w:tc>
        <w:tc>
          <w:tcPr>
            <w:tcW w:w="2551" w:type="dxa"/>
            <w:vAlign w:val="center"/>
          </w:tcPr>
          <w:p w14:paraId="7C91DC17">
            <w:pPr>
              <w:pStyle w:val="10"/>
            </w:pPr>
            <w:r>
              <w:t>3</w:t>
            </w:r>
          </w:p>
        </w:tc>
        <w:tc>
          <w:tcPr>
            <w:tcW w:w="2551" w:type="dxa"/>
            <w:vAlign w:val="center"/>
          </w:tcPr>
          <w:p w14:paraId="1F638227">
            <w:pPr>
              <w:pStyle w:val="10"/>
            </w:pPr>
            <w:r>
              <w:t>4</w:t>
            </w:r>
          </w:p>
        </w:tc>
        <w:tc>
          <w:tcPr>
            <w:tcW w:w="2551" w:type="dxa"/>
            <w:vAlign w:val="center"/>
          </w:tcPr>
          <w:p w14:paraId="167F734C">
            <w:pPr>
              <w:pStyle w:val="10"/>
            </w:pPr>
            <w:r>
              <w:t>5</w:t>
            </w:r>
          </w:p>
        </w:tc>
      </w:tr>
      <w:tr w14:paraId="1BE4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A794F">
            <w:pPr>
              <w:pStyle w:val="13"/>
            </w:pPr>
          </w:p>
        </w:tc>
        <w:tc>
          <w:tcPr>
            <w:tcW w:w="1191" w:type="dxa"/>
            <w:vAlign w:val="center"/>
          </w:tcPr>
          <w:p w14:paraId="10CFD2F3">
            <w:pPr>
              <w:pStyle w:val="12"/>
            </w:pPr>
          </w:p>
        </w:tc>
        <w:tc>
          <w:tcPr>
            <w:tcW w:w="4535" w:type="dxa"/>
            <w:vAlign w:val="center"/>
          </w:tcPr>
          <w:p w14:paraId="5A963A30">
            <w:pPr>
              <w:pStyle w:val="12"/>
            </w:pPr>
          </w:p>
        </w:tc>
        <w:tc>
          <w:tcPr>
            <w:tcW w:w="2551" w:type="dxa"/>
            <w:vAlign w:val="center"/>
          </w:tcPr>
          <w:p w14:paraId="768BE013">
            <w:pPr>
              <w:pStyle w:val="11"/>
            </w:pPr>
          </w:p>
        </w:tc>
        <w:tc>
          <w:tcPr>
            <w:tcW w:w="2551" w:type="dxa"/>
            <w:vAlign w:val="center"/>
          </w:tcPr>
          <w:p w14:paraId="618BC38A">
            <w:pPr>
              <w:pStyle w:val="11"/>
            </w:pPr>
          </w:p>
        </w:tc>
        <w:tc>
          <w:tcPr>
            <w:tcW w:w="2551" w:type="dxa"/>
            <w:vAlign w:val="center"/>
          </w:tcPr>
          <w:p w14:paraId="40B5A04D">
            <w:pPr>
              <w:pStyle w:val="11"/>
            </w:pPr>
          </w:p>
        </w:tc>
      </w:tr>
    </w:tbl>
    <w:p w14:paraId="69A9D2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2EBC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CB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A480ED">
            <w:pPr>
              <w:pStyle w:val="9"/>
            </w:pPr>
            <w:r>
              <w:t>360022隆尧县尹村校区</w:t>
            </w:r>
          </w:p>
        </w:tc>
        <w:tc>
          <w:tcPr>
            <w:tcW w:w="2551" w:type="dxa"/>
            <w:tcBorders>
              <w:top w:val="single" w:color="FFFFFF" w:sz="6" w:space="0"/>
              <w:left w:val="single" w:color="FFFFFF" w:sz="6" w:space="0"/>
              <w:right w:val="single" w:color="FFFFFF" w:sz="6" w:space="0"/>
            </w:tcBorders>
            <w:vAlign w:val="center"/>
          </w:tcPr>
          <w:p w14:paraId="2D1EF1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3D570C">
            <w:pPr>
              <w:pStyle w:val="7"/>
            </w:pPr>
            <w:r>
              <w:t>单位：万元</w:t>
            </w:r>
          </w:p>
        </w:tc>
      </w:tr>
      <w:tr w14:paraId="2DE8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CD84D4">
            <w:pPr>
              <w:pStyle w:val="10"/>
            </w:pPr>
            <w:r>
              <w:t>序号</w:t>
            </w:r>
          </w:p>
        </w:tc>
        <w:tc>
          <w:tcPr>
            <w:tcW w:w="5726" w:type="dxa"/>
            <w:gridSpan w:val="2"/>
            <w:vAlign w:val="center"/>
          </w:tcPr>
          <w:p w14:paraId="4FAE58E7">
            <w:pPr>
              <w:pStyle w:val="10"/>
            </w:pPr>
            <w:r>
              <w:t>功能分类科目</w:t>
            </w:r>
          </w:p>
        </w:tc>
        <w:tc>
          <w:tcPr>
            <w:tcW w:w="2551" w:type="dxa"/>
            <w:vMerge w:val="restart"/>
            <w:vAlign w:val="center"/>
          </w:tcPr>
          <w:p w14:paraId="7CAA36BE">
            <w:pPr>
              <w:pStyle w:val="10"/>
            </w:pPr>
            <w:r>
              <w:t>合计</w:t>
            </w:r>
          </w:p>
        </w:tc>
        <w:tc>
          <w:tcPr>
            <w:tcW w:w="2551" w:type="dxa"/>
            <w:vMerge w:val="restart"/>
            <w:vAlign w:val="center"/>
          </w:tcPr>
          <w:p w14:paraId="046ADFE7">
            <w:pPr>
              <w:pStyle w:val="10"/>
            </w:pPr>
            <w:r>
              <w:t>基本支出</w:t>
            </w:r>
          </w:p>
        </w:tc>
        <w:tc>
          <w:tcPr>
            <w:tcW w:w="2551" w:type="dxa"/>
            <w:vMerge w:val="restart"/>
            <w:vAlign w:val="center"/>
          </w:tcPr>
          <w:p w14:paraId="19316D3B">
            <w:pPr>
              <w:pStyle w:val="10"/>
            </w:pPr>
            <w:r>
              <w:t>项目支出</w:t>
            </w:r>
          </w:p>
        </w:tc>
      </w:tr>
      <w:tr w14:paraId="5AD2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2B24A"/>
        </w:tc>
        <w:tc>
          <w:tcPr>
            <w:tcW w:w="1191" w:type="dxa"/>
            <w:vAlign w:val="center"/>
          </w:tcPr>
          <w:p w14:paraId="2516B287">
            <w:pPr>
              <w:pStyle w:val="10"/>
            </w:pPr>
            <w:r>
              <w:t>科目编码</w:t>
            </w:r>
          </w:p>
        </w:tc>
        <w:tc>
          <w:tcPr>
            <w:tcW w:w="4535" w:type="dxa"/>
            <w:vAlign w:val="center"/>
          </w:tcPr>
          <w:p w14:paraId="465E8BBE">
            <w:pPr>
              <w:pStyle w:val="10"/>
            </w:pPr>
            <w:r>
              <w:t>科目名称</w:t>
            </w:r>
          </w:p>
        </w:tc>
        <w:tc>
          <w:tcPr>
            <w:tcW w:w="2551" w:type="dxa"/>
            <w:vMerge w:val="continue"/>
          </w:tcPr>
          <w:p w14:paraId="60E6E418"/>
        </w:tc>
        <w:tc>
          <w:tcPr>
            <w:tcW w:w="2551" w:type="dxa"/>
            <w:vMerge w:val="continue"/>
          </w:tcPr>
          <w:p w14:paraId="602EA790"/>
        </w:tc>
        <w:tc>
          <w:tcPr>
            <w:tcW w:w="2551" w:type="dxa"/>
            <w:vMerge w:val="continue"/>
          </w:tcPr>
          <w:p w14:paraId="11BF428C"/>
        </w:tc>
      </w:tr>
      <w:tr w14:paraId="0A01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65CD7">
            <w:pPr>
              <w:pStyle w:val="10"/>
            </w:pPr>
            <w:r>
              <w:t>栏次</w:t>
            </w:r>
          </w:p>
        </w:tc>
        <w:tc>
          <w:tcPr>
            <w:tcW w:w="1191" w:type="dxa"/>
            <w:vAlign w:val="center"/>
          </w:tcPr>
          <w:p w14:paraId="722B9589">
            <w:pPr>
              <w:pStyle w:val="10"/>
            </w:pPr>
            <w:r>
              <w:t>1</w:t>
            </w:r>
          </w:p>
        </w:tc>
        <w:tc>
          <w:tcPr>
            <w:tcW w:w="4535" w:type="dxa"/>
            <w:vAlign w:val="center"/>
          </w:tcPr>
          <w:p w14:paraId="3B018337">
            <w:pPr>
              <w:pStyle w:val="10"/>
            </w:pPr>
            <w:r>
              <w:t>2</w:t>
            </w:r>
          </w:p>
        </w:tc>
        <w:tc>
          <w:tcPr>
            <w:tcW w:w="2551" w:type="dxa"/>
            <w:vAlign w:val="center"/>
          </w:tcPr>
          <w:p w14:paraId="0D3E1FFC">
            <w:pPr>
              <w:pStyle w:val="10"/>
            </w:pPr>
            <w:r>
              <w:t>3</w:t>
            </w:r>
          </w:p>
        </w:tc>
        <w:tc>
          <w:tcPr>
            <w:tcW w:w="2551" w:type="dxa"/>
            <w:vAlign w:val="center"/>
          </w:tcPr>
          <w:p w14:paraId="530F0BD4">
            <w:pPr>
              <w:pStyle w:val="10"/>
            </w:pPr>
            <w:r>
              <w:t>4</w:t>
            </w:r>
          </w:p>
        </w:tc>
        <w:tc>
          <w:tcPr>
            <w:tcW w:w="2551" w:type="dxa"/>
            <w:vAlign w:val="center"/>
          </w:tcPr>
          <w:p w14:paraId="5274BF75">
            <w:pPr>
              <w:pStyle w:val="10"/>
            </w:pPr>
            <w:r>
              <w:t>5</w:t>
            </w:r>
          </w:p>
        </w:tc>
      </w:tr>
      <w:tr w14:paraId="4B6ED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C64D6">
            <w:pPr>
              <w:pStyle w:val="13"/>
            </w:pPr>
          </w:p>
        </w:tc>
        <w:tc>
          <w:tcPr>
            <w:tcW w:w="1191" w:type="dxa"/>
            <w:vAlign w:val="center"/>
          </w:tcPr>
          <w:p w14:paraId="475F4843">
            <w:pPr>
              <w:pStyle w:val="12"/>
            </w:pPr>
          </w:p>
        </w:tc>
        <w:tc>
          <w:tcPr>
            <w:tcW w:w="4535" w:type="dxa"/>
            <w:vAlign w:val="center"/>
          </w:tcPr>
          <w:p w14:paraId="5AC5BD51">
            <w:pPr>
              <w:pStyle w:val="12"/>
            </w:pPr>
          </w:p>
        </w:tc>
        <w:tc>
          <w:tcPr>
            <w:tcW w:w="2551" w:type="dxa"/>
            <w:vAlign w:val="center"/>
          </w:tcPr>
          <w:p w14:paraId="21ECCF04">
            <w:pPr>
              <w:pStyle w:val="11"/>
            </w:pPr>
          </w:p>
        </w:tc>
        <w:tc>
          <w:tcPr>
            <w:tcW w:w="2551" w:type="dxa"/>
            <w:vAlign w:val="center"/>
          </w:tcPr>
          <w:p w14:paraId="797FD55B">
            <w:pPr>
              <w:pStyle w:val="11"/>
            </w:pPr>
          </w:p>
        </w:tc>
        <w:tc>
          <w:tcPr>
            <w:tcW w:w="2551" w:type="dxa"/>
            <w:vAlign w:val="center"/>
          </w:tcPr>
          <w:p w14:paraId="15BEAB47">
            <w:pPr>
              <w:pStyle w:val="11"/>
            </w:pPr>
          </w:p>
        </w:tc>
      </w:tr>
    </w:tbl>
    <w:p w14:paraId="705286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AF7F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F6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D69752">
            <w:pPr>
              <w:pStyle w:val="9"/>
            </w:pPr>
            <w:r>
              <w:t>360022隆尧县尹村校区</w:t>
            </w:r>
          </w:p>
        </w:tc>
        <w:tc>
          <w:tcPr>
            <w:tcW w:w="2381" w:type="dxa"/>
            <w:tcBorders>
              <w:top w:val="single" w:color="FFFFFF" w:sz="6" w:space="0"/>
              <w:left w:val="single" w:color="FFFFFF" w:sz="6" w:space="0"/>
              <w:right w:val="single" w:color="FFFFFF" w:sz="6" w:space="0"/>
            </w:tcBorders>
            <w:vAlign w:val="center"/>
          </w:tcPr>
          <w:p w14:paraId="57D1719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EF291F">
            <w:pPr>
              <w:pStyle w:val="7"/>
            </w:pPr>
            <w:r>
              <w:t>单位：万元</w:t>
            </w:r>
          </w:p>
        </w:tc>
      </w:tr>
      <w:tr w14:paraId="2470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3C320">
            <w:pPr>
              <w:pStyle w:val="10"/>
            </w:pPr>
            <w:r>
              <w:t>序号</w:t>
            </w:r>
          </w:p>
        </w:tc>
        <w:tc>
          <w:tcPr>
            <w:tcW w:w="3798" w:type="dxa"/>
            <w:vMerge w:val="restart"/>
            <w:vAlign w:val="center"/>
          </w:tcPr>
          <w:p w14:paraId="124FAD2C">
            <w:pPr>
              <w:pStyle w:val="10"/>
            </w:pPr>
            <w:r>
              <w:t>项  目</w:t>
            </w:r>
          </w:p>
        </w:tc>
        <w:tc>
          <w:tcPr>
            <w:tcW w:w="9524" w:type="dxa"/>
            <w:gridSpan w:val="4"/>
            <w:vAlign w:val="center"/>
          </w:tcPr>
          <w:p w14:paraId="24D84C2D">
            <w:pPr>
              <w:pStyle w:val="10"/>
            </w:pPr>
            <w:r>
              <w:t>资 金 性 质</w:t>
            </w:r>
          </w:p>
        </w:tc>
      </w:tr>
      <w:tr w14:paraId="5BC8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104A2A"/>
        </w:tc>
        <w:tc>
          <w:tcPr>
            <w:tcW w:w="3798" w:type="dxa"/>
            <w:vMerge w:val="continue"/>
          </w:tcPr>
          <w:p w14:paraId="57E690F1"/>
        </w:tc>
        <w:tc>
          <w:tcPr>
            <w:tcW w:w="2381" w:type="dxa"/>
            <w:vAlign w:val="center"/>
          </w:tcPr>
          <w:p w14:paraId="0CF125D5">
            <w:pPr>
              <w:pStyle w:val="10"/>
            </w:pPr>
            <w:r>
              <w:t>合计</w:t>
            </w:r>
          </w:p>
        </w:tc>
        <w:tc>
          <w:tcPr>
            <w:tcW w:w="2381" w:type="dxa"/>
            <w:vAlign w:val="center"/>
          </w:tcPr>
          <w:p w14:paraId="0B053981">
            <w:pPr>
              <w:pStyle w:val="10"/>
            </w:pPr>
            <w:r>
              <w:t>一般公共预算              财政拨款</w:t>
            </w:r>
          </w:p>
        </w:tc>
        <w:tc>
          <w:tcPr>
            <w:tcW w:w="2381" w:type="dxa"/>
            <w:vAlign w:val="center"/>
          </w:tcPr>
          <w:p w14:paraId="0EA36CE8">
            <w:pPr>
              <w:pStyle w:val="10"/>
            </w:pPr>
            <w:r>
              <w:t>政府性基金                  预算拨款</w:t>
            </w:r>
          </w:p>
        </w:tc>
        <w:tc>
          <w:tcPr>
            <w:tcW w:w="2381" w:type="dxa"/>
            <w:vAlign w:val="center"/>
          </w:tcPr>
          <w:p w14:paraId="5449E3BD">
            <w:pPr>
              <w:pStyle w:val="10"/>
            </w:pPr>
            <w:r>
              <w:t>国有资本经营              预算财政拨款</w:t>
            </w:r>
          </w:p>
        </w:tc>
      </w:tr>
      <w:tr w14:paraId="3DF5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7D0E84">
            <w:pPr>
              <w:pStyle w:val="10"/>
            </w:pPr>
            <w:r>
              <w:t>栏次</w:t>
            </w:r>
          </w:p>
        </w:tc>
        <w:tc>
          <w:tcPr>
            <w:tcW w:w="3798" w:type="dxa"/>
            <w:vAlign w:val="center"/>
          </w:tcPr>
          <w:p w14:paraId="4D886805">
            <w:pPr>
              <w:pStyle w:val="10"/>
            </w:pPr>
            <w:r>
              <w:t>1</w:t>
            </w:r>
          </w:p>
        </w:tc>
        <w:tc>
          <w:tcPr>
            <w:tcW w:w="2381" w:type="dxa"/>
            <w:vAlign w:val="center"/>
          </w:tcPr>
          <w:p w14:paraId="0208B69C">
            <w:pPr>
              <w:pStyle w:val="10"/>
            </w:pPr>
            <w:r>
              <w:t>2</w:t>
            </w:r>
          </w:p>
        </w:tc>
        <w:tc>
          <w:tcPr>
            <w:tcW w:w="2381" w:type="dxa"/>
            <w:vAlign w:val="center"/>
          </w:tcPr>
          <w:p w14:paraId="0D58CC49">
            <w:pPr>
              <w:pStyle w:val="10"/>
            </w:pPr>
            <w:r>
              <w:t>3</w:t>
            </w:r>
          </w:p>
        </w:tc>
        <w:tc>
          <w:tcPr>
            <w:tcW w:w="2381" w:type="dxa"/>
            <w:vAlign w:val="center"/>
          </w:tcPr>
          <w:p w14:paraId="2FA6578B">
            <w:pPr>
              <w:pStyle w:val="10"/>
            </w:pPr>
            <w:r>
              <w:t>4</w:t>
            </w:r>
          </w:p>
        </w:tc>
        <w:tc>
          <w:tcPr>
            <w:tcW w:w="2381" w:type="dxa"/>
            <w:vAlign w:val="center"/>
          </w:tcPr>
          <w:p w14:paraId="11602FF6">
            <w:pPr>
              <w:pStyle w:val="10"/>
            </w:pPr>
            <w:r>
              <w:t>5</w:t>
            </w:r>
          </w:p>
        </w:tc>
      </w:tr>
      <w:tr w14:paraId="42CF8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50DC59">
            <w:pPr>
              <w:pStyle w:val="13"/>
            </w:pPr>
          </w:p>
        </w:tc>
        <w:tc>
          <w:tcPr>
            <w:tcW w:w="3798" w:type="dxa"/>
            <w:vAlign w:val="center"/>
          </w:tcPr>
          <w:p w14:paraId="4F80A690">
            <w:pPr>
              <w:pStyle w:val="12"/>
            </w:pPr>
          </w:p>
        </w:tc>
        <w:tc>
          <w:tcPr>
            <w:tcW w:w="2381" w:type="dxa"/>
            <w:vAlign w:val="center"/>
          </w:tcPr>
          <w:p w14:paraId="4C5594AE">
            <w:pPr>
              <w:pStyle w:val="11"/>
            </w:pPr>
          </w:p>
        </w:tc>
        <w:tc>
          <w:tcPr>
            <w:tcW w:w="2381" w:type="dxa"/>
            <w:vAlign w:val="center"/>
          </w:tcPr>
          <w:p w14:paraId="6B1BB69D">
            <w:pPr>
              <w:pStyle w:val="11"/>
            </w:pPr>
          </w:p>
        </w:tc>
        <w:tc>
          <w:tcPr>
            <w:tcW w:w="2381" w:type="dxa"/>
            <w:vAlign w:val="center"/>
          </w:tcPr>
          <w:p w14:paraId="0C9D6019">
            <w:pPr>
              <w:pStyle w:val="11"/>
            </w:pPr>
          </w:p>
        </w:tc>
        <w:tc>
          <w:tcPr>
            <w:tcW w:w="2381" w:type="dxa"/>
            <w:vAlign w:val="center"/>
          </w:tcPr>
          <w:p w14:paraId="6B99EDB0">
            <w:pPr>
              <w:pStyle w:val="11"/>
            </w:pPr>
          </w:p>
        </w:tc>
      </w:tr>
    </w:tbl>
    <w:p w14:paraId="3AC2D2B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DB44CDF">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隆尧县尹村校区2026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1453716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地方预决算公开操作规程》和《关于进一步推进预算公开工作的实施意见》规定，现将隆尧县尹村校区2026年单位预算公开如下：</w:t>
      </w:r>
    </w:p>
    <w:p w14:paraId="0F81A38A">
      <w:pPr>
        <w:spacing w:before="10" w:after="10" w:line="240" w:lineRule="auto"/>
        <w:ind w:firstLine="640"/>
        <w:jc w:val="left"/>
        <w:outlineLvl w:val="5"/>
      </w:pPr>
      <w:r>
        <w:rPr>
          <w:rFonts w:ascii="黑体" w:hAnsi="黑体" w:eastAsia="黑体" w:cs="黑体"/>
          <w:color w:val="000000"/>
          <w:sz w:val="32"/>
        </w:rPr>
        <w:t>一、单位职责及机构设置情况</w:t>
      </w:r>
    </w:p>
    <w:p w14:paraId="29873DB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C164DE9">
      <w:pPr>
        <w:pStyle w:val="17"/>
        <w:rPr>
          <w:rFonts w:hint="eastAsia"/>
        </w:rPr>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w:t>
      </w:r>
    </w:p>
    <w:p w14:paraId="76DFF674">
      <w:pPr>
        <w:pStyle w:val="17"/>
      </w:pPr>
      <w:r>
        <w:rPr>
          <w:rFonts w:hint="eastAsia"/>
        </w:rPr>
        <w:t>隆尧县尹村校区事业编制274名，其中，校长1名</w:t>
      </w:r>
      <w:r>
        <w:rPr>
          <w:rFonts w:hint="eastAsia"/>
          <w:lang w:eastAsia="zh-CN"/>
        </w:rPr>
        <w:t>（</w:t>
      </w:r>
      <w:r>
        <w:rPr>
          <w:rFonts w:hint="eastAsia"/>
        </w:rPr>
        <w:t>正股级</w:t>
      </w:r>
      <w:r>
        <w:rPr>
          <w:rFonts w:hint="eastAsia"/>
          <w:lang w:eastAsia="zh-CN"/>
        </w:rPr>
        <w:t>）</w:t>
      </w:r>
      <w:r>
        <w:rPr>
          <w:rFonts w:hint="eastAsia"/>
        </w:rPr>
        <w:t>，副校长3名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4A93387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44B6D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81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B1F594">
            <w:pPr>
              <w:pStyle w:val="10"/>
            </w:pPr>
            <w:r>
              <w:t>单位名称</w:t>
            </w:r>
          </w:p>
        </w:tc>
        <w:tc>
          <w:tcPr>
            <w:tcW w:w="1843" w:type="dxa"/>
            <w:vAlign w:val="center"/>
          </w:tcPr>
          <w:p w14:paraId="592D2C6F">
            <w:pPr>
              <w:pStyle w:val="10"/>
            </w:pPr>
            <w:r>
              <w:t>单位性质</w:t>
            </w:r>
          </w:p>
        </w:tc>
        <w:tc>
          <w:tcPr>
            <w:tcW w:w="2126" w:type="dxa"/>
            <w:vAlign w:val="center"/>
          </w:tcPr>
          <w:p w14:paraId="67560808">
            <w:pPr>
              <w:pStyle w:val="10"/>
            </w:pPr>
            <w:r>
              <w:t>单位规格</w:t>
            </w:r>
          </w:p>
        </w:tc>
        <w:tc>
          <w:tcPr>
            <w:tcW w:w="3827" w:type="dxa"/>
            <w:vAlign w:val="center"/>
          </w:tcPr>
          <w:p w14:paraId="3E7F4FAD">
            <w:pPr>
              <w:pStyle w:val="10"/>
            </w:pPr>
            <w:r>
              <w:t>经费保障形式</w:t>
            </w:r>
          </w:p>
        </w:tc>
      </w:tr>
      <w:tr w14:paraId="5A763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BC0470">
            <w:pPr>
              <w:pStyle w:val="12"/>
            </w:pPr>
            <w:r>
              <w:t>隆尧县尹村校区</w:t>
            </w:r>
          </w:p>
        </w:tc>
        <w:tc>
          <w:tcPr>
            <w:tcW w:w="1843" w:type="dxa"/>
            <w:vAlign w:val="center"/>
          </w:tcPr>
          <w:p w14:paraId="20D34734">
            <w:pPr>
              <w:pStyle w:val="13"/>
            </w:pPr>
            <w:r>
              <w:t>事业</w:t>
            </w:r>
          </w:p>
        </w:tc>
        <w:tc>
          <w:tcPr>
            <w:tcW w:w="2126" w:type="dxa"/>
            <w:vAlign w:val="center"/>
          </w:tcPr>
          <w:p w14:paraId="79391453">
            <w:pPr>
              <w:pStyle w:val="13"/>
            </w:pPr>
            <w:r>
              <w:t>股级</w:t>
            </w:r>
          </w:p>
        </w:tc>
        <w:tc>
          <w:tcPr>
            <w:tcW w:w="3827" w:type="dxa"/>
            <w:vAlign w:val="center"/>
          </w:tcPr>
          <w:p w14:paraId="4D82034F">
            <w:pPr>
              <w:pStyle w:val="13"/>
            </w:pPr>
            <w:r>
              <w:t>财政性资金基本保证</w:t>
            </w:r>
          </w:p>
        </w:tc>
      </w:tr>
    </w:tbl>
    <w:p w14:paraId="7BC3B41F">
      <w:pPr>
        <w:spacing w:before="10" w:after="10" w:line="240" w:lineRule="auto"/>
        <w:ind w:firstLine="640"/>
        <w:jc w:val="left"/>
        <w:outlineLvl w:val="5"/>
      </w:pPr>
      <w:r>
        <w:rPr>
          <w:rFonts w:ascii="黑体" w:hAnsi="黑体" w:eastAsia="黑体" w:cs="黑体"/>
          <w:color w:val="000000"/>
          <w:sz w:val="32"/>
        </w:rPr>
        <w:t>二、单位预算安排的总体情况</w:t>
      </w:r>
    </w:p>
    <w:p w14:paraId="0634709C">
      <w:pPr>
        <w:pStyle w:val="18"/>
      </w:pPr>
      <w:r>
        <w:t>二、单位预算安排的总体情况</w:t>
      </w:r>
    </w:p>
    <w:p w14:paraId="1C2FAC42">
      <w:pPr>
        <w:pStyle w:val="18"/>
      </w:pPr>
      <w:r>
        <w:t>按照预算管理有关规定，目前我校区单位预算的编制实行综合预算管理，即全部收入和支出都反映的预算中。隆尧县尹村校区的收支包含在单位预算中。</w:t>
      </w:r>
    </w:p>
    <w:p w14:paraId="176AA8EB">
      <w:pPr>
        <w:pStyle w:val="18"/>
      </w:pPr>
      <w:r>
        <w:t>1、收入说明</w:t>
      </w:r>
    </w:p>
    <w:p w14:paraId="45574B36">
      <w:pPr>
        <w:pStyle w:val="18"/>
      </w:pPr>
      <w:r>
        <w:t>反映本单位当年全部收入。2026年预算收入3991.51万元，其中：一般公共预算收入3991.51万元，基金预算收入0万元，上年结转收入0万元，财政专户收入0万元，其他来源收入0万元。</w:t>
      </w:r>
    </w:p>
    <w:p w14:paraId="302D3B34">
      <w:pPr>
        <w:pStyle w:val="18"/>
      </w:pPr>
      <w:r>
        <w:t>2、支出说明</w:t>
      </w:r>
    </w:p>
    <w:p w14:paraId="0460C8FE">
      <w:pPr>
        <w:pStyle w:val="18"/>
      </w:pPr>
      <w:r>
        <w:t>收支预算总表支出栏、基本支出表、项目支出表按经济分类和支出功能分类科目编制，反映我单位预算中支出预算的总体情况。2026年单位支出预算为3991.51万</w:t>
      </w:r>
      <w:r>
        <w:rPr>
          <w:rFonts w:hint="eastAsia"/>
          <w:lang w:eastAsia="zh-CN"/>
        </w:rPr>
        <w:t>元</w:t>
      </w:r>
      <w:r>
        <w:t>，其中基本支出2836.43万元；项目支出1155.08万元。</w:t>
      </w:r>
    </w:p>
    <w:p w14:paraId="7B4625EE">
      <w:pPr>
        <w:pStyle w:val="18"/>
      </w:pPr>
      <w:r>
        <w:t>3、比上年增减情况</w:t>
      </w:r>
    </w:p>
    <w:p w14:paraId="6EE883C4">
      <w:pPr>
        <w:pStyle w:val="18"/>
      </w:pPr>
      <w:r>
        <w:t>2026年部门预算收支安排3991.51万元，较2025年预算减少462.2万元，其中基本支出减少531.54万元，项目支出增加69.34万元。</w:t>
      </w:r>
    </w:p>
    <w:p w14:paraId="708D0C79">
      <w:pPr>
        <w:spacing w:before="10" w:after="10" w:line="240" w:lineRule="auto"/>
        <w:ind w:firstLine="640"/>
        <w:jc w:val="left"/>
        <w:outlineLvl w:val="5"/>
      </w:pPr>
      <w:r>
        <w:rPr>
          <w:rFonts w:ascii="黑体" w:hAnsi="黑体" w:eastAsia="黑体" w:cs="黑体"/>
          <w:color w:val="000000"/>
          <w:sz w:val="32"/>
        </w:rPr>
        <w:t>三、机关运行经费安排情况</w:t>
      </w:r>
    </w:p>
    <w:p w14:paraId="104B8525">
      <w:pPr>
        <w:pStyle w:val="19"/>
      </w:pPr>
      <w:r>
        <w:t>三、机关运行经费安排情况</w:t>
      </w:r>
    </w:p>
    <w:p w14:paraId="472817E8">
      <w:pPr>
        <w:pStyle w:val="19"/>
      </w:pPr>
      <w:r>
        <w:t>机关运行经费安排情况</w:t>
      </w:r>
    </w:p>
    <w:p w14:paraId="34A90F92">
      <w:pPr>
        <w:pStyle w:val="19"/>
      </w:pPr>
      <w:r>
        <w:t>2026年我单位机关运行经费安排0万元</w:t>
      </w:r>
    </w:p>
    <w:p w14:paraId="0EC6DD0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1D8D224">
      <w:pPr>
        <w:pStyle w:val="20"/>
      </w:pPr>
      <w:r>
        <w:t>四、财政拨款“三公”经费预算情况及增减变化原因</w:t>
      </w:r>
    </w:p>
    <w:p w14:paraId="60C3A083">
      <w:pPr>
        <w:pStyle w:val="20"/>
      </w:pPr>
      <w:r>
        <w:t>2026年我单位未安排</w:t>
      </w:r>
      <w:r>
        <w:rPr>
          <w:rFonts w:hint="eastAsia"/>
          <w:lang w:eastAsia="zh-CN"/>
        </w:rPr>
        <w:t>“三公”经费</w:t>
      </w:r>
      <w:r>
        <w:t>。</w:t>
      </w:r>
    </w:p>
    <w:p w14:paraId="1D623BB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623B276">
      <w:pPr>
        <w:spacing w:before="0" w:after="0"/>
        <w:ind w:firstLine="560"/>
        <w:jc w:val="left"/>
        <w:outlineLvl w:val="9"/>
      </w:pPr>
      <w:r>
        <w:rPr>
          <w:rFonts w:ascii="方正仿宋_GBK" w:hAnsi="方正仿宋_GBK" w:eastAsia="方正仿宋_GBK" w:cs="方正仿宋_GBK"/>
          <w:b/>
          <w:color w:val="000000"/>
          <w:sz w:val="28"/>
        </w:rPr>
        <w:t>1、冀财教[2023]165号/中央/学前发展/隆尧县大霍幼儿园保育楼项目绩效目标表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56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9C336">
            <w:pPr>
              <w:pStyle w:val="11"/>
            </w:pPr>
            <w:r>
              <w:t>单位：万元</w:t>
            </w:r>
          </w:p>
        </w:tc>
      </w:tr>
      <w:tr w14:paraId="45E43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ADB5E">
            <w:pPr>
              <w:pStyle w:val="10"/>
            </w:pPr>
            <w:r>
              <w:t>项目编码</w:t>
            </w:r>
          </w:p>
        </w:tc>
        <w:tc>
          <w:tcPr>
            <w:tcW w:w="5103" w:type="dxa"/>
            <w:gridSpan w:val="2"/>
            <w:vAlign w:val="center"/>
          </w:tcPr>
          <w:p w14:paraId="0EBC338D">
            <w:pPr>
              <w:pStyle w:val="12"/>
            </w:pPr>
            <w:r>
              <w:t>13052526P00876910215H</w:t>
            </w:r>
          </w:p>
        </w:tc>
        <w:tc>
          <w:tcPr>
            <w:tcW w:w="2835" w:type="dxa"/>
            <w:vAlign w:val="center"/>
          </w:tcPr>
          <w:p w14:paraId="188E9EFA">
            <w:pPr>
              <w:pStyle w:val="10"/>
            </w:pPr>
            <w:r>
              <w:t>项目名称</w:t>
            </w:r>
          </w:p>
        </w:tc>
        <w:tc>
          <w:tcPr>
            <w:tcW w:w="6095" w:type="dxa"/>
            <w:gridSpan w:val="3"/>
            <w:vAlign w:val="center"/>
          </w:tcPr>
          <w:p w14:paraId="3FE972E4">
            <w:pPr>
              <w:pStyle w:val="12"/>
            </w:pPr>
            <w:r>
              <w:t>冀财教[2023]165号/中央/学前发展/隆尧县大霍幼儿园保育楼项目</w:t>
            </w:r>
          </w:p>
        </w:tc>
      </w:tr>
      <w:tr w14:paraId="782C1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BA184">
            <w:pPr>
              <w:pStyle w:val="10"/>
            </w:pPr>
            <w:r>
              <w:t>预算规模及资金用途</w:t>
            </w:r>
          </w:p>
        </w:tc>
        <w:tc>
          <w:tcPr>
            <w:tcW w:w="2268" w:type="dxa"/>
            <w:vAlign w:val="center"/>
          </w:tcPr>
          <w:p w14:paraId="409432FA">
            <w:pPr>
              <w:pStyle w:val="10"/>
            </w:pPr>
            <w:r>
              <w:t>预算数</w:t>
            </w:r>
          </w:p>
        </w:tc>
        <w:tc>
          <w:tcPr>
            <w:tcW w:w="2835" w:type="dxa"/>
            <w:vAlign w:val="center"/>
          </w:tcPr>
          <w:p w14:paraId="2CD35C70">
            <w:pPr>
              <w:pStyle w:val="12"/>
            </w:pPr>
            <w:r>
              <w:t>315.52</w:t>
            </w:r>
          </w:p>
        </w:tc>
        <w:tc>
          <w:tcPr>
            <w:tcW w:w="2835" w:type="dxa"/>
            <w:vAlign w:val="center"/>
          </w:tcPr>
          <w:p w14:paraId="336B6D2B">
            <w:pPr>
              <w:pStyle w:val="10"/>
            </w:pPr>
            <w:r>
              <w:t>其中：财政    资金</w:t>
            </w:r>
          </w:p>
        </w:tc>
        <w:tc>
          <w:tcPr>
            <w:tcW w:w="2551" w:type="dxa"/>
            <w:vAlign w:val="center"/>
          </w:tcPr>
          <w:p w14:paraId="2117A147">
            <w:pPr>
              <w:pStyle w:val="12"/>
            </w:pPr>
            <w:r>
              <w:t>315.52</w:t>
            </w:r>
          </w:p>
        </w:tc>
        <w:tc>
          <w:tcPr>
            <w:tcW w:w="2268" w:type="dxa"/>
            <w:vAlign w:val="center"/>
          </w:tcPr>
          <w:p w14:paraId="66984CBC">
            <w:pPr>
              <w:pStyle w:val="10"/>
            </w:pPr>
            <w:r>
              <w:t>其他资金</w:t>
            </w:r>
          </w:p>
        </w:tc>
        <w:tc>
          <w:tcPr>
            <w:tcW w:w="1276" w:type="dxa"/>
            <w:vAlign w:val="center"/>
          </w:tcPr>
          <w:p w14:paraId="4FBE42BD">
            <w:pPr>
              <w:pStyle w:val="12"/>
            </w:pPr>
            <w:r>
              <w:t xml:space="preserve"> </w:t>
            </w:r>
          </w:p>
        </w:tc>
      </w:tr>
      <w:tr w14:paraId="5D241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4124C"/>
        </w:tc>
        <w:tc>
          <w:tcPr>
            <w:tcW w:w="14033" w:type="dxa"/>
            <w:gridSpan w:val="6"/>
            <w:vAlign w:val="center"/>
          </w:tcPr>
          <w:p w14:paraId="646680EA">
            <w:pPr>
              <w:pStyle w:val="12"/>
            </w:pPr>
            <w:r>
              <w:t>新建保育楼，满足幼儿正常学习需要。</w:t>
            </w:r>
            <w:r>
              <w:tab/>
            </w:r>
            <w:r>
              <w:tab/>
            </w:r>
          </w:p>
        </w:tc>
      </w:tr>
      <w:tr w14:paraId="1A85F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8A418">
            <w:pPr>
              <w:pStyle w:val="10"/>
            </w:pPr>
            <w:r>
              <w:t>资金支出计划（%）</w:t>
            </w:r>
          </w:p>
        </w:tc>
        <w:tc>
          <w:tcPr>
            <w:tcW w:w="5103" w:type="dxa"/>
            <w:gridSpan w:val="2"/>
            <w:vAlign w:val="center"/>
          </w:tcPr>
          <w:p w14:paraId="392F3C99">
            <w:pPr>
              <w:pStyle w:val="10"/>
            </w:pPr>
            <w:r>
              <w:t>3月底</w:t>
            </w:r>
          </w:p>
        </w:tc>
        <w:tc>
          <w:tcPr>
            <w:tcW w:w="2835" w:type="dxa"/>
            <w:vAlign w:val="center"/>
          </w:tcPr>
          <w:p w14:paraId="5F6C8BC4">
            <w:pPr>
              <w:pStyle w:val="10"/>
            </w:pPr>
            <w:r>
              <w:t>6月底</w:t>
            </w:r>
          </w:p>
        </w:tc>
        <w:tc>
          <w:tcPr>
            <w:tcW w:w="2551" w:type="dxa"/>
            <w:vAlign w:val="center"/>
          </w:tcPr>
          <w:p w14:paraId="57CA231D">
            <w:pPr>
              <w:pStyle w:val="10"/>
            </w:pPr>
            <w:r>
              <w:t>10月底</w:t>
            </w:r>
          </w:p>
        </w:tc>
        <w:tc>
          <w:tcPr>
            <w:tcW w:w="3544" w:type="dxa"/>
            <w:gridSpan w:val="2"/>
            <w:vAlign w:val="center"/>
          </w:tcPr>
          <w:p w14:paraId="07F6520E">
            <w:pPr>
              <w:pStyle w:val="10"/>
            </w:pPr>
            <w:r>
              <w:t>12月底</w:t>
            </w:r>
          </w:p>
        </w:tc>
      </w:tr>
      <w:tr w14:paraId="3F9FC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F8CA1"/>
        </w:tc>
        <w:tc>
          <w:tcPr>
            <w:tcW w:w="5103" w:type="dxa"/>
            <w:gridSpan w:val="2"/>
            <w:vAlign w:val="center"/>
          </w:tcPr>
          <w:p w14:paraId="456F2AE9">
            <w:pPr>
              <w:pStyle w:val="13"/>
            </w:pPr>
            <w:r>
              <w:t xml:space="preserve"> </w:t>
            </w:r>
          </w:p>
        </w:tc>
        <w:tc>
          <w:tcPr>
            <w:tcW w:w="2835" w:type="dxa"/>
            <w:vAlign w:val="center"/>
          </w:tcPr>
          <w:p w14:paraId="05630D47">
            <w:pPr>
              <w:pStyle w:val="13"/>
            </w:pPr>
            <w:r>
              <w:t>50%</w:t>
            </w:r>
          </w:p>
        </w:tc>
        <w:tc>
          <w:tcPr>
            <w:tcW w:w="2551" w:type="dxa"/>
            <w:vAlign w:val="center"/>
          </w:tcPr>
          <w:p w14:paraId="73BEA968">
            <w:pPr>
              <w:pStyle w:val="13"/>
            </w:pPr>
            <w:r>
              <w:t>100%</w:t>
            </w:r>
          </w:p>
        </w:tc>
        <w:tc>
          <w:tcPr>
            <w:tcW w:w="3544" w:type="dxa"/>
            <w:gridSpan w:val="2"/>
            <w:vAlign w:val="center"/>
          </w:tcPr>
          <w:p w14:paraId="567152D2">
            <w:pPr>
              <w:pStyle w:val="13"/>
            </w:pPr>
            <w:r>
              <w:t>100%</w:t>
            </w:r>
          </w:p>
        </w:tc>
      </w:tr>
      <w:tr w14:paraId="14FC6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250B6">
            <w:pPr>
              <w:pStyle w:val="10"/>
            </w:pPr>
            <w:r>
              <w:t>绩效目标</w:t>
            </w:r>
          </w:p>
        </w:tc>
        <w:tc>
          <w:tcPr>
            <w:tcW w:w="14033" w:type="dxa"/>
            <w:gridSpan w:val="6"/>
            <w:vAlign w:val="center"/>
          </w:tcPr>
          <w:p w14:paraId="13653DEB">
            <w:pPr>
              <w:pStyle w:val="12"/>
            </w:pPr>
            <w:r>
              <w:t>1.新建保育楼，满足幼儿正常学习需要。</w:t>
            </w:r>
            <w:r>
              <w:tab/>
            </w:r>
            <w:r>
              <w:tab/>
            </w:r>
          </w:p>
          <w:p w14:paraId="72607D2A">
            <w:pPr>
              <w:pStyle w:val="12"/>
            </w:pPr>
            <w:r>
              <w:t>2.按规定拨付专项资金3155229.56元，资金拨付率达到100%。</w:t>
            </w:r>
            <w:r>
              <w:tab/>
            </w:r>
            <w:r>
              <w:tab/>
            </w:r>
          </w:p>
        </w:tc>
      </w:tr>
    </w:tbl>
    <w:p w14:paraId="57F11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2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F85F5">
            <w:pPr>
              <w:pStyle w:val="10"/>
            </w:pPr>
            <w:r>
              <w:t>一级指标</w:t>
            </w:r>
          </w:p>
        </w:tc>
        <w:tc>
          <w:tcPr>
            <w:tcW w:w="2268" w:type="dxa"/>
            <w:vAlign w:val="center"/>
          </w:tcPr>
          <w:p w14:paraId="664B4FAD">
            <w:pPr>
              <w:pStyle w:val="10"/>
            </w:pPr>
            <w:r>
              <w:t>二级指标</w:t>
            </w:r>
          </w:p>
        </w:tc>
        <w:tc>
          <w:tcPr>
            <w:tcW w:w="2835" w:type="dxa"/>
            <w:vAlign w:val="center"/>
          </w:tcPr>
          <w:p w14:paraId="28C062A4">
            <w:pPr>
              <w:pStyle w:val="10"/>
            </w:pPr>
            <w:r>
              <w:t>三级指标</w:t>
            </w:r>
          </w:p>
        </w:tc>
        <w:tc>
          <w:tcPr>
            <w:tcW w:w="5386" w:type="dxa"/>
            <w:vAlign w:val="center"/>
          </w:tcPr>
          <w:p w14:paraId="08FE7FF5">
            <w:pPr>
              <w:pStyle w:val="10"/>
            </w:pPr>
            <w:r>
              <w:t>绩效指标描述</w:t>
            </w:r>
          </w:p>
        </w:tc>
        <w:tc>
          <w:tcPr>
            <w:tcW w:w="2268" w:type="dxa"/>
            <w:vAlign w:val="center"/>
          </w:tcPr>
          <w:p w14:paraId="4BA99639">
            <w:pPr>
              <w:pStyle w:val="10"/>
            </w:pPr>
            <w:r>
              <w:t>指标值</w:t>
            </w:r>
          </w:p>
        </w:tc>
        <w:tc>
          <w:tcPr>
            <w:tcW w:w="1276" w:type="dxa"/>
            <w:vAlign w:val="center"/>
          </w:tcPr>
          <w:p w14:paraId="36E97352">
            <w:pPr>
              <w:pStyle w:val="10"/>
            </w:pPr>
            <w:r>
              <w:t>指标值确定依据</w:t>
            </w:r>
          </w:p>
        </w:tc>
      </w:tr>
      <w:tr w14:paraId="4B14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69CB1">
            <w:pPr>
              <w:pStyle w:val="13"/>
            </w:pPr>
            <w:r>
              <w:t>产出指标</w:t>
            </w:r>
          </w:p>
        </w:tc>
        <w:tc>
          <w:tcPr>
            <w:tcW w:w="2268" w:type="dxa"/>
            <w:vAlign w:val="center"/>
          </w:tcPr>
          <w:p w14:paraId="4D115E4B">
            <w:pPr>
              <w:pStyle w:val="12"/>
            </w:pPr>
            <w:r>
              <w:t>数量指标</w:t>
            </w:r>
          </w:p>
        </w:tc>
        <w:tc>
          <w:tcPr>
            <w:tcW w:w="2835" w:type="dxa"/>
            <w:vAlign w:val="center"/>
          </w:tcPr>
          <w:p w14:paraId="1B578A43">
            <w:pPr>
              <w:pStyle w:val="12"/>
            </w:pPr>
            <w:r>
              <w:t>隆尧县大霍幼儿园保育楼</w:t>
            </w:r>
          </w:p>
        </w:tc>
        <w:tc>
          <w:tcPr>
            <w:tcW w:w="5386" w:type="dxa"/>
            <w:vAlign w:val="center"/>
          </w:tcPr>
          <w:p w14:paraId="04C04FBB">
            <w:pPr>
              <w:pStyle w:val="12"/>
            </w:pPr>
            <w:r>
              <w:t>新建建筑面积</w:t>
            </w:r>
          </w:p>
        </w:tc>
        <w:tc>
          <w:tcPr>
            <w:tcW w:w="2268" w:type="dxa"/>
            <w:vAlign w:val="center"/>
          </w:tcPr>
          <w:p w14:paraId="3C6EC36F">
            <w:pPr>
              <w:pStyle w:val="12"/>
            </w:pPr>
            <w:r>
              <w:t>2821.39</w:t>
            </w:r>
            <w:r>
              <w:rPr>
                <w:rFonts w:hint="eastAsia"/>
                <w:lang w:eastAsia="zh-CN"/>
              </w:rPr>
              <w:t>平方</w:t>
            </w:r>
            <w:r>
              <w:t>米</w:t>
            </w:r>
          </w:p>
        </w:tc>
        <w:tc>
          <w:tcPr>
            <w:tcW w:w="1276" w:type="dxa"/>
            <w:vAlign w:val="center"/>
          </w:tcPr>
          <w:p w14:paraId="6A47341C">
            <w:pPr>
              <w:pStyle w:val="12"/>
            </w:pPr>
            <w:r>
              <w:t>项目规划</w:t>
            </w:r>
          </w:p>
        </w:tc>
      </w:tr>
      <w:tr w14:paraId="093A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27ECF"/>
        </w:tc>
        <w:tc>
          <w:tcPr>
            <w:tcW w:w="2268" w:type="dxa"/>
            <w:vAlign w:val="center"/>
          </w:tcPr>
          <w:p w14:paraId="0AD9E7B8">
            <w:pPr>
              <w:pStyle w:val="12"/>
            </w:pPr>
            <w:r>
              <w:t>质量指标</w:t>
            </w:r>
          </w:p>
        </w:tc>
        <w:tc>
          <w:tcPr>
            <w:tcW w:w="2835" w:type="dxa"/>
            <w:vAlign w:val="center"/>
          </w:tcPr>
          <w:p w14:paraId="4DD04EE5">
            <w:pPr>
              <w:pStyle w:val="12"/>
            </w:pPr>
            <w:r>
              <w:t>项目竣工验收合格率</w:t>
            </w:r>
          </w:p>
        </w:tc>
        <w:tc>
          <w:tcPr>
            <w:tcW w:w="5386" w:type="dxa"/>
            <w:vAlign w:val="center"/>
          </w:tcPr>
          <w:p w14:paraId="72CF7A5A">
            <w:pPr>
              <w:pStyle w:val="12"/>
            </w:pPr>
            <w:r>
              <w:t>项目改造质量达标率</w:t>
            </w:r>
          </w:p>
        </w:tc>
        <w:tc>
          <w:tcPr>
            <w:tcW w:w="2268" w:type="dxa"/>
            <w:vAlign w:val="center"/>
          </w:tcPr>
          <w:p w14:paraId="1CF9A3DE">
            <w:pPr>
              <w:pStyle w:val="12"/>
            </w:pPr>
            <w:r>
              <w:t>100%</w:t>
            </w:r>
          </w:p>
        </w:tc>
        <w:tc>
          <w:tcPr>
            <w:tcW w:w="1276" w:type="dxa"/>
            <w:vAlign w:val="center"/>
          </w:tcPr>
          <w:p w14:paraId="623396B5">
            <w:pPr>
              <w:pStyle w:val="12"/>
            </w:pPr>
            <w:r>
              <w:t>项目规划</w:t>
            </w:r>
          </w:p>
        </w:tc>
      </w:tr>
      <w:tr w14:paraId="1093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B43BF"/>
        </w:tc>
        <w:tc>
          <w:tcPr>
            <w:tcW w:w="2268" w:type="dxa"/>
            <w:vAlign w:val="center"/>
          </w:tcPr>
          <w:p w14:paraId="5A43DDA2">
            <w:pPr>
              <w:pStyle w:val="12"/>
            </w:pPr>
            <w:r>
              <w:t>时效指标</w:t>
            </w:r>
          </w:p>
        </w:tc>
        <w:tc>
          <w:tcPr>
            <w:tcW w:w="2835" w:type="dxa"/>
            <w:vAlign w:val="center"/>
          </w:tcPr>
          <w:p w14:paraId="7BEE8D2F">
            <w:pPr>
              <w:pStyle w:val="12"/>
            </w:pPr>
            <w:r>
              <w:t>按期完成率</w:t>
            </w:r>
          </w:p>
        </w:tc>
        <w:tc>
          <w:tcPr>
            <w:tcW w:w="5386" w:type="dxa"/>
            <w:vAlign w:val="center"/>
          </w:tcPr>
          <w:p w14:paraId="4D2D4E84">
            <w:pPr>
              <w:pStyle w:val="12"/>
            </w:pPr>
            <w:r>
              <w:t>按期完成率</w:t>
            </w:r>
          </w:p>
        </w:tc>
        <w:tc>
          <w:tcPr>
            <w:tcW w:w="2268" w:type="dxa"/>
            <w:vAlign w:val="center"/>
          </w:tcPr>
          <w:p w14:paraId="23E83153">
            <w:pPr>
              <w:pStyle w:val="12"/>
            </w:pPr>
            <w:r>
              <w:t>100%</w:t>
            </w:r>
          </w:p>
        </w:tc>
        <w:tc>
          <w:tcPr>
            <w:tcW w:w="1276" w:type="dxa"/>
            <w:vAlign w:val="center"/>
          </w:tcPr>
          <w:p w14:paraId="100DD947">
            <w:pPr>
              <w:pStyle w:val="12"/>
            </w:pPr>
            <w:r>
              <w:t>项目规划</w:t>
            </w:r>
          </w:p>
        </w:tc>
      </w:tr>
      <w:tr w14:paraId="47A9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916D2"/>
        </w:tc>
        <w:tc>
          <w:tcPr>
            <w:tcW w:w="2268" w:type="dxa"/>
            <w:vAlign w:val="center"/>
          </w:tcPr>
          <w:p w14:paraId="231DE78E">
            <w:pPr>
              <w:pStyle w:val="12"/>
            </w:pPr>
            <w:r>
              <w:t>成本指标</w:t>
            </w:r>
          </w:p>
        </w:tc>
        <w:tc>
          <w:tcPr>
            <w:tcW w:w="2835" w:type="dxa"/>
            <w:vAlign w:val="center"/>
          </w:tcPr>
          <w:p w14:paraId="3548A8BE">
            <w:pPr>
              <w:pStyle w:val="12"/>
            </w:pPr>
            <w:r>
              <w:t>项目实际成本</w:t>
            </w:r>
          </w:p>
        </w:tc>
        <w:tc>
          <w:tcPr>
            <w:tcW w:w="5386" w:type="dxa"/>
            <w:vAlign w:val="center"/>
          </w:tcPr>
          <w:p w14:paraId="00827FB3">
            <w:pPr>
              <w:pStyle w:val="12"/>
            </w:pPr>
            <w:r>
              <w:t>1.幼儿园用房年久破损，具体如下：改建附属用房2821.39</w:t>
            </w:r>
            <w:r>
              <w:rPr>
                <w:rFonts w:hint="eastAsia"/>
                <w:lang w:eastAsia="zh-CN"/>
              </w:rPr>
              <w:t>平方</w:t>
            </w:r>
            <w:r>
              <w:t>米，2413.8元/㎡；</w:t>
            </w:r>
          </w:p>
        </w:tc>
        <w:tc>
          <w:tcPr>
            <w:tcW w:w="2268" w:type="dxa"/>
            <w:vAlign w:val="center"/>
          </w:tcPr>
          <w:p w14:paraId="016FC585">
            <w:pPr>
              <w:pStyle w:val="12"/>
            </w:pPr>
            <w:r>
              <w:t>3155229.56元</w:t>
            </w:r>
          </w:p>
        </w:tc>
        <w:tc>
          <w:tcPr>
            <w:tcW w:w="1276" w:type="dxa"/>
            <w:vAlign w:val="center"/>
          </w:tcPr>
          <w:p w14:paraId="1E124840">
            <w:pPr>
              <w:pStyle w:val="12"/>
            </w:pPr>
            <w:r>
              <w:t>项目规划</w:t>
            </w:r>
          </w:p>
        </w:tc>
      </w:tr>
      <w:tr w14:paraId="1890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9F59A">
            <w:pPr>
              <w:pStyle w:val="13"/>
            </w:pPr>
            <w:r>
              <w:t>效益指标</w:t>
            </w:r>
          </w:p>
        </w:tc>
        <w:tc>
          <w:tcPr>
            <w:tcW w:w="2268" w:type="dxa"/>
            <w:vAlign w:val="center"/>
          </w:tcPr>
          <w:p w14:paraId="72D18F57">
            <w:pPr>
              <w:pStyle w:val="12"/>
            </w:pPr>
            <w:r>
              <w:t>可持续影响指标</w:t>
            </w:r>
          </w:p>
        </w:tc>
        <w:tc>
          <w:tcPr>
            <w:tcW w:w="2835" w:type="dxa"/>
            <w:vAlign w:val="center"/>
          </w:tcPr>
          <w:p w14:paraId="0D252C64">
            <w:pPr>
              <w:pStyle w:val="12"/>
            </w:pPr>
            <w:r>
              <w:t>办学条件提升程度</w:t>
            </w:r>
          </w:p>
        </w:tc>
        <w:tc>
          <w:tcPr>
            <w:tcW w:w="5386" w:type="dxa"/>
            <w:vAlign w:val="center"/>
          </w:tcPr>
          <w:p w14:paraId="2930AF47">
            <w:pPr>
              <w:pStyle w:val="12"/>
            </w:pPr>
            <w:r>
              <w:t>办学条件和环境得到改善</w:t>
            </w:r>
          </w:p>
        </w:tc>
        <w:tc>
          <w:tcPr>
            <w:tcW w:w="2268" w:type="dxa"/>
            <w:vAlign w:val="center"/>
          </w:tcPr>
          <w:p w14:paraId="0A05F497">
            <w:pPr>
              <w:pStyle w:val="12"/>
            </w:pPr>
            <w:r>
              <w:t>≥90%</w:t>
            </w:r>
          </w:p>
        </w:tc>
        <w:tc>
          <w:tcPr>
            <w:tcW w:w="1276" w:type="dxa"/>
            <w:vAlign w:val="center"/>
          </w:tcPr>
          <w:p w14:paraId="56544557">
            <w:pPr>
              <w:pStyle w:val="12"/>
            </w:pPr>
            <w:r>
              <w:t>项目规划</w:t>
            </w:r>
          </w:p>
        </w:tc>
      </w:tr>
      <w:tr w14:paraId="0477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46E6B">
            <w:pPr>
              <w:pStyle w:val="13"/>
            </w:pPr>
            <w:r>
              <w:t>满意度指标</w:t>
            </w:r>
          </w:p>
        </w:tc>
        <w:tc>
          <w:tcPr>
            <w:tcW w:w="2268" w:type="dxa"/>
            <w:vAlign w:val="center"/>
          </w:tcPr>
          <w:p w14:paraId="26260415">
            <w:pPr>
              <w:pStyle w:val="12"/>
            </w:pPr>
            <w:r>
              <w:t>服务对象满意度指标</w:t>
            </w:r>
          </w:p>
        </w:tc>
        <w:tc>
          <w:tcPr>
            <w:tcW w:w="2835" w:type="dxa"/>
            <w:vAlign w:val="center"/>
          </w:tcPr>
          <w:p w14:paraId="607441E6">
            <w:pPr>
              <w:pStyle w:val="12"/>
            </w:pPr>
            <w:r>
              <w:t>受益学生家长及调查满意度</w:t>
            </w:r>
          </w:p>
        </w:tc>
        <w:tc>
          <w:tcPr>
            <w:tcW w:w="5386" w:type="dxa"/>
            <w:vAlign w:val="center"/>
          </w:tcPr>
          <w:p w14:paraId="2D957E3D">
            <w:pPr>
              <w:pStyle w:val="12"/>
            </w:pPr>
            <w:r>
              <w:t>学生、教师及家长对学校保教保育工作满意度情况</w:t>
            </w:r>
          </w:p>
        </w:tc>
        <w:tc>
          <w:tcPr>
            <w:tcW w:w="2268" w:type="dxa"/>
            <w:vAlign w:val="center"/>
          </w:tcPr>
          <w:p w14:paraId="1AE51393">
            <w:pPr>
              <w:pStyle w:val="12"/>
            </w:pPr>
            <w:r>
              <w:t>≥95%</w:t>
            </w:r>
          </w:p>
        </w:tc>
        <w:tc>
          <w:tcPr>
            <w:tcW w:w="1276" w:type="dxa"/>
            <w:vAlign w:val="center"/>
          </w:tcPr>
          <w:p w14:paraId="77EBA561">
            <w:pPr>
              <w:pStyle w:val="12"/>
            </w:pPr>
            <w:r>
              <w:t>调查问卷</w:t>
            </w:r>
          </w:p>
        </w:tc>
      </w:tr>
    </w:tbl>
    <w:p w14:paraId="600772DA">
      <w:pPr>
        <w:sectPr>
          <w:pgSz w:w="16840" w:h="11900" w:orient="landscape"/>
          <w:pgMar w:top="1361" w:right="1020" w:bottom="1134" w:left="1020" w:header="720" w:footer="720" w:gutter="0"/>
          <w:cols w:space="720" w:num="1"/>
        </w:sectPr>
      </w:pPr>
    </w:p>
    <w:p w14:paraId="3CD22DF6">
      <w:pPr>
        <w:spacing w:before="0" w:after="0"/>
        <w:ind w:firstLine="560"/>
        <w:jc w:val="left"/>
        <w:outlineLvl w:val="9"/>
      </w:pPr>
      <w:r>
        <w:rPr>
          <w:rFonts w:ascii="方正仿宋_GBK" w:hAnsi="方正仿宋_GBK" w:eastAsia="方正仿宋_GBK" w:cs="方正仿宋_GBK"/>
          <w:b/>
          <w:color w:val="000000"/>
          <w:sz w:val="28"/>
        </w:rPr>
        <w:t>2、冀财教[2024]121号/中央/2025年学前教育发展/大霍幼儿园餐厅设备购置绩效目标表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46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3AA69">
            <w:pPr>
              <w:pStyle w:val="11"/>
            </w:pPr>
            <w:r>
              <w:t>单位：万元</w:t>
            </w:r>
          </w:p>
        </w:tc>
      </w:tr>
      <w:tr w14:paraId="0324A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491CC">
            <w:pPr>
              <w:pStyle w:val="10"/>
            </w:pPr>
            <w:r>
              <w:t>项目编码</w:t>
            </w:r>
          </w:p>
        </w:tc>
        <w:tc>
          <w:tcPr>
            <w:tcW w:w="5103" w:type="dxa"/>
            <w:gridSpan w:val="2"/>
            <w:vAlign w:val="center"/>
          </w:tcPr>
          <w:p w14:paraId="308D79FA">
            <w:pPr>
              <w:pStyle w:val="12"/>
            </w:pPr>
            <w:r>
              <w:t>13052526P00876910213A</w:t>
            </w:r>
          </w:p>
        </w:tc>
        <w:tc>
          <w:tcPr>
            <w:tcW w:w="2835" w:type="dxa"/>
            <w:vAlign w:val="center"/>
          </w:tcPr>
          <w:p w14:paraId="59D8E5C9">
            <w:pPr>
              <w:pStyle w:val="10"/>
            </w:pPr>
            <w:r>
              <w:t>项目名称</w:t>
            </w:r>
          </w:p>
        </w:tc>
        <w:tc>
          <w:tcPr>
            <w:tcW w:w="6095" w:type="dxa"/>
            <w:gridSpan w:val="3"/>
            <w:vAlign w:val="center"/>
          </w:tcPr>
          <w:p w14:paraId="11C87F7A">
            <w:pPr>
              <w:pStyle w:val="12"/>
            </w:pPr>
            <w:r>
              <w:t>冀财教[2024]121号/中央/2025年学前教育发展/大霍幼儿园餐厅设备购置</w:t>
            </w:r>
          </w:p>
        </w:tc>
      </w:tr>
      <w:tr w14:paraId="625E1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7D072">
            <w:pPr>
              <w:pStyle w:val="10"/>
            </w:pPr>
            <w:r>
              <w:t>预算规模及资金用途</w:t>
            </w:r>
          </w:p>
        </w:tc>
        <w:tc>
          <w:tcPr>
            <w:tcW w:w="2268" w:type="dxa"/>
            <w:vAlign w:val="center"/>
          </w:tcPr>
          <w:p w14:paraId="7C7E90B1">
            <w:pPr>
              <w:pStyle w:val="10"/>
            </w:pPr>
            <w:r>
              <w:t>预算数</w:t>
            </w:r>
          </w:p>
        </w:tc>
        <w:tc>
          <w:tcPr>
            <w:tcW w:w="2835" w:type="dxa"/>
            <w:vAlign w:val="center"/>
          </w:tcPr>
          <w:p w14:paraId="753D1B8D">
            <w:pPr>
              <w:pStyle w:val="12"/>
            </w:pPr>
            <w:r>
              <w:t>9.14</w:t>
            </w:r>
          </w:p>
        </w:tc>
        <w:tc>
          <w:tcPr>
            <w:tcW w:w="2835" w:type="dxa"/>
            <w:vAlign w:val="center"/>
          </w:tcPr>
          <w:p w14:paraId="53BC187F">
            <w:pPr>
              <w:pStyle w:val="10"/>
            </w:pPr>
            <w:r>
              <w:t>其中：财政    资金</w:t>
            </w:r>
          </w:p>
        </w:tc>
        <w:tc>
          <w:tcPr>
            <w:tcW w:w="2551" w:type="dxa"/>
            <w:vAlign w:val="center"/>
          </w:tcPr>
          <w:p w14:paraId="1A4A9E4B">
            <w:pPr>
              <w:pStyle w:val="12"/>
            </w:pPr>
            <w:r>
              <w:t>9.14</w:t>
            </w:r>
          </w:p>
        </w:tc>
        <w:tc>
          <w:tcPr>
            <w:tcW w:w="2268" w:type="dxa"/>
            <w:vAlign w:val="center"/>
          </w:tcPr>
          <w:p w14:paraId="19FE90D3">
            <w:pPr>
              <w:pStyle w:val="10"/>
            </w:pPr>
            <w:r>
              <w:t>其他资金</w:t>
            </w:r>
          </w:p>
        </w:tc>
        <w:tc>
          <w:tcPr>
            <w:tcW w:w="1276" w:type="dxa"/>
            <w:vAlign w:val="center"/>
          </w:tcPr>
          <w:p w14:paraId="30061186">
            <w:pPr>
              <w:pStyle w:val="12"/>
            </w:pPr>
            <w:r>
              <w:t xml:space="preserve"> </w:t>
            </w:r>
          </w:p>
        </w:tc>
      </w:tr>
      <w:tr w14:paraId="1ECD7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8B530"/>
        </w:tc>
        <w:tc>
          <w:tcPr>
            <w:tcW w:w="14033" w:type="dxa"/>
            <w:gridSpan w:val="6"/>
            <w:vAlign w:val="center"/>
          </w:tcPr>
          <w:p w14:paraId="4EE84506">
            <w:pPr>
              <w:pStyle w:val="12"/>
            </w:pPr>
            <w:r>
              <w:t>完成大霍幼儿园餐厅设备购置，满足学校正常教学需要。</w:t>
            </w:r>
          </w:p>
        </w:tc>
      </w:tr>
      <w:tr w14:paraId="046DD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46C56">
            <w:pPr>
              <w:pStyle w:val="10"/>
            </w:pPr>
            <w:r>
              <w:t>资金支出计划（%）</w:t>
            </w:r>
          </w:p>
        </w:tc>
        <w:tc>
          <w:tcPr>
            <w:tcW w:w="5103" w:type="dxa"/>
            <w:gridSpan w:val="2"/>
            <w:vAlign w:val="center"/>
          </w:tcPr>
          <w:p w14:paraId="4131F7EC">
            <w:pPr>
              <w:pStyle w:val="10"/>
            </w:pPr>
            <w:r>
              <w:t>3月底</w:t>
            </w:r>
          </w:p>
        </w:tc>
        <w:tc>
          <w:tcPr>
            <w:tcW w:w="2835" w:type="dxa"/>
            <w:vAlign w:val="center"/>
          </w:tcPr>
          <w:p w14:paraId="20241A23">
            <w:pPr>
              <w:pStyle w:val="10"/>
            </w:pPr>
            <w:r>
              <w:t>6月底</w:t>
            </w:r>
          </w:p>
        </w:tc>
        <w:tc>
          <w:tcPr>
            <w:tcW w:w="2551" w:type="dxa"/>
            <w:vAlign w:val="center"/>
          </w:tcPr>
          <w:p w14:paraId="10D3FA38">
            <w:pPr>
              <w:pStyle w:val="10"/>
            </w:pPr>
            <w:r>
              <w:t>10月底</w:t>
            </w:r>
          </w:p>
        </w:tc>
        <w:tc>
          <w:tcPr>
            <w:tcW w:w="3544" w:type="dxa"/>
            <w:gridSpan w:val="2"/>
            <w:vAlign w:val="center"/>
          </w:tcPr>
          <w:p w14:paraId="41158BF5">
            <w:pPr>
              <w:pStyle w:val="10"/>
            </w:pPr>
            <w:r>
              <w:t>12月底</w:t>
            </w:r>
          </w:p>
        </w:tc>
      </w:tr>
      <w:tr w14:paraId="0ACC8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C40A1"/>
        </w:tc>
        <w:tc>
          <w:tcPr>
            <w:tcW w:w="5103" w:type="dxa"/>
            <w:gridSpan w:val="2"/>
            <w:vAlign w:val="center"/>
          </w:tcPr>
          <w:p w14:paraId="5B81C304">
            <w:pPr>
              <w:pStyle w:val="13"/>
            </w:pPr>
            <w:r>
              <w:t xml:space="preserve"> </w:t>
            </w:r>
          </w:p>
        </w:tc>
        <w:tc>
          <w:tcPr>
            <w:tcW w:w="2835" w:type="dxa"/>
            <w:vAlign w:val="center"/>
          </w:tcPr>
          <w:p w14:paraId="4DA7383D">
            <w:pPr>
              <w:pStyle w:val="13"/>
            </w:pPr>
            <w:r>
              <w:t xml:space="preserve"> </w:t>
            </w:r>
          </w:p>
        </w:tc>
        <w:tc>
          <w:tcPr>
            <w:tcW w:w="2551" w:type="dxa"/>
            <w:vAlign w:val="center"/>
          </w:tcPr>
          <w:p w14:paraId="361E068E">
            <w:pPr>
              <w:pStyle w:val="13"/>
            </w:pPr>
            <w:r>
              <w:t>100%</w:t>
            </w:r>
          </w:p>
        </w:tc>
        <w:tc>
          <w:tcPr>
            <w:tcW w:w="3544" w:type="dxa"/>
            <w:gridSpan w:val="2"/>
            <w:vAlign w:val="center"/>
          </w:tcPr>
          <w:p w14:paraId="57EDBBED">
            <w:pPr>
              <w:pStyle w:val="13"/>
            </w:pPr>
            <w:r>
              <w:t>100%</w:t>
            </w:r>
          </w:p>
        </w:tc>
      </w:tr>
      <w:tr w14:paraId="4ACF7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326B1">
            <w:pPr>
              <w:pStyle w:val="10"/>
            </w:pPr>
            <w:r>
              <w:t>绩效目标</w:t>
            </w:r>
          </w:p>
        </w:tc>
        <w:tc>
          <w:tcPr>
            <w:tcW w:w="14033" w:type="dxa"/>
            <w:gridSpan w:val="6"/>
            <w:vAlign w:val="center"/>
          </w:tcPr>
          <w:p w14:paraId="2A65BDEC">
            <w:pPr>
              <w:pStyle w:val="12"/>
            </w:pPr>
            <w:r>
              <w:t>1.按规定拨付专项资金，资金支付率达到100%。</w:t>
            </w:r>
          </w:p>
          <w:p w14:paraId="4D2693CB">
            <w:pPr>
              <w:pStyle w:val="12"/>
            </w:pPr>
            <w:r>
              <w:t>2.完成大霍幼儿园餐厅设备购置，满足学校正常教学需要。</w:t>
            </w:r>
          </w:p>
        </w:tc>
      </w:tr>
    </w:tbl>
    <w:p w14:paraId="0984B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7D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92AE4">
            <w:pPr>
              <w:pStyle w:val="10"/>
            </w:pPr>
            <w:r>
              <w:t>一级指标</w:t>
            </w:r>
          </w:p>
        </w:tc>
        <w:tc>
          <w:tcPr>
            <w:tcW w:w="2268" w:type="dxa"/>
            <w:vAlign w:val="center"/>
          </w:tcPr>
          <w:p w14:paraId="5EDB98F7">
            <w:pPr>
              <w:pStyle w:val="10"/>
            </w:pPr>
            <w:r>
              <w:t>二级指标</w:t>
            </w:r>
          </w:p>
        </w:tc>
        <w:tc>
          <w:tcPr>
            <w:tcW w:w="2835" w:type="dxa"/>
            <w:vAlign w:val="center"/>
          </w:tcPr>
          <w:p w14:paraId="532C367C">
            <w:pPr>
              <w:pStyle w:val="10"/>
            </w:pPr>
            <w:r>
              <w:t>三级指标</w:t>
            </w:r>
          </w:p>
        </w:tc>
        <w:tc>
          <w:tcPr>
            <w:tcW w:w="5386" w:type="dxa"/>
            <w:vAlign w:val="center"/>
          </w:tcPr>
          <w:p w14:paraId="27D0B3A4">
            <w:pPr>
              <w:pStyle w:val="10"/>
            </w:pPr>
            <w:r>
              <w:t>绩效指标描述</w:t>
            </w:r>
          </w:p>
        </w:tc>
        <w:tc>
          <w:tcPr>
            <w:tcW w:w="2268" w:type="dxa"/>
            <w:vAlign w:val="center"/>
          </w:tcPr>
          <w:p w14:paraId="42430B8C">
            <w:pPr>
              <w:pStyle w:val="10"/>
            </w:pPr>
            <w:r>
              <w:t>指标值</w:t>
            </w:r>
          </w:p>
        </w:tc>
        <w:tc>
          <w:tcPr>
            <w:tcW w:w="1276" w:type="dxa"/>
            <w:vAlign w:val="center"/>
          </w:tcPr>
          <w:p w14:paraId="2F20F6E8">
            <w:pPr>
              <w:pStyle w:val="10"/>
            </w:pPr>
            <w:r>
              <w:t>指标值确定依据</w:t>
            </w:r>
          </w:p>
        </w:tc>
      </w:tr>
      <w:tr w14:paraId="77069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929B8">
            <w:pPr>
              <w:pStyle w:val="13"/>
            </w:pPr>
            <w:r>
              <w:t>产出指标</w:t>
            </w:r>
          </w:p>
        </w:tc>
        <w:tc>
          <w:tcPr>
            <w:tcW w:w="2268" w:type="dxa"/>
            <w:vAlign w:val="center"/>
          </w:tcPr>
          <w:p w14:paraId="72A82571">
            <w:pPr>
              <w:pStyle w:val="12"/>
            </w:pPr>
            <w:r>
              <w:t>数量指标</w:t>
            </w:r>
          </w:p>
        </w:tc>
        <w:tc>
          <w:tcPr>
            <w:tcW w:w="2835" w:type="dxa"/>
            <w:vAlign w:val="center"/>
          </w:tcPr>
          <w:p w14:paraId="3BF36C25">
            <w:pPr>
              <w:pStyle w:val="12"/>
            </w:pPr>
            <w:r>
              <w:t>大霍幼儿园餐厅设备购置</w:t>
            </w:r>
          </w:p>
        </w:tc>
        <w:tc>
          <w:tcPr>
            <w:tcW w:w="5386" w:type="dxa"/>
            <w:vAlign w:val="center"/>
          </w:tcPr>
          <w:p w14:paraId="3249A6E5">
            <w:pPr>
              <w:pStyle w:val="12"/>
            </w:pPr>
            <w:r>
              <w:t>餐厅设备电大锅等</w:t>
            </w:r>
          </w:p>
        </w:tc>
        <w:tc>
          <w:tcPr>
            <w:tcW w:w="2268" w:type="dxa"/>
            <w:vAlign w:val="center"/>
          </w:tcPr>
          <w:p w14:paraId="738A1587">
            <w:pPr>
              <w:pStyle w:val="12"/>
            </w:pPr>
            <w:r>
              <w:t>1项</w:t>
            </w:r>
          </w:p>
        </w:tc>
        <w:tc>
          <w:tcPr>
            <w:tcW w:w="1276" w:type="dxa"/>
            <w:vAlign w:val="center"/>
          </w:tcPr>
          <w:p w14:paraId="7145881A">
            <w:pPr>
              <w:pStyle w:val="12"/>
            </w:pPr>
            <w:r>
              <w:t>项目规划</w:t>
            </w:r>
          </w:p>
        </w:tc>
      </w:tr>
      <w:tr w14:paraId="7A86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4C047"/>
        </w:tc>
        <w:tc>
          <w:tcPr>
            <w:tcW w:w="2268" w:type="dxa"/>
            <w:vAlign w:val="center"/>
          </w:tcPr>
          <w:p w14:paraId="5814433B">
            <w:pPr>
              <w:pStyle w:val="12"/>
            </w:pPr>
            <w:r>
              <w:t>质量指标</w:t>
            </w:r>
          </w:p>
        </w:tc>
        <w:tc>
          <w:tcPr>
            <w:tcW w:w="2835" w:type="dxa"/>
            <w:vAlign w:val="center"/>
          </w:tcPr>
          <w:p w14:paraId="05412CCA">
            <w:pPr>
              <w:pStyle w:val="12"/>
            </w:pPr>
            <w:r>
              <w:t>资金支付率</w:t>
            </w:r>
          </w:p>
        </w:tc>
        <w:tc>
          <w:tcPr>
            <w:tcW w:w="5386" w:type="dxa"/>
            <w:vAlign w:val="center"/>
          </w:tcPr>
          <w:p w14:paraId="4DE7564E">
            <w:pPr>
              <w:pStyle w:val="12"/>
            </w:pPr>
            <w:r>
              <w:t>按照序时进度完成资金支付</w:t>
            </w:r>
          </w:p>
        </w:tc>
        <w:tc>
          <w:tcPr>
            <w:tcW w:w="2268" w:type="dxa"/>
            <w:vAlign w:val="center"/>
          </w:tcPr>
          <w:p w14:paraId="1C490C26">
            <w:pPr>
              <w:pStyle w:val="12"/>
            </w:pPr>
            <w:r>
              <w:t>100%</w:t>
            </w:r>
          </w:p>
        </w:tc>
        <w:tc>
          <w:tcPr>
            <w:tcW w:w="1276" w:type="dxa"/>
            <w:vAlign w:val="center"/>
          </w:tcPr>
          <w:p w14:paraId="44DEE841">
            <w:pPr>
              <w:pStyle w:val="12"/>
            </w:pPr>
            <w:r>
              <w:t>项目规划</w:t>
            </w:r>
          </w:p>
        </w:tc>
      </w:tr>
      <w:tr w14:paraId="70AE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B1046"/>
        </w:tc>
        <w:tc>
          <w:tcPr>
            <w:tcW w:w="2268" w:type="dxa"/>
            <w:vAlign w:val="center"/>
          </w:tcPr>
          <w:p w14:paraId="5B2D4167">
            <w:pPr>
              <w:pStyle w:val="12"/>
            </w:pPr>
            <w:r>
              <w:t>时效指标</w:t>
            </w:r>
          </w:p>
        </w:tc>
        <w:tc>
          <w:tcPr>
            <w:tcW w:w="2835" w:type="dxa"/>
            <w:vAlign w:val="center"/>
          </w:tcPr>
          <w:p w14:paraId="4567AAA3">
            <w:pPr>
              <w:pStyle w:val="12"/>
            </w:pPr>
            <w:r>
              <w:t>项目竣工验收合格率</w:t>
            </w:r>
          </w:p>
        </w:tc>
        <w:tc>
          <w:tcPr>
            <w:tcW w:w="5386" w:type="dxa"/>
            <w:vAlign w:val="center"/>
          </w:tcPr>
          <w:p w14:paraId="64A33F4B">
            <w:pPr>
              <w:pStyle w:val="12"/>
            </w:pPr>
            <w:r>
              <w:t>项目改造质量达标率</w:t>
            </w:r>
          </w:p>
        </w:tc>
        <w:tc>
          <w:tcPr>
            <w:tcW w:w="2268" w:type="dxa"/>
            <w:vAlign w:val="center"/>
          </w:tcPr>
          <w:p w14:paraId="2038C838">
            <w:pPr>
              <w:pStyle w:val="12"/>
            </w:pPr>
            <w:r>
              <w:t>100%</w:t>
            </w:r>
          </w:p>
        </w:tc>
        <w:tc>
          <w:tcPr>
            <w:tcW w:w="1276" w:type="dxa"/>
            <w:vAlign w:val="center"/>
          </w:tcPr>
          <w:p w14:paraId="445A4D50">
            <w:pPr>
              <w:pStyle w:val="12"/>
            </w:pPr>
            <w:r>
              <w:t>项目规划</w:t>
            </w:r>
          </w:p>
        </w:tc>
      </w:tr>
      <w:tr w14:paraId="5A6F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BFA06"/>
        </w:tc>
        <w:tc>
          <w:tcPr>
            <w:tcW w:w="2268" w:type="dxa"/>
            <w:vAlign w:val="center"/>
          </w:tcPr>
          <w:p w14:paraId="3D020C84">
            <w:pPr>
              <w:pStyle w:val="12"/>
            </w:pPr>
            <w:r>
              <w:t>成本指标</w:t>
            </w:r>
          </w:p>
        </w:tc>
        <w:tc>
          <w:tcPr>
            <w:tcW w:w="2835" w:type="dxa"/>
            <w:vAlign w:val="center"/>
          </w:tcPr>
          <w:p w14:paraId="4CBAC977">
            <w:pPr>
              <w:pStyle w:val="12"/>
            </w:pPr>
            <w:r>
              <w:t>项目实际成本</w:t>
            </w:r>
          </w:p>
        </w:tc>
        <w:tc>
          <w:tcPr>
            <w:tcW w:w="5386" w:type="dxa"/>
            <w:vAlign w:val="center"/>
          </w:tcPr>
          <w:p w14:paraId="418FA9BA">
            <w:pPr>
              <w:pStyle w:val="12"/>
            </w:pPr>
            <w:r>
              <w:t>餐厅设备电大锅等</w:t>
            </w:r>
          </w:p>
        </w:tc>
        <w:tc>
          <w:tcPr>
            <w:tcW w:w="2268" w:type="dxa"/>
            <w:vAlign w:val="center"/>
          </w:tcPr>
          <w:p w14:paraId="319190AA">
            <w:pPr>
              <w:pStyle w:val="12"/>
            </w:pPr>
            <w:r>
              <w:t>91350元</w:t>
            </w:r>
          </w:p>
        </w:tc>
        <w:tc>
          <w:tcPr>
            <w:tcW w:w="1276" w:type="dxa"/>
            <w:vAlign w:val="center"/>
          </w:tcPr>
          <w:p w14:paraId="453C44C4">
            <w:pPr>
              <w:pStyle w:val="12"/>
            </w:pPr>
            <w:r>
              <w:t>项目规划</w:t>
            </w:r>
          </w:p>
        </w:tc>
      </w:tr>
      <w:tr w14:paraId="517B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931EA">
            <w:pPr>
              <w:pStyle w:val="13"/>
            </w:pPr>
            <w:r>
              <w:t>效益指标</w:t>
            </w:r>
          </w:p>
        </w:tc>
        <w:tc>
          <w:tcPr>
            <w:tcW w:w="2268" w:type="dxa"/>
            <w:vAlign w:val="center"/>
          </w:tcPr>
          <w:p w14:paraId="56D056C0">
            <w:pPr>
              <w:pStyle w:val="12"/>
            </w:pPr>
            <w:r>
              <w:t>经济效益指标</w:t>
            </w:r>
          </w:p>
        </w:tc>
        <w:tc>
          <w:tcPr>
            <w:tcW w:w="2835" w:type="dxa"/>
            <w:vAlign w:val="center"/>
          </w:tcPr>
          <w:p w14:paraId="6E3294E1">
            <w:pPr>
              <w:pStyle w:val="12"/>
            </w:pPr>
            <w:r>
              <w:t>教育发展水平</w:t>
            </w:r>
          </w:p>
        </w:tc>
        <w:tc>
          <w:tcPr>
            <w:tcW w:w="5386" w:type="dxa"/>
            <w:vAlign w:val="center"/>
          </w:tcPr>
          <w:p w14:paraId="675CC65C">
            <w:pPr>
              <w:pStyle w:val="12"/>
            </w:pPr>
            <w:r>
              <w:t>辖区内教育环境明显好转</w:t>
            </w:r>
          </w:p>
        </w:tc>
        <w:tc>
          <w:tcPr>
            <w:tcW w:w="2268" w:type="dxa"/>
            <w:vAlign w:val="center"/>
          </w:tcPr>
          <w:p w14:paraId="156FB71D">
            <w:pPr>
              <w:pStyle w:val="12"/>
            </w:pPr>
            <w:r>
              <w:t>≥95%</w:t>
            </w:r>
          </w:p>
        </w:tc>
        <w:tc>
          <w:tcPr>
            <w:tcW w:w="1276" w:type="dxa"/>
            <w:vAlign w:val="center"/>
          </w:tcPr>
          <w:p w14:paraId="71397ED2">
            <w:pPr>
              <w:pStyle w:val="12"/>
            </w:pPr>
            <w:r>
              <w:t>项目规划</w:t>
            </w:r>
          </w:p>
        </w:tc>
      </w:tr>
      <w:tr w14:paraId="3E98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56357"/>
        </w:tc>
        <w:tc>
          <w:tcPr>
            <w:tcW w:w="2268" w:type="dxa"/>
            <w:vAlign w:val="center"/>
          </w:tcPr>
          <w:p w14:paraId="640C6603">
            <w:pPr>
              <w:pStyle w:val="12"/>
            </w:pPr>
            <w:r>
              <w:t>社会效益指标</w:t>
            </w:r>
          </w:p>
        </w:tc>
        <w:tc>
          <w:tcPr>
            <w:tcW w:w="2835" w:type="dxa"/>
            <w:vAlign w:val="center"/>
          </w:tcPr>
          <w:p w14:paraId="622C5193">
            <w:pPr>
              <w:pStyle w:val="12"/>
            </w:pPr>
            <w:r>
              <w:t>校园环境</w:t>
            </w:r>
          </w:p>
        </w:tc>
        <w:tc>
          <w:tcPr>
            <w:tcW w:w="5386" w:type="dxa"/>
            <w:vAlign w:val="center"/>
          </w:tcPr>
          <w:p w14:paraId="27DCD1CB">
            <w:pPr>
              <w:pStyle w:val="12"/>
            </w:pPr>
            <w:r>
              <w:t>办学条件和环境得到改善</w:t>
            </w:r>
          </w:p>
        </w:tc>
        <w:tc>
          <w:tcPr>
            <w:tcW w:w="2268" w:type="dxa"/>
            <w:vAlign w:val="center"/>
          </w:tcPr>
          <w:p w14:paraId="58C9C5D2">
            <w:pPr>
              <w:pStyle w:val="12"/>
            </w:pPr>
            <w:r>
              <w:t>≥95%</w:t>
            </w:r>
          </w:p>
        </w:tc>
        <w:tc>
          <w:tcPr>
            <w:tcW w:w="1276" w:type="dxa"/>
            <w:vAlign w:val="center"/>
          </w:tcPr>
          <w:p w14:paraId="7FA42886">
            <w:pPr>
              <w:pStyle w:val="12"/>
            </w:pPr>
            <w:r>
              <w:t>项目规划</w:t>
            </w:r>
          </w:p>
        </w:tc>
      </w:tr>
      <w:tr w14:paraId="790F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009FC">
            <w:pPr>
              <w:pStyle w:val="13"/>
            </w:pPr>
            <w:r>
              <w:t>满意度指标</w:t>
            </w:r>
          </w:p>
        </w:tc>
        <w:tc>
          <w:tcPr>
            <w:tcW w:w="2268" w:type="dxa"/>
            <w:vAlign w:val="center"/>
          </w:tcPr>
          <w:p w14:paraId="6CD252BD">
            <w:pPr>
              <w:pStyle w:val="12"/>
            </w:pPr>
            <w:r>
              <w:t>服务对象满意度指标</w:t>
            </w:r>
          </w:p>
        </w:tc>
        <w:tc>
          <w:tcPr>
            <w:tcW w:w="2835" w:type="dxa"/>
            <w:vAlign w:val="center"/>
          </w:tcPr>
          <w:p w14:paraId="69C5A8DB">
            <w:pPr>
              <w:pStyle w:val="12"/>
            </w:pPr>
            <w:r>
              <w:t>受益学生家长及调查满意度</w:t>
            </w:r>
          </w:p>
        </w:tc>
        <w:tc>
          <w:tcPr>
            <w:tcW w:w="5386" w:type="dxa"/>
            <w:vAlign w:val="center"/>
          </w:tcPr>
          <w:p w14:paraId="14EC9BE4">
            <w:pPr>
              <w:pStyle w:val="12"/>
            </w:pPr>
            <w:r>
              <w:t>学生、教师及家长对学校工作满意度情况</w:t>
            </w:r>
          </w:p>
        </w:tc>
        <w:tc>
          <w:tcPr>
            <w:tcW w:w="2268" w:type="dxa"/>
            <w:vAlign w:val="center"/>
          </w:tcPr>
          <w:p w14:paraId="776DFB97">
            <w:pPr>
              <w:pStyle w:val="12"/>
            </w:pPr>
            <w:r>
              <w:t>≥95%</w:t>
            </w:r>
          </w:p>
        </w:tc>
        <w:tc>
          <w:tcPr>
            <w:tcW w:w="1276" w:type="dxa"/>
            <w:vAlign w:val="center"/>
          </w:tcPr>
          <w:p w14:paraId="4AFE677C">
            <w:pPr>
              <w:pStyle w:val="12"/>
            </w:pPr>
            <w:r>
              <w:t>调查问卷</w:t>
            </w:r>
          </w:p>
        </w:tc>
      </w:tr>
    </w:tbl>
    <w:p w14:paraId="1A638EF0">
      <w:pPr>
        <w:sectPr>
          <w:pgSz w:w="16840" w:h="11900" w:orient="landscape"/>
          <w:pgMar w:top="1361" w:right="1020" w:bottom="1134" w:left="1020" w:header="720" w:footer="720" w:gutter="0"/>
          <w:cols w:space="720" w:num="1"/>
        </w:sectPr>
      </w:pPr>
    </w:p>
    <w:p w14:paraId="506D24BB">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3、冀财教[2025]121号/中央/2026年义教补助经费/尹村校区大霍小学公用经费绩效目标表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0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16B37">
            <w:pPr>
              <w:pStyle w:val="11"/>
            </w:pPr>
            <w:r>
              <w:t>单位：万元</w:t>
            </w:r>
          </w:p>
        </w:tc>
      </w:tr>
      <w:tr w14:paraId="79882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AB950">
            <w:pPr>
              <w:pStyle w:val="10"/>
            </w:pPr>
            <w:r>
              <w:t>项目编码</w:t>
            </w:r>
          </w:p>
        </w:tc>
        <w:tc>
          <w:tcPr>
            <w:tcW w:w="5103" w:type="dxa"/>
            <w:gridSpan w:val="2"/>
            <w:vAlign w:val="center"/>
          </w:tcPr>
          <w:p w14:paraId="05705895">
            <w:pPr>
              <w:pStyle w:val="12"/>
            </w:pPr>
            <w:r>
              <w:t>13052526P00000410296H</w:t>
            </w:r>
          </w:p>
        </w:tc>
        <w:tc>
          <w:tcPr>
            <w:tcW w:w="2835" w:type="dxa"/>
            <w:vAlign w:val="center"/>
          </w:tcPr>
          <w:p w14:paraId="4497B5CC">
            <w:pPr>
              <w:pStyle w:val="10"/>
            </w:pPr>
            <w:r>
              <w:t>项目名称</w:t>
            </w:r>
          </w:p>
        </w:tc>
        <w:tc>
          <w:tcPr>
            <w:tcW w:w="6095" w:type="dxa"/>
            <w:gridSpan w:val="3"/>
            <w:vAlign w:val="center"/>
          </w:tcPr>
          <w:p w14:paraId="4A268B99">
            <w:pPr>
              <w:pStyle w:val="12"/>
            </w:pPr>
            <w:r>
              <w:t>冀财教[2025]121号/中央/2026年义教补助经费/尹村校区大霍小学公用经费</w:t>
            </w:r>
          </w:p>
        </w:tc>
      </w:tr>
      <w:tr w14:paraId="5D690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11C45">
            <w:pPr>
              <w:pStyle w:val="10"/>
            </w:pPr>
            <w:r>
              <w:t>预算规模及资金用途</w:t>
            </w:r>
          </w:p>
        </w:tc>
        <w:tc>
          <w:tcPr>
            <w:tcW w:w="2268" w:type="dxa"/>
            <w:vAlign w:val="center"/>
          </w:tcPr>
          <w:p w14:paraId="5E4C7530">
            <w:pPr>
              <w:pStyle w:val="10"/>
            </w:pPr>
            <w:r>
              <w:t>预算数</w:t>
            </w:r>
          </w:p>
        </w:tc>
        <w:tc>
          <w:tcPr>
            <w:tcW w:w="2835" w:type="dxa"/>
            <w:vAlign w:val="center"/>
          </w:tcPr>
          <w:p w14:paraId="2B4CD5B8">
            <w:pPr>
              <w:pStyle w:val="12"/>
            </w:pPr>
            <w:r>
              <w:t>67.18</w:t>
            </w:r>
          </w:p>
        </w:tc>
        <w:tc>
          <w:tcPr>
            <w:tcW w:w="2835" w:type="dxa"/>
            <w:vAlign w:val="center"/>
          </w:tcPr>
          <w:p w14:paraId="2F13BB3D">
            <w:pPr>
              <w:pStyle w:val="10"/>
            </w:pPr>
            <w:r>
              <w:t>其中：财政    资金</w:t>
            </w:r>
          </w:p>
        </w:tc>
        <w:tc>
          <w:tcPr>
            <w:tcW w:w="2551" w:type="dxa"/>
            <w:vAlign w:val="center"/>
          </w:tcPr>
          <w:p w14:paraId="3F90C207">
            <w:pPr>
              <w:pStyle w:val="12"/>
            </w:pPr>
            <w:r>
              <w:t>67.18</w:t>
            </w:r>
          </w:p>
        </w:tc>
        <w:tc>
          <w:tcPr>
            <w:tcW w:w="2268" w:type="dxa"/>
            <w:vAlign w:val="center"/>
          </w:tcPr>
          <w:p w14:paraId="2BBA598C">
            <w:pPr>
              <w:pStyle w:val="10"/>
            </w:pPr>
            <w:r>
              <w:t>其他资金</w:t>
            </w:r>
          </w:p>
        </w:tc>
        <w:tc>
          <w:tcPr>
            <w:tcW w:w="1276" w:type="dxa"/>
            <w:vAlign w:val="center"/>
          </w:tcPr>
          <w:p w14:paraId="1DEFD3A0">
            <w:pPr>
              <w:pStyle w:val="12"/>
            </w:pPr>
            <w:r>
              <w:t xml:space="preserve"> </w:t>
            </w:r>
          </w:p>
        </w:tc>
      </w:tr>
      <w:tr w14:paraId="54C9D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5F940"/>
        </w:tc>
        <w:tc>
          <w:tcPr>
            <w:tcW w:w="14033" w:type="dxa"/>
            <w:gridSpan w:val="6"/>
            <w:vAlign w:val="center"/>
          </w:tcPr>
          <w:p w14:paraId="430E48BE">
            <w:pPr>
              <w:pStyle w:val="12"/>
            </w:pPr>
            <w:r>
              <w:t>保障学校正常运转，完成各项教育教学活动和其他日常工作任务等方面的费用支出。</w:t>
            </w:r>
          </w:p>
        </w:tc>
      </w:tr>
      <w:tr w14:paraId="696CF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41B92">
            <w:pPr>
              <w:pStyle w:val="10"/>
            </w:pPr>
            <w:r>
              <w:t>资金支出计划（%）</w:t>
            </w:r>
          </w:p>
        </w:tc>
        <w:tc>
          <w:tcPr>
            <w:tcW w:w="5103" w:type="dxa"/>
            <w:gridSpan w:val="2"/>
            <w:vAlign w:val="center"/>
          </w:tcPr>
          <w:p w14:paraId="56288332">
            <w:pPr>
              <w:pStyle w:val="10"/>
            </w:pPr>
            <w:r>
              <w:t>3月底</w:t>
            </w:r>
          </w:p>
        </w:tc>
        <w:tc>
          <w:tcPr>
            <w:tcW w:w="2835" w:type="dxa"/>
            <w:vAlign w:val="center"/>
          </w:tcPr>
          <w:p w14:paraId="5682B6C6">
            <w:pPr>
              <w:pStyle w:val="10"/>
            </w:pPr>
            <w:r>
              <w:t>6月底</w:t>
            </w:r>
          </w:p>
        </w:tc>
        <w:tc>
          <w:tcPr>
            <w:tcW w:w="2551" w:type="dxa"/>
            <w:vAlign w:val="center"/>
          </w:tcPr>
          <w:p w14:paraId="38D09EDF">
            <w:pPr>
              <w:pStyle w:val="10"/>
            </w:pPr>
            <w:r>
              <w:t>10月底</w:t>
            </w:r>
          </w:p>
        </w:tc>
        <w:tc>
          <w:tcPr>
            <w:tcW w:w="3544" w:type="dxa"/>
            <w:gridSpan w:val="2"/>
            <w:vAlign w:val="center"/>
          </w:tcPr>
          <w:p w14:paraId="0FC72455">
            <w:pPr>
              <w:pStyle w:val="10"/>
            </w:pPr>
            <w:r>
              <w:t>12月底</w:t>
            </w:r>
          </w:p>
        </w:tc>
      </w:tr>
      <w:tr w14:paraId="07FD6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19F11"/>
        </w:tc>
        <w:tc>
          <w:tcPr>
            <w:tcW w:w="5103" w:type="dxa"/>
            <w:gridSpan w:val="2"/>
            <w:vAlign w:val="center"/>
          </w:tcPr>
          <w:p w14:paraId="5D992A2C">
            <w:pPr>
              <w:pStyle w:val="13"/>
            </w:pPr>
            <w:r>
              <w:t>25%</w:t>
            </w:r>
          </w:p>
        </w:tc>
        <w:tc>
          <w:tcPr>
            <w:tcW w:w="2835" w:type="dxa"/>
            <w:vAlign w:val="center"/>
          </w:tcPr>
          <w:p w14:paraId="78FCAFBB">
            <w:pPr>
              <w:pStyle w:val="13"/>
            </w:pPr>
            <w:r>
              <w:t>50%</w:t>
            </w:r>
          </w:p>
        </w:tc>
        <w:tc>
          <w:tcPr>
            <w:tcW w:w="2551" w:type="dxa"/>
            <w:vAlign w:val="center"/>
          </w:tcPr>
          <w:p w14:paraId="16FD8FFC">
            <w:pPr>
              <w:pStyle w:val="13"/>
            </w:pPr>
            <w:r>
              <w:t>75%</w:t>
            </w:r>
          </w:p>
        </w:tc>
        <w:tc>
          <w:tcPr>
            <w:tcW w:w="3544" w:type="dxa"/>
            <w:gridSpan w:val="2"/>
            <w:vAlign w:val="center"/>
          </w:tcPr>
          <w:p w14:paraId="11BA384C">
            <w:pPr>
              <w:pStyle w:val="13"/>
            </w:pPr>
            <w:r>
              <w:t>100%</w:t>
            </w:r>
          </w:p>
        </w:tc>
      </w:tr>
      <w:tr w14:paraId="58D14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EE225">
            <w:pPr>
              <w:pStyle w:val="10"/>
            </w:pPr>
            <w:r>
              <w:t>绩效目标</w:t>
            </w:r>
          </w:p>
        </w:tc>
        <w:tc>
          <w:tcPr>
            <w:tcW w:w="14033" w:type="dxa"/>
            <w:gridSpan w:val="6"/>
            <w:vAlign w:val="center"/>
          </w:tcPr>
          <w:p w14:paraId="5A0BB8B0">
            <w:pPr>
              <w:pStyle w:val="12"/>
            </w:pPr>
            <w:r>
              <w:t>1.按季度分批次拨付公用经费资金，资金拨付率达到100%。</w:t>
            </w:r>
          </w:p>
          <w:p w14:paraId="4B4FFB5B">
            <w:pPr>
              <w:pStyle w:val="12"/>
            </w:pPr>
            <w:r>
              <w:t>2.保障学校正常运转，完成各项教育教学活动和其他日常工作任务等方面的费用支出。</w:t>
            </w:r>
          </w:p>
        </w:tc>
      </w:tr>
    </w:tbl>
    <w:p w14:paraId="4CF97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E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4707A">
            <w:pPr>
              <w:pStyle w:val="10"/>
            </w:pPr>
            <w:r>
              <w:t>一级指标</w:t>
            </w:r>
          </w:p>
        </w:tc>
        <w:tc>
          <w:tcPr>
            <w:tcW w:w="2268" w:type="dxa"/>
            <w:vAlign w:val="center"/>
          </w:tcPr>
          <w:p w14:paraId="415A5AF9">
            <w:pPr>
              <w:pStyle w:val="10"/>
            </w:pPr>
            <w:r>
              <w:t>二级指标</w:t>
            </w:r>
          </w:p>
        </w:tc>
        <w:tc>
          <w:tcPr>
            <w:tcW w:w="2835" w:type="dxa"/>
            <w:vAlign w:val="center"/>
          </w:tcPr>
          <w:p w14:paraId="411602C3">
            <w:pPr>
              <w:pStyle w:val="10"/>
            </w:pPr>
            <w:r>
              <w:t>三级指标</w:t>
            </w:r>
          </w:p>
        </w:tc>
        <w:tc>
          <w:tcPr>
            <w:tcW w:w="5386" w:type="dxa"/>
            <w:vAlign w:val="center"/>
          </w:tcPr>
          <w:p w14:paraId="733F6C5B">
            <w:pPr>
              <w:pStyle w:val="10"/>
            </w:pPr>
            <w:r>
              <w:t>绩效指标描述</w:t>
            </w:r>
          </w:p>
        </w:tc>
        <w:tc>
          <w:tcPr>
            <w:tcW w:w="2268" w:type="dxa"/>
            <w:vAlign w:val="center"/>
          </w:tcPr>
          <w:p w14:paraId="3FBF347B">
            <w:pPr>
              <w:pStyle w:val="10"/>
            </w:pPr>
            <w:r>
              <w:t>指标值</w:t>
            </w:r>
          </w:p>
        </w:tc>
        <w:tc>
          <w:tcPr>
            <w:tcW w:w="1276" w:type="dxa"/>
            <w:vAlign w:val="center"/>
          </w:tcPr>
          <w:p w14:paraId="69F83D96">
            <w:pPr>
              <w:pStyle w:val="10"/>
            </w:pPr>
            <w:r>
              <w:t>指标值确定依据</w:t>
            </w:r>
          </w:p>
        </w:tc>
      </w:tr>
      <w:tr w14:paraId="4E27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D2370">
            <w:pPr>
              <w:pStyle w:val="13"/>
            </w:pPr>
            <w:r>
              <w:t>产出指标</w:t>
            </w:r>
          </w:p>
        </w:tc>
        <w:tc>
          <w:tcPr>
            <w:tcW w:w="2268" w:type="dxa"/>
            <w:vAlign w:val="center"/>
          </w:tcPr>
          <w:p w14:paraId="6C94E8CF">
            <w:pPr>
              <w:pStyle w:val="12"/>
            </w:pPr>
            <w:r>
              <w:t>数量指标</w:t>
            </w:r>
          </w:p>
        </w:tc>
        <w:tc>
          <w:tcPr>
            <w:tcW w:w="2835" w:type="dxa"/>
            <w:vAlign w:val="center"/>
          </w:tcPr>
          <w:p w14:paraId="0F53CA51">
            <w:pPr>
              <w:pStyle w:val="12"/>
            </w:pPr>
            <w:r>
              <w:t>就读学生数</w:t>
            </w:r>
          </w:p>
        </w:tc>
        <w:tc>
          <w:tcPr>
            <w:tcW w:w="5386" w:type="dxa"/>
            <w:vAlign w:val="center"/>
          </w:tcPr>
          <w:p w14:paraId="601331A3">
            <w:pPr>
              <w:pStyle w:val="12"/>
            </w:pPr>
            <w:r>
              <w:t>辐射区域内适龄学生人数</w:t>
            </w:r>
          </w:p>
        </w:tc>
        <w:tc>
          <w:tcPr>
            <w:tcW w:w="2268" w:type="dxa"/>
            <w:vAlign w:val="center"/>
          </w:tcPr>
          <w:p w14:paraId="651CBBEC">
            <w:pPr>
              <w:pStyle w:val="12"/>
            </w:pPr>
            <w:r>
              <w:t>1068人</w:t>
            </w:r>
          </w:p>
        </w:tc>
        <w:tc>
          <w:tcPr>
            <w:tcW w:w="1276" w:type="dxa"/>
            <w:vAlign w:val="center"/>
          </w:tcPr>
          <w:p w14:paraId="5FFAD1F8">
            <w:pPr>
              <w:pStyle w:val="12"/>
            </w:pPr>
            <w:r>
              <w:t>城乡义务教育公用经费管理办法</w:t>
            </w:r>
          </w:p>
        </w:tc>
      </w:tr>
      <w:tr w14:paraId="3FDC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91C50"/>
        </w:tc>
        <w:tc>
          <w:tcPr>
            <w:tcW w:w="2268" w:type="dxa"/>
            <w:vAlign w:val="center"/>
          </w:tcPr>
          <w:p w14:paraId="2FB53846">
            <w:pPr>
              <w:pStyle w:val="12"/>
            </w:pPr>
            <w:r>
              <w:t>质量指标</w:t>
            </w:r>
          </w:p>
        </w:tc>
        <w:tc>
          <w:tcPr>
            <w:tcW w:w="2835" w:type="dxa"/>
            <w:vAlign w:val="center"/>
          </w:tcPr>
          <w:p w14:paraId="019411FA">
            <w:pPr>
              <w:pStyle w:val="12"/>
            </w:pPr>
            <w:r>
              <w:t>预算执行率</w:t>
            </w:r>
          </w:p>
        </w:tc>
        <w:tc>
          <w:tcPr>
            <w:tcW w:w="5386" w:type="dxa"/>
            <w:vAlign w:val="center"/>
          </w:tcPr>
          <w:p w14:paraId="61F83B9A">
            <w:pPr>
              <w:pStyle w:val="12"/>
            </w:pPr>
            <w:r>
              <w:t>预算执行率</w:t>
            </w:r>
          </w:p>
        </w:tc>
        <w:tc>
          <w:tcPr>
            <w:tcW w:w="2268" w:type="dxa"/>
            <w:vAlign w:val="center"/>
          </w:tcPr>
          <w:p w14:paraId="158BF945">
            <w:pPr>
              <w:pStyle w:val="12"/>
            </w:pPr>
            <w:r>
              <w:t>≥95%</w:t>
            </w:r>
          </w:p>
        </w:tc>
        <w:tc>
          <w:tcPr>
            <w:tcW w:w="1276" w:type="dxa"/>
            <w:vAlign w:val="center"/>
          </w:tcPr>
          <w:p w14:paraId="30F0D003">
            <w:pPr>
              <w:pStyle w:val="12"/>
            </w:pPr>
            <w:r>
              <w:t>城乡义务教育公用经费管理办法</w:t>
            </w:r>
          </w:p>
        </w:tc>
      </w:tr>
      <w:tr w14:paraId="4C53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FA9B"/>
        </w:tc>
        <w:tc>
          <w:tcPr>
            <w:tcW w:w="2268" w:type="dxa"/>
            <w:vAlign w:val="center"/>
          </w:tcPr>
          <w:p w14:paraId="43B9EF86">
            <w:pPr>
              <w:pStyle w:val="12"/>
            </w:pPr>
            <w:r>
              <w:t>时效指标</w:t>
            </w:r>
          </w:p>
        </w:tc>
        <w:tc>
          <w:tcPr>
            <w:tcW w:w="2835" w:type="dxa"/>
            <w:vAlign w:val="center"/>
          </w:tcPr>
          <w:p w14:paraId="3E43665E">
            <w:pPr>
              <w:pStyle w:val="12"/>
            </w:pPr>
            <w:r>
              <w:t>义教经费支付完成率</w:t>
            </w:r>
          </w:p>
        </w:tc>
        <w:tc>
          <w:tcPr>
            <w:tcW w:w="5386" w:type="dxa"/>
            <w:vAlign w:val="center"/>
          </w:tcPr>
          <w:p w14:paraId="68ACBA7B">
            <w:pPr>
              <w:pStyle w:val="12"/>
            </w:pPr>
            <w:r>
              <w:t>按照序时进度完成资金支付</w:t>
            </w:r>
          </w:p>
        </w:tc>
        <w:tc>
          <w:tcPr>
            <w:tcW w:w="2268" w:type="dxa"/>
            <w:vAlign w:val="center"/>
          </w:tcPr>
          <w:p w14:paraId="7CFC1438">
            <w:pPr>
              <w:pStyle w:val="12"/>
            </w:pPr>
            <w:r>
              <w:t>100%</w:t>
            </w:r>
          </w:p>
        </w:tc>
        <w:tc>
          <w:tcPr>
            <w:tcW w:w="1276" w:type="dxa"/>
            <w:vAlign w:val="center"/>
          </w:tcPr>
          <w:p w14:paraId="36DB7F33">
            <w:pPr>
              <w:pStyle w:val="12"/>
            </w:pPr>
            <w:r>
              <w:t>城乡义务教育公用经费管理办法</w:t>
            </w:r>
          </w:p>
        </w:tc>
      </w:tr>
      <w:tr w14:paraId="520E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1CB40"/>
        </w:tc>
        <w:tc>
          <w:tcPr>
            <w:tcW w:w="2268" w:type="dxa"/>
            <w:vAlign w:val="center"/>
          </w:tcPr>
          <w:p w14:paraId="3325A8B2">
            <w:pPr>
              <w:pStyle w:val="12"/>
            </w:pPr>
            <w:r>
              <w:t>成本指标</w:t>
            </w:r>
          </w:p>
        </w:tc>
        <w:tc>
          <w:tcPr>
            <w:tcW w:w="2835" w:type="dxa"/>
            <w:vAlign w:val="center"/>
          </w:tcPr>
          <w:p w14:paraId="7E2BE8BA">
            <w:pPr>
              <w:pStyle w:val="12"/>
            </w:pPr>
            <w:r>
              <w:t>生均拨款标准</w:t>
            </w:r>
          </w:p>
        </w:tc>
        <w:tc>
          <w:tcPr>
            <w:tcW w:w="5386" w:type="dxa"/>
            <w:vAlign w:val="center"/>
          </w:tcPr>
          <w:p w14:paraId="585902A4">
            <w:pPr>
              <w:pStyle w:val="12"/>
            </w:pPr>
            <w:r>
              <w:t>小学生公用经费生均公用经费基准定额为720元/年/生，取暖费120元/年/生，住宿生补助300元/年/生的标准，随班就读学生补助7000元/生/年</w:t>
            </w:r>
          </w:p>
        </w:tc>
        <w:tc>
          <w:tcPr>
            <w:tcW w:w="2268" w:type="dxa"/>
            <w:vAlign w:val="center"/>
          </w:tcPr>
          <w:p w14:paraId="1D171844">
            <w:pPr>
              <w:pStyle w:val="12"/>
            </w:pPr>
            <w:r>
              <w:t>840元</w:t>
            </w:r>
          </w:p>
        </w:tc>
        <w:tc>
          <w:tcPr>
            <w:tcW w:w="1276" w:type="dxa"/>
            <w:vAlign w:val="center"/>
          </w:tcPr>
          <w:p w14:paraId="3F3C2D3A">
            <w:pPr>
              <w:pStyle w:val="12"/>
            </w:pPr>
            <w:r>
              <w:t>城乡义务教育公用经费管理办法</w:t>
            </w:r>
          </w:p>
        </w:tc>
      </w:tr>
      <w:tr w14:paraId="6AF9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57D46">
            <w:pPr>
              <w:pStyle w:val="13"/>
            </w:pPr>
            <w:r>
              <w:t>效益指标</w:t>
            </w:r>
          </w:p>
        </w:tc>
        <w:tc>
          <w:tcPr>
            <w:tcW w:w="2268" w:type="dxa"/>
            <w:vAlign w:val="center"/>
          </w:tcPr>
          <w:p w14:paraId="4458F68D">
            <w:pPr>
              <w:pStyle w:val="12"/>
            </w:pPr>
            <w:r>
              <w:t>社会效益指标</w:t>
            </w:r>
          </w:p>
        </w:tc>
        <w:tc>
          <w:tcPr>
            <w:tcW w:w="2835" w:type="dxa"/>
            <w:vAlign w:val="center"/>
          </w:tcPr>
          <w:p w14:paraId="6F679AC7">
            <w:pPr>
              <w:pStyle w:val="12"/>
            </w:pPr>
            <w:r>
              <w:t>学校运转得到提高</w:t>
            </w:r>
          </w:p>
        </w:tc>
        <w:tc>
          <w:tcPr>
            <w:tcW w:w="5386" w:type="dxa"/>
            <w:vAlign w:val="center"/>
          </w:tcPr>
          <w:p w14:paraId="3D5F379F">
            <w:pPr>
              <w:pStyle w:val="12"/>
            </w:pPr>
            <w:r>
              <w:t>学生受教育年限</w:t>
            </w:r>
          </w:p>
        </w:tc>
        <w:tc>
          <w:tcPr>
            <w:tcW w:w="2268" w:type="dxa"/>
            <w:vAlign w:val="center"/>
          </w:tcPr>
          <w:p w14:paraId="5D5B9885">
            <w:pPr>
              <w:pStyle w:val="12"/>
            </w:pPr>
            <w:r>
              <w:t>6年</w:t>
            </w:r>
          </w:p>
        </w:tc>
        <w:tc>
          <w:tcPr>
            <w:tcW w:w="1276" w:type="dxa"/>
            <w:vAlign w:val="center"/>
          </w:tcPr>
          <w:p w14:paraId="547C3DB7">
            <w:pPr>
              <w:pStyle w:val="12"/>
            </w:pPr>
            <w:r>
              <w:t>城乡义务教育公用经费管理办法</w:t>
            </w:r>
          </w:p>
        </w:tc>
      </w:tr>
      <w:tr w14:paraId="602DD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C1E26">
            <w:pPr>
              <w:pStyle w:val="13"/>
            </w:pPr>
            <w:r>
              <w:t>满意度指标</w:t>
            </w:r>
          </w:p>
        </w:tc>
        <w:tc>
          <w:tcPr>
            <w:tcW w:w="2268" w:type="dxa"/>
            <w:vAlign w:val="center"/>
          </w:tcPr>
          <w:p w14:paraId="679EF535">
            <w:pPr>
              <w:pStyle w:val="12"/>
            </w:pPr>
            <w:r>
              <w:t>服务对象满意度指标</w:t>
            </w:r>
          </w:p>
        </w:tc>
        <w:tc>
          <w:tcPr>
            <w:tcW w:w="2835" w:type="dxa"/>
            <w:vAlign w:val="center"/>
          </w:tcPr>
          <w:p w14:paraId="334D788F">
            <w:pPr>
              <w:pStyle w:val="12"/>
            </w:pPr>
            <w:r>
              <w:t>服务对象满意度</w:t>
            </w:r>
          </w:p>
        </w:tc>
        <w:tc>
          <w:tcPr>
            <w:tcW w:w="5386" w:type="dxa"/>
            <w:vAlign w:val="center"/>
          </w:tcPr>
          <w:p w14:paraId="5B66ABE8">
            <w:pPr>
              <w:pStyle w:val="12"/>
            </w:pPr>
            <w:r>
              <w:t>学校老师和学生满意度</w:t>
            </w:r>
          </w:p>
        </w:tc>
        <w:tc>
          <w:tcPr>
            <w:tcW w:w="2268" w:type="dxa"/>
            <w:vAlign w:val="center"/>
          </w:tcPr>
          <w:p w14:paraId="5AA49CF8">
            <w:pPr>
              <w:pStyle w:val="12"/>
            </w:pPr>
            <w:r>
              <w:t>≥95%</w:t>
            </w:r>
          </w:p>
        </w:tc>
        <w:tc>
          <w:tcPr>
            <w:tcW w:w="1276" w:type="dxa"/>
            <w:vAlign w:val="center"/>
          </w:tcPr>
          <w:p w14:paraId="5FCE968B">
            <w:pPr>
              <w:pStyle w:val="12"/>
            </w:pPr>
            <w:r>
              <w:t>群众测评</w:t>
            </w:r>
          </w:p>
        </w:tc>
      </w:tr>
    </w:tbl>
    <w:p w14:paraId="578AEA21">
      <w:pPr>
        <w:sectPr>
          <w:pgSz w:w="16840" w:h="11900" w:orient="landscape"/>
          <w:pgMar w:top="1361" w:right="1020" w:bottom="1134" w:left="1020" w:header="720" w:footer="720" w:gutter="0"/>
          <w:cols w:space="720" w:num="1"/>
        </w:sectPr>
      </w:pPr>
    </w:p>
    <w:p w14:paraId="61FF316C">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4、冀财教[2025]121号/中央/2026年义教补助经费/尹村校区大宁甫小学公用经费绩效目标表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8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F6FD2">
            <w:pPr>
              <w:pStyle w:val="11"/>
            </w:pPr>
            <w:r>
              <w:t>单位：万元</w:t>
            </w:r>
          </w:p>
        </w:tc>
      </w:tr>
      <w:tr w14:paraId="0A2A4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78A9A">
            <w:pPr>
              <w:pStyle w:val="10"/>
            </w:pPr>
            <w:r>
              <w:t>项目编码</w:t>
            </w:r>
          </w:p>
        </w:tc>
        <w:tc>
          <w:tcPr>
            <w:tcW w:w="5103" w:type="dxa"/>
            <w:gridSpan w:val="2"/>
            <w:vAlign w:val="center"/>
          </w:tcPr>
          <w:p w14:paraId="2EDBFAB1">
            <w:pPr>
              <w:pStyle w:val="12"/>
            </w:pPr>
            <w:r>
              <w:t>13052526P00000410295X</w:t>
            </w:r>
          </w:p>
        </w:tc>
        <w:tc>
          <w:tcPr>
            <w:tcW w:w="2835" w:type="dxa"/>
            <w:vAlign w:val="center"/>
          </w:tcPr>
          <w:p w14:paraId="3F42B9C6">
            <w:pPr>
              <w:pStyle w:val="10"/>
            </w:pPr>
            <w:r>
              <w:t>项目名称</w:t>
            </w:r>
          </w:p>
        </w:tc>
        <w:tc>
          <w:tcPr>
            <w:tcW w:w="6095" w:type="dxa"/>
            <w:gridSpan w:val="3"/>
            <w:vAlign w:val="center"/>
          </w:tcPr>
          <w:p w14:paraId="1617A55F">
            <w:pPr>
              <w:pStyle w:val="12"/>
            </w:pPr>
            <w:r>
              <w:t>冀财教[2025]121号/中央/2026年义教补助经费/尹村校区大宁甫小学公用经费</w:t>
            </w:r>
          </w:p>
        </w:tc>
      </w:tr>
      <w:tr w14:paraId="3CCE5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8FA9B">
            <w:pPr>
              <w:pStyle w:val="10"/>
            </w:pPr>
            <w:r>
              <w:t>预算规模及资金用途</w:t>
            </w:r>
          </w:p>
        </w:tc>
        <w:tc>
          <w:tcPr>
            <w:tcW w:w="2268" w:type="dxa"/>
            <w:vAlign w:val="center"/>
          </w:tcPr>
          <w:p w14:paraId="3CDB88EA">
            <w:pPr>
              <w:pStyle w:val="10"/>
            </w:pPr>
            <w:r>
              <w:t>预算数</w:t>
            </w:r>
          </w:p>
        </w:tc>
        <w:tc>
          <w:tcPr>
            <w:tcW w:w="2835" w:type="dxa"/>
            <w:vAlign w:val="center"/>
          </w:tcPr>
          <w:p w14:paraId="7065A821">
            <w:pPr>
              <w:pStyle w:val="12"/>
            </w:pPr>
            <w:r>
              <w:t>31.15</w:t>
            </w:r>
          </w:p>
        </w:tc>
        <w:tc>
          <w:tcPr>
            <w:tcW w:w="2835" w:type="dxa"/>
            <w:vAlign w:val="center"/>
          </w:tcPr>
          <w:p w14:paraId="527DD1CA">
            <w:pPr>
              <w:pStyle w:val="10"/>
            </w:pPr>
            <w:r>
              <w:t>其中：财政    资金</w:t>
            </w:r>
          </w:p>
        </w:tc>
        <w:tc>
          <w:tcPr>
            <w:tcW w:w="2551" w:type="dxa"/>
            <w:vAlign w:val="center"/>
          </w:tcPr>
          <w:p w14:paraId="55464FD3">
            <w:pPr>
              <w:pStyle w:val="12"/>
            </w:pPr>
            <w:r>
              <w:t>31.15</w:t>
            </w:r>
          </w:p>
        </w:tc>
        <w:tc>
          <w:tcPr>
            <w:tcW w:w="2268" w:type="dxa"/>
            <w:vAlign w:val="center"/>
          </w:tcPr>
          <w:p w14:paraId="24268D7C">
            <w:pPr>
              <w:pStyle w:val="10"/>
            </w:pPr>
            <w:r>
              <w:t>其他资金</w:t>
            </w:r>
          </w:p>
        </w:tc>
        <w:tc>
          <w:tcPr>
            <w:tcW w:w="1276" w:type="dxa"/>
            <w:vAlign w:val="center"/>
          </w:tcPr>
          <w:p w14:paraId="2E2AD3D8">
            <w:pPr>
              <w:pStyle w:val="12"/>
            </w:pPr>
            <w:r>
              <w:t xml:space="preserve"> </w:t>
            </w:r>
          </w:p>
        </w:tc>
      </w:tr>
      <w:tr w14:paraId="37B7E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8C700"/>
        </w:tc>
        <w:tc>
          <w:tcPr>
            <w:tcW w:w="14033" w:type="dxa"/>
            <w:gridSpan w:val="6"/>
            <w:vAlign w:val="center"/>
          </w:tcPr>
          <w:p w14:paraId="0A13264B">
            <w:pPr>
              <w:pStyle w:val="12"/>
            </w:pPr>
            <w:r>
              <w:t>保障学校正常运转，完成各项教育教学活动和其他日常工作任务等方面的费用支出。</w:t>
            </w:r>
            <w:r>
              <w:tab/>
            </w:r>
            <w:r>
              <w:tab/>
            </w:r>
            <w:r>
              <w:tab/>
            </w:r>
            <w:r>
              <w:tab/>
            </w:r>
            <w:r>
              <w:tab/>
            </w:r>
            <w:r>
              <w:tab/>
            </w:r>
          </w:p>
          <w:p w14:paraId="44F65882">
            <w:pPr>
              <w:pStyle w:val="12"/>
            </w:pPr>
          </w:p>
        </w:tc>
      </w:tr>
      <w:tr w14:paraId="06DC8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4A855">
            <w:pPr>
              <w:pStyle w:val="10"/>
            </w:pPr>
            <w:r>
              <w:t>资金支出计划（%）</w:t>
            </w:r>
          </w:p>
        </w:tc>
        <w:tc>
          <w:tcPr>
            <w:tcW w:w="5103" w:type="dxa"/>
            <w:gridSpan w:val="2"/>
            <w:vAlign w:val="center"/>
          </w:tcPr>
          <w:p w14:paraId="22C2FB4B">
            <w:pPr>
              <w:pStyle w:val="10"/>
            </w:pPr>
            <w:r>
              <w:t>3月底</w:t>
            </w:r>
          </w:p>
        </w:tc>
        <w:tc>
          <w:tcPr>
            <w:tcW w:w="2835" w:type="dxa"/>
            <w:vAlign w:val="center"/>
          </w:tcPr>
          <w:p w14:paraId="26F58BD1">
            <w:pPr>
              <w:pStyle w:val="10"/>
            </w:pPr>
            <w:r>
              <w:t>6月底</w:t>
            </w:r>
          </w:p>
        </w:tc>
        <w:tc>
          <w:tcPr>
            <w:tcW w:w="2551" w:type="dxa"/>
            <w:vAlign w:val="center"/>
          </w:tcPr>
          <w:p w14:paraId="0CC22967">
            <w:pPr>
              <w:pStyle w:val="10"/>
            </w:pPr>
            <w:r>
              <w:t>10月底</w:t>
            </w:r>
          </w:p>
        </w:tc>
        <w:tc>
          <w:tcPr>
            <w:tcW w:w="3544" w:type="dxa"/>
            <w:gridSpan w:val="2"/>
            <w:vAlign w:val="center"/>
          </w:tcPr>
          <w:p w14:paraId="6D771DA9">
            <w:pPr>
              <w:pStyle w:val="10"/>
            </w:pPr>
            <w:r>
              <w:t>12月底</w:t>
            </w:r>
          </w:p>
        </w:tc>
      </w:tr>
      <w:tr w14:paraId="08BBB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0AD35"/>
        </w:tc>
        <w:tc>
          <w:tcPr>
            <w:tcW w:w="5103" w:type="dxa"/>
            <w:gridSpan w:val="2"/>
            <w:vAlign w:val="center"/>
          </w:tcPr>
          <w:p w14:paraId="339ED804">
            <w:pPr>
              <w:pStyle w:val="13"/>
            </w:pPr>
            <w:r>
              <w:t>25%</w:t>
            </w:r>
          </w:p>
        </w:tc>
        <w:tc>
          <w:tcPr>
            <w:tcW w:w="2835" w:type="dxa"/>
            <w:vAlign w:val="center"/>
          </w:tcPr>
          <w:p w14:paraId="3F425DBD">
            <w:pPr>
              <w:pStyle w:val="13"/>
            </w:pPr>
            <w:r>
              <w:t>50%</w:t>
            </w:r>
          </w:p>
        </w:tc>
        <w:tc>
          <w:tcPr>
            <w:tcW w:w="2551" w:type="dxa"/>
            <w:vAlign w:val="center"/>
          </w:tcPr>
          <w:p w14:paraId="0E590EC3">
            <w:pPr>
              <w:pStyle w:val="13"/>
            </w:pPr>
            <w:r>
              <w:t>75%</w:t>
            </w:r>
          </w:p>
        </w:tc>
        <w:tc>
          <w:tcPr>
            <w:tcW w:w="3544" w:type="dxa"/>
            <w:gridSpan w:val="2"/>
            <w:vAlign w:val="center"/>
          </w:tcPr>
          <w:p w14:paraId="3D4AEC72">
            <w:pPr>
              <w:pStyle w:val="13"/>
            </w:pPr>
            <w:r>
              <w:t>100%</w:t>
            </w:r>
          </w:p>
        </w:tc>
      </w:tr>
      <w:tr w14:paraId="7E72A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5F2EE">
            <w:pPr>
              <w:pStyle w:val="10"/>
            </w:pPr>
            <w:r>
              <w:t>绩效目标</w:t>
            </w:r>
          </w:p>
        </w:tc>
        <w:tc>
          <w:tcPr>
            <w:tcW w:w="14033" w:type="dxa"/>
            <w:gridSpan w:val="6"/>
            <w:vAlign w:val="center"/>
          </w:tcPr>
          <w:p w14:paraId="4EEB5755">
            <w:pPr>
              <w:pStyle w:val="12"/>
            </w:pPr>
            <w:r>
              <w:t>1.按季度分批次拨付公用经费资金，资金拨付率达到100%。</w:t>
            </w:r>
          </w:p>
          <w:p w14:paraId="4CA182FF">
            <w:pPr>
              <w:pStyle w:val="12"/>
            </w:pPr>
            <w:r>
              <w:t>2.保障学校正常运转，完成各项教育教学活动和其他日常工作任务等方面的费用支出。</w:t>
            </w:r>
          </w:p>
        </w:tc>
      </w:tr>
    </w:tbl>
    <w:p w14:paraId="5271F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6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5558DC7">
            <w:pPr>
              <w:pStyle w:val="10"/>
            </w:pPr>
            <w:r>
              <w:t>一级指标</w:t>
            </w:r>
          </w:p>
        </w:tc>
        <w:tc>
          <w:tcPr>
            <w:tcW w:w="2268" w:type="dxa"/>
            <w:vAlign w:val="center"/>
          </w:tcPr>
          <w:p w14:paraId="30EF894B">
            <w:pPr>
              <w:pStyle w:val="10"/>
            </w:pPr>
            <w:r>
              <w:t>二级指标</w:t>
            </w:r>
          </w:p>
        </w:tc>
        <w:tc>
          <w:tcPr>
            <w:tcW w:w="2835" w:type="dxa"/>
            <w:vAlign w:val="center"/>
          </w:tcPr>
          <w:p w14:paraId="6B10084F">
            <w:pPr>
              <w:pStyle w:val="10"/>
            </w:pPr>
            <w:r>
              <w:t>三级指标</w:t>
            </w:r>
          </w:p>
        </w:tc>
        <w:tc>
          <w:tcPr>
            <w:tcW w:w="5386" w:type="dxa"/>
            <w:vAlign w:val="center"/>
          </w:tcPr>
          <w:p w14:paraId="104991A5">
            <w:pPr>
              <w:pStyle w:val="10"/>
            </w:pPr>
            <w:r>
              <w:t>绩效指标描述</w:t>
            </w:r>
          </w:p>
        </w:tc>
        <w:tc>
          <w:tcPr>
            <w:tcW w:w="2268" w:type="dxa"/>
            <w:vAlign w:val="center"/>
          </w:tcPr>
          <w:p w14:paraId="10B63B40">
            <w:pPr>
              <w:pStyle w:val="10"/>
            </w:pPr>
            <w:r>
              <w:t>指标值</w:t>
            </w:r>
          </w:p>
        </w:tc>
        <w:tc>
          <w:tcPr>
            <w:tcW w:w="1276" w:type="dxa"/>
            <w:vAlign w:val="center"/>
          </w:tcPr>
          <w:p w14:paraId="61D06ECF">
            <w:pPr>
              <w:pStyle w:val="10"/>
            </w:pPr>
            <w:r>
              <w:t>指标值确定依据</w:t>
            </w:r>
          </w:p>
        </w:tc>
      </w:tr>
      <w:tr w14:paraId="6F6CB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8441E">
            <w:pPr>
              <w:pStyle w:val="13"/>
            </w:pPr>
            <w:r>
              <w:t>产出指标</w:t>
            </w:r>
          </w:p>
        </w:tc>
        <w:tc>
          <w:tcPr>
            <w:tcW w:w="2268" w:type="dxa"/>
            <w:vAlign w:val="center"/>
          </w:tcPr>
          <w:p w14:paraId="67227B6F">
            <w:pPr>
              <w:pStyle w:val="12"/>
            </w:pPr>
            <w:r>
              <w:t>数量指标</w:t>
            </w:r>
          </w:p>
        </w:tc>
        <w:tc>
          <w:tcPr>
            <w:tcW w:w="2835" w:type="dxa"/>
            <w:vAlign w:val="center"/>
          </w:tcPr>
          <w:p w14:paraId="24362DEA">
            <w:pPr>
              <w:pStyle w:val="12"/>
            </w:pPr>
            <w:r>
              <w:t>就读学生数</w:t>
            </w:r>
          </w:p>
        </w:tc>
        <w:tc>
          <w:tcPr>
            <w:tcW w:w="5386" w:type="dxa"/>
            <w:vAlign w:val="center"/>
          </w:tcPr>
          <w:p w14:paraId="451FBBCB">
            <w:pPr>
              <w:pStyle w:val="12"/>
            </w:pPr>
            <w:r>
              <w:t>辐射区域内适龄学生人数</w:t>
            </w:r>
          </w:p>
        </w:tc>
        <w:tc>
          <w:tcPr>
            <w:tcW w:w="2268" w:type="dxa"/>
            <w:vAlign w:val="center"/>
          </w:tcPr>
          <w:p w14:paraId="5B59254D">
            <w:pPr>
              <w:pStyle w:val="12"/>
            </w:pPr>
            <w:r>
              <w:t>533人</w:t>
            </w:r>
          </w:p>
        </w:tc>
        <w:tc>
          <w:tcPr>
            <w:tcW w:w="1276" w:type="dxa"/>
            <w:vAlign w:val="center"/>
          </w:tcPr>
          <w:p w14:paraId="47DA323C">
            <w:pPr>
              <w:pStyle w:val="12"/>
            </w:pPr>
            <w:r>
              <w:t>城乡义务教育公用经费管理办法</w:t>
            </w:r>
          </w:p>
        </w:tc>
      </w:tr>
      <w:tr w14:paraId="1113F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C9113"/>
        </w:tc>
        <w:tc>
          <w:tcPr>
            <w:tcW w:w="2268" w:type="dxa"/>
            <w:vAlign w:val="center"/>
          </w:tcPr>
          <w:p w14:paraId="1B2CEC21">
            <w:pPr>
              <w:pStyle w:val="12"/>
            </w:pPr>
            <w:r>
              <w:t>质量指标</w:t>
            </w:r>
          </w:p>
        </w:tc>
        <w:tc>
          <w:tcPr>
            <w:tcW w:w="2835" w:type="dxa"/>
            <w:vAlign w:val="center"/>
          </w:tcPr>
          <w:p w14:paraId="01EF5608">
            <w:pPr>
              <w:pStyle w:val="12"/>
            </w:pPr>
            <w:r>
              <w:t>预算执行率</w:t>
            </w:r>
          </w:p>
        </w:tc>
        <w:tc>
          <w:tcPr>
            <w:tcW w:w="5386" w:type="dxa"/>
            <w:vAlign w:val="center"/>
          </w:tcPr>
          <w:p w14:paraId="30F8022E">
            <w:pPr>
              <w:pStyle w:val="12"/>
            </w:pPr>
            <w:r>
              <w:t>预算执行率</w:t>
            </w:r>
          </w:p>
        </w:tc>
        <w:tc>
          <w:tcPr>
            <w:tcW w:w="2268" w:type="dxa"/>
            <w:vAlign w:val="center"/>
          </w:tcPr>
          <w:p w14:paraId="1012CE80">
            <w:pPr>
              <w:pStyle w:val="12"/>
            </w:pPr>
            <w:r>
              <w:t>≥95%</w:t>
            </w:r>
          </w:p>
        </w:tc>
        <w:tc>
          <w:tcPr>
            <w:tcW w:w="1276" w:type="dxa"/>
            <w:vAlign w:val="center"/>
          </w:tcPr>
          <w:p w14:paraId="530A3199">
            <w:pPr>
              <w:pStyle w:val="12"/>
            </w:pPr>
            <w:r>
              <w:t>城乡义务教育公用经费管理办法</w:t>
            </w:r>
          </w:p>
        </w:tc>
      </w:tr>
      <w:tr w14:paraId="729F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9E46E"/>
        </w:tc>
        <w:tc>
          <w:tcPr>
            <w:tcW w:w="2268" w:type="dxa"/>
            <w:vAlign w:val="center"/>
          </w:tcPr>
          <w:p w14:paraId="4C69942E">
            <w:pPr>
              <w:pStyle w:val="12"/>
            </w:pPr>
            <w:r>
              <w:t>时效指标</w:t>
            </w:r>
          </w:p>
        </w:tc>
        <w:tc>
          <w:tcPr>
            <w:tcW w:w="2835" w:type="dxa"/>
            <w:vAlign w:val="center"/>
          </w:tcPr>
          <w:p w14:paraId="29CCF6BC">
            <w:pPr>
              <w:pStyle w:val="12"/>
            </w:pPr>
            <w:r>
              <w:t>义教经费支付完成率</w:t>
            </w:r>
          </w:p>
        </w:tc>
        <w:tc>
          <w:tcPr>
            <w:tcW w:w="5386" w:type="dxa"/>
            <w:vAlign w:val="center"/>
          </w:tcPr>
          <w:p w14:paraId="7F311A23">
            <w:pPr>
              <w:pStyle w:val="12"/>
            </w:pPr>
            <w:r>
              <w:t>按照序时进度完成资金支付</w:t>
            </w:r>
          </w:p>
        </w:tc>
        <w:tc>
          <w:tcPr>
            <w:tcW w:w="2268" w:type="dxa"/>
            <w:vAlign w:val="center"/>
          </w:tcPr>
          <w:p w14:paraId="4AAC857D">
            <w:pPr>
              <w:pStyle w:val="12"/>
            </w:pPr>
            <w:r>
              <w:t>100%</w:t>
            </w:r>
          </w:p>
        </w:tc>
        <w:tc>
          <w:tcPr>
            <w:tcW w:w="1276" w:type="dxa"/>
            <w:vAlign w:val="center"/>
          </w:tcPr>
          <w:p w14:paraId="33FABF6B">
            <w:pPr>
              <w:pStyle w:val="12"/>
            </w:pPr>
            <w:r>
              <w:t>城乡义务教育公用经费管理办法</w:t>
            </w:r>
          </w:p>
        </w:tc>
      </w:tr>
      <w:tr w14:paraId="0513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E4ACD"/>
        </w:tc>
        <w:tc>
          <w:tcPr>
            <w:tcW w:w="2268" w:type="dxa"/>
            <w:vAlign w:val="center"/>
          </w:tcPr>
          <w:p w14:paraId="14F60C8C">
            <w:pPr>
              <w:pStyle w:val="12"/>
            </w:pPr>
            <w:r>
              <w:t>成本指标</w:t>
            </w:r>
          </w:p>
        </w:tc>
        <w:tc>
          <w:tcPr>
            <w:tcW w:w="2835" w:type="dxa"/>
            <w:vAlign w:val="center"/>
          </w:tcPr>
          <w:p w14:paraId="25715832">
            <w:pPr>
              <w:pStyle w:val="12"/>
            </w:pPr>
            <w:r>
              <w:t>生均拨款标准</w:t>
            </w:r>
          </w:p>
        </w:tc>
        <w:tc>
          <w:tcPr>
            <w:tcW w:w="5386" w:type="dxa"/>
            <w:vAlign w:val="center"/>
          </w:tcPr>
          <w:p w14:paraId="1C1CA76D">
            <w:pPr>
              <w:pStyle w:val="12"/>
            </w:pPr>
            <w:r>
              <w:t>小学生公用经费生均公用经费基准定额为720元/年/生，取暖费120元/年/生，住宿生补助300元/年/生的标准，随班就读学生补助7000元/生/年</w:t>
            </w:r>
          </w:p>
        </w:tc>
        <w:tc>
          <w:tcPr>
            <w:tcW w:w="2268" w:type="dxa"/>
            <w:vAlign w:val="center"/>
          </w:tcPr>
          <w:p w14:paraId="466C7179">
            <w:pPr>
              <w:pStyle w:val="12"/>
            </w:pPr>
            <w:r>
              <w:t>840元</w:t>
            </w:r>
          </w:p>
        </w:tc>
        <w:tc>
          <w:tcPr>
            <w:tcW w:w="1276" w:type="dxa"/>
            <w:vAlign w:val="center"/>
          </w:tcPr>
          <w:p w14:paraId="6A9A7349">
            <w:pPr>
              <w:pStyle w:val="12"/>
            </w:pPr>
            <w:r>
              <w:t>城乡义务教育公用经费管理办法</w:t>
            </w:r>
          </w:p>
        </w:tc>
      </w:tr>
      <w:tr w14:paraId="08B5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23D58">
            <w:pPr>
              <w:pStyle w:val="13"/>
            </w:pPr>
            <w:r>
              <w:t>效益指标</w:t>
            </w:r>
          </w:p>
        </w:tc>
        <w:tc>
          <w:tcPr>
            <w:tcW w:w="2268" w:type="dxa"/>
            <w:vAlign w:val="center"/>
          </w:tcPr>
          <w:p w14:paraId="785A4366">
            <w:pPr>
              <w:pStyle w:val="12"/>
            </w:pPr>
            <w:r>
              <w:t>社会效益指标</w:t>
            </w:r>
          </w:p>
        </w:tc>
        <w:tc>
          <w:tcPr>
            <w:tcW w:w="2835" w:type="dxa"/>
            <w:vAlign w:val="center"/>
          </w:tcPr>
          <w:p w14:paraId="47C89C8A">
            <w:pPr>
              <w:pStyle w:val="12"/>
            </w:pPr>
            <w:r>
              <w:t>学校运转得到提高</w:t>
            </w:r>
          </w:p>
        </w:tc>
        <w:tc>
          <w:tcPr>
            <w:tcW w:w="5386" w:type="dxa"/>
            <w:vAlign w:val="center"/>
          </w:tcPr>
          <w:p w14:paraId="087BD062">
            <w:pPr>
              <w:pStyle w:val="12"/>
            </w:pPr>
            <w:r>
              <w:t>学生受教育年限</w:t>
            </w:r>
          </w:p>
        </w:tc>
        <w:tc>
          <w:tcPr>
            <w:tcW w:w="2268" w:type="dxa"/>
            <w:vAlign w:val="center"/>
          </w:tcPr>
          <w:p w14:paraId="44869187">
            <w:pPr>
              <w:pStyle w:val="12"/>
            </w:pPr>
            <w:r>
              <w:t>6年</w:t>
            </w:r>
          </w:p>
        </w:tc>
        <w:tc>
          <w:tcPr>
            <w:tcW w:w="1276" w:type="dxa"/>
            <w:vAlign w:val="center"/>
          </w:tcPr>
          <w:p w14:paraId="65E31674">
            <w:pPr>
              <w:pStyle w:val="12"/>
            </w:pPr>
            <w:r>
              <w:t>城乡义务教育公用经费管理办法</w:t>
            </w:r>
          </w:p>
        </w:tc>
      </w:tr>
      <w:tr w14:paraId="7C65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CD877">
            <w:pPr>
              <w:pStyle w:val="13"/>
            </w:pPr>
            <w:r>
              <w:t>满意度指标</w:t>
            </w:r>
          </w:p>
        </w:tc>
        <w:tc>
          <w:tcPr>
            <w:tcW w:w="2268" w:type="dxa"/>
            <w:vAlign w:val="center"/>
          </w:tcPr>
          <w:p w14:paraId="11212C85">
            <w:pPr>
              <w:pStyle w:val="12"/>
            </w:pPr>
            <w:r>
              <w:t>服务对象满意度指标</w:t>
            </w:r>
          </w:p>
        </w:tc>
        <w:tc>
          <w:tcPr>
            <w:tcW w:w="2835" w:type="dxa"/>
            <w:vAlign w:val="center"/>
          </w:tcPr>
          <w:p w14:paraId="42B56C33">
            <w:pPr>
              <w:pStyle w:val="12"/>
            </w:pPr>
            <w:r>
              <w:t>服务对象满意度</w:t>
            </w:r>
          </w:p>
        </w:tc>
        <w:tc>
          <w:tcPr>
            <w:tcW w:w="5386" w:type="dxa"/>
            <w:vAlign w:val="center"/>
          </w:tcPr>
          <w:p w14:paraId="1EF47EE3">
            <w:pPr>
              <w:pStyle w:val="12"/>
            </w:pPr>
            <w:r>
              <w:t>学校老师和学生满意度</w:t>
            </w:r>
          </w:p>
        </w:tc>
        <w:tc>
          <w:tcPr>
            <w:tcW w:w="2268" w:type="dxa"/>
            <w:vAlign w:val="center"/>
          </w:tcPr>
          <w:p w14:paraId="5D080099">
            <w:pPr>
              <w:pStyle w:val="12"/>
            </w:pPr>
            <w:r>
              <w:t>≥95%</w:t>
            </w:r>
          </w:p>
        </w:tc>
        <w:tc>
          <w:tcPr>
            <w:tcW w:w="1276" w:type="dxa"/>
            <w:vAlign w:val="center"/>
          </w:tcPr>
          <w:p w14:paraId="087C3447">
            <w:pPr>
              <w:pStyle w:val="12"/>
            </w:pPr>
            <w:r>
              <w:t>群众测评</w:t>
            </w:r>
          </w:p>
        </w:tc>
      </w:tr>
    </w:tbl>
    <w:p w14:paraId="72551845">
      <w:pPr>
        <w:sectPr>
          <w:pgSz w:w="16840" w:h="11900" w:orient="landscape"/>
          <w:pgMar w:top="1361" w:right="1020" w:bottom="1134" w:left="1020" w:header="720" w:footer="720" w:gutter="0"/>
          <w:cols w:space="720" w:num="1"/>
        </w:sectPr>
      </w:pPr>
    </w:p>
    <w:p w14:paraId="63C996B3">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5、冀财教[2025]121号/中央/2026年义教补助经费/尹村校区东尹小学公用经费绩效目标表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3F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4A225">
            <w:pPr>
              <w:pStyle w:val="11"/>
            </w:pPr>
            <w:r>
              <w:t>单位：万元</w:t>
            </w:r>
          </w:p>
        </w:tc>
      </w:tr>
      <w:tr w14:paraId="0C29A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C5640">
            <w:pPr>
              <w:pStyle w:val="10"/>
            </w:pPr>
            <w:r>
              <w:t>项目编码</w:t>
            </w:r>
          </w:p>
        </w:tc>
        <w:tc>
          <w:tcPr>
            <w:tcW w:w="5103" w:type="dxa"/>
            <w:gridSpan w:val="2"/>
            <w:vAlign w:val="center"/>
          </w:tcPr>
          <w:p w14:paraId="5CA92FD3">
            <w:pPr>
              <w:pStyle w:val="12"/>
            </w:pPr>
            <w:r>
              <w:t>13052526P00000410294A</w:t>
            </w:r>
          </w:p>
        </w:tc>
        <w:tc>
          <w:tcPr>
            <w:tcW w:w="2835" w:type="dxa"/>
            <w:vAlign w:val="center"/>
          </w:tcPr>
          <w:p w14:paraId="6A318714">
            <w:pPr>
              <w:pStyle w:val="10"/>
            </w:pPr>
            <w:r>
              <w:t>项目名称</w:t>
            </w:r>
          </w:p>
        </w:tc>
        <w:tc>
          <w:tcPr>
            <w:tcW w:w="6095" w:type="dxa"/>
            <w:gridSpan w:val="3"/>
            <w:vAlign w:val="center"/>
          </w:tcPr>
          <w:p w14:paraId="4987DEDA">
            <w:pPr>
              <w:pStyle w:val="12"/>
            </w:pPr>
            <w:r>
              <w:t>冀财教[2025]121号/中央/2026年义教补助经费/尹村校区东尹小学公用经费</w:t>
            </w:r>
          </w:p>
        </w:tc>
      </w:tr>
      <w:tr w14:paraId="14FDA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40BB5">
            <w:pPr>
              <w:pStyle w:val="10"/>
            </w:pPr>
            <w:r>
              <w:t>预算规模及资金用途</w:t>
            </w:r>
          </w:p>
        </w:tc>
        <w:tc>
          <w:tcPr>
            <w:tcW w:w="2268" w:type="dxa"/>
            <w:vAlign w:val="center"/>
          </w:tcPr>
          <w:p w14:paraId="45C2075E">
            <w:pPr>
              <w:pStyle w:val="10"/>
            </w:pPr>
            <w:r>
              <w:t>预算数</w:t>
            </w:r>
          </w:p>
        </w:tc>
        <w:tc>
          <w:tcPr>
            <w:tcW w:w="2835" w:type="dxa"/>
            <w:vAlign w:val="center"/>
          </w:tcPr>
          <w:p w14:paraId="40F499A2">
            <w:pPr>
              <w:pStyle w:val="12"/>
            </w:pPr>
            <w:r>
              <w:t>10.18</w:t>
            </w:r>
          </w:p>
        </w:tc>
        <w:tc>
          <w:tcPr>
            <w:tcW w:w="2835" w:type="dxa"/>
            <w:vAlign w:val="center"/>
          </w:tcPr>
          <w:p w14:paraId="559646D3">
            <w:pPr>
              <w:pStyle w:val="10"/>
            </w:pPr>
            <w:r>
              <w:t>其中：财政    资金</w:t>
            </w:r>
          </w:p>
        </w:tc>
        <w:tc>
          <w:tcPr>
            <w:tcW w:w="2551" w:type="dxa"/>
            <w:vAlign w:val="center"/>
          </w:tcPr>
          <w:p w14:paraId="715E5BAF">
            <w:pPr>
              <w:pStyle w:val="12"/>
            </w:pPr>
            <w:r>
              <w:t>10.18</w:t>
            </w:r>
          </w:p>
        </w:tc>
        <w:tc>
          <w:tcPr>
            <w:tcW w:w="2268" w:type="dxa"/>
            <w:vAlign w:val="center"/>
          </w:tcPr>
          <w:p w14:paraId="03DA9B4A">
            <w:pPr>
              <w:pStyle w:val="10"/>
            </w:pPr>
            <w:r>
              <w:t>其他资金</w:t>
            </w:r>
          </w:p>
        </w:tc>
        <w:tc>
          <w:tcPr>
            <w:tcW w:w="1276" w:type="dxa"/>
            <w:vAlign w:val="center"/>
          </w:tcPr>
          <w:p w14:paraId="0A0CD651">
            <w:pPr>
              <w:pStyle w:val="12"/>
            </w:pPr>
            <w:r>
              <w:t xml:space="preserve"> </w:t>
            </w:r>
          </w:p>
        </w:tc>
      </w:tr>
      <w:tr w14:paraId="768C7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BA828"/>
        </w:tc>
        <w:tc>
          <w:tcPr>
            <w:tcW w:w="14033" w:type="dxa"/>
            <w:gridSpan w:val="6"/>
            <w:vAlign w:val="center"/>
          </w:tcPr>
          <w:p w14:paraId="5881D416">
            <w:pPr>
              <w:pStyle w:val="12"/>
            </w:pPr>
            <w:r>
              <w:t>保障学校正常运转，完成各项教育教学活动和其他日常工作任务等方面的费用支出。</w:t>
            </w:r>
            <w:r>
              <w:tab/>
            </w:r>
            <w:r>
              <w:tab/>
            </w:r>
            <w:r>
              <w:tab/>
            </w:r>
            <w:r>
              <w:tab/>
            </w:r>
            <w:r>
              <w:tab/>
            </w:r>
            <w:r>
              <w:tab/>
            </w:r>
          </w:p>
          <w:p w14:paraId="53E6F5AE">
            <w:pPr>
              <w:pStyle w:val="12"/>
            </w:pPr>
          </w:p>
        </w:tc>
      </w:tr>
      <w:tr w14:paraId="5AFFB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8AD4F">
            <w:pPr>
              <w:pStyle w:val="10"/>
            </w:pPr>
            <w:r>
              <w:t>资金支出计划（%）</w:t>
            </w:r>
          </w:p>
        </w:tc>
        <w:tc>
          <w:tcPr>
            <w:tcW w:w="5103" w:type="dxa"/>
            <w:gridSpan w:val="2"/>
            <w:vAlign w:val="center"/>
          </w:tcPr>
          <w:p w14:paraId="1F7CE4AA">
            <w:pPr>
              <w:pStyle w:val="10"/>
            </w:pPr>
            <w:r>
              <w:t>3月底</w:t>
            </w:r>
          </w:p>
        </w:tc>
        <w:tc>
          <w:tcPr>
            <w:tcW w:w="2835" w:type="dxa"/>
            <w:vAlign w:val="center"/>
          </w:tcPr>
          <w:p w14:paraId="4C6FC9B4">
            <w:pPr>
              <w:pStyle w:val="10"/>
            </w:pPr>
            <w:r>
              <w:t>6月底</w:t>
            </w:r>
          </w:p>
        </w:tc>
        <w:tc>
          <w:tcPr>
            <w:tcW w:w="2551" w:type="dxa"/>
            <w:vAlign w:val="center"/>
          </w:tcPr>
          <w:p w14:paraId="2F5D0C33">
            <w:pPr>
              <w:pStyle w:val="10"/>
            </w:pPr>
            <w:r>
              <w:t>10月底</w:t>
            </w:r>
          </w:p>
        </w:tc>
        <w:tc>
          <w:tcPr>
            <w:tcW w:w="3544" w:type="dxa"/>
            <w:gridSpan w:val="2"/>
            <w:vAlign w:val="center"/>
          </w:tcPr>
          <w:p w14:paraId="3AC45C33">
            <w:pPr>
              <w:pStyle w:val="10"/>
            </w:pPr>
            <w:r>
              <w:t>12月底</w:t>
            </w:r>
          </w:p>
        </w:tc>
      </w:tr>
      <w:tr w14:paraId="6B671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C5C02"/>
        </w:tc>
        <w:tc>
          <w:tcPr>
            <w:tcW w:w="5103" w:type="dxa"/>
            <w:gridSpan w:val="2"/>
            <w:vAlign w:val="center"/>
          </w:tcPr>
          <w:p w14:paraId="21F38F4E">
            <w:pPr>
              <w:pStyle w:val="13"/>
            </w:pPr>
            <w:r>
              <w:t>25%</w:t>
            </w:r>
          </w:p>
        </w:tc>
        <w:tc>
          <w:tcPr>
            <w:tcW w:w="2835" w:type="dxa"/>
            <w:vAlign w:val="center"/>
          </w:tcPr>
          <w:p w14:paraId="202AAB01">
            <w:pPr>
              <w:pStyle w:val="13"/>
            </w:pPr>
            <w:r>
              <w:t>50%</w:t>
            </w:r>
          </w:p>
        </w:tc>
        <w:tc>
          <w:tcPr>
            <w:tcW w:w="2551" w:type="dxa"/>
            <w:vAlign w:val="center"/>
          </w:tcPr>
          <w:p w14:paraId="4C4EC2AA">
            <w:pPr>
              <w:pStyle w:val="13"/>
            </w:pPr>
            <w:r>
              <w:t>75%</w:t>
            </w:r>
          </w:p>
        </w:tc>
        <w:tc>
          <w:tcPr>
            <w:tcW w:w="3544" w:type="dxa"/>
            <w:gridSpan w:val="2"/>
            <w:vAlign w:val="center"/>
          </w:tcPr>
          <w:p w14:paraId="6A362D03">
            <w:pPr>
              <w:pStyle w:val="13"/>
            </w:pPr>
            <w:r>
              <w:t>100%</w:t>
            </w:r>
          </w:p>
        </w:tc>
      </w:tr>
      <w:tr w14:paraId="19B01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88DE0">
            <w:pPr>
              <w:pStyle w:val="10"/>
            </w:pPr>
            <w:r>
              <w:t>绩效目标</w:t>
            </w:r>
          </w:p>
        </w:tc>
        <w:tc>
          <w:tcPr>
            <w:tcW w:w="14033" w:type="dxa"/>
            <w:gridSpan w:val="6"/>
            <w:vAlign w:val="center"/>
          </w:tcPr>
          <w:p w14:paraId="5E3CCF4F">
            <w:pPr>
              <w:pStyle w:val="12"/>
            </w:pPr>
            <w:r>
              <w:t>1.按季度分批次拨付公用经费资金，资金拨付率达到100%。</w:t>
            </w:r>
          </w:p>
          <w:p w14:paraId="3B0E5773">
            <w:pPr>
              <w:pStyle w:val="12"/>
            </w:pPr>
            <w:r>
              <w:t>2.保障学校正常运转，完成各项教育教学活动和其他日常工作任务等方面的费用支出。</w:t>
            </w:r>
          </w:p>
        </w:tc>
      </w:tr>
    </w:tbl>
    <w:p w14:paraId="7BC8C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4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72A99">
            <w:pPr>
              <w:pStyle w:val="10"/>
            </w:pPr>
            <w:r>
              <w:t>一级指标</w:t>
            </w:r>
          </w:p>
        </w:tc>
        <w:tc>
          <w:tcPr>
            <w:tcW w:w="2268" w:type="dxa"/>
            <w:vAlign w:val="center"/>
          </w:tcPr>
          <w:p w14:paraId="7C00B0EC">
            <w:pPr>
              <w:pStyle w:val="10"/>
            </w:pPr>
            <w:r>
              <w:t>二级指标</w:t>
            </w:r>
          </w:p>
        </w:tc>
        <w:tc>
          <w:tcPr>
            <w:tcW w:w="2835" w:type="dxa"/>
            <w:vAlign w:val="center"/>
          </w:tcPr>
          <w:p w14:paraId="7F61D51E">
            <w:pPr>
              <w:pStyle w:val="10"/>
            </w:pPr>
            <w:r>
              <w:t>三级指标</w:t>
            </w:r>
          </w:p>
        </w:tc>
        <w:tc>
          <w:tcPr>
            <w:tcW w:w="5386" w:type="dxa"/>
            <w:vAlign w:val="center"/>
          </w:tcPr>
          <w:p w14:paraId="7CBE9456">
            <w:pPr>
              <w:pStyle w:val="10"/>
            </w:pPr>
            <w:r>
              <w:t>绩效指标描述</w:t>
            </w:r>
          </w:p>
        </w:tc>
        <w:tc>
          <w:tcPr>
            <w:tcW w:w="2268" w:type="dxa"/>
            <w:vAlign w:val="center"/>
          </w:tcPr>
          <w:p w14:paraId="62FB25CE">
            <w:pPr>
              <w:pStyle w:val="10"/>
            </w:pPr>
            <w:r>
              <w:t>指标值</w:t>
            </w:r>
          </w:p>
        </w:tc>
        <w:tc>
          <w:tcPr>
            <w:tcW w:w="1276" w:type="dxa"/>
            <w:vAlign w:val="center"/>
          </w:tcPr>
          <w:p w14:paraId="6C4A5DAA">
            <w:pPr>
              <w:pStyle w:val="10"/>
            </w:pPr>
            <w:r>
              <w:t>指标值确定依据</w:t>
            </w:r>
          </w:p>
        </w:tc>
      </w:tr>
      <w:tr w14:paraId="3737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C3CC9">
            <w:pPr>
              <w:pStyle w:val="13"/>
            </w:pPr>
            <w:r>
              <w:t>产出指标</w:t>
            </w:r>
          </w:p>
        </w:tc>
        <w:tc>
          <w:tcPr>
            <w:tcW w:w="2268" w:type="dxa"/>
            <w:vAlign w:val="center"/>
          </w:tcPr>
          <w:p w14:paraId="33E9A324">
            <w:pPr>
              <w:pStyle w:val="12"/>
            </w:pPr>
            <w:r>
              <w:t>数量指标</w:t>
            </w:r>
          </w:p>
        </w:tc>
        <w:tc>
          <w:tcPr>
            <w:tcW w:w="2835" w:type="dxa"/>
            <w:vAlign w:val="center"/>
          </w:tcPr>
          <w:p w14:paraId="268B43AB">
            <w:pPr>
              <w:pStyle w:val="12"/>
            </w:pPr>
            <w:r>
              <w:t>就读学生数</w:t>
            </w:r>
          </w:p>
        </w:tc>
        <w:tc>
          <w:tcPr>
            <w:tcW w:w="5386" w:type="dxa"/>
            <w:vAlign w:val="center"/>
          </w:tcPr>
          <w:p w14:paraId="16CAE37A">
            <w:pPr>
              <w:pStyle w:val="12"/>
            </w:pPr>
            <w:r>
              <w:t>辐射区域内适龄学生人数</w:t>
            </w:r>
          </w:p>
        </w:tc>
        <w:tc>
          <w:tcPr>
            <w:tcW w:w="2268" w:type="dxa"/>
            <w:vAlign w:val="center"/>
          </w:tcPr>
          <w:p w14:paraId="787CCEE8">
            <w:pPr>
              <w:pStyle w:val="12"/>
            </w:pPr>
            <w:r>
              <w:t>205人</w:t>
            </w:r>
          </w:p>
        </w:tc>
        <w:tc>
          <w:tcPr>
            <w:tcW w:w="1276" w:type="dxa"/>
            <w:vAlign w:val="center"/>
          </w:tcPr>
          <w:p w14:paraId="368E7F95">
            <w:pPr>
              <w:pStyle w:val="12"/>
            </w:pPr>
            <w:r>
              <w:t>城乡义务教育公用经费管理办法</w:t>
            </w:r>
          </w:p>
        </w:tc>
      </w:tr>
      <w:tr w14:paraId="2870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B6E4F"/>
        </w:tc>
        <w:tc>
          <w:tcPr>
            <w:tcW w:w="2268" w:type="dxa"/>
            <w:vAlign w:val="center"/>
          </w:tcPr>
          <w:p w14:paraId="77027557">
            <w:pPr>
              <w:pStyle w:val="12"/>
            </w:pPr>
            <w:r>
              <w:t>质量指标</w:t>
            </w:r>
          </w:p>
        </w:tc>
        <w:tc>
          <w:tcPr>
            <w:tcW w:w="2835" w:type="dxa"/>
            <w:vAlign w:val="center"/>
          </w:tcPr>
          <w:p w14:paraId="1D5CEE44">
            <w:pPr>
              <w:pStyle w:val="12"/>
            </w:pPr>
            <w:r>
              <w:t>预算执行率</w:t>
            </w:r>
          </w:p>
        </w:tc>
        <w:tc>
          <w:tcPr>
            <w:tcW w:w="5386" w:type="dxa"/>
            <w:vAlign w:val="center"/>
          </w:tcPr>
          <w:p w14:paraId="7FE07460">
            <w:pPr>
              <w:pStyle w:val="12"/>
            </w:pPr>
            <w:r>
              <w:t>预算执行率</w:t>
            </w:r>
          </w:p>
        </w:tc>
        <w:tc>
          <w:tcPr>
            <w:tcW w:w="2268" w:type="dxa"/>
            <w:vAlign w:val="center"/>
          </w:tcPr>
          <w:p w14:paraId="0ABF0200">
            <w:pPr>
              <w:pStyle w:val="12"/>
            </w:pPr>
            <w:r>
              <w:t>≥95%</w:t>
            </w:r>
          </w:p>
        </w:tc>
        <w:tc>
          <w:tcPr>
            <w:tcW w:w="1276" w:type="dxa"/>
            <w:vAlign w:val="center"/>
          </w:tcPr>
          <w:p w14:paraId="476C55D8">
            <w:pPr>
              <w:pStyle w:val="12"/>
            </w:pPr>
            <w:r>
              <w:t>城乡义务教育公用经费管理办法</w:t>
            </w:r>
          </w:p>
        </w:tc>
      </w:tr>
      <w:tr w14:paraId="6D10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31CAF"/>
        </w:tc>
        <w:tc>
          <w:tcPr>
            <w:tcW w:w="2268" w:type="dxa"/>
            <w:vAlign w:val="center"/>
          </w:tcPr>
          <w:p w14:paraId="56376213">
            <w:pPr>
              <w:pStyle w:val="12"/>
            </w:pPr>
            <w:r>
              <w:t>时效指标</w:t>
            </w:r>
          </w:p>
        </w:tc>
        <w:tc>
          <w:tcPr>
            <w:tcW w:w="2835" w:type="dxa"/>
            <w:vAlign w:val="center"/>
          </w:tcPr>
          <w:p w14:paraId="77ED88E9">
            <w:pPr>
              <w:pStyle w:val="12"/>
            </w:pPr>
            <w:r>
              <w:t>义教经费支付完成率</w:t>
            </w:r>
          </w:p>
        </w:tc>
        <w:tc>
          <w:tcPr>
            <w:tcW w:w="5386" w:type="dxa"/>
            <w:vAlign w:val="center"/>
          </w:tcPr>
          <w:p w14:paraId="562AEE35">
            <w:pPr>
              <w:pStyle w:val="12"/>
            </w:pPr>
            <w:r>
              <w:t>按照序时进度完成资金支付</w:t>
            </w:r>
          </w:p>
        </w:tc>
        <w:tc>
          <w:tcPr>
            <w:tcW w:w="2268" w:type="dxa"/>
            <w:vAlign w:val="center"/>
          </w:tcPr>
          <w:p w14:paraId="49E739AD">
            <w:pPr>
              <w:pStyle w:val="12"/>
            </w:pPr>
            <w:r>
              <w:t>100%</w:t>
            </w:r>
          </w:p>
        </w:tc>
        <w:tc>
          <w:tcPr>
            <w:tcW w:w="1276" w:type="dxa"/>
            <w:vAlign w:val="center"/>
          </w:tcPr>
          <w:p w14:paraId="6B8754C3">
            <w:pPr>
              <w:pStyle w:val="12"/>
            </w:pPr>
            <w:r>
              <w:t>城乡义务教育公用经费管理办法</w:t>
            </w:r>
          </w:p>
        </w:tc>
      </w:tr>
      <w:tr w14:paraId="7F07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ACFEB"/>
        </w:tc>
        <w:tc>
          <w:tcPr>
            <w:tcW w:w="2268" w:type="dxa"/>
            <w:vAlign w:val="center"/>
          </w:tcPr>
          <w:p w14:paraId="776ED0D5">
            <w:pPr>
              <w:pStyle w:val="12"/>
            </w:pPr>
            <w:r>
              <w:t>成本指标</w:t>
            </w:r>
          </w:p>
        </w:tc>
        <w:tc>
          <w:tcPr>
            <w:tcW w:w="2835" w:type="dxa"/>
            <w:vAlign w:val="center"/>
          </w:tcPr>
          <w:p w14:paraId="145AF49B">
            <w:pPr>
              <w:pStyle w:val="12"/>
            </w:pPr>
            <w:r>
              <w:t>生均拨款标准</w:t>
            </w:r>
          </w:p>
        </w:tc>
        <w:tc>
          <w:tcPr>
            <w:tcW w:w="5386" w:type="dxa"/>
            <w:vAlign w:val="center"/>
          </w:tcPr>
          <w:p w14:paraId="3FBECCD8">
            <w:pPr>
              <w:pStyle w:val="12"/>
            </w:pPr>
            <w:r>
              <w:t>小学生公用经费生均公用经费基准定额为720元/年/生，取暖费120元/年/生，住宿生补助300元/年/生的标准，随班就读学生补助7000元/生/年</w:t>
            </w:r>
          </w:p>
        </w:tc>
        <w:tc>
          <w:tcPr>
            <w:tcW w:w="2268" w:type="dxa"/>
            <w:vAlign w:val="center"/>
          </w:tcPr>
          <w:p w14:paraId="1BFBF784">
            <w:pPr>
              <w:pStyle w:val="12"/>
            </w:pPr>
            <w:r>
              <w:t>840元</w:t>
            </w:r>
          </w:p>
        </w:tc>
        <w:tc>
          <w:tcPr>
            <w:tcW w:w="1276" w:type="dxa"/>
            <w:vAlign w:val="center"/>
          </w:tcPr>
          <w:p w14:paraId="74CC18B5">
            <w:pPr>
              <w:pStyle w:val="12"/>
            </w:pPr>
            <w:r>
              <w:t>城乡义务教育公用经费管理办法</w:t>
            </w:r>
          </w:p>
        </w:tc>
      </w:tr>
      <w:tr w14:paraId="3845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5D3CD">
            <w:pPr>
              <w:pStyle w:val="13"/>
            </w:pPr>
            <w:r>
              <w:t>效益指标</w:t>
            </w:r>
          </w:p>
        </w:tc>
        <w:tc>
          <w:tcPr>
            <w:tcW w:w="2268" w:type="dxa"/>
            <w:vAlign w:val="center"/>
          </w:tcPr>
          <w:p w14:paraId="7ADF5364">
            <w:pPr>
              <w:pStyle w:val="12"/>
            </w:pPr>
            <w:r>
              <w:t>社会效益指标</w:t>
            </w:r>
          </w:p>
        </w:tc>
        <w:tc>
          <w:tcPr>
            <w:tcW w:w="2835" w:type="dxa"/>
            <w:vAlign w:val="center"/>
          </w:tcPr>
          <w:p w14:paraId="1EF968F3">
            <w:pPr>
              <w:pStyle w:val="12"/>
            </w:pPr>
            <w:r>
              <w:t>学校运转得到提高</w:t>
            </w:r>
          </w:p>
        </w:tc>
        <w:tc>
          <w:tcPr>
            <w:tcW w:w="5386" w:type="dxa"/>
            <w:vAlign w:val="center"/>
          </w:tcPr>
          <w:p w14:paraId="47CDD9F0">
            <w:pPr>
              <w:pStyle w:val="12"/>
            </w:pPr>
            <w:r>
              <w:t>学生受教育年限</w:t>
            </w:r>
          </w:p>
        </w:tc>
        <w:tc>
          <w:tcPr>
            <w:tcW w:w="2268" w:type="dxa"/>
            <w:vAlign w:val="center"/>
          </w:tcPr>
          <w:p w14:paraId="644D573A">
            <w:pPr>
              <w:pStyle w:val="12"/>
            </w:pPr>
            <w:r>
              <w:t>6年</w:t>
            </w:r>
          </w:p>
        </w:tc>
        <w:tc>
          <w:tcPr>
            <w:tcW w:w="1276" w:type="dxa"/>
            <w:vAlign w:val="center"/>
          </w:tcPr>
          <w:p w14:paraId="6154D865">
            <w:pPr>
              <w:pStyle w:val="12"/>
            </w:pPr>
            <w:r>
              <w:t>城乡义务教育公用经费管理办法</w:t>
            </w:r>
          </w:p>
        </w:tc>
      </w:tr>
      <w:tr w14:paraId="7FAE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22292">
            <w:pPr>
              <w:pStyle w:val="13"/>
            </w:pPr>
            <w:r>
              <w:t>满意度指标</w:t>
            </w:r>
          </w:p>
        </w:tc>
        <w:tc>
          <w:tcPr>
            <w:tcW w:w="2268" w:type="dxa"/>
            <w:vAlign w:val="center"/>
          </w:tcPr>
          <w:p w14:paraId="0A89BEF9">
            <w:pPr>
              <w:pStyle w:val="12"/>
            </w:pPr>
            <w:r>
              <w:t>服务对象满意度指标</w:t>
            </w:r>
          </w:p>
        </w:tc>
        <w:tc>
          <w:tcPr>
            <w:tcW w:w="2835" w:type="dxa"/>
            <w:vAlign w:val="center"/>
          </w:tcPr>
          <w:p w14:paraId="08959DF4">
            <w:pPr>
              <w:pStyle w:val="12"/>
            </w:pPr>
            <w:r>
              <w:t>服务对象满意度</w:t>
            </w:r>
          </w:p>
        </w:tc>
        <w:tc>
          <w:tcPr>
            <w:tcW w:w="5386" w:type="dxa"/>
            <w:vAlign w:val="center"/>
          </w:tcPr>
          <w:p w14:paraId="28D669EC">
            <w:pPr>
              <w:pStyle w:val="12"/>
            </w:pPr>
            <w:r>
              <w:t>学校老师和学生满意度</w:t>
            </w:r>
          </w:p>
        </w:tc>
        <w:tc>
          <w:tcPr>
            <w:tcW w:w="2268" w:type="dxa"/>
            <w:vAlign w:val="center"/>
          </w:tcPr>
          <w:p w14:paraId="680FD633">
            <w:pPr>
              <w:pStyle w:val="12"/>
            </w:pPr>
            <w:r>
              <w:t>≥95%</w:t>
            </w:r>
          </w:p>
        </w:tc>
        <w:tc>
          <w:tcPr>
            <w:tcW w:w="1276" w:type="dxa"/>
            <w:vAlign w:val="center"/>
          </w:tcPr>
          <w:p w14:paraId="40E3562D">
            <w:pPr>
              <w:pStyle w:val="12"/>
            </w:pPr>
            <w:r>
              <w:t>群众测评</w:t>
            </w:r>
          </w:p>
        </w:tc>
      </w:tr>
    </w:tbl>
    <w:p w14:paraId="105754E5">
      <w:pPr>
        <w:sectPr>
          <w:pgSz w:w="16840" w:h="11900" w:orient="landscape"/>
          <w:pgMar w:top="1361" w:right="1020" w:bottom="1134" w:left="1020" w:header="720" w:footer="720" w:gutter="0"/>
          <w:cols w:space="720" w:num="1"/>
        </w:sectPr>
      </w:pPr>
    </w:p>
    <w:p w14:paraId="4717438B">
      <w:pPr>
        <w:spacing w:before="0" w:after="0"/>
        <w:ind w:firstLine="560"/>
        <w:jc w:val="left"/>
        <w:outlineLvl w:val="9"/>
      </w:pPr>
      <w:r>
        <w:rPr>
          <w:rFonts w:ascii="方正仿宋_GBK" w:hAnsi="方正仿宋_GBK" w:eastAsia="方正仿宋_GBK" w:cs="方正仿宋_GBK"/>
          <w:b/>
          <w:color w:val="000000"/>
          <w:sz w:val="28"/>
        </w:rPr>
        <w:t>6、冀财教[2025]121号/中央/2026年义教补助经费/尹村校区良村小学公用经费绩效目标表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C0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79C22">
            <w:pPr>
              <w:pStyle w:val="11"/>
            </w:pPr>
            <w:r>
              <w:t>单位：万元</w:t>
            </w:r>
          </w:p>
        </w:tc>
      </w:tr>
      <w:tr w14:paraId="07B0F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B877D">
            <w:pPr>
              <w:pStyle w:val="10"/>
            </w:pPr>
            <w:r>
              <w:t>项目编码</w:t>
            </w:r>
          </w:p>
        </w:tc>
        <w:tc>
          <w:tcPr>
            <w:tcW w:w="5103" w:type="dxa"/>
            <w:gridSpan w:val="2"/>
            <w:vAlign w:val="center"/>
          </w:tcPr>
          <w:p w14:paraId="4B57CE53">
            <w:pPr>
              <w:pStyle w:val="12"/>
            </w:pPr>
            <w:r>
              <w:t>13052526P00000410298Q</w:t>
            </w:r>
          </w:p>
        </w:tc>
        <w:tc>
          <w:tcPr>
            <w:tcW w:w="2835" w:type="dxa"/>
            <w:vAlign w:val="center"/>
          </w:tcPr>
          <w:p w14:paraId="2A71D9B8">
            <w:pPr>
              <w:pStyle w:val="10"/>
            </w:pPr>
            <w:r>
              <w:t>项目名称</w:t>
            </w:r>
          </w:p>
        </w:tc>
        <w:tc>
          <w:tcPr>
            <w:tcW w:w="6095" w:type="dxa"/>
            <w:gridSpan w:val="3"/>
            <w:vAlign w:val="center"/>
          </w:tcPr>
          <w:p w14:paraId="56DFE6B9">
            <w:pPr>
              <w:pStyle w:val="12"/>
            </w:pPr>
            <w:r>
              <w:t>冀财教[2025]121号/中央/2026年义教补助经费/尹村校区良村小学公用经费</w:t>
            </w:r>
          </w:p>
        </w:tc>
      </w:tr>
      <w:tr w14:paraId="14C3D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C2C0C">
            <w:pPr>
              <w:pStyle w:val="10"/>
            </w:pPr>
            <w:r>
              <w:t>预算规模及资金用途</w:t>
            </w:r>
          </w:p>
        </w:tc>
        <w:tc>
          <w:tcPr>
            <w:tcW w:w="2268" w:type="dxa"/>
            <w:vAlign w:val="center"/>
          </w:tcPr>
          <w:p w14:paraId="52777868">
            <w:pPr>
              <w:pStyle w:val="10"/>
            </w:pPr>
            <w:r>
              <w:t>预算数</w:t>
            </w:r>
          </w:p>
        </w:tc>
        <w:tc>
          <w:tcPr>
            <w:tcW w:w="2835" w:type="dxa"/>
            <w:vAlign w:val="center"/>
          </w:tcPr>
          <w:p w14:paraId="65DB3157">
            <w:pPr>
              <w:pStyle w:val="12"/>
            </w:pPr>
            <w:r>
              <w:t>6.30</w:t>
            </w:r>
          </w:p>
        </w:tc>
        <w:tc>
          <w:tcPr>
            <w:tcW w:w="2835" w:type="dxa"/>
            <w:vAlign w:val="center"/>
          </w:tcPr>
          <w:p w14:paraId="3331E6B6">
            <w:pPr>
              <w:pStyle w:val="10"/>
            </w:pPr>
            <w:r>
              <w:t>其中：财政    资金</w:t>
            </w:r>
          </w:p>
        </w:tc>
        <w:tc>
          <w:tcPr>
            <w:tcW w:w="2551" w:type="dxa"/>
            <w:vAlign w:val="center"/>
          </w:tcPr>
          <w:p w14:paraId="34F1CF11">
            <w:pPr>
              <w:pStyle w:val="12"/>
            </w:pPr>
            <w:r>
              <w:t>6.30</w:t>
            </w:r>
          </w:p>
        </w:tc>
        <w:tc>
          <w:tcPr>
            <w:tcW w:w="2268" w:type="dxa"/>
            <w:vAlign w:val="center"/>
          </w:tcPr>
          <w:p w14:paraId="62C2C0A7">
            <w:pPr>
              <w:pStyle w:val="10"/>
            </w:pPr>
            <w:r>
              <w:t>其他资金</w:t>
            </w:r>
          </w:p>
        </w:tc>
        <w:tc>
          <w:tcPr>
            <w:tcW w:w="1276" w:type="dxa"/>
            <w:vAlign w:val="center"/>
          </w:tcPr>
          <w:p w14:paraId="30C73E6F">
            <w:pPr>
              <w:pStyle w:val="12"/>
            </w:pPr>
            <w:r>
              <w:t xml:space="preserve"> </w:t>
            </w:r>
          </w:p>
        </w:tc>
      </w:tr>
      <w:tr w14:paraId="464DA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86107"/>
        </w:tc>
        <w:tc>
          <w:tcPr>
            <w:tcW w:w="14033" w:type="dxa"/>
            <w:gridSpan w:val="6"/>
            <w:vAlign w:val="center"/>
          </w:tcPr>
          <w:p w14:paraId="063C6EDC">
            <w:pPr>
              <w:pStyle w:val="12"/>
            </w:pPr>
            <w:r>
              <w:t>保障学校正常运转，完成各项教育教学活动和其他日常工作任务等方面的费用支出。</w:t>
            </w:r>
          </w:p>
        </w:tc>
      </w:tr>
      <w:tr w14:paraId="15D50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46E01">
            <w:pPr>
              <w:pStyle w:val="10"/>
            </w:pPr>
            <w:r>
              <w:t>资金支出计划（%）</w:t>
            </w:r>
          </w:p>
        </w:tc>
        <w:tc>
          <w:tcPr>
            <w:tcW w:w="5103" w:type="dxa"/>
            <w:gridSpan w:val="2"/>
            <w:vAlign w:val="center"/>
          </w:tcPr>
          <w:p w14:paraId="7517DC7A">
            <w:pPr>
              <w:pStyle w:val="10"/>
            </w:pPr>
            <w:r>
              <w:t>3月底</w:t>
            </w:r>
          </w:p>
        </w:tc>
        <w:tc>
          <w:tcPr>
            <w:tcW w:w="2835" w:type="dxa"/>
            <w:vAlign w:val="center"/>
          </w:tcPr>
          <w:p w14:paraId="5907C2D0">
            <w:pPr>
              <w:pStyle w:val="10"/>
            </w:pPr>
            <w:r>
              <w:t>6月底</w:t>
            </w:r>
          </w:p>
        </w:tc>
        <w:tc>
          <w:tcPr>
            <w:tcW w:w="2551" w:type="dxa"/>
            <w:vAlign w:val="center"/>
          </w:tcPr>
          <w:p w14:paraId="21439F7C">
            <w:pPr>
              <w:pStyle w:val="10"/>
            </w:pPr>
            <w:r>
              <w:t>10月底</w:t>
            </w:r>
          </w:p>
        </w:tc>
        <w:tc>
          <w:tcPr>
            <w:tcW w:w="3544" w:type="dxa"/>
            <w:gridSpan w:val="2"/>
            <w:vAlign w:val="center"/>
          </w:tcPr>
          <w:p w14:paraId="6C0E0BD7">
            <w:pPr>
              <w:pStyle w:val="10"/>
            </w:pPr>
            <w:r>
              <w:t>12月底</w:t>
            </w:r>
          </w:p>
        </w:tc>
      </w:tr>
      <w:tr w14:paraId="600C1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D43D2"/>
        </w:tc>
        <w:tc>
          <w:tcPr>
            <w:tcW w:w="5103" w:type="dxa"/>
            <w:gridSpan w:val="2"/>
            <w:vAlign w:val="center"/>
          </w:tcPr>
          <w:p w14:paraId="582964D4">
            <w:pPr>
              <w:pStyle w:val="13"/>
            </w:pPr>
            <w:r>
              <w:t>25%</w:t>
            </w:r>
          </w:p>
        </w:tc>
        <w:tc>
          <w:tcPr>
            <w:tcW w:w="2835" w:type="dxa"/>
            <w:vAlign w:val="center"/>
          </w:tcPr>
          <w:p w14:paraId="40A988CE">
            <w:pPr>
              <w:pStyle w:val="13"/>
            </w:pPr>
            <w:r>
              <w:t>50%</w:t>
            </w:r>
          </w:p>
        </w:tc>
        <w:tc>
          <w:tcPr>
            <w:tcW w:w="2551" w:type="dxa"/>
            <w:vAlign w:val="center"/>
          </w:tcPr>
          <w:p w14:paraId="7DAD438B">
            <w:pPr>
              <w:pStyle w:val="13"/>
            </w:pPr>
            <w:r>
              <w:t>75%</w:t>
            </w:r>
          </w:p>
        </w:tc>
        <w:tc>
          <w:tcPr>
            <w:tcW w:w="3544" w:type="dxa"/>
            <w:gridSpan w:val="2"/>
            <w:vAlign w:val="center"/>
          </w:tcPr>
          <w:p w14:paraId="6C98EFB4">
            <w:pPr>
              <w:pStyle w:val="13"/>
            </w:pPr>
            <w:r>
              <w:t>100%</w:t>
            </w:r>
          </w:p>
        </w:tc>
      </w:tr>
      <w:tr w14:paraId="24122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1E509">
            <w:pPr>
              <w:pStyle w:val="10"/>
            </w:pPr>
            <w:r>
              <w:t>绩效目标</w:t>
            </w:r>
          </w:p>
        </w:tc>
        <w:tc>
          <w:tcPr>
            <w:tcW w:w="14033" w:type="dxa"/>
            <w:gridSpan w:val="6"/>
            <w:vAlign w:val="center"/>
          </w:tcPr>
          <w:p w14:paraId="1A0A0F86">
            <w:pPr>
              <w:pStyle w:val="12"/>
            </w:pPr>
            <w:r>
              <w:t>1.按季度分批次拨付公用经费资金，资金拨付率达到100%。</w:t>
            </w:r>
          </w:p>
          <w:p w14:paraId="42245B9F">
            <w:pPr>
              <w:pStyle w:val="12"/>
            </w:pPr>
            <w:r>
              <w:t>2.保障学校正常运转，完成各项教育教学活动和其他日常工作任务等方面的费用支出。</w:t>
            </w:r>
          </w:p>
        </w:tc>
      </w:tr>
    </w:tbl>
    <w:p w14:paraId="7FCB60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B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84FD3">
            <w:pPr>
              <w:pStyle w:val="10"/>
            </w:pPr>
            <w:r>
              <w:t>一级指标</w:t>
            </w:r>
          </w:p>
        </w:tc>
        <w:tc>
          <w:tcPr>
            <w:tcW w:w="2268" w:type="dxa"/>
            <w:vAlign w:val="center"/>
          </w:tcPr>
          <w:p w14:paraId="4D3D6D53">
            <w:pPr>
              <w:pStyle w:val="10"/>
            </w:pPr>
            <w:r>
              <w:t>二级指标</w:t>
            </w:r>
          </w:p>
        </w:tc>
        <w:tc>
          <w:tcPr>
            <w:tcW w:w="2835" w:type="dxa"/>
            <w:vAlign w:val="center"/>
          </w:tcPr>
          <w:p w14:paraId="6311B4C3">
            <w:pPr>
              <w:pStyle w:val="10"/>
            </w:pPr>
            <w:r>
              <w:t>三级指标</w:t>
            </w:r>
          </w:p>
        </w:tc>
        <w:tc>
          <w:tcPr>
            <w:tcW w:w="5386" w:type="dxa"/>
            <w:vAlign w:val="center"/>
          </w:tcPr>
          <w:p w14:paraId="74432036">
            <w:pPr>
              <w:pStyle w:val="10"/>
            </w:pPr>
            <w:r>
              <w:t>绩效指标描述</w:t>
            </w:r>
          </w:p>
        </w:tc>
        <w:tc>
          <w:tcPr>
            <w:tcW w:w="2268" w:type="dxa"/>
            <w:vAlign w:val="center"/>
          </w:tcPr>
          <w:p w14:paraId="50EA5A3B">
            <w:pPr>
              <w:pStyle w:val="10"/>
            </w:pPr>
            <w:r>
              <w:t>指标值</w:t>
            </w:r>
          </w:p>
        </w:tc>
        <w:tc>
          <w:tcPr>
            <w:tcW w:w="1276" w:type="dxa"/>
            <w:vAlign w:val="center"/>
          </w:tcPr>
          <w:p w14:paraId="142EB06C">
            <w:pPr>
              <w:pStyle w:val="10"/>
            </w:pPr>
            <w:r>
              <w:t>指标值确定依据</w:t>
            </w:r>
          </w:p>
        </w:tc>
      </w:tr>
      <w:tr w14:paraId="2183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78AA1">
            <w:pPr>
              <w:pStyle w:val="13"/>
            </w:pPr>
            <w:r>
              <w:t>产出指标</w:t>
            </w:r>
          </w:p>
        </w:tc>
        <w:tc>
          <w:tcPr>
            <w:tcW w:w="2268" w:type="dxa"/>
            <w:vAlign w:val="center"/>
          </w:tcPr>
          <w:p w14:paraId="6BD118BD">
            <w:pPr>
              <w:pStyle w:val="12"/>
            </w:pPr>
            <w:r>
              <w:t>数量指标</w:t>
            </w:r>
          </w:p>
        </w:tc>
        <w:tc>
          <w:tcPr>
            <w:tcW w:w="2835" w:type="dxa"/>
            <w:vAlign w:val="center"/>
          </w:tcPr>
          <w:p w14:paraId="7789F415">
            <w:pPr>
              <w:pStyle w:val="12"/>
            </w:pPr>
            <w:r>
              <w:t>就读学生数</w:t>
            </w:r>
          </w:p>
        </w:tc>
        <w:tc>
          <w:tcPr>
            <w:tcW w:w="5386" w:type="dxa"/>
            <w:vAlign w:val="center"/>
          </w:tcPr>
          <w:p w14:paraId="58DEA950">
            <w:pPr>
              <w:pStyle w:val="12"/>
            </w:pPr>
            <w:r>
              <w:t>辐射区域内适龄学生人数</w:t>
            </w:r>
          </w:p>
        </w:tc>
        <w:tc>
          <w:tcPr>
            <w:tcW w:w="2268" w:type="dxa"/>
            <w:vAlign w:val="center"/>
          </w:tcPr>
          <w:p w14:paraId="3B7ECFD8">
            <w:pPr>
              <w:pStyle w:val="12"/>
            </w:pPr>
            <w:r>
              <w:t>105人</w:t>
            </w:r>
          </w:p>
        </w:tc>
        <w:tc>
          <w:tcPr>
            <w:tcW w:w="1276" w:type="dxa"/>
            <w:vAlign w:val="center"/>
          </w:tcPr>
          <w:p w14:paraId="14F1A27B">
            <w:pPr>
              <w:pStyle w:val="12"/>
            </w:pPr>
            <w:r>
              <w:t>城乡义务教育公用经费管理办法</w:t>
            </w:r>
          </w:p>
        </w:tc>
      </w:tr>
      <w:tr w14:paraId="27CE6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46C0D"/>
        </w:tc>
        <w:tc>
          <w:tcPr>
            <w:tcW w:w="2268" w:type="dxa"/>
            <w:vAlign w:val="center"/>
          </w:tcPr>
          <w:p w14:paraId="71E6FA5D">
            <w:pPr>
              <w:pStyle w:val="12"/>
            </w:pPr>
            <w:r>
              <w:t>质量指标</w:t>
            </w:r>
          </w:p>
        </w:tc>
        <w:tc>
          <w:tcPr>
            <w:tcW w:w="2835" w:type="dxa"/>
            <w:vAlign w:val="center"/>
          </w:tcPr>
          <w:p w14:paraId="2BB19776">
            <w:pPr>
              <w:pStyle w:val="12"/>
            </w:pPr>
            <w:r>
              <w:t>预算执行率</w:t>
            </w:r>
          </w:p>
        </w:tc>
        <w:tc>
          <w:tcPr>
            <w:tcW w:w="5386" w:type="dxa"/>
            <w:vAlign w:val="center"/>
          </w:tcPr>
          <w:p w14:paraId="49DD1564">
            <w:pPr>
              <w:pStyle w:val="12"/>
            </w:pPr>
            <w:r>
              <w:t>预算执行率</w:t>
            </w:r>
          </w:p>
        </w:tc>
        <w:tc>
          <w:tcPr>
            <w:tcW w:w="2268" w:type="dxa"/>
            <w:vAlign w:val="center"/>
          </w:tcPr>
          <w:p w14:paraId="71F43578">
            <w:pPr>
              <w:pStyle w:val="12"/>
            </w:pPr>
            <w:r>
              <w:t>≥95%</w:t>
            </w:r>
          </w:p>
        </w:tc>
        <w:tc>
          <w:tcPr>
            <w:tcW w:w="1276" w:type="dxa"/>
            <w:vAlign w:val="center"/>
          </w:tcPr>
          <w:p w14:paraId="6F6AFD52">
            <w:pPr>
              <w:pStyle w:val="12"/>
            </w:pPr>
            <w:r>
              <w:t>城乡义务教育公用经费管理办法</w:t>
            </w:r>
          </w:p>
        </w:tc>
      </w:tr>
      <w:tr w14:paraId="17B61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419F8"/>
        </w:tc>
        <w:tc>
          <w:tcPr>
            <w:tcW w:w="2268" w:type="dxa"/>
            <w:vAlign w:val="center"/>
          </w:tcPr>
          <w:p w14:paraId="629868FC">
            <w:pPr>
              <w:pStyle w:val="12"/>
            </w:pPr>
            <w:r>
              <w:t>时效指标</w:t>
            </w:r>
          </w:p>
        </w:tc>
        <w:tc>
          <w:tcPr>
            <w:tcW w:w="2835" w:type="dxa"/>
            <w:vAlign w:val="center"/>
          </w:tcPr>
          <w:p w14:paraId="29030931">
            <w:pPr>
              <w:pStyle w:val="12"/>
            </w:pPr>
            <w:r>
              <w:t>义教经费支付完成率</w:t>
            </w:r>
          </w:p>
        </w:tc>
        <w:tc>
          <w:tcPr>
            <w:tcW w:w="5386" w:type="dxa"/>
            <w:vAlign w:val="center"/>
          </w:tcPr>
          <w:p w14:paraId="312DE600">
            <w:pPr>
              <w:pStyle w:val="12"/>
            </w:pPr>
            <w:r>
              <w:t>按照序时进度完成资金支付</w:t>
            </w:r>
          </w:p>
        </w:tc>
        <w:tc>
          <w:tcPr>
            <w:tcW w:w="2268" w:type="dxa"/>
            <w:vAlign w:val="center"/>
          </w:tcPr>
          <w:p w14:paraId="27009ECB">
            <w:pPr>
              <w:pStyle w:val="12"/>
            </w:pPr>
            <w:r>
              <w:t>100%</w:t>
            </w:r>
          </w:p>
        </w:tc>
        <w:tc>
          <w:tcPr>
            <w:tcW w:w="1276" w:type="dxa"/>
            <w:vAlign w:val="center"/>
          </w:tcPr>
          <w:p w14:paraId="6D91D90B">
            <w:pPr>
              <w:pStyle w:val="12"/>
            </w:pPr>
            <w:r>
              <w:t>城乡义务教育公用经费管理办法</w:t>
            </w:r>
          </w:p>
        </w:tc>
      </w:tr>
      <w:tr w14:paraId="1676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10466"/>
        </w:tc>
        <w:tc>
          <w:tcPr>
            <w:tcW w:w="2268" w:type="dxa"/>
            <w:vAlign w:val="center"/>
          </w:tcPr>
          <w:p w14:paraId="2602BBA4">
            <w:pPr>
              <w:pStyle w:val="12"/>
            </w:pPr>
            <w:r>
              <w:t>成本指标</w:t>
            </w:r>
          </w:p>
        </w:tc>
        <w:tc>
          <w:tcPr>
            <w:tcW w:w="2835" w:type="dxa"/>
            <w:vAlign w:val="center"/>
          </w:tcPr>
          <w:p w14:paraId="4B188B15">
            <w:pPr>
              <w:pStyle w:val="12"/>
            </w:pPr>
            <w:r>
              <w:t>生均拨款标准</w:t>
            </w:r>
          </w:p>
        </w:tc>
        <w:tc>
          <w:tcPr>
            <w:tcW w:w="5386" w:type="dxa"/>
            <w:vAlign w:val="center"/>
          </w:tcPr>
          <w:p w14:paraId="4361E5D6">
            <w:pPr>
              <w:pStyle w:val="12"/>
            </w:pPr>
            <w:r>
              <w:t>小学生公用经费生均公用经费基准定额为720元/年/生，取暖费120元/年/生，住宿生补助300元/年/生的标准，随班就读学生补助7000元/生/年</w:t>
            </w:r>
          </w:p>
        </w:tc>
        <w:tc>
          <w:tcPr>
            <w:tcW w:w="2268" w:type="dxa"/>
            <w:vAlign w:val="center"/>
          </w:tcPr>
          <w:p w14:paraId="047A5692">
            <w:pPr>
              <w:pStyle w:val="12"/>
            </w:pPr>
            <w:r>
              <w:t>840元</w:t>
            </w:r>
          </w:p>
        </w:tc>
        <w:tc>
          <w:tcPr>
            <w:tcW w:w="1276" w:type="dxa"/>
            <w:vAlign w:val="center"/>
          </w:tcPr>
          <w:p w14:paraId="0B555AD0">
            <w:pPr>
              <w:pStyle w:val="12"/>
            </w:pPr>
            <w:r>
              <w:t>城乡义务教育公用经费管理办法</w:t>
            </w:r>
          </w:p>
        </w:tc>
      </w:tr>
      <w:tr w14:paraId="2725E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E6984">
            <w:pPr>
              <w:pStyle w:val="13"/>
            </w:pPr>
            <w:r>
              <w:t>效益指标</w:t>
            </w:r>
          </w:p>
        </w:tc>
        <w:tc>
          <w:tcPr>
            <w:tcW w:w="2268" w:type="dxa"/>
            <w:vAlign w:val="center"/>
          </w:tcPr>
          <w:p w14:paraId="2561464E">
            <w:pPr>
              <w:pStyle w:val="12"/>
            </w:pPr>
            <w:r>
              <w:t>社会效益指标</w:t>
            </w:r>
          </w:p>
        </w:tc>
        <w:tc>
          <w:tcPr>
            <w:tcW w:w="2835" w:type="dxa"/>
            <w:vAlign w:val="center"/>
          </w:tcPr>
          <w:p w14:paraId="2D9026E7">
            <w:pPr>
              <w:pStyle w:val="12"/>
            </w:pPr>
            <w:r>
              <w:t>学校运转得到提高</w:t>
            </w:r>
          </w:p>
        </w:tc>
        <w:tc>
          <w:tcPr>
            <w:tcW w:w="5386" w:type="dxa"/>
            <w:vAlign w:val="center"/>
          </w:tcPr>
          <w:p w14:paraId="6E4C63CF">
            <w:pPr>
              <w:pStyle w:val="12"/>
            </w:pPr>
            <w:r>
              <w:t>学生受教育年限</w:t>
            </w:r>
          </w:p>
        </w:tc>
        <w:tc>
          <w:tcPr>
            <w:tcW w:w="2268" w:type="dxa"/>
            <w:vAlign w:val="center"/>
          </w:tcPr>
          <w:p w14:paraId="6D8FF611">
            <w:pPr>
              <w:pStyle w:val="12"/>
            </w:pPr>
            <w:r>
              <w:t>6年</w:t>
            </w:r>
          </w:p>
        </w:tc>
        <w:tc>
          <w:tcPr>
            <w:tcW w:w="1276" w:type="dxa"/>
            <w:vAlign w:val="center"/>
          </w:tcPr>
          <w:p w14:paraId="4A453CEE">
            <w:pPr>
              <w:pStyle w:val="12"/>
            </w:pPr>
            <w:r>
              <w:t>城乡义务教育公用经费管理办法</w:t>
            </w:r>
          </w:p>
        </w:tc>
      </w:tr>
      <w:tr w14:paraId="5AEA4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78FC7">
            <w:pPr>
              <w:pStyle w:val="13"/>
            </w:pPr>
            <w:r>
              <w:t>满意度指标</w:t>
            </w:r>
          </w:p>
        </w:tc>
        <w:tc>
          <w:tcPr>
            <w:tcW w:w="2268" w:type="dxa"/>
            <w:vAlign w:val="center"/>
          </w:tcPr>
          <w:p w14:paraId="7B42D624">
            <w:pPr>
              <w:pStyle w:val="12"/>
            </w:pPr>
            <w:r>
              <w:t>服务对象满意度指标</w:t>
            </w:r>
          </w:p>
        </w:tc>
        <w:tc>
          <w:tcPr>
            <w:tcW w:w="2835" w:type="dxa"/>
            <w:vAlign w:val="center"/>
          </w:tcPr>
          <w:p w14:paraId="5CEF2A80">
            <w:pPr>
              <w:pStyle w:val="12"/>
            </w:pPr>
            <w:r>
              <w:t>服务对象满意度</w:t>
            </w:r>
          </w:p>
        </w:tc>
        <w:tc>
          <w:tcPr>
            <w:tcW w:w="5386" w:type="dxa"/>
            <w:vAlign w:val="center"/>
          </w:tcPr>
          <w:p w14:paraId="3DA5DA7B">
            <w:pPr>
              <w:pStyle w:val="12"/>
            </w:pPr>
            <w:r>
              <w:t>学校老师和学生满意度</w:t>
            </w:r>
          </w:p>
        </w:tc>
        <w:tc>
          <w:tcPr>
            <w:tcW w:w="2268" w:type="dxa"/>
            <w:vAlign w:val="center"/>
          </w:tcPr>
          <w:p w14:paraId="38A52073">
            <w:pPr>
              <w:pStyle w:val="12"/>
            </w:pPr>
            <w:r>
              <w:t>≥95%</w:t>
            </w:r>
          </w:p>
        </w:tc>
        <w:tc>
          <w:tcPr>
            <w:tcW w:w="1276" w:type="dxa"/>
            <w:vAlign w:val="center"/>
          </w:tcPr>
          <w:p w14:paraId="68D46DF2">
            <w:pPr>
              <w:pStyle w:val="12"/>
            </w:pPr>
            <w:r>
              <w:t>群众测评</w:t>
            </w:r>
          </w:p>
        </w:tc>
      </w:tr>
    </w:tbl>
    <w:p w14:paraId="4D318257">
      <w:pPr>
        <w:sectPr>
          <w:pgSz w:w="16840" w:h="11900" w:orient="landscape"/>
          <w:pgMar w:top="1361" w:right="1020" w:bottom="1134" w:left="1020" w:header="720" w:footer="720" w:gutter="0"/>
          <w:cols w:space="720" w:num="1"/>
        </w:sectPr>
      </w:pPr>
    </w:p>
    <w:p w14:paraId="449D36CE">
      <w:pPr>
        <w:spacing w:before="0" w:after="0"/>
        <w:ind w:firstLine="560"/>
        <w:jc w:val="left"/>
        <w:outlineLvl w:val="9"/>
      </w:pPr>
      <w:r>
        <w:rPr>
          <w:rFonts w:ascii="方正仿宋_GBK" w:hAnsi="方正仿宋_GBK" w:eastAsia="方正仿宋_GBK" w:cs="方正仿宋_GBK"/>
          <w:b/>
          <w:color w:val="000000"/>
          <w:sz w:val="28"/>
        </w:rPr>
        <w:t>7、冀财教[2025]121号/中央/2026年义教补助经费/尹村校区西尹小学公用经费绩效目标表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7D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A1B79">
            <w:pPr>
              <w:pStyle w:val="11"/>
            </w:pPr>
            <w:r>
              <w:t>单位：万元</w:t>
            </w:r>
          </w:p>
        </w:tc>
      </w:tr>
      <w:tr w14:paraId="4AA46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CB943">
            <w:pPr>
              <w:pStyle w:val="10"/>
            </w:pPr>
            <w:r>
              <w:t>项目编码</w:t>
            </w:r>
          </w:p>
        </w:tc>
        <w:tc>
          <w:tcPr>
            <w:tcW w:w="5103" w:type="dxa"/>
            <w:gridSpan w:val="2"/>
            <w:vAlign w:val="center"/>
          </w:tcPr>
          <w:p w14:paraId="6901242C">
            <w:pPr>
              <w:pStyle w:val="12"/>
            </w:pPr>
            <w:r>
              <w:t>13052526P00000410293N</w:t>
            </w:r>
          </w:p>
        </w:tc>
        <w:tc>
          <w:tcPr>
            <w:tcW w:w="2835" w:type="dxa"/>
            <w:vAlign w:val="center"/>
          </w:tcPr>
          <w:p w14:paraId="0F20902A">
            <w:pPr>
              <w:pStyle w:val="10"/>
            </w:pPr>
            <w:r>
              <w:t>项目名称</w:t>
            </w:r>
          </w:p>
        </w:tc>
        <w:tc>
          <w:tcPr>
            <w:tcW w:w="6095" w:type="dxa"/>
            <w:gridSpan w:val="3"/>
            <w:vAlign w:val="center"/>
          </w:tcPr>
          <w:p w14:paraId="45A004B3">
            <w:pPr>
              <w:pStyle w:val="12"/>
            </w:pPr>
            <w:r>
              <w:t>冀财教[2025]121号/中央/2026年义教补助经费/尹村校区西尹小学公用经费</w:t>
            </w:r>
          </w:p>
        </w:tc>
      </w:tr>
      <w:tr w14:paraId="33D29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E8ECA">
            <w:pPr>
              <w:pStyle w:val="10"/>
            </w:pPr>
            <w:r>
              <w:t>预算规模及资金用途</w:t>
            </w:r>
          </w:p>
        </w:tc>
        <w:tc>
          <w:tcPr>
            <w:tcW w:w="2268" w:type="dxa"/>
            <w:vAlign w:val="center"/>
          </w:tcPr>
          <w:p w14:paraId="7C7E1388">
            <w:pPr>
              <w:pStyle w:val="10"/>
            </w:pPr>
            <w:r>
              <w:t>预算数</w:t>
            </w:r>
          </w:p>
        </w:tc>
        <w:tc>
          <w:tcPr>
            <w:tcW w:w="2835" w:type="dxa"/>
            <w:vAlign w:val="center"/>
          </w:tcPr>
          <w:p w14:paraId="3F8BF27D">
            <w:pPr>
              <w:pStyle w:val="12"/>
            </w:pPr>
            <w:r>
              <w:t>6.06</w:t>
            </w:r>
          </w:p>
        </w:tc>
        <w:tc>
          <w:tcPr>
            <w:tcW w:w="2835" w:type="dxa"/>
            <w:vAlign w:val="center"/>
          </w:tcPr>
          <w:p w14:paraId="60160DB7">
            <w:pPr>
              <w:pStyle w:val="10"/>
            </w:pPr>
            <w:r>
              <w:t>其中：财政    资金</w:t>
            </w:r>
          </w:p>
        </w:tc>
        <w:tc>
          <w:tcPr>
            <w:tcW w:w="2551" w:type="dxa"/>
            <w:vAlign w:val="center"/>
          </w:tcPr>
          <w:p w14:paraId="2BE72ABA">
            <w:pPr>
              <w:pStyle w:val="12"/>
            </w:pPr>
            <w:r>
              <w:t>6.06</w:t>
            </w:r>
          </w:p>
        </w:tc>
        <w:tc>
          <w:tcPr>
            <w:tcW w:w="2268" w:type="dxa"/>
            <w:vAlign w:val="center"/>
          </w:tcPr>
          <w:p w14:paraId="59FF8309">
            <w:pPr>
              <w:pStyle w:val="10"/>
            </w:pPr>
            <w:r>
              <w:t>其他资金</w:t>
            </w:r>
          </w:p>
        </w:tc>
        <w:tc>
          <w:tcPr>
            <w:tcW w:w="1276" w:type="dxa"/>
            <w:vAlign w:val="center"/>
          </w:tcPr>
          <w:p w14:paraId="23B25115">
            <w:pPr>
              <w:pStyle w:val="12"/>
            </w:pPr>
            <w:r>
              <w:t xml:space="preserve"> </w:t>
            </w:r>
          </w:p>
        </w:tc>
      </w:tr>
      <w:tr w14:paraId="1103D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68262"/>
        </w:tc>
        <w:tc>
          <w:tcPr>
            <w:tcW w:w="14033" w:type="dxa"/>
            <w:gridSpan w:val="6"/>
            <w:vAlign w:val="center"/>
          </w:tcPr>
          <w:p w14:paraId="6D418CF2">
            <w:pPr>
              <w:pStyle w:val="12"/>
            </w:pPr>
            <w:r>
              <w:t>保障学校正常运转，完成各项教育教学活动和其他日常工作任务等方面的费用支出。</w:t>
            </w:r>
            <w:r>
              <w:tab/>
            </w:r>
            <w:r>
              <w:tab/>
            </w:r>
            <w:r>
              <w:tab/>
            </w:r>
            <w:r>
              <w:tab/>
            </w:r>
            <w:r>
              <w:tab/>
            </w:r>
            <w:r>
              <w:tab/>
            </w:r>
          </w:p>
          <w:p w14:paraId="437B95FB">
            <w:pPr>
              <w:pStyle w:val="12"/>
            </w:pPr>
          </w:p>
        </w:tc>
      </w:tr>
      <w:tr w14:paraId="767E9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8EB5D">
            <w:pPr>
              <w:pStyle w:val="10"/>
            </w:pPr>
            <w:r>
              <w:t>资金支出计划（%）</w:t>
            </w:r>
          </w:p>
        </w:tc>
        <w:tc>
          <w:tcPr>
            <w:tcW w:w="5103" w:type="dxa"/>
            <w:gridSpan w:val="2"/>
            <w:vAlign w:val="center"/>
          </w:tcPr>
          <w:p w14:paraId="29FA4AE5">
            <w:pPr>
              <w:pStyle w:val="10"/>
            </w:pPr>
            <w:r>
              <w:t>3月底</w:t>
            </w:r>
          </w:p>
        </w:tc>
        <w:tc>
          <w:tcPr>
            <w:tcW w:w="2835" w:type="dxa"/>
            <w:vAlign w:val="center"/>
          </w:tcPr>
          <w:p w14:paraId="2BA948FB">
            <w:pPr>
              <w:pStyle w:val="10"/>
            </w:pPr>
            <w:r>
              <w:t>6月底</w:t>
            </w:r>
          </w:p>
        </w:tc>
        <w:tc>
          <w:tcPr>
            <w:tcW w:w="2551" w:type="dxa"/>
            <w:vAlign w:val="center"/>
          </w:tcPr>
          <w:p w14:paraId="2DF1567D">
            <w:pPr>
              <w:pStyle w:val="10"/>
            </w:pPr>
            <w:r>
              <w:t>10月底</w:t>
            </w:r>
          </w:p>
        </w:tc>
        <w:tc>
          <w:tcPr>
            <w:tcW w:w="3544" w:type="dxa"/>
            <w:gridSpan w:val="2"/>
            <w:vAlign w:val="center"/>
          </w:tcPr>
          <w:p w14:paraId="74778331">
            <w:pPr>
              <w:pStyle w:val="10"/>
            </w:pPr>
            <w:r>
              <w:t>12月底</w:t>
            </w:r>
          </w:p>
        </w:tc>
      </w:tr>
      <w:tr w14:paraId="5EB7B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196AC"/>
        </w:tc>
        <w:tc>
          <w:tcPr>
            <w:tcW w:w="5103" w:type="dxa"/>
            <w:gridSpan w:val="2"/>
            <w:vAlign w:val="center"/>
          </w:tcPr>
          <w:p w14:paraId="4CBC611F">
            <w:pPr>
              <w:pStyle w:val="13"/>
            </w:pPr>
            <w:r>
              <w:t>25%</w:t>
            </w:r>
          </w:p>
        </w:tc>
        <w:tc>
          <w:tcPr>
            <w:tcW w:w="2835" w:type="dxa"/>
            <w:vAlign w:val="center"/>
          </w:tcPr>
          <w:p w14:paraId="15B1DB73">
            <w:pPr>
              <w:pStyle w:val="13"/>
            </w:pPr>
            <w:r>
              <w:t>50%</w:t>
            </w:r>
          </w:p>
        </w:tc>
        <w:tc>
          <w:tcPr>
            <w:tcW w:w="2551" w:type="dxa"/>
            <w:vAlign w:val="center"/>
          </w:tcPr>
          <w:p w14:paraId="76C53643">
            <w:pPr>
              <w:pStyle w:val="13"/>
            </w:pPr>
            <w:r>
              <w:t>75%</w:t>
            </w:r>
          </w:p>
        </w:tc>
        <w:tc>
          <w:tcPr>
            <w:tcW w:w="3544" w:type="dxa"/>
            <w:gridSpan w:val="2"/>
            <w:vAlign w:val="center"/>
          </w:tcPr>
          <w:p w14:paraId="7096679F">
            <w:pPr>
              <w:pStyle w:val="13"/>
            </w:pPr>
            <w:r>
              <w:t>100%</w:t>
            </w:r>
          </w:p>
        </w:tc>
      </w:tr>
      <w:tr w14:paraId="7595A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5B1D1">
            <w:pPr>
              <w:pStyle w:val="10"/>
            </w:pPr>
            <w:r>
              <w:t>绩效目标</w:t>
            </w:r>
          </w:p>
        </w:tc>
        <w:tc>
          <w:tcPr>
            <w:tcW w:w="14033" w:type="dxa"/>
            <w:gridSpan w:val="6"/>
            <w:vAlign w:val="center"/>
          </w:tcPr>
          <w:p w14:paraId="17DA1F52">
            <w:pPr>
              <w:pStyle w:val="12"/>
            </w:pPr>
            <w:r>
              <w:t>1.按季度分批次拨付公用经费资金，资金拨付率达到100%</w:t>
            </w:r>
          </w:p>
          <w:p w14:paraId="406B9DEE">
            <w:pPr>
              <w:pStyle w:val="12"/>
            </w:pPr>
            <w:r>
              <w:t>2.保障学校正常运转，完成各项教育教学活动和其他日常工作任务等方面的费用支出。</w:t>
            </w:r>
          </w:p>
        </w:tc>
      </w:tr>
    </w:tbl>
    <w:p w14:paraId="32484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9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0344D">
            <w:pPr>
              <w:pStyle w:val="10"/>
            </w:pPr>
            <w:r>
              <w:t>一级指标</w:t>
            </w:r>
          </w:p>
        </w:tc>
        <w:tc>
          <w:tcPr>
            <w:tcW w:w="2268" w:type="dxa"/>
            <w:vAlign w:val="center"/>
          </w:tcPr>
          <w:p w14:paraId="4FA52597">
            <w:pPr>
              <w:pStyle w:val="10"/>
            </w:pPr>
            <w:r>
              <w:t>二级指标</w:t>
            </w:r>
          </w:p>
        </w:tc>
        <w:tc>
          <w:tcPr>
            <w:tcW w:w="2835" w:type="dxa"/>
            <w:vAlign w:val="center"/>
          </w:tcPr>
          <w:p w14:paraId="3CC3B6E7">
            <w:pPr>
              <w:pStyle w:val="10"/>
            </w:pPr>
            <w:r>
              <w:t>三级指标</w:t>
            </w:r>
          </w:p>
        </w:tc>
        <w:tc>
          <w:tcPr>
            <w:tcW w:w="5386" w:type="dxa"/>
            <w:vAlign w:val="center"/>
          </w:tcPr>
          <w:p w14:paraId="61E3358C">
            <w:pPr>
              <w:pStyle w:val="10"/>
            </w:pPr>
            <w:r>
              <w:t>绩效指标描述</w:t>
            </w:r>
          </w:p>
        </w:tc>
        <w:tc>
          <w:tcPr>
            <w:tcW w:w="2268" w:type="dxa"/>
            <w:vAlign w:val="center"/>
          </w:tcPr>
          <w:p w14:paraId="06496DBC">
            <w:pPr>
              <w:pStyle w:val="10"/>
            </w:pPr>
            <w:r>
              <w:t>指标值</w:t>
            </w:r>
          </w:p>
        </w:tc>
        <w:tc>
          <w:tcPr>
            <w:tcW w:w="1276" w:type="dxa"/>
            <w:vAlign w:val="center"/>
          </w:tcPr>
          <w:p w14:paraId="22206748">
            <w:pPr>
              <w:pStyle w:val="10"/>
            </w:pPr>
            <w:r>
              <w:t>指标值确定依据</w:t>
            </w:r>
          </w:p>
        </w:tc>
      </w:tr>
      <w:tr w14:paraId="4512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E2AC9">
            <w:pPr>
              <w:pStyle w:val="13"/>
            </w:pPr>
            <w:r>
              <w:t>产出指标</w:t>
            </w:r>
          </w:p>
        </w:tc>
        <w:tc>
          <w:tcPr>
            <w:tcW w:w="2268" w:type="dxa"/>
            <w:vAlign w:val="center"/>
          </w:tcPr>
          <w:p w14:paraId="774D645C">
            <w:pPr>
              <w:pStyle w:val="12"/>
            </w:pPr>
            <w:r>
              <w:t>数量指标</w:t>
            </w:r>
          </w:p>
        </w:tc>
        <w:tc>
          <w:tcPr>
            <w:tcW w:w="2835" w:type="dxa"/>
            <w:vAlign w:val="center"/>
          </w:tcPr>
          <w:p w14:paraId="5DAAF666">
            <w:pPr>
              <w:pStyle w:val="12"/>
            </w:pPr>
            <w:r>
              <w:t>就读学生数</w:t>
            </w:r>
          </w:p>
        </w:tc>
        <w:tc>
          <w:tcPr>
            <w:tcW w:w="5386" w:type="dxa"/>
            <w:vAlign w:val="center"/>
          </w:tcPr>
          <w:p w14:paraId="46B690CE">
            <w:pPr>
              <w:pStyle w:val="12"/>
            </w:pPr>
            <w:r>
              <w:t>辐射区域内适龄学生人数</w:t>
            </w:r>
          </w:p>
        </w:tc>
        <w:tc>
          <w:tcPr>
            <w:tcW w:w="2268" w:type="dxa"/>
            <w:vAlign w:val="center"/>
          </w:tcPr>
          <w:p w14:paraId="45A2CF38">
            <w:pPr>
              <w:pStyle w:val="12"/>
            </w:pPr>
            <w:r>
              <w:t>122人</w:t>
            </w:r>
          </w:p>
        </w:tc>
        <w:tc>
          <w:tcPr>
            <w:tcW w:w="1276" w:type="dxa"/>
            <w:vAlign w:val="center"/>
          </w:tcPr>
          <w:p w14:paraId="772943C9">
            <w:pPr>
              <w:pStyle w:val="12"/>
            </w:pPr>
            <w:r>
              <w:t>城乡义务教育公用经费管理办法</w:t>
            </w:r>
          </w:p>
        </w:tc>
      </w:tr>
      <w:tr w14:paraId="58E9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0D206"/>
        </w:tc>
        <w:tc>
          <w:tcPr>
            <w:tcW w:w="2268" w:type="dxa"/>
            <w:vAlign w:val="center"/>
          </w:tcPr>
          <w:p w14:paraId="4746DA4C">
            <w:pPr>
              <w:pStyle w:val="12"/>
            </w:pPr>
            <w:r>
              <w:t>质量指标</w:t>
            </w:r>
          </w:p>
        </w:tc>
        <w:tc>
          <w:tcPr>
            <w:tcW w:w="2835" w:type="dxa"/>
            <w:vAlign w:val="center"/>
          </w:tcPr>
          <w:p w14:paraId="55B8819B">
            <w:pPr>
              <w:pStyle w:val="12"/>
            </w:pPr>
            <w:r>
              <w:t>预算执行率</w:t>
            </w:r>
          </w:p>
        </w:tc>
        <w:tc>
          <w:tcPr>
            <w:tcW w:w="5386" w:type="dxa"/>
            <w:vAlign w:val="center"/>
          </w:tcPr>
          <w:p w14:paraId="497E6C75">
            <w:pPr>
              <w:pStyle w:val="12"/>
            </w:pPr>
            <w:r>
              <w:t>预算执行率</w:t>
            </w:r>
          </w:p>
        </w:tc>
        <w:tc>
          <w:tcPr>
            <w:tcW w:w="2268" w:type="dxa"/>
            <w:vAlign w:val="center"/>
          </w:tcPr>
          <w:p w14:paraId="6DEEFD03">
            <w:pPr>
              <w:pStyle w:val="12"/>
            </w:pPr>
            <w:r>
              <w:t>≥95%</w:t>
            </w:r>
          </w:p>
        </w:tc>
        <w:tc>
          <w:tcPr>
            <w:tcW w:w="1276" w:type="dxa"/>
            <w:vAlign w:val="center"/>
          </w:tcPr>
          <w:p w14:paraId="38564CE8">
            <w:pPr>
              <w:pStyle w:val="12"/>
            </w:pPr>
            <w:r>
              <w:t>城乡义务教育公用经费管理办法</w:t>
            </w:r>
          </w:p>
        </w:tc>
      </w:tr>
      <w:tr w14:paraId="639D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7D932"/>
        </w:tc>
        <w:tc>
          <w:tcPr>
            <w:tcW w:w="2268" w:type="dxa"/>
            <w:vAlign w:val="center"/>
          </w:tcPr>
          <w:p w14:paraId="49F0CDF6">
            <w:pPr>
              <w:pStyle w:val="12"/>
            </w:pPr>
            <w:r>
              <w:t>时效指标</w:t>
            </w:r>
          </w:p>
        </w:tc>
        <w:tc>
          <w:tcPr>
            <w:tcW w:w="2835" w:type="dxa"/>
            <w:vAlign w:val="center"/>
          </w:tcPr>
          <w:p w14:paraId="6A591508">
            <w:pPr>
              <w:pStyle w:val="12"/>
            </w:pPr>
            <w:r>
              <w:t>义教经费支付完成率</w:t>
            </w:r>
          </w:p>
        </w:tc>
        <w:tc>
          <w:tcPr>
            <w:tcW w:w="5386" w:type="dxa"/>
            <w:vAlign w:val="center"/>
          </w:tcPr>
          <w:p w14:paraId="50495959">
            <w:pPr>
              <w:pStyle w:val="12"/>
            </w:pPr>
            <w:r>
              <w:t>按照序时进度完成资金支付</w:t>
            </w:r>
          </w:p>
        </w:tc>
        <w:tc>
          <w:tcPr>
            <w:tcW w:w="2268" w:type="dxa"/>
            <w:vAlign w:val="center"/>
          </w:tcPr>
          <w:p w14:paraId="22FC138B">
            <w:pPr>
              <w:pStyle w:val="12"/>
            </w:pPr>
            <w:r>
              <w:t>100%</w:t>
            </w:r>
          </w:p>
        </w:tc>
        <w:tc>
          <w:tcPr>
            <w:tcW w:w="1276" w:type="dxa"/>
            <w:vAlign w:val="center"/>
          </w:tcPr>
          <w:p w14:paraId="55BCB344">
            <w:pPr>
              <w:pStyle w:val="12"/>
            </w:pPr>
            <w:r>
              <w:t>城乡义务教育公用经费管理办法</w:t>
            </w:r>
          </w:p>
        </w:tc>
      </w:tr>
      <w:tr w14:paraId="02C1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72CCA"/>
        </w:tc>
        <w:tc>
          <w:tcPr>
            <w:tcW w:w="2268" w:type="dxa"/>
            <w:vAlign w:val="center"/>
          </w:tcPr>
          <w:p w14:paraId="1D915B37">
            <w:pPr>
              <w:pStyle w:val="12"/>
            </w:pPr>
            <w:r>
              <w:t>成本指标</w:t>
            </w:r>
          </w:p>
        </w:tc>
        <w:tc>
          <w:tcPr>
            <w:tcW w:w="2835" w:type="dxa"/>
            <w:vAlign w:val="center"/>
          </w:tcPr>
          <w:p w14:paraId="5BD9212C">
            <w:pPr>
              <w:pStyle w:val="12"/>
            </w:pPr>
            <w:r>
              <w:t>生均拨款标准</w:t>
            </w:r>
          </w:p>
        </w:tc>
        <w:tc>
          <w:tcPr>
            <w:tcW w:w="5386" w:type="dxa"/>
            <w:vAlign w:val="center"/>
          </w:tcPr>
          <w:p w14:paraId="5B173C5C">
            <w:pPr>
              <w:pStyle w:val="12"/>
            </w:pPr>
            <w:r>
              <w:t>小学生公用经费生均公用经费基准定额为720元/年/生，取暖费120元/年/生，住宿生补助300元/年/生的标准，随班就读学生补助7000元/生/年</w:t>
            </w:r>
          </w:p>
        </w:tc>
        <w:tc>
          <w:tcPr>
            <w:tcW w:w="2268" w:type="dxa"/>
            <w:vAlign w:val="center"/>
          </w:tcPr>
          <w:p w14:paraId="5B5627AA">
            <w:pPr>
              <w:pStyle w:val="12"/>
            </w:pPr>
            <w:r>
              <w:t>840元</w:t>
            </w:r>
          </w:p>
        </w:tc>
        <w:tc>
          <w:tcPr>
            <w:tcW w:w="1276" w:type="dxa"/>
            <w:vAlign w:val="center"/>
          </w:tcPr>
          <w:p w14:paraId="0DBC4F94">
            <w:pPr>
              <w:pStyle w:val="12"/>
            </w:pPr>
            <w:r>
              <w:t>城乡义务教育公用经费管理办法</w:t>
            </w:r>
          </w:p>
        </w:tc>
      </w:tr>
      <w:tr w14:paraId="4A90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FB3A6">
            <w:pPr>
              <w:pStyle w:val="13"/>
            </w:pPr>
            <w:r>
              <w:t>效益指标</w:t>
            </w:r>
          </w:p>
        </w:tc>
        <w:tc>
          <w:tcPr>
            <w:tcW w:w="2268" w:type="dxa"/>
            <w:vAlign w:val="center"/>
          </w:tcPr>
          <w:p w14:paraId="6C03792F">
            <w:pPr>
              <w:pStyle w:val="12"/>
            </w:pPr>
            <w:r>
              <w:t>可持续影响指标</w:t>
            </w:r>
          </w:p>
        </w:tc>
        <w:tc>
          <w:tcPr>
            <w:tcW w:w="2835" w:type="dxa"/>
            <w:vAlign w:val="center"/>
          </w:tcPr>
          <w:p w14:paraId="3285160C">
            <w:pPr>
              <w:pStyle w:val="12"/>
            </w:pPr>
            <w:r>
              <w:t>学校运转得到提高</w:t>
            </w:r>
          </w:p>
        </w:tc>
        <w:tc>
          <w:tcPr>
            <w:tcW w:w="5386" w:type="dxa"/>
            <w:vAlign w:val="center"/>
          </w:tcPr>
          <w:p w14:paraId="79323183">
            <w:pPr>
              <w:pStyle w:val="12"/>
            </w:pPr>
            <w:r>
              <w:t>学生受教育年限</w:t>
            </w:r>
          </w:p>
        </w:tc>
        <w:tc>
          <w:tcPr>
            <w:tcW w:w="2268" w:type="dxa"/>
            <w:vAlign w:val="center"/>
          </w:tcPr>
          <w:p w14:paraId="0702CD71">
            <w:pPr>
              <w:pStyle w:val="12"/>
            </w:pPr>
            <w:r>
              <w:t>6年</w:t>
            </w:r>
          </w:p>
        </w:tc>
        <w:tc>
          <w:tcPr>
            <w:tcW w:w="1276" w:type="dxa"/>
            <w:vAlign w:val="center"/>
          </w:tcPr>
          <w:p w14:paraId="024C3691">
            <w:pPr>
              <w:pStyle w:val="12"/>
            </w:pPr>
            <w:r>
              <w:t>城乡义务教育公用经费管理办法</w:t>
            </w:r>
          </w:p>
        </w:tc>
      </w:tr>
      <w:tr w14:paraId="3827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11864">
            <w:pPr>
              <w:pStyle w:val="13"/>
            </w:pPr>
            <w:r>
              <w:t>满意度指标</w:t>
            </w:r>
          </w:p>
        </w:tc>
        <w:tc>
          <w:tcPr>
            <w:tcW w:w="2268" w:type="dxa"/>
            <w:vAlign w:val="center"/>
          </w:tcPr>
          <w:p w14:paraId="6097357E">
            <w:pPr>
              <w:pStyle w:val="12"/>
            </w:pPr>
            <w:r>
              <w:t>服务对象满意度指标</w:t>
            </w:r>
          </w:p>
        </w:tc>
        <w:tc>
          <w:tcPr>
            <w:tcW w:w="2835" w:type="dxa"/>
            <w:vAlign w:val="center"/>
          </w:tcPr>
          <w:p w14:paraId="2D6D46EE">
            <w:pPr>
              <w:pStyle w:val="12"/>
            </w:pPr>
            <w:r>
              <w:t>服务对象满意度</w:t>
            </w:r>
          </w:p>
        </w:tc>
        <w:tc>
          <w:tcPr>
            <w:tcW w:w="5386" w:type="dxa"/>
            <w:vAlign w:val="center"/>
          </w:tcPr>
          <w:p w14:paraId="5D8EFD20">
            <w:pPr>
              <w:pStyle w:val="12"/>
            </w:pPr>
            <w:r>
              <w:t>学校老师和学生满意度</w:t>
            </w:r>
          </w:p>
        </w:tc>
        <w:tc>
          <w:tcPr>
            <w:tcW w:w="2268" w:type="dxa"/>
            <w:vAlign w:val="center"/>
          </w:tcPr>
          <w:p w14:paraId="77F5C960">
            <w:pPr>
              <w:pStyle w:val="12"/>
            </w:pPr>
            <w:r>
              <w:t>≥95%</w:t>
            </w:r>
          </w:p>
        </w:tc>
        <w:tc>
          <w:tcPr>
            <w:tcW w:w="1276" w:type="dxa"/>
            <w:vAlign w:val="center"/>
          </w:tcPr>
          <w:p w14:paraId="4B6F3FBD">
            <w:pPr>
              <w:pStyle w:val="12"/>
            </w:pPr>
            <w:r>
              <w:t>群众测评</w:t>
            </w:r>
          </w:p>
        </w:tc>
      </w:tr>
    </w:tbl>
    <w:p w14:paraId="4785B0C5">
      <w:pPr>
        <w:sectPr>
          <w:pgSz w:w="16840" w:h="11900" w:orient="landscape"/>
          <w:pgMar w:top="1361" w:right="1020" w:bottom="1134" w:left="1020" w:header="720" w:footer="720" w:gutter="0"/>
          <w:cols w:space="720" w:num="1"/>
        </w:sectPr>
      </w:pPr>
    </w:p>
    <w:p w14:paraId="24768FC4">
      <w:pPr>
        <w:spacing w:before="0" w:after="0"/>
        <w:ind w:firstLine="560"/>
        <w:jc w:val="left"/>
        <w:outlineLvl w:val="9"/>
      </w:pPr>
      <w:r>
        <w:rPr>
          <w:rFonts w:ascii="方正仿宋_GBK" w:hAnsi="方正仿宋_GBK" w:eastAsia="方正仿宋_GBK" w:cs="方正仿宋_GBK"/>
          <w:b/>
          <w:color w:val="000000"/>
          <w:sz w:val="28"/>
        </w:rPr>
        <w:t>8、冀财教[2025]121号/中央/2026年义教补助经费/尹村校区杨村小学公用经费绩效目标表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C0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F1789">
            <w:pPr>
              <w:pStyle w:val="11"/>
            </w:pPr>
            <w:r>
              <w:t>单位：万元</w:t>
            </w:r>
          </w:p>
        </w:tc>
      </w:tr>
      <w:tr w14:paraId="555C9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0F9D9">
            <w:pPr>
              <w:pStyle w:val="10"/>
            </w:pPr>
            <w:r>
              <w:t>项目编码</w:t>
            </w:r>
          </w:p>
        </w:tc>
        <w:tc>
          <w:tcPr>
            <w:tcW w:w="5103" w:type="dxa"/>
            <w:gridSpan w:val="2"/>
            <w:vAlign w:val="center"/>
          </w:tcPr>
          <w:p w14:paraId="5A1A3FB6">
            <w:pPr>
              <w:pStyle w:val="12"/>
            </w:pPr>
            <w:r>
              <w:t>13052526P000004102975</w:t>
            </w:r>
          </w:p>
        </w:tc>
        <w:tc>
          <w:tcPr>
            <w:tcW w:w="2835" w:type="dxa"/>
            <w:vAlign w:val="center"/>
          </w:tcPr>
          <w:p w14:paraId="03C4B8A4">
            <w:pPr>
              <w:pStyle w:val="10"/>
            </w:pPr>
            <w:r>
              <w:t>项目名称</w:t>
            </w:r>
          </w:p>
        </w:tc>
        <w:tc>
          <w:tcPr>
            <w:tcW w:w="6095" w:type="dxa"/>
            <w:gridSpan w:val="3"/>
            <w:vAlign w:val="center"/>
          </w:tcPr>
          <w:p w14:paraId="663C855A">
            <w:pPr>
              <w:pStyle w:val="12"/>
            </w:pPr>
            <w:r>
              <w:t>冀财教[2025]121号/中央/2026年义教补助经费/尹村校区杨村小学公用经费</w:t>
            </w:r>
          </w:p>
        </w:tc>
      </w:tr>
      <w:tr w14:paraId="33519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CD168">
            <w:pPr>
              <w:pStyle w:val="10"/>
            </w:pPr>
            <w:r>
              <w:t>预算规模及资金用途</w:t>
            </w:r>
          </w:p>
        </w:tc>
        <w:tc>
          <w:tcPr>
            <w:tcW w:w="2268" w:type="dxa"/>
            <w:vAlign w:val="center"/>
          </w:tcPr>
          <w:p w14:paraId="770C8142">
            <w:pPr>
              <w:pStyle w:val="10"/>
            </w:pPr>
            <w:r>
              <w:t>预算数</w:t>
            </w:r>
          </w:p>
        </w:tc>
        <w:tc>
          <w:tcPr>
            <w:tcW w:w="2835" w:type="dxa"/>
            <w:vAlign w:val="center"/>
          </w:tcPr>
          <w:p w14:paraId="03485E29">
            <w:pPr>
              <w:pStyle w:val="12"/>
            </w:pPr>
            <w:r>
              <w:t>37.44</w:t>
            </w:r>
          </w:p>
        </w:tc>
        <w:tc>
          <w:tcPr>
            <w:tcW w:w="2835" w:type="dxa"/>
            <w:vAlign w:val="center"/>
          </w:tcPr>
          <w:p w14:paraId="674CD3FD">
            <w:pPr>
              <w:pStyle w:val="10"/>
            </w:pPr>
            <w:r>
              <w:t>其中：财政    资金</w:t>
            </w:r>
          </w:p>
        </w:tc>
        <w:tc>
          <w:tcPr>
            <w:tcW w:w="2551" w:type="dxa"/>
            <w:vAlign w:val="center"/>
          </w:tcPr>
          <w:p w14:paraId="0A81564D">
            <w:pPr>
              <w:pStyle w:val="12"/>
            </w:pPr>
            <w:r>
              <w:t>37.44</w:t>
            </w:r>
          </w:p>
        </w:tc>
        <w:tc>
          <w:tcPr>
            <w:tcW w:w="2268" w:type="dxa"/>
            <w:vAlign w:val="center"/>
          </w:tcPr>
          <w:p w14:paraId="1C6B8FBD">
            <w:pPr>
              <w:pStyle w:val="10"/>
            </w:pPr>
            <w:r>
              <w:t>其他资金</w:t>
            </w:r>
          </w:p>
        </w:tc>
        <w:tc>
          <w:tcPr>
            <w:tcW w:w="1276" w:type="dxa"/>
            <w:vAlign w:val="center"/>
          </w:tcPr>
          <w:p w14:paraId="79388F33">
            <w:pPr>
              <w:pStyle w:val="12"/>
            </w:pPr>
            <w:r>
              <w:t xml:space="preserve"> </w:t>
            </w:r>
          </w:p>
        </w:tc>
      </w:tr>
      <w:tr w14:paraId="38566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D79EB"/>
        </w:tc>
        <w:tc>
          <w:tcPr>
            <w:tcW w:w="14033" w:type="dxa"/>
            <w:gridSpan w:val="6"/>
            <w:vAlign w:val="center"/>
          </w:tcPr>
          <w:p w14:paraId="13F62397">
            <w:pPr>
              <w:pStyle w:val="12"/>
            </w:pPr>
            <w:r>
              <w:t>保障学校正常运转，完成各项教育教学活动和其他日常工作任务等方面的费用支出。</w:t>
            </w:r>
            <w:r>
              <w:tab/>
            </w:r>
            <w:r>
              <w:tab/>
            </w:r>
            <w:r>
              <w:tab/>
            </w:r>
            <w:r>
              <w:tab/>
            </w:r>
            <w:r>
              <w:tab/>
            </w:r>
            <w:r>
              <w:tab/>
            </w:r>
          </w:p>
          <w:p w14:paraId="4616DFF8">
            <w:pPr>
              <w:pStyle w:val="12"/>
            </w:pPr>
          </w:p>
        </w:tc>
      </w:tr>
      <w:tr w14:paraId="2278A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0A640">
            <w:pPr>
              <w:pStyle w:val="10"/>
            </w:pPr>
            <w:r>
              <w:t>资金支出计划（%）</w:t>
            </w:r>
          </w:p>
        </w:tc>
        <w:tc>
          <w:tcPr>
            <w:tcW w:w="5103" w:type="dxa"/>
            <w:gridSpan w:val="2"/>
            <w:vAlign w:val="center"/>
          </w:tcPr>
          <w:p w14:paraId="0D53F98E">
            <w:pPr>
              <w:pStyle w:val="10"/>
            </w:pPr>
            <w:r>
              <w:t>3月底</w:t>
            </w:r>
          </w:p>
        </w:tc>
        <w:tc>
          <w:tcPr>
            <w:tcW w:w="2835" w:type="dxa"/>
            <w:vAlign w:val="center"/>
          </w:tcPr>
          <w:p w14:paraId="0D98F013">
            <w:pPr>
              <w:pStyle w:val="10"/>
            </w:pPr>
            <w:r>
              <w:t>6月底</w:t>
            </w:r>
          </w:p>
        </w:tc>
        <w:tc>
          <w:tcPr>
            <w:tcW w:w="2551" w:type="dxa"/>
            <w:vAlign w:val="center"/>
          </w:tcPr>
          <w:p w14:paraId="77305D4E">
            <w:pPr>
              <w:pStyle w:val="10"/>
            </w:pPr>
            <w:r>
              <w:t>10月底</w:t>
            </w:r>
          </w:p>
        </w:tc>
        <w:tc>
          <w:tcPr>
            <w:tcW w:w="3544" w:type="dxa"/>
            <w:gridSpan w:val="2"/>
            <w:vAlign w:val="center"/>
          </w:tcPr>
          <w:p w14:paraId="2EC3331C">
            <w:pPr>
              <w:pStyle w:val="10"/>
            </w:pPr>
            <w:r>
              <w:t>12月底</w:t>
            </w:r>
          </w:p>
        </w:tc>
      </w:tr>
      <w:tr w14:paraId="6AAF9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4A8C3"/>
        </w:tc>
        <w:tc>
          <w:tcPr>
            <w:tcW w:w="5103" w:type="dxa"/>
            <w:gridSpan w:val="2"/>
            <w:vAlign w:val="center"/>
          </w:tcPr>
          <w:p w14:paraId="67ECF79B">
            <w:pPr>
              <w:pStyle w:val="13"/>
            </w:pPr>
            <w:r>
              <w:t>25%</w:t>
            </w:r>
          </w:p>
        </w:tc>
        <w:tc>
          <w:tcPr>
            <w:tcW w:w="2835" w:type="dxa"/>
            <w:vAlign w:val="center"/>
          </w:tcPr>
          <w:p w14:paraId="39D3D3E8">
            <w:pPr>
              <w:pStyle w:val="13"/>
            </w:pPr>
            <w:r>
              <w:t>50%</w:t>
            </w:r>
          </w:p>
        </w:tc>
        <w:tc>
          <w:tcPr>
            <w:tcW w:w="2551" w:type="dxa"/>
            <w:vAlign w:val="center"/>
          </w:tcPr>
          <w:p w14:paraId="7D5A19EB">
            <w:pPr>
              <w:pStyle w:val="13"/>
            </w:pPr>
            <w:r>
              <w:t>75%</w:t>
            </w:r>
          </w:p>
        </w:tc>
        <w:tc>
          <w:tcPr>
            <w:tcW w:w="3544" w:type="dxa"/>
            <w:gridSpan w:val="2"/>
            <w:vAlign w:val="center"/>
          </w:tcPr>
          <w:p w14:paraId="0CA1F11B">
            <w:pPr>
              <w:pStyle w:val="13"/>
            </w:pPr>
            <w:r>
              <w:t>100%</w:t>
            </w:r>
          </w:p>
        </w:tc>
      </w:tr>
      <w:tr w14:paraId="7BEBD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FF1FC">
            <w:pPr>
              <w:pStyle w:val="10"/>
            </w:pPr>
            <w:r>
              <w:t>绩效目标</w:t>
            </w:r>
          </w:p>
        </w:tc>
        <w:tc>
          <w:tcPr>
            <w:tcW w:w="14033" w:type="dxa"/>
            <w:gridSpan w:val="6"/>
            <w:vAlign w:val="center"/>
          </w:tcPr>
          <w:p w14:paraId="7A8CAE5E">
            <w:pPr>
              <w:pStyle w:val="12"/>
            </w:pPr>
            <w:r>
              <w:t>1.按季度分批次拨付公用经费资金，资金拨付率达到100%。</w:t>
            </w:r>
          </w:p>
          <w:p w14:paraId="6F9626C9">
            <w:pPr>
              <w:pStyle w:val="12"/>
            </w:pPr>
            <w:r>
              <w:t>2.保障学校正常运转，完成各项教育教学活动和其他日常工作任务等方面的费用支出。</w:t>
            </w:r>
          </w:p>
        </w:tc>
      </w:tr>
    </w:tbl>
    <w:p w14:paraId="1CFD85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6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DC58D">
            <w:pPr>
              <w:pStyle w:val="10"/>
            </w:pPr>
            <w:r>
              <w:t>一级指标</w:t>
            </w:r>
          </w:p>
        </w:tc>
        <w:tc>
          <w:tcPr>
            <w:tcW w:w="2268" w:type="dxa"/>
            <w:vAlign w:val="center"/>
          </w:tcPr>
          <w:p w14:paraId="008E35D5">
            <w:pPr>
              <w:pStyle w:val="10"/>
            </w:pPr>
            <w:r>
              <w:t>二级指标</w:t>
            </w:r>
          </w:p>
        </w:tc>
        <w:tc>
          <w:tcPr>
            <w:tcW w:w="2835" w:type="dxa"/>
            <w:vAlign w:val="center"/>
          </w:tcPr>
          <w:p w14:paraId="17ED29CC">
            <w:pPr>
              <w:pStyle w:val="10"/>
            </w:pPr>
            <w:r>
              <w:t>三级指标</w:t>
            </w:r>
          </w:p>
        </w:tc>
        <w:tc>
          <w:tcPr>
            <w:tcW w:w="5386" w:type="dxa"/>
            <w:vAlign w:val="center"/>
          </w:tcPr>
          <w:p w14:paraId="141A0E3F">
            <w:pPr>
              <w:pStyle w:val="10"/>
            </w:pPr>
            <w:r>
              <w:t>绩效指标描述</w:t>
            </w:r>
          </w:p>
        </w:tc>
        <w:tc>
          <w:tcPr>
            <w:tcW w:w="2268" w:type="dxa"/>
            <w:vAlign w:val="center"/>
          </w:tcPr>
          <w:p w14:paraId="6B3533CD">
            <w:pPr>
              <w:pStyle w:val="10"/>
            </w:pPr>
            <w:r>
              <w:t>指标值</w:t>
            </w:r>
          </w:p>
        </w:tc>
        <w:tc>
          <w:tcPr>
            <w:tcW w:w="1276" w:type="dxa"/>
            <w:vAlign w:val="center"/>
          </w:tcPr>
          <w:p w14:paraId="2260D473">
            <w:pPr>
              <w:pStyle w:val="10"/>
            </w:pPr>
            <w:r>
              <w:t>指标值确定依据</w:t>
            </w:r>
          </w:p>
        </w:tc>
      </w:tr>
      <w:tr w14:paraId="06FC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49559">
            <w:pPr>
              <w:pStyle w:val="13"/>
            </w:pPr>
            <w:r>
              <w:t>产出指标</w:t>
            </w:r>
          </w:p>
        </w:tc>
        <w:tc>
          <w:tcPr>
            <w:tcW w:w="2268" w:type="dxa"/>
            <w:vAlign w:val="center"/>
          </w:tcPr>
          <w:p w14:paraId="0EA8F303">
            <w:pPr>
              <w:pStyle w:val="12"/>
            </w:pPr>
            <w:r>
              <w:t>数量指标</w:t>
            </w:r>
          </w:p>
        </w:tc>
        <w:tc>
          <w:tcPr>
            <w:tcW w:w="2835" w:type="dxa"/>
            <w:vAlign w:val="center"/>
          </w:tcPr>
          <w:p w14:paraId="1621FE1F">
            <w:pPr>
              <w:pStyle w:val="12"/>
            </w:pPr>
            <w:r>
              <w:t>就读学生数</w:t>
            </w:r>
          </w:p>
        </w:tc>
        <w:tc>
          <w:tcPr>
            <w:tcW w:w="5386" w:type="dxa"/>
            <w:vAlign w:val="center"/>
          </w:tcPr>
          <w:p w14:paraId="1055B13D">
            <w:pPr>
              <w:pStyle w:val="12"/>
            </w:pPr>
            <w:r>
              <w:t>辐射区域内适龄学生人数</w:t>
            </w:r>
          </w:p>
        </w:tc>
        <w:tc>
          <w:tcPr>
            <w:tcW w:w="2268" w:type="dxa"/>
            <w:vAlign w:val="center"/>
          </w:tcPr>
          <w:p w14:paraId="1E40694A">
            <w:pPr>
              <w:pStyle w:val="12"/>
            </w:pPr>
            <w:r>
              <w:t>586人</w:t>
            </w:r>
          </w:p>
        </w:tc>
        <w:tc>
          <w:tcPr>
            <w:tcW w:w="1276" w:type="dxa"/>
            <w:vAlign w:val="center"/>
          </w:tcPr>
          <w:p w14:paraId="342E895A">
            <w:pPr>
              <w:pStyle w:val="12"/>
            </w:pPr>
            <w:r>
              <w:t>城乡义务教育公用经费管理办法</w:t>
            </w:r>
          </w:p>
        </w:tc>
      </w:tr>
      <w:tr w14:paraId="7121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95172"/>
        </w:tc>
        <w:tc>
          <w:tcPr>
            <w:tcW w:w="2268" w:type="dxa"/>
            <w:vAlign w:val="center"/>
          </w:tcPr>
          <w:p w14:paraId="63EDB1F7">
            <w:pPr>
              <w:pStyle w:val="12"/>
            </w:pPr>
            <w:r>
              <w:t>质量指标</w:t>
            </w:r>
          </w:p>
        </w:tc>
        <w:tc>
          <w:tcPr>
            <w:tcW w:w="2835" w:type="dxa"/>
            <w:vAlign w:val="center"/>
          </w:tcPr>
          <w:p w14:paraId="1CFFCEB9">
            <w:pPr>
              <w:pStyle w:val="12"/>
            </w:pPr>
            <w:r>
              <w:t>预算执行率</w:t>
            </w:r>
          </w:p>
        </w:tc>
        <w:tc>
          <w:tcPr>
            <w:tcW w:w="5386" w:type="dxa"/>
            <w:vAlign w:val="center"/>
          </w:tcPr>
          <w:p w14:paraId="462BE760">
            <w:pPr>
              <w:pStyle w:val="12"/>
            </w:pPr>
            <w:r>
              <w:t>预算执行率</w:t>
            </w:r>
          </w:p>
        </w:tc>
        <w:tc>
          <w:tcPr>
            <w:tcW w:w="2268" w:type="dxa"/>
            <w:vAlign w:val="center"/>
          </w:tcPr>
          <w:p w14:paraId="2F1050A8">
            <w:pPr>
              <w:pStyle w:val="12"/>
            </w:pPr>
            <w:r>
              <w:t>≥95%</w:t>
            </w:r>
          </w:p>
        </w:tc>
        <w:tc>
          <w:tcPr>
            <w:tcW w:w="1276" w:type="dxa"/>
            <w:vAlign w:val="center"/>
          </w:tcPr>
          <w:p w14:paraId="63D54381">
            <w:pPr>
              <w:pStyle w:val="12"/>
            </w:pPr>
            <w:r>
              <w:t>城乡义务教育公用经费管理办法</w:t>
            </w:r>
          </w:p>
        </w:tc>
      </w:tr>
      <w:tr w14:paraId="2DE3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C61E7"/>
        </w:tc>
        <w:tc>
          <w:tcPr>
            <w:tcW w:w="2268" w:type="dxa"/>
            <w:vAlign w:val="center"/>
          </w:tcPr>
          <w:p w14:paraId="6444FB6D">
            <w:pPr>
              <w:pStyle w:val="12"/>
            </w:pPr>
            <w:r>
              <w:t>时效指标</w:t>
            </w:r>
          </w:p>
        </w:tc>
        <w:tc>
          <w:tcPr>
            <w:tcW w:w="2835" w:type="dxa"/>
            <w:vAlign w:val="center"/>
          </w:tcPr>
          <w:p w14:paraId="61F67780">
            <w:pPr>
              <w:pStyle w:val="12"/>
            </w:pPr>
            <w:r>
              <w:t>义教经费支付完成率</w:t>
            </w:r>
          </w:p>
        </w:tc>
        <w:tc>
          <w:tcPr>
            <w:tcW w:w="5386" w:type="dxa"/>
            <w:vAlign w:val="center"/>
          </w:tcPr>
          <w:p w14:paraId="1280BA3F">
            <w:pPr>
              <w:pStyle w:val="12"/>
            </w:pPr>
            <w:r>
              <w:t>按照序时进度完成资金支付</w:t>
            </w:r>
          </w:p>
        </w:tc>
        <w:tc>
          <w:tcPr>
            <w:tcW w:w="2268" w:type="dxa"/>
            <w:vAlign w:val="center"/>
          </w:tcPr>
          <w:p w14:paraId="26FE77DB">
            <w:pPr>
              <w:pStyle w:val="12"/>
            </w:pPr>
            <w:r>
              <w:t>100%</w:t>
            </w:r>
          </w:p>
        </w:tc>
        <w:tc>
          <w:tcPr>
            <w:tcW w:w="1276" w:type="dxa"/>
            <w:vAlign w:val="center"/>
          </w:tcPr>
          <w:p w14:paraId="39A53A88">
            <w:pPr>
              <w:pStyle w:val="12"/>
            </w:pPr>
            <w:r>
              <w:t>城乡义务教育公用经费管理办法</w:t>
            </w:r>
          </w:p>
        </w:tc>
      </w:tr>
      <w:tr w14:paraId="2381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DA10E"/>
        </w:tc>
        <w:tc>
          <w:tcPr>
            <w:tcW w:w="2268" w:type="dxa"/>
            <w:vAlign w:val="center"/>
          </w:tcPr>
          <w:p w14:paraId="714C4056">
            <w:pPr>
              <w:pStyle w:val="12"/>
            </w:pPr>
            <w:r>
              <w:t>成本指标</w:t>
            </w:r>
          </w:p>
        </w:tc>
        <w:tc>
          <w:tcPr>
            <w:tcW w:w="2835" w:type="dxa"/>
            <w:vAlign w:val="center"/>
          </w:tcPr>
          <w:p w14:paraId="2B219080">
            <w:pPr>
              <w:pStyle w:val="12"/>
            </w:pPr>
            <w:r>
              <w:t>生均拨款标准</w:t>
            </w:r>
          </w:p>
        </w:tc>
        <w:tc>
          <w:tcPr>
            <w:tcW w:w="5386" w:type="dxa"/>
            <w:vAlign w:val="center"/>
          </w:tcPr>
          <w:p w14:paraId="0AD4C74A">
            <w:pPr>
              <w:pStyle w:val="12"/>
            </w:pPr>
            <w:r>
              <w:t>小学生公用经费生均公用经费基准定额为720元/年/生，取暖费120元/年/生，住宿生补助300元/年/生的标准，随班就读学生补助7000元/生/年</w:t>
            </w:r>
          </w:p>
        </w:tc>
        <w:tc>
          <w:tcPr>
            <w:tcW w:w="2268" w:type="dxa"/>
            <w:vAlign w:val="center"/>
          </w:tcPr>
          <w:p w14:paraId="310D39E9">
            <w:pPr>
              <w:pStyle w:val="12"/>
            </w:pPr>
            <w:r>
              <w:t>840元</w:t>
            </w:r>
          </w:p>
        </w:tc>
        <w:tc>
          <w:tcPr>
            <w:tcW w:w="1276" w:type="dxa"/>
            <w:vAlign w:val="center"/>
          </w:tcPr>
          <w:p w14:paraId="5B528507">
            <w:pPr>
              <w:pStyle w:val="12"/>
            </w:pPr>
            <w:r>
              <w:t>城乡义务教育公用经费管理办法</w:t>
            </w:r>
          </w:p>
        </w:tc>
      </w:tr>
      <w:tr w14:paraId="1DA4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33BE0">
            <w:pPr>
              <w:pStyle w:val="13"/>
            </w:pPr>
            <w:r>
              <w:t>效益指标</w:t>
            </w:r>
          </w:p>
        </w:tc>
        <w:tc>
          <w:tcPr>
            <w:tcW w:w="2268" w:type="dxa"/>
            <w:vAlign w:val="center"/>
          </w:tcPr>
          <w:p w14:paraId="5EA0A71E">
            <w:pPr>
              <w:pStyle w:val="12"/>
            </w:pPr>
            <w:r>
              <w:t>社会效益指标</w:t>
            </w:r>
          </w:p>
        </w:tc>
        <w:tc>
          <w:tcPr>
            <w:tcW w:w="2835" w:type="dxa"/>
            <w:vAlign w:val="center"/>
          </w:tcPr>
          <w:p w14:paraId="40B7D1E0">
            <w:pPr>
              <w:pStyle w:val="12"/>
            </w:pPr>
            <w:r>
              <w:t>学校运转得到提高</w:t>
            </w:r>
          </w:p>
        </w:tc>
        <w:tc>
          <w:tcPr>
            <w:tcW w:w="5386" w:type="dxa"/>
            <w:vAlign w:val="center"/>
          </w:tcPr>
          <w:p w14:paraId="7DDA1739">
            <w:pPr>
              <w:pStyle w:val="12"/>
            </w:pPr>
            <w:r>
              <w:t>学生受教育年限</w:t>
            </w:r>
          </w:p>
        </w:tc>
        <w:tc>
          <w:tcPr>
            <w:tcW w:w="2268" w:type="dxa"/>
            <w:vAlign w:val="center"/>
          </w:tcPr>
          <w:p w14:paraId="4DDE9CA7">
            <w:pPr>
              <w:pStyle w:val="12"/>
            </w:pPr>
            <w:r>
              <w:t>6年</w:t>
            </w:r>
          </w:p>
        </w:tc>
        <w:tc>
          <w:tcPr>
            <w:tcW w:w="1276" w:type="dxa"/>
            <w:vAlign w:val="center"/>
          </w:tcPr>
          <w:p w14:paraId="3481188B">
            <w:pPr>
              <w:pStyle w:val="12"/>
            </w:pPr>
            <w:r>
              <w:t>城乡义务教育公用经费管理办法</w:t>
            </w:r>
          </w:p>
        </w:tc>
      </w:tr>
      <w:tr w14:paraId="2B9F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5C7DD">
            <w:pPr>
              <w:pStyle w:val="13"/>
            </w:pPr>
            <w:r>
              <w:t>满意度指标</w:t>
            </w:r>
          </w:p>
        </w:tc>
        <w:tc>
          <w:tcPr>
            <w:tcW w:w="2268" w:type="dxa"/>
            <w:vAlign w:val="center"/>
          </w:tcPr>
          <w:p w14:paraId="2FF7EB9C">
            <w:pPr>
              <w:pStyle w:val="12"/>
            </w:pPr>
            <w:r>
              <w:t>服务对象满意度指标</w:t>
            </w:r>
          </w:p>
        </w:tc>
        <w:tc>
          <w:tcPr>
            <w:tcW w:w="2835" w:type="dxa"/>
            <w:vAlign w:val="center"/>
          </w:tcPr>
          <w:p w14:paraId="5E0206BE">
            <w:pPr>
              <w:pStyle w:val="12"/>
            </w:pPr>
            <w:r>
              <w:t>服务对象满意度</w:t>
            </w:r>
          </w:p>
        </w:tc>
        <w:tc>
          <w:tcPr>
            <w:tcW w:w="5386" w:type="dxa"/>
            <w:vAlign w:val="center"/>
          </w:tcPr>
          <w:p w14:paraId="3D779C82">
            <w:pPr>
              <w:pStyle w:val="12"/>
            </w:pPr>
            <w:r>
              <w:t>学校老师和学生满意度</w:t>
            </w:r>
          </w:p>
        </w:tc>
        <w:tc>
          <w:tcPr>
            <w:tcW w:w="2268" w:type="dxa"/>
            <w:vAlign w:val="center"/>
          </w:tcPr>
          <w:p w14:paraId="1FC78913">
            <w:pPr>
              <w:pStyle w:val="12"/>
            </w:pPr>
            <w:r>
              <w:t>≥95%</w:t>
            </w:r>
          </w:p>
        </w:tc>
        <w:tc>
          <w:tcPr>
            <w:tcW w:w="1276" w:type="dxa"/>
            <w:vAlign w:val="center"/>
          </w:tcPr>
          <w:p w14:paraId="7675C7A7">
            <w:pPr>
              <w:pStyle w:val="12"/>
            </w:pPr>
            <w:r>
              <w:t>群众测评</w:t>
            </w:r>
          </w:p>
        </w:tc>
      </w:tr>
    </w:tbl>
    <w:p w14:paraId="03AA816F">
      <w:pPr>
        <w:sectPr>
          <w:pgSz w:w="16840" w:h="11900" w:orient="landscape"/>
          <w:pgMar w:top="1361" w:right="1020" w:bottom="1134" w:left="1020" w:header="720" w:footer="720" w:gutter="0"/>
          <w:cols w:space="720" w:num="1"/>
        </w:sectPr>
      </w:pPr>
    </w:p>
    <w:p w14:paraId="4E1DECB7">
      <w:pPr>
        <w:spacing w:before="0" w:after="0"/>
        <w:ind w:firstLine="560"/>
        <w:jc w:val="left"/>
        <w:outlineLvl w:val="9"/>
      </w:pPr>
      <w:r>
        <w:rPr>
          <w:rFonts w:ascii="方正仿宋_GBK" w:hAnsi="方正仿宋_GBK" w:eastAsia="方正仿宋_GBK" w:cs="方正仿宋_GBK"/>
          <w:b/>
          <w:color w:val="000000"/>
          <w:sz w:val="28"/>
        </w:rPr>
        <w:t>9、冀财教[2025]121号/中央/义教/2026年校舍安全/大宁小学校舍维修改造绩效目标表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E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4192B">
            <w:pPr>
              <w:pStyle w:val="11"/>
            </w:pPr>
            <w:r>
              <w:t>单位：万元</w:t>
            </w:r>
          </w:p>
        </w:tc>
      </w:tr>
      <w:tr w14:paraId="3671F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A293B">
            <w:pPr>
              <w:pStyle w:val="10"/>
            </w:pPr>
            <w:r>
              <w:t>项目编码</w:t>
            </w:r>
          </w:p>
        </w:tc>
        <w:tc>
          <w:tcPr>
            <w:tcW w:w="5103" w:type="dxa"/>
            <w:gridSpan w:val="2"/>
            <w:vAlign w:val="center"/>
          </w:tcPr>
          <w:p w14:paraId="64EE3618">
            <w:pPr>
              <w:pStyle w:val="12"/>
            </w:pPr>
            <w:r>
              <w:t>13052526P00876210091P</w:t>
            </w:r>
          </w:p>
        </w:tc>
        <w:tc>
          <w:tcPr>
            <w:tcW w:w="2835" w:type="dxa"/>
            <w:vAlign w:val="center"/>
          </w:tcPr>
          <w:p w14:paraId="5BF975A2">
            <w:pPr>
              <w:pStyle w:val="10"/>
            </w:pPr>
            <w:r>
              <w:t>项目名称</w:t>
            </w:r>
          </w:p>
        </w:tc>
        <w:tc>
          <w:tcPr>
            <w:tcW w:w="6095" w:type="dxa"/>
            <w:gridSpan w:val="3"/>
            <w:vAlign w:val="center"/>
          </w:tcPr>
          <w:p w14:paraId="2EE4AE4E">
            <w:pPr>
              <w:pStyle w:val="12"/>
            </w:pPr>
            <w:r>
              <w:t>冀财教[2025]121号/中央/义教/2026年校舍安全/大宁小学校舍维修改造</w:t>
            </w:r>
          </w:p>
        </w:tc>
      </w:tr>
      <w:tr w14:paraId="69DFA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4414D">
            <w:pPr>
              <w:pStyle w:val="10"/>
            </w:pPr>
            <w:r>
              <w:t>预算规模及资金用途</w:t>
            </w:r>
          </w:p>
        </w:tc>
        <w:tc>
          <w:tcPr>
            <w:tcW w:w="2268" w:type="dxa"/>
            <w:vAlign w:val="center"/>
          </w:tcPr>
          <w:p w14:paraId="39F89C3D">
            <w:pPr>
              <w:pStyle w:val="10"/>
            </w:pPr>
            <w:r>
              <w:t>预算数</w:t>
            </w:r>
          </w:p>
        </w:tc>
        <w:tc>
          <w:tcPr>
            <w:tcW w:w="2835" w:type="dxa"/>
            <w:vAlign w:val="center"/>
          </w:tcPr>
          <w:p w14:paraId="7F5FF1F9">
            <w:pPr>
              <w:pStyle w:val="12"/>
            </w:pPr>
            <w:r>
              <w:t>41.00</w:t>
            </w:r>
          </w:p>
        </w:tc>
        <w:tc>
          <w:tcPr>
            <w:tcW w:w="2835" w:type="dxa"/>
            <w:vAlign w:val="center"/>
          </w:tcPr>
          <w:p w14:paraId="68D76FF6">
            <w:pPr>
              <w:pStyle w:val="10"/>
            </w:pPr>
            <w:r>
              <w:t>其中：财政    资金</w:t>
            </w:r>
          </w:p>
        </w:tc>
        <w:tc>
          <w:tcPr>
            <w:tcW w:w="2551" w:type="dxa"/>
            <w:vAlign w:val="center"/>
          </w:tcPr>
          <w:p w14:paraId="25D60EC0">
            <w:pPr>
              <w:pStyle w:val="12"/>
            </w:pPr>
            <w:r>
              <w:t>41.00</w:t>
            </w:r>
          </w:p>
        </w:tc>
        <w:tc>
          <w:tcPr>
            <w:tcW w:w="2268" w:type="dxa"/>
            <w:vAlign w:val="center"/>
          </w:tcPr>
          <w:p w14:paraId="132D8F79">
            <w:pPr>
              <w:pStyle w:val="10"/>
            </w:pPr>
            <w:r>
              <w:t>其他资金</w:t>
            </w:r>
          </w:p>
        </w:tc>
        <w:tc>
          <w:tcPr>
            <w:tcW w:w="1276" w:type="dxa"/>
            <w:vAlign w:val="center"/>
          </w:tcPr>
          <w:p w14:paraId="5E9721A7">
            <w:pPr>
              <w:pStyle w:val="12"/>
            </w:pPr>
            <w:r>
              <w:t xml:space="preserve"> </w:t>
            </w:r>
          </w:p>
        </w:tc>
      </w:tr>
      <w:tr w14:paraId="18706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2D482"/>
        </w:tc>
        <w:tc>
          <w:tcPr>
            <w:tcW w:w="14033" w:type="dxa"/>
            <w:gridSpan w:val="6"/>
            <w:vAlign w:val="center"/>
          </w:tcPr>
          <w:p w14:paraId="237EB353">
            <w:pPr>
              <w:pStyle w:val="12"/>
            </w:pPr>
            <w:r>
              <w:t>改善就学条件，提升学校形象，保障义务教育阶段教学安全，创造良好的校园环境。</w:t>
            </w:r>
          </w:p>
        </w:tc>
      </w:tr>
      <w:tr w14:paraId="3AA4B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22BFA">
            <w:pPr>
              <w:pStyle w:val="10"/>
            </w:pPr>
            <w:r>
              <w:t>资金支出计划（%）</w:t>
            </w:r>
          </w:p>
        </w:tc>
        <w:tc>
          <w:tcPr>
            <w:tcW w:w="5103" w:type="dxa"/>
            <w:gridSpan w:val="2"/>
            <w:vAlign w:val="center"/>
          </w:tcPr>
          <w:p w14:paraId="51AC351F">
            <w:pPr>
              <w:pStyle w:val="10"/>
            </w:pPr>
            <w:r>
              <w:t>3月底</w:t>
            </w:r>
          </w:p>
        </w:tc>
        <w:tc>
          <w:tcPr>
            <w:tcW w:w="2835" w:type="dxa"/>
            <w:vAlign w:val="center"/>
          </w:tcPr>
          <w:p w14:paraId="419E3BEB">
            <w:pPr>
              <w:pStyle w:val="10"/>
            </w:pPr>
            <w:r>
              <w:t>6月底</w:t>
            </w:r>
          </w:p>
        </w:tc>
        <w:tc>
          <w:tcPr>
            <w:tcW w:w="2551" w:type="dxa"/>
            <w:vAlign w:val="center"/>
          </w:tcPr>
          <w:p w14:paraId="12022E70">
            <w:pPr>
              <w:pStyle w:val="10"/>
            </w:pPr>
            <w:r>
              <w:t>10月底</w:t>
            </w:r>
          </w:p>
        </w:tc>
        <w:tc>
          <w:tcPr>
            <w:tcW w:w="3544" w:type="dxa"/>
            <w:gridSpan w:val="2"/>
            <w:vAlign w:val="center"/>
          </w:tcPr>
          <w:p w14:paraId="39D09A0F">
            <w:pPr>
              <w:pStyle w:val="10"/>
            </w:pPr>
            <w:r>
              <w:t>12月底</w:t>
            </w:r>
          </w:p>
        </w:tc>
      </w:tr>
      <w:tr w14:paraId="6D6BB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2BB81"/>
        </w:tc>
        <w:tc>
          <w:tcPr>
            <w:tcW w:w="5103" w:type="dxa"/>
            <w:gridSpan w:val="2"/>
            <w:vAlign w:val="center"/>
          </w:tcPr>
          <w:p w14:paraId="7AD9EAF4">
            <w:pPr>
              <w:pStyle w:val="13"/>
            </w:pPr>
            <w:r>
              <w:t xml:space="preserve"> </w:t>
            </w:r>
          </w:p>
        </w:tc>
        <w:tc>
          <w:tcPr>
            <w:tcW w:w="2835" w:type="dxa"/>
            <w:vAlign w:val="center"/>
          </w:tcPr>
          <w:p w14:paraId="3CF6DF19">
            <w:pPr>
              <w:pStyle w:val="13"/>
            </w:pPr>
            <w:r>
              <w:t xml:space="preserve"> </w:t>
            </w:r>
          </w:p>
        </w:tc>
        <w:tc>
          <w:tcPr>
            <w:tcW w:w="2551" w:type="dxa"/>
            <w:vAlign w:val="center"/>
          </w:tcPr>
          <w:p w14:paraId="3771D02D">
            <w:pPr>
              <w:pStyle w:val="13"/>
            </w:pPr>
            <w:r>
              <w:t>100%</w:t>
            </w:r>
          </w:p>
        </w:tc>
        <w:tc>
          <w:tcPr>
            <w:tcW w:w="3544" w:type="dxa"/>
            <w:gridSpan w:val="2"/>
            <w:vAlign w:val="center"/>
          </w:tcPr>
          <w:p w14:paraId="04D694EA">
            <w:pPr>
              <w:pStyle w:val="13"/>
            </w:pPr>
            <w:r>
              <w:t>100%</w:t>
            </w:r>
          </w:p>
        </w:tc>
      </w:tr>
      <w:tr w14:paraId="18C8D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39E43">
            <w:pPr>
              <w:pStyle w:val="10"/>
            </w:pPr>
            <w:r>
              <w:t>绩效目标</w:t>
            </w:r>
          </w:p>
        </w:tc>
        <w:tc>
          <w:tcPr>
            <w:tcW w:w="14033" w:type="dxa"/>
            <w:gridSpan w:val="6"/>
            <w:vAlign w:val="center"/>
          </w:tcPr>
          <w:p w14:paraId="1AEB4258">
            <w:pPr>
              <w:pStyle w:val="12"/>
            </w:pPr>
            <w:r>
              <w:t>1.改善就学条件，提升学校形象，保障义务教育阶段教学安全，创造良好的校园环境。</w:t>
            </w:r>
          </w:p>
          <w:p w14:paraId="76B19D95">
            <w:pPr>
              <w:pStyle w:val="12"/>
            </w:pPr>
            <w:r>
              <w:t>2.项目需资金41万元，资金拨付率达到100%</w:t>
            </w:r>
          </w:p>
        </w:tc>
      </w:tr>
    </w:tbl>
    <w:p w14:paraId="58BA2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33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FD954">
            <w:pPr>
              <w:pStyle w:val="10"/>
            </w:pPr>
            <w:r>
              <w:t>一级指标</w:t>
            </w:r>
          </w:p>
        </w:tc>
        <w:tc>
          <w:tcPr>
            <w:tcW w:w="2268" w:type="dxa"/>
            <w:vAlign w:val="center"/>
          </w:tcPr>
          <w:p w14:paraId="54B78308">
            <w:pPr>
              <w:pStyle w:val="10"/>
            </w:pPr>
            <w:r>
              <w:t>二级指标</w:t>
            </w:r>
          </w:p>
        </w:tc>
        <w:tc>
          <w:tcPr>
            <w:tcW w:w="2835" w:type="dxa"/>
            <w:vAlign w:val="center"/>
          </w:tcPr>
          <w:p w14:paraId="316AE562">
            <w:pPr>
              <w:pStyle w:val="10"/>
            </w:pPr>
            <w:r>
              <w:t>三级指标</w:t>
            </w:r>
          </w:p>
        </w:tc>
        <w:tc>
          <w:tcPr>
            <w:tcW w:w="5386" w:type="dxa"/>
            <w:vAlign w:val="center"/>
          </w:tcPr>
          <w:p w14:paraId="4E22C8BC">
            <w:pPr>
              <w:pStyle w:val="10"/>
            </w:pPr>
            <w:r>
              <w:t>绩效指标描述</w:t>
            </w:r>
          </w:p>
        </w:tc>
        <w:tc>
          <w:tcPr>
            <w:tcW w:w="2268" w:type="dxa"/>
            <w:vAlign w:val="center"/>
          </w:tcPr>
          <w:p w14:paraId="514A9F32">
            <w:pPr>
              <w:pStyle w:val="10"/>
            </w:pPr>
            <w:r>
              <w:t>指标值</w:t>
            </w:r>
          </w:p>
        </w:tc>
        <w:tc>
          <w:tcPr>
            <w:tcW w:w="1276" w:type="dxa"/>
            <w:vAlign w:val="center"/>
          </w:tcPr>
          <w:p w14:paraId="2EAEA5EF">
            <w:pPr>
              <w:pStyle w:val="10"/>
            </w:pPr>
            <w:r>
              <w:t>指标值确定依据</w:t>
            </w:r>
          </w:p>
        </w:tc>
      </w:tr>
      <w:tr w14:paraId="295B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D7CF2">
            <w:pPr>
              <w:pStyle w:val="13"/>
            </w:pPr>
            <w:r>
              <w:t>产出指标</w:t>
            </w:r>
          </w:p>
        </w:tc>
        <w:tc>
          <w:tcPr>
            <w:tcW w:w="2268" w:type="dxa"/>
            <w:vAlign w:val="center"/>
          </w:tcPr>
          <w:p w14:paraId="534A96D3">
            <w:pPr>
              <w:pStyle w:val="12"/>
            </w:pPr>
            <w:r>
              <w:t>数量指标</w:t>
            </w:r>
          </w:p>
        </w:tc>
        <w:tc>
          <w:tcPr>
            <w:tcW w:w="2835" w:type="dxa"/>
            <w:vAlign w:val="center"/>
          </w:tcPr>
          <w:p w14:paraId="2A8C5332">
            <w:pPr>
              <w:pStyle w:val="12"/>
            </w:pPr>
            <w:r>
              <w:t>大宁小学2026年校舍维修改造</w:t>
            </w:r>
          </w:p>
        </w:tc>
        <w:tc>
          <w:tcPr>
            <w:tcW w:w="5386" w:type="dxa"/>
            <w:vAlign w:val="center"/>
          </w:tcPr>
          <w:p w14:paraId="43E457E5">
            <w:pPr>
              <w:pStyle w:val="12"/>
            </w:pPr>
            <w:r>
              <w:t>学生宿舍楼外墙保温、学生餐厅外墙保温等</w:t>
            </w:r>
          </w:p>
        </w:tc>
        <w:tc>
          <w:tcPr>
            <w:tcW w:w="2268" w:type="dxa"/>
            <w:vAlign w:val="center"/>
          </w:tcPr>
          <w:p w14:paraId="73F8DBD6">
            <w:pPr>
              <w:pStyle w:val="12"/>
            </w:pPr>
            <w:r>
              <w:t>1项</w:t>
            </w:r>
          </w:p>
        </w:tc>
        <w:tc>
          <w:tcPr>
            <w:tcW w:w="1276" w:type="dxa"/>
            <w:vAlign w:val="center"/>
          </w:tcPr>
          <w:p w14:paraId="32B06ECC">
            <w:pPr>
              <w:pStyle w:val="12"/>
            </w:pPr>
            <w:r>
              <w:t>项目规划</w:t>
            </w:r>
          </w:p>
        </w:tc>
      </w:tr>
      <w:tr w14:paraId="5BA0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74B64"/>
        </w:tc>
        <w:tc>
          <w:tcPr>
            <w:tcW w:w="2268" w:type="dxa"/>
            <w:vAlign w:val="center"/>
          </w:tcPr>
          <w:p w14:paraId="4E0D3063">
            <w:pPr>
              <w:pStyle w:val="12"/>
            </w:pPr>
            <w:r>
              <w:t>质量指标</w:t>
            </w:r>
          </w:p>
        </w:tc>
        <w:tc>
          <w:tcPr>
            <w:tcW w:w="2835" w:type="dxa"/>
            <w:vAlign w:val="center"/>
          </w:tcPr>
          <w:p w14:paraId="68BD588A">
            <w:pPr>
              <w:pStyle w:val="12"/>
            </w:pPr>
            <w:r>
              <w:t>工程实施验收合格率</w:t>
            </w:r>
          </w:p>
        </w:tc>
        <w:tc>
          <w:tcPr>
            <w:tcW w:w="5386" w:type="dxa"/>
            <w:vAlign w:val="center"/>
          </w:tcPr>
          <w:p w14:paraId="7B503C71">
            <w:pPr>
              <w:pStyle w:val="12"/>
            </w:pPr>
            <w:r>
              <w:t>申报程序的合规，项目实施及资金使用符合项目规划</w:t>
            </w:r>
          </w:p>
        </w:tc>
        <w:tc>
          <w:tcPr>
            <w:tcW w:w="2268" w:type="dxa"/>
            <w:vAlign w:val="center"/>
          </w:tcPr>
          <w:p w14:paraId="1F22BD77">
            <w:pPr>
              <w:pStyle w:val="12"/>
            </w:pPr>
            <w:r>
              <w:t>100%</w:t>
            </w:r>
          </w:p>
        </w:tc>
        <w:tc>
          <w:tcPr>
            <w:tcW w:w="1276" w:type="dxa"/>
            <w:vAlign w:val="center"/>
          </w:tcPr>
          <w:p w14:paraId="0D7525B3">
            <w:pPr>
              <w:pStyle w:val="12"/>
            </w:pPr>
            <w:r>
              <w:t>项目规划</w:t>
            </w:r>
          </w:p>
        </w:tc>
      </w:tr>
      <w:tr w14:paraId="0192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B1F86"/>
        </w:tc>
        <w:tc>
          <w:tcPr>
            <w:tcW w:w="2268" w:type="dxa"/>
            <w:vAlign w:val="center"/>
          </w:tcPr>
          <w:p w14:paraId="2A0C3140">
            <w:pPr>
              <w:pStyle w:val="12"/>
            </w:pPr>
            <w:r>
              <w:t>时效指标</w:t>
            </w:r>
          </w:p>
        </w:tc>
        <w:tc>
          <w:tcPr>
            <w:tcW w:w="2835" w:type="dxa"/>
            <w:vAlign w:val="center"/>
          </w:tcPr>
          <w:p w14:paraId="0D743E62">
            <w:pPr>
              <w:pStyle w:val="12"/>
            </w:pPr>
            <w:r>
              <w:t>资金支付率</w:t>
            </w:r>
          </w:p>
        </w:tc>
        <w:tc>
          <w:tcPr>
            <w:tcW w:w="5386" w:type="dxa"/>
            <w:vAlign w:val="center"/>
          </w:tcPr>
          <w:p w14:paraId="0B826692">
            <w:pPr>
              <w:pStyle w:val="12"/>
            </w:pPr>
            <w:r>
              <w:t>按照序时进度完成资金支付</w:t>
            </w:r>
          </w:p>
        </w:tc>
        <w:tc>
          <w:tcPr>
            <w:tcW w:w="2268" w:type="dxa"/>
            <w:vAlign w:val="center"/>
          </w:tcPr>
          <w:p w14:paraId="6593499B">
            <w:pPr>
              <w:pStyle w:val="12"/>
            </w:pPr>
            <w:r>
              <w:t>100%</w:t>
            </w:r>
          </w:p>
        </w:tc>
        <w:tc>
          <w:tcPr>
            <w:tcW w:w="1276" w:type="dxa"/>
            <w:vAlign w:val="center"/>
          </w:tcPr>
          <w:p w14:paraId="1D1C9B61">
            <w:pPr>
              <w:pStyle w:val="12"/>
            </w:pPr>
            <w:r>
              <w:t>项目规划</w:t>
            </w:r>
          </w:p>
        </w:tc>
      </w:tr>
      <w:tr w14:paraId="51EC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728EA"/>
        </w:tc>
        <w:tc>
          <w:tcPr>
            <w:tcW w:w="2268" w:type="dxa"/>
            <w:vAlign w:val="center"/>
          </w:tcPr>
          <w:p w14:paraId="6C84EFD9">
            <w:pPr>
              <w:pStyle w:val="12"/>
            </w:pPr>
            <w:r>
              <w:t>成本指标</w:t>
            </w:r>
          </w:p>
        </w:tc>
        <w:tc>
          <w:tcPr>
            <w:tcW w:w="2835" w:type="dxa"/>
            <w:vAlign w:val="center"/>
          </w:tcPr>
          <w:p w14:paraId="6CB4BE2E">
            <w:pPr>
              <w:pStyle w:val="12"/>
            </w:pPr>
            <w:r>
              <w:t>项目成本控制情况</w:t>
            </w:r>
          </w:p>
        </w:tc>
        <w:tc>
          <w:tcPr>
            <w:tcW w:w="5386" w:type="dxa"/>
            <w:vAlign w:val="center"/>
          </w:tcPr>
          <w:p w14:paraId="126F5CA0">
            <w:pPr>
              <w:pStyle w:val="12"/>
            </w:pPr>
            <w:r>
              <w:t>严格按照招标价格及审计额进行</w:t>
            </w:r>
          </w:p>
        </w:tc>
        <w:tc>
          <w:tcPr>
            <w:tcW w:w="2268" w:type="dxa"/>
            <w:vAlign w:val="center"/>
          </w:tcPr>
          <w:p w14:paraId="611EB032">
            <w:pPr>
              <w:pStyle w:val="12"/>
            </w:pPr>
            <w:r>
              <w:t>41万元</w:t>
            </w:r>
          </w:p>
        </w:tc>
        <w:tc>
          <w:tcPr>
            <w:tcW w:w="1276" w:type="dxa"/>
            <w:vAlign w:val="center"/>
          </w:tcPr>
          <w:p w14:paraId="6B5D4DB4">
            <w:pPr>
              <w:pStyle w:val="12"/>
            </w:pPr>
            <w:r>
              <w:t>项目规划</w:t>
            </w:r>
          </w:p>
        </w:tc>
      </w:tr>
      <w:tr w14:paraId="7016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48F4D">
            <w:pPr>
              <w:pStyle w:val="13"/>
            </w:pPr>
            <w:r>
              <w:t>效益指标</w:t>
            </w:r>
          </w:p>
        </w:tc>
        <w:tc>
          <w:tcPr>
            <w:tcW w:w="2268" w:type="dxa"/>
            <w:vAlign w:val="center"/>
          </w:tcPr>
          <w:p w14:paraId="480ACA25">
            <w:pPr>
              <w:pStyle w:val="12"/>
            </w:pPr>
            <w:r>
              <w:t>社会效益指标</w:t>
            </w:r>
          </w:p>
        </w:tc>
        <w:tc>
          <w:tcPr>
            <w:tcW w:w="2835" w:type="dxa"/>
            <w:vAlign w:val="center"/>
          </w:tcPr>
          <w:p w14:paraId="27DDF607">
            <w:pPr>
              <w:pStyle w:val="12"/>
            </w:pPr>
            <w:r>
              <w:t>学校办学环境提升</w:t>
            </w:r>
          </w:p>
        </w:tc>
        <w:tc>
          <w:tcPr>
            <w:tcW w:w="5386" w:type="dxa"/>
            <w:vAlign w:val="center"/>
          </w:tcPr>
          <w:p w14:paraId="2B681FF3">
            <w:pPr>
              <w:pStyle w:val="12"/>
            </w:pPr>
            <w:r>
              <w:t>学校教学环境提升优化率</w:t>
            </w:r>
          </w:p>
        </w:tc>
        <w:tc>
          <w:tcPr>
            <w:tcW w:w="2268" w:type="dxa"/>
            <w:vAlign w:val="center"/>
          </w:tcPr>
          <w:p w14:paraId="0340004F">
            <w:pPr>
              <w:pStyle w:val="12"/>
            </w:pPr>
            <w:r>
              <w:t>≥98%</w:t>
            </w:r>
          </w:p>
        </w:tc>
        <w:tc>
          <w:tcPr>
            <w:tcW w:w="1276" w:type="dxa"/>
            <w:vAlign w:val="center"/>
          </w:tcPr>
          <w:p w14:paraId="5E713A92">
            <w:pPr>
              <w:pStyle w:val="12"/>
            </w:pPr>
            <w:r>
              <w:t>项目规划</w:t>
            </w:r>
          </w:p>
        </w:tc>
      </w:tr>
      <w:tr w14:paraId="4CF65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974C5">
            <w:pPr>
              <w:pStyle w:val="13"/>
            </w:pPr>
            <w:r>
              <w:t>满意度指标</w:t>
            </w:r>
          </w:p>
        </w:tc>
        <w:tc>
          <w:tcPr>
            <w:tcW w:w="2268" w:type="dxa"/>
            <w:vAlign w:val="center"/>
          </w:tcPr>
          <w:p w14:paraId="54695A36">
            <w:pPr>
              <w:pStyle w:val="12"/>
            </w:pPr>
            <w:r>
              <w:t>服务对象满意度指标</w:t>
            </w:r>
          </w:p>
        </w:tc>
        <w:tc>
          <w:tcPr>
            <w:tcW w:w="2835" w:type="dxa"/>
            <w:vAlign w:val="center"/>
          </w:tcPr>
          <w:p w14:paraId="36BFB535">
            <w:pPr>
              <w:pStyle w:val="12"/>
            </w:pPr>
            <w:r>
              <w:t>受益学生家长及调查满意度</w:t>
            </w:r>
          </w:p>
        </w:tc>
        <w:tc>
          <w:tcPr>
            <w:tcW w:w="5386" w:type="dxa"/>
            <w:vAlign w:val="center"/>
          </w:tcPr>
          <w:p w14:paraId="4E09DDA2">
            <w:pPr>
              <w:pStyle w:val="12"/>
            </w:pPr>
            <w:r>
              <w:t>学生、教师及家长对学校教学环境满意度情况</w:t>
            </w:r>
          </w:p>
        </w:tc>
        <w:tc>
          <w:tcPr>
            <w:tcW w:w="2268" w:type="dxa"/>
            <w:vAlign w:val="center"/>
          </w:tcPr>
          <w:p w14:paraId="3D5C607B">
            <w:pPr>
              <w:pStyle w:val="12"/>
            </w:pPr>
            <w:r>
              <w:t>≥95%</w:t>
            </w:r>
          </w:p>
        </w:tc>
        <w:tc>
          <w:tcPr>
            <w:tcW w:w="1276" w:type="dxa"/>
            <w:vAlign w:val="center"/>
          </w:tcPr>
          <w:p w14:paraId="135B541B">
            <w:pPr>
              <w:pStyle w:val="12"/>
            </w:pPr>
            <w:r>
              <w:t>项目规划</w:t>
            </w:r>
          </w:p>
        </w:tc>
      </w:tr>
    </w:tbl>
    <w:p w14:paraId="4A347FD1">
      <w:pPr>
        <w:sectPr>
          <w:pgSz w:w="16840" w:h="11900" w:orient="landscape"/>
          <w:pgMar w:top="1361" w:right="1020" w:bottom="1134" w:left="1020" w:header="720" w:footer="720" w:gutter="0"/>
          <w:cols w:space="720" w:num="1"/>
        </w:sectPr>
      </w:pPr>
    </w:p>
    <w:p w14:paraId="7AF33B40">
      <w:pPr>
        <w:spacing w:before="0" w:after="0"/>
        <w:ind w:firstLine="560"/>
        <w:jc w:val="left"/>
        <w:outlineLvl w:val="9"/>
      </w:pPr>
      <w:r>
        <w:rPr>
          <w:rFonts w:ascii="方正仿宋_GBK" w:hAnsi="方正仿宋_GBK" w:eastAsia="方正仿宋_GBK" w:cs="方正仿宋_GBK"/>
          <w:b/>
          <w:color w:val="000000"/>
          <w:sz w:val="28"/>
        </w:rPr>
        <w:t>10、冀财教[2025]121号/中央/义教/2026年校舍安全/杨村小学综合楼维修改造绩效目标表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A7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3237D">
            <w:pPr>
              <w:pStyle w:val="11"/>
            </w:pPr>
            <w:r>
              <w:t>单位：万元</w:t>
            </w:r>
          </w:p>
        </w:tc>
      </w:tr>
      <w:tr w14:paraId="5F592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5511D">
            <w:pPr>
              <w:pStyle w:val="10"/>
            </w:pPr>
            <w:r>
              <w:t>项目编码</w:t>
            </w:r>
          </w:p>
        </w:tc>
        <w:tc>
          <w:tcPr>
            <w:tcW w:w="5103" w:type="dxa"/>
            <w:gridSpan w:val="2"/>
            <w:vAlign w:val="center"/>
          </w:tcPr>
          <w:p w14:paraId="4CCB990A">
            <w:pPr>
              <w:pStyle w:val="12"/>
            </w:pPr>
            <w:r>
              <w:t>13052526P008762100904</w:t>
            </w:r>
          </w:p>
        </w:tc>
        <w:tc>
          <w:tcPr>
            <w:tcW w:w="2835" w:type="dxa"/>
            <w:vAlign w:val="center"/>
          </w:tcPr>
          <w:p w14:paraId="4A220E2A">
            <w:pPr>
              <w:pStyle w:val="10"/>
            </w:pPr>
            <w:r>
              <w:t>项目名称</w:t>
            </w:r>
          </w:p>
        </w:tc>
        <w:tc>
          <w:tcPr>
            <w:tcW w:w="6095" w:type="dxa"/>
            <w:gridSpan w:val="3"/>
            <w:vAlign w:val="center"/>
          </w:tcPr>
          <w:p w14:paraId="7B651816">
            <w:pPr>
              <w:pStyle w:val="12"/>
            </w:pPr>
            <w:r>
              <w:t>冀财教[2025]121号/中央/义教/2026年校舍安全/杨村小学综合楼维修改造</w:t>
            </w:r>
          </w:p>
        </w:tc>
      </w:tr>
      <w:tr w14:paraId="092B9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182F8">
            <w:pPr>
              <w:pStyle w:val="10"/>
            </w:pPr>
            <w:r>
              <w:t>预算规模及资金用途</w:t>
            </w:r>
          </w:p>
        </w:tc>
        <w:tc>
          <w:tcPr>
            <w:tcW w:w="2268" w:type="dxa"/>
            <w:vAlign w:val="center"/>
          </w:tcPr>
          <w:p w14:paraId="4D419BC8">
            <w:pPr>
              <w:pStyle w:val="10"/>
            </w:pPr>
            <w:r>
              <w:t>预算数</w:t>
            </w:r>
          </w:p>
        </w:tc>
        <w:tc>
          <w:tcPr>
            <w:tcW w:w="2835" w:type="dxa"/>
            <w:vAlign w:val="center"/>
          </w:tcPr>
          <w:p w14:paraId="251E0ECF">
            <w:pPr>
              <w:pStyle w:val="12"/>
            </w:pPr>
            <w:r>
              <w:t>43.00</w:t>
            </w:r>
          </w:p>
        </w:tc>
        <w:tc>
          <w:tcPr>
            <w:tcW w:w="2835" w:type="dxa"/>
            <w:vAlign w:val="center"/>
          </w:tcPr>
          <w:p w14:paraId="4EE65C47">
            <w:pPr>
              <w:pStyle w:val="10"/>
            </w:pPr>
            <w:r>
              <w:t>其中：财政    资金</w:t>
            </w:r>
          </w:p>
        </w:tc>
        <w:tc>
          <w:tcPr>
            <w:tcW w:w="2551" w:type="dxa"/>
            <w:vAlign w:val="center"/>
          </w:tcPr>
          <w:p w14:paraId="45882786">
            <w:pPr>
              <w:pStyle w:val="12"/>
            </w:pPr>
            <w:r>
              <w:t>43.00</w:t>
            </w:r>
          </w:p>
        </w:tc>
        <w:tc>
          <w:tcPr>
            <w:tcW w:w="2268" w:type="dxa"/>
            <w:vAlign w:val="center"/>
          </w:tcPr>
          <w:p w14:paraId="00880527">
            <w:pPr>
              <w:pStyle w:val="10"/>
            </w:pPr>
            <w:r>
              <w:t>其他资金</w:t>
            </w:r>
          </w:p>
        </w:tc>
        <w:tc>
          <w:tcPr>
            <w:tcW w:w="1276" w:type="dxa"/>
            <w:vAlign w:val="center"/>
          </w:tcPr>
          <w:p w14:paraId="7465E88D">
            <w:pPr>
              <w:pStyle w:val="12"/>
            </w:pPr>
            <w:r>
              <w:t xml:space="preserve"> </w:t>
            </w:r>
          </w:p>
        </w:tc>
      </w:tr>
      <w:tr w14:paraId="59388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A16A6"/>
        </w:tc>
        <w:tc>
          <w:tcPr>
            <w:tcW w:w="14033" w:type="dxa"/>
            <w:gridSpan w:val="6"/>
            <w:vAlign w:val="center"/>
          </w:tcPr>
          <w:p w14:paraId="76F50BC5">
            <w:pPr>
              <w:pStyle w:val="12"/>
            </w:pPr>
            <w:r>
              <w:t>改善就学条件，提升学校形象，保障义务教育阶段教学安全，创造良好的校园环境。</w:t>
            </w:r>
          </w:p>
        </w:tc>
      </w:tr>
      <w:tr w14:paraId="579C8091">
        <w:tblPrEx>
          <w:tblCellMar>
            <w:top w:w="0" w:type="dxa"/>
            <w:left w:w="108" w:type="dxa"/>
            <w:bottom w:w="0" w:type="dxa"/>
            <w:right w:w="108" w:type="dxa"/>
          </w:tblCellMar>
        </w:tblPrEx>
        <w:trPr>
          <w:trHeight w:val="369" w:hRule="atLeast"/>
          <w:jc w:val="center"/>
        </w:trPr>
        <w:tc>
          <w:tcPr>
            <w:tcW w:w="1276" w:type="dxa"/>
            <w:vMerge w:val="restart"/>
            <w:vAlign w:val="center"/>
          </w:tcPr>
          <w:p w14:paraId="609AA200">
            <w:pPr>
              <w:pStyle w:val="10"/>
            </w:pPr>
            <w:r>
              <w:t>资金支出计划（%）</w:t>
            </w:r>
          </w:p>
        </w:tc>
        <w:tc>
          <w:tcPr>
            <w:tcW w:w="5103" w:type="dxa"/>
            <w:gridSpan w:val="2"/>
            <w:vAlign w:val="center"/>
          </w:tcPr>
          <w:p w14:paraId="62DCC6D0">
            <w:pPr>
              <w:pStyle w:val="10"/>
            </w:pPr>
            <w:r>
              <w:t>3月底</w:t>
            </w:r>
          </w:p>
        </w:tc>
        <w:tc>
          <w:tcPr>
            <w:tcW w:w="2835" w:type="dxa"/>
            <w:vAlign w:val="center"/>
          </w:tcPr>
          <w:p w14:paraId="20597AB4">
            <w:pPr>
              <w:pStyle w:val="10"/>
            </w:pPr>
            <w:r>
              <w:t>6月底</w:t>
            </w:r>
          </w:p>
        </w:tc>
        <w:tc>
          <w:tcPr>
            <w:tcW w:w="2551" w:type="dxa"/>
            <w:vAlign w:val="center"/>
          </w:tcPr>
          <w:p w14:paraId="67869161">
            <w:pPr>
              <w:pStyle w:val="10"/>
            </w:pPr>
            <w:r>
              <w:t>10月底</w:t>
            </w:r>
          </w:p>
        </w:tc>
        <w:tc>
          <w:tcPr>
            <w:tcW w:w="3544" w:type="dxa"/>
            <w:gridSpan w:val="2"/>
            <w:vAlign w:val="center"/>
          </w:tcPr>
          <w:p w14:paraId="5D4E90BD">
            <w:pPr>
              <w:pStyle w:val="10"/>
            </w:pPr>
            <w:r>
              <w:t>12月底</w:t>
            </w:r>
          </w:p>
        </w:tc>
      </w:tr>
      <w:tr w14:paraId="7D4AEA75">
        <w:tblPrEx>
          <w:tblCellMar>
            <w:top w:w="0" w:type="dxa"/>
            <w:left w:w="108" w:type="dxa"/>
            <w:bottom w:w="0" w:type="dxa"/>
            <w:right w:w="108" w:type="dxa"/>
          </w:tblCellMar>
        </w:tblPrEx>
        <w:trPr>
          <w:trHeight w:val="369" w:hRule="atLeast"/>
          <w:jc w:val="center"/>
        </w:trPr>
        <w:tc>
          <w:tcPr>
            <w:tcW w:w="1276" w:type="dxa"/>
            <w:vMerge w:val="continue"/>
          </w:tcPr>
          <w:p w14:paraId="1A714FF7"/>
        </w:tc>
        <w:tc>
          <w:tcPr>
            <w:tcW w:w="5103" w:type="dxa"/>
            <w:gridSpan w:val="2"/>
            <w:vAlign w:val="center"/>
          </w:tcPr>
          <w:p w14:paraId="031C5BCF">
            <w:pPr>
              <w:pStyle w:val="13"/>
            </w:pPr>
            <w:r>
              <w:t xml:space="preserve"> </w:t>
            </w:r>
          </w:p>
        </w:tc>
        <w:tc>
          <w:tcPr>
            <w:tcW w:w="2835" w:type="dxa"/>
            <w:vAlign w:val="center"/>
          </w:tcPr>
          <w:p w14:paraId="02EAD3F0">
            <w:pPr>
              <w:pStyle w:val="13"/>
            </w:pPr>
            <w:r>
              <w:t xml:space="preserve"> </w:t>
            </w:r>
          </w:p>
        </w:tc>
        <w:tc>
          <w:tcPr>
            <w:tcW w:w="2551" w:type="dxa"/>
            <w:vAlign w:val="center"/>
          </w:tcPr>
          <w:p w14:paraId="5FB8D312">
            <w:pPr>
              <w:pStyle w:val="13"/>
            </w:pPr>
            <w:r>
              <w:t>100%</w:t>
            </w:r>
          </w:p>
        </w:tc>
        <w:tc>
          <w:tcPr>
            <w:tcW w:w="3544" w:type="dxa"/>
            <w:gridSpan w:val="2"/>
            <w:vAlign w:val="center"/>
          </w:tcPr>
          <w:p w14:paraId="16CB6932">
            <w:pPr>
              <w:pStyle w:val="13"/>
            </w:pPr>
            <w:r>
              <w:t>100%</w:t>
            </w:r>
          </w:p>
        </w:tc>
      </w:tr>
      <w:tr w14:paraId="75DE9648">
        <w:tblPrEx>
          <w:tblCellMar>
            <w:top w:w="0" w:type="dxa"/>
            <w:left w:w="108" w:type="dxa"/>
            <w:bottom w:w="0" w:type="dxa"/>
            <w:right w:w="108" w:type="dxa"/>
          </w:tblCellMar>
        </w:tblPrEx>
        <w:trPr>
          <w:trHeight w:val="369" w:hRule="atLeast"/>
          <w:jc w:val="center"/>
        </w:trPr>
        <w:tc>
          <w:tcPr>
            <w:tcW w:w="1276" w:type="dxa"/>
            <w:vAlign w:val="center"/>
          </w:tcPr>
          <w:p w14:paraId="1868C7B8">
            <w:pPr>
              <w:pStyle w:val="10"/>
            </w:pPr>
            <w:r>
              <w:t>绩效目标</w:t>
            </w:r>
          </w:p>
        </w:tc>
        <w:tc>
          <w:tcPr>
            <w:tcW w:w="14033" w:type="dxa"/>
            <w:gridSpan w:val="6"/>
            <w:vAlign w:val="center"/>
          </w:tcPr>
          <w:p w14:paraId="6356CF12">
            <w:pPr>
              <w:pStyle w:val="12"/>
            </w:pPr>
            <w:r>
              <w:t>1.项目需资金43万元，资金拨付率达到100%。</w:t>
            </w:r>
          </w:p>
          <w:p w14:paraId="2AEF2DAE">
            <w:pPr>
              <w:pStyle w:val="12"/>
            </w:pPr>
            <w:r>
              <w:t>2.改善就学条件，提升学校形象，保障义务教育阶段教学安全，创造良好的校园环境。</w:t>
            </w:r>
          </w:p>
        </w:tc>
      </w:tr>
    </w:tbl>
    <w:p w14:paraId="24EAC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B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BD6DB">
            <w:pPr>
              <w:pStyle w:val="10"/>
            </w:pPr>
            <w:r>
              <w:t>一级指标</w:t>
            </w:r>
          </w:p>
        </w:tc>
        <w:tc>
          <w:tcPr>
            <w:tcW w:w="2268" w:type="dxa"/>
            <w:vAlign w:val="center"/>
          </w:tcPr>
          <w:p w14:paraId="513B16E2">
            <w:pPr>
              <w:pStyle w:val="10"/>
            </w:pPr>
            <w:r>
              <w:t>二级指标</w:t>
            </w:r>
          </w:p>
        </w:tc>
        <w:tc>
          <w:tcPr>
            <w:tcW w:w="2835" w:type="dxa"/>
            <w:vAlign w:val="center"/>
          </w:tcPr>
          <w:p w14:paraId="082C0941">
            <w:pPr>
              <w:pStyle w:val="10"/>
            </w:pPr>
            <w:r>
              <w:t>三级指标</w:t>
            </w:r>
          </w:p>
        </w:tc>
        <w:tc>
          <w:tcPr>
            <w:tcW w:w="5386" w:type="dxa"/>
            <w:vAlign w:val="center"/>
          </w:tcPr>
          <w:p w14:paraId="34161DE1">
            <w:pPr>
              <w:pStyle w:val="10"/>
            </w:pPr>
            <w:r>
              <w:t>绩效指标描述</w:t>
            </w:r>
          </w:p>
        </w:tc>
        <w:tc>
          <w:tcPr>
            <w:tcW w:w="2268" w:type="dxa"/>
            <w:vAlign w:val="center"/>
          </w:tcPr>
          <w:p w14:paraId="1831AD9D">
            <w:pPr>
              <w:pStyle w:val="10"/>
            </w:pPr>
            <w:r>
              <w:t>指标值</w:t>
            </w:r>
          </w:p>
        </w:tc>
        <w:tc>
          <w:tcPr>
            <w:tcW w:w="1276" w:type="dxa"/>
            <w:vAlign w:val="center"/>
          </w:tcPr>
          <w:p w14:paraId="3AD0BD91">
            <w:pPr>
              <w:pStyle w:val="10"/>
            </w:pPr>
            <w:r>
              <w:t>指标值确定依据</w:t>
            </w:r>
          </w:p>
        </w:tc>
      </w:tr>
      <w:tr w14:paraId="107E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51A6E">
            <w:pPr>
              <w:pStyle w:val="13"/>
            </w:pPr>
            <w:r>
              <w:t>产出指标</w:t>
            </w:r>
          </w:p>
        </w:tc>
        <w:tc>
          <w:tcPr>
            <w:tcW w:w="2268" w:type="dxa"/>
            <w:vAlign w:val="center"/>
          </w:tcPr>
          <w:p w14:paraId="12B67BA5">
            <w:pPr>
              <w:pStyle w:val="12"/>
            </w:pPr>
            <w:r>
              <w:t>数量指标</w:t>
            </w:r>
          </w:p>
        </w:tc>
        <w:tc>
          <w:tcPr>
            <w:tcW w:w="2835" w:type="dxa"/>
            <w:vAlign w:val="center"/>
          </w:tcPr>
          <w:p w14:paraId="17F7293F">
            <w:pPr>
              <w:pStyle w:val="12"/>
            </w:pPr>
            <w:r>
              <w:t>杨村小学综合楼维修改造</w:t>
            </w:r>
          </w:p>
        </w:tc>
        <w:tc>
          <w:tcPr>
            <w:tcW w:w="5386" w:type="dxa"/>
            <w:vAlign w:val="center"/>
          </w:tcPr>
          <w:p w14:paraId="22CC7BBE">
            <w:pPr>
              <w:pStyle w:val="12"/>
            </w:pPr>
            <w:r>
              <w:t>室内刮墙、外墙保温、外墙粉刷等</w:t>
            </w:r>
          </w:p>
        </w:tc>
        <w:tc>
          <w:tcPr>
            <w:tcW w:w="2268" w:type="dxa"/>
            <w:vAlign w:val="center"/>
          </w:tcPr>
          <w:p w14:paraId="10534F06">
            <w:pPr>
              <w:pStyle w:val="12"/>
            </w:pPr>
            <w:r>
              <w:t>1项</w:t>
            </w:r>
          </w:p>
        </w:tc>
        <w:tc>
          <w:tcPr>
            <w:tcW w:w="1276" w:type="dxa"/>
            <w:vAlign w:val="center"/>
          </w:tcPr>
          <w:p w14:paraId="07BA197B">
            <w:pPr>
              <w:pStyle w:val="12"/>
            </w:pPr>
            <w:r>
              <w:t>项目规划</w:t>
            </w:r>
          </w:p>
        </w:tc>
      </w:tr>
      <w:tr w14:paraId="3473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6BC03"/>
        </w:tc>
        <w:tc>
          <w:tcPr>
            <w:tcW w:w="2268" w:type="dxa"/>
            <w:vAlign w:val="center"/>
          </w:tcPr>
          <w:p w14:paraId="77C02A39">
            <w:pPr>
              <w:pStyle w:val="12"/>
            </w:pPr>
            <w:r>
              <w:t>质量指标</w:t>
            </w:r>
          </w:p>
        </w:tc>
        <w:tc>
          <w:tcPr>
            <w:tcW w:w="2835" w:type="dxa"/>
            <w:vAlign w:val="center"/>
          </w:tcPr>
          <w:p w14:paraId="177D076C">
            <w:pPr>
              <w:pStyle w:val="12"/>
            </w:pPr>
            <w:r>
              <w:t>工程实施验收合格率</w:t>
            </w:r>
          </w:p>
        </w:tc>
        <w:tc>
          <w:tcPr>
            <w:tcW w:w="5386" w:type="dxa"/>
            <w:vAlign w:val="center"/>
          </w:tcPr>
          <w:p w14:paraId="06C461B4">
            <w:pPr>
              <w:pStyle w:val="12"/>
            </w:pPr>
            <w:r>
              <w:t>申报程序的合规，项目实施及资金使用符合项目规划</w:t>
            </w:r>
          </w:p>
        </w:tc>
        <w:tc>
          <w:tcPr>
            <w:tcW w:w="2268" w:type="dxa"/>
            <w:vAlign w:val="center"/>
          </w:tcPr>
          <w:p w14:paraId="46F9A1EA">
            <w:pPr>
              <w:pStyle w:val="12"/>
            </w:pPr>
            <w:r>
              <w:t>100%</w:t>
            </w:r>
          </w:p>
        </w:tc>
        <w:tc>
          <w:tcPr>
            <w:tcW w:w="1276" w:type="dxa"/>
            <w:vAlign w:val="center"/>
          </w:tcPr>
          <w:p w14:paraId="70EE870E">
            <w:pPr>
              <w:pStyle w:val="12"/>
            </w:pPr>
            <w:r>
              <w:t>项目规划</w:t>
            </w:r>
          </w:p>
        </w:tc>
      </w:tr>
      <w:tr w14:paraId="2723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10286"/>
        </w:tc>
        <w:tc>
          <w:tcPr>
            <w:tcW w:w="2268" w:type="dxa"/>
            <w:vAlign w:val="center"/>
          </w:tcPr>
          <w:p w14:paraId="4BE6EC63">
            <w:pPr>
              <w:pStyle w:val="12"/>
            </w:pPr>
            <w:r>
              <w:t>时效指标</w:t>
            </w:r>
          </w:p>
        </w:tc>
        <w:tc>
          <w:tcPr>
            <w:tcW w:w="2835" w:type="dxa"/>
            <w:vAlign w:val="center"/>
          </w:tcPr>
          <w:p w14:paraId="0D896B2E">
            <w:pPr>
              <w:pStyle w:val="12"/>
            </w:pPr>
            <w:r>
              <w:t>资金支付率</w:t>
            </w:r>
          </w:p>
        </w:tc>
        <w:tc>
          <w:tcPr>
            <w:tcW w:w="5386" w:type="dxa"/>
            <w:vAlign w:val="center"/>
          </w:tcPr>
          <w:p w14:paraId="1170CF58">
            <w:pPr>
              <w:pStyle w:val="12"/>
            </w:pPr>
            <w:r>
              <w:t>按照序时进度完成资金支付</w:t>
            </w:r>
          </w:p>
        </w:tc>
        <w:tc>
          <w:tcPr>
            <w:tcW w:w="2268" w:type="dxa"/>
            <w:vAlign w:val="center"/>
          </w:tcPr>
          <w:p w14:paraId="1B2CDDAA">
            <w:pPr>
              <w:pStyle w:val="12"/>
            </w:pPr>
            <w:r>
              <w:t>100%</w:t>
            </w:r>
          </w:p>
        </w:tc>
        <w:tc>
          <w:tcPr>
            <w:tcW w:w="1276" w:type="dxa"/>
            <w:vAlign w:val="center"/>
          </w:tcPr>
          <w:p w14:paraId="06658674">
            <w:pPr>
              <w:pStyle w:val="12"/>
            </w:pPr>
            <w:r>
              <w:t>项目规划</w:t>
            </w:r>
          </w:p>
        </w:tc>
      </w:tr>
      <w:tr w14:paraId="37BA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99486"/>
        </w:tc>
        <w:tc>
          <w:tcPr>
            <w:tcW w:w="2268" w:type="dxa"/>
            <w:vAlign w:val="center"/>
          </w:tcPr>
          <w:p w14:paraId="79966F01">
            <w:pPr>
              <w:pStyle w:val="12"/>
            </w:pPr>
            <w:r>
              <w:t>成本指标</w:t>
            </w:r>
          </w:p>
        </w:tc>
        <w:tc>
          <w:tcPr>
            <w:tcW w:w="2835" w:type="dxa"/>
            <w:vAlign w:val="center"/>
          </w:tcPr>
          <w:p w14:paraId="35746B4A">
            <w:pPr>
              <w:pStyle w:val="12"/>
            </w:pPr>
            <w:r>
              <w:t>项目成本控制情况</w:t>
            </w:r>
          </w:p>
        </w:tc>
        <w:tc>
          <w:tcPr>
            <w:tcW w:w="5386" w:type="dxa"/>
            <w:vAlign w:val="center"/>
          </w:tcPr>
          <w:p w14:paraId="110D3FDC">
            <w:pPr>
              <w:pStyle w:val="12"/>
            </w:pPr>
            <w:r>
              <w:t>严格按照招标价格及审计额进行</w:t>
            </w:r>
          </w:p>
        </w:tc>
        <w:tc>
          <w:tcPr>
            <w:tcW w:w="2268" w:type="dxa"/>
            <w:vAlign w:val="center"/>
          </w:tcPr>
          <w:p w14:paraId="2673C279">
            <w:pPr>
              <w:pStyle w:val="12"/>
            </w:pPr>
            <w:r>
              <w:t>43万元</w:t>
            </w:r>
          </w:p>
        </w:tc>
        <w:tc>
          <w:tcPr>
            <w:tcW w:w="1276" w:type="dxa"/>
            <w:vAlign w:val="center"/>
          </w:tcPr>
          <w:p w14:paraId="13690451">
            <w:pPr>
              <w:pStyle w:val="12"/>
            </w:pPr>
            <w:r>
              <w:t>项目规划</w:t>
            </w:r>
          </w:p>
        </w:tc>
      </w:tr>
      <w:tr w14:paraId="5233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E5D2F">
            <w:pPr>
              <w:pStyle w:val="13"/>
            </w:pPr>
            <w:r>
              <w:t>效益指标</w:t>
            </w:r>
          </w:p>
        </w:tc>
        <w:tc>
          <w:tcPr>
            <w:tcW w:w="2268" w:type="dxa"/>
            <w:vAlign w:val="center"/>
          </w:tcPr>
          <w:p w14:paraId="64AF1573">
            <w:pPr>
              <w:pStyle w:val="12"/>
            </w:pPr>
            <w:r>
              <w:t>社会效益指标</w:t>
            </w:r>
          </w:p>
        </w:tc>
        <w:tc>
          <w:tcPr>
            <w:tcW w:w="2835" w:type="dxa"/>
            <w:vAlign w:val="center"/>
          </w:tcPr>
          <w:p w14:paraId="5AD6FFE5">
            <w:pPr>
              <w:pStyle w:val="12"/>
            </w:pPr>
            <w:r>
              <w:t>学校办学环境提升</w:t>
            </w:r>
          </w:p>
        </w:tc>
        <w:tc>
          <w:tcPr>
            <w:tcW w:w="5386" w:type="dxa"/>
            <w:vAlign w:val="center"/>
          </w:tcPr>
          <w:p w14:paraId="193A9862">
            <w:pPr>
              <w:pStyle w:val="12"/>
            </w:pPr>
            <w:r>
              <w:t>学校教学环境提升优化率</w:t>
            </w:r>
          </w:p>
        </w:tc>
        <w:tc>
          <w:tcPr>
            <w:tcW w:w="2268" w:type="dxa"/>
            <w:vAlign w:val="center"/>
          </w:tcPr>
          <w:p w14:paraId="01DE0697">
            <w:pPr>
              <w:pStyle w:val="12"/>
            </w:pPr>
            <w:r>
              <w:t>≥98%</w:t>
            </w:r>
          </w:p>
        </w:tc>
        <w:tc>
          <w:tcPr>
            <w:tcW w:w="1276" w:type="dxa"/>
            <w:vAlign w:val="center"/>
          </w:tcPr>
          <w:p w14:paraId="7DD8A14A">
            <w:pPr>
              <w:pStyle w:val="12"/>
            </w:pPr>
            <w:r>
              <w:t>项目规划</w:t>
            </w:r>
          </w:p>
        </w:tc>
      </w:tr>
      <w:tr w14:paraId="3658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715F4">
            <w:pPr>
              <w:pStyle w:val="13"/>
            </w:pPr>
            <w:r>
              <w:t>满意度指标</w:t>
            </w:r>
          </w:p>
        </w:tc>
        <w:tc>
          <w:tcPr>
            <w:tcW w:w="2268" w:type="dxa"/>
            <w:vAlign w:val="center"/>
          </w:tcPr>
          <w:p w14:paraId="26F91AAA">
            <w:pPr>
              <w:pStyle w:val="12"/>
            </w:pPr>
            <w:r>
              <w:t>服务对象满意度指标</w:t>
            </w:r>
          </w:p>
        </w:tc>
        <w:tc>
          <w:tcPr>
            <w:tcW w:w="2835" w:type="dxa"/>
            <w:vAlign w:val="center"/>
          </w:tcPr>
          <w:p w14:paraId="52F1305A">
            <w:pPr>
              <w:pStyle w:val="12"/>
            </w:pPr>
            <w:r>
              <w:t>受益学生家长及调查满意度</w:t>
            </w:r>
          </w:p>
        </w:tc>
        <w:tc>
          <w:tcPr>
            <w:tcW w:w="5386" w:type="dxa"/>
            <w:vAlign w:val="center"/>
          </w:tcPr>
          <w:p w14:paraId="6CF264CC">
            <w:pPr>
              <w:pStyle w:val="12"/>
            </w:pPr>
            <w:r>
              <w:t>学生、教师及家长对学校教学环境满意度情况</w:t>
            </w:r>
          </w:p>
        </w:tc>
        <w:tc>
          <w:tcPr>
            <w:tcW w:w="2268" w:type="dxa"/>
            <w:vAlign w:val="center"/>
          </w:tcPr>
          <w:p w14:paraId="0E803458">
            <w:pPr>
              <w:pStyle w:val="12"/>
            </w:pPr>
            <w:r>
              <w:t>≥95%</w:t>
            </w:r>
          </w:p>
        </w:tc>
        <w:tc>
          <w:tcPr>
            <w:tcW w:w="1276" w:type="dxa"/>
            <w:vAlign w:val="center"/>
          </w:tcPr>
          <w:p w14:paraId="66B366E9">
            <w:pPr>
              <w:pStyle w:val="12"/>
            </w:pPr>
            <w:r>
              <w:t>调查问卷</w:t>
            </w:r>
          </w:p>
        </w:tc>
      </w:tr>
    </w:tbl>
    <w:p w14:paraId="6B1A5C34">
      <w:pPr>
        <w:sectPr>
          <w:pgSz w:w="16840" w:h="11900" w:orient="landscape"/>
          <w:pgMar w:top="1361" w:right="1020" w:bottom="1134" w:left="1020" w:header="720" w:footer="720" w:gutter="0"/>
          <w:cols w:space="720" w:num="1"/>
        </w:sectPr>
      </w:pPr>
    </w:p>
    <w:p w14:paraId="60097330">
      <w:pPr>
        <w:spacing w:before="0" w:after="0"/>
        <w:ind w:firstLine="560"/>
        <w:jc w:val="left"/>
        <w:outlineLvl w:val="9"/>
      </w:pPr>
      <w:r>
        <w:rPr>
          <w:rFonts w:ascii="方正仿宋_GBK" w:hAnsi="方正仿宋_GBK" w:eastAsia="方正仿宋_GBK" w:cs="方正仿宋_GBK"/>
          <w:b/>
          <w:color w:val="000000"/>
          <w:sz w:val="28"/>
        </w:rPr>
        <w:t>11、冀财教[2025]122号/中央/2026年学前发展资金/尹村校区学前教育幼儿资助绩效目标表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94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45A48">
            <w:pPr>
              <w:pStyle w:val="11"/>
            </w:pPr>
            <w:r>
              <w:t>单位：万元</w:t>
            </w:r>
          </w:p>
        </w:tc>
      </w:tr>
      <w:tr w14:paraId="178DD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8FBD9">
            <w:pPr>
              <w:pStyle w:val="10"/>
            </w:pPr>
            <w:r>
              <w:t>项目编码</w:t>
            </w:r>
          </w:p>
        </w:tc>
        <w:tc>
          <w:tcPr>
            <w:tcW w:w="5103" w:type="dxa"/>
            <w:gridSpan w:val="2"/>
            <w:vAlign w:val="center"/>
          </w:tcPr>
          <w:p w14:paraId="0944AB2D">
            <w:pPr>
              <w:pStyle w:val="12"/>
            </w:pPr>
            <w:r>
              <w:t>13052526P00000210057P</w:t>
            </w:r>
          </w:p>
        </w:tc>
        <w:tc>
          <w:tcPr>
            <w:tcW w:w="2835" w:type="dxa"/>
            <w:vAlign w:val="center"/>
          </w:tcPr>
          <w:p w14:paraId="46B260BB">
            <w:pPr>
              <w:pStyle w:val="10"/>
            </w:pPr>
            <w:r>
              <w:t>项目名称</w:t>
            </w:r>
          </w:p>
        </w:tc>
        <w:tc>
          <w:tcPr>
            <w:tcW w:w="6095" w:type="dxa"/>
            <w:gridSpan w:val="3"/>
            <w:vAlign w:val="center"/>
          </w:tcPr>
          <w:p w14:paraId="590CF552">
            <w:pPr>
              <w:pStyle w:val="12"/>
            </w:pPr>
            <w:r>
              <w:t>冀财教[2025]122号/中央/2026年学前发展资金/尹村校区学前教育幼儿资助</w:t>
            </w:r>
          </w:p>
        </w:tc>
      </w:tr>
      <w:tr w14:paraId="698BF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E6AF9">
            <w:pPr>
              <w:pStyle w:val="10"/>
            </w:pPr>
            <w:r>
              <w:t>预算规模及资金用途</w:t>
            </w:r>
          </w:p>
        </w:tc>
        <w:tc>
          <w:tcPr>
            <w:tcW w:w="2268" w:type="dxa"/>
            <w:vAlign w:val="center"/>
          </w:tcPr>
          <w:p w14:paraId="79B997B7">
            <w:pPr>
              <w:pStyle w:val="10"/>
            </w:pPr>
            <w:r>
              <w:t>预算数</w:t>
            </w:r>
          </w:p>
        </w:tc>
        <w:tc>
          <w:tcPr>
            <w:tcW w:w="2835" w:type="dxa"/>
            <w:vAlign w:val="center"/>
          </w:tcPr>
          <w:p w14:paraId="425E306D">
            <w:pPr>
              <w:pStyle w:val="12"/>
            </w:pPr>
            <w:r>
              <w:t>3.06</w:t>
            </w:r>
          </w:p>
        </w:tc>
        <w:tc>
          <w:tcPr>
            <w:tcW w:w="2835" w:type="dxa"/>
            <w:vAlign w:val="center"/>
          </w:tcPr>
          <w:p w14:paraId="6C60F244">
            <w:pPr>
              <w:pStyle w:val="10"/>
            </w:pPr>
            <w:r>
              <w:t>其中：财政    资金</w:t>
            </w:r>
          </w:p>
        </w:tc>
        <w:tc>
          <w:tcPr>
            <w:tcW w:w="2551" w:type="dxa"/>
            <w:vAlign w:val="center"/>
          </w:tcPr>
          <w:p w14:paraId="68E5B053">
            <w:pPr>
              <w:pStyle w:val="12"/>
            </w:pPr>
            <w:r>
              <w:t>3.06</w:t>
            </w:r>
          </w:p>
        </w:tc>
        <w:tc>
          <w:tcPr>
            <w:tcW w:w="2268" w:type="dxa"/>
            <w:vAlign w:val="center"/>
          </w:tcPr>
          <w:p w14:paraId="0F22C4BC">
            <w:pPr>
              <w:pStyle w:val="10"/>
            </w:pPr>
            <w:r>
              <w:t>其他资金</w:t>
            </w:r>
          </w:p>
        </w:tc>
        <w:tc>
          <w:tcPr>
            <w:tcW w:w="1276" w:type="dxa"/>
            <w:vAlign w:val="center"/>
          </w:tcPr>
          <w:p w14:paraId="7F7A1EA5">
            <w:pPr>
              <w:pStyle w:val="12"/>
            </w:pPr>
            <w:r>
              <w:t xml:space="preserve"> </w:t>
            </w:r>
          </w:p>
        </w:tc>
      </w:tr>
      <w:tr w14:paraId="223C1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6FB07"/>
        </w:tc>
        <w:tc>
          <w:tcPr>
            <w:tcW w:w="14033" w:type="dxa"/>
            <w:gridSpan w:val="6"/>
            <w:vAlign w:val="center"/>
          </w:tcPr>
          <w:p w14:paraId="6E054A3C">
            <w:pPr>
              <w:pStyle w:val="12"/>
            </w:pPr>
            <w:r>
              <w:t>保证本年度资助经费足额落实到位，符合享受资助条件的学生应助尽助。</w:t>
            </w:r>
          </w:p>
        </w:tc>
      </w:tr>
      <w:tr w14:paraId="293BB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FA8E7">
            <w:pPr>
              <w:pStyle w:val="10"/>
            </w:pPr>
            <w:r>
              <w:t>资金支出计划（%）</w:t>
            </w:r>
          </w:p>
        </w:tc>
        <w:tc>
          <w:tcPr>
            <w:tcW w:w="5103" w:type="dxa"/>
            <w:gridSpan w:val="2"/>
            <w:vAlign w:val="center"/>
          </w:tcPr>
          <w:p w14:paraId="29123DFE">
            <w:pPr>
              <w:pStyle w:val="10"/>
            </w:pPr>
            <w:r>
              <w:t>3月底</w:t>
            </w:r>
          </w:p>
        </w:tc>
        <w:tc>
          <w:tcPr>
            <w:tcW w:w="2835" w:type="dxa"/>
            <w:vAlign w:val="center"/>
          </w:tcPr>
          <w:p w14:paraId="1AE5669F">
            <w:pPr>
              <w:pStyle w:val="10"/>
            </w:pPr>
            <w:r>
              <w:t>6月底</w:t>
            </w:r>
          </w:p>
        </w:tc>
        <w:tc>
          <w:tcPr>
            <w:tcW w:w="2551" w:type="dxa"/>
            <w:vAlign w:val="center"/>
          </w:tcPr>
          <w:p w14:paraId="1E592FCA">
            <w:pPr>
              <w:pStyle w:val="10"/>
            </w:pPr>
            <w:r>
              <w:t>10月底</w:t>
            </w:r>
          </w:p>
        </w:tc>
        <w:tc>
          <w:tcPr>
            <w:tcW w:w="3544" w:type="dxa"/>
            <w:gridSpan w:val="2"/>
            <w:vAlign w:val="center"/>
          </w:tcPr>
          <w:p w14:paraId="6D4B1A16">
            <w:pPr>
              <w:pStyle w:val="10"/>
            </w:pPr>
            <w:r>
              <w:t>12月底</w:t>
            </w:r>
          </w:p>
        </w:tc>
      </w:tr>
      <w:tr w14:paraId="35470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369AC"/>
        </w:tc>
        <w:tc>
          <w:tcPr>
            <w:tcW w:w="5103" w:type="dxa"/>
            <w:gridSpan w:val="2"/>
            <w:vAlign w:val="center"/>
          </w:tcPr>
          <w:p w14:paraId="6A888336">
            <w:pPr>
              <w:pStyle w:val="13"/>
            </w:pPr>
            <w:r>
              <w:t>25%</w:t>
            </w:r>
          </w:p>
        </w:tc>
        <w:tc>
          <w:tcPr>
            <w:tcW w:w="2835" w:type="dxa"/>
            <w:vAlign w:val="center"/>
          </w:tcPr>
          <w:p w14:paraId="1F5955BF">
            <w:pPr>
              <w:pStyle w:val="13"/>
            </w:pPr>
            <w:r>
              <w:t>50%</w:t>
            </w:r>
          </w:p>
        </w:tc>
        <w:tc>
          <w:tcPr>
            <w:tcW w:w="2551" w:type="dxa"/>
            <w:vAlign w:val="center"/>
          </w:tcPr>
          <w:p w14:paraId="255DEC00">
            <w:pPr>
              <w:pStyle w:val="13"/>
            </w:pPr>
            <w:r>
              <w:t>75%</w:t>
            </w:r>
          </w:p>
        </w:tc>
        <w:tc>
          <w:tcPr>
            <w:tcW w:w="3544" w:type="dxa"/>
            <w:gridSpan w:val="2"/>
            <w:vAlign w:val="center"/>
          </w:tcPr>
          <w:p w14:paraId="2D1875CC">
            <w:pPr>
              <w:pStyle w:val="13"/>
            </w:pPr>
            <w:r>
              <w:t>100%</w:t>
            </w:r>
          </w:p>
        </w:tc>
      </w:tr>
      <w:tr w14:paraId="5C37A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83EBD">
            <w:pPr>
              <w:pStyle w:val="10"/>
            </w:pPr>
            <w:r>
              <w:t>绩效目标</w:t>
            </w:r>
          </w:p>
        </w:tc>
        <w:tc>
          <w:tcPr>
            <w:tcW w:w="14033" w:type="dxa"/>
            <w:gridSpan w:val="6"/>
            <w:vAlign w:val="center"/>
          </w:tcPr>
          <w:p w14:paraId="332F198C">
            <w:pPr>
              <w:pStyle w:val="12"/>
            </w:pPr>
            <w:r>
              <w:t>1.保证本年度资助经费足额落实到位，符合享受资助条件的学生应助尽助。</w:t>
            </w:r>
          </w:p>
        </w:tc>
      </w:tr>
    </w:tbl>
    <w:p w14:paraId="5D60B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7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7BD6F">
            <w:pPr>
              <w:pStyle w:val="10"/>
            </w:pPr>
            <w:r>
              <w:t>一级指标</w:t>
            </w:r>
          </w:p>
        </w:tc>
        <w:tc>
          <w:tcPr>
            <w:tcW w:w="2268" w:type="dxa"/>
            <w:vAlign w:val="center"/>
          </w:tcPr>
          <w:p w14:paraId="128B4D09">
            <w:pPr>
              <w:pStyle w:val="10"/>
            </w:pPr>
            <w:r>
              <w:t>二级指标</w:t>
            </w:r>
          </w:p>
        </w:tc>
        <w:tc>
          <w:tcPr>
            <w:tcW w:w="2835" w:type="dxa"/>
            <w:vAlign w:val="center"/>
          </w:tcPr>
          <w:p w14:paraId="35C46AC9">
            <w:pPr>
              <w:pStyle w:val="10"/>
            </w:pPr>
            <w:r>
              <w:t>三级指标</w:t>
            </w:r>
          </w:p>
        </w:tc>
        <w:tc>
          <w:tcPr>
            <w:tcW w:w="5386" w:type="dxa"/>
            <w:vAlign w:val="center"/>
          </w:tcPr>
          <w:p w14:paraId="09355660">
            <w:pPr>
              <w:pStyle w:val="10"/>
            </w:pPr>
            <w:r>
              <w:t>绩效指标描述</w:t>
            </w:r>
          </w:p>
        </w:tc>
        <w:tc>
          <w:tcPr>
            <w:tcW w:w="2268" w:type="dxa"/>
            <w:vAlign w:val="center"/>
          </w:tcPr>
          <w:p w14:paraId="3E58C745">
            <w:pPr>
              <w:pStyle w:val="10"/>
            </w:pPr>
            <w:r>
              <w:t>指标值</w:t>
            </w:r>
          </w:p>
        </w:tc>
        <w:tc>
          <w:tcPr>
            <w:tcW w:w="1276" w:type="dxa"/>
            <w:vAlign w:val="center"/>
          </w:tcPr>
          <w:p w14:paraId="04FFF2D7">
            <w:pPr>
              <w:pStyle w:val="10"/>
            </w:pPr>
            <w:r>
              <w:t>指标值确定依据</w:t>
            </w:r>
          </w:p>
        </w:tc>
      </w:tr>
      <w:tr w14:paraId="221B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54C21">
            <w:pPr>
              <w:pStyle w:val="13"/>
            </w:pPr>
            <w:r>
              <w:t>产出指标</w:t>
            </w:r>
          </w:p>
        </w:tc>
        <w:tc>
          <w:tcPr>
            <w:tcW w:w="2268" w:type="dxa"/>
            <w:vAlign w:val="center"/>
          </w:tcPr>
          <w:p w14:paraId="1840B773">
            <w:pPr>
              <w:pStyle w:val="12"/>
            </w:pPr>
            <w:r>
              <w:t>数量指标</w:t>
            </w:r>
          </w:p>
        </w:tc>
        <w:tc>
          <w:tcPr>
            <w:tcW w:w="2835" w:type="dxa"/>
            <w:vAlign w:val="center"/>
          </w:tcPr>
          <w:p w14:paraId="605EF029">
            <w:pPr>
              <w:pStyle w:val="12"/>
            </w:pPr>
            <w:r>
              <w:t xml:space="preserve"> 幼儿资助人数</w:t>
            </w:r>
          </w:p>
        </w:tc>
        <w:tc>
          <w:tcPr>
            <w:tcW w:w="5386" w:type="dxa"/>
            <w:vAlign w:val="center"/>
          </w:tcPr>
          <w:p w14:paraId="255324EA">
            <w:pPr>
              <w:pStyle w:val="12"/>
            </w:pPr>
            <w:r>
              <w:t xml:space="preserve"> 幼儿资助人数</w:t>
            </w:r>
          </w:p>
        </w:tc>
        <w:tc>
          <w:tcPr>
            <w:tcW w:w="2268" w:type="dxa"/>
            <w:vAlign w:val="center"/>
          </w:tcPr>
          <w:p w14:paraId="376B27F8">
            <w:pPr>
              <w:pStyle w:val="12"/>
            </w:pPr>
            <w:r>
              <w:t>51 人</w:t>
            </w:r>
          </w:p>
        </w:tc>
        <w:tc>
          <w:tcPr>
            <w:tcW w:w="1276" w:type="dxa"/>
            <w:vAlign w:val="center"/>
          </w:tcPr>
          <w:p w14:paraId="7D139775">
            <w:pPr>
              <w:pStyle w:val="12"/>
            </w:pPr>
            <w:r>
              <w:t>幼儿资助经费管理办法</w:t>
            </w:r>
          </w:p>
        </w:tc>
      </w:tr>
      <w:tr w14:paraId="55C9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F172C"/>
        </w:tc>
        <w:tc>
          <w:tcPr>
            <w:tcW w:w="2268" w:type="dxa"/>
            <w:vAlign w:val="center"/>
          </w:tcPr>
          <w:p w14:paraId="47736C40">
            <w:pPr>
              <w:pStyle w:val="12"/>
            </w:pPr>
            <w:r>
              <w:t>质量指标</w:t>
            </w:r>
          </w:p>
        </w:tc>
        <w:tc>
          <w:tcPr>
            <w:tcW w:w="2835" w:type="dxa"/>
            <w:vAlign w:val="center"/>
          </w:tcPr>
          <w:p w14:paraId="18D40523">
            <w:pPr>
              <w:pStyle w:val="12"/>
            </w:pPr>
            <w:r>
              <w:t>资助资金使用率</w:t>
            </w:r>
          </w:p>
        </w:tc>
        <w:tc>
          <w:tcPr>
            <w:tcW w:w="5386" w:type="dxa"/>
            <w:vAlign w:val="center"/>
          </w:tcPr>
          <w:p w14:paraId="687A6790">
            <w:pPr>
              <w:pStyle w:val="12"/>
            </w:pPr>
            <w:r>
              <w:t>符合享受资助条件的学生应助尽助</w:t>
            </w:r>
          </w:p>
        </w:tc>
        <w:tc>
          <w:tcPr>
            <w:tcW w:w="2268" w:type="dxa"/>
            <w:vAlign w:val="center"/>
          </w:tcPr>
          <w:p w14:paraId="3E6C19AF">
            <w:pPr>
              <w:pStyle w:val="12"/>
            </w:pPr>
            <w:r>
              <w:t>100%</w:t>
            </w:r>
          </w:p>
        </w:tc>
        <w:tc>
          <w:tcPr>
            <w:tcW w:w="1276" w:type="dxa"/>
            <w:vAlign w:val="center"/>
          </w:tcPr>
          <w:p w14:paraId="4040349F">
            <w:pPr>
              <w:pStyle w:val="12"/>
            </w:pPr>
            <w:r>
              <w:t>幼儿资助经费管理办法</w:t>
            </w:r>
          </w:p>
        </w:tc>
      </w:tr>
      <w:tr w14:paraId="38BF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24C14"/>
        </w:tc>
        <w:tc>
          <w:tcPr>
            <w:tcW w:w="2268" w:type="dxa"/>
            <w:vAlign w:val="center"/>
          </w:tcPr>
          <w:p w14:paraId="1B95E5A7">
            <w:pPr>
              <w:pStyle w:val="12"/>
            </w:pPr>
            <w:r>
              <w:t>时效指标</w:t>
            </w:r>
          </w:p>
        </w:tc>
        <w:tc>
          <w:tcPr>
            <w:tcW w:w="2835" w:type="dxa"/>
            <w:vAlign w:val="center"/>
          </w:tcPr>
          <w:p w14:paraId="7230FB36">
            <w:pPr>
              <w:pStyle w:val="12"/>
            </w:pPr>
            <w:r>
              <w:t>资金拨付率</w:t>
            </w:r>
          </w:p>
        </w:tc>
        <w:tc>
          <w:tcPr>
            <w:tcW w:w="5386" w:type="dxa"/>
            <w:vAlign w:val="center"/>
          </w:tcPr>
          <w:p w14:paraId="0D5C0C7B">
            <w:pPr>
              <w:pStyle w:val="12"/>
            </w:pPr>
            <w:r>
              <w:t>所有项目资金支付进度</w:t>
            </w:r>
          </w:p>
        </w:tc>
        <w:tc>
          <w:tcPr>
            <w:tcW w:w="2268" w:type="dxa"/>
            <w:vAlign w:val="center"/>
          </w:tcPr>
          <w:p w14:paraId="39A42F60">
            <w:pPr>
              <w:pStyle w:val="12"/>
            </w:pPr>
            <w:r>
              <w:t>100%</w:t>
            </w:r>
          </w:p>
        </w:tc>
        <w:tc>
          <w:tcPr>
            <w:tcW w:w="1276" w:type="dxa"/>
            <w:vAlign w:val="center"/>
          </w:tcPr>
          <w:p w14:paraId="4E3AF5CC">
            <w:pPr>
              <w:pStyle w:val="12"/>
            </w:pPr>
            <w:r>
              <w:t>幼儿资助经费管理办法</w:t>
            </w:r>
          </w:p>
        </w:tc>
      </w:tr>
      <w:tr w14:paraId="2BBB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93965"/>
        </w:tc>
        <w:tc>
          <w:tcPr>
            <w:tcW w:w="2268" w:type="dxa"/>
            <w:vAlign w:val="center"/>
          </w:tcPr>
          <w:p w14:paraId="73C32EC1">
            <w:pPr>
              <w:pStyle w:val="12"/>
            </w:pPr>
            <w:r>
              <w:t>成本指标</w:t>
            </w:r>
          </w:p>
        </w:tc>
        <w:tc>
          <w:tcPr>
            <w:tcW w:w="2835" w:type="dxa"/>
            <w:vAlign w:val="center"/>
          </w:tcPr>
          <w:p w14:paraId="520955B3">
            <w:pPr>
              <w:pStyle w:val="12"/>
            </w:pPr>
            <w:r>
              <w:t>幼儿园生均成本</w:t>
            </w:r>
          </w:p>
        </w:tc>
        <w:tc>
          <w:tcPr>
            <w:tcW w:w="5386" w:type="dxa"/>
            <w:vAlign w:val="center"/>
          </w:tcPr>
          <w:p w14:paraId="10F386F0">
            <w:pPr>
              <w:pStyle w:val="12"/>
            </w:pPr>
            <w:r>
              <w:t>按照幼儿园资助标准1000元/生/年</w:t>
            </w:r>
          </w:p>
        </w:tc>
        <w:tc>
          <w:tcPr>
            <w:tcW w:w="2268" w:type="dxa"/>
            <w:vAlign w:val="center"/>
          </w:tcPr>
          <w:p w14:paraId="498FEDFE">
            <w:pPr>
              <w:pStyle w:val="12"/>
            </w:pPr>
            <w:r>
              <w:t>1000元</w:t>
            </w:r>
          </w:p>
        </w:tc>
        <w:tc>
          <w:tcPr>
            <w:tcW w:w="1276" w:type="dxa"/>
            <w:vAlign w:val="center"/>
          </w:tcPr>
          <w:p w14:paraId="4C149F7B">
            <w:pPr>
              <w:pStyle w:val="12"/>
            </w:pPr>
            <w:r>
              <w:t>幼儿资助经费管理办法</w:t>
            </w:r>
          </w:p>
        </w:tc>
      </w:tr>
      <w:tr w14:paraId="230D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D08DD">
            <w:pPr>
              <w:pStyle w:val="13"/>
            </w:pPr>
            <w:r>
              <w:t>效益指标</w:t>
            </w:r>
          </w:p>
        </w:tc>
        <w:tc>
          <w:tcPr>
            <w:tcW w:w="2268" w:type="dxa"/>
            <w:vAlign w:val="center"/>
          </w:tcPr>
          <w:p w14:paraId="6EECE870">
            <w:pPr>
              <w:pStyle w:val="12"/>
            </w:pPr>
            <w:r>
              <w:t>可持续影响指标</w:t>
            </w:r>
          </w:p>
        </w:tc>
        <w:tc>
          <w:tcPr>
            <w:tcW w:w="2835" w:type="dxa"/>
            <w:vAlign w:val="center"/>
          </w:tcPr>
          <w:p w14:paraId="5BE94EF6">
            <w:pPr>
              <w:pStyle w:val="12"/>
            </w:pPr>
            <w:r>
              <w:t>幼儿园正常运转</w:t>
            </w:r>
          </w:p>
        </w:tc>
        <w:tc>
          <w:tcPr>
            <w:tcW w:w="5386" w:type="dxa"/>
            <w:vAlign w:val="center"/>
          </w:tcPr>
          <w:p w14:paraId="58AAE4D5">
            <w:pPr>
              <w:pStyle w:val="12"/>
            </w:pPr>
            <w:r>
              <w:t>幼儿受教育年限</w:t>
            </w:r>
          </w:p>
        </w:tc>
        <w:tc>
          <w:tcPr>
            <w:tcW w:w="2268" w:type="dxa"/>
            <w:vAlign w:val="center"/>
          </w:tcPr>
          <w:p w14:paraId="515AFBE7">
            <w:pPr>
              <w:pStyle w:val="12"/>
            </w:pPr>
            <w:r>
              <w:t>3年</w:t>
            </w:r>
          </w:p>
        </w:tc>
        <w:tc>
          <w:tcPr>
            <w:tcW w:w="1276" w:type="dxa"/>
            <w:vAlign w:val="center"/>
          </w:tcPr>
          <w:p w14:paraId="49E5919B">
            <w:pPr>
              <w:pStyle w:val="12"/>
            </w:pPr>
            <w:r>
              <w:t>幼儿资助经费管理办法</w:t>
            </w:r>
          </w:p>
        </w:tc>
      </w:tr>
      <w:tr w14:paraId="60B8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8BB31">
            <w:pPr>
              <w:pStyle w:val="13"/>
            </w:pPr>
            <w:r>
              <w:t>满意度指标</w:t>
            </w:r>
          </w:p>
        </w:tc>
        <w:tc>
          <w:tcPr>
            <w:tcW w:w="2268" w:type="dxa"/>
            <w:vAlign w:val="center"/>
          </w:tcPr>
          <w:p w14:paraId="1B2F2703">
            <w:pPr>
              <w:pStyle w:val="12"/>
            </w:pPr>
            <w:r>
              <w:t>服务对象满意度指标</w:t>
            </w:r>
          </w:p>
        </w:tc>
        <w:tc>
          <w:tcPr>
            <w:tcW w:w="2835" w:type="dxa"/>
            <w:vAlign w:val="center"/>
          </w:tcPr>
          <w:p w14:paraId="429C2D1B">
            <w:pPr>
              <w:pStyle w:val="12"/>
            </w:pPr>
            <w:r>
              <w:t>受益幼儿家长及调查满意度</w:t>
            </w:r>
          </w:p>
        </w:tc>
        <w:tc>
          <w:tcPr>
            <w:tcW w:w="5386" w:type="dxa"/>
            <w:vAlign w:val="center"/>
          </w:tcPr>
          <w:p w14:paraId="245744B8">
            <w:pPr>
              <w:pStyle w:val="12"/>
            </w:pPr>
            <w:r>
              <w:t>学生、教师及家长对学校保教保育工作满意度情况</w:t>
            </w:r>
          </w:p>
        </w:tc>
        <w:tc>
          <w:tcPr>
            <w:tcW w:w="2268" w:type="dxa"/>
            <w:vAlign w:val="center"/>
          </w:tcPr>
          <w:p w14:paraId="3880F556">
            <w:pPr>
              <w:pStyle w:val="12"/>
            </w:pPr>
            <w:r>
              <w:t>≥95%</w:t>
            </w:r>
          </w:p>
        </w:tc>
        <w:tc>
          <w:tcPr>
            <w:tcW w:w="1276" w:type="dxa"/>
            <w:vAlign w:val="center"/>
          </w:tcPr>
          <w:p w14:paraId="58293B8C">
            <w:pPr>
              <w:pStyle w:val="12"/>
            </w:pPr>
            <w:r>
              <w:t>幼儿资助经费管理办法</w:t>
            </w:r>
          </w:p>
        </w:tc>
      </w:tr>
    </w:tbl>
    <w:p w14:paraId="3E6A0765">
      <w:pPr>
        <w:sectPr>
          <w:pgSz w:w="16840" w:h="11900" w:orient="landscape"/>
          <w:pgMar w:top="1361" w:right="1020" w:bottom="1134" w:left="1020" w:header="720" w:footer="720" w:gutter="0"/>
          <w:cols w:space="720" w:num="1"/>
        </w:sectPr>
      </w:pPr>
    </w:p>
    <w:p w14:paraId="6462C226">
      <w:pPr>
        <w:spacing w:before="0" w:after="0"/>
        <w:ind w:firstLine="560"/>
        <w:jc w:val="left"/>
        <w:outlineLvl w:val="9"/>
      </w:pPr>
      <w:r>
        <w:rPr>
          <w:rFonts w:ascii="方正仿宋_GBK" w:hAnsi="方正仿宋_GBK" w:eastAsia="方正仿宋_GBK" w:cs="方正仿宋_GBK"/>
          <w:b/>
          <w:color w:val="000000"/>
          <w:sz w:val="28"/>
        </w:rPr>
        <w:t>12、冀财教[2025]122号/中央/2026年学前发展资金/尹村校区幼儿园免保育教育费补助绩效目标表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F9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DBA9E">
            <w:pPr>
              <w:pStyle w:val="11"/>
            </w:pPr>
            <w:r>
              <w:t>单位：万元</w:t>
            </w:r>
          </w:p>
        </w:tc>
      </w:tr>
      <w:tr w14:paraId="34E94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2CF3E">
            <w:pPr>
              <w:pStyle w:val="10"/>
            </w:pPr>
            <w:r>
              <w:t>项目编码</w:t>
            </w:r>
          </w:p>
        </w:tc>
        <w:tc>
          <w:tcPr>
            <w:tcW w:w="5103" w:type="dxa"/>
            <w:gridSpan w:val="2"/>
            <w:vAlign w:val="center"/>
          </w:tcPr>
          <w:p w14:paraId="3444B10B">
            <w:pPr>
              <w:pStyle w:val="12"/>
            </w:pPr>
            <w:r>
              <w:t>13052526P00876910140R</w:t>
            </w:r>
          </w:p>
        </w:tc>
        <w:tc>
          <w:tcPr>
            <w:tcW w:w="2835" w:type="dxa"/>
            <w:vAlign w:val="center"/>
          </w:tcPr>
          <w:p w14:paraId="5EB64516">
            <w:pPr>
              <w:pStyle w:val="10"/>
            </w:pPr>
            <w:r>
              <w:t>项目名称</w:t>
            </w:r>
          </w:p>
        </w:tc>
        <w:tc>
          <w:tcPr>
            <w:tcW w:w="6095" w:type="dxa"/>
            <w:gridSpan w:val="3"/>
            <w:vAlign w:val="center"/>
          </w:tcPr>
          <w:p w14:paraId="508F13FA">
            <w:pPr>
              <w:pStyle w:val="12"/>
            </w:pPr>
            <w:r>
              <w:t>冀财教[2025]122号/中央/2026年学前发展资金/尹村校区幼儿园免保育教育费补助</w:t>
            </w:r>
          </w:p>
        </w:tc>
      </w:tr>
      <w:tr w14:paraId="7B8B6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D6DFF">
            <w:pPr>
              <w:pStyle w:val="10"/>
            </w:pPr>
            <w:r>
              <w:t>预算规模及资金用途</w:t>
            </w:r>
          </w:p>
        </w:tc>
        <w:tc>
          <w:tcPr>
            <w:tcW w:w="2268" w:type="dxa"/>
            <w:vAlign w:val="center"/>
          </w:tcPr>
          <w:p w14:paraId="1F404A4F">
            <w:pPr>
              <w:pStyle w:val="10"/>
            </w:pPr>
            <w:r>
              <w:t>预算数</w:t>
            </w:r>
          </w:p>
        </w:tc>
        <w:tc>
          <w:tcPr>
            <w:tcW w:w="2835" w:type="dxa"/>
            <w:vAlign w:val="center"/>
          </w:tcPr>
          <w:p w14:paraId="2F5E896A">
            <w:pPr>
              <w:pStyle w:val="12"/>
            </w:pPr>
            <w:r>
              <w:t>5.86</w:t>
            </w:r>
          </w:p>
        </w:tc>
        <w:tc>
          <w:tcPr>
            <w:tcW w:w="2835" w:type="dxa"/>
            <w:vAlign w:val="center"/>
          </w:tcPr>
          <w:p w14:paraId="481EA3C8">
            <w:pPr>
              <w:pStyle w:val="10"/>
            </w:pPr>
            <w:r>
              <w:t>其中：财政    资金</w:t>
            </w:r>
          </w:p>
        </w:tc>
        <w:tc>
          <w:tcPr>
            <w:tcW w:w="2551" w:type="dxa"/>
            <w:vAlign w:val="center"/>
          </w:tcPr>
          <w:p w14:paraId="587A2454">
            <w:pPr>
              <w:pStyle w:val="12"/>
            </w:pPr>
            <w:r>
              <w:t>5.86</w:t>
            </w:r>
          </w:p>
        </w:tc>
        <w:tc>
          <w:tcPr>
            <w:tcW w:w="2268" w:type="dxa"/>
            <w:vAlign w:val="center"/>
          </w:tcPr>
          <w:p w14:paraId="70C65789">
            <w:pPr>
              <w:pStyle w:val="10"/>
            </w:pPr>
            <w:r>
              <w:t>其他资金</w:t>
            </w:r>
          </w:p>
        </w:tc>
        <w:tc>
          <w:tcPr>
            <w:tcW w:w="1276" w:type="dxa"/>
            <w:vAlign w:val="center"/>
          </w:tcPr>
          <w:p w14:paraId="7D6AA914">
            <w:pPr>
              <w:pStyle w:val="12"/>
            </w:pPr>
            <w:r>
              <w:t xml:space="preserve"> </w:t>
            </w:r>
          </w:p>
        </w:tc>
      </w:tr>
      <w:tr w14:paraId="74412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67FD5"/>
        </w:tc>
        <w:tc>
          <w:tcPr>
            <w:tcW w:w="14033" w:type="dxa"/>
            <w:gridSpan w:val="6"/>
            <w:vAlign w:val="center"/>
          </w:tcPr>
          <w:p w14:paraId="1945C6F4">
            <w:pPr>
              <w:pStyle w:val="12"/>
            </w:pPr>
            <w:r>
              <w:t>保障幼儿园正常运转，完成教育教学活动和其他日常工作任务等方面的费用支出。</w:t>
            </w:r>
          </w:p>
        </w:tc>
      </w:tr>
      <w:tr w14:paraId="2825A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ABD71">
            <w:pPr>
              <w:pStyle w:val="10"/>
            </w:pPr>
            <w:r>
              <w:t>资金支出计划（%）</w:t>
            </w:r>
          </w:p>
        </w:tc>
        <w:tc>
          <w:tcPr>
            <w:tcW w:w="5103" w:type="dxa"/>
            <w:gridSpan w:val="2"/>
            <w:vAlign w:val="center"/>
          </w:tcPr>
          <w:p w14:paraId="01F6BF22">
            <w:pPr>
              <w:pStyle w:val="10"/>
            </w:pPr>
            <w:r>
              <w:t>3月底</w:t>
            </w:r>
          </w:p>
        </w:tc>
        <w:tc>
          <w:tcPr>
            <w:tcW w:w="2835" w:type="dxa"/>
            <w:vAlign w:val="center"/>
          </w:tcPr>
          <w:p w14:paraId="77DD88FE">
            <w:pPr>
              <w:pStyle w:val="10"/>
            </w:pPr>
            <w:r>
              <w:t>6月底</w:t>
            </w:r>
          </w:p>
        </w:tc>
        <w:tc>
          <w:tcPr>
            <w:tcW w:w="2551" w:type="dxa"/>
            <w:vAlign w:val="center"/>
          </w:tcPr>
          <w:p w14:paraId="425B2D45">
            <w:pPr>
              <w:pStyle w:val="10"/>
            </w:pPr>
            <w:r>
              <w:t>10月底</w:t>
            </w:r>
          </w:p>
        </w:tc>
        <w:tc>
          <w:tcPr>
            <w:tcW w:w="3544" w:type="dxa"/>
            <w:gridSpan w:val="2"/>
            <w:vAlign w:val="center"/>
          </w:tcPr>
          <w:p w14:paraId="32168E6A">
            <w:pPr>
              <w:pStyle w:val="10"/>
            </w:pPr>
            <w:r>
              <w:t>12月底</w:t>
            </w:r>
          </w:p>
        </w:tc>
      </w:tr>
      <w:tr w14:paraId="051A1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51970"/>
        </w:tc>
        <w:tc>
          <w:tcPr>
            <w:tcW w:w="5103" w:type="dxa"/>
            <w:gridSpan w:val="2"/>
            <w:vAlign w:val="center"/>
          </w:tcPr>
          <w:p w14:paraId="6FE78CC3">
            <w:pPr>
              <w:pStyle w:val="13"/>
            </w:pPr>
            <w:r>
              <w:t>25%</w:t>
            </w:r>
          </w:p>
        </w:tc>
        <w:tc>
          <w:tcPr>
            <w:tcW w:w="2835" w:type="dxa"/>
            <w:vAlign w:val="center"/>
          </w:tcPr>
          <w:p w14:paraId="089C5CCB">
            <w:pPr>
              <w:pStyle w:val="13"/>
            </w:pPr>
            <w:r>
              <w:t>50%</w:t>
            </w:r>
          </w:p>
        </w:tc>
        <w:tc>
          <w:tcPr>
            <w:tcW w:w="2551" w:type="dxa"/>
            <w:vAlign w:val="center"/>
          </w:tcPr>
          <w:p w14:paraId="2C1EC3D2">
            <w:pPr>
              <w:pStyle w:val="13"/>
            </w:pPr>
            <w:r>
              <w:t>75%</w:t>
            </w:r>
          </w:p>
        </w:tc>
        <w:tc>
          <w:tcPr>
            <w:tcW w:w="3544" w:type="dxa"/>
            <w:gridSpan w:val="2"/>
            <w:vAlign w:val="center"/>
          </w:tcPr>
          <w:p w14:paraId="34407B0F">
            <w:pPr>
              <w:pStyle w:val="13"/>
            </w:pPr>
            <w:r>
              <w:t>100%</w:t>
            </w:r>
          </w:p>
        </w:tc>
      </w:tr>
      <w:tr w14:paraId="13DDF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B599B">
            <w:pPr>
              <w:pStyle w:val="10"/>
            </w:pPr>
            <w:r>
              <w:t>绩效目标</w:t>
            </w:r>
          </w:p>
        </w:tc>
        <w:tc>
          <w:tcPr>
            <w:tcW w:w="14033" w:type="dxa"/>
            <w:gridSpan w:val="6"/>
            <w:vAlign w:val="center"/>
          </w:tcPr>
          <w:p w14:paraId="197C8F44">
            <w:pPr>
              <w:pStyle w:val="12"/>
            </w:pPr>
            <w:r>
              <w:t>1.保障幼儿园正常运转，完成教育教学活动和其他日常工作任务等方面的费用支出。</w:t>
            </w:r>
          </w:p>
        </w:tc>
      </w:tr>
    </w:tbl>
    <w:p w14:paraId="68A00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6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2FFA2">
            <w:pPr>
              <w:pStyle w:val="10"/>
            </w:pPr>
            <w:r>
              <w:t>一级指标</w:t>
            </w:r>
          </w:p>
        </w:tc>
        <w:tc>
          <w:tcPr>
            <w:tcW w:w="2268" w:type="dxa"/>
            <w:vAlign w:val="center"/>
          </w:tcPr>
          <w:p w14:paraId="00234FA7">
            <w:pPr>
              <w:pStyle w:val="10"/>
            </w:pPr>
            <w:r>
              <w:t>二级指标</w:t>
            </w:r>
          </w:p>
        </w:tc>
        <w:tc>
          <w:tcPr>
            <w:tcW w:w="2835" w:type="dxa"/>
            <w:vAlign w:val="center"/>
          </w:tcPr>
          <w:p w14:paraId="07C64850">
            <w:pPr>
              <w:pStyle w:val="10"/>
            </w:pPr>
            <w:r>
              <w:t>三级指标</w:t>
            </w:r>
          </w:p>
        </w:tc>
        <w:tc>
          <w:tcPr>
            <w:tcW w:w="5386" w:type="dxa"/>
            <w:vAlign w:val="center"/>
          </w:tcPr>
          <w:p w14:paraId="4ECE14AA">
            <w:pPr>
              <w:pStyle w:val="10"/>
            </w:pPr>
            <w:r>
              <w:t>绩效指标描述</w:t>
            </w:r>
          </w:p>
        </w:tc>
        <w:tc>
          <w:tcPr>
            <w:tcW w:w="2268" w:type="dxa"/>
            <w:vAlign w:val="center"/>
          </w:tcPr>
          <w:p w14:paraId="211D7494">
            <w:pPr>
              <w:pStyle w:val="10"/>
            </w:pPr>
            <w:r>
              <w:t>指标值</w:t>
            </w:r>
          </w:p>
        </w:tc>
        <w:tc>
          <w:tcPr>
            <w:tcW w:w="1276" w:type="dxa"/>
            <w:vAlign w:val="center"/>
          </w:tcPr>
          <w:p w14:paraId="7A1BEC74">
            <w:pPr>
              <w:pStyle w:val="10"/>
            </w:pPr>
            <w:r>
              <w:t>指标值确定依据</w:t>
            </w:r>
          </w:p>
        </w:tc>
      </w:tr>
      <w:tr w14:paraId="0674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BAB39">
            <w:pPr>
              <w:pStyle w:val="13"/>
            </w:pPr>
            <w:r>
              <w:t>产出指标</w:t>
            </w:r>
          </w:p>
        </w:tc>
        <w:tc>
          <w:tcPr>
            <w:tcW w:w="2268" w:type="dxa"/>
            <w:vAlign w:val="center"/>
          </w:tcPr>
          <w:p w14:paraId="7E7430A9">
            <w:pPr>
              <w:pStyle w:val="12"/>
            </w:pPr>
            <w:r>
              <w:t>数量指标</w:t>
            </w:r>
          </w:p>
        </w:tc>
        <w:tc>
          <w:tcPr>
            <w:tcW w:w="2835" w:type="dxa"/>
            <w:vAlign w:val="center"/>
          </w:tcPr>
          <w:p w14:paraId="71C1B780">
            <w:pPr>
              <w:pStyle w:val="12"/>
            </w:pPr>
            <w:r>
              <w:t>适龄在园生</w:t>
            </w:r>
          </w:p>
        </w:tc>
        <w:tc>
          <w:tcPr>
            <w:tcW w:w="5386" w:type="dxa"/>
            <w:vAlign w:val="center"/>
          </w:tcPr>
          <w:p w14:paraId="3BAE8357">
            <w:pPr>
              <w:pStyle w:val="12"/>
            </w:pPr>
            <w:r>
              <w:t>适龄在园大班学生人数</w:t>
            </w:r>
          </w:p>
        </w:tc>
        <w:tc>
          <w:tcPr>
            <w:tcW w:w="2268" w:type="dxa"/>
            <w:vAlign w:val="center"/>
          </w:tcPr>
          <w:p w14:paraId="0E0FB3FB">
            <w:pPr>
              <w:pStyle w:val="12"/>
            </w:pPr>
            <w:r>
              <w:t>262人</w:t>
            </w:r>
          </w:p>
        </w:tc>
        <w:tc>
          <w:tcPr>
            <w:tcW w:w="1276" w:type="dxa"/>
            <w:vAlign w:val="center"/>
          </w:tcPr>
          <w:p w14:paraId="216812FD">
            <w:pPr>
              <w:pStyle w:val="12"/>
            </w:pPr>
            <w:r>
              <w:t>免保育教育费生均财政补助标准</w:t>
            </w:r>
          </w:p>
        </w:tc>
      </w:tr>
      <w:tr w14:paraId="44D3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8C76"/>
        </w:tc>
        <w:tc>
          <w:tcPr>
            <w:tcW w:w="2268" w:type="dxa"/>
            <w:vAlign w:val="center"/>
          </w:tcPr>
          <w:p w14:paraId="35FD6AA4">
            <w:pPr>
              <w:pStyle w:val="12"/>
            </w:pPr>
            <w:r>
              <w:t>质量指标</w:t>
            </w:r>
          </w:p>
        </w:tc>
        <w:tc>
          <w:tcPr>
            <w:tcW w:w="2835" w:type="dxa"/>
            <w:vAlign w:val="center"/>
          </w:tcPr>
          <w:p w14:paraId="6490348F">
            <w:pPr>
              <w:pStyle w:val="12"/>
            </w:pPr>
            <w:r>
              <w:t>预算控制率</w:t>
            </w:r>
          </w:p>
        </w:tc>
        <w:tc>
          <w:tcPr>
            <w:tcW w:w="5386" w:type="dxa"/>
            <w:vAlign w:val="center"/>
          </w:tcPr>
          <w:p w14:paraId="24E07C64">
            <w:pPr>
              <w:pStyle w:val="12"/>
            </w:pPr>
            <w:r>
              <w:t>预算执行</w:t>
            </w:r>
          </w:p>
        </w:tc>
        <w:tc>
          <w:tcPr>
            <w:tcW w:w="2268" w:type="dxa"/>
            <w:vAlign w:val="center"/>
          </w:tcPr>
          <w:p w14:paraId="16EB6805">
            <w:pPr>
              <w:pStyle w:val="12"/>
            </w:pPr>
            <w:r>
              <w:t>≥95%</w:t>
            </w:r>
          </w:p>
        </w:tc>
        <w:tc>
          <w:tcPr>
            <w:tcW w:w="1276" w:type="dxa"/>
            <w:vAlign w:val="center"/>
          </w:tcPr>
          <w:p w14:paraId="593020A2">
            <w:pPr>
              <w:pStyle w:val="12"/>
            </w:pPr>
            <w:r>
              <w:t>免保育教育费生均财政补助标准</w:t>
            </w:r>
          </w:p>
        </w:tc>
      </w:tr>
      <w:tr w14:paraId="3868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9EE51"/>
        </w:tc>
        <w:tc>
          <w:tcPr>
            <w:tcW w:w="2268" w:type="dxa"/>
            <w:vAlign w:val="center"/>
          </w:tcPr>
          <w:p w14:paraId="3A8A1BBD">
            <w:pPr>
              <w:pStyle w:val="12"/>
            </w:pPr>
            <w:r>
              <w:t>时效指标</w:t>
            </w:r>
          </w:p>
        </w:tc>
        <w:tc>
          <w:tcPr>
            <w:tcW w:w="2835" w:type="dxa"/>
            <w:vAlign w:val="center"/>
          </w:tcPr>
          <w:p w14:paraId="3E9E1884">
            <w:pPr>
              <w:pStyle w:val="12"/>
            </w:pPr>
            <w:r>
              <w:t>资金支付率</w:t>
            </w:r>
          </w:p>
        </w:tc>
        <w:tc>
          <w:tcPr>
            <w:tcW w:w="5386" w:type="dxa"/>
            <w:vAlign w:val="center"/>
          </w:tcPr>
          <w:p w14:paraId="3ABCC662">
            <w:pPr>
              <w:pStyle w:val="12"/>
            </w:pPr>
            <w:r>
              <w:t>按照序时进度完成资金支付</w:t>
            </w:r>
          </w:p>
        </w:tc>
        <w:tc>
          <w:tcPr>
            <w:tcW w:w="2268" w:type="dxa"/>
            <w:vAlign w:val="center"/>
          </w:tcPr>
          <w:p w14:paraId="04EA46AA">
            <w:pPr>
              <w:pStyle w:val="12"/>
            </w:pPr>
            <w:r>
              <w:t>100%</w:t>
            </w:r>
          </w:p>
        </w:tc>
        <w:tc>
          <w:tcPr>
            <w:tcW w:w="1276" w:type="dxa"/>
            <w:vAlign w:val="center"/>
          </w:tcPr>
          <w:p w14:paraId="3D1AC0B8">
            <w:pPr>
              <w:pStyle w:val="12"/>
            </w:pPr>
            <w:r>
              <w:t>免保育教育费生均财政补助标准</w:t>
            </w:r>
          </w:p>
        </w:tc>
      </w:tr>
      <w:tr w14:paraId="1125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29083"/>
        </w:tc>
        <w:tc>
          <w:tcPr>
            <w:tcW w:w="2268" w:type="dxa"/>
            <w:vAlign w:val="center"/>
          </w:tcPr>
          <w:p w14:paraId="13EB0122">
            <w:pPr>
              <w:pStyle w:val="12"/>
            </w:pPr>
            <w:r>
              <w:t>成本指标</w:t>
            </w:r>
          </w:p>
        </w:tc>
        <w:tc>
          <w:tcPr>
            <w:tcW w:w="2835" w:type="dxa"/>
            <w:vAlign w:val="center"/>
          </w:tcPr>
          <w:p w14:paraId="6FF3ADC0">
            <w:pPr>
              <w:pStyle w:val="12"/>
            </w:pPr>
            <w:r>
              <w:t>免保育教育费补助</w:t>
            </w:r>
          </w:p>
        </w:tc>
        <w:tc>
          <w:tcPr>
            <w:tcW w:w="5386" w:type="dxa"/>
            <w:vAlign w:val="center"/>
          </w:tcPr>
          <w:p w14:paraId="0FE2E1EE">
            <w:pPr>
              <w:pStyle w:val="12"/>
            </w:pPr>
            <w:r>
              <w:t>免保育教育费补助</w:t>
            </w:r>
          </w:p>
        </w:tc>
        <w:tc>
          <w:tcPr>
            <w:tcW w:w="2268" w:type="dxa"/>
            <w:vAlign w:val="center"/>
          </w:tcPr>
          <w:p w14:paraId="6557C615">
            <w:pPr>
              <w:pStyle w:val="12"/>
            </w:pPr>
            <w:r>
              <w:t>58639元</w:t>
            </w:r>
          </w:p>
        </w:tc>
        <w:tc>
          <w:tcPr>
            <w:tcW w:w="1276" w:type="dxa"/>
            <w:vAlign w:val="center"/>
          </w:tcPr>
          <w:p w14:paraId="74E77BB6">
            <w:pPr>
              <w:pStyle w:val="12"/>
            </w:pPr>
            <w:r>
              <w:t>免保育教育费生均财政补助标准</w:t>
            </w:r>
          </w:p>
        </w:tc>
      </w:tr>
      <w:tr w14:paraId="2363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624A9">
            <w:pPr>
              <w:pStyle w:val="13"/>
            </w:pPr>
            <w:r>
              <w:t>效益指标</w:t>
            </w:r>
          </w:p>
        </w:tc>
        <w:tc>
          <w:tcPr>
            <w:tcW w:w="2268" w:type="dxa"/>
            <w:vAlign w:val="center"/>
          </w:tcPr>
          <w:p w14:paraId="7C9C0F30">
            <w:pPr>
              <w:pStyle w:val="12"/>
            </w:pPr>
            <w:r>
              <w:t>可持续影响指标</w:t>
            </w:r>
          </w:p>
        </w:tc>
        <w:tc>
          <w:tcPr>
            <w:tcW w:w="2835" w:type="dxa"/>
            <w:vAlign w:val="center"/>
          </w:tcPr>
          <w:p w14:paraId="500B6D52">
            <w:pPr>
              <w:pStyle w:val="12"/>
            </w:pPr>
            <w:r>
              <w:t>学校运转得到提升</w:t>
            </w:r>
          </w:p>
        </w:tc>
        <w:tc>
          <w:tcPr>
            <w:tcW w:w="5386" w:type="dxa"/>
            <w:vAlign w:val="center"/>
          </w:tcPr>
          <w:p w14:paraId="4D2A73A4">
            <w:pPr>
              <w:pStyle w:val="12"/>
            </w:pPr>
            <w:r>
              <w:t>幼儿受教育年限</w:t>
            </w:r>
          </w:p>
        </w:tc>
        <w:tc>
          <w:tcPr>
            <w:tcW w:w="2268" w:type="dxa"/>
            <w:vAlign w:val="center"/>
          </w:tcPr>
          <w:p w14:paraId="0EDE3484">
            <w:pPr>
              <w:pStyle w:val="12"/>
            </w:pPr>
            <w:r>
              <w:t>3年</w:t>
            </w:r>
          </w:p>
        </w:tc>
        <w:tc>
          <w:tcPr>
            <w:tcW w:w="1276" w:type="dxa"/>
            <w:vAlign w:val="center"/>
          </w:tcPr>
          <w:p w14:paraId="07B8F858">
            <w:pPr>
              <w:pStyle w:val="12"/>
            </w:pPr>
            <w:r>
              <w:t>免保育教育费生均财政补助标准</w:t>
            </w:r>
          </w:p>
        </w:tc>
      </w:tr>
      <w:tr w14:paraId="2C11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087AB">
            <w:pPr>
              <w:pStyle w:val="13"/>
            </w:pPr>
            <w:r>
              <w:t>满意度指标</w:t>
            </w:r>
          </w:p>
        </w:tc>
        <w:tc>
          <w:tcPr>
            <w:tcW w:w="2268" w:type="dxa"/>
            <w:vAlign w:val="center"/>
          </w:tcPr>
          <w:p w14:paraId="555B4D10">
            <w:pPr>
              <w:pStyle w:val="12"/>
            </w:pPr>
            <w:r>
              <w:t>服务对象满意度指标</w:t>
            </w:r>
          </w:p>
        </w:tc>
        <w:tc>
          <w:tcPr>
            <w:tcW w:w="2835" w:type="dxa"/>
            <w:vAlign w:val="center"/>
          </w:tcPr>
          <w:p w14:paraId="6411B081">
            <w:pPr>
              <w:pStyle w:val="12"/>
            </w:pPr>
            <w:r>
              <w:t>受益学生家长及调查满意度</w:t>
            </w:r>
          </w:p>
        </w:tc>
        <w:tc>
          <w:tcPr>
            <w:tcW w:w="5386" w:type="dxa"/>
            <w:vAlign w:val="center"/>
          </w:tcPr>
          <w:p w14:paraId="58F2EEDA">
            <w:pPr>
              <w:pStyle w:val="12"/>
            </w:pPr>
            <w:r>
              <w:t>学生、教师及家长对学校保教保育工作满意度情况</w:t>
            </w:r>
          </w:p>
        </w:tc>
        <w:tc>
          <w:tcPr>
            <w:tcW w:w="2268" w:type="dxa"/>
            <w:vAlign w:val="center"/>
          </w:tcPr>
          <w:p w14:paraId="329786FC">
            <w:pPr>
              <w:pStyle w:val="12"/>
            </w:pPr>
            <w:r>
              <w:t>≥95%</w:t>
            </w:r>
          </w:p>
        </w:tc>
        <w:tc>
          <w:tcPr>
            <w:tcW w:w="1276" w:type="dxa"/>
            <w:vAlign w:val="center"/>
          </w:tcPr>
          <w:p w14:paraId="0498FEA3">
            <w:pPr>
              <w:pStyle w:val="12"/>
            </w:pPr>
            <w:r>
              <w:t>免保育教育费生均财政补助标准</w:t>
            </w:r>
          </w:p>
        </w:tc>
      </w:tr>
    </w:tbl>
    <w:p w14:paraId="30FC5E36">
      <w:pPr>
        <w:sectPr>
          <w:pgSz w:w="16840" w:h="11900" w:orient="landscape"/>
          <w:pgMar w:top="1361" w:right="1020" w:bottom="1134" w:left="1020" w:header="720" w:footer="720" w:gutter="0"/>
          <w:cols w:space="720" w:num="1"/>
        </w:sectPr>
      </w:pPr>
    </w:p>
    <w:p w14:paraId="06F84D47">
      <w:pPr>
        <w:spacing w:before="0" w:after="0"/>
        <w:ind w:firstLine="560"/>
        <w:jc w:val="left"/>
        <w:outlineLvl w:val="9"/>
      </w:pPr>
      <w:r>
        <w:rPr>
          <w:rFonts w:ascii="方正仿宋_GBK" w:hAnsi="方正仿宋_GBK" w:eastAsia="方正仿宋_GBK" w:cs="方正仿宋_GBK"/>
          <w:b/>
          <w:color w:val="000000"/>
          <w:sz w:val="28"/>
        </w:rPr>
        <w:t>13、冀财教[2025]122号/中央/支持学前教育发展/大霍幼儿园新建保育楼附属设施绩效目标表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84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0A81D">
            <w:pPr>
              <w:pStyle w:val="11"/>
            </w:pPr>
            <w:r>
              <w:t>单位：万元</w:t>
            </w:r>
          </w:p>
        </w:tc>
      </w:tr>
      <w:tr w14:paraId="65994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8B990">
            <w:pPr>
              <w:pStyle w:val="10"/>
            </w:pPr>
            <w:r>
              <w:t>项目编码</w:t>
            </w:r>
          </w:p>
        </w:tc>
        <w:tc>
          <w:tcPr>
            <w:tcW w:w="5103" w:type="dxa"/>
            <w:gridSpan w:val="2"/>
            <w:vAlign w:val="center"/>
          </w:tcPr>
          <w:p w14:paraId="1C5CB6A4">
            <w:pPr>
              <w:pStyle w:val="12"/>
            </w:pPr>
            <w:r>
              <w:t>13052526P008769101957</w:t>
            </w:r>
          </w:p>
        </w:tc>
        <w:tc>
          <w:tcPr>
            <w:tcW w:w="2835" w:type="dxa"/>
            <w:vAlign w:val="center"/>
          </w:tcPr>
          <w:p w14:paraId="5440F1A8">
            <w:pPr>
              <w:pStyle w:val="10"/>
            </w:pPr>
            <w:r>
              <w:t>项目名称</w:t>
            </w:r>
          </w:p>
        </w:tc>
        <w:tc>
          <w:tcPr>
            <w:tcW w:w="6095" w:type="dxa"/>
            <w:gridSpan w:val="3"/>
            <w:vAlign w:val="center"/>
          </w:tcPr>
          <w:p w14:paraId="2E1EA514">
            <w:pPr>
              <w:pStyle w:val="12"/>
            </w:pPr>
            <w:r>
              <w:t>冀财教[2025]122号/中央/支持学前教育发展/大霍幼儿园新建保育楼附属设施</w:t>
            </w:r>
          </w:p>
        </w:tc>
      </w:tr>
      <w:tr w14:paraId="0AC55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D7AFB">
            <w:pPr>
              <w:pStyle w:val="10"/>
            </w:pPr>
            <w:r>
              <w:t>预算规模及资金用途</w:t>
            </w:r>
          </w:p>
        </w:tc>
        <w:tc>
          <w:tcPr>
            <w:tcW w:w="2268" w:type="dxa"/>
            <w:vAlign w:val="center"/>
          </w:tcPr>
          <w:p w14:paraId="7CC45B8C">
            <w:pPr>
              <w:pStyle w:val="10"/>
            </w:pPr>
            <w:r>
              <w:t>预算数</w:t>
            </w:r>
          </w:p>
        </w:tc>
        <w:tc>
          <w:tcPr>
            <w:tcW w:w="2835" w:type="dxa"/>
            <w:vAlign w:val="center"/>
          </w:tcPr>
          <w:p w14:paraId="7DE7D534">
            <w:pPr>
              <w:pStyle w:val="12"/>
            </w:pPr>
            <w:r>
              <w:t>67.00</w:t>
            </w:r>
          </w:p>
        </w:tc>
        <w:tc>
          <w:tcPr>
            <w:tcW w:w="2835" w:type="dxa"/>
            <w:vAlign w:val="center"/>
          </w:tcPr>
          <w:p w14:paraId="7955ED75">
            <w:pPr>
              <w:pStyle w:val="10"/>
            </w:pPr>
            <w:r>
              <w:t>其中：财政    资金</w:t>
            </w:r>
          </w:p>
        </w:tc>
        <w:tc>
          <w:tcPr>
            <w:tcW w:w="2551" w:type="dxa"/>
            <w:vAlign w:val="center"/>
          </w:tcPr>
          <w:p w14:paraId="10167891">
            <w:pPr>
              <w:pStyle w:val="12"/>
            </w:pPr>
            <w:r>
              <w:t>67.00</w:t>
            </w:r>
          </w:p>
        </w:tc>
        <w:tc>
          <w:tcPr>
            <w:tcW w:w="2268" w:type="dxa"/>
            <w:vAlign w:val="center"/>
          </w:tcPr>
          <w:p w14:paraId="41A203EE">
            <w:pPr>
              <w:pStyle w:val="10"/>
            </w:pPr>
            <w:r>
              <w:t>其他资金</w:t>
            </w:r>
          </w:p>
        </w:tc>
        <w:tc>
          <w:tcPr>
            <w:tcW w:w="1276" w:type="dxa"/>
            <w:vAlign w:val="center"/>
          </w:tcPr>
          <w:p w14:paraId="2C728E9B">
            <w:pPr>
              <w:pStyle w:val="12"/>
            </w:pPr>
            <w:r>
              <w:t xml:space="preserve"> </w:t>
            </w:r>
          </w:p>
        </w:tc>
      </w:tr>
      <w:tr w14:paraId="45127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6008A"/>
        </w:tc>
        <w:tc>
          <w:tcPr>
            <w:tcW w:w="14033" w:type="dxa"/>
            <w:gridSpan w:val="6"/>
            <w:vAlign w:val="center"/>
          </w:tcPr>
          <w:p w14:paraId="1DB9A668">
            <w:pPr>
              <w:pStyle w:val="12"/>
            </w:pPr>
            <w:r>
              <w:t>改善就学条件，提升学校形象，保障幼儿安全，创造良好的校园环境。</w:t>
            </w:r>
          </w:p>
        </w:tc>
      </w:tr>
      <w:tr w14:paraId="29E0E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F5CDC">
            <w:pPr>
              <w:pStyle w:val="10"/>
            </w:pPr>
            <w:r>
              <w:t>资金支出计划（%）</w:t>
            </w:r>
          </w:p>
        </w:tc>
        <w:tc>
          <w:tcPr>
            <w:tcW w:w="5103" w:type="dxa"/>
            <w:gridSpan w:val="2"/>
            <w:vAlign w:val="center"/>
          </w:tcPr>
          <w:p w14:paraId="197C6AF5">
            <w:pPr>
              <w:pStyle w:val="10"/>
            </w:pPr>
            <w:r>
              <w:t>3月底</w:t>
            </w:r>
          </w:p>
        </w:tc>
        <w:tc>
          <w:tcPr>
            <w:tcW w:w="2835" w:type="dxa"/>
            <w:vAlign w:val="center"/>
          </w:tcPr>
          <w:p w14:paraId="2144CFE5">
            <w:pPr>
              <w:pStyle w:val="10"/>
            </w:pPr>
            <w:r>
              <w:t>6月底</w:t>
            </w:r>
          </w:p>
        </w:tc>
        <w:tc>
          <w:tcPr>
            <w:tcW w:w="2551" w:type="dxa"/>
            <w:vAlign w:val="center"/>
          </w:tcPr>
          <w:p w14:paraId="18AAA75C">
            <w:pPr>
              <w:pStyle w:val="10"/>
            </w:pPr>
            <w:r>
              <w:t>10月底</w:t>
            </w:r>
          </w:p>
        </w:tc>
        <w:tc>
          <w:tcPr>
            <w:tcW w:w="3544" w:type="dxa"/>
            <w:gridSpan w:val="2"/>
            <w:vAlign w:val="center"/>
          </w:tcPr>
          <w:p w14:paraId="500F02C5">
            <w:pPr>
              <w:pStyle w:val="10"/>
            </w:pPr>
            <w:r>
              <w:t>12月底</w:t>
            </w:r>
          </w:p>
        </w:tc>
      </w:tr>
      <w:tr w14:paraId="61D61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D7589"/>
        </w:tc>
        <w:tc>
          <w:tcPr>
            <w:tcW w:w="5103" w:type="dxa"/>
            <w:gridSpan w:val="2"/>
            <w:vAlign w:val="center"/>
          </w:tcPr>
          <w:p w14:paraId="7519C8EE">
            <w:pPr>
              <w:pStyle w:val="13"/>
            </w:pPr>
            <w:r>
              <w:t xml:space="preserve"> </w:t>
            </w:r>
          </w:p>
        </w:tc>
        <w:tc>
          <w:tcPr>
            <w:tcW w:w="2835" w:type="dxa"/>
            <w:vAlign w:val="center"/>
          </w:tcPr>
          <w:p w14:paraId="71BF8B26">
            <w:pPr>
              <w:pStyle w:val="13"/>
            </w:pPr>
            <w:r>
              <w:t>100%</w:t>
            </w:r>
          </w:p>
        </w:tc>
        <w:tc>
          <w:tcPr>
            <w:tcW w:w="2551" w:type="dxa"/>
            <w:vAlign w:val="center"/>
          </w:tcPr>
          <w:p w14:paraId="3402E4B6">
            <w:pPr>
              <w:pStyle w:val="13"/>
            </w:pPr>
            <w:r>
              <w:t>100%</w:t>
            </w:r>
          </w:p>
        </w:tc>
        <w:tc>
          <w:tcPr>
            <w:tcW w:w="3544" w:type="dxa"/>
            <w:gridSpan w:val="2"/>
            <w:vAlign w:val="center"/>
          </w:tcPr>
          <w:p w14:paraId="7B7593B9">
            <w:pPr>
              <w:pStyle w:val="13"/>
            </w:pPr>
            <w:r>
              <w:t>100%</w:t>
            </w:r>
          </w:p>
        </w:tc>
      </w:tr>
      <w:tr w14:paraId="79E50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AE637">
            <w:pPr>
              <w:pStyle w:val="10"/>
            </w:pPr>
            <w:r>
              <w:t>绩效目标</w:t>
            </w:r>
          </w:p>
        </w:tc>
        <w:tc>
          <w:tcPr>
            <w:tcW w:w="14033" w:type="dxa"/>
            <w:gridSpan w:val="6"/>
            <w:vAlign w:val="center"/>
          </w:tcPr>
          <w:p w14:paraId="6C6599B3">
            <w:pPr>
              <w:pStyle w:val="12"/>
            </w:pPr>
            <w:r>
              <w:t>1.项目需资金67万元，资金拨付率达到100%</w:t>
            </w:r>
          </w:p>
          <w:p w14:paraId="4BC578B6">
            <w:pPr>
              <w:pStyle w:val="12"/>
            </w:pPr>
            <w:r>
              <w:t>2.改善就学条件，提升学校形象，保障幼儿安全，创造良好的校园环境。</w:t>
            </w:r>
          </w:p>
        </w:tc>
      </w:tr>
    </w:tbl>
    <w:p w14:paraId="32F70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E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89C71">
            <w:pPr>
              <w:pStyle w:val="10"/>
            </w:pPr>
            <w:r>
              <w:t>一级指标</w:t>
            </w:r>
          </w:p>
        </w:tc>
        <w:tc>
          <w:tcPr>
            <w:tcW w:w="2268" w:type="dxa"/>
            <w:vAlign w:val="center"/>
          </w:tcPr>
          <w:p w14:paraId="66C97CDE">
            <w:pPr>
              <w:pStyle w:val="10"/>
            </w:pPr>
            <w:r>
              <w:t>二级指标</w:t>
            </w:r>
          </w:p>
        </w:tc>
        <w:tc>
          <w:tcPr>
            <w:tcW w:w="2835" w:type="dxa"/>
            <w:vAlign w:val="center"/>
          </w:tcPr>
          <w:p w14:paraId="7AE0F1F3">
            <w:pPr>
              <w:pStyle w:val="10"/>
            </w:pPr>
            <w:r>
              <w:t>三级指标</w:t>
            </w:r>
          </w:p>
        </w:tc>
        <w:tc>
          <w:tcPr>
            <w:tcW w:w="5386" w:type="dxa"/>
            <w:vAlign w:val="center"/>
          </w:tcPr>
          <w:p w14:paraId="66589DBB">
            <w:pPr>
              <w:pStyle w:val="10"/>
            </w:pPr>
            <w:r>
              <w:t>绩效指标描述</w:t>
            </w:r>
          </w:p>
        </w:tc>
        <w:tc>
          <w:tcPr>
            <w:tcW w:w="2268" w:type="dxa"/>
            <w:vAlign w:val="center"/>
          </w:tcPr>
          <w:p w14:paraId="37317483">
            <w:pPr>
              <w:pStyle w:val="10"/>
            </w:pPr>
            <w:r>
              <w:t>指标值</w:t>
            </w:r>
          </w:p>
        </w:tc>
        <w:tc>
          <w:tcPr>
            <w:tcW w:w="1276" w:type="dxa"/>
            <w:vAlign w:val="center"/>
          </w:tcPr>
          <w:p w14:paraId="428CA50C">
            <w:pPr>
              <w:pStyle w:val="10"/>
            </w:pPr>
            <w:r>
              <w:t>指标值确定依据</w:t>
            </w:r>
          </w:p>
        </w:tc>
      </w:tr>
      <w:tr w14:paraId="7B51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18C9E">
            <w:pPr>
              <w:pStyle w:val="13"/>
            </w:pPr>
            <w:r>
              <w:t>产出指标</w:t>
            </w:r>
          </w:p>
        </w:tc>
        <w:tc>
          <w:tcPr>
            <w:tcW w:w="2268" w:type="dxa"/>
            <w:vAlign w:val="center"/>
          </w:tcPr>
          <w:p w14:paraId="72D83DAA">
            <w:pPr>
              <w:pStyle w:val="12"/>
            </w:pPr>
            <w:r>
              <w:t>数量指标</w:t>
            </w:r>
          </w:p>
        </w:tc>
        <w:tc>
          <w:tcPr>
            <w:tcW w:w="2835" w:type="dxa"/>
            <w:vAlign w:val="center"/>
          </w:tcPr>
          <w:p w14:paraId="7C4362CE">
            <w:pPr>
              <w:pStyle w:val="12"/>
            </w:pPr>
            <w:r>
              <w:t>大霍幼儿园新建保育楼附属设施</w:t>
            </w:r>
          </w:p>
        </w:tc>
        <w:tc>
          <w:tcPr>
            <w:tcW w:w="5386" w:type="dxa"/>
            <w:vAlign w:val="center"/>
          </w:tcPr>
          <w:p w14:paraId="5DDCA1B1">
            <w:pPr>
              <w:pStyle w:val="12"/>
            </w:pPr>
            <w:r>
              <w:t>维修大门口、门卫室、维修围墙、沥青混凝土地面、悬浮地板等。</w:t>
            </w:r>
          </w:p>
        </w:tc>
        <w:tc>
          <w:tcPr>
            <w:tcW w:w="2268" w:type="dxa"/>
            <w:vAlign w:val="center"/>
          </w:tcPr>
          <w:p w14:paraId="649459CE">
            <w:pPr>
              <w:pStyle w:val="12"/>
            </w:pPr>
            <w:r>
              <w:t>1项</w:t>
            </w:r>
          </w:p>
        </w:tc>
        <w:tc>
          <w:tcPr>
            <w:tcW w:w="1276" w:type="dxa"/>
            <w:vAlign w:val="center"/>
          </w:tcPr>
          <w:p w14:paraId="170EE77D">
            <w:pPr>
              <w:pStyle w:val="12"/>
            </w:pPr>
            <w:r>
              <w:t>项目规划</w:t>
            </w:r>
          </w:p>
        </w:tc>
      </w:tr>
      <w:tr w14:paraId="2383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71084"/>
        </w:tc>
        <w:tc>
          <w:tcPr>
            <w:tcW w:w="2268" w:type="dxa"/>
            <w:vAlign w:val="center"/>
          </w:tcPr>
          <w:p w14:paraId="26E78C66">
            <w:pPr>
              <w:pStyle w:val="12"/>
            </w:pPr>
            <w:r>
              <w:t>质量指标</w:t>
            </w:r>
          </w:p>
        </w:tc>
        <w:tc>
          <w:tcPr>
            <w:tcW w:w="2835" w:type="dxa"/>
            <w:vAlign w:val="center"/>
          </w:tcPr>
          <w:p w14:paraId="5253E62B">
            <w:pPr>
              <w:pStyle w:val="12"/>
            </w:pPr>
            <w:r>
              <w:t>工程实施验收合格率</w:t>
            </w:r>
          </w:p>
        </w:tc>
        <w:tc>
          <w:tcPr>
            <w:tcW w:w="5386" w:type="dxa"/>
            <w:vAlign w:val="center"/>
          </w:tcPr>
          <w:p w14:paraId="6B43EA76">
            <w:pPr>
              <w:pStyle w:val="12"/>
            </w:pPr>
            <w:r>
              <w:t>申报程序的合规，项目实施及资金使用符合项目规划</w:t>
            </w:r>
          </w:p>
        </w:tc>
        <w:tc>
          <w:tcPr>
            <w:tcW w:w="2268" w:type="dxa"/>
            <w:vAlign w:val="center"/>
          </w:tcPr>
          <w:p w14:paraId="64B33FEA">
            <w:pPr>
              <w:pStyle w:val="12"/>
            </w:pPr>
            <w:r>
              <w:t>100%</w:t>
            </w:r>
          </w:p>
        </w:tc>
        <w:tc>
          <w:tcPr>
            <w:tcW w:w="1276" w:type="dxa"/>
            <w:vAlign w:val="center"/>
          </w:tcPr>
          <w:p w14:paraId="4006D64A">
            <w:pPr>
              <w:pStyle w:val="12"/>
            </w:pPr>
            <w:r>
              <w:t>项目规划</w:t>
            </w:r>
          </w:p>
        </w:tc>
      </w:tr>
      <w:tr w14:paraId="1FC3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00CEE"/>
        </w:tc>
        <w:tc>
          <w:tcPr>
            <w:tcW w:w="2268" w:type="dxa"/>
            <w:vAlign w:val="center"/>
          </w:tcPr>
          <w:p w14:paraId="2635ADC1">
            <w:pPr>
              <w:pStyle w:val="12"/>
            </w:pPr>
            <w:r>
              <w:t>时效指标</w:t>
            </w:r>
          </w:p>
        </w:tc>
        <w:tc>
          <w:tcPr>
            <w:tcW w:w="2835" w:type="dxa"/>
            <w:vAlign w:val="center"/>
          </w:tcPr>
          <w:p w14:paraId="34E50325">
            <w:pPr>
              <w:pStyle w:val="12"/>
            </w:pPr>
            <w:r>
              <w:t>资金支付率</w:t>
            </w:r>
          </w:p>
        </w:tc>
        <w:tc>
          <w:tcPr>
            <w:tcW w:w="5386" w:type="dxa"/>
            <w:vAlign w:val="center"/>
          </w:tcPr>
          <w:p w14:paraId="6BB2295A">
            <w:pPr>
              <w:pStyle w:val="12"/>
            </w:pPr>
            <w:r>
              <w:t>按照序时进度完成资金支付</w:t>
            </w:r>
          </w:p>
        </w:tc>
        <w:tc>
          <w:tcPr>
            <w:tcW w:w="2268" w:type="dxa"/>
            <w:vAlign w:val="center"/>
          </w:tcPr>
          <w:p w14:paraId="1B496023">
            <w:pPr>
              <w:pStyle w:val="12"/>
            </w:pPr>
            <w:r>
              <w:t>100%</w:t>
            </w:r>
          </w:p>
        </w:tc>
        <w:tc>
          <w:tcPr>
            <w:tcW w:w="1276" w:type="dxa"/>
            <w:vAlign w:val="center"/>
          </w:tcPr>
          <w:p w14:paraId="7407F8BB">
            <w:pPr>
              <w:pStyle w:val="12"/>
            </w:pPr>
            <w:r>
              <w:t>项目规划</w:t>
            </w:r>
          </w:p>
        </w:tc>
      </w:tr>
      <w:tr w14:paraId="7F47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6B194"/>
        </w:tc>
        <w:tc>
          <w:tcPr>
            <w:tcW w:w="2268" w:type="dxa"/>
            <w:vAlign w:val="center"/>
          </w:tcPr>
          <w:p w14:paraId="727A18CA">
            <w:pPr>
              <w:pStyle w:val="12"/>
            </w:pPr>
            <w:r>
              <w:t>成本指标</w:t>
            </w:r>
          </w:p>
        </w:tc>
        <w:tc>
          <w:tcPr>
            <w:tcW w:w="2835" w:type="dxa"/>
            <w:vAlign w:val="center"/>
          </w:tcPr>
          <w:p w14:paraId="6EFF283B">
            <w:pPr>
              <w:pStyle w:val="12"/>
            </w:pPr>
            <w:r>
              <w:t>项目成本控制情况</w:t>
            </w:r>
          </w:p>
        </w:tc>
        <w:tc>
          <w:tcPr>
            <w:tcW w:w="5386" w:type="dxa"/>
            <w:vAlign w:val="center"/>
          </w:tcPr>
          <w:p w14:paraId="24C744EC">
            <w:pPr>
              <w:pStyle w:val="12"/>
            </w:pPr>
            <w:r>
              <w:t>严格按照招标价格及审计额进行</w:t>
            </w:r>
          </w:p>
        </w:tc>
        <w:tc>
          <w:tcPr>
            <w:tcW w:w="2268" w:type="dxa"/>
            <w:vAlign w:val="center"/>
          </w:tcPr>
          <w:p w14:paraId="1F4BCC14">
            <w:pPr>
              <w:pStyle w:val="12"/>
            </w:pPr>
            <w:r>
              <w:t>67万元</w:t>
            </w:r>
          </w:p>
        </w:tc>
        <w:tc>
          <w:tcPr>
            <w:tcW w:w="1276" w:type="dxa"/>
            <w:vAlign w:val="center"/>
          </w:tcPr>
          <w:p w14:paraId="67A7FC16">
            <w:pPr>
              <w:pStyle w:val="12"/>
            </w:pPr>
            <w:r>
              <w:t>项目规划</w:t>
            </w:r>
          </w:p>
        </w:tc>
      </w:tr>
      <w:tr w14:paraId="4487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AFCA3">
            <w:pPr>
              <w:pStyle w:val="13"/>
            </w:pPr>
            <w:r>
              <w:t>效益指标</w:t>
            </w:r>
          </w:p>
        </w:tc>
        <w:tc>
          <w:tcPr>
            <w:tcW w:w="2268" w:type="dxa"/>
            <w:vAlign w:val="center"/>
          </w:tcPr>
          <w:p w14:paraId="6DBE2210">
            <w:pPr>
              <w:pStyle w:val="12"/>
            </w:pPr>
            <w:r>
              <w:t>可持续影响指标</w:t>
            </w:r>
          </w:p>
        </w:tc>
        <w:tc>
          <w:tcPr>
            <w:tcW w:w="2835" w:type="dxa"/>
            <w:vAlign w:val="center"/>
          </w:tcPr>
          <w:p w14:paraId="096694CE">
            <w:pPr>
              <w:pStyle w:val="12"/>
            </w:pPr>
            <w:r>
              <w:t>学校办学环境提升</w:t>
            </w:r>
          </w:p>
        </w:tc>
        <w:tc>
          <w:tcPr>
            <w:tcW w:w="5386" w:type="dxa"/>
            <w:vAlign w:val="center"/>
          </w:tcPr>
          <w:p w14:paraId="6E0ABD68">
            <w:pPr>
              <w:pStyle w:val="12"/>
            </w:pPr>
            <w:r>
              <w:t>学校教学环境提升优化率</w:t>
            </w:r>
          </w:p>
        </w:tc>
        <w:tc>
          <w:tcPr>
            <w:tcW w:w="2268" w:type="dxa"/>
            <w:vAlign w:val="center"/>
          </w:tcPr>
          <w:p w14:paraId="47399478">
            <w:pPr>
              <w:pStyle w:val="12"/>
            </w:pPr>
            <w:r>
              <w:t>≥98%</w:t>
            </w:r>
          </w:p>
        </w:tc>
        <w:tc>
          <w:tcPr>
            <w:tcW w:w="1276" w:type="dxa"/>
            <w:vAlign w:val="center"/>
          </w:tcPr>
          <w:p w14:paraId="0F368471">
            <w:pPr>
              <w:pStyle w:val="12"/>
            </w:pPr>
            <w:r>
              <w:t>项目规划</w:t>
            </w:r>
          </w:p>
        </w:tc>
      </w:tr>
      <w:tr w14:paraId="31337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578EB">
            <w:pPr>
              <w:pStyle w:val="13"/>
            </w:pPr>
            <w:r>
              <w:t>满意度指标</w:t>
            </w:r>
          </w:p>
        </w:tc>
        <w:tc>
          <w:tcPr>
            <w:tcW w:w="2268" w:type="dxa"/>
            <w:vAlign w:val="center"/>
          </w:tcPr>
          <w:p w14:paraId="2083CBD0">
            <w:pPr>
              <w:pStyle w:val="12"/>
            </w:pPr>
            <w:r>
              <w:t>服务对象满意度指标</w:t>
            </w:r>
          </w:p>
        </w:tc>
        <w:tc>
          <w:tcPr>
            <w:tcW w:w="2835" w:type="dxa"/>
            <w:vAlign w:val="center"/>
          </w:tcPr>
          <w:p w14:paraId="35B3DBC8">
            <w:pPr>
              <w:pStyle w:val="12"/>
            </w:pPr>
            <w:r>
              <w:t>受益学生家长及调查满意度</w:t>
            </w:r>
          </w:p>
        </w:tc>
        <w:tc>
          <w:tcPr>
            <w:tcW w:w="5386" w:type="dxa"/>
            <w:vAlign w:val="center"/>
          </w:tcPr>
          <w:p w14:paraId="7224F08B">
            <w:pPr>
              <w:pStyle w:val="12"/>
            </w:pPr>
            <w:r>
              <w:t>学生、教师及家长对学校教学环境满意度情况</w:t>
            </w:r>
          </w:p>
        </w:tc>
        <w:tc>
          <w:tcPr>
            <w:tcW w:w="2268" w:type="dxa"/>
            <w:vAlign w:val="center"/>
          </w:tcPr>
          <w:p w14:paraId="23ADB19D">
            <w:pPr>
              <w:pStyle w:val="12"/>
            </w:pPr>
            <w:r>
              <w:t>≥95%</w:t>
            </w:r>
          </w:p>
        </w:tc>
        <w:tc>
          <w:tcPr>
            <w:tcW w:w="1276" w:type="dxa"/>
            <w:vAlign w:val="center"/>
          </w:tcPr>
          <w:p w14:paraId="0873E085">
            <w:pPr>
              <w:pStyle w:val="12"/>
            </w:pPr>
            <w:r>
              <w:t>项目规划</w:t>
            </w:r>
          </w:p>
        </w:tc>
      </w:tr>
    </w:tbl>
    <w:p w14:paraId="5B93E605">
      <w:pPr>
        <w:sectPr>
          <w:pgSz w:w="16840" w:h="11900" w:orient="landscape"/>
          <w:pgMar w:top="1361" w:right="1020" w:bottom="1134" w:left="1020" w:header="720" w:footer="720" w:gutter="0"/>
          <w:cols w:space="720" w:num="1"/>
        </w:sectPr>
      </w:pPr>
    </w:p>
    <w:p w14:paraId="1ACC9D7E">
      <w:pPr>
        <w:spacing w:before="0" w:after="0"/>
        <w:ind w:firstLine="560"/>
        <w:jc w:val="left"/>
        <w:outlineLvl w:val="9"/>
      </w:pPr>
      <w:r>
        <w:rPr>
          <w:rFonts w:ascii="方正仿宋_GBK" w:hAnsi="方正仿宋_GBK" w:eastAsia="方正仿宋_GBK" w:cs="方正仿宋_GBK"/>
          <w:b/>
          <w:color w:val="000000"/>
          <w:sz w:val="28"/>
        </w:rPr>
        <w:t>14、冀财教[2025]122号/中央/支持学前教育发展/杨村幼儿园活动室改造等维修项目绩效目标表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21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C7B67">
            <w:pPr>
              <w:pStyle w:val="11"/>
            </w:pPr>
            <w:r>
              <w:t>单位：万元</w:t>
            </w:r>
          </w:p>
        </w:tc>
      </w:tr>
      <w:tr w14:paraId="72FAF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E00C0">
            <w:pPr>
              <w:pStyle w:val="10"/>
            </w:pPr>
            <w:r>
              <w:t>项目编码</w:t>
            </w:r>
          </w:p>
        </w:tc>
        <w:tc>
          <w:tcPr>
            <w:tcW w:w="5103" w:type="dxa"/>
            <w:gridSpan w:val="2"/>
            <w:vAlign w:val="center"/>
          </w:tcPr>
          <w:p w14:paraId="7888848B">
            <w:pPr>
              <w:pStyle w:val="12"/>
            </w:pPr>
            <w:r>
              <w:t>13052526P00876910196T</w:t>
            </w:r>
          </w:p>
        </w:tc>
        <w:tc>
          <w:tcPr>
            <w:tcW w:w="2835" w:type="dxa"/>
            <w:vAlign w:val="center"/>
          </w:tcPr>
          <w:p w14:paraId="4D153778">
            <w:pPr>
              <w:pStyle w:val="10"/>
            </w:pPr>
            <w:r>
              <w:t>项目名称</w:t>
            </w:r>
          </w:p>
        </w:tc>
        <w:tc>
          <w:tcPr>
            <w:tcW w:w="6095" w:type="dxa"/>
            <w:gridSpan w:val="3"/>
            <w:vAlign w:val="center"/>
          </w:tcPr>
          <w:p w14:paraId="6770B7A0">
            <w:pPr>
              <w:pStyle w:val="12"/>
            </w:pPr>
            <w:r>
              <w:t>冀财教[2025]122号/中央/支持学前教育发展/杨村幼儿园活动室改造等维修项目</w:t>
            </w:r>
          </w:p>
        </w:tc>
      </w:tr>
      <w:tr w14:paraId="7F1CE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A0896">
            <w:pPr>
              <w:pStyle w:val="10"/>
            </w:pPr>
            <w:r>
              <w:t>预算规模及资金用途</w:t>
            </w:r>
          </w:p>
        </w:tc>
        <w:tc>
          <w:tcPr>
            <w:tcW w:w="2268" w:type="dxa"/>
            <w:vAlign w:val="center"/>
          </w:tcPr>
          <w:p w14:paraId="7268CA3D">
            <w:pPr>
              <w:pStyle w:val="10"/>
            </w:pPr>
            <w:r>
              <w:t>预算数</w:t>
            </w:r>
          </w:p>
        </w:tc>
        <w:tc>
          <w:tcPr>
            <w:tcW w:w="2835" w:type="dxa"/>
            <w:vAlign w:val="center"/>
          </w:tcPr>
          <w:p w14:paraId="64FECA4F">
            <w:pPr>
              <w:pStyle w:val="12"/>
            </w:pPr>
            <w:r>
              <w:t>12.00</w:t>
            </w:r>
          </w:p>
        </w:tc>
        <w:tc>
          <w:tcPr>
            <w:tcW w:w="2835" w:type="dxa"/>
            <w:vAlign w:val="center"/>
          </w:tcPr>
          <w:p w14:paraId="5E76852C">
            <w:pPr>
              <w:pStyle w:val="10"/>
            </w:pPr>
            <w:r>
              <w:t>其中：财政    资金</w:t>
            </w:r>
          </w:p>
        </w:tc>
        <w:tc>
          <w:tcPr>
            <w:tcW w:w="2551" w:type="dxa"/>
            <w:vAlign w:val="center"/>
          </w:tcPr>
          <w:p w14:paraId="362A278F">
            <w:pPr>
              <w:pStyle w:val="12"/>
            </w:pPr>
            <w:r>
              <w:t>12.00</w:t>
            </w:r>
          </w:p>
        </w:tc>
        <w:tc>
          <w:tcPr>
            <w:tcW w:w="2268" w:type="dxa"/>
            <w:vAlign w:val="center"/>
          </w:tcPr>
          <w:p w14:paraId="605A9866">
            <w:pPr>
              <w:pStyle w:val="10"/>
            </w:pPr>
            <w:r>
              <w:t>其他资金</w:t>
            </w:r>
          </w:p>
        </w:tc>
        <w:tc>
          <w:tcPr>
            <w:tcW w:w="1276" w:type="dxa"/>
            <w:vAlign w:val="center"/>
          </w:tcPr>
          <w:p w14:paraId="71957E87">
            <w:pPr>
              <w:pStyle w:val="12"/>
            </w:pPr>
            <w:r>
              <w:t xml:space="preserve"> </w:t>
            </w:r>
          </w:p>
        </w:tc>
      </w:tr>
      <w:tr w14:paraId="0BFEF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CDD59"/>
        </w:tc>
        <w:tc>
          <w:tcPr>
            <w:tcW w:w="14033" w:type="dxa"/>
            <w:gridSpan w:val="6"/>
            <w:vAlign w:val="center"/>
          </w:tcPr>
          <w:p w14:paraId="47DFFB7D">
            <w:pPr>
              <w:pStyle w:val="12"/>
            </w:pPr>
            <w:r>
              <w:t>改善就学条件，提升学校形象，保障幼儿安全，创造良好的校园环境。</w:t>
            </w:r>
          </w:p>
        </w:tc>
      </w:tr>
      <w:tr w14:paraId="3F135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A78E1">
            <w:pPr>
              <w:pStyle w:val="10"/>
            </w:pPr>
            <w:r>
              <w:t>资金支出计划（%）</w:t>
            </w:r>
          </w:p>
        </w:tc>
        <w:tc>
          <w:tcPr>
            <w:tcW w:w="5103" w:type="dxa"/>
            <w:gridSpan w:val="2"/>
            <w:vAlign w:val="center"/>
          </w:tcPr>
          <w:p w14:paraId="4DB5970A">
            <w:pPr>
              <w:pStyle w:val="10"/>
            </w:pPr>
            <w:r>
              <w:t>3月底</w:t>
            </w:r>
          </w:p>
        </w:tc>
        <w:tc>
          <w:tcPr>
            <w:tcW w:w="2835" w:type="dxa"/>
            <w:vAlign w:val="center"/>
          </w:tcPr>
          <w:p w14:paraId="04CA2AF6">
            <w:pPr>
              <w:pStyle w:val="10"/>
            </w:pPr>
            <w:r>
              <w:t>6月底</w:t>
            </w:r>
          </w:p>
        </w:tc>
        <w:tc>
          <w:tcPr>
            <w:tcW w:w="2551" w:type="dxa"/>
            <w:vAlign w:val="center"/>
          </w:tcPr>
          <w:p w14:paraId="40A1A1E1">
            <w:pPr>
              <w:pStyle w:val="10"/>
            </w:pPr>
            <w:r>
              <w:t>10月底</w:t>
            </w:r>
          </w:p>
        </w:tc>
        <w:tc>
          <w:tcPr>
            <w:tcW w:w="3544" w:type="dxa"/>
            <w:gridSpan w:val="2"/>
            <w:vAlign w:val="center"/>
          </w:tcPr>
          <w:p w14:paraId="1AF6D7D3">
            <w:pPr>
              <w:pStyle w:val="10"/>
            </w:pPr>
            <w:r>
              <w:t>12月底</w:t>
            </w:r>
          </w:p>
        </w:tc>
      </w:tr>
      <w:tr w14:paraId="77F6A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C07B3"/>
        </w:tc>
        <w:tc>
          <w:tcPr>
            <w:tcW w:w="5103" w:type="dxa"/>
            <w:gridSpan w:val="2"/>
            <w:vAlign w:val="center"/>
          </w:tcPr>
          <w:p w14:paraId="1FDDED25">
            <w:pPr>
              <w:pStyle w:val="13"/>
            </w:pPr>
            <w:r>
              <w:t xml:space="preserve"> </w:t>
            </w:r>
          </w:p>
        </w:tc>
        <w:tc>
          <w:tcPr>
            <w:tcW w:w="2835" w:type="dxa"/>
            <w:vAlign w:val="center"/>
          </w:tcPr>
          <w:p w14:paraId="68FE0E2E">
            <w:pPr>
              <w:pStyle w:val="13"/>
            </w:pPr>
            <w:r>
              <w:t>100%</w:t>
            </w:r>
          </w:p>
        </w:tc>
        <w:tc>
          <w:tcPr>
            <w:tcW w:w="2551" w:type="dxa"/>
            <w:vAlign w:val="center"/>
          </w:tcPr>
          <w:p w14:paraId="1A1C8ACD">
            <w:pPr>
              <w:pStyle w:val="13"/>
            </w:pPr>
            <w:r>
              <w:t>100%</w:t>
            </w:r>
          </w:p>
        </w:tc>
        <w:tc>
          <w:tcPr>
            <w:tcW w:w="3544" w:type="dxa"/>
            <w:gridSpan w:val="2"/>
            <w:vAlign w:val="center"/>
          </w:tcPr>
          <w:p w14:paraId="4116A146">
            <w:pPr>
              <w:pStyle w:val="13"/>
            </w:pPr>
            <w:r>
              <w:t>100%</w:t>
            </w:r>
          </w:p>
        </w:tc>
      </w:tr>
      <w:tr w14:paraId="7201C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6D9AF">
            <w:pPr>
              <w:pStyle w:val="10"/>
            </w:pPr>
            <w:r>
              <w:t>绩效目标</w:t>
            </w:r>
          </w:p>
        </w:tc>
        <w:tc>
          <w:tcPr>
            <w:tcW w:w="14033" w:type="dxa"/>
            <w:gridSpan w:val="6"/>
            <w:vAlign w:val="center"/>
          </w:tcPr>
          <w:p w14:paraId="732E238B">
            <w:pPr>
              <w:pStyle w:val="12"/>
            </w:pPr>
            <w:r>
              <w:t>1.改善就学条件，提升学校形象，保障幼儿安全，创造良好的校园环境。</w:t>
            </w:r>
          </w:p>
          <w:p w14:paraId="26BF6818">
            <w:pPr>
              <w:pStyle w:val="12"/>
            </w:pPr>
            <w:r>
              <w:t>2.项目需资金12万元，资金拨付率达到100%。</w:t>
            </w:r>
          </w:p>
        </w:tc>
      </w:tr>
    </w:tbl>
    <w:p w14:paraId="1BE1E9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8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E7987">
            <w:pPr>
              <w:pStyle w:val="10"/>
            </w:pPr>
            <w:r>
              <w:t>一级指标</w:t>
            </w:r>
          </w:p>
        </w:tc>
        <w:tc>
          <w:tcPr>
            <w:tcW w:w="2268" w:type="dxa"/>
            <w:vAlign w:val="center"/>
          </w:tcPr>
          <w:p w14:paraId="56441B28">
            <w:pPr>
              <w:pStyle w:val="10"/>
            </w:pPr>
            <w:r>
              <w:t>二级指标</w:t>
            </w:r>
          </w:p>
        </w:tc>
        <w:tc>
          <w:tcPr>
            <w:tcW w:w="2835" w:type="dxa"/>
            <w:vAlign w:val="center"/>
          </w:tcPr>
          <w:p w14:paraId="42926B1C">
            <w:pPr>
              <w:pStyle w:val="10"/>
            </w:pPr>
            <w:r>
              <w:t>三级指标</w:t>
            </w:r>
          </w:p>
        </w:tc>
        <w:tc>
          <w:tcPr>
            <w:tcW w:w="5386" w:type="dxa"/>
            <w:vAlign w:val="center"/>
          </w:tcPr>
          <w:p w14:paraId="77114DAA">
            <w:pPr>
              <w:pStyle w:val="10"/>
            </w:pPr>
            <w:r>
              <w:t>绩效指标描述</w:t>
            </w:r>
          </w:p>
        </w:tc>
        <w:tc>
          <w:tcPr>
            <w:tcW w:w="2268" w:type="dxa"/>
            <w:vAlign w:val="center"/>
          </w:tcPr>
          <w:p w14:paraId="1C9166A7">
            <w:pPr>
              <w:pStyle w:val="10"/>
            </w:pPr>
            <w:r>
              <w:t>指标值</w:t>
            </w:r>
          </w:p>
        </w:tc>
        <w:tc>
          <w:tcPr>
            <w:tcW w:w="1276" w:type="dxa"/>
            <w:vAlign w:val="center"/>
          </w:tcPr>
          <w:p w14:paraId="66954631">
            <w:pPr>
              <w:pStyle w:val="10"/>
            </w:pPr>
            <w:r>
              <w:t>指标值确定依据</w:t>
            </w:r>
          </w:p>
        </w:tc>
      </w:tr>
      <w:tr w14:paraId="12F8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580FC">
            <w:pPr>
              <w:pStyle w:val="13"/>
            </w:pPr>
            <w:r>
              <w:t>产出指标</w:t>
            </w:r>
          </w:p>
        </w:tc>
        <w:tc>
          <w:tcPr>
            <w:tcW w:w="2268" w:type="dxa"/>
            <w:vAlign w:val="center"/>
          </w:tcPr>
          <w:p w14:paraId="5EDE3696">
            <w:pPr>
              <w:pStyle w:val="12"/>
            </w:pPr>
            <w:r>
              <w:t>数量指标</w:t>
            </w:r>
          </w:p>
        </w:tc>
        <w:tc>
          <w:tcPr>
            <w:tcW w:w="2835" w:type="dxa"/>
            <w:vAlign w:val="center"/>
          </w:tcPr>
          <w:p w14:paraId="3EFC9542">
            <w:pPr>
              <w:pStyle w:val="12"/>
            </w:pPr>
            <w:r>
              <w:t>杨村幼儿园活动室改造等维修项目</w:t>
            </w:r>
          </w:p>
        </w:tc>
        <w:tc>
          <w:tcPr>
            <w:tcW w:w="5386" w:type="dxa"/>
            <w:vAlign w:val="center"/>
          </w:tcPr>
          <w:p w14:paraId="31F17C17">
            <w:pPr>
              <w:pStyle w:val="12"/>
            </w:pPr>
            <w:r>
              <w:t>活动室改造、户外草坪、沙水区</w:t>
            </w:r>
          </w:p>
        </w:tc>
        <w:tc>
          <w:tcPr>
            <w:tcW w:w="2268" w:type="dxa"/>
            <w:vAlign w:val="center"/>
          </w:tcPr>
          <w:p w14:paraId="7690E91E">
            <w:pPr>
              <w:pStyle w:val="12"/>
            </w:pPr>
            <w:r>
              <w:t>1项</w:t>
            </w:r>
          </w:p>
        </w:tc>
        <w:tc>
          <w:tcPr>
            <w:tcW w:w="1276" w:type="dxa"/>
            <w:vAlign w:val="center"/>
          </w:tcPr>
          <w:p w14:paraId="06F0F971">
            <w:pPr>
              <w:pStyle w:val="12"/>
            </w:pPr>
            <w:r>
              <w:t>项目规划</w:t>
            </w:r>
          </w:p>
        </w:tc>
      </w:tr>
      <w:tr w14:paraId="64E5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E0372"/>
        </w:tc>
        <w:tc>
          <w:tcPr>
            <w:tcW w:w="2268" w:type="dxa"/>
            <w:vAlign w:val="center"/>
          </w:tcPr>
          <w:p w14:paraId="1CF5846A">
            <w:pPr>
              <w:pStyle w:val="12"/>
            </w:pPr>
            <w:r>
              <w:t>质量指标</w:t>
            </w:r>
          </w:p>
        </w:tc>
        <w:tc>
          <w:tcPr>
            <w:tcW w:w="2835" w:type="dxa"/>
            <w:vAlign w:val="center"/>
          </w:tcPr>
          <w:p w14:paraId="1C5C53A8">
            <w:pPr>
              <w:pStyle w:val="12"/>
            </w:pPr>
            <w:r>
              <w:t>工程实施验收合格率</w:t>
            </w:r>
          </w:p>
        </w:tc>
        <w:tc>
          <w:tcPr>
            <w:tcW w:w="5386" w:type="dxa"/>
            <w:vAlign w:val="center"/>
          </w:tcPr>
          <w:p w14:paraId="09F17158">
            <w:pPr>
              <w:pStyle w:val="12"/>
            </w:pPr>
            <w:r>
              <w:t>申报程序的合规，项目实施及资金使用符合项目规划</w:t>
            </w:r>
          </w:p>
        </w:tc>
        <w:tc>
          <w:tcPr>
            <w:tcW w:w="2268" w:type="dxa"/>
            <w:vAlign w:val="center"/>
          </w:tcPr>
          <w:p w14:paraId="59A763B2">
            <w:pPr>
              <w:pStyle w:val="12"/>
            </w:pPr>
            <w:r>
              <w:t>100%</w:t>
            </w:r>
          </w:p>
        </w:tc>
        <w:tc>
          <w:tcPr>
            <w:tcW w:w="1276" w:type="dxa"/>
            <w:vAlign w:val="center"/>
          </w:tcPr>
          <w:p w14:paraId="7C3DD1E4">
            <w:pPr>
              <w:pStyle w:val="12"/>
            </w:pPr>
            <w:r>
              <w:t>项目规划</w:t>
            </w:r>
          </w:p>
        </w:tc>
      </w:tr>
      <w:tr w14:paraId="33A3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03FDF"/>
        </w:tc>
        <w:tc>
          <w:tcPr>
            <w:tcW w:w="2268" w:type="dxa"/>
            <w:vAlign w:val="center"/>
          </w:tcPr>
          <w:p w14:paraId="3F50E0AB">
            <w:pPr>
              <w:pStyle w:val="12"/>
            </w:pPr>
            <w:r>
              <w:t>时效指标</w:t>
            </w:r>
          </w:p>
        </w:tc>
        <w:tc>
          <w:tcPr>
            <w:tcW w:w="2835" w:type="dxa"/>
            <w:vAlign w:val="center"/>
          </w:tcPr>
          <w:p w14:paraId="2F169B71">
            <w:pPr>
              <w:pStyle w:val="12"/>
            </w:pPr>
            <w:r>
              <w:t>资金支付率</w:t>
            </w:r>
          </w:p>
        </w:tc>
        <w:tc>
          <w:tcPr>
            <w:tcW w:w="5386" w:type="dxa"/>
            <w:vAlign w:val="center"/>
          </w:tcPr>
          <w:p w14:paraId="62172156">
            <w:pPr>
              <w:pStyle w:val="12"/>
            </w:pPr>
            <w:r>
              <w:t>按照序时进度完成资金支付</w:t>
            </w:r>
          </w:p>
        </w:tc>
        <w:tc>
          <w:tcPr>
            <w:tcW w:w="2268" w:type="dxa"/>
            <w:vAlign w:val="center"/>
          </w:tcPr>
          <w:p w14:paraId="35C990BA">
            <w:pPr>
              <w:pStyle w:val="12"/>
            </w:pPr>
            <w:r>
              <w:t>100%</w:t>
            </w:r>
          </w:p>
        </w:tc>
        <w:tc>
          <w:tcPr>
            <w:tcW w:w="1276" w:type="dxa"/>
            <w:vAlign w:val="center"/>
          </w:tcPr>
          <w:p w14:paraId="656B9E5A">
            <w:pPr>
              <w:pStyle w:val="12"/>
            </w:pPr>
            <w:r>
              <w:t>项目规划</w:t>
            </w:r>
          </w:p>
        </w:tc>
      </w:tr>
      <w:tr w14:paraId="5289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D309A"/>
        </w:tc>
        <w:tc>
          <w:tcPr>
            <w:tcW w:w="2268" w:type="dxa"/>
            <w:vAlign w:val="center"/>
          </w:tcPr>
          <w:p w14:paraId="0D3467CB">
            <w:pPr>
              <w:pStyle w:val="12"/>
            </w:pPr>
            <w:r>
              <w:t>成本指标</w:t>
            </w:r>
          </w:p>
        </w:tc>
        <w:tc>
          <w:tcPr>
            <w:tcW w:w="2835" w:type="dxa"/>
            <w:vAlign w:val="center"/>
          </w:tcPr>
          <w:p w14:paraId="6EB880D5">
            <w:pPr>
              <w:pStyle w:val="12"/>
            </w:pPr>
            <w:r>
              <w:t>项目成本控制情况</w:t>
            </w:r>
          </w:p>
        </w:tc>
        <w:tc>
          <w:tcPr>
            <w:tcW w:w="5386" w:type="dxa"/>
            <w:vAlign w:val="center"/>
          </w:tcPr>
          <w:p w14:paraId="2C09DB7D">
            <w:pPr>
              <w:pStyle w:val="12"/>
            </w:pPr>
            <w:r>
              <w:t>严格按照招标价格及审计额进行</w:t>
            </w:r>
          </w:p>
        </w:tc>
        <w:tc>
          <w:tcPr>
            <w:tcW w:w="2268" w:type="dxa"/>
            <w:vAlign w:val="center"/>
          </w:tcPr>
          <w:p w14:paraId="69669572">
            <w:pPr>
              <w:pStyle w:val="12"/>
            </w:pPr>
            <w:r>
              <w:t>12万元</w:t>
            </w:r>
          </w:p>
        </w:tc>
        <w:tc>
          <w:tcPr>
            <w:tcW w:w="1276" w:type="dxa"/>
            <w:vAlign w:val="center"/>
          </w:tcPr>
          <w:p w14:paraId="256194B0">
            <w:pPr>
              <w:pStyle w:val="12"/>
            </w:pPr>
            <w:r>
              <w:t>项目规划</w:t>
            </w:r>
          </w:p>
        </w:tc>
      </w:tr>
      <w:tr w14:paraId="003D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D3521">
            <w:pPr>
              <w:pStyle w:val="13"/>
            </w:pPr>
            <w:r>
              <w:t>效益指标</w:t>
            </w:r>
          </w:p>
        </w:tc>
        <w:tc>
          <w:tcPr>
            <w:tcW w:w="2268" w:type="dxa"/>
            <w:vAlign w:val="center"/>
          </w:tcPr>
          <w:p w14:paraId="045509CC">
            <w:pPr>
              <w:pStyle w:val="12"/>
            </w:pPr>
            <w:r>
              <w:t>可持续影响指标</w:t>
            </w:r>
          </w:p>
        </w:tc>
        <w:tc>
          <w:tcPr>
            <w:tcW w:w="2835" w:type="dxa"/>
            <w:vAlign w:val="center"/>
          </w:tcPr>
          <w:p w14:paraId="0512E915">
            <w:pPr>
              <w:pStyle w:val="12"/>
            </w:pPr>
            <w:r>
              <w:t>学校办学环境提升</w:t>
            </w:r>
          </w:p>
        </w:tc>
        <w:tc>
          <w:tcPr>
            <w:tcW w:w="5386" w:type="dxa"/>
            <w:vAlign w:val="center"/>
          </w:tcPr>
          <w:p w14:paraId="78EF2814">
            <w:pPr>
              <w:pStyle w:val="12"/>
            </w:pPr>
            <w:r>
              <w:t>学校教学环境提升优化率</w:t>
            </w:r>
          </w:p>
        </w:tc>
        <w:tc>
          <w:tcPr>
            <w:tcW w:w="2268" w:type="dxa"/>
            <w:vAlign w:val="center"/>
          </w:tcPr>
          <w:p w14:paraId="0742C774">
            <w:pPr>
              <w:pStyle w:val="12"/>
            </w:pPr>
            <w:r>
              <w:t>≥98%</w:t>
            </w:r>
          </w:p>
        </w:tc>
        <w:tc>
          <w:tcPr>
            <w:tcW w:w="1276" w:type="dxa"/>
            <w:vAlign w:val="center"/>
          </w:tcPr>
          <w:p w14:paraId="34E15B76">
            <w:pPr>
              <w:pStyle w:val="12"/>
            </w:pPr>
            <w:r>
              <w:t>项目规划</w:t>
            </w:r>
          </w:p>
        </w:tc>
      </w:tr>
      <w:tr w14:paraId="68DE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4BBCD">
            <w:pPr>
              <w:pStyle w:val="13"/>
            </w:pPr>
            <w:r>
              <w:t>满意度指标</w:t>
            </w:r>
          </w:p>
        </w:tc>
        <w:tc>
          <w:tcPr>
            <w:tcW w:w="2268" w:type="dxa"/>
            <w:vAlign w:val="center"/>
          </w:tcPr>
          <w:p w14:paraId="08D35BA8">
            <w:pPr>
              <w:pStyle w:val="12"/>
            </w:pPr>
            <w:r>
              <w:t>服务对象满意度指标</w:t>
            </w:r>
          </w:p>
        </w:tc>
        <w:tc>
          <w:tcPr>
            <w:tcW w:w="2835" w:type="dxa"/>
            <w:vAlign w:val="center"/>
          </w:tcPr>
          <w:p w14:paraId="21FC0292">
            <w:pPr>
              <w:pStyle w:val="12"/>
            </w:pPr>
            <w:r>
              <w:t>受益学生家长及调查满意度</w:t>
            </w:r>
          </w:p>
        </w:tc>
        <w:tc>
          <w:tcPr>
            <w:tcW w:w="5386" w:type="dxa"/>
            <w:vAlign w:val="center"/>
          </w:tcPr>
          <w:p w14:paraId="343B14DF">
            <w:pPr>
              <w:pStyle w:val="12"/>
            </w:pPr>
            <w:r>
              <w:t>学生、教师及家长对学校教学环境满意度情况</w:t>
            </w:r>
          </w:p>
        </w:tc>
        <w:tc>
          <w:tcPr>
            <w:tcW w:w="2268" w:type="dxa"/>
            <w:vAlign w:val="center"/>
          </w:tcPr>
          <w:p w14:paraId="61D2473A">
            <w:pPr>
              <w:pStyle w:val="12"/>
            </w:pPr>
            <w:r>
              <w:t>≥95%</w:t>
            </w:r>
          </w:p>
        </w:tc>
        <w:tc>
          <w:tcPr>
            <w:tcW w:w="1276" w:type="dxa"/>
            <w:vAlign w:val="center"/>
          </w:tcPr>
          <w:p w14:paraId="29793626">
            <w:pPr>
              <w:pStyle w:val="12"/>
            </w:pPr>
            <w:r>
              <w:t>项目规划</w:t>
            </w:r>
          </w:p>
        </w:tc>
      </w:tr>
    </w:tbl>
    <w:p w14:paraId="459E0643">
      <w:pPr>
        <w:sectPr>
          <w:pgSz w:w="16840" w:h="11900" w:orient="landscape"/>
          <w:pgMar w:top="1361" w:right="1020" w:bottom="1134" w:left="1020" w:header="720" w:footer="720" w:gutter="0"/>
          <w:cols w:space="720" w:num="1"/>
        </w:sectPr>
      </w:pPr>
    </w:p>
    <w:p w14:paraId="4F50A50B">
      <w:pPr>
        <w:spacing w:before="0" w:after="0"/>
        <w:ind w:firstLine="560"/>
        <w:jc w:val="left"/>
        <w:outlineLvl w:val="9"/>
      </w:pPr>
      <w:r>
        <w:rPr>
          <w:rFonts w:ascii="方正仿宋_GBK" w:hAnsi="方正仿宋_GBK" w:eastAsia="方正仿宋_GBK" w:cs="方正仿宋_GBK"/>
          <w:b/>
          <w:color w:val="000000"/>
          <w:sz w:val="28"/>
        </w:rPr>
        <w:t>15、冀财教[2025]122号/中央/支持学前教育发展/尹村校区幼儿园设备购置绩效目标表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8E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0CF27">
            <w:pPr>
              <w:pStyle w:val="11"/>
            </w:pPr>
            <w:r>
              <w:t>单位：万元</w:t>
            </w:r>
          </w:p>
        </w:tc>
      </w:tr>
      <w:tr w14:paraId="3A8B4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63FA2">
            <w:pPr>
              <w:pStyle w:val="10"/>
            </w:pPr>
            <w:r>
              <w:t>项目编码</w:t>
            </w:r>
          </w:p>
        </w:tc>
        <w:tc>
          <w:tcPr>
            <w:tcW w:w="5103" w:type="dxa"/>
            <w:gridSpan w:val="2"/>
            <w:vAlign w:val="center"/>
          </w:tcPr>
          <w:p w14:paraId="68EAEB97">
            <w:pPr>
              <w:pStyle w:val="12"/>
            </w:pPr>
            <w:r>
              <w:t>13052526P008769101834</w:t>
            </w:r>
          </w:p>
        </w:tc>
        <w:tc>
          <w:tcPr>
            <w:tcW w:w="2835" w:type="dxa"/>
            <w:vAlign w:val="center"/>
          </w:tcPr>
          <w:p w14:paraId="63ADDB1E">
            <w:pPr>
              <w:pStyle w:val="10"/>
            </w:pPr>
            <w:r>
              <w:t>项目名称</w:t>
            </w:r>
          </w:p>
        </w:tc>
        <w:tc>
          <w:tcPr>
            <w:tcW w:w="6095" w:type="dxa"/>
            <w:gridSpan w:val="3"/>
            <w:vAlign w:val="center"/>
          </w:tcPr>
          <w:p w14:paraId="0F0D2C76">
            <w:pPr>
              <w:pStyle w:val="12"/>
            </w:pPr>
            <w:r>
              <w:t>冀财教[2025]122号/中央/支持学前教育发展/尹村校区幼儿园设备购置</w:t>
            </w:r>
          </w:p>
        </w:tc>
      </w:tr>
      <w:tr w14:paraId="685B4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6334D">
            <w:pPr>
              <w:pStyle w:val="10"/>
            </w:pPr>
            <w:r>
              <w:t>预算规模及资金用途</w:t>
            </w:r>
          </w:p>
        </w:tc>
        <w:tc>
          <w:tcPr>
            <w:tcW w:w="2268" w:type="dxa"/>
            <w:vAlign w:val="center"/>
          </w:tcPr>
          <w:p w14:paraId="40B1390F">
            <w:pPr>
              <w:pStyle w:val="10"/>
            </w:pPr>
            <w:r>
              <w:t>预算数</w:t>
            </w:r>
          </w:p>
        </w:tc>
        <w:tc>
          <w:tcPr>
            <w:tcW w:w="2835" w:type="dxa"/>
            <w:vAlign w:val="center"/>
          </w:tcPr>
          <w:p w14:paraId="0168DE67">
            <w:pPr>
              <w:pStyle w:val="12"/>
            </w:pPr>
            <w:r>
              <w:t>87.90</w:t>
            </w:r>
          </w:p>
        </w:tc>
        <w:tc>
          <w:tcPr>
            <w:tcW w:w="2835" w:type="dxa"/>
            <w:vAlign w:val="center"/>
          </w:tcPr>
          <w:p w14:paraId="55A50B4C">
            <w:pPr>
              <w:pStyle w:val="10"/>
            </w:pPr>
            <w:r>
              <w:t>其中：财政    资金</w:t>
            </w:r>
          </w:p>
        </w:tc>
        <w:tc>
          <w:tcPr>
            <w:tcW w:w="2551" w:type="dxa"/>
            <w:vAlign w:val="center"/>
          </w:tcPr>
          <w:p w14:paraId="50FC2A95">
            <w:pPr>
              <w:pStyle w:val="12"/>
            </w:pPr>
            <w:r>
              <w:t>87.90</w:t>
            </w:r>
          </w:p>
        </w:tc>
        <w:tc>
          <w:tcPr>
            <w:tcW w:w="2268" w:type="dxa"/>
            <w:vAlign w:val="center"/>
          </w:tcPr>
          <w:p w14:paraId="09784A6B">
            <w:pPr>
              <w:pStyle w:val="10"/>
            </w:pPr>
            <w:r>
              <w:t>其他资金</w:t>
            </w:r>
          </w:p>
        </w:tc>
        <w:tc>
          <w:tcPr>
            <w:tcW w:w="1276" w:type="dxa"/>
            <w:vAlign w:val="center"/>
          </w:tcPr>
          <w:p w14:paraId="6905B499">
            <w:pPr>
              <w:pStyle w:val="12"/>
            </w:pPr>
            <w:r>
              <w:t xml:space="preserve"> </w:t>
            </w:r>
          </w:p>
        </w:tc>
      </w:tr>
      <w:tr w14:paraId="38872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20301"/>
        </w:tc>
        <w:tc>
          <w:tcPr>
            <w:tcW w:w="14033" w:type="dxa"/>
            <w:gridSpan w:val="6"/>
            <w:vAlign w:val="center"/>
          </w:tcPr>
          <w:p w14:paraId="5FD89C20">
            <w:pPr>
              <w:pStyle w:val="12"/>
            </w:pPr>
            <w:r>
              <w:t>改善就学条件，提升学校形象，保障幼儿安全，创造良好的校园环境。</w:t>
            </w:r>
          </w:p>
        </w:tc>
      </w:tr>
      <w:tr w14:paraId="16B89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6A3F1">
            <w:pPr>
              <w:pStyle w:val="10"/>
            </w:pPr>
            <w:r>
              <w:t>资金支出计划（%）</w:t>
            </w:r>
          </w:p>
        </w:tc>
        <w:tc>
          <w:tcPr>
            <w:tcW w:w="5103" w:type="dxa"/>
            <w:gridSpan w:val="2"/>
            <w:vAlign w:val="center"/>
          </w:tcPr>
          <w:p w14:paraId="083BED12">
            <w:pPr>
              <w:pStyle w:val="10"/>
            </w:pPr>
            <w:r>
              <w:t>3月底</w:t>
            </w:r>
          </w:p>
        </w:tc>
        <w:tc>
          <w:tcPr>
            <w:tcW w:w="2835" w:type="dxa"/>
            <w:vAlign w:val="center"/>
          </w:tcPr>
          <w:p w14:paraId="0D25FEFC">
            <w:pPr>
              <w:pStyle w:val="10"/>
            </w:pPr>
            <w:r>
              <w:t>6月底</w:t>
            </w:r>
          </w:p>
        </w:tc>
        <w:tc>
          <w:tcPr>
            <w:tcW w:w="2551" w:type="dxa"/>
            <w:vAlign w:val="center"/>
          </w:tcPr>
          <w:p w14:paraId="577B7380">
            <w:pPr>
              <w:pStyle w:val="10"/>
            </w:pPr>
            <w:r>
              <w:t>10月底</w:t>
            </w:r>
          </w:p>
        </w:tc>
        <w:tc>
          <w:tcPr>
            <w:tcW w:w="3544" w:type="dxa"/>
            <w:gridSpan w:val="2"/>
            <w:vAlign w:val="center"/>
          </w:tcPr>
          <w:p w14:paraId="3F124C04">
            <w:pPr>
              <w:pStyle w:val="10"/>
            </w:pPr>
            <w:r>
              <w:t>12月底</w:t>
            </w:r>
          </w:p>
        </w:tc>
      </w:tr>
      <w:tr w14:paraId="77025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C5754"/>
        </w:tc>
        <w:tc>
          <w:tcPr>
            <w:tcW w:w="5103" w:type="dxa"/>
            <w:gridSpan w:val="2"/>
            <w:vAlign w:val="center"/>
          </w:tcPr>
          <w:p w14:paraId="64D1B49A">
            <w:pPr>
              <w:pStyle w:val="13"/>
            </w:pPr>
            <w:r>
              <w:t xml:space="preserve"> </w:t>
            </w:r>
          </w:p>
        </w:tc>
        <w:tc>
          <w:tcPr>
            <w:tcW w:w="2835" w:type="dxa"/>
            <w:vAlign w:val="center"/>
          </w:tcPr>
          <w:p w14:paraId="2F85C0CB">
            <w:pPr>
              <w:pStyle w:val="13"/>
            </w:pPr>
            <w:r>
              <w:t>100%</w:t>
            </w:r>
          </w:p>
        </w:tc>
        <w:tc>
          <w:tcPr>
            <w:tcW w:w="2551" w:type="dxa"/>
            <w:vAlign w:val="center"/>
          </w:tcPr>
          <w:p w14:paraId="146C8FD3">
            <w:pPr>
              <w:pStyle w:val="13"/>
            </w:pPr>
            <w:r>
              <w:t>100%</w:t>
            </w:r>
          </w:p>
        </w:tc>
        <w:tc>
          <w:tcPr>
            <w:tcW w:w="3544" w:type="dxa"/>
            <w:gridSpan w:val="2"/>
            <w:vAlign w:val="center"/>
          </w:tcPr>
          <w:p w14:paraId="4457D34A">
            <w:pPr>
              <w:pStyle w:val="13"/>
            </w:pPr>
            <w:r>
              <w:t>100%</w:t>
            </w:r>
          </w:p>
        </w:tc>
      </w:tr>
      <w:tr w14:paraId="6E325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E0417">
            <w:pPr>
              <w:pStyle w:val="10"/>
            </w:pPr>
            <w:r>
              <w:t>绩效目标</w:t>
            </w:r>
          </w:p>
        </w:tc>
        <w:tc>
          <w:tcPr>
            <w:tcW w:w="14033" w:type="dxa"/>
            <w:gridSpan w:val="6"/>
            <w:vAlign w:val="center"/>
          </w:tcPr>
          <w:p w14:paraId="3E9F7556">
            <w:pPr>
              <w:pStyle w:val="12"/>
            </w:pPr>
            <w:r>
              <w:t>1.改善就学条件，提升学校形象，保障幼儿安全，创造良好的校园环境。</w:t>
            </w:r>
          </w:p>
          <w:p w14:paraId="465D7503">
            <w:pPr>
              <w:pStyle w:val="12"/>
            </w:pPr>
            <w:r>
              <w:t>2.项目需资金87.9万元，资金拨付率达到100%。</w:t>
            </w:r>
          </w:p>
        </w:tc>
      </w:tr>
    </w:tbl>
    <w:p w14:paraId="1D95C7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DA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3B83B">
            <w:pPr>
              <w:pStyle w:val="10"/>
            </w:pPr>
            <w:r>
              <w:t>一级指标</w:t>
            </w:r>
          </w:p>
        </w:tc>
        <w:tc>
          <w:tcPr>
            <w:tcW w:w="2268" w:type="dxa"/>
            <w:vAlign w:val="center"/>
          </w:tcPr>
          <w:p w14:paraId="035DDA6F">
            <w:pPr>
              <w:pStyle w:val="10"/>
            </w:pPr>
            <w:r>
              <w:t>二级指标</w:t>
            </w:r>
          </w:p>
        </w:tc>
        <w:tc>
          <w:tcPr>
            <w:tcW w:w="2835" w:type="dxa"/>
            <w:vAlign w:val="center"/>
          </w:tcPr>
          <w:p w14:paraId="5989205D">
            <w:pPr>
              <w:pStyle w:val="10"/>
            </w:pPr>
            <w:r>
              <w:t>三级指标</w:t>
            </w:r>
          </w:p>
        </w:tc>
        <w:tc>
          <w:tcPr>
            <w:tcW w:w="5386" w:type="dxa"/>
            <w:vAlign w:val="center"/>
          </w:tcPr>
          <w:p w14:paraId="18DD94F8">
            <w:pPr>
              <w:pStyle w:val="10"/>
            </w:pPr>
            <w:r>
              <w:t>绩效指标描述</w:t>
            </w:r>
          </w:p>
        </w:tc>
        <w:tc>
          <w:tcPr>
            <w:tcW w:w="2268" w:type="dxa"/>
            <w:vAlign w:val="center"/>
          </w:tcPr>
          <w:p w14:paraId="0919D245">
            <w:pPr>
              <w:pStyle w:val="10"/>
            </w:pPr>
            <w:r>
              <w:t>指标值</w:t>
            </w:r>
          </w:p>
        </w:tc>
        <w:tc>
          <w:tcPr>
            <w:tcW w:w="1276" w:type="dxa"/>
            <w:vAlign w:val="center"/>
          </w:tcPr>
          <w:p w14:paraId="5EC8BCBF">
            <w:pPr>
              <w:pStyle w:val="10"/>
            </w:pPr>
            <w:r>
              <w:t>指标值确定依据</w:t>
            </w:r>
          </w:p>
        </w:tc>
      </w:tr>
      <w:tr w14:paraId="67C3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C17DD">
            <w:pPr>
              <w:pStyle w:val="13"/>
            </w:pPr>
            <w:r>
              <w:t>产出指标</w:t>
            </w:r>
          </w:p>
        </w:tc>
        <w:tc>
          <w:tcPr>
            <w:tcW w:w="2268" w:type="dxa"/>
            <w:vAlign w:val="center"/>
          </w:tcPr>
          <w:p w14:paraId="0CFCF48D">
            <w:pPr>
              <w:pStyle w:val="12"/>
            </w:pPr>
            <w:r>
              <w:t>数量指标</w:t>
            </w:r>
          </w:p>
        </w:tc>
        <w:tc>
          <w:tcPr>
            <w:tcW w:w="2835" w:type="dxa"/>
            <w:vAlign w:val="center"/>
          </w:tcPr>
          <w:p w14:paraId="7E2BA0DA">
            <w:pPr>
              <w:pStyle w:val="12"/>
            </w:pPr>
            <w:r>
              <w:t>尹村校区幼儿园设备购置</w:t>
            </w:r>
          </w:p>
        </w:tc>
        <w:tc>
          <w:tcPr>
            <w:tcW w:w="5386" w:type="dxa"/>
            <w:vAlign w:val="center"/>
          </w:tcPr>
          <w:p w14:paraId="28153CC3">
            <w:pPr>
              <w:pStyle w:val="12"/>
            </w:pPr>
            <w:r>
              <w:t>幼儿教学用一体机75、大型室外滑梯组合等</w:t>
            </w:r>
          </w:p>
        </w:tc>
        <w:tc>
          <w:tcPr>
            <w:tcW w:w="2268" w:type="dxa"/>
            <w:vAlign w:val="center"/>
          </w:tcPr>
          <w:p w14:paraId="7EC031BA">
            <w:pPr>
              <w:pStyle w:val="12"/>
            </w:pPr>
            <w:r>
              <w:t>1项</w:t>
            </w:r>
          </w:p>
        </w:tc>
        <w:tc>
          <w:tcPr>
            <w:tcW w:w="1276" w:type="dxa"/>
            <w:vAlign w:val="center"/>
          </w:tcPr>
          <w:p w14:paraId="09916870">
            <w:pPr>
              <w:pStyle w:val="12"/>
            </w:pPr>
            <w:r>
              <w:t>项目规划</w:t>
            </w:r>
          </w:p>
        </w:tc>
      </w:tr>
      <w:tr w14:paraId="3517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5EDE3"/>
        </w:tc>
        <w:tc>
          <w:tcPr>
            <w:tcW w:w="2268" w:type="dxa"/>
            <w:vAlign w:val="center"/>
          </w:tcPr>
          <w:p w14:paraId="12980EF0">
            <w:pPr>
              <w:pStyle w:val="12"/>
            </w:pPr>
            <w:r>
              <w:t>质量指标</w:t>
            </w:r>
          </w:p>
        </w:tc>
        <w:tc>
          <w:tcPr>
            <w:tcW w:w="2835" w:type="dxa"/>
            <w:vAlign w:val="center"/>
          </w:tcPr>
          <w:p w14:paraId="4D6D08DB">
            <w:pPr>
              <w:pStyle w:val="12"/>
            </w:pPr>
            <w:r>
              <w:t>工程实施验收合格率</w:t>
            </w:r>
          </w:p>
        </w:tc>
        <w:tc>
          <w:tcPr>
            <w:tcW w:w="5386" w:type="dxa"/>
            <w:vAlign w:val="center"/>
          </w:tcPr>
          <w:p w14:paraId="7B5B2285">
            <w:pPr>
              <w:pStyle w:val="12"/>
            </w:pPr>
            <w:r>
              <w:t>申报程序的合规，项目实施及资金使用符合项目规划</w:t>
            </w:r>
          </w:p>
        </w:tc>
        <w:tc>
          <w:tcPr>
            <w:tcW w:w="2268" w:type="dxa"/>
            <w:vAlign w:val="center"/>
          </w:tcPr>
          <w:p w14:paraId="5ED7C5C5">
            <w:pPr>
              <w:pStyle w:val="12"/>
            </w:pPr>
            <w:r>
              <w:t>100%</w:t>
            </w:r>
          </w:p>
        </w:tc>
        <w:tc>
          <w:tcPr>
            <w:tcW w:w="1276" w:type="dxa"/>
            <w:vAlign w:val="center"/>
          </w:tcPr>
          <w:p w14:paraId="61001CCC">
            <w:pPr>
              <w:pStyle w:val="12"/>
            </w:pPr>
            <w:r>
              <w:t>项目规划</w:t>
            </w:r>
          </w:p>
        </w:tc>
      </w:tr>
      <w:tr w14:paraId="52BA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7AE59"/>
        </w:tc>
        <w:tc>
          <w:tcPr>
            <w:tcW w:w="2268" w:type="dxa"/>
            <w:vAlign w:val="center"/>
          </w:tcPr>
          <w:p w14:paraId="3777FA35">
            <w:pPr>
              <w:pStyle w:val="12"/>
            </w:pPr>
            <w:r>
              <w:t>时效指标</w:t>
            </w:r>
          </w:p>
        </w:tc>
        <w:tc>
          <w:tcPr>
            <w:tcW w:w="2835" w:type="dxa"/>
            <w:vAlign w:val="center"/>
          </w:tcPr>
          <w:p w14:paraId="2BB47B89">
            <w:pPr>
              <w:pStyle w:val="12"/>
            </w:pPr>
            <w:r>
              <w:t>资金支付率</w:t>
            </w:r>
          </w:p>
        </w:tc>
        <w:tc>
          <w:tcPr>
            <w:tcW w:w="5386" w:type="dxa"/>
            <w:vAlign w:val="center"/>
          </w:tcPr>
          <w:p w14:paraId="04ED7EC5">
            <w:pPr>
              <w:pStyle w:val="12"/>
            </w:pPr>
            <w:r>
              <w:t>按照序时进度完成资金支付</w:t>
            </w:r>
          </w:p>
        </w:tc>
        <w:tc>
          <w:tcPr>
            <w:tcW w:w="2268" w:type="dxa"/>
            <w:vAlign w:val="center"/>
          </w:tcPr>
          <w:p w14:paraId="31F7AD1D">
            <w:pPr>
              <w:pStyle w:val="12"/>
            </w:pPr>
            <w:r>
              <w:t>100%</w:t>
            </w:r>
          </w:p>
        </w:tc>
        <w:tc>
          <w:tcPr>
            <w:tcW w:w="1276" w:type="dxa"/>
            <w:vAlign w:val="center"/>
          </w:tcPr>
          <w:p w14:paraId="36CAF99C">
            <w:pPr>
              <w:pStyle w:val="12"/>
            </w:pPr>
            <w:r>
              <w:t>项目规划</w:t>
            </w:r>
          </w:p>
        </w:tc>
      </w:tr>
      <w:tr w14:paraId="2FA8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E0F4"/>
        </w:tc>
        <w:tc>
          <w:tcPr>
            <w:tcW w:w="2268" w:type="dxa"/>
            <w:vAlign w:val="center"/>
          </w:tcPr>
          <w:p w14:paraId="4846BF09">
            <w:pPr>
              <w:pStyle w:val="12"/>
            </w:pPr>
            <w:r>
              <w:t>成本指标</w:t>
            </w:r>
          </w:p>
        </w:tc>
        <w:tc>
          <w:tcPr>
            <w:tcW w:w="2835" w:type="dxa"/>
            <w:vAlign w:val="center"/>
          </w:tcPr>
          <w:p w14:paraId="4BC29980">
            <w:pPr>
              <w:pStyle w:val="12"/>
            </w:pPr>
            <w:r>
              <w:t>项目成本控制情况</w:t>
            </w:r>
          </w:p>
        </w:tc>
        <w:tc>
          <w:tcPr>
            <w:tcW w:w="5386" w:type="dxa"/>
            <w:vAlign w:val="center"/>
          </w:tcPr>
          <w:p w14:paraId="0CBD9BF0">
            <w:pPr>
              <w:pStyle w:val="12"/>
            </w:pPr>
            <w:r>
              <w:t>严格按照招标价格及审计额进行</w:t>
            </w:r>
          </w:p>
        </w:tc>
        <w:tc>
          <w:tcPr>
            <w:tcW w:w="2268" w:type="dxa"/>
            <w:vAlign w:val="center"/>
          </w:tcPr>
          <w:p w14:paraId="1AB8C715">
            <w:pPr>
              <w:pStyle w:val="12"/>
            </w:pPr>
            <w:r>
              <w:t>87.9万元</w:t>
            </w:r>
          </w:p>
        </w:tc>
        <w:tc>
          <w:tcPr>
            <w:tcW w:w="1276" w:type="dxa"/>
            <w:vAlign w:val="center"/>
          </w:tcPr>
          <w:p w14:paraId="11111570">
            <w:pPr>
              <w:pStyle w:val="12"/>
            </w:pPr>
            <w:r>
              <w:t>项目规划</w:t>
            </w:r>
          </w:p>
        </w:tc>
      </w:tr>
      <w:tr w14:paraId="522B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98F0E">
            <w:pPr>
              <w:pStyle w:val="13"/>
            </w:pPr>
            <w:r>
              <w:t>效益指标</w:t>
            </w:r>
          </w:p>
        </w:tc>
        <w:tc>
          <w:tcPr>
            <w:tcW w:w="2268" w:type="dxa"/>
            <w:vAlign w:val="center"/>
          </w:tcPr>
          <w:p w14:paraId="403B5B07">
            <w:pPr>
              <w:pStyle w:val="12"/>
            </w:pPr>
            <w:r>
              <w:t>可持续影响指标</w:t>
            </w:r>
          </w:p>
        </w:tc>
        <w:tc>
          <w:tcPr>
            <w:tcW w:w="2835" w:type="dxa"/>
            <w:vAlign w:val="center"/>
          </w:tcPr>
          <w:p w14:paraId="6EB9FB4D">
            <w:pPr>
              <w:pStyle w:val="12"/>
            </w:pPr>
            <w:r>
              <w:t>学校办学环境提升</w:t>
            </w:r>
          </w:p>
        </w:tc>
        <w:tc>
          <w:tcPr>
            <w:tcW w:w="5386" w:type="dxa"/>
            <w:vAlign w:val="center"/>
          </w:tcPr>
          <w:p w14:paraId="00F5DCAD">
            <w:pPr>
              <w:pStyle w:val="12"/>
            </w:pPr>
            <w:r>
              <w:t>学校教学环境提升优化率</w:t>
            </w:r>
          </w:p>
        </w:tc>
        <w:tc>
          <w:tcPr>
            <w:tcW w:w="2268" w:type="dxa"/>
            <w:vAlign w:val="center"/>
          </w:tcPr>
          <w:p w14:paraId="6AA8D2B7">
            <w:pPr>
              <w:pStyle w:val="12"/>
            </w:pPr>
            <w:r>
              <w:t>≥98%</w:t>
            </w:r>
          </w:p>
        </w:tc>
        <w:tc>
          <w:tcPr>
            <w:tcW w:w="1276" w:type="dxa"/>
            <w:vAlign w:val="center"/>
          </w:tcPr>
          <w:p w14:paraId="0ED6DD51">
            <w:pPr>
              <w:pStyle w:val="12"/>
            </w:pPr>
            <w:r>
              <w:t>项目规划</w:t>
            </w:r>
          </w:p>
        </w:tc>
      </w:tr>
      <w:tr w14:paraId="400F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57FFB">
            <w:pPr>
              <w:pStyle w:val="13"/>
            </w:pPr>
            <w:r>
              <w:t>满意度指标</w:t>
            </w:r>
          </w:p>
        </w:tc>
        <w:tc>
          <w:tcPr>
            <w:tcW w:w="2268" w:type="dxa"/>
            <w:vAlign w:val="center"/>
          </w:tcPr>
          <w:p w14:paraId="69DBCA9D">
            <w:pPr>
              <w:pStyle w:val="12"/>
            </w:pPr>
            <w:r>
              <w:t>服务对象满意度指标</w:t>
            </w:r>
          </w:p>
        </w:tc>
        <w:tc>
          <w:tcPr>
            <w:tcW w:w="2835" w:type="dxa"/>
            <w:vAlign w:val="center"/>
          </w:tcPr>
          <w:p w14:paraId="13D29A27">
            <w:pPr>
              <w:pStyle w:val="12"/>
            </w:pPr>
            <w:r>
              <w:t>受益学生家长及调查满意度</w:t>
            </w:r>
          </w:p>
        </w:tc>
        <w:tc>
          <w:tcPr>
            <w:tcW w:w="5386" w:type="dxa"/>
            <w:vAlign w:val="center"/>
          </w:tcPr>
          <w:p w14:paraId="227E687C">
            <w:pPr>
              <w:pStyle w:val="12"/>
            </w:pPr>
            <w:r>
              <w:t>学生、教师及家长对学校教学环境满意度情况</w:t>
            </w:r>
          </w:p>
        </w:tc>
        <w:tc>
          <w:tcPr>
            <w:tcW w:w="2268" w:type="dxa"/>
            <w:vAlign w:val="center"/>
          </w:tcPr>
          <w:p w14:paraId="4F19DF46">
            <w:pPr>
              <w:pStyle w:val="12"/>
            </w:pPr>
            <w:r>
              <w:t>≥95%</w:t>
            </w:r>
          </w:p>
        </w:tc>
        <w:tc>
          <w:tcPr>
            <w:tcW w:w="1276" w:type="dxa"/>
            <w:vAlign w:val="center"/>
          </w:tcPr>
          <w:p w14:paraId="11249D93">
            <w:pPr>
              <w:pStyle w:val="12"/>
            </w:pPr>
            <w:r>
              <w:t>项目规划</w:t>
            </w:r>
          </w:p>
        </w:tc>
      </w:tr>
    </w:tbl>
    <w:p w14:paraId="3A75A6F5">
      <w:pPr>
        <w:sectPr>
          <w:pgSz w:w="16840" w:h="11900" w:orient="landscape"/>
          <w:pgMar w:top="1361" w:right="1020" w:bottom="1134" w:left="1020" w:header="720" w:footer="720" w:gutter="0"/>
          <w:cols w:space="720" w:num="1"/>
        </w:sectPr>
      </w:pPr>
    </w:p>
    <w:p w14:paraId="3D562FAE">
      <w:pPr>
        <w:spacing w:before="0" w:after="0"/>
        <w:ind w:firstLine="560"/>
        <w:jc w:val="left"/>
        <w:outlineLvl w:val="9"/>
      </w:pPr>
      <w:r>
        <w:rPr>
          <w:rFonts w:ascii="方正仿宋_GBK" w:hAnsi="方正仿宋_GBK" w:eastAsia="方正仿宋_GBK" w:cs="方正仿宋_GBK"/>
          <w:b/>
          <w:color w:val="000000"/>
          <w:sz w:val="28"/>
        </w:rPr>
        <w:t>16、冀财教[2025]145号/省级/2026年薄弱学校改造/大霍小学体育场地改建绩效目标表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91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03525">
            <w:pPr>
              <w:pStyle w:val="11"/>
            </w:pPr>
            <w:r>
              <w:t>单位：万元</w:t>
            </w:r>
          </w:p>
        </w:tc>
      </w:tr>
      <w:tr w14:paraId="2FD5F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F6C22">
            <w:pPr>
              <w:pStyle w:val="10"/>
            </w:pPr>
            <w:r>
              <w:t>项目编码</w:t>
            </w:r>
          </w:p>
        </w:tc>
        <w:tc>
          <w:tcPr>
            <w:tcW w:w="5103" w:type="dxa"/>
            <w:gridSpan w:val="2"/>
            <w:vAlign w:val="center"/>
          </w:tcPr>
          <w:p w14:paraId="359BB0E2">
            <w:pPr>
              <w:pStyle w:val="12"/>
            </w:pPr>
            <w:r>
              <w:t>13052526P00877010028R</w:t>
            </w:r>
          </w:p>
        </w:tc>
        <w:tc>
          <w:tcPr>
            <w:tcW w:w="2835" w:type="dxa"/>
            <w:vAlign w:val="center"/>
          </w:tcPr>
          <w:p w14:paraId="446F32C4">
            <w:pPr>
              <w:pStyle w:val="10"/>
            </w:pPr>
            <w:r>
              <w:t>项目名称</w:t>
            </w:r>
          </w:p>
        </w:tc>
        <w:tc>
          <w:tcPr>
            <w:tcW w:w="6095" w:type="dxa"/>
            <w:gridSpan w:val="3"/>
            <w:vAlign w:val="center"/>
          </w:tcPr>
          <w:p w14:paraId="1F42AD79">
            <w:pPr>
              <w:pStyle w:val="12"/>
            </w:pPr>
            <w:r>
              <w:t>冀财教[2025]145号/省级/2026年薄弱学校改造/大霍小学体育场地改建</w:t>
            </w:r>
          </w:p>
        </w:tc>
      </w:tr>
      <w:tr w14:paraId="7E03E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0D27F">
            <w:pPr>
              <w:pStyle w:val="10"/>
            </w:pPr>
            <w:r>
              <w:t>预算规模及资金用途</w:t>
            </w:r>
          </w:p>
        </w:tc>
        <w:tc>
          <w:tcPr>
            <w:tcW w:w="2268" w:type="dxa"/>
            <w:vAlign w:val="center"/>
          </w:tcPr>
          <w:p w14:paraId="18644269">
            <w:pPr>
              <w:pStyle w:val="10"/>
            </w:pPr>
            <w:r>
              <w:t>预算数</w:t>
            </w:r>
          </w:p>
        </w:tc>
        <w:tc>
          <w:tcPr>
            <w:tcW w:w="2835" w:type="dxa"/>
            <w:vAlign w:val="center"/>
          </w:tcPr>
          <w:p w14:paraId="13CD850E">
            <w:pPr>
              <w:pStyle w:val="12"/>
            </w:pPr>
            <w:r>
              <w:t>146.00</w:t>
            </w:r>
          </w:p>
        </w:tc>
        <w:tc>
          <w:tcPr>
            <w:tcW w:w="2835" w:type="dxa"/>
            <w:vAlign w:val="center"/>
          </w:tcPr>
          <w:p w14:paraId="0BC73939">
            <w:pPr>
              <w:pStyle w:val="10"/>
            </w:pPr>
            <w:r>
              <w:t>其中：财政    资金</w:t>
            </w:r>
          </w:p>
        </w:tc>
        <w:tc>
          <w:tcPr>
            <w:tcW w:w="2551" w:type="dxa"/>
            <w:vAlign w:val="center"/>
          </w:tcPr>
          <w:p w14:paraId="704F7A0A">
            <w:pPr>
              <w:pStyle w:val="12"/>
            </w:pPr>
            <w:r>
              <w:t>146.00</w:t>
            </w:r>
          </w:p>
        </w:tc>
        <w:tc>
          <w:tcPr>
            <w:tcW w:w="2268" w:type="dxa"/>
            <w:vAlign w:val="center"/>
          </w:tcPr>
          <w:p w14:paraId="05BD3928">
            <w:pPr>
              <w:pStyle w:val="10"/>
            </w:pPr>
            <w:r>
              <w:t>其他资金</w:t>
            </w:r>
          </w:p>
        </w:tc>
        <w:tc>
          <w:tcPr>
            <w:tcW w:w="1276" w:type="dxa"/>
            <w:vAlign w:val="center"/>
          </w:tcPr>
          <w:p w14:paraId="18F1BA55">
            <w:pPr>
              <w:pStyle w:val="12"/>
            </w:pPr>
            <w:r>
              <w:t xml:space="preserve"> </w:t>
            </w:r>
          </w:p>
        </w:tc>
      </w:tr>
      <w:tr w14:paraId="75083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FC733"/>
        </w:tc>
        <w:tc>
          <w:tcPr>
            <w:tcW w:w="14033" w:type="dxa"/>
            <w:gridSpan w:val="6"/>
            <w:vAlign w:val="center"/>
          </w:tcPr>
          <w:p w14:paraId="6536E9D2">
            <w:pPr>
              <w:pStyle w:val="12"/>
            </w:pPr>
            <w:r>
              <w:t>改善就学条件，提升学校形象，保障义务教育阶段教学安全，创造良好的校园环境。</w:t>
            </w:r>
          </w:p>
        </w:tc>
      </w:tr>
      <w:tr w14:paraId="0454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AB9F8">
            <w:pPr>
              <w:pStyle w:val="10"/>
            </w:pPr>
            <w:r>
              <w:t>资金支出计划（%）</w:t>
            </w:r>
          </w:p>
        </w:tc>
        <w:tc>
          <w:tcPr>
            <w:tcW w:w="5103" w:type="dxa"/>
            <w:gridSpan w:val="2"/>
            <w:vAlign w:val="center"/>
          </w:tcPr>
          <w:p w14:paraId="0ECCC7F7">
            <w:pPr>
              <w:pStyle w:val="10"/>
            </w:pPr>
            <w:r>
              <w:t>3月底</w:t>
            </w:r>
          </w:p>
        </w:tc>
        <w:tc>
          <w:tcPr>
            <w:tcW w:w="2835" w:type="dxa"/>
            <w:vAlign w:val="center"/>
          </w:tcPr>
          <w:p w14:paraId="3E9B586C">
            <w:pPr>
              <w:pStyle w:val="10"/>
            </w:pPr>
            <w:r>
              <w:t>6月底</w:t>
            </w:r>
          </w:p>
        </w:tc>
        <w:tc>
          <w:tcPr>
            <w:tcW w:w="2551" w:type="dxa"/>
            <w:vAlign w:val="center"/>
          </w:tcPr>
          <w:p w14:paraId="671CA053">
            <w:pPr>
              <w:pStyle w:val="10"/>
            </w:pPr>
            <w:r>
              <w:t>10月底</w:t>
            </w:r>
          </w:p>
        </w:tc>
        <w:tc>
          <w:tcPr>
            <w:tcW w:w="3544" w:type="dxa"/>
            <w:gridSpan w:val="2"/>
            <w:vAlign w:val="center"/>
          </w:tcPr>
          <w:p w14:paraId="599B6A53">
            <w:pPr>
              <w:pStyle w:val="10"/>
            </w:pPr>
            <w:r>
              <w:t>12月底</w:t>
            </w:r>
          </w:p>
        </w:tc>
      </w:tr>
      <w:tr w14:paraId="276CD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B11BE"/>
        </w:tc>
        <w:tc>
          <w:tcPr>
            <w:tcW w:w="5103" w:type="dxa"/>
            <w:gridSpan w:val="2"/>
            <w:vAlign w:val="center"/>
          </w:tcPr>
          <w:p w14:paraId="6FDE9620">
            <w:pPr>
              <w:pStyle w:val="13"/>
            </w:pPr>
            <w:r>
              <w:t xml:space="preserve"> </w:t>
            </w:r>
          </w:p>
        </w:tc>
        <w:tc>
          <w:tcPr>
            <w:tcW w:w="2835" w:type="dxa"/>
            <w:vAlign w:val="center"/>
          </w:tcPr>
          <w:p w14:paraId="4F0A40C3">
            <w:pPr>
              <w:pStyle w:val="13"/>
            </w:pPr>
            <w:r>
              <w:t xml:space="preserve"> </w:t>
            </w:r>
          </w:p>
        </w:tc>
        <w:tc>
          <w:tcPr>
            <w:tcW w:w="2551" w:type="dxa"/>
            <w:vAlign w:val="center"/>
          </w:tcPr>
          <w:p w14:paraId="18764439">
            <w:pPr>
              <w:pStyle w:val="13"/>
            </w:pPr>
            <w:r>
              <w:t>100%</w:t>
            </w:r>
          </w:p>
        </w:tc>
        <w:tc>
          <w:tcPr>
            <w:tcW w:w="3544" w:type="dxa"/>
            <w:gridSpan w:val="2"/>
            <w:vAlign w:val="center"/>
          </w:tcPr>
          <w:p w14:paraId="5F321170">
            <w:pPr>
              <w:pStyle w:val="13"/>
            </w:pPr>
            <w:r>
              <w:t>100%</w:t>
            </w:r>
          </w:p>
        </w:tc>
      </w:tr>
      <w:tr w14:paraId="38578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B6A58">
            <w:pPr>
              <w:pStyle w:val="10"/>
            </w:pPr>
            <w:r>
              <w:t>绩效目标</w:t>
            </w:r>
          </w:p>
        </w:tc>
        <w:tc>
          <w:tcPr>
            <w:tcW w:w="14033" w:type="dxa"/>
            <w:gridSpan w:val="6"/>
            <w:vAlign w:val="center"/>
          </w:tcPr>
          <w:p w14:paraId="34B3614C">
            <w:pPr>
              <w:pStyle w:val="12"/>
            </w:pPr>
            <w:r>
              <w:t>1.项目需资金146万元，资金拨付率达到100%。</w:t>
            </w:r>
            <w:r>
              <w:tab/>
            </w:r>
            <w:r>
              <w:tab/>
            </w:r>
            <w:r>
              <w:tab/>
            </w:r>
            <w:r>
              <w:tab/>
            </w:r>
            <w:r>
              <w:tab/>
            </w:r>
            <w:r>
              <w:tab/>
            </w:r>
          </w:p>
          <w:p w14:paraId="56F3C6A7">
            <w:pPr>
              <w:pStyle w:val="12"/>
            </w:pPr>
          </w:p>
          <w:p w14:paraId="70C3A2EE">
            <w:pPr>
              <w:pStyle w:val="12"/>
            </w:pPr>
            <w:r>
              <w:t>2.改善就学条件，提升学校形象，保障义务教育阶段教学安全，创造良好的校园环境。</w:t>
            </w:r>
            <w:r>
              <w:tab/>
            </w:r>
            <w:r>
              <w:tab/>
            </w:r>
            <w:r>
              <w:tab/>
            </w:r>
            <w:r>
              <w:tab/>
            </w:r>
            <w:r>
              <w:tab/>
            </w:r>
            <w:r>
              <w:tab/>
            </w:r>
          </w:p>
          <w:p w14:paraId="31D6B930">
            <w:pPr>
              <w:pStyle w:val="12"/>
            </w:pPr>
          </w:p>
        </w:tc>
      </w:tr>
    </w:tbl>
    <w:p w14:paraId="40C19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A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9EEC5">
            <w:pPr>
              <w:pStyle w:val="10"/>
            </w:pPr>
            <w:r>
              <w:t>一级指标</w:t>
            </w:r>
          </w:p>
        </w:tc>
        <w:tc>
          <w:tcPr>
            <w:tcW w:w="2268" w:type="dxa"/>
            <w:vAlign w:val="center"/>
          </w:tcPr>
          <w:p w14:paraId="46112F2D">
            <w:pPr>
              <w:pStyle w:val="10"/>
            </w:pPr>
            <w:r>
              <w:t>二级指标</w:t>
            </w:r>
          </w:p>
        </w:tc>
        <w:tc>
          <w:tcPr>
            <w:tcW w:w="2835" w:type="dxa"/>
            <w:vAlign w:val="center"/>
          </w:tcPr>
          <w:p w14:paraId="178BFFAF">
            <w:pPr>
              <w:pStyle w:val="10"/>
            </w:pPr>
            <w:r>
              <w:t>三级指标</w:t>
            </w:r>
          </w:p>
        </w:tc>
        <w:tc>
          <w:tcPr>
            <w:tcW w:w="5386" w:type="dxa"/>
            <w:vAlign w:val="center"/>
          </w:tcPr>
          <w:p w14:paraId="30052699">
            <w:pPr>
              <w:pStyle w:val="10"/>
            </w:pPr>
            <w:r>
              <w:t>绩效指标描述</w:t>
            </w:r>
          </w:p>
        </w:tc>
        <w:tc>
          <w:tcPr>
            <w:tcW w:w="2268" w:type="dxa"/>
            <w:vAlign w:val="center"/>
          </w:tcPr>
          <w:p w14:paraId="08588278">
            <w:pPr>
              <w:pStyle w:val="10"/>
            </w:pPr>
            <w:r>
              <w:t>指标值</w:t>
            </w:r>
          </w:p>
        </w:tc>
        <w:tc>
          <w:tcPr>
            <w:tcW w:w="1276" w:type="dxa"/>
            <w:vAlign w:val="center"/>
          </w:tcPr>
          <w:p w14:paraId="27603500">
            <w:pPr>
              <w:pStyle w:val="10"/>
            </w:pPr>
            <w:r>
              <w:t>指标值确定依据</w:t>
            </w:r>
          </w:p>
        </w:tc>
      </w:tr>
      <w:tr w14:paraId="43D0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17F86">
            <w:pPr>
              <w:pStyle w:val="13"/>
            </w:pPr>
            <w:r>
              <w:t>产出指标</w:t>
            </w:r>
          </w:p>
        </w:tc>
        <w:tc>
          <w:tcPr>
            <w:tcW w:w="2268" w:type="dxa"/>
            <w:vAlign w:val="center"/>
          </w:tcPr>
          <w:p w14:paraId="1BC1D7EC">
            <w:pPr>
              <w:pStyle w:val="12"/>
            </w:pPr>
            <w:r>
              <w:t>数量指标</w:t>
            </w:r>
          </w:p>
        </w:tc>
        <w:tc>
          <w:tcPr>
            <w:tcW w:w="2835" w:type="dxa"/>
            <w:vAlign w:val="center"/>
          </w:tcPr>
          <w:p w14:paraId="354F65C7">
            <w:pPr>
              <w:pStyle w:val="12"/>
            </w:pPr>
            <w:r>
              <w:t>大霍小学体育场地改建</w:t>
            </w:r>
          </w:p>
        </w:tc>
        <w:tc>
          <w:tcPr>
            <w:tcW w:w="5386" w:type="dxa"/>
            <w:vAlign w:val="center"/>
          </w:tcPr>
          <w:p w14:paraId="7B40841D">
            <w:pPr>
              <w:pStyle w:val="12"/>
            </w:pPr>
            <w:r>
              <w:t>新建塑胶跑道、草坪足球场、篮球场地等</w:t>
            </w:r>
          </w:p>
        </w:tc>
        <w:tc>
          <w:tcPr>
            <w:tcW w:w="2268" w:type="dxa"/>
            <w:vAlign w:val="center"/>
          </w:tcPr>
          <w:p w14:paraId="5B819023">
            <w:pPr>
              <w:pStyle w:val="12"/>
            </w:pPr>
            <w:r>
              <w:t>1项</w:t>
            </w:r>
          </w:p>
        </w:tc>
        <w:tc>
          <w:tcPr>
            <w:tcW w:w="1276" w:type="dxa"/>
            <w:vAlign w:val="center"/>
          </w:tcPr>
          <w:p w14:paraId="47E0452A">
            <w:pPr>
              <w:pStyle w:val="12"/>
            </w:pPr>
            <w:r>
              <w:t>项目规划</w:t>
            </w:r>
          </w:p>
        </w:tc>
      </w:tr>
      <w:tr w14:paraId="5F8A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75746"/>
        </w:tc>
        <w:tc>
          <w:tcPr>
            <w:tcW w:w="2268" w:type="dxa"/>
            <w:vAlign w:val="center"/>
          </w:tcPr>
          <w:p w14:paraId="1A655D7C">
            <w:pPr>
              <w:pStyle w:val="12"/>
            </w:pPr>
            <w:r>
              <w:t>质量指标</w:t>
            </w:r>
          </w:p>
        </w:tc>
        <w:tc>
          <w:tcPr>
            <w:tcW w:w="2835" w:type="dxa"/>
            <w:vAlign w:val="center"/>
          </w:tcPr>
          <w:p w14:paraId="19472303">
            <w:pPr>
              <w:pStyle w:val="12"/>
            </w:pPr>
            <w:r>
              <w:t>工程实施验收合格率</w:t>
            </w:r>
          </w:p>
        </w:tc>
        <w:tc>
          <w:tcPr>
            <w:tcW w:w="5386" w:type="dxa"/>
            <w:vAlign w:val="center"/>
          </w:tcPr>
          <w:p w14:paraId="5109A3E6">
            <w:pPr>
              <w:pStyle w:val="12"/>
            </w:pPr>
            <w:r>
              <w:t>申报程序的合规，项目实施及资金使用符合项目规划</w:t>
            </w:r>
          </w:p>
        </w:tc>
        <w:tc>
          <w:tcPr>
            <w:tcW w:w="2268" w:type="dxa"/>
            <w:vAlign w:val="center"/>
          </w:tcPr>
          <w:p w14:paraId="20E72A3C">
            <w:pPr>
              <w:pStyle w:val="12"/>
            </w:pPr>
            <w:r>
              <w:t>100%</w:t>
            </w:r>
          </w:p>
        </w:tc>
        <w:tc>
          <w:tcPr>
            <w:tcW w:w="1276" w:type="dxa"/>
            <w:vAlign w:val="center"/>
          </w:tcPr>
          <w:p w14:paraId="2A2829B0">
            <w:pPr>
              <w:pStyle w:val="12"/>
            </w:pPr>
            <w:r>
              <w:t>项目规划</w:t>
            </w:r>
          </w:p>
        </w:tc>
      </w:tr>
      <w:tr w14:paraId="40C1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C3F53"/>
        </w:tc>
        <w:tc>
          <w:tcPr>
            <w:tcW w:w="2268" w:type="dxa"/>
            <w:vAlign w:val="center"/>
          </w:tcPr>
          <w:p w14:paraId="72136D42">
            <w:pPr>
              <w:pStyle w:val="12"/>
            </w:pPr>
            <w:r>
              <w:t>时效指标</w:t>
            </w:r>
          </w:p>
        </w:tc>
        <w:tc>
          <w:tcPr>
            <w:tcW w:w="2835" w:type="dxa"/>
            <w:vAlign w:val="center"/>
          </w:tcPr>
          <w:p w14:paraId="04D468D8">
            <w:pPr>
              <w:pStyle w:val="12"/>
            </w:pPr>
            <w:r>
              <w:t>资金支付率</w:t>
            </w:r>
          </w:p>
        </w:tc>
        <w:tc>
          <w:tcPr>
            <w:tcW w:w="5386" w:type="dxa"/>
            <w:vAlign w:val="center"/>
          </w:tcPr>
          <w:p w14:paraId="4B4ED4EE">
            <w:pPr>
              <w:pStyle w:val="12"/>
            </w:pPr>
            <w:r>
              <w:t>按照序时进度完成资金支付</w:t>
            </w:r>
          </w:p>
        </w:tc>
        <w:tc>
          <w:tcPr>
            <w:tcW w:w="2268" w:type="dxa"/>
            <w:vAlign w:val="center"/>
          </w:tcPr>
          <w:p w14:paraId="68920545">
            <w:pPr>
              <w:pStyle w:val="12"/>
            </w:pPr>
            <w:r>
              <w:t>100%</w:t>
            </w:r>
          </w:p>
        </w:tc>
        <w:tc>
          <w:tcPr>
            <w:tcW w:w="1276" w:type="dxa"/>
            <w:vAlign w:val="center"/>
          </w:tcPr>
          <w:p w14:paraId="57139F31">
            <w:pPr>
              <w:pStyle w:val="12"/>
            </w:pPr>
            <w:r>
              <w:t>项目规划</w:t>
            </w:r>
          </w:p>
        </w:tc>
      </w:tr>
      <w:tr w14:paraId="58AC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66927"/>
        </w:tc>
        <w:tc>
          <w:tcPr>
            <w:tcW w:w="2268" w:type="dxa"/>
            <w:vAlign w:val="center"/>
          </w:tcPr>
          <w:p w14:paraId="3F1F0F29">
            <w:pPr>
              <w:pStyle w:val="12"/>
            </w:pPr>
            <w:r>
              <w:t>成本指标</w:t>
            </w:r>
          </w:p>
        </w:tc>
        <w:tc>
          <w:tcPr>
            <w:tcW w:w="2835" w:type="dxa"/>
            <w:vAlign w:val="center"/>
          </w:tcPr>
          <w:p w14:paraId="02B33E7F">
            <w:pPr>
              <w:pStyle w:val="12"/>
            </w:pPr>
            <w:r>
              <w:t>项目成本控制情况</w:t>
            </w:r>
          </w:p>
        </w:tc>
        <w:tc>
          <w:tcPr>
            <w:tcW w:w="5386" w:type="dxa"/>
            <w:vAlign w:val="center"/>
          </w:tcPr>
          <w:p w14:paraId="5F89E91F">
            <w:pPr>
              <w:pStyle w:val="12"/>
            </w:pPr>
            <w:r>
              <w:t>严格按照招标价格及审计额进行</w:t>
            </w:r>
          </w:p>
        </w:tc>
        <w:tc>
          <w:tcPr>
            <w:tcW w:w="2268" w:type="dxa"/>
            <w:vAlign w:val="center"/>
          </w:tcPr>
          <w:p w14:paraId="1F49A760">
            <w:pPr>
              <w:pStyle w:val="12"/>
            </w:pPr>
            <w:r>
              <w:t>146万元</w:t>
            </w:r>
          </w:p>
        </w:tc>
        <w:tc>
          <w:tcPr>
            <w:tcW w:w="1276" w:type="dxa"/>
            <w:vAlign w:val="center"/>
          </w:tcPr>
          <w:p w14:paraId="2788DA70">
            <w:pPr>
              <w:pStyle w:val="12"/>
            </w:pPr>
            <w:r>
              <w:t>项目规划</w:t>
            </w:r>
          </w:p>
        </w:tc>
      </w:tr>
      <w:tr w14:paraId="5583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6FB05">
            <w:pPr>
              <w:pStyle w:val="13"/>
            </w:pPr>
            <w:r>
              <w:t>效益指标</w:t>
            </w:r>
          </w:p>
        </w:tc>
        <w:tc>
          <w:tcPr>
            <w:tcW w:w="2268" w:type="dxa"/>
            <w:vAlign w:val="center"/>
          </w:tcPr>
          <w:p w14:paraId="3D9D4D38">
            <w:pPr>
              <w:pStyle w:val="12"/>
            </w:pPr>
            <w:r>
              <w:t>社会效益指标</w:t>
            </w:r>
          </w:p>
        </w:tc>
        <w:tc>
          <w:tcPr>
            <w:tcW w:w="2835" w:type="dxa"/>
            <w:vAlign w:val="center"/>
          </w:tcPr>
          <w:p w14:paraId="39F0CF5B">
            <w:pPr>
              <w:pStyle w:val="12"/>
            </w:pPr>
            <w:r>
              <w:t>学校办学环境提升</w:t>
            </w:r>
          </w:p>
        </w:tc>
        <w:tc>
          <w:tcPr>
            <w:tcW w:w="5386" w:type="dxa"/>
            <w:vAlign w:val="center"/>
          </w:tcPr>
          <w:p w14:paraId="0D7A9653">
            <w:pPr>
              <w:pStyle w:val="12"/>
            </w:pPr>
            <w:r>
              <w:t>学校教学环境提升优化率</w:t>
            </w:r>
          </w:p>
        </w:tc>
        <w:tc>
          <w:tcPr>
            <w:tcW w:w="2268" w:type="dxa"/>
            <w:vAlign w:val="center"/>
          </w:tcPr>
          <w:p w14:paraId="2662E9BB">
            <w:pPr>
              <w:pStyle w:val="12"/>
            </w:pPr>
            <w:r>
              <w:t>≥98%</w:t>
            </w:r>
          </w:p>
        </w:tc>
        <w:tc>
          <w:tcPr>
            <w:tcW w:w="1276" w:type="dxa"/>
            <w:vAlign w:val="center"/>
          </w:tcPr>
          <w:p w14:paraId="47FA3544">
            <w:pPr>
              <w:pStyle w:val="12"/>
            </w:pPr>
            <w:r>
              <w:t>项目规划</w:t>
            </w:r>
          </w:p>
        </w:tc>
      </w:tr>
      <w:tr w14:paraId="1462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A1C81">
            <w:pPr>
              <w:pStyle w:val="13"/>
            </w:pPr>
            <w:r>
              <w:t>满意度指标</w:t>
            </w:r>
          </w:p>
        </w:tc>
        <w:tc>
          <w:tcPr>
            <w:tcW w:w="2268" w:type="dxa"/>
            <w:vAlign w:val="center"/>
          </w:tcPr>
          <w:p w14:paraId="4968E3AD">
            <w:pPr>
              <w:pStyle w:val="12"/>
            </w:pPr>
            <w:r>
              <w:t>服务对象满意度指标</w:t>
            </w:r>
          </w:p>
        </w:tc>
        <w:tc>
          <w:tcPr>
            <w:tcW w:w="2835" w:type="dxa"/>
            <w:vAlign w:val="center"/>
          </w:tcPr>
          <w:p w14:paraId="093A9BDB">
            <w:pPr>
              <w:pStyle w:val="12"/>
            </w:pPr>
            <w:r>
              <w:t>受益学生家长及调查满意度</w:t>
            </w:r>
          </w:p>
        </w:tc>
        <w:tc>
          <w:tcPr>
            <w:tcW w:w="5386" w:type="dxa"/>
            <w:vAlign w:val="center"/>
          </w:tcPr>
          <w:p w14:paraId="2818CECC">
            <w:pPr>
              <w:pStyle w:val="12"/>
            </w:pPr>
            <w:r>
              <w:t>学生、教师及家长对学校教学环境满意度情况</w:t>
            </w:r>
          </w:p>
        </w:tc>
        <w:tc>
          <w:tcPr>
            <w:tcW w:w="2268" w:type="dxa"/>
            <w:vAlign w:val="center"/>
          </w:tcPr>
          <w:p w14:paraId="7E9F9E83">
            <w:pPr>
              <w:pStyle w:val="12"/>
            </w:pPr>
            <w:r>
              <w:t>≥95%</w:t>
            </w:r>
          </w:p>
        </w:tc>
        <w:tc>
          <w:tcPr>
            <w:tcW w:w="1276" w:type="dxa"/>
            <w:vAlign w:val="center"/>
          </w:tcPr>
          <w:p w14:paraId="0EA00703">
            <w:pPr>
              <w:pStyle w:val="12"/>
            </w:pPr>
            <w:r>
              <w:t>项目规划</w:t>
            </w:r>
          </w:p>
        </w:tc>
      </w:tr>
    </w:tbl>
    <w:p w14:paraId="3F72E103">
      <w:pPr>
        <w:sectPr>
          <w:pgSz w:w="16840" w:h="11900" w:orient="landscape"/>
          <w:pgMar w:top="1361" w:right="1020" w:bottom="1134" w:left="1020" w:header="720" w:footer="720" w:gutter="0"/>
          <w:cols w:space="720" w:num="1"/>
        </w:sectPr>
      </w:pPr>
    </w:p>
    <w:p w14:paraId="0CFCE0C0">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17、冀财教[2025]147号/省级/2026年义教补助经费/尹村校区大霍小学公用经费绩效目标表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C0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753C3">
            <w:pPr>
              <w:pStyle w:val="11"/>
            </w:pPr>
            <w:r>
              <w:t>单位：万元</w:t>
            </w:r>
          </w:p>
        </w:tc>
      </w:tr>
      <w:tr w14:paraId="3E4B4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9B9F0">
            <w:pPr>
              <w:pStyle w:val="10"/>
            </w:pPr>
            <w:r>
              <w:t>项目编码</w:t>
            </w:r>
          </w:p>
        </w:tc>
        <w:tc>
          <w:tcPr>
            <w:tcW w:w="5103" w:type="dxa"/>
            <w:gridSpan w:val="2"/>
            <w:vAlign w:val="center"/>
          </w:tcPr>
          <w:p w14:paraId="12204341">
            <w:pPr>
              <w:pStyle w:val="12"/>
            </w:pPr>
            <w:r>
              <w:t>13052526P000004103763</w:t>
            </w:r>
          </w:p>
        </w:tc>
        <w:tc>
          <w:tcPr>
            <w:tcW w:w="2835" w:type="dxa"/>
            <w:vAlign w:val="center"/>
          </w:tcPr>
          <w:p w14:paraId="0C5C16A6">
            <w:pPr>
              <w:pStyle w:val="10"/>
            </w:pPr>
            <w:r>
              <w:t>项目名称</w:t>
            </w:r>
          </w:p>
        </w:tc>
        <w:tc>
          <w:tcPr>
            <w:tcW w:w="6095" w:type="dxa"/>
            <w:gridSpan w:val="3"/>
            <w:vAlign w:val="center"/>
          </w:tcPr>
          <w:p w14:paraId="34228261">
            <w:pPr>
              <w:pStyle w:val="12"/>
            </w:pPr>
            <w:r>
              <w:t>冀财教[2025]147号/省级/2026年义教补助经费/尹村校区大霍小学公用经费</w:t>
            </w:r>
          </w:p>
        </w:tc>
      </w:tr>
      <w:tr w14:paraId="65192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35CBA">
            <w:pPr>
              <w:pStyle w:val="10"/>
            </w:pPr>
            <w:r>
              <w:t>预算规模及资金用途</w:t>
            </w:r>
          </w:p>
        </w:tc>
        <w:tc>
          <w:tcPr>
            <w:tcW w:w="2268" w:type="dxa"/>
            <w:vAlign w:val="center"/>
          </w:tcPr>
          <w:p w14:paraId="2ED5670B">
            <w:pPr>
              <w:pStyle w:val="10"/>
            </w:pPr>
            <w:r>
              <w:t>预算数</w:t>
            </w:r>
          </w:p>
        </w:tc>
        <w:tc>
          <w:tcPr>
            <w:tcW w:w="2835" w:type="dxa"/>
            <w:vAlign w:val="center"/>
          </w:tcPr>
          <w:p w14:paraId="136F0551">
            <w:pPr>
              <w:pStyle w:val="12"/>
            </w:pPr>
            <w:r>
              <w:t>35.31</w:t>
            </w:r>
          </w:p>
        </w:tc>
        <w:tc>
          <w:tcPr>
            <w:tcW w:w="2835" w:type="dxa"/>
            <w:vAlign w:val="center"/>
          </w:tcPr>
          <w:p w14:paraId="451ED242">
            <w:pPr>
              <w:pStyle w:val="10"/>
            </w:pPr>
            <w:r>
              <w:t>其中：财政    资金</w:t>
            </w:r>
          </w:p>
        </w:tc>
        <w:tc>
          <w:tcPr>
            <w:tcW w:w="2551" w:type="dxa"/>
            <w:vAlign w:val="center"/>
          </w:tcPr>
          <w:p w14:paraId="2F2A97C3">
            <w:pPr>
              <w:pStyle w:val="12"/>
            </w:pPr>
            <w:r>
              <w:t>35.31</w:t>
            </w:r>
          </w:p>
        </w:tc>
        <w:tc>
          <w:tcPr>
            <w:tcW w:w="2268" w:type="dxa"/>
            <w:vAlign w:val="center"/>
          </w:tcPr>
          <w:p w14:paraId="3245D24A">
            <w:pPr>
              <w:pStyle w:val="10"/>
            </w:pPr>
            <w:r>
              <w:t>其他资金</w:t>
            </w:r>
          </w:p>
        </w:tc>
        <w:tc>
          <w:tcPr>
            <w:tcW w:w="1276" w:type="dxa"/>
            <w:vAlign w:val="center"/>
          </w:tcPr>
          <w:p w14:paraId="76DD0EFF">
            <w:pPr>
              <w:pStyle w:val="12"/>
            </w:pPr>
            <w:r>
              <w:t xml:space="preserve"> </w:t>
            </w:r>
          </w:p>
        </w:tc>
      </w:tr>
      <w:tr w14:paraId="5323F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42CAA"/>
        </w:tc>
        <w:tc>
          <w:tcPr>
            <w:tcW w:w="14033" w:type="dxa"/>
            <w:gridSpan w:val="6"/>
            <w:vAlign w:val="center"/>
          </w:tcPr>
          <w:p w14:paraId="2757848D">
            <w:pPr>
              <w:pStyle w:val="12"/>
            </w:pPr>
            <w:r>
              <w:t>保障学校正常运转，完成各项教育教学活动和其他日常工作任务等方面的费用支出。</w:t>
            </w:r>
          </w:p>
        </w:tc>
      </w:tr>
      <w:tr w14:paraId="53763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425B0">
            <w:pPr>
              <w:pStyle w:val="10"/>
            </w:pPr>
            <w:r>
              <w:t>资金支出计划（%）</w:t>
            </w:r>
          </w:p>
        </w:tc>
        <w:tc>
          <w:tcPr>
            <w:tcW w:w="5103" w:type="dxa"/>
            <w:gridSpan w:val="2"/>
            <w:vAlign w:val="center"/>
          </w:tcPr>
          <w:p w14:paraId="7A4C00B6">
            <w:pPr>
              <w:pStyle w:val="10"/>
            </w:pPr>
            <w:r>
              <w:t>3月底</w:t>
            </w:r>
          </w:p>
        </w:tc>
        <w:tc>
          <w:tcPr>
            <w:tcW w:w="2835" w:type="dxa"/>
            <w:vAlign w:val="center"/>
          </w:tcPr>
          <w:p w14:paraId="623A2EA2">
            <w:pPr>
              <w:pStyle w:val="10"/>
            </w:pPr>
            <w:r>
              <w:t>6月底</w:t>
            </w:r>
          </w:p>
        </w:tc>
        <w:tc>
          <w:tcPr>
            <w:tcW w:w="2551" w:type="dxa"/>
            <w:vAlign w:val="center"/>
          </w:tcPr>
          <w:p w14:paraId="7FA99680">
            <w:pPr>
              <w:pStyle w:val="10"/>
            </w:pPr>
            <w:r>
              <w:t>10月底</w:t>
            </w:r>
          </w:p>
        </w:tc>
        <w:tc>
          <w:tcPr>
            <w:tcW w:w="3544" w:type="dxa"/>
            <w:gridSpan w:val="2"/>
            <w:vAlign w:val="center"/>
          </w:tcPr>
          <w:p w14:paraId="0DCA7BA0">
            <w:pPr>
              <w:pStyle w:val="10"/>
            </w:pPr>
            <w:r>
              <w:t>12月底</w:t>
            </w:r>
          </w:p>
        </w:tc>
      </w:tr>
      <w:tr w14:paraId="7E24D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1A084"/>
        </w:tc>
        <w:tc>
          <w:tcPr>
            <w:tcW w:w="5103" w:type="dxa"/>
            <w:gridSpan w:val="2"/>
            <w:vAlign w:val="center"/>
          </w:tcPr>
          <w:p w14:paraId="4E57B3A7">
            <w:pPr>
              <w:pStyle w:val="13"/>
            </w:pPr>
            <w:r>
              <w:t>25%</w:t>
            </w:r>
          </w:p>
        </w:tc>
        <w:tc>
          <w:tcPr>
            <w:tcW w:w="2835" w:type="dxa"/>
            <w:vAlign w:val="center"/>
          </w:tcPr>
          <w:p w14:paraId="656549F6">
            <w:pPr>
              <w:pStyle w:val="13"/>
            </w:pPr>
            <w:r>
              <w:t>50%</w:t>
            </w:r>
          </w:p>
        </w:tc>
        <w:tc>
          <w:tcPr>
            <w:tcW w:w="2551" w:type="dxa"/>
            <w:vAlign w:val="center"/>
          </w:tcPr>
          <w:p w14:paraId="7DA6C10A">
            <w:pPr>
              <w:pStyle w:val="13"/>
            </w:pPr>
            <w:r>
              <w:t>75%</w:t>
            </w:r>
          </w:p>
        </w:tc>
        <w:tc>
          <w:tcPr>
            <w:tcW w:w="3544" w:type="dxa"/>
            <w:gridSpan w:val="2"/>
            <w:vAlign w:val="center"/>
          </w:tcPr>
          <w:p w14:paraId="44FD5A76">
            <w:pPr>
              <w:pStyle w:val="13"/>
            </w:pPr>
            <w:r>
              <w:t>100%</w:t>
            </w:r>
          </w:p>
        </w:tc>
      </w:tr>
      <w:tr w14:paraId="6B63C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4BCCD">
            <w:pPr>
              <w:pStyle w:val="10"/>
            </w:pPr>
            <w:r>
              <w:t>绩效目标</w:t>
            </w:r>
          </w:p>
        </w:tc>
        <w:tc>
          <w:tcPr>
            <w:tcW w:w="14033" w:type="dxa"/>
            <w:gridSpan w:val="6"/>
            <w:vAlign w:val="center"/>
          </w:tcPr>
          <w:p w14:paraId="58FEDB85">
            <w:pPr>
              <w:pStyle w:val="12"/>
            </w:pPr>
            <w:r>
              <w:t>1.按季度分批次拨付公用经费资金，资金拨付率达到100%。</w:t>
            </w:r>
          </w:p>
          <w:p w14:paraId="579CDD6C">
            <w:pPr>
              <w:pStyle w:val="12"/>
            </w:pPr>
            <w:r>
              <w:t>2.保障学校正常运转，完成各项教育教学活动和其他日常工作任务等方面的费用支出。</w:t>
            </w:r>
          </w:p>
        </w:tc>
      </w:tr>
    </w:tbl>
    <w:p w14:paraId="557D65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D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83752">
            <w:pPr>
              <w:pStyle w:val="10"/>
            </w:pPr>
            <w:r>
              <w:t>一级指标</w:t>
            </w:r>
          </w:p>
        </w:tc>
        <w:tc>
          <w:tcPr>
            <w:tcW w:w="2268" w:type="dxa"/>
            <w:vAlign w:val="center"/>
          </w:tcPr>
          <w:p w14:paraId="4E3FF06D">
            <w:pPr>
              <w:pStyle w:val="10"/>
            </w:pPr>
            <w:r>
              <w:t>二级指标</w:t>
            </w:r>
          </w:p>
        </w:tc>
        <w:tc>
          <w:tcPr>
            <w:tcW w:w="2835" w:type="dxa"/>
            <w:vAlign w:val="center"/>
          </w:tcPr>
          <w:p w14:paraId="75C75DC3">
            <w:pPr>
              <w:pStyle w:val="10"/>
            </w:pPr>
            <w:r>
              <w:t>三级指标</w:t>
            </w:r>
          </w:p>
        </w:tc>
        <w:tc>
          <w:tcPr>
            <w:tcW w:w="5386" w:type="dxa"/>
            <w:vAlign w:val="center"/>
          </w:tcPr>
          <w:p w14:paraId="604C0C8D">
            <w:pPr>
              <w:pStyle w:val="10"/>
            </w:pPr>
            <w:r>
              <w:t>绩效指标描述</w:t>
            </w:r>
          </w:p>
        </w:tc>
        <w:tc>
          <w:tcPr>
            <w:tcW w:w="2268" w:type="dxa"/>
            <w:vAlign w:val="center"/>
          </w:tcPr>
          <w:p w14:paraId="3C92273C">
            <w:pPr>
              <w:pStyle w:val="10"/>
            </w:pPr>
            <w:r>
              <w:t>指标值</w:t>
            </w:r>
          </w:p>
        </w:tc>
        <w:tc>
          <w:tcPr>
            <w:tcW w:w="1276" w:type="dxa"/>
            <w:vAlign w:val="center"/>
          </w:tcPr>
          <w:p w14:paraId="752848D9">
            <w:pPr>
              <w:pStyle w:val="10"/>
            </w:pPr>
            <w:r>
              <w:t>指标值确定依据</w:t>
            </w:r>
          </w:p>
        </w:tc>
      </w:tr>
      <w:tr w14:paraId="59F05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04E3B">
            <w:pPr>
              <w:pStyle w:val="13"/>
            </w:pPr>
            <w:r>
              <w:t>产出指标</w:t>
            </w:r>
          </w:p>
        </w:tc>
        <w:tc>
          <w:tcPr>
            <w:tcW w:w="2268" w:type="dxa"/>
            <w:vAlign w:val="center"/>
          </w:tcPr>
          <w:p w14:paraId="38CDF960">
            <w:pPr>
              <w:pStyle w:val="12"/>
            </w:pPr>
            <w:r>
              <w:t>数量指标</w:t>
            </w:r>
          </w:p>
        </w:tc>
        <w:tc>
          <w:tcPr>
            <w:tcW w:w="2835" w:type="dxa"/>
            <w:vAlign w:val="center"/>
          </w:tcPr>
          <w:p w14:paraId="0D11D75B">
            <w:pPr>
              <w:pStyle w:val="12"/>
            </w:pPr>
            <w:r>
              <w:t>就读学生数</w:t>
            </w:r>
          </w:p>
        </w:tc>
        <w:tc>
          <w:tcPr>
            <w:tcW w:w="5386" w:type="dxa"/>
            <w:vAlign w:val="center"/>
          </w:tcPr>
          <w:p w14:paraId="0183B871">
            <w:pPr>
              <w:pStyle w:val="12"/>
            </w:pPr>
            <w:r>
              <w:t>辐射区域内适龄学生人数</w:t>
            </w:r>
          </w:p>
        </w:tc>
        <w:tc>
          <w:tcPr>
            <w:tcW w:w="2268" w:type="dxa"/>
            <w:vAlign w:val="center"/>
          </w:tcPr>
          <w:p w14:paraId="75D6661A">
            <w:pPr>
              <w:pStyle w:val="12"/>
            </w:pPr>
            <w:r>
              <w:t>1068人</w:t>
            </w:r>
          </w:p>
        </w:tc>
        <w:tc>
          <w:tcPr>
            <w:tcW w:w="1276" w:type="dxa"/>
            <w:vAlign w:val="center"/>
          </w:tcPr>
          <w:p w14:paraId="0BD3F66C">
            <w:pPr>
              <w:pStyle w:val="12"/>
            </w:pPr>
            <w:r>
              <w:t>城乡义务教育公用经费管理办法</w:t>
            </w:r>
          </w:p>
        </w:tc>
      </w:tr>
      <w:tr w14:paraId="0A06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44245"/>
        </w:tc>
        <w:tc>
          <w:tcPr>
            <w:tcW w:w="2268" w:type="dxa"/>
            <w:vAlign w:val="center"/>
          </w:tcPr>
          <w:p w14:paraId="42EBEFF1">
            <w:pPr>
              <w:pStyle w:val="12"/>
            </w:pPr>
            <w:r>
              <w:t>质量指标</w:t>
            </w:r>
          </w:p>
        </w:tc>
        <w:tc>
          <w:tcPr>
            <w:tcW w:w="2835" w:type="dxa"/>
            <w:vAlign w:val="center"/>
          </w:tcPr>
          <w:p w14:paraId="3EE67DC9">
            <w:pPr>
              <w:pStyle w:val="12"/>
            </w:pPr>
            <w:r>
              <w:t>预算执行率</w:t>
            </w:r>
          </w:p>
        </w:tc>
        <w:tc>
          <w:tcPr>
            <w:tcW w:w="5386" w:type="dxa"/>
            <w:vAlign w:val="center"/>
          </w:tcPr>
          <w:p w14:paraId="79501818">
            <w:pPr>
              <w:pStyle w:val="12"/>
            </w:pPr>
            <w:r>
              <w:t>预算执行率</w:t>
            </w:r>
          </w:p>
        </w:tc>
        <w:tc>
          <w:tcPr>
            <w:tcW w:w="2268" w:type="dxa"/>
            <w:vAlign w:val="center"/>
          </w:tcPr>
          <w:p w14:paraId="71A488B5">
            <w:pPr>
              <w:pStyle w:val="12"/>
            </w:pPr>
            <w:r>
              <w:t>≥95%</w:t>
            </w:r>
          </w:p>
        </w:tc>
        <w:tc>
          <w:tcPr>
            <w:tcW w:w="1276" w:type="dxa"/>
            <w:vAlign w:val="center"/>
          </w:tcPr>
          <w:p w14:paraId="15645DBA">
            <w:pPr>
              <w:pStyle w:val="12"/>
            </w:pPr>
            <w:r>
              <w:t>城乡义务教育公用经费管理办法</w:t>
            </w:r>
          </w:p>
        </w:tc>
      </w:tr>
      <w:tr w14:paraId="6A2DD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7FC2C"/>
        </w:tc>
        <w:tc>
          <w:tcPr>
            <w:tcW w:w="2268" w:type="dxa"/>
            <w:vAlign w:val="center"/>
          </w:tcPr>
          <w:p w14:paraId="417FC729">
            <w:pPr>
              <w:pStyle w:val="12"/>
            </w:pPr>
            <w:r>
              <w:t>时效指标</w:t>
            </w:r>
          </w:p>
        </w:tc>
        <w:tc>
          <w:tcPr>
            <w:tcW w:w="2835" w:type="dxa"/>
            <w:vAlign w:val="center"/>
          </w:tcPr>
          <w:p w14:paraId="1E45F017">
            <w:pPr>
              <w:pStyle w:val="12"/>
            </w:pPr>
            <w:r>
              <w:t>义教经费支付完成率</w:t>
            </w:r>
          </w:p>
        </w:tc>
        <w:tc>
          <w:tcPr>
            <w:tcW w:w="5386" w:type="dxa"/>
            <w:vAlign w:val="center"/>
          </w:tcPr>
          <w:p w14:paraId="0FA8E83D">
            <w:pPr>
              <w:pStyle w:val="12"/>
            </w:pPr>
            <w:r>
              <w:t>按照序时进度完成资金支付</w:t>
            </w:r>
          </w:p>
        </w:tc>
        <w:tc>
          <w:tcPr>
            <w:tcW w:w="2268" w:type="dxa"/>
            <w:vAlign w:val="center"/>
          </w:tcPr>
          <w:p w14:paraId="64FDBB93">
            <w:pPr>
              <w:pStyle w:val="12"/>
            </w:pPr>
            <w:r>
              <w:t>100%</w:t>
            </w:r>
          </w:p>
        </w:tc>
        <w:tc>
          <w:tcPr>
            <w:tcW w:w="1276" w:type="dxa"/>
            <w:vAlign w:val="center"/>
          </w:tcPr>
          <w:p w14:paraId="2DE3C7D3">
            <w:pPr>
              <w:pStyle w:val="12"/>
            </w:pPr>
            <w:r>
              <w:t>城乡义务教育公用经费管理办法</w:t>
            </w:r>
          </w:p>
        </w:tc>
      </w:tr>
      <w:tr w14:paraId="13A1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A7BFF"/>
        </w:tc>
        <w:tc>
          <w:tcPr>
            <w:tcW w:w="2268" w:type="dxa"/>
            <w:vAlign w:val="center"/>
          </w:tcPr>
          <w:p w14:paraId="244138E5">
            <w:pPr>
              <w:pStyle w:val="12"/>
            </w:pPr>
            <w:r>
              <w:t>成本指标</w:t>
            </w:r>
          </w:p>
        </w:tc>
        <w:tc>
          <w:tcPr>
            <w:tcW w:w="2835" w:type="dxa"/>
            <w:vAlign w:val="center"/>
          </w:tcPr>
          <w:p w14:paraId="5B5E7809">
            <w:pPr>
              <w:pStyle w:val="12"/>
            </w:pPr>
            <w:r>
              <w:t>生均拨款标准</w:t>
            </w:r>
          </w:p>
        </w:tc>
        <w:tc>
          <w:tcPr>
            <w:tcW w:w="5386" w:type="dxa"/>
            <w:vAlign w:val="center"/>
          </w:tcPr>
          <w:p w14:paraId="1E194070">
            <w:pPr>
              <w:pStyle w:val="12"/>
            </w:pPr>
            <w:r>
              <w:t>小学生公用经费生均公用经费基准定额为720元/年/生，取暖费120元/年/生，住宿生补助300元/年/生的标准，随班就读学生补助7000元/生/年</w:t>
            </w:r>
          </w:p>
        </w:tc>
        <w:tc>
          <w:tcPr>
            <w:tcW w:w="2268" w:type="dxa"/>
            <w:vAlign w:val="center"/>
          </w:tcPr>
          <w:p w14:paraId="1CB5C416">
            <w:pPr>
              <w:pStyle w:val="12"/>
            </w:pPr>
            <w:r>
              <w:t>840元</w:t>
            </w:r>
          </w:p>
        </w:tc>
        <w:tc>
          <w:tcPr>
            <w:tcW w:w="1276" w:type="dxa"/>
            <w:vAlign w:val="center"/>
          </w:tcPr>
          <w:p w14:paraId="728B282B">
            <w:pPr>
              <w:pStyle w:val="12"/>
            </w:pPr>
            <w:r>
              <w:t>城乡义务教育公用经费管理办法</w:t>
            </w:r>
          </w:p>
        </w:tc>
      </w:tr>
      <w:tr w14:paraId="41A7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DCBF0">
            <w:pPr>
              <w:pStyle w:val="13"/>
            </w:pPr>
            <w:r>
              <w:t>效益指标</w:t>
            </w:r>
          </w:p>
        </w:tc>
        <w:tc>
          <w:tcPr>
            <w:tcW w:w="2268" w:type="dxa"/>
            <w:vAlign w:val="center"/>
          </w:tcPr>
          <w:p w14:paraId="463C724F">
            <w:pPr>
              <w:pStyle w:val="12"/>
            </w:pPr>
            <w:r>
              <w:t>可持续影响指标</w:t>
            </w:r>
          </w:p>
        </w:tc>
        <w:tc>
          <w:tcPr>
            <w:tcW w:w="2835" w:type="dxa"/>
            <w:vAlign w:val="center"/>
          </w:tcPr>
          <w:p w14:paraId="70AEF84E">
            <w:pPr>
              <w:pStyle w:val="12"/>
            </w:pPr>
            <w:r>
              <w:t>学校运转得到提高</w:t>
            </w:r>
          </w:p>
        </w:tc>
        <w:tc>
          <w:tcPr>
            <w:tcW w:w="5386" w:type="dxa"/>
            <w:vAlign w:val="center"/>
          </w:tcPr>
          <w:p w14:paraId="5C28EBC1">
            <w:pPr>
              <w:pStyle w:val="12"/>
            </w:pPr>
            <w:r>
              <w:t>学生受教育年限</w:t>
            </w:r>
          </w:p>
        </w:tc>
        <w:tc>
          <w:tcPr>
            <w:tcW w:w="2268" w:type="dxa"/>
            <w:vAlign w:val="center"/>
          </w:tcPr>
          <w:p w14:paraId="2EB8D84F">
            <w:pPr>
              <w:pStyle w:val="12"/>
            </w:pPr>
            <w:r>
              <w:t>6年</w:t>
            </w:r>
          </w:p>
        </w:tc>
        <w:tc>
          <w:tcPr>
            <w:tcW w:w="1276" w:type="dxa"/>
            <w:vAlign w:val="center"/>
          </w:tcPr>
          <w:p w14:paraId="54D73A40">
            <w:pPr>
              <w:pStyle w:val="12"/>
            </w:pPr>
            <w:r>
              <w:t>城乡义务教育公用经费管理办法</w:t>
            </w:r>
          </w:p>
        </w:tc>
      </w:tr>
      <w:tr w14:paraId="13E1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64AFD">
            <w:pPr>
              <w:pStyle w:val="13"/>
            </w:pPr>
            <w:r>
              <w:t>满意度指标</w:t>
            </w:r>
          </w:p>
        </w:tc>
        <w:tc>
          <w:tcPr>
            <w:tcW w:w="2268" w:type="dxa"/>
            <w:vAlign w:val="center"/>
          </w:tcPr>
          <w:p w14:paraId="05A5FA6F">
            <w:pPr>
              <w:pStyle w:val="12"/>
            </w:pPr>
            <w:r>
              <w:t>服务对象满意度指标</w:t>
            </w:r>
          </w:p>
        </w:tc>
        <w:tc>
          <w:tcPr>
            <w:tcW w:w="2835" w:type="dxa"/>
            <w:vAlign w:val="center"/>
          </w:tcPr>
          <w:p w14:paraId="3AECCDA0">
            <w:pPr>
              <w:pStyle w:val="12"/>
            </w:pPr>
            <w:r>
              <w:t>服务对象满意度</w:t>
            </w:r>
          </w:p>
        </w:tc>
        <w:tc>
          <w:tcPr>
            <w:tcW w:w="5386" w:type="dxa"/>
            <w:vAlign w:val="center"/>
          </w:tcPr>
          <w:p w14:paraId="6007A076">
            <w:pPr>
              <w:pStyle w:val="12"/>
            </w:pPr>
            <w:r>
              <w:t>学校老师和学生满意度</w:t>
            </w:r>
          </w:p>
        </w:tc>
        <w:tc>
          <w:tcPr>
            <w:tcW w:w="2268" w:type="dxa"/>
            <w:vAlign w:val="center"/>
          </w:tcPr>
          <w:p w14:paraId="3790B042">
            <w:pPr>
              <w:pStyle w:val="12"/>
            </w:pPr>
            <w:r>
              <w:t>≥95%</w:t>
            </w:r>
          </w:p>
        </w:tc>
        <w:tc>
          <w:tcPr>
            <w:tcW w:w="1276" w:type="dxa"/>
            <w:vAlign w:val="center"/>
          </w:tcPr>
          <w:p w14:paraId="723A6109">
            <w:pPr>
              <w:pStyle w:val="12"/>
            </w:pPr>
            <w:r>
              <w:t>群众测评</w:t>
            </w:r>
          </w:p>
        </w:tc>
      </w:tr>
    </w:tbl>
    <w:p w14:paraId="40D3D064">
      <w:pPr>
        <w:sectPr>
          <w:pgSz w:w="16840" w:h="11900" w:orient="landscape"/>
          <w:pgMar w:top="1361" w:right="1020" w:bottom="1134" w:left="1020" w:header="720" w:footer="720" w:gutter="0"/>
          <w:cols w:space="720" w:num="1"/>
        </w:sectPr>
      </w:pPr>
    </w:p>
    <w:p w14:paraId="61583C35">
      <w:pPr>
        <w:spacing w:before="0" w:after="0"/>
        <w:ind w:firstLine="560"/>
        <w:jc w:val="left"/>
        <w:outlineLvl w:val="9"/>
      </w:pPr>
      <w:r>
        <w:rPr>
          <w:rFonts w:ascii="方正仿宋_GBK" w:hAnsi="方正仿宋_GBK" w:eastAsia="方正仿宋_GBK" w:cs="方正仿宋_GBK"/>
          <w:b/>
          <w:color w:val="000000"/>
          <w:sz w:val="28"/>
        </w:rPr>
        <w:t>18、冀财教[2025]147号/省级/2026年义教补助经费/尹村校区大宁甫小学公用经费绩效目标表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94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692DC">
            <w:pPr>
              <w:pStyle w:val="11"/>
            </w:pPr>
            <w:r>
              <w:t>单位：万元</w:t>
            </w:r>
          </w:p>
        </w:tc>
      </w:tr>
      <w:tr w14:paraId="7BB64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13655">
            <w:pPr>
              <w:pStyle w:val="10"/>
            </w:pPr>
            <w:r>
              <w:t>项目编码</w:t>
            </w:r>
          </w:p>
        </w:tc>
        <w:tc>
          <w:tcPr>
            <w:tcW w:w="5103" w:type="dxa"/>
            <w:gridSpan w:val="2"/>
            <w:vAlign w:val="center"/>
          </w:tcPr>
          <w:p w14:paraId="0628588E">
            <w:pPr>
              <w:pStyle w:val="12"/>
            </w:pPr>
            <w:r>
              <w:t>13052526P00000410375F</w:t>
            </w:r>
          </w:p>
        </w:tc>
        <w:tc>
          <w:tcPr>
            <w:tcW w:w="2835" w:type="dxa"/>
            <w:vAlign w:val="center"/>
          </w:tcPr>
          <w:p w14:paraId="4A8C6C8E">
            <w:pPr>
              <w:pStyle w:val="10"/>
            </w:pPr>
            <w:r>
              <w:t>项目名称</w:t>
            </w:r>
          </w:p>
        </w:tc>
        <w:tc>
          <w:tcPr>
            <w:tcW w:w="6095" w:type="dxa"/>
            <w:gridSpan w:val="3"/>
            <w:vAlign w:val="center"/>
          </w:tcPr>
          <w:p w14:paraId="331AFA7D">
            <w:pPr>
              <w:pStyle w:val="12"/>
            </w:pPr>
            <w:r>
              <w:t>冀财教[2025]147号/省级/2026年义教补助经费/尹村校区大宁甫小学公用经费</w:t>
            </w:r>
          </w:p>
        </w:tc>
      </w:tr>
      <w:tr w14:paraId="408AD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76A75">
            <w:pPr>
              <w:pStyle w:val="10"/>
            </w:pPr>
            <w:r>
              <w:t>预算规模及资金用途</w:t>
            </w:r>
          </w:p>
        </w:tc>
        <w:tc>
          <w:tcPr>
            <w:tcW w:w="2268" w:type="dxa"/>
            <w:vAlign w:val="center"/>
          </w:tcPr>
          <w:p w14:paraId="5058EFEE">
            <w:pPr>
              <w:pStyle w:val="10"/>
            </w:pPr>
            <w:r>
              <w:t>预算数</w:t>
            </w:r>
          </w:p>
        </w:tc>
        <w:tc>
          <w:tcPr>
            <w:tcW w:w="2835" w:type="dxa"/>
            <w:vAlign w:val="center"/>
          </w:tcPr>
          <w:p w14:paraId="59FB4B94">
            <w:pPr>
              <w:pStyle w:val="12"/>
            </w:pPr>
            <w:r>
              <w:t>16.37</w:t>
            </w:r>
          </w:p>
        </w:tc>
        <w:tc>
          <w:tcPr>
            <w:tcW w:w="2835" w:type="dxa"/>
            <w:vAlign w:val="center"/>
          </w:tcPr>
          <w:p w14:paraId="3B6DB620">
            <w:pPr>
              <w:pStyle w:val="10"/>
            </w:pPr>
            <w:r>
              <w:t>其中：财政    资金</w:t>
            </w:r>
          </w:p>
        </w:tc>
        <w:tc>
          <w:tcPr>
            <w:tcW w:w="2551" w:type="dxa"/>
            <w:vAlign w:val="center"/>
          </w:tcPr>
          <w:p w14:paraId="2D3AC4DA">
            <w:pPr>
              <w:pStyle w:val="12"/>
            </w:pPr>
            <w:r>
              <w:t>16.37</w:t>
            </w:r>
          </w:p>
        </w:tc>
        <w:tc>
          <w:tcPr>
            <w:tcW w:w="2268" w:type="dxa"/>
            <w:vAlign w:val="center"/>
          </w:tcPr>
          <w:p w14:paraId="2142BBE5">
            <w:pPr>
              <w:pStyle w:val="10"/>
            </w:pPr>
            <w:r>
              <w:t>其他资金</w:t>
            </w:r>
          </w:p>
        </w:tc>
        <w:tc>
          <w:tcPr>
            <w:tcW w:w="1276" w:type="dxa"/>
            <w:vAlign w:val="center"/>
          </w:tcPr>
          <w:p w14:paraId="142C0B06">
            <w:pPr>
              <w:pStyle w:val="12"/>
            </w:pPr>
            <w:r>
              <w:t xml:space="preserve"> </w:t>
            </w:r>
          </w:p>
        </w:tc>
      </w:tr>
      <w:tr w14:paraId="0F31E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E5896"/>
        </w:tc>
        <w:tc>
          <w:tcPr>
            <w:tcW w:w="14033" w:type="dxa"/>
            <w:gridSpan w:val="6"/>
            <w:vAlign w:val="center"/>
          </w:tcPr>
          <w:p w14:paraId="25434A3E">
            <w:pPr>
              <w:pStyle w:val="12"/>
            </w:pPr>
            <w:r>
              <w:t>保障学校正常运转，完成各项教育教学活动和其他日常工作任务等方面的费用支出。</w:t>
            </w:r>
          </w:p>
        </w:tc>
      </w:tr>
      <w:tr w14:paraId="58F2F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2AAF8">
            <w:pPr>
              <w:pStyle w:val="10"/>
            </w:pPr>
            <w:r>
              <w:t>资金支出计划（%）</w:t>
            </w:r>
          </w:p>
        </w:tc>
        <w:tc>
          <w:tcPr>
            <w:tcW w:w="5103" w:type="dxa"/>
            <w:gridSpan w:val="2"/>
            <w:vAlign w:val="center"/>
          </w:tcPr>
          <w:p w14:paraId="1E8AA243">
            <w:pPr>
              <w:pStyle w:val="10"/>
            </w:pPr>
            <w:r>
              <w:t>3月底</w:t>
            </w:r>
          </w:p>
        </w:tc>
        <w:tc>
          <w:tcPr>
            <w:tcW w:w="2835" w:type="dxa"/>
            <w:vAlign w:val="center"/>
          </w:tcPr>
          <w:p w14:paraId="56962066">
            <w:pPr>
              <w:pStyle w:val="10"/>
            </w:pPr>
            <w:r>
              <w:t>6月底</w:t>
            </w:r>
          </w:p>
        </w:tc>
        <w:tc>
          <w:tcPr>
            <w:tcW w:w="2551" w:type="dxa"/>
            <w:vAlign w:val="center"/>
          </w:tcPr>
          <w:p w14:paraId="45FD49BD">
            <w:pPr>
              <w:pStyle w:val="10"/>
            </w:pPr>
            <w:r>
              <w:t>10月底</w:t>
            </w:r>
          </w:p>
        </w:tc>
        <w:tc>
          <w:tcPr>
            <w:tcW w:w="3544" w:type="dxa"/>
            <w:gridSpan w:val="2"/>
            <w:vAlign w:val="center"/>
          </w:tcPr>
          <w:p w14:paraId="283CA696">
            <w:pPr>
              <w:pStyle w:val="10"/>
            </w:pPr>
            <w:r>
              <w:t>12月底</w:t>
            </w:r>
          </w:p>
        </w:tc>
      </w:tr>
      <w:tr w14:paraId="11127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2EF09"/>
        </w:tc>
        <w:tc>
          <w:tcPr>
            <w:tcW w:w="5103" w:type="dxa"/>
            <w:gridSpan w:val="2"/>
            <w:vAlign w:val="center"/>
          </w:tcPr>
          <w:p w14:paraId="3641827B">
            <w:pPr>
              <w:pStyle w:val="13"/>
            </w:pPr>
            <w:r>
              <w:t>25%</w:t>
            </w:r>
          </w:p>
        </w:tc>
        <w:tc>
          <w:tcPr>
            <w:tcW w:w="2835" w:type="dxa"/>
            <w:vAlign w:val="center"/>
          </w:tcPr>
          <w:p w14:paraId="787CD0F4">
            <w:pPr>
              <w:pStyle w:val="13"/>
            </w:pPr>
            <w:r>
              <w:t>50%</w:t>
            </w:r>
          </w:p>
        </w:tc>
        <w:tc>
          <w:tcPr>
            <w:tcW w:w="2551" w:type="dxa"/>
            <w:vAlign w:val="center"/>
          </w:tcPr>
          <w:p w14:paraId="58B3D5DE">
            <w:pPr>
              <w:pStyle w:val="13"/>
            </w:pPr>
            <w:r>
              <w:t>75%</w:t>
            </w:r>
          </w:p>
        </w:tc>
        <w:tc>
          <w:tcPr>
            <w:tcW w:w="3544" w:type="dxa"/>
            <w:gridSpan w:val="2"/>
            <w:vAlign w:val="center"/>
          </w:tcPr>
          <w:p w14:paraId="1A142C7A">
            <w:pPr>
              <w:pStyle w:val="13"/>
            </w:pPr>
            <w:r>
              <w:t>100%</w:t>
            </w:r>
          </w:p>
        </w:tc>
      </w:tr>
      <w:tr w14:paraId="7200A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E6603">
            <w:pPr>
              <w:pStyle w:val="10"/>
            </w:pPr>
            <w:r>
              <w:t>绩效目标</w:t>
            </w:r>
          </w:p>
        </w:tc>
        <w:tc>
          <w:tcPr>
            <w:tcW w:w="14033" w:type="dxa"/>
            <w:gridSpan w:val="6"/>
            <w:vAlign w:val="center"/>
          </w:tcPr>
          <w:p w14:paraId="50DB7260">
            <w:pPr>
              <w:pStyle w:val="12"/>
            </w:pPr>
            <w:r>
              <w:t>1.按季度分批次拨付公用经费资金，资金拨付率达到100%。</w:t>
            </w:r>
          </w:p>
          <w:p w14:paraId="23D6C519">
            <w:pPr>
              <w:pStyle w:val="12"/>
            </w:pPr>
            <w:r>
              <w:t>2.保障学校正常运转，完成各项教育教学活动和其他日常工作任务等方面的费用支出。</w:t>
            </w:r>
          </w:p>
        </w:tc>
      </w:tr>
    </w:tbl>
    <w:p w14:paraId="364CC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1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99EB2">
            <w:pPr>
              <w:pStyle w:val="10"/>
            </w:pPr>
            <w:r>
              <w:t>一级指标</w:t>
            </w:r>
          </w:p>
        </w:tc>
        <w:tc>
          <w:tcPr>
            <w:tcW w:w="2268" w:type="dxa"/>
            <w:vAlign w:val="center"/>
          </w:tcPr>
          <w:p w14:paraId="115A8D26">
            <w:pPr>
              <w:pStyle w:val="10"/>
            </w:pPr>
            <w:r>
              <w:t>二级指标</w:t>
            </w:r>
          </w:p>
        </w:tc>
        <w:tc>
          <w:tcPr>
            <w:tcW w:w="2835" w:type="dxa"/>
            <w:vAlign w:val="center"/>
          </w:tcPr>
          <w:p w14:paraId="68DFE938">
            <w:pPr>
              <w:pStyle w:val="10"/>
            </w:pPr>
            <w:r>
              <w:t>三级指标</w:t>
            </w:r>
          </w:p>
        </w:tc>
        <w:tc>
          <w:tcPr>
            <w:tcW w:w="5386" w:type="dxa"/>
            <w:vAlign w:val="center"/>
          </w:tcPr>
          <w:p w14:paraId="577B6EF9">
            <w:pPr>
              <w:pStyle w:val="10"/>
            </w:pPr>
            <w:r>
              <w:t>绩效指标描述</w:t>
            </w:r>
          </w:p>
        </w:tc>
        <w:tc>
          <w:tcPr>
            <w:tcW w:w="2268" w:type="dxa"/>
            <w:vAlign w:val="center"/>
          </w:tcPr>
          <w:p w14:paraId="26AB1363">
            <w:pPr>
              <w:pStyle w:val="10"/>
            </w:pPr>
            <w:r>
              <w:t>指标值</w:t>
            </w:r>
          </w:p>
        </w:tc>
        <w:tc>
          <w:tcPr>
            <w:tcW w:w="1276" w:type="dxa"/>
            <w:vAlign w:val="center"/>
          </w:tcPr>
          <w:p w14:paraId="73EC0D28">
            <w:pPr>
              <w:pStyle w:val="10"/>
            </w:pPr>
            <w:r>
              <w:t>指标值确定依据</w:t>
            </w:r>
          </w:p>
        </w:tc>
      </w:tr>
      <w:tr w14:paraId="4133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CD7C4">
            <w:pPr>
              <w:pStyle w:val="13"/>
            </w:pPr>
            <w:r>
              <w:t>产出指标</w:t>
            </w:r>
          </w:p>
        </w:tc>
        <w:tc>
          <w:tcPr>
            <w:tcW w:w="2268" w:type="dxa"/>
            <w:vAlign w:val="center"/>
          </w:tcPr>
          <w:p w14:paraId="136FF018">
            <w:pPr>
              <w:pStyle w:val="12"/>
            </w:pPr>
            <w:r>
              <w:t>数量指标</w:t>
            </w:r>
          </w:p>
        </w:tc>
        <w:tc>
          <w:tcPr>
            <w:tcW w:w="2835" w:type="dxa"/>
            <w:vAlign w:val="center"/>
          </w:tcPr>
          <w:p w14:paraId="215ACA6F">
            <w:pPr>
              <w:pStyle w:val="12"/>
            </w:pPr>
            <w:r>
              <w:t>就读学生数</w:t>
            </w:r>
          </w:p>
        </w:tc>
        <w:tc>
          <w:tcPr>
            <w:tcW w:w="5386" w:type="dxa"/>
            <w:vAlign w:val="center"/>
          </w:tcPr>
          <w:p w14:paraId="4F22AB11">
            <w:pPr>
              <w:pStyle w:val="12"/>
            </w:pPr>
            <w:r>
              <w:t>辐射区域内适龄学生人数</w:t>
            </w:r>
          </w:p>
        </w:tc>
        <w:tc>
          <w:tcPr>
            <w:tcW w:w="2268" w:type="dxa"/>
            <w:vAlign w:val="center"/>
          </w:tcPr>
          <w:p w14:paraId="53F85A24">
            <w:pPr>
              <w:pStyle w:val="12"/>
            </w:pPr>
            <w:r>
              <w:t>533人</w:t>
            </w:r>
          </w:p>
        </w:tc>
        <w:tc>
          <w:tcPr>
            <w:tcW w:w="1276" w:type="dxa"/>
            <w:vAlign w:val="center"/>
          </w:tcPr>
          <w:p w14:paraId="0DDD5401">
            <w:pPr>
              <w:pStyle w:val="12"/>
            </w:pPr>
            <w:r>
              <w:t>城乡义务教育公用经费管理办法</w:t>
            </w:r>
          </w:p>
        </w:tc>
      </w:tr>
      <w:tr w14:paraId="321D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0385B"/>
        </w:tc>
        <w:tc>
          <w:tcPr>
            <w:tcW w:w="2268" w:type="dxa"/>
            <w:vAlign w:val="center"/>
          </w:tcPr>
          <w:p w14:paraId="67FD40ED">
            <w:pPr>
              <w:pStyle w:val="12"/>
            </w:pPr>
            <w:r>
              <w:t>质量指标</w:t>
            </w:r>
          </w:p>
        </w:tc>
        <w:tc>
          <w:tcPr>
            <w:tcW w:w="2835" w:type="dxa"/>
            <w:vAlign w:val="center"/>
          </w:tcPr>
          <w:p w14:paraId="69F0AC6D">
            <w:pPr>
              <w:pStyle w:val="12"/>
            </w:pPr>
            <w:r>
              <w:t>预算执行率</w:t>
            </w:r>
          </w:p>
        </w:tc>
        <w:tc>
          <w:tcPr>
            <w:tcW w:w="5386" w:type="dxa"/>
            <w:vAlign w:val="center"/>
          </w:tcPr>
          <w:p w14:paraId="70AE7ACB">
            <w:pPr>
              <w:pStyle w:val="12"/>
            </w:pPr>
            <w:r>
              <w:t>预算执行率</w:t>
            </w:r>
          </w:p>
        </w:tc>
        <w:tc>
          <w:tcPr>
            <w:tcW w:w="2268" w:type="dxa"/>
            <w:vAlign w:val="center"/>
          </w:tcPr>
          <w:p w14:paraId="16E58F4C">
            <w:pPr>
              <w:pStyle w:val="12"/>
            </w:pPr>
            <w:r>
              <w:t>≥95%</w:t>
            </w:r>
          </w:p>
        </w:tc>
        <w:tc>
          <w:tcPr>
            <w:tcW w:w="1276" w:type="dxa"/>
            <w:vAlign w:val="center"/>
          </w:tcPr>
          <w:p w14:paraId="1A17647E">
            <w:pPr>
              <w:pStyle w:val="12"/>
            </w:pPr>
            <w:r>
              <w:t>城乡义务教育公用经费管理办法</w:t>
            </w:r>
          </w:p>
        </w:tc>
      </w:tr>
      <w:tr w14:paraId="0692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ED71B"/>
        </w:tc>
        <w:tc>
          <w:tcPr>
            <w:tcW w:w="2268" w:type="dxa"/>
            <w:vAlign w:val="center"/>
          </w:tcPr>
          <w:p w14:paraId="1B6691B3">
            <w:pPr>
              <w:pStyle w:val="12"/>
            </w:pPr>
            <w:r>
              <w:t>时效指标</w:t>
            </w:r>
          </w:p>
        </w:tc>
        <w:tc>
          <w:tcPr>
            <w:tcW w:w="2835" w:type="dxa"/>
            <w:vAlign w:val="center"/>
          </w:tcPr>
          <w:p w14:paraId="1D73635F">
            <w:pPr>
              <w:pStyle w:val="12"/>
            </w:pPr>
            <w:r>
              <w:t>义教经费支付完成率</w:t>
            </w:r>
          </w:p>
        </w:tc>
        <w:tc>
          <w:tcPr>
            <w:tcW w:w="5386" w:type="dxa"/>
            <w:vAlign w:val="center"/>
          </w:tcPr>
          <w:p w14:paraId="2B7B66B1">
            <w:pPr>
              <w:pStyle w:val="12"/>
            </w:pPr>
            <w:r>
              <w:t>按照序时进度完成资金支付</w:t>
            </w:r>
          </w:p>
        </w:tc>
        <w:tc>
          <w:tcPr>
            <w:tcW w:w="2268" w:type="dxa"/>
            <w:vAlign w:val="center"/>
          </w:tcPr>
          <w:p w14:paraId="1E1C07A4">
            <w:pPr>
              <w:pStyle w:val="12"/>
            </w:pPr>
            <w:r>
              <w:t>100%</w:t>
            </w:r>
          </w:p>
        </w:tc>
        <w:tc>
          <w:tcPr>
            <w:tcW w:w="1276" w:type="dxa"/>
            <w:vAlign w:val="center"/>
          </w:tcPr>
          <w:p w14:paraId="2B8210B2">
            <w:pPr>
              <w:pStyle w:val="12"/>
            </w:pPr>
            <w:r>
              <w:t>城乡义务教育公用经费管理办法</w:t>
            </w:r>
          </w:p>
        </w:tc>
      </w:tr>
      <w:tr w14:paraId="5AE2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40FD1"/>
        </w:tc>
        <w:tc>
          <w:tcPr>
            <w:tcW w:w="2268" w:type="dxa"/>
            <w:vAlign w:val="center"/>
          </w:tcPr>
          <w:p w14:paraId="0073FDAE">
            <w:pPr>
              <w:pStyle w:val="12"/>
            </w:pPr>
            <w:r>
              <w:t>成本指标</w:t>
            </w:r>
          </w:p>
        </w:tc>
        <w:tc>
          <w:tcPr>
            <w:tcW w:w="2835" w:type="dxa"/>
            <w:vAlign w:val="center"/>
          </w:tcPr>
          <w:p w14:paraId="3860B143">
            <w:pPr>
              <w:pStyle w:val="12"/>
            </w:pPr>
            <w:r>
              <w:t>生均拨款标准</w:t>
            </w:r>
          </w:p>
        </w:tc>
        <w:tc>
          <w:tcPr>
            <w:tcW w:w="5386" w:type="dxa"/>
            <w:vAlign w:val="center"/>
          </w:tcPr>
          <w:p w14:paraId="57227B1A">
            <w:pPr>
              <w:pStyle w:val="12"/>
            </w:pPr>
            <w:r>
              <w:t>小学生公用经费生均公用经费基准定额为720元/年/生，取暖费120元/年/生，住宿生补助300元/年/生的标准，随班就读学生补助7000元/生/年</w:t>
            </w:r>
          </w:p>
        </w:tc>
        <w:tc>
          <w:tcPr>
            <w:tcW w:w="2268" w:type="dxa"/>
            <w:vAlign w:val="center"/>
          </w:tcPr>
          <w:p w14:paraId="6C226E24">
            <w:pPr>
              <w:pStyle w:val="12"/>
            </w:pPr>
            <w:r>
              <w:t>840元</w:t>
            </w:r>
          </w:p>
        </w:tc>
        <w:tc>
          <w:tcPr>
            <w:tcW w:w="1276" w:type="dxa"/>
            <w:vAlign w:val="center"/>
          </w:tcPr>
          <w:p w14:paraId="50155976">
            <w:pPr>
              <w:pStyle w:val="12"/>
            </w:pPr>
            <w:r>
              <w:t>城乡义务教育公用经费管理办法</w:t>
            </w:r>
          </w:p>
        </w:tc>
      </w:tr>
      <w:tr w14:paraId="18A7B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245D8">
            <w:pPr>
              <w:pStyle w:val="13"/>
            </w:pPr>
            <w:r>
              <w:t>效益指标</w:t>
            </w:r>
          </w:p>
        </w:tc>
        <w:tc>
          <w:tcPr>
            <w:tcW w:w="2268" w:type="dxa"/>
            <w:vAlign w:val="center"/>
          </w:tcPr>
          <w:p w14:paraId="6CAC6AD6">
            <w:pPr>
              <w:pStyle w:val="12"/>
            </w:pPr>
            <w:r>
              <w:t>可持续影响指标</w:t>
            </w:r>
          </w:p>
        </w:tc>
        <w:tc>
          <w:tcPr>
            <w:tcW w:w="2835" w:type="dxa"/>
            <w:vAlign w:val="center"/>
          </w:tcPr>
          <w:p w14:paraId="6895DC87">
            <w:pPr>
              <w:pStyle w:val="12"/>
            </w:pPr>
            <w:r>
              <w:t>学校运转得到提高</w:t>
            </w:r>
          </w:p>
        </w:tc>
        <w:tc>
          <w:tcPr>
            <w:tcW w:w="5386" w:type="dxa"/>
            <w:vAlign w:val="center"/>
          </w:tcPr>
          <w:p w14:paraId="2BC3500C">
            <w:pPr>
              <w:pStyle w:val="12"/>
            </w:pPr>
            <w:r>
              <w:t>学生受教育年限</w:t>
            </w:r>
          </w:p>
        </w:tc>
        <w:tc>
          <w:tcPr>
            <w:tcW w:w="2268" w:type="dxa"/>
            <w:vAlign w:val="center"/>
          </w:tcPr>
          <w:p w14:paraId="16AE2506">
            <w:pPr>
              <w:pStyle w:val="12"/>
            </w:pPr>
            <w:r>
              <w:t>6年</w:t>
            </w:r>
          </w:p>
        </w:tc>
        <w:tc>
          <w:tcPr>
            <w:tcW w:w="1276" w:type="dxa"/>
            <w:vAlign w:val="center"/>
          </w:tcPr>
          <w:p w14:paraId="283AC8F3">
            <w:pPr>
              <w:pStyle w:val="12"/>
            </w:pPr>
            <w:r>
              <w:t>城乡义务教育公用经费管理办法</w:t>
            </w:r>
          </w:p>
        </w:tc>
      </w:tr>
      <w:tr w14:paraId="6D7E9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AE65A">
            <w:pPr>
              <w:pStyle w:val="13"/>
            </w:pPr>
            <w:r>
              <w:t>满意度指标</w:t>
            </w:r>
          </w:p>
        </w:tc>
        <w:tc>
          <w:tcPr>
            <w:tcW w:w="2268" w:type="dxa"/>
            <w:vAlign w:val="center"/>
          </w:tcPr>
          <w:p w14:paraId="452B4BFE">
            <w:pPr>
              <w:pStyle w:val="12"/>
            </w:pPr>
            <w:r>
              <w:t>服务对象满意度指标</w:t>
            </w:r>
          </w:p>
        </w:tc>
        <w:tc>
          <w:tcPr>
            <w:tcW w:w="2835" w:type="dxa"/>
            <w:vAlign w:val="center"/>
          </w:tcPr>
          <w:p w14:paraId="4B783A37">
            <w:pPr>
              <w:pStyle w:val="12"/>
            </w:pPr>
            <w:r>
              <w:t>服务对象满意度</w:t>
            </w:r>
          </w:p>
        </w:tc>
        <w:tc>
          <w:tcPr>
            <w:tcW w:w="5386" w:type="dxa"/>
            <w:vAlign w:val="center"/>
          </w:tcPr>
          <w:p w14:paraId="04C1656E">
            <w:pPr>
              <w:pStyle w:val="12"/>
            </w:pPr>
            <w:r>
              <w:t>学校老师和学生满意度</w:t>
            </w:r>
          </w:p>
        </w:tc>
        <w:tc>
          <w:tcPr>
            <w:tcW w:w="2268" w:type="dxa"/>
            <w:vAlign w:val="center"/>
          </w:tcPr>
          <w:p w14:paraId="6BE1F1CA">
            <w:pPr>
              <w:pStyle w:val="12"/>
            </w:pPr>
            <w:r>
              <w:t>≥95%</w:t>
            </w:r>
          </w:p>
        </w:tc>
        <w:tc>
          <w:tcPr>
            <w:tcW w:w="1276" w:type="dxa"/>
            <w:vAlign w:val="center"/>
          </w:tcPr>
          <w:p w14:paraId="2797C095">
            <w:pPr>
              <w:pStyle w:val="12"/>
            </w:pPr>
            <w:r>
              <w:t>群众测评</w:t>
            </w:r>
          </w:p>
        </w:tc>
      </w:tr>
    </w:tbl>
    <w:p w14:paraId="15EBC933">
      <w:pPr>
        <w:sectPr>
          <w:pgSz w:w="16840" w:h="11900" w:orient="landscape"/>
          <w:pgMar w:top="1361" w:right="1020" w:bottom="1134" w:left="1020" w:header="720" w:footer="720" w:gutter="0"/>
          <w:cols w:space="720" w:num="1"/>
        </w:sectPr>
      </w:pPr>
    </w:p>
    <w:p w14:paraId="66B1A643">
      <w:pPr>
        <w:spacing w:before="0" w:after="0"/>
        <w:ind w:firstLine="560"/>
        <w:jc w:val="left"/>
        <w:outlineLvl w:val="9"/>
      </w:pPr>
      <w:r>
        <w:rPr>
          <w:rFonts w:ascii="方正仿宋_GBK" w:hAnsi="方正仿宋_GBK" w:eastAsia="方正仿宋_GBK" w:cs="方正仿宋_GBK"/>
          <w:b/>
          <w:color w:val="000000"/>
          <w:sz w:val="28"/>
        </w:rPr>
        <w:t>19、冀财教[2025]147号/省级/2026年义教补助经费/尹村校区东尹小学公用经费绩效目标表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02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B2560">
            <w:pPr>
              <w:pStyle w:val="11"/>
            </w:pPr>
            <w:r>
              <w:t>单位：万元</w:t>
            </w:r>
          </w:p>
        </w:tc>
      </w:tr>
      <w:tr w14:paraId="089CB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5E77B">
            <w:pPr>
              <w:pStyle w:val="10"/>
            </w:pPr>
            <w:r>
              <w:t>项目编码</w:t>
            </w:r>
          </w:p>
        </w:tc>
        <w:tc>
          <w:tcPr>
            <w:tcW w:w="5103" w:type="dxa"/>
            <w:gridSpan w:val="2"/>
            <w:vAlign w:val="center"/>
          </w:tcPr>
          <w:p w14:paraId="64DA98AE">
            <w:pPr>
              <w:pStyle w:val="12"/>
            </w:pPr>
            <w:r>
              <w:t>13052526P00000410374U</w:t>
            </w:r>
          </w:p>
        </w:tc>
        <w:tc>
          <w:tcPr>
            <w:tcW w:w="2835" w:type="dxa"/>
            <w:vAlign w:val="center"/>
          </w:tcPr>
          <w:p w14:paraId="7F1F1D3C">
            <w:pPr>
              <w:pStyle w:val="10"/>
            </w:pPr>
            <w:r>
              <w:t>项目名称</w:t>
            </w:r>
          </w:p>
        </w:tc>
        <w:tc>
          <w:tcPr>
            <w:tcW w:w="6095" w:type="dxa"/>
            <w:gridSpan w:val="3"/>
            <w:vAlign w:val="center"/>
          </w:tcPr>
          <w:p w14:paraId="4E8CD970">
            <w:pPr>
              <w:pStyle w:val="12"/>
            </w:pPr>
            <w:r>
              <w:t>冀财教[2025]147号/省级/2026年义教补助经费/尹村校区东尹小学公用经费</w:t>
            </w:r>
          </w:p>
        </w:tc>
      </w:tr>
      <w:tr w14:paraId="3FABF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F74ED">
            <w:pPr>
              <w:pStyle w:val="10"/>
            </w:pPr>
            <w:r>
              <w:t>预算规模及资金用途</w:t>
            </w:r>
          </w:p>
        </w:tc>
        <w:tc>
          <w:tcPr>
            <w:tcW w:w="2268" w:type="dxa"/>
            <w:vAlign w:val="center"/>
          </w:tcPr>
          <w:p w14:paraId="5EA0BE2C">
            <w:pPr>
              <w:pStyle w:val="10"/>
            </w:pPr>
            <w:r>
              <w:t>预算数</w:t>
            </w:r>
          </w:p>
        </w:tc>
        <w:tc>
          <w:tcPr>
            <w:tcW w:w="2835" w:type="dxa"/>
            <w:vAlign w:val="center"/>
          </w:tcPr>
          <w:p w14:paraId="455E1CB4">
            <w:pPr>
              <w:pStyle w:val="12"/>
            </w:pPr>
            <w:r>
              <w:t>5.35</w:t>
            </w:r>
          </w:p>
        </w:tc>
        <w:tc>
          <w:tcPr>
            <w:tcW w:w="2835" w:type="dxa"/>
            <w:vAlign w:val="center"/>
          </w:tcPr>
          <w:p w14:paraId="69522466">
            <w:pPr>
              <w:pStyle w:val="10"/>
            </w:pPr>
            <w:r>
              <w:t>其中：财政    资金</w:t>
            </w:r>
          </w:p>
        </w:tc>
        <w:tc>
          <w:tcPr>
            <w:tcW w:w="2551" w:type="dxa"/>
            <w:vAlign w:val="center"/>
          </w:tcPr>
          <w:p w14:paraId="41F31D12">
            <w:pPr>
              <w:pStyle w:val="12"/>
            </w:pPr>
            <w:r>
              <w:t>5.35</w:t>
            </w:r>
          </w:p>
        </w:tc>
        <w:tc>
          <w:tcPr>
            <w:tcW w:w="2268" w:type="dxa"/>
            <w:vAlign w:val="center"/>
          </w:tcPr>
          <w:p w14:paraId="07E4E7B4">
            <w:pPr>
              <w:pStyle w:val="10"/>
            </w:pPr>
            <w:r>
              <w:t>其他资金</w:t>
            </w:r>
          </w:p>
        </w:tc>
        <w:tc>
          <w:tcPr>
            <w:tcW w:w="1276" w:type="dxa"/>
            <w:vAlign w:val="center"/>
          </w:tcPr>
          <w:p w14:paraId="106EA13B">
            <w:pPr>
              <w:pStyle w:val="12"/>
            </w:pPr>
            <w:r>
              <w:t xml:space="preserve"> </w:t>
            </w:r>
          </w:p>
        </w:tc>
      </w:tr>
      <w:tr w14:paraId="3457F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18BFE"/>
        </w:tc>
        <w:tc>
          <w:tcPr>
            <w:tcW w:w="14033" w:type="dxa"/>
            <w:gridSpan w:val="6"/>
            <w:vAlign w:val="center"/>
          </w:tcPr>
          <w:p w14:paraId="1824EC76">
            <w:pPr>
              <w:pStyle w:val="12"/>
            </w:pPr>
            <w:r>
              <w:t>保障学校正常运转，完成各项教育教学活动和其他日常工作任务等方面的费用支出。</w:t>
            </w:r>
          </w:p>
        </w:tc>
      </w:tr>
      <w:tr w14:paraId="34E0C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5CA14">
            <w:pPr>
              <w:pStyle w:val="10"/>
            </w:pPr>
            <w:r>
              <w:t>资金支出计划（%）</w:t>
            </w:r>
          </w:p>
        </w:tc>
        <w:tc>
          <w:tcPr>
            <w:tcW w:w="5103" w:type="dxa"/>
            <w:gridSpan w:val="2"/>
            <w:vAlign w:val="center"/>
          </w:tcPr>
          <w:p w14:paraId="752C5492">
            <w:pPr>
              <w:pStyle w:val="10"/>
            </w:pPr>
            <w:r>
              <w:t>3月底</w:t>
            </w:r>
          </w:p>
        </w:tc>
        <w:tc>
          <w:tcPr>
            <w:tcW w:w="2835" w:type="dxa"/>
            <w:vAlign w:val="center"/>
          </w:tcPr>
          <w:p w14:paraId="0A51BCF8">
            <w:pPr>
              <w:pStyle w:val="10"/>
            </w:pPr>
            <w:r>
              <w:t>6月底</w:t>
            </w:r>
          </w:p>
        </w:tc>
        <w:tc>
          <w:tcPr>
            <w:tcW w:w="2551" w:type="dxa"/>
            <w:vAlign w:val="center"/>
          </w:tcPr>
          <w:p w14:paraId="1126A150">
            <w:pPr>
              <w:pStyle w:val="10"/>
            </w:pPr>
            <w:r>
              <w:t>10月底</w:t>
            </w:r>
          </w:p>
        </w:tc>
        <w:tc>
          <w:tcPr>
            <w:tcW w:w="3544" w:type="dxa"/>
            <w:gridSpan w:val="2"/>
            <w:vAlign w:val="center"/>
          </w:tcPr>
          <w:p w14:paraId="37BFFC9D">
            <w:pPr>
              <w:pStyle w:val="10"/>
            </w:pPr>
            <w:r>
              <w:t>12月底</w:t>
            </w:r>
          </w:p>
        </w:tc>
      </w:tr>
      <w:tr w14:paraId="1A340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E4FC1"/>
        </w:tc>
        <w:tc>
          <w:tcPr>
            <w:tcW w:w="5103" w:type="dxa"/>
            <w:gridSpan w:val="2"/>
            <w:vAlign w:val="center"/>
          </w:tcPr>
          <w:p w14:paraId="2E776D73">
            <w:pPr>
              <w:pStyle w:val="13"/>
            </w:pPr>
            <w:r>
              <w:t>25%</w:t>
            </w:r>
          </w:p>
        </w:tc>
        <w:tc>
          <w:tcPr>
            <w:tcW w:w="2835" w:type="dxa"/>
            <w:vAlign w:val="center"/>
          </w:tcPr>
          <w:p w14:paraId="4F8D1A9A">
            <w:pPr>
              <w:pStyle w:val="13"/>
            </w:pPr>
            <w:r>
              <w:t>50%</w:t>
            </w:r>
          </w:p>
        </w:tc>
        <w:tc>
          <w:tcPr>
            <w:tcW w:w="2551" w:type="dxa"/>
            <w:vAlign w:val="center"/>
          </w:tcPr>
          <w:p w14:paraId="468B3F3B">
            <w:pPr>
              <w:pStyle w:val="13"/>
            </w:pPr>
            <w:r>
              <w:t>75%</w:t>
            </w:r>
          </w:p>
        </w:tc>
        <w:tc>
          <w:tcPr>
            <w:tcW w:w="3544" w:type="dxa"/>
            <w:gridSpan w:val="2"/>
            <w:vAlign w:val="center"/>
          </w:tcPr>
          <w:p w14:paraId="29521D51">
            <w:pPr>
              <w:pStyle w:val="13"/>
            </w:pPr>
            <w:r>
              <w:t>100%</w:t>
            </w:r>
          </w:p>
        </w:tc>
      </w:tr>
      <w:tr w14:paraId="7144C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6D82C">
            <w:pPr>
              <w:pStyle w:val="10"/>
            </w:pPr>
            <w:r>
              <w:t>绩效目标</w:t>
            </w:r>
          </w:p>
        </w:tc>
        <w:tc>
          <w:tcPr>
            <w:tcW w:w="14033" w:type="dxa"/>
            <w:gridSpan w:val="6"/>
            <w:vAlign w:val="center"/>
          </w:tcPr>
          <w:p w14:paraId="4CC8FC7A">
            <w:pPr>
              <w:pStyle w:val="12"/>
            </w:pPr>
            <w:r>
              <w:t>1.按季度分批次拨付公用经费资金，资金拨付率达到100%。</w:t>
            </w:r>
          </w:p>
          <w:p w14:paraId="59374E89">
            <w:pPr>
              <w:pStyle w:val="12"/>
            </w:pPr>
            <w:r>
              <w:t>2.保障学校正常运转，完成各项教育教学活动和其他日常工作任务等方面的费用支出。</w:t>
            </w:r>
          </w:p>
        </w:tc>
      </w:tr>
    </w:tbl>
    <w:p w14:paraId="6220B3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1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75A05">
            <w:pPr>
              <w:pStyle w:val="10"/>
            </w:pPr>
            <w:r>
              <w:t>一级指标</w:t>
            </w:r>
          </w:p>
        </w:tc>
        <w:tc>
          <w:tcPr>
            <w:tcW w:w="2268" w:type="dxa"/>
            <w:vAlign w:val="center"/>
          </w:tcPr>
          <w:p w14:paraId="5C619093">
            <w:pPr>
              <w:pStyle w:val="10"/>
            </w:pPr>
            <w:r>
              <w:t>二级指标</w:t>
            </w:r>
          </w:p>
        </w:tc>
        <w:tc>
          <w:tcPr>
            <w:tcW w:w="2835" w:type="dxa"/>
            <w:vAlign w:val="center"/>
          </w:tcPr>
          <w:p w14:paraId="311F9891">
            <w:pPr>
              <w:pStyle w:val="10"/>
            </w:pPr>
            <w:r>
              <w:t>三级指标</w:t>
            </w:r>
          </w:p>
        </w:tc>
        <w:tc>
          <w:tcPr>
            <w:tcW w:w="5386" w:type="dxa"/>
            <w:vAlign w:val="center"/>
          </w:tcPr>
          <w:p w14:paraId="7944D217">
            <w:pPr>
              <w:pStyle w:val="10"/>
            </w:pPr>
            <w:r>
              <w:t>绩效指标描述</w:t>
            </w:r>
          </w:p>
        </w:tc>
        <w:tc>
          <w:tcPr>
            <w:tcW w:w="2268" w:type="dxa"/>
            <w:vAlign w:val="center"/>
          </w:tcPr>
          <w:p w14:paraId="5762CAD4">
            <w:pPr>
              <w:pStyle w:val="10"/>
            </w:pPr>
            <w:r>
              <w:t>指标值</w:t>
            </w:r>
          </w:p>
        </w:tc>
        <w:tc>
          <w:tcPr>
            <w:tcW w:w="1276" w:type="dxa"/>
            <w:vAlign w:val="center"/>
          </w:tcPr>
          <w:p w14:paraId="1EDF4BC4">
            <w:pPr>
              <w:pStyle w:val="10"/>
            </w:pPr>
            <w:r>
              <w:t>指标值确定依据</w:t>
            </w:r>
          </w:p>
        </w:tc>
      </w:tr>
      <w:tr w14:paraId="43536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B4CA3">
            <w:pPr>
              <w:pStyle w:val="13"/>
            </w:pPr>
            <w:r>
              <w:t>产出指标</w:t>
            </w:r>
          </w:p>
        </w:tc>
        <w:tc>
          <w:tcPr>
            <w:tcW w:w="2268" w:type="dxa"/>
            <w:vAlign w:val="center"/>
          </w:tcPr>
          <w:p w14:paraId="2224D8FA">
            <w:pPr>
              <w:pStyle w:val="12"/>
            </w:pPr>
            <w:r>
              <w:t>数量指标</w:t>
            </w:r>
          </w:p>
        </w:tc>
        <w:tc>
          <w:tcPr>
            <w:tcW w:w="2835" w:type="dxa"/>
            <w:vAlign w:val="center"/>
          </w:tcPr>
          <w:p w14:paraId="566E30D2">
            <w:pPr>
              <w:pStyle w:val="12"/>
            </w:pPr>
            <w:r>
              <w:t>就读学生数</w:t>
            </w:r>
          </w:p>
        </w:tc>
        <w:tc>
          <w:tcPr>
            <w:tcW w:w="5386" w:type="dxa"/>
            <w:vAlign w:val="center"/>
          </w:tcPr>
          <w:p w14:paraId="25D71D55">
            <w:pPr>
              <w:pStyle w:val="12"/>
            </w:pPr>
            <w:r>
              <w:t>辐射区域内适龄学生人数</w:t>
            </w:r>
          </w:p>
        </w:tc>
        <w:tc>
          <w:tcPr>
            <w:tcW w:w="2268" w:type="dxa"/>
            <w:vAlign w:val="center"/>
          </w:tcPr>
          <w:p w14:paraId="27DA4455">
            <w:pPr>
              <w:pStyle w:val="12"/>
            </w:pPr>
            <w:r>
              <w:t>205人</w:t>
            </w:r>
          </w:p>
        </w:tc>
        <w:tc>
          <w:tcPr>
            <w:tcW w:w="1276" w:type="dxa"/>
            <w:vAlign w:val="center"/>
          </w:tcPr>
          <w:p w14:paraId="4D5AB74D">
            <w:pPr>
              <w:pStyle w:val="12"/>
            </w:pPr>
            <w:r>
              <w:t>城乡义务教育公用经费管理办法</w:t>
            </w:r>
          </w:p>
        </w:tc>
      </w:tr>
      <w:tr w14:paraId="5205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14C61"/>
        </w:tc>
        <w:tc>
          <w:tcPr>
            <w:tcW w:w="2268" w:type="dxa"/>
            <w:vAlign w:val="center"/>
          </w:tcPr>
          <w:p w14:paraId="2E7B1127">
            <w:pPr>
              <w:pStyle w:val="12"/>
            </w:pPr>
            <w:r>
              <w:t>质量指标</w:t>
            </w:r>
          </w:p>
        </w:tc>
        <w:tc>
          <w:tcPr>
            <w:tcW w:w="2835" w:type="dxa"/>
            <w:vAlign w:val="center"/>
          </w:tcPr>
          <w:p w14:paraId="61CBBF41">
            <w:pPr>
              <w:pStyle w:val="12"/>
            </w:pPr>
            <w:r>
              <w:t>预算执行率</w:t>
            </w:r>
          </w:p>
        </w:tc>
        <w:tc>
          <w:tcPr>
            <w:tcW w:w="5386" w:type="dxa"/>
            <w:vAlign w:val="center"/>
          </w:tcPr>
          <w:p w14:paraId="0EC6E563">
            <w:pPr>
              <w:pStyle w:val="12"/>
            </w:pPr>
            <w:r>
              <w:t>预算执行率</w:t>
            </w:r>
          </w:p>
        </w:tc>
        <w:tc>
          <w:tcPr>
            <w:tcW w:w="2268" w:type="dxa"/>
            <w:vAlign w:val="center"/>
          </w:tcPr>
          <w:p w14:paraId="3F72BC25">
            <w:pPr>
              <w:pStyle w:val="12"/>
            </w:pPr>
            <w:r>
              <w:t>≥95%</w:t>
            </w:r>
          </w:p>
        </w:tc>
        <w:tc>
          <w:tcPr>
            <w:tcW w:w="1276" w:type="dxa"/>
            <w:vAlign w:val="center"/>
          </w:tcPr>
          <w:p w14:paraId="115BD786">
            <w:pPr>
              <w:pStyle w:val="12"/>
            </w:pPr>
            <w:r>
              <w:t>城乡义务教育公用经费管理办法</w:t>
            </w:r>
          </w:p>
        </w:tc>
      </w:tr>
      <w:tr w14:paraId="4831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67D6"/>
        </w:tc>
        <w:tc>
          <w:tcPr>
            <w:tcW w:w="2268" w:type="dxa"/>
            <w:vAlign w:val="center"/>
          </w:tcPr>
          <w:p w14:paraId="3D4693D7">
            <w:pPr>
              <w:pStyle w:val="12"/>
            </w:pPr>
            <w:r>
              <w:t>时效指标</w:t>
            </w:r>
          </w:p>
        </w:tc>
        <w:tc>
          <w:tcPr>
            <w:tcW w:w="2835" w:type="dxa"/>
            <w:vAlign w:val="center"/>
          </w:tcPr>
          <w:p w14:paraId="6FBF8B4E">
            <w:pPr>
              <w:pStyle w:val="12"/>
            </w:pPr>
            <w:r>
              <w:t>义教经费支付完成率</w:t>
            </w:r>
          </w:p>
        </w:tc>
        <w:tc>
          <w:tcPr>
            <w:tcW w:w="5386" w:type="dxa"/>
            <w:vAlign w:val="center"/>
          </w:tcPr>
          <w:p w14:paraId="1F9FA0D6">
            <w:pPr>
              <w:pStyle w:val="12"/>
            </w:pPr>
            <w:r>
              <w:t>按照序时进度完成资金支付</w:t>
            </w:r>
          </w:p>
        </w:tc>
        <w:tc>
          <w:tcPr>
            <w:tcW w:w="2268" w:type="dxa"/>
            <w:vAlign w:val="center"/>
          </w:tcPr>
          <w:p w14:paraId="6457B2EC">
            <w:pPr>
              <w:pStyle w:val="12"/>
            </w:pPr>
            <w:r>
              <w:t>100%</w:t>
            </w:r>
          </w:p>
        </w:tc>
        <w:tc>
          <w:tcPr>
            <w:tcW w:w="1276" w:type="dxa"/>
            <w:vAlign w:val="center"/>
          </w:tcPr>
          <w:p w14:paraId="40438871">
            <w:pPr>
              <w:pStyle w:val="12"/>
            </w:pPr>
            <w:r>
              <w:t>城乡义务教育公用经费管理办法</w:t>
            </w:r>
          </w:p>
        </w:tc>
      </w:tr>
      <w:tr w14:paraId="5B8D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D0D5"/>
        </w:tc>
        <w:tc>
          <w:tcPr>
            <w:tcW w:w="2268" w:type="dxa"/>
            <w:vAlign w:val="center"/>
          </w:tcPr>
          <w:p w14:paraId="1E0B69C3">
            <w:pPr>
              <w:pStyle w:val="12"/>
            </w:pPr>
            <w:r>
              <w:t>成本指标</w:t>
            </w:r>
          </w:p>
        </w:tc>
        <w:tc>
          <w:tcPr>
            <w:tcW w:w="2835" w:type="dxa"/>
            <w:vAlign w:val="center"/>
          </w:tcPr>
          <w:p w14:paraId="5211508D">
            <w:pPr>
              <w:pStyle w:val="12"/>
            </w:pPr>
            <w:r>
              <w:t>生均拨款标准</w:t>
            </w:r>
          </w:p>
        </w:tc>
        <w:tc>
          <w:tcPr>
            <w:tcW w:w="5386" w:type="dxa"/>
            <w:vAlign w:val="center"/>
          </w:tcPr>
          <w:p w14:paraId="36852AAA">
            <w:pPr>
              <w:pStyle w:val="12"/>
            </w:pPr>
            <w:r>
              <w:t>小学生公用经费生均公用经费基准定额为720元/年/生，取暖费120元/年/生，住宿生补助300元/年/生的标准，随班就读学生补助7000元/生/年</w:t>
            </w:r>
          </w:p>
        </w:tc>
        <w:tc>
          <w:tcPr>
            <w:tcW w:w="2268" w:type="dxa"/>
            <w:vAlign w:val="center"/>
          </w:tcPr>
          <w:p w14:paraId="5094C63D">
            <w:pPr>
              <w:pStyle w:val="12"/>
            </w:pPr>
            <w:r>
              <w:t>840元</w:t>
            </w:r>
          </w:p>
        </w:tc>
        <w:tc>
          <w:tcPr>
            <w:tcW w:w="1276" w:type="dxa"/>
            <w:vAlign w:val="center"/>
          </w:tcPr>
          <w:p w14:paraId="79A67799">
            <w:pPr>
              <w:pStyle w:val="12"/>
            </w:pPr>
            <w:r>
              <w:t>城乡义务教育公用经费管理办法</w:t>
            </w:r>
          </w:p>
        </w:tc>
      </w:tr>
      <w:tr w14:paraId="1AA1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26885">
            <w:pPr>
              <w:pStyle w:val="13"/>
            </w:pPr>
            <w:r>
              <w:t>效益指标</w:t>
            </w:r>
          </w:p>
        </w:tc>
        <w:tc>
          <w:tcPr>
            <w:tcW w:w="2268" w:type="dxa"/>
            <w:vAlign w:val="center"/>
          </w:tcPr>
          <w:p w14:paraId="15AEDB73">
            <w:pPr>
              <w:pStyle w:val="12"/>
            </w:pPr>
            <w:r>
              <w:t>可持续影响指标</w:t>
            </w:r>
          </w:p>
        </w:tc>
        <w:tc>
          <w:tcPr>
            <w:tcW w:w="2835" w:type="dxa"/>
            <w:vAlign w:val="center"/>
          </w:tcPr>
          <w:p w14:paraId="1786516A">
            <w:pPr>
              <w:pStyle w:val="12"/>
            </w:pPr>
            <w:r>
              <w:t>学校运转得到提高</w:t>
            </w:r>
          </w:p>
        </w:tc>
        <w:tc>
          <w:tcPr>
            <w:tcW w:w="5386" w:type="dxa"/>
            <w:vAlign w:val="center"/>
          </w:tcPr>
          <w:p w14:paraId="74D14C7E">
            <w:pPr>
              <w:pStyle w:val="12"/>
            </w:pPr>
            <w:r>
              <w:t>学生受教育年限</w:t>
            </w:r>
          </w:p>
        </w:tc>
        <w:tc>
          <w:tcPr>
            <w:tcW w:w="2268" w:type="dxa"/>
            <w:vAlign w:val="center"/>
          </w:tcPr>
          <w:p w14:paraId="0A4129E6">
            <w:pPr>
              <w:pStyle w:val="12"/>
            </w:pPr>
            <w:r>
              <w:t>6年</w:t>
            </w:r>
          </w:p>
        </w:tc>
        <w:tc>
          <w:tcPr>
            <w:tcW w:w="1276" w:type="dxa"/>
            <w:vAlign w:val="center"/>
          </w:tcPr>
          <w:p w14:paraId="098A0747">
            <w:pPr>
              <w:pStyle w:val="12"/>
            </w:pPr>
            <w:r>
              <w:t>城乡义务教育公用经费管理办法</w:t>
            </w:r>
          </w:p>
        </w:tc>
      </w:tr>
      <w:tr w14:paraId="32E2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1AA07">
            <w:pPr>
              <w:pStyle w:val="13"/>
            </w:pPr>
            <w:r>
              <w:t>满意度指标</w:t>
            </w:r>
          </w:p>
        </w:tc>
        <w:tc>
          <w:tcPr>
            <w:tcW w:w="2268" w:type="dxa"/>
            <w:vAlign w:val="center"/>
          </w:tcPr>
          <w:p w14:paraId="4268924F">
            <w:pPr>
              <w:pStyle w:val="12"/>
            </w:pPr>
            <w:r>
              <w:t>服务对象满意度指标</w:t>
            </w:r>
          </w:p>
        </w:tc>
        <w:tc>
          <w:tcPr>
            <w:tcW w:w="2835" w:type="dxa"/>
            <w:vAlign w:val="center"/>
          </w:tcPr>
          <w:p w14:paraId="66F784DF">
            <w:pPr>
              <w:pStyle w:val="12"/>
            </w:pPr>
            <w:r>
              <w:t>服务对象满意度</w:t>
            </w:r>
          </w:p>
        </w:tc>
        <w:tc>
          <w:tcPr>
            <w:tcW w:w="5386" w:type="dxa"/>
            <w:vAlign w:val="center"/>
          </w:tcPr>
          <w:p w14:paraId="5DEEFA3B">
            <w:pPr>
              <w:pStyle w:val="12"/>
            </w:pPr>
            <w:r>
              <w:t>学校老师和学生满意度</w:t>
            </w:r>
          </w:p>
        </w:tc>
        <w:tc>
          <w:tcPr>
            <w:tcW w:w="2268" w:type="dxa"/>
            <w:vAlign w:val="center"/>
          </w:tcPr>
          <w:p w14:paraId="5CD98FDF">
            <w:pPr>
              <w:pStyle w:val="12"/>
            </w:pPr>
            <w:r>
              <w:t>≥95%</w:t>
            </w:r>
          </w:p>
        </w:tc>
        <w:tc>
          <w:tcPr>
            <w:tcW w:w="1276" w:type="dxa"/>
            <w:vAlign w:val="center"/>
          </w:tcPr>
          <w:p w14:paraId="1199F219">
            <w:pPr>
              <w:pStyle w:val="12"/>
            </w:pPr>
            <w:r>
              <w:t>群众测评</w:t>
            </w:r>
          </w:p>
        </w:tc>
      </w:tr>
    </w:tbl>
    <w:p w14:paraId="30991A40">
      <w:pPr>
        <w:sectPr>
          <w:pgSz w:w="16840" w:h="11900" w:orient="landscape"/>
          <w:pgMar w:top="1361" w:right="1020" w:bottom="1134" w:left="1020" w:header="720" w:footer="720" w:gutter="0"/>
          <w:cols w:space="720" w:num="1"/>
        </w:sectPr>
      </w:pPr>
    </w:p>
    <w:p w14:paraId="6D44605B">
      <w:pPr>
        <w:spacing w:before="0" w:after="0"/>
        <w:ind w:firstLine="560"/>
        <w:jc w:val="left"/>
        <w:outlineLvl w:val="9"/>
      </w:pPr>
      <w:r>
        <w:rPr>
          <w:rFonts w:ascii="方正仿宋_GBK" w:hAnsi="方正仿宋_GBK" w:eastAsia="方正仿宋_GBK" w:cs="方正仿宋_GBK"/>
          <w:b/>
          <w:color w:val="000000"/>
          <w:sz w:val="28"/>
        </w:rPr>
        <w:t>20、冀财教[2025]147号/省级/2026年义教补助经费/尹村校区良村小学公用经费绩效目标表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64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824AB">
            <w:pPr>
              <w:pStyle w:val="11"/>
            </w:pPr>
            <w:r>
              <w:t>单位：万元</w:t>
            </w:r>
          </w:p>
        </w:tc>
      </w:tr>
      <w:tr w14:paraId="3FF32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FD829">
            <w:pPr>
              <w:pStyle w:val="10"/>
            </w:pPr>
            <w:r>
              <w:t>项目编码</w:t>
            </w:r>
          </w:p>
        </w:tc>
        <w:tc>
          <w:tcPr>
            <w:tcW w:w="5103" w:type="dxa"/>
            <w:gridSpan w:val="2"/>
            <w:vAlign w:val="center"/>
          </w:tcPr>
          <w:p w14:paraId="64F3CEA0">
            <w:pPr>
              <w:pStyle w:val="12"/>
            </w:pPr>
            <w:r>
              <w:t>13052526P00000410378A</w:t>
            </w:r>
          </w:p>
        </w:tc>
        <w:tc>
          <w:tcPr>
            <w:tcW w:w="2835" w:type="dxa"/>
            <w:vAlign w:val="center"/>
          </w:tcPr>
          <w:p w14:paraId="717E4D9C">
            <w:pPr>
              <w:pStyle w:val="10"/>
            </w:pPr>
            <w:r>
              <w:t>项目名称</w:t>
            </w:r>
          </w:p>
        </w:tc>
        <w:tc>
          <w:tcPr>
            <w:tcW w:w="6095" w:type="dxa"/>
            <w:gridSpan w:val="3"/>
            <w:vAlign w:val="center"/>
          </w:tcPr>
          <w:p w14:paraId="2C6EA59E">
            <w:pPr>
              <w:pStyle w:val="12"/>
            </w:pPr>
            <w:r>
              <w:t>冀财教[2025]147号/省级/2026年义教补助经费/尹村校区良村小学公用经费</w:t>
            </w:r>
          </w:p>
        </w:tc>
      </w:tr>
      <w:tr w14:paraId="2EB45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23773">
            <w:pPr>
              <w:pStyle w:val="10"/>
            </w:pPr>
            <w:r>
              <w:t>预算规模及资金用途</w:t>
            </w:r>
          </w:p>
        </w:tc>
        <w:tc>
          <w:tcPr>
            <w:tcW w:w="2268" w:type="dxa"/>
            <w:vAlign w:val="center"/>
          </w:tcPr>
          <w:p w14:paraId="0126E95A">
            <w:pPr>
              <w:pStyle w:val="10"/>
            </w:pPr>
            <w:r>
              <w:t>预算数</w:t>
            </w:r>
          </w:p>
        </w:tc>
        <w:tc>
          <w:tcPr>
            <w:tcW w:w="2835" w:type="dxa"/>
            <w:vAlign w:val="center"/>
          </w:tcPr>
          <w:p w14:paraId="666CB262">
            <w:pPr>
              <w:pStyle w:val="12"/>
            </w:pPr>
            <w:r>
              <w:t>3.31</w:t>
            </w:r>
          </w:p>
        </w:tc>
        <w:tc>
          <w:tcPr>
            <w:tcW w:w="2835" w:type="dxa"/>
            <w:vAlign w:val="center"/>
          </w:tcPr>
          <w:p w14:paraId="23A55CFF">
            <w:pPr>
              <w:pStyle w:val="10"/>
            </w:pPr>
            <w:r>
              <w:t>其中：财政    资金</w:t>
            </w:r>
          </w:p>
        </w:tc>
        <w:tc>
          <w:tcPr>
            <w:tcW w:w="2551" w:type="dxa"/>
            <w:vAlign w:val="center"/>
          </w:tcPr>
          <w:p w14:paraId="185F8699">
            <w:pPr>
              <w:pStyle w:val="12"/>
            </w:pPr>
            <w:r>
              <w:t>3.31</w:t>
            </w:r>
          </w:p>
        </w:tc>
        <w:tc>
          <w:tcPr>
            <w:tcW w:w="2268" w:type="dxa"/>
            <w:vAlign w:val="center"/>
          </w:tcPr>
          <w:p w14:paraId="47B5AEB1">
            <w:pPr>
              <w:pStyle w:val="10"/>
            </w:pPr>
            <w:r>
              <w:t>其他资金</w:t>
            </w:r>
          </w:p>
        </w:tc>
        <w:tc>
          <w:tcPr>
            <w:tcW w:w="1276" w:type="dxa"/>
            <w:vAlign w:val="center"/>
          </w:tcPr>
          <w:p w14:paraId="7AC1FE69">
            <w:pPr>
              <w:pStyle w:val="12"/>
            </w:pPr>
            <w:r>
              <w:t xml:space="preserve"> </w:t>
            </w:r>
          </w:p>
        </w:tc>
      </w:tr>
      <w:tr w14:paraId="5B5D0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3DD01"/>
        </w:tc>
        <w:tc>
          <w:tcPr>
            <w:tcW w:w="14033" w:type="dxa"/>
            <w:gridSpan w:val="6"/>
            <w:vAlign w:val="center"/>
          </w:tcPr>
          <w:p w14:paraId="469C7DAE">
            <w:pPr>
              <w:pStyle w:val="12"/>
            </w:pPr>
            <w:r>
              <w:t>保障学校正常运转，完成各项教育教学活动和其他日常工作任务等方面的费用支出。</w:t>
            </w:r>
          </w:p>
        </w:tc>
      </w:tr>
      <w:tr w14:paraId="391D3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40931">
            <w:pPr>
              <w:pStyle w:val="10"/>
            </w:pPr>
            <w:r>
              <w:t>资金支出计划（%）</w:t>
            </w:r>
          </w:p>
        </w:tc>
        <w:tc>
          <w:tcPr>
            <w:tcW w:w="5103" w:type="dxa"/>
            <w:gridSpan w:val="2"/>
            <w:vAlign w:val="center"/>
          </w:tcPr>
          <w:p w14:paraId="066F7BF9">
            <w:pPr>
              <w:pStyle w:val="10"/>
            </w:pPr>
            <w:r>
              <w:t>3月底</w:t>
            </w:r>
          </w:p>
        </w:tc>
        <w:tc>
          <w:tcPr>
            <w:tcW w:w="2835" w:type="dxa"/>
            <w:vAlign w:val="center"/>
          </w:tcPr>
          <w:p w14:paraId="3A141CD9">
            <w:pPr>
              <w:pStyle w:val="10"/>
            </w:pPr>
            <w:r>
              <w:t>6月底</w:t>
            </w:r>
          </w:p>
        </w:tc>
        <w:tc>
          <w:tcPr>
            <w:tcW w:w="2551" w:type="dxa"/>
            <w:vAlign w:val="center"/>
          </w:tcPr>
          <w:p w14:paraId="37BB0129">
            <w:pPr>
              <w:pStyle w:val="10"/>
            </w:pPr>
            <w:r>
              <w:t>10月底</w:t>
            </w:r>
          </w:p>
        </w:tc>
        <w:tc>
          <w:tcPr>
            <w:tcW w:w="3544" w:type="dxa"/>
            <w:gridSpan w:val="2"/>
            <w:vAlign w:val="center"/>
          </w:tcPr>
          <w:p w14:paraId="26933F64">
            <w:pPr>
              <w:pStyle w:val="10"/>
            </w:pPr>
            <w:r>
              <w:t>12月底</w:t>
            </w:r>
          </w:p>
        </w:tc>
      </w:tr>
      <w:tr w14:paraId="79E9D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7A0E6"/>
        </w:tc>
        <w:tc>
          <w:tcPr>
            <w:tcW w:w="5103" w:type="dxa"/>
            <w:gridSpan w:val="2"/>
            <w:vAlign w:val="center"/>
          </w:tcPr>
          <w:p w14:paraId="36855229">
            <w:pPr>
              <w:pStyle w:val="13"/>
            </w:pPr>
            <w:r>
              <w:t>25%</w:t>
            </w:r>
          </w:p>
        </w:tc>
        <w:tc>
          <w:tcPr>
            <w:tcW w:w="2835" w:type="dxa"/>
            <w:vAlign w:val="center"/>
          </w:tcPr>
          <w:p w14:paraId="2EBA3165">
            <w:pPr>
              <w:pStyle w:val="13"/>
            </w:pPr>
            <w:r>
              <w:t>50%</w:t>
            </w:r>
          </w:p>
        </w:tc>
        <w:tc>
          <w:tcPr>
            <w:tcW w:w="2551" w:type="dxa"/>
            <w:vAlign w:val="center"/>
          </w:tcPr>
          <w:p w14:paraId="3244861F">
            <w:pPr>
              <w:pStyle w:val="13"/>
            </w:pPr>
            <w:r>
              <w:t>75%</w:t>
            </w:r>
          </w:p>
        </w:tc>
        <w:tc>
          <w:tcPr>
            <w:tcW w:w="3544" w:type="dxa"/>
            <w:gridSpan w:val="2"/>
            <w:vAlign w:val="center"/>
          </w:tcPr>
          <w:p w14:paraId="52241096">
            <w:pPr>
              <w:pStyle w:val="13"/>
            </w:pPr>
            <w:r>
              <w:t>100%</w:t>
            </w:r>
          </w:p>
        </w:tc>
      </w:tr>
      <w:tr w14:paraId="194CD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7EDFF">
            <w:pPr>
              <w:pStyle w:val="10"/>
            </w:pPr>
            <w:r>
              <w:t>绩效目标</w:t>
            </w:r>
          </w:p>
        </w:tc>
        <w:tc>
          <w:tcPr>
            <w:tcW w:w="14033" w:type="dxa"/>
            <w:gridSpan w:val="6"/>
            <w:vAlign w:val="center"/>
          </w:tcPr>
          <w:p w14:paraId="656FAB03">
            <w:pPr>
              <w:pStyle w:val="12"/>
            </w:pPr>
            <w:r>
              <w:t>1.按季度分批次拨付公用经费资金，资金拨付率达到100%。</w:t>
            </w:r>
          </w:p>
          <w:p w14:paraId="60FA2D79">
            <w:pPr>
              <w:pStyle w:val="12"/>
            </w:pPr>
            <w:r>
              <w:t>2.保障学校正常运转，完成各项教育教学活动和其他日常工作任务等方面的费用支出。</w:t>
            </w:r>
          </w:p>
        </w:tc>
      </w:tr>
    </w:tbl>
    <w:p w14:paraId="1811EC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6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37A55">
            <w:pPr>
              <w:pStyle w:val="10"/>
            </w:pPr>
            <w:r>
              <w:t>一级指标</w:t>
            </w:r>
          </w:p>
        </w:tc>
        <w:tc>
          <w:tcPr>
            <w:tcW w:w="2268" w:type="dxa"/>
            <w:vAlign w:val="center"/>
          </w:tcPr>
          <w:p w14:paraId="5B04EBCA">
            <w:pPr>
              <w:pStyle w:val="10"/>
            </w:pPr>
            <w:r>
              <w:t>二级指标</w:t>
            </w:r>
          </w:p>
        </w:tc>
        <w:tc>
          <w:tcPr>
            <w:tcW w:w="2835" w:type="dxa"/>
            <w:vAlign w:val="center"/>
          </w:tcPr>
          <w:p w14:paraId="694DD730">
            <w:pPr>
              <w:pStyle w:val="10"/>
            </w:pPr>
            <w:r>
              <w:t>三级指标</w:t>
            </w:r>
          </w:p>
        </w:tc>
        <w:tc>
          <w:tcPr>
            <w:tcW w:w="5386" w:type="dxa"/>
            <w:vAlign w:val="center"/>
          </w:tcPr>
          <w:p w14:paraId="4B055B6A">
            <w:pPr>
              <w:pStyle w:val="10"/>
            </w:pPr>
            <w:r>
              <w:t>绩效指标描述</w:t>
            </w:r>
          </w:p>
        </w:tc>
        <w:tc>
          <w:tcPr>
            <w:tcW w:w="2268" w:type="dxa"/>
            <w:vAlign w:val="center"/>
          </w:tcPr>
          <w:p w14:paraId="51E78989">
            <w:pPr>
              <w:pStyle w:val="10"/>
            </w:pPr>
            <w:r>
              <w:t>指标值</w:t>
            </w:r>
          </w:p>
        </w:tc>
        <w:tc>
          <w:tcPr>
            <w:tcW w:w="1276" w:type="dxa"/>
            <w:vAlign w:val="center"/>
          </w:tcPr>
          <w:p w14:paraId="0D8889EB">
            <w:pPr>
              <w:pStyle w:val="10"/>
            </w:pPr>
            <w:r>
              <w:t>指标值确定依据</w:t>
            </w:r>
          </w:p>
        </w:tc>
      </w:tr>
      <w:tr w14:paraId="4D61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B2D92">
            <w:pPr>
              <w:pStyle w:val="13"/>
            </w:pPr>
            <w:r>
              <w:t>产出指标</w:t>
            </w:r>
          </w:p>
        </w:tc>
        <w:tc>
          <w:tcPr>
            <w:tcW w:w="2268" w:type="dxa"/>
            <w:vAlign w:val="center"/>
          </w:tcPr>
          <w:p w14:paraId="42BF3726">
            <w:pPr>
              <w:pStyle w:val="12"/>
            </w:pPr>
            <w:r>
              <w:t>数量指标</w:t>
            </w:r>
          </w:p>
        </w:tc>
        <w:tc>
          <w:tcPr>
            <w:tcW w:w="2835" w:type="dxa"/>
            <w:vAlign w:val="center"/>
          </w:tcPr>
          <w:p w14:paraId="1ACD7847">
            <w:pPr>
              <w:pStyle w:val="12"/>
            </w:pPr>
            <w:r>
              <w:t>就读学生数</w:t>
            </w:r>
          </w:p>
        </w:tc>
        <w:tc>
          <w:tcPr>
            <w:tcW w:w="5386" w:type="dxa"/>
            <w:vAlign w:val="center"/>
          </w:tcPr>
          <w:p w14:paraId="082F67DD">
            <w:pPr>
              <w:pStyle w:val="12"/>
            </w:pPr>
            <w:r>
              <w:t>辐射区域内适龄学生人数</w:t>
            </w:r>
          </w:p>
        </w:tc>
        <w:tc>
          <w:tcPr>
            <w:tcW w:w="2268" w:type="dxa"/>
            <w:vAlign w:val="center"/>
          </w:tcPr>
          <w:p w14:paraId="3E294908">
            <w:pPr>
              <w:pStyle w:val="12"/>
            </w:pPr>
            <w:r>
              <w:t>105人</w:t>
            </w:r>
          </w:p>
        </w:tc>
        <w:tc>
          <w:tcPr>
            <w:tcW w:w="1276" w:type="dxa"/>
            <w:vAlign w:val="center"/>
          </w:tcPr>
          <w:p w14:paraId="4725926B">
            <w:pPr>
              <w:pStyle w:val="12"/>
            </w:pPr>
            <w:r>
              <w:t>城乡义务教育公用经费管理办法</w:t>
            </w:r>
          </w:p>
        </w:tc>
      </w:tr>
      <w:tr w14:paraId="736C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7745D"/>
        </w:tc>
        <w:tc>
          <w:tcPr>
            <w:tcW w:w="2268" w:type="dxa"/>
            <w:vAlign w:val="center"/>
          </w:tcPr>
          <w:p w14:paraId="5F6A29C5">
            <w:pPr>
              <w:pStyle w:val="12"/>
            </w:pPr>
            <w:r>
              <w:t>质量指标</w:t>
            </w:r>
          </w:p>
        </w:tc>
        <w:tc>
          <w:tcPr>
            <w:tcW w:w="2835" w:type="dxa"/>
            <w:vAlign w:val="center"/>
          </w:tcPr>
          <w:p w14:paraId="54452408">
            <w:pPr>
              <w:pStyle w:val="12"/>
            </w:pPr>
            <w:r>
              <w:t>预算执行率</w:t>
            </w:r>
          </w:p>
        </w:tc>
        <w:tc>
          <w:tcPr>
            <w:tcW w:w="5386" w:type="dxa"/>
            <w:vAlign w:val="center"/>
          </w:tcPr>
          <w:p w14:paraId="67AE48C9">
            <w:pPr>
              <w:pStyle w:val="12"/>
            </w:pPr>
            <w:r>
              <w:t>预算执行率</w:t>
            </w:r>
          </w:p>
        </w:tc>
        <w:tc>
          <w:tcPr>
            <w:tcW w:w="2268" w:type="dxa"/>
            <w:vAlign w:val="center"/>
          </w:tcPr>
          <w:p w14:paraId="06D7D2F7">
            <w:pPr>
              <w:pStyle w:val="12"/>
            </w:pPr>
            <w:r>
              <w:t>≥95%</w:t>
            </w:r>
          </w:p>
        </w:tc>
        <w:tc>
          <w:tcPr>
            <w:tcW w:w="1276" w:type="dxa"/>
            <w:vAlign w:val="center"/>
          </w:tcPr>
          <w:p w14:paraId="5210257D">
            <w:pPr>
              <w:pStyle w:val="12"/>
            </w:pPr>
            <w:r>
              <w:t>城乡义务教育公用经费管理办法</w:t>
            </w:r>
          </w:p>
        </w:tc>
      </w:tr>
      <w:tr w14:paraId="76E0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C87D8"/>
        </w:tc>
        <w:tc>
          <w:tcPr>
            <w:tcW w:w="2268" w:type="dxa"/>
            <w:vAlign w:val="center"/>
          </w:tcPr>
          <w:p w14:paraId="25BB74F1">
            <w:pPr>
              <w:pStyle w:val="12"/>
            </w:pPr>
            <w:r>
              <w:t>时效指标</w:t>
            </w:r>
          </w:p>
        </w:tc>
        <w:tc>
          <w:tcPr>
            <w:tcW w:w="2835" w:type="dxa"/>
            <w:vAlign w:val="center"/>
          </w:tcPr>
          <w:p w14:paraId="49C9FACA">
            <w:pPr>
              <w:pStyle w:val="12"/>
            </w:pPr>
            <w:r>
              <w:t>义教经费支付完成率</w:t>
            </w:r>
          </w:p>
        </w:tc>
        <w:tc>
          <w:tcPr>
            <w:tcW w:w="5386" w:type="dxa"/>
            <w:vAlign w:val="center"/>
          </w:tcPr>
          <w:p w14:paraId="5C90EF73">
            <w:pPr>
              <w:pStyle w:val="12"/>
            </w:pPr>
            <w:r>
              <w:t>按照序时进度完成资金支付</w:t>
            </w:r>
          </w:p>
        </w:tc>
        <w:tc>
          <w:tcPr>
            <w:tcW w:w="2268" w:type="dxa"/>
            <w:vAlign w:val="center"/>
          </w:tcPr>
          <w:p w14:paraId="488EBAB2">
            <w:pPr>
              <w:pStyle w:val="12"/>
            </w:pPr>
            <w:r>
              <w:t>100%</w:t>
            </w:r>
          </w:p>
        </w:tc>
        <w:tc>
          <w:tcPr>
            <w:tcW w:w="1276" w:type="dxa"/>
            <w:vAlign w:val="center"/>
          </w:tcPr>
          <w:p w14:paraId="03FFD831">
            <w:pPr>
              <w:pStyle w:val="12"/>
            </w:pPr>
            <w:r>
              <w:t>城乡义务教育公用经费管理办法</w:t>
            </w:r>
          </w:p>
        </w:tc>
      </w:tr>
      <w:tr w14:paraId="0605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98D68"/>
        </w:tc>
        <w:tc>
          <w:tcPr>
            <w:tcW w:w="2268" w:type="dxa"/>
            <w:vAlign w:val="center"/>
          </w:tcPr>
          <w:p w14:paraId="23026C54">
            <w:pPr>
              <w:pStyle w:val="12"/>
            </w:pPr>
            <w:r>
              <w:t>成本指标</w:t>
            </w:r>
          </w:p>
        </w:tc>
        <w:tc>
          <w:tcPr>
            <w:tcW w:w="2835" w:type="dxa"/>
            <w:vAlign w:val="center"/>
          </w:tcPr>
          <w:p w14:paraId="464E56FE">
            <w:pPr>
              <w:pStyle w:val="12"/>
            </w:pPr>
            <w:r>
              <w:t>生均拨款标准</w:t>
            </w:r>
          </w:p>
        </w:tc>
        <w:tc>
          <w:tcPr>
            <w:tcW w:w="5386" w:type="dxa"/>
            <w:vAlign w:val="center"/>
          </w:tcPr>
          <w:p w14:paraId="551131A3">
            <w:pPr>
              <w:pStyle w:val="12"/>
            </w:pPr>
            <w:r>
              <w:t>小学生公用经费生均公用经费基准定额为720元/年/生，取暖费120元/年/生，住宿生补助300元/年/生的标准，随班就读学生补助7000元/生/年</w:t>
            </w:r>
          </w:p>
        </w:tc>
        <w:tc>
          <w:tcPr>
            <w:tcW w:w="2268" w:type="dxa"/>
            <w:vAlign w:val="center"/>
          </w:tcPr>
          <w:p w14:paraId="4A589AFD">
            <w:pPr>
              <w:pStyle w:val="12"/>
            </w:pPr>
            <w:r>
              <w:t>840元</w:t>
            </w:r>
          </w:p>
        </w:tc>
        <w:tc>
          <w:tcPr>
            <w:tcW w:w="1276" w:type="dxa"/>
            <w:vAlign w:val="center"/>
          </w:tcPr>
          <w:p w14:paraId="159FE329">
            <w:pPr>
              <w:pStyle w:val="12"/>
            </w:pPr>
            <w:r>
              <w:t>城乡义务教育公用经费管理办法</w:t>
            </w:r>
          </w:p>
        </w:tc>
      </w:tr>
      <w:tr w14:paraId="2BC3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76FC6">
            <w:pPr>
              <w:pStyle w:val="13"/>
            </w:pPr>
            <w:r>
              <w:t>效益指标</w:t>
            </w:r>
          </w:p>
        </w:tc>
        <w:tc>
          <w:tcPr>
            <w:tcW w:w="2268" w:type="dxa"/>
            <w:vAlign w:val="center"/>
          </w:tcPr>
          <w:p w14:paraId="1694C14C">
            <w:pPr>
              <w:pStyle w:val="12"/>
            </w:pPr>
            <w:r>
              <w:t>社会效益指标</w:t>
            </w:r>
          </w:p>
        </w:tc>
        <w:tc>
          <w:tcPr>
            <w:tcW w:w="2835" w:type="dxa"/>
            <w:vAlign w:val="center"/>
          </w:tcPr>
          <w:p w14:paraId="6BB3E8B5">
            <w:pPr>
              <w:pStyle w:val="12"/>
            </w:pPr>
            <w:r>
              <w:t>学校运转得到提高</w:t>
            </w:r>
          </w:p>
        </w:tc>
        <w:tc>
          <w:tcPr>
            <w:tcW w:w="5386" w:type="dxa"/>
            <w:vAlign w:val="center"/>
          </w:tcPr>
          <w:p w14:paraId="28F0D7F2">
            <w:pPr>
              <w:pStyle w:val="12"/>
            </w:pPr>
            <w:r>
              <w:t>学生受教育年限</w:t>
            </w:r>
          </w:p>
        </w:tc>
        <w:tc>
          <w:tcPr>
            <w:tcW w:w="2268" w:type="dxa"/>
            <w:vAlign w:val="center"/>
          </w:tcPr>
          <w:p w14:paraId="668D8846">
            <w:pPr>
              <w:pStyle w:val="12"/>
            </w:pPr>
            <w:r>
              <w:t>6年</w:t>
            </w:r>
          </w:p>
        </w:tc>
        <w:tc>
          <w:tcPr>
            <w:tcW w:w="1276" w:type="dxa"/>
            <w:vAlign w:val="center"/>
          </w:tcPr>
          <w:p w14:paraId="5C342870">
            <w:pPr>
              <w:pStyle w:val="12"/>
            </w:pPr>
            <w:r>
              <w:t>城乡义务教育公用经费管理办法</w:t>
            </w:r>
          </w:p>
        </w:tc>
      </w:tr>
      <w:tr w14:paraId="5E08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ACD25">
            <w:pPr>
              <w:pStyle w:val="13"/>
            </w:pPr>
            <w:r>
              <w:t>满意度指标</w:t>
            </w:r>
          </w:p>
        </w:tc>
        <w:tc>
          <w:tcPr>
            <w:tcW w:w="2268" w:type="dxa"/>
            <w:vAlign w:val="center"/>
          </w:tcPr>
          <w:p w14:paraId="44F8B0CA">
            <w:pPr>
              <w:pStyle w:val="12"/>
            </w:pPr>
            <w:r>
              <w:t>服务对象满意度指标</w:t>
            </w:r>
          </w:p>
        </w:tc>
        <w:tc>
          <w:tcPr>
            <w:tcW w:w="2835" w:type="dxa"/>
            <w:vAlign w:val="center"/>
          </w:tcPr>
          <w:p w14:paraId="11657083">
            <w:pPr>
              <w:pStyle w:val="12"/>
            </w:pPr>
            <w:r>
              <w:t>服务对象满意度</w:t>
            </w:r>
          </w:p>
        </w:tc>
        <w:tc>
          <w:tcPr>
            <w:tcW w:w="5386" w:type="dxa"/>
            <w:vAlign w:val="center"/>
          </w:tcPr>
          <w:p w14:paraId="5AE3CE1D">
            <w:pPr>
              <w:pStyle w:val="12"/>
            </w:pPr>
            <w:r>
              <w:t>学校老师和学生满意度</w:t>
            </w:r>
          </w:p>
        </w:tc>
        <w:tc>
          <w:tcPr>
            <w:tcW w:w="2268" w:type="dxa"/>
            <w:vAlign w:val="center"/>
          </w:tcPr>
          <w:p w14:paraId="320F220C">
            <w:pPr>
              <w:pStyle w:val="12"/>
            </w:pPr>
            <w:r>
              <w:t>≥95%</w:t>
            </w:r>
          </w:p>
        </w:tc>
        <w:tc>
          <w:tcPr>
            <w:tcW w:w="1276" w:type="dxa"/>
            <w:vAlign w:val="center"/>
          </w:tcPr>
          <w:p w14:paraId="76852F81">
            <w:pPr>
              <w:pStyle w:val="12"/>
            </w:pPr>
            <w:r>
              <w:t>群众测评</w:t>
            </w:r>
          </w:p>
        </w:tc>
      </w:tr>
    </w:tbl>
    <w:p w14:paraId="0C3AF30F">
      <w:pPr>
        <w:sectPr>
          <w:pgSz w:w="16840" w:h="11900" w:orient="landscape"/>
          <w:pgMar w:top="1361" w:right="1020" w:bottom="1134" w:left="1020" w:header="720" w:footer="720" w:gutter="0"/>
          <w:cols w:space="720" w:num="1"/>
        </w:sectPr>
      </w:pPr>
    </w:p>
    <w:p w14:paraId="562D1CA7">
      <w:pPr>
        <w:spacing w:before="0" w:after="0"/>
        <w:ind w:firstLine="560"/>
        <w:jc w:val="left"/>
        <w:outlineLvl w:val="9"/>
      </w:pPr>
      <w:r>
        <w:rPr>
          <w:rFonts w:ascii="方正仿宋_GBK" w:hAnsi="方正仿宋_GBK" w:eastAsia="方正仿宋_GBK" w:cs="方正仿宋_GBK"/>
          <w:b/>
          <w:color w:val="000000"/>
          <w:sz w:val="28"/>
        </w:rPr>
        <w:t>21、冀财教[2025]147号/省级/2026年义教补助经费/尹村校区西尹小学公用经费绩效目标表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85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D9B75">
            <w:pPr>
              <w:pStyle w:val="11"/>
            </w:pPr>
            <w:r>
              <w:t>单位：万元</w:t>
            </w:r>
          </w:p>
        </w:tc>
      </w:tr>
      <w:tr w14:paraId="5D2BF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9F152">
            <w:pPr>
              <w:pStyle w:val="10"/>
            </w:pPr>
            <w:r>
              <w:t>项目编码</w:t>
            </w:r>
          </w:p>
        </w:tc>
        <w:tc>
          <w:tcPr>
            <w:tcW w:w="5103" w:type="dxa"/>
            <w:gridSpan w:val="2"/>
            <w:vAlign w:val="center"/>
          </w:tcPr>
          <w:p w14:paraId="4591F08D">
            <w:pPr>
              <w:pStyle w:val="12"/>
            </w:pPr>
            <w:r>
              <w:t>13052526P000004103738</w:t>
            </w:r>
          </w:p>
        </w:tc>
        <w:tc>
          <w:tcPr>
            <w:tcW w:w="2835" w:type="dxa"/>
            <w:vAlign w:val="center"/>
          </w:tcPr>
          <w:p w14:paraId="6A0EE6D1">
            <w:pPr>
              <w:pStyle w:val="10"/>
            </w:pPr>
            <w:r>
              <w:t>项目名称</w:t>
            </w:r>
          </w:p>
        </w:tc>
        <w:tc>
          <w:tcPr>
            <w:tcW w:w="6095" w:type="dxa"/>
            <w:gridSpan w:val="3"/>
            <w:vAlign w:val="center"/>
          </w:tcPr>
          <w:p w14:paraId="07B6BD71">
            <w:pPr>
              <w:pStyle w:val="12"/>
            </w:pPr>
            <w:r>
              <w:t>冀财教[2025]147号/省级/2026年义教补助经费/尹村校区西尹小学公用经费</w:t>
            </w:r>
          </w:p>
        </w:tc>
      </w:tr>
      <w:tr w14:paraId="5C354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86ED9">
            <w:pPr>
              <w:pStyle w:val="10"/>
            </w:pPr>
            <w:r>
              <w:t>预算规模及资金用途</w:t>
            </w:r>
          </w:p>
        </w:tc>
        <w:tc>
          <w:tcPr>
            <w:tcW w:w="2268" w:type="dxa"/>
            <w:vAlign w:val="center"/>
          </w:tcPr>
          <w:p w14:paraId="75C7B7BE">
            <w:pPr>
              <w:pStyle w:val="10"/>
            </w:pPr>
            <w:r>
              <w:t>预算数</w:t>
            </w:r>
          </w:p>
        </w:tc>
        <w:tc>
          <w:tcPr>
            <w:tcW w:w="2835" w:type="dxa"/>
            <w:vAlign w:val="center"/>
          </w:tcPr>
          <w:p w14:paraId="0555DB25">
            <w:pPr>
              <w:pStyle w:val="12"/>
            </w:pPr>
            <w:r>
              <w:t>3.18</w:t>
            </w:r>
          </w:p>
        </w:tc>
        <w:tc>
          <w:tcPr>
            <w:tcW w:w="2835" w:type="dxa"/>
            <w:vAlign w:val="center"/>
          </w:tcPr>
          <w:p w14:paraId="4A7C4374">
            <w:pPr>
              <w:pStyle w:val="10"/>
            </w:pPr>
            <w:r>
              <w:t>其中：财政    资金</w:t>
            </w:r>
          </w:p>
        </w:tc>
        <w:tc>
          <w:tcPr>
            <w:tcW w:w="2551" w:type="dxa"/>
            <w:vAlign w:val="center"/>
          </w:tcPr>
          <w:p w14:paraId="1DBDA3F7">
            <w:pPr>
              <w:pStyle w:val="12"/>
            </w:pPr>
            <w:r>
              <w:t>3.18</w:t>
            </w:r>
          </w:p>
        </w:tc>
        <w:tc>
          <w:tcPr>
            <w:tcW w:w="2268" w:type="dxa"/>
            <w:vAlign w:val="center"/>
          </w:tcPr>
          <w:p w14:paraId="30AFDC94">
            <w:pPr>
              <w:pStyle w:val="10"/>
            </w:pPr>
            <w:r>
              <w:t>其他资金</w:t>
            </w:r>
          </w:p>
        </w:tc>
        <w:tc>
          <w:tcPr>
            <w:tcW w:w="1276" w:type="dxa"/>
            <w:vAlign w:val="center"/>
          </w:tcPr>
          <w:p w14:paraId="15A2BEB8">
            <w:pPr>
              <w:pStyle w:val="12"/>
            </w:pPr>
            <w:r>
              <w:t xml:space="preserve"> </w:t>
            </w:r>
          </w:p>
        </w:tc>
      </w:tr>
      <w:tr w14:paraId="64CF7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CEF20"/>
        </w:tc>
        <w:tc>
          <w:tcPr>
            <w:tcW w:w="14033" w:type="dxa"/>
            <w:gridSpan w:val="6"/>
            <w:vAlign w:val="center"/>
          </w:tcPr>
          <w:p w14:paraId="0321033E">
            <w:pPr>
              <w:pStyle w:val="12"/>
            </w:pPr>
            <w:r>
              <w:t>保障学校正常运转，完成各项教育教学活动和其他日常工作任务等方面的费用支出。</w:t>
            </w:r>
          </w:p>
        </w:tc>
      </w:tr>
      <w:tr w14:paraId="33C8F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798A7">
            <w:pPr>
              <w:pStyle w:val="10"/>
            </w:pPr>
            <w:r>
              <w:t>资金支出计划（%）</w:t>
            </w:r>
          </w:p>
        </w:tc>
        <w:tc>
          <w:tcPr>
            <w:tcW w:w="5103" w:type="dxa"/>
            <w:gridSpan w:val="2"/>
            <w:vAlign w:val="center"/>
          </w:tcPr>
          <w:p w14:paraId="5C09B744">
            <w:pPr>
              <w:pStyle w:val="10"/>
            </w:pPr>
            <w:r>
              <w:t>3月底</w:t>
            </w:r>
          </w:p>
        </w:tc>
        <w:tc>
          <w:tcPr>
            <w:tcW w:w="2835" w:type="dxa"/>
            <w:vAlign w:val="center"/>
          </w:tcPr>
          <w:p w14:paraId="02E803D7">
            <w:pPr>
              <w:pStyle w:val="10"/>
            </w:pPr>
            <w:r>
              <w:t>6月底</w:t>
            </w:r>
          </w:p>
        </w:tc>
        <w:tc>
          <w:tcPr>
            <w:tcW w:w="2551" w:type="dxa"/>
            <w:vAlign w:val="center"/>
          </w:tcPr>
          <w:p w14:paraId="5DD7F4C4">
            <w:pPr>
              <w:pStyle w:val="10"/>
            </w:pPr>
            <w:r>
              <w:t>10月底</w:t>
            </w:r>
          </w:p>
        </w:tc>
        <w:tc>
          <w:tcPr>
            <w:tcW w:w="3544" w:type="dxa"/>
            <w:gridSpan w:val="2"/>
            <w:vAlign w:val="center"/>
          </w:tcPr>
          <w:p w14:paraId="7EB341C3">
            <w:pPr>
              <w:pStyle w:val="10"/>
            </w:pPr>
            <w:r>
              <w:t>12月底</w:t>
            </w:r>
          </w:p>
        </w:tc>
      </w:tr>
      <w:tr w14:paraId="0BEEF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68177"/>
        </w:tc>
        <w:tc>
          <w:tcPr>
            <w:tcW w:w="5103" w:type="dxa"/>
            <w:gridSpan w:val="2"/>
            <w:vAlign w:val="center"/>
          </w:tcPr>
          <w:p w14:paraId="677CAFAE">
            <w:pPr>
              <w:pStyle w:val="13"/>
            </w:pPr>
            <w:r>
              <w:t>25%</w:t>
            </w:r>
          </w:p>
        </w:tc>
        <w:tc>
          <w:tcPr>
            <w:tcW w:w="2835" w:type="dxa"/>
            <w:vAlign w:val="center"/>
          </w:tcPr>
          <w:p w14:paraId="6B8F025F">
            <w:pPr>
              <w:pStyle w:val="13"/>
            </w:pPr>
            <w:r>
              <w:t>50%</w:t>
            </w:r>
          </w:p>
        </w:tc>
        <w:tc>
          <w:tcPr>
            <w:tcW w:w="2551" w:type="dxa"/>
            <w:vAlign w:val="center"/>
          </w:tcPr>
          <w:p w14:paraId="5CBD5A8F">
            <w:pPr>
              <w:pStyle w:val="13"/>
            </w:pPr>
            <w:r>
              <w:t>75%</w:t>
            </w:r>
          </w:p>
        </w:tc>
        <w:tc>
          <w:tcPr>
            <w:tcW w:w="3544" w:type="dxa"/>
            <w:gridSpan w:val="2"/>
            <w:vAlign w:val="center"/>
          </w:tcPr>
          <w:p w14:paraId="597C0BA0">
            <w:pPr>
              <w:pStyle w:val="13"/>
            </w:pPr>
            <w:r>
              <w:t>100%</w:t>
            </w:r>
          </w:p>
        </w:tc>
      </w:tr>
      <w:tr w14:paraId="65E8F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14F61">
            <w:pPr>
              <w:pStyle w:val="10"/>
            </w:pPr>
            <w:r>
              <w:t>绩效目标</w:t>
            </w:r>
          </w:p>
        </w:tc>
        <w:tc>
          <w:tcPr>
            <w:tcW w:w="14033" w:type="dxa"/>
            <w:gridSpan w:val="6"/>
            <w:vAlign w:val="center"/>
          </w:tcPr>
          <w:p w14:paraId="0833736E">
            <w:pPr>
              <w:pStyle w:val="12"/>
            </w:pPr>
            <w:r>
              <w:t>1.按季度分批次拨付公用经费资金，资金拨付率达到100%。</w:t>
            </w:r>
          </w:p>
          <w:p w14:paraId="2CFFE219">
            <w:pPr>
              <w:pStyle w:val="12"/>
            </w:pPr>
            <w:r>
              <w:t>2.保障学校正常运转，完成各项教育教学活动和其他日常工作任务等方面的费用支出。</w:t>
            </w:r>
          </w:p>
        </w:tc>
      </w:tr>
    </w:tbl>
    <w:p w14:paraId="6D41BE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5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C685E">
            <w:pPr>
              <w:pStyle w:val="10"/>
            </w:pPr>
            <w:r>
              <w:t>一级指标</w:t>
            </w:r>
          </w:p>
        </w:tc>
        <w:tc>
          <w:tcPr>
            <w:tcW w:w="2268" w:type="dxa"/>
            <w:vAlign w:val="center"/>
          </w:tcPr>
          <w:p w14:paraId="0E36C6E8">
            <w:pPr>
              <w:pStyle w:val="10"/>
            </w:pPr>
            <w:r>
              <w:t>二级指标</w:t>
            </w:r>
          </w:p>
        </w:tc>
        <w:tc>
          <w:tcPr>
            <w:tcW w:w="2835" w:type="dxa"/>
            <w:vAlign w:val="center"/>
          </w:tcPr>
          <w:p w14:paraId="123495B6">
            <w:pPr>
              <w:pStyle w:val="10"/>
            </w:pPr>
            <w:r>
              <w:t>三级指标</w:t>
            </w:r>
          </w:p>
        </w:tc>
        <w:tc>
          <w:tcPr>
            <w:tcW w:w="5386" w:type="dxa"/>
            <w:vAlign w:val="center"/>
          </w:tcPr>
          <w:p w14:paraId="22B4FD74">
            <w:pPr>
              <w:pStyle w:val="10"/>
            </w:pPr>
            <w:r>
              <w:t>绩效指标描述</w:t>
            </w:r>
          </w:p>
        </w:tc>
        <w:tc>
          <w:tcPr>
            <w:tcW w:w="2268" w:type="dxa"/>
            <w:vAlign w:val="center"/>
          </w:tcPr>
          <w:p w14:paraId="0E8D2A46">
            <w:pPr>
              <w:pStyle w:val="10"/>
            </w:pPr>
            <w:r>
              <w:t>指标值</w:t>
            </w:r>
          </w:p>
        </w:tc>
        <w:tc>
          <w:tcPr>
            <w:tcW w:w="1276" w:type="dxa"/>
            <w:vAlign w:val="center"/>
          </w:tcPr>
          <w:p w14:paraId="3B62C1E0">
            <w:pPr>
              <w:pStyle w:val="10"/>
            </w:pPr>
            <w:r>
              <w:t>指标值确定依据</w:t>
            </w:r>
          </w:p>
        </w:tc>
      </w:tr>
      <w:tr w14:paraId="6DE9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7FB98">
            <w:pPr>
              <w:pStyle w:val="13"/>
            </w:pPr>
            <w:r>
              <w:t>产出指标</w:t>
            </w:r>
          </w:p>
        </w:tc>
        <w:tc>
          <w:tcPr>
            <w:tcW w:w="2268" w:type="dxa"/>
            <w:vAlign w:val="center"/>
          </w:tcPr>
          <w:p w14:paraId="19B0BF78">
            <w:pPr>
              <w:pStyle w:val="12"/>
            </w:pPr>
            <w:r>
              <w:t>数量指标</w:t>
            </w:r>
          </w:p>
        </w:tc>
        <w:tc>
          <w:tcPr>
            <w:tcW w:w="2835" w:type="dxa"/>
            <w:vAlign w:val="center"/>
          </w:tcPr>
          <w:p w14:paraId="2932BA2F">
            <w:pPr>
              <w:pStyle w:val="12"/>
            </w:pPr>
            <w:r>
              <w:t>就读学生数</w:t>
            </w:r>
          </w:p>
        </w:tc>
        <w:tc>
          <w:tcPr>
            <w:tcW w:w="5386" w:type="dxa"/>
            <w:vAlign w:val="center"/>
          </w:tcPr>
          <w:p w14:paraId="17805E1F">
            <w:pPr>
              <w:pStyle w:val="12"/>
            </w:pPr>
            <w:r>
              <w:t>辐射区域内适龄学生人数</w:t>
            </w:r>
          </w:p>
        </w:tc>
        <w:tc>
          <w:tcPr>
            <w:tcW w:w="2268" w:type="dxa"/>
            <w:vAlign w:val="center"/>
          </w:tcPr>
          <w:p w14:paraId="44907B8D">
            <w:pPr>
              <w:pStyle w:val="12"/>
            </w:pPr>
            <w:r>
              <w:t>122人</w:t>
            </w:r>
          </w:p>
        </w:tc>
        <w:tc>
          <w:tcPr>
            <w:tcW w:w="1276" w:type="dxa"/>
            <w:vAlign w:val="center"/>
          </w:tcPr>
          <w:p w14:paraId="0C40F1D4">
            <w:pPr>
              <w:pStyle w:val="12"/>
            </w:pPr>
            <w:r>
              <w:t>城乡义务教育公用经费管理办法</w:t>
            </w:r>
          </w:p>
        </w:tc>
      </w:tr>
      <w:tr w14:paraId="5038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8FC41"/>
        </w:tc>
        <w:tc>
          <w:tcPr>
            <w:tcW w:w="2268" w:type="dxa"/>
            <w:vAlign w:val="center"/>
          </w:tcPr>
          <w:p w14:paraId="3CEC065E">
            <w:pPr>
              <w:pStyle w:val="12"/>
            </w:pPr>
            <w:r>
              <w:t>质量指标</w:t>
            </w:r>
          </w:p>
        </w:tc>
        <w:tc>
          <w:tcPr>
            <w:tcW w:w="2835" w:type="dxa"/>
            <w:vAlign w:val="center"/>
          </w:tcPr>
          <w:p w14:paraId="14CFEB57">
            <w:pPr>
              <w:pStyle w:val="12"/>
            </w:pPr>
            <w:r>
              <w:t>预算执行率</w:t>
            </w:r>
          </w:p>
        </w:tc>
        <w:tc>
          <w:tcPr>
            <w:tcW w:w="5386" w:type="dxa"/>
            <w:vAlign w:val="center"/>
          </w:tcPr>
          <w:p w14:paraId="0927FF61">
            <w:pPr>
              <w:pStyle w:val="12"/>
            </w:pPr>
            <w:r>
              <w:t>预算执行率</w:t>
            </w:r>
          </w:p>
        </w:tc>
        <w:tc>
          <w:tcPr>
            <w:tcW w:w="2268" w:type="dxa"/>
            <w:vAlign w:val="center"/>
          </w:tcPr>
          <w:p w14:paraId="05AFA5B8">
            <w:pPr>
              <w:pStyle w:val="12"/>
            </w:pPr>
            <w:r>
              <w:t>≥95%</w:t>
            </w:r>
          </w:p>
        </w:tc>
        <w:tc>
          <w:tcPr>
            <w:tcW w:w="1276" w:type="dxa"/>
            <w:vAlign w:val="center"/>
          </w:tcPr>
          <w:p w14:paraId="721849D2">
            <w:pPr>
              <w:pStyle w:val="12"/>
            </w:pPr>
            <w:r>
              <w:t>城乡义务教育公用经费管理办法</w:t>
            </w:r>
          </w:p>
        </w:tc>
      </w:tr>
      <w:tr w14:paraId="6CC2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1633D"/>
        </w:tc>
        <w:tc>
          <w:tcPr>
            <w:tcW w:w="2268" w:type="dxa"/>
            <w:vAlign w:val="center"/>
          </w:tcPr>
          <w:p w14:paraId="3F6DEC74">
            <w:pPr>
              <w:pStyle w:val="12"/>
            </w:pPr>
            <w:r>
              <w:t>时效指标</w:t>
            </w:r>
          </w:p>
        </w:tc>
        <w:tc>
          <w:tcPr>
            <w:tcW w:w="2835" w:type="dxa"/>
            <w:vAlign w:val="center"/>
          </w:tcPr>
          <w:p w14:paraId="6F8B1318">
            <w:pPr>
              <w:pStyle w:val="12"/>
            </w:pPr>
            <w:r>
              <w:t>义教经费支付完成率</w:t>
            </w:r>
          </w:p>
        </w:tc>
        <w:tc>
          <w:tcPr>
            <w:tcW w:w="5386" w:type="dxa"/>
            <w:vAlign w:val="center"/>
          </w:tcPr>
          <w:p w14:paraId="3B4C49BE">
            <w:pPr>
              <w:pStyle w:val="12"/>
            </w:pPr>
            <w:r>
              <w:t>按照序时进度完成资金支付</w:t>
            </w:r>
          </w:p>
        </w:tc>
        <w:tc>
          <w:tcPr>
            <w:tcW w:w="2268" w:type="dxa"/>
            <w:vAlign w:val="center"/>
          </w:tcPr>
          <w:p w14:paraId="73022207">
            <w:pPr>
              <w:pStyle w:val="12"/>
            </w:pPr>
            <w:r>
              <w:t>100%</w:t>
            </w:r>
          </w:p>
        </w:tc>
        <w:tc>
          <w:tcPr>
            <w:tcW w:w="1276" w:type="dxa"/>
            <w:vAlign w:val="center"/>
          </w:tcPr>
          <w:p w14:paraId="6F094A3E">
            <w:pPr>
              <w:pStyle w:val="12"/>
            </w:pPr>
            <w:r>
              <w:t>城乡义务教育公用经费管理办法</w:t>
            </w:r>
          </w:p>
        </w:tc>
      </w:tr>
      <w:tr w14:paraId="5828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22B6C"/>
        </w:tc>
        <w:tc>
          <w:tcPr>
            <w:tcW w:w="2268" w:type="dxa"/>
            <w:vAlign w:val="center"/>
          </w:tcPr>
          <w:p w14:paraId="4A026D44">
            <w:pPr>
              <w:pStyle w:val="12"/>
            </w:pPr>
            <w:r>
              <w:t>成本指标</w:t>
            </w:r>
          </w:p>
        </w:tc>
        <w:tc>
          <w:tcPr>
            <w:tcW w:w="2835" w:type="dxa"/>
            <w:vAlign w:val="center"/>
          </w:tcPr>
          <w:p w14:paraId="3DC114E0">
            <w:pPr>
              <w:pStyle w:val="12"/>
            </w:pPr>
            <w:r>
              <w:t>生均拨款标准</w:t>
            </w:r>
          </w:p>
        </w:tc>
        <w:tc>
          <w:tcPr>
            <w:tcW w:w="5386" w:type="dxa"/>
            <w:vAlign w:val="center"/>
          </w:tcPr>
          <w:p w14:paraId="0F8AA8B8">
            <w:pPr>
              <w:pStyle w:val="12"/>
            </w:pPr>
            <w:r>
              <w:t>小学生公用经费生均公用经费基准定额为720元/年/生，取暖费120元/年/生，住宿生补助300元/年/生的标准，随班就读学生补助7000元/生/年</w:t>
            </w:r>
          </w:p>
        </w:tc>
        <w:tc>
          <w:tcPr>
            <w:tcW w:w="2268" w:type="dxa"/>
            <w:vAlign w:val="center"/>
          </w:tcPr>
          <w:p w14:paraId="1EDABE04">
            <w:pPr>
              <w:pStyle w:val="12"/>
            </w:pPr>
            <w:r>
              <w:t>840元</w:t>
            </w:r>
          </w:p>
        </w:tc>
        <w:tc>
          <w:tcPr>
            <w:tcW w:w="1276" w:type="dxa"/>
            <w:vAlign w:val="center"/>
          </w:tcPr>
          <w:p w14:paraId="3D982FE4">
            <w:pPr>
              <w:pStyle w:val="12"/>
            </w:pPr>
            <w:r>
              <w:t>城乡义务教育公用经费管理办法</w:t>
            </w:r>
          </w:p>
        </w:tc>
      </w:tr>
      <w:tr w14:paraId="249E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BD492">
            <w:pPr>
              <w:pStyle w:val="13"/>
            </w:pPr>
            <w:r>
              <w:t>效益指标</w:t>
            </w:r>
          </w:p>
        </w:tc>
        <w:tc>
          <w:tcPr>
            <w:tcW w:w="2268" w:type="dxa"/>
            <w:vAlign w:val="center"/>
          </w:tcPr>
          <w:p w14:paraId="745F7FFF">
            <w:pPr>
              <w:pStyle w:val="12"/>
            </w:pPr>
            <w:r>
              <w:t>可持续影响指标</w:t>
            </w:r>
          </w:p>
        </w:tc>
        <w:tc>
          <w:tcPr>
            <w:tcW w:w="2835" w:type="dxa"/>
            <w:vAlign w:val="center"/>
          </w:tcPr>
          <w:p w14:paraId="48B364C5">
            <w:pPr>
              <w:pStyle w:val="12"/>
            </w:pPr>
            <w:r>
              <w:t>学校运转得到提高</w:t>
            </w:r>
          </w:p>
        </w:tc>
        <w:tc>
          <w:tcPr>
            <w:tcW w:w="5386" w:type="dxa"/>
            <w:vAlign w:val="center"/>
          </w:tcPr>
          <w:p w14:paraId="0FC23DF5">
            <w:pPr>
              <w:pStyle w:val="12"/>
            </w:pPr>
            <w:r>
              <w:t>学生受教育年限</w:t>
            </w:r>
          </w:p>
        </w:tc>
        <w:tc>
          <w:tcPr>
            <w:tcW w:w="2268" w:type="dxa"/>
            <w:vAlign w:val="center"/>
          </w:tcPr>
          <w:p w14:paraId="3865AA65">
            <w:pPr>
              <w:pStyle w:val="12"/>
            </w:pPr>
            <w:r>
              <w:t>6年</w:t>
            </w:r>
          </w:p>
        </w:tc>
        <w:tc>
          <w:tcPr>
            <w:tcW w:w="1276" w:type="dxa"/>
            <w:vAlign w:val="center"/>
          </w:tcPr>
          <w:p w14:paraId="2D76F166">
            <w:pPr>
              <w:pStyle w:val="12"/>
            </w:pPr>
            <w:r>
              <w:t>城乡义务教育公用经费管理办法</w:t>
            </w:r>
          </w:p>
        </w:tc>
      </w:tr>
      <w:tr w14:paraId="068CE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E9F9A">
            <w:pPr>
              <w:pStyle w:val="13"/>
            </w:pPr>
            <w:r>
              <w:t>满意度指标</w:t>
            </w:r>
          </w:p>
        </w:tc>
        <w:tc>
          <w:tcPr>
            <w:tcW w:w="2268" w:type="dxa"/>
            <w:vAlign w:val="center"/>
          </w:tcPr>
          <w:p w14:paraId="1AB2ECEE">
            <w:pPr>
              <w:pStyle w:val="12"/>
            </w:pPr>
            <w:r>
              <w:t>服务对象满意度指标</w:t>
            </w:r>
          </w:p>
        </w:tc>
        <w:tc>
          <w:tcPr>
            <w:tcW w:w="2835" w:type="dxa"/>
            <w:vAlign w:val="center"/>
          </w:tcPr>
          <w:p w14:paraId="1901DA4F">
            <w:pPr>
              <w:pStyle w:val="12"/>
            </w:pPr>
            <w:r>
              <w:t>服务对象满意度</w:t>
            </w:r>
          </w:p>
        </w:tc>
        <w:tc>
          <w:tcPr>
            <w:tcW w:w="5386" w:type="dxa"/>
            <w:vAlign w:val="center"/>
          </w:tcPr>
          <w:p w14:paraId="0191E157">
            <w:pPr>
              <w:pStyle w:val="12"/>
            </w:pPr>
            <w:r>
              <w:t>学校老师和学生满意度</w:t>
            </w:r>
          </w:p>
        </w:tc>
        <w:tc>
          <w:tcPr>
            <w:tcW w:w="2268" w:type="dxa"/>
            <w:vAlign w:val="center"/>
          </w:tcPr>
          <w:p w14:paraId="0E3677EF">
            <w:pPr>
              <w:pStyle w:val="12"/>
            </w:pPr>
            <w:r>
              <w:t>≥95%</w:t>
            </w:r>
          </w:p>
        </w:tc>
        <w:tc>
          <w:tcPr>
            <w:tcW w:w="1276" w:type="dxa"/>
            <w:vAlign w:val="center"/>
          </w:tcPr>
          <w:p w14:paraId="273C9779">
            <w:pPr>
              <w:pStyle w:val="12"/>
            </w:pPr>
            <w:r>
              <w:t>群众测评</w:t>
            </w:r>
          </w:p>
        </w:tc>
      </w:tr>
    </w:tbl>
    <w:p w14:paraId="09A5CB4F">
      <w:pPr>
        <w:sectPr>
          <w:pgSz w:w="16840" w:h="11900" w:orient="landscape"/>
          <w:pgMar w:top="1361" w:right="1020" w:bottom="1134" w:left="1020" w:header="720" w:footer="720" w:gutter="0"/>
          <w:cols w:space="720" w:num="1"/>
        </w:sectPr>
      </w:pPr>
    </w:p>
    <w:p w14:paraId="2073BE28">
      <w:pPr>
        <w:spacing w:before="0" w:after="0"/>
        <w:ind w:firstLine="560"/>
        <w:jc w:val="left"/>
        <w:outlineLvl w:val="9"/>
      </w:pPr>
      <w:r>
        <w:rPr>
          <w:rFonts w:ascii="方正仿宋_GBK" w:hAnsi="方正仿宋_GBK" w:eastAsia="方正仿宋_GBK" w:cs="方正仿宋_GBK"/>
          <w:b/>
          <w:color w:val="000000"/>
          <w:sz w:val="28"/>
        </w:rPr>
        <w:t>22、冀财教[2025]147号/省级/2026年义教补助经费/尹村校区杨村小学公用经费绩效目标表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90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F0C4A">
            <w:pPr>
              <w:pStyle w:val="11"/>
            </w:pPr>
            <w:r>
              <w:t>单位：万元</w:t>
            </w:r>
          </w:p>
        </w:tc>
      </w:tr>
      <w:tr w14:paraId="2E85E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A8E81">
            <w:pPr>
              <w:pStyle w:val="10"/>
            </w:pPr>
            <w:r>
              <w:t>项目编码</w:t>
            </w:r>
          </w:p>
        </w:tc>
        <w:tc>
          <w:tcPr>
            <w:tcW w:w="5103" w:type="dxa"/>
            <w:gridSpan w:val="2"/>
            <w:vAlign w:val="center"/>
          </w:tcPr>
          <w:p w14:paraId="45926044">
            <w:pPr>
              <w:pStyle w:val="12"/>
            </w:pPr>
            <w:r>
              <w:t>13052526P00000410377N</w:t>
            </w:r>
          </w:p>
        </w:tc>
        <w:tc>
          <w:tcPr>
            <w:tcW w:w="2835" w:type="dxa"/>
            <w:vAlign w:val="center"/>
          </w:tcPr>
          <w:p w14:paraId="0A590ABB">
            <w:pPr>
              <w:pStyle w:val="10"/>
            </w:pPr>
            <w:r>
              <w:t>项目名称</w:t>
            </w:r>
          </w:p>
        </w:tc>
        <w:tc>
          <w:tcPr>
            <w:tcW w:w="6095" w:type="dxa"/>
            <w:gridSpan w:val="3"/>
            <w:vAlign w:val="center"/>
          </w:tcPr>
          <w:p w14:paraId="0F16F196">
            <w:pPr>
              <w:pStyle w:val="12"/>
            </w:pPr>
            <w:r>
              <w:t>冀财教[2025]147号/省级/2026年义教补助经费/尹村校区杨村小学公用经费</w:t>
            </w:r>
          </w:p>
        </w:tc>
      </w:tr>
      <w:tr w14:paraId="4116F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3F7D2">
            <w:pPr>
              <w:pStyle w:val="10"/>
            </w:pPr>
            <w:r>
              <w:t>预算规模及资金用途</w:t>
            </w:r>
          </w:p>
        </w:tc>
        <w:tc>
          <w:tcPr>
            <w:tcW w:w="2268" w:type="dxa"/>
            <w:vAlign w:val="center"/>
          </w:tcPr>
          <w:p w14:paraId="09FA6609">
            <w:pPr>
              <w:pStyle w:val="10"/>
            </w:pPr>
            <w:r>
              <w:t>预算数</w:t>
            </w:r>
          </w:p>
        </w:tc>
        <w:tc>
          <w:tcPr>
            <w:tcW w:w="2835" w:type="dxa"/>
            <w:vAlign w:val="center"/>
          </w:tcPr>
          <w:p w14:paraId="2366929D">
            <w:pPr>
              <w:pStyle w:val="12"/>
            </w:pPr>
            <w:r>
              <w:t>19.68</w:t>
            </w:r>
          </w:p>
        </w:tc>
        <w:tc>
          <w:tcPr>
            <w:tcW w:w="2835" w:type="dxa"/>
            <w:vAlign w:val="center"/>
          </w:tcPr>
          <w:p w14:paraId="13D07C45">
            <w:pPr>
              <w:pStyle w:val="10"/>
            </w:pPr>
            <w:r>
              <w:t>其中：财政    资金</w:t>
            </w:r>
          </w:p>
        </w:tc>
        <w:tc>
          <w:tcPr>
            <w:tcW w:w="2551" w:type="dxa"/>
            <w:vAlign w:val="center"/>
          </w:tcPr>
          <w:p w14:paraId="07A8CCF5">
            <w:pPr>
              <w:pStyle w:val="12"/>
            </w:pPr>
            <w:r>
              <w:t>19.68</w:t>
            </w:r>
          </w:p>
        </w:tc>
        <w:tc>
          <w:tcPr>
            <w:tcW w:w="2268" w:type="dxa"/>
            <w:vAlign w:val="center"/>
          </w:tcPr>
          <w:p w14:paraId="1FFFAC1D">
            <w:pPr>
              <w:pStyle w:val="10"/>
            </w:pPr>
            <w:r>
              <w:t>其他资金</w:t>
            </w:r>
          </w:p>
        </w:tc>
        <w:tc>
          <w:tcPr>
            <w:tcW w:w="1276" w:type="dxa"/>
            <w:vAlign w:val="center"/>
          </w:tcPr>
          <w:p w14:paraId="1AD34556">
            <w:pPr>
              <w:pStyle w:val="12"/>
            </w:pPr>
            <w:r>
              <w:t xml:space="preserve"> </w:t>
            </w:r>
          </w:p>
        </w:tc>
      </w:tr>
      <w:tr w14:paraId="485EF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EFDF1"/>
        </w:tc>
        <w:tc>
          <w:tcPr>
            <w:tcW w:w="14033" w:type="dxa"/>
            <w:gridSpan w:val="6"/>
            <w:vAlign w:val="center"/>
          </w:tcPr>
          <w:p w14:paraId="5F56AE7B">
            <w:pPr>
              <w:pStyle w:val="12"/>
            </w:pPr>
            <w:r>
              <w:t>保障学校正常运转，完成各项教育教学活动和其他日常工作任务等方面的费用支出。</w:t>
            </w:r>
          </w:p>
        </w:tc>
      </w:tr>
      <w:tr w14:paraId="7C7A1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66B17">
            <w:pPr>
              <w:pStyle w:val="10"/>
            </w:pPr>
            <w:r>
              <w:t>资金支出计划（%）</w:t>
            </w:r>
          </w:p>
        </w:tc>
        <w:tc>
          <w:tcPr>
            <w:tcW w:w="5103" w:type="dxa"/>
            <w:gridSpan w:val="2"/>
            <w:vAlign w:val="center"/>
          </w:tcPr>
          <w:p w14:paraId="57B263AE">
            <w:pPr>
              <w:pStyle w:val="10"/>
            </w:pPr>
            <w:r>
              <w:t>3月底</w:t>
            </w:r>
          </w:p>
        </w:tc>
        <w:tc>
          <w:tcPr>
            <w:tcW w:w="2835" w:type="dxa"/>
            <w:vAlign w:val="center"/>
          </w:tcPr>
          <w:p w14:paraId="713346F8">
            <w:pPr>
              <w:pStyle w:val="10"/>
            </w:pPr>
            <w:r>
              <w:t>6月底</w:t>
            </w:r>
          </w:p>
        </w:tc>
        <w:tc>
          <w:tcPr>
            <w:tcW w:w="2551" w:type="dxa"/>
            <w:vAlign w:val="center"/>
          </w:tcPr>
          <w:p w14:paraId="40E52D8C">
            <w:pPr>
              <w:pStyle w:val="10"/>
            </w:pPr>
            <w:r>
              <w:t>10月底</w:t>
            </w:r>
          </w:p>
        </w:tc>
        <w:tc>
          <w:tcPr>
            <w:tcW w:w="3544" w:type="dxa"/>
            <w:gridSpan w:val="2"/>
            <w:vAlign w:val="center"/>
          </w:tcPr>
          <w:p w14:paraId="360E6BB8">
            <w:pPr>
              <w:pStyle w:val="10"/>
            </w:pPr>
            <w:r>
              <w:t>12月底</w:t>
            </w:r>
          </w:p>
        </w:tc>
      </w:tr>
      <w:tr w14:paraId="0C847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191CE"/>
        </w:tc>
        <w:tc>
          <w:tcPr>
            <w:tcW w:w="5103" w:type="dxa"/>
            <w:gridSpan w:val="2"/>
            <w:vAlign w:val="center"/>
          </w:tcPr>
          <w:p w14:paraId="6E5C6DCE">
            <w:pPr>
              <w:pStyle w:val="13"/>
            </w:pPr>
            <w:r>
              <w:t>25%</w:t>
            </w:r>
          </w:p>
        </w:tc>
        <w:tc>
          <w:tcPr>
            <w:tcW w:w="2835" w:type="dxa"/>
            <w:vAlign w:val="center"/>
          </w:tcPr>
          <w:p w14:paraId="3A10E1D7">
            <w:pPr>
              <w:pStyle w:val="13"/>
            </w:pPr>
            <w:r>
              <w:t>50%</w:t>
            </w:r>
          </w:p>
        </w:tc>
        <w:tc>
          <w:tcPr>
            <w:tcW w:w="2551" w:type="dxa"/>
            <w:vAlign w:val="center"/>
          </w:tcPr>
          <w:p w14:paraId="01297C70">
            <w:pPr>
              <w:pStyle w:val="13"/>
            </w:pPr>
            <w:r>
              <w:t>75%</w:t>
            </w:r>
          </w:p>
        </w:tc>
        <w:tc>
          <w:tcPr>
            <w:tcW w:w="3544" w:type="dxa"/>
            <w:gridSpan w:val="2"/>
            <w:vAlign w:val="center"/>
          </w:tcPr>
          <w:p w14:paraId="30BC9E6D">
            <w:pPr>
              <w:pStyle w:val="13"/>
            </w:pPr>
            <w:r>
              <w:t>100%</w:t>
            </w:r>
          </w:p>
        </w:tc>
      </w:tr>
      <w:tr w14:paraId="19A96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68EC9">
            <w:pPr>
              <w:pStyle w:val="10"/>
            </w:pPr>
            <w:r>
              <w:t>绩效目标</w:t>
            </w:r>
          </w:p>
        </w:tc>
        <w:tc>
          <w:tcPr>
            <w:tcW w:w="14033" w:type="dxa"/>
            <w:gridSpan w:val="6"/>
            <w:vAlign w:val="center"/>
          </w:tcPr>
          <w:p w14:paraId="4F88D9CD">
            <w:pPr>
              <w:pStyle w:val="12"/>
            </w:pPr>
            <w:r>
              <w:t>1.按季度分批次拨付公用经费资金，资金拨付率达到100%。</w:t>
            </w:r>
          </w:p>
          <w:p w14:paraId="153E0C55">
            <w:pPr>
              <w:pStyle w:val="12"/>
            </w:pPr>
            <w:r>
              <w:t>2.保障学校正常运转，完成各项教育教学活动和其他日常工作任务等方面的费用支出。</w:t>
            </w:r>
          </w:p>
        </w:tc>
      </w:tr>
    </w:tbl>
    <w:p w14:paraId="2E17C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A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BE253">
            <w:pPr>
              <w:pStyle w:val="10"/>
            </w:pPr>
            <w:r>
              <w:t>一级指标</w:t>
            </w:r>
          </w:p>
        </w:tc>
        <w:tc>
          <w:tcPr>
            <w:tcW w:w="2268" w:type="dxa"/>
            <w:vAlign w:val="center"/>
          </w:tcPr>
          <w:p w14:paraId="48EE2416">
            <w:pPr>
              <w:pStyle w:val="10"/>
            </w:pPr>
            <w:r>
              <w:t>二级指标</w:t>
            </w:r>
          </w:p>
        </w:tc>
        <w:tc>
          <w:tcPr>
            <w:tcW w:w="2835" w:type="dxa"/>
            <w:vAlign w:val="center"/>
          </w:tcPr>
          <w:p w14:paraId="210EDC3B">
            <w:pPr>
              <w:pStyle w:val="10"/>
            </w:pPr>
            <w:r>
              <w:t>三级指标</w:t>
            </w:r>
          </w:p>
        </w:tc>
        <w:tc>
          <w:tcPr>
            <w:tcW w:w="5386" w:type="dxa"/>
            <w:vAlign w:val="center"/>
          </w:tcPr>
          <w:p w14:paraId="40F7627B">
            <w:pPr>
              <w:pStyle w:val="10"/>
            </w:pPr>
            <w:r>
              <w:t>绩效指标描述</w:t>
            </w:r>
          </w:p>
        </w:tc>
        <w:tc>
          <w:tcPr>
            <w:tcW w:w="2268" w:type="dxa"/>
            <w:vAlign w:val="center"/>
          </w:tcPr>
          <w:p w14:paraId="49D63244">
            <w:pPr>
              <w:pStyle w:val="10"/>
            </w:pPr>
            <w:r>
              <w:t>指标值</w:t>
            </w:r>
          </w:p>
        </w:tc>
        <w:tc>
          <w:tcPr>
            <w:tcW w:w="1276" w:type="dxa"/>
            <w:vAlign w:val="center"/>
          </w:tcPr>
          <w:p w14:paraId="66E7D061">
            <w:pPr>
              <w:pStyle w:val="10"/>
            </w:pPr>
            <w:r>
              <w:t>指标值确定依据</w:t>
            </w:r>
          </w:p>
        </w:tc>
      </w:tr>
      <w:tr w14:paraId="1735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4E295">
            <w:pPr>
              <w:pStyle w:val="13"/>
            </w:pPr>
            <w:r>
              <w:t>产出指标</w:t>
            </w:r>
          </w:p>
        </w:tc>
        <w:tc>
          <w:tcPr>
            <w:tcW w:w="2268" w:type="dxa"/>
            <w:vAlign w:val="center"/>
          </w:tcPr>
          <w:p w14:paraId="27F61281">
            <w:pPr>
              <w:pStyle w:val="12"/>
            </w:pPr>
            <w:r>
              <w:t>数量指标</w:t>
            </w:r>
          </w:p>
        </w:tc>
        <w:tc>
          <w:tcPr>
            <w:tcW w:w="2835" w:type="dxa"/>
            <w:vAlign w:val="center"/>
          </w:tcPr>
          <w:p w14:paraId="63AB91C3">
            <w:pPr>
              <w:pStyle w:val="12"/>
            </w:pPr>
            <w:r>
              <w:t>就读学生数</w:t>
            </w:r>
          </w:p>
        </w:tc>
        <w:tc>
          <w:tcPr>
            <w:tcW w:w="5386" w:type="dxa"/>
            <w:vAlign w:val="center"/>
          </w:tcPr>
          <w:p w14:paraId="36F495B8">
            <w:pPr>
              <w:pStyle w:val="12"/>
            </w:pPr>
            <w:r>
              <w:t>辐射区域内适龄学生人数</w:t>
            </w:r>
          </w:p>
        </w:tc>
        <w:tc>
          <w:tcPr>
            <w:tcW w:w="2268" w:type="dxa"/>
            <w:vAlign w:val="center"/>
          </w:tcPr>
          <w:p w14:paraId="7814F68C">
            <w:pPr>
              <w:pStyle w:val="12"/>
            </w:pPr>
            <w:r>
              <w:t>586人</w:t>
            </w:r>
          </w:p>
        </w:tc>
        <w:tc>
          <w:tcPr>
            <w:tcW w:w="1276" w:type="dxa"/>
            <w:vAlign w:val="center"/>
          </w:tcPr>
          <w:p w14:paraId="6E8B27C1">
            <w:pPr>
              <w:pStyle w:val="12"/>
            </w:pPr>
            <w:r>
              <w:t>城乡义务教育公用经费管理办法</w:t>
            </w:r>
          </w:p>
        </w:tc>
      </w:tr>
      <w:tr w14:paraId="6672A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462C3"/>
        </w:tc>
        <w:tc>
          <w:tcPr>
            <w:tcW w:w="2268" w:type="dxa"/>
            <w:vAlign w:val="center"/>
          </w:tcPr>
          <w:p w14:paraId="6789C072">
            <w:pPr>
              <w:pStyle w:val="12"/>
            </w:pPr>
            <w:r>
              <w:t>质量指标</w:t>
            </w:r>
          </w:p>
        </w:tc>
        <w:tc>
          <w:tcPr>
            <w:tcW w:w="2835" w:type="dxa"/>
            <w:vAlign w:val="center"/>
          </w:tcPr>
          <w:p w14:paraId="0665E810">
            <w:pPr>
              <w:pStyle w:val="12"/>
            </w:pPr>
            <w:r>
              <w:t>预算执行率</w:t>
            </w:r>
          </w:p>
        </w:tc>
        <w:tc>
          <w:tcPr>
            <w:tcW w:w="5386" w:type="dxa"/>
            <w:vAlign w:val="center"/>
          </w:tcPr>
          <w:p w14:paraId="40DACE34">
            <w:pPr>
              <w:pStyle w:val="12"/>
            </w:pPr>
            <w:r>
              <w:t>预算执行率</w:t>
            </w:r>
          </w:p>
        </w:tc>
        <w:tc>
          <w:tcPr>
            <w:tcW w:w="2268" w:type="dxa"/>
            <w:vAlign w:val="center"/>
          </w:tcPr>
          <w:p w14:paraId="3B305147">
            <w:pPr>
              <w:pStyle w:val="12"/>
            </w:pPr>
            <w:r>
              <w:t>≥95%</w:t>
            </w:r>
          </w:p>
        </w:tc>
        <w:tc>
          <w:tcPr>
            <w:tcW w:w="1276" w:type="dxa"/>
            <w:vAlign w:val="center"/>
          </w:tcPr>
          <w:p w14:paraId="79D4CF53">
            <w:pPr>
              <w:pStyle w:val="12"/>
            </w:pPr>
            <w:r>
              <w:t>城乡义务教育公用经费管理办法</w:t>
            </w:r>
          </w:p>
        </w:tc>
      </w:tr>
      <w:tr w14:paraId="21B5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1541E"/>
        </w:tc>
        <w:tc>
          <w:tcPr>
            <w:tcW w:w="2268" w:type="dxa"/>
            <w:vAlign w:val="center"/>
          </w:tcPr>
          <w:p w14:paraId="2DEDC939">
            <w:pPr>
              <w:pStyle w:val="12"/>
            </w:pPr>
            <w:r>
              <w:t>时效指标</w:t>
            </w:r>
          </w:p>
        </w:tc>
        <w:tc>
          <w:tcPr>
            <w:tcW w:w="2835" w:type="dxa"/>
            <w:vAlign w:val="center"/>
          </w:tcPr>
          <w:p w14:paraId="09465475">
            <w:pPr>
              <w:pStyle w:val="12"/>
            </w:pPr>
            <w:r>
              <w:t>义教经费支付完成率</w:t>
            </w:r>
          </w:p>
        </w:tc>
        <w:tc>
          <w:tcPr>
            <w:tcW w:w="5386" w:type="dxa"/>
            <w:vAlign w:val="center"/>
          </w:tcPr>
          <w:p w14:paraId="48770D80">
            <w:pPr>
              <w:pStyle w:val="12"/>
            </w:pPr>
            <w:r>
              <w:t>按照序时进度完成资金支付</w:t>
            </w:r>
          </w:p>
        </w:tc>
        <w:tc>
          <w:tcPr>
            <w:tcW w:w="2268" w:type="dxa"/>
            <w:vAlign w:val="center"/>
          </w:tcPr>
          <w:p w14:paraId="08D64053">
            <w:pPr>
              <w:pStyle w:val="12"/>
            </w:pPr>
            <w:r>
              <w:t>100%</w:t>
            </w:r>
          </w:p>
        </w:tc>
        <w:tc>
          <w:tcPr>
            <w:tcW w:w="1276" w:type="dxa"/>
            <w:vAlign w:val="center"/>
          </w:tcPr>
          <w:p w14:paraId="437FA19F">
            <w:pPr>
              <w:pStyle w:val="12"/>
            </w:pPr>
            <w:r>
              <w:t>城乡义务教育公用经费管理办法</w:t>
            </w:r>
          </w:p>
        </w:tc>
      </w:tr>
      <w:tr w14:paraId="1893C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EBC6"/>
        </w:tc>
        <w:tc>
          <w:tcPr>
            <w:tcW w:w="2268" w:type="dxa"/>
            <w:vAlign w:val="center"/>
          </w:tcPr>
          <w:p w14:paraId="31D95ECA">
            <w:pPr>
              <w:pStyle w:val="12"/>
            </w:pPr>
            <w:r>
              <w:t>成本指标</w:t>
            </w:r>
          </w:p>
        </w:tc>
        <w:tc>
          <w:tcPr>
            <w:tcW w:w="2835" w:type="dxa"/>
            <w:vAlign w:val="center"/>
          </w:tcPr>
          <w:p w14:paraId="4A572B0E">
            <w:pPr>
              <w:pStyle w:val="12"/>
            </w:pPr>
            <w:r>
              <w:t>生均拨款标准</w:t>
            </w:r>
          </w:p>
        </w:tc>
        <w:tc>
          <w:tcPr>
            <w:tcW w:w="5386" w:type="dxa"/>
            <w:vAlign w:val="center"/>
          </w:tcPr>
          <w:p w14:paraId="2E1C5BC9">
            <w:pPr>
              <w:pStyle w:val="12"/>
            </w:pPr>
            <w:r>
              <w:t>小学生公用经费生均公用经费基准定额为720元/年/生，取暖费120元/年/生，住宿生补助300元/年/生的标准，随班就读学生补助7000元/生/年</w:t>
            </w:r>
          </w:p>
        </w:tc>
        <w:tc>
          <w:tcPr>
            <w:tcW w:w="2268" w:type="dxa"/>
            <w:vAlign w:val="center"/>
          </w:tcPr>
          <w:p w14:paraId="61205057">
            <w:pPr>
              <w:pStyle w:val="12"/>
            </w:pPr>
            <w:r>
              <w:t>840元</w:t>
            </w:r>
          </w:p>
        </w:tc>
        <w:tc>
          <w:tcPr>
            <w:tcW w:w="1276" w:type="dxa"/>
            <w:vAlign w:val="center"/>
          </w:tcPr>
          <w:p w14:paraId="3AE4A85E">
            <w:pPr>
              <w:pStyle w:val="12"/>
            </w:pPr>
            <w:r>
              <w:t>城乡义务教育公用经费管理办法</w:t>
            </w:r>
          </w:p>
        </w:tc>
      </w:tr>
      <w:tr w14:paraId="5E97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ABFE7">
            <w:pPr>
              <w:pStyle w:val="13"/>
            </w:pPr>
            <w:r>
              <w:t>效益指标</w:t>
            </w:r>
          </w:p>
        </w:tc>
        <w:tc>
          <w:tcPr>
            <w:tcW w:w="2268" w:type="dxa"/>
            <w:vAlign w:val="center"/>
          </w:tcPr>
          <w:p w14:paraId="4874FE4D">
            <w:pPr>
              <w:pStyle w:val="12"/>
            </w:pPr>
            <w:r>
              <w:t>可持续影响指标</w:t>
            </w:r>
          </w:p>
        </w:tc>
        <w:tc>
          <w:tcPr>
            <w:tcW w:w="2835" w:type="dxa"/>
            <w:vAlign w:val="center"/>
          </w:tcPr>
          <w:p w14:paraId="6B13C48E">
            <w:pPr>
              <w:pStyle w:val="12"/>
            </w:pPr>
            <w:r>
              <w:t>学校运转得到提高</w:t>
            </w:r>
          </w:p>
        </w:tc>
        <w:tc>
          <w:tcPr>
            <w:tcW w:w="5386" w:type="dxa"/>
            <w:vAlign w:val="center"/>
          </w:tcPr>
          <w:p w14:paraId="6670C83B">
            <w:pPr>
              <w:pStyle w:val="12"/>
            </w:pPr>
            <w:r>
              <w:t>学生受教育年限</w:t>
            </w:r>
          </w:p>
        </w:tc>
        <w:tc>
          <w:tcPr>
            <w:tcW w:w="2268" w:type="dxa"/>
            <w:vAlign w:val="center"/>
          </w:tcPr>
          <w:p w14:paraId="2DC4A342">
            <w:pPr>
              <w:pStyle w:val="12"/>
            </w:pPr>
            <w:r>
              <w:t>6年</w:t>
            </w:r>
          </w:p>
        </w:tc>
        <w:tc>
          <w:tcPr>
            <w:tcW w:w="1276" w:type="dxa"/>
            <w:vAlign w:val="center"/>
          </w:tcPr>
          <w:p w14:paraId="2BD0AA91">
            <w:pPr>
              <w:pStyle w:val="12"/>
            </w:pPr>
            <w:r>
              <w:t>城乡义务教育公用经费管理办法</w:t>
            </w:r>
          </w:p>
        </w:tc>
      </w:tr>
      <w:tr w14:paraId="121E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05D50">
            <w:pPr>
              <w:pStyle w:val="13"/>
            </w:pPr>
            <w:r>
              <w:t>满意度指标</w:t>
            </w:r>
          </w:p>
        </w:tc>
        <w:tc>
          <w:tcPr>
            <w:tcW w:w="2268" w:type="dxa"/>
            <w:vAlign w:val="center"/>
          </w:tcPr>
          <w:p w14:paraId="74B96020">
            <w:pPr>
              <w:pStyle w:val="12"/>
            </w:pPr>
            <w:r>
              <w:t>服务对象满意度指标</w:t>
            </w:r>
          </w:p>
        </w:tc>
        <w:tc>
          <w:tcPr>
            <w:tcW w:w="2835" w:type="dxa"/>
            <w:vAlign w:val="center"/>
          </w:tcPr>
          <w:p w14:paraId="1168D3A5">
            <w:pPr>
              <w:pStyle w:val="12"/>
            </w:pPr>
            <w:r>
              <w:t>服务对象满意度</w:t>
            </w:r>
          </w:p>
        </w:tc>
        <w:tc>
          <w:tcPr>
            <w:tcW w:w="5386" w:type="dxa"/>
            <w:vAlign w:val="center"/>
          </w:tcPr>
          <w:p w14:paraId="772BFCDC">
            <w:pPr>
              <w:pStyle w:val="12"/>
            </w:pPr>
            <w:r>
              <w:t>学校老师和学生满意度</w:t>
            </w:r>
          </w:p>
        </w:tc>
        <w:tc>
          <w:tcPr>
            <w:tcW w:w="2268" w:type="dxa"/>
            <w:vAlign w:val="center"/>
          </w:tcPr>
          <w:p w14:paraId="00209B24">
            <w:pPr>
              <w:pStyle w:val="12"/>
            </w:pPr>
            <w:r>
              <w:t>≥95%</w:t>
            </w:r>
          </w:p>
        </w:tc>
        <w:tc>
          <w:tcPr>
            <w:tcW w:w="1276" w:type="dxa"/>
            <w:vAlign w:val="center"/>
          </w:tcPr>
          <w:p w14:paraId="75BE1C55">
            <w:pPr>
              <w:pStyle w:val="12"/>
            </w:pPr>
            <w:r>
              <w:t>群众测评</w:t>
            </w:r>
          </w:p>
        </w:tc>
      </w:tr>
    </w:tbl>
    <w:p w14:paraId="05CA1C24">
      <w:pPr>
        <w:sectPr>
          <w:pgSz w:w="16840" w:h="11900" w:orient="landscape"/>
          <w:pgMar w:top="1361" w:right="1020" w:bottom="1134" w:left="1020" w:header="720" w:footer="720" w:gutter="0"/>
          <w:cols w:space="720" w:num="1"/>
        </w:sectPr>
      </w:pPr>
    </w:p>
    <w:p w14:paraId="1260B367">
      <w:pPr>
        <w:spacing w:before="0" w:after="0"/>
        <w:ind w:firstLine="560"/>
        <w:jc w:val="left"/>
        <w:outlineLvl w:val="9"/>
      </w:pPr>
      <w:r>
        <w:rPr>
          <w:rFonts w:ascii="方正仿宋_GBK" w:hAnsi="方正仿宋_GBK" w:eastAsia="方正仿宋_GBK" w:cs="方正仿宋_GBK"/>
          <w:b/>
          <w:color w:val="000000"/>
          <w:sz w:val="28"/>
        </w:rPr>
        <w:t>23、冀财教[2025]147号/省级/义教/2026年校舍安全/西尹小学教学楼更换门窗绩效目标表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D6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5FBC7">
            <w:pPr>
              <w:pStyle w:val="11"/>
            </w:pPr>
            <w:r>
              <w:t>单位：万元</w:t>
            </w:r>
          </w:p>
        </w:tc>
      </w:tr>
      <w:tr w14:paraId="23938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B37DB">
            <w:pPr>
              <w:pStyle w:val="10"/>
            </w:pPr>
            <w:r>
              <w:t>项目编码</w:t>
            </w:r>
          </w:p>
        </w:tc>
        <w:tc>
          <w:tcPr>
            <w:tcW w:w="5103" w:type="dxa"/>
            <w:gridSpan w:val="2"/>
            <w:vAlign w:val="center"/>
          </w:tcPr>
          <w:p w14:paraId="13466AF7">
            <w:pPr>
              <w:pStyle w:val="12"/>
            </w:pPr>
            <w:r>
              <w:t>13052526P00876210105L</w:t>
            </w:r>
          </w:p>
        </w:tc>
        <w:tc>
          <w:tcPr>
            <w:tcW w:w="2835" w:type="dxa"/>
            <w:vAlign w:val="center"/>
          </w:tcPr>
          <w:p w14:paraId="07DFB91E">
            <w:pPr>
              <w:pStyle w:val="10"/>
            </w:pPr>
            <w:r>
              <w:t>项目名称</w:t>
            </w:r>
          </w:p>
        </w:tc>
        <w:tc>
          <w:tcPr>
            <w:tcW w:w="6095" w:type="dxa"/>
            <w:gridSpan w:val="3"/>
            <w:vAlign w:val="center"/>
          </w:tcPr>
          <w:p w14:paraId="68951F77">
            <w:pPr>
              <w:pStyle w:val="12"/>
            </w:pPr>
            <w:r>
              <w:t>冀财教[2025]147号/省级/义教/2026年校舍安全/西尹小学教学楼更换门窗</w:t>
            </w:r>
          </w:p>
        </w:tc>
      </w:tr>
      <w:tr w14:paraId="6504B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86514">
            <w:pPr>
              <w:pStyle w:val="10"/>
            </w:pPr>
            <w:r>
              <w:t>预算规模及资金用途</w:t>
            </w:r>
          </w:p>
        </w:tc>
        <w:tc>
          <w:tcPr>
            <w:tcW w:w="2268" w:type="dxa"/>
            <w:vAlign w:val="center"/>
          </w:tcPr>
          <w:p w14:paraId="5AEC22E9">
            <w:pPr>
              <w:pStyle w:val="10"/>
            </w:pPr>
            <w:r>
              <w:t>预算数</w:t>
            </w:r>
          </w:p>
        </w:tc>
        <w:tc>
          <w:tcPr>
            <w:tcW w:w="2835" w:type="dxa"/>
            <w:vAlign w:val="center"/>
          </w:tcPr>
          <w:p w14:paraId="6A95C4BA">
            <w:pPr>
              <w:pStyle w:val="12"/>
            </w:pPr>
            <w:r>
              <w:t>13.90</w:t>
            </w:r>
          </w:p>
        </w:tc>
        <w:tc>
          <w:tcPr>
            <w:tcW w:w="2835" w:type="dxa"/>
            <w:vAlign w:val="center"/>
          </w:tcPr>
          <w:p w14:paraId="333CA868">
            <w:pPr>
              <w:pStyle w:val="10"/>
            </w:pPr>
            <w:r>
              <w:t>其中：财政    资金</w:t>
            </w:r>
          </w:p>
        </w:tc>
        <w:tc>
          <w:tcPr>
            <w:tcW w:w="2551" w:type="dxa"/>
            <w:vAlign w:val="center"/>
          </w:tcPr>
          <w:p w14:paraId="7AD186C0">
            <w:pPr>
              <w:pStyle w:val="12"/>
            </w:pPr>
            <w:r>
              <w:t>13.90</w:t>
            </w:r>
          </w:p>
        </w:tc>
        <w:tc>
          <w:tcPr>
            <w:tcW w:w="2268" w:type="dxa"/>
            <w:vAlign w:val="center"/>
          </w:tcPr>
          <w:p w14:paraId="10630197">
            <w:pPr>
              <w:pStyle w:val="10"/>
            </w:pPr>
            <w:r>
              <w:t>其他资金</w:t>
            </w:r>
          </w:p>
        </w:tc>
        <w:tc>
          <w:tcPr>
            <w:tcW w:w="1276" w:type="dxa"/>
            <w:vAlign w:val="center"/>
          </w:tcPr>
          <w:p w14:paraId="3D3A5486">
            <w:pPr>
              <w:pStyle w:val="12"/>
            </w:pPr>
            <w:r>
              <w:t xml:space="preserve"> </w:t>
            </w:r>
          </w:p>
        </w:tc>
      </w:tr>
      <w:tr w14:paraId="59755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384FC"/>
        </w:tc>
        <w:tc>
          <w:tcPr>
            <w:tcW w:w="14033" w:type="dxa"/>
            <w:gridSpan w:val="6"/>
            <w:vAlign w:val="center"/>
          </w:tcPr>
          <w:p w14:paraId="00B3947A">
            <w:pPr>
              <w:pStyle w:val="12"/>
            </w:pPr>
            <w:r>
              <w:t>改善就学条件，提升学校形象，保障义务教育阶段教学安全，创造良好的校园环境。</w:t>
            </w:r>
          </w:p>
        </w:tc>
      </w:tr>
      <w:tr w14:paraId="6A384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DDA20">
            <w:pPr>
              <w:pStyle w:val="10"/>
            </w:pPr>
            <w:r>
              <w:t>资金支出计划（%）</w:t>
            </w:r>
          </w:p>
        </w:tc>
        <w:tc>
          <w:tcPr>
            <w:tcW w:w="5103" w:type="dxa"/>
            <w:gridSpan w:val="2"/>
            <w:vAlign w:val="center"/>
          </w:tcPr>
          <w:p w14:paraId="5CA091FA">
            <w:pPr>
              <w:pStyle w:val="10"/>
            </w:pPr>
            <w:r>
              <w:t>3月底</w:t>
            </w:r>
          </w:p>
        </w:tc>
        <w:tc>
          <w:tcPr>
            <w:tcW w:w="2835" w:type="dxa"/>
            <w:vAlign w:val="center"/>
          </w:tcPr>
          <w:p w14:paraId="5060D121">
            <w:pPr>
              <w:pStyle w:val="10"/>
            </w:pPr>
            <w:r>
              <w:t>6月底</w:t>
            </w:r>
          </w:p>
        </w:tc>
        <w:tc>
          <w:tcPr>
            <w:tcW w:w="2551" w:type="dxa"/>
            <w:vAlign w:val="center"/>
          </w:tcPr>
          <w:p w14:paraId="540B9982">
            <w:pPr>
              <w:pStyle w:val="10"/>
            </w:pPr>
            <w:r>
              <w:t>10月底</w:t>
            </w:r>
          </w:p>
        </w:tc>
        <w:tc>
          <w:tcPr>
            <w:tcW w:w="3544" w:type="dxa"/>
            <w:gridSpan w:val="2"/>
            <w:vAlign w:val="center"/>
          </w:tcPr>
          <w:p w14:paraId="225AAC79">
            <w:pPr>
              <w:pStyle w:val="10"/>
            </w:pPr>
            <w:r>
              <w:t>12月底</w:t>
            </w:r>
          </w:p>
        </w:tc>
      </w:tr>
      <w:tr w14:paraId="75A83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BE25A"/>
        </w:tc>
        <w:tc>
          <w:tcPr>
            <w:tcW w:w="5103" w:type="dxa"/>
            <w:gridSpan w:val="2"/>
            <w:vAlign w:val="center"/>
          </w:tcPr>
          <w:p w14:paraId="4B0BF5E0">
            <w:pPr>
              <w:pStyle w:val="13"/>
            </w:pPr>
            <w:r>
              <w:t xml:space="preserve"> </w:t>
            </w:r>
          </w:p>
        </w:tc>
        <w:tc>
          <w:tcPr>
            <w:tcW w:w="2835" w:type="dxa"/>
            <w:vAlign w:val="center"/>
          </w:tcPr>
          <w:p w14:paraId="51F3265D">
            <w:pPr>
              <w:pStyle w:val="13"/>
            </w:pPr>
            <w:r>
              <w:t xml:space="preserve"> </w:t>
            </w:r>
          </w:p>
        </w:tc>
        <w:tc>
          <w:tcPr>
            <w:tcW w:w="2551" w:type="dxa"/>
            <w:vAlign w:val="center"/>
          </w:tcPr>
          <w:p w14:paraId="08BC2364">
            <w:pPr>
              <w:pStyle w:val="13"/>
            </w:pPr>
            <w:r>
              <w:t>100%</w:t>
            </w:r>
          </w:p>
        </w:tc>
        <w:tc>
          <w:tcPr>
            <w:tcW w:w="3544" w:type="dxa"/>
            <w:gridSpan w:val="2"/>
            <w:vAlign w:val="center"/>
          </w:tcPr>
          <w:p w14:paraId="77256945">
            <w:pPr>
              <w:pStyle w:val="13"/>
            </w:pPr>
            <w:r>
              <w:t>100%</w:t>
            </w:r>
          </w:p>
        </w:tc>
      </w:tr>
      <w:tr w14:paraId="18CF8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D4BC7">
            <w:pPr>
              <w:pStyle w:val="10"/>
            </w:pPr>
            <w:r>
              <w:t>绩效目标</w:t>
            </w:r>
          </w:p>
        </w:tc>
        <w:tc>
          <w:tcPr>
            <w:tcW w:w="14033" w:type="dxa"/>
            <w:gridSpan w:val="6"/>
            <w:vAlign w:val="center"/>
          </w:tcPr>
          <w:p w14:paraId="00287CAA">
            <w:pPr>
              <w:pStyle w:val="12"/>
            </w:pPr>
            <w:r>
              <w:t>1.项目需资金13.9万元，资金拨付率达到100%</w:t>
            </w:r>
          </w:p>
          <w:p w14:paraId="26135087">
            <w:pPr>
              <w:pStyle w:val="12"/>
            </w:pPr>
            <w:r>
              <w:t>2.改善就学条件，提升学校形象，保障义务教育阶段教学安全，创造良好的校园环境。</w:t>
            </w:r>
          </w:p>
        </w:tc>
      </w:tr>
    </w:tbl>
    <w:p w14:paraId="1EE91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F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6E79A">
            <w:pPr>
              <w:pStyle w:val="10"/>
            </w:pPr>
            <w:r>
              <w:t>一级指标</w:t>
            </w:r>
          </w:p>
        </w:tc>
        <w:tc>
          <w:tcPr>
            <w:tcW w:w="2268" w:type="dxa"/>
            <w:vAlign w:val="center"/>
          </w:tcPr>
          <w:p w14:paraId="4DE0FF5F">
            <w:pPr>
              <w:pStyle w:val="10"/>
            </w:pPr>
            <w:r>
              <w:t>二级指标</w:t>
            </w:r>
          </w:p>
        </w:tc>
        <w:tc>
          <w:tcPr>
            <w:tcW w:w="2835" w:type="dxa"/>
            <w:vAlign w:val="center"/>
          </w:tcPr>
          <w:p w14:paraId="3E96F779">
            <w:pPr>
              <w:pStyle w:val="10"/>
            </w:pPr>
            <w:r>
              <w:t>三级指标</w:t>
            </w:r>
          </w:p>
        </w:tc>
        <w:tc>
          <w:tcPr>
            <w:tcW w:w="5386" w:type="dxa"/>
            <w:vAlign w:val="center"/>
          </w:tcPr>
          <w:p w14:paraId="27D4592F">
            <w:pPr>
              <w:pStyle w:val="10"/>
            </w:pPr>
            <w:r>
              <w:t>绩效指标描述</w:t>
            </w:r>
          </w:p>
        </w:tc>
        <w:tc>
          <w:tcPr>
            <w:tcW w:w="2268" w:type="dxa"/>
            <w:vAlign w:val="center"/>
          </w:tcPr>
          <w:p w14:paraId="5F884CC8">
            <w:pPr>
              <w:pStyle w:val="10"/>
            </w:pPr>
            <w:r>
              <w:t>指标值</w:t>
            </w:r>
          </w:p>
        </w:tc>
        <w:tc>
          <w:tcPr>
            <w:tcW w:w="1276" w:type="dxa"/>
            <w:vAlign w:val="center"/>
          </w:tcPr>
          <w:p w14:paraId="0AB0C1CA">
            <w:pPr>
              <w:pStyle w:val="10"/>
            </w:pPr>
            <w:r>
              <w:t>指标值确定依据</w:t>
            </w:r>
          </w:p>
        </w:tc>
      </w:tr>
      <w:tr w14:paraId="226E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9FF54">
            <w:pPr>
              <w:pStyle w:val="13"/>
            </w:pPr>
            <w:r>
              <w:t>产出指标</w:t>
            </w:r>
          </w:p>
        </w:tc>
        <w:tc>
          <w:tcPr>
            <w:tcW w:w="2268" w:type="dxa"/>
            <w:vAlign w:val="center"/>
          </w:tcPr>
          <w:p w14:paraId="0E445300">
            <w:pPr>
              <w:pStyle w:val="12"/>
            </w:pPr>
            <w:r>
              <w:t>数量指标</w:t>
            </w:r>
          </w:p>
        </w:tc>
        <w:tc>
          <w:tcPr>
            <w:tcW w:w="2835" w:type="dxa"/>
            <w:vAlign w:val="center"/>
          </w:tcPr>
          <w:p w14:paraId="1037A999">
            <w:pPr>
              <w:pStyle w:val="12"/>
            </w:pPr>
            <w:r>
              <w:t>西尹小学教学楼更换门窗</w:t>
            </w:r>
          </w:p>
        </w:tc>
        <w:tc>
          <w:tcPr>
            <w:tcW w:w="5386" w:type="dxa"/>
            <w:vAlign w:val="center"/>
          </w:tcPr>
          <w:p w14:paraId="6B22AD72">
            <w:pPr>
              <w:pStyle w:val="12"/>
            </w:pPr>
            <w:r>
              <w:t>安装新门窗维修等</w:t>
            </w:r>
          </w:p>
        </w:tc>
        <w:tc>
          <w:tcPr>
            <w:tcW w:w="2268" w:type="dxa"/>
            <w:vAlign w:val="center"/>
          </w:tcPr>
          <w:p w14:paraId="24DB8C52">
            <w:pPr>
              <w:pStyle w:val="12"/>
            </w:pPr>
            <w:r>
              <w:t>1项</w:t>
            </w:r>
          </w:p>
        </w:tc>
        <w:tc>
          <w:tcPr>
            <w:tcW w:w="1276" w:type="dxa"/>
            <w:vAlign w:val="center"/>
          </w:tcPr>
          <w:p w14:paraId="136F53E6">
            <w:pPr>
              <w:pStyle w:val="12"/>
            </w:pPr>
            <w:r>
              <w:t>项目规划</w:t>
            </w:r>
          </w:p>
        </w:tc>
      </w:tr>
      <w:tr w14:paraId="496E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06C29"/>
        </w:tc>
        <w:tc>
          <w:tcPr>
            <w:tcW w:w="2268" w:type="dxa"/>
            <w:vAlign w:val="center"/>
          </w:tcPr>
          <w:p w14:paraId="33F94B30">
            <w:pPr>
              <w:pStyle w:val="12"/>
            </w:pPr>
            <w:r>
              <w:t>质量指标</w:t>
            </w:r>
          </w:p>
        </w:tc>
        <w:tc>
          <w:tcPr>
            <w:tcW w:w="2835" w:type="dxa"/>
            <w:vAlign w:val="center"/>
          </w:tcPr>
          <w:p w14:paraId="0507C207">
            <w:pPr>
              <w:pStyle w:val="12"/>
            </w:pPr>
            <w:r>
              <w:t>工程实施验收合格率</w:t>
            </w:r>
          </w:p>
        </w:tc>
        <w:tc>
          <w:tcPr>
            <w:tcW w:w="5386" w:type="dxa"/>
            <w:vAlign w:val="center"/>
          </w:tcPr>
          <w:p w14:paraId="1C7FE9EE">
            <w:pPr>
              <w:pStyle w:val="12"/>
            </w:pPr>
            <w:r>
              <w:t>申报程序的合规，项目实施及资金使用符合项目规划</w:t>
            </w:r>
          </w:p>
        </w:tc>
        <w:tc>
          <w:tcPr>
            <w:tcW w:w="2268" w:type="dxa"/>
            <w:vAlign w:val="center"/>
          </w:tcPr>
          <w:p w14:paraId="142D497A">
            <w:pPr>
              <w:pStyle w:val="12"/>
            </w:pPr>
            <w:r>
              <w:t>100%</w:t>
            </w:r>
          </w:p>
        </w:tc>
        <w:tc>
          <w:tcPr>
            <w:tcW w:w="1276" w:type="dxa"/>
            <w:vAlign w:val="center"/>
          </w:tcPr>
          <w:p w14:paraId="2BD89B88">
            <w:pPr>
              <w:pStyle w:val="12"/>
            </w:pPr>
            <w:r>
              <w:t>项目规划</w:t>
            </w:r>
          </w:p>
        </w:tc>
      </w:tr>
      <w:tr w14:paraId="6CCF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AF02A"/>
        </w:tc>
        <w:tc>
          <w:tcPr>
            <w:tcW w:w="2268" w:type="dxa"/>
            <w:vAlign w:val="center"/>
          </w:tcPr>
          <w:p w14:paraId="32957045">
            <w:pPr>
              <w:pStyle w:val="12"/>
            </w:pPr>
            <w:r>
              <w:t>时效指标</w:t>
            </w:r>
          </w:p>
        </w:tc>
        <w:tc>
          <w:tcPr>
            <w:tcW w:w="2835" w:type="dxa"/>
            <w:vAlign w:val="center"/>
          </w:tcPr>
          <w:p w14:paraId="510E935A">
            <w:pPr>
              <w:pStyle w:val="12"/>
            </w:pPr>
            <w:r>
              <w:t>资金支付率</w:t>
            </w:r>
          </w:p>
        </w:tc>
        <w:tc>
          <w:tcPr>
            <w:tcW w:w="5386" w:type="dxa"/>
            <w:vAlign w:val="center"/>
          </w:tcPr>
          <w:p w14:paraId="4D126532">
            <w:pPr>
              <w:pStyle w:val="12"/>
            </w:pPr>
            <w:r>
              <w:t>按照序时进度完成资金支付</w:t>
            </w:r>
          </w:p>
        </w:tc>
        <w:tc>
          <w:tcPr>
            <w:tcW w:w="2268" w:type="dxa"/>
            <w:vAlign w:val="center"/>
          </w:tcPr>
          <w:p w14:paraId="249802BF">
            <w:pPr>
              <w:pStyle w:val="12"/>
            </w:pPr>
            <w:r>
              <w:t>100%</w:t>
            </w:r>
          </w:p>
        </w:tc>
        <w:tc>
          <w:tcPr>
            <w:tcW w:w="1276" w:type="dxa"/>
            <w:vAlign w:val="center"/>
          </w:tcPr>
          <w:p w14:paraId="572476A2">
            <w:pPr>
              <w:pStyle w:val="12"/>
            </w:pPr>
            <w:r>
              <w:t>项目规划</w:t>
            </w:r>
          </w:p>
        </w:tc>
      </w:tr>
      <w:tr w14:paraId="1358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BDB63"/>
        </w:tc>
        <w:tc>
          <w:tcPr>
            <w:tcW w:w="2268" w:type="dxa"/>
            <w:vAlign w:val="center"/>
          </w:tcPr>
          <w:p w14:paraId="0395128D">
            <w:pPr>
              <w:pStyle w:val="12"/>
            </w:pPr>
            <w:r>
              <w:t>成本指标</w:t>
            </w:r>
          </w:p>
        </w:tc>
        <w:tc>
          <w:tcPr>
            <w:tcW w:w="2835" w:type="dxa"/>
            <w:vAlign w:val="center"/>
          </w:tcPr>
          <w:p w14:paraId="2801C549">
            <w:pPr>
              <w:pStyle w:val="12"/>
            </w:pPr>
            <w:r>
              <w:t>项目成本控制情况</w:t>
            </w:r>
          </w:p>
        </w:tc>
        <w:tc>
          <w:tcPr>
            <w:tcW w:w="5386" w:type="dxa"/>
            <w:vAlign w:val="center"/>
          </w:tcPr>
          <w:p w14:paraId="56D00EAD">
            <w:pPr>
              <w:pStyle w:val="12"/>
            </w:pPr>
            <w:r>
              <w:t>严格按照招标价格及审计额进行</w:t>
            </w:r>
          </w:p>
        </w:tc>
        <w:tc>
          <w:tcPr>
            <w:tcW w:w="2268" w:type="dxa"/>
            <w:vAlign w:val="center"/>
          </w:tcPr>
          <w:p w14:paraId="6008AE73">
            <w:pPr>
              <w:pStyle w:val="12"/>
            </w:pPr>
            <w:r>
              <w:t>13.9万元</w:t>
            </w:r>
          </w:p>
        </w:tc>
        <w:tc>
          <w:tcPr>
            <w:tcW w:w="1276" w:type="dxa"/>
            <w:vAlign w:val="center"/>
          </w:tcPr>
          <w:p w14:paraId="04656172">
            <w:pPr>
              <w:pStyle w:val="12"/>
            </w:pPr>
            <w:r>
              <w:t>项目规划</w:t>
            </w:r>
          </w:p>
        </w:tc>
      </w:tr>
      <w:tr w14:paraId="250B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C5209">
            <w:pPr>
              <w:pStyle w:val="13"/>
            </w:pPr>
            <w:r>
              <w:t>效益指标</w:t>
            </w:r>
          </w:p>
        </w:tc>
        <w:tc>
          <w:tcPr>
            <w:tcW w:w="2268" w:type="dxa"/>
            <w:vAlign w:val="center"/>
          </w:tcPr>
          <w:p w14:paraId="3D32D8A4">
            <w:pPr>
              <w:pStyle w:val="12"/>
            </w:pPr>
            <w:r>
              <w:t>社会效益指标</w:t>
            </w:r>
          </w:p>
        </w:tc>
        <w:tc>
          <w:tcPr>
            <w:tcW w:w="2835" w:type="dxa"/>
            <w:vAlign w:val="center"/>
          </w:tcPr>
          <w:p w14:paraId="1C175873">
            <w:pPr>
              <w:pStyle w:val="12"/>
            </w:pPr>
            <w:r>
              <w:t>学校办学环境提升</w:t>
            </w:r>
          </w:p>
        </w:tc>
        <w:tc>
          <w:tcPr>
            <w:tcW w:w="5386" w:type="dxa"/>
            <w:vAlign w:val="center"/>
          </w:tcPr>
          <w:p w14:paraId="1551A6C6">
            <w:pPr>
              <w:pStyle w:val="12"/>
            </w:pPr>
            <w:r>
              <w:t>学校教学环境提升优化率</w:t>
            </w:r>
          </w:p>
        </w:tc>
        <w:tc>
          <w:tcPr>
            <w:tcW w:w="2268" w:type="dxa"/>
            <w:vAlign w:val="center"/>
          </w:tcPr>
          <w:p w14:paraId="39E11B8F">
            <w:pPr>
              <w:pStyle w:val="12"/>
            </w:pPr>
            <w:r>
              <w:t>≥98%</w:t>
            </w:r>
          </w:p>
        </w:tc>
        <w:tc>
          <w:tcPr>
            <w:tcW w:w="1276" w:type="dxa"/>
            <w:vAlign w:val="center"/>
          </w:tcPr>
          <w:p w14:paraId="1EE979C7">
            <w:pPr>
              <w:pStyle w:val="12"/>
            </w:pPr>
            <w:r>
              <w:t>项目规划</w:t>
            </w:r>
          </w:p>
        </w:tc>
      </w:tr>
      <w:tr w14:paraId="285C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55EAE">
            <w:pPr>
              <w:pStyle w:val="13"/>
            </w:pPr>
            <w:r>
              <w:t>满意度指标</w:t>
            </w:r>
          </w:p>
        </w:tc>
        <w:tc>
          <w:tcPr>
            <w:tcW w:w="2268" w:type="dxa"/>
            <w:vAlign w:val="center"/>
          </w:tcPr>
          <w:p w14:paraId="597C99F5">
            <w:pPr>
              <w:pStyle w:val="12"/>
            </w:pPr>
            <w:r>
              <w:t>服务对象满意度指标</w:t>
            </w:r>
          </w:p>
        </w:tc>
        <w:tc>
          <w:tcPr>
            <w:tcW w:w="2835" w:type="dxa"/>
            <w:vAlign w:val="center"/>
          </w:tcPr>
          <w:p w14:paraId="6459C07E">
            <w:pPr>
              <w:pStyle w:val="12"/>
            </w:pPr>
            <w:r>
              <w:t>受益学生家长及调查满意度</w:t>
            </w:r>
          </w:p>
        </w:tc>
        <w:tc>
          <w:tcPr>
            <w:tcW w:w="5386" w:type="dxa"/>
            <w:vAlign w:val="center"/>
          </w:tcPr>
          <w:p w14:paraId="45403145">
            <w:pPr>
              <w:pStyle w:val="12"/>
            </w:pPr>
            <w:r>
              <w:t>学生、教师及家长对学校教学环境满意度情况</w:t>
            </w:r>
          </w:p>
        </w:tc>
        <w:tc>
          <w:tcPr>
            <w:tcW w:w="2268" w:type="dxa"/>
            <w:vAlign w:val="center"/>
          </w:tcPr>
          <w:p w14:paraId="05AB7510">
            <w:pPr>
              <w:pStyle w:val="12"/>
            </w:pPr>
            <w:r>
              <w:t>≥95%</w:t>
            </w:r>
          </w:p>
        </w:tc>
        <w:tc>
          <w:tcPr>
            <w:tcW w:w="1276" w:type="dxa"/>
            <w:vAlign w:val="center"/>
          </w:tcPr>
          <w:p w14:paraId="2FEE66E4">
            <w:pPr>
              <w:pStyle w:val="12"/>
            </w:pPr>
            <w:r>
              <w:t>调查问卷</w:t>
            </w:r>
          </w:p>
        </w:tc>
      </w:tr>
    </w:tbl>
    <w:p w14:paraId="6ABF3AB2">
      <w:pPr>
        <w:sectPr>
          <w:pgSz w:w="16840" w:h="11900" w:orient="landscape"/>
          <w:pgMar w:top="1361" w:right="1020" w:bottom="1134" w:left="1020" w:header="720" w:footer="720" w:gutter="0"/>
          <w:cols w:space="720" w:num="1"/>
        </w:sectPr>
      </w:pPr>
    </w:p>
    <w:p w14:paraId="23F3AB9F">
      <w:pPr>
        <w:spacing w:before="0" w:after="0"/>
        <w:ind w:firstLine="560"/>
        <w:jc w:val="left"/>
        <w:outlineLvl w:val="9"/>
      </w:pPr>
      <w:r>
        <w:rPr>
          <w:rFonts w:ascii="方正仿宋_GBK" w:hAnsi="方正仿宋_GBK" w:eastAsia="方正仿宋_GBK" w:cs="方正仿宋_GBK"/>
          <w:b/>
          <w:color w:val="000000"/>
          <w:sz w:val="28"/>
        </w:rPr>
        <w:t>24、冀财教[2025]148号/支持义务教育发展/尹村校区大霍小学公用经费绩效目标表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20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E2D54">
            <w:pPr>
              <w:pStyle w:val="11"/>
            </w:pPr>
            <w:r>
              <w:t>单位：万元</w:t>
            </w:r>
          </w:p>
        </w:tc>
      </w:tr>
      <w:tr w14:paraId="634C6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45916">
            <w:pPr>
              <w:pStyle w:val="10"/>
            </w:pPr>
            <w:r>
              <w:t>项目编码</w:t>
            </w:r>
          </w:p>
        </w:tc>
        <w:tc>
          <w:tcPr>
            <w:tcW w:w="5103" w:type="dxa"/>
            <w:gridSpan w:val="2"/>
            <w:vAlign w:val="center"/>
          </w:tcPr>
          <w:p w14:paraId="10EF9936">
            <w:pPr>
              <w:pStyle w:val="12"/>
            </w:pPr>
            <w:r>
              <w:t>13052526P000002101327</w:t>
            </w:r>
          </w:p>
        </w:tc>
        <w:tc>
          <w:tcPr>
            <w:tcW w:w="2835" w:type="dxa"/>
            <w:vAlign w:val="center"/>
          </w:tcPr>
          <w:p w14:paraId="3B2B9665">
            <w:pPr>
              <w:pStyle w:val="10"/>
            </w:pPr>
            <w:r>
              <w:t>项目名称</w:t>
            </w:r>
          </w:p>
        </w:tc>
        <w:tc>
          <w:tcPr>
            <w:tcW w:w="6095" w:type="dxa"/>
            <w:gridSpan w:val="3"/>
            <w:vAlign w:val="center"/>
          </w:tcPr>
          <w:p w14:paraId="2C940C77">
            <w:pPr>
              <w:pStyle w:val="12"/>
            </w:pPr>
            <w:r>
              <w:t>冀财教[2025]148号/支持义务教育发展/尹村校区大霍小学公用经费</w:t>
            </w:r>
          </w:p>
        </w:tc>
      </w:tr>
      <w:tr w14:paraId="0C889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164E4">
            <w:pPr>
              <w:pStyle w:val="10"/>
            </w:pPr>
            <w:r>
              <w:t>预算规模及资金用途</w:t>
            </w:r>
          </w:p>
        </w:tc>
        <w:tc>
          <w:tcPr>
            <w:tcW w:w="2268" w:type="dxa"/>
            <w:vAlign w:val="center"/>
          </w:tcPr>
          <w:p w14:paraId="7C4249A5">
            <w:pPr>
              <w:pStyle w:val="10"/>
            </w:pPr>
            <w:r>
              <w:t>预算数</w:t>
            </w:r>
          </w:p>
        </w:tc>
        <w:tc>
          <w:tcPr>
            <w:tcW w:w="2835" w:type="dxa"/>
            <w:vAlign w:val="center"/>
          </w:tcPr>
          <w:p w14:paraId="3EBA136B">
            <w:pPr>
              <w:pStyle w:val="12"/>
            </w:pPr>
            <w:r>
              <w:t>16.00</w:t>
            </w:r>
          </w:p>
        </w:tc>
        <w:tc>
          <w:tcPr>
            <w:tcW w:w="2835" w:type="dxa"/>
            <w:vAlign w:val="center"/>
          </w:tcPr>
          <w:p w14:paraId="5D37CDA3">
            <w:pPr>
              <w:pStyle w:val="10"/>
            </w:pPr>
            <w:r>
              <w:t>其中：财政    资金</w:t>
            </w:r>
          </w:p>
        </w:tc>
        <w:tc>
          <w:tcPr>
            <w:tcW w:w="2551" w:type="dxa"/>
            <w:vAlign w:val="center"/>
          </w:tcPr>
          <w:p w14:paraId="363DD7AE">
            <w:pPr>
              <w:pStyle w:val="12"/>
            </w:pPr>
            <w:r>
              <w:t>16.00</w:t>
            </w:r>
          </w:p>
        </w:tc>
        <w:tc>
          <w:tcPr>
            <w:tcW w:w="2268" w:type="dxa"/>
            <w:vAlign w:val="center"/>
          </w:tcPr>
          <w:p w14:paraId="3D6CD28E">
            <w:pPr>
              <w:pStyle w:val="10"/>
            </w:pPr>
            <w:r>
              <w:t>其他资金</w:t>
            </w:r>
          </w:p>
        </w:tc>
        <w:tc>
          <w:tcPr>
            <w:tcW w:w="1276" w:type="dxa"/>
            <w:vAlign w:val="center"/>
          </w:tcPr>
          <w:p w14:paraId="5200BD38">
            <w:pPr>
              <w:pStyle w:val="12"/>
            </w:pPr>
            <w:r>
              <w:t xml:space="preserve"> </w:t>
            </w:r>
          </w:p>
        </w:tc>
      </w:tr>
      <w:tr w14:paraId="60899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EAB47"/>
        </w:tc>
        <w:tc>
          <w:tcPr>
            <w:tcW w:w="14033" w:type="dxa"/>
            <w:gridSpan w:val="6"/>
            <w:vAlign w:val="center"/>
          </w:tcPr>
          <w:p w14:paraId="6B8082C6">
            <w:pPr>
              <w:pStyle w:val="12"/>
            </w:pPr>
            <w:r>
              <w:t>改善办学条件，提升学校形象，保障教学质量，创造良好的校园环境。</w:t>
            </w:r>
          </w:p>
        </w:tc>
      </w:tr>
      <w:tr w14:paraId="281CD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939B0">
            <w:pPr>
              <w:pStyle w:val="10"/>
            </w:pPr>
            <w:r>
              <w:t>资金支出计划（%）</w:t>
            </w:r>
          </w:p>
        </w:tc>
        <w:tc>
          <w:tcPr>
            <w:tcW w:w="5103" w:type="dxa"/>
            <w:gridSpan w:val="2"/>
            <w:vAlign w:val="center"/>
          </w:tcPr>
          <w:p w14:paraId="41B02DE0">
            <w:pPr>
              <w:pStyle w:val="10"/>
            </w:pPr>
            <w:r>
              <w:t>3月底</w:t>
            </w:r>
          </w:p>
        </w:tc>
        <w:tc>
          <w:tcPr>
            <w:tcW w:w="2835" w:type="dxa"/>
            <w:vAlign w:val="center"/>
          </w:tcPr>
          <w:p w14:paraId="12779101">
            <w:pPr>
              <w:pStyle w:val="10"/>
            </w:pPr>
            <w:r>
              <w:t>6月底</w:t>
            </w:r>
          </w:p>
        </w:tc>
        <w:tc>
          <w:tcPr>
            <w:tcW w:w="2551" w:type="dxa"/>
            <w:vAlign w:val="center"/>
          </w:tcPr>
          <w:p w14:paraId="18FD43CA">
            <w:pPr>
              <w:pStyle w:val="10"/>
            </w:pPr>
            <w:r>
              <w:t>10月底</w:t>
            </w:r>
          </w:p>
        </w:tc>
        <w:tc>
          <w:tcPr>
            <w:tcW w:w="3544" w:type="dxa"/>
            <w:gridSpan w:val="2"/>
            <w:vAlign w:val="center"/>
          </w:tcPr>
          <w:p w14:paraId="53E7943D">
            <w:pPr>
              <w:pStyle w:val="10"/>
            </w:pPr>
            <w:r>
              <w:t>12月底</w:t>
            </w:r>
          </w:p>
        </w:tc>
      </w:tr>
      <w:tr w14:paraId="45F6B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16955"/>
        </w:tc>
        <w:tc>
          <w:tcPr>
            <w:tcW w:w="5103" w:type="dxa"/>
            <w:gridSpan w:val="2"/>
            <w:vAlign w:val="center"/>
          </w:tcPr>
          <w:p w14:paraId="1D87E6D4">
            <w:pPr>
              <w:pStyle w:val="13"/>
            </w:pPr>
            <w:r>
              <w:t xml:space="preserve"> </w:t>
            </w:r>
          </w:p>
        </w:tc>
        <w:tc>
          <w:tcPr>
            <w:tcW w:w="2835" w:type="dxa"/>
            <w:vAlign w:val="center"/>
          </w:tcPr>
          <w:p w14:paraId="1555004E">
            <w:pPr>
              <w:pStyle w:val="13"/>
            </w:pPr>
            <w:r>
              <w:t xml:space="preserve"> </w:t>
            </w:r>
          </w:p>
        </w:tc>
        <w:tc>
          <w:tcPr>
            <w:tcW w:w="2551" w:type="dxa"/>
            <w:vAlign w:val="center"/>
          </w:tcPr>
          <w:p w14:paraId="62660D48">
            <w:pPr>
              <w:pStyle w:val="13"/>
            </w:pPr>
            <w:r>
              <w:t>100%</w:t>
            </w:r>
          </w:p>
        </w:tc>
        <w:tc>
          <w:tcPr>
            <w:tcW w:w="3544" w:type="dxa"/>
            <w:gridSpan w:val="2"/>
            <w:vAlign w:val="center"/>
          </w:tcPr>
          <w:p w14:paraId="0D750F9B">
            <w:pPr>
              <w:pStyle w:val="13"/>
            </w:pPr>
            <w:r>
              <w:t>100%</w:t>
            </w:r>
          </w:p>
        </w:tc>
      </w:tr>
      <w:tr w14:paraId="6B721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2AA92">
            <w:pPr>
              <w:pStyle w:val="10"/>
            </w:pPr>
            <w:r>
              <w:t>绩效目标</w:t>
            </w:r>
          </w:p>
        </w:tc>
        <w:tc>
          <w:tcPr>
            <w:tcW w:w="14033" w:type="dxa"/>
            <w:gridSpan w:val="6"/>
            <w:vAlign w:val="center"/>
          </w:tcPr>
          <w:p w14:paraId="5C924DF7">
            <w:pPr>
              <w:pStyle w:val="12"/>
            </w:pPr>
            <w:r>
              <w:t>1.改善办学条件，提升学校形象，保障教学质量，创造良好的校园环境。</w:t>
            </w:r>
          </w:p>
          <w:p w14:paraId="53E8E217">
            <w:pPr>
              <w:pStyle w:val="12"/>
            </w:pPr>
            <w:r>
              <w:t>2.项目需资金16万元，资金拨付率达到100%。</w:t>
            </w:r>
          </w:p>
        </w:tc>
      </w:tr>
    </w:tbl>
    <w:p w14:paraId="755E0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6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EB1EC">
            <w:pPr>
              <w:pStyle w:val="10"/>
            </w:pPr>
            <w:r>
              <w:t>一级指标</w:t>
            </w:r>
          </w:p>
        </w:tc>
        <w:tc>
          <w:tcPr>
            <w:tcW w:w="2268" w:type="dxa"/>
            <w:vAlign w:val="center"/>
          </w:tcPr>
          <w:p w14:paraId="27B3A318">
            <w:pPr>
              <w:pStyle w:val="10"/>
            </w:pPr>
            <w:r>
              <w:t>二级指标</w:t>
            </w:r>
          </w:p>
        </w:tc>
        <w:tc>
          <w:tcPr>
            <w:tcW w:w="2835" w:type="dxa"/>
            <w:vAlign w:val="center"/>
          </w:tcPr>
          <w:p w14:paraId="2118D8F9">
            <w:pPr>
              <w:pStyle w:val="10"/>
            </w:pPr>
            <w:r>
              <w:t>三级指标</w:t>
            </w:r>
          </w:p>
        </w:tc>
        <w:tc>
          <w:tcPr>
            <w:tcW w:w="5386" w:type="dxa"/>
            <w:vAlign w:val="center"/>
          </w:tcPr>
          <w:p w14:paraId="3507D84F">
            <w:pPr>
              <w:pStyle w:val="10"/>
            </w:pPr>
            <w:r>
              <w:t>绩效指标描述</w:t>
            </w:r>
          </w:p>
        </w:tc>
        <w:tc>
          <w:tcPr>
            <w:tcW w:w="2268" w:type="dxa"/>
            <w:vAlign w:val="center"/>
          </w:tcPr>
          <w:p w14:paraId="412C888D">
            <w:pPr>
              <w:pStyle w:val="10"/>
            </w:pPr>
            <w:r>
              <w:t>指标值</w:t>
            </w:r>
          </w:p>
        </w:tc>
        <w:tc>
          <w:tcPr>
            <w:tcW w:w="1276" w:type="dxa"/>
            <w:vAlign w:val="center"/>
          </w:tcPr>
          <w:p w14:paraId="3FB44669">
            <w:pPr>
              <w:pStyle w:val="10"/>
            </w:pPr>
            <w:r>
              <w:t>指标值确定依据</w:t>
            </w:r>
          </w:p>
        </w:tc>
      </w:tr>
      <w:tr w14:paraId="7EF0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943D6">
            <w:pPr>
              <w:pStyle w:val="13"/>
            </w:pPr>
            <w:r>
              <w:t>产出指标</w:t>
            </w:r>
          </w:p>
        </w:tc>
        <w:tc>
          <w:tcPr>
            <w:tcW w:w="2268" w:type="dxa"/>
            <w:vAlign w:val="center"/>
          </w:tcPr>
          <w:p w14:paraId="2F2F149B">
            <w:pPr>
              <w:pStyle w:val="12"/>
            </w:pPr>
            <w:r>
              <w:t>数量指标</w:t>
            </w:r>
          </w:p>
        </w:tc>
        <w:tc>
          <w:tcPr>
            <w:tcW w:w="2835" w:type="dxa"/>
            <w:vAlign w:val="center"/>
          </w:tcPr>
          <w:p w14:paraId="05015943">
            <w:pPr>
              <w:pStyle w:val="12"/>
            </w:pPr>
            <w:r>
              <w:t>尹村校区大霍小学公用经费</w:t>
            </w:r>
          </w:p>
        </w:tc>
        <w:tc>
          <w:tcPr>
            <w:tcW w:w="5386" w:type="dxa"/>
            <w:vAlign w:val="center"/>
          </w:tcPr>
          <w:p w14:paraId="2137D51A">
            <w:pPr>
              <w:pStyle w:val="12"/>
            </w:pPr>
            <w:r>
              <w:t>智慧黑板、食堂厨具购置</w:t>
            </w:r>
          </w:p>
        </w:tc>
        <w:tc>
          <w:tcPr>
            <w:tcW w:w="2268" w:type="dxa"/>
            <w:vAlign w:val="center"/>
          </w:tcPr>
          <w:p w14:paraId="1A861277">
            <w:pPr>
              <w:pStyle w:val="12"/>
            </w:pPr>
            <w:r>
              <w:t>1项</w:t>
            </w:r>
          </w:p>
        </w:tc>
        <w:tc>
          <w:tcPr>
            <w:tcW w:w="1276" w:type="dxa"/>
            <w:vAlign w:val="center"/>
          </w:tcPr>
          <w:p w14:paraId="4BFF0F83">
            <w:pPr>
              <w:pStyle w:val="12"/>
            </w:pPr>
            <w:r>
              <w:t>项目规划</w:t>
            </w:r>
          </w:p>
        </w:tc>
      </w:tr>
      <w:tr w14:paraId="6851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E879B"/>
        </w:tc>
        <w:tc>
          <w:tcPr>
            <w:tcW w:w="2268" w:type="dxa"/>
            <w:vAlign w:val="center"/>
          </w:tcPr>
          <w:p w14:paraId="35A80901">
            <w:pPr>
              <w:pStyle w:val="12"/>
            </w:pPr>
            <w:r>
              <w:t>质量指标</w:t>
            </w:r>
          </w:p>
        </w:tc>
        <w:tc>
          <w:tcPr>
            <w:tcW w:w="2835" w:type="dxa"/>
            <w:vAlign w:val="center"/>
          </w:tcPr>
          <w:p w14:paraId="263791FF">
            <w:pPr>
              <w:pStyle w:val="12"/>
            </w:pPr>
            <w:r>
              <w:t>工程实施验收合格率</w:t>
            </w:r>
          </w:p>
        </w:tc>
        <w:tc>
          <w:tcPr>
            <w:tcW w:w="5386" w:type="dxa"/>
            <w:vAlign w:val="center"/>
          </w:tcPr>
          <w:p w14:paraId="16F29027">
            <w:pPr>
              <w:pStyle w:val="12"/>
            </w:pPr>
            <w:r>
              <w:t>申报程序的合规，项目实施及资金使用符合项目规划</w:t>
            </w:r>
          </w:p>
        </w:tc>
        <w:tc>
          <w:tcPr>
            <w:tcW w:w="2268" w:type="dxa"/>
            <w:vAlign w:val="center"/>
          </w:tcPr>
          <w:p w14:paraId="52A278EB">
            <w:pPr>
              <w:pStyle w:val="12"/>
            </w:pPr>
            <w:r>
              <w:t>100%</w:t>
            </w:r>
          </w:p>
        </w:tc>
        <w:tc>
          <w:tcPr>
            <w:tcW w:w="1276" w:type="dxa"/>
            <w:vAlign w:val="center"/>
          </w:tcPr>
          <w:p w14:paraId="05CDDAE7">
            <w:pPr>
              <w:pStyle w:val="12"/>
            </w:pPr>
            <w:r>
              <w:t>项目规划</w:t>
            </w:r>
          </w:p>
        </w:tc>
      </w:tr>
      <w:tr w14:paraId="733D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B76AB"/>
        </w:tc>
        <w:tc>
          <w:tcPr>
            <w:tcW w:w="2268" w:type="dxa"/>
            <w:vAlign w:val="center"/>
          </w:tcPr>
          <w:p w14:paraId="427B35EA">
            <w:pPr>
              <w:pStyle w:val="12"/>
            </w:pPr>
            <w:r>
              <w:t>时效指标</w:t>
            </w:r>
          </w:p>
        </w:tc>
        <w:tc>
          <w:tcPr>
            <w:tcW w:w="2835" w:type="dxa"/>
            <w:vAlign w:val="center"/>
          </w:tcPr>
          <w:p w14:paraId="41533147">
            <w:pPr>
              <w:pStyle w:val="12"/>
            </w:pPr>
            <w:r>
              <w:t>资金支付率</w:t>
            </w:r>
          </w:p>
        </w:tc>
        <w:tc>
          <w:tcPr>
            <w:tcW w:w="5386" w:type="dxa"/>
            <w:vAlign w:val="center"/>
          </w:tcPr>
          <w:p w14:paraId="212FD9F4">
            <w:pPr>
              <w:pStyle w:val="12"/>
            </w:pPr>
            <w:r>
              <w:t>按照序时进度完成资金支付</w:t>
            </w:r>
          </w:p>
        </w:tc>
        <w:tc>
          <w:tcPr>
            <w:tcW w:w="2268" w:type="dxa"/>
            <w:vAlign w:val="center"/>
          </w:tcPr>
          <w:p w14:paraId="07A4ED80">
            <w:pPr>
              <w:pStyle w:val="12"/>
            </w:pPr>
            <w:r>
              <w:t>100%</w:t>
            </w:r>
          </w:p>
        </w:tc>
        <w:tc>
          <w:tcPr>
            <w:tcW w:w="1276" w:type="dxa"/>
            <w:vAlign w:val="center"/>
          </w:tcPr>
          <w:p w14:paraId="6C9780CF">
            <w:pPr>
              <w:pStyle w:val="12"/>
            </w:pPr>
            <w:r>
              <w:t>项目规划</w:t>
            </w:r>
          </w:p>
        </w:tc>
      </w:tr>
      <w:tr w14:paraId="23FB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47B7F"/>
        </w:tc>
        <w:tc>
          <w:tcPr>
            <w:tcW w:w="2268" w:type="dxa"/>
            <w:vAlign w:val="center"/>
          </w:tcPr>
          <w:p w14:paraId="6D42D396">
            <w:pPr>
              <w:pStyle w:val="12"/>
            </w:pPr>
            <w:r>
              <w:t>成本指标</w:t>
            </w:r>
          </w:p>
        </w:tc>
        <w:tc>
          <w:tcPr>
            <w:tcW w:w="2835" w:type="dxa"/>
            <w:vAlign w:val="center"/>
          </w:tcPr>
          <w:p w14:paraId="7FE0A688">
            <w:pPr>
              <w:pStyle w:val="12"/>
            </w:pPr>
            <w:r>
              <w:t>项目成本控制情况</w:t>
            </w:r>
          </w:p>
        </w:tc>
        <w:tc>
          <w:tcPr>
            <w:tcW w:w="5386" w:type="dxa"/>
            <w:vAlign w:val="center"/>
          </w:tcPr>
          <w:p w14:paraId="55193AD1">
            <w:pPr>
              <w:pStyle w:val="12"/>
            </w:pPr>
            <w:r>
              <w:t>严格按照招标价格及审计额进行</w:t>
            </w:r>
          </w:p>
        </w:tc>
        <w:tc>
          <w:tcPr>
            <w:tcW w:w="2268" w:type="dxa"/>
            <w:vAlign w:val="center"/>
          </w:tcPr>
          <w:p w14:paraId="4A7E2EDF">
            <w:pPr>
              <w:pStyle w:val="12"/>
            </w:pPr>
            <w:r>
              <w:t>16万元</w:t>
            </w:r>
          </w:p>
        </w:tc>
        <w:tc>
          <w:tcPr>
            <w:tcW w:w="1276" w:type="dxa"/>
            <w:vAlign w:val="center"/>
          </w:tcPr>
          <w:p w14:paraId="3EEF4A30">
            <w:pPr>
              <w:pStyle w:val="12"/>
            </w:pPr>
            <w:r>
              <w:t>项目规划</w:t>
            </w:r>
          </w:p>
        </w:tc>
      </w:tr>
      <w:tr w14:paraId="543BB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6EB73">
            <w:pPr>
              <w:pStyle w:val="13"/>
            </w:pPr>
            <w:r>
              <w:t>效益指标</w:t>
            </w:r>
          </w:p>
        </w:tc>
        <w:tc>
          <w:tcPr>
            <w:tcW w:w="2268" w:type="dxa"/>
            <w:vAlign w:val="center"/>
          </w:tcPr>
          <w:p w14:paraId="2F44B447">
            <w:pPr>
              <w:pStyle w:val="12"/>
            </w:pPr>
            <w:r>
              <w:t>可持续影响指标</w:t>
            </w:r>
          </w:p>
        </w:tc>
        <w:tc>
          <w:tcPr>
            <w:tcW w:w="2835" w:type="dxa"/>
            <w:vAlign w:val="center"/>
          </w:tcPr>
          <w:p w14:paraId="69CCDB6F">
            <w:pPr>
              <w:pStyle w:val="12"/>
            </w:pPr>
            <w:r>
              <w:t>学校办学环境提升</w:t>
            </w:r>
          </w:p>
        </w:tc>
        <w:tc>
          <w:tcPr>
            <w:tcW w:w="5386" w:type="dxa"/>
            <w:vAlign w:val="center"/>
          </w:tcPr>
          <w:p w14:paraId="35207127">
            <w:pPr>
              <w:pStyle w:val="12"/>
            </w:pPr>
            <w:r>
              <w:t>学校教学环境提升优化率</w:t>
            </w:r>
          </w:p>
        </w:tc>
        <w:tc>
          <w:tcPr>
            <w:tcW w:w="2268" w:type="dxa"/>
            <w:vAlign w:val="center"/>
          </w:tcPr>
          <w:p w14:paraId="5B37FD9A">
            <w:pPr>
              <w:pStyle w:val="12"/>
            </w:pPr>
            <w:r>
              <w:t>≥98%</w:t>
            </w:r>
          </w:p>
        </w:tc>
        <w:tc>
          <w:tcPr>
            <w:tcW w:w="1276" w:type="dxa"/>
            <w:vAlign w:val="center"/>
          </w:tcPr>
          <w:p w14:paraId="63B7F294">
            <w:pPr>
              <w:pStyle w:val="12"/>
            </w:pPr>
            <w:r>
              <w:t>项目规划</w:t>
            </w:r>
          </w:p>
        </w:tc>
      </w:tr>
      <w:tr w14:paraId="00B1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A7679">
            <w:pPr>
              <w:pStyle w:val="13"/>
            </w:pPr>
            <w:r>
              <w:t>满意度指标</w:t>
            </w:r>
          </w:p>
        </w:tc>
        <w:tc>
          <w:tcPr>
            <w:tcW w:w="2268" w:type="dxa"/>
            <w:vAlign w:val="center"/>
          </w:tcPr>
          <w:p w14:paraId="787B310E">
            <w:pPr>
              <w:pStyle w:val="12"/>
            </w:pPr>
            <w:r>
              <w:t>服务对象满意度指标</w:t>
            </w:r>
          </w:p>
        </w:tc>
        <w:tc>
          <w:tcPr>
            <w:tcW w:w="2835" w:type="dxa"/>
            <w:vAlign w:val="center"/>
          </w:tcPr>
          <w:p w14:paraId="4E6C05AC">
            <w:pPr>
              <w:pStyle w:val="12"/>
            </w:pPr>
            <w:r>
              <w:t>受益学生家长及调查满意度</w:t>
            </w:r>
          </w:p>
        </w:tc>
        <w:tc>
          <w:tcPr>
            <w:tcW w:w="5386" w:type="dxa"/>
            <w:vAlign w:val="center"/>
          </w:tcPr>
          <w:p w14:paraId="46340820">
            <w:pPr>
              <w:pStyle w:val="12"/>
            </w:pPr>
            <w:r>
              <w:t>学生、教师及家长对学校教学环境满意度情况</w:t>
            </w:r>
          </w:p>
        </w:tc>
        <w:tc>
          <w:tcPr>
            <w:tcW w:w="2268" w:type="dxa"/>
            <w:vAlign w:val="center"/>
          </w:tcPr>
          <w:p w14:paraId="7D02B6FC">
            <w:pPr>
              <w:pStyle w:val="12"/>
            </w:pPr>
            <w:r>
              <w:t>≥95%</w:t>
            </w:r>
          </w:p>
        </w:tc>
        <w:tc>
          <w:tcPr>
            <w:tcW w:w="1276" w:type="dxa"/>
            <w:vAlign w:val="center"/>
          </w:tcPr>
          <w:p w14:paraId="01FE960D">
            <w:pPr>
              <w:pStyle w:val="12"/>
            </w:pPr>
            <w:r>
              <w:t>项目规划</w:t>
            </w:r>
          </w:p>
        </w:tc>
      </w:tr>
    </w:tbl>
    <w:p w14:paraId="019573CD">
      <w:pPr>
        <w:sectPr>
          <w:pgSz w:w="16840" w:h="11900" w:orient="landscape"/>
          <w:pgMar w:top="1361" w:right="1020" w:bottom="1134" w:left="1020" w:header="720" w:footer="720" w:gutter="0"/>
          <w:cols w:space="720" w:num="1"/>
        </w:sectPr>
      </w:pPr>
    </w:p>
    <w:p w14:paraId="7BB4A7E0">
      <w:pPr>
        <w:spacing w:before="0" w:after="0"/>
        <w:ind w:firstLine="560"/>
        <w:jc w:val="left"/>
        <w:outlineLvl w:val="9"/>
      </w:pPr>
      <w:r>
        <w:rPr>
          <w:rFonts w:ascii="方正仿宋_GBK" w:hAnsi="方正仿宋_GBK" w:eastAsia="方正仿宋_GBK" w:cs="方正仿宋_GBK"/>
          <w:b/>
          <w:color w:val="000000"/>
          <w:sz w:val="28"/>
        </w:rPr>
        <w:t>25、冀财教[2025]148号/支持义务教育发展/尹村校区杨村小学公用经费绩效目标表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90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8D026">
            <w:pPr>
              <w:pStyle w:val="11"/>
            </w:pPr>
            <w:r>
              <w:t>单位：万元</w:t>
            </w:r>
          </w:p>
        </w:tc>
      </w:tr>
      <w:tr w14:paraId="2B480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44D21">
            <w:pPr>
              <w:pStyle w:val="10"/>
            </w:pPr>
            <w:r>
              <w:t>项目编码</w:t>
            </w:r>
          </w:p>
        </w:tc>
        <w:tc>
          <w:tcPr>
            <w:tcW w:w="5103" w:type="dxa"/>
            <w:gridSpan w:val="2"/>
            <w:vAlign w:val="center"/>
          </w:tcPr>
          <w:p w14:paraId="2AF66CEF">
            <w:pPr>
              <w:pStyle w:val="12"/>
            </w:pPr>
            <w:r>
              <w:t>13052526P00000210133T</w:t>
            </w:r>
          </w:p>
        </w:tc>
        <w:tc>
          <w:tcPr>
            <w:tcW w:w="2835" w:type="dxa"/>
            <w:vAlign w:val="center"/>
          </w:tcPr>
          <w:p w14:paraId="1BE5121A">
            <w:pPr>
              <w:pStyle w:val="10"/>
            </w:pPr>
            <w:r>
              <w:t>项目名称</w:t>
            </w:r>
          </w:p>
        </w:tc>
        <w:tc>
          <w:tcPr>
            <w:tcW w:w="6095" w:type="dxa"/>
            <w:gridSpan w:val="3"/>
            <w:vAlign w:val="center"/>
          </w:tcPr>
          <w:p w14:paraId="78E9D5AF">
            <w:pPr>
              <w:pStyle w:val="12"/>
            </w:pPr>
            <w:r>
              <w:t>冀财教[2025]148号/支持义务教育发展/尹村校区杨村小学公用经费</w:t>
            </w:r>
          </w:p>
        </w:tc>
      </w:tr>
      <w:tr w14:paraId="547C6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35419">
            <w:pPr>
              <w:pStyle w:val="10"/>
            </w:pPr>
            <w:r>
              <w:t>预算规模及资金用途</w:t>
            </w:r>
          </w:p>
        </w:tc>
        <w:tc>
          <w:tcPr>
            <w:tcW w:w="2268" w:type="dxa"/>
            <w:vAlign w:val="center"/>
          </w:tcPr>
          <w:p w14:paraId="4A4873EE">
            <w:pPr>
              <w:pStyle w:val="10"/>
            </w:pPr>
            <w:r>
              <w:t>预算数</w:t>
            </w:r>
          </w:p>
        </w:tc>
        <w:tc>
          <w:tcPr>
            <w:tcW w:w="2835" w:type="dxa"/>
            <w:vAlign w:val="center"/>
          </w:tcPr>
          <w:p w14:paraId="39A12C14">
            <w:pPr>
              <w:pStyle w:val="12"/>
            </w:pPr>
            <w:r>
              <w:t>6.00</w:t>
            </w:r>
          </w:p>
        </w:tc>
        <w:tc>
          <w:tcPr>
            <w:tcW w:w="2835" w:type="dxa"/>
            <w:vAlign w:val="center"/>
          </w:tcPr>
          <w:p w14:paraId="4C2E7DA8">
            <w:pPr>
              <w:pStyle w:val="10"/>
            </w:pPr>
            <w:r>
              <w:t>其中：财政    资金</w:t>
            </w:r>
          </w:p>
        </w:tc>
        <w:tc>
          <w:tcPr>
            <w:tcW w:w="2551" w:type="dxa"/>
            <w:vAlign w:val="center"/>
          </w:tcPr>
          <w:p w14:paraId="3F066E8D">
            <w:pPr>
              <w:pStyle w:val="12"/>
            </w:pPr>
            <w:r>
              <w:t>6.00</w:t>
            </w:r>
          </w:p>
        </w:tc>
        <w:tc>
          <w:tcPr>
            <w:tcW w:w="2268" w:type="dxa"/>
            <w:vAlign w:val="center"/>
          </w:tcPr>
          <w:p w14:paraId="2256F61A">
            <w:pPr>
              <w:pStyle w:val="10"/>
            </w:pPr>
            <w:r>
              <w:t>其他资金</w:t>
            </w:r>
          </w:p>
        </w:tc>
        <w:tc>
          <w:tcPr>
            <w:tcW w:w="1276" w:type="dxa"/>
            <w:vAlign w:val="center"/>
          </w:tcPr>
          <w:p w14:paraId="18A47595">
            <w:pPr>
              <w:pStyle w:val="12"/>
            </w:pPr>
            <w:r>
              <w:t xml:space="preserve"> </w:t>
            </w:r>
          </w:p>
        </w:tc>
      </w:tr>
      <w:tr w14:paraId="2879B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73AE9"/>
        </w:tc>
        <w:tc>
          <w:tcPr>
            <w:tcW w:w="14033" w:type="dxa"/>
            <w:gridSpan w:val="6"/>
            <w:vAlign w:val="center"/>
          </w:tcPr>
          <w:p w14:paraId="1BCD3FE1">
            <w:pPr>
              <w:pStyle w:val="12"/>
            </w:pPr>
            <w:r>
              <w:t>改善就学条件，提升学校形象，保障幼儿安全，创造良好的校园环境。</w:t>
            </w:r>
          </w:p>
        </w:tc>
      </w:tr>
      <w:tr w14:paraId="59E8B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83EF6">
            <w:pPr>
              <w:pStyle w:val="10"/>
            </w:pPr>
            <w:r>
              <w:t>资金支出计划（%）</w:t>
            </w:r>
          </w:p>
        </w:tc>
        <w:tc>
          <w:tcPr>
            <w:tcW w:w="5103" w:type="dxa"/>
            <w:gridSpan w:val="2"/>
            <w:vAlign w:val="center"/>
          </w:tcPr>
          <w:p w14:paraId="41A5FE98">
            <w:pPr>
              <w:pStyle w:val="10"/>
            </w:pPr>
            <w:r>
              <w:t>3月底</w:t>
            </w:r>
          </w:p>
        </w:tc>
        <w:tc>
          <w:tcPr>
            <w:tcW w:w="2835" w:type="dxa"/>
            <w:vAlign w:val="center"/>
          </w:tcPr>
          <w:p w14:paraId="4F23F7EE">
            <w:pPr>
              <w:pStyle w:val="10"/>
            </w:pPr>
            <w:r>
              <w:t>6月底</w:t>
            </w:r>
          </w:p>
        </w:tc>
        <w:tc>
          <w:tcPr>
            <w:tcW w:w="2551" w:type="dxa"/>
            <w:vAlign w:val="center"/>
          </w:tcPr>
          <w:p w14:paraId="3FF1ABAF">
            <w:pPr>
              <w:pStyle w:val="10"/>
            </w:pPr>
            <w:r>
              <w:t>10月底</w:t>
            </w:r>
          </w:p>
        </w:tc>
        <w:tc>
          <w:tcPr>
            <w:tcW w:w="3544" w:type="dxa"/>
            <w:gridSpan w:val="2"/>
            <w:vAlign w:val="center"/>
          </w:tcPr>
          <w:p w14:paraId="0E2DBA1E">
            <w:pPr>
              <w:pStyle w:val="10"/>
            </w:pPr>
            <w:r>
              <w:t>12月底</w:t>
            </w:r>
          </w:p>
        </w:tc>
      </w:tr>
      <w:tr w14:paraId="05646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6207D"/>
        </w:tc>
        <w:tc>
          <w:tcPr>
            <w:tcW w:w="5103" w:type="dxa"/>
            <w:gridSpan w:val="2"/>
            <w:vAlign w:val="center"/>
          </w:tcPr>
          <w:p w14:paraId="02D4A424">
            <w:pPr>
              <w:pStyle w:val="13"/>
            </w:pPr>
            <w:r>
              <w:t xml:space="preserve"> </w:t>
            </w:r>
          </w:p>
        </w:tc>
        <w:tc>
          <w:tcPr>
            <w:tcW w:w="2835" w:type="dxa"/>
            <w:vAlign w:val="center"/>
          </w:tcPr>
          <w:p w14:paraId="010F48C9">
            <w:pPr>
              <w:pStyle w:val="13"/>
            </w:pPr>
            <w:r>
              <w:t xml:space="preserve"> </w:t>
            </w:r>
          </w:p>
        </w:tc>
        <w:tc>
          <w:tcPr>
            <w:tcW w:w="2551" w:type="dxa"/>
            <w:vAlign w:val="center"/>
          </w:tcPr>
          <w:p w14:paraId="5AA13112">
            <w:pPr>
              <w:pStyle w:val="13"/>
            </w:pPr>
            <w:r>
              <w:t>100%</w:t>
            </w:r>
          </w:p>
        </w:tc>
        <w:tc>
          <w:tcPr>
            <w:tcW w:w="3544" w:type="dxa"/>
            <w:gridSpan w:val="2"/>
            <w:vAlign w:val="center"/>
          </w:tcPr>
          <w:p w14:paraId="14B9ABB3">
            <w:pPr>
              <w:pStyle w:val="13"/>
            </w:pPr>
            <w:r>
              <w:t>100%</w:t>
            </w:r>
          </w:p>
        </w:tc>
      </w:tr>
      <w:tr w14:paraId="49338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5264F">
            <w:pPr>
              <w:pStyle w:val="10"/>
            </w:pPr>
            <w:r>
              <w:t>绩效目标</w:t>
            </w:r>
          </w:p>
        </w:tc>
        <w:tc>
          <w:tcPr>
            <w:tcW w:w="14033" w:type="dxa"/>
            <w:gridSpan w:val="6"/>
            <w:vAlign w:val="center"/>
          </w:tcPr>
          <w:p w14:paraId="21492F65">
            <w:pPr>
              <w:pStyle w:val="12"/>
            </w:pPr>
            <w:r>
              <w:t>1.改善就学条件，提升学校形象，保障幼儿安全，创造良好的校园环境。</w:t>
            </w:r>
          </w:p>
          <w:p w14:paraId="5434AAED">
            <w:pPr>
              <w:pStyle w:val="12"/>
            </w:pPr>
            <w:r>
              <w:t>2.项目需资金6万元，资金拨付率达到100%。</w:t>
            </w:r>
          </w:p>
        </w:tc>
      </w:tr>
    </w:tbl>
    <w:p w14:paraId="2B90C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4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C9D07">
            <w:pPr>
              <w:pStyle w:val="10"/>
            </w:pPr>
            <w:r>
              <w:t>一级指标</w:t>
            </w:r>
          </w:p>
        </w:tc>
        <w:tc>
          <w:tcPr>
            <w:tcW w:w="2268" w:type="dxa"/>
            <w:vAlign w:val="center"/>
          </w:tcPr>
          <w:p w14:paraId="13ABF52D">
            <w:pPr>
              <w:pStyle w:val="10"/>
            </w:pPr>
            <w:r>
              <w:t>二级指标</w:t>
            </w:r>
          </w:p>
        </w:tc>
        <w:tc>
          <w:tcPr>
            <w:tcW w:w="2835" w:type="dxa"/>
            <w:vAlign w:val="center"/>
          </w:tcPr>
          <w:p w14:paraId="0F8FB730">
            <w:pPr>
              <w:pStyle w:val="10"/>
            </w:pPr>
            <w:r>
              <w:t>三级指标</w:t>
            </w:r>
          </w:p>
        </w:tc>
        <w:tc>
          <w:tcPr>
            <w:tcW w:w="5386" w:type="dxa"/>
            <w:vAlign w:val="center"/>
          </w:tcPr>
          <w:p w14:paraId="41755A99">
            <w:pPr>
              <w:pStyle w:val="10"/>
            </w:pPr>
            <w:r>
              <w:t>绩效指标描述</w:t>
            </w:r>
          </w:p>
        </w:tc>
        <w:tc>
          <w:tcPr>
            <w:tcW w:w="2268" w:type="dxa"/>
            <w:vAlign w:val="center"/>
          </w:tcPr>
          <w:p w14:paraId="61A45EC3">
            <w:pPr>
              <w:pStyle w:val="10"/>
            </w:pPr>
            <w:r>
              <w:t>指标值</w:t>
            </w:r>
          </w:p>
        </w:tc>
        <w:tc>
          <w:tcPr>
            <w:tcW w:w="1276" w:type="dxa"/>
            <w:vAlign w:val="center"/>
          </w:tcPr>
          <w:p w14:paraId="428218F6">
            <w:pPr>
              <w:pStyle w:val="10"/>
            </w:pPr>
            <w:r>
              <w:t>指标值确定依据</w:t>
            </w:r>
          </w:p>
        </w:tc>
      </w:tr>
      <w:tr w14:paraId="4B5A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38A1A">
            <w:pPr>
              <w:pStyle w:val="13"/>
            </w:pPr>
            <w:r>
              <w:t>产出指标</w:t>
            </w:r>
          </w:p>
        </w:tc>
        <w:tc>
          <w:tcPr>
            <w:tcW w:w="2268" w:type="dxa"/>
            <w:vAlign w:val="center"/>
          </w:tcPr>
          <w:p w14:paraId="724EA98E">
            <w:pPr>
              <w:pStyle w:val="12"/>
            </w:pPr>
            <w:r>
              <w:t>数量指标</w:t>
            </w:r>
          </w:p>
        </w:tc>
        <w:tc>
          <w:tcPr>
            <w:tcW w:w="2835" w:type="dxa"/>
            <w:vAlign w:val="center"/>
          </w:tcPr>
          <w:p w14:paraId="02CA35BC">
            <w:pPr>
              <w:pStyle w:val="12"/>
            </w:pPr>
            <w:r>
              <w:t>尹村校区杨村小学公用经费</w:t>
            </w:r>
          </w:p>
        </w:tc>
        <w:tc>
          <w:tcPr>
            <w:tcW w:w="5386" w:type="dxa"/>
            <w:vAlign w:val="center"/>
          </w:tcPr>
          <w:p w14:paraId="561298E1">
            <w:pPr>
              <w:pStyle w:val="12"/>
            </w:pPr>
            <w:r>
              <w:t>智慧黑板</w:t>
            </w:r>
          </w:p>
        </w:tc>
        <w:tc>
          <w:tcPr>
            <w:tcW w:w="2268" w:type="dxa"/>
            <w:vAlign w:val="center"/>
          </w:tcPr>
          <w:p w14:paraId="4C63640D">
            <w:pPr>
              <w:pStyle w:val="12"/>
            </w:pPr>
            <w:r>
              <w:t>1项</w:t>
            </w:r>
          </w:p>
        </w:tc>
        <w:tc>
          <w:tcPr>
            <w:tcW w:w="1276" w:type="dxa"/>
            <w:vAlign w:val="center"/>
          </w:tcPr>
          <w:p w14:paraId="089345A6">
            <w:pPr>
              <w:pStyle w:val="12"/>
            </w:pPr>
            <w:r>
              <w:t>项目规划</w:t>
            </w:r>
          </w:p>
        </w:tc>
      </w:tr>
      <w:tr w14:paraId="328E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E089E"/>
        </w:tc>
        <w:tc>
          <w:tcPr>
            <w:tcW w:w="2268" w:type="dxa"/>
            <w:vAlign w:val="center"/>
          </w:tcPr>
          <w:p w14:paraId="10CEC935">
            <w:pPr>
              <w:pStyle w:val="12"/>
            </w:pPr>
            <w:r>
              <w:t>质量指标</w:t>
            </w:r>
          </w:p>
        </w:tc>
        <w:tc>
          <w:tcPr>
            <w:tcW w:w="2835" w:type="dxa"/>
            <w:vAlign w:val="center"/>
          </w:tcPr>
          <w:p w14:paraId="75CD4620">
            <w:pPr>
              <w:pStyle w:val="12"/>
            </w:pPr>
            <w:r>
              <w:t>工程实施验收合格率</w:t>
            </w:r>
          </w:p>
        </w:tc>
        <w:tc>
          <w:tcPr>
            <w:tcW w:w="5386" w:type="dxa"/>
            <w:vAlign w:val="center"/>
          </w:tcPr>
          <w:p w14:paraId="082795BF">
            <w:pPr>
              <w:pStyle w:val="12"/>
            </w:pPr>
            <w:r>
              <w:t>申报程序的合规，项目实施及资金使用符合项目规划</w:t>
            </w:r>
          </w:p>
        </w:tc>
        <w:tc>
          <w:tcPr>
            <w:tcW w:w="2268" w:type="dxa"/>
            <w:vAlign w:val="center"/>
          </w:tcPr>
          <w:p w14:paraId="6F341680">
            <w:pPr>
              <w:pStyle w:val="12"/>
            </w:pPr>
            <w:r>
              <w:t>100%</w:t>
            </w:r>
          </w:p>
        </w:tc>
        <w:tc>
          <w:tcPr>
            <w:tcW w:w="1276" w:type="dxa"/>
            <w:vAlign w:val="center"/>
          </w:tcPr>
          <w:p w14:paraId="3820122C">
            <w:pPr>
              <w:pStyle w:val="12"/>
            </w:pPr>
            <w:r>
              <w:t>项目规划</w:t>
            </w:r>
          </w:p>
        </w:tc>
      </w:tr>
      <w:tr w14:paraId="2EBB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4628C"/>
        </w:tc>
        <w:tc>
          <w:tcPr>
            <w:tcW w:w="2268" w:type="dxa"/>
            <w:vAlign w:val="center"/>
          </w:tcPr>
          <w:p w14:paraId="4B25291D">
            <w:pPr>
              <w:pStyle w:val="12"/>
            </w:pPr>
            <w:r>
              <w:t>时效指标</w:t>
            </w:r>
          </w:p>
        </w:tc>
        <w:tc>
          <w:tcPr>
            <w:tcW w:w="2835" w:type="dxa"/>
            <w:vAlign w:val="center"/>
          </w:tcPr>
          <w:p w14:paraId="2B3BB31B">
            <w:pPr>
              <w:pStyle w:val="12"/>
            </w:pPr>
            <w:r>
              <w:t>资金支付率</w:t>
            </w:r>
          </w:p>
        </w:tc>
        <w:tc>
          <w:tcPr>
            <w:tcW w:w="5386" w:type="dxa"/>
            <w:vAlign w:val="center"/>
          </w:tcPr>
          <w:p w14:paraId="4F99847D">
            <w:pPr>
              <w:pStyle w:val="12"/>
            </w:pPr>
            <w:r>
              <w:t>按照序时进度完成资金支付</w:t>
            </w:r>
          </w:p>
        </w:tc>
        <w:tc>
          <w:tcPr>
            <w:tcW w:w="2268" w:type="dxa"/>
            <w:vAlign w:val="center"/>
          </w:tcPr>
          <w:p w14:paraId="173593DE">
            <w:pPr>
              <w:pStyle w:val="12"/>
            </w:pPr>
            <w:r>
              <w:t>100%</w:t>
            </w:r>
          </w:p>
        </w:tc>
        <w:tc>
          <w:tcPr>
            <w:tcW w:w="1276" w:type="dxa"/>
            <w:vAlign w:val="center"/>
          </w:tcPr>
          <w:p w14:paraId="7C7804D7">
            <w:pPr>
              <w:pStyle w:val="12"/>
            </w:pPr>
            <w:r>
              <w:t>项目规划</w:t>
            </w:r>
          </w:p>
        </w:tc>
      </w:tr>
      <w:tr w14:paraId="60740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9FBA3"/>
        </w:tc>
        <w:tc>
          <w:tcPr>
            <w:tcW w:w="2268" w:type="dxa"/>
            <w:vAlign w:val="center"/>
          </w:tcPr>
          <w:p w14:paraId="4CA42DD2">
            <w:pPr>
              <w:pStyle w:val="12"/>
            </w:pPr>
            <w:r>
              <w:t>成本指标</w:t>
            </w:r>
          </w:p>
        </w:tc>
        <w:tc>
          <w:tcPr>
            <w:tcW w:w="2835" w:type="dxa"/>
            <w:vAlign w:val="center"/>
          </w:tcPr>
          <w:p w14:paraId="361406AE">
            <w:pPr>
              <w:pStyle w:val="12"/>
            </w:pPr>
            <w:r>
              <w:t>项目成本控制情况</w:t>
            </w:r>
          </w:p>
        </w:tc>
        <w:tc>
          <w:tcPr>
            <w:tcW w:w="5386" w:type="dxa"/>
            <w:vAlign w:val="center"/>
          </w:tcPr>
          <w:p w14:paraId="0E15DFC7">
            <w:pPr>
              <w:pStyle w:val="12"/>
            </w:pPr>
            <w:r>
              <w:t>严格按照招标价格及审计额进行</w:t>
            </w:r>
          </w:p>
        </w:tc>
        <w:tc>
          <w:tcPr>
            <w:tcW w:w="2268" w:type="dxa"/>
            <w:vAlign w:val="center"/>
          </w:tcPr>
          <w:p w14:paraId="718CE57E">
            <w:pPr>
              <w:pStyle w:val="12"/>
            </w:pPr>
            <w:r>
              <w:t>6万元</w:t>
            </w:r>
          </w:p>
        </w:tc>
        <w:tc>
          <w:tcPr>
            <w:tcW w:w="1276" w:type="dxa"/>
            <w:vAlign w:val="center"/>
          </w:tcPr>
          <w:p w14:paraId="27A28697">
            <w:pPr>
              <w:pStyle w:val="12"/>
            </w:pPr>
            <w:r>
              <w:t>项目规划</w:t>
            </w:r>
          </w:p>
        </w:tc>
      </w:tr>
      <w:tr w14:paraId="52BC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C4489">
            <w:pPr>
              <w:pStyle w:val="13"/>
            </w:pPr>
            <w:r>
              <w:t>效益指标</w:t>
            </w:r>
          </w:p>
        </w:tc>
        <w:tc>
          <w:tcPr>
            <w:tcW w:w="2268" w:type="dxa"/>
            <w:vAlign w:val="center"/>
          </w:tcPr>
          <w:p w14:paraId="63B6A192">
            <w:pPr>
              <w:pStyle w:val="12"/>
            </w:pPr>
            <w:r>
              <w:t>可持续影响指标</w:t>
            </w:r>
          </w:p>
        </w:tc>
        <w:tc>
          <w:tcPr>
            <w:tcW w:w="2835" w:type="dxa"/>
            <w:vAlign w:val="center"/>
          </w:tcPr>
          <w:p w14:paraId="530FB4BB">
            <w:pPr>
              <w:pStyle w:val="12"/>
            </w:pPr>
            <w:r>
              <w:t>学校办学环境提升</w:t>
            </w:r>
          </w:p>
        </w:tc>
        <w:tc>
          <w:tcPr>
            <w:tcW w:w="5386" w:type="dxa"/>
            <w:vAlign w:val="center"/>
          </w:tcPr>
          <w:p w14:paraId="3F98A2E2">
            <w:pPr>
              <w:pStyle w:val="12"/>
            </w:pPr>
            <w:r>
              <w:t>学校教学环境提升优化率</w:t>
            </w:r>
          </w:p>
        </w:tc>
        <w:tc>
          <w:tcPr>
            <w:tcW w:w="2268" w:type="dxa"/>
            <w:vAlign w:val="center"/>
          </w:tcPr>
          <w:p w14:paraId="12050A11">
            <w:pPr>
              <w:pStyle w:val="12"/>
            </w:pPr>
            <w:r>
              <w:t>≥98%</w:t>
            </w:r>
          </w:p>
        </w:tc>
        <w:tc>
          <w:tcPr>
            <w:tcW w:w="1276" w:type="dxa"/>
            <w:vAlign w:val="center"/>
          </w:tcPr>
          <w:p w14:paraId="47B8DED9">
            <w:pPr>
              <w:pStyle w:val="12"/>
            </w:pPr>
            <w:r>
              <w:t>项目规划</w:t>
            </w:r>
          </w:p>
        </w:tc>
      </w:tr>
      <w:tr w14:paraId="555E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F28D5">
            <w:pPr>
              <w:pStyle w:val="13"/>
            </w:pPr>
            <w:r>
              <w:t>满意度指标</w:t>
            </w:r>
          </w:p>
        </w:tc>
        <w:tc>
          <w:tcPr>
            <w:tcW w:w="2268" w:type="dxa"/>
            <w:vAlign w:val="center"/>
          </w:tcPr>
          <w:p w14:paraId="3018D6C5">
            <w:pPr>
              <w:pStyle w:val="12"/>
            </w:pPr>
            <w:r>
              <w:t>服务对象满意度指标</w:t>
            </w:r>
          </w:p>
        </w:tc>
        <w:tc>
          <w:tcPr>
            <w:tcW w:w="2835" w:type="dxa"/>
            <w:vAlign w:val="center"/>
          </w:tcPr>
          <w:p w14:paraId="1597774D">
            <w:pPr>
              <w:pStyle w:val="12"/>
            </w:pPr>
            <w:r>
              <w:t>受益学生家长及调查满意度</w:t>
            </w:r>
          </w:p>
        </w:tc>
        <w:tc>
          <w:tcPr>
            <w:tcW w:w="5386" w:type="dxa"/>
            <w:vAlign w:val="center"/>
          </w:tcPr>
          <w:p w14:paraId="4518DC1B">
            <w:pPr>
              <w:pStyle w:val="12"/>
            </w:pPr>
            <w:r>
              <w:t>学生、教师及家长对学校教学环境满意度情况</w:t>
            </w:r>
          </w:p>
        </w:tc>
        <w:tc>
          <w:tcPr>
            <w:tcW w:w="2268" w:type="dxa"/>
            <w:vAlign w:val="center"/>
          </w:tcPr>
          <w:p w14:paraId="3B173B2E">
            <w:pPr>
              <w:pStyle w:val="12"/>
            </w:pPr>
            <w:r>
              <w:t>≥95%</w:t>
            </w:r>
          </w:p>
        </w:tc>
        <w:tc>
          <w:tcPr>
            <w:tcW w:w="1276" w:type="dxa"/>
            <w:vAlign w:val="center"/>
          </w:tcPr>
          <w:p w14:paraId="5DB0B0B6">
            <w:pPr>
              <w:pStyle w:val="12"/>
            </w:pPr>
            <w:r>
              <w:t>项目规划</w:t>
            </w:r>
          </w:p>
        </w:tc>
      </w:tr>
    </w:tbl>
    <w:p w14:paraId="16724980">
      <w:pPr>
        <w:sectPr>
          <w:pgSz w:w="16840" w:h="11900" w:orient="landscape"/>
          <w:pgMar w:top="1361" w:right="1020" w:bottom="1134" w:left="1020" w:header="720" w:footer="720" w:gutter="0"/>
          <w:cols w:space="720" w:num="1"/>
        </w:sectPr>
      </w:pPr>
    </w:p>
    <w:p w14:paraId="61CB8F8C">
      <w:pPr>
        <w:spacing w:before="0" w:after="0"/>
        <w:ind w:firstLine="560"/>
        <w:jc w:val="left"/>
        <w:outlineLvl w:val="9"/>
      </w:pPr>
      <w:r>
        <w:rPr>
          <w:rFonts w:ascii="方正仿宋_GBK" w:hAnsi="方正仿宋_GBK" w:eastAsia="方正仿宋_GBK" w:cs="方正仿宋_GBK"/>
          <w:b/>
          <w:color w:val="000000"/>
          <w:sz w:val="28"/>
        </w:rPr>
        <w:t>26、冀财教[2025]149号/省级/2026年学前发展资金/尹村校区学前教育公用经费绩效目标表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E8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D93E9">
            <w:pPr>
              <w:pStyle w:val="11"/>
            </w:pPr>
            <w:r>
              <w:t>单位：万元</w:t>
            </w:r>
          </w:p>
        </w:tc>
      </w:tr>
      <w:tr w14:paraId="068B4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23FBC">
            <w:pPr>
              <w:pStyle w:val="10"/>
            </w:pPr>
            <w:r>
              <w:t>项目编码</w:t>
            </w:r>
          </w:p>
        </w:tc>
        <w:tc>
          <w:tcPr>
            <w:tcW w:w="5103" w:type="dxa"/>
            <w:gridSpan w:val="2"/>
            <w:vAlign w:val="center"/>
          </w:tcPr>
          <w:p w14:paraId="79450240">
            <w:pPr>
              <w:pStyle w:val="12"/>
            </w:pPr>
            <w:r>
              <w:t>13052526P008757101098</w:t>
            </w:r>
          </w:p>
        </w:tc>
        <w:tc>
          <w:tcPr>
            <w:tcW w:w="2835" w:type="dxa"/>
            <w:vAlign w:val="center"/>
          </w:tcPr>
          <w:p w14:paraId="18B5C006">
            <w:pPr>
              <w:pStyle w:val="10"/>
            </w:pPr>
            <w:r>
              <w:t>项目名称</w:t>
            </w:r>
          </w:p>
        </w:tc>
        <w:tc>
          <w:tcPr>
            <w:tcW w:w="6095" w:type="dxa"/>
            <w:gridSpan w:val="3"/>
            <w:vAlign w:val="center"/>
          </w:tcPr>
          <w:p w14:paraId="3550FF52">
            <w:pPr>
              <w:pStyle w:val="12"/>
            </w:pPr>
            <w:r>
              <w:t>冀财教[2025]149号/省级/2026年学前发展资金/尹村校区学前教育公用经费</w:t>
            </w:r>
          </w:p>
        </w:tc>
      </w:tr>
      <w:tr w14:paraId="04D63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244A1">
            <w:pPr>
              <w:pStyle w:val="10"/>
            </w:pPr>
            <w:r>
              <w:t>预算规模及资金用途</w:t>
            </w:r>
          </w:p>
        </w:tc>
        <w:tc>
          <w:tcPr>
            <w:tcW w:w="2268" w:type="dxa"/>
            <w:vAlign w:val="center"/>
          </w:tcPr>
          <w:p w14:paraId="391C6E20">
            <w:pPr>
              <w:pStyle w:val="10"/>
            </w:pPr>
            <w:r>
              <w:t>预算数</w:t>
            </w:r>
          </w:p>
        </w:tc>
        <w:tc>
          <w:tcPr>
            <w:tcW w:w="2835" w:type="dxa"/>
            <w:vAlign w:val="center"/>
          </w:tcPr>
          <w:p w14:paraId="04FB56EA">
            <w:pPr>
              <w:pStyle w:val="12"/>
            </w:pPr>
            <w:r>
              <w:t>9.42</w:t>
            </w:r>
          </w:p>
        </w:tc>
        <w:tc>
          <w:tcPr>
            <w:tcW w:w="2835" w:type="dxa"/>
            <w:vAlign w:val="center"/>
          </w:tcPr>
          <w:p w14:paraId="5E737615">
            <w:pPr>
              <w:pStyle w:val="10"/>
            </w:pPr>
            <w:r>
              <w:t>其中：财政    资金</w:t>
            </w:r>
          </w:p>
        </w:tc>
        <w:tc>
          <w:tcPr>
            <w:tcW w:w="2551" w:type="dxa"/>
            <w:vAlign w:val="center"/>
          </w:tcPr>
          <w:p w14:paraId="2395738E">
            <w:pPr>
              <w:pStyle w:val="12"/>
            </w:pPr>
            <w:r>
              <w:t>9.42</w:t>
            </w:r>
          </w:p>
        </w:tc>
        <w:tc>
          <w:tcPr>
            <w:tcW w:w="2268" w:type="dxa"/>
            <w:vAlign w:val="center"/>
          </w:tcPr>
          <w:p w14:paraId="44E31FC7">
            <w:pPr>
              <w:pStyle w:val="10"/>
            </w:pPr>
            <w:r>
              <w:t>其他资金</w:t>
            </w:r>
          </w:p>
        </w:tc>
        <w:tc>
          <w:tcPr>
            <w:tcW w:w="1276" w:type="dxa"/>
            <w:vAlign w:val="center"/>
          </w:tcPr>
          <w:p w14:paraId="2AE463AC">
            <w:pPr>
              <w:pStyle w:val="12"/>
            </w:pPr>
            <w:r>
              <w:t xml:space="preserve"> </w:t>
            </w:r>
          </w:p>
        </w:tc>
      </w:tr>
      <w:tr w14:paraId="5A2C9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476A0"/>
        </w:tc>
        <w:tc>
          <w:tcPr>
            <w:tcW w:w="14033" w:type="dxa"/>
            <w:gridSpan w:val="6"/>
            <w:vAlign w:val="center"/>
          </w:tcPr>
          <w:p w14:paraId="3CAD559A">
            <w:pPr>
              <w:pStyle w:val="12"/>
            </w:pPr>
            <w:r>
              <w:t>保障幼儿园正常运转，完成教育教学活动和其他日常工作任务等方面的费用支出。</w:t>
            </w:r>
          </w:p>
        </w:tc>
      </w:tr>
      <w:tr w14:paraId="08482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47D04">
            <w:pPr>
              <w:pStyle w:val="10"/>
            </w:pPr>
            <w:r>
              <w:t>资金支出计划（%）</w:t>
            </w:r>
          </w:p>
        </w:tc>
        <w:tc>
          <w:tcPr>
            <w:tcW w:w="5103" w:type="dxa"/>
            <w:gridSpan w:val="2"/>
            <w:vAlign w:val="center"/>
          </w:tcPr>
          <w:p w14:paraId="0F07B967">
            <w:pPr>
              <w:pStyle w:val="10"/>
            </w:pPr>
            <w:r>
              <w:t>3月底</w:t>
            </w:r>
          </w:p>
        </w:tc>
        <w:tc>
          <w:tcPr>
            <w:tcW w:w="2835" w:type="dxa"/>
            <w:vAlign w:val="center"/>
          </w:tcPr>
          <w:p w14:paraId="0509FBBD">
            <w:pPr>
              <w:pStyle w:val="10"/>
            </w:pPr>
            <w:r>
              <w:t>6月底</w:t>
            </w:r>
          </w:p>
        </w:tc>
        <w:tc>
          <w:tcPr>
            <w:tcW w:w="2551" w:type="dxa"/>
            <w:vAlign w:val="center"/>
          </w:tcPr>
          <w:p w14:paraId="11AE4325">
            <w:pPr>
              <w:pStyle w:val="10"/>
            </w:pPr>
            <w:r>
              <w:t>10月底</w:t>
            </w:r>
          </w:p>
        </w:tc>
        <w:tc>
          <w:tcPr>
            <w:tcW w:w="3544" w:type="dxa"/>
            <w:gridSpan w:val="2"/>
            <w:vAlign w:val="center"/>
          </w:tcPr>
          <w:p w14:paraId="383AA8A4">
            <w:pPr>
              <w:pStyle w:val="10"/>
            </w:pPr>
            <w:r>
              <w:t>12月底</w:t>
            </w:r>
          </w:p>
        </w:tc>
      </w:tr>
      <w:tr w14:paraId="5F3E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94F12"/>
        </w:tc>
        <w:tc>
          <w:tcPr>
            <w:tcW w:w="5103" w:type="dxa"/>
            <w:gridSpan w:val="2"/>
            <w:vAlign w:val="center"/>
          </w:tcPr>
          <w:p w14:paraId="1DD6995B">
            <w:pPr>
              <w:pStyle w:val="13"/>
            </w:pPr>
            <w:r>
              <w:t>25%</w:t>
            </w:r>
          </w:p>
        </w:tc>
        <w:tc>
          <w:tcPr>
            <w:tcW w:w="2835" w:type="dxa"/>
            <w:vAlign w:val="center"/>
          </w:tcPr>
          <w:p w14:paraId="7C155B6F">
            <w:pPr>
              <w:pStyle w:val="13"/>
            </w:pPr>
            <w:r>
              <w:t>50%</w:t>
            </w:r>
          </w:p>
        </w:tc>
        <w:tc>
          <w:tcPr>
            <w:tcW w:w="2551" w:type="dxa"/>
            <w:vAlign w:val="center"/>
          </w:tcPr>
          <w:p w14:paraId="1A22146C">
            <w:pPr>
              <w:pStyle w:val="13"/>
            </w:pPr>
            <w:r>
              <w:t>75%</w:t>
            </w:r>
          </w:p>
        </w:tc>
        <w:tc>
          <w:tcPr>
            <w:tcW w:w="3544" w:type="dxa"/>
            <w:gridSpan w:val="2"/>
            <w:vAlign w:val="center"/>
          </w:tcPr>
          <w:p w14:paraId="68EF01ED">
            <w:pPr>
              <w:pStyle w:val="13"/>
            </w:pPr>
            <w:r>
              <w:t>100%</w:t>
            </w:r>
          </w:p>
        </w:tc>
      </w:tr>
      <w:tr w14:paraId="0714E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32424">
            <w:pPr>
              <w:pStyle w:val="10"/>
            </w:pPr>
            <w:r>
              <w:t>绩效目标</w:t>
            </w:r>
          </w:p>
        </w:tc>
        <w:tc>
          <w:tcPr>
            <w:tcW w:w="14033" w:type="dxa"/>
            <w:gridSpan w:val="6"/>
            <w:vAlign w:val="center"/>
          </w:tcPr>
          <w:p w14:paraId="2B5D9776">
            <w:pPr>
              <w:pStyle w:val="12"/>
            </w:pPr>
            <w:r>
              <w:t>1.保障幼儿园正常运转，完成教育教学活动和其他日常工作任务等方面的费用支出。</w:t>
            </w:r>
            <w:r>
              <w:tab/>
            </w:r>
            <w:r>
              <w:tab/>
            </w:r>
          </w:p>
          <w:p w14:paraId="44E0CED6">
            <w:pPr>
              <w:pStyle w:val="12"/>
            </w:pPr>
            <w:r>
              <w:t>2.按季度分批次拨付公用经费资金，资金拨付率达到100%。</w:t>
            </w:r>
            <w:r>
              <w:tab/>
            </w:r>
            <w:r>
              <w:tab/>
            </w:r>
          </w:p>
        </w:tc>
      </w:tr>
    </w:tbl>
    <w:p w14:paraId="16431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F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1A5F5">
            <w:pPr>
              <w:pStyle w:val="10"/>
            </w:pPr>
            <w:r>
              <w:t>一级指标</w:t>
            </w:r>
          </w:p>
        </w:tc>
        <w:tc>
          <w:tcPr>
            <w:tcW w:w="2268" w:type="dxa"/>
            <w:vAlign w:val="center"/>
          </w:tcPr>
          <w:p w14:paraId="39E9770F">
            <w:pPr>
              <w:pStyle w:val="10"/>
            </w:pPr>
            <w:r>
              <w:t>二级指标</w:t>
            </w:r>
          </w:p>
        </w:tc>
        <w:tc>
          <w:tcPr>
            <w:tcW w:w="2835" w:type="dxa"/>
            <w:vAlign w:val="center"/>
          </w:tcPr>
          <w:p w14:paraId="635E1345">
            <w:pPr>
              <w:pStyle w:val="10"/>
            </w:pPr>
            <w:r>
              <w:t>三级指标</w:t>
            </w:r>
          </w:p>
        </w:tc>
        <w:tc>
          <w:tcPr>
            <w:tcW w:w="5386" w:type="dxa"/>
            <w:vAlign w:val="center"/>
          </w:tcPr>
          <w:p w14:paraId="1F2994D8">
            <w:pPr>
              <w:pStyle w:val="10"/>
            </w:pPr>
            <w:r>
              <w:t>绩效指标描述</w:t>
            </w:r>
          </w:p>
        </w:tc>
        <w:tc>
          <w:tcPr>
            <w:tcW w:w="2268" w:type="dxa"/>
            <w:vAlign w:val="center"/>
          </w:tcPr>
          <w:p w14:paraId="47C94B4E">
            <w:pPr>
              <w:pStyle w:val="10"/>
            </w:pPr>
            <w:r>
              <w:t>指标值</w:t>
            </w:r>
          </w:p>
        </w:tc>
        <w:tc>
          <w:tcPr>
            <w:tcW w:w="1276" w:type="dxa"/>
            <w:vAlign w:val="center"/>
          </w:tcPr>
          <w:p w14:paraId="46673531">
            <w:pPr>
              <w:pStyle w:val="10"/>
            </w:pPr>
            <w:r>
              <w:t>指标值确定依据</w:t>
            </w:r>
          </w:p>
        </w:tc>
      </w:tr>
      <w:tr w14:paraId="4332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93BB7">
            <w:pPr>
              <w:pStyle w:val="13"/>
            </w:pPr>
            <w:r>
              <w:t>产出指标</w:t>
            </w:r>
          </w:p>
        </w:tc>
        <w:tc>
          <w:tcPr>
            <w:tcW w:w="2268" w:type="dxa"/>
            <w:vAlign w:val="center"/>
          </w:tcPr>
          <w:p w14:paraId="0BDA4F44">
            <w:pPr>
              <w:pStyle w:val="12"/>
            </w:pPr>
            <w:r>
              <w:t>数量指标</w:t>
            </w:r>
          </w:p>
        </w:tc>
        <w:tc>
          <w:tcPr>
            <w:tcW w:w="2835" w:type="dxa"/>
            <w:vAlign w:val="center"/>
          </w:tcPr>
          <w:p w14:paraId="41FF0C8C">
            <w:pPr>
              <w:pStyle w:val="12"/>
            </w:pPr>
            <w:r>
              <w:t>适龄在园生</w:t>
            </w:r>
          </w:p>
        </w:tc>
        <w:tc>
          <w:tcPr>
            <w:tcW w:w="5386" w:type="dxa"/>
            <w:vAlign w:val="center"/>
          </w:tcPr>
          <w:p w14:paraId="69B92A1B">
            <w:pPr>
              <w:pStyle w:val="12"/>
            </w:pPr>
            <w:r>
              <w:t>适龄在园学生人数</w:t>
            </w:r>
          </w:p>
        </w:tc>
        <w:tc>
          <w:tcPr>
            <w:tcW w:w="2268" w:type="dxa"/>
            <w:vAlign w:val="center"/>
          </w:tcPr>
          <w:p w14:paraId="12DF24CF">
            <w:pPr>
              <w:pStyle w:val="12"/>
            </w:pPr>
            <w:r>
              <w:t>628人</w:t>
            </w:r>
          </w:p>
        </w:tc>
        <w:tc>
          <w:tcPr>
            <w:tcW w:w="1276" w:type="dxa"/>
            <w:vAlign w:val="center"/>
          </w:tcPr>
          <w:p w14:paraId="10AEE98D">
            <w:pPr>
              <w:pStyle w:val="12"/>
            </w:pPr>
            <w:r>
              <w:t>学前发展资金管理方法</w:t>
            </w:r>
          </w:p>
        </w:tc>
      </w:tr>
      <w:tr w14:paraId="47E9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51DED"/>
        </w:tc>
        <w:tc>
          <w:tcPr>
            <w:tcW w:w="2268" w:type="dxa"/>
            <w:vAlign w:val="center"/>
          </w:tcPr>
          <w:p w14:paraId="681EAC2B">
            <w:pPr>
              <w:pStyle w:val="12"/>
            </w:pPr>
            <w:r>
              <w:t>质量指标</w:t>
            </w:r>
          </w:p>
        </w:tc>
        <w:tc>
          <w:tcPr>
            <w:tcW w:w="2835" w:type="dxa"/>
            <w:vAlign w:val="center"/>
          </w:tcPr>
          <w:p w14:paraId="4B930AF1">
            <w:pPr>
              <w:pStyle w:val="12"/>
            </w:pPr>
            <w:r>
              <w:t>预算控制率</w:t>
            </w:r>
          </w:p>
        </w:tc>
        <w:tc>
          <w:tcPr>
            <w:tcW w:w="5386" w:type="dxa"/>
            <w:vAlign w:val="center"/>
          </w:tcPr>
          <w:p w14:paraId="4F64DC36">
            <w:pPr>
              <w:pStyle w:val="12"/>
            </w:pPr>
            <w:r>
              <w:t>预算执行</w:t>
            </w:r>
          </w:p>
        </w:tc>
        <w:tc>
          <w:tcPr>
            <w:tcW w:w="2268" w:type="dxa"/>
            <w:vAlign w:val="center"/>
          </w:tcPr>
          <w:p w14:paraId="726C9AB5">
            <w:pPr>
              <w:pStyle w:val="12"/>
            </w:pPr>
            <w:r>
              <w:t>≥95%</w:t>
            </w:r>
          </w:p>
        </w:tc>
        <w:tc>
          <w:tcPr>
            <w:tcW w:w="1276" w:type="dxa"/>
            <w:vAlign w:val="center"/>
          </w:tcPr>
          <w:p w14:paraId="2F3F3D14">
            <w:pPr>
              <w:pStyle w:val="12"/>
            </w:pPr>
            <w:r>
              <w:t>学前发展资金管理方法</w:t>
            </w:r>
          </w:p>
        </w:tc>
      </w:tr>
      <w:tr w14:paraId="16C3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CA8D4"/>
        </w:tc>
        <w:tc>
          <w:tcPr>
            <w:tcW w:w="2268" w:type="dxa"/>
            <w:vAlign w:val="center"/>
          </w:tcPr>
          <w:p w14:paraId="48CEC8D3">
            <w:pPr>
              <w:pStyle w:val="12"/>
            </w:pPr>
            <w:r>
              <w:t>时效指标</w:t>
            </w:r>
          </w:p>
        </w:tc>
        <w:tc>
          <w:tcPr>
            <w:tcW w:w="2835" w:type="dxa"/>
            <w:vAlign w:val="center"/>
          </w:tcPr>
          <w:p w14:paraId="6FBE0197">
            <w:pPr>
              <w:pStyle w:val="12"/>
            </w:pPr>
            <w:r>
              <w:t>资金支付率</w:t>
            </w:r>
          </w:p>
        </w:tc>
        <w:tc>
          <w:tcPr>
            <w:tcW w:w="5386" w:type="dxa"/>
            <w:vAlign w:val="center"/>
          </w:tcPr>
          <w:p w14:paraId="09B8D50B">
            <w:pPr>
              <w:pStyle w:val="12"/>
            </w:pPr>
            <w:r>
              <w:t>按照序时进度完成资金支付</w:t>
            </w:r>
          </w:p>
        </w:tc>
        <w:tc>
          <w:tcPr>
            <w:tcW w:w="2268" w:type="dxa"/>
            <w:vAlign w:val="center"/>
          </w:tcPr>
          <w:p w14:paraId="3FFBB8C1">
            <w:pPr>
              <w:pStyle w:val="12"/>
            </w:pPr>
            <w:r>
              <w:t>100%</w:t>
            </w:r>
          </w:p>
        </w:tc>
        <w:tc>
          <w:tcPr>
            <w:tcW w:w="1276" w:type="dxa"/>
            <w:vAlign w:val="center"/>
          </w:tcPr>
          <w:p w14:paraId="668A9F74">
            <w:pPr>
              <w:pStyle w:val="12"/>
            </w:pPr>
            <w:r>
              <w:t>学前发展资金管理方法</w:t>
            </w:r>
          </w:p>
        </w:tc>
      </w:tr>
      <w:tr w14:paraId="0CD1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1AF92"/>
        </w:tc>
        <w:tc>
          <w:tcPr>
            <w:tcW w:w="2268" w:type="dxa"/>
            <w:vAlign w:val="center"/>
          </w:tcPr>
          <w:p w14:paraId="13A8AE65">
            <w:pPr>
              <w:pStyle w:val="12"/>
            </w:pPr>
            <w:r>
              <w:t>成本指标</w:t>
            </w:r>
          </w:p>
        </w:tc>
        <w:tc>
          <w:tcPr>
            <w:tcW w:w="2835" w:type="dxa"/>
            <w:vAlign w:val="center"/>
          </w:tcPr>
          <w:p w14:paraId="67D4E326">
            <w:pPr>
              <w:pStyle w:val="12"/>
            </w:pPr>
            <w:r>
              <w:t>生均拨款标准</w:t>
            </w:r>
          </w:p>
        </w:tc>
        <w:tc>
          <w:tcPr>
            <w:tcW w:w="5386" w:type="dxa"/>
            <w:vAlign w:val="center"/>
          </w:tcPr>
          <w:p w14:paraId="7B5527F0">
            <w:pPr>
              <w:pStyle w:val="12"/>
            </w:pPr>
            <w:r>
              <w:t>学前：（基本标准600元/生/学年）</w:t>
            </w:r>
          </w:p>
        </w:tc>
        <w:tc>
          <w:tcPr>
            <w:tcW w:w="2268" w:type="dxa"/>
            <w:vAlign w:val="center"/>
          </w:tcPr>
          <w:p w14:paraId="46994BC8">
            <w:pPr>
              <w:pStyle w:val="12"/>
            </w:pPr>
            <w:r>
              <w:t>600元</w:t>
            </w:r>
          </w:p>
        </w:tc>
        <w:tc>
          <w:tcPr>
            <w:tcW w:w="1276" w:type="dxa"/>
            <w:vAlign w:val="center"/>
          </w:tcPr>
          <w:p w14:paraId="47C63C9D">
            <w:pPr>
              <w:pStyle w:val="12"/>
            </w:pPr>
            <w:r>
              <w:t>学前发展资金管理方法</w:t>
            </w:r>
          </w:p>
        </w:tc>
      </w:tr>
      <w:tr w14:paraId="0B10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D3FB3">
            <w:pPr>
              <w:pStyle w:val="13"/>
            </w:pPr>
            <w:r>
              <w:t>效益指标</w:t>
            </w:r>
          </w:p>
        </w:tc>
        <w:tc>
          <w:tcPr>
            <w:tcW w:w="2268" w:type="dxa"/>
            <w:vAlign w:val="center"/>
          </w:tcPr>
          <w:p w14:paraId="37C3969B">
            <w:pPr>
              <w:pStyle w:val="12"/>
            </w:pPr>
            <w:r>
              <w:t>可持续影响指标</w:t>
            </w:r>
          </w:p>
        </w:tc>
        <w:tc>
          <w:tcPr>
            <w:tcW w:w="2835" w:type="dxa"/>
            <w:vAlign w:val="center"/>
          </w:tcPr>
          <w:p w14:paraId="20E2F8C7">
            <w:pPr>
              <w:pStyle w:val="12"/>
            </w:pPr>
            <w:r>
              <w:t>学校运转得到提升</w:t>
            </w:r>
          </w:p>
        </w:tc>
        <w:tc>
          <w:tcPr>
            <w:tcW w:w="5386" w:type="dxa"/>
            <w:vAlign w:val="center"/>
          </w:tcPr>
          <w:p w14:paraId="31BC473D">
            <w:pPr>
              <w:pStyle w:val="12"/>
            </w:pPr>
            <w:r>
              <w:t>幼儿受教育年限</w:t>
            </w:r>
          </w:p>
        </w:tc>
        <w:tc>
          <w:tcPr>
            <w:tcW w:w="2268" w:type="dxa"/>
            <w:vAlign w:val="center"/>
          </w:tcPr>
          <w:p w14:paraId="27510279">
            <w:pPr>
              <w:pStyle w:val="12"/>
            </w:pPr>
            <w:r>
              <w:t>3年</w:t>
            </w:r>
          </w:p>
        </w:tc>
        <w:tc>
          <w:tcPr>
            <w:tcW w:w="1276" w:type="dxa"/>
            <w:vAlign w:val="center"/>
          </w:tcPr>
          <w:p w14:paraId="630A4163">
            <w:pPr>
              <w:pStyle w:val="12"/>
            </w:pPr>
            <w:r>
              <w:t>学前发展资金管理方法</w:t>
            </w:r>
          </w:p>
        </w:tc>
      </w:tr>
      <w:tr w14:paraId="068E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806BB">
            <w:pPr>
              <w:pStyle w:val="13"/>
            </w:pPr>
            <w:r>
              <w:t>满意度指标</w:t>
            </w:r>
          </w:p>
        </w:tc>
        <w:tc>
          <w:tcPr>
            <w:tcW w:w="2268" w:type="dxa"/>
            <w:vAlign w:val="center"/>
          </w:tcPr>
          <w:p w14:paraId="23A40AC0">
            <w:pPr>
              <w:pStyle w:val="12"/>
            </w:pPr>
            <w:r>
              <w:t>服务对象满意度指标</w:t>
            </w:r>
          </w:p>
        </w:tc>
        <w:tc>
          <w:tcPr>
            <w:tcW w:w="2835" w:type="dxa"/>
            <w:vAlign w:val="center"/>
          </w:tcPr>
          <w:p w14:paraId="1C918FFA">
            <w:pPr>
              <w:pStyle w:val="12"/>
            </w:pPr>
            <w:r>
              <w:t>受益学生家长及调查满意度</w:t>
            </w:r>
          </w:p>
        </w:tc>
        <w:tc>
          <w:tcPr>
            <w:tcW w:w="5386" w:type="dxa"/>
            <w:vAlign w:val="center"/>
          </w:tcPr>
          <w:p w14:paraId="20B9D927">
            <w:pPr>
              <w:pStyle w:val="12"/>
            </w:pPr>
            <w:r>
              <w:t>学生、教师及家长对学校保教保育工作满意度情况</w:t>
            </w:r>
          </w:p>
        </w:tc>
        <w:tc>
          <w:tcPr>
            <w:tcW w:w="2268" w:type="dxa"/>
            <w:vAlign w:val="center"/>
          </w:tcPr>
          <w:p w14:paraId="27A1A30B">
            <w:pPr>
              <w:pStyle w:val="12"/>
            </w:pPr>
            <w:r>
              <w:t>≥95%</w:t>
            </w:r>
          </w:p>
        </w:tc>
        <w:tc>
          <w:tcPr>
            <w:tcW w:w="1276" w:type="dxa"/>
            <w:vAlign w:val="center"/>
          </w:tcPr>
          <w:p w14:paraId="2C02D8BE">
            <w:pPr>
              <w:pStyle w:val="12"/>
            </w:pPr>
            <w:r>
              <w:t>群众测评</w:t>
            </w:r>
          </w:p>
        </w:tc>
      </w:tr>
    </w:tbl>
    <w:p w14:paraId="41A17CC2">
      <w:pPr>
        <w:sectPr>
          <w:pgSz w:w="16840" w:h="11900" w:orient="landscape"/>
          <w:pgMar w:top="1361" w:right="1020" w:bottom="1134" w:left="1020" w:header="720" w:footer="720" w:gutter="0"/>
          <w:cols w:space="720" w:num="1"/>
        </w:sectPr>
      </w:pPr>
    </w:p>
    <w:p w14:paraId="6091A072">
      <w:pPr>
        <w:spacing w:before="0" w:after="0"/>
        <w:ind w:firstLine="560"/>
        <w:jc w:val="left"/>
        <w:outlineLvl w:val="9"/>
      </w:pPr>
      <w:r>
        <w:rPr>
          <w:rFonts w:ascii="方正仿宋_GBK" w:hAnsi="方正仿宋_GBK" w:eastAsia="方正仿宋_GBK" w:cs="方正仿宋_GBK"/>
          <w:b/>
          <w:color w:val="000000"/>
          <w:sz w:val="28"/>
        </w:rPr>
        <w:t>27、冀财教[2025]149号/省级/2026年学前发展资金/尹村校区学前教育幼儿资助绩效目标表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D7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58ADC">
            <w:pPr>
              <w:pStyle w:val="11"/>
            </w:pPr>
            <w:r>
              <w:t>单位：万元</w:t>
            </w:r>
          </w:p>
        </w:tc>
      </w:tr>
      <w:tr w14:paraId="4F23E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402B0">
            <w:pPr>
              <w:pStyle w:val="10"/>
            </w:pPr>
            <w:r>
              <w:t>项目编码</w:t>
            </w:r>
          </w:p>
        </w:tc>
        <w:tc>
          <w:tcPr>
            <w:tcW w:w="5103" w:type="dxa"/>
            <w:gridSpan w:val="2"/>
            <w:vAlign w:val="center"/>
          </w:tcPr>
          <w:p w14:paraId="0477D4A1">
            <w:pPr>
              <w:pStyle w:val="12"/>
            </w:pPr>
            <w:r>
              <w:t>13052526P00000210072D</w:t>
            </w:r>
          </w:p>
        </w:tc>
        <w:tc>
          <w:tcPr>
            <w:tcW w:w="2835" w:type="dxa"/>
            <w:vAlign w:val="center"/>
          </w:tcPr>
          <w:p w14:paraId="44581D0B">
            <w:pPr>
              <w:pStyle w:val="10"/>
            </w:pPr>
            <w:r>
              <w:t>项目名称</w:t>
            </w:r>
          </w:p>
        </w:tc>
        <w:tc>
          <w:tcPr>
            <w:tcW w:w="6095" w:type="dxa"/>
            <w:gridSpan w:val="3"/>
            <w:vAlign w:val="center"/>
          </w:tcPr>
          <w:p w14:paraId="7F3B8068">
            <w:pPr>
              <w:pStyle w:val="12"/>
            </w:pPr>
            <w:r>
              <w:t>冀财教[2025]149号/省级/2026年学前发展资金/尹村校区学前教育幼儿资助</w:t>
            </w:r>
          </w:p>
        </w:tc>
      </w:tr>
      <w:tr w14:paraId="5E673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4A458">
            <w:pPr>
              <w:pStyle w:val="10"/>
            </w:pPr>
            <w:r>
              <w:t>预算规模及资金用途</w:t>
            </w:r>
          </w:p>
        </w:tc>
        <w:tc>
          <w:tcPr>
            <w:tcW w:w="2268" w:type="dxa"/>
            <w:vAlign w:val="center"/>
          </w:tcPr>
          <w:p w14:paraId="7992E236">
            <w:pPr>
              <w:pStyle w:val="10"/>
            </w:pPr>
            <w:r>
              <w:t>预算数</w:t>
            </w:r>
          </w:p>
        </w:tc>
        <w:tc>
          <w:tcPr>
            <w:tcW w:w="2835" w:type="dxa"/>
            <w:vAlign w:val="center"/>
          </w:tcPr>
          <w:p w14:paraId="468DE207">
            <w:pPr>
              <w:pStyle w:val="12"/>
            </w:pPr>
            <w:r>
              <w:t>1.02</w:t>
            </w:r>
          </w:p>
        </w:tc>
        <w:tc>
          <w:tcPr>
            <w:tcW w:w="2835" w:type="dxa"/>
            <w:vAlign w:val="center"/>
          </w:tcPr>
          <w:p w14:paraId="1DB4B3CA">
            <w:pPr>
              <w:pStyle w:val="10"/>
            </w:pPr>
            <w:r>
              <w:t>其中：财政    资金</w:t>
            </w:r>
          </w:p>
        </w:tc>
        <w:tc>
          <w:tcPr>
            <w:tcW w:w="2551" w:type="dxa"/>
            <w:vAlign w:val="center"/>
          </w:tcPr>
          <w:p w14:paraId="4A5F5596">
            <w:pPr>
              <w:pStyle w:val="12"/>
            </w:pPr>
            <w:r>
              <w:t>1.02</w:t>
            </w:r>
          </w:p>
        </w:tc>
        <w:tc>
          <w:tcPr>
            <w:tcW w:w="2268" w:type="dxa"/>
            <w:vAlign w:val="center"/>
          </w:tcPr>
          <w:p w14:paraId="70A3D797">
            <w:pPr>
              <w:pStyle w:val="10"/>
            </w:pPr>
            <w:r>
              <w:t>其他资金</w:t>
            </w:r>
          </w:p>
        </w:tc>
        <w:tc>
          <w:tcPr>
            <w:tcW w:w="1276" w:type="dxa"/>
            <w:vAlign w:val="center"/>
          </w:tcPr>
          <w:p w14:paraId="049856EC">
            <w:pPr>
              <w:pStyle w:val="12"/>
            </w:pPr>
            <w:r>
              <w:t xml:space="preserve"> </w:t>
            </w:r>
          </w:p>
        </w:tc>
      </w:tr>
      <w:tr w14:paraId="722C8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3E7CF"/>
        </w:tc>
        <w:tc>
          <w:tcPr>
            <w:tcW w:w="14033" w:type="dxa"/>
            <w:gridSpan w:val="6"/>
            <w:vAlign w:val="center"/>
          </w:tcPr>
          <w:p w14:paraId="3EFB3B5D">
            <w:pPr>
              <w:pStyle w:val="12"/>
            </w:pPr>
            <w:r>
              <w:t>保证本年度资助经费足额落实到位，符合享受资助条件的学生应助尽助。</w:t>
            </w:r>
          </w:p>
        </w:tc>
      </w:tr>
      <w:tr w14:paraId="78D84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5E360">
            <w:pPr>
              <w:pStyle w:val="10"/>
            </w:pPr>
            <w:r>
              <w:t>资金支出计划（%）</w:t>
            </w:r>
          </w:p>
        </w:tc>
        <w:tc>
          <w:tcPr>
            <w:tcW w:w="5103" w:type="dxa"/>
            <w:gridSpan w:val="2"/>
            <w:vAlign w:val="center"/>
          </w:tcPr>
          <w:p w14:paraId="4C1408C5">
            <w:pPr>
              <w:pStyle w:val="10"/>
            </w:pPr>
            <w:r>
              <w:t>3月底</w:t>
            </w:r>
          </w:p>
        </w:tc>
        <w:tc>
          <w:tcPr>
            <w:tcW w:w="2835" w:type="dxa"/>
            <w:vAlign w:val="center"/>
          </w:tcPr>
          <w:p w14:paraId="488173F8">
            <w:pPr>
              <w:pStyle w:val="10"/>
            </w:pPr>
            <w:r>
              <w:t>6月底</w:t>
            </w:r>
          </w:p>
        </w:tc>
        <w:tc>
          <w:tcPr>
            <w:tcW w:w="2551" w:type="dxa"/>
            <w:vAlign w:val="center"/>
          </w:tcPr>
          <w:p w14:paraId="553E1C27">
            <w:pPr>
              <w:pStyle w:val="10"/>
            </w:pPr>
            <w:r>
              <w:t>10月底</w:t>
            </w:r>
          </w:p>
        </w:tc>
        <w:tc>
          <w:tcPr>
            <w:tcW w:w="3544" w:type="dxa"/>
            <w:gridSpan w:val="2"/>
            <w:vAlign w:val="center"/>
          </w:tcPr>
          <w:p w14:paraId="06B1BD1A">
            <w:pPr>
              <w:pStyle w:val="10"/>
            </w:pPr>
            <w:r>
              <w:t>12月底</w:t>
            </w:r>
          </w:p>
        </w:tc>
      </w:tr>
      <w:tr w14:paraId="130AE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A98EB"/>
        </w:tc>
        <w:tc>
          <w:tcPr>
            <w:tcW w:w="5103" w:type="dxa"/>
            <w:gridSpan w:val="2"/>
            <w:vAlign w:val="center"/>
          </w:tcPr>
          <w:p w14:paraId="26352706">
            <w:pPr>
              <w:pStyle w:val="13"/>
            </w:pPr>
            <w:r>
              <w:t>25%</w:t>
            </w:r>
          </w:p>
        </w:tc>
        <w:tc>
          <w:tcPr>
            <w:tcW w:w="2835" w:type="dxa"/>
            <w:vAlign w:val="center"/>
          </w:tcPr>
          <w:p w14:paraId="14EB2C26">
            <w:pPr>
              <w:pStyle w:val="13"/>
            </w:pPr>
            <w:r>
              <w:t>50%</w:t>
            </w:r>
          </w:p>
        </w:tc>
        <w:tc>
          <w:tcPr>
            <w:tcW w:w="2551" w:type="dxa"/>
            <w:vAlign w:val="center"/>
          </w:tcPr>
          <w:p w14:paraId="15D20266">
            <w:pPr>
              <w:pStyle w:val="13"/>
            </w:pPr>
            <w:r>
              <w:t>75%</w:t>
            </w:r>
          </w:p>
        </w:tc>
        <w:tc>
          <w:tcPr>
            <w:tcW w:w="3544" w:type="dxa"/>
            <w:gridSpan w:val="2"/>
            <w:vAlign w:val="center"/>
          </w:tcPr>
          <w:p w14:paraId="7A5D4696">
            <w:pPr>
              <w:pStyle w:val="13"/>
            </w:pPr>
            <w:r>
              <w:t>100%</w:t>
            </w:r>
          </w:p>
        </w:tc>
      </w:tr>
      <w:tr w14:paraId="199C8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86752">
            <w:pPr>
              <w:pStyle w:val="10"/>
            </w:pPr>
            <w:r>
              <w:t>绩效目标</w:t>
            </w:r>
          </w:p>
        </w:tc>
        <w:tc>
          <w:tcPr>
            <w:tcW w:w="14033" w:type="dxa"/>
            <w:gridSpan w:val="6"/>
            <w:vAlign w:val="center"/>
          </w:tcPr>
          <w:p w14:paraId="1E082D74">
            <w:pPr>
              <w:pStyle w:val="12"/>
            </w:pPr>
            <w:r>
              <w:t>1.保证本年度资助经费足额落实到位，符合享受资助条件的学生应助尽助。</w:t>
            </w:r>
          </w:p>
        </w:tc>
      </w:tr>
    </w:tbl>
    <w:p w14:paraId="0A64A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C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BD4AD">
            <w:pPr>
              <w:pStyle w:val="10"/>
            </w:pPr>
            <w:r>
              <w:t>一级指标</w:t>
            </w:r>
          </w:p>
        </w:tc>
        <w:tc>
          <w:tcPr>
            <w:tcW w:w="2268" w:type="dxa"/>
            <w:vAlign w:val="center"/>
          </w:tcPr>
          <w:p w14:paraId="489289B2">
            <w:pPr>
              <w:pStyle w:val="10"/>
            </w:pPr>
            <w:r>
              <w:t>二级指标</w:t>
            </w:r>
          </w:p>
        </w:tc>
        <w:tc>
          <w:tcPr>
            <w:tcW w:w="2835" w:type="dxa"/>
            <w:vAlign w:val="center"/>
          </w:tcPr>
          <w:p w14:paraId="22FBADDD">
            <w:pPr>
              <w:pStyle w:val="10"/>
            </w:pPr>
            <w:r>
              <w:t>三级指标</w:t>
            </w:r>
          </w:p>
        </w:tc>
        <w:tc>
          <w:tcPr>
            <w:tcW w:w="5386" w:type="dxa"/>
            <w:vAlign w:val="center"/>
          </w:tcPr>
          <w:p w14:paraId="1B047F7C">
            <w:pPr>
              <w:pStyle w:val="10"/>
            </w:pPr>
            <w:r>
              <w:t>绩效指标描述</w:t>
            </w:r>
          </w:p>
        </w:tc>
        <w:tc>
          <w:tcPr>
            <w:tcW w:w="2268" w:type="dxa"/>
            <w:vAlign w:val="center"/>
          </w:tcPr>
          <w:p w14:paraId="633E4A55">
            <w:pPr>
              <w:pStyle w:val="10"/>
            </w:pPr>
            <w:r>
              <w:t>指标值</w:t>
            </w:r>
          </w:p>
        </w:tc>
        <w:tc>
          <w:tcPr>
            <w:tcW w:w="1276" w:type="dxa"/>
            <w:vAlign w:val="center"/>
          </w:tcPr>
          <w:p w14:paraId="3A1AF205">
            <w:pPr>
              <w:pStyle w:val="10"/>
            </w:pPr>
            <w:r>
              <w:t>指标值确定依据</w:t>
            </w:r>
          </w:p>
        </w:tc>
      </w:tr>
      <w:tr w14:paraId="1371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67301">
            <w:pPr>
              <w:pStyle w:val="13"/>
            </w:pPr>
            <w:r>
              <w:t>产出指标</w:t>
            </w:r>
          </w:p>
        </w:tc>
        <w:tc>
          <w:tcPr>
            <w:tcW w:w="2268" w:type="dxa"/>
            <w:vAlign w:val="center"/>
          </w:tcPr>
          <w:p w14:paraId="7CBB939A">
            <w:pPr>
              <w:pStyle w:val="12"/>
            </w:pPr>
            <w:r>
              <w:t>数量指标</w:t>
            </w:r>
          </w:p>
        </w:tc>
        <w:tc>
          <w:tcPr>
            <w:tcW w:w="2835" w:type="dxa"/>
            <w:vAlign w:val="center"/>
          </w:tcPr>
          <w:p w14:paraId="4ADFBE47">
            <w:pPr>
              <w:pStyle w:val="12"/>
            </w:pPr>
            <w:r>
              <w:t xml:space="preserve"> 幼儿资助人数</w:t>
            </w:r>
          </w:p>
        </w:tc>
        <w:tc>
          <w:tcPr>
            <w:tcW w:w="5386" w:type="dxa"/>
            <w:vAlign w:val="center"/>
          </w:tcPr>
          <w:p w14:paraId="4D56AAB2">
            <w:pPr>
              <w:pStyle w:val="12"/>
            </w:pPr>
            <w:r>
              <w:t xml:space="preserve"> 幼儿资助人数</w:t>
            </w:r>
          </w:p>
        </w:tc>
        <w:tc>
          <w:tcPr>
            <w:tcW w:w="2268" w:type="dxa"/>
            <w:vAlign w:val="center"/>
          </w:tcPr>
          <w:p w14:paraId="336F428A">
            <w:pPr>
              <w:pStyle w:val="12"/>
            </w:pPr>
            <w:r>
              <w:t>51 人</w:t>
            </w:r>
          </w:p>
        </w:tc>
        <w:tc>
          <w:tcPr>
            <w:tcW w:w="1276" w:type="dxa"/>
            <w:vAlign w:val="center"/>
          </w:tcPr>
          <w:p w14:paraId="5D70B427">
            <w:pPr>
              <w:pStyle w:val="12"/>
            </w:pPr>
            <w:r>
              <w:t>幼儿资助经费管理办法</w:t>
            </w:r>
          </w:p>
        </w:tc>
      </w:tr>
      <w:tr w14:paraId="5EC2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B0C36"/>
        </w:tc>
        <w:tc>
          <w:tcPr>
            <w:tcW w:w="2268" w:type="dxa"/>
            <w:vAlign w:val="center"/>
          </w:tcPr>
          <w:p w14:paraId="2E55055A">
            <w:pPr>
              <w:pStyle w:val="12"/>
            </w:pPr>
            <w:r>
              <w:t>质量指标</w:t>
            </w:r>
          </w:p>
        </w:tc>
        <w:tc>
          <w:tcPr>
            <w:tcW w:w="2835" w:type="dxa"/>
            <w:vAlign w:val="center"/>
          </w:tcPr>
          <w:p w14:paraId="42FF7EC0">
            <w:pPr>
              <w:pStyle w:val="12"/>
            </w:pPr>
            <w:r>
              <w:t>资助资金使用率</w:t>
            </w:r>
          </w:p>
        </w:tc>
        <w:tc>
          <w:tcPr>
            <w:tcW w:w="5386" w:type="dxa"/>
            <w:vAlign w:val="center"/>
          </w:tcPr>
          <w:p w14:paraId="32A69898">
            <w:pPr>
              <w:pStyle w:val="12"/>
            </w:pPr>
            <w:r>
              <w:t>符合享受资助条件的学生应助尽助</w:t>
            </w:r>
          </w:p>
        </w:tc>
        <w:tc>
          <w:tcPr>
            <w:tcW w:w="2268" w:type="dxa"/>
            <w:vAlign w:val="center"/>
          </w:tcPr>
          <w:p w14:paraId="056A1285">
            <w:pPr>
              <w:pStyle w:val="12"/>
            </w:pPr>
            <w:r>
              <w:t>100%</w:t>
            </w:r>
          </w:p>
        </w:tc>
        <w:tc>
          <w:tcPr>
            <w:tcW w:w="1276" w:type="dxa"/>
            <w:vAlign w:val="center"/>
          </w:tcPr>
          <w:p w14:paraId="5640BD45">
            <w:pPr>
              <w:pStyle w:val="12"/>
            </w:pPr>
            <w:r>
              <w:t>幼儿资助经费管理办法</w:t>
            </w:r>
          </w:p>
        </w:tc>
      </w:tr>
      <w:tr w14:paraId="7880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3B1CE"/>
        </w:tc>
        <w:tc>
          <w:tcPr>
            <w:tcW w:w="2268" w:type="dxa"/>
            <w:vAlign w:val="center"/>
          </w:tcPr>
          <w:p w14:paraId="643CFDF4">
            <w:pPr>
              <w:pStyle w:val="12"/>
            </w:pPr>
            <w:r>
              <w:t>时效指标</w:t>
            </w:r>
          </w:p>
        </w:tc>
        <w:tc>
          <w:tcPr>
            <w:tcW w:w="2835" w:type="dxa"/>
            <w:vAlign w:val="center"/>
          </w:tcPr>
          <w:p w14:paraId="10695BE9">
            <w:pPr>
              <w:pStyle w:val="12"/>
            </w:pPr>
            <w:r>
              <w:t>资金拨付率</w:t>
            </w:r>
          </w:p>
        </w:tc>
        <w:tc>
          <w:tcPr>
            <w:tcW w:w="5386" w:type="dxa"/>
            <w:vAlign w:val="center"/>
          </w:tcPr>
          <w:p w14:paraId="7E88F914">
            <w:pPr>
              <w:pStyle w:val="12"/>
            </w:pPr>
            <w:r>
              <w:t>所有项目资金支付进度</w:t>
            </w:r>
          </w:p>
        </w:tc>
        <w:tc>
          <w:tcPr>
            <w:tcW w:w="2268" w:type="dxa"/>
            <w:vAlign w:val="center"/>
          </w:tcPr>
          <w:p w14:paraId="77A9D5DB">
            <w:pPr>
              <w:pStyle w:val="12"/>
            </w:pPr>
            <w:r>
              <w:t>100%</w:t>
            </w:r>
          </w:p>
        </w:tc>
        <w:tc>
          <w:tcPr>
            <w:tcW w:w="1276" w:type="dxa"/>
            <w:vAlign w:val="center"/>
          </w:tcPr>
          <w:p w14:paraId="4EE9469E">
            <w:pPr>
              <w:pStyle w:val="12"/>
            </w:pPr>
            <w:r>
              <w:t>幼儿资助经费管理办法</w:t>
            </w:r>
          </w:p>
        </w:tc>
      </w:tr>
      <w:tr w14:paraId="2098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5B492"/>
        </w:tc>
        <w:tc>
          <w:tcPr>
            <w:tcW w:w="2268" w:type="dxa"/>
            <w:vAlign w:val="center"/>
          </w:tcPr>
          <w:p w14:paraId="255BB53A">
            <w:pPr>
              <w:pStyle w:val="12"/>
            </w:pPr>
            <w:r>
              <w:t>成本指标</w:t>
            </w:r>
          </w:p>
        </w:tc>
        <w:tc>
          <w:tcPr>
            <w:tcW w:w="2835" w:type="dxa"/>
            <w:vAlign w:val="center"/>
          </w:tcPr>
          <w:p w14:paraId="140DA82B">
            <w:pPr>
              <w:pStyle w:val="12"/>
            </w:pPr>
            <w:r>
              <w:t>幼儿园生均成本</w:t>
            </w:r>
          </w:p>
        </w:tc>
        <w:tc>
          <w:tcPr>
            <w:tcW w:w="5386" w:type="dxa"/>
            <w:vAlign w:val="center"/>
          </w:tcPr>
          <w:p w14:paraId="44DE0402">
            <w:pPr>
              <w:pStyle w:val="12"/>
            </w:pPr>
            <w:r>
              <w:t>按照幼儿园资助标准1000元/生/年</w:t>
            </w:r>
          </w:p>
        </w:tc>
        <w:tc>
          <w:tcPr>
            <w:tcW w:w="2268" w:type="dxa"/>
            <w:vAlign w:val="center"/>
          </w:tcPr>
          <w:p w14:paraId="477E63A0">
            <w:pPr>
              <w:pStyle w:val="12"/>
            </w:pPr>
            <w:r>
              <w:t>1000元</w:t>
            </w:r>
          </w:p>
        </w:tc>
        <w:tc>
          <w:tcPr>
            <w:tcW w:w="1276" w:type="dxa"/>
            <w:vAlign w:val="center"/>
          </w:tcPr>
          <w:p w14:paraId="6E660503">
            <w:pPr>
              <w:pStyle w:val="12"/>
            </w:pPr>
            <w:r>
              <w:t>幼儿资助经费管理办法</w:t>
            </w:r>
          </w:p>
        </w:tc>
      </w:tr>
      <w:tr w14:paraId="1322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7339D">
            <w:pPr>
              <w:pStyle w:val="13"/>
            </w:pPr>
            <w:r>
              <w:t>效益指标</w:t>
            </w:r>
          </w:p>
        </w:tc>
        <w:tc>
          <w:tcPr>
            <w:tcW w:w="2268" w:type="dxa"/>
            <w:vAlign w:val="center"/>
          </w:tcPr>
          <w:p w14:paraId="3719E691">
            <w:pPr>
              <w:pStyle w:val="12"/>
            </w:pPr>
            <w:r>
              <w:t>可持续影响指标</w:t>
            </w:r>
          </w:p>
        </w:tc>
        <w:tc>
          <w:tcPr>
            <w:tcW w:w="2835" w:type="dxa"/>
            <w:vAlign w:val="center"/>
          </w:tcPr>
          <w:p w14:paraId="56C96992">
            <w:pPr>
              <w:pStyle w:val="12"/>
            </w:pPr>
            <w:r>
              <w:t>幼儿园正常运转</w:t>
            </w:r>
          </w:p>
        </w:tc>
        <w:tc>
          <w:tcPr>
            <w:tcW w:w="5386" w:type="dxa"/>
            <w:vAlign w:val="center"/>
          </w:tcPr>
          <w:p w14:paraId="182A6A4F">
            <w:pPr>
              <w:pStyle w:val="12"/>
            </w:pPr>
            <w:r>
              <w:t>幼儿受教育年限</w:t>
            </w:r>
          </w:p>
        </w:tc>
        <w:tc>
          <w:tcPr>
            <w:tcW w:w="2268" w:type="dxa"/>
            <w:vAlign w:val="center"/>
          </w:tcPr>
          <w:p w14:paraId="1828D697">
            <w:pPr>
              <w:pStyle w:val="12"/>
            </w:pPr>
            <w:r>
              <w:t>3年</w:t>
            </w:r>
          </w:p>
        </w:tc>
        <w:tc>
          <w:tcPr>
            <w:tcW w:w="1276" w:type="dxa"/>
            <w:vAlign w:val="center"/>
          </w:tcPr>
          <w:p w14:paraId="0832D83A">
            <w:pPr>
              <w:pStyle w:val="12"/>
            </w:pPr>
            <w:r>
              <w:t>幼儿资助经费管理办法</w:t>
            </w:r>
          </w:p>
        </w:tc>
      </w:tr>
      <w:tr w14:paraId="6126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A66E4">
            <w:pPr>
              <w:pStyle w:val="13"/>
            </w:pPr>
            <w:r>
              <w:t>满意度指标</w:t>
            </w:r>
          </w:p>
        </w:tc>
        <w:tc>
          <w:tcPr>
            <w:tcW w:w="2268" w:type="dxa"/>
            <w:vAlign w:val="center"/>
          </w:tcPr>
          <w:p w14:paraId="0EAF879C">
            <w:pPr>
              <w:pStyle w:val="12"/>
            </w:pPr>
            <w:r>
              <w:t>服务对象满意度指标</w:t>
            </w:r>
          </w:p>
        </w:tc>
        <w:tc>
          <w:tcPr>
            <w:tcW w:w="2835" w:type="dxa"/>
            <w:vAlign w:val="center"/>
          </w:tcPr>
          <w:p w14:paraId="6F60D8C4">
            <w:pPr>
              <w:pStyle w:val="12"/>
            </w:pPr>
            <w:r>
              <w:t>受益幼儿家长及调查满意度</w:t>
            </w:r>
          </w:p>
        </w:tc>
        <w:tc>
          <w:tcPr>
            <w:tcW w:w="5386" w:type="dxa"/>
            <w:vAlign w:val="center"/>
          </w:tcPr>
          <w:p w14:paraId="6F427E1F">
            <w:pPr>
              <w:pStyle w:val="12"/>
            </w:pPr>
            <w:r>
              <w:t>学生、教师及家长对学校保教保育工作满意度情况</w:t>
            </w:r>
          </w:p>
        </w:tc>
        <w:tc>
          <w:tcPr>
            <w:tcW w:w="2268" w:type="dxa"/>
            <w:vAlign w:val="center"/>
          </w:tcPr>
          <w:p w14:paraId="605935FB">
            <w:pPr>
              <w:pStyle w:val="12"/>
            </w:pPr>
            <w:r>
              <w:t>≥95%</w:t>
            </w:r>
          </w:p>
        </w:tc>
        <w:tc>
          <w:tcPr>
            <w:tcW w:w="1276" w:type="dxa"/>
            <w:vAlign w:val="center"/>
          </w:tcPr>
          <w:p w14:paraId="52D821B6">
            <w:pPr>
              <w:pStyle w:val="12"/>
            </w:pPr>
            <w:r>
              <w:t>幼儿资助经费管理办法</w:t>
            </w:r>
          </w:p>
        </w:tc>
      </w:tr>
    </w:tbl>
    <w:p w14:paraId="161FB1DC">
      <w:pPr>
        <w:sectPr>
          <w:pgSz w:w="16840" w:h="11900" w:orient="landscape"/>
          <w:pgMar w:top="1361" w:right="1020" w:bottom="1134" w:left="1020" w:header="720" w:footer="720" w:gutter="0"/>
          <w:cols w:space="720" w:num="1"/>
        </w:sectPr>
      </w:pPr>
    </w:p>
    <w:p w14:paraId="25BB57D4">
      <w:pPr>
        <w:spacing w:before="0" w:after="0"/>
        <w:ind w:firstLine="560"/>
        <w:jc w:val="left"/>
        <w:outlineLvl w:val="9"/>
      </w:pPr>
      <w:r>
        <w:rPr>
          <w:rFonts w:ascii="方正仿宋_GBK" w:hAnsi="方正仿宋_GBK" w:eastAsia="方正仿宋_GBK" w:cs="方正仿宋_GBK"/>
          <w:b/>
          <w:color w:val="000000"/>
          <w:sz w:val="28"/>
        </w:rPr>
        <w:t>28、冀财教[2025]149号/省级/2026年学前发展资金/尹村校区幼儿园免保育教育费补助绩效目标表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9C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81D4E">
            <w:pPr>
              <w:pStyle w:val="11"/>
            </w:pPr>
            <w:r>
              <w:t>单位：万元</w:t>
            </w:r>
          </w:p>
        </w:tc>
      </w:tr>
      <w:tr w14:paraId="3DD9A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E1AF6">
            <w:pPr>
              <w:pStyle w:val="10"/>
            </w:pPr>
            <w:r>
              <w:t>项目编码</w:t>
            </w:r>
          </w:p>
        </w:tc>
        <w:tc>
          <w:tcPr>
            <w:tcW w:w="5103" w:type="dxa"/>
            <w:gridSpan w:val="2"/>
            <w:vAlign w:val="center"/>
          </w:tcPr>
          <w:p w14:paraId="06679D9A">
            <w:pPr>
              <w:pStyle w:val="12"/>
            </w:pPr>
            <w:r>
              <w:t>13052526P00876910155P</w:t>
            </w:r>
          </w:p>
        </w:tc>
        <w:tc>
          <w:tcPr>
            <w:tcW w:w="2835" w:type="dxa"/>
            <w:vAlign w:val="center"/>
          </w:tcPr>
          <w:p w14:paraId="64E8AABE">
            <w:pPr>
              <w:pStyle w:val="10"/>
            </w:pPr>
            <w:r>
              <w:t>项目名称</w:t>
            </w:r>
          </w:p>
        </w:tc>
        <w:tc>
          <w:tcPr>
            <w:tcW w:w="6095" w:type="dxa"/>
            <w:gridSpan w:val="3"/>
            <w:vAlign w:val="center"/>
          </w:tcPr>
          <w:p w14:paraId="76DE5B9B">
            <w:pPr>
              <w:pStyle w:val="12"/>
            </w:pPr>
            <w:r>
              <w:t>冀财教[2025]149号/省级/2026年学前发展资金/尹村校区幼儿园免保育教育费补助</w:t>
            </w:r>
          </w:p>
        </w:tc>
      </w:tr>
      <w:tr w14:paraId="2602D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84DB8">
            <w:pPr>
              <w:pStyle w:val="10"/>
            </w:pPr>
            <w:r>
              <w:t>预算规模及资金用途</w:t>
            </w:r>
          </w:p>
        </w:tc>
        <w:tc>
          <w:tcPr>
            <w:tcW w:w="2268" w:type="dxa"/>
            <w:vAlign w:val="center"/>
          </w:tcPr>
          <w:p w14:paraId="447750A8">
            <w:pPr>
              <w:pStyle w:val="10"/>
            </w:pPr>
            <w:r>
              <w:t>预算数</w:t>
            </w:r>
          </w:p>
        </w:tc>
        <w:tc>
          <w:tcPr>
            <w:tcW w:w="2835" w:type="dxa"/>
            <w:vAlign w:val="center"/>
          </w:tcPr>
          <w:p w14:paraId="2F8F8F04">
            <w:pPr>
              <w:pStyle w:val="12"/>
            </w:pPr>
            <w:r>
              <w:t>10.76</w:t>
            </w:r>
          </w:p>
        </w:tc>
        <w:tc>
          <w:tcPr>
            <w:tcW w:w="2835" w:type="dxa"/>
            <w:vAlign w:val="center"/>
          </w:tcPr>
          <w:p w14:paraId="7F48BFB4">
            <w:pPr>
              <w:pStyle w:val="10"/>
            </w:pPr>
            <w:r>
              <w:t>其中：财政    资金</w:t>
            </w:r>
          </w:p>
        </w:tc>
        <w:tc>
          <w:tcPr>
            <w:tcW w:w="2551" w:type="dxa"/>
            <w:vAlign w:val="center"/>
          </w:tcPr>
          <w:p w14:paraId="32C117AB">
            <w:pPr>
              <w:pStyle w:val="12"/>
            </w:pPr>
            <w:r>
              <w:t>10.76</w:t>
            </w:r>
          </w:p>
        </w:tc>
        <w:tc>
          <w:tcPr>
            <w:tcW w:w="2268" w:type="dxa"/>
            <w:vAlign w:val="center"/>
          </w:tcPr>
          <w:p w14:paraId="69667329">
            <w:pPr>
              <w:pStyle w:val="10"/>
            </w:pPr>
            <w:r>
              <w:t>其他资金</w:t>
            </w:r>
          </w:p>
        </w:tc>
        <w:tc>
          <w:tcPr>
            <w:tcW w:w="1276" w:type="dxa"/>
            <w:vAlign w:val="center"/>
          </w:tcPr>
          <w:p w14:paraId="360D127E">
            <w:pPr>
              <w:pStyle w:val="12"/>
            </w:pPr>
            <w:r>
              <w:t xml:space="preserve"> </w:t>
            </w:r>
          </w:p>
        </w:tc>
      </w:tr>
      <w:tr w14:paraId="42845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BCF25"/>
        </w:tc>
        <w:tc>
          <w:tcPr>
            <w:tcW w:w="14033" w:type="dxa"/>
            <w:gridSpan w:val="6"/>
            <w:vAlign w:val="center"/>
          </w:tcPr>
          <w:p w14:paraId="37FAB59B">
            <w:pPr>
              <w:pStyle w:val="12"/>
            </w:pPr>
            <w:r>
              <w:t>保障幼儿园正常运转，完成教育教学活动和其他日常工作任务等方面的费用支出。</w:t>
            </w:r>
          </w:p>
        </w:tc>
      </w:tr>
      <w:tr w14:paraId="6C9FF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244CA">
            <w:pPr>
              <w:pStyle w:val="10"/>
            </w:pPr>
            <w:r>
              <w:t>资金支出计划（%）</w:t>
            </w:r>
          </w:p>
        </w:tc>
        <w:tc>
          <w:tcPr>
            <w:tcW w:w="5103" w:type="dxa"/>
            <w:gridSpan w:val="2"/>
            <w:vAlign w:val="center"/>
          </w:tcPr>
          <w:p w14:paraId="5867B8E8">
            <w:pPr>
              <w:pStyle w:val="10"/>
            </w:pPr>
            <w:r>
              <w:t>3月底</w:t>
            </w:r>
          </w:p>
        </w:tc>
        <w:tc>
          <w:tcPr>
            <w:tcW w:w="2835" w:type="dxa"/>
            <w:vAlign w:val="center"/>
          </w:tcPr>
          <w:p w14:paraId="59556769">
            <w:pPr>
              <w:pStyle w:val="10"/>
            </w:pPr>
            <w:r>
              <w:t>6月底</w:t>
            </w:r>
          </w:p>
        </w:tc>
        <w:tc>
          <w:tcPr>
            <w:tcW w:w="2551" w:type="dxa"/>
            <w:vAlign w:val="center"/>
          </w:tcPr>
          <w:p w14:paraId="4B431B6C">
            <w:pPr>
              <w:pStyle w:val="10"/>
            </w:pPr>
            <w:r>
              <w:t>10月底</w:t>
            </w:r>
          </w:p>
        </w:tc>
        <w:tc>
          <w:tcPr>
            <w:tcW w:w="3544" w:type="dxa"/>
            <w:gridSpan w:val="2"/>
            <w:vAlign w:val="center"/>
          </w:tcPr>
          <w:p w14:paraId="5BF5BFD9">
            <w:pPr>
              <w:pStyle w:val="10"/>
            </w:pPr>
            <w:r>
              <w:t>12月底</w:t>
            </w:r>
          </w:p>
        </w:tc>
      </w:tr>
      <w:tr w14:paraId="72085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7181C"/>
        </w:tc>
        <w:tc>
          <w:tcPr>
            <w:tcW w:w="5103" w:type="dxa"/>
            <w:gridSpan w:val="2"/>
            <w:vAlign w:val="center"/>
          </w:tcPr>
          <w:p w14:paraId="02200C4E">
            <w:pPr>
              <w:pStyle w:val="13"/>
            </w:pPr>
            <w:r>
              <w:t>25%</w:t>
            </w:r>
          </w:p>
        </w:tc>
        <w:tc>
          <w:tcPr>
            <w:tcW w:w="2835" w:type="dxa"/>
            <w:vAlign w:val="center"/>
          </w:tcPr>
          <w:p w14:paraId="09EBC2BA">
            <w:pPr>
              <w:pStyle w:val="13"/>
            </w:pPr>
            <w:r>
              <w:t>50%</w:t>
            </w:r>
          </w:p>
        </w:tc>
        <w:tc>
          <w:tcPr>
            <w:tcW w:w="2551" w:type="dxa"/>
            <w:vAlign w:val="center"/>
          </w:tcPr>
          <w:p w14:paraId="32B31803">
            <w:pPr>
              <w:pStyle w:val="13"/>
            </w:pPr>
            <w:r>
              <w:t>75%</w:t>
            </w:r>
          </w:p>
        </w:tc>
        <w:tc>
          <w:tcPr>
            <w:tcW w:w="3544" w:type="dxa"/>
            <w:gridSpan w:val="2"/>
            <w:vAlign w:val="center"/>
          </w:tcPr>
          <w:p w14:paraId="55AA3CBC">
            <w:pPr>
              <w:pStyle w:val="13"/>
            </w:pPr>
            <w:r>
              <w:t>100%</w:t>
            </w:r>
          </w:p>
        </w:tc>
      </w:tr>
      <w:tr w14:paraId="69096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3ABB7">
            <w:pPr>
              <w:pStyle w:val="10"/>
            </w:pPr>
            <w:r>
              <w:t>绩效目标</w:t>
            </w:r>
          </w:p>
        </w:tc>
        <w:tc>
          <w:tcPr>
            <w:tcW w:w="14033" w:type="dxa"/>
            <w:gridSpan w:val="6"/>
            <w:vAlign w:val="center"/>
          </w:tcPr>
          <w:p w14:paraId="08A9E58D">
            <w:pPr>
              <w:pStyle w:val="12"/>
            </w:pPr>
            <w:r>
              <w:t>1.保障幼儿园正常运转，完成教育教学活动和其他日常工作任务等方面的费用支出。</w:t>
            </w:r>
          </w:p>
        </w:tc>
      </w:tr>
    </w:tbl>
    <w:p w14:paraId="01570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0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DE41D">
            <w:pPr>
              <w:pStyle w:val="10"/>
            </w:pPr>
            <w:r>
              <w:t>一级指标</w:t>
            </w:r>
          </w:p>
        </w:tc>
        <w:tc>
          <w:tcPr>
            <w:tcW w:w="2268" w:type="dxa"/>
            <w:vAlign w:val="center"/>
          </w:tcPr>
          <w:p w14:paraId="7B8AC27F">
            <w:pPr>
              <w:pStyle w:val="10"/>
            </w:pPr>
            <w:r>
              <w:t>二级指标</w:t>
            </w:r>
          </w:p>
        </w:tc>
        <w:tc>
          <w:tcPr>
            <w:tcW w:w="2835" w:type="dxa"/>
            <w:vAlign w:val="center"/>
          </w:tcPr>
          <w:p w14:paraId="4CD6FA82">
            <w:pPr>
              <w:pStyle w:val="10"/>
            </w:pPr>
            <w:r>
              <w:t>三级指标</w:t>
            </w:r>
          </w:p>
        </w:tc>
        <w:tc>
          <w:tcPr>
            <w:tcW w:w="5386" w:type="dxa"/>
            <w:vAlign w:val="center"/>
          </w:tcPr>
          <w:p w14:paraId="17CDD703">
            <w:pPr>
              <w:pStyle w:val="10"/>
            </w:pPr>
            <w:r>
              <w:t>绩效指标描述</w:t>
            </w:r>
          </w:p>
        </w:tc>
        <w:tc>
          <w:tcPr>
            <w:tcW w:w="2268" w:type="dxa"/>
            <w:vAlign w:val="center"/>
          </w:tcPr>
          <w:p w14:paraId="41D99AF4">
            <w:pPr>
              <w:pStyle w:val="10"/>
            </w:pPr>
            <w:r>
              <w:t>指标值</w:t>
            </w:r>
          </w:p>
        </w:tc>
        <w:tc>
          <w:tcPr>
            <w:tcW w:w="1276" w:type="dxa"/>
            <w:vAlign w:val="center"/>
          </w:tcPr>
          <w:p w14:paraId="4BE2AB61">
            <w:pPr>
              <w:pStyle w:val="10"/>
            </w:pPr>
            <w:r>
              <w:t>指标值确定依据</w:t>
            </w:r>
          </w:p>
        </w:tc>
      </w:tr>
      <w:tr w14:paraId="1F73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A725A">
            <w:pPr>
              <w:pStyle w:val="13"/>
            </w:pPr>
            <w:r>
              <w:t>产出指标</w:t>
            </w:r>
          </w:p>
        </w:tc>
        <w:tc>
          <w:tcPr>
            <w:tcW w:w="2268" w:type="dxa"/>
            <w:vAlign w:val="center"/>
          </w:tcPr>
          <w:p w14:paraId="4D300B2D">
            <w:pPr>
              <w:pStyle w:val="12"/>
            </w:pPr>
            <w:r>
              <w:t>数量指标</w:t>
            </w:r>
          </w:p>
        </w:tc>
        <w:tc>
          <w:tcPr>
            <w:tcW w:w="2835" w:type="dxa"/>
            <w:vAlign w:val="center"/>
          </w:tcPr>
          <w:p w14:paraId="1F60D056">
            <w:pPr>
              <w:pStyle w:val="12"/>
            </w:pPr>
            <w:r>
              <w:t>适龄在园生</w:t>
            </w:r>
          </w:p>
        </w:tc>
        <w:tc>
          <w:tcPr>
            <w:tcW w:w="5386" w:type="dxa"/>
            <w:vAlign w:val="center"/>
          </w:tcPr>
          <w:p w14:paraId="4CD34EBB">
            <w:pPr>
              <w:pStyle w:val="12"/>
            </w:pPr>
            <w:r>
              <w:t>适龄在园大班学生人数</w:t>
            </w:r>
          </w:p>
        </w:tc>
        <w:tc>
          <w:tcPr>
            <w:tcW w:w="2268" w:type="dxa"/>
            <w:vAlign w:val="center"/>
          </w:tcPr>
          <w:p w14:paraId="386B77B3">
            <w:pPr>
              <w:pStyle w:val="12"/>
            </w:pPr>
            <w:r>
              <w:t>262人</w:t>
            </w:r>
          </w:p>
        </w:tc>
        <w:tc>
          <w:tcPr>
            <w:tcW w:w="1276" w:type="dxa"/>
            <w:vAlign w:val="center"/>
          </w:tcPr>
          <w:p w14:paraId="598C0C46">
            <w:pPr>
              <w:pStyle w:val="12"/>
            </w:pPr>
            <w:r>
              <w:t>免保育教育费生均财政补助标准</w:t>
            </w:r>
          </w:p>
        </w:tc>
      </w:tr>
      <w:tr w14:paraId="0F045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1F08F"/>
        </w:tc>
        <w:tc>
          <w:tcPr>
            <w:tcW w:w="2268" w:type="dxa"/>
            <w:vAlign w:val="center"/>
          </w:tcPr>
          <w:p w14:paraId="15428EB1">
            <w:pPr>
              <w:pStyle w:val="12"/>
            </w:pPr>
            <w:r>
              <w:t>质量指标</w:t>
            </w:r>
          </w:p>
        </w:tc>
        <w:tc>
          <w:tcPr>
            <w:tcW w:w="2835" w:type="dxa"/>
            <w:vAlign w:val="center"/>
          </w:tcPr>
          <w:p w14:paraId="7D8DCEC5">
            <w:pPr>
              <w:pStyle w:val="12"/>
            </w:pPr>
            <w:r>
              <w:t>预算控制率</w:t>
            </w:r>
          </w:p>
        </w:tc>
        <w:tc>
          <w:tcPr>
            <w:tcW w:w="5386" w:type="dxa"/>
            <w:vAlign w:val="center"/>
          </w:tcPr>
          <w:p w14:paraId="174E211B">
            <w:pPr>
              <w:pStyle w:val="12"/>
            </w:pPr>
            <w:r>
              <w:t>预算执行</w:t>
            </w:r>
          </w:p>
        </w:tc>
        <w:tc>
          <w:tcPr>
            <w:tcW w:w="2268" w:type="dxa"/>
            <w:vAlign w:val="center"/>
          </w:tcPr>
          <w:p w14:paraId="3029141A">
            <w:pPr>
              <w:pStyle w:val="12"/>
            </w:pPr>
            <w:r>
              <w:t>≥95%</w:t>
            </w:r>
          </w:p>
        </w:tc>
        <w:tc>
          <w:tcPr>
            <w:tcW w:w="1276" w:type="dxa"/>
            <w:vAlign w:val="center"/>
          </w:tcPr>
          <w:p w14:paraId="282B6DA3">
            <w:pPr>
              <w:pStyle w:val="12"/>
            </w:pPr>
            <w:r>
              <w:t>免保育教育费生均财政补助标准</w:t>
            </w:r>
          </w:p>
        </w:tc>
      </w:tr>
      <w:tr w14:paraId="3789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F1043"/>
        </w:tc>
        <w:tc>
          <w:tcPr>
            <w:tcW w:w="2268" w:type="dxa"/>
            <w:vAlign w:val="center"/>
          </w:tcPr>
          <w:p w14:paraId="4FA7701E">
            <w:pPr>
              <w:pStyle w:val="12"/>
            </w:pPr>
            <w:r>
              <w:t>时效指标</w:t>
            </w:r>
          </w:p>
        </w:tc>
        <w:tc>
          <w:tcPr>
            <w:tcW w:w="2835" w:type="dxa"/>
            <w:vAlign w:val="center"/>
          </w:tcPr>
          <w:p w14:paraId="7954A909">
            <w:pPr>
              <w:pStyle w:val="12"/>
            </w:pPr>
            <w:r>
              <w:t>资金支付率</w:t>
            </w:r>
          </w:p>
        </w:tc>
        <w:tc>
          <w:tcPr>
            <w:tcW w:w="5386" w:type="dxa"/>
            <w:vAlign w:val="center"/>
          </w:tcPr>
          <w:p w14:paraId="3BFF34DF">
            <w:pPr>
              <w:pStyle w:val="12"/>
            </w:pPr>
            <w:r>
              <w:t>按照序时进度完成资金支付</w:t>
            </w:r>
          </w:p>
        </w:tc>
        <w:tc>
          <w:tcPr>
            <w:tcW w:w="2268" w:type="dxa"/>
            <w:vAlign w:val="center"/>
          </w:tcPr>
          <w:p w14:paraId="77FAA4F8">
            <w:pPr>
              <w:pStyle w:val="12"/>
            </w:pPr>
            <w:r>
              <w:t>100%</w:t>
            </w:r>
          </w:p>
        </w:tc>
        <w:tc>
          <w:tcPr>
            <w:tcW w:w="1276" w:type="dxa"/>
            <w:vAlign w:val="center"/>
          </w:tcPr>
          <w:p w14:paraId="162F8B98">
            <w:pPr>
              <w:pStyle w:val="12"/>
            </w:pPr>
            <w:r>
              <w:t>免保育教育费生均财政补助标准</w:t>
            </w:r>
          </w:p>
        </w:tc>
      </w:tr>
      <w:tr w14:paraId="1DCEA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82D20"/>
        </w:tc>
        <w:tc>
          <w:tcPr>
            <w:tcW w:w="2268" w:type="dxa"/>
            <w:vAlign w:val="center"/>
          </w:tcPr>
          <w:p w14:paraId="4A753D09">
            <w:pPr>
              <w:pStyle w:val="12"/>
            </w:pPr>
            <w:r>
              <w:t>成本指标</w:t>
            </w:r>
          </w:p>
        </w:tc>
        <w:tc>
          <w:tcPr>
            <w:tcW w:w="2835" w:type="dxa"/>
            <w:vAlign w:val="center"/>
          </w:tcPr>
          <w:p w14:paraId="553BEF75">
            <w:pPr>
              <w:pStyle w:val="12"/>
            </w:pPr>
            <w:r>
              <w:t xml:space="preserve"> 免保育教育费补助</w:t>
            </w:r>
          </w:p>
        </w:tc>
        <w:tc>
          <w:tcPr>
            <w:tcW w:w="5386" w:type="dxa"/>
            <w:vAlign w:val="center"/>
          </w:tcPr>
          <w:p w14:paraId="2EFA8B96">
            <w:pPr>
              <w:pStyle w:val="12"/>
            </w:pPr>
            <w:r>
              <w:t>免保育教育费补助</w:t>
            </w:r>
          </w:p>
        </w:tc>
        <w:tc>
          <w:tcPr>
            <w:tcW w:w="2268" w:type="dxa"/>
            <w:vAlign w:val="center"/>
          </w:tcPr>
          <w:p w14:paraId="11D7E902">
            <w:pPr>
              <w:pStyle w:val="12"/>
            </w:pPr>
            <w:r>
              <w:t>107605元</w:t>
            </w:r>
          </w:p>
        </w:tc>
        <w:tc>
          <w:tcPr>
            <w:tcW w:w="1276" w:type="dxa"/>
            <w:vAlign w:val="center"/>
          </w:tcPr>
          <w:p w14:paraId="4BA08AA4">
            <w:pPr>
              <w:pStyle w:val="12"/>
            </w:pPr>
            <w:r>
              <w:t>免保育教育费生均财政补助标准</w:t>
            </w:r>
          </w:p>
        </w:tc>
      </w:tr>
      <w:tr w14:paraId="42CC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81D36">
            <w:pPr>
              <w:pStyle w:val="13"/>
            </w:pPr>
            <w:r>
              <w:t>效益指标</w:t>
            </w:r>
          </w:p>
        </w:tc>
        <w:tc>
          <w:tcPr>
            <w:tcW w:w="2268" w:type="dxa"/>
            <w:vAlign w:val="center"/>
          </w:tcPr>
          <w:p w14:paraId="655FF4FB">
            <w:pPr>
              <w:pStyle w:val="12"/>
            </w:pPr>
            <w:r>
              <w:t>可持续影响指标</w:t>
            </w:r>
          </w:p>
        </w:tc>
        <w:tc>
          <w:tcPr>
            <w:tcW w:w="2835" w:type="dxa"/>
            <w:vAlign w:val="center"/>
          </w:tcPr>
          <w:p w14:paraId="065D2412">
            <w:pPr>
              <w:pStyle w:val="12"/>
            </w:pPr>
            <w:r>
              <w:t>学校运转得到提升</w:t>
            </w:r>
          </w:p>
        </w:tc>
        <w:tc>
          <w:tcPr>
            <w:tcW w:w="5386" w:type="dxa"/>
            <w:vAlign w:val="center"/>
          </w:tcPr>
          <w:p w14:paraId="70D8C75B">
            <w:pPr>
              <w:pStyle w:val="12"/>
            </w:pPr>
            <w:r>
              <w:t>幼儿受教育年限</w:t>
            </w:r>
          </w:p>
        </w:tc>
        <w:tc>
          <w:tcPr>
            <w:tcW w:w="2268" w:type="dxa"/>
            <w:vAlign w:val="center"/>
          </w:tcPr>
          <w:p w14:paraId="496CB00A">
            <w:pPr>
              <w:pStyle w:val="12"/>
            </w:pPr>
            <w:r>
              <w:t>3年</w:t>
            </w:r>
          </w:p>
        </w:tc>
        <w:tc>
          <w:tcPr>
            <w:tcW w:w="1276" w:type="dxa"/>
            <w:vAlign w:val="center"/>
          </w:tcPr>
          <w:p w14:paraId="094BFB5A">
            <w:pPr>
              <w:pStyle w:val="12"/>
            </w:pPr>
            <w:r>
              <w:t>免保育教育费生均财政补助标准</w:t>
            </w:r>
          </w:p>
        </w:tc>
      </w:tr>
      <w:tr w14:paraId="7AE2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D9EA0">
            <w:pPr>
              <w:pStyle w:val="13"/>
            </w:pPr>
            <w:r>
              <w:t>满意度指标</w:t>
            </w:r>
          </w:p>
        </w:tc>
        <w:tc>
          <w:tcPr>
            <w:tcW w:w="2268" w:type="dxa"/>
            <w:vAlign w:val="center"/>
          </w:tcPr>
          <w:p w14:paraId="2E13CB9F">
            <w:pPr>
              <w:pStyle w:val="12"/>
            </w:pPr>
            <w:r>
              <w:t>服务对象满意度指标</w:t>
            </w:r>
          </w:p>
        </w:tc>
        <w:tc>
          <w:tcPr>
            <w:tcW w:w="2835" w:type="dxa"/>
            <w:vAlign w:val="center"/>
          </w:tcPr>
          <w:p w14:paraId="5DD36213">
            <w:pPr>
              <w:pStyle w:val="12"/>
            </w:pPr>
            <w:r>
              <w:t>受益学生家长及调查满意度</w:t>
            </w:r>
          </w:p>
        </w:tc>
        <w:tc>
          <w:tcPr>
            <w:tcW w:w="5386" w:type="dxa"/>
            <w:vAlign w:val="center"/>
          </w:tcPr>
          <w:p w14:paraId="255D8DBC">
            <w:pPr>
              <w:pStyle w:val="12"/>
            </w:pPr>
            <w:r>
              <w:t>学生、教师及家长对学校保教保育工作满意度情况</w:t>
            </w:r>
          </w:p>
        </w:tc>
        <w:tc>
          <w:tcPr>
            <w:tcW w:w="2268" w:type="dxa"/>
            <w:vAlign w:val="center"/>
          </w:tcPr>
          <w:p w14:paraId="53D19D49">
            <w:pPr>
              <w:pStyle w:val="12"/>
            </w:pPr>
            <w:r>
              <w:t>≥95%</w:t>
            </w:r>
          </w:p>
        </w:tc>
        <w:tc>
          <w:tcPr>
            <w:tcW w:w="1276" w:type="dxa"/>
            <w:vAlign w:val="center"/>
          </w:tcPr>
          <w:p w14:paraId="5FF63282">
            <w:pPr>
              <w:pStyle w:val="12"/>
            </w:pPr>
            <w:r>
              <w:t>免保育教育费生均财政补助标准</w:t>
            </w:r>
          </w:p>
        </w:tc>
      </w:tr>
    </w:tbl>
    <w:p w14:paraId="01958613">
      <w:pPr>
        <w:sectPr>
          <w:pgSz w:w="16840" w:h="11900" w:orient="landscape"/>
          <w:pgMar w:top="1361" w:right="1020" w:bottom="1134" w:left="1020" w:header="720" w:footer="720" w:gutter="0"/>
          <w:cols w:space="720" w:num="1"/>
        </w:sectPr>
      </w:pPr>
    </w:p>
    <w:p w14:paraId="5483EA6B">
      <w:pPr>
        <w:spacing w:before="0" w:after="0"/>
        <w:ind w:firstLine="560"/>
        <w:jc w:val="left"/>
        <w:outlineLvl w:val="9"/>
      </w:pPr>
      <w:r>
        <w:rPr>
          <w:rFonts w:ascii="方正仿宋_GBK" w:hAnsi="方正仿宋_GBK" w:eastAsia="方正仿宋_GBK" w:cs="方正仿宋_GBK"/>
          <w:b/>
          <w:color w:val="000000"/>
          <w:sz w:val="28"/>
        </w:rPr>
        <w:t>29、冀财教[2025]149号/省级/支持学前教育发展/大霍幼儿园消防泵房及配套设施绩效目标表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E7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2CB99">
            <w:pPr>
              <w:pStyle w:val="11"/>
            </w:pPr>
            <w:r>
              <w:t>单位：万元</w:t>
            </w:r>
          </w:p>
        </w:tc>
      </w:tr>
      <w:tr w14:paraId="415C9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D5BED">
            <w:pPr>
              <w:pStyle w:val="10"/>
            </w:pPr>
            <w:r>
              <w:t>项目编码</w:t>
            </w:r>
          </w:p>
        </w:tc>
        <w:tc>
          <w:tcPr>
            <w:tcW w:w="5103" w:type="dxa"/>
            <w:gridSpan w:val="2"/>
            <w:vAlign w:val="center"/>
          </w:tcPr>
          <w:p w14:paraId="27BF76D4">
            <w:pPr>
              <w:pStyle w:val="12"/>
            </w:pPr>
            <w:r>
              <w:t>13052526P00876910207W</w:t>
            </w:r>
          </w:p>
        </w:tc>
        <w:tc>
          <w:tcPr>
            <w:tcW w:w="2835" w:type="dxa"/>
            <w:vAlign w:val="center"/>
          </w:tcPr>
          <w:p w14:paraId="362ABF4C">
            <w:pPr>
              <w:pStyle w:val="10"/>
            </w:pPr>
            <w:r>
              <w:t>项目名称</w:t>
            </w:r>
          </w:p>
        </w:tc>
        <w:tc>
          <w:tcPr>
            <w:tcW w:w="6095" w:type="dxa"/>
            <w:gridSpan w:val="3"/>
            <w:vAlign w:val="center"/>
          </w:tcPr>
          <w:p w14:paraId="3EFA1C32">
            <w:pPr>
              <w:pStyle w:val="12"/>
            </w:pPr>
            <w:r>
              <w:t>冀财教[2025]149号/省级/支持学前教育发展/大霍幼儿园消防泵房及配套设施</w:t>
            </w:r>
          </w:p>
        </w:tc>
      </w:tr>
      <w:tr w14:paraId="2FB92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F02B7">
            <w:pPr>
              <w:pStyle w:val="10"/>
            </w:pPr>
            <w:r>
              <w:t>预算规模及资金用途</w:t>
            </w:r>
          </w:p>
        </w:tc>
        <w:tc>
          <w:tcPr>
            <w:tcW w:w="2268" w:type="dxa"/>
            <w:vAlign w:val="center"/>
          </w:tcPr>
          <w:p w14:paraId="0D1140CB">
            <w:pPr>
              <w:pStyle w:val="10"/>
            </w:pPr>
            <w:r>
              <w:t>预算数</w:t>
            </w:r>
          </w:p>
        </w:tc>
        <w:tc>
          <w:tcPr>
            <w:tcW w:w="2835" w:type="dxa"/>
            <w:vAlign w:val="center"/>
          </w:tcPr>
          <w:p w14:paraId="4DCC1CA1">
            <w:pPr>
              <w:pStyle w:val="12"/>
            </w:pPr>
            <w:r>
              <w:t>5.00</w:t>
            </w:r>
          </w:p>
        </w:tc>
        <w:tc>
          <w:tcPr>
            <w:tcW w:w="2835" w:type="dxa"/>
            <w:vAlign w:val="center"/>
          </w:tcPr>
          <w:p w14:paraId="642630ED">
            <w:pPr>
              <w:pStyle w:val="10"/>
            </w:pPr>
            <w:r>
              <w:t>其中：财政    资金</w:t>
            </w:r>
          </w:p>
        </w:tc>
        <w:tc>
          <w:tcPr>
            <w:tcW w:w="2551" w:type="dxa"/>
            <w:vAlign w:val="center"/>
          </w:tcPr>
          <w:p w14:paraId="53B380F1">
            <w:pPr>
              <w:pStyle w:val="12"/>
            </w:pPr>
            <w:r>
              <w:t>5.00</w:t>
            </w:r>
          </w:p>
        </w:tc>
        <w:tc>
          <w:tcPr>
            <w:tcW w:w="2268" w:type="dxa"/>
            <w:vAlign w:val="center"/>
          </w:tcPr>
          <w:p w14:paraId="7EEA2E90">
            <w:pPr>
              <w:pStyle w:val="10"/>
            </w:pPr>
            <w:r>
              <w:t>其他资金</w:t>
            </w:r>
          </w:p>
        </w:tc>
        <w:tc>
          <w:tcPr>
            <w:tcW w:w="1276" w:type="dxa"/>
            <w:vAlign w:val="center"/>
          </w:tcPr>
          <w:p w14:paraId="5CFE1B3F">
            <w:pPr>
              <w:pStyle w:val="12"/>
            </w:pPr>
            <w:r>
              <w:t xml:space="preserve"> </w:t>
            </w:r>
          </w:p>
        </w:tc>
      </w:tr>
      <w:tr w14:paraId="2BE7A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8721E"/>
        </w:tc>
        <w:tc>
          <w:tcPr>
            <w:tcW w:w="14033" w:type="dxa"/>
            <w:gridSpan w:val="6"/>
            <w:vAlign w:val="center"/>
          </w:tcPr>
          <w:p w14:paraId="35DC04BF">
            <w:pPr>
              <w:pStyle w:val="12"/>
            </w:pPr>
            <w:r>
              <w:t>改善就学条件，提升学校形象，保障幼儿安全，创造良好的校园环境。</w:t>
            </w:r>
          </w:p>
        </w:tc>
      </w:tr>
      <w:tr w14:paraId="5EF66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30737">
            <w:pPr>
              <w:pStyle w:val="10"/>
            </w:pPr>
            <w:r>
              <w:t>资金支出计划（%）</w:t>
            </w:r>
          </w:p>
        </w:tc>
        <w:tc>
          <w:tcPr>
            <w:tcW w:w="5103" w:type="dxa"/>
            <w:gridSpan w:val="2"/>
            <w:vAlign w:val="center"/>
          </w:tcPr>
          <w:p w14:paraId="44FC63DF">
            <w:pPr>
              <w:pStyle w:val="10"/>
            </w:pPr>
            <w:r>
              <w:t>3月底</w:t>
            </w:r>
          </w:p>
        </w:tc>
        <w:tc>
          <w:tcPr>
            <w:tcW w:w="2835" w:type="dxa"/>
            <w:vAlign w:val="center"/>
          </w:tcPr>
          <w:p w14:paraId="32A88A25">
            <w:pPr>
              <w:pStyle w:val="10"/>
            </w:pPr>
            <w:r>
              <w:t>6月底</w:t>
            </w:r>
          </w:p>
        </w:tc>
        <w:tc>
          <w:tcPr>
            <w:tcW w:w="2551" w:type="dxa"/>
            <w:vAlign w:val="center"/>
          </w:tcPr>
          <w:p w14:paraId="76C806C0">
            <w:pPr>
              <w:pStyle w:val="10"/>
            </w:pPr>
            <w:r>
              <w:t>10月底</w:t>
            </w:r>
          </w:p>
        </w:tc>
        <w:tc>
          <w:tcPr>
            <w:tcW w:w="3544" w:type="dxa"/>
            <w:gridSpan w:val="2"/>
            <w:vAlign w:val="center"/>
          </w:tcPr>
          <w:p w14:paraId="0DBB3C41">
            <w:pPr>
              <w:pStyle w:val="10"/>
            </w:pPr>
            <w:r>
              <w:t>12月底</w:t>
            </w:r>
          </w:p>
        </w:tc>
      </w:tr>
      <w:tr w14:paraId="2DF26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594E1"/>
        </w:tc>
        <w:tc>
          <w:tcPr>
            <w:tcW w:w="5103" w:type="dxa"/>
            <w:gridSpan w:val="2"/>
            <w:vAlign w:val="center"/>
          </w:tcPr>
          <w:p w14:paraId="417989E4">
            <w:pPr>
              <w:pStyle w:val="13"/>
            </w:pPr>
            <w:r>
              <w:t xml:space="preserve"> </w:t>
            </w:r>
          </w:p>
        </w:tc>
        <w:tc>
          <w:tcPr>
            <w:tcW w:w="2835" w:type="dxa"/>
            <w:vAlign w:val="center"/>
          </w:tcPr>
          <w:p w14:paraId="74CEB580">
            <w:pPr>
              <w:pStyle w:val="13"/>
            </w:pPr>
            <w:r>
              <w:t>100%</w:t>
            </w:r>
          </w:p>
        </w:tc>
        <w:tc>
          <w:tcPr>
            <w:tcW w:w="2551" w:type="dxa"/>
            <w:vAlign w:val="center"/>
          </w:tcPr>
          <w:p w14:paraId="658D821C">
            <w:pPr>
              <w:pStyle w:val="13"/>
            </w:pPr>
            <w:r>
              <w:t>100%</w:t>
            </w:r>
          </w:p>
        </w:tc>
        <w:tc>
          <w:tcPr>
            <w:tcW w:w="3544" w:type="dxa"/>
            <w:gridSpan w:val="2"/>
            <w:vAlign w:val="center"/>
          </w:tcPr>
          <w:p w14:paraId="4D5281F9">
            <w:pPr>
              <w:pStyle w:val="13"/>
            </w:pPr>
            <w:r>
              <w:t>100%</w:t>
            </w:r>
          </w:p>
        </w:tc>
      </w:tr>
      <w:tr w14:paraId="57081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D181F">
            <w:pPr>
              <w:pStyle w:val="10"/>
            </w:pPr>
            <w:r>
              <w:t>绩效目标</w:t>
            </w:r>
          </w:p>
        </w:tc>
        <w:tc>
          <w:tcPr>
            <w:tcW w:w="14033" w:type="dxa"/>
            <w:gridSpan w:val="6"/>
            <w:vAlign w:val="center"/>
          </w:tcPr>
          <w:p w14:paraId="641E6237">
            <w:pPr>
              <w:pStyle w:val="12"/>
            </w:pPr>
            <w:r>
              <w:t>1.项目需资金5万元，资金拨付率达到100%。</w:t>
            </w:r>
          </w:p>
          <w:p w14:paraId="7947F6BD">
            <w:pPr>
              <w:pStyle w:val="12"/>
            </w:pPr>
            <w:r>
              <w:t>2.改善就学条件，提升学校形象，保障幼儿安全，创造良好的校园环境。</w:t>
            </w:r>
          </w:p>
        </w:tc>
      </w:tr>
    </w:tbl>
    <w:p w14:paraId="79E97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5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4F18B">
            <w:pPr>
              <w:pStyle w:val="10"/>
            </w:pPr>
            <w:r>
              <w:t>一级指标</w:t>
            </w:r>
          </w:p>
        </w:tc>
        <w:tc>
          <w:tcPr>
            <w:tcW w:w="2268" w:type="dxa"/>
            <w:vAlign w:val="center"/>
          </w:tcPr>
          <w:p w14:paraId="2B6FFB4E">
            <w:pPr>
              <w:pStyle w:val="10"/>
            </w:pPr>
            <w:r>
              <w:t>二级指标</w:t>
            </w:r>
          </w:p>
        </w:tc>
        <w:tc>
          <w:tcPr>
            <w:tcW w:w="2835" w:type="dxa"/>
            <w:vAlign w:val="center"/>
          </w:tcPr>
          <w:p w14:paraId="200A9F6B">
            <w:pPr>
              <w:pStyle w:val="10"/>
            </w:pPr>
            <w:r>
              <w:t>三级指标</w:t>
            </w:r>
          </w:p>
        </w:tc>
        <w:tc>
          <w:tcPr>
            <w:tcW w:w="5386" w:type="dxa"/>
            <w:vAlign w:val="center"/>
          </w:tcPr>
          <w:p w14:paraId="68646AC2">
            <w:pPr>
              <w:pStyle w:val="10"/>
            </w:pPr>
            <w:r>
              <w:t>绩效指标描述</w:t>
            </w:r>
          </w:p>
        </w:tc>
        <w:tc>
          <w:tcPr>
            <w:tcW w:w="2268" w:type="dxa"/>
            <w:vAlign w:val="center"/>
          </w:tcPr>
          <w:p w14:paraId="4DAE5330">
            <w:pPr>
              <w:pStyle w:val="10"/>
            </w:pPr>
            <w:r>
              <w:t>指标值</w:t>
            </w:r>
          </w:p>
        </w:tc>
        <w:tc>
          <w:tcPr>
            <w:tcW w:w="1276" w:type="dxa"/>
            <w:vAlign w:val="center"/>
          </w:tcPr>
          <w:p w14:paraId="68A384D1">
            <w:pPr>
              <w:pStyle w:val="10"/>
            </w:pPr>
            <w:r>
              <w:t>指标值确定依据</w:t>
            </w:r>
          </w:p>
        </w:tc>
      </w:tr>
      <w:tr w14:paraId="650B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8A04F">
            <w:pPr>
              <w:pStyle w:val="13"/>
            </w:pPr>
            <w:r>
              <w:t>产出指标</w:t>
            </w:r>
          </w:p>
        </w:tc>
        <w:tc>
          <w:tcPr>
            <w:tcW w:w="2268" w:type="dxa"/>
            <w:vAlign w:val="center"/>
          </w:tcPr>
          <w:p w14:paraId="1609E509">
            <w:pPr>
              <w:pStyle w:val="12"/>
            </w:pPr>
            <w:r>
              <w:t>数量指标</w:t>
            </w:r>
          </w:p>
        </w:tc>
        <w:tc>
          <w:tcPr>
            <w:tcW w:w="2835" w:type="dxa"/>
            <w:vAlign w:val="center"/>
          </w:tcPr>
          <w:p w14:paraId="5E937020">
            <w:pPr>
              <w:pStyle w:val="12"/>
            </w:pPr>
            <w:r>
              <w:t>大霍幼儿园消防泵房及配套设施</w:t>
            </w:r>
          </w:p>
        </w:tc>
        <w:tc>
          <w:tcPr>
            <w:tcW w:w="5386" w:type="dxa"/>
            <w:vAlign w:val="center"/>
          </w:tcPr>
          <w:p w14:paraId="27194349">
            <w:pPr>
              <w:pStyle w:val="12"/>
            </w:pPr>
            <w:r>
              <w:t>通风工程、给排水工程等</w:t>
            </w:r>
          </w:p>
        </w:tc>
        <w:tc>
          <w:tcPr>
            <w:tcW w:w="2268" w:type="dxa"/>
            <w:vAlign w:val="center"/>
          </w:tcPr>
          <w:p w14:paraId="55D3210C">
            <w:pPr>
              <w:pStyle w:val="12"/>
            </w:pPr>
            <w:r>
              <w:t>1项</w:t>
            </w:r>
          </w:p>
        </w:tc>
        <w:tc>
          <w:tcPr>
            <w:tcW w:w="1276" w:type="dxa"/>
            <w:vAlign w:val="center"/>
          </w:tcPr>
          <w:p w14:paraId="40BBDB47">
            <w:pPr>
              <w:pStyle w:val="12"/>
            </w:pPr>
            <w:r>
              <w:t>项目规划</w:t>
            </w:r>
          </w:p>
        </w:tc>
      </w:tr>
      <w:tr w14:paraId="7896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B7074"/>
        </w:tc>
        <w:tc>
          <w:tcPr>
            <w:tcW w:w="2268" w:type="dxa"/>
            <w:vAlign w:val="center"/>
          </w:tcPr>
          <w:p w14:paraId="16A2B01C">
            <w:pPr>
              <w:pStyle w:val="12"/>
            </w:pPr>
            <w:r>
              <w:t>质量指标</w:t>
            </w:r>
          </w:p>
        </w:tc>
        <w:tc>
          <w:tcPr>
            <w:tcW w:w="2835" w:type="dxa"/>
            <w:vAlign w:val="center"/>
          </w:tcPr>
          <w:p w14:paraId="7B12613E">
            <w:pPr>
              <w:pStyle w:val="12"/>
            </w:pPr>
            <w:r>
              <w:t>工程实施验收合格率</w:t>
            </w:r>
          </w:p>
        </w:tc>
        <w:tc>
          <w:tcPr>
            <w:tcW w:w="5386" w:type="dxa"/>
            <w:vAlign w:val="center"/>
          </w:tcPr>
          <w:p w14:paraId="036EC411">
            <w:pPr>
              <w:pStyle w:val="12"/>
            </w:pPr>
            <w:r>
              <w:t>申报程序的合规，项目实施及资金使用符合项目规划</w:t>
            </w:r>
          </w:p>
        </w:tc>
        <w:tc>
          <w:tcPr>
            <w:tcW w:w="2268" w:type="dxa"/>
            <w:vAlign w:val="center"/>
          </w:tcPr>
          <w:p w14:paraId="39EB1C1E">
            <w:pPr>
              <w:pStyle w:val="12"/>
            </w:pPr>
            <w:r>
              <w:t>100%</w:t>
            </w:r>
          </w:p>
        </w:tc>
        <w:tc>
          <w:tcPr>
            <w:tcW w:w="1276" w:type="dxa"/>
            <w:vAlign w:val="center"/>
          </w:tcPr>
          <w:p w14:paraId="7A5E420A">
            <w:pPr>
              <w:pStyle w:val="12"/>
            </w:pPr>
            <w:r>
              <w:t>项目规划</w:t>
            </w:r>
          </w:p>
        </w:tc>
      </w:tr>
      <w:tr w14:paraId="4BC7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F5F3"/>
        </w:tc>
        <w:tc>
          <w:tcPr>
            <w:tcW w:w="2268" w:type="dxa"/>
            <w:vAlign w:val="center"/>
          </w:tcPr>
          <w:p w14:paraId="07A51E35">
            <w:pPr>
              <w:pStyle w:val="12"/>
            </w:pPr>
            <w:r>
              <w:t>时效指标</w:t>
            </w:r>
          </w:p>
        </w:tc>
        <w:tc>
          <w:tcPr>
            <w:tcW w:w="2835" w:type="dxa"/>
            <w:vAlign w:val="center"/>
          </w:tcPr>
          <w:p w14:paraId="76A834C7">
            <w:pPr>
              <w:pStyle w:val="12"/>
            </w:pPr>
            <w:r>
              <w:t>资金支付率</w:t>
            </w:r>
          </w:p>
        </w:tc>
        <w:tc>
          <w:tcPr>
            <w:tcW w:w="5386" w:type="dxa"/>
            <w:vAlign w:val="center"/>
          </w:tcPr>
          <w:p w14:paraId="20B23482">
            <w:pPr>
              <w:pStyle w:val="12"/>
            </w:pPr>
            <w:r>
              <w:t>按照序时进度完成资金支付</w:t>
            </w:r>
          </w:p>
        </w:tc>
        <w:tc>
          <w:tcPr>
            <w:tcW w:w="2268" w:type="dxa"/>
            <w:vAlign w:val="center"/>
          </w:tcPr>
          <w:p w14:paraId="6A4B3A89">
            <w:pPr>
              <w:pStyle w:val="12"/>
            </w:pPr>
            <w:r>
              <w:t>100%</w:t>
            </w:r>
          </w:p>
        </w:tc>
        <w:tc>
          <w:tcPr>
            <w:tcW w:w="1276" w:type="dxa"/>
            <w:vAlign w:val="center"/>
          </w:tcPr>
          <w:p w14:paraId="286C17D8">
            <w:pPr>
              <w:pStyle w:val="12"/>
            </w:pPr>
            <w:r>
              <w:t>项目规划</w:t>
            </w:r>
          </w:p>
        </w:tc>
      </w:tr>
      <w:tr w14:paraId="2BC3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8E4DD"/>
        </w:tc>
        <w:tc>
          <w:tcPr>
            <w:tcW w:w="2268" w:type="dxa"/>
            <w:vAlign w:val="center"/>
          </w:tcPr>
          <w:p w14:paraId="4CC49124">
            <w:pPr>
              <w:pStyle w:val="12"/>
            </w:pPr>
            <w:r>
              <w:t>成本指标</w:t>
            </w:r>
          </w:p>
        </w:tc>
        <w:tc>
          <w:tcPr>
            <w:tcW w:w="2835" w:type="dxa"/>
            <w:vAlign w:val="center"/>
          </w:tcPr>
          <w:p w14:paraId="356F2FF0">
            <w:pPr>
              <w:pStyle w:val="12"/>
            </w:pPr>
            <w:r>
              <w:t>项目成本控制情况</w:t>
            </w:r>
          </w:p>
        </w:tc>
        <w:tc>
          <w:tcPr>
            <w:tcW w:w="5386" w:type="dxa"/>
            <w:vAlign w:val="center"/>
          </w:tcPr>
          <w:p w14:paraId="6191617F">
            <w:pPr>
              <w:pStyle w:val="12"/>
            </w:pPr>
            <w:r>
              <w:t>严格按照招标价格及审计额进行</w:t>
            </w:r>
          </w:p>
        </w:tc>
        <w:tc>
          <w:tcPr>
            <w:tcW w:w="2268" w:type="dxa"/>
            <w:vAlign w:val="center"/>
          </w:tcPr>
          <w:p w14:paraId="29F826F0">
            <w:pPr>
              <w:pStyle w:val="12"/>
            </w:pPr>
            <w:r>
              <w:t>5万元</w:t>
            </w:r>
          </w:p>
        </w:tc>
        <w:tc>
          <w:tcPr>
            <w:tcW w:w="1276" w:type="dxa"/>
            <w:vAlign w:val="center"/>
          </w:tcPr>
          <w:p w14:paraId="4E868FF3">
            <w:pPr>
              <w:pStyle w:val="12"/>
            </w:pPr>
            <w:r>
              <w:t>项目规划</w:t>
            </w:r>
          </w:p>
        </w:tc>
      </w:tr>
      <w:tr w14:paraId="1ADB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5299C">
            <w:pPr>
              <w:pStyle w:val="13"/>
            </w:pPr>
            <w:r>
              <w:t>效益指标</w:t>
            </w:r>
          </w:p>
        </w:tc>
        <w:tc>
          <w:tcPr>
            <w:tcW w:w="2268" w:type="dxa"/>
            <w:vAlign w:val="center"/>
          </w:tcPr>
          <w:p w14:paraId="29FF76E0">
            <w:pPr>
              <w:pStyle w:val="12"/>
            </w:pPr>
            <w:r>
              <w:t>可持续影响指标</w:t>
            </w:r>
          </w:p>
        </w:tc>
        <w:tc>
          <w:tcPr>
            <w:tcW w:w="2835" w:type="dxa"/>
            <w:vAlign w:val="center"/>
          </w:tcPr>
          <w:p w14:paraId="17CC0BDA">
            <w:pPr>
              <w:pStyle w:val="12"/>
            </w:pPr>
            <w:r>
              <w:t>学校办学环境提升</w:t>
            </w:r>
          </w:p>
        </w:tc>
        <w:tc>
          <w:tcPr>
            <w:tcW w:w="5386" w:type="dxa"/>
            <w:vAlign w:val="center"/>
          </w:tcPr>
          <w:p w14:paraId="03B165A9">
            <w:pPr>
              <w:pStyle w:val="12"/>
            </w:pPr>
            <w:r>
              <w:t>学校教学环境提升优化率</w:t>
            </w:r>
          </w:p>
        </w:tc>
        <w:tc>
          <w:tcPr>
            <w:tcW w:w="2268" w:type="dxa"/>
            <w:vAlign w:val="center"/>
          </w:tcPr>
          <w:p w14:paraId="68293BF4">
            <w:pPr>
              <w:pStyle w:val="12"/>
            </w:pPr>
            <w:r>
              <w:t>≥98%</w:t>
            </w:r>
          </w:p>
        </w:tc>
        <w:tc>
          <w:tcPr>
            <w:tcW w:w="1276" w:type="dxa"/>
            <w:vAlign w:val="center"/>
          </w:tcPr>
          <w:p w14:paraId="3B1FFFCF">
            <w:pPr>
              <w:pStyle w:val="12"/>
            </w:pPr>
            <w:r>
              <w:t>项目规划</w:t>
            </w:r>
          </w:p>
        </w:tc>
      </w:tr>
      <w:tr w14:paraId="5B8E2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A01C4">
            <w:pPr>
              <w:pStyle w:val="13"/>
            </w:pPr>
            <w:r>
              <w:t>满意度指标</w:t>
            </w:r>
          </w:p>
        </w:tc>
        <w:tc>
          <w:tcPr>
            <w:tcW w:w="2268" w:type="dxa"/>
            <w:vAlign w:val="center"/>
          </w:tcPr>
          <w:p w14:paraId="301FDCEB">
            <w:pPr>
              <w:pStyle w:val="12"/>
            </w:pPr>
            <w:r>
              <w:t>服务对象满意度指标</w:t>
            </w:r>
          </w:p>
        </w:tc>
        <w:tc>
          <w:tcPr>
            <w:tcW w:w="2835" w:type="dxa"/>
            <w:vAlign w:val="center"/>
          </w:tcPr>
          <w:p w14:paraId="62C8E4CD">
            <w:pPr>
              <w:pStyle w:val="12"/>
            </w:pPr>
            <w:r>
              <w:t>受益学生家长及调查满意度</w:t>
            </w:r>
          </w:p>
        </w:tc>
        <w:tc>
          <w:tcPr>
            <w:tcW w:w="5386" w:type="dxa"/>
            <w:vAlign w:val="center"/>
          </w:tcPr>
          <w:p w14:paraId="0BB249F1">
            <w:pPr>
              <w:pStyle w:val="12"/>
            </w:pPr>
            <w:r>
              <w:t>学生、教师及家长对学校教学环境满意度情况</w:t>
            </w:r>
          </w:p>
        </w:tc>
        <w:tc>
          <w:tcPr>
            <w:tcW w:w="2268" w:type="dxa"/>
            <w:vAlign w:val="center"/>
          </w:tcPr>
          <w:p w14:paraId="5F2DC95B">
            <w:pPr>
              <w:pStyle w:val="12"/>
            </w:pPr>
            <w:r>
              <w:t>≥95%</w:t>
            </w:r>
          </w:p>
        </w:tc>
        <w:tc>
          <w:tcPr>
            <w:tcW w:w="1276" w:type="dxa"/>
            <w:vAlign w:val="center"/>
          </w:tcPr>
          <w:p w14:paraId="6ABFBAB7">
            <w:pPr>
              <w:pStyle w:val="12"/>
            </w:pPr>
            <w:r>
              <w:t>项目规划</w:t>
            </w:r>
          </w:p>
        </w:tc>
      </w:tr>
    </w:tbl>
    <w:p w14:paraId="75324351">
      <w:pPr>
        <w:sectPr>
          <w:pgSz w:w="16840" w:h="11900" w:orient="landscape"/>
          <w:pgMar w:top="1361" w:right="1020" w:bottom="1134" w:left="1020" w:header="720" w:footer="720" w:gutter="0"/>
          <w:cols w:space="720" w:num="1"/>
        </w:sectPr>
      </w:pPr>
    </w:p>
    <w:p w14:paraId="5F94BE61">
      <w:pPr>
        <w:spacing w:before="0" w:after="0"/>
        <w:ind w:firstLine="560"/>
        <w:jc w:val="left"/>
        <w:outlineLvl w:val="9"/>
      </w:pPr>
      <w:r>
        <w:rPr>
          <w:rFonts w:ascii="方正仿宋_GBK" w:hAnsi="方正仿宋_GBK" w:eastAsia="方正仿宋_GBK" w:cs="方正仿宋_GBK"/>
          <w:b/>
          <w:color w:val="000000"/>
          <w:sz w:val="28"/>
        </w:rPr>
        <w:t>30、县级配套/2026年/尹村校区幼儿园免保育教育费补助绩效目标表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72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822F1">
            <w:pPr>
              <w:pStyle w:val="11"/>
            </w:pPr>
            <w:r>
              <w:t>单位：万元</w:t>
            </w:r>
          </w:p>
        </w:tc>
      </w:tr>
      <w:tr w14:paraId="697C4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1BCC3">
            <w:pPr>
              <w:pStyle w:val="10"/>
            </w:pPr>
            <w:r>
              <w:t>项目编码</w:t>
            </w:r>
          </w:p>
        </w:tc>
        <w:tc>
          <w:tcPr>
            <w:tcW w:w="5103" w:type="dxa"/>
            <w:gridSpan w:val="2"/>
            <w:vAlign w:val="center"/>
          </w:tcPr>
          <w:p w14:paraId="745679FB">
            <w:pPr>
              <w:pStyle w:val="12"/>
            </w:pPr>
            <w:r>
              <w:t>13052526P00876910170D</w:t>
            </w:r>
          </w:p>
        </w:tc>
        <w:tc>
          <w:tcPr>
            <w:tcW w:w="2835" w:type="dxa"/>
            <w:vAlign w:val="center"/>
          </w:tcPr>
          <w:p w14:paraId="5EDC3623">
            <w:pPr>
              <w:pStyle w:val="10"/>
            </w:pPr>
            <w:r>
              <w:t>项目名称</w:t>
            </w:r>
          </w:p>
        </w:tc>
        <w:tc>
          <w:tcPr>
            <w:tcW w:w="6095" w:type="dxa"/>
            <w:gridSpan w:val="3"/>
            <w:vAlign w:val="center"/>
          </w:tcPr>
          <w:p w14:paraId="4E7B60A6">
            <w:pPr>
              <w:pStyle w:val="12"/>
            </w:pPr>
            <w:r>
              <w:t>县级配套/2026年/尹村校区幼儿园免保育教育费补助</w:t>
            </w:r>
          </w:p>
        </w:tc>
      </w:tr>
      <w:tr w14:paraId="59D4D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67DB3">
            <w:pPr>
              <w:pStyle w:val="10"/>
            </w:pPr>
            <w:r>
              <w:t>预算规模及资金用途</w:t>
            </w:r>
          </w:p>
        </w:tc>
        <w:tc>
          <w:tcPr>
            <w:tcW w:w="2268" w:type="dxa"/>
            <w:vAlign w:val="center"/>
          </w:tcPr>
          <w:p w14:paraId="135AFA0B">
            <w:pPr>
              <w:pStyle w:val="10"/>
            </w:pPr>
            <w:r>
              <w:t>预算数</w:t>
            </w:r>
          </w:p>
        </w:tc>
        <w:tc>
          <w:tcPr>
            <w:tcW w:w="2835" w:type="dxa"/>
            <w:vAlign w:val="center"/>
          </w:tcPr>
          <w:p w14:paraId="030B2AA5">
            <w:pPr>
              <w:pStyle w:val="12"/>
            </w:pPr>
            <w:r>
              <w:t>3.90</w:t>
            </w:r>
          </w:p>
        </w:tc>
        <w:tc>
          <w:tcPr>
            <w:tcW w:w="2835" w:type="dxa"/>
            <w:vAlign w:val="center"/>
          </w:tcPr>
          <w:p w14:paraId="72FCE664">
            <w:pPr>
              <w:pStyle w:val="10"/>
            </w:pPr>
            <w:r>
              <w:t>其中：财政    资金</w:t>
            </w:r>
          </w:p>
        </w:tc>
        <w:tc>
          <w:tcPr>
            <w:tcW w:w="2551" w:type="dxa"/>
            <w:vAlign w:val="center"/>
          </w:tcPr>
          <w:p w14:paraId="7528C0DE">
            <w:pPr>
              <w:pStyle w:val="12"/>
            </w:pPr>
            <w:r>
              <w:t>3.90</w:t>
            </w:r>
          </w:p>
        </w:tc>
        <w:tc>
          <w:tcPr>
            <w:tcW w:w="2268" w:type="dxa"/>
            <w:vAlign w:val="center"/>
          </w:tcPr>
          <w:p w14:paraId="41122235">
            <w:pPr>
              <w:pStyle w:val="10"/>
            </w:pPr>
            <w:r>
              <w:t>其他资金</w:t>
            </w:r>
          </w:p>
        </w:tc>
        <w:tc>
          <w:tcPr>
            <w:tcW w:w="1276" w:type="dxa"/>
            <w:vAlign w:val="center"/>
          </w:tcPr>
          <w:p w14:paraId="6DE3E133">
            <w:pPr>
              <w:pStyle w:val="12"/>
            </w:pPr>
            <w:r>
              <w:t xml:space="preserve"> </w:t>
            </w:r>
          </w:p>
        </w:tc>
      </w:tr>
      <w:tr w14:paraId="6366F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C5F19"/>
        </w:tc>
        <w:tc>
          <w:tcPr>
            <w:tcW w:w="14033" w:type="dxa"/>
            <w:gridSpan w:val="6"/>
            <w:vAlign w:val="center"/>
          </w:tcPr>
          <w:p w14:paraId="7A799FBA">
            <w:pPr>
              <w:pStyle w:val="12"/>
            </w:pPr>
            <w:r>
              <w:t>保障幼儿园正常运转，完成教育教学活动和其他日常工作任务等方面的费用支出。</w:t>
            </w:r>
          </w:p>
        </w:tc>
      </w:tr>
      <w:tr w14:paraId="748EC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FCB02">
            <w:pPr>
              <w:pStyle w:val="10"/>
            </w:pPr>
            <w:r>
              <w:t>资金支出计划（%）</w:t>
            </w:r>
          </w:p>
        </w:tc>
        <w:tc>
          <w:tcPr>
            <w:tcW w:w="5103" w:type="dxa"/>
            <w:gridSpan w:val="2"/>
            <w:vAlign w:val="center"/>
          </w:tcPr>
          <w:p w14:paraId="332C10BC">
            <w:pPr>
              <w:pStyle w:val="10"/>
            </w:pPr>
            <w:r>
              <w:t>3月底</w:t>
            </w:r>
          </w:p>
        </w:tc>
        <w:tc>
          <w:tcPr>
            <w:tcW w:w="2835" w:type="dxa"/>
            <w:vAlign w:val="center"/>
          </w:tcPr>
          <w:p w14:paraId="0D1735B9">
            <w:pPr>
              <w:pStyle w:val="10"/>
            </w:pPr>
            <w:r>
              <w:t>6月底</w:t>
            </w:r>
          </w:p>
        </w:tc>
        <w:tc>
          <w:tcPr>
            <w:tcW w:w="2551" w:type="dxa"/>
            <w:vAlign w:val="center"/>
          </w:tcPr>
          <w:p w14:paraId="2F4C0E6C">
            <w:pPr>
              <w:pStyle w:val="10"/>
            </w:pPr>
            <w:r>
              <w:t>10月底</w:t>
            </w:r>
          </w:p>
        </w:tc>
        <w:tc>
          <w:tcPr>
            <w:tcW w:w="3544" w:type="dxa"/>
            <w:gridSpan w:val="2"/>
            <w:vAlign w:val="center"/>
          </w:tcPr>
          <w:p w14:paraId="6AB3A911">
            <w:pPr>
              <w:pStyle w:val="10"/>
            </w:pPr>
            <w:r>
              <w:t>12月底</w:t>
            </w:r>
          </w:p>
        </w:tc>
      </w:tr>
      <w:tr w14:paraId="43045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1524D"/>
        </w:tc>
        <w:tc>
          <w:tcPr>
            <w:tcW w:w="5103" w:type="dxa"/>
            <w:gridSpan w:val="2"/>
            <w:vAlign w:val="center"/>
          </w:tcPr>
          <w:p w14:paraId="02CF2349">
            <w:pPr>
              <w:pStyle w:val="13"/>
            </w:pPr>
            <w:r>
              <w:t>25%</w:t>
            </w:r>
          </w:p>
        </w:tc>
        <w:tc>
          <w:tcPr>
            <w:tcW w:w="2835" w:type="dxa"/>
            <w:vAlign w:val="center"/>
          </w:tcPr>
          <w:p w14:paraId="452E30AF">
            <w:pPr>
              <w:pStyle w:val="13"/>
            </w:pPr>
            <w:r>
              <w:t>50%</w:t>
            </w:r>
          </w:p>
        </w:tc>
        <w:tc>
          <w:tcPr>
            <w:tcW w:w="2551" w:type="dxa"/>
            <w:vAlign w:val="center"/>
          </w:tcPr>
          <w:p w14:paraId="049FBFAD">
            <w:pPr>
              <w:pStyle w:val="13"/>
            </w:pPr>
            <w:r>
              <w:t>75%</w:t>
            </w:r>
          </w:p>
        </w:tc>
        <w:tc>
          <w:tcPr>
            <w:tcW w:w="3544" w:type="dxa"/>
            <w:gridSpan w:val="2"/>
            <w:vAlign w:val="center"/>
          </w:tcPr>
          <w:p w14:paraId="7DC7AB8F">
            <w:pPr>
              <w:pStyle w:val="13"/>
            </w:pPr>
            <w:r>
              <w:t>100%</w:t>
            </w:r>
          </w:p>
        </w:tc>
      </w:tr>
      <w:tr w14:paraId="0F2FD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6BB06">
            <w:pPr>
              <w:pStyle w:val="10"/>
            </w:pPr>
            <w:r>
              <w:t>绩效目标</w:t>
            </w:r>
          </w:p>
        </w:tc>
        <w:tc>
          <w:tcPr>
            <w:tcW w:w="14033" w:type="dxa"/>
            <w:gridSpan w:val="6"/>
            <w:vAlign w:val="center"/>
          </w:tcPr>
          <w:p w14:paraId="297EEFC7">
            <w:pPr>
              <w:pStyle w:val="12"/>
            </w:pPr>
            <w:r>
              <w:t>1.保障幼儿园正常运转，完成教育教学活动和其他日常工作任务等方面的费用支出。</w:t>
            </w:r>
          </w:p>
        </w:tc>
      </w:tr>
    </w:tbl>
    <w:p w14:paraId="2B1CF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0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9449C">
            <w:pPr>
              <w:pStyle w:val="10"/>
            </w:pPr>
            <w:r>
              <w:t>一级指标</w:t>
            </w:r>
          </w:p>
        </w:tc>
        <w:tc>
          <w:tcPr>
            <w:tcW w:w="2268" w:type="dxa"/>
            <w:vAlign w:val="center"/>
          </w:tcPr>
          <w:p w14:paraId="7AFFBFCD">
            <w:pPr>
              <w:pStyle w:val="10"/>
            </w:pPr>
            <w:r>
              <w:t>二级指标</w:t>
            </w:r>
          </w:p>
        </w:tc>
        <w:tc>
          <w:tcPr>
            <w:tcW w:w="2835" w:type="dxa"/>
            <w:vAlign w:val="center"/>
          </w:tcPr>
          <w:p w14:paraId="5211BF91">
            <w:pPr>
              <w:pStyle w:val="10"/>
            </w:pPr>
            <w:r>
              <w:t>三级指标</w:t>
            </w:r>
          </w:p>
        </w:tc>
        <w:tc>
          <w:tcPr>
            <w:tcW w:w="5386" w:type="dxa"/>
            <w:vAlign w:val="center"/>
          </w:tcPr>
          <w:p w14:paraId="526377DD">
            <w:pPr>
              <w:pStyle w:val="10"/>
            </w:pPr>
            <w:r>
              <w:t>绩效指标描述</w:t>
            </w:r>
          </w:p>
        </w:tc>
        <w:tc>
          <w:tcPr>
            <w:tcW w:w="2268" w:type="dxa"/>
            <w:vAlign w:val="center"/>
          </w:tcPr>
          <w:p w14:paraId="6F2A674C">
            <w:pPr>
              <w:pStyle w:val="10"/>
            </w:pPr>
            <w:r>
              <w:t>指标值</w:t>
            </w:r>
          </w:p>
        </w:tc>
        <w:tc>
          <w:tcPr>
            <w:tcW w:w="1276" w:type="dxa"/>
            <w:vAlign w:val="center"/>
          </w:tcPr>
          <w:p w14:paraId="1CF4EFD4">
            <w:pPr>
              <w:pStyle w:val="10"/>
            </w:pPr>
            <w:r>
              <w:t>指标值确定依据</w:t>
            </w:r>
          </w:p>
        </w:tc>
      </w:tr>
      <w:tr w14:paraId="2F35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39551">
            <w:pPr>
              <w:pStyle w:val="13"/>
            </w:pPr>
            <w:r>
              <w:t>产出指标</w:t>
            </w:r>
          </w:p>
        </w:tc>
        <w:tc>
          <w:tcPr>
            <w:tcW w:w="2268" w:type="dxa"/>
            <w:vAlign w:val="center"/>
          </w:tcPr>
          <w:p w14:paraId="3AC7B7A4">
            <w:pPr>
              <w:pStyle w:val="12"/>
            </w:pPr>
            <w:r>
              <w:t>数量指标</w:t>
            </w:r>
          </w:p>
        </w:tc>
        <w:tc>
          <w:tcPr>
            <w:tcW w:w="2835" w:type="dxa"/>
            <w:vAlign w:val="center"/>
          </w:tcPr>
          <w:p w14:paraId="5A84477D">
            <w:pPr>
              <w:pStyle w:val="12"/>
            </w:pPr>
            <w:r>
              <w:t>适龄在园生</w:t>
            </w:r>
          </w:p>
        </w:tc>
        <w:tc>
          <w:tcPr>
            <w:tcW w:w="5386" w:type="dxa"/>
            <w:vAlign w:val="center"/>
          </w:tcPr>
          <w:p w14:paraId="06C3FA13">
            <w:pPr>
              <w:pStyle w:val="12"/>
            </w:pPr>
            <w:r>
              <w:t>适龄在园大班学生人数</w:t>
            </w:r>
          </w:p>
        </w:tc>
        <w:tc>
          <w:tcPr>
            <w:tcW w:w="2268" w:type="dxa"/>
            <w:vAlign w:val="center"/>
          </w:tcPr>
          <w:p w14:paraId="5C190CCF">
            <w:pPr>
              <w:pStyle w:val="12"/>
            </w:pPr>
            <w:r>
              <w:t>262人</w:t>
            </w:r>
          </w:p>
        </w:tc>
        <w:tc>
          <w:tcPr>
            <w:tcW w:w="1276" w:type="dxa"/>
            <w:vAlign w:val="center"/>
          </w:tcPr>
          <w:p w14:paraId="063627A2">
            <w:pPr>
              <w:pStyle w:val="12"/>
            </w:pPr>
            <w:r>
              <w:t>免保育教育费生均财政补助标准</w:t>
            </w:r>
          </w:p>
        </w:tc>
      </w:tr>
      <w:tr w14:paraId="1F29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44AFF"/>
        </w:tc>
        <w:tc>
          <w:tcPr>
            <w:tcW w:w="2268" w:type="dxa"/>
            <w:vAlign w:val="center"/>
          </w:tcPr>
          <w:p w14:paraId="083184DD">
            <w:pPr>
              <w:pStyle w:val="12"/>
            </w:pPr>
            <w:r>
              <w:t>质量指标</w:t>
            </w:r>
          </w:p>
        </w:tc>
        <w:tc>
          <w:tcPr>
            <w:tcW w:w="2835" w:type="dxa"/>
            <w:vAlign w:val="center"/>
          </w:tcPr>
          <w:p w14:paraId="46C8A7F6">
            <w:pPr>
              <w:pStyle w:val="12"/>
            </w:pPr>
            <w:r>
              <w:t>预算控制率</w:t>
            </w:r>
          </w:p>
        </w:tc>
        <w:tc>
          <w:tcPr>
            <w:tcW w:w="5386" w:type="dxa"/>
            <w:vAlign w:val="center"/>
          </w:tcPr>
          <w:p w14:paraId="42B48B7C">
            <w:pPr>
              <w:pStyle w:val="12"/>
            </w:pPr>
            <w:r>
              <w:t>预算执行</w:t>
            </w:r>
          </w:p>
        </w:tc>
        <w:tc>
          <w:tcPr>
            <w:tcW w:w="2268" w:type="dxa"/>
            <w:vAlign w:val="center"/>
          </w:tcPr>
          <w:p w14:paraId="5C33D2A2">
            <w:pPr>
              <w:pStyle w:val="12"/>
            </w:pPr>
            <w:r>
              <w:t>≥95%</w:t>
            </w:r>
          </w:p>
        </w:tc>
        <w:tc>
          <w:tcPr>
            <w:tcW w:w="1276" w:type="dxa"/>
            <w:vAlign w:val="center"/>
          </w:tcPr>
          <w:p w14:paraId="4D2974F1">
            <w:pPr>
              <w:pStyle w:val="12"/>
            </w:pPr>
            <w:r>
              <w:t>免保育教育费生均财政补助标准</w:t>
            </w:r>
          </w:p>
        </w:tc>
      </w:tr>
      <w:tr w14:paraId="7053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6CA42"/>
        </w:tc>
        <w:tc>
          <w:tcPr>
            <w:tcW w:w="2268" w:type="dxa"/>
            <w:vAlign w:val="center"/>
          </w:tcPr>
          <w:p w14:paraId="0CC0BE69">
            <w:pPr>
              <w:pStyle w:val="12"/>
            </w:pPr>
            <w:r>
              <w:t>时效指标</w:t>
            </w:r>
          </w:p>
        </w:tc>
        <w:tc>
          <w:tcPr>
            <w:tcW w:w="2835" w:type="dxa"/>
            <w:vAlign w:val="center"/>
          </w:tcPr>
          <w:p w14:paraId="77717B37">
            <w:pPr>
              <w:pStyle w:val="12"/>
            </w:pPr>
            <w:r>
              <w:t>资金支付率</w:t>
            </w:r>
          </w:p>
        </w:tc>
        <w:tc>
          <w:tcPr>
            <w:tcW w:w="5386" w:type="dxa"/>
            <w:vAlign w:val="center"/>
          </w:tcPr>
          <w:p w14:paraId="00F42AD6">
            <w:pPr>
              <w:pStyle w:val="12"/>
            </w:pPr>
            <w:r>
              <w:t>按照序时进度完成资金支付</w:t>
            </w:r>
          </w:p>
        </w:tc>
        <w:tc>
          <w:tcPr>
            <w:tcW w:w="2268" w:type="dxa"/>
            <w:vAlign w:val="center"/>
          </w:tcPr>
          <w:p w14:paraId="727AC738">
            <w:pPr>
              <w:pStyle w:val="12"/>
            </w:pPr>
            <w:r>
              <w:t>100%</w:t>
            </w:r>
          </w:p>
        </w:tc>
        <w:tc>
          <w:tcPr>
            <w:tcW w:w="1276" w:type="dxa"/>
            <w:vAlign w:val="center"/>
          </w:tcPr>
          <w:p w14:paraId="58C6A3D2">
            <w:pPr>
              <w:pStyle w:val="12"/>
            </w:pPr>
            <w:r>
              <w:t>免保育教育费生均财政补助标准</w:t>
            </w:r>
          </w:p>
        </w:tc>
      </w:tr>
      <w:tr w14:paraId="6593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C3AB5"/>
        </w:tc>
        <w:tc>
          <w:tcPr>
            <w:tcW w:w="2268" w:type="dxa"/>
            <w:vAlign w:val="center"/>
          </w:tcPr>
          <w:p w14:paraId="4DF061E0">
            <w:pPr>
              <w:pStyle w:val="12"/>
            </w:pPr>
            <w:r>
              <w:t>成本指标</w:t>
            </w:r>
          </w:p>
        </w:tc>
        <w:tc>
          <w:tcPr>
            <w:tcW w:w="2835" w:type="dxa"/>
            <w:vAlign w:val="center"/>
          </w:tcPr>
          <w:p w14:paraId="5DC045E1">
            <w:pPr>
              <w:pStyle w:val="12"/>
            </w:pPr>
            <w:r>
              <w:t xml:space="preserve"> 免保育教育费补助</w:t>
            </w:r>
          </w:p>
        </w:tc>
        <w:tc>
          <w:tcPr>
            <w:tcW w:w="5386" w:type="dxa"/>
            <w:vAlign w:val="center"/>
          </w:tcPr>
          <w:p w14:paraId="5FDA9719">
            <w:pPr>
              <w:pStyle w:val="12"/>
            </w:pPr>
            <w:r>
              <w:t>免保育教育费补助</w:t>
            </w:r>
          </w:p>
        </w:tc>
        <w:tc>
          <w:tcPr>
            <w:tcW w:w="2268" w:type="dxa"/>
            <w:vAlign w:val="center"/>
          </w:tcPr>
          <w:p w14:paraId="70B7EEFC">
            <w:pPr>
              <w:pStyle w:val="12"/>
            </w:pPr>
            <w:r>
              <w:t>39046元</w:t>
            </w:r>
          </w:p>
        </w:tc>
        <w:tc>
          <w:tcPr>
            <w:tcW w:w="1276" w:type="dxa"/>
            <w:vAlign w:val="center"/>
          </w:tcPr>
          <w:p w14:paraId="2B3F73EF">
            <w:pPr>
              <w:pStyle w:val="12"/>
            </w:pPr>
            <w:r>
              <w:t>免保育教育费生均财政补助标准</w:t>
            </w:r>
          </w:p>
        </w:tc>
      </w:tr>
      <w:tr w14:paraId="519C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3F949">
            <w:pPr>
              <w:pStyle w:val="13"/>
            </w:pPr>
            <w:r>
              <w:t>效益指标</w:t>
            </w:r>
          </w:p>
        </w:tc>
        <w:tc>
          <w:tcPr>
            <w:tcW w:w="2268" w:type="dxa"/>
            <w:vAlign w:val="center"/>
          </w:tcPr>
          <w:p w14:paraId="69D38027">
            <w:pPr>
              <w:pStyle w:val="12"/>
            </w:pPr>
            <w:r>
              <w:t>可持续影响指标</w:t>
            </w:r>
          </w:p>
        </w:tc>
        <w:tc>
          <w:tcPr>
            <w:tcW w:w="2835" w:type="dxa"/>
            <w:vAlign w:val="center"/>
          </w:tcPr>
          <w:p w14:paraId="127777D0">
            <w:pPr>
              <w:pStyle w:val="12"/>
            </w:pPr>
            <w:r>
              <w:t>学校运转得到提升</w:t>
            </w:r>
          </w:p>
        </w:tc>
        <w:tc>
          <w:tcPr>
            <w:tcW w:w="5386" w:type="dxa"/>
            <w:vAlign w:val="center"/>
          </w:tcPr>
          <w:p w14:paraId="37600CE2">
            <w:pPr>
              <w:pStyle w:val="12"/>
            </w:pPr>
            <w:r>
              <w:t>幼儿受教育年限</w:t>
            </w:r>
          </w:p>
        </w:tc>
        <w:tc>
          <w:tcPr>
            <w:tcW w:w="2268" w:type="dxa"/>
            <w:vAlign w:val="center"/>
          </w:tcPr>
          <w:p w14:paraId="30BF7103">
            <w:pPr>
              <w:pStyle w:val="12"/>
            </w:pPr>
            <w:r>
              <w:t>3年</w:t>
            </w:r>
          </w:p>
        </w:tc>
        <w:tc>
          <w:tcPr>
            <w:tcW w:w="1276" w:type="dxa"/>
            <w:vAlign w:val="center"/>
          </w:tcPr>
          <w:p w14:paraId="0F2C2E35">
            <w:pPr>
              <w:pStyle w:val="12"/>
            </w:pPr>
            <w:r>
              <w:t>免保育教育费生均财政补助标准</w:t>
            </w:r>
          </w:p>
        </w:tc>
      </w:tr>
      <w:tr w14:paraId="1A41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B8211">
            <w:pPr>
              <w:pStyle w:val="13"/>
            </w:pPr>
            <w:r>
              <w:t>满意度指标</w:t>
            </w:r>
          </w:p>
        </w:tc>
        <w:tc>
          <w:tcPr>
            <w:tcW w:w="2268" w:type="dxa"/>
            <w:vAlign w:val="center"/>
          </w:tcPr>
          <w:p w14:paraId="2A9F4A8E">
            <w:pPr>
              <w:pStyle w:val="12"/>
            </w:pPr>
            <w:r>
              <w:t>服务对象满意度指标</w:t>
            </w:r>
          </w:p>
        </w:tc>
        <w:tc>
          <w:tcPr>
            <w:tcW w:w="2835" w:type="dxa"/>
            <w:vAlign w:val="center"/>
          </w:tcPr>
          <w:p w14:paraId="2D02AF37">
            <w:pPr>
              <w:pStyle w:val="12"/>
            </w:pPr>
            <w:r>
              <w:t>受益学生家长及调查满意度</w:t>
            </w:r>
          </w:p>
        </w:tc>
        <w:tc>
          <w:tcPr>
            <w:tcW w:w="5386" w:type="dxa"/>
            <w:vAlign w:val="center"/>
          </w:tcPr>
          <w:p w14:paraId="0F27BB9E">
            <w:pPr>
              <w:pStyle w:val="12"/>
            </w:pPr>
            <w:r>
              <w:t>学生、教师及家长对学校保教保育工作满意度情况</w:t>
            </w:r>
          </w:p>
        </w:tc>
        <w:tc>
          <w:tcPr>
            <w:tcW w:w="2268" w:type="dxa"/>
            <w:vAlign w:val="center"/>
          </w:tcPr>
          <w:p w14:paraId="53441FA5">
            <w:pPr>
              <w:pStyle w:val="12"/>
            </w:pPr>
            <w:r>
              <w:t>≥95%</w:t>
            </w:r>
          </w:p>
        </w:tc>
        <w:tc>
          <w:tcPr>
            <w:tcW w:w="1276" w:type="dxa"/>
            <w:vAlign w:val="center"/>
          </w:tcPr>
          <w:p w14:paraId="3BE94431">
            <w:pPr>
              <w:pStyle w:val="12"/>
            </w:pPr>
            <w:r>
              <w:t>免保育教育费生均财政补助标准</w:t>
            </w:r>
          </w:p>
        </w:tc>
      </w:tr>
    </w:tbl>
    <w:p w14:paraId="59C880C6">
      <w:pPr>
        <w:sectPr>
          <w:pgSz w:w="16840" w:h="11900" w:orient="landscape"/>
          <w:pgMar w:top="1361" w:right="1020" w:bottom="1134" w:left="1020" w:header="720" w:footer="720" w:gutter="0"/>
          <w:cols w:space="720" w:num="1"/>
        </w:sectPr>
      </w:pPr>
    </w:p>
    <w:p w14:paraId="6D2582B7">
      <w:pPr>
        <w:spacing w:before="0" w:after="0"/>
        <w:ind w:firstLine="560"/>
        <w:jc w:val="left"/>
        <w:outlineLvl w:val="9"/>
      </w:pPr>
      <w:r>
        <w:rPr>
          <w:rFonts w:ascii="方正仿宋_GBK" w:hAnsi="方正仿宋_GBK" w:eastAsia="方正仿宋_GBK" w:cs="方正仿宋_GBK"/>
          <w:b/>
          <w:color w:val="000000"/>
          <w:sz w:val="28"/>
        </w:rPr>
        <w:t>31、县级配套/尹村校区大霍小学公用经费绩效目标表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66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A0B14">
            <w:pPr>
              <w:pStyle w:val="11"/>
            </w:pPr>
            <w:r>
              <w:t>单位：万元</w:t>
            </w:r>
          </w:p>
        </w:tc>
      </w:tr>
      <w:tr w14:paraId="11273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96ECD">
            <w:pPr>
              <w:pStyle w:val="10"/>
            </w:pPr>
            <w:r>
              <w:t>项目编码</w:t>
            </w:r>
          </w:p>
        </w:tc>
        <w:tc>
          <w:tcPr>
            <w:tcW w:w="5103" w:type="dxa"/>
            <w:gridSpan w:val="2"/>
            <w:vAlign w:val="center"/>
          </w:tcPr>
          <w:p w14:paraId="38E40B38">
            <w:pPr>
              <w:pStyle w:val="12"/>
            </w:pPr>
            <w:r>
              <w:t>13052526P00000410456L</w:t>
            </w:r>
          </w:p>
        </w:tc>
        <w:tc>
          <w:tcPr>
            <w:tcW w:w="2835" w:type="dxa"/>
            <w:vAlign w:val="center"/>
          </w:tcPr>
          <w:p w14:paraId="6829030B">
            <w:pPr>
              <w:pStyle w:val="10"/>
            </w:pPr>
            <w:r>
              <w:t>项目名称</w:t>
            </w:r>
          </w:p>
        </w:tc>
        <w:tc>
          <w:tcPr>
            <w:tcW w:w="6095" w:type="dxa"/>
            <w:gridSpan w:val="3"/>
            <w:vAlign w:val="center"/>
          </w:tcPr>
          <w:p w14:paraId="784A2849">
            <w:pPr>
              <w:pStyle w:val="12"/>
            </w:pPr>
            <w:r>
              <w:t>县级配套/尹村校区大霍小学公用经费</w:t>
            </w:r>
          </w:p>
        </w:tc>
      </w:tr>
      <w:tr w14:paraId="1034A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85DD3">
            <w:pPr>
              <w:pStyle w:val="10"/>
            </w:pPr>
            <w:r>
              <w:t>预算规模及资金用途</w:t>
            </w:r>
          </w:p>
        </w:tc>
        <w:tc>
          <w:tcPr>
            <w:tcW w:w="2268" w:type="dxa"/>
            <w:vAlign w:val="center"/>
          </w:tcPr>
          <w:p w14:paraId="45D7B23F">
            <w:pPr>
              <w:pStyle w:val="10"/>
            </w:pPr>
            <w:r>
              <w:t>预算数</w:t>
            </w:r>
          </w:p>
        </w:tc>
        <w:tc>
          <w:tcPr>
            <w:tcW w:w="2835" w:type="dxa"/>
            <w:vAlign w:val="center"/>
          </w:tcPr>
          <w:p w14:paraId="02AD3AAB">
            <w:pPr>
              <w:pStyle w:val="12"/>
            </w:pPr>
            <w:r>
              <w:t>11.18</w:t>
            </w:r>
          </w:p>
        </w:tc>
        <w:tc>
          <w:tcPr>
            <w:tcW w:w="2835" w:type="dxa"/>
            <w:vAlign w:val="center"/>
          </w:tcPr>
          <w:p w14:paraId="69C86445">
            <w:pPr>
              <w:pStyle w:val="10"/>
            </w:pPr>
            <w:r>
              <w:t>其中：财政    资金</w:t>
            </w:r>
          </w:p>
        </w:tc>
        <w:tc>
          <w:tcPr>
            <w:tcW w:w="2551" w:type="dxa"/>
            <w:vAlign w:val="center"/>
          </w:tcPr>
          <w:p w14:paraId="00C5F84C">
            <w:pPr>
              <w:pStyle w:val="12"/>
            </w:pPr>
            <w:r>
              <w:t>11.18</w:t>
            </w:r>
          </w:p>
        </w:tc>
        <w:tc>
          <w:tcPr>
            <w:tcW w:w="2268" w:type="dxa"/>
            <w:vAlign w:val="center"/>
          </w:tcPr>
          <w:p w14:paraId="469ABFF0">
            <w:pPr>
              <w:pStyle w:val="10"/>
            </w:pPr>
            <w:r>
              <w:t>其他资金</w:t>
            </w:r>
          </w:p>
        </w:tc>
        <w:tc>
          <w:tcPr>
            <w:tcW w:w="1276" w:type="dxa"/>
            <w:vAlign w:val="center"/>
          </w:tcPr>
          <w:p w14:paraId="6D2E3600">
            <w:pPr>
              <w:pStyle w:val="12"/>
            </w:pPr>
            <w:r>
              <w:t xml:space="preserve"> </w:t>
            </w:r>
          </w:p>
        </w:tc>
      </w:tr>
      <w:tr w14:paraId="49B98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FE945"/>
        </w:tc>
        <w:tc>
          <w:tcPr>
            <w:tcW w:w="14033" w:type="dxa"/>
            <w:gridSpan w:val="6"/>
            <w:vAlign w:val="center"/>
          </w:tcPr>
          <w:p w14:paraId="5E276BD2">
            <w:pPr>
              <w:pStyle w:val="12"/>
            </w:pPr>
            <w:r>
              <w:t>保障学校正常运转，完成各项教育教学活动和其他日常工作任务等方面的费用支出。</w:t>
            </w:r>
          </w:p>
        </w:tc>
      </w:tr>
      <w:tr w14:paraId="0C5A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7B722">
            <w:pPr>
              <w:pStyle w:val="10"/>
            </w:pPr>
            <w:r>
              <w:t>资金支出计划（%）</w:t>
            </w:r>
          </w:p>
        </w:tc>
        <w:tc>
          <w:tcPr>
            <w:tcW w:w="5103" w:type="dxa"/>
            <w:gridSpan w:val="2"/>
            <w:vAlign w:val="center"/>
          </w:tcPr>
          <w:p w14:paraId="514BA4B0">
            <w:pPr>
              <w:pStyle w:val="10"/>
            </w:pPr>
            <w:r>
              <w:t>3月底</w:t>
            </w:r>
          </w:p>
        </w:tc>
        <w:tc>
          <w:tcPr>
            <w:tcW w:w="2835" w:type="dxa"/>
            <w:vAlign w:val="center"/>
          </w:tcPr>
          <w:p w14:paraId="460853F7">
            <w:pPr>
              <w:pStyle w:val="10"/>
            </w:pPr>
            <w:r>
              <w:t>6月底</w:t>
            </w:r>
          </w:p>
        </w:tc>
        <w:tc>
          <w:tcPr>
            <w:tcW w:w="2551" w:type="dxa"/>
            <w:vAlign w:val="center"/>
          </w:tcPr>
          <w:p w14:paraId="4D16A33D">
            <w:pPr>
              <w:pStyle w:val="10"/>
            </w:pPr>
            <w:r>
              <w:t>10月底</w:t>
            </w:r>
          </w:p>
        </w:tc>
        <w:tc>
          <w:tcPr>
            <w:tcW w:w="3544" w:type="dxa"/>
            <w:gridSpan w:val="2"/>
            <w:vAlign w:val="center"/>
          </w:tcPr>
          <w:p w14:paraId="4E58BD51">
            <w:pPr>
              <w:pStyle w:val="10"/>
            </w:pPr>
            <w:r>
              <w:t>12月底</w:t>
            </w:r>
          </w:p>
        </w:tc>
      </w:tr>
      <w:tr w14:paraId="2510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D5AFD"/>
        </w:tc>
        <w:tc>
          <w:tcPr>
            <w:tcW w:w="5103" w:type="dxa"/>
            <w:gridSpan w:val="2"/>
            <w:vAlign w:val="center"/>
          </w:tcPr>
          <w:p w14:paraId="4176D42C">
            <w:pPr>
              <w:pStyle w:val="13"/>
            </w:pPr>
            <w:r>
              <w:t>25%</w:t>
            </w:r>
          </w:p>
        </w:tc>
        <w:tc>
          <w:tcPr>
            <w:tcW w:w="2835" w:type="dxa"/>
            <w:vAlign w:val="center"/>
          </w:tcPr>
          <w:p w14:paraId="7F3A32A8">
            <w:pPr>
              <w:pStyle w:val="13"/>
            </w:pPr>
            <w:r>
              <w:t>50%</w:t>
            </w:r>
          </w:p>
        </w:tc>
        <w:tc>
          <w:tcPr>
            <w:tcW w:w="2551" w:type="dxa"/>
            <w:vAlign w:val="center"/>
          </w:tcPr>
          <w:p w14:paraId="2C57F5ED">
            <w:pPr>
              <w:pStyle w:val="13"/>
            </w:pPr>
            <w:r>
              <w:t>75%</w:t>
            </w:r>
          </w:p>
        </w:tc>
        <w:tc>
          <w:tcPr>
            <w:tcW w:w="3544" w:type="dxa"/>
            <w:gridSpan w:val="2"/>
            <w:vAlign w:val="center"/>
          </w:tcPr>
          <w:p w14:paraId="3D1043E8">
            <w:pPr>
              <w:pStyle w:val="13"/>
            </w:pPr>
            <w:r>
              <w:t>100%</w:t>
            </w:r>
          </w:p>
        </w:tc>
      </w:tr>
      <w:tr w14:paraId="3281A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1AAA8">
            <w:pPr>
              <w:pStyle w:val="10"/>
            </w:pPr>
            <w:r>
              <w:t>绩效目标</w:t>
            </w:r>
          </w:p>
        </w:tc>
        <w:tc>
          <w:tcPr>
            <w:tcW w:w="14033" w:type="dxa"/>
            <w:gridSpan w:val="6"/>
            <w:vAlign w:val="center"/>
          </w:tcPr>
          <w:p w14:paraId="6E355498">
            <w:pPr>
              <w:pStyle w:val="12"/>
            </w:pPr>
            <w:r>
              <w:t>1.按季度分批次拨付公用经费资金，资金拨付率达到100%。</w:t>
            </w:r>
          </w:p>
          <w:p w14:paraId="1F274B7E">
            <w:pPr>
              <w:pStyle w:val="12"/>
            </w:pPr>
            <w:r>
              <w:t>2.保障学校正常运转，完成各项教育教学活动和其他日常工作任务等方面的费用支出。</w:t>
            </w:r>
          </w:p>
        </w:tc>
      </w:tr>
    </w:tbl>
    <w:p w14:paraId="3F7E9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B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F20F9">
            <w:pPr>
              <w:pStyle w:val="10"/>
            </w:pPr>
            <w:r>
              <w:t>一级指标</w:t>
            </w:r>
          </w:p>
        </w:tc>
        <w:tc>
          <w:tcPr>
            <w:tcW w:w="2268" w:type="dxa"/>
            <w:vAlign w:val="center"/>
          </w:tcPr>
          <w:p w14:paraId="235AF62A">
            <w:pPr>
              <w:pStyle w:val="10"/>
            </w:pPr>
            <w:r>
              <w:t>二级指标</w:t>
            </w:r>
          </w:p>
        </w:tc>
        <w:tc>
          <w:tcPr>
            <w:tcW w:w="2835" w:type="dxa"/>
            <w:vAlign w:val="center"/>
          </w:tcPr>
          <w:p w14:paraId="24136D00">
            <w:pPr>
              <w:pStyle w:val="10"/>
            </w:pPr>
            <w:r>
              <w:t>三级指标</w:t>
            </w:r>
          </w:p>
        </w:tc>
        <w:tc>
          <w:tcPr>
            <w:tcW w:w="5386" w:type="dxa"/>
            <w:vAlign w:val="center"/>
          </w:tcPr>
          <w:p w14:paraId="3D650382">
            <w:pPr>
              <w:pStyle w:val="10"/>
            </w:pPr>
            <w:r>
              <w:t>绩效指标描述</w:t>
            </w:r>
          </w:p>
        </w:tc>
        <w:tc>
          <w:tcPr>
            <w:tcW w:w="2268" w:type="dxa"/>
            <w:vAlign w:val="center"/>
          </w:tcPr>
          <w:p w14:paraId="40490132">
            <w:pPr>
              <w:pStyle w:val="10"/>
            </w:pPr>
            <w:r>
              <w:t>指标值</w:t>
            </w:r>
          </w:p>
        </w:tc>
        <w:tc>
          <w:tcPr>
            <w:tcW w:w="1276" w:type="dxa"/>
            <w:vAlign w:val="center"/>
          </w:tcPr>
          <w:p w14:paraId="58CDB4FC">
            <w:pPr>
              <w:pStyle w:val="10"/>
            </w:pPr>
            <w:r>
              <w:t>指标值确定依据</w:t>
            </w:r>
          </w:p>
        </w:tc>
      </w:tr>
      <w:tr w14:paraId="5759E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EE13F">
            <w:pPr>
              <w:pStyle w:val="13"/>
            </w:pPr>
            <w:r>
              <w:t>产出指标</w:t>
            </w:r>
          </w:p>
        </w:tc>
        <w:tc>
          <w:tcPr>
            <w:tcW w:w="2268" w:type="dxa"/>
            <w:vAlign w:val="center"/>
          </w:tcPr>
          <w:p w14:paraId="6A6C32AB">
            <w:pPr>
              <w:pStyle w:val="12"/>
            </w:pPr>
            <w:r>
              <w:t>数量指标</w:t>
            </w:r>
          </w:p>
        </w:tc>
        <w:tc>
          <w:tcPr>
            <w:tcW w:w="2835" w:type="dxa"/>
            <w:vAlign w:val="center"/>
          </w:tcPr>
          <w:p w14:paraId="4FA6DE0B">
            <w:pPr>
              <w:pStyle w:val="12"/>
            </w:pPr>
            <w:r>
              <w:t>就读学生数</w:t>
            </w:r>
          </w:p>
        </w:tc>
        <w:tc>
          <w:tcPr>
            <w:tcW w:w="5386" w:type="dxa"/>
            <w:vAlign w:val="center"/>
          </w:tcPr>
          <w:p w14:paraId="0F94887E">
            <w:pPr>
              <w:pStyle w:val="12"/>
            </w:pPr>
            <w:r>
              <w:t>辐射区域内适龄学生人数</w:t>
            </w:r>
          </w:p>
        </w:tc>
        <w:tc>
          <w:tcPr>
            <w:tcW w:w="2268" w:type="dxa"/>
            <w:vAlign w:val="center"/>
          </w:tcPr>
          <w:p w14:paraId="63D5B947">
            <w:pPr>
              <w:pStyle w:val="12"/>
            </w:pPr>
            <w:r>
              <w:t>1068人</w:t>
            </w:r>
          </w:p>
        </w:tc>
        <w:tc>
          <w:tcPr>
            <w:tcW w:w="1276" w:type="dxa"/>
            <w:vAlign w:val="center"/>
          </w:tcPr>
          <w:p w14:paraId="6E83646C">
            <w:pPr>
              <w:pStyle w:val="12"/>
            </w:pPr>
            <w:r>
              <w:t>城乡义务教育公用经费管理办法</w:t>
            </w:r>
          </w:p>
        </w:tc>
      </w:tr>
      <w:tr w14:paraId="6437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166C3"/>
        </w:tc>
        <w:tc>
          <w:tcPr>
            <w:tcW w:w="2268" w:type="dxa"/>
            <w:vAlign w:val="center"/>
          </w:tcPr>
          <w:p w14:paraId="47A1FD87">
            <w:pPr>
              <w:pStyle w:val="12"/>
            </w:pPr>
            <w:r>
              <w:t>质量指标</w:t>
            </w:r>
          </w:p>
        </w:tc>
        <w:tc>
          <w:tcPr>
            <w:tcW w:w="2835" w:type="dxa"/>
            <w:vAlign w:val="center"/>
          </w:tcPr>
          <w:p w14:paraId="1220684C">
            <w:pPr>
              <w:pStyle w:val="12"/>
            </w:pPr>
            <w:r>
              <w:t>预算执行率</w:t>
            </w:r>
          </w:p>
        </w:tc>
        <w:tc>
          <w:tcPr>
            <w:tcW w:w="5386" w:type="dxa"/>
            <w:vAlign w:val="center"/>
          </w:tcPr>
          <w:p w14:paraId="1F404FC6">
            <w:pPr>
              <w:pStyle w:val="12"/>
            </w:pPr>
            <w:r>
              <w:t>预算执行率</w:t>
            </w:r>
          </w:p>
        </w:tc>
        <w:tc>
          <w:tcPr>
            <w:tcW w:w="2268" w:type="dxa"/>
            <w:vAlign w:val="center"/>
          </w:tcPr>
          <w:p w14:paraId="7D3C9FDB">
            <w:pPr>
              <w:pStyle w:val="12"/>
            </w:pPr>
            <w:r>
              <w:t>≥95%</w:t>
            </w:r>
          </w:p>
        </w:tc>
        <w:tc>
          <w:tcPr>
            <w:tcW w:w="1276" w:type="dxa"/>
            <w:vAlign w:val="center"/>
          </w:tcPr>
          <w:p w14:paraId="78CC8878">
            <w:pPr>
              <w:pStyle w:val="12"/>
            </w:pPr>
            <w:r>
              <w:t>城乡义务教育公用经费管理办法</w:t>
            </w:r>
          </w:p>
        </w:tc>
      </w:tr>
      <w:tr w14:paraId="2F3E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746BF"/>
        </w:tc>
        <w:tc>
          <w:tcPr>
            <w:tcW w:w="2268" w:type="dxa"/>
            <w:vAlign w:val="center"/>
          </w:tcPr>
          <w:p w14:paraId="053E22EA">
            <w:pPr>
              <w:pStyle w:val="12"/>
            </w:pPr>
            <w:r>
              <w:t>时效指标</w:t>
            </w:r>
          </w:p>
        </w:tc>
        <w:tc>
          <w:tcPr>
            <w:tcW w:w="2835" w:type="dxa"/>
            <w:vAlign w:val="center"/>
          </w:tcPr>
          <w:p w14:paraId="576E05C8">
            <w:pPr>
              <w:pStyle w:val="12"/>
            </w:pPr>
            <w:r>
              <w:t>义教经费支付完成率</w:t>
            </w:r>
          </w:p>
        </w:tc>
        <w:tc>
          <w:tcPr>
            <w:tcW w:w="5386" w:type="dxa"/>
            <w:vAlign w:val="center"/>
          </w:tcPr>
          <w:p w14:paraId="2254D597">
            <w:pPr>
              <w:pStyle w:val="12"/>
            </w:pPr>
            <w:r>
              <w:t>按照序时进度完成资金支付</w:t>
            </w:r>
          </w:p>
        </w:tc>
        <w:tc>
          <w:tcPr>
            <w:tcW w:w="2268" w:type="dxa"/>
            <w:vAlign w:val="center"/>
          </w:tcPr>
          <w:p w14:paraId="5E0E56C3">
            <w:pPr>
              <w:pStyle w:val="12"/>
            </w:pPr>
            <w:r>
              <w:t>100%</w:t>
            </w:r>
          </w:p>
        </w:tc>
        <w:tc>
          <w:tcPr>
            <w:tcW w:w="1276" w:type="dxa"/>
            <w:vAlign w:val="center"/>
          </w:tcPr>
          <w:p w14:paraId="1E2D641D">
            <w:pPr>
              <w:pStyle w:val="12"/>
            </w:pPr>
            <w:r>
              <w:t>城乡义务教育公用经费管理办法</w:t>
            </w:r>
          </w:p>
        </w:tc>
      </w:tr>
      <w:tr w14:paraId="1027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CE677"/>
        </w:tc>
        <w:tc>
          <w:tcPr>
            <w:tcW w:w="2268" w:type="dxa"/>
            <w:vAlign w:val="center"/>
          </w:tcPr>
          <w:p w14:paraId="5992992B">
            <w:pPr>
              <w:pStyle w:val="12"/>
            </w:pPr>
            <w:r>
              <w:t>成本指标</w:t>
            </w:r>
          </w:p>
        </w:tc>
        <w:tc>
          <w:tcPr>
            <w:tcW w:w="2835" w:type="dxa"/>
            <w:vAlign w:val="center"/>
          </w:tcPr>
          <w:p w14:paraId="7914C7DE">
            <w:pPr>
              <w:pStyle w:val="12"/>
            </w:pPr>
            <w:r>
              <w:t>生均拨款标准</w:t>
            </w:r>
          </w:p>
        </w:tc>
        <w:tc>
          <w:tcPr>
            <w:tcW w:w="5386" w:type="dxa"/>
            <w:vAlign w:val="center"/>
          </w:tcPr>
          <w:p w14:paraId="0D1FC54E">
            <w:pPr>
              <w:pStyle w:val="12"/>
            </w:pPr>
            <w:r>
              <w:t>小学生公用经费生均公用经费基准定额为720元/年/生，取暖费120元/年/生，住宿生补助300元/年/生的标准，随班就读学生补助7000元/生/年</w:t>
            </w:r>
          </w:p>
        </w:tc>
        <w:tc>
          <w:tcPr>
            <w:tcW w:w="2268" w:type="dxa"/>
            <w:vAlign w:val="center"/>
          </w:tcPr>
          <w:p w14:paraId="6BA07172">
            <w:pPr>
              <w:pStyle w:val="12"/>
            </w:pPr>
            <w:r>
              <w:t>840元</w:t>
            </w:r>
          </w:p>
        </w:tc>
        <w:tc>
          <w:tcPr>
            <w:tcW w:w="1276" w:type="dxa"/>
            <w:vAlign w:val="center"/>
          </w:tcPr>
          <w:p w14:paraId="2A625F96">
            <w:pPr>
              <w:pStyle w:val="12"/>
            </w:pPr>
            <w:r>
              <w:t>城乡义务教育公用经费管理办法</w:t>
            </w:r>
          </w:p>
        </w:tc>
      </w:tr>
      <w:tr w14:paraId="10EE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6EA1B">
            <w:pPr>
              <w:pStyle w:val="13"/>
            </w:pPr>
            <w:r>
              <w:t>效益指标</w:t>
            </w:r>
          </w:p>
        </w:tc>
        <w:tc>
          <w:tcPr>
            <w:tcW w:w="2268" w:type="dxa"/>
            <w:vAlign w:val="center"/>
          </w:tcPr>
          <w:p w14:paraId="3BE4C0A2">
            <w:pPr>
              <w:pStyle w:val="12"/>
            </w:pPr>
            <w:r>
              <w:t>可持续影响指标</w:t>
            </w:r>
          </w:p>
        </w:tc>
        <w:tc>
          <w:tcPr>
            <w:tcW w:w="2835" w:type="dxa"/>
            <w:vAlign w:val="center"/>
          </w:tcPr>
          <w:p w14:paraId="53FCBC05">
            <w:pPr>
              <w:pStyle w:val="12"/>
            </w:pPr>
            <w:r>
              <w:t>学校运转得到提高</w:t>
            </w:r>
          </w:p>
        </w:tc>
        <w:tc>
          <w:tcPr>
            <w:tcW w:w="5386" w:type="dxa"/>
            <w:vAlign w:val="center"/>
          </w:tcPr>
          <w:p w14:paraId="72D99E38">
            <w:pPr>
              <w:pStyle w:val="12"/>
            </w:pPr>
            <w:r>
              <w:t>学生受教育年限</w:t>
            </w:r>
          </w:p>
        </w:tc>
        <w:tc>
          <w:tcPr>
            <w:tcW w:w="2268" w:type="dxa"/>
            <w:vAlign w:val="center"/>
          </w:tcPr>
          <w:p w14:paraId="21884F8B">
            <w:pPr>
              <w:pStyle w:val="12"/>
            </w:pPr>
            <w:r>
              <w:t>6年</w:t>
            </w:r>
          </w:p>
        </w:tc>
        <w:tc>
          <w:tcPr>
            <w:tcW w:w="1276" w:type="dxa"/>
            <w:vAlign w:val="center"/>
          </w:tcPr>
          <w:p w14:paraId="48299803">
            <w:pPr>
              <w:pStyle w:val="12"/>
            </w:pPr>
            <w:r>
              <w:t>城乡义务教育公用经费管理办法</w:t>
            </w:r>
          </w:p>
        </w:tc>
      </w:tr>
      <w:tr w14:paraId="5E8A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233FE">
            <w:pPr>
              <w:pStyle w:val="13"/>
            </w:pPr>
            <w:r>
              <w:t>满意度指标</w:t>
            </w:r>
          </w:p>
        </w:tc>
        <w:tc>
          <w:tcPr>
            <w:tcW w:w="2268" w:type="dxa"/>
            <w:vAlign w:val="center"/>
          </w:tcPr>
          <w:p w14:paraId="64AA67EC">
            <w:pPr>
              <w:pStyle w:val="12"/>
            </w:pPr>
            <w:r>
              <w:t>服务对象满意度指标</w:t>
            </w:r>
          </w:p>
        </w:tc>
        <w:tc>
          <w:tcPr>
            <w:tcW w:w="2835" w:type="dxa"/>
            <w:vAlign w:val="center"/>
          </w:tcPr>
          <w:p w14:paraId="74A6C73A">
            <w:pPr>
              <w:pStyle w:val="12"/>
            </w:pPr>
            <w:r>
              <w:t>服务对象满意度</w:t>
            </w:r>
          </w:p>
        </w:tc>
        <w:tc>
          <w:tcPr>
            <w:tcW w:w="5386" w:type="dxa"/>
            <w:vAlign w:val="center"/>
          </w:tcPr>
          <w:p w14:paraId="342CAD87">
            <w:pPr>
              <w:pStyle w:val="12"/>
            </w:pPr>
            <w:r>
              <w:t>学校老师和学生满意度</w:t>
            </w:r>
          </w:p>
        </w:tc>
        <w:tc>
          <w:tcPr>
            <w:tcW w:w="2268" w:type="dxa"/>
            <w:vAlign w:val="center"/>
          </w:tcPr>
          <w:p w14:paraId="6F6DD03E">
            <w:pPr>
              <w:pStyle w:val="12"/>
            </w:pPr>
            <w:r>
              <w:t>≥95%</w:t>
            </w:r>
          </w:p>
        </w:tc>
        <w:tc>
          <w:tcPr>
            <w:tcW w:w="1276" w:type="dxa"/>
            <w:vAlign w:val="center"/>
          </w:tcPr>
          <w:p w14:paraId="3809F794">
            <w:pPr>
              <w:pStyle w:val="12"/>
            </w:pPr>
            <w:r>
              <w:t>群众测评</w:t>
            </w:r>
          </w:p>
        </w:tc>
      </w:tr>
    </w:tbl>
    <w:p w14:paraId="7141B2CE">
      <w:pPr>
        <w:sectPr>
          <w:pgSz w:w="16840" w:h="11900" w:orient="landscape"/>
          <w:pgMar w:top="1361" w:right="1020" w:bottom="1134" w:left="1020" w:header="720" w:footer="720" w:gutter="0"/>
          <w:cols w:space="720" w:num="1"/>
        </w:sectPr>
      </w:pPr>
    </w:p>
    <w:p w14:paraId="60048516">
      <w:pPr>
        <w:spacing w:before="0" w:after="0"/>
        <w:ind w:firstLine="560"/>
        <w:jc w:val="left"/>
        <w:outlineLvl w:val="9"/>
      </w:pPr>
      <w:r>
        <w:rPr>
          <w:rFonts w:ascii="方正仿宋_GBK" w:hAnsi="方正仿宋_GBK" w:eastAsia="方正仿宋_GBK" w:cs="方正仿宋_GBK"/>
          <w:b/>
          <w:color w:val="000000"/>
          <w:sz w:val="28"/>
        </w:rPr>
        <w:t>32、县级配套/尹村校区大宁甫小学公用经费绩效目标表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CC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91A69">
            <w:pPr>
              <w:pStyle w:val="11"/>
            </w:pPr>
            <w:r>
              <w:t>单位：万元</w:t>
            </w:r>
          </w:p>
        </w:tc>
      </w:tr>
      <w:tr w14:paraId="6268B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75A5C">
            <w:pPr>
              <w:pStyle w:val="10"/>
            </w:pPr>
            <w:r>
              <w:t>项目编码</w:t>
            </w:r>
          </w:p>
        </w:tc>
        <w:tc>
          <w:tcPr>
            <w:tcW w:w="5103" w:type="dxa"/>
            <w:gridSpan w:val="2"/>
            <w:vAlign w:val="center"/>
          </w:tcPr>
          <w:p w14:paraId="09BF6A9A">
            <w:pPr>
              <w:pStyle w:val="12"/>
            </w:pPr>
            <w:r>
              <w:t>13052526P000004104551</w:t>
            </w:r>
          </w:p>
        </w:tc>
        <w:tc>
          <w:tcPr>
            <w:tcW w:w="2835" w:type="dxa"/>
            <w:vAlign w:val="center"/>
          </w:tcPr>
          <w:p w14:paraId="4ED146CA">
            <w:pPr>
              <w:pStyle w:val="10"/>
            </w:pPr>
            <w:r>
              <w:t>项目名称</w:t>
            </w:r>
          </w:p>
        </w:tc>
        <w:tc>
          <w:tcPr>
            <w:tcW w:w="6095" w:type="dxa"/>
            <w:gridSpan w:val="3"/>
            <w:vAlign w:val="center"/>
          </w:tcPr>
          <w:p w14:paraId="6D9EBDC3">
            <w:pPr>
              <w:pStyle w:val="12"/>
            </w:pPr>
            <w:r>
              <w:t>县级配套/尹村校区大宁甫小学公用经费</w:t>
            </w:r>
          </w:p>
        </w:tc>
      </w:tr>
      <w:tr w14:paraId="09A21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BAFD6">
            <w:pPr>
              <w:pStyle w:val="10"/>
            </w:pPr>
            <w:r>
              <w:t>预算规模及资金用途</w:t>
            </w:r>
          </w:p>
        </w:tc>
        <w:tc>
          <w:tcPr>
            <w:tcW w:w="2268" w:type="dxa"/>
            <w:vAlign w:val="center"/>
          </w:tcPr>
          <w:p w14:paraId="2DE1CFC0">
            <w:pPr>
              <w:pStyle w:val="10"/>
            </w:pPr>
            <w:r>
              <w:t>预算数</w:t>
            </w:r>
          </w:p>
        </w:tc>
        <w:tc>
          <w:tcPr>
            <w:tcW w:w="2835" w:type="dxa"/>
            <w:vAlign w:val="center"/>
          </w:tcPr>
          <w:p w14:paraId="522B758D">
            <w:pPr>
              <w:pStyle w:val="12"/>
            </w:pPr>
            <w:r>
              <w:t>5.19</w:t>
            </w:r>
          </w:p>
        </w:tc>
        <w:tc>
          <w:tcPr>
            <w:tcW w:w="2835" w:type="dxa"/>
            <w:vAlign w:val="center"/>
          </w:tcPr>
          <w:p w14:paraId="2C81A9C9">
            <w:pPr>
              <w:pStyle w:val="10"/>
            </w:pPr>
            <w:r>
              <w:t>其中：财政    资金</w:t>
            </w:r>
          </w:p>
        </w:tc>
        <w:tc>
          <w:tcPr>
            <w:tcW w:w="2551" w:type="dxa"/>
            <w:vAlign w:val="center"/>
          </w:tcPr>
          <w:p w14:paraId="616D1DEA">
            <w:pPr>
              <w:pStyle w:val="12"/>
            </w:pPr>
            <w:r>
              <w:t>5.19</w:t>
            </w:r>
          </w:p>
        </w:tc>
        <w:tc>
          <w:tcPr>
            <w:tcW w:w="2268" w:type="dxa"/>
            <w:vAlign w:val="center"/>
          </w:tcPr>
          <w:p w14:paraId="22A0A3E6">
            <w:pPr>
              <w:pStyle w:val="10"/>
            </w:pPr>
            <w:r>
              <w:t>其他资金</w:t>
            </w:r>
          </w:p>
        </w:tc>
        <w:tc>
          <w:tcPr>
            <w:tcW w:w="1276" w:type="dxa"/>
            <w:vAlign w:val="center"/>
          </w:tcPr>
          <w:p w14:paraId="4D5B8C7E">
            <w:pPr>
              <w:pStyle w:val="12"/>
            </w:pPr>
            <w:r>
              <w:t xml:space="preserve"> </w:t>
            </w:r>
          </w:p>
        </w:tc>
      </w:tr>
      <w:tr w14:paraId="7BFE2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F14EE"/>
        </w:tc>
        <w:tc>
          <w:tcPr>
            <w:tcW w:w="14033" w:type="dxa"/>
            <w:gridSpan w:val="6"/>
            <w:vAlign w:val="center"/>
          </w:tcPr>
          <w:p w14:paraId="5F998F6A">
            <w:pPr>
              <w:pStyle w:val="12"/>
            </w:pPr>
            <w:r>
              <w:t>保障学校正常运转，完成各项教育教学活动和其他日常工作任务等方面的费用支出。</w:t>
            </w:r>
          </w:p>
        </w:tc>
      </w:tr>
      <w:tr w14:paraId="63654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6BAAF">
            <w:pPr>
              <w:pStyle w:val="10"/>
            </w:pPr>
            <w:r>
              <w:t>资金支出计划（%）</w:t>
            </w:r>
          </w:p>
        </w:tc>
        <w:tc>
          <w:tcPr>
            <w:tcW w:w="5103" w:type="dxa"/>
            <w:gridSpan w:val="2"/>
            <w:vAlign w:val="center"/>
          </w:tcPr>
          <w:p w14:paraId="6082128B">
            <w:pPr>
              <w:pStyle w:val="10"/>
            </w:pPr>
            <w:r>
              <w:t>3月底</w:t>
            </w:r>
          </w:p>
        </w:tc>
        <w:tc>
          <w:tcPr>
            <w:tcW w:w="2835" w:type="dxa"/>
            <w:vAlign w:val="center"/>
          </w:tcPr>
          <w:p w14:paraId="5B38829B">
            <w:pPr>
              <w:pStyle w:val="10"/>
            </w:pPr>
            <w:r>
              <w:t>6月底</w:t>
            </w:r>
          </w:p>
        </w:tc>
        <w:tc>
          <w:tcPr>
            <w:tcW w:w="2551" w:type="dxa"/>
            <w:vAlign w:val="center"/>
          </w:tcPr>
          <w:p w14:paraId="59579119">
            <w:pPr>
              <w:pStyle w:val="10"/>
            </w:pPr>
            <w:r>
              <w:t>10月底</w:t>
            </w:r>
          </w:p>
        </w:tc>
        <w:tc>
          <w:tcPr>
            <w:tcW w:w="3544" w:type="dxa"/>
            <w:gridSpan w:val="2"/>
            <w:vAlign w:val="center"/>
          </w:tcPr>
          <w:p w14:paraId="561A4F6F">
            <w:pPr>
              <w:pStyle w:val="10"/>
            </w:pPr>
            <w:r>
              <w:t>12月底</w:t>
            </w:r>
          </w:p>
        </w:tc>
      </w:tr>
      <w:tr w14:paraId="7C4D8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7075D"/>
        </w:tc>
        <w:tc>
          <w:tcPr>
            <w:tcW w:w="5103" w:type="dxa"/>
            <w:gridSpan w:val="2"/>
            <w:vAlign w:val="center"/>
          </w:tcPr>
          <w:p w14:paraId="50C6C5F8">
            <w:pPr>
              <w:pStyle w:val="13"/>
            </w:pPr>
            <w:r>
              <w:t>25%</w:t>
            </w:r>
          </w:p>
        </w:tc>
        <w:tc>
          <w:tcPr>
            <w:tcW w:w="2835" w:type="dxa"/>
            <w:vAlign w:val="center"/>
          </w:tcPr>
          <w:p w14:paraId="4A656B57">
            <w:pPr>
              <w:pStyle w:val="13"/>
            </w:pPr>
            <w:r>
              <w:t>50%</w:t>
            </w:r>
          </w:p>
        </w:tc>
        <w:tc>
          <w:tcPr>
            <w:tcW w:w="2551" w:type="dxa"/>
            <w:vAlign w:val="center"/>
          </w:tcPr>
          <w:p w14:paraId="0301C1CB">
            <w:pPr>
              <w:pStyle w:val="13"/>
            </w:pPr>
            <w:r>
              <w:t>75%</w:t>
            </w:r>
          </w:p>
        </w:tc>
        <w:tc>
          <w:tcPr>
            <w:tcW w:w="3544" w:type="dxa"/>
            <w:gridSpan w:val="2"/>
            <w:vAlign w:val="center"/>
          </w:tcPr>
          <w:p w14:paraId="5C7284A1">
            <w:pPr>
              <w:pStyle w:val="13"/>
            </w:pPr>
            <w:r>
              <w:t>100%</w:t>
            </w:r>
          </w:p>
        </w:tc>
      </w:tr>
      <w:tr w14:paraId="67ED8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4EF0F">
            <w:pPr>
              <w:pStyle w:val="10"/>
            </w:pPr>
            <w:r>
              <w:t>绩效目标</w:t>
            </w:r>
          </w:p>
        </w:tc>
        <w:tc>
          <w:tcPr>
            <w:tcW w:w="14033" w:type="dxa"/>
            <w:gridSpan w:val="6"/>
            <w:vAlign w:val="center"/>
          </w:tcPr>
          <w:p w14:paraId="63956904">
            <w:pPr>
              <w:pStyle w:val="12"/>
            </w:pPr>
            <w:r>
              <w:t>1.按季度分批次拨付公用经费资金，资金拨付率达到100%。</w:t>
            </w:r>
          </w:p>
          <w:p w14:paraId="6E68987D">
            <w:pPr>
              <w:pStyle w:val="12"/>
            </w:pPr>
            <w:r>
              <w:t>2.保障学校正常运转，完成各项教育教学活动和其他日常工作任务等方面的费用支出。</w:t>
            </w:r>
          </w:p>
        </w:tc>
      </w:tr>
    </w:tbl>
    <w:p w14:paraId="29A0D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7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439F9">
            <w:pPr>
              <w:pStyle w:val="10"/>
            </w:pPr>
            <w:r>
              <w:t>一级指标</w:t>
            </w:r>
          </w:p>
        </w:tc>
        <w:tc>
          <w:tcPr>
            <w:tcW w:w="2268" w:type="dxa"/>
            <w:vAlign w:val="center"/>
          </w:tcPr>
          <w:p w14:paraId="272A6A35">
            <w:pPr>
              <w:pStyle w:val="10"/>
            </w:pPr>
            <w:r>
              <w:t>二级指标</w:t>
            </w:r>
          </w:p>
        </w:tc>
        <w:tc>
          <w:tcPr>
            <w:tcW w:w="2835" w:type="dxa"/>
            <w:vAlign w:val="center"/>
          </w:tcPr>
          <w:p w14:paraId="4338EFFB">
            <w:pPr>
              <w:pStyle w:val="10"/>
            </w:pPr>
            <w:r>
              <w:t>三级指标</w:t>
            </w:r>
          </w:p>
        </w:tc>
        <w:tc>
          <w:tcPr>
            <w:tcW w:w="5386" w:type="dxa"/>
            <w:vAlign w:val="center"/>
          </w:tcPr>
          <w:p w14:paraId="232B5571">
            <w:pPr>
              <w:pStyle w:val="10"/>
            </w:pPr>
            <w:r>
              <w:t>绩效指标描述</w:t>
            </w:r>
          </w:p>
        </w:tc>
        <w:tc>
          <w:tcPr>
            <w:tcW w:w="2268" w:type="dxa"/>
            <w:vAlign w:val="center"/>
          </w:tcPr>
          <w:p w14:paraId="3745E83D">
            <w:pPr>
              <w:pStyle w:val="10"/>
            </w:pPr>
            <w:r>
              <w:t>指标值</w:t>
            </w:r>
          </w:p>
        </w:tc>
        <w:tc>
          <w:tcPr>
            <w:tcW w:w="1276" w:type="dxa"/>
            <w:vAlign w:val="center"/>
          </w:tcPr>
          <w:p w14:paraId="2F81C4FD">
            <w:pPr>
              <w:pStyle w:val="10"/>
            </w:pPr>
            <w:r>
              <w:t>指标值确定依据</w:t>
            </w:r>
          </w:p>
        </w:tc>
      </w:tr>
      <w:tr w14:paraId="3BBE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37F20">
            <w:pPr>
              <w:pStyle w:val="13"/>
            </w:pPr>
            <w:r>
              <w:t>产出指标</w:t>
            </w:r>
          </w:p>
        </w:tc>
        <w:tc>
          <w:tcPr>
            <w:tcW w:w="2268" w:type="dxa"/>
            <w:vAlign w:val="center"/>
          </w:tcPr>
          <w:p w14:paraId="4128CB1C">
            <w:pPr>
              <w:pStyle w:val="12"/>
            </w:pPr>
            <w:r>
              <w:t>数量指标</w:t>
            </w:r>
          </w:p>
        </w:tc>
        <w:tc>
          <w:tcPr>
            <w:tcW w:w="2835" w:type="dxa"/>
            <w:vAlign w:val="center"/>
          </w:tcPr>
          <w:p w14:paraId="7D6F5712">
            <w:pPr>
              <w:pStyle w:val="12"/>
            </w:pPr>
            <w:r>
              <w:t>就读学生数</w:t>
            </w:r>
          </w:p>
        </w:tc>
        <w:tc>
          <w:tcPr>
            <w:tcW w:w="5386" w:type="dxa"/>
            <w:vAlign w:val="center"/>
          </w:tcPr>
          <w:p w14:paraId="603B091B">
            <w:pPr>
              <w:pStyle w:val="12"/>
            </w:pPr>
            <w:r>
              <w:t>辐射区域内适龄学生人数</w:t>
            </w:r>
          </w:p>
        </w:tc>
        <w:tc>
          <w:tcPr>
            <w:tcW w:w="2268" w:type="dxa"/>
            <w:vAlign w:val="center"/>
          </w:tcPr>
          <w:p w14:paraId="08243A52">
            <w:pPr>
              <w:pStyle w:val="12"/>
            </w:pPr>
            <w:r>
              <w:t>533人</w:t>
            </w:r>
          </w:p>
        </w:tc>
        <w:tc>
          <w:tcPr>
            <w:tcW w:w="1276" w:type="dxa"/>
            <w:vAlign w:val="center"/>
          </w:tcPr>
          <w:p w14:paraId="0AFB5BA5">
            <w:pPr>
              <w:pStyle w:val="12"/>
            </w:pPr>
            <w:r>
              <w:t>城乡义务教育公用经费管理办法</w:t>
            </w:r>
          </w:p>
        </w:tc>
      </w:tr>
      <w:tr w14:paraId="06BA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C9D63"/>
        </w:tc>
        <w:tc>
          <w:tcPr>
            <w:tcW w:w="2268" w:type="dxa"/>
            <w:vAlign w:val="center"/>
          </w:tcPr>
          <w:p w14:paraId="184AF52E">
            <w:pPr>
              <w:pStyle w:val="12"/>
            </w:pPr>
            <w:r>
              <w:t>质量指标</w:t>
            </w:r>
          </w:p>
        </w:tc>
        <w:tc>
          <w:tcPr>
            <w:tcW w:w="2835" w:type="dxa"/>
            <w:vAlign w:val="center"/>
          </w:tcPr>
          <w:p w14:paraId="03D91450">
            <w:pPr>
              <w:pStyle w:val="12"/>
            </w:pPr>
            <w:r>
              <w:t>预算执行率</w:t>
            </w:r>
          </w:p>
        </w:tc>
        <w:tc>
          <w:tcPr>
            <w:tcW w:w="5386" w:type="dxa"/>
            <w:vAlign w:val="center"/>
          </w:tcPr>
          <w:p w14:paraId="0A5322B0">
            <w:pPr>
              <w:pStyle w:val="12"/>
            </w:pPr>
            <w:r>
              <w:t>预算执行率</w:t>
            </w:r>
          </w:p>
        </w:tc>
        <w:tc>
          <w:tcPr>
            <w:tcW w:w="2268" w:type="dxa"/>
            <w:vAlign w:val="center"/>
          </w:tcPr>
          <w:p w14:paraId="3A7C945C">
            <w:pPr>
              <w:pStyle w:val="12"/>
            </w:pPr>
            <w:r>
              <w:t>≥95%</w:t>
            </w:r>
          </w:p>
        </w:tc>
        <w:tc>
          <w:tcPr>
            <w:tcW w:w="1276" w:type="dxa"/>
            <w:vAlign w:val="center"/>
          </w:tcPr>
          <w:p w14:paraId="3F4AF3F2">
            <w:pPr>
              <w:pStyle w:val="12"/>
            </w:pPr>
            <w:r>
              <w:t>城乡义务教育公用经费管理办法</w:t>
            </w:r>
          </w:p>
        </w:tc>
      </w:tr>
      <w:tr w14:paraId="1529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20A67"/>
        </w:tc>
        <w:tc>
          <w:tcPr>
            <w:tcW w:w="2268" w:type="dxa"/>
            <w:vAlign w:val="center"/>
          </w:tcPr>
          <w:p w14:paraId="4D3417EE">
            <w:pPr>
              <w:pStyle w:val="12"/>
            </w:pPr>
            <w:r>
              <w:t>时效指标</w:t>
            </w:r>
          </w:p>
        </w:tc>
        <w:tc>
          <w:tcPr>
            <w:tcW w:w="2835" w:type="dxa"/>
            <w:vAlign w:val="center"/>
          </w:tcPr>
          <w:p w14:paraId="7C348994">
            <w:pPr>
              <w:pStyle w:val="12"/>
            </w:pPr>
            <w:r>
              <w:t>义教经费支付完成率</w:t>
            </w:r>
          </w:p>
        </w:tc>
        <w:tc>
          <w:tcPr>
            <w:tcW w:w="5386" w:type="dxa"/>
            <w:vAlign w:val="center"/>
          </w:tcPr>
          <w:p w14:paraId="70D8100F">
            <w:pPr>
              <w:pStyle w:val="12"/>
            </w:pPr>
            <w:r>
              <w:t>按照序时进度完成资金支付</w:t>
            </w:r>
          </w:p>
        </w:tc>
        <w:tc>
          <w:tcPr>
            <w:tcW w:w="2268" w:type="dxa"/>
            <w:vAlign w:val="center"/>
          </w:tcPr>
          <w:p w14:paraId="2F321DE9">
            <w:pPr>
              <w:pStyle w:val="12"/>
            </w:pPr>
            <w:r>
              <w:t>100%</w:t>
            </w:r>
          </w:p>
        </w:tc>
        <w:tc>
          <w:tcPr>
            <w:tcW w:w="1276" w:type="dxa"/>
            <w:vAlign w:val="center"/>
          </w:tcPr>
          <w:p w14:paraId="61989EAC">
            <w:pPr>
              <w:pStyle w:val="12"/>
            </w:pPr>
            <w:r>
              <w:t>城乡义务教育公用经费管理办法</w:t>
            </w:r>
          </w:p>
        </w:tc>
      </w:tr>
      <w:tr w14:paraId="3750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02B8E"/>
        </w:tc>
        <w:tc>
          <w:tcPr>
            <w:tcW w:w="2268" w:type="dxa"/>
            <w:vAlign w:val="center"/>
          </w:tcPr>
          <w:p w14:paraId="2200B2E6">
            <w:pPr>
              <w:pStyle w:val="12"/>
            </w:pPr>
            <w:r>
              <w:t>成本指标</w:t>
            </w:r>
          </w:p>
        </w:tc>
        <w:tc>
          <w:tcPr>
            <w:tcW w:w="2835" w:type="dxa"/>
            <w:vAlign w:val="center"/>
          </w:tcPr>
          <w:p w14:paraId="2B126CA9">
            <w:pPr>
              <w:pStyle w:val="12"/>
            </w:pPr>
            <w:r>
              <w:t>生均拨款标准</w:t>
            </w:r>
          </w:p>
        </w:tc>
        <w:tc>
          <w:tcPr>
            <w:tcW w:w="5386" w:type="dxa"/>
            <w:vAlign w:val="center"/>
          </w:tcPr>
          <w:p w14:paraId="1384C8B6">
            <w:pPr>
              <w:pStyle w:val="12"/>
            </w:pPr>
            <w:r>
              <w:t>小学生公用经费生均公用经费基准定额为720元/年/生，取暖费120元/年/生，住宿生补助300元/年/生的标准，随班就读学生补助7000元/生/年</w:t>
            </w:r>
          </w:p>
        </w:tc>
        <w:tc>
          <w:tcPr>
            <w:tcW w:w="2268" w:type="dxa"/>
            <w:vAlign w:val="center"/>
          </w:tcPr>
          <w:p w14:paraId="1223EDBB">
            <w:pPr>
              <w:pStyle w:val="12"/>
            </w:pPr>
            <w:r>
              <w:t>840元</w:t>
            </w:r>
          </w:p>
        </w:tc>
        <w:tc>
          <w:tcPr>
            <w:tcW w:w="1276" w:type="dxa"/>
            <w:vAlign w:val="center"/>
          </w:tcPr>
          <w:p w14:paraId="13F48CCD">
            <w:pPr>
              <w:pStyle w:val="12"/>
            </w:pPr>
            <w:r>
              <w:t>城乡义务教育公用经费管理办法</w:t>
            </w:r>
          </w:p>
        </w:tc>
      </w:tr>
      <w:tr w14:paraId="57CC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CE669">
            <w:pPr>
              <w:pStyle w:val="13"/>
            </w:pPr>
            <w:r>
              <w:t>效益指标</w:t>
            </w:r>
          </w:p>
        </w:tc>
        <w:tc>
          <w:tcPr>
            <w:tcW w:w="2268" w:type="dxa"/>
            <w:vAlign w:val="center"/>
          </w:tcPr>
          <w:p w14:paraId="1C386B2E">
            <w:pPr>
              <w:pStyle w:val="12"/>
            </w:pPr>
            <w:r>
              <w:t>生态效益指标</w:t>
            </w:r>
          </w:p>
        </w:tc>
        <w:tc>
          <w:tcPr>
            <w:tcW w:w="2835" w:type="dxa"/>
            <w:vAlign w:val="center"/>
          </w:tcPr>
          <w:p w14:paraId="24E83F4E">
            <w:pPr>
              <w:pStyle w:val="12"/>
            </w:pPr>
            <w:r>
              <w:t>学校运转得到提高</w:t>
            </w:r>
          </w:p>
        </w:tc>
        <w:tc>
          <w:tcPr>
            <w:tcW w:w="5386" w:type="dxa"/>
            <w:vAlign w:val="center"/>
          </w:tcPr>
          <w:p w14:paraId="5C7B0542">
            <w:pPr>
              <w:pStyle w:val="12"/>
            </w:pPr>
            <w:r>
              <w:t>学生受教育年限</w:t>
            </w:r>
          </w:p>
        </w:tc>
        <w:tc>
          <w:tcPr>
            <w:tcW w:w="2268" w:type="dxa"/>
            <w:vAlign w:val="center"/>
          </w:tcPr>
          <w:p w14:paraId="469D4CB9">
            <w:pPr>
              <w:pStyle w:val="12"/>
            </w:pPr>
            <w:r>
              <w:t>6年</w:t>
            </w:r>
          </w:p>
        </w:tc>
        <w:tc>
          <w:tcPr>
            <w:tcW w:w="1276" w:type="dxa"/>
            <w:vAlign w:val="center"/>
          </w:tcPr>
          <w:p w14:paraId="23680EDF">
            <w:pPr>
              <w:pStyle w:val="12"/>
            </w:pPr>
            <w:r>
              <w:t>城乡义务教育公用经费管理办法</w:t>
            </w:r>
          </w:p>
        </w:tc>
      </w:tr>
      <w:tr w14:paraId="1CD1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49FDA">
            <w:pPr>
              <w:pStyle w:val="13"/>
            </w:pPr>
            <w:r>
              <w:t>满意度指标</w:t>
            </w:r>
          </w:p>
        </w:tc>
        <w:tc>
          <w:tcPr>
            <w:tcW w:w="2268" w:type="dxa"/>
            <w:vAlign w:val="center"/>
          </w:tcPr>
          <w:p w14:paraId="60E11A75">
            <w:pPr>
              <w:pStyle w:val="12"/>
            </w:pPr>
            <w:r>
              <w:t>服务对象满意度指标</w:t>
            </w:r>
          </w:p>
        </w:tc>
        <w:tc>
          <w:tcPr>
            <w:tcW w:w="2835" w:type="dxa"/>
            <w:vAlign w:val="center"/>
          </w:tcPr>
          <w:p w14:paraId="1359063B">
            <w:pPr>
              <w:pStyle w:val="12"/>
            </w:pPr>
            <w:r>
              <w:t>服务对象满意度</w:t>
            </w:r>
          </w:p>
        </w:tc>
        <w:tc>
          <w:tcPr>
            <w:tcW w:w="5386" w:type="dxa"/>
            <w:vAlign w:val="center"/>
          </w:tcPr>
          <w:p w14:paraId="72E8F122">
            <w:pPr>
              <w:pStyle w:val="12"/>
            </w:pPr>
            <w:r>
              <w:t>学校老师和学生满意度</w:t>
            </w:r>
          </w:p>
        </w:tc>
        <w:tc>
          <w:tcPr>
            <w:tcW w:w="2268" w:type="dxa"/>
            <w:vAlign w:val="center"/>
          </w:tcPr>
          <w:p w14:paraId="0032A62A">
            <w:pPr>
              <w:pStyle w:val="12"/>
            </w:pPr>
            <w:r>
              <w:t>≥95%</w:t>
            </w:r>
          </w:p>
        </w:tc>
        <w:tc>
          <w:tcPr>
            <w:tcW w:w="1276" w:type="dxa"/>
            <w:vAlign w:val="center"/>
          </w:tcPr>
          <w:p w14:paraId="639A3C28">
            <w:pPr>
              <w:pStyle w:val="12"/>
            </w:pPr>
            <w:r>
              <w:t>群众测评</w:t>
            </w:r>
          </w:p>
        </w:tc>
      </w:tr>
    </w:tbl>
    <w:p w14:paraId="7D3E4215">
      <w:pPr>
        <w:sectPr>
          <w:pgSz w:w="16840" w:h="11900" w:orient="landscape"/>
          <w:pgMar w:top="1361" w:right="1020" w:bottom="1134" w:left="1020" w:header="720" w:footer="720" w:gutter="0"/>
          <w:cols w:space="720" w:num="1"/>
        </w:sectPr>
      </w:pPr>
    </w:p>
    <w:p w14:paraId="4F605E62">
      <w:pPr>
        <w:spacing w:before="0" w:after="0"/>
        <w:ind w:firstLine="560"/>
        <w:jc w:val="left"/>
        <w:outlineLvl w:val="9"/>
      </w:pPr>
      <w:r>
        <w:rPr>
          <w:rFonts w:ascii="方正仿宋_GBK" w:hAnsi="方正仿宋_GBK" w:eastAsia="方正仿宋_GBK" w:cs="方正仿宋_GBK"/>
          <w:b/>
          <w:color w:val="000000"/>
          <w:sz w:val="28"/>
        </w:rPr>
        <w:t>33、县级配套/尹村校区东尹小学公用经费绩效目标表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23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B74E8">
            <w:pPr>
              <w:pStyle w:val="11"/>
            </w:pPr>
            <w:r>
              <w:t>单位：万元</w:t>
            </w:r>
          </w:p>
        </w:tc>
      </w:tr>
      <w:tr w14:paraId="523A5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03A90">
            <w:pPr>
              <w:pStyle w:val="10"/>
            </w:pPr>
            <w:r>
              <w:t>项目编码</w:t>
            </w:r>
          </w:p>
        </w:tc>
        <w:tc>
          <w:tcPr>
            <w:tcW w:w="5103" w:type="dxa"/>
            <w:gridSpan w:val="2"/>
            <w:vAlign w:val="center"/>
          </w:tcPr>
          <w:p w14:paraId="1F042BF9">
            <w:pPr>
              <w:pStyle w:val="12"/>
            </w:pPr>
            <w:r>
              <w:t>13052526P00000410454D</w:t>
            </w:r>
          </w:p>
        </w:tc>
        <w:tc>
          <w:tcPr>
            <w:tcW w:w="2835" w:type="dxa"/>
            <w:vAlign w:val="center"/>
          </w:tcPr>
          <w:p w14:paraId="61690535">
            <w:pPr>
              <w:pStyle w:val="10"/>
            </w:pPr>
            <w:r>
              <w:t>项目名称</w:t>
            </w:r>
          </w:p>
        </w:tc>
        <w:tc>
          <w:tcPr>
            <w:tcW w:w="6095" w:type="dxa"/>
            <w:gridSpan w:val="3"/>
            <w:vAlign w:val="center"/>
          </w:tcPr>
          <w:p w14:paraId="32FFCE3C">
            <w:pPr>
              <w:pStyle w:val="12"/>
            </w:pPr>
            <w:r>
              <w:t>县级配套/尹村校区东尹小学公用经费</w:t>
            </w:r>
          </w:p>
        </w:tc>
      </w:tr>
      <w:tr w14:paraId="06579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58908">
            <w:pPr>
              <w:pStyle w:val="10"/>
            </w:pPr>
            <w:r>
              <w:t>预算规模及资金用途</w:t>
            </w:r>
          </w:p>
        </w:tc>
        <w:tc>
          <w:tcPr>
            <w:tcW w:w="2268" w:type="dxa"/>
            <w:vAlign w:val="center"/>
          </w:tcPr>
          <w:p w14:paraId="07F0868F">
            <w:pPr>
              <w:pStyle w:val="10"/>
            </w:pPr>
            <w:r>
              <w:t>预算数</w:t>
            </w:r>
          </w:p>
        </w:tc>
        <w:tc>
          <w:tcPr>
            <w:tcW w:w="2835" w:type="dxa"/>
            <w:vAlign w:val="center"/>
          </w:tcPr>
          <w:p w14:paraId="5A7DA0BD">
            <w:pPr>
              <w:pStyle w:val="12"/>
            </w:pPr>
            <w:r>
              <w:t>1.69</w:t>
            </w:r>
          </w:p>
        </w:tc>
        <w:tc>
          <w:tcPr>
            <w:tcW w:w="2835" w:type="dxa"/>
            <w:vAlign w:val="center"/>
          </w:tcPr>
          <w:p w14:paraId="0E851D7F">
            <w:pPr>
              <w:pStyle w:val="10"/>
            </w:pPr>
            <w:r>
              <w:t>其中：财政    资金</w:t>
            </w:r>
          </w:p>
        </w:tc>
        <w:tc>
          <w:tcPr>
            <w:tcW w:w="2551" w:type="dxa"/>
            <w:vAlign w:val="center"/>
          </w:tcPr>
          <w:p w14:paraId="558CCD4B">
            <w:pPr>
              <w:pStyle w:val="12"/>
            </w:pPr>
            <w:r>
              <w:t>1.69</w:t>
            </w:r>
          </w:p>
        </w:tc>
        <w:tc>
          <w:tcPr>
            <w:tcW w:w="2268" w:type="dxa"/>
            <w:vAlign w:val="center"/>
          </w:tcPr>
          <w:p w14:paraId="277FA4AF">
            <w:pPr>
              <w:pStyle w:val="10"/>
            </w:pPr>
            <w:r>
              <w:t>其他资金</w:t>
            </w:r>
          </w:p>
        </w:tc>
        <w:tc>
          <w:tcPr>
            <w:tcW w:w="1276" w:type="dxa"/>
            <w:vAlign w:val="center"/>
          </w:tcPr>
          <w:p w14:paraId="2A464ACA">
            <w:pPr>
              <w:pStyle w:val="12"/>
            </w:pPr>
            <w:r>
              <w:t xml:space="preserve"> </w:t>
            </w:r>
          </w:p>
        </w:tc>
      </w:tr>
      <w:tr w14:paraId="71BF5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BB7B5"/>
        </w:tc>
        <w:tc>
          <w:tcPr>
            <w:tcW w:w="14033" w:type="dxa"/>
            <w:gridSpan w:val="6"/>
            <w:vAlign w:val="center"/>
          </w:tcPr>
          <w:p w14:paraId="73A66BDF">
            <w:pPr>
              <w:pStyle w:val="12"/>
            </w:pPr>
            <w:r>
              <w:t>保障学校正常运转，完成各项教育教学活动和其他日常工作任务等方面的费用支出。</w:t>
            </w:r>
          </w:p>
        </w:tc>
      </w:tr>
      <w:tr w14:paraId="08249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A2B99">
            <w:pPr>
              <w:pStyle w:val="10"/>
            </w:pPr>
            <w:r>
              <w:t>资金支出计划（%）</w:t>
            </w:r>
          </w:p>
        </w:tc>
        <w:tc>
          <w:tcPr>
            <w:tcW w:w="5103" w:type="dxa"/>
            <w:gridSpan w:val="2"/>
            <w:vAlign w:val="center"/>
          </w:tcPr>
          <w:p w14:paraId="273735DF">
            <w:pPr>
              <w:pStyle w:val="10"/>
            </w:pPr>
            <w:r>
              <w:t>3月底</w:t>
            </w:r>
          </w:p>
        </w:tc>
        <w:tc>
          <w:tcPr>
            <w:tcW w:w="2835" w:type="dxa"/>
            <w:vAlign w:val="center"/>
          </w:tcPr>
          <w:p w14:paraId="074B2499">
            <w:pPr>
              <w:pStyle w:val="10"/>
            </w:pPr>
            <w:r>
              <w:t>6月底</w:t>
            </w:r>
          </w:p>
        </w:tc>
        <w:tc>
          <w:tcPr>
            <w:tcW w:w="2551" w:type="dxa"/>
            <w:vAlign w:val="center"/>
          </w:tcPr>
          <w:p w14:paraId="616D5C51">
            <w:pPr>
              <w:pStyle w:val="10"/>
            </w:pPr>
            <w:r>
              <w:t>10月底</w:t>
            </w:r>
          </w:p>
        </w:tc>
        <w:tc>
          <w:tcPr>
            <w:tcW w:w="3544" w:type="dxa"/>
            <w:gridSpan w:val="2"/>
            <w:vAlign w:val="center"/>
          </w:tcPr>
          <w:p w14:paraId="7A2DFE8C">
            <w:pPr>
              <w:pStyle w:val="10"/>
            </w:pPr>
            <w:r>
              <w:t>12月底</w:t>
            </w:r>
          </w:p>
        </w:tc>
      </w:tr>
      <w:tr w14:paraId="3B90E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B3141"/>
        </w:tc>
        <w:tc>
          <w:tcPr>
            <w:tcW w:w="5103" w:type="dxa"/>
            <w:gridSpan w:val="2"/>
            <w:vAlign w:val="center"/>
          </w:tcPr>
          <w:p w14:paraId="71F933F3">
            <w:pPr>
              <w:pStyle w:val="13"/>
            </w:pPr>
            <w:r>
              <w:t>25%</w:t>
            </w:r>
          </w:p>
        </w:tc>
        <w:tc>
          <w:tcPr>
            <w:tcW w:w="2835" w:type="dxa"/>
            <w:vAlign w:val="center"/>
          </w:tcPr>
          <w:p w14:paraId="28722E95">
            <w:pPr>
              <w:pStyle w:val="13"/>
            </w:pPr>
            <w:r>
              <w:t>50%</w:t>
            </w:r>
          </w:p>
        </w:tc>
        <w:tc>
          <w:tcPr>
            <w:tcW w:w="2551" w:type="dxa"/>
            <w:vAlign w:val="center"/>
          </w:tcPr>
          <w:p w14:paraId="07B9C878">
            <w:pPr>
              <w:pStyle w:val="13"/>
            </w:pPr>
            <w:r>
              <w:t>75%</w:t>
            </w:r>
          </w:p>
        </w:tc>
        <w:tc>
          <w:tcPr>
            <w:tcW w:w="3544" w:type="dxa"/>
            <w:gridSpan w:val="2"/>
            <w:vAlign w:val="center"/>
          </w:tcPr>
          <w:p w14:paraId="54084480">
            <w:pPr>
              <w:pStyle w:val="13"/>
            </w:pPr>
            <w:r>
              <w:t>100%</w:t>
            </w:r>
          </w:p>
        </w:tc>
      </w:tr>
      <w:tr w14:paraId="4B88F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EF8C5">
            <w:pPr>
              <w:pStyle w:val="10"/>
            </w:pPr>
            <w:r>
              <w:t>绩效目标</w:t>
            </w:r>
          </w:p>
        </w:tc>
        <w:tc>
          <w:tcPr>
            <w:tcW w:w="14033" w:type="dxa"/>
            <w:gridSpan w:val="6"/>
            <w:vAlign w:val="center"/>
          </w:tcPr>
          <w:p w14:paraId="61536026">
            <w:pPr>
              <w:pStyle w:val="12"/>
            </w:pPr>
            <w:r>
              <w:t>1.按季度分批次拨付公用经费资金，资金拨付率达到100%。</w:t>
            </w:r>
          </w:p>
          <w:p w14:paraId="4A37ABFA">
            <w:pPr>
              <w:pStyle w:val="12"/>
            </w:pPr>
            <w:r>
              <w:t>2.保障学校正常运转，完成各项教育教学活动和其他日常工作任务等方面的费用支出。</w:t>
            </w:r>
          </w:p>
        </w:tc>
      </w:tr>
    </w:tbl>
    <w:p w14:paraId="69564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2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2F9E1">
            <w:pPr>
              <w:pStyle w:val="10"/>
            </w:pPr>
            <w:r>
              <w:t>一级指标</w:t>
            </w:r>
          </w:p>
        </w:tc>
        <w:tc>
          <w:tcPr>
            <w:tcW w:w="2268" w:type="dxa"/>
            <w:vAlign w:val="center"/>
          </w:tcPr>
          <w:p w14:paraId="5F734931">
            <w:pPr>
              <w:pStyle w:val="10"/>
            </w:pPr>
            <w:r>
              <w:t>二级指标</w:t>
            </w:r>
          </w:p>
        </w:tc>
        <w:tc>
          <w:tcPr>
            <w:tcW w:w="2835" w:type="dxa"/>
            <w:vAlign w:val="center"/>
          </w:tcPr>
          <w:p w14:paraId="5C88FB23">
            <w:pPr>
              <w:pStyle w:val="10"/>
            </w:pPr>
            <w:r>
              <w:t>三级指标</w:t>
            </w:r>
          </w:p>
        </w:tc>
        <w:tc>
          <w:tcPr>
            <w:tcW w:w="5386" w:type="dxa"/>
            <w:vAlign w:val="center"/>
          </w:tcPr>
          <w:p w14:paraId="617AA12E">
            <w:pPr>
              <w:pStyle w:val="10"/>
            </w:pPr>
            <w:r>
              <w:t>绩效指标描述</w:t>
            </w:r>
          </w:p>
        </w:tc>
        <w:tc>
          <w:tcPr>
            <w:tcW w:w="2268" w:type="dxa"/>
            <w:vAlign w:val="center"/>
          </w:tcPr>
          <w:p w14:paraId="5D1BBB83">
            <w:pPr>
              <w:pStyle w:val="10"/>
            </w:pPr>
            <w:r>
              <w:t>指标值</w:t>
            </w:r>
          </w:p>
        </w:tc>
        <w:tc>
          <w:tcPr>
            <w:tcW w:w="1276" w:type="dxa"/>
            <w:vAlign w:val="center"/>
          </w:tcPr>
          <w:p w14:paraId="19BB293D">
            <w:pPr>
              <w:pStyle w:val="10"/>
            </w:pPr>
            <w:r>
              <w:t>指标值确定依据</w:t>
            </w:r>
          </w:p>
        </w:tc>
      </w:tr>
      <w:tr w14:paraId="7920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1E203">
            <w:pPr>
              <w:pStyle w:val="13"/>
            </w:pPr>
            <w:r>
              <w:t>产出指标</w:t>
            </w:r>
          </w:p>
        </w:tc>
        <w:tc>
          <w:tcPr>
            <w:tcW w:w="2268" w:type="dxa"/>
            <w:vAlign w:val="center"/>
          </w:tcPr>
          <w:p w14:paraId="5F32F0F9">
            <w:pPr>
              <w:pStyle w:val="12"/>
            </w:pPr>
            <w:r>
              <w:t>数量指标</w:t>
            </w:r>
          </w:p>
        </w:tc>
        <w:tc>
          <w:tcPr>
            <w:tcW w:w="2835" w:type="dxa"/>
            <w:vAlign w:val="center"/>
          </w:tcPr>
          <w:p w14:paraId="0A120972">
            <w:pPr>
              <w:pStyle w:val="12"/>
            </w:pPr>
            <w:r>
              <w:t>就读学生数</w:t>
            </w:r>
          </w:p>
        </w:tc>
        <w:tc>
          <w:tcPr>
            <w:tcW w:w="5386" w:type="dxa"/>
            <w:vAlign w:val="center"/>
          </w:tcPr>
          <w:p w14:paraId="0EC17018">
            <w:pPr>
              <w:pStyle w:val="12"/>
            </w:pPr>
            <w:r>
              <w:t>辐射区域内适龄学生人数</w:t>
            </w:r>
          </w:p>
        </w:tc>
        <w:tc>
          <w:tcPr>
            <w:tcW w:w="2268" w:type="dxa"/>
            <w:vAlign w:val="center"/>
          </w:tcPr>
          <w:p w14:paraId="64722B14">
            <w:pPr>
              <w:pStyle w:val="12"/>
            </w:pPr>
            <w:r>
              <w:t>205人</w:t>
            </w:r>
          </w:p>
        </w:tc>
        <w:tc>
          <w:tcPr>
            <w:tcW w:w="1276" w:type="dxa"/>
            <w:vAlign w:val="center"/>
          </w:tcPr>
          <w:p w14:paraId="4278F8F9">
            <w:pPr>
              <w:pStyle w:val="12"/>
            </w:pPr>
            <w:r>
              <w:t>城乡义务教育公用经费管理办法</w:t>
            </w:r>
          </w:p>
        </w:tc>
      </w:tr>
      <w:tr w14:paraId="2ECB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2D1A9"/>
        </w:tc>
        <w:tc>
          <w:tcPr>
            <w:tcW w:w="2268" w:type="dxa"/>
            <w:vAlign w:val="center"/>
          </w:tcPr>
          <w:p w14:paraId="72203BA0">
            <w:pPr>
              <w:pStyle w:val="12"/>
            </w:pPr>
            <w:r>
              <w:t>质量指标</w:t>
            </w:r>
          </w:p>
        </w:tc>
        <w:tc>
          <w:tcPr>
            <w:tcW w:w="2835" w:type="dxa"/>
            <w:vAlign w:val="center"/>
          </w:tcPr>
          <w:p w14:paraId="21F62A6E">
            <w:pPr>
              <w:pStyle w:val="12"/>
            </w:pPr>
            <w:r>
              <w:t>预算执行率</w:t>
            </w:r>
          </w:p>
        </w:tc>
        <w:tc>
          <w:tcPr>
            <w:tcW w:w="5386" w:type="dxa"/>
            <w:vAlign w:val="center"/>
          </w:tcPr>
          <w:p w14:paraId="6F37C1BB">
            <w:pPr>
              <w:pStyle w:val="12"/>
            </w:pPr>
            <w:r>
              <w:t>预算执行率</w:t>
            </w:r>
          </w:p>
        </w:tc>
        <w:tc>
          <w:tcPr>
            <w:tcW w:w="2268" w:type="dxa"/>
            <w:vAlign w:val="center"/>
          </w:tcPr>
          <w:p w14:paraId="5564EF93">
            <w:pPr>
              <w:pStyle w:val="12"/>
            </w:pPr>
            <w:r>
              <w:t>≥95%</w:t>
            </w:r>
          </w:p>
        </w:tc>
        <w:tc>
          <w:tcPr>
            <w:tcW w:w="1276" w:type="dxa"/>
            <w:vAlign w:val="center"/>
          </w:tcPr>
          <w:p w14:paraId="65A6078F">
            <w:pPr>
              <w:pStyle w:val="12"/>
            </w:pPr>
            <w:r>
              <w:t>城乡义务教育公用经费管理办法</w:t>
            </w:r>
          </w:p>
        </w:tc>
      </w:tr>
      <w:tr w14:paraId="7DA8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D253D"/>
        </w:tc>
        <w:tc>
          <w:tcPr>
            <w:tcW w:w="2268" w:type="dxa"/>
            <w:vAlign w:val="center"/>
          </w:tcPr>
          <w:p w14:paraId="15849738">
            <w:pPr>
              <w:pStyle w:val="12"/>
            </w:pPr>
            <w:r>
              <w:t>时效指标</w:t>
            </w:r>
          </w:p>
        </w:tc>
        <w:tc>
          <w:tcPr>
            <w:tcW w:w="2835" w:type="dxa"/>
            <w:vAlign w:val="center"/>
          </w:tcPr>
          <w:p w14:paraId="5F5D64CD">
            <w:pPr>
              <w:pStyle w:val="12"/>
            </w:pPr>
            <w:r>
              <w:t>义教经费支付完成率</w:t>
            </w:r>
          </w:p>
        </w:tc>
        <w:tc>
          <w:tcPr>
            <w:tcW w:w="5386" w:type="dxa"/>
            <w:vAlign w:val="center"/>
          </w:tcPr>
          <w:p w14:paraId="683FAB49">
            <w:pPr>
              <w:pStyle w:val="12"/>
            </w:pPr>
            <w:r>
              <w:t>按照序时进度完成资金支付</w:t>
            </w:r>
          </w:p>
        </w:tc>
        <w:tc>
          <w:tcPr>
            <w:tcW w:w="2268" w:type="dxa"/>
            <w:vAlign w:val="center"/>
          </w:tcPr>
          <w:p w14:paraId="0D82FE65">
            <w:pPr>
              <w:pStyle w:val="12"/>
            </w:pPr>
            <w:r>
              <w:t>100%</w:t>
            </w:r>
          </w:p>
        </w:tc>
        <w:tc>
          <w:tcPr>
            <w:tcW w:w="1276" w:type="dxa"/>
            <w:vAlign w:val="center"/>
          </w:tcPr>
          <w:p w14:paraId="0A8CE626">
            <w:pPr>
              <w:pStyle w:val="12"/>
            </w:pPr>
            <w:r>
              <w:t>城乡义务教育公用经费管理办法</w:t>
            </w:r>
          </w:p>
        </w:tc>
      </w:tr>
      <w:tr w14:paraId="1413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AA05B"/>
        </w:tc>
        <w:tc>
          <w:tcPr>
            <w:tcW w:w="2268" w:type="dxa"/>
            <w:vAlign w:val="center"/>
          </w:tcPr>
          <w:p w14:paraId="6DB5C1B9">
            <w:pPr>
              <w:pStyle w:val="12"/>
            </w:pPr>
            <w:r>
              <w:t>成本指标</w:t>
            </w:r>
          </w:p>
        </w:tc>
        <w:tc>
          <w:tcPr>
            <w:tcW w:w="2835" w:type="dxa"/>
            <w:vAlign w:val="center"/>
          </w:tcPr>
          <w:p w14:paraId="6A363EAF">
            <w:pPr>
              <w:pStyle w:val="12"/>
            </w:pPr>
            <w:r>
              <w:t>生均拨款标准</w:t>
            </w:r>
          </w:p>
        </w:tc>
        <w:tc>
          <w:tcPr>
            <w:tcW w:w="5386" w:type="dxa"/>
            <w:vAlign w:val="center"/>
          </w:tcPr>
          <w:p w14:paraId="5567EFD1">
            <w:pPr>
              <w:pStyle w:val="12"/>
            </w:pPr>
            <w:r>
              <w:t>小学生公用经费生均公用经费基准定额为720元/年/生，取暖费120元/年/生，住宿生补助300元/年/生的标准，随班就读学生补助7000元/生/年</w:t>
            </w:r>
          </w:p>
        </w:tc>
        <w:tc>
          <w:tcPr>
            <w:tcW w:w="2268" w:type="dxa"/>
            <w:vAlign w:val="center"/>
          </w:tcPr>
          <w:p w14:paraId="6C2210C3">
            <w:pPr>
              <w:pStyle w:val="12"/>
            </w:pPr>
            <w:r>
              <w:t>840元</w:t>
            </w:r>
          </w:p>
        </w:tc>
        <w:tc>
          <w:tcPr>
            <w:tcW w:w="1276" w:type="dxa"/>
            <w:vAlign w:val="center"/>
          </w:tcPr>
          <w:p w14:paraId="76B25D59">
            <w:pPr>
              <w:pStyle w:val="12"/>
            </w:pPr>
            <w:r>
              <w:t>城乡义务教育公用经费管理办法</w:t>
            </w:r>
          </w:p>
        </w:tc>
      </w:tr>
      <w:tr w14:paraId="60C4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623CC">
            <w:pPr>
              <w:pStyle w:val="13"/>
            </w:pPr>
            <w:r>
              <w:t>效益指标</w:t>
            </w:r>
          </w:p>
        </w:tc>
        <w:tc>
          <w:tcPr>
            <w:tcW w:w="2268" w:type="dxa"/>
            <w:vAlign w:val="center"/>
          </w:tcPr>
          <w:p w14:paraId="7A93D30B">
            <w:pPr>
              <w:pStyle w:val="12"/>
            </w:pPr>
            <w:r>
              <w:t>可持续影响指标</w:t>
            </w:r>
          </w:p>
        </w:tc>
        <w:tc>
          <w:tcPr>
            <w:tcW w:w="2835" w:type="dxa"/>
            <w:vAlign w:val="center"/>
          </w:tcPr>
          <w:p w14:paraId="18F36AFE">
            <w:pPr>
              <w:pStyle w:val="12"/>
            </w:pPr>
            <w:r>
              <w:t>学校运转得到提高</w:t>
            </w:r>
          </w:p>
        </w:tc>
        <w:tc>
          <w:tcPr>
            <w:tcW w:w="5386" w:type="dxa"/>
            <w:vAlign w:val="center"/>
          </w:tcPr>
          <w:p w14:paraId="28448D01">
            <w:pPr>
              <w:pStyle w:val="12"/>
            </w:pPr>
            <w:r>
              <w:t>学生受教育年限</w:t>
            </w:r>
          </w:p>
        </w:tc>
        <w:tc>
          <w:tcPr>
            <w:tcW w:w="2268" w:type="dxa"/>
            <w:vAlign w:val="center"/>
          </w:tcPr>
          <w:p w14:paraId="02DF448A">
            <w:pPr>
              <w:pStyle w:val="12"/>
            </w:pPr>
            <w:r>
              <w:t>6年</w:t>
            </w:r>
          </w:p>
        </w:tc>
        <w:tc>
          <w:tcPr>
            <w:tcW w:w="1276" w:type="dxa"/>
            <w:vAlign w:val="center"/>
          </w:tcPr>
          <w:p w14:paraId="62E8F1DC">
            <w:pPr>
              <w:pStyle w:val="12"/>
            </w:pPr>
            <w:r>
              <w:t>城乡义务教育公用经费管理办法</w:t>
            </w:r>
          </w:p>
        </w:tc>
      </w:tr>
      <w:tr w14:paraId="1A97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95FC2">
            <w:pPr>
              <w:pStyle w:val="13"/>
            </w:pPr>
            <w:r>
              <w:t>满意度指标</w:t>
            </w:r>
          </w:p>
        </w:tc>
        <w:tc>
          <w:tcPr>
            <w:tcW w:w="2268" w:type="dxa"/>
            <w:vAlign w:val="center"/>
          </w:tcPr>
          <w:p w14:paraId="71F77F26">
            <w:pPr>
              <w:pStyle w:val="12"/>
            </w:pPr>
            <w:r>
              <w:t>服务对象满意度指标</w:t>
            </w:r>
          </w:p>
        </w:tc>
        <w:tc>
          <w:tcPr>
            <w:tcW w:w="2835" w:type="dxa"/>
            <w:vAlign w:val="center"/>
          </w:tcPr>
          <w:p w14:paraId="1A2826C8">
            <w:pPr>
              <w:pStyle w:val="12"/>
            </w:pPr>
            <w:r>
              <w:t>服务对象满意度</w:t>
            </w:r>
          </w:p>
        </w:tc>
        <w:tc>
          <w:tcPr>
            <w:tcW w:w="5386" w:type="dxa"/>
            <w:vAlign w:val="center"/>
          </w:tcPr>
          <w:p w14:paraId="22A45738">
            <w:pPr>
              <w:pStyle w:val="12"/>
            </w:pPr>
            <w:r>
              <w:t>学校老师和学生满意度</w:t>
            </w:r>
          </w:p>
        </w:tc>
        <w:tc>
          <w:tcPr>
            <w:tcW w:w="2268" w:type="dxa"/>
            <w:vAlign w:val="center"/>
          </w:tcPr>
          <w:p w14:paraId="010B9F4E">
            <w:pPr>
              <w:pStyle w:val="12"/>
            </w:pPr>
            <w:r>
              <w:t>≥95%</w:t>
            </w:r>
          </w:p>
        </w:tc>
        <w:tc>
          <w:tcPr>
            <w:tcW w:w="1276" w:type="dxa"/>
            <w:vAlign w:val="center"/>
          </w:tcPr>
          <w:p w14:paraId="4D6C7BB3">
            <w:pPr>
              <w:pStyle w:val="12"/>
            </w:pPr>
            <w:r>
              <w:t>群众测评</w:t>
            </w:r>
          </w:p>
        </w:tc>
      </w:tr>
    </w:tbl>
    <w:p w14:paraId="68AC4D26">
      <w:pPr>
        <w:sectPr>
          <w:pgSz w:w="16840" w:h="11900" w:orient="landscape"/>
          <w:pgMar w:top="1361" w:right="1020" w:bottom="1134" w:left="1020" w:header="720" w:footer="720" w:gutter="0"/>
          <w:cols w:space="720" w:num="1"/>
        </w:sectPr>
      </w:pPr>
    </w:p>
    <w:p w14:paraId="187EA940">
      <w:pPr>
        <w:spacing w:before="0" w:after="0"/>
        <w:ind w:firstLine="560"/>
        <w:jc w:val="left"/>
        <w:outlineLvl w:val="9"/>
      </w:pPr>
      <w:r>
        <w:rPr>
          <w:rFonts w:ascii="方正仿宋_GBK" w:hAnsi="方正仿宋_GBK" w:eastAsia="方正仿宋_GBK" w:cs="方正仿宋_GBK"/>
          <w:b/>
          <w:color w:val="000000"/>
          <w:sz w:val="28"/>
        </w:rPr>
        <w:t>34、县级配套/尹村校区良村小学公用经费绩效目标表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EA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90E23">
            <w:pPr>
              <w:pStyle w:val="11"/>
            </w:pPr>
            <w:r>
              <w:t>单位：万元</w:t>
            </w:r>
          </w:p>
        </w:tc>
      </w:tr>
      <w:tr w14:paraId="2B47D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00011">
            <w:pPr>
              <w:pStyle w:val="10"/>
            </w:pPr>
            <w:r>
              <w:t>项目编码</w:t>
            </w:r>
          </w:p>
        </w:tc>
        <w:tc>
          <w:tcPr>
            <w:tcW w:w="5103" w:type="dxa"/>
            <w:gridSpan w:val="2"/>
            <w:vAlign w:val="center"/>
          </w:tcPr>
          <w:p w14:paraId="52037395">
            <w:pPr>
              <w:pStyle w:val="12"/>
            </w:pPr>
            <w:r>
              <w:t>13052526P00000410458U</w:t>
            </w:r>
          </w:p>
        </w:tc>
        <w:tc>
          <w:tcPr>
            <w:tcW w:w="2835" w:type="dxa"/>
            <w:vAlign w:val="center"/>
          </w:tcPr>
          <w:p w14:paraId="5A59E123">
            <w:pPr>
              <w:pStyle w:val="10"/>
            </w:pPr>
            <w:r>
              <w:t>项目名称</w:t>
            </w:r>
          </w:p>
        </w:tc>
        <w:tc>
          <w:tcPr>
            <w:tcW w:w="6095" w:type="dxa"/>
            <w:gridSpan w:val="3"/>
            <w:vAlign w:val="center"/>
          </w:tcPr>
          <w:p w14:paraId="2F879057">
            <w:pPr>
              <w:pStyle w:val="12"/>
            </w:pPr>
            <w:r>
              <w:t>县级配套/尹村校区良村小学公用经费</w:t>
            </w:r>
          </w:p>
        </w:tc>
      </w:tr>
      <w:tr w14:paraId="3C4EB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A9742">
            <w:pPr>
              <w:pStyle w:val="10"/>
            </w:pPr>
            <w:r>
              <w:t>预算规模及资金用途</w:t>
            </w:r>
          </w:p>
        </w:tc>
        <w:tc>
          <w:tcPr>
            <w:tcW w:w="2268" w:type="dxa"/>
            <w:vAlign w:val="center"/>
          </w:tcPr>
          <w:p w14:paraId="1D834E6A">
            <w:pPr>
              <w:pStyle w:val="10"/>
            </w:pPr>
            <w:r>
              <w:t>预算数</w:t>
            </w:r>
          </w:p>
        </w:tc>
        <w:tc>
          <w:tcPr>
            <w:tcW w:w="2835" w:type="dxa"/>
            <w:vAlign w:val="center"/>
          </w:tcPr>
          <w:p w14:paraId="63C90B6C">
            <w:pPr>
              <w:pStyle w:val="12"/>
            </w:pPr>
            <w:r>
              <w:t>1.06</w:t>
            </w:r>
          </w:p>
        </w:tc>
        <w:tc>
          <w:tcPr>
            <w:tcW w:w="2835" w:type="dxa"/>
            <w:vAlign w:val="center"/>
          </w:tcPr>
          <w:p w14:paraId="3193DCEE">
            <w:pPr>
              <w:pStyle w:val="10"/>
            </w:pPr>
            <w:r>
              <w:t>其中：财政    资金</w:t>
            </w:r>
          </w:p>
        </w:tc>
        <w:tc>
          <w:tcPr>
            <w:tcW w:w="2551" w:type="dxa"/>
            <w:vAlign w:val="center"/>
          </w:tcPr>
          <w:p w14:paraId="45804A77">
            <w:pPr>
              <w:pStyle w:val="12"/>
            </w:pPr>
            <w:r>
              <w:t>1.06</w:t>
            </w:r>
          </w:p>
        </w:tc>
        <w:tc>
          <w:tcPr>
            <w:tcW w:w="2268" w:type="dxa"/>
            <w:vAlign w:val="center"/>
          </w:tcPr>
          <w:p w14:paraId="55D0D039">
            <w:pPr>
              <w:pStyle w:val="10"/>
            </w:pPr>
            <w:r>
              <w:t>其他资金</w:t>
            </w:r>
          </w:p>
        </w:tc>
        <w:tc>
          <w:tcPr>
            <w:tcW w:w="1276" w:type="dxa"/>
            <w:vAlign w:val="center"/>
          </w:tcPr>
          <w:p w14:paraId="4479D294">
            <w:pPr>
              <w:pStyle w:val="12"/>
            </w:pPr>
            <w:r>
              <w:t xml:space="preserve"> </w:t>
            </w:r>
          </w:p>
        </w:tc>
      </w:tr>
      <w:tr w14:paraId="5E5E1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1BCAC"/>
        </w:tc>
        <w:tc>
          <w:tcPr>
            <w:tcW w:w="14033" w:type="dxa"/>
            <w:gridSpan w:val="6"/>
            <w:vAlign w:val="center"/>
          </w:tcPr>
          <w:p w14:paraId="3B8700CA">
            <w:pPr>
              <w:pStyle w:val="12"/>
            </w:pPr>
            <w:r>
              <w:t>保障学校正常运转，完成各项教育教学活动和其他日常工作任务等方面的费用支出。</w:t>
            </w:r>
          </w:p>
        </w:tc>
      </w:tr>
      <w:tr w14:paraId="691CF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5EE40">
            <w:pPr>
              <w:pStyle w:val="10"/>
            </w:pPr>
            <w:r>
              <w:t>资金支出计划（%）</w:t>
            </w:r>
          </w:p>
        </w:tc>
        <w:tc>
          <w:tcPr>
            <w:tcW w:w="5103" w:type="dxa"/>
            <w:gridSpan w:val="2"/>
            <w:vAlign w:val="center"/>
          </w:tcPr>
          <w:p w14:paraId="53E1F798">
            <w:pPr>
              <w:pStyle w:val="10"/>
            </w:pPr>
            <w:r>
              <w:t>3月底</w:t>
            </w:r>
          </w:p>
        </w:tc>
        <w:tc>
          <w:tcPr>
            <w:tcW w:w="2835" w:type="dxa"/>
            <w:vAlign w:val="center"/>
          </w:tcPr>
          <w:p w14:paraId="4FAF6D5A">
            <w:pPr>
              <w:pStyle w:val="10"/>
            </w:pPr>
            <w:r>
              <w:t>6月底</w:t>
            </w:r>
          </w:p>
        </w:tc>
        <w:tc>
          <w:tcPr>
            <w:tcW w:w="2551" w:type="dxa"/>
            <w:vAlign w:val="center"/>
          </w:tcPr>
          <w:p w14:paraId="00621C39">
            <w:pPr>
              <w:pStyle w:val="10"/>
            </w:pPr>
            <w:r>
              <w:t>10月底</w:t>
            </w:r>
          </w:p>
        </w:tc>
        <w:tc>
          <w:tcPr>
            <w:tcW w:w="3544" w:type="dxa"/>
            <w:gridSpan w:val="2"/>
            <w:vAlign w:val="center"/>
          </w:tcPr>
          <w:p w14:paraId="2CD8DE48">
            <w:pPr>
              <w:pStyle w:val="10"/>
            </w:pPr>
            <w:r>
              <w:t>12月底</w:t>
            </w:r>
          </w:p>
        </w:tc>
      </w:tr>
      <w:tr w14:paraId="07694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7FCC9"/>
        </w:tc>
        <w:tc>
          <w:tcPr>
            <w:tcW w:w="5103" w:type="dxa"/>
            <w:gridSpan w:val="2"/>
            <w:vAlign w:val="center"/>
          </w:tcPr>
          <w:p w14:paraId="59E3E878">
            <w:pPr>
              <w:pStyle w:val="13"/>
            </w:pPr>
            <w:r>
              <w:t>25%</w:t>
            </w:r>
          </w:p>
        </w:tc>
        <w:tc>
          <w:tcPr>
            <w:tcW w:w="2835" w:type="dxa"/>
            <w:vAlign w:val="center"/>
          </w:tcPr>
          <w:p w14:paraId="02D6B626">
            <w:pPr>
              <w:pStyle w:val="13"/>
            </w:pPr>
            <w:r>
              <w:t>50%</w:t>
            </w:r>
          </w:p>
        </w:tc>
        <w:tc>
          <w:tcPr>
            <w:tcW w:w="2551" w:type="dxa"/>
            <w:vAlign w:val="center"/>
          </w:tcPr>
          <w:p w14:paraId="205B54C3">
            <w:pPr>
              <w:pStyle w:val="13"/>
            </w:pPr>
            <w:r>
              <w:t>75%</w:t>
            </w:r>
          </w:p>
        </w:tc>
        <w:tc>
          <w:tcPr>
            <w:tcW w:w="3544" w:type="dxa"/>
            <w:gridSpan w:val="2"/>
            <w:vAlign w:val="center"/>
          </w:tcPr>
          <w:p w14:paraId="56F2A068">
            <w:pPr>
              <w:pStyle w:val="13"/>
            </w:pPr>
            <w:r>
              <w:t>100%</w:t>
            </w:r>
          </w:p>
        </w:tc>
      </w:tr>
      <w:tr w14:paraId="14657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0DFFB">
            <w:pPr>
              <w:pStyle w:val="10"/>
            </w:pPr>
            <w:r>
              <w:t>绩效目标</w:t>
            </w:r>
          </w:p>
        </w:tc>
        <w:tc>
          <w:tcPr>
            <w:tcW w:w="14033" w:type="dxa"/>
            <w:gridSpan w:val="6"/>
            <w:vAlign w:val="center"/>
          </w:tcPr>
          <w:p w14:paraId="39687811">
            <w:pPr>
              <w:pStyle w:val="12"/>
            </w:pPr>
            <w:r>
              <w:t>1.按季度分批次拨付公用经费资金，资金拨付率达到100%。</w:t>
            </w:r>
          </w:p>
          <w:p w14:paraId="0280A7C8">
            <w:pPr>
              <w:pStyle w:val="12"/>
            </w:pPr>
            <w:r>
              <w:t>2.保障学校正常运转，完成各项教育教学活动和其他日常工作任务等方面的费用支出。</w:t>
            </w:r>
          </w:p>
        </w:tc>
      </w:tr>
    </w:tbl>
    <w:p w14:paraId="343A6A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1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05A2C">
            <w:pPr>
              <w:pStyle w:val="10"/>
            </w:pPr>
            <w:r>
              <w:t>一级指标</w:t>
            </w:r>
          </w:p>
        </w:tc>
        <w:tc>
          <w:tcPr>
            <w:tcW w:w="2268" w:type="dxa"/>
            <w:vAlign w:val="center"/>
          </w:tcPr>
          <w:p w14:paraId="051A23C7">
            <w:pPr>
              <w:pStyle w:val="10"/>
            </w:pPr>
            <w:r>
              <w:t>二级指标</w:t>
            </w:r>
          </w:p>
        </w:tc>
        <w:tc>
          <w:tcPr>
            <w:tcW w:w="2835" w:type="dxa"/>
            <w:vAlign w:val="center"/>
          </w:tcPr>
          <w:p w14:paraId="1A84B574">
            <w:pPr>
              <w:pStyle w:val="10"/>
            </w:pPr>
            <w:r>
              <w:t>三级指标</w:t>
            </w:r>
          </w:p>
        </w:tc>
        <w:tc>
          <w:tcPr>
            <w:tcW w:w="5386" w:type="dxa"/>
            <w:vAlign w:val="center"/>
          </w:tcPr>
          <w:p w14:paraId="6701CBDE">
            <w:pPr>
              <w:pStyle w:val="10"/>
            </w:pPr>
            <w:r>
              <w:t>绩效指标描述</w:t>
            </w:r>
          </w:p>
        </w:tc>
        <w:tc>
          <w:tcPr>
            <w:tcW w:w="2268" w:type="dxa"/>
            <w:vAlign w:val="center"/>
          </w:tcPr>
          <w:p w14:paraId="57E93C40">
            <w:pPr>
              <w:pStyle w:val="10"/>
            </w:pPr>
            <w:r>
              <w:t>指标值</w:t>
            </w:r>
          </w:p>
        </w:tc>
        <w:tc>
          <w:tcPr>
            <w:tcW w:w="1276" w:type="dxa"/>
            <w:vAlign w:val="center"/>
          </w:tcPr>
          <w:p w14:paraId="3154CDEC">
            <w:pPr>
              <w:pStyle w:val="10"/>
            </w:pPr>
            <w:r>
              <w:t>指标值确定依据</w:t>
            </w:r>
          </w:p>
        </w:tc>
      </w:tr>
      <w:tr w14:paraId="54E5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8FE44">
            <w:pPr>
              <w:pStyle w:val="13"/>
            </w:pPr>
            <w:r>
              <w:t>产出指标</w:t>
            </w:r>
          </w:p>
        </w:tc>
        <w:tc>
          <w:tcPr>
            <w:tcW w:w="2268" w:type="dxa"/>
            <w:vAlign w:val="center"/>
          </w:tcPr>
          <w:p w14:paraId="09AD968D">
            <w:pPr>
              <w:pStyle w:val="12"/>
            </w:pPr>
            <w:r>
              <w:t>数量指标</w:t>
            </w:r>
          </w:p>
        </w:tc>
        <w:tc>
          <w:tcPr>
            <w:tcW w:w="2835" w:type="dxa"/>
            <w:vAlign w:val="center"/>
          </w:tcPr>
          <w:p w14:paraId="7022B07C">
            <w:pPr>
              <w:pStyle w:val="12"/>
            </w:pPr>
            <w:r>
              <w:t>就读学生数</w:t>
            </w:r>
          </w:p>
        </w:tc>
        <w:tc>
          <w:tcPr>
            <w:tcW w:w="5386" w:type="dxa"/>
            <w:vAlign w:val="center"/>
          </w:tcPr>
          <w:p w14:paraId="0AE6F834">
            <w:pPr>
              <w:pStyle w:val="12"/>
            </w:pPr>
            <w:r>
              <w:t>辐射区域内适龄学生人数</w:t>
            </w:r>
          </w:p>
        </w:tc>
        <w:tc>
          <w:tcPr>
            <w:tcW w:w="2268" w:type="dxa"/>
            <w:vAlign w:val="center"/>
          </w:tcPr>
          <w:p w14:paraId="6847DE60">
            <w:pPr>
              <w:pStyle w:val="12"/>
            </w:pPr>
            <w:r>
              <w:t>105人</w:t>
            </w:r>
          </w:p>
        </w:tc>
        <w:tc>
          <w:tcPr>
            <w:tcW w:w="1276" w:type="dxa"/>
            <w:vAlign w:val="center"/>
          </w:tcPr>
          <w:p w14:paraId="7DF2C6FB">
            <w:pPr>
              <w:pStyle w:val="12"/>
            </w:pPr>
            <w:r>
              <w:t>城乡义务教育公用经费管理办法</w:t>
            </w:r>
          </w:p>
        </w:tc>
      </w:tr>
      <w:tr w14:paraId="1DA6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BDD21"/>
        </w:tc>
        <w:tc>
          <w:tcPr>
            <w:tcW w:w="2268" w:type="dxa"/>
            <w:vAlign w:val="center"/>
          </w:tcPr>
          <w:p w14:paraId="143B942E">
            <w:pPr>
              <w:pStyle w:val="12"/>
            </w:pPr>
            <w:r>
              <w:t>质量指标</w:t>
            </w:r>
          </w:p>
        </w:tc>
        <w:tc>
          <w:tcPr>
            <w:tcW w:w="2835" w:type="dxa"/>
            <w:vAlign w:val="center"/>
          </w:tcPr>
          <w:p w14:paraId="1B7473A7">
            <w:pPr>
              <w:pStyle w:val="12"/>
            </w:pPr>
            <w:r>
              <w:t>预算执行率</w:t>
            </w:r>
          </w:p>
        </w:tc>
        <w:tc>
          <w:tcPr>
            <w:tcW w:w="5386" w:type="dxa"/>
            <w:vAlign w:val="center"/>
          </w:tcPr>
          <w:p w14:paraId="4E1B36B2">
            <w:pPr>
              <w:pStyle w:val="12"/>
            </w:pPr>
            <w:r>
              <w:t>预算执行率</w:t>
            </w:r>
          </w:p>
        </w:tc>
        <w:tc>
          <w:tcPr>
            <w:tcW w:w="2268" w:type="dxa"/>
            <w:vAlign w:val="center"/>
          </w:tcPr>
          <w:p w14:paraId="71EC2EFA">
            <w:pPr>
              <w:pStyle w:val="12"/>
            </w:pPr>
            <w:r>
              <w:t>≥95%</w:t>
            </w:r>
          </w:p>
        </w:tc>
        <w:tc>
          <w:tcPr>
            <w:tcW w:w="1276" w:type="dxa"/>
            <w:vAlign w:val="center"/>
          </w:tcPr>
          <w:p w14:paraId="682B4315">
            <w:pPr>
              <w:pStyle w:val="12"/>
            </w:pPr>
            <w:r>
              <w:t>城乡义务教育公用经费管理办法</w:t>
            </w:r>
          </w:p>
        </w:tc>
      </w:tr>
      <w:tr w14:paraId="4D17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12E2B"/>
        </w:tc>
        <w:tc>
          <w:tcPr>
            <w:tcW w:w="2268" w:type="dxa"/>
            <w:vAlign w:val="center"/>
          </w:tcPr>
          <w:p w14:paraId="5112A40E">
            <w:pPr>
              <w:pStyle w:val="12"/>
            </w:pPr>
            <w:r>
              <w:t>时效指标</w:t>
            </w:r>
          </w:p>
        </w:tc>
        <w:tc>
          <w:tcPr>
            <w:tcW w:w="2835" w:type="dxa"/>
            <w:vAlign w:val="center"/>
          </w:tcPr>
          <w:p w14:paraId="6C869761">
            <w:pPr>
              <w:pStyle w:val="12"/>
            </w:pPr>
            <w:r>
              <w:t>义教经费支付完成率</w:t>
            </w:r>
          </w:p>
        </w:tc>
        <w:tc>
          <w:tcPr>
            <w:tcW w:w="5386" w:type="dxa"/>
            <w:vAlign w:val="center"/>
          </w:tcPr>
          <w:p w14:paraId="6AE0057C">
            <w:pPr>
              <w:pStyle w:val="12"/>
            </w:pPr>
            <w:r>
              <w:t>按照序时进度完成资金支付</w:t>
            </w:r>
          </w:p>
        </w:tc>
        <w:tc>
          <w:tcPr>
            <w:tcW w:w="2268" w:type="dxa"/>
            <w:vAlign w:val="center"/>
          </w:tcPr>
          <w:p w14:paraId="571CDF84">
            <w:pPr>
              <w:pStyle w:val="12"/>
            </w:pPr>
            <w:r>
              <w:t>100%</w:t>
            </w:r>
          </w:p>
        </w:tc>
        <w:tc>
          <w:tcPr>
            <w:tcW w:w="1276" w:type="dxa"/>
            <w:vAlign w:val="center"/>
          </w:tcPr>
          <w:p w14:paraId="6E2990A9">
            <w:pPr>
              <w:pStyle w:val="12"/>
            </w:pPr>
            <w:r>
              <w:t>城乡义务教育公用经费管理办法</w:t>
            </w:r>
          </w:p>
        </w:tc>
      </w:tr>
      <w:tr w14:paraId="1850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B45D3"/>
        </w:tc>
        <w:tc>
          <w:tcPr>
            <w:tcW w:w="2268" w:type="dxa"/>
            <w:vAlign w:val="center"/>
          </w:tcPr>
          <w:p w14:paraId="51BEAC47">
            <w:pPr>
              <w:pStyle w:val="12"/>
            </w:pPr>
            <w:r>
              <w:t>成本指标</w:t>
            </w:r>
          </w:p>
        </w:tc>
        <w:tc>
          <w:tcPr>
            <w:tcW w:w="2835" w:type="dxa"/>
            <w:vAlign w:val="center"/>
          </w:tcPr>
          <w:p w14:paraId="6001C78C">
            <w:pPr>
              <w:pStyle w:val="12"/>
            </w:pPr>
            <w:r>
              <w:t>生均拨款标准</w:t>
            </w:r>
          </w:p>
        </w:tc>
        <w:tc>
          <w:tcPr>
            <w:tcW w:w="5386" w:type="dxa"/>
            <w:vAlign w:val="center"/>
          </w:tcPr>
          <w:p w14:paraId="170B65E8">
            <w:pPr>
              <w:pStyle w:val="12"/>
            </w:pPr>
            <w:r>
              <w:t>小学生公用经费生均公用经费基准定额为720元/年/生，取暖费120元/年/生，住宿生补助300元/年/生的标准，随班就读学生补助7000元/生/年</w:t>
            </w:r>
          </w:p>
        </w:tc>
        <w:tc>
          <w:tcPr>
            <w:tcW w:w="2268" w:type="dxa"/>
            <w:vAlign w:val="center"/>
          </w:tcPr>
          <w:p w14:paraId="6DD223C8">
            <w:pPr>
              <w:pStyle w:val="12"/>
            </w:pPr>
            <w:r>
              <w:t>840元</w:t>
            </w:r>
          </w:p>
        </w:tc>
        <w:tc>
          <w:tcPr>
            <w:tcW w:w="1276" w:type="dxa"/>
            <w:vAlign w:val="center"/>
          </w:tcPr>
          <w:p w14:paraId="33B70F7A">
            <w:pPr>
              <w:pStyle w:val="12"/>
            </w:pPr>
            <w:r>
              <w:t>城乡义务教育公用经费管理办法</w:t>
            </w:r>
          </w:p>
        </w:tc>
      </w:tr>
      <w:tr w14:paraId="6B8E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C1D27">
            <w:pPr>
              <w:pStyle w:val="13"/>
            </w:pPr>
            <w:r>
              <w:t>效益指标</w:t>
            </w:r>
          </w:p>
        </w:tc>
        <w:tc>
          <w:tcPr>
            <w:tcW w:w="2268" w:type="dxa"/>
            <w:vAlign w:val="center"/>
          </w:tcPr>
          <w:p w14:paraId="32666DDC">
            <w:pPr>
              <w:pStyle w:val="12"/>
            </w:pPr>
            <w:r>
              <w:t>可持续影响指标</w:t>
            </w:r>
          </w:p>
        </w:tc>
        <w:tc>
          <w:tcPr>
            <w:tcW w:w="2835" w:type="dxa"/>
            <w:vAlign w:val="center"/>
          </w:tcPr>
          <w:p w14:paraId="64C05F24">
            <w:pPr>
              <w:pStyle w:val="12"/>
            </w:pPr>
            <w:r>
              <w:t>学校运转得到提高</w:t>
            </w:r>
          </w:p>
        </w:tc>
        <w:tc>
          <w:tcPr>
            <w:tcW w:w="5386" w:type="dxa"/>
            <w:vAlign w:val="center"/>
          </w:tcPr>
          <w:p w14:paraId="54A57F8B">
            <w:pPr>
              <w:pStyle w:val="12"/>
            </w:pPr>
            <w:r>
              <w:t>学生受教育年限</w:t>
            </w:r>
          </w:p>
        </w:tc>
        <w:tc>
          <w:tcPr>
            <w:tcW w:w="2268" w:type="dxa"/>
            <w:vAlign w:val="center"/>
          </w:tcPr>
          <w:p w14:paraId="43B34B78">
            <w:pPr>
              <w:pStyle w:val="12"/>
            </w:pPr>
            <w:r>
              <w:t>6年</w:t>
            </w:r>
          </w:p>
        </w:tc>
        <w:tc>
          <w:tcPr>
            <w:tcW w:w="1276" w:type="dxa"/>
            <w:vAlign w:val="center"/>
          </w:tcPr>
          <w:p w14:paraId="5519605B">
            <w:pPr>
              <w:pStyle w:val="12"/>
            </w:pPr>
            <w:r>
              <w:t>城乡义务教育公用经费管理办法</w:t>
            </w:r>
          </w:p>
        </w:tc>
      </w:tr>
      <w:tr w14:paraId="68D9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2521C">
            <w:pPr>
              <w:pStyle w:val="13"/>
            </w:pPr>
            <w:r>
              <w:t>满意度指标</w:t>
            </w:r>
          </w:p>
        </w:tc>
        <w:tc>
          <w:tcPr>
            <w:tcW w:w="2268" w:type="dxa"/>
            <w:vAlign w:val="center"/>
          </w:tcPr>
          <w:p w14:paraId="710B21C4">
            <w:pPr>
              <w:pStyle w:val="12"/>
            </w:pPr>
            <w:r>
              <w:t>服务对象满意度指标</w:t>
            </w:r>
          </w:p>
        </w:tc>
        <w:tc>
          <w:tcPr>
            <w:tcW w:w="2835" w:type="dxa"/>
            <w:vAlign w:val="center"/>
          </w:tcPr>
          <w:p w14:paraId="32387B4A">
            <w:pPr>
              <w:pStyle w:val="12"/>
            </w:pPr>
            <w:r>
              <w:t>服务对象满意度</w:t>
            </w:r>
          </w:p>
        </w:tc>
        <w:tc>
          <w:tcPr>
            <w:tcW w:w="5386" w:type="dxa"/>
            <w:vAlign w:val="center"/>
          </w:tcPr>
          <w:p w14:paraId="5DB86358">
            <w:pPr>
              <w:pStyle w:val="12"/>
            </w:pPr>
            <w:r>
              <w:t>学校老师和学生满意度</w:t>
            </w:r>
          </w:p>
        </w:tc>
        <w:tc>
          <w:tcPr>
            <w:tcW w:w="2268" w:type="dxa"/>
            <w:vAlign w:val="center"/>
          </w:tcPr>
          <w:p w14:paraId="26513C8F">
            <w:pPr>
              <w:pStyle w:val="12"/>
            </w:pPr>
            <w:r>
              <w:t>≥95%</w:t>
            </w:r>
          </w:p>
        </w:tc>
        <w:tc>
          <w:tcPr>
            <w:tcW w:w="1276" w:type="dxa"/>
            <w:vAlign w:val="center"/>
          </w:tcPr>
          <w:p w14:paraId="7EAAAFBC">
            <w:pPr>
              <w:pStyle w:val="12"/>
            </w:pPr>
            <w:r>
              <w:t>群众测评</w:t>
            </w:r>
          </w:p>
        </w:tc>
      </w:tr>
    </w:tbl>
    <w:p w14:paraId="427628ED">
      <w:pPr>
        <w:sectPr>
          <w:pgSz w:w="16840" w:h="11900" w:orient="landscape"/>
          <w:pgMar w:top="1361" w:right="1020" w:bottom="1134" w:left="1020" w:header="720" w:footer="720" w:gutter="0"/>
          <w:cols w:space="720" w:num="1"/>
        </w:sectPr>
      </w:pPr>
    </w:p>
    <w:p w14:paraId="2DD42CAE">
      <w:pPr>
        <w:spacing w:before="0" w:after="0"/>
        <w:ind w:firstLine="560"/>
        <w:jc w:val="left"/>
        <w:outlineLvl w:val="9"/>
      </w:pPr>
      <w:r>
        <w:rPr>
          <w:rFonts w:ascii="方正仿宋_GBK" w:hAnsi="方正仿宋_GBK" w:eastAsia="方正仿宋_GBK" w:cs="方正仿宋_GBK"/>
          <w:b/>
          <w:color w:val="000000"/>
          <w:sz w:val="28"/>
        </w:rPr>
        <w:t>35、县级配套/尹村校区西尹小学公用经费绩效目标表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8F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2D11D">
            <w:pPr>
              <w:pStyle w:val="11"/>
            </w:pPr>
            <w:r>
              <w:t>单位：万元</w:t>
            </w:r>
          </w:p>
        </w:tc>
      </w:tr>
      <w:tr w14:paraId="61BA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20F7D">
            <w:pPr>
              <w:pStyle w:val="10"/>
            </w:pPr>
            <w:r>
              <w:t>项目编码</w:t>
            </w:r>
          </w:p>
        </w:tc>
        <w:tc>
          <w:tcPr>
            <w:tcW w:w="5103" w:type="dxa"/>
            <w:gridSpan w:val="2"/>
            <w:vAlign w:val="center"/>
          </w:tcPr>
          <w:p w14:paraId="485799F8">
            <w:pPr>
              <w:pStyle w:val="12"/>
            </w:pPr>
            <w:r>
              <w:t>13052526P00000410453R</w:t>
            </w:r>
          </w:p>
        </w:tc>
        <w:tc>
          <w:tcPr>
            <w:tcW w:w="2835" w:type="dxa"/>
            <w:vAlign w:val="center"/>
          </w:tcPr>
          <w:p w14:paraId="0C235DD1">
            <w:pPr>
              <w:pStyle w:val="10"/>
            </w:pPr>
            <w:r>
              <w:t>项目名称</w:t>
            </w:r>
          </w:p>
        </w:tc>
        <w:tc>
          <w:tcPr>
            <w:tcW w:w="6095" w:type="dxa"/>
            <w:gridSpan w:val="3"/>
            <w:vAlign w:val="center"/>
          </w:tcPr>
          <w:p w14:paraId="55ACD054">
            <w:pPr>
              <w:pStyle w:val="12"/>
            </w:pPr>
            <w:r>
              <w:t>县级配套/尹村校区西尹小学公用经费</w:t>
            </w:r>
          </w:p>
        </w:tc>
      </w:tr>
      <w:tr w14:paraId="2C44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96287">
            <w:pPr>
              <w:pStyle w:val="10"/>
            </w:pPr>
            <w:r>
              <w:t>预算规模及资金用途</w:t>
            </w:r>
          </w:p>
        </w:tc>
        <w:tc>
          <w:tcPr>
            <w:tcW w:w="2268" w:type="dxa"/>
            <w:vAlign w:val="center"/>
          </w:tcPr>
          <w:p w14:paraId="77241216">
            <w:pPr>
              <w:pStyle w:val="10"/>
            </w:pPr>
            <w:r>
              <w:t>预算数</w:t>
            </w:r>
          </w:p>
        </w:tc>
        <w:tc>
          <w:tcPr>
            <w:tcW w:w="2835" w:type="dxa"/>
            <w:vAlign w:val="center"/>
          </w:tcPr>
          <w:p w14:paraId="723549D2">
            <w:pPr>
              <w:pStyle w:val="12"/>
            </w:pPr>
            <w:r>
              <w:t>1.01</w:t>
            </w:r>
          </w:p>
        </w:tc>
        <w:tc>
          <w:tcPr>
            <w:tcW w:w="2835" w:type="dxa"/>
            <w:vAlign w:val="center"/>
          </w:tcPr>
          <w:p w14:paraId="646CCBBC">
            <w:pPr>
              <w:pStyle w:val="10"/>
            </w:pPr>
            <w:r>
              <w:t>其中：财政    资金</w:t>
            </w:r>
          </w:p>
        </w:tc>
        <w:tc>
          <w:tcPr>
            <w:tcW w:w="2551" w:type="dxa"/>
            <w:vAlign w:val="center"/>
          </w:tcPr>
          <w:p w14:paraId="085C7CD6">
            <w:pPr>
              <w:pStyle w:val="12"/>
            </w:pPr>
            <w:r>
              <w:t>1.01</w:t>
            </w:r>
          </w:p>
        </w:tc>
        <w:tc>
          <w:tcPr>
            <w:tcW w:w="2268" w:type="dxa"/>
            <w:vAlign w:val="center"/>
          </w:tcPr>
          <w:p w14:paraId="4BF68E0A">
            <w:pPr>
              <w:pStyle w:val="10"/>
            </w:pPr>
            <w:r>
              <w:t>其他资金</w:t>
            </w:r>
          </w:p>
        </w:tc>
        <w:tc>
          <w:tcPr>
            <w:tcW w:w="1276" w:type="dxa"/>
            <w:vAlign w:val="center"/>
          </w:tcPr>
          <w:p w14:paraId="4955D954">
            <w:pPr>
              <w:pStyle w:val="12"/>
            </w:pPr>
            <w:r>
              <w:t xml:space="preserve"> </w:t>
            </w:r>
          </w:p>
        </w:tc>
      </w:tr>
      <w:tr w14:paraId="23EAA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06928"/>
        </w:tc>
        <w:tc>
          <w:tcPr>
            <w:tcW w:w="14033" w:type="dxa"/>
            <w:gridSpan w:val="6"/>
            <w:vAlign w:val="center"/>
          </w:tcPr>
          <w:p w14:paraId="67F46F4B">
            <w:pPr>
              <w:pStyle w:val="12"/>
            </w:pPr>
            <w:r>
              <w:t>保障学校正常运转，完成各项教育教学活动和其他日常工作任务等方面的费用支出。</w:t>
            </w:r>
          </w:p>
        </w:tc>
      </w:tr>
      <w:tr w14:paraId="7137E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715CA">
            <w:pPr>
              <w:pStyle w:val="10"/>
            </w:pPr>
            <w:r>
              <w:t>资金支出计划（%）</w:t>
            </w:r>
          </w:p>
        </w:tc>
        <w:tc>
          <w:tcPr>
            <w:tcW w:w="5103" w:type="dxa"/>
            <w:gridSpan w:val="2"/>
            <w:vAlign w:val="center"/>
          </w:tcPr>
          <w:p w14:paraId="1C63FD5F">
            <w:pPr>
              <w:pStyle w:val="10"/>
            </w:pPr>
            <w:r>
              <w:t>3月底</w:t>
            </w:r>
          </w:p>
        </w:tc>
        <w:tc>
          <w:tcPr>
            <w:tcW w:w="2835" w:type="dxa"/>
            <w:vAlign w:val="center"/>
          </w:tcPr>
          <w:p w14:paraId="4915EE39">
            <w:pPr>
              <w:pStyle w:val="10"/>
            </w:pPr>
            <w:r>
              <w:t>6月底</w:t>
            </w:r>
          </w:p>
        </w:tc>
        <w:tc>
          <w:tcPr>
            <w:tcW w:w="2551" w:type="dxa"/>
            <w:vAlign w:val="center"/>
          </w:tcPr>
          <w:p w14:paraId="7220BF56">
            <w:pPr>
              <w:pStyle w:val="10"/>
            </w:pPr>
            <w:r>
              <w:t>10月底</w:t>
            </w:r>
          </w:p>
        </w:tc>
        <w:tc>
          <w:tcPr>
            <w:tcW w:w="3544" w:type="dxa"/>
            <w:gridSpan w:val="2"/>
            <w:vAlign w:val="center"/>
          </w:tcPr>
          <w:p w14:paraId="58BCFEF6">
            <w:pPr>
              <w:pStyle w:val="10"/>
            </w:pPr>
            <w:r>
              <w:t>12月底</w:t>
            </w:r>
          </w:p>
        </w:tc>
      </w:tr>
      <w:tr w14:paraId="70152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5E54A"/>
        </w:tc>
        <w:tc>
          <w:tcPr>
            <w:tcW w:w="5103" w:type="dxa"/>
            <w:gridSpan w:val="2"/>
            <w:vAlign w:val="center"/>
          </w:tcPr>
          <w:p w14:paraId="31AA73DA">
            <w:pPr>
              <w:pStyle w:val="13"/>
            </w:pPr>
            <w:r>
              <w:t>25%</w:t>
            </w:r>
          </w:p>
        </w:tc>
        <w:tc>
          <w:tcPr>
            <w:tcW w:w="2835" w:type="dxa"/>
            <w:vAlign w:val="center"/>
          </w:tcPr>
          <w:p w14:paraId="6B12C3A5">
            <w:pPr>
              <w:pStyle w:val="13"/>
            </w:pPr>
            <w:r>
              <w:t>50%</w:t>
            </w:r>
          </w:p>
        </w:tc>
        <w:tc>
          <w:tcPr>
            <w:tcW w:w="2551" w:type="dxa"/>
            <w:vAlign w:val="center"/>
          </w:tcPr>
          <w:p w14:paraId="13164D8F">
            <w:pPr>
              <w:pStyle w:val="13"/>
            </w:pPr>
            <w:r>
              <w:t>75%</w:t>
            </w:r>
          </w:p>
        </w:tc>
        <w:tc>
          <w:tcPr>
            <w:tcW w:w="3544" w:type="dxa"/>
            <w:gridSpan w:val="2"/>
            <w:vAlign w:val="center"/>
          </w:tcPr>
          <w:p w14:paraId="78002C48">
            <w:pPr>
              <w:pStyle w:val="13"/>
            </w:pPr>
            <w:r>
              <w:t>100%</w:t>
            </w:r>
          </w:p>
        </w:tc>
      </w:tr>
      <w:tr w14:paraId="463A6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D1B7B">
            <w:pPr>
              <w:pStyle w:val="10"/>
            </w:pPr>
            <w:r>
              <w:t>绩效目标</w:t>
            </w:r>
          </w:p>
        </w:tc>
        <w:tc>
          <w:tcPr>
            <w:tcW w:w="14033" w:type="dxa"/>
            <w:gridSpan w:val="6"/>
            <w:vAlign w:val="center"/>
          </w:tcPr>
          <w:p w14:paraId="66F9F3CA">
            <w:pPr>
              <w:pStyle w:val="12"/>
            </w:pPr>
            <w:r>
              <w:t>1.按季度分批次拨付公用经费资金，资金拨付率达到100%。</w:t>
            </w:r>
          </w:p>
          <w:p w14:paraId="7CE81DFE">
            <w:pPr>
              <w:pStyle w:val="12"/>
            </w:pPr>
            <w:r>
              <w:t>2.保障学校正常运转，完成各项教育教学活动和其他日常工作任务等方面的费用支出。</w:t>
            </w:r>
          </w:p>
        </w:tc>
      </w:tr>
    </w:tbl>
    <w:p w14:paraId="6A246B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D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7A142">
            <w:pPr>
              <w:pStyle w:val="10"/>
            </w:pPr>
            <w:r>
              <w:t>一级指标</w:t>
            </w:r>
          </w:p>
        </w:tc>
        <w:tc>
          <w:tcPr>
            <w:tcW w:w="2268" w:type="dxa"/>
            <w:vAlign w:val="center"/>
          </w:tcPr>
          <w:p w14:paraId="4CEFB52A">
            <w:pPr>
              <w:pStyle w:val="10"/>
            </w:pPr>
            <w:r>
              <w:t>二级指标</w:t>
            </w:r>
          </w:p>
        </w:tc>
        <w:tc>
          <w:tcPr>
            <w:tcW w:w="2835" w:type="dxa"/>
            <w:vAlign w:val="center"/>
          </w:tcPr>
          <w:p w14:paraId="0A864955">
            <w:pPr>
              <w:pStyle w:val="10"/>
            </w:pPr>
            <w:r>
              <w:t>三级指标</w:t>
            </w:r>
          </w:p>
        </w:tc>
        <w:tc>
          <w:tcPr>
            <w:tcW w:w="5386" w:type="dxa"/>
            <w:vAlign w:val="center"/>
          </w:tcPr>
          <w:p w14:paraId="74A487CB">
            <w:pPr>
              <w:pStyle w:val="10"/>
            </w:pPr>
            <w:r>
              <w:t>绩效指标描述</w:t>
            </w:r>
          </w:p>
        </w:tc>
        <w:tc>
          <w:tcPr>
            <w:tcW w:w="2268" w:type="dxa"/>
            <w:vAlign w:val="center"/>
          </w:tcPr>
          <w:p w14:paraId="1D904B3F">
            <w:pPr>
              <w:pStyle w:val="10"/>
            </w:pPr>
            <w:r>
              <w:t>指标值</w:t>
            </w:r>
          </w:p>
        </w:tc>
        <w:tc>
          <w:tcPr>
            <w:tcW w:w="1276" w:type="dxa"/>
            <w:vAlign w:val="center"/>
          </w:tcPr>
          <w:p w14:paraId="5F89695F">
            <w:pPr>
              <w:pStyle w:val="10"/>
            </w:pPr>
            <w:r>
              <w:t>指标值确定依据</w:t>
            </w:r>
          </w:p>
        </w:tc>
      </w:tr>
      <w:tr w14:paraId="5D15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8F643">
            <w:pPr>
              <w:pStyle w:val="13"/>
            </w:pPr>
            <w:r>
              <w:t>产出指标</w:t>
            </w:r>
          </w:p>
        </w:tc>
        <w:tc>
          <w:tcPr>
            <w:tcW w:w="2268" w:type="dxa"/>
            <w:vAlign w:val="center"/>
          </w:tcPr>
          <w:p w14:paraId="6BE9F930">
            <w:pPr>
              <w:pStyle w:val="12"/>
            </w:pPr>
            <w:r>
              <w:t>数量指标</w:t>
            </w:r>
          </w:p>
        </w:tc>
        <w:tc>
          <w:tcPr>
            <w:tcW w:w="2835" w:type="dxa"/>
            <w:vAlign w:val="center"/>
          </w:tcPr>
          <w:p w14:paraId="631BD1A4">
            <w:pPr>
              <w:pStyle w:val="12"/>
            </w:pPr>
            <w:r>
              <w:t>就读学生数</w:t>
            </w:r>
          </w:p>
        </w:tc>
        <w:tc>
          <w:tcPr>
            <w:tcW w:w="5386" w:type="dxa"/>
            <w:vAlign w:val="center"/>
          </w:tcPr>
          <w:p w14:paraId="3A92DC36">
            <w:pPr>
              <w:pStyle w:val="12"/>
            </w:pPr>
            <w:r>
              <w:t>辐射区域内适龄学生人数</w:t>
            </w:r>
          </w:p>
        </w:tc>
        <w:tc>
          <w:tcPr>
            <w:tcW w:w="2268" w:type="dxa"/>
            <w:vAlign w:val="center"/>
          </w:tcPr>
          <w:p w14:paraId="18122C55">
            <w:pPr>
              <w:pStyle w:val="12"/>
            </w:pPr>
            <w:r>
              <w:t>122人</w:t>
            </w:r>
          </w:p>
        </w:tc>
        <w:tc>
          <w:tcPr>
            <w:tcW w:w="1276" w:type="dxa"/>
            <w:vAlign w:val="center"/>
          </w:tcPr>
          <w:p w14:paraId="45B5BB30">
            <w:pPr>
              <w:pStyle w:val="12"/>
            </w:pPr>
            <w:r>
              <w:t>城乡义务教育公用经费管理办法</w:t>
            </w:r>
          </w:p>
        </w:tc>
      </w:tr>
      <w:tr w14:paraId="0CEB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EB7BA"/>
        </w:tc>
        <w:tc>
          <w:tcPr>
            <w:tcW w:w="2268" w:type="dxa"/>
            <w:vAlign w:val="center"/>
          </w:tcPr>
          <w:p w14:paraId="7C00CD62">
            <w:pPr>
              <w:pStyle w:val="12"/>
            </w:pPr>
            <w:r>
              <w:t>质量指标</w:t>
            </w:r>
          </w:p>
        </w:tc>
        <w:tc>
          <w:tcPr>
            <w:tcW w:w="2835" w:type="dxa"/>
            <w:vAlign w:val="center"/>
          </w:tcPr>
          <w:p w14:paraId="4082BFE5">
            <w:pPr>
              <w:pStyle w:val="12"/>
            </w:pPr>
            <w:r>
              <w:t>预算执行率</w:t>
            </w:r>
          </w:p>
        </w:tc>
        <w:tc>
          <w:tcPr>
            <w:tcW w:w="5386" w:type="dxa"/>
            <w:vAlign w:val="center"/>
          </w:tcPr>
          <w:p w14:paraId="73792AA3">
            <w:pPr>
              <w:pStyle w:val="12"/>
            </w:pPr>
            <w:r>
              <w:t>预算执行率</w:t>
            </w:r>
          </w:p>
        </w:tc>
        <w:tc>
          <w:tcPr>
            <w:tcW w:w="2268" w:type="dxa"/>
            <w:vAlign w:val="center"/>
          </w:tcPr>
          <w:p w14:paraId="10EC4DA1">
            <w:pPr>
              <w:pStyle w:val="12"/>
            </w:pPr>
            <w:r>
              <w:t>≥95%</w:t>
            </w:r>
          </w:p>
        </w:tc>
        <w:tc>
          <w:tcPr>
            <w:tcW w:w="1276" w:type="dxa"/>
            <w:vAlign w:val="center"/>
          </w:tcPr>
          <w:p w14:paraId="416A080B">
            <w:pPr>
              <w:pStyle w:val="12"/>
            </w:pPr>
            <w:r>
              <w:t>城乡义务教育公用经费管理办法</w:t>
            </w:r>
          </w:p>
        </w:tc>
      </w:tr>
      <w:tr w14:paraId="0FD6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727C1"/>
        </w:tc>
        <w:tc>
          <w:tcPr>
            <w:tcW w:w="2268" w:type="dxa"/>
            <w:vAlign w:val="center"/>
          </w:tcPr>
          <w:p w14:paraId="58B59FAB">
            <w:pPr>
              <w:pStyle w:val="12"/>
            </w:pPr>
            <w:r>
              <w:t>时效指标</w:t>
            </w:r>
          </w:p>
        </w:tc>
        <w:tc>
          <w:tcPr>
            <w:tcW w:w="2835" w:type="dxa"/>
            <w:vAlign w:val="center"/>
          </w:tcPr>
          <w:p w14:paraId="0B09E636">
            <w:pPr>
              <w:pStyle w:val="12"/>
            </w:pPr>
            <w:r>
              <w:t>义教经费支付完成率</w:t>
            </w:r>
          </w:p>
        </w:tc>
        <w:tc>
          <w:tcPr>
            <w:tcW w:w="5386" w:type="dxa"/>
            <w:vAlign w:val="center"/>
          </w:tcPr>
          <w:p w14:paraId="2AE297F4">
            <w:pPr>
              <w:pStyle w:val="12"/>
            </w:pPr>
            <w:r>
              <w:t>按照序时进度完成资金支付</w:t>
            </w:r>
          </w:p>
        </w:tc>
        <w:tc>
          <w:tcPr>
            <w:tcW w:w="2268" w:type="dxa"/>
            <w:vAlign w:val="center"/>
          </w:tcPr>
          <w:p w14:paraId="6610801C">
            <w:pPr>
              <w:pStyle w:val="12"/>
            </w:pPr>
            <w:r>
              <w:t>100%</w:t>
            </w:r>
          </w:p>
        </w:tc>
        <w:tc>
          <w:tcPr>
            <w:tcW w:w="1276" w:type="dxa"/>
            <w:vAlign w:val="center"/>
          </w:tcPr>
          <w:p w14:paraId="0C6C3870">
            <w:pPr>
              <w:pStyle w:val="12"/>
            </w:pPr>
            <w:r>
              <w:t>城乡义务教育公用经费管理办法</w:t>
            </w:r>
          </w:p>
        </w:tc>
      </w:tr>
      <w:tr w14:paraId="6712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FC360"/>
        </w:tc>
        <w:tc>
          <w:tcPr>
            <w:tcW w:w="2268" w:type="dxa"/>
            <w:vAlign w:val="center"/>
          </w:tcPr>
          <w:p w14:paraId="3461A614">
            <w:pPr>
              <w:pStyle w:val="12"/>
            </w:pPr>
            <w:r>
              <w:t>成本指标</w:t>
            </w:r>
          </w:p>
        </w:tc>
        <w:tc>
          <w:tcPr>
            <w:tcW w:w="2835" w:type="dxa"/>
            <w:vAlign w:val="center"/>
          </w:tcPr>
          <w:p w14:paraId="498AA7DA">
            <w:pPr>
              <w:pStyle w:val="12"/>
            </w:pPr>
            <w:r>
              <w:t>生均拨款标准</w:t>
            </w:r>
          </w:p>
        </w:tc>
        <w:tc>
          <w:tcPr>
            <w:tcW w:w="5386" w:type="dxa"/>
            <w:vAlign w:val="center"/>
          </w:tcPr>
          <w:p w14:paraId="3B619624">
            <w:pPr>
              <w:pStyle w:val="12"/>
            </w:pPr>
            <w:r>
              <w:t>小学生公用经费生均公用经费基准定额为720元/年/生，取暖费120元/年/生，住宿生补助300元/年/生的标准，随班就读学生补助7000元/生/年</w:t>
            </w:r>
          </w:p>
        </w:tc>
        <w:tc>
          <w:tcPr>
            <w:tcW w:w="2268" w:type="dxa"/>
            <w:vAlign w:val="center"/>
          </w:tcPr>
          <w:p w14:paraId="59354E68">
            <w:pPr>
              <w:pStyle w:val="12"/>
            </w:pPr>
            <w:r>
              <w:t>840元</w:t>
            </w:r>
          </w:p>
        </w:tc>
        <w:tc>
          <w:tcPr>
            <w:tcW w:w="1276" w:type="dxa"/>
            <w:vAlign w:val="center"/>
          </w:tcPr>
          <w:p w14:paraId="56AC1AB3">
            <w:pPr>
              <w:pStyle w:val="12"/>
            </w:pPr>
            <w:r>
              <w:t>城乡义务教育公用经费管理办法</w:t>
            </w:r>
          </w:p>
        </w:tc>
      </w:tr>
      <w:tr w14:paraId="75EE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27DA9">
            <w:pPr>
              <w:pStyle w:val="13"/>
            </w:pPr>
            <w:r>
              <w:t>效益指标</w:t>
            </w:r>
          </w:p>
        </w:tc>
        <w:tc>
          <w:tcPr>
            <w:tcW w:w="2268" w:type="dxa"/>
            <w:vAlign w:val="center"/>
          </w:tcPr>
          <w:p w14:paraId="1FB93408">
            <w:pPr>
              <w:pStyle w:val="12"/>
            </w:pPr>
            <w:r>
              <w:t>可持续影响指标</w:t>
            </w:r>
          </w:p>
        </w:tc>
        <w:tc>
          <w:tcPr>
            <w:tcW w:w="2835" w:type="dxa"/>
            <w:vAlign w:val="center"/>
          </w:tcPr>
          <w:p w14:paraId="6AC8A773">
            <w:pPr>
              <w:pStyle w:val="12"/>
            </w:pPr>
            <w:r>
              <w:t>学校运转得到提高</w:t>
            </w:r>
          </w:p>
        </w:tc>
        <w:tc>
          <w:tcPr>
            <w:tcW w:w="5386" w:type="dxa"/>
            <w:vAlign w:val="center"/>
          </w:tcPr>
          <w:p w14:paraId="1A55CF06">
            <w:pPr>
              <w:pStyle w:val="12"/>
            </w:pPr>
            <w:r>
              <w:t>学生受教育年限</w:t>
            </w:r>
          </w:p>
        </w:tc>
        <w:tc>
          <w:tcPr>
            <w:tcW w:w="2268" w:type="dxa"/>
            <w:vAlign w:val="center"/>
          </w:tcPr>
          <w:p w14:paraId="722FECD6">
            <w:pPr>
              <w:pStyle w:val="12"/>
            </w:pPr>
            <w:r>
              <w:t>6年</w:t>
            </w:r>
          </w:p>
        </w:tc>
        <w:tc>
          <w:tcPr>
            <w:tcW w:w="1276" w:type="dxa"/>
            <w:vAlign w:val="center"/>
          </w:tcPr>
          <w:p w14:paraId="4EA98573">
            <w:pPr>
              <w:pStyle w:val="12"/>
            </w:pPr>
            <w:r>
              <w:t>城乡义务教育公用经费管理办法</w:t>
            </w:r>
          </w:p>
        </w:tc>
      </w:tr>
      <w:tr w14:paraId="572B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DB183">
            <w:pPr>
              <w:pStyle w:val="13"/>
            </w:pPr>
            <w:r>
              <w:t>满意度指标</w:t>
            </w:r>
          </w:p>
        </w:tc>
        <w:tc>
          <w:tcPr>
            <w:tcW w:w="2268" w:type="dxa"/>
            <w:vAlign w:val="center"/>
          </w:tcPr>
          <w:p w14:paraId="70E1EDAF">
            <w:pPr>
              <w:pStyle w:val="12"/>
            </w:pPr>
            <w:r>
              <w:t>服务对象满意度指标</w:t>
            </w:r>
          </w:p>
        </w:tc>
        <w:tc>
          <w:tcPr>
            <w:tcW w:w="2835" w:type="dxa"/>
            <w:vAlign w:val="center"/>
          </w:tcPr>
          <w:p w14:paraId="37DAAB3F">
            <w:pPr>
              <w:pStyle w:val="12"/>
            </w:pPr>
            <w:r>
              <w:t>服务对象满意度</w:t>
            </w:r>
          </w:p>
        </w:tc>
        <w:tc>
          <w:tcPr>
            <w:tcW w:w="5386" w:type="dxa"/>
            <w:vAlign w:val="center"/>
          </w:tcPr>
          <w:p w14:paraId="2FF56CF3">
            <w:pPr>
              <w:pStyle w:val="12"/>
            </w:pPr>
            <w:r>
              <w:t>学校老师和学生满意度</w:t>
            </w:r>
          </w:p>
        </w:tc>
        <w:tc>
          <w:tcPr>
            <w:tcW w:w="2268" w:type="dxa"/>
            <w:vAlign w:val="center"/>
          </w:tcPr>
          <w:p w14:paraId="1E2EFF27">
            <w:pPr>
              <w:pStyle w:val="12"/>
            </w:pPr>
            <w:r>
              <w:t>≥95%</w:t>
            </w:r>
          </w:p>
        </w:tc>
        <w:tc>
          <w:tcPr>
            <w:tcW w:w="1276" w:type="dxa"/>
            <w:vAlign w:val="center"/>
          </w:tcPr>
          <w:p w14:paraId="3853BD0A">
            <w:pPr>
              <w:pStyle w:val="12"/>
            </w:pPr>
            <w:r>
              <w:t>群众测评</w:t>
            </w:r>
          </w:p>
        </w:tc>
      </w:tr>
    </w:tbl>
    <w:p w14:paraId="57786B19">
      <w:pPr>
        <w:sectPr>
          <w:pgSz w:w="16840" w:h="11900" w:orient="landscape"/>
          <w:pgMar w:top="1361" w:right="1020" w:bottom="1134" w:left="1020" w:header="720" w:footer="720" w:gutter="0"/>
          <w:cols w:space="720" w:num="1"/>
        </w:sectPr>
      </w:pPr>
    </w:p>
    <w:p w14:paraId="29BC60A3">
      <w:pPr>
        <w:spacing w:before="0" w:after="0"/>
        <w:ind w:firstLine="560"/>
        <w:jc w:val="left"/>
        <w:outlineLvl w:val="9"/>
      </w:pPr>
      <w:r>
        <w:rPr>
          <w:rFonts w:ascii="方正仿宋_GBK" w:hAnsi="方正仿宋_GBK" w:eastAsia="方正仿宋_GBK" w:cs="方正仿宋_GBK"/>
          <w:b/>
          <w:color w:val="000000"/>
          <w:sz w:val="28"/>
        </w:rPr>
        <w:t>36、县级配套/尹村校区学前教育幼儿资助绩效目标表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8A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9E280">
            <w:pPr>
              <w:pStyle w:val="11"/>
            </w:pPr>
            <w:r>
              <w:t>单位：万元</w:t>
            </w:r>
          </w:p>
        </w:tc>
      </w:tr>
      <w:tr w14:paraId="4E2D8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FAFD9">
            <w:pPr>
              <w:pStyle w:val="10"/>
            </w:pPr>
            <w:r>
              <w:t>项目编码</w:t>
            </w:r>
          </w:p>
        </w:tc>
        <w:tc>
          <w:tcPr>
            <w:tcW w:w="5103" w:type="dxa"/>
            <w:gridSpan w:val="2"/>
            <w:vAlign w:val="center"/>
          </w:tcPr>
          <w:p w14:paraId="35538987">
            <w:pPr>
              <w:pStyle w:val="12"/>
            </w:pPr>
            <w:r>
              <w:t>13052526P00000210086P</w:t>
            </w:r>
          </w:p>
        </w:tc>
        <w:tc>
          <w:tcPr>
            <w:tcW w:w="2835" w:type="dxa"/>
            <w:vAlign w:val="center"/>
          </w:tcPr>
          <w:p w14:paraId="3740556A">
            <w:pPr>
              <w:pStyle w:val="10"/>
            </w:pPr>
            <w:r>
              <w:t>项目名称</w:t>
            </w:r>
          </w:p>
        </w:tc>
        <w:tc>
          <w:tcPr>
            <w:tcW w:w="6095" w:type="dxa"/>
            <w:gridSpan w:val="3"/>
            <w:vAlign w:val="center"/>
          </w:tcPr>
          <w:p w14:paraId="50D74DA2">
            <w:pPr>
              <w:pStyle w:val="12"/>
            </w:pPr>
            <w:r>
              <w:t>县级配套/尹村校区学前教育幼儿资助</w:t>
            </w:r>
          </w:p>
        </w:tc>
      </w:tr>
      <w:tr w14:paraId="37698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F5AC6">
            <w:pPr>
              <w:pStyle w:val="10"/>
            </w:pPr>
            <w:r>
              <w:t>预算规模及资金用途</w:t>
            </w:r>
          </w:p>
        </w:tc>
        <w:tc>
          <w:tcPr>
            <w:tcW w:w="2268" w:type="dxa"/>
            <w:vAlign w:val="center"/>
          </w:tcPr>
          <w:p w14:paraId="34B043E9">
            <w:pPr>
              <w:pStyle w:val="10"/>
            </w:pPr>
            <w:r>
              <w:t>预算数</w:t>
            </w:r>
          </w:p>
        </w:tc>
        <w:tc>
          <w:tcPr>
            <w:tcW w:w="2835" w:type="dxa"/>
            <w:vAlign w:val="center"/>
          </w:tcPr>
          <w:p w14:paraId="720E356F">
            <w:pPr>
              <w:pStyle w:val="12"/>
            </w:pPr>
            <w:r>
              <w:t>1.02</w:t>
            </w:r>
          </w:p>
        </w:tc>
        <w:tc>
          <w:tcPr>
            <w:tcW w:w="2835" w:type="dxa"/>
            <w:vAlign w:val="center"/>
          </w:tcPr>
          <w:p w14:paraId="3939F578">
            <w:pPr>
              <w:pStyle w:val="10"/>
            </w:pPr>
            <w:r>
              <w:t>其中：财政    资金</w:t>
            </w:r>
          </w:p>
        </w:tc>
        <w:tc>
          <w:tcPr>
            <w:tcW w:w="2551" w:type="dxa"/>
            <w:vAlign w:val="center"/>
          </w:tcPr>
          <w:p w14:paraId="2513B4D6">
            <w:pPr>
              <w:pStyle w:val="12"/>
            </w:pPr>
            <w:r>
              <w:t>1.02</w:t>
            </w:r>
          </w:p>
        </w:tc>
        <w:tc>
          <w:tcPr>
            <w:tcW w:w="2268" w:type="dxa"/>
            <w:vAlign w:val="center"/>
          </w:tcPr>
          <w:p w14:paraId="2B698A0A">
            <w:pPr>
              <w:pStyle w:val="10"/>
            </w:pPr>
            <w:r>
              <w:t>其他资金</w:t>
            </w:r>
          </w:p>
        </w:tc>
        <w:tc>
          <w:tcPr>
            <w:tcW w:w="1276" w:type="dxa"/>
            <w:vAlign w:val="center"/>
          </w:tcPr>
          <w:p w14:paraId="4E630706">
            <w:pPr>
              <w:pStyle w:val="12"/>
            </w:pPr>
            <w:r>
              <w:t xml:space="preserve"> </w:t>
            </w:r>
          </w:p>
        </w:tc>
      </w:tr>
      <w:tr w14:paraId="69841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9526B"/>
        </w:tc>
        <w:tc>
          <w:tcPr>
            <w:tcW w:w="14033" w:type="dxa"/>
            <w:gridSpan w:val="6"/>
            <w:vAlign w:val="center"/>
          </w:tcPr>
          <w:p w14:paraId="2DA75DD3">
            <w:pPr>
              <w:pStyle w:val="12"/>
            </w:pPr>
            <w:r>
              <w:t>保证本年度资助经费足额落实到位，符合享受资助条件的学生应助尽助。</w:t>
            </w:r>
          </w:p>
        </w:tc>
      </w:tr>
      <w:tr w14:paraId="6DBBA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07DEB">
            <w:pPr>
              <w:pStyle w:val="10"/>
            </w:pPr>
            <w:r>
              <w:t>资金支出计划（%）</w:t>
            </w:r>
          </w:p>
        </w:tc>
        <w:tc>
          <w:tcPr>
            <w:tcW w:w="5103" w:type="dxa"/>
            <w:gridSpan w:val="2"/>
            <w:vAlign w:val="center"/>
          </w:tcPr>
          <w:p w14:paraId="1DCD7557">
            <w:pPr>
              <w:pStyle w:val="10"/>
            </w:pPr>
            <w:r>
              <w:t>3月底</w:t>
            </w:r>
          </w:p>
        </w:tc>
        <w:tc>
          <w:tcPr>
            <w:tcW w:w="2835" w:type="dxa"/>
            <w:vAlign w:val="center"/>
          </w:tcPr>
          <w:p w14:paraId="190E1BB1">
            <w:pPr>
              <w:pStyle w:val="10"/>
            </w:pPr>
            <w:r>
              <w:t>6月底</w:t>
            </w:r>
          </w:p>
        </w:tc>
        <w:tc>
          <w:tcPr>
            <w:tcW w:w="2551" w:type="dxa"/>
            <w:vAlign w:val="center"/>
          </w:tcPr>
          <w:p w14:paraId="1D776EF6">
            <w:pPr>
              <w:pStyle w:val="10"/>
            </w:pPr>
            <w:r>
              <w:t>10月底</w:t>
            </w:r>
          </w:p>
        </w:tc>
        <w:tc>
          <w:tcPr>
            <w:tcW w:w="3544" w:type="dxa"/>
            <w:gridSpan w:val="2"/>
            <w:vAlign w:val="center"/>
          </w:tcPr>
          <w:p w14:paraId="3272D390">
            <w:pPr>
              <w:pStyle w:val="10"/>
            </w:pPr>
            <w:r>
              <w:t>12月底</w:t>
            </w:r>
          </w:p>
        </w:tc>
      </w:tr>
      <w:tr w14:paraId="084C1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2BAAF"/>
        </w:tc>
        <w:tc>
          <w:tcPr>
            <w:tcW w:w="5103" w:type="dxa"/>
            <w:gridSpan w:val="2"/>
            <w:vAlign w:val="center"/>
          </w:tcPr>
          <w:p w14:paraId="72B62D16">
            <w:pPr>
              <w:pStyle w:val="13"/>
            </w:pPr>
            <w:r>
              <w:t>25%</w:t>
            </w:r>
          </w:p>
        </w:tc>
        <w:tc>
          <w:tcPr>
            <w:tcW w:w="2835" w:type="dxa"/>
            <w:vAlign w:val="center"/>
          </w:tcPr>
          <w:p w14:paraId="4945B975">
            <w:pPr>
              <w:pStyle w:val="13"/>
            </w:pPr>
            <w:r>
              <w:t>50%</w:t>
            </w:r>
          </w:p>
        </w:tc>
        <w:tc>
          <w:tcPr>
            <w:tcW w:w="2551" w:type="dxa"/>
            <w:vAlign w:val="center"/>
          </w:tcPr>
          <w:p w14:paraId="31C1ED54">
            <w:pPr>
              <w:pStyle w:val="13"/>
            </w:pPr>
            <w:r>
              <w:t>75%</w:t>
            </w:r>
          </w:p>
        </w:tc>
        <w:tc>
          <w:tcPr>
            <w:tcW w:w="3544" w:type="dxa"/>
            <w:gridSpan w:val="2"/>
            <w:vAlign w:val="center"/>
          </w:tcPr>
          <w:p w14:paraId="11E192EA">
            <w:pPr>
              <w:pStyle w:val="13"/>
            </w:pPr>
            <w:r>
              <w:t>100%</w:t>
            </w:r>
          </w:p>
        </w:tc>
      </w:tr>
      <w:tr w14:paraId="1940D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0D4B1">
            <w:pPr>
              <w:pStyle w:val="10"/>
            </w:pPr>
            <w:r>
              <w:t>绩效目标</w:t>
            </w:r>
          </w:p>
        </w:tc>
        <w:tc>
          <w:tcPr>
            <w:tcW w:w="14033" w:type="dxa"/>
            <w:gridSpan w:val="6"/>
            <w:vAlign w:val="center"/>
          </w:tcPr>
          <w:p w14:paraId="40019B84">
            <w:pPr>
              <w:pStyle w:val="12"/>
            </w:pPr>
            <w:r>
              <w:t>1.保证本年度资助经费足额落实到位，符合享受资助条件的学生应助尽助。</w:t>
            </w:r>
          </w:p>
        </w:tc>
      </w:tr>
    </w:tbl>
    <w:p w14:paraId="7AE99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5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FBE95">
            <w:pPr>
              <w:pStyle w:val="10"/>
            </w:pPr>
            <w:r>
              <w:t>一级指标</w:t>
            </w:r>
          </w:p>
        </w:tc>
        <w:tc>
          <w:tcPr>
            <w:tcW w:w="2268" w:type="dxa"/>
            <w:vAlign w:val="center"/>
          </w:tcPr>
          <w:p w14:paraId="488B77EB">
            <w:pPr>
              <w:pStyle w:val="10"/>
            </w:pPr>
            <w:r>
              <w:t>二级指标</w:t>
            </w:r>
          </w:p>
        </w:tc>
        <w:tc>
          <w:tcPr>
            <w:tcW w:w="2835" w:type="dxa"/>
            <w:vAlign w:val="center"/>
          </w:tcPr>
          <w:p w14:paraId="468AA22E">
            <w:pPr>
              <w:pStyle w:val="10"/>
            </w:pPr>
            <w:r>
              <w:t>三级指标</w:t>
            </w:r>
          </w:p>
        </w:tc>
        <w:tc>
          <w:tcPr>
            <w:tcW w:w="5386" w:type="dxa"/>
            <w:vAlign w:val="center"/>
          </w:tcPr>
          <w:p w14:paraId="381F7E8A">
            <w:pPr>
              <w:pStyle w:val="10"/>
            </w:pPr>
            <w:r>
              <w:t>绩效指标描述</w:t>
            </w:r>
          </w:p>
        </w:tc>
        <w:tc>
          <w:tcPr>
            <w:tcW w:w="2268" w:type="dxa"/>
            <w:vAlign w:val="center"/>
          </w:tcPr>
          <w:p w14:paraId="00E2CFBE">
            <w:pPr>
              <w:pStyle w:val="10"/>
            </w:pPr>
            <w:r>
              <w:t>指标值</w:t>
            </w:r>
          </w:p>
        </w:tc>
        <w:tc>
          <w:tcPr>
            <w:tcW w:w="1276" w:type="dxa"/>
            <w:vAlign w:val="center"/>
          </w:tcPr>
          <w:p w14:paraId="37B08F51">
            <w:pPr>
              <w:pStyle w:val="10"/>
            </w:pPr>
            <w:r>
              <w:t>指标值确定依据</w:t>
            </w:r>
          </w:p>
        </w:tc>
      </w:tr>
      <w:tr w14:paraId="6C2DB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5EF09">
            <w:pPr>
              <w:pStyle w:val="13"/>
            </w:pPr>
            <w:r>
              <w:t>产出指标</w:t>
            </w:r>
          </w:p>
        </w:tc>
        <w:tc>
          <w:tcPr>
            <w:tcW w:w="2268" w:type="dxa"/>
            <w:vAlign w:val="center"/>
          </w:tcPr>
          <w:p w14:paraId="6EB270E2">
            <w:pPr>
              <w:pStyle w:val="12"/>
            </w:pPr>
            <w:r>
              <w:t>数量指标</w:t>
            </w:r>
          </w:p>
        </w:tc>
        <w:tc>
          <w:tcPr>
            <w:tcW w:w="2835" w:type="dxa"/>
            <w:vAlign w:val="center"/>
          </w:tcPr>
          <w:p w14:paraId="54CE9A5A">
            <w:pPr>
              <w:pStyle w:val="12"/>
            </w:pPr>
            <w:r>
              <w:t xml:space="preserve"> 幼儿资助人数</w:t>
            </w:r>
          </w:p>
        </w:tc>
        <w:tc>
          <w:tcPr>
            <w:tcW w:w="5386" w:type="dxa"/>
            <w:vAlign w:val="center"/>
          </w:tcPr>
          <w:p w14:paraId="696E9F5D">
            <w:pPr>
              <w:pStyle w:val="12"/>
            </w:pPr>
            <w:r>
              <w:t xml:space="preserve"> 幼儿资助人数</w:t>
            </w:r>
          </w:p>
        </w:tc>
        <w:tc>
          <w:tcPr>
            <w:tcW w:w="2268" w:type="dxa"/>
            <w:vAlign w:val="center"/>
          </w:tcPr>
          <w:p w14:paraId="2AF52D51">
            <w:pPr>
              <w:pStyle w:val="12"/>
            </w:pPr>
            <w:r>
              <w:t>51 人</w:t>
            </w:r>
          </w:p>
        </w:tc>
        <w:tc>
          <w:tcPr>
            <w:tcW w:w="1276" w:type="dxa"/>
            <w:vAlign w:val="center"/>
          </w:tcPr>
          <w:p w14:paraId="2320B8CC">
            <w:pPr>
              <w:pStyle w:val="12"/>
            </w:pPr>
            <w:r>
              <w:t>幼儿资助经费管理办法</w:t>
            </w:r>
          </w:p>
        </w:tc>
      </w:tr>
      <w:tr w14:paraId="76B5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D44AB"/>
        </w:tc>
        <w:tc>
          <w:tcPr>
            <w:tcW w:w="2268" w:type="dxa"/>
            <w:vAlign w:val="center"/>
          </w:tcPr>
          <w:p w14:paraId="7B732FDE">
            <w:pPr>
              <w:pStyle w:val="12"/>
            </w:pPr>
            <w:r>
              <w:t>质量指标</w:t>
            </w:r>
          </w:p>
        </w:tc>
        <w:tc>
          <w:tcPr>
            <w:tcW w:w="2835" w:type="dxa"/>
            <w:vAlign w:val="center"/>
          </w:tcPr>
          <w:p w14:paraId="7DC2F4AA">
            <w:pPr>
              <w:pStyle w:val="12"/>
            </w:pPr>
            <w:r>
              <w:t>资助资金使用率</w:t>
            </w:r>
          </w:p>
        </w:tc>
        <w:tc>
          <w:tcPr>
            <w:tcW w:w="5386" w:type="dxa"/>
            <w:vAlign w:val="center"/>
          </w:tcPr>
          <w:p w14:paraId="780C50F4">
            <w:pPr>
              <w:pStyle w:val="12"/>
            </w:pPr>
            <w:r>
              <w:t>符合享受资助条件的学生应助尽助</w:t>
            </w:r>
          </w:p>
        </w:tc>
        <w:tc>
          <w:tcPr>
            <w:tcW w:w="2268" w:type="dxa"/>
            <w:vAlign w:val="center"/>
          </w:tcPr>
          <w:p w14:paraId="3A0C23DC">
            <w:pPr>
              <w:pStyle w:val="12"/>
            </w:pPr>
            <w:r>
              <w:t>100%</w:t>
            </w:r>
          </w:p>
        </w:tc>
        <w:tc>
          <w:tcPr>
            <w:tcW w:w="1276" w:type="dxa"/>
            <w:vAlign w:val="center"/>
          </w:tcPr>
          <w:p w14:paraId="27FB9522">
            <w:pPr>
              <w:pStyle w:val="12"/>
            </w:pPr>
            <w:r>
              <w:t>幼儿资助经费管理办法</w:t>
            </w:r>
          </w:p>
        </w:tc>
      </w:tr>
      <w:tr w14:paraId="640A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B3ED2"/>
        </w:tc>
        <w:tc>
          <w:tcPr>
            <w:tcW w:w="2268" w:type="dxa"/>
            <w:vAlign w:val="center"/>
          </w:tcPr>
          <w:p w14:paraId="39F8D761">
            <w:pPr>
              <w:pStyle w:val="12"/>
            </w:pPr>
            <w:r>
              <w:t>时效指标</w:t>
            </w:r>
          </w:p>
        </w:tc>
        <w:tc>
          <w:tcPr>
            <w:tcW w:w="2835" w:type="dxa"/>
            <w:vAlign w:val="center"/>
          </w:tcPr>
          <w:p w14:paraId="64E50847">
            <w:pPr>
              <w:pStyle w:val="12"/>
            </w:pPr>
            <w:r>
              <w:t>资金拨付率</w:t>
            </w:r>
          </w:p>
        </w:tc>
        <w:tc>
          <w:tcPr>
            <w:tcW w:w="5386" w:type="dxa"/>
            <w:vAlign w:val="center"/>
          </w:tcPr>
          <w:p w14:paraId="78B2CE55">
            <w:pPr>
              <w:pStyle w:val="12"/>
            </w:pPr>
            <w:r>
              <w:t>所有项目资金支付进度</w:t>
            </w:r>
          </w:p>
        </w:tc>
        <w:tc>
          <w:tcPr>
            <w:tcW w:w="2268" w:type="dxa"/>
            <w:vAlign w:val="center"/>
          </w:tcPr>
          <w:p w14:paraId="2661D115">
            <w:pPr>
              <w:pStyle w:val="12"/>
            </w:pPr>
            <w:r>
              <w:t>100%</w:t>
            </w:r>
          </w:p>
        </w:tc>
        <w:tc>
          <w:tcPr>
            <w:tcW w:w="1276" w:type="dxa"/>
            <w:vAlign w:val="center"/>
          </w:tcPr>
          <w:p w14:paraId="3CD27882">
            <w:pPr>
              <w:pStyle w:val="12"/>
            </w:pPr>
            <w:r>
              <w:t>幼儿资助经费管理办法</w:t>
            </w:r>
          </w:p>
        </w:tc>
      </w:tr>
      <w:tr w14:paraId="7A38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D15FB"/>
        </w:tc>
        <w:tc>
          <w:tcPr>
            <w:tcW w:w="2268" w:type="dxa"/>
            <w:vAlign w:val="center"/>
          </w:tcPr>
          <w:p w14:paraId="298B5F2A">
            <w:pPr>
              <w:pStyle w:val="12"/>
            </w:pPr>
            <w:r>
              <w:t>成本指标</w:t>
            </w:r>
          </w:p>
        </w:tc>
        <w:tc>
          <w:tcPr>
            <w:tcW w:w="2835" w:type="dxa"/>
            <w:vAlign w:val="center"/>
          </w:tcPr>
          <w:p w14:paraId="572DD821">
            <w:pPr>
              <w:pStyle w:val="12"/>
            </w:pPr>
            <w:r>
              <w:t>幼儿园生均成本</w:t>
            </w:r>
          </w:p>
        </w:tc>
        <w:tc>
          <w:tcPr>
            <w:tcW w:w="5386" w:type="dxa"/>
            <w:vAlign w:val="center"/>
          </w:tcPr>
          <w:p w14:paraId="427D21DA">
            <w:pPr>
              <w:pStyle w:val="12"/>
            </w:pPr>
            <w:r>
              <w:t>按照幼儿园资助标准1000元/生/年</w:t>
            </w:r>
          </w:p>
        </w:tc>
        <w:tc>
          <w:tcPr>
            <w:tcW w:w="2268" w:type="dxa"/>
            <w:vAlign w:val="center"/>
          </w:tcPr>
          <w:p w14:paraId="018FD652">
            <w:pPr>
              <w:pStyle w:val="12"/>
            </w:pPr>
            <w:r>
              <w:t>1000元</w:t>
            </w:r>
          </w:p>
        </w:tc>
        <w:tc>
          <w:tcPr>
            <w:tcW w:w="1276" w:type="dxa"/>
            <w:vAlign w:val="center"/>
          </w:tcPr>
          <w:p w14:paraId="30003666">
            <w:pPr>
              <w:pStyle w:val="12"/>
            </w:pPr>
            <w:r>
              <w:t>幼儿资助经费管理办法</w:t>
            </w:r>
          </w:p>
        </w:tc>
      </w:tr>
      <w:tr w14:paraId="5C26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62335">
            <w:pPr>
              <w:pStyle w:val="13"/>
            </w:pPr>
            <w:r>
              <w:t>效益指标</w:t>
            </w:r>
          </w:p>
        </w:tc>
        <w:tc>
          <w:tcPr>
            <w:tcW w:w="2268" w:type="dxa"/>
            <w:vAlign w:val="center"/>
          </w:tcPr>
          <w:p w14:paraId="0776BA17">
            <w:pPr>
              <w:pStyle w:val="12"/>
            </w:pPr>
            <w:r>
              <w:t>可持续影响指标</w:t>
            </w:r>
          </w:p>
        </w:tc>
        <w:tc>
          <w:tcPr>
            <w:tcW w:w="2835" w:type="dxa"/>
            <w:vAlign w:val="center"/>
          </w:tcPr>
          <w:p w14:paraId="53A391B0">
            <w:pPr>
              <w:pStyle w:val="12"/>
            </w:pPr>
            <w:r>
              <w:t>幼儿园正常运转</w:t>
            </w:r>
          </w:p>
        </w:tc>
        <w:tc>
          <w:tcPr>
            <w:tcW w:w="5386" w:type="dxa"/>
            <w:vAlign w:val="center"/>
          </w:tcPr>
          <w:p w14:paraId="1B111035">
            <w:pPr>
              <w:pStyle w:val="12"/>
            </w:pPr>
            <w:r>
              <w:t>幼儿受教育年限</w:t>
            </w:r>
          </w:p>
        </w:tc>
        <w:tc>
          <w:tcPr>
            <w:tcW w:w="2268" w:type="dxa"/>
            <w:vAlign w:val="center"/>
          </w:tcPr>
          <w:p w14:paraId="535FA0A4">
            <w:pPr>
              <w:pStyle w:val="12"/>
            </w:pPr>
            <w:r>
              <w:t>3年</w:t>
            </w:r>
          </w:p>
        </w:tc>
        <w:tc>
          <w:tcPr>
            <w:tcW w:w="1276" w:type="dxa"/>
            <w:vAlign w:val="center"/>
          </w:tcPr>
          <w:p w14:paraId="5D34FED2">
            <w:pPr>
              <w:pStyle w:val="12"/>
            </w:pPr>
            <w:r>
              <w:t>幼儿资助经费管理办法</w:t>
            </w:r>
          </w:p>
        </w:tc>
      </w:tr>
      <w:tr w14:paraId="0C43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05ACA">
            <w:pPr>
              <w:pStyle w:val="13"/>
            </w:pPr>
            <w:r>
              <w:t>满意度指标</w:t>
            </w:r>
          </w:p>
        </w:tc>
        <w:tc>
          <w:tcPr>
            <w:tcW w:w="2268" w:type="dxa"/>
            <w:vAlign w:val="center"/>
          </w:tcPr>
          <w:p w14:paraId="4E654185">
            <w:pPr>
              <w:pStyle w:val="12"/>
            </w:pPr>
            <w:r>
              <w:t>服务对象满意度指标</w:t>
            </w:r>
          </w:p>
        </w:tc>
        <w:tc>
          <w:tcPr>
            <w:tcW w:w="2835" w:type="dxa"/>
            <w:vAlign w:val="center"/>
          </w:tcPr>
          <w:p w14:paraId="79CDB760">
            <w:pPr>
              <w:pStyle w:val="12"/>
            </w:pPr>
            <w:r>
              <w:t>受益幼儿家长及调查满意度</w:t>
            </w:r>
          </w:p>
        </w:tc>
        <w:tc>
          <w:tcPr>
            <w:tcW w:w="5386" w:type="dxa"/>
            <w:vAlign w:val="center"/>
          </w:tcPr>
          <w:p w14:paraId="5AEC8264">
            <w:pPr>
              <w:pStyle w:val="12"/>
            </w:pPr>
            <w:r>
              <w:t>学生、教师及家长对学校保教保育工作满意度情况</w:t>
            </w:r>
          </w:p>
        </w:tc>
        <w:tc>
          <w:tcPr>
            <w:tcW w:w="2268" w:type="dxa"/>
            <w:vAlign w:val="center"/>
          </w:tcPr>
          <w:p w14:paraId="0B7AA7EF">
            <w:pPr>
              <w:pStyle w:val="12"/>
            </w:pPr>
            <w:r>
              <w:t>≥95%</w:t>
            </w:r>
          </w:p>
        </w:tc>
        <w:tc>
          <w:tcPr>
            <w:tcW w:w="1276" w:type="dxa"/>
            <w:vAlign w:val="center"/>
          </w:tcPr>
          <w:p w14:paraId="6478FF19">
            <w:pPr>
              <w:pStyle w:val="12"/>
            </w:pPr>
            <w:r>
              <w:t>幼儿资助经费管理办法</w:t>
            </w:r>
          </w:p>
        </w:tc>
      </w:tr>
    </w:tbl>
    <w:p w14:paraId="2E4B5AB0">
      <w:pPr>
        <w:sectPr>
          <w:pgSz w:w="16840" w:h="11900" w:orient="landscape"/>
          <w:pgMar w:top="1361" w:right="1020" w:bottom="1134" w:left="1020" w:header="720" w:footer="720" w:gutter="0"/>
          <w:cols w:space="720" w:num="1"/>
        </w:sectPr>
      </w:pPr>
    </w:p>
    <w:p w14:paraId="17E15F5B">
      <w:pPr>
        <w:spacing w:before="0" w:after="0"/>
        <w:ind w:firstLine="560"/>
        <w:jc w:val="left"/>
        <w:outlineLvl w:val="9"/>
      </w:pPr>
      <w:r>
        <w:rPr>
          <w:rFonts w:ascii="方正仿宋_GBK" w:hAnsi="方正仿宋_GBK" w:eastAsia="方正仿宋_GBK" w:cs="方正仿宋_GBK"/>
          <w:b/>
          <w:color w:val="000000"/>
          <w:sz w:val="28"/>
        </w:rPr>
        <w:t>37、县级配套/尹村校区杨村小学公用经费绩效目标表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D4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B1430">
            <w:pPr>
              <w:pStyle w:val="11"/>
            </w:pPr>
            <w:r>
              <w:t>单位：万元</w:t>
            </w:r>
          </w:p>
        </w:tc>
      </w:tr>
      <w:tr w14:paraId="157A6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2E848">
            <w:pPr>
              <w:pStyle w:val="10"/>
            </w:pPr>
            <w:r>
              <w:t>项目编码</w:t>
            </w:r>
          </w:p>
        </w:tc>
        <w:tc>
          <w:tcPr>
            <w:tcW w:w="5103" w:type="dxa"/>
            <w:gridSpan w:val="2"/>
            <w:vAlign w:val="center"/>
          </w:tcPr>
          <w:p w14:paraId="53593CD8">
            <w:pPr>
              <w:pStyle w:val="12"/>
            </w:pPr>
            <w:r>
              <w:t>13052526P000004104578</w:t>
            </w:r>
          </w:p>
        </w:tc>
        <w:tc>
          <w:tcPr>
            <w:tcW w:w="2835" w:type="dxa"/>
            <w:vAlign w:val="center"/>
          </w:tcPr>
          <w:p w14:paraId="32ED423A">
            <w:pPr>
              <w:pStyle w:val="10"/>
            </w:pPr>
            <w:r>
              <w:t>项目名称</w:t>
            </w:r>
          </w:p>
        </w:tc>
        <w:tc>
          <w:tcPr>
            <w:tcW w:w="6095" w:type="dxa"/>
            <w:gridSpan w:val="3"/>
            <w:vAlign w:val="center"/>
          </w:tcPr>
          <w:p w14:paraId="54D50FA9">
            <w:pPr>
              <w:pStyle w:val="12"/>
            </w:pPr>
            <w:r>
              <w:t>县级配套/尹村校区杨村小学公用经费</w:t>
            </w:r>
          </w:p>
        </w:tc>
      </w:tr>
      <w:tr w14:paraId="4D703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1E036">
            <w:pPr>
              <w:pStyle w:val="10"/>
            </w:pPr>
            <w:r>
              <w:t>预算规模及资金用途</w:t>
            </w:r>
          </w:p>
        </w:tc>
        <w:tc>
          <w:tcPr>
            <w:tcW w:w="2268" w:type="dxa"/>
            <w:vAlign w:val="center"/>
          </w:tcPr>
          <w:p w14:paraId="7139F765">
            <w:pPr>
              <w:pStyle w:val="10"/>
            </w:pPr>
            <w:r>
              <w:t>预算数</w:t>
            </w:r>
          </w:p>
        </w:tc>
        <w:tc>
          <w:tcPr>
            <w:tcW w:w="2835" w:type="dxa"/>
            <w:vAlign w:val="center"/>
          </w:tcPr>
          <w:p w14:paraId="433AE343">
            <w:pPr>
              <w:pStyle w:val="12"/>
            </w:pPr>
            <w:r>
              <w:t>6.23</w:t>
            </w:r>
          </w:p>
        </w:tc>
        <w:tc>
          <w:tcPr>
            <w:tcW w:w="2835" w:type="dxa"/>
            <w:vAlign w:val="center"/>
          </w:tcPr>
          <w:p w14:paraId="04CA1C69">
            <w:pPr>
              <w:pStyle w:val="10"/>
            </w:pPr>
            <w:r>
              <w:t>其中：财政    资金</w:t>
            </w:r>
          </w:p>
        </w:tc>
        <w:tc>
          <w:tcPr>
            <w:tcW w:w="2551" w:type="dxa"/>
            <w:vAlign w:val="center"/>
          </w:tcPr>
          <w:p w14:paraId="7374501C">
            <w:pPr>
              <w:pStyle w:val="12"/>
            </w:pPr>
            <w:r>
              <w:t>6.23</w:t>
            </w:r>
          </w:p>
        </w:tc>
        <w:tc>
          <w:tcPr>
            <w:tcW w:w="2268" w:type="dxa"/>
            <w:vAlign w:val="center"/>
          </w:tcPr>
          <w:p w14:paraId="64643D5E">
            <w:pPr>
              <w:pStyle w:val="10"/>
            </w:pPr>
            <w:r>
              <w:t>其他资金</w:t>
            </w:r>
          </w:p>
        </w:tc>
        <w:tc>
          <w:tcPr>
            <w:tcW w:w="1276" w:type="dxa"/>
            <w:vAlign w:val="center"/>
          </w:tcPr>
          <w:p w14:paraId="1F0C9FCF">
            <w:pPr>
              <w:pStyle w:val="12"/>
            </w:pPr>
            <w:r>
              <w:t xml:space="preserve"> </w:t>
            </w:r>
          </w:p>
        </w:tc>
      </w:tr>
      <w:tr w14:paraId="698D6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E36BA"/>
        </w:tc>
        <w:tc>
          <w:tcPr>
            <w:tcW w:w="14033" w:type="dxa"/>
            <w:gridSpan w:val="6"/>
            <w:vAlign w:val="center"/>
          </w:tcPr>
          <w:p w14:paraId="4D5148A9">
            <w:pPr>
              <w:pStyle w:val="12"/>
            </w:pPr>
            <w:r>
              <w:t>保障学校正常运转，完成各项教育教学活动和其他日常工作任务等方面的费用支出。</w:t>
            </w:r>
          </w:p>
        </w:tc>
      </w:tr>
      <w:tr w14:paraId="5B98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2EA55">
            <w:pPr>
              <w:pStyle w:val="10"/>
            </w:pPr>
            <w:r>
              <w:t>资金支出计划（%）</w:t>
            </w:r>
          </w:p>
        </w:tc>
        <w:tc>
          <w:tcPr>
            <w:tcW w:w="5103" w:type="dxa"/>
            <w:gridSpan w:val="2"/>
            <w:vAlign w:val="center"/>
          </w:tcPr>
          <w:p w14:paraId="4899ABCF">
            <w:pPr>
              <w:pStyle w:val="10"/>
            </w:pPr>
            <w:r>
              <w:t>3月底</w:t>
            </w:r>
          </w:p>
        </w:tc>
        <w:tc>
          <w:tcPr>
            <w:tcW w:w="2835" w:type="dxa"/>
            <w:vAlign w:val="center"/>
          </w:tcPr>
          <w:p w14:paraId="4FD01A7F">
            <w:pPr>
              <w:pStyle w:val="10"/>
            </w:pPr>
            <w:r>
              <w:t>6月底</w:t>
            </w:r>
          </w:p>
        </w:tc>
        <w:tc>
          <w:tcPr>
            <w:tcW w:w="2551" w:type="dxa"/>
            <w:vAlign w:val="center"/>
          </w:tcPr>
          <w:p w14:paraId="795E7F7C">
            <w:pPr>
              <w:pStyle w:val="10"/>
            </w:pPr>
            <w:r>
              <w:t>10月底</w:t>
            </w:r>
          </w:p>
        </w:tc>
        <w:tc>
          <w:tcPr>
            <w:tcW w:w="3544" w:type="dxa"/>
            <w:gridSpan w:val="2"/>
            <w:vAlign w:val="center"/>
          </w:tcPr>
          <w:p w14:paraId="4C00A732">
            <w:pPr>
              <w:pStyle w:val="10"/>
            </w:pPr>
            <w:r>
              <w:t>12月底</w:t>
            </w:r>
          </w:p>
        </w:tc>
      </w:tr>
      <w:tr w14:paraId="4DED7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2BEDA"/>
        </w:tc>
        <w:tc>
          <w:tcPr>
            <w:tcW w:w="5103" w:type="dxa"/>
            <w:gridSpan w:val="2"/>
            <w:vAlign w:val="center"/>
          </w:tcPr>
          <w:p w14:paraId="3BA77F02">
            <w:pPr>
              <w:pStyle w:val="13"/>
            </w:pPr>
            <w:r>
              <w:t>25%</w:t>
            </w:r>
          </w:p>
        </w:tc>
        <w:tc>
          <w:tcPr>
            <w:tcW w:w="2835" w:type="dxa"/>
            <w:vAlign w:val="center"/>
          </w:tcPr>
          <w:p w14:paraId="48E85CD9">
            <w:pPr>
              <w:pStyle w:val="13"/>
            </w:pPr>
            <w:r>
              <w:t>50%</w:t>
            </w:r>
          </w:p>
        </w:tc>
        <w:tc>
          <w:tcPr>
            <w:tcW w:w="2551" w:type="dxa"/>
            <w:vAlign w:val="center"/>
          </w:tcPr>
          <w:p w14:paraId="7DA851EF">
            <w:pPr>
              <w:pStyle w:val="13"/>
            </w:pPr>
            <w:r>
              <w:t>75%</w:t>
            </w:r>
          </w:p>
        </w:tc>
        <w:tc>
          <w:tcPr>
            <w:tcW w:w="3544" w:type="dxa"/>
            <w:gridSpan w:val="2"/>
            <w:vAlign w:val="center"/>
          </w:tcPr>
          <w:p w14:paraId="4B3F07B9">
            <w:pPr>
              <w:pStyle w:val="13"/>
            </w:pPr>
            <w:r>
              <w:t>100%</w:t>
            </w:r>
          </w:p>
        </w:tc>
      </w:tr>
      <w:tr w14:paraId="3970A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8EA54">
            <w:pPr>
              <w:pStyle w:val="10"/>
            </w:pPr>
            <w:r>
              <w:t>绩效目标</w:t>
            </w:r>
          </w:p>
        </w:tc>
        <w:tc>
          <w:tcPr>
            <w:tcW w:w="14033" w:type="dxa"/>
            <w:gridSpan w:val="6"/>
            <w:vAlign w:val="center"/>
          </w:tcPr>
          <w:p w14:paraId="00E33EB9">
            <w:pPr>
              <w:pStyle w:val="12"/>
            </w:pPr>
            <w:r>
              <w:t>1.按季度分批次拨付公用经费资金，资金拨付率达到100%。</w:t>
            </w:r>
          </w:p>
          <w:p w14:paraId="6ED52771">
            <w:pPr>
              <w:pStyle w:val="12"/>
            </w:pPr>
            <w:r>
              <w:t>2.保障学校正常运转，完成各项教育教学活动和其他日常工作任务等方面的费用支出。</w:t>
            </w:r>
          </w:p>
        </w:tc>
      </w:tr>
    </w:tbl>
    <w:p w14:paraId="2FE070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7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9546C">
            <w:pPr>
              <w:pStyle w:val="10"/>
            </w:pPr>
            <w:r>
              <w:t>一级指标</w:t>
            </w:r>
          </w:p>
        </w:tc>
        <w:tc>
          <w:tcPr>
            <w:tcW w:w="2268" w:type="dxa"/>
            <w:vAlign w:val="center"/>
          </w:tcPr>
          <w:p w14:paraId="2E28FAAA">
            <w:pPr>
              <w:pStyle w:val="10"/>
            </w:pPr>
            <w:r>
              <w:t>二级指标</w:t>
            </w:r>
          </w:p>
        </w:tc>
        <w:tc>
          <w:tcPr>
            <w:tcW w:w="2835" w:type="dxa"/>
            <w:vAlign w:val="center"/>
          </w:tcPr>
          <w:p w14:paraId="40558EDF">
            <w:pPr>
              <w:pStyle w:val="10"/>
            </w:pPr>
            <w:r>
              <w:t>三级指标</w:t>
            </w:r>
          </w:p>
        </w:tc>
        <w:tc>
          <w:tcPr>
            <w:tcW w:w="5386" w:type="dxa"/>
            <w:vAlign w:val="center"/>
          </w:tcPr>
          <w:p w14:paraId="39F78FB1">
            <w:pPr>
              <w:pStyle w:val="10"/>
            </w:pPr>
            <w:r>
              <w:t>绩效指标描述</w:t>
            </w:r>
          </w:p>
        </w:tc>
        <w:tc>
          <w:tcPr>
            <w:tcW w:w="2268" w:type="dxa"/>
            <w:vAlign w:val="center"/>
          </w:tcPr>
          <w:p w14:paraId="75CCCE68">
            <w:pPr>
              <w:pStyle w:val="10"/>
            </w:pPr>
            <w:r>
              <w:t>指标值</w:t>
            </w:r>
          </w:p>
        </w:tc>
        <w:tc>
          <w:tcPr>
            <w:tcW w:w="1276" w:type="dxa"/>
            <w:vAlign w:val="center"/>
          </w:tcPr>
          <w:p w14:paraId="4A60860C">
            <w:pPr>
              <w:pStyle w:val="10"/>
            </w:pPr>
            <w:r>
              <w:t>指标值确定依据</w:t>
            </w:r>
          </w:p>
        </w:tc>
      </w:tr>
      <w:tr w14:paraId="4EB9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CBC61">
            <w:pPr>
              <w:pStyle w:val="13"/>
            </w:pPr>
            <w:r>
              <w:t>产出指标</w:t>
            </w:r>
          </w:p>
        </w:tc>
        <w:tc>
          <w:tcPr>
            <w:tcW w:w="2268" w:type="dxa"/>
            <w:vAlign w:val="center"/>
          </w:tcPr>
          <w:p w14:paraId="00E696F5">
            <w:pPr>
              <w:pStyle w:val="12"/>
            </w:pPr>
            <w:r>
              <w:t>数量指标</w:t>
            </w:r>
          </w:p>
        </w:tc>
        <w:tc>
          <w:tcPr>
            <w:tcW w:w="2835" w:type="dxa"/>
            <w:vAlign w:val="center"/>
          </w:tcPr>
          <w:p w14:paraId="00E76827">
            <w:pPr>
              <w:pStyle w:val="12"/>
            </w:pPr>
            <w:r>
              <w:t>就读学生数</w:t>
            </w:r>
          </w:p>
        </w:tc>
        <w:tc>
          <w:tcPr>
            <w:tcW w:w="5386" w:type="dxa"/>
            <w:vAlign w:val="center"/>
          </w:tcPr>
          <w:p w14:paraId="108C580F">
            <w:pPr>
              <w:pStyle w:val="12"/>
            </w:pPr>
            <w:r>
              <w:t>辐射区域内适龄学生人数</w:t>
            </w:r>
          </w:p>
        </w:tc>
        <w:tc>
          <w:tcPr>
            <w:tcW w:w="2268" w:type="dxa"/>
            <w:vAlign w:val="center"/>
          </w:tcPr>
          <w:p w14:paraId="13DD0603">
            <w:pPr>
              <w:pStyle w:val="12"/>
            </w:pPr>
            <w:r>
              <w:t>586人</w:t>
            </w:r>
          </w:p>
        </w:tc>
        <w:tc>
          <w:tcPr>
            <w:tcW w:w="1276" w:type="dxa"/>
            <w:vAlign w:val="center"/>
          </w:tcPr>
          <w:p w14:paraId="7711E7F8">
            <w:pPr>
              <w:pStyle w:val="12"/>
            </w:pPr>
            <w:r>
              <w:t>城乡义务教育公用经费管理办法</w:t>
            </w:r>
          </w:p>
        </w:tc>
      </w:tr>
      <w:tr w14:paraId="5FC1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6BE8A"/>
        </w:tc>
        <w:tc>
          <w:tcPr>
            <w:tcW w:w="2268" w:type="dxa"/>
            <w:vAlign w:val="center"/>
          </w:tcPr>
          <w:p w14:paraId="6F888A8C">
            <w:pPr>
              <w:pStyle w:val="12"/>
            </w:pPr>
            <w:r>
              <w:t>质量指标</w:t>
            </w:r>
          </w:p>
        </w:tc>
        <w:tc>
          <w:tcPr>
            <w:tcW w:w="2835" w:type="dxa"/>
            <w:vAlign w:val="center"/>
          </w:tcPr>
          <w:p w14:paraId="47500F76">
            <w:pPr>
              <w:pStyle w:val="12"/>
            </w:pPr>
            <w:r>
              <w:t>预算执行率</w:t>
            </w:r>
          </w:p>
        </w:tc>
        <w:tc>
          <w:tcPr>
            <w:tcW w:w="5386" w:type="dxa"/>
            <w:vAlign w:val="center"/>
          </w:tcPr>
          <w:p w14:paraId="3CC7FB3C">
            <w:pPr>
              <w:pStyle w:val="12"/>
            </w:pPr>
            <w:r>
              <w:t>预算执行率</w:t>
            </w:r>
          </w:p>
        </w:tc>
        <w:tc>
          <w:tcPr>
            <w:tcW w:w="2268" w:type="dxa"/>
            <w:vAlign w:val="center"/>
          </w:tcPr>
          <w:p w14:paraId="3A561A7C">
            <w:pPr>
              <w:pStyle w:val="12"/>
            </w:pPr>
            <w:r>
              <w:t>≥95%</w:t>
            </w:r>
          </w:p>
        </w:tc>
        <w:tc>
          <w:tcPr>
            <w:tcW w:w="1276" w:type="dxa"/>
            <w:vAlign w:val="center"/>
          </w:tcPr>
          <w:p w14:paraId="0DADE845">
            <w:pPr>
              <w:pStyle w:val="12"/>
            </w:pPr>
            <w:r>
              <w:t>城乡义务教育公用经费管理办法</w:t>
            </w:r>
          </w:p>
        </w:tc>
      </w:tr>
      <w:tr w14:paraId="6A0F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C04CE"/>
        </w:tc>
        <w:tc>
          <w:tcPr>
            <w:tcW w:w="2268" w:type="dxa"/>
            <w:vAlign w:val="center"/>
          </w:tcPr>
          <w:p w14:paraId="09013E2B">
            <w:pPr>
              <w:pStyle w:val="12"/>
            </w:pPr>
            <w:r>
              <w:t>时效指标</w:t>
            </w:r>
          </w:p>
        </w:tc>
        <w:tc>
          <w:tcPr>
            <w:tcW w:w="2835" w:type="dxa"/>
            <w:vAlign w:val="center"/>
          </w:tcPr>
          <w:p w14:paraId="77E27A01">
            <w:pPr>
              <w:pStyle w:val="12"/>
            </w:pPr>
            <w:r>
              <w:t>义教经费支付完成率</w:t>
            </w:r>
          </w:p>
        </w:tc>
        <w:tc>
          <w:tcPr>
            <w:tcW w:w="5386" w:type="dxa"/>
            <w:vAlign w:val="center"/>
          </w:tcPr>
          <w:p w14:paraId="1C6B198D">
            <w:pPr>
              <w:pStyle w:val="12"/>
            </w:pPr>
            <w:r>
              <w:t>按照序时进度完成资金支付</w:t>
            </w:r>
          </w:p>
        </w:tc>
        <w:tc>
          <w:tcPr>
            <w:tcW w:w="2268" w:type="dxa"/>
            <w:vAlign w:val="center"/>
          </w:tcPr>
          <w:p w14:paraId="37369F2C">
            <w:pPr>
              <w:pStyle w:val="12"/>
            </w:pPr>
            <w:r>
              <w:t>100%</w:t>
            </w:r>
          </w:p>
        </w:tc>
        <w:tc>
          <w:tcPr>
            <w:tcW w:w="1276" w:type="dxa"/>
            <w:vAlign w:val="center"/>
          </w:tcPr>
          <w:p w14:paraId="7AAA58A5">
            <w:pPr>
              <w:pStyle w:val="12"/>
            </w:pPr>
            <w:r>
              <w:t>城乡义务教育公用经费管理办法</w:t>
            </w:r>
          </w:p>
        </w:tc>
      </w:tr>
      <w:tr w14:paraId="5DEC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8DC62"/>
        </w:tc>
        <w:tc>
          <w:tcPr>
            <w:tcW w:w="2268" w:type="dxa"/>
            <w:vAlign w:val="center"/>
          </w:tcPr>
          <w:p w14:paraId="32BCA76D">
            <w:pPr>
              <w:pStyle w:val="12"/>
            </w:pPr>
            <w:r>
              <w:t>成本指标</w:t>
            </w:r>
          </w:p>
        </w:tc>
        <w:tc>
          <w:tcPr>
            <w:tcW w:w="2835" w:type="dxa"/>
            <w:vAlign w:val="center"/>
          </w:tcPr>
          <w:p w14:paraId="26CC335A">
            <w:pPr>
              <w:pStyle w:val="12"/>
            </w:pPr>
            <w:r>
              <w:t>生均拨款标准</w:t>
            </w:r>
          </w:p>
        </w:tc>
        <w:tc>
          <w:tcPr>
            <w:tcW w:w="5386" w:type="dxa"/>
            <w:vAlign w:val="center"/>
          </w:tcPr>
          <w:p w14:paraId="6FCC366F">
            <w:pPr>
              <w:pStyle w:val="12"/>
            </w:pPr>
            <w:r>
              <w:t>小学生公用经费生均公用经费基准定额为720元/年/生，取暖费120元/年/生，住宿生补助300元/年/生的标准，随班就读学生补助7000元/生/年</w:t>
            </w:r>
          </w:p>
        </w:tc>
        <w:tc>
          <w:tcPr>
            <w:tcW w:w="2268" w:type="dxa"/>
            <w:vAlign w:val="center"/>
          </w:tcPr>
          <w:p w14:paraId="14D0C094">
            <w:pPr>
              <w:pStyle w:val="12"/>
            </w:pPr>
            <w:r>
              <w:t>840元</w:t>
            </w:r>
          </w:p>
        </w:tc>
        <w:tc>
          <w:tcPr>
            <w:tcW w:w="1276" w:type="dxa"/>
            <w:vAlign w:val="center"/>
          </w:tcPr>
          <w:p w14:paraId="7915B8A3">
            <w:pPr>
              <w:pStyle w:val="12"/>
            </w:pPr>
            <w:r>
              <w:t>城乡义务教育公用经费管理办法</w:t>
            </w:r>
          </w:p>
        </w:tc>
      </w:tr>
      <w:tr w14:paraId="634F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6C81D">
            <w:pPr>
              <w:pStyle w:val="13"/>
            </w:pPr>
            <w:r>
              <w:t>效益指标</w:t>
            </w:r>
          </w:p>
        </w:tc>
        <w:tc>
          <w:tcPr>
            <w:tcW w:w="2268" w:type="dxa"/>
            <w:vAlign w:val="center"/>
          </w:tcPr>
          <w:p w14:paraId="2CF45985">
            <w:pPr>
              <w:pStyle w:val="12"/>
            </w:pPr>
            <w:r>
              <w:t>可持续影响指标</w:t>
            </w:r>
          </w:p>
        </w:tc>
        <w:tc>
          <w:tcPr>
            <w:tcW w:w="2835" w:type="dxa"/>
            <w:vAlign w:val="center"/>
          </w:tcPr>
          <w:p w14:paraId="314F8656">
            <w:pPr>
              <w:pStyle w:val="12"/>
            </w:pPr>
            <w:r>
              <w:t>学校运转得到提高</w:t>
            </w:r>
          </w:p>
        </w:tc>
        <w:tc>
          <w:tcPr>
            <w:tcW w:w="5386" w:type="dxa"/>
            <w:vAlign w:val="center"/>
          </w:tcPr>
          <w:p w14:paraId="4D5AC176">
            <w:pPr>
              <w:pStyle w:val="12"/>
            </w:pPr>
            <w:r>
              <w:t>学生受教育年限</w:t>
            </w:r>
          </w:p>
        </w:tc>
        <w:tc>
          <w:tcPr>
            <w:tcW w:w="2268" w:type="dxa"/>
            <w:vAlign w:val="center"/>
          </w:tcPr>
          <w:p w14:paraId="577B1CBF">
            <w:pPr>
              <w:pStyle w:val="12"/>
            </w:pPr>
            <w:r>
              <w:t>6年</w:t>
            </w:r>
          </w:p>
        </w:tc>
        <w:tc>
          <w:tcPr>
            <w:tcW w:w="1276" w:type="dxa"/>
            <w:vAlign w:val="center"/>
          </w:tcPr>
          <w:p w14:paraId="1C33707F">
            <w:pPr>
              <w:pStyle w:val="12"/>
            </w:pPr>
            <w:r>
              <w:t>城乡义务教育公用经费管理办法</w:t>
            </w:r>
          </w:p>
        </w:tc>
      </w:tr>
      <w:tr w14:paraId="1A7B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54883">
            <w:pPr>
              <w:pStyle w:val="13"/>
            </w:pPr>
            <w:r>
              <w:t>满意度指标</w:t>
            </w:r>
          </w:p>
        </w:tc>
        <w:tc>
          <w:tcPr>
            <w:tcW w:w="2268" w:type="dxa"/>
            <w:vAlign w:val="center"/>
          </w:tcPr>
          <w:p w14:paraId="04AB0E0F">
            <w:pPr>
              <w:pStyle w:val="12"/>
            </w:pPr>
            <w:r>
              <w:t>服务对象满意度指标</w:t>
            </w:r>
          </w:p>
        </w:tc>
        <w:tc>
          <w:tcPr>
            <w:tcW w:w="2835" w:type="dxa"/>
            <w:vAlign w:val="center"/>
          </w:tcPr>
          <w:p w14:paraId="20FD7D60">
            <w:pPr>
              <w:pStyle w:val="12"/>
            </w:pPr>
            <w:r>
              <w:t>服务对象满意度</w:t>
            </w:r>
          </w:p>
        </w:tc>
        <w:tc>
          <w:tcPr>
            <w:tcW w:w="5386" w:type="dxa"/>
            <w:vAlign w:val="center"/>
          </w:tcPr>
          <w:p w14:paraId="46E6E386">
            <w:pPr>
              <w:pStyle w:val="12"/>
            </w:pPr>
            <w:r>
              <w:t>学校老师和学生满意度</w:t>
            </w:r>
          </w:p>
        </w:tc>
        <w:tc>
          <w:tcPr>
            <w:tcW w:w="2268" w:type="dxa"/>
            <w:vAlign w:val="center"/>
          </w:tcPr>
          <w:p w14:paraId="6E924A78">
            <w:pPr>
              <w:pStyle w:val="12"/>
            </w:pPr>
            <w:r>
              <w:t>≥95%</w:t>
            </w:r>
          </w:p>
        </w:tc>
        <w:tc>
          <w:tcPr>
            <w:tcW w:w="1276" w:type="dxa"/>
            <w:vAlign w:val="center"/>
          </w:tcPr>
          <w:p w14:paraId="4CB13853">
            <w:pPr>
              <w:pStyle w:val="12"/>
            </w:pPr>
            <w:r>
              <w:t>群众测评</w:t>
            </w:r>
          </w:p>
        </w:tc>
      </w:tr>
    </w:tbl>
    <w:p w14:paraId="17027878">
      <w:pPr>
        <w:sectPr>
          <w:pgSz w:w="16840" w:h="11900" w:orient="landscape"/>
          <w:pgMar w:top="1361" w:right="1020" w:bottom="1134" w:left="1020" w:header="720" w:footer="720" w:gutter="0"/>
          <w:cols w:space="720" w:num="1"/>
        </w:sectPr>
      </w:pPr>
    </w:p>
    <w:p w14:paraId="65B67BA9">
      <w:pPr>
        <w:spacing w:before="0" w:after="0"/>
        <w:ind w:firstLine="560"/>
        <w:jc w:val="left"/>
        <w:outlineLvl w:val="9"/>
      </w:pPr>
      <w:r>
        <w:rPr>
          <w:rFonts w:ascii="方正仿宋_GBK" w:hAnsi="方正仿宋_GBK" w:eastAsia="方正仿宋_GBK" w:cs="方正仿宋_GBK"/>
          <w:b/>
          <w:color w:val="000000"/>
          <w:sz w:val="28"/>
        </w:rPr>
        <w:t>38、县级资金/2024年尹村校区学前教育公用经费绩效目标表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1A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BBDC5">
            <w:pPr>
              <w:pStyle w:val="11"/>
            </w:pPr>
            <w:r>
              <w:t>单位：万元</w:t>
            </w:r>
          </w:p>
        </w:tc>
      </w:tr>
      <w:tr w14:paraId="09C5F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66F50">
            <w:pPr>
              <w:pStyle w:val="10"/>
            </w:pPr>
            <w:r>
              <w:t>项目编码</w:t>
            </w:r>
          </w:p>
        </w:tc>
        <w:tc>
          <w:tcPr>
            <w:tcW w:w="5103" w:type="dxa"/>
            <w:gridSpan w:val="2"/>
            <w:vAlign w:val="center"/>
          </w:tcPr>
          <w:p w14:paraId="1A100C27">
            <w:pPr>
              <w:pStyle w:val="12"/>
            </w:pPr>
            <w:r>
              <w:t>13052526P00875710137L</w:t>
            </w:r>
          </w:p>
        </w:tc>
        <w:tc>
          <w:tcPr>
            <w:tcW w:w="2835" w:type="dxa"/>
            <w:vAlign w:val="center"/>
          </w:tcPr>
          <w:p w14:paraId="740F5175">
            <w:pPr>
              <w:pStyle w:val="10"/>
            </w:pPr>
            <w:r>
              <w:t>项目名称</w:t>
            </w:r>
          </w:p>
        </w:tc>
        <w:tc>
          <w:tcPr>
            <w:tcW w:w="6095" w:type="dxa"/>
            <w:gridSpan w:val="3"/>
            <w:vAlign w:val="center"/>
          </w:tcPr>
          <w:p w14:paraId="60624813">
            <w:pPr>
              <w:pStyle w:val="12"/>
            </w:pPr>
            <w:r>
              <w:t>县级资金/2024年尹村校区学前教育公用经费</w:t>
            </w:r>
          </w:p>
        </w:tc>
      </w:tr>
      <w:tr w14:paraId="61F96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745A9">
            <w:pPr>
              <w:pStyle w:val="10"/>
            </w:pPr>
            <w:r>
              <w:t>预算规模及资金用途</w:t>
            </w:r>
          </w:p>
        </w:tc>
        <w:tc>
          <w:tcPr>
            <w:tcW w:w="2268" w:type="dxa"/>
            <w:vAlign w:val="center"/>
          </w:tcPr>
          <w:p w14:paraId="09A57B40">
            <w:pPr>
              <w:pStyle w:val="10"/>
            </w:pPr>
            <w:r>
              <w:t>预算数</w:t>
            </w:r>
          </w:p>
        </w:tc>
        <w:tc>
          <w:tcPr>
            <w:tcW w:w="2835" w:type="dxa"/>
            <w:vAlign w:val="center"/>
          </w:tcPr>
          <w:p w14:paraId="76603867">
            <w:pPr>
              <w:pStyle w:val="12"/>
            </w:pPr>
            <w:r>
              <w:t>48.53</w:t>
            </w:r>
          </w:p>
        </w:tc>
        <w:tc>
          <w:tcPr>
            <w:tcW w:w="2835" w:type="dxa"/>
            <w:vAlign w:val="center"/>
          </w:tcPr>
          <w:p w14:paraId="784721F0">
            <w:pPr>
              <w:pStyle w:val="10"/>
            </w:pPr>
            <w:r>
              <w:t>其中：财政    资金</w:t>
            </w:r>
          </w:p>
        </w:tc>
        <w:tc>
          <w:tcPr>
            <w:tcW w:w="2551" w:type="dxa"/>
            <w:vAlign w:val="center"/>
          </w:tcPr>
          <w:p w14:paraId="29E1F54C">
            <w:pPr>
              <w:pStyle w:val="12"/>
            </w:pPr>
            <w:r>
              <w:t>48.53</w:t>
            </w:r>
          </w:p>
        </w:tc>
        <w:tc>
          <w:tcPr>
            <w:tcW w:w="2268" w:type="dxa"/>
            <w:vAlign w:val="center"/>
          </w:tcPr>
          <w:p w14:paraId="7ABCF553">
            <w:pPr>
              <w:pStyle w:val="10"/>
            </w:pPr>
            <w:r>
              <w:t>其他资金</w:t>
            </w:r>
          </w:p>
        </w:tc>
        <w:tc>
          <w:tcPr>
            <w:tcW w:w="1276" w:type="dxa"/>
            <w:vAlign w:val="center"/>
          </w:tcPr>
          <w:p w14:paraId="5F40FF67">
            <w:pPr>
              <w:pStyle w:val="12"/>
            </w:pPr>
            <w:r>
              <w:t xml:space="preserve"> </w:t>
            </w:r>
          </w:p>
        </w:tc>
      </w:tr>
      <w:tr w14:paraId="4F526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F5F9F"/>
        </w:tc>
        <w:tc>
          <w:tcPr>
            <w:tcW w:w="14033" w:type="dxa"/>
            <w:gridSpan w:val="6"/>
            <w:vAlign w:val="center"/>
          </w:tcPr>
          <w:p w14:paraId="16B9732B">
            <w:pPr>
              <w:pStyle w:val="12"/>
            </w:pPr>
            <w:r>
              <w:t xml:space="preserve"> 保障幼儿园正常运转，完成教育教学活动和其他日常工作任务等方面的费用支出。</w:t>
            </w:r>
          </w:p>
        </w:tc>
      </w:tr>
      <w:tr w14:paraId="73CB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16D14">
            <w:pPr>
              <w:pStyle w:val="10"/>
            </w:pPr>
            <w:r>
              <w:t>资金支出计划（%）</w:t>
            </w:r>
          </w:p>
        </w:tc>
        <w:tc>
          <w:tcPr>
            <w:tcW w:w="5103" w:type="dxa"/>
            <w:gridSpan w:val="2"/>
            <w:vAlign w:val="center"/>
          </w:tcPr>
          <w:p w14:paraId="70F47CE9">
            <w:pPr>
              <w:pStyle w:val="10"/>
            </w:pPr>
            <w:r>
              <w:t>3月底</w:t>
            </w:r>
          </w:p>
        </w:tc>
        <w:tc>
          <w:tcPr>
            <w:tcW w:w="2835" w:type="dxa"/>
            <w:vAlign w:val="center"/>
          </w:tcPr>
          <w:p w14:paraId="5B8B8129">
            <w:pPr>
              <w:pStyle w:val="10"/>
            </w:pPr>
            <w:r>
              <w:t>6月底</w:t>
            </w:r>
          </w:p>
        </w:tc>
        <w:tc>
          <w:tcPr>
            <w:tcW w:w="2551" w:type="dxa"/>
            <w:vAlign w:val="center"/>
          </w:tcPr>
          <w:p w14:paraId="4125E618">
            <w:pPr>
              <w:pStyle w:val="10"/>
            </w:pPr>
            <w:r>
              <w:t>10月底</w:t>
            </w:r>
          </w:p>
        </w:tc>
        <w:tc>
          <w:tcPr>
            <w:tcW w:w="3544" w:type="dxa"/>
            <w:gridSpan w:val="2"/>
            <w:vAlign w:val="center"/>
          </w:tcPr>
          <w:p w14:paraId="733E8C0A">
            <w:pPr>
              <w:pStyle w:val="10"/>
            </w:pPr>
            <w:r>
              <w:t>12月底</w:t>
            </w:r>
          </w:p>
        </w:tc>
      </w:tr>
      <w:tr w14:paraId="0E3AD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2B632"/>
        </w:tc>
        <w:tc>
          <w:tcPr>
            <w:tcW w:w="5103" w:type="dxa"/>
            <w:gridSpan w:val="2"/>
            <w:vAlign w:val="center"/>
          </w:tcPr>
          <w:p w14:paraId="4488BF22">
            <w:pPr>
              <w:pStyle w:val="13"/>
            </w:pPr>
            <w:r>
              <w:t>25%</w:t>
            </w:r>
          </w:p>
        </w:tc>
        <w:tc>
          <w:tcPr>
            <w:tcW w:w="2835" w:type="dxa"/>
            <w:vAlign w:val="center"/>
          </w:tcPr>
          <w:p w14:paraId="68985F1D">
            <w:pPr>
              <w:pStyle w:val="13"/>
            </w:pPr>
            <w:r>
              <w:t>50%</w:t>
            </w:r>
          </w:p>
        </w:tc>
        <w:tc>
          <w:tcPr>
            <w:tcW w:w="2551" w:type="dxa"/>
            <w:vAlign w:val="center"/>
          </w:tcPr>
          <w:p w14:paraId="7A998159">
            <w:pPr>
              <w:pStyle w:val="13"/>
            </w:pPr>
            <w:r>
              <w:t>75%</w:t>
            </w:r>
          </w:p>
        </w:tc>
        <w:tc>
          <w:tcPr>
            <w:tcW w:w="3544" w:type="dxa"/>
            <w:gridSpan w:val="2"/>
            <w:vAlign w:val="center"/>
          </w:tcPr>
          <w:p w14:paraId="404D69FD">
            <w:pPr>
              <w:pStyle w:val="13"/>
            </w:pPr>
            <w:r>
              <w:t>100%</w:t>
            </w:r>
          </w:p>
        </w:tc>
      </w:tr>
      <w:tr w14:paraId="66FF7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B8540">
            <w:pPr>
              <w:pStyle w:val="10"/>
            </w:pPr>
            <w:r>
              <w:t>绩效目标</w:t>
            </w:r>
          </w:p>
        </w:tc>
        <w:tc>
          <w:tcPr>
            <w:tcW w:w="14033" w:type="dxa"/>
            <w:gridSpan w:val="6"/>
            <w:vAlign w:val="center"/>
          </w:tcPr>
          <w:p w14:paraId="5F02E962">
            <w:pPr>
              <w:pStyle w:val="12"/>
            </w:pPr>
            <w:r>
              <w:t>1.按季度分批次拨付公用经费资金，资金拨付率达到100%。</w:t>
            </w:r>
            <w:r>
              <w:tab/>
            </w:r>
            <w:r>
              <w:tab/>
            </w:r>
          </w:p>
          <w:p w14:paraId="409D301B">
            <w:pPr>
              <w:pStyle w:val="12"/>
            </w:pPr>
            <w:r>
              <w:t>2. 保障幼儿园正常运转，完成教育教学活动和其他日常工作任务等方面的费用支出。</w:t>
            </w:r>
            <w:r>
              <w:tab/>
            </w:r>
            <w:r>
              <w:tab/>
            </w:r>
          </w:p>
        </w:tc>
      </w:tr>
    </w:tbl>
    <w:p w14:paraId="3B62B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E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F1E96">
            <w:pPr>
              <w:pStyle w:val="10"/>
            </w:pPr>
            <w:r>
              <w:t>一级指标</w:t>
            </w:r>
          </w:p>
        </w:tc>
        <w:tc>
          <w:tcPr>
            <w:tcW w:w="2268" w:type="dxa"/>
            <w:vAlign w:val="center"/>
          </w:tcPr>
          <w:p w14:paraId="3ADBA873">
            <w:pPr>
              <w:pStyle w:val="10"/>
            </w:pPr>
            <w:r>
              <w:t>二级指标</w:t>
            </w:r>
          </w:p>
        </w:tc>
        <w:tc>
          <w:tcPr>
            <w:tcW w:w="2835" w:type="dxa"/>
            <w:vAlign w:val="center"/>
          </w:tcPr>
          <w:p w14:paraId="6D839807">
            <w:pPr>
              <w:pStyle w:val="10"/>
            </w:pPr>
            <w:r>
              <w:t>三级指标</w:t>
            </w:r>
          </w:p>
        </w:tc>
        <w:tc>
          <w:tcPr>
            <w:tcW w:w="5386" w:type="dxa"/>
            <w:vAlign w:val="center"/>
          </w:tcPr>
          <w:p w14:paraId="720543C4">
            <w:pPr>
              <w:pStyle w:val="10"/>
            </w:pPr>
            <w:r>
              <w:t>绩效指标描述</w:t>
            </w:r>
          </w:p>
        </w:tc>
        <w:tc>
          <w:tcPr>
            <w:tcW w:w="2268" w:type="dxa"/>
            <w:vAlign w:val="center"/>
          </w:tcPr>
          <w:p w14:paraId="73E6858C">
            <w:pPr>
              <w:pStyle w:val="10"/>
            </w:pPr>
            <w:r>
              <w:t>指标值</w:t>
            </w:r>
          </w:p>
        </w:tc>
        <w:tc>
          <w:tcPr>
            <w:tcW w:w="1276" w:type="dxa"/>
            <w:vAlign w:val="center"/>
          </w:tcPr>
          <w:p w14:paraId="5AD9E2F9">
            <w:pPr>
              <w:pStyle w:val="10"/>
            </w:pPr>
            <w:r>
              <w:t>指标值确定依据</w:t>
            </w:r>
          </w:p>
        </w:tc>
      </w:tr>
      <w:tr w14:paraId="217E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F4AA3">
            <w:pPr>
              <w:pStyle w:val="13"/>
            </w:pPr>
            <w:r>
              <w:t>产出指标</w:t>
            </w:r>
          </w:p>
        </w:tc>
        <w:tc>
          <w:tcPr>
            <w:tcW w:w="2268" w:type="dxa"/>
            <w:vAlign w:val="center"/>
          </w:tcPr>
          <w:p w14:paraId="7DD355E9">
            <w:pPr>
              <w:pStyle w:val="12"/>
            </w:pPr>
            <w:r>
              <w:t>数量指标</w:t>
            </w:r>
          </w:p>
        </w:tc>
        <w:tc>
          <w:tcPr>
            <w:tcW w:w="2835" w:type="dxa"/>
            <w:vAlign w:val="center"/>
          </w:tcPr>
          <w:p w14:paraId="63D6E88E">
            <w:pPr>
              <w:pStyle w:val="12"/>
            </w:pPr>
            <w:r>
              <w:t>适龄在园生</w:t>
            </w:r>
          </w:p>
        </w:tc>
        <w:tc>
          <w:tcPr>
            <w:tcW w:w="5386" w:type="dxa"/>
            <w:vAlign w:val="center"/>
          </w:tcPr>
          <w:p w14:paraId="32F3F801">
            <w:pPr>
              <w:pStyle w:val="12"/>
            </w:pPr>
            <w:r>
              <w:t>适龄在园学生人数</w:t>
            </w:r>
          </w:p>
        </w:tc>
        <w:tc>
          <w:tcPr>
            <w:tcW w:w="2268" w:type="dxa"/>
            <w:vAlign w:val="center"/>
          </w:tcPr>
          <w:p w14:paraId="599A626B">
            <w:pPr>
              <w:pStyle w:val="12"/>
            </w:pPr>
            <w:r>
              <w:t>1192人</w:t>
            </w:r>
          </w:p>
        </w:tc>
        <w:tc>
          <w:tcPr>
            <w:tcW w:w="1276" w:type="dxa"/>
            <w:vAlign w:val="center"/>
          </w:tcPr>
          <w:p w14:paraId="248EAB37">
            <w:pPr>
              <w:pStyle w:val="12"/>
            </w:pPr>
            <w:r>
              <w:t>学前公用经费管理办法</w:t>
            </w:r>
          </w:p>
        </w:tc>
      </w:tr>
      <w:tr w14:paraId="6389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B9534"/>
        </w:tc>
        <w:tc>
          <w:tcPr>
            <w:tcW w:w="2268" w:type="dxa"/>
            <w:vAlign w:val="center"/>
          </w:tcPr>
          <w:p w14:paraId="01D42D0C">
            <w:pPr>
              <w:pStyle w:val="12"/>
            </w:pPr>
            <w:r>
              <w:t>质量指标</w:t>
            </w:r>
          </w:p>
        </w:tc>
        <w:tc>
          <w:tcPr>
            <w:tcW w:w="2835" w:type="dxa"/>
            <w:vAlign w:val="center"/>
          </w:tcPr>
          <w:p w14:paraId="1D8BD442">
            <w:pPr>
              <w:pStyle w:val="12"/>
            </w:pPr>
            <w:r>
              <w:t>预算控制率</w:t>
            </w:r>
          </w:p>
        </w:tc>
        <w:tc>
          <w:tcPr>
            <w:tcW w:w="5386" w:type="dxa"/>
            <w:vAlign w:val="center"/>
          </w:tcPr>
          <w:p w14:paraId="72078509">
            <w:pPr>
              <w:pStyle w:val="12"/>
            </w:pPr>
            <w:r>
              <w:t>预算执行</w:t>
            </w:r>
          </w:p>
        </w:tc>
        <w:tc>
          <w:tcPr>
            <w:tcW w:w="2268" w:type="dxa"/>
            <w:vAlign w:val="center"/>
          </w:tcPr>
          <w:p w14:paraId="47614816">
            <w:pPr>
              <w:pStyle w:val="12"/>
            </w:pPr>
            <w:r>
              <w:t>≥95%</w:t>
            </w:r>
          </w:p>
        </w:tc>
        <w:tc>
          <w:tcPr>
            <w:tcW w:w="1276" w:type="dxa"/>
            <w:vAlign w:val="center"/>
          </w:tcPr>
          <w:p w14:paraId="4210BA27">
            <w:pPr>
              <w:pStyle w:val="12"/>
            </w:pPr>
            <w:r>
              <w:t>学前公用经费管理办法</w:t>
            </w:r>
          </w:p>
        </w:tc>
      </w:tr>
      <w:tr w14:paraId="1ACD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19A8F"/>
        </w:tc>
        <w:tc>
          <w:tcPr>
            <w:tcW w:w="2268" w:type="dxa"/>
            <w:vAlign w:val="center"/>
          </w:tcPr>
          <w:p w14:paraId="52828ED2">
            <w:pPr>
              <w:pStyle w:val="12"/>
            </w:pPr>
            <w:r>
              <w:t>时效指标</w:t>
            </w:r>
          </w:p>
        </w:tc>
        <w:tc>
          <w:tcPr>
            <w:tcW w:w="2835" w:type="dxa"/>
            <w:vAlign w:val="center"/>
          </w:tcPr>
          <w:p w14:paraId="61089A84">
            <w:pPr>
              <w:pStyle w:val="12"/>
            </w:pPr>
            <w:r>
              <w:t>资金支付率</w:t>
            </w:r>
          </w:p>
        </w:tc>
        <w:tc>
          <w:tcPr>
            <w:tcW w:w="5386" w:type="dxa"/>
            <w:vAlign w:val="center"/>
          </w:tcPr>
          <w:p w14:paraId="69430480">
            <w:pPr>
              <w:pStyle w:val="12"/>
            </w:pPr>
            <w:r>
              <w:t>按照序时进度完成资金支付</w:t>
            </w:r>
          </w:p>
        </w:tc>
        <w:tc>
          <w:tcPr>
            <w:tcW w:w="2268" w:type="dxa"/>
            <w:vAlign w:val="center"/>
          </w:tcPr>
          <w:p w14:paraId="6FCE650B">
            <w:pPr>
              <w:pStyle w:val="12"/>
            </w:pPr>
            <w:r>
              <w:t>100%</w:t>
            </w:r>
          </w:p>
        </w:tc>
        <w:tc>
          <w:tcPr>
            <w:tcW w:w="1276" w:type="dxa"/>
            <w:vAlign w:val="center"/>
          </w:tcPr>
          <w:p w14:paraId="5D6BDB26">
            <w:pPr>
              <w:pStyle w:val="12"/>
            </w:pPr>
            <w:r>
              <w:t>学前公用经费管理办法</w:t>
            </w:r>
          </w:p>
        </w:tc>
      </w:tr>
      <w:tr w14:paraId="2E47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D26E6"/>
        </w:tc>
        <w:tc>
          <w:tcPr>
            <w:tcW w:w="2268" w:type="dxa"/>
            <w:vAlign w:val="center"/>
          </w:tcPr>
          <w:p w14:paraId="0D8E8A98">
            <w:pPr>
              <w:pStyle w:val="12"/>
            </w:pPr>
            <w:r>
              <w:t>成本指标</w:t>
            </w:r>
          </w:p>
        </w:tc>
        <w:tc>
          <w:tcPr>
            <w:tcW w:w="2835" w:type="dxa"/>
            <w:vAlign w:val="center"/>
          </w:tcPr>
          <w:p w14:paraId="19FD2522">
            <w:pPr>
              <w:pStyle w:val="12"/>
            </w:pPr>
            <w:r>
              <w:t>生均拨款标准</w:t>
            </w:r>
          </w:p>
        </w:tc>
        <w:tc>
          <w:tcPr>
            <w:tcW w:w="5386" w:type="dxa"/>
            <w:vAlign w:val="center"/>
          </w:tcPr>
          <w:p w14:paraId="049EEEE9">
            <w:pPr>
              <w:pStyle w:val="12"/>
            </w:pPr>
            <w:r>
              <w:t>学前：（基本标准600元/生/学年）</w:t>
            </w:r>
          </w:p>
        </w:tc>
        <w:tc>
          <w:tcPr>
            <w:tcW w:w="2268" w:type="dxa"/>
            <w:vAlign w:val="center"/>
          </w:tcPr>
          <w:p w14:paraId="3A4F5601">
            <w:pPr>
              <w:pStyle w:val="12"/>
            </w:pPr>
            <w:r>
              <w:t>600元</w:t>
            </w:r>
          </w:p>
        </w:tc>
        <w:tc>
          <w:tcPr>
            <w:tcW w:w="1276" w:type="dxa"/>
            <w:vAlign w:val="center"/>
          </w:tcPr>
          <w:p w14:paraId="23B2FF18">
            <w:pPr>
              <w:pStyle w:val="12"/>
            </w:pPr>
            <w:r>
              <w:t>学前公用经费管理办法</w:t>
            </w:r>
          </w:p>
        </w:tc>
      </w:tr>
      <w:tr w14:paraId="29E1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46F1B">
            <w:pPr>
              <w:pStyle w:val="13"/>
            </w:pPr>
            <w:r>
              <w:t>效益指标</w:t>
            </w:r>
          </w:p>
        </w:tc>
        <w:tc>
          <w:tcPr>
            <w:tcW w:w="2268" w:type="dxa"/>
            <w:vAlign w:val="center"/>
          </w:tcPr>
          <w:p w14:paraId="5B5F867C">
            <w:pPr>
              <w:pStyle w:val="12"/>
            </w:pPr>
            <w:r>
              <w:t>可持续影响指标</w:t>
            </w:r>
          </w:p>
        </w:tc>
        <w:tc>
          <w:tcPr>
            <w:tcW w:w="2835" w:type="dxa"/>
            <w:vAlign w:val="center"/>
          </w:tcPr>
          <w:p w14:paraId="41973A07">
            <w:pPr>
              <w:pStyle w:val="12"/>
            </w:pPr>
            <w:r>
              <w:t>学校运转得到提升</w:t>
            </w:r>
          </w:p>
        </w:tc>
        <w:tc>
          <w:tcPr>
            <w:tcW w:w="5386" w:type="dxa"/>
            <w:vAlign w:val="center"/>
          </w:tcPr>
          <w:p w14:paraId="3509342E">
            <w:pPr>
              <w:pStyle w:val="12"/>
            </w:pPr>
            <w:r>
              <w:t>幼儿受教育年限</w:t>
            </w:r>
          </w:p>
        </w:tc>
        <w:tc>
          <w:tcPr>
            <w:tcW w:w="2268" w:type="dxa"/>
            <w:vAlign w:val="center"/>
          </w:tcPr>
          <w:p w14:paraId="3D295644">
            <w:pPr>
              <w:pStyle w:val="12"/>
            </w:pPr>
            <w:r>
              <w:t>3年</w:t>
            </w:r>
          </w:p>
        </w:tc>
        <w:tc>
          <w:tcPr>
            <w:tcW w:w="1276" w:type="dxa"/>
            <w:vAlign w:val="center"/>
          </w:tcPr>
          <w:p w14:paraId="2068D9EB">
            <w:pPr>
              <w:pStyle w:val="12"/>
            </w:pPr>
            <w:r>
              <w:t>学前公用经费管理办法</w:t>
            </w:r>
          </w:p>
        </w:tc>
      </w:tr>
      <w:tr w14:paraId="10A7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66A93">
            <w:pPr>
              <w:pStyle w:val="13"/>
            </w:pPr>
            <w:r>
              <w:t>满意度指标</w:t>
            </w:r>
          </w:p>
        </w:tc>
        <w:tc>
          <w:tcPr>
            <w:tcW w:w="2268" w:type="dxa"/>
            <w:vAlign w:val="center"/>
          </w:tcPr>
          <w:p w14:paraId="17083B2D">
            <w:pPr>
              <w:pStyle w:val="12"/>
            </w:pPr>
            <w:r>
              <w:t>服务对象满意度指标</w:t>
            </w:r>
          </w:p>
        </w:tc>
        <w:tc>
          <w:tcPr>
            <w:tcW w:w="2835" w:type="dxa"/>
            <w:vAlign w:val="center"/>
          </w:tcPr>
          <w:p w14:paraId="517B1A55">
            <w:pPr>
              <w:pStyle w:val="12"/>
            </w:pPr>
            <w:r>
              <w:t>受益学生家长及调查满意度</w:t>
            </w:r>
          </w:p>
        </w:tc>
        <w:tc>
          <w:tcPr>
            <w:tcW w:w="5386" w:type="dxa"/>
            <w:vAlign w:val="center"/>
          </w:tcPr>
          <w:p w14:paraId="34840817">
            <w:pPr>
              <w:pStyle w:val="12"/>
            </w:pPr>
            <w:r>
              <w:t>学生、教师及家长对学校保教保育工作满意度情况</w:t>
            </w:r>
          </w:p>
        </w:tc>
        <w:tc>
          <w:tcPr>
            <w:tcW w:w="2268" w:type="dxa"/>
            <w:vAlign w:val="center"/>
          </w:tcPr>
          <w:p w14:paraId="20C9E835">
            <w:pPr>
              <w:pStyle w:val="12"/>
            </w:pPr>
            <w:r>
              <w:t>≥95%</w:t>
            </w:r>
          </w:p>
        </w:tc>
        <w:tc>
          <w:tcPr>
            <w:tcW w:w="1276" w:type="dxa"/>
            <w:vAlign w:val="center"/>
          </w:tcPr>
          <w:p w14:paraId="404E301F">
            <w:pPr>
              <w:pStyle w:val="12"/>
            </w:pPr>
            <w:r>
              <w:t>群众测评</w:t>
            </w:r>
          </w:p>
        </w:tc>
      </w:tr>
    </w:tbl>
    <w:p w14:paraId="682AAA05">
      <w:pPr>
        <w:sectPr>
          <w:pgSz w:w="16840" w:h="11900" w:orient="landscape"/>
          <w:pgMar w:top="1361" w:right="1020" w:bottom="1134" w:left="1020" w:header="720" w:footer="720" w:gutter="0"/>
          <w:cols w:space="720" w:num="1"/>
        </w:sectPr>
      </w:pPr>
    </w:p>
    <w:p w14:paraId="4FBA8141">
      <w:pPr>
        <w:spacing w:before="0" w:after="0"/>
        <w:ind w:firstLine="560"/>
        <w:jc w:val="left"/>
        <w:outlineLvl w:val="9"/>
      </w:pPr>
      <w:r>
        <w:rPr>
          <w:rFonts w:ascii="方正仿宋_GBK" w:hAnsi="方正仿宋_GBK" w:eastAsia="方正仿宋_GBK" w:cs="方正仿宋_GBK"/>
          <w:b/>
          <w:color w:val="000000"/>
          <w:sz w:val="28"/>
        </w:rPr>
        <w:t>39、县级资金/2026年尹村校区学前教育公用经费绩效目标表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DD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50B8C">
            <w:pPr>
              <w:pStyle w:val="11"/>
            </w:pPr>
            <w:r>
              <w:t>单位：万元</w:t>
            </w:r>
          </w:p>
        </w:tc>
      </w:tr>
      <w:tr w14:paraId="3AF77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B8B18">
            <w:pPr>
              <w:pStyle w:val="10"/>
            </w:pPr>
            <w:r>
              <w:t>项目编码</w:t>
            </w:r>
          </w:p>
        </w:tc>
        <w:tc>
          <w:tcPr>
            <w:tcW w:w="5103" w:type="dxa"/>
            <w:gridSpan w:val="2"/>
            <w:vAlign w:val="center"/>
          </w:tcPr>
          <w:p w14:paraId="357C8029">
            <w:pPr>
              <w:pStyle w:val="12"/>
            </w:pPr>
            <w:r>
              <w:t>13052526P00875710123A</w:t>
            </w:r>
          </w:p>
        </w:tc>
        <w:tc>
          <w:tcPr>
            <w:tcW w:w="2835" w:type="dxa"/>
            <w:vAlign w:val="center"/>
          </w:tcPr>
          <w:p w14:paraId="4B87A583">
            <w:pPr>
              <w:pStyle w:val="10"/>
            </w:pPr>
            <w:r>
              <w:t>项目名称</w:t>
            </w:r>
          </w:p>
        </w:tc>
        <w:tc>
          <w:tcPr>
            <w:tcW w:w="6095" w:type="dxa"/>
            <w:gridSpan w:val="3"/>
            <w:vAlign w:val="center"/>
          </w:tcPr>
          <w:p w14:paraId="48D84996">
            <w:pPr>
              <w:pStyle w:val="12"/>
            </w:pPr>
            <w:r>
              <w:t>县级资金/2026年尹村校区学前教育公用经费</w:t>
            </w:r>
          </w:p>
        </w:tc>
      </w:tr>
      <w:tr w14:paraId="4C3D8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140E0">
            <w:pPr>
              <w:pStyle w:val="10"/>
            </w:pPr>
            <w:r>
              <w:t>预算规模及资金用途</w:t>
            </w:r>
          </w:p>
        </w:tc>
        <w:tc>
          <w:tcPr>
            <w:tcW w:w="2268" w:type="dxa"/>
            <w:vAlign w:val="center"/>
          </w:tcPr>
          <w:p w14:paraId="5DD6EEDC">
            <w:pPr>
              <w:pStyle w:val="10"/>
            </w:pPr>
            <w:r>
              <w:t>预算数</w:t>
            </w:r>
          </w:p>
        </w:tc>
        <w:tc>
          <w:tcPr>
            <w:tcW w:w="2835" w:type="dxa"/>
            <w:vAlign w:val="center"/>
          </w:tcPr>
          <w:p w14:paraId="65AB3B74">
            <w:pPr>
              <w:pStyle w:val="12"/>
            </w:pPr>
            <w:r>
              <w:t>17.88</w:t>
            </w:r>
          </w:p>
        </w:tc>
        <w:tc>
          <w:tcPr>
            <w:tcW w:w="2835" w:type="dxa"/>
            <w:vAlign w:val="center"/>
          </w:tcPr>
          <w:p w14:paraId="02AC3F63">
            <w:pPr>
              <w:pStyle w:val="10"/>
            </w:pPr>
            <w:r>
              <w:t>其中：财政    资金</w:t>
            </w:r>
          </w:p>
        </w:tc>
        <w:tc>
          <w:tcPr>
            <w:tcW w:w="2551" w:type="dxa"/>
            <w:vAlign w:val="center"/>
          </w:tcPr>
          <w:p w14:paraId="564D1900">
            <w:pPr>
              <w:pStyle w:val="12"/>
            </w:pPr>
            <w:r>
              <w:t>17.88</w:t>
            </w:r>
          </w:p>
        </w:tc>
        <w:tc>
          <w:tcPr>
            <w:tcW w:w="2268" w:type="dxa"/>
            <w:vAlign w:val="center"/>
          </w:tcPr>
          <w:p w14:paraId="257CB763">
            <w:pPr>
              <w:pStyle w:val="10"/>
            </w:pPr>
            <w:r>
              <w:t>其他资金</w:t>
            </w:r>
          </w:p>
        </w:tc>
        <w:tc>
          <w:tcPr>
            <w:tcW w:w="1276" w:type="dxa"/>
            <w:vAlign w:val="center"/>
          </w:tcPr>
          <w:p w14:paraId="4E954DB2">
            <w:pPr>
              <w:pStyle w:val="12"/>
            </w:pPr>
            <w:r>
              <w:t xml:space="preserve"> </w:t>
            </w:r>
          </w:p>
        </w:tc>
      </w:tr>
      <w:tr w14:paraId="5CDFF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6E040"/>
        </w:tc>
        <w:tc>
          <w:tcPr>
            <w:tcW w:w="14033" w:type="dxa"/>
            <w:gridSpan w:val="6"/>
            <w:vAlign w:val="center"/>
          </w:tcPr>
          <w:p w14:paraId="7EAD4B27">
            <w:pPr>
              <w:pStyle w:val="12"/>
            </w:pPr>
            <w:r>
              <w:t>保障幼儿园正常运转，完成教育教学活动和其他日常工作任务等方面的费用支出。</w:t>
            </w:r>
          </w:p>
        </w:tc>
      </w:tr>
      <w:tr w14:paraId="564E0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5D17B">
            <w:pPr>
              <w:pStyle w:val="10"/>
            </w:pPr>
            <w:r>
              <w:t>资金支出计划（%）</w:t>
            </w:r>
          </w:p>
        </w:tc>
        <w:tc>
          <w:tcPr>
            <w:tcW w:w="5103" w:type="dxa"/>
            <w:gridSpan w:val="2"/>
            <w:vAlign w:val="center"/>
          </w:tcPr>
          <w:p w14:paraId="0AE121AF">
            <w:pPr>
              <w:pStyle w:val="10"/>
            </w:pPr>
            <w:r>
              <w:t>3月底</w:t>
            </w:r>
          </w:p>
        </w:tc>
        <w:tc>
          <w:tcPr>
            <w:tcW w:w="2835" w:type="dxa"/>
            <w:vAlign w:val="center"/>
          </w:tcPr>
          <w:p w14:paraId="7FEC474F">
            <w:pPr>
              <w:pStyle w:val="10"/>
            </w:pPr>
            <w:r>
              <w:t>6月底</w:t>
            </w:r>
          </w:p>
        </w:tc>
        <w:tc>
          <w:tcPr>
            <w:tcW w:w="2551" w:type="dxa"/>
            <w:vAlign w:val="center"/>
          </w:tcPr>
          <w:p w14:paraId="01D1B08C">
            <w:pPr>
              <w:pStyle w:val="10"/>
            </w:pPr>
            <w:r>
              <w:t>10月底</w:t>
            </w:r>
          </w:p>
        </w:tc>
        <w:tc>
          <w:tcPr>
            <w:tcW w:w="3544" w:type="dxa"/>
            <w:gridSpan w:val="2"/>
            <w:vAlign w:val="center"/>
          </w:tcPr>
          <w:p w14:paraId="675EB72D">
            <w:pPr>
              <w:pStyle w:val="10"/>
            </w:pPr>
            <w:r>
              <w:t>12月底</w:t>
            </w:r>
          </w:p>
        </w:tc>
      </w:tr>
      <w:tr w14:paraId="2C76B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9538D"/>
        </w:tc>
        <w:tc>
          <w:tcPr>
            <w:tcW w:w="5103" w:type="dxa"/>
            <w:gridSpan w:val="2"/>
            <w:vAlign w:val="center"/>
          </w:tcPr>
          <w:p w14:paraId="3CFAF0F6">
            <w:pPr>
              <w:pStyle w:val="13"/>
            </w:pPr>
            <w:r>
              <w:t>25%</w:t>
            </w:r>
          </w:p>
        </w:tc>
        <w:tc>
          <w:tcPr>
            <w:tcW w:w="2835" w:type="dxa"/>
            <w:vAlign w:val="center"/>
          </w:tcPr>
          <w:p w14:paraId="4BD92383">
            <w:pPr>
              <w:pStyle w:val="13"/>
            </w:pPr>
            <w:r>
              <w:t>50%</w:t>
            </w:r>
          </w:p>
        </w:tc>
        <w:tc>
          <w:tcPr>
            <w:tcW w:w="2551" w:type="dxa"/>
            <w:vAlign w:val="center"/>
          </w:tcPr>
          <w:p w14:paraId="7BA43316">
            <w:pPr>
              <w:pStyle w:val="13"/>
            </w:pPr>
            <w:r>
              <w:t>75%</w:t>
            </w:r>
          </w:p>
        </w:tc>
        <w:tc>
          <w:tcPr>
            <w:tcW w:w="3544" w:type="dxa"/>
            <w:gridSpan w:val="2"/>
            <w:vAlign w:val="center"/>
          </w:tcPr>
          <w:p w14:paraId="52E4E6E6">
            <w:pPr>
              <w:pStyle w:val="13"/>
            </w:pPr>
            <w:r>
              <w:t>100%</w:t>
            </w:r>
          </w:p>
        </w:tc>
      </w:tr>
      <w:tr w14:paraId="174BB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6EB13">
            <w:pPr>
              <w:pStyle w:val="10"/>
            </w:pPr>
            <w:r>
              <w:t>绩效目标</w:t>
            </w:r>
          </w:p>
        </w:tc>
        <w:tc>
          <w:tcPr>
            <w:tcW w:w="14033" w:type="dxa"/>
            <w:gridSpan w:val="6"/>
            <w:vAlign w:val="center"/>
          </w:tcPr>
          <w:p w14:paraId="5CD78378">
            <w:pPr>
              <w:pStyle w:val="12"/>
            </w:pPr>
            <w:r>
              <w:t>1.保障幼儿园正常运转，完成教育教学活动和其他日常工作任务等方面的费用支出。</w:t>
            </w:r>
            <w:r>
              <w:tab/>
            </w:r>
            <w:r>
              <w:tab/>
            </w:r>
          </w:p>
          <w:p w14:paraId="46B3103E">
            <w:pPr>
              <w:pStyle w:val="12"/>
            </w:pPr>
            <w:r>
              <w:t>2.按季度分批次拨付公用经费资金，资金拨付率达到100%。</w:t>
            </w:r>
            <w:r>
              <w:tab/>
            </w:r>
            <w:r>
              <w:tab/>
            </w:r>
          </w:p>
        </w:tc>
      </w:tr>
    </w:tbl>
    <w:p w14:paraId="38F3E6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0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48184">
            <w:pPr>
              <w:pStyle w:val="10"/>
            </w:pPr>
            <w:r>
              <w:t>一级指标</w:t>
            </w:r>
          </w:p>
        </w:tc>
        <w:tc>
          <w:tcPr>
            <w:tcW w:w="2268" w:type="dxa"/>
            <w:vAlign w:val="center"/>
          </w:tcPr>
          <w:p w14:paraId="0C2C6376">
            <w:pPr>
              <w:pStyle w:val="10"/>
            </w:pPr>
            <w:r>
              <w:t>二级指标</w:t>
            </w:r>
          </w:p>
        </w:tc>
        <w:tc>
          <w:tcPr>
            <w:tcW w:w="2835" w:type="dxa"/>
            <w:vAlign w:val="center"/>
          </w:tcPr>
          <w:p w14:paraId="70947FCE">
            <w:pPr>
              <w:pStyle w:val="10"/>
            </w:pPr>
            <w:r>
              <w:t>三级指标</w:t>
            </w:r>
          </w:p>
        </w:tc>
        <w:tc>
          <w:tcPr>
            <w:tcW w:w="5386" w:type="dxa"/>
            <w:vAlign w:val="center"/>
          </w:tcPr>
          <w:p w14:paraId="13E7DBE7">
            <w:pPr>
              <w:pStyle w:val="10"/>
            </w:pPr>
            <w:r>
              <w:t>绩效指标描述</w:t>
            </w:r>
          </w:p>
        </w:tc>
        <w:tc>
          <w:tcPr>
            <w:tcW w:w="2268" w:type="dxa"/>
            <w:vAlign w:val="center"/>
          </w:tcPr>
          <w:p w14:paraId="160C1853">
            <w:pPr>
              <w:pStyle w:val="10"/>
            </w:pPr>
            <w:r>
              <w:t>指标值</w:t>
            </w:r>
          </w:p>
        </w:tc>
        <w:tc>
          <w:tcPr>
            <w:tcW w:w="1276" w:type="dxa"/>
            <w:vAlign w:val="center"/>
          </w:tcPr>
          <w:p w14:paraId="75A39115">
            <w:pPr>
              <w:pStyle w:val="10"/>
            </w:pPr>
            <w:r>
              <w:t>指标值确定依据</w:t>
            </w:r>
          </w:p>
        </w:tc>
      </w:tr>
      <w:tr w14:paraId="2AEBD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61CF0">
            <w:pPr>
              <w:pStyle w:val="13"/>
            </w:pPr>
            <w:r>
              <w:t>产出指标</w:t>
            </w:r>
          </w:p>
        </w:tc>
        <w:tc>
          <w:tcPr>
            <w:tcW w:w="2268" w:type="dxa"/>
            <w:vAlign w:val="center"/>
          </w:tcPr>
          <w:p w14:paraId="31DF532D">
            <w:pPr>
              <w:pStyle w:val="12"/>
            </w:pPr>
            <w:r>
              <w:t>数量指标</w:t>
            </w:r>
          </w:p>
        </w:tc>
        <w:tc>
          <w:tcPr>
            <w:tcW w:w="2835" w:type="dxa"/>
            <w:vAlign w:val="center"/>
          </w:tcPr>
          <w:p w14:paraId="425819D4">
            <w:pPr>
              <w:pStyle w:val="12"/>
            </w:pPr>
            <w:r>
              <w:t>适龄在园生</w:t>
            </w:r>
          </w:p>
        </w:tc>
        <w:tc>
          <w:tcPr>
            <w:tcW w:w="5386" w:type="dxa"/>
            <w:vAlign w:val="center"/>
          </w:tcPr>
          <w:p w14:paraId="06DE8F93">
            <w:pPr>
              <w:pStyle w:val="12"/>
            </w:pPr>
            <w:r>
              <w:t>适龄在园学生人数</w:t>
            </w:r>
          </w:p>
        </w:tc>
        <w:tc>
          <w:tcPr>
            <w:tcW w:w="2268" w:type="dxa"/>
            <w:vAlign w:val="center"/>
          </w:tcPr>
          <w:p w14:paraId="28C0C6E3">
            <w:pPr>
              <w:pStyle w:val="12"/>
            </w:pPr>
            <w:r>
              <w:t>628人</w:t>
            </w:r>
          </w:p>
        </w:tc>
        <w:tc>
          <w:tcPr>
            <w:tcW w:w="1276" w:type="dxa"/>
            <w:vAlign w:val="center"/>
          </w:tcPr>
          <w:p w14:paraId="227ED9BD">
            <w:pPr>
              <w:pStyle w:val="12"/>
            </w:pPr>
            <w:r>
              <w:t>学前发展资金管理方法</w:t>
            </w:r>
          </w:p>
        </w:tc>
      </w:tr>
      <w:tr w14:paraId="5B2E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4EECC"/>
        </w:tc>
        <w:tc>
          <w:tcPr>
            <w:tcW w:w="2268" w:type="dxa"/>
            <w:vAlign w:val="center"/>
          </w:tcPr>
          <w:p w14:paraId="2DC40BFC">
            <w:pPr>
              <w:pStyle w:val="12"/>
            </w:pPr>
            <w:r>
              <w:t>质量指标</w:t>
            </w:r>
          </w:p>
        </w:tc>
        <w:tc>
          <w:tcPr>
            <w:tcW w:w="2835" w:type="dxa"/>
            <w:vAlign w:val="center"/>
          </w:tcPr>
          <w:p w14:paraId="17A994CB">
            <w:pPr>
              <w:pStyle w:val="12"/>
            </w:pPr>
            <w:r>
              <w:t>预算控制率</w:t>
            </w:r>
          </w:p>
        </w:tc>
        <w:tc>
          <w:tcPr>
            <w:tcW w:w="5386" w:type="dxa"/>
            <w:vAlign w:val="center"/>
          </w:tcPr>
          <w:p w14:paraId="3E373C9F">
            <w:pPr>
              <w:pStyle w:val="12"/>
            </w:pPr>
            <w:r>
              <w:t>预算执行</w:t>
            </w:r>
          </w:p>
        </w:tc>
        <w:tc>
          <w:tcPr>
            <w:tcW w:w="2268" w:type="dxa"/>
            <w:vAlign w:val="center"/>
          </w:tcPr>
          <w:p w14:paraId="7B4C97B2">
            <w:pPr>
              <w:pStyle w:val="12"/>
            </w:pPr>
            <w:r>
              <w:t>≥95%</w:t>
            </w:r>
          </w:p>
        </w:tc>
        <w:tc>
          <w:tcPr>
            <w:tcW w:w="1276" w:type="dxa"/>
            <w:vAlign w:val="center"/>
          </w:tcPr>
          <w:p w14:paraId="0F2BC89A">
            <w:pPr>
              <w:pStyle w:val="12"/>
            </w:pPr>
            <w:r>
              <w:t>学前发展资金管理方法</w:t>
            </w:r>
          </w:p>
        </w:tc>
      </w:tr>
      <w:tr w14:paraId="088B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D3FED"/>
        </w:tc>
        <w:tc>
          <w:tcPr>
            <w:tcW w:w="2268" w:type="dxa"/>
            <w:vAlign w:val="center"/>
          </w:tcPr>
          <w:p w14:paraId="45C695BA">
            <w:pPr>
              <w:pStyle w:val="12"/>
            </w:pPr>
            <w:r>
              <w:t>时效指标</w:t>
            </w:r>
          </w:p>
        </w:tc>
        <w:tc>
          <w:tcPr>
            <w:tcW w:w="2835" w:type="dxa"/>
            <w:vAlign w:val="center"/>
          </w:tcPr>
          <w:p w14:paraId="63F8587E">
            <w:pPr>
              <w:pStyle w:val="12"/>
            </w:pPr>
            <w:r>
              <w:t>资金支付率</w:t>
            </w:r>
          </w:p>
        </w:tc>
        <w:tc>
          <w:tcPr>
            <w:tcW w:w="5386" w:type="dxa"/>
            <w:vAlign w:val="center"/>
          </w:tcPr>
          <w:p w14:paraId="46077B78">
            <w:pPr>
              <w:pStyle w:val="12"/>
            </w:pPr>
            <w:r>
              <w:t>按照序时进度完成资金支付</w:t>
            </w:r>
          </w:p>
        </w:tc>
        <w:tc>
          <w:tcPr>
            <w:tcW w:w="2268" w:type="dxa"/>
            <w:vAlign w:val="center"/>
          </w:tcPr>
          <w:p w14:paraId="6EDE1C1F">
            <w:pPr>
              <w:pStyle w:val="12"/>
            </w:pPr>
            <w:r>
              <w:t>100%</w:t>
            </w:r>
          </w:p>
        </w:tc>
        <w:tc>
          <w:tcPr>
            <w:tcW w:w="1276" w:type="dxa"/>
            <w:vAlign w:val="center"/>
          </w:tcPr>
          <w:p w14:paraId="5F6B2FF5">
            <w:pPr>
              <w:pStyle w:val="12"/>
            </w:pPr>
            <w:r>
              <w:t>学前发展资金管理方法</w:t>
            </w:r>
          </w:p>
        </w:tc>
      </w:tr>
      <w:tr w14:paraId="230B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E40BC"/>
        </w:tc>
        <w:tc>
          <w:tcPr>
            <w:tcW w:w="2268" w:type="dxa"/>
            <w:vAlign w:val="center"/>
          </w:tcPr>
          <w:p w14:paraId="6A8B3EA7">
            <w:pPr>
              <w:pStyle w:val="12"/>
            </w:pPr>
            <w:r>
              <w:t>成本指标</w:t>
            </w:r>
          </w:p>
        </w:tc>
        <w:tc>
          <w:tcPr>
            <w:tcW w:w="2835" w:type="dxa"/>
            <w:vAlign w:val="center"/>
          </w:tcPr>
          <w:p w14:paraId="6D9F303D">
            <w:pPr>
              <w:pStyle w:val="12"/>
            </w:pPr>
            <w:r>
              <w:t>生均拨款标准</w:t>
            </w:r>
          </w:p>
        </w:tc>
        <w:tc>
          <w:tcPr>
            <w:tcW w:w="5386" w:type="dxa"/>
            <w:vAlign w:val="center"/>
          </w:tcPr>
          <w:p w14:paraId="0EBBE994">
            <w:pPr>
              <w:pStyle w:val="12"/>
            </w:pPr>
            <w:r>
              <w:t>学前：（基本标准600元/生/学年）</w:t>
            </w:r>
          </w:p>
        </w:tc>
        <w:tc>
          <w:tcPr>
            <w:tcW w:w="2268" w:type="dxa"/>
            <w:vAlign w:val="center"/>
          </w:tcPr>
          <w:p w14:paraId="52A8B472">
            <w:pPr>
              <w:pStyle w:val="12"/>
            </w:pPr>
            <w:r>
              <w:t>600元</w:t>
            </w:r>
          </w:p>
        </w:tc>
        <w:tc>
          <w:tcPr>
            <w:tcW w:w="1276" w:type="dxa"/>
            <w:vAlign w:val="center"/>
          </w:tcPr>
          <w:p w14:paraId="27DF4219">
            <w:pPr>
              <w:pStyle w:val="12"/>
            </w:pPr>
            <w:r>
              <w:t>学前发展资金管理方法</w:t>
            </w:r>
          </w:p>
        </w:tc>
      </w:tr>
      <w:tr w14:paraId="527F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D6DEB">
            <w:pPr>
              <w:pStyle w:val="13"/>
            </w:pPr>
            <w:r>
              <w:t>效益指标</w:t>
            </w:r>
          </w:p>
        </w:tc>
        <w:tc>
          <w:tcPr>
            <w:tcW w:w="2268" w:type="dxa"/>
            <w:vAlign w:val="center"/>
          </w:tcPr>
          <w:p w14:paraId="2114ED0E">
            <w:pPr>
              <w:pStyle w:val="12"/>
            </w:pPr>
            <w:r>
              <w:t>可持续影响指标</w:t>
            </w:r>
          </w:p>
        </w:tc>
        <w:tc>
          <w:tcPr>
            <w:tcW w:w="2835" w:type="dxa"/>
            <w:vAlign w:val="center"/>
          </w:tcPr>
          <w:p w14:paraId="55E4E150">
            <w:pPr>
              <w:pStyle w:val="12"/>
            </w:pPr>
            <w:r>
              <w:t>学校运转得到提升</w:t>
            </w:r>
          </w:p>
        </w:tc>
        <w:tc>
          <w:tcPr>
            <w:tcW w:w="5386" w:type="dxa"/>
            <w:vAlign w:val="center"/>
          </w:tcPr>
          <w:p w14:paraId="0785CB05">
            <w:pPr>
              <w:pStyle w:val="12"/>
            </w:pPr>
            <w:r>
              <w:t>幼儿受教育年限</w:t>
            </w:r>
          </w:p>
        </w:tc>
        <w:tc>
          <w:tcPr>
            <w:tcW w:w="2268" w:type="dxa"/>
            <w:vAlign w:val="center"/>
          </w:tcPr>
          <w:p w14:paraId="7B620CCA">
            <w:pPr>
              <w:pStyle w:val="12"/>
            </w:pPr>
            <w:r>
              <w:t>3年</w:t>
            </w:r>
          </w:p>
        </w:tc>
        <w:tc>
          <w:tcPr>
            <w:tcW w:w="1276" w:type="dxa"/>
            <w:vAlign w:val="center"/>
          </w:tcPr>
          <w:p w14:paraId="1155B601">
            <w:pPr>
              <w:pStyle w:val="12"/>
            </w:pPr>
            <w:r>
              <w:t>学前发展资金管理方法</w:t>
            </w:r>
          </w:p>
        </w:tc>
      </w:tr>
      <w:tr w14:paraId="42BC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ED70B">
            <w:pPr>
              <w:pStyle w:val="13"/>
            </w:pPr>
            <w:r>
              <w:t>满意度指标</w:t>
            </w:r>
          </w:p>
        </w:tc>
        <w:tc>
          <w:tcPr>
            <w:tcW w:w="2268" w:type="dxa"/>
            <w:vAlign w:val="center"/>
          </w:tcPr>
          <w:p w14:paraId="32EC2228">
            <w:pPr>
              <w:pStyle w:val="12"/>
            </w:pPr>
            <w:r>
              <w:t>服务对象满意度指标</w:t>
            </w:r>
          </w:p>
        </w:tc>
        <w:tc>
          <w:tcPr>
            <w:tcW w:w="2835" w:type="dxa"/>
            <w:vAlign w:val="center"/>
          </w:tcPr>
          <w:p w14:paraId="685129CF">
            <w:pPr>
              <w:pStyle w:val="12"/>
            </w:pPr>
            <w:r>
              <w:t>受益学生家长及调查满意度</w:t>
            </w:r>
          </w:p>
        </w:tc>
        <w:tc>
          <w:tcPr>
            <w:tcW w:w="5386" w:type="dxa"/>
            <w:vAlign w:val="center"/>
          </w:tcPr>
          <w:p w14:paraId="6364D6DC">
            <w:pPr>
              <w:pStyle w:val="12"/>
            </w:pPr>
            <w:r>
              <w:t>学生、教师及家长对学校保教保育工作满意度情况</w:t>
            </w:r>
          </w:p>
        </w:tc>
        <w:tc>
          <w:tcPr>
            <w:tcW w:w="2268" w:type="dxa"/>
            <w:vAlign w:val="center"/>
          </w:tcPr>
          <w:p w14:paraId="086B3644">
            <w:pPr>
              <w:pStyle w:val="12"/>
            </w:pPr>
            <w:r>
              <w:t>≥95%</w:t>
            </w:r>
          </w:p>
        </w:tc>
        <w:tc>
          <w:tcPr>
            <w:tcW w:w="1276" w:type="dxa"/>
            <w:vAlign w:val="center"/>
          </w:tcPr>
          <w:p w14:paraId="2C0875D0">
            <w:pPr>
              <w:pStyle w:val="12"/>
            </w:pPr>
            <w:r>
              <w:t>群众测评</w:t>
            </w:r>
          </w:p>
        </w:tc>
      </w:tr>
    </w:tbl>
    <w:p w14:paraId="37514645">
      <w:pPr>
        <w:sectPr>
          <w:pgSz w:w="16840" w:h="11900" w:orient="landscape"/>
          <w:pgMar w:top="1361" w:right="1020" w:bottom="1134" w:left="1020" w:header="720" w:footer="720" w:gutter="0"/>
          <w:cols w:space="720" w:num="1"/>
        </w:sectPr>
      </w:pPr>
    </w:p>
    <w:p w14:paraId="0BF48288">
      <w:pPr>
        <w:spacing w:before="0" w:after="0"/>
        <w:ind w:firstLine="560"/>
        <w:jc w:val="left"/>
        <w:outlineLvl w:val="9"/>
      </w:pPr>
      <w:r>
        <w:rPr>
          <w:rFonts w:ascii="方正仿宋_GBK" w:hAnsi="方正仿宋_GBK" w:eastAsia="方正仿宋_GBK" w:cs="方正仿宋_GBK"/>
          <w:b/>
          <w:color w:val="000000"/>
          <w:sz w:val="28"/>
        </w:rPr>
        <w:t>40、学前专项经费/尹村校区绩效目标表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C8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17966">
            <w:pPr>
              <w:pStyle w:val="11"/>
            </w:pPr>
            <w:r>
              <w:t>单位：万元</w:t>
            </w:r>
          </w:p>
        </w:tc>
      </w:tr>
      <w:tr w14:paraId="51703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277AF">
            <w:pPr>
              <w:pStyle w:val="10"/>
            </w:pPr>
            <w:r>
              <w:t>项目编码</w:t>
            </w:r>
          </w:p>
        </w:tc>
        <w:tc>
          <w:tcPr>
            <w:tcW w:w="5103" w:type="dxa"/>
            <w:gridSpan w:val="2"/>
            <w:vAlign w:val="center"/>
          </w:tcPr>
          <w:p w14:paraId="580C3861">
            <w:pPr>
              <w:pStyle w:val="12"/>
            </w:pPr>
            <w:r>
              <w:t>13052526P00000210098T</w:t>
            </w:r>
          </w:p>
        </w:tc>
        <w:tc>
          <w:tcPr>
            <w:tcW w:w="2835" w:type="dxa"/>
            <w:vAlign w:val="center"/>
          </w:tcPr>
          <w:p w14:paraId="32E09EAA">
            <w:pPr>
              <w:pStyle w:val="10"/>
            </w:pPr>
            <w:r>
              <w:t>项目名称</w:t>
            </w:r>
          </w:p>
        </w:tc>
        <w:tc>
          <w:tcPr>
            <w:tcW w:w="6095" w:type="dxa"/>
            <w:gridSpan w:val="3"/>
            <w:vAlign w:val="center"/>
          </w:tcPr>
          <w:p w14:paraId="2A7F2C38">
            <w:pPr>
              <w:pStyle w:val="12"/>
            </w:pPr>
            <w:r>
              <w:t>学前专项经费/尹村校区</w:t>
            </w:r>
          </w:p>
        </w:tc>
      </w:tr>
      <w:tr w14:paraId="0C987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CEF33">
            <w:pPr>
              <w:pStyle w:val="10"/>
            </w:pPr>
            <w:r>
              <w:t>预算规模及资金用途</w:t>
            </w:r>
          </w:p>
        </w:tc>
        <w:tc>
          <w:tcPr>
            <w:tcW w:w="2268" w:type="dxa"/>
            <w:vAlign w:val="center"/>
          </w:tcPr>
          <w:p w14:paraId="368E8080">
            <w:pPr>
              <w:pStyle w:val="10"/>
            </w:pPr>
            <w:r>
              <w:t>预算数</w:t>
            </w:r>
          </w:p>
        </w:tc>
        <w:tc>
          <w:tcPr>
            <w:tcW w:w="2835" w:type="dxa"/>
            <w:vAlign w:val="center"/>
          </w:tcPr>
          <w:p w14:paraId="52355EF6">
            <w:pPr>
              <w:pStyle w:val="12"/>
            </w:pPr>
            <w:r>
              <w:t>23.30</w:t>
            </w:r>
          </w:p>
        </w:tc>
        <w:tc>
          <w:tcPr>
            <w:tcW w:w="2835" w:type="dxa"/>
            <w:vAlign w:val="center"/>
          </w:tcPr>
          <w:p w14:paraId="4B49E761">
            <w:pPr>
              <w:pStyle w:val="10"/>
            </w:pPr>
            <w:r>
              <w:t>其中：财政    资金</w:t>
            </w:r>
          </w:p>
        </w:tc>
        <w:tc>
          <w:tcPr>
            <w:tcW w:w="2551" w:type="dxa"/>
            <w:vAlign w:val="center"/>
          </w:tcPr>
          <w:p w14:paraId="0895F2AC">
            <w:pPr>
              <w:pStyle w:val="12"/>
            </w:pPr>
            <w:r>
              <w:t>23.30</w:t>
            </w:r>
          </w:p>
        </w:tc>
        <w:tc>
          <w:tcPr>
            <w:tcW w:w="2268" w:type="dxa"/>
            <w:vAlign w:val="center"/>
          </w:tcPr>
          <w:p w14:paraId="67C8C726">
            <w:pPr>
              <w:pStyle w:val="10"/>
            </w:pPr>
            <w:r>
              <w:t>其他资金</w:t>
            </w:r>
          </w:p>
        </w:tc>
        <w:tc>
          <w:tcPr>
            <w:tcW w:w="1276" w:type="dxa"/>
            <w:vAlign w:val="center"/>
          </w:tcPr>
          <w:p w14:paraId="096511CD">
            <w:pPr>
              <w:pStyle w:val="12"/>
            </w:pPr>
            <w:r>
              <w:t xml:space="preserve"> </w:t>
            </w:r>
          </w:p>
        </w:tc>
      </w:tr>
      <w:tr w14:paraId="7F3F4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B2941"/>
        </w:tc>
        <w:tc>
          <w:tcPr>
            <w:tcW w:w="14033" w:type="dxa"/>
            <w:gridSpan w:val="6"/>
            <w:vAlign w:val="center"/>
          </w:tcPr>
          <w:p w14:paraId="274F3EEE">
            <w:pPr>
              <w:pStyle w:val="12"/>
            </w:pPr>
            <w:r>
              <w:t>按上缴财政序时进度完成公立幼儿园保育费支出。</w:t>
            </w:r>
          </w:p>
        </w:tc>
      </w:tr>
      <w:tr w14:paraId="70F4C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E2107">
            <w:pPr>
              <w:pStyle w:val="10"/>
            </w:pPr>
            <w:r>
              <w:t>资金支出计划（%）</w:t>
            </w:r>
          </w:p>
        </w:tc>
        <w:tc>
          <w:tcPr>
            <w:tcW w:w="5103" w:type="dxa"/>
            <w:gridSpan w:val="2"/>
            <w:vAlign w:val="center"/>
          </w:tcPr>
          <w:p w14:paraId="7E595471">
            <w:pPr>
              <w:pStyle w:val="10"/>
            </w:pPr>
            <w:r>
              <w:t>3月底</w:t>
            </w:r>
          </w:p>
        </w:tc>
        <w:tc>
          <w:tcPr>
            <w:tcW w:w="2835" w:type="dxa"/>
            <w:vAlign w:val="center"/>
          </w:tcPr>
          <w:p w14:paraId="379E209D">
            <w:pPr>
              <w:pStyle w:val="10"/>
            </w:pPr>
            <w:r>
              <w:t>6月底</w:t>
            </w:r>
          </w:p>
        </w:tc>
        <w:tc>
          <w:tcPr>
            <w:tcW w:w="2551" w:type="dxa"/>
            <w:vAlign w:val="center"/>
          </w:tcPr>
          <w:p w14:paraId="1C6E6A36">
            <w:pPr>
              <w:pStyle w:val="10"/>
            </w:pPr>
            <w:r>
              <w:t>10月底</w:t>
            </w:r>
          </w:p>
        </w:tc>
        <w:tc>
          <w:tcPr>
            <w:tcW w:w="3544" w:type="dxa"/>
            <w:gridSpan w:val="2"/>
            <w:vAlign w:val="center"/>
          </w:tcPr>
          <w:p w14:paraId="6D2726FA">
            <w:pPr>
              <w:pStyle w:val="10"/>
            </w:pPr>
            <w:r>
              <w:t>12月底</w:t>
            </w:r>
          </w:p>
        </w:tc>
      </w:tr>
      <w:tr w14:paraId="27D34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C795F"/>
        </w:tc>
        <w:tc>
          <w:tcPr>
            <w:tcW w:w="5103" w:type="dxa"/>
            <w:gridSpan w:val="2"/>
            <w:vAlign w:val="center"/>
          </w:tcPr>
          <w:p w14:paraId="06A8D3CA">
            <w:pPr>
              <w:pStyle w:val="13"/>
            </w:pPr>
            <w:r>
              <w:t>25%</w:t>
            </w:r>
          </w:p>
        </w:tc>
        <w:tc>
          <w:tcPr>
            <w:tcW w:w="2835" w:type="dxa"/>
            <w:vAlign w:val="center"/>
          </w:tcPr>
          <w:p w14:paraId="5EA25EB5">
            <w:pPr>
              <w:pStyle w:val="13"/>
            </w:pPr>
            <w:r>
              <w:t>50%</w:t>
            </w:r>
          </w:p>
        </w:tc>
        <w:tc>
          <w:tcPr>
            <w:tcW w:w="2551" w:type="dxa"/>
            <w:vAlign w:val="center"/>
          </w:tcPr>
          <w:p w14:paraId="78C6699E">
            <w:pPr>
              <w:pStyle w:val="13"/>
            </w:pPr>
            <w:r>
              <w:t>75%</w:t>
            </w:r>
          </w:p>
        </w:tc>
        <w:tc>
          <w:tcPr>
            <w:tcW w:w="3544" w:type="dxa"/>
            <w:gridSpan w:val="2"/>
            <w:vAlign w:val="center"/>
          </w:tcPr>
          <w:p w14:paraId="76BBAE6A">
            <w:pPr>
              <w:pStyle w:val="13"/>
            </w:pPr>
            <w:r>
              <w:t>100%</w:t>
            </w:r>
          </w:p>
        </w:tc>
      </w:tr>
      <w:tr w14:paraId="5A764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13062">
            <w:pPr>
              <w:pStyle w:val="10"/>
            </w:pPr>
            <w:r>
              <w:t>绩效目标</w:t>
            </w:r>
          </w:p>
        </w:tc>
        <w:tc>
          <w:tcPr>
            <w:tcW w:w="14033" w:type="dxa"/>
            <w:gridSpan w:val="6"/>
            <w:vAlign w:val="center"/>
          </w:tcPr>
          <w:p w14:paraId="00DCF867">
            <w:pPr>
              <w:pStyle w:val="12"/>
            </w:pPr>
            <w:r>
              <w:t>1.按预算要求完成2026年度学前教学任务提升及教学质量提高。</w:t>
            </w:r>
          </w:p>
          <w:p w14:paraId="7A0FEE29">
            <w:pPr>
              <w:pStyle w:val="12"/>
            </w:pPr>
            <w:r>
              <w:t>2.按要求完成公立幼儿园保育费按月/季度上缴财政。</w:t>
            </w:r>
          </w:p>
          <w:p w14:paraId="51B193EF">
            <w:pPr>
              <w:pStyle w:val="12"/>
            </w:pPr>
            <w:r>
              <w:t>3.按上缴财政序时进度完成公立幼儿园保育费支出。</w:t>
            </w:r>
          </w:p>
        </w:tc>
      </w:tr>
    </w:tbl>
    <w:p w14:paraId="409466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6C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C1D3A">
            <w:pPr>
              <w:pStyle w:val="10"/>
            </w:pPr>
            <w:r>
              <w:t>一级指标</w:t>
            </w:r>
          </w:p>
        </w:tc>
        <w:tc>
          <w:tcPr>
            <w:tcW w:w="2268" w:type="dxa"/>
            <w:vAlign w:val="center"/>
          </w:tcPr>
          <w:p w14:paraId="2FB6FC88">
            <w:pPr>
              <w:pStyle w:val="10"/>
            </w:pPr>
            <w:r>
              <w:t>二级指标</w:t>
            </w:r>
          </w:p>
        </w:tc>
        <w:tc>
          <w:tcPr>
            <w:tcW w:w="2835" w:type="dxa"/>
            <w:vAlign w:val="center"/>
          </w:tcPr>
          <w:p w14:paraId="4BAB09F3">
            <w:pPr>
              <w:pStyle w:val="10"/>
            </w:pPr>
            <w:r>
              <w:t>三级指标</w:t>
            </w:r>
          </w:p>
        </w:tc>
        <w:tc>
          <w:tcPr>
            <w:tcW w:w="5386" w:type="dxa"/>
            <w:vAlign w:val="center"/>
          </w:tcPr>
          <w:p w14:paraId="177E2B91">
            <w:pPr>
              <w:pStyle w:val="10"/>
            </w:pPr>
            <w:r>
              <w:t>绩效指标描述</w:t>
            </w:r>
          </w:p>
        </w:tc>
        <w:tc>
          <w:tcPr>
            <w:tcW w:w="2268" w:type="dxa"/>
            <w:vAlign w:val="center"/>
          </w:tcPr>
          <w:p w14:paraId="33C9C107">
            <w:pPr>
              <w:pStyle w:val="10"/>
            </w:pPr>
            <w:r>
              <w:t>指标值</w:t>
            </w:r>
          </w:p>
        </w:tc>
        <w:tc>
          <w:tcPr>
            <w:tcW w:w="1276" w:type="dxa"/>
            <w:vAlign w:val="center"/>
          </w:tcPr>
          <w:p w14:paraId="4E81B2BF">
            <w:pPr>
              <w:pStyle w:val="10"/>
            </w:pPr>
            <w:r>
              <w:t>指标值确定依据</w:t>
            </w:r>
          </w:p>
        </w:tc>
      </w:tr>
      <w:tr w14:paraId="23D8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D044E">
            <w:pPr>
              <w:pStyle w:val="13"/>
            </w:pPr>
            <w:r>
              <w:t>产出指标</w:t>
            </w:r>
          </w:p>
        </w:tc>
        <w:tc>
          <w:tcPr>
            <w:tcW w:w="2268" w:type="dxa"/>
            <w:vAlign w:val="center"/>
          </w:tcPr>
          <w:p w14:paraId="761BD335">
            <w:pPr>
              <w:pStyle w:val="12"/>
            </w:pPr>
            <w:r>
              <w:t>数量指标</w:t>
            </w:r>
          </w:p>
        </w:tc>
        <w:tc>
          <w:tcPr>
            <w:tcW w:w="2835" w:type="dxa"/>
            <w:vAlign w:val="center"/>
          </w:tcPr>
          <w:p w14:paraId="42B027ED">
            <w:pPr>
              <w:pStyle w:val="12"/>
            </w:pPr>
            <w:r>
              <w:t>适龄在园生</w:t>
            </w:r>
          </w:p>
        </w:tc>
        <w:tc>
          <w:tcPr>
            <w:tcW w:w="5386" w:type="dxa"/>
            <w:vAlign w:val="center"/>
          </w:tcPr>
          <w:p w14:paraId="508F2D1F">
            <w:pPr>
              <w:pStyle w:val="12"/>
            </w:pPr>
            <w:r>
              <w:t>适龄在园学生人数</w:t>
            </w:r>
          </w:p>
        </w:tc>
        <w:tc>
          <w:tcPr>
            <w:tcW w:w="2268" w:type="dxa"/>
            <w:vAlign w:val="center"/>
          </w:tcPr>
          <w:p w14:paraId="6367F80A">
            <w:pPr>
              <w:pStyle w:val="12"/>
            </w:pPr>
            <w:r>
              <w:t>268人</w:t>
            </w:r>
          </w:p>
        </w:tc>
        <w:tc>
          <w:tcPr>
            <w:tcW w:w="1276" w:type="dxa"/>
            <w:vAlign w:val="center"/>
          </w:tcPr>
          <w:p w14:paraId="57495D70">
            <w:pPr>
              <w:pStyle w:val="12"/>
            </w:pPr>
            <w:r>
              <w:t>年度工作计划</w:t>
            </w:r>
          </w:p>
        </w:tc>
      </w:tr>
      <w:tr w14:paraId="63AA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D9AC"/>
        </w:tc>
        <w:tc>
          <w:tcPr>
            <w:tcW w:w="2268" w:type="dxa"/>
            <w:vAlign w:val="center"/>
          </w:tcPr>
          <w:p w14:paraId="1DEE3A67">
            <w:pPr>
              <w:pStyle w:val="12"/>
            </w:pPr>
            <w:r>
              <w:t>质量指标</w:t>
            </w:r>
          </w:p>
        </w:tc>
        <w:tc>
          <w:tcPr>
            <w:tcW w:w="2835" w:type="dxa"/>
            <w:vAlign w:val="center"/>
          </w:tcPr>
          <w:p w14:paraId="1BEB9561">
            <w:pPr>
              <w:pStyle w:val="12"/>
            </w:pPr>
            <w:r>
              <w:t>按月上缴财政完成率</w:t>
            </w:r>
          </w:p>
        </w:tc>
        <w:tc>
          <w:tcPr>
            <w:tcW w:w="5386" w:type="dxa"/>
            <w:vAlign w:val="center"/>
          </w:tcPr>
          <w:p w14:paraId="0768ECEE">
            <w:pPr>
              <w:pStyle w:val="12"/>
            </w:pPr>
            <w:r>
              <w:t>按月完成公立幼儿园保育费上缴财政</w:t>
            </w:r>
          </w:p>
        </w:tc>
        <w:tc>
          <w:tcPr>
            <w:tcW w:w="2268" w:type="dxa"/>
            <w:vAlign w:val="center"/>
          </w:tcPr>
          <w:p w14:paraId="57B4C23A">
            <w:pPr>
              <w:pStyle w:val="12"/>
            </w:pPr>
            <w:r>
              <w:t>100%</w:t>
            </w:r>
          </w:p>
        </w:tc>
        <w:tc>
          <w:tcPr>
            <w:tcW w:w="1276" w:type="dxa"/>
            <w:vAlign w:val="center"/>
          </w:tcPr>
          <w:p w14:paraId="7E71B53E">
            <w:pPr>
              <w:pStyle w:val="12"/>
            </w:pPr>
            <w:r>
              <w:t>年度工作计划</w:t>
            </w:r>
          </w:p>
        </w:tc>
      </w:tr>
      <w:tr w14:paraId="4B71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1001"/>
        </w:tc>
        <w:tc>
          <w:tcPr>
            <w:tcW w:w="2268" w:type="dxa"/>
            <w:vAlign w:val="center"/>
          </w:tcPr>
          <w:p w14:paraId="0A895B12">
            <w:pPr>
              <w:pStyle w:val="12"/>
            </w:pPr>
            <w:r>
              <w:t>时效指标</w:t>
            </w:r>
          </w:p>
        </w:tc>
        <w:tc>
          <w:tcPr>
            <w:tcW w:w="2835" w:type="dxa"/>
            <w:vAlign w:val="center"/>
          </w:tcPr>
          <w:p w14:paraId="66EF1EBF">
            <w:pPr>
              <w:pStyle w:val="12"/>
            </w:pPr>
            <w:r>
              <w:t>资金支付率</w:t>
            </w:r>
          </w:p>
        </w:tc>
        <w:tc>
          <w:tcPr>
            <w:tcW w:w="5386" w:type="dxa"/>
            <w:vAlign w:val="center"/>
          </w:tcPr>
          <w:p w14:paraId="5C3799CC">
            <w:pPr>
              <w:pStyle w:val="12"/>
            </w:pPr>
            <w:r>
              <w:t>按照上缴财政进度完成公立幼儿园保育费支付</w:t>
            </w:r>
          </w:p>
        </w:tc>
        <w:tc>
          <w:tcPr>
            <w:tcW w:w="2268" w:type="dxa"/>
            <w:vAlign w:val="center"/>
          </w:tcPr>
          <w:p w14:paraId="09784974">
            <w:pPr>
              <w:pStyle w:val="12"/>
            </w:pPr>
            <w:r>
              <w:t>100%</w:t>
            </w:r>
          </w:p>
        </w:tc>
        <w:tc>
          <w:tcPr>
            <w:tcW w:w="1276" w:type="dxa"/>
            <w:vAlign w:val="center"/>
          </w:tcPr>
          <w:p w14:paraId="23829A82">
            <w:pPr>
              <w:pStyle w:val="12"/>
            </w:pPr>
            <w:r>
              <w:t>年度工作计划</w:t>
            </w:r>
          </w:p>
        </w:tc>
      </w:tr>
      <w:tr w14:paraId="62B1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BE34F"/>
        </w:tc>
        <w:tc>
          <w:tcPr>
            <w:tcW w:w="2268" w:type="dxa"/>
            <w:vAlign w:val="center"/>
          </w:tcPr>
          <w:p w14:paraId="5BDF1EE3">
            <w:pPr>
              <w:pStyle w:val="12"/>
            </w:pPr>
            <w:r>
              <w:t>成本指标</w:t>
            </w:r>
          </w:p>
        </w:tc>
        <w:tc>
          <w:tcPr>
            <w:tcW w:w="2835" w:type="dxa"/>
            <w:vAlign w:val="center"/>
          </w:tcPr>
          <w:p w14:paraId="300176C4">
            <w:pPr>
              <w:pStyle w:val="12"/>
            </w:pPr>
            <w:r>
              <w:t>公办幼儿园保育费收费标准</w:t>
            </w:r>
          </w:p>
        </w:tc>
        <w:tc>
          <w:tcPr>
            <w:tcW w:w="5386" w:type="dxa"/>
            <w:vAlign w:val="center"/>
          </w:tcPr>
          <w:p w14:paraId="241A6225">
            <w:pPr>
              <w:pStyle w:val="12"/>
            </w:pPr>
            <w:r>
              <w:t>农村示范园170元/月/生、农村一类园150元/月/生、农村二类园130元/月/生</w:t>
            </w:r>
          </w:p>
        </w:tc>
        <w:tc>
          <w:tcPr>
            <w:tcW w:w="2268" w:type="dxa"/>
            <w:vAlign w:val="center"/>
          </w:tcPr>
          <w:p w14:paraId="67C8D619">
            <w:pPr>
              <w:pStyle w:val="12"/>
            </w:pPr>
            <w:r>
              <w:t>100%</w:t>
            </w:r>
          </w:p>
        </w:tc>
        <w:tc>
          <w:tcPr>
            <w:tcW w:w="1276" w:type="dxa"/>
            <w:vAlign w:val="center"/>
          </w:tcPr>
          <w:p w14:paraId="5A5913FF">
            <w:pPr>
              <w:pStyle w:val="12"/>
            </w:pPr>
            <w:r>
              <w:t>年度工作计划</w:t>
            </w:r>
          </w:p>
        </w:tc>
      </w:tr>
      <w:tr w14:paraId="29ACC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12371">
            <w:pPr>
              <w:pStyle w:val="13"/>
            </w:pPr>
            <w:r>
              <w:t>效益指标</w:t>
            </w:r>
          </w:p>
        </w:tc>
        <w:tc>
          <w:tcPr>
            <w:tcW w:w="2268" w:type="dxa"/>
            <w:vAlign w:val="center"/>
          </w:tcPr>
          <w:p w14:paraId="040F83BB">
            <w:pPr>
              <w:pStyle w:val="12"/>
            </w:pPr>
            <w:r>
              <w:t>社会效益指标</w:t>
            </w:r>
          </w:p>
        </w:tc>
        <w:tc>
          <w:tcPr>
            <w:tcW w:w="2835" w:type="dxa"/>
            <w:vAlign w:val="center"/>
          </w:tcPr>
          <w:p w14:paraId="79C96BDC">
            <w:pPr>
              <w:pStyle w:val="12"/>
            </w:pPr>
            <w:r>
              <w:t>幼儿园办园能力提升</w:t>
            </w:r>
          </w:p>
        </w:tc>
        <w:tc>
          <w:tcPr>
            <w:tcW w:w="5386" w:type="dxa"/>
            <w:vAlign w:val="center"/>
          </w:tcPr>
          <w:p w14:paraId="31F339B8">
            <w:pPr>
              <w:pStyle w:val="12"/>
            </w:pPr>
            <w:r>
              <w:t>幼儿园办园能力提升情况及教育教学工作等开展的情况</w:t>
            </w:r>
          </w:p>
        </w:tc>
        <w:tc>
          <w:tcPr>
            <w:tcW w:w="2268" w:type="dxa"/>
            <w:vAlign w:val="center"/>
          </w:tcPr>
          <w:p w14:paraId="7DC4FD41">
            <w:pPr>
              <w:pStyle w:val="12"/>
            </w:pPr>
            <w:r>
              <w:t>100%</w:t>
            </w:r>
          </w:p>
        </w:tc>
        <w:tc>
          <w:tcPr>
            <w:tcW w:w="1276" w:type="dxa"/>
            <w:vAlign w:val="center"/>
          </w:tcPr>
          <w:p w14:paraId="3BF32599">
            <w:pPr>
              <w:pStyle w:val="12"/>
            </w:pPr>
            <w:r>
              <w:t>年度工作计划</w:t>
            </w:r>
          </w:p>
        </w:tc>
      </w:tr>
      <w:tr w14:paraId="539E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3B0AF">
            <w:pPr>
              <w:pStyle w:val="13"/>
            </w:pPr>
            <w:r>
              <w:t>满意度指标</w:t>
            </w:r>
          </w:p>
        </w:tc>
        <w:tc>
          <w:tcPr>
            <w:tcW w:w="2268" w:type="dxa"/>
            <w:vAlign w:val="center"/>
          </w:tcPr>
          <w:p w14:paraId="15A293B7">
            <w:pPr>
              <w:pStyle w:val="12"/>
            </w:pPr>
            <w:r>
              <w:t>服务对象满意度指标</w:t>
            </w:r>
          </w:p>
        </w:tc>
        <w:tc>
          <w:tcPr>
            <w:tcW w:w="2835" w:type="dxa"/>
            <w:vAlign w:val="center"/>
          </w:tcPr>
          <w:p w14:paraId="3D43344D">
            <w:pPr>
              <w:pStyle w:val="12"/>
            </w:pPr>
            <w:r>
              <w:t>受益学生家长及调查满意度</w:t>
            </w:r>
          </w:p>
        </w:tc>
        <w:tc>
          <w:tcPr>
            <w:tcW w:w="5386" w:type="dxa"/>
            <w:vAlign w:val="center"/>
          </w:tcPr>
          <w:p w14:paraId="017D28F0">
            <w:pPr>
              <w:pStyle w:val="12"/>
            </w:pPr>
            <w:r>
              <w:t>幼儿、教师及家长对学校保教保育工作满意度情况</w:t>
            </w:r>
          </w:p>
        </w:tc>
        <w:tc>
          <w:tcPr>
            <w:tcW w:w="2268" w:type="dxa"/>
            <w:vAlign w:val="center"/>
          </w:tcPr>
          <w:p w14:paraId="0B73E465">
            <w:pPr>
              <w:pStyle w:val="12"/>
            </w:pPr>
            <w:r>
              <w:t>≥95%</w:t>
            </w:r>
          </w:p>
        </w:tc>
        <w:tc>
          <w:tcPr>
            <w:tcW w:w="1276" w:type="dxa"/>
            <w:vAlign w:val="center"/>
          </w:tcPr>
          <w:p w14:paraId="69EFC40F">
            <w:pPr>
              <w:pStyle w:val="12"/>
            </w:pPr>
            <w:r>
              <w:t>年度工作计划</w:t>
            </w:r>
          </w:p>
        </w:tc>
      </w:tr>
    </w:tbl>
    <w:p w14:paraId="1F7A83CD">
      <w:pPr>
        <w:sectPr>
          <w:pgSz w:w="16840" w:h="11900" w:orient="landscape"/>
          <w:pgMar w:top="1361" w:right="1020" w:bottom="1134" w:left="1020" w:header="720" w:footer="720" w:gutter="0"/>
          <w:cols w:space="720" w:num="1"/>
        </w:sectPr>
      </w:pPr>
    </w:p>
    <w:p w14:paraId="2EDFD802">
      <w:pPr>
        <w:spacing w:before="10" w:after="10" w:line="240" w:lineRule="auto"/>
        <w:ind w:firstLine="640"/>
        <w:jc w:val="left"/>
        <w:outlineLvl w:val="5"/>
      </w:pPr>
      <w:r>
        <w:rPr>
          <w:rFonts w:ascii="黑体" w:hAnsi="黑体" w:eastAsia="黑体" w:cs="黑体"/>
          <w:color w:val="000000"/>
          <w:sz w:val="32"/>
        </w:rPr>
        <w:t>六、政府采购预算情况</w:t>
      </w:r>
    </w:p>
    <w:p w14:paraId="03BC6DC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A4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D51886">
            <w:pPr>
              <w:pStyle w:val="9"/>
            </w:pPr>
            <w:r>
              <w:t>360022隆尧县尹村校区</w:t>
            </w:r>
          </w:p>
        </w:tc>
        <w:tc>
          <w:tcPr>
            <w:tcW w:w="8676" w:type="dxa"/>
            <w:gridSpan w:val="9"/>
            <w:tcBorders>
              <w:top w:val="single" w:color="FFFFFF" w:sz="6" w:space="0"/>
              <w:left w:val="single" w:color="FFFFFF" w:sz="6" w:space="0"/>
              <w:right w:val="single" w:color="FFFFFF" w:sz="6" w:space="0"/>
            </w:tcBorders>
            <w:vAlign w:val="center"/>
          </w:tcPr>
          <w:p w14:paraId="596936A7">
            <w:pPr>
              <w:pStyle w:val="21"/>
            </w:pPr>
            <w:r>
              <w:t>单位：万元</w:t>
            </w:r>
          </w:p>
        </w:tc>
      </w:tr>
      <w:tr w14:paraId="0872B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A2E5C8">
            <w:pPr>
              <w:pStyle w:val="10"/>
            </w:pPr>
            <w:r>
              <w:t>政府采购项目来源</w:t>
            </w:r>
          </w:p>
        </w:tc>
        <w:tc>
          <w:tcPr>
            <w:tcW w:w="1134" w:type="dxa"/>
            <w:vMerge w:val="restart"/>
            <w:vAlign w:val="center"/>
          </w:tcPr>
          <w:p w14:paraId="7D5027AB">
            <w:pPr>
              <w:pStyle w:val="10"/>
            </w:pPr>
            <w:r>
              <w:t>采购物品名称</w:t>
            </w:r>
          </w:p>
        </w:tc>
        <w:tc>
          <w:tcPr>
            <w:tcW w:w="1134" w:type="dxa"/>
            <w:vMerge w:val="restart"/>
            <w:vAlign w:val="center"/>
          </w:tcPr>
          <w:p w14:paraId="2C9B0668">
            <w:pPr>
              <w:pStyle w:val="10"/>
            </w:pPr>
            <w:r>
              <w:t>政府采购目录序号</w:t>
            </w:r>
          </w:p>
        </w:tc>
        <w:tc>
          <w:tcPr>
            <w:tcW w:w="709" w:type="dxa"/>
            <w:vMerge w:val="restart"/>
            <w:vAlign w:val="center"/>
          </w:tcPr>
          <w:p w14:paraId="48545AB7">
            <w:pPr>
              <w:pStyle w:val="10"/>
            </w:pPr>
            <w:r>
              <w:t>计量  单位</w:t>
            </w:r>
          </w:p>
        </w:tc>
        <w:tc>
          <w:tcPr>
            <w:tcW w:w="850" w:type="dxa"/>
            <w:vMerge w:val="restart"/>
            <w:vAlign w:val="center"/>
          </w:tcPr>
          <w:p w14:paraId="6A0DB490">
            <w:pPr>
              <w:pStyle w:val="10"/>
            </w:pPr>
            <w:r>
              <w:t>数量</w:t>
            </w:r>
          </w:p>
        </w:tc>
        <w:tc>
          <w:tcPr>
            <w:tcW w:w="850" w:type="dxa"/>
            <w:vMerge w:val="restart"/>
            <w:vAlign w:val="center"/>
          </w:tcPr>
          <w:p w14:paraId="3B573562">
            <w:pPr>
              <w:pStyle w:val="10"/>
            </w:pPr>
            <w:r>
              <w:t>单价</w:t>
            </w:r>
          </w:p>
        </w:tc>
        <w:tc>
          <w:tcPr>
            <w:tcW w:w="7712" w:type="dxa"/>
            <w:gridSpan w:val="8"/>
            <w:vAlign w:val="center"/>
          </w:tcPr>
          <w:p w14:paraId="6D99789B">
            <w:pPr>
              <w:pStyle w:val="10"/>
            </w:pPr>
            <w:r>
              <w:t>政府采购金额（当年部门预算安排资金）</w:t>
            </w:r>
          </w:p>
        </w:tc>
        <w:tc>
          <w:tcPr>
            <w:tcW w:w="964" w:type="dxa"/>
            <w:vMerge w:val="restart"/>
            <w:vAlign w:val="center"/>
          </w:tcPr>
          <w:p w14:paraId="2635201F">
            <w:pPr>
              <w:pStyle w:val="10"/>
            </w:pPr>
            <w:r>
              <w:t>2026年  预留中  小微企  业份额</w:t>
            </w:r>
          </w:p>
        </w:tc>
      </w:tr>
      <w:tr w14:paraId="07C9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9BC5250">
            <w:pPr>
              <w:pStyle w:val="10"/>
            </w:pPr>
            <w:r>
              <w:t>项目名称</w:t>
            </w:r>
          </w:p>
        </w:tc>
        <w:tc>
          <w:tcPr>
            <w:tcW w:w="964" w:type="dxa"/>
            <w:vAlign w:val="center"/>
          </w:tcPr>
          <w:p w14:paraId="4138FBFE">
            <w:pPr>
              <w:pStyle w:val="10"/>
            </w:pPr>
            <w:r>
              <w:t>预算    资金</w:t>
            </w:r>
          </w:p>
        </w:tc>
        <w:tc>
          <w:tcPr>
            <w:tcW w:w="1134" w:type="dxa"/>
            <w:vMerge w:val="continue"/>
          </w:tcPr>
          <w:p w14:paraId="5EEB7549"/>
        </w:tc>
        <w:tc>
          <w:tcPr>
            <w:tcW w:w="1134" w:type="dxa"/>
            <w:vMerge w:val="continue"/>
          </w:tcPr>
          <w:p w14:paraId="295D6B1D"/>
        </w:tc>
        <w:tc>
          <w:tcPr>
            <w:tcW w:w="709" w:type="dxa"/>
            <w:vMerge w:val="continue"/>
          </w:tcPr>
          <w:p w14:paraId="7427182F"/>
        </w:tc>
        <w:tc>
          <w:tcPr>
            <w:tcW w:w="850" w:type="dxa"/>
            <w:vMerge w:val="continue"/>
          </w:tcPr>
          <w:p w14:paraId="371429CA"/>
        </w:tc>
        <w:tc>
          <w:tcPr>
            <w:tcW w:w="850" w:type="dxa"/>
            <w:vMerge w:val="continue"/>
          </w:tcPr>
          <w:p w14:paraId="07795C84"/>
        </w:tc>
        <w:tc>
          <w:tcPr>
            <w:tcW w:w="964" w:type="dxa"/>
            <w:vAlign w:val="center"/>
          </w:tcPr>
          <w:p w14:paraId="30D82161">
            <w:pPr>
              <w:pStyle w:val="10"/>
            </w:pPr>
            <w:r>
              <w:t>合计</w:t>
            </w:r>
          </w:p>
        </w:tc>
        <w:tc>
          <w:tcPr>
            <w:tcW w:w="964" w:type="dxa"/>
            <w:vAlign w:val="center"/>
          </w:tcPr>
          <w:p w14:paraId="39745CDB">
            <w:pPr>
              <w:pStyle w:val="10"/>
            </w:pPr>
            <w:r>
              <w:t>一般公共预算拨款</w:t>
            </w:r>
          </w:p>
        </w:tc>
        <w:tc>
          <w:tcPr>
            <w:tcW w:w="964" w:type="dxa"/>
            <w:vAlign w:val="center"/>
          </w:tcPr>
          <w:p w14:paraId="563F3562">
            <w:pPr>
              <w:pStyle w:val="10"/>
            </w:pPr>
            <w:r>
              <w:t>基金预算拨款</w:t>
            </w:r>
          </w:p>
        </w:tc>
        <w:tc>
          <w:tcPr>
            <w:tcW w:w="964" w:type="dxa"/>
            <w:vAlign w:val="center"/>
          </w:tcPr>
          <w:p w14:paraId="5C01BFE6">
            <w:pPr>
              <w:pStyle w:val="10"/>
            </w:pPr>
            <w:r>
              <w:t>国有资本经营预算拨款</w:t>
            </w:r>
          </w:p>
        </w:tc>
        <w:tc>
          <w:tcPr>
            <w:tcW w:w="964" w:type="dxa"/>
            <w:vAlign w:val="center"/>
          </w:tcPr>
          <w:p w14:paraId="737B736D">
            <w:pPr>
              <w:pStyle w:val="10"/>
            </w:pPr>
            <w:r>
              <w:t>财政专户核拨</w:t>
            </w:r>
          </w:p>
        </w:tc>
        <w:tc>
          <w:tcPr>
            <w:tcW w:w="964" w:type="dxa"/>
            <w:vAlign w:val="center"/>
          </w:tcPr>
          <w:p w14:paraId="249F7B0C">
            <w:pPr>
              <w:pStyle w:val="10"/>
            </w:pPr>
            <w:r>
              <w:t>单位    资金</w:t>
            </w:r>
          </w:p>
        </w:tc>
        <w:tc>
          <w:tcPr>
            <w:tcW w:w="964" w:type="dxa"/>
            <w:vAlign w:val="center"/>
          </w:tcPr>
          <w:p w14:paraId="31F529A3">
            <w:pPr>
              <w:pStyle w:val="10"/>
            </w:pPr>
            <w:r>
              <w:t>财政拨款结转</w:t>
            </w:r>
          </w:p>
        </w:tc>
        <w:tc>
          <w:tcPr>
            <w:tcW w:w="964" w:type="dxa"/>
            <w:vAlign w:val="center"/>
          </w:tcPr>
          <w:p w14:paraId="5EA78AFC">
            <w:pPr>
              <w:pStyle w:val="10"/>
            </w:pPr>
            <w:r>
              <w:t>非财政拨款结余</w:t>
            </w:r>
          </w:p>
        </w:tc>
        <w:tc>
          <w:tcPr>
            <w:tcW w:w="964" w:type="dxa"/>
            <w:vMerge w:val="continue"/>
          </w:tcPr>
          <w:p w14:paraId="2D9D8E3C"/>
        </w:tc>
      </w:tr>
      <w:tr w14:paraId="3C61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CC3BF2">
            <w:pPr>
              <w:pStyle w:val="14"/>
            </w:pPr>
            <w:r>
              <w:t>合  计</w:t>
            </w:r>
          </w:p>
        </w:tc>
        <w:tc>
          <w:tcPr>
            <w:tcW w:w="964" w:type="dxa"/>
            <w:vAlign w:val="center"/>
          </w:tcPr>
          <w:p w14:paraId="367C6320">
            <w:pPr>
              <w:pStyle w:val="15"/>
            </w:pPr>
          </w:p>
        </w:tc>
        <w:tc>
          <w:tcPr>
            <w:tcW w:w="1134" w:type="dxa"/>
            <w:vAlign w:val="center"/>
          </w:tcPr>
          <w:p w14:paraId="69AACA09">
            <w:pPr>
              <w:pStyle w:val="16"/>
            </w:pPr>
          </w:p>
        </w:tc>
        <w:tc>
          <w:tcPr>
            <w:tcW w:w="1134" w:type="dxa"/>
            <w:vAlign w:val="center"/>
          </w:tcPr>
          <w:p w14:paraId="4E98E001">
            <w:pPr>
              <w:pStyle w:val="16"/>
            </w:pPr>
          </w:p>
        </w:tc>
        <w:tc>
          <w:tcPr>
            <w:tcW w:w="709" w:type="dxa"/>
            <w:vAlign w:val="center"/>
          </w:tcPr>
          <w:p w14:paraId="7B9540FB">
            <w:pPr>
              <w:pStyle w:val="14"/>
            </w:pPr>
          </w:p>
        </w:tc>
        <w:tc>
          <w:tcPr>
            <w:tcW w:w="850" w:type="dxa"/>
            <w:vAlign w:val="center"/>
          </w:tcPr>
          <w:p w14:paraId="11593B18">
            <w:pPr>
              <w:pStyle w:val="15"/>
            </w:pPr>
          </w:p>
        </w:tc>
        <w:tc>
          <w:tcPr>
            <w:tcW w:w="850" w:type="dxa"/>
            <w:vAlign w:val="center"/>
          </w:tcPr>
          <w:p w14:paraId="47EBB102">
            <w:pPr>
              <w:pStyle w:val="15"/>
            </w:pPr>
          </w:p>
        </w:tc>
        <w:tc>
          <w:tcPr>
            <w:tcW w:w="964" w:type="dxa"/>
            <w:vAlign w:val="center"/>
          </w:tcPr>
          <w:p w14:paraId="5216ABEC">
            <w:pPr>
              <w:pStyle w:val="15"/>
            </w:pPr>
            <w:r>
              <w:t>219.08</w:t>
            </w:r>
          </w:p>
        </w:tc>
        <w:tc>
          <w:tcPr>
            <w:tcW w:w="964" w:type="dxa"/>
            <w:vAlign w:val="center"/>
          </w:tcPr>
          <w:p w14:paraId="3D82C21E">
            <w:pPr>
              <w:pStyle w:val="15"/>
            </w:pPr>
            <w:r>
              <w:t>219.08</w:t>
            </w:r>
          </w:p>
        </w:tc>
        <w:tc>
          <w:tcPr>
            <w:tcW w:w="964" w:type="dxa"/>
            <w:vAlign w:val="center"/>
          </w:tcPr>
          <w:p w14:paraId="24826AA6">
            <w:pPr>
              <w:pStyle w:val="15"/>
            </w:pPr>
          </w:p>
        </w:tc>
        <w:tc>
          <w:tcPr>
            <w:tcW w:w="964" w:type="dxa"/>
            <w:vAlign w:val="center"/>
          </w:tcPr>
          <w:p w14:paraId="0699A666">
            <w:pPr>
              <w:pStyle w:val="15"/>
            </w:pPr>
          </w:p>
        </w:tc>
        <w:tc>
          <w:tcPr>
            <w:tcW w:w="964" w:type="dxa"/>
            <w:vAlign w:val="center"/>
          </w:tcPr>
          <w:p w14:paraId="720F7F1A">
            <w:pPr>
              <w:pStyle w:val="15"/>
            </w:pPr>
          </w:p>
        </w:tc>
        <w:tc>
          <w:tcPr>
            <w:tcW w:w="964" w:type="dxa"/>
            <w:vAlign w:val="center"/>
          </w:tcPr>
          <w:p w14:paraId="4888B3C1">
            <w:pPr>
              <w:pStyle w:val="15"/>
            </w:pPr>
          </w:p>
        </w:tc>
        <w:tc>
          <w:tcPr>
            <w:tcW w:w="964" w:type="dxa"/>
            <w:vAlign w:val="center"/>
          </w:tcPr>
          <w:p w14:paraId="45BBE298">
            <w:pPr>
              <w:pStyle w:val="15"/>
            </w:pPr>
          </w:p>
        </w:tc>
        <w:tc>
          <w:tcPr>
            <w:tcW w:w="964" w:type="dxa"/>
            <w:vAlign w:val="center"/>
          </w:tcPr>
          <w:p w14:paraId="49E25B87">
            <w:pPr>
              <w:pStyle w:val="15"/>
            </w:pPr>
          </w:p>
        </w:tc>
        <w:tc>
          <w:tcPr>
            <w:tcW w:w="964" w:type="dxa"/>
            <w:vAlign w:val="center"/>
          </w:tcPr>
          <w:p w14:paraId="0D444617">
            <w:pPr>
              <w:pStyle w:val="15"/>
            </w:pPr>
            <w:r>
              <w:t>219.08</w:t>
            </w:r>
          </w:p>
        </w:tc>
      </w:tr>
      <w:tr w14:paraId="4530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FC68A8">
            <w:pPr>
              <w:pStyle w:val="14"/>
            </w:pPr>
            <w:r>
              <w:t>隆尧县尹村校区小计</w:t>
            </w:r>
          </w:p>
        </w:tc>
        <w:tc>
          <w:tcPr>
            <w:tcW w:w="964" w:type="dxa"/>
            <w:vAlign w:val="center"/>
          </w:tcPr>
          <w:p w14:paraId="1096B4EF">
            <w:pPr>
              <w:pStyle w:val="15"/>
            </w:pPr>
          </w:p>
        </w:tc>
        <w:tc>
          <w:tcPr>
            <w:tcW w:w="1134" w:type="dxa"/>
            <w:vAlign w:val="center"/>
          </w:tcPr>
          <w:p w14:paraId="7DAEB9AC">
            <w:pPr>
              <w:pStyle w:val="16"/>
            </w:pPr>
          </w:p>
        </w:tc>
        <w:tc>
          <w:tcPr>
            <w:tcW w:w="1134" w:type="dxa"/>
            <w:vAlign w:val="center"/>
          </w:tcPr>
          <w:p w14:paraId="4856B3C7">
            <w:pPr>
              <w:pStyle w:val="16"/>
            </w:pPr>
          </w:p>
        </w:tc>
        <w:tc>
          <w:tcPr>
            <w:tcW w:w="709" w:type="dxa"/>
            <w:vAlign w:val="center"/>
          </w:tcPr>
          <w:p w14:paraId="478B99C6">
            <w:pPr>
              <w:pStyle w:val="14"/>
            </w:pPr>
          </w:p>
        </w:tc>
        <w:tc>
          <w:tcPr>
            <w:tcW w:w="850" w:type="dxa"/>
            <w:vAlign w:val="center"/>
          </w:tcPr>
          <w:p w14:paraId="69C43DEE">
            <w:pPr>
              <w:pStyle w:val="15"/>
            </w:pPr>
          </w:p>
        </w:tc>
        <w:tc>
          <w:tcPr>
            <w:tcW w:w="850" w:type="dxa"/>
            <w:vAlign w:val="center"/>
          </w:tcPr>
          <w:p w14:paraId="66045180">
            <w:pPr>
              <w:pStyle w:val="15"/>
            </w:pPr>
          </w:p>
        </w:tc>
        <w:tc>
          <w:tcPr>
            <w:tcW w:w="964" w:type="dxa"/>
            <w:vAlign w:val="center"/>
          </w:tcPr>
          <w:p w14:paraId="480BD942">
            <w:pPr>
              <w:pStyle w:val="15"/>
            </w:pPr>
            <w:r>
              <w:t>219.08</w:t>
            </w:r>
          </w:p>
        </w:tc>
        <w:tc>
          <w:tcPr>
            <w:tcW w:w="964" w:type="dxa"/>
            <w:vAlign w:val="center"/>
          </w:tcPr>
          <w:p w14:paraId="23734EC1">
            <w:pPr>
              <w:pStyle w:val="15"/>
            </w:pPr>
            <w:r>
              <w:t>219.08</w:t>
            </w:r>
          </w:p>
        </w:tc>
        <w:tc>
          <w:tcPr>
            <w:tcW w:w="964" w:type="dxa"/>
            <w:vAlign w:val="center"/>
          </w:tcPr>
          <w:p w14:paraId="572030AE">
            <w:pPr>
              <w:pStyle w:val="15"/>
            </w:pPr>
          </w:p>
        </w:tc>
        <w:tc>
          <w:tcPr>
            <w:tcW w:w="964" w:type="dxa"/>
            <w:vAlign w:val="center"/>
          </w:tcPr>
          <w:p w14:paraId="707EDF26">
            <w:pPr>
              <w:pStyle w:val="15"/>
            </w:pPr>
          </w:p>
        </w:tc>
        <w:tc>
          <w:tcPr>
            <w:tcW w:w="964" w:type="dxa"/>
            <w:vAlign w:val="center"/>
          </w:tcPr>
          <w:p w14:paraId="50425C33">
            <w:pPr>
              <w:pStyle w:val="15"/>
            </w:pPr>
          </w:p>
        </w:tc>
        <w:tc>
          <w:tcPr>
            <w:tcW w:w="964" w:type="dxa"/>
            <w:vAlign w:val="center"/>
          </w:tcPr>
          <w:p w14:paraId="5DF9BDF0">
            <w:pPr>
              <w:pStyle w:val="15"/>
            </w:pPr>
          </w:p>
        </w:tc>
        <w:tc>
          <w:tcPr>
            <w:tcW w:w="964" w:type="dxa"/>
            <w:vAlign w:val="center"/>
          </w:tcPr>
          <w:p w14:paraId="0CD54396">
            <w:pPr>
              <w:pStyle w:val="15"/>
            </w:pPr>
          </w:p>
        </w:tc>
        <w:tc>
          <w:tcPr>
            <w:tcW w:w="964" w:type="dxa"/>
            <w:vAlign w:val="center"/>
          </w:tcPr>
          <w:p w14:paraId="16AF39D5">
            <w:pPr>
              <w:pStyle w:val="15"/>
            </w:pPr>
          </w:p>
        </w:tc>
        <w:tc>
          <w:tcPr>
            <w:tcW w:w="964" w:type="dxa"/>
            <w:vAlign w:val="center"/>
          </w:tcPr>
          <w:p w14:paraId="0EF6D6A8">
            <w:pPr>
              <w:pStyle w:val="15"/>
            </w:pPr>
            <w:r>
              <w:t>219.08</w:t>
            </w:r>
          </w:p>
        </w:tc>
      </w:tr>
      <w:tr w14:paraId="4C37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BDA8EB">
            <w:pPr>
              <w:pStyle w:val="12"/>
            </w:pPr>
            <w:r>
              <w:t>冀财教[2025]122号/中央/支持学前教育发展/大霍幼儿园新建保育楼附属设施</w:t>
            </w:r>
          </w:p>
        </w:tc>
        <w:tc>
          <w:tcPr>
            <w:tcW w:w="964" w:type="dxa"/>
            <w:vAlign w:val="center"/>
          </w:tcPr>
          <w:p w14:paraId="0863CDAF">
            <w:pPr>
              <w:pStyle w:val="11"/>
            </w:pPr>
            <w:r>
              <w:t>67.00</w:t>
            </w:r>
          </w:p>
        </w:tc>
        <w:tc>
          <w:tcPr>
            <w:tcW w:w="1134" w:type="dxa"/>
            <w:vAlign w:val="center"/>
          </w:tcPr>
          <w:p w14:paraId="404F6AFC">
            <w:pPr>
              <w:pStyle w:val="12"/>
            </w:pPr>
            <w:r>
              <w:t>房屋修缮</w:t>
            </w:r>
          </w:p>
        </w:tc>
        <w:tc>
          <w:tcPr>
            <w:tcW w:w="1134" w:type="dxa"/>
            <w:vAlign w:val="center"/>
          </w:tcPr>
          <w:p w14:paraId="27160CDB">
            <w:pPr>
              <w:pStyle w:val="12"/>
            </w:pPr>
            <w:r>
              <w:t>B08010000</w:t>
            </w:r>
          </w:p>
        </w:tc>
        <w:tc>
          <w:tcPr>
            <w:tcW w:w="709" w:type="dxa"/>
            <w:vAlign w:val="center"/>
          </w:tcPr>
          <w:p w14:paraId="32714612">
            <w:pPr>
              <w:pStyle w:val="13"/>
            </w:pPr>
            <w:r>
              <w:t>年</w:t>
            </w:r>
          </w:p>
        </w:tc>
        <w:tc>
          <w:tcPr>
            <w:tcW w:w="850" w:type="dxa"/>
            <w:vAlign w:val="center"/>
          </w:tcPr>
          <w:p w14:paraId="2690FA75">
            <w:pPr>
              <w:pStyle w:val="11"/>
            </w:pPr>
            <w:r>
              <w:t>1</w:t>
            </w:r>
          </w:p>
        </w:tc>
        <w:tc>
          <w:tcPr>
            <w:tcW w:w="850" w:type="dxa"/>
            <w:vAlign w:val="center"/>
          </w:tcPr>
          <w:p w14:paraId="3F0C2BFE">
            <w:pPr>
              <w:pStyle w:val="11"/>
            </w:pPr>
            <w:r>
              <w:t>67.00</w:t>
            </w:r>
          </w:p>
        </w:tc>
        <w:tc>
          <w:tcPr>
            <w:tcW w:w="964" w:type="dxa"/>
            <w:vAlign w:val="center"/>
          </w:tcPr>
          <w:p w14:paraId="040F4BDF">
            <w:pPr>
              <w:pStyle w:val="11"/>
            </w:pPr>
            <w:r>
              <w:t>67.00</w:t>
            </w:r>
          </w:p>
        </w:tc>
        <w:tc>
          <w:tcPr>
            <w:tcW w:w="964" w:type="dxa"/>
            <w:vAlign w:val="center"/>
          </w:tcPr>
          <w:p w14:paraId="49E8A353">
            <w:pPr>
              <w:pStyle w:val="11"/>
            </w:pPr>
            <w:r>
              <w:t>67.00</w:t>
            </w:r>
          </w:p>
        </w:tc>
        <w:tc>
          <w:tcPr>
            <w:tcW w:w="964" w:type="dxa"/>
            <w:vAlign w:val="center"/>
          </w:tcPr>
          <w:p w14:paraId="46133246">
            <w:pPr>
              <w:pStyle w:val="11"/>
            </w:pPr>
          </w:p>
        </w:tc>
        <w:tc>
          <w:tcPr>
            <w:tcW w:w="964" w:type="dxa"/>
            <w:vAlign w:val="center"/>
          </w:tcPr>
          <w:p w14:paraId="1BB6A79E">
            <w:pPr>
              <w:pStyle w:val="11"/>
            </w:pPr>
          </w:p>
        </w:tc>
        <w:tc>
          <w:tcPr>
            <w:tcW w:w="964" w:type="dxa"/>
            <w:vAlign w:val="center"/>
          </w:tcPr>
          <w:p w14:paraId="78231007">
            <w:pPr>
              <w:pStyle w:val="11"/>
            </w:pPr>
          </w:p>
        </w:tc>
        <w:tc>
          <w:tcPr>
            <w:tcW w:w="964" w:type="dxa"/>
            <w:vAlign w:val="center"/>
          </w:tcPr>
          <w:p w14:paraId="682FC1FB">
            <w:pPr>
              <w:pStyle w:val="11"/>
            </w:pPr>
          </w:p>
        </w:tc>
        <w:tc>
          <w:tcPr>
            <w:tcW w:w="964" w:type="dxa"/>
            <w:vAlign w:val="center"/>
          </w:tcPr>
          <w:p w14:paraId="6EE1D279">
            <w:pPr>
              <w:pStyle w:val="11"/>
            </w:pPr>
          </w:p>
        </w:tc>
        <w:tc>
          <w:tcPr>
            <w:tcW w:w="964" w:type="dxa"/>
            <w:vAlign w:val="center"/>
          </w:tcPr>
          <w:p w14:paraId="01349E69">
            <w:pPr>
              <w:pStyle w:val="11"/>
            </w:pPr>
          </w:p>
        </w:tc>
        <w:tc>
          <w:tcPr>
            <w:tcW w:w="964" w:type="dxa"/>
            <w:vAlign w:val="center"/>
          </w:tcPr>
          <w:p w14:paraId="7A640C7D">
            <w:pPr>
              <w:pStyle w:val="11"/>
            </w:pPr>
            <w:r>
              <w:t>67.00</w:t>
            </w:r>
          </w:p>
        </w:tc>
      </w:tr>
      <w:tr w14:paraId="3DA81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2738F0">
            <w:pPr>
              <w:pStyle w:val="12"/>
            </w:pPr>
            <w:r>
              <w:t>冀财教[2025]122号/中央/支持学前教育发展/尹村校区幼儿园设备购置</w:t>
            </w:r>
          </w:p>
        </w:tc>
        <w:tc>
          <w:tcPr>
            <w:tcW w:w="964" w:type="dxa"/>
            <w:vAlign w:val="center"/>
          </w:tcPr>
          <w:p w14:paraId="1925CF96">
            <w:pPr>
              <w:pStyle w:val="11"/>
            </w:pPr>
            <w:r>
              <w:t>87.90</w:t>
            </w:r>
          </w:p>
        </w:tc>
        <w:tc>
          <w:tcPr>
            <w:tcW w:w="1134" w:type="dxa"/>
            <w:vAlign w:val="center"/>
          </w:tcPr>
          <w:p w14:paraId="590AA759">
            <w:pPr>
              <w:pStyle w:val="12"/>
            </w:pPr>
            <w:r>
              <w:t>A4 彩色打印机</w:t>
            </w:r>
          </w:p>
        </w:tc>
        <w:tc>
          <w:tcPr>
            <w:tcW w:w="1134" w:type="dxa"/>
            <w:vAlign w:val="center"/>
          </w:tcPr>
          <w:p w14:paraId="7E11874B">
            <w:pPr>
              <w:pStyle w:val="12"/>
            </w:pPr>
            <w:r>
              <w:t>A02021004</w:t>
            </w:r>
          </w:p>
        </w:tc>
        <w:tc>
          <w:tcPr>
            <w:tcW w:w="709" w:type="dxa"/>
            <w:vAlign w:val="center"/>
          </w:tcPr>
          <w:p w14:paraId="74B05DDC">
            <w:pPr>
              <w:pStyle w:val="13"/>
            </w:pPr>
            <w:r>
              <w:t>台</w:t>
            </w:r>
          </w:p>
        </w:tc>
        <w:tc>
          <w:tcPr>
            <w:tcW w:w="850" w:type="dxa"/>
            <w:vAlign w:val="center"/>
          </w:tcPr>
          <w:p w14:paraId="797C6CE4">
            <w:pPr>
              <w:pStyle w:val="11"/>
            </w:pPr>
            <w:r>
              <w:t>2</w:t>
            </w:r>
          </w:p>
        </w:tc>
        <w:tc>
          <w:tcPr>
            <w:tcW w:w="850" w:type="dxa"/>
            <w:vAlign w:val="center"/>
          </w:tcPr>
          <w:p w14:paraId="10EAEDAA">
            <w:pPr>
              <w:pStyle w:val="11"/>
            </w:pPr>
            <w:r>
              <w:t>0.20</w:t>
            </w:r>
          </w:p>
        </w:tc>
        <w:tc>
          <w:tcPr>
            <w:tcW w:w="964" w:type="dxa"/>
            <w:vAlign w:val="center"/>
          </w:tcPr>
          <w:p w14:paraId="5841BF08">
            <w:pPr>
              <w:pStyle w:val="11"/>
            </w:pPr>
            <w:r>
              <w:t>0.40</w:t>
            </w:r>
          </w:p>
        </w:tc>
        <w:tc>
          <w:tcPr>
            <w:tcW w:w="964" w:type="dxa"/>
            <w:vAlign w:val="center"/>
          </w:tcPr>
          <w:p w14:paraId="2367200B">
            <w:pPr>
              <w:pStyle w:val="11"/>
            </w:pPr>
            <w:r>
              <w:t>0.40</w:t>
            </w:r>
          </w:p>
        </w:tc>
        <w:tc>
          <w:tcPr>
            <w:tcW w:w="964" w:type="dxa"/>
            <w:vAlign w:val="center"/>
          </w:tcPr>
          <w:p w14:paraId="466137FF">
            <w:pPr>
              <w:pStyle w:val="11"/>
            </w:pPr>
          </w:p>
        </w:tc>
        <w:tc>
          <w:tcPr>
            <w:tcW w:w="964" w:type="dxa"/>
            <w:vAlign w:val="center"/>
          </w:tcPr>
          <w:p w14:paraId="58D10F22">
            <w:pPr>
              <w:pStyle w:val="11"/>
            </w:pPr>
          </w:p>
        </w:tc>
        <w:tc>
          <w:tcPr>
            <w:tcW w:w="964" w:type="dxa"/>
            <w:vAlign w:val="center"/>
          </w:tcPr>
          <w:p w14:paraId="1B2429FA">
            <w:pPr>
              <w:pStyle w:val="11"/>
            </w:pPr>
          </w:p>
        </w:tc>
        <w:tc>
          <w:tcPr>
            <w:tcW w:w="964" w:type="dxa"/>
            <w:vAlign w:val="center"/>
          </w:tcPr>
          <w:p w14:paraId="7A14655E">
            <w:pPr>
              <w:pStyle w:val="11"/>
            </w:pPr>
          </w:p>
        </w:tc>
        <w:tc>
          <w:tcPr>
            <w:tcW w:w="964" w:type="dxa"/>
            <w:vAlign w:val="center"/>
          </w:tcPr>
          <w:p w14:paraId="31045AAC">
            <w:pPr>
              <w:pStyle w:val="11"/>
            </w:pPr>
          </w:p>
        </w:tc>
        <w:tc>
          <w:tcPr>
            <w:tcW w:w="964" w:type="dxa"/>
            <w:vAlign w:val="center"/>
          </w:tcPr>
          <w:p w14:paraId="2B411269">
            <w:pPr>
              <w:pStyle w:val="11"/>
            </w:pPr>
          </w:p>
        </w:tc>
        <w:tc>
          <w:tcPr>
            <w:tcW w:w="964" w:type="dxa"/>
            <w:vAlign w:val="center"/>
          </w:tcPr>
          <w:p w14:paraId="437E0B73">
            <w:pPr>
              <w:pStyle w:val="11"/>
            </w:pPr>
            <w:r>
              <w:t>0.40</w:t>
            </w:r>
          </w:p>
        </w:tc>
      </w:tr>
      <w:tr w14:paraId="2C1D7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FF3703">
            <w:pPr>
              <w:pStyle w:val="12"/>
            </w:pPr>
            <w:r>
              <w:t>冀财教[2025]122号/中央/支持学前教育发展/尹村校区幼儿园设备购置</w:t>
            </w:r>
          </w:p>
        </w:tc>
        <w:tc>
          <w:tcPr>
            <w:tcW w:w="964" w:type="dxa"/>
            <w:vAlign w:val="center"/>
          </w:tcPr>
          <w:p w14:paraId="333A9365">
            <w:pPr>
              <w:pStyle w:val="11"/>
            </w:pPr>
            <w:r>
              <w:t>87.90</w:t>
            </w:r>
          </w:p>
        </w:tc>
        <w:tc>
          <w:tcPr>
            <w:tcW w:w="1134" w:type="dxa"/>
            <w:vAlign w:val="center"/>
          </w:tcPr>
          <w:p w14:paraId="208A07D9">
            <w:pPr>
              <w:pStyle w:val="12"/>
            </w:pPr>
            <w:r>
              <w:t>空调机</w:t>
            </w:r>
          </w:p>
        </w:tc>
        <w:tc>
          <w:tcPr>
            <w:tcW w:w="1134" w:type="dxa"/>
            <w:vAlign w:val="center"/>
          </w:tcPr>
          <w:p w14:paraId="0E24CACD">
            <w:pPr>
              <w:pStyle w:val="12"/>
            </w:pPr>
            <w:r>
              <w:t>A02061804</w:t>
            </w:r>
          </w:p>
        </w:tc>
        <w:tc>
          <w:tcPr>
            <w:tcW w:w="709" w:type="dxa"/>
            <w:vAlign w:val="center"/>
          </w:tcPr>
          <w:p w14:paraId="28A7BBB2">
            <w:pPr>
              <w:pStyle w:val="13"/>
            </w:pPr>
            <w:r>
              <w:t>台</w:t>
            </w:r>
          </w:p>
        </w:tc>
        <w:tc>
          <w:tcPr>
            <w:tcW w:w="850" w:type="dxa"/>
            <w:vAlign w:val="center"/>
          </w:tcPr>
          <w:p w14:paraId="30133099">
            <w:pPr>
              <w:pStyle w:val="11"/>
            </w:pPr>
            <w:r>
              <w:t>10</w:t>
            </w:r>
          </w:p>
        </w:tc>
        <w:tc>
          <w:tcPr>
            <w:tcW w:w="850" w:type="dxa"/>
            <w:vAlign w:val="center"/>
          </w:tcPr>
          <w:p w14:paraId="40EA97EB">
            <w:pPr>
              <w:pStyle w:val="11"/>
            </w:pPr>
            <w:r>
              <w:t>0.55</w:t>
            </w:r>
          </w:p>
        </w:tc>
        <w:tc>
          <w:tcPr>
            <w:tcW w:w="964" w:type="dxa"/>
            <w:vAlign w:val="center"/>
          </w:tcPr>
          <w:p w14:paraId="19FE5D13">
            <w:pPr>
              <w:pStyle w:val="11"/>
            </w:pPr>
            <w:r>
              <w:t>5.50</w:t>
            </w:r>
          </w:p>
        </w:tc>
        <w:tc>
          <w:tcPr>
            <w:tcW w:w="964" w:type="dxa"/>
            <w:vAlign w:val="center"/>
          </w:tcPr>
          <w:p w14:paraId="0CE05A4B">
            <w:pPr>
              <w:pStyle w:val="11"/>
            </w:pPr>
            <w:r>
              <w:t>5.50</w:t>
            </w:r>
          </w:p>
        </w:tc>
        <w:tc>
          <w:tcPr>
            <w:tcW w:w="964" w:type="dxa"/>
            <w:vAlign w:val="center"/>
          </w:tcPr>
          <w:p w14:paraId="3FC30C1C">
            <w:pPr>
              <w:pStyle w:val="11"/>
            </w:pPr>
          </w:p>
        </w:tc>
        <w:tc>
          <w:tcPr>
            <w:tcW w:w="964" w:type="dxa"/>
            <w:vAlign w:val="center"/>
          </w:tcPr>
          <w:p w14:paraId="40E2FD75">
            <w:pPr>
              <w:pStyle w:val="11"/>
            </w:pPr>
          </w:p>
        </w:tc>
        <w:tc>
          <w:tcPr>
            <w:tcW w:w="964" w:type="dxa"/>
            <w:vAlign w:val="center"/>
          </w:tcPr>
          <w:p w14:paraId="1851D8AF">
            <w:pPr>
              <w:pStyle w:val="11"/>
            </w:pPr>
          </w:p>
        </w:tc>
        <w:tc>
          <w:tcPr>
            <w:tcW w:w="964" w:type="dxa"/>
            <w:vAlign w:val="center"/>
          </w:tcPr>
          <w:p w14:paraId="74D0DE6E">
            <w:pPr>
              <w:pStyle w:val="11"/>
            </w:pPr>
          </w:p>
        </w:tc>
        <w:tc>
          <w:tcPr>
            <w:tcW w:w="964" w:type="dxa"/>
            <w:vAlign w:val="center"/>
          </w:tcPr>
          <w:p w14:paraId="4576D3C5">
            <w:pPr>
              <w:pStyle w:val="11"/>
            </w:pPr>
          </w:p>
        </w:tc>
        <w:tc>
          <w:tcPr>
            <w:tcW w:w="964" w:type="dxa"/>
            <w:vAlign w:val="center"/>
          </w:tcPr>
          <w:p w14:paraId="45C62AD5">
            <w:pPr>
              <w:pStyle w:val="11"/>
            </w:pPr>
          </w:p>
        </w:tc>
        <w:tc>
          <w:tcPr>
            <w:tcW w:w="964" w:type="dxa"/>
            <w:vAlign w:val="center"/>
          </w:tcPr>
          <w:p w14:paraId="0A8DD4C9">
            <w:pPr>
              <w:pStyle w:val="11"/>
            </w:pPr>
            <w:r>
              <w:t>5.50</w:t>
            </w:r>
          </w:p>
        </w:tc>
      </w:tr>
      <w:tr w14:paraId="2B27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48F280">
            <w:pPr>
              <w:pStyle w:val="12"/>
            </w:pPr>
            <w:r>
              <w:t>冀财教[2025]122号/中央/支持学前教育发展/尹村校区幼儿园设备购置</w:t>
            </w:r>
          </w:p>
        </w:tc>
        <w:tc>
          <w:tcPr>
            <w:tcW w:w="964" w:type="dxa"/>
            <w:vAlign w:val="center"/>
          </w:tcPr>
          <w:p w14:paraId="01294125">
            <w:pPr>
              <w:pStyle w:val="11"/>
            </w:pPr>
            <w:r>
              <w:t>87.90</w:t>
            </w:r>
          </w:p>
        </w:tc>
        <w:tc>
          <w:tcPr>
            <w:tcW w:w="1134" w:type="dxa"/>
            <w:vAlign w:val="center"/>
          </w:tcPr>
          <w:p w14:paraId="1D2AE680">
            <w:pPr>
              <w:pStyle w:val="12"/>
            </w:pPr>
            <w:r>
              <w:t>文件柜</w:t>
            </w:r>
          </w:p>
        </w:tc>
        <w:tc>
          <w:tcPr>
            <w:tcW w:w="1134" w:type="dxa"/>
            <w:vAlign w:val="center"/>
          </w:tcPr>
          <w:p w14:paraId="29BDAAC2">
            <w:pPr>
              <w:pStyle w:val="12"/>
            </w:pPr>
            <w:r>
              <w:t>A05010502</w:t>
            </w:r>
          </w:p>
        </w:tc>
        <w:tc>
          <w:tcPr>
            <w:tcW w:w="709" w:type="dxa"/>
            <w:vAlign w:val="center"/>
          </w:tcPr>
          <w:p w14:paraId="6E1BCF98">
            <w:pPr>
              <w:pStyle w:val="13"/>
            </w:pPr>
            <w:r>
              <w:t>个</w:t>
            </w:r>
          </w:p>
        </w:tc>
        <w:tc>
          <w:tcPr>
            <w:tcW w:w="850" w:type="dxa"/>
            <w:vAlign w:val="center"/>
          </w:tcPr>
          <w:p w14:paraId="17C9BF87">
            <w:pPr>
              <w:pStyle w:val="11"/>
            </w:pPr>
            <w:r>
              <w:t>3</w:t>
            </w:r>
          </w:p>
        </w:tc>
        <w:tc>
          <w:tcPr>
            <w:tcW w:w="850" w:type="dxa"/>
            <w:vAlign w:val="center"/>
          </w:tcPr>
          <w:p w14:paraId="00A3C26D">
            <w:pPr>
              <w:pStyle w:val="11"/>
            </w:pPr>
            <w:r>
              <w:t>0.06</w:t>
            </w:r>
          </w:p>
        </w:tc>
        <w:tc>
          <w:tcPr>
            <w:tcW w:w="964" w:type="dxa"/>
            <w:vAlign w:val="center"/>
          </w:tcPr>
          <w:p w14:paraId="468C1D3E">
            <w:pPr>
              <w:pStyle w:val="11"/>
            </w:pPr>
            <w:r>
              <w:t>0.18</w:t>
            </w:r>
          </w:p>
        </w:tc>
        <w:tc>
          <w:tcPr>
            <w:tcW w:w="964" w:type="dxa"/>
            <w:vAlign w:val="center"/>
          </w:tcPr>
          <w:p w14:paraId="152775BC">
            <w:pPr>
              <w:pStyle w:val="11"/>
            </w:pPr>
            <w:r>
              <w:t>0.18</w:t>
            </w:r>
          </w:p>
        </w:tc>
        <w:tc>
          <w:tcPr>
            <w:tcW w:w="964" w:type="dxa"/>
            <w:vAlign w:val="center"/>
          </w:tcPr>
          <w:p w14:paraId="11E548CF">
            <w:pPr>
              <w:pStyle w:val="11"/>
            </w:pPr>
          </w:p>
        </w:tc>
        <w:tc>
          <w:tcPr>
            <w:tcW w:w="964" w:type="dxa"/>
            <w:vAlign w:val="center"/>
          </w:tcPr>
          <w:p w14:paraId="6CF6C3B6">
            <w:pPr>
              <w:pStyle w:val="11"/>
            </w:pPr>
          </w:p>
        </w:tc>
        <w:tc>
          <w:tcPr>
            <w:tcW w:w="964" w:type="dxa"/>
            <w:vAlign w:val="center"/>
          </w:tcPr>
          <w:p w14:paraId="27496E5A">
            <w:pPr>
              <w:pStyle w:val="11"/>
            </w:pPr>
          </w:p>
        </w:tc>
        <w:tc>
          <w:tcPr>
            <w:tcW w:w="964" w:type="dxa"/>
            <w:vAlign w:val="center"/>
          </w:tcPr>
          <w:p w14:paraId="0658AE6C">
            <w:pPr>
              <w:pStyle w:val="11"/>
            </w:pPr>
          </w:p>
        </w:tc>
        <w:tc>
          <w:tcPr>
            <w:tcW w:w="964" w:type="dxa"/>
            <w:vAlign w:val="center"/>
          </w:tcPr>
          <w:p w14:paraId="7AC7743C">
            <w:pPr>
              <w:pStyle w:val="11"/>
            </w:pPr>
          </w:p>
        </w:tc>
        <w:tc>
          <w:tcPr>
            <w:tcW w:w="964" w:type="dxa"/>
            <w:vAlign w:val="center"/>
          </w:tcPr>
          <w:p w14:paraId="1CAC7232">
            <w:pPr>
              <w:pStyle w:val="11"/>
            </w:pPr>
          </w:p>
        </w:tc>
        <w:tc>
          <w:tcPr>
            <w:tcW w:w="964" w:type="dxa"/>
            <w:vAlign w:val="center"/>
          </w:tcPr>
          <w:p w14:paraId="3426677C">
            <w:pPr>
              <w:pStyle w:val="11"/>
            </w:pPr>
            <w:r>
              <w:t>0.18</w:t>
            </w:r>
          </w:p>
        </w:tc>
      </w:tr>
      <w:tr w14:paraId="31CF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1D983B">
            <w:pPr>
              <w:pStyle w:val="12"/>
            </w:pPr>
            <w:r>
              <w:t>冀财教[2025]145号/省级/2026年薄弱学校改造/大霍小学体育场地改建</w:t>
            </w:r>
          </w:p>
        </w:tc>
        <w:tc>
          <w:tcPr>
            <w:tcW w:w="964" w:type="dxa"/>
            <w:vAlign w:val="center"/>
          </w:tcPr>
          <w:p w14:paraId="3E6FC282">
            <w:pPr>
              <w:pStyle w:val="11"/>
            </w:pPr>
            <w:r>
              <w:t>146.00</w:t>
            </w:r>
          </w:p>
        </w:tc>
        <w:tc>
          <w:tcPr>
            <w:tcW w:w="1134" w:type="dxa"/>
            <w:vAlign w:val="center"/>
          </w:tcPr>
          <w:p w14:paraId="72FB7B9B">
            <w:pPr>
              <w:pStyle w:val="12"/>
            </w:pPr>
            <w:r>
              <w:t>室外体育和娱乐设施工程施工</w:t>
            </w:r>
          </w:p>
        </w:tc>
        <w:tc>
          <w:tcPr>
            <w:tcW w:w="1134" w:type="dxa"/>
            <w:vAlign w:val="center"/>
          </w:tcPr>
          <w:p w14:paraId="3484E265">
            <w:pPr>
              <w:pStyle w:val="12"/>
            </w:pPr>
            <w:r>
              <w:t>B02130400</w:t>
            </w:r>
          </w:p>
        </w:tc>
        <w:tc>
          <w:tcPr>
            <w:tcW w:w="709" w:type="dxa"/>
            <w:vAlign w:val="center"/>
          </w:tcPr>
          <w:p w14:paraId="511AF182">
            <w:pPr>
              <w:pStyle w:val="13"/>
            </w:pPr>
            <w:r>
              <w:t>年</w:t>
            </w:r>
          </w:p>
        </w:tc>
        <w:tc>
          <w:tcPr>
            <w:tcW w:w="850" w:type="dxa"/>
            <w:vAlign w:val="center"/>
          </w:tcPr>
          <w:p w14:paraId="7CC6E9AD">
            <w:pPr>
              <w:pStyle w:val="11"/>
            </w:pPr>
            <w:r>
              <w:t>1</w:t>
            </w:r>
          </w:p>
        </w:tc>
        <w:tc>
          <w:tcPr>
            <w:tcW w:w="850" w:type="dxa"/>
            <w:vAlign w:val="center"/>
          </w:tcPr>
          <w:p w14:paraId="3F97FC5E">
            <w:pPr>
              <w:pStyle w:val="11"/>
            </w:pPr>
            <w:r>
              <w:t>146.00</w:t>
            </w:r>
          </w:p>
        </w:tc>
        <w:tc>
          <w:tcPr>
            <w:tcW w:w="964" w:type="dxa"/>
            <w:vAlign w:val="center"/>
          </w:tcPr>
          <w:p w14:paraId="623C6ED6">
            <w:pPr>
              <w:pStyle w:val="11"/>
            </w:pPr>
            <w:r>
              <w:t>146.00</w:t>
            </w:r>
          </w:p>
        </w:tc>
        <w:tc>
          <w:tcPr>
            <w:tcW w:w="964" w:type="dxa"/>
            <w:vAlign w:val="center"/>
          </w:tcPr>
          <w:p w14:paraId="0D0F896A">
            <w:pPr>
              <w:pStyle w:val="11"/>
            </w:pPr>
            <w:r>
              <w:t>146.00</w:t>
            </w:r>
          </w:p>
        </w:tc>
        <w:tc>
          <w:tcPr>
            <w:tcW w:w="964" w:type="dxa"/>
            <w:vAlign w:val="center"/>
          </w:tcPr>
          <w:p w14:paraId="3F357209">
            <w:pPr>
              <w:pStyle w:val="11"/>
            </w:pPr>
          </w:p>
        </w:tc>
        <w:tc>
          <w:tcPr>
            <w:tcW w:w="964" w:type="dxa"/>
            <w:vAlign w:val="center"/>
          </w:tcPr>
          <w:p w14:paraId="572C7EA4">
            <w:pPr>
              <w:pStyle w:val="11"/>
            </w:pPr>
          </w:p>
        </w:tc>
        <w:tc>
          <w:tcPr>
            <w:tcW w:w="964" w:type="dxa"/>
            <w:vAlign w:val="center"/>
          </w:tcPr>
          <w:p w14:paraId="7A7049D0">
            <w:pPr>
              <w:pStyle w:val="11"/>
            </w:pPr>
          </w:p>
        </w:tc>
        <w:tc>
          <w:tcPr>
            <w:tcW w:w="964" w:type="dxa"/>
            <w:vAlign w:val="center"/>
          </w:tcPr>
          <w:p w14:paraId="68C5B7BE">
            <w:pPr>
              <w:pStyle w:val="11"/>
            </w:pPr>
          </w:p>
        </w:tc>
        <w:tc>
          <w:tcPr>
            <w:tcW w:w="964" w:type="dxa"/>
            <w:vAlign w:val="center"/>
          </w:tcPr>
          <w:p w14:paraId="12CFA0E9">
            <w:pPr>
              <w:pStyle w:val="11"/>
            </w:pPr>
          </w:p>
        </w:tc>
        <w:tc>
          <w:tcPr>
            <w:tcW w:w="964" w:type="dxa"/>
            <w:vAlign w:val="center"/>
          </w:tcPr>
          <w:p w14:paraId="51C7DDCE">
            <w:pPr>
              <w:pStyle w:val="11"/>
            </w:pPr>
          </w:p>
        </w:tc>
        <w:tc>
          <w:tcPr>
            <w:tcW w:w="964" w:type="dxa"/>
            <w:vAlign w:val="center"/>
          </w:tcPr>
          <w:p w14:paraId="12815AA2">
            <w:pPr>
              <w:pStyle w:val="11"/>
            </w:pPr>
            <w:r>
              <w:t>146.00</w:t>
            </w:r>
          </w:p>
        </w:tc>
      </w:tr>
    </w:tbl>
    <w:p w14:paraId="19ABB1E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7E56DF">
      <w:pPr>
        <w:spacing w:before="0" w:after="0"/>
        <w:ind w:firstLine="640"/>
        <w:jc w:val="left"/>
        <w:outlineLvl w:val="9"/>
      </w:pPr>
      <w:r>
        <w:rPr>
          <w:rFonts w:ascii="Times New Roman" w:hAnsi="Times New Roman" w:eastAsia="方正仿宋_GBK" w:cs="Times New Roman"/>
          <w:color w:val="000000"/>
          <w:sz w:val="32"/>
        </w:rPr>
        <w:t xml:space="preserve"> </w:t>
      </w:r>
    </w:p>
    <w:p w14:paraId="3730C39C">
      <w:pPr>
        <w:spacing w:before="10" w:after="10" w:line="240" w:lineRule="auto"/>
        <w:ind w:firstLine="640"/>
        <w:jc w:val="left"/>
        <w:outlineLvl w:val="5"/>
      </w:pPr>
      <w:r>
        <w:rPr>
          <w:rFonts w:ascii="黑体" w:hAnsi="黑体" w:eastAsia="黑体" w:cs="黑体"/>
          <w:color w:val="000000"/>
          <w:sz w:val="32"/>
        </w:rPr>
        <w:t>七、国有资产信息</w:t>
      </w:r>
    </w:p>
    <w:p w14:paraId="2197AE31">
      <w:pPr>
        <w:spacing w:before="0" w:after="0" w:line="500" w:lineRule="exact"/>
        <w:ind w:firstLine="560"/>
        <w:jc w:val="left"/>
        <w:outlineLvl w:val="9"/>
      </w:pPr>
      <w:r>
        <w:rPr>
          <w:rFonts w:ascii="Times New Roman" w:hAnsi="Times New Roman" w:eastAsia="方正仿宋_GBK" w:cs="Times New Roman"/>
          <w:b w:val="0"/>
          <w:color w:val="000000"/>
          <w:sz w:val="28"/>
        </w:rPr>
        <w:t>隆尧县尹村校区上年末固定资产金额为2600.84万元（详见下表）。本年度拟购置固定资产总额为128.00万元，已按要求列入政府采购预算，详见政府采购预算表。</w:t>
      </w:r>
    </w:p>
    <w:p w14:paraId="0DE3903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77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359EDE">
            <w:pPr>
              <w:pStyle w:val="9"/>
            </w:pPr>
            <w:r>
              <w:t>360022隆尧县尹村校区</w:t>
            </w:r>
          </w:p>
        </w:tc>
        <w:tc>
          <w:tcPr>
            <w:tcW w:w="5670" w:type="dxa"/>
            <w:gridSpan w:val="2"/>
            <w:tcBorders>
              <w:top w:val="single" w:color="FFFFFF" w:sz="6" w:space="0"/>
              <w:left w:val="single" w:color="FFFFFF" w:sz="6" w:space="0"/>
              <w:right w:val="single" w:color="FFFFFF" w:sz="6" w:space="0"/>
            </w:tcBorders>
            <w:vAlign w:val="center"/>
          </w:tcPr>
          <w:p w14:paraId="118962CB">
            <w:pPr>
              <w:pStyle w:val="7"/>
            </w:pPr>
            <w:r>
              <w:t>截止时间：2025-12-31</w:t>
            </w:r>
          </w:p>
        </w:tc>
      </w:tr>
      <w:tr w14:paraId="580C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B9FC16">
            <w:pPr>
              <w:pStyle w:val="10"/>
            </w:pPr>
            <w:r>
              <w:t>项   目</w:t>
            </w:r>
          </w:p>
        </w:tc>
        <w:tc>
          <w:tcPr>
            <w:tcW w:w="2835" w:type="dxa"/>
            <w:vAlign w:val="center"/>
          </w:tcPr>
          <w:p w14:paraId="271D3162">
            <w:pPr>
              <w:pStyle w:val="10"/>
            </w:pPr>
            <w:r>
              <w:t>数量</w:t>
            </w:r>
          </w:p>
        </w:tc>
        <w:tc>
          <w:tcPr>
            <w:tcW w:w="2835" w:type="dxa"/>
            <w:vAlign w:val="center"/>
          </w:tcPr>
          <w:p w14:paraId="120E95FE">
            <w:pPr>
              <w:pStyle w:val="10"/>
            </w:pPr>
            <w:r>
              <w:t>价值（金额单位：万元）</w:t>
            </w:r>
          </w:p>
        </w:tc>
      </w:tr>
      <w:tr w14:paraId="3793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65B84A">
            <w:pPr>
              <w:pStyle w:val="12"/>
            </w:pPr>
            <w:r>
              <w:t>资产总额</w:t>
            </w:r>
          </w:p>
        </w:tc>
        <w:tc>
          <w:tcPr>
            <w:tcW w:w="2835" w:type="dxa"/>
            <w:vAlign w:val="center"/>
          </w:tcPr>
          <w:p w14:paraId="371920D1">
            <w:pPr>
              <w:pStyle w:val="13"/>
            </w:pPr>
          </w:p>
        </w:tc>
        <w:tc>
          <w:tcPr>
            <w:tcW w:w="2835" w:type="dxa"/>
            <w:vAlign w:val="center"/>
          </w:tcPr>
          <w:p w14:paraId="31BC8068">
            <w:pPr>
              <w:pStyle w:val="11"/>
            </w:pPr>
            <w:r>
              <w:t>2600.84</w:t>
            </w:r>
          </w:p>
        </w:tc>
      </w:tr>
      <w:tr w14:paraId="46BF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FC825E">
            <w:pPr>
              <w:pStyle w:val="12"/>
            </w:pPr>
            <w:r>
              <w:t>1、房屋（平方米）</w:t>
            </w:r>
          </w:p>
        </w:tc>
        <w:tc>
          <w:tcPr>
            <w:tcW w:w="2835" w:type="dxa"/>
            <w:vAlign w:val="center"/>
          </w:tcPr>
          <w:p w14:paraId="752B0B64">
            <w:pPr>
              <w:pStyle w:val="13"/>
            </w:pPr>
            <w:r>
              <w:t>14035.39</w:t>
            </w:r>
          </w:p>
        </w:tc>
        <w:tc>
          <w:tcPr>
            <w:tcW w:w="2835" w:type="dxa"/>
            <w:vAlign w:val="center"/>
          </w:tcPr>
          <w:p w14:paraId="30797C80">
            <w:pPr>
              <w:pStyle w:val="11"/>
            </w:pPr>
            <w:r>
              <w:t>1404.96</w:t>
            </w:r>
          </w:p>
        </w:tc>
      </w:tr>
      <w:tr w14:paraId="0C8E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908410">
            <w:pPr>
              <w:pStyle w:val="12"/>
            </w:pPr>
            <w:r>
              <w:t>　　其中：办公用房（平方米）</w:t>
            </w:r>
          </w:p>
        </w:tc>
        <w:tc>
          <w:tcPr>
            <w:tcW w:w="2835" w:type="dxa"/>
            <w:vAlign w:val="center"/>
          </w:tcPr>
          <w:p w14:paraId="0ED3B077">
            <w:pPr>
              <w:pStyle w:val="13"/>
            </w:pPr>
            <w:r>
              <w:t>3537</w:t>
            </w:r>
          </w:p>
        </w:tc>
        <w:tc>
          <w:tcPr>
            <w:tcW w:w="2835" w:type="dxa"/>
            <w:vAlign w:val="center"/>
          </w:tcPr>
          <w:p w14:paraId="3ACBD826">
            <w:pPr>
              <w:pStyle w:val="11"/>
            </w:pPr>
            <w:r>
              <w:t>322.64</w:t>
            </w:r>
          </w:p>
        </w:tc>
      </w:tr>
      <w:tr w14:paraId="45C0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9D720">
            <w:pPr>
              <w:pStyle w:val="12"/>
            </w:pPr>
            <w:r>
              <w:t>2、车辆（台、辆）</w:t>
            </w:r>
          </w:p>
        </w:tc>
        <w:tc>
          <w:tcPr>
            <w:tcW w:w="2835" w:type="dxa"/>
            <w:vAlign w:val="center"/>
          </w:tcPr>
          <w:p w14:paraId="776ACEB9">
            <w:pPr>
              <w:pStyle w:val="13"/>
            </w:pPr>
          </w:p>
        </w:tc>
        <w:tc>
          <w:tcPr>
            <w:tcW w:w="2835" w:type="dxa"/>
            <w:vAlign w:val="center"/>
          </w:tcPr>
          <w:p w14:paraId="7EE52EA8">
            <w:pPr>
              <w:pStyle w:val="11"/>
            </w:pPr>
          </w:p>
        </w:tc>
      </w:tr>
      <w:tr w14:paraId="6920D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DD0824">
            <w:pPr>
              <w:pStyle w:val="12"/>
            </w:pPr>
            <w:r>
              <w:t>3、单价在20万元以上的设备</w:t>
            </w:r>
          </w:p>
        </w:tc>
        <w:tc>
          <w:tcPr>
            <w:tcW w:w="2835" w:type="dxa"/>
            <w:vAlign w:val="center"/>
          </w:tcPr>
          <w:p w14:paraId="0D90565A">
            <w:pPr>
              <w:pStyle w:val="13"/>
            </w:pPr>
            <w:r>
              <w:t>1</w:t>
            </w:r>
          </w:p>
        </w:tc>
        <w:tc>
          <w:tcPr>
            <w:tcW w:w="2835" w:type="dxa"/>
            <w:vAlign w:val="center"/>
          </w:tcPr>
          <w:p w14:paraId="515E5307">
            <w:pPr>
              <w:pStyle w:val="11"/>
            </w:pPr>
            <w:r>
              <w:t>25.19</w:t>
            </w:r>
          </w:p>
        </w:tc>
      </w:tr>
      <w:tr w14:paraId="27E5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184323">
            <w:pPr>
              <w:pStyle w:val="12"/>
            </w:pPr>
            <w:r>
              <w:t>4、其他固定资产</w:t>
            </w:r>
          </w:p>
        </w:tc>
        <w:tc>
          <w:tcPr>
            <w:tcW w:w="2835" w:type="dxa"/>
            <w:vAlign w:val="center"/>
          </w:tcPr>
          <w:p w14:paraId="31286CBB">
            <w:pPr>
              <w:pStyle w:val="13"/>
            </w:pPr>
            <w:r>
              <w:t>26201</w:t>
            </w:r>
          </w:p>
        </w:tc>
        <w:tc>
          <w:tcPr>
            <w:tcW w:w="2835" w:type="dxa"/>
            <w:vAlign w:val="center"/>
          </w:tcPr>
          <w:p w14:paraId="7D82D04B">
            <w:pPr>
              <w:pStyle w:val="11"/>
            </w:pPr>
            <w:r>
              <w:t>1170.69</w:t>
            </w:r>
          </w:p>
        </w:tc>
      </w:tr>
    </w:tbl>
    <w:p w14:paraId="74B34079">
      <w:pPr>
        <w:spacing w:before="0" w:after="0"/>
        <w:ind w:firstLine="640"/>
        <w:jc w:val="left"/>
        <w:outlineLvl w:val="9"/>
      </w:pPr>
      <w:r>
        <w:rPr>
          <w:rFonts w:ascii="Times New Roman" w:hAnsi="Times New Roman" w:eastAsia="方正仿宋_GBK" w:cs="Times New Roman"/>
          <w:color w:val="000000"/>
          <w:sz w:val="32"/>
        </w:rPr>
        <w:t xml:space="preserve"> </w:t>
      </w:r>
    </w:p>
    <w:p w14:paraId="20E96661">
      <w:pPr>
        <w:spacing w:before="10" w:after="10" w:line="240" w:lineRule="auto"/>
        <w:ind w:firstLine="640"/>
        <w:jc w:val="left"/>
        <w:outlineLvl w:val="5"/>
      </w:pPr>
      <w:r>
        <w:rPr>
          <w:rFonts w:ascii="黑体" w:hAnsi="黑体" w:eastAsia="黑体" w:cs="黑体"/>
          <w:color w:val="000000"/>
          <w:sz w:val="32"/>
        </w:rPr>
        <w:t>八、名词解释</w:t>
      </w:r>
    </w:p>
    <w:p w14:paraId="46E658E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5D2F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9A24D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4113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C440F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FC216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A8B1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264EC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6CF0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7D1D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2EF9BE">
      <w:pPr>
        <w:spacing w:before="10" w:after="10" w:line="240" w:lineRule="auto"/>
        <w:ind w:firstLine="640"/>
        <w:jc w:val="left"/>
        <w:outlineLvl w:val="5"/>
      </w:pPr>
      <w:r>
        <w:rPr>
          <w:rFonts w:ascii="黑体" w:hAnsi="黑体" w:eastAsia="黑体" w:cs="黑体"/>
          <w:color w:val="000000"/>
          <w:sz w:val="32"/>
        </w:rPr>
        <w:t>九、其他需要说明的事项</w:t>
      </w:r>
    </w:p>
    <w:p w14:paraId="2098140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5BDACE">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二十二、隆尧县固城校区收支预算</w:t>
      </w:r>
      <w:bookmarkEnd w:id="21"/>
    </w:p>
    <w:p w14:paraId="363861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1B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12AB64">
            <w:pPr>
              <w:pStyle w:val="9"/>
            </w:pPr>
            <w:r>
              <w:t>360023隆尧县固城校区</w:t>
            </w:r>
          </w:p>
        </w:tc>
        <w:tc>
          <w:tcPr>
            <w:tcW w:w="2126" w:type="dxa"/>
            <w:tcBorders>
              <w:top w:val="single" w:color="FFFFFF" w:sz="6" w:space="0"/>
              <w:left w:val="single" w:color="FFFFFF" w:sz="6" w:space="0"/>
              <w:right w:val="single" w:color="FFFFFF" w:sz="6" w:space="0"/>
            </w:tcBorders>
            <w:vAlign w:val="center"/>
          </w:tcPr>
          <w:p w14:paraId="28AF476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22259A">
            <w:pPr>
              <w:pStyle w:val="7"/>
            </w:pPr>
            <w:r>
              <w:t>单位：万元</w:t>
            </w:r>
          </w:p>
        </w:tc>
      </w:tr>
      <w:tr w14:paraId="6BDB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09DBD">
            <w:pPr>
              <w:pStyle w:val="10"/>
            </w:pPr>
            <w:r>
              <w:t>序号</w:t>
            </w:r>
          </w:p>
        </w:tc>
        <w:tc>
          <w:tcPr>
            <w:tcW w:w="6661" w:type="dxa"/>
            <w:gridSpan w:val="2"/>
            <w:vAlign w:val="center"/>
          </w:tcPr>
          <w:p w14:paraId="2AE17E6E">
            <w:pPr>
              <w:pStyle w:val="10"/>
            </w:pPr>
            <w:r>
              <w:t>收入</w:t>
            </w:r>
          </w:p>
        </w:tc>
        <w:tc>
          <w:tcPr>
            <w:tcW w:w="6661" w:type="dxa"/>
            <w:gridSpan w:val="2"/>
            <w:vAlign w:val="center"/>
          </w:tcPr>
          <w:p w14:paraId="6E99465C">
            <w:pPr>
              <w:pStyle w:val="10"/>
            </w:pPr>
            <w:r>
              <w:t>支出</w:t>
            </w:r>
          </w:p>
        </w:tc>
      </w:tr>
      <w:tr w14:paraId="1D5A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9B4189"/>
        </w:tc>
        <w:tc>
          <w:tcPr>
            <w:tcW w:w="4535" w:type="dxa"/>
            <w:vAlign w:val="center"/>
          </w:tcPr>
          <w:p w14:paraId="4599D750">
            <w:pPr>
              <w:pStyle w:val="10"/>
            </w:pPr>
            <w:r>
              <w:t>项  目</w:t>
            </w:r>
          </w:p>
        </w:tc>
        <w:tc>
          <w:tcPr>
            <w:tcW w:w="2126" w:type="dxa"/>
            <w:vAlign w:val="center"/>
          </w:tcPr>
          <w:p w14:paraId="6DB59881">
            <w:pPr>
              <w:pStyle w:val="10"/>
            </w:pPr>
            <w:r>
              <w:t>预算数</w:t>
            </w:r>
          </w:p>
        </w:tc>
        <w:tc>
          <w:tcPr>
            <w:tcW w:w="4535" w:type="dxa"/>
            <w:vAlign w:val="center"/>
          </w:tcPr>
          <w:p w14:paraId="6DCA3390">
            <w:pPr>
              <w:pStyle w:val="10"/>
            </w:pPr>
            <w:r>
              <w:t>项  目</w:t>
            </w:r>
          </w:p>
        </w:tc>
        <w:tc>
          <w:tcPr>
            <w:tcW w:w="2126" w:type="dxa"/>
            <w:vAlign w:val="center"/>
          </w:tcPr>
          <w:p w14:paraId="457A858B">
            <w:pPr>
              <w:pStyle w:val="10"/>
            </w:pPr>
            <w:r>
              <w:t>预算数</w:t>
            </w:r>
          </w:p>
        </w:tc>
      </w:tr>
      <w:tr w14:paraId="26FC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C6C2A">
            <w:pPr>
              <w:pStyle w:val="10"/>
            </w:pPr>
            <w:r>
              <w:t>栏次</w:t>
            </w:r>
          </w:p>
        </w:tc>
        <w:tc>
          <w:tcPr>
            <w:tcW w:w="4535" w:type="dxa"/>
            <w:vAlign w:val="center"/>
          </w:tcPr>
          <w:p w14:paraId="23814091">
            <w:pPr>
              <w:pStyle w:val="10"/>
            </w:pPr>
            <w:r>
              <w:t>1</w:t>
            </w:r>
          </w:p>
        </w:tc>
        <w:tc>
          <w:tcPr>
            <w:tcW w:w="2126" w:type="dxa"/>
            <w:vAlign w:val="center"/>
          </w:tcPr>
          <w:p w14:paraId="24AC4C86">
            <w:pPr>
              <w:pStyle w:val="10"/>
            </w:pPr>
            <w:r>
              <w:t>2</w:t>
            </w:r>
          </w:p>
        </w:tc>
        <w:tc>
          <w:tcPr>
            <w:tcW w:w="4535" w:type="dxa"/>
            <w:vAlign w:val="center"/>
          </w:tcPr>
          <w:p w14:paraId="5391974F">
            <w:pPr>
              <w:pStyle w:val="10"/>
            </w:pPr>
            <w:r>
              <w:t>3</w:t>
            </w:r>
          </w:p>
        </w:tc>
        <w:tc>
          <w:tcPr>
            <w:tcW w:w="2126" w:type="dxa"/>
            <w:vAlign w:val="center"/>
          </w:tcPr>
          <w:p w14:paraId="511EBEAD">
            <w:pPr>
              <w:pStyle w:val="10"/>
            </w:pPr>
            <w:r>
              <w:t>4</w:t>
            </w:r>
          </w:p>
        </w:tc>
      </w:tr>
      <w:tr w14:paraId="44E5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5A130">
            <w:pPr>
              <w:pStyle w:val="13"/>
            </w:pPr>
            <w:r>
              <w:t>1</w:t>
            </w:r>
          </w:p>
        </w:tc>
        <w:tc>
          <w:tcPr>
            <w:tcW w:w="4535" w:type="dxa"/>
            <w:vAlign w:val="center"/>
          </w:tcPr>
          <w:p w14:paraId="20004F08">
            <w:pPr>
              <w:pStyle w:val="12"/>
            </w:pPr>
            <w:r>
              <w:t>一、一般公共预算拨款收入</w:t>
            </w:r>
          </w:p>
        </w:tc>
        <w:tc>
          <w:tcPr>
            <w:tcW w:w="2126" w:type="dxa"/>
            <w:vAlign w:val="center"/>
          </w:tcPr>
          <w:p w14:paraId="3A85A4FA">
            <w:pPr>
              <w:pStyle w:val="11"/>
            </w:pPr>
            <w:r>
              <w:t>2820.38</w:t>
            </w:r>
          </w:p>
        </w:tc>
        <w:tc>
          <w:tcPr>
            <w:tcW w:w="4535" w:type="dxa"/>
            <w:vAlign w:val="center"/>
          </w:tcPr>
          <w:p w14:paraId="66F1FB8E">
            <w:pPr>
              <w:pStyle w:val="12"/>
            </w:pPr>
            <w:r>
              <w:t>一、一般公共服务支出</w:t>
            </w:r>
          </w:p>
        </w:tc>
        <w:tc>
          <w:tcPr>
            <w:tcW w:w="2126" w:type="dxa"/>
            <w:vAlign w:val="center"/>
          </w:tcPr>
          <w:p w14:paraId="2CAFE495">
            <w:pPr>
              <w:pStyle w:val="11"/>
            </w:pPr>
          </w:p>
        </w:tc>
      </w:tr>
      <w:tr w14:paraId="5416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72F99">
            <w:pPr>
              <w:pStyle w:val="13"/>
            </w:pPr>
            <w:r>
              <w:t>2</w:t>
            </w:r>
          </w:p>
        </w:tc>
        <w:tc>
          <w:tcPr>
            <w:tcW w:w="4535" w:type="dxa"/>
            <w:vAlign w:val="center"/>
          </w:tcPr>
          <w:p w14:paraId="417EB9E4">
            <w:pPr>
              <w:pStyle w:val="12"/>
            </w:pPr>
            <w:r>
              <w:t>二、政府性基金预算拨款收入</w:t>
            </w:r>
          </w:p>
        </w:tc>
        <w:tc>
          <w:tcPr>
            <w:tcW w:w="2126" w:type="dxa"/>
            <w:vAlign w:val="center"/>
          </w:tcPr>
          <w:p w14:paraId="0D3F2FE5">
            <w:pPr>
              <w:pStyle w:val="11"/>
            </w:pPr>
          </w:p>
        </w:tc>
        <w:tc>
          <w:tcPr>
            <w:tcW w:w="4535" w:type="dxa"/>
            <w:vAlign w:val="center"/>
          </w:tcPr>
          <w:p w14:paraId="5D7DB631">
            <w:pPr>
              <w:pStyle w:val="12"/>
            </w:pPr>
            <w:r>
              <w:t>二、外交支出</w:t>
            </w:r>
          </w:p>
        </w:tc>
        <w:tc>
          <w:tcPr>
            <w:tcW w:w="2126" w:type="dxa"/>
            <w:vAlign w:val="center"/>
          </w:tcPr>
          <w:p w14:paraId="2ECA8FCC">
            <w:pPr>
              <w:pStyle w:val="11"/>
            </w:pPr>
          </w:p>
        </w:tc>
      </w:tr>
      <w:tr w14:paraId="7586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6C5A">
            <w:pPr>
              <w:pStyle w:val="13"/>
            </w:pPr>
            <w:r>
              <w:t>3</w:t>
            </w:r>
          </w:p>
        </w:tc>
        <w:tc>
          <w:tcPr>
            <w:tcW w:w="4535" w:type="dxa"/>
            <w:vAlign w:val="center"/>
          </w:tcPr>
          <w:p w14:paraId="3968E2A1">
            <w:pPr>
              <w:pStyle w:val="12"/>
            </w:pPr>
            <w:r>
              <w:t>三、国有资本经营预算拨款收入</w:t>
            </w:r>
          </w:p>
        </w:tc>
        <w:tc>
          <w:tcPr>
            <w:tcW w:w="2126" w:type="dxa"/>
            <w:vAlign w:val="center"/>
          </w:tcPr>
          <w:p w14:paraId="18F3B86C">
            <w:pPr>
              <w:pStyle w:val="11"/>
            </w:pPr>
          </w:p>
        </w:tc>
        <w:tc>
          <w:tcPr>
            <w:tcW w:w="4535" w:type="dxa"/>
            <w:vAlign w:val="center"/>
          </w:tcPr>
          <w:p w14:paraId="3648CAF8">
            <w:pPr>
              <w:pStyle w:val="12"/>
            </w:pPr>
            <w:r>
              <w:t>三、国防支出</w:t>
            </w:r>
          </w:p>
        </w:tc>
        <w:tc>
          <w:tcPr>
            <w:tcW w:w="2126" w:type="dxa"/>
            <w:vAlign w:val="center"/>
          </w:tcPr>
          <w:p w14:paraId="2B24EBA1">
            <w:pPr>
              <w:pStyle w:val="11"/>
            </w:pPr>
          </w:p>
        </w:tc>
      </w:tr>
      <w:tr w14:paraId="4B74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F9D7">
            <w:pPr>
              <w:pStyle w:val="13"/>
            </w:pPr>
            <w:r>
              <w:t>4</w:t>
            </w:r>
          </w:p>
        </w:tc>
        <w:tc>
          <w:tcPr>
            <w:tcW w:w="4535" w:type="dxa"/>
            <w:vAlign w:val="center"/>
          </w:tcPr>
          <w:p w14:paraId="1177C036">
            <w:pPr>
              <w:pStyle w:val="12"/>
            </w:pPr>
            <w:r>
              <w:t>四、财政专户管理资金收入</w:t>
            </w:r>
          </w:p>
        </w:tc>
        <w:tc>
          <w:tcPr>
            <w:tcW w:w="2126" w:type="dxa"/>
            <w:vAlign w:val="center"/>
          </w:tcPr>
          <w:p w14:paraId="36FB2AB9">
            <w:pPr>
              <w:pStyle w:val="11"/>
            </w:pPr>
          </w:p>
        </w:tc>
        <w:tc>
          <w:tcPr>
            <w:tcW w:w="4535" w:type="dxa"/>
            <w:vAlign w:val="center"/>
          </w:tcPr>
          <w:p w14:paraId="06E25A7E">
            <w:pPr>
              <w:pStyle w:val="12"/>
            </w:pPr>
            <w:r>
              <w:t>四、公共安全支出</w:t>
            </w:r>
          </w:p>
        </w:tc>
        <w:tc>
          <w:tcPr>
            <w:tcW w:w="2126" w:type="dxa"/>
            <w:vAlign w:val="center"/>
          </w:tcPr>
          <w:p w14:paraId="1E0B6571">
            <w:pPr>
              <w:pStyle w:val="11"/>
            </w:pPr>
          </w:p>
        </w:tc>
      </w:tr>
      <w:tr w14:paraId="7905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828D8">
            <w:pPr>
              <w:pStyle w:val="13"/>
            </w:pPr>
            <w:r>
              <w:t>5</w:t>
            </w:r>
          </w:p>
        </w:tc>
        <w:tc>
          <w:tcPr>
            <w:tcW w:w="4535" w:type="dxa"/>
            <w:vAlign w:val="center"/>
          </w:tcPr>
          <w:p w14:paraId="5F4F259F">
            <w:pPr>
              <w:pStyle w:val="12"/>
            </w:pPr>
            <w:r>
              <w:t>五、单位资金</w:t>
            </w:r>
          </w:p>
        </w:tc>
        <w:tc>
          <w:tcPr>
            <w:tcW w:w="2126" w:type="dxa"/>
            <w:vAlign w:val="center"/>
          </w:tcPr>
          <w:p w14:paraId="1AEE3CC8">
            <w:pPr>
              <w:pStyle w:val="11"/>
            </w:pPr>
          </w:p>
        </w:tc>
        <w:tc>
          <w:tcPr>
            <w:tcW w:w="4535" w:type="dxa"/>
            <w:vAlign w:val="center"/>
          </w:tcPr>
          <w:p w14:paraId="48CE9867">
            <w:pPr>
              <w:pStyle w:val="12"/>
            </w:pPr>
            <w:r>
              <w:t>五、教育支出</w:t>
            </w:r>
          </w:p>
        </w:tc>
        <w:tc>
          <w:tcPr>
            <w:tcW w:w="2126" w:type="dxa"/>
            <w:vAlign w:val="center"/>
          </w:tcPr>
          <w:p w14:paraId="5BDD642A">
            <w:pPr>
              <w:pStyle w:val="11"/>
            </w:pPr>
            <w:r>
              <w:t>2820.38</w:t>
            </w:r>
          </w:p>
        </w:tc>
      </w:tr>
      <w:tr w14:paraId="568C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7EB3">
            <w:pPr>
              <w:pStyle w:val="13"/>
            </w:pPr>
            <w:r>
              <w:t>6</w:t>
            </w:r>
          </w:p>
        </w:tc>
        <w:tc>
          <w:tcPr>
            <w:tcW w:w="4535" w:type="dxa"/>
            <w:vAlign w:val="center"/>
          </w:tcPr>
          <w:p w14:paraId="2C2A6958">
            <w:pPr>
              <w:pStyle w:val="12"/>
            </w:pPr>
          </w:p>
        </w:tc>
        <w:tc>
          <w:tcPr>
            <w:tcW w:w="2126" w:type="dxa"/>
            <w:vAlign w:val="center"/>
          </w:tcPr>
          <w:p w14:paraId="260055CD">
            <w:pPr>
              <w:pStyle w:val="11"/>
            </w:pPr>
          </w:p>
        </w:tc>
        <w:tc>
          <w:tcPr>
            <w:tcW w:w="4535" w:type="dxa"/>
            <w:vAlign w:val="center"/>
          </w:tcPr>
          <w:p w14:paraId="32B9096D">
            <w:pPr>
              <w:pStyle w:val="12"/>
            </w:pPr>
            <w:r>
              <w:t>六、科学技术支出</w:t>
            </w:r>
          </w:p>
        </w:tc>
        <w:tc>
          <w:tcPr>
            <w:tcW w:w="2126" w:type="dxa"/>
            <w:vAlign w:val="center"/>
          </w:tcPr>
          <w:p w14:paraId="04076F6B">
            <w:pPr>
              <w:pStyle w:val="11"/>
            </w:pPr>
          </w:p>
        </w:tc>
      </w:tr>
      <w:tr w14:paraId="5359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A76A0">
            <w:pPr>
              <w:pStyle w:val="13"/>
            </w:pPr>
            <w:r>
              <w:t>7</w:t>
            </w:r>
          </w:p>
        </w:tc>
        <w:tc>
          <w:tcPr>
            <w:tcW w:w="4535" w:type="dxa"/>
            <w:vAlign w:val="center"/>
          </w:tcPr>
          <w:p w14:paraId="42E1922C">
            <w:pPr>
              <w:pStyle w:val="12"/>
            </w:pPr>
          </w:p>
        </w:tc>
        <w:tc>
          <w:tcPr>
            <w:tcW w:w="2126" w:type="dxa"/>
            <w:vAlign w:val="center"/>
          </w:tcPr>
          <w:p w14:paraId="46824FC1">
            <w:pPr>
              <w:pStyle w:val="11"/>
            </w:pPr>
          </w:p>
        </w:tc>
        <w:tc>
          <w:tcPr>
            <w:tcW w:w="4535" w:type="dxa"/>
            <w:vAlign w:val="center"/>
          </w:tcPr>
          <w:p w14:paraId="78ED6722">
            <w:pPr>
              <w:pStyle w:val="12"/>
            </w:pPr>
            <w:r>
              <w:t>七、文化旅游体育与传媒支出</w:t>
            </w:r>
          </w:p>
        </w:tc>
        <w:tc>
          <w:tcPr>
            <w:tcW w:w="2126" w:type="dxa"/>
            <w:vAlign w:val="center"/>
          </w:tcPr>
          <w:p w14:paraId="4028676E">
            <w:pPr>
              <w:pStyle w:val="11"/>
            </w:pPr>
          </w:p>
        </w:tc>
      </w:tr>
      <w:tr w14:paraId="7AE12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8AC12">
            <w:pPr>
              <w:pStyle w:val="13"/>
            </w:pPr>
            <w:r>
              <w:t>8</w:t>
            </w:r>
          </w:p>
        </w:tc>
        <w:tc>
          <w:tcPr>
            <w:tcW w:w="4535" w:type="dxa"/>
            <w:vAlign w:val="center"/>
          </w:tcPr>
          <w:p w14:paraId="2B86769E">
            <w:pPr>
              <w:pStyle w:val="12"/>
            </w:pPr>
          </w:p>
        </w:tc>
        <w:tc>
          <w:tcPr>
            <w:tcW w:w="2126" w:type="dxa"/>
            <w:vAlign w:val="center"/>
          </w:tcPr>
          <w:p w14:paraId="22BEA81F">
            <w:pPr>
              <w:pStyle w:val="11"/>
            </w:pPr>
          </w:p>
        </w:tc>
        <w:tc>
          <w:tcPr>
            <w:tcW w:w="4535" w:type="dxa"/>
            <w:vAlign w:val="center"/>
          </w:tcPr>
          <w:p w14:paraId="67111C9D">
            <w:pPr>
              <w:pStyle w:val="12"/>
            </w:pPr>
            <w:r>
              <w:t>八、社会保障和就业支出</w:t>
            </w:r>
          </w:p>
        </w:tc>
        <w:tc>
          <w:tcPr>
            <w:tcW w:w="2126" w:type="dxa"/>
            <w:vAlign w:val="center"/>
          </w:tcPr>
          <w:p w14:paraId="590A6E34">
            <w:pPr>
              <w:pStyle w:val="11"/>
            </w:pPr>
          </w:p>
        </w:tc>
      </w:tr>
      <w:tr w14:paraId="050F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27226">
            <w:pPr>
              <w:pStyle w:val="13"/>
            </w:pPr>
            <w:r>
              <w:t>9</w:t>
            </w:r>
          </w:p>
        </w:tc>
        <w:tc>
          <w:tcPr>
            <w:tcW w:w="4535" w:type="dxa"/>
            <w:vAlign w:val="center"/>
          </w:tcPr>
          <w:p w14:paraId="4EA75158">
            <w:pPr>
              <w:pStyle w:val="12"/>
            </w:pPr>
          </w:p>
        </w:tc>
        <w:tc>
          <w:tcPr>
            <w:tcW w:w="2126" w:type="dxa"/>
            <w:vAlign w:val="center"/>
          </w:tcPr>
          <w:p w14:paraId="4E5FF615">
            <w:pPr>
              <w:pStyle w:val="11"/>
            </w:pPr>
          </w:p>
        </w:tc>
        <w:tc>
          <w:tcPr>
            <w:tcW w:w="4535" w:type="dxa"/>
            <w:vAlign w:val="center"/>
          </w:tcPr>
          <w:p w14:paraId="4A3186EF">
            <w:pPr>
              <w:pStyle w:val="12"/>
            </w:pPr>
            <w:r>
              <w:t>九、社会保险基金支出</w:t>
            </w:r>
          </w:p>
        </w:tc>
        <w:tc>
          <w:tcPr>
            <w:tcW w:w="2126" w:type="dxa"/>
            <w:vAlign w:val="center"/>
          </w:tcPr>
          <w:p w14:paraId="08B6DF42">
            <w:pPr>
              <w:pStyle w:val="11"/>
            </w:pPr>
          </w:p>
        </w:tc>
      </w:tr>
      <w:tr w14:paraId="4FAA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B73E3">
            <w:pPr>
              <w:pStyle w:val="13"/>
            </w:pPr>
            <w:r>
              <w:t>10</w:t>
            </w:r>
          </w:p>
        </w:tc>
        <w:tc>
          <w:tcPr>
            <w:tcW w:w="4535" w:type="dxa"/>
            <w:vAlign w:val="center"/>
          </w:tcPr>
          <w:p w14:paraId="3A647FD1">
            <w:pPr>
              <w:pStyle w:val="12"/>
            </w:pPr>
          </w:p>
        </w:tc>
        <w:tc>
          <w:tcPr>
            <w:tcW w:w="2126" w:type="dxa"/>
            <w:vAlign w:val="center"/>
          </w:tcPr>
          <w:p w14:paraId="0ED1101B">
            <w:pPr>
              <w:pStyle w:val="11"/>
            </w:pPr>
          </w:p>
        </w:tc>
        <w:tc>
          <w:tcPr>
            <w:tcW w:w="4535" w:type="dxa"/>
            <w:vAlign w:val="center"/>
          </w:tcPr>
          <w:p w14:paraId="1B189521">
            <w:pPr>
              <w:pStyle w:val="12"/>
            </w:pPr>
            <w:r>
              <w:t>十、卫生健康支出</w:t>
            </w:r>
          </w:p>
        </w:tc>
        <w:tc>
          <w:tcPr>
            <w:tcW w:w="2126" w:type="dxa"/>
            <w:vAlign w:val="center"/>
          </w:tcPr>
          <w:p w14:paraId="5DCD4FDB">
            <w:pPr>
              <w:pStyle w:val="11"/>
            </w:pPr>
          </w:p>
        </w:tc>
      </w:tr>
      <w:tr w14:paraId="36CB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EFA0">
            <w:pPr>
              <w:pStyle w:val="13"/>
            </w:pPr>
            <w:r>
              <w:t>11</w:t>
            </w:r>
          </w:p>
        </w:tc>
        <w:tc>
          <w:tcPr>
            <w:tcW w:w="4535" w:type="dxa"/>
            <w:vAlign w:val="center"/>
          </w:tcPr>
          <w:p w14:paraId="724254BB">
            <w:pPr>
              <w:pStyle w:val="12"/>
            </w:pPr>
          </w:p>
        </w:tc>
        <w:tc>
          <w:tcPr>
            <w:tcW w:w="2126" w:type="dxa"/>
            <w:vAlign w:val="center"/>
          </w:tcPr>
          <w:p w14:paraId="068AAD5F">
            <w:pPr>
              <w:pStyle w:val="11"/>
            </w:pPr>
          </w:p>
        </w:tc>
        <w:tc>
          <w:tcPr>
            <w:tcW w:w="4535" w:type="dxa"/>
            <w:vAlign w:val="center"/>
          </w:tcPr>
          <w:p w14:paraId="0F677CD6">
            <w:pPr>
              <w:pStyle w:val="12"/>
            </w:pPr>
            <w:r>
              <w:t>十一、节能环保支出</w:t>
            </w:r>
          </w:p>
        </w:tc>
        <w:tc>
          <w:tcPr>
            <w:tcW w:w="2126" w:type="dxa"/>
            <w:vAlign w:val="center"/>
          </w:tcPr>
          <w:p w14:paraId="4C4227E6">
            <w:pPr>
              <w:pStyle w:val="11"/>
            </w:pPr>
          </w:p>
        </w:tc>
      </w:tr>
      <w:tr w14:paraId="1C7D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19523">
            <w:pPr>
              <w:pStyle w:val="13"/>
            </w:pPr>
            <w:r>
              <w:t>12</w:t>
            </w:r>
          </w:p>
        </w:tc>
        <w:tc>
          <w:tcPr>
            <w:tcW w:w="4535" w:type="dxa"/>
            <w:vAlign w:val="center"/>
          </w:tcPr>
          <w:p w14:paraId="5F9E4F50">
            <w:pPr>
              <w:pStyle w:val="12"/>
            </w:pPr>
          </w:p>
        </w:tc>
        <w:tc>
          <w:tcPr>
            <w:tcW w:w="2126" w:type="dxa"/>
            <w:vAlign w:val="center"/>
          </w:tcPr>
          <w:p w14:paraId="2434DDB4">
            <w:pPr>
              <w:pStyle w:val="11"/>
            </w:pPr>
          </w:p>
        </w:tc>
        <w:tc>
          <w:tcPr>
            <w:tcW w:w="4535" w:type="dxa"/>
            <w:vAlign w:val="center"/>
          </w:tcPr>
          <w:p w14:paraId="72293922">
            <w:pPr>
              <w:pStyle w:val="12"/>
            </w:pPr>
            <w:r>
              <w:t>十二、城乡社区支出</w:t>
            </w:r>
          </w:p>
        </w:tc>
        <w:tc>
          <w:tcPr>
            <w:tcW w:w="2126" w:type="dxa"/>
            <w:vAlign w:val="center"/>
          </w:tcPr>
          <w:p w14:paraId="0C695E4E">
            <w:pPr>
              <w:pStyle w:val="11"/>
            </w:pPr>
          </w:p>
        </w:tc>
      </w:tr>
      <w:tr w14:paraId="2672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67E69">
            <w:pPr>
              <w:pStyle w:val="13"/>
            </w:pPr>
            <w:r>
              <w:t>13</w:t>
            </w:r>
          </w:p>
        </w:tc>
        <w:tc>
          <w:tcPr>
            <w:tcW w:w="4535" w:type="dxa"/>
            <w:vAlign w:val="center"/>
          </w:tcPr>
          <w:p w14:paraId="25A8BA5E">
            <w:pPr>
              <w:pStyle w:val="12"/>
            </w:pPr>
          </w:p>
        </w:tc>
        <w:tc>
          <w:tcPr>
            <w:tcW w:w="2126" w:type="dxa"/>
            <w:vAlign w:val="center"/>
          </w:tcPr>
          <w:p w14:paraId="3AFDC9E1">
            <w:pPr>
              <w:pStyle w:val="11"/>
            </w:pPr>
          </w:p>
        </w:tc>
        <w:tc>
          <w:tcPr>
            <w:tcW w:w="4535" w:type="dxa"/>
            <w:vAlign w:val="center"/>
          </w:tcPr>
          <w:p w14:paraId="5D8C0C06">
            <w:pPr>
              <w:pStyle w:val="12"/>
            </w:pPr>
            <w:r>
              <w:t>十三、农林水支出</w:t>
            </w:r>
          </w:p>
        </w:tc>
        <w:tc>
          <w:tcPr>
            <w:tcW w:w="2126" w:type="dxa"/>
            <w:vAlign w:val="center"/>
          </w:tcPr>
          <w:p w14:paraId="4BB69C26">
            <w:pPr>
              <w:pStyle w:val="11"/>
            </w:pPr>
          </w:p>
        </w:tc>
      </w:tr>
      <w:tr w14:paraId="3FAE3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BB815">
            <w:pPr>
              <w:pStyle w:val="13"/>
            </w:pPr>
            <w:r>
              <w:t>14</w:t>
            </w:r>
          </w:p>
        </w:tc>
        <w:tc>
          <w:tcPr>
            <w:tcW w:w="4535" w:type="dxa"/>
            <w:vAlign w:val="center"/>
          </w:tcPr>
          <w:p w14:paraId="3505CFBC">
            <w:pPr>
              <w:pStyle w:val="12"/>
            </w:pPr>
          </w:p>
        </w:tc>
        <w:tc>
          <w:tcPr>
            <w:tcW w:w="2126" w:type="dxa"/>
            <w:vAlign w:val="center"/>
          </w:tcPr>
          <w:p w14:paraId="66BAC804">
            <w:pPr>
              <w:pStyle w:val="11"/>
            </w:pPr>
          </w:p>
        </w:tc>
        <w:tc>
          <w:tcPr>
            <w:tcW w:w="4535" w:type="dxa"/>
            <w:vAlign w:val="center"/>
          </w:tcPr>
          <w:p w14:paraId="75F6C2C7">
            <w:pPr>
              <w:pStyle w:val="12"/>
            </w:pPr>
            <w:r>
              <w:t>十四、交通运输支出</w:t>
            </w:r>
          </w:p>
        </w:tc>
        <w:tc>
          <w:tcPr>
            <w:tcW w:w="2126" w:type="dxa"/>
            <w:vAlign w:val="center"/>
          </w:tcPr>
          <w:p w14:paraId="09487B8A">
            <w:pPr>
              <w:pStyle w:val="11"/>
            </w:pPr>
          </w:p>
        </w:tc>
      </w:tr>
      <w:tr w14:paraId="03F6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F112">
            <w:pPr>
              <w:pStyle w:val="13"/>
            </w:pPr>
            <w:r>
              <w:t>15</w:t>
            </w:r>
          </w:p>
        </w:tc>
        <w:tc>
          <w:tcPr>
            <w:tcW w:w="4535" w:type="dxa"/>
            <w:vAlign w:val="center"/>
          </w:tcPr>
          <w:p w14:paraId="21CB3D04">
            <w:pPr>
              <w:pStyle w:val="12"/>
            </w:pPr>
          </w:p>
        </w:tc>
        <w:tc>
          <w:tcPr>
            <w:tcW w:w="2126" w:type="dxa"/>
            <w:vAlign w:val="center"/>
          </w:tcPr>
          <w:p w14:paraId="4F133A58">
            <w:pPr>
              <w:pStyle w:val="11"/>
            </w:pPr>
          </w:p>
        </w:tc>
        <w:tc>
          <w:tcPr>
            <w:tcW w:w="4535" w:type="dxa"/>
            <w:vAlign w:val="center"/>
          </w:tcPr>
          <w:p w14:paraId="4829F1D9">
            <w:pPr>
              <w:pStyle w:val="12"/>
            </w:pPr>
            <w:r>
              <w:t>十五、资源勘探工业信息等支出</w:t>
            </w:r>
          </w:p>
        </w:tc>
        <w:tc>
          <w:tcPr>
            <w:tcW w:w="2126" w:type="dxa"/>
            <w:vAlign w:val="center"/>
          </w:tcPr>
          <w:p w14:paraId="48E764DE">
            <w:pPr>
              <w:pStyle w:val="11"/>
            </w:pPr>
          </w:p>
        </w:tc>
      </w:tr>
      <w:tr w14:paraId="0680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7C70D">
            <w:pPr>
              <w:pStyle w:val="13"/>
            </w:pPr>
            <w:r>
              <w:t>16</w:t>
            </w:r>
          </w:p>
        </w:tc>
        <w:tc>
          <w:tcPr>
            <w:tcW w:w="4535" w:type="dxa"/>
            <w:vAlign w:val="center"/>
          </w:tcPr>
          <w:p w14:paraId="33BBA346">
            <w:pPr>
              <w:pStyle w:val="12"/>
            </w:pPr>
          </w:p>
        </w:tc>
        <w:tc>
          <w:tcPr>
            <w:tcW w:w="2126" w:type="dxa"/>
            <w:vAlign w:val="center"/>
          </w:tcPr>
          <w:p w14:paraId="70BBE697">
            <w:pPr>
              <w:pStyle w:val="11"/>
            </w:pPr>
          </w:p>
        </w:tc>
        <w:tc>
          <w:tcPr>
            <w:tcW w:w="4535" w:type="dxa"/>
            <w:vAlign w:val="center"/>
          </w:tcPr>
          <w:p w14:paraId="4C1B4D84">
            <w:pPr>
              <w:pStyle w:val="12"/>
            </w:pPr>
            <w:r>
              <w:t>十六、商业服务业等支出</w:t>
            </w:r>
          </w:p>
        </w:tc>
        <w:tc>
          <w:tcPr>
            <w:tcW w:w="2126" w:type="dxa"/>
            <w:vAlign w:val="center"/>
          </w:tcPr>
          <w:p w14:paraId="06CC43DC">
            <w:pPr>
              <w:pStyle w:val="11"/>
            </w:pPr>
          </w:p>
        </w:tc>
      </w:tr>
      <w:tr w14:paraId="4C65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FF12">
            <w:pPr>
              <w:pStyle w:val="13"/>
            </w:pPr>
            <w:r>
              <w:t>17</w:t>
            </w:r>
          </w:p>
        </w:tc>
        <w:tc>
          <w:tcPr>
            <w:tcW w:w="4535" w:type="dxa"/>
            <w:vAlign w:val="center"/>
          </w:tcPr>
          <w:p w14:paraId="15977F5E">
            <w:pPr>
              <w:pStyle w:val="12"/>
            </w:pPr>
          </w:p>
        </w:tc>
        <w:tc>
          <w:tcPr>
            <w:tcW w:w="2126" w:type="dxa"/>
            <w:vAlign w:val="center"/>
          </w:tcPr>
          <w:p w14:paraId="7AD25C55">
            <w:pPr>
              <w:pStyle w:val="11"/>
            </w:pPr>
          </w:p>
        </w:tc>
        <w:tc>
          <w:tcPr>
            <w:tcW w:w="4535" w:type="dxa"/>
            <w:vAlign w:val="center"/>
          </w:tcPr>
          <w:p w14:paraId="4BFAA1EE">
            <w:pPr>
              <w:pStyle w:val="12"/>
            </w:pPr>
            <w:r>
              <w:t>十七、金融支出</w:t>
            </w:r>
          </w:p>
        </w:tc>
        <w:tc>
          <w:tcPr>
            <w:tcW w:w="2126" w:type="dxa"/>
            <w:vAlign w:val="center"/>
          </w:tcPr>
          <w:p w14:paraId="6E803CA7">
            <w:pPr>
              <w:pStyle w:val="11"/>
            </w:pPr>
          </w:p>
        </w:tc>
      </w:tr>
      <w:tr w14:paraId="078B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4B2E">
            <w:pPr>
              <w:pStyle w:val="13"/>
            </w:pPr>
            <w:r>
              <w:t>18</w:t>
            </w:r>
          </w:p>
        </w:tc>
        <w:tc>
          <w:tcPr>
            <w:tcW w:w="4535" w:type="dxa"/>
            <w:vAlign w:val="center"/>
          </w:tcPr>
          <w:p w14:paraId="50001D54">
            <w:pPr>
              <w:pStyle w:val="12"/>
            </w:pPr>
          </w:p>
        </w:tc>
        <w:tc>
          <w:tcPr>
            <w:tcW w:w="2126" w:type="dxa"/>
            <w:vAlign w:val="center"/>
          </w:tcPr>
          <w:p w14:paraId="6134D7CA">
            <w:pPr>
              <w:pStyle w:val="11"/>
            </w:pPr>
          </w:p>
        </w:tc>
        <w:tc>
          <w:tcPr>
            <w:tcW w:w="4535" w:type="dxa"/>
            <w:vAlign w:val="center"/>
          </w:tcPr>
          <w:p w14:paraId="403EC56F">
            <w:pPr>
              <w:pStyle w:val="12"/>
            </w:pPr>
            <w:r>
              <w:t>十八、援助其他地区支出</w:t>
            </w:r>
          </w:p>
        </w:tc>
        <w:tc>
          <w:tcPr>
            <w:tcW w:w="2126" w:type="dxa"/>
            <w:vAlign w:val="center"/>
          </w:tcPr>
          <w:p w14:paraId="17367DE4">
            <w:pPr>
              <w:pStyle w:val="11"/>
            </w:pPr>
          </w:p>
        </w:tc>
      </w:tr>
      <w:tr w14:paraId="1619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736A8">
            <w:pPr>
              <w:pStyle w:val="13"/>
            </w:pPr>
            <w:r>
              <w:t>19</w:t>
            </w:r>
          </w:p>
        </w:tc>
        <w:tc>
          <w:tcPr>
            <w:tcW w:w="4535" w:type="dxa"/>
            <w:vAlign w:val="center"/>
          </w:tcPr>
          <w:p w14:paraId="34E19333">
            <w:pPr>
              <w:pStyle w:val="12"/>
            </w:pPr>
          </w:p>
        </w:tc>
        <w:tc>
          <w:tcPr>
            <w:tcW w:w="2126" w:type="dxa"/>
            <w:vAlign w:val="center"/>
          </w:tcPr>
          <w:p w14:paraId="7B2C273E">
            <w:pPr>
              <w:pStyle w:val="11"/>
            </w:pPr>
          </w:p>
        </w:tc>
        <w:tc>
          <w:tcPr>
            <w:tcW w:w="4535" w:type="dxa"/>
            <w:vAlign w:val="center"/>
          </w:tcPr>
          <w:p w14:paraId="09649073">
            <w:pPr>
              <w:pStyle w:val="12"/>
            </w:pPr>
            <w:r>
              <w:t>十九、自然资源海洋气象等支出</w:t>
            </w:r>
          </w:p>
        </w:tc>
        <w:tc>
          <w:tcPr>
            <w:tcW w:w="2126" w:type="dxa"/>
            <w:vAlign w:val="center"/>
          </w:tcPr>
          <w:p w14:paraId="0F0BA982">
            <w:pPr>
              <w:pStyle w:val="11"/>
            </w:pPr>
          </w:p>
        </w:tc>
      </w:tr>
      <w:tr w14:paraId="4F92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3C3F1">
            <w:pPr>
              <w:pStyle w:val="13"/>
            </w:pPr>
            <w:r>
              <w:t>20</w:t>
            </w:r>
          </w:p>
        </w:tc>
        <w:tc>
          <w:tcPr>
            <w:tcW w:w="4535" w:type="dxa"/>
            <w:vAlign w:val="center"/>
          </w:tcPr>
          <w:p w14:paraId="1144A27F">
            <w:pPr>
              <w:pStyle w:val="12"/>
            </w:pPr>
          </w:p>
        </w:tc>
        <w:tc>
          <w:tcPr>
            <w:tcW w:w="2126" w:type="dxa"/>
            <w:vAlign w:val="center"/>
          </w:tcPr>
          <w:p w14:paraId="176382F5">
            <w:pPr>
              <w:pStyle w:val="11"/>
            </w:pPr>
          </w:p>
        </w:tc>
        <w:tc>
          <w:tcPr>
            <w:tcW w:w="4535" w:type="dxa"/>
            <w:vAlign w:val="center"/>
          </w:tcPr>
          <w:p w14:paraId="06B8618B">
            <w:pPr>
              <w:pStyle w:val="12"/>
            </w:pPr>
            <w:r>
              <w:t>二十、住房保障支出</w:t>
            </w:r>
          </w:p>
        </w:tc>
        <w:tc>
          <w:tcPr>
            <w:tcW w:w="2126" w:type="dxa"/>
            <w:vAlign w:val="center"/>
          </w:tcPr>
          <w:p w14:paraId="4704C396">
            <w:pPr>
              <w:pStyle w:val="11"/>
            </w:pPr>
          </w:p>
        </w:tc>
      </w:tr>
      <w:tr w14:paraId="372D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4A7B8">
            <w:pPr>
              <w:pStyle w:val="13"/>
            </w:pPr>
            <w:r>
              <w:t>21</w:t>
            </w:r>
          </w:p>
        </w:tc>
        <w:tc>
          <w:tcPr>
            <w:tcW w:w="4535" w:type="dxa"/>
            <w:vAlign w:val="center"/>
          </w:tcPr>
          <w:p w14:paraId="588BCC4F">
            <w:pPr>
              <w:pStyle w:val="12"/>
            </w:pPr>
          </w:p>
        </w:tc>
        <w:tc>
          <w:tcPr>
            <w:tcW w:w="2126" w:type="dxa"/>
            <w:vAlign w:val="center"/>
          </w:tcPr>
          <w:p w14:paraId="145244CA">
            <w:pPr>
              <w:pStyle w:val="11"/>
            </w:pPr>
          </w:p>
        </w:tc>
        <w:tc>
          <w:tcPr>
            <w:tcW w:w="4535" w:type="dxa"/>
            <w:vAlign w:val="center"/>
          </w:tcPr>
          <w:p w14:paraId="3CB4C1AD">
            <w:pPr>
              <w:pStyle w:val="12"/>
            </w:pPr>
            <w:r>
              <w:t>二十一、粮油物资储备支出</w:t>
            </w:r>
          </w:p>
        </w:tc>
        <w:tc>
          <w:tcPr>
            <w:tcW w:w="2126" w:type="dxa"/>
            <w:vAlign w:val="center"/>
          </w:tcPr>
          <w:p w14:paraId="537DEEC6">
            <w:pPr>
              <w:pStyle w:val="11"/>
            </w:pPr>
          </w:p>
        </w:tc>
      </w:tr>
      <w:tr w14:paraId="6B51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33193">
            <w:pPr>
              <w:pStyle w:val="13"/>
            </w:pPr>
            <w:r>
              <w:t>22</w:t>
            </w:r>
          </w:p>
        </w:tc>
        <w:tc>
          <w:tcPr>
            <w:tcW w:w="4535" w:type="dxa"/>
            <w:vAlign w:val="center"/>
          </w:tcPr>
          <w:p w14:paraId="595758AD">
            <w:pPr>
              <w:pStyle w:val="12"/>
            </w:pPr>
          </w:p>
        </w:tc>
        <w:tc>
          <w:tcPr>
            <w:tcW w:w="2126" w:type="dxa"/>
            <w:vAlign w:val="center"/>
          </w:tcPr>
          <w:p w14:paraId="6815FB3D">
            <w:pPr>
              <w:pStyle w:val="11"/>
            </w:pPr>
          </w:p>
        </w:tc>
        <w:tc>
          <w:tcPr>
            <w:tcW w:w="4535" w:type="dxa"/>
            <w:vAlign w:val="center"/>
          </w:tcPr>
          <w:p w14:paraId="1CFAC219">
            <w:pPr>
              <w:pStyle w:val="12"/>
            </w:pPr>
            <w:r>
              <w:t>二十二、国有资本经营预算支出</w:t>
            </w:r>
          </w:p>
        </w:tc>
        <w:tc>
          <w:tcPr>
            <w:tcW w:w="2126" w:type="dxa"/>
            <w:vAlign w:val="center"/>
          </w:tcPr>
          <w:p w14:paraId="2F240F13">
            <w:pPr>
              <w:pStyle w:val="11"/>
            </w:pPr>
          </w:p>
        </w:tc>
      </w:tr>
      <w:tr w14:paraId="05D6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3F38C">
            <w:pPr>
              <w:pStyle w:val="13"/>
            </w:pPr>
            <w:r>
              <w:t>23</w:t>
            </w:r>
          </w:p>
        </w:tc>
        <w:tc>
          <w:tcPr>
            <w:tcW w:w="4535" w:type="dxa"/>
            <w:vAlign w:val="center"/>
          </w:tcPr>
          <w:p w14:paraId="5528ED0C">
            <w:pPr>
              <w:pStyle w:val="12"/>
            </w:pPr>
          </w:p>
        </w:tc>
        <w:tc>
          <w:tcPr>
            <w:tcW w:w="2126" w:type="dxa"/>
            <w:vAlign w:val="center"/>
          </w:tcPr>
          <w:p w14:paraId="73E0C644">
            <w:pPr>
              <w:pStyle w:val="11"/>
            </w:pPr>
          </w:p>
        </w:tc>
        <w:tc>
          <w:tcPr>
            <w:tcW w:w="4535" w:type="dxa"/>
            <w:vAlign w:val="center"/>
          </w:tcPr>
          <w:p w14:paraId="5F6D8510">
            <w:pPr>
              <w:pStyle w:val="12"/>
            </w:pPr>
            <w:r>
              <w:t>二十三、灾害防治及应急管理支出</w:t>
            </w:r>
          </w:p>
        </w:tc>
        <w:tc>
          <w:tcPr>
            <w:tcW w:w="2126" w:type="dxa"/>
            <w:vAlign w:val="center"/>
          </w:tcPr>
          <w:p w14:paraId="03393F48">
            <w:pPr>
              <w:pStyle w:val="11"/>
            </w:pPr>
          </w:p>
        </w:tc>
      </w:tr>
      <w:tr w14:paraId="1887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D8ED">
            <w:pPr>
              <w:pStyle w:val="13"/>
            </w:pPr>
            <w:r>
              <w:t>24</w:t>
            </w:r>
          </w:p>
        </w:tc>
        <w:tc>
          <w:tcPr>
            <w:tcW w:w="4535" w:type="dxa"/>
            <w:vAlign w:val="center"/>
          </w:tcPr>
          <w:p w14:paraId="631973E2">
            <w:pPr>
              <w:pStyle w:val="12"/>
            </w:pPr>
          </w:p>
        </w:tc>
        <w:tc>
          <w:tcPr>
            <w:tcW w:w="2126" w:type="dxa"/>
            <w:vAlign w:val="center"/>
          </w:tcPr>
          <w:p w14:paraId="37FC6EA8">
            <w:pPr>
              <w:pStyle w:val="11"/>
            </w:pPr>
          </w:p>
        </w:tc>
        <w:tc>
          <w:tcPr>
            <w:tcW w:w="4535" w:type="dxa"/>
            <w:vAlign w:val="center"/>
          </w:tcPr>
          <w:p w14:paraId="6A5014FE">
            <w:pPr>
              <w:pStyle w:val="12"/>
            </w:pPr>
            <w:r>
              <w:t>二十四、预备费</w:t>
            </w:r>
          </w:p>
        </w:tc>
        <w:tc>
          <w:tcPr>
            <w:tcW w:w="2126" w:type="dxa"/>
            <w:vAlign w:val="center"/>
          </w:tcPr>
          <w:p w14:paraId="73D9FFB1">
            <w:pPr>
              <w:pStyle w:val="11"/>
            </w:pPr>
          </w:p>
        </w:tc>
      </w:tr>
      <w:tr w14:paraId="5AA7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B1B9D">
            <w:pPr>
              <w:pStyle w:val="13"/>
            </w:pPr>
            <w:r>
              <w:t>25</w:t>
            </w:r>
          </w:p>
        </w:tc>
        <w:tc>
          <w:tcPr>
            <w:tcW w:w="4535" w:type="dxa"/>
            <w:vAlign w:val="center"/>
          </w:tcPr>
          <w:p w14:paraId="274A096B">
            <w:pPr>
              <w:pStyle w:val="12"/>
            </w:pPr>
          </w:p>
        </w:tc>
        <w:tc>
          <w:tcPr>
            <w:tcW w:w="2126" w:type="dxa"/>
            <w:vAlign w:val="center"/>
          </w:tcPr>
          <w:p w14:paraId="2DA4D623">
            <w:pPr>
              <w:pStyle w:val="11"/>
            </w:pPr>
          </w:p>
        </w:tc>
        <w:tc>
          <w:tcPr>
            <w:tcW w:w="4535" w:type="dxa"/>
            <w:vAlign w:val="center"/>
          </w:tcPr>
          <w:p w14:paraId="3636ED73">
            <w:pPr>
              <w:pStyle w:val="12"/>
            </w:pPr>
            <w:r>
              <w:t>二十五、其他支出</w:t>
            </w:r>
          </w:p>
        </w:tc>
        <w:tc>
          <w:tcPr>
            <w:tcW w:w="2126" w:type="dxa"/>
            <w:vAlign w:val="center"/>
          </w:tcPr>
          <w:p w14:paraId="1D162126">
            <w:pPr>
              <w:pStyle w:val="11"/>
            </w:pPr>
          </w:p>
        </w:tc>
      </w:tr>
      <w:tr w14:paraId="0634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14AA7">
            <w:pPr>
              <w:pStyle w:val="13"/>
            </w:pPr>
            <w:r>
              <w:t>26</w:t>
            </w:r>
          </w:p>
        </w:tc>
        <w:tc>
          <w:tcPr>
            <w:tcW w:w="4535" w:type="dxa"/>
            <w:vAlign w:val="center"/>
          </w:tcPr>
          <w:p w14:paraId="70A37C5D">
            <w:pPr>
              <w:pStyle w:val="12"/>
            </w:pPr>
          </w:p>
        </w:tc>
        <w:tc>
          <w:tcPr>
            <w:tcW w:w="2126" w:type="dxa"/>
            <w:vAlign w:val="center"/>
          </w:tcPr>
          <w:p w14:paraId="0F242241">
            <w:pPr>
              <w:pStyle w:val="11"/>
            </w:pPr>
          </w:p>
        </w:tc>
        <w:tc>
          <w:tcPr>
            <w:tcW w:w="4535" w:type="dxa"/>
            <w:vAlign w:val="center"/>
          </w:tcPr>
          <w:p w14:paraId="051D71E8">
            <w:pPr>
              <w:pStyle w:val="12"/>
            </w:pPr>
            <w:r>
              <w:t>二十六、转移性支出</w:t>
            </w:r>
          </w:p>
        </w:tc>
        <w:tc>
          <w:tcPr>
            <w:tcW w:w="2126" w:type="dxa"/>
            <w:vAlign w:val="center"/>
          </w:tcPr>
          <w:p w14:paraId="3E36DE20">
            <w:pPr>
              <w:pStyle w:val="11"/>
            </w:pPr>
          </w:p>
        </w:tc>
      </w:tr>
      <w:tr w14:paraId="6C61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3FD4A">
            <w:pPr>
              <w:pStyle w:val="13"/>
            </w:pPr>
            <w:r>
              <w:t>27</w:t>
            </w:r>
          </w:p>
        </w:tc>
        <w:tc>
          <w:tcPr>
            <w:tcW w:w="4535" w:type="dxa"/>
            <w:vAlign w:val="center"/>
          </w:tcPr>
          <w:p w14:paraId="60B7AFB0">
            <w:pPr>
              <w:pStyle w:val="12"/>
            </w:pPr>
          </w:p>
        </w:tc>
        <w:tc>
          <w:tcPr>
            <w:tcW w:w="2126" w:type="dxa"/>
            <w:vAlign w:val="center"/>
          </w:tcPr>
          <w:p w14:paraId="34957D42">
            <w:pPr>
              <w:pStyle w:val="11"/>
            </w:pPr>
          </w:p>
        </w:tc>
        <w:tc>
          <w:tcPr>
            <w:tcW w:w="4535" w:type="dxa"/>
            <w:vAlign w:val="center"/>
          </w:tcPr>
          <w:p w14:paraId="5BB6ED51">
            <w:pPr>
              <w:pStyle w:val="12"/>
            </w:pPr>
            <w:r>
              <w:t>二十七、债务还本支出</w:t>
            </w:r>
          </w:p>
        </w:tc>
        <w:tc>
          <w:tcPr>
            <w:tcW w:w="2126" w:type="dxa"/>
            <w:vAlign w:val="center"/>
          </w:tcPr>
          <w:p w14:paraId="61A558DC">
            <w:pPr>
              <w:pStyle w:val="11"/>
            </w:pPr>
          </w:p>
        </w:tc>
      </w:tr>
      <w:tr w14:paraId="0A66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C597A">
            <w:pPr>
              <w:pStyle w:val="13"/>
            </w:pPr>
            <w:r>
              <w:t>28</w:t>
            </w:r>
          </w:p>
        </w:tc>
        <w:tc>
          <w:tcPr>
            <w:tcW w:w="4535" w:type="dxa"/>
            <w:vAlign w:val="center"/>
          </w:tcPr>
          <w:p w14:paraId="52D0B4AB">
            <w:pPr>
              <w:pStyle w:val="12"/>
            </w:pPr>
          </w:p>
        </w:tc>
        <w:tc>
          <w:tcPr>
            <w:tcW w:w="2126" w:type="dxa"/>
            <w:vAlign w:val="center"/>
          </w:tcPr>
          <w:p w14:paraId="51BC4C69">
            <w:pPr>
              <w:pStyle w:val="11"/>
            </w:pPr>
          </w:p>
        </w:tc>
        <w:tc>
          <w:tcPr>
            <w:tcW w:w="4535" w:type="dxa"/>
            <w:vAlign w:val="center"/>
          </w:tcPr>
          <w:p w14:paraId="5C0EB6B0">
            <w:pPr>
              <w:pStyle w:val="12"/>
            </w:pPr>
            <w:r>
              <w:t>二十八、债务付息支出</w:t>
            </w:r>
          </w:p>
        </w:tc>
        <w:tc>
          <w:tcPr>
            <w:tcW w:w="2126" w:type="dxa"/>
            <w:vAlign w:val="center"/>
          </w:tcPr>
          <w:p w14:paraId="4A991C3D">
            <w:pPr>
              <w:pStyle w:val="11"/>
            </w:pPr>
          </w:p>
        </w:tc>
      </w:tr>
      <w:tr w14:paraId="26EC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B11E5">
            <w:pPr>
              <w:pStyle w:val="13"/>
            </w:pPr>
            <w:r>
              <w:t>29</w:t>
            </w:r>
          </w:p>
        </w:tc>
        <w:tc>
          <w:tcPr>
            <w:tcW w:w="4535" w:type="dxa"/>
            <w:vAlign w:val="center"/>
          </w:tcPr>
          <w:p w14:paraId="56E3E8BA">
            <w:pPr>
              <w:pStyle w:val="12"/>
            </w:pPr>
          </w:p>
        </w:tc>
        <w:tc>
          <w:tcPr>
            <w:tcW w:w="2126" w:type="dxa"/>
            <w:vAlign w:val="center"/>
          </w:tcPr>
          <w:p w14:paraId="2626769D">
            <w:pPr>
              <w:pStyle w:val="11"/>
            </w:pPr>
          </w:p>
        </w:tc>
        <w:tc>
          <w:tcPr>
            <w:tcW w:w="4535" w:type="dxa"/>
            <w:vAlign w:val="center"/>
          </w:tcPr>
          <w:p w14:paraId="6BF37B35">
            <w:pPr>
              <w:pStyle w:val="12"/>
            </w:pPr>
            <w:r>
              <w:t>二十九、债务发行费用支出</w:t>
            </w:r>
          </w:p>
        </w:tc>
        <w:tc>
          <w:tcPr>
            <w:tcW w:w="2126" w:type="dxa"/>
            <w:vAlign w:val="center"/>
          </w:tcPr>
          <w:p w14:paraId="37B8011B">
            <w:pPr>
              <w:pStyle w:val="11"/>
            </w:pPr>
          </w:p>
        </w:tc>
      </w:tr>
      <w:tr w14:paraId="6747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9E073">
            <w:pPr>
              <w:pStyle w:val="13"/>
            </w:pPr>
            <w:r>
              <w:t>30</w:t>
            </w:r>
          </w:p>
        </w:tc>
        <w:tc>
          <w:tcPr>
            <w:tcW w:w="4535" w:type="dxa"/>
            <w:vAlign w:val="center"/>
          </w:tcPr>
          <w:p w14:paraId="00BB21E1">
            <w:pPr>
              <w:pStyle w:val="12"/>
            </w:pPr>
          </w:p>
        </w:tc>
        <w:tc>
          <w:tcPr>
            <w:tcW w:w="2126" w:type="dxa"/>
            <w:vAlign w:val="center"/>
          </w:tcPr>
          <w:p w14:paraId="6A07B0BD">
            <w:pPr>
              <w:pStyle w:val="11"/>
            </w:pPr>
          </w:p>
        </w:tc>
        <w:tc>
          <w:tcPr>
            <w:tcW w:w="4535" w:type="dxa"/>
            <w:vAlign w:val="center"/>
          </w:tcPr>
          <w:p w14:paraId="15346143">
            <w:pPr>
              <w:pStyle w:val="12"/>
            </w:pPr>
            <w:r>
              <w:t>三十、抗疫特别国债安排的支出</w:t>
            </w:r>
          </w:p>
        </w:tc>
        <w:tc>
          <w:tcPr>
            <w:tcW w:w="2126" w:type="dxa"/>
            <w:vAlign w:val="center"/>
          </w:tcPr>
          <w:p w14:paraId="7966F036">
            <w:pPr>
              <w:pStyle w:val="11"/>
            </w:pPr>
          </w:p>
        </w:tc>
      </w:tr>
      <w:tr w14:paraId="703B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FD34C">
            <w:pPr>
              <w:pStyle w:val="13"/>
            </w:pPr>
            <w:r>
              <w:t>31</w:t>
            </w:r>
          </w:p>
        </w:tc>
        <w:tc>
          <w:tcPr>
            <w:tcW w:w="4535" w:type="dxa"/>
            <w:vAlign w:val="center"/>
          </w:tcPr>
          <w:p w14:paraId="2EAB0BE8">
            <w:pPr>
              <w:pStyle w:val="14"/>
            </w:pPr>
            <w:r>
              <w:t>本年收入合计</w:t>
            </w:r>
          </w:p>
        </w:tc>
        <w:tc>
          <w:tcPr>
            <w:tcW w:w="2126" w:type="dxa"/>
            <w:vAlign w:val="center"/>
          </w:tcPr>
          <w:p w14:paraId="5A225CB7">
            <w:pPr>
              <w:pStyle w:val="15"/>
            </w:pPr>
            <w:r>
              <w:t>2820.38</w:t>
            </w:r>
          </w:p>
        </w:tc>
        <w:tc>
          <w:tcPr>
            <w:tcW w:w="4535" w:type="dxa"/>
            <w:vAlign w:val="center"/>
          </w:tcPr>
          <w:p w14:paraId="737174F9">
            <w:pPr>
              <w:pStyle w:val="14"/>
            </w:pPr>
            <w:r>
              <w:t>本年支出合计</w:t>
            </w:r>
          </w:p>
        </w:tc>
        <w:tc>
          <w:tcPr>
            <w:tcW w:w="2126" w:type="dxa"/>
            <w:vAlign w:val="center"/>
          </w:tcPr>
          <w:p w14:paraId="54FDA87A">
            <w:pPr>
              <w:pStyle w:val="15"/>
            </w:pPr>
            <w:r>
              <w:t>2820.38</w:t>
            </w:r>
          </w:p>
        </w:tc>
      </w:tr>
      <w:tr w14:paraId="2B00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A083">
            <w:pPr>
              <w:pStyle w:val="13"/>
            </w:pPr>
            <w:r>
              <w:t>32</w:t>
            </w:r>
          </w:p>
        </w:tc>
        <w:tc>
          <w:tcPr>
            <w:tcW w:w="4535" w:type="dxa"/>
            <w:vAlign w:val="center"/>
          </w:tcPr>
          <w:p w14:paraId="78FE2A1B">
            <w:pPr>
              <w:pStyle w:val="12"/>
            </w:pPr>
            <w:r>
              <w:t>上年结转结余</w:t>
            </w:r>
          </w:p>
        </w:tc>
        <w:tc>
          <w:tcPr>
            <w:tcW w:w="2126" w:type="dxa"/>
            <w:vAlign w:val="center"/>
          </w:tcPr>
          <w:p w14:paraId="110CADAA">
            <w:pPr>
              <w:pStyle w:val="11"/>
            </w:pPr>
          </w:p>
        </w:tc>
        <w:tc>
          <w:tcPr>
            <w:tcW w:w="4535" w:type="dxa"/>
            <w:vAlign w:val="center"/>
          </w:tcPr>
          <w:p w14:paraId="080AEDD3">
            <w:pPr>
              <w:pStyle w:val="12"/>
            </w:pPr>
            <w:r>
              <w:t>年终结转结余</w:t>
            </w:r>
          </w:p>
        </w:tc>
        <w:tc>
          <w:tcPr>
            <w:tcW w:w="2126" w:type="dxa"/>
            <w:vAlign w:val="center"/>
          </w:tcPr>
          <w:p w14:paraId="1A21A6B1">
            <w:pPr>
              <w:pStyle w:val="11"/>
            </w:pPr>
          </w:p>
        </w:tc>
      </w:tr>
      <w:tr w14:paraId="2CBC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9E14D">
            <w:pPr>
              <w:pStyle w:val="13"/>
            </w:pPr>
            <w:r>
              <w:t>33</w:t>
            </w:r>
          </w:p>
        </w:tc>
        <w:tc>
          <w:tcPr>
            <w:tcW w:w="4535" w:type="dxa"/>
            <w:vAlign w:val="center"/>
          </w:tcPr>
          <w:p w14:paraId="4F6DF3A9">
            <w:pPr>
              <w:pStyle w:val="14"/>
            </w:pPr>
            <w:r>
              <w:t>收入总计</w:t>
            </w:r>
          </w:p>
        </w:tc>
        <w:tc>
          <w:tcPr>
            <w:tcW w:w="2126" w:type="dxa"/>
            <w:vAlign w:val="center"/>
          </w:tcPr>
          <w:p w14:paraId="68F35293">
            <w:pPr>
              <w:pStyle w:val="15"/>
            </w:pPr>
            <w:r>
              <w:t>2820.38</w:t>
            </w:r>
          </w:p>
        </w:tc>
        <w:tc>
          <w:tcPr>
            <w:tcW w:w="4535" w:type="dxa"/>
            <w:vAlign w:val="center"/>
          </w:tcPr>
          <w:p w14:paraId="7D433F4A">
            <w:pPr>
              <w:pStyle w:val="14"/>
            </w:pPr>
            <w:r>
              <w:t>支出总计</w:t>
            </w:r>
          </w:p>
        </w:tc>
        <w:tc>
          <w:tcPr>
            <w:tcW w:w="2126" w:type="dxa"/>
            <w:vAlign w:val="center"/>
          </w:tcPr>
          <w:p w14:paraId="43C5A396">
            <w:pPr>
              <w:pStyle w:val="15"/>
            </w:pPr>
            <w:r>
              <w:t>2820.38</w:t>
            </w:r>
          </w:p>
        </w:tc>
      </w:tr>
    </w:tbl>
    <w:p w14:paraId="1D17625B">
      <w:pPr>
        <w:sectPr>
          <w:pgSz w:w="16840" w:h="11900" w:orient="landscape"/>
          <w:pgMar w:top="1361" w:right="1020" w:bottom="1134" w:left="1020" w:header="720" w:footer="720" w:gutter="0"/>
          <w:cols w:space="720" w:num="1"/>
        </w:sectPr>
      </w:pPr>
    </w:p>
    <w:p w14:paraId="7FA3B0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3E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D7C8B3">
            <w:pPr>
              <w:pStyle w:val="9"/>
            </w:pPr>
            <w:r>
              <w:t>360023隆尧县固城校区</w:t>
            </w:r>
          </w:p>
        </w:tc>
        <w:tc>
          <w:tcPr>
            <w:tcW w:w="3402" w:type="dxa"/>
            <w:gridSpan w:val="3"/>
            <w:tcBorders>
              <w:top w:val="single" w:color="FFFFFF" w:sz="6" w:space="0"/>
              <w:left w:val="single" w:color="FFFFFF" w:sz="6" w:space="0"/>
              <w:right w:val="single" w:color="FFFFFF" w:sz="6" w:space="0"/>
            </w:tcBorders>
            <w:vAlign w:val="center"/>
          </w:tcPr>
          <w:p w14:paraId="7387AAF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2BF7545">
            <w:pPr>
              <w:pStyle w:val="7"/>
            </w:pPr>
            <w:r>
              <w:t>单位：万元</w:t>
            </w:r>
          </w:p>
        </w:tc>
      </w:tr>
      <w:tr w14:paraId="03B5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92A6E8">
            <w:pPr>
              <w:pStyle w:val="10"/>
            </w:pPr>
            <w:r>
              <w:t>序号</w:t>
            </w:r>
          </w:p>
        </w:tc>
        <w:tc>
          <w:tcPr>
            <w:tcW w:w="2551" w:type="dxa"/>
            <w:gridSpan w:val="2"/>
            <w:vAlign w:val="center"/>
          </w:tcPr>
          <w:p w14:paraId="3C230002">
            <w:pPr>
              <w:pStyle w:val="10"/>
            </w:pPr>
            <w:r>
              <w:t>功能分类科目</w:t>
            </w:r>
          </w:p>
        </w:tc>
        <w:tc>
          <w:tcPr>
            <w:tcW w:w="1134" w:type="dxa"/>
            <w:vMerge w:val="restart"/>
            <w:vAlign w:val="center"/>
          </w:tcPr>
          <w:p w14:paraId="3B0EA686">
            <w:pPr>
              <w:pStyle w:val="10"/>
            </w:pPr>
            <w:r>
              <w:t>合计</w:t>
            </w:r>
          </w:p>
        </w:tc>
        <w:tc>
          <w:tcPr>
            <w:tcW w:w="9072" w:type="dxa"/>
            <w:gridSpan w:val="8"/>
            <w:vAlign w:val="center"/>
          </w:tcPr>
          <w:p w14:paraId="58EAEDC3">
            <w:pPr>
              <w:pStyle w:val="10"/>
            </w:pPr>
            <w:r>
              <w:t>本年收入</w:t>
            </w:r>
          </w:p>
        </w:tc>
        <w:tc>
          <w:tcPr>
            <w:tcW w:w="1134" w:type="dxa"/>
            <w:vMerge w:val="restart"/>
            <w:vAlign w:val="center"/>
          </w:tcPr>
          <w:p w14:paraId="024681DB">
            <w:pPr>
              <w:pStyle w:val="10"/>
            </w:pPr>
            <w:r>
              <w:t>上年结转</w:t>
            </w:r>
          </w:p>
        </w:tc>
      </w:tr>
      <w:tr w14:paraId="1447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1D1D17"/>
        </w:tc>
        <w:tc>
          <w:tcPr>
            <w:tcW w:w="992" w:type="dxa"/>
            <w:vAlign w:val="center"/>
          </w:tcPr>
          <w:p w14:paraId="56C880BB">
            <w:pPr>
              <w:pStyle w:val="10"/>
            </w:pPr>
            <w:r>
              <w:t>科目    编码</w:t>
            </w:r>
          </w:p>
        </w:tc>
        <w:tc>
          <w:tcPr>
            <w:tcW w:w="1559" w:type="dxa"/>
            <w:vAlign w:val="center"/>
          </w:tcPr>
          <w:p w14:paraId="08F36A21">
            <w:pPr>
              <w:pStyle w:val="10"/>
            </w:pPr>
            <w:r>
              <w:t>科目名称</w:t>
            </w:r>
          </w:p>
        </w:tc>
        <w:tc>
          <w:tcPr>
            <w:tcW w:w="1134" w:type="dxa"/>
            <w:vMerge w:val="continue"/>
          </w:tcPr>
          <w:p w14:paraId="2CDC4ACD"/>
        </w:tc>
        <w:tc>
          <w:tcPr>
            <w:tcW w:w="1134" w:type="dxa"/>
            <w:vAlign w:val="center"/>
          </w:tcPr>
          <w:p w14:paraId="27A923F1">
            <w:pPr>
              <w:pStyle w:val="10"/>
            </w:pPr>
            <w:r>
              <w:t>小计</w:t>
            </w:r>
          </w:p>
        </w:tc>
        <w:tc>
          <w:tcPr>
            <w:tcW w:w="1134" w:type="dxa"/>
            <w:vAlign w:val="center"/>
          </w:tcPr>
          <w:p w14:paraId="7B9297DD">
            <w:pPr>
              <w:pStyle w:val="10"/>
            </w:pPr>
            <w:r>
              <w:t>财政拨款 收入</w:t>
            </w:r>
          </w:p>
        </w:tc>
        <w:tc>
          <w:tcPr>
            <w:tcW w:w="1134" w:type="dxa"/>
            <w:vAlign w:val="center"/>
          </w:tcPr>
          <w:p w14:paraId="0B2041E4">
            <w:pPr>
              <w:pStyle w:val="10"/>
            </w:pPr>
            <w:r>
              <w:t>财政专户 收入</w:t>
            </w:r>
          </w:p>
        </w:tc>
        <w:tc>
          <w:tcPr>
            <w:tcW w:w="1134" w:type="dxa"/>
            <w:vAlign w:val="center"/>
          </w:tcPr>
          <w:p w14:paraId="0D3EC05C">
            <w:pPr>
              <w:pStyle w:val="10"/>
            </w:pPr>
            <w:r>
              <w:t>事业收入</w:t>
            </w:r>
          </w:p>
        </w:tc>
        <w:tc>
          <w:tcPr>
            <w:tcW w:w="1134" w:type="dxa"/>
            <w:vAlign w:val="center"/>
          </w:tcPr>
          <w:p w14:paraId="6BE92C03">
            <w:pPr>
              <w:pStyle w:val="10"/>
            </w:pPr>
            <w:r>
              <w:t>经营收入</w:t>
            </w:r>
          </w:p>
        </w:tc>
        <w:tc>
          <w:tcPr>
            <w:tcW w:w="1134" w:type="dxa"/>
            <w:vAlign w:val="center"/>
          </w:tcPr>
          <w:p w14:paraId="61314F2A">
            <w:pPr>
              <w:pStyle w:val="10"/>
            </w:pPr>
            <w:r>
              <w:t>上级补助收入</w:t>
            </w:r>
          </w:p>
        </w:tc>
        <w:tc>
          <w:tcPr>
            <w:tcW w:w="1134" w:type="dxa"/>
            <w:vAlign w:val="center"/>
          </w:tcPr>
          <w:p w14:paraId="22CF3B62">
            <w:pPr>
              <w:pStyle w:val="10"/>
            </w:pPr>
            <w:r>
              <w:t>附属单位上缴收入</w:t>
            </w:r>
          </w:p>
        </w:tc>
        <w:tc>
          <w:tcPr>
            <w:tcW w:w="1134" w:type="dxa"/>
            <w:vAlign w:val="center"/>
          </w:tcPr>
          <w:p w14:paraId="04BCA645">
            <w:pPr>
              <w:pStyle w:val="10"/>
            </w:pPr>
            <w:r>
              <w:t>其他收入</w:t>
            </w:r>
          </w:p>
        </w:tc>
        <w:tc>
          <w:tcPr>
            <w:tcW w:w="1134" w:type="dxa"/>
            <w:vMerge w:val="continue"/>
          </w:tcPr>
          <w:p w14:paraId="13013A0A"/>
        </w:tc>
      </w:tr>
      <w:tr w14:paraId="56CB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012B3F">
            <w:pPr>
              <w:pStyle w:val="10"/>
            </w:pPr>
            <w:r>
              <w:t>栏次</w:t>
            </w:r>
          </w:p>
        </w:tc>
        <w:tc>
          <w:tcPr>
            <w:tcW w:w="992" w:type="dxa"/>
            <w:vAlign w:val="center"/>
          </w:tcPr>
          <w:p w14:paraId="334853AC">
            <w:pPr>
              <w:pStyle w:val="10"/>
            </w:pPr>
            <w:r>
              <w:t>1</w:t>
            </w:r>
          </w:p>
        </w:tc>
        <w:tc>
          <w:tcPr>
            <w:tcW w:w="1559" w:type="dxa"/>
            <w:vAlign w:val="center"/>
          </w:tcPr>
          <w:p w14:paraId="53EB85F5">
            <w:pPr>
              <w:pStyle w:val="10"/>
            </w:pPr>
            <w:r>
              <w:t>2</w:t>
            </w:r>
          </w:p>
        </w:tc>
        <w:tc>
          <w:tcPr>
            <w:tcW w:w="1134" w:type="dxa"/>
            <w:vAlign w:val="center"/>
          </w:tcPr>
          <w:p w14:paraId="0D099788">
            <w:pPr>
              <w:pStyle w:val="10"/>
            </w:pPr>
            <w:r>
              <w:t>3</w:t>
            </w:r>
          </w:p>
        </w:tc>
        <w:tc>
          <w:tcPr>
            <w:tcW w:w="1134" w:type="dxa"/>
            <w:vAlign w:val="center"/>
          </w:tcPr>
          <w:p w14:paraId="73E8664F">
            <w:pPr>
              <w:pStyle w:val="10"/>
            </w:pPr>
            <w:r>
              <w:t>4</w:t>
            </w:r>
          </w:p>
        </w:tc>
        <w:tc>
          <w:tcPr>
            <w:tcW w:w="1134" w:type="dxa"/>
            <w:vAlign w:val="center"/>
          </w:tcPr>
          <w:p w14:paraId="2CCE6D6B">
            <w:pPr>
              <w:pStyle w:val="10"/>
            </w:pPr>
            <w:r>
              <w:t>5</w:t>
            </w:r>
          </w:p>
        </w:tc>
        <w:tc>
          <w:tcPr>
            <w:tcW w:w="1134" w:type="dxa"/>
            <w:vAlign w:val="center"/>
          </w:tcPr>
          <w:p w14:paraId="61848E62">
            <w:pPr>
              <w:pStyle w:val="10"/>
            </w:pPr>
            <w:r>
              <w:t>6</w:t>
            </w:r>
          </w:p>
        </w:tc>
        <w:tc>
          <w:tcPr>
            <w:tcW w:w="1134" w:type="dxa"/>
            <w:vAlign w:val="center"/>
          </w:tcPr>
          <w:p w14:paraId="3800FE33">
            <w:pPr>
              <w:pStyle w:val="10"/>
            </w:pPr>
            <w:r>
              <w:t>7</w:t>
            </w:r>
          </w:p>
        </w:tc>
        <w:tc>
          <w:tcPr>
            <w:tcW w:w="1134" w:type="dxa"/>
            <w:vAlign w:val="center"/>
          </w:tcPr>
          <w:p w14:paraId="2244078E">
            <w:pPr>
              <w:pStyle w:val="10"/>
            </w:pPr>
            <w:r>
              <w:t>8</w:t>
            </w:r>
          </w:p>
        </w:tc>
        <w:tc>
          <w:tcPr>
            <w:tcW w:w="1134" w:type="dxa"/>
            <w:vAlign w:val="center"/>
          </w:tcPr>
          <w:p w14:paraId="0A8A37B1">
            <w:pPr>
              <w:pStyle w:val="10"/>
            </w:pPr>
            <w:r>
              <w:t>9</w:t>
            </w:r>
          </w:p>
        </w:tc>
        <w:tc>
          <w:tcPr>
            <w:tcW w:w="1134" w:type="dxa"/>
            <w:vAlign w:val="center"/>
          </w:tcPr>
          <w:p w14:paraId="6069BD4E">
            <w:pPr>
              <w:pStyle w:val="10"/>
            </w:pPr>
            <w:r>
              <w:t>10</w:t>
            </w:r>
          </w:p>
        </w:tc>
        <w:tc>
          <w:tcPr>
            <w:tcW w:w="1134" w:type="dxa"/>
            <w:vAlign w:val="center"/>
          </w:tcPr>
          <w:p w14:paraId="3AFBA3D3">
            <w:pPr>
              <w:pStyle w:val="10"/>
            </w:pPr>
            <w:r>
              <w:t>11</w:t>
            </w:r>
          </w:p>
        </w:tc>
        <w:tc>
          <w:tcPr>
            <w:tcW w:w="1134" w:type="dxa"/>
            <w:vAlign w:val="center"/>
          </w:tcPr>
          <w:p w14:paraId="3F3C9C8B">
            <w:pPr>
              <w:pStyle w:val="10"/>
            </w:pPr>
            <w:r>
              <w:t>12</w:t>
            </w:r>
          </w:p>
        </w:tc>
      </w:tr>
      <w:tr w14:paraId="00E0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80360">
            <w:pPr>
              <w:pStyle w:val="13"/>
            </w:pPr>
            <w:r>
              <w:t>1</w:t>
            </w:r>
          </w:p>
        </w:tc>
        <w:tc>
          <w:tcPr>
            <w:tcW w:w="992" w:type="dxa"/>
            <w:vAlign w:val="center"/>
          </w:tcPr>
          <w:p w14:paraId="24B9EC69">
            <w:pPr>
              <w:pStyle w:val="16"/>
            </w:pPr>
          </w:p>
        </w:tc>
        <w:tc>
          <w:tcPr>
            <w:tcW w:w="1559" w:type="dxa"/>
            <w:vAlign w:val="center"/>
          </w:tcPr>
          <w:p w14:paraId="487BDAA0">
            <w:pPr>
              <w:pStyle w:val="14"/>
            </w:pPr>
            <w:r>
              <w:t>合计</w:t>
            </w:r>
          </w:p>
        </w:tc>
        <w:tc>
          <w:tcPr>
            <w:tcW w:w="1134" w:type="dxa"/>
            <w:vAlign w:val="center"/>
          </w:tcPr>
          <w:p w14:paraId="64056C26">
            <w:pPr>
              <w:pStyle w:val="15"/>
            </w:pPr>
            <w:r>
              <w:t>2820.38</w:t>
            </w:r>
          </w:p>
        </w:tc>
        <w:tc>
          <w:tcPr>
            <w:tcW w:w="1134" w:type="dxa"/>
            <w:vAlign w:val="center"/>
          </w:tcPr>
          <w:p w14:paraId="58A5A4D6">
            <w:pPr>
              <w:pStyle w:val="15"/>
            </w:pPr>
            <w:r>
              <w:t>2820.38</w:t>
            </w:r>
          </w:p>
        </w:tc>
        <w:tc>
          <w:tcPr>
            <w:tcW w:w="1134" w:type="dxa"/>
            <w:vAlign w:val="center"/>
          </w:tcPr>
          <w:p w14:paraId="70E743C2">
            <w:pPr>
              <w:pStyle w:val="15"/>
            </w:pPr>
            <w:r>
              <w:t>2820.38</w:t>
            </w:r>
          </w:p>
        </w:tc>
        <w:tc>
          <w:tcPr>
            <w:tcW w:w="1134" w:type="dxa"/>
            <w:vAlign w:val="center"/>
          </w:tcPr>
          <w:p w14:paraId="23167788">
            <w:pPr>
              <w:pStyle w:val="15"/>
            </w:pPr>
          </w:p>
        </w:tc>
        <w:tc>
          <w:tcPr>
            <w:tcW w:w="1134" w:type="dxa"/>
            <w:vAlign w:val="center"/>
          </w:tcPr>
          <w:p w14:paraId="698FC16A">
            <w:pPr>
              <w:pStyle w:val="15"/>
            </w:pPr>
          </w:p>
        </w:tc>
        <w:tc>
          <w:tcPr>
            <w:tcW w:w="1134" w:type="dxa"/>
            <w:vAlign w:val="center"/>
          </w:tcPr>
          <w:p w14:paraId="6163B3BD">
            <w:pPr>
              <w:pStyle w:val="15"/>
            </w:pPr>
          </w:p>
        </w:tc>
        <w:tc>
          <w:tcPr>
            <w:tcW w:w="1134" w:type="dxa"/>
            <w:vAlign w:val="center"/>
          </w:tcPr>
          <w:p w14:paraId="7C2A6F53">
            <w:pPr>
              <w:pStyle w:val="15"/>
            </w:pPr>
          </w:p>
        </w:tc>
        <w:tc>
          <w:tcPr>
            <w:tcW w:w="1134" w:type="dxa"/>
            <w:vAlign w:val="center"/>
          </w:tcPr>
          <w:p w14:paraId="1A32809A">
            <w:pPr>
              <w:pStyle w:val="15"/>
            </w:pPr>
          </w:p>
        </w:tc>
        <w:tc>
          <w:tcPr>
            <w:tcW w:w="1134" w:type="dxa"/>
            <w:vAlign w:val="center"/>
          </w:tcPr>
          <w:p w14:paraId="373DD9DB">
            <w:pPr>
              <w:pStyle w:val="15"/>
            </w:pPr>
          </w:p>
        </w:tc>
        <w:tc>
          <w:tcPr>
            <w:tcW w:w="1134" w:type="dxa"/>
            <w:vAlign w:val="center"/>
          </w:tcPr>
          <w:p w14:paraId="2CEA7474">
            <w:pPr>
              <w:pStyle w:val="15"/>
            </w:pPr>
          </w:p>
        </w:tc>
      </w:tr>
      <w:tr w14:paraId="46B58AFC">
        <w:tblPrEx>
          <w:tblCellMar>
            <w:top w:w="0" w:type="dxa"/>
            <w:left w:w="108" w:type="dxa"/>
            <w:bottom w:w="0" w:type="dxa"/>
            <w:right w:w="108" w:type="dxa"/>
          </w:tblCellMar>
        </w:tblPrEx>
        <w:trPr>
          <w:trHeight w:val="369" w:hRule="atLeast"/>
          <w:jc w:val="center"/>
        </w:trPr>
        <w:tc>
          <w:tcPr>
            <w:tcW w:w="680" w:type="dxa"/>
            <w:vAlign w:val="center"/>
          </w:tcPr>
          <w:p w14:paraId="3A3DA19D">
            <w:pPr>
              <w:pStyle w:val="13"/>
            </w:pPr>
            <w:r>
              <w:t>2</w:t>
            </w:r>
          </w:p>
        </w:tc>
        <w:tc>
          <w:tcPr>
            <w:tcW w:w="992" w:type="dxa"/>
            <w:vAlign w:val="center"/>
          </w:tcPr>
          <w:p w14:paraId="39F997C4">
            <w:pPr>
              <w:pStyle w:val="12"/>
            </w:pPr>
            <w:r>
              <w:t>205</w:t>
            </w:r>
          </w:p>
        </w:tc>
        <w:tc>
          <w:tcPr>
            <w:tcW w:w="1559" w:type="dxa"/>
            <w:vAlign w:val="center"/>
          </w:tcPr>
          <w:p w14:paraId="0989C7B3">
            <w:pPr>
              <w:pStyle w:val="12"/>
            </w:pPr>
            <w:r>
              <w:t>教育支出</w:t>
            </w:r>
          </w:p>
        </w:tc>
        <w:tc>
          <w:tcPr>
            <w:tcW w:w="1134" w:type="dxa"/>
            <w:vAlign w:val="center"/>
          </w:tcPr>
          <w:p w14:paraId="2184F076">
            <w:pPr>
              <w:pStyle w:val="11"/>
            </w:pPr>
            <w:r>
              <w:t>2820.38</w:t>
            </w:r>
          </w:p>
        </w:tc>
        <w:tc>
          <w:tcPr>
            <w:tcW w:w="1134" w:type="dxa"/>
            <w:vAlign w:val="center"/>
          </w:tcPr>
          <w:p w14:paraId="4BDB2C7A">
            <w:pPr>
              <w:pStyle w:val="11"/>
            </w:pPr>
            <w:r>
              <w:t>2820.38</w:t>
            </w:r>
          </w:p>
        </w:tc>
        <w:tc>
          <w:tcPr>
            <w:tcW w:w="1134" w:type="dxa"/>
            <w:vAlign w:val="center"/>
          </w:tcPr>
          <w:p w14:paraId="5D84EC5E">
            <w:pPr>
              <w:pStyle w:val="11"/>
            </w:pPr>
            <w:r>
              <w:t>2820.38</w:t>
            </w:r>
          </w:p>
        </w:tc>
        <w:tc>
          <w:tcPr>
            <w:tcW w:w="1134" w:type="dxa"/>
            <w:vAlign w:val="center"/>
          </w:tcPr>
          <w:p w14:paraId="08A2ACF3">
            <w:pPr>
              <w:pStyle w:val="11"/>
            </w:pPr>
          </w:p>
        </w:tc>
        <w:tc>
          <w:tcPr>
            <w:tcW w:w="1134" w:type="dxa"/>
            <w:vAlign w:val="center"/>
          </w:tcPr>
          <w:p w14:paraId="7B8515D8">
            <w:pPr>
              <w:pStyle w:val="11"/>
            </w:pPr>
          </w:p>
        </w:tc>
        <w:tc>
          <w:tcPr>
            <w:tcW w:w="1134" w:type="dxa"/>
            <w:vAlign w:val="center"/>
          </w:tcPr>
          <w:p w14:paraId="7326DA0D">
            <w:pPr>
              <w:pStyle w:val="11"/>
            </w:pPr>
          </w:p>
        </w:tc>
        <w:tc>
          <w:tcPr>
            <w:tcW w:w="1134" w:type="dxa"/>
            <w:vAlign w:val="center"/>
          </w:tcPr>
          <w:p w14:paraId="1986DAE6">
            <w:pPr>
              <w:pStyle w:val="11"/>
            </w:pPr>
          </w:p>
        </w:tc>
        <w:tc>
          <w:tcPr>
            <w:tcW w:w="1134" w:type="dxa"/>
            <w:vAlign w:val="center"/>
          </w:tcPr>
          <w:p w14:paraId="62D6B6F5">
            <w:pPr>
              <w:pStyle w:val="11"/>
            </w:pPr>
          </w:p>
        </w:tc>
        <w:tc>
          <w:tcPr>
            <w:tcW w:w="1134" w:type="dxa"/>
            <w:vAlign w:val="center"/>
          </w:tcPr>
          <w:p w14:paraId="4CAE0454">
            <w:pPr>
              <w:pStyle w:val="11"/>
            </w:pPr>
          </w:p>
        </w:tc>
        <w:tc>
          <w:tcPr>
            <w:tcW w:w="1134" w:type="dxa"/>
            <w:vAlign w:val="center"/>
          </w:tcPr>
          <w:p w14:paraId="4CAE3259">
            <w:pPr>
              <w:pStyle w:val="11"/>
            </w:pPr>
          </w:p>
        </w:tc>
      </w:tr>
      <w:tr w14:paraId="6F47675C">
        <w:tblPrEx>
          <w:tblCellMar>
            <w:top w:w="0" w:type="dxa"/>
            <w:left w:w="108" w:type="dxa"/>
            <w:bottom w:w="0" w:type="dxa"/>
            <w:right w:w="108" w:type="dxa"/>
          </w:tblCellMar>
        </w:tblPrEx>
        <w:trPr>
          <w:trHeight w:val="369" w:hRule="atLeast"/>
          <w:jc w:val="center"/>
        </w:trPr>
        <w:tc>
          <w:tcPr>
            <w:tcW w:w="680" w:type="dxa"/>
            <w:vAlign w:val="center"/>
          </w:tcPr>
          <w:p w14:paraId="21907FB0">
            <w:pPr>
              <w:pStyle w:val="13"/>
            </w:pPr>
            <w:r>
              <w:t>3</w:t>
            </w:r>
          </w:p>
        </w:tc>
        <w:tc>
          <w:tcPr>
            <w:tcW w:w="992" w:type="dxa"/>
            <w:vAlign w:val="center"/>
          </w:tcPr>
          <w:p w14:paraId="4BD73838">
            <w:pPr>
              <w:pStyle w:val="12"/>
            </w:pPr>
            <w:r>
              <w:t>20502</w:t>
            </w:r>
          </w:p>
        </w:tc>
        <w:tc>
          <w:tcPr>
            <w:tcW w:w="1559" w:type="dxa"/>
            <w:vAlign w:val="center"/>
          </w:tcPr>
          <w:p w14:paraId="3F3A7AF3">
            <w:pPr>
              <w:pStyle w:val="12"/>
            </w:pPr>
            <w:r>
              <w:t>普通教育</w:t>
            </w:r>
          </w:p>
        </w:tc>
        <w:tc>
          <w:tcPr>
            <w:tcW w:w="1134" w:type="dxa"/>
            <w:vAlign w:val="center"/>
          </w:tcPr>
          <w:p w14:paraId="26BBF282">
            <w:pPr>
              <w:pStyle w:val="11"/>
            </w:pPr>
            <w:r>
              <w:t>2820.38</w:t>
            </w:r>
          </w:p>
        </w:tc>
        <w:tc>
          <w:tcPr>
            <w:tcW w:w="1134" w:type="dxa"/>
            <w:vAlign w:val="center"/>
          </w:tcPr>
          <w:p w14:paraId="17BF760F">
            <w:pPr>
              <w:pStyle w:val="11"/>
            </w:pPr>
            <w:r>
              <w:t>2820.38</w:t>
            </w:r>
          </w:p>
        </w:tc>
        <w:tc>
          <w:tcPr>
            <w:tcW w:w="1134" w:type="dxa"/>
            <w:vAlign w:val="center"/>
          </w:tcPr>
          <w:p w14:paraId="22614CF6">
            <w:pPr>
              <w:pStyle w:val="11"/>
            </w:pPr>
            <w:r>
              <w:t>2820.38</w:t>
            </w:r>
          </w:p>
        </w:tc>
        <w:tc>
          <w:tcPr>
            <w:tcW w:w="1134" w:type="dxa"/>
            <w:vAlign w:val="center"/>
          </w:tcPr>
          <w:p w14:paraId="046A79EF">
            <w:pPr>
              <w:pStyle w:val="11"/>
            </w:pPr>
          </w:p>
        </w:tc>
        <w:tc>
          <w:tcPr>
            <w:tcW w:w="1134" w:type="dxa"/>
            <w:vAlign w:val="center"/>
          </w:tcPr>
          <w:p w14:paraId="7E87994E">
            <w:pPr>
              <w:pStyle w:val="11"/>
            </w:pPr>
          </w:p>
        </w:tc>
        <w:tc>
          <w:tcPr>
            <w:tcW w:w="1134" w:type="dxa"/>
            <w:vAlign w:val="center"/>
          </w:tcPr>
          <w:p w14:paraId="1B17C5D8">
            <w:pPr>
              <w:pStyle w:val="11"/>
            </w:pPr>
          </w:p>
        </w:tc>
        <w:tc>
          <w:tcPr>
            <w:tcW w:w="1134" w:type="dxa"/>
            <w:vAlign w:val="center"/>
          </w:tcPr>
          <w:p w14:paraId="2C2BC88F">
            <w:pPr>
              <w:pStyle w:val="11"/>
            </w:pPr>
          </w:p>
        </w:tc>
        <w:tc>
          <w:tcPr>
            <w:tcW w:w="1134" w:type="dxa"/>
            <w:vAlign w:val="center"/>
          </w:tcPr>
          <w:p w14:paraId="78CB56F9">
            <w:pPr>
              <w:pStyle w:val="11"/>
            </w:pPr>
          </w:p>
        </w:tc>
        <w:tc>
          <w:tcPr>
            <w:tcW w:w="1134" w:type="dxa"/>
            <w:vAlign w:val="center"/>
          </w:tcPr>
          <w:p w14:paraId="123393D7">
            <w:pPr>
              <w:pStyle w:val="11"/>
            </w:pPr>
          </w:p>
        </w:tc>
        <w:tc>
          <w:tcPr>
            <w:tcW w:w="1134" w:type="dxa"/>
            <w:vAlign w:val="center"/>
          </w:tcPr>
          <w:p w14:paraId="7BD1C033">
            <w:pPr>
              <w:pStyle w:val="11"/>
            </w:pPr>
          </w:p>
        </w:tc>
      </w:tr>
      <w:tr w14:paraId="44943181">
        <w:tblPrEx>
          <w:tblCellMar>
            <w:top w:w="0" w:type="dxa"/>
            <w:left w:w="108" w:type="dxa"/>
            <w:bottom w:w="0" w:type="dxa"/>
            <w:right w:w="108" w:type="dxa"/>
          </w:tblCellMar>
        </w:tblPrEx>
        <w:trPr>
          <w:trHeight w:val="369" w:hRule="atLeast"/>
          <w:jc w:val="center"/>
        </w:trPr>
        <w:tc>
          <w:tcPr>
            <w:tcW w:w="680" w:type="dxa"/>
            <w:vAlign w:val="center"/>
          </w:tcPr>
          <w:p w14:paraId="4336C7A3">
            <w:pPr>
              <w:pStyle w:val="13"/>
            </w:pPr>
            <w:r>
              <w:t>4</w:t>
            </w:r>
          </w:p>
        </w:tc>
        <w:tc>
          <w:tcPr>
            <w:tcW w:w="992" w:type="dxa"/>
            <w:vAlign w:val="center"/>
          </w:tcPr>
          <w:p w14:paraId="44FD499A">
            <w:pPr>
              <w:pStyle w:val="12"/>
            </w:pPr>
            <w:r>
              <w:t>2050201</w:t>
            </w:r>
          </w:p>
        </w:tc>
        <w:tc>
          <w:tcPr>
            <w:tcW w:w="1559" w:type="dxa"/>
            <w:vAlign w:val="center"/>
          </w:tcPr>
          <w:p w14:paraId="7CFA55ED">
            <w:pPr>
              <w:pStyle w:val="12"/>
            </w:pPr>
            <w:r>
              <w:t>学前教育</w:t>
            </w:r>
          </w:p>
        </w:tc>
        <w:tc>
          <w:tcPr>
            <w:tcW w:w="1134" w:type="dxa"/>
            <w:vAlign w:val="center"/>
          </w:tcPr>
          <w:p w14:paraId="17BED2AE">
            <w:pPr>
              <w:pStyle w:val="11"/>
            </w:pPr>
            <w:r>
              <w:t>172.81</w:t>
            </w:r>
          </w:p>
        </w:tc>
        <w:tc>
          <w:tcPr>
            <w:tcW w:w="1134" w:type="dxa"/>
            <w:vAlign w:val="center"/>
          </w:tcPr>
          <w:p w14:paraId="165A5382">
            <w:pPr>
              <w:pStyle w:val="11"/>
            </w:pPr>
            <w:r>
              <w:t>172.81</w:t>
            </w:r>
          </w:p>
        </w:tc>
        <w:tc>
          <w:tcPr>
            <w:tcW w:w="1134" w:type="dxa"/>
            <w:vAlign w:val="center"/>
          </w:tcPr>
          <w:p w14:paraId="7D952744">
            <w:pPr>
              <w:pStyle w:val="11"/>
            </w:pPr>
            <w:r>
              <w:t>172.81</w:t>
            </w:r>
          </w:p>
        </w:tc>
        <w:tc>
          <w:tcPr>
            <w:tcW w:w="1134" w:type="dxa"/>
            <w:vAlign w:val="center"/>
          </w:tcPr>
          <w:p w14:paraId="15415E2E">
            <w:pPr>
              <w:pStyle w:val="11"/>
            </w:pPr>
          </w:p>
        </w:tc>
        <w:tc>
          <w:tcPr>
            <w:tcW w:w="1134" w:type="dxa"/>
            <w:vAlign w:val="center"/>
          </w:tcPr>
          <w:p w14:paraId="30C913DE">
            <w:pPr>
              <w:pStyle w:val="11"/>
            </w:pPr>
          </w:p>
        </w:tc>
        <w:tc>
          <w:tcPr>
            <w:tcW w:w="1134" w:type="dxa"/>
            <w:vAlign w:val="center"/>
          </w:tcPr>
          <w:p w14:paraId="47036116">
            <w:pPr>
              <w:pStyle w:val="11"/>
            </w:pPr>
          </w:p>
        </w:tc>
        <w:tc>
          <w:tcPr>
            <w:tcW w:w="1134" w:type="dxa"/>
            <w:vAlign w:val="center"/>
          </w:tcPr>
          <w:p w14:paraId="6C6EA9B2">
            <w:pPr>
              <w:pStyle w:val="11"/>
            </w:pPr>
          </w:p>
        </w:tc>
        <w:tc>
          <w:tcPr>
            <w:tcW w:w="1134" w:type="dxa"/>
            <w:vAlign w:val="center"/>
          </w:tcPr>
          <w:p w14:paraId="31944C72">
            <w:pPr>
              <w:pStyle w:val="11"/>
            </w:pPr>
          </w:p>
        </w:tc>
        <w:tc>
          <w:tcPr>
            <w:tcW w:w="1134" w:type="dxa"/>
            <w:vAlign w:val="center"/>
          </w:tcPr>
          <w:p w14:paraId="2DEDACE6">
            <w:pPr>
              <w:pStyle w:val="11"/>
            </w:pPr>
          </w:p>
        </w:tc>
        <w:tc>
          <w:tcPr>
            <w:tcW w:w="1134" w:type="dxa"/>
            <w:vAlign w:val="center"/>
          </w:tcPr>
          <w:p w14:paraId="0810EFF2">
            <w:pPr>
              <w:pStyle w:val="11"/>
            </w:pPr>
          </w:p>
        </w:tc>
      </w:tr>
      <w:tr w14:paraId="61A9E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A6008">
            <w:pPr>
              <w:pStyle w:val="13"/>
            </w:pPr>
            <w:r>
              <w:t>5</w:t>
            </w:r>
          </w:p>
        </w:tc>
        <w:tc>
          <w:tcPr>
            <w:tcW w:w="992" w:type="dxa"/>
            <w:vAlign w:val="center"/>
          </w:tcPr>
          <w:p w14:paraId="43E5B497">
            <w:pPr>
              <w:pStyle w:val="12"/>
            </w:pPr>
            <w:r>
              <w:t>2050202</w:t>
            </w:r>
          </w:p>
        </w:tc>
        <w:tc>
          <w:tcPr>
            <w:tcW w:w="1559" w:type="dxa"/>
            <w:vAlign w:val="center"/>
          </w:tcPr>
          <w:p w14:paraId="0DD280DA">
            <w:pPr>
              <w:pStyle w:val="12"/>
            </w:pPr>
            <w:r>
              <w:t>小学教育</w:t>
            </w:r>
          </w:p>
        </w:tc>
        <w:tc>
          <w:tcPr>
            <w:tcW w:w="1134" w:type="dxa"/>
            <w:vAlign w:val="center"/>
          </w:tcPr>
          <w:p w14:paraId="59AD1BFF">
            <w:pPr>
              <w:pStyle w:val="11"/>
            </w:pPr>
            <w:r>
              <w:t>2647.57</w:t>
            </w:r>
          </w:p>
        </w:tc>
        <w:tc>
          <w:tcPr>
            <w:tcW w:w="1134" w:type="dxa"/>
            <w:vAlign w:val="center"/>
          </w:tcPr>
          <w:p w14:paraId="610E428E">
            <w:pPr>
              <w:pStyle w:val="11"/>
            </w:pPr>
            <w:r>
              <w:t>2647.57</w:t>
            </w:r>
          </w:p>
        </w:tc>
        <w:tc>
          <w:tcPr>
            <w:tcW w:w="1134" w:type="dxa"/>
            <w:vAlign w:val="center"/>
          </w:tcPr>
          <w:p w14:paraId="5015A472">
            <w:pPr>
              <w:pStyle w:val="11"/>
            </w:pPr>
            <w:r>
              <w:t>2647.57</w:t>
            </w:r>
          </w:p>
        </w:tc>
        <w:tc>
          <w:tcPr>
            <w:tcW w:w="1134" w:type="dxa"/>
            <w:vAlign w:val="center"/>
          </w:tcPr>
          <w:p w14:paraId="4F53F867">
            <w:pPr>
              <w:pStyle w:val="11"/>
            </w:pPr>
          </w:p>
        </w:tc>
        <w:tc>
          <w:tcPr>
            <w:tcW w:w="1134" w:type="dxa"/>
            <w:vAlign w:val="center"/>
          </w:tcPr>
          <w:p w14:paraId="423E4882">
            <w:pPr>
              <w:pStyle w:val="11"/>
            </w:pPr>
          </w:p>
        </w:tc>
        <w:tc>
          <w:tcPr>
            <w:tcW w:w="1134" w:type="dxa"/>
            <w:vAlign w:val="center"/>
          </w:tcPr>
          <w:p w14:paraId="6D35CC36">
            <w:pPr>
              <w:pStyle w:val="11"/>
            </w:pPr>
          </w:p>
        </w:tc>
        <w:tc>
          <w:tcPr>
            <w:tcW w:w="1134" w:type="dxa"/>
            <w:vAlign w:val="center"/>
          </w:tcPr>
          <w:p w14:paraId="5DF24FC3">
            <w:pPr>
              <w:pStyle w:val="11"/>
            </w:pPr>
          </w:p>
        </w:tc>
        <w:tc>
          <w:tcPr>
            <w:tcW w:w="1134" w:type="dxa"/>
            <w:vAlign w:val="center"/>
          </w:tcPr>
          <w:p w14:paraId="15CDA4F9">
            <w:pPr>
              <w:pStyle w:val="11"/>
            </w:pPr>
          </w:p>
        </w:tc>
        <w:tc>
          <w:tcPr>
            <w:tcW w:w="1134" w:type="dxa"/>
            <w:vAlign w:val="center"/>
          </w:tcPr>
          <w:p w14:paraId="21AF0EF1">
            <w:pPr>
              <w:pStyle w:val="11"/>
            </w:pPr>
          </w:p>
        </w:tc>
        <w:tc>
          <w:tcPr>
            <w:tcW w:w="1134" w:type="dxa"/>
            <w:vAlign w:val="center"/>
          </w:tcPr>
          <w:p w14:paraId="44272E7A">
            <w:pPr>
              <w:pStyle w:val="11"/>
            </w:pPr>
          </w:p>
        </w:tc>
      </w:tr>
    </w:tbl>
    <w:p w14:paraId="26FC75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CC55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1E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151015">
            <w:pPr>
              <w:pStyle w:val="9"/>
            </w:pPr>
            <w:r>
              <w:t>360023隆尧县固城校区</w:t>
            </w:r>
          </w:p>
        </w:tc>
        <w:tc>
          <w:tcPr>
            <w:tcW w:w="2722" w:type="dxa"/>
            <w:gridSpan w:val="2"/>
            <w:tcBorders>
              <w:top w:val="single" w:color="FFFFFF" w:sz="6" w:space="0"/>
              <w:left w:val="single" w:color="FFFFFF" w:sz="6" w:space="0"/>
              <w:right w:val="single" w:color="FFFFFF" w:sz="6" w:space="0"/>
            </w:tcBorders>
            <w:vAlign w:val="center"/>
          </w:tcPr>
          <w:p w14:paraId="736AD5E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E036997">
            <w:pPr>
              <w:pStyle w:val="7"/>
            </w:pPr>
            <w:r>
              <w:t>单位：万元</w:t>
            </w:r>
          </w:p>
        </w:tc>
      </w:tr>
      <w:tr w14:paraId="45A1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5D7FC">
            <w:pPr>
              <w:pStyle w:val="10"/>
            </w:pPr>
            <w:r>
              <w:t>序号</w:t>
            </w:r>
          </w:p>
        </w:tc>
        <w:tc>
          <w:tcPr>
            <w:tcW w:w="5527" w:type="dxa"/>
            <w:gridSpan w:val="2"/>
            <w:vAlign w:val="center"/>
          </w:tcPr>
          <w:p w14:paraId="6141C95F">
            <w:pPr>
              <w:pStyle w:val="10"/>
            </w:pPr>
            <w:r>
              <w:t>功能分类科目</w:t>
            </w:r>
          </w:p>
        </w:tc>
        <w:tc>
          <w:tcPr>
            <w:tcW w:w="1361" w:type="dxa"/>
            <w:vMerge w:val="restart"/>
            <w:vAlign w:val="center"/>
          </w:tcPr>
          <w:p w14:paraId="6D4BE64F">
            <w:pPr>
              <w:pStyle w:val="10"/>
            </w:pPr>
            <w:r>
              <w:t>合计</w:t>
            </w:r>
          </w:p>
        </w:tc>
        <w:tc>
          <w:tcPr>
            <w:tcW w:w="1361" w:type="dxa"/>
            <w:vMerge w:val="restart"/>
            <w:vAlign w:val="center"/>
          </w:tcPr>
          <w:p w14:paraId="7A82AB6F">
            <w:pPr>
              <w:pStyle w:val="10"/>
            </w:pPr>
            <w:r>
              <w:t>基本支出</w:t>
            </w:r>
          </w:p>
        </w:tc>
        <w:tc>
          <w:tcPr>
            <w:tcW w:w="1361" w:type="dxa"/>
            <w:vMerge w:val="restart"/>
            <w:vAlign w:val="center"/>
          </w:tcPr>
          <w:p w14:paraId="171EA2DD">
            <w:pPr>
              <w:pStyle w:val="10"/>
            </w:pPr>
            <w:r>
              <w:t>项目支出</w:t>
            </w:r>
          </w:p>
        </w:tc>
        <w:tc>
          <w:tcPr>
            <w:tcW w:w="1361" w:type="dxa"/>
            <w:vMerge w:val="restart"/>
            <w:vAlign w:val="center"/>
          </w:tcPr>
          <w:p w14:paraId="77C6778A">
            <w:pPr>
              <w:pStyle w:val="10"/>
            </w:pPr>
            <w:r>
              <w:t>经营支出</w:t>
            </w:r>
          </w:p>
        </w:tc>
        <w:tc>
          <w:tcPr>
            <w:tcW w:w="1361" w:type="dxa"/>
            <w:vMerge w:val="restart"/>
            <w:vAlign w:val="center"/>
          </w:tcPr>
          <w:p w14:paraId="38132554">
            <w:pPr>
              <w:pStyle w:val="10"/>
            </w:pPr>
            <w:r>
              <w:t>上解上级     支出</w:t>
            </w:r>
          </w:p>
        </w:tc>
        <w:tc>
          <w:tcPr>
            <w:tcW w:w="1361" w:type="dxa"/>
            <w:vMerge w:val="restart"/>
            <w:vAlign w:val="center"/>
          </w:tcPr>
          <w:p w14:paraId="540C3221">
            <w:pPr>
              <w:pStyle w:val="10"/>
            </w:pPr>
            <w:r>
              <w:t>对附属单位补助支出</w:t>
            </w:r>
          </w:p>
        </w:tc>
      </w:tr>
      <w:tr w14:paraId="331D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60BE9A"/>
        </w:tc>
        <w:tc>
          <w:tcPr>
            <w:tcW w:w="992" w:type="dxa"/>
            <w:vAlign w:val="center"/>
          </w:tcPr>
          <w:p w14:paraId="5A5AB20B">
            <w:pPr>
              <w:pStyle w:val="10"/>
            </w:pPr>
            <w:r>
              <w:t>科目    编码</w:t>
            </w:r>
          </w:p>
        </w:tc>
        <w:tc>
          <w:tcPr>
            <w:tcW w:w="4535" w:type="dxa"/>
            <w:vAlign w:val="center"/>
          </w:tcPr>
          <w:p w14:paraId="73AA8811">
            <w:pPr>
              <w:pStyle w:val="10"/>
            </w:pPr>
            <w:r>
              <w:t>科目名称</w:t>
            </w:r>
          </w:p>
        </w:tc>
        <w:tc>
          <w:tcPr>
            <w:tcW w:w="1361" w:type="dxa"/>
            <w:vMerge w:val="continue"/>
          </w:tcPr>
          <w:p w14:paraId="6F0A3733"/>
        </w:tc>
        <w:tc>
          <w:tcPr>
            <w:tcW w:w="1361" w:type="dxa"/>
            <w:vMerge w:val="continue"/>
          </w:tcPr>
          <w:p w14:paraId="29CC86D5"/>
        </w:tc>
        <w:tc>
          <w:tcPr>
            <w:tcW w:w="1361" w:type="dxa"/>
            <w:vMerge w:val="continue"/>
          </w:tcPr>
          <w:p w14:paraId="1C41F059"/>
        </w:tc>
        <w:tc>
          <w:tcPr>
            <w:tcW w:w="1361" w:type="dxa"/>
            <w:vMerge w:val="continue"/>
          </w:tcPr>
          <w:p w14:paraId="225639B1"/>
        </w:tc>
        <w:tc>
          <w:tcPr>
            <w:tcW w:w="1361" w:type="dxa"/>
            <w:vMerge w:val="continue"/>
          </w:tcPr>
          <w:p w14:paraId="4269A38C"/>
        </w:tc>
        <w:tc>
          <w:tcPr>
            <w:tcW w:w="1361" w:type="dxa"/>
            <w:vMerge w:val="continue"/>
          </w:tcPr>
          <w:p w14:paraId="14CC60E1"/>
        </w:tc>
      </w:tr>
      <w:tr w14:paraId="1E67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4551F">
            <w:pPr>
              <w:pStyle w:val="10"/>
            </w:pPr>
            <w:r>
              <w:t>栏次</w:t>
            </w:r>
          </w:p>
        </w:tc>
        <w:tc>
          <w:tcPr>
            <w:tcW w:w="992" w:type="dxa"/>
            <w:vAlign w:val="center"/>
          </w:tcPr>
          <w:p w14:paraId="207F5524">
            <w:pPr>
              <w:pStyle w:val="10"/>
            </w:pPr>
            <w:r>
              <w:t>1</w:t>
            </w:r>
          </w:p>
        </w:tc>
        <w:tc>
          <w:tcPr>
            <w:tcW w:w="4535" w:type="dxa"/>
            <w:vAlign w:val="center"/>
          </w:tcPr>
          <w:p w14:paraId="0B1CCCC6">
            <w:pPr>
              <w:pStyle w:val="10"/>
            </w:pPr>
            <w:r>
              <w:t>2</w:t>
            </w:r>
          </w:p>
        </w:tc>
        <w:tc>
          <w:tcPr>
            <w:tcW w:w="1361" w:type="dxa"/>
            <w:vAlign w:val="center"/>
          </w:tcPr>
          <w:p w14:paraId="000F2512">
            <w:pPr>
              <w:pStyle w:val="10"/>
            </w:pPr>
            <w:r>
              <w:t>3</w:t>
            </w:r>
          </w:p>
        </w:tc>
        <w:tc>
          <w:tcPr>
            <w:tcW w:w="1361" w:type="dxa"/>
            <w:vAlign w:val="center"/>
          </w:tcPr>
          <w:p w14:paraId="21FCCA5E">
            <w:pPr>
              <w:pStyle w:val="10"/>
            </w:pPr>
            <w:r>
              <w:t>4</w:t>
            </w:r>
          </w:p>
        </w:tc>
        <w:tc>
          <w:tcPr>
            <w:tcW w:w="1361" w:type="dxa"/>
            <w:vAlign w:val="center"/>
          </w:tcPr>
          <w:p w14:paraId="585D3B29">
            <w:pPr>
              <w:pStyle w:val="10"/>
            </w:pPr>
            <w:r>
              <w:t>5</w:t>
            </w:r>
          </w:p>
        </w:tc>
        <w:tc>
          <w:tcPr>
            <w:tcW w:w="1361" w:type="dxa"/>
            <w:vAlign w:val="center"/>
          </w:tcPr>
          <w:p w14:paraId="22170B88">
            <w:pPr>
              <w:pStyle w:val="10"/>
            </w:pPr>
            <w:r>
              <w:t>6</w:t>
            </w:r>
          </w:p>
        </w:tc>
        <w:tc>
          <w:tcPr>
            <w:tcW w:w="1361" w:type="dxa"/>
            <w:vAlign w:val="center"/>
          </w:tcPr>
          <w:p w14:paraId="563A48A2">
            <w:pPr>
              <w:pStyle w:val="10"/>
            </w:pPr>
            <w:r>
              <w:t>7</w:t>
            </w:r>
          </w:p>
        </w:tc>
        <w:tc>
          <w:tcPr>
            <w:tcW w:w="1361" w:type="dxa"/>
            <w:vAlign w:val="center"/>
          </w:tcPr>
          <w:p w14:paraId="047A3584">
            <w:pPr>
              <w:pStyle w:val="10"/>
            </w:pPr>
            <w:r>
              <w:t>8</w:t>
            </w:r>
          </w:p>
        </w:tc>
      </w:tr>
      <w:tr w14:paraId="0EA8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CCB1">
            <w:pPr>
              <w:pStyle w:val="13"/>
            </w:pPr>
            <w:r>
              <w:t>1</w:t>
            </w:r>
          </w:p>
        </w:tc>
        <w:tc>
          <w:tcPr>
            <w:tcW w:w="992" w:type="dxa"/>
            <w:vAlign w:val="center"/>
          </w:tcPr>
          <w:p w14:paraId="6A7040DF">
            <w:pPr>
              <w:pStyle w:val="16"/>
            </w:pPr>
          </w:p>
        </w:tc>
        <w:tc>
          <w:tcPr>
            <w:tcW w:w="4535" w:type="dxa"/>
            <w:vAlign w:val="center"/>
          </w:tcPr>
          <w:p w14:paraId="081437A4">
            <w:pPr>
              <w:pStyle w:val="14"/>
            </w:pPr>
            <w:r>
              <w:t>合计</w:t>
            </w:r>
          </w:p>
        </w:tc>
        <w:tc>
          <w:tcPr>
            <w:tcW w:w="1361" w:type="dxa"/>
            <w:vAlign w:val="center"/>
          </w:tcPr>
          <w:p w14:paraId="52A3D86B">
            <w:pPr>
              <w:pStyle w:val="15"/>
            </w:pPr>
            <w:r>
              <w:t>2820.38</w:t>
            </w:r>
          </w:p>
        </w:tc>
        <w:tc>
          <w:tcPr>
            <w:tcW w:w="1361" w:type="dxa"/>
            <w:vAlign w:val="center"/>
          </w:tcPr>
          <w:p w14:paraId="0D0ED8E1">
            <w:pPr>
              <w:pStyle w:val="15"/>
            </w:pPr>
            <w:r>
              <w:t>2106.85</w:t>
            </w:r>
          </w:p>
        </w:tc>
        <w:tc>
          <w:tcPr>
            <w:tcW w:w="1361" w:type="dxa"/>
            <w:vAlign w:val="center"/>
          </w:tcPr>
          <w:p w14:paraId="187FD16A">
            <w:pPr>
              <w:pStyle w:val="15"/>
            </w:pPr>
            <w:r>
              <w:t>713.54</w:t>
            </w:r>
          </w:p>
        </w:tc>
        <w:tc>
          <w:tcPr>
            <w:tcW w:w="1361" w:type="dxa"/>
            <w:vAlign w:val="center"/>
          </w:tcPr>
          <w:p w14:paraId="7F663EA0">
            <w:pPr>
              <w:pStyle w:val="15"/>
            </w:pPr>
          </w:p>
        </w:tc>
        <w:tc>
          <w:tcPr>
            <w:tcW w:w="1361" w:type="dxa"/>
            <w:vAlign w:val="center"/>
          </w:tcPr>
          <w:p w14:paraId="125024DB">
            <w:pPr>
              <w:pStyle w:val="15"/>
            </w:pPr>
          </w:p>
        </w:tc>
        <w:tc>
          <w:tcPr>
            <w:tcW w:w="1361" w:type="dxa"/>
            <w:vAlign w:val="center"/>
          </w:tcPr>
          <w:p w14:paraId="23C7C495">
            <w:pPr>
              <w:pStyle w:val="15"/>
            </w:pPr>
          </w:p>
        </w:tc>
      </w:tr>
      <w:tr w14:paraId="4456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834CF">
            <w:pPr>
              <w:pStyle w:val="13"/>
            </w:pPr>
            <w:r>
              <w:t>2</w:t>
            </w:r>
          </w:p>
        </w:tc>
        <w:tc>
          <w:tcPr>
            <w:tcW w:w="992" w:type="dxa"/>
            <w:vAlign w:val="center"/>
          </w:tcPr>
          <w:p w14:paraId="5A1C8E7C">
            <w:pPr>
              <w:pStyle w:val="12"/>
            </w:pPr>
            <w:r>
              <w:t>205</w:t>
            </w:r>
          </w:p>
        </w:tc>
        <w:tc>
          <w:tcPr>
            <w:tcW w:w="4535" w:type="dxa"/>
            <w:vAlign w:val="center"/>
          </w:tcPr>
          <w:p w14:paraId="6C2651B5">
            <w:pPr>
              <w:pStyle w:val="12"/>
            </w:pPr>
            <w:r>
              <w:t>教育支出</w:t>
            </w:r>
          </w:p>
        </w:tc>
        <w:tc>
          <w:tcPr>
            <w:tcW w:w="1361" w:type="dxa"/>
            <w:vAlign w:val="center"/>
          </w:tcPr>
          <w:p w14:paraId="558ECF28">
            <w:pPr>
              <w:pStyle w:val="11"/>
            </w:pPr>
            <w:r>
              <w:t>2820.38</w:t>
            </w:r>
          </w:p>
        </w:tc>
        <w:tc>
          <w:tcPr>
            <w:tcW w:w="1361" w:type="dxa"/>
            <w:vAlign w:val="center"/>
          </w:tcPr>
          <w:p w14:paraId="37781086">
            <w:pPr>
              <w:pStyle w:val="11"/>
            </w:pPr>
            <w:r>
              <w:t>2106.85</w:t>
            </w:r>
          </w:p>
        </w:tc>
        <w:tc>
          <w:tcPr>
            <w:tcW w:w="1361" w:type="dxa"/>
            <w:vAlign w:val="center"/>
          </w:tcPr>
          <w:p w14:paraId="71472294">
            <w:pPr>
              <w:pStyle w:val="11"/>
            </w:pPr>
            <w:r>
              <w:t>713.54</w:t>
            </w:r>
          </w:p>
        </w:tc>
        <w:tc>
          <w:tcPr>
            <w:tcW w:w="1361" w:type="dxa"/>
            <w:vAlign w:val="center"/>
          </w:tcPr>
          <w:p w14:paraId="37D723C4">
            <w:pPr>
              <w:pStyle w:val="11"/>
            </w:pPr>
          </w:p>
        </w:tc>
        <w:tc>
          <w:tcPr>
            <w:tcW w:w="1361" w:type="dxa"/>
            <w:vAlign w:val="center"/>
          </w:tcPr>
          <w:p w14:paraId="520C8AF5">
            <w:pPr>
              <w:pStyle w:val="11"/>
            </w:pPr>
          </w:p>
        </w:tc>
        <w:tc>
          <w:tcPr>
            <w:tcW w:w="1361" w:type="dxa"/>
            <w:vAlign w:val="center"/>
          </w:tcPr>
          <w:p w14:paraId="416F257A">
            <w:pPr>
              <w:pStyle w:val="11"/>
            </w:pPr>
          </w:p>
        </w:tc>
      </w:tr>
      <w:tr w14:paraId="7FC7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B778">
            <w:pPr>
              <w:pStyle w:val="13"/>
            </w:pPr>
            <w:r>
              <w:t>3</w:t>
            </w:r>
          </w:p>
        </w:tc>
        <w:tc>
          <w:tcPr>
            <w:tcW w:w="992" w:type="dxa"/>
            <w:vAlign w:val="center"/>
          </w:tcPr>
          <w:p w14:paraId="52A6033C">
            <w:pPr>
              <w:pStyle w:val="12"/>
            </w:pPr>
            <w:r>
              <w:t>20502</w:t>
            </w:r>
          </w:p>
        </w:tc>
        <w:tc>
          <w:tcPr>
            <w:tcW w:w="4535" w:type="dxa"/>
            <w:vAlign w:val="center"/>
          </w:tcPr>
          <w:p w14:paraId="36B5885C">
            <w:pPr>
              <w:pStyle w:val="12"/>
            </w:pPr>
            <w:r>
              <w:t>普通教育</w:t>
            </w:r>
          </w:p>
        </w:tc>
        <w:tc>
          <w:tcPr>
            <w:tcW w:w="1361" w:type="dxa"/>
            <w:vAlign w:val="center"/>
          </w:tcPr>
          <w:p w14:paraId="02A60759">
            <w:pPr>
              <w:pStyle w:val="11"/>
            </w:pPr>
            <w:r>
              <w:t>2820.38</w:t>
            </w:r>
          </w:p>
        </w:tc>
        <w:tc>
          <w:tcPr>
            <w:tcW w:w="1361" w:type="dxa"/>
            <w:vAlign w:val="center"/>
          </w:tcPr>
          <w:p w14:paraId="432B7D74">
            <w:pPr>
              <w:pStyle w:val="11"/>
            </w:pPr>
            <w:r>
              <w:t>2106.85</w:t>
            </w:r>
          </w:p>
        </w:tc>
        <w:tc>
          <w:tcPr>
            <w:tcW w:w="1361" w:type="dxa"/>
            <w:vAlign w:val="center"/>
          </w:tcPr>
          <w:p w14:paraId="154EF6BB">
            <w:pPr>
              <w:pStyle w:val="11"/>
            </w:pPr>
            <w:r>
              <w:t>713.54</w:t>
            </w:r>
          </w:p>
        </w:tc>
        <w:tc>
          <w:tcPr>
            <w:tcW w:w="1361" w:type="dxa"/>
            <w:vAlign w:val="center"/>
          </w:tcPr>
          <w:p w14:paraId="755C9EE7">
            <w:pPr>
              <w:pStyle w:val="11"/>
            </w:pPr>
          </w:p>
        </w:tc>
        <w:tc>
          <w:tcPr>
            <w:tcW w:w="1361" w:type="dxa"/>
            <w:vAlign w:val="center"/>
          </w:tcPr>
          <w:p w14:paraId="01D5C960">
            <w:pPr>
              <w:pStyle w:val="11"/>
            </w:pPr>
          </w:p>
        </w:tc>
        <w:tc>
          <w:tcPr>
            <w:tcW w:w="1361" w:type="dxa"/>
            <w:vAlign w:val="center"/>
          </w:tcPr>
          <w:p w14:paraId="6EBD441A">
            <w:pPr>
              <w:pStyle w:val="11"/>
            </w:pPr>
          </w:p>
        </w:tc>
      </w:tr>
      <w:tr w14:paraId="5386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B8A69">
            <w:pPr>
              <w:pStyle w:val="13"/>
            </w:pPr>
            <w:r>
              <w:t>4</w:t>
            </w:r>
          </w:p>
        </w:tc>
        <w:tc>
          <w:tcPr>
            <w:tcW w:w="992" w:type="dxa"/>
            <w:vAlign w:val="center"/>
          </w:tcPr>
          <w:p w14:paraId="36916A36">
            <w:pPr>
              <w:pStyle w:val="12"/>
            </w:pPr>
            <w:r>
              <w:t>2050201</w:t>
            </w:r>
          </w:p>
        </w:tc>
        <w:tc>
          <w:tcPr>
            <w:tcW w:w="4535" w:type="dxa"/>
            <w:vAlign w:val="center"/>
          </w:tcPr>
          <w:p w14:paraId="55CD9465">
            <w:pPr>
              <w:pStyle w:val="12"/>
            </w:pPr>
            <w:r>
              <w:t>学前教育</w:t>
            </w:r>
          </w:p>
        </w:tc>
        <w:tc>
          <w:tcPr>
            <w:tcW w:w="1361" w:type="dxa"/>
            <w:vAlign w:val="center"/>
          </w:tcPr>
          <w:p w14:paraId="03D9726E">
            <w:pPr>
              <w:pStyle w:val="11"/>
            </w:pPr>
            <w:r>
              <w:t>172.81</w:t>
            </w:r>
          </w:p>
        </w:tc>
        <w:tc>
          <w:tcPr>
            <w:tcW w:w="1361" w:type="dxa"/>
            <w:vAlign w:val="center"/>
          </w:tcPr>
          <w:p w14:paraId="44C92F15">
            <w:pPr>
              <w:pStyle w:val="11"/>
            </w:pPr>
          </w:p>
        </w:tc>
        <w:tc>
          <w:tcPr>
            <w:tcW w:w="1361" w:type="dxa"/>
            <w:vAlign w:val="center"/>
          </w:tcPr>
          <w:p w14:paraId="50861850">
            <w:pPr>
              <w:pStyle w:val="11"/>
            </w:pPr>
            <w:r>
              <w:t>172.81</w:t>
            </w:r>
          </w:p>
        </w:tc>
        <w:tc>
          <w:tcPr>
            <w:tcW w:w="1361" w:type="dxa"/>
            <w:vAlign w:val="center"/>
          </w:tcPr>
          <w:p w14:paraId="03B449AC">
            <w:pPr>
              <w:pStyle w:val="11"/>
            </w:pPr>
          </w:p>
        </w:tc>
        <w:tc>
          <w:tcPr>
            <w:tcW w:w="1361" w:type="dxa"/>
            <w:vAlign w:val="center"/>
          </w:tcPr>
          <w:p w14:paraId="2EB29FD1">
            <w:pPr>
              <w:pStyle w:val="11"/>
            </w:pPr>
          </w:p>
        </w:tc>
        <w:tc>
          <w:tcPr>
            <w:tcW w:w="1361" w:type="dxa"/>
            <w:vAlign w:val="center"/>
          </w:tcPr>
          <w:p w14:paraId="533D7EC7">
            <w:pPr>
              <w:pStyle w:val="11"/>
            </w:pPr>
          </w:p>
        </w:tc>
      </w:tr>
      <w:tr w14:paraId="076A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49EB">
            <w:pPr>
              <w:pStyle w:val="13"/>
            </w:pPr>
            <w:r>
              <w:t>5</w:t>
            </w:r>
          </w:p>
        </w:tc>
        <w:tc>
          <w:tcPr>
            <w:tcW w:w="992" w:type="dxa"/>
            <w:vAlign w:val="center"/>
          </w:tcPr>
          <w:p w14:paraId="42A5DEED">
            <w:pPr>
              <w:pStyle w:val="12"/>
            </w:pPr>
            <w:r>
              <w:t>2050202</w:t>
            </w:r>
          </w:p>
        </w:tc>
        <w:tc>
          <w:tcPr>
            <w:tcW w:w="4535" w:type="dxa"/>
            <w:vAlign w:val="center"/>
          </w:tcPr>
          <w:p w14:paraId="71357712">
            <w:pPr>
              <w:pStyle w:val="12"/>
            </w:pPr>
            <w:r>
              <w:t>小学教育</w:t>
            </w:r>
          </w:p>
        </w:tc>
        <w:tc>
          <w:tcPr>
            <w:tcW w:w="1361" w:type="dxa"/>
            <w:vAlign w:val="center"/>
          </w:tcPr>
          <w:p w14:paraId="77CD3A7C">
            <w:pPr>
              <w:pStyle w:val="11"/>
            </w:pPr>
            <w:r>
              <w:t>2647.57</w:t>
            </w:r>
          </w:p>
        </w:tc>
        <w:tc>
          <w:tcPr>
            <w:tcW w:w="1361" w:type="dxa"/>
            <w:vAlign w:val="center"/>
          </w:tcPr>
          <w:p w14:paraId="69589A4C">
            <w:pPr>
              <w:pStyle w:val="11"/>
            </w:pPr>
            <w:r>
              <w:t>2106.85</w:t>
            </w:r>
          </w:p>
        </w:tc>
        <w:tc>
          <w:tcPr>
            <w:tcW w:w="1361" w:type="dxa"/>
            <w:vAlign w:val="center"/>
          </w:tcPr>
          <w:p w14:paraId="4CD24100">
            <w:pPr>
              <w:pStyle w:val="11"/>
            </w:pPr>
            <w:r>
              <w:t>540.73</w:t>
            </w:r>
          </w:p>
        </w:tc>
        <w:tc>
          <w:tcPr>
            <w:tcW w:w="1361" w:type="dxa"/>
            <w:vAlign w:val="center"/>
          </w:tcPr>
          <w:p w14:paraId="6DF48690">
            <w:pPr>
              <w:pStyle w:val="11"/>
            </w:pPr>
          </w:p>
        </w:tc>
        <w:tc>
          <w:tcPr>
            <w:tcW w:w="1361" w:type="dxa"/>
            <w:vAlign w:val="center"/>
          </w:tcPr>
          <w:p w14:paraId="1982EB7F">
            <w:pPr>
              <w:pStyle w:val="11"/>
            </w:pPr>
          </w:p>
        </w:tc>
        <w:tc>
          <w:tcPr>
            <w:tcW w:w="1361" w:type="dxa"/>
            <w:vAlign w:val="center"/>
          </w:tcPr>
          <w:p w14:paraId="6910C23C">
            <w:pPr>
              <w:pStyle w:val="11"/>
            </w:pPr>
          </w:p>
        </w:tc>
      </w:tr>
    </w:tbl>
    <w:p w14:paraId="36CF4A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0420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97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9636C2">
            <w:pPr>
              <w:pStyle w:val="9"/>
            </w:pPr>
            <w:r>
              <w:t>360023隆尧县固城校区</w:t>
            </w:r>
          </w:p>
        </w:tc>
        <w:tc>
          <w:tcPr>
            <w:tcW w:w="3402" w:type="dxa"/>
            <w:tcBorders>
              <w:top w:val="single" w:color="FFFFFF" w:sz="6" w:space="0"/>
              <w:left w:val="single" w:color="FFFFFF" w:sz="6" w:space="0"/>
              <w:right w:val="single" w:color="FFFFFF" w:sz="6" w:space="0"/>
            </w:tcBorders>
            <w:vAlign w:val="center"/>
          </w:tcPr>
          <w:p w14:paraId="5988AAA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661279E">
            <w:pPr>
              <w:pStyle w:val="7"/>
            </w:pPr>
            <w:r>
              <w:t>单位：万元</w:t>
            </w:r>
          </w:p>
        </w:tc>
      </w:tr>
      <w:tr w14:paraId="5517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DC29AF">
            <w:pPr>
              <w:pStyle w:val="10"/>
            </w:pPr>
            <w:r>
              <w:t>序号</w:t>
            </w:r>
          </w:p>
        </w:tc>
        <w:tc>
          <w:tcPr>
            <w:tcW w:w="4876" w:type="dxa"/>
            <w:gridSpan w:val="2"/>
            <w:vAlign w:val="center"/>
          </w:tcPr>
          <w:p w14:paraId="5ECECA7D">
            <w:pPr>
              <w:pStyle w:val="10"/>
            </w:pPr>
            <w:r>
              <w:t>收入</w:t>
            </w:r>
          </w:p>
        </w:tc>
        <w:tc>
          <w:tcPr>
            <w:tcW w:w="9298" w:type="dxa"/>
            <w:gridSpan w:val="5"/>
            <w:vAlign w:val="center"/>
          </w:tcPr>
          <w:p w14:paraId="6792CF30">
            <w:pPr>
              <w:pStyle w:val="10"/>
            </w:pPr>
            <w:r>
              <w:t>支出</w:t>
            </w:r>
          </w:p>
        </w:tc>
      </w:tr>
      <w:tr w14:paraId="2CDB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B122E"/>
        </w:tc>
        <w:tc>
          <w:tcPr>
            <w:tcW w:w="3402" w:type="dxa"/>
            <w:vAlign w:val="center"/>
          </w:tcPr>
          <w:p w14:paraId="02A1E87D">
            <w:pPr>
              <w:pStyle w:val="10"/>
            </w:pPr>
            <w:r>
              <w:t>项  目</w:t>
            </w:r>
          </w:p>
        </w:tc>
        <w:tc>
          <w:tcPr>
            <w:tcW w:w="1474" w:type="dxa"/>
            <w:vAlign w:val="center"/>
          </w:tcPr>
          <w:p w14:paraId="76B0BFAA">
            <w:pPr>
              <w:pStyle w:val="10"/>
            </w:pPr>
            <w:r>
              <w:t>金额</w:t>
            </w:r>
          </w:p>
        </w:tc>
        <w:tc>
          <w:tcPr>
            <w:tcW w:w="3402" w:type="dxa"/>
            <w:vAlign w:val="center"/>
          </w:tcPr>
          <w:p w14:paraId="56F0F095">
            <w:pPr>
              <w:pStyle w:val="10"/>
            </w:pPr>
            <w:r>
              <w:t>项  目</w:t>
            </w:r>
          </w:p>
        </w:tc>
        <w:tc>
          <w:tcPr>
            <w:tcW w:w="1474" w:type="dxa"/>
            <w:vAlign w:val="center"/>
          </w:tcPr>
          <w:p w14:paraId="3DB20387">
            <w:pPr>
              <w:pStyle w:val="10"/>
            </w:pPr>
            <w:r>
              <w:t>合计</w:t>
            </w:r>
          </w:p>
        </w:tc>
        <w:tc>
          <w:tcPr>
            <w:tcW w:w="1474" w:type="dxa"/>
            <w:vAlign w:val="center"/>
          </w:tcPr>
          <w:p w14:paraId="4EA3A536">
            <w:pPr>
              <w:pStyle w:val="10"/>
            </w:pPr>
            <w:r>
              <w:t>一般公共预算财政拨款</w:t>
            </w:r>
          </w:p>
        </w:tc>
        <w:tc>
          <w:tcPr>
            <w:tcW w:w="1474" w:type="dxa"/>
            <w:vAlign w:val="center"/>
          </w:tcPr>
          <w:p w14:paraId="06CBBA23">
            <w:pPr>
              <w:pStyle w:val="10"/>
            </w:pPr>
            <w:r>
              <w:t>政府性基金预算财政    拨款</w:t>
            </w:r>
          </w:p>
        </w:tc>
        <w:tc>
          <w:tcPr>
            <w:tcW w:w="1474" w:type="dxa"/>
            <w:vAlign w:val="center"/>
          </w:tcPr>
          <w:p w14:paraId="0559E337">
            <w:pPr>
              <w:pStyle w:val="10"/>
            </w:pPr>
            <w:r>
              <w:t>国有资本经营预算财政拨款</w:t>
            </w:r>
          </w:p>
        </w:tc>
      </w:tr>
      <w:tr w14:paraId="40B9C073">
        <w:tblPrEx>
          <w:tblCellMar>
            <w:top w:w="0" w:type="dxa"/>
            <w:left w:w="108" w:type="dxa"/>
            <w:bottom w:w="0" w:type="dxa"/>
            <w:right w:w="108" w:type="dxa"/>
          </w:tblCellMar>
        </w:tblPrEx>
        <w:trPr>
          <w:trHeight w:val="369" w:hRule="atLeast"/>
          <w:tblHeader/>
          <w:jc w:val="center"/>
        </w:trPr>
        <w:tc>
          <w:tcPr>
            <w:tcW w:w="850" w:type="dxa"/>
            <w:vAlign w:val="center"/>
          </w:tcPr>
          <w:p w14:paraId="6D54DA29">
            <w:pPr>
              <w:pStyle w:val="10"/>
            </w:pPr>
            <w:r>
              <w:t>栏次</w:t>
            </w:r>
          </w:p>
        </w:tc>
        <w:tc>
          <w:tcPr>
            <w:tcW w:w="3402" w:type="dxa"/>
            <w:vAlign w:val="center"/>
          </w:tcPr>
          <w:p w14:paraId="66424E8B">
            <w:pPr>
              <w:pStyle w:val="10"/>
            </w:pPr>
            <w:r>
              <w:t>1</w:t>
            </w:r>
          </w:p>
        </w:tc>
        <w:tc>
          <w:tcPr>
            <w:tcW w:w="1474" w:type="dxa"/>
            <w:vAlign w:val="center"/>
          </w:tcPr>
          <w:p w14:paraId="42B70BC2">
            <w:pPr>
              <w:pStyle w:val="10"/>
            </w:pPr>
            <w:r>
              <w:t>2</w:t>
            </w:r>
          </w:p>
        </w:tc>
        <w:tc>
          <w:tcPr>
            <w:tcW w:w="3402" w:type="dxa"/>
            <w:vAlign w:val="center"/>
          </w:tcPr>
          <w:p w14:paraId="035F98C7">
            <w:pPr>
              <w:pStyle w:val="10"/>
            </w:pPr>
            <w:r>
              <w:t>3</w:t>
            </w:r>
          </w:p>
        </w:tc>
        <w:tc>
          <w:tcPr>
            <w:tcW w:w="1474" w:type="dxa"/>
            <w:vAlign w:val="center"/>
          </w:tcPr>
          <w:p w14:paraId="5EE68E48">
            <w:pPr>
              <w:pStyle w:val="10"/>
            </w:pPr>
            <w:r>
              <w:t>4</w:t>
            </w:r>
          </w:p>
        </w:tc>
        <w:tc>
          <w:tcPr>
            <w:tcW w:w="1474" w:type="dxa"/>
            <w:vAlign w:val="center"/>
          </w:tcPr>
          <w:p w14:paraId="700D1380">
            <w:pPr>
              <w:pStyle w:val="10"/>
            </w:pPr>
            <w:r>
              <w:t>5</w:t>
            </w:r>
          </w:p>
        </w:tc>
        <w:tc>
          <w:tcPr>
            <w:tcW w:w="1474" w:type="dxa"/>
            <w:vAlign w:val="center"/>
          </w:tcPr>
          <w:p w14:paraId="7281C59E">
            <w:pPr>
              <w:pStyle w:val="10"/>
            </w:pPr>
            <w:r>
              <w:t>6</w:t>
            </w:r>
          </w:p>
        </w:tc>
        <w:tc>
          <w:tcPr>
            <w:tcW w:w="1474" w:type="dxa"/>
            <w:vAlign w:val="center"/>
          </w:tcPr>
          <w:p w14:paraId="42051FAF">
            <w:pPr>
              <w:pStyle w:val="10"/>
            </w:pPr>
            <w:r>
              <w:t>7</w:t>
            </w:r>
          </w:p>
        </w:tc>
      </w:tr>
      <w:tr w14:paraId="1BCFEE63">
        <w:tblPrEx>
          <w:tblCellMar>
            <w:top w:w="0" w:type="dxa"/>
            <w:left w:w="108" w:type="dxa"/>
            <w:bottom w:w="0" w:type="dxa"/>
            <w:right w:w="108" w:type="dxa"/>
          </w:tblCellMar>
        </w:tblPrEx>
        <w:trPr>
          <w:trHeight w:val="369" w:hRule="atLeast"/>
          <w:jc w:val="center"/>
        </w:trPr>
        <w:tc>
          <w:tcPr>
            <w:tcW w:w="850" w:type="dxa"/>
            <w:vAlign w:val="center"/>
          </w:tcPr>
          <w:p w14:paraId="078CA641">
            <w:pPr>
              <w:pStyle w:val="13"/>
            </w:pPr>
            <w:r>
              <w:t>1</w:t>
            </w:r>
          </w:p>
        </w:tc>
        <w:tc>
          <w:tcPr>
            <w:tcW w:w="3402" w:type="dxa"/>
            <w:vAlign w:val="center"/>
          </w:tcPr>
          <w:p w14:paraId="33F4F289">
            <w:pPr>
              <w:pStyle w:val="12"/>
            </w:pPr>
            <w:r>
              <w:t>一、一般公共预算拨款</w:t>
            </w:r>
          </w:p>
        </w:tc>
        <w:tc>
          <w:tcPr>
            <w:tcW w:w="1474" w:type="dxa"/>
            <w:vAlign w:val="center"/>
          </w:tcPr>
          <w:p w14:paraId="2A3DB4C5">
            <w:pPr>
              <w:pStyle w:val="11"/>
            </w:pPr>
            <w:r>
              <w:t>2820.38</w:t>
            </w:r>
          </w:p>
        </w:tc>
        <w:tc>
          <w:tcPr>
            <w:tcW w:w="3402" w:type="dxa"/>
            <w:vAlign w:val="center"/>
          </w:tcPr>
          <w:p w14:paraId="09B0206D">
            <w:pPr>
              <w:pStyle w:val="12"/>
            </w:pPr>
            <w:r>
              <w:t>一、一般公共服务支出</w:t>
            </w:r>
          </w:p>
        </w:tc>
        <w:tc>
          <w:tcPr>
            <w:tcW w:w="1474" w:type="dxa"/>
            <w:vAlign w:val="center"/>
          </w:tcPr>
          <w:p w14:paraId="3B504F28">
            <w:pPr>
              <w:pStyle w:val="11"/>
            </w:pPr>
          </w:p>
        </w:tc>
        <w:tc>
          <w:tcPr>
            <w:tcW w:w="1474" w:type="dxa"/>
            <w:vAlign w:val="center"/>
          </w:tcPr>
          <w:p w14:paraId="017097E3">
            <w:pPr>
              <w:pStyle w:val="11"/>
            </w:pPr>
          </w:p>
        </w:tc>
        <w:tc>
          <w:tcPr>
            <w:tcW w:w="1474" w:type="dxa"/>
            <w:vAlign w:val="center"/>
          </w:tcPr>
          <w:p w14:paraId="108398E5">
            <w:pPr>
              <w:pStyle w:val="11"/>
            </w:pPr>
          </w:p>
        </w:tc>
        <w:tc>
          <w:tcPr>
            <w:tcW w:w="1474" w:type="dxa"/>
            <w:vAlign w:val="center"/>
          </w:tcPr>
          <w:p w14:paraId="69035AB8">
            <w:pPr>
              <w:pStyle w:val="11"/>
            </w:pPr>
          </w:p>
        </w:tc>
      </w:tr>
      <w:tr w14:paraId="2B66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38AC">
            <w:pPr>
              <w:pStyle w:val="13"/>
            </w:pPr>
            <w:r>
              <w:t>2</w:t>
            </w:r>
          </w:p>
        </w:tc>
        <w:tc>
          <w:tcPr>
            <w:tcW w:w="3402" w:type="dxa"/>
            <w:vAlign w:val="center"/>
          </w:tcPr>
          <w:p w14:paraId="05E6067B">
            <w:pPr>
              <w:pStyle w:val="12"/>
            </w:pPr>
            <w:r>
              <w:t>二、政府性基金预算拨款</w:t>
            </w:r>
          </w:p>
        </w:tc>
        <w:tc>
          <w:tcPr>
            <w:tcW w:w="1474" w:type="dxa"/>
            <w:vAlign w:val="center"/>
          </w:tcPr>
          <w:p w14:paraId="3928CCD9">
            <w:pPr>
              <w:pStyle w:val="11"/>
            </w:pPr>
          </w:p>
        </w:tc>
        <w:tc>
          <w:tcPr>
            <w:tcW w:w="3402" w:type="dxa"/>
            <w:vAlign w:val="center"/>
          </w:tcPr>
          <w:p w14:paraId="2DC28AD1">
            <w:pPr>
              <w:pStyle w:val="12"/>
            </w:pPr>
            <w:r>
              <w:t>二、外交支出</w:t>
            </w:r>
          </w:p>
        </w:tc>
        <w:tc>
          <w:tcPr>
            <w:tcW w:w="1474" w:type="dxa"/>
            <w:vAlign w:val="center"/>
          </w:tcPr>
          <w:p w14:paraId="298AF880">
            <w:pPr>
              <w:pStyle w:val="11"/>
            </w:pPr>
          </w:p>
        </w:tc>
        <w:tc>
          <w:tcPr>
            <w:tcW w:w="1474" w:type="dxa"/>
            <w:vAlign w:val="center"/>
          </w:tcPr>
          <w:p w14:paraId="15FFA6E6">
            <w:pPr>
              <w:pStyle w:val="11"/>
            </w:pPr>
          </w:p>
        </w:tc>
        <w:tc>
          <w:tcPr>
            <w:tcW w:w="1474" w:type="dxa"/>
            <w:vAlign w:val="center"/>
          </w:tcPr>
          <w:p w14:paraId="1CBD7BBE">
            <w:pPr>
              <w:pStyle w:val="11"/>
            </w:pPr>
          </w:p>
        </w:tc>
        <w:tc>
          <w:tcPr>
            <w:tcW w:w="1474" w:type="dxa"/>
            <w:vAlign w:val="center"/>
          </w:tcPr>
          <w:p w14:paraId="143E8BC5">
            <w:pPr>
              <w:pStyle w:val="11"/>
            </w:pPr>
          </w:p>
        </w:tc>
      </w:tr>
      <w:tr w14:paraId="15A4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608A">
            <w:pPr>
              <w:pStyle w:val="13"/>
            </w:pPr>
            <w:r>
              <w:t>3</w:t>
            </w:r>
          </w:p>
        </w:tc>
        <w:tc>
          <w:tcPr>
            <w:tcW w:w="3402" w:type="dxa"/>
            <w:vAlign w:val="center"/>
          </w:tcPr>
          <w:p w14:paraId="3BA384C2">
            <w:pPr>
              <w:pStyle w:val="12"/>
            </w:pPr>
            <w:r>
              <w:t>三、国有资本经营预算拨款</w:t>
            </w:r>
          </w:p>
        </w:tc>
        <w:tc>
          <w:tcPr>
            <w:tcW w:w="1474" w:type="dxa"/>
            <w:vAlign w:val="center"/>
          </w:tcPr>
          <w:p w14:paraId="22D8499C">
            <w:pPr>
              <w:pStyle w:val="11"/>
            </w:pPr>
          </w:p>
        </w:tc>
        <w:tc>
          <w:tcPr>
            <w:tcW w:w="3402" w:type="dxa"/>
            <w:vAlign w:val="center"/>
          </w:tcPr>
          <w:p w14:paraId="73EE30A6">
            <w:pPr>
              <w:pStyle w:val="12"/>
            </w:pPr>
            <w:r>
              <w:t>三、国防支出</w:t>
            </w:r>
          </w:p>
        </w:tc>
        <w:tc>
          <w:tcPr>
            <w:tcW w:w="1474" w:type="dxa"/>
            <w:vAlign w:val="center"/>
          </w:tcPr>
          <w:p w14:paraId="4F0743E6">
            <w:pPr>
              <w:pStyle w:val="11"/>
            </w:pPr>
          </w:p>
        </w:tc>
        <w:tc>
          <w:tcPr>
            <w:tcW w:w="1474" w:type="dxa"/>
            <w:vAlign w:val="center"/>
          </w:tcPr>
          <w:p w14:paraId="670DDFAC">
            <w:pPr>
              <w:pStyle w:val="11"/>
            </w:pPr>
          </w:p>
        </w:tc>
        <w:tc>
          <w:tcPr>
            <w:tcW w:w="1474" w:type="dxa"/>
            <w:vAlign w:val="center"/>
          </w:tcPr>
          <w:p w14:paraId="5B094F47">
            <w:pPr>
              <w:pStyle w:val="11"/>
            </w:pPr>
          </w:p>
        </w:tc>
        <w:tc>
          <w:tcPr>
            <w:tcW w:w="1474" w:type="dxa"/>
            <w:vAlign w:val="center"/>
          </w:tcPr>
          <w:p w14:paraId="0DCDAE43">
            <w:pPr>
              <w:pStyle w:val="11"/>
            </w:pPr>
          </w:p>
        </w:tc>
      </w:tr>
      <w:tr w14:paraId="0B17CCDE">
        <w:tblPrEx>
          <w:tblCellMar>
            <w:top w:w="0" w:type="dxa"/>
            <w:left w:w="108" w:type="dxa"/>
            <w:bottom w:w="0" w:type="dxa"/>
            <w:right w:w="108" w:type="dxa"/>
          </w:tblCellMar>
        </w:tblPrEx>
        <w:trPr>
          <w:trHeight w:val="369" w:hRule="atLeast"/>
          <w:jc w:val="center"/>
        </w:trPr>
        <w:tc>
          <w:tcPr>
            <w:tcW w:w="850" w:type="dxa"/>
            <w:vAlign w:val="center"/>
          </w:tcPr>
          <w:p w14:paraId="237BDBAD">
            <w:pPr>
              <w:pStyle w:val="13"/>
            </w:pPr>
            <w:r>
              <w:t>4</w:t>
            </w:r>
          </w:p>
        </w:tc>
        <w:tc>
          <w:tcPr>
            <w:tcW w:w="3402" w:type="dxa"/>
            <w:vAlign w:val="center"/>
          </w:tcPr>
          <w:p w14:paraId="03342B60">
            <w:pPr>
              <w:pStyle w:val="12"/>
            </w:pPr>
          </w:p>
        </w:tc>
        <w:tc>
          <w:tcPr>
            <w:tcW w:w="1474" w:type="dxa"/>
            <w:vAlign w:val="center"/>
          </w:tcPr>
          <w:p w14:paraId="0235BFAE">
            <w:pPr>
              <w:pStyle w:val="11"/>
            </w:pPr>
          </w:p>
        </w:tc>
        <w:tc>
          <w:tcPr>
            <w:tcW w:w="3402" w:type="dxa"/>
            <w:vAlign w:val="center"/>
          </w:tcPr>
          <w:p w14:paraId="3D2DA883">
            <w:pPr>
              <w:pStyle w:val="12"/>
            </w:pPr>
            <w:r>
              <w:t>四、公共安全支出</w:t>
            </w:r>
          </w:p>
        </w:tc>
        <w:tc>
          <w:tcPr>
            <w:tcW w:w="1474" w:type="dxa"/>
            <w:vAlign w:val="center"/>
          </w:tcPr>
          <w:p w14:paraId="50DEB6EF">
            <w:pPr>
              <w:pStyle w:val="11"/>
            </w:pPr>
          </w:p>
        </w:tc>
        <w:tc>
          <w:tcPr>
            <w:tcW w:w="1474" w:type="dxa"/>
            <w:vAlign w:val="center"/>
          </w:tcPr>
          <w:p w14:paraId="003071F6">
            <w:pPr>
              <w:pStyle w:val="11"/>
            </w:pPr>
          </w:p>
        </w:tc>
        <w:tc>
          <w:tcPr>
            <w:tcW w:w="1474" w:type="dxa"/>
            <w:vAlign w:val="center"/>
          </w:tcPr>
          <w:p w14:paraId="77CD3B28">
            <w:pPr>
              <w:pStyle w:val="11"/>
            </w:pPr>
          </w:p>
        </w:tc>
        <w:tc>
          <w:tcPr>
            <w:tcW w:w="1474" w:type="dxa"/>
            <w:vAlign w:val="center"/>
          </w:tcPr>
          <w:p w14:paraId="0D56019A">
            <w:pPr>
              <w:pStyle w:val="11"/>
            </w:pPr>
          </w:p>
        </w:tc>
      </w:tr>
      <w:tr w14:paraId="19B8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8D19D">
            <w:pPr>
              <w:pStyle w:val="13"/>
            </w:pPr>
            <w:r>
              <w:t>5</w:t>
            </w:r>
          </w:p>
        </w:tc>
        <w:tc>
          <w:tcPr>
            <w:tcW w:w="3402" w:type="dxa"/>
            <w:vAlign w:val="center"/>
          </w:tcPr>
          <w:p w14:paraId="724B508C">
            <w:pPr>
              <w:pStyle w:val="12"/>
            </w:pPr>
          </w:p>
        </w:tc>
        <w:tc>
          <w:tcPr>
            <w:tcW w:w="1474" w:type="dxa"/>
            <w:vAlign w:val="center"/>
          </w:tcPr>
          <w:p w14:paraId="3276E30B">
            <w:pPr>
              <w:pStyle w:val="11"/>
            </w:pPr>
          </w:p>
        </w:tc>
        <w:tc>
          <w:tcPr>
            <w:tcW w:w="3402" w:type="dxa"/>
            <w:vAlign w:val="center"/>
          </w:tcPr>
          <w:p w14:paraId="750C77FB">
            <w:pPr>
              <w:pStyle w:val="12"/>
            </w:pPr>
            <w:r>
              <w:t>五、教育支出</w:t>
            </w:r>
          </w:p>
        </w:tc>
        <w:tc>
          <w:tcPr>
            <w:tcW w:w="1474" w:type="dxa"/>
            <w:vAlign w:val="center"/>
          </w:tcPr>
          <w:p w14:paraId="4F4C4865">
            <w:pPr>
              <w:pStyle w:val="11"/>
            </w:pPr>
            <w:r>
              <w:t>2820.38</w:t>
            </w:r>
          </w:p>
        </w:tc>
        <w:tc>
          <w:tcPr>
            <w:tcW w:w="1474" w:type="dxa"/>
            <w:vAlign w:val="center"/>
          </w:tcPr>
          <w:p w14:paraId="68EBEBC8">
            <w:pPr>
              <w:pStyle w:val="11"/>
            </w:pPr>
            <w:r>
              <w:t>2820.38</w:t>
            </w:r>
          </w:p>
        </w:tc>
        <w:tc>
          <w:tcPr>
            <w:tcW w:w="1474" w:type="dxa"/>
            <w:vAlign w:val="center"/>
          </w:tcPr>
          <w:p w14:paraId="4E2D1FBE">
            <w:pPr>
              <w:pStyle w:val="11"/>
            </w:pPr>
          </w:p>
        </w:tc>
        <w:tc>
          <w:tcPr>
            <w:tcW w:w="1474" w:type="dxa"/>
            <w:vAlign w:val="center"/>
          </w:tcPr>
          <w:p w14:paraId="0E50005D">
            <w:pPr>
              <w:pStyle w:val="11"/>
            </w:pPr>
          </w:p>
        </w:tc>
      </w:tr>
      <w:tr w14:paraId="68445016">
        <w:tblPrEx>
          <w:tblCellMar>
            <w:top w:w="0" w:type="dxa"/>
            <w:left w:w="108" w:type="dxa"/>
            <w:bottom w:w="0" w:type="dxa"/>
            <w:right w:w="108" w:type="dxa"/>
          </w:tblCellMar>
        </w:tblPrEx>
        <w:trPr>
          <w:trHeight w:val="369" w:hRule="atLeast"/>
          <w:jc w:val="center"/>
        </w:trPr>
        <w:tc>
          <w:tcPr>
            <w:tcW w:w="850" w:type="dxa"/>
            <w:vAlign w:val="center"/>
          </w:tcPr>
          <w:p w14:paraId="7032201F">
            <w:pPr>
              <w:pStyle w:val="13"/>
            </w:pPr>
            <w:r>
              <w:t>6</w:t>
            </w:r>
          </w:p>
        </w:tc>
        <w:tc>
          <w:tcPr>
            <w:tcW w:w="3402" w:type="dxa"/>
            <w:vAlign w:val="center"/>
          </w:tcPr>
          <w:p w14:paraId="7ACF2DC9">
            <w:pPr>
              <w:pStyle w:val="12"/>
            </w:pPr>
          </w:p>
        </w:tc>
        <w:tc>
          <w:tcPr>
            <w:tcW w:w="1474" w:type="dxa"/>
            <w:vAlign w:val="center"/>
          </w:tcPr>
          <w:p w14:paraId="63D49434">
            <w:pPr>
              <w:pStyle w:val="11"/>
            </w:pPr>
          </w:p>
        </w:tc>
        <w:tc>
          <w:tcPr>
            <w:tcW w:w="3402" w:type="dxa"/>
            <w:vAlign w:val="center"/>
          </w:tcPr>
          <w:p w14:paraId="12BBA7BD">
            <w:pPr>
              <w:pStyle w:val="12"/>
            </w:pPr>
            <w:r>
              <w:t>六、科学技术支出</w:t>
            </w:r>
          </w:p>
        </w:tc>
        <w:tc>
          <w:tcPr>
            <w:tcW w:w="1474" w:type="dxa"/>
            <w:vAlign w:val="center"/>
          </w:tcPr>
          <w:p w14:paraId="7D5CE534">
            <w:pPr>
              <w:pStyle w:val="11"/>
            </w:pPr>
          </w:p>
        </w:tc>
        <w:tc>
          <w:tcPr>
            <w:tcW w:w="1474" w:type="dxa"/>
            <w:vAlign w:val="center"/>
          </w:tcPr>
          <w:p w14:paraId="7E0E00FD">
            <w:pPr>
              <w:pStyle w:val="11"/>
            </w:pPr>
          </w:p>
        </w:tc>
        <w:tc>
          <w:tcPr>
            <w:tcW w:w="1474" w:type="dxa"/>
            <w:vAlign w:val="center"/>
          </w:tcPr>
          <w:p w14:paraId="135D0A7B">
            <w:pPr>
              <w:pStyle w:val="11"/>
            </w:pPr>
          </w:p>
        </w:tc>
        <w:tc>
          <w:tcPr>
            <w:tcW w:w="1474" w:type="dxa"/>
            <w:vAlign w:val="center"/>
          </w:tcPr>
          <w:p w14:paraId="13747085">
            <w:pPr>
              <w:pStyle w:val="11"/>
            </w:pPr>
          </w:p>
        </w:tc>
      </w:tr>
      <w:tr w14:paraId="072D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74D5A">
            <w:pPr>
              <w:pStyle w:val="13"/>
            </w:pPr>
            <w:r>
              <w:t>7</w:t>
            </w:r>
          </w:p>
        </w:tc>
        <w:tc>
          <w:tcPr>
            <w:tcW w:w="3402" w:type="dxa"/>
            <w:vAlign w:val="center"/>
          </w:tcPr>
          <w:p w14:paraId="76882771">
            <w:pPr>
              <w:pStyle w:val="12"/>
            </w:pPr>
          </w:p>
        </w:tc>
        <w:tc>
          <w:tcPr>
            <w:tcW w:w="1474" w:type="dxa"/>
            <w:vAlign w:val="center"/>
          </w:tcPr>
          <w:p w14:paraId="2D08AEA6">
            <w:pPr>
              <w:pStyle w:val="11"/>
            </w:pPr>
          </w:p>
        </w:tc>
        <w:tc>
          <w:tcPr>
            <w:tcW w:w="3402" w:type="dxa"/>
            <w:vAlign w:val="center"/>
          </w:tcPr>
          <w:p w14:paraId="3C6FE635">
            <w:pPr>
              <w:pStyle w:val="12"/>
            </w:pPr>
            <w:r>
              <w:t>七、文化旅游体育与传媒支出</w:t>
            </w:r>
          </w:p>
        </w:tc>
        <w:tc>
          <w:tcPr>
            <w:tcW w:w="1474" w:type="dxa"/>
            <w:vAlign w:val="center"/>
          </w:tcPr>
          <w:p w14:paraId="1D1E0ABE">
            <w:pPr>
              <w:pStyle w:val="11"/>
            </w:pPr>
          </w:p>
        </w:tc>
        <w:tc>
          <w:tcPr>
            <w:tcW w:w="1474" w:type="dxa"/>
            <w:vAlign w:val="center"/>
          </w:tcPr>
          <w:p w14:paraId="4DF8A17E">
            <w:pPr>
              <w:pStyle w:val="11"/>
            </w:pPr>
          </w:p>
        </w:tc>
        <w:tc>
          <w:tcPr>
            <w:tcW w:w="1474" w:type="dxa"/>
            <w:vAlign w:val="center"/>
          </w:tcPr>
          <w:p w14:paraId="52D8B4B7">
            <w:pPr>
              <w:pStyle w:val="11"/>
            </w:pPr>
          </w:p>
        </w:tc>
        <w:tc>
          <w:tcPr>
            <w:tcW w:w="1474" w:type="dxa"/>
            <w:vAlign w:val="center"/>
          </w:tcPr>
          <w:p w14:paraId="46EA3CE5">
            <w:pPr>
              <w:pStyle w:val="11"/>
            </w:pPr>
          </w:p>
        </w:tc>
      </w:tr>
      <w:tr w14:paraId="6CD8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0CBB">
            <w:pPr>
              <w:pStyle w:val="13"/>
            </w:pPr>
            <w:r>
              <w:t>8</w:t>
            </w:r>
          </w:p>
        </w:tc>
        <w:tc>
          <w:tcPr>
            <w:tcW w:w="3402" w:type="dxa"/>
            <w:vAlign w:val="center"/>
          </w:tcPr>
          <w:p w14:paraId="7536AAC7">
            <w:pPr>
              <w:pStyle w:val="12"/>
            </w:pPr>
          </w:p>
        </w:tc>
        <w:tc>
          <w:tcPr>
            <w:tcW w:w="1474" w:type="dxa"/>
            <w:vAlign w:val="center"/>
          </w:tcPr>
          <w:p w14:paraId="456FE947">
            <w:pPr>
              <w:pStyle w:val="11"/>
            </w:pPr>
          </w:p>
        </w:tc>
        <w:tc>
          <w:tcPr>
            <w:tcW w:w="3402" w:type="dxa"/>
            <w:vAlign w:val="center"/>
          </w:tcPr>
          <w:p w14:paraId="0AAE781C">
            <w:pPr>
              <w:pStyle w:val="12"/>
            </w:pPr>
            <w:r>
              <w:t>八、社会保障和就业支出</w:t>
            </w:r>
          </w:p>
        </w:tc>
        <w:tc>
          <w:tcPr>
            <w:tcW w:w="1474" w:type="dxa"/>
            <w:vAlign w:val="center"/>
          </w:tcPr>
          <w:p w14:paraId="4F90885B">
            <w:pPr>
              <w:pStyle w:val="11"/>
            </w:pPr>
          </w:p>
        </w:tc>
        <w:tc>
          <w:tcPr>
            <w:tcW w:w="1474" w:type="dxa"/>
            <w:vAlign w:val="center"/>
          </w:tcPr>
          <w:p w14:paraId="68CFDBB9">
            <w:pPr>
              <w:pStyle w:val="11"/>
            </w:pPr>
          </w:p>
        </w:tc>
        <w:tc>
          <w:tcPr>
            <w:tcW w:w="1474" w:type="dxa"/>
            <w:vAlign w:val="center"/>
          </w:tcPr>
          <w:p w14:paraId="59A82923">
            <w:pPr>
              <w:pStyle w:val="11"/>
            </w:pPr>
          </w:p>
        </w:tc>
        <w:tc>
          <w:tcPr>
            <w:tcW w:w="1474" w:type="dxa"/>
            <w:vAlign w:val="center"/>
          </w:tcPr>
          <w:p w14:paraId="0FCB50CE">
            <w:pPr>
              <w:pStyle w:val="11"/>
            </w:pPr>
          </w:p>
        </w:tc>
      </w:tr>
      <w:tr w14:paraId="2180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7B157">
            <w:pPr>
              <w:pStyle w:val="13"/>
            </w:pPr>
            <w:r>
              <w:t>9</w:t>
            </w:r>
          </w:p>
        </w:tc>
        <w:tc>
          <w:tcPr>
            <w:tcW w:w="3402" w:type="dxa"/>
            <w:vAlign w:val="center"/>
          </w:tcPr>
          <w:p w14:paraId="4830BD1C">
            <w:pPr>
              <w:pStyle w:val="12"/>
            </w:pPr>
          </w:p>
        </w:tc>
        <w:tc>
          <w:tcPr>
            <w:tcW w:w="1474" w:type="dxa"/>
            <w:vAlign w:val="center"/>
          </w:tcPr>
          <w:p w14:paraId="66D0AB30">
            <w:pPr>
              <w:pStyle w:val="11"/>
            </w:pPr>
          </w:p>
        </w:tc>
        <w:tc>
          <w:tcPr>
            <w:tcW w:w="3402" w:type="dxa"/>
            <w:vAlign w:val="center"/>
          </w:tcPr>
          <w:p w14:paraId="43B973FA">
            <w:pPr>
              <w:pStyle w:val="12"/>
            </w:pPr>
            <w:r>
              <w:t>九、社会保险基金支出</w:t>
            </w:r>
          </w:p>
        </w:tc>
        <w:tc>
          <w:tcPr>
            <w:tcW w:w="1474" w:type="dxa"/>
            <w:vAlign w:val="center"/>
          </w:tcPr>
          <w:p w14:paraId="71E498EE">
            <w:pPr>
              <w:pStyle w:val="11"/>
            </w:pPr>
          </w:p>
        </w:tc>
        <w:tc>
          <w:tcPr>
            <w:tcW w:w="1474" w:type="dxa"/>
            <w:vAlign w:val="center"/>
          </w:tcPr>
          <w:p w14:paraId="6FC1E492">
            <w:pPr>
              <w:pStyle w:val="11"/>
            </w:pPr>
          </w:p>
        </w:tc>
        <w:tc>
          <w:tcPr>
            <w:tcW w:w="1474" w:type="dxa"/>
            <w:vAlign w:val="center"/>
          </w:tcPr>
          <w:p w14:paraId="1477703F">
            <w:pPr>
              <w:pStyle w:val="11"/>
            </w:pPr>
          </w:p>
        </w:tc>
        <w:tc>
          <w:tcPr>
            <w:tcW w:w="1474" w:type="dxa"/>
            <w:vAlign w:val="center"/>
          </w:tcPr>
          <w:p w14:paraId="3E7245B6">
            <w:pPr>
              <w:pStyle w:val="11"/>
            </w:pPr>
          </w:p>
        </w:tc>
      </w:tr>
      <w:tr w14:paraId="709A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F3F47">
            <w:pPr>
              <w:pStyle w:val="13"/>
            </w:pPr>
            <w:r>
              <w:t>10</w:t>
            </w:r>
          </w:p>
        </w:tc>
        <w:tc>
          <w:tcPr>
            <w:tcW w:w="3402" w:type="dxa"/>
            <w:vAlign w:val="center"/>
          </w:tcPr>
          <w:p w14:paraId="22AC98D0">
            <w:pPr>
              <w:pStyle w:val="12"/>
            </w:pPr>
          </w:p>
        </w:tc>
        <w:tc>
          <w:tcPr>
            <w:tcW w:w="1474" w:type="dxa"/>
            <w:vAlign w:val="center"/>
          </w:tcPr>
          <w:p w14:paraId="2CC9C003">
            <w:pPr>
              <w:pStyle w:val="11"/>
            </w:pPr>
          </w:p>
        </w:tc>
        <w:tc>
          <w:tcPr>
            <w:tcW w:w="3402" w:type="dxa"/>
            <w:vAlign w:val="center"/>
          </w:tcPr>
          <w:p w14:paraId="7263B1C3">
            <w:pPr>
              <w:pStyle w:val="12"/>
            </w:pPr>
            <w:r>
              <w:t>十、卫生健康支出</w:t>
            </w:r>
          </w:p>
        </w:tc>
        <w:tc>
          <w:tcPr>
            <w:tcW w:w="1474" w:type="dxa"/>
            <w:vAlign w:val="center"/>
          </w:tcPr>
          <w:p w14:paraId="757E1835">
            <w:pPr>
              <w:pStyle w:val="11"/>
            </w:pPr>
          </w:p>
        </w:tc>
        <w:tc>
          <w:tcPr>
            <w:tcW w:w="1474" w:type="dxa"/>
            <w:vAlign w:val="center"/>
          </w:tcPr>
          <w:p w14:paraId="08B777BD">
            <w:pPr>
              <w:pStyle w:val="11"/>
            </w:pPr>
          </w:p>
        </w:tc>
        <w:tc>
          <w:tcPr>
            <w:tcW w:w="1474" w:type="dxa"/>
            <w:vAlign w:val="center"/>
          </w:tcPr>
          <w:p w14:paraId="434B5BB2">
            <w:pPr>
              <w:pStyle w:val="11"/>
            </w:pPr>
          </w:p>
        </w:tc>
        <w:tc>
          <w:tcPr>
            <w:tcW w:w="1474" w:type="dxa"/>
            <w:vAlign w:val="center"/>
          </w:tcPr>
          <w:p w14:paraId="6A3017EA">
            <w:pPr>
              <w:pStyle w:val="11"/>
            </w:pPr>
          </w:p>
        </w:tc>
      </w:tr>
      <w:tr w14:paraId="708489D3">
        <w:tblPrEx>
          <w:tblCellMar>
            <w:top w:w="0" w:type="dxa"/>
            <w:left w:w="108" w:type="dxa"/>
            <w:bottom w:w="0" w:type="dxa"/>
            <w:right w:w="108" w:type="dxa"/>
          </w:tblCellMar>
        </w:tblPrEx>
        <w:trPr>
          <w:trHeight w:val="369" w:hRule="atLeast"/>
          <w:jc w:val="center"/>
        </w:trPr>
        <w:tc>
          <w:tcPr>
            <w:tcW w:w="850" w:type="dxa"/>
            <w:vAlign w:val="center"/>
          </w:tcPr>
          <w:p w14:paraId="65FEB69D">
            <w:pPr>
              <w:pStyle w:val="13"/>
            </w:pPr>
            <w:r>
              <w:t>11</w:t>
            </w:r>
          </w:p>
        </w:tc>
        <w:tc>
          <w:tcPr>
            <w:tcW w:w="3402" w:type="dxa"/>
            <w:vAlign w:val="center"/>
          </w:tcPr>
          <w:p w14:paraId="320EE4BC">
            <w:pPr>
              <w:pStyle w:val="12"/>
            </w:pPr>
          </w:p>
        </w:tc>
        <w:tc>
          <w:tcPr>
            <w:tcW w:w="1474" w:type="dxa"/>
            <w:vAlign w:val="center"/>
          </w:tcPr>
          <w:p w14:paraId="3255BBD7">
            <w:pPr>
              <w:pStyle w:val="11"/>
            </w:pPr>
          </w:p>
        </w:tc>
        <w:tc>
          <w:tcPr>
            <w:tcW w:w="3402" w:type="dxa"/>
            <w:vAlign w:val="center"/>
          </w:tcPr>
          <w:p w14:paraId="5B2EA9EA">
            <w:pPr>
              <w:pStyle w:val="12"/>
            </w:pPr>
            <w:r>
              <w:t>十一、节能环保支出</w:t>
            </w:r>
          </w:p>
        </w:tc>
        <w:tc>
          <w:tcPr>
            <w:tcW w:w="1474" w:type="dxa"/>
            <w:vAlign w:val="center"/>
          </w:tcPr>
          <w:p w14:paraId="5DD66B1E">
            <w:pPr>
              <w:pStyle w:val="11"/>
            </w:pPr>
          </w:p>
        </w:tc>
        <w:tc>
          <w:tcPr>
            <w:tcW w:w="1474" w:type="dxa"/>
            <w:vAlign w:val="center"/>
          </w:tcPr>
          <w:p w14:paraId="7F08ABF4">
            <w:pPr>
              <w:pStyle w:val="11"/>
            </w:pPr>
          </w:p>
        </w:tc>
        <w:tc>
          <w:tcPr>
            <w:tcW w:w="1474" w:type="dxa"/>
            <w:vAlign w:val="center"/>
          </w:tcPr>
          <w:p w14:paraId="402BAF22">
            <w:pPr>
              <w:pStyle w:val="11"/>
            </w:pPr>
          </w:p>
        </w:tc>
        <w:tc>
          <w:tcPr>
            <w:tcW w:w="1474" w:type="dxa"/>
            <w:vAlign w:val="center"/>
          </w:tcPr>
          <w:p w14:paraId="6A1DEA32">
            <w:pPr>
              <w:pStyle w:val="11"/>
            </w:pPr>
          </w:p>
        </w:tc>
      </w:tr>
      <w:tr w14:paraId="5F95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BA9B">
            <w:pPr>
              <w:pStyle w:val="13"/>
            </w:pPr>
            <w:r>
              <w:t>12</w:t>
            </w:r>
          </w:p>
        </w:tc>
        <w:tc>
          <w:tcPr>
            <w:tcW w:w="3402" w:type="dxa"/>
            <w:vAlign w:val="center"/>
          </w:tcPr>
          <w:p w14:paraId="25EB4AD4">
            <w:pPr>
              <w:pStyle w:val="12"/>
            </w:pPr>
          </w:p>
        </w:tc>
        <w:tc>
          <w:tcPr>
            <w:tcW w:w="1474" w:type="dxa"/>
            <w:vAlign w:val="center"/>
          </w:tcPr>
          <w:p w14:paraId="6D9F5925">
            <w:pPr>
              <w:pStyle w:val="11"/>
            </w:pPr>
          </w:p>
        </w:tc>
        <w:tc>
          <w:tcPr>
            <w:tcW w:w="3402" w:type="dxa"/>
            <w:vAlign w:val="center"/>
          </w:tcPr>
          <w:p w14:paraId="02A0DB4F">
            <w:pPr>
              <w:pStyle w:val="12"/>
            </w:pPr>
            <w:r>
              <w:t>十二、城乡社区支出</w:t>
            </w:r>
          </w:p>
        </w:tc>
        <w:tc>
          <w:tcPr>
            <w:tcW w:w="1474" w:type="dxa"/>
            <w:vAlign w:val="center"/>
          </w:tcPr>
          <w:p w14:paraId="1BF11BEE">
            <w:pPr>
              <w:pStyle w:val="11"/>
            </w:pPr>
          </w:p>
        </w:tc>
        <w:tc>
          <w:tcPr>
            <w:tcW w:w="1474" w:type="dxa"/>
            <w:vAlign w:val="center"/>
          </w:tcPr>
          <w:p w14:paraId="013ABC27">
            <w:pPr>
              <w:pStyle w:val="11"/>
            </w:pPr>
          </w:p>
        </w:tc>
        <w:tc>
          <w:tcPr>
            <w:tcW w:w="1474" w:type="dxa"/>
            <w:vAlign w:val="center"/>
          </w:tcPr>
          <w:p w14:paraId="1BA48EFD">
            <w:pPr>
              <w:pStyle w:val="11"/>
            </w:pPr>
          </w:p>
        </w:tc>
        <w:tc>
          <w:tcPr>
            <w:tcW w:w="1474" w:type="dxa"/>
            <w:vAlign w:val="center"/>
          </w:tcPr>
          <w:p w14:paraId="3CB5A364">
            <w:pPr>
              <w:pStyle w:val="11"/>
            </w:pPr>
          </w:p>
        </w:tc>
      </w:tr>
      <w:tr w14:paraId="5300A092">
        <w:tblPrEx>
          <w:tblCellMar>
            <w:top w:w="0" w:type="dxa"/>
            <w:left w:w="108" w:type="dxa"/>
            <w:bottom w:w="0" w:type="dxa"/>
            <w:right w:w="108" w:type="dxa"/>
          </w:tblCellMar>
        </w:tblPrEx>
        <w:trPr>
          <w:trHeight w:val="369" w:hRule="atLeast"/>
          <w:jc w:val="center"/>
        </w:trPr>
        <w:tc>
          <w:tcPr>
            <w:tcW w:w="850" w:type="dxa"/>
            <w:vAlign w:val="center"/>
          </w:tcPr>
          <w:p w14:paraId="263070C5">
            <w:pPr>
              <w:pStyle w:val="13"/>
            </w:pPr>
            <w:r>
              <w:t>13</w:t>
            </w:r>
          </w:p>
        </w:tc>
        <w:tc>
          <w:tcPr>
            <w:tcW w:w="3402" w:type="dxa"/>
            <w:vAlign w:val="center"/>
          </w:tcPr>
          <w:p w14:paraId="744DD428">
            <w:pPr>
              <w:pStyle w:val="12"/>
            </w:pPr>
          </w:p>
        </w:tc>
        <w:tc>
          <w:tcPr>
            <w:tcW w:w="1474" w:type="dxa"/>
            <w:vAlign w:val="center"/>
          </w:tcPr>
          <w:p w14:paraId="569310F8">
            <w:pPr>
              <w:pStyle w:val="11"/>
            </w:pPr>
          </w:p>
        </w:tc>
        <w:tc>
          <w:tcPr>
            <w:tcW w:w="3402" w:type="dxa"/>
            <w:vAlign w:val="center"/>
          </w:tcPr>
          <w:p w14:paraId="714E6F58">
            <w:pPr>
              <w:pStyle w:val="12"/>
            </w:pPr>
            <w:r>
              <w:t>十三、农林水支出</w:t>
            </w:r>
          </w:p>
        </w:tc>
        <w:tc>
          <w:tcPr>
            <w:tcW w:w="1474" w:type="dxa"/>
            <w:vAlign w:val="center"/>
          </w:tcPr>
          <w:p w14:paraId="4A6CE9D0">
            <w:pPr>
              <w:pStyle w:val="11"/>
            </w:pPr>
          </w:p>
        </w:tc>
        <w:tc>
          <w:tcPr>
            <w:tcW w:w="1474" w:type="dxa"/>
            <w:vAlign w:val="center"/>
          </w:tcPr>
          <w:p w14:paraId="7D1E34D9">
            <w:pPr>
              <w:pStyle w:val="11"/>
            </w:pPr>
          </w:p>
        </w:tc>
        <w:tc>
          <w:tcPr>
            <w:tcW w:w="1474" w:type="dxa"/>
            <w:vAlign w:val="center"/>
          </w:tcPr>
          <w:p w14:paraId="258593E4">
            <w:pPr>
              <w:pStyle w:val="11"/>
            </w:pPr>
          </w:p>
        </w:tc>
        <w:tc>
          <w:tcPr>
            <w:tcW w:w="1474" w:type="dxa"/>
            <w:vAlign w:val="center"/>
          </w:tcPr>
          <w:p w14:paraId="1C873977">
            <w:pPr>
              <w:pStyle w:val="11"/>
            </w:pPr>
          </w:p>
        </w:tc>
      </w:tr>
      <w:tr w14:paraId="0A06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509F4">
            <w:pPr>
              <w:pStyle w:val="13"/>
            </w:pPr>
            <w:r>
              <w:t>14</w:t>
            </w:r>
          </w:p>
        </w:tc>
        <w:tc>
          <w:tcPr>
            <w:tcW w:w="3402" w:type="dxa"/>
            <w:vAlign w:val="center"/>
          </w:tcPr>
          <w:p w14:paraId="48EB2EA8">
            <w:pPr>
              <w:pStyle w:val="12"/>
            </w:pPr>
          </w:p>
        </w:tc>
        <w:tc>
          <w:tcPr>
            <w:tcW w:w="1474" w:type="dxa"/>
            <w:vAlign w:val="center"/>
          </w:tcPr>
          <w:p w14:paraId="2055607D">
            <w:pPr>
              <w:pStyle w:val="11"/>
            </w:pPr>
          </w:p>
        </w:tc>
        <w:tc>
          <w:tcPr>
            <w:tcW w:w="3402" w:type="dxa"/>
            <w:vAlign w:val="center"/>
          </w:tcPr>
          <w:p w14:paraId="63F61006">
            <w:pPr>
              <w:pStyle w:val="12"/>
            </w:pPr>
            <w:r>
              <w:t>十四、交通运输支出</w:t>
            </w:r>
          </w:p>
        </w:tc>
        <w:tc>
          <w:tcPr>
            <w:tcW w:w="1474" w:type="dxa"/>
            <w:vAlign w:val="center"/>
          </w:tcPr>
          <w:p w14:paraId="164BF935">
            <w:pPr>
              <w:pStyle w:val="11"/>
            </w:pPr>
          </w:p>
        </w:tc>
        <w:tc>
          <w:tcPr>
            <w:tcW w:w="1474" w:type="dxa"/>
            <w:vAlign w:val="center"/>
          </w:tcPr>
          <w:p w14:paraId="0C07D3AB">
            <w:pPr>
              <w:pStyle w:val="11"/>
            </w:pPr>
          </w:p>
        </w:tc>
        <w:tc>
          <w:tcPr>
            <w:tcW w:w="1474" w:type="dxa"/>
            <w:vAlign w:val="center"/>
          </w:tcPr>
          <w:p w14:paraId="67D98619">
            <w:pPr>
              <w:pStyle w:val="11"/>
            </w:pPr>
          </w:p>
        </w:tc>
        <w:tc>
          <w:tcPr>
            <w:tcW w:w="1474" w:type="dxa"/>
            <w:vAlign w:val="center"/>
          </w:tcPr>
          <w:p w14:paraId="08CC8131">
            <w:pPr>
              <w:pStyle w:val="11"/>
            </w:pPr>
          </w:p>
        </w:tc>
      </w:tr>
      <w:tr w14:paraId="4F5E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C3850">
            <w:pPr>
              <w:pStyle w:val="13"/>
            </w:pPr>
            <w:r>
              <w:t>15</w:t>
            </w:r>
          </w:p>
        </w:tc>
        <w:tc>
          <w:tcPr>
            <w:tcW w:w="3402" w:type="dxa"/>
            <w:vAlign w:val="center"/>
          </w:tcPr>
          <w:p w14:paraId="081D3B38">
            <w:pPr>
              <w:pStyle w:val="12"/>
            </w:pPr>
          </w:p>
        </w:tc>
        <w:tc>
          <w:tcPr>
            <w:tcW w:w="1474" w:type="dxa"/>
            <w:vAlign w:val="center"/>
          </w:tcPr>
          <w:p w14:paraId="3B6E9714">
            <w:pPr>
              <w:pStyle w:val="11"/>
            </w:pPr>
          </w:p>
        </w:tc>
        <w:tc>
          <w:tcPr>
            <w:tcW w:w="3402" w:type="dxa"/>
            <w:vAlign w:val="center"/>
          </w:tcPr>
          <w:p w14:paraId="4FE2A672">
            <w:pPr>
              <w:pStyle w:val="12"/>
            </w:pPr>
            <w:r>
              <w:t>十五、资源勘探工业信息等支出</w:t>
            </w:r>
          </w:p>
        </w:tc>
        <w:tc>
          <w:tcPr>
            <w:tcW w:w="1474" w:type="dxa"/>
            <w:vAlign w:val="center"/>
          </w:tcPr>
          <w:p w14:paraId="64953E92">
            <w:pPr>
              <w:pStyle w:val="11"/>
            </w:pPr>
          </w:p>
        </w:tc>
        <w:tc>
          <w:tcPr>
            <w:tcW w:w="1474" w:type="dxa"/>
            <w:vAlign w:val="center"/>
          </w:tcPr>
          <w:p w14:paraId="1C8D12E4">
            <w:pPr>
              <w:pStyle w:val="11"/>
            </w:pPr>
          </w:p>
        </w:tc>
        <w:tc>
          <w:tcPr>
            <w:tcW w:w="1474" w:type="dxa"/>
            <w:vAlign w:val="center"/>
          </w:tcPr>
          <w:p w14:paraId="51D1379A">
            <w:pPr>
              <w:pStyle w:val="11"/>
            </w:pPr>
          </w:p>
        </w:tc>
        <w:tc>
          <w:tcPr>
            <w:tcW w:w="1474" w:type="dxa"/>
            <w:vAlign w:val="center"/>
          </w:tcPr>
          <w:p w14:paraId="15FC2B49">
            <w:pPr>
              <w:pStyle w:val="11"/>
            </w:pPr>
          </w:p>
        </w:tc>
      </w:tr>
      <w:tr w14:paraId="2936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9E311">
            <w:pPr>
              <w:pStyle w:val="13"/>
            </w:pPr>
            <w:r>
              <w:t>16</w:t>
            </w:r>
          </w:p>
        </w:tc>
        <w:tc>
          <w:tcPr>
            <w:tcW w:w="3402" w:type="dxa"/>
            <w:vAlign w:val="center"/>
          </w:tcPr>
          <w:p w14:paraId="12EA4BCE">
            <w:pPr>
              <w:pStyle w:val="12"/>
            </w:pPr>
          </w:p>
        </w:tc>
        <w:tc>
          <w:tcPr>
            <w:tcW w:w="1474" w:type="dxa"/>
            <w:vAlign w:val="center"/>
          </w:tcPr>
          <w:p w14:paraId="27B014C9">
            <w:pPr>
              <w:pStyle w:val="11"/>
            </w:pPr>
          </w:p>
        </w:tc>
        <w:tc>
          <w:tcPr>
            <w:tcW w:w="3402" w:type="dxa"/>
            <w:vAlign w:val="center"/>
          </w:tcPr>
          <w:p w14:paraId="7BBB22FD">
            <w:pPr>
              <w:pStyle w:val="12"/>
            </w:pPr>
            <w:r>
              <w:t>十六、商业服务业等支出</w:t>
            </w:r>
          </w:p>
        </w:tc>
        <w:tc>
          <w:tcPr>
            <w:tcW w:w="1474" w:type="dxa"/>
            <w:vAlign w:val="center"/>
          </w:tcPr>
          <w:p w14:paraId="77761815">
            <w:pPr>
              <w:pStyle w:val="11"/>
            </w:pPr>
          </w:p>
        </w:tc>
        <w:tc>
          <w:tcPr>
            <w:tcW w:w="1474" w:type="dxa"/>
            <w:vAlign w:val="center"/>
          </w:tcPr>
          <w:p w14:paraId="355D9A71">
            <w:pPr>
              <w:pStyle w:val="11"/>
            </w:pPr>
          </w:p>
        </w:tc>
        <w:tc>
          <w:tcPr>
            <w:tcW w:w="1474" w:type="dxa"/>
            <w:vAlign w:val="center"/>
          </w:tcPr>
          <w:p w14:paraId="0A26AF9D">
            <w:pPr>
              <w:pStyle w:val="11"/>
            </w:pPr>
          </w:p>
        </w:tc>
        <w:tc>
          <w:tcPr>
            <w:tcW w:w="1474" w:type="dxa"/>
            <w:vAlign w:val="center"/>
          </w:tcPr>
          <w:p w14:paraId="27011FB5">
            <w:pPr>
              <w:pStyle w:val="11"/>
            </w:pPr>
          </w:p>
        </w:tc>
      </w:tr>
      <w:tr w14:paraId="2540329E">
        <w:tblPrEx>
          <w:tblCellMar>
            <w:top w:w="0" w:type="dxa"/>
            <w:left w:w="108" w:type="dxa"/>
            <w:bottom w:w="0" w:type="dxa"/>
            <w:right w:w="108" w:type="dxa"/>
          </w:tblCellMar>
        </w:tblPrEx>
        <w:trPr>
          <w:trHeight w:val="369" w:hRule="atLeast"/>
          <w:jc w:val="center"/>
        </w:trPr>
        <w:tc>
          <w:tcPr>
            <w:tcW w:w="850" w:type="dxa"/>
            <w:vAlign w:val="center"/>
          </w:tcPr>
          <w:p w14:paraId="6228E661">
            <w:pPr>
              <w:pStyle w:val="13"/>
            </w:pPr>
            <w:r>
              <w:t>17</w:t>
            </w:r>
          </w:p>
        </w:tc>
        <w:tc>
          <w:tcPr>
            <w:tcW w:w="3402" w:type="dxa"/>
            <w:vAlign w:val="center"/>
          </w:tcPr>
          <w:p w14:paraId="7B723B85">
            <w:pPr>
              <w:pStyle w:val="12"/>
            </w:pPr>
          </w:p>
        </w:tc>
        <w:tc>
          <w:tcPr>
            <w:tcW w:w="1474" w:type="dxa"/>
            <w:vAlign w:val="center"/>
          </w:tcPr>
          <w:p w14:paraId="02D07A71">
            <w:pPr>
              <w:pStyle w:val="11"/>
            </w:pPr>
          </w:p>
        </w:tc>
        <w:tc>
          <w:tcPr>
            <w:tcW w:w="3402" w:type="dxa"/>
            <w:vAlign w:val="center"/>
          </w:tcPr>
          <w:p w14:paraId="0AC71722">
            <w:pPr>
              <w:pStyle w:val="12"/>
            </w:pPr>
            <w:r>
              <w:t>十七、金融支出</w:t>
            </w:r>
          </w:p>
        </w:tc>
        <w:tc>
          <w:tcPr>
            <w:tcW w:w="1474" w:type="dxa"/>
            <w:vAlign w:val="center"/>
          </w:tcPr>
          <w:p w14:paraId="1A8328D7">
            <w:pPr>
              <w:pStyle w:val="11"/>
            </w:pPr>
          </w:p>
        </w:tc>
        <w:tc>
          <w:tcPr>
            <w:tcW w:w="1474" w:type="dxa"/>
            <w:vAlign w:val="center"/>
          </w:tcPr>
          <w:p w14:paraId="557AF684">
            <w:pPr>
              <w:pStyle w:val="11"/>
            </w:pPr>
          </w:p>
        </w:tc>
        <w:tc>
          <w:tcPr>
            <w:tcW w:w="1474" w:type="dxa"/>
            <w:vAlign w:val="center"/>
          </w:tcPr>
          <w:p w14:paraId="6F438666">
            <w:pPr>
              <w:pStyle w:val="11"/>
            </w:pPr>
          </w:p>
        </w:tc>
        <w:tc>
          <w:tcPr>
            <w:tcW w:w="1474" w:type="dxa"/>
            <w:vAlign w:val="center"/>
          </w:tcPr>
          <w:p w14:paraId="1940A3DD">
            <w:pPr>
              <w:pStyle w:val="11"/>
            </w:pPr>
          </w:p>
        </w:tc>
      </w:tr>
      <w:tr w14:paraId="7790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5452C">
            <w:pPr>
              <w:pStyle w:val="13"/>
            </w:pPr>
            <w:r>
              <w:t>18</w:t>
            </w:r>
          </w:p>
        </w:tc>
        <w:tc>
          <w:tcPr>
            <w:tcW w:w="3402" w:type="dxa"/>
            <w:vAlign w:val="center"/>
          </w:tcPr>
          <w:p w14:paraId="33D5D7FF">
            <w:pPr>
              <w:pStyle w:val="12"/>
            </w:pPr>
          </w:p>
        </w:tc>
        <w:tc>
          <w:tcPr>
            <w:tcW w:w="1474" w:type="dxa"/>
            <w:vAlign w:val="center"/>
          </w:tcPr>
          <w:p w14:paraId="0E6043C1">
            <w:pPr>
              <w:pStyle w:val="11"/>
            </w:pPr>
          </w:p>
        </w:tc>
        <w:tc>
          <w:tcPr>
            <w:tcW w:w="3402" w:type="dxa"/>
            <w:vAlign w:val="center"/>
          </w:tcPr>
          <w:p w14:paraId="44A81477">
            <w:pPr>
              <w:pStyle w:val="12"/>
            </w:pPr>
            <w:r>
              <w:t>十八、援助其他地区支出</w:t>
            </w:r>
          </w:p>
        </w:tc>
        <w:tc>
          <w:tcPr>
            <w:tcW w:w="1474" w:type="dxa"/>
            <w:vAlign w:val="center"/>
          </w:tcPr>
          <w:p w14:paraId="704BA35E">
            <w:pPr>
              <w:pStyle w:val="11"/>
            </w:pPr>
          </w:p>
        </w:tc>
        <w:tc>
          <w:tcPr>
            <w:tcW w:w="1474" w:type="dxa"/>
            <w:vAlign w:val="center"/>
          </w:tcPr>
          <w:p w14:paraId="7D6756C9">
            <w:pPr>
              <w:pStyle w:val="11"/>
            </w:pPr>
          </w:p>
        </w:tc>
        <w:tc>
          <w:tcPr>
            <w:tcW w:w="1474" w:type="dxa"/>
            <w:vAlign w:val="center"/>
          </w:tcPr>
          <w:p w14:paraId="7D2ED9A5">
            <w:pPr>
              <w:pStyle w:val="11"/>
            </w:pPr>
          </w:p>
        </w:tc>
        <w:tc>
          <w:tcPr>
            <w:tcW w:w="1474" w:type="dxa"/>
            <w:vAlign w:val="center"/>
          </w:tcPr>
          <w:p w14:paraId="57EAA712">
            <w:pPr>
              <w:pStyle w:val="11"/>
            </w:pPr>
          </w:p>
        </w:tc>
      </w:tr>
      <w:tr w14:paraId="3A68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5E975">
            <w:pPr>
              <w:pStyle w:val="13"/>
            </w:pPr>
            <w:r>
              <w:t>19</w:t>
            </w:r>
          </w:p>
        </w:tc>
        <w:tc>
          <w:tcPr>
            <w:tcW w:w="3402" w:type="dxa"/>
            <w:vAlign w:val="center"/>
          </w:tcPr>
          <w:p w14:paraId="718FEC1C">
            <w:pPr>
              <w:pStyle w:val="12"/>
            </w:pPr>
          </w:p>
        </w:tc>
        <w:tc>
          <w:tcPr>
            <w:tcW w:w="1474" w:type="dxa"/>
            <w:vAlign w:val="center"/>
          </w:tcPr>
          <w:p w14:paraId="48818336">
            <w:pPr>
              <w:pStyle w:val="11"/>
            </w:pPr>
          </w:p>
        </w:tc>
        <w:tc>
          <w:tcPr>
            <w:tcW w:w="3402" w:type="dxa"/>
            <w:vAlign w:val="center"/>
          </w:tcPr>
          <w:p w14:paraId="22B3C4AE">
            <w:pPr>
              <w:pStyle w:val="12"/>
            </w:pPr>
            <w:r>
              <w:t>十九、自然资源海洋气象等支出</w:t>
            </w:r>
          </w:p>
        </w:tc>
        <w:tc>
          <w:tcPr>
            <w:tcW w:w="1474" w:type="dxa"/>
            <w:vAlign w:val="center"/>
          </w:tcPr>
          <w:p w14:paraId="106A799C">
            <w:pPr>
              <w:pStyle w:val="11"/>
            </w:pPr>
          </w:p>
        </w:tc>
        <w:tc>
          <w:tcPr>
            <w:tcW w:w="1474" w:type="dxa"/>
            <w:vAlign w:val="center"/>
          </w:tcPr>
          <w:p w14:paraId="396A1994">
            <w:pPr>
              <w:pStyle w:val="11"/>
            </w:pPr>
          </w:p>
        </w:tc>
        <w:tc>
          <w:tcPr>
            <w:tcW w:w="1474" w:type="dxa"/>
            <w:vAlign w:val="center"/>
          </w:tcPr>
          <w:p w14:paraId="52161009">
            <w:pPr>
              <w:pStyle w:val="11"/>
            </w:pPr>
          </w:p>
        </w:tc>
        <w:tc>
          <w:tcPr>
            <w:tcW w:w="1474" w:type="dxa"/>
            <w:vAlign w:val="center"/>
          </w:tcPr>
          <w:p w14:paraId="25FEF890">
            <w:pPr>
              <w:pStyle w:val="11"/>
            </w:pPr>
          </w:p>
        </w:tc>
      </w:tr>
      <w:tr w14:paraId="6B34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CE2FB">
            <w:pPr>
              <w:pStyle w:val="13"/>
            </w:pPr>
            <w:r>
              <w:t>20</w:t>
            </w:r>
          </w:p>
        </w:tc>
        <w:tc>
          <w:tcPr>
            <w:tcW w:w="3402" w:type="dxa"/>
            <w:vAlign w:val="center"/>
          </w:tcPr>
          <w:p w14:paraId="7BF918E7">
            <w:pPr>
              <w:pStyle w:val="12"/>
            </w:pPr>
          </w:p>
        </w:tc>
        <w:tc>
          <w:tcPr>
            <w:tcW w:w="1474" w:type="dxa"/>
            <w:vAlign w:val="center"/>
          </w:tcPr>
          <w:p w14:paraId="3D067619">
            <w:pPr>
              <w:pStyle w:val="11"/>
            </w:pPr>
          </w:p>
        </w:tc>
        <w:tc>
          <w:tcPr>
            <w:tcW w:w="3402" w:type="dxa"/>
            <w:vAlign w:val="center"/>
          </w:tcPr>
          <w:p w14:paraId="6A35FE34">
            <w:pPr>
              <w:pStyle w:val="12"/>
            </w:pPr>
            <w:r>
              <w:t>二十、住房保障支出</w:t>
            </w:r>
          </w:p>
        </w:tc>
        <w:tc>
          <w:tcPr>
            <w:tcW w:w="1474" w:type="dxa"/>
            <w:vAlign w:val="center"/>
          </w:tcPr>
          <w:p w14:paraId="3B0C09B1">
            <w:pPr>
              <w:pStyle w:val="11"/>
            </w:pPr>
          </w:p>
        </w:tc>
        <w:tc>
          <w:tcPr>
            <w:tcW w:w="1474" w:type="dxa"/>
            <w:vAlign w:val="center"/>
          </w:tcPr>
          <w:p w14:paraId="7DF8DE94">
            <w:pPr>
              <w:pStyle w:val="11"/>
            </w:pPr>
          </w:p>
        </w:tc>
        <w:tc>
          <w:tcPr>
            <w:tcW w:w="1474" w:type="dxa"/>
            <w:vAlign w:val="center"/>
          </w:tcPr>
          <w:p w14:paraId="733C8AFD">
            <w:pPr>
              <w:pStyle w:val="11"/>
            </w:pPr>
          </w:p>
        </w:tc>
        <w:tc>
          <w:tcPr>
            <w:tcW w:w="1474" w:type="dxa"/>
            <w:vAlign w:val="center"/>
          </w:tcPr>
          <w:p w14:paraId="6B49A83A">
            <w:pPr>
              <w:pStyle w:val="11"/>
            </w:pPr>
          </w:p>
        </w:tc>
      </w:tr>
      <w:tr w14:paraId="5456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30C88">
            <w:pPr>
              <w:pStyle w:val="13"/>
            </w:pPr>
            <w:r>
              <w:t>21</w:t>
            </w:r>
          </w:p>
        </w:tc>
        <w:tc>
          <w:tcPr>
            <w:tcW w:w="3402" w:type="dxa"/>
            <w:vAlign w:val="center"/>
          </w:tcPr>
          <w:p w14:paraId="7DAD51FA">
            <w:pPr>
              <w:pStyle w:val="12"/>
            </w:pPr>
          </w:p>
        </w:tc>
        <w:tc>
          <w:tcPr>
            <w:tcW w:w="1474" w:type="dxa"/>
            <w:vAlign w:val="center"/>
          </w:tcPr>
          <w:p w14:paraId="3941009E">
            <w:pPr>
              <w:pStyle w:val="11"/>
            </w:pPr>
          </w:p>
        </w:tc>
        <w:tc>
          <w:tcPr>
            <w:tcW w:w="3402" w:type="dxa"/>
            <w:vAlign w:val="center"/>
          </w:tcPr>
          <w:p w14:paraId="2CC302B7">
            <w:pPr>
              <w:pStyle w:val="12"/>
            </w:pPr>
            <w:r>
              <w:t>二十一、粮油物资储备支出</w:t>
            </w:r>
          </w:p>
        </w:tc>
        <w:tc>
          <w:tcPr>
            <w:tcW w:w="1474" w:type="dxa"/>
            <w:vAlign w:val="center"/>
          </w:tcPr>
          <w:p w14:paraId="54F3FE3E">
            <w:pPr>
              <w:pStyle w:val="11"/>
            </w:pPr>
          </w:p>
        </w:tc>
        <w:tc>
          <w:tcPr>
            <w:tcW w:w="1474" w:type="dxa"/>
            <w:vAlign w:val="center"/>
          </w:tcPr>
          <w:p w14:paraId="2043FE58">
            <w:pPr>
              <w:pStyle w:val="11"/>
            </w:pPr>
          </w:p>
        </w:tc>
        <w:tc>
          <w:tcPr>
            <w:tcW w:w="1474" w:type="dxa"/>
            <w:vAlign w:val="center"/>
          </w:tcPr>
          <w:p w14:paraId="265A85EC">
            <w:pPr>
              <w:pStyle w:val="11"/>
            </w:pPr>
          </w:p>
        </w:tc>
        <w:tc>
          <w:tcPr>
            <w:tcW w:w="1474" w:type="dxa"/>
            <w:vAlign w:val="center"/>
          </w:tcPr>
          <w:p w14:paraId="70C9F352">
            <w:pPr>
              <w:pStyle w:val="11"/>
            </w:pPr>
          </w:p>
        </w:tc>
      </w:tr>
      <w:tr w14:paraId="3E7A36D5">
        <w:tblPrEx>
          <w:tblCellMar>
            <w:top w:w="0" w:type="dxa"/>
            <w:left w:w="108" w:type="dxa"/>
            <w:bottom w:w="0" w:type="dxa"/>
            <w:right w:w="108" w:type="dxa"/>
          </w:tblCellMar>
        </w:tblPrEx>
        <w:trPr>
          <w:trHeight w:val="369" w:hRule="atLeast"/>
          <w:jc w:val="center"/>
        </w:trPr>
        <w:tc>
          <w:tcPr>
            <w:tcW w:w="850" w:type="dxa"/>
            <w:vAlign w:val="center"/>
          </w:tcPr>
          <w:p w14:paraId="0F14066F">
            <w:pPr>
              <w:pStyle w:val="13"/>
            </w:pPr>
            <w:r>
              <w:t>22</w:t>
            </w:r>
          </w:p>
        </w:tc>
        <w:tc>
          <w:tcPr>
            <w:tcW w:w="3402" w:type="dxa"/>
            <w:vAlign w:val="center"/>
          </w:tcPr>
          <w:p w14:paraId="2851C6A1">
            <w:pPr>
              <w:pStyle w:val="12"/>
            </w:pPr>
          </w:p>
        </w:tc>
        <w:tc>
          <w:tcPr>
            <w:tcW w:w="1474" w:type="dxa"/>
            <w:vAlign w:val="center"/>
          </w:tcPr>
          <w:p w14:paraId="0D4892A2">
            <w:pPr>
              <w:pStyle w:val="11"/>
            </w:pPr>
          </w:p>
        </w:tc>
        <w:tc>
          <w:tcPr>
            <w:tcW w:w="3402" w:type="dxa"/>
            <w:vAlign w:val="center"/>
          </w:tcPr>
          <w:p w14:paraId="688C5ED5">
            <w:pPr>
              <w:pStyle w:val="12"/>
            </w:pPr>
            <w:r>
              <w:t>二十二、国有资本经营预算支出</w:t>
            </w:r>
          </w:p>
        </w:tc>
        <w:tc>
          <w:tcPr>
            <w:tcW w:w="1474" w:type="dxa"/>
            <w:vAlign w:val="center"/>
          </w:tcPr>
          <w:p w14:paraId="0F52F45F">
            <w:pPr>
              <w:pStyle w:val="11"/>
            </w:pPr>
          </w:p>
        </w:tc>
        <w:tc>
          <w:tcPr>
            <w:tcW w:w="1474" w:type="dxa"/>
            <w:vAlign w:val="center"/>
          </w:tcPr>
          <w:p w14:paraId="56A45479">
            <w:pPr>
              <w:pStyle w:val="11"/>
            </w:pPr>
          </w:p>
        </w:tc>
        <w:tc>
          <w:tcPr>
            <w:tcW w:w="1474" w:type="dxa"/>
            <w:vAlign w:val="center"/>
          </w:tcPr>
          <w:p w14:paraId="4AA19C8F">
            <w:pPr>
              <w:pStyle w:val="11"/>
            </w:pPr>
          </w:p>
        </w:tc>
        <w:tc>
          <w:tcPr>
            <w:tcW w:w="1474" w:type="dxa"/>
            <w:vAlign w:val="center"/>
          </w:tcPr>
          <w:p w14:paraId="4885B875">
            <w:pPr>
              <w:pStyle w:val="11"/>
            </w:pPr>
          </w:p>
        </w:tc>
      </w:tr>
      <w:tr w14:paraId="1723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4E0E7">
            <w:pPr>
              <w:pStyle w:val="13"/>
            </w:pPr>
            <w:r>
              <w:t>23</w:t>
            </w:r>
          </w:p>
        </w:tc>
        <w:tc>
          <w:tcPr>
            <w:tcW w:w="3402" w:type="dxa"/>
            <w:vAlign w:val="center"/>
          </w:tcPr>
          <w:p w14:paraId="5B54A40B">
            <w:pPr>
              <w:pStyle w:val="12"/>
            </w:pPr>
          </w:p>
        </w:tc>
        <w:tc>
          <w:tcPr>
            <w:tcW w:w="1474" w:type="dxa"/>
            <w:vAlign w:val="center"/>
          </w:tcPr>
          <w:p w14:paraId="6E2E44FC">
            <w:pPr>
              <w:pStyle w:val="11"/>
            </w:pPr>
          </w:p>
        </w:tc>
        <w:tc>
          <w:tcPr>
            <w:tcW w:w="3402" w:type="dxa"/>
            <w:vAlign w:val="center"/>
          </w:tcPr>
          <w:p w14:paraId="3DA828F5">
            <w:pPr>
              <w:pStyle w:val="12"/>
            </w:pPr>
            <w:r>
              <w:t>二十三、灾害防治及应急管理支出</w:t>
            </w:r>
          </w:p>
        </w:tc>
        <w:tc>
          <w:tcPr>
            <w:tcW w:w="1474" w:type="dxa"/>
            <w:vAlign w:val="center"/>
          </w:tcPr>
          <w:p w14:paraId="570B2791">
            <w:pPr>
              <w:pStyle w:val="11"/>
            </w:pPr>
          </w:p>
        </w:tc>
        <w:tc>
          <w:tcPr>
            <w:tcW w:w="1474" w:type="dxa"/>
            <w:vAlign w:val="center"/>
          </w:tcPr>
          <w:p w14:paraId="4CA8FB10">
            <w:pPr>
              <w:pStyle w:val="11"/>
            </w:pPr>
          </w:p>
        </w:tc>
        <w:tc>
          <w:tcPr>
            <w:tcW w:w="1474" w:type="dxa"/>
            <w:vAlign w:val="center"/>
          </w:tcPr>
          <w:p w14:paraId="0426B276">
            <w:pPr>
              <w:pStyle w:val="11"/>
            </w:pPr>
          </w:p>
        </w:tc>
        <w:tc>
          <w:tcPr>
            <w:tcW w:w="1474" w:type="dxa"/>
            <w:vAlign w:val="center"/>
          </w:tcPr>
          <w:p w14:paraId="05E776BF">
            <w:pPr>
              <w:pStyle w:val="11"/>
            </w:pPr>
          </w:p>
        </w:tc>
      </w:tr>
      <w:tr w14:paraId="7A1431A1">
        <w:tblPrEx>
          <w:tblCellMar>
            <w:top w:w="0" w:type="dxa"/>
            <w:left w:w="108" w:type="dxa"/>
            <w:bottom w:w="0" w:type="dxa"/>
            <w:right w:w="108" w:type="dxa"/>
          </w:tblCellMar>
        </w:tblPrEx>
        <w:trPr>
          <w:trHeight w:val="369" w:hRule="atLeast"/>
          <w:jc w:val="center"/>
        </w:trPr>
        <w:tc>
          <w:tcPr>
            <w:tcW w:w="850" w:type="dxa"/>
            <w:vAlign w:val="center"/>
          </w:tcPr>
          <w:p w14:paraId="389CCC18">
            <w:pPr>
              <w:pStyle w:val="13"/>
            </w:pPr>
            <w:r>
              <w:t>24</w:t>
            </w:r>
          </w:p>
        </w:tc>
        <w:tc>
          <w:tcPr>
            <w:tcW w:w="3402" w:type="dxa"/>
            <w:vAlign w:val="center"/>
          </w:tcPr>
          <w:p w14:paraId="47A77C91">
            <w:pPr>
              <w:pStyle w:val="12"/>
            </w:pPr>
          </w:p>
        </w:tc>
        <w:tc>
          <w:tcPr>
            <w:tcW w:w="1474" w:type="dxa"/>
            <w:vAlign w:val="center"/>
          </w:tcPr>
          <w:p w14:paraId="12E31C8B">
            <w:pPr>
              <w:pStyle w:val="11"/>
            </w:pPr>
          </w:p>
        </w:tc>
        <w:tc>
          <w:tcPr>
            <w:tcW w:w="3402" w:type="dxa"/>
            <w:vAlign w:val="center"/>
          </w:tcPr>
          <w:p w14:paraId="0816A68C">
            <w:pPr>
              <w:pStyle w:val="12"/>
            </w:pPr>
            <w:r>
              <w:t>二十四、预备费</w:t>
            </w:r>
          </w:p>
        </w:tc>
        <w:tc>
          <w:tcPr>
            <w:tcW w:w="1474" w:type="dxa"/>
            <w:vAlign w:val="center"/>
          </w:tcPr>
          <w:p w14:paraId="31074991">
            <w:pPr>
              <w:pStyle w:val="11"/>
            </w:pPr>
          </w:p>
        </w:tc>
        <w:tc>
          <w:tcPr>
            <w:tcW w:w="1474" w:type="dxa"/>
            <w:vAlign w:val="center"/>
          </w:tcPr>
          <w:p w14:paraId="22B17880">
            <w:pPr>
              <w:pStyle w:val="11"/>
            </w:pPr>
          </w:p>
        </w:tc>
        <w:tc>
          <w:tcPr>
            <w:tcW w:w="1474" w:type="dxa"/>
            <w:vAlign w:val="center"/>
          </w:tcPr>
          <w:p w14:paraId="093B436B">
            <w:pPr>
              <w:pStyle w:val="11"/>
            </w:pPr>
          </w:p>
        </w:tc>
        <w:tc>
          <w:tcPr>
            <w:tcW w:w="1474" w:type="dxa"/>
            <w:vAlign w:val="center"/>
          </w:tcPr>
          <w:p w14:paraId="66365973">
            <w:pPr>
              <w:pStyle w:val="11"/>
            </w:pPr>
          </w:p>
        </w:tc>
      </w:tr>
      <w:tr w14:paraId="250C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6A63D">
            <w:pPr>
              <w:pStyle w:val="13"/>
            </w:pPr>
            <w:r>
              <w:t>25</w:t>
            </w:r>
          </w:p>
        </w:tc>
        <w:tc>
          <w:tcPr>
            <w:tcW w:w="3402" w:type="dxa"/>
            <w:vAlign w:val="center"/>
          </w:tcPr>
          <w:p w14:paraId="0ABE455D">
            <w:pPr>
              <w:pStyle w:val="12"/>
            </w:pPr>
          </w:p>
        </w:tc>
        <w:tc>
          <w:tcPr>
            <w:tcW w:w="1474" w:type="dxa"/>
            <w:vAlign w:val="center"/>
          </w:tcPr>
          <w:p w14:paraId="203E6F6C">
            <w:pPr>
              <w:pStyle w:val="11"/>
            </w:pPr>
          </w:p>
        </w:tc>
        <w:tc>
          <w:tcPr>
            <w:tcW w:w="3402" w:type="dxa"/>
            <w:vAlign w:val="center"/>
          </w:tcPr>
          <w:p w14:paraId="09A37935">
            <w:pPr>
              <w:pStyle w:val="12"/>
            </w:pPr>
            <w:r>
              <w:t>二十五、其他支出</w:t>
            </w:r>
          </w:p>
        </w:tc>
        <w:tc>
          <w:tcPr>
            <w:tcW w:w="1474" w:type="dxa"/>
            <w:vAlign w:val="center"/>
          </w:tcPr>
          <w:p w14:paraId="27419531">
            <w:pPr>
              <w:pStyle w:val="11"/>
            </w:pPr>
          </w:p>
        </w:tc>
        <w:tc>
          <w:tcPr>
            <w:tcW w:w="1474" w:type="dxa"/>
            <w:vAlign w:val="center"/>
          </w:tcPr>
          <w:p w14:paraId="6319782D">
            <w:pPr>
              <w:pStyle w:val="11"/>
            </w:pPr>
          </w:p>
        </w:tc>
        <w:tc>
          <w:tcPr>
            <w:tcW w:w="1474" w:type="dxa"/>
            <w:vAlign w:val="center"/>
          </w:tcPr>
          <w:p w14:paraId="197C1CEC">
            <w:pPr>
              <w:pStyle w:val="11"/>
            </w:pPr>
          </w:p>
        </w:tc>
        <w:tc>
          <w:tcPr>
            <w:tcW w:w="1474" w:type="dxa"/>
            <w:vAlign w:val="center"/>
          </w:tcPr>
          <w:p w14:paraId="2BF768F1">
            <w:pPr>
              <w:pStyle w:val="11"/>
            </w:pPr>
          </w:p>
        </w:tc>
      </w:tr>
      <w:tr w14:paraId="050D1345">
        <w:tblPrEx>
          <w:tblCellMar>
            <w:top w:w="0" w:type="dxa"/>
            <w:left w:w="108" w:type="dxa"/>
            <w:bottom w:w="0" w:type="dxa"/>
            <w:right w:w="108" w:type="dxa"/>
          </w:tblCellMar>
        </w:tblPrEx>
        <w:trPr>
          <w:trHeight w:val="369" w:hRule="atLeast"/>
          <w:jc w:val="center"/>
        </w:trPr>
        <w:tc>
          <w:tcPr>
            <w:tcW w:w="850" w:type="dxa"/>
            <w:vAlign w:val="center"/>
          </w:tcPr>
          <w:p w14:paraId="6BD2A8C1">
            <w:pPr>
              <w:pStyle w:val="13"/>
            </w:pPr>
            <w:r>
              <w:t>26</w:t>
            </w:r>
          </w:p>
        </w:tc>
        <w:tc>
          <w:tcPr>
            <w:tcW w:w="3402" w:type="dxa"/>
            <w:vAlign w:val="center"/>
          </w:tcPr>
          <w:p w14:paraId="2EDBFFF7">
            <w:pPr>
              <w:pStyle w:val="12"/>
            </w:pPr>
          </w:p>
        </w:tc>
        <w:tc>
          <w:tcPr>
            <w:tcW w:w="1474" w:type="dxa"/>
            <w:vAlign w:val="center"/>
          </w:tcPr>
          <w:p w14:paraId="21746E67">
            <w:pPr>
              <w:pStyle w:val="11"/>
            </w:pPr>
          </w:p>
        </w:tc>
        <w:tc>
          <w:tcPr>
            <w:tcW w:w="3402" w:type="dxa"/>
            <w:vAlign w:val="center"/>
          </w:tcPr>
          <w:p w14:paraId="671054D9">
            <w:pPr>
              <w:pStyle w:val="12"/>
            </w:pPr>
            <w:r>
              <w:t>二十六、转移性支出</w:t>
            </w:r>
          </w:p>
        </w:tc>
        <w:tc>
          <w:tcPr>
            <w:tcW w:w="1474" w:type="dxa"/>
            <w:vAlign w:val="center"/>
          </w:tcPr>
          <w:p w14:paraId="698EE61D">
            <w:pPr>
              <w:pStyle w:val="11"/>
            </w:pPr>
          </w:p>
        </w:tc>
        <w:tc>
          <w:tcPr>
            <w:tcW w:w="1474" w:type="dxa"/>
            <w:vAlign w:val="center"/>
          </w:tcPr>
          <w:p w14:paraId="671E984F">
            <w:pPr>
              <w:pStyle w:val="11"/>
            </w:pPr>
          </w:p>
        </w:tc>
        <w:tc>
          <w:tcPr>
            <w:tcW w:w="1474" w:type="dxa"/>
            <w:vAlign w:val="center"/>
          </w:tcPr>
          <w:p w14:paraId="285DE806">
            <w:pPr>
              <w:pStyle w:val="11"/>
            </w:pPr>
          </w:p>
        </w:tc>
        <w:tc>
          <w:tcPr>
            <w:tcW w:w="1474" w:type="dxa"/>
            <w:vAlign w:val="center"/>
          </w:tcPr>
          <w:p w14:paraId="13B8082E">
            <w:pPr>
              <w:pStyle w:val="11"/>
            </w:pPr>
          </w:p>
        </w:tc>
      </w:tr>
      <w:tr w14:paraId="5460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4B9E">
            <w:pPr>
              <w:pStyle w:val="13"/>
            </w:pPr>
            <w:r>
              <w:t>27</w:t>
            </w:r>
          </w:p>
        </w:tc>
        <w:tc>
          <w:tcPr>
            <w:tcW w:w="3402" w:type="dxa"/>
            <w:vAlign w:val="center"/>
          </w:tcPr>
          <w:p w14:paraId="4520B7FD">
            <w:pPr>
              <w:pStyle w:val="12"/>
            </w:pPr>
          </w:p>
        </w:tc>
        <w:tc>
          <w:tcPr>
            <w:tcW w:w="1474" w:type="dxa"/>
            <w:vAlign w:val="center"/>
          </w:tcPr>
          <w:p w14:paraId="1614A00F">
            <w:pPr>
              <w:pStyle w:val="11"/>
            </w:pPr>
          </w:p>
        </w:tc>
        <w:tc>
          <w:tcPr>
            <w:tcW w:w="3402" w:type="dxa"/>
            <w:vAlign w:val="center"/>
          </w:tcPr>
          <w:p w14:paraId="20E681DF">
            <w:pPr>
              <w:pStyle w:val="12"/>
            </w:pPr>
            <w:r>
              <w:t>二十七、债务还本支出</w:t>
            </w:r>
          </w:p>
        </w:tc>
        <w:tc>
          <w:tcPr>
            <w:tcW w:w="1474" w:type="dxa"/>
            <w:vAlign w:val="center"/>
          </w:tcPr>
          <w:p w14:paraId="7823E81D">
            <w:pPr>
              <w:pStyle w:val="11"/>
            </w:pPr>
          </w:p>
        </w:tc>
        <w:tc>
          <w:tcPr>
            <w:tcW w:w="1474" w:type="dxa"/>
            <w:vAlign w:val="center"/>
          </w:tcPr>
          <w:p w14:paraId="6FA820B6">
            <w:pPr>
              <w:pStyle w:val="11"/>
            </w:pPr>
          </w:p>
        </w:tc>
        <w:tc>
          <w:tcPr>
            <w:tcW w:w="1474" w:type="dxa"/>
            <w:vAlign w:val="center"/>
          </w:tcPr>
          <w:p w14:paraId="6400514D">
            <w:pPr>
              <w:pStyle w:val="11"/>
            </w:pPr>
          </w:p>
        </w:tc>
        <w:tc>
          <w:tcPr>
            <w:tcW w:w="1474" w:type="dxa"/>
            <w:vAlign w:val="center"/>
          </w:tcPr>
          <w:p w14:paraId="5A20D1F5">
            <w:pPr>
              <w:pStyle w:val="11"/>
            </w:pPr>
          </w:p>
        </w:tc>
      </w:tr>
      <w:tr w14:paraId="69D7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EDBF">
            <w:pPr>
              <w:pStyle w:val="13"/>
            </w:pPr>
            <w:r>
              <w:t>28</w:t>
            </w:r>
          </w:p>
        </w:tc>
        <w:tc>
          <w:tcPr>
            <w:tcW w:w="3402" w:type="dxa"/>
            <w:vAlign w:val="center"/>
          </w:tcPr>
          <w:p w14:paraId="359712C4">
            <w:pPr>
              <w:pStyle w:val="12"/>
            </w:pPr>
          </w:p>
        </w:tc>
        <w:tc>
          <w:tcPr>
            <w:tcW w:w="1474" w:type="dxa"/>
            <w:vAlign w:val="center"/>
          </w:tcPr>
          <w:p w14:paraId="6E7BC480">
            <w:pPr>
              <w:pStyle w:val="11"/>
            </w:pPr>
          </w:p>
        </w:tc>
        <w:tc>
          <w:tcPr>
            <w:tcW w:w="3402" w:type="dxa"/>
            <w:vAlign w:val="center"/>
          </w:tcPr>
          <w:p w14:paraId="7261A123">
            <w:pPr>
              <w:pStyle w:val="12"/>
            </w:pPr>
            <w:r>
              <w:t>二十八、债务付息支出</w:t>
            </w:r>
          </w:p>
        </w:tc>
        <w:tc>
          <w:tcPr>
            <w:tcW w:w="1474" w:type="dxa"/>
            <w:vAlign w:val="center"/>
          </w:tcPr>
          <w:p w14:paraId="40FF35DD">
            <w:pPr>
              <w:pStyle w:val="11"/>
            </w:pPr>
          </w:p>
        </w:tc>
        <w:tc>
          <w:tcPr>
            <w:tcW w:w="1474" w:type="dxa"/>
            <w:vAlign w:val="center"/>
          </w:tcPr>
          <w:p w14:paraId="4F239145">
            <w:pPr>
              <w:pStyle w:val="11"/>
            </w:pPr>
          </w:p>
        </w:tc>
        <w:tc>
          <w:tcPr>
            <w:tcW w:w="1474" w:type="dxa"/>
            <w:vAlign w:val="center"/>
          </w:tcPr>
          <w:p w14:paraId="35C03158">
            <w:pPr>
              <w:pStyle w:val="11"/>
            </w:pPr>
          </w:p>
        </w:tc>
        <w:tc>
          <w:tcPr>
            <w:tcW w:w="1474" w:type="dxa"/>
            <w:vAlign w:val="center"/>
          </w:tcPr>
          <w:p w14:paraId="1FCC80DB">
            <w:pPr>
              <w:pStyle w:val="11"/>
            </w:pPr>
          </w:p>
        </w:tc>
      </w:tr>
      <w:tr w14:paraId="4E5E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F1E6F">
            <w:pPr>
              <w:pStyle w:val="13"/>
            </w:pPr>
            <w:r>
              <w:t>29</w:t>
            </w:r>
          </w:p>
        </w:tc>
        <w:tc>
          <w:tcPr>
            <w:tcW w:w="3402" w:type="dxa"/>
            <w:vAlign w:val="center"/>
          </w:tcPr>
          <w:p w14:paraId="127EDA34">
            <w:pPr>
              <w:pStyle w:val="12"/>
            </w:pPr>
          </w:p>
        </w:tc>
        <w:tc>
          <w:tcPr>
            <w:tcW w:w="1474" w:type="dxa"/>
            <w:vAlign w:val="center"/>
          </w:tcPr>
          <w:p w14:paraId="0B38EB8E">
            <w:pPr>
              <w:pStyle w:val="11"/>
            </w:pPr>
          </w:p>
        </w:tc>
        <w:tc>
          <w:tcPr>
            <w:tcW w:w="3402" w:type="dxa"/>
            <w:vAlign w:val="center"/>
          </w:tcPr>
          <w:p w14:paraId="009977F4">
            <w:pPr>
              <w:pStyle w:val="12"/>
            </w:pPr>
            <w:r>
              <w:t>二十九、债务发行费用支出</w:t>
            </w:r>
          </w:p>
        </w:tc>
        <w:tc>
          <w:tcPr>
            <w:tcW w:w="1474" w:type="dxa"/>
            <w:vAlign w:val="center"/>
          </w:tcPr>
          <w:p w14:paraId="0ECC4A3C">
            <w:pPr>
              <w:pStyle w:val="11"/>
            </w:pPr>
          </w:p>
        </w:tc>
        <w:tc>
          <w:tcPr>
            <w:tcW w:w="1474" w:type="dxa"/>
            <w:vAlign w:val="center"/>
          </w:tcPr>
          <w:p w14:paraId="180BE3EF">
            <w:pPr>
              <w:pStyle w:val="11"/>
            </w:pPr>
          </w:p>
        </w:tc>
        <w:tc>
          <w:tcPr>
            <w:tcW w:w="1474" w:type="dxa"/>
            <w:vAlign w:val="center"/>
          </w:tcPr>
          <w:p w14:paraId="79EBA2F7">
            <w:pPr>
              <w:pStyle w:val="11"/>
            </w:pPr>
          </w:p>
        </w:tc>
        <w:tc>
          <w:tcPr>
            <w:tcW w:w="1474" w:type="dxa"/>
            <w:vAlign w:val="center"/>
          </w:tcPr>
          <w:p w14:paraId="5855CD9A">
            <w:pPr>
              <w:pStyle w:val="11"/>
            </w:pPr>
          </w:p>
        </w:tc>
      </w:tr>
      <w:tr w14:paraId="6F51F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4A932">
            <w:pPr>
              <w:pStyle w:val="13"/>
            </w:pPr>
            <w:r>
              <w:t>30</w:t>
            </w:r>
          </w:p>
        </w:tc>
        <w:tc>
          <w:tcPr>
            <w:tcW w:w="3402" w:type="dxa"/>
            <w:vAlign w:val="center"/>
          </w:tcPr>
          <w:p w14:paraId="66396A71">
            <w:pPr>
              <w:pStyle w:val="12"/>
            </w:pPr>
          </w:p>
        </w:tc>
        <w:tc>
          <w:tcPr>
            <w:tcW w:w="1474" w:type="dxa"/>
            <w:vAlign w:val="center"/>
          </w:tcPr>
          <w:p w14:paraId="16EB83AA">
            <w:pPr>
              <w:pStyle w:val="11"/>
            </w:pPr>
          </w:p>
        </w:tc>
        <w:tc>
          <w:tcPr>
            <w:tcW w:w="3402" w:type="dxa"/>
            <w:vAlign w:val="center"/>
          </w:tcPr>
          <w:p w14:paraId="67F3473F">
            <w:pPr>
              <w:pStyle w:val="12"/>
            </w:pPr>
            <w:r>
              <w:t>三十、抗疫特别国债安排的支出</w:t>
            </w:r>
          </w:p>
        </w:tc>
        <w:tc>
          <w:tcPr>
            <w:tcW w:w="1474" w:type="dxa"/>
            <w:vAlign w:val="center"/>
          </w:tcPr>
          <w:p w14:paraId="619444BE">
            <w:pPr>
              <w:pStyle w:val="11"/>
            </w:pPr>
          </w:p>
        </w:tc>
        <w:tc>
          <w:tcPr>
            <w:tcW w:w="1474" w:type="dxa"/>
            <w:vAlign w:val="center"/>
          </w:tcPr>
          <w:p w14:paraId="27A3957E">
            <w:pPr>
              <w:pStyle w:val="11"/>
            </w:pPr>
          </w:p>
        </w:tc>
        <w:tc>
          <w:tcPr>
            <w:tcW w:w="1474" w:type="dxa"/>
            <w:vAlign w:val="center"/>
          </w:tcPr>
          <w:p w14:paraId="4C8852CE">
            <w:pPr>
              <w:pStyle w:val="11"/>
            </w:pPr>
          </w:p>
        </w:tc>
        <w:tc>
          <w:tcPr>
            <w:tcW w:w="1474" w:type="dxa"/>
            <w:vAlign w:val="center"/>
          </w:tcPr>
          <w:p w14:paraId="080C14B1">
            <w:pPr>
              <w:pStyle w:val="11"/>
            </w:pPr>
          </w:p>
        </w:tc>
      </w:tr>
      <w:tr w14:paraId="0BC8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EA961">
            <w:pPr>
              <w:pStyle w:val="13"/>
            </w:pPr>
            <w:r>
              <w:t>31</w:t>
            </w:r>
          </w:p>
        </w:tc>
        <w:tc>
          <w:tcPr>
            <w:tcW w:w="3402" w:type="dxa"/>
            <w:vAlign w:val="center"/>
          </w:tcPr>
          <w:p w14:paraId="23B9967B">
            <w:pPr>
              <w:pStyle w:val="12"/>
            </w:pPr>
          </w:p>
        </w:tc>
        <w:tc>
          <w:tcPr>
            <w:tcW w:w="1474" w:type="dxa"/>
            <w:vAlign w:val="center"/>
          </w:tcPr>
          <w:p w14:paraId="3D3C9D60">
            <w:pPr>
              <w:pStyle w:val="11"/>
            </w:pPr>
          </w:p>
        </w:tc>
        <w:tc>
          <w:tcPr>
            <w:tcW w:w="3402" w:type="dxa"/>
            <w:vAlign w:val="center"/>
          </w:tcPr>
          <w:p w14:paraId="41E3E4ED">
            <w:pPr>
              <w:pStyle w:val="12"/>
            </w:pPr>
            <w:r>
              <w:t>三十一、人行科目</w:t>
            </w:r>
          </w:p>
        </w:tc>
        <w:tc>
          <w:tcPr>
            <w:tcW w:w="1474" w:type="dxa"/>
            <w:vAlign w:val="center"/>
          </w:tcPr>
          <w:p w14:paraId="0F2D51B6">
            <w:pPr>
              <w:pStyle w:val="11"/>
            </w:pPr>
          </w:p>
        </w:tc>
        <w:tc>
          <w:tcPr>
            <w:tcW w:w="1474" w:type="dxa"/>
            <w:vAlign w:val="center"/>
          </w:tcPr>
          <w:p w14:paraId="3B00434A">
            <w:pPr>
              <w:pStyle w:val="11"/>
            </w:pPr>
          </w:p>
        </w:tc>
        <w:tc>
          <w:tcPr>
            <w:tcW w:w="1474" w:type="dxa"/>
            <w:vAlign w:val="center"/>
          </w:tcPr>
          <w:p w14:paraId="11C6E681">
            <w:pPr>
              <w:pStyle w:val="11"/>
            </w:pPr>
          </w:p>
        </w:tc>
        <w:tc>
          <w:tcPr>
            <w:tcW w:w="1474" w:type="dxa"/>
            <w:vAlign w:val="center"/>
          </w:tcPr>
          <w:p w14:paraId="271E944B">
            <w:pPr>
              <w:pStyle w:val="11"/>
            </w:pPr>
          </w:p>
        </w:tc>
      </w:tr>
      <w:tr w14:paraId="4F4F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DF669">
            <w:pPr>
              <w:pStyle w:val="13"/>
            </w:pPr>
            <w:r>
              <w:t>32</w:t>
            </w:r>
          </w:p>
        </w:tc>
        <w:tc>
          <w:tcPr>
            <w:tcW w:w="3402" w:type="dxa"/>
            <w:vAlign w:val="center"/>
          </w:tcPr>
          <w:p w14:paraId="102520D6">
            <w:pPr>
              <w:pStyle w:val="14"/>
            </w:pPr>
            <w:r>
              <w:t>本年收入合计</w:t>
            </w:r>
          </w:p>
        </w:tc>
        <w:tc>
          <w:tcPr>
            <w:tcW w:w="1474" w:type="dxa"/>
            <w:vAlign w:val="center"/>
          </w:tcPr>
          <w:p w14:paraId="759C9B71">
            <w:pPr>
              <w:pStyle w:val="15"/>
            </w:pPr>
            <w:r>
              <w:t>2820.38</w:t>
            </w:r>
          </w:p>
        </w:tc>
        <w:tc>
          <w:tcPr>
            <w:tcW w:w="3402" w:type="dxa"/>
            <w:vAlign w:val="center"/>
          </w:tcPr>
          <w:p w14:paraId="641BDC5B">
            <w:pPr>
              <w:pStyle w:val="14"/>
            </w:pPr>
            <w:r>
              <w:t>本年支出合计</w:t>
            </w:r>
          </w:p>
        </w:tc>
        <w:tc>
          <w:tcPr>
            <w:tcW w:w="1474" w:type="dxa"/>
            <w:vAlign w:val="center"/>
          </w:tcPr>
          <w:p w14:paraId="5D0632B3">
            <w:pPr>
              <w:pStyle w:val="15"/>
            </w:pPr>
            <w:r>
              <w:t>2820.38</w:t>
            </w:r>
          </w:p>
        </w:tc>
        <w:tc>
          <w:tcPr>
            <w:tcW w:w="1474" w:type="dxa"/>
            <w:vAlign w:val="center"/>
          </w:tcPr>
          <w:p w14:paraId="4A8EF1E0">
            <w:pPr>
              <w:pStyle w:val="15"/>
            </w:pPr>
            <w:r>
              <w:t>2820.38</w:t>
            </w:r>
          </w:p>
        </w:tc>
        <w:tc>
          <w:tcPr>
            <w:tcW w:w="1474" w:type="dxa"/>
            <w:vAlign w:val="center"/>
          </w:tcPr>
          <w:p w14:paraId="2E74F3CE">
            <w:pPr>
              <w:pStyle w:val="15"/>
            </w:pPr>
          </w:p>
        </w:tc>
        <w:tc>
          <w:tcPr>
            <w:tcW w:w="1474" w:type="dxa"/>
            <w:vAlign w:val="center"/>
          </w:tcPr>
          <w:p w14:paraId="61F16397">
            <w:pPr>
              <w:pStyle w:val="15"/>
            </w:pPr>
          </w:p>
        </w:tc>
      </w:tr>
      <w:tr w14:paraId="1F64FC39">
        <w:tblPrEx>
          <w:tblCellMar>
            <w:top w:w="0" w:type="dxa"/>
            <w:left w:w="108" w:type="dxa"/>
            <w:bottom w:w="0" w:type="dxa"/>
            <w:right w:w="108" w:type="dxa"/>
          </w:tblCellMar>
        </w:tblPrEx>
        <w:trPr>
          <w:trHeight w:val="369" w:hRule="atLeast"/>
          <w:jc w:val="center"/>
        </w:trPr>
        <w:tc>
          <w:tcPr>
            <w:tcW w:w="850" w:type="dxa"/>
            <w:vAlign w:val="center"/>
          </w:tcPr>
          <w:p w14:paraId="2895948A">
            <w:pPr>
              <w:pStyle w:val="13"/>
            </w:pPr>
            <w:r>
              <w:t>33</w:t>
            </w:r>
          </w:p>
        </w:tc>
        <w:tc>
          <w:tcPr>
            <w:tcW w:w="3402" w:type="dxa"/>
            <w:vAlign w:val="center"/>
          </w:tcPr>
          <w:p w14:paraId="5EB4B133">
            <w:pPr>
              <w:pStyle w:val="12"/>
            </w:pPr>
            <w:r>
              <w:t>年初财政拨款结转和结余</w:t>
            </w:r>
          </w:p>
        </w:tc>
        <w:tc>
          <w:tcPr>
            <w:tcW w:w="1474" w:type="dxa"/>
            <w:vAlign w:val="center"/>
          </w:tcPr>
          <w:p w14:paraId="789FE06F">
            <w:pPr>
              <w:pStyle w:val="11"/>
            </w:pPr>
          </w:p>
        </w:tc>
        <w:tc>
          <w:tcPr>
            <w:tcW w:w="3402" w:type="dxa"/>
            <w:vAlign w:val="center"/>
          </w:tcPr>
          <w:p w14:paraId="43F7C194">
            <w:pPr>
              <w:pStyle w:val="12"/>
            </w:pPr>
            <w:r>
              <w:t>年末财政拨款结转和结余</w:t>
            </w:r>
          </w:p>
        </w:tc>
        <w:tc>
          <w:tcPr>
            <w:tcW w:w="1474" w:type="dxa"/>
            <w:vAlign w:val="center"/>
          </w:tcPr>
          <w:p w14:paraId="40DF8AA0">
            <w:pPr>
              <w:pStyle w:val="11"/>
            </w:pPr>
          </w:p>
        </w:tc>
        <w:tc>
          <w:tcPr>
            <w:tcW w:w="1474" w:type="dxa"/>
            <w:vAlign w:val="center"/>
          </w:tcPr>
          <w:p w14:paraId="189CFB2F">
            <w:pPr>
              <w:pStyle w:val="11"/>
            </w:pPr>
          </w:p>
        </w:tc>
        <w:tc>
          <w:tcPr>
            <w:tcW w:w="1474" w:type="dxa"/>
            <w:vAlign w:val="center"/>
          </w:tcPr>
          <w:p w14:paraId="21161864">
            <w:pPr>
              <w:pStyle w:val="11"/>
            </w:pPr>
          </w:p>
        </w:tc>
        <w:tc>
          <w:tcPr>
            <w:tcW w:w="1474" w:type="dxa"/>
            <w:vAlign w:val="center"/>
          </w:tcPr>
          <w:p w14:paraId="4AE88376">
            <w:pPr>
              <w:pStyle w:val="11"/>
            </w:pPr>
          </w:p>
        </w:tc>
      </w:tr>
      <w:tr w14:paraId="71DBFB83">
        <w:tblPrEx>
          <w:tblCellMar>
            <w:top w:w="0" w:type="dxa"/>
            <w:left w:w="108" w:type="dxa"/>
            <w:bottom w:w="0" w:type="dxa"/>
            <w:right w:w="108" w:type="dxa"/>
          </w:tblCellMar>
        </w:tblPrEx>
        <w:trPr>
          <w:trHeight w:val="369" w:hRule="atLeast"/>
          <w:jc w:val="center"/>
        </w:trPr>
        <w:tc>
          <w:tcPr>
            <w:tcW w:w="850" w:type="dxa"/>
            <w:vAlign w:val="center"/>
          </w:tcPr>
          <w:p w14:paraId="218F581C">
            <w:pPr>
              <w:pStyle w:val="13"/>
            </w:pPr>
            <w:r>
              <w:t>34</w:t>
            </w:r>
          </w:p>
        </w:tc>
        <w:tc>
          <w:tcPr>
            <w:tcW w:w="3402" w:type="dxa"/>
            <w:vAlign w:val="center"/>
          </w:tcPr>
          <w:p w14:paraId="3E27D87F">
            <w:pPr>
              <w:pStyle w:val="12"/>
            </w:pPr>
            <w:r>
              <w:t>一、一般公共预算拨款</w:t>
            </w:r>
          </w:p>
        </w:tc>
        <w:tc>
          <w:tcPr>
            <w:tcW w:w="1474" w:type="dxa"/>
            <w:vAlign w:val="center"/>
          </w:tcPr>
          <w:p w14:paraId="08ADA8D8">
            <w:pPr>
              <w:pStyle w:val="11"/>
            </w:pPr>
          </w:p>
        </w:tc>
        <w:tc>
          <w:tcPr>
            <w:tcW w:w="3402" w:type="dxa"/>
            <w:vAlign w:val="center"/>
          </w:tcPr>
          <w:p w14:paraId="5D877631">
            <w:pPr>
              <w:pStyle w:val="12"/>
            </w:pPr>
          </w:p>
        </w:tc>
        <w:tc>
          <w:tcPr>
            <w:tcW w:w="1474" w:type="dxa"/>
            <w:vAlign w:val="center"/>
          </w:tcPr>
          <w:p w14:paraId="4DBB3C0F">
            <w:pPr>
              <w:pStyle w:val="11"/>
            </w:pPr>
          </w:p>
        </w:tc>
        <w:tc>
          <w:tcPr>
            <w:tcW w:w="1474" w:type="dxa"/>
            <w:vAlign w:val="center"/>
          </w:tcPr>
          <w:p w14:paraId="035C91C1">
            <w:pPr>
              <w:pStyle w:val="11"/>
            </w:pPr>
          </w:p>
        </w:tc>
        <w:tc>
          <w:tcPr>
            <w:tcW w:w="1474" w:type="dxa"/>
            <w:vAlign w:val="center"/>
          </w:tcPr>
          <w:p w14:paraId="2AE92F4A">
            <w:pPr>
              <w:pStyle w:val="11"/>
            </w:pPr>
          </w:p>
        </w:tc>
        <w:tc>
          <w:tcPr>
            <w:tcW w:w="1474" w:type="dxa"/>
            <w:vAlign w:val="center"/>
          </w:tcPr>
          <w:p w14:paraId="27EA46F1">
            <w:pPr>
              <w:pStyle w:val="11"/>
            </w:pPr>
          </w:p>
        </w:tc>
      </w:tr>
      <w:tr w14:paraId="5A669279">
        <w:tblPrEx>
          <w:tblCellMar>
            <w:top w:w="0" w:type="dxa"/>
            <w:left w:w="108" w:type="dxa"/>
            <w:bottom w:w="0" w:type="dxa"/>
            <w:right w:w="108" w:type="dxa"/>
          </w:tblCellMar>
        </w:tblPrEx>
        <w:trPr>
          <w:trHeight w:val="369" w:hRule="atLeast"/>
          <w:jc w:val="center"/>
        </w:trPr>
        <w:tc>
          <w:tcPr>
            <w:tcW w:w="850" w:type="dxa"/>
            <w:vAlign w:val="center"/>
          </w:tcPr>
          <w:p w14:paraId="0F92C65E">
            <w:pPr>
              <w:pStyle w:val="13"/>
            </w:pPr>
            <w:r>
              <w:t>35</w:t>
            </w:r>
          </w:p>
        </w:tc>
        <w:tc>
          <w:tcPr>
            <w:tcW w:w="3402" w:type="dxa"/>
            <w:vAlign w:val="center"/>
          </w:tcPr>
          <w:p w14:paraId="639E6F69">
            <w:pPr>
              <w:pStyle w:val="12"/>
            </w:pPr>
            <w:r>
              <w:t>二、政府性基金预算拨款</w:t>
            </w:r>
          </w:p>
        </w:tc>
        <w:tc>
          <w:tcPr>
            <w:tcW w:w="1474" w:type="dxa"/>
            <w:vAlign w:val="center"/>
          </w:tcPr>
          <w:p w14:paraId="07194FF3">
            <w:pPr>
              <w:pStyle w:val="11"/>
            </w:pPr>
          </w:p>
        </w:tc>
        <w:tc>
          <w:tcPr>
            <w:tcW w:w="3402" w:type="dxa"/>
            <w:vAlign w:val="center"/>
          </w:tcPr>
          <w:p w14:paraId="6BF3FEC7">
            <w:pPr>
              <w:pStyle w:val="12"/>
            </w:pPr>
          </w:p>
        </w:tc>
        <w:tc>
          <w:tcPr>
            <w:tcW w:w="1474" w:type="dxa"/>
            <w:vAlign w:val="center"/>
          </w:tcPr>
          <w:p w14:paraId="3B795FDA">
            <w:pPr>
              <w:pStyle w:val="11"/>
            </w:pPr>
          </w:p>
        </w:tc>
        <w:tc>
          <w:tcPr>
            <w:tcW w:w="1474" w:type="dxa"/>
            <w:vAlign w:val="center"/>
          </w:tcPr>
          <w:p w14:paraId="16F06B1D">
            <w:pPr>
              <w:pStyle w:val="11"/>
            </w:pPr>
          </w:p>
        </w:tc>
        <w:tc>
          <w:tcPr>
            <w:tcW w:w="1474" w:type="dxa"/>
            <w:vAlign w:val="center"/>
          </w:tcPr>
          <w:p w14:paraId="347CC24F">
            <w:pPr>
              <w:pStyle w:val="11"/>
            </w:pPr>
          </w:p>
        </w:tc>
        <w:tc>
          <w:tcPr>
            <w:tcW w:w="1474" w:type="dxa"/>
            <w:vAlign w:val="center"/>
          </w:tcPr>
          <w:p w14:paraId="46E47C25">
            <w:pPr>
              <w:pStyle w:val="11"/>
            </w:pPr>
          </w:p>
        </w:tc>
      </w:tr>
      <w:tr w14:paraId="1EE7E812">
        <w:tblPrEx>
          <w:tblCellMar>
            <w:top w:w="0" w:type="dxa"/>
            <w:left w:w="108" w:type="dxa"/>
            <w:bottom w:w="0" w:type="dxa"/>
            <w:right w:w="108" w:type="dxa"/>
          </w:tblCellMar>
        </w:tblPrEx>
        <w:trPr>
          <w:trHeight w:val="369" w:hRule="atLeast"/>
          <w:jc w:val="center"/>
        </w:trPr>
        <w:tc>
          <w:tcPr>
            <w:tcW w:w="850" w:type="dxa"/>
            <w:vAlign w:val="center"/>
          </w:tcPr>
          <w:p w14:paraId="6117D2FC">
            <w:pPr>
              <w:pStyle w:val="13"/>
            </w:pPr>
            <w:r>
              <w:t>36</w:t>
            </w:r>
          </w:p>
        </w:tc>
        <w:tc>
          <w:tcPr>
            <w:tcW w:w="3402" w:type="dxa"/>
            <w:vAlign w:val="center"/>
          </w:tcPr>
          <w:p w14:paraId="2F37A299">
            <w:pPr>
              <w:pStyle w:val="12"/>
            </w:pPr>
            <w:r>
              <w:t>三、国有资本经营预算拨款</w:t>
            </w:r>
          </w:p>
        </w:tc>
        <w:tc>
          <w:tcPr>
            <w:tcW w:w="1474" w:type="dxa"/>
            <w:vAlign w:val="center"/>
          </w:tcPr>
          <w:p w14:paraId="575B6C7A">
            <w:pPr>
              <w:pStyle w:val="11"/>
            </w:pPr>
          </w:p>
        </w:tc>
        <w:tc>
          <w:tcPr>
            <w:tcW w:w="3402" w:type="dxa"/>
            <w:vAlign w:val="center"/>
          </w:tcPr>
          <w:p w14:paraId="688C0AF9">
            <w:pPr>
              <w:pStyle w:val="12"/>
            </w:pPr>
          </w:p>
        </w:tc>
        <w:tc>
          <w:tcPr>
            <w:tcW w:w="1474" w:type="dxa"/>
            <w:vAlign w:val="center"/>
          </w:tcPr>
          <w:p w14:paraId="4DBCFDD9">
            <w:pPr>
              <w:pStyle w:val="11"/>
            </w:pPr>
          </w:p>
        </w:tc>
        <w:tc>
          <w:tcPr>
            <w:tcW w:w="1474" w:type="dxa"/>
            <w:vAlign w:val="center"/>
          </w:tcPr>
          <w:p w14:paraId="0D0DA83E">
            <w:pPr>
              <w:pStyle w:val="11"/>
            </w:pPr>
          </w:p>
        </w:tc>
        <w:tc>
          <w:tcPr>
            <w:tcW w:w="1474" w:type="dxa"/>
            <w:vAlign w:val="center"/>
          </w:tcPr>
          <w:p w14:paraId="1C37E364">
            <w:pPr>
              <w:pStyle w:val="11"/>
            </w:pPr>
          </w:p>
        </w:tc>
        <w:tc>
          <w:tcPr>
            <w:tcW w:w="1474" w:type="dxa"/>
            <w:vAlign w:val="center"/>
          </w:tcPr>
          <w:p w14:paraId="06A843A2">
            <w:pPr>
              <w:pStyle w:val="11"/>
            </w:pPr>
          </w:p>
        </w:tc>
      </w:tr>
      <w:tr w14:paraId="6ECA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85B21">
            <w:pPr>
              <w:pStyle w:val="13"/>
            </w:pPr>
            <w:r>
              <w:t>37</w:t>
            </w:r>
          </w:p>
        </w:tc>
        <w:tc>
          <w:tcPr>
            <w:tcW w:w="3402" w:type="dxa"/>
            <w:vAlign w:val="center"/>
          </w:tcPr>
          <w:p w14:paraId="716F8F95">
            <w:pPr>
              <w:pStyle w:val="14"/>
            </w:pPr>
            <w:r>
              <w:t>收入总计</w:t>
            </w:r>
          </w:p>
        </w:tc>
        <w:tc>
          <w:tcPr>
            <w:tcW w:w="1474" w:type="dxa"/>
            <w:vAlign w:val="center"/>
          </w:tcPr>
          <w:p w14:paraId="18EBD6A1">
            <w:pPr>
              <w:pStyle w:val="15"/>
            </w:pPr>
            <w:r>
              <w:t>2820.38</w:t>
            </w:r>
          </w:p>
        </w:tc>
        <w:tc>
          <w:tcPr>
            <w:tcW w:w="3402" w:type="dxa"/>
            <w:vAlign w:val="center"/>
          </w:tcPr>
          <w:p w14:paraId="34CEFD4A">
            <w:pPr>
              <w:pStyle w:val="14"/>
            </w:pPr>
            <w:r>
              <w:t>支出总计</w:t>
            </w:r>
          </w:p>
        </w:tc>
        <w:tc>
          <w:tcPr>
            <w:tcW w:w="1474" w:type="dxa"/>
            <w:vAlign w:val="center"/>
          </w:tcPr>
          <w:p w14:paraId="54A5F224">
            <w:pPr>
              <w:pStyle w:val="15"/>
            </w:pPr>
            <w:r>
              <w:t>2820.38</w:t>
            </w:r>
          </w:p>
        </w:tc>
        <w:tc>
          <w:tcPr>
            <w:tcW w:w="1474" w:type="dxa"/>
            <w:vAlign w:val="center"/>
          </w:tcPr>
          <w:p w14:paraId="51DCD7F9">
            <w:pPr>
              <w:pStyle w:val="15"/>
            </w:pPr>
            <w:r>
              <w:t>2820.38</w:t>
            </w:r>
          </w:p>
        </w:tc>
        <w:tc>
          <w:tcPr>
            <w:tcW w:w="1474" w:type="dxa"/>
            <w:vAlign w:val="center"/>
          </w:tcPr>
          <w:p w14:paraId="6C41DFD8">
            <w:pPr>
              <w:pStyle w:val="15"/>
            </w:pPr>
          </w:p>
        </w:tc>
        <w:tc>
          <w:tcPr>
            <w:tcW w:w="1474" w:type="dxa"/>
            <w:vAlign w:val="center"/>
          </w:tcPr>
          <w:p w14:paraId="69EBCB5F">
            <w:pPr>
              <w:pStyle w:val="15"/>
            </w:pPr>
          </w:p>
        </w:tc>
      </w:tr>
    </w:tbl>
    <w:p w14:paraId="61CFA30C">
      <w:pPr>
        <w:sectPr>
          <w:pgSz w:w="16840" w:h="11900" w:orient="landscape"/>
          <w:pgMar w:top="1361" w:right="1020" w:bottom="1134" w:left="1020" w:header="720" w:footer="720" w:gutter="0"/>
          <w:cols w:space="720" w:num="1"/>
        </w:sectPr>
      </w:pPr>
    </w:p>
    <w:p w14:paraId="080D39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0B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2D7E54">
            <w:pPr>
              <w:pStyle w:val="9"/>
            </w:pPr>
            <w:r>
              <w:t>360023隆尧县固城校区</w:t>
            </w:r>
          </w:p>
        </w:tc>
        <w:tc>
          <w:tcPr>
            <w:tcW w:w="2551" w:type="dxa"/>
            <w:tcBorders>
              <w:top w:val="single" w:color="FFFFFF" w:sz="6" w:space="0"/>
              <w:left w:val="single" w:color="FFFFFF" w:sz="6" w:space="0"/>
              <w:right w:val="single" w:color="FFFFFF" w:sz="6" w:space="0"/>
            </w:tcBorders>
            <w:vAlign w:val="center"/>
          </w:tcPr>
          <w:p w14:paraId="12C80F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52E13E">
            <w:pPr>
              <w:pStyle w:val="7"/>
            </w:pPr>
            <w:r>
              <w:t>单位：万元</w:t>
            </w:r>
          </w:p>
        </w:tc>
      </w:tr>
      <w:tr w14:paraId="7CA56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CC597">
            <w:pPr>
              <w:pStyle w:val="10"/>
            </w:pPr>
            <w:r>
              <w:t>序号</w:t>
            </w:r>
          </w:p>
        </w:tc>
        <w:tc>
          <w:tcPr>
            <w:tcW w:w="5726" w:type="dxa"/>
            <w:gridSpan w:val="2"/>
            <w:vAlign w:val="center"/>
          </w:tcPr>
          <w:p w14:paraId="6708E5EF">
            <w:pPr>
              <w:pStyle w:val="10"/>
            </w:pPr>
            <w:r>
              <w:t>功能分类科目</w:t>
            </w:r>
          </w:p>
        </w:tc>
        <w:tc>
          <w:tcPr>
            <w:tcW w:w="2551" w:type="dxa"/>
            <w:vMerge w:val="restart"/>
            <w:vAlign w:val="center"/>
          </w:tcPr>
          <w:p w14:paraId="27F96A7D">
            <w:pPr>
              <w:pStyle w:val="10"/>
            </w:pPr>
            <w:r>
              <w:t>合计</w:t>
            </w:r>
          </w:p>
        </w:tc>
        <w:tc>
          <w:tcPr>
            <w:tcW w:w="2551" w:type="dxa"/>
            <w:vMerge w:val="restart"/>
            <w:vAlign w:val="center"/>
          </w:tcPr>
          <w:p w14:paraId="705A3795">
            <w:pPr>
              <w:pStyle w:val="10"/>
            </w:pPr>
            <w:r>
              <w:t>基本支出</w:t>
            </w:r>
          </w:p>
        </w:tc>
        <w:tc>
          <w:tcPr>
            <w:tcW w:w="2551" w:type="dxa"/>
            <w:vMerge w:val="restart"/>
            <w:vAlign w:val="center"/>
          </w:tcPr>
          <w:p w14:paraId="150653AF">
            <w:pPr>
              <w:pStyle w:val="10"/>
            </w:pPr>
            <w:r>
              <w:t>项目支出</w:t>
            </w:r>
          </w:p>
        </w:tc>
      </w:tr>
      <w:tr w14:paraId="34FC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E71D08"/>
        </w:tc>
        <w:tc>
          <w:tcPr>
            <w:tcW w:w="1191" w:type="dxa"/>
            <w:vAlign w:val="center"/>
          </w:tcPr>
          <w:p w14:paraId="3DD195FD">
            <w:pPr>
              <w:pStyle w:val="10"/>
            </w:pPr>
            <w:r>
              <w:t>科目编码</w:t>
            </w:r>
          </w:p>
        </w:tc>
        <w:tc>
          <w:tcPr>
            <w:tcW w:w="4535" w:type="dxa"/>
            <w:vAlign w:val="center"/>
          </w:tcPr>
          <w:p w14:paraId="35DCC98D">
            <w:pPr>
              <w:pStyle w:val="10"/>
            </w:pPr>
            <w:r>
              <w:t>科目名称</w:t>
            </w:r>
          </w:p>
        </w:tc>
        <w:tc>
          <w:tcPr>
            <w:tcW w:w="2551" w:type="dxa"/>
            <w:vMerge w:val="continue"/>
          </w:tcPr>
          <w:p w14:paraId="53E34F97"/>
        </w:tc>
        <w:tc>
          <w:tcPr>
            <w:tcW w:w="2551" w:type="dxa"/>
            <w:vMerge w:val="continue"/>
          </w:tcPr>
          <w:p w14:paraId="043568D6"/>
        </w:tc>
        <w:tc>
          <w:tcPr>
            <w:tcW w:w="2551" w:type="dxa"/>
            <w:vMerge w:val="continue"/>
          </w:tcPr>
          <w:p w14:paraId="0BE92431"/>
        </w:tc>
      </w:tr>
      <w:tr w14:paraId="64B6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35186">
            <w:pPr>
              <w:pStyle w:val="10"/>
            </w:pPr>
            <w:r>
              <w:t>栏次</w:t>
            </w:r>
          </w:p>
        </w:tc>
        <w:tc>
          <w:tcPr>
            <w:tcW w:w="1191" w:type="dxa"/>
            <w:vAlign w:val="center"/>
          </w:tcPr>
          <w:p w14:paraId="0E6F30E8">
            <w:pPr>
              <w:pStyle w:val="10"/>
            </w:pPr>
            <w:r>
              <w:t>1</w:t>
            </w:r>
          </w:p>
        </w:tc>
        <w:tc>
          <w:tcPr>
            <w:tcW w:w="4535" w:type="dxa"/>
            <w:vAlign w:val="center"/>
          </w:tcPr>
          <w:p w14:paraId="20278859">
            <w:pPr>
              <w:pStyle w:val="10"/>
            </w:pPr>
            <w:r>
              <w:t>2</w:t>
            </w:r>
          </w:p>
        </w:tc>
        <w:tc>
          <w:tcPr>
            <w:tcW w:w="2551" w:type="dxa"/>
            <w:vAlign w:val="center"/>
          </w:tcPr>
          <w:p w14:paraId="5F5CB751">
            <w:pPr>
              <w:pStyle w:val="10"/>
            </w:pPr>
            <w:r>
              <w:t>3</w:t>
            </w:r>
          </w:p>
        </w:tc>
        <w:tc>
          <w:tcPr>
            <w:tcW w:w="2551" w:type="dxa"/>
            <w:vAlign w:val="center"/>
          </w:tcPr>
          <w:p w14:paraId="38CCB88D">
            <w:pPr>
              <w:pStyle w:val="10"/>
            </w:pPr>
            <w:r>
              <w:t>4</w:t>
            </w:r>
          </w:p>
        </w:tc>
        <w:tc>
          <w:tcPr>
            <w:tcW w:w="2551" w:type="dxa"/>
            <w:vAlign w:val="center"/>
          </w:tcPr>
          <w:p w14:paraId="1E7F1411">
            <w:pPr>
              <w:pStyle w:val="10"/>
            </w:pPr>
            <w:r>
              <w:t>5</w:t>
            </w:r>
          </w:p>
        </w:tc>
      </w:tr>
      <w:tr w14:paraId="0E5F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6C9A7">
            <w:pPr>
              <w:pStyle w:val="13"/>
            </w:pPr>
            <w:r>
              <w:t>1</w:t>
            </w:r>
          </w:p>
        </w:tc>
        <w:tc>
          <w:tcPr>
            <w:tcW w:w="1191" w:type="dxa"/>
            <w:vAlign w:val="center"/>
          </w:tcPr>
          <w:p w14:paraId="359C7E87">
            <w:pPr>
              <w:pStyle w:val="16"/>
            </w:pPr>
          </w:p>
        </w:tc>
        <w:tc>
          <w:tcPr>
            <w:tcW w:w="4535" w:type="dxa"/>
            <w:vAlign w:val="center"/>
          </w:tcPr>
          <w:p w14:paraId="6980F9E6">
            <w:pPr>
              <w:pStyle w:val="14"/>
            </w:pPr>
            <w:r>
              <w:t>合计</w:t>
            </w:r>
          </w:p>
        </w:tc>
        <w:tc>
          <w:tcPr>
            <w:tcW w:w="2551" w:type="dxa"/>
            <w:vAlign w:val="center"/>
          </w:tcPr>
          <w:p w14:paraId="776A4254">
            <w:pPr>
              <w:pStyle w:val="15"/>
            </w:pPr>
            <w:r>
              <w:t>2820.38</w:t>
            </w:r>
          </w:p>
        </w:tc>
        <w:tc>
          <w:tcPr>
            <w:tcW w:w="2551" w:type="dxa"/>
            <w:vAlign w:val="center"/>
          </w:tcPr>
          <w:p w14:paraId="7D28AE89">
            <w:pPr>
              <w:pStyle w:val="15"/>
            </w:pPr>
            <w:r>
              <w:t>2106.85</w:t>
            </w:r>
          </w:p>
        </w:tc>
        <w:tc>
          <w:tcPr>
            <w:tcW w:w="2551" w:type="dxa"/>
            <w:vAlign w:val="center"/>
          </w:tcPr>
          <w:p w14:paraId="10159B3F">
            <w:pPr>
              <w:pStyle w:val="15"/>
            </w:pPr>
            <w:r>
              <w:t>713.54</w:t>
            </w:r>
          </w:p>
        </w:tc>
      </w:tr>
      <w:tr w14:paraId="6CAF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4EB13">
            <w:pPr>
              <w:pStyle w:val="13"/>
            </w:pPr>
            <w:r>
              <w:t>2</w:t>
            </w:r>
          </w:p>
        </w:tc>
        <w:tc>
          <w:tcPr>
            <w:tcW w:w="1191" w:type="dxa"/>
            <w:vAlign w:val="center"/>
          </w:tcPr>
          <w:p w14:paraId="3A24C524">
            <w:pPr>
              <w:pStyle w:val="12"/>
            </w:pPr>
            <w:r>
              <w:t>205</w:t>
            </w:r>
          </w:p>
        </w:tc>
        <w:tc>
          <w:tcPr>
            <w:tcW w:w="4535" w:type="dxa"/>
            <w:vAlign w:val="center"/>
          </w:tcPr>
          <w:p w14:paraId="7625B7E7">
            <w:pPr>
              <w:pStyle w:val="12"/>
            </w:pPr>
            <w:r>
              <w:t>教育支出</w:t>
            </w:r>
          </w:p>
        </w:tc>
        <w:tc>
          <w:tcPr>
            <w:tcW w:w="2551" w:type="dxa"/>
            <w:vAlign w:val="center"/>
          </w:tcPr>
          <w:p w14:paraId="438993D7">
            <w:pPr>
              <w:pStyle w:val="11"/>
            </w:pPr>
            <w:r>
              <w:t>2820.38</w:t>
            </w:r>
          </w:p>
        </w:tc>
        <w:tc>
          <w:tcPr>
            <w:tcW w:w="2551" w:type="dxa"/>
            <w:vAlign w:val="center"/>
          </w:tcPr>
          <w:p w14:paraId="6F960B89">
            <w:pPr>
              <w:pStyle w:val="11"/>
            </w:pPr>
            <w:r>
              <w:t>2106.85</w:t>
            </w:r>
          </w:p>
        </w:tc>
        <w:tc>
          <w:tcPr>
            <w:tcW w:w="2551" w:type="dxa"/>
            <w:vAlign w:val="center"/>
          </w:tcPr>
          <w:p w14:paraId="669AF387">
            <w:pPr>
              <w:pStyle w:val="11"/>
            </w:pPr>
            <w:r>
              <w:t>713.54</w:t>
            </w:r>
          </w:p>
        </w:tc>
      </w:tr>
      <w:tr w14:paraId="2569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EDB2">
            <w:pPr>
              <w:pStyle w:val="13"/>
            </w:pPr>
            <w:r>
              <w:t>3</w:t>
            </w:r>
          </w:p>
        </w:tc>
        <w:tc>
          <w:tcPr>
            <w:tcW w:w="1191" w:type="dxa"/>
            <w:vAlign w:val="center"/>
          </w:tcPr>
          <w:p w14:paraId="4BC0239B">
            <w:pPr>
              <w:pStyle w:val="12"/>
            </w:pPr>
            <w:r>
              <w:t>20502</w:t>
            </w:r>
          </w:p>
        </w:tc>
        <w:tc>
          <w:tcPr>
            <w:tcW w:w="4535" w:type="dxa"/>
            <w:vAlign w:val="center"/>
          </w:tcPr>
          <w:p w14:paraId="4BEF84E9">
            <w:pPr>
              <w:pStyle w:val="12"/>
            </w:pPr>
            <w:r>
              <w:t>普通教育</w:t>
            </w:r>
          </w:p>
        </w:tc>
        <w:tc>
          <w:tcPr>
            <w:tcW w:w="2551" w:type="dxa"/>
            <w:vAlign w:val="center"/>
          </w:tcPr>
          <w:p w14:paraId="283872CC">
            <w:pPr>
              <w:pStyle w:val="11"/>
            </w:pPr>
            <w:r>
              <w:t>2820.38</w:t>
            </w:r>
          </w:p>
        </w:tc>
        <w:tc>
          <w:tcPr>
            <w:tcW w:w="2551" w:type="dxa"/>
            <w:vAlign w:val="center"/>
          </w:tcPr>
          <w:p w14:paraId="05B575AC">
            <w:pPr>
              <w:pStyle w:val="11"/>
            </w:pPr>
            <w:r>
              <w:t>2106.85</w:t>
            </w:r>
          </w:p>
        </w:tc>
        <w:tc>
          <w:tcPr>
            <w:tcW w:w="2551" w:type="dxa"/>
            <w:vAlign w:val="center"/>
          </w:tcPr>
          <w:p w14:paraId="53E1355F">
            <w:pPr>
              <w:pStyle w:val="11"/>
            </w:pPr>
            <w:r>
              <w:t>713.54</w:t>
            </w:r>
          </w:p>
        </w:tc>
      </w:tr>
      <w:tr w14:paraId="1F5E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6A639">
            <w:pPr>
              <w:pStyle w:val="13"/>
            </w:pPr>
            <w:r>
              <w:t>4</w:t>
            </w:r>
          </w:p>
        </w:tc>
        <w:tc>
          <w:tcPr>
            <w:tcW w:w="1191" w:type="dxa"/>
            <w:vAlign w:val="center"/>
          </w:tcPr>
          <w:p w14:paraId="512DC205">
            <w:pPr>
              <w:pStyle w:val="12"/>
            </w:pPr>
            <w:r>
              <w:t>2050201</w:t>
            </w:r>
          </w:p>
        </w:tc>
        <w:tc>
          <w:tcPr>
            <w:tcW w:w="4535" w:type="dxa"/>
            <w:vAlign w:val="center"/>
          </w:tcPr>
          <w:p w14:paraId="4A3C5B7B">
            <w:pPr>
              <w:pStyle w:val="12"/>
            </w:pPr>
            <w:r>
              <w:t>学前教育</w:t>
            </w:r>
          </w:p>
        </w:tc>
        <w:tc>
          <w:tcPr>
            <w:tcW w:w="2551" w:type="dxa"/>
            <w:vAlign w:val="center"/>
          </w:tcPr>
          <w:p w14:paraId="37FE89C1">
            <w:pPr>
              <w:pStyle w:val="11"/>
            </w:pPr>
            <w:r>
              <w:t>172.81</w:t>
            </w:r>
          </w:p>
        </w:tc>
        <w:tc>
          <w:tcPr>
            <w:tcW w:w="2551" w:type="dxa"/>
            <w:vAlign w:val="center"/>
          </w:tcPr>
          <w:p w14:paraId="3CEC2A36">
            <w:pPr>
              <w:pStyle w:val="11"/>
            </w:pPr>
          </w:p>
        </w:tc>
        <w:tc>
          <w:tcPr>
            <w:tcW w:w="2551" w:type="dxa"/>
            <w:vAlign w:val="center"/>
          </w:tcPr>
          <w:p w14:paraId="585D2916">
            <w:pPr>
              <w:pStyle w:val="11"/>
            </w:pPr>
            <w:r>
              <w:t>172.81</w:t>
            </w:r>
          </w:p>
        </w:tc>
      </w:tr>
      <w:tr w14:paraId="3412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467FD">
            <w:pPr>
              <w:pStyle w:val="13"/>
            </w:pPr>
            <w:r>
              <w:t>5</w:t>
            </w:r>
          </w:p>
        </w:tc>
        <w:tc>
          <w:tcPr>
            <w:tcW w:w="1191" w:type="dxa"/>
            <w:vAlign w:val="center"/>
          </w:tcPr>
          <w:p w14:paraId="09EAD69D">
            <w:pPr>
              <w:pStyle w:val="12"/>
            </w:pPr>
            <w:r>
              <w:t>2050202</w:t>
            </w:r>
          </w:p>
        </w:tc>
        <w:tc>
          <w:tcPr>
            <w:tcW w:w="4535" w:type="dxa"/>
            <w:vAlign w:val="center"/>
          </w:tcPr>
          <w:p w14:paraId="69E9E960">
            <w:pPr>
              <w:pStyle w:val="12"/>
            </w:pPr>
            <w:r>
              <w:t>小学教育</w:t>
            </w:r>
          </w:p>
        </w:tc>
        <w:tc>
          <w:tcPr>
            <w:tcW w:w="2551" w:type="dxa"/>
            <w:vAlign w:val="center"/>
          </w:tcPr>
          <w:p w14:paraId="67F0B9DD">
            <w:pPr>
              <w:pStyle w:val="11"/>
            </w:pPr>
            <w:r>
              <w:t>2647.57</w:t>
            </w:r>
          </w:p>
        </w:tc>
        <w:tc>
          <w:tcPr>
            <w:tcW w:w="2551" w:type="dxa"/>
            <w:vAlign w:val="center"/>
          </w:tcPr>
          <w:p w14:paraId="1FC8DD87">
            <w:pPr>
              <w:pStyle w:val="11"/>
            </w:pPr>
            <w:r>
              <w:t>2106.85</w:t>
            </w:r>
          </w:p>
        </w:tc>
        <w:tc>
          <w:tcPr>
            <w:tcW w:w="2551" w:type="dxa"/>
            <w:vAlign w:val="center"/>
          </w:tcPr>
          <w:p w14:paraId="525BBD5D">
            <w:pPr>
              <w:pStyle w:val="11"/>
            </w:pPr>
            <w:r>
              <w:t>540.73</w:t>
            </w:r>
          </w:p>
        </w:tc>
      </w:tr>
    </w:tbl>
    <w:p w14:paraId="5D621595">
      <w:pPr>
        <w:sectPr>
          <w:pgSz w:w="16840" w:h="11900" w:orient="landscape"/>
          <w:pgMar w:top="1361" w:right="1020" w:bottom="1134" w:left="1020" w:header="720" w:footer="720" w:gutter="0"/>
          <w:cols w:space="720" w:num="1"/>
        </w:sectPr>
      </w:pPr>
    </w:p>
    <w:p w14:paraId="6FF8B4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FC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782A55">
            <w:pPr>
              <w:pStyle w:val="9"/>
            </w:pPr>
            <w:r>
              <w:t>360023隆尧县固城校区</w:t>
            </w:r>
          </w:p>
        </w:tc>
        <w:tc>
          <w:tcPr>
            <w:tcW w:w="2551" w:type="dxa"/>
            <w:tcBorders>
              <w:top w:val="single" w:color="FFFFFF" w:sz="6" w:space="0"/>
              <w:left w:val="single" w:color="FFFFFF" w:sz="6" w:space="0"/>
              <w:right w:val="single" w:color="FFFFFF" w:sz="6" w:space="0"/>
            </w:tcBorders>
            <w:vAlign w:val="center"/>
          </w:tcPr>
          <w:p w14:paraId="0A04C3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30ECF9">
            <w:pPr>
              <w:pStyle w:val="7"/>
            </w:pPr>
            <w:r>
              <w:t>单位：万元</w:t>
            </w:r>
          </w:p>
        </w:tc>
      </w:tr>
      <w:tr w14:paraId="3B51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31AEC">
            <w:pPr>
              <w:pStyle w:val="10"/>
            </w:pPr>
            <w:r>
              <w:t>序号</w:t>
            </w:r>
          </w:p>
        </w:tc>
        <w:tc>
          <w:tcPr>
            <w:tcW w:w="5726" w:type="dxa"/>
            <w:gridSpan w:val="2"/>
            <w:vAlign w:val="center"/>
          </w:tcPr>
          <w:p w14:paraId="3CCDCCE1">
            <w:pPr>
              <w:pStyle w:val="10"/>
            </w:pPr>
            <w:r>
              <w:t>支出部门经济分类科目</w:t>
            </w:r>
          </w:p>
        </w:tc>
        <w:tc>
          <w:tcPr>
            <w:tcW w:w="7653" w:type="dxa"/>
            <w:gridSpan w:val="3"/>
            <w:vAlign w:val="center"/>
          </w:tcPr>
          <w:p w14:paraId="5BAA66E9">
            <w:pPr>
              <w:pStyle w:val="10"/>
            </w:pPr>
            <w:r>
              <w:t>一般公共预算基本支出</w:t>
            </w:r>
          </w:p>
        </w:tc>
      </w:tr>
      <w:tr w14:paraId="76D2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452C2"/>
        </w:tc>
        <w:tc>
          <w:tcPr>
            <w:tcW w:w="1191" w:type="dxa"/>
            <w:vAlign w:val="center"/>
          </w:tcPr>
          <w:p w14:paraId="20C251E0">
            <w:pPr>
              <w:pStyle w:val="10"/>
            </w:pPr>
            <w:r>
              <w:t>科目编码</w:t>
            </w:r>
          </w:p>
        </w:tc>
        <w:tc>
          <w:tcPr>
            <w:tcW w:w="4535" w:type="dxa"/>
            <w:vAlign w:val="center"/>
          </w:tcPr>
          <w:p w14:paraId="5D5A1D0F">
            <w:pPr>
              <w:pStyle w:val="10"/>
            </w:pPr>
            <w:r>
              <w:t>科目名称</w:t>
            </w:r>
          </w:p>
        </w:tc>
        <w:tc>
          <w:tcPr>
            <w:tcW w:w="2551" w:type="dxa"/>
            <w:vAlign w:val="center"/>
          </w:tcPr>
          <w:p w14:paraId="08E90C34">
            <w:pPr>
              <w:pStyle w:val="10"/>
            </w:pPr>
            <w:r>
              <w:t>合计</w:t>
            </w:r>
          </w:p>
        </w:tc>
        <w:tc>
          <w:tcPr>
            <w:tcW w:w="2551" w:type="dxa"/>
            <w:vAlign w:val="center"/>
          </w:tcPr>
          <w:p w14:paraId="44B953AA">
            <w:pPr>
              <w:pStyle w:val="10"/>
            </w:pPr>
            <w:r>
              <w:t>人员经费</w:t>
            </w:r>
          </w:p>
        </w:tc>
        <w:tc>
          <w:tcPr>
            <w:tcW w:w="2551" w:type="dxa"/>
            <w:vAlign w:val="center"/>
          </w:tcPr>
          <w:p w14:paraId="49430D3D">
            <w:pPr>
              <w:pStyle w:val="10"/>
            </w:pPr>
            <w:r>
              <w:t>公用经费</w:t>
            </w:r>
          </w:p>
        </w:tc>
      </w:tr>
      <w:tr w14:paraId="1395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58BB9B">
            <w:pPr>
              <w:pStyle w:val="10"/>
            </w:pPr>
            <w:r>
              <w:t>栏次</w:t>
            </w:r>
          </w:p>
        </w:tc>
        <w:tc>
          <w:tcPr>
            <w:tcW w:w="1191" w:type="dxa"/>
            <w:vAlign w:val="center"/>
          </w:tcPr>
          <w:p w14:paraId="4908663E">
            <w:pPr>
              <w:pStyle w:val="10"/>
            </w:pPr>
            <w:r>
              <w:t>1</w:t>
            </w:r>
          </w:p>
        </w:tc>
        <w:tc>
          <w:tcPr>
            <w:tcW w:w="4535" w:type="dxa"/>
            <w:vAlign w:val="center"/>
          </w:tcPr>
          <w:p w14:paraId="25DB9ACC">
            <w:pPr>
              <w:pStyle w:val="10"/>
            </w:pPr>
            <w:r>
              <w:t>2</w:t>
            </w:r>
          </w:p>
        </w:tc>
        <w:tc>
          <w:tcPr>
            <w:tcW w:w="2551" w:type="dxa"/>
            <w:vAlign w:val="center"/>
          </w:tcPr>
          <w:p w14:paraId="6B9567F4">
            <w:pPr>
              <w:pStyle w:val="10"/>
            </w:pPr>
            <w:r>
              <w:t>3</w:t>
            </w:r>
          </w:p>
        </w:tc>
        <w:tc>
          <w:tcPr>
            <w:tcW w:w="2551" w:type="dxa"/>
            <w:vAlign w:val="center"/>
          </w:tcPr>
          <w:p w14:paraId="7D74DB59">
            <w:pPr>
              <w:pStyle w:val="10"/>
            </w:pPr>
            <w:r>
              <w:t>4</w:t>
            </w:r>
          </w:p>
        </w:tc>
        <w:tc>
          <w:tcPr>
            <w:tcW w:w="2551" w:type="dxa"/>
            <w:vAlign w:val="center"/>
          </w:tcPr>
          <w:p w14:paraId="39AF72D9">
            <w:pPr>
              <w:pStyle w:val="10"/>
            </w:pPr>
            <w:r>
              <w:t>5</w:t>
            </w:r>
          </w:p>
        </w:tc>
      </w:tr>
      <w:tr w14:paraId="3269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7293">
            <w:pPr>
              <w:pStyle w:val="13"/>
            </w:pPr>
            <w:r>
              <w:t>1</w:t>
            </w:r>
          </w:p>
        </w:tc>
        <w:tc>
          <w:tcPr>
            <w:tcW w:w="1191" w:type="dxa"/>
            <w:vAlign w:val="center"/>
          </w:tcPr>
          <w:p w14:paraId="6D1F573B">
            <w:pPr>
              <w:pStyle w:val="16"/>
            </w:pPr>
          </w:p>
        </w:tc>
        <w:tc>
          <w:tcPr>
            <w:tcW w:w="4535" w:type="dxa"/>
            <w:vAlign w:val="center"/>
          </w:tcPr>
          <w:p w14:paraId="2AF4DA95">
            <w:pPr>
              <w:pStyle w:val="14"/>
            </w:pPr>
            <w:r>
              <w:t>合计</w:t>
            </w:r>
          </w:p>
        </w:tc>
        <w:tc>
          <w:tcPr>
            <w:tcW w:w="2551" w:type="dxa"/>
            <w:vAlign w:val="center"/>
          </w:tcPr>
          <w:p w14:paraId="70BF71C4">
            <w:pPr>
              <w:pStyle w:val="15"/>
            </w:pPr>
            <w:r>
              <w:t>2106.85</w:t>
            </w:r>
          </w:p>
        </w:tc>
        <w:tc>
          <w:tcPr>
            <w:tcW w:w="2551" w:type="dxa"/>
            <w:vAlign w:val="center"/>
          </w:tcPr>
          <w:p w14:paraId="201A0370">
            <w:pPr>
              <w:pStyle w:val="15"/>
            </w:pPr>
            <w:r>
              <w:t>2106.85</w:t>
            </w:r>
          </w:p>
        </w:tc>
        <w:tc>
          <w:tcPr>
            <w:tcW w:w="2551" w:type="dxa"/>
            <w:vAlign w:val="center"/>
          </w:tcPr>
          <w:p w14:paraId="33A28A77">
            <w:pPr>
              <w:pStyle w:val="15"/>
            </w:pPr>
          </w:p>
        </w:tc>
      </w:tr>
      <w:tr w14:paraId="0137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CC51B">
            <w:pPr>
              <w:pStyle w:val="13"/>
            </w:pPr>
            <w:r>
              <w:t>2</w:t>
            </w:r>
          </w:p>
        </w:tc>
        <w:tc>
          <w:tcPr>
            <w:tcW w:w="1191" w:type="dxa"/>
            <w:vAlign w:val="center"/>
          </w:tcPr>
          <w:p w14:paraId="0996D625">
            <w:pPr>
              <w:pStyle w:val="12"/>
            </w:pPr>
            <w:r>
              <w:t>301</w:t>
            </w:r>
          </w:p>
        </w:tc>
        <w:tc>
          <w:tcPr>
            <w:tcW w:w="4535" w:type="dxa"/>
            <w:vAlign w:val="center"/>
          </w:tcPr>
          <w:p w14:paraId="6F95079B">
            <w:pPr>
              <w:pStyle w:val="12"/>
            </w:pPr>
            <w:r>
              <w:t>工资福利支出</w:t>
            </w:r>
          </w:p>
        </w:tc>
        <w:tc>
          <w:tcPr>
            <w:tcW w:w="2551" w:type="dxa"/>
            <w:vAlign w:val="center"/>
          </w:tcPr>
          <w:p w14:paraId="50DA2B73">
            <w:pPr>
              <w:pStyle w:val="11"/>
            </w:pPr>
            <w:r>
              <w:t>1914.72</w:t>
            </w:r>
          </w:p>
        </w:tc>
        <w:tc>
          <w:tcPr>
            <w:tcW w:w="2551" w:type="dxa"/>
            <w:vAlign w:val="center"/>
          </w:tcPr>
          <w:p w14:paraId="7811CF9C">
            <w:pPr>
              <w:pStyle w:val="11"/>
            </w:pPr>
            <w:r>
              <w:t>1914.72</w:t>
            </w:r>
          </w:p>
        </w:tc>
        <w:tc>
          <w:tcPr>
            <w:tcW w:w="2551" w:type="dxa"/>
            <w:vAlign w:val="center"/>
          </w:tcPr>
          <w:p w14:paraId="639C3869">
            <w:pPr>
              <w:pStyle w:val="11"/>
            </w:pPr>
          </w:p>
        </w:tc>
      </w:tr>
      <w:tr w14:paraId="123E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0BA0A">
            <w:pPr>
              <w:pStyle w:val="13"/>
            </w:pPr>
            <w:r>
              <w:t>3</w:t>
            </w:r>
          </w:p>
        </w:tc>
        <w:tc>
          <w:tcPr>
            <w:tcW w:w="1191" w:type="dxa"/>
            <w:vAlign w:val="center"/>
          </w:tcPr>
          <w:p w14:paraId="1F15FAB1">
            <w:pPr>
              <w:pStyle w:val="12"/>
            </w:pPr>
            <w:r>
              <w:t>30101</w:t>
            </w:r>
          </w:p>
        </w:tc>
        <w:tc>
          <w:tcPr>
            <w:tcW w:w="4535" w:type="dxa"/>
            <w:vAlign w:val="center"/>
          </w:tcPr>
          <w:p w14:paraId="08AA6F37">
            <w:pPr>
              <w:pStyle w:val="12"/>
            </w:pPr>
            <w:r>
              <w:t>基本工资</w:t>
            </w:r>
          </w:p>
        </w:tc>
        <w:tc>
          <w:tcPr>
            <w:tcW w:w="2551" w:type="dxa"/>
            <w:vAlign w:val="center"/>
          </w:tcPr>
          <w:p w14:paraId="75C6536C">
            <w:pPr>
              <w:pStyle w:val="11"/>
            </w:pPr>
            <w:r>
              <w:t>846.38</w:t>
            </w:r>
          </w:p>
        </w:tc>
        <w:tc>
          <w:tcPr>
            <w:tcW w:w="2551" w:type="dxa"/>
            <w:vAlign w:val="center"/>
          </w:tcPr>
          <w:p w14:paraId="13E1676C">
            <w:pPr>
              <w:pStyle w:val="11"/>
            </w:pPr>
            <w:r>
              <w:t>846.38</w:t>
            </w:r>
          </w:p>
        </w:tc>
        <w:tc>
          <w:tcPr>
            <w:tcW w:w="2551" w:type="dxa"/>
            <w:vAlign w:val="center"/>
          </w:tcPr>
          <w:p w14:paraId="6BE21F5D">
            <w:pPr>
              <w:pStyle w:val="11"/>
            </w:pPr>
          </w:p>
        </w:tc>
      </w:tr>
      <w:tr w14:paraId="5234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D730">
            <w:pPr>
              <w:pStyle w:val="13"/>
            </w:pPr>
            <w:r>
              <w:t>4</w:t>
            </w:r>
          </w:p>
        </w:tc>
        <w:tc>
          <w:tcPr>
            <w:tcW w:w="1191" w:type="dxa"/>
            <w:vAlign w:val="center"/>
          </w:tcPr>
          <w:p w14:paraId="4388D02F">
            <w:pPr>
              <w:pStyle w:val="12"/>
            </w:pPr>
            <w:r>
              <w:t>30102</w:t>
            </w:r>
          </w:p>
        </w:tc>
        <w:tc>
          <w:tcPr>
            <w:tcW w:w="4535" w:type="dxa"/>
            <w:vAlign w:val="center"/>
          </w:tcPr>
          <w:p w14:paraId="340A5CFF">
            <w:pPr>
              <w:pStyle w:val="12"/>
            </w:pPr>
            <w:r>
              <w:t>津贴补贴</w:t>
            </w:r>
          </w:p>
        </w:tc>
        <w:tc>
          <w:tcPr>
            <w:tcW w:w="2551" w:type="dxa"/>
            <w:vAlign w:val="center"/>
          </w:tcPr>
          <w:p w14:paraId="17D0AA4A">
            <w:pPr>
              <w:pStyle w:val="11"/>
            </w:pPr>
            <w:r>
              <w:t>86.77</w:t>
            </w:r>
          </w:p>
        </w:tc>
        <w:tc>
          <w:tcPr>
            <w:tcW w:w="2551" w:type="dxa"/>
            <w:vAlign w:val="center"/>
          </w:tcPr>
          <w:p w14:paraId="472019A2">
            <w:pPr>
              <w:pStyle w:val="11"/>
            </w:pPr>
            <w:r>
              <w:t>86.77</w:t>
            </w:r>
          </w:p>
        </w:tc>
        <w:tc>
          <w:tcPr>
            <w:tcW w:w="2551" w:type="dxa"/>
            <w:vAlign w:val="center"/>
          </w:tcPr>
          <w:p w14:paraId="58DCB76D">
            <w:pPr>
              <w:pStyle w:val="11"/>
            </w:pPr>
          </w:p>
        </w:tc>
      </w:tr>
      <w:tr w14:paraId="234BB465">
        <w:tblPrEx>
          <w:tblCellMar>
            <w:top w:w="0" w:type="dxa"/>
            <w:left w:w="108" w:type="dxa"/>
            <w:bottom w:w="0" w:type="dxa"/>
            <w:right w:w="108" w:type="dxa"/>
          </w:tblCellMar>
        </w:tblPrEx>
        <w:trPr>
          <w:trHeight w:val="369" w:hRule="atLeast"/>
          <w:jc w:val="center"/>
        </w:trPr>
        <w:tc>
          <w:tcPr>
            <w:tcW w:w="850" w:type="dxa"/>
            <w:vAlign w:val="center"/>
          </w:tcPr>
          <w:p w14:paraId="0AACBFE9">
            <w:pPr>
              <w:pStyle w:val="13"/>
            </w:pPr>
            <w:r>
              <w:t>5</w:t>
            </w:r>
          </w:p>
        </w:tc>
        <w:tc>
          <w:tcPr>
            <w:tcW w:w="1191" w:type="dxa"/>
            <w:vAlign w:val="center"/>
          </w:tcPr>
          <w:p w14:paraId="2DAA84A2">
            <w:pPr>
              <w:pStyle w:val="12"/>
            </w:pPr>
            <w:r>
              <w:t>30107</w:t>
            </w:r>
          </w:p>
        </w:tc>
        <w:tc>
          <w:tcPr>
            <w:tcW w:w="4535" w:type="dxa"/>
            <w:vAlign w:val="center"/>
          </w:tcPr>
          <w:p w14:paraId="6F111971">
            <w:pPr>
              <w:pStyle w:val="12"/>
            </w:pPr>
            <w:r>
              <w:t>绩效工资</w:t>
            </w:r>
          </w:p>
        </w:tc>
        <w:tc>
          <w:tcPr>
            <w:tcW w:w="2551" w:type="dxa"/>
            <w:vAlign w:val="center"/>
          </w:tcPr>
          <w:p w14:paraId="1E7C7103">
            <w:pPr>
              <w:pStyle w:val="11"/>
            </w:pPr>
            <w:r>
              <w:t>553.71</w:t>
            </w:r>
          </w:p>
        </w:tc>
        <w:tc>
          <w:tcPr>
            <w:tcW w:w="2551" w:type="dxa"/>
            <w:vAlign w:val="center"/>
          </w:tcPr>
          <w:p w14:paraId="322AA33E">
            <w:pPr>
              <w:pStyle w:val="11"/>
            </w:pPr>
            <w:r>
              <w:t>553.71</w:t>
            </w:r>
          </w:p>
        </w:tc>
        <w:tc>
          <w:tcPr>
            <w:tcW w:w="2551" w:type="dxa"/>
            <w:vAlign w:val="center"/>
          </w:tcPr>
          <w:p w14:paraId="209C2D6E">
            <w:pPr>
              <w:pStyle w:val="11"/>
            </w:pPr>
          </w:p>
        </w:tc>
      </w:tr>
      <w:tr w14:paraId="47B2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E705">
            <w:pPr>
              <w:pStyle w:val="13"/>
            </w:pPr>
            <w:r>
              <w:t>6</w:t>
            </w:r>
          </w:p>
        </w:tc>
        <w:tc>
          <w:tcPr>
            <w:tcW w:w="1191" w:type="dxa"/>
            <w:vAlign w:val="center"/>
          </w:tcPr>
          <w:p w14:paraId="3305B545">
            <w:pPr>
              <w:pStyle w:val="12"/>
            </w:pPr>
            <w:r>
              <w:t>30108</w:t>
            </w:r>
          </w:p>
        </w:tc>
        <w:tc>
          <w:tcPr>
            <w:tcW w:w="4535" w:type="dxa"/>
            <w:vAlign w:val="center"/>
          </w:tcPr>
          <w:p w14:paraId="183E7000">
            <w:pPr>
              <w:pStyle w:val="12"/>
            </w:pPr>
            <w:r>
              <w:t>机关事业单位基本养老保险缴费</w:t>
            </w:r>
          </w:p>
        </w:tc>
        <w:tc>
          <w:tcPr>
            <w:tcW w:w="2551" w:type="dxa"/>
            <w:vAlign w:val="center"/>
          </w:tcPr>
          <w:p w14:paraId="16BEFE7C">
            <w:pPr>
              <w:pStyle w:val="11"/>
            </w:pPr>
            <w:r>
              <w:t>189.08</w:t>
            </w:r>
          </w:p>
        </w:tc>
        <w:tc>
          <w:tcPr>
            <w:tcW w:w="2551" w:type="dxa"/>
            <w:vAlign w:val="center"/>
          </w:tcPr>
          <w:p w14:paraId="66633978">
            <w:pPr>
              <w:pStyle w:val="11"/>
            </w:pPr>
            <w:r>
              <w:t>189.08</w:t>
            </w:r>
          </w:p>
        </w:tc>
        <w:tc>
          <w:tcPr>
            <w:tcW w:w="2551" w:type="dxa"/>
            <w:vAlign w:val="center"/>
          </w:tcPr>
          <w:p w14:paraId="0D8C71F6">
            <w:pPr>
              <w:pStyle w:val="11"/>
            </w:pPr>
          </w:p>
        </w:tc>
      </w:tr>
      <w:tr w14:paraId="741B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6D45">
            <w:pPr>
              <w:pStyle w:val="13"/>
            </w:pPr>
            <w:r>
              <w:t>7</w:t>
            </w:r>
          </w:p>
        </w:tc>
        <w:tc>
          <w:tcPr>
            <w:tcW w:w="1191" w:type="dxa"/>
            <w:vAlign w:val="center"/>
          </w:tcPr>
          <w:p w14:paraId="22B38C2C">
            <w:pPr>
              <w:pStyle w:val="12"/>
            </w:pPr>
            <w:r>
              <w:t>30110</w:t>
            </w:r>
          </w:p>
        </w:tc>
        <w:tc>
          <w:tcPr>
            <w:tcW w:w="4535" w:type="dxa"/>
            <w:vAlign w:val="center"/>
          </w:tcPr>
          <w:p w14:paraId="49BAB31E">
            <w:pPr>
              <w:pStyle w:val="12"/>
            </w:pPr>
            <w:r>
              <w:t>职工基本医疗保险缴费</w:t>
            </w:r>
          </w:p>
        </w:tc>
        <w:tc>
          <w:tcPr>
            <w:tcW w:w="2551" w:type="dxa"/>
            <w:vAlign w:val="center"/>
          </w:tcPr>
          <w:p w14:paraId="37A2995B">
            <w:pPr>
              <w:pStyle w:val="11"/>
            </w:pPr>
            <w:r>
              <w:t>89.57</w:t>
            </w:r>
          </w:p>
        </w:tc>
        <w:tc>
          <w:tcPr>
            <w:tcW w:w="2551" w:type="dxa"/>
            <w:vAlign w:val="center"/>
          </w:tcPr>
          <w:p w14:paraId="021C4D28">
            <w:pPr>
              <w:pStyle w:val="11"/>
            </w:pPr>
            <w:r>
              <w:t>89.57</w:t>
            </w:r>
          </w:p>
        </w:tc>
        <w:tc>
          <w:tcPr>
            <w:tcW w:w="2551" w:type="dxa"/>
            <w:vAlign w:val="center"/>
          </w:tcPr>
          <w:p w14:paraId="2A506697">
            <w:pPr>
              <w:pStyle w:val="11"/>
            </w:pPr>
          </w:p>
        </w:tc>
      </w:tr>
      <w:tr w14:paraId="6B38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E4B0">
            <w:pPr>
              <w:pStyle w:val="13"/>
            </w:pPr>
            <w:r>
              <w:t>8</w:t>
            </w:r>
          </w:p>
        </w:tc>
        <w:tc>
          <w:tcPr>
            <w:tcW w:w="1191" w:type="dxa"/>
            <w:vAlign w:val="center"/>
          </w:tcPr>
          <w:p w14:paraId="1088E0EB">
            <w:pPr>
              <w:pStyle w:val="12"/>
            </w:pPr>
            <w:r>
              <w:t>30112</w:t>
            </w:r>
          </w:p>
        </w:tc>
        <w:tc>
          <w:tcPr>
            <w:tcW w:w="4535" w:type="dxa"/>
            <w:vAlign w:val="center"/>
          </w:tcPr>
          <w:p w14:paraId="0AA1AAC2">
            <w:pPr>
              <w:pStyle w:val="12"/>
            </w:pPr>
            <w:r>
              <w:t>其他社会保障缴费</w:t>
            </w:r>
          </w:p>
        </w:tc>
        <w:tc>
          <w:tcPr>
            <w:tcW w:w="2551" w:type="dxa"/>
            <w:vAlign w:val="center"/>
          </w:tcPr>
          <w:p w14:paraId="638C2BB0">
            <w:pPr>
              <w:pStyle w:val="11"/>
            </w:pPr>
            <w:r>
              <w:t>7.40</w:t>
            </w:r>
          </w:p>
        </w:tc>
        <w:tc>
          <w:tcPr>
            <w:tcW w:w="2551" w:type="dxa"/>
            <w:vAlign w:val="center"/>
          </w:tcPr>
          <w:p w14:paraId="55601D81">
            <w:pPr>
              <w:pStyle w:val="11"/>
            </w:pPr>
            <w:r>
              <w:t>7.40</w:t>
            </w:r>
          </w:p>
        </w:tc>
        <w:tc>
          <w:tcPr>
            <w:tcW w:w="2551" w:type="dxa"/>
            <w:vAlign w:val="center"/>
          </w:tcPr>
          <w:p w14:paraId="0E7338E7">
            <w:pPr>
              <w:pStyle w:val="11"/>
            </w:pPr>
          </w:p>
        </w:tc>
      </w:tr>
      <w:tr w14:paraId="484D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197E6">
            <w:pPr>
              <w:pStyle w:val="13"/>
            </w:pPr>
            <w:r>
              <w:t>9</w:t>
            </w:r>
          </w:p>
        </w:tc>
        <w:tc>
          <w:tcPr>
            <w:tcW w:w="1191" w:type="dxa"/>
            <w:vAlign w:val="center"/>
          </w:tcPr>
          <w:p w14:paraId="667A7565">
            <w:pPr>
              <w:pStyle w:val="12"/>
            </w:pPr>
            <w:r>
              <w:t>30113</w:t>
            </w:r>
          </w:p>
        </w:tc>
        <w:tc>
          <w:tcPr>
            <w:tcW w:w="4535" w:type="dxa"/>
            <w:vAlign w:val="center"/>
          </w:tcPr>
          <w:p w14:paraId="3BC394E4">
            <w:pPr>
              <w:pStyle w:val="12"/>
            </w:pPr>
            <w:r>
              <w:t>住房公积金</w:t>
            </w:r>
          </w:p>
        </w:tc>
        <w:tc>
          <w:tcPr>
            <w:tcW w:w="2551" w:type="dxa"/>
            <w:vAlign w:val="center"/>
          </w:tcPr>
          <w:p w14:paraId="3D47AA9D">
            <w:pPr>
              <w:pStyle w:val="11"/>
            </w:pPr>
            <w:r>
              <w:t>141.81</w:t>
            </w:r>
          </w:p>
        </w:tc>
        <w:tc>
          <w:tcPr>
            <w:tcW w:w="2551" w:type="dxa"/>
            <w:vAlign w:val="center"/>
          </w:tcPr>
          <w:p w14:paraId="0F1F9FF5">
            <w:pPr>
              <w:pStyle w:val="11"/>
            </w:pPr>
            <w:r>
              <w:t>141.81</w:t>
            </w:r>
          </w:p>
        </w:tc>
        <w:tc>
          <w:tcPr>
            <w:tcW w:w="2551" w:type="dxa"/>
            <w:vAlign w:val="center"/>
          </w:tcPr>
          <w:p w14:paraId="7FA18466">
            <w:pPr>
              <w:pStyle w:val="11"/>
            </w:pPr>
          </w:p>
        </w:tc>
      </w:tr>
      <w:tr w14:paraId="32F5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ADBA">
            <w:pPr>
              <w:pStyle w:val="13"/>
            </w:pPr>
            <w:r>
              <w:t>10</w:t>
            </w:r>
          </w:p>
        </w:tc>
        <w:tc>
          <w:tcPr>
            <w:tcW w:w="1191" w:type="dxa"/>
            <w:vAlign w:val="center"/>
          </w:tcPr>
          <w:p w14:paraId="432321BF">
            <w:pPr>
              <w:pStyle w:val="12"/>
            </w:pPr>
            <w:r>
              <w:t>303</w:t>
            </w:r>
          </w:p>
        </w:tc>
        <w:tc>
          <w:tcPr>
            <w:tcW w:w="4535" w:type="dxa"/>
            <w:vAlign w:val="center"/>
          </w:tcPr>
          <w:p w14:paraId="1AE8729F">
            <w:pPr>
              <w:pStyle w:val="12"/>
            </w:pPr>
            <w:r>
              <w:t>对个人和家庭的补助</w:t>
            </w:r>
          </w:p>
        </w:tc>
        <w:tc>
          <w:tcPr>
            <w:tcW w:w="2551" w:type="dxa"/>
            <w:vAlign w:val="center"/>
          </w:tcPr>
          <w:p w14:paraId="636535C4">
            <w:pPr>
              <w:pStyle w:val="11"/>
            </w:pPr>
            <w:r>
              <w:t>192.12</w:t>
            </w:r>
          </w:p>
        </w:tc>
        <w:tc>
          <w:tcPr>
            <w:tcW w:w="2551" w:type="dxa"/>
            <w:vAlign w:val="center"/>
          </w:tcPr>
          <w:p w14:paraId="2431E12A">
            <w:pPr>
              <w:pStyle w:val="11"/>
            </w:pPr>
            <w:r>
              <w:t>192.12</w:t>
            </w:r>
          </w:p>
        </w:tc>
        <w:tc>
          <w:tcPr>
            <w:tcW w:w="2551" w:type="dxa"/>
            <w:vAlign w:val="center"/>
          </w:tcPr>
          <w:p w14:paraId="3ACCA18D">
            <w:pPr>
              <w:pStyle w:val="11"/>
            </w:pPr>
          </w:p>
        </w:tc>
      </w:tr>
      <w:tr w14:paraId="0098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EE05">
            <w:pPr>
              <w:pStyle w:val="13"/>
            </w:pPr>
            <w:r>
              <w:t>11</w:t>
            </w:r>
          </w:p>
        </w:tc>
        <w:tc>
          <w:tcPr>
            <w:tcW w:w="1191" w:type="dxa"/>
            <w:vAlign w:val="center"/>
          </w:tcPr>
          <w:p w14:paraId="1F62FCF9">
            <w:pPr>
              <w:pStyle w:val="12"/>
            </w:pPr>
            <w:r>
              <w:t>30302</w:t>
            </w:r>
          </w:p>
        </w:tc>
        <w:tc>
          <w:tcPr>
            <w:tcW w:w="4535" w:type="dxa"/>
            <w:vAlign w:val="center"/>
          </w:tcPr>
          <w:p w14:paraId="4B03B6A6">
            <w:pPr>
              <w:pStyle w:val="12"/>
            </w:pPr>
            <w:r>
              <w:t>退休费</w:t>
            </w:r>
          </w:p>
        </w:tc>
        <w:tc>
          <w:tcPr>
            <w:tcW w:w="2551" w:type="dxa"/>
            <w:vAlign w:val="center"/>
          </w:tcPr>
          <w:p w14:paraId="322E64BC">
            <w:pPr>
              <w:pStyle w:val="11"/>
            </w:pPr>
            <w:r>
              <w:t>181.14</w:t>
            </w:r>
          </w:p>
        </w:tc>
        <w:tc>
          <w:tcPr>
            <w:tcW w:w="2551" w:type="dxa"/>
            <w:vAlign w:val="center"/>
          </w:tcPr>
          <w:p w14:paraId="3E1397D4">
            <w:pPr>
              <w:pStyle w:val="11"/>
            </w:pPr>
            <w:r>
              <w:t>181.14</w:t>
            </w:r>
          </w:p>
        </w:tc>
        <w:tc>
          <w:tcPr>
            <w:tcW w:w="2551" w:type="dxa"/>
            <w:vAlign w:val="center"/>
          </w:tcPr>
          <w:p w14:paraId="5C42DB5C">
            <w:pPr>
              <w:pStyle w:val="11"/>
            </w:pPr>
          </w:p>
        </w:tc>
      </w:tr>
      <w:tr w14:paraId="0853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3310">
            <w:pPr>
              <w:pStyle w:val="13"/>
            </w:pPr>
            <w:r>
              <w:t>12</w:t>
            </w:r>
          </w:p>
        </w:tc>
        <w:tc>
          <w:tcPr>
            <w:tcW w:w="1191" w:type="dxa"/>
            <w:vAlign w:val="center"/>
          </w:tcPr>
          <w:p w14:paraId="4B600078">
            <w:pPr>
              <w:pStyle w:val="12"/>
            </w:pPr>
            <w:r>
              <w:t>30305</w:t>
            </w:r>
          </w:p>
        </w:tc>
        <w:tc>
          <w:tcPr>
            <w:tcW w:w="4535" w:type="dxa"/>
            <w:vAlign w:val="center"/>
          </w:tcPr>
          <w:p w14:paraId="357185A8">
            <w:pPr>
              <w:pStyle w:val="12"/>
            </w:pPr>
            <w:r>
              <w:t>生活补助</w:t>
            </w:r>
          </w:p>
        </w:tc>
        <w:tc>
          <w:tcPr>
            <w:tcW w:w="2551" w:type="dxa"/>
            <w:vAlign w:val="center"/>
          </w:tcPr>
          <w:p w14:paraId="1B92A890">
            <w:pPr>
              <w:pStyle w:val="11"/>
            </w:pPr>
            <w:r>
              <w:t>10.98</w:t>
            </w:r>
          </w:p>
        </w:tc>
        <w:tc>
          <w:tcPr>
            <w:tcW w:w="2551" w:type="dxa"/>
            <w:vAlign w:val="center"/>
          </w:tcPr>
          <w:p w14:paraId="688772A8">
            <w:pPr>
              <w:pStyle w:val="11"/>
            </w:pPr>
            <w:r>
              <w:t>10.98</w:t>
            </w:r>
          </w:p>
        </w:tc>
        <w:tc>
          <w:tcPr>
            <w:tcW w:w="2551" w:type="dxa"/>
            <w:vAlign w:val="center"/>
          </w:tcPr>
          <w:p w14:paraId="6AAC5AE4">
            <w:pPr>
              <w:pStyle w:val="11"/>
            </w:pPr>
          </w:p>
        </w:tc>
      </w:tr>
    </w:tbl>
    <w:p w14:paraId="4500954F">
      <w:pPr>
        <w:sectPr>
          <w:pgSz w:w="16840" w:h="11900" w:orient="landscape"/>
          <w:pgMar w:top="1361" w:right="1020" w:bottom="1134" w:left="1020" w:header="720" w:footer="720" w:gutter="0"/>
          <w:cols w:space="720" w:num="1"/>
        </w:sectPr>
      </w:pPr>
    </w:p>
    <w:p w14:paraId="4D741C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C4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ED3BB">
            <w:pPr>
              <w:pStyle w:val="9"/>
            </w:pPr>
            <w:r>
              <w:t>360023隆尧县固城校区</w:t>
            </w:r>
          </w:p>
        </w:tc>
        <w:tc>
          <w:tcPr>
            <w:tcW w:w="2551" w:type="dxa"/>
            <w:tcBorders>
              <w:top w:val="single" w:color="FFFFFF" w:sz="6" w:space="0"/>
              <w:left w:val="single" w:color="FFFFFF" w:sz="6" w:space="0"/>
              <w:right w:val="single" w:color="FFFFFF" w:sz="6" w:space="0"/>
            </w:tcBorders>
            <w:vAlign w:val="center"/>
          </w:tcPr>
          <w:p w14:paraId="4DE8E55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78FB97">
            <w:pPr>
              <w:pStyle w:val="7"/>
            </w:pPr>
            <w:r>
              <w:t>单位：万元</w:t>
            </w:r>
          </w:p>
        </w:tc>
      </w:tr>
      <w:tr w14:paraId="6D5C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EBD51">
            <w:pPr>
              <w:pStyle w:val="10"/>
            </w:pPr>
            <w:r>
              <w:t>序号</w:t>
            </w:r>
          </w:p>
        </w:tc>
        <w:tc>
          <w:tcPr>
            <w:tcW w:w="5726" w:type="dxa"/>
            <w:gridSpan w:val="2"/>
            <w:vAlign w:val="center"/>
          </w:tcPr>
          <w:p w14:paraId="2DE4E53A">
            <w:pPr>
              <w:pStyle w:val="10"/>
            </w:pPr>
            <w:r>
              <w:t>功能分类科目</w:t>
            </w:r>
          </w:p>
        </w:tc>
        <w:tc>
          <w:tcPr>
            <w:tcW w:w="2551" w:type="dxa"/>
            <w:vMerge w:val="restart"/>
            <w:vAlign w:val="center"/>
          </w:tcPr>
          <w:p w14:paraId="4A664980">
            <w:pPr>
              <w:pStyle w:val="10"/>
            </w:pPr>
            <w:r>
              <w:t>合计</w:t>
            </w:r>
          </w:p>
        </w:tc>
        <w:tc>
          <w:tcPr>
            <w:tcW w:w="2551" w:type="dxa"/>
            <w:vMerge w:val="restart"/>
            <w:vAlign w:val="center"/>
          </w:tcPr>
          <w:p w14:paraId="781B2A53">
            <w:pPr>
              <w:pStyle w:val="10"/>
            </w:pPr>
            <w:r>
              <w:t>基本支出</w:t>
            </w:r>
          </w:p>
        </w:tc>
        <w:tc>
          <w:tcPr>
            <w:tcW w:w="2551" w:type="dxa"/>
            <w:vMerge w:val="restart"/>
            <w:vAlign w:val="center"/>
          </w:tcPr>
          <w:p w14:paraId="5D972FE3">
            <w:pPr>
              <w:pStyle w:val="10"/>
            </w:pPr>
            <w:r>
              <w:t>项目支出</w:t>
            </w:r>
          </w:p>
        </w:tc>
      </w:tr>
      <w:tr w14:paraId="05A4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F6B3CD"/>
        </w:tc>
        <w:tc>
          <w:tcPr>
            <w:tcW w:w="1191" w:type="dxa"/>
            <w:vAlign w:val="center"/>
          </w:tcPr>
          <w:p w14:paraId="04B684A4">
            <w:pPr>
              <w:pStyle w:val="10"/>
            </w:pPr>
            <w:r>
              <w:t>科目编码</w:t>
            </w:r>
          </w:p>
        </w:tc>
        <w:tc>
          <w:tcPr>
            <w:tcW w:w="4535" w:type="dxa"/>
            <w:vAlign w:val="center"/>
          </w:tcPr>
          <w:p w14:paraId="3BAFA09B">
            <w:pPr>
              <w:pStyle w:val="10"/>
            </w:pPr>
            <w:r>
              <w:t>科目名称</w:t>
            </w:r>
          </w:p>
        </w:tc>
        <w:tc>
          <w:tcPr>
            <w:tcW w:w="2551" w:type="dxa"/>
            <w:vMerge w:val="continue"/>
          </w:tcPr>
          <w:p w14:paraId="6F6733C8"/>
        </w:tc>
        <w:tc>
          <w:tcPr>
            <w:tcW w:w="2551" w:type="dxa"/>
            <w:vMerge w:val="continue"/>
          </w:tcPr>
          <w:p w14:paraId="5D926A14"/>
        </w:tc>
        <w:tc>
          <w:tcPr>
            <w:tcW w:w="2551" w:type="dxa"/>
            <w:vMerge w:val="continue"/>
          </w:tcPr>
          <w:p w14:paraId="7E259C76"/>
        </w:tc>
      </w:tr>
      <w:tr w14:paraId="680D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11084B">
            <w:pPr>
              <w:pStyle w:val="10"/>
            </w:pPr>
            <w:r>
              <w:t>栏次</w:t>
            </w:r>
          </w:p>
        </w:tc>
        <w:tc>
          <w:tcPr>
            <w:tcW w:w="1191" w:type="dxa"/>
            <w:vAlign w:val="center"/>
          </w:tcPr>
          <w:p w14:paraId="71516CE6">
            <w:pPr>
              <w:pStyle w:val="10"/>
            </w:pPr>
            <w:r>
              <w:t>1</w:t>
            </w:r>
          </w:p>
        </w:tc>
        <w:tc>
          <w:tcPr>
            <w:tcW w:w="4535" w:type="dxa"/>
            <w:vAlign w:val="center"/>
          </w:tcPr>
          <w:p w14:paraId="589E00D0">
            <w:pPr>
              <w:pStyle w:val="10"/>
            </w:pPr>
            <w:r>
              <w:t>2</w:t>
            </w:r>
          </w:p>
        </w:tc>
        <w:tc>
          <w:tcPr>
            <w:tcW w:w="2551" w:type="dxa"/>
            <w:vAlign w:val="center"/>
          </w:tcPr>
          <w:p w14:paraId="47F6255B">
            <w:pPr>
              <w:pStyle w:val="10"/>
            </w:pPr>
            <w:r>
              <w:t>3</w:t>
            </w:r>
          </w:p>
        </w:tc>
        <w:tc>
          <w:tcPr>
            <w:tcW w:w="2551" w:type="dxa"/>
            <w:vAlign w:val="center"/>
          </w:tcPr>
          <w:p w14:paraId="4B5AF2D2">
            <w:pPr>
              <w:pStyle w:val="10"/>
            </w:pPr>
            <w:r>
              <w:t>4</w:t>
            </w:r>
          </w:p>
        </w:tc>
        <w:tc>
          <w:tcPr>
            <w:tcW w:w="2551" w:type="dxa"/>
            <w:vAlign w:val="center"/>
          </w:tcPr>
          <w:p w14:paraId="63885812">
            <w:pPr>
              <w:pStyle w:val="10"/>
            </w:pPr>
            <w:r>
              <w:t>5</w:t>
            </w:r>
          </w:p>
        </w:tc>
      </w:tr>
      <w:tr w14:paraId="2D90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315B2">
            <w:pPr>
              <w:pStyle w:val="13"/>
            </w:pPr>
          </w:p>
        </w:tc>
        <w:tc>
          <w:tcPr>
            <w:tcW w:w="1191" w:type="dxa"/>
            <w:vAlign w:val="center"/>
          </w:tcPr>
          <w:p w14:paraId="5080233A">
            <w:pPr>
              <w:pStyle w:val="12"/>
            </w:pPr>
          </w:p>
        </w:tc>
        <w:tc>
          <w:tcPr>
            <w:tcW w:w="4535" w:type="dxa"/>
            <w:vAlign w:val="center"/>
          </w:tcPr>
          <w:p w14:paraId="4779F272">
            <w:pPr>
              <w:pStyle w:val="12"/>
            </w:pPr>
          </w:p>
        </w:tc>
        <w:tc>
          <w:tcPr>
            <w:tcW w:w="2551" w:type="dxa"/>
            <w:vAlign w:val="center"/>
          </w:tcPr>
          <w:p w14:paraId="1F7E2D16">
            <w:pPr>
              <w:pStyle w:val="11"/>
            </w:pPr>
          </w:p>
        </w:tc>
        <w:tc>
          <w:tcPr>
            <w:tcW w:w="2551" w:type="dxa"/>
            <w:vAlign w:val="center"/>
          </w:tcPr>
          <w:p w14:paraId="725FCDF7">
            <w:pPr>
              <w:pStyle w:val="11"/>
            </w:pPr>
          </w:p>
        </w:tc>
        <w:tc>
          <w:tcPr>
            <w:tcW w:w="2551" w:type="dxa"/>
            <w:vAlign w:val="center"/>
          </w:tcPr>
          <w:p w14:paraId="4BF9CE4C">
            <w:pPr>
              <w:pStyle w:val="11"/>
            </w:pPr>
          </w:p>
        </w:tc>
      </w:tr>
    </w:tbl>
    <w:p w14:paraId="547299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7C697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83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FB6733">
            <w:pPr>
              <w:pStyle w:val="9"/>
            </w:pPr>
            <w:r>
              <w:t>360023隆尧县固城校区</w:t>
            </w:r>
          </w:p>
        </w:tc>
        <w:tc>
          <w:tcPr>
            <w:tcW w:w="2551" w:type="dxa"/>
            <w:tcBorders>
              <w:top w:val="single" w:color="FFFFFF" w:sz="6" w:space="0"/>
              <w:left w:val="single" w:color="FFFFFF" w:sz="6" w:space="0"/>
              <w:right w:val="single" w:color="FFFFFF" w:sz="6" w:space="0"/>
            </w:tcBorders>
            <w:vAlign w:val="center"/>
          </w:tcPr>
          <w:p w14:paraId="559769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F5027F">
            <w:pPr>
              <w:pStyle w:val="7"/>
            </w:pPr>
            <w:r>
              <w:t>单位：万元</w:t>
            </w:r>
          </w:p>
        </w:tc>
      </w:tr>
      <w:tr w14:paraId="53C1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4C2C7">
            <w:pPr>
              <w:pStyle w:val="10"/>
            </w:pPr>
            <w:r>
              <w:t>序号</w:t>
            </w:r>
          </w:p>
        </w:tc>
        <w:tc>
          <w:tcPr>
            <w:tcW w:w="5726" w:type="dxa"/>
            <w:gridSpan w:val="2"/>
            <w:vAlign w:val="center"/>
          </w:tcPr>
          <w:p w14:paraId="617CFCC9">
            <w:pPr>
              <w:pStyle w:val="10"/>
            </w:pPr>
            <w:r>
              <w:t>功能分类科目</w:t>
            </w:r>
          </w:p>
        </w:tc>
        <w:tc>
          <w:tcPr>
            <w:tcW w:w="2551" w:type="dxa"/>
            <w:vMerge w:val="restart"/>
            <w:vAlign w:val="center"/>
          </w:tcPr>
          <w:p w14:paraId="307B8C9A">
            <w:pPr>
              <w:pStyle w:val="10"/>
            </w:pPr>
            <w:r>
              <w:t>合计</w:t>
            </w:r>
          </w:p>
        </w:tc>
        <w:tc>
          <w:tcPr>
            <w:tcW w:w="2551" w:type="dxa"/>
            <w:vMerge w:val="restart"/>
            <w:vAlign w:val="center"/>
          </w:tcPr>
          <w:p w14:paraId="11104C3F">
            <w:pPr>
              <w:pStyle w:val="10"/>
            </w:pPr>
            <w:r>
              <w:t>基本支出</w:t>
            </w:r>
          </w:p>
        </w:tc>
        <w:tc>
          <w:tcPr>
            <w:tcW w:w="2551" w:type="dxa"/>
            <w:vMerge w:val="restart"/>
            <w:vAlign w:val="center"/>
          </w:tcPr>
          <w:p w14:paraId="1723C98F">
            <w:pPr>
              <w:pStyle w:val="10"/>
            </w:pPr>
            <w:r>
              <w:t>项目支出</w:t>
            </w:r>
          </w:p>
        </w:tc>
      </w:tr>
      <w:tr w14:paraId="7D19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70263"/>
        </w:tc>
        <w:tc>
          <w:tcPr>
            <w:tcW w:w="1191" w:type="dxa"/>
            <w:vAlign w:val="center"/>
          </w:tcPr>
          <w:p w14:paraId="1868A35A">
            <w:pPr>
              <w:pStyle w:val="10"/>
            </w:pPr>
            <w:r>
              <w:t>科目编码</w:t>
            </w:r>
          </w:p>
        </w:tc>
        <w:tc>
          <w:tcPr>
            <w:tcW w:w="4535" w:type="dxa"/>
            <w:vAlign w:val="center"/>
          </w:tcPr>
          <w:p w14:paraId="4473A318">
            <w:pPr>
              <w:pStyle w:val="10"/>
            </w:pPr>
            <w:r>
              <w:t>科目名称</w:t>
            </w:r>
          </w:p>
        </w:tc>
        <w:tc>
          <w:tcPr>
            <w:tcW w:w="2551" w:type="dxa"/>
            <w:vMerge w:val="continue"/>
          </w:tcPr>
          <w:p w14:paraId="3077C923"/>
        </w:tc>
        <w:tc>
          <w:tcPr>
            <w:tcW w:w="2551" w:type="dxa"/>
            <w:vMerge w:val="continue"/>
          </w:tcPr>
          <w:p w14:paraId="5BF178DA"/>
        </w:tc>
        <w:tc>
          <w:tcPr>
            <w:tcW w:w="2551" w:type="dxa"/>
            <w:vMerge w:val="continue"/>
          </w:tcPr>
          <w:p w14:paraId="5D294F2F"/>
        </w:tc>
      </w:tr>
      <w:tr w14:paraId="36A8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E95D1">
            <w:pPr>
              <w:pStyle w:val="10"/>
            </w:pPr>
            <w:r>
              <w:t>栏次</w:t>
            </w:r>
          </w:p>
        </w:tc>
        <w:tc>
          <w:tcPr>
            <w:tcW w:w="1191" w:type="dxa"/>
            <w:vAlign w:val="center"/>
          </w:tcPr>
          <w:p w14:paraId="5AF5C659">
            <w:pPr>
              <w:pStyle w:val="10"/>
            </w:pPr>
            <w:r>
              <w:t>1</w:t>
            </w:r>
          </w:p>
        </w:tc>
        <w:tc>
          <w:tcPr>
            <w:tcW w:w="4535" w:type="dxa"/>
            <w:vAlign w:val="center"/>
          </w:tcPr>
          <w:p w14:paraId="100CCE5D">
            <w:pPr>
              <w:pStyle w:val="10"/>
            </w:pPr>
            <w:r>
              <w:t>2</w:t>
            </w:r>
          </w:p>
        </w:tc>
        <w:tc>
          <w:tcPr>
            <w:tcW w:w="2551" w:type="dxa"/>
            <w:vAlign w:val="center"/>
          </w:tcPr>
          <w:p w14:paraId="04A4CB14">
            <w:pPr>
              <w:pStyle w:val="10"/>
            </w:pPr>
            <w:r>
              <w:t>3</w:t>
            </w:r>
          </w:p>
        </w:tc>
        <w:tc>
          <w:tcPr>
            <w:tcW w:w="2551" w:type="dxa"/>
            <w:vAlign w:val="center"/>
          </w:tcPr>
          <w:p w14:paraId="40688FEE">
            <w:pPr>
              <w:pStyle w:val="10"/>
            </w:pPr>
            <w:r>
              <w:t>4</w:t>
            </w:r>
          </w:p>
        </w:tc>
        <w:tc>
          <w:tcPr>
            <w:tcW w:w="2551" w:type="dxa"/>
            <w:vAlign w:val="center"/>
          </w:tcPr>
          <w:p w14:paraId="459C3002">
            <w:pPr>
              <w:pStyle w:val="10"/>
            </w:pPr>
            <w:r>
              <w:t>5</w:t>
            </w:r>
          </w:p>
        </w:tc>
      </w:tr>
      <w:tr w14:paraId="01C8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F804">
            <w:pPr>
              <w:pStyle w:val="13"/>
            </w:pPr>
          </w:p>
        </w:tc>
        <w:tc>
          <w:tcPr>
            <w:tcW w:w="1191" w:type="dxa"/>
            <w:vAlign w:val="center"/>
          </w:tcPr>
          <w:p w14:paraId="1A64BF3F">
            <w:pPr>
              <w:pStyle w:val="12"/>
            </w:pPr>
          </w:p>
        </w:tc>
        <w:tc>
          <w:tcPr>
            <w:tcW w:w="4535" w:type="dxa"/>
            <w:vAlign w:val="center"/>
          </w:tcPr>
          <w:p w14:paraId="7C3CD8B2">
            <w:pPr>
              <w:pStyle w:val="12"/>
            </w:pPr>
          </w:p>
        </w:tc>
        <w:tc>
          <w:tcPr>
            <w:tcW w:w="2551" w:type="dxa"/>
            <w:vAlign w:val="center"/>
          </w:tcPr>
          <w:p w14:paraId="1673F239">
            <w:pPr>
              <w:pStyle w:val="11"/>
            </w:pPr>
          </w:p>
        </w:tc>
        <w:tc>
          <w:tcPr>
            <w:tcW w:w="2551" w:type="dxa"/>
            <w:vAlign w:val="center"/>
          </w:tcPr>
          <w:p w14:paraId="410B708D">
            <w:pPr>
              <w:pStyle w:val="11"/>
            </w:pPr>
          </w:p>
        </w:tc>
        <w:tc>
          <w:tcPr>
            <w:tcW w:w="2551" w:type="dxa"/>
            <w:vAlign w:val="center"/>
          </w:tcPr>
          <w:p w14:paraId="15A5C27C">
            <w:pPr>
              <w:pStyle w:val="11"/>
            </w:pPr>
          </w:p>
        </w:tc>
      </w:tr>
    </w:tbl>
    <w:p w14:paraId="5C809C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263D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27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611DB5">
            <w:pPr>
              <w:pStyle w:val="9"/>
            </w:pPr>
            <w:r>
              <w:t>360023隆尧县固城校区</w:t>
            </w:r>
          </w:p>
        </w:tc>
        <w:tc>
          <w:tcPr>
            <w:tcW w:w="2381" w:type="dxa"/>
            <w:tcBorders>
              <w:top w:val="single" w:color="FFFFFF" w:sz="6" w:space="0"/>
              <w:left w:val="single" w:color="FFFFFF" w:sz="6" w:space="0"/>
              <w:right w:val="single" w:color="FFFFFF" w:sz="6" w:space="0"/>
            </w:tcBorders>
            <w:vAlign w:val="center"/>
          </w:tcPr>
          <w:p w14:paraId="05EE19B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CFDCE3A">
            <w:pPr>
              <w:pStyle w:val="7"/>
            </w:pPr>
            <w:r>
              <w:t>单位：万元</w:t>
            </w:r>
          </w:p>
        </w:tc>
      </w:tr>
      <w:tr w14:paraId="4E55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7F5F5">
            <w:pPr>
              <w:pStyle w:val="10"/>
            </w:pPr>
            <w:r>
              <w:t>序号</w:t>
            </w:r>
          </w:p>
        </w:tc>
        <w:tc>
          <w:tcPr>
            <w:tcW w:w="3798" w:type="dxa"/>
            <w:vMerge w:val="restart"/>
            <w:vAlign w:val="center"/>
          </w:tcPr>
          <w:p w14:paraId="43635186">
            <w:pPr>
              <w:pStyle w:val="10"/>
            </w:pPr>
            <w:r>
              <w:t>项  目</w:t>
            </w:r>
          </w:p>
        </w:tc>
        <w:tc>
          <w:tcPr>
            <w:tcW w:w="9524" w:type="dxa"/>
            <w:gridSpan w:val="4"/>
            <w:vAlign w:val="center"/>
          </w:tcPr>
          <w:p w14:paraId="05F812FA">
            <w:pPr>
              <w:pStyle w:val="10"/>
            </w:pPr>
            <w:r>
              <w:t>资 金 性 质</w:t>
            </w:r>
          </w:p>
        </w:tc>
      </w:tr>
      <w:tr w14:paraId="36DE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668320"/>
        </w:tc>
        <w:tc>
          <w:tcPr>
            <w:tcW w:w="3798" w:type="dxa"/>
            <w:vMerge w:val="continue"/>
          </w:tcPr>
          <w:p w14:paraId="4E9D80C2"/>
        </w:tc>
        <w:tc>
          <w:tcPr>
            <w:tcW w:w="2381" w:type="dxa"/>
            <w:vAlign w:val="center"/>
          </w:tcPr>
          <w:p w14:paraId="0DE6D4F3">
            <w:pPr>
              <w:pStyle w:val="10"/>
            </w:pPr>
            <w:r>
              <w:t>合计</w:t>
            </w:r>
          </w:p>
        </w:tc>
        <w:tc>
          <w:tcPr>
            <w:tcW w:w="2381" w:type="dxa"/>
            <w:vAlign w:val="center"/>
          </w:tcPr>
          <w:p w14:paraId="3B1DEAEF">
            <w:pPr>
              <w:pStyle w:val="10"/>
            </w:pPr>
            <w:r>
              <w:t>一般公共预算              财政拨款</w:t>
            </w:r>
          </w:p>
        </w:tc>
        <w:tc>
          <w:tcPr>
            <w:tcW w:w="2381" w:type="dxa"/>
            <w:vAlign w:val="center"/>
          </w:tcPr>
          <w:p w14:paraId="7B25DB59">
            <w:pPr>
              <w:pStyle w:val="10"/>
            </w:pPr>
            <w:r>
              <w:t>政府性基金                  预算拨款</w:t>
            </w:r>
          </w:p>
        </w:tc>
        <w:tc>
          <w:tcPr>
            <w:tcW w:w="2381" w:type="dxa"/>
            <w:vAlign w:val="center"/>
          </w:tcPr>
          <w:p w14:paraId="0DFF5C55">
            <w:pPr>
              <w:pStyle w:val="10"/>
            </w:pPr>
            <w:r>
              <w:t>国有资本经营              预算财政拨款</w:t>
            </w:r>
          </w:p>
        </w:tc>
      </w:tr>
      <w:tr w14:paraId="3249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652E3B">
            <w:pPr>
              <w:pStyle w:val="10"/>
            </w:pPr>
            <w:r>
              <w:t>栏次</w:t>
            </w:r>
          </w:p>
        </w:tc>
        <w:tc>
          <w:tcPr>
            <w:tcW w:w="3798" w:type="dxa"/>
            <w:vAlign w:val="center"/>
          </w:tcPr>
          <w:p w14:paraId="471720A9">
            <w:pPr>
              <w:pStyle w:val="10"/>
            </w:pPr>
            <w:r>
              <w:t>1</w:t>
            </w:r>
          </w:p>
        </w:tc>
        <w:tc>
          <w:tcPr>
            <w:tcW w:w="2381" w:type="dxa"/>
            <w:vAlign w:val="center"/>
          </w:tcPr>
          <w:p w14:paraId="05736DA7">
            <w:pPr>
              <w:pStyle w:val="10"/>
            </w:pPr>
            <w:r>
              <w:t>2</w:t>
            </w:r>
          </w:p>
        </w:tc>
        <w:tc>
          <w:tcPr>
            <w:tcW w:w="2381" w:type="dxa"/>
            <w:vAlign w:val="center"/>
          </w:tcPr>
          <w:p w14:paraId="7EFDB398">
            <w:pPr>
              <w:pStyle w:val="10"/>
            </w:pPr>
            <w:r>
              <w:t>3</w:t>
            </w:r>
          </w:p>
        </w:tc>
        <w:tc>
          <w:tcPr>
            <w:tcW w:w="2381" w:type="dxa"/>
            <w:vAlign w:val="center"/>
          </w:tcPr>
          <w:p w14:paraId="75F1FDEB">
            <w:pPr>
              <w:pStyle w:val="10"/>
            </w:pPr>
            <w:r>
              <w:t>4</w:t>
            </w:r>
          </w:p>
        </w:tc>
        <w:tc>
          <w:tcPr>
            <w:tcW w:w="2381" w:type="dxa"/>
            <w:vAlign w:val="center"/>
          </w:tcPr>
          <w:p w14:paraId="199F2EE7">
            <w:pPr>
              <w:pStyle w:val="10"/>
            </w:pPr>
            <w:r>
              <w:t>5</w:t>
            </w:r>
          </w:p>
        </w:tc>
      </w:tr>
      <w:tr w14:paraId="51DF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70680B">
            <w:pPr>
              <w:pStyle w:val="13"/>
            </w:pPr>
          </w:p>
        </w:tc>
        <w:tc>
          <w:tcPr>
            <w:tcW w:w="3798" w:type="dxa"/>
            <w:vAlign w:val="center"/>
          </w:tcPr>
          <w:p w14:paraId="11CB4F02">
            <w:pPr>
              <w:pStyle w:val="12"/>
            </w:pPr>
          </w:p>
        </w:tc>
        <w:tc>
          <w:tcPr>
            <w:tcW w:w="2381" w:type="dxa"/>
            <w:vAlign w:val="center"/>
          </w:tcPr>
          <w:p w14:paraId="3A02A693">
            <w:pPr>
              <w:pStyle w:val="11"/>
            </w:pPr>
          </w:p>
        </w:tc>
        <w:tc>
          <w:tcPr>
            <w:tcW w:w="2381" w:type="dxa"/>
            <w:vAlign w:val="center"/>
          </w:tcPr>
          <w:p w14:paraId="39308212">
            <w:pPr>
              <w:pStyle w:val="11"/>
            </w:pPr>
          </w:p>
        </w:tc>
        <w:tc>
          <w:tcPr>
            <w:tcW w:w="2381" w:type="dxa"/>
            <w:vAlign w:val="center"/>
          </w:tcPr>
          <w:p w14:paraId="5940C0EA">
            <w:pPr>
              <w:pStyle w:val="11"/>
            </w:pPr>
          </w:p>
        </w:tc>
        <w:tc>
          <w:tcPr>
            <w:tcW w:w="2381" w:type="dxa"/>
            <w:vAlign w:val="center"/>
          </w:tcPr>
          <w:p w14:paraId="1CB5EBB0">
            <w:pPr>
              <w:pStyle w:val="11"/>
            </w:pPr>
          </w:p>
        </w:tc>
      </w:tr>
    </w:tbl>
    <w:p w14:paraId="2E9423B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478850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隆尧县固城校区2026年单位预算信息公开情况说明</w:t>
      </w:r>
    </w:p>
    <w:p w14:paraId="59103F9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地方预决算公开操作规程》和《关于进一步推进预算公开工作的实施意见》规定，现将隆尧县固城校区2026年单位预算公开如下：</w:t>
      </w:r>
    </w:p>
    <w:p w14:paraId="6BF99F69">
      <w:pPr>
        <w:spacing w:before="10" w:after="10" w:line="240" w:lineRule="auto"/>
        <w:ind w:firstLine="640"/>
        <w:jc w:val="left"/>
        <w:outlineLvl w:val="5"/>
      </w:pPr>
      <w:r>
        <w:rPr>
          <w:rFonts w:ascii="黑体" w:hAnsi="黑体" w:eastAsia="黑体" w:cs="黑体"/>
          <w:color w:val="000000"/>
          <w:sz w:val="32"/>
        </w:rPr>
        <w:t>一、单位职责及机构设置情况</w:t>
      </w:r>
    </w:p>
    <w:p w14:paraId="0DF32B8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4BB50B">
      <w:pPr>
        <w:pStyle w:val="17"/>
        <w:rPr>
          <w:rFonts w:hint="eastAsia"/>
        </w:rPr>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w:t>
      </w:r>
    </w:p>
    <w:p w14:paraId="48D61C12">
      <w:pPr>
        <w:pStyle w:val="17"/>
      </w:pPr>
      <w:r>
        <w:rPr>
          <w:rFonts w:hint="eastAsia"/>
        </w:rPr>
        <w:t>隆尧县固城校区事业编制157名，其中，校长1名</w:t>
      </w:r>
      <w:r>
        <w:rPr>
          <w:rFonts w:hint="eastAsia"/>
          <w:lang w:eastAsia="zh-CN"/>
        </w:rPr>
        <w:t>（</w:t>
      </w:r>
      <w:r>
        <w:rPr>
          <w:rFonts w:hint="eastAsia"/>
        </w:rPr>
        <w:t>正股级</w:t>
      </w:r>
      <w:r>
        <w:rPr>
          <w:rFonts w:hint="eastAsia"/>
          <w:lang w:eastAsia="zh-CN"/>
        </w:rPr>
        <w:t>）</w:t>
      </w:r>
      <w:r>
        <w:rPr>
          <w:rFonts w:hint="eastAsia"/>
        </w:rPr>
        <w:t>，副校长3名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5D8E52F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67978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64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518553">
            <w:pPr>
              <w:pStyle w:val="10"/>
            </w:pPr>
            <w:r>
              <w:t>单位名称</w:t>
            </w:r>
          </w:p>
        </w:tc>
        <w:tc>
          <w:tcPr>
            <w:tcW w:w="1843" w:type="dxa"/>
            <w:vAlign w:val="center"/>
          </w:tcPr>
          <w:p w14:paraId="508F95CC">
            <w:pPr>
              <w:pStyle w:val="10"/>
            </w:pPr>
            <w:r>
              <w:t>单位性质</w:t>
            </w:r>
          </w:p>
        </w:tc>
        <w:tc>
          <w:tcPr>
            <w:tcW w:w="2126" w:type="dxa"/>
            <w:vAlign w:val="center"/>
          </w:tcPr>
          <w:p w14:paraId="64C5C076">
            <w:pPr>
              <w:pStyle w:val="10"/>
            </w:pPr>
            <w:r>
              <w:t>单位规格</w:t>
            </w:r>
          </w:p>
        </w:tc>
        <w:tc>
          <w:tcPr>
            <w:tcW w:w="3827" w:type="dxa"/>
            <w:vAlign w:val="center"/>
          </w:tcPr>
          <w:p w14:paraId="3D274F17">
            <w:pPr>
              <w:pStyle w:val="10"/>
            </w:pPr>
            <w:r>
              <w:t>经费保障形式</w:t>
            </w:r>
          </w:p>
        </w:tc>
      </w:tr>
      <w:tr w14:paraId="50E0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9BF719">
            <w:pPr>
              <w:pStyle w:val="12"/>
            </w:pPr>
            <w:r>
              <w:t>隆尧县固城校区</w:t>
            </w:r>
          </w:p>
        </w:tc>
        <w:tc>
          <w:tcPr>
            <w:tcW w:w="1843" w:type="dxa"/>
            <w:vAlign w:val="center"/>
          </w:tcPr>
          <w:p w14:paraId="307250B6">
            <w:pPr>
              <w:pStyle w:val="13"/>
            </w:pPr>
            <w:r>
              <w:t>事业</w:t>
            </w:r>
          </w:p>
        </w:tc>
        <w:tc>
          <w:tcPr>
            <w:tcW w:w="2126" w:type="dxa"/>
            <w:vAlign w:val="center"/>
          </w:tcPr>
          <w:p w14:paraId="6D812FA3">
            <w:pPr>
              <w:pStyle w:val="13"/>
            </w:pPr>
            <w:r>
              <w:t>股级</w:t>
            </w:r>
          </w:p>
        </w:tc>
        <w:tc>
          <w:tcPr>
            <w:tcW w:w="3827" w:type="dxa"/>
            <w:vAlign w:val="center"/>
          </w:tcPr>
          <w:p w14:paraId="45FED2DA">
            <w:pPr>
              <w:pStyle w:val="13"/>
            </w:pPr>
            <w:r>
              <w:t>财政性资金基本保证</w:t>
            </w:r>
          </w:p>
        </w:tc>
      </w:tr>
    </w:tbl>
    <w:p w14:paraId="15BA3D27">
      <w:pPr>
        <w:spacing w:before="10" w:after="10" w:line="240" w:lineRule="auto"/>
        <w:ind w:firstLine="640"/>
        <w:jc w:val="left"/>
        <w:outlineLvl w:val="5"/>
      </w:pPr>
      <w:r>
        <w:rPr>
          <w:rFonts w:ascii="黑体" w:hAnsi="黑体" w:eastAsia="黑体" w:cs="黑体"/>
          <w:color w:val="000000"/>
          <w:sz w:val="32"/>
        </w:rPr>
        <w:t>二、单位预算安排的总体情况</w:t>
      </w:r>
    </w:p>
    <w:p w14:paraId="0EF3CB3A">
      <w:pPr>
        <w:pStyle w:val="18"/>
      </w:pPr>
      <w:r>
        <w:t>二、单位预算安排的总体情况</w:t>
      </w:r>
    </w:p>
    <w:p w14:paraId="5F97EFB0">
      <w:pPr>
        <w:pStyle w:val="18"/>
      </w:pPr>
      <w:r>
        <w:t>按照预算管理有关规定，目前我校区单位预算的编制实行综合预算管理，即全部收入和支出都反映的预算中。隆尧县固城校区的收支包含在单位预算中。</w:t>
      </w:r>
    </w:p>
    <w:p w14:paraId="4959EF57">
      <w:pPr>
        <w:pStyle w:val="18"/>
      </w:pPr>
      <w:r>
        <w:t>1、收入说明</w:t>
      </w:r>
    </w:p>
    <w:p w14:paraId="63639FA2">
      <w:pPr>
        <w:pStyle w:val="18"/>
      </w:pPr>
      <w:r>
        <w:t>反映本单位当年全部收入。2026年预算收入2820.38万元，其中：一般公共预算收入2820.38万元，基金预算收入0万元，上年结转收入0万元，财政专户收入0万元，其他来源收入0万元。</w:t>
      </w:r>
    </w:p>
    <w:p w14:paraId="32CEB2F6">
      <w:pPr>
        <w:pStyle w:val="18"/>
      </w:pPr>
      <w:r>
        <w:t>2、支出说明</w:t>
      </w:r>
    </w:p>
    <w:p w14:paraId="2488C439">
      <w:pPr>
        <w:pStyle w:val="18"/>
      </w:pPr>
      <w:r>
        <w:t>收支预算总表支出栏、基本支出表、项目支出表按经济分类和支出功能分类科目编制，反映我单位预算中支出预算的总体情况。2026年单位支出预算为2820.38万元，其中基本支出2106.84万元；项目支出713.53万元。</w:t>
      </w:r>
    </w:p>
    <w:p w14:paraId="0E93076B">
      <w:pPr>
        <w:pStyle w:val="18"/>
      </w:pPr>
      <w:r>
        <w:t>3、比上年增减情况</w:t>
      </w:r>
    </w:p>
    <w:p w14:paraId="3CF54D98">
      <w:pPr>
        <w:pStyle w:val="18"/>
      </w:pPr>
      <w:r>
        <w:t>2026年部门预算收支安排2820.38万元，较2025年预算减少208.64万元，其中基本支出减少160.49万元，项目支出减少48.16万元</w:t>
      </w:r>
      <w:r>
        <w:rPr>
          <w:rFonts w:hint="eastAsia"/>
          <w:lang w:eastAsia="zh-CN"/>
        </w:rPr>
        <w:t>。</w:t>
      </w:r>
    </w:p>
    <w:p w14:paraId="762C9122">
      <w:pPr>
        <w:spacing w:before="10" w:after="10" w:line="240" w:lineRule="auto"/>
        <w:ind w:firstLine="640"/>
        <w:jc w:val="left"/>
        <w:outlineLvl w:val="5"/>
      </w:pPr>
      <w:r>
        <w:rPr>
          <w:rFonts w:ascii="黑体" w:hAnsi="黑体" w:eastAsia="黑体" w:cs="黑体"/>
          <w:color w:val="000000"/>
          <w:sz w:val="32"/>
        </w:rPr>
        <w:t>三、机关运行经费安排情况</w:t>
      </w:r>
    </w:p>
    <w:p w14:paraId="521C95DE">
      <w:pPr>
        <w:pStyle w:val="19"/>
      </w:pPr>
      <w:r>
        <w:t>三、机关运行经费安排情况</w:t>
      </w:r>
    </w:p>
    <w:p w14:paraId="0D502F6E">
      <w:pPr>
        <w:pStyle w:val="19"/>
      </w:pPr>
      <w:r>
        <w:t>机关运行经费安排情况</w:t>
      </w:r>
    </w:p>
    <w:p w14:paraId="4651558B">
      <w:pPr>
        <w:pStyle w:val="19"/>
      </w:pPr>
      <w:r>
        <w:t>2026年我单位机关运行经费安排0万元</w:t>
      </w:r>
    </w:p>
    <w:p w14:paraId="1102CC2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2E266B">
      <w:pPr>
        <w:pStyle w:val="20"/>
      </w:pPr>
      <w:r>
        <w:t>四、财政拨款“三公”经费预算情况及增减变化原因</w:t>
      </w:r>
    </w:p>
    <w:p w14:paraId="701C5815">
      <w:pPr>
        <w:pStyle w:val="20"/>
      </w:pPr>
      <w:r>
        <w:t>2026年我单位未安排</w:t>
      </w:r>
      <w:r>
        <w:rPr>
          <w:rFonts w:hint="eastAsia"/>
          <w:lang w:eastAsia="zh-CN"/>
        </w:rPr>
        <w:t>“三公”经费</w:t>
      </w:r>
      <w:r>
        <w:t>。</w:t>
      </w:r>
    </w:p>
    <w:p w14:paraId="34AE2AF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EEDA17">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1、冀财教[2025]121号/中央/2026年义教补助经费/固城校区东王村小学公用经费绩效目标表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62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60397">
            <w:pPr>
              <w:pStyle w:val="11"/>
            </w:pPr>
            <w:r>
              <w:t>单位：万元</w:t>
            </w:r>
          </w:p>
        </w:tc>
      </w:tr>
      <w:tr w14:paraId="7E394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44012">
            <w:pPr>
              <w:pStyle w:val="10"/>
            </w:pPr>
            <w:r>
              <w:t>项目编码</w:t>
            </w:r>
          </w:p>
        </w:tc>
        <w:tc>
          <w:tcPr>
            <w:tcW w:w="5103" w:type="dxa"/>
            <w:gridSpan w:val="2"/>
            <w:vAlign w:val="center"/>
          </w:tcPr>
          <w:p w14:paraId="571A912D">
            <w:pPr>
              <w:pStyle w:val="12"/>
            </w:pPr>
            <w:r>
              <w:t>13052526P00000410300A</w:t>
            </w:r>
          </w:p>
        </w:tc>
        <w:tc>
          <w:tcPr>
            <w:tcW w:w="2835" w:type="dxa"/>
            <w:vAlign w:val="center"/>
          </w:tcPr>
          <w:p w14:paraId="630E572D">
            <w:pPr>
              <w:pStyle w:val="10"/>
            </w:pPr>
            <w:r>
              <w:t>项目名称</w:t>
            </w:r>
          </w:p>
        </w:tc>
        <w:tc>
          <w:tcPr>
            <w:tcW w:w="6095" w:type="dxa"/>
            <w:gridSpan w:val="3"/>
            <w:vAlign w:val="center"/>
          </w:tcPr>
          <w:p w14:paraId="7099C8DA">
            <w:pPr>
              <w:pStyle w:val="12"/>
            </w:pPr>
            <w:r>
              <w:t>冀财教[2025]121号/中央/2026年义教补助经费/固城校区东王村小学公用经费</w:t>
            </w:r>
          </w:p>
        </w:tc>
      </w:tr>
      <w:tr w14:paraId="6B962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E2396">
            <w:pPr>
              <w:pStyle w:val="10"/>
            </w:pPr>
            <w:r>
              <w:t>预算规模及资金用途</w:t>
            </w:r>
          </w:p>
        </w:tc>
        <w:tc>
          <w:tcPr>
            <w:tcW w:w="2268" w:type="dxa"/>
            <w:vAlign w:val="center"/>
          </w:tcPr>
          <w:p w14:paraId="0F306A7B">
            <w:pPr>
              <w:pStyle w:val="10"/>
            </w:pPr>
            <w:r>
              <w:t>预算数</w:t>
            </w:r>
          </w:p>
        </w:tc>
        <w:tc>
          <w:tcPr>
            <w:tcW w:w="2835" w:type="dxa"/>
            <w:vAlign w:val="center"/>
          </w:tcPr>
          <w:p w14:paraId="5B763647">
            <w:pPr>
              <w:pStyle w:val="12"/>
            </w:pPr>
            <w:r>
              <w:t>105.54</w:t>
            </w:r>
          </w:p>
        </w:tc>
        <w:tc>
          <w:tcPr>
            <w:tcW w:w="2835" w:type="dxa"/>
            <w:vAlign w:val="center"/>
          </w:tcPr>
          <w:p w14:paraId="02B3C0C2">
            <w:pPr>
              <w:pStyle w:val="10"/>
            </w:pPr>
            <w:r>
              <w:t>其中：财政    资金</w:t>
            </w:r>
          </w:p>
        </w:tc>
        <w:tc>
          <w:tcPr>
            <w:tcW w:w="2551" w:type="dxa"/>
            <w:vAlign w:val="center"/>
          </w:tcPr>
          <w:p w14:paraId="27BA737E">
            <w:pPr>
              <w:pStyle w:val="12"/>
            </w:pPr>
            <w:r>
              <w:t>105.54</w:t>
            </w:r>
          </w:p>
        </w:tc>
        <w:tc>
          <w:tcPr>
            <w:tcW w:w="2268" w:type="dxa"/>
            <w:vAlign w:val="center"/>
          </w:tcPr>
          <w:p w14:paraId="6D89A034">
            <w:pPr>
              <w:pStyle w:val="10"/>
            </w:pPr>
            <w:r>
              <w:t>其他资金</w:t>
            </w:r>
          </w:p>
        </w:tc>
        <w:tc>
          <w:tcPr>
            <w:tcW w:w="1276" w:type="dxa"/>
            <w:vAlign w:val="center"/>
          </w:tcPr>
          <w:p w14:paraId="6C7448BD">
            <w:pPr>
              <w:pStyle w:val="12"/>
            </w:pPr>
            <w:r>
              <w:t xml:space="preserve"> </w:t>
            </w:r>
          </w:p>
        </w:tc>
      </w:tr>
      <w:tr w14:paraId="16DF4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09E7C"/>
        </w:tc>
        <w:tc>
          <w:tcPr>
            <w:tcW w:w="14033" w:type="dxa"/>
            <w:gridSpan w:val="6"/>
            <w:vAlign w:val="center"/>
          </w:tcPr>
          <w:p w14:paraId="7B599FB0">
            <w:pPr>
              <w:pStyle w:val="12"/>
            </w:pPr>
            <w:r>
              <w:t>保障义务教育学校正常运转，完成教育教学活动和其他日常工作任务等方面的费用支出。</w:t>
            </w:r>
          </w:p>
        </w:tc>
      </w:tr>
      <w:tr w14:paraId="68088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D2B72">
            <w:pPr>
              <w:pStyle w:val="10"/>
            </w:pPr>
            <w:r>
              <w:t>资金支出计划（%）</w:t>
            </w:r>
          </w:p>
        </w:tc>
        <w:tc>
          <w:tcPr>
            <w:tcW w:w="5103" w:type="dxa"/>
            <w:gridSpan w:val="2"/>
            <w:vAlign w:val="center"/>
          </w:tcPr>
          <w:p w14:paraId="210B7F13">
            <w:pPr>
              <w:pStyle w:val="10"/>
            </w:pPr>
            <w:r>
              <w:t>3月底</w:t>
            </w:r>
          </w:p>
        </w:tc>
        <w:tc>
          <w:tcPr>
            <w:tcW w:w="2835" w:type="dxa"/>
            <w:vAlign w:val="center"/>
          </w:tcPr>
          <w:p w14:paraId="2BE873D5">
            <w:pPr>
              <w:pStyle w:val="10"/>
            </w:pPr>
            <w:r>
              <w:t>6月底</w:t>
            </w:r>
          </w:p>
        </w:tc>
        <w:tc>
          <w:tcPr>
            <w:tcW w:w="2551" w:type="dxa"/>
            <w:vAlign w:val="center"/>
          </w:tcPr>
          <w:p w14:paraId="77B2726B">
            <w:pPr>
              <w:pStyle w:val="10"/>
            </w:pPr>
            <w:r>
              <w:t>10月底</w:t>
            </w:r>
          </w:p>
        </w:tc>
        <w:tc>
          <w:tcPr>
            <w:tcW w:w="3544" w:type="dxa"/>
            <w:gridSpan w:val="2"/>
            <w:vAlign w:val="center"/>
          </w:tcPr>
          <w:p w14:paraId="4DFDD8F3">
            <w:pPr>
              <w:pStyle w:val="10"/>
            </w:pPr>
            <w:r>
              <w:t>12月底</w:t>
            </w:r>
          </w:p>
        </w:tc>
      </w:tr>
      <w:tr w14:paraId="6B979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1432B"/>
        </w:tc>
        <w:tc>
          <w:tcPr>
            <w:tcW w:w="5103" w:type="dxa"/>
            <w:gridSpan w:val="2"/>
            <w:vAlign w:val="center"/>
          </w:tcPr>
          <w:p w14:paraId="47413759">
            <w:pPr>
              <w:pStyle w:val="13"/>
            </w:pPr>
            <w:r>
              <w:t>25%</w:t>
            </w:r>
          </w:p>
        </w:tc>
        <w:tc>
          <w:tcPr>
            <w:tcW w:w="2835" w:type="dxa"/>
            <w:vAlign w:val="center"/>
          </w:tcPr>
          <w:p w14:paraId="35696917">
            <w:pPr>
              <w:pStyle w:val="13"/>
            </w:pPr>
            <w:r>
              <w:t>50%</w:t>
            </w:r>
          </w:p>
        </w:tc>
        <w:tc>
          <w:tcPr>
            <w:tcW w:w="2551" w:type="dxa"/>
            <w:vAlign w:val="center"/>
          </w:tcPr>
          <w:p w14:paraId="4D17A3B2">
            <w:pPr>
              <w:pStyle w:val="13"/>
            </w:pPr>
            <w:r>
              <w:t>75%</w:t>
            </w:r>
          </w:p>
        </w:tc>
        <w:tc>
          <w:tcPr>
            <w:tcW w:w="3544" w:type="dxa"/>
            <w:gridSpan w:val="2"/>
            <w:vAlign w:val="center"/>
          </w:tcPr>
          <w:p w14:paraId="73224A75">
            <w:pPr>
              <w:pStyle w:val="13"/>
            </w:pPr>
            <w:r>
              <w:t>100%</w:t>
            </w:r>
          </w:p>
        </w:tc>
      </w:tr>
      <w:tr w14:paraId="5F7CF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2DF00">
            <w:pPr>
              <w:pStyle w:val="10"/>
            </w:pPr>
            <w:r>
              <w:t>绩效目标</w:t>
            </w:r>
          </w:p>
        </w:tc>
        <w:tc>
          <w:tcPr>
            <w:tcW w:w="14033" w:type="dxa"/>
            <w:gridSpan w:val="6"/>
            <w:vAlign w:val="center"/>
          </w:tcPr>
          <w:p w14:paraId="4A0E9267">
            <w:pPr>
              <w:pStyle w:val="12"/>
            </w:pPr>
            <w:r>
              <w:t>1.按规定拨付公用经费资金105.54万元，资金拨付率达到100%。</w:t>
            </w:r>
          </w:p>
          <w:p w14:paraId="088F48A7">
            <w:pPr>
              <w:pStyle w:val="12"/>
            </w:pPr>
          </w:p>
          <w:p w14:paraId="242DC822">
            <w:pPr>
              <w:pStyle w:val="12"/>
            </w:pPr>
            <w:r>
              <w:t>2.保障义务教育学校正常运转，完成教育教学活动和其他日常工作任务等方面的费用支出。</w:t>
            </w:r>
          </w:p>
          <w:p w14:paraId="3DCD3CA8">
            <w:pPr>
              <w:pStyle w:val="12"/>
            </w:pPr>
          </w:p>
        </w:tc>
      </w:tr>
    </w:tbl>
    <w:p w14:paraId="28C74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6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32BC5">
            <w:pPr>
              <w:pStyle w:val="10"/>
            </w:pPr>
            <w:r>
              <w:t>一级指标</w:t>
            </w:r>
          </w:p>
        </w:tc>
        <w:tc>
          <w:tcPr>
            <w:tcW w:w="2268" w:type="dxa"/>
            <w:vAlign w:val="center"/>
          </w:tcPr>
          <w:p w14:paraId="78239CD8">
            <w:pPr>
              <w:pStyle w:val="10"/>
            </w:pPr>
            <w:r>
              <w:t>二级指标</w:t>
            </w:r>
          </w:p>
        </w:tc>
        <w:tc>
          <w:tcPr>
            <w:tcW w:w="2835" w:type="dxa"/>
            <w:vAlign w:val="center"/>
          </w:tcPr>
          <w:p w14:paraId="2506FCF5">
            <w:pPr>
              <w:pStyle w:val="10"/>
            </w:pPr>
            <w:r>
              <w:t>三级指标</w:t>
            </w:r>
          </w:p>
        </w:tc>
        <w:tc>
          <w:tcPr>
            <w:tcW w:w="5386" w:type="dxa"/>
            <w:vAlign w:val="center"/>
          </w:tcPr>
          <w:p w14:paraId="54924A19">
            <w:pPr>
              <w:pStyle w:val="10"/>
            </w:pPr>
            <w:r>
              <w:t>绩效指标描述</w:t>
            </w:r>
          </w:p>
        </w:tc>
        <w:tc>
          <w:tcPr>
            <w:tcW w:w="2268" w:type="dxa"/>
            <w:vAlign w:val="center"/>
          </w:tcPr>
          <w:p w14:paraId="4CA73C0C">
            <w:pPr>
              <w:pStyle w:val="10"/>
            </w:pPr>
            <w:r>
              <w:t>指标值</w:t>
            </w:r>
          </w:p>
        </w:tc>
        <w:tc>
          <w:tcPr>
            <w:tcW w:w="1276" w:type="dxa"/>
            <w:vAlign w:val="center"/>
          </w:tcPr>
          <w:p w14:paraId="0F4251C0">
            <w:pPr>
              <w:pStyle w:val="10"/>
            </w:pPr>
            <w:r>
              <w:t>指标值确定依据</w:t>
            </w:r>
          </w:p>
        </w:tc>
      </w:tr>
      <w:tr w14:paraId="41D8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DC220">
            <w:pPr>
              <w:pStyle w:val="13"/>
            </w:pPr>
            <w:r>
              <w:t>产出指标</w:t>
            </w:r>
          </w:p>
        </w:tc>
        <w:tc>
          <w:tcPr>
            <w:tcW w:w="2268" w:type="dxa"/>
            <w:vAlign w:val="center"/>
          </w:tcPr>
          <w:p w14:paraId="1FEF1A91">
            <w:pPr>
              <w:pStyle w:val="12"/>
            </w:pPr>
            <w:r>
              <w:t>数量指标</w:t>
            </w:r>
          </w:p>
        </w:tc>
        <w:tc>
          <w:tcPr>
            <w:tcW w:w="2835" w:type="dxa"/>
            <w:vAlign w:val="center"/>
          </w:tcPr>
          <w:p w14:paraId="3F729DE9">
            <w:pPr>
              <w:pStyle w:val="12"/>
            </w:pPr>
            <w:r>
              <w:t>就读学生数</w:t>
            </w:r>
          </w:p>
        </w:tc>
        <w:tc>
          <w:tcPr>
            <w:tcW w:w="5386" w:type="dxa"/>
            <w:vAlign w:val="center"/>
          </w:tcPr>
          <w:p w14:paraId="322DB937">
            <w:pPr>
              <w:pStyle w:val="12"/>
            </w:pPr>
            <w:r>
              <w:t>辐射区域内适龄学生人数</w:t>
            </w:r>
          </w:p>
        </w:tc>
        <w:tc>
          <w:tcPr>
            <w:tcW w:w="2268" w:type="dxa"/>
            <w:vAlign w:val="center"/>
          </w:tcPr>
          <w:p w14:paraId="5EC0325D">
            <w:pPr>
              <w:pStyle w:val="12"/>
            </w:pPr>
            <w:r>
              <w:t>1544人</w:t>
            </w:r>
          </w:p>
        </w:tc>
        <w:tc>
          <w:tcPr>
            <w:tcW w:w="1276" w:type="dxa"/>
            <w:vAlign w:val="center"/>
          </w:tcPr>
          <w:p w14:paraId="41C878A9">
            <w:pPr>
              <w:pStyle w:val="12"/>
            </w:pPr>
            <w:r>
              <w:t>城乡义务教育公用经费管理办法</w:t>
            </w:r>
          </w:p>
          <w:p w14:paraId="30957E9F">
            <w:pPr>
              <w:pStyle w:val="12"/>
            </w:pPr>
          </w:p>
        </w:tc>
      </w:tr>
      <w:tr w14:paraId="1698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5FAAF"/>
        </w:tc>
        <w:tc>
          <w:tcPr>
            <w:tcW w:w="2268" w:type="dxa"/>
            <w:vAlign w:val="center"/>
          </w:tcPr>
          <w:p w14:paraId="1A66AD8D">
            <w:pPr>
              <w:pStyle w:val="12"/>
            </w:pPr>
            <w:r>
              <w:t>质量指标</w:t>
            </w:r>
          </w:p>
        </w:tc>
        <w:tc>
          <w:tcPr>
            <w:tcW w:w="2835" w:type="dxa"/>
            <w:vAlign w:val="center"/>
          </w:tcPr>
          <w:p w14:paraId="30252F91">
            <w:pPr>
              <w:pStyle w:val="12"/>
            </w:pPr>
            <w:r>
              <w:t>义教经费支付完成率</w:t>
            </w:r>
          </w:p>
        </w:tc>
        <w:tc>
          <w:tcPr>
            <w:tcW w:w="5386" w:type="dxa"/>
            <w:vAlign w:val="center"/>
          </w:tcPr>
          <w:p w14:paraId="34ECC85F">
            <w:pPr>
              <w:pStyle w:val="12"/>
            </w:pPr>
            <w:r>
              <w:t>按照序时进度完成资金支付</w:t>
            </w:r>
          </w:p>
        </w:tc>
        <w:tc>
          <w:tcPr>
            <w:tcW w:w="2268" w:type="dxa"/>
            <w:vAlign w:val="center"/>
          </w:tcPr>
          <w:p w14:paraId="6E285623">
            <w:pPr>
              <w:pStyle w:val="12"/>
            </w:pPr>
            <w:r>
              <w:t>100%</w:t>
            </w:r>
          </w:p>
        </w:tc>
        <w:tc>
          <w:tcPr>
            <w:tcW w:w="1276" w:type="dxa"/>
            <w:vAlign w:val="center"/>
          </w:tcPr>
          <w:p w14:paraId="30DFD13F">
            <w:pPr>
              <w:pStyle w:val="12"/>
            </w:pPr>
            <w:r>
              <w:t>城乡义务教育公用经费管理办法</w:t>
            </w:r>
          </w:p>
        </w:tc>
      </w:tr>
      <w:tr w14:paraId="7123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7C14B"/>
        </w:tc>
        <w:tc>
          <w:tcPr>
            <w:tcW w:w="2268" w:type="dxa"/>
            <w:vAlign w:val="center"/>
          </w:tcPr>
          <w:p w14:paraId="3F0209BC">
            <w:pPr>
              <w:pStyle w:val="12"/>
            </w:pPr>
            <w:r>
              <w:t>时效指标</w:t>
            </w:r>
          </w:p>
        </w:tc>
        <w:tc>
          <w:tcPr>
            <w:tcW w:w="2835" w:type="dxa"/>
            <w:vAlign w:val="center"/>
          </w:tcPr>
          <w:p w14:paraId="1EA0A499">
            <w:pPr>
              <w:pStyle w:val="12"/>
            </w:pPr>
            <w:r>
              <w:t>预算执行率</w:t>
            </w:r>
          </w:p>
        </w:tc>
        <w:tc>
          <w:tcPr>
            <w:tcW w:w="5386" w:type="dxa"/>
            <w:vAlign w:val="center"/>
          </w:tcPr>
          <w:p w14:paraId="39519F83">
            <w:pPr>
              <w:pStyle w:val="12"/>
            </w:pPr>
            <w:r>
              <w:t>预算执行率≥98%</w:t>
            </w:r>
          </w:p>
          <w:p w14:paraId="0FA73369">
            <w:pPr>
              <w:pStyle w:val="12"/>
            </w:pPr>
          </w:p>
        </w:tc>
        <w:tc>
          <w:tcPr>
            <w:tcW w:w="2268" w:type="dxa"/>
            <w:vAlign w:val="center"/>
          </w:tcPr>
          <w:p w14:paraId="366D8F38">
            <w:pPr>
              <w:pStyle w:val="12"/>
            </w:pPr>
            <w:r>
              <w:t>≥98%</w:t>
            </w:r>
          </w:p>
        </w:tc>
        <w:tc>
          <w:tcPr>
            <w:tcW w:w="1276" w:type="dxa"/>
            <w:vAlign w:val="center"/>
          </w:tcPr>
          <w:p w14:paraId="4FF072F7">
            <w:pPr>
              <w:pStyle w:val="12"/>
            </w:pPr>
            <w:r>
              <w:t>城乡义务教育公用经费管理办法</w:t>
            </w:r>
          </w:p>
        </w:tc>
      </w:tr>
      <w:tr w14:paraId="1138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CB7C3"/>
        </w:tc>
        <w:tc>
          <w:tcPr>
            <w:tcW w:w="2268" w:type="dxa"/>
            <w:vAlign w:val="center"/>
          </w:tcPr>
          <w:p w14:paraId="7D048A86">
            <w:pPr>
              <w:pStyle w:val="12"/>
            </w:pPr>
            <w:r>
              <w:t>成本指标</w:t>
            </w:r>
          </w:p>
        </w:tc>
        <w:tc>
          <w:tcPr>
            <w:tcW w:w="2835" w:type="dxa"/>
            <w:vAlign w:val="center"/>
          </w:tcPr>
          <w:p w14:paraId="1F46C7DF">
            <w:pPr>
              <w:pStyle w:val="12"/>
            </w:pPr>
            <w:r>
              <w:t>生均拨款标准</w:t>
            </w:r>
          </w:p>
        </w:tc>
        <w:tc>
          <w:tcPr>
            <w:tcW w:w="5386" w:type="dxa"/>
            <w:vAlign w:val="center"/>
          </w:tcPr>
          <w:p w14:paraId="3838764D">
            <w:pPr>
              <w:pStyle w:val="12"/>
            </w:pPr>
            <w:r>
              <w:t>小学：（基本标准720元、寄宿生300元、生活补助120元）/生/学年；特教、随班就读学生：标准7000元/生/学年</w:t>
            </w:r>
          </w:p>
        </w:tc>
        <w:tc>
          <w:tcPr>
            <w:tcW w:w="2268" w:type="dxa"/>
            <w:vAlign w:val="center"/>
          </w:tcPr>
          <w:p w14:paraId="7AA592B9">
            <w:pPr>
              <w:pStyle w:val="12"/>
            </w:pPr>
            <w:r>
              <w:t>840元</w:t>
            </w:r>
          </w:p>
        </w:tc>
        <w:tc>
          <w:tcPr>
            <w:tcW w:w="1276" w:type="dxa"/>
            <w:vAlign w:val="center"/>
          </w:tcPr>
          <w:p w14:paraId="3F66C098">
            <w:pPr>
              <w:pStyle w:val="12"/>
            </w:pPr>
            <w:r>
              <w:t>城乡义务教育公用经费管理办法</w:t>
            </w:r>
          </w:p>
        </w:tc>
      </w:tr>
      <w:tr w14:paraId="58B7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82B7A">
            <w:pPr>
              <w:pStyle w:val="13"/>
            </w:pPr>
            <w:r>
              <w:t>效益指标</w:t>
            </w:r>
          </w:p>
        </w:tc>
        <w:tc>
          <w:tcPr>
            <w:tcW w:w="2268" w:type="dxa"/>
            <w:vAlign w:val="center"/>
          </w:tcPr>
          <w:p w14:paraId="373CE8B5">
            <w:pPr>
              <w:pStyle w:val="12"/>
            </w:pPr>
            <w:r>
              <w:t>可持续影响指标</w:t>
            </w:r>
          </w:p>
        </w:tc>
        <w:tc>
          <w:tcPr>
            <w:tcW w:w="2835" w:type="dxa"/>
            <w:vAlign w:val="center"/>
          </w:tcPr>
          <w:p w14:paraId="2ADFEA6D">
            <w:pPr>
              <w:pStyle w:val="12"/>
            </w:pPr>
            <w:r>
              <w:t>学校运转得到提高</w:t>
            </w:r>
          </w:p>
        </w:tc>
        <w:tc>
          <w:tcPr>
            <w:tcW w:w="5386" w:type="dxa"/>
            <w:vAlign w:val="center"/>
          </w:tcPr>
          <w:p w14:paraId="51D1C1BD">
            <w:pPr>
              <w:pStyle w:val="12"/>
            </w:pPr>
            <w:r>
              <w:t>学生受教育年限</w:t>
            </w:r>
          </w:p>
        </w:tc>
        <w:tc>
          <w:tcPr>
            <w:tcW w:w="2268" w:type="dxa"/>
            <w:vAlign w:val="center"/>
          </w:tcPr>
          <w:p w14:paraId="2710D096">
            <w:pPr>
              <w:pStyle w:val="12"/>
            </w:pPr>
            <w:r>
              <w:t>6年</w:t>
            </w:r>
          </w:p>
        </w:tc>
        <w:tc>
          <w:tcPr>
            <w:tcW w:w="1276" w:type="dxa"/>
            <w:vAlign w:val="center"/>
          </w:tcPr>
          <w:p w14:paraId="268D0550">
            <w:pPr>
              <w:pStyle w:val="12"/>
            </w:pPr>
            <w:r>
              <w:t>城乡义务教育公用经费管理办法</w:t>
            </w:r>
          </w:p>
        </w:tc>
      </w:tr>
      <w:tr w14:paraId="35F0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B8BCD">
            <w:pPr>
              <w:pStyle w:val="13"/>
            </w:pPr>
            <w:r>
              <w:t>满意度指标</w:t>
            </w:r>
          </w:p>
        </w:tc>
        <w:tc>
          <w:tcPr>
            <w:tcW w:w="2268" w:type="dxa"/>
            <w:vAlign w:val="center"/>
          </w:tcPr>
          <w:p w14:paraId="4C930440">
            <w:pPr>
              <w:pStyle w:val="12"/>
            </w:pPr>
            <w:r>
              <w:t>服务对象满意度指标</w:t>
            </w:r>
          </w:p>
        </w:tc>
        <w:tc>
          <w:tcPr>
            <w:tcW w:w="2835" w:type="dxa"/>
            <w:vAlign w:val="center"/>
          </w:tcPr>
          <w:p w14:paraId="1CCAFCC2">
            <w:pPr>
              <w:pStyle w:val="12"/>
            </w:pPr>
            <w:r>
              <w:t>服务对象满意度</w:t>
            </w:r>
          </w:p>
        </w:tc>
        <w:tc>
          <w:tcPr>
            <w:tcW w:w="5386" w:type="dxa"/>
            <w:vAlign w:val="center"/>
          </w:tcPr>
          <w:p w14:paraId="2F76B3BA">
            <w:pPr>
              <w:pStyle w:val="12"/>
            </w:pPr>
            <w:r>
              <w:t>学校老师和学生满意度</w:t>
            </w:r>
          </w:p>
        </w:tc>
        <w:tc>
          <w:tcPr>
            <w:tcW w:w="2268" w:type="dxa"/>
            <w:vAlign w:val="center"/>
          </w:tcPr>
          <w:p w14:paraId="4BD66009">
            <w:pPr>
              <w:pStyle w:val="12"/>
            </w:pPr>
            <w:r>
              <w:t>≥95%</w:t>
            </w:r>
          </w:p>
        </w:tc>
        <w:tc>
          <w:tcPr>
            <w:tcW w:w="1276" w:type="dxa"/>
            <w:vAlign w:val="center"/>
          </w:tcPr>
          <w:p w14:paraId="5C756C5E">
            <w:pPr>
              <w:pStyle w:val="12"/>
            </w:pPr>
            <w:r>
              <w:t>城乡义务教育公用经费管理办法</w:t>
            </w:r>
          </w:p>
        </w:tc>
      </w:tr>
    </w:tbl>
    <w:p w14:paraId="6A102E6E">
      <w:pPr>
        <w:sectPr>
          <w:pgSz w:w="16840" w:h="11900" w:orient="landscape"/>
          <w:pgMar w:top="1361" w:right="1020" w:bottom="1134" w:left="1020" w:header="720" w:footer="720" w:gutter="0"/>
          <w:cols w:space="720" w:num="1"/>
        </w:sectPr>
      </w:pPr>
    </w:p>
    <w:p w14:paraId="372F6628">
      <w:pPr>
        <w:spacing w:before="0" w:after="0"/>
        <w:ind w:firstLine="560"/>
        <w:jc w:val="left"/>
        <w:outlineLvl w:val="9"/>
      </w:pPr>
      <w:r>
        <w:rPr>
          <w:rFonts w:ascii="方正仿宋_GBK" w:hAnsi="方正仿宋_GBK" w:eastAsia="方正仿宋_GBK" w:cs="方正仿宋_GBK"/>
          <w:b/>
          <w:color w:val="000000"/>
          <w:sz w:val="28"/>
        </w:rPr>
        <w:t>2、冀财教[2025]121号/中央/2026年义教补助经费/固城校区固城小学公用经费绩效目标表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02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BAF80">
            <w:pPr>
              <w:pStyle w:val="11"/>
            </w:pPr>
            <w:r>
              <w:t>单位：万元</w:t>
            </w:r>
          </w:p>
        </w:tc>
      </w:tr>
      <w:tr w14:paraId="4F8D5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17AFD">
            <w:pPr>
              <w:pStyle w:val="10"/>
            </w:pPr>
            <w:r>
              <w:t>项目编码</w:t>
            </w:r>
          </w:p>
        </w:tc>
        <w:tc>
          <w:tcPr>
            <w:tcW w:w="5103" w:type="dxa"/>
            <w:gridSpan w:val="2"/>
            <w:vAlign w:val="center"/>
          </w:tcPr>
          <w:p w14:paraId="6DCFC4B5">
            <w:pPr>
              <w:pStyle w:val="12"/>
            </w:pPr>
            <w:r>
              <w:t>13052526P00000410299C</w:t>
            </w:r>
          </w:p>
        </w:tc>
        <w:tc>
          <w:tcPr>
            <w:tcW w:w="2835" w:type="dxa"/>
            <w:vAlign w:val="center"/>
          </w:tcPr>
          <w:p w14:paraId="44828349">
            <w:pPr>
              <w:pStyle w:val="10"/>
            </w:pPr>
            <w:r>
              <w:t>项目名称</w:t>
            </w:r>
          </w:p>
        </w:tc>
        <w:tc>
          <w:tcPr>
            <w:tcW w:w="6095" w:type="dxa"/>
            <w:gridSpan w:val="3"/>
            <w:vAlign w:val="center"/>
          </w:tcPr>
          <w:p w14:paraId="2CA43AA9">
            <w:pPr>
              <w:pStyle w:val="12"/>
            </w:pPr>
            <w:r>
              <w:t>冀财教[2025]121号/中央/2026年义教补助经费/固城校区固城小学公用经费</w:t>
            </w:r>
          </w:p>
        </w:tc>
      </w:tr>
      <w:tr w14:paraId="36F7D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A87DA">
            <w:pPr>
              <w:pStyle w:val="10"/>
            </w:pPr>
            <w:r>
              <w:t>预算规模及资金用途</w:t>
            </w:r>
          </w:p>
        </w:tc>
        <w:tc>
          <w:tcPr>
            <w:tcW w:w="2268" w:type="dxa"/>
            <w:vAlign w:val="center"/>
          </w:tcPr>
          <w:p w14:paraId="6E73F10C">
            <w:pPr>
              <w:pStyle w:val="10"/>
            </w:pPr>
            <w:r>
              <w:t>预算数</w:t>
            </w:r>
          </w:p>
        </w:tc>
        <w:tc>
          <w:tcPr>
            <w:tcW w:w="2835" w:type="dxa"/>
            <w:vAlign w:val="center"/>
          </w:tcPr>
          <w:p w14:paraId="0EAC2A9C">
            <w:pPr>
              <w:pStyle w:val="12"/>
            </w:pPr>
            <w:r>
              <w:t>23.10</w:t>
            </w:r>
          </w:p>
        </w:tc>
        <w:tc>
          <w:tcPr>
            <w:tcW w:w="2835" w:type="dxa"/>
            <w:vAlign w:val="center"/>
          </w:tcPr>
          <w:p w14:paraId="391B0A5B">
            <w:pPr>
              <w:pStyle w:val="10"/>
            </w:pPr>
            <w:r>
              <w:t>其中：财政    资金</w:t>
            </w:r>
          </w:p>
        </w:tc>
        <w:tc>
          <w:tcPr>
            <w:tcW w:w="2551" w:type="dxa"/>
            <w:vAlign w:val="center"/>
          </w:tcPr>
          <w:p w14:paraId="4200CAE7">
            <w:pPr>
              <w:pStyle w:val="12"/>
            </w:pPr>
            <w:r>
              <w:t>23.10</w:t>
            </w:r>
          </w:p>
        </w:tc>
        <w:tc>
          <w:tcPr>
            <w:tcW w:w="2268" w:type="dxa"/>
            <w:vAlign w:val="center"/>
          </w:tcPr>
          <w:p w14:paraId="6AFC2ED0">
            <w:pPr>
              <w:pStyle w:val="10"/>
            </w:pPr>
            <w:r>
              <w:t>其他资金</w:t>
            </w:r>
          </w:p>
        </w:tc>
        <w:tc>
          <w:tcPr>
            <w:tcW w:w="1276" w:type="dxa"/>
            <w:vAlign w:val="center"/>
          </w:tcPr>
          <w:p w14:paraId="76D20FB5">
            <w:pPr>
              <w:pStyle w:val="12"/>
            </w:pPr>
            <w:r>
              <w:t xml:space="preserve"> </w:t>
            </w:r>
          </w:p>
        </w:tc>
      </w:tr>
      <w:tr w14:paraId="632BB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F326C"/>
        </w:tc>
        <w:tc>
          <w:tcPr>
            <w:tcW w:w="14033" w:type="dxa"/>
            <w:gridSpan w:val="6"/>
            <w:vAlign w:val="center"/>
          </w:tcPr>
          <w:p w14:paraId="6E10560D">
            <w:pPr>
              <w:pStyle w:val="12"/>
            </w:pPr>
            <w:r>
              <w:t>保障义务教育学校正常运转，完成教育教学活动和其他日常工作任务等方面的费用支出。</w:t>
            </w:r>
          </w:p>
        </w:tc>
      </w:tr>
      <w:tr w14:paraId="40E53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9532B">
            <w:pPr>
              <w:pStyle w:val="10"/>
            </w:pPr>
            <w:r>
              <w:t>资金支出计划（%）</w:t>
            </w:r>
          </w:p>
        </w:tc>
        <w:tc>
          <w:tcPr>
            <w:tcW w:w="5103" w:type="dxa"/>
            <w:gridSpan w:val="2"/>
            <w:vAlign w:val="center"/>
          </w:tcPr>
          <w:p w14:paraId="30A81C98">
            <w:pPr>
              <w:pStyle w:val="10"/>
            </w:pPr>
            <w:r>
              <w:t>3月底</w:t>
            </w:r>
          </w:p>
        </w:tc>
        <w:tc>
          <w:tcPr>
            <w:tcW w:w="2835" w:type="dxa"/>
            <w:vAlign w:val="center"/>
          </w:tcPr>
          <w:p w14:paraId="5C0B5A74">
            <w:pPr>
              <w:pStyle w:val="10"/>
            </w:pPr>
            <w:r>
              <w:t>6月底</w:t>
            </w:r>
          </w:p>
        </w:tc>
        <w:tc>
          <w:tcPr>
            <w:tcW w:w="2551" w:type="dxa"/>
            <w:vAlign w:val="center"/>
          </w:tcPr>
          <w:p w14:paraId="4DDE5DE6">
            <w:pPr>
              <w:pStyle w:val="10"/>
            </w:pPr>
            <w:r>
              <w:t>10月底</w:t>
            </w:r>
          </w:p>
        </w:tc>
        <w:tc>
          <w:tcPr>
            <w:tcW w:w="3544" w:type="dxa"/>
            <w:gridSpan w:val="2"/>
            <w:vAlign w:val="center"/>
          </w:tcPr>
          <w:p w14:paraId="4B91D59D">
            <w:pPr>
              <w:pStyle w:val="10"/>
            </w:pPr>
            <w:r>
              <w:t>12月底</w:t>
            </w:r>
          </w:p>
        </w:tc>
      </w:tr>
      <w:tr w14:paraId="417D4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D2955"/>
        </w:tc>
        <w:tc>
          <w:tcPr>
            <w:tcW w:w="5103" w:type="dxa"/>
            <w:gridSpan w:val="2"/>
            <w:vAlign w:val="center"/>
          </w:tcPr>
          <w:p w14:paraId="20CAA077">
            <w:pPr>
              <w:pStyle w:val="13"/>
            </w:pPr>
            <w:r>
              <w:t>25%</w:t>
            </w:r>
          </w:p>
        </w:tc>
        <w:tc>
          <w:tcPr>
            <w:tcW w:w="2835" w:type="dxa"/>
            <w:vAlign w:val="center"/>
          </w:tcPr>
          <w:p w14:paraId="057EFF91">
            <w:pPr>
              <w:pStyle w:val="13"/>
            </w:pPr>
            <w:r>
              <w:t>50%</w:t>
            </w:r>
          </w:p>
        </w:tc>
        <w:tc>
          <w:tcPr>
            <w:tcW w:w="2551" w:type="dxa"/>
            <w:vAlign w:val="center"/>
          </w:tcPr>
          <w:p w14:paraId="5043F1DA">
            <w:pPr>
              <w:pStyle w:val="13"/>
            </w:pPr>
            <w:r>
              <w:t>75%</w:t>
            </w:r>
          </w:p>
        </w:tc>
        <w:tc>
          <w:tcPr>
            <w:tcW w:w="3544" w:type="dxa"/>
            <w:gridSpan w:val="2"/>
            <w:vAlign w:val="center"/>
          </w:tcPr>
          <w:p w14:paraId="2DF174EA">
            <w:pPr>
              <w:pStyle w:val="13"/>
            </w:pPr>
            <w:r>
              <w:t>100%</w:t>
            </w:r>
          </w:p>
        </w:tc>
      </w:tr>
      <w:tr w14:paraId="18559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786E5">
            <w:pPr>
              <w:pStyle w:val="10"/>
            </w:pPr>
            <w:r>
              <w:t>绩效目标</w:t>
            </w:r>
          </w:p>
        </w:tc>
        <w:tc>
          <w:tcPr>
            <w:tcW w:w="14033" w:type="dxa"/>
            <w:gridSpan w:val="6"/>
            <w:vAlign w:val="center"/>
          </w:tcPr>
          <w:p w14:paraId="5D8F588A">
            <w:pPr>
              <w:pStyle w:val="12"/>
            </w:pPr>
            <w:r>
              <w:t>1.按规定拨付公用经费资金23.1万元，资金拨付率达到100%。</w:t>
            </w:r>
          </w:p>
          <w:p w14:paraId="038505F6">
            <w:pPr>
              <w:pStyle w:val="12"/>
            </w:pPr>
          </w:p>
          <w:p w14:paraId="78771326">
            <w:pPr>
              <w:pStyle w:val="12"/>
            </w:pPr>
            <w:r>
              <w:t>2.保障义务教育学校正常运转，完成教育教学活动和其他日常工作任务等方面的费用支出。</w:t>
            </w:r>
          </w:p>
          <w:p w14:paraId="59A69591">
            <w:pPr>
              <w:pStyle w:val="12"/>
            </w:pPr>
          </w:p>
        </w:tc>
      </w:tr>
    </w:tbl>
    <w:p w14:paraId="09C2A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5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D2E6A">
            <w:pPr>
              <w:pStyle w:val="10"/>
            </w:pPr>
            <w:r>
              <w:t>一级指标</w:t>
            </w:r>
          </w:p>
        </w:tc>
        <w:tc>
          <w:tcPr>
            <w:tcW w:w="2268" w:type="dxa"/>
            <w:vAlign w:val="center"/>
          </w:tcPr>
          <w:p w14:paraId="3576F0B9">
            <w:pPr>
              <w:pStyle w:val="10"/>
            </w:pPr>
            <w:r>
              <w:t>二级指标</w:t>
            </w:r>
          </w:p>
        </w:tc>
        <w:tc>
          <w:tcPr>
            <w:tcW w:w="2835" w:type="dxa"/>
            <w:vAlign w:val="center"/>
          </w:tcPr>
          <w:p w14:paraId="7A85B456">
            <w:pPr>
              <w:pStyle w:val="10"/>
            </w:pPr>
            <w:r>
              <w:t>三级指标</w:t>
            </w:r>
          </w:p>
        </w:tc>
        <w:tc>
          <w:tcPr>
            <w:tcW w:w="5386" w:type="dxa"/>
            <w:vAlign w:val="center"/>
          </w:tcPr>
          <w:p w14:paraId="32C62D0F">
            <w:pPr>
              <w:pStyle w:val="10"/>
            </w:pPr>
            <w:r>
              <w:t>绩效指标描述</w:t>
            </w:r>
          </w:p>
        </w:tc>
        <w:tc>
          <w:tcPr>
            <w:tcW w:w="2268" w:type="dxa"/>
            <w:vAlign w:val="center"/>
          </w:tcPr>
          <w:p w14:paraId="719355E6">
            <w:pPr>
              <w:pStyle w:val="10"/>
            </w:pPr>
            <w:r>
              <w:t>指标值</w:t>
            </w:r>
          </w:p>
        </w:tc>
        <w:tc>
          <w:tcPr>
            <w:tcW w:w="1276" w:type="dxa"/>
            <w:vAlign w:val="center"/>
          </w:tcPr>
          <w:p w14:paraId="3A01BF03">
            <w:pPr>
              <w:pStyle w:val="10"/>
            </w:pPr>
            <w:r>
              <w:t>指标值确定依据</w:t>
            </w:r>
          </w:p>
        </w:tc>
      </w:tr>
      <w:tr w14:paraId="0E19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6EC4F">
            <w:pPr>
              <w:pStyle w:val="13"/>
            </w:pPr>
            <w:r>
              <w:t>产出指标</w:t>
            </w:r>
          </w:p>
        </w:tc>
        <w:tc>
          <w:tcPr>
            <w:tcW w:w="2268" w:type="dxa"/>
            <w:vAlign w:val="center"/>
          </w:tcPr>
          <w:p w14:paraId="6B5C46FD">
            <w:pPr>
              <w:pStyle w:val="12"/>
            </w:pPr>
            <w:r>
              <w:t>数量指标</w:t>
            </w:r>
          </w:p>
        </w:tc>
        <w:tc>
          <w:tcPr>
            <w:tcW w:w="2835" w:type="dxa"/>
            <w:vAlign w:val="center"/>
          </w:tcPr>
          <w:p w14:paraId="54DBB280">
            <w:pPr>
              <w:pStyle w:val="12"/>
            </w:pPr>
            <w:r>
              <w:t>就读学生数</w:t>
            </w:r>
          </w:p>
        </w:tc>
        <w:tc>
          <w:tcPr>
            <w:tcW w:w="5386" w:type="dxa"/>
            <w:vAlign w:val="center"/>
          </w:tcPr>
          <w:p w14:paraId="39A63584">
            <w:pPr>
              <w:pStyle w:val="12"/>
            </w:pPr>
            <w:r>
              <w:t>辐射区域内适龄学生人数</w:t>
            </w:r>
          </w:p>
        </w:tc>
        <w:tc>
          <w:tcPr>
            <w:tcW w:w="2268" w:type="dxa"/>
            <w:vAlign w:val="center"/>
          </w:tcPr>
          <w:p w14:paraId="3BD3959C">
            <w:pPr>
              <w:pStyle w:val="12"/>
            </w:pPr>
            <w:r>
              <w:t>455人</w:t>
            </w:r>
          </w:p>
        </w:tc>
        <w:tc>
          <w:tcPr>
            <w:tcW w:w="1276" w:type="dxa"/>
            <w:vAlign w:val="center"/>
          </w:tcPr>
          <w:p w14:paraId="00A2E598">
            <w:pPr>
              <w:pStyle w:val="12"/>
            </w:pPr>
            <w:r>
              <w:t>城乡义务教育公用经费管理办法</w:t>
            </w:r>
          </w:p>
          <w:p w14:paraId="51473714">
            <w:pPr>
              <w:pStyle w:val="12"/>
            </w:pPr>
          </w:p>
        </w:tc>
      </w:tr>
      <w:tr w14:paraId="0702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D0837"/>
        </w:tc>
        <w:tc>
          <w:tcPr>
            <w:tcW w:w="2268" w:type="dxa"/>
            <w:vAlign w:val="center"/>
          </w:tcPr>
          <w:p w14:paraId="527F147B">
            <w:pPr>
              <w:pStyle w:val="12"/>
            </w:pPr>
            <w:r>
              <w:t>质量指标</w:t>
            </w:r>
          </w:p>
        </w:tc>
        <w:tc>
          <w:tcPr>
            <w:tcW w:w="2835" w:type="dxa"/>
            <w:vAlign w:val="center"/>
          </w:tcPr>
          <w:p w14:paraId="0F6FBA0E">
            <w:pPr>
              <w:pStyle w:val="12"/>
            </w:pPr>
            <w:r>
              <w:t>义教经费支付完成率</w:t>
            </w:r>
          </w:p>
        </w:tc>
        <w:tc>
          <w:tcPr>
            <w:tcW w:w="5386" w:type="dxa"/>
            <w:vAlign w:val="center"/>
          </w:tcPr>
          <w:p w14:paraId="55128435">
            <w:pPr>
              <w:pStyle w:val="12"/>
            </w:pPr>
            <w:r>
              <w:t>按照序时进度完成资金支付</w:t>
            </w:r>
          </w:p>
        </w:tc>
        <w:tc>
          <w:tcPr>
            <w:tcW w:w="2268" w:type="dxa"/>
            <w:vAlign w:val="center"/>
          </w:tcPr>
          <w:p w14:paraId="754BA81C">
            <w:pPr>
              <w:pStyle w:val="12"/>
            </w:pPr>
            <w:r>
              <w:t>100%</w:t>
            </w:r>
          </w:p>
        </w:tc>
        <w:tc>
          <w:tcPr>
            <w:tcW w:w="1276" w:type="dxa"/>
            <w:vAlign w:val="center"/>
          </w:tcPr>
          <w:p w14:paraId="361EB01E">
            <w:pPr>
              <w:pStyle w:val="12"/>
            </w:pPr>
            <w:r>
              <w:t>城乡义务教育公用经费管理办法</w:t>
            </w:r>
          </w:p>
        </w:tc>
      </w:tr>
      <w:tr w14:paraId="1B83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C53DF"/>
        </w:tc>
        <w:tc>
          <w:tcPr>
            <w:tcW w:w="2268" w:type="dxa"/>
            <w:vAlign w:val="center"/>
          </w:tcPr>
          <w:p w14:paraId="54D34FD0">
            <w:pPr>
              <w:pStyle w:val="12"/>
            </w:pPr>
            <w:r>
              <w:t>时效指标</w:t>
            </w:r>
          </w:p>
        </w:tc>
        <w:tc>
          <w:tcPr>
            <w:tcW w:w="2835" w:type="dxa"/>
            <w:vAlign w:val="center"/>
          </w:tcPr>
          <w:p w14:paraId="2363A775">
            <w:pPr>
              <w:pStyle w:val="12"/>
            </w:pPr>
            <w:r>
              <w:t>预算执行率</w:t>
            </w:r>
          </w:p>
        </w:tc>
        <w:tc>
          <w:tcPr>
            <w:tcW w:w="5386" w:type="dxa"/>
            <w:vAlign w:val="center"/>
          </w:tcPr>
          <w:p w14:paraId="3073C46F">
            <w:pPr>
              <w:pStyle w:val="12"/>
            </w:pPr>
            <w:r>
              <w:t>预算执行率≥98%</w:t>
            </w:r>
          </w:p>
          <w:p w14:paraId="3A9DA731">
            <w:pPr>
              <w:pStyle w:val="12"/>
            </w:pPr>
          </w:p>
        </w:tc>
        <w:tc>
          <w:tcPr>
            <w:tcW w:w="2268" w:type="dxa"/>
            <w:vAlign w:val="center"/>
          </w:tcPr>
          <w:p w14:paraId="1FAD51BA">
            <w:pPr>
              <w:pStyle w:val="12"/>
            </w:pPr>
            <w:r>
              <w:t>≥98%</w:t>
            </w:r>
          </w:p>
        </w:tc>
        <w:tc>
          <w:tcPr>
            <w:tcW w:w="1276" w:type="dxa"/>
            <w:vAlign w:val="center"/>
          </w:tcPr>
          <w:p w14:paraId="49F4EF24">
            <w:pPr>
              <w:pStyle w:val="12"/>
            </w:pPr>
            <w:r>
              <w:t>城乡义务教育公用经费管理办法</w:t>
            </w:r>
          </w:p>
        </w:tc>
      </w:tr>
      <w:tr w14:paraId="04FE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58A5E"/>
        </w:tc>
        <w:tc>
          <w:tcPr>
            <w:tcW w:w="2268" w:type="dxa"/>
            <w:vAlign w:val="center"/>
          </w:tcPr>
          <w:p w14:paraId="352B4C57">
            <w:pPr>
              <w:pStyle w:val="12"/>
            </w:pPr>
            <w:r>
              <w:t>成本指标</w:t>
            </w:r>
          </w:p>
        </w:tc>
        <w:tc>
          <w:tcPr>
            <w:tcW w:w="2835" w:type="dxa"/>
            <w:vAlign w:val="center"/>
          </w:tcPr>
          <w:p w14:paraId="40272087">
            <w:pPr>
              <w:pStyle w:val="12"/>
            </w:pPr>
            <w:r>
              <w:t>生均拨款标准</w:t>
            </w:r>
          </w:p>
        </w:tc>
        <w:tc>
          <w:tcPr>
            <w:tcW w:w="5386" w:type="dxa"/>
            <w:vAlign w:val="center"/>
          </w:tcPr>
          <w:p w14:paraId="1A0FE45B">
            <w:pPr>
              <w:pStyle w:val="12"/>
            </w:pPr>
            <w:r>
              <w:t>小学：（基本标准720元、寄宿生300元、生活补助120元）/生/学年；特教、随班就读学生：标准7000元/生/学年</w:t>
            </w:r>
          </w:p>
        </w:tc>
        <w:tc>
          <w:tcPr>
            <w:tcW w:w="2268" w:type="dxa"/>
            <w:vAlign w:val="center"/>
          </w:tcPr>
          <w:p w14:paraId="0CB43B5A">
            <w:pPr>
              <w:pStyle w:val="12"/>
            </w:pPr>
            <w:r>
              <w:t>840元</w:t>
            </w:r>
          </w:p>
        </w:tc>
        <w:tc>
          <w:tcPr>
            <w:tcW w:w="1276" w:type="dxa"/>
            <w:vAlign w:val="center"/>
          </w:tcPr>
          <w:p w14:paraId="452D8A61">
            <w:pPr>
              <w:pStyle w:val="12"/>
            </w:pPr>
            <w:r>
              <w:t>城乡义务教育公用经费管理办法</w:t>
            </w:r>
          </w:p>
        </w:tc>
      </w:tr>
      <w:tr w14:paraId="1D00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D4B22">
            <w:pPr>
              <w:pStyle w:val="13"/>
            </w:pPr>
            <w:r>
              <w:t>效益指标</w:t>
            </w:r>
          </w:p>
        </w:tc>
        <w:tc>
          <w:tcPr>
            <w:tcW w:w="2268" w:type="dxa"/>
            <w:vAlign w:val="center"/>
          </w:tcPr>
          <w:p w14:paraId="58657495">
            <w:pPr>
              <w:pStyle w:val="12"/>
            </w:pPr>
            <w:r>
              <w:t>可持续影响指标</w:t>
            </w:r>
          </w:p>
        </w:tc>
        <w:tc>
          <w:tcPr>
            <w:tcW w:w="2835" w:type="dxa"/>
            <w:vAlign w:val="center"/>
          </w:tcPr>
          <w:p w14:paraId="38596B42">
            <w:pPr>
              <w:pStyle w:val="12"/>
            </w:pPr>
            <w:r>
              <w:t>学校运转得到提高</w:t>
            </w:r>
          </w:p>
        </w:tc>
        <w:tc>
          <w:tcPr>
            <w:tcW w:w="5386" w:type="dxa"/>
            <w:vAlign w:val="center"/>
          </w:tcPr>
          <w:p w14:paraId="0153F837">
            <w:pPr>
              <w:pStyle w:val="12"/>
            </w:pPr>
            <w:r>
              <w:t>学生受教育年限</w:t>
            </w:r>
          </w:p>
        </w:tc>
        <w:tc>
          <w:tcPr>
            <w:tcW w:w="2268" w:type="dxa"/>
            <w:vAlign w:val="center"/>
          </w:tcPr>
          <w:p w14:paraId="66EB4B34">
            <w:pPr>
              <w:pStyle w:val="12"/>
            </w:pPr>
            <w:r>
              <w:t>6年</w:t>
            </w:r>
          </w:p>
        </w:tc>
        <w:tc>
          <w:tcPr>
            <w:tcW w:w="1276" w:type="dxa"/>
            <w:vAlign w:val="center"/>
          </w:tcPr>
          <w:p w14:paraId="32C23D7B">
            <w:pPr>
              <w:pStyle w:val="12"/>
            </w:pPr>
            <w:r>
              <w:t>城乡义务教育公用经费管理办法</w:t>
            </w:r>
          </w:p>
        </w:tc>
      </w:tr>
      <w:tr w14:paraId="3FC2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0595D">
            <w:pPr>
              <w:pStyle w:val="13"/>
            </w:pPr>
            <w:r>
              <w:t>满意度指标</w:t>
            </w:r>
          </w:p>
        </w:tc>
        <w:tc>
          <w:tcPr>
            <w:tcW w:w="2268" w:type="dxa"/>
            <w:vAlign w:val="center"/>
          </w:tcPr>
          <w:p w14:paraId="18477ACA">
            <w:pPr>
              <w:pStyle w:val="12"/>
            </w:pPr>
            <w:r>
              <w:t>服务对象满意度指标</w:t>
            </w:r>
          </w:p>
        </w:tc>
        <w:tc>
          <w:tcPr>
            <w:tcW w:w="2835" w:type="dxa"/>
            <w:vAlign w:val="center"/>
          </w:tcPr>
          <w:p w14:paraId="0F86D38F">
            <w:pPr>
              <w:pStyle w:val="12"/>
            </w:pPr>
            <w:r>
              <w:t>服务对象满意度</w:t>
            </w:r>
          </w:p>
        </w:tc>
        <w:tc>
          <w:tcPr>
            <w:tcW w:w="5386" w:type="dxa"/>
            <w:vAlign w:val="center"/>
          </w:tcPr>
          <w:p w14:paraId="653BBF8E">
            <w:pPr>
              <w:pStyle w:val="12"/>
            </w:pPr>
            <w:r>
              <w:t>学校老师和学生满意度</w:t>
            </w:r>
          </w:p>
        </w:tc>
        <w:tc>
          <w:tcPr>
            <w:tcW w:w="2268" w:type="dxa"/>
            <w:vAlign w:val="center"/>
          </w:tcPr>
          <w:p w14:paraId="14DA6F9B">
            <w:pPr>
              <w:pStyle w:val="12"/>
            </w:pPr>
            <w:r>
              <w:t>≥95%</w:t>
            </w:r>
          </w:p>
        </w:tc>
        <w:tc>
          <w:tcPr>
            <w:tcW w:w="1276" w:type="dxa"/>
            <w:vAlign w:val="center"/>
          </w:tcPr>
          <w:p w14:paraId="74D7EA90">
            <w:pPr>
              <w:pStyle w:val="12"/>
            </w:pPr>
            <w:r>
              <w:t>城乡义务教育公用经费管理办法</w:t>
            </w:r>
          </w:p>
        </w:tc>
      </w:tr>
    </w:tbl>
    <w:p w14:paraId="244EBE45">
      <w:pPr>
        <w:sectPr>
          <w:pgSz w:w="16840" w:h="11900" w:orient="landscape"/>
          <w:pgMar w:top="1361" w:right="1020" w:bottom="1134" w:left="1020" w:header="720" w:footer="720" w:gutter="0"/>
          <w:cols w:space="720" w:num="1"/>
        </w:sectPr>
      </w:pPr>
    </w:p>
    <w:p w14:paraId="75ECE741">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3、冀财教[2025]121号/中央/2026年义教补助经费/固城校区火连庄小学公用经费绩效目标表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5A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99695">
            <w:pPr>
              <w:pStyle w:val="11"/>
            </w:pPr>
            <w:r>
              <w:t>单位：万元</w:t>
            </w:r>
          </w:p>
        </w:tc>
      </w:tr>
      <w:tr w14:paraId="79E46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E4BCC">
            <w:pPr>
              <w:pStyle w:val="10"/>
            </w:pPr>
            <w:r>
              <w:t>项目编码</w:t>
            </w:r>
          </w:p>
        </w:tc>
        <w:tc>
          <w:tcPr>
            <w:tcW w:w="5103" w:type="dxa"/>
            <w:gridSpan w:val="2"/>
            <w:vAlign w:val="center"/>
          </w:tcPr>
          <w:p w14:paraId="59ED8A84">
            <w:pPr>
              <w:pStyle w:val="12"/>
            </w:pPr>
            <w:r>
              <w:t>13052526P00000410301X</w:t>
            </w:r>
          </w:p>
        </w:tc>
        <w:tc>
          <w:tcPr>
            <w:tcW w:w="2835" w:type="dxa"/>
            <w:vAlign w:val="center"/>
          </w:tcPr>
          <w:p w14:paraId="76E42DC9">
            <w:pPr>
              <w:pStyle w:val="10"/>
            </w:pPr>
            <w:r>
              <w:t>项目名称</w:t>
            </w:r>
          </w:p>
        </w:tc>
        <w:tc>
          <w:tcPr>
            <w:tcW w:w="6095" w:type="dxa"/>
            <w:gridSpan w:val="3"/>
            <w:vAlign w:val="center"/>
          </w:tcPr>
          <w:p w14:paraId="7F604D1A">
            <w:pPr>
              <w:pStyle w:val="12"/>
            </w:pPr>
            <w:r>
              <w:t>冀财教[2025]121号/中央/2026年义教补助经费/固城校区火连庄小学公用经费</w:t>
            </w:r>
          </w:p>
        </w:tc>
      </w:tr>
      <w:tr w14:paraId="255F7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2C578">
            <w:pPr>
              <w:pStyle w:val="10"/>
            </w:pPr>
            <w:r>
              <w:t>预算规模及资金用途</w:t>
            </w:r>
          </w:p>
        </w:tc>
        <w:tc>
          <w:tcPr>
            <w:tcW w:w="2268" w:type="dxa"/>
            <w:vAlign w:val="center"/>
          </w:tcPr>
          <w:p w14:paraId="236DC551">
            <w:pPr>
              <w:pStyle w:val="10"/>
            </w:pPr>
            <w:r>
              <w:t>预算数</w:t>
            </w:r>
          </w:p>
        </w:tc>
        <w:tc>
          <w:tcPr>
            <w:tcW w:w="2835" w:type="dxa"/>
            <w:vAlign w:val="center"/>
          </w:tcPr>
          <w:p w14:paraId="0EABD908">
            <w:pPr>
              <w:pStyle w:val="12"/>
            </w:pPr>
            <w:r>
              <w:t>34.03</w:t>
            </w:r>
          </w:p>
        </w:tc>
        <w:tc>
          <w:tcPr>
            <w:tcW w:w="2835" w:type="dxa"/>
            <w:vAlign w:val="center"/>
          </w:tcPr>
          <w:p w14:paraId="4EFA17D5">
            <w:pPr>
              <w:pStyle w:val="10"/>
            </w:pPr>
            <w:r>
              <w:t>其中：财政    资金</w:t>
            </w:r>
          </w:p>
        </w:tc>
        <w:tc>
          <w:tcPr>
            <w:tcW w:w="2551" w:type="dxa"/>
            <w:vAlign w:val="center"/>
          </w:tcPr>
          <w:p w14:paraId="1BA90A09">
            <w:pPr>
              <w:pStyle w:val="12"/>
            </w:pPr>
            <w:r>
              <w:t>34.03</w:t>
            </w:r>
          </w:p>
        </w:tc>
        <w:tc>
          <w:tcPr>
            <w:tcW w:w="2268" w:type="dxa"/>
            <w:vAlign w:val="center"/>
          </w:tcPr>
          <w:p w14:paraId="33AE4C56">
            <w:pPr>
              <w:pStyle w:val="10"/>
            </w:pPr>
            <w:r>
              <w:t>其他资金</w:t>
            </w:r>
          </w:p>
        </w:tc>
        <w:tc>
          <w:tcPr>
            <w:tcW w:w="1276" w:type="dxa"/>
            <w:vAlign w:val="center"/>
          </w:tcPr>
          <w:p w14:paraId="42257978">
            <w:pPr>
              <w:pStyle w:val="12"/>
            </w:pPr>
            <w:r>
              <w:t xml:space="preserve"> </w:t>
            </w:r>
          </w:p>
        </w:tc>
      </w:tr>
      <w:tr w14:paraId="0FA22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D3E8C"/>
        </w:tc>
        <w:tc>
          <w:tcPr>
            <w:tcW w:w="14033" w:type="dxa"/>
            <w:gridSpan w:val="6"/>
            <w:vAlign w:val="center"/>
          </w:tcPr>
          <w:p w14:paraId="3C62DEEA">
            <w:pPr>
              <w:pStyle w:val="12"/>
            </w:pPr>
            <w:r>
              <w:t>保障义务教育学校正常运转，完成教育教学活动和其他日常工作任务等方面的费用支出。</w:t>
            </w:r>
          </w:p>
          <w:p w14:paraId="01A5869C">
            <w:pPr>
              <w:pStyle w:val="12"/>
            </w:pPr>
          </w:p>
        </w:tc>
      </w:tr>
      <w:tr w14:paraId="0C8A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C7FC4">
            <w:pPr>
              <w:pStyle w:val="10"/>
            </w:pPr>
            <w:r>
              <w:t>资金支出计划（%）</w:t>
            </w:r>
          </w:p>
        </w:tc>
        <w:tc>
          <w:tcPr>
            <w:tcW w:w="5103" w:type="dxa"/>
            <w:gridSpan w:val="2"/>
            <w:vAlign w:val="center"/>
          </w:tcPr>
          <w:p w14:paraId="28CB81BA">
            <w:pPr>
              <w:pStyle w:val="10"/>
            </w:pPr>
            <w:r>
              <w:t>3月底</w:t>
            </w:r>
          </w:p>
        </w:tc>
        <w:tc>
          <w:tcPr>
            <w:tcW w:w="2835" w:type="dxa"/>
            <w:vAlign w:val="center"/>
          </w:tcPr>
          <w:p w14:paraId="23EA0A3B">
            <w:pPr>
              <w:pStyle w:val="10"/>
            </w:pPr>
            <w:r>
              <w:t>6月底</w:t>
            </w:r>
          </w:p>
        </w:tc>
        <w:tc>
          <w:tcPr>
            <w:tcW w:w="2551" w:type="dxa"/>
            <w:vAlign w:val="center"/>
          </w:tcPr>
          <w:p w14:paraId="3FE2E4FF">
            <w:pPr>
              <w:pStyle w:val="10"/>
            </w:pPr>
            <w:r>
              <w:t>10月底</w:t>
            </w:r>
          </w:p>
        </w:tc>
        <w:tc>
          <w:tcPr>
            <w:tcW w:w="3544" w:type="dxa"/>
            <w:gridSpan w:val="2"/>
            <w:vAlign w:val="center"/>
          </w:tcPr>
          <w:p w14:paraId="693927EB">
            <w:pPr>
              <w:pStyle w:val="10"/>
            </w:pPr>
            <w:r>
              <w:t>12月底</w:t>
            </w:r>
          </w:p>
        </w:tc>
      </w:tr>
      <w:tr w14:paraId="4FF66E1D">
        <w:tblPrEx>
          <w:tblCellMar>
            <w:top w:w="0" w:type="dxa"/>
            <w:left w:w="108" w:type="dxa"/>
            <w:bottom w:w="0" w:type="dxa"/>
            <w:right w:w="108" w:type="dxa"/>
          </w:tblCellMar>
        </w:tblPrEx>
        <w:trPr>
          <w:trHeight w:val="369" w:hRule="atLeast"/>
          <w:jc w:val="center"/>
        </w:trPr>
        <w:tc>
          <w:tcPr>
            <w:tcW w:w="1276" w:type="dxa"/>
            <w:vMerge w:val="continue"/>
          </w:tcPr>
          <w:p w14:paraId="3140C991"/>
        </w:tc>
        <w:tc>
          <w:tcPr>
            <w:tcW w:w="5103" w:type="dxa"/>
            <w:gridSpan w:val="2"/>
            <w:vAlign w:val="center"/>
          </w:tcPr>
          <w:p w14:paraId="4A531E62">
            <w:pPr>
              <w:pStyle w:val="13"/>
            </w:pPr>
            <w:r>
              <w:t>25%</w:t>
            </w:r>
          </w:p>
        </w:tc>
        <w:tc>
          <w:tcPr>
            <w:tcW w:w="2835" w:type="dxa"/>
            <w:vAlign w:val="center"/>
          </w:tcPr>
          <w:p w14:paraId="326868C7">
            <w:pPr>
              <w:pStyle w:val="13"/>
            </w:pPr>
            <w:r>
              <w:t>50%</w:t>
            </w:r>
          </w:p>
        </w:tc>
        <w:tc>
          <w:tcPr>
            <w:tcW w:w="2551" w:type="dxa"/>
            <w:vAlign w:val="center"/>
          </w:tcPr>
          <w:p w14:paraId="3605326C">
            <w:pPr>
              <w:pStyle w:val="13"/>
            </w:pPr>
            <w:r>
              <w:t>75%</w:t>
            </w:r>
          </w:p>
        </w:tc>
        <w:tc>
          <w:tcPr>
            <w:tcW w:w="3544" w:type="dxa"/>
            <w:gridSpan w:val="2"/>
            <w:vAlign w:val="center"/>
          </w:tcPr>
          <w:p w14:paraId="7AE66597">
            <w:pPr>
              <w:pStyle w:val="13"/>
            </w:pPr>
            <w:r>
              <w:t>100%</w:t>
            </w:r>
          </w:p>
        </w:tc>
      </w:tr>
      <w:tr w14:paraId="1BED9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452D6">
            <w:pPr>
              <w:pStyle w:val="10"/>
            </w:pPr>
            <w:r>
              <w:t>绩效目标</w:t>
            </w:r>
          </w:p>
        </w:tc>
        <w:tc>
          <w:tcPr>
            <w:tcW w:w="14033" w:type="dxa"/>
            <w:gridSpan w:val="6"/>
            <w:vAlign w:val="center"/>
          </w:tcPr>
          <w:p w14:paraId="435FBC43">
            <w:pPr>
              <w:pStyle w:val="12"/>
            </w:pPr>
            <w:r>
              <w:t>1.按规定拨付公用经费资金34.03万元，资金拨付率达到100%。</w:t>
            </w:r>
          </w:p>
          <w:p w14:paraId="49F65685">
            <w:pPr>
              <w:pStyle w:val="12"/>
            </w:pPr>
          </w:p>
          <w:p w14:paraId="026FE895">
            <w:pPr>
              <w:pStyle w:val="12"/>
            </w:pPr>
            <w:r>
              <w:t>2.保障义务教育学校正常运转，完成教育教学活动和其他日常工作任务等方面的费用支出。</w:t>
            </w:r>
          </w:p>
          <w:p w14:paraId="5F3EED96">
            <w:pPr>
              <w:pStyle w:val="12"/>
            </w:pPr>
          </w:p>
        </w:tc>
      </w:tr>
    </w:tbl>
    <w:p w14:paraId="6012F8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4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E8642">
            <w:pPr>
              <w:pStyle w:val="10"/>
            </w:pPr>
            <w:r>
              <w:t>一级指标</w:t>
            </w:r>
          </w:p>
        </w:tc>
        <w:tc>
          <w:tcPr>
            <w:tcW w:w="2268" w:type="dxa"/>
            <w:vAlign w:val="center"/>
          </w:tcPr>
          <w:p w14:paraId="2ECC518F">
            <w:pPr>
              <w:pStyle w:val="10"/>
            </w:pPr>
            <w:r>
              <w:t>二级指标</w:t>
            </w:r>
          </w:p>
        </w:tc>
        <w:tc>
          <w:tcPr>
            <w:tcW w:w="2835" w:type="dxa"/>
            <w:vAlign w:val="center"/>
          </w:tcPr>
          <w:p w14:paraId="19BDAF24">
            <w:pPr>
              <w:pStyle w:val="10"/>
            </w:pPr>
            <w:r>
              <w:t>三级指标</w:t>
            </w:r>
          </w:p>
        </w:tc>
        <w:tc>
          <w:tcPr>
            <w:tcW w:w="5386" w:type="dxa"/>
            <w:vAlign w:val="center"/>
          </w:tcPr>
          <w:p w14:paraId="597C585F">
            <w:pPr>
              <w:pStyle w:val="10"/>
            </w:pPr>
            <w:r>
              <w:t>绩效指标描述</w:t>
            </w:r>
          </w:p>
        </w:tc>
        <w:tc>
          <w:tcPr>
            <w:tcW w:w="2268" w:type="dxa"/>
            <w:vAlign w:val="center"/>
          </w:tcPr>
          <w:p w14:paraId="3E518062">
            <w:pPr>
              <w:pStyle w:val="10"/>
            </w:pPr>
            <w:r>
              <w:t>指标值</w:t>
            </w:r>
          </w:p>
        </w:tc>
        <w:tc>
          <w:tcPr>
            <w:tcW w:w="1276" w:type="dxa"/>
            <w:vAlign w:val="center"/>
          </w:tcPr>
          <w:p w14:paraId="75A6E593">
            <w:pPr>
              <w:pStyle w:val="10"/>
            </w:pPr>
            <w:r>
              <w:t>指标值确定依据</w:t>
            </w:r>
          </w:p>
        </w:tc>
      </w:tr>
      <w:tr w14:paraId="0CB5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5F4B3">
            <w:pPr>
              <w:pStyle w:val="13"/>
            </w:pPr>
            <w:r>
              <w:t>产出指标</w:t>
            </w:r>
          </w:p>
        </w:tc>
        <w:tc>
          <w:tcPr>
            <w:tcW w:w="2268" w:type="dxa"/>
            <w:vAlign w:val="center"/>
          </w:tcPr>
          <w:p w14:paraId="6531AB4F">
            <w:pPr>
              <w:pStyle w:val="12"/>
            </w:pPr>
            <w:r>
              <w:t>数量指标</w:t>
            </w:r>
          </w:p>
        </w:tc>
        <w:tc>
          <w:tcPr>
            <w:tcW w:w="2835" w:type="dxa"/>
            <w:vAlign w:val="center"/>
          </w:tcPr>
          <w:p w14:paraId="4E196265">
            <w:pPr>
              <w:pStyle w:val="12"/>
            </w:pPr>
            <w:r>
              <w:t>就读学生数</w:t>
            </w:r>
          </w:p>
        </w:tc>
        <w:tc>
          <w:tcPr>
            <w:tcW w:w="5386" w:type="dxa"/>
            <w:vAlign w:val="center"/>
          </w:tcPr>
          <w:p w14:paraId="776BBE07">
            <w:pPr>
              <w:pStyle w:val="12"/>
            </w:pPr>
            <w:r>
              <w:t>辐射区域内适龄学生人数</w:t>
            </w:r>
          </w:p>
        </w:tc>
        <w:tc>
          <w:tcPr>
            <w:tcW w:w="2268" w:type="dxa"/>
            <w:vAlign w:val="center"/>
          </w:tcPr>
          <w:p w14:paraId="1C2AC5D7">
            <w:pPr>
              <w:pStyle w:val="12"/>
            </w:pPr>
            <w:r>
              <w:t>430人</w:t>
            </w:r>
          </w:p>
        </w:tc>
        <w:tc>
          <w:tcPr>
            <w:tcW w:w="1276" w:type="dxa"/>
            <w:vAlign w:val="center"/>
          </w:tcPr>
          <w:p w14:paraId="5E0A63B4">
            <w:pPr>
              <w:pStyle w:val="12"/>
            </w:pPr>
            <w:r>
              <w:t>城乡义务教育公用经费管理办法</w:t>
            </w:r>
          </w:p>
          <w:p w14:paraId="7F7E407E">
            <w:pPr>
              <w:pStyle w:val="12"/>
            </w:pPr>
          </w:p>
        </w:tc>
      </w:tr>
      <w:tr w14:paraId="78B5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75B4E"/>
        </w:tc>
        <w:tc>
          <w:tcPr>
            <w:tcW w:w="2268" w:type="dxa"/>
            <w:vAlign w:val="center"/>
          </w:tcPr>
          <w:p w14:paraId="7969A6D6">
            <w:pPr>
              <w:pStyle w:val="12"/>
            </w:pPr>
            <w:r>
              <w:t>质量指标</w:t>
            </w:r>
          </w:p>
        </w:tc>
        <w:tc>
          <w:tcPr>
            <w:tcW w:w="2835" w:type="dxa"/>
            <w:vAlign w:val="center"/>
          </w:tcPr>
          <w:p w14:paraId="07CDFEEB">
            <w:pPr>
              <w:pStyle w:val="12"/>
            </w:pPr>
            <w:r>
              <w:t>义教经费支付完成率</w:t>
            </w:r>
          </w:p>
        </w:tc>
        <w:tc>
          <w:tcPr>
            <w:tcW w:w="5386" w:type="dxa"/>
            <w:vAlign w:val="center"/>
          </w:tcPr>
          <w:p w14:paraId="1572F1C2">
            <w:pPr>
              <w:pStyle w:val="12"/>
            </w:pPr>
            <w:r>
              <w:t>按照序时进度完成资金支付</w:t>
            </w:r>
          </w:p>
        </w:tc>
        <w:tc>
          <w:tcPr>
            <w:tcW w:w="2268" w:type="dxa"/>
            <w:vAlign w:val="center"/>
          </w:tcPr>
          <w:p w14:paraId="18B6854F">
            <w:pPr>
              <w:pStyle w:val="12"/>
            </w:pPr>
            <w:r>
              <w:t>100%</w:t>
            </w:r>
          </w:p>
        </w:tc>
        <w:tc>
          <w:tcPr>
            <w:tcW w:w="1276" w:type="dxa"/>
            <w:vAlign w:val="center"/>
          </w:tcPr>
          <w:p w14:paraId="7E384683">
            <w:pPr>
              <w:pStyle w:val="12"/>
            </w:pPr>
            <w:r>
              <w:t>城乡义务教育公用经费管理办法</w:t>
            </w:r>
          </w:p>
        </w:tc>
      </w:tr>
      <w:tr w14:paraId="1F13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D1E56"/>
        </w:tc>
        <w:tc>
          <w:tcPr>
            <w:tcW w:w="2268" w:type="dxa"/>
            <w:vAlign w:val="center"/>
          </w:tcPr>
          <w:p w14:paraId="1C4DC773">
            <w:pPr>
              <w:pStyle w:val="12"/>
            </w:pPr>
            <w:r>
              <w:t>时效指标</w:t>
            </w:r>
          </w:p>
        </w:tc>
        <w:tc>
          <w:tcPr>
            <w:tcW w:w="2835" w:type="dxa"/>
            <w:vAlign w:val="center"/>
          </w:tcPr>
          <w:p w14:paraId="068D087C">
            <w:pPr>
              <w:pStyle w:val="12"/>
            </w:pPr>
            <w:r>
              <w:t>预算执行率</w:t>
            </w:r>
          </w:p>
        </w:tc>
        <w:tc>
          <w:tcPr>
            <w:tcW w:w="5386" w:type="dxa"/>
            <w:vAlign w:val="center"/>
          </w:tcPr>
          <w:p w14:paraId="2DC3520B">
            <w:pPr>
              <w:pStyle w:val="12"/>
            </w:pPr>
            <w:r>
              <w:t>预算执行率≥98%</w:t>
            </w:r>
          </w:p>
          <w:p w14:paraId="4361BBEA">
            <w:pPr>
              <w:pStyle w:val="12"/>
            </w:pPr>
          </w:p>
        </w:tc>
        <w:tc>
          <w:tcPr>
            <w:tcW w:w="2268" w:type="dxa"/>
            <w:vAlign w:val="center"/>
          </w:tcPr>
          <w:p w14:paraId="7392538A">
            <w:pPr>
              <w:pStyle w:val="12"/>
            </w:pPr>
            <w:r>
              <w:t>≥98%</w:t>
            </w:r>
          </w:p>
        </w:tc>
        <w:tc>
          <w:tcPr>
            <w:tcW w:w="1276" w:type="dxa"/>
            <w:vAlign w:val="center"/>
          </w:tcPr>
          <w:p w14:paraId="030ACE84">
            <w:pPr>
              <w:pStyle w:val="12"/>
            </w:pPr>
            <w:r>
              <w:t>城乡义务教育公用经费管理办法</w:t>
            </w:r>
          </w:p>
        </w:tc>
      </w:tr>
      <w:tr w14:paraId="6BC4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A54E"/>
        </w:tc>
        <w:tc>
          <w:tcPr>
            <w:tcW w:w="2268" w:type="dxa"/>
            <w:vAlign w:val="center"/>
          </w:tcPr>
          <w:p w14:paraId="50FCED2B">
            <w:pPr>
              <w:pStyle w:val="12"/>
            </w:pPr>
            <w:r>
              <w:t>成本指标</w:t>
            </w:r>
          </w:p>
        </w:tc>
        <w:tc>
          <w:tcPr>
            <w:tcW w:w="2835" w:type="dxa"/>
            <w:vAlign w:val="center"/>
          </w:tcPr>
          <w:p w14:paraId="3884ACB4">
            <w:pPr>
              <w:pStyle w:val="12"/>
            </w:pPr>
            <w:r>
              <w:t>生均拨款标准</w:t>
            </w:r>
          </w:p>
        </w:tc>
        <w:tc>
          <w:tcPr>
            <w:tcW w:w="5386" w:type="dxa"/>
            <w:vAlign w:val="center"/>
          </w:tcPr>
          <w:p w14:paraId="10FBDFDE">
            <w:pPr>
              <w:pStyle w:val="12"/>
            </w:pPr>
            <w:r>
              <w:t>小学：（基本标准720元、寄宿生300元、生活补助120元）/生/学年；特教、随班就读学生：标准7000元/生/学年</w:t>
            </w:r>
          </w:p>
        </w:tc>
        <w:tc>
          <w:tcPr>
            <w:tcW w:w="2268" w:type="dxa"/>
            <w:vAlign w:val="center"/>
          </w:tcPr>
          <w:p w14:paraId="1DAB983F">
            <w:pPr>
              <w:pStyle w:val="12"/>
            </w:pPr>
            <w:r>
              <w:t>840元</w:t>
            </w:r>
          </w:p>
        </w:tc>
        <w:tc>
          <w:tcPr>
            <w:tcW w:w="1276" w:type="dxa"/>
            <w:vAlign w:val="center"/>
          </w:tcPr>
          <w:p w14:paraId="53571E1C">
            <w:pPr>
              <w:pStyle w:val="12"/>
            </w:pPr>
            <w:r>
              <w:t>城乡义务教育公用经费管理办法</w:t>
            </w:r>
          </w:p>
        </w:tc>
      </w:tr>
      <w:tr w14:paraId="43D2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17CEE">
            <w:pPr>
              <w:pStyle w:val="13"/>
            </w:pPr>
            <w:r>
              <w:t>效益指标</w:t>
            </w:r>
          </w:p>
        </w:tc>
        <w:tc>
          <w:tcPr>
            <w:tcW w:w="2268" w:type="dxa"/>
            <w:vAlign w:val="center"/>
          </w:tcPr>
          <w:p w14:paraId="06C8FB0D">
            <w:pPr>
              <w:pStyle w:val="12"/>
            </w:pPr>
            <w:r>
              <w:t>可持续影响指标</w:t>
            </w:r>
          </w:p>
        </w:tc>
        <w:tc>
          <w:tcPr>
            <w:tcW w:w="2835" w:type="dxa"/>
            <w:vAlign w:val="center"/>
          </w:tcPr>
          <w:p w14:paraId="262AC3DA">
            <w:pPr>
              <w:pStyle w:val="12"/>
            </w:pPr>
            <w:r>
              <w:t>学校运转得到提高</w:t>
            </w:r>
          </w:p>
        </w:tc>
        <w:tc>
          <w:tcPr>
            <w:tcW w:w="5386" w:type="dxa"/>
            <w:vAlign w:val="center"/>
          </w:tcPr>
          <w:p w14:paraId="25EBC9B4">
            <w:pPr>
              <w:pStyle w:val="12"/>
            </w:pPr>
            <w:r>
              <w:t>学生受教育年限</w:t>
            </w:r>
          </w:p>
        </w:tc>
        <w:tc>
          <w:tcPr>
            <w:tcW w:w="2268" w:type="dxa"/>
            <w:vAlign w:val="center"/>
          </w:tcPr>
          <w:p w14:paraId="7222FE4D">
            <w:pPr>
              <w:pStyle w:val="12"/>
            </w:pPr>
            <w:r>
              <w:t>6年</w:t>
            </w:r>
          </w:p>
        </w:tc>
        <w:tc>
          <w:tcPr>
            <w:tcW w:w="1276" w:type="dxa"/>
            <w:vAlign w:val="center"/>
          </w:tcPr>
          <w:p w14:paraId="4E1217C9">
            <w:pPr>
              <w:pStyle w:val="12"/>
            </w:pPr>
            <w:r>
              <w:t>城乡义务教育公用经费管理办法</w:t>
            </w:r>
          </w:p>
        </w:tc>
      </w:tr>
      <w:tr w14:paraId="1BB2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1A219">
            <w:pPr>
              <w:pStyle w:val="13"/>
            </w:pPr>
            <w:r>
              <w:t>满意度指标</w:t>
            </w:r>
          </w:p>
        </w:tc>
        <w:tc>
          <w:tcPr>
            <w:tcW w:w="2268" w:type="dxa"/>
            <w:vAlign w:val="center"/>
          </w:tcPr>
          <w:p w14:paraId="6B49E4CD">
            <w:pPr>
              <w:pStyle w:val="12"/>
            </w:pPr>
            <w:r>
              <w:t>服务对象满意度指标</w:t>
            </w:r>
          </w:p>
        </w:tc>
        <w:tc>
          <w:tcPr>
            <w:tcW w:w="2835" w:type="dxa"/>
            <w:vAlign w:val="center"/>
          </w:tcPr>
          <w:p w14:paraId="7403EA5A">
            <w:pPr>
              <w:pStyle w:val="12"/>
            </w:pPr>
            <w:r>
              <w:t>服务对象满意度</w:t>
            </w:r>
          </w:p>
        </w:tc>
        <w:tc>
          <w:tcPr>
            <w:tcW w:w="5386" w:type="dxa"/>
            <w:vAlign w:val="center"/>
          </w:tcPr>
          <w:p w14:paraId="087EB1E1">
            <w:pPr>
              <w:pStyle w:val="12"/>
            </w:pPr>
            <w:r>
              <w:t>学校老师和学生满意度</w:t>
            </w:r>
          </w:p>
        </w:tc>
        <w:tc>
          <w:tcPr>
            <w:tcW w:w="2268" w:type="dxa"/>
            <w:vAlign w:val="center"/>
          </w:tcPr>
          <w:p w14:paraId="0428B612">
            <w:pPr>
              <w:pStyle w:val="12"/>
            </w:pPr>
            <w:r>
              <w:t>≥95%</w:t>
            </w:r>
          </w:p>
        </w:tc>
        <w:tc>
          <w:tcPr>
            <w:tcW w:w="1276" w:type="dxa"/>
            <w:vAlign w:val="center"/>
          </w:tcPr>
          <w:p w14:paraId="0971EFD7">
            <w:pPr>
              <w:pStyle w:val="12"/>
            </w:pPr>
            <w:r>
              <w:t>城乡义务教育公用经费管理办法</w:t>
            </w:r>
          </w:p>
        </w:tc>
      </w:tr>
    </w:tbl>
    <w:p w14:paraId="14483F3C">
      <w:pPr>
        <w:sectPr>
          <w:pgSz w:w="16840" w:h="11900" w:orient="landscape"/>
          <w:pgMar w:top="1361" w:right="1020" w:bottom="1134" w:left="1020" w:header="720" w:footer="720" w:gutter="0"/>
          <w:cols w:space="720" w:num="1"/>
        </w:sectPr>
      </w:pPr>
    </w:p>
    <w:p w14:paraId="0FF4CAAD">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4、冀财教[2025]121号/中央/2026年义教补助经费/固城校区乡观小学公用经费绩效目标表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33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751A9">
            <w:pPr>
              <w:pStyle w:val="11"/>
            </w:pPr>
            <w:r>
              <w:t>单位：万元</w:t>
            </w:r>
          </w:p>
        </w:tc>
      </w:tr>
      <w:tr w14:paraId="3C3AE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43426">
            <w:pPr>
              <w:pStyle w:val="10"/>
            </w:pPr>
            <w:r>
              <w:t>项目编码</w:t>
            </w:r>
          </w:p>
        </w:tc>
        <w:tc>
          <w:tcPr>
            <w:tcW w:w="5103" w:type="dxa"/>
            <w:gridSpan w:val="2"/>
            <w:vAlign w:val="center"/>
          </w:tcPr>
          <w:p w14:paraId="43F056B8">
            <w:pPr>
              <w:pStyle w:val="12"/>
            </w:pPr>
            <w:r>
              <w:t>13052526P000004103035</w:t>
            </w:r>
          </w:p>
        </w:tc>
        <w:tc>
          <w:tcPr>
            <w:tcW w:w="2835" w:type="dxa"/>
            <w:vAlign w:val="center"/>
          </w:tcPr>
          <w:p w14:paraId="51B20967">
            <w:pPr>
              <w:pStyle w:val="10"/>
            </w:pPr>
            <w:r>
              <w:t>项目名称</w:t>
            </w:r>
          </w:p>
        </w:tc>
        <w:tc>
          <w:tcPr>
            <w:tcW w:w="6095" w:type="dxa"/>
            <w:gridSpan w:val="3"/>
            <w:vAlign w:val="center"/>
          </w:tcPr>
          <w:p w14:paraId="18FA81EF">
            <w:pPr>
              <w:pStyle w:val="12"/>
            </w:pPr>
            <w:r>
              <w:t>冀财教[2025]121号/中央/2026年义教补助经费/固城校区乡观小学公用经费</w:t>
            </w:r>
          </w:p>
        </w:tc>
      </w:tr>
      <w:tr w14:paraId="16C7B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15D20">
            <w:pPr>
              <w:pStyle w:val="10"/>
            </w:pPr>
            <w:r>
              <w:t>预算规模及资金用途</w:t>
            </w:r>
          </w:p>
        </w:tc>
        <w:tc>
          <w:tcPr>
            <w:tcW w:w="2268" w:type="dxa"/>
            <w:vAlign w:val="center"/>
          </w:tcPr>
          <w:p w14:paraId="168A49A8">
            <w:pPr>
              <w:pStyle w:val="10"/>
            </w:pPr>
            <w:r>
              <w:t>预算数</w:t>
            </w:r>
          </w:p>
        </w:tc>
        <w:tc>
          <w:tcPr>
            <w:tcW w:w="2835" w:type="dxa"/>
            <w:vAlign w:val="center"/>
          </w:tcPr>
          <w:p w14:paraId="2B41BADF">
            <w:pPr>
              <w:pStyle w:val="12"/>
            </w:pPr>
            <w:r>
              <w:t>4.96</w:t>
            </w:r>
          </w:p>
        </w:tc>
        <w:tc>
          <w:tcPr>
            <w:tcW w:w="2835" w:type="dxa"/>
            <w:vAlign w:val="center"/>
          </w:tcPr>
          <w:p w14:paraId="34317781">
            <w:pPr>
              <w:pStyle w:val="10"/>
            </w:pPr>
            <w:r>
              <w:t>其中：财政    资金</w:t>
            </w:r>
          </w:p>
        </w:tc>
        <w:tc>
          <w:tcPr>
            <w:tcW w:w="2551" w:type="dxa"/>
            <w:vAlign w:val="center"/>
          </w:tcPr>
          <w:p w14:paraId="4C455EE9">
            <w:pPr>
              <w:pStyle w:val="12"/>
            </w:pPr>
            <w:r>
              <w:t>4.96</w:t>
            </w:r>
          </w:p>
        </w:tc>
        <w:tc>
          <w:tcPr>
            <w:tcW w:w="2268" w:type="dxa"/>
            <w:vAlign w:val="center"/>
          </w:tcPr>
          <w:p w14:paraId="6C836D77">
            <w:pPr>
              <w:pStyle w:val="10"/>
            </w:pPr>
            <w:r>
              <w:t>其他资金</w:t>
            </w:r>
          </w:p>
        </w:tc>
        <w:tc>
          <w:tcPr>
            <w:tcW w:w="1276" w:type="dxa"/>
            <w:vAlign w:val="center"/>
          </w:tcPr>
          <w:p w14:paraId="2D9C3878">
            <w:pPr>
              <w:pStyle w:val="12"/>
            </w:pPr>
            <w:r>
              <w:t xml:space="preserve"> </w:t>
            </w:r>
          </w:p>
        </w:tc>
      </w:tr>
      <w:tr w14:paraId="57CE3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BB861"/>
        </w:tc>
        <w:tc>
          <w:tcPr>
            <w:tcW w:w="14033" w:type="dxa"/>
            <w:gridSpan w:val="6"/>
            <w:vAlign w:val="center"/>
          </w:tcPr>
          <w:p w14:paraId="4E0FF5A6">
            <w:pPr>
              <w:pStyle w:val="12"/>
            </w:pPr>
            <w:r>
              <w:t>保障义务教育学校正常运转，完成教育教学活动和其他日常工作任务等方面的费用支出。</w:t>
            </w:r>
          </w:p>
        </w:tc>
      </w:tr>
      <w:tr w14:paraId="27BD6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0312D">
            <w:pPr>
              <w:pStyle w:val="10"/>
            </w:pPr>
            <w:r>
              <w:t>资金支出计划（%）</w:t>
            </w:r>
          </w:p>
        </w:tc>
        <w:tc>
          <w:tcPr>
            <w:tcW w:w="5103" w:type="dxa"/>
            <w:gridSpan w:val="2"/>
            <w:vAlign w:val="center"/>
          </w:tcPr>
          <w:p w14:paraId="659CF5EF">
            <w:pPr>
              <w:pStyle w:val="10"/>
            </w:pPr>
            <w:r>
              <w:t>3月底</w:t>
            </w:r>
          </w:p>
        </w:tc>
        <w:tc>
          <w:tcPr>
            <w:tcW w:w="2835" w:type="dxa"/>
            <w:vAlign w:val="center"/>
          </w:tcPr>
          <w:p w14:paraId="55A687A6">
            <w:pPr>
              <w:pStyle w:val="10"/>
            </w:pPr>
            <w:r>
              <w:t>6月底</w:t>
            </w:r>
          </w:p>
        </w:tc>
        <w:tc>
          <w:tcPr>
            <w:tcW w:w="2551" w:type="dxa"/>
            <w:vAlign w:val="center"/>
          </w:tcPr>
          <w:p w14:paraId="64C2F7FD">
            <w:pPr>
              <w:pStyle w:val="10"/>
            </w:pPr>
            <w:r>
              <w:t>10月底</w:t>
            </w:r>
          </w:p>
        </w:tc>
        <w:tc>
          <w:tcPr>
            <w:tcW w:w="3544" w:type="dxa"/>
            <w:gridSpan w:val="2"/>
            <w:vAlign w:val="center"/>
          </w:tcPr>
          <w:p w14:paraId="44517896">
            <w:pPr>
              <w:pStyle w:val="10"/>
            </w:pPr>
            <w:r>
              <w:t>12月底</w:t>
            </w:r>
          </w:p>
        </w:tc>
      </w:tr>
      <w:tr w14:paraId="4E03D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443EF"/>
        </w:tc>
        <w:tc>
          <w:tcPr>
            <w:tcW w:w="5103" w:type="dxa"/>
            <w:gridSpan w:val="2"/>
            <w:vAlign w:val="center"/>
          </w:tcPr>
          <w:p w14:paraId="59F1A922">
            <w:pPr>
              <w:pStyle w:val="13"/>
            </w:pPr>
            <w:r>
              <w:t>25%</w:t>
            </w:r>
          </w:p>
        </w:tc>
        <w:tc>
          <w:tcPr>
            <w:tcW w:w="2835" w:type="dxa"/>
            <w:vAlign w:val="center"/>
          </w:tcPr>
          <w:p w14:paraId="3791DE52">
            <w:pPr>
              <w:pStyle w:val="13"/>
            </w:pPr>
            <w:r>
              <w:t>50%</w:t>
            </w:r>
          </w:p>
        </w:tc>
        <w:tc>
          <w:tcPr>
            <w:tcW w:w="2551" w:type="dxa"/>
            <w:vAlign w:val="center"/>
          </w:tcPr>
          <w:p w14:paraId="1AD5BDE1">
            <w:pPr>
              <w:pStyle w:val="13"/>
            </w:pPr>
            <w:r>
              <w:t>75%</w:t>
            </w:r>
          </w:p>
        </w:tc>
        <w:tc>
          <w:tcPr>
            <w:tcW w:w="3544" w:type="dxa"/>
            <w:gridSpan w:val="2"/>
            <w:vAlign w:val="center"/>
          </w:tcPr>
          <w:p w14:paraId="5FE5B00C">
            <w:pPr>
              <w:pStyle w:val="13"/>
            </w:pPr>
            <w:r>
              <w:t>100%</w:t>
            </w:r>
          </w:p>
        </w:tc>
      </w:tr>
      <w:tr w14:paraId="180AE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15043">
            <w:pPr>
              <w:pStyle w:val="10"/>
            </w:pPr>
            <w:r>
              <w:t>绩效目标</w:t>
            </w:r>
          </w:p>
        </w:tc>
        <w:tc>
          <w:tcPr>
            <w:tcW w:w="14033" w:type="dxa"/>
            <w:gridSpan w:val="6"/>
            <w:vAlign w:val="center"/>
          </w:tcPr>
          <w:p w14:paraId="2C2CA45A">
            <w:pPr>
              <w:pStyle w:val="12"/>
            </w:pPr>
            <w:r>
              <w:t>1.按规定拨付公用经费资金4.96万元，资金拨付率达到100%。</w:t>
            </w:r>
          </w:p>
          <w:p w14:paraId="7144F463">
            <w:pPr>
              <w:pStyle w:val="12"/>
            </w:pPr>
          </w:p>
          <w:p w14:paraId="6E4C819A">
            <w:pPr>
              <w:pStyle w:val="12"/>
            </w:pPr>
            <w:r>
              <w:t>2.保障义务教育学校正常运转，完成教育教学活动和其他日常工作任务等方面的费用支出。</w:t>
            </w:r>
          </w:p>
          <w:p w14:paraId="369267A0">
            <w:pPr>
              <w:pStyle w:val="12"/>
            </w:pPr>
          </w:p>
        </w:tc>
      </w:tr>
    </w:tbl>
    <w:p w14:paraId="1B3229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F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5453F">
            <w:pPr>
              <w:pStyle w:val="10"/>
            </w:pPr>
            <w:r>
              <w:t>一级指标</w:t>
            </w:r>
          </w:p>
        </w:tc>
        <w:tc>
          <w:tcPr>
            <w:tcW w:w="2268" w:type="dxa"/>
            <w:vAlign w:val="center"/>
          </w:tcPr>
          <w:p w14:paraId="7FDB2A1B">
            <w:pPr>
              <w:pStyle w:val="10"/>
            </w:pPr>
            <w:r>
              <w:t>二级指标</w:t>
            </w:r>
          </w:p>
        </w:tc>
        <w:tc>
          <w:tcPr>
            <w:tcW w:w="2835" w:type="dxa"/>
            <w:vAlign w:val="center"/>
          </w:tcPr>
          <w:p w14:paraId="1F073F5F">
            <w:pPr>
              <w:pStyle w:val="10"/>
            </w:pPr>
            <w:r>
              <w:t>三级指标</w:t>
            </w:r>
          </w:p>
        </w:tc>
        <w:tc>
          <w:tcPr>
            <w:tcW w:w="5386" w:type="dxa"/>
            <w:vAlign w:val="center"/>
          </w:tcPr>
          <w:p w14:paraId="64C4A257">
            <w:pPr>
              <w:pStyle w:val="10"/>
            </w:pPr>
            <w:r>
              <w:t>绩效指标描述</w:t>
            </w:r>
          </w:p>
        </w:tc>
        <w:tc>
          <w:tcPr>
            <w:tcW w:w="2268" w:type="dxa"/>
            <w:vAlign w:val="center"/>
          </w:tcPr>
          <w:p w14:paraId="01174EED">
            <w:pPr>
              <w:pStyle w:val="10"/>
            </w:pPr>
            <w:r>
              <w:t>指标值</w:t>
            </w:r>
          </w:p>
        </w:tc>
        <w:tc>
          <w:tcPr>
            <w:tcW w:w="1276" w:type="dxa"/>
            <w:vAlign w:val="center"/>
          </w:tcPr>
          <w:p w14:paraId="6F3F5517">
            <w:pPr>
              <w:pStyle w:val="10"/>
            </w:pPr>
            <w:r>
              <w:t>指标值确定依据</w:t>
            </w:r>
          </w:p>
        </w:tc>
      </w:tr>
      <w:tr w14:paraId="47F65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BAA33">
            <w:pPr>
              <w:pStyle w:val="13"/>
            </w:pPr>
            <w:r>
              <w:t>产出指标</w:t>
            </w:r>
          </w:p>
        </w:tc>
        <w:tc>
          <w:tcPr>
            <w:tcW w:w="2268" w:type="dxa"/>
            <w:vAlign w:val="center"/>
          </w:tcPr>
          <w:p w14:paraId="72423E3F">
            <w:pPr>
              <w:pStyle w:val="12"/>
            </w:pPr>
            <w:r>
              <w:t>数量指标</w:t>
            </w:r>
          </w:p>
        </w:tc>
        <w:tc>
          <w:tcPr>
            <w:tcW w:w="2835" w:type="dxa"/>
            <w:vAlign w:val="center"/>
          </w:tcPr>
          <w:p w14:paraId="60AA9562">
            <w:pPr>
              <w:pStyle w:val="12"/>
            </w:pPr>
            <w:r>
              <w:t>就读学生数</w:t>
            </w:r>
          </w:p>
        </w:tc>
        <w:tc>
          <w:tcPr>
            <w:tcW w:w="5386" w:type="dxa"/>
            <w:vAlign w:val="center"/>
          </w:tcPr>
          <w:p w14:paraId="76519A52">
            <w:pPr>
              <w:pStyle w:val="12"/>
            </w:pPr>
            <w:r>
              <w:t>辐射区域内适龄学生人数</w:t>
            </w:r>
          </w:p>
        </w:tc>
        <w:tc>
          <w:tcPr>
            <w:tcW w:w="2268" w:type="dxa"/>
            <w:vAlign w:val="center"/>
          </w:tcPr>
          <w:p w14:paraId="10EA2214">
            <w:pPr>
              <w:pStyle w:val="12"/>
            </w:pPr>
            <w:r>
              <w:t>100人</w:t>
            </w:r>
          </w:p>
        </w:tc>
        <w:tc>
          <w:tcPr>
            <w:tcW w:w="1276" w:type="dxa"/>
            <w:vAlign w:val="center"/>
          </w:tcPr>
          <w:p w14:paraId="79D53A48">
            <w:pPr>
              <w:pStyle w:val="12"/>
            </w:pPr>
            <w:r>
              <w:t>城乡义务教育公用经费管理办法</w:t>
            </w:r>
          </w:p>
          <w:p w14:paraId="654DB51B">
            <w:pPr>
              <w:pStyle w:val="12"/>
            </w:pPr>
          </w:p>
        </w:tc>
      </w:tr>
      <w:tr w14:paraId="0FD9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917EA"/>
        </w:tc>
        <w:tc>
          <w:tcPr>
            <w:tcW w:w="2268" w:type="dxa"/>
            <w:vAlign w:val="center"/>
          </w:tcPr>
          <w:p w14:paraId="40ED2917">
            <w:pPr>
              <w:pStyle w:val="12"/>
            </w:pPr>
            <w:r>
              <w:t>质量指标</w:t>
            </w:r>
          </w:p>
        </w:tc>
        <w:tc>
          <w:tcPr>
            <w:tcW w:w="2835" w:type="dxa"/>
            <w:vAlign w:val="center"/>
          </w:tcPr>
          <w:p w14:paraId="230C4CF8">
            <w:pPr>
              <w:pStyle w:val="12"/>
            </w:pPr>
            <w:r>
              <w:t>义教经费支付完成率</w:t>
            </w:r>
          </w:p>
        </w:tc>
        <w:tc>
          <w:tcPr>
            <w:tcW w:w="5386" w:type="dxa"/>
            <w:vAlign w:val="center"/>
          </w:tcPr>
          <w:p w14:paraId="510386A8">
            <w:pPr>
              <w:pStyle w:val="12"/>
            </w:pPr>
            <w:r>
              <w:t>按照序时进度完成资金支付</w:t>
            </w:r>
          </w:p>
        </w:tc>
        <w:tc>
          <w:tcPr>
            <w:tcW w:w="2268" w:type="dxa"/>
            <w:vAlign w:val="center"/>
          </w:tcPr>
          <w:p w14:paraId="6B8478F4">
            <w:pPr>
              <w:pStyle w:val="12"/>
            </w:pPr>
            <w:r>
              <w:t>100%</w:t>
            </w:r>
          </w:p>
        </w:tc>
        <w:tc>
          <w:tcPr>
            <w:tcW w:w="1276" w:type="dxa"/>
            <w:vAlign w:val="center"/>
          </w:tcPr>
          <w:p w14:paraId="6DF1F80B">
            <w:pPr>
              <w:pStyle w:val="12"/>
            </w:pPr>
            <w:r>
              <w:t>城乡义务教育公用经费管理办法</w:t>
            </w:r>
          </w:p>
        </w:tc>
      </w:tr>
      <w:tr w14:paraId="4ED7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CAA2"/>
        </w:tc>
        <w:tc>
          <w:tcPr>
            <w:tcW w:w="2268" w:type="dxa"/>
            <w:vAlign w:val="center"/>
          </w:tcPr>
          <w:p w14:paraId="23E951E9">
            <w:pPr>
              <w:pStyle w:val="12"/>
            </w:pPr>
            <w:r>
              <w:t>时效指标</w:t>
            </w:r>
          </w:p>
        </w:tc>
        <w:tc>
          <w:tcPr>
            <w:tcW w:w="2835" w:type="dxa"/>
            <w:vAlign w:val="center"/>
          </w:tcPr>
          <w:p w14:paraId="3AE3D0CF">
            <w:pPr>
              <w:pStyle w:val="12"/>
            </w:pPr>
            <w:r>
              <w:t>预算执行率</w:t>
            </w:r>
          </w:p>
        </w:tc>
        <w:tc>
          <w:tcPr>
            <w:tcW w:w="5386" w:type="dxa"/>
            <w:vAlign w:val="center"/>
          </w:tcPr>
          <w:p w14:paraId="325525BA">
            <w:pPr>
              <w:pStyle w:val="12"/>
            </w:pPr>
            <w:r>
              <w:t>预算执行率≥98%</w:t>
            </w:r>
          </w:p>
          <w:p w14:paraId="6CCEF495">
            <w:pPr>
              <w:pStyle w:val="12"/>
            </w:pPr>
          </w:p>
        </w:tc>
        <w:tc>
          <w:tcPr>
            <w:tcW w:w="2268" w:type="dxa"/>
            <w:vAlign w:val="center"/>
          </w:tcPr>
          <w:p w14:paraId="7B86FFC1">
            <w:pPr>
              <w:pStyle w:val="12"/>
            </w:pPr>
            <w:r>
              <w:t>≥98%</w:t>
            </w:r>
          </w:p>
        </w:tc>
        <w:tc>
          <w:tcPr>
            <w:tcW w:w="1276" w:type="dxa"/>
            <w:vAlign w:val="center"/>
          </w:tcPr>
          <w:p w14:paraId="3E738A53">
            <w:pPr>
              <w:pStyle w:val="12"/>
            </w:pPr>
            <w:r>
              <w:t>城乡义务教育公用经费管理办法</w:t>
            </w:r>
          </w:p>
        </w:tc>
      </w:tr>
      <w:tr w14:paraId="1A1C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3CAC"/>
        </w:tc>
        <w:tc>
          <w:tcPr>
            <w:tcW w:w="2268" w:type="dxa"/>
            <w:vAlign w:val="center"/>
          </w:tcPr>
          <w:p w14:paraId="62BFC715">
            <w:pPr>
              <w:pStyle w:val="12"/>
            </w:pPr>
            <w:r>
              <w:t>成本指标</w:t>
            </w:r>
          </w:p>
        </w:tc>
        <w:tc>
          <w:tcPr>
            <w:tcW w:w="2835" w:type="dxa"/>
            <w:vAlign w:val="center"/>
          </w:tcPr>
          <w:p w14:paraId="5BC42A04">
            <w:pPr>
              <w:pStyle w:val="12"/>
            </w:pPr>
            <w:r>
              <w:t>生均拨款标准</w:t>
            </w:r>
          </w:p>
        </w:tc>
        <w:tc>
          <w:tcPr>
            <w:tcW w:w="5386" w:type="dxa"/>
            <w:vAlign w:val="center"/>
          </w:tcPr>
          <w:p w14:paraId="47A20150">
            <w:pPr>
              <w:pStyle w:val="12"/>
            </w:pPr>
            <w:r>
              <w:t>小学：（基本标准720元、寄宿生300元、生活补助120元）/生/学年；特教、随班就读学生：标准7000元/生/学年</w:t>
            </w:r>
          </w:p>
        </w:tc>
        <w:tc>
          <w:tcPr>
            <w:tcW w:w="2268" w:type="dxa"/>
            <w:vAlign w:val="center"/>
          </w:tcPr>
          <w:p w14:paraId="0CC62591">
            <w:pPr>
              <w:pStyle w:val="12"/>
            </w:pPr>
            <w:r>
              <w:t>840元</w:t>
            </w:r>
          </w:p>
        </w:tc>
        <w:tc>
          <w:tcPr>
            <w:tcW w:w="1276" w:type="dxa"/>
            <w:vAlign w:val="center"/>
          </w:tcPr>
          <w:p w14:paraId="3BB4DA93">
            <w:pPr>
              <w:pStyle w:val="12"/>
            </w:pPr>
            <w:r>
              <w:t>城乡义务教育公用经费管理办法</w:t>
            </w:r>
          </w:p>
        </w:tc>
      </w:tr>
      <w:tr w14:paraId="51DD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C254E">
            <w:pPr>
              <w:pStyle w:val="13"/>
            </w:pPr>
            <w:r>
              <w:t>效益指标</w:t>
            </w:r>
          </w:p>
        </w:tc>
        <w:tc>
          <w:tcPr>
            <w:tcW w:w="2268" w:type="dxa"/>
            <w:vAlign w:val="center"/>
          </w:tcPr>
          <w:p w14:paraId="686EC75E">
            <w:pPr>
              <w:pStyle w:val="12"/>
            </w:pPr>
            <w:r>
              <w:t>可持续影响指标</w:t>
            </w:r>
          </w:p>
        </w:tc>
        <w:tc>
          <w:tcPr>
            <w:tcW w:w="2835" w:type="dxa"/>
            <w:vAlign w:val="center"/>
          </w:tcPr>
          <w:p w14:paraId="34BB0D09">
            <w:pPr>
              <w:pStyle w:val="12"/>
            </w:pPr>
            <w:r>
              <w:t>学校运转得到提高</w:t>
            </w:r>
          </w:p>
        </w:tc>
        <w:tc>
          <w:tcPr>
            <w:tcW w:w="5386" w:type="dxa"/>
            <w:vAlign w:val="center"/>
          </w:tcPr>
          <w:p w14:paraId="64FF365D">
            <w:pPr>
              <w:pStyle w:val="12"/>
            </w:pPr>
            <w:r>
              <w:t>学生受教育年限</w:t>
            </w:r>
          </w:p>
        </w:tc>
        <w:tc>
          <w:tcPr>
            <w:tcW w:w="2268" w:type="dxa"/>
            <w:vAlign w:val="center"/>
          </w:tcPr>
          <w:p w14:paraId="276D9C30">
            <w:pPr>
              <w:pStyle w:val="12"/>
            </w:pPr>
            <w:r>
              <w:t>6年</w:t>
            </w:r>
          </w:p>
        </w:tc>
        <w:tc>
          <w:tcPr>
            <w:tcW w:w="1276" w:type="dxa"/>
            <w:vAlign w:val="center"/>
          </w:tcPr>
          <w:p w14:paraId="7EB2BB1C">
            <w:pPr>
              <w:pStyle w:val="12"/>
            </w:pPr>
            <w:r>
              <w:t>城乡义务教育公用经费管理办法</w:t>
            </w:r>
          </w:p>
        </w:tc>
      </w:tr>
      <w:tr w14:paraId="4C7B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40825">
            <w:pPr>
              <w:pStyle w:val="13"/>
            </w:pPr>
            <w:r>
              <w:t>满意度指标</w:t>
            </w:r>
          </w:p>
        </w:tc>
        <w:tc>
          <w:tcPr>
            <w:tcW w:w="2268" w:type="dxa"/>
            <w:vAlign w:val="center"/>
          </w:tcPr>
          <w:p w14:paraId="6A57DB4C">
            <w:pPr>
              <w:pStyle w:val="12"/>
            </w:pPr>
            <w:r>
              <w:t>服务对象满意度指标</w:t>
            </w:r>
          </w:p>
        </w:tc>
        <w:tc>
          <w:tcPr>
            <w:tcW w:w="2835" w:type="dxa"/>
            <w:vAlign w:val="center"/>
          </w:tcPr>
          <w:p w14:paraId="0855399C">
            <w:pPr>
              <w:pStyle w:val="12"/>
            </w:pPr>
            <w:r>
              <w:t>服务对象满意度</w:t>
            </w:r>
          </w:p>
        </w:tc>
        <w:tc>
          <w:tcPr>
            <w:tcW w:w="5386" w:type="dxa"/>
            <w:vAlign w:val="center"/>
          </w:tcPr>
          <w:p w14:paraId="0E79185C">
            <w:pPr>
              <w:pStyle w:val="12"/>
            </w:pPr>
            <w:r>
              <w:t>学校老师和学生满意度</w:t>
            </w:r>
          </w:p>
        </w:tc>
        <w:tc>
          <w:tcPr>
            <w:tcW w:w="2268" w:type="dxa"/>
            <w:vAlign w:val="center"/>
          </w:tcPr>
          <w:p w14:paraId="2A2E8227">
            <w:pPr>
              <w:pStyle w:val="12"/>
            </w:pPr>
            <w:r>
              <w:t>≥95%</w:t>
            </w:r>
          </w:p>
        </w:tc>
        <w:tc>
          <w:tcPr>
            <w:tcW w:w="1276" w:type="dxa"/>
            <w:vAlign w:val="center"/>
          </w:tcPr>
          <w:p w14:paraId="1D4C902F">
            <w:pPr>
              <w:pStyle w:val="12"/>
            </w:pPr>
            <w:r>
              <w:t>城乡义务教育公用经费管理办法</w:t>
            </w:r>
          </w:p>
        </w:tc>
      </w:tr>
    </w:tbl>
    <w:p w14:paraId="2F5E5BAF">
      <w:pPr>
        <w:sectPr>
          <w:pgSz w:w="16840" w:h="11900" w:orient="landscape"/>
          <w:pgMar w:top="1361" w:right="1020" w:bottom="1134" w:left="1020" w:header="720" w:footer="720" w:gutter="0"/>
          <w:cols w:space="720" w:num="1"/>
        </w:sectPr>
      </w:pPr>
    </w:p>
    <w:p w14:paraId="66E48672">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5、冀财教[2025]121号/中央/2026年义教补助经费/固城校区小孟小学公用经费绩效目标表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F5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D114C">
            <w:pPr>
              <w:pStyle w:val="11"/>
            </w:pPr>
            <w:r>
              <w:t>单位：万元</w:t>
            </w:r>
          </w:p>
        </w:tc>
      </w:tr>
      <w:tr w14:paraId="25C6A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FD3DC">
            <w:pPr>
              <w:pStyle w:val="10"/>
            </w:pPr>
            <w:r>
              <w:t>项目编码</w:t>
            </w:r>
          </w:p>
        </w:tc>
        <w:tc>
          <w:tcPr>
            <w:tcW w:w="5103" w:type="dxa"/>
            <w:gridSpan w:val="2"/>
            <w:vAlign w:val="center"/>
          </w:tcPr>
          <w:p w14:paraId="218C0DC2">
            <w:pPr>
              <w:pStyle w:val="12"/>
            </w:pPr>
            <w:r>
              <w:t>13052526P00000410302H</w:t>
            </w:r>
          </w:p>
        </w:tc>
        <w:tc>
          <w:tcPr>
            <w:tcW w:w="2835" w:type="dxa"/>
            <w:vAlign w:val="center"/>
          </w:tcPr>
          <w:p w14:paraId="28A0D629">
            <w:pPr>
              <w:pStyle w:val="10"/>
            </w:pPr>
            <w:r>
              <w:t>项目名称</w:t>
            </w:r>
          </w:p>
        </w:tc>
        <w:tc>
          <w:tcPr>
            <w:tcW w:w="6095" w:type="dxa"/>
            <w:gridSpan w:val="3"/>
            <w:vAlign w:val="center"/>
          </w:tcPr>
          <w:p w14:paraId="1F2C9F8F">
            <w:pPr>
              <w:pStyle w:val="12"/>
            </w:pPr>
            <w:r>
              <w:t>冀财教[2025]121号/中央/2026年义教补助经费/固城校区小孟小学公用经费</w:t>
            </w:r>
          </w:p>
        </w:tc>
      </w:tr>
      <w:tr w14:paraId="21962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BEB5D">
            <w:pPr>
              <w:pStyle w:val="10"/>
            </w:pPr>
            <w:r>
              <w:t>预算规模及资金用途</w:t>
            </w:r>
          </w:p>
        </w:tc>
        <w:tc>
          <w:tcPr>
            <w:tcW w:w="2268" w:type="dxa"/>
            <w:vAlign w:val="center"/>
          </w:tcPr>
          <w:p w14:paraId="184F4D9F">
            <w:pPr>
              <w:pStyle w:val="10"/>
            </w:pPr>
            <w:r>
              <w:t>预算数</w:t>
            </w:r>
          </w:p>
        </w:tc>
        <w:tc>
          <w:tcPr>
            <w:tcW w:w="2835" w:type="dxa"/>
            <w:vAlign w:val="center"/>
          </w:tcPr>
          <w:p w14:paraId="65B7037D">
            <w:pPr>
              <w:pStyle w:val="12"/>
            </w:pPr>
            <w:r>
              <w:t>25.00</w:t>
            </w:r>
          </w:p>
        </w:tc>
        <w:tc>
          <w:tcPr>
            <w:tcW w:w="2835" w:type="dxa"/>
            <w:vAlign w:val="center"/>
          </w:tcPr>
          <w:p w14:paraId="3EA33CDE">
            <w:pPr>
              <w:pStyle w:val="10"/>
            </w:pPr>
            <w:r>
              <w:t>其中：财政    资金</w:t>
            </w:r>
          </w:p>
        </w:tc>
        <w:tc>
          <w:tcPr>
            <w:tcW w:w="2551" w:type="dxa"/>
            <w:vAlign w:val="center"/>
          </w:tcPr>
          <w:p w14:paraId="11BC71EC">
            <w:pPr>
              <w:pStyle w:val="12"/>
            </w:pPr>
            <w:r>
              <w:t>25.00</w:t>
            </w:r>
          </w:p>
        </w:tc>
        <w:tc>
          <w:tcPr>
            <w:tcW w:w="2268" w:type="dxa"/>
            <w:vAlign w:val="center"/>
          </w:tcPr>
          <w:p w14:paraId="009A0D50">
            <w:pPr>
              <w:pStyle w:val="10"/>
            </w:pPr>
            <w:r>
              <w:t>其他资金</w:t>
            </w:r>
          </w:p>
        </w:tc>
        <w:tc>
          <w:tcPr>
            <w:tcW w:w="1276" w:type="dxa"/>
            <w:vAlign w:val="center"/>
          </w:tcPr>
          <w:p w14:paraId="57A500D9">
            <w:pPr>
              <w:pStyle w:val="12"/>
            </w:pPr>
            <w:r>
              <w:t xml:space="preserve"> </w:t>
            </w:r>
          </w:p>
        </w:tc>
      </w:tr>
      <w:tr w14:paraId="02360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B683B"/>
        </w:tc>
        <w:tc>
          <w:tcPr>
            <w:tcW w:w="14033" w:type="dxa"/>
            <w:gridSpan w:val="6"/>
            <w:vAlign w:val="center"/>
          </w:tcPr>
          <w:p w14:paraId="66434CDF">
            <w:pPr>
              <w:pStyle w:val="12"/>
            </w:pPr>
            <w:r>
              <w:t>保障义务教育学校正常运转，完成教育教学活动和其他日常工作任务等方面的费用支出。</w:t>
            </w:r>
          </w:p>
          <w:p w14:paraId="3942B2F7">
            <w:pPr>
              <w:pStyle w:val="12"/>
            </w:pPr>
          </w:p>
        </w:tc>
      </w:tr>
      <w:tr w14:paraId="7294F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53B59">
            <w:pPr>
              <w:pStyle w:val="10"/>
            </w:pPr>
            <w:r>
              <w:t>资金支出计划（%）</w:t>
            </w:r>
          </w:p>
        </w:tc>
        <w:tc>
          <w:tcPr>
            <w:tcW w:w="5103" w:type="dxa"/>
            <w:gridSpan w:val="2"/>
            <w:vAlign w:val="center"/>
          </w:tcPr>
          <w:p w14:paraId="6BDC655E">
            <w:pPr>
              <w:pStyle w:val="10"/>
            </w:pPr>
            <w:r>
              <w:t>3月底</w:t>
            </w:r>
          </w:p>
        </w:tc>
        <w:tc>
          <w:tcPr>
            <w:tcW w:w="2835" w:type="dxa"/>
            <w:vAlign w:val="center"/>
          </w:tcPr>
          <w:p w14:paraId="093A6A52">
            <w:pPr>
              <w:pStyle w:val="10"/>
            </w:pPr>
            <w:r>
              <w:t>6月底</w:t>
            </w:r>
          </w:p>
        </w:tc>
        <w:tc>
          <w:tcPr>
            <w:tcW w:w="2551" w:type="dxa"/>
            <w:vAlign w:val="center"/>
          </w:tcPr>
          <w:p w14:paraId="54A32EE4">
            <w:pPr>
              <w:pStyle w:val="10"/>
            </w:pPr>
            <w:r>
              <w:t>10月底</w:t>
            </w:r>
          </w:p>
        </w:tc>
        <w:tc>
          <w:tcPr>
            <w:tcW w:w="3544" w:type="dxa"/>
            <w:gridSpan w:val="2"/>
            <w:vAlign w:val="center"/>
          </w:tcPr>
          <w:p w14:paraId="7DCF779F">
            <w:pPr>
              <w:pStyle w:val="10"/>
            </w:pPr>
            <w:r>
              <w:t>12月底</w:t>
            </w:r>
          </w:p>
        </w:tc>
      </w:tr>
      <w:tr w14:paraId="2BB7F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A150E"/>
        </w:tc>
        <w:tc>
          <w:tcPr>
            <w:tcW w:w="5103" w:type="dxa"/>
            <w:gridSpan w:val="2"/>
            <w:vAlign w:val="center"/>
          </w:tcPr>
          <w:p w14:paraId="1D868522">
            <w:pPr>
              <w:pStyle w:val="13"/>
            </w:pPr>
            <w:r>
              <w:t>25%</w:t>
            </w:r>
          </w:p>
        </w:tc>
        <w:tc>
          <w:tcPr>
            <w:tcW w:w="2835" w:type="dxa"/>
            <w:vAlign w:val="center"/>
          </w:tcPr>
          <w:p w14:paraId="15CA9BC8">
            <w:pPr>
              <w:pStyle w:val="13"/>
            </w:pPr>
            <w:r>
              <w:t>50%</w:t>
            </w:r>
          </w:p>
        </w:tc>
        <w:tc>
          <w:tcPr>
            <w:tcW w:w="2551" w:type="dxa"/>
            <w:vAlign w:val="center"/>
          </w:tcPr>
          <w:p w14:paraId="127E0D6E">
            <w:pPr>
              <w:pStyle w:val="13"/>
            </w:pPr>
            <w:r>
              <w:t>75%</w:t>
            </w:r>
          </w:p>
        </w:tc>
        <w:tc>
          <w:tcPr>
            <w:tcW w:w="3544" w:type="dxa"/>
            <w:gridSpan w:val="2"/>
            <w:vAlign w:val="center"/>
          </w:tcPr>
          <w:p w14:paraId="58B99E97">
            <w:pPr>
              <w:pStyle w:val="13"/>
            </w:pPr>
            <w:r>
              <w:t>100%</w:t>
            </w:r>
          </w:p>
        </w:tc>
      </w:tr>
      <w:tr w14:paraId="4473D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DDD2C">
            <w:pPr>
              <w:pStyle w:val="10"/>
            </w:pPr>
            <w:r>
              <w:t>绩效目标</w:t>
            </w:r>
          </w:p>
        </w:tc>
        <w:tc>
          <w:tcPr>
            <w:tcW w:w="14033" w:type="dxa"/>
            <w:gridSpan w:val="6"/>
            <w:vAlign w:val="center"/>
          </w:tcPr>
          <w:p w14:paraId="4512B02E">
            <w:pPr>
              <w:pStyle w:val="12"/>
            </w:pPr>
            <w:r>
              <w:t>1.按规定拨付公用经费资金25万元，资金拨付率达到100%。</w:t>
            </w:r>
          </w:p>
          <w:p w14:paraId="19537DE8">
            <w:pPr>
              <w:pStyle w:val="12"/>
            </w:pPr>
          </w:p>
          <w:p w14:paraId="0B0746A2">
            <w:pPr>
              <w:pStyle w:val="12"/>
            </w:pPr>
            <w:r>
              <w:t>2.保障义务教育学校正常运转，完成教育教学活动和其他日常工作任务等方面的费用支出。</w:t>
            </w:r>
          </w:p>
          <w:p w14:paraId="307FDF19">
            <w:pPr>
              <w:pStyle w:val="12"/>
            </w:pPr>
          </w:p>
        </w:tc>
      </w:tr>
    </w:tbl>
    <w:p w14:paraId="01539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A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5EF6C">
            <w:pPr>
              <w:pStyle w:val="10"/>
            </w:pPr>
            <w:r>
              <w:t>一级指标</w:t>
            </w:r>
          </w:p>
        </w:tc>
        <w:tc>
          <w:tcPr>
            <w:tcW w:w="2268" w:type="dxa"/>
            <w:vAlign w:val="center"/>
          </w:tcPr>
          <w:p w14:paraId="61D630D7">
            <w:pPr>
              <w:pStyle w:val="10"/>
            </w:pPr>
            <w:r>
              <w:t>二级指标</w:t>
            </w:r>
          </w:p>
        </w:tc>
        <w:tc>
          <w:tcPr>
            <w:tcW w:w="2835" w:type="dxa"/>
            <w:vAlign w:val="center"/>
          </w:tcPr>
          <w:p w14:paraId="21347BA6">
            <w:pPr>
              <w:pStyle w:val="10"/>
            </w:pPr>
            <w:r>
              <w:t>三级指标</w:t>
            </w:r>
          </w:p>
        </w:tc>
        <w:tc>
          <w:tcPr>
            <w:tcW w:w="5386" w:type="dxa"/>
            <w:vAlign w:val="center"/>
          </w:tcPr>
          <w:p w14:paraId="1FA7E02D">
            <w:pPr>
              <w:pStyle w:val="10"/>
            </w:pPr>
            <w:r>
              <w:t>绩效指标描述</w:t>
            </w:r>
          </w:p>
        </w:tc>
        <w:tc>
          <w:tcPr>
            <w:tcW w:w="2268" w:type="dxa"/>
            <w:vAlign w:val="center"/>
          </w:tcPr>
          <w:p w14:paraId="69332D71">
            <w:pPr>
              <w:pStyle w:val="10"/>
            </w:pPr>
            <w:r>
              <w:t>指标值</w:t>
            </w:r>
          </w:p>
        </w:tc>
        <w:tc>
          <w:tcPr>
            <w:tcW w:w="1276" w:type="dxa"/>
            <w:vAlign w:val="center"/>
          </w:tcPr>
          <w:p w14:paraId="4439A968">
            <w:pPr>
              <w:pStyle w:val="10"/>
            </w:pPr>
            <w:r>
              <w:t>指标值确定依据</w:t>
            </w:r>
          </w:p>
        </w:tc>
      </w:tr>
      <w:tr w14:paraId="5D2C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48DDD">
            <w:pPr>
              <w:pStyle w:val="13"/>
            </w:pPr>
            <w:r>
              <w:t>产出指标</w:t>
            </w:r>
          </w:p>
        </w:tc>
        <w:tc>
          <w:tcPr>
            <w:tcW w:w="2268" w:type="dxa"/>
            <w:vAlign w:val="center"/>
          </w:tcPr>
          <w:p w14:paraId="12FC5766">
            <w:pPr>
              <w:pStyle w:val="12"/>
            </w:pPr>
            <w:r>
              <w:t>数量指标</w:t>
            </w:r>
          </w:p>
        </w:tc>
        <w:tc>
          <w:tcPr>
            <w:tcW w:w="2835" w:type="dxa"/>
            <w:vAlign w:val="center"/>
          </w:tcPr>
          <w:p w14:paraId="16D7AF63">
            <w:pPr>
              <w:pStyle w:val="12"/>
            </w:pPr>
            <w:r>
              <w:t>就读学生数</w:t>
            </w:r>
          </w:p>
        </w:tc>
        <w:tc>
          <w:tcPr>
            <w:tcW w:w="5386" w:type="dxa"/>
            <w:vAlign w:val="center"/>
          </w:tcPr>
          <w:p w14:paraId="60B336EA">
            <w:pPr>
              <w:pStyle w:val="12"/>
            </w:pPr>
            <w:r>
              <w:t>辐射区域内适龄学生人数</w:t>
            </w:r>
          </w:p>
        </w:tc>
        <w:tc>
          <w:tcPr>
            <w:tcW w:w="2268" w:type="dxa"/>
            <w:vAlign w:val="center"/>
          </w:tcPr>
          <w:p w14:paraId="609BBC48">
            <w:pPr>
              <w:pStyle w:val="12"/>
            </w:pPr>
            <w:r>
              <w:t>449人</w:t>
            </w:r>
          </w:p>
        </w:tc>
        <w:tc>
          <w:tcPr>
            <w:tcW w:w="1276" w:type="dxa"/>
            <w:vAlign w:val="center"/>
          </w:tcPr>
          <w:p w14:paraId="198EDCE9">
            <w:pPr>
              <w:pStyle w:val="12"/>
            </w:pPr>
            <w:r>
              <w:t>城乡义务教育公用经费管理办法</w:t>
            </w:r>
          </w:p>
          <w:p w14:paraId="7270F603">
            <w:pPr>
              <w:pStyle w:val="12"/>
            </w:pPr>
          </w:p>
        </w:tc>
      </w:tr>
      <w:tr w14:paraId="7078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588F8"/>
        </w:tc>
        <w:tc>
          <w:tcPr>
            <w:tcW w:w="2268" w:type="dxa"/>
            <w:vAlign w:val="center"/>
          </w:tcPr>
          <w:p w14:paraId="2FA3824E">
            <w:pPr>
              <w:pStyle w:val="12"/>
            </w:pPr>
            <w:r>
              <w:t>质量指标</w:t>
            </w:r>
          </w:p>
        </w:tc>
        <w:tc>
          <w:tcPr>
            <w:tcW w:w="2835" w:type="dxa"/>
            <w:vAlign w:val="center"/>
          </w:tcPr>
          <w:p w14:paraId="3D2AA3DB">
            <w:pPr>
              <w:pStyle w:val="12"/>
            </w:pPr>
            <w:r>
              <w:t>义教经费支付完成率</w:t>
            </w:r>
          </w:p>
        </w:tc>
        <w:tc>
          <w:tcPr>
            <w:tcW w:w="5386" w:type="dxa"/>
            <w:vAlign w:val="center"/>
          </w:tcPr>
          <w:p w14:paraId="544E0E2B">
            <w:pPr>
              <w:pStyle w:val="12"/>
            </w:pPr>
            <w:r>
              <w:t>按照序时进度完成资金支付</w:t>
            </w:r>
          </w:p>
        </w:tc>
        <w:tc>
          <w:tcPr>
            <w:tcW w:w="2268" w:type="dxa"/>
            <w:vAlign w:val="center"/>
          </w:tcPr>
          <w:p w14:paraId="1A132B0E">
            <w:pPr>
              <w:pStyle w:val="12"/>
            </w:pPr>
            <w:r>
              <w:t>100%</w:t>
            </w:r>
          </w:p>
        </w:tc>
        <w:tc>
          <w:tcPr>
            <w:tcW w:w="1276" w:type="dxa"/>
            <w:vAlign w:val="center"/>
          </w:tcPr>
          <w:p w14:paraId="00FB1B93">
            <w:pPr>
              <w:pStyle w:val="12"/>
            </w:pPr>
            <w:r>
              <w:t>城乡义务教育公用经费管理办法</w:t>
            </w:r>
          </w:p>
        </w:tc>
      </w:tr>
      <w:tr w14:paraId="087E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FC9B5"/>
        </w:tc>
        <w:tc>
          <w:tcPr>
            <w:tcW w:w="2268" w:type="dxa"/>
            <w:vAlign w:val="center"/>
          </w:tcPr>
          <w:p w14:paraId="03BA8BA4">
            <w:pPr>
              <w:pStyle w:val="12"/>
            </w:pPr>
            <w:r>
              <w:t>时效指标</w:t>
            </w:r>
          </w:p>
        </w:tc>
        <w:tc>
          <w:tcPr>
            <w:tcW w:w="2835" w:type="dxa"/>
            <w:vAlign w:val="center"/>
          </w:tcPr>
          <w:p w14:paraId="6DA436CB">
            <w:pPr>
              <w:pStyle w:val="12"/>
            </w:pPr>
            <w:r>
              <w:t>预算执行率</w:t>
            </w:r>
          </w:p>
        </w:tc>
        <w:tc>
          <w:tcPr>
            <w:tcW w:w="5386" w:type="dxa"/>
            <w:vAlign w:val="center"/>
          </w:tcPr>
          <w:p w14:paraId="5EBAC6DE">
            <w:pPr>
              <w:pStyle w:val="12"/>
            </w:pPr>
            <w:r>
              <w:t>预算执行率≥98%</w:t>
            </w:r>
          </w:p>
          <w:p w14:paraId="24DFFBB7">
            <w:pPr>
              <w:pStyle w:val="12"/>
            </w:pPr>
          </w:p>
        </w:tc>
        <w:tc>
          <w:tcPr>
            <w:tcW w:w="2268" w:type="dxa"/>
            <w:vAlign w:val="center"/>
          </w:tcPr>
          <w:p w14:paraId="11CE43E9">
            <w:pPr>
              <w:pStyle w:val="12"/>
            </w:pPr>
            <w:r>
              <w:t>≥98%</w:t>
            </w:r>
          </w:p>
        </w:tc>
        <w:tc>
          <w:tcPr>
            <w:tcW w:w="1276" w:type="dxa"/>
            <w:vAlign w:val="center"/>
          </w:tcPr>
          <w:p w14:paraId="383B8CFD">
            <w:pPr>
              <w:pStyle w:val="12"/>
            </w:pPr>
            <w:r>
              <w:t>城乡义务教育公用经费管理办法</w:t>
            </w:r>
          </w:p>
        </w:tc>
      </w:tr>
      <w:tr w14:paraId="40AC9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5D942"/>
        </w:tc>
        <w:tc>
          <w:tcPr>
            <w:tcW w:w="2268" w:type="dxa"/>
            <w:vAlign w:val="center"/>
          </w:tcPr>
          <w:p w14:paraId="55D781AE">
            <w:pPr>
              <w:pStyle w:val="12"/>
            </w:pPr>
            <w:r>
              <w:t>成本指标</w:t>
            </w:r>
          </w:p>
        </w:tc>
        <w:tc>
          <w:tcPr>
            <w:tcW w:w="2835" w:type="dxa"/>
            <w:vAlign w:val="center"/>
          </w:tcPr>
          <w:p w14:paraId="7AFEACEC">
            <w:pPr>
              <w:pStyle w:val="12"/>
            </w:pPr>
            <w:r>
              <w:t>生均拨款标准</w:t>
            </w:r>
          </w:p>
        </w:tc>
        <w:tc>
          <w:tcPr>
            <w:tcW w:w="5386" w:type="dxa"/>
            <w:vAlign w:val="center"/>
          </w:tcPr>
          <w:p w14:paraId="0C66F79E">
            <w:pPr>
              <w:pStyle w:val="12"/>
            </w:pPr>
            <w:r>
              <w:t>小学：（基本标准720元、寄宿生300元、生活补助120元）/生/学年；特教、随班就读学生：标准7000元/生/学年</w:t>
            </w:r>
          </w:p>
        </w:tc>
        <w:tc>
          <w:tcPr>
            <w:tcW w:w="2268" w:type="dxa"/>
            <w:vAlign w:val="center"/>
          </w:tcPr>
          <w:p w14:paraId="374C2D07">
            <w:pPr>
              <w:pStyle w:val="12"/>
            </w:pPr>
            <w:r>
              <w:t>840元</w:t>
            </w:r>
          </w:p>
        </w:tc>
        <w:tc>
          <w:tcPr>
            <w:tcW w:w="1276" w:type="dxa"/>
            <w:vAlign w:val="center"/>
          </w:tcPr>
          <w:p w14:paraId="3838BFBF">
            <w:pPr>
              <w:pStyle w:val="12"/>
            </w:pPr>
            <w:r>
              <w:t>城乡义务教育公用经费管理办法</w:t>
            </w:r>
          </w:p>
        </w:tc>
      </w:tr>
      <w:tr w14:paraId="6F38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D8DE5">
            <w:pPr>
              <w:pStyle w:val="13"/>
            </w:pPr>
            <w:r>
              <w:t>效益指标</w:t>
            </w:r>
          </w:p>
        </w:tc>
        <w:tc>
          <w:tcPr>
            <w:tcW w:w="2268" w:type="dxa"/>
            <w:vAlign w:val="center"/>
          </w:tcPr>
          <w:p w14:paraId="5E8CA67C">
            <w:pPr>
              <w:pStyle w:val="12"/>
            </w:pPr>
            <w:r>
              <w:t>可持续影响指标</w:t>
            </w:r>
          </w:p>
        </w:tc>
        <w:tc>
          <w:tcPr>
            <w:tcW w:w="2835" w:type="dxa"/>
            <w:vAlign w:val="center"/>
          </w:tcPr>
          <w:p w14:paraId="12CC6092">
            <w:pPr>
              <w:pStyle w:val="12"/>
            </w:pPr>
            <w:r>
              <w:t>学校运转得到提高</w:t>
            </w:r>
          </w:p>
        </w:tc>
        <w:tc>
          <w:tcPr>
            <w:tcW w:w="5386" w:type="dxa"/>
            <w:vAlign w:val="center"/>
          </w:tcPr>
          <w:p w14:paraId="62CE21CC">
            <w:pPr>
              <w:pStyle w:val="12"/>
            </w:pPr>
            <w:r>
              <w:t>学生受教育年限</w:t>
            </w:r>
          </w:p>
        </w:tc>
        <w:tc>
          <w:tcPr>
            <w:tcW w:w="2268" w:type="dxa"/>
            <w:vAlign w:val="center"/>
          </w:tcPr>
          <w:p w14:paraId="103F4E96">
            <w:pPr>
              <w:pStyle w:val="12"/>
            </w:pPr>
            <w:r>
              <w:t>6年</w:t>
            </w:r>
          </w:p>
        </w:tc>
        <w:tc>
          <w:tcPr>
            <w:tcW w:w="1276" w:type="dxa"/>
            <w:vAlign w:val="center"/>
          </w:tcPr>
          <w:p w14:paraId="64035168">
            <w:pPr>
              <w:pStyle w:val="12"/>
            </w:pPr>
            <w:r>
              <w:t>城乡义务教育公用经费管理办法</w:t>
            </w:r>
          </w:p>
        </w:tc>
      </w:tr>
      <w:tr w14:paraId="61AB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CA28A">
            <w:pPr>
              <w:pStyle w:val="13"/>
            </w:pPr>
            <w:r>
              <w:t>满意度指标</w:t>
            </w:r>
          </w:p>
        </w:tc>
        <w:tc>
          <w:tcPr>
            <w:tcW w:w="2268" w:type="dxa"/>
            <w:vAlign w:val="center"/>
          </w:tcPr>
          <w:p w14:paraId="5DA6DEA6">
            <w:pPr>
              <w:pStyle w:val="12"/>
            </w:pPr>
            <w:r>
              <w:t>服务对象满意度指标</w:t>
            </w:r>
          </w:p>
        </w:tc>
        <w:tc>
          <w:tcPr>
            <w:tcW w:w="2835" w:type="dxa"/>
            <w:vAlign w:val="center"/>
          </w:tcPr>
          <w:p w14:paraId="5AFA0A6F">
            <w:pPr>
              <w:pStyle w:val="12"/>
            </w:pPr>
            <w:r>
              <w:t>服务对象满意度</w:t>
            </w:r>
          </w:p>
        </w:tc>
        <w:tc>
          <w:tcPr>
            <w:tcW w:w="5386" w:type="dxa"/>
            <w:vAlign w:val="center"/>
          </w:tcPr>
          <w:p w14:paraId="7FFC2E92">
            <w:pPr>
              <w:pStyle w:val="12"/>
            </w:pPr>
            <w:r>
              <w:t>学校老师和学生满意度</w:t>
            </w:r>
          </w:p>
        </w:tc>
        <w:tc>
          <w:tcPr>
            <w:tcW w:w="2268" w:type="dxa"/>
            <w:vAlign w:val="center"/>
          </w:tcPr>
          <w:p w14:paraId="3B2353DB">
            <w:pPr>
              <w:pStyle w:val="12"/>
            </w:pPr>
            <w:r>
              <w:t>≥95%</w:t>
            </w:r>
          </w:p>
        </w:tc>
        <w:tc>
          <w:tcPr>
            <w:tcW w:w="1276" w:type="dxa"/>
            <w:vAlign w:val="center"/>
          </w:tcPr>
          <w:p w14:paraId="684FA230">
            <w:pPr>
              <w:pStyle w:val="12"/>
            </w:pPr>
            <w:r>
              <w:t>城乡义务教育公用经费管理办法</w:t>
            </w:r>
          </w:p>
        </w:tc>
      </w:tr>
    </w:tbl>
    <w:p w14:paraId="19756417">
      <w:pPr>
        <w:sectPr>
          <w:pgSz w:w="16840" w:h="11900" w:orient="landscape"/>
          <w:pgMar w:top="1361" w:right="1020" w:bottom="1134" w:left="1020" w:header="720" w:footer="720" w:gutter="0"/>
          <w:cols w:space="720" w:num="1"/>
        </w:sectPr>
      </w:pPr>
    </w:p>
    <w:p w14:paraId="01CB790B">
      <w:pPr>
        <w:spacing w:before="0" w:after="0"/>
        <w:ind w:firstLine="560"/>
        <w:jc w:val="left"/>
        <w:outlineLvl w:val="9"/>
      </w:pPr>
      <w:r>
        <w:rPr>
          <w:rFonts w:ascii="方正仿宋_GBK" w:hAnsi="方正仿宋_GBK" w:eastAsia="方正仿宋_GBK" w:cs="方正仿宋_GBK"/>
          <w:b/>
          <w:color w:val="000000"/>
          <w:sz w:val="28"/>
        </w:rPr>
        <w:t>6、冀财教[2025]121号/中央/义教/2026年校舍安全/东王村小学校舍维修改造绩效目标表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43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9F7BA">
            <w:pPr>
              <w:pStyle w:val="11"/>
            </w:pPr>
            <w:r>
              <w:t>单位：万元</w:t>
            </w:r>
          </w:p>
        </w:tc>
      </w:tr>
      <w:tr w14:paraId="64F09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7DEC8">
            <w:pPr>
              <w:pStyle w:val="10"/>
            </w:pPr>
            <w:r>
              <w:t>项目编码</w:t>
            </w:r>
          </w:p>
        </w:tc>
        <w:tc>
          <w:tcPr>
            <w:tcW w:w="5103" w:type="dxa"/>
            <w:gridSpan w:val="2"/>
            <w:vAlign w:val="center"/>
          </w:tcPr>
          <w:p w14:paraId="176505D9">
            <w:pPr>
              <w:pStyle w:val="12"/>
            </w:pPr>
            <w:r>
              <w:t>13052526P00876210092B</w:t>
            </w:r>
          </w:p>
        </w:tc>
        <w:tc>
          <w:tcPr>
            <w:tcW w:w="2835" w:type="dxa"/>
            <w:vAlign w:val="center"/>
          </w:tcPr>
          <w:p w14:paraId="1CB05F66">
            <w:pPr>
              <w:pStyle w:val="10"/>
            </w:pPr>
            <w:r>
              <w:t>项目名称</w:t>
            </w:r>
          </w:p>
        </w:tc>
        <w:tc>
          <w:tcPr>
            <w:tcW w:w="6095" w:type="dxa"/>
            <w:gridSpan w:val="3"/>
            <w:vAlign w:val="center"/>
          </w:tcPr>
          <w:p w14:paraId="38763186">
            <w:pPr>
              <w:pStyle w:val="12"/>
            </w:pPr>
            <w:r>
              <w:t>冀财教[2025]121号/中央/义教/2026年校舍安全/东王村小学校舍维修改造</w:t>
            </w:r>
          </w:p>
        </w:tc>
      </w:tr>
      <w:tr w14:paraId="23B76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34D5B">
            <w:pPr>
              <w:pStyle w:val="10"/>
            </w:pPr>
            <w:r>
              <w:t>预算规模及资金用途</w:t>
            </w:r>
          </w:p>
        </w:tc>
        <w:tc>
          <w:tcPr>
            <w:tcW w:w="2268" w:type="dxa"/>
            <w:vAlign w:val="center"/>
          </w:tcPr>
          <w:p w14:paraId="0971A3CA">
            <w:pPr>
              <w:pStyle w:val="10"/>
            </w:pPr>
            <w:r>
              <w:t>预算数</w:t>
            </w:r>
          </w:p>
        </w:tc>
        <w:tc>
          <w:tcPr>
            <w:tcW w:w="2835" w:type="dxa"/>
            <w:vAlign w:val="center"/>
          </w:tcPr>
          <w:p w14:paraId="3D8D8779">
            <w:pPr>
              <w:pStyle w:val="12"/>
            </w:pPr>
            <w:r>
              <w:t>49.90</w:t>
            </w:r>
          </w:p>
        </w:tc>
        <w:tc>
          <w:tcPr>
            <w:tcW w:w="2835" w:type="dxa"/>
            <w:vAlign w:val="center"/>
          </w:tcPr>
          <w:p w14:paraId="6661F7C0">
            <w:pPr>
              <w:pStyle w:val="10"/>
            </w:pPr>
            <w:r>
              <w:t>其中：财政    资金</w:t>
            </w:r>
          </w:p>
        </w:tc>
        <w:tc>
          <w:tcPr>
            <w:tcW w:w="2551" w:type="dxa"/>
            <w:vAlign w:val="center"/>
          </w:tcPr>
          <w:p w14:paraId="2CD983FC">
            <w:pPr>
              <w:pStyle w:val="12"/>
            </w:pPr>
            <w:r>
              <w:t>49.90</w:t>
            </w:r>
          </w:p>
        </w:tc>
        <w:tc>
          <w:tcPr>
            <w:tcW w:w="2268" w:type="dxa"/>
            <w:vAlign w:val="center"/>
          </w:tcPr>
          <w:p w14:paraId="7C9BFC59">
            <w:pPr>
              <w:pStyle w:val="10"/>
            </w:pPr>
            <w:r>
              <w:t>其他资金</w:t>
            </w:r>
          </w:p>
        </w:tc>
        <w:tc>
          <w:tcPr>
            <w:tcW w:w="1276" w:type="dxa"/>
            <w:vAlign w:val="center"/>
          </w:tcPr>
          <w:p w14:paraId="6259235F">
            <w:pPr>
              <w:pStyle w:val="12"/>
            </w:pPr>
            <w:r>
              <w:t xml:space="preserve"> </w:t>
            </w:r>
          </w:p>
        </w:tc>
      </w:tr>
      <w:tr w14:paraId="61907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3C0C1"/>
        </w:tc>
        <w:tc>
          <w:tcPr>
            <w:tcW w:w="14033" w:type="dxa"/>
            <w:gridSpan w:val="6"/>
            <w:vAlign w:val="center"/>
          </w:tcPr>
          <w:p w14:paraId="114EC4E3">
            <w:pPr>
              <w:pStyle w:val="12"/>
            </w:pPr>
            <w:r>
              <w:t>改善就学条件，提升学校形象，保障义务教育阶段教学安全，创造良好的校园环境。</w:t>
            </w:r>
          </w:p>
        </w:tc>
      </w:tr>
      <w:tr w14:paraId="0B24D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8FF9B">
            <w:pPr>
              <w:pStyle w:val="10"/>
            </w:pPr>
            <w:r>
              <w:t>资金支出计划（%）</w:t>
            </w:r>
          </w:p>
        </w:tc>
        <w:tc>
          <w:tcPr>
            <w:tcW w:w="5103" w:type="dxa"/>
            <w:gridSpan w:val="2"/>
            <w:vAlign w:val="center"/>
          </w:tcPr>
          <w:p w14:paraId="1880DBA7">
            <w:pPr>
              <w:pStyle w:val="10"/>
            </w:pPr>
            <w:r>
              <w:t>3月底</w:t>
            </w:r>
          </w:p>
        </w:tc>
        <w:tc>
          <w:tcPr>
            <w:tcW w:w="2835" w:type="dxa"/>
            <w:vAlign w:val="center"/>
          </w:tcPr>
          <w:p w14:paraId="572DD477">
            <w:pPr>
              <w:pStyle w:val="10"/>
            </w:pPr>
            <w:r>
              <w:t>6月底</w:t>
            </w:r>
          </w:p>
        </w:tc>
        <w:tc>
          <w:tcPr>
            <w:tcW w:w="2551" w:type="dxa"/>
            <w:vAlign w:val="center"/>
          </w:tcPr>
          <w:p w14:paraId="021933BF">
            <w:pPr>
              <w:pStyle w:val="10"/>
            </w:pPr>
            <w:r>
              <w:t>10月底</w:t>
            </w:r>
          </w:p>
        </w:tc>
        <w:tc>
          <w:tcPr>
            <w:tcW w:w="3544" w:type="dxa"/>
            <w:gridSpan w:val="2"/>
            <w:vAlign w:val="center"/>
          </w:tcPr>
          <w:p w14:paraId="076CACFC">
            <w:pPr>
              <w:pStyle w:val="10"/>
            </w:pPr>
            <w:r>
              <w:t>12月底</w:t>
            </w:r>
          </w:p>
        </w:tc>
      </w:tr>
      <w:tr w14:paraId="3F91D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7667A"/>
        </w:tc>
        <w:tc>
          <w:tcPr>
            <w:tcW w:w="5103" w:type="dxa"/>
            <w:gridSpan w:val="2"/>
            <w:vAlign w:val="center"/>
          </w:tcPr>
          <w:p w14:paraId="429301F5">
            <w:pPr>
              <w:pStyle w:val="13"/>
            </w:pPr>
            <w:r>
              <w:t xml:space="preserve"> </w:t>
            </w:r>
          </w:p>
        </w:tc>
        <w:tc>
          <w:tcPr>
            <w:tcW w:w="2835" w:type="dxa"/>
            <w:vAlign w:val="center"/>
          </w:tcPr>
          <w:p w14:paraId="3202FB4B">
            <w:pPr>
              <w:pStyle w:val="13"/>
            </w:pPr>
            <w:r>
              <w:t xml:space="preserve"> </w:t>
            </w:r>
          </w:p>
        </w:tc>
        <w:tc>
          <w:tcPr>
            <w:tcW w:w="2551" w:type="dxa"/>
            <w:vAlign w:val="center"/>
          </w:tcPr>
          <w:p w14:paraId="2B347D33">
            <w:pPr>
              <w:pStyle w:val="13"/>
            </w:pPr>
            <w:r>
              <w:t>100%</w:t>
            </w:r>
          </w:p>
        </w:tc>
        <w:tc>
          <w:tcPr>
            <w:tcW w:w="3544" w:type="dxa"/>
            <w:gridSpan w:val="2"/>
            <w:vAlign w:val="center"/>
          </w:tcPr>
          <w:p w14:paraId="7723ED09">
            <w:pPr>
              <w:pStyle w:val="13"/>
            </w:pPr>
            <w:r>
              <w:t>100%</w:t>
            </w:r>
          </w:p>
        </w:tc>
      </w:tr>
      <w:tr w14:paraId="5C2E4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48B17">
            <w:pPr>
              <w:pStyle w:val="10"/>
            </w:pPr>
            <w:r>
              <w:t>绩效目标</w:t>
            </w:r>
          </w:p>
        </w:tc>
        <w:tc>
          <w:tcPr>
            <w:tcW w:w="14033" w:type="dxa"/>
            <w:gridSpan w:val="6"/>
            <w:vAlign w:val="center"/>
          </w:tcPr>
          <w:p w14:paraId="6C511BCA">
            <w:pPr>
              <w:pStyle w:val="12"/>
            </w:pPr>
            <w:r>
              <w:t>1.项目需资金49.9万元，资金拨付率达到100%。</w:t>
            </w:r>
          </w:p>
          <w:p w14:paraId="21CFAE67">
            <w:pPr>
              <w:pStyle w:val="12"/>
            </w:pPr>
            <w:r>
              <w:t>2.改善就学条件，提升学校形象，保障义务教育阶段教学安全，创造良好的校园环境。</w:t>
            </w:r>
          </w:p>
        </w:tc>
      </w:tr>
    </w:tbl>
    <w:p w14:paraId="6ED8C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0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65E54">
            <w:pPr>
              <w:pStyle w:val="10"/>
            </w:pPr>
            <w:r>
              <w:t>一级指标</w:t>
            </w:r>
          </w:p>
        </w:tc>
        <w:tc>
          <w:tcPr>
            <w:tcW w:w="2268" w:type="dxa"/>
            <w:vAlign w:val="center"/>
          </w:tcPr>
          <w:p w14:paraId="06093736">
            <w:pPr>
              <w:pStyle w:val="10"/>
            </w:pPr>
            <w:r>
              <w:t>二级指标</w:t>
            </w:r>
          </w:p>
        </w:tc>
        <w:tc>
          <w:tcPr>
            <w:tcW w:w="2835" w:type="dxa"/>
            <w:vAlign w:val="center"/>
          </w:tcPr>
          <w:p w14:paraId="77A83D4C">
            <w:pPr>
              <w:pStyle w:val="10"/>
            </w:pPr>
            <w:r>
              <w:t>三级指标</w:t>
            </w:r>
          </w:p>
        </w:tc>
        <w:tc>
          <w:tcPr>
            <w:tcW w:w="5386" w:type="dxa"/>
            <w:vAlign w:val="center"/>
          </w:tcPr>
          <w:p w14:paraId="4491AB0D">
            <w:pPr>
              <w:pStyle w:val="10"/>
            </w:pPr>
            <w:r>
              <w:t>绩效指标描述</w:t>
            </w:r>
          </w:p>
        </w:tc>
        <w:tc>
          <w:tcPr>
            <w:tcW w:w="2268" w:type="dxa"/>
            <w:vAlign w:val="center"/>
          </w:tcPr>
          <w:p w14:paraId="74FDD628">
            <w:pPr>
              <w:pStyle w:val="10"/>
            </w:pPr>
            <w:r>
              <w:t>指标值</w:t>
            </w:r>
          </w:p>
        </w:tc>
        <w:tc>
          <w:tcPr>
            <w:tcW w:w="1276" w:type="dxa"/>
            <w:vAlign w:val="center"/>
          </w:tcPr>
          <w:p w14:paraId="35C3E696">
            <w:pPr>
              <w:pStyle w:val="10"/>
            </w:pPr>
            <w:r>
              <w:t>指标值确定依据</w:t>
            </w:r>
          </w:p>
        </w:tc>
      </w:tr>
      <w:tr w14:paraId="4E11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2E562">
            <w:pPr>
              <w:pStyle w:val="13"/>
            </w:pPr>
            <w:r>
              <w:t>产出指标</w:t>
            </w:r>
          </w:p>
        </w:tc>
        <w:tc>
          <w:tcPr>
            <w:tcW w:w="2268" w:type="dxa"/>
            <w:vAlign w:val="center"/>
          </w:tcPr>
          <w:p w14:paraId="0C465040">
            <w:pPr>
              <w:pStyle w:val="12"/>
            </w:pPr>
            <w:r>
              <w:t>数量指标</w:t>
            </w:r>
          </w:p>
        </w:tc>
        <w:tc>
          <w:tcPr>
            <w:tcW w:w="2835" w:type="dxa"/>
            <w:vAlign w:val="center"/>
          </w:tcPr>
          <w:p w14:paraId="3D5C5A30">
            <w:pPr>
              <w:pStyle w:val="12"/>
            </w:pPr>
            <w:r>
              <w:t>东王村小学校舍维修改造</w:t>
            </w:r>
          </w:p>
        </w:tc>
        <w:tc>
          <w:tcPr>
            <w:tcW w:w="5386" w:type="dxa"/>
            <w:vAlign w:val="center"/>
          </w:tcPr>
          <w:p w14:paraId="77BE6B79">
            <w:pPr>
              <w:pStyle w:val="12"/>
            </w:pPr>
            <w:r>
              <w:t>院落维修改造、宿舍封阳台等</w:t>
            </w:r>
          </w:p>
        </w:tc>
        <w:tc>
          <w:tcPr>
            <w:tcW w:w="2268" w:type="dxa"/>
            <w:vAlign w:val="center"/>
          </w:tcPr>
          <w:p w14:paraId="181B9BE6">
            <w:pPr>
              <w:pStyle w:val="12"/>
            </w:pPr>
            <w:r>
              <w:t>1项</w:t>
            </w:r>
          </w:p>
        </w:tc>
        <w:tc>
          <w:tcPr>
            <w:tcW w:w="1276" w:type="dxa"/>
            <w:vAlign w:val="center"/>
          </w:tcPr>
          <w:p w14:paraId="0DED40EA">
            <w:pPr>
              <w:pStyle w:val="12"/>
            </w:pPr>
            <w:r>
              <w:t>项目规划</w:t>
            </w:r>
          </w:p>
        </w:tc>
      </w:tr>
      <w:tr w14:paraId="5BCC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A6D19"/>
        </w:tc>
        <w:tc>
          <w:tcPr>
            <w:tcW w:w="2268" w:type="dxa"/>
            <w:vAlign w:val="center"/>
          </w:tcPr>
          <w:p w14:paraId="14A735B0">
            <w:pPr>
              <w:pStyle w:val="12"/>
            </w:pPr>
            <w:r>
              <w:t>质量指标</w:t>
            </w:r>
          </w:p>
        </w:tc>
        <w:tc>
          <w:tcPr>
            <w:tcW w:w="2835" w:type="dxa"/>
            <w:vAlign w:val="center"/>
          </w:tcPr>
          <w:p w14:paraId="71C933E7">
            <w:pPr>
              <w:pStyle w:val="12"/>
            </w:pPr>
            <w:r>
              <w:t>工程实施验收合格率</w:t>
            </w:r>
          </w:p>
        </w:tc>
        <w:tc>
          <w:tcPr>
            <w:tcW w:w="5386" w:type="dxa"/>
            <w:vAlign w:val="center"/>
          </w:tcPr>
          <w:p w14:paraId="5525E20B">
            <w:pPr>
              <w:pStyle w:val="12"/>
            </w:pPr>
            <w:r>
              <w:t>申报程序的合规，项目实施及资金使用符合项目规划</w:t>
            </w:r>
          </w:p>
        </w:tc>
        <w:tc>
          <w:tcPr>
            <w:tcW w:w="2268" w:type="dxa"/>
            <w:vAlign w:val="center"/>
          </w:tcPr>
          <w:p w14:paraId="710DE187">
            <w:pPr>
              <w:pStyle w:val="12"/>
            </w:pPr>
            <w:r>
              <w:t>100%</w:t>
            </w:r>
          </w:p>
        </w:tc>
        <w:tc>
          <w:tcPr>
            <w:tcW w:w="1276" w:type="dxa"/>
            <w:vAlign w:val="center"/>
          </w:tcPr>
          <w:p w14:paraId="2364AD2E">
            <w:pPr>
              <w:pStyle w:val="12"/>
            </w:pPr>
            <w:r>
              <w:t>项目规划</w:t>
            </w:r>
          </w:p>
        </w:tc>
      </w:tr>
      <w:tr w14:paraId="4BA6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726A1"/>
        </w:tc>
        <w:tc>
          <w:tcPr>
            <w:tcW w:w="2268" w:type="dxa"/>
            <w:vAlign w:val="center"/>
          </w:tcPr>
          <w:p w14:paraId="7BECAAD9">
            <w:pPr>
              <w:pStyle w:val="12"/>
            </w:pPr>
            <w:r>
              <w:t>时效指标</w:t>
            </w:r>
          </w:p>
        </w:tc>
        <w:tc>
          <w:tcPr>
            <w:tcW w:w="2835" w:type="dxa"/>
            <w:vAlign w:val="center"/>
          </w:tcPr>
          <w:p w14:paraId="7FFC2B52">
            <w:pPr>
              <w:pStyle w:val="12"/>
            </w:pPr>
            <w:r>
              <w:t>资金支付率</w:t>
            </w:r>
          </w:p>
        </w:tc>
        <w:tc>
          <w:tcPr>
            <w:tcW w:w="5386" w:type="dxa"/>
            <w:vAlign w:val="center"/>
          </w:tcPr>
          <w:p w14:paraId="6D36E348">
            <w:pPr>
              <w:pStyle w:val="12"/>
            </w:pPr>
            <w:r>
              <w:t>按照序时进度完成资金支付</w:t>
            </w:r>
          </w:p>
        </w:tc>
        <w:tc>
          <w:tcPr>
            <w:tcW w:w="2268" w:type="dxa"/>
            <w:vAlign w:val="center"/>
          </w:tcPr>
          <w:p w14:paraId="13070F16">
            <w:pPr>
              <w:pStyle w:val="12"/>
            </w:pPr>
            <w:r>
              <w:t>100%</w:t>
            </w:r>
          </w:p>
        </w:tc>
        <w:tc>
          <w:tcPr>
            <w:tcW w:w="1276" w:type="dxa"/>
            <w:vAlign w:val="center"/>
          </w:tcPr>
          <w:p w14:paraId="1D974951">
            <w:pPr>
              <w:pStyle w:val="12"/>
            </w:pPr>
            <w:r>
              <w:t>项目规划</w:t>
            </w:r>
          </w:p>
        </w:tc>
      </w:tr>
      <w:tr w14:paraId="4FEA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5FA6F"/>
        </w:tc>
        <w:tc>
          <w:tcPr>
            <w:tcW w:w="2268" w:type="dxa"/>
            <w:vAlign w:val="center"/>
          </w:tcPr>
          <w:p w14:paraId="3A5FD11D">
            <w:pPr>
              <w:pStyle w:val="12"/>
            </w:pPr>
            <w:r>
              <w:t>成本指标</w:t>
            </w:r>
          </w:p>
        </w:tc>
        <w:tc>
          <w:tcPr>
            <w:tcW w:w="2835" w:type="dxa"/>
            <w:vAlign w:val="center"/>
          </w:tcPr>
          <w:p w14:paraId="7CE3A6C9">
            <w:pPr>
              <w:pStyle w:val="12"/>
            </w:pPr>
            <w:r>
              <w:t>项目成本控制情况</w:t>
            </w:r>
          </w:p>
        </w:tc>
        <w:tc>
          <w:tcPr>
            <w:tcW w:w="5386" w:type="dxa"/>
            <w:vAlign w:val="center"/>
          </w:tcPr>
          <w:p w14:paraId="456058C9">
            <w:pPr>
              <w:pStyle w:val="12"/>
            </w:pPr>
            <w:r>
              <w:t>严格按照招标价格及审计额进行</w:t>
            </w:r>
          </w:p>
        </w:tc>
        <w:tc>
          <w:tcPr>
            <w:tcW w:w="2268" w:type="dxa"/>
            <w:vAlign w:val="center"/>
          </w:tcPr>
          <w:p w14:paraId="35262FF4">
            <w:pPr>
              <w:pStyle w:val="12"/>
            </w:pPr>
            <w:r>
              <w:t>499000元</w:t>
            </w:r>
          </w:p>
        </w:tc>
        <w:tc>
          <w:tcPr>
            <w:tcW w:w="1276" w:type="dxa"/>
            <w:vAlign w:val="center"/>
          </w:tcPr>
          <w:p w14:paraId="6CD8B598">
            <w:pPr>
              <w:pStyle w:val="12"/>
            </w:pPr>
            <w:r>
              <w:t>项目规划</w:t>
            </w:r>
          </w:p>
        </w:tc>
      </w:tr>
      <w:tr w14:paraId="5215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695FC">
            <w:pPr>
              <w:pStyle w:val="13"/>
            </w:pPr>
            <w:r>
              <w:t>效益指标</w:t>
            </w:r>
          </w:p>
        </w:tc>
        <w:tc>
          <w:tcPr>
            <w:tcW w:w="2268" w:type="dxa"/>
            <w:vAlign w:val="center"/>
          </w:tcPr>
          <w:p w14:paraId="790BF35C">
            <w:pPr>
              <w:pStyle w:val="12"/>
            </w:pPr>
            <w:r>
              <w:t>社会效益指标</w:t>
            </w:r>
          </w:p>
        </w:tc>
        <w:tc>
          <w:tcPr>
            <w:tcW w:w="2835" w:type="dxa"/>
            <w:vAlign w:val="center"/>
          </w:tcPr>
          <w:p w14:paraId="67118694">
            <w:pPr>
              <w:pStyle w:val="12"/>
            </w:pPr>
            <w:r>
              <w:t>学校办学环境提升</w:t>
            </w:r>
          </w:p>
        </w:tc>
        <w:tc>
          <w:tcPr>
            <w:tcW w:w="5386" w:type="dxa"/>
            <w:vAlign w:val="center"/>
          </w:tcPr>
          <w:p w14:paraId="30086901">
            <w:pPr>
              <w:pStyle w:val="12"/>
            </w:pPr>
            <w:r>
              <w:t>学校教学环境提升优化率</w:t>
            </w:r>
          </w:p>
        </w:tc>
        <w:tc>
          <w:tcPr>
            <w:tcW w:w="2268" w:type="dxa"/>
            <w:vAlign w:val="center"/>
          </w:tcPr>
          <w:p w14:paraId="165C9FB9">
            <w:pPr>
              <w:pStyle w:val="12"/>
            </w:pPr>
            <w:r>
              <w:t>≥98%</w:t>
            </w:r>
          </w:p>
        </w:tc>
        <w:tc>
          <w:tcPr>
            <w:tcW w:w="1276" w:type="dxa"/>
            <w:vAlign w:val="center"/>
          </w:tcPr>
          <w:p w14:paraId="610E4434">
            <w:pPr>
              <w:pStyle w:val="12"/>
            </w:pPr>
            <w:r>
              <w:t>项目规划</w:t>
            </w:r>
          </w:p>
        </w:tc>
      </w:tr>
      <w:tr w14:paraId="2BBF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397CB">
            <w:pPr>
              <w:pStyle w:val="13"/>
            </w:pPr>
            <w:r>
              <w:t>满意度指标</w:t>
            </w:r>
          </w:p>
        </w:tc>
        <w:tc>
          <w:tcPr>
            <w:tcW w:w="2268" w:type="dxa"/>
            <w:vAlign w:val="center"/>
          </w:tcPr>
          <w:p w14:paraId="1C5958D2">
            <w:pPr>
              <w:pStyle w:val="12"/>
            </w:pPr>
            <w:r>
              <w:t>服务对象满意度指标</w:t>
            </w:r>
          </w:p>
        </w:tc>
        <w:tc>
          <w:tcPr>
            <w:tcW w:w="2835" w:type="dxa"/>
            <w:vAlign w:val="center"/>
          </w:tcPr>
          <w:p w14:paraId="39442FCC">
            <w:pPr>
              <w:pStyle w:val="12"/>
            </w:pPr>
            <w:r>
              <w:t>受益学生家长及调查满意度</w:t>
            </w:r>
          </w:p>
        </w:tc>
        <w:tc>
          <w:tcPr>
            <w:tcW w:w="5386" w:type="dxa"/>
            <w:vAlign w:val="center"/>
          </w:tcPr>
          <w:p w14:paraId="41584183">
            <w:pPr>
              <w:pStyle w:val="12"/>
            </w:pPr>
            <w:r>
              <w:t>学生、教师及家长对学校教学环境满意度情况</w:t>
            </w:r>
          </w:p>
        </w:tc>
        <w:tc>
          <w:tcPr>
            <w:tcW w:w="2268" w:type="dxa"/>
            <w:vAlign w:val="center"/>
          </w:tcPr>
          <w:p w14:paraId="1C65613C">
            <w:pPr>
              <w:pStyle w:val="12"/>
            </w:pPr>
            <w:r>
              <w:t>≥95%</w:t>
            </w:r>
          </w:p>
        </w:tc>
        <w:tc>
          <w:tcPr>
            <w:tcW w:w="1276" w:type="dxa"/>
            <w:vAlign w:val="center"/>
          </w:tcPr>
          <w:p w14:paraId="443E63B1">
            <w:pPr>
              <w:pStyle w:val="12"/>
            </w:pPr>
            <w:r>
              <w:t>项目规划</w:t>
            </w:r>
          </w:p>
        </w:tc>
      </w:tr>
    </w:tbl>
    <w:p w14:paraId="416F7BC0">
      <w:pPr>
        <w:sectPr>
          <w:pgSz w:w="16840" w:h="11900" w:orient="landscape"/>
          <w:pgMar w:top="1361" w:right="1020" w:bottom="1134" w:left="1020" w:header="720" w:footer="720" w:gutter="0"/>
          <w:cols w:space="720" w:num="1"/>
        </w:sectPr>
      </w:pPr>
    </w:p>
    <w:p w14:paraId="5EF1E059">
      <w:pPr>
        <w:spacing w:before="0" w:after="0"/>
        <w:ind w:firstLine="560"/>
        <w:jc w:val="left"/>
        <w:outlineLvl w:val="9"/>
      </w:pPr>
      <w:r>
        <w:rPr>
          <w:rFonts w:ascii="方正仿宋_GBK" w:hAnsi="方正仿宋_GBK" w:eastAsia="方正仿宋_GBK" w:cs="方正仿宋_GBK"/>
          <w:b/>
          <w:color w:val="000000"/>
          <w:sz w:val="28"/>
        </w:rPr>
        <w:t>7、冀财教[2025]121号/中央/义教/2026年校舍安全/小孟小学校舍维修改造绩效目标表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31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AB6F5">
            <w:pPr>
              <w:pStyle w:val="11"/>
            </w:pPr>
            <w:r>
              <w:t>单位：万元</w:t>
            </w:r>
          </w:p>
        </w:tc>
      </w:tr>
      <w:tr w14:paraId="7A96A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68F55">
            <w:pPr>
              <w:pStyle w:val="10"/>
            </w:pPr>
            <w:r>
              <w:t>项目编码</w:t>
            </w:r>
          </w:p>
        </w:tc>
        <w:tc>
          <w:tcPr>
            <w:tcW w:w="5103" w:type="dxa"/>
            <w:gridSpan w:val="2"/>
            <w:vAlign w:val="center"/>
          </w:tcPr>
          <w:p w14:paraId="6DA4EE7E">
            <w:pPr>
              <w:pStyle w:val="12"/>
            </w:pPr>
            <w:r>
              <w:t>13052526P00876210093Y</w:t>
            </w:r>
          </w:p>
        </w:tc>
        <w:tc>
          <w:tcPr>
            <w:tcW w:w="2835" w:type="dxa"/>
            <w:vAlign w:val="center"/>
          </w:tcPr>
          <w:p w14:paraId="30B5BD35">
            <w:pPr>
              <w:pStyle w:val="10"/>
            </w:pPr>
            <w:r>
              <w:t>项目名称</w:t>
            </w:r>
          </w:p>
        </w:tc>
        <w:tc>
          <w:tcPr>
            <w:tcW w:w="6095" w:type="dxa"/>
            <w:gridSpan w:val="3"/>
            <w:vAlign w:val="center"/>
          </w:tcPr>
          <w:p w14:paraId="676E3507">
            <w:pPr>
              <w:pStyle w:val="12"/>
            </w:pPr>
            <w:r>
              <w:t>冀财教[2025]121号/中央/义教/2026年校舍安全/小孟小学校舍维修改造</w:t>
            </w:r>
          </w:p>
        </w:tc>
      </w:tr>
      <w:tr w14:paraId="59669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96BDE">
            <w:pPr>
              <w:pStyle w:val="10"/>
            </w:pPr>
            <w:r>
              <w:t>预算规模及资金用途</w:t>
            </w:r>
          </w:p>
        </w:tc>
        <w:tc>
          <w:tcPr>
            <w:tcW w:w="2268" w:type="dxa"/>
            <w:vAlign w:val="center"/>
          </w:tcPr>
          <w:p w14:paraId="5620608A">
            <w:pPr>
              <w:pStyle w:val="10"/>
            </w:pPr>
            <w:r>
              <w:t>预算数</w:t>
            </w:r>
          </w:p>
        </w:tc>
        <w:tc>
          <w:tcPr>
            <w:tcW w:w="2835" w:type="dxa"/>
            <w:vAlign w:val="center"/>
          </w:tcPr>
          <w:p w14:paraId="3334E80E">
            <w:pPr>
              <w:pStyle w:val="12"/>
            </w:pPr>
            <w:r>
              <w:t>19.00</w:t>
            </w:r>
          </w:p>
        </w:tc>
        <w:tc>
          <w:tcPr>
            <w:tcW w:w="2835" w:type="dxa"/>
            <w:vAlign w:val="center"/>
          </w:tcPr>
          <w:p w14:paraId="407F26E7">
            <w:pPr>
              <w:pStyle w:val="10"/>
            </w:pPr>
            <w:r>
              <w:t>其中：财政    资金</w:t>
            </w:r>
          </w:p>
        </w:tc>
        <w:tc>
          <w:tcPr>
            <w:tcW w:w="2551" w:type="dxa"/>
            <w:vAlign w:val="center"/>
          </w:tcPr>
          <w:p w14:paraId="4ACBE0EC">
            <w:pPr>
              <w:pStyle w:val="12"/>
            </w:pPr>
            <w:r>
              <w:t>19.00</w:t>
            </w:r>
          </w:p>
        </w:tc>
        <w:tc>
          <w:tcPr>
            <w:tcW w:w="2268" w:type="dxa"/>
            <w:vAlign w:val="center"/>
          </w:tcPr>
          <w:p w14:paraId="71F1F3D1">
            <w:pPr>
              <w:pStyle w:val="10"/>
            </w:pPr>
            <w:r>
              <w:t>其他资金</w:t>
            </w:r>
          </w:p>
        </w:tc>
        <w:tc>
          <w:tcPr>
            <w:tcW w:w="1276" w:type="dxa"/>
            <w:vAlign w:val="center"/>
          </w:tcPr>
          <w:p w14:paraId="5E463C0E">
            <w:pPr>
              <w:pStyle w:val="12"/>
            </w:pPr>
            <w:r>
              <w:t xml:space="preserve"> </w:t>
            </w:r>
          </w:p>
        </w:tc>
      </w:tr>
      <w:tr w14:paraId="49D08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2F481"/>
        </w:tc>
        <w:tc>
          <w:tcPr>
            <w:tcW w:w="14033" w:type="dxa"/>
            <w:gridSpan w:val="6"/>
            <w:vAlign w:val="center"/>
          </w:tcPr>
          <w:p w14:paraId="1599FC8B">
            <w:pPr>
              <w:pStyle w:val="12"/>
            </w:pPr>
            <w:r>
              <w:t>改善就学条件，提升学校形象，保障义务教育阶段教学安全，创造良好的校园环境。</w:t>
            </w:r>
          </w:p>
        </w:tc>
      </w:tr>
      <w:tr w14:paraId="78F00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30998">
            <w:pPr>
              <w:pStyle w:val="10"/>
            </w:pPr>
            <w:r>
              <w:t>资金支出计划（%）</w:t>
            </w:r>
          </w:p>
        </w:tc>
        <w:tc>
          <w:tcPr>
            <w:tcW w:w="5103" w:type="dxa"/>
            <w:gridSpan w:val="2"/>
            <w:vAlign w:val="center"/>
          </w:tcPr>
          <w:p w14:paraId="67066CCD">
            <w:pPr>
              <w:pStyle w:val="10"/>
            </w:pPr>
            <w:r>
              <w:t>3月底</w:t>
            </w:r>
          </w:p>
        </w:tc>
        <w:tc>
          <w:tcPr>
            <w:tcW w:w="2835" w:type="dxa"/>
            <w:vAlign w:val="center"/>
          </w:tcPr>
          <w:p w14:paraId="5CFB9074">
            <w:pPr>
              <w:pStyle w:val="10"/>
            </w:pPr>
            <w:r>
              <w:t>6月底</w:t>
            </w:r>
          </w:p>
        </w:tc>
        <w:tc>
          <w:tcPr>
            <w:tcW w:w="2551" w:type="dxa"/>
            <w:vAlign w:val="center"/>
          </w:tcPr>
          <w:p w14:paraId="10AF3380">
            <w:pPr>
              <w:pStyle w:val="10"/>
            </w:pPr>
            <w:r>
              <w:t>10月底</w:t>
            </w:r>
          </w:p>
        </w:tc>
        <w:tc>
          <w:tcPr>
            <w:tcW w:w="3544" w:type="dxa"/>
            <w:gridSpan w:val="2"/>
            <w:vAlign w:val="center"/>
          </w:tcPr>
          <w:p w14:paraId="6971BE83">
            <w:pPr>
              <w:pStyle w:val="10"/>
            </w:pPr>
            <w:r>
              <w:t>12月底</w:t>
            </w:r>
          </w:p>
        </w:tc>
      </w:tr>
      <w:tr w14:paraId="09867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233C7"/>
        </w:tc>
        <w:tc>
          <w:tcPr>
            <w:tcW w:w="5103" w:type="dxa"/>
            <w:gridSpan w:val="2"/>
            <w:vAlign w:val="center"/>
          </w:tcPr>
          <w:p w14:paraId="7E7E59E1">
            <w:pPr>
              <w:pStyle w:val="13"/>
            </w:pPr>
            <w:r>
              <w:t xml:space="preserve"> </w:t>
            </w:r>
          </w:p>
        </w:tc>
        <w:tc>
          <w:tcPr>
            <w:tcW w:w="2835" w:type="dxa"/>
            <w:vAlign w:val="center"/>
          </w:tcPr>
          <w:p w14:paraId="2A9D94A0">
            <w:pPr>
              <w:pStyle w:val="13"/>
            </w:pPr>
            <w:r>
              <w:t xml:space="preserve"> </w:t>
            </w:r>
          </w:p>
        </w:tc>
        <w:tc>
          <w:tcPr>
            <w:tcW w:w="2551" w:type="dxa"/>
            <w:vAlign w:val="center"/>
          </w:tcPr>
          <w:p w14:paraId="0A0A7235">
            <w:pPr>
              <w:pStyle w:val="13"/>
            </w:pPr>
            <w:r>
              <w:t>100%</w:t>
            </w:r>
          </w:p>
        </w:tc>
        <w:tc>
          <w:tcPr>
            <w:tcW w:w="3544" w:type="dxa"/>
            <w:gridSpan w:val="2"/>
            <w:vAlign w:val="center"/>
          </w:tcPr>
          <w:p w14:paraId="6A97738F">
            <w:pPr>
              <w:pStyle w:val="13"/>
            </w:pPr>
            <w:r>
              <w:t>100%</w:t>
            </w:r>
          </w:p>
        </w:tc>
      </w:tr>
      <w:tr w14:paraId="57844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800B1">
            <w:pPr>
              <w:pStyle w:val="10"/>
            </w:pPr>
            <w:r>
              <w:t>绩效目标</w:t>
            </w:r>
          </w:p>
        </w:tc>
        <w:tc>
          <w:tcPr>
            <w:tcW w:w="14033" w:type="dxa"/>
            <w:gridSpan w:val="6"/>
            <w:vAlign w:val="center"/>
          </w:tcPr>
          <w:p w14:paraId="03C72035">
            <w:pPr>
              <w:pStyle w:val="12"/>
            </w:pPr>
            <w:r>
              <w:t>1.改善就学条件，提升学校形象，保障义务教育阶段教学安全，创造良好的校园环境。</w:t>
            </w:r>
          </w:p>
          <w:p w14:paraId="4AEBD071">
            <w:pPr>
              <w:pStyle w:val="12"/>
            </w:pPr>
            <w:r>
              <w:t>2.项目需资金19万元，资金拨付率达到100%。</w:t>
            </w:r>
          </w:p>
        </w:tc>
      </w:tr>
    </w:tbl>
    <w:p w14:paraId="198787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0A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7EE5322">
            <w:pPr>
              <w:pStyle w:val="10"/>
            </w:pPr>
            <w:r>
              <w:t>一级指标</w:t>
            </w:r>
          </w:p>
        </w:tc>
        <w:tc>
          <w:tcPr>
            <w:tcW w:w="2268" w:type="dxa"/>
            <w:vAlign w:val="center"/>
          </w:tcPr>
          <w:p w14:paraId="55CE7712">
            <w:pPr>
              <w:pStyle w:val="10"/>
            </w:pPr>
            <w:r>
              <w:t>二级指标</w:t>
            </w:r>
          </w:p>
        </w:tc>
        <w:tc>
          <w:tcPr>
            <w:tcW w:w="2835" w:type="dxa"/>
            <w:vAlign w:val="center"/>
          </w:tcPr>
          <w:p w14:paraId="1616331B">
            <w:pPr>
              <w:pStyle w:val="10"/>
            </w:pPr>
            <w:r>
              <w:t>三级指标</w:t>
            </w:r>
          </w:p>
        </w:tc>
        <w:tc>
          <w:tcPr>
            <w:tcW w:w="5386" w:type="dxa"/>
            <w:vAlign w:val="center"/>
          </w:tcPr>
          <w:p w14:paraId="560A4F42">
            <w:pPr>
              <w:pStyle w:val="10"/>
            </w:pPr>
            <w:r>
              <w:t>绩效指标描述</w:t>
            </w:r>
          </w:p>
        </w:tc>
        <w:tc>
          <w:tcPr>
            <w:tcW w:w="2268" w:type="dxa"/>
            <w:vAlign w:val="center"/>
          </w:tcPr>
          <w:p w14:paraId="48D8DCE9">
            <w:pPr>
              <w:pStyle w:val="10"/>
            </w:pPr>
            <w:r>
              <w:t>指标值</w:t>
            </w:r>
          </w:p>
        </w:tc>
        <w:tc>
          <w:tcPr>
            <w:tcW w:w="1276" w:type="dxa"/>
            <w:vAlign w:val="center"/>
          </w:tcPr>
          <w:p w14:paraId="0226F8D2">
            <w:pPr>
              <w:pStyle w:val="10"/>
            </w:pPr>
            <w:r>
              <w:t>指标值确定依据</w:t>
            </w:r>
          </w:p>
        </w:tc>
      </w:tr>
      <w:tr w14:paraId="33FA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59448">
            <w:pPr>
              <w:pStyle w:val="13"/>
            </w:pPr>
            <w:r>
              <w:t>产出指标</w:t>
            </w:r>
          </w:p>
        </w:tc>
        <w:tc>
          <w:tcPr>
            <w:tcW w:w="2268" w:type="dxa"/>
            <w:vAlign w:val="center"/>
          </w:tcPr>
          <w:p w14:paraId="19DD5E12">
            <w:pPr>
              <w:pStyle w:val="12"/>
            </w:pPr>
            <w:r>
              <w:t>数量指标</w:t>
            </w:r>
          </w:p>
        </w:tc>
        <w:tc>
          <w:tcPr>
            <w:tcW w:w="2835" w:type="dxa"/>
            <w:vAlign w:val="center"/>
          </w:tcPr>
          <w:p w14:paraId="39156FEB">
            <w:pPr>
              <w:pStyle w:val="12"/>
            </w:pPr>
            <w:r>
              <w:t>小孟小学校舍维修改造</w:t>
            </w:r>
          </w:p>
        </w:tc>
        <w:tc>
          <w:tcPr>
            <w:tcW w:w="5386" w:type="dxa"/>
            <w:vAlign w:val="center"/>
          </w:tcPr>
          <w:p w14:paraId="0C0630A2">
            <w:pPr>
              <w:pStyle w:val="12"/>
            </w:pPr>
            <w:r>
              <w:t>宿舍院落前硬化、校园外墙维修改造等</w:t>
            </w:r>
          </w:p>
        </w:tc>
        <w:tc>
          <w:tcPr>
            <w:tcW w:w="2268" w:type="dxa"/>
            <w:vAlign w:val="center"/>
          </w:tcPr>
          <w:p w14:paraId="5CDAE0CC">
            <w:pPr>
              <w:pStyle w:val="12"/>
            </w:pPr>
            <w:r>
              <w:t>1项</w:t>
            </w:r>
          </w:p>
        </w:tc>
        <w:tc>
          <w:tcPr>
            <w:tcW w:w="1276" w:type="dxa"/>
            <w:vAlign w:val="center"/>
          </w:tcPr>
          <w:p w14:paraId="5E36CF16">
            <w:pPr>
              <w:pStyle w:val="12"/>
            </w:pPr>
            <w:r>
              <w:t>项目规划</w:t>
            </w:r>
          </w:p>
        </w:tc>
      </w:tr>
      <w:tr w14:paraId="34BF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C5DA2"/>
        </w:tc>
        <w:tc>
          <w:tcPr>
            <w:tcW w:w="2268" w:type="dxa"/>
            <w:vAlign w:val="center"/>
          </w:tcPr>
          <w:p w14:paraId="561CB92D">
            <w:pPr>
              <w:pStyle w:val="12"/>
            </w:pPr>
            <w:r>
              <w:t>质量指标</w:t>
            </w:r>
          </w:p>
        </w:tc>
        <w:tc>
          <w:tcPr>
            <w:tcW w:w="2835" w:type="dxa"/>
            <w:vAlign w:val="center"/>
          </w:tcPr>
          <w:p w14:paraId="2CED4508">
            <w:pPr>
              <w:pStyle w:val="12"/>
            </w:pPr>
            <w:r>
              <w:t>工程实施验收合格率</w:t>
            </w:r>
          </w:p>
        </w:tc>
        <w:tc>
          <w:tcPr>
            <w:tcW w:w="5386" w:type="dxa"/>
            <w:vAlign w:val="center"/>
          </w:tcPr>
          <w:p w14:paraId="164A964D">
            <w:pPr>
              <w:pStyle w:val="12"/>
            </w:pPr>
            <w:r>
              <w:t>申报程序的合规，项目实施及资金使用符合项目规划</w:t>
            </w:r>
          </w:p>
        </w:tc>
        <w:tc>
          <w:tcPr>
            <w:tcW w:w="2268" w:type="dxa"/>
            <w:vAlign w:val="center"/>
          </w:tcPr>
          <w:p w14:paraId="5AD05394">
            <w:pPr>
              <w:pStyle w:val="12"/>
            </w:pPr>
            <w:r>
              <w:t>100%</w:t>
            </w:r>
          </w:p>
        </w:tc>
        <w:tc>
          <w:tcPr>
            <w:tcW w:w="1276" w:type="dxa"/>
            <w:vAlign w:val="center"/>
          </w:tcPr>
          <w:p w14:paraId="19C074C0">
            <w:pPr>
              <w:pStyle w:val="12"/>
            </w:pPr>
            <w:r>
              <w:t>项目规划</w:t>
            </w:r>
          </w:p>
        </w:tc>
      </w:tr>
      <w:tr w14:paraId="6D82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65C63"/>
        </w:tc>
        <w:tc>
          <w:tcPr>
            <w:tcW w:w="2268" w:type="dxa"/>
            <w:vAlign w:val="center"/>
          </w:tcPr>
          <w:p w14:paraId="39B5133A">
            <w:pPr>
              <w:pStyle w:val="12"/>
            </w:pPr>
            <w:r>
              <w:t>时效指标</w:t>
            </w:r>
          </w:p>
        </w:tc>
        <w:tc>
          <w:tcPr>
            <w:tcW w:w="2835" w:type="dxa"/>
            <w:vAlign w:val="center"/>
          </w:tcPr>
          <w:p w14:paraId="7748A80D">
            <w:pPr>
              <w:pStyle w:val="12"/>
            </w:pPr>
            <w:r>
              <w:t>资金支付率</w:t>
            </w:r>
          </w:p>
        </w:tc>
        <w:tc>
          <w:tcPr>
            <w:tcW w:w="5386" w:type="dxa"/>
            <w:vAlign w:val="center"/>
          </w:tcPr>
          <w:p w14:paraId="3A70F84A">
            <w:pPr>
              <w:pStyle w:val="12"/>
            </w:pPr>
            <w:r>
              <w:t>按照序时进度完成资金支付</w:t>
            </w:r>
          </w:p>
        </w:tc>
        <w:tc>
          <w:tcPr>
            <w:tcW w:w="2268" w:type="dxa"/>
            <w:vAlign w:val="center"/>
          </w:tcPr>
          <w:p w14:paraId="2BF622C5">
            <w:pPr>
              <w:pStyle w:val="12"/>
            </w:pPr>
            <w:r>
              <w:t>100%</w:t>
            </w:r>
          </w:p>
        </w:tc>
        <w:tc>
          <w:tcPr>
            <w:tcW w:w="1276" w:type="dxa"/>
            <w:vAlign w:val="center"/>
          </w:tcPr>
          <w:p w14:paraId="61D9BDF3">
            <w:pPr>
              <w:pStyle w:val="12"/>
            </w:pPr>
            <w:r>
              <w:t>项目规划</w:t>
            </w:r>
          </w:p>
        </w:tc>
      </w:tr>
      <w:tr w14:paraId="46BF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AC18B"/>
        </w:tc>
        <w:tc>
          <w:tcPr>
            <w:tcW w:w="2268" w:type="dxa"/>
            <w:vAlign w:val="center"/>
          </w:tcPr>
          <w:p w14:paraId="674A7049">
            <w:pPr>
              <w:pStyle w:val="12"/>
            </w:pPr>
            <w:r>
              <w:t>成本指标</w:t>
            </w:r>
          </w:p>
        </w:tc>
        <w:tc>
          <w:tcPr>
            <w:tcW w:w="2835" w:type="dxa"/>
            <w:vAlign w:val="center"/>
          </w:tcPr>
          <w:p w14:paraId="66201C8B">
            <w:pPr>
              <w:pStyle w:val="12"/>
            </w:pPr>
            <w:r>
              <w:t>项目成本控制情况</w:t>
            </w:r>
          </w:p>
        </w:tc>
        <w:tc>
          <w:tcPr>
            <w:tcW w:w="5386" w:type="dxa"/>
            <w:vAlign w:val="center"/>
          </w:tcPr>
          <w:p w14:paraId="3D01E72D">
            <w:pPr>
              <w:pStyle w:val="12"/>
            </w:pPr>
            <w:r>
              <w:t>严格按照招标价格及审计额进行</w:t>
            </w:r>
          </w:p>
        </w:tc>
        <w:tc>
          <w:tcPr>
            <w:tcW w:w="2268" w:type="dxa"/>
            <w:vAlign w:val="center"/>
          </w:tcPr>
          <w:p w14:paraId="3548A609">
            <w:pPr>
              <w:pStyle w:val="12"/>
            </w:pPr>
            <w:r>
              <w:t>190000元</w:t>
            </w:r>
          </w:p>
        </w:tc>
        <w:tc>
          <w:tcPr>
            <w:tcW w:w="1276" w:type="dxa"/>
            <w:vAlign w:val="center"/>
          </w:tcPr>
          <w:p w14:paraId="1AF798AE">
            <w:pPr>
              <w:pStyle w:val="12"/>
            </w:pPr>
            <w:r>
              <w:t>项目规划</w:t>
            </w:r>
          </w:p>
        </w:tc>
      </w:tr>
      <w:tr w14:paraId="32FF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4696B">
            <w:pPr>
              <w:pStyle w:val="13"/>
            </w:pPr>
            <w:r>
              <w:t>效益指标</w:t>
            </w:r>
          </w:p>
        </w:tc>
        <w:tc>
          <w:tcPr>
            <w:tcW w:w="2268" w:type="dxa"/>
            <w:vAlign w:val="center"/>
          </w:tcPr>
          <w:p w14:paraId="1D9F2D18">
            <w:pPr>
              <w:pStyle w:val="12"/>
            </w:pPr>
            <w:r>
              <w:t>社会效益指标</w:t>
            </w:r>
          </w:p>
        </w:tc>
        <w:tc>
          <w:tcPr>
            <w:tcW w:w="2835" w:type="dxa"/>
            <w:vAlign w:val="center"/>
          </w:tcPr>
          <w:p w14:paraId="63672149">
            <w:pPr>
              <w:pStyle w:val="12"/>
            </w:pPr>
            <w:r>
              <w:t>学校办学环境提升</w:t>
            </w:r>
          </w:p>
        </w:tc>
        <w:tc>
          <w:tcPr>
            <w:tcW w:w="5386" w:type="dxa"/>
            <w:vAlign w:val="center"/>
          </w:tcPr>
          <w:p w14:paraId="77E6C312">
            <w:pPr>
              <w:pStyle w:val="12"/>
            </w:pPr>
            <w:r>
              <w:t>学校教学环境提升优化率</w:t>
            </w:r>
          </w:p>
        </w:tc>
        <w:tc>
          <w:tcPr>
            <w:tcW w:w="2268" w:type="dxa"/>
            <w:vAlign w:val="center"/>
          </w:tcPr>
          <w:p w14:paraId="4C874A06">
            <w:pPr>
              <w:pStyle w:val="12"/>
            </w:pPr>
            <w:r>
              <w:t>≥98%</w:t>
            </w:r>
          </w:p>
        </w:tc>
        <w:tc>
          <w:tcPr>
            <w:tcW w:w="1276" w:type="dxa"/>
            <w:vAlign w:val="center"/>
          </w:tcPr>
          <w:p w14:paraId="769BBABB">
            <w:pPr>
              <w:pStyle w:val="12"/>
            </w:pPr>
            <w:r>
              <w:t>项目规划</w:t>
            </w:r>
          </w:p>
        </w:tc>
      </w:tr>
      <w:tr w14:paraId="27EE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19D54">
            <w:pPr>
              <w:pStyle w:val="13"/>
            </w:pPr>
            <w:r>
              <w:t>满意度指标</w:t>
            </w:r>
          </w:p>
        </w:tc>
        <w:tc>
          <w:tcPr>
            <w:tcW w:w="2268" w:type="dxa"/>
            <w:vAlign w:val="center"/>
          </w:tcPr>
          <w:p w14:paraId="0DFD4DC9">
            <w:pPr>
              <w:pStyle w:val="12"/>
            </w:pPr>
            <w:r>
              <w:t>服务对象满意度指标</w:t>
            </w:r>
          </w:p>
        </w:tc>
        <w:tc>
          <w:tcPr>
            <w:tcW w:w="2835" w:type="dxa"/>
            <w:vAlign w:val="center"/>
          </w:tcPr>
          <w:p w14:paraId="25DD24AF">
            <w:pPr>
              <w:pStyle w:val="12"/>
            </w:pPr>
            <w:r>
              <w:t>受益学生家长及调查满意度</w:t>
            </w:r>
          </w:p>
        </w:tc>
        <w:tc>
          <w:tcPr>
            <w:tcW w:w="5386" w:type="dxa"/>
            <w:vAlign w:val="center"/>
          </w:tcPr>
          <w:p w14:paraId="0F24D44A">
            <w:pPr>
              <w:pStyle w:val="12"/>
            </w:pPr>
            <w:r>
              <w:t>学生、教师及家长对学校教学环境满意度情况</w:t>
            </w:r>
          </w:p>
        </w:tc>
        <w:tc>
          <w:tcPr>
            <w:tcW w:w="2268" w:type="dxa"/>
            <w:vAlign w:val="center"/>
          </w:tcPr>
          <w:p w14:paraId="56E7B20E">
            <w:pPr>
              <w:pStyle w:val="12"/>
            </w:pPr>
            <w:r>
              <w:t>≥95%</w:t>
            </w:r>
          </w:p>
        </w:tc>
        <w:tc>
          <w:tcPr>
            <w:tcW w:w="1276" w:type="dxa"/>
            <w:vAlign w:val="center"/>
          </w:tcPr>
          <w:p w14:paraId="6F5A7170">
            <w:pPr>
              <w:pStyle w:val="12"/>
            </w:pPr>
            <w:r>
              <w:t>项目规划</w:t>
            </w:r>
          </w:p>
        </w:tc>
      </w:tr>
    </w:tbl>
    <w:p w14:paraId="3B5F22F7">
      <w:pPr>
        <w:sectPr>
          <w:pgSz w:w="16840" w:h="11900" w:orient="landscape"/>
          <w:pgMar w:top="1361" w:right="1020" w:bottom="1134" w:left="1020" w:header="720" w:footer="720" w:gutter="0"/>
          <w:cols w:space="720" w:num="1"/>
        </w:sectPr>
      </w:pPr>
    </w:p>
    <w:p w14:paraId="7BDA49CE">
      <w:pPr>
        <w:spacing w:before="0" w:after="0"/>
        <w:ind w:firstLine="560"/>
        <w:jc w:val="left"/>
        <w:outlineLvl w:val="9"/>
      </w:pPr>
      <w:r>
        <w:rPr>
          <w:rFonts w:ascii="方正仿宋_GBK" w:hAnsi="方正仿宋_GBK" w:eastAsia="方正仿宋_GBK" w:cs="方正仿宋_GBK"/>
          <w:b/>
          <w:color w:val="000000"/>
          <w:sz w:val="28"/>
        </w:rPr>
        <w:t>8、冀财教[2025]122号/中央/2026年学前发展资金/固城校区学前教育幼儿资助绩效目标表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8C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D6C82">
            <w:pPr>
              <w:pStyle w:val="11"/>
            </w:pPr>
            <w:r>
              <w:t>单位：万元</w:t>
            </w:r>
          </w:p>
        </w:tc>
      </w:tr>
      <w:tr w14:paraId="4164A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3F8F4">
            <w:pPr>
              <w:pStyle w:val="10"/>
            </w:pPr>
            <w:r>
              <w:t>项目编码</w:t>
            </w:r>
          </w:p>
        </w:tc>
        <w:tc>
          <w:tcPr>
            <w:tcW w:w="5103" w:type="dxa"/>
            <w:gridSpan w:val="2"/>
            <w:vAlign w:val="center"/>
          </w:tcPr>
          <w:p w14:paraId="479A01F7">
            <w:pPr>
              <w:pStyle w:val="12"/>
            </w:pPr>
            <w:r>
              <w:t>13052526P00000210058B</w:t>
            </w:r>
          </w:p>
        </w:tc>
        <w:tc>
          <w:tcPr>
            <w:tcW w:w="2835" w:type="dxa"/>
            <w:vAlign w:val="center"/>
          </w:tcPr>
          <w:p w14:paraId="7672D193">
            <w:pPr>
              <w:pStyle w:val="10"/>
            </w:pPr>
            <w:r>
              <w:t>项目名称</w:t>
            </w:r>
          </w:p>
        </w:tc>
        <w:tc>
          <w:tcPr>
            <w:tcW w:w="6095" w:type="dxa"/>
            <w:gridSpan w:val="3"/>
            <w:vAlign w:val="center"/>
          </w:tcPr>
          <w:p w14:paraId="5821154A">
            <w:pPr>
              <w:pStyle w:val="12"/>
            </w:pPr>
            <w:r>
              <w:t>冀财教[2025]122号/中央/2026年学前发展资金/固城校区学前教育幼儿资助</w:t>
            </w:r>
          </w:p>
        </w:tc>
      </w:tr>
      <w:tr w14:paraId="5A65D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C02DA">
            <w:pPr>
              <w:pStyle w:val="10"/>
            </w:pPr>
            <w:r>
              <w:t>预算规模及资金用途</w:t>
            </w:r>
          </w:p>
        </w:tc>
        <w:tc>
          <w:tcPr>
            <w:tcW w:w="2268" w:type="dxa"/>
            <w:vAlign w:val="center"/>
          </w:tcPr>
          <w:p w14:paraId="1810BE94">
            <w:pPr>
              <w:pStyle w:val="10"/>
            </w:pPr>
            <w:r>
              <w:t>预算数</w:t>
            </w:r>
          </w:p>
        </w:tc>
        <w:tc>
          <w:tcPr>
            <w:tcW w:w="2835" w:type="dxa"/>
            <w:vAlign w:val="center"/>
          </w:tcPr>
          <w:p w14:paraId="114C826F">
            <w:pPr>
              <w:pStyle w:val="12"/>
            </w:pPr>
            <w:r>
              <w:t>3.84</w:t>
            </w:r>
          </w:p>
        </w:tc>
        <w:tc>
          <w:tcPr>
            <w:tcW w:w="2835" w:type="dxa"/>
            <w:vAlign w:val="center"/>
          </w:tcPr>
          <w:p w14:paraId="4B94CE0A">
            <w:pPr>
              <w:pStyle w:val="10"/>
            </w:pPr>
            <w:r>
              <w:t>其中：财政    资金</w:t>
            </w:r>
          </w:p>
        </w:tc>
        <w:tc>
          <w:tcPr>
            <w:tcW w:w="2551" w:type="dxa"/>
            <w:vAlign w:val="center"/>
          </w:tcPr>
          <w:p w14:paraId="7AF17B35">
            <w:pPr>
              <w:pStyle w:val="12"/>
            </w:pPr>
            <w:r>
              <w:t>3.84</w:t>
            </w:r>
          </w:p>
        </w:tc>
        <w:tc>
          <w:tcPr>
            <w:tcW w:w="2268" w:type="dxa"/>
            <w:vAlign w:val="center"/>
          </w:tcPr>
          <w:p w14:paraId="7C51B6D6">
            <w:pPr>
              <w:pStyle w:val="10"/>
            </w:pPr>
            <w:r>
              <w:t>其他资金</w:t>
            </w:r>
          </w:p>
        </w:tc>
        <w:tc>
          <w:tcPr>
            <w:tcW w:w="1276" w:type="dxa"/>
            <w:vAlign w:val="center"/>
          </w:tcPr>
          <w:p w14:paraId="0FF75BB8">
            <w:pPr>
              <w:pStyle w:val="12"/>
            </w:pPr>
            <w:r>
              <w:t xml:space="preserve"> </w:t>
            </w:r>
          </w:p>
        </w:tc>
      </w:tr>
      <w:tr w14:paraId="7E313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07437"/>
        </w:tc>
        <w:tc>
          <w:tcPr>
            <w:tcW w:w="14033" w:type="dxa"/>
            <w:gridSpan w:val="6"/>
            <w:vAlign w:val="center"/>
          </w:tcPr>
          <w:p w14:paraId="760E6F77">
            <w:pPr>
              <w:pStyle w:val="12"/>
            </w:pPr>
            <w:r>
              <w:t>保障落实建档立卡及家庭经济困难儿童资助所需资金，确保建档立卡等家庭经济困难幼儿优先获得资助</w:t>
            </w:r>
          </w:p>
        </w:tc>
      </w:tr>
      <w:tr w14:paraId="52459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8DCD3">
            <w:pPr>
              <w:pStyle w:val="10"/>
            </w:pPr>
            <w:r>
              <w:t>资金支出计划（%）</w:t>
            </w:r>
          </w:p>
        </w:tc>
        <w:tc>
          <w:tcPr>
            <w:tcW w:w="5103" w:type="dxa"/>
            <w:gridSpan w:val="2"/>
            <w:vAlign w:val="center"/>
          </w:tcPr>
          <w:p w14:paraId="3AE49A57">
            <w:pPr>
              <w:pStyle w:val="10"/>
            </w:pPr>
            <w:r>
              <w:t>3月底</w:t>
            </w:r>
          </w:p>
        </w:tc>
        <w:tc>
          <w:tcPr>
            <w:tcW w:w="2835" w:type="dxa"/>
            <w:vAlign w:val="center"/>
          </w:tcPr>
          <w:p w14:paraId="36A3440C">
            <w:pPr>
              <w:pStyle w:val="10"/>
            </w:pPr>
            <w:r>
              <w:t>6月底</w:t>
            </w:r>
          </w:p>
        </w:tc>
        <w:tc>
          <w:tcPr>
            <w:tcW w:w="2551" w:type="dxa"/>
            <w:vAlign w:val="center"/>
          </w:tcPr>
          <w:p w14:paraId="3FCF6EC4">
            <w:pPr>
              <w:pStyle w:val="10"/>
            </w:pPr>
            <w:r>
              <w:t>10月底</w:t>
            </w:r>
          </w:p>
        </w:tc>
        <w:tc>
          <w:tcPr>
            <w:tcW w:w="3544" w:type="dxa"/>
            <w:gridSpan w:val="2"/>
            <w:vAlign w:val="center"/>
          </w:tcPr>
          <w:p w14:paraId="280CD1C5">
            <w:pPr>
              <w:pStyle w:val="10"/>
            </w:pPr>
            <w:r>
              <w:t>12月底</w:t>
            </w:r>
          </w:p>
        </w:tc>
      </w:tr>
      <w:tr w14:paraId="1CDE7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6C2A3"/>
        </w:tc>
        <w:tc>
          <w:tcPr>
            <w:tcW w:w="5103" w:type="dxa"/>
            <w:gridSpan w:val="2"/>
            <w:vAlign w:val="center"/>
          </w:tcPr>
          <w:p w14:paraId="5CAAFDBF">
            <w:pPr>
              <w:pStyle w:val="13"/>
            </w:pPr>
            <w:r>
              <w:t>25%</w:t>
            </w:r>
          </w:p>
        </w:tc>
        <w:tc>
          <w:tcPr>
            <w:tcW w:w="2835" w:type="dxa"/>
            <w:vAlign w:val="center"/>
          </w:tcPr>
          <w:p w14:paraId="1B4A9961">
            <w:pPr>
              <w:pStyle w:val="13"/>
            </w:pPr>
            <w:r>
              <w:t>50%</w:t>
            </w:r>
          </w:p>
        </w:tc>
        <w:tc>
          <w:tcPr>
            <w:tcW w:w="2551" w:type="dxa"/>
            <w:vAlign w:val="center"/>
          </w:tcPr>
          <w:p w14:paraId="47A1A171">
            <w:pPr>
              <w:pStyle w:val="13"/>
            </w:pPr>
            <w:r>
              <w:t>75%</w:t>
            </w:r>
          </w:p>
        </w:tc>
        <w:tc>
          <w:tcPr>
            <w:tcW w:w="3544" w:type="dxa"/>
            <w:gridSpan w:val="2"/>
            <w:vAlign w:val="center"/>
          </w:tcPr>
          <w:p w14:paraId="3EF5A000">
            <w:pPr>
              <w:pStyle w:val="13"/>
            </w:pPr>
            <w:r>
              <w:t>100%</w:t>
            </w:r>
          </w:p>
        </w:tc>
      </w:tr>
      <w:tr w14:paraId="65E7F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E9D26">
            <w:pPr>
              <w:pStyle w:val="10"/>
            </w:pPr>
            <w:r>
              <w:t>绩效目标</w:t>
            </w:r>
          </w:p>
        </w:tc>
        <w:tc>
          <w:tcPr>
            <w:tcW w:w="14033" w:type="dxa"/>
            <w:gridSpan w:val="6"/>
            <w:vAlign w:val="center"/>
          </w:tcPr>
          <w:p w14:paraId="6600B818">
            <w:pPr>
              <w:pStyle w:val="12"/>
            </w:pPr>
            <w:r>
              <w:t>1.保障落实建档立卡及家庭经济困难儿童资助所需资金，确保建档立卡等家庭经济困难幼儿优先获得资助</w:t>
            </w:r>
          </w:p>
          <w:p w14:paraId="56DEB067">
            <w:pPr>
              <w:pStyle w:val="12"/>
            </w:pPr>
            <w:r>
              <w:t>2.保证本年度资助经费足额落实到位，符合享受资助条件的学生应助尽助。</w:t>
            </w:r>
          </w:p>
        </w:tc>
      </w:tr>
    </w:tbl>
    <w:p w14:paraId="19A6C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E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C8A18">
            <w:pPr>
              <w:pStyle w:val="10"/>
            </w:pPr>
            <w:r>
              <w:t>一级指标</w:t>
            </w:r>
          </w:p>
        </w:tc>
        <w:tc>
          <w:tcPr>
            <w:tcW w:w="2268" w:type="dxa"/>
            <w:vAlign w:val="center"/>
          </w:tcPr>
          <w:p w14:paraId="0138F7FD">
            <w:pPr>
              <w:pStyle w:val="10"/>
            </w:pPr>
            <w:r>
              <w:t>二级指标</w:t>
            </w:r>
          </w:p>
        </w:tc>
        <w:tc>
          <w:tcPr>
            <w:tcW w:w="2835" w:type="dxa"/>
            <w:vAlign w:val="center"/>
          </w:tcPr>
          <w:p w14:paraId="02030709">
            <w:pPr>
              <w:pStyle w:val="10"/>
            </w:pPr>
            <w:r>
              <w:t>三级指标</w:t>
            </w:r>
          </w:p>
        </w:tc>
        <w:tc>
          <w:tcPr>
            <w:tcW w:w="5386" w:type="dxa"/>
            <w:vAlign w:val="center"/>
          </w:tcPr>
          <w:p w14:paraId="256C1046">
            <w:pPr>
              <w:pStyle w:val="10"/>
            </w:pPr>
            <w:r>
              <w:t>绩效指标描述</w:t>
            </w:r>
          </w:p>
        </w:tc>
        <w:tc>
          <w:tcPr>
            <w:tcW w:w="2268" w:type="dxa"/>
            <w:vAlign w:val="center"/>
          </w:tcPr>
          <w:p w14:paraId="18D2DA02">
            <w:pPr>
              <w:pStyle w:val="10"/>
            </w:pPr>
            <w:r>
              <w:t>指标值</w:t>
            </w:r>
          </w:p>
        </w:tc>
        <w:tc>
          <w:tcPr>
            <w:tcW w:w="1276" w:type="dxa"/>
            <w:vAlign w:val="center"/>
          </w:tcPr>
          <w:p w14:paraId="1E30D22B">
            <w:pPr>
              <w:pStyle w:val="10"/>
            </w:pPr>
            <w:r>
              <w:t>指标值确定依据</w:t>
            </w:r>
          </w:p>
        </w:tc>
      </w:tr>
      <w:tr w14:paraId="695E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5A56C">
            <w:pPr>
              <w:pStyle w:val="13"/>
            </w:pPr>
            <w:r>
              <w:t>产出指标</w:t>
            </w:r>
          </w:p>
        </w:tc>
        <w:tc>
          <w:tcPr>
            <w:tcW w:w="2268" w:type="dxa"/>
            <w:vAlign w:val="center"/>
          </w:tcPr>
          <w:p w14:paraId="3C027283">
            <w:pPr>
              <w:pStyle w:val="12"/>
            </w:pPr>
            <w:r>
              <w:t>数量指标</w:t>
            </w:r>
          </w:p>
        </w:tc>
        <w:tc>
          <w:tcPr>
            <w:tcW w:w="2835" w:type="dxa"/>
            <w:vAlign w:val="center"/>
          </w:tcPr>
          <w:p w14:paraId="236A0190">
            <w:pPr>
              <w:pStyle w:val="12"/>
            </w:pPr>
            <w:r>
              <w:t>幼儿资助比例</w:t>
            </w:r>
          </w:p>
        </w:tc>
        <w:tc>
          <w:tcPr>
            <w:tcW w:w="5386" w:type="dxa"/>
            <w:vAlign w:val="center"/>
          </w:tcPr>
          <w:p w14:paraId="25825DE4">
            <w:pPr>
              <w:pStyle w:val="12"/>
            </w:pPr>
            <w:r>
              <w:t>按学前适龄在园儿童10%测算</w:t>
            </w:r>
          </w:p>
        </w:tc>
        <w:tc>
          <w:tcPr>
            <w:tcW w:w="2268" w:type="dxa"/>
            <w:vAlign w:val="center"/>
          </w:tcPr>
          <w:p w14:paraId="5E459F6D">
            <w:pPr>
              <w:pStyle w:val="12"/>
            </w:pPr>
            <w:r>
              <w:t>≥10%</w:t>
            </w:r>
          </w:p>
        </w:tc>
        <w:tc>
          <w:tcPr>
            <w:tcW w:w="1276" w:type="dxa"/>
            <w:vAlign w:val="center"/>
          </w:tcPr>
          <w:p w14:paraId="15AEFF18">
            <w:pPr>
              <w:pStyle w:val="12"/>
            </w:pPr>
            <w:r>
              <w:t>幼儿资助经费管理办法</w:t>
            </w:r>
          </w:p>
        </w:tc>
      </w:tr>
      <w:tr w14:paraId="74EC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1DF76"/>
        </w:tc>
        <w:tc>
          <w:tcPr>
            <w:tcW w:w="2268" w:type="dxa"/>
            <w:vAlign w:val="center"/>
          </w:tcPr>
          <w:p w14:paraId="22D4D500">
            <w:pPr>
              <w:pStyle w:val="12"/>
            </w:pPr>
            <w:r>
              <w:t>质量指标</w:t>
            </w:r>
          </w:p>
        </w:tc>
        <w:tc>
          <w:tcPr>
            <w:tcW w:w="2835" w:type="dxa"/>
            <w:vAlign w:val="center"/>
          </w:tcPr>
          <w:p w14:paraId="3901CC6A">
            <w:pPr>
              <w:pStyle w:val="12"/>
            </w:pPr>
            <w:r>
              <w:t>学前教育资助制度落实情况</w:t>
            </w:r>
          </w:p>
        </w:tc>
        <w:tc>
          <w:tcPr>
            <w:tcW w:w="5386" w:type="dxa"/>
            <w:vAlign w:val="center"/>
          </w:tcPr>
          <w:p w14:paraId="48CBF4C8">
            <w:pPr>
              <w:pStyle w:val="12"/>
            </w:pPr>
            <w:r>
              <w:t>符合享受资助条件的学生应助尽助</w:t>
            </w:r>
          </w:p>
        </w:tc>
        <w:tc>
          <w:tcPr>
            <w:tcW w:w="2268" w:type="dxa"/>
            <w:vAlign w:val="center"/>
          </w:tcPr>
          <w:p w14:paraId="1C906BA5">
            <w:pPr>
              <w:pStyle w:val="12"/>
            </w:pPr>
            <w:r>
              <w:t>100%</w:t>
            </w:r>
          </w:p>
        </w:tc>
        <w:tc>
          <w:tcPr>
            <w:tcW w:w="1276" w:type="dxa"/>
            <w:vAlign w:val="center"/>
          </w:tcPr>
          <w:p w14:paraId="611433F3">
            <w:pPr>
              <w:pStyle w:val="12"/>
            </w:pPr>
            <w:r>
              <w:t>幼儿资助经费管理办法</w:t>
            </w:r>
          </w:p>
        </w:tc>
      </w:tr>
      <w:tr w14:paraId="54A76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A888C"/>
        </w:tc>
        <w:tc>
          <w:tcPr>
            <w:tcW w:w="2268" w:type="dxa"/>
            <w:vAlign w:val="center"/>
          </w:tcPr>
          <w:p w14:paraId="0141CCDA">
            <w:pPr>
              <w:pStyle w:val="12"/>
            </w:pPr>
            <w:r>
              <w:t>时效指标</w:t>
            </w:r>
          </w:p>
        </w:tc>
        <w:tc>
          <w:tcPr>
            <w:tcW w:w="2835" w:type="dxa"/>
            <w:vAlign w:val="center"/>
          </w:tcPr>
          <w:p w14:paraId="4DA6AC10">
            <w:pPr>
              <w:pStyle w:val="12"/>
            </w:pPr>
            <w:r>
              <w:t>资金拨付率</w:t>
            </w:r>
          </w:p>
        </w:tc>
        <w:tc>
          <w:tcPr>
            <w:tcW w:w="5386" w:type="dxa"/>
            <w:vAlign w:val="center"/>
          </w:tcPr>
          <w:p w14:paraId="6840BC5D">
            <w:pPr>
              <w:pStyle w:val="12"/>
            </w:pPr>
            <w:r>
              <w:t>所有项目资金支付进度</w:t>
            </w:r>
          </w:p>
        </w:tc>
        <w:tc>
          <w:tcPr>
            <w:tcW w:w="2268" w:type="dxa"/>
            <w:vAlign w:val="center"/>
          </w:tcPr>
          <w:p w14:paraId="6B7D3CAE">
            <w:pPr>
              <w:pStyle w:val="12"/>
            </w:pPr>
            <w:r>
              <w:t>100%</w:t>
            </w:r>
          </w:p>
        </w:tc>
        <w:tc>
          <w:tcPr>
            <w:tcW w:w="1276" w:type="dxa"/>
            <w:vAlign w:val="center"/>
          </w:tcPr>
          <w:p w14:paraId="0198674E">
            <w:pPr>
              <w:pStyle w:val="12"/>
            </w:pPr>
            <w:r>
              <w:t>幼儿资助经费管理办法</w:t>
            </w:r>
          </w:p>
        </w:tc>
      </w:tr>
      <w:tr w14:paraId="0172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9169F"/>
        </w:tc>
        <w:tc>
          <w:tcPr>
            <w:tcW w:w="2268" w:type="dxa"/>
            <w:vAlign w:val="center"/>
          </w:tcPr>
          <w:p w14:paraId="1AA535E0">
            <w:pPr>
              <w:pStyle w:val="12"/>
            </w:pPr>
            <w:r>
              <w:t>成本指标</w:t>
            </w:r>
          </w:p>
        </w:tc>
        <w:tc>
          <w:tcPr>
            <w:tcW w:w="2835" w:type="dxa"/>
            <w:vAlign w:val="center"/>
          </w:tcPr>
          <w:p w14:paraId="63E38E0B">
            <w:pPr>
              <w:pStyle w:val="12"/>
            </w:pPr>
            <w:r>
              <w:t>幼儿园资助标准</w:t>
            </w:r>
          </w:p>
        </w:tc>
        <w:tc>
          <w:tcPr>
            <w:tcW w:w="5386" w:type="dxa"/>
            <w:vAlign w:val="center"/>
          </w:tcPr>
          <w:p w14:paraId="5EA0A160">
            <w:pPr>
              <w:pStyle w:val="12"/>
            </w:pPr>
            <w:r>
              <w:t>按照幼儿园资助标准1000元/生/年</w:t>
            </w:r>
          </w:p>
        </w:tc>
        <w:tc>
          <w:tcPr>
            <w:tcW w:w="2268" w:type="dxa"/>
            <w:vAlign w:val="center"/>
          </w:tcPr>
          <w:p w14:paraId="55ADD13D">
            <w:pPr>
              <w:pStyle w:val="12"/>
            </w:pPr>
            <w:r>
              <w:t>38400元</w:t>
            </w:r>
          </w:p>
        </w:tc>
        <w:tc>
          <w:tcPr>
            <w:tcW w:w="1276" w:type="dxa"/>
            <w:vAlign w:val="center"/>
          </w:tcPr>
          <w:p w14:paraId="55D4F842">
            <w:pPr>
              <w:pStyle w:val="12"/>
            </w:pPr>
            <w:r>
              <w:t>幼儿资助经费管理办法</w:t>
            </w:r>
          </w:p>
        </w:tc>
      </w:tr>
      <w:tr w14:paraId="7E45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D3FC9">
            <w:pPr>
              <w:pStyle w:val="13"/>
            </w:pPr>
            <w:r>
              <w:t>效益指标</w:t>
            </w:r>
          </w:p>
        </w:tc>
        <w:tc>
          <w:tcPr>
            <w:tcW w:w="2268" w:type="dxa"/>
            <w:vAlign w:val="center"/>
          </w:tcPr>
          <w:p w14:paraId="3EFC6A09">
            <w:pPr>
              <w:pStyle w:val="12"/>
            </w:pPr>
            <w:r>
              <w:t>可持续影响指标</w:t>
            </w:r>
          </w:p>
        </w:tc>
        <w:tc>
          <w:tcPr>
            <w:tcW w:w="2835" w:type="dxa"/>
            <w:vAlign w:val="center"/>
          </w:tcPr>
          <w:p w14:paraId="3C5D4273">
            <w:pPr>
              <w:pStyle w:val="12"/>
            </w:pPr>
            <w:r>
              <w:t>幼儿园运转</w:t>
            </w:r>
          </w:p>
        </w:tc>
        <w:tc>
          <w:tcPr>
            <w:tcW w:w="5386" w:type="dxa"/>
            <w:vAlign w:val="center"/>
          </w:tcPr>
          <w:p w14:paraId="35C22214">
            <w:pPr>
              <w:pStyle w:val="12"/>
            </w:pPr>
            <w:r>
              <w:t>幼儿受教育年限</w:t>
            </w:r>
          </w:p>
        </w:tc>
        <w:tc>
          <w:tcPr>
            <w:tcW w:w="2268" w:type="dxa"/>
            <w:vAlign w:val="center"/>
          </w:tcPr>
          <w:p w14:paraId="5CDC3B8C">
            <w:pPr>
              <w:pStyle w:val="12"/>
            </w:pPr>
            <w:r>
              <w:t>3年</w:t>
            </w:r>
          </w:p>
        </w:tc>
        <w:tc>
          <w:tcPr>
            <w:tcW w:w="1276" w:type="dxa"/>
            <w:vAlign w:val="center"/>
          </w:tcPr>
          <w:p w14:paraId="7FBA976F">
            <w:pPr>
              <w:pStyle w:val="12"/>
            </w:pPr>
            <w:r>
              <w:t>幼儿资助经费管理办法</w:t>
            </w:r>
          </w:p>
        </w:tc>
      </w:tr>
      <w:tr w14:paraId="0AC2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8FD6D">
            <w:pPr>
              <w:pStyle w:val="13"/>
            </w:pPr>
            <w:r>
              <w:t>满意度指标</w:t>
            </w:r>
          </w:p>
        </w:tc>
        <w:tc>
          <w:tcPr>
            <w:tcW w:w="2268" w:type="dxa"/>
            <w:vAlign w:val="center"/>
          </w:tcPr>
          <w:p w14:paraId="2748BF0F">
            <w:pPr>
              <w:pStyle w:val="12"/>
            </w:pPr>
            <w:r>
              <w:t>服务对象满意度指标</w:t>
            </w:r>
          </w:p>
        </w:tc>
        <w:tc>
          <w:tcPr>
            <w:tcW w:w="2835" w:type="dxa"/>
            <w:vAlign w:val="center"/>
          </w:tcPr>
          <w:p w14:paraId="4B51565D">
            <w:pPr>
              <w:pStyle w:val="12"/>
            </w:pPr>
            <w:r>
              <w:t>受益幼儿家长及调查满意度</w:t>
            </w:r>
          </w:p>
        </w:tc>
        <w:tc>
          <w:tcPr>
            <w:tcW w:w="5386" w:type="dxa"/>
            <w:vAlign w:val="center"/>
          </w:tcPr>
          <w:p w14:paraId="02C1E4DF">
            <w:pPr>
              <w:pStyle w:val="12"/>
            </w:pPr>
            <w:r>
              <w:t>学生、教师及家长对学校保教保育工作满意度情况</w:t>
            </w:r>
          </w:p>
        </w:tc>
        <w:tc>
          <w:tcPr>
            <w:tcW w:w="2268" w:type="dxa"/>
            <w:vAlign w:val="center"/>
          </w:tcPr>
          <w:p w14:paraId="3AEC466E">
            <w:pPr>
              <w:pStyle w:val="12"/>
            </w:pPr>
            <w:r>
              <w:t>≥95%</w:t>
            </w:r>
          </w:p>
        </w:tc>
        <w:tc>
          <w:tcPr>
            <w:tcW w:w="1276" w:type="dxa"/>
            <w:vAlign w:val="center"/>
          </w:tcPr>
          <w:p w14:paraId="437E6ABF">
            <w:pPr>
              <w:pStyle w:val="12"/>
            </w:pPr>
            <w:r>
              <w:t>幼儿资助经费管理办法</w:t>
            </w:r>
          </w:p>
        </w:tc>
      </w:tr>
    </w:tbl>
    <w:p w14:paraId="2D2B825C">
      <w:pPr>
        <w:sectPr>
          <w:pgSz w:w="16840" w:h="11900" w:orient="landscape"/>
          <w:pgMar w:top="1361" w:right="1020" w:bottom="1134" w:left="1020" w:header="720" w:footer="720" w:gutter="0"/>
          <w:cols w:space="720" w:num="1"/>
        </w:sectPr>
      </w:pPr>
    </w:p>
    <w:p w14:paraId="3207E82D">
      <w:pPr>
        <w:spacing w:before="0" w:after="0"/>
        <w:ind w:firstLine="560"/>
        <w:jc w:val="left"/>
        <w:outlineLvl w:val="9"/>
      </w:pPr>
      <w:r>
        <w:rPr>
          <w:rFonts w:ascii="方正仿宋_GBK" w:hAnsi="方正仿宋_GBK" w:eastAsia="方正仿宋_GBK" w:cs="方正仿宋_GBK"/>
          <w:b/>
          <w:color w:val="000000"/>
          <w:sz w:val="28"/>
        </w:rPr>
        <w:t>9、冀财教[2025]122号/中央/2026年学前发展资金/固城校区幼儿园免保育教育费补助绩效目标表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CE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C311B">
            <w:pPr>
              <w:pStyle w:val="11"/>
            </w:pPr>
            <w:r>
              <w:t>单位：万元</w:t>
            </w:r>
          </w:p>
        </w:tc>
      </w:tr>
      <w:tr w14:paraId="6CE1D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E1D2B">
            <w:pPr>
              <w:pStyle w:val="10"/>
            </w:pPr>
            <w:r>
              <w:t>项目编码</w:t>
            </w:r>
          </w:p>
        </w:tc>
        <w:tc>
          <w:tcPr>
            <w:tcW w:w="5103" w:type="dxa"/>
            <w:gridSpan w:val="2"/>
            <w:vAlign w:val="center"/>
          </w:tcPr>
          <w:p w14:paraId="4DAE1870">
            <w:pPr>
              <w:pStyle w:val="12"/>
            </w:pPr>
            <w:r>
              <w:t>13052526P00876910141D</w:t>
            </w:r>
          </w:p>
        </w:tc>
        <w:tc>
          <w:tcPr>
            <w:tcW w:w="2835" w:type="dxa"/>
            <w:vAlign w:val="center"/>
          </w:tcPr>
          <w:p w14:paraId="14785992">
            <w:pPr>
              <w:pStyle w:val="10"/>
            </w:pPr>
            <w:r>
              <w:t>项目名称</w:t>
            </w:r>
          </w:p>
        </w:tc>
        <w:tc>
          <w:tcPr>
            <w:tcW w:w="6095" w:type="dxa"/>
            <w:gridSpan w:val="3"/>
            <w:vAlign w:val="center"/>
          </w:tcPr>
          <w:p w14:paraId="5D75C76F">
            <w:pPr>
              <w:pStyle w:val="12"/>
            </w:pPr>
            <w:r>
              <w:t>冀财教[2025]122号/中央/2026年学前发展资金/固城校区幼儿园免保育教育费补助</w:t>
            </w:r>
          </w:p>
        </w:tc>
      </w:tr>
      <w:tr w14:paraId="0BDAC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03CBA">
            <w:pPr>
              <w:pStyle w:val="10"/>
            </w:pPr>
            <w:r>
              <w:t>预算规模及资金用途</w:t>
            </w:r>
          </w:p>
        </w:tc>
        <w:tc>
          <w:tcPr>
            <w:tcW w:w="2268" w:type="dxa"/>
            <w:vAlign w:val="center"/>
          </w:tcPr>
          <w:p w14:paraId="2A1DECAD">
            <w:pPr>
              <w:pStyle w:val="10"/>
            </w:pPr>
            <w:r>
              <w:t>预算数</w:t>
            </w:r>
          </w:p>
        </w:tc>
        <w:tc>
          <w:tcPr>
            <w:tcW w:w="2835" w:type="dxa"/>
            <w:vAlign w:val="center"/>
          </w:tcPr>
          <w:p w14:paraId="2612DACD">
            <w:pPr>
              <w:pStyle w:val="12"/>
            </w:pPr>
            <w:r>
              <w:t>6.85</w:t>
            </w:r>
          </w:p>
        </w:tc>
        <w:tc>
          <w:tcPr>
            <w:tcW w:w="2835" w:type="dxa"/>
            <w:vAlign w:val="center"/>
          </w:tcPr>
          <w:p w14:paraId="5D02D78C">
            <w:pPr>
              <w:pStyle w:val="10"/>
            </w:pPr>
            <w:r>
              <w:t>其中：财政    资金</w:t>
            </w:r>
          </w:p>
        </w:tc>
        <w:tc>
          <w:tcPr>
            <w:tcW w:w="2551" w:type="dxa"/>
            <w:vAlign w:val="center"/>
          </w:tcPr>
          <w:p w14:paraId="3ADF4BB1">
            <w:pPr>
              <w:pStyle w:val="12"/>
            </w:pPr>
            <w:r>
              <w:t>6.85</w:t>
            </w:r>
          </w:p>
        </w:tc>
        <w:tc>
          <w:tcPr>
            <w:tcW w:w="2268" w:type="dxa"/>
            <w:vAlign w:val="center"/>
          </w:tcPr>
          <w:p w14:paraId="1CC0E759">
            <w:pPr>
              <w:pStyle w:val="10"/>
            </w:pPr>
            <w:r>
              <w:t>其他资金</w:t>
            </w:r>
          </w:p>
        </w:tc>
        <w:tc>
          <w:tcPr>
            <w:tcW w:w="1276" w:type="dxa"/>
            <w:vAlign w:val="center"/>
          </w:tcPr>
          <w:p w14:paraId="3A273009">
            <w:pPr>
              <w:pStyle w:val="12"/>
            </w:pPr>
            <w:r>
              <w:t xml:space="preserve"> </w:t>
            </w:r>
          </w:p>
        </w:tc>
      </w:tr>
      <w:tr w14:paraId="29707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D9E4F"/>
        </w:tc>
        <w:tc>
          <w:tcPr>
            <w:tcW w:w="14033" w:type="dxa"/>
            <w:gridSpan w:val="6"/>
            <w:vAlign w:val="center"/>
          </w:tcPr>
          <w:p w14:paraId="4616533F">
            <w:pPr>
              <w:pStyle w:val="12"/>
            </w:pPr>
            <w:r>
              <w:t>保障幼儿园正常运转，完成教育教学活动和其他日常工作任务等方面的费用支出。</w:t>
            </w:r>
          </w:p>
        </w:tc>
      </w:tr>
      <w:tr w14:paraId="325D3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CE004">
            <w:pPr>
              <w:pStyle w:val="10"/>
            </w:pPr>
            <w:r>
              <w:t>资金支出计划（%）</w:t>
            </w:r>
          </w:p>
        </w:tc>
        <w:tc>
          <w:tcPr>
            <w:tcW w:w="5103" w:type="dxa"/>
            <w:gridSpan w:val="2"/>
            <w:vAlign w:val="center"/>
          </w:tcPr>
          <w:p w14:paraId="4CECDD7D">
            <w:pPr>
              <w:pStyle w:val="10"/>
            </w:pPr>
            <w:r>
              <w:t>3月底</w:t>
            </w:r>
          </w:p>
        </w:tc>
        <w:tc>
          <w:tcPr>
            <w:tcW w:w="2835" w:type="dxa"/>
            <w:vAlign w:val="center"/>
          </w:tcPr>
          <w:p w14:paraId="29EAF781">
            <w:pPr>
              <w:pStyle w:val="10"/>
            </w:pPr>
            <w:r>
              <w:t>6月底</w:t>
            </w:r>
          </w:p>
        </w:tc>
        <w:tc>
          <w:tcPr>
            <w:tcW w:w="2551" w:type="dxa"/>
            <w:vAlign w:val="center"/>
          </w:tcPr>
          <w:p w14:paraId="4DAC3A12">
            <w:pPr>
              <w:pStyle w:val="10"/>
            </w:pPr>
            <w:r>
              <w:t>10月底</w:t>
            </w:r>
          </w:p>
        </w:tc>
        <w:tc>
          <w:tcPr>
            <w:tcW w:w="3544" w:type="dxa"/>
            <w:gridSpan w:val="2"/>
            <w:vAlign w:val="center"/>
          </w:tcPr>
          <w:p w14:paraId="4BC892C8">
            <w:pPr>
              <w:pStyle w:val="10"/>
            </w:pPr>
            <w:r>
              <w:t>12月底</w:t>
            </w:r>
          </w:p>
        </w:tc>
      </w:tr>
      <w:tr w14:paraId="0CD5F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3E19B"/>
        </w:tc>
        <w:tc>
          <w:tcPr>
            <w:tcW w:w="5103" w:type="dxa"/>
            <w:gridSpan w:val="2"/>
            <w:vAlign w:val="center"/>
          </w:tcPr>
          <w:p w14:paraId="6974AC27">
            <w:pPr>
              <w:pStyle w:val="13"/>
            </w:pPr>
            <w:r>
              <w:t>25%</w:t>
            </w:r>
          </w:p>
        </w:tc>
        <w:tc>
          <w:tcPr>
            <w:tcW w:w="2835" w:type="dxa"/>
            <w:vAlign w:val="center"/>
          </w:tcPr>
          <w:p w14:paraId="770900B8">
            <w:pPr>
              <w:pStyle w:val="13"/>
            </w:pPr>
            <w:r>
              <w:t>50%</w:t>
            </w:r>
          </w:p>
        </w:tc>
        <w:tc>
          <w:tcPr>
            <w:tcW w:w="2551" w:type="dxa"/>
            <w:vAlign w:val="center"/>
          </w:tcPr>
          <w:p w14:paraId="5E2CEBFB">
            <w:pPr>
              <w:pStyle w:val="13"/>
            </w:pPr>
            <w:r>
              <w:t>75%</w:t>
            </w:r>
          </w:p>
        </w:tc>
        <w:tc>
          <w:tcPr>
            <w:tcW w:w="3544" w:type="dxa"/>
            <w:gridSpan w:val="2"/>
            <w:vAlign w:val="center"/>
          </w:tcPr>
          <w:p w14:paraId="6134FF55">
            <w:pPr>
              <w:pStyle w:val="13"/>
            </w:pPr>
            <w:r>
              <w:t>100%</w:t>
            </w:r>
          </w:p>
        </w:tc>
      </w:tr>
      <w:tr w14:paraId="7411D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1450A">
            <w:pPr>
              <w:pStyle w:val="10"/>
            </w:pPr>
            <w:r>
              <w:t>绩效目标</w:t>
            </w:r>
          </w:p>
        </w:tc>
        <w:tc>
          <w:tcPr>
            <w:tcW w:w="14033" w:type="dxa"/>
            <w:gridSpan w:val="6"/>
            <w:vAlign w:val="center"/>
          </w:tcPr>
          <w:p w14:paraId="5A754584">
            <w:pPr>
              <w:pStyle w:val="12"/>
            </w:pPr>
            <w:r>
              <w:t>1.保障幼儿园正常运转，完成教育教学活动和其他日常工作任务等方面的费用支出。</w:t>
            </w:r>
          </w:p>
        </w:tc>
      </w:tr>
    </w:tbl>
    <w:p w14:paraId="01991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5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77D68">
            <w:pPr>
              <w:pStyle w:val="10"/>
            </w:pPr>
            <w:r>
              <w:t>一级指标</w:t>
            </w:r>
          </w:p>
        </w:tc>
        <w:tc>
          <w:tcPr>
            <w:tcW w:w="2268" w:type="dxa"/>
            <w:vAlign w:val="center"/>
          </w:tcPr>
          <w:p w14:paraId="5ED42264">
            <w:pPr>
              <w:pStyle w:val="10"/>
            </w:pPr>
            <w:r>
              <w:t>二级指标</w:t>
            </w:r>
          </w:p>
        </w:tc>
        <w:tc>
          <w:tcPr>
            <w:tcW w:w="2835" w:type="dxa"/>
            <w:vAlign w:val="center"/>
          </w:tcPr>
          <w:p w14:paraId="5483264E">
            <w:pPr>
              <w:pStyle w:val="10"/>
            </w:pPr>
            <w:r>
              <w:t>三级指标</w:t>
            </w:r>
          </w:p>
        </w:tc>
        <w:tc>
          <w:tcPr>
            <w:tcW w:w="5386" w:type="dxa"/>
            <w:vAlign w:val="center"/>
          </w:tcPr>
          <w:p w14:paraId="6155218C">
            <w:pPr>
              <w:pStyle w:val="10"/>
            </w:pPr>
            <w:r>
              <w:t>绩效指标描述</w:t>
            </w:r>
          </w:p>
        </w:tc>
        <w:tc>
          <w:tcPr>
            <w:tcW w:w="2268" w:type="dxa"/>
            <w:vAlign w:val="center"/>
          </w:tcPr>
          <w:p w14:paraId="3E23EE8B">
            <w:pPr>
              <w:pStyle w:val="10"/>
            </w:pPr>
            <w:r>
              <w:t>指标值</w:t>
            </w:r>
          </w:p>
        </w:tc>
        <w:tc>
          <w:tcPr>
            <w:tcW w:w="1276" w:type="dxa"/>
            <w:vAlign w:val="center"/>
          </w:tcPr>
          <w:p w14:paraId="76676538">
            <w:pPr>
              <w:pStyle w:val="10"/>
            </w:pPr>
            <w:r>
              <w:t>指标值确定依据</w:t>
            </w:r>
          </w:p>
        </w:tc>
      </w:tr>
      <w:tr w14:paraId="50E0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F97E7">
            <w:pPr>
              <w:pStyle w:val="13"/>
            </w:pPr>
            <w:r>
              <w:t>产出指标</w:t>
            </w:r>
          </w:p>
        </w:tc>
        <w:tc>
          <w:tcPr>
            <w:tcW w:w="2268" w:type="dxa"/>
            <w:vAlign w:val="center"/>
          </w:tcPr>
          <w:p w14:paraId="527DA25C">
            <w:pPr>
              <w:pStyle w:val="12"/>
            </w:pPr>
            <w:r>
              <w:t>数量指标</w:t>
            </w:r>
          </w:p>
        </w:tc>
        <w:tc>
          <w:tcPr>
            <w:tcW w:w="2835" w:type="dxa"/>
            <w:vAlign w:val="center"/>
          </w:tcPr>
          <w:p w14:paraId="63DAF269">
            <w:pPr>
              <w:pStyle w:val="12"/>
            </w:pPr>
            <w:r>
              <w:t>适龄在园生</w:t>
            </w:r>
          </w:p>
        </w:tc>
        <w:tc>
          <w:tcPr>
            <w:tcW w:w="5386" w:type="dxa"/>
            <w:vAlign w:val="center"/>
          </w:tcPr>
          <w:p w14:paraId="7B496563">
            <w:pPr>
              <w:pStyle w:val="12"/>
            </w:pPr>
            <w:r>
              <w:t>适龄在园学生人数</w:t>
            </w:r>
          </w:p>
        </w:tc>
        <w:tc>
          <w:tcPr>
            <w:tcW w:w="2268" w:type="dxa"/>
            <w:vAlign w:val="center"/>
          </w:tcPr>
          <w:p w14:paraId="63272ABC">
            <w:pPr>
              <w:pStyle w:val="12"/>
            </w:pPr>
            <w:r>
              <w:t>306人</w:t>
            </w:r>
          </w:p>
        </w:tc>
        <w:tc>
          <w:tcPr>
            <w:tcW w:w="1276" w:type="dxa"/>
            <w:vAlign w:val="center"/>
          </w:tcPr>
          <w:p w14:paraId="7078BDA4">
            <w:pPr>
              <w:pStyle w:val="12"/>
            </w:pPr>
            <w:r>
              <w:t>支持学前教育发展管理方法</w:t>
            </w:r>
          </w:p>
        </w:tc>
      </w:tr>
      <w:tr w14:paraId="4004F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6E219"/>
        </w:tc>
        <w:tc>
          <w:tcPr>
            <w:tcW w:w="2268" w:type="dxa"/>
            <w:vAlign w:val="center"/>
          </w:tcPr>
          <w:p w14:paraId="3682C144">
            <w:pPr>
              <w:pStyle w:val="12"/>
            </w:pPr>
            <w:r>
              <w:t>质量指标</w:t>
            </w:r>
          </w:p>
        </w:tc>
        <w:tc>
          <w:tcPr>
            <w:tcW w:w="2835" w:type="dxa"/>
            <w:vAlign w:val="center"/>
          </w:tcPr>
          <w:p w14:paraId="24691C54">
            <w:pPr>
              <w:pStyle w:val="12"/>
            </w:pPr>
            <w:r>
              <w:t>预算控制率</w:t>
            </w:r>
          </w:p>
        </w:tc>
        <w:tc>
          <w:tcPr>
            <w:tcW w:w="5386" w:type="dxa"/>
            <w:vAlign w:val="center"/>
          </w:tcPr>
          <w:p w14:paraId="6F5F241F">
            <w:pPr>
              <w:pStyle w:val="12"/>
            </w:pPr>
            <w:r>
              <w:t>预算执行</w:t>
            </w:r>
          </w:p>
        </w:tc>
        <w:tc>
          <w:tcPr>
            <w:tcW w:w="2268" w:type="dxa"/>
            <w:vAlign w:val="center"/>
          </w:tcPr>
          <w:p w14:paraId="118AF321">
            <w:pPr>
              <w:pStyle w:val="12"/>
            </w:pPr>
            <w:r>
              <w:t>≥98%</w:t>
            </w:r>
          </w:p>
        </w:tc>
        <w:tc>
          <w:tcPr>
            <w:tcW w:w="1276" w:type="dxa"/>
            <w:vAlign w:val="center"/>
          </w:tcPr>
          <w:p w14:paraId="4BF0EB77">
            <w:pPr>
              <w:pStyle w:val="12"/>
            </w:pPr>
            <w:r>
              <w:t>支持学前教育发展管理方法</w:t>
            </w:r>
          </w:p>
        </w:tc>
      </w:tr>
      <w:tr w14:paraId="73EB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6872B"/>
        </w:tc>
        <w:tc>
          <w:tcPr>
            <w:tcW w:w="2268" w:type="dxa"/>
            <w:vAlign w:val="center"/>
          </w:tcPr>
          <w:p w14:paraId="72691E93">
            <w:pPr>
              <w:pStyle w:val="12"/>
            </w:pPr>
            <w:r>
              <w:t>时效指标</w:t>
            </w:r>
          </w:p>
        </w:tc>
        <w:tc>
          <w:tcPr>
            <w:tcW w:w="2835" w:type="dxa"/>
            <w:vAlign w:val="center"/>
          </w:tcPr>
          <w:p w14:paraId="31D169E2">
            <w:pPr>
              <w:pStyle w:val="12"/>
            </w:pPr>
            <w:r>
              <w:t>资金支付率</w:t>
            </w:r>
          </w:p>
        </w:tc>
        <w:tc>
          <w:tcPr>
            <w:tcW w:w="5386" w:type="dxa"/>
            <w:vAlign w:val="center"/>
          </w:tcPr>
          <w:p w14:paraId="2FC545FF">
            <w:pPr>
              <w:pStyle w:val="12"/>
            </w:pPr>
            <w:r>
              <w:t>按照序时进度完成资金支付</w:t>
            </w:r>
          </w:p>
        </w:tc>
        <w:tc>
          <w:tcPr>
            <w:tcW w:w="2268" w:type="dxa"/>
            <w:vAlign w:val="center"/>
          </w:tcPr>
          <w:p w14:paraId="5AD75F87">
            <w:pPr>
              <w:pStyle w:val="12"/>
            </w:pPr>
            <w:r>
              <w:t>100%</w:t>
            </w:r>
          </w:p>
        </w:tc>
        <w:tc>
          <w:tcPr>
            <w:tcW w:w="1276" w:type="dxa"/>
            <w:vAlign w:val="center"/>
          </w:tcPr>
          <w:p w14:paraId="1FC5E706">
            <w:pPr>
              <w:pStyle w:val="12"/>
            </w:pPr>
            <w:r>
              <w:t>支持学前教育发展管理方法</w:t>
            </w:r>
          </w:p>
        </w:tc>
      </w:tr>
      <w:tr w14:paraId="102E7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B75CC"/>
        </w:tc>
        <w:tc>
          <w:tcPr>
            <w:tcW w:w="2268" w:type="dxa"/>
            <w:vAlign w:val="center"/>
          </w:tcPr>
          <w:p w14:paraId="3FEDFBF9">
            <w:pPr>
              <w:pStyle w:val="12"/>
            </w:pPr>
            <w:r>
              <w:t>成本指标</w:t>
            </w:r>
          </w:p>
        </w:tc>
        <w:tc>
          <w:tcPr>
            <w:tcW w:w="2835" w:type="dxa"/>
            <w:vAlign w:val="center"/>
          </w:tcPr>
          <w:p w14:paraId="2AC06AAD">
            <w:pPr>
              <w:pStyle w:val="12"/>
            </w:pPr>
            <w:r>
              <w:t>生均拨款标准</w:t>
            </w:r>
          </w:p>
        </w:tc>
        <w:tc>
          <w:tcPr>
            <w:tcW w:w="5386" w:type="dxa"/>
            <w:vAlign w:val="center"/>
          </w:tcPr>
          <w:p w14:paraId="7ED20DE4">
            <w:pPr>
              <w:pStyle w:val="12"/>
            </w:pPr>
            <w:r>
              <w:t>免保育教育费补助</w:t>
            </w:r>
          </w:p>
        </w:tc>
        <w:tc>
          <w:tcPr>
            <w:tcW w:w="2268" w:type="dxa"/>
            <w:vAlign w:val="center"/>
          </w:tcPr>
          <w:p w14:paraId="754FEBA5">
            <w:pPr>
              <w:pStyle w:val="12"/>
            </w:pPr>
            <w:r>
              <w:t>68486元</w:t>
            </w:r>
          </w:p>
        </w:tc>
        <w:tc>
          <w:tcPr>
            <w:tcW w:w="1276" w:type="dxa"/>
            <w:vAlign w:val="center"/>
          </w:tcPr>
          <w:p w14:paraId="62673475">
            <w:pPr>
              <w:pStyle w:val="12"/>
            </w:pPr>
            <w:r>
              <w:t>支持学前教育发展管理方法</w:t>
            </w:r>
          </w:p>
        </w:tc>
      </w:tr>
      <w:tr w14:paraId="46F0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00083">
            <w:pPr>
              <w:pStyle w:val="13"/>
            </w:pPr>
            <w:r>
              <w:t>效益指标</w:t>
            </w:r>
          </w:p>
        </w:tc>
        <w:tc>
          <w:tcPr>
            <w:tcW w:w="2268" w:type="dxa"/>
            <w:vAlign w:val="center"/>
          </w:tcPr>
          <w:p w14:paraId="0C1968F6">
            <w:pPr>
              <w:pStyle w:val="12"/>
            </w:pPr>
            <w:r>
              <w:t>可持续影响指标</w:t>
            </w:r>
          </w:p>
        </w:tc>
        <w:tc>
          <w:tcPr>
            <w:tcW w:w="2835" w:type="dxa"/>
            <w:vAlign w:val="center"/>
          </w:tcPr>
          <w:p w14:paraId="27784E7E">
            <w:pPr>
              <w:pStyle w:val="12"/>
            </w:pPr>
            <w:r>
              <w:t>学校运转得到提升</w:t>
            </w:r>
          </w:p>
        </w:tc>
        <w:tc>
          <w:tcPr>
            <w:tcW w:w="5386" w:type="dxa"/>
            <w:vAlign w:val="center"/>
          </w:tcPr>
          <w:p w14:paraId="3797DB1E">
            <w:pPr>
              <w:pStyle w:val="12"/>
            </w:pPr>
            <w:r>
              <w:t>幼儿受教育年限</w:t>
            </w:r>
          </w:p>
        </w:tc>
        <w:tc>
          <w:tcPr>
            <w:tcW w:w="2268" w:type="dxa"/>
            <w:vAlign w:val="center"/>
          </w:tcPr>
          <w:p w14:paraId="5D8A752B">
            <w:pPr>
              <w:pStyle w:val="12"/>
            </w:pPr>
            <w:r>
              <w:t>≥3年</w:t>
            </w:r>
          </w:p>
        </w:tc>
        <w:tc>
          <w:tcPr>
            <w:tcW w:w="1276" w:type="dxa"/>
            <w:vAlign w:val="center"/>
          </w:tcPr>
          <w:p w14:paraId="0A031C4B">
            <w:pPr>
              <w:pStyle w:val="12"/>
            </w:pPr>
            <w:r>
              <w:t>支持学前教育发展管理方法</w:t>
            </w:r>
          </w:p>
        </w:tc>
      </w:tr>
      <w:tr w14:paraId="70249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B73BC">
            <w:pPr>
              <w:pStyle w:val="13"/>
            </w:pPr>
            <w:r>
              <w:t>满意度指标</w:t>
            </w:r>
          </w:p>
        </w:tc>
        <w:tc>
          <w:tcPr>
            <w:tcW w:w="2268" w:type="dxa"/>
            <w:vAlign w:val="center"/>
          </w:tcPr>
          <w:p w14:paraId="54B9F447">
            <w:pPr>
              <w:pStyle w:val="12"/>
            </w:pPr>
            <w:r>
              <w:t>服务对象满意度指标</w:t>
            </w:r>
          </w:p>
        </w:tc>
        <w:tc>
          <w:tcPr>
            <w:tcW w:w="2835" w:type="dxa"/>
            <w:vAlign w:val="center"/>
          </w:tcPr>
          <w:p w14:paraId="37BBA03C">
            <w:pPr>
              <w:pStyle w:val="12"/>
            </w:pPr>
            <w:r>
              <w:t>受益学生家长及调查满意度</w:t>
            </w:r>
          </w:p>
        </w:tc>
        <w:tc>
          <w:tcPr>
            <w:tcW w:w="5386" w:type="dxa"/>
            <w:vAlign w:val="center"/>
          </w:tcPr>
          <w:p w14:paraId="6EB079B0">
            <w:pPr>
              <w:pStyle w:val="12"/>
            </w:pPr>
            <w:r>
              <w:t>学生、教师及家长对学校保教保育工作满意度情况</w:t>
            </w:r>
          </w:p>
        </w:tc>
        <w:tc>
          <w:tcPr>
            <w:tcW w:w="2268" w:type="dxa"/>
            <w:vAlign w:val="center"/>
          </w:tcPr>
          <w:p w14:paraId="36899638">
            <w:pPr>
              <w:pStyle w:val="12"/>
            </w:pPr>
            <w:r>
              <w:t>≥95%</w:t>
            </w:r>
          </w:p>
        </w:tc>
        <w:tc>
          <w:tcPr>
            <w:tcW w:w="1276" w:type="dxa"/>
            <w:vAlign w:val="center"/>
          </w:tcPr>
          <w:p w14:paraId="5F360EC3">
            <w:pPr>
              <w:pStyle w:val="12"/>
            </w:pPr>
            <w:r>
              <w:t>支持学前教育发展管理方法</w:t>
            </w:r>
          </w:p>
        </w:tc>
      </w:tr>
    </w:tbl>
    <w:p w14:paraId="6D234C0E">
      <w:pPr>
        <w:sectPr>
          <w:pgSz w:w="16840" w:h="11900" w:orient="landscape"/>
          <w:pgMar w:top="1361" w:right="1020" w:bottom="1134" w:left="1020" w:header="720" w:footer="720" w:gutter="0"/>
          <w:cols w:space="720" w:num="1"/>
        </w:sectPr>
      </w:pPr>
    </w:p>
    <w:p w14:paraId="5E1F2D33">
      <w:pPr>
        <w:spacing w:before="0" w:after="0"/>
        <w:ind w:firstLine="560"/>
        <w:jc w:val="left"/>
        <w:outlineLvl w:val="9"/>
      </w:pPr>
      <w:r>
        <w:rPr>
          <w:rFonts w:ascii="方正仿宋_GBK" w:hAnsi="方正仿宋_GBK" w:eastAsia="方正仿宋_GBK" w:cs="方正仿宋_GBK"/>
          <w:b/>
          <w:color w:val="000000"/>
          <w:sz w:val="28"/>
        </w:rPr>
        <w:t>10、冀财教[2025]122号/中央/支持学前教育发展/固城校区幼儿园设备购置绩效目标表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00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19421">
            <w:pPr>
              <w:pStyle w:val="11"/>
            </w:pPr>
            <w:r>
              <w:t>单位：万元</w:t>
            </w:r>
          </w:p>
        </w:tc>
      </w:tr>
      <w:tr w14:paraId="41E25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CE4E5">
            <w:pPr>
              <w:pStyle w:val="10"/>
            </w:pPr>
            <w:r>
              <w:t>项目编码</w:t>
            </w:r>
          </w:p>
        </w:tc>
        <w:tc>
          <w:tcPr>
            <w:tcW w:w="5103" w:type="dxa"/>
            <w:gridSpan w:val="2"/>
            <w:vAlign w:val="center"/>
          </w:tcPr>
          <w:p w14:paraId="06C841C8">
            <w:pPr>
              <w:pStyle w:val="12"/>
            </w:pPr>
            <w:r>
              <w:t>13052526P00876910184P</w:t>
            </w:r>
          </w:p>
        </w:tc>
        <w:tc>
          <w:tcPr>
            <w:tcW w:w="2835" w:type="dxa"/>
            <w:vAlign w:val="center"/>
          </w:tcPr>
          <w:p w14:paraId="52385FF6">
            <w:pPr>
              <w:pStyle w:val="10"/>
            </w:pPr>
            <w:r>
              <w:t>项目名称</w:t>
            </w:r>
          </w:p>
        </w:tc>
        <w:tc>
          <w:tcPr>
            <w:tcW w:w="6095" w:type="dxa"/>
            <w:gridSpan w:val="3"/>
            <w:vAlign w:val="center"/>
          </w:tcPr>
          <w:p w14:paraId="6DE268D5">
            <w:pPr>
              <w:pStyle w:val="12"/>
            </w:pPr>
            <w:r>
              <w:t>冀财教[2025]122号/中央/支持学前教育发展/固城校区幼儿园设备购置</w:t>
            </w:r>
          </w:p>
        </w:tc>
      </w:tr>
      <w:tr w14:paraId="32243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24557">
            <w:pPr>
              <w:pStyle w:val="10"/>
            </w:pPr>
            <w:r>
              <w:t>预算规模及资金用途</w:t>
            </w:r>
          </w:p>
        </w:tc>
        <w:tc>
          <w:tcPr>
            <w:tcW w:w="2268" w:type="dxa"/>
            <w:vAlign w:val="center"/>
          </w:tcPr>
          <w:p w14:paraId="6E8046C2">
            <w:pPr>
              <w:pStyle w:val="10"/>
            </w:pPr>
            <w:r>
              <w:t>预算数</w:t>
            </w:r>
          </w:p>
        </w:tc>
        <w:tc>
          <w:tcPr>
            <w:tcW w:w="2835" w:type="dxa"/>
            <w:vAlign w:val="center"/>
          </w:tcPr>
          <w:p w14:paraId="3DF5639D">
            <w:pPr>
              <w:pStyle w:val="12"/>
            </w:pPr>
            <w:r>
              <w:t>22.94</w:t>
            </w:r>
          </w:p>
        </w:tc>
        <w:tc>
          <w:tcPr>
            <w:tcW w:w="2835" w:type="dxa"/>
            <w:vAlign w:val="center"/>
          </w:tcPr>
          <w:p w14:paraId="7EF902A2">
            <w:pPr>
              <w:pStyle w:val="10"/>
            </w:pPr>
            <w:r>
              <w:t>其中：财政    资金</w:t>
            </w:r>
          </w:p>
        </w:tc>
        <w:tc>
          <w:tcPr>
            <w:tcW w:w="2551" w:type="dxa"/>
            <w:vAlign w:val="center"/>
          </w:tcPr>
          <w:p w14:paraId="4335777B">
            <w:pPr>
              <w:pStyle w:val="12"/>
            </w:pPr>
            <w:r>
              <w:t>22.94</w:t>
            </w:r>
          </w:p>
        </w:tc>
        <w:tc>
          <w:tcPr>
            <w:tcW w:w="2268" w:type="dxa"/>
            <w:vAlign w:val="center"/>
          </w:tcPr>
          <w:p w14:paraId="3FABCD20">
            <w:pPr>
              <w:pStyle w:val="10"/>
            </w:pPr>
            <w:r>
              <w:t>其他资金</w:t>
            </w:r>
          </w:p>
        </w:tc>
        <w:tc>
          <w:tcPr>
            <w:tcW w:w="1276" w:type="dxa"/>
            <w:vAlign w:val="center"/>
          </w:tcPr>
          <w:p w14:paraId="786F280C">
            <w:pPr>
              <w:pStyle w:val="12"/>
            </w:pPr>
            <w:r>
              <w:t xml:space="preserve"> </w:t>
            </w:r>
          </w:p>
        </w:tc>
      </w:tr>
      <w:tr w14:paraId="3EE52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2CF98"/>
        </w:tc>
        <w:tc>
          <w:tcPr>
            <w:tcW w:w="14033" w:type="dxa"/>
            <w:gridSpan w:val="6"/>
            <w:vAlign w:val="center"/>
          </w:tcPr>
          <w:p w14:paraId="1B234300">
            <w:pPr>
              <w:pStyle w:val="12"/>
            </w:pPr>
            <w:r>
              <w:t>提升教学环境，提高教学质量</w:t>
            </w:r>
          </w:p>
        </w:tc>
      </w:tr>
      <w:tr w14:paraId="72C32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D734E">
            <w:pPr>
              <w:pStyle w:val="10"/>
            </w:pPr>
            <w:r>
              <w:t>资金支出计划（%）</w:t>
            </w:r>
          </w:p>
        </w:tc>
        <w:tc>
          <w:tcPr>
            <w:tcW w:w="5103" w:type="dxa"/>
            <w:gridSpan w:val="2"/>
            <w:vAlign w:val="center"/>
          </w:tcPr>
          <w:p w14:paraId="11EBDA3A">
            <w:pPr>
              <w:pStyle w:val="10"/>
            </w:pPr>
            <w:r>
              <w:t>3月底</w:t>
            </w:r>
          </w:p>
        </w:tc>
        <w:tc>
          <w:tcPr>
            <w:tcW w:w="2835" w:type="dxa"/>
            <w:vAlign w:val="center"/>
          </w:tcPr>
          <w:p w14:paraId="03C57E2C">
            <w:pPr>
              <w:pStyle w:val="10"/>
            </w:pPr>
            <w:r>
              <w:t>6月底</w:t>
            </w:r>
          </w:p>
        </w:tc>
        <w:tc>
          <w:tcPr>
            <w:tcW w:w="2551" w:type="dxa"/>
            <w:vAlign w:val="center"/>
          </w:tcPr>
          <w:p w14:paraId="75A5E844">
            <w:pPr>
              <w:pStyle w:val="10"/>
            </w:pPr>
            <w:r>
              <w:t>10月底</w:t>
            </w:r>
          </w:p>
        </w:tc>
        <w:tc>
          <w:tcPr>
            <w:tcW w:w="3544" w:type="dxa"/>
            <w:gridSpan w:val="2"/>
            <w:vAlign w:val="center"/>
          </w:tcPr>
          <w:p w14:paraId="02D9C522">
            <w:pPr>
              <w:pStyle w:val="10"/>
            </w:pPr>
            <w:r>
              <w:t>12月底</w:t>
            </w:r>
          </w:p>
        </w:tc>
      </w:tr>
      <w:tr w14:paraId="714A2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611DA"/>
        </w:tc>
        <w:tc>
          <w:tcPr>
            <w:tcW w:w="5103" w:type="dxa"/>
            <w:gridSpan w:val="2"/>
            <w:vAlign w:val="center"/>
          </w:tcPr>
          <w:p w14:paraId="08A6181C">
            <w:pPr>
              <w:pStyle w:val="13"/>
            </w:pPr>
            <w:r>
              <w:t xml:space="preserve"> </w:t>
            </w:r>
          </w:p>
        </w:tc>
        <w:tc>
          <w:tcPr>
            <w:tcW w:w="2835" w:type="dxa"/>
            <w:vAlign w:val="center"/>
          </w:tcPr>
          <w:p w14:paraId="0783C2C7">
            <w:pPr>
              <w:pStyle w:val="13"/>
            </w:pPr>
            <w:r>
              <w:t>100%</w:t>
            </w:r>
          </w:p>
        </w:tc>
        <w:tc>
          <w:tcPr>
            <w:tcW w:w="2551" w:type="dxa"/>
            <w:vAlign w:val="center"/>
          </w:tcPr>
          <w:p w14:paraId="4B799327">
            <w:pPr>
              <w:pStyle w:val="13"/>
            </w:pPr>
            <w:r>
              <w:t>100%</w:t>
            </w:r>
          </w:p>
        </w:tc>
        <w:tc>
          <w:tcPr>
            <w:tcW w:w="3544" w:type="dxa"/>
            <w:gridSpan w:val="2"/>
            <w:vAlign w:val="center"/>
          </w:tcPr>
          <w:p w14:paraId="6180E67E">
            <w:pPr>
              <w:pStyle w:val="13"/>
            </w:pPr>
            <w:r>
              <w:t>100%</w:t>
            </w:r>
          </w:p>
        </w:tc>
      </w:tr>
      <w:tr w14:paraId="0DB35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6A596">
            <w:pPr>
              <w:pStyle w:val="10"/>
            </w:pPr>
            <w:r>
              <w:t>绩效目标</w:t>
            </w:r>
          </w:p>
        </w:tc>
        <w:tc>
          <w:tcPr>
            <w:tcW w:w="14033" w:type="dxa"/>
            <w:gridSpan w:val="6"/>
            <w:vAlign w:val="center"/>
          </w:tcPr>
          <w:p w14:paraId="0E010248">
            <w:pPr>
              <w:pStyle w:val="12"/>
            </w:pPr>
            <w:r>
              <w:t>1.提升教学环境，提高教学质量，安排购置资金22.94万元</w:t>
            </w:r>
          </w:p>
        </w:tc>
      </w:tr>
    </w:tbl>
    <w:p w14:paraId="41F37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3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A3FAC">
            <w:pPr>
              <w:pStyle w:val="10"/>
            </w:pPr>
            <w:r>
              <w:t>一级指标</w:t>
            </w:r>
          </w:p>
        </w:tc>
        <w:tc>
          <w:tcPr>
            <w:tcW w:w="2268" w:type="dxa"/>
            <w:vAlign w:val="center"/>
          </w:tcPr>
          <w:p w14:paraId="172783A1">
            <w:pPr>
              <w:pStyle w:val="10"/>
            </w:pPr>
            <w:r>
              <w:t>二级指标</w:t>
            </w:r>
          </w:p>
        </w:tc>
        <w:tc>
          <w:tcPr>
            <w:tcW w:w="2835" w:type="dxa"/>
            <w:vAlign w:val="center"/>
          </w:tcPr>
          <w:p w14:paraId="664737B5">
            <w:pPr>
              <w:pStyle w:val="10"/>
            </w:pPr>
            <w:r>
              <w:t>三级指标</w:t>
            </w:r>
          </w:p>
        </w:tc>
        <w:tc>
          <w:tcPr>
            <w:tcW w:w="5386" w:type="dxa"/>
            <w:vAlign w:val="center"/>
          </w:tcPr>
          <w:p w14:paraId="3AAB494E">
            <w:pPr>
              <w:pStyle w:val="10"/>
            </w:pPr>
            <w:r>
              <w:t>绩效指标描述</w:t>
            </w:r>
          </w:p>
        </w:tc>
        <w:tc>
          <w:tcPr>
            <w:tcW w:w="2268" w:type="dxa"/>
            <w:vAlign w:val="center"/>
          </w:tcPr>
          <w:p w14:paraId="7F2A13CE">
            <w:pPr>
              <w:pStyle w:val="10"/>
            </w:pPr>
            <w:r>
              <w:t>指标值</w:t>
            </w:r>
          </w:p>
        </w:tc>
        <w:tc>
          <w:tcPr>
            <w:tcW w:w="1276" w:type="dxa"/>
            <w:vAlign w:val="center"/>
          </w:tcPr>
          <w:p w14:paraId="28362016">
            <w:pPr>
              <w:pStyle w:val="10"/>
            </w:pPr>
            <w:r>
              <w:t>指标值确定依据</w:t>
            </w:r>
          </w:p>
        </w:tc>
      </w:tr>
      <w:tr w14:paraId="1927F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F74EC">
            <w:pPr>
              <w:pStyle w:val="13"/>
            </w:pPr>
            <w:r>
              <w:t>产出指标</w:t>
            </w:r>
          </w:p>
        </w:tc>
        <w:tc>
          <w:tcPr>
            <w:tcW w:w="2268" w:type="dxa"/>
            <w:vAlign w:val="center"/>
          </w:tcPr>
          <w:p w14:paraId="6FB18A59">
            <w:pPr>
              <w:pStyle w:val="12"/>
            </w:pPr>
            <w:r>
              <w:t>数量指标</w:t>
            </w:r>
          </w:p>
        </w:tc>
        <w:tc>
          <w:tcPr>
            <w:tcW w:w="2835" w:type="dxa"/>
            <w:vAlign w:val="center"/>
          </w:tcPr>
          <w:p w14:paraId="5B0AC82C">
            <w:pPr>
              <w:pStyle w:val="12"/>
            </w:pPr>
            <w:r>
              <w:t>购置专用设备</w:t>
            </w:r>
          </w:p>
        </w:tc>
        <w:tc>
          <w:tcPr>
            <w:tcW w:w="5386" w:type="dxa"/>
            <w:vAlign w:val="center"/>
          </w:tcPr>
          <w:p w14:paraId="55FE5EA6">
            <w:pPr>
              <w:pStyle w:val="12"/>
            </w:pPr>
            <w:r>
              <w:t>打印机、音响等专用设备购置</w:t>
            </w:r>
          </w:p>
        </w:tc>
        <w:tc>
          <w:tcPr>
            <w:tcW w:w="2268" w:type="dxa"/>
            <w:vAlign w:val="center"/>
          </w:tcPr>
          <w:p w14:paraId="03105B97">
            <w:pPr>
              <w:pStyle w:val="12"/>
            </w:pPr>
            <w:r>
              <w:t>1项</w:t>
            </w:r>
          </w:p>
        </w:tc>
        <w:tc>
          <w:tcPr>
            <w:tcW w:w="1276" w:type="dxa"/>
            <w:vAlign w:val="center"/>
          </w:tcPr>
          <w:p w14:paraId="6967E356">
            <w:pPr>
              <w:pStyle w:val="12"/>
            </w:pPr>
            <w:r>
              <w:t>项目规划</w:t>
            </w:r>
          </w:p>
        </w:tc>
      </w:tr>
      <w:tr w14:paraId="3C77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4733D"/>
        </w:tc>
        <w:tc>
          <w:tcPr>
            <w:tcW w:w="2268" w:type="dxa"/>
            <w:vAlign w:val="center"/>
          </w:tcPr>
          <w:p w14:paraId="0B639F05">
            <w:pPr>
              <w:pStyle w:val="12"/>
            </w:pPr>
            <w:r>
              <w:t>质量指标</w:t>
            </w:r>
          </w:p>
        </w:tc>
        <w:tc>
          <w:tcPr>
            <w:tcW w:w="2835" w:type="dxa"/>
            <w:vAlign w:val="center"/>
          </w:tcPr>
          <w:p w14:paraId="217E6C08">
            <w:pPr>
              <w:pStyle w:val="12"/>
            </w:pPr>
            <w:r>
              <w:t>购置项目质量合格率</w:t>
            </w:r>
          </w:p>
        </w:tc>
        <w:tc>
          <w:tcPr>
            <w:tcW w:w="5386" w:type="dxa"/>
            <w:vAlign w:val="center"/>
          </w:tcPr>
          <w:p w14:paraId="1C3F1CA9">
            <w:pPr>
              <w:pStyle w:val="12"/>
            </w:pPr>
            <w:r>
              <w:t>专用设备购置质量合格率</w:t>
            </w:r>
          </w:p>
        </w:tc>
        <w:tc>
          <w:tcPr>
            <w:tcW w:w="2268" w:type="dxa"/>
            <w:vAlign w:val="center"/>
          </w:tcPr>
          <w:p w14:paraId="452671D2">
            <w:pPr>
              <w:pStyle w:val="12"/>
            </w:pPr>
            <w:r>
              <w:t>100%</w:t>
            </w:r>
          </w:p>
        </w:tc>
        <w:tc>
          <w:tcPr>
            <w:tcW w:w="1276" w:type="dxa"/>
            <w:vAlign w:val="center"/>
          </w:tcPr>
          <w:p w14:paraId="6A22485C">
            <w:pPr>
              <w:pStyle w:val="12"/>
            </w:pPr>
            <w:r>
              <w:t>项目规划</w:t>
            </w:r>
          </w:p>
        </w:tc>
      </w:tr>
      <w:tr w14:paraId="457E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ECDD"/>
        </w:tc>
        <w:tc>
          <w:tcPr>
            <w:tcW w:w="2268" w:type="dxa"/>
            <w:vAlign w:val="center"/>
          </w:tcPr>
          <w:p w14:paraId="75A12F48">
            <w:pPr>
              <w:pStyle w:val="12"/>
            </w:pPr>
            <w:r>
              <w:t>时效指标</w:t>
            </w:r>
          </w:p>
        </w:tc>
        <w:tc>
          <w:tcPr>
            <w:tcW w:w="2835" w:type="dxa"/>
            <w:vAlign w:val="center"/>
          </w:tcPr>
          <w:p w14:paraId="2FC87886">
            <w:pPr>
              <w:pStyle w:val="12"/>
            </w:pPr>
            <w:r>
              <w:t>按时完成率</w:t>
            </w:r>
          </w:p>
        </w:tc>
        <w:tc>
          <w:tcPr>
            <w:tcW w:w="5386" w:type="dxa"/>
            <w:vAlign w:val="center"/>
          </w:tcPr>
          <w:p w14:paraId="19381F15">
            <w:pPr>
              <w:pStyle w:val="12"/>
            </w:pPr>
            <w:r>
              <w:t>购置项目按时序进度完成比例</w:t>
            </w:r>
          </w:p>
        </w:tc>
        <w:tc>
          <w:tcPr>
            <w:tcW w:w="2268" w:type="dxa"/>
            <w:vAlign w:val="center"/>
          </w:tcPr>
          <w:p w14:paraId="057F6557">
            <w:pPr>
              <w:pStyle w:val="12"/>
            </w:pPr>
            <w:r>
              <w:t>100%</w:t>
            </w:r>
          </w:p>
        </w:tc>
        <w:tc>
          <w:tcPr>
            <w:tcW w:w="1276" w:type="dxa"/>
            <w:vAlign w:val="center"/>
          </w:tcPr>
          <w:p w14:paraId="0FFD69DB">
            <w:pPr>
              <w:pStyle w:val="12"/>
            </w:pPr>
            <w:r>
              <w:t>项目规划</w:t>
            </w:r>
          </w:p>
        </w:tc>
      </w:tr>
      <w:tr w14:paraId="69FC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C48D5"/>
        </w:tc>
        <w:tc>
          <w:tcPr>
            <w:tcW w:w="2268" w:type="dxa"/>
            <w:vAlign w:val="center"/>
          </w:tcPr>
          <w:p w14:paraId="07FB5C89">
            <w:pPr>
              <w:pStyle w:val="12"/>
            </w:pPr>
            <w:r>
              <w:t>成本指标</w:t>
            </w:r>
          </w:p>
        </w:tc>
        <w:tc>
          <w:tcPr>
            <w:tcW w:w="2835" w:type="dxa"/>
            <w:vAlign w:val="center"/>
          </w:tcPr>
          <w:p w14:paraId="2AA7BE2C">
            <w:pPr>
              <w:pStyle w:val="12"/>
            </w:pPr>
            <w:r>
              <w:t>系统安装成本</w:t>
            </w:r>
          </w:p>
        </w:tc>
        <w:tc>
          <w:tcPr>
            <w:tcW w:w="5386" w:type="dxa"/>
            <w:vAlign w:val="center"/>
          </w:tcPr>
          <w:p w14:paraId="71998914">
            <w:pPr>
              <w:pStyle w:val="12"/>
            </w:pPr>
            <w:r>
              <w:t>专用设备购置安装成本</w:t>
            </w:r>
          </w:p>
        </w:tc>
        <w:tc>
          <w:tcPr>
            <w:tcW w:w="2268" w:type="dxa"/>
            <w:vAlign w:val="center"/>
          </w:tcPr>
          <w:p w14:paraId="367521B6">
            <w:pPr>
              <w:pStyle w:val="12"/>
            </w:pPr>
            <w:r>
              <w:t>229400元</w:t>
            </w:r>
          </w:p>
        </w:tc>
        <w:tc>
          <w:tcPr>
            <w:tcW w:w="1276" w:type="dxa"/>
            <w:vAlign w:val="center"/>
          </w:tcPr>
          <w:p w14:paraId="343C4F59">
            <w:pPr>
              <w:pStyle w:val="12"/>
            </w:pPr>
            <w:r>
              <w:t>项目规划</w:t>
            </w:r>
          </w:p>
        </w:tc>
      </w:tr>
      <w:tr w14:paraId="4BAF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1FC2E">
            <w:pPr>
              <w:pStyle w:val="13"/>
            </w:pPr>
            <w:r>
              <w:t>效益指标</w:t>
            </w:r>
          </w:p>
        </w:tc>
        <w:tc>
          <w:tcPr>
            <w:tcW w:w="2268" w:type="dxa"/>
            <w:vAlign w:val="center"/>
          </w:tcPr>
          <w:p w14:paraId="1A755413">
            <w:pPr>
              <w:pStyle w:val="12"/>
            </w:pPr>
            <w:r>
              <w:t>可持续影响指标</w:t>
            </w:r>
          </w:p>
        </w:tc>
        <w:tc>
          <w:tcPr>
            <w:tcW w:w="2835" w:type="dxa"/>
            <w:vAlign w:val="center"/>
          </w:tcPr>
          <w:p w14:paraId="30B6A65E">
            <w:pPr>
              <w:pStyle w:val="12"/>
            </w:pPr>
            <w:r>
              <w:t>学校运转得到提高</w:t>
            </w:r>
          </w:p>
        </w:tc>
        <w:tc>
          <w:tcPr>
            <w:tcW w:w="5386" w:type="dxa"/>
            <w:vAlign w:val="center"/>
          </w:tcPr>
          <w:p w14:paraId="65621E88">
            <w:pPr>
              <w:pStyle w:val="12"/>
            </w:pPr>
            <w:r>
              <w:t>学生受教育年限</w:t>
            </w:r>
          </w:p>
        </w:tc>
        <w:tc>
          <w:tcPr>
            <w:tcW w:w="2268" w:type="dxa"/>
            <w:vAlign w:val="center"/>
          </w:tcPr>
          <w:p w14:paraId="25B329CC">
            <w:pPr>
              <w:pStyle w:val="12"/>
            </w:pPr>
            <w:r>
              <w:t>≥6年</w:t>
            </w:r>
          </w:p>
        </w:tc>
        <w:tc>
          <w:tcPr>
            <w:tcW w:w="1276" w:type="dxa"/>
            <w:vAlign w:val="center"/>
          </w:tcPr>
          <w:p w14:paraId="5E3BE620">
            <w:pPr>
              <w:pStyle w:val="12"/>
            </w:pPr>
            <w:r>
              <w:t>项目规划</w:t>
            </w:r>
          </w:p>
        </w:tc>
      </w:tr>
      <w:tr w14:paraId="0411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06D20">
            <w:pPr>
              <w:pStyle w:val="13"/>
            </w:pPr>
            <w:r>
              <w:t>满意度指标</w:t>
            </w:r>
          </w:p>
        </w:tc>
        <w:tc>
          <w:tcPr>
            <w:tcW w:w="2268" w:type="dxa"/>
            <w:vAlign w:val="center"/>
          </w:tcPr>
          <w:p w14:paraId="7D4E0179">
            <w:pPr>
              <w:pStyle w:val="12"/>
            </w:pPr>
            <w:r>
              <w:t>服务对象满意度指标</w:t>
            </w:r>
          </w:p>
        </w:tc>
        <w:tc>
          <w:tcPr>
            <w:tcW w:w="2835" w:type="dxa"/>
            <w:vAlign w:val="center"/>
          </w:tcPr>
          <w:p w14:paraId="6B0B1AD5">
            <w:pPr>
              <w:pStyle w:val="12"/>
            </w:pPr>
            <w:r>
              <w:t>学生和学生家长满意度</w:t>
            </w:r>
          </w:p>
        </w:tc>
        <w:tc>
          <w:tcPr>
            <w:tcW w:w="5386" w:type="dxa"/>
            <w:vAlign w:val="center"/>
          </w:tcPr>
          <w:p w14:paraId="60665920">
            <w:pPr>
              <w:pStyle w:val="12"/>
            </w:pPr>
            <w:r>
              <w:t>大幅提高学生和学生家长满意度</w:t>
            </w:r>
          </w:p>
        </w:tc>
        <w:tc>
          <w:tcPr>
            <w:tcW w:w="2268" w:type="dxa"/>
            <w:vAlign w:val="center"/>
          </w:tcPr>
          <w:p w14:paraId="0838C282">
            <w:pPr>
              <w:pStyle w:val="12"/>
            </w:pPr>
            <w:r>
              <w:t>≥98%</w:t>
            </w:r>
          </w:p>
        </w:tc>
        <w:tc>
          <w:tcPr>
            <w:tcW w:w="1276" w:type="dxa"/>
            <w:vAlign w:val="center"/>
          </w:tcPr>
          <w:p w14:paraId="6857E5A3">
            <w:pPr>
              <w:pStyle w:val="12"/>
            </w:pPr>
            <w:r>
              <w:t>调查问卷</w:t>
            </w:r>
          </w:p>
        </w:tc>
      </w:tr>
    </w:tbl>
    <w:p w14:paraId="5BE89954">
      <w:pPr>
        <w:sectPr>
          <w:pgSz w:w="16840" w:h="11900" w:orient="landscape"/>
          <w:pgMar w:top="1361" w:right="1020" w:bottom="1134" w:left="1020" w:header="720" w:footer="720" w:gutter="0"/>
          <w:cols w:space="720" w:num="1"/>
        </w:sectPr>
      </w:pPr>
    </w:p>
    <w:p w14:paraId="29BCF1D4">
      <w:pPr>
        <w:spacing w:before="0" w:after="0"/>
        <w:ind w:firstLine="560"/>
        <w:jc w:val="left"/>
        <w:outlineLvl w:val="9"/>
      </w:pPr>
      <w:r>
        <w:rPr>
          <w:rFonts w:ascii="方正仿宋_GBK" w:hAnsi="方正仿宋_GBK" w:eastAsia="方正仿宋_GBK" w:cs="方正仿宋_GBK"/>
          <w:b/>
          <w:color w:val="000000"/>
          <w:sz w:val="28"/>
        </w:rPr>
        <w:t>11、冀财教[2025]122号/中央/支持学前教育发展/小孟幼儿园悬浮地板等维修改造绩效目标表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94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CB71D">
            <w:pPr>
              <w:pStyle w:val="11"/>
            </w:pPr>
            <w:r>
              <w:t>单位：万元</w:t>
            </w:r>
          </w:p>
        </w:tc>
      </w:tr>
      <w:tr w14:paraId="0434B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CBD82">
            <w:pPr>
              <w:pStyle w:val="10"/>
            </w:pPr>
            <w:r>
              <w:t>项目编码</w:t>
            </w:r>
          </w:p>
        </w:tc>
        <w:tc>
          <w:tcPr>
            <w:tcW w:w="5103" w:type="dxa"/>
            <w:gridSpan w:val="2"/>
            <w:vAlign w:val="center"/>
          </w:tcPr>
          <w:p w14:paraId="7B89C484">
            <w:pPr>
              <w:pStyle w:val="12"/>
            </w:pPr>
            <w:r>
              <w:t>13052526P00876910199M</w:t>
            </w:r>
          </w:p>
        </w:tc>
        <w:tc>
          <w:tcPr>
            <w:tcW w:w="2835" w:type="dxa"/>
            <w:vAlign w:val="center"/>
          </w:tcPr>
          <w:p w14:paraId="7B176BD8">
            <w:pPr>
              <w:pStyle w:val="10"/>
            </w:pPr>
            <w:r>
              <w:t>项目名称</w:t>
            </w:r>
          </w:p>
        </w:tc>
        <w:tc>
          <w:tcPr>
            <w:tcW w:w="6095" w:type="dxa"/>
            <w:gridSpan w:val="3"/>
            <w:vAlign w:val="center"/>
          </w:tcPr>
          <w:p w14:paraId="5B29E4EE">
            <w:pPr>
              <w:pStyle w:val="12"/>
            </w:pPr>
            <w:r>
              <w:t>冀财教[2025]122号/中央/支持学前教育发展/小孟幼儿园悬浮地板等维修改造</w:t>
            </w:r>
          </w:p>
        </w:tc>
      </w:tr>
      <w:tr w14:paraId="6491F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BE630">
            <w:pPr>
              <w:pStyle w:val="10"/>
            </w:pPr>
            <w:r>
              <w:t>预算规模及资金用途</w:t>
            </w:r>
          </w:p>
        </w:tc>
        <w:tc>
          <w:tcPr>
            <w:tcW w:w="2268" w:type="dxa"/>
            <w:vAlign w:val="center"/>
          </w:tcPr>
          <w:p w14:paraId="3A604D49">
            <w:pPr>
              <w:pStyle w:val="10"/>
            </w:pPr>
            <w:r>
              <w:t>预算数</w:t>
            </w:r>
          </w:p>
        </w:tc>
        <w:tc>
          <w:tcPr>
            <w:tcW w:w="2835" w:type="dxa"/>
            <w:vAlign w:val="center"/>
          </w:tcPr>
          <w:p w14:paraId="2ED37372">
            <w:pPr>
              <w:pStyle w:val="12"/>
            </w:pPr>
            <w:r>
              <w:t>19.00</w:t>
            </w:r>
          </w:p>
        </w:tc>
        <w:tc>
          <w:tcPr>
            <w:tcW w:w="2835" w:type="dxa"/>
            <w:vAlign w:val="center"/>
          </w:tcPr>
          <w:p w14:paraId="7E7EE0BB">
            <w:pPr>
              <w:pStyle w:val="10"/>
            </w:pPr>
            <w:r>
              <w:t>其中：财政    资金</w:t>
            </w:r>
          </w:p>
        </w:tc>
        <w:tc>
          <w:tcPr>
            <w:tcW w:w="2551" w:type="dxa"/>
            <w:vAlign w:val="center"/>
          </w:tcPr>
          <w:p w14:paraId="3E27ADF8">
            <w:pPr>
              <w:pStyle w:val="12"/>
            </w:pPr>
            <w:r>
              <w:t>19.00</w:t>
            </w:r>
          </w:p>
        </w:tc>
        <w:tc>
          <w:tcPr>
            <w:tcW w:w="2268" w:type="dxa"/>
            <w:vAlign w:val="center"/>
          </w:tcPr>
          <w:p w14:paraId="22C1BA4C">
            <w:pPr>
              <w:pStyle w:val="10"/>
            </w:pPr>
            <w:r>
              <w:t>其他资金</w:t>
            </w:r>
          </w:p>
        </w:tc>
        <w:tc>
          <w:tcPr>
            <w:tcW w:w="1276" w:type="dxa"/>
            <w:vAlign w:val="center"/>
          </w:tcPr>
          <w:p w14:paraId="1F9B9339">
            <w:pPr>
              <w:pStyle w:val="12"/>
            </w:pPr>
            <w:r>
              <w:t xml:space="preserve"> </w:t>
            </w:r>
          </w:p>
        </w:tc>
      </w:tr>
      <w:tr w14:paraId="02023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4FED4"/>
        </w:tc>
        <w:tc>
          <w:tcPr>
            <w:tcW w:w="14033" w:type="dxa"/>
            <w:gridSpan w:val="6"/>
            <w:vAlign w:val="center"/>
          </w:tcPr>
          <w:p w14:paraId="738C1828">
            <w:pPr>
              <w:pStyle w:val="12"/>
            </w:pPr>
            <w:r>
              <w:t>改善就学条件，提升学校形象，创造良好的教学环境。</w:t>
            </w:r>
          </w:p>
        </w:tc>
      </w:tr>
      <w:tr w14:paraId="2F3D9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903C2">
            <w:pPr>
              <w:pStyle w:val="10"/>
            </w:pPr>
            <w:r>
              <w:t>资金支出计划（%）</w:t>
            </w:r>
          </w:p>
        </w:tc>
        <w:tc>
          <w:tcPr>
            <w:tcW w:w="5103" w:type="dxa"/>
            <w:gridSpan w:val="2"/>
            <w:vAlign w:val="center"/>
          </w:tcPr>
          <w:p w14:paraId="42C3E56D">
            <w:pPr>
              <w:pStyle w:val="10"/>
            </w:pPr>
            <w:r>
              <w:t>3月底</w:t>
            </w:r>
          </w:p>
        </w:tc>
        <w:tc>
          <w:tcPr>
            <w:tcW w:w="2835" w:type="dxa"/>
            <w:vAlign w:val="center"/>
          </w:tcPr>
          <w:p w14:paraId="30F5C232">
            <w:pPr>
              <w:pStyle w:val="10"/>
            </w:pPr>
            <w:r>
              <w:t>6月底</w:t>
            </w:r>
          </w:p>
        </w:tc>
        <w:tc>
          <w:tcPr>
            <w:tcW w:w="2551" w:type="dxa"/>
            <w:vAlign w:val="center"/>
          </w:tcPr>
          <w:p w14:paraId="57DAA0A9">
            <w:pPr>
              <w:pStyle w:val="10"/>
            </w:pPr>
            <w:r>
              <w:t>10月底</w:t>
            </w:r>
          </w:p>
        </w:tc>
        <w:tc>
          <w:tcPr>
            <w:tcW w:w="3544" w:type="dxa"/>
            <w:gridSpan w:val="2"/>
            <w:vAlign w:val="center"/>
          </w:tcPr>
          <w:p w14:paraId="0C37C7F0">
            <w:pPr>
              <w:pStyle w:val="10"/>
            </w:pPr>
            <w:r>
              <w:t>12月底</w:t>
            </w:r>
          </w:p>
        </w:tc>
      </w:tr>
      <w:tr w14:paraId="6DA80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E81E1"/>
        </w:tc>
        <w:tc>
          <w:tcPr>
            <w:tcW w:w="5103" w:type="dxa"/>
            <w:gridSpan w:val="2"/>
            <w:vAlign w:val="center"/>
          </w:tcPr>
          <w:p w14:paraId="6EFF5C90">
            <w:pPr>
              <w:pStyle w:val="13"/>
            </w:pPr>
            <w:r>
              <w:t xml:space="preserve"> </w:t>
            </w:r>
          </w:p>
        </w:tc>
        <w:tc>
          <w:tcPr>
            <w:tcW w:w="2835" w:type="dxa"/>
            <w:vAlign w:val="center"/>
          </w:tcPr>
          <w:p w14:paraId="387A376D">
            <w:pPr>
              <w:pStyle w:val="13"/>
            </w:pPr>
            <w:r>
              <w:t>100%</w:t>
            </w:r>
          </w:p>
        </w:tc>
        <w:tc>
          <w:tcPr>
            <w:tcW w:w="2551" w:type="dxa"/>
            <w:vAlign w:val="center"/>
          </w:tcPr>
          <w:p w14:paraId="32333EC2">
            <w:pPr>
              <w:pStyle w:val="13"/>
            </w:pPr>
            <w:r>
              <w:t>100%</w:t>
            </w:r>
          </w:p>
        </w:tc>
        <w:tc>
          <w:tcPr>
            <w:tcW w:w="3544" w:type="dxa"/>
            <w:gridSpan w:val="2"/>
            <w:vAlign w:val="center"/>
          </w:tcPr>
          <w:p w14:paraId="485DD553">
            <w:pPr>
              <w:pStyle w:val="13"/>
            </w:pPr>
            <w:r>
              <w:t>100%</w:t>
            </w:r>
          </w:p>
        </w:tc>
      </w:tr>
      <w:tr w14:paraId="127125BD">
        <w:tblPrEx>
          <w:tblCellMar>
            <w:top w:w="0" w:type="dxa"/>
            <w:left w:w="108" w:type="dxa"/>
            <w:bottom w:w="0" w:type="dxa"/>
            <w:right w:w="108" w:type="dxa"/>
          </w:tblCellMar>
        </w:tblPrEx>
        <w:trPr>
          <w:trHeight w:val="369" w:hRule="atLeast"/>
          <w:jc w:val="center"/>
        </w:trPr>
        <w:tc>
          <w:tcPr>
            <w:tcW w:w="1276" w:type="dxa"/>
            <w:vAlign w:val="center"/>
          </w:tcPr>
          <w:p w14:paraId="6FFD5E80">
            <w:pPr>
              <w:pStyle w:val="10"/>
            </w:pPr>
            <w:r>
              <w:t>绩效目标</w:t>
            </w:r>
          </w:p>
        </w:tc>
        <w:tc>
          <w:tcPr>
            <w:tcW w:w="14033" w:type="dxa"/>
            <w:gridSpan w:val="6"/>
            <w:vAlign w:val="center"/>
          </w:tcPr>
          <w:p w14:paraId="4E55983A">
            <w:pPr>
              <w:pStyle w:val="12"/>
            </w:pPr>
            <w:r>
              <w:t>1.项目需资金19万元，资金拨付率达到100%。</w:t>
            </w:r>
          </w:p>
          <w:p w14:paraId="2FD4E35A">
            <w:pPr>
              <w:pStyle w:val="12"/>
            </w:pPr>
            <w:r>
              <w:t>2.改善就学条件，提升学校形象，创造良好的教学环境。</w:t>
            </w:r>
          </w:p>
        </w:tc>
      </w:tr>
    </w:tbl>
    <w:p w14:paraId="107989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A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48C3A">
            <w:pPr>
              <w:pStyle w:val="10"/>
            </w:pPr>
            <w:r>
              <w:t>一级指标</w:t>
            </w:r>
          </w:p>
        </w:tc>
        <w:tc>
          <w:tcPr>
            <w:tcW w:w="2268" w:type="dxa"/>
            <w:vAlign w:val="center"/>
          </w:tcPr>
          <w:p w14:paraId="53890080">
            <w:pPr>
              <w:pStyle w:val="10"/>
            </w:pPr>
            <w:r>
              <w:t>二级指标</w:t>
            </w:r>
          </w:p>
        </w:tc>
        <w:tc>
          <w:tcPr>
            <w:tcW w:w="2835" w:type="dxa"/>
            <w:vAlign w:val="center"/>
          </w:tcPr>
          <w:p w14:paraId="52586024">
            <w:pPr>
              <w:pStyle w:val="10"/>
            </w:pPr>
            <w:r>
              <w:t>三级指标</w:t>
            </w:r>
          </w:p>
        </w:tc>
        <w:tc>
          <w:tcPr>
            <w:tcW w:w="5386" w:type="dxa"/>
            <w:vAlign w:val="center"/>
          </w:tcPr>
          <w:p w14:paraId="700723A6">
            <w:pPr>
              <w:pStyle w:val="10"/>
            </w:pPr>
            <w:r>
              <w:t>绩效指标描述</w:t>
            </w:r>
          </w:p>
        </w:tc>
        <w:tc>
          <w:tcPr>
            <w:tcW w:w="2268" w:type="dxa"/>
            <w:vAlign w:val="center"/>
          </w:tcPr>
          <w:p w14:paraId="5E030F3B">
            <w:pPr>
              <w:pStyle w:val="10"/>
            </w:pPr>
            <w:r>
              <w:t>指标值</w:t>
            </w:r>
          </w:p>
        </w:tc>
        <w:tc>
          <w:tcPr>
            <w:tcW w:w="1276" w:type="dxa"/>
            <w:vAlign w:val="center"/>
          </w:tcPr>
          <w:p w14:paraId="75D48793">
            <w:pPr>
              <w:pStyle w:val="10"/>
            </w:pPr>
            <w:r>
              <w:t>指标值确定依据</w:t>
            </w:r>
          </w:p>
        </w:tc>
      </w:tr>
      <w:tr w14:paraId="4133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91EBC">
            <w:pPr>
              <w:pStyle w:val="13"/>
            </w:pPr>
            <w:r>
              <w:t>产出指标</w:t>
            </w:r>
          </w:p>
        </w:tc>
        <w:tc>
          <w:tcPr>
            <w:tcW w:w="2268" w:type="dxa"/>
            <w:vAlign w:val="center"/>
          </w:tcPr>
          <w:p w14:paraId="6DFF663D">
            <w:pPr>
              <w:pStyle w:val="12"/>
            </w:pPr>
            <w:r>
              <w:t>数量指标</w:t>
            </w:r>
          </w:p>
        </w:tc>
        <w:tc>
          <w:tcPr>
            <w:tcW w:w="2835" w:type="dxa"/>
            <w:vAlign w:val="center"/>
          </w:tcPr>
          <w:p w14:paraId="244FB7B6">
            <w:pPr>
              <w:pStyle w:val="12"/>
            </w:pPr>
            <w:r>
              <w:t>小孟幼儿园悬浮地板等维修改造</w:t>
            </w:r>
          </w:p>
        </w:tc>
        <w:tc>
          <w:tcPr>
            <w:tcW w:w="5386" w:type="dxa"/>
            <w:vAlign w:val="center"/>
          </w:tcPr>
          <w:p w14:paraId="06C5C66A">
            <w:pPr>
              <w:pStyle w:val="12"/>
            </w:pPr>
            <w:r>
              <w:t>悬浮地板等维修改造</w:t>
            </w:r>
          </w:p>
        </w:tc>
        <w:tc>
          <w:tcPr>
            <w:tcW w:w="2268" w:type="dxa"/>
            <w:vAlign w:val="center"/>
          </w:tcPr>
          <w:p w14:paraId="4FF0FD6D">
            <w:pPr>
              <w:pStyle w:val="12"/>
            </w:pPr>
            <w:r>
              <w:t>1项</w:t>
            </w:r>
          </w:p>
        </w:tc>
        <w:tc>
          <w:tcPr>
            <w:tcW w:w="1276" w:type="dxa"/>
            <w:vAlign w:val="center"/>
          </w:tcPr>
          <w:p w14:paraId="69619F37">
            <w:pPr>
              <w:pStyle w:val="12"/>
            </w:pPr>
            <w:r>
              <w:t>项目规划</w:t>
            </w:r>
          </w:p>
        </w:tc>
      </w:tr>
      <w:tr w14:paraId="19C9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AC94C"/>
        </w:tc>
        <w:tc>
          <w:tcPr>
            <w:tcW w:w="2268" w:type="dxa"/>
            <w:vAlign w:val="center"/>
          </w:tcPr>
          <w:p w14:paraId="191622BD">
            <w:pPr>
              <w:pStyle w:val="12"/>
            </w:pPr>
            <w:r>
              <w:t>质量指标</w:t>
            </w:r>
          </w:p>
        </w:tc>
        <w:tc>
          <w:tcPr>
            <w:tcW w:w="2835" w:type="dxa"/>
            <w:vAlign w:val="center"/>
          </w:tcPr>
          <w:p w14:paraId="0E00D41B">
            <w:pPr>
              <w:pStyle w:val="12"/>
            </w:pPr>
            <w:r>
              <w:t>工程实施验收合格率</w:t>
            </w:r>
          </w:p>
        </w:tc>
        <w:tc>
          <w:tcPr>
            <w:tcW w:w="5386" w:type="dxa"/>
            <w:vAlign w:val="center"/>
          </w:tcPr>
          <w:p w14:paraId="589C2220">
            <w:pPr>
              <w:pStyle w:val="12"/>
            </w:pPr>
            <w:r>
              <w:t>申报程序的合规，项目实施及资金使用符合项目规划</w:t>
            </w:r>
          </w:p>
        </w:tc>
        <w:tc>
          <w:tcPr>
            <w:tcW w:w="2268" w:type="dxa"/>
            <w:vAlign w:val="center"/>
          </w:tcPr>
          <w:p w14:paraId="653F6E49">
            <w:pPr>
              <w:pStyle w:val="12"/>
            </w:pPr>
            <w:r>
              <w:t>100%</w:t>
            </w:r>
          </w:p>
        </w:tc>
        <w:tc>
          <w:tcPr>
            <w:tcW w:w="1276" w:type="dxa"/>
            <w:vAlign w:val="center"/>
          </w:tcPr>
          <w:p w14:paraId="67D3E962">
            <w:pPr>
              <w:pStyle w:val="12"/>
            </w:pPr>
            <w:r>
              <w:t>项目规划</w:t>
            </w:r>
          </w:p>
        </w:tc>
      </w:tr>
      <w:tr w14:paraId="292F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E3C59"/>
        </w:tc>
        <w:tc>
          <w:tcPr>
            <w:tcW w:w="2268" w:type="dxa"/>
            <w:vAlign w:val="center"/>
          </w:tcPr>
          <w:p w14:paraId="7B9F76DD">
            <w:pPr>
              <w:pStyle w:val="12"/>
            </w:pPr>
            <w:r>
              <w:t>时效指标</w:t>
            </w:r>
          </w:p>
        </w:tc>
        <w:tc>
          <w:tcPr>
            <w:tcW w:w="2835" w:type="dxa"/>
            <w:vAlign w:val="center"/>
          </w:tcPr>
          <w:p w14:paraId="6EB58F1D">
            <w:pPr>
              <w:pStyle w:val="12"/>
            </w:pPr>
            <w:r>
              <w:t>资金支付率</w:t>
            </w:r>
          </w:p>
        </w:tc>
        <w:tc>
          <w:tcPr>
            <w:tcW w:w="5386" w:type="dxa"/>
            <w:vAlign w:val="center"/>
          </w:tcPr>
          <w:p w14:paraId="373C3630">
            <w:pPr>
              <w:pStyle w:val="12"/>
            </w:pPr>
            <w:r>
              <w:t>按照序时进度完成资金支付</w:t>
            </w:r>
          </w:p>
        </w:tc>
        <w:tc>
          <w:tcPr>
            <w:tcW w:w="2268" w:type="dxa"/>
            <w:vAlign w:val="center"/>
          </w:tcPr>
          <w:p w14:paraId="4944C3B7">
            <w:pPr>
              <w:pStyle w:val="12"/>
            </w:pPr>
            <w:r>
              <w:t>100%</w:t>
            </w:r>
          </w:p>
        </w:tc>
        <w:tc>
          <w:tcPr>
            <w:tcW w:w="1276" w:type="dxa"/>
            <w:vAlign w:val="center"/>
          </w:tcPr>
          <w:p w14:paraId="715AFBF3">
            <w:pPr>
              <w:pStyle w:val="12"/>
            </w:pPr>
            <w:r>
              <w:t>项目规划</w:t>
            </w:r>
          </w:p>
        </w:tc>
      </w:tr>
      <w:tr w14:paraId="3F58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5AAA"/>
        </w:tc>
        <w:tc>
          <w:tcPr>
            <w:tcW w:w="2268" w:type="dxa"/>
            <w:vAlign w:val="center"/>
          </w:tcPr>
          <w:p w14:paraId="2B9E828D">
            <w:pPr>
              <w:pStyle w:val="12"/>
            </w:pPr>
            <w:r>
              <w:t>成本指标</w:t>
            </w:r>
          </w:p>
        </w:tc>
        <w:tc>
          <w:tcPr>
            <w:tcW w:w="2835" w:type="dxa"/>
            <w:vAlign w:val="center"/>
          </w:tcPr>
          <w:p w14:paraId="705A3C2E">
            <w:pPr>
              <w:pStyle w:val="12"/>
            </w:pPr>
            <w:r>
              <w:t>项目成本控制情况</w:t>
            </w:r>
          </w:p>
        </w:tc>
        <w:tc>
          <w:tcPr>
            <w:tcW w:w="5386" w:type="dxa"/>
            <w:vAlign w:val="center"/>
          </w:tcPr>
          <w:p w14:paraId="555B2D72">
            <w:pPr>
              <w:pStyle w:val="12"/>
            </w:pPr>
            <w:r>
              <w:t>严格按照招标价格及审计额进行</w:t>
            </w:r>
          </w:p>
        </w:tc>
        <w:tc>
          <w:tcPr>
            <w:tcW w:w="2268" w:type="dxa"/>
            <w:vAlign w:val="center"/>
          </w:tcPr>
          <w:p w14:paraId="64BB8257">
            <w:pPr>
              <w:pStyle w:val="12"/>
            </w:pPr>
            <w:r>
              <w:t>190000元</w:t>
            </w:r>
          </w:p>
        </w:tc>
        <w:tc>
          <w:tcPr>
            <w:tcW w:w="1276" w:type="dxa"/>
            <w:vAlign w:val="center"/>
          </w:tcPr>
          <w:p w14:paraId="697807FA">
            <w:pPr>
              <w:pStyle w:val="12"/>
            </w:pPr>
            <w:r>
              <w:t>项目规划</w:t>
            </w:r>
          </w:p>
        </w:tc>
      </w:tr>
      <w:tr w14:paraId="7E0FB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BA05F">
            <w:pPr>
              <w:pStyle w:val="13"/>
            </w:pPr>
            <w:r>
              <w:t>效益指标</w:t>
            </w:r>
          </w:p>
        </w:tc>
        <w:tc>
          <w:tcPr>
            <w:tcW w:w="2268" w:type="dxa"/>
            <w:vAlign w:val="center"/>
          </w:tcPr>
          <w:p w14:paraId="536CE051">
            <w:pPr>
              <w:pStyle w:val="12"/>
            </w:pPr>
            <w:r>
              <w:t>社会效益指标</w:t>
            </w:r>
          </w:p>
        </w:tc>
        <w:tc>
          <w:tcPr>
            <w:tcW w:w="2835" w:type="dxa"/>
            <w:vAlign w:val="center"/>
          </w:tcPr>
          <w:p w14:paraId="4CD74E10">
            <w:pPr>
              <w:pStyle w:val="12"/>
            </w:pPr>
            <w:r>
              <w:t>学校办学环境提升</w:t>
            </w:r>
          </w:p>
        </w:tc>
        <w:tc>
          <w:tcPr>
            <w:tcW w:w="5386" w:type="dxa"/>
            <w:vAlign w:val="center"/>
          </w:tcPr>
          <w:p w14:paraId="2E297AAE">
            <w:pPr>
              <w:pStyle w:val="12"/>
            </w:pPr>
            <w:r>
              <w:t>学校教学环境提升优化率</w:t>
            </w:r>
          </w:p>
        </w:tc>
        <w:tc>
          <w:tcPr>
            <w:tcW w:w="2268" w:type="dxa"/>
            <w:vAlign w:val="center"/>
          </w:tcPr>
          <w:p w14:paraId="2839D9AF">
            <w:pPr>
              <w:pStyle w:val="12"/>
            </w:pPr>
            <w:r>
              <w:t>≥98%</w:t>
            </w:r>
          </w:p>
        </w:tc>
        <w:tc>
          <w:tcPr>
            <w:tcW w:w="1276" w:type="dxa"/>
            <w:vAlign w:val="center"/>
          </w:tcPr>
          <w:p w14:paraId="28F79DC8">
            <w:pPr>
              <w:pStyle w:val="12"/>
            </w:pPr>
            <w:r>
              <w:t>项目规划</w:t>
            </w:r>
          </w:p>
        </w:tc>
      </w:tr>
      <w:tr w14:paraId="0D96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B6A37">
            <w:pPr>
              <w:pStyle w:val="13"/>
            </w:pPr>
            <w:r>
              <w:t>满意度指标</w:t>
            </w:r>
          </w:p>
        </w:tc>
        <w:tc>
          <w:tcPr>
            <w:tcW w:w="2268" w:type="dxa"/>
            <w:vAlign w:val="center"/>
          </w:tcPr>
          <w:p w14:paraId="1FCE72BB">
            <w:pPr>
              <w:pStyle w:val="12"/>
            </w:pPr>
            <w:r>
              <w:t>服务对象满意度指标</w:t>
            </w:r>
          </w:p>
        </w:tc>
        <w:tc>
          <w:tcPr>
            <w:tcW w:w="2835" w:type="dxa"/>
            <w:vAlign w:val="center"/>
          </w:tcPr>
          <w:p w14:paraId="04FB5BBD">
            <w:pPr>
              <w:pStyle w:val="12"/>
            </w:pPr>
            <w:r>
              <w:t>受益学生家长及调查满意度</w:t>
            </w:r>
          </w:p>
        </w:tc>
        <w:tc>
          <w:tcPr>
            <w:tcW w:w="5386" w:type="dxa"/>
            <w:vAlign w:val="center"/>
          </w:tcPr>
          <w:p w14:paraId="5563F278">
            <w:pPr>
              <w:pStyle w:val="12"/>
            </w:pPr>
            <w:r>
              <w:t>学生、教师及家长对学校教学环境满意度情况</w:t>
            </w:r>
          </w:p>
        </w:tc>
        <w:tc>
          <w:tcPr>
            <w:tcW w:w="2268" w:type="dxa"/>
            <w:vAlign w:val="center"/>
          </w:tcPr>
          <w:p w14:paraId="31859873">
            <w:pPr>
              <w:pStyle w:val="12"/>
            </w:pPr>
            <w:r>
              <w:t>≥95%</w:t>
            </w:r>
          </w:p>
        </w:tc>
        <w:tc>
          <w:tcPr>
            <w:tcW w:w="1276" w:type="dxa"/>
            <w:vAlign w:val="center"/>
          </w:tcPr>
          <w:p w14:paraId="7EEB0505">
            <w:pPr>
              <w:pStyle w:val="12"/>
            </w:pPr>
            <w:r>
              <w:t>调查问卷</w:t>
            </w:r>
          </w:p>
        </w:tc>
      </w:tr>
    </w:tbl>
    <w:p w14:paraId="795BCEE4">
      <w:pPr>
        <w:sectPr>
          <w:pgSz w:w="16840" w:h="11900" w:orient="landscape"/>
          <w:pgMar w:top="1361" w:right="1020" w:bottom="1134" w:left="1020" w:header="720" w:footer="720" w:gutter="0"/>
          <w:cols w:space="720" w:num="1"/>
        </w:sectPr>
      </w:pPr>
    </w:p>
    <w:p w14:paraId="4C828BAE">
      <w:pPr>
        <w:spacing w:before="0" w:after="0"/>
        <w:ind w:firstLine="560"/>
        <w:jc w:val="left"/>
        <w:outlineLvl w:val="9"/>
      </w:pPr>
      <w:r>
        <w:rPr>
          <w:rFonts w:ascii="方正仿宋_GBK" w:hAnsi="方正仿宋_GBK" w:eastAsia="方正仿宋_GBK" w:cs="方正仿宋_GBK"/>
          <w:b/>
          <w:color w:val="000000"/>
          <w:sz w:val="28"/>
        </w:rPr>
        <w:t>12、冀财教[2025]145号/省级/2026年薄弱学校改造/火连庄小学体育场地改建绩效目标表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A5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C3BA2">
            <w:pPr>
              <w:pStyle w:val="11"/>
            </w:pPr>
            <w:r>
              <w:t>单位：万元</w:t>
            </w:r>
          </w:p>
        </w:tc>
      </w:tr>
      <w:tr w14:paraId="1DE0E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4C052">
            <w:pPr>
              <w:pStyle w:val="10"/>
            </w:pPr>
            <w:r>
              <w:t>项目编码</w:t>
            </w:r>
          </w:p>
        </w:tc>
        <w:tc>
          <w:tcPr>
            <w:tcW w:w="5103" w:type="dxa"/>
            <w:gridSpan w:val="2"/>
            <w:vAlign w:val="center"/>
          </w:tcPr>
          <w:p w14:paraId="1EB89CB1">
            <w:pPr>
              <w:pStyle w:val="12"/>
            </w:pPr>
            <w:r>
              <w:t>13052526P008770100276</w:t>
            </w:r>
          </w:p>
        </w:tc>
        <w:tc>
          <w:tcPr>
            <w:tcW w:w="2835" w:type="dxa"/>
            <w:vAlign w:val="center"/>
          </w:tcPr>
          <w:p w14:paraId="2EFDA7AB">
            <w:pPr>
              <w:pStyle w:val="10"/>
            </w:pPr>
            <w:r>
              <w:t>项目名称</w:t>
            </w:r>
          </w:p>
        </w:tc>
        <w:tc>
          <w:tcPr>
            <w:tcW w:w="6095" w:type="dxa"/>
            <w:gridSpan w:val="3"/>
            <w:vAlign w:val="center"/>
          </w:tcPr>
          <w:p w14:paraId="18EC2E96">
            <w:pPr>
              <w:pStyle w:val="12"/>
            </w:pPr>
            <w:r>
              <w:t>冀财教[2025]145号/省级/2026年薄弱学校改造/火连庄小学体育场地改建</w:t>
            </w:r>
          </w:p>
        </w:tc>
      </w:tr>
      <w:tr w14:paraId="04C1C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3268E">
            <w:pPr>
              <w:pStyle w:val="10"/>
            </w:pPr>
            <w:r>
              <w:t>预算规模及资金用途</w:t>
            </w:r>
          </w:p>
        </w:tc>
        <w:tc>
          <w:tcPr>
            <w:tcW w:w="2268" w:type="dxa"/>
            <w:vAlign w:val="center"/>
          </w:tcPr>
          <w:p w14:paraId="0AF30A97">
            <w:pPr>
              <w:pStyle w:val="10"/>
            </w:pPr>
            <w:r>
              <w:t>预算数</w:t>
            </w:r>
          </w:p>
        </w:tc>
        <w:tc>
          <w:tcPr>
            <w:tcW w:w="2835" w:type="dxa"/>
            <w:vAlign w:val="center"/>
          </w:tcPr>
          <w:p w14:paraId="17418F68">
            <w:pPr>
              <w:pStyle w:val="12"/>
            </w:pPr>
            <w:r>
              <w:t>112.00</w:t>
            </w:r>
          </w:p>
        </w:tc>
        <w:tc>
          <w:tcPr>
            <w:tcW w:w="2835" w:type="dxa"/>
            <w:vAlign w:val="center"/>
          </w:tcPr>
          <w:p w14:paraId="4F7E55E7">
            <w:pPr>
              <w:pStyle w:val="10"/>
            </w:pPr>
            <w:r>
              <w:t>其中：财政    资金</w:t>
            </w:r>
          </w:p>
        </w:tc>
        <w:tc>
          <w:tcPr>
            <w:tcW w:w="2551" w:type="dxa"/>
            <w:vAlign w:val="center"/>
          </w:tcPr>
          <w:p w14:paraId="24F966C5">
            <w:pPr>
              <w:pStyle w:val="12"/>
            </w:pPr>
            <w:r>
              <w:t>112.00</w:t>
            </w:r>
          </w:p>
        </w:tc>
        <w:tc>
          <w:tcPr>
            <w:tcW w:w="2268" w:type="dxa"/>
            <w:vAlign w:val="center"/>
          </w:tcPr>
          <w:p w14:paraId="2DC65FF6">
            <w:pPr>
              <w:pStyle w:val="10"/>
            </w:pPr>
            <w:r>
              <w:t>其他资金</w:t>
            </w:r>
          </w:p>
        </w:tc>
        <w:tc>
          <w:tcPr>
            <w:tcW w:w="1276" w:type="dxa"/>
            <w:vAlign w:val="center"/>
          </w:tcPr>
          <w:p w14:paraId="65CA0F1E">
            <w:pPr>
              <w:pStyle w:val="12"/>
            </w:pPr>
            <w:r>
              <w:t xml:space="preserve"> </w:t>
            </w:r>
          </w:p>
        </w:tc>
      </w:tr>
      <w:tr w14:paraId="2C622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80202"/>
        </w:tc>
        <w:tc>
          <w:tcPr>
            <w:tcW w:w="14033" w:type="dxa"/>
            <w:gridSpan w:val="6"/>
            <w:vAlign w:val="center"/>
          </w:tcPr>
          <w:p w14:paraId="2DB57AD3">
            <w:pPr>
              <w:pStyle w:val="12"/>
            </w:pPr>
            <w:r>
              <w:t>改善义务教育办学条件，进一步提升教育教学办学质量</w:t>
            </w:r>
          </w:p>
        </w:tc>
      </w:tr>
      <w:tr w14:paraId="15D83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C2AD">
            <w:pPr>
              <w:pStyle w:val="10"/>
            </w:pPr>
            <w:r>
              <w:t>资金支出计划（%）</w:t>
            </w:r>
          </w:p>
        </w:tc>
        <w:tc>
          <w:tcPr>
            <w:tcW w:w="5103" w:type="dxa"/>
            <w:gridSpan w:val="2"/>
            <w:vAlign w:val="center"/>
          </w:tcPr>
          <w:p w14:paraId="268685CA">
            <w:pPr>
              <w:pStyle w:val="10"/>
            </w:pPr>
            <w:r>
              <w:t>3月底</w:t>
            </w:r>
          </w:p>
        </w:tc>
        <w:tc>
          <w:tcPr>
            <w:tcW w:w="2835" w:type="dxa"/>
            <w:vAlign w:val="center"/>
          </w:tcPr>
          <w:p w14:paraId="694EA551">
            <w:pPr>
              <w:pStyle w:val="10"/>
            </w:pPr>
            <w:r>
              <w:t>6月底</w:t>
            </w:r>
          </w:p>
        </w:tc>
        <w:tc>
          <w:tcPr>
            <w:tcW w:w="2551" w:type="dxa"/>
            <w:vAlign w:val="center"/>
          </w:tcPr>
          <w:p w14:paraId="13CB0A7C">
            <w:pPr>
              <w:pStyle w:val="10"/>
            </w:pPr>
            <w:r>
              <w:t>10月底</w:t>
            </w:r>
          </w:p>
        </w:tc>
        <w:tc>
          <w:tcPr>
            <w:tcW w:w="3544" w:type="dxa"/>
            <w:gridSpan w:val="2"/>
            <w:vAlign w:val="center"/>
          </w:tcPr>
          <w:p w14:paraId="3B875445">
            <w:pPr>
              <w:pStyle w:val="10"/>
            </w:pPr>
            <w:r>
              <w:t>12月底</w:t>
            </w:r>
          </w:p>
        </w:tc>
      </w:tr>
      <w:tr w14:paraId="0ADD2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13E73"/>
        </w:tc>
        <w:tc>
          <w:tcPr>
            <w:tcW w:w="5103" w:type="dxa"/>
            <w:gridSpan w:val="2"/>
            <w:vAlign w:val="center"/>
          </w:tcPr>
          <w:p w14:paraId="536911B9">
            <w:pPr>
              <w:pStyle w:val="13"/>
            </w:pPr>
            <w:r>
              <w:t xml:space="preserve"> </w:t>
            </w:r>
          </w:p>
        </w:tc>
        <w:tc>
          <w:tcPr>
            <w:tcW w:w="2835" w:type="dxa"/>
            <w:vAlign w:val="center"/>
          </w:tcPr>
          <w:p w14:paraId="7B81A549">
            <w:pPr>
              <w:pStyle w:val="13"/>
            </w:pPr>
            <w:r>
              <w:t xml:space="preserve"> </w:t>
            </w:r>
          </w:p>
        </w:tc>
        <w:tc>
          <w:tcPr>
            <w:tcW w:w="2551" w:type="dxa"/>
            <w:vAlign w:val="center"/>
          </w:tcPr>
          <w:p w14:paraId="00909157">
            <w:pPr>
              <w:pStyle w:val="13"/>
            </w:pPr>
            <w:r>
              <w:t>100%</w:t>
            </w:r>
          </w:p>
        </w:tc>
        <w:tc>
          <w:tcPr>
            <w:tcW w:w="3544" w:type="dxa"/>
            <w:gridSpan w:val="2"/>
            <w:vAlign w:val="center"/>
          </w:tcPr>
          <w:p w14:paraId="658B7562">
            <w:pPr>
              <w:pStyle w:val="13"/>
            </w:pPr>
            <w:r>
              <w:t>100%</w:t>
            </w:r>
          </w:p>
        </w:tc>
      </w:tr>
      <w:tr w14:paraId="5E746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B5CA1">
            <w:pPr>
              <w:pStyle w:val="10"/>
            </w:pPr>
            <w:r>
              <w:t>绩效目标</w:t>
            </w:r>
          </w:p>
        </w:tc>
        <w:tc>
          <w:tcPr>
            <w:tcW w:w="14033" w:type="dxa"/>
            <w:gridSpan w:val="6"/>
            <w:vAlign w:val="center"/>
          </w:tcPr>
          <w:p w14:paraId="72B260E6">
            <w:pPr>
              <w:pStyle w:val="12"/>
            </w:pPr>
            <w:r>
              <w:t>1.火连庄小学体育场地改建项目资金1120000元，资金拨付率达100%</w:t>
            </w:r>
          </w:p>
          <w:p w14:paraId="54FB9EB0">
            <w:pPr>
              <w:pStyle w:val="12"/>
            </w:pPr>
            <w:r>
              <w:t>2.改善义务教育办学条件，进一步提升教育教学办学质量</w:t>
            </w:r>
          </w:p>
        </w:tc>
      </w:tr>
    </w:tbl>
    <w:p w14:paraId="7245F3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4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75095">
            <w:pPr>
              <w:pStyle w:val="10"/>
            </w:pPr>
            <w:r>
              <w:t>一级指标</w:t>
            </w:r>
          </w:p>
        </w:tc>
        <w:tc>
          <w:tcPr>
            <w:tcW w:w="2268" w:type="dxa"/>
            <w:vAlign w:val="center"/>
          </w:tcPr>
          <w:p w14:paraId="1C380711">
            <w:pPr>
              <w:pStyle w:val="10"/>
            </w:pPr>
            <w:r>
              <w:t>二级指标</w:t>
            </w:r>
          </w:p>
        </w:tc>
        <w:tc>
          <w:tcPr>
            <w:tcW w:w="2835" w:type="dxa"/>
            <w:vAlign w:val="center"/>
          </w:tcPr>
          <w:p w14:paraId="36040F27">
            <w:pPr>
              <w:pStyle w:val="10"/>
            </w:pPr>
            <w:r>
              <w:t>三级指标</w:t>
            </w:r>
          </w:p>
        </w:tc>
        <w:tc>
          <w:tcPr>
            <w:tcW w:w="5386" w:type="dxa"/>
            <w:vAlign w:val="center"/>
          </w:tcPr>
          <w:p w14:paraId="64D784C3">
            <w:pPr>
              <w:pStyle w:val="10"/>
            </w:pPr>
            <w:r>
              <w:t>绩效指标描述</w:t>
            </w:r>
          </w:p>
        </w:tc>
        <w:tc>
          <w:tcPr>
            <w:tcW w:w="2268" w:type="dxa"/>
            <w:vAlign w:val="center"/>
          </w:tcPr>
          <w:p w14:paraId="25A039B0">
            <w:pPr>
              <w:pStyle w:val="10"/>
            </w:pPr>
            <w:r>
              <w:t>指标值</w:t>
            </w:r>
          </w:p>
        </w:tc>
        <w:tc>
          <w:tcPr>
            <w:tcW w:w="1276" w:type="dxa"/>
            <w:vAlign w:val="center"/>
          </w:tcPr>
          <w:p w14:paraId="5EE92C43">
            <w:pPr>
              <w:pStyle w:val="10"/>
            </w:pPr>
            <w:r>
              <w:t>指标值确定依据</w:t>
            </w:r>
          </w:p>
        </w:tc>
      </w:tr>
      <w:tr w14:paraId="164A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96D80">
            <w:pPr>
              <w:pStyle w:val="13"/>
            </w:pPr>
            <w:r>
              <w:t>产出指标</w:t>
            </w:r>
          </w:p>
        </w:tc>
        <w:tc>
          <w:tcPr>
            <w:tcW w:w="2268" w:type="dxa"/>
            <w:vAlign w:val="center"/>
          </w:tcPr>
          <w:p w14:paraId="7121CCBF">
            <w:pPr>
              <w:pStyle w:val="12"/>
            </w:pPr>
            <w:r>
              <w:t>数量指标</w:t>
            </w:r>
          </w:p>
        </w:tc>
        <w:tc>
          <w:tcPr>
            <w:tcW w:w="2835" w:type="dxa"/>
            <w:vAlign w:val="center"/>
          </w:tcPr>
          <w:p w14:paraId="0F1DA4BB">
            <w:pPr>
              <w:pStyle w:val="12"/>
            </w:pPr>
            <w:r>
              <w:t>体育场地改建</w:t>
            </w:r>
          </w:p>
        </w:tc>
        <w:tc>
          <w:tcPr>
            <w:tcW w:w="5386" w:type="dxa"/>
            <w:vAlign w:val="center"/>
          </w:tcPr>
          <w:p w14:paraId="2D72D20E">
            <w:pPr>
              <w:pStyle w:val="12"/>
            </w:pPr>
            <w:r>
              <w:t>对学校操场进行浇筑并铺设塑胶跑道面积</w:t>
            </w:r>
          </w:p>
        </w:tc>
        <w:tc>
          <w:tcPr>
            <w:tcW w:w="2268" w:type="dxa"/>
            <w:vAlign w:val="center"/>
          </w:tcPr>
          <w:p w14:paraId="7BD98E5F">
            <w:pPr>
              <w:pStyle w:val="12"/>
            </w:pPr>
            <w:r>
              <w:t>1项</w:t>
            </w:r>
          </w:p>
        </w:tc>
        <w:tc>
          <w:tcPr>
            <w:tcW w:w="1276" w:type="dxa"/>
            <w:vAlign w:val="center"/>
          </w:tcPr>
          <w:p w14:paraId="22C76DAA">
            <w:pPr>
              <w:pStyle w:val="12"/>
            </w:pPr>
            <w:r>
              <w:t>项目规划</w:t>
            </w:r>
          </w:p>
        </w:tc>
      </w:tr>
      <w:tr w14:paraId="3CBF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E9A16"/>
        </w:tc>
        <w:tc>
          <w:tcPr>
            <w:tcW w:w="2268" w:type="dxa"/>
            <w:vAlign w:val="center"/>
          </w:tcPr>
          <w:p w14:paraId="6A207B07">
            <w:pPr>
              <w:pStyle w:val="12"/>
            </w:pPr>
            <w:r>
              <w:t>质量指标</w:t>
            </w:r>
          </w:p>
        </w:tc>
        <w:tc>
          <w:tcPr>
            <w:tcW w:w="2835" w:type="dxa"/>
            <w:vAlign w:val="center"/>
          </w:tcPr>
          <w:p w14:paraId="660AB567">
            <w:pPr>
              <w:pStyle w:val="12"/>
            </w:pPr>
            <w:r>
              <w:t>工程实施验收合格率</w:t>
            </w:r>
          </w:p>
        </w:tc>
        <w:tc>
          <w:tcPr>
            <w:tcW w:w="5386" w:type="dxa"/>
            <w:vAlign w:val="center"/>
          </w:tcPr>
          <w:p w14:paraId="5AE0387B">
            <w:pPr>
              <w:pStyle w:val="12"/>
            </w:pPr>
            <w:r>
              <w:t>申报程序的合规，项目实施及资金使用符合项目规划</w:t>
            </w:r>
          </w:p>
        </w:tc>
        <w:tc>
          <w:tcPr>
            <w:tcW w:w="2268" w:type="dxa"/>
            <w:vAlign w:val="center"/>
          </w:tcPr>
          <w:p w14:paraId="7CD7137B">
            <w:pPr>
              <w:pStyle w:val="12"/>
            </w:pPr>
            <w:r>
              <w:t>100%</w:t>
            </w:r>
          </w:p>
        </w:tc>
        <w:tc>
          <w:tcPr>
            <w:tcW w:w="1276" w:type="dxa"/>
            <w:vAlign w:val="center"/>
          </w:tcPr>
          <w:p w14:paraId="1135C8BE">
            <w:pPr>
              <w:pStyle w:val="12"/>
            </w:pPr>
            <w:r>
              <w:t>项目规划</w:t>
            </w:r>
          </w:p>
        </w:tc>
      </w:tr>
      <w:tr w14:paraId="4269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3D20B"/>
        </w:tc>
        <w:tc>
          <w:tcPr>
            <w:tcW w:w="2268" w:type="dxa"/>
            <w:vAlign w:val="center"/>
          </w:tcPr>
          <w:p w14:paraId="2B2974F2">
            <w:pPr>
              <w:pStyle w:val="12"/>
            </w:pPr>
            <w:r>
              <w:t>时效指标</w:t>
            </w:r>
          </w:p>
        </w:tc>
        <w:tc>
          <w:tcPr>
            <w:tcW w:w="2835" w:type="dxa"/>
            <w:vAlign w:val="center"/>
          </w:tcPr>
          <w:p w14:paraId="34840892">
            <w:pPr>
              <w:pStyle w:val="12"/>
            </w:pPr>
            <w:r>
              <w:t>资金支付率</w:t>
            </w:r>
          </w:p>
        </w:tc>
        <w:tc>
          <w:tcPr>
            <w:tcW w:w="5386" w:type="dxa"/>
            <w:vAlign w:val="center"/>
          </w:tcPr>
          <w:p w14:paraId="0E80245D">
            <w:pPr>
              <w:pStyle w:val="12"/>
            </w:pPr>
            <w:r>
              <w:t>按照序时进度完成资金支付</w:t>
            </w:r>
          </w:p>
        </w:tc>
        <w:tc>
          <w:tcPr>
            <w:tcW w:w="2268" w:type="dxa"/>
            <w:vAlign w:val="center"/>
          </w:tcPr>
          <w:p w14:paraId="4E1683F4">
            <w:pPr>
              <w:pStyle w:val="12"/>
            </w:pPr>
            <w:r>
              <w:t>100%</w:t>
            </w:r>
          </w:p>
        </w:tc>
        <w:tc>
          <w:tcPr>
            <w:tcW w:w="1276" w:type="dxa"/>
            <w:vAlign w:val="center"/>
          </w:tcPr>
          <w:p w14:paraId="34E61BDF">
            <w:pPr>
              <w:pStyle w:val="12"/>
            </w:pPr>
            <w:r>
              <w:t>项目规划</w:t>
            </w:r>
          </w:p>
        </w:tc>
      </w:tr>
      <w:tr w14:paraId="08A8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87DB0"/>
        </w:tc>
        <w:tc>
          <w:tcPr>
            <w:tcW w:w="2268" w:type="dxa"/>
            <w:vAlign w:val="center"/>
          </w:tcPr>
          <w:p w14:paraId="5260A05A">
            <w:pPr>
              <w:pStyle w:val="12"/>
            </w:pPr>
            <w:r>
              <w:t>成本指标</w:t>
            </w:r>
          </w:p>
        </w:tc>
        <w:tc>
          <w:tcPr>
            <w:tcW w:w="2835" w:type="dxa"/>
            <w:vAlign w:val="center"/>
          </w:tcPr>
          <w:p w14:paraId="6CB40A7C">
            <w:pPr>
              <w:pStyle w:val="12"/>
            </w:pPr>
            <w:r>
              <w:t>项目成本控制情况</w:t>
            </w:r>
          </w:p>
        </w:tc>
        <w:tc>
          <w:tcPr>
            <w:tcW w:w="5386" w:type="dxa"/>
            <w:vAlign w:val="center"/>
          </w:tcPr>
          <w:p w14:paraId="23F158E9">
            <w:pPr>
              <w:pStyle w:val="12"/>
            </w:pPr>
            <w:r>
              <w:t>严格按照招标价格及审计额进行</w:t>
            </w:r>
          </w:p>
        </w:tc>
        <w:tc>
          <w:tcPr>
            <w:tcW w:w="2268" w:type="dxa"/>
            <w:vAlign w:val="center"/>
          </w:tcPr>
          <w:p w14:paraId="678E2FD4">
            <w:pPr>
              <w:pStyle w:val="12"/>
            </w:pPr>
            <w:r>
              <w:t>≤112万元</w:t>
            </w:r>
          </w:p>
        </w:tc>
        <w:tc>
          <w:tcPr>
            <w:tcW w:w="1276" w:type="dxa"/>
            <w:vAlign w:val="center"/>
          </w:tcPr>
          <w:p w14:paraId="21504CE2">
            <w:pPr>
              <w:pStyle w:val="12"/>
            </w:pPr>
            <w:r>
              <w:t>项目规划</w:t>
            </w:r>
          </w:p>
        </w:tc>
      </w:tr>
      <w:tr w14:paraId="05E3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F3C72">
            <w:pPr>
              <w:pStyle w:val="13"/>
            </w:pPr>
            <w:r>
              <w:t>效益指标</w:t>
            </w:r>
          </w:p>
        </w:tc>
        <w:tc>
          <w:tcPr>
            <w:tcW w:w="2268" w:type="dxa"/>
            <w:vAlign w:val="center"/>
          </w:tcPr>
          <w:p w14:paraId="0D2B75B7">
            <w:pPr>
              <w:pStyle w:val="12"/>
            </w:pPr>
            <w:r>
              <w:t>社会效益指标</w:t>
            </w:r>
          </w:p>
        </w:tc>
        <w:tc>
          <w:tcPr>
            <w:tcW w:w="2835" w:type="dxa"/>
            <w:vAlign w:val="center"/>
          </w:tcPr>
          <w:p w14:paraId="493AC9A1">
            <w:pPr>
              <w:pStyle w:val="12"/>
            </w:pPr>
            <w:r>
              <w:t>学校办学能力提升</w:t>
            </w:r>
          </w:p>
        </w:tc>
        <w:tc>
          <w:tcPr>
            <w:tcW w:w="5386" w:type="dxa"/>
            <w:vAlign w:val="center"/>
          </w:tcPr>
          <w:p w14:paraId="58B471C0">
            <w:pPr>
              <w:pStyle w:val="12"/>
            </w:pPr>
            <w:r>
              <w:t>学校办学能</w:t>
            </w:r>
            <w:r>
              <w:rPr>
                <w:rFonts w:hint="eastAsia"/>
                <w:lang w:eastAsia="zh-CN"/>
              </w:rPr>
              <w:t>力提</w:t>
            </w:r>
            <w:r>
              <w:t>升情况及教育教学工作等开展的情况</w:t>
            </w:r>
          </w:p>
        </w:tc>
        <w:tc>
          <w:tcPr>
            <w:tcW w:w="2268" w:type="dxa"/>
            <w:vAlign w:val="center"/>
          </w:tcPr>
          <w:p w14:paraId="06E4B9E8">
            <w:pPr>
              <w:pStyle w:val="12"/>
            </w:pPr>
            <w:r>
              <w:t>≥98%</w:t>
            </w:r>
          </w:p>
        </w:tc>
        <w:tc>
          <w:tcPr>
            <w:tcW w:w="1276" w:type="dxa"/>
            <w:vAlign w:val="center"/>
          </w:tcPr>
          <w:p w14:paraId="69F481DF">
            <w:pPr>
              <w:pStyle w:val="12"/>
            </w:pPr>
            <w:r>
              <w:t>项目规划</w:t>
            </w:r>
          </w:p>
        </w:tc>
      </w:tr>
      <w:tr w14:paraId="48F3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7B1FD">
            <w:pPr>
              <w:pStyle w:val="13"/>
            </w:pPr>
            <w:r>
              <w:t>满意度指标</w:t>
            </w:r>
          </w:p>
        </w:tc>
        <w:tc>
          <w:tcPr>
            <w:tcW w:w="2268" w:type="dxa"/>
            <w:vAlign w:val="center"/>
          </w:tcPr>
          <w:p w14:paraId="706F0B84">
            <w:pPr>
              <w:pStyle w:val="12"/>
            </w:pPr>
            <w:r>
              <w:t>服务对象满意度指标</w:t>
            </w:r>
          </w:p>
        </w:tc>
        <w:tc>
          <w:tcPr>
            <w:tcW w:w="2835" w:type="dxa"/>
            <w:vAlign w:val="center"/>
          </w:tcPr>
          <w:p w14:paraId="53A77132">
            <w:pPr>
              <w:pStyle w:val="12"/>
            </w:pPr>
            <w:r>
              <w:t>学生、教师及家长对学校教学环境满意度情况</w:t>
            </w:r>
          </w:p>
        </w:tc>
        <w:tc>
          <w:tcPr>
            <w:tcW w:w="5386" w:type="dxa"/>
            <w:vAlign w:val="center"/>
          </w:tcPr>
          <w:p w14:paraId="510A36A2">
            <w:pPr>
              <w:pStyle w:val="12"/>
            </w:pPr>
            <w:r>
              <w:t>学生、教师及家长对学校教学环境满意度情况</w:t>
            </w:r>
          </w:p>
        </w:tc>
        <w:tc>
          <w:tcPr>
            <w:tcW w:w="2268" w:type="dxa"/>
            <w:vAlign w:val="center"/>
          </w:tcPr>
          <w:p w14:paraId="54B7552A">
            <w:pPr>
              <w:pStyle w:val="12"/>
            </w:pPr>
            <w:r>
              <w:t>≥95%</w:t>
            </w:r>
          </w:p>
        </w:tc>
        <w:tc>
          <w:tcPr>
            <w:tcW w:w="1276" w:type="dxa"/>
            <w:vAlign w:val="center"/>
          </w:tcPr>
          <w:p w14:paraId="06918A87">
            <w:pPr>
              <w:pStyle w:val="12"/>
            </w:pPr>
            <w:r>
              <w:t>项目规划</w:t>
            </w:r>
          </w:p>
        </w:tc>
      </w:tr>
    </w:tbl>
    <w:p w14:paraId="7907D26E">
      <w:pPr>
        <w:sectPr>
          <w:pgSz w:w="16840" w:h="11900" w:orient="landscape"/>
          <w:pgMar w:top="1361" w:right="1020" w:bottom="1134" w:left="1020" w:header="720" w:footer="720" w:gutter="0"/>
          <w:cols w:space="720" w:num="1"/>
        </w:sectPr>
      </w:pPr>
    </w:p>
    <w:p w14:paraId="15EBABBB">
      <w:pPr>
        <w:spacing w:before="0" w:after="0"/>
        <w:ind w:firstLine="560"/>
        <w:jc w:val="left"/>
        <w:outlineLvl w:val="9"/>
      </w:pPr>
      <w:r>
        <w:rPr>
          <w:rFonts w:ascii="方正仿宋_GBK" w:hAnsi="方正仿宋_GBK" w:eastAsia="方正仿宋_GBK" w:cs="方正仿宋_GBK"/>
          <w:b/>
          <w:color w:val="000000"/>
          <w:sz w:val="28"/>
        </w:rPr>
        <w:t>13、冀财教[2025]147号/省级/2026年义教补助经费/固城校区东王村小学公用经费绩效目标表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B4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83CCB">
            <w:pPr>
              <w:pStyle w:val="11"/>
            </w:pPr>
            <w:r>
              <w:t>单位：万元</w:t>
            </w:r>
          </w:p>
        </w:tc>
      </w:tr>
      <w:tr w14:paraId="42725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EF837">
            <w:pPr>
              <w:pStyle w:val="10"/>
            </w:pPr>
            <w:r>
              <w:t>项目编码</w:t>
            </w:r>
          </w:p>
        </w:tc>
        <w:tc>
          <w:tcPr>
            <w:tcW w:w="5103" w:type="dxa"/>
            <w:gridSpan w:val="2"/>
            <w:vAlign w:val="center"/>
          </w:tcPr>
          <w:p w14:paraId="5B141C30">
            <w:pPr>
              <w:pStyle w:val="12"/>
            </w:pPr>
            <w:r>
              <w:t>13052526P000004103809</w:t>
            </w:r>
          </w:p>
        </w:tc>
        <w:tc>
          <w:tcPr>
            <w:tcW w:w="2835" w:type="dxa"/>
            <w:vAlign w:val="center"/>
          </w:tcPr>
          <w:p w14:paraId="3372FDDD">
            <w:pPr>
              <w:pStyle w:val="10"/>
            </w:pPr>
            <w:r>
              <w:t>项目名称</w:t>
            </w:r>
          </w:p>
        </w:tc>
        <w:tc>
          <w:tcPr>
            <w:tcW w:w="6095" w:type="dxa"/>
            <w:gridSpan w:val="3"/>
            <w:vAlign w:val="center"/>
          </w:tcPr>
          <w:p w14:paraId="115DD3FE">
            <w:pPr>
              <w:pStyle w:val="12"/>
            </w:pPr>
            <w:r>
              <w:t>冀财教[2025]147号/省级/2026年义教补助经费/固城校区东王村小学公用经费</w:t>
            </w:r>
          </w:p>
        </w:tc>
      </w:tr>
      <w:tr w14:paraId="6E6C3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5983D">
            <w:pPr>
              <w:pStyle w:val="10"/>
            </w:pPr>
            <w:r>
              <w:t>预算规模及资金用途</w:t>
            </w:r>
          </w:p>
        </w:tc>
        <w:tc>
          <w:tcPr>
            <w:tcW w:w="2268" w:type="dxa"/>
            <w:vAlign w:val="center"/>
          </w:tcPr>
          <w:p w14:paraId="40FC8422">
            <w:pPr>
              <w:pStyle w:val="10"/>
            </w:pPr>
            <w:r>
              <w:t>预算数</w:t>
            </w:r>
          </w:p>
        </w:tc>
        <w:tc>
          <w:tcPr>
            <w:tcW w:w="2835" w:type="dxa"/>
            <w:vAlign w:val="center"/>
          </w:tcPr>
          <w:p w14:paraId="5B31C7B9">
            <w:pPr>
              <w:pStyle w:val="12"/>
            </w:pPr>
            <w:r>
              <w:t>50.21</w:t>
            </w:r>
          </w:p>
        </w:tc>
        <w:tc>
          <w:tcPr>
            <w:tcW w:w="2835" w:type="dxa"/>
            <w:vAlign w:val="center"/>
          </w:tcPr>
          <w:p w14:paraId="5E95C7C6">
            <w:pPr>
              <w:pStyle w:val="10"/>
            </w:pPr>
            <w:r>
              <w:t>其中：财政    资金</w:t>
            </w:r>
          </w:p>
        </w:tc>
        <w:tc>
          <w:tcPr>
            <w:tcW w:w="2551" w:type="dxa"/>
            <w:vAlign w:val="center"/>
          </w:tcPr>
          <w:p w14:paraId="135D5085">
            <w:pPr>
              <w:pStyle w:val="12"/>
            </w:pPr>
            <w:r>
              <w:t>50.21</w:t>
            </w:r>
          </w:p>
        </w:tc>
        <w:tc>
          <w:tcPr>
            <w:tcW w:w="2268" w:type="dxa"/>
            <w:vAlign w:val="center"/>
          </w:tcPr>
          <w:p w14:paraId="31622C4D">
            <w:pPr>
              <w:pStyle w:val="10"/>
            </w:pPr>
            <w:r>
              <w:t>其他资金</w:t>
            </w:r>
          </w:p>
        </w:tc>
        <w:tc>
          <w:tcPr>
            <w:tcW w:w="1276" w:type="dxa"/>
            <w:vAlign w:val="center"/>
          </w:tcPr>
          <w:p w14:paraId="7A7B948C">
            <w:pPr>
              <w:pStyle w:val="12"/>
            </w:pPr>
            <w:r>
              <w:t xml:space="preserve"> </w:t>
            </w:r>
          </w:p>
        </w:tc>
      </w:tr>
      <w:tr w14:paraId="14F24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83A1F"/>
        </w:tc>
        <w:tc>
          <w:tcPr>
            <w:tcW w:w="14033" w:type="dxa"/>
            <w:gridSpan w:val="6"/>
            <w:vAlign w:val="center"/>
          </w:tcPr>
          <w:p w14:paraId="6CAEFA3E">
            <w:pPr>
              <w:pStyle w:val="12"/>
            </w:pPr>
            <w:r>
              <w:t>有效完成学校教学安全秩序，保障学校教学任务有效开展，满足学校正常教学需要。</w:t>
            </w:r>
          </w:p>
        </w:tc>
      </w:tr>
      <w:tr w14:paraId="38E4F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5AA5D">
            <w:pPr>
              <w:pStyle w:val="10"/>
            </w:pPr>
            <w:r>
              <w:t>资金支出计划（%）</w:t>
            </w:r>
          </w:p>
        </w:tc>
        <w:tc>
          <w:tcPr>
            <w:tcW w:w="5103" w:type="dxa"/>
            <w:gridSpan w:val="2"/>
            <w:vAlign w:val="center"/>
          </w:tcPr>
          <w:p w14:paraId="306DA3B6">
            <w:pPr>
              <w:pStyle w:val="10"/>
            </w:pPr>
            <w:r>
              <w:t>3月底</w:t>
            </w:r>
          </w:p>
        </w:tc>
        <w:tc>
          <w:tcPr>
            <w:tcW w:w="2835" w:type="dxa"/>
            <w:vAlign w:val="center"/>
          </w:tcPr>
          <w:p w14:paraId="59C15FEB">
            <w:pPr>
              <w:pStyle w:val="10"/>
            </w:pPr>
            <w:r>
              <w:t>6月底</w:t>
            </w:r>
          </w:p>
        </w:tc>
        <w:tc>
          <w:tcPr>
            <w:tcW w:w="2551" w:type="dxa"/>
            <w:vAlign w:val="center"/>
          </w:tcPr>
          <w:p w14:paraId="00EA3829">
            <w:pPr>
              <w:pStyle w:val="10"/>
            </w:pPr>
            <w:r>
              <w:t>10月底</w:t>
            </w:r>
          </w:p>
        </w:tc>
        <w:tc>
          <w:tcPr>
            <w:tcW w:w="3544" w:type="dxa"/>
            <w:gridSpan w:val="2"/>
            <w:vAlign w:val="center"/>
          </w:tcPr>
          <w:p w14:paraId="5FE80470">
            <w:pPr>
              <w:pStyle w:val="10"/>
            </w:pPr>
            <w:r>
              <w:t>12月底</w:t>
            </w:r>
          </w:p>
        </w:tc>
      </w:tr>
      <w:tr w14:paraId="4A180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52E9C"/>
        </w:tc>
        <w:tc>
          <w:tcPr>
            <w:tcW w:w="5103" w:type="dxa"/>
            <w:gridSpan w:val="2"/>
            <w:vAlign w:val="center"/>
          </w:tcPr>
          <w:p w14:paraId="62DF7AAB">
            <w:pPr>
              <w:pStyle w:val="13"/>
            </w:pPr>
            <w:r>
              <w:t>25%</w:t>
            </w:r>
          </w:p>
        </w:tc>
        <w:tc>
          <w:tcPr>
            <w:tcW w:w="2835" w:type="dxa"/>
            <w:vAlign w:val="center"/>
          </w:tcPr>
          <w:p w14:paraId="118E2B9E">
            <w:pPr>
              <w:pStyle w:val="13"/>
            </w:pPr>
            <w:r>
              <w:t>50%</w:t>
            </w:r>
          </w:p>
        </w:tc>
        <w:tc>
          <w:tcPr>
            <w:tcW w:w="2551" w:type="dxa"/>
            <w:vAlign w:val="center"/>
          </w:tcPr>
          <w:p w14:paraId="0FF4EDFF">
            <w:pPr>
              <w:pStyle w:val="13"/>
            </w:pPr>
            <w:r>
              <w:t>75%</w:t>
            </w:r>
          </w:p>
        </w:tc>
        <w:tc>
          <w:tcPr>
            <w:tcW w:w="3544" w:type="dxa"/>
            <w:gridSpan w:val="2"/>
            <w:vAlign w:val="center"/>
          </w:tcPr>
          <w:p w14:paraId="74256C7E">
            <w:pPr>
              <w:pStyle w:val="13"/>
            </w:pPr>
            <w:r>
              <w:t>100%</w:t>
            </w:r>
          </w:p>
        </w:tc>
      </w:tr>
      <w:tr w14:paraId="19BDE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0184C">
            <w:pPr>
              <w:pStyle w:val="10"/>
            </w:pPr>
            <w:r>
              <w:t>绩效目标</w:t>
            </w:r>
          </w:p>
        </w:tc>
        <w:tc>
          <w:tcPr>
            <w:tcW w:w="14033" w:type="dxa"/>
            <w:gridSpan w:val="6"/>
            <w:vAlign w:val="center"/>
          </w:tcPr>
          <w:p w14:paraId="71B67B10">
            <w:pPr>
              <w:pStyle w:val="12"/>
            </w:pPr>
            <w:r>
              <w:t>1.有效完成学校教学安全秩序，保障学校教学任务有效开展，满足学校正常教学需要。</w:t>
            </w:r>
          </w:p>
          <w:p w14:paraId="0997F87E">
            <w:pPr>
              <w:pStyle w:val="12"/>
            </w:pPr>
            <w:r>
              <w:t>2.按规定拨付公用经费资金，预算执行率100%。</w:t>
            </w:r>
            <w:r>
              <w:tab/>
            </w:r>
          </w:p>
        </w:tc>
      </w:tr>
    </w:tbl>
    <w:p w14:paraId="003711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1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C5C09">
            <w:pPr>
              <w:pStyle w:val="10"/>
            </w:pPr>
            <w:r>
              <w:t>一级指标</w:t>
            </w:r>
          </w:p>
        </w:tc>
        <w:tc>
          <w:tcPr>
            <w:tcW w:w="2268" w:type="dxa"/>
            <w:vAlign w:val="center"/>
          </w:tcPr>
          <w:p w14:paraId="46B707E8">
            <w:pPr>
              <w:pStyle w:val="10"/>
            </w:pPr>
            <w:r>
              <w:t>二级指标</w:t>
            </w:r>
          </w:p>
        </w:tc>
        <w:tc>
          <w:tcPr>
            <w:tcW w:w="2835" w:type="dxa"/>
            <w:vAlign w:val="center"/>
          </w:tcPr>
          <w:p w14:paraId="03DBF95C">
            <w:pPr>
              <w:pStyle w:val="10"/>
            </w:pPr>
            <w:r>
              <w:t>三级指标</w:t>
            </w:r>
          </w:p>
        </w:tc>
        <w:tc>
          <w:tcPr>
            <w:tcW w:w="5386" w:type="dxa"/>
            <w:vAlign w:val="center"/>
          </w:tcPr>
          <w:p w14:paraId="4F091B09">
            <w:pPr>
              <w:pStyle w:val="10"/>
            </w:pPr>
            <w:r>
              <w:t>绩效指标描述</w:t>
            </w:r>
          </w:p>
        </w:tc>
        <w:tc>
          <w:tcPr>
            <w:tcW w:w="2268" w:type="dxa"/>
            <w:vAlign w:val="center"/>
          </w:tcPr>
          <w:p w14:paraId="6987F452">
            <w:pPr>
              <w:pStyle w:val="10"/>
            </w:pPr>
            <w:r>
              <w:t>指标值</w:t>
            </w:r>
          </w:p>
        </w:tc>
        <w:tc>
          <w:tcPr>
            <w:tcW w:w="1276" w:type="dxa"/>
            <w:vAlign w:val="center"/>
          </w:tcPr>
          <w:p w14:paraId="79972291">
            <w:pPr>
              <w:pStyle w:val="10"/>
            </w:pPr>
            <w:r>
              <w:t>指标值确定依据</w:t>
            </w:r>
          </w:p>
        </w:tc>
      </w:tr>
      <w:tr w14:paraId="1E74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A7AF4">
            <w:pPr>
              <w:pStyle w:val="13"/>
            </w:pPr>
            <w:r>
              <w:t>产出指标</w:t>
            </w:r>
          </w:p>
        </w:tc>
        <w:tc>
          <w:tcPr>
            <w:tcW w:w="2268" w:type="dxa"/>
            <w:vAlign w:val="center"/>
          </w:tcPr>
          <w:p w14:paraId="0BDE033D">
            <w:pPr>
              <w:pStyle w:val="12"/>
            </w:pPr>
            <w:r>
              <w:t>数量指标</w:t>
            </w:r>
          </w:p>
        </w:tc>
        <w:tc>
          <w:tcPr>
            <w:tcW w:w="2835" w:type="dxa"/>
            <w:vAlign w:val="center"/>
          </w:tcPr>
          <w:p w14:paraId="74824A3D">
            <w:pPr>
              <w:pStyle w:val="12"/>
            </w:pPr>
            <w:r>
              <w:t>就读学生数</w:t>
            </w:r>
          </w:p>
        </w:tc>
        <w:tc>
          <w:tcPr>
            <w:tcW w:w="5386" w:type="dxa"/>
            <w:vAlign w:val="center"/>
          </w:tcPr>
          <w:p w14:paraId="55118D0A">
            <w:pPr>
              <w:pStyle w:val="12"/>
            </w:pPr>
            <w:r>
              <w:t>辐射区域内适龄学生人数</w:t>
            </w:r>
          </w:p>
        </w:tc>
        <w:tc>
          <w:tcPr>
            <w:tcW w:w="2268" w:type="dxa"/>
            <w:vAlign w:val="center"/>
          </w:tcPr>
          <w:p w14:paraId="4A20162D">
            <w:pPr>
              <w:pStyle w:val="12"/>
            </w:pPr>
            <w:r>
              <w:t>1544人</w:t>
            </w:r>
          </w:p>
        </w:tc>
        <w:tc>
          <w:tcPr>
            <w:tcW w:w="1276" w:type="dxa"/>
            <w:vAlign w:val="center"/>
          </w:tcPr>
          <w:p w14:paraId="1CBE7EC5">
            <w:pPr>
              <w:pStyle w:val="12"/>
            </w:pPr>
            <w:r>
              <w:t>城乡义务教育公用经费管理办法</w:t>
            </w:r>
          </w:p>
        </w:tc>
      </w:tr>
      <w:tr w14:paraId="24FE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0E781"/>
        </w:tc>
        <w:tc>
          <w:tcPr>
            <w:tcW w:w="2268" w:type="dxa"/>
            <w:vAlign w:val="center"/>
          </w:tcPr>
          <w:p w14:paraId="183B924A">
            <w:pPr>
              <w:pStyle w:val="12"/>
            </w:pPr>
            <w:r>
              <w:t>质量指标</w:t>
            </w:r>
          </w:p>
        </w:tc>
        <w:tc>
          <w:tcPr>
            <w:tcW w:w="2835" w:type="dxa"/>
            <w:vAlign w:val="center"/>
          </w:tcPr>
          <w:p w14:paraId="6845CA05">
            <w:pPr>
              <w:pStyle w:val="12"/>
            </w:pPr>
            <w:r>
              <w:t>预算执行率</w:t>
            </w:r>
          </w:p>
        </w:tc>
        <w:tc>
          <w:tcPr>
            <w:tcW w:w="5386" w:type="dxa"/>
            <w:vAlign w:val="center"/>
          </w:tcPr>
          <w:p w14:paraId="33411E0F">
            <w:pPr>
              <w:pStyle w:val="12"/>
            </w:pPr>
            <w:r>
              <w:t>预算执行率</w:t>
            </w:r>
          </w:p>
        </w:tc>
        <w:tc>
          <w:tcPr>
            <w:tcW w:w="2268" w:type="dxa"/>
            <w:vAlign w:val="center"/>
          </w:tcPr>
          <w:p w14:paraId="70B1946B">
            <w:pPr>
              <w:pStyle w:val="12"/>
            </w:pPr>
            <w:r>
              <w:t>≥98%</w:t>
            </w:r>
          </w:p>
        </w:tc>
        <w:tc>
          <w:tcPr>
            <w:tcW w:w="1276" w:type="dxa"/>
            <w:vAlign w:val="center"/>
          </w:tcPr>
          <w:p w14:paraId="7ACD81C1">
            <w:pPr>
              <w:pStyle w:val="12"/>
            </w:pPr>
            <w:r>
              <w:t>城乡义务教育公用经费管理办法</w:t>
            </w:r>
          </w:p>
        </w:tc>
      </w:tr>
      <w:tr w14:paraId="061A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4793F"/>
        </w:tc>
        <w:tc>
          <w:tcPr>
            <w:tcW w:w="2268" w:type="dxa"/>
            <w:vAlign w:val="center"/>
          </w:tcPr>
          <w:p w14:paraId="59D5C457">
            <w:pPr>
              <w:pStyle w:val="12"/>
            </w:pPr>
            <w:r>
              <w:t>时效指标</w:t>
            </w:r>
          </w:p>
        </w:tc>
        <w:tc>
          <w:tcPr>
            <w:tcW w:w="2835" w:type="dxa"/>
            <w:vAlign w:val="center"/>
          </w:tcPr>
          <w:p w14:paraId="79FF3E20">
            <w:pPr>
              <w:pStyle w:val="12"/>
            </w:pPr>
            <w:r>
              <w:t>义教经费支付完成率</w:t>
            </w:r>
          </w:p>
        </w:tc>
        <w:tc>
          <w:tcPr>
            <w:tcW w:w="5386" w:type="dxa"/>
            <w:vAlign w:val="center"/>
          </w:tcPr>
          <w:p w14:paraId="3B86A7F7">
            <w:pPr>
              <w:pStyle w:val="12"/>
            </w:pPr>
            <w:r>
              <w:t>按照序时进度完成资金支付</w:t>
            </w:r>
          </w:p>
        </w:tc>
        <w:tc>
          <w:tcPr>
            <w:tcW w:w="2268" w:type="dxa"/>
            <w:vAlign w:val="center"/>
          </w:tcPr>
          <w:p w14:paraId="309A1F54">
            <w:pPr>
              <w:pStyle w:val="12"/>
            </w:pPr>
            <w:r>
              <w:t>100%</w:t>
            </w:r>
          </w:p>
        </w:tc>
        <w:tc>
          <w:tcPr>
            <w:tcW w:w="1276" w:type="dxa"/>
            <w:vAlign w:val="center"/>
          </w:tcPr>
          <w:p w14:paraId="64BA517F">
            <w:pPr>
              <w:pStyle w:val="12"/>
            </w:pPr>
            <w:r>
              <w:t>城乡义务教育公用经费管理办法</w:t>
            </w:r>
          </w:p>
        </w:tc>
      </w:tr>
      <w:tr w14:paraId="525D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03EEC"/>
        </w:tc>
        <w:tc>
          <w:tcPr>
            <w:tcW w:w="2268" w:type="dxa"/>
            <w:vAlign w:val="center"/>
          </w:tcPr>
          <w:p w14:paraId="10C8EFD9">
            <w:pPr>
              <w:pStyle w:val="12"/>
            </w:pPr>
            <w:r>
              <w:t>成本指标</w:t>
            </w:r>
          </w:p>
        </w:tc>
        <w:tc>
          <w:tcPr>
            <w:tcW w:w="2835" w:type="dxa"/>
            <w:vAlign w:val="center"/>
          </w:tcPr>
          <w:p w14:paraId="5E23D7A2">
            <w:pPr>
              <w:pStyle w:val="12"/>
            </w:pPr>
            <w:r>
              <w:t>生均拨款标准</w:t>
            </w:r>
          </w:p>
        </w:tc>
        <w:tc>
          <w:tcPr>
            <w:tcW w:w="5386" w:type="dxa"/>
            <w:vAlign w:val="center"/>
          </w:tcPr>
          <w:p w14:paraId="77AFE087">
            <w:pPr>
              <w:pStyle w:val="12"/>
            </w:pPr>
            <w:r>
              <w:t>小学：（基本标准720元、寄宿生300元、生活补助120元）/生/学年；特教、随班就读学生：标准7000元/生/学年</w:t>
            </w:r>
          </w:p>
        </w:tc>
        <w:tc>
          <w:tcPr>
            <w:tcW w:w="2268" w:type="dxa"/>
            <w:vAlign w:val="center"/>
          </w:tcPr>
          <w:p w14:paraId="0D214A89">
            <w:pPr>
              <w:pStyle w:val="12"/>
            </w:pPr>
            <w:r>
              <w:t>840元</w:t>
            </w:r>
          </w:p>
        </w:tc>
        <w:tc>
          <w:tcPr>
            <w:tcW w:w="1276" w:type="dxa"/>
            <w:vAlign w:val="center"/>
          </w:tcPr>
          <w:p w14:paraId="06C260DB">
            <w:pPr>
              <w:pStyle w:val="12"/>
            </w:pPr>
            <w:r>
              <w:t>城乡义务教育公用经费管理办法</w:t>
            </w:r>
          </w:p>
        </w:tc>
      </w:tr>
      <w:tr w14:paraId="33AA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708BB">
            <w:pPr>
              <w:pStyle w:val="13"/>
            </w:pPr>
            <w:r>
              <w:t>效益指标</w:t>
            </w:r>
          </w:p>
        </w:tc>
        <w:tc>
          <w:tcPr>
            <w:tcW w:w="2268" w:type="dxa"/>
            <w:vAlign w:val="center"/>
          </w:tcPr>
          <w:p w14:paraId="4F3E59C6">
            <w:pPr>
              <w:pStyle w:val="12"/>
            </w:pPr>
            <w:r>
              <w:t>社会效益指标</w:t>
            </w:r>
          </w:p>
        </w:tc>
        <w:tc>
          <w:tcPr>
            <w:tcW w:w="2835" w:type="dxa"/>
            <w:vAlign w:val="center"/>
          </w:tcPr>
          <w:p w14:paraId="3ADF2718">
            <w:pPr>
              <w:pStyle w:val="12"/>
            </w:pPr>
            <w:r>
              <w:t>学校稳定率</w:t>
            </w:r>
          </w:p>
        </w:tc>
        <w:tc>
          <w:tcPr>
            <w:tcW w:w="5386" w:type="dxa"/>
            <w:vAlign w:val="center"/>
          </w:tcPr>
          <w:p w14:paraId="4E4F98F8">
            <w:pPr>
              <w:pStyle w:val="12"/>
            </w:pPr>
            <w:r>
              <w:t>维护学校稳定，保障学校正常教学秩序有效开展</w:t>
            </w:r>
          </w:p>
        </w:tc>
        <w:tc>
          <w:tcPr>
            <w:tcW w:w="2268" w:type="dxa"/>
            <w:vAlign w:val="center"/>
          </w:tcPr>
          <w:p w14:paraId="542E8AD5">
            <w:pPr>
              <w:pStyle w:val="12"/>
            </w:pPr>
            <w:r>
              <w:t>100%</w:t>
            </w:r>
          </w:p>
        </w:tc>
        <w:tc>
          <w:tcPr>
            <w:tcW w:w="1276" w:type="dxa"/>
            <w:vAlign w:val="center"/>
          </w:tcPr>
          <w:p w14:paraId="0DB1191A">
            <w:pPr>
              <w:pStyle w:val="12"/>
            </w:pPr>
            <w:r>
              <w:t>城乡义务教育公用经费管理办法</w:t>
            </w:r>
          </w:p>
        </w:tc>
      </w:tr>
      <w:tr w14:paraId="5D91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61B40">
            <w:pPr>
              <w:pStyle w:val="13"/>
            </w:pPr>
            <w:r>
              <w:t>满意度指标</w:t>
            </w:r>
          </w:p>
        </w:tc>
        <w:tc>
          <w:tcPr>
            <w:tcW w:w="2268" w:type="dxa"/>
            <w:vAlign w:val="center"/>
          </w:tcPr>
          <w:p w14:paraId="3C1264C3">
            <w:pPr>
              <w:pStyle w:val="12"/>
            </w:pPr>
            <w:r>
              <w:t>服务对象满意度指标</w:t>
            </w:r>
          </w:p>
        </w:tc>
        <w:tc>
          <w:tcPr>
            <w:tcW w:w="2835" w:type="dxa"/>
            <w:vAlign w:val="center"/>
          </w:tcPr>
          <w:p w14:paraId="2A579296">
            <w:pPr>
              <w:pStyle w:val="12"/>
            </w:pPr>
            <w:r>
              <w:t>家长和学生满意度</w:t>
            </w:r>
          </w:p>
        </w:tc>
        <w:tc>
          <w:tcPr>
            <w:tcW w:w="5386" w:type="dxa"/>
            <w:vAlign w:val="center"/>
          </w:tcPr>
          <w:p w14:paraId="5C888437">
            <w:pPr>
              <w:pStyle w:val="12"/>
            </w:pPr>
            <w:r>
              <w:t>家长和学生满意度</w:t>
            </w:r>
          </w:p>
        </w:tc>
        <w:tc>
          <w:tcPr>
            <w:tcW w:w="2268" w:type="dxa"/>
            <w:vAlign w:val="center"/>
          </w:tcPr>
          <w:p w14:paraId="573971A5">
            <w:pPr>
              <w:pStyle w:val="12"/>
            </w:pPr>
            <w:r>
              <w:t>≥95%</w:t>
            </w:r>
          </w:p>
        </w:tc>
        <w:tc>
          <w:tcPr>
            <w:tcW w:w="1276" w:type="dxa"/>
            <w:vAlign w:val="center"/>
          </w:tcPr>
          <w:p w14:paraId="3BD830B6">
            <w:pPr>
              <w:pStyle w:val="12"/>
            </w:pPr>
            <w:r>
              <w:t>问卷调查</w:t>
            </w:r>
          </w:p>
        </w:tc>
      </w:tr>
    </w:tbl>
    <w:p w14:paraId="121B0B1C">
      <w:pPr>
        <w:sectPr>
          <w:pgSz w:w="16840" w:h="11900" w:orient="landscape"/>
          <w:pgMar w:top="1361" w:right="1020" w:bottom="1134" w:left="1020" w:header="720" w:footer="720" w:gutter="0"/>
          <w:cols w:space="720" w:num="1"/>
        </w:sectPr>
      </w:pPr>
    </w:p>
    <w:p w14:paraId="1E02E6CA">
      <w:pPr>
        <w:spacing w:before="0" w:after="0"/>
        <w:ind w:firstLine="560"/>
        <w:jc w:val="left"/>
        <w:outlineLvl w:val="9"/>
      </w:pPr>
      <w:r>
        <w:rPr>
          <w:rFonts w:ascii="方正仿宋_GBK" w:hAnsi="方正仿宋_GBK" w:eastAsia="方正仿宋_GBK" w:cs="方正仿宋_GBK"/>
          <w:b/>
          <w:color w:val="000000"/>
          <w:sz w:val="28"/>
        </w:rPr>
        <w:t>14、冀财教[2025]147号/省级/2026年义教补助经费/固城校区固城小学公用经费绩效目标表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30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374A5">
            <w:pPr>
              <w:pStyle w:val="11"/>
            </w:pPr>
            <w:r>
              <w:t>单位：万元</w:t>
            </w:r>
          </w:p>
        </w:tc>
      </w:tr>
      <w:tr w14:paraId="2CE71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99D11">
            <w:pPr>
              <w:pStyle w:val="10"/>
            </w:pPr>
            <w:r>
              <w:t>项目编码</w:t>
            </w:r>
          </w:p>
        </w:tc>
        <w:tc>
          <w:tcPr>
            <w:tcW w:w="5103" w:type="dxa"/>
            <w:gridSpan w:val="2"/>
            <w:vAlign w:val="center"/>
          </w:tcPr>
          <w:p w14:paraId="02892E6E">
            <w:pPr>
              <w:pStyle w:val="12"/>
            </w:pPr>
            <w:r>
              <w:t>13052526P00000410379X</w:t>
            </w:r>
          </w:p>
        </w:tc>
        <w:tc>
          <w:tcPr>
            <w:tcW w:w="2835" w:type="dxa"/>
            <w:vAlign w:val="center"/>
          </w:tcPr>
          <w:p w14:paraId="6CF9A688">
            <w:pPr>
              <w:pStyle w:val="10"/>
            </w:pPr>
            <w:r>
              <w:t>项目名称</w:t>
            </w:r>
          </w:p>
        </w:tc>
        <w:tc>
          <w:tcPr>
            <w:tcW w:w="6095" w:type="dxa"/>
            <w:gridSpan w:val="3"/>
            <w:vAlign w:val="center"/>
          </w:tcPr>
          <w:p w14:paraId="3CA69105">
            <w:pPr>
              <w:pStyle w:val="12"/>
            </w:pPr>
            <w:r>
              <w:t>冀财教[2025]147号/省级/2026年义教补助经费/固城校区固城小学公用经费</w:t>
            </w:r>
          </w:p>
        </w:tc>
      </w:tr>
      <w:tr w14:paraId="0834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0E504">
            <w:pPr>
              <w:pStyle w:val="10"/>
            </w:pPr>
            <w:r>
              <w:t>预算规模及资金用途</w:t>
            </w:r>
          </w:p>
        </w:tc>
        <w:tc>
          <w:tcPr>
            <w:tcW w:w="2268" w:type="dxa"/>
            <w:vAlign w:val="center"/>
          </w:tcPr>
          <w:p w14:paraId="19B1DB94">
            <w:pPr>
              <w:pStyle w:val="10"/>
            </w:pPr>
            <w:r>
              <w:t>预算数</w:t>
            </w:r>
          </w:p>
        </w:tc>
        <w:tc>
          <w:tcPr>
            <w:tcW w:w="2835" w:type="dxa"/>
            <w:vAlign w:val="center"/>
          </w:tcPr>
          <w:p w14:paraId="1C8AD4F8">
            <w:pPr>
              <w:pStyle w:val="12"/>
            </w:pPr>
            <w:r>
              <w:t>12.14</w:t>
            </w:r>
          </w:p>
        </w:tc>
        <w:tc>
          <w:tcPr>
            <w:tcW w:w="2835" w:type="dxa"/>
            <w:vAlign w:val="center"/>
          </w:tcPr>
          <w:p w14:paraId="66957511">
            <w:pPr>
              <w:pStyle w:val="10"/>
            </w:pPr>
            <w:r>
              <w:t>其中：财政    资金</w:t>
            </w:r>
          </w:p>
        </w:tc>
        <w:tc>
          <w:tcPr>
            <w:tcW w:w="2551" w:type="dxa"/>
            <w:vAlign w:val="center"/>
          </w:tcPr>
          <w:p w14:paraId="2931AC32">
            <w:pPr>
              <w:pStyle w:val="12"/>
            </w:pPr>
            <w:r>
              <w:t>12.14</w:t>
            </w:r>
          </w:p>
        </w:tc>
        <w:tc>
          <w:tcPr>
            <w:tcW w:w="2268" w:type="dxa"/>
            <w:vAlign w:val="center"/>
          </w:tcPr>
          <w:p w14:paraId="4E4AA4D5">
            <w:pPr>
              <w:pStyle w:val="10"/>
            </w:pPr>
            <w:r>
              <w:t>其他资金</w:t>
            </w:r>
          </w:p>
        </w:tc>
        <w:tc>
          <w:tcPr>
            <w:tcW w:w="1276" w:type="dxa"/>
            <w:vAlign w:val="center"/>
          </w:tcPr>
          <w:p w14:paraId="486F065D">
            <w:pPr>
              <w:pStyle w:val="12"/>
            </w:pPr>
            <w:r>
              <w:t xml:space="preserve"> </w:t>
            </w:r>
          </w:p>
        </w:tc>
      </w:tr>
      <w:tr w14:paraId="3BD9B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32FE8"/>
        </w:tc>
        <w:tc>
          <w:tcPr>
            <w:tcW w:w="14033" w:type="dxa"/>
            <w:gridSpan w:val="6"/>
            <w:vAlign w:val="center"/>
          </w:tcPr>
          <w:p w14:paraId="38A57F7F">
            <w:pPr>
              <w:pStyle w:val="12"/>
            </w:pPr>
            <w:r>
              <w:t>有效完成学校教学安全秩序，保障学校教学任务有效开展，满足学校正常教学需要。</w:t>
            </w:r>
          </w:p>
        </w:tc>
      </w:tr>
      <w:tr w14:paraId="42761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74BBA">
            <w:pPr>
              <w:pStyle w:val="10"/>
            </w:pPr>
            <w:r>
              <w:t>资金支出计划（%）</w:t>
            </w:r>
          </w:p>
        </w:tc>
        <w:tc>
          <w:tcPr>
            <w:tcW w:w="5103" w:type="dxa"/>
            <w:gridSpan w:val="2"/>
            <w:vAlign w:val="center"/>
          </w:tcPr>
          <w:p w14:paraId="0FEB53DB">
            <w:pPr>
              <w:pStyle w:val="10"/>
            </w:pPr>
            <w:r>
              <w:t>3月底</w:t>
            </w:r>
          </w:p>
        </w:tc>
        <w:tc>
          <w:tcPr>
            <w:tcW w:w="2835" w:type="dxa"/>
            <w:vAlign w:val="center"/>
          </w:tcPr>
          <w:p w14:paraId="3D16562F">
            <w:pPr>
              <w:pStyle w:val="10"/>
            </w:pPr>
            <w:r>
              <w:t>6月底</w:t>
            </w:r>
          </w:p>
        </w:tc>
        <w:tc>
          <w:tcPr>
            <w:tcW w:w="2551" w:type="dxa"/>
            <w:vAlign w:val="center"/>
          </w:tcPr>
          <w:p w14:paraId="22300E13">
            <w:pPr>
              <w:pStyle w:val="10"/>
            </w:pPr>
            <w:r>
              <w:t>10月底</w:t>
            </w:r>
          </w:p>
        </w:tc>
        <w:tc>
          <w:tcPr>
            <w:tcW w:w="3544" w:type="dxa"/>
            <w:gridSpan w:val="2"/>
            <w:vAlign w:val="center"/>
          </w:tcPr>
          <w:p w14:paraId="3B7CA075">
            <w:pPr>
              <w:pStyle w:val="10"/>
            </w:pPr>
            <w:r>
              <w:t>12月底</w:t>
            </w:r>
          </w:p>
        </w:tc>
      </w:tr>
      <w:tr w14:paraId="56787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EFF4F"/>
        </w:tc>
        <w:tc>
          <w:tcPr>
            <w:tcW w:w="5103" w:type="dxa"/>
            <w:gridSpan w:val="2"/>
            <w:vAlign w:val="center"/>
          </w:tcPr>
          <w:p w14:paraId="444BE8E5">
            <w:pPr>
              <w:pStyle w:val="13"/>
            </w:pPr>
            <w:r>
              <w:t>25%</w:t>
            </w:r>
          </w:p>
        </w:tc>
        <w:tc>
          <w:tcPr>
            <w:tcW w:w="2835" w:type="dxa"/>
            <w:vAlign w:val="center"/>
          </w:tcPr>
          <w:p w14:paraId="0BC37FC1">
            <w:pPr>
              <w:pStyle w:val="13"/>
            </w:pPr>
            <w:r>
              <w:t>50%</w:t>
            </w:r>
          </w:p>
        </w:tc>
        <w:tc>
          <w:tcPr>
            <w:tcW w:w="2551" w:type="dxa"/>
            <w:vAlign w:val="center"/>
          </w:tcPr>
          <w:p w14:paraId="5C5E36E5">
            <w:pPr>
              <w:pStyle w:val="13"/>
            </w:pPr>
            <w:r>
              <w:t>75%</w:t>
            </w:r>
          </w:p>
        </w:tc>
        <w:tc>
          <w:tcPr>
            <w:tcW w:w="3544" w:type="dxa"/>
            <w:gridSpan w:val="2"/>
            <w:vAlign w:val="center"/>
          </w:tcPr>
          <w:p w14:paraId="06E0F687">
            <w:pPr>
              <w:pStyle w:val="13"/>
            </w:pPr>
            <w:r>
              <w:t>100%</w:t>
            </w:r>
          </w:p>
        </w:tc>
      </w:tr>
      <w:tr w14:paraId="3B529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16B8A">
            <w:pPr>
              <w:pStyle w:val="10"/>
            </w:pPr>
            <w:r>
              <w:t>绩效目标</w:t>
            </w:r>
          </w:p>
        </w:tc>
        <w:tc>
          <w:tcPr>
            <w:tcW w:w="14033" w:type="dxa"/>
            <w:gridSpan w:val="6"/>
            <w:vAlign w:val="center"/>
          </w:tcPr>
          <w:p w14:paraId="5D6A6EDF">
            <w:pPr>
              <w:pStyle w:val="12"/>
            </w:pPr>
            <w:r>
              <w:t>1.按规定拨付公用经费资金，预算执行率100%。</w:t>
            </w:r>
            <w:r>
              <w:tab/>
            </w:r>
            <w:r>
              <w:tab/>
            </w:r>
            <w:r>
              <w:tab/>
            </w:r>
          </w:p>
          <w:p w14:paraId="7B8E8819">
            <w:pPr>
              <w:pStyle w:val="12"/>
            </w:pPr>
            <w:r>
              <w:t>2.有效完成学校教学安全秩序，保障学校教学任务有效开展，满足学校正常教学需要。</w:t>
            </w:r>
          </w:p>
        </w:tc>
      </w:tr>
    </w:tbl>
    <w:p w14:paraId="7093E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DA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27073">
            <w:pPr>
              <w:pStyle w:val="10"/>
            </w:pPr>
            <w:r>
              <w:t>一级指标</w:t>
            </w:r>
          </w:p>
        </w:tc>
        <w:tc>
          <w:tcPr>
            <w:tcW w:w="2268" w:type="dxa"/>
            <w:vAlign w:val="center"/>
          </w:tcPr>
          <w:p w14:paraId="77275AF9">
            <w:pPr>
              <w:pStyle w:val="10"/>
            </w:pPr>
            <w:r>
              <w:t>二级指标</w:t>
            </w:r>
          </w:p>
        </w:tc>
        <w:tc>
          <w:tcPr>
            <w:tcW w:w="2835" w:type="dxa"/>
            <w:vAlign w:val="center"/>
          </w:tcPr>
          <w:p w14:paraId="40062628">
            <w:pPr>
              <w:pStyle w:val="10"/>
            </w:pPr>
            <w:r>
              <w:t>三级指标</w:t>
            </w:r>
          </w:p>
        </w:tc>
        <w:tc>
          <w:tcPr>
            <w:tcW w:w="5386" w:type="dxa"/>
            <w:vAlign w:val="center"/>
          </w:tcPr>
          <w:p w14:paraId="023E4D4F">
            <w:pPr>
              <w:pStyle w:val="10"/>
            </w:pPr>
            <w:r>
              <w:t>绩效指标描述</w:t>
            </w:r>
          </w:p>
        </w:tc>
        <w:tc>
          <w:tcPr>
            <w:tcW w:w="2268" w:type="dxa"/>
            <w:vAlign w:val="center"/>
          </w:tcPr>
          <w:p w14:paraId="6023113E">
            <w:pPr>
              <w:pStyle w:val="10"/>
            </w:pPr>
            <w:r>
              <w:t>指标值</w:t>
            </w:r>
          </w:p>
        </w:tc>
        <w:tc>
          <w:tcPr>
            <w:tcW w:w="1276" w:type="dxa"/>
            <w:vAlign w:val="center"/>
          </w:tcPr>
          <w:p w14:paraId="3D919F50">
            <w:pPr>
              <w:pStyle w:val="10"/>
            </w:pPr>
            <w:r>
              <w:t>指标值确定依据</w:t>
            </w:r>
          </w:p>
        </w:tc>
      </w:tr>
      <w:tr w14:paraId="4DFF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745CE">
            <w:pPr>
              <w:pStyle w:val="13"/>
            </w:pPr>
            <w:r>
              <w:t>产出指标</w:t>
            </w:r>
          </w:p>
        </w:tc>
        <w:tc>
          <w:tcPr>
            <w:tcW w:w="2268" w:type="dxa"/>
            <w:vAlign w:val="center"/>
          </w:tcPr>
          <w:p w14:paraId="4B65EC84">
            <w:pPr>
              <w:pStyle w:val="12"/>
            </w:pPr>
            <w:r>
              <w:t>数量指标</w:t>
            </w:r>
          </w:p>
        </w:tc>
        <w:tc>
          <w:tcPr>
            <w:tcW w:w="2835" w:type="dxa"/>
            <w:vAlign w:val="center"/>
          </w:tcPr>
          <w:p w14:paraId="3343E7D6">
            <w:pPr>
              <w:pStyle w:val="12"/>
            </w:pPr>
            <w:r>
              <w:t>就读学生数</w:t>
            </w:r>
          </w:p>
        </w:tc>
        <w:tc>
          <w:tcPr>
            <w:tcW w:w="5386" w:type="dxa"/>
            <w:vAlign w:val="center"/>
          </w:tcPr>
          <w:p w14:paraId="0F11E312">
            <w:pPr>
              <w:pStyle w:val="12"/>
            </w:pPr>
            <w:r>
              <w:t>辐射区域内适龄学生人数</w:t>
            </w:r>
          </w:p>
        </w:tc>
        <w:tc>
          <w:tcPr>
            <w:tcW w:w="2268" w:type="dxa"/>
            <w:vAlign w:val="center"/>
          </w:tcPr>
          <w:p w14:paraId="4623FC99">
            <w:pPr>
              <w:pStyle w:val="12"/>
            </w:pPr>
            <w:r>
              <w:t>458人</w:t>
            </w:r>
          </w:p>
        </w:tc>
        <w:tc>
          <w:tcPr>
            <w:tcW w:w="1276" w:type="dxa"/>
            <w:vAlign w:val="center"/>
          </w:tcPr>
          <w:p w14:paraId="2263A117">
            <w:pPr>
              <w:pStyle w:val="12"/>
            </w:pPr>
            <w:r>
              <w:t>城乡义务教育公用经费管理办法</w:t>
            </w:r>
          </w:p>
        </w:tc>
      </w:tr>
      <w:tr w14:paraId="79BB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B24BC"/>
        </w:tc>
        <w:tc>
          <w:tcPr>
            <w:tcW w:w="2268" w:type="dxa"/>
            <w:vAlign w:val="center"/>
          </w:tcPr>
          <w:p w14:paraId="4C76C18B">
            <w:pPr>
              <w:pStyle w:val="12"/>
            </w:pPr>
            <w:r>
              <w:t>质量指标</w:t>
            </w:r>
          </w:p>
        </w:tc>
        <w:tc>
          <w:tcPr>
            <w:tcW w:w="2835" w:type="dxa"/>
            <w:vAlign w:val="center"/>
          </w:tcPr>
          <w:p w14:paraId="72C0AA30">
            <w:pPr>
              <w:pStyle w:val="12"/>
            </w:pPr>
            <w:r>
              <w:t>预算执行率</w:t>
            </w:r>
          </w:p>
        </w:tc>
        <w:tc>
          <w:tcPr>
            <w:tcW w:w="5386" w:type="dxa"/>
            <w:vAlign w:val="center"/>
          </w:tcPr>
          <w:p w14:paraId="09FCADC7">
            <w:pPr>
              <w:pStyle w:val="12"/>
            </w:pPr>
            <w:r>
              <w:t>预算执行率</w:t>
            </w:r>
          </w:p>
        </w:tc>
        <w:tc>
          <w:tcPr>
            <w:tcW w:w="2268" w:type="dxa"/>
            <w:vAlign w:val="center"/>
          </w:tcPr>
          <w:p w14:paraId="23219E37">
            <w:pPr>
              <w:pStyle w:val="12"/>
            </w:pPr>
            <w:r>
              <w:t>≥98%</w:t>
            </w:r>
          </w:p>
        </w:tc>
        <w:tc>
          <w:tcPr>
            <w:tcW w:w="1276" w:type="dxa"/>
            <w:vAlign w:val="center"/>
          </w:tcPr>
          <w:p w14:paraId="31F48458">
            <w:pPr>
              <w:pStyle w:val="12"/>
            </w:pPr>
            <w:r>
              <w:t>城乡义务教育公用经费管理办法</w:t>
            </w:r>
          </w:p>
        </w:tc>
      </w:tr>
      <w:tr w14:paraId="241A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FC0D1"/>
        </w:tc>
        <w:tc>
          <w:tcPr>
            <w:tcW w:w="2268" w:type="dxa"/>
            <w:vAlign w:val="center"/>
          </w:tcPr>
          <w:p w14:paraId="1D45B5AD">
            <w:pPr>
              <w:pStyle w:val="12"/>
            </w:pPr>
            <w:r>
              <w:t>时效指标</w:t>
            </w:r>
          </w:p>
        </w:tc>
        <w:tc>
          <w:tcPr>
            <w:tcW w:w="2835" w:type="dxa"/>
            <w:vAlign w:val="center"/>
          </w:tcPr>
          <w:p w14:paraId="735887B9">
            <w:pPr>
              <w:pStyle w:val="12"/>
            </w:pPr>
            <w:r>
              <w:t>义教经费支付完成率</w:t>
            </w:r>
          </w:p>
        </w:tc>
        <w:tc>
          <w:tcPr>
            <w:tcW w:w="5386" w:type="dxa"/>
            <w:vAlign w:val="center"/>
          </w:tcPr>
          <w:p w14:paraId="742A790B">
            <w:pPr>
              <w:pStyle w:val="12"/>
            </w:pPr>
            <w:r>
              <w:t>按照序时进度完成资金支付</w:t>
            </w:r>
          </w:p>
        </w:tc>
        <w:tc>
          <w:tcPr>
            <w:tcW w:w="2268" w:type="dxa"/>
            <w:vAlign w:val="center"/>
          </w:tcPr>
          <w:p w14:paraId="07AE2C2C">
            <w:pPr>
              <w:pStyle w:val="12"/>
            </w:pPr>
            <w:r>
              <w:t>100%</w:t>
            </w:r>
          </w:p>
        </w:tc>
        <w:tc>
          <w:tcPr>
            <w:tcW w:w="1276" w:type="dxa"/>
            <w:vAlign w:val="center"/>
          </w:tcPr>
          <w:p w14:paraId="68A76778">
            <w:pPr>
              <w:pStyle w:val="12"/>
            </w:pPr>
            <w:r>
              <w:t>城乡义务教育公用经费管理办法</w:t>
            </w:r>
          </w:p>
        </w:tc>
      </w:tr>
      <w:tr w14:paraId="0AC6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C328F"/>
        </w:tc>
        <w:tc>
          <w:tcPr>
            <w:tcW w:w="2268" w:type="dxa"/>
            <w:vAlign w:val="center"/>
          </w:tcPr>
          <w:p w14:paraId="64A1D07E">
            <w:pPr>
              <w:pStyle w:val="12"/>
            </w:pPr>
            <w:r>
              <w:t>成本指标</w:t>
            </w:r>
          </w:p>
        </w:tc>
        <w:tc>
          <w:tcPr>
            <w:tcW w:w="2835" w:type="dxa"/>
            <w:vAlign w:val="center"/>
          </w:tcPr>
          <w:p w14:paraId="75312A64">
            <w:pPr>
              <w:pStyle w:val="12"/>
            </w:pPr>
            <w:r>
              <w:t>生均拨款标准</w:t>
            </w:r>
          </w:p>
        </w:tc>
        <w:tc>
          <w:tcPr>
            <w:tcW w:w="5386" w:type="dxa"/>
            <w:vAlign w:val="center"/>
          </w:tcPr>
          <w:p w14:paraId="02813927">
            <w:pPr>
              <w:pStyle w:val="12"/>
            </w:pPr>
            <w:r>
              <w:t>小学：（基本标准720元、寄宿生300元、生活补助120元）/生/学年；特教、随班就读学生：标准7000元/生/学年</w:t>
            </w:r>
          </w:p>
        </w:tc>
        <w:tc>
          <w:tcPr>
            <w:tcW w:w="2268" w:type="dxa"/>
            <w:vAlign w:val="center"/>
          </w:tcPr>
          <w:p w14:paraId="5B2C7596">
            <w:pPr>
              <w:pStyle w:val="12"/>
            </w:pPr>
            <w:r>
              <w:t>840元</w:t>
            </w:r>
          </w:p>
        </w:tc>
        <w:tc>
          <w:tcPr>
            <w:tcW w:w="1276" w:type="dxa"/>
            <w:vAlign w:val="center"/>
          </w:tcPr>
          <w:p w14:paraId="328ED3D7">
            <w:pPr>
              <w:pStyle w:val="12"/>
            </w:pPr>
            <w:r>
              <w:t>城乡义务教育公用经费管理办法</w:t>
            </w:r>
          </w:p>
        </w:tc>
      </w:tr>
      <w:tr w14:paraId="3E68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76B2D">
            <w:pPr>
              <w:pStyle w:val="13"/>
            </w:pPr>
            <w:r>
              <w:t>效益指标</w:t>
            </w:r>
          </w:p>
        </w:tc>
        <w:tc>
          <w:tcPr>
            <w:tcW w:w="2268" w:type="dxa"/>
            <w:vAlign w:val="center"/>
          </w:tcPr>
          <w:p w14:paraId="05052593">
            <w:pPr>
              <w:pStyle w:val="12"/>
            </w:pPr>
            <w:r>
              <w:t>社会效益指标</w:t>
            </w:r>
          </w:p>
        </w:tc>
        <w:tc>
          <w:tcPr>
            <w:tcW w:w="2835" w:type="dxa"/>
            <w:vAlign w:val="center"/>
          </w:tcPr>
          <w:p w14:paraId="3FF6C8FE">
            <w:pPr>
              <w:pStyle w:val="12"/>
            </w:pPr>
            <w:r>
              <w:t>学校稳定率</w:t>
            </w:r>
          </w:p>
        </w:tc>
        <w:tc>
          <w:tcPr>
            <w:tcW w:w="5386" w:type="dxa"/>
            <w:vAlign w:val="center"/>
          </w:tcPr>
          <w:p w14:paraId="7FB452CF">
            <w:pPr>
              <w:pStyle w:val="12"/>
            </w:pPr>
            <w:r>
              <w:t>维护学校稳定，保障学校正常教学秩序有效开展</w:t>
            </w:r>
          </w:p>
        </w:tc>
        <w:tc>
          <w:tcPr>
            <w:tcW w:w="2268" w:type="dxa"/>
            <w:vAlign w:val="center"/>
          </w:tcPr>
          <w:p w14:paraId="7FC5804A">
            <w:pPr>
              <w:pStyle w:val="12"/>
            </w:pPr>
            <w:r>
              <w:t>100%</w:t>
            </w:r>
          </w:p>
        </w:tc>
        <w:tc>
          <w:tcPr>
            <w:tcW w:w="1276" w:type="dxa"/>
            <w:vAlign w:val="center"/>
          </w:tcPr>
          <w:p w14:paraId="1943DE21">
            <w:pPr>
              <w:pStyle w:val="12"/>
            </w:pPr>
            <w:r>
              <w:t>城乡义务教育公用经费管理办法</w:t>
            </w:r>
          </w:p>
        </w:tc>
      </w:tr>
      <w:tr w14:paraId="0C13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5D6F0">
            <w:pPr>
              <w:pStyle w:val="13"/>
            </w:pPr>
            <w:r>
              <w:t>满意度指标</w:t>
            </w:r>
          </w:p>
        </w:tc>
        <w:tc>
          <w:tcPr>
            <w:tcW w:w="2268" w:type="dxa"/>
            <w:vAlign w:val="center"/>
          </w:tcPr>
          <w:p w14:paraId="18B03E7A">
            <w:pPr>
              <w:pStyle w:val="12"/>
            </w:pPr>
            <w:r>
              <w:t>服务对象满意度指标</w:t>
            </w:r>
          </w:p>
        </w:tc>
        <w:tc>
          <w:tcPr>
            <w:tcW w:w="2835" w:type="dxa"/>
            <w:vAlign w:val="center"/>
          </w:tcPr>
          <w:p w14:paraId="5792BF46">
            <w:pPr>
              <w:pStyle w:val="12"/>
            </w:pPr>
            <w:r>
              <w:t>家长和学生满意度</w:t>
            </w:r>
          </w:p>
        </w:tc>
        <w:tc>
          <w:tcPr>
            <w:tcW w:w="5386" w:type="dxa"/>
            <w:vAlign w:val="center"/>
          </w:tcPr>
          <w:p w14:paraId="7C7FDEFE">
            <w:pPr>
              <w:pStyle w:val="12"/>
            </w:pPr>
            <w:r>
              <w:t>家长和学生满意度</w:t>
            </w:r>
          </w:p>
        </w:tc>
        <w:tc>
          <w:tcPr>
            <w:tcW w:w="2268" w:type="dxa"/>
            <w:vAlign w:val="center"/>
          </w:tcPr>
          <w:p w14:paraId="7F8F179F">
            <w:pPr>
              <w:pStyle w:val="12"/>
            </w:pPr>
            <w:r>
              <w:t>≥95%</w:t>
            </w:r>
          </w:p>
        </w:tc>
        <w:tc>
          <w:tcPr>
            <w:tcW w:w="1276" w:type="dxa"/>
            <w:vAlign w:val="center"/>
          </w:tcPr>
          <w:p w14:paraId="108FE5DD">
            <w:pPr>
              <w:pStyle w:val="12"/>
            </w:pPr>
            <w:r>
              <w:t>问卷调查</w:t>
            </w:r>
          </w:p>
        </w:tc>
      </w:tr>
    </w:tbl>
    <w:p w14:paraId="1EE2B8D3">
      <w:pPr>
        <w:sectPr>
          <w:pgSz w:w="16840" w:h="11900" w:orient="landscape"/>
          <w:pgMar w:top="1361" w:right="1020" w:bottom="1134" w:left="1020" w:header="720" w:footer="720" w:gutter="0"/>
          <w:cols w:space="720" w:num="1"/>
        </w:sectPr>
      </w:pPr>
    </w:p>
    <w:p w14:paraId="0E3AC8FC">
      <w:pPr>
        <w:spacing w:before="0" w:after="0"/>
        <w:ind w:firstLine="560"/>
        <w:jc w:val="left"/>
        <w:outlineLvl w:val="9"/>
      </w:pPr>
      <w:r>
        <w:rPr>
          <w:rFonts w:ascii="方正仿宋_GBK" w:hAnsi="方正仿宋_GBK" w:eastAsia="方正仿宋_GBK" w:cs="方正仿宋_GBK"/>
          <w:b/>
          <w:color w:val="000000"/>
          <w:sz w:val="28"/>
        </w:rPr>
        <w:t>15、冀财教[2025]147号/省级/2026年义教补助经费/固城校区火连庄小学公用经费绩效目标表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53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A81C5">
            <w:pPr>
              <w:pStyle w:val="11"/>
            </w:pPr>
            <w:r>
              <w:t>单位：万元</w:t>
            </w:r>
          </w:p>
        </w:tc>
      </w:tr>
      <w:tr w14:paraId="48CDA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A7299">
            <w:pPr>
              <w:pStyle w:val="10"/>
            </w:pPr>
            <w:r>
              <w:t>项目编码</w:t>
            </w:r>
          </w:p>
        </w:tc>
        <w:tc>
          <w:tcPr>
            <w:tcW w:w="5103" w:type="dxa"/>
            <w:gridSpan w:val="2"/>
            <w:vAlign w:val="center"/>
          </w:tcPr>
          <w:p w14:paraId="3E2DAD8B">
            <w:pPr>
              <w:pStyle w:val="12"/>
            </w:pPr>
            <w:r>
              <w:t>13052526P00000410381W</w:t>
            </w:r>
          </w:p>
        </w:tc>
        <w:tc>
          <w:tcPr>
            <w:tcW w:w="2835" w:type="dxa"/>
            <w:vAlign w:val="center"/>
          </w:tcPr>
          <w:p w14:paraId="0D252F91">
            <w:pPr>
              <w:pStyle w:val="10"/>
            </w:pPr>
            <w:r>
              <w:t>项目名称</w:t>
            </w:r>
          </w:p>
        </w:tc>
        <w:tc>
          <w:tcPr>
            <w:tcW w:w="6095" w:type="dxa"/>
            <w:gridSpan w:val="3"/>
            <w:vAlign w:val="center"/>
          </w:tcPr>
          <w:p w14:paraId="485F6812">
            <w:pPr>
              <w:pStyle w:val="12"/>
            </w:pPr>
            <w:r>
              <w:t>冀财教[2025]147号/省级/2026年义教补助经费/固城校区火连庄小学公用经费</w:t>
            </w:r>
          </w:p>
        </w:tc>
      </w:tr>
      <w:tr w14:paraId="64BD1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FCF17">
            <w:pPr>
              <w:pStyle w:val="10"/>
            </w:pPr>
            <w:r>
              <w:t>预算规模及资金用途</w:t>
            </w:r>
          </w:p>
        </w:tc>
        <w:tc>
          <w:tcPr>
            <w:tcW w:w="2268" w:type="dxa"/>
            <w:vAlign w:val="center"/>
          </w:tcPr>
          <w:p w14:paraId="530443A4">
            <w:pPr>
              <w:pStyle w:val="10"/>
            </w:pPr>
            <w:r>
              <w:t>预算数</w:t>
            </w:r>
          </w:p>
        </w:tc>
        <w:tc>
          <w:tcPr>
            <w:tcW w:w="2835" w:type="dxa"/>
            <w:vAlign w:val="center"/>
          </w:tcPr>
          <w:p w14:paraId="1AA3A951">
            <w:pPr>
              <w:pStyle w:val="12"/>
            </w:pPr>
            <w:r>
              <w:t>20.26</w:t>
            </w:r>
          </w:p>
        </w:tc>
        <w:tc>
          <w:tcPr>
            <w:tcW w:w="2835" w:type="dxa"/>
            <w:vAlign w:val="center"/>
          </w:tcPr>
          <w:p w14:paraId="198AD5CC">
            <w:pPr>
              <w:pStyle w:val="10"/>
            </w:pPr>
            <w:r>
              <w:t>其中：财政    资金</w:t>
            </w:r>
          </w:p>
        </w:tc>
        <w:tc>
          <w:tcPr>
            <w:tcW w:w="2551" w:type="dxa"/>
            <w:vAlign w:val="center"/>
          </w:tcPr>
          <w:p w14:paraId="39E3351B">
            <w:pPr>
              <w:pStyle w:val="12"/>
            </w:pPr>
            <w:r>
              <w:t>20.26</w:t>
            </w:r>
          </w:p>
        </w:tc>
        <w:tc>
          <w:tcPr>
            <w:tcW w:w="2268" w:type="dxa"/>
            <w:vAlign w:val="center"/>
          </w:tcPr>
          <w:p w14:paraId="270C39D1">
            <w:pPr>
              <w:pStyle w:val="10"/>
            </w:pPr>
            <w:r>
              <w:t>其他资金</w:t>
            </w:r>
          </w:p>
        </w:tc>
        <w:tc>
          <w:tcPr>
            <w:tcW w:w="1276" w:type="dxa"/>
            <w:vAlign w:val="center"/>
          </w:tcPr>
          <w:p w14:paraId="28E4E858">
            <w:pPr>
              <w:pStyle w:val="12"/>
            </w:pPr>
            <w:r>
              <w:t xml:space="preserve"> </w:t>
            </w:r>
          </w:p>
        </w:tc>
      </w:tr>
      <w:tr w14:paraId="577A9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98AC1"/>
        </w:tc>
        <w:tc>
          <w:tcPr>
            <w:tcW w:w="14033" w:type="dxa"/>
            <w:gridSpan w:val="6"/>
            <w:vAlign w:val="center"/>
          </w:tcPr>
          <w:p w14:paraId="5A6C813E">
            <w:pPr>
              <w:pStyle w:val="12"/>
            </w:pPr>
            <w:r>
              <w:t>有效完成学校教学安全秩序，保障学校教学任务有效开展，满足学校正常教学需要。</w:t>
            </w:r>
          </w:p>
        </w:tc>
      </w:tr>
      <w:tr w14:paraId="6F6D4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0AEF1">
            <w:pPr>
              <w:pStyle w:val="10"/>
            </w:pPr>
            <w:r>
              <w:t>资金支出计划（%）</w:t>
            </w:r>
          </w:p>
        </w:tc>
        <w:tc>
          <w:tcPr>
            <w:tcW w:w="5103" w:type="dxa"/>
            <w:gridSpan w:val="2"/>
            <w:vAlign w:val="center"/>
          </w:tcPr>
          <w:p w14:paraId="12D7945A">
            <w:pPr>
              <w:pStyle w:val="10"/>
            </w:pPr>
            <w:r>
              <w:t>3月底</w:t>
            </w:r>
          </w:p>
        </w:tc>
        <w:tc>
          <w:tcPr>
            <w:tcW w:w="2835" w:type="dxa"/>
            <w:vAlign w:val="center"/>
          </w:tcPr>
          <w:p w14:paraId="15F75B58">
            <w:pPr>
              <w:pStyle w:val="10"/>
            </w:pPr>
            <w:r>
              <w:t>6月底</w:t>
            </w:r>
          </w:p>
        </w:tc>
        <w:tc>
          <w:tcPr>
            <w:tcW w:w="2551" w:type="dxa"/>
            <w:vAlign w:val="center"/>
          </w:tcPr>
          <w:p w14:paraId="4D61BB67">
            <w:pPr>
              <w:pStyle w:val="10"/>
            </w:pPr>
            <w:r>
              <w:t>10月底</w:t>
            </w:r>
          </w:p>
        </w:tc>
        <w:tc>
          <w:tcPr>
            <w:tcW w:w="3544" w:type="dxa"/>
            <w:gridSpan w:val="2"/>
            <w:vAlign w:val="center"/>
          </w:tcPr>
          <w:p w14:paraId="5295BCDA">
            <w:pPr>
              <w:pStyle w:val="10"/>
            </w:pPr>
            <w:r>
              <w:t>12月底</w:t>
            </w:r>
          </w:p>
        </w:tc>
      </w:tr>
      <w:tr w14:paraId="7E7CA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829AA"/>
        </w:tc>
        <w:tc>
          <w:tcPr>
            <w:tcW w:w="5103" w:type="dxa"/>
            <w:gridSpan w:val="2"/>
            <w:vAlign w:val="center"/>
          </w:tcPr>
          <w:p w14:paraId="754DE55E">
            <w:pPr>
              <w:pStyle w:val="13"/>
            </w:pPr>
            <w:r>
              <w:t>25%</w:t>
            </w:r>
          </w:p>
        </w:tc>
        <w:tc>
          <w:tcPr>
            <w:tcW w:w="2835" w:type="dxa"/>
            <w:vAlign w:val="center"/>
          </w:tcPr>
          <w:p w14:paraId="57AB2D36">
            <w:pPr>
              <w:pStyle w:val="13"/>
            </w:pPr>
            <w:r>
              <w:t>50%</w:t>
            </w:r>
          </w:p>
        </w:tc>
        <w:tc>
          <w:tcPr>
            <w:tcW w:w="2551" w:type="dxa"/>
            <w:vAlign w:val="center"/>
          </w:tcPr>
          <w:p w14:paraId="39FE0834">
            <w:pPr>
              <w:pStyle w:val="13"/>
            </w:pPr>
            <w:r>
              <w:t>75%</w:t>
            </w:r>
          </w:p>
        </w:tc>
        <w:tc>
          <w:tcPr>
            <w:tcW w:w="3544" w:type="dxa"/>
            <w:gridSpan w:val="2"/>
            <w:vAlign w:val="center"/>
          </w:tcPr>
          <w:p w14:paraId="56188220">
            <w:pPr>
              <w:pStyle w:val="13"/>
            </w:pPr>
            <w:r>
              <w:t>100%</w:t>
            </w:r>
          </w:p>
        </w:tc>
      </w:tr>
      <w:tr w14:paraId="7E318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5CDCE">
            <w:pPr>
              <w:pStyle w:val="10"/>
            </w:pPr>
            <w:r>
              <w:t>绩效目标</w:t>
            </w:r>
          </w:p>
        </w:tc>
        <w:tc>
          <w:tcPr>
            <w:tcW w:w="14033" w:type="dxa"/>
            <w:gridSpan w:val="6"/>
            <w:vAlign w:val="center"/>
          </w:tcPr>
          <w:p w14:paraId="45AE99B1">
            <w:pPr>
              <w:pStyle w:val="12"/>
            </w:pPr>
            <w:r>
              <w:t>1.有效完成学校教学安全秩序，保障学校教学任务有效开展，满足学校正常教学需要。</w:t>
            </w:r>
          </w:p>
          <w:p w14:paraId="21E86070">
            <w:pPr>
              <w:pStyle w:val="12"/>
            </w:pPr>
            <w:r>
              <w:t>2.按规定拨付公用经费资金，预算执行率100%。</w:t>
            </w:r>
            <w:r>
              <w:tab/>
            </w:r>
          </w:p>
        </w:tc>
      </w:tr>
    </w:tbl>
    <w:p w14:paraId="00AAC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F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4F0F1">
            <w:pPr>
              <w:pStyle w:val="10"/>
            </w:pPr>
            <w:r>
              <w:t>一级指标</w:t>
            </w:r>
          </w:p>
        </w:tc>
        <w:tc>
          <w:tcPr>
            <w:tcW w:w="2268" w:type="dxa"/>
            <w:vAlign w:val="center"/>
          </w:tcPr>
          <w:p w14:paraId="011F41E2">
            <w:pPr>
              <w:pStyle w:val="10"/>
            </w:pPr>
            <w:r>
              <w:t>二级指标</w:t>
            </w:r>
          </w:p>
        </w:tc>
        <w:tc>
          <w:tcPr>
            <w:tcW w:w="2835" w:type="dxa"/>
            <w:vAlign w:val="center"/>
          </w:tcPr>
          <w:p w14:paraId="6BE9FABE">
            <w:pPr>
              <w:pStyle w:val="10"/>
            </w:pPr>
            <w:r>
              <w:t>三级指标</w:t>
            </w:r>
          </w:p>
        </w:tc>
        <w:tc>
          <w:tcPr>
            <w:tcW w:w="5386" w:type="dxa"/>
            <w:vAlign w:val="center"/>
          </w:tcPr>
          <w:p w14:paraId="699500CB">
            <w:pPr>
              <w:pStyle w:val="10"/>
            </w:pPr>
            <w:r>
              <w:t>绩效指标描述</w:t>
            </w:r>
          </w:p>
        </w:tc>
        <w:tc>
          <w:tcPr>
            <w:tcW w:w="2268" w:type="dxa"/>
            <w:vAlign w:val="center"/>
          </w:tcPr>
          <w:p w14:paraId="1B336382">
            <w:pPr>
              <w:pStyle w:val="10"/>
            </w:pPr>
            <w:r>
              <w:t>指标值</w:t>
            </w:r>
          </w:p>
        </w:tc>
        <w:tc>
          <w:tcPr>
            <w:tcW w:w="1276" w:type="dxa"/>
            <w:vAlign w:val="center"/>
          </w:tcPr>
          <w:p w14:paraId="23504317">
            <w:pPr>
              <w:pStyle w:val="10"/>
            </w:pPr>
            <w:r>
              <w:t>指标值确定依据</w:t>
            </w:r>
          </w:p>
        </w:tc>
      </w:tr>
      <w:tr w14:paraId="7820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2B01F">
            <w:pPr>
              <w:pStyle w:val="13"/>
            </w:pPr>
            <w:r>
              <w:t>产出指标</w:t>
            </w:r>
          </w:p>
        </w:tc>
        <w:tc>
          <w:tcPr>
            <w:tcW w:w="2268" w:type="dxa"/>
            <w:vAlign w:val="center"/>
          </w:tcPr>
          <w:p w14:paraId="72FB16C4">
            <w:pPr>
              <w:pStyle w:val="12"/>
            </w:pPr>
            <w:r>
              <w:t>数量指标</w:t>
            </w:r>
          </w:p>
        </w:tc>
        <w:tc>
          <w:tcPr>
            <w:tcW w:w="2835" w:type="dxa"/>
            <w:vAlign w:val="center"/>
          </w:tcPr>
          <w:p w14:paraId="57A5AE66">
            <w:pPr>
              <w:pStyle w:val="12"/>
            </w:pPr>
            <w:r>
              <w:t>就读学生数</w:t>
            </w:r>
          </w:p>
        </w:tc>
        <w:tc>
          <w:tcPr>
            <w:tcW w:w="5386" w:type="dxa"/>
            <w:vAlign w:val="center"/>
          </w:tcPr>
          <w:p w14:paraId="6F88ABF0">
            <w:pPr>
              <w:pStyle w:val="12"/>
            </w:pPr>
            <w:r>
              <w:t>辐射区域内适龄学生人数</w:t>
            </w:r>
          </w:p>
        </w:tc>
        <w:tc>
          <w:tcPr>
            <w:tcW w:w="2268" w:type="dxa"/>
            <w:vAlign w:val="center"/>
          </w:tcPr>
          <w:p w14:paraId="64D21217">
            <w:pPr>
              <w:pStyle w:val="12"/>
            </w:pPr>
            <w:r>
              <w:t>430人</w:t>
            </w:r>
          </w:p>
        </w:tc>
        <w:tc>
          <w:tcPr>
            <w:tcW w:w="1276" w:type="dxa"/>
            <w:vAlign w:val="center"/>
          </w:tcPr>
          <w:p w14:paraId="5BB8D79E">
            <w:pPr>
              <w:pStyle w:val="12"/>
            </w:pPr>
            <w:r>
              <w:t>城乡义务教育公用经费管理办法</w:t>
            </w:r>
          </w:p>
        </w:tc>
      </w:tr>
      <w:tr w14:paraId="3F8D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FC670"/>
        </w:tc>
        <w:tc>
          <w:tcPr>
            <w:tcW w:w="2268" w:type="dxa"/>
            <w:vAlign w:val="center"/>
          </w:tcPr>
          <w:p w14:paraId="767455A4">
            <w:pPr>
              <w:pStyle w:val="12"/>
            </w:pPr>
            <w:r>
              <w:t>质量指标</w:t>
            </w:r>
          </w:p>
        </w:tc>
        <w:tc>
          <w:tcPr>
            <w:tcW w:w="2835" w:type="dxa"/>
            <w:vAlign w:val="center"/>
          </w:tcPr>
          <w:p w14:paraId="07107600">
            <w:pPr>
              <w:pStyle w:val="12"/>
            </w:pPr>
            <w:r>
              <w:t>预算执行率</w:t>
            </w:r>
          </w:p>
        </w:tc>
        <w:tc>
          <w:tcPr>
            <w:tcW w:w="5386" w:type="dxa"/>
            <w:vAlign w:val="center"/>
          </w:tcPr>
          <w:p w14:paraId="2DA59895">
            <w:pPr>
              <w:pStyle w:val="12"/>
            </w:pPr>
            <w:r>
              <w:t>预算执行率</w:t>
            </w:r>
          </w:p>
        </w:tc>
        <w:tc>
          <w:tcPr>
            <w:tcW w:w="2268" w:type="dxa"/>
            <w:vAlign w:val="center"/>
          </w:tcPr>
          <w:p w14:paraId="7B1BC28E">
            <w:pPr>
              <w:pStyle w:val="12"/>
            </w:pPr>
            <w:r>
              <w:t>≥98%</w:t>
            </w:r>
          </w:p>
        </w:tc>
        <w:tc>
          <w:tcPr>
            <w:tcW w:w="1276" w:type="dxa"/>
            <w:vAlign w:val="center"/>
          </w:tcPr>
          <w:p w14:paraId="526D350C">
            <w:pPr>
              <w:pStyle w:val="12"/>
            </w:pPr>
            <w:r>
              <w:t>城乡义务教育公用经费管理办法</w:t>
            </w:r>
          </w:p>
        </w:tc>
      </w:tr>
      <w:tr w14:paraId="3625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93A72"/>
        </w:tc>
        <w:tc>
          <w:tcPr>
            <w:tcW w:w="2268" w:type="dxa"/>
            <w:vAlign w:val="center"/>
          </w:tcPr>
          <w:p w14:paraId="20A45423">
            <w:pPr>
              <w:pStyle w:val="12"/>
            </w:pPr>
            <w:r>
              <w:t>时效指标</w:t>
            </w:r>
          </w:p>
        </w:tc>
        <w:tc>
          <w:tcPr>
            <w:tcW w:w="2835" w:type="dxa"/>
            <w:vAlign w:val="center"/>
          </w:tcPr>
          <w:p w14:paraId="14ED5BBB">
            <w:pPr>
              <w:pStyle w:val="12"/>
            </w:pPr>
            <w:r>
              <w:t>义教经费支付完成率</w:t>
            </w:r>
          </w:p>
        </w:tc>
        <w:tc>
          <w:tcPr>
            <w:tcW w:w="5386" w:type="dxa"/>
            <w:vAlign w:val="center"/>
          </w:tcPr>
          <w:p w14:paraId="308A12D0">
            <w:pPr>
              <w:pStyle w:val="12"/>
            </w:pPr>
            <w:r>
              <w:t>按照序时进度完成资金支付</w:t>
            </w:r>
          </w:p>
        </w:tc>
        <w:tc>
          <w:tcPr>
            <w:tcW w:w="2268" w:type="dxa"/>
            <w:vAlign w:val="center"/>
          </w:tcPr>
          <w:p w14:paraId="48A639BE">
            <w:pPr>
              <w:pStyle w:val="12"/>
            </w:pPr>
            <w:r>
              <w:t>100%</w:t>
            </w:r>
          </w:p>
        </w:tc>
        <w:tc>
          <w:tcPr>
            <w:tcW w:w="1276" w:type="dxa"/>
            <w:vAlign w:val="center"/>
          </w:tcPr>
          <w:p w14:paraId="20498A7A">
            <w:pPr>
              <w:pStyle w:val="12"/>
            </w:pPr>
            <w:r>
              <w:t>城乡义务教育公用经费管理办法</w:t>
            </w:r>
          </w:p>
        </w:tc>
      </w:tr>
      <w:tr w14:paraId="2CB3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A7A7D"/>
        </w:tc>
        <w:tc>
          <w:tcPr>
            <w:tcW w:w="2268" w:type="dxa"/>
            <w:vAlign w:val="center"/>
          </w:tcPr>
          <w:p w14:paraId="26A1DAFC">
            <w:pPr>
              <w:pStyle w:val="12"/>
            </w:pPr>
            <w:r>
              <w:t>成本指标</w:t>
            </w:r>
          </w:p>
        </w:tc>
        <w:tc>
          <w:tcPr>
            <w:tcW w:w="2835" w:type="dxa"/>
            <w:vAlign w:val="center"/>
          </w:tcPr>
          <w:p w14:paraId="5A2DA070">
            <w:pPr>
              <w:pStyle w:val="12"/>
            </w:pPr>
            <w:r>
              <w:t>生均拨款标准</w:t>
            </w:r>
          </w:p>
        </w:tc>
        <w:tc>
          <w:tcPr>
            <w:tcW w:w="5386" w:type="dxa"/>
            <w:vAlign w:val="center"/>
          </w:tcPr>
          <w:p w14:paraId="212F2453">
            <w:pPr>
              <w:pStyle w:val="12"/>
            </w:pPr>
            <w:r>
              <w:t>小学：（基本标准720元、寄宿生300元、生活补助120元）/生/学年；特教、随班就读学生：标准7000元/生/学年</w:t>
            </w:r>
          </w:p>
        </w:tc>
        <w:tc>
          <w:tcPr>
            <w:tcW w:w="2268" w:type="dxa"/>
            <w:vAlign w:val="center"/>
          </w:tcPr>
          <w:p w14:paraId="27B8674E">
            <w:pPr>
              <w:pStyle w:val="12"/>
            </w:pPr>
            <w:r>
              <w:t>840元</w:t>
            </w:r>
          </w:p>
        </w:tc>
        <w:tc>
          <w:tcPr>
            <w:tcW w:w="1276" w:type="dxa"/>
            <w:vAlign w:val="center"/>
          </w:tcPr>
          <w:p w14:paraId="7C322641">
            <w:pPr>
              <w:pStyle w:val="12"/>
            </w:pPr>
            <w:r>
              <w:t>城乡义务教育公用经费管理办法</w:t>
            </w:r>
          </w:p>
        </w:tc>
      </w:tr>
      <w:tr w14:paraId="5908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4F521">
            <w:pPr>
              <w:pStyle w:val="13"/>
            </w:pPr>
            <w:r>
              <w:t>效益指标</w:t>
            </w:r>
          </w:p>
        </w:tc>
        <w:tc>
          <w:tcPr>
            <w:tcW w:w="2268" w:type="dxa"/>
            <w:vAlign w:val="center"/>
          </w:tcPr>
          <w:p w14:paraId="0D0ACB8E">
            <w:pPr>
              <w:pStyle w:val="12"/>
            </w:pPr>
            <w:r>
              <w:t>社会效益指标</w:t>
            </w:r>
          </w:p>
        </w:tc>
        <w:tc>
          <w:tcPr>
            <w:tcW w:w="2835" w:type="dxa"/>
            <w:vAlign w:val="center"/>
          </w:tcPr>
          <w:p w14:paraId="1D1B0605">
            <w:pPr>
              <w:pStyle w:val="12"/>
            </w:pPr>
            <w:r>
              <w:t>学校稳定率</w:t>
            </w:r>
          </w:p>
        </w:tc>
        <w:tc>
          <w:tcPr>
            <w:tcW w:w="5386" w:type="dxa"/>
            <w:vAlign w:val="center"/>
          </w:tcPr>
          <w:p w14:paraId="4FF43F84">
            <w:pPr>
              <w:pStyle w:val="12"/>
            </w:pPr>
            <w:r>
              <w:t>维护学校稳定，保障学校正常教学秩序有效开展</w:t>
            </w:r>
          </w:p>
        </w:tc>
        <w:tc>
          <w:tcPr>
            <w:tcW w:w="2268" w:type="dxa"/>
            <w:vAlign w:val="center"/>
          </w:tcPr>
          <w:p w14:paraId="3F80DAF3">
            <w:pPr>
              <w:pStyle w:val="12"/>
            </w:pPr>
            <w:r>
              <w:t>100%</w:t>
            </w:r>
          </w:p>
        </w:tc>
        <w:tc>
          <w:tcPr>
            <w:tcW w:w="1276" w:type="dxa"/>
            <w:vAlign w:val="center"/>
          </w:tcPr>
          <w:p w14:paraId="5430974D">
            <w:pPr>
              <w:pStyle w:val="12"/>
            </w:pPr>
            <w:r>
              <w:t>城乡义务教育公用经费管理办法</w:t>
            </w:r>
          </w:p>
        </w:tc>
      </w:tr>
      <w:tr w14:paraId="7BA3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241EB">
            <w:pPr>
              <w:pStyle w:val="13"/>
            </w:pPr>
            <w:r>
              <w:t>满意度指标</w:t>
            </w:r>
          </w:p>
        </w:tc>
        <w:tc>
          <w:tcPr>
            <w:tcW w:w="2268" w:type="dxa"/>
            <w:vAlign w:val="center"/>
          </w:tcPr>
          <w:p w14:paraId="1AF899E7">
            <w:pPr>
              <w:pStyle w:val="12"/>
            </w:pPr>
            <w:r>
              <w:t>服务对象满意度指标</w:t>
            </w:r>
          </w:p>
        </w:tc>
        <w:tc>
          <w:tcPr>
            <w:tcW w:w="2835" w:type="dxa"/>
            <w:vAlign w:val="center"/>
          </w:tcPr>
          <w:p w14:paraId="0A843BFB">
            <w:pPr>
              <w:pStyle w:val="12"/>
            </w:pPr>
            <w:r>
              <w:t>家长和学生满意度</w:t>
            </w:r>
          </w:p>
        </w:tc>
        <w:tc>
          <w:tcPr>
            <w:tcW w:w="5386" w:type="dxa"/>
            <w:vAlign w:val="center"/>
          </w:tcPr>
          <w:p w14:paraId="1E2D92DA">
            <w:pPr>
              <w:pStyle w:val="12"/>
            </w:pPr>
            <w:r>
              <w:t>家长和学生满意度</w:t>
            </w:r>
          </w:p>
        </w:tc>
        <w:tc>
          <w:tcPr>
            <w:tcW w:w="2268" w:type="dxa"/>
            <w:vAlign w:val="center"/>
          </w:tcPr>
          <w:p w14:paraId="4C019C7A">
            <w:pPr>
              <w:pStyle w:val="12"/>
            </w:pPr>
            <w:r>
              <w:t>≥95%</w:t>
            </w:r>
          </w:p>
        </w:tc>
        <w:tc>
          <w:tcPr>
            <w:tcW w:w="1276" w:type="dxa"/>
            <w:vAlign w:val="center"/>
          </w:tcPr>
          <w:p w14:paraId="1B05A5E4">
            <w:pPr>
              <w:pStyle w:val="12"/>
            </w:pPr>
            <w:r>
              <w:t>问卷调查</w:t>
            </w:r>
          </w:p>
        </w:tc>
      </w:tr>
    </w:tbl>
    <w:p w14:paraId="29FD6B16">
      <w:pPr>
        <w:sectPr>
          <w:pgSz w:w="16840" w:h="11900" w:orient="landscape"/>
          <w:pgMar w:top="1361" w:right="1020" w:bottom="1134" w:left="1020" w:header="720" w:footer="720" w:gutter="0"/>
          <w:cols w:space="720" w:num="1"/>
        </w:sectPr>
      </w:pPr>
    </w:p>
    <w:p w14:paraId="11AF3BB7">
      <w:pPr>
        <w:spacing w:before="0" w:after="0"/>
        <w:ind w:firstLine="560"/>
        <w:jc w:val="left"/>
        <w:outlineLvl w:val="9"/>
      </w:pPr>
      <w:r>
        <w:rPr>
          <w:rFonts w:ascii="方正仿宋_GBK" w:hAnsi="方正仿宋_GBK" w:eastAsia="方正仿宋_GBK" w:cs="方正仿宋_GBK"/>
          <w:b/>
          <w:color w:val="000000"/>
          <w:sz w:val="28"/>
        </w:rPr>
        <w:t>16、冀财教[2025]147号/省级/2026年义教补助经费/固城校区乡观小学公用经费绩效目标表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95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E24F6">
            <w:pPr>
              <w:pStyle w:val="11"/>
            </w:pPr>
            <w:r>
              <w:t>单位：万元</w:t>
            </w:r>
          </w:p>
        </w:tc>
      </w:tr>
      <w:tr w14:paraId="52BE6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46438">
            <w:pPr>
              <w:pStyle w:val="10"/>
            </w:pPr>
            <w:r>
              <w:t>项目编码</w:t>
            </w:r>
          </w:p>
        </w:tc>
        <w:tc>
          <w:tcPr>
            <w:tcW w:w="5103" w:type="dxa"/>
            <w:gridSpan w:val="2"/>
            <w:vAlign w:val="center"/>
          </w:tcPr>
          <w:p w14:paraId="1A92702F">
            <w:pPr>
              <w:pStyle w:val="12"/>
            </w:pPr>
            <w:r>
              <w:t>13052526P000004103834</w:t>
            </w:r>
          </w:p>
        </w:tc>
        <w:tc>
          <w:tcPr>
            <w:tcW w:w="2835" w:type="dxa"/>
            <w:vAlign w:val="center"/>
          </w:tcPr>
          <w:p w14:paraId="6DBFCFE2">
            <w:pPr>
              <w:pStyle w:val="10"/>
            </w:pPr>
            <w:r>
              <w:t>项目名称</w:t>
            </w:r>
          </w:p>
        </w:tc>
        <w:tc>
          <w:tcPr>
            <w:tcW w:w="6095" w:type="dxa"/>
            <w:gridSpan w:val="3"/>
            <w:vAlign w:val="center"/>
          </w:tcPr>
          <w:p w14:paraId="066C5BEE">
            <w:pPr>
              <w:pStyle w:val="12"/>
            </w:pPr>
            <w:r>
              <w:t>冀财教[2025]147号/省级/2026年义教补助经费/固城校区乡观小学公用经费</w:t>
            </w:r>
          </w:p>
        </w:tc>
      </w:tr>
      <w:tr w14:paraId="595AC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86FCE">
            <w:pPr>
              <w:pStyle w:val="10"/>
            </w:pPr>
            <w:r>
              <w:t>预算规模及资金用途</w:t>
            </w:r>
          </w:p>
        </w:tc>
        <w:tc>
          <w:tcPr>
            <w:tcW w:w="2268" w:type="dxa"/>
            <w:vAlign w:val="center"/>
          </w:tcPr>
          <w:p w14:paraId="13645FF2">
            <w:pPr>
              <w:pStyle w:val="10"/>
            </w:pPr>
            <w:r>
              <w:t>预算数</w:t>
            </w:r>
          </w:p>
        </w:tc>
        <w:tc>
          <w:tcPr>
            <w:tcW w:w="2835" w:type="dxa"/>
            <w:vAlign w:val="center"/>
          </w:tcPr>
          <w:p w14:paraId="0A927FE0">
            <w:pPr>
              <w:pStyle w:val="12"/>
            </w:pPr>
            <w:r>
              <w:t>2.61</w:t>
            </w:r>
          </w:p>
        </w:tc>
        <w:tc>
          <w:tcPr>
            <w:tcW w:w="2835" w:type="dxa"/>
            <w:vAlign w:val="center"/>
          </w:tcPr>
          <w:p w14:paraId="5F81F5CF">
            <w:pPr>
              <w:pStyle w:val="10"/>
            </w:pPr>
            <w:r>
              <w:t>其中：财政    资金</w:t>
            </w:r>
          </w:p>
        </w:tc>
        <w:tc>
          <w:tcPr>
            <w:tcW w:w="2551" w:type="dxa"/>
            <w:vAlign w:val="center"/>
          </w:tcPr>
          <w:p w14:paraId="45236DDE">
            <w:pPr>
              <w:pStyle w:val="12"/>
            </w:pPr>
            <w:r>
              <w:t>2.61</w:t>
            </w:r>
          </w:p>
        </w:tc>
        <w:tc>
          <w:tcPr>
            <w:tcW w:w="2268" w:type="dxa"/>
            <w:vAlign w:val="center"/>
          </w:tcPr>
          <w:p w14:paraId="5AF02839">
            <w:pPr>
              <w:pStyle w:val="10"/>
            </w:pPr>
            <w:r>
              <w:t>其他资金</w:t>
            </w:r>
          </w:p>
        </w:tc>
        <w:tc>
          <w:tcPr>
            <w:tcW w:w="1276" w:type="dxa"/>
            <w:vAlign w:val="center"/>
          </w:tcPr>
          <w:p w14:paraId="4C44C464">
            <w:pPr>
              <w:pStyle w:val="12"/>
            </w:pPr>
            <w:r>
              <w:t xml:space="preserve"> </w:t>
            </w:r>
          </w:p>
        </w:tc>
      </w:tr>
      <w:tr w14:paraId="05715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27F92"/>
        </w:tc>
        <w:tc>
          <w:tcPr>
            <w:tcW w:w="14033" w:type="dxa"/>
            <w:gridSpan w:val="6"/>
            <w:vAlign w:val="center"/>
          </w:tcPr>
          <w:p w14:paraId="572D11DA">
            <w:pPr>
              <w:pStyle w:val="12"/>
            </w:pPr>
            <w:r>
              <w:t>有效完成学校教学安全秩序，保障学校教学任务有效开展，满足学校正常教学需要。</w:t>
            </w:r>
          </w:p>
        </w:tc>
      </w:tr>
      <w:tr w14:paraId="0B2C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BD4BF">
            <w:pPr>
              <w:pStyle w:val="10"/>
            </w:pPr>
            <w:r>
              <w:t>资金支出计划（%）</w:t>
            </w:r>
          </w:p>
        </w:tc>
        <w:tc>
          <w:tcPr>
            <w:tcW w:w="5103" w:type="dxa"/>
            <w:gridSpan w:val="2"/>
            <w:vAlign w:val="center"/>
          </w:tcPr>
          <w:p w14:paraId="3814F70D">
            <w:pPr>
              <w:pStyle w:val="10"/>
            </w:pPr>
            <w:r>
              <w:t>3月底</w:t>
            </w:r>
          </w:p>
        </w:tc>
        <w:tc>
          <w:tcPr>
            <w:tcW w:w="2835" w:type="dxa"/>
            <w:vAlign w:val="center"/>
          </w:tcPr>
          <w:p w14:paraId="68153136">
            <w:pPr>
              <w:pStyle w:val="10"/>
            </w:pPr>
            <w:r>
              <w:t>6月底</w:t>
            </w:r>
          </w:p>
        </w:tc>
        <w:tc>
          <w:tcPr>
            <w:tcW w:w="2551" w:type="dxa"/>
            <w:vAlign w:val="center"/>
          </w:tcPr>
          <w:p w14:paraId="3293E1D9">
            <w:pPr>
              <w:pStyle w:val="10"/>
            </w:pPr>
            <w:r>
              <w:t>10月底</w:t>
            </w:r>
          </w:p>
        </w:tc>
        <w:tc>
          <w:tcPr>
            <w:tcW w:w="3544" w:type="dxa"/>
            <w:gridSpan w:val="2"/>
            <w:vAlign w:val="center"/>
          </w:tcPr>
          <w:p w14:paraId="599D61B9">
            <w:pPr>
              <w:pStyle w:val="10"/>
            </w:pPr>
            <w:r>
              <w:t>12月底</w:t>
            </w:r>
          </w:p>
        </w:tc>
      </w:tr>
      <w:tr w14:paraId="24D7B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34C24"/>
        </w:tc>
        <w:tc>
          <w:tcPr>
            <w:tcW w:w="5103" w:type="dxa"/>
            <w:gridSpan w:val="2"/>
            <w:vAlign w:val="center"/>
          </w:tcPr>
          <w:p w14:paraId="70C275E7">
            <w:pPr>
              <w:pStyle w:val="13"/>
            </w:pPr>
            <w:r>
              <w:t>25%</w:t>
            </w:r>
          </w:p>
        </w:tc>
        <w:tc>
          <w:tcPr>
            <w:tcW w:w="2835" w:type="dxa"/>
            <w:vAlign w:val="center"/>
          </w:tcPr>
          <w:p w14:paraId="11824FFE">
            <w:pPr>
              <w:pStyle w:val="13"/>
            </w:pPr>
            <w:r>
              <w:t>50%</w:t>
            </w:r>
          </w:p>
        </w:tc>
        <w:tc>
          <w:tcPr>
            <w:tcW w:w="2551" w:type="dxa"/>
            <w:vAlign w:val="center"/>
          </w:tcPr>
          <w:p w14:paraId="4D9BEC4B">
            <w:pPr>
              <w:pStyle w:val="13"/>
            </w:pPr>
            <w:r>
              <w:t>75%</w:t>
            </w:r>
          </w:p>
        </w:tc>
        <w:tc>
          <w:tcPr>
            <w:tcW w:w="3544" w:type="dxa"/>
            <w:gridSpan w:val="2"/>
            <w:vAlign w:val="center"/>
          </w:tcPr>
          <w:p w14:paraId="05231D0F">
            <w:pPr>
              <w:pStyle w:val="13"/>
            </w:pPr>
            <w:r>
              <w:t>100%</w:t>
            </w:r>
          </w:p>
        </w:tc>
      </w:tr>
      <w:tr w14:paraId="31CED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C6875">
            <w:pPr>
              <w:pStyle w:val="10"/>
            </w:pPr>
            <w:r>
              <w:t>绩效目标</w:t>
            </w:r>
          </w:p>
        </w:tc>
        <w:tc>
          <w:tcPr>
            <w:tcW w:w="14033" w:type="dxa"/>
            <w:gridSpan w:val="6"/>
            <w:vAlign w:val="center"/>
          </w:tcPr>
          <w:p w14:paraId="5CDF7844">
            <w:pPr>
              <w:pStyle w:val="12"/>
            </w:pPr>
            <w:r>
              <w:t>1.有效完成学校教学安全秩序，保障学校教学任务有效开展，满足学校正常教学需要。</w:t>
            </w:r>
          </w:p>
          <w:p w14:paraId="47A8B58B">
            <w:pPr>
              <w:pStyle w:val="12"/>
            </w:pPr>
            <w:r>
              <w:t>2.按规定拨付公用经费资金，预算执行率100%。</w:t>
            </w:r>
            <w:r>
              <w:tab/>
            </w:r>
          </w:p>
        </w:tc>
      </w:tr>
    </w:tbl>
    <w:p w14:paraId="282A4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F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44C05">
            <w:pPr>
              <w:pStyle w:val="10"/>
            </w:pPr>
            <w:r>
              <w:t>一级指标</w:t>
            </w:r>
          </w:p>
        </w:tc>
        <w:tc>
          <w:tcPr>
            <w:tcW w:w="2268" w:type="dxa"/>
            <w:vAlign w:val="center"/>
          </w:tcPr>
          <w:p w14:paraId="13A35E8F">
            <w:pPr>
              <w:pStyle w:val="10"/>
            </w:pPr>
            <w:r>
              <w:t>二级指标</w:t>
            </w:r>
          </w:p>
        </w:tc>
        <w:tc>
          <w:tcPr>
            <w:tcW w:w="2835" w:type="dxa"/>
            <w:vAlign w:val="center"/>
          </w:tcPr>
          <w:p w14:paraId="4F73211E">
            <w:pPr>
              <w:pStyle w:val="10"/>
            </w:pPr>
            <w:r>
              <w:t>三级指标</w:t>
            </w:r>
          </w:p>
        </w:tc>
        <w:tc>
          <w:tcPr>
            <w:tcW w:w="5386" w:type="dxa"/>
            <w:vAlign w:val="center"/>
          </w:tcPr>
          <w:p w14:paraId="2C41A117">
            <w:pPr>
              <w:pStyle w:val="10"/>
            </w:pPr>
            <w:r>
              <w:t>绩效指标描述</w:t>
            </w:r>
          </w:p>
        </w:tc>
        <w:tc>
          <w:tcPr>
            <w:tcW w:w="2268" w:type="dxa"/>
            <w:vAlign w:val="center"/>
          </w:tcPr>
          <w:p w14:paraId="00872F06">
            <w:pPr>
              <w:pStyle w:val="10"/>
            </w:pPr>
            <w:r>
              <w:t>指标值</w:t>
            </w:r>
          </w:p>
        </w:tc>
        <w:tc>
          <w:tcPr>
            <w:tcW w:w="1276" w:type="dxa"/>
            <w:vAlign w:val="center"/>
          </w:tcPr>
          <w:p w14:paraId="551B63F1">
            <w:pPr>
              <w:pStyle w:val="10"/>
            </w:pPr>
            <w:r>
              <w:t>指标值确定依据</w:t>
            </w:r>
          </w:p>
        </w:tc>
      </w:tr>
      <w:tr w14:paraId="3785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94817">
            <w:pPr>
              <w:pStyle w:val="13"/>
            </w:pPr>
            <w:r>
              <w:t>产出指标</w:t>
            </w:r>
          </w:p>
        </w:tc>
        <w:tc>
          <w:tcPr>
            <w:tcW w:w="2268" w:type="dxa"/>
            <w:vAlign w:val="center"/>
          </w:tcPr>
          <w:p w14:paraId="286D751B">
            <w:pPr>
              <w:pStyle w:val="12"/>
            </w:pPr>
            <w:r>
              <w:t>数量指标</w:t>
            </w:r>
          </w:p>
        </w:tc>
        <w:tc>
          <w:tcPr>
            <w:tcW w:w="2835" w:type="dxa"/>
            <w:vAlign w:val="center"/>
          </w:tcPr>
          <w:p w14:paraId="1A40E707">
            <w:pPr>
              <w:pStyle w:val="12"/>
            </w:pPr>
            <w:r>
              <w:t>就读学生数</w:t>
            </w:r>
          </w:p>
        </w:tc>
        <w:tc>
          <w:tcPr>
            <w:tcW w:w="5386" w:type="dxa"/>
            <w:vAlign w:val="center"/>
          </w:tcPr>
          <w:p w14:paraId="75648F15">
            <w:pPr>
              <w:pStyle w:val="12"/>
            </w:pPr>
            <w:r>
              <w:t>辐射区域内适龄学生人数</w:t>
            </w:r>
          </w:p>
        </w:tc>
        <w:tc>
          <w:tcPr>
            <w:tcW w:w="2268" w:type="dxa"/>
            <w:vAlign w:val="center"/>
          </w:tcPr>
          <w:p w14:paraId="052CB170">
            <w:pPr>
              <w:pStyle w:val="12"/>
            </w:pPr>
            <w:r>
              <w:t>100人</w:t>
            </w:r>
          </w:p>
        </w:tc>
        <w:tc>
          <w:tcPr>
            <w:tcW w:w="1276" w:type="dxa"/>
            <w:vAlign w:val="center"/>
          </w:tcPr>
          <w:p w14:paraId="05A5390B">
            <w:pPr>
              <w:pStyle w:val="12"/>
            </w:pPr>
            <w:r>
              <w:t>城乡义务教育公用经费管理办法</w:t>
            </w:r>
          </w:p>
        </w:tc>
      </w:tr>
      <w:tr w14:paraId="362EE0D2">
        <w:tblPrEx>
          <w:tblCellMar>
            <w:top w:w="0" w:type="dxa"/>
            <w:left w:w="108" w:type="dxa"/>
            <w:bottom w:w="0" w:type="dxa"/>
            <w:right w:w="108" w:type="dxa"/>
          </w:tblCellMar>
        </w:tblPrEx>
        <w:trPr>
          <w:trHeight w:val="397" w:hRule="atLeast"/>
          <w:jc w:val="center"/>
        </w:trPr>
        <w:tc>
          <w:tcPr>
            <w:tcW w:w="1276" w:type="dxa"/>
            <w:vMerge w:val="continue"/>
            <w:vAlign w:val="center"/>
          </w:tcPr>
          <w:p w14:paraId="7F9EF1D0"/>
        </w:tc>
        <w:tc>
          <w:tcPr>
            <w:tcW w:w="2268" w:type="dxa"/>
            <w:vAlign w:val="center"/>
          </w:tcPr>
          <w:p w14:paraId="2ED0A19A">
            <w:pPr>
              <w:pStyle w:val="12"/>
            </w:pPr>
            <w:r>
              <w:t>质量指标</w:t>
            </w:r>
          </w:p>
        </w:tc>
        <w:tc>
          <w:tcPr>
            <w:tcW w:w="2835" w:type="dxa"/>
            <w:vAlign w:val="center"/>
          </w:tcPr>
          <w:p w14:paraId="40D4E0D7">
            <w:pPr>
              <w:pStyle w:val="12"/>
            </w:pPr>
            <w:r>
              <w:t>预算执行率</w:t>
            </w:r>
          </w:p>
        </w:tc>
        <w:tc>
          <w:tcPr>
            <w:tcW w:w="5386" w:type="dxa"/>
            <w:vAlign w:val="center"/>
          </w:tcPr>
          <w:p w14:paraId="7D446D3E">
            <w:pPr>
              <w:pStyle w:val="12"/>
            </w:pPr>
            <w:r>
              <w:t>预算执行率</w:t>
            </w:r>
          </w:p>
        </w:tc>
        <w:tc>
          <w:tcPr>
            <w:tcW w:w="2268" w:type="dxa"/>
            <w:vAlign w:val="center"/>
          </w:tcPr>
          <w:p w14:paraId="791CC2FA">
            <w:pPr>
              <w:pStyle w:val="12"/>
            </w:pPr>
            <w:r>
              <w:t>≥98%</w:t>
            </w:r>
          </w:p>
        </w:tc>
        <w:tc>
          <w:tcPr>
            <w:tcW w:w="1276" w:type="dxa"/>
            <w:vAlign w:val="center"/>
          </w:tcPr>
          <w:p w14:paraId="56ED681F">
            <w:pPr>
              <w:pStyle w:val="12"/>
            </w:pPr>
            <w:r>
              <w:t>城乡义务教育公用经费管理办法</w:t>
            </w:r>
          </w:p>
        </w:tc>
      </w:tr>
      <w:tr w14:paraId="5E3F54F5">
        <w:tblPrEx>
          <w:tblCellMar>
            <w:top w:w="0" w:type="dxa"/>
            <w:left w:w="108" w:type="dxa"/>
            <w:bottom w:w="0" w:type="dxa"/>
            <w:right w:w="108" w:type="dxa"/>
          </w:tblCellMar>
        </w:tblPrEx>
        <w:trPr>
          <w:trHeight w:val="397" w:hRule="atLeast"/>
          <w:jc w:val="center"/>
        </w:trPr>
        <w:tc>
          <w:tcPr>
            <w:tcW w:w="1276" w:type="dxa"/>
            <w:vMerge w:val="continue"/>
            <w:vAlign w:val="center"/>
          </w:tcPr>
          <w:p w14:paraId="3C24777C"/>
        </w:tc>
        <w:tc>
          <w:tcPr>
            <w:tcW w:w="2268" w:type="dxa"/>
            <w:vAlign w:val="center"/>
          </w:tcPr>
          <w:p w14:paraId="321C157C">
            <w:pPr>
              <w:pStyle w:val="12"/>
            </w:pPr>
            <w:r>
              <w:t>时效指标</w:t>
            </w:r>
          </w:p>
        </w:tc>
        <w:tc>
          <w:tcPr>
            <w:tcW w:w="2835" w:type="dxa"/>
            <w:vAlign w:val="center"/>
          </w:tcPr>
          <w:p w14:paraId="1671528A">
            <w:pPr>
              <w:pStyle w:val="12"/>
            </w:pPr>
            <w:r>
              <w:t>义教经费支付完成率</w:t>
            </w:r>
          </w:p>
        </w:tc>
        <w:tc>
          <w:tcPr>
            <w:tcW w:w="5386" w:type="dxa"/>
            <w:vAlign w:val="center"/>
          </w:tcPr>
          <w:p w14:paraId="759B5B19">
            <w:pPr>
              <w:pStyle w:val="12"/>
            </w:pPr>
            <w:r>
              <w:t>按照序时进度完成资金支付</w:t>
            </w:r>
          </w:p>
        </w:tc>
        <w:tc>
          <w:tcPr>
            <w:tcW w:w="2268" w:type="dxa"/>
            <w:vAlign w:val="center"/>
          </w:tcPr>
          <w:p w14:paraId="41BDBA6D">
            <w:pPr>
              <w:pStyle w:val="12"/>
            </w:pPr>
            <w:r>
              <w:t>100%</w:t>
            </w:r>
          </w:p>
        </w:tc>
        <w:tc>
          <w:tcPr>
            <w:tcW w:w="1276" w:type="dxa"/>
            <w:vAlign w:val="center"/>
          </w:tcPr>
          <w:p w14:paraId="521876DD">
            <w:pPr>
              <w:pStyle w:val="12"/>
            </w:pPr>
            <w:r>
              <w:t>城乡义务教育公用经费管理办法</w:t>
            </w:r>
          </w:p>
        </w:tc>
      </w:tr>
      <w:tr w14:paraId="309E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7320E"/>
        </w:tc>
        <w:tc>
          <w:tcPr>
            <w:tcW w:w="2268" w:type="dxa"/>
            <w:vAlign w:val="center"/>
          </w:tcPr>
          <w:p w14:paraId="650AB4BF">
            <w:pPr>
              <w:pStyle w:val="12"/>
            </w:pPr>
            <w:r>
              <w:t>成本指标</w:t>
            </w:r>
          </w:p>
        </w:tc>
        <w:tc>
          <w:tcPr>
            <w:tcW w:w="2835" w:type="dxa"/>
            <w:vAlign w:val="center"/>
          </w:tcPr>
          <w:p w14:paraId="46749964">
            <w:pPr>
              <w:pStyle w:val="12"/>
            </w:pPr>
            <w:r>
              <w:t>生均拨款标准</w:t>
            </w:r>
          </w:p>
        </w:tc>
        <w:tc>
          <w:tcPr>
            <w:tcW w:w="5386" w:type="dxa"/>
            <w:vAlign w:val="center"/>
          </w:tcPr>
          <w:p w14:paraId="000CD357">
            <w:pPr>
              <w:pStyle w:val="12"/>
            </w:pPr>
            <w:r>
              <w:t>小学：（基本标准720元、寄宿生300元、生活补助120元）/生/学年；特教、随班就读学生：标准7000元/生/学年</w:t>
            </w:r>
          </w:p>
        </w:tc>
        <w:tc>
          <w:tcPr>
            <w:tcW w:w="2268" w:type="dxa"/>
            <w:vAlign w:val="center"/>
          </w:tcPr>
          <w:p w14:paraId="046D35E9">
            <w:pPr>
              <w:pStyle w:val="12"/>
            </w:pPr>
            <w:r>
              <w:t>840元</w:t>
            </w:r>
          </w:p>
        </w:tc>
        <w:tc>
          <w:tcPr>
            <w:tcW w:w="1276" w:type="dxa"/>
            <w:vAlign w:val="center"/>
          </w:tcPr>
          <w:p w14:paraId="7A746DE8">
            <w:pPr>
              <w:pStyle w:val="12"/>
            </w:pPr>
            <w:r>
              <w:t>城乡义务教育公用经费管理办法</w:t>
            </w:r>
          </w:p>
        </w:tc>
      </w:tr>
      <w:tr w14:paraId="7C94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F8996">
            <w:pPr>
              <w:pStyle w:val="13"/>
            </w:pPr>
            <w:r>
              <w:t>效益指标</w:t>
            </w:r>
          </w:p>
        </w:tc>
        <w:tc>
          <w:tcPr>
            <w:tcW w:w="2268" w:type="dxa"/>
            <w:vAlign w:val="center"/>
          </w:tcPr>
          <w:p w14:paraId="3B2E730C">
            <w:pPr>
              <w:pStyle w:val="12"/>
            </w:pPr>
            <w:r>
              <w:t>社会效益指标</w:t>
            </w:r>
          </w:p>
        </w:tc>
        <w:tc>
          <w:tcPr>
            <w:tcW w:w="2835" w:type="dxa"/>
            <w:vAlign w:val="center"/>
          </w:tcPr>
          <w:p w14:paraId="5438F71F">
            <w:pPr>
              <w:pStyle w:val="12"/>
            </w:pPr>
            <w:r>
              <w:t>学校稳定率</w:t>
            </w:r>
          </w:p>
        </w:tc>
        <w:tc>
          <w:tcPr>
            <w:tcW w:w="5386" w:type="dxa"/>
            <w:vAlign w:val="center"/>
          </w:tcPr>
          <w:p w14:paraId="69E95058">
            <w:pPr>
              <w:pStyle w:val="12"/>
            </w:pPr>
            <w:r>
              <w:t>维护学校稳定，保障学校正常教学秩序有效开展</w:t>
            </w:r>
          </w:p>
        </w:tc>
        <w:tc>
          <w:tcPr>
            <w:tcW w:w="2268" w:type="dxa"/>
            <w:vAlign w:val="center"/>
          </w:tcPr>
          <w:p w14:paraId="30D391C0">
            <w:pPr>
              <w:pStyle w:val="12"/>
            </w:pPr>
            <w:r>
              <w:t>100%</w:t>
            </w:r>
          </w:p>
        </w:tc>
        <w:tc>
          <w:tcPr>
            <w:tcW w:w="1276" w:type="dxa"/>
            <w:vAlign w:val="center"/>
          </w:tcPr>
          <w:p w14:paraId="3C613D47">
            <w:pPr>
              <w:pStyle w:val="12"/>
            </w:pPr>
            <w:r>
              <w:t>城乡义务教育公用经费管理办法</w:t>
            </w:r>
          </w:p>
        </w:tc>
      </w:tr>
      <w:tr w14:paraId="3F30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16397">
            <w:pPr>
              <w:pStyle w:val="13"/>
            </w:pPr>
            <w:r>
              <w:t>满意度指标</w:t>
            </w:r>
          </w:p>
        </w:tc>
        <w:tc>
          <w:tcPr>
            <w:tcW w:w="2268" w:type="dxa"/>
            <w:vAlign w:val="center"/>
          </w:tcPr>
          <w:p w14:paraId="271D3C70">
            <w:pPr>
              <w:pStyle w:val="12"/>
            </w:pPr>
            <w:r>
              <w:t>服务对象满意度指标</w:t>
            </w:r>
          </w:p>
        </w:tc>
        <w:tc>
          <w:tcPr>
            <w:tcW w:w="2835" w:type="dxa"/>
            <w:vAlign w:val="center"/>
          </w:tcPr>
          <w:p w14:paraId="07AC55A0">
            <w:pPr>
              <w:pStyle w:val="12"/>
            </w:pPr>
            <w:r>
              <w:t>家长和学生满意度</w:t>
            </w:r>
          </w:p>
        </w:tc>
        <w:tc>
          <w:tcPr>
            <w:tcW w:w="5386" w:type="dxa"/>
            <w:vAlign w:val="center"/>
          </w:tcPr>
          <w:p w14:paraId="0BF0ED53">
            <w:pPr>
              <w:pStyle w:val="12"/>
            </w:pPr>
            <w:r>
              <w:t>家长和学生满意度</w:t>
            </w:r>
          </w:p>
        </w:tc>
        <w:tc>
          <w:tcPr>
            <w:tcW w:w="2268" w:type="dxa"/>
            <w:vAlign w:val="center"/>
          </w:tcPr>
          <w:p w14:paraId="6B24009A">
            <w:pPr>
              <w:pStyle w:val="12"/>
            </w:pPr>
            <w:r>
              <w:t>≥95%</w:t>
            </w:r>
          </w:p>
        </w:tc>
        <w:tc>
          <w:tcPr>
            <w:tcW w:w="1276" w:type="dxa"/>
            <w:vAlign w:val="center"/>
          </w:tcPr>
          <w:p w14:paraId="6D451E3B">
            <w:pPr>
              <w:pStyle w:val="12"/>
            </w:pPr>
            <w:r>
              <w:t>问卷调查</w:t>
            </w:r>
          </w:p>
        </w:tc>
      </w:tr>
    </w:tbl>
    <w:p w14:paraId="2F110166">
      <w:pPr>
        <w:sectPr>
          <w:pgSz w:w="16840" w:h="11900" w:orient="landscape"/>
          <w:pgMar w:top="1361" w:right="1020" w:bottom="1134" w:left="1020" w:header="720" w:footer="720" w:gutter="0"/>
          <w:cols w:space="720" w:num="1"/>
        </w:sectPr>
      </w:pPr>
    </w:p>
    <w:p w14:paraId="6550E885">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17、冀财教[2025]147号/省级/2026年义教补助经费/固城校区小孟小学公用经费绩效目标表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30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325F8">
            <w:pPr>
              <w:pStyle w:val="11"/>
            </w:pPr>
            <w:r>
              <w:t>单位：万元</w:t>
            </w:r>
          </w:p>
        </w:tc>
      </w:tr>
      <w:tr w14:paraId="784CD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A566B">
            <w:pPr>
              <w:pStyle w:val="10"/>
            </w:pPr>
            <w:r>
              <w:t>项目编码</w:t>
            </w:r>
          </w:p>
        </w:tc>
        <w:tc>
          <w:tcPr>
            <w:tcW w:w="5103" w:type="dxa"/>
            <w:gridSpan w:val="2"/>
            <w:vAlign w:val="center"/>
          </w:tcPr>
          <w:p w14:paraId="06735CA8">
            <w:pPr>
              <w:pStyle w:val="12"/>
            </w:pPr>
            <w:r>
              <w:t>13052526P00000410382G</w:t>
            </w:r>
          </w:p>
        </w:tc>
        <w:tc>
          <w:tcPr>
            <w:tcW w:w="2835" w:type="dxa"/>
            <w:vAlign w:val="center"/>
          </w:tcPr>
          <w:p w14:paraId="7479FB32">
            <w:pPr>
              <w:pStyle w:val="10"/>
            </w:pPr>
            <w:r>
              <w:t>项目名称</w:t>
            </w:r>
          </w:p>
        </w:tc>
        <w:tc>
          <w:tcPr>
            <w:tcW w:w="6095" w:type="dxa"/>
            <w:gridSpan w:val="3"/>
            <w:vAlign w:val="center"/>
          </w:tcPr>
          <w:p w14:paraId="23D4FBC4">
            <w:pPr>
              <w:pStyle w:val="12"/>
            </w:pPr>
            <w:r>
              <w:t>冀财教[2025]147号/省级/2026年义教补助经费/固城校区小孟小学公用经费</w:t>
            </w:r>
          </w:p>
        </w:tc>
      </w:tr>
      <w:tr w14:paraId="680E1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14972">
            <w:pPr>
              <w:pStyle w:val="10"/>
            </w:pPr>
            <w:r>
              <w:t>预算规模及资金用途</w:t>
            </w:r>
          </w:p>
        </w:tc>
        <w:tc>
          <w:tcPr>
            <w:tcW w:w="2268" w:type="dxa"/>
            <w:vAlign w:val="center"/>
          </w:tcPr>
          <w:p w14:paraId="1D25DD3F">
            <w:pPr>
              <w:pStyle w:val="10"/>
            </w:pPr>
            <w:r>
              <w:t>预算数</w:t>
            </w:r>
          </w:p>
        </w:tc>
        <w:tc>
          <w:tcPr>
            <w:tcW w:w="2835" w:type="dxa"/>
            <w:vAlign w:val="center"/>
          </w:tcPr>
          <w:p w14:paraId="39B26DF2">
            <w:pPr>
              <w:pStyle w:val="12"/>
            </w:pPr>
            <w:r>
              <w:t>13.14</w:t>
            </w:r>
          </w:p>
        </w:tc>
        <w:tc>
          <w:tcPr>
            <w:tcW w:w="2835" w:type="dxa"/>
            <w:vAlign w:val="center"/>
          </w:tcPr>
          <w:p w14:paraId="49108598">
            <w:pPr>
              <w:pStyle w:val="10"/>
            </w:pPr>
            <w:r>
              <w:t>其中：财政    资金</w:t>
            </w:r>
          </w:p>
        </w:tc>
        <w:tc>
          <w:tcPr>
            <w:tcW w:w="2551" w:type="dxa"/>
            <w:vAlign w:val="center"/>
          </w:tcPr>
          <w:p w14:paraId="5BB72DA8">
            <w:pPr>
              <w:pStyle w:val="12"/>
            </w:pPr>
            <w:r>
              <w:t>13.14</w:t>
            </w:r>
          </w:p>
        </w:tc>
        <w:tc>
          <w:tcPr>
            <w:tcW w:w="2268" w:type="dxa"/>
            <w:vAlign w:val="center"/>
          </w:tcPr>
          <w:p w14:paraId="5B999723">
            <w:pPr>
              <w:pStyle w:val="10"/>
            </w:pPr>
            <w:r>
              <w:t>其他资金</w:t>
            </w:r>
          </w:p>
        </w:tc>
        <w:tc>
          <w:tcPr>
            <w:tcW w:w="1276" w:type="dxa"/>
            <w:vAlign w:val="center"/>
          </w:tcPr>
          <w:p w14:paraId="28B22177">
            <w:pPr>
              <w:pStyle w:val="12"/>
            </w:pPr>
            <w:r>
              <w:t xml:space="preserve"> </w:t>
            </w:r>
          </w:p>
        </w:tc>
      </w:tr>
      <w:tr w14:paraId="4D068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8F252"/>
        </w:tc>
        <w:tc>
          <w:tcPr>
            <w:tcW w:w="14033" w:type="dxa"/>
            <w:gridSpan w:val="6"/>
            <w:vAlign w:val="center"/>
          </w:tcPr>
          <w:p w14:paraId="0BDD994D">
            <w:pPr>
              <w:pStyle w:val="12"/>
            </w:pPr>
            <w:r>
              <w:t>有效完成学校教学安全秩序，保障学校教学任务有效开展，满足学校正常教学需要。</w:t>
            </w:r>
          </w:p>
        </w:tc>
      </w:tr>
      <w:tr w14:paraId="073CC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7B957">
            <w:pPr>
              <w:pStyle w:val="10"/>
            </w:pPr>
            <w:r>
              <w:t>资金支出计划（%）</w:t>
            </w:r>
          </w:p>
        </w:tc>
        <w:tc>
          <w:tcPr>
            <w:tcW w:w="5103" w:type="dxa"/>
            <w:gridSpan w:val="2"/>
            <w:vAlign w:val="center"/>
          </w:tcPr>
          <w:p w14:paraId="11F3AD29">
            <w:pPr>
              <w:pStyle w:val="10"/>
            </w:pPr>
            <w:r>
              <w:t>3月底</w:t>
            </w:r>
          </w:p>
        </w:tc>
        <w:tc>
          <w:tcPr>
            <w:tcW w:w="2835" w:type="dxa"/>
            <w:vAlign w:val="center"/>
          </w:tcPr>
          <w:p w14:paraId="49D9D10E">
            <w:pPr>
              <w:pStyle w:val="10"/>
            </w:pPr>
            <w:r>
              <w:t>6月底</w:t>
            </w:r>
          </w:p>
        </w:tc>
        <w:tc>
          <w:tcPr>
            <w:tcW w:w="2551" w:type="dxa"/>
            <w:vAlign w:val="center"/>
          </w:tcPr>
          <w:p w14:paraId="0B2017F9">
            <w:pPr>
              <w:pStyle w:val="10"/>
            </w:pPr>
            <w:r>
              <w:t>10月底</w:t>
            </w:r>
          </w:p>
        </w:tc>
        <w:tc>
          <w:tcPr>
            <w:tcW w:w="3544" w:type="dxa"/>
            <w:gridSpan w:val="2"/>
            <w:vAlign w:val="center"/>
          </w:tcPr>
          <w:p w14:paraId="6FF19D80">
            <w:pPr>
              <w:pStyle w:val="10"/>
            </w:pPr>
            <w:r>
              <w:t>12月底</w:t>
            </w:r>
          </w:p>
        </w:tc>
      </w:tr>
      <w:tr w14:paraId="73E3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30BEE"/>
        </w:tc>
        <w:tc>
          <w:tcPr>
            <w:tcW w:w="5103" w:type="dxa"/>
            <w:gridSpan w:val="2"/>
            <w:vAlign w:val="center"/>
          </w:tcPr>
          <w:p w14:paraId="27C56740">
            <w:pPr>
              <w:pStyle w:val="13"/>
            </w:pPr>
            <w:r>
              <w:t>25%</w:t>
            </w:r>
          </w:p>
        </w:tc>
        <w:tc>
          <w:tcPr>
            <w:tcW w:w="2835" w:type="dxa"/>
            <w:vAlign w:val="center"/>
          </w:tcPr>
          <w:p w14:paraId="5C9D6168">
            <w:pPr>
              <w:pStyle w:val="13"/>
            </w:pPr>
            <w:r>
              <w:t>50%</w:t>
            </w:r>
          </w:p>
        </w:tc>
        <w:tc>
          <w:tcPr>
            <w:tcW w:w="2551" w:type="dxa"/>
            <w:vAlign w:val="center"/>
          </w:tcPr>
          <w:p w14:paraId="0C53ED41">
            <w:pPr>
              <w:pStyle w:val="13"/>
            </w:pPr>
            <w:r>
              <w:t>75%</w:t>
            </w:r>
          </w:p>
        </w:tc>
        <w:tc>
          <w:tcPr>
            <w:tcW w:w="3544" w:type="dxa"/>
            <w:gridSpan w:val="2"/>
            <w:vAlign w:val="center"/>
          </w:tcPr>
          <w:p w14:paraId="08B38172">
            <w:pPr>
              <w:pStyle w:val="13"/>
            </w:pPr>
            <w:r>
              <w:t>100%</w:t>
            </w:r>
          </w:p>
        </w:tc>
      </w:tr>
      <w:tr w14:paraId="15E1A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B108F">
            <w:pPr>
              <w:pStyle w:val="10"/>
            </w:pPr>
            <w:r>
              <w:t>绩效目标</w:t>
            </w:r>
          </w:p>
        </w:tc>
        <w:tc>
          <w:tcPr>
            <w:tcW w:w="14033" w:type="dxa"/>
            <w:gridSpan w:val="6"/>
            <w:vAlign w:val="center"/>
          </w:tcPr>
          <w:p w14:paraId="348CE485">
            <w:pPr>
              <w:pStyle w:val="12"/>
            </w:pPr>
            <w:r>
              <w:t>1.有效完成学校教学安全秩序，保障学校教学任务有效开展，满足学校正常教学需要。</w:t>
            </w:r>
          </w:p>
          <w:p w14:paraId="558B9F3D">
            <w:pPr>
              <w:pStyle w:val="12"/>
            </w:pPr>
            <w:r>
              <w:t>2.按规定拨付公用经费资金，预算执行率100%。</w:t>
            </w:r>
            <w:r>
              <w:tab/>
            </w:r>
          </w:p>
        </w:tc>
      </w:tr>
    </w:tbl>
    <w:p w14:paraId="260532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0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3A81D">
            <w:pPr>
              <w:pStyle w:val="10"/>
            </w:pPr>
            <w:r>
              <w:t>一级指标</w:t>
            </w:r>
          </w:p>
        </w:tc>
        <w:tc>
          <w:tcPr>
            <w:tcW w:w="2268" w:type="dxa"/>
            <w:vAlign w:val="center"/>
          </w:tcPr>
          <w:p w14:paraId="33A1CA25">
            <w:pPr>
              <w:pStyle w:val="10"/>
            </w:pPr>
            <w:r>
              <w:t>二级指标</w:t>
            </w:r>
          </w:p>
        </w:tc>
        <w:tc>
          <w:tcPr>
            <w:tcW w:w="2835" w:type="dxa"/>
            <w:vAlign w:val="center"/>
          </w:tcPr>
          <w:p w14:paraId="6878AF4A">
            <w:pPr>
              <w:pStyle w:val="10"/>
            </w:pPr>
            <w:r>
              <w:t>三级指标</w:t>
            </w:r>
          </w:p>
        </w:tc>
        <w:tc>
          <w:tcPr>
            <w:tcW w:w="5386" w:type="dxa"/>
            <w:vAlign w:val="center"/>
          </w:tcPr>
          <w:p w14:paraId="019250DB">
            <w:pPr>
              <w:pStyle w:val="10"/>
            </w:pPr>
            <w:r>
              <w:t>绩效指标描述</w:t>
            </w:r>
          </w:p>
        </w:tc>
        <w:tc>
          <w:tcPr>
            <w:tcW w:w="2268" w:type="dxa"/>
            <w:vAlign w:val="center"/>
          </w:tcPr>
          <w:p w14:paraId="7804EB1E">
            <w:pPr>
              <w:pStyle w:val="10"/>
            </w:pPr>
            <w:r>
              <w:t>指标值</w:t>
            </w:r>
          </w:p>
        </w:tc>
        <w:tc>
          <w:tcPr>
            <w:tcW w:w="1276" w:type="dxa"/>
            <w:vAlign w:val="center"/>
          </w:tcPr>
          <w:p w14:paraId="0B7C22A1">
            <w:pPr>
              <w:pStyle w:val="10"/>
            </w:pPr>
            <w:r>
              <w:t>指标值确定依据</w:t>
            </w:r>
          </w:p>
        </w:tc>
      </w:tr>
      <w:tr w14:paraId="5A6B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5B9A8">
            <w:pPr>
              <w:pStyle w:val="13"/>
            </w:pPr>
            <w:r>
              <w:t>产出指标</w:t>
            </w:r>
          </w:p>
        </w:tc>
        <w:tc>
          <w:tcPr>
            <w:tcW w:w="2268" w:type="dxa"/>
            <w:vAlign w:val="center"/>
          </w:tcPr>
          <w:p w14:paraId="296F3142">
            <w:pPr>
              <w:pStyle w:val="12"/>
            </w:pPr>
            <w:r>
              <w:t>数量指标</w:t>
            </w:r>
          </w:p>
        </w:tc>
        <w:tc>
          <w:tcPr>
            <w:tcW w:w="2835" w:type="dxa"/>
            <w:vAlign w:val="center"/>
          </w:tcPr>
          <w:p w14:paraId="01B8422A">
            <w:pPr>
              <w:pStyle w:val="12"/>
            </w:pPr>
            <w:r>
              <w:t>就读学生数</w:t>
            </w:r>
          </w:p>
        </w:tc>
        <w:tc>
          <w:tcPr>
            <w:tcW w:w="5386" w:type="dxa"/>
            <w:vAlign w:val="center"/>
          </w:tcPr>
          <w:p w14:paraId="50A62C3E">
            <w:pPr>
              <w:pStyle w:val="12"/>
            </w:pPr>
            <w:r>
              <w:t>辐射区域内适龄学生人数</w:t>
            </w:r>
          </w:p>
        </w:tc>
        <w:tc>
          <w:tcPr>
            <w:tcW w:w="2268" w:type="dxa"/>
            <w:vAlign w:val="center"/>
          </w:tcPr>
          <w:p w14:paraId="694BF29F">
            <w:pPr>
              <w:pStyle w:val="12"/>
            </w:pPr>
            <w:r>
              <w:t>449人</w:t>
            </w:r>
          </w:p>
        </w:tc>
        <w:tc>
          <w:tcPr>
            <w:tcW w:w="1276" w:type="dxa"/>
            <w:vAlign w:val="center"/>
          </w:tcPr>
          <w:p w14:paraId="14FB2298">
            <w:pPr>
              <w:pStyle w:val="12"/>
            </w:pPr>
            <w:r>
              <w:t>城乡义务教育公用经费管理办法</w:t>
            </w:r>
          </w:p>
        </w:tc>
      </w:tr>
      <w:tr w14:paraId="7C765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861F6"/>
        </w:tc>
        <w:tc>
          <w:tcPr>
            <w:tcW w:w="2268" w:type="dxa"/>
            <w:vAlign w:val="center"/>
          </w:tcPr>
          <w:p w14:paraId="129EBBC2">
            <w:pPr>
              <w:pStyle w:val="12"/>
            </w:pPr>
            <w:r>
              <w:t>质量指标</w:t>
            </w:r>
          </w:p>
        </w:tc>
        <w:tc>
          <w:tcPr>
            <w:tcW w:w="2835" w:type="dxa"/>
            <w:vAlign w:val="center"/>
          </w:tcPr>
          <w:p w14:paraId="6CC02EE9">
            <w:pPr>
              <w:pStyle w:val="12"/>
            </w:pPr>
            <w:r>
              <w:t>预算执行率</w:t>
            </w:r>
          </w:p>
        </w:tc>
        <w:tc>
          <w:tcPr>
            <w:tcW w:w="5386" w:type="dxa"/>
            <w:vAlign w:val="center"/>
          </w:tcPr>
          <w:p w14:paraId="711F7E90">
            <w:pPr>
              <w:pStyle w:val="12"/>
            </w:pPr>
            <w:r>
              <w:t>预算执行率</w:t>
            </w:r>
          </w:p>
        </w:tc>
        <w:tc>
          <w:tcPr>
            <w:tcW w:w="2268" w:type="dxa"/>
            <w:vAlign w:val="center"/>
          </w:tcPr>
          <w:p w14:paraId="03ED0499">
            <w:pPr>
              <w:pStyle w:val="12"/>
            </w:pPr>
            <w:r>
              <w:t>≥98%</w:t>
            </w:r>
          </w:p>
        </w:tc>
        <w:tc>
          <w:tcPr>
            <w:tcW w:w="1276" w:type="dxa"/>
            <w:vAlign w:val="center"/>
          </w:tcPr>
          <w:p w14:paraId="04E99ABF">
            <w:pPr>
              <w:pStyle w:val="12"/>
            </w:pPr>
            <w:r>
              <w:t>城乡义务教育公用经费管理办法</w:t>
            </w:r>
          </w:p>
        </w:tc>
      </w:tr>
      <w:tr w14:paraId="6DBC8259">
        <w:tblPrEx>
          <w:tblCellMar>
            <w:top w:w="0" w:type="dxa"/>
            <w:left w:w="108" w:type="dxa"/>
            <w:bottom w:w="0" w:type="dxa"/>
            <w:right w:w="108" w:type="dxa"/>
          </w:tblCellMar>
        </w:tblPrEx>
        <w:trPr>
          <w:trHeight w:val="397" w:hRule="atLeast"/>
          <w:jc w:val="center"/>
        </w:trPr>
        <w:tc>
          <w:tcPr>
            <w:tcW w:w="1276" w:type="dxa"/>
            <w:vMerge w:val="continue"/>
            <w:vAlign w:val="center"/>
          </w:tcPr>
          <w:p w14:paraId="1B14F932"/>
        </w:tc>
        <w:tc>
          <w:tcPr>
            <w:tcW w:w="2268" w:type="dxa"/>
            <w:vAlign w:val="center"/>
          </w:tcPr>
          <w:p w14:paraId="1C1F1456">
            <w:pPr>
              <w:pStyle w:val="12"/>
            </w:pPr>
            <w:r>
              <w:t>时效指标</w:t>
            </w:r>
          </w:p>
        </w:tc>
        <w:tc>
          <w:tcPr>
            <w:tcW w:w="2835" w:type="dxa"/>
            <w:vAlign w:val="center"/>
          </w:tcPr>
          <w:p w14:paraId="0E4E9A49">
            <w:pPr>
              <w:pStyle w:val="12"/>
            </w:pPr>
            <w:r>
              <w:t>义教经费支付完成率</w:t>
            </w:r>
          </w:p>
        </w:tc>
        <w:tc>
          <w:tcPr>
            <w:tcW w:w="5386" w:type="dxa"/>
            <w:vAlign w:val="center"/>
          </w:tcPr>
          <w:p w14:paraId="7A1001F8">
            <w:pPr>
              <w:pStyle w:val="12"/>
            </w:pPr>
            <w:r>
              <w:t>按照序时进度完成资金支付</w:t>
            </w:r>
          </w:p>
        </w:tc>
        <w:tc>
          <w:tcPr>
            <w:tcW w:w="2268" w:type="dxa"/>
            <w:vAlign w:val="center"/>
          </w:tcPr>
          <w:p w14:paraId="612AAFEF">
            <w:pPr>
              <w:pStyle w:val="12"/>
            </w:pPr>
            <w:r>
              <w:t>100%</w:t>
            </w:r>
          </w:p>
        </w:tc>
        <w:tc>
          <w:tcPr>
            <w:tcW w:w="1276" w:type="dxa"/>
            <w:vAlign w:val="center"/>
          </w:tcPr>
          <w:p w14:paraId="18A8C194">
            <w:pPr>
              <w:pStyle w:val="12"/>
            </w:pPr>
            <w:r>
              <w:t>城乡义务教育公用经费管理办法</w:t>
            </w:r>
          </w:p>
        </w:tc>
      </w:tr>
      <w:tr w14:paraId="5090F730">
        <w:tblPrEx>
          <w:tblCellMar>
            <w:top w:w="0" w:type="dxa"/>
            <w:left w:w="108" w:type="dxa"/>
            <w:bottom w:w="0" w:type="dxa"/>
            <w:right w:w="108" w:type="dxa"/>
          </w:tblCellMar>
        </w:tblPrEx>
        <w:trPr>
          <w:trHeight w:val="397" w:hRule="atLeast"/>
          <w:jc w:val="center"/>
        </w:trPr>
        <w:tc>
          <w:tcPr>
            <w:tcW w:w="1276" w:type="dxa"/>
            <w:vMerge w:val="continue"/>
            <w:vAlign w:val="center"/>
          </w:tcPr>
          <w:p w14:paraId="57C7E651"/>
        </w:tc>
        <w:tc>
          <w:tcPr>
            <w:tcW w:w="2268" w:type="dxa"/>
            <w:vAlign w:val="center"/>
          </w:tcPr>
          <w:p w14:paraId="0712027B">
            <w:pPr>
              <w:pStyle w:val="12"/>
            </w:pPr>
            <w:r>
              <w:t>成本指标</w:t>
            </w:r>
          </w:p>
        </w:tc>
        <w:tc>
          <w:tcPr>
            <w:tcW w:w="2835" w:type="dxa"/>
            <w:vAlign w:val="center"/>
          </w:tcPr>
          <w:p w14:paraId="6D95388B">
            <w:pPr>
              <w:pStyle w:val="12"/>
            </w:pPr>
            <w:r>
              <w:t>生均拨款标准</w:t>
            </w:r>
          </w:p>
        </w:tc>
        <w:tc>
          <w:tcPr>
            <w:tcW w:w="5386" w:type="dxa"/>
            <w:vAlign w:val="center"/>
          </w:tcPr>
          <w:p w14:paraId="30E26AF6">
            <w:pPr>
              <w:pStyle w:val="12"/>
            </w:pPr>
            <w:r>
              <w:t>小学：（基本标准720元、寄宿生300元、生活补助120元）/生/学年；特教、随班就读学生：标准7000元/生/学年</w:t>
            </w:r>
          </w:p>
        </w:tc>
        <w:tc>
          <w:tcPr>
            <w:tcW w:w="2268" w:type="dxa"/>
            <w:vAlign w:val="center"/>
          </w:tcPr>
          <w:p w14:paraId="269BBD9D">
            <w:pPr>
              <w:pStyle w:val="12"/>
            </w:pPr>
            <w:r>
              <w:t>840元</w:t>
            </w:r>
          </w:p>
        </w:tc>
        <w:tc>
          <w:tcPr>
            <w:tcW w:w="1276" w:type="dxa"/>
            <w:vAlign w:val="center"/>
          </w:tcPr>
          <w:p w14:paraId="216EF3E0">
            <w:pPr>
              <w:pStyle w:val="12"/>
            </w:pPr>
            <w:r>
              <w:t>城乡义务教育公用经费管理办法</w:t>
            </w:r>
          </w:p>
        </w:tc>
      </w:tr>
      <w:tr w14:paraId="74C2D411">
        <w:tblPrEx>
          <w:tblCellMar>
            <w:top w:w="0" w:type="dxa"/>
            <w:left w:w="108" w:type="dxa"/>
            <w:bottom w:w="0" w:type="dxa"/>
            <w:right w:w="108" w:type="dxa"/>
          </w:tblCellMar>
        </w:tblPrEx>
        <w:trPr>
          <w:trHeight w:val="397" w:hRule="atLeast"/>
          <w:jc w:val="center"/>
        </w:trPr>
        <w:tc>
          <w:tcPr>
            <w:tcW w:w="1276" w:type="dxa"/>
            <w:vAlign w:val="center"/>
          </w:tcPr>
          <w:p w14:paraId="1FA5B6C2">
            <w:pPr>
              <w:pStyle w:val="13"/>
            </w:pPr>
            <w:r>
              <w:t>效益指标</w:t>
            </w:r>
          </w:p>
        </w:tc>
        <w:tc>
          <w:tcPr>
            <w:tcW w:w="2268" w:type="dxa"/>
            <w:vAlign w:val="center"/>
          </w:tcPr>
          <w:p w14:paraId="07ED3CE3">
            <w:pPr>
              <w:pStyle w:val="12"/>
            </w:pPr>
            <w:r>
              <w:t>社会效益指标</w:t>
            </w:r>
          </w:p>
        </w:tc>
        <w:tc>
          <w:tcPr>
            <w:tcW w:w="2835" w:type="dxa"/>
            <w:vAlign w:val="center"/>
          </w:tcPr>
          <w:p w14:paraId="766B86EE">
            <w:pPr>
              <w:pStyle w:val="12"/>
            </w:pPr>
            <w:r>
              <w:t>学校稳定率</w:t>
            </w:r>
          </w:p>
        </w:tc>
        <w:tc>
          <w:tcPr>
            <w:tcW w:w="5386" w:type="dxa"/>
            <w:vAlign w:val="center"/>
          </w:tcPr>
          <w:p w14:paraId="37A1039C">
            <w:pPr>
              <w:pStyle w:val="12"/>
            </w:pPr>
            <w:r>
              <w:t>维护学校稳定，保障学校正常教学秩序有效开展</w:t>
            </w:r>
          </w:p>
        </w:tc>
        <w:tc>
          <w:tcPr>
            <w:tcW w:w="2268" w:type="dxa"/>
            <w:vAlign w:val="center"/>
          </w:tcPr>
          <w:p w14:paraId="7E783195">
            <w:pPr>
              <w:pStyle w:val="12"/>
            </w:pPr>
            <w:r>
              <w:t>100%</w:t>
            </w:r>
          </w:p>
        </w:tc>
        <w:tc>
          <w:tcPr>
            <w:tcW w:w="1276" w:type="dxa"/>
            <w:vAlign w:val="center"/>
          </w:tcPr>
          <w:p w14:paraId="4FA1B012">
            <w:pPr>
              <w:pStyle w:val="12"/>
            </w:pPr>
            <w:r>
              <w:t>城乡义务教育公用经费管理办法</w:t>
            </w:r>
          </w:p>
        </w:tc>
      </w:tr>
      <w:tr w14:paraId="7EC6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CEAC5">
            <w:pPr>
              <w:pStyle w:val="13"/>
            </w:pPr>
            <w:r>
              <w:t>满意度指标</w:t>
            </w:r>
          </w:p>
        </w:tc>
        <w:tc>
          <w:tcPr>
            <w:tcW w:w="2268" w:type="dxa"/>
            <w:vAlign w:val="center"/>
          </w:tcPr>
          <w:p w14:paraId="71CA3AF5">
            <w:pPr>
              <w:pStyle w:val="12"/>
            </w:pPr>
            <w:r>
              <w:t>服务对象满意度指标</w:t>
            </w:r>
          </w:p>
        </w:tc>
        <w:tc>
          <w:tcPr>
            <w:tcW w:w="2835" w:type="dxa"/>
            <w:vAlign w:val="center"/>
          </w:tcPr>
          <w:p w14:paraId="47BD422B">
            <w:pPr>
              <w:pStyle w:val="12"/>
            </w:pPr>
            <w:r>
              <w:t>家长和学生满意度</w:t>
            </w:r>
          </w:p>
        </w:tc>
        <w:tc>
          <w:tcPr>
            <w:tcW w:w="5386" w:type="dxa"/>
            <w:vAlign w:val="center"/>
          </w:tcPr>
          <w:p w14:paraId="48DF88CF">
            <w:pPr>
              <w:pStyle w:val="12"/>
            </w:pPr>
            <w:r>
              <w:t>家长和学生满意度</w:t>
            </w:r>
          </w:p>
        </w:tc>
        <w:tc>
          <w:tcPr>
            <w:tcW w:w="2268" w:type="dxa"/>
            <w:vAlign w:val="center"/>
          </w:tcPr>
          <w:p w14:paraId="16FDBE37">
            <w:pPr>
              <w:pStyle w:val="12"/>
            </w:pPr>
            <w:r>
              <w:t>≥95%</w:t>
            </w:r>
          </w:p>
        </w:tc>
        <w:tc>
          <w:tcPr>
            <w:tcW w:w="1276" w:type="dxa"/>
            <w:vAlign w:val="center"/>
          </w:tcPr>
          <w:p w14:paraId="039A2956">
            <w:pPr>
              <w:pStyle w:val="12"/>
            </w:pPr>
            <w:r>
              <w:t>问卷调查</w:t>
            </w:r>
          </w:p>
        </w:tc>
      </w:tr>
    </w:tbl>
    <w:p w14:paraId="42871C44">
      <w:pPr>
        <w:sectPr>
          <w:pgSz w:w="16840" w:h="11900" w:orient="landscape"/>
          <w:pgMar w:top="1361" w:right="1020" w:bottom="1134" w:left="1020" w:header="720" w:footer="720" w:gutter="0"/>
          <w:cols w:space="720" w:num="1"/>
        </w:sectPr>
      </w:pPr>
    </w:p>
    <w:p w14:paraId="52BE988D">
      <w:pPr>
        <w:spacing w:before="0" w:after="0"/>
        <w:ind w:firstLine="560"/>
        <w:jc w:val="left"/>
        <w:outlineLvl w:val="9"/>
      </w:pPr>
      <w:r>
        <w:rPr>
          <w:rFonts w:ascii="方正仿宋_GBK" w:hAnsi="方正仿宋_GBK" w:eastAsia="方正仿宋_GBK" w:cs="方正仿宋_GBK"/>
          <w:b/>
          <w:color w:val="000000"/>
          <w:sz w:val="28"/>
        </w:rPr>
        <w:t>18、冀财教[2025]147号/省级/义教/2026年校舍安全/火连庄小学校舍维修改造绩效目标表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C8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82A51">
            <w:pPr>
              <w:pStyle w:val="11"/>
            </w:pPr>
            <w:r>
              <w:t>单位：万元</w:t>
            </w:r>
          </w:p>
        </w:tc>
      </w:tr>
      <w:tr w14:paraId="6CE88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C4033">
            <w:pPr>
              <w:pStyle w:val="10"/>
            </w:pPr>
            <w:r>
              <w:t>项目编码</w:t>
            </w:r>
          </w:p>
        </w:tc>
        <w:tc>
          <w:tcPr>
            <w:tcW w:w="5103" w:type="dxa"/>
            <w:gridSpan w:val="2"/>
            <w:vAlign w:val="center"/>
          </w:tcPr>
          <w:p w14:paraId="684CAC92">
            <w:pPr>
              <w:pStyle w:val="12"/>
            </w:pPr>
            <w:r>
              <w:t>13052526P008762101068</w:t>
            </w:r>
          </w:p>
        </w:tc>
        <w:tc>
          <w:tcPr>
            <w:tcW w:w="2835" w:type="dxa"/>
            <w:vAlign w:val="center"/>
          </w:tcPr>
          <w:p w14:paraId="05FAA3CD">
            <w:pPr>
              <w:pStyle w:val="10"/>
            </w:pPr>
            <w:r>
              <w:t>项目名称</w:t>
            </w:r>
          </w:p>
        </w:tc>
        <w:tc>
          <w:tcPr>
            <w:tcW w:w="6095" w:type="dxa"/>
            <w:gridSpan w:val="3"/>
            <w:vAlign w:val="center"/>
          </w:tcPr>
          <w:p w14:paraId="1B1F670A">
            <w:pPr>
              <w:pStyle w:val="12"/>
            </w:pPr>
            <w:r>
              <w:t>冀财教[2025]147号/省级/义教/2026年校舍安全/火连庄小学校舍维修改造</w:t>
            </w:r>
          </w:p>
        </w:tc>
      </w:tr>
      <w:tr w14:paraId="5561E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57B64">
            <w:pPr>
              <w:pStyle w:val="10"/>
            </w:pPr>
            <w:r>
              <w:t>预算规模及资金用途</w:t>
            </w:r>
          </w:p>
        </w:tc>
        <w:tc>
          <w:tcPr>
            <w:tcW w:w="2268" w:type="dxa"/>
            <w:vAlign w:val="center"/>
          </w:tcPr>
          <w:p w14:paraId="606C1174">
            <w:pPr>
              <w:pStyle w:val="10"/>
            </w:pPr>
            <w:r>
              <w:t>预算数</w:t>
            </w:r>
          </w:p>
        </w:tc>
        <w:tc>
          <w:tcPr>
            <w:tcW w:w="2835" w:type="dxa"/>
            <w:vAlign w:val="center"/>
          </w:tcPr>
          <w:p w14:paraId="790A507F">
            <w:pPr>
              <w:pStyle w:val="12"/>
            </w:pPr>
            <w:r>
              <w:t>29.00</w:t>
            </w:r>
          </w:p>
        </w:tc>
        <w:tc>
          <w:tcPr>
            <w:tcW w:w="2835" w:type="dxa"/>
            <w:vAlign w:val="center"/>
          </w:tcPr>
          <w:p w14:paraId="6E755584">
            <w:pPr>
              <w:pStyle w:val="10"/>
            </w:pPr>
            <w:r>
              <w:t>其中：财政    资金</w:t>
            </w:r>
          </w:p>
        </w:tc>
        <w:tc>
          <w:tcPr>
            <w:tcW w:w="2551" w:type="dxa"/>
            <w:vAlign w:val="center"/>
          </w:tcPr>
          <w:p w14:paraId="4373A0C5">
            <w:pPr>
              <w:pStyle w:val="12"/>
            </w:pPr>
            <w:r>
              <w:t>29.00</w:t>
            </w:r>
          </w:p>
        </w:tc>
        <w:tc>
          <w:tcPr>
            <w:tcW w:w="2268" w:type="dxa"/>
            <w:vAlign w:val="center"/>
          </w:tcPr>
          <w:p w14:paraId="553E0C62">
            <w:pPr>
              <w:pStyle w:val="10"/>
            </w:pPr>
            <w:r>
              <w:t>其他资金</w:t>
            </w:r>
          </w:p>
        </w:tc>
        <w:tc>
          <w:tcPr>
            <w:tcW w:w="1276" w:type="dxa"/>
            <w:vAlign w:val="center"/>
          </w:tcPr>
          <w:p w14:paraId="2FF2A145">
            <w:pPr>
              <w:pStyle w:val="12"/>
            </w:pPr>
            <w:r>
              <w:t xml:space="preserve"> </w:t>
            </w:r>
          </w:p>
        </w:tc>
      </w:tr>
      <w:tr w14:paraId="59450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C6162"/>
        </w:tc>
        <w:tc>
          <w:tcPr>
            <w:tcW w:w="14033" w:type="dxa"/>
            <w:gridSpan w:val="6"/>
            <w:vAlign w:val="center"/>
          </w:tcPr>
          <w:p w14:paraId="23FDF532">
            <w:pPr>
              <w:pStyle w:val="12"/>
            </w:pPr>
            <w:r>
              <w:t>改善就学条件，提升学校形象，保障义务教育阶段教学安全，创造良好的校园环境。</w:t>
            </w:r>
          </w:p>
        </w:tc>
      </w:tr>
      <w:tr w14:paraId="28DE8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2642C">
            <w:pPr>
              <w:pStyle w:val="10"/>
            </w:pPr>
            <w:r>
              <w:t>资金支出计划（%）</w:t>
            </w:r>
          </w:p>
        </w:tc>
        <w:tc>
          <w:tcPr>
            <w:tcW w:w="5103" w:type="dxa"/>
            <w:gridSpan w:val="2"/>
            <w:vAlign w:val="center"/>
          </w:tcPr>
          <w:p w14:paraId="33FC46D3">
            <w:pPr>
              <w:pStyle w:val="10"/>
            </w:pPr>
            <w:r>
              <w:t>3月底</w:t>
            </w:r>
          </w:p>
        </w:tc>
        <w:tc>
          <w:tcPr>
            <w:tcW w:w="2835" w:type="dxa"/>
            <w:vAlign w:val="center"/>
          </w:tcPr>
          <w:p w14:paraId="6C3E92B1">
            <w:pPr>
              <w:pStyle w:val="10"/>
            </w:pPr>
            <w:r>
              <w:t>6月底</w:t>
            </w:r>
          </w:p>
        </w:tc>
        <w:tc>
          <w:tcPr>
            <w:tcW w:w="2551" w:type="dxa"/>
            <w:vAlign w:val="center"/>
          </w:tcPr>
          <w:p w14:paraId="732C2F96">
            <w:pPr>
              <w:pStyle w:val="10"/>
            </w:pPr>
            <w:r>
              <w:t>10月底</w:t>
            </w:r>
          </w:p>
        </w:tc>
        <w:tc>
          <w:tcPr>
            <w:tcW w:w="3544" w:type="dxa"/>
            <w:gridSpan w:val="2"/>
            <w:vAlign w:val="center"/>
          </w:tcPr>
          <w:p w14:paraId="2F13B72C">
            <w:pPr>
              <w:pStyle w:val="10"/>
            </w:pPr>
            <w:r>
              <w:t>12月底</w:t>
            </w:r>
          </w:p>
        </w:tc>
      </w:tr>
      <w:tr w14:paraId="0D600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C8DAF"/>
        </w:tc>
        <w:tc>
          <w:tcPr>
            <w:tcW w:w="5103" w:type="dxa"/>
            <w:gridSpan w:val="2"/>
            <w:vAlign w:val="center"/>
          </w:tcPr>
          <w:p w14:paraId="72C5D2FE">
            <w:pPr>
              <w:pStyle w:val="13"/>
            </w:pPr>
            <w:r>
              <w:t xml:space="preserve"> </w:t>
            </w:r>
          </w:p>
        </w:tc>
        <w:tc>
          <w:tcPr>
            <w:tcW w:w="2835" w:type="dxa"/>
            <w:vAlign w:val="center"/>
          </w:tcPr>
          <w:p w14:paraId="4FF31CC2">
            <w:pPr>
              <w:pStyle w:val="13"/>
            </w:pPr>
            <w:r>
              <w:t xml:space="preserve"> </w:t>
            </w:r>
          </w:p>
        </w:tc>
        <w:tc>
          <w:tcPr>
            <w:tcW w:w="2551" w:type="dxa"/>
            <w:vAlign w:val="center"/>
          </w:tcPr>
          <w:p w14:paraId="0B77F5B2">
            <w:pPr>
              <w:pStyle w:val="13"/>
            </w:pPr>
            <w:r>
              <w:t>100%</w:t>
            </w:r>
          </w:p>
        </w:tc>
        <w:tc>
          <w:tcPr>
            <w:tcW w:w="3544" w:type="dxa"/>
            <w:gridSpan w:val="2"/>
            <w:vAlign w:val="center"/>
          </w:tcPr>
          <w:p w14:paraId="16140416">
            <w:pPr>
              <w:pStyle w:val="13"/>
            </w:pPr>
            <w:r>
              <w:t>100%</w:t>
            </w:r>
          </w:p>
        </w:tc>
      </w:tr>
      <w:tr w14:paraId="3DD69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1FF89">
            <w:pPr>
              <w:pStyle w:val="10"/>
            </w:pPr>
            <w:r>
              <w:t>绩效目标</w:t>
            </w:r>
          </w:p>
        </w:tc>
        <w:tc>
          <w:tcPr>
            <w:tcW w:w="14033" w:type="dxa"/>
            <w:gridSpan w:val="6"/>
            <w:vAlign w:val="center"/>
          </w:tcPr>
          <w:p w14:paraId="76FB9581">
            <w:pPr>
              <w:pStyle w:val="12"/>
            </w:pPr>
            <w:r>
              <w:t>1.项目需资金29万元，资金拨付率达到100%。</w:t>
            </w:r>
          </w:p>
          <w:p w14:paraId="381789B9">
            <w:pPr>
              <w:pStyle w:val="12"/>
            </w:pPr>
            <w:r>
              <w:t>2.改善就学条件，提升学校形象，保障义务教育阶段教学安全，创造良好的校园环境。</w:t>
            </w:r>
          </w:p>
        </w:tc>
      </w:tr>
    </w:tbl>
    <w:p w14:paraId="6C240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E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45B7A">
            <w:pPr>
              <w:pStyle w:val="10"/>
            </w:pPr>
            <w:r>
              <w:t>一级指标</w:t>
            </w:r>
          </w:p>
        </w:tc>
        <w:tc>
          <w:tcPr>
            <w:tcW w:w="2268" w:type="dxa"/>
            <w:vAlign w:val="center"/>
          </w:tcPr>
          <w:p w14:paraId="64F68889">
            <w:pPr>
              <w:pStyle w:val="10"/>
            </w:pPr>
            <w:r>
              <w:t>二级指标</w:t>
            </w:r>
          </w:p>
        </w:tc>
        <w:tc>
          <w:tcPr>
            <w:tcW w:w="2835" w:type="dxa"/>
            <w:vAlign w:val="center"/>
          </w:tcPr>
          <w:p w14:paraId="4F5E24B7">
            <w:pPr>
              <w:pStyle w:val="10"/>
            </w:pPr>
            <w:r>
              <w:t>三级指标</w:t>
            </w:r>
          </w:p>
        </w:tc>
        <w:tc>
          <w:tcPr>
            <w:tcW w:w="5386" w:type="dxa"/>
            <w:vAlign w:val="center"/>
          </w:tcPr>
          <w:p w14:paraId="3A121273">
            <w:pPr>
              <w:pStyle w:val="10"/>
            </w:pPr>
            <w:r>
              <w:t>绩效指标描述</w:t>
            </w:r>
          </w:p>
        </w:tc>
        <w:tc>
          <w:tcPr>
            <w:tcW w:w="2268" w:type="dxa"/>
            <w:vAlign w:val="center"/>
          </w:tcPr>
          <w:p w14:paraId="10C6CA1B">
            <w:pPr>
              <w:pStyle w:val="10"/>
            </w:pPr>
            <w:r>
              <w:t>指标值</w:t>
            </w:r>
          </w:p>
        </w:tc>
        <w:tc>
          <w:tcPr>
            <w:tcW w:w="1276" w:type="dxa"/>
            <w:vAlign w:val="center"/>
          </w:tcPr>
          <w:p w14:paraId="7BBD0DDA">
            <w:pPr>
              <w:pStyle w:val="10"/>
            </w:pPr>
            <w:r>
              <w:t>指标值确定依据</w:t>
            </w:r>
          </w:p>
        </w:tc>
      </w:tr>
      <w:tr w14:paraId="2E2E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CA268">
            <w:pPr>
              <w:pStyle w:val="13"/>
            </w:pPr>
            <w:r>
              <w:t>产出指标</w:t>
            </w:r>
          </w:p>
        </w:tc>
        <w:tc>
          <w:tcPr>
            <w:tcW w:w="2268" w:type="dxa"/>
            <w:vAlign w:val="center"/>
          </w:tcPr>
          <w:p w14:paraId="2EA2C93F">
            <w:pPr>
              <w:pStyle w:val="12"/>
            </w:pPr>
            <w:r>
              <w:t>数量指标</w:t>
            </w:r>
          </w:p>
        </w:tc>
        <w:tc>
          <w:tcPr>
            <w:tcW w:w="2835" w:type="dxa"/>
            <w:vAlign w:val="center"/>
          </w:tcPr>
          <w:p w14:paraId="347DA2E4">
            <w:pPr>
              <w:pStyle w:val="12"/>
            </w:pPr>
            <w:r>
              <w:t>火连庄小学校舍维修改造</w:t>
            </w:r>
          </w:p>
        </w:tc>
        <w:tc>
          <w:tcPr>
            <w:tcW w:w="5386" w:type="dxa"/>
            <w:vAlign w:val="center"/>
          </w:tcPr>
          <w:p w14:paraId="6B4598C2">
            <w:pPr>
              <w:pStyle w:val="12"/>
            </w:pPr>
            <w:r>
              <w:t>宿舍和教室外墙维修改造等</w:t>
            </w:r>
          </w:p>
        </w:tc>
        <w:tc>
          <w:tcPr>
            <w:tcW w:w="2268" w:type="dxa"/>
            <w:vAlign w:val="center"/>
          </w:tcPr>
          <w:p w14:paraId="4E42F569">
            <w:pPr>
              <w:pStyle w:val="12"/>
            </w:pPr>
            <w:r>
              <w:t>1项</w:t>
            </w:r>
          </w:p>
        </w:tc>
        <w:tc>
          <w:tcPr>
            <w:tcW w:w="1276" w:type="dxa"/>
            <w:vAlign w:val="center"/>
          </w:tcPr>
          <w:p w14:paraId="300EF82B">
            <w:pPr>
              <w:pStyle w:val="12"/>
            </w:pPr>
            <w:r>
              <w:t>项目规划</w:t>
            </w:r>
          </w:p>
        </w:tc>
      </w:tr>
      <w:tr w14:paraId="058D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BEB81"/>
        </w:tc>
        <w:tc>
          <w:tcPr>
            <w:tcW w:w="2268" w:type="dxa"/>
            <w:vAlign w:val="center"/>
          </w:tcPr>
          <w:p w14:paraId="4B44F709">
            <w:pPr>
              <w:pStyle w:val="12"/>
            </w:pPr>
            <w:r>
              <w:t>质量指标</w:t>
            </w:r>
          </w:p>
        </w:tc>
        <w:tc>
          <w:tcPr>
            <w:tcW w:w="2835" w:type="dxa"/>
            <w:vAlign w:val="center"/>
          </w:tcPr>
          <w:p w14:paraId="3328AD2D">
            <w:pPr>
              <w:pStyle w:val="12"/>
            </w:pPr>
            <w:r>
              <w:t>工程实施验收合格率</w:t>
            </w:r>
          </w:p>
        </w:tc>
        <w:tc>
          <w:tcPr>
            <w:tcW w:w="5386" w:type="dxa"/>
            <w:vAlign w:val="center"/>
          </w:tcPr>
          <w:p w14:paraId="1D6AF8F3">
            <w:pPr>
              <w:pStyle w:val="12"/>
            </w:pPr>
            <w:r>
              <w:t>申报程序的合规，项目实施及资金使用符合项目规划</w:t>
            </w:r>
          </w:p>
        </w:tc>
        <w:tc>
          <w:tcPr>
            <w:tcW w:w="2268" w:type="dxa"/>
            <w:vAlign w:val="center"/>
          </w:tcPr>
          <w:p w14:paraId="5612DD5E">
            <w:pPr>
              <w:pStyle w:val="12"/>
            </w:pPr>
            <w:r>
              <w:t>100%</w:t>
            </w:r>
          </w:p>
        </w:tc>
        <w:tc>
          <w:tcPr>
            <w:tcW w:w="1276" w:type="dxa"/>
            <w:vAlign w:val="center"/>
          </w:tcPr>
          <w:p w14:paraId="265E2D1F">
            <w:pPr>
              <w:pStyle w:val="12"/>
            </w:pPr>
            <w:r>
              <w:t>项目规划</w:t>
            </w:r>
          </w:p>
        </w:tc>
      </w:tr>
      <w:tr w14:paraId="7809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CA4DA"/>
        </w:tc>
        <w:tc>
          <w:tcPr>
            <w:tcW w:w="2268" w:type="dxa"/>
            <w:vAlign w:val="center"/>
          </w:tcPr>
          <w:p w14:paraId="2588992F">
            <w:pPr>
              <w:pStyle w:val="12"/>
            </w:pPr>
            <w:r>
              <w:t>时效指标</w:t>
            </w:r>
          </w:p>
        </w:tc>
        <w:tc>
          <w:tcPr>
            <w:tcW w:w="2835" w:type="dxa"/>
            <w:vAlign w:val="center"/>
          </w:tcPr>
          <w:p w14:paraId="0E489ED9">
            <w:pPr>
              <w:pStyle w:val="12"/>
            </w:pPr>
            <w:r>
              <w:t>资金支付率</w:t>
            </w:r>
          </w:p>
        </w:tc>
        <w:tc>
          <w:tcPr>
            <w:tcW w:w="5386" w:type="dxa"/>
            <w:vAlign w:val="center"/>
          </w:tcPr>
          <w:p w14:paraId="4D1617A3">
            <w:pPr>
              <w:pStyle w:val="12"/>
            </w:pPr>
            <w:r>
              <w:t>按照序时进度完成资金支付</w:t>
            </w:r>
          </w:p>
        </w:tc>
        <w:tc>
          <w:tcPr>
            <w:tcW w:w="2268" w:type="dxa"/>
            <w:vAlign w:val="center"/>
          </w:tcPr>
          <w:p w14:paraId="35E52004">
            <w:pPr>
              <w:pStyle w:val="12"/>
            </w:pPr>
            <w:r>
              <w:t>100%</w:t>
            </w:r>
          </w:p>
        </w:tc>
        <w:tc>
          <w:tcPr>
            <w:tcW w:w="1276" w:type="dxa"/>
            <w:vAlign w:val="center"/>
          </w:tcPr>
          <w:p w14:paraId="161D3766">
            <w:pPr>
              <w:pStyle w:val="12"/>
            </w:pPr>
            <w:r>
              <w:t>项目规划</w:t>
            </w:r>
          </w:p>
        </w:tc>
      </w:tr>
      <w:tr w14:paraId="6FD3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1EDE"/>
        </w:tc>
        <w:tc>
          <w:tcPr>
            <w:tcW w:w="2268" w:type="dxa"/>
            <w:vAlign w:val="center"/>
          </w:tcPr>
          <w:p w14:paraId="6504A976">
            <w:pPr>
              <w:pStyle w:val="12"/>
            </w:pPr>
            <w:r>
              <w:t>成本指标</w:t>
            </w:r>
          </w:p>
        </w:tc>
        <w:tc>
          <w:tcPr>
            <w:tcW w:w="2835" w:type="dxa"/>
            <w:vAlign w:val="center"/>
          </w:tcPr>
          <w:p w14:paraId="08859ACC">
            <w:pPr>
              <w:pStyle w:val="12"/>
            </w:pPr>
            <w:r>
              <w:t>项目成本控制情况</w:t>
            </w:r>
          </w:p>
        </w:tc>
        <w:tc>
          <w:tcPr>
            <w:tcW w:w="5386" w:type="dxa"/>
            <w:vAlign w:val="center"/>
          </w:tcPr>
          <w:p w14:paraId="1399ABCE">
            <w:pPr>
              <w:pStyle w:val="12"/>
            </w:pPr>
            <w:r>
              <w:t>严格按照招标价格及审计额进行</w:t>
            </w:r>
          </w:p>
        </w:tc>
        <w:tc>
          <w:tcPr>
            <w:tcW w:w="2268" w:type="dxa"/>
            <w:vAlign w:val="center"/>
          </w:tcPr>
          <w:p w14:paraId="6C7BBB24">
            <w:pPr>
              <w:pStyle w:val="12"/>
            </w:pPr>
            <w:r>
              <w:t>290000元</w:t>
            </w:r>
          </w:p>
        </w:tc>
        <w:tc>
          <w:tcPr>
            <w:tcW w:w="1276" w:type="dxa"/>
            <w:vAlign w:val="center"/>
          </w:tcPr>
          <w:p w14:paraId="3D0E391C">
            <w:pPr>
              <w:pStyle w:val="12"/>
            </w:pPr>
            <w:r>
              <w:t>项目规划</w:t>
            </w:r>
          </w:p>
        </w:tc>
      </w:tr>
      <w:tr w14:paraId="2DFD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C0650">
            <w:pPr>
              <w:pStyle w:val="13"/>
            </w:pPr>
            <w:r>
              <w:t>效益指标</w:t>
            </w:r>
          </w:p>
        </w:tc>
        <w:tc>
          <w:tcPr>
            <w:tcW w:w="2268" w:type="dxa"/>
            <w:vAlign w:val="center"/>
          </w:tcPr>
          <w:p w14:paraId="37F7361B">
            <w:pPr>
              <w:pStyle w:val="12"/>
            </w:pPr>
            <w:r>
              <w:t>社会效益指标</w:t>
            </w:r>
          </w:p>
        </w:tc>
        <w:tc>
          <w:tcPr>
            <w:tcW w:w="2835" w:type="dxa"/>
            <w:vAlign w:val="center"/>
          </w:tcPr>
          <w:p w14:paraId="4269B946">
            <w:pPr>
              <w:pStyle w:val="12"/>
            </w:pPr>
            <w:r>
              <w:t>学校办学环境提升</w:t>
            </w:r>
          </w:p>
        </w:tc>
        <w:tc>
          <w:tcPr>
            <w:tcW w:w="5386" w:type="dxa"/>
            <w:vAlign w:val="center"/>
          </w:tcPr>
          <w:p w14:paraId="6ECF0ED3">
            <w:pPr>
              <w:pStyle w:val="12"/>
            </w:pPr>
            <w:r>
              <w:t>学校教学环境提升优化率</w:t>
            </w:r>
          </w:p>
        </w:tc>
        <w:tc>
          <w:tcPr>
            <w:tcW w:w="2268" w:type="dxa"/>
            <w:vAlign w:val="center"/>
          </w:tcPr>
          <w:p w14:paraId="47A1056E">
            <w:pPr>
              <w:pStyle w:val="12"/>
            </w:pPr>
            <w:r>
              <w:t>≥98%</w:t>
            </w:r>
          </w:p>
        </w:tc>
        <w:tc>
          <w:tcPr>
            <w:tcW w:w="1276" w:type="dxa"/>
            <w:vAlign w:val="center"/>
          </w:tcPr>
          <w:p w14:paraId="37A954DD">
            <w:pPr>
              <w:pStyle w:val="12"/>
            </w:pPr>
            <w:r>
              <w:t>项目规划</w:t>
            </w:r>
          </w:p>
        </w:tc>
      </w:tr>
      <w:tr w14:paraId="2B0F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4A1AE">
            <w:pPr>
              <w:pStyle w:val="13"/>
            </w:pPr>
            <w:r>
              <w:t>满意度指标</w:t>
            </w:r>
          </w:p>
        </w:tc>
        <w:tc>
          <w:tcPr>
            <w:tcW w:w="2268" w:type="dxa"/>
            <w:vAlign w:val="center"/>
          </w:tcPr>
          <w:p w14:paraId="4F5B23DD">
            <w:pPr>
              <w:pStyle w:val="12"/>
            </w:pPr>
            <w:r>
              <w:t>服务对象满意度指标</w:t>
            </w:r>
          </w:p>
        </w:tc>
        <w:tc>
          <w:tcPr>
            <w:tcW w:w="2835" w:type="dxa"/>
            <w:vAlign w:val="center"/>
          </w:tcPr>
          <w:p w14:paraId="3B784847">
            <w:pPr>
              <w:pStyle w:val="12"/>
            </w:pPr>
            <w:r>
              <w:t>受益学生家长及调查满意度</w:t>
            </w:r>
          </w:p>
        </w:tc>
        <w:tc>
          <w:tcPr>
            <w:tcW w:w="5386" w:type="dxa"/>
            <w:vAlign w:val="center"/>
          </w:tcPr>
          <w:p w14:paraId="046E4835">
            <w:pPr>
              <w:pStyle w:val="12"/>
            </w:pPr>
            <w:r>
              <w:t>学生、教师及家长对学校教学环境满意度情况</w:t>
            </w:r>
          </w:p>
        </w:tc>
        <w:tc>
          <w:tcPr>
            <w:tcW w:w="2268" w:type="dxa"/>
            <w:vAlign w:val="center"/>
          </w:tcPr>
          <w:p w14:paraId="26C63C81">
            <w:pPr>
              <w:pStyle w:val="12"/>
            </w:pPr>
            <w:r>
              <w:t>≥95%</w:t>
            </w:r>
          </w:p>
        </w:tc>
        <w:tc>
          <w:tcPr>
            <w:tcW w:w="1276" w:type="dxa"/>
            <w:vAlign w:val="center"/>
          </w:tcPr>
          <w:p w14:paraId="4A83B288">
            <w:pPr>
              <w:pStyle w:val="12"/>
            </w:pPr>
            <w:r>
              <w:t>调查问卷</w:t>
            </w:r>
          </w:p>
        </w:tc>
      </w:tr>
    </w:tbl>
    <w:p w14:paraId="288B707F">
      <w:pPr>
        <w:sectPr>
          <w:pgSz w:w="16840" w:h="11900" w:orient="landscape"/>
          <w:pgMar w:top="1361" w:right="1020" w:bottom="1134" w:left="1020" w:header="720" w:footer="720" w:gutter="0"/>
          <w:cols w:space="720" w:num="1"/>
        </w:sectPr>
      </w:pPr>
    </w:p>
    <w:p w14:paraId="4E19C5FC">
      <w:pPr>
        <w:spacing w:before="0" w:after="0"/>
        <w:ind w:firstLine="560"/>
        <w:jc w:val="left"/>
        <w:outlineLvl w:val="9"/>
      </w:pPr>
      <w:r>
        <w:rPr>
          <w:rFonts w:ascii="方正仿宋_GBK" w:hAnsi="方正仿宋_GBK" w:eastAsia="方正仿宋_GBK" w:cs="方正仿宋_GBK"/>
          <w:b/>
          <w:color w:val="000000"/>
          <w:sz w:val="28"/>
        </w:rPr>
        <w:t>19、冀财教[2025]148号/支持义务教育发展/固城校区火连庄小学照明改造计划项目绩效目标表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D7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7CF96">
            <w:pPr>
              <w:pStyle w:val="11"/>
            </w:pPr>
            <w:r>
              <w:t>单位：万元</w:t>
            </w:r>
          </w:p>
        </w:tc>
      </w:tr>
      <w:tr w14:paraId="2D3D5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6CA74">
            <w:pPr>
              <w:pStyle w:val="10"/>
            </w:pPr>
            <w:r>
              <w:t>项目编码</w:t>
            </w:r>
          </w:p>
        </w:tc>
        <w:tc>
          <w:tcPr>
            <w:tcW w:w="5103" w:type="dxa"/>
            <w:gridSpan w:val="2"/>
            <w:vAlign w:val="center"/>
          </w:tcPr>
          <w:p w14:paraId="694255DF">
            <w:pPr>
              <w:pStyle w:val="12"/>
            </w:pPr>
            <w:r>
              <w:t>13052526P00000210134E</w:t>
            </w:r>
          </w:p>
        </w:tc>
        <w:tc>
          <w:tcPr>
            <w:tcW w:w="2835" w:type="dxa"/>
            <w:vAlign w:val="center"/>
          </w:tcPr>
          <w:p w14:paraId="2FA32C04">
            <w:pPr>
              <w:pStyle w:val="10"/>
            </w:pPr>
            <w:r>
              <w:t>项目名称</w:t>
            </w:r>
          </w:p>
        </w:tc>
        <w:tc>
          <w:tcPr>
            <w:tcW w:w="6095" w:type="dxa"/>
            <w:gridSpan w:val="3"/>
            <w:vAlign w:val="center"/>
          </w:tcPr>
          <w:p w14:paraId="60C5E4E9">
            <w:pPr>
              <w:pStyle w:val="12"/>
            </w:pPr>
            <w:r>
              <w:t>冀财教[2025]148号/支持义务教育发展/固城校区火连庄小学照明改造计划项目</w:t>
            </w:r>
          </w:p>
        </w:tc>
      </w:tr>
      <w:tr w14:paraId="32BBF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09C88">
            <w:pPr>
              <w:pStyle w:val="10"/>
            </w:pPr>
            <w:r>
              <w:t>预算规模及资金用途</w:t>
            </w:r>
          </w:p>
        </w:tc>
        <w:tc>
          <w:tcPr>
            <w:tcW w:w="2268" w:type="dxa"/>
            <w:vAlign w:val="center"/>
          </w:tcPr>
          <w:p w14:paraId="3C540060">
            <w:pPr>
              <w:pStyle w:val="10"/>
            </w:pPr>
            <w:r>
              <w:t>预算数</w:t>
            </w:r>
          </w:p>
        </w:tc>
        <w:tc>
          <w:tcPr>
            <w:tcW w:w="2835" w:type="dxa"/>
            <w:vAlign w:val="center"/>
          </w:tcPr>
          <w:p w14:paraId="78FF089D">
            <w:pPr>
              <w:pStyle w:val="12"/>
            </w:pPr>
            <w:r>
              <w:t>10.26</w:t>
            </w:r>
          </w:p>
        </w:tc>
        <w:tc>
          <w:tcPr>
            <w:tcW w:w="2835" w:type="dxa"/>
            <w:vAlign w:val="center"/>
          </w:tcPr>
          <w:p w14:paraId="1E6F8E68">
            <w:pPr>
              <w:pStyle w:val="10"/>
            </w:pPr>
            <w:r>
              <w:t>其中：财政    资金</w:t>
            </w:r>
          </w:p>
        </w:tc>
        <w:tc>
          <w:tcPr>
            <w:tcW w:w="2551" w:type="dxa"/>
            <w:vAlign w:val="center"/>
          </w:tcPr>
          <w:p w14:paraId="164F1CF9">
            <w:pPr>
              <w:pStyle w:val="12"/>
            </w:pPr>
            <w:r>
              <w:t>10.26</w:t>
            </w:r>
          </w:p>
        </w:tc>
        <w:tc>
          <w:tcPr>
            <w:tcW w:w="2268" w:type="dxa"/>
            <w:vAlign w:val="center"/>
          </w:tcPr>
          <w:p w14:paraId="18D8364E">
            <w:pPr>
              <w:pStyle w:val="10"/>
            </w:pPr>
            <w:r>
              <w:t>其他资金</w:t>
            </w:r>
          </w:p>
        </w:tc>
        <w:tc>
          <w:tcPr>
            <w:tcW w:w="1276" w:type="dxa"/>
            <w:vAlign w:val="center"/>
          </w:tcPr>
          <w:p w14:paraId="7B656C11">
            <w:pPr>
              <w:pStyle w:val="12"/>
            </w:pPr>
            <w:r>
              <w:t xml:space="preserve"> </w:t>
            </w:r>
          </w:p>
        </w:tc>
      </w:tr>
      <w:tr w14:paraId="325FBDE2">
        <w:tblPrEx>
          <w:tblCellMar>
            <w:top w:w="0" w:type="dxa"/>
            <w:left w:w="108" w:type="dxa"/>
            <w:bottom w:w="0" w:type="dxa"/>
            <w:right w:w="108" w:type="dxa"/>
          </w:tblCellMar>
        </w:tblPrEx>
        <w:trPr>
          <w:trHeight w:val="369" w:hRule="atLeast"/>
          <w:jc w:val="center"/>
        </w:trPr>
        <w:tc>
          <w:tcPr>
            <w:tcW w:w="1276" w:type="dxa"/>
            <w:vMerge w:val="continue"/>
          </w:tcPr>
          <w:p w14:paraId="27213F9C"/>
        </w:tc>
        <w:tc>
          <w:tcPr>
            <w:tcW w:w="14033" w:type="dxa"/>
            <w:gridSpan w:val="6"/>
            <w:vAlign w:val="center"/>
          </w:tcPr>
          <w:p w14:paraId="507249A0">
            <w:pPr>
              <w:pStyle w:val="12"/>
            </w:pPr>
            <w:r>
              <w:t>改善教学条件，保护学生用眼。</w:t>
            </w:r>
          </w:p>
        </w:tc>
      </w:tr>
      <w:tr w14:paraId="05B39152">
        <w:tblPrEx>
          <w:tblCellMar>
            <w:top w:w="0" w:type="dxa"/>
            <w:left w:w="108" w:type="dxa"/>
            <w:bottom w:w="0" w:type="dxa"/>
            <w:right w:w="108" w:type="dxa"/>
          </w:tblCellMar>
        </w:tblPrEx>
        <w:trPr>
          <w:trHeight w:val="369" w:hRule="atLeast"/>
          <w:jc w:val="center"/>
        </w:trPr>
        <w:tc>
          <w:tcPr>
            <w:tcW w:w="1276" w:type="dxa"/>
            <w:vMerge w:val="restart"/>
            <w:vAlign w:val="center"/>
          </w:tcPr>
          <w:p w14:paraId="3691D189">
            <w:pPr>
              <w:pStyle w:val="10"/>
            </w:pPr>
            <w:r>
              <w:t>资金支出计划（%）</w:t>
            </w:r>
          </w:p>
        </w:tc>
        <w:tc>
          <w:tcPr>
            <w:tcW w:w="5103" w:type="dxa"/>
            <w:gridSpan w:val="2"/>
            <w:vAlign w:val="center"/>
          </w:tcPr>
          <w:p w14:paraId="1DBC2B64">
            <w:pPr>
              <w:pStyle w:val="10"/>
            </w:pPr>
            <w:r>
              <w:t>3月底</w:t>
            </w:r>
          </w:p>
        </w:tc>
        <w:tc>
          <w:tcPr>
            <w:tcW w:w="2835" w:type="dxa"/>
            <w:vAlign w:val="center"/>
          </w:tcPr>
          <w:p w14:paraId="334A9EC6">
            <w:pPr>
              <w:pStyle w:val="10"/>
            </w:pPr>
            <w:r>
              <w:t>6月底</w:t>
            </w:r>
          </w:p>
        </w:tc>
        <w:tc>
          <w:tcPr>
            <w:tcW w:w="2551" w:type="dxa"/>
            <w:vAlign w:val="center"/>
          </w:tcPr>
          <w:p w14:paraId="57F3970A">
            <w:pPr>
              <w:pStyle w:val="10"/>
            </w:pPr>
            <w:r>
              <w:t>10月底</w:t>
            </w:r>
          </w:p>
        </w:tc>
        <w:tc>
          <w:tcPr>
            <w:tcW w:w="3544" w:type="dxa"/>
            <w:gridSpan w:val="2"/>
            <w:vAlign w:val="center"/>
          </w:tcPr>
          <w:p w14:paraId="4BDE02FD">
            <w:pPr>
              <w:pStyle w:val="10"/>
            </w:pPr>
            <w:r>
              <w:t>12月底</w:t>
            </w:r>
          </w:p>
        </w:tc>
      </w:tr>
      <w:tr w14:paraId="79105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20A2F"/>
        </w:tc>
        <w:tc>
          <w:tcPr>
            <w:tcW w:w="5103" w:type="dxa"/>
            <w:gridSpan w:val="2"/>
            <w:vAlign w:val="center"/>
          </w:tcPr>
          <w:p w14:paraId="68903D2F">
            <w:pPr>
              <w:pStyle w:val="13"/>
            </w:pPr>
            <w:r>
              <w:t xml:space="preserve"> </w:t>
            </w:r>
          </w:p>
        </w:tc>
        <w:tc>
          <w:tcPr>
            <w:tcW w:w="2835" w:type="dxa"/>
            <w:vAlign w:val="center"/>
          </w:tcPr>
          <w:p w14:paraId="69D47353">
            <w:pPr>
              <w:pStyle w:val="13"/>
            </w:pPr>
            <w:r>
              <w:t xml:space="preserve"> </w:t>
            </w:r>
          </w:p>
        </w:tc>
        <w:tc>
          <w:tcPr>
            <w:tcW w:w="2551" w:type="dxa"/>
            <w:vAlign w:val="center"/>
          </w:tcPr>
          <w:p w14:paraId="2EF19FEF">
            <w:pPr>
              <w:pStyle w:val="13"/>
            </w:pPr>
            <w:r>
              <w:t>100%</w:t>
            </w:r>
          </w:p>
        </w:tc>
        <w:tc>
          <w:tcPr>
            <w:tcW w:w="3544" w:type="dxa"/>
            <w:gridSpan w:val="2"/>
            <w:vAlign w:val="center"/>
          </w:tcPr>
          <w:p w14:paraId="1E5F4F92">
            <w:pPr>
              <w:pStyle w:val="13"/>
            </w:pPr>
            <w:r>
              <w:t>100%</w:t>
            </w:r>
          </w:p>
        </w:tc>
      </w:tr>
      <w:tr w14:paraId="0100A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EBDA3">
            <w:pPr>
              <w:pStyle w:val="10"/>
            </w:pPr>
            <w:r>
              <w:t>绩效目标</w:t>
            </w:r>
          </w:p>
        </w:tc>
        <w:tc>
          <w:tcPr>
            <w:tcW w:w="14033" w:type="dxa"/>
            <w:gridSpan w:val="6"/>
            <w:vAlign w:val="center"/>
          </w:tcPr>
          <w:p w14:paraId="4FF92A6D">
            <w:pPr>
              <w:pStyle w:val="12"/>
            </w:pPr>
            <w:r>
              <w:t>1.改善教学条件，保护学生用眼。</w:t>
            </w:r>
          </w:p>
          <w:p w14:paraId="138570CB">
            <w:pPr>
              <w:pStyle w:val="12"/>
            </w:pPr>
            <w:r>
              <w:t>2.项目需资金10.26万元，资金拨付率达到100%</w:t>
            </w:r>
          </w:p>
        </w:tc>
      </w:tr>
    </w:tbl>
    <w:p w14:paraId="3BA0F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C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74221">
            <w:pPr>
              <w:pStyle w:val="10"/>
            </w:pPr>
            <w:r>
              <w:t>一级指标</w:t>
            </w:r>
          </w:p>
        </w:tc>
        <w:tc>
          <w:tcPr>
            <w:tcW w:w="2268" w:type="dxa"/>
            <w:vAlign w:val="center"/>
          </w:tcPr>
          <w:p w14:paraId="6C907838">
            <w:pPr>
              <w:pStyle w:val="10"/>
            </w:pPr>
            <w:r>
              <w:t>二级指标</w:t>
            </w:r>
          </w:p>
        </w:tc>
        <w:tc>
          <w:tcPr>
            <w:tcW w:w="2835" w:type="dxa"/>
            <w:vAlign w:val="center"/>
          </w:tcPr>
          <w:p w14:paraId="1D62F61F">
            <w:pPr>
              <w:pStyle w:val="10"/>
            </w:pPr>
            <w:r>
              <w:t>三级指标</w:t>
            </w:r>
          </w:p>
        </w:tc>
        <w:tc>
          <w:tcPr>
            <w:tcW w:w="5386" w:type="dxa"/>
            <w:vAlign w:val="center"/>
          </w:tcPr>
          <w:p w14:paraId="77F94B7B">
            <w:pPr>
              <w:pStyle w:val="10"/>
            </w:pPr>
            <w:r>
              <w:t>绩效指标描述</w:t>
            </w:r>
          </w:p>
        </w:tc>
        <w:tc>
          <w:tcPr>
            <w:tcW w:w="2268" w:type="dxa"/>
            <w:vAlign w:val="center"/>
          </w:tcPr>
          <w:p w14:paraId="47045631">
            <w:pPr>
              <w:pStyle w:val="10"/>
            </w:pPr>
            <w:r>
              <w:t>指标值</w:t>
            </w:r>
          </w:p>
        </w:tc>
        <w:tc>
          <w:tcPr>
            <w:tcW w:w="1276" w:type="dxa"/>
            <w:vAlign w:val="center"/>
          </w:tcPr>
          <w:p w14:paraId="5C65F16A">
            <w:pPr>
              <w:pStyle w:val="10"/>
            </w:pPr>
            <w:r>
              <w:t>指标值确定依据</w:t>
            </w:r>
          </w:p>
        </w:tc>
      </w:tr>
      <w:tr w14:paraId="18E2D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7B85A">
            <w:pPr>
              <w:pStyle w:val="13"/>
            </w:pPr>
            <w:r>
              <w:t>产出指标</w:t>
            </w:r>
          </w:p>
        </w:tc>
        <w:tc>
          <w:tcPr>
            <w:tcW w:w="2268" w:type="dxa"/>
            <w:vAlign w:val="center"/>
          </w:tcPr>
          <w:p w14:paraId="17292A7D">
            <w:pPr>
              <w:pStyle w:val="12"/>
            </w:pPr>
            <w:r>
              <w:t>数量指标</w:t>
            </w:r>
          </w:p>
        </w:tc>
        <w:tc>
          <w:tcPr>
            <w:tcW w:w="2835" w:type="dxa"/>
            <w:vAlign w:val="center"/>
          </w:tcPr>
          <w:p w14:paraId="230175AC">
            <w:pPr>
              <w:pStyle w:val="12"/>
            </w:pPr>
            <w:r>
              <w:t>火连庄小学教室照明计划</w:t>
            </w:r>
          </w:p>
        </w:tc>
        <w:tc>
          <w:tcPr>
            <w:tcW w:w="5386" w:type="dxa"/>
            <w:vAlign w:val="center"/>
          </w:tcPr>
          <w:p w14:paraId="2A5D8D47">
            <w:pPr>
              <w:pStyle w:val="12"/>
            </w:pPr>
            <w:r>
              <w:t>教室安装LED照明灯</w:t>
            </w:r>
          </w:p>
        </w:tc>
        <w:tc>
          <w:tcPr>
            <w:tcW w:w="2268" w:type="dxa"/>
            <w:vAlign w:val="center"/>
          </w:tcPr>
          <w:p w14:paraId="6973CB5D">
            <w:pPr>
              <w:pStyle w:val="12"/>
            </w:pPr>
            <w:r>
              <w:t>12个</w:t>
            </w:r>
          </w:p>
        </w:tc>
        <w:tc>
          <w:tcPr>
            <w:tcW w:w="1276" w:type="dxa"/>
            <w:vAlign w:val="center"/>
          </w:tcPr>
          <w:p w14:paraId="24F578A1">
            <w:pPr>
              <w:pStyle w:val="12"/>
            </w:pPr>
            <w:r>
              <w:t>计划项目</w:t>
            </w:r>
          </w:p>
        </w:tc>
      </w:tr>
      <w:tr w14:paraId="5017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7798"/>
        </w:tc>
        <w:tc>
          <w:tcPr>
            <w:tcW w:w="2268" w:type="dxa"/>
            <w:vAlign w:val="center"/>
          </w:tcPr>
          <w:p w14:paraId="2085C17B">
            <w:pPr>
              <w:pStyle w:val="12"/>
            </w:pPr>
            <w:r>
              <w:t>质量指标</w:t>
            </w:r>
          </w:p>
        </w:tc>
        <w:tc>
          <w:tcPr>
            <w:tcW w:w="2835" w:type="dxa"/>
            <w:vAlign w:val="center"/>
          </w:tcPr>
          <w:p w14:paraId="78AE5BE5">
            <w:pPr>
              <w:pStyle w:val="12"/>
            </w:pPr>
            <w:r>
              <w:t>验收合格率</w:t>
            </w:r>
          </w:p>
        </w:tc>
        <w:tc>
          <w:tcPr>
            <w:tcW w:w="5386" w:type="dxa"/>
            <w:vAlign w:val="center"/>
          </w:tcPr>
          <w:p w14:paraId="76E0BD10">
            <w:pPr>
              <w:pStyle w:val="12"/>
            </w:pPr>
            <w:r>
              <w:t>申报程序的合规，项目实施及资金使用符合项目规划</w:t>
            </w:r>
          </w:p>
        </w:tc>
        <w:tc>
          <w:tcPr>
            <w:tcW w:w="2268" w:type="dxa"/>
            <w:vAlign w:val="center"/>
          </w:tcPr>
          <w:p w14:paraId="6243D46A">
            <w:pPr>
              <w:pStyle w:val="12"/>
            </w:pPr>
            <w:r>
              <w:t>100%</w:t>
            </w:r>
          </w:p>
        </w:tc>
        <w:tc>
          <w:tcPr>
            <w:tcW w:w="1276" w:type="dxa"/>
            <w:vAlign w:val="center"/>
          </w:tcPr>
          <w:p w14:paraId="724FE1A5">
            <w:pPr>
              <w:pStyle w:val="12"/>
            </w:pPr>
            <w:r>
              <w:t>计划项目</w:t>
            </w:r>
          </w:p>
        </w:tc>
      </w:tr>
      <w:tr w14:paraId="15CC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9D7E9"/>
        </w:tc>
        <w:tc>
          <w:tcPr>
            <w:tcW w:w="2268" w:type="dxa"/>
            <w:vAlign w:val="center"/>
          </w:tcPr>
          <w:p w14:paraId="0A98C265">
            <w:pPr>
              <w:pStyle w:val="12"/>
            </w:pPr>
            <w:r>
              <w:t>时效指标</w:t>
            </w:r>
          </w:p>
        </w:tc>
        <w:tc>
          <w:tcPr>
            <w:tcW w:w="2835" w:type="dxa"/>
            <w:vAlign w:val="center"/>
          </w:tcPr>
          <w:p w14:paraId="73BA1E58">
            <w:pPr>
              <w:pStyle w:val="12"/>
            </w:pPr>
            <w:r>
              <w:t>资金支付率</w:t>
            </w:r>
          </w:p>
        </w:tc>
        <w:tc>
          <w:tcPr>
            <w:tcW w:w="5386" w:type="dxa"/>
            <w:vAlign w:val="center"/>
          </w:tcPr>
          <w:p w14:paraId="627FA0A4">
            <w:pPr>
              <w:pStyle w:val="12"/>
            </w:pPr>
            <w:r>
              <w:t>按照序时进度完成资金支付</w:t>
            </w:r>
          </w:p>
        </w:tc>
        <w:tc>
          <w:tcPr>
            <w:tcW w:w="2268" w:type="dxa"/>
            <w:vAlign w:val="center"/>
          </w:tcPr>
          <w:p w14:paraId="268EF7D4">
            <w:pPr>
              <w:pStyle w:val="12"/>
            </w:pPr>
            <w:r>
              <w:t>100%</w:t>
            </w:r>
          </w:p>
        </w:tc>
        <w:tc>
          <w:tcPr>
            <w:tcW w:w="1276" w:type="dxa"/>
            <w:vAlign w:val="center"/>
          </w:tcPr>
          <w:p w14:paraId="22F9D609">
            <w:pPr>
              <w:pStyle w:val="12"/>
            </w:pPr>
            <w:r>
              <w:t>计划项目</w:t>
            </w:r>
          </w:p>
        </w:tc>
      </w:tr>
      <w:tr w14:paraId="0E4B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A2B8C"/>
        </w:tc>
        <w:tc>
          <w:tcPr>
            <w:tcW w:w="2268" w:type="dxa"/>
            <w:vAlign w:val="center"/>
          </w:tcPr>
          <w:p w14:paraId="137EF616">
            <w:pPr>
              <w:pStyle w:val="12"/>
            </w:pPr>
            <w:r>
              <w:t>成本指标</w:t>
            </w:r>
          </w:p>
        </w:tc>
        <w:tc>
          <w:tcPr>
            <w:tcW w:w="2835" w:type="dxa"/>
            <w:vAlign w:val="center"/>
          </w:tcPr>
          <w:p w14:paraId="75AEF6FD">
            <w:pPr>
              <w:pStyle w:val="12"/>
            </w:pPr>
            <w:r>
              <w:t>成本控制情况</w:t>
            </w:r>
          </w:p>
        </w:tc>
        <w:tc>
          <w:tcPr>
            <w:tcW w:w="5386" w:type="dxa"/>
            <w:vAlign w:val="center"/>
          </w:tcPr>
          <w:p w14:paraId="34EBDEAA">
            <w:pPr>
              <w:pStyle w:val="12"/>
            </w:pPr>
            <w:r>
              <w:t>严格按照招标价格</w:t>
            </w:r>
          </w:p>
        </w:tc>
        <w:tc>
          <w:tcPr>
            <w:tcW w:w="2268" w:type="dxa"/>
            <w:vAlign w:val="center"/>
          </w:tcPr>
          <w:p w14:paraId="4F1CDCDD">
            <w:pPr>
              <w:pStyle w:val="12"/>
            </w:pPr>
            <w:r>
              <w:t>102600元</w:t>
            </w:r>
          </w:p>
        </w:tc>
        <w:tc>
          <w:tcPr>
            <w:tcW w:w="1276" w:type="dxa"/>
            <w:vAlign w:val="center"/>
          </w:tcPr>
          <w:p w14:paraId="5A209FD5">
            <w:pPr>
              <w:pStyle w:val="12"/>
            </w:pPr>
            <w:r>
              <w:t>计划项目</w:t>
            </w:r>
          </w:p>
        </w:tc>
      </w:tr>
      <w:tr w14:paraId="536BA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7918A">
            <w:pPr>
              <w:pStyle w:val="13"/>
            </w:pPr>
            <w:r>
              <w:t>效益指标</w:t>
            </w:r>
          </w:p>
        </w:tc>
        <w:tc>
          <w:tcPr>
            <w:tcW w:w="2268" w:type="dxa"/>
            <w:vAlign w:val="center"/>
          </w:tcPr>
          <w:p w14:paraId="332D5A83">
            <w:pPr>
              <w:pStyle w:val="12"/>
            </w:pPr>
            <w:r>
              <w:t>社会效益指标</w:t>
            </w:r>
          </w:p>
        </w:tc>
        <w:tc>
          <w:tcPr>
            <w:tcW w:w="2835" w:type="dxa"/>
            <w:vAlign w:val="center"/>
          </w:tcPr>
          <w:p w14:paraId="3719A4FA">
            <w:pPr>
              <w:pStyle w:val="12"/>
            </w:pPr>
            <w:r>
              <w:t>教学条件提升</w:t>
            </w:r>
          </w:p>
        </w:tc>
        <w:tc>
          <w:tcPr>
            <w:tcW w:w="5386" w:type="dxa"/>
            <w:vAlign w:val="center"/>
          </w:tcPr>
          <w:p w14:paraId="36F91701">
            <w:pPr>
              <w:pStyle w:val="12"/>
            </w:pPr>
            <w:r>
              <w:t>教室照明优化率</w:t>
            </w:r>
          </w:p>
        </w:tc>
        <w:tc>
          <w:tcPr>
            <w:tcW w:w="2268" w:type="dxa"/>
            <w:vAlign w:val="center"/>
          </w:tcPr>
          <w:p w14:paraId="38EAF4C1">
            <w:pPr>
              <w:pStyle w:val="12"/>
            </w:pPr>
            <w:r>
              <w:t>≥98%</w:t>
            </w:r>
          </w:p>
        </w:tc>
        <w:tc>
          <w:tcPr>
            <w:tcW w:w="1276" w:type="dxa"/>
            <w:vAlign w:val="center"/>
          </w:tcPr>
          <w:p w14:paraId="0EE55BBD">
            <w:pPr>
              <w:pStyle w:val="12"/>
            </w:pPr>
            <w:r>
              <w:t>计划项目</w:t>
            </w:r>
          </w:p>
        </w:tc>
      </w:tr>
      <w:tr w14:paraId="2BD4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F4FE5">
            <w:pPr>
              <w:pStyle w:val="13"/>
            </w:pPr>
            <w:r>
              <w:t>满意度指标</w:t>
            </w:r>
          </w:p>
        </w:tc>
        <w:tc>
          <w:tcPr>
            <w:tcW w:w="2268" w:type="dxa"/>
            <w:vAlign w:val="center"/>
          </w:tcPr>
          <w:p w14:paraId="4C4D855D">
            <w:pPr>
              <w:pStyle w:val="12"/>
            </w:pPr>
            <w:r>
              <w:t>服务对象满意度指标</w:t>
            </w:r>
          </w:p>
        </w:tc>
        <w:tc>
          <w:tcPr>
            <w:tcW w:w="2835" w:type="dxa"/>
            <w:vAlign w:val="center"/>
          </w:tcPr>
          <w:p w14:paraId="7EFD0626">
            <w:pPr>
              <w:pStyle w:val="12"/>
            </w:pPr>
            <w:r>
              <w:t>受益学生家长及调查满意度</w:t>
            </w:r>
          </w:p>
        </w:tc>
        <w:tc>
          <w:tcPr>
            <w:tcW w:w="5386" w:type="dxa"/>
            <w:vAlign w:val="center"/>
          </w:tcPr>
          <w:p w14:paraId="2922EDCE">
            <w:pPr>
              <w:pStyle w:val="12"/>
            </w:pPr>
            <w:r>
              <w:t>学生、教师及家长对学校教学环境满意度情况</w:t>
            </w:r>
          </w:p>
        </w:tc>
        <w:tc>
          <w:tcPr>
            <w:tcW w:w="2268" w:type="dxa"/>
            <w:vAlign w:val="center"/>
          </w:tcPr>
          <w:p w14:paraId="28B6AC10">
            <w:pPr>
              <w:pStyle w:val="12"/>
            </w:pPr>
            <w:r>
              <w:t>≥95%</w:t>
            </w:r>
          </w:p>
        </w:tc>
        <w:tc>
          <w:tcPr>
            <w:tcW w:w="1276" w:type="dxa"/>
            <w:vAlign w:val="center"/>
          </w:tcPr>
          <w:p w14:paraId="107A3175">
            <w:pPr>
              <w:pStyle w:val="12"/>
            </w:pPr>
            <w:r>
              <w:t>计划项目</w:t>
            </w:r>
          </w:p>
        </w:tc>
      </w:tr>
    </w:tbl>
    <w:p w14:paraId="16D4F620">
      <w:pPr>
        <w:sectPr>
          <w:pgSz w:w="16840" w:h="11900" w:orient="landscape"/>
          <w:pgMar w:top="1361" w:right="1020" w:bottom="1134" w:left="1020" w:header="720" w:footer="720" w:gutter="0"/>
          <w:cols w:space="720" w:num="1"/>
        </w:sectPr>
      </w:pPr>
    </w:p>
    <w:p w14:paraId="2E176B1E">
      <w:pPr>
        <w:spacing w:before="0" w:after="0"/>
        <w:ind w:firstLine="560"/>
        <w:jc w:val="left"/>
        <w:outlineLvl w:val="9"/>
      </w:pPr>
      <w:r>
        <w:rPr>
          <w:rFonts w:ascii="方正仿宋_GBK" w:hAnsi="方正仿宋_GBK" w:eastAsia="方正仿宋_GBK" w:cs="方正仿宋_GBK"/>
          <w:b/>
          <w:color w:val="000000"/>
          <w:sz w:val="28"/>
        </w:rPr>
        <w:t>20、冀财教[2025]149号/省级/2026年学前发展资金/固城校区学前教育公用经费绩效目标表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9D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70526">
            <w:pPr>
              <w:pStyle w:val="11"/>
            </w:pPr>
            <w:r>
              <w:t>单位：万元</w:t>
            </w:r>
          </w:p>
        </w:tc>
      </w:tr>
      <w:tr w14:paraId="11B6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930BB">
            <w:pPr>
              <w:pStyle w:val="10"/>
            </w:pPr>
            <w:r>
              <w:t>项目编码</w:t>
            </w:r>
          </w:p>
        </w:tc>
        <w:tc>
          <w:tcPr>
            <w:tcW w:w="5103" w:type="dxa"/>
            <w:gridSpan w:val="2"/>
            <w:vAlign w:val="center"/>
          </w:tcPr>
          <w:p w14:paraId="30703B2C">
            <w:pPr>
              <w:pStyle w:val="12"/>
            </w:pPr>
            <w:r>
              <w:t>13052526P00875710110K</w:t>
            </w:r>
          </w:p>
        </w:tc>
        <w:tc>
          <w:tcPr>
            <w:tcW w:w="2835" w:type="dxa"/>
            <w:vAlign w:val="center"/>
          </w:tcPr>
          <w:p w14:paraId="72610B67">
            <w:pPr>
              <w:pStyle w:val="10"/>
            </w:pPr>
            <w:r>
              <w:t>项目名称</w:t>
            </w:r>
          </w:p>
        </w:tc>
        <w:tc>
          <w:tcPr>
            <w:tcW w:w="6095" w:type="dxa"/>
            <w:gridSpan w:val="3"/>
            <w:vAlign w:val="center"/>
          </w:tcPr>
          <w:p w14:paraId="07C528A1">
            <w:pPr>
              <w:pStyle w:val="12"/>
            </w:pPr>
            <w:r>
              <w:t>冀财教[2025]149号/省级/2026年学前发展资金/固城校区学前教育公用经费</w:t>
            </w:r>
          </w:p>
        </w:tc>
      </w:tr>
      <w:tr w14:paraId="3A1A2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3C8B9">
            <w:pPr>
              <w:pStyle w:val="10"/>
            </w:pPr>
            <w:r>
              <w:t>预算规模及资金用途</w:t>
            </w:r>
          </w:p>
        </w:tc>
        <w:tc>
          <w:tcPr>
            <w:tcW w:w="2268" w:type="dxa"/>
            <w:vAlign w:val="center"/>
          </w:tcPr>
          <w:p w14:paraId="684C14B4">
            <w:pPr>
              <w:pStyle w:val="10"/>
            </w:pPr>
            <w:r>
              <w:t>预算数</w:t>
            </w:r>
          </w:p>
        </w:tc>
        <w:tc>
          <w:tcPr>
            <w:tcW w:w="2835" w:type="dxa"/>
            <w:vAlign w:val="center"/>
          </w:tcPr>
          <w:p w14:paraId="0B59D594">
            <w:pPr>
              <w:pStyle w:val="12"/>
            </w:pPr>
            <w:r>
              <w:t>11.15</w:t>
            </w:r>
          </w:p>
        </w:tc>
        <w:tc>
          <w:tcPr>
            <w:tcW w:w="2835" w:type="dxa"/>
            <w:vAlign w:val="center"/>
          </w:tcPr>
          <w:p w14:paraId="274E8C56">
            <w:pPr>
              <w:pStyle w:val="10"/>
            </w:pPr>
            <w:r>
              <w:t>其中：财政    资金</w:t>
            </w:r>
          </w:p>
        </w:tc>
        <w:tc>
          <w:tcPr>
            <w:tcW w:w="2551" w:type="dxa"/>
            <w:vAlign w:val="center"/>
          </w:tcPr>
          <w:p w14:paraId="59DF86CB">
            <w:pPr>
              <w:pStyle w:val="12"/>
            </w:pPr>
            <w:r>
              <w:t>11.15</w:t>
            </w:r>
          </w:p>
        </w:tc>
        <w:tc>
          <w:tcPr>
            <w:tcW w:w="2268" w:type="dxa"/>
            <w:vAlign w:val="center"/>
          </w:tcPr>
          <w:p w14:paraId="239F5EA8">
            <w:pPr>
              <w:pStyle w:val="10"/>
            </w:pPr>
            <w:r>
              <w:t>其他资金</w:t>
            </w:r>
          </w:p>
        </w:tc>
        <w:tc>
          <w:tcPr>
            <w:tcW w:w="1276" w:type="dxa"/>
            <w:vAlign w:val="center"/>
          </w:tcPr>
          <w:p w14:paraId="0C8072DF">
            <w:pPr>
              <w:pStyle w:val="12"/>
            </w:pPr>
            <w:r>
              <w:t xml:space="preserve"> </w:t>
            </w:r>
          </w:p>
        </w:tc>
      </w:tr>
      <w:tr w14:paraId="6123E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9B0BF"/>
        </w:tc>
        <w:tc>
          <w:tcPr>
            <w:tcW w:w="14033" w:type="dxa"/>
            <w:gridSpan w:val="6"/>
            <w:vAlign w:val="center"/>
          </w:tcPr>
          <w:p w14:paraId="11DF7F37">
            <w:pPr>
              <w:pStyle w:val="12"/>
            </w:pPr>
            <w:r>
              <w:t>保障幼儿园正常运转，完成教育教学活动和其他日常工作任务等方面的费用支出。</w:t>
            </w:r>
          </w:p>
        </w:tc>
      </w:tr>
      <w:tr w14:paraId="44515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77739">
            <w:pPr>
              <w:pStyle w:val="10"/>
            </w:pPr>
            <w:r>
              <w:t>资金支出计划（%）</w:t>
            </w:r>
          </w:p>
        </w:tc>
        <w:tc>
          <w:tcPr>
            <w:tcW w:w="5103" w:type="dxa"/>
            <w:gridSpan w:val="2"/>
            <w:vAlign w:val="center"/>
          </w:tcPr>
          <w:p w14:paraId="4A8514AB">
            <w:pPr>
              <w:pStyle w:val="10"/>
            </w:pPr>
            <w:r>
              <w:t>3月底</w:t>
            </w:r>
          </w:p>
        </w:tc>
        <w:tc>
          <w:tcPr>
            <w:tcW w:w="2835" w:type="dxa"/>
            <w:vAlign w:val="center"/>
          </w:tcPr>
          <w:p w14:paraId="4A3297F3">
            <w:pPr>
              <w:pStyle w:val="10"/>
            </w:pPr>
            <w:r>
              <w:t>6月底</w:t>
            </w:r>
          </w:p>
        </w:tc>
        <w:tc>
          <w:tcPr>
            <w:tcW w:w="2551" w:type="dxa"/>
            <w:vAlign w:val="center"/>
          </w:tcPr>
          <w:p w14:paraId="5E6075B5">
            <w:pPr>
              <w:pStyle w:val="10"/>
            </w:pPr>
            <w:r>
              <w:t>10月底</w:t>
            </w:r>
          </w:p>
        </w:tc>
        <w:tc>
          <w:tcPr>
            <w:tcW w:w="3544" w:type="dxa"/>
            <w:gridSpan w:val="2"/>
            <w:vAlign w:val="center"/>
          </w:tcPr>
          <w:p w14:paraId="3E802B8E">
            <w:pPr>
              <w:pStyle w:val="10"/>
            </w:pPr>
            <w:r>
              <w:t>12月底</w:t>
            </w:r>
          </w:p>
        </w:tc>
      </w:tr>
      <w:tr w14:paraId="29519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CD6B0"/>
        </w:tc>
        <w:tc>
          <w:tcPr>
            <w:tcW w:w="5103" w:type="dxa"/>
            <w:gridSpan w:val="2"/>
            <w:vAlign w:val="center"/>
          </w:tcPr>
          <w:p w14:paraId="0C7D1D2F">
            <w:pPr>
              <w:pStyle w:val="13"/>
            </w:pPr>
            <w:r>
              <w:t>25%</w:t>
            </w:r>
          </w:p>
        </w:tc>
        <w:tc>
          <w:tcPr>
            <w:tcW w:w="2835" w:type="dxa"/>
            <w:vAlign w:val="center"/>
          </w:tcPr>
          <w:p w14:paraId="765C7DC9">
            <w:pPr>
              <w:pStyle w:val="13"/>
            </w:pPr>
            <w:r>
              <w:t>50%</w:t>
            </w:r>
          </w:p>
        </w:tc>
        <w:tc>
          <w:tcPr>
            <w:tcW w:w="2551" w:type="dxa"/>
            <w:vAlign w:val="center"/>
          </w:tcPr>
          <w:p w14:paraId="2B7B4B16">
            <w:pPr>
              <w:pStyle w:val="13"/>
            </w:pPr>
            <w:r>
              <w:t>75%</w:t>
            </w:r>
          </w:p>
        </w:tc>
        <w:tc>
          <w:tcPr>
            <w:tcW w:w="3544" w:type="dxa"/>
            <w:gridSpan w:val="2"/>
            <w:vAlign w:val="center"/>
          </w:tcPr>
          <w:p w14:paraId="4E54236A">
            <w:pPr>
              <w:pStyle w:val="13"/>
            </w:pPr>
            <w:r>
              <w:t>100%</w:t>
            </w:r>
          </w:p>
        </w:tc>
      </w:tr>
      <w:tr w14:paraId="046D3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9924C">
            <w:pPr>
              <w:pStyle w:val="10"/>
            </w:pPr>
            <w:r>
              <w:t>绩效目标</w:t>
            </w:r>
          </w:p>
        </w:tc>
        <w:tc>
          <w:tcPr>
            <w:tcW w:w="14033" w:type="dxa"/>
            <w:gridSpan w:val="6"/>
            <w:vAlign w:val="center"/>
          </w:tcPr>
          <w:p w14:paraId="262F569C">
            <w:pPr>
              <w:pStyle w:val="12"/>
            </w:pPr>
            <w:r>
              <w:t>1.保障幼儿园正常运转，完成教育教学活动和其他日常工作任务等方面的费用支出。</w:t>
            </w:r>
          </w:p>
          <w:p w14:paraId="37B606E5">
            <w:pPr>
              <w:pStyle w:val="12"/>
            </w:pPr>
            <w:r>
              <w:t>2.按季度分批次拨付公用经费资金，资金拨付率达到100%。</w:t>
            </w:r>
          </w:p>
        </w:tc>
      </w:tr>
    </w:tbl>
    <w:p w14:paraId="7CB3FB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8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53855">
            <w:pPr>
              <w:pStyle w:val="10"/>
            </w:pPr>
            <w:r>
              <w:t>一级指标</w:t>
            </w:r>
          </w:p>
        </w:tc>
        <w:tc>
          <w:tcPr>
            <w:tcW w:w="2268" w:type="dxa"/>
            <w:vAlign w:val="center"/>
          </w:tcPr>
          <w:p w14:paraId="258B4F70">
            <w:pPr>
              <w:pStyle w:val="10"/>
            </w:pPr>
            <w:r>
              <w:t>二级指标</w:t>
            </w:r>
          </w:p>
        </w:tc>
        <w:tc>
          <w:tcPr>
            <w:tcW w:w="2835" w:type="dxa"/>
            <w:vAlign w:val="center"/>
          </w:tcPr>
          <w:p w14:paraId="490B7AFE">
            <w:pPr>
              <w:pStyle w:val="10"/>
            </w:pPr>
            <w:r>
              <w:t>三级指标</w:t>
            </w:r>
          </w:p>
        </w:tc>
        <w:tc>
          <w:tcPr>
            <w:tcW w:w="5386" w:type="dxa"/>
            <w:vAlign w:val="center"/>
          </w:tcPr>
          <w:p w14:paraId="3A2CC6AA">
            <w:pPr>
              <w:pStyle w:val="10"/>
            </w:pPr>
            <w:r>
              <w:t>绩效指标描述</w:t>
            </w:r>
          </w:p>
        </w:tc>
        <w:tc>
          <w:tcPr>
            <w:tcW w:w="2268" w:type="dxa"/>
            <w:vAlign w:val="center"/>
          </w:tcPr>
          <w:p w14:paraId="2FACCA92">
            <w:pPr>
              <w:pStyle w:val="10"/>
            </w:pPr>
            <w:r>
              <w:t>指标值</w:t>
            </w:r>
          </w:p>
        </w:tc>
        <w:tc>
          <w:tcPr>
            <w:tcW w:w="1276" w:type="dxa"/>
            <w:vAlign w:val="center"/>
          </w:tcPr>
          <w:p w14:paraId="18992297">
            <w:pPr>
              <w:pStyle w:val="10"/>
            </w:pPr>
            <w:r>
              <w:t>指标值确定依据</w:t>
            </w:r>
          </w:p>
        </w:tc>
      </w:tr>
      <w:tr w14:paraId="4D0B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A0D86">
            <w:pPr>
              <w:pStyle w:val="13"/>
            </w:pPr>
            <w:r>
              <w:t>产出指标</w:t>
            </w:r>
          </w:p>
        </w:tc>
        <w:tc>
          <w:tcPr>
            <w:tcW w:w="2268" w:type="dxa"/>
            <w:vAlign w:val="center"/>
          </w:tcPr>
          <w:p w14:paraId="38C7A2B1">
            <w:pPr>
              <w:pStyle w:val="12"/>
            </w:pPr>
            <w:r>
              <w:t>数量指标</w:t>
            </w:r>
          </w:p>
        </w:tc>
        <w:tc>
          <w:tcPr>
            <w:tcW w:w="2835" w:type="dxa"/>
            <w:vAlign w:val="center"/>
          </w:tcPr>
          <w:p w14:paraId="222E025E">
            <w:pPr>
              <w:pStyle w:val="12"/>
            </w:pPr>
            <w:r>
              <w:t>就读学生数</w:t>
            </w:r>
          </w:p>
        </w:tc>
        <w:tc>
          <w:tcPr>
            <w:tcW w:w="5386" w:type="dxa"/>
            <w:vAlign w:val="center"/>
          </w:tcPr>
          <w:p w14:paraId="55E25C7E">
            <w:pPr>
              <w:pStyle w:val="12"/>
            </w:pPr>
            <w:r>
              <w:t>辐射区域内适龄学生人数</w:t>
            </w:r>
          </w:p>
        </w:tc>
        <w:tc>
          <w:tcPr>
            <w:tcW w:w="2268" w:type="dxa"/>
            <w:vAlign w:val="center"/>
          </w:tcPr>
          <w:p w14:paraId="36592A31">
            <w:pPr>
              <w:pStyle w:val="12"/>
            </w:pPr>
            <w:r>
              <w:t>743人</w:t>
            </w:r>
          </w:p>
        </w:tc>
        <w:tc>
          <w:tcPr>
            <w:tcW w:w="1276" w:type="dxa"/>
            <w:vAlign w:val="center"/>
          </w:tcPr>
          <w:p w14:paraId="295E391A">
            <w:pPr>
              <w:pStyle w:val="12"/>
            </w:pPr>
            <w:r>
              <w:t>城乡义务教育公用经费管理办法</w:t>
            </w:r>
          </w:p>
        </w:tc>
      </w:tr>
      <w:tr w14:paraId="67F4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15D80"/>
        </w:tc>
        <w:tc>
          <w:tcPr>
            <w:tcW w:w="2268" w:type="dxa"/>
            <w:vAlign w:val="center"/>
          </w:tcPr>
          <w:p w14:paraId="0DCE5551">
            <w:pPr>
              <w:pStyle w:val="12"/>
            </w:pPr>
            <w:r>
              <w:t>质量指标</w:t>
            </w:r>
          </w:p>
        </w:tc>
        <w:tc>
          <w:tcPr>
            <w:tcW w:w="2835" w:type="dxa"/>
            <w:vAlign w:val="center"/>
          </w:tcPr>
          <w:p w14:paraId="1D556737">
            <w:pPr>
              <w:pStyle w:val="12"/>
            </w:pPr>
            <w:r>
              <w:t>预算控制率</w:t>
            </w:r>
          </w:p>
        </w:tc>
        <w:tc>
          <w:tcPr>
            <w:tcW w:w="5386" w:type="dxa"/>
            <w:vAlign w:val="center"/>
          </w:tcPr>
          <w:p w14:paraId="76FB37CE">
            <w:pPr>
              <w:pStyle w:val="12"/>
            </w:pPr>
            <w:r>
              <w:t>预算执行</w:t>
            </w:r>
          </w:p>
        </w:tc>
        <w:tc>
          <w:tcPr>
            <w:tcW w:w="2268" w:type="dxa"/>
            <w:vAlign w:val="center"/>
          </w:tcPr>
          <w:p w14:paraId="3F274FFC">
            <w:pPr>
              <w:pStyle w:val="12"/>
            </w:pPr>
            <w:r>
              <w:t>≥95%</w:t>
            </w:r>
          </w:p>
        </w:tc>
        <w:tc>
          <w:tcPr>
            <w:tcW w:w="1276" w:type="dxa"/>
            <w:vAlign w:val="center"/>
          </w:tcPr>
          <w:p w14:paraId="208BB18C">
            <w:pPr>
              <w:pStyle w:val="12"/>
            </w:pPr>
            <w:r>
              <w:t>支持学前教育发展县级资金管理方法</w:t>
            </w:r>
          </w:p>
        </w:tc>
      </w:tr>
      <w:tr w14:paraId="53AA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08E1E"/>
        </w:tc>
        <w:tc>
          <w:tcPr>
            <w:tcW w:w="2268" w:type="dxa"/>
            <w:vAlign w:val="center"/>
          </w:tcPr>
          <w:p w14:paraId="7E9196AD">
            <w:pPr>
              <w:pStyle w:val="12"/>
            </w:pPr>
            <w:r>
              <w:t>时效指标</w:t>
            </w:r>
          </w:p>
        </w:tc>
        <w:tc>
          <w:tcPr>
            <w:tcW w:w="2835" w:type="dxa"/>
            <w:vAlign w:val="center"/>
          </w:tcPr>
          <w:p w14:paraId="24063E20">
            <w:pPr>
              <w:pStyle w:val="12"/>
            </w:pPr>
            <w:r>
              <w:t>义教经费支付完成率</w:t>
            </w:r>
          </w:p>
        </w:tc>
        <w:tc>
          <w:tcPr>
            <w:tcW w:w="5386" w:type="dxa"/>
            <w:vAlign w:val="center"/>
          </w:tcPr>
          <w:p w14:paraId="7E6E755F">
            <w:pPr>
              <w:pStyle w:val="12"/>
            </w:pPr>
            <w:r>
              <w:t>按照序时进度完成资金支付</w:t>
            </w:r>
          </w:p>
        </w:tc>
        <w:tc>
          <w:tcPr>
            <w:tcW w:w="2268" w:type="dxa"/>
            <w:vAlign w:val="center"/>
          </w:tcPr>
          <w:p w14:paraId="787F9F55">
            <w:pPr>
              <w:pStyle w:val="12"/>
            </w:pPr>
            <w:r>
              <w:t>100%</w:t>
            </w:r>
          </w:p>
        </w:tc>
        <w:tc>
          <w:tcPr>
            <w:tcW w:w="1276" w:type="dxa"/>
            <w:vAlign w:val="center"/>
          </w:tcPr>
          <w:p w14:paraId="2E263BE0">
            <w:pPr>
              <w:pStyle w:val="12"/>
            </w:pPr>
            <w:r>
              <w:t>城乡义务教育公用经费管理办法</w:t>
            </w:r>
          </w:p>
        </w:tc>
      </w:tr>
      <w:tr w14:paraId="33BE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97A9"/>
        </w:tc>
        <w:tc>
          <w:tcPr>
            <w:tcW w:w="2268" w:type="dxa"/>
            <w:vAlign w:val="center"/>
          </w:tcPr>
          <w:p w14:paraId="3E8AF4C1">
            <w:pPr>
              <w:pStyle w:val="12"/>
            </w:pPr>
            <w:r>
              <w:t>成本指标</w:t>
            </w:r>
          </w:p>
        </w:tc>
        <w:tc>
          <w:tcPr>
            <w:tcW w:w="2835" w:type="dxa"/>
            <w:vAlign w:val="center"/>
          </w:tcPr>
          <w:p w14:paraId="383EB80D">
            <w:pPr>
              <w:pStyle w:val="12"/>
            </w:pPr>
            <w:r>
              <w:t>生均拨款标准</w:t>
            </w:r>
          </w:p>
        </w:tc>
        <w:tc>
          <w:tcPr>
            <w:tcW w:w="5386" w:type="dxa"/>
            <w:vAlign w:val="center"/>
          </w:tcPr>
          <w:p w14:paraId="0B19F9E1">
            <w:pPr>
              <w:pStyle w:val="12"/>
            </w:pPr>
            <w:r>
              <w:t>学前：（基本标准600元/生/学年）</w:t>
            </w:r>
          </w:p>
        </w:tc>
        <w:tc>
          <w:tcPr>
            <w:tcW w:w="2268" w:type="dxa"/>
            <w:vAlign w:val="center"/>
          </w:tcPr>
          <w:p w14:paraId="0171E2C6">
            <w:pPr>
              <w:pStyle w:val="12"/>
            </w:pPr>
            <w:r>
              <w:t>600元</w:t>
            </w:r>
          </w:p>
        </w:tc>
        <w:tc>
          <w:tcPr>
            <w:tcW w:w="1276" w:type="dxa"/>
            <w:vAlign w:val="center"/>
          </w:tcPr>
          <w:p w14:paraId="3C0BFD9B">
            <w:pPr>
              <w:pStyle w:val="12"/>
            </w:pPr>
            <w:r>
              <w:t>城乡义务教育公用经费管理办法</w:t>
            </w:r>
          </w:p>
        </w:tc>
      </w:tr>
      <w:tr w14:paraId="05F0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3421B">
            <w:pPr>
              <w:pStyle w:val="13"/>
            </w:pPr>
            <w:r>
              <w:t>效益指标</w:t>
            </w:r>
          </w:p>
        </w:tc>
        <w:tc>
          <w:tcPr>
            <w:tcW w:w="2268" w:type="dxa"/>
            <w:vAlign w:val="center"/>
          </w:tcPr>
          <w:p w14:paraId="5A5BC783">
            <w:pPr>
              <w:pStyle w:val="12"/>
            </w:pPr>
            <w:r>
              <w:t>社会效益指标</w:t>
            </w:r>
          </w:p>
        </w:tc>
        <w:tc>
          <w:tcPr>
            <w:tcW w:w="2835" w:type="dxa"/>
            <w:vAlign w:val="center"/>
          </w:tcPr>
          <w:p w14:paraId="42B11A97">
            <w:pPr>
              <w:pStyle w:val="12"/>
            </w:pPr>
            <w:r>
              <w:t>学校稳定率</w:t>
            </w:r>
          </w:p>
        </w:tc>
        <w:tc>
          <w:tcPr>
            <w:tcW w:w="5386" w:type="dxa"/>
            <w:vAlign w:val="center"/>
          </w:tcPr>
          <w:p w14:paraId="590703C2">
            <w:pPr>
              <w:pStyle w:val="12"/>
            </w:pPr>
            <w:r>
              <w:t>维护学校稳定，保障学校正常教学秩序有效开展</w:t>
            </w:r>
          </w:p>
        </w:tc>
        <w:tc>
          <w:tcPr>
            <w:tcW w:w="2268" w:type="dxa"/>
            <w:vAlign w:val="center"/>
          </w:tcPr>
          <w:p w14:paraId="403FDF3A">
            <w:pPr>
              <w:pStyle w:val="12"/>
            </w:pPr>
            <w:r>
              <w:t>100%</w:t>
            </w:r>
          </w:p>
        </w:tc>
        <w:tc>
          <w:tcPr>
            <w:tcW w:w="1276" w:type="dxa"/>
            <w:vAlign w:val="center"/>
          </w:tcPr>
          <w:p w14:paraId="698128DD">
            <w:pPr>
              <w:pStyle w:val="12"/>
            </w:pPr>
            <w:r>
              <w:t>城乡义务教育公用经费管理办法</w:t>
            </w:r>
          </w:p>
        </w:tc>
      </w:tr>
      <w:tr w14:paraId="0CBD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A0255">
            <w:pPr>
              <w:pStyle w:val="13"/>
            </w:pPr>
            <w:r>
              <w:t>满意度指标</w:t>
            </w:r>
          </w:p>
        </w:tc>
        <w:tc>
          <w:tcPr>
            <w:tcW w:w="2268" w:type="dxa"/>
            <w:vAlign w:val="center"/>
          </w:tcPr>
          <w:p w14:paraId="56073866">
            <w:pPr>
              <w:pStyle w:val="12"/>
            </w:pPr>
            <w:r>
              <w:t>服务对象满意度指标</w:t>
            </w:r>
          </w:p>
        </w:tc>
        <w:tc>
          <w:tcPr>
            <w:tcW w:w="2835" w:type="dxa"/>
            <w:vAlign w:val="center"/>
          </w:tcPr>
          <w:p w14:paraId="56C2CDDD">
            <w:pPr>
              <w:pStyle w:val="12"/>
            </w:pPr>
            <w:r>
              <w:t>家长和学生满意度</w:t>
            </w:r>
          </w:p>
        </w:tc>
        <w:tc>
          <w:tcPr>
            <w:tcW w:w="5386" w:type="dxa"/>
            <w:vAlign w:val="center"/>
          </w:tcPr>
          <w:p w14:paraId="51F05EBA">
            <w:pPr>
              <w:pStyle w:val="12"/>
            </w:pPr>
            <w:r>
              <w:t>家长和学生满意度</w:t>
            </w:r>
          </w:p>
        </w:tc>
        <w:tc>
          <w:tcPr>
            <w:tcW w:w="2268" w:type="dxa"/>
            <w:vAlign w:val="center"/>
          </w:tcPr>
          <w:p w14:paraId="0AE113C1">
            <w:pPr>
              <w:pStyle w:val="12"/>
            </w:pPr>
            <w:r>
              <w:t>≥95%</w:t>
            </w:r>
          </w:p>
        </w:tc>
        <w:tc>
          <w:tcPr>
            <w:tcW w:w="1276" w:type="dxa"/>
            <w:vAlign w:val="center"/>
          </w:tcPr>
          <w:p w14:paraId="19CA4A06">
            <w:pPr>
              <w:pStyle w:val="12"/>
            </w:pPr>
            <w:r>
              <w:t>问卷调查</w:t>
            </w:r>
          </w:p>
        </w:tc>
      </w:tr>
    </w:tbl>
    <w:p w14:paraId="5EC3FDD4">
      <w:pPr>
        <w:sectPr>
          <w:pgSz w:w="16840" w:h="11900" w:orient="landscape"/>
          <w:pgMar w:top="1361" w:right="1020" w:bottom="1134" w:left="1020" w:header="720" w:footer="720" w:gutter="0"/>
          <w:cols w:space="720" w:num="1"/>
        </w:sectPr>
      </w:pPr>
    </w:p>
    <w:p w14:paraId="4A0F4A0E">
      <w:pPr>
        <w:spacing w:before="0" w:after="0"/>
        <w:ind w:firstLine="560"/>
        <w:jc w:val="left"/>
        <w:outlineLvl w:val="9"/>
      </w:pPr>
      <w:r>
        <w:rPr>
          <w:rFonts w:ascii="方正仿宋_GBK" w:hAnsi="方正仿宋_GBK" w:eastAsia="方正仿宋_GBK" w:cs="方正仿宋_GBK"/>
          <w:b/>
          <w:color w:val="000000"/>
          <w:sz w:val="28"/>
        </w:rPr>
        <w:t>21、冀财教[2025]149号/省级/2026年学前发展资金/固城校区学前教育幼儿资助绩效目标表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6F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A409D">
            <w:pPr>
              <w:pStyle w:val="11"/>
            </w:pPr>
            <w:r>
              <w:t>单位：万元</w:t>
            </w:r>
          </w:p>
        </w:tc>
      </w:tr>
      <w:tr w14:paraId="06F8E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8B9A5">
            <w:pPr>
              <w:pStyle w:val="10"/>
            </w:pPr>
            <w:r>
              <w:t>项目编码</w:t>
            </w:r>
          </w:p>
        </w:tc>
        <w:tc>
          <w:tcPr>
            <w:tcW w:w="5103" w:type="dxa"/>
            <w:gridSpan w:val="2"/>
            <w:vAlign w:val="center"/>
          </w:tcPr>
          <w:p w14:paraId="7759B971">
            <w:pPr>
              <w:pStyle w:val="12"/>
            </w:pPr>
            <w:r>
              <w:t>13052526P000002100731</w:t>
            </w:r>
          </w:p>
        </w:tc>
        <w:tc>
          <w:tcPr>
            <w:tcW w:w="2835" w:type="dxa"/>
            <w:vAlign w:val="center"/>
          </w:tcPr>
          <w:p w14:paraId="17741397">
            <w:pPr>
              <w:pStyle w:val="10"/>
            </w:pPr>
            <w:r>
              <w:t>项目名称</w:t>
            </w:r>
          </w:p>
        </w:tc>
        <w:tc>
          <w:tcPr>
            <w:tcW w:w="6095" w:type="dxa"/>
            <w:gridSpan w:val="3"/>
            <w:vAlign w:val="center"/>
          </w:tcPr>
          <w:p w14:paraId="2576BF78">
            <w:pPr>
              <w:pStyle w:val="12"/>
            </w:pPr>
            <w:r>
              <w:t>冀财教[2025]149号/省级/2026年学前发展资金/固城校区学前教育幼儿资助</w:t>
            </w:r>
          </w:p>
        </w:tc>
      </w:tr>
      <w:tr w14:paraId="5C371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267DA">
            <w:pPr>
              <w:pStyle w:val="10"/>
            </w:pPr>
            <w:r>
              <w:t>预算规模及资金用途</w:t>
            </w:r>
          </w:p>
        </w:tc>
        <w:tc>
          <w:tcPr>
            <w:tcW w:w="2268" w:type="dxa"/>
            <w:vAlign w:val="center"/>
          </w:tcPr>
          <w:p w14:paraId="479E85B9">
            <w:pPr>
              <w:pStyle w:val="10"/>
            </w:pPr>
            <w:r>
              <w:t>预算数</w:t>
            </w:r>
          </w:p>
        </w:tc>
        <w:tc>
          <w:tcPr>
            <w:tcW w:w="2835" w:type="dxa"/>
            <w:vAlign w:val="center"/>
          </w:tcPr>
          <w:p w14:paraId="0DC02D9E">
            <w:pPr>
              <w:pStyle w:val="12"/>
            </w:pPr>
            <w:r>
              <w:t>1.28</w:t>
            </w:r>
          </w:p>
        </w:tc>
        <w:tc>
          <w:tcPr>
            <w:tcW w:w="2835" w:type="dxa"/>
            <w:vAlign w:val="center"/>
          </w:tcPr>
          <w:p w14:paraId="3AFD593D">
            <w:pPr>
              <w:pStyle w:val="10"/>
            </w:pPr>
            <w:r>
              <w:t>其中：财政    资金</w:t>
            </w:r>
          </w:p>
        </w:tc>
        <w:tc>
          <w:tcPr>
            <w:tcW w:w="2551" w:type="dxa"/>
            <w:vAlign w:val="center"/>
          </w:tcPr>
          <w:p w14:paraId="0AE0D71E">
            <w:pPr>
              <w:pStyle w:val="12"/>
            </w:pPr>
            <w:r>
              <w:t>1.28</w:t>
            </w:r>
          </w:p>
        </w:tc>
        <w:tc>
          <w:tcPr>
            <w:tcW w:w="2268" w:type="dxa"/>
            <w:vAlign w:val="center"/>
          </w:tcPr>
          <w:p w14:paraId="44C88248">
            <w:pPr>
              <w:pStyle w:val="10"/>
            </w:pPr>
            <w:r>
              <w:t>其他资金</w:t>
            </w:r>
          </w:p>
        </w:tc>
        <w:tc>
          <w:tcPr>
            <w:tcW w:w="1276" w:type="dxa"/>
            <w:vAlign w:val="center"/>
          </w:tcPr>
          <w:p w14:paraId="74825EB6">
            <w:pPr>
              <w:pStyle w:val="12"/>
            </w:pPr>
            <w:r>
              <w:t xml:space="preserve"> </w:t>
            </w:r>
          </w:p>
        </w:tc>
      </w:tr>
      <w:tr w14:paraId="7CD3F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8F942"/>
        </w:tc>
        <w:tc>
          <w:tcPr>
            <w:tcW w:w="14033" w:type="dxa"/>
            <w:gridSpan w:val="6"/>
            <w:vAlign w:val="center"/>
          </w:tcPr>
          <w:p w14:paraId="6488B009">
            <w:pPr>
              <w:pStyle w:val="12"/>
            </w:pPr>
            <w:r>
              <w:t>保证本年度资助经费足额落实到位，符合享受资助条件的学生应助尽助。</w:t>
            </w:r>
          </w:p>
        </w:tc>
      </w:tr>
      <w:tr w14:paraId="23BE6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E4962">
            <w:pPr>
              <w:pStyle w:val="10"/>
            </w:pPr>
            <w:r>
              <w:t>资金支出计划（%）</w:t>
            </w:r>
          </w:p>
        </w:tc>
        <w:tc>
          <w:tcPr>
            <w:tcW w:w="5103" w:type="dxa"/>
            <w:gridSpan w:val="2"/>
            <w:vAlign w:val="center"/>
          </w:tcPr>
          <w:p w14:paraId="0C602C02">
            <w:pPr>
              <w:pStyle w:val="10"/>
            </w:pPr>
            <w:r>
              <w:t>3月底</w:t>
            </w:r>
          </w:p>
        </w:tc>
        <w:tc>
          <w:tcPr>
            <w:tcW w:w="2835" w:type="dxa"/>
            <w:vAlign w:val="center"/>
          </w:tcPr>
          <w:p w14:paraId="593A7E8C">
            <w:pPr>
              <w:pStyle w:val="10"/>
            </w:pPr>
            <w:r>
              <w:t>6月底</w:t>
            </w:r>
          </w:p>
        </w:tc>
        <w:tc>
          <w:tcPr>
            <w:tcW w:w="2551" w:type="dxa"/>
            <w:vAlign w:val="center"/>
          </w:tcPr>
          <w:p w14:paraId="7A00563D">
            <w:pPr>
              <w:pStyle w:val="10"/>
            </w:pPr>
            <w:r>
              <w:t>10月底</w:t>
            </w:r>
          </w:p>
        </w:tc>
        <w:tc>
          <w:tcPr>
            <w:tcW w:w="3544" w:type="dxa"/>
            <w:gridSpan w:val="2"/>
            <w:vAlign w:val="center"/>
          </w:tcPr>
          <w:p w14:paraId="5991CFB4">
            <w:pPr>
              <w:pStyle w:val="10"/>
            </w:pPr>
            <w:r>
              <w:t>12月底</w:t>
            </w:r>
          </w:p>
        </w:tc>
      </w:tr>
      <w:tr w14:paraId="5FE46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F938B"/>
        </w:tc>
        <w:tc>
          <w:tcPr>
            <w:tcW w:w="5103" w:type="dxa"/>
            <w:gridSpan w:val="2"/>
            <w:vAlign w:val="center"/>
          </w:tcPr>
          <w:p w14:paraId="76C0F63A">
            <w:pPr>
              <w:pStyle w:val="13"/>
            </w:pPr>
            <w:r>
              <w:t>25%</w:t>
            </w:r>
          </w:p>
        </w:tc>
        <w:tc>
          <w:tcPr>
            <w:tcW w:w="2835" w:type="dxa"/>
            <w:vAlign w:val="center"/>
          </w:tcPr>
          <w:p w14:paraId="3A7C43C0">
            <w:pPr>
              <w:pStyle w:val="13"/>
            </w:pPr>
            <w:r>
              <w:t>50%</w:t>
            </w:r>
          </w:p>
        </w:tc>
        <w:tc>
          <w:tcPr>
            <w:tcW w:w="2551" w:type="dxa"/>
            <w:vAlign w:val="center"/>
          </w:tcPr>
          <w:p w14:paraId="00CCB3A7">
            <w:pPr>
              <w:pStyle w:val="13"/>
            </w:pPr>
            <w:r>
              <w:t>75%</w:t>
            </w:r>
          </w:p>
        </w:tc>
        <w:tc>
          <w:tcPr>
            <w:tcW w:w="3544" w:type="dxa"/>
            <w:gridSpan w:val="2"/>
            <w:vAlign w:val="center"/>
          </w:tcPr>
          <w:p w14:paraId="2A121F77">
            <w:pPr>
              <w:pStyle w:val="13"/>
            </w:pPr>
            <w:r>
              <w:t>100%</w:t>
            </w:r>
          </w:p>
        </w:tc>
      </w:tr>
      <w:tr w14:paraId="7F983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F6CA8">
            <w:pPr>
              <w:pStyle w:val="10"/>
            </w:pPr>
            <w:r>
              <w:t>绩效目标</w:t>
            </w:r>
          </w:p>
        </w:tc>
        <w:tc>
          <w:tcPr>
            <w:tcW w:w="14033" w:type="dxa"/>
            <w:gridSpan w:val="6"/>
            <w:vAlign w:val="center"/>
          </w:tcPr>
          <w:p w14:paraId="335A8812">
            <w:pPr>
              <w:pStyle w:val="12"/>
            </w:pPr>
            <w:r>
              <w:t>1.保证本年度资助经费足额落实到位，符合享受资助条件的学生应助尽助。</w:t>
            </w:r>
          </w:p>
          <w:p w14:paraId="1368470C">
            <w:pPr>
              <w:pStyle w:val="12"/>
            </w:pPr>
            <w:r>
              <w:t>2.保障落实建档立卡及家庭经济困难儿童资助所需资金，确保建档立卡等家庭经济困难幼儿优先获得资助</w:t>
            </w:r>
          </w:p>
        </w:tc>
      </w:tr>
    </w:tbl>
    <w:p w14:paraId="18F7DB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D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9BFB0">
            <w:pPr>
              <w:pStyle w:val="10"/>
            </w:pPr>
            <w:r>
              <w:t>一级指标</w:t>
            </w:r>
          </w:p>
        </w:tc>
        <w:tc>
          <w:tcPr>
            <w:tcW w:w="2268" w:type="dxa"/>
            <w:vAlign w:val="center"/>
          </w:tcPr>
          <w:p w14:paraId="504560B0">
            <w:pPr>
              <w:pStyle w:val="10"/>
            </w:pPr>
            <w:r>
              <w:t>二级指标</w:t>
            </w:r>
          </w:p>
        </w:tc>
        <w:tc>
          <w:tcPr>
            <w:tcW w:w="2835" w:type="dxa"/>
            <w:vAlign w:val="center"/>
          </w:tcPr>
          <w:p w14:paraId="642A6C5E">
            <w:pPr>
              <w:pStyle w:val="10"/>
            </w:pPr>
            <w:r>
              <w:t>三级指标</w:t>
            </w:r>
          </w:p>
        </w:tc>
        <w:tc>
          <w:tcPr>
            <w:tcW w:w="5386" w:type="dxa"/>
            <w:vAlign w:val="center"/>
          </w:tcPr>
          <w:p w14:paraId="3A262822">
            <w:pPr>
              <w:pStyle w:val="10"/>
            </w:pPr>
            <w:r>
              <w:t>绩效指标描述</w:t>
            </w:r>
          </w:p>
        </w:tc>
        <w:tc>
          <w:tcPr>
            <w:tcW w:w="2268" w:type="dxa"/>
            <w:vAlign w:val="center"/>
          </w:tcPr>
          <w:p w14:paraId="53EEDF14">
            <w:pPr>
              <w:pStyle w:val="10"/>
            </w:pPr>
            <w:r>
              <w:t>指标值</w:t>
            </w:r>
          </w:p>
        </w:tc>
        <w:tc>
          <w:tcPr>
            <w:tcW w:w="1276" w:type="dxa"/>
            <w:vAlign w:val="center"/>
          </w:tcPr>
          <w:p w14:paraId="522A8A23">
            <w:pPr>
              <w:pStyle w:val="10"/>
            </w:pPr>
            <w:r>
              <w:t>指标值确定依据</w:t>
            </w:r>
          </w:p>
        </w:tc>
      </w:tr>
      <w:tr w14:paraId="29A3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CDFC8">
            <w:pPr>
              <w:pStyle w:val="13"/>
            </w:pPr>
            <w:r>
              <w:t>产出指标</w:t>
            </w:r>
          </w:p>
        </w:tc>
        <w:tc>
          <w:tcPr>
            <w:tcW w:w="2268" w:type="dxa"/>
            <w:vAlign w:val="center"/>
          </w:tcPr>
          <w:p w14:paraId="0BDE7423">
            <w:pPr>
              <w:pStyle w:val="12"/>
            </w:pPr>
            <w:r>
              <w:t>数量指标</w:t>
            </w:r>
          </w:p>
        </w:tc>
        <w:tc>
          <w:tcPr>
            <w:tcW w:w="2835" w:type="dxa"/>
            <w:vAlign w:val="center"/>
          </w:tcPr>
          <w:p w14:paraId="4FE30432">
            <w:pPr>
              <w:pStyle w:val="12"/>
            </w:pPr>
            <w:r>
              <w:t>幼儿资助比例</w:t>
            </w:r>
          </w:p>
        </w:tc>
        <w:tc>
          <w:tcPr>
            <w:tcW w:w="5386" w:type="dxa"/>
            <w:vAlign w:val="center"/>
          </w:tcPr>
          <w:p w14:paraId="47C31218">
            <w:pPr>
              <w:pStyle w:val="12"/>
            </w:pPr>
            <w:r>
              <w:t>按学前适龄在园儿童10%测算</w:t>
            </w:r>
          </w:p>
        </w:tc>
        <w:tc>
          <w:tcPr>
            <w:tcW w:w="2268" w:type="dxa"/>
            <w:vAlign w:val="center"/>
          </w:tcPr>
          <w:p w14:paraId="4AC4CE0D">
            <w:pPr>
              <w:pStyle w:val="12"/>
            </w:pPr>
            <w:r>
              <w:t>≥10%</w:t>
            </w:r>
          </w:p>
        </w:tc>
        <w:tc>
          <w:tcPr>
            <w:tcW w:w="1276" w:type="dxa"/>
            <w:vAlign w:val="center"/>
          </w:tcPr>
          <w:p w14:paraId="37E5E8D4">
            <w:pPr>
              <w:pStyle w:val="12"/>
            </w:pPr>
            <w:r>
              <w:t>幼儿资助经费管理办法</w:t>
            </w:r>
          </w:p>
        </w:tc>
      </w:tr>
      <w:tr w14:paraId="1B16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16DEA"/>
        </w:tc>
        <w:tc>
          <w:tcPr>
            <w:tcW w:w="2268" w:type="dxa"/>
            <w:vAlign w:val="center"/>
          </w:tcPr>
          <w:p w14:paraId="08C2BBFD">
            <w:pPr>
              <w:pStyle w:val="12"/>
            </w:pPr>
            <w:r>
              <w:t>质量指标</w:t>
            </w:r>
          </w:p>
        </w:tc>
        <w:tc>
          <w:tcPr>
            <w:tcW w:w="2835" w:type="dxa"/>
            <w:vAlign w:val="center"/>
          </w:tcPr>
          <w:p w14:paraId="2C0E1AA8">
            <w:pPr>
              <w:pStyle w:val="12"/>
            </w:pPr>
            <w:r>
              <w:t>学前教育资助制度落实情况</w:t>
            </w:r>
          </w:p>
        </w:tc>
        <w:tc>
          <w:tcPr>
            <w:tcW w:w="5386" w:type="dxa"/>
            <w:vAlign w:val="center"/>
          </w:tcPr>
          <w:p w14:paraId="39AB69A6">
            <w:pPr>
              <w:pStyle w:val="12"/>
            </w:pPr>
            <w:r>
              <w:t>符合享受资助条件的学生应助尽助</w:t>
            </w:r>
          </w:p>
        </w:tc>
        <w:tc>
          <w:tcPr>
            <w:tcW w:w="2268" w:type="dxa"/>
            <w:vAlign w:val="center"/>
          </w:tcPr>
          <w:p w14:paraId="05100F9B">
            <w:pPr>
              <w:pStyle w:val="12"/>
            </w:pPr>
            <w:r>
              <w:t>100%</w:t>
            </w:r>
          </w:p>
        </w:tc>
        <w:tc>
          <w:tcPr>
            <w:tcW w:w="1276" w:type="dxa"/>
            <w:vAlign w:val="center"/>
          </w:tcPr>
          <w:p w14:paraId="598AED54">
            <w:pPr>
              <w:pStyle w:val="12"/>
            </w:pPr>
            <w:r>
              <w:t>幼儿资助经费管理办法</w:t>
            </w:r>
          </w:p>
        </w:tc>
      </w:tr>
      <w:tr w14:paraId="738DF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A87FA"/>
        </w:tc>
        <w:tc>
          <w:tcPr>
            <w:tcW w:w="2268" w:type="dxa"/>
            <w:vAlign w:val="center"/>
          </w:tcPr>
          <w:p w14:paraId="25969CD5">
            <w:pPr>
              <w:pStyle w:val="12"/>
            </w:pPr>
            <w:r>
              <w:t>时效指标</w:t>
            </w:r>
          </w:p>
        </w:tc>
        <w:tc>
          <w:tcPr>
            <w:tcW w:w="2835" w:type="dxa"/>
            <w:vAlign w:val="center"/>
          </w:tcPr>
          <w:p w14:paraId="662D48C6">
            <w:pPr>
              <w:pStyle w:val="12"/>
            </w:pPr>
            <w:r>
              <w:t>资金拨付率</w:t>
            </w:r>
          </w:p>
        </w:tc>
        <w:tc>
          <w:tcPr>
            <w:tcW w:w="5386" w:type="dxa"/>
            <w:vAlign w:val="center"/>
          </w:tcPr>
          <w:p w14:paraId="2F336D98">
            <w:pPr>
              <w:pStyle w:val="12"/>
            </w:pPr>
            <w:r>
              <w:t>所有项目资金支付进度</w:t>
            </w:r>
          </w:p>
        </w:tc>
        <w:tc>
          <w:tcPr>
            <w:tcW w:w="2268" w:type="dxa"/>
            <w:vAlign w:val="center"/>
          </w:tcPr>
          <w:p w14:paraId="4E80E81E">
            <w:pPr>
              <w:pStyle w:val="12"/>
            </w:pPr>
            <w:r>
              <w:t>100%</w:t>
            </w:r>
          </w:p>
        </w:tc>
        <w:tc>
          <w:tcPr>
            <w:tcW w:w="1276" w:type="dxa"/>
            <w:vAlign w:val="center"/>
          </w:tcPr>
          <w:p w14:paraId="22293B7B">
            <w:pPr>
              <w:pStyle w:val="12"/>
            </w:pPr>
            <w:r>
              <w:t>幼儿资助经费管理办法</w:t>
            </w:r>
          </w:p>
        </w:tc>
      </w:tr>
      <w:tr w14:paraId="0AB1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8FA20"/>
        </w:tc>
        <w:tc>
          <w:tcPr>
            <w:tcW w:w="2268" w:type="dxa"/>
            <w:vAlign w:val="center"/>
          </w:tcPr>
          <w:p w14:paraId="5DA55DCE">
            <w:pPr>
              <w:pStyle w:val="12"/>
            </w:pPr>
            <w:r>
              <w:t>成本指标</w:t>
            </w:r>
          </w:p>
        </w:tc>
        <w:tc>
          <w:tcPr>
            <w:tcW w:w="2835" w:type="dxa"/>
            <w:vAlign w:val="center"/>
          </w:tcPr>
          <w:p w14:paraId="7A376DEE">
            <w:pPr>
              <w:pStyle w:val="12"/>
            </w:pPr>
            <w:r>
              <w:t>幼儿园资助标准</w:t>
            </w:r>
          </w:p>
        </w:tc>
        <w:tc>
          <w:tcPr>
            <w:tcW w:w="5386" w:type="dxa"/>
            <w:vAlign w:val="center"/>
          </w:tcPr>
          <w:p w14:paraId="38EF9C33">
            <w:pPr>
              <w:pStyle w:val="12"/>
            </w:pPr>
            <w:r>
              <w:t>按照幼儿园资助标准1000元/生/年</w:t>
            </w:r>
          </w:p>
        </w:tc>
        <w:tc>
          <w:tcPr>
            <w:tcW w:w="2268" w:type="dxa"/>
            <w:vAlign w:val="center"/>
          </w:tcPr>
          <w:p w14:paraId="1276A614">
            <w:pPr>
              <w:pStyle w:val="12"/>
            </w:pPr>
            <w:r>
              <w:t>12800元</w:t>
            </w:r>
          </w:p>
        </w:tc>
        <w:tc>
          <w:tcPr>
            <w:tcW w:w="1276" w:type="dxa"/>
            <w:vAlign w:val="center"/>
          </w:tcPr>
          <w:p w14:paraId="210BFB84">
            <w:pPr>
              <w:pStyle w:val="12"/>
            </w:pPr>
            <w:r>
              <w:t>幼儿资助经费管理办法</w:t>
            </w:r>
          </w:p>
        </w:tc>
      </w:tr>
      <w:tr w14:paraId="333A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DA2DB">
            <w:pPr>
              <w:pStyle w:val="13"/>
            </w:pPr>
            <w:r>
              <w:t>效益指标</w:t>
            </w:r>
          </w:p>
        </w:tc>
        <w:tc>
          <w:tcPr>
            <w:tcW w:w="2268" w:type="dxa"/>
            <w:vAlign w:val="center"/>
          </w:tcPr>
          <w:p w14:paraId="4B2E23D0">
            <w:pPr>
              <w:pStyle w:val="12"/>
            </w:pPr>
            <w:r>
              <w:t>可持续影响指标</w:t>
            </w:r>
          </w:p>
        </w:tc>
        <w:tc>
          <w:tcPr>
            <w:tcW w:w="2835" w:type="dxa"/>
            <w:vAlign w:val="center"/>
          </w:tcPr>
          <w:p w14:paraId="618063A0">
            <w:pPr>
              <w:pStyle w:val="12"/>
            </w:pPr>
            <w:r>
              <w:t>幼儿园运转</w:t>
            </w:r>
          </w:p>
        </w:tc>
        <w:tc>
          <w:tcPr>
            <w:tcW w:w="5386" w:type="dxa"/>
            <w:vAlign w:val="center"/>
          </w:tcPr>
          <w:p w14:paraId="0FE9843C">
            <w:pPr>
              <w:pStyle w:val="12"/>
            </w:pPr>
            <w:r>
              <w:t>幼儿受教育年限</w:t>
            </w:r>
          </w:p>
        </w:tc>
        <w:tc>
          <w:tcPr>
            <w:tcW w:w="2268" w:type="dxa"/>
            <w:vAlign w:val="center"/>
          </w:tcPr>
          <w:p w14:paraId="3DCD0D93">
            <w:pPr>
              <w:pStyle w:val="12"/>
            </w:pPr>
            <w:r>
              <w:t>3年</w:t>
            </w:r>
          </w:p>
        </w:tc>
        <w:tc>
          <w:tcPr>
            <w:tcW w:w="1276" w:type="dxa"/>
            <w:vAlign w:val="center"/>
          </w:tcPr>
          <w:p w14:paraId="5C0D812F">
            <w:pPr>
              <w:pStyle w:val="12"/>
            </w:pPr>
            <w:r>
              <w:t>幼儿资助经费管理办法</w:t>
            </w:r>
          </w:p>
        </w:tc>
      </w:tr>
      <w:tr w14:paraId="4D55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130F0">
            <w:pPr>
              <w:pStyle w:val="13"/>
            </w:pPr>
            <w:r>
              <w:t>满意度指标</w:t>
            </w:r>
          </w:p>
        </w:tc>
        <w:tc>
          <w:tcPr>
            <w:tcW w:w="2268" w:type="dxa"/>
            <w:vAlign w:val="center"/>
          </w:tcPr>
          <w:p w14:paraId="3DFCE80B">
            <w:pPr>
              <w:pStyle w:val="12"/>
            </w:pPr>
            <w:r>
              <w:t>服务对象满意度指标</w:t>
            </w:r>
          </w:p>
        </w:tc>
        <w:tc>
          <w:tcPr>
            <w:tcW w:w="2835" w:type="dxa"/>
            <w:vAlign w:val="center"/>
          </w:tcPr>
          <w:p w14:paraId="7B29F0D1">
            <w:pPr>
              <w:pStyle w:val="12"/>
            </w:pPr>
            <w:r>
              <w:t>受益幼儿家长及调查满意度</w:t>
            </w:r>
          </w:p>
        </w:tc>
        <w:tc>
          <w:tcPr>
            <w:tcW w:w="5386" w:type="dxa"/>
            <w:vAlign w:val="center"/>
          </w:tcPr>
          <w:p w14:paraId="01A5DECB">
            <w:pPr>
              <w:pStyle w:val="12"/>
            </w:pPr>
            <w:r>
              <w:t>学生、教师及家长对学校保教保育工作满意度情况</w:t>
            </w:r>
          </w:p>
        </w:tc>
        <w:tc>
          <w:tcPr>
            <w:tcW w:w="2268" w:type="dxa"/>
            <w:vAlign w:val="center"/>
          </w:tcPr>
          <w:p w14:paraId="5744C635">
            <w:pPr>
              <w:pStyle w:val="12"/>
            </w:pPr>
            <w:r>
              <w:t>≥95%</w:t>
            </w:r>
          </w:p>
        </w:tc>
        <w:tc>
          <w:tcPr>
            <w:tcW w:w="1276" w:type="dxa"/>
            <w:vAlign w:val="center"/>
          </w:tcPr>
          <w:p w14:paraId="0BE27108">
            <w:pPr>
              <w:pStyle w:val="12"/>
            </w:pPr>
            <w:r>
              <w:t>幼儿资助经费管理办法</w:t>
            </w:r>
          </w:p>
        </w:tc>
      </w:tr>
    </w:tbl>
    <w:p w14:paraId="2EB54DB8">
      <w:pPr>
        <w:sectPr>
          <w:pgSz w:w="16840" w:h="11900" w:orient="landscape"/>
          <w:pgMar w:top="1361" w:right="1020" w:bottom="1134" w:left="1020" w:header="720" w:footer="720" w:gutter="0"/>
          <w:cols w:space="720" w:num="1"/>
        </w:sectPr>
      </w:pPr>
    </w:p>
    <w:p w14:paraId="76C68E1C">
      <w:pPr>
        <w:spacing w:before="0" w:after="0"/>
        <w:ind w:firstLine="560"/>
        <w:jc w:val="left"/>
        <w:outlineLvl w:val="9"/>
      </w:pPr>
      <w:r>
        <w:rPr>
          <w:rFonts w:ascii="方正仿宋_GBK" w:hAnsi="方正仿宋_GBK" w:eastAsia="方正仿宋_GBK" w:cs="方正仿宋_GBK"/>
          <w:b/>
          <w:color w:val="000000"/>
          <w:sz w:val="28"/>
        </w:rPr>
        <w:t>22、冀财教[2025]149号/省级/2026年学前发展资金/固城校区幼儿园免保育教育费补助绩效目标表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6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4C51E">
            <w:pPr>
              <w:pStyle w:val="11"/>
            </w:pPr>
            <w:r>
              <w:t>单位：万元</w:t>
            </w:r>
          </w:p>
        </w:tc>
      </w:tr>
      <w:tr w14:paraId="3727A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2F4BC">
            <w:pPr>
              <w:pStyle w:val="10"/>
            </w:pPr>
            <w:r>
              <w:t>项目编码</w:t>
            </w:r>
          </w:p>
        </w:tc>
        <w:tc>
          <w:tcPr>
            <w:tcW w:w="5103" w:type="dxa"/>
            <w:gridSpan w:val="2"/>
            <w:vAlign w:val="center"/>
          </w:tcPr>
          <w:p w14:paraId="481BE640">
            <w:pPr>
              <w:pStyle w:val="12"/>
            </w:pPr>
            <w:r>
              <w:t>13052526P00876910156B</w:t>
            </w:r>
          </w:p>
        </w:tc>
        <w:tc>
          <w:tcPr>
            <w:tcW w:w="2835" w:type="dxa"/>
            <w:vAlign w:val="center"/>
          </w:tcPr>
          <w:p w14:paraId="26C9C442">
            <w:pPr>
              <w:pStyle w:val="10"/>
            </w:pPr>
            <w:r>
              <w:t>项目名称</w:t>
            </w:r>
          </w:p>
        </w:tc>
        <w:tc>
          <w:tcPr>
            <w:tcW w:w="6095" w:type="dxa"/>
            <w:gridSpan w:val="3"/>
            <w:vAlign w:val="center"/>
          </w:tcPr>
          <w:p w14:paraId="58BCA3DD">
            <w:pPr>
              <w:pStyle w:val="12"/>
            </w:pPr>
            <w:r>
              <w:t>冀财教[2025]149号/省级/2026年学前发展资金/固城校区幼儿园免保育教育费补助</w:t>
            </w:r>
          </w:p>
        </w:tc>
      </w:tr>
      <w:tr w14:paraId="2288E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C56E5">
            <w:pPr>
              <w:pStyle w:val="10"/>
            </w:pPr>
            <w:r>
              <w:t>预算规模及资金用途</w:t>
            </w:r>
          </w:p>
        </w:tc>
        <w:tc>
          <w:tcPr>
            <w:tcW w:w="2268" w:type="dxa"/>
            <w:vAlign w:val="center"/>
          </w:tcPr>
          <w:p w14:paraId="73B61B63">
            <w:pPr>
              <w:pStyle w:val="10"/>
            </w:pPr>
            <w:r>
              <w:t>预算数</w:t>
            </w:r>
          </w:p>
        </w:tc>
        <w:tc>
          <w:tcPr>
            <w:tcW w:w="2835" w:type="dxa"/>
            <w:vAlign w:val="center"/>
          </w:tcPr>
          <w:p w14:paraId="4BC246A4">
            <w:pPr>
              <w:pStyle w:val="12"/>
            </w:pPr>
            <w:r>
              <w:t>12.57</w:t>
            </w:r>
          </w:p>
        </w:tc>
        <w:tc>
          <w:tcPr>
            <w:tcW w:w="2835" w:type="dxa"/>
            <w:vAlign w:val="center"/>
          </w:tcPr>
          <w:p w14:paraId="5D32610C">
            <w:pPr>
              <w:pStyle w:val="10"/>
            </w:pPr>
            <w:r>
              <w:t>其中：财政    资金</w:t>
            </w:r>
          </w:p>
        </w:tc>
        <w:tc>
          <w:tcPr>
            <w:tcW w:w="2551" w:type="dxa"/>
            <w:vAlign w:val="center"/>
          </w:tcPr>
          <w:p w14:paraId="67748CAD">
            <w:pPr>
              <w:pStyle w:val="12"/>
            </w:pPr>
            <w:r>
              <w:t>12.57</w:t>
            </w:r>
          </w:p>
        </w:tc>
        <w:tc>
          <w:tcPr>
            <w:tcW w:w="2268" w:type="dxa"/>
            <w:vAlign w:val="center"/>
          </w:tcPr>
          <w:p w14:paraId="0674A137">
            <w:pPr>
              <w:pStyle w:val="10"/>
            </w:pPr>
            <w:r>
              <w:t>其他资金</w:t>
            </w:r>
          </w:p>
        </w:tc>
        <w:tc>
          <w:tcPr>
            <w:tcW w:w="1276" w:type="dxa"/>
            <w:vAlign w:val="center"/>
          </w:tcPr>
          <w:p w14:paraId="1DA638B1">
            <w:pPr>
              <w:pStyle w:val="12"/>
            </w:pPr>
            <w:r>
              <w:t xml:space="preserve"> </w:t>
            </w:r>
          </w:p>
        </w:tc>
      </w:tr>
      <w:tr w14:paraId="0B0B7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EA020"/>
        </w:tc>
        <w:tc>
          <w:tcPr>
            <w:tcW w:w="14033" w:type="dxa"/>
            <w:gridSpan w:val="6"/>
            <w:vAlign w:val="center"/>
          </w:tcPr>
          <w:p w14:paraId="309BCC9F">
            <w:pPr>
              <w:pStyle w:val="12"/>
            </w:pPr>
            <w:r>
              <w:t>保障幼儿园正常运转，完成教育教学活动和其他日常工作任务等方面的费用支出。</w:t>
            </w:r>
            <w:r>
              <w:tab/>
            </w:r>
            <w:r>
              <w:tab/>
            </w:r>
            <w:r>
              <w:tab/>
            </w:r>
            <w:r>
              <w:tab/>
            </w:r>
            <w:r>
              <w:tab/>
            </w:r>
            <w:r>
              <w:tab/>
            </w:r>
          </w:p>
          <w:p w14:paraId="62E7EF48">
            <w:pPr>
              <w:pStyle w:val="12"/>
            </w:pPr>
          </w:p>
        </w:tc>
      </w:tr>
      <w:tr w14:paraId="487EA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7BBD9">
            <w:pPr>
              <w:pStyle w:val="10"/>
            </w:pPr>
            <w:r>
              <w:t>资金支出计划（%）</w:t>
            </w:r>
          </w:p>
        </w:tc>
        <w:tc>
          <w:tcPr>
            <w:tcW w:w="5103" w:type="dxa"/>
            <w:gridSpan w:val="2"/>
            <w:vAlign w:val="center"/>
          </w:tcPr>
          <w:p w14:paraId="48DAAC00">
            <w:pPr>
              <w:pStyle w:val="10"/>
            </w:pPr>
            <w:r>
              <w:t>3月底</w:t>
            </w:r>
          </w:p>
        </w:tc>
        <w:tc>
          <w:tcPr>
            <w:tcW w:w="2835" w:type="dxa"/>
            <w:vAlign w:val="center"/>
          </w:tcPr>
          <w:p w14:paraId="6EF7B9C4">
            <w:pPr>
              <w:pStyle w:val="10"/>
            </w:pPr>
            <w:r>
              <w:t>6月底</w:t>
            </w:r>
          </w:p>
        </w:tc>
        <w:tc>
          <w:tcPr>
            <w:tcW w:w="2551" w:type="dxa"/>
            <w:vAlign w:val="center"/>
          </w:tcPr>
          <w:p w14:paraId="42B21C98">
            <w:pPr>
              <w:pStyle w:val="10"/>
            </w:pPr>
            <w:r>
              <w:t>10月底</w:t>
            </w:r>
          </w:p>
        </w:tc>
        <w:tc>
          <w:tcPr>
            <w:tcW w:w="3544" w:type="dxa"/>
            <w:gridSpan w:val="2"/>
            <w:vAlign w:val="center"/>
          </w:tcPr>
          <w:p w14:paraId="7D8A25D4">
            <w:pPr>
              <w:pStyle w:val="10"/>
            </w:pPr>
            <w:r>
              <w:t>12月底</w:t>
            </w:r>
          </w:p>
        </w:tc>
      </w:tr>
      <w:tr w14:paraId="4E197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9CAA9"/>
        </w:tc>
        <w:tc>
          <w:tcPr>
            <w:tcW w:w="5103" w:type="dxa"/>
            <w:gridSpan w:val="2"/>
            <w:vAlign w:val="center"/>
          </w:tcPr>
          <w:p w14:paraId="3D40CC0C">
            <w:pPr>
              <w:pStyle w:val="13"/>
            </w:pPr>
            <w:r>
              <w:t>25%</w:t>
            </w:r>
          </w:p>
        </w:tc>
        <w:tc>
          <w:tcPr>
            <w:tcW w:w="2835" w:type="dxa"/>
            <w:vAlign w:val="center"/>
          </w:tcPr>
          <w:p w14:paraId="1F311020">
            <w:pPr>
              <w:pStyle w:val="13"/>
            </w:pPr>
            <w:r>
              <w:t>50%</w:t>
            </w:r>
          </w:p>
        </w:tc>
        <w:tc>
          <w:tcPr>
            <w:tcW w:w="2551" w:type="dxa"/>
            <w:vAlign w:val="center"/>
          </w:tcPr>
          <w:p w14:paraId="7FA803AE">
            <w:pPr>
              <w:pStyle w:val="13"/>
            </w:pPr>
            <w:r>
              <w:t>75%</w:t>
            </w:r>
          </w:p>
        </w:tc>
        <w:tc>
          <w:tcPr>
            <w:tcW w:w="3544" w:type="dxa"/>
            <w:gridSpan w:val="2"/>
            <w:vAlign w:val="center"/>
          </w:tcPr>
          <w:p w14:paraId="6642BEF6">
            <w:pPr>
              <w:pStyle w:val="13"/>
            </w:pPr>
            <w:r>
              <w:t>100%</w:t>
            </w:r>
          </w:p>
        </w:tc>
      </w:tr>
      <w:tr w14:paraId="4FF42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F2F12">
            <w:pPr>
              <w:pStyle w:val="10"/>
            </w:pPr>
            <w:r>
              <w:t>绩效目标</w:t>
            </w:r>
          </w:p>
        </w:tc>
        <w:tc>
          <w:tcPr>
            <w:tcW w:w="14033" w:type="dxa"/>
            <w:gridSpan w:val="6"/>
            <w:vAlign w:val="center"/>
          </w:tcPr>
          <w:p w14:paraId="3AA518AA">
            <w:pPr>
              <w:pStyle w:val="12"/>
            </w:pPr>
            <w:r>
              <w:t>1.保障幼儿园正常运转，完成教育教学活动和其他日常工作任务等方面的费用支出。</w:t>
            </w:r>
            <w:r>
              <w:tab/>
            </w:r>
            <w:r>
              <w:tab/>
            </w:r>
            <w:r>
              <w:tab/>
            </w:r>
            <w:r>
              <w:tab/>
            </w:r>
            <w:r>
              <w:tab/>
            </w:r>
            <w:r>
              <w:tab/>
            </w:r>
          </w:p>
          <w:p w14:paraId="6DE649B3">
            <w:pPr>
              <w:pStyle w:val="12"/>
            </w:pPr>
          </w:p>
        </w:tc>
      </w:tr>
    </w:tbl>
    <w:p w14:paraId="256021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F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36318">
            <w:pPr>
              <w:pStyle w:val="10"/>
            </w:pPr>
            <w:r>
              <w:t>一级指标</w:t>
            </w:r>
          </w:p>
        </w:tc>
        <w:tc>
          <w:tcPr>
            <w:tcW w:w="2268" w:type="dxa"/>
            <w:vAlign w:val="center"/>
          </w:tcPr>
          <w:p w14:paraId="506E6342">
            <w:pPr>
              <w:pStyle w:val="10"/>
            </w:pPr>
            <w:r>
              <w:t>二级指标</w:t>
            </w:r>
          </w:p>
        </w:tc>
        <w:tc>
          <w:tcPr>
            <w:tcW w:w="2835" w:type="dxa"/>
            <w:vAlign w:val="center"/>
          </w:tcPr>
          <w:p w14:paraId="72583CA9">
            <w:pPr>
              <w:pStyle w:val="10"/>
            </w:pPr>
            <w:r>
              <w:t>三级指标</w:t>
            </w:r>
          </w:p>
        </w:tc>
        <w:tc>
          <w:tcPr>
            <w:tcW w:w="5386" w:type="dxa"/>
            <w:vAlign w:val="center"/>
          </w:tcPr>
          <w:p w14:paraId="43EFB741">
            <w:pPr>
              <w:pStyle w:val="10"/>
            </w:pPr>
            <w:r>
              <w:t>绩效指标描述</w:t>
            </w:r>
          </w:p>
        </w:tc>
        <w:tc>
          <w:tcPr>
            <w:tcW w:w="2268" w:type="dxa"/>
            <w:vAlign w:val="center"/>
          </w:tcPr>
          <w:p w14:paraId="5E40EFDE">
            <w:pPr>
              <w:pStyle w:val="10"/>
            </w:pPr>
            <w:r>
              <w:t>指标值</w:t>
            </w:r>
          </w:p>
        </w:tc>
        <w:tc>
          <w:tcPr>
            <w:tcW w:w="1276" w:type="dxa"/>
            <w:vAlign w:val="center"/>
          </w:tcPr>
          <w:p w14:paraId="6D68EB7C">
            <w:pPr>
              <w:pStyle w:val="10"/>
            </w:pPr>
            <w:r>
              <w:t>指标值确定依据</w:t>
            </w:r>
          </w:p>
        </w:tc>
      </w:tr>
      <w:tr w14:paraId="58E1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3D135">
            <w:pPr>
              <w:pStyle w:val="13"/>
            </w:pPr>
            <w:r>
              <w:t>产出指标</w:t>
            </w:r>
          </w:p>
        </w:tc>
        <w:tc>
          <w:tcPr>
            <w:tcW w:w="2268" w:type="dxa"/>
            <w:vAlign w:val="center"/>
          </w:tcPr>
          <w:p w14:paraId="5021D118">
            <w:pPr>
              <w:pStyle w:val="12"/>
            </w:pPr>
            <w:r>
              <w:t>数量指标</w:t>
            </w:r>
          </w:p>
        </w:tc>
        <w:tc>
          <w:tcPr>
            <w:tcW w:w="2835" w:type="dxa"/>
            <w:vAlign w:val="center"/>
          </w:tcPr>
          <w:p w14:paraId="18949973">
            <w:pPr>
              <w:pStyle w:val="12"/>
            </w:pPr>
            <w:r>
              <w:t>适龄在园生</w:t>
            </w:r>
          </w:p>
        </w:tc>
        <w:tc>
          <w:tcPr>
            <w:tcW w:w="5386" w:type="dxa"/>
            <w:vAlign w:val="center"/>
          </w:tcPr>
          <w:p w14:paraId="7F8F5203">
            <w:pPr>
              <w:pStyle w:val="12"/>
            </w:pPr>
            <w:r>
              <w:t>适龄在园学生人数</w:t>
            </w:r>
          </w:p>
        </w:tc>
        <w:tc>
          <w:tcPr>
            <w:tcW w:w="2268" w:type="dxa"/>
            <w:vAlign w:val="center"/>
          </w:tcPr>
          <w:p w14:paraId="7808390D">
            <w:pPr>
              <w:pStyle w:val="12"/>
            </w:pPr>
            <w:r>
              <w:t>306人</w:t>
            </w:r>
          </w:p>
        </w:tc>
        <w:tc>
          <w:tcPr>
            <w:tcW w:w="1276" w:type="dxa"/>
            <w:vAlign w:val="center"/>
          </w:tcPr>
          <w:p w14:paraId="05E22481">
            <w:pPr>
              <w:pStyle w:val="12"/>
            </w:pPr>
            <w:r>
              <w:t>支持学前教育发展管理方法</w:t>
            </w:r>
          </w:p>
        </w:tc>
      </w:tr>
      <w:tr w14:paraId="168C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B4D42"/>
        </w:tc>
        <w:tc>
          <w:tcPr>
            <w:tcW w:w="2268" w:type="dxa"/>
            <w:vAlign w:val="center"/>
          </w:tcPr>
          <w:p w14:paraId="7F8CDE42">
            <w:pPr>
              <w:pStyle w:val="12"/>
            </w:pPr>
            <w:r>
              <w:t>质量指标</w:t>
            </w:r>
          </w:p>
        </w:tc>
        <w:tc>
          <w:tcPr>
            <w:tcW w:w="2835" w:type="dxa"/>
            <w:vAlign w:val="center"/>
          </w:tcPr>
          <w:p w14:paraId="00680ED8">
            <w:pPr>
              <w:pStyle w:val="12"/>
            </w:pPr>
            <w:r>
              <w:t>预算控制率</w:t>
            </w:r>
          </w:p>
        </w:tc>
        <w:tc>
          <w:tcPr>
            <w:tcW w:w="5386" w:type="dxa"/>
            <w:vAlign w:val="center"/>
          </w:tcPr>
          <w:p w14:paraId="68A7233B">
            <w:pPr>
              <w:pStyle w:val="12"/>
            </w:pPr>
            <w:r>
              <w:t>预算执行</w:t>
            </w:r>
          </w:p>
        </w:tc>
        <w:tc>
          <w:tcPr>
            <w:tcW w:w="2268" w:type="dxa"/>
            <w:vAlign w:val="center"/>
          </w:tcPr>
          <w:p w14:paraId="12D23289">
            <w:pPr>
              <w:pStyle w:val="12"/>
            </w:pPr>
            <w:r>
              <w:t>≥98%</w:t>
            </w:r>
          </w:p>
        </w:tc>
        <w:tc>
          <w:tcPr>
            <w:tcW w:w="1276" w:type="dxa"/>
            <w:vAlign w:val="center"/>
          </w:tcPr>
          <w:p w14:paraId="7B752E25">
            <w:pPr>
              <w:pStyle w:val="12"/>
            </w:pPr>
            <w:r>
              <w:t>支持学前教育发展管理方法</w:t>
            </w:r>
          </w:p>
        </w:tc>
      </w:tr>
      <w:tr w14:paraId="3146FDC4">
        <w:tblPrEx>
          <w:tblCellMar>
            <w:top w:w="0" w:type="dxa"/>
            <w:left w:w="108" w:type="dxa"/>
            <w:bottom w:w="0" w:type="dxa"/>
            <w:right w:w="108" w:type="dxa"/>
          </w:tblCellMar>
        </w:tblPrEx>
        <w:trPr>
          <w:trHeight w:val="397" w:hRule="atLeast"/>
          <w:jc w:val="center"/>
        </w:trPr>
        <w:tc>
          <w:tcPr>
            <w:tcW w:w="1276" w:type="dxa"/>
            <w:vMerge w:val="continue"/>
            <w:vAlign w:val="center"/>
          </w:tcPr>
          <w:p w14:paraId="344B142C"/>
        </w:tc>
        <w:tc>
          <w:tcPr>
            <w:tcW w:w="2268" w:type="dxa"/>
            <w:vAlign w:val="center"/>
          </w:tcPr>
          <w:p w14:paraId="0298525A">
            <w:pPr>
              <w:pStyle w:val="12"/>
            </w:pPr>
            <w:r>
              <w:t>时效指标</w:t>
            </w:r>
          </w:p>
        </w:tc>
        <w:tc>
          <w:tcPr>
            <w:tcW w:w="2835" w:type="dxa"/>
            <w:vAlign w:val="center"/>
          </w:tcPr>
          <w:p w14:paraId="798AA299">
            <w:pPr>
              <w:pStyle w:val="12"/>
            </w:pPr>
            <w:r>
              <w:t>资金支付率</w:t>
            </w:r>
          </w:p>
        </w:tc>
        <w:tc>
          <w:tcPr>
            <w:tcW w:w="5386" w:type="dxa"/>
            <w:vAlign w:val="center"/>
          </w:tcPr>
          <w:p w14:paraId="457C882F">
            <w:pPr>
              <w:pStyle w:val="12"/>
            </w:pPr>
            <w:r>
              <w:t>按照序时进度完成资金支付</w:t>
            </w:r>
          </w:p>
        </w:tc>
        <w:tc>
          <w:tcPr>
            <w:tcW w:w="2268" w:type="dxa"/>
            <w:vAlign w:val="center"/>
          </w:tcPr>
          <w:p w14:paraId="1B895860">
            <w:pPr>
              <w:pStyle w:val="12"/>
            </w:pPr>
            <w:r>
              <w:t>100%</w:t>
            </w:r>
          </w:p>
        </w:tc>
        <w:tc>
          <w:tcPr>
            <w:tcW w:w="1276" w:type="dxa"/>
            <w:vAlign w:val="center"/>
          </w:tcPr>
          <w:p w14:paraId="5FFD7BD9">
            <w:pPr>
              <w:pStyle w:val="12"/>
            </w:pPr>
            <w:r>
              <w:t>支持学前教育发展管理方法</w:t>
            </w:r>
          </w:p>
        </w:tc>
      </w:tr>
      <w:tr w14:paraId="7530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4E81C"/>
        </w:tc>
        <w:tc>
          <w:tcPr>
            <w:tcW w:w="2268" w:type="dxa"/>
            <w:vAlign w:val="center"/>
          </w:tcPr>
          <w:p w14:paraId="41590C9D">
            <w:pPr>
              <w:pStyle w:val="12"/>
            </w:pPr>
            <w:r>
              <w:t>成本指标</w:t>
            </w:r>
          </w:p>
        </w:tc>
        <w:tc>
          <w:tcPr>
            <w:tcW w:w="2835" w:type="dxa"/>
            <w:vAlign w:val="center"/>
          </w:tcPr>
          <w:p w14:paraId="03C4B205">
            <w:pPr>
              <w:pStyle w:val="12"/>
            </w:pPr>
            <w:r>
              <w:t>生均拨款标准</w:t>
            </w:r>
          </w:p>
        </w:tc>
        <w:tc>
          <w:tcPr>
            <w:tcW w:w="5386" w:type="dxa"/>
            <w:vAlign w:val="center"/>
          </w:tcPr>
          <w:p w14:paraId="4DEC58B7">
            <w:pPr>
              <w:pStyle w:val="12"/>
            </w:pPr>
            <w:r>
              <w:t>免保育教育费补助</w:t>
            </w:r>
          </w:p>
        </w:tc>
        <w:tc>
          <w:tcPr>
            <w:tcW w:w="2268" w:type="dxa"/>
            <w:vAlign w:val="center"/>
          </w:tcPr>
          <w:p w14:paraId="35AE954A">
            <w:pPr>
              <w:pStyle w:val="12"/>
            </w:pPr>
            <w:r>
              <w:t>125676元</w:t>
            </w:r>
          </w:p>
        </w:tc>
        <w:tc>
          <w:tcPr>
            <w:tcW w:w="1276" w:type="dxa"/>
            <w:vAlign w:val="center"/>
          </w:tcPr>
          <w:p w14:paraId="415FC9E3">
            <w:pPr>
              <w:pStyle w:val="12"/>
            </w:pPr>
            <w:r>
              <w:t>支持学前教育发展管理方法</w:t>
            </w:r>
          </w:p>
        </w:tc>
      </w:tr>
      <w:tr w14:paraId="1BED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C2D01">
            <w:pPr>
              <w:pStyle w:val="13"/>
            </w:pPr>
            <w:r>
              <w:t>效益指标</w:t>
            </w:r>
          </w:p>
        </w:tc>
        <w:tc>
          <w:tcPr>
            <w:tcW w:w="2268" w:type="dxa"/>
            <w:vAlign w:val="center"/>
          </w:tcPr>
          <w:p w14:paraId="4A98A1E6">
            <w:pPr>
              <w:pStyle w:val="12"/>
            </w:pPr>
            <w:r>
              <w:t>可持续影响指标</w:t>
            </w:r>
          </w:p>
        </w:tc>
        <w:tc>
          <w:tcPr>
            <w:tcW w:w="2835" w:type="dxa"/>
            <w:vAlign w:val="center"/>
          </w:tcPr>
          <w:p w14:paraId="79A0F5D5">
            <w:pPr>
              <w:pStyle w:val="12"/>
            </w:pPr>
            <w:r>
              <w:t>学校运转得到提升</w:t>
            </w:r>
          </w:p>
        </w:tc>
        <w:tc>
          <w:tcPr>
            <w:tcW w:w="5386" w:type="dxa"/>
            <w:vAlign w:val="center"/>
          </w:tcPr>
          <w:p w14:paraId="376A5BF8">
            <w:pPr>
              <w:pStyle w:val="12"/>
            </w:pPr>
            <w:r>
              <w:t>幼儿受教育年限</w:t>
            </w:r>
          </w:p>
        </w:tc>
        <w:tc>
          <w:tcPr>
            <w:tcW w:w="2268" w:type="dxa"/>
            <w:vAlign w:val="center"/>
          </w:tcPr>
          <w:p w14:paraId="14B8C375">
            <w:pPr>
              <w:pStyle w:val="12"/>
            </w:pPr>
            <w:r>
              <w:t>≥3年</w:t>
            </w:r>
          </w:p>
        </w:tc>
        <w:tc>
          <w:tcPr>
            <w:tcW w:w="1276" w:type="dxa"/>
            <w:vAlign w:val="center"/>
          </w:tcPr>
          <w:p w14:paraId="261B26E0">
            <w:pPr>
              <w:pStyle w:val="12"/>
            </w:pPr>
            <w:r>
              <w:t>支持学前教育发展管理方法</w:t>
            </w:r>
          </w:p>
        </w:tc>
      </w:tr>
      <w:tr w14:paraId="7D74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D0B2C">
            <w:pPr>
              <w:pStyle w:val="13"/>
            </w:pPr>
            <w:r>
              <w:t>满意度指标</w:t>
            </w:r>
          </w:p>
        </w:tc>
        <w:tc>
          <w:tcPr>
            <w:tcW w:w="2268" w:type="dxa"/>
            <w:vAlign w:val="center"/>
          </w:tcPr>
          <w:p w14:paraId="28382849">
            <w:pPr>
              <w:pStyle w:val="12"/>
            </w:pPr>
            <w:r>
              <w:t>服务对象满意度指标</w:t>
            </w:r>
          </w:p>
        </w:tc>
        <w:tc>
          <w:tcPr>
            <w:tcW w:w="2835" w:type="dxa"/>
            <w:vAlign w:val="center"/>
          </w:tcPr>
          <w:p w14:paraId="758F5471">
            <w:pPr>
              <w:pStyle w:val="12"/>
            </w:pPr>
            <w:r>
              <w:t>受益学生家长及调查满意度</w:t>
            </w:r>
          </w:p>
        </w:tc>
        <w:tc>
          <w:tcPr>
            <w:tcW w:w="5386" w:type="dxa"/>
            <w:vAlign w:val="center"/>
          </w:tcPr>
          <w:p w14:paraId="23B084B5">
            <w:pPr>
              <w:pStyle w:val="12"/>
            </w:pPr>
            <w:r>
              <w:t>学生、教师及家长对学校保教保育工作满意度情况</w:t>
            </w:r>
          </w:p>
        </w:tc>
        <w:tc>
          <w:tcPr>
            <w:tcW w:w="2268" w:type="dxa"/>
            <w:vAlign w:val="center"/>
          </w:tcPr>
          <w:p w14:paraId="257FF8EE">
            <w:pPr>
              <w:pStyle w:val="12"/>
            </w:pPr>
            <w:r>
              <w:t>≥95%</w:t>
            </w:r>
          </w:p>
        </w:tc>
        <w:tc>
          <w:tcPr>
            <w:tcW w:w="1276" w:type="dxa"/>
            <w:vAlign w:val="center"/>
          </w:tcPr>
          <w:p w14:paraId="6C4231A0">
            <w:pPr>
              <w:pStyle w:val="12"/>
            </w:pPr>
            <w:r>
              <w:t>支持学前教育发展管理方法</w:t>
            </w:r>
          </w:p>
        </w:tc>
      </w:tr>
    </w:tbl>
    <w:p w14:paraId="32056BAF">
      <w:pPr>
        <w:sectPr>
          <w:pgSz w:w="16840" w:h="11900" w:orient="landscape"/>
          <w:pgMar w:top="1361" w:right="1020" w:bottom="1134" w:left="1020" w:header="720" w:footer="720" w:gutter="0"/>
          <w:cols w:space="720" w:num="1"/>
        </w:sectPr>
      </w:pPr>
    </w:p>
    <w:p w14:paraId="1AC99CD3">
      <w:pPr>
        <w:spacing w:before="0" w:after="0"/>
        <w:ind w:firstLine="560"/>
        <w:jc w:val="left"/>
        <w:outlineLvl w:val="9"/>
      </w:pPr>
      <w:r>
        <w:rPr>
          <w:rFonts w:ascii="方正仿宋_GBK" w:hAnsi="方正仿宋_GBK" w:eastAsia="方正仿宋_GBK" w:cs="方正仿宋_GBK"/>
          <w:b/>
          <w:color w:val="000000"/>
          <w:sz w:val="28"/>
        </w:rPr>
        <w:t>23、县级配套/2026年/固城校区幼儿园免保育教育费补助绩效目标表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60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E9556">
            <w:pPr>
              <w:pStyle w:val="11"/>
            </w:pPr>
            <w:r>
              <w:t>单位：万元</w:t>
            </w:r>
          </w:p>
        </w:tc>
      </w:tr>
      <w:tr w14:paraId="4993D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23812">
            <w:pPr>
              <w:pStyle w:val="10"/>
            </w:pPr>
            <w:r>
              <w:t>项目编码</w:t>
            </w:r>
          </w:p>
        </w:tc>
        <w:tc>
          <w:tcPr>
            <w:tcW w:w="5103" w:type="dxa"/>
            <w:gridSpan w:val="2"/>
            <w:vAlign w:val="center"/>
          </w:tcPr>
          <w:p w14:paraId="34DEFA3D">
            <w:pPr>
              <w:pStyle w:val="12"/>
            </w:pPr>
            <w:r>
              <w:t>13052526P008769101711</w:t>
            </w:r>
          </w:p>
        </w:tc>
        <w:tc>
          <w:tcPr>
            <w:tcW w:w="2835" w:type="dxa"/>
            <w:vAlign w:val="center"/>
          </w:tcPr>
          <w:p w14:paraId="019E6862">
            <w:pPr>
              <w:pStyle w:val="10"/>
            </w:pPr>
            <w:r>
              <w:t>项目名称</w:t>
            </w:r>
          </w:p>
        </w:tc>
        <w:tc>
          <w:tcPr>
            <w:tcW w:w="6095" w:type="dxa"/>
            <w:gridSpan w:val="3"/>
            <w:vAlign w:val="center"/>
          </w:tcPr>
          <w:p w14:paraId="1C3B45F1">
            <w:pPr>
              <w:pStyle w:val="12"/>
            </w:pPr>
            <w:r>
              <w:t>县级配套/2026年/固城校区幼儿园免保育教育费补助</w:t>
            </w:r>
          </w:p>
        </w:tc>
      </w:tr>
      <w:tr w14:paraId="43CA8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B40E2">
            <w:pPr>
              <w:pStyle w:val="10"/>
            </w:pPr>
            <w:r>
              <w:t>预算规模及资金用途</w:t>
            </w:r>
          </w:p>
        </w:tc>
        <w:tc>
          <w:tcPr>
            <w:tcW w:w="2268" w:type="dxa"/>
            <w:vAlign w:val="center"/>
          </w:tcPr>
          <w:p w14:paraId="5BE26718">
            <w:pPr>
              <w:pStyle w:val="10"/>
            </w:pPr>
            <w:r>
              <w:t>预算数</w:t>
            </w:r>
          </w:p>
        </w:tc>
        <w:tc>
          <w:tcPr>
            <w:tcW w:w="2835" w:type="dxa"/>
            <w:vAlign w:val="center"/>
          </w:tcPr>
          <w:p w14:paraId="3B0D7C3F">
            <w:pPr>
              <w:pStyle w:val="12"/>
            </w:pPr>
            <w:r>
              <w:t>4.56</w:t>
            </w:r>
          </w:p>
        </w:tc>
        <w:tc>
          <w:tcPr>
            <w:tcW w:w="2835" w:type="dxa"/>
            <w:vAlign w:val="center"/>
          </w:tcPr>
          <w:p w14:paraId="608AAC4F">
            <w:pPr>
              <w:pStyle w:val="10"/>
            </w:pPr>
            <w:r>
              <w:t>其中：财政    资金</w:t>
            </w:r>
          </w:p>
        </w:tc>
        <w:tc>
          <w:tcPr>
            <w:tcW w:w="2551" w:type="dxa"/>
            <w:vAlign w:val="center"/>
          </w:tcPr>
          <w:p w14:paraId="70A37756">
            <w:pPr>
              <w:pStyle w:val="12"/>
            </w:pPr>
            <w:r>
              <w:t>4.56</w:t>
            </w:r>
          </w:p>
        </w:tc>
        <w:tc>
          <w:tcPr>
            <w:tcW w:w="2268" w:type="dxa"/>
            <w:vAlign w:val="center"/>
          </w:tcPr>
          <w:p w14:paraId="2D14F645">
            <w:pPr>
              <w:pStyle w:val="10"/>
            </w:pPr>
            <w:r>
              <w:t>其他资金</w:t>
            </w:r>
          </w:p>
        </w:tc>
        <w:tc>
          <w:tcPr>
            <w:tcW w:w="1276" w:type="dxa"/>
            <w:vAlign w:val="center"/>
          </w:tcPr>
          <w:p w14:paraId="3610B44E">
            <w:pPr>
              <w:pStyle w:val="12"/>
            </w:pPr>
            <w:r>
              <w:t xml:space="preserve"> </w:t>
            </w:r>
          </w:p>
        </w:tc>
      </w:tr>
      <w:tr w14:paraId="50B7C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46703"/>
        </w:tc>
        <w:tc>
          <w:tcPr>
            <w:tcW w:w="14033" w:type="dxa"/>
            <w:gridSpan w:val="6"/>
            <w:vAlign w:val="center"/>
          </w:tcPr>
          <w:p w14:paraId="76D20F80">
            <w:pPr>
              <w:pStyle w:val="12"/>
            </w:pPr>
            <w:r>
              <w:t>保障幼儿园正常运转，完成教育教学活动和日常工作任务等方面的费用支出。</w:t>
            </w:r>
            <w:r>
              <w:tab/>
            </w:r>
          </w:p>
        </w:tc>
      </w:tr>
      <w:tr w14:paraId="3764D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C4300">
            <w:pPr>
              <w:pStyle w:val="10"/>
            </w:pPr>
            <w:r>
              <w:t>资金支出计划（%）</w:t>
            </w:r>
          </w:p>
        </w:tc>
        <w:tc>
          <w:tcPr>
            <w:tcW w:w="5103" w:type="dxa"/>
            <w:gridSpan w:val="2"/>
            <w:vAlign w:val="center"/>
          </w:tcPr>
          <w:p w14:paraId="74BEE867">
            <w:pPr>
              <w:pStyle w:val="10"/>
            </w:pPr>
            <w:r>
              <w:t>3月底</w:t>
            </w:r>
          </w:p>
        </w:tc>
        <w:tc>
          <w:tcPr>
            <w:tcW w:w="2835" w:type="dxa"/>
            <w:vAlign w:val="center"/>
          </w:tcPr>
          <w:p w14:paraId="15920A64">
            <w:pPr>
              <w:pStyle w:val="10"/>
            </w:pPr>
            <w:r>
              <w:t>6月底</w:t>
            </w:r>
          </w:p>
        </w:tc>
        <w:tc>
          <w:tcPr>
            <w:tcW w:w="2551" w:type="dxa"/>
            <w:vAlign w:val="center"/>
          </w:tcPr>
          <w:p w14:paraId="38FBC668">
            <w:pPr>
              <w:pStyle w:val="10"/>
            </w:pPr>
            <w:r>
              <w:t>10月底</w:t>
            </w:r>
          </w:p>
        </w:tc>
        <w:tc>
          <w:tcPr>
            <w:tcW w:w="3544" w:type="dxa"/>
            <w:gridSpan w:val="2"/>
            <w:vAlign w:val="center"/>
          </w:tcPr>
          <w:p w14:paraId="776AD9D4">
            <w:pPr>
              <w:pStyle w:val="10"/>
            </w:pPr>
            <w:r>
              <w:t>12月底</w:t>
            </w:r>
          </w:p>
        </w:tc>
      </w:tr>
      <w:tr w14:paraId="1BE52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2FA05"/>
        </w:tc>
        <w:tc>
          <w:tcPr>
            <w:tcW w:w="5103" w:type="dxa"/>
            <w:gridSpan w:val="2"/>
            <w:vAlign w:val="center"/>
          </w:tcPr>
          <w:p w14:paraId="0365EA09">
            <w:pPr>
              <w:pStyle w:val="13"/>
            </w:pPr>
            <w:r>
              <w:t>25%</w:t>
            </w:r>
          </w:p>
        </w:tc>
        <w:tc>
          <w:tcPr>
            <w:tcW w:w="2835" w:type="dxa"/>
            <w:vAlign w:val="center"/>
          </w:tcPr>
          <w:p w14:paraId="2DF7BF79">
            <w:pPr>
              <w:pStyle w:val="13"/>
            </w:pPr>
            <w:r>
              <w:t>50%</w:t>
            </w:r>
          </w:p>
        </w:tc>
        <w:tc>
          <w:tcPr>
            <w:tcW w:w="2551" w:type="dxa"/>
            <w:vAlign w:val="center"/>
          </w:tcPr>
          <w:p w14:paraId="73D7AAA3">
            <w:pPr>
              <w:pStyle w:val="13"/>
            </w:pPr>
            <w:r>
              <w:t>75%</w:t>
            </w:r>
          </w:p>
        </w:tc>
        <w:tc>
          <w:tcPr>
            <w:tcW w:w="3544" w:type="dxa"/>
            <w:gridSpan w:val="2"/>
            <w:vAlign w:val="center"/>
          </w:tcPr>
          <w:p w14:paraId="663DE61F">
            <w:pPr>
              <w:pStyle w:val="13"/>
            </w:pPr>
            <w:r>
              <w:t>100%</w:t>
            </w:r>
          </w:p>
        </w:tc>
      </w:tr>
      <w:tr w14:paraId="7BA2C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62866">
            <w:pPr>
              <w:pStyle w:val="10"/>
            </w:pPr>
            <w:r>
              <w:t>绩效目标</w:t>
            </w:r>
          </w:p>
        </w:tc>
        <w:tc>
          <w:tcPr>
            <w:tcW w:w="14033" w:type="dxa"/>
            <w:gridSpan w:val="6"/>
            <w:vAlign w:val="center"/>
          </w:tcPr>
          <w:p w14:paraId="222625F7">
            <w:pPr>
              <w:pStyle w:val="12"/>
            </w:pPr>
            <w:r>
              <w:t>1.保障幼儿园正常运转，完成教育教学活动和日常工作任务等方面的费用支出。</w:t>
            </w:r>
            <w:r>
              <w:tab/>
            </w:r>
            <w:r>
              <w:tab/>
            </w:r>
            <w:r>
              <w:tab/>
            </w:r>
            <w:r>
              <w:tab/>
            </w:r>
            <w:r>
              <w:tab/>
            </w:r>
            <w:r>
              <w:tab/>
            </w:r>
          </w:p>
          <w:p w14:paraId="020377E2">
            <w:pPr>
              <w:pStyle w:val="12"/>
            </w:pPr>
          </w:p>
        </w:tc>
      </w:tr>
    </w:tbl>
    <w:p w14:paraId="41CF7F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4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50D1A">
            <w:pPr>
              <w:pStyle w:val="10"/>
            </w:pPr>
            <w:r>
              <w:t>一级指标</w:t>
            </w:r>
          </w:p>
        </w:tc>
        <w:tc>
          <w:tcPr>
            <w:tcW w:w="2268" w:type="dxa"/>
            <w:vAlign w:val="center"/>
          </w:tcPr>
          <w:p w14:paraId="64AFFBB9">
            <w:pPr>
              <w:pStyle w:val="10"/>
            </w:pPr>
            <w:r>
              <w:t>二级指标</w:t>
            </w:r>
          </w:p>
        </w:tc>
        <w:tc>
          <w:tcPr>
            <w:tcW w:w="2835" w:type="dxa"/>
            <w:vAlign w:val="center"/>
          </w:tcPr>
          <w:p w14:paraId="526971E0">
            <w:pPr>
              <w:pStyle w:val="10"/>
            </w:pPr>
            <w:r>
              <w:t>三级指标</w:t>
            </w:r>
          </w:p>
        </w:tc>
        <w:tc>
          <w:tcPr>
            <w:tcW w:w="5386" w:type="dxa"/>
            <w:vAlign w:val="center"/>
          </w:tcPr>
          <w:p w14:paraId="5BE2893F">
            <w:pPr>
              <w:pStyle w:val="10"/>
            </w:pPr>
            <w:r>
              <w:t>绩效指标描述</w:t>
            </w:r>
          </w:p>
        </w:tc>
        <w:tc>
          <w:tcPr>
            <w:tcW w:w="2268" w:type="dxa"/>
            <w:vAlign w:val="center"/>
          </w:tcPr>
          <w:p w14:paraId="5FD4F967">
            <w:pPr>
              <w:pStyle w:val="10"/>
            </w:pPr>
            <w:r>
              <w:t>指标值</w:t>
            </w:r>
          </w:p>
        </w:tc>
        <w:tc>
          <w:tcPr>
            <w:tcW w:w="1276" w:type="dxa"/>
            <w:vAlign w:val="center"/>
          </w:tcPr>
          <w:p w14:paraId="0227719E">
            <w:pPr>
              <w:pStyle w:val="10"/>
            </w:pPr>
            <w:r>
              <w:t>指标值确定依据</w:t>
            </w:r>
          </w:p>
        </w:tc>
      </w:tr>
      <w:tr w14:paraId="4F5E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C9F1B">
            <w:pPr>
              <w:pStyle w:val="13"/>
            </w:pPr>
            <w:r>
              <w:t>产出指标</w:t>
            </w:r>
          </w:p>
        </w:tc>
        <w:tc>
          <w:tcPr>
            <w:tcW w:w="2268" w:type="dxa"/>
            <w:vAlign w:val="center"/>
          </w:tcPr>
          <w:p w14:paraId="43ACA209">
            <w:pPr>
              <w:pStyle w:val="12"/>
            </w:pPr>
            <w:r>
              <w:t>数量指标</w:t>
            </w:r>
          </w:p>
        </w:tc>
        <w:tc>
          <w:tcPr>
            <w:tcW w:w="2835" w:type="dxa"/>
            <w:vAlign w:val="center"/>
          </w:tcPr>
          <w:p w14:paraId="7A563880">
            <w:pPr>
              <w:pStyle w:val="12"/>
            </w:pPr>
            <w:r>
              <w:t>适龄在园生</w:t>
            </w:r>
          </w:p>
        </w:tc>
        <w:tc>
          <w:tcPr>
            <w:tcW w:w="5386" w:type="dxa"/>
            <w:vAlign w:val="center"/>
          </w:tcPr>
          <w:p w14:paraId="30F317F1">
            <w:pPr>
              <w:pStyle w:val="12"/>
            </w:pPr>
            <w:r>
              <w:t>适龄在园学生人数</w:t>
            </w:r>
          </w:p>
        </w:tc>
        <w:tc>
          <w:tcPr>
            <w:tcW w:w="2268" w:type="dxa"/>
            <w:vAlign w:val="center"/>
          </w:tcPr>
          <w:p w14:paraId="0962B0B8">
            <w:pPr>
              <w:pStyle w:val="12"/>
            </w:pPr>
            <w:r>
              <w:t>306人</w:t>
            </w:r>
          </w:p>
        </w:tc>
        <w:tc>
          <w:tcPr>
            <w:tcW w:w="1276" w:type="dxa"/>
            <w:vAlign w:val="center"/>
          </w:tcPr>
          <w:p w14:paraId="59F03A71">
            <w:pPr>
              <w:pStyle w:val="12"/>
            </w:pPr>
            <w:r>
              <w:t>支持学前教育发展管理办法</w:t>
            </w:r>
          </w:p>
        </w:tc>
      </w:tr>
      <w:tr w14:paraId="0C1E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695B5"/>
        </w:tc>
        <w:tc>
          <w:tcPr>
            <w:tcW w:w="2268" w:type="dxa"/>
            <w:vAlign w:val="center"/>
          </w:tcPr>
          <w:p w14:paraId="74BB3067">
            <w:pPr>
              <w:pStyle w:val="12"/>
            </w:pPr>
            <w:r>
              <w:t>质量指标</w:t>
            </w:r>
          </w:p>
        </w:tc>
        <w:tc>
          <w:tcPr>
            <w:tcW w:w="2835" w:type="dxa"/>
            <w:vAlign w:val="center"/>
          </w:tcPr>
          <w:p w14:paraId="461A3B97">
            <w:pPr>
              <w:pStyle w:val="12"/>
            </w:pPr>
            <w:r>
              <w:t>预算控制率</w:t>
            </w:r>
          </w:p>
        </w:tc>
        <w:tc>
          <w:tcPr>
            <w:tcW w:w="5386" w:type="dxa"/>
            <w:vAlign w:val="center"/>
          </w:tcPr>
          <w:p w14:paraId="34449270">
            <w:pPr>
              <w:pStyle w:val="12"/>
            </w:pPr>
            <w:r>
              <w:t>预算执行</w:t>
            </w:r>
          </w:p>
        </w:tc>
        <w:tc>
          <w:tcPr>
            <w:tcW w:w="2268" w:type="dxa"/>
            <w:vAlign w:val="center"/>
          </w:tcPr>
          <w:p w14:paraId="2332287E">
            <w:pPr>
              <w:pStyle w:val="12"/>
            </w:pPr>
            <w:r>
              <w:t>≥98%</w:t>
            </w:r>
          </w:p>
        </w:tc>
        <w:tc>
          <w:tcPr>
            <w:tcW w:w="1276" w:type="dxa"/>
            <w:vAlign w:val="center"/>
          </w:tcPr>
          <w:p w14:paraId="44D00233">
            <w:pPr>
              <w:pStyle w:val="12"/>
            </w:pPr>
            <w:r>
              <w:t>支持学前教育发展管理办法</w:t>
            </w:r>
          </w:p>
        </w:tc>
      </w:tr>
      <w:tr w14:paraId="686A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31EE6"/>
        </w:tc>
        <w:tc>
          <w:tcPr>
            <w:tcW w:w="2268" w:type="dxa"/>
            <w:vAlign w:val="center"/>
          </w:tcPr>
          <w:p w14:paraId="49B91E5F">
            <w:pPr>
              <w:pStyle w:val="12"/>
            </w:pPr>
            <w:r>
              <w:t>时效指标</w:t>
            </w:r>
          </w:p>
        </w:tc>
        <w:tc>
          <w:tcPr>
            <w:tcW w:w="2835" w:type="dxa"/>
            <w:vAlign w:val="center"/>
          </w:tcPr>
          <w:p w14:paraId="7890BDBC">
            <w:pPr>
              <w:pStyle w:val="12"/>
            </w:pPr>
            <w:r>
              <w:t>资金支付率</w:t>
            </w:r>
          </w:p>
        </w:tc>
        <w:tc>
          <w:tcPr>
            <w:tcW w:w="5386" w:type="dxa"/>
            <w:vAlign w:val="center"/>
          </w:tcPr>
          <w:p w14:paraId="54F9F9B1">
            <w:pPr>
              <w:pStyle w:val="12"/>
            </w:pPr>
            <w:r>
              <w:t>按照序时进度完成资金支付</w:t>
            </w:r>
          </w:p>
        </w:tc>
        <w:tc>
          <w:tcPr>
            <w:tcW w:w="2268" w:type="dxa"/>
            <w:vAlign w:val="center"/>
          </w:tcPr>
          <w:p w14:paraId="5FE5A245">
            <w:pPr>
              <w:pStyle w:val="12"/>
            </w:pPr>
            <w:r>
              <w:t>100%</w:t>
            </w:r>
          </w:p>
        </w:tc>
        <w:tc>
          <w:tcPr>
            <w:tcW w:w="1276" w:type="dxa"/>
            <w:vAlign w:val="center"/>
          </w:tcPr>
          <w:p w14:paraId="2866DA28">
            <w:pPr>
              <w:pStyle w:val="12"/>
            </w:pPr>
            <w:r>
              <w:t>支持学前教育发展管理办法</w:t>
            </w:r>
          </w:p>
        </w:tc>
      </w:tr>
      <w:tr w14:paraId="259B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C0962"/>
        </w:tc>
        <w:tc>
          <w:tcPr>
            <w:tcW w:w="2268" w:type="dxa"/>
            <w:vAlign w:val="center"/>
          </w:tcPr>
          <w:p w14:paraId="1DCBCEFB">
            <w:pPr>
              <w:pStyle w:val="12"/>
            </w:pPr>
            <w:r>
              <w:t>成本指标</w:t>
            </w:r>
          </w:p>
        </w:tc>
        <w:tc>
          <w:tcPr>
            <w:tcW w:w="2835" w:type="dxa"/>
            <w:vAlign w:val="center"/>
          </w:tcPr>
          <w:p w14:paraId="6B1FFB65">
            <w:pPr>
              <w:pStyle w:val="12"/>
            </w:pPr>
            <w:r>
              <w:t>生均拨款标准</w:t>
            </w:r>
          </w:p>
        </w:tc>
        <w:tc>
          <w:tcPr>
            <w:tcW w:w="5386" w:type="dxa"/>
            <w:vAlign w:val="center"/>
          </w:tcPr>
          <w:p w14:paraId="3B17AFC2">
            <w:pPr>
              <w:pStyle w:val="12"/>
            </w:pPr>
            <w:r>
              <w:t>免保育教育费补助</w:t>
            </w:r>
          </w:p>
        </w:tc>
        <w:tc>
          <w:tcPr>
            <w:tcW w:w="2268" w:type="dxa"/>
            <w:vAlign w:val="center"/>
          </w:tcPr>
          <w:p w14:paraId="7CF6B6E6">
            <w:pPr>
              <w:pStyle w:val="12"/>
            </w:pPr>
            <w:r>
              <w:t>45604元</w:t>
            </w:r>
          </w:p>
        </w:tc>
        <w:tc>
          <w:tcPr>
            <w:tcW w:w="1276" w:type="dxa"/>
            <w:vAlign w:val="center"/>
          </w:tcPr>
          <w:p w14:paraId="12B11571">
            <w:pPr>
              <w:pStyle w:val="12"/>
            </w:pPr>
            <w:r>
              <w:t>支持学前教育发展管理办法</w:t>
            </w:r>
          </w:p>
        </w:tc>
      </w:tr>
      <w:tr w14:paraId="0BF4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35662">
            <w:pPr>
              <w:pStyle w:val="13"/>
            </w:pPr>
            <w:r>
              <w:t>效益指标</w:t>
            </w:r>
          </w:p>
        </w:tc>
        <w:tc>
          <w:tcPr>
            <w:tcW w:w="2268" w:type="dxa"/>
            <w:vAlign w:val="center"/>
          </w:tcPr>
          <w:p w14:paraId="7CE0A093">
            <w:pPr>
              <w:pStyle w:val="12"/>
            </w:pPr>
            <w:r>
              <w:t>可持续影响指标</w:t>
            </w:r>
          </w:p>
        </w:tc>
        <w:tc>
          <w:tcPr>
            <w:tcW w:w="2835" w:type="dxa"/>
            <w:vAlign w:val="center"/>
          </w:tcPr>
          <w:p w14:paraId="30755150">
            <w:pPr>
              <w:pStyle w:val="12"/>
            </w:pPr>
            <w:r>
              <w:t>学校运转得到提升</w:t>
            </w:r>
          </w:p>
        </w:tc>
        <w:tc>
          <w:tcPr>
            <w:tcW w:w="5386" w:type="dxa"/>
            <w:vAlign w:val="center"/>
          </w:tcPr>
          <w:p w14:paraId="20AED895">
            <w:pPr>
              <w:pStyle w:val="12"/>
            </w:pPr>
            <w:r>
              <w:t>幼儿受教育年限</w:t>
            </w:r>
          </w:p>
        </w:tc>
        <w:tc>
          <w:tcPr>
            <w:tcW w:w="2268" w:type="dxa"/>
            <w:vAlign w:val="center"/>
          </w:tcPr>
          <w:p w14:paraId="7EB58258">
            <w:pPr>
              <w:pStyle w:val="12"/>
            </w:pPr>
            <w:r>
              <w:t>≥3年</w:t>
            </w:r>
          </w:p>
        </w:tc>
        <w:tc>
          <w:tcPr>
            <w:tcW w:w="1276" w:type="dxa"/>
            <w:vAlign w:val="center"/>
          </w:tcPr>
          <w:p w14:paraId="0E47B14D">
            <w:pPr>
              <w:pStyle w:val="12"/>
            </w:pPr>
            <w:r>
              <w:t>支持学前教育发展管理办法</w:t>
            </w:r>
          </w:p>
        </w:tc>
      </w:tr>
      <w:tr w14:paraId="54F9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55C64">
            <w:pPr>
              <w:pStyle w:val="13"/>
            </w:pPr>
            <w:r>
              <w:t>满意度指标</w:t>
            </w:r>
          </w:p>
        </w:tc>
        <w:tc>
          <w:tcPr>
            <w:tcW w:w="2268" w:type="dxa"/>
            <w:vAlign w:val="center"/>
          </w:tcPr>
          <w:p w14:paraId="583AE8CC">
            <w:pPr>
              <w:pStyle w:val="12"/>
            </w:pPr>
            <w:r>
              <w:t>服务对象满意度指标</w:t>
            </w:r>
          </w:p>
        </w:tc>
        <w:tc>
          <w:tcPr>
            <w:tcW w:w="2835" w:type="dxa"/>
            <w:vAlign w:val="center"/>
          </w:tcPr>
          <w:p w14:paraId="50D057AB">
            <w:pPr>
              <w:pStyle w:val="12"/>
            </w:pPr>
            <w:r>
              <w:t>受益学生家长及调查满意度</w:t>
            </w:r>
          </w:p>
        </w:tc>
        <w:tc>
          <w:tcPr>
            <w:tcW w:w="5386" w:type="dxa"/>
            <w:vAlign w:val="center"/>
          </w:tcPr>
          <w:p w14:paraId="067362A0">
            <w:pPr>
              <w:pStyle w:val="12"/>
            </w:pPr>
            <w:r>
              <w:t>学生、教师及家长对学校保教保育工作满意度情况</w:t>
            </w:r>
          </w:p>
        </w:tc>
        <w:tc>
          <w:tcPr>
            <w:tcW w:w="2268" w:type="dxa"/>
            <w:vAlign w:val="center"/>
          </w:tcPr>
          <w:p w14:paraId="69BCE109">
            <w:pPr>
              <w:pStyle w:val="12"/>
            </w:pPr>
            <w:r>
              <w:t>≥95%</w:t>
            </w:r>
          </w:p>
        </w:tc>
        <w:tc>
          <w:tcPr>
            <w:tcW w:w="1276" w:type="dxa"/>
            <w:vAlign w:val="center"/>
          </w:tcPr>
          <w:p w14:paraId="00FC322D">
            <w:pPr>
              <w:pStyle w:val="12"/>
            </w:pPr>
            <w:r>
              <w:t>支持学前教育发展管理办法</w:t>
            </w:r>
          </w:p>
        </w:tc>
      </w:tr>
    </w:tbl>
    <w:p w14:paraId="01F0AD6B">
      <w:pPr>
        <w:sectPr>
          <w:pgSz w:w="16840" w:h="11900" w:orient="landscape"/>
          <w:pgMar w:top="1361" w:right="1020" w:bottom="1134" w:left="1020" w:header="720" w:footer="720" w:gutter="0"/>
          <w:cols w:space="720" w:num="1"/>
        </w:sectPr>
      </w:pPr>
    </w:p>
    <w:p w14:paraId="34BABC1C">
      <w:pPr>
        <w:spacing w:before="0" w:after="0"/>
        <w:ind w:firstLine="560"/>
        <w:jc w:val="left"/>
        <w:outlineLvl w:val="9"/>
      </w:pPr>
      <w:r>
        <w:rPr>
          <w:rFonts w:ascii="方正仿宋_GBK" w:hAnsi="方正仿宋_GBK" w:eastAsia="方正仿宋_GBK" w:cs="方正仿宋_GBK"/>
          <w:b/>
          <w:color w:val="000000"/>
          <w:sz w:val="28"/>
        </w:rPr>
        <w:t>24、县级配套/固城校区东王村小学公用经费绩效目标表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F2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603F8">
            <w:pPr>
              <w:pStyle w:val="11"/>
            </w:pPr>
            <w:r>
              <w:t>单位：万元</w:t>
            </w:r>
          </w:p>
        </w:tc>
      </w:tr>
      <w:tr w14:paraId="0760F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2E2E6">
            <w:pPr>
              <w:pStyle w:val="10"/>
            </w:pPr>
            <w:r>
              <w:t>项目编码</w:t>
            </w:r>
          </w:p>
        </w:tc>
        <w:tc>
          <w:tcPr>
            <w:tcW w:w="5103" w:type="dxa"/>
            <w:gridSpan w:val="2"/>
            <w:vAlign w:val="center"/>
          </w:tcPr>
          <w:p w14:paraId="06AE3927">
            <w:pPr>
              <w:pStyle w:val="12"/>
            </w:pPr>
            <w:r>
              <w:t>13052526P00000410460T</w:t>
            </w:r>
          </w:p>
        </w:tc>
        <w:tc>
          <w:tcPr>
            <w:tcW w:w="2835" w:type="dxa"/>
            <w:vAlign w:val="center"/>
          </w:tcPr>
          <w:p w14:paraId="18D26A45">
            <w:pPr>
              <w:pStyle w:val="10"/>
            </w:pPr>
            <w:r>
              <w:t>项目名称</w:t>
            </w:r>
          </w:p>
        </w:tc>
        <w:tc>
          <w:tcPr>
            <w:tcW w:w="6095" w:type="dxa"/>
            <w:gridSpan w:val="3"/>
            <w:vAlign w:val="center"/>
          </w:tcPr>
          <w:p w14:paraId="6B300E2E">
            <w:pPr>
              <w:pStyle w:val="12"/>
            </w:pPr>
            <w:r>
              <w:t>县级配套/固城校区东王村小学公用经费</w:t>
            </w:r>
          </w:p>
        </w:tc>
      </w:tr>
      <w:tr w14:paraId="3A822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2AE07">
            <w:pPr>
              <w:pStyle w:val="10"/>
            </w:pPr>
            <w:r>
              <w:t>预算规模及资金用途</w:t>
            </w:r>
          </w:p>
        </w:tc>
        <w:tc>
          <w:tcPr>
            <w:tcW w:w="2268" w:type="dxa"/>
            <w:vAlign w:val="center"/>
          </w:tcPr>
          <w:p w14:paraId="150A3CA0">
            <w:pPr>
              <w:pStyle w:val="10"/>
            </w:pPr>
            <w:r>
              <w:t>预算数</w:t>
            </w:r>
          </w:p>
        </w:tc>
        <w:tc>
          <w:tcPr>
            <w:tcW w:w="2835" w:type="dxa"/>
            <w:vAlign w:val="center"/>
          </w:tcPr>
          <w:p w14:paraId="3CCE7011">
            <w:pPr>
              <w:pStyle w:val="12"/>
            </w:pPr>
            <w:r>
              <w:t>15.91</w:t>
            </w:r>
          </w:p>
        </w:tc>
        <w:tc>
          <w:tcPr>
            <w:tcW w:w="2835" w:type="dxa"/>
            <w:vAlign w:val="center"/>
          </w:tcPr>
          <w:p w14:paraId="312A5F60">
            <w:pPr>
              <w:pStyle w:val="10"/>
            </w:pPr>
            <w:r>
              <w:t>其中：财政    资金</w:t>
            </w:r>
          </w:p>
        </w:tc>
        <w:tc>
          <w:tcPr>
            <w:tcW w:w="2551" w:type="dxa"/>
            <w:vAlign w:val="center"/>
          </w:tcPr>
          <w:p w14:paraId="7931308D">
            <w:pPr>
              <w:pStyle w:val="12"/>
            </w:pPr>
            <w:r>
              <w:t>15.91</w:t>
            </w:r>
          </w:p>
        </w:tc>
        <w:tc>
          <w:tcPr>
            <w:tcW w:w="2268" w:type="dxa"/>
            <w:vAlign w:val="center"/>
          </w:tcPr>
          <w:p w14:paraId="614838F7">
            <w:pPr>
              <w:pStyle w:val="10"/>
            </w:pPr>
            <w:r>
              <w:t>其他资金</w:t>
            </w:r>
          </w:p>
        </w:tc>
        <w:tc>
          <w:tcPr>
            <w:tcW w:w="1276" w:type="dxa"/>
            <w:vAlign w:val="center"/>
          </w:tcPr>
          <w:p w14:paraId="00578C40">
            <w:pPr>
              <w:pStyle w:val="12"/>
            </w:pPr>
            <w:r>
              <w:t xml:space="preserve"> </w:t>
            </w:r>
          </w:p>
        </w:tc>
      </w:tr>
      <w:tr w14:paraId="2B72D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40295"/>
        </w:tc>
        <w:tc>
          <w:tcPr>
            <w:tcW w:w="14033" w:type="dxa"/>
            <w:gridSpan w:val="6"/>
            <w:vAlign w:val="center"/>
          </w:tcPr>
          <w:p w14:paraId="761D87AA">
            <w:pPr>
              <w:pStyle w:val="12"/>
            </w:pPr>
            <w:r>
              <w:t>有效完成学校教学安全秩序，保障学校教学任务有效开展，满足学校正常教学需要。</w:t>
            </w:r>
          </w:p>
        </w:tc>
      </w:tr>
      <w:tr w14:paraId="178F9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3B1EE">
            <w:pPr>
              <w:pStyle w:val="10"/>
            </w:pPr>
            <w:r>
              <w:t>资金支出计划（%）</w:t>
            </w:r>
          </w:p>
        </w:tc>
        <w:tc>
          <w:tcPr>
            <w:tcW w:w="5103" w:type="dxa"/>
            <w:gridSpan w:val="2"/>
            <w:vAlign w:val="center"/>
          </w:tcPr>
          <w:p w14:paraId="03FBBED2">
            <w:pPr>
              <w:pStyle w:val="10"/>
            </w:pPr>
            <w:r>
              <w:t>3月底</w:t>
            </w:r>
          </w:p>
        </w:tc>
        <w:tc>
          <w:tcPr>
            <w:tcW w:w="2835" w:type="dxa"/>
            <w:vAlign w:val="center"/>
          </w:tcPr>
          <w:p w14:paraId="48F98479">
            <w:pPr>
              <w:pStyle w:val="10"/>
            </w:pPr>
            <w:r>
              <w:t>6月底</w:t>
            </w:r>
          </w:p>
        </w:tc>
        <w:tc>
          <w:tcPr>
            <w:tcW w:w="2551" w:type="dxa"/>
            <w:vAlign w:val="center"/>
          </w:tcPr>
          <w:p w14:paraId="5376A324">
            <w:pPr>
              <w:pStyle w:val="10"/>
            </w:pPr>
            <w:r>
              <w:t>10月底</w:t>
            </w:r>
          </w:p>
        </w:tc>
        <w:tc>
          <w:tcPr>
            <w:tcW w:w="3544" w:type="dxa"/>
            <w:gridSpan w:val="2"/>
            <w:vAlign w:val="center"/>
          </w:tcPr>
          <w:p w14:paraId="6805F2F9">
            <w:pPr>
              <w:pStyle w:val="10"/>
            </w:pPr>
            <w:r>
              <w:t>12月底</w:t>
            </w:r>
          </w:p>
        </w:tc>
      </w:tr>
      <w:tr w14:paraId="0FE64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2CA96"/>
        </w:tc>
        <w:tc>
          <w:tcPr>
            <w:tcW w:w="5103" w:type="dxa"/>
            <w:gridSpan w:val="2"/>
            <w:vAlign w:val="center"/>
          </w:tcPr>
          <w:p w14:paraId="3FEF9A5C">
            <w:pPr>
              <w:pStyle w:val="13"/>
            </w:pPr>
            <w:r>
              <w:t>25%</w:t>
            </w:r>
          </w:p>
        </w:tc>
        <w:tc>
          <w:tcPr>
            <w:tcW w:w="2835" w:type="dxa"/>
            <w:vAlign w:val="center"/>
          </w:tcPr>
          <w:p w14:paraId="2410E045">
            <w:pPr>
              <w:pStyle w:val="13"/>
            </w:pPr>
            <w:r>
              <w:t>50%</w:t>
            </w:r>
          </w:p>
        </w:tc>
        <w:tc>
          <w:tcPr>
            <w:tcW w:w="2551" w:type="dxa"/>
            <w:vAlign w:val="center"/>
          </w:tcPr>
          <w:p w14:paraId="010312C1">
            <w:pPr>
              <w:pStyle w:val="13"/>
            </w:pPr>
            <w:r>
              <w:t>75%</w:t>
            </w:r>
          </w:p>
        </w:tc>
        <w:tc>
          <w:tcPr>
            <w:tcW w:w="3544" w:type="dxa"/>
            <w:gridSpan w:val="2"/>
            <w:vAlign w:val="center"/>
          </w:tcPr>
          <w:p w14:paraId="03BECA70">
            <w:pPr>
              <w:pStyle w:val="13"/>
            </w:pPr>
            <w:r>
              <w:t>100%</w:t>
            </w:r>
          </w:p>
        </w:tc>
      </w:tr>
      <w:tr w14:paraId="12517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2CF9D">
            <w:pPr>
              <w:pStyle w:val="10"/>
            </w:pPr>
            <w:r>
              <w:t>绩效目标</w:t>
            </w:r>
          </w:p>
        </w:tc>
        <w:tc>
          <w:tcPr>
            <w:tcW w:w="14033" w:type="dxa"/>
            <w:gridSpan w:val="6"/>
            <w:vAlign w:val="center"/>
          </w:tcPr>
          <w:p w14:paraId="09330C8B">
            <w:pPr>
              <w:pStyle w:val="12"/>
            </w:pPr>
            <w:r>
              <w:t>1.按规定拨付公用经费资金，预算执行率100%。</w:t>
            </w:r>
          </w:p>
          <w:p w14:paraId="27740C21">
            <w:pPr>
              <w:pStyle w:val="12"/>
            </w:pPr>
            <w:r>
              <w:t>2.有效完成学校教学安全秩序，保障学校教学任务有效开展，满足学校正常教学需要。</w:t>
            </w:r>
          </w:p>
        </w:tc>
      </w:tr>
    </w:tbl>
    <w:p w14:paraId="57A99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8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BBBF2">
            <w:pPr>
              <w:pStyle w:val="10"/>
            </w:pPr>
            <w:r>
              <w:t>一级指标</w:t>
            </w:r>
          </w:p>
        </w:tc>
        <w:tc>
          <w:tcPr>
            <w:tcW w:w="2268" w:type="dxa"/>
            <w:vAlign w:val="center"/>
          </w:tcPr>
          <w:p w14:paraId="058BB42E">
            <w:pPr>
              <w:pStyle w:val="10"/>
            </w:pPr>
            <w:r>
              <w:t>二级指标</w:t>
            </w:r>
          </w:p>
        </w:tc>
        <w:tc>
          <w:tcPr>
            <w:tcW w:w="2835" w:type="dxa"/>
            <w:vAlign w:val="center"/>
          </w:tcPr>
          <w:p w14:paraId="03FFD1D3">
            <w:pPr>
              <w:pStyle w:val="10"/>
            </w:pPr>
            <w:r>
              <w:t>三级指标</w:t>
            </w:r>
          </w:p>
        </w:tc>
        <w:tc>
          <w:tcPr>
            <w:tcW w:w="5386" w:type="dxa"/>
            <w:vAlign w:val="center"/>
          </w:tcPr>
          <w:p w14:paraId="4251EFCF">
            <w:pPr>
              <w:pStyle w:val="10"/>
            </w:pPr>
            <w:r>
              <w:t>绩效指标描述</w:t>
            </w:r>
          </w:p>
        </w:tc>
        <w:tc>
          <w:tcPr>
            <w:tcW w:w="2268" w:type="dxa"/>
            <w:vAlign w:val="center"/>
          </w:tcPr>
          <w:p w14:paraId="13EC8039">
            <w:pPr>
              <w:pStyle w:val="10"/>
            </w:pPr>
            <w:r>
              <w:t>指标值</w:t>
            </w:r>
          </w:p>
        </w:tc>
        <w:tc>
          <w:tcPr>
            <w:tcW w:w="1276" w:type="dxa"/>
            <w:vAlign w:val="center"/>
          </w:tcPr>
          <w:p w14:paraId="2FA314F9">
            <w:pPr>
              <w:pStyle w:val="10"/>
            </w:pPr>
            <w:r>
              <w:t>指标值确定依据</w:t>
            </w:r>
          </w:p>
        </w:tc>
      </w:tr>
      <w:tr w14:paraId="2446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6AB03">
            <w:pPr>
              <w:pStyle w:val="13"/>
            </w:pPr>
            <w:r>
              <w:t>产出指标</w:t>
            </w:r>
          </w:p>
        </w:tc>
        <w:tc>
          <w:tcPr>
            <w:tcW w:w="2268" w:type="dxa"/>
            <w:vAlign w:val="center"/>
          </w:tcPr>
          <w:p w14:paraId="5C88BAFB">
            <w:pPr>
              <w:pStyle w:val="12"/>
            </w:pPr>
            <w:r>
              <w:t>数量指标</w:t>
            </w:r>
          </w:p>
        </w:tc>
        <w:tc>
          <w:tcPr>
            <w:tcW w:w="2835" w:type="dxa"/>
            <w:vAlign w:val="center"/>
          </w:tcPr>
          <w:p w14:paraId="022F2EA1">
            <w:pPr>
              <w:pStyle w:val="12"/>
            </w:pPr>
            <w:r>
              <w:t>就读学生数</w:t>
            </w:r>
          </w:p>
        </w:tc>
        <w:tc>
          <w:tcPr>
            <w:tcW w:w="5386" w:type="dxa"/>
            <w:vAlign w:val="center"/>
          </w:tcPr>
          <w:p w14:paraId="23B2FBDD">
            <w:pPr>
              <w:pStyle w:val="12"/>
            </w:pPr>
            <w:r>
              <w:t>辐射区域内适龄学生人数</w:t>
            </w:r>
          </w:p>
        </w:tc>
        <w:tc>
          <w:tcPr>
            <w:tcW w:w="2268" w:type="dxa"/>
            <w:vAlign w:val="center"/>
          </w:tcPr>
          <w:p w14:paraId="6DE9CD62">
            <w:pPr>
              <w:pStyle w:val="12"/>
            </w:pPr>
            <w:r>
              <w:t>1544人</w:t>
            </w:r>
          </w:p>
        </w:tc>
        <w:tc>
          <w:tcPr>
            <w:tcW w:w="1276" w:type="dxa"/>
            <w:vAlign w:val="center"/>
          </w:tcPr>
          <w:p w14:paraId="2169C8BC">
            <w:pPr>
              <w:pStyle w:val="12"/>
            </w:pPr>
            <w:r>
              <w:t>城乡义务教育公用经费管理办法</w:t>
            </w:r>
          </w:p>
        </w:tc>
      </w:tr>
      <w:tr w14:paraId="253D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851DD"/>
        </w:tc>
        <w:tc>
          <w:tcPr>
            <w:tcW w:w="2268" w:type="dxa"/>
            <w:vAlign w:val="center"/>
          </w:tcPr>
          <w:p w14:paraId="63F6135B">
            <w:pPr>
              <w:pStyle w:val="12"/>
            </w:pPr>
            <w:r>
              <w:t>质量指标</w:t>
            </w:r>
          </w:p>
        </w:tc>
        <w:tc>
          <w:tcPr>
            <w:tcW w:w="2835" w:type="dxa"/>
            <w:vAlign w:val="center"/>
          </w:tcPr>
          <w:p w14:paraId="3FAD230A">
            <w:pPr>
              <w:pStyle w:val="12"/>
            </w:pPr>
            <w:r>
              <w:t>预算执行率</w:t>
            </w:r>
          </w:p>
        </w:tc>
        <w:tc>
          <w:tcPr>
            <w:tcW w:w="5386" w:type="dxa"/>
            <w:vAlign w:val="center"/>
          </w:tcPr>
          <w:p w14:paraId="6FF3E888">
            <w:pPr>
              <w:pStyle w:val="12"/>
            </w:pPr>
            <w:r>
              <w:t>预算执行率</w:t>
            </w:r>
          </w:p>
        </w:tc>
        <w:tc>
          <w:tcPr>
            <w:tcW w:w="2268" w:type="dxa"/>
            <w:vAlign w:val="center"/>
          </w:tcPr>
          <w:p w14:paraId="539C8B63">
            <w:pPr>
              <w:pStyle w:val="12"/>
            </w:pPr>
            <w:r>
              <w:t>≥98%</w:t>
            </w:r>
          </w:p>
        </w:tc>
        <w:tc>
          <w:tcPr>
            <w:tcW w:w="1276" w:type="dxa"/>
            <w:vAlign w:val="center"/>
          </w:tcPr>
          <w:p w14:paraId="6A1A7D6F">
            <w:pPr>
              <w:pStyle w:val="12"/>
            </w:pPr>
            <w:r>
              <w:t>城乡义务教育公用经费管理办法</w:t>
            </w:r>
          </w:p>
        </w:tc>
      </w:tr>
      <w:tr w14:paraId="21C1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33F0"/>
        </w:tc>
        <w:tc>
          <w:tcPr>
            <w:tcW w:w="2268" w:type="dxa"/>
            <w:vAlign w:val="center"/>
          </w:tcPr>
          <w:p w14:paraId="7D3D7676">
            <w:pPr>
              <w:pStyle w:val="12"/>
            </w:pPr>
            <w:r>
              <w:t>时效指标</w:t>
            </w:r>
          </w:p>
        </w:tc>
        <w:tc>
          <w:tcPr>
            <w:tcW w:w="2835" w:type="dxa"/>
            <w:vAlign w:val="center"/>
          </w:tcPr>
          <w:p w14:paraId="6C0E02D8">
            <w:pPr>
              <w:pStyle w:val="12"/>
            </w:pPr>
            <w:r>
              <w:t>义教经费支付完成率</w:t>
            </w:r>
          </w:p>
        </w:tc>
        <w:tc>
          <w:tcPr>
            <w:tcW w:w="5386" w:type="dxa"/>
            <w:vAlign w:val="center"/>
          </w:tcPr>
          <w:p w14:paraId="100ACD2C">
            <w:pPr>
              <w:pStyle w:val="12"/>
            </w:pPr>
            <w:r>
              <w:t>按照序时进度完成资金支付</w:t>
            </w:r>
          </w:p>
        </w:tc>
        <w:tc>
          <w:tcPr>
            <w:tcW w:w="2268" w:type="dxa"/>
            <w:vAlign w:val="center"/>
          </w:tcPr>
          <w:p w14:paraId="3CE9DC97">
            <w:pPr>
              <w:pStyle w:val="12"/>
            </w:pPr>
            <w:r>
              <w:t>100%</w:t>
            </w:r>
          </w:p>
        </w:tc>
        <w:tc>
          <w:tcPr>
            <w:tcW w:w="1276" w:type="dxa"/>
            <w:vAlign w:val="center"/>
          </w:tcPr>
          <w:p w14:paraId="2C80BD5D">
            <w:pPr>
              <w:pStyle w:val="12"/>
            </w:pPr>
            <w:r>
              <w:t>城乡义务教育公用经费管理办法</w:t>
            </w:r>
          </w:p>
        </w:tc>
      </w:tr>
      <w:tr w14:paraId="5E3C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43410"/>
        </w:tc>
        <w:tc>
          <w:tcPr>
            <w:tcW w:w="2268" w:type="dxa"/>
            <w:vAlign w:val="center"/>
          </w:tcPr>
          <w:p w14:paraId="57514CBD">
            <w:pPr>
              <w:pStyle w:val="12"/>
            </w:pPr>
            <w:r>
              <w:t>成本指标</w:t>
            </w:r>
          </w:p>
        </w:tc>
        <w:tc>
          <w:tcPr>
            <w:tcW w:w="2835" w:type="dxa"/>
            <w:vAlign w:val="center"/>
          </w:tcPr>
          <w:p w14:paraId="18F0934D">
            <w:pPr>
              <w:pStyle w:val="12"/>
            </w:pPr>
            <w:r>
              <w:t>生均拨款标准</w:t>
            </w:r>
          </w:p>
        </w:tc>
        <w:tc>
          <w:tcPr>
            <w:tcW w:w="5386" w:type="dxa"/>
            <w:vAlign w:val="center"/>
          </w:tcPr>
          <w:p w14:paraId="00A58D99">
            <w:pPr>
              <w:pStyle w:val="12"/>
            </w:pPr>
            <w:r>
              <w:t>小学：（基本标准720元、寄宿生300元、生活补助120元）/生/学年；特教、随班就读学生：标准7000元/生/学年</w:t>
            </w:r>
          </w:p>
        </w:tc>
        <w:tc>
          <w:tcPr>
            <w:tcW w:w="2268" w:type="dxa"/>
            <w:vAlign w:val="center"/>
          </w:tcPr>
          <w:p w14:paraId="02877E97">
            <w:pPr>
              <w:pStyle w:val="12"/>
            </w:pPr>
            <w:r>
              <w:t>840元</w:t>
            </w:r>
          </w:p>
        </w:tc>
        <w:tc>
          <w:tcPr>
            <w:tcW w:w="1276" w:type="dxa"/>
            <w:vAlign w:val="center"/>
          </w:tcPr>
          <w:p w14:paraId="69E0BE7C">
            <w:pPr>
              <w:pStyle w:val="12"/>
            </w:pPr>
            <w:r>
              <w:t>城乡义务教育公用经费管理办法</w:t>
            </w:r>
          </w:p>
        </w:tc>
      </w:tr>
      <w:tr w14:paraId="0D1B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08832">
            <w:pPr>
              <w:pStyle w:val="13"/>
            </w:pPr>
            <w:r>
              <w:t>效益指标</w:t>
            </w:r>
          </w:p>
        </w:tc>
        <w:tc>
          <w:tcPr>
            <w:tcW w:w="2268" w:type="dxa"/>
            <w:vAlign w:val="center"/>
          </w:tcPr>
          <w:p w14:paraId="00B285FF">
            <w:pPr>
              <w:pStyle w:val="12"/>
            </w:pPr>
            <w:r>
              <w:t>社会效益指标</w:t>
            </w:r>
          </w:p>
        </w:tc>
        <w:tc>
          <w:tcPr>
            <w:tcW w:w="2835" w:type="dxa"/>
            <w:vAlign w:val="center"/>
          </w:tcPr>
          <w:p w14:paraId="2900ACEE">
            <w:pPr>
              <w:pStyle w:val="12"/>
            </w:pPr>
            <w:r>
              <w:t>学校稳定率</w:t>
            </w:r>
          </w:p>
        </w:tc>
        <w:tc>
          <w:tcPr>
            <w:tcW w:w="5386" w:type="dxa"/>
            <w:vAlign w:val="center"/>
          </w:tcPr>
          <w:p w14:paraId="7C3B5443">
            <w:pPr>
              <w:pStyle w:val="12"/>
            </w:pPr>
            <w:r>
              <w:t>维护学校稳定，保障学校正常教学秩序有效开展</w:t>
            </w:r>
          </w:p>
        </w:tc>
        <w:tc>
          <w:tcPr>
            <w:tcW w:w="2268" w:type="dxa"/>
            <w:vAlign w:val="center"/>
          </w:tcPr>
          <w:p w14:paraId="4682D4D3">
            <w:pPr>
              <w:pStyle w:val="12"/>
            </w:pPr>
            <w:r>
              <w:t>100%</w:t>
            </w:r>
          </w:p>
        </w:tc>
        <w:tc>
          <w:tcPr>
            <w:tcW w:w="1276" w:type="dxa"/>
            <w:vAlign w:val="center"/>
          </w:tcPr>
          <w:p w14:paraId="7D3F057E">
            <w:pPr>
              <w:pStyle w:val="12"/>
            </w:pPr>
            <w:r>
              <w:t>城乡义务教育公用经费管理办法</w:t>
            </w:r>
          </w:p>
        </w:tc>
      </w:tr>
      <w:tr w14:paraId="3D67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6D366">
            <w:pPr>
              <w:pStyle w:val="13"/>
            </w:pPr>
            <w:r>
              <w:t>满意度指标</w:t>
            </w:r>
          </w:p>
        </w:tc>
        <w:tc>
          <w:tcPr>
            <w:tcW w:w="2268" w:type="dxa"/>
            <w:vAlign w:val="center"/>
          </w:tcPr>
          <w:p w14:paraId="7DB1DD06">
            <w:pPr>
              <w:pStyle w:val="12"/>
            </w:pPr>
            <w:r>
              <w:t>服务对象满意度指标</w:t>
            </w:r>
          </w:p>
        </w:tc>
        <w:tc>
          <w:tcPr>
            <w:tcW w:w="2835" w:type="dxa"/>
            <w:vAlign w:val="center"/>
          </w:tcPr>
          <w:p w14:paraId="171653F7">
            <w:pPr>
              <w:pStyle w:val="12"/>
            </w:pPr>
            <w:r>
              <w:t>家长和学生满意度</w:t>
            </w:r>
          </w:p>
        </w:tc>
        <w:tc>
          <w:tcPr>
            <w:tcW w:w="5386" w:type="dxa"/>
            <w:vAlign w:val="center"/>
          </w:tcPr>
          <w:p w14:paraId="66C3BA59">
            <w:pPr>
              <w:pStyle w:val="12"/>
            </w:pPr>
            <w:r>
              <w:t>家长和学生满意度</w:t>
            </w:r>
          </w:p>
        </w:tc>
        <w:tc>
          <w:tcPr>
            <w:tcW w:w="2268" w:type="dxa"/>
            <w:vAlign w:val="center"/>
          </w:tcPr>
          <w:p w14:paraId="650402B1">
            <w:pPr>
              <w:pStyle w:val="12"/>
            </w:pPr>
            <w:r>
              <w:t>≥95%</w:t>
            </w:r>
          </w:p>
        </w:tc>
        <w:tc>
          <w:tcPr>
            <w:tcW w:w="1276" w:type="dxa"/>
            <w:vAlign w:val="center"/>
          </w:tcPr>
          <w:p w14:paraId="2042296F">
            <w:pPr>
              <w:pStyle w:val="12"/>
            </w:pPr>
            <w:r>
              <w:t>问卷调查</w:t>
            </w:r>
          </w:p>
        </w:tc>
      </w:tr>
    </w:tbl>
    <w:p w14:paraId="586EA587">
      <w:pPr>
        <w:sectPr>
          <w:pgSz w:w="16840" w:h="11900" w:orient="landscape"/>
          <w:pgMar w:top="1361" w:right="1020" w:bottom="1134" w:left="1020" w:header="720" w:footer="720" w:gutter="0"/>
          <w:cols w:space="720" w:num="1"/>
        </w:sectPr>
      </w:pPr>
    </w:p>
    <w:p w14:paraId="2540D06F">
      <w:pPr>
        <w:spacing w:before="0" w:after="0"/>
        <w:ind w:firstLine="560"/>
        <w:jc w:val="left"/>
        <w:outlineLvl w:val="9"/>
      </w:pPr>
      <w:r>
        <w:rPr>
          <w:rFonts w:ascii="方正仿宋_GBK" w:hAnsi="方正仿宋_GBK" w:eastAsia="方正仿宋_GBK" w:cs="方正仿宋_GBK"/>
          <w:b/>
          <w:color w:val="000000"/>
          <w:sz w:val="28"/>
        </w:rPr>
        <w:t>25、县级配套/固城校区固城小学公用经费绩效目标表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9A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4CF5C">
            <w:pPr>
              <w:pStyle w:val="11"/>
            </w:pPr>
            <w:r>
              <w:t>单位：万元</w:t>
            </w:r>
          </w:p>
        </w:tc>
      </w:tr>
      <w:tr w14:paraId="731F6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0BA80">
            <w:pPr>
              <w:pStyle w:val="10"/>
            </w:pPr>
            <w:r>
              <w:t>项目编码</w:t>
            </w:r>
          </w:p>
        </w:tc>
        <w:tc>
          <w:tcPr>
            <w:tcW w:w="5103" w:type="dxa"/>
            <w:gridSpan w:val="2"/>
            <w:vAlign w:val="center"/>
          </w:tcPr>
          <w:p w14:paraId="491BD65B">
            <w:pPr>
              <w:pStyle w:val="12"/>
            </w:pPr>
            <w:r>
              <w:t>13052526P00000410459F</w:t>
            </w:r>
          </w:p>
        </w:tc>
        <w:tc>
          <w:tcPr>
            <w:tcW w:w="2835" w:type="dxa"/>
            <w:vAlign w:val="center"/>
          </w:tcPr>
          <w:p w14:paraId="38603CD2">
            <w:pPr>
              <w:pStyle w:val="10"/>
            </w:pPr>
            <w:r>
              <w:t>项目名称</w:t>
            </w:r>
          </w:p>
        </w:tc>
        <w:tc>
          <w:tcPr>
            <w:tcW w:w="6095" w:type="dxa"/>
            <w:gridSpan w:val="3"/>
            <w:vAlign w:val="center"/>
          </w:tcPr>
          <w:p w14:paraId="6FD58D7F">
            <w:pPr>
              <w:pStyle w:val="12"/>
            </w:pPr>
            <w:r>
              <w:t>县级配套/固城校区固城小学公用经费</w:t>
            </w:r>
          </w:p>
        </w:tc>
      </w:tr>
      <w:tr w14:paraId="74F54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C6564">
            <w:pPr>
              <w:pStyle w:val="10"/>
            </w:pPr>
            <w:r>
              <w:t>预算规模及资金用途</w:t>
            </w:r>
          </w:p>
        </w:tc>
        <w:tc>
          <w:tcPr>
            <w:tcW w:w="2268" w:type="dxa"/>
            <w:vAlign w:val="center"/>
          </w:tcPr>
          <w:p w14:paraId="2EDAC39F">
            <w:pPr>
              <w:pStyle w:val="10"/>
            </w:pPr>
            <w:r>
              <w:t>预算数</w:t>
            </w:r>
          </w:p>
        </w:tc>
        <w:tc>
          <w:tcPr>
            <w:tcW w:w="2835" w:type="dxa"/>
            <w:vAlign w:val="center"/>
          </w:tcPr>
          <w:p w14:paraId="475FE677">
            <w:pPr>
              <w:pStyle w:val="12"/>
            </w:pPr>
            <w:r>
              <w:t>3.85</w:t>
            </w:r>
          </w:p>
        </w:tc>
        <w:tc>
          <w:tcPr>
            <w:tcW w:w="2835" w:type="dxa"/>
            <w:vAlign w:val="center"/>
          </w:tcPr>
          <w:p w14:paraId="2471E06B">
            <w:pPr>
              <w:pStyle w:val="10"/>
            </w:pPr>
            <w:r>
              <w:t>其中：财政    资金</w:t>
            </w:r>
          </w:p>
        </w:tc>
        <w:tc>
          <w:tcPr>
            <w:tcW w:w="2551" w:type="dxa"/>
            <w:vAlign w:val="center"/>
          </w:tcPr>
          <w:p w14:paraId="24A8690C">
            <w:pPr>
              <w:pStyle w:val="12"/>
            </w:pPr>
            <w:r>
              <w:t>3.85</w:t>
            </w:r>
          </w:p>
        </w:tc>
        <w:tc>
          <w:tcPr>
            <w:tcW w:w="2268" w:type="dxa"/>
            <w:vAlign w:val="center"/>
          </w:tcPr>
          <w:p w14:paraId="1974B360">
            <w:pPr>
              <w:pStyle w:val="10"/>
            </w:pPr>
            <w:r>
              <w:t>其他资金</w:t>
            </w:r>
          </w:p>
        </w:tc>
        <w:tc>
          <w:tcPr>
            <w:tcW w:w="1276" w:type="dxa"/>
            <w:vAlign w:val="center"/>
          </w:tcPr>
          <w:p w14:paraId="3225BE0A">
            <w:pPr>
              <w:pStyle w:val="12"/>
            </w:pPr>
            <w:r>
              <w:t xml:space="preserve"> </w:t>
            </w:r>
          </w:p>
        </w:tc>
      </w:tr>
      <w:tr w14:paraId="03B97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14890"/>
        </w:tc>
        <w:tc>
          <w:tcPr>
            <w:tcW w:w="14033" w:type="dxa"/>
            <w:gridSpan w:val="6"/>
            <w:vAlign w:val="center"/>
          </w:tcPr>
          <w:p w14:paraId="6E1026A6">
            <w:pPr>
              <w:pStyle w:val="12"/>
            </w:pPr>
            <w:r>
              <w:t>有效完成学校教学安全秩序，保障学校教学任务有效开展，满足学校正常教学需要。</w:t>
            </w:r>
          </w:p>
        </w:tc>
      </w:tr>
      <w:tr w14:paraId="00065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CF7DA">
            <w:pPr>
              <w:pStyle w:val="10"/>
            </w:pPr>
            <w:r>
              <w:t>资金支出计划（%）</w:t>
            </w:r>
          </w:p>
        </w:tc>
        <w:tc>
          <w:tcPr>
            <w:tcW w:w="5103" w:type="dxa"/>
            <w:gridSpan w:val="2"/>
            <w:vAlign w:val="center"/>
          </w:tcPr>
          <w:p w14:paraId="0416D127">
            <w:pPr>
              <w:pStyle w:val="10"/>
            </w:pPr>
            <w:r>
              <w:t>3月底</w:t>
            </w:r>
          </w:p>
        </w:tc>
        <w:tc>
          <w:tcPr>
            <w:tcW w:w="2835" w:type="dxa"/>
            <w:vAlign w:val="center"/>
          </w:tcPr>
          <w:p w14:paraId="57833AA6">
            <w:pPr>
              <w:pStyle w:val="10"/>
            </w:pPr>
            <w:r>
              <w:t>6月底</w:t>
            </w:r>
          </w:p>
        </w:tc>
        <w:tc>
          <w:tcPr>
            <w:tcW w:w="2551" w:type="dxa"/>
            <w:vAlign w:val="center"/>
          </w:tcPr>
          <w:p w14:paraId="2C4AC780">
            <w:pPr>
              <w:pStyle w:val="10"/>
            </w:pPr>
            <w:r>
              <w:t>10月底</w:t>
            </w:r>
          </w:p>
        </w:tc>
        <w:tc>
          <w:tcPr>
            <w:tcW w:w="3544" w:type="dxa"/>
            <w:gridSpan w:val="2"/>
            <w:vAlign w:val="center"/>
          </w:tcPr>
          <w:p w14:paraId="45322346">
            <w:pPr>
              <w:pStyle w:val="10"/>
            </w:pPr>
            <w:r>
              <w:t>12月底</w:t>
            </w:r>
          </w:p>
        </w:tc>
      </w:tr>
      <w:tr w14:paraId="1D52F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1FCF4"/>
        </w:tc>
        <w:tc>
          <w:tcPr>
            <w:tcW w:w="5103" w:type="dxa"/>
            <w:gridSpan w:val="2"/>
            <w:vAlign w:val="center"/>
          </w:tcPr>
          <w:p w14:paraId="107E1299">
            <w:pPr>
              <w:pStyle w:val="13"/>
            </w:pPr>
            <w:r>
              <w:t>25%</w:t>
            </w:r>
          </w:p>
        </w:tc>
        <w:tc>
          <w:tcPr>
            <w:tcW w:w="2835" w:type="dxa"/>
            <w:vAlign w:val="center"/>
          </w:tcPr>
          <w:p w14:paraId="00FC34C8">
            <w:pPr>
              <w:pStyle w:val="13"/>
            </w:pPr>
            <w:r>
              <w:t>50%</w:t>
            </w:r>
          </w:p>
        </w:tc>
        <w:tc>
          <w:tcPr>
            <w:tcW w:w="2551" w:type="dxa"/>
            <w:vAlign w:val="center"/>
          </w:tcPr>
          <w:p w14:paraId="703CDA10">
            <w:pPr>
              <w:pStyle w:val="13"/>
            </w:pPr>
            <w:r>
              <w:t>75%</w:t>
            </w:r>
          </w:p>
        </w:tc>
        <w:tc>
          <w:tcPr>
            <w:tcW w:w="3544" w:type="dxa"/>
            <w:gridSpan w:val="2"/>
            <w:vAlign w:val="center"/>
          </w:tcPr>
          <w:p w14:paraId="5AE7D18C">
            <w:pPr>
              <w:pStyle w:val="13"/>
            </w:pPr>
            <w:r>
              <w:t>100%</w:t>
            </w:r>
          </w:p>
        </w:tc>
      </w:tr>
      <w:tr w14:paraId="5CC82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295A5">
            <w:pPr>
              <w:pStyle w:val="10"/>
            </w:pPr>
            <w:r>
              <w:t>绩效目标</w:t>
            </w:r>
          </w:p>
        </w:tc>
        <w:tc>
          <w:tcPr>
            <w:tcW w:w="14033" w:type="dxa"/>
            <w:gridSpan w:val="6"/>
            <w:vAlign w:val="center"/>
          </w:tcPr>
          <w:p w14:paraId="38A9BB38">
            <w:pPr>
              <w:pStyle w:val="12"/>
            </w:pPr>
            <w:r>
              <w:t>1.有效完成学校教学安全秩序，保障学校教学任务有效开展，满足学校正常教学需要。</w:t>
            </w:r>
          </w:p>
          <w:p w14:paraId="6B771779">
            <w:pPr>
              <w:pStyle w:val="12"/>
            </w:pPr>
            <w:r>
              <w:t>2.按规定拨付公用经费资金，预算执行率100%。</w:t>
            </w:r>
            <w:r>
              <w:tab/>
            </w:r>
          </w:p>
        </w:tc>
      </w:tr>
    </w:tbl>
    <w:p w14:paraId="1AE15F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0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9BA28">
            <w:pPr>
              <w:pStyle w:val="10"/>
            </w:pPr>
            <w:r>
              <w:t>一级指标</w:t>
            </w:r>
          </w:p>
        </w:tc>
        <w:tc>
          <w:tcPr>
            <w:tcW w:w="2268" w:type="dxa"/>
            <w:vAlign w:val="center"/>
          </w:tcPr>
          <w:p w14:paraId="3B46BBFE">
            <w:pPr>
              <w:pStyle w:val="10"/>
            </w:pPr>
            <w:r>
              <w:t>二级指标</w:t>
            </w:r>
          </w:p>
        </w:tc>
        <w:tc>
          <w:tcPr>
            <w:tcW w:w="2835" w:type="dxa"/>
            <w:vAlign w:val="center"/>
          </w:tcPr>
          <w:p w14:paraId="58AAA66E">
            <w:pPr>
              <w:pStyle w:val="10"/>
            </w:pPr>
            <w:r>
              <w:t>三级指标</w:t>
            </w:r>
          </w:p>
        </w:tc>
        <w:tc>
          <w:tcPr>
            <w:tcW w:w="5386" w:type="dxa"/>
            <w:vAlign w:val="center"/>
          </w:tcPr>
          <w:p w14:paraId="4FC85487">
            <w:pPr>
              <w:pStyle w:val="10"/>
            </w:pPr>
            <w:r>
              <w:t>绩效指标描述</w:t>
            </w:r>
          </w:p>
        </w:tc>
        <w:tc>
          <w:tcPr>
            <w:tcW w:w="2268" w:type="dxa"/>
            <w:vAlign w:val="center"/>
          </w:tcPr>
          <w:p w14:paraId="6B3C0C5E">
            <w:pPr>
              <w:pStyle w:val="10"/>
            </w:pPr>
            <w:r>
              <w:t>指标值</w:t>
            </w:r>
          </w:p>
        </w:tc>
        <w:tc>
          <w:tcPr>
            <w:tcW w:w="1276" w:type="dxa"/>
            <w:vAlign w:val="center"/>
          </w:tcPr>
          <w:p w14:paraId="3239A967">
            <w:pPr>
              <w:pStyle w:val="10"/>
            </w:pPr>
            <w:r>
              <w:t>指标值确定依据</w:t>
            </w:r>
          </w:p>
        </w:tc>
      </w:tr>
      <w:tr w14:paraId="380B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D9D55">
            <w:pPr>
              <w:pStyle w:val="13"/>
            </w:pPr>
            <w:r>
              <w:t>产出指标</w:t>
            </w:r>
          </w:p>
        </w:tc>
        <w:tc>
          <w:tcPr>
            <w:tcW w:w="2268" w:type="dxa"/>
            <w:vAlign w:val="center"/>
          </w:tcPr>
          <w:p w14:paraId="670BC9AF">
            <w:pPr>
              <w:pStyle w:val="12"/>
            </w:pPr>
            <w:r>
              <w:t>数量指标</w:t>
            </w:r>
          </w:p>
        </w:tc>
        <w:tc>
          <w:tcPr>
            <w:tcW w:w="2835" w:type="dxa"/>
            <w:vAlign w:val="center"/>
          </w:tcPr>
          <w:p w14:paraId="066AD2DC">
            <w:pPr>
              <w:pStyle w:val="12"/>
            </w:pPr>
            <w:r>
              <w:t>就读学生数</w:t>
            </w:r>
          </w:p>
        </w:tc>
        <w:tc>
          <w:tcPr>
            <w:tcW w:w="5386" w:type="dxa"/>
            <w:vAlign w:val="center"/>
          </w:tcPr>
          <w:p w14:paraId="6926FD62">
            <w:pPr>
              <w:pStyle w:val="12"/>
            </w:pPr>
            <w:r>
              <w:t>辐射区域内适龄学生人数</w:t>
            </w:r>
          </w:p>
        </w:tc>
        <w:tc>
          <w:tcPr>
            <w:tcW w:w="2268" w:type="dxa"/>
            <w:vAlign w:val="center"/>
          </w:tcPr>
          <w:p w14:paraId="0357E7A1">
            <w:pPr>
              <w:pStyle w:val="12"/>
            </w:pPr>
            <w:r>
              <w:t>458人</w:t>
            </w:r>
          </w:p>
        </w:tc>
        <w:tc>
          <w:tcPr>
            <w:tcW w:w="1276" w:type="dxa"/>
            <w:vAlign w:val="center"/>
          </w:tcPr>
          <w:p w14:paraId="10EE6740">
            <w:pPr>
              <w:pStyle w:val="12"/>
            </w:pPr>
            <w:r>
              <w:t>城乡义务教育公用经费管理办法</w:t>
            </w:r>
          </w:p>
        </w:tc>
      </w:tr>
      <w:tr w14:paraId="0F007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969FA"/>
        </w:tc>
        <w:tc>
          <w:tcPr>
            <w:tcW w:w="2268" w:type="dxa"/>
            <w:vAlign w:val="center"/>
          </w:tcPr>
          <w:p w14:paraId="74557C87">
            <w:pPr>
              <w:pStyle w:val="12"/>
            </w:pPr>
            <w:r>
              <w:t>质量指标</w:t>
            </w:r>
          </w:p>
        </w:tc>
        <w:tc>
          <w:tcPr>
            <w:tcW w:w="2835" w:type="dxa"/>
            <w:vAlign w:val="center"/>
          </w:tcPr>
          <w:p w14:paraId="0A447AF8">
            <w:pPr>
              <w:pStyle w:val="12"/>
            </w:pPr>
            <w:r>
              <w:t>预算执行率</w:t>
            </w:r>
          </w:p>
        </w:tc>
        <w:tc>
          <w:tcPr>
            <w:tcW w:w="5386" w:type="dxa"/>
            <w:vAlign w:val="center"/>
          </w:tcPr>
          <w:p w14:paraId="3360441E">
            <w:pPr>
              <w:pStyle w:val="12"/>
            </w:pPr>
            <w:r>
              <w:t>预算执行率</w:t>
            </w:r>
          </w:p>
        </w:tc>
        <w:tc>
          <w:tcPr>
            <w:tcW w:w="2268" w:type="dxa"/>
            <w:vAlign w:val="center"/>
          </w:tcPr>
          <w:p w14:paraId="6D0484C2">
            <w:pPr>
              <w:pStyle w:val="12"/>
            </w:pPr>
            <w:r>
              <w:t>≥98%</w:t>
            </w:r>
          </w:p>
        </w:tc>
        <w:tc>
          <w:tcPr>
            <w:tcW w:w="1276" w:type="dxa"/>
            <w:vAlign w:val="center"/>
          </w:tcPr>
          <w:p w14:paraId="1A0C7DD9">
            <w:pPr>
              <w:pStyle w:val="12"/>
            </w:pPr>
            <w:r>
              <w:t>城乡义务教育公用经费管理办法</w:t>
            </w:r>
          </w:p>
        </w:tc>
      </w:tr>
      <w:tr w14:paraId="0F21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A9FB3"/>
        </w:tc>
        <w:tc>
          <w:tcPr>
            <w:tcW w:w="2268" w:type="dxa"/>
            <w:vAlign w:val="center"/>
          </w:tcPr>
          <w:p w14:paraId="302428EB">
            <w:pPr>
              <w:pStyle w:val="12"/>
            </w:pPr>
            <w:r>
              <w:t>时效指标</w:t>
            </w:r>
          </w:p>
        </w:tc>
        <w:tc>
          <w:tcPr>
            <w:tcW w:w="2835" w:type="dxa"/>
            <w:vAlign w:val="center"/>
          </w:tcPr>
          <w:p w14:paraId="2BC45551">
            <w:pPr>
              <w:pStyle w:val="12"/>
            </w:pPr>
            <w:r>
              <w:t>义教经费支付完成率</w:t>
            </w:r>
          </w:p>
        </w:tc>
        <w:tc>
          <w:tcPr>
            <w:tcW w:w="5386" w:type="dxa"/>
            <w:vAlign w:val="center"/>
          </w:tcPr>
          <w:p w14:paraId="66B40261">
            <w:pPr>
              <w:pStyle w:val="12"/>
            </w:pPr>
            <w:r>
              <w:t>按照序时进度完成资金支付</w:t>
            </w:r>
          </w:p>
        </w:tc>
        <w:tc>
          <w:tcPr>
            <w:tcW w:w="2268" w:type="dxa"/>
            <w:vAlign w:val="center"/>
          </w:tcPr>
          <w:p w14:paraId="705E25D1">
            <w:pPr>
              <w:pStyle w:val="12"/>
            </w:pPr>
            <w:r>
              <w:t>100%</w:t>
            </w:r>
          </w:p>
        </w:tc>
        <w:tc>
          <w:tcPr>
            <w:tcW w:w="1276" w:type="dxa"/>
            <w:vAlign w:val="center"/>
          </w:tcPr>
          <w:p w14:paraId="358580DE">
            <w:pPr>
              <w:pStyle w:val="12"/>
            </w:pPr>
            <w:r>
              <w:t>城乡义务教育公用经费管理办法</w:t>
            </w:r>
          </w:p>
        </w:tc>
      </w:tr>
      <w:tr w14:paraId="1084C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AF97E"/>
        </w:tc>
        <w:tc>
          <w:tcPr>
            <w:tcW w:w="2268" w:type="dxa"/>
            <w:vAlign w:val="center"/>
          </w:tcPr>
          <w:p w14:paraId="3AA7B6DC">
            <w:pPr>
              <w:pStyle w:val="12"/>
            </w:pPr>
            <w:r>
              <w:t>成本指标</w:t>
            </w:r>
          </w:p>
        </w:tc>
        <w:tc>
          <w:tcPr>
            <w:tcW w:w="2835" w:type="dxa"/>
            <w:vAlign w:val="center"/>
          </w:tcPr>
          <w:p w14:paraId="49396E74">
            <w:pPr>
              <w:pStyle w:val="12"/>
            </w:pPr>
            <w:r>
              <w:t>生均拨款标准</w:t>
            </w:r>
          </w:p>
        </w:tc>
        <w:tc>
          <w:tcPr>
            <w:tcW w:w="5386" w:type="dxa"/>
            <w:vAlign w:val="center"/>
          </w:tcPr>
          <w:p w14:paraId="40721495">
            <w:pPr>
              <w:pStyle w:val="12"/>
            </w:pPr>
            <w:r>
              <w:t>小学：（基本标准720元、寄宿生300元、生活补助120元）/生/学年；特教、随班就读学生：标准7000元/生/学年</w:t>
            </w:r>
          </w:p>
        </w:tc>
        <w:tc>
          <w:tcPr>
            <w:tcW w:w="2268" w:type="dxa"/>
            <w:vAlign w:val="center"/>
          </w:tcPr>
          <w:p w14:paraId="25A1CACD">
            <w:pPr>
              <w:pStyle w:val="12"/>
            </w:pPr>
            <w:r>
              <w:t>840元</w:t>
            </w:r>
          </w:p>
        </w:tc>
        <w:tc>
          <w:tcPr>
            <w:tcW w:w="1276" w:type="dxa"/>
            <w:vAlign w:val="center"/>
          </w:tcPr>
          <w:p w14:paraId="33628E15">
            <w:pPr>
              <w:pStyle w:val="12"/>
            </w:pPr>
            <w:r>
              <w:t>城乡义务教育公用经费管理办法</w:t>
            </w:r>
          </w:p>
        </w:tc>
      </w:tr>
      <w:tr w14:paraId="30F6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FB4DA">
            <w:pPr>
              <w:pStyle w:val="13"/>
            </w:pPr>
            <w:r>
              <w:t>效益指标</w:t>
            </w:r>
          </w:p>
        </w:tc>
        <w:tc>
          <w:tcPr>
            <w:tcW w:w="2268" w:type="dxa"/>
            <w:vAlign w:val="center"/>
          </w:tcPr>
          <w:p w14:paraId="34720F7E">
            <w:pPr>
              <w:pStyle w:val="12"/>
            </w:pPr>
            <w:r>
              <w:t>社会效益指标</w:t>
            </w:r>
          </w:p>
        </w:tc>
        <w:tc>
          <w:tcPr>
            <w:tcW w:w="2835" w:type="dxa"/>
            <w:vAlign w:val="center"/>
          </w:tcPr>
          <w:p w14:paraId="3DB941BD">
            <w:pPr>
              <w:pStyle w:val="12"/>
            </w:pPr>
            <w:r>
              <w:t>学校稳定率</w:t>
            </w:r>
          </w:p>
        </w:tc>
        <w:tc>
          <w:tcPr>
            <w:tcW w:w="5386" w:type="dxa"/>
            <w:vAlign w:val="center"/>
          </w:tcPr>
          <w:p w14:paraId="08871318">
            <w:pPr>
              <w:pStyle w:val="12"/>
            </w:pPr>
            <w:r>
              <w:t>维护学校稳定，保障学校正常教学秩序有效开展</w:t>
            </w:r>
          </w:p>
        </w:tc>
        <w:tc>
          <w:tcPr>
            <w:tcW w:w="2268" w:type="dxa"/>
            <w:vAlign w:val="center"/>
          </w:tcPr>
          <w:p w14:paraId="4A7B5F3D">
            <w:pPr>
              <w:pStyle w:val="12"/>
            </w:pPr>
            <w:r>
              <w:t>100%</w:t>
            </w:r>
          </w:p>
        </w:tc>
        <w:tc>
          <w:tcPr>
            <w:tcW w:w="1276" w:type="dxa"/>
            <w:vAlign w:val="center"/>
          </w:tcPr>
          <w:p w14:paraId="44635376">
            <w:pPr>
              <w:pStyle w:val="12"/>
            </w:pPr>
            <w:r>
              <w:t>城乡义务教育公用经费管理办法</w:t>
            </w:r>
          </w:p>
        </w:tc>
      </w:tr>
      <w:tr w14:paraId="54ABF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C17DA">
            <w:pPr>
              <w:pStyle w:val="13"/>
            </w:pPr>
            <w:r>
              <w:t>满意度指标</w:t>
            </w:r>
          </w:p>
        </w:tc>
        <w:tc>
          <w:tcPr>
            <w:tcW w:w="2268" w:type="dxa"/>
            <w:vAlign w:val="center"/>
          </w:tcPr>
          <w:p w14:paraId="337394B5">
            <w:pPr>
              <w:pStyle w:val="12"/>
            </w:pPr>
            <w:r>
              <w:t>服务对象满意度指标</w:t>
            </w:r>
          </w:p>
        </w:tc>
        <w:tc>
          <w:tcPr>
            <w:tcW w:w="2835" w:type="dxa"/>
            <w:vAlign w:val="center"/>
          </w:tcPr>
          <w:p w14:paraId="0FFCCF7A">
            <w:pPr>
              <w:pStyle w:val="12"/>
            </w:pPr>
            <w:r>
              <w:t>家长和学生满意度</w:t>
            </w:r>
          </w:p>
        </w:tc>
        <w:tc>
          <w:tcPr>
            <w:tcW w:w="5386" w:type="dxa"/>
            <w:vAlign w:val="center"/>
          </w:tcPr>
          <w:p w14:paraId="7FB331AA">
            <w:pPr>
              <w:pStyle w:val="12"/>
            </w:pPr>
            <w:r>
              <w:t>家长和学生满意度</w:t>
            </w:r>
          </w:p>
        </w:tc>
        <w:tc>
          <w:tcPr>
            <w:tcW w:w="2268" w:type="dxa"/>
            <w:vAlign w:val="center"/>
          </w:tcPr>
          <w:p w14:paraId="502C4312">
            <w:pPr>
              <w:pStyle w:val="12"/>
            </w:pPr>
            <w:r>
              <w:t>≥95%</w:t>
            </w:r>
          </w:p>
        </w:tc>
        <w:tc>
          <w:tcPr>
            <w:tcW w:w="1276" w:type="dxa"/>
            <w:vAlign w:val="center"/>
          </w:tcPr>
          <w:p w14:paraId="59B41CD0">
            <w:pPr>
              <w:pStyle w:val="12"/>
            </w:pPr>
            <w:r>
              <w:t>问卷调查</w:t>
            </w:r>
          </w:p>
        </w:tc>
      </w:tr>
    </w:tbl>
    <w:p w14:paraId="075678CC">
      <w:pPr>
        <w:sectPr>
          <w:pgSz w:w="16840" w:h="11900" w:orient="landscape"/>
          <w:pgMar w:top="1361" w:right="1020" w:bottom="1134" w:left="1020" w:header="720" w:footer="720" w:gutter="0"/>
          <w:cols w:space="720" w:num="1"/>
        </w:sectPr>
      </w:pPr>
    </w:p>
    <w:p w14:paraId="568CC005">
      <w:pPr>
        <w:spacing w:before="0" w:after="0"/>
        <w:ind w:firstLine="560"/>
        <w:jc w:val="left"/>
        <w:outlineLvl w:val="9"/>
      </w:pPr>
      <w:r>
        <w:rPr>
          <w:rFonts w:ascii="方正仿宋_GBK" w:hAnsi="方正仿宋_GBK" w:eastAsia="方正仿宋_GBK" w:cs="方正仿宋_GBK"/>
          <w:b/>
          <w:color w:val="000000"/>
          <w:sz w:val="28"/>
        </w:rPr>
        <w:t>26、县级配套/固城校区火连庄小学公用经费绩效目标表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CD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0710B">
            <w:pPr>
              <w:pStyle w:val="11"/>
            </w:pPr>
            <w:r>
              <w:t>单位：万元</w:t>
            </w:r>
          </w:p>
        </w:tc>
      </w:tr>
      <w:tr w14:paraId="7262E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E99DF">
            <w:pPr>
              <w:pStyle w:val="10"/>
            </w:pPr>
            <w:r>
              <w:t>项目编码</w:t>
            </w:r>
          </w:p>
        </w:tc>
        <w:tc>
          <w:tcPr>
            <w:tcW w:w="5103" w:type="dxa"/>
            <w:gridSpan w:val="2"/>
            <w:vAlign w:val="center"/>
          </w:tcPr>
          <w:p w14:paraId="6F995B4D">
            <w:pPr>
              <w:pStyle w:val="12"/>
            </w:pPr>
            <w:r>
              <w:t>13052526P00000410461E</w:t>
            </w:r>
          </w:p>
        </w:tc>
        <w:tc>
          <w:tcPr>
            <w:tcW w:w="2835" w:type="dxa"/>
            <w:vAlign w:val="center"/>
          </w:tcPr>
          <w:p w14:paraId="6FB53A10">
            <w:pPr>
              <w:pStyle w:val="10"/>
            </w:pPr>
            <w:r>
              <w:t>项目名称</w:t>
            </w:r>
          </w:p>
        </w:tc>
        <w:tc>
          <w:tcPr>
            <w:tcW w:w="6095" w:type="dxa"/>
            <w:gridSpan w:val="3"/>
            <w:vAlign w:val="center"/>
          </w:tcPr>
          <w:p w14:paraId="491B1D9C">
            <w:pPr>
              <w:pStyle w:val="12"/>
            </w:pPr>
            <w:r>
              <w:t>县级配套/固城校区火连庄小学公用经费</w:t>
            </w:r>
          </w:p>
        </w:tc>
      </w:tr>
      <w:tr w14:paraId="17A14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986C4">
            <w:pPr>
              <w:pStyle w:val="10"/>
            </w:pPr>
            <w:r>
              <w:t>预算规模及资金用途</w:t>
            </w:r>
          </w:p>
        </w:tc>
        <w:tc>
          <w:tcPr>
            <w:tcW w:w="2268" w:type="dxa"/>
            <w:vAlign w:val="center"/>
          </w:tcPr>
          <w:p w14:paraId="3CF33CAB">
            <w:pPr>
              <w:pStyle w:val="10"/>
            </w:pPr>
            <w:r>
              <w:t>预算数</w:t>
            </w:r>
          </w:p>
        </w:tc>
        <w:tc>
          <w:tcPr>
            <w:tcW w:w="2835" w:type="dxa"/>
            <w:vAlign w:val="center"/>
          </w:tcPr>
          <w:p w14:paraId="388E6EA6">
            <w:pPr>
              <w:pStyle w:val="12"/>
            </w:pPr>
            <w:r>
              <w:t>4.83</w:t>
            </w:r>
          </w:p>
        </w:tc>
        <w:tc>
          <w:tcPr>
            <w:tcW w:w="2835" w:type="dxa"/>
            <w:vAlign w:val="center"/>
          </w:tcPr>
          <w:p w14:paraId="21BBAF38">
            <w:pPr>
              <w:pStyle w:val="10"/>
            </w:pPr>
            <w:r>
              <w:t>其中：财政    资金</w:t>
            </w:r>
          </w:p>
        </w:tc>
        <w:tc>
          <w:tcPr>
            <w:tcW w:w="2551" w:type="dxa"/>
            <w:vAlign w:val="center"/>
          </w:tcPr>
          <w:p w14:paraId="73BBCDEE">
            <w:pPr>
              <w:pStyle w:val="12"/>
            </w:pPr>
            <w:r>
              <w:t>4.83</w:t>
            </w:r>
          </w:p>
        </w:tc>
        <w:tc>
          <w:tcPr>
            <w:tcW w:w="2268" w:type="dxa"/>
            <w:vAlign w:val="center"/>
          </w:tcPr>
          <w:p w14:paraId="07780B40">
            <w:pPr>
              <w:pStyle w:val="10"/>
            </w:pPr>
            <w:r>
              <w:t>其他资金</w:t>
            </w:r>
          </w:p>
        </w:tc>
        <w:tc>
          <w:tcPr>
            <w:tcW w:w="1276" w:type="dxa"/>
            <w:vAlign w:val="center"/>
          </w:tcPr>
          <w:p w14:paraId="4DC7BA95">
            <w:pPr>
              <w:pStyle w:val="12"/>
            </w:pPr>
            <w:r>
              <w:t xml:space="preserve"> </w:t>
            </w:r>
          </w:p>
        </w:tc>
      </w:tr>
      <w:tr w14:paraId="6D3FE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193AC"/>
        </w:tc>
        <w:tc>
          <w:tcPr>
            <w:tcW w:w="14033" w:type="dxa"/>
            <w:gridSpan w:val="6"/>
            <w:vAlign w:val="center"/>
          </w:tcPr>
          <w:p w14:paraId="2F1F5636">
            <w:pPr>
              <w:pStyle w:val="12"/>
            </w:pPr>
            <w:r>
              <w:t>有效完成学校教学安全秩序，保障学校教学任务有效开展，满足学校正常教学需要。</w:t>
            </w:r>
          </w:p>
        </w:tc>
      </w:tr>
      <w:tr w14:paraId="7D809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581C2">
            <w:pPr>
              <w:pStyle w:val="10"/>
            </w:pPr>
            <w:r>
              <w:t>资金支出计划（%）</w:t>
            </w:r>
          </w:p>
        </w:tc>
        <w:tc>
          <w:tcPr>
            <w:tcW w:w="5103" w:type="dxa"/>
            <w:gridSpan w:val="2"/>
            <w:vAlign w:val="center"/>
          </w:tcPr>
          <w:p w14:paraId="4E996553">
            <w:pPr>
              <w:pStyle w:val="10"/>
            </w:pPr>
            <w:r>
              <w:t>3月底</w:t>
            </w:r>
          </w:p>
        </w:tc>
        <w:tc>
          <w:tcPr>
            <w:tcW w:w="2835" w:type="dxa"/>
            <w:vAlign w:val="center"/>
          </w:tcPr>
          <w:p w14:paraId="788BB39C">
            <w:pPr>
              <w:pStyle w:val="10"/>
            </w:pPr>
            <w:r>
              <w:t>6月底</w:t>
            </w:r>
          </w:p>
        </w:tc>
        <w:tc>
          <w:tcPr>
            <w:tcW w:w="2551" w:type="dxa"/>
            <w:vAlign w:val="center"/>
          </w:tcPr>
          <w:p w14:paraId="08800ED1">
            <w:pPr>
              <w:pStyle w:val="10"/>
            </w:pPr>
            <w:r>
              <w:t>10月底</w:t>
            </w:r>
          </w:p>
        </w:tc>
        <w:tc>
          <w:tcPr>
            <w:tcW w:w="3544" w:type="dxa"/>
            <w:gridSpan w:val="2"/>
            <w:vAlign w:val="center"/>
          </w:tcPr>
          <w:p w14:paraId="14573C95">
            <w:pPr>
              <w:pStyle w:val="10"/>
            </w:pPr>
            <w:r>
              <w:t>12月底</w:t>
            </w:r>
          </w:p>
        </w:tc>
      </w:tr>
      <w:tr w14:paraId="04788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81891"/>
        </w:tc>
        <w:tc>
          <w:tcPr>
            <w:tcW w:w="5103" w:type="dxa"/>
            <w:gridSpan w:val="2"/>
            <w:vAlign w:val="center"/>
          </w:tcPr>
          <w:p w14:paraId="39A10C79">
            <w:pPr>
              <w:pStyle w:val="13"/>
            </w:pPr>
            <w:r>
              <w:t>25%</w:t>
            </w:r>
          </w:p>
        </w:tc>
        <w:tc>
          <w:tcPr>
            <w:tcW w:w="2835" w:type="dxa"/>
            <w:vAlign w:val="center"/>
          </w:tcPr>
          <w:p w14:paraId="510FF2D6">
            <w:pPr>
              <w:pStyle w:val="13"/>
            </w:pPr>
            <w:r>
              <w:t>50%</w:t>
            </w:r>
          </w:p>
        </w:tc>
        <w:tc>
          <w:tcPr>
            <w:tcW w:w="2551" w:type="dxa"/>
            <w:vAlign w:val="center"/>
          </w:tcPr>
          <w:p w14:paraId="5F34E687">
            <w:pPr>
              <w:pStyle w:val="13"/>
            </w:pPr>
            <w:r>
              <w:t>75%</w:t>
            </w:r>
          </w:p>
        </w:tc>
        <w:tc>
          <w:tcPr>
            <w:tcW w:w="3544" w:type="dxa"/>
            <w:gridSpan w:val="2"/>
            <w:vAlign w:val="center"/>
          </w:tcPr>
          <w:p w14:paraId="0E6EDC34">
            <w:pPr>
              <w:pStyle w:val="13"/>
            </w:pPr>
            <w:r>
              <w:t>100%</w:t>
            </w:r>
          </w:p>
        </w:tc>
      </w:tr>
      <w:tr w14:paraId="2C0EF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E064B">
            <w:pPr>
              <w:pStyle w:val="10"/>
            </w:pPr>
            <w:r>
              <w:t>绩效目标</w:t>
            </w:r>
          </w:p>
        </w:tc>
        <w:tc>
          <w:tcPr>
            <w:tcW w:w="14033" w:type="dxa"/>
            <w:gridSpan w:val="6"/>
            <w:vAlign w:val="center"/>
          </w:tcPr>
          <w:p w14:paraId="6BF9F3B1">
            <w:pPr>
              <w:pStyle w:val="12"/>
            </w:pPr>
            <w:r>
              <w:t>1.按规定拨付公用经费资金，预算执行率100%。</w:t>
            </w:r>
          </w:p>
          <w:p w14:paraId="6B7D6AEB">
            <w:pPr>
              <w:pStyle w:val="12"/>
            </w:pPr>
            <w:r>
              <w:t>2.有效完成学校教学安全秩序，保障学校教学任务有效开展，满足学校正常教学需要。</w:t>
            </w:r>
          </w:p>
        </w:tc>
      </w:tr>
    </w:tbl>
    <w:p w14:paraId="450EF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0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B171ED1">
            <w:pPr>
              <w:pStyle w:val="10"/>
            </w:pPr>
            <w:r>
              <w:t>一级指标</w:t>
            </w:r>
          </w:p>
        </w:tc>
        <w:tc>
          <w:tcPr>
            <w:tcW w:w="2268" w:type="dxa"/>
            <w:vAlign w:val="center"/>
          </w:tcPr>
          <w:p w14:paraId="68B2057A">
            <w:pPr>
              <w:pStyle w:val="10"/>
            </w:pPr>
            <w:r>
              <w:t>二级指标</w:t>
            </w:r>
          </w:p>
        </w:tc>
        <w:tc>
          <w:tcPr>
            <w:tcW w:w="2835" w:type="dxa"/>
            <w:vAlign w:val="center"/>
          </w:tcPr>
          <w:p w14:paraId="36552941">
            <w:pPr>
              <w:pStyle w:val="10"/>
            </w:pPr>
            <w:r>
              <w:t>三级指标</w:t>
            </w:r>
          </w:p>
        </w:tc>
        <w:tc>
          <w:tcPr>
            <w:tcW w:w="5386" w:type="dxa"/>
            <w:vAlign w:val="center"/>
          </w:tcPr>
          <w:p w14:paraId="65274DBB">
            <w:pPr>
              <w:pStyle w:val="10"/>
            </w:pPr>
            <w:r>
              <w:t>绩效指标描述</w:t>
            </w:r>
          </w:p>
        </w:tc>
        <w:tc>
          <w:tcPr>
            <w:tcW w:w="2268" w:type="dxa"/>
            <w:vAlign w:val="center"/>
          </w:tcPr>
          <w:p w14:paraId="7B9B0CDD">
            <w:pPr>
              <w:pStyle w:val="10"/>
            </w:pPr>
            <w:r>
              <w:t>指标值</w:t>
            </w:r>
          </w:p>
        </w:tc>
        <w:tc>
          <w:tcPr>
            <w:tcW w:w="1276" w:type="dxa"/>
            <w:vAlign w:val="center"/>
          </w:tcPr>
          <w:p w14:paraId="5DAF2EDE">
            <w:pPr>
              <w:pStyle w:val="10"/>
            </w:pPr>
            <w:r>
              <w:t>指标值确定依据</w:t>
            </w:r>
          </w:p>
        </w:tc>
      </w:tr>
      <w:tr w14:paraId="2479E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8718D">
            <w:pPr>
              <w:pStyle w:val="13"/>
            </w:pPr>
            <w:r>
              <w:t>产出指标</w:t>
            </w:r>
          </w:p>
        </w:tc>
        <w:tc>
          <w:tcPr>
            <w:tcW w:w="2268" w:type="dxa"/>
            <w:vAlign w:val="center"/>
          </w:tcPr>
          <w:p w14:paraId="7EFAC58B">
            <w:pPr>
              <w:pStyle w:val="12"/>
            </w:pPr>
            <w:r>
              <w:t>数量指标</w:t>
            </w:r>
          </w:p>
        </w:tc>
        <w:tc>
          <w:tcPr>
            <w:tcW w:w="2835" w:type="dxa"/>
            <w:vAlign w:val="center"/>
          </w:tcPr>
          <w:p w14:paraId="67349EB7">
            <w:pPr>
              <w:pStyle w:val="12"/>
            </w:pPr>
            <w:r>
              <w:t>就读学生数</w:t>
            </w:r>
          </w:p>
        </w:tc>
        <w:tc>
          <w:tcPr>
            <w:tcW w:w="5386" w:type="dxa"/>
            <w:vAlign w:val="center"/>
          </w:tcPr>
          <w:p w14:paraId="18E36DDA">
            <w:pPr>
              <w:pStyle w:val="12"/>
            </w:pPr>
            <w:r>
              <w:t>辐射区域内适龄学生人数</w:t>
            </w:r>
          </w:p>
        </w:tc>
        <w:tc>
          <w:tcPr>
            <w:tcW w:w="2268" w:type="dxa"/>
            <w:vAlign w:val="center"/>
          </w:tcPr>
          <w:p w14:paraId="70D035F8">
            <w:pPr>
              <w:pStyle w:val="12"/>
            </w:pPr>
            <w:r>
              <w:t>430人</w:t>
            </w:r>
          </w:p>
        </w:tc>
        <w:tc>
          <w:tcPr>
            <w:tcW w:w="1276" w:type="dxa"/>
            <w:vAlign w:val="center"/>
          </w:tcPr>
          <w:p w14:paraId="5EEA8290">
            <w:pPr>
              <w:pStyle w:val="12"/>
            </w:pPr>
            <w:r>
              <w:t>城乡义务教育公用经费管理办法</w:t>
            </w:r>
          </w:p>
        </w:tc>
      </w:tr>
      <w:tr w14:paraId="6382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2FB6C"/>
        </w:tc>
        <w:tc>
          <w:tcPr>
            <w:tcW w:w="2268" w:type="dxa"/>
            <w:vAlign w:val="center"/>
          </w:tcPr>
          <w:p w14:paraId="4EAF277C">
            <w:pPr>
              <w:pStyle w:val="12"/>
            </w:pPr>
            <w:r>
              <w:t>质量指标</w:t>
            </w:r>
          </w:p>
        </w:tc>
        <w:tc>
          <w:tcPr>
            <w:tcW w:w="2835" w:type="dxa"/>
            <w:vAlign w:val="center"/>
          </w:tcPr>
          <w:p w14:paraId="397D26E3">
            <w:pPr>
              <w:pStyle w:val="12"/>
            </w:pPr>
            <w:r>
              <w:t>预算执行率</w:t>
            </w:r>
          </w:p>
        </w:tc>
        <w:tc>
          <w:tcPr>
            <w:tcW w:w="5386" w:type="dxa"/>
            <w:vAlign w:val="center"/>
          </w:tcPr>
          <w:p w14:paraId="73967B66">
            <w:pPr>
              <w:pStyle w:val="12"/>
            </w:pPr>
            <w:r>
              <w:t>预算执行率</w:t>
            </w:r>
          </w:p>
        </w:tc>
        <w:tc>
          <w:tcPr>
            <w:tcW w:w="2268" w:type="dxa"/>
            <w:vAlign w:val="center"/>
          </w:tcPr>
          <w:p w14:paraId="0CDCDC3B">
            <w:pPr>
              <w:pStyle w:val="12"/>
            </w:pPr>
            <w:r>
              <w:t>≥98%</w:t>
            </w:r>
          </w:p>
        </w:tc>
        <w:tc>
          <w:tcPr>
            <w:tcW w:w="1276" w:type="dxa"/>
            <w:vAlign w:val="center"/>
          </w:tcPr>
          <w:p w14:paraId="178790AB">
            <w:pPr>
              <w:pStyle w:val="12"/>
            </w:pPr>
            <w:r>
              <w:t>城乡义务教育公用经费管理办法</w:t>
            </w:r>
          </w:p>
        </w:tc>
      </w:tr>
      <w:tr w14:paraId="4201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F2B52"/>
        </w:tc>
        <w:tc>
          <w:tcPr>
            <w:tcW w:w="2268" w:type="dxa"/>
            <w:vAlign w:val="center"/>
          </w:tcPr>
          <w:p w14:paraId="70B9CF80">
            <w:pPr>
              <w:pStyle w:val="12"/>
            </w:pPr>
            <w:r>
              <w:t>时效指标</w:t>
            </w:r>
          </w:p>
        </w:tc>
        <w:tc>
          <w:tcPr>
            <w:tcW w:w="2835" w:type="dxa"/>
            <w:vAlign w:val="center"/>
          </w:tcPr>
          <w:p w14:paraId="6FA55D7B">
            <w:pPr>
              <w:pStyle w:val="12"/>
            </w:pPr>
            <w:r>
              <w:t>义教经费支付完成率</w:t>
            </w:r>
          </w:p>
        </w:tc>
        <w:tc>
          <w:tcPr>
            <w:tcW w:w="5386" w:type="dxa"/>
            <w:vAlign w:val="center"/>
          </w:tcPr>
          <w:p w14:paraId="362DDEFE">
            <w:pPr>
              <w:pStyle w:val="12"/>
            </w:pPr>
            <w:r>
              <w:t>按照序时进度完成资金支付</w:t>
            </w:r>
          </w:p>
        </w:tc>
        <w:tc>
          <w:tcPr>
            <w:tcW w:w="2268" w:type="dxa"/>
            <w:vAlign w:val="center"/>
          </w:tcPr>
          <w:p w14:paraId="57D43299">
            <w:pPr>
              <w:pStyle w:val="12"/>
            </w:pPr>
            <w:r>
              <w:t>100%</w:t>
            </w:r>
          </w:p>
        </w:tc>
        <w:tc>
          <w:tcPr>
            <w:tcW w:w="1276" w:type="dxa"/>
            <w:vAlign w:val="center"/>
          </w:tcPr>
          <w:p w14:paraId="1A1BE665">
            <w:pPr>
              <w:pStyle w:val="12"/>
            </w:pPr>
            <w:r>
              <w:t>城乡义务教育公用经费管理办法</w:t>
            </w:r>
          </w:p>
        </w:tc>
      </w:tr>
      <w:tr w14:paraId="7F3E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6A220"/>
        </w:tc>
        <w:tc>
          <w:tcPr>
            <w:tcW w:w="2268" w:type="dxa"/>
            <w:vAlign w:val="center"/>
          </w:tcPr>
          <w:p w14:paraId="5F618425">
            <w:pPr>
              <w:pStyle w:val="12"/>
            </w:pPr>
            <w:r>
              <w:t>成本指标</w:t>
            </w:r>
          </w:p>
        </w:tc>
        <w:tc>
          <w:tcPr>
            <w:tcW w:w="2835" w:type="dxa"/>
            <w:vAlign w:val="center"/>
          </w:tcPr>
          <w:p w14:paraId="22A05705">
            <w:pPr>
              <w:pStyle w:val="12"/>
            </w:pPr>
            <w:r>
              <w:t>生均拨款标准</w:t>
            </w:r>
          </w:p>
        </w:tc>
        <w:tc>
          <w:tcPr>
            <w:tcW w:w="5386" w:type="dxa"/>
            <w:vAlign w:val="center"/>
          </w:tcPr>
          <w:p w14:paraId="7E7B2430">
            <w:pPr>
              <w:pStyle w:val="12"/>
            </w:pPr>
            <w:r>
              <w:t>小学：（基本标准720元、寄宿生300元、生活补助120元）/生/学年；特教、随班就读学生：标准7000元/生/学年</w:t>
            </w:r>
          </w:p>
        </w:tc>
        <w:tc>
          <w:tcPr>
            <w:tcW w:w="2268" w:type="dxa"/>
            <w:vAlign w:val="center"/>
          </w:tcPr>
          <w:p w14:paraId="5A9D5332">
            <w:pPr>
              <w:pStyle w:val="12"/>
            </w:pPr>
            <w:r>
              <w:t>840元</w:t>
            </w:r>
          </w:p>
        </w:tc>
        <w:tc>
          <w:tcPr>
            <w:tcW w:w="1276" w:type="dxa"/>
            <w:vAlign w:val="center"/>
          </w:tcPr>
          <w:p w14:paraId="47257CDC">
            <w:pPr>
              <w:pStyle w:val="12"/>
            </w:pPr>
            <w:r>
              <w:t>城乡义务教育公用经费管理办法</w:t>
            </w:r>
          </w:p>
        </w:tc>
      </w:tr>
      <w:tr w14:paraId="465B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0B779">
            <w:pPr>
              <w:pStyle w:val="13"/>
            </w:pPr>
            <w:r>
              <w:t>效益指标</w:t>
            </w:r>
          </w:p>
        </w:tc>
        <w:tc>
          <w:tcPr>
            <w:tcW w:w="2268" w:type="dxa"/>
            <w:vAlign w:val="center"/>
          </w:tcPr>
          <w:p w14:paraId="20BC60F6">
            <w:pPr>
              <w:pStyle w:val="12"/>
            </w:pPr>
            <w:r>
              <w:t>社会效益指标</w:t>
            </w:r>
          </w:p>
        </w:tc>
        <w:tc>
          <w:tcPr>
            <w:tcW w:w="2835" w:type="dxa"/>
            <w:vAlign w:val="center"/>
          </w:tcPr>
          <w:p w14:paraId="2A0FDB33">
            <w:pPr>
              <w:pStyle w:val="12"/>
            </w:pPr>
            <w:r>
              <w:t>学校稳定率</w:t>
            </w:r>
          </w:p>
        </w:tc>
        <w:tc>
          <w:tcPr>
            <w:tcW w:w="5386" w:type="dxa"/>
            <w:vAlign w:val="center"/>
          </w:tcPr>
          <w:p w14:paraId="798E98A9">
            <w:pPr>
              <w:pStyle w:val="12"/>
            </w:pPr>
            <w:r>
              <w:t>维护学校稳定，保障学校正常教学秩序有效开展</w:t>
            </w:r>
          </w:p>
        </w:tc>
        <w:tc>
          <w:tcPr>
            <w:tcW w:w="2268" w:type="dxa"/>
            <w:vAlign w:val="center"/>
          </w:tcPr>
          <w:p w14:paraId="5F2210EF">
            <w:pPr>
              <w:pStyle w:val="12"/>
            </w:pPr>
            <w:r>
              <w:t>100%</w:t>
            </w:r>
          </w:p>
        </w:tc>
        <w:tc>
          <w:tcPr>
            <w:tcW w:w="1276" w:type="dxa"/>
            <w:vAlign w:val="center"/>
          </w:tcPr>
          <w:p w14:paraId="2D34347B">
            <w:pPr>
              <w:pStyle w:val="12"/>
            </w:pPr>
            <w:r>
              <w:t>城乡义务教育公用经费管理办法</w:t>
            </w:r>
          </w:p>
        </w:tc>
      </w:tr>
      <w:tr w14:paraId="7D9F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AECCC">
            <w:pPr>
              <w:pStyle w:val="13"/>
            </w:pPr>
            <w:r>
              <w:t>满意度指标</w:t>
            </w:r>
          </w:p>
        </w:tc>
        <w:tc>
          <w:tcPr>
            <w:tcW w:w="2268" w:type="dxa"/>
            <w:vAlign w:val="center"/>
          </w:tcPr>
          <w:p w14:paraId="7BA90A5E">
            <w:pPr>
              <w:pStyle w:val="12"/>
            </w:pPr>
            <w:r>
              <w:t>服务对象满意度指标</w:t>
            </w:r>
          </w:p>
        </w:tc>
        <w:tc>
          <w:tcPr>
            <w:tcW w:w="2835" w:type="dxa"/>
            <w:vAlign w:val="center"/>
          </w:tcPr>
          <w:p w14:paraId="35E4C46C">
            <w:pPr>
              <w:pStyle w:val="12"/>
            </w:pPr>
            <w:r>
              <w:t>家长和学生满意度</w:t>
            </w:r>
          </w:p>
        </w:tc>
        <w:tc>
          <w:tcPr>
            <w:tcW w:w="5386" w:type="dxa"/>
            <w:vAlign w:val="center"/>
          </w:tcPr>
          <w:p w14:paraId="276C3284">
            <w:pPr>
              <w:pStyle w:val="12"/>
            </w:pPr>
            <w:r>
              <w:t>家长和学生满意度</w:t>
            </w:r>
          </w:p>
        </w:tc>
        <w:tc>
          <w:tcPr>
            <w:tcW w:w="2268" w:type="dxa"/>
            <w:vAlign w:val="center"/>
          </w:tcPr>
          <w:p w14:paraId="0D206410">
            <w:pPr>
              <w:pStyle w:val="12"/>
            </w:pPr>
            <w:r>
              <w:t>≥95%</w:t>
            </w:r>
          </w:p>
        </w:tc>
        <w:tc>
          <w:tcPr>
            <w:tcW w:w="1276" w:type="dxa"/>
            <w:vAlign w:val="center"/>
          </w:tcPr>
          <w:p w14:paraId="3D55CE32">
            <w:pPr>
              <w:pStyle w:val="12"/>
            </w:pPr>
            <w:r>
              <w:t>问卷调查</w:t>
            </w:r>
          </w:p>
        </w:tc>
      </w:tr>
    </w:tbl>
    <w:p w14:paraId="41D96182">
      <w:pPr>
        <w:sectPr>
          <w:pgSz w:w="16840" w:h="11900" w:orient="landscape"/>
          <w:pgMar w:top="1361" w:right="1020" w:bottom="1134" w:left="1020" w:header="720" w:footer="720" w:gutter="0"/>
          <w:cols w:space="720" w:num="1"/>
        </w:sectPr>
      </w:pPr>
    </w:p>
    <w:p w14:paraId="6E41BFEE">
      <w:pPr>
        <w:spacing w:before="0" w:after="0"/>
        <w:ind w:firstLine="560"/>
        <w:jc w:val="left"/>
        <w:outlineLvl w:val="9"/>
      </w:pPr>
      <w:r>
        <w:rPr>
          <w:rFonts w:ascii="方正仿宋_GBK" w:hAnsi="方正仿宋_GBK" w:eastAsia="方正仿宋_GBK" w:cs="方正仿宋_GBK"/>
          <w:b/>
          <w:color w:val="000000"/>
          <w:sz w:val="28"/>
        </w:rPr>
        <w:t>27、县级配套/固城校区乡观小学公用经费绩效目标表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E8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FF611">
            <w:pPr>
              <w:pStyle w:val="11"/>
            </w:pPr>
            <w:r>
              <w:t>单位：万元</w:t>
            </w:r>
          </w:p>
        </w:tc>
      </w:tr>
      <w:tr w14:paraId="78EA1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58786">
            <w:pPr>
              <w:pStyle w:val="10"/>
            </w:pPr>
            <w:r>
              <w:t>项目编码</w:t>
            </w:r>
          </w:p>
        </w:tc>
        <w:tc>
          <w:tcPr>
            <w:tcW w:w="5103" w:type="dxa"/>
            <w:gridSpan w:val="2"/>
            <w:vAlign w:val="center"/>
          </w:tcPr>
          <w:p w14:paraId="76C05528">
            <w:pPr>
              <w:pStyle w:val="12"/>
            </w:pPr>
            <w:r>
              <w:t>13052526P00000410463M</w:t>
            </w:r>
          </w:p>
        </w:tc>
        <w:tc>
          <w:tcPr>
            <w:tcW w:w="2835" w:type="dxa"/>
            <w:vAlign w:val="center"/>
          </w:tcPr>
          <w:p w14:paraId="5B1A2037">
            <w:pPr>
              <w:pStyle w:val="10"/>
            </w:pPr>
            <w:r>
              <w:t>项目名称</w:t>
            </w:r>
          </w:p>
        </w:tc>
        <w:tc>
          <w:tcPr>
            <w:tcW w:w="6095" w:type="dxa"/>
            <w:gridSpan w:val="3"/>
            <w:vAlign w:val="center"/>
          </w:tcPr>
          <w:p w14:paraId="7D93F091">
            <w:pPr>
              <w:pStyle w:val="12"/>
            </w:pPr>
            <w:r>
              <w:t>县级配套/固城校区乡观小学公用经费</w:t>
            </w:r>
          </w:p>
        </w:tc>
      </w:tr>
      <w:tr w14:paraId="35D9F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FE571">
            <w:pPr>
              <w:pStyle w:val="10"/>
            </w:pPr>
            <w:r>
              <w:t>预算规模及资金用途</w:t>
            </w:r>
          </w:p>
        </w:tc>
        <w:tc>
          <w:tcPr>
            <w:tcW w:w="2268" w:type="dxa"/>
            <w:vAlign w:val="center"/>
          </w:tcPr>
          <w:p w14:paraId="7D8E405E">
            <w:pPr>
              <w:pStyle w:val="10"/>
            </w:pPr>
            <w:r>
              <w:t>预算数</w:t>
            </w:r>
          </w:p>
        </w:tc>
        <w:tc>
          <w:tcPr>
            <w:tcW w:w="2835" w:type="dxa"/>
            <w:vAlign w:val="center"/>
          </w:tcPr>
          <w:p w14:paraId="7AF0F28F">
            <w:pPr>
              <w:pStyle w:val="12"/>
            </w:pPr>
            <w:r>
              <w:t>0.83</w:t>
            </w:r>
          </w:p>
        </w:tc>
        <w:tc>
          <w:tcPr>
            <w:tcW w:w="2835" w:type="dxa"/>
            <w:vAlign w:val="center"/>
          </w:tcPr>
          <w:p w14:paraId="48935520">
            <w:pPr>
              <w:pStyle w:val="10"/>
            </w:pPr>
            <w:r>
              <w:t>其中：财政    资金</w:t>
            </w:r>
          </w:p>
        </w:tc>
        <w:tc>
          <w:tcPr>
            <w:tcW w:w="2551" w:type="dxa"/>
            <w:vAlign w:val="center"/>
          </w:tcPr>
          <w:p w14:paraId="0ECD8C8C">
            <w:pPr>
              <w:pStyle w:val="12"/>
            </w:pPr>
            <w:r>
              <w:t>0.83</w:t>
            </w:r>
          </w:p>
        </w:tc>
        <w:tc>
          <w:tcPr>
            <w:tcW w:w="2268" w:type="dxa"/>
            <w:vAlign w:val="center"/>
          </w:tcPr>
          <w:p w14:paraId="1EF6519A">
            <w:pPr>
              <w:pStyle w:val="10"/>
            </w:pPr>
            <w:r>
              <w:t>其他资金</w:t>
            </w:r>
          </w:p>
        </w:tc>
        <w:tc>
          <w:tcPr>
            <w:tcW w:w="1276" w:type="dxa"/>
            <w:vAlign w:val="center"/>
          </w:tcPr>
          <w:p w14:paraId="43EF928A">
            <w:pPr>
              <w:pStyle w:val="12"/>
            </w:pPr>
            <w:r>
              <w:t xml:space="preserve"> </w:t>
            </w:r>
          </w:p>
        </w:tc>
      </w:tr>
      <w:tr w14:paraId="491E8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6907B"/>
        </w:tc>
        <w:tc>
          <w:tcPr>
            <w:tcW w:w="14033" w:type="dxa"/>
            <w:gridSpan w:val="6"/>
            <w:vAlign w:val="center"/>
          </w:tcPr>
          <w:p w14:paraId="503B111C">
            <w:pPr>
              <w:pStyle w:val="12"/>
            </w:pPr>
            <w:r>
              <w:t>有效完成学校教学安全秩序，保障学校教学任务有效开展，满足学校正常教学需要。</w:t>
            </w:r>
          </w:p>
        </w:tc>
      </w:tr>
      <w:tr w14:paraId="17A5B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9F38A">
            <w:pPr>
              <w:pStyle w:val="10"/>
            </w:pPr>
            <w:r>
              <w:t>资金支出计划（%）</w:t>
            </w:r>
          </w:p>
        </w:tc>
        <w:tc>
          <w:tcPr>
            <w:tcW w:w="5103" w:type="dxa"/>
            <w:gridSpan w:val="2"/>
            <w:vAlign w:val="center"/>
          </w:tcPr>
          <w:p w14:paraId="55DBFBE3">
            <w:pPr>
              <w:pStyle w:val="10"/>
            </w:pPr>
            <w:r>
              <w:t>3月底</w:t>
            </w:r>
          </w:p>
        </w:tc>
        <w:tc>
          <w:tcPr>
            <w:tcW w:w="2835" w:type="dxa"/>
            <w:vAlign w:val="center"/>
          </w:tcPr>
          <w:p w14:paraId="6EF6CC46">
            <w:pPr>
              <w:pStyle w:val="10"/>
            </w:pPr>
            <w:r>
              <w:t>6月底</w:t>
            </w:r>
          </w:p>
        </w:tc>
        <w:tc>
          <w:tcPr>
            <w:tcW w:w="2551" w:type="dxa"/>
            <w:vAlign w:val="center"/>
          </w:tcPr>
          <w:p w14:paraId="794438AA">
            <w:pPr>
              <w:pStyle w:val="10"/>
            </w:pPr>
            <w:r>
              <w:t>10月底</w:t>
            </w:r>
          </w:p>
        </w:tc>
        <w:tc>
          <w:tcPr>
            <w:tcW w:w="3544" w:type="dxa"/>
            <w:gridSpan w:val="2"/>
            <w:vAlign w:val="center"/>
          </w:tcPr>
          <w:p w14:paraId="159E79EB">
            <w:pPr>
              <w:pStyle w:val="10"/>
            </w:pPr>
            <w:r>
              <w:t>12月底</w:t>
            </w:r>
          </w:p>
        </w:tc>
      </w:tr>
      <w:tr w14:paraId="4295C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4EA46"/>
        </w:tc>
        <w:tc>
          <w:tcPr>
            <w:tcW w:w="5103" w:type="dxa"/>
            <w:gridSpan w:val="2"/>
            <w:vAlign w:val="center"/>
          </w:tcPr>
          <w:p w14:paraId="59F2C263">
            <w:pPr>
              <w:pStyle w:val="13"/>
            </w:pPr>
            <w:r>
              <w:t>25%</w:t>
            </w:r>
          </w:p>
        </w:tc>
        <w:tc>
          <w:tcPr>
            <w:tcW w:w="2835" w:type="dxa"/>
            <w:vAlign w:val="center"/>
          </w:tcPr>
          <w:p w14:paraId="2ED685A8">
            <w:pPr>
              <w:pStyle w:val="13"/>
            </w:pPr>
            <w:r>
              <w:t>50%</w:t>
            </w:r>
          </w:p>
        </w:tc>
        <w:tc>
          <w:tcPr>
            <w:tcW w:w="2551" w:type="dxa"/>
            <w:vAlign w:val="center"/>
          </w:tcPr>
          <w:p w14:paraId="5B28578E">
            <w:pPr>
              <w:pStyle w:val="13"/>
            </w:pPr>
            <w:r>
              <w:t>75%</w:t>
            </w:r>
          </w:p>
        </w:tc>
        <w:tc>
          <w:tcPr>
            <w:tcW w:w="3544" w:type="dxa"/>
            <w:gridSpan w:val="2"/>
            <w:vAlign w:val="center"/>
          </w:tcPr>
          <w:p w14:paraId="0B2929AD">
            <w:pPr>
              <w:pStyle w:val="13"/>
            </w:pPr>
            <w:r>
              <w:t>100%</w:t>
            </w:r>
          </w:p>
        </w:tc>
      </w:tr>
      <w:tr w14:paraId="7D844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EC50C">
            <w:pPr>
              <w:pStyle w:val="10"/>
            </w:pPr>
            <w:r>
              <w:t>绩效目标</w:t>
            </w:r>
          </w:p>
        </w:tc>
        <w:tc>
          <w:tcPr>
            <w:tcW w:w="14033" w:type="dxa"/>
            <w:gridSpan w:val="6"/>
            <w:vAlign w:val="center"/>
          </w:tcPr>
          <w:p w14:paraId="297D9E21">
            <w:pPr>
              <w:pStyle w:val="12"/>
            </w:pPr>
            <w:r>
              <w:t>1.按规定拨付公用经费资金，预算执行率100%。</w:t>
            </w:r>
          </w:p>
          <w:p w14:paraId="107F67AB">
            <w:pPr>
              <w:pStyle w:val="12"/>
            </w:pPr>
            <w:r>
              <w:t>2.有效完成学校教学安全秩序，保障学校教学任务有效开展，满足学校正常教学需要。</w:t>
            </w:r>
          </w:p>
        </w:tc>
      </w:tr>
    </w:tbl>
    <w:p w14:paraId="29863C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8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2ECFF5">
            <w:pPr>
              <w:pStyle w:val="10"/>
            </w:pPr>
            <w:r>
              <w:t>一级指标</w:t>
            </w:r>
          </w:p>
        </w:tc>
        <w:tc>
          <w:tcPr>
            <w:tcW w:w="2268" w:type="dxa"/>
            <w:vAlign w:val="center"/>
          </w:tcPr>
          <w:p w14:paraId="63013FCB">
            <w:pPr>
              <w:pStyle w:val="10"/>
            </w:pPr>
            <w:r>
              <w:t>二级指标</w:t>
            </w:r>
          </w:p>
        </w:tc>
        <w:tc>
          <w:tcPr>
            <w:tcW w:w="2835" w:type="dxa"/>
            <w:vAlign w:val="center"/>
          </w:tcPr>
          <w:p w14:paraId="3BF29E97">
            <w:pPr>
              <w:pStyle w:val="10"/>
            </w:pPr>
            <w:r>
              <w:t>三级指标</w:t>
            </w:r>
          </w:p>
        </w:tc>
        <w:tc>
          <w:tcPr>
            <w:tcW w:w="5386" w:type="dxa"/>
            <w:vAlign w:val="center"/>
          </w:tcPr>
          <w:p w14:paraId="32B3DD46">
            <w:pPr>
              <w:pStyle w:val="10"/>
            </w:pPr>
            <w:r>
              <w:t>绩效指标描述</w:t>
            </w:r>
          </w:p>
        </w:tc>
        <w:tc>
          <w:tcPr>
            <w:tcW w:w="2268" w:type="dxa"/>
            <w:vAlign w:val="center"/>
          </w:tcPr>
          <w:p w14:paraId="2E4178D4">
            <w:pPr>
              <w:pStyle w:val="10"/>
            </w:pPr>
            <w:r>
              <w:t>指标值</w:t>
            </w:r>
          </w:p>
        </w:tc>
        <w:tc>
          <w:tcPr>
            <w:tcW w:w="1276" w:type="dxa"/>
            <w:vAlign w:val="center"/>
          </w:tcPr>
          <w:p w14:paraId="5A9D8DC1">
            <w:pPr>
              <w:pStyle w:val="10"/>
            </w:pPr>
            <w:r>
              <w:t>指标值确定依据</w:t>
            </w:r>
          </w:p>
        </w:tc>
      </w:tr>
      <w:tr w14:paraId="7BD3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825C9">
            <w:pPr>
              <w:pStyle w:val="13"/>
            </w:pPr>
            <w:r>
              <w:t>产出指标</w:t>
            </w:r>
          </w:p>
        </w:tc>
        <w:tc>
          <w:tcPr>
            <w:tcW w:w="2268" w:type="dxa"/>
            <w:vAlign w:val="center"/>
          </w:tcPr>
          <w:p w14:paraId="76549D9C">
            <w:pPr>
              <w:pStyle w:val="12"/>
            </w:pPr>
            <w:r>
              <w:t>数量指标</w:t>
            </w:r>
          </w:p>
        </w:tc>
        <w:tc>
          <w:tcPr>
            <w:tcW w:w="2835" w:type="dxa"/>
            <w:vAlign w:val="center"/>
          </w:tcPr>
          <w:p w14:paraId="42D602FF">
            <w:pPr>
              <w:pStyle w:val="12"/>
            </w:pPr>
            <w:r>
              <w:t>就读学生数</w:t>
            </w:r>
          </w:p>
        </w:tc>
        <w:tc>
          <w:tcPr>
            <w:tcW w:w="5386" w:type="dxa"/>
            <w:vAlign w:val="center"/>
          </w:tcPr>
          <w:p w14:paraId="2959DEFB">
            <w:pPr>
              <w:pStyle w:val="12"/>
            </w:pPr>
            <w:r>
              <w:t>辐射区域内适龄学生人数</w:t>
            </w:r>
          </w:p>
        </w:tc>
        <w:tc>
          <w:tcPr>
            <w:tcW w:w="2268" w:type="dxa"/>
            <w:vAlign w:val="center"/>
          </w:tcPr>
          <w:p w14:paraId="352BB9C5">
            <w:pPr>
              <w:pStyle w:val="12"/>
            </w:pPr>
            <w:r>
              <w:t>100人</w:t>
            </w:r>
          </w:p>
        </w:tc>
        <w:tc>
          <w:tcPr>
            <w:tcW w:w="1276" w:type="dxa"/>
            <w:vAlign w:val="center"/>
          </w:tcPr>
          <w:p w14:paraId="4961A45A">
            <w:pPr>
              <w:pStyle w:val="12"/>
            </w:pPr>
            <w:r>
              <w:t>城乡义务教育公用经费管理办法</w:t>
            </w:r>
          </w:p>
        </w:tc>
      </w:tr>
      <w:tr w14:paraId="662C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A40B8"/>
        </w:tc>
        <w:tc>
          <w:tcPr>
            <w:tcW w:w="2268" w:type="dxa"/>
            <w:vAlign w:val="center"/>
          </w:tcPr>
          <w:p w14:paraId="24E0AD9C">
            <w:pPr>
              <w:pStyle w:val="12"/>
            </w:pPr>
            <w:r>
              <w:t>质量指标</w:t>
            </w:r>
          </w:p>
        </w:tc>
        <w:tc>
          <w:tcPr>
            <w:tcW w:w="2835" w:type="dxa"/>
            <w:vAlign w:val="center"/>
          </w:tcPr>
          <w:p w14:paraId="6DF230A5">
            <w:pPr>
              <w:pStyle w:val="12"/>
            </w:pPr>
            <w:r>
              <w:t>预算执行率</w:t>
            </w:r>
          </w:p>
        </w:tc>
        <w:tc>
          <w:tcPr>
            <w:tcW w:w="5386" w:type="dxa"/>
            <w:vAlign w:val="center"/>
          </w:tcPr>
          <w:p w14:paraId="67E98EB3">
            <w:pPr>
              <w:pStyle w:val="12"/>
            </w:pPr>
            <w:r>
              <w:t>预算执行率</w:t>
            </w:r>
          </w:p>
        </w:tc>
        <w:tc>
          <w:tcPr>
            <w:tcW w:w="2268" w:type="dxa"/>
            <w:vAlign w:val="center"/>
          </w:tcPr>
          <w:p w14:paraId="47D545DA">
            <w:pPr>
              <w:pStyle w:val="12"/>
            </w:pPr>
            <w:r>
              <w:t>≥98%</w:t>
            </w:r>
          </w:p>
        </w:tc>
        <w:tc>
          <w:tcPr>
            <w:tcW w:w="1276" w:type="dxa"/>
            <w:vAlign w:val="center"/>
          </w:tcPr>
          <w:p w14:paraId="7D08F624">
            <w:pPr>
              <w:pStyle w:val="12"/>
            </w:pPr>
            <w:r>
              <w:t>城乡义务教育公用经费管理办法</w:t>
            </w:r>
          </w:p>
        </w:tc>
      </w:tr>
      <w:tr w14:paraId="65B1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FBB16"/>
        </w:tc>
        <w:tc>
          <w:tcPr>
            <w:tcW w:w="2268" w:type="dxa"/>
            <w:vAlign w:val="center"/>
          </w:tcPr>
          <w:p w14:paraId="0A523EC0">
            <w:pPr>
              <w:pStyle w:val="12"/>
            </w:pPr>
            <w:r>
              <w:t>时效指标</w:t>
            </w:r>
          </w:p>
        </w:tc>
        <w:tc>
          <w:tcPr>
            <w:tcW w:w="2835" w:type="dxa"/>
            <w:vAlign w:val="center"/>
          </w:tcPr>
          <w:p w14:paraId="257EB294">
            <w:pPr>
              <w:pStyle w:val="12"/>
            </w:pPr>
            <w:r>
              <w:t>义教经费支付完成率</w:t>
            </w:r>
          </w:p>
        </w:tc>
        <w:tc>
          <w:tcPr>
            <w:tcW w:w="5386" w:type="dxa"/>
            <w:vAlign w:val="center"/>
          </w:tcPr>
          <w:p w14:paraId="4B826765">
            <w:pPr>
              <w:pStyle w:val="12"/>
            </w:pPr>
            <w:r>
              <w:t>按照序时进度完成资金支付</w:t>
            </w:r>
          </w:p>
        </w:tc>
        <w:tc>
          <w:tcPr>
            <w:tcW w:w="2268" w:type="dxa"/>
            <w:vAlign w:val="center"/>
          </w:tcPr>
          <w:p w14:paraId="7D84322E">
            <w:pPr>
              <w:pStyle w:val="12"/>
            </w:pPr>
            <w:r>
              <w:t>100%</w:t>
            </w:r>
          </w:p>
        </w:tc>
        <w:tc>
          <w:tcPr>
            <w:tcW w:w="1276" w:type="dxa"/>
            <w:vAlign w:val="center"/>
          </w:tcPr>
          <w:p w14:paraId="0FA78128">
            <w:pPr>
              <w:pStyle w:val="12"/>
            </w:pPr>
            <w:r>
              <w:t>城乡义务教育公用经费管理办法</w:t>
            </w:r>
          </w:p>
        </w:tc>
      </w:tr>
      <w:tr w14:paraId="7FAD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45CAC"/>
        </w:tc>
        <w:tc>
          <w:tcPr>
            <w:tcW w:w="2268" w:type="dxa"/>
            <w:vAlign w:val="center"/>
          </w:tcPr>
          <w:p w14:paraId="45717B2F">
            <w:pPr>
              <w:pStyle w:val="12"/>
            </w:pPr>
            <w:r>
              <w:t>成本指标</w:t>
            </w:r>
          </w:p>
        </w:tc>
        <w:tc>
          <w:tcPr>
            <w:tcW w:w="2835" w:type="dxa"/>
            <w:vAlign w:val="center"/>
          </w:tcPr>
          <w:p w14:paraId="350DA781">
            <w:pPr>
              <w:pStyle w:val="12"/>
            </w:pPr>
            <w:r>
              <w:t>生均拨款标准</w:t>
            </w:r>
          </w:p>
        </w:tc>
        <w:tc>
          <w:tcPr>
            <w:tcW w:w="5386" w:type="dxa"/>
            <w:vAlign w:val="center"/>
          </w:tcPr>
          <w:p w14:paraId="22FD74AC">
            <w:pPr>
              <w:pStyle w:val="12"/>
            </w:pPr>
            <w:r>
              <w:t>小学：（基本标准720元、寄宿生300元、生活补助120元）/生/学年；特教、随班就读学生：标准7000元/生/学年</w:t>
            </w:r>
          </w:p>
        </w:tc>
        <w:tc>
          <w:tcPr>
            <w:tcW w:w="2268" w:type="dxa"/>
            <w:vAlign w:val="center"/>
          </w:tcPr>
          <w:p w14:paraId="223EA40B">
            <w:pPr>
              <w:pStyle w:val="12"/>
            </w:pPr>
            <w:r>
              <w:t>840元</w:t>
            </w:r>
          </w:p>
        </w:tc>
        <w:tc>
          <w:tcPr>
            <w:tcW w:w="1276" w:type="dxa"/>
            <w:vAlign w:val="center"/>
          </w:tcPr>
          <w:p w14:paraId="27B28125">
            <w:pPr>
              <w:pStyle w:val="12"/>
            </w:pPr>
            <w:r>
              <w:t>城乡义务教育公用经费管理办法</w:t>
            </w:r>
          </w:p>
        </w:tc>
      </w:tr>
      <w:tr w14:paraId="1549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BD0A4">
            <w:pPr>
              <w:pStyle w:val="13"/>
            </w:pPr>
            <w:r>
              <w:t>效益指标</w:t>
            </w:r>
          </w:p>
        </w:tc>
        <w:tc>
          <w:tcPr>
            <w:tcW w:w="2268" w:type="dxa"/>
            <w:vAlign w:val="center"/>
          </w:tcPr>
          <w:p w14:paraId="1EA85804">
            <w:pPr>
              <w:pStyle w:val="12"/>
            </w:pPr>
            <w:r>
              <w:t>社会效益指标</w:t>
            </w:r>
          </w:p>
        </w:tc>
        <w:tc>
          <w:tcPr>
            <w:tcW w:w="2835" w:type="dxa"/>
            <w:vAlign w:val="center"/>
          </w:tcPr>
          <w:p w14:paraId="76FF9525">
            <w:pPr>
              <w:pStyle w:val="12"/>
            </w:pPr>
            <w:r>
              <w:t>学校稳定率</w:t>
            </w:r>
          </w:p>
        </w:tc>
        <w:tc>
          <w:tcPr>
            <w:tcW w:w="5386" w:type="dxa"/>
            <w:vAlign w:val="center"/>
          </w:tcPr>
          <w:p w14:paraId="141409C8">
            <w:pPr>
              <w:pStyle w:val="12"/>
            </w:pPr>
            <w:r>
              <w:t>维护学校稳定，保障学校正常教学秩序有效开展</w:t>
            </w:r>
          </w:p>
        </w:tc>
        <w:tc>
          <w:tcPr>
            <w:tcW w:w="2268" w:type="dxa"/>
            <w:vAlign w:val="center"/>
          </w:tcPr>
          <w:p w14:paraId="7C1C6073">
            <w:pPr>
              <w:pStyle w:val="12"/>
            </w:pPr>
            <w:r>
              <w:t>100%</w:t>
            </w:r>
          </w:p>
        </w:tc>
        <w:tc>
          <w:tcPr>
            <w:tcW w:w="1276" w:type="dxa"/>
            <w:vAlign w:val="center"/>
          </w:tcPr>
          <w:p w14:paraId="6C47C565">
            <w:pPr>
              <w:pStyle w:val="12"/>
            </w:pPr>
            <w:r>
              <w:t>城乡义务教育公用经费管理办法</w:t>
            </w:r>
          </w:p>
        </w:tc>
      </w:tr>
      <w:tr w14:paraId="1A98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BD90D">
            <w:pPr>
              <w:pStyle w:val="13"/>
            </w:pPr>
            <w:r>
              <w:t>满意度指标</w:t>
            </w:r>
          </w:p>
        </w:tc>
        <w:tc>
          <w:tcPr>
            <w:tcW w:w="2268" w:type="dxa"/>
            <w:vAlign w:val="center"/>
          </w:tcPr>
          <w:p w14:paraId="78484367">
            <w:pPr>
              <w:pStyle w:val="12"/>
            </w:pPr>
            <w:r>
              <w:t>服务对象满意度指标</w:t>
            </w:r>
          </w:p>
        </w:tc>
        <w:tc>
          <w:tcPr>
            <w:tcW w:w="2835" w:type="dxa"/>
            <w:vAlign w:val="center"/>
          </w:tcPr>
          <w:p w14:paraId="400AD28A">
            <w:pPr>
              <w:pStyle w:val="12"/>
            </w:pPr>
            <w:r>
              <w:t>家长和学生满意度</w:t>
            </w:r>
          </w:p>
        </w:tc>
        <w:tc>
          <w:tcPr>
            <w:tcW w:w="5386" w:type="dxa"/>
            <w:vAlign w:val="center"/>
          </w:tcPr>
          <w:p w14:paraId="04E35EC0">
            <w:pPr>
              <w:pStyle w:val="12"/>
            </w:pPr>
            <w:r>
              <w:t>家长和学生满意度</w:t>
            </w:r>
          </w:p>
        </w:tc>
        <w:tc>
          <w:tcPr>
            <w:tcW w:w="2268" w:type="dxa"/>
            <w:vAlign w:val="center"/>
          </w:tcPr>
          <w:p w14:paraId="3E3B6E9A">
            <w:pPr>
              <w:pStyle w:val="12"/>
            </w:pPr>
            <w:r>
              <w:t>≥95%</w:t>
            </w:r>
          </w:p>
        </w:tc>
        <w:tc>
          <w:tcPr>
            <w:tcW w:w="1276" w:type="dxa"/>
            <w:vAlign w:val="center"/>
          </w:tcPr>
          <w:p w14:paraId="2988F713">
            <w:pPr>
              <w:pStyle w:val="12"/>
            </w:pPr>
            <w:r>
              <w:t>问卷调查</w:t>
            </w:r>
          </w:p>
        </w:tc>
      </w:tr>
    </w:tbl>
    <w:p w14:paraId="5E27C3E0">
      <w:pPr>
        <w:sectPr>
          <w:pgSz w:w="16840" w:h="11900" w:orient="landscape"/>
          <w:pgMar w:top="1361" w:right="1020" w:bottom="1134" w:left="1020" w:header="720" w:footer="720" w:gutter="0"/>
          <w:cols w:space="720" w:num="1"/>
        </w:sectPr>
      </w:pPr>
    </w:p>
    <w:p w14:paraId="2AB53F73">
      <w:pPr>
        <w:spacing w:before="0" w:after="0"/>
        <w:ind w:firstLine="560"/>
        <w:jc w:val="left"/>
        <w:outlineLvl w:val="9"/>
      </w:pPr>
      <w:r>
        <w:rPr>
          <w:rFonts w:ascii="方正仿宋_GBK" w:hAnsi="方正仿宋_GBK" w:eastAsia="方正仿宋_GBK" w:cs="方正仿宋_GBK"/>
          <w:b/>
          <w:color w:val="000000"/>
          <w:sz w:val="28"/>
        </w:rPr>
        <w:t>28、县级配套/固城校区小孟小学公用经费绩效目标表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71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25001">
            <w:pPr>
              <w:pStyle w:val="11"/>
            </w:pPr>
            <w:r>
              <w:t>单位：万元</w:t>
            </w:r>
          </w:p>
        </w:tc>
      </w:tr>
      <w:tr w14:paraId="6ED23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30381">
            <w:pPr>
              <w:pStyle w:val="10"/>
            </w:pPr>
            <w:r>
              <w:t>项目编码</w:t>
            </w:r>
          </w:p>
        </w:tc>
        <w:tc>
          <w:tcPr>
            <w:tcW w:w="5103" w:type="dxa"/>
            <w:gridSpan w:val="2"/>
            <w:vAlign w:val="center"/>
          </w:tcPr>
          <w:p w14:paraId="1690FBB3">
            <w:pPr>
              <w:pStyle w:val="12"/>
            </w:pPr>
            <w:r>
              <w:t>13052526P000004104622</w:t>
            </w:r>
          </w:p>
        </w:tc>
        <w:tc>
          <w:tcPr>
            <w:tcW w:w="2835" w:type="dxa"/>
            <w:vAlign w:val="center"/>
          </w:tcPr>
          <w:p w14:paraId="1FD1D397">
            <w:pPr>
              <w:pStyle w:val="10"/>
            </w:pPr>
            <w:r>
              <w:t>项目名称</w:t>
            </w:r>
          </w:p>
        </w:tc>
        <w:tc>
          <w:tcPr>
            <w:tcW w:w="6095" w:type="dxa"/>
            <w:gridSpan w:val="3"/>
            <w:vAlign w:val="center"/>
          </w:tcPr>
          <w:p w14:paraId="02213AF6">
            <w:pPr>
              <w:pStyle w:val="12"/>
            </w:pPr>
            <w:r>
              <w:t>县级配套/固城校区小孟小学公用经费</w:t>
            </w:r>
          </w:p>
        </w:tc>
      </w:tr>
      <w:tr w14:paraId="0A678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0B930">
            <w:pPr>
              <w:pStyle w:val="10"/>
            </w:pPr>
            <w:r>
              <w:t>预算规模及资金用途</w:t>
            </w:r>
          </w:p>
        </w:tc>
        <w:tc>
          <w:tcPr>
            <w:tcW w:w="2268" w:type="dxa"/>
            <w:vAlign w:val="center"/>
          </w:tcPr>
          <w:p w14:paraId="09D38587">
            <w:pPr>
              <w:pStyle w:val="10"/>
            </w:pPr>
            <w:r>
              <w:t>预算数</w:t>
            </w:r>
          </w:p>
        </w:tc>
        <w:tc>
          <w:tcPr>
            <w:tcW w:w="2835" w:type="dxa"/>
            <w:vAlign w:val="center"/>
          </w:tcPr>
          <w:p w14:paraId="5AC63E73">
            <w:pPr>
              <w:pStyle w:val="12"/>
            </w:pPr>
            <w:r>
              <w:t>4.17</w:t>
            </w:r>
          </w:p>
        </w:tc>
        <w:tc>
          <w:tcPr>
            <w:tcW w:w="2835" w:type="dxa"/>
            <w:vAlign w:val="center"/>
          </w:tcPr>
          <w:p w14:paraId="1C6DD047">
            <w:pPr>
              <w:pStyle w:val="10"/>
            </w:pPr>
            <w:r>
              <w:t>其中：财政    资金</w:t>
            </w:r>
          </w:p>
        </w:tc>
        <w:tc>
          <w:tcPr>
            <w:tcW w:w="2551" w:type="dxa"/>
            <w:vAlign w:val="center"/>
          </w:tcPr>
          <w:p w14:paraId="45D6C66E">
            <w:pPr>
              <w:pStyle w:val="12"/>
            </w:pPr>
            <w:r>
              <w:t>4.17</w:t>
            </w:r>
          </w:p>
        </w:tc>
        <w:tc>
          <w:tcPr>
            <w:tcW w:w="2268" w:type="dxa"/>
            <w:vAlign w:val="center"/>
          </w:tcPr>
          <w:p w14:paraId="76AE7AB5">
            <w:pPr>
              <w:pStyle w:val="10"/>
            </w:pPr>
            <w:r>
              <w:t>其他资金</w:t>
            </w:r>
          </w:p>
        </w:tc>
        <w:tc>
          <w:tcPr>
            <w:tcW w:w="1276" w:type="dxa"/>
            <w:vAlign w:val="center"/>
          </w:tcPr>
          <w:p w14:paraId="5932E076">
            <w:pPr>
              <w:pStyle w:val="12"/>
            </w:pPr>
            <w:r>
              <w:t xml:space="preserve"> </w:t>
            </w:r>
          </w:p>
        </w:tc>
      </w:tr>
      <w:tr w14:paraId="605C4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05282"/>
        </w:tc>
        <w:tc>
          <w:tcPr>
            <w:tcW w:w="14033" w:type="dxa"/>
            <w:gridSpan w:val="6"/>
            <w:vAlign w:val="center"/>
          </w:tcPr>
          <w:p w14:paraId="0326A9D0">
            <w:pPr>
              <w:pStyle w:val="12"/>
            </w:pPr>
            <w:r>
              <w:t>有效完成学校教学安全秩序，保障学校教学任务有效开展，满足学校正常教学需要。</w:t>
            </w:r>
          </w:p>
        </w:tc>
      </w:tr>
      <w:tr w14:paraId="3452E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E7850">
            <w:pPr>
              <w:pStyle w:val="10"/>
            </w:pPr>
            <w:r>
              <w:t>资金支出计划（%）</w:t>
            </w:r>
          </w:p>
        </w:tc>
        <w:tc>
          <w:tcPr>
            <w:tcW w:w="5103" w:type="dxa"/>
            <w:gridSpan w:val="2"/>
            <w:vAlign w:val="center"/>
          </w:tcPr>
          <w:p w14:paraId="2BC3B6C1">
            <w:pPr>
              <w:pStyle w:val="10"/>
            </w:pPr>
            <w:r>
              <w:t>3月底</w:t>
            </w:r>
          </w:p>
        </w:tc>
        <w:tc>
          <w:tcPr>
            <w:tcW w:w="2835" w:type="dxa"/>
            <w:vAlign w:val="center"/>
          </w:tcPr>
          <w:p w14:paraId="0738F00C">
            <w:pPr>
              <w:pStyle w:val="10"/>
            </w:pPr>
            <w:r>
              <w:t>6月底</w:t>
            </w:r>
          </w:p>
        </w:tc>
        <w:tc>
          <w:tcPr>
            <w:tcW w:w="2551" w:type="dxa"/>
            <w:vAlign w:val="center"/>
          </w:tcPr>
          <w:p w14:paraId="4710A85B">
            <w:pPr>
              <w:pStyle w:val="10"/>
            </w:pPr>
            <w:r>
              <w:t>10月底</w:t>
            </w:r>
          </w:p>
        </w:tc>
        <w:tc>
          <w:tcPr>
            <w:tcW w:w="3544" w:type="dxa"/>
            <w:gridSpan w:val="2"/>
            <w:vAlign w:val="center"/>
          </w:tcPr>
          <w:p w14:paraId="230458FD">
            <w:pPr>
              <w:pStyle w:val="10"/>
            </w:pPr>
            <w:r>
              <w:t>12月底</w:t>
            </w:r>
          </w:p>
        </w:tc>
      </w:tr>
      <w:tr w14:paraId="75F54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68E83"/>
        </w:tc>
        <w:tc>
          <w:tcPr>
            <w:tcW w:w="5103" w:type="dxa"/>
            <w:gridSpan w:val="2"/>
            <w:vAlign w:val="center"/>
          </w:tcPr>
          <w:p w14:paraId="2E6FABAB">
            <w:pPr>
              <w:pStyle w:val="13"/>
            </w:pPr>
            <w:r>
              <w:t>25%</w:t>
            </w:r>
          </w:p>
        </w:tc>
        <w:tc>
          <w:tcPr>
            <w:tcW w:w="2835" w:type="dxa"/>
            <w:vAlign w:val="center"/>
          </w:tcPr>
          <w:p w14:paraId="33BA9965">
            <w:pPr>
              <w:pStyle w:val="13"/>
            </w:pPr>
            <w:r>
              <w:t>50%</w:t>
            </w:r>
          </w:p>
        </w:tc>
        <w:tc>
          <w:tcPr>
            <w:tcW w:w="2551" w:type="dxa"/>
            <w:vAlign w:val="center"/>
          </w:tcPr>
          <w:p w14:paraId="2588CEF5">
            <w:pPr>
              <w:pStyle w:val="13"/>
            </w:pPr>
            <w:r>
              <w:t>75%</w:t>
            </w:r>
          </w:p>
        </w:tc>
        <w:tc>
          <w:tcPr>
            <w:tcW w:w="3544" w:type="dxa"/>
            <w:gridSpan w:val="2"/>
            <w:vAlign w:val="center"/>
          </w:tcPr>
          <w:p w14:paraId="4C2B0615">
            <w:pPr>
              <w:pStyle w:val="13"/>
            </w:pPr>
            <w:r>
              <w:t>100%</w:t>
            </w:r>
          </w:p>
        </w:tc>
      </w:tr>
      <w:tr w14:paraId="5C6CA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2B12E">
            <w:pPr>
              <w:pStyle w:val="10"/>
            </w:pPr>
            <w:r>
              <w:t>绩效目标</w:t>
            </w:r>
          </w:p>
        </w:tc>
        <w:tc>
          <w:tcPr>
            <w:tcW w:w="14033" w:type="dxa"/>
            <w:gridSpan w:val="6"/>
            <w:vAlign w:val="center"/>
          </w:tcPr>
          <w:p w14:paraId="01389F29">
            <w:pPr>
              <w:pStyle w:val="12"/>
            </w:pPr>
            <w:r>
              <w:t>1.按规定拨付公用经费资金，预算执行率100%。</w:t>
            </w:r>
          </w:p>
          <w:p w14:paraId="3C4694EB">
            <w:pPr>
              <w:pStyle w:val="12"/>
            </w:pPr>
            <w:r>
              <w:t>2.有效完成学校教学安全秩序，保障学校教学任务有效开展，满足学校正常教学需要。</w:t>
            </w:r>
          </w:p>
        </w:tc>
      </w:tr>
    </w:tbl>
    <w:p w14:paraId="7DC9E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A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D69E8">
            <w:pPr>
              <w:pStyle w:val="10"/>
            </w:pPr>
            <w:r>
              <w:t>一级指标</w:t>
            </w:r>
          </w:p>
        </w:tc>
        <w:tc>
          <w:tcPr>
            <w:tcW w:w="2268" w:type="dxa"/>
            <w:vAlign w:val="center"/>
          </w:tcPr>
          <w:p w14:paraId="7E07EE18">
            <w:pPr>
              <w:pStyle w:val="10"/>
            </w:pPr>
            <w:r>
              <w:t>二级指标</w:t>
            </w:r>
          </w:p>
        </w:tc>
        <w:tc>
          <w:tcPr>
            <w:tcW w:w="2835" w:type="dxa"/>
            <w:vAlign w:val="center"/>
          </w:tcPr>
          <w:p w14:paraId="6A50C870">
            <w:pPr>
              <w:pStyle w:val="10"/>
            </w:pPr>
            <w:r>
              <w:t>三级指标</w:t>
            </w:r>
          </w:p>
        </w:tc>
        <w:tc>
          <w:tcPr>
            <w:tcW w:w="5386" w:type="dxa"/>
            <w:vAlign w:val="center"/>
          </w:tcPr>
          <w:p w14:paraId="42A8B481">
            <w:pPr>
              <w:pStyle w:val="10"/>
            </w:pPr>
            <w:r>
              <w:t>绩效指标描述</w:t>
            </w:r>
          </w:p>
        </w:tc>
        <w:tc>
          <w:tcPr>
            <w:tcW w:w="2268" w:type="dxa"/>
            <w:vAlign w:val="center"/>
          </w:tcPr>
          <w:p w14:paraId="756E0E12">
            <w:pPr>
              <w:pStyle w:val="10"/>
            </w:pPr>
            <w:r>
              <w:t>指标值</w:t>
            </w:r>
          </w:p>
        </w:tc>
        <w:tc>
          <w:tcPr>
            <w:tcW w:w="1276" w:type="dxa"/>
            <w:vAlign w:val="center"/>
          </w:tcPr>
          <w:p w14:paraId="58A9BF4C">
            <w:pPr>
              <w:pStyle w:val="10"/>
            </w:pPr>
            <w:r>
              <w:t>指标值确定依据</w:t>
            </w:r>
          </w:p>
        </w:tc>
      </w:tr>
      <w:tr w14:paraId="2C3F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0D4C0">
            <w:pPr>
              <w:pStyle w:val="13"/>
            </w:pPr>
            <w:r>
              <w:t>产出指标</w:t>
            </w:r>
          </w:p>
        </w:tc>
        <w:tc>
          <w:tcPr>
            <w:tcW w:w="2268" w:type="dxa"/>
            <w:vAlign w:val="center"/>
          </w:tcPr>
          <w:p w14:paraId="10D4DC97">
            <w:pPr>
              <w:pStyle w:val="12"/>
            </w:pPr>
            <w:r>
              <w:t>数量指标</w:t>
            </w:r>
          </w:p>
        </w:tc>
        <w:tc>
          <w:tcPr>
            <w:tcW w:w="2835" w:type="dxa"/>
            <w:vAlign w:val="center"/>
          </w:tcPr>
          <w:p w14:paraId="7F63B28E">
            <w:pPr>
              <w:pStyle w:val="12"/>
            </w:pPr>
            <w:r>
              <w:t>就读学生数</w:t>
            </w:r>
          </w:p>
        </w:tc>
        <w:tc>
          <w:tcPr>
            <w:tcW w:w="5386" w:type="dxa"/>
            <w:vAlign w:val="center"/>
          </w:tcPr>
          <w:p w14:paraId="60CCCFD1">
            <w:pPr>
              <w:pStyle w:val="12"/>
            </w:pPr>
            <w:r>
              <w:t>辐射区域内适龄学生人数</w:t>
            </w:r>
          </w:p>
        </w:tc>
        <w:tc>
          <w:tcPr>
            <w:tcW w:w="2268" w:type="dxa"/>
            <w:vAlign w:val="center"/>
          </w:tcPr>
          <w:p w14:paraId="0900F9BC">
            <w:pPr>
              <w:pStyle w:val="12"/>
            </w:pPr>
            <w:r>
              <w:t>449人</w:t>
            </w:r>
          </w:p>
        </w:tc>
        <w:tc>
          <w:tcPr>
            <w:tcW w:w="1276" w:type="dxa"/>
            <w:vAlign w:val="center"/>
          </w:tcPr>
          <w:p w14:paraId="79E53FB3">
            <w:pPr>
              <w:pStyle w:val="12"/>
            </w:pPr>
            <w:r>
              <w:t>城乡义务教育公用经费管理办法</w:t>
            </w:r>
          </w:p>
        </w:tc>
      </w:tr>
      <w:tr w14:paraId="10CDD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9B2E"/>
        </w:tc>
        <w:tc>
          <w:tcPr>
            <w:tcW w:w="2268" w:type="dxa"/>
            <w:vAlign w:val="center"/>
          </w:tcPr>
          <w:p w14:paraId="47A2DED6">
            <w:pPr>
              <w:pStyle w:val="12"/>
            </w:pPr>
            <w:r>
              <w:t>质量指标</w:t>
            </w:r>
          </w:p>
        </w:tc>
        <w:tc>
          <w:tcPr>
            <w:tcW w:w="2835" w:type="dxa"/>
            <w:vAlign w:val="center"/>
          </w:tcPr>
          <w:p w14:paraId="74109EE8">
            <w:pPr>
              <w:pStyle w:val="12"/>
            </w:pPr>
            <w:r>
              <w:t>预算执行率</w:t>
            </w:r>
          </w:p>
        </w:tc>
        <w:tc>
          <w:tcPr>
            <w:tcW w:w="5386" w:type="dxa"/>
            <w:vAlign w:val="center"/>
          </w:tcPr>
          <w:p w14:paraId="57248F29">
            <w:pPr>
              <w:pStyle w:val="12"/>
            </w:pPr>
            <w:r>
              <w:t>预算执行率</w:t>
            </w:r>
          </w:p>
        </w:tc>
        <w:tc>
          <w:tcPr>
            <w:tcW w:w="2268" w:type="dxa"/>
            <w:vAlign w:val="center"/>
          </w:tcPr>
          <w:p w14:paraId="535690A1">
            <w:pPr>
              <w:pStyle w:val="12"/>
            </w:pPr>
            <w:r>
              <w:t>≥98%</w:t>
            </w:r>
          </w:p>
        </w:tc>
        <w:tc>
          <w:tcPr>
            <w:tcW w:w="1276" w:type="dxa"/>
            <w:vAlign w:val="center"/>
          </w:tcPr>
          <w:p w14:paraId="01F295C4">
            <w:pPr>
              <w:pStyle w:val="12"/>
            </w:pPr>
            <w:r>
              <w:t>城乡义务教育公用经费管理办法</w:t>
            </w:r>
          </w:p>
        </w:tc>
      </w:tr>
      <w:tr w14:paraId="1872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D02E7"/>
        </w:tc>
        <w:tc>
          <w:tcPr>
            <w:tcW w:w="2268" w:type="dxa"/>
            <w:vAlign w:val="center"/>
          </w:tcPr>
          <w:p w14:paraId="44338087">
            <w:pPr>
              <w:pStyle w:val="12"/>
            </w:pPr>
            <w:r>
              <w:t>时效指标</w:t>
            </w:r>
          </w:p>
        </w:tc>
        <w:tc>
          <w:tcPr>
            <w:tcW w:w="2835" w:type="dxa"/>
            <w:vAlign w:val="center"/>
          </w:tcPr>
          <w:p w14:paraId="752D5C77">
            <w:pPr>
              <w:pStyle w:val="12"/>
            </w:pPr>
            <w:r>
              <w:t>义教经费支付完成率</w:t>
            </w:r>
          </w:p>
        </w:tc>
        <w:tc>
          <w:tcPr>
            <w:tcW w:w="5386" w:type="dxa"/>
            <w:vAlign w:val="center"/>
          </w:tcPr>
          <w:p w14:paraId="5B914F29">
            <w:pPr>
              <w:pStyle w:val="12"/>
            </w:pPr>
            <w:r>
              <w:t>按照序时进度完成资金支付</w:t>
            </w:r>
          </w:p>
        </w:tc>
        <w:tc>
          <w:tcPr>
            <w:tcW w:w="2268" w:type="dxa"/>
            <w:vAlign w:val="center"/>
          </w:tcPr>
          <w:p w14:paraId="63256EA5">
            <w:pPr>
              <w:pStyle w:val="12"/>
            </w:pPr>
            <w:r>
              <w:t>100%</w:t>
            </w:r>
          </w:p>
        </w:tc>
        <w:tc>
          <w:tcPr>
            <w:tcW w:w="1276" w:type="dxa"/>
            <w:vAlign w:val="center"/>
          </w:tcPr>
          <w:p w14:paraId="3F044AAA">
            <w:pPr>
              <w:pStyle w:val="12"/>
            </w:pPr>
            <w:r>
              <w:t>城乡义务教育公用经费管理办法</w:t>
            </w:r>
          </w:p>
        </w:tc>
      </w:tr>
      <w:tr w14:paraId="6519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F928F"/>
        </w:tc>
        <w:tc>
          <w:tcPr>
            <w:tcW w:w="2268" w:type="dxa"/>
            <w:vAlign w:val="center"/>
          </w:tcPr>
          <w:p w14:paraId="6A98F72E">
            <w:pPr>
              <w:pStyle w:val="12"/>
            </w:pPr>
            <w:r>
              <w:t>成本指标</w:t>
            </w:r>
          </w:p>
        </w:tc>
        <w:tc>
          <w:tcPr>
            <w:tcW w:w="2835" w:type="dxa"/>
            <w:vAlign w:val="center"/>
          </w:tcPr>
          <w:p w14:paraId="28D6C858">
            <w:pPr>
              <w:pStyle w:val="12"/>
            </w:pPr>
            <w:r>
              <w:t>生均拨款标准</w:t>
            </w:r>
          </w:p>
        </w:tc>
        <w:tc>
          <w:tcPr>
            <w:tcW w:w="5386" w:type="dxa"/>
            <w:vAlign w:val="center"/>
          </w:tcPr>
          <w:p w14:paraId="3F7BABFB">
            <w:pPr>
              <w:pStyle w:val="12"/>
            </w:pPr>
            <w:r>
              <w:t>小学：（基本标准720元、寄宿生300元、生活补助120元）/生/学年；特教、随班就读学生：标准7000元/生/学年</w:t>
            </w:r>
          </w:p>
        </w:tc>
        <w:tc>
          <w:tcPr>
            <w:tcW w:w="2268" w:type="dxa"/>
            <w:vAlign w:val="center"/>
          </w:tcPr>
          <w:p w14:paraId="00350040">
            <w:pPr>
              <w:pStyle w:val="12"/>
            </w:pPr>
            <w:r>
              <w:t>840元</w:t>
            </w:r>
          </w:p>
        </w:tc>
        <w:tc>
          <w:tcPr>
            <w:tcW w:w="1276" w:type="dxa"/>
            <w:vAlign w:val="center"/>
          </w:tcPr>
          <w:p w14:paraId="25745A5A">
            <w:pPr>
              <w:pStyle w:val="12"/>
            </w:pPr>
            <w:r>
              <w:t>城乡义务教育公用经费管理办法</w:t>
            </w:r>
          </w:p>
        </w:tc>
      </w:tr>
      <w:tr w14:paraId="355DC212">
        <w:tblPrEx>
          <w:tblCellMar>
            <w:top w:w="0" w:type="dxa"/>
            <w:left w:w="108" w:type="dxa"/>
            <w:bottom w:w="0" w:type="dxa"/>
            <w:right w:w="108" w:type="dxa"/>
          </w:tblCellMar>
        </w:tblPrEx>
        <w:trPr>
          <w:trHeight w:val="397" w:hRule="atLeast"/>
          <w:jc w:val="center"/>
        </w:trPr>
        <w:tc>
          <w:tcPr>
            <w:tcW w:w="1276" w:type="dxa"/>
            <w:vAlign w:val="center"/>
          </w:tcPr>
          <w:p w14:paraId="1975BCC4">
            <w:pPr>
              <w:pStyle w:val="13"/>
            </w:pPr>
            <w:r>
              <w:t>效益指标</w:t>
            </w:r>
          </w:p>
        </w:tc>
        <w:tc>
          <w:tcPr>
            <w:tcW w:w="2268" w:type="dxa"/>
            <w:vAlign w:val="center"/>
          </w:tcPr>
          <w:p w14:paraId="26AD7611">
            <w:pPr>
              <w:pStyle w:val="12"/>
            </w:pPr>
            <w:r>
              <w:t>社会效益指标</w:t>
            </w:r>
          </w:p>
        </w:tc>
        <w:tc>
          <w:tcPr>
            <w:tcW w:w="2835" w:type="dxa"/>
            <w:vAlign w:val="center"/>
          </w:tcPr>
          <w:p w14:paraId="23EF92A6">
            <w:pPr>
              <w:pStyle w:val="12"/>
            </w:pPr>
            <w:r>
              <w:t>学校稳定率</w:t>
            </w:r>
          </w:p>
        </w:tc>
        <w:tc>
          <w:tcPr>
            <w:tcW w:w="5386" w:type="dxa"/>
            <w:vAlign w:val="center"/>
          </w:tcPr>
          <w:p w14:paraId="33979146">
            <w:pPr>
              <w:pStyle w:val="12"/>
            </w:pPr>
            <w:r>
              <w:t>维护学校稳定，保障学校正常教学秩序有效开展</w:t>
            </w:r>
          </w:p>
        </w:tc>
        <w:tc>
          <w:tcPr>
            <w:tcW w:w="2268" w:type="dxa"/>
            <w:vAlign w:val="center"/>
          </w:tcPr>
          <w:p w14:paraId="3213F10F">
            <w:pPr>
              <w:pStyle w:val="12"/>
            </w:pPr>
            <w:r>
              <w:t>100%</w:t>
            </w:r>
          </w:p>
        </w:tc>
        <w:tc>
          <w:tcPr>
            <w:tcW w:w="1276" w:type="dxa"/>
            <w:vAlign w:val="center"/>
          </w:tcPr>
          <w:p w14:paraId="532B2A32">
            <w:pPr>
              <w:pStyle w:val="12"/>
            </w:pPr>
            <w:r>
              <w:t>城乡义务教育公用经费管理办法</w:t>
            </w:r>
          </w:p>
        </w:tc>
      </w:tr>
      <w:tr w14:paraId="1963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46F0D">
            <w:pPr>
              <w:pStyle w:val="13"/>
            </w:pPr>
            <w:r>
              <w:t>满意度指标</w:t>
            </w:r>
          </w:p>
        </w:tc>
        <w:tc>
          <w:tcPr>
            <w:tcW w:w="2268" w:type="dxa"/>
            <w:vAlign w:val="center"/>
          </w:tcPr>
          <w:p w14:paraId="7FB8D6CE">
            <w:pPr>
              <w:pStyle w:val="12"/>
            </w:pPr>
            <w:r>
              <w:t>服务对象满意度指标</w:t>
            </w:r>
          </w:p>
        </w:tc>
        <w:tc>
          <w:tcPr>
            <w:tcW w:w="2835" w:type="dxa"/>
            <w:vAlign w:val="center"/>
          </w:tcPr>
          <w:p w14:paraId="374C1D46">
            <w:pPr>
              <w:pStyle w:val="12"/>
            </w:pPr>
            <w:r>
              <w:t>家长和学生满意度</w:t>
            </w:r>
          </w:p>
        </w:tc>
        <w:tc>
          <w:tcPr>
            <w:tcW w:w="5386" w:type="dxa"/>
            <w:vAlign w:val="center"/>
          </w:tcPr>
          <w:p w14:paraId="296F7723">
            <w:pPr>
              <w:pStyle w:val="12"/>
            </w:pPr>
            <w:r>
              <w:t>家长和学生满意度</w:t>
            </w:r>
          </w:p>
        </w:tc>
        <w:tc>
          <w:tcPr>
            <w:tcW w:w="2268" w:type="dxa"/>
            <w:vAlign w:val="center"/>
          </w:tcPr>
          <w:p w14:paraId="753DFC57">
            <w:pPr>
              <w:pStyle w:val="12"/>
            </w:pPr>
            <w:r>
              <w:t>≥95%</w:t>
            </w:r>
          </w:p>
        </w:tc>
        <w:tc>
          <w:tcPr>
            <w:tcW w:w="1276" w:type="dxa"/>
            <w:vAlign w:val="center"/>
          </w:tcPr>
          <w:p w14:paraId="604F7689">
            <w:pPr>
              <w:pStyle w:val="12"/>
            </w:pPr>
            <w:r>
              <w:t>问卷调查</w:t>
            </w:r>
          </w:p>
        </w:tc>
      </w:tr>
    </w:tbl>
    <w:p w14:paraId="60DF99A9">
      <w:pPr>
        <w:sectPr>
          <w:pgSz w:w="16840" w:h="11900" w:orient="landscape"/>
          <w:pgMar w:top="1361" w:right="1020" w:bottom="1134" w:left="1020" w:header="720" w:footer="720" w:gutter="0"/>
          <w:cols w:space="720" w:num="1"/>
        </w:sectPr>
      </w:pPr>
    </w:p>
    <w:p w14:paraId="03614F5B">
      <w:pPr>
        <w:spacing w:before="0" w:after="0"/>
        <w:ind w:firstLine="560"/>
        <w:jc w:val="left"/>
        <w:outlineLvl w:val="9"/>
      </w:pPr>
      <w:r>
        <w:rPr>
          <w:rFonts w:ascii="方正仿宋_GBK" w:hAnsi="方正仿宋_GBK" w:eastAsia="方正仿宋_GBK" w:cs="方正仿宋_GBK"/>
          <w:b/>
          <w:color w:val="000000"/>
          <w:sz w:val="28"/>
        </w:rPr>
        <w:t>29、县级配套/固城校区学前教育幼儿资助绩效目标表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57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31C96">
            <w:pPr>
              <w:pStyle w:val="11"/>
            </w:pPr>
            <w:r>
              <w:t>单位：万元</w:t>
            </w:r>
          </w:p>
        </w:tc>
      </w:tr>
      <w:tr w14:paraId="6582F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1FD54">
            <w:pPr>
              <w:pStyle w:val="10"/>
            </w:pPr>
            <w:r>
              <w:t>项目编码</w:t>
            </w:r>
          </w:p>
        </w:tc>
        <w:tc>
          <w:tcPr>
            <w:tcW w:w="5103" w:type="dxa"/>
            <w:gridSpan w:val="2"/>
            <w:vAlign w:val="center"/>
          </w:tcPr>
          <w:p w14:paraId="2B3ED654">
            <w:pPr>
              <w:pStyle w:val="12"/>
            </w:pPr>
            <w:r>
              <w:t>13052526P00000210087B</w:t>
            </w:r>
          </w:p>
        </w:tc>
        <w:tc>
          <w:tcPr>
            <w:tcW w:w="2835" w:type="dxa"/>
            <w:vAlign w:val="center"/>
          </w:tcPr>
          <w:p w14:paraId="30118C70">
            <w:pPr>
              <w:pStyle w:val="10"/>
            </w:pPr>
            <w:r>
              <w:t>项目名称</w:t>
            </w:r>
          </w:p>
        </w:tc>
        <w:tc>
          <w:tcPr>
            <w:tcW w:w="6095" w:type="dxa"/>
            <w:gridSpan w:val="3"/>
            <w:vAlign w:val="center"/>
          </w:tcPr>
          <w:p w14:paraId="11E6ADB0">
            <w:pPr>
              <w:pStyle w:val="12"/>
            </w:pPr>
            <w:r>
              <w:t>县级配套/固城校区学前教育幼儿资助</w:t>
            </w:r>
          </w:p>
        </w:tc>
      </w:tr>
      <w:tr w14:paraId="0A157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7B36D">
            <w:pPr>
              <w:pStyle w:val="10"/>
            </w:pPr>
            <w:r>
              <w:t>预算规模及资金用途</w:t>
            </w:r>
          </w:p>
        </w:tc>
        <w:tc>
          <w:tcPr>
            <w:tcW w:w="2268" w:type="dxa"/>
            <w:vAlign w:val="center"/>
          </w:tcPr>
          <w:p w14:paraId="7AA69A93">
            <w:pPr>
              <w:pStyle w:val="10"/>
            </w:pPr>
            <w:r>
              <w:t>预算数</w:t>
            </w:r>
          </w:p>
        </w:tc>
        <w:tc>
          <w:tcPr>
            <w:tcW w:w="2835" w:type="dxa"/>
            <w:vAlign w:val="center"/>
          </w:tcPr>
          <w:p w14:paraId="7747DF50">
            <w:pPr>
              <w:pStyle w:val="12"/>
            </w:pPr>
            <w:r>
              <w:t>1.28</w:t>
            </w:r>
          </w:p>
        </w:tc>
        <w:tc>
          <w:tcPr>
            <w:tcW w:w="2835" w:type="dxa"/>
            <w:vAlign w:val="center"/>
          </w:tcPr>
          <w:p w14:paraId="77DB4F17">
            <w:pPr>
              <w:pStyle w:val="10"/>
            </w:pPr>
            <w:r>
              <w:t>其中：财政    资金</w:t>
            </w:r>
          </w:p>
        </w:tc>
        <w:tc>
          <w:tcPr>
            <w:tcW w:w="2551" w:type="dxa"/>
            <w:vAlign w:val="center"/>
          </w:tcPr>
          <w:p w14:paraId="034DD4C5">
            <w:pPr>
              <w:pStyle w:val="12"/>
            </w:pPr>
            <w:r>
              <w:t>1.28</w:t>
            </w:r>
          </w:p>
        </w:tc>
        <w:tc>
          <w:tcPr>
            <w:tcW w:w="2268" w:type="dxa"/>
            <w:vAlign w:val="center"/>
          </w:tcPr>
          <w:p w14:paraId="44084CDA">
            <w:pPr>
              <w:pStyle w:val="10"/>
            </w:pPr>
            <w:r>
              <w:t>其他资金</w:t>
            </w:r>
          </w:p>
        </w:tc>
        <w:tc>
          <w:tcPr>
            <w:tcW w:w="1276" w:type="dxa"/>
            <w:vAlign w:val="center"/>
          </w:tcPr>
          <w:p w14:paraId="446812F4">
            <w:pPr>
              <w:pStyle w:val="12"/>
            </w:pPr>
            <w:r>
              <w:t xml:space="preserve"> </w:t>
            </w:r>
          </w:p>
        </w:tc>
      </w:tr>
      <w:tr w14:paraId="50E59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0F4A7"/>
        </w:tc>
        <w:tc>
          <w:tcPr>
            <w:tcW w:w="14033" w:type="dxa"/>
            <w:gridSpan w:val="6"/>
            <w:vAlign w:val="center"/>
          </w:tcPr>
          <w:p w14:paraId="5069CC3D">
            <w:pPr>
              <w:pStyle w:val="12"/>
            </w:pPr>
            <w:r>
              <w:t>保证本年度资助经费足额落实到位，符合享受资助条件的学生应助尽助。</w:t>
            </w:r>
          </w:p>
        </w:tc>
      </w:tr>
      <w:tr w14:paraId="5892C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7518D">
            <w:pPr>
              <w:pStyle w:val="10"/>
            </w:pPr>
            <w:r>
              <w:t>资金支出计划（%）</w:t>
            </w:r>
          </w:p>
        </w:tc>
        <w:tc>
          <w:tcPr>
            <w:tcW w:w="5103" w:type="dxa"/>
            <w:gridSpan w:val="2"/>
            <w:vAlign w:val="center"/>
          </w:tcPr>
          <w:p w14:paraId="35BBD527">
            <w:pPr>
              <w:pStyle w:val="10"/>
            </w:pPr>
            <w:r>
              <w:t>3月底</w:t>
            </w:r>
          </w:p>
        </w:tc>
        <w:tc>
          <w:tcPr>
            <w:tcW w:w="2835" w:type="dxa"/>
            <w:vAlign w:val="center"/>
          </w:tcPr>
          <w:p w14:paraId="4FE69BB5">
            <w:pPr>
              <w:pStyle w:val="10"/>
            </w:pPr>
            <w:r>
              <w:t>6月底</w:t>
            </w:r>
          </w:p>
        </w:tc>
        <w:tc>
          <w:tcPr>
            <w:tcW w:w="2551" w:type="dxa"/>
            <w:vAlign w:val="center"/>
          </w:tcPr>
          <w:p w14:paraId="2EDEF4CC">
            <w:pPr>
              <w:pStyle w:val="10"/>
            </w:pPr>
            <w:r>
              <w:t>10月底</w:t>
            </w:r>
          </w:p>
        </w:tc>
        <w:tc>
          <w:tcPr>
            <w:tcW w:w="3544" w:type="dxa"/>
            <w:gridSpan w:val="2"/>
            <w:vAlign w:val="center"/>
          </w:tcPr>
          <w:p w14:paraId="4C81582F">
            <w:pPr>
              <w:pStyle w:val="10"/>
            </w:pPr>
            <w:r>
              <w:t>12月底</w:t>
            </w:r>
          </w:p>
        </w:tc>
      </w:tr>
      <w:tr w14:paraId="4B079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5C8A1"/>
        </w:tc>
        <w:tc>
          <w:tcPr>
            <w:tcW w:w="5103" w:type="dxa"/>
            <w:gridSpan w:val="2"/>
            <w:vAlign w:val="center"/>
          </w:tcPr>
          <w:p w14:paraId="23779856">
            <w:pPr>
              <w:pStyle w:val="13"/>
            </w:pPr>
            <w:r>
              <w:t>25%</w:t>
            </w:r>
          </w:p>
        </w:tc>
        <w:tc>
          <w:tcPr>
            <w:tcW w:w="2835" w:type="dxa"/>
            <w:vAlign w:val="center"/>
          </w:tcPr>
          <w:p w14:paraId="3838F969">
            <w:pPr>
              <w:pStyle w:val="13"/>
            </w:pPr>
            <w:r>
              <w:t>50%</w:t>
            </w:r>
          </w:p>
        </w:tc>
        <w:tc>
          <w:tcPr>
            <w:tcW w:w="2551" w:type="dxa"/>
            <w:vAlign w:val="center"/>
          </w:tcPr>
          <w:p w14:paraId="729B758F">
            <w:pPr>
              <w:pStyle w:val="13"/>
            </w:pPr>
            <w:r>
              <w:t>75%</w:t>
            </w:r>
          </w:p>
        </w:tc>
        <w:tc>
          <w:tcPr>
            <w:tcW w:w="3544" w:type="dxa"/>
            <w:gridSpan w:val="2"/>
            <w:vAlign w:val="center"/>
          </w:tcPr>
          <w:p w14:paraId="04554D1C">
            <w:pPr>
              <w:pStyle w:val="13"/>
            </w:pPr>
            <w:r>
              <w:t>100%</w:t>
            </w:r>
          </w:p>
        </w:tc>
      </w:tr>
      <w:tr w14:paraId="5ABB7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E5103">
            <w:pPr>
              <w:pStyle w:val="10"/>
            </w:pPr>
            <w:r>
              <w:t>绩效目标</w:t>
            </w:r>
          </w:p>
        </w:tc>
        <w:tc>
          <w:tcPr>
            <w:tcW w:w="14033" w:type="dxa"/>
            <w:gridSpan w:val="6"/>
            <w:vAlign w:val="center"/>
          </w:tcPr>
          <w:p w14:paraId="230078E2">
            <w:pPr>
              <w:pStyle w:val="12"/>
            </w:pPr>
            <w:r>
              <w:t>1.保证本年度资助经费足额落实到位，符合享受资助条件的学生应助尽助。</w:t>
            </w:r>
          </w:p>
          <w:p w14:paraId="24A8A794">
            <w:pPr>
              <w:pStyle w:val="12"/>
            </w:pPr>
            <w:r>
              <w:t>2.保障落实建档立卡及家庭经济困难儿童资助所需资金，确保建档立卡等家庭经济困难幼儿优先获得资助</w:t>
            </w:r>
          </w:p>
        </w:tc>
      </w:tr>
    </w:tbl>
    <w:p w14:paraId="32BDE8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F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58F678D">
            <w:pPr>
              <w:pStyle w:val="10"/>
            </w:pPr>
            <w:r>
              <w:t>一级指标</w:t>
            </w:r>
          </w:p>
        </w:tc>
        <w:tc>
          <w:tcPr>
            <w:tcW w:w="2268" w:type="dxa"/>
            <w:vAlign w:val="center"/>
          </w:tcPr>
          <w:p w14:paraId="46A54DE0">
            <w:pPr>
              <w:pStyle w:val="10"/>
            </w:pPr>
            <w:r>
              <w:t>二级指标</w:t>
            </w:r>
          </w:p>
        </w:tc>
        <w:tc>
          <w:tcPr>
            <w:tcW w:w="2835" w:type="dxa"/>
            <w:vAlign w:val="center"/>
          </w:tcPr>
          <w:p w14:paraId="4E47CD4A">
            <w:pPr>
              <w:pStyle w:val="10"/>
            </w:pPr>
            <w:r>
              <w:t>三级指标</w:t>
            </w:r>
          </w:p>
        </w:tc>
        <w:tc>
          <w:tcPr>
            <w:tcW w:w="5386" w:type="dxa"/>
            <w:vAlign w:val="center"/>
          </w:tcPr>
          <w:p w14:paraId="66DE5EB6">
            <w:pPr>
              <w:pStyle w:val="10"/>
            </w:pPr>
            <w:r>
              <w:t>绩效指标描述</w:t>
            </w:r>
          </w:p>
        </w:tc>
        <w:tc>
          <w:tcPr>
            <w:tcW w:w="2268" w:type="dxa"/>
            <w:vAlign w:val="center"/>
          </w:tcPr>
          <w:p w14:paraId="0B73181F">
            <w:pPr>
              <w:pStyle w:val="10"/>
            </w:pPr>
            <w:r>
              <w:t>指标值</w:t>
            </w:r>
          </w:p>
        </w:tc>
        <w:tc>
          <w:tcPr>
            <w:tcW w:w="1276" w:type="dxa"/>
            <w:vAlign w:val="center"/>
          </w:tcPr>
          <w:p w14:paraId="17D7CB2D">
            <w:pPr>
              <w:pStyle w:val="10"/>
            </w:pPr>
            <w:r>
              <w:t>指标值确定依据</w:t>
            </w:r>
          </w:p>
        </w:tc>
      </w:tr>
      <w:tr w14:paraId="3385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B0665">
            <w:pPr>
              <w:pStyle w:val="13"/>
            </w:pPr>
            <w:r>
              <w:t>产出指标</w:t>
            </w:r>
          </w:p>
        </w:tc>
        <w:tc>
          <w:tcPr>
            <w:tcW w:w="2268" w:type="dxa"/>
            <w:vAlign w:val="center"/>
          </w:tcPr>
          <w:p w14:paraId="0CE0F3CB">
            <w:pPr>
              <w:pStyle w:val="12"/>
            </w:pPr>
            <w:r>
              <w:t>数量指标</w:t>
            </w:r>
          </w:p>
        </w:tc>
        <w:tc>
          <w:tcPr>
            <w:tcW w:w="2835" w:type="dxa"/>
            <w:vAlign w:val="center"/>
          </w:tcPr>
          <w:p w14:paraId="0BFE4888">
            <w:pPr>
              <w:pStyle w:val="12"/>
            </w:pPr>
            <w:r>
              <w:t>幼儿资助比例</w:t>
            </w:r>
          </w:p>
        </w:tc>
        <w:tc>
          <w:tcPr>
            <w:tcW w:w="5386" w:type="dxa"/>
            <w:vAlign w:val="center"/>
          </w:tcPr>
          <w:p w14:paraId="6CD65945">
            <w:pPr>
              <w:pStyle w:val="12"/>
            </w:pPr>
            <w:r>
              <w:t>按学前适龄在园儿童10%测算</w:t>
            </w:r>
          </w:p>
        </w:tc>
        <w:tc>
          <w:tcPr>
            <w:tcW w:w="2268" w:type="dxa"/>
            <w:vAlign w:val="center"/>
          </w:tcPr>
          <w:p w14:paraId="1FD63A58">
            <w:pPr>
              <w:pStyle w:val="12"/>
            </w:pPr>
            <w:r>
              <w:t>≥10%</w:t>
            </w:r>
          </w:p>
        </w:tc>
        <w:tc>
          <w:tcPr>
            <w:tcW w:w="1276" w:type="dxa"/>
            <w:vAlign w:val="center"/>
          </w:tcPr>
          <w:p w14:paraId="3416D722">
            <w:pPr>
              <w:pStyle w:val="12"/>
            </w:pPr>
            <w:r>
              <w:t>幼儿资助经费管理办法</w:t>
            </w:r>
          </w:p>
        </w:tc>
      </w:tr>
      <w:tr w14:paraId="005F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B3820"/>
        </w:tc>
        <w:tc>
          <w:tcPr>
            <w:tcW w:w="2268" w:type="dxa"/>
            <w:vAlign w:val="center"/>
          </w:tcPr>
          <w:p w14:paraId="5A25DA62">
            <w:pPr>
              <w:pStyle w:val="12"/>
            </w:pPr>
            <w:r>
              <w:t>质量指标</w:t>
            </w:r>
          </w:p>
        </w:tc>
        <w:tc>
          <w:tcPr>
            <w:tcW w:w="2835" w:type="dxa"/>
            <w:vAlign w:val="center"/>
          </w:tcPr>
          <w:p w14:paraId="7E76FB48">
            <w:pPr>
              <w:pStyle w:val="12"/>
            </w:pPr>
            <w:r>
              <w:t>学前教育资助制度落实情况</w:t>
            </w:r>
          </w:p>
        </w:tc>
        <w:tc>
          <w:tcPr>
            <w:tcW w:w="5386" w:type="dxa"/>
            <w:vAlign w:val="center"/>
          </w:tcPr>
          <w:p w14:paraId="223F3513">
            <w:pPr>
              <w:pStyle w:val="12"/>
            </w:pPr>
            <w:r>
              <w:t>符合享受资助条件的学生应助尽助</w:t>
            </w:r>
          </w:p>
        </w:tc>
        <w:tc>
          <w:tcPr>
            <w:tcW w:w="2268" w:type="dxa"/>
            <w:vAlign w:val="center"/>
          </w:tcPr>
          <w:p w14:paraId="314DBF4D">
            <w:pPr>
              <w:pStyle w:val="12"/>
            </w:pPr>
            <w:r>
              <w:t>100%</w:t>
            </w:r>
          </w:p>
        </w:tc>
        <w:tc>
          <w:tcPr>
            <w:tcW w:w="1276" w:type="dxa"/>
            <w:vAlign w:val="center"/>
          </w:tcPr>
          <w:p w14:paraId="2A8F6BEA">
            <w:pPr>
              <w:pStyle w:val="12"/>
            </w:pPr>
            <w:r>
              <w:t>幼儿资助经费管理办法</w:t>
            </w:r>
          </w:p>
        </w:tc>
      </w:tr>
      <w:tr w14:paraId="5CD2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84EC5"/>
        </w:tc>
        <w:tc>
          <w:tcPr>
            <w:tcW w:w="2268" w:type="dxa"/>
            <w:vAlign w:val="center"/>
          </w:tcPr>
          <w:p w14:paraId="1D6E93C0">
            <w:pPr>
              <w:pStyle w:val="12"/>
            </w:pPr>
            <w:r>
              <w:t>时效指标</w:t>
            </w:r>
          </w:p>
        </w:tc>
        <w:tc>
          <w:tcPr>
            <w:tcW w:w="2835" w:type="dxa"/>
            <w:vAlign w:val="center"/>
          </w:tcPr>
          <w:p w14:paraId="43FE5FC5">
            <w:pPr>
              <w:pStyle w:val="12"/>
            </w:pPr>
            <w:r>
              <w:t>资金拨付率</w:t>
            </w:r>
          </w:p>
        </w:tc>
        <w:tc>
          <w:tcPr>
            <w:tcW w:w="5386" w:type="dxa"/>
            <w:vAlign w:val="center"/>
          </w:tcPr>
          <w:p w14:paraId="25B1A7A0">
            <w:pPr>
              <w:pStyle w:val="12"/>
            </w:pPr>
            <w:r>
              <w:t>所有项目资金支付进度</w:t>
            </w:r>
          </w:p>
        </w:tc>
        <w:tc>
          <w:tcPr>
            <w:tcW w:w="2268" w:type="dxa"/>
            <w:vAlign w:val="center"/>
          </w:tcPr>
          <w:p w14:paraId="515844E7">
            <w:pPr>
              <w:pStyle w:val="12"/>
            </w:pPr>
            <w:r>
              <w:t>100%</w:t>
            </w:r>
          </w:p>
        </w:tc>
        <w:tc>
          <w:tcPr>
            <w:tcW w:w="1276" w:type="dxa"/>
            <w:vAlign w:val="center"/>
          </w:tcPr>
          <w:p w14:paraId="4745A154">
            <w:pPr>
              <w:pStyle w:val="12"/>
            </w:pPr>
            <w:r>
              <w:t>幼儿资助经费管理办法</w:t>
            </w:r>
          </w:p>
        </w:tc>
      </w:tr>
      <w:tr w14:paraId="6262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BF5D9"/>
        </w:tc>
        <w:tc>
          <w:tcPr>
            <w:tcW w:w="2268" w:type="dxa"/>
            <w:vAlign w:val="center"/>
          </w:tcPr>
          <w:p w14:paraId="60562AFF">
            <w:pPr>
              <w:pStyle w:val="12"/>
            </w:pPr>
            <w:r>
              <w:t>成本指标</w:t>
            </w:r>
          </w:p>
        </w:tc>
        <w:tc>
          <w:tcPr>
            <w:tcW w:w="2835" w:type="dxa"/>
            <w:vAlign w:val="center"/>
          </w:tcPr>
          <w:p w14:paraId="09476F7B">
            <w:pPr>
              <w:pStyle w:val="12"/>
            </w:pPr>
            <w:r>
              <w:t>幼儿园资助标准</w:t>
            </w:r>
          </w:p>
        </w:tc>
        <w:tc>
          <w:tcPr>
            <w:tcW w:w="5386" w:type="dxa"/>
            <w:vAlign w:val="center"/>
          </w:tcPr>
          <w:p w14:paraId="54AF9158">
            <w:pPr>
              <w:pStyle w:val="12"/>
            </w:pPr>
            <w:r>
              <w:t>按照幼儿园资助标准1000元/生/年</w:t>
            </w:r>
          </w:p>
        </w:tc>
        <w:tc>
          <w:tcPr>
            <w:tcW w:w="2268" w:type="dxa"/>
            <w:vAlign w:val="center"/>
          </w:tcPr>
          <w:p w14:paraId="76FDE25D">
            <w:pPr>
              <w:pStyle w:val="12"/>
            </w:pPr>
            <w:r>
              <w:t>12800元</w:t>
            </w:r>
          </w:p>
        </w:tc>
        <w:tc>
          <w:tcPr>
            <w:tcW w:w="1276" w:type="dxa"/>
            <w:vAlign w:val="center"/>
          </w:tcPr>
          <w:p w14:paraId="3D353C3D">
            <w:pPr>
              <w:pStyle w:val="12"/>
            </w:pPr>
            <w:r>
              <w:t>幼儿资助经费管理办法</w:t>
            </w:r>
          </w:p>
        </w:tc>
      </w:tr>
      <w:tr w14:paraId="2B33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153B8">
            <w:pPr>
              <w:pStyle w:val="13"/>
            </w:pPr>
            <w:r>
              <w:t>效益指标</w:t>
            </w:r>
          </w:p>
        </w:tc>
        <w:tc>
          <w:tcPr>
            <w:tcW w:w="2268" w:type="dxa"/>
            <w:vAlign w:val="center"/>
          </w:tcPr>
          <w:p w14:paraId="7E3DA2BE">
            <w:pPr>
              <w:pStyle w:val="12"/>
            </w:pPr>
            <w:r>
              <w:t>可持续影响指标</w:t>
            </w:r>
          </w:p>
        </w:tc>
        <w:tc>
          <w:tcPr>
            <w:tcW w:w="2835" w:type="dxa"/>
            <w:vAlign w:val="center"/>
          </w:tcPr>
          <w:p w14:paraId="5977FA0A">
            <w:pPr>
              <w:pStyle w:val="12"/>
            </w:pPr>
            <w:r>
              <w:t>幼儿园运转</w:t>
            </w:r>
          </w:p>
        </w:tc>
        <w:tc>
          <w:tcPr>
            <w:tcW w:w="5386" w:type="dxa"/>
            <w:vAlign w:val="center"/>
          </w:tcPr>
          <w:p w14:paraId="03BA5E84">
            <w:pPr>
              <w:pStyle w:val="12"/>
            </w:pPr>
            <w:r>
              <w:t>幼儿受教育年限</w:t>
            </w:r>
          </w:p>
        </w:tc>
        <w:tc>
          <w:tcPr>
            <w:tcW w:w="2268" w:type="dxa"/>
            <w:vAlign w:val="center"/>
          </w:tcPr>
          <w:p w14:paraId="5B0D78C6">
            <w:pPr>
              <w:pStyle w:val="12"/>
            </w:pPr>
            <w:r>
              <w:t>3年</w:t>
            </w:r>
          </w:p>
        </w:tc>
        <w:tc>
          <w:tcPr>
            <w:tcW w:w="1276" w:type="dxa"/>
            <w:vAlign w:val="center"/>
          </w:tcPr>
          <w:p w14:paraId="0C9045DD">
            <w:pPr>
              <w:pStyle w:val="12"/>
            </w:pPr>
            <w:r>
              <w:t>幼儿资助经费管理办法</w:t>
            </w:r>
          </w:p>
        </w:tc>
      </w:tr>
      <w:tr w14:paraId="0D70D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DF03A">
            <w:pPr>
              <w:pStyle w:val="13"/>
            </w:pPr>
            <w:r>
              <w:t>满意度指标</w:t>
            </w:r>
          </w:p>
        </w:tc>
        <w:tc>
          <w:tcPr>
            <w:tcW w:w="2268" w:type="dxa"/>
            <w:vAlign w:val="center"/>
          </w:tcPr>
          <w:p w14:paraId="74670C8A">
            <w:pPr>
              <w:pStyle w:val="12"/>
            </w:pPr>
            <w:r>
              <w:t>服务对象满意度指标</w:t>
            </w:r>
          </w:p>
        </w:tc>
        <w:tc>
          <w:tcPr>
            <w:tcW w:w="2835" w:type="dxa"/>
            <w:vAlign w:val="center"/>
          </w:tcPr>
          <w:p w14:paraId="184F4AEF">
            <w:pPr>
              <w:pStyle w:val="12"/>
            </w:pPr>
            <w:r>
              <w:t>受益幼儿家长及调查满意度</w:t>
            </w:r>
          </w:p>
        </w:tc>
        <w:tc>
          <w:tcPr>
            <w:tcW w:w="5386" w:type="dxa"/>
            <w:vAlign w:val="center"/>
          </w:tcPr>
          <w:p w14:paraId="4C7D094E">
            <w:pPr>
              <w:pStyle w:val="12"/>
            </w:pPr>
            <w:r>
              <w:t>学生、教师及家长对学校保教保育工作满意度情况</w:t>
            </w:r>
          </w:p>
        </w:tc>
        <w:tc>
          <w:tcPr>
            <w:tcW w:w="2268" w:type="dxa"/>
            <w:vAlign w:val="center"/>
          </w:tcPr>
          <w:p w14:paraId="2419887F">
            <w:pPr>
              <w:pStyle w:val="12"/>
            </w:pPr>
            <w:r>
              <w:t>≥95%</w:t>
            </w:r>
          </w:p>
        </w:tc>
        <w:tc>
          <w:tcPr>
            <w:tcW w:w="1276" w:type="dxa"/>
            <w:vAlign w:val="center"/>
          </w:tcPr>
          <w:p w14:paraId="0DFDB8B0">
            <w:pPr>
              <w:pStyle w:val="12"/>
            </w:pPr>
            <w:r>
              <w:t>幼儿资助经费管理办法</w:t>
            </w:r>
          </w:p>
        </w:tc>
      </w:tr>
    </w:tbl>
    <w:p w14:paraId="2B436982">
      <w:pPr>
        <w:sectPr>
          <w:pgSz w:w="16840" w:h="11900" w:orient="landscape"/>
          <w:pgMar w:top="1361" w:right="1020" w:bottom="1134" w:left="1020" w:header="720" w:footer="720" w:gutter="0"/>
          <w:cols w:space="720" w:num="1"/>
        </w:sectPr>
      </w:pPr>
    </w:p>
    <w:p w14:paraId="0DF0CC92">
      <w:pPr>
        <w:spacing w:before="0" w:after="0"/>
        <w:ind w:firstLine="560"/>
        <w:jc w:val="left"/>
        <w:outlineLvl w:val="9"/>
      </w:pPr>
      <w:r>
        <w:rPr>
          <w:rFonts w:ascii="方正仿宋_GBK" w:hAnsi="方正仿宋_GBK" w:eastAsia="方正仿宋_GBK" w:cs="方正仿宋_GBK"/>
          <w:b/>
          <w:color w:val="000000"/>
          <w:sz w:val="28"/>
        </w:rPr>
        <w:t>30、县级资金/2024年固城校区学前教育公用经费绩效目标表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310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E6839">
            <w:pPr>
              <w:pStyle w:val="11"/>
            </w:pPr>
            <w:r>
              <w:t>单位：万元</w:t>
            </w:r>
          </w:p>
        </w:tc>
      </w:tr>
      <w:tr w14:paraId="530A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37AB6">
            <w:pPr>
              <w:pStyle w:val="10"/>
            </w:pPr>
            <w:r>
              <w:t>项目编码</w:t>
            </w:r>
          </w:p>
        </w:tc>
        <w:tc>
          <w:tcPr>
            <w:tcW w:w="5103" w:type="dxa"/>
            <w:gridSpan w:val="2"/>
            <w:vAlign w:val="center"/>
          </w:tcPr>
          <w:p w14:paraId="6CC1CCE3">
            <w:pPr>
              <w:pStyle w:val="12"/>
            </w:pPr>
            <w:r>
              <w:t>13052526P008757101388</w:t>
            </w:r>
          </w:p>
        </w:tc>
        <w:tc>
          <w:tcPr>
            <w:tcW w:w="2835" w:type="dxa"/>
            <w:vAlign w:val="center"/>
          </w:tcPr>
          <w:p w14:paraId="37CE84FD">
            <w:pPr>
              <w:pStyle w:val="10"/>
            </w:pPr>
            <w:r>
              <w:t>项目名称</w:t>
            </w:r>
          </w:p>
        </w:tc>
        <w:tc>
          <w:tcPr>
            <w:tcW w:w="6095" w:type="dxa"/>
            <w:gridSpan w:val="3"/>
            <w:vAlign w:val="center"/>
          </w:tcPr>
          <w:p w14:paraId="528E9851">
            <w:pPr>
              <w:pStyle w:val="12"/>
            </w:pPr>
            <w:r>
              <w:t>县级资金/2024年固城校区学前教育公用经费</w:t>
            </w:r>
          </w:p>
        </w:tc>
      </w:tr>
      <w:tr w14:paraId="3E9FD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154C4">
            <w:pPr>
              <w:pStyle w:val="10"/>
            </w:pPr>
            <w:r>
              <w:t>预算规模及资金用途</w:t>
            </w:r>
          </w:p>
        </w:tc>
        <w:tc>
          <w:tcPr>
            <w:tcW w:w="2268" w:type="dxa"/>
            <w:vAlign w:val="center"/>
          </w:tcPr>
          <w:p w14:paraId="2C7B2789">
            <w:pPr>
              <w:pStyle w:val="10"/>
            </w:pPr>
            <w:r>
              <w:t>预算数</w:t>
            </w:r>
          </w:p>
        </w:tc>
        <w:tc>
          <w:tcPr>
            <w:tcW w:w="2835" w:type="dxa"/>
            <w:vAlign w:val="center"/>
          </w:tcPr>
          <w:p w14:paraId="7FDC4E78">
            <w:pPr>
              <w:pStyle w:val="12"/>
            </w:pPr>
            <w:r>
              <w:t>43.65</w:t>
            </w:r>
          </w:p>
        </w:tc>
        <w:tc>
          <w:tcPr>
            <w:tcW w:w="2835" w:type="dxa"/>
            <w:vAlign w:val="center"/>
          </w:tcPr>
          <w:p w14:paraId="66D63C00">
            <w:pPr>
              <w:pStyle w:val="10"/>
            </w:pPr>
            <w:r>
              <w:t>其中：财政    资金</w:t>
            </w:r>
          </w:p>
        </w:tc>
        <w:tc>
          <w:tcPr>
            <w:tcW w:w="2551" w:type="dxa"/>
            <w:vAlign w:val="center"/>
          </w:tcPr>
          <w:p w14:paraId="6DC593ED">
            <w:pPr>
              <w:pStyle w:val="12"/>
            </w:pPr>
            <w:r>
              <w:t>43.65</w:t>
            </w:r>
          </w:p>
        </w:tc>
        <w:tc>
          <w:tcPr>
            <w:tcW w:w="2268" w:type="dxa"/>
            <w:vAlign w:val="center"/>
          </w:tcPr>
          <w:p w14:paraId="51D8CAD7">
            <w:pPr>
              <w:pStyle w:val="10"/>
            </w:pPr>
            <w:r>
              <w:t>其他资金</w:t>
            </w:r>
          </w:p>
        </w:tc>
        <w:tc>
          <w:tcPr>
            <w:tcW w:w="1276" w:type="dxa"/>
            <w:vAlign w:val="center"/>
          </w:tcPr>
          <w:p w14:paraId="06EB9AE2">
            <w:pPr>
              <w:pStyle w:val="12"/>
            </w:pPr>
            <w:r>
              <w:t xml:space="preserve"> </w:t>
            </w:r>
          </w:p>
        </w:tc>
      </w:tr>
      <w:tr w14:paraId="3C72E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684D7"/>
        </w:tc>
        <w:tc>
          <w:tcPr>
            <w:tcW w:w="14033" w:type="dxa"/>
            <w:gridSpan w:val="6"/>
            <w:vAlign w:val="center"/>
          </w:tcPr>
          <w:p w14:paraId="19C117CA">
            <w:pPr>
              <w:pStyle w:val="12"/>
            </w:pPr>
            <w:r>
              <w:t>保障幼儿园正常运转，完成教育教学活动和其他日常工作任务等方面的费用支出。</w:t>
            </w:r>
          </w:p>
        </w:tc>
      </w:tr>
      <w:tr w14:paraId="549F0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5D286">
            <w:pPr>
              <w:pStyle w:val="10"/>
            </w:pPr>
            <w:r>
              <w:t>资金支出计划（%）</w:t>
            </w:r>
          </w:p>
        </w:tc>
        <w:tc>
          <w:tcPr>
            <w:tcW w:w="5103" w:type="dxa"/>
            <w:gridSpan w:val="2"/>
            <w:vAlign w:val="center"/>
          </w:tcPr>
          <w:p w14:paraId="17A120CA">
            <w:pPr>
              <w:pStyle w:val="10"/>
            </w:pPr>
            <w:r>
              <w:t>3月底</w:t>
            </w:r>
          </w:p>
        </w:tc>
        <w:tc>
          <w:tcPr>
            <w:tcW w:w="2835" w:type="dxa"/>
            <w:vAlign w:val="center"/>
          </w:tcPr>
          <w:p w14:paraId="28F979A9">
            <w:pPr>
              <w:pStyle w:val="10"/>
            </w:pPr>
            <w:r>
              <w:t>6月底</w:t>
            </w:r>
          </w:p>
        </w:tc>
        <w:tc>
          <w:tcPr>
            <w:tcW w:w="2551" w:type="dxa"/>
            <w:vAlign w:val="center"/>
          </w:tcPr>
          <w:p w14:paraId="743108FC">
            <w:pPr>
              <w:pStyle w:val="10"/>
            </w:pPr>
            <w:r>
              <w:t>10月底</w:t>
            </w:r>
          </w:p>
        </w:tc>
        <w:tc>
          <w:tcPr>
            <w:tcW w:w="3544" w:type="dxa"/>
            <w:gridSpan w:val="2"/>
            <w:vAlign w:val="center"/>
          </w:tcPr>
          <w:p w14:paraId="0E9EEAC5">
            <w:pPr>
              <w:pStyle w:val="10"/>
            </w:pPr>
            <w:r>
              <w:t>12月底</w:t>
            </w:r>
          </w:p>
        </w:tc>
      </w:tr>
      <w:tr w14:paraId="06A6A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4E64F"/>
        </w:tc>
        <w:tc>
          <w:tcPr>
            <w:tcW w:w="5103" w:type="dxa"/>
            <w:gridSpan w:val="2"/>
            <w:vAlign w:val="center"/>
          </w:tcPr>
          <w:p w14:paraId="17953D5D">
            <w:pPr>
              <w:pStyle w:val="13"/>
            </w:pPr>
            <w:r>
              <w:t>25%</w:t>
            </w:r>
          </w:p>
        </w:tc>
        <w:tc>
          <w:tcPr>
            <w:tcW w:w="2835" w:type="dxa"/>
            <w:vAlign w:val="center"/>
          </w:tcPr>
          <w:p w14:paraId="2F3456A1">
            <w:pPr>
              <w:pStyle w:val="13"/>
            </w:pPr>
            <w:r>
              <w:t>50%</w:t>
            </w:r>
          </w:p>
        </w:tc>
        <w:tc>
          <w:tcPr>
            <w:tcW w:w="2551" w:type="dxa"/>
            <w:vAlign w:val="center"/>
          </w:tcPr>
          <w:p w14:paraId="3B8807ED">
            <w:pPr>
              <w:pStyle w:val="13"/>
            </w:pPr>
            <w:r>
              <w:t>75%</w:t>
            </w:r>
          </w:p>
        </w:tc>
        <w:tc>
          <w:tcPr>
            <w:tcW w:w="3544" w:type="dxa"/>
            <w:gridSpan w:val="2"/>
            <w:vAlign w:val="center"/>
          </w:tcPr>
          <w:p w14:paraId="0677C1F0">
            <w:pPr>
              <w:pStyle w:val="13"/>
            </w:pPr>
            <w:r>
              <w:t>100%</w:t>
            </w:r>
          </w:p>
        </w:tc>
      </w:tr>
      <w:tr w14:paraId="55757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3AE9D">
            <w:pPr>
              <w:pStyle w:val="10"/>
            </w:pPr>
            <w:r>
              <w:t>绩效目标</w:t>
            </w:r>
          </w:p>
        </w:tc>
        <w:tc>
          <w:tcPr>
            <w:tcW w:w="14033" w:type="dxa"/>
            <w:gridSpan w:val="6"/>
            <w:vAlign w:val="center"/>
          </w:tcPr>
          <w:p w14:paraId="5C87443A">
            <w:pPr>
              <w:pStyle w:val="12"/>
            </w:pPr>
            <w:r>
              <w:t>1.按季度分批次拨付公用经费资金，资金拨付率达到100%。</w:t>
            </w:r>
          </w:p>
          <w:p w14:paraId="7A4EEE96">
            <w:pPr>
              <w:pStyle w:val="12"/>
            </w:pPr>
            <w:r>
              <w:t>2.保障幼儿园正常运转，完成教育教学活动和其他日常工作任务等方面的费用支出。</w:t>
            </w:r>
          </w:p>
        </w:tc>
      </w:tr>
    </w:tbl>
    <w:p w14:paraId="61CDF1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5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39C7F">
            <w:pPr>
              <w:pStyle w:val="10"/>
            </w:pPr>
            <w:r>
              <w:t>一级指标</w:t>
            </w:r>
          </w:p>
        </w:tc>
        <w:tc>
          <w:tcPr>
            <w:tcW w:w="2268" w:type="dxa"/>
            <w:vAlign w:val="center"/>
          </w:tcPr>
          <w:p w14:paraId="4A916A84">
            <w:pPr>
              <w:pStyle w:val="10"/>
            </w:pPr>
            <w:r>
              <w:t>二级指标</w:t>
            </w:r>
          </w:p>
        </w:tc>
        <w:tc>
          <w:tcPr>
            <w:tcW w:w="2835" w:type="dxa"/>
            <w:vAlign w:val="center"/>
          </w:tcPr>
          <w:p w14:paraId="410031BE">
            <w:pPr>
              <w:pStyle w:val="10"/>
            </w:pPr>
            <w:r>
              <w:t>三级指标</w:t>
            </w:r>
          </w:p>
        </w:tc>
        <w:tc>
          <w:tcPr>
            <w:tcW w:w="5386" w:type="dxa"/>
            <w:vAlign w:val="center"/>
          </w:tcPr>
          <w:p w14:paraId="6FB16EA0">
            <w:pPr>
              <w:pStyle w:val="10"/>
            </w:pPr>
            <w:r>
              <w:t>绩效指标描述</w:t>
            </w:r>
          </w:p>
        </w:tc>
        <w:tc>
          <w:tcPr>
            <w:tcW w:w="2268" w:type="dxa"/>
            <w:vAlign w:val="center"/>
          </w:tcPr>
          <w:p w14:paraId="3A17468E">
            <w:pPr>
              <w:pStyle w:val="10"/>
            </w:pPr>
            <w:r>
              <w:t>指标值</w:t>
            </w:r>
          </w:p>
        </w:tc>
        <w:tc>
          <w:tcPr>
            <w:tcW w:w="1276" w:type="dxa"/>
            <w:vAlign w:val="center"/>
          </w:tcPr>
          <w:p w14:paraId="2BCDC6F6">
            <w:pPr>
              <w:pStyle w:val="10"/>
            </w:pPr>
            <w:r>
              <w:t>指标值确定依据</w:t>
            </w:r>
          </w:p>
        </w:tc>
      </w:tr>
      <w:tr w14:paraId="7F59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35ACF">
            <w:pPr>
              <w:pStyle w:val="13"/>
            </w:pPr>
            <w:r>
              <w:t>产出指标</w:t>
            </w:r>
          </w:p>
        </w:tc>
        <w:tc>
          <w:tcPr>
            <w:tcW w:w="2268" w:type="dxa"/>
            <w:vAlign w:val="center"/>
          </w:tcPr>
          <w:p w14:paraId="1810F91E">
            <w:pPr>
              <w:pStyle w:val="12"/>
            </w:pPr>
            <w:r>
              <w:t>数量指标</w:t>
            </w:r>
          </w:p>
        </w:tc>
        <w:tc>
          <w:tcPr>
            <w:tcW w:w="2835" w:type="dxa"/>
            <w:vAlign w:val="center"/>
          </w:tcPr>
          <w:p w14:paraId="02D1CB17">
            <w:pPr>
              <w:pStyle w:val="12"/>
            </w:pPr>
            <w:r>
              <w:t>就读学生数</w:t>
            </w:r>
          </w:p>
        </w:tc>
        <w:tc>
          <w:tcPr>
            <w:tcW w:w="5386" w:type="dxa"/>
            <w:vAlign w:val="center"/>
          </w:tcPr>
          <w:p w14:paraId="48B505DA">
            <w:pPr>
              <w:pStyle w:val="12"/>
            </w:pPr>
            <w:r>
              <w:t>辐射区域内适龄学生人数</w:t>
            </w:r>
          </w:p>
        </w:tc>
        <w:tc>
          <w:tcPr>
            <w:tcW w:w="2268" w:type="dxa"/>
            <w:vAlign w:val="center"/>
          </w:tcPr>
          <w:p w14:paraId="632AA3E9">
            <w:pPr>
              <w:pStyle w:val="12"/>
            </w:pPr>
            <w:r>
              <w:t>728人</w:t>
            </w:r>
          </w:p>
        </w:tc>
        <w:tc>
          <w:tcPr>
            <w:tcW w:w="1276" w:type="dxa"/>
            <w:vAlign w:val="center"/>
          </w:tcPr>
          <w:p w14:paraId="306A062B">
            <w:pPr>
              <w:pStyle w:val="12"/>
            </w:pPr>
            <w:r>
              <w:t>支持学前教育资金管理方法</w:t>
            </w:r>
          </w:p>
        </w:tc>
      </w:tr>
      <w:tr w14:paraId="746C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0A648"/>
        </w:tc>
        <w:tc>
          <w:tcPr>
            <w:tcW w:w="2268" w:type="dxa"/>
            <w:vAlign w:val="center"/>
          </w:tcPr>
          <w:p w14:paraId="11BFF198">
            <w:pPr>
              <w:pStyle w:val="12"/>
            </w:pPr>
            <w:r>
              <w:t>质量指标</w:t>
            </w:r>
          </w:p>
        </w:tc>
        <w:tc>
          <w:tcPr>
            <w:tcW w:w="2835" w:type="dxa"/>
            <w:vAlign w:val="center"/>
          </w:tcPr>
          <w:p w14:paraId="4319590D">
            <w:pPr>
              <w:pStyle w:val="12"/>
            </w:pPr>
            <w:r>
              <w:t>预算控制率</w:t>
            </w:r>
          </w:p>
        </w:tc>
        <w:tc>
          <w:tcPr>
            <w:tcW w:w="5386" w:type="dxa"/>
            <w:vAlign w:val="center"/>
          </w:tcPr>
          <w:p w14:paraId="5F10E4D1">
            <w:pPr>
              <w:pStyle w:val="12"/>
            </w:pPr>
            <w:r>
              <w:t>预算执行</w:t>
            </w:r>
          </w:p>
        </w:tc>
        <w:tc>
          <w:tcPr>
            <w:tcW w:w="2268" w:type="dxa"/>
            <w:vAlign w:val="center"/>
          </w:tcPr>
          <w:p w14:paraId="18AECC11">
            <w:pPr>
              <w:pStyle w:val="12"/>
            </w:pPr>
            <w:r>
              <w:t>≥95%</w:t>
            </w:r>
          </w:p>
        </w:tc>
        <w:tc>
          <w:tcPr>
            <w:tcW w:w="1276" w:type="dxa"/>
            <w:vAlign w:val="center"/>
          </w:tcPr>
          <w:p w14:paraId="060CEE76">
            <w:pPr>
              <w:pStyle w:val="12"/>
            </w:pPr>
            <w:r>
              <w:t>支持学前教育资金管理方法</w:t>
            </w:r>
          </w:p>
        </w:tc>
      </w:tr>
      <w:tr w14:paraId="15E4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F8416"/>
        </w:tc>
        <w:tc>
          <w:tcPr>
            <w:tcW w:w="2268" w:type="dxa"/>
            <w:vAlign w:val="center"/>
          </w:tcPr>
          <w:p w14:paraId="5810837A">
            <w:pPr>
              <w:pStyle w:val="12"/>
            </w:pPr>
            <w:r>
              <w:t>时效指标</w:t>
            </w:r>
          </w:p>
        </w:tc>
        <w:tc>
          <w:tcPr>
            <w:tcW w:w="2835" w:type="dxa"/>
            <w:vAlign w:val="center"/>
          </w:tcPr>
          <w:p w14:paraId="4EBE0744">
            <w:pPr>
              <w:pStyle w:val="12"/>
            </w:pPr>
            <w:r>
              <w:t>义教经费支付完成率</w:t>
            </w:r>
          </w:p>
        </w:tc>
        <w:tc>
          <w:tcPr>
            <w:tcW w:w="5386" w:type="dxa"/>
            <w:vAlign w:val="center"/>
          </w:tcPr>
          <w:p w14:paraId="6E1D2750">
            <w:pPr>
              <w:pStyle w:val="12"/>
            </w:pPr>
            <w:r>
              <w:t>按照序时进度完成资金支付</w:t>
            </w:r>
          </w:p>
        </w:tc>
        <w:tc>
          <w:tcPr>
            <w:tcW w:w="2268" w:type="dxa"/>
            <w:vAlign w:val="center"/>
          </w:tcPr>
          <w:p w14:paraId="1A5A42D9">
            <w:pPr>
              <w:pStyle w:val="12"/>
            </w:pPr>
            <w:r>
              <w:t>100%</w:t>
            </w:r>
          </w:p>
        </w:tc>
        <w:tc>
          <w:tcPr>
            <w:tcW w:w="1276" w:type="dxa"/>
            <w:vAlign w:val="center"/>
          </w:tcPr>
          <w:p w14:paraId="6C064D12">
            <w:pPr>
              <w:pStyle w:val="12"/>
            </w:pPr>
            <w:r>
              <w:t>支持学前教育资金管理方法</w:t>
            </w:r>
          </w:p>
        </w:tc>
      </w:tr>
      <w:tr w14:paraId="6E9F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C626F"/>
        </w:tc>
        <w:tc>
          <w:tcPr>
            <w:tcW w:w="2268" w:type="dxa"/>
            <w:vAlign w:val="center"/>
          </w:tcPr>
          <w:p w14:paraId="3A79566A">
            <w:pPr>
              <w:pStyle w:val="12"/>
            </w:pPr>
            <w:r>
              <w:t>成本指标</w:t>
            </w:r>
          </w:p>
        </w:tc>
        <w:tc>
          <w:tcPr>
            <w:tcW w:w="2835" w:type="dxa"/>
            <w:vAlign w:val="center"/>
          </w:tcPr>
          <w:p w14:paraId="3A4256DD">
            <w:pPr>
              <w:pStyle w:val="12"/>
            </w:pPr>
            <w:r>
              <w:t>生均拨款标准</w:t>
            </w:r>
          </w:p>
        </w:tc>
        <w:tc>
          <w:tcPr>
            <w:tcW w:w="5386" w:type="dxa"/>
            <w:vAlign w:val="center"/>
          </w:tcPr>
          <w:p w14:paraId="7D389BF3">
            <w:pPr>
              <w:pStyle w:val="12"/>
            </w:pPr>
            <w:r>
              <w:t>学前：（基本标准600元/生/学年）</w:t>
            </w:r>
          </w:p>
        </w:tc>
        <w:tc>
          <w:tcPr>
            <w:tcW w:w="2268" w:type="dxa"/>
            <w:vAlign w:val="center"/>
          </w:tcPr>
          <w:p w14:paraId="32AC8E92">
            <w:pPr>
              <w:pStyle w:val="12"/>
            </w:pPr>
            <w:r>
              <w:t>600元</w:t>
            </w:r>
          </w:p>
        </w:tc>
        <w:tc>
          <w:tcPr>
            <w:tcW w:w="1276" w:type="dxa"/>
            <w:vAlign w:val="center"/>
          </w:tcPr>
          <w:p w14:paraId="23D1037F">
            <w:pPr>
              <w:pStyle w:val="12"/>
            </w:pPr>
            <w:r>
              <w:t>支持学前教育资金管理方法</w:t>
            </w:r>
          </w:p>
        </w:tc>
      </w:tr>
      <w:tr w14:paraId="5916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E6BDD">
            <w:pPr>
              <w:pStyle w:val="13"/>
            </w:pPr>
            <w:r>
              <w:t>效益指标</w:t>
            </w:r>
          </w:p>
        </w:tc>
        <w:tc>
          <w:tcPr>
            <w:tcW w:w="2268" w:type="dxa"/>
            <w:vAlign w:val="center"/>
          </w:tcPr>
          <w:p w14:paraId="7563D24F">
            <w:pPr>
              <w:pStyle w:val="12"/>
            </w:pPr>
            <w:r>
              <w:t>可持续影响指标</w:t>
            </w:r>
          </w:p>
        </w:tc>
        <w:tc>
          <w:tcPr>
            <w:tcW w:w="2835" w:type="dxa"/>
            <w:vAlign w:val="center"/>
          </w:tcPr>
          <w:p w14:paraId="5D913D3D">
            <w:pPr>
              <w:pStyle w:val="12"/>
            </w:pPr>
            <w:r>
              <w:t>学校稳定率</w:t>
            </w:r>
          </w:p>
        </w:tc>
        <w:tc>
          <w:tcPr>
            <w:tcW w:w="5386" w:type="dxa"/>
            <w:vAlign w:val="center"/>
          </w:tcPr>
          <w:p w14:paraId="6583F1A3">
            <w:pPr>
              <w:pStyle w:val="12"/>
            </w:pPr>
            <w:r>
              <w:t>维护学校稳定，保障学校正常教学秩序有效开展</w:t>
            </w:r>
          </w:p>
        </w:tc>
        <w:tc>
          <w:tcPr>
            <w:tcW w:w="2268" w:type="dxa"/>
            <w:vAlign w:val="center"/>
          </w:tcPr>
          <w:p w14:paraId="6ABFC628">
            <w:pPr>
              <w:pStyle w:val="12"/>
            </w:pPr>
            <w:r>
              <w:t>100%</w:t>
            </w:r>
          </w:p>
        </w:tc>
        <w:tc>
          <w:tcPr>
            <w:tcW w:w="1276" w:type="dxa"/>
            <w:vAlign w:val="center"/>
          </w:tcPr>
          <w:p w14:paraId="29D02B81">
            <w:pPr>
              <w:pStyle w:val="12"/>
            </w:pPr>
            <w:r>
              <w:t>支持学前教育资金管理方法</w:t>
            </w:r>
          </w:p>
        </w:tc>
      </w:tr>
      <w:tr w14:paraId="6741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19AE5">
            <w:pPr>
              <w:pStyle w:val="13"/>
            </w:pPr>
            <w:r>
              <w:t>满意度指标</w:t>
            </w:r>
          </w:p>
        </w:tc>
        <w:tc>
          <w:tcPr>
            <w:tcW w:w="2268" w:type="dxa"/>
            <w:vAlign w:val="center"/>
          </w:tcPr>
          <w:p w14:paraId="169997B0">
            <w:pPr>
              <w:pStyle w:val="12"/>
            </w:pPr>
            <w:r>
              <w:t>服务对象满意度指标</w:t>
            </w:r>
          </w:p>
        </w:tc>
        <w:tc>
          <w:tcPr>
            <w:tcW w:w="2835" w:type="dxa"/>
            <w:vAlign w:val="center"/>
          </w:tcPr>
          <w:p w14:paraId="4F497310">
            <w:pPr>
              <w:pStyle w:val="12"/>
            </w:pPr>
            <w:r>
              <w:t>家长和学生满意度</w:t>
            </w:r>
          </w:p>
        </w:tc>
        <w:tc>
          <w:tcPr>
            <w:tcW w:w="5386" w:type="dxa"/>
            <w:vAlign w:val="center"/>
          </w:tcPr>
          <w:p w14:paraId="0878A2B3">
            <w:pPr>
              <w:pStyle w:val="12"/>
            </w:pPr>
            <w:r>
              <w:t>家长和学生满意度</w:t>
            </w:r>
          </w:p>
        </w:tc>
        <w:tc>
          <w:tcPr>
            <w:tcW w:w="2268" w:type="dxa"/>
            <w:vAlign w:val="center"/>
          </w:tcPr>
          <w:p w14:paraId="6E5A82D4">
            <w:pPr>
              <w:pStyle w:val="12"/>
            </w:pPr>
            <w:r>
              <w:t>≥95%</w:t>
            </w:r>
          </w:p>
        </w:tc>
        <w:tc>
          <w:tcPr>
            <w:tcW w:w="1276" w:type="dxa"/>
            <w:vAlign w:val="center"/>
          </w:tcPr>
          <w:p w14:paraId="6D6DAA22">
            <w:pPr>
              <w:pStyle w:val="12"/>
            </w:pPr>
            <w:r>
              <w:t>支持学前教育资金管理方法</w:t>
            </w:r>
          </w:p>
        </w:tc>
      </w:tr>
    </w:tbl>
    <w:p w14:paraId="652388C1">
      <w:pPr>
        <w:sectPr>
          <w:pgSz w:w="16840" w:h="11900" w:orient="landscape"/>
          <w:pgMar w:top="1361" w:right="1020" w:bottom="1134" w:left="1020" w:header="720" w:footer="720" w:gutter="0"/>
          <w:cols w:space="720" w:num="1"/>
        </w:sectPr>
      </w:pPr>
    </w:p>
    <w:p w14:paraId="6624A589">
      <w:pPr>
        <w:spacing w:before="0" w:after="0"/>
        <w:ind w:firstLine="560"/>
        <w:jc w:val="left"/>
        <w:outlineLvl w:val="9"/>
      </w:pPr>
      <w:r>
        <w:rPr>
          <w:rFonts w:ascii="方正仿宋_GBK" w:hAnsi="方正仿宋_GBK" w:eastAsia="方正仿宋_GBK" w:cs="方正仿宋_GBK"/>
          <w:b/>
          <w:color w:val="000000"/>
          <w:sz w:val="28"/>
        </w:rPr>
        <w:t>31、县级资金/2026年固城校区学前教育公用经费绩效目标表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A1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26A84">
            <w:pPr>
              <w:pStyle w:val="11"/>
            </w:pPr>
            <w:r>
              <w:t>单位：万元</w:t>
            </w:r>
          </w:p>
        </w:tc>
      </w:tr>
      <w:tr w14:paraId="5A7B0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D1CE3">
            <w:pPr>
              <w:pStyle w:val="10"/>
            </w:pPr>
            <w:r>
              <w:t>项目编码</w:t>
            </w:r>
          </w:p>
        </w:tc>
        <w:tc>
          <w:tcPr>
            <w:tcW w:w="5103" w:type="dxa"/>
            <w:gridSpan w:val="2"/>
            <w:vAlign w:val="center"/>
          </w:tcPr>
          <w:p w14:paraId="6AE58037">
            <w:pPr>
              <w:pStyle w:val="12"/>
            </w:pPr>
            <w:r>
              <w:t>13052526P00875710124X</w:t>
            </w:r>
          </w:p>
        </w:tc>
        <w:tc>
          <w:tcPr>
            <w:tcW w:w="2835" w:type="dxa"/>
            <w:vAlign w:val="center"/>
          </w:tcPr>
          <w:p w14:paraId="3AC03CBB">
            <w:pPr>
              <w:pStyle w:val="10"/>
            </w:pPr>
            <w:r>
              <w:t>项目名称</w:t>
            </w:r>
          </w:p>
        </w:tc>
        <w:tc>
          <w:tcPr>
            <w:tcW w:w="6095" w:type="dxa"/>
            <w:gridSpan w:val="3"/>
            <w:vAlign w:val="center"/>
          </w:tcPr>
          <w:p w14:paraId="432BE63F">
            <w:pPr>
              <w:pStyle w:val="12"/>
            </w:pPr>
            <w:r>
              <w:t>县级资金/2026年固城校区学前教育公用经费</w:t>
            </w:r>
          </w:p>
        </w:tc>
      </w:tr>
      <w:tr w14:paraId="6E309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C84B1">
            <w:pPr>
              <w:pStyle w:val="10"/>
            </w:pPr>
            <w:r>
              <w:t>预算规模及资金用途</w:t>
            </w:r>
          </w:p>
        </w:tc>
        <w:tc>
          <w:tcPr>
            <w:tcW w:w="2268" w:type="dxa"/>
            <w:vAlign w:val="center"/>
          </w:tcPr>
          <w:p w14:paraId="7DDEA551">
            <w:pPr>
              <w:pStyle w:val="10"/>
            </w:pPr>
            <w:r>
              <w:t>预算数</w:t>
            </w:r>
          </w:p>
        </w:tc>
        <w:tc>
          <w:tcPr>
            <w:tcW w:w="2835" w:type="dxa"/>
            <w:vAlign w:val="center"/>
          </w:tcPr>
          <w:p w14:paraId="1A336892">
            <w:pPr>
              <w:pStyle w:val="12"/>
            </w:pPr>
            <w:r>
              <w:t>21.16</w:t>
            </w:r>
          </w:p>
        </w:tc>
        <w:tc>
          <w:tcPr>
            <w:tcW w:w="2835" w:type="dxa"/>
            <w:vAlign w:val="center"/>
          </w:tcPr>
          <w:p w14:paraId="4C53B19F">
            <w:pPr>
              <w:pStyle w:val="10"/>
            </w:pPr>
            <w:r>
              <w:t>其中：财政    资金</w:t>
            </w:r>
          </w:p>
        </w:tc>
        <w:tc>
          <w:tcPr>
            <w:tcW w:w="2551" w:type="dxa"/>
            <w:vAlign w:val="center"/>
          </w:tcPr>
          <w:p w14:paraId="344D1A22">
            <w:pPr>
              <w:pStyle w:val="12"/>
            </w:pPr>
            <w:r>
              <w:t>21.16</w:t>
            </w:r>
          </w:p>
        </w:tc>
        <w:tc>
          <w:tcPr>
            <w:tcW w:w="2268" w:type="dxa"/>
            <w:vAlign w:val="center"/>
          </w:tcPr>
          <w:p w14:paraId="47AB01AF">
            <w:pPr>
              <w:pStyle w:val="10"/>
            </w:pPr>
            <w:r>
              <w:t>其他资金</w:t>
            </w:r>
          </w:p>
        </w:tc>
        <w:tc>
          <w:tcPr>
            <w:tcW w:w="1276" w:type="dxa"/>
            <w:vAlign w:val="center"/>
          </w:tcPr>
          <w:p w14:paraId="03AF3F47">
            <w:pPr>
              <w:pStyle w:val="12"/>
            </w:pPr>
            <w:r>
              <w:t xml:space="preserve"> </w:t>
            </w:r>
          </w:p>
        </w:tc>
      </w:tr>
      <w:tr w14:paraId="514C6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C0C02"/>
        </w:tc>
        <w:tc>
          <w:tcPr>
            <w:tcW w:w="14033" w:type="dxa"/>
            <w:gridSpan w:val="6"/>
            <w:vAlign w:val="center"/>
          </w:tcPr>
          <w:p w14:paraId="4FDEB539">
            <w:pPr>
              <w:pStyle w:val="12"/>
            </w:pPr>
            <w:r>
              <w:t>保障幼儿园正常运转，完成教育教学活动和其他日常工作任务等方面的费用支出。</w:t>
            </w:r>
          </w:p>
        </w:tc>
      </w:tr>
      <w:tr w14:paraId="1AB7D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3FBAB">
            <w:pPr>
              <w:pStyle w:val="10"/>
            </w:pPr>
            <w:r>
              <w:t>资金支出计划（%）</w:t>
            </w:r>
          </w:p>
        </w:tc>
        <w:tc>
          <w:tcPr>
            <w:tcW w:w="5103" w:type="dxa"/>
            <w:gridSpan w:val="2"/>
            <w:vAlign w:val="center"/>
          </w:tcPr>
          <w:p w14:paraId="6DF7EB5A">
            <w:pPr>
              <w:pStyle w:val="10"/>
            </w:pPr>
            <w:r>
              <w:t>3月底</w:t>
            </w:r>
          </w:p>
        </w:tc>
        <w:tc>
          <w:tcPr>
            <w:tcW w:w="2835" w:type="dxa"/>
            <w:vAlign w:val="center"/>
          </w:tcPr>
          <w:p w14:paraId="3E610D21">
            <w:pPr>
              <w:pStyle w:val="10"/>
            </w:pPr>
            <w:r>
              <w:t>6月底</w:t>
            </w:r>
          </w:p>
        </w:tc>
        <w:tc>
          <w:tcPr>
            <w:tcW w:w="2551" w:type="dxa"/>
            <w:vAlign w:val="center"/>
          </w:tcPr>
          <w:p w14:paraId="53FBA9A3">
            <w:pPr>
              <w:pStyle w:val="10"/>
            </w:pPr>
            <w:r>
              <w:t>10月底</w:t>
            </w:r>
          </w:p>
        </w:tc>
        <w:tc>
          <w:tcPr>
            <w:tcW w:w="3544" w:type="dxa"/>
            <w:gridSpan w:val="2"/>
            <w:vAlign w:val="center"/>
          </w:tcPr>
          <w:p w14:paraId="70B9F6D9">
            <w:pPr>
              <w:pStyle w:val="10"/>
            </w:pPr>
            <w:r>
              <w:t>12月底</w:t>
            </w:r>
          </w:p>
        </w:tc>
      </w:tr>
      <w:tr w14:paraId="5ADE3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DD77B"/>
        </w:tc>
        <w:tc>
          <w:tcPr>
            <w:tcW w:w="5103" w:type="dxa"/>
            <w:gridSpan w:val="2"/>
            <w:vAlign w:val="center"/>
          </w:tcPr>
          <w:p w14:paraId="73352EF1">
            <w:pPr>
              <w:pStyle w:val="13"/>
            </w:pPr>
            <w:r>
              <w:t>25%</w:t>
            </w:r>
          </w:p>
        </w:tc>
        <w:tc>
          <w:tcPr>
            <w:tcW w:w="2835" w:type="dxa"/>
            <w:vAlign w:val="center"/>
          </w:tcPr>
          <w:p w14:paraId="34B0C4BA">
            <w:pPr>
              <w:pStyle w:val="13"/>
            </w:pPr>
            <w:r>
              <w:t>50%</w:t>
            </w:r>
          </w:p>
        </w:tc>
        <w:tc>
          <w:tcPr>
            <w:tcW w:w="2551" w:type="dxa"/>
            <w:vAlign w:val="center"/>
          </w:tcPr>
          <w:p w14:paraId="020FCDDF">
            <w:pPr>
              <w:pStyle w:val="13"/>
            </w:pPr>
            <w:r>
              <w:t>75%</w:t>
            </w:r>
          </w:p>
        </w:tc>
        <w:tc>
          <w:tcPr>
            <w:tcW w:w="3544" w:type="dxa"/>
            <w:gridSpan w:val="2"/>
            <w:vAlign w:val="center"/>
          </w:tcPr>
          <w:p w14:paraId="739B62F8">
            <w:pPr>
              <w:pStyle w:val="13"/>
            </w:pPr>
            <w:r>
              <w:t>100%</w:t>
            </w:r>
          </w:p>
        </w:tc>
      </w:tr>
      <w:tr w14:paraId="77E1A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67871">
            <w:pPr>
              <w:pStyle w:val="10"/>
            </w:pPr>
            <w:r>
              <w:t>绩效目标</w:t>
            </w:r>
          </w:p>
        </w:tc>
        <w:tc>
          <w:tcPr>
            <w:tcW w:w="14033" w:type="dxa"/>
            <w:gridSpan w:val="6"/>
            <w:vAlign w:val="center"/>
          </w:tcPr>
          <w:p w14:paraId="5C68FEF6">
            <w:pPr>
              <w:pStyle w:val="12"/>
            </w:pPr>
            <w:r>
              <w:t>1.保障幼儿园正常运转，完成教育教学活动和其他日常工作任务等方面的费用支出。</w:t>
            </w:r>
          </w:p>
          <w:p w14:paraId="797A09CD">
            <w:pPr>
              <w:pStyle w:val="12"/>
            </w:pPr>
            <w:r>
              <w:t>2.按季度分批次拨付公用经费资金，资金拨付率达到100%。</w:t>
            </w:r>
          </w:p>
        </w:tc>
      </w:tr>
    </w:tbl>
    <w:p w14:paraId="3993F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1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90033">
            <w:pPr>
              <w:pStyle w:val="10"/>
            </w:pPr>
            <w:r>
              <w:t>一级指标</w:t>
            </w:r>
          </w:p>
        </w:tc>
        <w:tc>
          <w:tcPr>
            <w:tcW w:w="2268" w:type="dxa"/>
            <w:vAlign w:val="center"/>
          </w:tcPr>
          <w:p w14:paraId="7C69D812">
            <w:pPr>
              <w:pStyle w:val="10"/>
            </w:pPr>
            <w:r>
              <w:t>二级指标</w:t>
            </w:r>
          </w:p>
        </w:tc>
        <w:tc>
          <w:tcPr>
            <w:tcW w:w="2835" w:type="dxa"/>
            <w:vAlign w:val="center"/>
          </w:tcPr>
          <w:p w14:paraId="360AFADB">
            <w:pPr>
              <w:pStyle w:val="10"/>
            </w:pPr>
            <w:r>
              <w:t>三级指标</w:t>
            </w:r>
          </w:p>
        </w:tc>
        <w:tc>
          <w:tcPr>
            <w:tcW w:w="5386" w:type="dxa"/>
            <w:vAlign w:val="center"/>
          </w:tcPr>
          <w:p w14:paraId="2A083E45">
            <w:pPr>
              <w:pStyle w:val="10"/>
            </w:pPr>
            <w:r>
              <w:t>绩效指标描述</w:t>
            </w:r>
          </w:p>
        </w:tc>
        <w:tc>
          <w:tcPr>
            <w:tcW w:w="2268" w:type="dxa"/>
            <w:vAlign w:val="center"/>
          </w:tcPr>
          <w:p w14:paraId="117DE74A">
            <w:pPr>
              <w:pStyle w:val="10"/>
            </w:pPr>
            <w:r>
              <w:t>指标值</w:t>
            </w:r>
          </w:p>
        </w:tc>
        <w:tc>
          <w:tcPr>
            <w:tcW w:w="1276" w:type="dxa"/>
            <w:vAlign w:val="center"/>
          </w:tcPr>
          <w:p w14:paraId="6BA9C238">
            <w:pPr>
              <w:pStyle w:val="10"/>
            </w:pPr>
            <w:r>
              <w:t>指标值确定依据</w:t>
            </w:r>
          </w:p>
        </w:tc>
      </w:tr>
      <w:tr w14:paraId="36CC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9FFB6">
            <w:pPr>
              <w:pStyle w:val="13"/>
            </w:pPr>
            <w:r>
              <w:t>产出指标</w:t>
            </w:r>
          </w:p>
        </w:tc>
        <w:tc>
          <w:tcPr>
            <w:tcW w:w="2268" w:type="dxa"/>
            <w:vAlign w:val="center"/>
          </w:tcPr>
          <w:p w14:paraId="148BEB86">
            <w:pPr>
              <w:pStyle w:val="12"/>
            </w:pPr>
            <w:r>
              <w:t>数量指标</w:t>
            </w:r>
          </w:p>
        </w:tc>
        <w:tc>
          <w:tcPr>
            <w:tcW w:w="2835" w:type="dxa"/>
            <w:vAlign w:val="center"/>
          </w:tcPr>
          <w:p w14:paraId="0CBDEED1">
            <w:pPr>
              <w:pStyle w:val="12"/>
            </w:pPr>
            <w:r>
              <w:t>就读学生数</w:t>
            </w:r>
          </w:p>
        </w:tc>
        <w:tc>
          <w:tcPr>
            <w:tcW w:w="5386" w:type="dxa"/>
            <w:vAlign w:val="center"/>
          </w:tcPr>
          <w:p w14:paraId="2D1D37CB">
            <w:pPr>
              <w:pStyle w:val="12"/>
            </w:pPr>
            <w:r>
              <w:t>辐射区域内适龄学生人数</w:t>
            </w:r>
          </w:p>
        </w:tc>
        <w:tc>
          <w:tcPr>
            <w:tcW w:w="2268" w:type="dxa"/>
            <w:vAlign w:val="center"/>
          </w:tcPr>
          <w:p w14:paraId="6291B6A5">
            <w:pPr>
              <w:pStyle w:val="12"/>
            </w:pPr>
            <w:r>
              <w:t>743人</w:t>
            </w:r>
          </w:p>
        </w:tc>
        <w:tc>
          <w:tcPr>
            <w:tcW w:w="1276" w:type="dxa"/>
            <w:vAlign w:val="center"/>
          </w:tcPr>
          <w:p w14:paraId="5F984C9C">
            <w:pPr>
              <w:pStyle w:val="12"/>
            </w:pPr>
            <w:r>
              <w:t>城乡义务教育公用经费管理办法</w:t>
            </w:r>
          </w:p>
        </w:tc>
      </w:tr>
      <w:tr w14:paraId="2ABC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4C2F"/>
        </w:tc>
        <w:tc>
          <w:tcPr>
            <w:tcW w:w="2268" w:type="dxa"/>
            <w:vAlign w:val="center"/>
          </w:tcPr>
          <w:p w14:paraId="251756FB">
            <w:pPr>
              <w:pStyle w:val="12"/>
            </w:pPr>
            <w:r>
              <w:t>质量指标</w:t>
            </w:r>
          </w:p>
        </w:tc>
        <w:tc>
          <w:tcPr>
            <w:tcW w:w="2835" w:type="dxa"/>
            <w:vAlign w:val="center"/>
          </w:tcPr>
          <w:p w14:paraId="3DB6C6D5">
            <w:pPr>
              <w:pStyle w:val="12"/>
            </w:pPr>
            <w:r>
              <w:t>预算控制率</w:t>
            </w:r>
          </w:p>
        </w:tc>
        <w:tc>
          <w:tcPr>
            <w:tcW w:w="5386" w:type="dxa"/>
            <w:vAlign w:val="center"/>
          </w:tcPr>
          <w:p w14:paraId="4B7F017E">
            <w:pPr>
              <w:pStyle w:val="12"/>
            </w:pPr>
            <w:r>
              <w:t>预算执行</w:t>
            </w:r>
          </w:p>
        </w:tc>
        <w:tc>
          <w:tcPr>
            <w:tcW w:w="2268" w:type="dxa"/>
            <w:vAlign w:val="center"/>
          </w:tcPr>
          <w:p w14:paraId="705C4B6F">
            <w:pPr>
              <w:pStyle w:val="12"/>
            </w:pPr>
            <w:r>
              <w:t>≥95%</w:t>
            </w:r>
          </w:p>
        </w:tc>
        <w:tc>
          <w:tcPr>
            <w:tcW w:w="1276" w:type="dxa"/>
            <w:vAlign w:val="center"/>
          </w:tcPr>
          <w:p w14:paraId="34AA701A">
            <w:pPr>
              <w:pStyle w:val="12"/>
            </w:pPr>
            <w:r>
              <w:t>支持学前教育发展县级资金管理方法</w:t>
            </w:r>
          </w:p>
        </w:tc>
      </w:tr>
      <w:tr w14:paraId="61D4B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969F9"/>
        </w:tc>
        <w:tc>
          <w:tcPr>
            <w:tcW w:w="2268" w:type="dxa"/>
            <w:vAlign w:val="center"/>
          </w:tcPr>
          <w:p w14:paraId="240BA224">
            <w:pPr>
              <w:pStyle w:val="12"/>
            </w:pPr>
            <w:r>
              <w:t>时效指标</w:t>
            </w:r>
          </w:p>
        </w:tc>
        <w:tc>
          <w:tcPr>
            <w:tcW w:w="2835" w:type="dxa"/>
            <w:vAlign w:val="center"/>
          </w:tcPr>
          <w:p w14:paraId="2EF83918">
            <w:pPr>
              <w:pStyle w:val="12"/>
            </w:pPr>
            <w:r>
              <w:t>义教经费支付完成率</w:t>
            </w:r>
          </w:p>
        </w:tc>
        <w:tc>
          <w:tcPr>
            <w:tcW w:w="5386" w:type="dxa"/>
            <w:vAlign w:val="center"/>
          </w:tcPr>
          <w:p w14:paraId="2D8BC58C">
            <w:pPr>
              <w:pStyle w:val="12"/>
            </w:pPr>
            <w:r>
              <w:t>按照序时进度完成资金支付</w:t>
            </w:r>
          </w:p>
        </w:tc>
        <w:tc>
          <w:tcPr>
            <w:tcW w:w="2268" w:type="dxa"/>
            <w:vAlign w:val="center"/>
          </w:tcPr>
          <w:p w14:paraId="0EC5AD2E">
            <w:pPr>
              <w:pStyle w:val="12"/>
            </w:pPr>
            <w:r>
              <w:t>100%</w:t>
            </w:r>
          </w:p>
        </w:tc>
        <w:tc>
          <w:tcPr>
            <w:tcW w:w="1276" w:type="dxa"/>
            <w:vAlign w:val="center"/>
          </w:tcPr>
          <w:p w14:paraId="3D2DDA2B">
            <w:pPr>
              <w:pStyle w:val="12"/>
            </w:pPr>
            <w:r>
              <w:t>城乡义务教育公用经费管理办法</w:t>
            </w:r>
          </w:p>
        </w:tc>
      </w:tr>
      <w:tr w14:paraId="2E02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03EC5"/>
        </w:tc>
        <w:tc>
          <w:tcPr>
            <w:tcW w:w="2268" w:type="dxa"/>
            <w:vAlign w:val="center"/>
          </w:tcPr>
          <w:p w14:paraId="747BD4CF">
            <w:pPr>
              <w:pStyle w:val="12"/>
            </w:pPr>
            <w:r>
              <w:t>成本指标</w:t>
            </w:r>
          </w:p>
        </w:tc>
        <w:tc>
          <w:tcPr>
            <w:tcW w:w="2835" w:type="dxa"/>
            <w:vAlign w:val="center"/>
          </w:tcPr>
          <w:p w14:paraId="0DD2CD48">
            <w:pPr>
              <w:pStyle w:val="12"/>
            </w:pPr>
            <w:r>
              <w:t>生均拨款标准</w:t>
            </w:r>
          </w:p>
        </w:tc>
        <w:tc>
          <w:tcPr>
            <w:tcW w:w="5386" w:type="dxa"/>
            <w:vAlign w:val="center"/>
          </w:tcPr>
          <w:p w14:paraId="39DCEF34">
            <w:pPr>
              <w:pStyle w:val="12"/>
            </w:pPr>
            <w:r>
              <w:t>学前：（基本标准600元/生/学年）</w:t>
            </w:r>
          </w:p>
        </w:tc>
        <w:tc>
          <w:tcPr>
            <w:tcW w:w="2268" w:type="dxa"/>
            <w:vAlign w:val="center"/>
          </w:tcPr>
          <w:p w14:paraId="23A903AF">
            <w:pPr>
              <w:pStyle w:val="12"/>
            </w:pPr>
            <w:r>
              <w:t>600元</w:t>
            </w:r>
          </w:p>
        </w:tc>
        <w:tc>
          <w:tcPr>
            <w:tcW w:w="1276" w:type="dxa"/>
            <w:vAlign w:val="center"/>
          </w:tcPr>
          <w:p w14:paraId="328FCECF">
            <w:pPr>
              <w:pStyle w:val="12"/>
            </w:pPr>
            <w:r>
              <w:t>城乡义务教育公用经费管理办法</w:t>
            </w:r>
          </w:p>
        </w:tc>
      </w:tr>
      <w:tr w14:paraId="7CB0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1B03B">
            <w:pPr>
              <w:pStyle w:val="13"/>
            </w:pPr>
            <w:r>
              <w:t>效益指标</w:t>
            </w:r>
          </w:p>
        </w:tc>
        <w:tc>
          <w:tcPr>
            <w:tcW w:w="2268" w:type="dxa"/>
            <w:vAlign w:val="center"/>
          </w:tcPr>
          <w:p w14:paraId="33687E59">
            <w:pPr>
              <w:pStyle w:val="12"/>
            </w:pPr>
            <w:r>
              <w:t>社会效益指标</w:t>
            </w:r>
          </w:p>
        </w:tc>
        <w:tc>
          <w:tcPr>
            <w:tcW w:w="2835" w:type="dxa"/>
            <w:vAlign w:val="center"/>
          </w:tcPr>
          <w:p w14:paraId="3E065992">
            <w:pPr>
              <w:pStyle w:val="12"/>
            </w:pPr>
            <w:r>
              <w:t>学校稳定率</w:t>
            </w:r>
          </w:p>
        </w:tc>
        <w:tc>
          <w:tcPr>
            <w:tcW w:w="5386" w:type="dxa"/>
            <w:vAlign w:val="center"/>
          </w:tcPr>
          <w:p w14:paraId="7F5F85BB">
            <w:pPr>
              <w:pStyle w:val="12"/>
            </w:pPr>
            <w:r>
              <w:t>维护学校稳定，保障学校正常教学秩序有效开展</w:t>
            </w:r>
          </w:p>
        </w:tc>
        <w:tc>
          <w:tcPr>
            <w:tcW w:w="2268" w:type="dxa"/>
            <w:vAlign w:val="center"/>
          </w:tcPr>
          <w:p w14:paraId="291EBF58">
            <w:pPr>
              <w:pStyle w:val="12"/>
            </w:pPr>
            <w:r>
              <w:t>100%</w:t>
            </w:r>
          </w:p>
        </w:tc>
        <w:tc>
          <w:tcPr>
            <w:tcW w:w="1276" w:type="dxa"/>
            <w:vAlign w:val="center"/>
          </w:tcPr>
          <w:p w14:paraId="5CEED5C0">
            <w:pPr>
              <w:pStyle w:val="12"/>
            </w:pPr>
            <w:r>
              <w:t>城乡义务教育公用经费管理办法</w:t>
            </w:r>
          </w:p>
        </w:tc>
      </w:tr>
      <w:tr w14:paraId="3C1E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FDA69">
            <w:pPr>
              <w:pStyle w:val="13"/>
            </w:pPr>
            <w:r>
              <w:t>满意度指标</w:t>
            </w:r>
          </w:p>
        </w:tc>
        <w:tc>
          <w:tcPr>
            <w:tcW w:w="2268" w:type="dxa"/>
            <w:vAlign w:val="center"/>
          </w:tcPr>
          <w:p w14:paraId="00BE757D">
            <w:pPr>
              <w:pStyle w:val="12"/>
            </w:pPr>
            <w:r>
              <w:t>服务对象满意度指标</w:t>
            </w:r>
          </w:p>
        </w:tc>
        <w:tc>
          <w:tcPr>
            <w:tcW w:w="2835" w:type="dxa"/>
            <w:vAlign w:val="center"/>
          </w:tcPr>
          <w:p w14:paraId="7E95E34A">
            <w:pPr>
              <w:pStyle w:val="12"/>
            </w:pPr>
            <w:r>
              <w:t>家长和学生满意度</w:t>
            </w:r>
          </w:p>
        </w:tc>
        <w:tc>
          <w:tcPr>
            <w:tcW w:w="5386" w:type="dxa"/>
            <w:vAlign w:val="center"/>
          </w:tcPr>
          <w:p w14:paraId="543E0D50">
            <w:pPr>
              <w:pStyle w:val="12"/>
            </w:pPr>
            <w:r>
              <w:t>家长和学生满意度</w:t>
            </w:r>
          </w:p>
        </w:tc>
        <w:tc>
          <w:tcPr>
            <w:tcW w:w="2268" w:type="dxa"/>
            <w:vAlign w:val="center"/>
          </w:tcPr>
          <w:p w14:paraId="3DD0A72E">
            <w:pPr>
              <w:pStyle w:val="12"/>
            </w:pPr>
            <w:r>
              <w:t>≥95%</w:t>
            </w:r>
          </w:p>
        </w:tc>
        <w:tc>
          <w:tcPr>
            <w:tcW w:w="1276" w:type="dxa"/>
            <w:vAlign w:val="center"/>
          </w:tcPr>
          <w:p w14:paraId="13856E25">
            <w:pPr>
              <w:pStyle w:val="12"/>
            </w:pPr>
            <w:r>
              <w:t>问卷调查</w:t>
            </w:r>
          </w:p>
        </w:tc>
      </w:tr>
    </w:tbl>
    <w:p w14:paraId="25EEB9B4">
      <w:pPr>
        <w:sectPr>
          <w:pgSz w:w="16840" w:h="11900" w:orient="landscape"/>
          <w:pgMar w:top="1361" w:right="1020" w:bottom="1134" w:left="1020" w:header="720" w:footer="720" w:gutter="0"/>
          <w:cols w:space="720" w:num="1"/>
        </w:sectPr>
      </w:pPr>
    </w:p>
    <w:p w14:paraId="5C84809F">
      <w:pPr>
        <w:spacing w:before="0" w:after="0"/>
        <w:ind w:firstLine="560"/>
        <w:jc w:val="left"/>
        <w:outlineLvl w:val="9"/>
      </w:pPr>
      <w:r>
        <w:rPr>
          <w:rFonts w:ascii="方正仿宋_GBK" w:hAnsi="方正仿宋_GBK" w:eastAsia="方正仿宋_GBK" w:cs="方正仿宋_GBK"/>
          <w:b/>
          <w:color w:val="000000"/>
          <w:sz w:val="28"/>
        </w:rPr>
        <w:t>32、学前专项经费/固城校区绩效目标表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DB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6A895">
            <w:pPr>
              <w:pStyle w:val="11"/>
            </w:pPr>
            <w:r>
              <w:t>单位：万元</w:t>
            </w:r>
          </w:p>
        </w:tc>
      </w:tr>
      <w:tr w14:paraId="59F8F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4DCEB">
            <w:pPr>
              <w:pStyle w:val="10"/>
            </w:pPr>
            <w:r>
              <w:t>项目编码</w:t>
            </w:r>
          </w:p>
        </w:tc>
        <w:tc>
          <w:tcPr>
            <w:tcW w:w="5103" w:type="dxa"/>
            <w:gridSpan w:val="2"/>
            <w:vAlign w:val="center"/>
          </w:tcPr>
          <w:p w14:paraId="1BBB81E3">
            <w:pPr>
              <w:pStyle w:val="12"/>
            </w:pPr>
            <w:r>
              <w:t>13052526P00000210099E</w:t>
            </w:r>
          </w:p>
        </w:tc>
        <w:tc>
          <w:tcPr>
            <w:tcW w:w="2835" w:type="dxa"/>
            <w:vAlign w:val="center"/>
          </w:tcPr>
          <w:p w14:paraId="2B8E5F9F">
            <w:pPr>
              <w:pStyle w:val="10"/>
            </w:pPr>
            <w:r>
              <w:t>项目名称</w:t>
            </w:r>
          </w:p>
        </w:tc>
        <w:tc>
          <w:tcPr>
            <w:tcW w:w="6095" w:type="dxa"/>
            <w:gridSpan w:val="3"/>
            <w:vAlign w:val="center"/>
          </w:tcPr>
          <w:p w14:paraId="0F374F21">
            <w:pPr>
              <w:pStyle w:val="12"/>
            </w:pPr>
            <w:r>
              <w:t>学前专项经费/固城校区</w:t>
            </w:r>
          </w:p>
        </w:tc>
      </w:tr>
      <w:tr w14:paraId="6C980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F8F79">
            <w:pPr>
              <w:pStyle w:val="10"/>
            </w:pPr>
            <w:r>
              <w:t>预算规模及资金用途</w:t>
            </w:r>
          </w:p>
        </w:tc>
        <w:tc>
          <w:tcPr>
            <w:tcW w:w="2268" w:type="dxa"/>
            <w:vAlign w:val="center"/>
          </w:tcPr>
          <w:p w14:paraId="3145A624">
            <w:pPr>
              <w:pStyle w:val="10"/>
            </w:pPr>
            <w:r>
              <w:t>预算数</w:t>
            </w:r>
          </w:p>
        </w:tc>
        <w:tc>
          <w:tcPr>
            <w:tcW w:w="2835" w:type="dxa"/>
            <w:vAlign w:val="center"/>
          </w:tcPr>
          <w:p w14:paraId="12EA622E">
            <w:pPr>
              <w:pStyle w:val="12"/>
            </w:pPr>
            <w:r>
              <w:t>24.54</w:t>
            </w:r>
          </w:p>
        </w:tc>
        <w:tc>
          <w:tcPr>
            <w:tcW w:w="2835" w:type="dxa"/>
            <w:vAlign w:val="center"/>
          </w:tcPr>
          <w:p w14:paraId="0CB8202A">
            <w:pPr>
              <w:pStyle w:val="10"/>
            </w:pPr>
            <w:r>
              <w:t>其中：财政    资金</w:t>
            </w:r>
          </w:p>
        </w:tc>
        <w:tc>
          <w:tcPr>
            <w:tcW w:w="2551" w:type="dxa"/>
            <w:vAlign w:val="center"/>
          </w:tcPr>
          <w:p w14:paraId="132C5125">
            <w:pPr>
              <w:pStyle w:val="12"/>
            </w:pPr>
            <w:r>
              <w:t>24.54</w:t>
            </w:r>
          </w:p>
        </w:tc>
        <w:tc>
          <w:tcPr>
            <w:tcW w:w="2268" w:type="dxa"/>
            <w:vAlign w:val="center"/>
          </w:tcPr>
          <w:p w14:paraId="05220BCA">
            <w:pPr>
              <w:pStyle w:val="10"/>
            </w:pPr>
            <w:r>
              <w:t>其他资金</w:t>
            </w:r>
          </w:p>
        </w:tc>
        <w:tc>
          <w:tcPr>
            <w:tcW w:w="1276" w:type="dxa"/>
            <w:vAlign w:val="center"/>
          </w:tcPr>
          <w:p w14:paraId="3A59152B">
            <w:pPr>
              <w:pStyle w:val="12"/>
            </w:pPr>
            <w:r>
              <w:t xml:space="preserve"> </w:t>
            </w:r>
          </w:p>
        </w:tc>
      </w:tr>
      <w:tr w14:paraId="2411C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4C182"/>
        </w:tc>
        <w:tc>
          <w:tcPr>
            <w:tcW w:w="14033" w:type="dxa"/>
            <w:gridSpan w:val="6"/>
            <w:vAlign w:val="center"/>
          </w:tcPr>
          <w:p w14:paraId="351A01A4">
            <w:pPr>
              <w:pStyle w:val="12"/>
            </w:pPr>
            <w:r>
              <w:t>按要求完成公立幼儿园保育费按月/季度上缴财政，保障幼儿园教师工资按时发放。</w:t>
            </w:r>
          </w:p>
        </w:tc>
      </w:tr>
      <w:tr w14:paraId="0CB44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D6D6F">
            <w:pPr>
              <w:pStyle w:val="10"/>
            </w:pPr>
            <w:r>
              <w:t>资金支出计划（%）</w:t>
            </w:r>
          </w:p>
        </w:tc>
        <w:tc>
          <w:tcPr>
            <w:tcW w:w="5103" w:type="dxa"/>
            <w:gridSpan w:val="2"/>
            <w:vAlign w:val="center"/>
          </w:tcPr>
          <w:p w14:paraId="4E462D8E">
            <w:pPr>
              <w:pStyle w:val="10"/>
            </w:pPr>
            <w:r>
              <w:t>3月底</w:t>
            </w:r>
          </w:p>
        </w:tc>
        <w:tc>
          <w:tcPr>
            <w:tcW w:w="2835" w:type="dxa"/>
            <w:vAlign w:val="center"/>
          </w:tcPr>
          <w:p w14:paraId="3507F60D">
            <w:pPr>
              <w:pStyle w:val="10"/>
            </w:pPr>
            <w:r>
              <w:t>6月底</w:t>
            </w:r>
          </w:p>
        </w:tc>
        <w:tc>
          <w:tcPr>
            <w:tcW w:w="2551" w:type="dxa"/>
            <w:vAlign w:val="center"/>
          </w:tcPr>
          <w:p w14:paraId="27F8E835">
            <w:pPr>
              <w:pStyle w:val="10"/>
            </w:pPr>
            <w:r>
              <w:t>10月底</w:t>
            </w:r>
          </w:p>
        </w:tc>
        <w:tc>
          <w:tcPr>
            <w:tcW w:w="3544" w:type="dxa"/>
            <w:gridSpan w:val="2"/>
            <w:vAlign w:val="center"/>
          </w:tcPr>
          <w:p w14:paraId="045FC82A">
            <w:pPr>
              <w:pStyle w:val="10"/>
            </w:pPr>
            <w:r>
              <w:t>12月底</w:t>
            </w:r>
          </w:p>
        </w:tc>
      </w:tr>
      <w:tr w14:paraId="570F8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55640"/>
        </w:tc>
        <w:tc>
          <w:tcPr>
            <w:tcW w:w="5103" w:type="dxa"/>
            <w:gridSpan w:val="2"/>
            <w:vAlign w:val="center"/>
          </w:tcPr>
          <w:p w14:paraId="10F77484">
            <w:pPr>
              <w:pStyle w:val="13"/>
            </w:pPr>
            <w:r>
              <w:t>25%</w:t>
            </w:r>
          </w:p>
        </w:tc>
        <w:tc>
          <w:tcPr>
            <w:tcW w:w="2835" w:type="dxa"/>
            <w:vAlign w:val="center"/>
          </w:tcPr>
          <w:p w14:paraId="54805AC2">
            <w:pPr>
              <w:pStyle w:val="13"/>
            </w:pPr>
            <w:r>
              <w:t>50%</w:t>
            </w:r>
          </w:p>
        </w:tc>
        <w:tc>
          <w:tcPr>
            <w:tcW w:w="2551" w:type="dxa"/>
            <w:vAlign w:val="center"/>
          </w:tcPr>
          <w:p w14:paraId="5F8E60B7">
            <w:pPr>
              <w:pStyle w:val="13"/>
            </w:pPr>
            <w:r>
              <w:t>75%</w:t>
            </w:r>
          </w:p>
        </w:tc>
        <w:tc>
          <w:tcPr>
            <w:tcW w:w="3544" w:type="dxa"/>
            <w:gridSpan w:val="2"/>
            <w:vAlign w:val="center"/>
          </w:tcPr>
          <w:p w14:paraId="740194AF">
            <w:pPr>
              <w:pStyle w:val="13"/>
            </w:pPr>
            <w:r>
              <w:t>100%</w:t>
            </w:r>
          </w:p>
        </w:tc>
      </w:tr>
      <w:tr w14:paraId="312D7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22A81">
            <w:pPr>
              <w:pStyle w:val="10"/>
            </w:pPr>
            <w:r>
              <w:t>绩效目标</w:t>
            </w:r>
          </w:p>
        </w:tc>
        <w:tc>
          <w:tcPr>
            <w:tcW w:w="14033" w:type="dxa"/>
            <w:gridSpan w:val="6"/>
            <w:vAlign w:val="center"/>
          </w:tcPr>
          <w:p w14:paraId="6AEDEC03">
            <w:pPr>
              <w:pStyle w:val="12"/>
            </w:pPr>
            <w:r>
              <w:t>1.按要求完成公立幼儿园保育费按月/季度上缴财政。</w:t>
            </w:r>
          </w:p>
          <w:p w14:paraId="7A7FED79">
            <w:pPr>
              <w:pStyle w:val="12"/>
            </w:pPr>
            <w:r>
              <w:t>2.按上缴财政序时进度完成公立幼儿园保育费支出。</w:t>
            </w:r>
          </w:p>
        </w:tc>
      </w:tr>
    </w:tbl>
    <w:p w14:paraId="0750D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7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BFEB4">
            <w:pPr>
              <w:pStyle w:val="10"/>
            </w:pPr>
            <w:r>
              <w:t>一级指标</w:t>
            </w:r>
          </w:p>
        </w:tc>
        <w:tc>
          <w:tcPr>
            <w:tcW w:w="2268" w:type="dxa"/>
            <w:vAlign w:val="center"/>
          </w:tcPr>
          <w:p w14:paraId="6CC15807">
            <w:pPr>
              <w:pStyle w:val="10"/>
            </w:pPr>
            <w:r>
              <w:t>二级指标</w:t>
            </w:r>
          </w:p>
        </w:tc>
        <w:tc>
          <w:tcPr>
            <w:tcW w:w="2835" w:type="dxa"/>
            <w:vAlign w:val="center"/>
          </w:tcPr>
          <w:p w14:paraId="2A251EBC">
            <w:pPr>
              <w:pStyle w:val="10"/>
            </w:pPr>
            <w:r>
              <w:t>三级指标</w:t>
            </w:r>
          </w:p>
        </w:tc>
        <w:tc>
          <w:tcPr>
            <w:tcW w:w="5386" w:type="dxa"/>
            <w:vAlign w:val="center"/>
          </w:tcPr>
          <w:p w14:paraId="244996D4">
            <w:pPr>
              <w:pStyle w:val="10"/>
            </w:pPr>
            <w:r>
              <w:t>绩效指标描述</w:t>
            </w:r>
          </w:p>
        </w:tc>
        <w:tc>
          <w:tcPr>
            <w:tcW w:w="2268" w:type="dxa"/>
            <w:vAlign w:val="center"/>
          </w:tcPr>
          <w:p w14:paraId="4E23EBA8">
            <w:pPr>
              <w:pStyle w:val="10"/>
            </w:pPr>
            <w:r>
              <w:t>指标值</w:t>
            </w:r>
          </w:p>
        </w:tc>
        <w:tc>
          <w:tcPr>
            <w:tcW w:w="1276" w:type="dxa"/>
            <w:vAlign w:val="center"/>
          </w:tcPr>
          <w:p w14:paraId="0991C847">
            <w:pPr>
              <w:pStyle w:val="10"/>
            </w:pPr>
            <w:r>
              <w:t>指标值确定依据</w:t>
            </w:r>
          </w:p>
        </w:tc>
      </w:tr>
      <w:tr w14:paraId="3489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09D73">
            <w:pPr>
              <w:pStyle w:val="13"/>
            </w:pPr>
            <w:r>
              <w:t>产出指标</w:t>
            </w:r>
          </w:p>
        </w:tc>
        <w:tc>
          <w:tcPr>
            <w:tcW w:w="2268" w:type="dxa"/>
            <w:vAlign w:val="center"/>
          </w:tcPr>
          <w:p w14:paraId="7CF9B631">
            <w:pPr>
              <w:pStyle w:val="12"/>
            </w:pPr>
            <w:r>
              <w:t>数量指标</w:t>
            </w:r>
          </w:p>
        </w:tc>
        <w:tc>
          <w:tcPr>
            <w:tcW w:w="2835" w:type="dxa"/>
            <w:vAlign w:val="center"/>
          </w:tcPr>
          <w:p w14:paraId="4CFC764E">
            <w:pPr>
              <w:pStyle w:val="12"/>
            </w:pPr>
            <w:r>
              <w:t>适龄在校生</w:t>
            </w:r>
          </w:p>
        </w:tc>
        <w:tc>
          <w:tcPr>
            <w:tcW w:w="5386" w:type="dxa"/>
            <w:vAlign w:val="center"/>
          </w:tcPr>
          <w:p w14:paraId="41D21F31">
            <w:pPr>
              <w:pStyle w:val="12"/>
            </w:pPr>
            <w:r>
              <w:t>适龄在校就读学生人数</w:t>
            </w:r>
          </w:p>
        </w:tc>
        <w:tc>
          <w:tcPr>
            <w:tcW w:w="2268" w:type="dxa"/>
            <w:vAlign w:val="center"/>
          </w:tcPr>
          <w:p w14:paraId="0F254D43">
            <w:pPr>
              <w:pStyle w:val="12"/>
            </w:pPr>
            <w:r>
              <w:t>337人</w:t>
            </w:r>
          </w:p>
        </w:tc>
        <w:tc>
          <w:tcPr>
            <w:tcW w:w="1276" w:type="dxa"/>
            <w:vAlign w:val="center"/>
          </w:tcPr>
          <w:p w14:paraId="67AC27D6">
            <w:pPr>
              <w:pStyle w:val="12"/>
            </w:pPr>
            <w:r>
              <w:t>年度工作计划</w:t>
            </w:r>
          </w:p>
        </w:tc>
      </w:tr>
      <w:tr w14:paraId="020E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526A"/>
        </w:tc>
        <w:tc>
          <w:tcPr>
            <w:tcW w:w="2268" w:type="dxa"/>
            <w:vAlign w:val="center"/>
          </w:tcPr>
          <w:p w14:paraId="491019F1">
            <w:pPr>
              <w:pStyle w:val="12"/>
            </w:pPr>
            <w:r>
              <w:t>质量指标</w:t>
            </w:r>
          </w:p>
        </w:tc>
        <w:tc>
          <w:tcPr>
            <w:tcW w:w="2835" w:type="dxa"/>
            <w:vAlign w:val="center"/>
          </w:tcPr>
          <w:p w14:paraId="14099549">
            <w:pPr>
              <w:pStyle w:val="12"/>
            </w:pPr>
            <w:r>
              <w:t>按月上缴财政完成率</w:t>
            </w:r>
          </w:p>
        </w:tc>
        <w:tc>
          <w:tcPr>
            <w:tcW w:w="5386" w:type="dxa"/>
            <w:vAlign w:val="center"/>
          </w:tcPr>
          <w:p w14:paraId="219FB863">
            <w:pPr>
              <w:pStyle w:val="12"/>
            </w:pPr>
            <w:r>
              <w:t>按月完成公立幼儿园保育费上缴财政</w:t>
            </w:r>
          </w:p>
        </w:tc>
        <w:tc>
          <w:tcPr>
            <w:tcW w:w="2268" w:type="dxa"/>
            <w:vAlign w:val="center"/>
          </w:tcPr>
          <w:p w14:paraId="48316895">
            <w:pPr>
              <w:pStyle w:val="12"/>
            </w:pPr>
            <w:r>
              <w:t>100%</w:t>
            </w:r>
          </w:p>
        </w:tc>
        <w:tc>
          <w:tcPr>
            <w:tcW w:w="1276" w:type="dxa"/>
            <w:vAlign w:val="center"/>
          </w:tcPr>
          <w:p w14:paraId="3CC0D511">
            <w:pPr>
              <w:pStyle w:val="12"/>
            </w:pPr>
            <w:r>
              <w:t>年度工作计划</w:t>
            </w:r>
          </w:p>
        </w:tc>
      </w:tr>
      <w:tr w14:paraId="6040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233BC"/>
        </w:tc>
        <w:tc>
          <w:tcPr>
            <w:tcW w:w="2268" w:type="dxa"/>
            <w:vAlign w:val="center"/>
          </w:tcPr>
          <w:p w14:paraId="46CB834F">
            <w:pPr>
              <w:pStyle w:val="12"/>
            </w:pPr>
            <w:r>
              <w:t>时效指标</w:t>
            </w:r>
          </w:p>
        </w:tc>
        <w:tc>
          <w:tcPr>
            <w:tcW w:w="2835" w:type="dxa"/>
            <w:vAlign w:val="center"/>
          </w:tcPr>
          <w:p w14:paraId="42FC1D59">
            <w:pPr>
              <w:pStyle w:val="12"/>
            </w:pPr>
            <w:r>
              <w:t>资金支付率</w:t>
            </w:r>
          </w:p>
        </w:tc>
        <w:tc>
          <w:tcPr>
            <w:tcW w:w="5386" w:type="dxa"/>
            <w:vAlign w:val="center"/>
          </w:tcPr>
          <w:p w14:paraId="566080E6">
            <w:pPr>
              <w:pStyle w:val="12"/>
            </w:pPr>
            <w:r>
              <w:t>按照上缴财政进度完成公立幼儿园保育费支付</w:t>
            </w:r>
          </w:p>
        </w:tc>
        <w:tc>
          <w:tcPr>
            <w:tcW w:w="2268" w:type="dxa"/>
            <w:vAlign w:val="center"/>
          </w:tcPr>
          <w:p w14:paraId="340734E7">
            <w:pPr>
              <w:pStyle w:val="12"/>
            </w:pPr>
            <w:r>
              <w:t>100%</w:t>
            </w:r>
          </w:p>
        </w:tc>
        <w:tc>
          <w:tcPr>
            <w:tcW w:w="1276" w:type="dxa"/>
            <w:vAlign w:val="center"/>
          </w:tcPr>
          <w:p w14:paraId="570001FD">
            <w:pPr>
              <w:pStyle w:val="12"/>
            </w:pPr>
            <w:r>
              <w:t>年度工作计划</w:t>
            </w:r>
          </w:p>
        </w:tc>
      </w:tr>
      <w:tr w14:paraId="79CF3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BB133"/>
        </w:tc>
        <w:tc>
          <w:tcPr>
            <w:tcW w:w="2268" w:type="dxa"/>
            <w:vAlign w:val="center"/>
          </w:tcPr>
          <w:p w14:paraId="2284D802">
            <w:pPr>
              <w:pStyle w:val="12"/>
            </w:pPr>
            <w:r>
              <w:t>成本指标</w:t>
            </w:r>
          </w:p>
        </w:tc>
        <w:tc>
          <w:tcPr>
            <w:tcW w:w="2835" w:type="dxa"/>
            <w:vAlign w:val="center"/>
          </w:tcPr>
          <w:p w14:paraId="73E25BFC">
            <w:pPr>
              <w:pStyle w:val="12"/>
            </w:pPr>
            <w:r>
              <w:t>生均拨款标准拨付率</w:t>
            </w:r>
          </w:p>
        </w:tc>
        <w:tc>
          <w:tcPr>
            <w:tcW w:w="5386" w:type="dxa"/>
            <w:vAlign w:val="center"/>
          </w:tcPr>
          <w:p w14:paraId="0C844AC8">
            <w:pPr>
              <w:pStyle w:val="12"/>
            </w:pPr>
            <w:r>
              <w:t>农村示范园170元/月/生农村一类园150元/月/生，农村二类园130元/月/生</w:t>
            </w:r>
          </w:p>
        </w:tc>
        <w:tc>
          <w:tcPr>
            <w:tcW w:w="2268" w:type="dxa"/>
            <w:vAlign w:val="center"/>
          </w:tcPr>
          <w:p w14:paraId="7584A3F3">
            <w:pPr>
              <w:pStyle w:val="12"/>
            </w:pPr>
            <w:r>
              <w:t>100%</w:t>
            </w:r>
          </w:p>
        </w:tc>
        <w:tc>
          <w:tcPr>
            <w:tcW w:w="1276" w:type="dxa"/>
            <w:vAlign w:val="center"/>
          </w:tcPr>
          <w:p w14:paraId="7E3F5DD8">
            <w:pPr>
              <w:pStyle w:val="12"/>
            </w:pPr>
            <w:r>
              <w:t>年度工作计划</w:t>
            </w:r>
          </w:p>
        </w:tc>
      </w:tr>
      <w:tr w14:paraId="3167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DB64C">
            <w:pPr>
              <w:pStyle w:val="13"/>
            </w:pPr>
            <w:r>
              <w:t>效益指标</w:t>
            </w:r>
          </w:p>
        </w:tc>
        <w:tc>
          <w:tcPr>
            <w:tcW w:w="2268" w:type="dxa"/>
            <w:vAlign w:val="center"/>
          </w:tcPr>
          <w:p w14:paraId="647FF12A">
            <w:pPr>
              <w:pStyle w:val="12"/>
            </w:pPr>
            <w:r>
              <w:t>社会效益指标</w:t>
            </w:r>
          </w:p>
        </w:tc>
        <w:tc>
          <w:tcPr>
            <w:tcW w:w="2835" w:type="dxa"/>
            <w:vAlign w:val="center"/>
          </w:tcPr>
          <w:p w14:paraId="39C0BF79">
            <w:pPr>
              <w:pStyle w:val="12"/>
            </w:pPr>
            <w:r>
              <w:t>幼儿园办园能力提升</w:t>
            </w:r>
          </w:p>
        </w:tc>
        <w:tc>
          <w:tcPr>
            <w:tcW w:w="5386" w:type="dxa"/>
            <w:vAlign w:val="center"/>
          </w:tcPr>
          <w:p w14:paraId="5AF0295D">
            <w:pPr>
              <w:pStyle w:val="12"/>
            </w:pPr>
            <w:r>
              <w:t>幼儿园办园能力提升情况及教育教学工作等开展的情况</w:t>
            </w:r>
          </w:p>
        </w:tc>
        <w:tc>
          <w:tcPr>
            <w:tcW w:w="2268" w:type="dxa"/>
            <w:vAlign w:val="center"/>
          </w:tcPr>
          <w:p w14:paraId="092F0870">
            <w:pPr>
              <w:pStyle w:val="12"/>
            </w:pPr>
            <w:r>
              <w:t>≥98%</w:t>
            </w:r>
          </w:p>
        </w:tc>
        <w:tc>
          <w:tcPr>
            <w:tcW w:w="1276" w:type="dxa"/>
            <w:vAlign w:val="center"/>
          </w:tcPr>
          <w:p w14:paraId="4FF411CC">
            <w:pPr>
              <w:pStyle w:val="12"/>
            </w:pPr>
            <w:r>
              <w:t>年度工作计划</w:t>
            </w:r>
          </w:p>
        </w:tc>
      </w:tr>
      <w:tr w14:paraId="3EA9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835E6">
            <w:pPr>
              <w:pStyle w:val="13"/>
            </w:pPr>
            <w:r>
              <w:t>满意度指标</w:t>
            </w:r>
          </w:p>
        </w:tc>
        <w:tc>
          <w:tcPr>
            <w:tcW w:w="2268" w:type="dxa"/>
            <w:vAlign w:val="center"/>
          </w:tcPr>
          <w:p w14:paraId="2CB1835C">
            <w:pPr>
              <w:pStyle w:val="12"/>
            </w:pPr>
            <w:r>
              <w:t>服务对象满意度指标</w:t>
            </w:r>
          </w:p>
        </w:tc>
        <w:tc>
          <w:tcPr>
            <w:tcW w:w="2835" w:type="dxa"/>
            <w:vAlign w:val="center"/>
          </w:tcPr>
          <w:p w14:paraId="2842BC72">
            <w:pPr>
              <w:pStyle w:val="12"/>
            </w:pPr>
            <w:r>
              <w:t>受益学生家长及调查满意度</w:t>
            </w:r>
          </w:p>
        </w:tc>
        <w:tc>
          <w:tcPr>
            <w:tcW w:w="5386" w:type="dxa"/>
            <w:vAlign w:val="center"/>
          </w:tcPr>
          <w:p w14:paraId="742B098D">
            <w:pPr>
              <w:pStyle w:val="12"/>
            </w:pPr>
            <w:r>
              <w:t>幼儿、教师及家长对学校保教保育工作满意度情况</w:t>
            </w:r>
          </w:p>
        </w:tc>
        <w:tc>
          <w:tcPr>
            <w:tcW w:w="2268" w:type="dxa"/>
            <w:vAlign w:val="center"/>
          </w:tcPr>
          <w:p w14:paraId="47EE44C8">
            <w:pPr>
              <w:pStyle w:val="12"/>
            </w:pPr>
            <w:r>
              <w:t>≥95%</w:t>
            </w:r>
          </w:p>
        </w:tc>
        <w:tc>
          <w:tcPr>
            <w:tcW w:w="1276" w:type="dxa"/>
            <w:vAlign w:val="center"/>
          </w:tcPr>
          <w:p w14:paraId="7AE8A8B4">
            <w:pPr>
              <w:pStyle w:val="12"/>
            </w:pPr>
            <w:r>
              <w:t>年度工作计划</w:t>
            </w:r>
          </w:p>
        </w:tc>
      </w:tr>
    </w:tbl>
    <w:p w14:paraId="627A7D84">
      <w:pPr>
        <w:sectPr>
          <w:pgSz w:w="16840" w:h="11900" w:orient="landscape"/>
          <w:pgMar w:top="1361" w:right="1020" w:bottom="1134" w:left="1020" w:header="720" w:footer="720" w:gutter="0"/>
          <w:cols w:space="720" w:num="1"/>
        </w:sectPr>
      </w:pPr>
    </w:p>
    <w:p w14:paraId="2EC3D9D1">
      <w:pPr>
        <w:spacing w:before="10" w:after="10" w:line="240" w:lineRule="auto"/>
        <w:ind w:firstLine="640"/>
        <w:jc w:val="left"/>
        <w:outlineLvl w:val="5"/>
      </w:pPr>
      <w:r>
        <w:rPr>
          <w:rFonts w:ascii="黑体" w:hAnsi="黑体" w:eastAsia="黑体" w:cs="黑体"/>
          <w:color w:val="000000"/>
          <w:sz w:val="32"/>
        </w:rPr>
        <w:t>六、政府采购预算情况</w:t>
      </w:r>
    </w:p>
    <w:p w14:paraId="5DB69EF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A3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858759">
            <w:pPr>
              <w:pStyle w:val="9"/>
            </w:pPr>
            <w:r>
              <w:t>360023隆尧县固城校区</w:t>
            </w:r>
          </w:p>
        </w:tc>
        <w:tc>
          <w:tcPr>
            <w:tcW w:w="8676" w:type="dxa"/>
            <w:gridSpan w:val="9"/>
            <w:tcBorders>
              <w:top w:val="single" w:color="FFFFFF" w:sz="6" w:space="0"/>
              <w:left w:val="single" w:color="FFFFFF" w:sz="6" w:space="0"/>
              <w:right w:val="single" w:color="FFFFFF" w:sz="6" w:space="0"/>
            </w:tcBorders>
            <w:vAlign w:val="center"/>
          </w:tcPr>
          <w:p w14:paraId="7C7B8634">
            <w:pPr>
              <w:pStyle w:val="21"/>
            </w:pPr>
            <w:r>
              <w:t>单位：万元</w:t>
            </w:r>
          </w:p>
        </w:tc>
      </w:tr>
      <w:tr w14:paraId="4AA2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231FB8">
            <w:pPr>
              <w:pStyle w:val="10"/>
            </w:pPr>
            <w:r>
              <w:t>政府采购项目来源</w:t>
            </w:r>
          </w:p>
        </w:tc>
        <w:tc>
          <w:tcPr>
            <w:tcW w:w="1134" w:type="dxa"/>
            <w:vMerge w:val="restart"/>
            <w:vAlign w:val="center"/>
          </w:tcPr>
          <w:p w14:paraId="1CBD7D24">
            <w:pPr>
              <w:pStyle w:val="10"/>
            </w:pPr>
            <w:r>
              <w:t>采购物品名称</w:t>
            </w:r>
          </w:p>
        </w:tc>
        <w:tc>
          <w:tcPr>
            <w:tcW w:w="1134" w:type="dxa"/>
            <w:vMerge w:val="restart"/>
            <w:vAlign w:val="center"/>
          </w:tcPr>
          <w:p w14:paraId="1E407B8B">
            <w:pPr>
              <w:pStyle w:val="10"/>
            </w:pPr>
            <w:r>
              <w:t>政府采购目录序号</w:t>
            </w:r>
          </w:p>
        </w:tc>
        <w:tc>
          <w:tcPr>
            <w:tcW w:w="709" w:type="dxa"/>
            <w:vMerge w:val="restart"/>
            <w:vAlign w:val="center"/>
          </w:tcPr>
          <w:p w14:paraId="513EBB96">
            <w:pPr>
              <w:pStyle w:val="10"/>
            </w:pPr>
            <w:r>
              <w:t>计量  单位</w:t>
            </w:r>
          </w:p>
        </w:tc>
        <w:tc>
          <w:tcPr>
            <w:tcW w:w="850" w:type="dxa"/>
            <w:vMerge w:val="restart"/>
            <w:vAlign w:val="center"/>
          </w:tcPr>
          <w:p w14:paraId="2897685D">
            <w:pPr>
              <w:pStyle w:val="10"/>
            </w:pPr>
            <w:r>
              <w:t>数量</w:t>
            </w:r>
          </w:p>
        </w:tc>
        <w:tc>
          <w:tcPr>
            <w:tcW w:w="850" w:type="dxa"/>
            <w:vMerge w:val="restart"/>
            <w:vAlign w:val="center"/>
          </w:tcPr>
          <w:p w14:paraId="343BD528">
            <w:pPr>
              <w:pStyle w:val="10"/>
            </w:pPr>
            <w:r>
              <w:t>单价</w:t>
            </w:r>
          </w:p>
        </w:tc>
        <w:tc>
          <w:tcPr>
            <w:tcW w:w="7712" w:type="dxa"/>
            <w:gridSpan w:val="8"/>
            <w:vAlign w:val="center"/>
          </w:tcPr>
          <w:p w14:paraId="211AE518">
            <w:pPr>
              <w:pStyle w:val="10"/>
            </w:pPr>
            <w:r>
              <w:t>政府采购金额（当年部门预算安排资金）</w:t>
            </w:r>
          </w:p>
        </w:tc>
        <w:tc>
          <w:tcPr>
            <w:tcW w:w="964" w:type="dxa"/>
            <w:vMerge w:val="restart"/>
            <w:vAlign w:val="center"/>
          </w:tcPr>
          <w:p w14:paraId="5D54041B">
            <w:pPr>
              <w:pStyle w:val="10"/>
            </w:pPr>
            <w:r>
              <w:t>2026年  预留中  小微企  业份额</w:t>
            </w:r>
          </w:p>
        </w:tc>
      </w:tr>
      <w:tr w14:paraId="3100C3B5">
        <w:tblPrEx>
          <w:tblCellMar>
            <w:top w:w="0" w:type="dxa"/>
            <w:left w:w="108" w:type="dxa"/>
            <w:bottom w:w="0" w:type="dxa"/>
            <w:right w:w="108" w:type="dxa"/>
          </w:tblCellMar>
        </w:tblPrEx>
        <w:trPr>
          <w:tblHeader/>
          <w:jc w:val="center"/>
        </w:trPr>
        <w:tc>
          <w:tcPr>
            <w:tcW w:w="1701" w:type="dxa"/>
            <w:vAlign w:val="center"/>
          </w:tcPr>
          <w:p w14:paraId="1FFE4B59">
            <w:pPr>
              <w:pStyle w:val="10"/>
            </w:pPr>
            <w:r>
              <w:t>项目名称</w:t>
            </w:r>
          </w:p>
        </w:tc>
        <w:tc>
          <w:tcPr>
            <w:tcW w:w="964" w:type="dxa"/>
            <w:vAlign w:val="center"/>
          </w:tcPr>
          <w:p w14:paraId="3FF7FE5C">
            <w:pPr>
              <w:pStyle w:val="10"/>
            </w:pPr>
            <w:r>
              <w:t>预算    资金</w:t>
            </w:r>
          </w:p>
        </w:tc>
        <w:tc>
          <w:tcPr>
            <w:tcW w:w="1134" w:type="dxa"/>
            <w:vMerge w:val="continue"/>
          </w:tcPr>
          <w:p w14:paraId="230774D8"/>
        </w:tc>
        <w:tc>
          <w:tcPr>
            <w:tcW w:w="1134" w:type="dxa"/>
            <w:vMerge w:val="continue"/>
          </w:tcPr>
          <w:p w14:paraId="17A8DA6F"/>
        </w:tc>
        <w:tc>
          <w:tcPr>
            <w:tcW w:w="709" w:type="dxa"/>
            <w:vMerge w:val="continue"/>
          </w:tcPr>
          <w:p w14:paraId="6D73BDE9"/>
        </w:tc>
        <w:tc>
          <w:tcPr>
            <w:tcW w:w="850" w:type="dxa"/>
            <w:vMerge w:val="continue"/>
          </w:tcPr>
          <w:p w14:paraId="7D4DEC33"/>
        </w:tc>
        <w:tc>
          <w:tcPr>
            <w:tcW w:w="850" w:type="dxa"/>
            <w:vMerge w:val="continue"/>
          </w:tcPr>
          <w:p w14:paraId="3A8A0D73"/>
        </w:tc>
        <w:tc>
          <w:tcPr>
            <w:tcW w:w="964" w:type="dxa"/>
            <w:vAlign w:val="center"/>
          </w:tcPr>
          <w:p w14:paraId="702B656C">
            <w:pPr>
              <w:pStyle w:val="10"/>
            </w:pPr>
            <w:r>
              <w:t>合计</w:t>
            </w:r>
          </w:p>
        </w:tc>
        <w:tc>
          <w:tcPr>
            <w:tcW w:w="964" w:type="dxa"/>
            <w:vAlign w:val="center"/>
          </w:tcPr>
          <w:p w14:paraId="577C6D8A">
            <w:pPr>
              <w:pStyle w:val="10"/>
            </w:pPr>
            <w:r>
              <w:t>一般公共预算拨款</w:t>
            </w:r>
          </w:p>
        </w:tc>
        <w:tc>
          <w:tcPr>
            <w:tcW w:w="964" w:type="dxa"/>
            <w:vAlign w:val="center"/>
          </w:tcPr>
          <w:p w14:paraId="7A4483CB">
            <w:pPr>
              <w:pStyle w:val="10"/>
            </w:pPr>
            <w:r>
              <w:t>基金预算拨款</w:t>
            </w:r>
          </w:p>
        </w:tc>
        <w:tc>
          <w:tcPr>
            <w:tcW w:w="964" w:type="dxa"/>
            <w:vAlign w:val="center"/>
          </w:tcPr>
          <w:p w14:paraId="59BA171F">
            <w:pPr>
              <w:pStyle w:val="10"/>
            </w:pPr>
            <w:r>
              <w:t>国有资本经营预算拨款</w:t>
            </w:r>
          </w:p>
        </w:tc>
        <w:tc>
          <w:tcPr>
            <w:tcW w:w="964" w:type="dxa"/>
            <w:vAlign w:val="center"/>
          </w:tcPr>
          <w:p w14:paraId="6F51DE6C">
            <w:pPr>
              <w:pStyle w:val="10"/>
            </w:pPr>
            <w:r>
              <w:t>财政专户核拨</w:t>
            </w:r>
          </w:p>
        </w:tc>
        <w:tc>
          <w:tcPr>
            <w:tcW w:w="964" w:type="dxa"/>
            <w:vAlign w:val="center"/>
          </w:tcPr>
          <w:p w14:paraId="5FEA51EF">
            <w:pPr>
              <w:pStyle w:val="10"/>
            </w:pPr>
            <w:r>
              <w:t>单位    资金</w:t>
            </w:r>
          </w:p>
        </w:tc>
        <w:tc>
          <w:tcPr>
            <w:tcW w:w="964" w:type="dxa"/>
            <w:vAlign w:val="center"/>
          </w:tcPr>
          <w:p w14:paraId="7AA65CBC">
            <w:pPr>
              <w:pStyle w:val="10"/>
            </w:pPr>
            <w:r>
              <w:t>财政拨款结转</w:t>
            </w:r>
          </w:p>
        </w:tc>
        <w:tc>
          <w:tcPr>
            <w:tcW w:w="964" w:type="dxa"/>
            <w:vAlign w:val="center"/>
          </w:tcPr>
          <w:p w14:paraId="7C6F78C0">
            <w:pPr>
              <w:pStyle w:val="10"/>
            </w:pPr>
            <w:r>
              <w:t>非财政拨款结余</w:t>
            </w:r>
          </w:p>
        </w:tc>
        <w:tc>
          <w:tcPr>
            <w:tcW w:w="964" w:type="dxa"/>
            <w:vMerge w:val="continue"/>
          </w:tcPr>
          <w:p w14:paraId="2ABA85D9"/>
        </w:tc>
      </w:tr>
      <w:tr w14:paraId="719C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8A4AAA">
            <w:pPr>
              <w:pStyle w:val="14"/>
            </w:pPr>
            <w:r>
              <w:t>合  计</w:t>
            </w:r>
          </w:p>
        </w:tc>
        <w:tc>
          <w:tcPr>
            <w:tcW w:w="964" w:type="dxa"/>
            <w:vAlign w:val="center"/>
          </w:tcPr>
          <w:p w14:paraId="06CB4529">
            <w:pPr>
              <w:pStyle w:val="15"/>
            </w:pPr>
          </w:p>
        </w:tc>
        <w:tc>
          <w:tcPr>
            <w:tcW w:w="1134" w:type="dxa"/>
            <w:vAlign w:val="center"/>
          </w:tcPr>
          <w:p w14:paraId="1D312D44">
            <w:pPr>
              <w:pStyle w:val="16"/>
            </w:pPr>
          </w:p>
        </w:tc>
        <w:tc>
          <w:tcPr>
            <w:tcW w:w="1134" w:type="dxa"/>
            <w:vAlign w:val="center"/>
          </w:tcPr>
          <w:p w14:paraId="6AA33BE6">
            <w:pPr>
              <w:pStyle w:val="16"/>
            </w:pPr>
          </w:p>
        </w:tc>
        <w:tc>
          <w:tcPr>
            <w:tcW w:w="709" w:type="dxa"/>
            <w:vAlign w:val="center"/>
          </w:tcPr>
          <w:p w14:paraId="0112576B">
            <w:pPr>
              <w:pStyle w:val="14"/>
            </w:pPr>
          </w:p>
        </w:tc>
        <w:tc>
          <w:tcPr>
            <w:tcW w:w="850" w:type="dxa"/>
            <w:vAlign w:val="center"/>
          </w:tcPr>
          <w:p w14:paraId="4510A604">
            <w:pPr>
              <w:pStyle w:val="15"/>
            </w:pPr>
          </w:p>
        </w:tc>
        <w:tc>
          <w:tcPr>
            <w:tcW w:w="850" w:type="dxa"/>
            <w:vAlign w:val="center"/>
          </w:tcPr>
          <w:p w14:paraId="1E0EFAA6">
            <w:pPr>
              <w:pStyle w:val="15"/>
            </w:pPr>
          </w:p>
        </w:tc>
        <w:tc>
          <w:tcPr>
            <w:tcW w:w="964" w:type="dxa"/>
            <w:vAlign w:val="center"/>
          </w:tcPr>
          <w:p w14:paraId="105EE04E">
            <w:pPr>
              <w:pStyle w:val="15"/>
            </w:pPr>
            <w:r>
              <w:t>124.15</w:t>
            </w:r>
          </w:p>
        </w:tc>
        <w:tc>
          <w:tcPr>
            <w:tcW w:w="964" w:type="dxa"/>
            <w:vAlign w:val="center"/>
          </w:tcPr>
          <w:p w14:paraId="45DB6945">
            <w:pPr>
              <w:pStyle w:val="15"/>
            </w:pPr>
            <w:r>
              <w:t>124.15</w:t>
            </w:r>
          </w:p>
        </w:tc>
        <w:tc>
          <w:tcPr>
            <w:tcW w:w="964" w:type="dxa"/>
            <w:vAlign w:val="center"/>
          </w:tcPr>
          <w:p w14:paraId="0F619FF1">
            <w:pPr>
              <w:pStyle w:val="15"/>
            </w:pPr>
          </w:p>
        </w:tc>
        <w:tc>
          <w:tcPr>
            <w:tcW w:w="964" w:type="dxa"/>
            <w:vAlign w:val="center"/>
          </w:tcPr>
          <w:p w14:paraId="08E2BFF4">
            <w:pPr>
              <w:pStyle w:val="15"/>
            </w:pPr>
          </w:p>
        </w:tc>
        <w:tc>
          <w:tcPr>
            <w:tcW w:w="964" w:type="dxa"/>
            <w:vAlign w:val="center"/>
          </w:tcPr>
          <w:p w14:paraId="713B6293">
            <w:pPr>
              <w:pStyle w:val="15"/>
            </w:pPr>
          </w:p>
        </w:tc>
        <w:tc>
          <w:tcPr>
            <w:tcW w:w="964" w:type="dxa"/>
            <w:vAlign w:val="center"/>
          </w:tcPr>
          <w:p w14:paraId="5B2DE72B">
            <w:pPr>
              <w:pStyle w:val="15"/>
            </w:pPr>
          </w:p>
        </w:tc>
        <w:tc>
          <w:tcPr>
            <w:tcW w:w="964" w:type="dxa"/>
            <w:vAlign w:val="center"/>
          </w:tcPr>
          <w:p w14:paraId="14115483">
            <w:pPr>
              <w:pStyle w:val="15"/>
            </w:pPr>
          </w:p>
        </w:tc>
        <w:tc>
          <w:tcPr>
            <w:tcW w:w="964" w:type="dxa"/>
            <w:vAlign w:val="center"/>
          </w:tcPr>
          <w:p w14:paraId="20586BBC">
            <w:pPr>
              <w:pStyle w:val="15"/>
            </w:pPr>
          </w:p>
        </w:tc>
        <w:tc>
          <w:tcPr>
            <w:tcW w:w="964" w:type="dxa"/>
            <w:vAlign w:val="center"/>
          </w:tcPr>
          <w:p w14:paraId="444E6B9F">
            <w:pPr>
              <w:pStyle w:val="15"/>
            </w:pPr>
            <w:r>
              <w:t>124.15</w:t>
            </w:r>
          </w:p>
        </w:tc>
      </w:tr>
      <w:tr w14:paraId="158E3FB9">
        <w:tblPrEx>
          <w:tblCellMar>
            <w:top w:w="0" w:type="dxa"/>
            <w:left w:w="108" w:type="dxa"/>
            <w:bottom w:w="0" w:type="dxa"/>
            <w:right w:w="108" w:type="dxa"/>
          </w:tblCellMar>
        </w:tblPrEx>
        <w:trPr>
          <w:jc w:val="center"/>
        </w:trPr>
        <w:tc>
          <w:tcPr>
            <w:tcW w:w="1701" w:type="dxa"/>
            <w:vAlign w:val="center"/>
          </w:tcPr>
          <w:p w14:paraId="64CAB81D">
            <w:pPr>
              <w:pStyle w:val="14"/>
            </w:pPr>
            <w:r>
              <w:t>隆尧县固城校区小计</w:t>
            </w:r>
          </w:p>
        </w:tc>
        <w:tc>
          <w:tcPr>
            <w:tcW w:w="964" w:type="dxa"/>
            <w:vAlign w:val="center"/>
          </w:tcPr>
          <w:p w14:paraId="685DBCD2">
            <w:pPr>
              <w:pStyle w:val="15"/>
            </w:pPr>
          </w:p>
        </w:tc>
        <w:tc>
          <w:tcPr>
            <w:tcW w:w="1134" w:type="dxa"/>
            <w:vAlign w:val="center"/>
          </w:tcPr>
          <w:p w14:paraId="59F8E366">
            <w:pPr>
              <w:pStyle w:val="16"/>
            </w:pPr>
          </w:p>
        </w:tc>
        <w:tc>
          <w:tcPr>
            <w:tcW w:w="1134" w:type="dxa"/>
            <w:vAlign w:val="center"/>
          </w:tcPr>
          <w:p w14:paraId="59A9593D">
            <w:pPr>
              <w:pStyle w:val="16"/>
            </w:pPr>
          </w:p>
        </w:tc>
        <w:tc>
          <w:tcPr>
            <w:tcW w:w="709" w:type="dxa"/>
            <w:vAlign w:val="center"/>
          </w:tcPr>
          <w:p w14:paraId="52EF9297">
            <w:pPr>
              <w:pStyle w:val="14"/>
            </w:pPr>
          </w:p>
        </w:tc>
        <w:tc>
          <w:tcPr>
            <w:tcW w:w="850" w:type="dxa"/>
            <w:vAlign w:val="center"/>
          </w:tcPr>
          <w:p w14:paraId="69F28475">
            <w:pPr>
              <w:pStyle w:val="15"/>
            </w:pPr>
          </w:p>
        </w:tc>
        <w:tc>
          <w:tcPr>
            <w:tcW w:w="850" w:type="dxa"/>
            <w:vAlign w:val="center"/>
          </w:tcPr>
          <w:p w14:paraId="36248C82">
            <w:pPr>
              <w:pStyle w:val="15"/>
            </w:pPr>
          </w:p>
        </w:tc>
        <w:tc>
          <w:tcPr>
            <w:tcW w:w="964" w:type="dxa"/>
            <w:vAlign w:val="center"/>
          </w:tcPr>
          <w:p w14:paraId="3B389C17">
            <w:pPr>
              <w:pStyle w:val="15"/>
            </w:pPr>
            <w:r>
              <w:t>124.15</w:t>
            </w:r>
          </w:p>
        </w:tc>
        <w:tc>
          <w:tcPr>
            <w:tcW w:w="964" w:type="dxa"/>
            <w:vAlign w:val="center"/>
          </w:tcPr>
          <w:p w14:paraId="703CE0C2">
            <w:pPr>
              <w:pStyle w:val="15"/>
            </w:pPr>
            <w:r>
              <w:t>124.15</w:t>
            </w:r>
          </w:p>
        </w:tc>
        <w:tc>
          <w:tcPr>
            <w:tcW w:w="964" w:type="dxa"/>
            <w:vAlign w:val="center"/>
          </w:tcPr>
          <w:p w14:paraId="05F93558">
            <w:pPr>
              <w:pStyle w:val="15"/>
            </w:pPr>
          </w:p>
        </w:tc>
        <w:tc>
          <w:tcPr>
            <w:tcW w:w="964" w:type="dxa"/>
            <w:vAlign w:val="center"/>
          </w:tcPr>
          <w:p w14:paraId="668BF525">
            <w:pPr>
              <w:pStyle w:val="15"/>
            </w:pPr>
          </w:p>
        </w:tc>
        <w:tc>
          <w:tcPr>
            <w:tcW w:w="964" w:type="dxa"/>
            <w:vAlign w:val="center"/>
          </w:tcPr>
          <w:p w14:paraId="6D267AD8">
            <w:pPr>
              <w:pStyle w:val="15"/>
            </w:pPr>
          </w:p>
        </w:tc>
        <w:tc>
          <w:tcPr>
            <w:tcW w:w="964" w:type="dxa"/>
            <w:vAlign w:val="center"/>
          </w:tcPr>
          <w:p w14:paraId="2CDB944F">
            <w:pPr>
              <w:pStyle w:val="15"/>
            </w:pPr>
          </w:p>
        </w:tc>
        <w:tc>
          <w:tcPr>
            <w:tcW w:w="964" w:type="dxa"/>
            <w:vAlign w:val="center"/>
          </w:tcPr>
          <w:p w14:paraId="119A2F0F">
            <w:pPr>
              <w:pStyle w:val="15"/>
            </w:pPr>
          </w:p>
        </w:tc>
        <w:tc>
          <w:tcPr>
            <w:tcW w:w="964" w:type="dxa"/>
            <w:vAlign w:val="center"/>
          </w:tcPr>
          <w:p w14:paraId="05C6C3D3">
            <w:pPr>
              <w:pStyle w:val="15"/>
            </w:pPr>
          </w:p>
        </w:tc>
        <w:tc>
          <w:tcPr>
            <w:tcW w:w="964" w:type="dxa"/>
            <w:vAlign w:val="center"/>
          </w:tcPr>
          <w:p w14:paraId="144329B5">
            <w:pPr>
              <w:pStyle w:val="15"/>
            </w:pPr>
            <w:r>
              <w:t>124.15</w:t>
            </w:r>
          </w:p>
        </w:tc>
      </w:tr>
      <w:tr w14:paraId="7F08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2F0AC">
            <w:pPr>
              <w:pStyle w:val="12"/>
            </w:pPr>
            <w:r>
              <w:t>冀财教[2025]121号/中央/2026年义教补助经费/固城校区东王村小学公用经费</w:t>
            </w:r>
          </w:p>
        </w:tc>
        <w:tc>
          <w:tcPr>
            <w:tcW w:w="964" w:type="dxa"/>
            <w:vAlign w:val="center"/>
          </w:tcPr>
          <w:p w14:paraId="0FD180E6">
            <w:pPr>
              <w:pStyle w:val="11"/>
            </w:pPr>
            <w:r>
              <w:t>105.54</w:t>
            </w:r>
          </w:p>
        </w:tc>
        <w:tc>
          <w:tcPr>
            <w:tcW w:w="1134" w:type="dxa"/>
            <w:vAlign w:val="center"/>
          </w:tcPr>
          <w:p w14:paraId="3C40ED06">
            <w:pPr>
              <w:pStyle w:val="12"/>
            </w:pPr>
            <w:r>
              <w:t>办公桌</w:t>
            </w:r>
          </w:p>
        </w:tc>
        <w:tc>
          <w:tcPr>
            <w:tcW w:w="1134" w:type="dxa"/>
            <w:vAlign w:val="center"/>
          </w:tcPr>
          <w:p w14:paraId="047756B5">
            <w:pPr>
              <w:pStyle w:val="12"/>
            </w:pPr>
            <w:r>
              <w:t>A05010201</w:t>
            </w:r>
          </w:p>
        </w:tc>
        <w:tc>
          <w:tcPr>
            <w:tcW w:w="709" w:type="dxa"/>
            <w:vAlign w:val="center"/>
          </w:tcPr>
          <w:p w14:paraId="5D05AB1E">
            <w:pPr>
              <w:pStyle w:val="13"/>
            </w:pPr>
            <w:r>
              <w:t>万元</w:t>
            </w:r>
          </w:p>
        </w:tc>
        <w:tc>
          <w:tcPr>
            <w:tcW w:w="850" w:type="dxa"/>
            <w:vAlign w:val="center"/>
          </w:tcPr>
          <w:p w14:paraId="3C6B9268">
            <w:pPr>
              <w:pStyle w:val="11"/>
            </w:pPr>
            <w:r>
              <w:t>1</w:t>
            </w:r>
          </w:p>
        </w:tc>
        <w:tc>
          <w:tcPr>
            <w:tcW w:w="850" w:type="dxa"/>
            <w:vAlign w:val="center"/>
          </w:tcPr>
          <w:p w14:paraId="2A1BB55E">
            <w:pPr>
              <w:pStyle w:val="11"/>
            </w:pPr>
            <w:r>
              <w:t>0.08</w:t>
            </w:r>
          </w:p>
        </w:tc>
        <w:tc>
          <w:tcPr>
            <w:tcW w:w="964" w:type="dxa"/>
            <w:vAlign w:val="center"/>
          </w:tcPr>
          <w:p w14:paraId="7E705E5B">
            <w:pPr>
              <w:pStyle w:val="11"/>
            </w:pPr>
            <w:r>
              <w:t>0.08</w:t>
            </w:r>
          </w:p>
        </w:tc>
        <w:tc>
          <w:tcPr>
            <w:tcW w:w="964" w:type="dxa"/>
            <w:vAlign w:val="center"/>
          </w:tcPr>
          <w:p w14:paraId="400824D0">
            <w:pPr>
              <w:pStyle w:val="11"/>
            </w:pPr>
            <w:r>
              <w:t>0.08</w:t>
            </w:r>
          </w:p>
        </w:tc>
        <w:tc>
          <w:tcPr>
            <w:tcW w:w="964" w:type="dxa"/>
            <w:vAlign w:val="center"/>
          </w:tcPr>
          <w:p w14:paraId="3236D41C">
            <w:pPr>
              <w:pStyle w:val="11"/>
            </w:pPr>
          </w:p>
        </w:tc>
        <w:tc>
          <w:tcPr>
            <w:tcW w:w="964" w:type="dxa"/>
            <w:vAlign w:val="center"/>
          </w:tcPr>
          <w:p w14:paraId="41B1A5AC">
            <w:pPr>
              <w:pStyle w:val="11"/>
            </w:pPr>
          </w:p>
        </w:tc>
        <w:tc>
          <w:tcPr>
            <w:tcW w:w="964" w:type="dxa"/>
            <w:vAlign w:val="center"/>
          </w:tcPr>
          <w:p w14:paraId="40F12117">
            <w:pPr>
              <w:pStyle w:val="11"/>
            </w:pPr>
          </w:p>
        </w:tc>
        <w:tc>
          <w:tcPr>
            <w:tcW w:w="964" w:type="dxa"/>
            <w:vAlign w:val="center"/>
          </w:tcPr>
          <w:p w14:paraId="26A4DCBC">
            <w:pPr>
              <w:pStyle w:val="11"/>
            </w:pPr>
          </w:p>
        </w:tc>
        <w:tc>
          <w:tcPr>
            <w:tcW w:w="964" w:type="dxa"/>
            <w:vAlign w:val="center"/>
          </w:tcPr>
          <w:p w14:paraId="5E087F6D">
            <w:pPr>
              <w:pStyle w:val="11"/>
            </w:pPr>
          </w:p>
        </w:tc>
        <w:tc>
          <w:tcPr>
            <w:tcW w:w="964" w:type="dxa"/>
            <w:vAlign w:val="center"/>
          </w:tcPr>
          <w:p w14:paraId="182806D3">
            <w:pPr>
              <w:pStyle w:val="11"/>
            </w:pPr>
          </w:p>
        </w:tc>
        <w:tc>
          <w:tcPr>
            <w:tcW w:w="964" w:type="dxa"/>
            <w:vAlign w:val="center"/>
          </w:tcPr>
          <w:p w14:paraId="15EE1691">
            <w:pPr>
              <w:pStyle w:val="11"/>
            </w:pPr>
            <w:r>
              <w:t>0.08</w:t>
            </w:r>
          </w:p>
        </w:tc>
      </w:tr>
      <w:tr w14:paraId="3E1C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AD2055">
            <w:pPr>
              <w:pStyle w:val="12"/>
            </w:pPr>
            <w:r>
              <w:t>冀财教[2025]121号/中央/2026年义教补助经费/固城校区东王村小学公用经费</w:t>
            </w:r>
          </w:p>
        </w:tc>
        <w:tc>
          <w:tcPr>
            <w:tcW w:w="964" w:type="dxa"/>
            <w:vAlign w:val="center"/>
          </w:tcPr>
          <w:p w14:paraId="5A54BD10">
            <w:pPr>
              <w:pStyle w:val="11"/>
            </w:pPr>
            <w:r>
              <w:t>105.54</w:t>
            </w:r>
          </w:p>
        </w:tc>
        <w:tc>
          <w:tcPr>
            <w:tcW w:w="1134" w:type="dxa"/>
            <w:vAlign w:val="center"/>
          </w:tcPr>
          <w:p w14:paraId="4C4DA90E">
            <w:pPr>
              <w:pStyle w:val="12"/>
            </w:pPr>
            <w:r>
              <w:t>办公桌</w:t>
            </w:r>
          </w:p>
        </w:tc>
        <w:tc>
          <w:tcPr>
            <w:tcW w:w="1134" w:type="dxa"/>
            <w:vAlign w:val="center"/>
          </w:tcPr>
          <w:p w14:paraId="025C50CA">
            <w:pPr>
              <w:pStyle w:val="12"/>
            </w:pPr>
            <w:r>
              <w:t>A05010201</w:t>
            </w:r>
          </w:p>
        </w:tc>
        <w:tc>
          <w:tcPr>
            <w:tcW w:w="709" w:type="dxa"/>
            <w:vAlign w:val="center"/>
          </w:tcPr>
          <w:p w14:paraId="4040B89A">
            <w:pPr>
              <w:pStyle w:val="13"/>
            </w:pPr>
            <w:r>
              <w:t>万元</w:t>
            </w:r>
          </w:p>
        </w:tc>
        <w:tc>
          <w:tcPr>
            <w:tcW w:w="850" w:type="dxa"/>
            <w:vAlign w:val="center"/>
          </w:tcPr>
          <w:p w14:paraId="4FC39EA6">
            <w:pPr>
              <w:pStyle w:val="11"/>
            </w:pPr>
            <w:r>
              <w:t>2</w:t>
            </w:r>
          </w:p>
        </w:tc>
        <w:tc>
          <w:tcPr>
            <w:tcW w:w="850" w:type="dxa"/>
            <w:vAlign w:val="center"/>
          </w:tcPr>
          <w:p w14:paraId="6C49FD9A">
            <w:pPr>
              <w:pStyle w:val="11"/>
            </w:pPr>
            <w:r>
              <w:t>0.08</w:t>
            </w:r>
          </w:p>
        </w:tc>
        <w:tc>
          <w:tcPr>
            <w:tcW w:w="964" w:type="dxa"/>
            <w:vAlign w:val="center"/>
          </w:tcPr>
          <w:p w14:paraId="0C23B857">
            <w:pPr>
              <w:pStyle w:val="11"/>
            </w:pPr>
            <w:r>
              <w:t>0.16</w:t>
            </w:r>
          </w:p>
        </w:tc>
        <w:tc>
          <w:tcPr>
            <w:tcW w:w="964" w:type="dxa"/>
            <w:vAlign w:val="center"/>
          </w:tcPr>
          <w:p w14:paraId="261835CB">
            <w:pPr>
              <w:pStyle w:val="11"/>
            </w:pPr>
            <w:r>
              <w:t>0.16</w:t>
            </w:r>
          </w:p>
        </w:tc>
        <w:tc>
          <w:tcPr>
            <w:tcW w:w="964" w:type="dxa"/>
            <w:vAlign w:val="center"/>
          </w:tcPr>
          <w:p w14:paraId="120E5BD9">
            <w:pPr>
              <w:pStyle w:val="11"/>
            </w:pPr>
          </w:p>
        </w:tc>
        <w:tc>
          <w:tcPr>
            <w:tcW w:w="964" w:type="dxa"/>
            <w:vAlign w:val="center"/>
          </w:tcPr>
          <w:p w14:paraId="478936F6">
            <w:pPr>
              <w:pStyle w:val="11"/>
            </w:pPr>
          </w:p>
        </w:tc>
        <w:tc>
          <w:tcPr>
            <w:tcW w:w="964" w:type="dxa"/>
            <w:vAlign w:val="center"/>
          </w:tcPr>
          <w:p w14:paraId="58C08532">
            <w:pPr>
              <w:pStyle w:val="11"/>
            </w:pPr>
          </w:p>
        </w:tc>
        <w:tc>
          <w:tcPr>
            <w:tcW w:w="964" w:type="dxa"/>
            <w:vAlign w:val="center"/>
          </w:tcPr>
          <w:p w14:paraId="51F54CA2">
            <w:pPr>
              <w:pStyle w:val="11"/>
            </w:pPr>
          </w:p>
        </w:tc>
        <w:tc>
          <w:tcPr>
            <w:tcW w:w="964" w:type="dxa"/>
            <w:vAlign w:val="center"/>
          </w:tcPr>
          <w:p w14:paraId="5F9E72C1">
            <w:pPr>
              <w:pStyle w:val="11"/>
            </w:pPr>
          </w:p>
        </w:tc>
        <w:tc>
          <w:tcPr>
            <w:tcW w:w="964" w:type="dxa"/>
            <w:vAlign w:val="center"/>
          </w:tcPr>
          <w:p w14:paraId="06DDE1B2">
            <w:pPr>
              <w:pStyle w:val="11"/>
            </w:pPr>
          </w:p>
        </w:tc>
        <w:tc>
          <w:tcPr>
            <w:tcW w:w="964" w:type="dxa"/>
            <w:vAlign w:val="center"/>
          </w:tcPr>
          <w:p w14:paraId="64A4D8B0">
            <w:pPr>
              <w:pStyle w:val="11"/>
            </w:pPr>
            <w:r>
              <w:t>0.16</w:t>
            </w:r>
          </w:p>
        </w:tc>
      </w:tr>
      <w:tr w14:paraId="7DCD7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CE6087">
            <w:pPr>
              <w:pStyle w:val="12"/>
            </w:pPr>
            <w:r>
              <w:t>冀财教[2025]121号/中央/2026年义教补助经费/固城校区东王村小学公用经费</w:t>
            </w:r>
          </w:p>
        </w:tc>
        <w:tc>
          <w:tcPr>
            <w:tcW w:w="964" w:type="dxa"/>
            <w:vAlign w:val="center"/>
          </w:tcPr>
          <w:p w14:paraId="609F7511">
            <w:pPr>
              <w:pStyle w:val="11"/>
            </w:pPr>
            <w:r>
              <w:t>105.54</w:t>
            </w:r>
          </w:p>
        </w:tc>
        <w:tc>
          <w:tcPr>
            <w:tcW w:w="1134" w:type="dxa"/>
            <w:vAlign w:val="center"/>
          </w:tcPr>
          <w:p w14:paraId="544EABE8">
            <w:pPr>
              <w:pStyle w:val="12"/>
            </w:pPr>
            <w:r>
              <w:t>办公椅</w:t>
            </w:r>
          </w:p>
        </w:tc>
        <w:tc>
          <w:tcPr>
            <w:tcW w:w="1134" w:type="dxa"/>
            <w:vAlign w:val="center"/>
          </w:tcPr>
          <w:p w14:paraId="26C8AAD8">
            <w:pPr>
              <w:pStyle w:val="12"/>
            </w:pPr>
            <w:r>
              <w:t>A05010301</w:t>
            </w:r>
          </w:p>
        </w:tc>
        <w:tc>
          <w:tcPr>
            <w:tcW w:w="709" w:type="dxa"/>
            <w:vAlign w:val="center"/>
          </w:tcPr>
          <w:p w14:paraId="6D469F01">
            <w:pPr>
              <w:pStyle w:val="13"/>
            </w:pPr>
            <w:r>
              <w:t>万元</w:t>
            </w:r>
          </w:p>
        </w:tc>
        <w:tc>
          <w:tcPr>
            <w:tcW w:w="850" w:type="dxa"/>
            <w:vAlign w:val="center"/>
          </w:tcPr>
          <w:p w14:paraId="0832B9FD">
            <w:pPr>
              <w:pStyle w:val="11"/>
            </w:pPr>
            <w:r>
              <w:t>3</w:t>
            </w:r>
          </w:p>
        </w:tc>
        <w:tc>
          <w:tcPr>
            <w:tcW w:w="850" w:type="dxa"/>
            <w:vAlign w:val="center"/>
          </w:tcPr>
          <w:p w14:paraId="78C47469">
            <w:pPr>
              <w:pStyle w:val="11"/>
            </w:pPr>
            <w:r>
              <w:t>0.02</w:t>
            </w:r>
          </w:p>
        </w:tc>
        <w:tc>
          <w:tcPr>
            <w:tcW w:w="964" w:type="dxa"/>
            <w:vAlign w:val="center"/>
          </w:tcPr>
          <w:p w14:paraId="308149B7">
            <w:pPr>
              <w:pStyle w:val="11"/>
            </w:pPr>
            <w:r>
              <w:t>0.07</w:t>
            </w:r>
          </w:p>
        </w:tc>
        <w:tc>
          <w:tcPr>
            <w:tcW w:w="964" w:type="dxa"/>
            <w:vAlign w:val="center"/>
          </w:tcPr>
          <w:p w14:paraId="79B7E34B">
            <w:pPr>
              <w:pStyle w:val="11"/>
            </w:pPr>
            <w:r>
              <w:t>0.07</w:t>
            </w:r>
          </w:p>
        </w:tc>
        <w:tc>
          <w:tcPr>
            <w:tcW w:w="964" w:type="dxa"/>
            <w:vAlign w:val="center"/>
          </w:tcPr>
          <w:p w14:paraId="233F73F7">
            <w:pPr>
              <w:pStyle w:val="11"/>
            </w:pPr>
          </w:p>
        </w:tc>
        <w:tc>
          <w:tcPr>
            <w:tcW w:w="964" w:type="dxa"/>
            <w:vAlign w:val="center"/>
          </w:tcPr>
          <w:p w14:paraId="0263597B">
            <w:pPr>
              <w:pStyle w:val="11"/>
            </w:pPr>
          </w:p>
        </w:tc>
        <w:tc>
          <w:tcPr>
            <w:tcW w:w="964" w:type="dxa"/>
            <w:vAlign w:val="center"/>
          </w:tcPr>
          <w:p w14:paraId="7530C824">
            <w:pPr>
              <w:pStyle w:val="11"/>
            </w:pPr>
          </w:p>
        </w:tc>
        <w:tc>
          <w:tcPr>
            <w:tcW w:w="964" w:type="dxa"/>
            <w:vAlign w:val="center"/>
          </w:tcPr>
          <w:p w14:paraId="31F1AC66">
            <w:pPr>
              <w:pStyle w:val="11"/>
            </w:pPr>
          </w:p>
        </w:tc>
        <w:tc>
          <w:tcPr>
            <w:tcW w:w="964" w:type="dxa"/>
            <w:vAlign w:val="center"/>
          </w:tcPr>
          <w:p w14:paraId="37C33E03">
            <w:pPr>
              <w:pStyle w:val="11"/>
            </w:pPr>
          </w:p>
        </w:tc>
        <w:tc>
          <w:tcPr>
            <w:tcW w:w="964" w:type="dxa"/>
            <w:vAlign w:val="center"/>
          </w:tcPr>
          <w:p w14:paraId="47EEE3A2">
            <w:pPr>
              <w:pStyle w:val="11"/>
            </w:pPr>
          </w:p>
        </w:tc>
        <w:tc>
          <w:tcPr>
            <w:tcW w:w="964" w:type="dxa"/>
            <w:vAlign w:val="center"/>
          </w:tcPr>
          <w:p w14:paraId="2A1F52EC">
            <w:pPr>
              <w:pStyle w:val="11"/>
            </w:pPr>
            <w:r>
              <w:t>0.07</w:t>
            </w:r>
          </w:p>
        </w:tc>
      </w:tr>
      <w:tr w14:paraId="2F43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A9F9B1">
            <w:pPr>
              <w:pStyle w:val="12"/>
            </w:pPr>
            <w:r>
              <w:t>冀财教[2025]121号/中央/2026年义教补助经费/固城校区东王村小学公用经费</w:t>
            </w:r>
          </w:p>
        </w:tc>
        <w:tc>
          <w:tcPr>
            <w:tcW w:w="964" w:type="dxa"/>
            <w:vAlign w:val="center"/>
          </w:tcPr>
          <w:p w14:paraId="0A68FD90">
            <w:pPr>
              <w:pStyle w:val="11"/>
            </w:pPr>
            <w:r>
              <w:t>105.54</w:t>
            </w:r>
          </w:p>
        </w:tc>
        <w:tc>
          <w:tcPr>
            <w:tcW w:w="1134" w:type="dxa"/>
            <w:vAlign w:val="center"/>
          </w:tcPr>
          <w:p w14:paraId="2C848819">
            <w:pPr>
              <w:pStyle w:val="12"/>
            </w:pPr>
            <w:r>
              <w:t>办公椅</w:t>
            </w:r>
          </w:p>
        </w:tc>
        <w:tc>
          <w:tcPr>
            <w:tcW w:w="1134" w:type="dxa"/>
            <w:vAlign w:val="center"/>
          </w:tcPr>
          <w:p w14:paraId="07D2817D">
            <w:pPr>
              <w:pStyle w:val="12"/>
            </w:pPr>
            <w:r>
              <w:t>A05010301</w:t>
            </w:r>
          </w:p>
        </w:tc>
        <w:tc>
          <w:tcPr>
            <w:tcW w:w="709" w:type="dxa"/>
            <w:vAlign w:val="center"/>
          </w:tcPr>
          <w:p w14:paraId="6F277A10">
            <w:pPr>
              <w:pStyle w:val="13"/>
            </w:pPr>
            <w:r>
              <w:t>万元</w:t>
            </w:r>
          </w:p>
        </w:tc>
        <w:tc>
          <w:tcPr>
            <w:tcW w:w="850" w:type="dxa"/>
            <w:vAlign w:val="center"/>
          </w:tcPr>
          <w:p w14:paraId="532B098A">
            <w:pPr>
              <w:pStyle w:val="11"/>
            </w:pPr>
            <w:r>
              <w:t>1</w:t>
            </w:r>
          </w:p>
        </w:tc>
        <w:tc>
          <w:tcPr>
            <w:tcW w:w="850" w:type="dxa"/>
            <w:vAlign w:val="center"/>
          </w:tcPr>
          <w:p w14:paraId="58193018">
            <w:pPr>
              <w:pStyle w:val="11"/>
            </w:pPr>
            <w:r>
              <w:t>0.05</w:t>
            </w:r>
          </w:p>
        </w:tc>
        <w:tc>
          <w:tcPr>
            <w:tcW w:w="964" w:type="dxa"/>
            <w:vAlign w:val="center"/>
          </w:tcPr>
          <w:p w14:paraId="11303F9E">
            <w:pPr>
              <w:pStyle w:val="11"/>
            </w:pPr>
            <w:r>
              <w:t>0.05</w:t>
            </w:r>
          </w:p>
        </w:tc>
        <w:tc>
          <w:tcPr>
            <w:tcW w:w="964" w:type="dxa"/>
            <w:vAlign w:val="center"/>
          </w:tcPr>
          <w:p w14:paraId="595BBE17">
            <w:pPr>
              <w:pStyle w:val="11"/>
            </w:pPr>
            <w:r>
              <w:t>0.05</w:t>
            </w:r>
          </w:p>
        </w:tc>
        <w:tc>
          <w:tcPr>
            <w:tcW w:w="964" w:type="dxa"/>
            <w:vAlign w:val="center"/>
          </w:tcPr>
          <w:p w14:paraId="75BB5B9F">
            <w:pPr>
              <w:pStyle w:val="11"/>
            </w:pPr>
          </w:p>
        </w:tc>
        <w:tc>
          <w:tcPr>
            <w:tcW w:w="964" w:type="dxa"/>
            <w:vAlign w:val="center"/>
          </w:tcPr>
          <w:p w14:paraId="042128CC">
            <w:pPr>
              <w:pStyle w:val="11"/>
            </w:pPr>
          </w:p>
        </w:tc>
        <w:tc>
          <w:tcPr>
            <w:tcW w:w="964" w:type="dxa"/>
            <w:vAlign w:val="center"/>
          </w:tcPr>
          <w:p w14:paraId="0D5257AA">
            <w:pPr>
              <w:pStyle w:val="11"/>
            </w:pPr>
          </w:p>
        </w:tc>
        <w:tc>
          <w:tcPr>
            <w:tcW w:w="964" w:type="dxa"/>
            <w:vAlign w:val="center"/>
          </w:tcPr>
          <w:p w14:paraId="1B14C4E9">
            <w:pPr>
              <w:pStyle w:val="11"/>
            </w:pPr>
          </w:p>
        </w:tc>
        <w:tc>
          <w:tcPr>
            <w:tcW w:w="964" w:type="dxa"/>
            <w:vAlign w:val="center"/>
          </w:tcPr>
          <w:p w14:paraId="7BE3D13E">
            <w:pPr>
              <w:pStyle w:val="11"/>
            </w:pPr>
          </w:p>
        </w:tc>
        <w:tc>
          <w:tcPr>
            <w:tcW w:w="964" w:type="dxa"/>
            <w:vAlign w:val="center"/>
          </w:tcPr>
          <w:p w14:paraId="36638FAB">
            <w:pPr>
              <w:pStyle w:val="11"/>
            </w:pPr>
          </w:p>
        </w:tc>
        <w:tc>
          <w:tcPr>
            <w:tcW w:w="964" w:type="dxa"/>
            <w:vAlign w:val="center"/>
          </w:tcPr>
          <w:p w14:paraId="12FCAC83">
            <w:pPr>
              <w:pStyle w:val="11"/>
            </w:pPr>
            <w:r>
              <w:t>0.05</w:t>
            </w:r>
          </w:p>
        </w:tc>
      </w:tr>
      <w:tr w14:paraId="237FA522">
        <w:tblPrEx>
          <w:tblCellMar>
            <w:top w:w="0" w:type="dxa"/>
            <w:left w:w="108" w:type="dxa"/>
            <w:bottom w:w="0" w:type="dxa"/>
            <w:right w:w="108" w:type="dxa"/>
          </w:tblCellMar>
        </w:tblPrEx>
        <w:trPr>
          <w:jc w:val="center"/>
        </w:trPr>
        <w:tc>
          <w:tcPr>
            <w:tcW w:w="1701" w:type="dxa"/>
            <w:vAlign w:val="center"/>
          </w:tcPr>
          <w:p w14:paraId="77BE0679">
            <w:pPr>
              <w:pStyle w:val="12"/>
            </w:pPr>
            <w:r>
              <w:t>冀财教[2025]121号/中央/2026年义教补助经费/固城校区东王村小学公用经费</w:t>
            </w:r>
          </w:p>
        </w:tc>
        <w:tc>
          <w:tcPr>
            <w:tcW w:w="964" w:type="dxa"/>
            <w:vAlign w:val="center"/>
          </w:tcPr>
          <w:p w14:paraId="3AA8C2D7">
            <w:pPr>
              <w:pStyle w:val="11"/>
            </w:pPr>
            <w:r>
              <w:t>105.54</w:t>
            </w:r>
          </w:p>
        </w:tc>
        <w:tc>
          <w:tcPr>
            <w:tcW w:w="1134" w:type="dxa"/>
            <w:vAlign w:val="center"/>
          </w:tcPr>
          <w:p w14:paraId="5D1518C0">
            <w:pPr>
              <w:pStyle w:val="12"/>
            </w:pPr>
            <w:r>
              <w:t>文件柜</w:t>
            </w:r>
          </w:p>
        </w:tc>
        <w:tc>
          <w:tcPr>
            <w:tcW w:w="1134" w:type="dxa"/>
            <w:vAlign w:val="center"/>
          </w:tcPr>
          <w:p w14:paraId="2C07A357">
            <w:pPr>
              <w:pStyle w:val="12"/>
            </w:pPr>
            <w:r>
              <w:t>A05010502</w:t>
            </w:r>
          </w:p>
        </w:tc>
        <w:tc>
          <w:tcPr>
            <w:tcW w:w="709" w:type="dxa"/>
            <w:vAlign w:val="center"/>
          </w:tcPr>
          <w:p w14:paraId="745FC935">
            <w:pPr>
              <w:pStyle w:val="13"/>
            </w:pPr>
            <w:r>
              <w:t>万元</w:t>
            </w:r>
          </w:p>
        </w:tc>
        <w:tc>
          <w:tcPr>
            <w:tcW w:w="850" w:type="dxa"/>
            <w:vAlign w:val="center"/>
          </w:tcPr>
          <w:p w14:paraId="6F6BC922">
            <w:pPr>
              <w:pStyle w:val="11"/>
            </w:pPr>
            <w:r>
              <w:t>4</w:t>
            </w:r>
          </w:p>
        </w:tc>
        <w:tc>
          <w:tcPr>
            <w:tcW w:w="850" w:type="dxa"/>
            <w:vAlign w:val="center"/>
          </w:tcPr>
          <w:p w14:paraId="27842B91">
            <w:pPr>
              <w:pStyle w:val="11"/>
            </w:pPr>
            <w:r>
              <w:t>0.06</w:t>
            </w:r>
          </w:p>
        </w:tc>
        <w:tc>
          <w:tcPr>
            <w:tcW w:w="964" w:type="dxa"/>
            <w:vAlign w:val="center"/>
          </w:tcPr>
          <w:p w14:paraId="285873CB">
            <w:pPr>
              <w:pStyle w:val="11"/>
            </w:pPr>
            <w:r>
              <w:t>0.23</w:t>
            </w:r>
          </w:p>
        </w:tc>
        <w:tc>
          <w:tcPr>
            <w:tcW w:w="964" w:type="dxa"/>
            <w:vAlign w:val="center"/>
          </w:tcPr>
          <w:p w14:paraId="6F8D958F">
            <w:pPr>
              <w:pStyle w:val="11"/>
            </w:pPr>
            <w:r>
              <w:t>0.23</w:t>
            </w:r>
          </w:p>
        </w:tc>
        <w:tc>
          <w:tcPr>
            <w:tcW w:w="964" w:type="dxa"/>
            <w:vAlign w:val="center"/>
          </w:tcPr>
          <w:p w14:paraId="4EBA60B2">
            <w:pPr>
              <w:pStyle w:val="11"/>
            </w:pPr>
          </w:p>
        </w:tc>
        <w:tc>
          <w:tcPr>
            <w:tcW w:w="964" w:type="dxa"/>
            <w:vAlign w:val="center"/>
          </w:tcPr>
          <w:p w14:paraId="10FB3F02">
            <w:pPr>
              <w:pStyle w:val="11"/>
            </w:pPr>
          </w:p>
        </w:tc>
        <w:tc>
          <w:tcPr>
            <w:tcW w:w="964" w:type="dxa"/>
            <w:vAlign w:val="center"/>
          </w:tcPr>
          <w:p w14:paraId="2096D0B8">
            <w:pPr>
              <w:pStyle w:val="11"/>
            </w:pPr>
          </w:p>
        </w:tc>
        <w:tc>
          <w:tcPr>
            <w:tcW w:w="964" w:type="dxa"/>
            <w:vAlign w:val="center"/>
          </w:tcPr>
          <w:p w14:paraId="0C60B7F8">
            <w:pPr>
              <w:pStyle w:val="11"/>
            </w:pPr>
          </w:p>
        </w:tc>
        <w:tc>
          <w:tcPr>
            <w:tcW w:w="964" w:type="dxa"/>
            <w:vAlign w:val="center"/>
          </w:tcPr>
          <w:p w14:paraId="5F7DA26E">
            <w:pPr>
              <w:pStyle w:val="11"/>
            </w:pPr>
          </w:p>
        </w:tc>
        <w:tc>
          <w:tcPr>
            <w:tcW w:w="964" w:type="dxa"/>
            <w:vAlign w:val="center"/>
          </w:tcPr>
          <w:p w14:paraId="239BCEB6">
            <w:pPr>
              <w:pStyle w:val="11"/>
            </w:pPr>
          </w:p>
        </w:tc>
        <w:tc>
          <w:tcPr>
            <w:tcW w:w="964" w:type="dxa"/>
            <w:vAlign w:val="center"/>
          </w:tcPr>
          <w:p w14:paraId="6BC3352D">
            <w:pPr>
              <w:pStyle w:val="11"/>
            </w:pPr>
            <w:r>
              <w:t>0.23</w:t>
            </w:r>
          </w:p>
        </w:tc>
      </w:tr>
      <w:tr w14:paraId="17C7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D449D7">
            <w:pPr>
              <w:pStyle w:val="12"/>
            </w:pPr>
            <w:r>
              <w:t>冀财教[2025]121号/中央/2026年义教补助经费/固城校区固城小学公用经费</w:t>
            </w:r>
          </w:p>
        </w:tc>
        <w:tc>
          <w:tcPr>
            <w:tcW w:w="964" w:type="dxa"/>
            <w:vAlign w:val="center"/>
          </w:tcPr>
          <w:p w14:paraId="5D40E6A0">
            <w:pPr>
              <w:pStyle w:val="11"/>
            </w:pPr>
            <w:r>
              <w:t>23.10</w:t>
            </w:r>
          </w:p>
        </w:tc>
        <w:tc>
          <w:tcPr>
            <w:tcW w:w="1134" w:type="dxa"/>
            <w:vAlign w:val="center"/>
          </w:tcPr>
          <w:p w14:paraId="32F5093F">
            <w:pPr>
              <w:pStyle w:val="12"/>
            </w:pPr>
            <w:r>
              <w:t>A4 黑白打印机</w:t>
            </w:r>
          </w:p>
        </w:tc>
        <w:tc>
          <w:tcPr>
            <w:tcW w:w="1134" w:type="dxa"/>
            <w:vAlign w:val="center"/>
          </w:tcPr>
          <w:p w14:paraId="46724F8E">
            <w:pPr>
              <w:pStyle w:val="12"/>
            </w:pPr>
            <w:r>
              <w:t>A02021003</w:t>
            </w:r>
          </w:p>
        </w:tc>
        <w:tc>
          <w:tcPr>
            <w:tcW w:w="709" w:type="dxa"/>
            <w:vAlign w:val="center"/>
          </w:tcPr>
          <w:p w14:paraId="38F1E22D">
            <w:pPr>
              <w:pStyle w:val="13"/>
            </w:pPr>
            <w:r>
              <w:t>台</w:t>
            </w:r>
          </w:p>
        </w:tc>
        <w:tc>
          <w:tcPr>
            <w:tcW w:w="850" w:type="dxa"/>
            <w:vAlign w:val="center"/>
          </w:tcPr>
          <w:p w14:paraId="6A36FFFF">
            <w:pPr>
              <w:pStyle w:val="11"/>
            </w:pPr>
            <w:r>
              <w:t>1</w:t>
            </w:r>
          </w:p>
        </w:tc>
        <w:tc>
          <w:tcPr>
            <w:tcW w:w="850" w:type="dxa"/>
            <w:vAlign w:val="center"/>
          </w:tcPr>
          <w:p w14:paraId="58554E9A">
            <w:pPr>
              <w:pStyle w:val="11"/>
            </w:pPr>
            <w:r>
              <w:t>0.19</w:t>
            </w:r>
          </w:p>
        </w:tc>
        <w:tc>
          <w:tcPr>
            <w:tcW w:w="964" w:type="dxa"/>
            <w:vAlign w:val="center"/>
          </w:tcPr>
          <w:p w14:paraId="0C02048E">
            <w:pPr>
              <w:pStyle w:val="11"/>
            </w:pPr>
            <w:r>
              <w:t>0.19</w:t>
            </w:r>
          </w:p>
        </w:tc>
        <w:tc>
          <w:tcPr>
            <w:tcW w:w="964" w:type="dxa"/>
            <w:vAlign w:val="center"/>
          </w:tcPr>
          <w:p w14:paraId="5D3F6D07">
            <w:pPr>
              <w:pStyle w:val="11"/>
            </w:pPr>
            <w:r>
              <w:t>0.19</w:t>
            </w:r>
          </w:p>
        </w:tc>
        <w:tc>
          <w:tcPr>
            <w:tcW w:w="964" w:type="dxa"/>
            <w:vAlign w:val="center"/>
          </w:tcPr>
          <w:p w14:paraId="644F7E6D">
            <w:pPr>
              <w:pStyle w:val="11"/>
            </w:pPr>
          </w:p>
        </w:tc>
        <w:tc>
          <w:tcPr>
            <w:tcW w:w="964" w:type="dxa"/>
            <w:vAlign w:val="center"/>
          </w:tcPr>
          <w:p w14:paraId="62B303FB">
            <w:pPr>
              <w:pStyle w:val="11"/>
            </w:pPr>
          </w:p>
        </w:tc>
        <w:tc>
          <w:tcPr>
            <w:tcW w:w="964" w:type="dxa"/>
            <w:vAlign w:val="center"/>
          </w:tcPr>
          <w:p w14:paraId="78797E99">
            <w:pPr>
              <w:pStyle w:val="11"/>
            </w:pPr>
          </w:p>
        </w:tc>
        <w:tc>
          <w:tcPr>
            <w:tcW w:w="964" w:type="dxa"/>
            <w:vAlign w:val="center"/>
          </w:tcPr>
          <w:p w14:paraId="7644F6D5">
            <w:pPr>
              <w:pStyle w:val="11"/>
            </w:pPr>
          </w:p>
        </w:tc>
        <w:tc>
          <w:tcPr>
            <w:tcW w:w="964" w:type="dxa"/>
            <w:vAlign w:val="center"/>
          </w:tcPr>
          <w:p w14:paraId="3E1B7CA3">
            <w:pPr>
              <w:pStyle w:val="11"/>
            </w:pPr>
          </w:p>
        </w:tc>
        <w:tc>
          <w:tcPr>
            <w:tcW w:w="964" w:type="dxa"/>
            <w:vAlign w:val="center"/>
          </w:tcPr>
          <w:p w14:paraId="1BB5E59E">
            <w:pPr>
              <w:pStyle w:val="11"/>
            </w:pPr>
          </w:p>
        </w:tc>
        <w:tc>
          <w:tcPr>
            <w:tcW w:w="964" w:type="dxa"/>
            <w:vAlign w:val="center"/>
          </w:tcPr>
          <w:p w14:paraId="3BF0D4C3">
            <w:pPr>
              <w:pStyle w:val="11"/>
            </w:pPr>
            <w:r>
              <w:t>0.19</w:t>
            </w:r>
          </w:p>
        </w:tc>
      </w:tr>
      <w:tr w14:paraId="37A3C736">
        <w:tblPrEx>
          <w:tblCellMar>
            <w:top w:w="0" w:type="dxa"/>
            <w:left w:w="108" w:type="dxa"/>
            <w:bottom w:w="0" w:type="dxa"/>
            <w:right w:w="108" w:type="dxa"/>
          </w:tblCellMar>
        </w:tblPrEx>
        <w:trPr>
          <w:jc w:val="center"/>
        </w:trPr>
        <w:tc>
          <w:tcPr>
            <w:tcW w:w="1701" w:type="dxa"/>
            <w:vAlign w:val="center"/>
          </w:tcPr>
          <w:p w14:paraId="3AE45D6D">
            <w:pPr>
              <w:pStyle w:val="12"/>
            </w:pPr>
            <w:r>
              <w:t>冀财教[2025]121号/中央/2026年义教补助经费/固城校区固城小学公用经费</w:t>
            </w:r>
          </w:p>
        </w:tc>
        <w:tc>
          <w:tcPr>
            <w:tcW w:w="964" w:type="dxa"/>
            <w:vAlign w:val="center"/>
          </w:tcPr>
          <w:p w14:paraId="168D57FE">
            <w:pPr>
              <w:pStyle w:val="11"/>
            </w:pPr>
            <w:r>
              <w:t>23.10</w:t>
            </w:r>
          </w:p>
        </w:tc>
        <w:tc>
          <w:tcPr>
            <w:tcW w:w="1134" w:type="dxa"/>
            <w:vAlign w:val="center"/>
          </w:tcPr>
          <w:p w14:paraId="5EBEC3FE">
            <w:pPr>
              <w:pStyle w:val="12"/>
            </w:pPr>
            <w:r>
              <w:t>书柜</w:t>
            </w:r>
          </w:p>
        </w:tc>
        <w:tc>
          <w:tcPr>
            <w:tcW w:w="1134" w:type="dxa"/>
            <w:vAlign w:val="center"/>
          </w:tcPr>
          <w:p w14:paraId="771E4AAE">
            <w:pPr>
              <w:pStyle w:val="12"/>
            </w:pPr>
            <w:r>
              <w:t>A05010501</w:t>
            </w:r>
          </w:p>
        </w:tc>
        <w:tc>
          <w:tcPr>
            <w:tcW w:w="709" w:type="dxa"/>
            <w:vAlign w:val="center"/>
          </w:tcPr>
          <w:p w14:paraId="42506A24">
            <w:pPr>
              <w:pStyle w:val="13"/>
            </w:pPr>
            <w:r>
              <w:t>件</w:t>
            </w:r>
          </w:p>
        </w:tc>
        <w:tc>
          <w:tcPr>
            <w:tcW w:w="850" w:type="dxa"/>
            <w:vAlign w:val="center"/>
          </w:tcPr>
          <w:p w14:paraId="1F63F1DE">
            <w:pPr>
              <w:pStyle w:val="11"/>
            </w:pPr>
            <w:r>
              <w:t>14</w:t>
            </w:r>
          </w:p>
        </w:tc>
        <w:tc>
          <w:tcPr>
            <w:tcW w:w="850" w:type="dxa"/>
            <w:vAlign w:val="center"/>
          </w:tcPr>
          <w:p w14:paraId="0F712478">
            <w:pPr>
              <w:pStyle w:val="11"/>
            </w:pPr>
            <w:r>
              <w:t>0.05</w:t>
            </w:r>
          </w:p>
        </w:tc>
        <w:tc>
          <w:tcPr>
            <w:tcW w:w="964" w:type="dxa"/>
            <w:vAlign w:val="center"/>
          </w:tcPr>
          <w:p w14:paraId="75DDFD75">
            <w:pPr>
              <w:pStyle w:val="11"/>
            </w:pPr>
            <w:r>
              <w:t>0.73</w:t>
            </w:r>
          </w:p>
        </w:tc>
        <w:tc>
          <w:tcPr>
            <w:tcW w:w="964" w:type="dxa"/>
            <w:vAlign w:val="center"/>
          </w:tcPr>
          <w:p w14:paraId="5128FCA5">
            <w:pPr>
              <w:pStyle w:val="11"/>
            </w:pPr>
            <w:r>
              <w:t>0.73</w:t>
            </w:r>
          </w:p>
        </w:tc>
        <w:tc>
          <w:tcPr>
            <w:tcW w:w="964" w:type="dxa"/>
            <w:vAlign w:val="center"/>
          </w:tcPr>
          <w:p w14:paraId="12301A6A">
            <w:pPr>
              <w:pStyle w:val="11"/>
            </w:pPr>
          </w:p>
        </w:tc>
        <w:tc>
          <w:tcPr>
            <w:tcW w:w="964" w:type="dxa"/>
            <w:vAlign w:val="center"/>
          </w:tcPr>
          <w:p w14:paraId="60716440">
            <w:pPr>
              <w:pStyle w:val="11"/>
            </w:pPr>
          </w:p>
        </w:tc>
        <w:tc>
          <w:tcPr>
            <w:tcW w:w="964" w:type="dxa"/>
            <w:vAlign w:val="center"/>
          </w:tcPr>
          <w:p w14:paraId="5FBB1B5B">
            <w:pPr>
              <w:pStyle w:val="11"/>
            </w:pPr>
          </w:p>
        </w:tc>
        <w:tc>
          <w:tcPr>
            <w:tcW w:w="964" w:type="dxa"/>
            <w:vAlign w:val="center"/>
          </w:tcPr>
          <w:p w14:paraId="4A76373C">
            <w:pPr>
              <w:pStyle w:val="11"/>
            </w:pPr>
          </w:p>
        </w:tc>
        <w:tc>
          <w:tcPr>
            <w:tcW w:w="964" w:type="dxa"/>
            <w:vAlign w:val="center"/>
          </w:tcPr>
          <w:p w14:paraId="2C06E1B4">
            <w:pPr>
              <w:pStyle w:val="11"/>
            </w:pPr>
          </w:p>
        </w:tc>
        <w:tc>
          <w:tcPr>
            <w:tcW w:w="964" w:type="dxa"/>
            <w:vAlign w:val="center"/>
          </w:tcPr>
          <w:p w14:paraId="69C29148">
            <w:pPr>
              <w:pStyle w:val="11"/>
            </w:pPr>
          </w:p>
        </w:tc>
        <w:tc>
          <w:tcPr>
            <w:tcW w:w="964" w:type="dxa"/>
            <w:vAlign w:val="center"/>
          </w:tcPr>
          <w:p w14:paraId="1F4D012E">
            <w:pPr>
              <w:pStyle w:val="11"/>
            </w:pPr>
            <w:r>
              <w:t>0.73</w:t>
            </w:r>
          </w:p>
        </w:tc>
      </w:tr>
      <w:tr w14:paraId="19DB72CA">
        <w:tblPrEx>
          <w:tblCellMar>
            <w:top w:w="0" w:type="dxa"/>
            <w:left w:w="108" w:type="dxa"/>
            <w:bottom w:w="0" w:type="dxa"/>
            <w:right w:w="108" w:type="dxa"/>
          </w:tblCellMar>
        </w:tblPrEx>
        <w:trPr>
          <w:jc w:val="center"/>
        </w:trPr>
        <w:tc>
          <w:tcPr>
            <w:tcW w:w="1701" w:type="dxa"/>
            <w:vAlign w:val="center"/>
          </w:tcPr>
          <w:p w14:paraId="542C9CF4">
            <w:pPr>
              <w:pStyle w:val="12"/>
            </w:pPr>
            <w:r>
              <w:t>冀财教[2025]121号/中央/2026年义教补助经费/固城校区固城小学公用经费</w:t>
            </w:r>
          </w:p>
        </w:tc>
        <w:tc>
          <w:tcPr>
            <w:tcW w:w="964" w:type="dxa"/>
            <w:vAlign w:val="center"/>
          </w:tcPr>
          <w:p w14:paraId="4BBE7CDF">
            <w:pPr>
              <w:pStyle w:val="11"/>
            </w:pPr>
            <w:r>
              <w:t>23.10</w:t>
            </w:r>
          </w:p>
        </w:tc>
        <w:tc>
          <w:tcPr>
            <w:tcW w:w="1134" w:type="dxa"/>
            <w:vAlign w:val="center"/>
          </w:tcPr>
          <w:p w14:paraId="2AFABD25">
            <w:pPr>
              <w:pStyle w:val="12"/>
            </w:pPr>
            <w:r>
              <w:t>书柜</w:t>
            </w:r>
          </w:p>
        </w:tc>
        <w:tc>
          <w:tcPr>
            <w:tcW w:w="1134" w:type="dxa"/>
            <w:vAlign w:val="center"/>
          </w:tcPr>
          <w:p w14:paraId="57393A93">
            <w:pPr>
              <w:pStyle w:val="12"/>
            </w:pPr>
            <w:r>
              <w:t>A05010501</w:t>
            </w:r>
          </w:p>
        </w:tc>
        <w:tc>
          <w:tcPr>
            <w:tcW w:w="709" w:type="dxa"/>
            <w:vAlign w:val="center"/>
          </w:tcPr>
          <w:p w14:paraId="2002F0C5">
            <w:pPr>
              <w:pStyle w:val="13"/>
            </w:pPr>
            <w:r>
              <w:t>件</w:t>
            </w:r>
          </w:p>
        </w:tc>
        <w:tc>
          <w:tcPr>
            <w:tcW w:w="850" w:type="dxa"/>
            <w:vAlign w:val="center"/>
          </w:tcPr>
          <w:p w14:paraId="6652DF66">
            <w:pPr>
              <w:pStyle w:val="11"/>
            </w:pPr>
            <w:r>
              <w:t>8</w:t>
            </w:r>
          </w:p>
        </w:tc>
        <w:tc>
          <w:tcPr>
            <w:tcW w:w="850" w:type="dxa"/>
            <w:vAlign w:val="center"/>
          </w:tcPr>
          <w:p w14:paraId="362508B2">
            <w:pPr>
              <w:pStyle w:val="11"/>
            </w:pPr>
            <w:r>
              <w:t>0.05</w:t>
            </w:r>
          </w:p>
        </w:tc>
        <w:tc>
          <w:tcPr>
            <w:tcW w:w="964" w:type="dxa"/>
            <w:vAlign w:val="center"/>
          </w:tcPr>
          <w:p w14:paraId="45419C75">
            <w:pPr>
              <w:pStyle w:val="11"/>
            </w:pPr>
            <w:r>
              <w:t>0.43</w:t>
            </w:r>
          </w:p>
        </w:tc>
        <w:tc>
          <w:tcPr>
            <w:tcW w:w="964" w:type="dxa"/>
            <w:vAlign w:val="center"/>
          </w:tcPr>
          <w:p w14:paraId="4EB9DBBC">
            <w:pPr>
              <w:pStyle w:val="11"/>
            </w:pPr>
            <w:r>
              <w:t>0.43</w:t>
            </w:r>
          </w:p>
        </w:tc>
        <w:tc>
          <w:tcPr>
            <w:tcW w:w="964" w:type="dxa"/>
            <w:vAlign w:val="center"/>
          </w:tcPr>
          <w:p w14:paraId="1B8B5F8A">
            <w:pPr>
              <w:pStyle w:val="11"/>
            </w:pPr>
          </w:p>
        </w:tc>
        <w:tc>
          <w:tcPr>
            <w:tcW w:w="964" w:type="dxa"/>
            <w:vAlign w:val="center"/>
          </w:tcPr>
          <w:p w14:paraId="4E78AF96">
            <w:pPr>
              <w:pStyle w:val="11"/>
            </w:pPr>
          </w:p>
        </w:tc>
        <w:tc>
          <w:tcPr>
            <w:tcW w:w="964" w:type="dxa"/>
            <w:vAlign w:val="center"/>
          </w:tcPr>
          <w:p w14:paraId="7AE694FF">
            <w:pPr>
              <w:pStyle w:val="11"/>
            </w:pPr>
          </w:p>
        </w:tc>
        <w:tc>
          <w:tcPr>
            <w:tcW w:w="964" w:type="dxa"/>
            <w:vAlign w:val="center"/>
          </w:tcPr>
          <w:p w14:paraId="39A1859E">
            <w:pPr>
              <w:pStyle w:val="11"/>
            </w:pPr>
          </w:p>
        </w:tc>
        <w:tc>
          <w:tcPr>
            <w:tcW w:w="964" w:type="dxa"/>
            <w:vAlign w:val="center"/>
          </w:tcPr>
          <w:p w14:paraId="4027AA1B">
            <w:pPr>
              <w:pStyle w:val="11"/>
            </w:pPr>
          </w:p>
        </w:tc>
        <w:tc>
          <w:tcPr>
            <w:tcW w:w="964" w:type="dxa"/>
            <w:vAlign w:val="center"/>
          </w:tcPr>
          <w:p w14:paraId="75E6DDA9">
            <w:pPr>
              <w:pStyle w:val="11"/>
            </w:pPr>
          </w:p>
        </w:tc>
        <w:tc>
          <w:tcPr>
            <w:tcW w:w="964" w:type="dxa"/>
            <w:vAlign w:val="center"/>
          </w:tcPr>
          <w:p w14:paraId="546C14F8">
            <w:pPr>
              <w:pStyle w:val="11"/>
            </w:pPr>
            <w:r>
              <w:t>0.43</w:t>
            </w:r>
          </w:p>
        </w:tc>
      </w:tr>
      <w:tr w14:paraId="486A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A69EB4">
            <w:pPr>
              <w:pStyle w:val="12"/>
            </w:pPr>
            <w:r>
              <w:t>冀财教[2025]121号/中央/2026年义教补助经费/固城校区固城小学公用经费</w:t>
            </w:r>
          </w:p>
        </w:tc>
        <w:tc>
          <w:tcPr>
            <w:tcW w:w="964" w:type="dxa"/>
            <w:vAlign w:val="center"/>
          </w:tcPr>
          <w:p w14:paraId="2361D025">
            <w:pPr>
              <w:pStyle w:val="11"/>
            </w:pPr>
            <w:r>
              <w:t>23.10</w:t>
            </w:r>
          </w:p>
        </w:tc>
        <w:tc>
          <w:tcPr>
            <w:tcW w:w="1134" w:type="dxa"/>
            <w:vAlign w:val="center"/>
          </w:tcPr>
          <w:p w14:paraId="2F2B61B5">
            <w:pPr>
              <w:pStyle w:val="12"/>
            </w:pPr>
            <w:r>
              <w:t>书柜</w:t>
            </w:r>
          </w:p>
        </w:tc>
        <w:tc>
          <w:tcPr>
            <w:tcW w:w="1134" w:type="dxa"/>
            <w:vAlign w:val="center"/>
          </w:tcPr>
          <w:p w14:paraId="7CC78647">
            <w:pPr>
              <w:pStyle w:val="12"/>
            </w:pPr>
            <w:r>
              <w:t>A05010501</w:t>
            </w:r>
          </w:p>
        </w:tc>
        <w:tc>
          <w:tcPr>
            <w:tcW w:w="709" w:type="dxa"/>
            <w:vAlign w:val="center"/>
          </w:tcPr>
          <w:p w14:paraId="4470E85C">
            <w:pPr>
              <w:pStyle w:val="13"/>
            </w:pPr>
            <w:r>
              <w:t>件</w:t>
            </w:r>
          </w:p>
        </w:tc>
        <w:tc>
          <w:tcPr>
            <w:tcW w:w="850" w:type="dxa"/>
            <w:vAlign w:val="center"/>
          </w:tcPr>
          <w:p w14:paraId="32EDD7FB">
            <w:pPr>
              <w:pStyle w:val="11"/>
            </w:pPr>
            <w:r>
              <w:t>8</w:t>
            </w:r>
          </w:p>
        </w:tc>
        <w:tc>
          <w:tcPr>
            <w:tcW w:w="850" w:type="dxa"/>
            <w:vAlign w:val="center"/>
          </w:tcPr>
          <w:p w14:paraId="60213F50">
            <w:pPr>
              <w:pStyle w:val="11"/>
            </w:pPr>
            <w:r>
              <w:t>0.05</w:t>
            </w:r>
          </w:p>
        </w:tc>
        <w:tc>
          <w:tcPr>
            <w:tcW w:w="964" w:type="dxa"/>
            <w:vAlign w:val="center"/>
          </w:tcPr>
          <w:p w14:paraId="61EBC57A">
            <w:pPr>
              <w:pStyle w:val="11"/>
            </w:pPr>
            <w:r>
              <w:t>0.42</w:t>
            </w:r>
          </w:p>
        </w:tc>
        <w:tc>
          <w:tcPr>
            <w:tcW w:w="964" w:type="dxa"/>
            <w:vAlign w:val="center"/>
          </w:tcPr>
          <w:p w14:paraId="061A7189">
            <w:pPr>
              <w:pStyle w:val="11"/>
            </w:pPr>
            <w:r>
              <w:t>0.42</w:t>
            </w:r>
          </w:p>
        </w:tc>
        <w:tc>
          <w:tcPr>
            <w:tcW w:w="964" w:type="dxa"/>
            <w:vAlign w:val="center"/>
          </w:tcPr>
          <w:p w14:paraId="488254B1">
            <w:pPr>
              <w:pStyle w:val="11"/>
            </w:pPr>
          </w:p>
        </w:tc>
        <w:tc>
          <w:tcPr>
            <w:tcW w:w="964" w:type="dxa"/>
            <w:vAlign w:val="center"/>
          </w:tcPr>
          <w:p w14:paraId="5EC7EB87">
            <w:pPr>
              <w:pStyle w:val="11"/>
            </w:pPr>
          </w:p>
        </w:tc>
        <w:tc>
          <w:tcPr>
            <w:tcW w:w="964" w:type="dxa"/>
            <w:vAlign w:val="center"/>
          </w:tcPr>
          <w:p w14:paraId="41817076">
            <w:pPr>
              <w:pStyle w:val="11"/>
            </w:pPr>
          </w:p>
        </w:tc>
        <w:tc>
          <w:tcPr>
            <w:tcW w:w="964" w:type="dxa"/>
            <w:vAlign w:val="center"/>
          </w:tcPr>
          <w:p w14:paraId="466214F3">
            <w:pPr>
              <w:pStyle w:val="11"/>
            </w:pPr>
          </w:p>
        </w:tc>
        <w:tc>
          <w:tcPr>
            <w:tcW w:w="964" w:type="dxa"/>
            <w:vAlign w:val="center"/>
          </w:tcPr>
          <w:p w14:paraId="0B2DD8C8">
            <w:pPr>
              <w:pStyle w:val="11"/>
            </w:pPr>
          </w:p>
        </w:tc>
        <w:tc>
          <w:tcPr>
            <w:tcW w:w="964" w:type="dxa"/>
            <w:vAlign w:val="center"/>
          </w:tcPr>
          <w:p w14:paraId="71692CD0">
            <w:pPr>
              <w:pStyle w:val="11"/>
            </w:pPr>
          </w:p>
        </w:tc>
        <w:tc>
          <w:tcPr>
            <w:tcW w:w="964" w:type="dxa"/>
            <w:vAlign w:val="center"/>
          </w:tcPr>
          <w:p w14:paraId="03395BBD">
            <w:pPr>
              <w:pStyle w:val="11"/>
            </w:pPr>
            <w:r>
              <w:t>0.42</w:t>
            </w:r>
          </w:p>
        </w:tc>
      </w:tr>
      <w:tr w14:paraId="6BDC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62929B">
            <w:pPr>
              <w:pStyle w:val="12"/>
            </w:pPr>
            <w:r>
              <w:t>冀财教[2025]121号/中央/2026年义教补助经费/固城校区固城小学公用经费</w:t>
            </w:r>
          </w:p>
        </w:tc>
        <w:tc>
          <w:tcPr>
            <w:tcW w:w="964" w:type="dxa"/>
            <w:vAlign w:val="center"/>
          </w:tcPr>
          <w:p w14:paraId="5A9D7B13">
            <w:pPr>
              <w:pStyle w:val="11"/>
            </w:pPr>
            <w:r>
              <w:t>23.10</w:t>
            </w:r>
          </w:p>
        </w:tc>
        <w:tc>
          <w:tcPr>
            <w:tcW w:w="1134" w:type="dxa"/>
            <w:vAlign w:val="center"/>
          </w:tcPr>
          <w:p w14:paraId="7610D4D1">
            <w:pPr>
              <w:pStyle w:val="12"/>
            </w:pPr>
            <w:r>
              <w:t>书柜</w:t>
            </w:r>
          </w:p>
        </w:tc>
        <w:tc>
          <w:tcPr>
            <w:tcW w:w="1134" w:type="dxa"/>
            <w:vAlign w:val="center"/>
          </w:tcPr>
          <w:p w14:paraId="724D2086">
            <w:pPr>
              <w:pStyle w:val="12"/>
            </w:pPr>
            <w:r>
              <w:t>A05010501</w:t>
            </w:r>
          </w:p>
        </w:tc>
        <w:tc>
          <w:tcPr>
            <w:tcW w:w="709" w:type="dxa"/>
            <w:vAlign w:val="center"/>
          </w:tcPr>
          <w:p w14:paraId="4C8154D0">
            <w:pPr>
              <w:pStyle w:val="13"/>
            </w:pPr>
            <w:r>
              <w:t>件</w:t>
            </w:r>
          </w:p>
        </w:tc>
        <w:tc>
          <w:tcPr>
            <w:tcW w:w="850" w:type="dxa"/>
            <w:vAlign w:val="center"/>
          </w:tcPr>
          <w:p w14:paraId="39836DFC">
            <w:pPr>
              <w:pStyle w:val="11"/>
            </w:pPr>
            <w:r>
              <w:t>9</w:t>
            </w:r>
          </w:p>
        </w:tc>
        <w:tc>
          <w:tcPr>
            <w:tcW w:w="850" w:type="dxa"/>
            <w:vAlign w:val="center"/>
          </w:tcPr>
          <w:p w14:paraId="5EAFE7C2">
            <w:pPr>
              <w:pStyle w:val="11"/>
            </w:pPr>
            <w:r>
              <w:t>0.06</w:t>
            </w:r>
          </w:p>
        </w:tc>
        <w:tc>
          <w:tcPr>
            <w:tcW w:w="964" w:type="dxa"/>
            <w:vAlign w:val="center"/>
          </w:tcPr>
          <w:p w14:paraId="324629CB">
            <w:pPr>
              <w:pStyle w:val="11"/>
            </w:pPr>
            <w:r>
              <w:t>0.50</w:t>
            </w:r>
          </w:p>
        </w:tc>
        <w:tc>
          <w:tcPr>
            <w:tcW w:w="964" w:type="dxa"/>
            <w:vAlign w:val="center"/>
          </w:tcPr>
          <w:p w14:paraId="7B0289E7">
            <w:pPr>
              <w:pStyle w:val="11"/>
            </w:pPr>
            <w:r>
              <w:t>0.50</w:t>
            </w:r>
          </w:p>
        </w:tc>
        <w:tc>
          <w:tcPr>
            <w:tcW w:w="964" w:type="dxa"/>
            <w:vAlign w:val="center"/>
          </w:tcPr>
          <w:p w14:paraId="7A2C1869">
            <w:pPr>
              <w:pStyle w:val="11"/>
            </w:pPr>
          </w:p>
        </w:tc>
        <w:tc>
          <w:tcPr>
            <w:tcW w:w="964" w:type="dxa"/>
            <w:vAlign w:val="center"/>
          </w:tcPr>
          <w:p w14:paraId="3216F93F">
            <w:pPr>
              <w:pStyle w:val="11"/>
            </w:pPr>
          </w:p>
        </w:tc>
        <w:tc>
          <w:tcPr>
            <w:tcW w:w="964" w:type="dxa"/>
            <w:vAlign w:val="center"/>
          </w:tcPr>
          <w:p w14:paraId="62BF475E">
            <w:pPr>
              <w:pStyle w:val="11"/>
            </w:pPr>
          </w:p>
        </w:tc>
        <w:tc>
          <w:tcPr>
            <w:tcW w:w="964" w:type="dxa"/>
            <w:vAlign w:val="center"/>
          </w:tcPr>
          <w:p w14:paraId="2F98481F">
            <w:pPr>
              <w:pStyle w:val="11"/>
            </w:pPr>
          </w:p>
        </w:tc>
        <w:tc>
          <w:tcPr>
            <w:tcW w:w="964" w:type="dxa"/>
            <w:vAlign w:val="center"/>
          </w:tcPr>
          <w:p w14:paraId="02EBBD54">
            <w:pPr>
              <w:pStyle w:val="11"/>
            </w:pPr>
          </w:p>
        </w:tc>
        <w:tc>
          <w:tcPr>
            <w:tcW w:w="964" w:type="dxa"/>
            <w:vAlign w:val="center"/>
          </w:tcPr>
          <w:p w14:paraId="6B743E51">
            <w:pPr>
              <w:pStyle w:val="11"/>
            </w:pPr>
          </w:p>
        </w:tc>
        <w:tc>
          <w:tcPr>
            <w:tcW w:w="964" w:type="dxa"/>
            <w:vAlign w:val="center"/>
          </w:tcPr>
          <w:p w14:paraId="108E8EB7">
            <w:pPr>
              <w:pStyle w:val="11"/>
            </w:pPr>
            <w:r>
              <w:t>0.50</w:t>
            </w:r>
          </w:p>
        </w:tc>
      </w:tr>
      <w:tr w14:paraId="09A57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A76C74">
            <w:pPr>
              <w:pStyle w:val="12"/>
            </w:pPr>
            <w:r>
              <w:t>冀财教[2025]121号/中央/2026年义教补助经费/固城校区固城小学公用经费</w:t>
            </w:r>
          </w:p>
        </w:tc>
        <w:tc>
          <w:tcPr>
            <w:tcW w:w="964" w:type="dxa"/>
            <w:vAlign w:val="center"/>
          </w:tcPr>
          <w:p w14:paraId="44DDB377">
            <w:pPr>
              <w:pStyle w:val="11"/>
            </w:pPr>
            <w:r>
              <w:t>23.10</w:t>
            </w:r>
          </w:p>
        </w:tc>
        <w:tc>
          <w:tcPr>
            <w:tcW w:w="1134" w:type="dxa"/>
            <w:vAlign w:val="center"/>
          </w:tcPr>
          <w:p w14:paraId="55BA0396">
            <w:pPr>
              <w:pStyle w:val="12"/>
            </w:pPr>
            <w:r>
              <w:t>书柜</w:t>
            </w:r>
          </w:p>
        </w:tc>
        <w:tc>
          <w:tcPr>
            <w:tcW w:w="1134" w:type="dxa"/>
            <w:vAlign w:val="center"/>
          </w:tcPr>
          <w:p w14:paraId="6F93E101">
            <w:pPr>
              <w:pStyle w:val="12"/>
            </w:pPr>
            <w:r>
              <w:t>A05010501</w:t>
            </w:r>
          </w:p>
        </w:tc>
        <w:tc>
          <w:tcPr>
            <w:tcW w:w="709" w:type="dxa"/>
            <w:vAlign w:val="center"/>
          </w:tcPr>
          <w:p w14:paraId="43AF432D">
            <w:pPr>
              <w:pStyle w:val="13"/>
            </w:pPr>
            <w:r>
              <w:t>件</w:t>
            </w:r>
          </w:p>
        </w:tc>
        <w:tc>
          <w:tcPr>
            <w:tcW w:w="850" w:type="dxa"/>
            <w:vAlign w:val="center"/>
          </w:tcPr>
          <w:p w14:paraId="52C6E295">
            <w:pPr>
              <w:pStyle w:val="11"/>
            </w:pPr>
            <w:r>
              <w:t>32</w:t>
            </w:r>
          </w:p>
        </w:tc>
        <w:tc>
          <w:tcPr>
            <w:tcW w:w="850" w:type="dxa"/>
            <w:vAlign w:val="center"/>
          </w:tcPr>
          <w:p w14:paraId="7C9E5F5F">
            <w:pPr>
              <w:pStyle w:val="11"/>
            </w:pPr>
            <w:r>
              <w:t>0.04</w:t>
            </w:r>
          </w:p>
        </w:tc>
        <w:tc>
          <w:tcPr>
            <w:tcW w:w="964" w:type="dxa"/>
            <w:vAlign w:val="center"/>
          </w:tcPr>
          <w:p w14:paraId="334DAA05">
            <w:pPr>
              <w:pStyle w:val="11"/>
            </w:pPr>
            <w:r>
              <w:t>1.12</w:t>
            </w:r>
          </w:p>
        </w:tc>
        <w:tc>
          <w:tcPr>
            <w:tcW w:w="964" w:type="dxa"/>
            <w:vAlign w:val="center"/>
          </w:tcPr>
          <w:p w14:paraId="2BE97571">
            <w:pPr>
              <w:pStyle w:val="11"/>
            </w:pPr>
            <w:r>
              <w:t>1.12</w:t>
            </w:r>
          </w:p>
        </w:tc>
        <w:tc>
          <w:tcPr>
            <w:tcW w:w="964" w:type="dxa"/>
            <w:vAlign w:val="center"/>
          </w:tcPr>
          <w:p w14:paraId="3520A33A">
            <w:pPr>
              <w:pStyle w:val="11"/>
            </w:pPr>
          </w:p>
        </w:tc>
        <w:tc>
          <w:tcPr>
            <w:tcW w:w="964" w:type="dxa"/>
            <w:vAlign w:val="center"/>
          </w:tcPr>
          <w:p w14:paraId="056730AA">
            <w:pPr>
              <w:pStyle w:val="11"/>
            </w:pPr>
          </w:p>
        </w:tc>
        <w:tc>
          <w:tcPr>
            <w:tcW w:w="964" w:type="dxa"/>
            <w:vAlign w:val="center"/>
          </w:tcPr>
          <w:p w14:paraId="6EE9F39E">
            <w:pPr>
              <w:pStyle w:val="11"/>
            </w:pPr>
          </w:p>
        </w:tc>
        <w:tc>
          <w:tcPr>
            <w:tcW w:w="964" w:type="dxa"/>
            <w:vAlign w:val="center"/>
          </w:tcPr>
          <w:p w14:paraId="3731F153">
            <w:pPr>
              <w:pStyle w:val="11"/>
            </w:pPr>
          </w:p>
        </w:tc>
        <w:tc>
          <w:tcPr>
            <w:tcW w:w="964" w:type="dxa"/>
            <w:vAlign w:val="center"/>
          </w:tcPr>
          <w:p w14:paraId="4BBBC90C">
            <w:pPr>
              <w:pStyle w:val="11"/>
            </w:pPr>
          </w:p>
        </w:tc>
        <w:tc>
          <w:tcPr>
            <w:tcW w:w="964" w:type="dxa"/>
            <w:vAlign w:val="center"/>
          </w:tcPr>
          <w:p w14:paraId="3B957AF3">
            <w:pPr>
              <w:pStyle w:val="11"/>
            </w:pPr>
          </w:p>
        </w:tc>
        <w:tc>
          <w:tcPr>
            <w:tcW w:w="964" w:type="dxa"/>
            <w:vAlign w:val="center"/>
          </w:tcPr>
          <w:p w14:paraId="15035918">
            <w:pPr>
              <w:pStyle w:val="11"/>
            </w:pPr>
            <w:r>
              <w:t>1.12</w:t>
            </w:r>
          </w:p>
        </w:tc>
      </w:tr>
      <w:tr w14:paraId="6FB0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3ECDE">
            <w:pPr>
              <w:pStyle w:val="12"/>
            </w:pPr>
            <w:r>
              <w:t>冀财教[2025]121号/中央/2026年义教补助经费/固城校区固城小学公用经费</w:t>
            </w:r>
          </w:p>
        </w:tc>
        <w:tc>
          <w:tcPr>
            <w:tcW w:w="964" w:type="dxa"/>
            <w:vAlign w:val="center"/>
          </w:tcPr>
          <w:p w14:paraId="6D199A44">
            <w:pPr>
              <w:pStyle w:val="11"/>
            </w:pPr>
            <w:r>
              <w:t>23.10</w:t>
            </w:r>
          </w:p>
        </w:tc>
        <w:tc>
          <w:tcPr>
            <w:tcW w:w="1134" w:type="dxa"/>
            <w:vAlign w:val="center"/>
          </w:tcPr>
          <w:p w14:paraId="75745E03">
            <w:pPr>
              <w:pStyle w:val="12"/>
            </w:pPr>
            <w:r>
              <w:t>书柜</w:t>
            </w:r>
          </w:p>
        </w:tc>
        <w:tc>
          <w:tcPr>
            <w:tcW w:w="1134" w:type="dxa"/>
            <w:vAlign w:val="center"/>
          </w:tcPr>
          <w:p w14:paraId="566DBDEA">
            <w:pPr>
              <w:pStyle w:val="12"/>
            </w:pPr>
            <w:r>
              <w:t>A05010501</w:t>
            </w:r>
          </w:p>
        </w:tc>
        <w:tc>
          <w:tcPr>
            <w:tcW w:w="709" w:type="dxa"/>
            <w:vAlign w:val="center"/>
          </w:tcPr>
          <w:p w14:paraId="4177B8ED">
            <w:pPr>
              <w:pStyle w:val="13"/>
            </w:pPr>
            <w:r>
              <w:t>件</w:t>
            </w:r>
          </w:p>
        </w:tc>
        <w:tc>
          <w:tcPr>
            <w:tcW w:w="850" w:type="dxa"/>
            <w:vAlign w:val="center"/>
          </w:tcPr>
          <w:p w14:paraId="69A131E7">
            <w:pPr>
              <w:pStyle w:val="11"/>
            </w:pPr>
            <w:r>
              <w:t>23</w:t>
            </w:r>
          </w:p>
        </w:tc>
        <w:tc>
          <w:tcPr>
            <w:tcW w:w="850" w:type="dxa"/>
            <w:vAlign w:val="center"/>
          </w:tcPr>
          <w:p w14:paraId="66207AD4">
            <w:pPr>
              <w:pStyle w:val="11"/>
            </w:pPr>
            <w:r>
              <w:t>0.10</w:t>
            </w:r>
          </w:p>
        </w:tc>
        <w:tc>
          <w:tcPr>
            <w:tcW w:w="964" w:type="dxa"/>
            <w:vAlign w:val="center"/>
          </w:tcPr>
          <w:p w14:paraId="55049403">
            <w:pPr>
              <w:pStyle w:val="11"/>
            </w:pPr>
            <w:r>
              <w:t>2.23</w:t>
            </w:r>
          </w:p>
        </w:tc>
        <w:tc>
          <w:tcPr>
            <w:tcW w:w="964" w:type="dxa"/>
            <w:vAlign w:val="center"/>
          </w:tcPr>
          <w:p w14:paraId="13C06247">
            <w:pPr>
              <w:pStyle w:val="11"/>
            </w:pPr>
            <w:r>
              <w:t>2.23</w:t>
            </w:r>
          </w:p>
        </w:tc>
        <w:tc>
          <w:tcPr>
            <w:tcW w:w="964" w:type="dxa"/>
            <w:vAlign w:val="center"/>
          </w:tcPr>
          <w:p w14:paraId="7254712E">
            <w:pPr>
              <w:pStyle w:val="11"/>
            </w:pPr>
          </w:p>
        </w:tc>
        <w:tc>
          <w:tcPr>
            <w:tcW w:w="964" w:type="dxa"/>
            <w:vAlign w:val="center"/>
          </w:tcPr>
          <w:p w14:paraId="02EA68A9">
            <w:pPr>
              <w:pStyle w:val="11"/>
            </w:pPr>
          </w:p>
        </w:tc>
        <w:tc>
          <w:tcPr>
            <w:tcW w:w="964" w:type="dxa"/>
            <w:vAlign w:val="center"/>
          </w:tcPr>
          <w:p w14:paraId="76983BF4">
            <w:pPr>
              <w:pStyle w:val="11"/>
            </w:pPr>
          </w:p>
        </w:tc>
        <w:tc>
          <w:tcPr>
            <w:tcW w:w="964" w:type="dxa"/>
            <w:vAlign w:val="center"/>
          </w:tcPr>
          <w:p w14:paraId="1F2B6CE6">
            <w:pPr>
              <w:pStyle w:val="11"/>
            </w:pPr>
          </w:p>
        </w:tc>
        <w:tc>
          <w:tcPr>
            <w:tcW w:w="964" w:type="dxa"/>
            <w:vAlign w:val="center"/>
          </w:tcPr>
          <w:p w14:paraId="32D6EEC0">
            <w:pPr>
              <w:pStyle w:val="11"/>
            </w:pPr>
          </w:p>
        </w:tc>
        <w:tc>
          <w:tcPr>
            <w:tcW w:w="964" w:type="dxa"/>
            <w:vAlign w:val="center"/>
          </w:tcPr>
          <w:p w14:paraId="65FE6FCF">
            <w:pPr>
              <w:pStyle w:val="11"/>
            </w:pPr>
          </w:p>
        </w:tc>
        <w:tc>
          <w:tcPr>
            <w:tcW w:w="964" w:type="dxa"/>
            <w:vAlign w:val="center"/>
          </w:tcPr>
          <w:p w14:paraId="6B3B875E">
            <w:pPr>
              <w:pStyle w:val="11"/>
            </w:pPr>
            <w:r>
              <w:t>2.23</w:t>
            </w:r>
          </w:p>
        </w:tc>
      </w:tr>
      <w:tr w14:paraId="72BBC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AF2913">
            <w:pPr>
              <w:pStyle w:val="12"/>
            </w:pPr>
            <w:r>
              <w:t>冀财教[2025]121号/中央/2026年义教补助经费/固城校区火连庄小学公用经费</w:t>
            </w:r>
          </w:p>
        </w:tc>
        <w:tc>
          <w:tcPr>
            <w:tcW w:w="964" w:type="dxa"/>
            <w:vAlign w:val="center"/>
          </w:tcPr>
          <w:p w14:paraId="36AA88E8">
            <w:pPr>
              <w:pStyle w:val="11"/>
            </w:pPr>
            <w:r>
              <w:t>34.03</w:t>
            </w:r>
          </w:p>
        </w:tc>
        <w:tc>
          <w:tcPr>
            <w:tcW w:w="1134" w:type="dxa"/>
            <w:vAlign w:val="center"/>
          </w:tcPr>
          <w:p w14:paraId="21A17B9A">
            <w:pPr>
              <w:pStyle w:val="12"/>
            </w:pPr>
            <w:r>
              <w:t>A4 黑白打印机</w:t>
            </w:r>
          </w:p>
        </w:tc>
        <w:tc>
          <w:tcPr>
            <w:tcW w:w="1134" w:type="dxa"/>
            <w:vAlign w:val="center"/>
          </w:tcPr>
          <w:p w14:paraId="39C9E0AC">
            <w:pPr>
              <w:pStyle w:val="12"/>
            </w:pPr>
            <w:r>
              <w:t>A02021003</w:t>
            </w:r>
          </w:p>
        </w:tc>
        <w:tc>
          <w:tcPr>
            <w:tcW w:w="709" w:type="dxa"/>
            <w:vAlign w:val="center"/>
          </w:tcPr>
          <w:p w14:paraId="1D178BB0">
            <w:pPr>
              <w:pStyle w:val="13"/>
            </w:pPr>
            <w:r>
              <w:t>万元</w:t>
            </w:r>
          </w:p>
        </w:tc>
        <w:tc>
          <w:tcPr>
            <w:tcW w:w="850" w:type="dxa"/>
            <w:vAlign w:val="center"/>
          </w:tcPr>
          <w:p w14:paraId="1C68BFB7">
            <w:pPr>
              <w:pStyle w:val="11"/>
            </w:pPr>
            <w:r>
              <w:t>2</w:t>
            </w:r>
          </w:p>
        </w:tc>
        <w:tc>
          <w:tcPr>
            <w:tcW w:w="850" w:type="dxa"/>
            <w:vAlign w:val="center"/>
          </w:tcPr>
          <w:p w14:paraId="5BB7FCCC">
            <w:pPr>
              <w:pStyle w:val="11"/>
            </w:pPr>
            <w:r>
              <w:t>0.19</w:t>
            </w:r>
          </w:p>
        </w:tc>
        <w:tc>
          <w:tcPr>
            <w:tcW w:w="964" w:type="dxa"/>
            <w:vAlign w:val="center"/>
          </w:tcPr>
          <w:p w14:paraId="19D00395">
            <w:pPr>
              <w:pStyle w:val="11"/>
            </w:pPr>
            <w:r>
              <w:t>0.39</w:t>
            </w:r>
          </w:p>
        </w:tc>
        <w:tc>
          <w:tcPr>
            <w:tcW w:w="964" w:type="dxa"/>
            <w:vAlign w:val="center"/>
          </w:tcPr>
          <w:p w14:paraId="7D148A3C">
            <w:pPr>
              <w:pStyle w:val="11"/>
            </w:pPr>
            <w:r>
              <w:t>0.39</w:t>
            </w:r>
          </w:p>
        </w:tc>
        <w:tc>
          <w:tcPr>
            <w:tcW w:w="964" w:type="dxa"/>
            <w:vAlign w:val="center"/>
          </w:tcPr>
          <w:p w14:paraId="1D0BBCDD">
            <w:pPr>
              <w:pStyle w:val="11"/>
            </w:pPr>
          </w:p>
        </w:tc>
        <w:tc>
          <w:tcPr>
            <w:tcW w:w="964" w:type="dxa"/>
            <w:vAlign w:val="center"/>
          </w:tcPr>
          <w:p w14:paraId="046AD8A3">
            <w:pPr>
              <w:pStyle w:val="11"/>
            </w:pPr>
          </w:p>
        </w:tc>
        <w:tc>
          <w:tcPr>
            <w:tcW w:w="964" w:type="dxa"/>
            <w:vAlign w:val="center"/>
          </w:tcPr>
          <w:p w14:paraId="0ED59BED">
            <w:pPr>
              <w:pStyle w:val="11"/>
            </w:pPr>
          </w:p>
        </w:tc>
        <w:tc>
          <w:tcPr>
            <w:tcW w:w="964" w:type="dxa"/>
            <w:vAlign w:val="center"/>
          </w:tcPr>
          <w:p w14:paraId="60263544">
            <w:pPr>
              <w:pStyle w:val="11"/>
            </w:pPr>
          </w:p>
        </w:tc>
        <w:tc>
          <w:tcPr>
            <w:tcW w:w="964" w:type="dxa"/>
            <w:vAlign w:val="center"/>
          </w:tcPr>
          <w:p w14:paraId="0B55D7DA">
            <w:pPr>
              <w:pStyle w:val="11"/>
            </w:pPr>
          </w:p>
        </w:tc>
        <w:tc>
          <w:tcPr>
            <w:tcW w:w="964" w:type="dxa"/>
            <w:vAlign w:val="center"/>
          </w:tcPr>
          <w:p w14:paraId="22181106">
            <w:pPr>
              <w:pStyle w:val="11"/>
            </w:pPr>
          </w:p>
        </w:tc>
        <w:tc>
          <w:tcPr>
            <w:tcW w:w="964" w:type="dxa"/>
            <w:vAlign w:val="center"/>
          </w:tcPr>
          <w:p w14:paraId="6A9E3F6D">
            <w:pPr>
              <w:pStyle w:val="11"/>
            </w:pPr>
            <w:r>
              <w:t>0.39</w:t>
            </w:r>
          </w:p>
        </w:tc>
      </w:tr>
      <w:tr w14:paraId="3B4DC11B">
        <w:tblPrEx>
          <w:tblCellMar>
            <w:top w:w="0" w:type="dxa"/>
            <w:left w:w="108" w:type="dxa"/>
            <w:bottom w:w="0" w:type="dxa"/>
            <w:right w:w="108" w:type="dxa"/>
          </w:tblCellMar>
        </w:tblPrEx>
        <w:trPr>
          <w:jc w:val="center"/>
        </w:trPr>
        <w:tc>
          <w:tcPr>
            <w:tcW w:w="1701" w:type="dxa"/>
            <w:vAlign w:val="center"/>
          </w:tcPr>
          <w:p w14:paraId="18255052">
            <w:pPr>
              <w:pStyle w:val="12"/>
            </w:pPr>
            <w:r>
              <w:t>冀财教[2025]121号/中央/2026年义教补助经费/固城校区火连庄小学公用经费</w:t>
            </w:r>
          </w:p>
        </w:tc>
        <w:tc>
          <w:tcPr>
            <w:tcW w:w="964" w:type="dxa"/>
            <w:vAlign w:val="center"/>
          </w:tcPr>
          <w:p w14:paraId="08C1DDEE">
            <w:pPr>
              <w:pStyle w:val="11"/>
            </w:pPr>
            <w:r>
              <w:t>34.03</w:t>
            </w:r>
          </w:p>
        </w:tc>
        <w:tc>
          <w:tcPr>
            <w:tcW w:w="1134" w:type="dxa"/>
            <w:vAlign w:val="center"/>
          </w:tcPr>
          <w:p w14:paraId="450D9F8C">
            <w:pPr>
              <w:pStyle w:val="12"/>
            </w:pPr>
            <w:r>
              <w:t>办公桌</w:t>
            </w:r>
          </w:p>
        </w:tc>
        <w:tc>
          <w:tcPr>
            <w:tcW w:w="1134" w:type="dxa"/>
            <w:vAlign w:val="center"/>
          </w:tcPr>
          <w:p w14:paraId="526C98DE">
            <w:pPr>
              <w:pStyle w:val="12"/>
            </w:pPr>
            <w:r>
              <w:t>A05010201</w:t>
            </w:r>
          </w:p>
        </w:tc>
        <w:tc>
          <w:tcPr>
            <w:tcW w:w="709" w:type="dxa"/>
            <w:vAlign w:val="center"/>
          </w:tcPr>
          <w:p w14:paraId="036483F5">
            <w:pPr>
              <w:pStyle w:val="13"/>
            </w:pPr>
            <w:r>
              <w:t>万元</w:t>
            </w:r>
          </w:p>
        </w:tc>
        <w:tc>
          <w:tcPr>
            <w:tcW w:w="850" w:type="dxa"/>
            <w:vAlign w:val="center"/>
          </w:tcPr>
          <w:p w14:paraId="517B5472">
            <w:pPr>
              <w:pStyle w:val="11"/>
            </w:pPr>
            <w:r>
              <w:t>2</w:t>
            </w:r>
          </w:p>
        </w:tc>
        <w:tc>
          <w:tcPr>
            <w:tcW w:w="850" w:type="dxa"/>
            <w:vAlign w:val="center"/>
          </w:tcPr>
          <w:p w14:paraId="59BD1E70">
            <w:pPr>
              <w:pStyle w:val="11"/>
            </w:pPr>
            <w:r>
              <w:t>0.09</w:t>
            </w:r>
          </w:p>
        </w:tc>
        <w:tc>
          <w:tcPr>
            <w:tcW w:w="964" w:type="dxa"/>
            <w:vAlign w:val="center"/>
          </w:tcPr>
          <w:p w14:paraId="57BA2826">
            <w:pPr>
              <w:pStyle w:val="11"/>
            </w:pPr>
            <w:r>
              <w:t>0.17</w:t>
            </w:r>
          </w:p>
        </w:tc>
        <w:tc>
          <w:tcPr>
            <w:tcW w:w="964" w:type="dxa"/>
            <w:vAlign w:val="center"/>
          </w:tcPr>
          <w:p w14:paraId="357A96A6">
            <w:pPr>
              <w:pStyle w:val="11"/>
            </w:pPr>
            <w:r>
              <w:t>0.17</w:t>
            </w:r>
          </w:p>
        </w:tc>
        <w:tc>
          <w:tcPr>
            <w:tcW w:w="964" w:type="dxa"/>
            <w:vAlign w:val="center"/>
          </w:tcPr>
          <w:p w14:paraId="65770771">
            <w:pPr>
              <w:pStyle w:val="11"/>
            </w:pPr>
          </w:p>
        </w:tc>
        <w:tc>
          <w:tcPr>
            <w:tcW w:w="964" w:type="dxa"/>
            <w:vAlign w:val="center"/>
          </w:tcPr>
          <w:p w14:paraId="0CB3E54D">
            <w:pPr>
              <w:pStyle w:val="11"/>
            </w:pPr>
          </w:p>
        </w:tc>
        <w:tc>
          <w:tcPr>
            <w:tcW w:w="964" w:type="dxa"/>
            <w:vAlign w:val="center"/>
          </w:tcPr>
          <w:p w14:paraId="2F3B4079">
            <w:pPr>
              <w:pStyle w:val="11"/>
            </w:pPr>
          </w:p>
        </w:tc>
        <w:tc>
          <w:tcPr>
            <w:tcW w:w="964" w:type="dxa"/>
            <w:vAlign w:val="center"/>
          </w:tcPr>
          <w:p w14:paraId="2C3A484D">
            <w:pPr>
              <w:pStyle w:val="11"/>
            </w:pPr>
          </w:p>
        </w:tc>
        <w:tc>
          <w:tcPr>
            <w:tcW w:w="964" w:type="dxa"/>
            <w:vAlign w:val="center"/>
          </w:tcPr>
          <w:p w14:paraId="52446C3B">
            <w:pPr>
              <w:pStyle w:val="11"/>
            </w:pPr>
          </w:p>
        </w:tc>
        <w:tc>
          <w:tcPr>
            <w:tcW w:w="964" w:type="dxa"/>
            <w:vAlign w:val="center"/>
          </w:tcPr>
          <w:p w14:paraId="2EB4A0FC">
            <w:pPr>
              <w:pStyle w:val="11"/>
            </w:pPr>
          </w:p>
        </w:tc>
        <w:tc>
          <w:tcPr>
            <w:tcW w:w="964" w:type="dxa"/>
            <w:vAlign w:val="center"/>
          </w:tcPr>
          <w:p w14:paraId="76A129ED">
            <w:pPr>
              <w:pStyle w:val="11"/>
            </w:pPr>
            <w:r>
              <w:t>0.17</w:t>
            </w:r>
          </w:p>
        </w:tc>
      </w:tr>
      <w:tr w14:paraId="774C4A3A">
        <w:tblPrEx>
          <w:tblCellMar>
            <w:top w:w="0" w:type="dxa"/>
            <w:left w:w="108" w:type="dxa"/>
            <w:bottom w:w="0" w:type="dxa"/>
            <w:right w:w="108" w:type="dxa"/>
          </w:tblCellMar>
        </w:tblPrEx>
        <w:trPr>
          <w:jc w:val="center"/>
        </w:trPr>
        <w:tc>
          <w:tcPr>
            <w:tcW w:w="1701" w:type="dxa"/>
            <w:vAlign w:val="center"/>
          </w:tcPr>
          <w:p w14:paraId="3E1FF412">
            <w:pPr>
              <w:pStyle w:val="12"/>
            </w:pPr>
            <w:r>
              <w:t>冀财教[2025]121号/中央/2026年义教补助经费/固城校区火连庄小学公用经费</w:t>
            </w:r>
          </w:p>
        </w:tc>
        <w:tc>
          <w:tcPr>
            <w:tcW w:w="964" w:type="dxa"/>
            <w:vAlign w:val="center"/>
          </w:tcPr>
          <w:p w14:paraId="66C2877A">
            <w:pPr>
              <w:pStyle w:val="11"/>
            </w:pPr>
            <w:r>
              <w:t>34.03</w:t>
            </w:r>
          </w:p>
        </w:tc>
        <w:tc>
          <w:tcPr>
            <w:tcW w:w="1134" w:type="dxa"/>
            <w:vAlign w:val="center"/>
          </w:tcPr>
          <w:p w14:paraId="12F8C908">
            <w:pPr>
              <w:pStyle w:val="12"/>
            </w:pPr>
            <w:r>
              <w:t>办公椅</w:t>
            </w:r>
          </w:p>
        </w:tc>
        <w:tc>
          <w:tcPr>
            <w:tcW w:w="1134" w:type="dxa"/>
            <w:vAlign w:val="center"/>
          </w:tcPr>
          <w:p w14:paraId="7036594D">
            <w:pPr>
              <w:pStyle w:val="12"/>
            </w:pPr>
            <w:r>
              <w:t>A05010301</w:t>
            </w:r>
          </w:p>
        </w:tc>
        <w:tc>
          <w:tcPr>
            <w:tcW w:w="709" w:type="dxa"/>
            <w:vAlign w:val="center"/>
          </w:tcPr>
          <w:p w14:paraId="444A363F">
            <w:pPr>
              <w:pStyle w:val="13"/>
            </w:pPr>
            <w:r>
              <w:t>万元</w:t>
            </w:r>
          </w:p>
        </w:tc>
        <w:tc>
          <w:tcPr>
            <w:tcW w:w="850" w:type="dxa"/>
            <w:vAlign w:val="center"/>
          </w:tcPr>
          <w:p w14:paraId="7DC2D799">
            <w:pPr>
              <w:pStyle w:val="11"/>
            </w:pPr>
            <w:r>
              <w:t>25</w:t>
            </w:r>
          </w:p>
        </w:tc>
        <w:tc>
          <w:tcPr>
            <w:tcW w:w="850" w:type="dxa"/>
            <w:vAlign w:val="center"/>
          </w:tcPr>
          <w:p w14:paraId="0553FA9C">
            <w:pPr>
              <w:pStyle w:val="11"/>
            </w:pPr>
            <w:r>
              <w:t>0.02</w:t>
            </w:r>
          </w:p>
        </w:tc>
        <w:tc>
          <w:tcPr>
            <w:tcW w:w="964" w:type="dxa"/>
            <w:vAlign w:val="center"/>
          </w:tcPr>
          <w:p w14:paraId="058A524A">
            <w:pPr>
              <w:pStyle w:val="11"/>
            </w:pPr>
            <w:r>
              <w:t>0.43</w:t>
            </w:r>
          </w:p>
        </w:tc>
        <w:tc>
          <w:tcPr>
            <w:tcW w:w="964" w:type="dxa"/>
            <w:vAlign w:val="center"/>
          </w:tcPr>
          <w:p w14:paraId="0BF940B5">
            <w:pPr>
              <w:pStyle w:val="11"/>
            </w:pPr>
            <w:r>
              <w:t>0.43</w:t>
            </w:r>
          </w:p>
        </w:tc>
        <w:tc>
          <w:tcPr>
            <w:tcW w:w="964" w:type="dxa"/>
            <w:vAlign w:val="center"/>
          </w:tcPr>
          <w:p w14:paraId="437D8339">
            <w:pPr>
              <w:pStyle w:val="11"/>
            </w:pPr>
          </w:p>
        </w:tc>
        <w:tc>
          <w:tcPr>
            <w:tcW w:w="964" w:type="dxa"/>
            <w:vAlign w:val="center"/>
          </w:tcPr>
          <w:p w14:paraId="28A5A218">
            <w:pPr>
              <w:pStyle w:val="11"/>
            </w:pPr>
          </w:p>
        </w:tc>
        <w:tc>
          <w:tcPr>
            <w:tcW w:w="964" w:type="dxa"/>
            <w:vAlign w:val="center"/>
          </w:tcPr>
          <w:p w14:paraId="0B0C5FDF">
            <w:pPr>
              <w:pStyle w:val="11"/>
            </w:pPr>
          </w:p>
        </w:tc>
        <w:tc>
          <w:tcPr>
            <w:tcW w:w="964" w:type="dxa"/>
            <w:vAlign w:val="center"/>
          </w:tcPr>
          <w:p w14:paraId="3C5C4D72">
            <w:pPr>
              <w:pStyle w:val="11"/>
            </w:pPr>
          </w:p>
        </w:tc>
        <w:tc>
          <w:tcPr>
            <w:tcW w:w="964" w:type="dxa"/>
            <w:vAlign w:val="center"/>
          </w:tcPr>
          <w:p w14:paraId="161801AB">
            <w:pPr>
              <w:pStyle w:val="11"/>
            </w:pPr>
          </w:p>
        </w:tc>
        <w:tc>
          <w:tcPr>
            <w:tcW w:w="964" w:type="dxa"/>
            <w:vAlign w:val="center"/>
          </w:tcPr>
          <w:p w14:paraId="59D6543B">
            <w:pPr>
              <w:pStyle w:val="11"/>
            </w:pPr>
          </w:p>
        </w:tc>
        <w:tc>
          <w:tcPr>
            <w:tcW w:w="964" w:type="dxa"/>
            <w:vAlign w:val="center"/>
          </w:tcPr>
          <w:p w14:paraId="2AA4939A">
            <w:pPr>
              <w:pStyle w:val="11"/>
            </w:pPr>
            <w:r>
              <w:t>0.43</w:t>
            </w:r>
          </w:p>
        </w:tc>
      </w:tr>
      <w:tr w14:paraId="12D2C0DF">
        <w:tblPrEx>
          <w:tblCellMar>
            <w:top w:w="0" w:type="dxa"/>
            <w:left w:w="108" w:type="dxa"/>
            <w:bottom w:w="0" w:type="dxa"/>
            <w:right w:w="108" w:type="dxa"/>
          </w:tblCellMar>
        </w:tblPrEx>
        <w:trPr>
          <w:jc w:val="center"/>
        </w:trPr>
        <w:tc>
          <w:tcPr>
            <w:tcW w:w="1701" w:type="dxa"/>
            <w:vAlign w:val="center"/>
          </w:tcPr>
          <w:p w14:paraId="2FFAF4D4">
            <w:pPr>
              <w:pStyle w:val="12"/>
            </w:pPr>
            <w:r>
              <w:t>冀财教[2025]121号/中央/2026年义教补助经费/固城校区火连庄小学公用经费</w:t>
            </w:r>
          </w:p>
        </w:tc>
        <w:tc>
          <w:tcPr>
            <w:tcW w:w="964" w:type="dxa"/>
            <w:vAlign w:val="center"/>
          </w:tcPr>
          <w:p w14:paraId="7780A597">
            <w:pPr>
              <w:pStyle w:val="11"/>
            </w:pPr>
            <w:r>
              <w:t>34.03</w:t>
            </w:r>
          </w:p>
        </w:tc>
        <w:tc>
          <w:tcPr>
            <w:tcW w:w="1134" w:type="dxa"/>
            <w:vAlign w:val="center"/>
          </w:tcPr>
          <w:p w14:paraId="60E99BB8">
            <w:pPr>
              <w:pStyle w:val="12"/>
            </w:pPr>
            <w:r>
              <w:t>文件柜</w:t>
            </w:r>
          </w:p>
        </w:tc>
        <w:tc>
          <w:tcPr>
            <w:tcW w:w="1134" w:type="dxa"/>
            <w:vAlign w:val="center"/>
          </w:tcPr>
          <w:p w14:paraId="22537CDC">
            <w:pPr>
              <w:pStyle w:val="12"/>
            </w:pPr>
            <w:r>
              <w:t>A05010502</w:t>
            </w:r>
          </w:p>
        </w:tc>
        <w:tc>
          <w:tcPr>
            <w:tcW w:w="709" w:type="dxa"/>
            <w:vAlign w:val="center"/>
          </w:tcPr>
          <w:p w14:paraId="2A6DC477">
            <w:pPr>
              <w:pStyle w:val="13"/>
            </w:pPr>
            <w:r>
              <w:t>万元</w:t>
            </w:r>
          </w:p>
        </w:tc>
        <w:tc>
          <w:tcPr>
            <w:tcW w:w="850" w:type="dxa"/>
            <w:vAlign w:val="center"/>
          </w:tcPr>
          <w:p w14:paraId="7851001C">
            <w:pPr>
              <w:pStyle w:val="11"/>
            </w:pPr>
            <w:r>
              <w:t>4</w:t>
            </w:r>
          </w:p>
        </w:tc>
        <w:tc>
          <w:tcPr>
            <w:tcW w:w="850" w:type="dxa"/>
            <w:vAlign w:val="center"/>
          </w:tcPr>
          <w:p w14:paraId="3CD148F3">
            <w:pPr>
              <w:pStyle w:val="11"/>
            </w:pPr>
            <w:r>
              <w:t>0.06</w:t>
            </w:r>
          </w:p>
        </w:tc>
        <w:tc>
          <w:tcPr>
            <w:tcW w:w="964" w:type="dxa"/>
            <w:vAlign w:val="center"/>
          </w:tcPr>
          <w:p w14:paraId="7CEE7591">
            <w:pPr>
              <w:pStyle w:val="11"/>
            </w:pPr>
            <w:r>
              <w:t>0.23</w:t>
            </w:r>
          </w:p>
        </w:tc>
        <w:tc>
          <w:tcPr>
            <w:tcW w:w="964" w:type="dxa"/>
            <w:vAlign w:val="center"/>
          </w:tcPr>
          <w:p w14:paraId="4139E3D0">
            <w:pPr>
              <w:pStyle w:val="11"/>
            </w:pPr>
            <w:r>
              <w:t>0.23</w:t>
            </w:r>
          </w:p>
        </w:tc>
        <w:tc>
          <w:tcPr>
            <w:tcW w:w="964" w:type="dxa"/>
            <w:vAlign w:val="center"/>
          </w:tcPr>
          <w:p w14:paraId="48E585BC">
            <w:pPr>
              <w:pStyle w:val="11"/>
            </w:pPr>
          </w:p>
        </w:tc>
        <w:tc>
          <w:tcPr>
            <w:tcW w:w="964" w:type="dxa"/>
            <w:vAlign w:val="center"/>
          </w:tcPr>
          <w:p w14:paraId="1236C6F1">
            <w:pPr>
              <w:pStyle w:val="11"/>
            </w:pPr>
          </w:p>
        </w:tc>
        <w:tc>
          <w:tcPr>
            <w:tcW w:w="964" w:type="dxa"/>
            <w:vAlign w:val="center"/>
          </w:tcPr>
          <w:p w14:paraId="11C45F1E">
            <w:pPr>
              <w:pStyle w:val="11"/>
            </w:pPr>
          </w:p>
        </w:tc>
        <w:tc>
          <w:tcPr>
            <w:tcW w:w="964" w:type="dxa"/>
            <w:vAlign w:val="center"/>
          </w:tcPr>
          <w:p w14:paraId="5E9250C4">
            <w:pPr>
              <w:pStyle w:val="11"/>
            </w:pPr>
          </w:p>
        </w:tc>
        <w:tc>
          <w:tcPr>
            <w:tcW w:w="964" w:type="dxa"/>
            <w:vAlign w:val="center"/>
          </w:tcPr>
          <w:p w14:paraId="0EE76F5A">
            <w:pPr>
              <w:pStyle w:val="11"/>
            </w:pPr>
          </w:p>
        </w:tc>
        <w:tc>
          <w:tcPr>
            <w:tcW w:w="964" w:type="dxa"/>
            <w:vAlign w:val="center"/>
          </w:tcPr>
          <w:p w14:paraId="23AE2FC5">
            <w:pPr>
              <w:pStyle w:val="11"/>
            </w:pPr>
          </w:p>
        </w:tc>
        <w:tc>
          <w:tcPr>
            <w:tcW w:w="964" w:type="dxa"/>
            <w:vAlign w:val="center"/>
          </w:tcPr>
          <w:p w14:paraId="6FA43BE3">
            <w:pPr>
              <w:pStyle w:val="11"/>
            </w:pPr>
            <w:r>
              <w:t>0.23</w:t>
            </w:r>
          </w:p>
        </w:tc>
      </w:tr>
      <w:tr w14:paraId="7AB1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8972F">
            <w:pPr>
              <w:pStyle w:val="12"/>
            </w:pPr>
            <w:r>
              <w:t>冀财教[2025]121号/中央/2026年义教补助经费/固城校区小孟小学公用经费</w:t>
            </w:r>
          </w:p>
        </w:tc>
        <w:tc>
          <w:tcPr>
            <w:tcW w:w="964" w:type="dxa"/>
            <w:vAlign w:val="center"/>
          </w:tcPr>
          <w:p w14:paraId="22160EB9">
            <w:pPr>
              <w:pStyle w:val="11"/>
            </w:pPr>
            <w:r>
              <w:t>25.00</w:t>
            </w:r>
          </w:p>
        </w:tc>
        <w:tc>
          <w:tcPr>
            <w:tcW w:w="1134" w:type="dxa"/>
            <w:vAlign w:val="center"/>
          </w:tcPr>
          <w:p w14:paraId="289C8B1F">
            <w:pPr>
              <w:pStyle w:val="12"/>
            </w:pPr>
            <w:r>
              <w:t>A4 黑白打印机</w:t>
            </w:r>
          </w:p>
        </w:tc>
        <w:tc>
          <w:tcPr>
            <w:tcW w:w="1134" w:type="dxa"/>
            <w:vAlign w:val="center"/>
          </w:tcPr>
          <w:p w14:paraId="10B607D9">
            <w:pPr>
              <w:pStyle w:val="12"/>
            </w:pPr>
            <w:r>
              <w:t>A02021003</w:t>
            </w:r>
          </w:p>
        </w:tc>
        <w:tc>
          <w:tcPr>
            <w:tcW w:w="709" w:type="dxa"/>
            <w:vAlign w:val="center"/>
          </w:tcPr>
          <w:p w14:paraId="64387204">
            <w:pPr>
              <w:pStyle w:val="13"/>
            </w:pPr>
            <w:r>
              <w:t>万元</w:t>
            </w:r>
          </w:p>
        </w:tc>
        <w:tc>
          <w:tcPr>
            <w:tcW w:w="850" w:type="dxa"/>
            <w:vAlign w:val="center"/>
          </w:tcPr>
          <w:p w14:paraId="58C958BF">
            <w:pPr>
              <w:pStyle w:val="11"/>
            </w:pPr>
            <w:r>
              <w:t>1</w:t>
            </w:r>
          </w:p>
        </w:tc>
        <w:tc>
          <w:tcPr>
            <w:tcW w:w="850" w:type="dxa"/>
            <w:vAlign w:val="center"/>
          </w:tcPr>
          <w:p w14:paraId="4B5E596C">
            <w:pPr>
              <w:pStyle w:val="11"/>
            </w:pPr>
            <w:r>
              <w:t>0.19</w:t>
            </w:r>
          </w:p>
        </w:tc>
        <w:tc>
          <w:tcPr>
            <w:tcW w:w="964" w:type="dxa"/>
            <w:vAlign w:val="center"/>
          </w:tcPr>
          <w:p w14:paraId="4624F4E3">
            <w:pPr>
              <w:pStyle w:val="11"/>
            </w:pPr>
            <w:r>
              <w:t>0.19</w:t>
            </w:r>
          </w:p>
        </w:tc>
        <w:tc>
          <w:tcPr>
            <w:tcW w:w="964" w:type="dxa"/>
            <w:vAlign w:val="center"/>
          </w:tcPr>
          <w:p w14:paraId="4B6E4FB7">
            <w:pPr>
              <w:pStyle w:val="11"/>
            </w:pPr>
            <w:r>
              <w:t>0.19</w:t>
            </w:r>
          </w:p>
        </w:tc>
        <w:tc>
          <w:tcPr>
            <w:tcW w:w="964" w:type="dxa"/>
            <w:vAlign w:val="center"/>
          </w:tcPr>
          <w:p w14:paraId="31E8F8EC">
            <w:pPr>
              <w:pStyle w:val="11"/>
            </w:pPr>
          </w:p>
        </w:tc>
        <w:tc>
          <w:tcPr>
            <w:tcW w:w="964" w:type="dxa"/>
            <w:vAlign w:val="center"/>
          </w:tcPr>
          <w:p w14:paraId="5273314B">
            <w:pPr>
              <w:pStyle w:val="11"/>
            </w:pPr>
          </w:p>
        </w:tc>
        <w:tc>
          <w:tcPr>
            <w:tcW w:w="964" w:type="dxa"/>
            <w:vAlign w:val="center"/>
          </w:tcPr>
          <w:p w14:paraId="1536393B">
            <w:pPr>
              <w:pStyle w:val="11"/>
            </w:pPr>
          </w:p>
        </w:tc>
        <w:tc>
          <w:tcPr>
            <w:tcW w:w="964" w:type="dxa"/>
            <w:vAlign w:val="center"/>
          </w:tcPr>
          <w:p w14:paraId="1ECC3FCE">
            <w:pPr>
              <w:pStyle w:val="11"/>
            </w:pPr>
          </w:p>
        </w:tc>
        <w:tc>
          <w:tcPr>
            <w:tcW w:w="964" w:type="dxa"/>
            <w:vAlign w:val="center"/>
          </w:tcPr>
          <w:p w14:paraId="0B47429D">
            <w:pPr>
              <w:pStyle w:val="11"/>
            </w:pPr>
          </w:p>
        </w:tc>
        <w:tc>
          <w:tcPr>
            <w:tcW w:w="964" w:type="dxa"/>
            <w:vAlign w:val="center"/>
          </w:tcPr>
          <w:p w14:paraId="76855A26">
            <w:pPr>
              <w:pStyle w:val="11"/>
            </w:pPr>
          </w:p>
        </w:tc>
        <w:tc>
          <w:tcPr>
            <w:tcW w:w="964" w:type="dxa"/>
            <w:vAlign w:val="center"/>
          </w:tcPr>
          <w:p w14:paraId="5DA2C704">
            <w:pPr>
              <w:pStyle w:val="11"/>
            </w:pPr>
            <w:r>
              <w:t>0.19</w:t>
            </w:r>
          </w:p>
        </w:tc>
      </w:tr>
      <w:tr w14:paraId="33DB31CA">
        <w:tblPrEx>
          <w:tblCellMar>
            <w:top w:w="0" w:type="dxa"/>
            <w:left w:w="108" w:type="dxa"/>
            <w:bottom w:w="0" w:type="dxa"/>
            <w:right w:w="108" w:type="dxa"/>
          </w:tblCellMar>
        </w:tblPrEx>
        <w:trPr>
          <w:jc w:val="center"/>
        </w:trPr>
        <w:tc>
          <w:tcPr>
            <w:tcW w:w="1701" w:type="dxa"/>
            <w:vAlign w:val="center"/>
          </w:tcPr>
          <w:p w14:paraId="5BF35101">
            <w:pPr>
              <w:pStyle w:val="12"/>
            </w:pPr>
            <w:r>
              <w:t>冀财教[2025]121号/中央/2026年义教补助经费/固城校区小孟小学公用经费</w:t>
            </w:r>
          </w:p>
        </w:tc>
        <w:tc>
          <w:tcPr>
            <w:tcW w:w="964" w:type="dxa"/>
            <w:vAlign w:val="center"/>
          </w:tcPr>
          <w:p w14:paraId="0FA0F2ED">
            <w:pPr>
              <w:pStyle w:val="11"/>
            </w:pPr>
            <w:r>
              <w:t>25.00</w:t>
            </w:r>
          </w:p>
        </w:tc>
        <w:tc>
          <w:tcPr>
            <w:tcW w:w="1134" w:type="dxa"/>
            <w:vAlign w:val="center"/>
          </w:tcPr>
          <w:p w14:paraId="241B7356">
            <w:pPr>
              <w:pStyle w:val="12"/>
            </w:pPr>
            <w:r>
              <w:t>文件柜</w:t>
            </w:r>
          </w:p>
        </w:tc>
        <w:tc>
          <w:tcPr>
            <w:tcW w:w="1134" w:type="dxa"/>
            <w:vAlign w:val="center"/>
          </w:tcPr>
          <w:p w14:paraId="5D203CF4">
            <w:pPr>
              <w:pStyle w:val="12"/>
            </w:pPr>
            <w:r>
              <w:t>A05010502</w:t>
            </w:r>
          </w:p>
        </w:tc>
        <w:tc>
          <w:tcPr>
            <w:tcW w:w="709" w:type="dxa"/>
            <w:vAlign w:val="center"/>
          </w:tcPr>
          <w:p w14:paraId="168EA89E">
            <w:pPr>
              <w:pStyle w:val="13"/>
            </w:pPr>
            <w:r>
              <w:t>万元</w:t>
            </w:r>
          </w:p>
        </w:tc>
        <w:tc>
          <w:tcPr>
            <w:tcW w:w="850" w:type="dxa"/>
            <w:vAlign w:val="center"/>
          </w:tcPr>
          <w:p w14:paraId="77651BC1">
            <w:pPr>
              <w:pStyle w:val="11"/>
            </w:pPr>
            <w:r>
              <w:t>4</w:t>
            </w:r>
          </w:p>
        </w:tc>
        <w:tc>
          <w:tcPr>
            <w:tcW w:w="850" w:type="dxa"/>
            <w:vAlign w:val="center"/>
          </w:tcPr>
          <w:p w14:paraId="49808E1F">
            <w:pPr>
              <w:pStyle w:val="11"/>
            </w:pPr>
            <w:r>
              <w:t>0.06</w:t>
            </w:r>
          </w:p>
        </w:tc>
        <w:tc>
          <w:tcPr>
            <w:tcW w:w="964" w:type="dxa"/>
            <w:vAlign w:val="center"/>
          </w:tcPr>
          <w:p w14:paraId="4C1F3B88">
            <w:pPr>
              <w:pStyle w:val="11"/>
            </w:pPr>
            <w:r>
              <w:t>0.23</w:t>
            </w:r>
          </w:p>
        </w:tc>
        <w:tc>
          <w:tcPr>
            <w:tcW w:w="964" w:type="dxa"/>
            <w:vAlign w:val="center"/>
          </w:tcPr>
          <w:p w14:paraId="6F1D747D">
            <w:pPr>
              <w:pStyle w:val="11"/>
            </w:pPr>
            <w:r>
              <w:t>0.23</w:t>
            </w:r>
          </w:p>
        </w:tc>
        <w:tc>
          <w:tcPr>
            <w:tcW w:w="964" w:type="dxa"/>
            <w:vAlign w:val="center"/>
          </w:tcPr>
          <w:p w14:paraId="64E03EE3">
            <w:pPr>
              <w:pStyle w:val="11"/>
            </w:pPr>
          </w:p>
        </w:tc>
        <w:tc>
          <w:tcPr>
            <w:tcW w:w="964" w:type="dxa"/>
            <w:vAlign w:val="center"/>
          </w:tcPr>
          <w:p w14:paraId="4DD5214E">
            <w:pPr>
              <w:pStyle w:val="11"/>
            </w:pPr>
          </w:p>
        </w:tc>
        <w:tc>
          <w:tcPr>
            <w:tcW w:w="964" w:type="dxa"/>
            <w:vAlign w:val="center"/>
          </w:tcPr>
          <w:p w14:paraId="493951DE">
            <w:pPr>
              <w:pStyle w:val="11"/>
            </w:pPr>
          </w:p>
        </w:tc>
        <w:tc>
          <w:tcPr>
            <w:tcW w:w="964" w:type="dxa"/>
            <w:vAlign w:val="center"/>
          </w:tcPr>
          <w:p w14:paraId="28E2D035">
            <w:pPr>
              <w:pStyle w:val="11"/>
            </w:pPr>
          </w:p>
        </w:tc>
        <w:tc>
          <w:tcPr>
            <w:tcW w:w="964" w:type="dxa"/>
            <w:vAlign w:val="center"/>
          </w:tcPr>
          <w:p w14:paraId="594FCA53">
            <w:pPr>
              <w:pStyle w:val="11"/>
            </w:pPr>
          </w:p>
        </w:tc>
        <w:tc>
          <w:tcPr>
            <w:tcW w:w="964" w:type="dxa"/>
            <w:vAlign w:val="center"/>
          </w:tcPr>
          <w:p w14:paraId="074362BC">
            <w:pPr>
              <w:pStyle w:val="11"/>
            </w:pPr>
          </w:p>
        </w:tc>
        <w:tc>
          <w:tcPr>
            <w:tcW w:w="964" w:type="dxa"/>
            <w:vAlign w:val="center"/>
          </w:tcPr>
          <w:p w14:paraId="16038A82">
            <w:pPr>
              <w:pStyle w:val="11"/>
            </w:pPr>
            <w:r>
              <w:t>0.23</w:t>
            </w:r>
          </w:p>
        </w:tc>
      </w:tr>
      <w:tr w14:paraId="526C5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BD6266">
            <w:pPr>
              <w:pStyle w:val="12"/>
            </w:pPr>
            <w:r>
              <w:t>冀财教[2025]122号/中央/支持学前教育发展/固城校区幼儿园设备购置</w:t>
            </w:r>
          </w:p>
        </w:tc>
        <w:tc>
          <w:tcPr>
            <w:tcW w:w="964" w:type="dxa"/>
            <w:vAlign w:val="center"/>
          </w:tcPr>
          <w:p w14:paraId="03B5F7A5">
            <w:pPr>
              <w:pStyle w:val="11"/>
            </w:pPr>
            <w:r>
              <w:t>22.94</w:t>
            </w:r>
          </w:p>
        </w:tc>
        <w:tc>
          <w:tcPr>
            <w:tcW w:w="1134" w:type="dxa"/>
            <w:vAlign w:val="center"/>
          </w:tcPr>
          <w:p w14:paraId="1B808820">
            <w:pPr>
              <w:pStyle w:val="12"/>
            </w:pPr>
            <w:r>
              <w:t>A4 彩色打印机</w:t>
            </w:r>
          </w:p>
        </w:tc>
        <w:tc>
          <w:tcPr>
            <w:tcW w:w="1134" w:type="dxa"/>
            <w:vAlign w:val="center"/>
          </w:tcPr>
          <w:p w14:paraId="005F83F1">
            <w:pPr>
              <w:pStyle w:val="12"/>
            </w:pPr>
            <w:r>
              <w:t>A02021004</w:t>
            </w:r>
          </w:p>
        </w:tc>
        <w:tc>
          <w:tcPr>
            <w:tcW w:w="709" w:type="dxa"/>
            <w:vAlign w:val="center"/>
          </w:tcPr>
          <w:p w14:paraId="33AE2246">
            <w:pPr>
              <w:pStyle w:val="13"/>
            </w:pPr>
            <w:r>
              <w:t>台</w:t>
            </w:r>
          </w:p>
        </w:tc>
        <w:tc>
          <w:tcPr>
            <w:tcW w:w="850" w:type="dxa"/>
            <w:vAlign w:val="center"/>
          </w:tcPr>
          <w:p w14:paraId="5FC2C1AA">
            <w:pPr>
              <w:pStyle w:val="11"/>
            </w:pPr>
            <w:r>
              <w:t>2</w:t>
            </w:r>
          </w:p>
        </w:tc>
        <w:tc>
          <w:tcPr>
            <w:tcW w:w="850" w:type="dxa"/>
            <w:vAlign w:val="center"/>
          </w:tcPr>
          <w:p w14:paraId="4B293516">
            <w:pPr>
              <w:pStyle w:val="11"/>
            </w:pPr>
            <w:r>
              <w:t>0.20</w:t>
            </w:r>
          </w:p>
        </w:tc>
        <w:tc>
          <w:tcPr>
            <w:tcW w:w="964" w:type="dxa"/>
            <w:vAlign w:val="center"/>
          </w:tcPr>
          <w:p w14:paraId="1A772C80">
            <w:pPr>
              <w:pStyle w:val="11"/>
            </w:pPr>
            <w:r>
              <w:t>0.40</w:t>
            </w:r>
          </w:p>
        </w:tc>
        <w:tc>
          <w:tcPr>
            <w:tcW w:w="964" w:type="dxa"/>
            <w:vAlign w:val="center"/>
          </w:tcPr>
          <w:p w14:paraId="693D1B9C">
            <w:pPr>
              <w:pStyle w:val="11"/>
            </w:pPr>
            <w:r>
              <w:t>0.40</w:t>
            </w:r>
          </w:p>
        </w:tc>
        <w:tc>
          <w:tcPr>
            <w:tcW w:w="964" w:type="dxa"/>
            <w:vAlign w:val="center"/>
          </w:tcPr>
          <w:p w14:paraId="6666AA83">
            <w:pPr>
              <w:pStyle w:val="11"/>
            </w:pPr>
          </w:p>
        </w:tc>
        <w:tc>
          <w:tcPr>
            <w:tcW w:w="964" w:type="dxa"/>
            <w:vAlign w:val="center"/>
          </w:tcPr>
          <w:p w14:paraId="6EF8F54D">
            <w:pPr>
              <w:pStyle w:val="11"/>
            </w:pPr>
          </w:p>
        </w:tc>
        <w:tc>
          <w:tcPr>
            <w:tcW w:w="964" w:type="dxa"/>
            <w:vAlign w:val="center"/>
          </w:tcPr>
          <w:p w14:paraId="005A25F8">
            <w:pPr>
              <w:pStyle w:val="11"/>
            </w:pPr>
          </w:p>
        </w:tc>
        <w:tc>
          <w:tcPr>
            <w:tcW w:w="964" w:type="dxa"/>
            <w:vAlign w:val="center"/>
          </w:tcPr>
          <w:p w14:paraId="1E99A419">
            <w:pPr>
              <w:pStyle w:val="11"/>
            </w:pPr>
          </w:p>
        </w:tc>
        <w:tc>
          <w:tcPr>
            <w:tcW w:w="964" w:type="dxa"/>
            <w:vAlign w:val="center"/>
          </w:tcPr>
          <w:p w14:paraId="532A2377">
            <w:pPr>
              <w:pStyle w:val="11"/>
            </w:pPr>
          </w:p>
        </w:tc>
        <w:tc>
          <w:tcPr>
            <w:tcW w:w="964" w:type="dxa"/>
            <w:vAlign w:val="center"/>
          </w:tcPr>
          <w:p w14:paraId="17D37F47">
            <w:pPr>
              <w:pStyle w:val="11"/>
            </w:pPr>
          </w:p>
        </w:tc>
        <w:tc>
          <w:tcPr>
            <w:tcW w:w="964" w:type="dxa"/>
            <w:vAlign w:val="center"/>
          </w:tcPr>
          <w:p w14:paraId="15CD2FB4">
            <w:pPr>
              <w:pStyle w:val="11"/>
            </w:pPr>
            <w:r>
              <w:t>0.40</w:t>
            </w:r>
          </w:p>
        </w:tc>
      </w:tr>
      <w:tr w14:paraId="4CBE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5B6060">
            <w:pPr>
              <w:pStyle w:val="12"/>
            </w:pPr>
            <w:r>
              <w:t>冀财教[2025]122号/中央/支持学前教育发展/固城校区幼儿园设备购置</w:t>
            </w:r>
          </w:p>
        </w:tc>
        <w:tc>
          <w:tcPr>
            <w:tcW w:w="964" w:type="dxa"/>
            <w:vAlign w:val="center"/>
          </w:tcPr>
          <w:p w14:paraId="142B7191">
            <w:pPr>
              <w:pStyle w:val="11"/>
            </w:pPr>
            <w:r>
              <w:t>22.94</w:t>
            </w:r>
          </w:p>
        </w:tc>
        <w:tc>
          <w:tcPr>
            <w:tcW w:w="1134" w:type="dxa"/>
            <w:vAlign w:val="center"/>
          </w:tcPr>
          <w:p w14:paraId="411A8372">
            <w:pPr>
              <w:pStyle w:val="12"/>
            </w:pPr>
            <w:r>
              <w:t>文件柜</w:t>
            </w:r>
          </w:p>
        </w:tc>
        <w:tc>
          <w:tcPr>
            <w:tcW w:w="1134" w:type="dxa"/>
            <w:vAlign w:val="center"/>
          </w:tcPr>
          <w:p w14:paraId="7044C078">
            <w:pPr>
              <w:pStyle w:val="12"/>
            </w:pPr>
            <w:r>
              <w:t>A05010502</w:t>
            </w:r>
          </w:p>
        </w:tc>
        <w:tc>
          <w:tcPr>
            <w:tcW w:w="709" w:type="dxa"/>
            <w:vAlign w:val="center"/>
          </w:tcPr>
          <w:p w14:paraId="515841DB">
            <w:pPr>
              <w:pStyle w:val="13"/>
            </w:pPr>
            <w:r>
              <w:t>个</w:t>
            </w:r>
          </w:p>
        </w:tc>
        <w:tc>
          <w:tcPr>
            <w:tcW w:w="850" w:type="dxa"/>
            <w:vAlign w:val="center"/>
          </w:tcPr>
          <w:p w14:paraId="1F76A048">
            <w:pPr>
              <w:pStyle w:val="11"/>
            </w:pPr>
            <w:r>
              <w:t>8</w:t>
            </w:r>
          </w:p>
        </w:tc>
        <w:tc>
          <w:tcPr>
            <w:tcW w:w="850" w:type="dxa"/>
            <w:vAlign w:val="center"/>
          </w:tcPr>
          <w:p w14:paraId="64E93047">
            <w:pPr>
              <w:pStyle w:val="11"/>
            </w:pPr>
            <w:r>
              <w:t>0.07</w:t>
            </w:r>
          </w:p>
        </w:tc>
        <w:tc>
          <w:tcPr>
            <w:tcW w:w="964" w:type="dxa"/>
            <w:vAlign w:val="center"/>
          </w:tcPr>
          <w:p w14:paraId="006F1C12">
            <w:pPr>
              <w:pStyle w:val="11"/>
            </w:pPr>
            <w:r>
              <w:t>0.56</w:t>
            </w:r>
          </w:p>
        </w:tc>
        <w:tc>
          <w:tcPr>
            <w:tcW w:w="964" w:type="dxa"/>
            <w:vAlign w:val="center"/>
          </w:tcPr>
          <w:p w14:paraId="4BDBE7D6">
            <w:pPr>
              <w:pStyle w:val="11"/>
            </w:pPr>
            <w:r>
              <w:t>0.56</w:t>
            </w:r>
          </w:p>
        </w:tc>
        <w:tc>
          <w:tcPr>
            <w:tcW w:w="964" w:type="dxa"/>
            <w:vAlign w:val="center"/>
          </w:tcPr>
          <w:p w14:paraId="3DED7102">
            <w:pPr>
              <w:pStyle w:val="11"/>
            </w:pPr>
          </w:p>
        </w:tc>
        <w:tc>
          <w:tcPr>
            <w:tcW w:w="964" w:type="dxa"/>
            <w:vAlign w:val="center"/>
          </w:tcPr>
          <w:p w14:paraId="1ED6C7C6">
            <w:pPr>
              <w:pStyle w:val="11"/>
            </w:pPr>
          </w:p>
        </w:tc>
        <w:tc>
          <w:tcPr>
            <w:tcW w:w="964" w:type="dxa"/>
            <w:vAlign w:val="center"/>
          </w:tcPr>
          <w:p w14:paraId="597E492F">
            <w:pPr>
              <w:pStyle w:val="11"/>
            </w:pPr>
          </w:p>
        </w:tc>
        <w:tc>
          <w:tcPr>
            <w:tcW w:w="964" w:type="dxa"/>
            <w:vAlign w:val="center"/>
          </w:tcPr>
          <w:p w14:paraId="7B398E80">
            <w:pPr>
              <w:pStyle w:val="11"/>
            </w:pPr>
          </w:p>
        </w:tc>
        <w:tc>
          <w:tcPr>
            <w:tcW w:w="964" w:type="dxa"/>
            <w:vAlign w:val="center"/>
          </w:tcPr>
          <w:p w14:paraId="7928E4A6">
            <w:pPr>
              <w:pStyle w:val="11"/>
            </w:pPr>
          </w:p>
        </w:tc>
        <w:tc>
          <w:tcPr>
            <w:tcW w:w="964" w:type="dxa"/>
            <w:vAlign w:val="center"/>
          </w:tcPr>
          <w:p w14:paraId="11925D5C">
            <w:pPr>
              <w:pStyle w:val="11"/>
            </w:pPr>
          </w:p>
        </w:tc>
        <w:tc>
          <w:tcPr>
            <w:tcW w:w="964" w:type="dxa"/>
            <w:vAlign w:val="center"/>
          </w:tcPr>
          <w:p w14:paraId="6248EEAB">
            <w:pPr>
              <w:pStyle w:val="11"/>
            </w:pPr>
            <w:r>
              <w:t>0.56</w:t>
            </w:r>
          </w:p>
        </w:tc>
      </w:tr>
      <w:tr w14:paraId="6F2C40AF">
        <w:tblPrEx>
          <w:tblCellMar>
            <w:top w:w="0" w:type="dxa"/>
            <w:left w:w="108" w:type="dxa"/>
            <w:bottom w:w="0" w:type="dxa"/>
            <w:right w:w="108" w:type="dxa"/>
          </w:tblCellMar>
        </w:tblPrEx>
        <w:trPr>
          <w:jc w:val="center"/>
        </w:trPr>
        <w:tc>
          <w:tcPr>
            <w:tcW w:w="1701" w:type="dxa"/>
            <w:vAlign w:val="center"/>
          </w:tcPr>
          <w:p w14:paraId="1A096190">
            <w:pPr>
              <w:pStyle w:val="12"/>
            </w:pPr>
            <w:r>
              <w:t>冀财教[2025]145号/省级/2026年薄弱学校改造/火连庄小学体育场地改建</w:t>
            </w:r>
          </w:p>
        </w:tc>
        <w:tc>
          <w:tcPr>
            <w:tcW w:w="964" w:type="dxa"/>
            <w:vAlign w:val="center"/>
          </w:tcPr>
          <w:p w14:paraId="6FC82F5B">
            <w:pPr>
              <w:pStyle w:val="11"/>
            </w:pPr>
            <w:r>
              <w:t>112.00</w:t>
            </w:r>
          </w:p>
        </w:tc>
        <w:tc>
          <w:tcPr>
            <w:tcW w:w="1134" w:type="dxa"/>
            <w:vAlign w:val="center"/>
          </w:tcPr>
          <w:p w14:paraId="7115FA4D">
            <w:pPr>
              <w:pStyle w:val="12"/>
            </w:pPr>
            <w:r>
              <w:t>室外体育和娱乐设施工程施工</w:t>
            </w:r>
          </w:p>
        </w:tc>
        <w:tc>
          <w:tcPr>
            <w:tcW w:w="1134" w:type="dxa"/>
            <w:vAlign w:val="center"/>
          </w:tcPr>
          <w:p w14:paraId="558F89CD">
            <w:pPr>
              <w:pStyle w:val="12"/>
            </w:pPr>
            <w:r>
              <w:t>B02130400</w:t>
            </w:r>
          </w:p>
        </w:tc>
        <w:tc>
          <w:tcPr>
            <w:tcW w:w="709" w:type="dxa"/>
            <w:vAlign w:val="center"/>
          </w:tcPr>
          <w:p w14:paraId="29B6FA7D">
            <w:pPr>
              <w:pStyle w:val="13"/>
            </w:pPr>
            <w:r>
              <w:t>年</w:t>
            </w:r>
          </w:p>
        </w:tc>
        <w:tc>
          <w:tcPr>
            <w:tcW w:w="850" w:type="dxa"/>
            <w:vAlign w:val="center"/>
          </w:tcPr>
          <w:p w14:paraId="0A80FA1A">
            <w:pPr>
              <w:pStyle w:val="11"/>
            </w:pPr>
            <w:r>
              <w:t>1</w:t>
            </w:r>
          </w:p>
        </w:tc>
        <w:tc>
          <w:tcPr>
            <w:tcW w:w="850" w:type="dxa"/>
            <w:vAlign w:val="center"/>
          </w:tcPr>
          <w:p w14:paraId="41C80DFD">
            <w:pPr>
              <w:pStyle w:val="11"/>
            </w:pPr>
            <w:r>
              <w:t>112.00</w:t>
            </w:r>
          </w:p>
        </w:tc>
        <w:tc>
          <w:tcPr>
            <w:tcW w:w="964" w:type="dxa"/>
            <w:vAlign w:val="center"/>
          </w:tcPr>
          <w:p w14:paraId="7C55D94A">
            <w:pPr>
              <w:pStyle w:val="11"/>
            </w:pPr>
            <w:r>
              <w:t>112.00</w:t>
            </w:r>
          </w:p>
        </w:tc>
        <w:tc>
          <w:tcPr>
            <w:tcW w:w="964" w:type="dxa"/>
            <w:vAlign w:val="center"/>
          </w:tcPr>
          <w:p w14:paraId="77856A84">
            <w:pPr>
              <w:pStyle w:val="11"/>
            </w:pPr>
            <w:r>
              <w:t>112.00</w:t>
            </w:r>
          </w:p>
        </w:tc>
        <w:tc>
          <w:tcPr>
            <w:tcW w:w="964" w:type="dxa"/>
            <w:vAlign w:val="center"/>
          </w:tcPr>
          <w:p w14:paraId="459AD6F4">
            <w:pPr>
              <w:pStyle w:val="11"/>
            </w:pPr>
          </w:p>
        </w:tc>
        <w:tc>
          <w:tcPr>
            <w:tcW w:w="964" w:type="dxa"/>
            <w:vAlign w:val="center"/>
          </w:tcPr>
          <w:p w14:paraId="32E43F2A">
            <w:pPr>
              <w:pStyle w:val="11"/>
            </w:pPr>
          </w:p>
        </w:tc>
        <w:tc>
          <w:tcPr>
            <w:tcW w:w="964" w:type="dxa"/>
            <w:vAlign w:val="center"/>
          </w:tcPr>
          <w:p w14:paraId="3A1BF93D">
            <w:pPr>
              <w:pStyle w:val="11"/>
            </w:pPr>
          </w:p>
        </w:tc>
        <w:tc>
          <w:tcPr>
            <w:tcW w:w="964" w:type="dxa"/>
            <w:vAlign w:val="center"/>
          </w:tcPr>
          <w:p w14:paraId="055C34E8">
            <w:pPr>
              <w:pStyle w:val="11"/>
            </w:pPr>
          </w:p>
        </w:tc>
        <w:tc>
          <w:tcPr>
            <w:tcW w:w="964" w:type="dxa"/>
            <w:vAlign w:val="center"/>
          </w:tcPr>
          <w:p w14:paraId="6CDA6EDF">
            <w:pPr>
              <w:pStyle w:val="11"/>
            </w:pPr>
          </w:p>
        </w:tc>
        <w:tc>
          <w:tcPr>
            <w:tcW w:w="964" w:type="dxa"/>
            <w:vAlign w:val="center"/>
          </w:tcPr>
          <w:p w14:paraId="399E1E30">
            <w:pPr>
              <w:pStyle w:val="11"/>
            </w:pPr>
          </w:p>
        </w:tc>
        <w:tc>
          <w:tcPr>
            <w:tcW w:w="964" w:type="dxa"/>
            <w:vAlign w:val="center"/>
          </w:tcPr>
          <w:p w14:paraId="3BAC54C6">
            <w:pPr>
              <w:pStyle w:val="11"/>
            </w:pPr>
            <w:r>
              <w:t>112.00</w:t>
            </w:r>
          </w:p>
        </w:tc>
      </w:tr>
      <w:tr w14:paraId="3E40C348">
        <w:tblPrEx>
          <w:tblCellMar>
            <w:top w:w="0" w:type="dxa"/>
            <w:left w:w="108" w:type="dxa"/>
            <w:bottom w:w="0" w:type="dxa"/>
            <w:right w:w="108" w:type="dxa"/>
          </w:tblCellMar>
        </w:tblPrEx>
        <w:trPr>
          <w:jc w:val="center"/>
        </w:trPr>
        <w:tc>
          <w:tcPr>
            <w:tcW w:w="1701" w:type="dxa"/>
            <w:vAlign w:val="center"/>
          </w:tcPr>
          <w:p w14:paraId="6A604E7F">
            <w:pPr>
              <w:pStyle w:val="12"/>
            </w:pPr>
            <w:r>
              <w:t>冀财教[2025]147号/省级/2026年义教补助经费/固城校区东王村小学公用经费</w:t>
            </w:r>
          </w:p>
        </w:tc>
        <w:tc>
          <w:tcPr>
            <w:tcW w:w="964" w:type="dxa"/>
            <w:vAlign w:val="center"/>
          </w:tcPr>
          <w:p w14:paraId="1BEDF633">
            <w:pPr>
              <w:pStyle w:val="11"/>
            </w:pPr>
            <w:r>
              <w:t>50.21</w:t>
            </w:r>
          </w:p>
        </w:tc>
        <w:tc>
          <w:tcPr>
            <w:tcW w:w="1134" w:type="dxa"/>
            <w:vAlign w:val="center"/>
          </w:tcPr>
          <w:p w14:paraId="53AB2663">
            <w:pPr>
              <w:pStyle w:val="12"/>
            </w:pPr>
            <w:r>
              <w:t>A4 黑白打印机</w:t>
            </w:r>
          </w:p>
        </w:tc>
        <w:tc>
          <w:tcPr>
            <w:tcW w:w="1134" w:type="dxa"/>
            <w:vAlign w:val="center"/>
          </w:tcPr>
          <w:p w14:paraId="113F3F35">
            <w:pPr>
              <w:pStyle w:val="12"/>
            </w:pPr>
            <w:r>
              <w:t>A02021003</w:t>
            </w:r>
          </w:p>
        </w:tc>
        <w:tc>
          <w:tcPr>
            <w:tcW w:w="709" w:type="dxa"/>
            <w:vAlign w:val="center"/>
          </w:tcPr>
          <w:p w14:paraId="13E09C54">
            <w:pPr>
              <w:pStyle w:val="13"/>
            </w:pPr>
            <w:r>
              <w:t>万元</w:t>
            </w:r>
          </w:p>
        </w:tc>
        <w:tc>
          <w:tcPr>
            <w:tcW w:w="850" w:type="dxa"/>
            <w:vAlign w:val="center"/>
          </w:tcPr>
          <w:p w14:paraId="144617CD">
            <w:pPr>
              <w:pStyle w:val="11"/>
            </w:pPr>
            <w:r>
              <w:t>2</w:t>
            </w:r>
          </w:p>
        </w:tc>
        <w:tc>
          <w:tcPr>
            <w:tcW w:w="850" w:type="dxa"/>
            <w:vAlign w:val="center"/>
          </w:tcPr>
          <w:p w14:paraId="3CBD299B">
            <w:pPr>
              <w:pStyle w:val="11"/>
            </w:pPr>
            <w:r>
              <w:t>0.20</w:t>
            </w:r>
          </w:p>
        </w:tc>
        <w:tc>
          <w:tcPr>
            <w:tcW w:w="964" w:type="dxa"/>
            <w:vAlign w:val="center"/>
          </w:tcPr>
          <w:p w14:paraId="2A0A3965">
            <w:pPr>
              <w:pStyle w:val="11"/>
            </w:pPr>
            <w:r>
              <w:t>0.40</w:t>
            </w:r>
          </w:p>
        </w:tc>
        <w:tc>
          <w:tcPr>
            <w:tcW w:w="964" w:type="dxa"/>
            <w:vAlign w:val="center"/>
          </w:tcPr>
          <w:p w14:paraId="02443B4A">
            <w:pPr>
              <w:pStyle w:val="11"/>
            </w:pPr>
            <w:r>
              <w:t>0.40</w:t>
            </w:r>
          </w:p>
        </w:tc>
        <w:tc>
          <w:tcPr>
            <w:tcW w:w="964" w:type="dxa"/>
            <w:vAlign w:val="center"/>
          </w:tcPr>
          <w:p w14:paraId="46DEEC9D">
            <w:pPr>
              <w:pStyle w:val="11"/>
            </w:pPr>
          </w:p>
        </w:tc>
        <w:tc>
          <w:tcPr>
            <w:tcW w:w="964" w:type="dxa"/>
            <w:vAlign w:val="center"/>
          </w:tcPr>
          <w:p w14:paraId="5AEA934A">
            <w:pPr>
              <w:pStyle w:val="11"/>
            </w:pPr>
          </w:p>
        </w:tc>
        <w:tc>
          <w:tcPr>
            <w:tcW w:w="964" w:type="dxa"/>
            <w:vAlign w:val="center"/>
          </w:tcPr>
          <w:p w14:paraId="3A11261E">
            <w:pPr>
              <w:pStyle w:val="11"/>
            </w:pPr>
          </w:p>
        </w:tc>
        <w:tc>
          <w:tcPr>
            <w:tcW w:w="964" w:type="dxa"/>
            <w:vAlign w:val="center"/>
          </w:tcPr>
          <w:p w14:paraId="7322D73D">
            <w:pPr>
              <w:pStyle w:val="11"/>
            </w:pPr>
          </w:p>
        </w:tc>
        <w:tc>
          <w:tcPr>
            <w:tcW w:w="964" w:type="dxa"/>
            <w:vAlign w:val="center"/>
          </w:tcPr>
          <w:p w14:paraId="4FAD47E7">
            <w:pPr>
              <w:pStyle w:val="11"/>
            </w:pPr>
          </w:p>
        </w:tc>
        <w:tc>
          <w:tcPr>
            <w:tcW w:w="964" w:type="dxa"/>
            <w:vAlign w:val="center"/>
          </w:tcPr>
          <w:p w14:paraId="4EBD2E08">
            <w:pPr>
              <w:pStyle w:val="11"/>
            </w:pPr>
          </w:p>
        </w:tc>
        <w:tc>
          <w:tcPr>
            <w:tcW w:w="964" w:type="dxa"/>
            <w:vAlign w:val="center"/>
          </w:tcPr>
          <w:p w14:paraId="6A950EE6">
            <w:pPr>
              <w:pStyle w:val="11"/>
            </w:pPr>
            <w:r>
              <w:t>0.40</w:t>
            </w:r>
          </w:p>
        </w:tc>
      </w:tr>
      <w:tr w14:paraId="61C5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93442D">
            <w:pPr>
              <w:pStyle w:val="12"/>
            </w:pPr>
            <w:r>
              <w:t>冀财教[2025]147号/省级/2026年义教补助经费/固城校区东王村小学公用经费</w:t>
            </w:r>
          </w:p>
        </w:tc>
        <w:tc>
          <w:tcPr>
            <w:tcW w:w="964" w:type="dxa"/>
            <w:vAlign w:val="center"/>
          </w:tcPr>
          <w:p w14:paraId="1A9B35EF">
            <w:pPr>
              <w:pStyle w:val="11"/>
            </w:pPr>
            <w:r>
              <w:t>50.21</w:t>
            </w:r>
          </w:p>
        </w:tc>
        <w:tc>
          <w:tcPr>
            <w:tcW w:w="1134" w:type="dxa"/>
            <w:vAlign w:val="center"/>
          </w:tcPr>
          <w:p w14:paraId="49369308">
            <w:pPr>
              <w:pStyle w:val="12"/>
            </w:pPr>
            <w:r>
              <w:t>文件柜</w:t>
            </w:r>
          </w:p>
        </w:tc>
        <w:tc>
          <w:tcPr>
            <w:tcW w:w="1134" w:type="dxa"/>
            <w:vAlign w:val="center"/>
          </w:tcPr>
          <w:p w14:paraId="39C66BC5">
            <w:pPr>
              <w:pStyle w:val="12"/>
            </w:pPr>
            <w:r>
              <w:t>A05010502</w:t>
            </w:r>
          </w:p>
        </w:tc>
        <w:tc>
          <w:tcPr>
            <w:tcW w:w="709" w:type="dxa"/>
            <w:vAlign w:val="center"/>
          </w:tcPr>
          <w:p w14:paraId="1401CD24">
            <w:pPr>
              <w:pStyle w:val="13"/>
            </w:pPr>
            <w:r>
              <w:t>万元</w:t>
            </w:r>
          </w:p>
        </w:tc>
        <w:tc>
          <w:tcPr>
            <w:tcW w:w="850" w:type="dxa"/>
            <w:vAlign w:val="center"/>
          </w:tcPr>
          <w:p w14:paraId="52E8F0A9">
            <w:pPr>
              <w:pStyle w:val="11"/>
            </w:pPr>
            <w:r>
              <w:t>5</w:t>
            </w:r>
          </w:p>
        </w:tc>
        <w:tc>
          <w:tcPr>
            <w:tcW w:w="850" w:type="dxa"/>
            <w:vAlign w:val="center"/>
          </w:tcPr>
          <w:p w14:paraId="27C5E70D">
            <w:pPr>
              <w:pStyle w:val="11"/>
            </w:pPr>
            <w:r>
              <w:t>0.06</w:t>
            </w:r>
          </w:p>
        </w:tc>
        <w:tc>
          <w:tcPr>
            <w:tcW w:w="964" w:type="dxa"/>
            <w:vAlign w:val="center"/>
          </w:tcPr>
          <w:p w14:paraId="2F05A973">
            <w:pPr>
              <w:pStyle w:val="11"/>
            </w:pPr>
            <w:r>
              <w:t>0.31</w:t>
            </w:r>
          </w:p>
        </w:tc>
        <w:tc>
          <w:tcPr>
            <w:tcW w:w="964" w:type="dxa"/>
            <w:vAlign w:val="center"/>
          </w:tcPr>
          <w:p w14:paraId="6C3D463B">
            <w:pPr>
              <w:pStyle w:val="11"/>
            </w:pPr>
            <w:r>
              <w:t>0.31</w:t>
            </w:r>
          </w:p>
        </w:tc>
        <w:tc>
          <w:tcPr>
            <w:tcW w:w="964" w:type="dxa"/>
            <w:vAlign w:val="center"/>
          </w:tcPr>
          <w:p w14:paraId="084B4863">
            <w:pPr>
              <w:pStyle w:val="11"/>
            </w:pPr>
          </w:p>
        </w:tc>
        <w:tc>
          <w:tcPr>
            <w:tcW w:w="964" w:type="dxa"/>
            <w:vAlign w:val="center"/>
          </w:tcPr>
          <w:p w14:paraId="289D8B3E">
            <w:pPr>
              <w:pStyle w:val="11"/>
            </w:pPr>
          </w:p>
        </w:tc>
        <w:tc>
          <w:tcPr>
            <w:tcW w:w="964" w:type="dxa"/>
            <w:vAlign w:val="center"/>
          </w:tcPr>
          <w:p w14:paraId="7D27E0E3">
            <w:pPr>
              <w:pStyle w:val="11"/>
            </w:pPr>
          </w:p>
        </w:tc>
        <w:tc>
          <w:tcPr>
            <w:tcW w:w="964" w:type="dxa"/>
            <w:vAlign w:val="center"/>
          </w:tcPr>
          <w:p w14:paraId="56CA3A55">
            <w:pPr>
              <w:pStyle w:val="11"/>
            </w:pPr>
          </w:p>
        </w:tc>
        <w:tc>
          <w:tcPr>
            <w:tcW w:w="964" w:type="dxa"/>
            <w:vAlign w:val="center"/>
          </w:tcPr>
          <w:p w14:paraId="3D85C01F">
            <w:pPr>
              <w:pStyle w:val="11"/>
            </w:pPr>
          </w:p>
        </w:tc>
        <w:tc>
          <w:tcPr>
            <w:tcW w:w="964" w:type="dxa"/>
            <w:vAlign w:val="center"/>
          </w:tcPr>
          <w:p w14:paraId="149D3BB8">
            <w:pPr>
              <w:pStyle w:val="11"/>
            </w:pPr>
          </w:p>
        </w:tc>
        <w:tc>
          <w:tcPr>
            <w:tcW w:w="964" w:type="dxa"/>
            <w:vAlign w:val="center"/>
          </w:tcPr>
          <w:p w14:paraId="172E2A89">
            <w:pPr>
              <w:pStyle w:val="11"/>
            </w:pPr>
            <w:r>
              <w:t>0.31</w:t>
            </w:r>
          </w:p>
        </w:tc>
      </w:tr>
      <w:tr w14:paraId="13F4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5469EB">
            <w:pPr>
              <w:pStyle w:val="12"/>
            </w:pPr>
            <w:r>
              <w:t>冀财教[2025]147号/省级/2026年义教补助经费/固城校区固城小学公用经费</w:t>
            </w:r>
          </w:p>
        </w:tc>
        <w:tc>
          <w:tcPr>
            <w:tcW w:w="964" w:type="dxa"/>
            <w:vAlign w:val="center"/>
          </w:tcPr>
          <w:p w14:paraId="4DA24192">
            <w:pPr>
              <w:pStyle w:val="11"/>
            </w:pPr>
            <w:r>
              <w:t>12.14</w:t>
            </w:r>
          </w:p>
        </w:tc>
        <w:tc>
          <w:tcPr>
            <w:tcW w:w="1134" w:type="dxa"/>
            <w:vAlign w:val="center"/>
          </w:tcPr>
          <w:p w14:paraId="5FF61F41">
            <w:pPr>
              <w:pStyle w:val="12"/>
            </w:pPr>
            <w:r>
              <w:t>会议桌</w:t>
            </w:r>
          </w:p>
        </w:tc>
        <w:tc>
          <w:tcPr>
            <w:tcW w:w="1134" w:type="dxa"/>
            <w:vAlign w:val="center"/>
          </w:tcPr>
          <w:p w14:paraId="5274B5E7">
            <w:pPr>
              <w:pStyle w:val="12"/>
            </w:pPr>
            <w:r>
              <w:t>A05010202</w:t>
            </w:r>
          </w:p>
        </w:tc>
        <w:tc>
          <w:tcPr>
            <w:tcW w:w="709" w:type="dxa"/>
            <w:vAlign w:val="center"/>
          </w:tcPr>
          <w:p w14:paraId="1BDF83BB">
            <w:pPr>
              <w:pStyle w:val="13"/>
            </w:pPr>
            <w:r>
              <w:t>万元</w:t>
            </w:r>
          </w:p>
        </w:tc>
        <w:tc>
          <w:tcPr>
            <w:tcW w:w="850" w:type="dxa"/>
            <w:vAlign w:val="center"/>
          </w:tcPr>
          <w:p w14:paraId="78EB46C4">
            <w:pPr>
              <w:pStyle w:val="11"/>
            </w:pPr>
            <w:r>
              <w:t>1</w:t>
            </w:r>
          </w:p>
        </w:tc>
        <w:tc>
          <w:tcPr>
            <w:tcW w:w="850" w:type="dxa"/>
            <w:vAlign w:val="center"/>
          </w:tcPr>
          <w:p w14:paraId="5B64B551">
            <w:pPr>
              <w:pStyle w:val="11"/>
            </w:pPr>
            <w:r>
              <w:t>0.85</w:t>
            </w:r>
          </w:p>
        </w:tc>
        <w:tc>
          <w:tcPr>
            <w:tcW w:w="964" w:type="dxa"/>
            <w:vAlign w:val="center"/>
          </w:tcPr>
          <w:p w14:paraId="106E26F1">
            <w:pPr>
              <w:pStyle w:val="11"/>
            </w:pPr>
            <w:r>
              <w:t>0.85</w:t>
            </w:r>
          </w:p>
        </w:tc>
        <w:tc>
          <w:tcPr>
            <w:tcW w:w="964" w:type="dxa"/>
            <w:vAlign w:val="center"/>
          </w:tcPr>
          <w:p w14:paraId="1A182001">
            <w:pPr>
              <w:pStyle w:val="11"/>
            </w:pPr>
            <w:r>
              <w:t>0.85</w:t>
            </w:r>
          </w:p>
        </w:tc>
        <w:tc>
          <w:tcPr>
            <w:tcW w:w="964" w:type="dxa"/>
            <w:vAlign w:val="center"/>
          </w:tcPr>
          <w:p w14:paraId="3EA747E5">
            <w:pPr>
              <w:pStyle w:val="11"/>
            </w:pPr>
          </w:p>
        </w:tc>
        <w:tc>
          <w:tcPr>
            <w:tcW w:w="964" w:type="dxa"/>
            <w:vAlign w:val="center"/>
          </w:tcPr>
          <w:p w14:paraId="4A3034FA">
            <w:pPr>
              <w:pStyle w:val="11"/>
            </w:pPr>
          </w:p>
        </w:tc>
        <w:tc>
          <w:tcPr>
            <w:tcW w:w="964" w:type="dxa"/>
            <w:vAlign w:val="center"/>
          </w:tcPr>
          <w:p w14:paraId="4984A122">
            <w:pPr>
              <w:pStyle w:val="11"/>
            </w:pPr>
          </w:p>
        </w:tc>
        <w:tc>
          <w:tcPr>
            <w:tcW w:w="964" w:type="dxa"/>
            <w:vAlign w:val="center"/>
          </w:tcPr>
          <w:p w14:paraId="2CD8DDCA">
            <w:pPr>
              <w:pStyle w:val="11"/>
            </w:pPr>
          </w:p>
        </w:tc>
        <w:tc>
          <w:tcPr>
            <w:tcW w:w="964" w:type="dxa"/>
            <w:vAlign w:val="center"/>
          </w:tcPr>
          <w:p w14:paraId="3BA9BBA0">
            <w:pPr>
              <w:pStyle w:val="11"/>
            </w:pPr>
          </w:p>
        </w:tc>
        <w:tc>
          <w:tcPr>
            <w:tcW w:w="964" w:type="dxa"/>
            <w:vAlign w:val="center"/>
          </w:tcPr>
          <w:p w14:paraId="33598C3B">
            <w:pPr>
              <w:pStyle w:val="11"/>
            </w:pPr>
          </w:p>
        </w:tc>
        <w:tc>
          <w:tcPr>
            <w:tcW w:w="964" w:type="dxa"/>
            <w:vAlign w:val="center"/>
          </w:tcPr>
          <w:p w14:paraId="79666BD7">
            <w:pPr>
              <w:pStyle w:val="11"/>
            </w:pPr>
            <w:r>
              <w:t>0.85</w:t>
            </w:r>
          </w:p>
        </w:tc>
      </w:tr>
      <w:tr w14:paraId="139B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2C889F">
            <w:pPr>
              <w:pStyle w:val="12"/>
            </w:pPr>
            <w:r>
              <w:t>冀财教[2025]147号/省级/2026年义教补助经费/固城校区固城小学公用经费</w:t>
            </w:r>
          </w:p>
        </w:tc>
        <w:tc>
          <w:tcPr>
            <w:tcW w:w="964" w:type="dxa"/>
            <w:vAlign w:val="center"/>
          </w:tcPr>
          <w:p w14:paraId="47FEFB30">
            <w:pPr>
              <w:pStyle w:val="11"/>
            </w:pPr>
            <w:r>
              <w:t>12.14</w:t>
            </w:r>
          </w:p>
        </w:tc>
        <w:tc>
          <w:tcPr>
            <w:tcW w:w="1134" w:type="dxa"/>
            <w:vAlign w:val="center"/>
          </w:tcPr>
          <w:p w14:paraId="16CAC7E4">
            <w:pPr>
              <w:pStyle w:val="12"/>
            </w:pPr>
            <w:r>
              <w:t>办公椅</w:t>
            </w:r>
          </w:p>
        </w:tc>
        <w:tc>
          <w:tcPr>
            <w:tcW w:w="1134" w:type="dxa"/>
            <w:vAlign w:val="center"/>
          </w:tcPr>
          <w:p w14:paraId="459BCD8D">
            <w:pPr>
              <w:pStyle w:val="12"/>
            </w:pPr>
            <w:r>
              <w:t>A05010301</w:t>
            </w:r>
          </w:p>
        </w:tc>
        <w:tc>
          <w:tcPr>
            <w:tcW w:w="709" w:type="dxa"/>
            <w:vAlign w:val="center"/>
          </w:tcPr>
          <w:p w14:paraId="6C69E2FD">
            <w:pPr>
              <w:pStyle w:val="13"/>
            </w:pPr>
            <w:r>
              <w:t>万元</w:t>
            </w:r>
          </w:p>
        </w:tc>
        <w:tc>
          <w:tcPr>
            <w:tcW w:w="850" w:type="dxa"/>
            <w:vAlign w:val="center"/>
          </w:tcPr>
          <w:p w14:paraId="02EAC4C4">
            <w:pPr>
              <w:pStyle w:val="11"/>
            </w:pPr>
            <w:r>
              <w:t>16</w:t>
            </w:r>
          </w:p>
        </w:tc>
        <w:tc>
          <w:tcPr>
            <w:tcW w:w="850" w:type="dxa"/>
            <w:vAlign w:val="center"/>
          </w:tcPr>
          <w:p w14:paraId="25DD9A02">
            <w:pPr>
              <w:pStyle w:val="11"/>
            </w:pPr>
            <w:r>
              <w:t>0.02</w:t>
            </w:r>
          </w:p>
        </w:tc>
        <w:tc>
          <w:tcPr>
            <w:tcW w:w="964" w:type="dxa"/>
            <w:vAlign w:val="center"/>
          </w:tcPr>
          <w:p w14:paraId="166C6CC1">
            <w:pPr>
              <w:pStyle w:val="11"/>
            </w:pPr>
            <w:r>
              <w:t>0.32</w:t>
            </w:r>
          </w:p>
        </w:tc>
        <w:tc>
          <w:tcPr>
            <w:tcW w:w="964" w:type="dxa"/>
            <w:vAlign w:val="center"/>
          </w:tcPr>
          <w:p w14:paraId="149845C1">
            <w:pPr>
              <w:pStyle w:val="11"/>
            </w:pPr>
            <w:r>
              <w:t>0.32</w:t>
            </w:r>
          </w:p>
        </w:tc>
        <w:tc>
          <w:tcPr>
            <w:tcW w:w="964" w:type="dxa"/>
            <w:vAlign w:val="center"/>
          </w:tcPr>
          <w:p w14:paraId="2A2784CE">
            <w:pPr>
              <w:pStyle w:val="11"/>
            </w:pPr>
          </w:p>
        </w:tc>
        <w:tc>
          <w:tcPr>
            <w:tcW w:w="964" w:type="dxa"/>
            <w:vAlign w:val="center"/>
          </w:tcPr>
          <w:p w14:paraId="3BA78097">
            <w:pPr>
              <w:pStyle w:val="11"/>
            </w:pPr>
          </w:p>
        </w:tc>
        <w:tc>
          <w:tcPr>
            <w:tcW w:w="964" w:type="dxa"/>
            <w:vAlign w:val="center"/>
          </w:tcPr>
          <w:p w14:paraId="7B13796A">
            <w:pPr>
              <w:pStyle w:val="11"/>
            </w:pPr>
          </w:p>
        </w:tc>
        <w:tc>
          <w:tcPr>
            <w:tcW w:w="964" w:type="dxa"/>
            <w:vAlign w:val="center"/>
          </w:tcPr>
          <w:p w14:paraId="70F3EA87">
            <w:pPr>
              <w:pStyle w:val="11"/>
            </w:pPr>
          </w:p>
        </w:tc>
        <w:tc>
          <w:tcPr>
            <w:tcW w:w="964" w:type="dxa"/>
            <w:vAlign w:val="center"/>
          </w:tcPr>
          <w:p w14:paraId="734432A9">
            <w:pPr>
              <w:pStyle w:val="11"/>
            </w:pPr>
          </w:p>
        </w:tc>
        <w:tc>
          <w:tcPr>
            <w:tcW w:w="964" w:type="dxa"/>
            <w:vAlign w:val="center"/>
          </w:tcPr>
          <w:p w14:paraId="0E2E148D">
            <w:pPr>
              <w:pStyle w:val="11"/>
            </w:pPr>
          </w:p>
        </w:tc>
        <w:tc>
          <w:tcPr>
            <w:tcW w:w="964" w:type="dxa"/>
            <w:vAlign w:val="center"/>
          </w:tcPr>
          <w:p w14:paraId="49AB226F">
            <w:pPr>
              <w:pStyle w:val="11"/>
            </w:pPr>
            <w:r>
              <w:t>0.32</w:t>
            </w:r>
          </w:p>
        </w:tc>
      </w:tr>
      <w:tr w14:paraId="12138A9E">
        <w:tblPrEx>
          <w:tblCellMar>
            <w:top w:w="0" w:type="dxa"/>
            <w:left w:w="108" w:type="dxa"/>
            <w:bottom w:w="0" w:type="dxa"/>
            <w:right w:w="108" w:type="dxa"/>
          </w:tblCellMar>
        </w:tblPrEx>
        <w:trPr>
          <w:jc w:val="center"/>
        </w:trPr>
        <w:tc>
          <w:tcPr>
            <w:tcW w:w="1701" w:type="dxa"/>
            <w:vAlign w:val="center"/>
          </w:tcPr>
          <w:p w14:paraId="066D2334">
            <w:pPr>
              <w:pStyle w:val="12"/>
            </w:pPr>
            <w:r>
              <w:t>冀财教[2025]147号/省级/2026年义教补助经费/固城校区固城小学公用经费</w:t>
            </w:r>
          </w:p>
        </w:tc>
        <w:tc>
          <w:tcPr>
            <w:tcW w:w="964" w:type="dxa"/>
            <w:vAlign w:val="center"/>
          </w:tcPr>
          <w:p w14:paraId="78F32033">
            <w:pPr>
              <w:pStyle w:val="11"/>
            </w:pPr>
            <w:r>
              <w:t>12.14</w:t>
            </w:r>
          </w:p>
        </w:tc>
        <w:tc>
          <w:tcPr>
            <w:tcW w:w="1134" w:type="dxa"/>
            <w:vAlign w:val="center"/>
          </w:tcPr>
          <w:p w14:paraId="694423D9">
            <w:pPr>
              <w:pStyle w:val="12"/>
            </w:pPr>
            <w:r>
              <w:t>文件柜</w:t>
            </w:r>
          </w:p>
        </w:tc>
        <w:tc>
          <w:tcPr>
            <w:tcW w:w="1134" w:type="dxa"/>
            <w:vAlign w:val="center"/>
          </w:tcPr>
          <w:p w14:paraId="410037BD">
            <w:pPr>
              <w:pStyle w:val="12"/>
            </w:pPr>
            <w:r>
              <w:t>A05010502</w:t>
            </w:r>
          </w:p>
        </w:tc>
        <w:tc>
          <w:tcPr>
            <w:tcW w:w="709" w:type="dxa"/>
            <w:vAlign w:val="center"/>
          </w:tcPr>
          <w:p w14:paraId="67EC2CA5">
            <w:pPr>
              <w:pStyle w:val="13"/>
            </w:pPr>
            <w:r>
              <w:t>万元</w:t>
            </w:r>
          </w:p>
        </w:tc>
        <w:tc>
          <w:tcPr>
            <w:tcW w:w="850" w:type="dxa"/>
            <w:vAlign w:val="center"/>
          </w:tcPr>
          <w:p w14:paraId="11E0E10C">
            <w:pPr>
              <w:pStyle w:val="11"/>
            </w:pPr>
            <w:r>
              <w:t>8</w:t>
            </w:r>
          </w:p>
        </w:tc>
        <w:tc>
          <w:tcPr>
            <w:tcW w:w="850" w:type="dxa"/>
            <w:vAlign w:val="center"/>
          </w:tcPr>
          <w:p w14:paraId="01C3AE76">
            <w:pPr>
              <w:pStyle w:val="11"/>
            </w:pPr>
            <w:r>
              <w:t>0.06</w:t>
            </w:r>
          </w:p>
        </w:tc>
        <w:tc>
          <w:tcPr>
            <w:tcW w:w="964" w:type="dxa"/>
            <w:vAlign w:val="center"/>
          </w:tcPr>
          <w:p w14:paraId="77577E0C">
            <w:pPr>
              <w:pStyle w:val="11"/>
            </w:pPr>
            <w:r>
              <w:t>0.50</w:t>
            </w:r>
          </w:p>
        </w:tc>
        <w:tc>
          <w:tcPr>
            <w:tcW w:w="964" w:type="dxa"/>
            <w:vAlign w:val="center"/>
          </w:tcPr>
          <w:p w14:paraId="26D0B54F">
            <w:pPr>
              <w:pStyle w:val="11"/>
            </w:pPr>
            <w:r>
              <w:t>0.50</w:t>
            </w:r>
          </w:p>
        </w:tc>
        <w:tc>
          <w:tcPr>
            <w:tcW w:w="964" w:type="dxa"/>
            <w:vAlign w:val="center"/>
          </w:tcPr>
          <w:p w14:paraId="19BFA0A5">
            <w:pPr>
              <w:pStyle w:val="11"/>
            </w:pPr>
          </w:p>
        </w:tc>
        <w:tc>
          <w:tcPr>
            <w:tcW w:w="964" w:type="dxa"/>
            <w:vAlign w:val="center"/>
          </w:tcPr>
          <w:p w14:paraId="07F4B8D3">
            <w:pPr>
              <w:pStyle w:val="11"/>
            </w:pPr>
          </w:p>
        </w:tc>
        <w:tc>
          <w:tcPr>
            <w:tcW w:w="964" w:type="dxa"/>
            <w:vAlign w:val="center"/>
          </w:tcPr>
          <w:p w14:paraId="61D3B041">
            <w:pPr>
              <w:pStyle w:val="11"/>
            </w:pPr>
          </w:p>
        </w:tc>
        <w:tc>
          <w:tcPr>
            <w:tcW w:w="964" w:type="dxa"/>
            <w:vAlign w:val="center"/>
          </w:tcPr>
          <w:p w14:paraId="2E5DF03D">
            <w:pPr>
              <w:pStyle w:val="11"/>
            </w:pPr>
          </w:p>
        </w:tc>
        <w:tc>
          <w:tcPr>
            <w:tcW w:w="964" w:type="dxa"/>
            <w:vAlign w:val="center"/>
          </w:tcPr>
          <w:p w14:paraId="425D0BC8">
            <w:pPr>
              <w:pStyle w:val="11"/>
            </w:pPr>
          </w:p>
        </w:tc>
        <w:tc>
          <w:tcPr>
            <w:tcW w:w="964" w:type="dxa"/>
            <w:vAlign w:val="center"/>
          </w:tcPr>
          <w:p w14:paraId="759D68C2">
            <w:pPr>
              <w:pStyle w:val="11"/>
            </w:pPr>
          </w:p>
        </w:tc>
        <w:tc>
          <w:tcPr>
            <w:tcW w:w="964" w:type="dxa"/>
            <w:vAlign w:val="center"/>
          </w:tcPr>
          <w:p w14:paraId="44EA4F7C">
            <w:pPr>
              <w:pStyle w:val="11"/>
            </w:pPr>
            <w:r>
              <w:t>0.50</w:t>
            </w:r>
          </w:p>
        </w:tc>
      </w:tr>
      <w:tr w14:paraId="00260045">
        <w:tblPrEx>
          <w:tblCellMar>
            <w:top w:w="0" w:type="dxa"/>
            <w:left w:w="108" w:type="dxa"/>
            <w:bottom w:w="0" w:type="dxa"/>
            <w:right w:w="108" w:type="dxa"/>
          </w:tblCellMar>
        </w:tblPrEx>
        <w:trPr>
          <w:jc w:val="center"/>
        </w:trPr>
        <w:tc>
          <w:tcPr>
            <w:tcW w:w="1701" w:type="dxa"/>
            <w:vAlign w:val="center"/>
          </w:tcPr>
          <w:p w14:paraId="67E6685E">
            <w:pPr>
              <w:pStyle w:val="12"/>
            </w:pPr>
            <w:r>
              <w:t>县级资金/2024年固城校区学前教育公用经费</w:t>
            </w:r>
          </w:p>
        </w:tc>
        <w:tc>
          <w:tcPr>
            <w:tcW w:w="964" w:type="dxa"/>
            <w:vAlign w:val="center"/>
          </w:tcPr>
          <w:p w14:paraId="3F85D871">
            <w:pPr>
              <w:pStyle w:val="11"/>
            </w:pPr>
            <w:r>
              <w:t>43.65</w:t>
            </w:r>
          </w:p>
        </w:tc>
        <w:tc>
          <w:tcPr>
            <w:tcW w:w="1134" w:type="dxa"/>
            <w:vAlign w:val="center"/>
          </w:tcPr>
          <w:p w14:paraId="2A139CF8">
            <w:pPr>
              <w:pStyle w:val="12"/>
            </w:pPr>
            <w:r>
              <w:t>台式计算机</w:t>
            </w:r>
          </w:p>
        </w:tc>
        <w:tc>
          <w:tcPr>
            <w:tcW w:w="1134" w:type="dxa"/>
            <w:vAlign w:val="center"/>
          </w:tcPr>
          <w:p w14:paraId="03AA6322">
            <w:pPr>
              <w:pStyle w:val="12"/>
            </w:pPr>
            <w:r>
              <w:t>A02010105</w:t>
            </w:r>
          </w:p>
        </w:tc>
        <w:tc>
          <w:tcPr>
            <w:tcW w:w="709" w:type="dxa"/>
            <w:vAlign w:val="center"/>
          </w:tcPr>
          <w:p w14:paraId="7DFC1F55">
            <w:pPr>
              <w:pStyle w:val="13"/>
            </w:pPr>
            <w:r>
              <w:t>万元</w:t>
            </w:r>
          </w:p>
        </w:tc>
        <w:tc>
          <w:tcPr>
            <w:tcW w:w="850" w:type="dxa"/>
            <w:vAlign w:val="center"/>
          </w:tcPr>
          <w:p w14:paraId="6924A1BD">
            <w:pPr>
              <w:pStyle w:val="11"/>
            </w:pPr>
            <w:r>
              <w:t>2</w:t>
            </w:r>
          </w:p>
        </w:tc>
        <w:tc>
          <w:tcPr>
            <w:tcW w:w="850" w:type="dxa"/>
            <w:vAlign w:val="center"/>
          </w:tcPr>
          <w:p w14:paraId="39A16342">
            <w:pPr>
              <w:pStyle w:val="11"/>
            </w:pPr>
            <w:r>
              <w:t>0.30</w:t>
            </w:r>
          </w:p>
        </w:tc>
        <w:tc>
          <w:tcPr>
            <w:tcW w:w="964" w:type="dxa"/>
            <w:vAlign w:val="center"/>
          </w:tcPr>
          <w:p w14:paraId="5001A8AF">
            <w:pPr>
              <w:pStyle w:val="11"/>
            </w:pPr>
            <w:r>
              <w:t>0.60</w:t>
            </w:r>
          </w:p>
        </w:tc>
        <w:tc>
          <w:tcPr>
            <w:tcW w:w="964" w:type="dxa"/>
            <w:vAlign w:val="center"/>
          </w:tcPr>
          <w:p w14:paraId="63F847A1">
            <w:pPr>
              <w:pStyle w:val="11"/>
            </w:pPr>
            <w:r>
              <w:t>0.60</w:t>
            </w:r>
          </w:p>
        </w:tc>
        <w:tc>
          <w:tcPr>
            <w:tcW w:w="964" w:type="dxa"/>
            <w:vAlign w:val="center"/>
          </w:tcPr>
          <w:p w14:paraId="423C78BE">
            <w:pPr>
              <w:pStyle w:val="11"/>
            </w:pPr>
          </w:p>
        </w:tc>
        <w:tc>
          <w:tcPr>
            <w:tcW w:w="964" w:type="dxa"/>
            <w:vAlign w:val="center"/>
          </w:tcPr>
          <w:p w14:paraId="0D0802ED">
            <w:pPr>
              <w:pStyle w:val="11"/>
            </w:pPr>
          </w:p>
        </w:tc>
        <w:tc>
          <w:tcPr>
            <w:tcW w:w="964" w:type="dxa"/>
            <w:vAlign w:val="center"/>
          </w:tcPr>
          <w:p w14:paraId="5AD3F717">
            <w:pPr>
              <w:pStyle w:val="11"/>
            </w:pPr>
          </w:p>
        </w:tc>
        <w:tc>
          <w:tcPr>
            <w:tcW w:w="964" w:type="dxa"/>
            <w:vAlign w:val="center"/>
          </w:tcPr>
          <w:p w14:paraId="3E6EBA4E">
            <w:pPr>
              <w:pStyle w:val="11"/>
            </w:pPr>
          </w:p>
        </w:tc>
        <w:tc>
          <w:tcPr>
            <w:tcW w:w="964" w:type="dxa"/>
            <w:vAlign w:val="center"/>
          </w:tcPr>
          <w:p w14:paraId="2BED9C46">
            <w:pPr>
              <w:pStyle w:val="11"/>
            </w:pPr>
          </w:p>
        </w:tc>
        <w:tc>
          <w:tcPr>
            <w:tcW w:w="964" w:type="dxa"/>
            <w:vAlign w:val="center"/>
          </w:tcPr>
          <w:p w14:paraId="255135A8">
            <w:pPr>
              <w:pStyle w:val="11"/>
            </w:pPr>
          </w:p>
        </w:tc>
        <w:tc>
          <w:tcPr>
            <w:tcW w:w="964" w:type="dxa"/>
            <w:vAlign w:val="center"/>
          </w:tcPr>
          <w:p w14:paraId="1675B62F">
            <w:pPr>
              <w:pStyle w:val="11"/>
            </w:pPr>
            <w:r>
              <w:t>0.60</w:t>
            </w:r>
          </w:p>
        </w:tc>
      </w:tr>
      <w:tr w14:paraId="5D19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8CE2E">
            <w:pPr>
              <w:pStyle w:val="12"/>
            </w:pPr>
            <w:r>
              <w:t>县级资金/2024年固城校区学前教育公用经费</w:t>
            </w:r>
          </w:p>
        </w:tc>
        <w:tc>
          <w:tcPr>
            <w:tcW w:w="964" w:type="dxa"/>
            <w:vAlign w:val="center"/>
          </w:tcPr>
          <w:p w14:paraId="584BB5FF">
            <w:pPr>
              <w:pStyle w:val="11"/>
            </w:pPr>
            <w:r>
              <w:t>43.65</w:t>
            </w:r>
          </w:p>
        </w:tc>
        <w:tc>
          <w:tcPr>
            <w:tcW w:w="1134" w:type="dxa"/>
            <w:vAlign w:val="center"/>
          </w:tcPr>
          <w:p w14:paraId="2134C4A7">
            <w:pPr>
              <w:pStyle w:val="12"/>
            </w:pPr>
            <w:r>
              <w:t>A4 黑白打印机</w:t>
            </w:r>
          </w:p>
        </w:tc>
        <w:tc>
          <w:tcPr>
            <w:tcW w:w="1134" w:type="dxa"/>
            <w:vAlign w:val="center"/>
          </w:tcPr>
          <w:p w14:paraId="5D315E3B">
            <w:pPr>
              <w:pStyle w:val="12"/>
            </w:pPr>
            <w:r>
              <w:t>A02021003</w:t>
            </w:r>
          </w:p>
        </w:tc>
        <w:tc>
          <w:tcPr>
            <w:tcW w:w="709" w:type="dxa"/>
            <w:vAlign w:val="center"/>
          </w:tcPr>
          <w:p w14:paraId="475304AA">
            <w:pPr>
              <w:pStyle w:val="13"/>
            </w:pPr>
            <w:r>
              <w:t>万元</w:t>
            </w:r>
          </w:p>
        </w:tc>
        <w:tc>
          <w:tcPr>
            <w:tcW w:w="850" w:type="dxa"/>
            <w:vAlign w:val="center"/>
          </w:tcPr>
          <w:p w14:paraId="7B1FB815">
            <w:pPr>
              <w:pStyle w:val="11"/>
            </w:pPr>
            <w:r>
              <w:t>1</w:t>
            </w:r>
          </w:p>
        </w:tc>
        <w:tc>
          <w:tcPr>
            <w:tcW w:w="850" w:type="dxa"/>
            <w:vAlign w:val="center"/>
          </w:tcPr>
          <w:p w14:paraId="54F5E399">
            <w:pPr>
              <w:pStyle w:val="11"/>
            </w:pPr>
            <w:r>
              <w:t>0.20</w:t>
            </w:r>
          </w:p>
        </w:tc>
        <w:tc>
          <w:tcPr>
            <w:tcW w:w="964" w:type="dxa"/>
            <w:vAlign w:val="center"/>
          </w:tcPr>
          <w:p w14:paraId="76CF7B04">
            <w:pPr>
              <w:pStyle w:val="11"/>
            </w:pPr>
            <w:r>
              <w:t>0.20</w:t>
            </w:r>
          </w:p>
        </w:tc>
        <w:tc>
          <w:tcPr>
            <w:tcW w:w="964" w:type="dxa"/>
            <w:vAlign w:val="center"/>
          </w:tcPr>
          <w:p w14:paraId="3FA83549">
            <w:pPr>
              <w:pStyle w:val="11"/>
            </w:pPr>
            <w:r>
              <w:t>0.20</w:t>
            </w:r>
          </w:p>
        </w:tc>
        <w:tc>
          <w:tcPr>
            <w:tcW w:w="964" w:type="dxa"/>
            <w:vAlign w:val="center"/>
          </w:tcPr>
          <w:p w14:paraId="7FBFAE31">
            <w:pPr>
              <w:pStyle w:val="11"/>
            </w:pPr>
          </w:p>
        </w:tc>
        <w:tc>
          <w:tcPr>
            <w:tcW w:w="964" w:type="dxa"/>
            <w:vAlign w:val="center"/>
          </w:tcPr>
          <w:p w14:paraId="7FAD2C87">
            <w:pPr>
              <w:pStyle w:val="11"/>
            </w:pPr>
          </w:p>
        </w:tc>
        <w:tc>
          <w:tcPr>
            <w:tcW w:w="964" w:type="dxa"/>
            <w:vAlign w:val="center"/>
          </w:tcPr>
          <w:p w14:paraId="28A98A99">
            <w:pPr>
              <w:pStyle w:val="11"/>
            </w:pPr>
          </w:p>
        </w:tc>
        <w:tc>
          <w:tcPr>
            <w:tcW w:w="964" w:type="dxa"/>
            <w:vAlign w:val="center"/>
          </w:tcPr>
          <w:p w14:paraId="2F32B2AD">
            <w:pPr>
              <w:pStyle w:val="11"/>
            </w:pPr>
          </w:p>
        </w:tc>
        <w:tc>
          <w:tcPr>
            <w:tcW w:w="964" w:type="dxa"/>
            <w:vAlign w:val="center"/>
          </w:tcPr>
          <w:p w14:paraId="5C4C86DB">
            <w:pPr>
              <w:pStyle w:val="11"/>
            </w:pPr>
          </w:p>
        </w:tc>
        <w:tc>
          <w:tcPr>
            <w:tcW w:w="964" w:type="dxa"/>
            <w:vAlign w:val="center"/>
          </w:tcPr>
          <w:p w14:paraId="7CFA7DB5">
            <w:pPr>
              <w:pStyle w:val="11"/>
            </w:pPr>
          </w:p>
        </w:tc>
        <w:tc>
          <w:tcPr>
            <w:tcW w:w="964" w:type="dxa"/>
            <w:vAlign w:val="center"/>
          </w:tcPr>
          <w:p w14:paraId="4485947B">
            <w:pPr>
              <w:pStyle w:val="11"/>
            </w:pPr>
            <w:r>
              <w:t>0.20</w:t>
            </w:r>
          </w:p>
        </w:tc>
      </w:tr>
      <w:tr w14:paraId="57B01CD1">
        <w:tblPrEx>
          <w:tblCellMar>
            <w:top w:w="0" w:type="dxa"/>
            <w:left w:w="108" w:type="dxa"/>
            <w:bottom w:w="0" w:type="dxa"/>
            <w:right w:w="108" w:type="dxa"/>
          </w:tblCellMar>
        </w:tblPrEx>
        <w:trPr>
          <w:jc w:val="center"/>
        </w:trPr>
        <w:tc>
          <w:tcPr>
            <w:tcW w:w="1701" w:type="dxa"/>
            <w:vAlign w:val="center"/>
          </w:tcPr>
          <w:p w14:paraId="64B84E93">
            <w:pPr>
              <w:pStyle w:val="12"/>
            </w:pPr>
            <w:r>
              <w:t>县级资金/2024年固城校区学前教育公用经费</w:t>
            </w:r>
          </w:p>
        </w:tc>
        <w:tc>
          <w:tcPr>
            <w:tcW w:w="964" w:type="dxa"/>
            <w:vAlign w:val="center"/>
          </w:tcPr>
          <w:p w14:paraId="6FC47C1A">
            <w:pPr>
              <w:pStyle w:val="11"/>
            </w:pPr>
            <w:r>
              <w:t>43.65</w:t>
            </w:r>
          </w:p>
        </w:tc>
        <w:tc>
          <w:tcPr>
            <w:tcW w:w="1134" w:type="dxa"/>
            <w:vAlign w:val="center"/>
          </w:tcPr>
          <w:p w14:paraId="58329ECF">
            <w:pPr>
              <w:pStyle w:val="12"/>
            </w:pPr>
            <w:r>
              <w:t>文件柜</w:t>
            </w:r>
          </w:p>
        </w:tc>
        <w:tc>
          <w:tcPr>
            <w:tcW w:w="1134" w:type="dxa"/>
            <w:vAlign w:val="center"/>
          </w:tcPr>
          <w:p w14:paraId="2775DB32">
            <w:pPr>
              <w:pStyle w:val="12"/>
            </w:pPr>
            <w:r>
              <w:t>A05010502</w:t>
            </w:r>
          </w:p>
        </w:tc>
        <w:tc>
          <w:tcPr>
            <w:tcW w:w="709" w:type="dxa"/>
            <w:vAlign w:val="center"/>
          </w:tcPr>
          <w:p w14:paraId="3F92E506">
            <w:pPr>
              <w:pStyle w:val="13"/>
            </w:pPr>
            <w:r>
              <w:t>万元</w:t>
            </w:r>
          </w:p>
        </w:tc>
        <w:tc>
          <w:tcPr>
            <w:tcW w:w="850" w:type="dxa"/>
            <w:vAlign w:val="center"/>
          </w:tcPr>
          <w:p w14:paraId="30BACA80">
            <w:pPr>
              <w:pStyle w:val="11"/>
            </w:pPr>
            <w:r>
              <w:t>3</w:t>
            </w:r>
          </w:p>
        </w:tc>
        <w:tc>
          <w:tcPr>
            <w:tcW w:w="850" w:type="dxa"/>
            <w:vAlign w:val="center"/>
          </w:tcPr>
          <w:p w14:paraId="16AAC578">
            <w:pPr>
              <w:pStyle w:val="11"/>
            </w:pPr>
            <w:r>
              <w:t>0.05</w:t>
            </w:r>
          </w:p>
        </w:tc>
        <w:tc>
          <w:tcPr>
            <w:tcW w:w="964" w:type="dxa"/>
            <w:vAlign w:val="center"/>
          </w:tcPr>
          <w:p w14:paraId="2858F954">
            <w:pPr>
              <w:pStyle w:val="11"/>
            </w:pPr>
            <w:r>
              <w:t>0.15</w:t>
            </w:r>
          </w:p>
        </w:tc>
        <w:tc>
          <w:tcPr>
            <w:tcW w:w="964" w:type="dxa"/>
            <w:vAlign w:val="center"/>
          </w:tcPr>
          <w:p w14:paraId="38DD1794">
            <w:pPr>
              <w:pStyle w:val="11"/>
            </w:pPr>
            <w:r>
              <w:t>0.15</w:t>
            </w:r>
          </w:p>
        </w:tc>
        <w:tc>
          <w:tcPr>
            <w:tcW w:w="964" w:type="dxa"/>
            <w:vAlign w:val="center"/>
          </w:tcPr>
          <w:p w14:paraId="5DBBD070">
            <w:pPr>
              <w:pStyle w:val="11"/>
            </w:pPr>
          </w:p>
        </w:tc>
        <w:tc>
          <w:tcPr>
            <w:tcW w:w="964" w:type="dxa"/>
            <w:vAlign w:val="center"/>
          </w:tcPr>
          <w:p w14:paraId="61C8C613">
            <w:pPr>
              <w:pStyle w:val="11"/>
            </w:pPr>
          </w:p>
        </w:tc>
        <w:tc>
          <w:tcPr>
            <w:tcW w:w="964" w:type="dxa"/>
            <w:vAlign w:val="center"/>
          </w:tcPr>
          <w:p w14:paraId="7BC5FD05">
            <w:pPr>
              <w:pStyle w:val="11"/>
            </w:pPr>
          </w:p>
        </w:tc>
        <w:tc>
          <w:tcPr>
            <w:tcW w:w="964" w:type="dxa"/>
            <w:vAlign w:val="center"/>
          </w:tcPr>
          <w:p w14:paraId="1F8BFE24">
            <w:pPr>
              <w:pStyle w:val="11"/>
            </w:pPr>
          </w:p>
        </w:tc>
        <w:tc>
          <w:tcPr>
            <w:tcW w:w="964" w:type="dxa"/>
            <w:vAlign w:val="center"/>
          </w:tcPr>
          <w:p w14:paraId="15D45AF9">
            <w:pPr>
              <w:pStyle w:val="11"/>
            </w:pPr>
          </w:p>
        </w:tc>
        <w:tc>
          <w:tcPr>
            <w:tcW w:w="964" w:type="dxa"/>
            <w:vAlign w:val="center"/>
          </w:tcPr>
          <w:p w14:paraId="0DBF4174">
            <w:pPr>
              <w:pStyle w:val="11"/>
            </w:pPr>
          </w:p>
        </w:tc>
        <w:tc>
          <w:tcPr>
            <w:tcW w:w="964" w:type="dxa"/>
            <w:vAlign w:val="center"/>
          </w:tcPr>
          <w:p w14:paraId="4E877A02">
            <w:pPr>
              <w:pStyle w:val="11"/>
            </w:pPr>
            <w:r>
              <w:t>0.15</w:t>
            </w:r>
          </w:p>
        </w:tc>
      </w:tr>
    </w:tbl>
    <w:p w14:paraId="35B26A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5CBD56">
      <w:pPr>
        <w:spacing w:before="0" w:after="0"/>
        <w:ind w:firstLine="640"/>
        <w:jc w:val="left"/>
        <w:outlineLvl w:val="9"/>
      </w:pPr>
      <w:r>
        <w:rPr>
          <w:rFonts w:ascii="Times New Roman" w:hAnsi="Times New Roman" w:eastAsia="方正仿宋_GBK" w:cs="Times New Roman"/>
          <w:color w:val="000000"/>
          <w:sz w:val="32"/>
        </w:rPr>
        <w:t xml:space="preserve"> </w:t>
      </w:r>
    </w:p>
    <w:p w14:paraId="37214EA0">
      <w:pPr>
        <w:spacing w:before="10" w:after="10" w:line="240" w:lineRule="auto"/>
        <w:ind w:firstLine="640"/>
        <w:jc w:val="left"/>
        <w:outlineLvl w:val="5"/>
      </w:pPr>
      <w:r>
        <w:rPr>
          <w:rFonts w:ascii="黑体" w:hAnsi="黑体" w:eastAsia="黑体" w:cs="黑体"/>
          <w:color w:val="000000"/>
          <w:sz w:val="32"/>
        </w:rPr>
        <w:t>七、国有资产信息</w:t>
      </w:r>
    </w:p>
    <w:p w14:paraId="150312FE">
      <w:pPr>
        <w:spacing w:before="0" w:after="0" w:line="500" w:lineRule="exact"/>
        <w:ind w:firstLine="560"/>
        <w:jc w:val="left"/>
        <w:outlineLvl w:val="9"/>
      </w:pPr>
      <w:r>
        <w:rPr>
          <w:rFonts w:ascii="Times New Roman" w:hAnsi="Times New Roman" w:eastAsia="方正仿宋_GBK" w:cs="Times New Roman"/>
          <w:b w:val="0"/>
          <w:color w:val="000000"/>
          <w:sz w:val="28"/>
        </w:rPr>
        <w:t>隆尧县固城校区上年末固定资产金额为2403.52万元（详见下表）。本年度拟购置固定资产总额为108.86万元，已按要求列入政府采购预算，详见政府采购预算表。</w:t>
      </w:r>
    </w:p>
    <w:p w14:paraId="04D8EBE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C7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C2CB2F">
            <w:pPr>
              <w:pStyle w:val="9"/>
            </w:pPr>
            <w:r>
              <w:t>360023隆尧县固城校区</w:t>
            </w:r>
          </w:p>
        </w:tc>
        <w:tc>
          <w:tcPr>
            <w:tcW w:w="5670" w:type="dxa"/>
            <w:gridSpan w:val="2"/>
            <w:tcBorders>
              <w:top w:val="single" w:color="FFFFFF" w:sz="6" w:space="0"/>
              <w:left w:val="single" w:color="FFFFFF" w:sz="6" w:space="0"/>
              <w:right w:val="single" w:color="FFFFFF" w:sz="6" w:space="0"/>
            </w:tcBorders>
            <w:vAlign w:val="center"/>
          </w:tcPr>
          <w:p w14:paraId="2C0F12F9">
            <w:pPr>
              <w:pStyle w:val="7"/>
            </w:pPr>
            <w:r>
              <w:t>截止时间：2025-12-31</w:t>
            </w:r>
          </w:p>
        </w:tc>
      </w:tr>
      <w:tr w14:paraId="353B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7C811F">
            <w:pPr>
              <w:pStyle w:val="10"/>
            </w:pPr>
            <w:r>
              <w:t>项   目</w:t>
            </w:r>
          </w:p>
        </w:tc>
        <w:tc>
          <w:tcPr>
            <w:tcW w:w="2835" w:type="dxa"/>
            <w:vAlign w:val="center"/>
          </w:tcPr>
          <w:p w14:paraId="3406EB9E">
            <w:pPr>
              <w:pStyle w:val="10"/>
            </w:pPr>
            <w:r>
              <w:t>数量</w:t>
            </w:r>
          </w:p>
        </w:tc>
        <w:tc>
          <w:tcPr>
            <w:tcW w:w="2835" w:type="dxa"/>
            <w:vAlign w:val="center"/>
          </w:tcPr>
          <w:p w14:paraId="20CD2458">
            <w:pPr>
              <w:pStyle w:val="10"/>
            </w:pPr>
            <w:r>
              <w:t>价值（金额单位：万元）</w:t>
            </w:r>
          </w:p>
        </w:tc>
      </w:tr>
      <w:tr w14:paraId="0945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4EAD4B">
            <w:pPr>
              <w:pStyle w:val="12"/>
            </w:pPr>
            <w:r>
              <w:t>资产总额</w:t>
            </w:r>
          </w:p>
        </w:tc>
        <w:tc>
          <w:tcPr>
            <w:tcW w:w="2835" w:type="dxa"/>
            <w:vAlign w:val="center"/>
          </w:tcPr>
          <w:p w14:paraId="0302EAEF">
            <w:pPr>
              <w:pStyle w:val="13"/>
            </w:pPr>
          </w:p>
        </w:tc>
        <w:tc>
          <w:tcPr>
            <w:tcW w:w="2835" w:type="dxa"/>
            <w:vAlign w:val="center"/>
          </w:tcPr>
          <w:p w14:paraId="6D5F89E4">
            <w:pPr>
              <w:pStyle w:val="11"/>
            </w:pPr>
            <w:r>
              <w:t>2403.52</w:t>
            </w:r>
          </w:p>
        </w:tc>
      </w:tr>
      <w:tr w14:paraId="00A19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A589C6">
            <w:pPr>
              <w:pStyle w:val="12"/>
            </w:pPr>
            <w:r>
              <w:t>1、房屋（平方米）</w:t>
            </w:r>
          </w:p>
        </w:tc>
        <w:tc>
          <w:tcPr>
            <w:tcW w:w="2835" w:type="dxa"/>
            <w:vAlign w:val="center"/>
          </w:tcPr>
          <w:p w14:paraId="18D4682B">
            <w:pPr>
              <w:pStyle w:val="13"/>
            </w:pPr>
            <w:r>
              <w:t>16904</w:t>
            </w:r>
          </w:p>
        </w:tc>
        <w:tc>
          <w:tcPr>
            <w:tcW w:w="2835" w:type="dxa"/>
            <w:vAlign w:val="center"/>
          </w:tcPr>
          <w:p w14:paraId="1C10DEA3">
            <w:pPr>
              <w:pStyle w:val="11"/>
            </w:pPr>
            <w:r>
              <w:t>1302.52</w:t>
            </w:r>
          </w:p>
        </w:tc>
      </w:tr>
      <w:tr w14:paraId="22DA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65BB14">
            <w:pPr>
              <w:pStyle w:val="12"/>
            </w:pPr>
            <w:r>
              <w:t>　　其中：办公用房（平方米）</w:t>
            </w:r>
          </w:p>
        </w:tc>
        <w:tc>
          <w:tcPr>
            <w:tcW w:w="2835" w:type="dxa"/>
            <w:vAlign w:val="center"/>
          </w:tcPr>
          <w:p w14:paraId="734E8197">
            <w:pPr>
              <w:pStyle w:val="13"/>
            </w:pPr>
            <w:r>
              <w:t>1600</w:t>
            </w:r>
          </w:p>
        </w:tc>
        <w:tc>
          <w:tcPr>
            <w:tcW w:w="2835" w:type="dxa"/>
            <w:vAlign w:val="center"/>
          </w:tcPr>
          <w:p w14:paraId="3DC348C4">
            <w:pPr>
              <w:pStyle w:val="11"/>
            </w:pPr>
            <w:r>
              <w:t>118.48</w:t>
            </w:r>
          </w:p>
        </w:tc>
      </w:tr>
      <w:tr w14:paraId="6906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390496">
            <w:pPr>
              <w:pStyle w:val="12"/>
            </w:pPr>
            <w:r>
              <w:t>2、车辆（台、辆）</w:t>
            </w:r>
          </w:p>
        </w:tc>
        <w:tc>
          <w:tcPr>
            <w:tcW w:w="2835" w:type="dxa"/>
            <w:vAlign w:val="center"/>
          </w:tcPr>
          <w:p w14:paraId="5B3C0F19">
            <w:pPr>
              <w:pStyle w:val="13"/>
            </w:pPr>
          </w:p>
        </w:tc>
        <w:tc>
          <w:tcPr>
            <w:tcW w:w="2835" w:type="dxa"/>
            <w:vAlign w:val="center"/>
          </w:tcPr>
          <w:p w14:paraId="7676AF75">
            <w:pPr>
              <w:pStyle w:val="11"/>
            </w:pPr>
          </w:p>
        </w:tc>
      </w:tr>
      <w:tr w14:paraId="7A5F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F58B97">
            <w:pPr>
              <w:pStyle w:val="12"/>
            </w:pPr>
            <w:r>
              <w:t>3、单价在20万元以上的设备</w:t>
            </w:r>
          </w:p>
        </w:tc>
        <w:tc>
          <w:tcPr>
            <w:tcW w:w="2835" w:type="dxa"/>
            <w:vAlign w:val="center"/>
          </w:tcPr>
          <w:p w14:paraId="743A6F15">
            <w:pPr>
              <w:pStyle w:val="13"/>
            </w:pPr>
          </w:p>
        </w:tc>
        <w:tc>
          <w:tcPr>
            <w:tcW w:w="2835" w:type="dxa"/>
            <w:vAlign w:val="center"/>
          </w:tcPr>
          <w:p w14:paraId="4786D065">
            <w:pPr>
              <w:pStyle w:val="11"/>
            </w:pPr>
          </w:p>
        </w:tc>
      </w:tr>
      <w:tr w14:paraId="1756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6A71BF">
            <w:pPr>
              <w:pStyle w:val="12"/>
            </w:pPr>
            <w:r>
              <w:t>4、其他固定资产</w:t>
            </w:r>
          </w:p>
        </w:tc>
        <w:tc>
          <w:tcPr>
            <w:tcW w:w="2835" w:type="dxa"/>
            <w:vAlign w:val="center"/>
          </w:tcPr>
          <w:p w14:paraId="4BD75B2D">
            <w:pPr>
              <w:pStyle w:val="13"/>
            </w:pPr>
            <w:r>
              <w:t>16905</w:t>
            </w:r>
          </w:p>
        </w:tc>
        <w:tc>
          <w:tcPr>
            <w:tcW w:w="2835" w:type="dxa"/>
            <w:vAlign w:val="center"/>
          </w:tcPr>
          <w:p w14:paraId="17F3B732">
            <w:pPr>
              <w:pStyle w:val="11"/>
            </w:pPr>
            <w:r>
              <w:t>1101.01</w:t>
            </w:r>
          </w:p>
        </w:tc>
      </w:tr>
    </w:tbl>
    <w:p w14:paraId="532707A0">
      <w:pPr>
        <w:spacing w:before="0" w:after="0"/>
        <w:ind w:firstLine="640"/>
        <w:jc w:val="left"/>
        <w:outlineLvl w:val="9"/>
      </w:pPr>
      <w:r>
        <w:rPr>
          <w:rFonts w:ascii="Times New Roman" w:hAnsi="Times New Roman" w:eastAsia="方正仿宋_GBK" w:cs="Times New Roman"/>
          <w:color w:val="000000"/>
          <w:sz w:val="32"/>
        </w:rPr>
        <w:t xml:space="preserve"> </w:t>
      </w:r>
    </w:p>
    <w:p w14:paraId="4D009ABA">
      <w:pPr>
        <w:spacing w:before="10" w:after="10" w:line="240" w:lineRule="auto"/>
        <w:ind w:firstLine="640"/>
        <w:jc w:val="left"/>
        <w:outlineLvl w:val="5"/>
      </w:pPr>
      <w:r>
        <w:rPr>
          <w:rFonts w:ascii="黑体" w:hAnsi="黑体" w:eastAsia="黑体" w:cs="黑体"/>
          <w:color w:val="000000"/>
          <w:sz w:val="32"/>
        </w:rPr>
        <w:t>八、名词解释</w:t>
      </w:r>
    </w:p>
    <w:p w14:paraId="17C8C86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4AF43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45E44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1ACD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B8BBE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B0F63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BE6A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A038A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565F7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0044A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479D4C">
      <w:pPr>
        <w:spacing w:before="10" w:after="10" w:line="240" w:lineRule="auto"/>
        <w:ind w:firstLine="640"/>
        <w:jc w:val="left"/>
        <w:outlineLvl w:val="5"/>
      </w:pPr>
      <w:r>
        <w:rPr>
          <w:rFonts w:ascii="黑体" w:hAnsi="黑体" w:eastAsia="黑体" w:cs="黑体"/>
          <w:color w:val="000000"/>
          <w:sz w:val="32"/>
        </w:rPr>
        <w:t>九、其他需要说明的事项</w:t>
      </w:r>
    </w:p>
    <w:p w14:paraId="6B3EFA2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2FA9E53">
      <w:pPr>
        <w:spacing w:before="0" w:after="0"/>
        <w:ind w:firstLine="0"/>
        <w:jc w:val="center"/>
        <w:outlineLvl w:val="3"/>
      </w:pPr>
      <w:bookmarkStart w:id="22" w:name="_Toc_4_4_0000000023"/>
      <w:r>
        <w:rPr>
          <w:rFonts w:ascii="方正小标宋_GBK" w:hAnsi="方正小标宋_GBK" w:eastAsia="方正小标宋_GBK" w:cs="方正小标宋_GBK"/>
          <w:b w:val="0"/>
          <w:color w:val="000000"/>
          <w:sz w:val="44"/>
        </w:rPr>
        <w:t>二十三、隆尧县大张家庄校区收支预算</w:t>
      </w:r>
      <w:bookmarkEnd w:id="22"/>
    </w:p>
    <w:p w14:paraId="2C2B54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C54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2B35EA">
            <w:pPr>
              <w:pStyle w:val="9"/>
            </w:pPr>
            <w:r>
              <w:t>360024隆尧县大张家庄校区</w:t>
            </w:r>
          </w:p>
        </w:tc>
        <w:tc>
          <w:tcPr>
            <w:tcW w:w="2126" w:type="dxa"/>
            <w:tcBorders>
              <w:top w:val="single" w:color="FFFFFF" w:sz="6" w:space="0"/>
              <w:left w:val="single" w:color="FFFFFF" w:sz="6" w:space="0"/>
              <w:right w:val="single" w:color="FFFFFF" w:sz="6" w:space="0"/>
            </w:tcBorders>
            <w:vAlign w:val="center"/>
          </w:tcPr>
          <w:p w14:paraId="5118E37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D96B770">
            <w:pPr>
              <w:pStyle w:val="7"/>
            </w:pPr>
            <w:r>
              <w:t>单位：万元</w:t>
            </w:r>
          </w:p>
        </w:tc>
      </w:tr>
      <w:tr w14:paraId="7CCC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0910CD">
            <w:pPr>
              <w:pStyle w:val="10"/>
            </w:pPr>
            <w:r>
              <w:t>序号</w:t>
            </w:r>
          </w:p>
        </w:tc>
        <w:tc>
          <w:tcPr>
            <w:tcW w:w="6661" w:type="dxa"/>
            <w:gridSpan w:val="2"/>
            <w:vAlign w:val="center"/>
          </w:tcPr>
          <w:p w14:paraId="69E35093">
            <w:pPr>
              <w:pStyle w:val="10"/>
            </w:pPr>
            <w:r>
              <w:t>收入</w:t>
            </w:r>
          </w:p>
        </w:tc>
        <w:tc>
          <w:tcPr>
            <w:tcW w:w="6661" w:type="dxa"/>
            <w:gridSpan w:val="2"/>
            <w:vAlign w:val="center"/>
          </w:tcPr>
          <w:p w14:paraId="6A42305D">
            <w:pPr>
              <w:pStyle w:val="10"/>
            </w:pPr>
            <w:r>
              <w:t>支出</w:t>
            </w:r>
          </w:p>
        </w:tc>
      </w:tr>
      <w:tr w14:paraId="026B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981357"/>
        </w:tc>
        <w:tc>
          <w:tcPr>
            <w:tcW w:w="4535" w:type="dxa"/>
            <w:vAlign w:val="center"/>
          </w:tcPr>
          <w:p w14:paraId="7D3E8A61">
            <w:pPr>
              <w:pStyle w:val="10"/>
            </w:pPr>
            <w:r>
              <w:t>项  目</w:t>
            </w:r>
          </w:p>
        </w:tc>
        <w:tc>
          <w:tcPr>
            <w:tcW w:w="2126" w:type="dxa"/>
            <w:vAlign w:val="center"/>
          </w:tcPr>
          <w:p w14:paraId="5CE7C594">
            <w:pPr>
              <w:pStyle w:val="10"/>
            </w:pPr>
            <w:r>
              <w:t>预算数</w:t>
            </w:r>
          </w:p>
        </w:tc>
        <w:tc>
          <w:tcPr>
            <w:tcW w:w="4535" w:type="dxa"/>
            <w:vAlign w:val="center"/>
          </w:tcPr>
          <w:p w14:paraId="00241EFA">
            <w:pPr>
              <w:pStyle w:val="10"/>
            </w:pPr>
            <w:r>
              <w:t>项  目</w:t>
            </w:r>
          </w:p>
        </w:tc>
        <w:tc>
          <w:tcPr>
            <w:tcW w:w="2126" w:type="dxa"/>
            <w:vAlign w:val="center"/>
          </w:tcPr>
          <w:p w14:paraId="4614BEC2">
            <w:pPr>
              <w:pStyle w:val="10"/>
            </w:pPr>
            <w:r>
              <w:t>预算数</w:t>
            </w:r>
          </w:p>
        </w:tc>
      </w:tr>
      <w:tr w14:paraId="4E55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048F9">
            <w:pPr>
              <w:pStyle w:val="10"/>
            </w:pPr>
            <w:r>
              <w:t>栏次</w:t>
            </w:r>
          </w:p>
        </w:tc>
        <w:tc>
          <w:tcPr>
            <w:tcW w:w="4535" w:type="dxa"/>
            <w:vAlign w:val="center"/>
          </w:tcPr>
          <w:p w14:paraId="1FB21CC8">
            <w:pPr>
              <w:pStyle w:val="10"/>
            </w:pPr>
            <w:r>
              <w:t>1</w:t>
            </w:r>
          </w:p>
        </w:tc>
        <w:tc>
          <w:tcPr>
            <w:tcW w:w="2126" w:type="dxa"/>
            <w:vAlign w:val="center"/>
          </w:tcPr>
          <w:p w14:paraId="1A55F7FF">
            <w:pPr>
              <w:pStyle w:val="10"/>
            </w:pPr>
            <w:r>
              <w:t>2</w:t>
            </w:r>
          </w:p>
        </w:tc>
        <w:tc>
          <w:tcPr>
            <w:tcW w:w="4535" w:type="dxa"/>
            <w:vAlign w:val="center"/>
          </w:tcPr>
          <w:p w14:paraId="5E7008CA">
            <w:pPr>
              <w:pStyle w:val="10"/>
            </w:pPr>
            <w:r>
              <w:t>3</w:t>
            </w:r>
          </w:p>
        </w:tc>
        <w:tc>
          <w:tcPr>
            <w:tcW w:w="2126" w:type="dxa"/>
            <w:vAlign w:val="center"/>
          </w:tcPr>
          <w:p w14:paraId="3C3E554D">
            <w:pPr>
              <w:pStyle w:val="10"/>
            </w:pPr>
            <w:r>
              <w:t>4</w:t>
            </w:r>
          </w:p>
        </w:tc>
      </w:tr>
      <w:tr w14:paraId="77D9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A8E7D">
            <w:pPr>
              <w:pStyle w:val="13"/>
            </w:pPr>
            <w:r>
              <w:t>1</w:t>
            </w:r>
          </w:p>
        </w:tc>
        <w:tc>
          <w:tcPr>
            <w:tcW w:w="4535" w:type="dxa"/>
            <w:vAlign w:val="center"/>
          </w:tcPr>
          <w:p w14:paraId="1C3B5D13">
            <w:pPr>
              <w:pStyle w:val="12"/>
            </w:pPr>
            <w:r>
              <w:t>一、一般公共预算拨款收入</w:t>
            </w:r>
          </w:p>
        </w:tc>
        <w:tc>
          <w:tcPr>
            <w:tcW w:w="2126" w:type="dxa"/>
            <w:vAlign w:val="center"/>
          </w:tcPr>
          <w:p w14:paraId="00A85308">
            <w:pPr>
              <w:pStyle w:val="11"/>
            </w:pPr>
            <w:r>
              <w:t>2256.08</w:t>
            </w:r>
          </w:p>
        </w:tc>
        <w:tc>
          <w:tcPr>
            <w:tcW w:w="4535" w:type="dxa"/>
            <w:vAlign w:val="center"/>
          </w:tcPr>
          <w:p w14:paraId="48F32B58">
            <w:pPr>
              <w:pStyle w:val="12"/>
            </w:pPr>
            <w:r>
              <w:t>一、一般公共服务支出</w:t>
            </w:r>
          </w:p>
        </w:tc>
        <w:tc>
          <w:tcPr>
            <w:tcW w:w="2126" w:type="dxa"/>
            <w:vAlign w:val="center"/>
          </w:tcPr>
          <w:p w14:paraId="5964D500">
            <w:pPr>
              <w:pStyle w:val="11"/>
            </w:pPr>
          </w:p>
        </w:tc>
      </w:tr>
      <w:tr w14:paraId="5A7F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5B34">
            <w:pPr>
              <w:pStyle w:val="13"/>
            </w:pPr>
            <w:r>
              <w:t>2</w:t>
            </w:r>
          </w:p>
        </w:tc>
        <w:tc>
          <w:tcPr>
            <w:tcW w:w="4535" w:type="dxa"/>
            <w:vAlign w:val="center"/>
          </w:tcPr>
          <w:p w14:paraId="02FC7AA4">
            <w:pPr>
              <w:pStyle w:val="12"/>
            </w:pPr>
            <w:r>
              <w:t>二、政府性基金预算拨款收入</w:t>
            </w:r>
          </w:p>
        </w:tc>
        <w:tc>
          <w:tcPr>
            <w:tcW w:w="2126" w:type="dxa"/>
            <w:vAlign w:val="center"/>
          </w:tcPr>
          <w:p w14:paraId="25076BF9">
            <w:pPr>
              <w:pStyle w:val="11"/>
            </w:pPr>
          </w:p>
        </w:tc>
        <w:tc>
          <w:tcPr>
            <w:tcW w:w="4535" w:type="dxa"/>
            <w:vAlign w:val="center"/>
          </w:tcPr>
          <w:p w14:paraId="3B1E3758">
            <w:pPr>
              <w:pStyle w:val="12"/>
            </w:pPr>
            <w:r>
              <w:t>二、外交支出</w:t>
            </w:r>
          </w:p>
        </w:tc>
        <w:tc>
          <w:tcPr>
            <w:tcW w:w="2126" w:type="dxa"/>
            <w:vAlign w:val="center"/>
          </w:tcPr>
          <w:p w14:paraId="0FD158C4">
            <w:pPr>
              <w:pStyle w:val="11"/>
            </w:pPr>
          </w:p>
        </w:tc>
      </w:tr>
      <w:tr w14:paraId="46C8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386CE">
            <w:pPr>
              <w:pStyle w:val="13"/>
            </w:pPr>
            <w:r>
              <w:t>3</w:t>
            </w:r>
          </w:p>
        </w:tc>
        <w:tc>
          <w:tcPr>
            <w:tcW w:w="4535" w:type="dxa"/>
            <w:vAlign w:val="center"/>
          </w:tcPr>
          <w:p w14:paraId="2BACC9C2">
            <w:pPr>
              <w:pStyle w:val="12"/>
            </w:pPr>
            <w:r>
              <w:t>三、国有资本经营预算拨款收入</w:t>
            </w:r>
          </w:p>
        </w:tc>
        <w:tc>
          <w:tcPr>
            <w:tcW w:w="2126" w:type="dxa"/>
            <w:vAlign w:val="center"/>
          </w:tcPr>
          <w:p w14:paraId="3851795F">
            <w:pPr>
              <w:pStyle w:val="11"/>
            </w:pPr>
          </w:p>
        </w:tc>
        <w:tc>
          <w:tcPr>
            <w:tcW w:w="4535" w:type="dxa"/>
            <w:vAlign w:val="center"/>
          </w:tcPr>
          <w:p w14:paraId="2A03983E">
            <w:pPr>
              <w:pStyle w:val="12"/>
            </w:pPr>
            <w:r>
              <w:t>三、国防支出</w:t>
            </w:r>
          </w:p>
        </w:tc>
        <w:tc>
          <w:tcPr>
            <w:tcW w:w="2126" w:type="dxa"/>
            <w:vAlign w:val="center"/>
          </w:tcPr>
          <w:p w14:paraId="6F1959DD">
            <w:pPr>
              <w:pStyle w:val="11"/>
            </w:pPr>
          </w:p>
        </w:tc>
      </w:tr>
      <w:tr w14:paraId="5132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42A64">
            <w:pPr>
              <w:pStyle w:val="13"/>
            </w:pPr>
            <w:r>
              <w:t>4</w:t>
            </w:r>
          </w:p>
        </w:tc>
        <w:tc>
          <w:tcPr>
            <w:tcW w:w="4535" w:type="dxa"/>
            <w:vAlign w:val="center"/>
          </w:tcPr>
          <w:p w14:paraId="4AA11C44">
            <w:pPr>
              <w:pStyle w:val="12"/>
            </w:pPr>
            <w:r>
              <w:t>四、财政专户管理资金收入</w:t>
            </w:r>
          </w:p>
        </w:tc>
        <w:tc>
          <w:tcPr>
            <w:tcW w:w="2126" w:type="dxa"/>
            <w:vAlign w:val="center"/>
          </w:tcPr>
          <w:p w14:paraId="542B6617">
            <w:pPr>
              <w:pStyle w:val="11"/>
            </w:pPr>
          </w:p>
        </w:tc>
        <w:tc>
          <w:tcPr>
            <w:tcW w:w="4535" w:type="dxa"/>
            <w:vAlign w:val="center"/>
          </w:tcPr>
          <w:p w14:paraId="35398D5B">
            <w:pPr>
              <w:pStyle w:val="12"/>
            </w:pPr>
            <w:r>
              <w:t>四、公共安全支出</w:t>
            </w:r>
          </w:p>
        </w:tc>
        <w:tc>
          <w:tcPr>
            <w:tcW w:w="2126" w:type="dxa"/>
            <w:vAlign w:val="center"/>
          </w:tcPr>
          <w:p w14:paraId="434A796C">
            <w:pPr>
              <w:pStyle w:val="11"/>
            </w:pPr>
          </w:p>
        </w:tc>
      </w:tr>
      <w:tr w14:paraId="01FA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49710">
            <w:pPr>
              <w:pStyle w:val="13"/>
            </w:pPr>
            <w:r>
              <w:t>5</w:t>
            </w:r>
          </w:p>
        </w:tc>
        <w:tc>
          <w:tcPr>
            <w:tcW w:w="4535" w:type="dxa"/>
            <w:vAlign w:val="center"/>
          </w:tcPr>
          <w:p w14:paraId="0105CDC3">
            <w:pPr>
              <w:pStyle w:val="12"/>
            </w:pPr>
            <w:r>
              <w:t>五、单位资金</w:t>
            </w:r>
          </w:p>
        </w:tc>
        <w:tc>
          <w:tcPr>
            <w:tcW w:w="2126" w:type="dxa"/>
            <w:vAlign w:val="center"/>
          </w:tcPr>
          <w:p w14:paraId="16E68C04">
            <w:pPr>
              <w:pStyle w:val="11"/>
            </w:pPr>
          </w:p>
        </w:tc>
        <w:tc>
          <w:tcPr>
            <w:tcW w:w="4535" w:type="dxa"/>
            <w:vAlign w:val="center"/>
          </w:tcPr>
          <w:p w14:paraId="6A88393D">
            <w:pPr>
              <w:pStyle w:val="12"/>
            </w:pPr>
            <w:r>
              <w:t>五、教育支出</w:t>
            </w:r>
          </w:p>
        </w:tc>
        <w:tc>
          <w:tcPr>
            <w:tcW w:w="2126" w:type="dxa"/>
            <w:vAlign w:val="center"/>
          </w:tcPr>
          <w:p w14:paraId="4B7B71AC">
            <w:pPr>
              <w:pStyle w:val="11"/>
            </w:pPr>
            <w:r>
              <w:t>2256.08</w:t>
            </w:r>
          </w:p>
        </w:tc>
      </w:tr>
      <w:tr w14:paraId="04B6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8B85">
            <w:pPr>
              <w:pStyle w:val="13"/>
            </w:pPr>
            <w:r>
              <w:t>6</w:t>
            </w:r>
          </w:p>
        </w:tc>
        <w:tc>
          <w:tcPr>
            <w:tcW w:w="4535" w:type="dxa"/>
            <w:vAlign w:val="center"/>
          </w:tcPr>
          <w:p w14:paraId="09EC5BDD">
            <w:pPr>
              <w:pStyle w:val="12"/>
            </w:pPr>
          </w:p>
        </w:tc>
        <w:tc>
          <w:tcPr>
            <w:tcW w:w="2126" w:type="dxa"/>
            <w:vAlign w:val="center"/>
          </w:tcPr>
          <w:p w14:paraId="724B355F">
            <w:pPr>
              <w:pStyle w:val="11"/>
            </w:pPr>
          </w:p>
        </w:tc>
        <w:tc>
          <w:tcPr>
            <w:tcW w:w="4535" w:type="dxa"/>
            <w:vAlign w:val="center"/>
          </w:tcPr>
          <w:p w14:paraId="3DD3CF5A">
            <w:pPr>
              <w:pStyle w:val="12"/>
            </w:pPr>
            <w:r>
              <w:t>六、科学技术支出</w:t>
            </w:r>
          </w:p>
        </w:tc>
        <w:tc>
          <w:tcPr>
            <w:tcW w:w="2126" w:type="dxa"/>
            <w:vAlign w:val="center"/>
          </w:tcPr>
          <w:p w14:paraId="60F892F6">
            <w:pPr>
              <w:pStyle w:val="11"/>
            </w:pPr>
          </w:p>
        </w:tc>
      </w:tr>
      <w:tr w14:paraId="6360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A25E9">
            <w:pPr>
              <w:pStyle w:val="13"/>
            </w:pPr>
            <w:r>
              <w:t>7</w:t>
            </w:r>
          </w:p>
        </w:tc>
        <w:tc>
          <w:tcPr>
            <w:tcW w:w="4535" w:type="dxa"/>
            <w:vAlign w:val="center"/>
          </w:tcPr>
          <w:p w14:paraId="6C1CD652">
            <w:pPr>
              <w:pStyle w:val="12"/>
            </w:pPr>
          </w:p>
        </w:tc>
        <w:tc>
          <w:tcPr>
            <w:tcW w:w="2126" w:type="dxa"/>
            <w:vAlign w:val="center"/>
          </w:tcPr>
          <w:p w14:paraId="44C21702">
            <w:pPr>
              <w:pStyle w:val="11"/>
            </w:pPr>
          </w:p>
        </w:tc>
        <w:tc>
          <w:tcPr>
            <w:tcW w:w="4535" w:type="dxa"/>
            <w:vAlign w:val="center"/>
          </w:tcPr>
          <w:p w14:paraId="1480AE8B">
            <w:pPr>
              <w:pStyle w:val="12"/>
            </w:pPr>
            <w:r>
              <w:t>七、文化旅游体育与传媒支出</w:t>
            </w:r>
          </w:p>
        </w:tc>
        <w:tc>
          <w:tcPr>
            <w:tcW w:w="2126" w:type="dxa"/>
            <w:vAlign w:val="center"/>
          </w:tcPr>
          <w:p w14:paraId="107112F1">
            <w:pPr>
              <w:pStyle w:val="11"/>
            </w:pPr>
          </w:p>
        </w:tc>
      </w:tr>
      <w:tr w14:paraId="1975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44ED4">
            <w:pPr>
              <w:pStyle w:val="13"/>
            </w:pPr>
            <w:r>
              <w:t>8</w:t>
            </w:r>
          </w:p>
        </w:tc>
        <w:tc>
          <w:tcPr>
            <w:tcW w:w="4535" w:type="dxa"/>
            <w:vAlign w:val="center"/>
          </w:tcPr>
          <w:p w14:paraId="68964450">
            <w:pPr>
              <w:pStyle w:val="12"/>
            </w:pPr>
          </w:p>
        </w:tc>
        <w:tc>
          <w:tcPr>
            <w:tcW w:w="2126" w:type="dxa"/>
            <w:vAlign w:val="center"/>
          </w:tcPr>
          <w:p w14:paraId="3EEA333C">
            <w:pPr>
              <w:pStyle w:val="11"/>
            </w:pPr>
          </w:p>
        </w:tc>
        <w:tc>
          <w:tcPr>
            <w:tcW w:w="4535" w:type="dxa"/>
            <w:vAlign w:val="center"/>
          </w:tcPr>
          <w:p w14:paraId="7809270B">
            <w:pPr>
              <w:pStyle w:val="12"/>
            </w:pPr>
            <w:r>
              <w:t>八、社会保障和就业支出</w:t>
            </w:r>
          </w:p>
        </w:tc>
        <w:tc>
          <w:tcPr>
            <w:tcW w:w="2126" w:type="dxa"/>
            <w:vAlign w:val="center"/>
          </w:tcPr>
          <w:p w14:paraId="37420649">
            <w:pPr>
              <w:pStyle w:val="11"/>
            </w:pPr>
          </w:p>
        </w:tc>
      </w:tr>
      <w:tr w14:paraId="3E47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3EC18">
            <w:pPr>
              <w:pStyle w:val="13"/>
            </w:pPr>
            <w:r>
              <w:t>9</w:t>
            </w:r>
          </w:p>
        </w:tc>
        <w:tc>
          <w:tcPr>
            <w:tcW w:w="4535" w:type="dxa"/>
            <w:vAlign w:val="center"/>
          </w:tcPr>
          <w:p w14:paraId="5B4D2C0D">
            <w:pPr>
              <w:pStyle w:val="12"/>
            </w:pPr>
          </w:p>
        </w:tc>
        <w:tc>
          <w:tcPr>
            <w:tcW w:w="2126" w:type="dxa"/>
            <w:vAlign w:val="center"/>
          </w:tcPr>
          <w:p w14:paraId="1272E8FC">
            <w:pPr>
              <w:pStyle w:val="11"/>
            </w:pPr>
          </w:p>
        </w:tc>
        <w:tc>
          <w:tcPr>
            <w:tcW w:w="4535" w:type="dxa"/>
            <w:vAlign w:val="center"/>
          </w:tcPr>
          <w:p w14:paraId="0291451B">
            <w:pPr>
              <w:pStyle w:val="12"/>
            </w:pPr>
            <w:r>
              <w:t>九、社会保险基金支出</w:t>
            </w:r>
          </w:p>
        </w:tc>
        <w:tc>
          <w:tcPr>
            <w:tcW w:w="2126" w:type="dxa"/>
            <w:vAlign w:val="center"/>
          </w:tcPr>
          <w:p w14:paraId="11EF7B1B">
            <w:pPr>
              <w:pStyle w:val="11"/>
            </w:pPr>
          </w:p>
        </w:tc>
      </w:tr>
      <w:tr w14:paraId="0746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AA8EB">
            <w:pPr>
              <w:pStyle w:val="13"/>
            </w:pPr>
            <w:r>
              <w:t>10</w:t>
            </w:r>
          </w:p>
        </w:tc>
        <w:tc>
          <w:tcPr>
            <w:tcW w:w="4535" w:type="dxa"/>
            <w:vAlign w:val="center"/>
          </w:tcPr>
          <w:p w14:paraId="3D579AB0">
            <w:pPr>
              <w:pStyle w:val="12"/>
            </w:pPr>
          </w:p>
        </w:tc>
        <w:tc>
          <w:tcPr>
            <w:tcW w:w="2126" w:type="dxa"/>
            <w:vAlign w:val="center"/>
          </w:tcPr>
          <w:p w14:paraId="0C93F1BD">
            <w:pPr>
              <w:pStyle w:val="11"/>
            </w:pPr>
          </w:p>
        </w:tc>
        <w:tc>
          <w:tcPr>
            <w:tcW w:w="4535" w:type="dxa"/>
            <w:vAlign w:val="center"/>
          </w:tcPr>
          <w:p w14:paraId="07475435">
            <w:pPr>
              <w:pStyle w:val="12"/>
            </w:pPr>
            <w:r>
              <w:t>十、卫生健康支出</w:t>
            </w:r>
          </w:p>
        </w:tc>
        <w:tc>
          <w:tcPr>
            <w:tcW w:w="2126" w:type="dxa"/>
            <w:vAlign w:val="center"/>
          </w:tcPr>
          <w:p w14:paraId="49889549">
            <w:pPr>
              <w:pStyle w:val="11"/>
            </w:pPr>
          </w:p>
        </w:tc>
      </w:tr>
      <w:tr w14:paraId="696B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7CC61">
            <w:pPr>
              <w:pStyle w:val="13"/>
            </w:pPr>
            <w:r>
              <w:t>11</w:t>
            </w:r>
          </w:p>
        </w:tc>
        <w:tc>
          <w:tcPr>
            <w:tcW w:w="4535" w:type="dxa"/>
            <w:vAlign w:val="center"/>
          </w:tcPr>
          <w:p w14:paraId="3DF3915D">
            <w:pPr>
              <w:pStyle w:val="12"/>
            </w:pPr>
          </w:p>
        </w:tc>
        <w:tc>
          <w:tcPr>
            <w:tcW w:w="2126" w:type="dxa"/>
            <w:vAlign w:val="center"/>
          </w:tcPr>
          <w:p w14:paraId="5A34AD16">
            <w:pPr>
              <w:pStyle w:val="11"/>
            </w:pPr>
          </w:p>
        </w:tc>
        <w:tc>
          <w:tcPr>
            <w:tcW w:w="4535" w:type="dxa"/>
            <w:vAlign w:val="center"/>
          </w:tcPr>
          <w:p w14:paraId="69C0073D">
            <w:pPr>
              <w:pStyle w:val="12"/>
            </w:pPr>
            <w:r>
              <w:t>十一、节能环保支出</w:t>
            </w:r>
          </w:p>
        </w:tc>
        <w:tc>
          <w:tcPr>
            <w:tcW w:w="2126" w:type="dxa"/>
            <w:vAlign w:val="center"/>
          </w:tcPr>
          <w:p w14:paraId="22A4B0A3">
            <w:pPr>
              <w:pStyle w:val="11"/>
            </w:pPr>
          </w:p>
        </w:tc>
      </w:tr>
      <w:tr w14:paraId="790C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D874">
            <w:pPr>
              <w:pStyle w:val="13"/>
            </w:pPr>
            <w:r>
              <w:t>12</w:t>
            </w:r>
          </w:p>
        </w:tc>
        <w:tc>
          <w:tcPr>
            <w:tcW w:w="4535" w:type="dxa"/>
            <w:vAlign w:val="center"/>
          </w:tcPr>
          <w:p w14:paraId="5D816E6B">
            <w:pPr>
              <w:pStyle w:val="12"/>
            </w:pPr>
          </w:p>
        </w:tc>
        <w:tc>
          <w:tcPr>
            <w:tcW w:w="2126" w:type="dxa"/>
            <w:vAlign w:val="center"/>
          </w:tcPr>
          <w:p w14:paraId="31EED182">
            <w:pPr>
              <w:pStyle w:val="11"/>
            </w:pPr>
          </w:p>
        </w:tc>
        <w:tc>
          <w:tcPr>
            <w:tcW w:w="4535" w:type="dxa"/>
            <w:vAlign w:val="center"/>
          </w:tcPr>
          <w:p w14:paraId="6034148E">
            <w:pPr>
              <w:pStyle w:val="12"/>
            </w:pPr>
            <w:r>
              <w:t>十二、城乡社区支出</w:t>
            </w:r>
          </w:p>
        </w:tc>
        <w:tc>
          <w:tcPr>
            <w:tcW w:w="2126" w:type="dxa"/>
            <w:vAlign w:val="center"/>
          </w:tcPr>
          <w:p w14:paraId="341BAEBF">
            <w:pPr>
              <w:pStyle w:val="11"/>
            </w:pPr>
          </w:p>
        </w:tc>
      </w:tr>
      <w:tr w14:paraId="3EDF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9CFFD">
            <w:pPr>
              <w:pStyle w:val="13"/>
            </w:pPr>
            <w:r>
              <w:t>13</w:t>
            </w:r>
          </w:p>
        </w:tc>
        <w:tc>
          <w:tcPr>
            <w:tcW w:w="4535" w:type="dxa"/>
            <w:vAlign w:val="center"/>
          </w:tcPr>
          <w:p w14:paraId="716B7F50">
            <w:pPr>
              <w:pStyle w:val="12"/>
            </w:pPr>
          </w:p>
        </w:tc>
        <w:tc>
          <w:tcPr>
            <w:tcW w:w="2126" w:type="dxa"/>
            <w:vAlign w:val="center"/>
          </w:tcPr>
          <w:p w14:paraId="6BEE7117">
            <w:pPr>
              <w:pStyle w:val="11"/>
            </w:pPr>
          </w:p>
        </w:tc>
        <w:tc>
          <w:tcPr>
            <w:tcW w:w="4535" w:type="dxa"/>
            <w:vAlign w:val="center"/>
          </w:tcPr>
          <w:p w14:paraId="3E39D468">
            <w:pPr>
              <w:pStyle w:val="12"/>
            </w:pPr>
            <w:r>
              <w:t>十三、农林水支出</w:t>
            </w:r>
          </w:p>
        </w:tc>
        <w:tc>
          <w:tcPr>
            <w:tcW w:w="2126" w:type="dxa"/>
            <w:vAlign w:val="center"/>
          </w:tcPr>
          <w:p w14:paraId="37E88CDA">
            <w:pPr>
              <w:pStyle w:val="11"/>
            </w:pPr>
          </w:p>
        </w:tc>
      </w:tr>
      <w:tr w14:paraId="63B9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C6127">
            <w:pPr>
              <w:pStyle w:val="13"/>
            </w:pPr>
            <w:r>
              <w:t>14</w:t>
            </w:r>
          </w:p>
        </w:tc>
        <w:tc>
          <w:tcPr>
            <w:tcW w:w="4535" w:type="dxa"/>
            <w:vAlign w:val="center"/>
          </w:tcPr>
          <w:p w14:paraId="040A14C1">
            <w:pPr>
              <w:pStyle w:val="12"/>
            </w:pPr>
          </w:p>
        </w:tc>
        <w:tc>
          <w:tcPr>
            <w:tcW w:w="2126" w:type="dxa"/>
            <w:vAlign w:val="center"/>
          </w:tcPr>
          <w:p w14:paraId="1BF5EEDC">
            <w:pPr>
              <w:pStyle w:val="11"/>
            </w:pPr>
          </w:p>
        </w:tc>
        <w:tc>
          <w:tcPr>
            <w:tcW w:w="4535" w:type="dxa"/>
            <w:vAlign w:val="center"/>
          </w:tcPr>
          <w:p w14:paraId="4BC78D02">
            <w:pPr>
              <w:pStyle w:val="12"/>
            </w:pPr>
            <w:r>
              <w:t>十四、交通运输支出</w:t>
            </w:r>
          </w:p>
        </w:tc>
        <w:tc>
          <w:tcPr>
            <w:tcW w:w="2126" w:type="dxa"/>
            <w:vAlign w:val="center"/>
          </w:tcPr>
          <w:p w14:paraId="227C0130">
            <w:pPr>
              <w:pStyle w:val="11"/>
            </w:pPr>
          </w:p>
        </w:tc>
      </w:tr>
      <w:tr w14:paraId="793D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6722">
            <w:pPr>
              <w:pStyle w:val="13"/>
            </w:pPr>
            <w:r>
              <w:t>15</w:t>
            </w:r>
          </w:p>
        </w:tc>
        <w:tc>
          <w:tcPr>
            <w:tcW w:w="4535" w:type="dxa"/>
            <w:vAlign w:val="center"/>
          </w:tcPr>
          <w:p w14:paraId="618740D7">
            <w:pPr>
              <w:pStyle w:val="12"/>
            </w:pPr>
          </w:p>
        </w:tc>
        <w:tc>
          <w:tcPr>
            <w:tcW w:w="2126" w:type="dxa"/>
            <w:vAlign w:val="center"/>
          </w:tcPr>
          <w:p w14:paraId="6F334B66">
            <w:pPr>
              <w:pStyle w:val="11"/>
            </w:pPr>
          </w:p>
        </w:tc>
        <w:tc>
          <w:tcPr>
            <w:tcW w:w="4535" w:type="dxa"/>
            <w:vAlign w:val="center"/>
          </w:tcPr>
          <w:p w14:paraId="09D1879F">
            <w:pPr>
              <w:pStyle w:val="12"/>
            </w:pPr>
            <w:r>
              <w:t>十五、资源勘探工业信息等支出</w:t>
            </w:r>
          </w:p>
        </w:tc>
        <w:tc>
          <w:tcPr>
            <w:tcW w:w="2126" w:type="dxa"/>
            <w:vAlign w:val="center"/>
          </w:tcPr>
          <w:p w14:paraId="6B252556">
            <w:pPr>
              <w:pStyle w:val="11"/>
            </w:pPr>
          </w:p>
        </w:tc>
      </w:tr>
      <w:tr w14:paraId="7BB9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CCCB">
            <w:pPr>
              <w:pStyle w:val="13"/>
            </w:pPr>
            <w:r>
              <w:t>16</w:t>
            </w:r>
          </w:p>
        </w:tc>
        <w:tc>
          <w:tcPr>
            <w:tcW w:w="4535" w:type="dxa"/>
            <w:vAlign w:val="center"/>
          </w:tcPr>
          <w:p w14:paraId="153B59E2">
            <w:pPr>
              <w:pStyle w:val="12"/>
            </w:pPr>
          </w:p>
        </w:tc>
        <w:tc>
          <w:tcPr>
            <w:tcW w:w="2126" w:type="dxa"/>
            <w:vAlign w:val="center"/>
          </w:tcPr>
          <w:p w14:paraId="4DA9BB9B">
            <w:pPr>
              <w:pStyle w:val="11"/>
            </w:pPr>
          </w:p>
        </w:tc>
        <w:tc>
          <w:tcPr>
            <w:tcW w:w="4535" w:type="dxa"/>
            <w:vAlign w:val="center"/>
          </w:tcPr>
          <w:p w14:paraId="0F4D7C05">
            <w:pPr>
              <w:pStyle w:val="12"/>
            </w:pPr>
            <w:r>
              <w:t>十六、商业服务业等支出</w:t>
            </w:r>
          </w:p>
        </w:tc>
        <w:tc>
          <w:tcPr>
            <w:tcW w:w="2126" w:type="dxa"/>
            <w:vAlign w:val="center"/>
          </w:tcPr>
          <w:p w14:paraId="62B6C1EB">
            <w:pPr>
              <w:pStyle w:val="11"/>
            </w:pPr>
          </w:p>
        </w:tc>
      </w:tr>
      <w:tr w14:paraId="0C82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12A4D">
            <w:pPr>
              <w:pStyle w:val="13"/>
            </w:pPr>
            <w:r>
              <w:t>17</w:t>
            </w:r>
          </w:p>
        </w:tc>
        <w:tc>
          <w:tcPr>
            <w:tcW w:w="4535" w:type="dxa"/>
            <w:vAlign w:val="center"/>
          </w:tcPr>
          <w:p w14:paraId="032A9075">
            <w:pPr>
              <w:pStyle w:val="12"/>
            </w:pPr>
          </w:p>
        </w:tc>
        <w:tc>
          <w:tcPr>
            <w:tcW w:w="2126" w:type="dxa"/>
            <w:vAlign w:val="center"/>
          </w:tcPr>
          <w:p w14:paraId="4EC6B679">
            <w:pPr>
              <w:pStyle w:val="11"/>
            </w:pPr>
          </w:p>
        </w:tc>
        <w:tc>
          <w:tcPr>
            <w:tcW w:w="4535" w:type="dxa"/>
            <w:vAlign w:val="center"/>
          </w:tcPr>
          <w:p w14:paraId="2AFF7CE2">
            <w:pPr>
              <w:pStyle w:val="12"/>
            </w:pPr>
            <w:r>
              <w:t>十七、金融支出</w:t>
            </w:r>
          </w:p>
        </w:tc>
        <w:tc>
          <w:tcPr>
            <w:tcW w:w="2126" w:type="dxa"/>
            <w:vAlign w:val="center"/>
          </w:tcPr>
          <w:p w14:paraId="4AD36CC7">
            <w:pPr>
              <w:pStyle w:val="11"/>
            </w:pPr>
          </w:p>
        </w:tc>
      </w:tr>
      <w:tr w14:paraId="19AD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C0699">
            <w:pPr>
              <w:pStyle w:val="13"/>
            </w:pPr>
            <w:r>
              <w:t>18</w:t>
            </w:r>
          </w:p>
        </w:tc>
        <w:tc>
          <w:tcPr>
            <w:tcW w:w="4535" w:type="dxa"/>
            <w:vAlign w:val="center"/>
          </w:tcPr>
          <w:p w14:paraId="154153AF">
            <w:pPr>
              <w:pStyle w:val="12"/>
            </w:pPr>
          </w:p>
        </w:tc>
        <w:tc>
          <w:tcPr>
            <w:tcW w:w="2126" w:type="dxa"/>
            <w:vAlign w:val="center"/>
          </w:tcPr>
          <w:p w14:paraId="6860C73C">
            <w:pPr>
              <w:pStyle w:val="11"/>
            </w:pPr>
          </w:p>
        </w:tc>
        <w:tc>
          <w:tcPr>
            <w:tcW w:w="4535" w:type="dxa"/>
            <w:vAlign w:val="center"/>
          </w:tcPr>
          <w:p w14:paraId="67AB5626">
            <w:pPr>
              <w:pStyle w:val="12"/>
            </w:pPr>
            <w:r>
              <w:t>十八、援助其他地区支出</w:t>
            </w:r>
          </w:p>
        </w:tc>
        <w:tc>
          <w:tcPr>
            <w:tcW w:w="2126" w:type="dxa"/>
            <w:vAlign w:val="center"/>
          </w:tcPr>
          <w:p w14:paraId="4802B582">
            <w:pPr>
              <w:pStyle w:val="11"/>
            </w:pPr>
          </w:p>
        </w:tc>
      </w:tr>
      <w:tr w14:paraId="5DB19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6DE69">
            <w:pPr>
              <w:pStyle w:val="13"/>
            </w:pPr>
            <w:r>
              <w:t>19</w:t>
            </w:r>
          </w:p>
        </w:tc>
        <w:tc>
          <w:tcPr>
            <w:tcW w:w="4535" w:type="dxa"/>
            <w:vAlign w:val="center"/>
          </w:tcPr>
          <w:p w14:paraId="2685A510">
            <w:pPr>
              <w:pStyle w:val="12"/>
            </w:pPr>
          </w:p>
        </w:tc>
        <w:tc>
          <w:tcPr>
            <w:tcW w:w="2126" w:type="dxa"/>
            <w:vAlign w:val="center"/>
          </w:tcPr>
          <w:p w14:paraId="57E3EB1D">
            <w:pPr>
              <w:pStyle w:val="11"/>
            </w:pPr>
          </w:p>
        </w:tc>
        <w:tc>
          <w:tcPr>
            <w:tcW w:w="4535" w:type="dxa"/>
            <w:vAlign w:val="center"/>
          </w:tcPr>
          <w:p w14:paraId="20655E75">
            <w:pPr>
              <w:pStyle w:val="12"/>
            </w:pPr>
            <w:r>
              <w:t>十九、自然资源海洋气象等支出</w:t>
            </w:r>
          </w:p>
        </w:tc>
        <w:tc>
          <w:tcPr>
            <w:tcW w:w="2126" w:type="dxa"/>
            <w:vAlign w:val="center"/>
          </w:tcPr>
          <w:p w14:paraId="4CF81CA9">
            <w:pPr>
              <w:pStyle w:val="11"/>
            </w:pPr>
          </w:p>
        </w:tc>
      </w:tr>
      <w:tr w14:paraId="24F4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6CE6">
            <w:pPr>
              <w:pStyle w:val="13"/>
            </w:pPr>
            <w:r>
              <w:t>20</w:t>
            </w:r>
          </w:p>
        </w:tc>
        <w:tc>
          <w:tcPr>
            <w:tcW w:w="4535" w:type="dxa"/>
            <w:vAlign w:val="center"/>
          </w:tcPr>
          <w:p w14:paraId="797EC61A">
            <w:pPr>
              <w:pStyle w:val="12"/>
            </w:pPr>
          </w:p>
        </w:tc>
        <w:tc>
          <w:tcPr>
            <w:tcW w:w="2126" w:type="dxa"/>
            <w:vAlign w:val="center"/>
          </w:tcPr>
          <w:p w14:paraId="186B6246">
            <w:pPr>
              <w:pStyle w:val="11"/>
            </w:pPr>
          </w:p>
        </w:tc>
        <w:tc>
          <w:tcPr>
            <w:tcW w:w="4535" w:type="dxa"/>
            <w:vAlign w:val="center"/>
          </w:tcPr>
          <w:p w14:paraId="668C63F1">
            <w:pPr>
              <w:pStyle w:val="12"/>
            </w:pPr>
            <w:r>
              <w:t>二十、住房保障支出</w:t>
            </w:r>
          </w:p>
        </w:tc>
        <w:tc>
          <w:tcPr>
            <w:tcW w:w="2126" w:type="dxa"/>
            <w:vAlign w:val="center"/>
          </w:tcPr>
          <w:p w14:paraId="7BB96289">
            <w:pPr>
              <w:pStyle w:val="11"/>
            </w:pPr>
          </w:p>
        </w:tc>
      </w:tr>
      <w:tr w14:paraId="0683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EF0D5">
            <w:pPr>
              <w:pStyle w:val="13"/>
            </w:pPr>
            <w:r>
              <w:t>21</w:t>
            </w:r>
          </w:p>
        </w:tc>
        <w:tc>
          <w:tcPr>
            <w:tcW w:w="4535" w:type="dxa"/>
            <w:vAlign w:val="center"/>
          </w:tcPr>
          <w:p w14:paraId="19286832">
            <w:pPr>
              <w:pStyle w:val="12"/>
            </w:pPr>
          </w:p>
        </w:tc>
        <w:tc>
          <w:tcPr>
            <w:tcW w:w="2126" w:type="dxa"/>
            <w:vAlign w:val="center"/>
          </w:tcPr>
          <w:p w14:paraId="2B289579">
            <w:pPr>
              <w:pStyle w:val="11"/>
            </w:pPr>
          </w:p>
        </w:tc>
        <w:tc>
          <w:tcPr>
            <w:tcW w:w="4535" w:type="dxa"/>
            <w:vAlign w:val="center"/>
          </w:tcPr>
          <w:p w14:paraId="5687580F">
            <w:pPr>
              <w:pStyle w:val="12"/>
            </w:pPr>
            <w:r>
              <w:t>二十一、粮油物资储备支出</w:t>
            </w:r>
          </w:p>
        </w:tc>
        <w:tc>
          <w:tcPr>
            <w:tcW w:w="2126" w:type="dxa"/>
            <w:vAlign w:val="center"/>
          </w:tcPr>
          <w:p w14:paraId="3DE507DB">
            <w:pPr>
              <w:pStyle w:val="11"/>
            </w:pPr>
          </w:p>
        </w:tc>
      </w:tr>
      <w:tr w14:paraId="3377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E22D">
            <w:pPr>
              <w:pStyle w:val="13"/>
            </w:pPr>
            <w:r>
              <w:t>22</w:t>
            </w:r>
          </w:p>
        </w:tc>
        <w:tc>
          <w:tcPr>
            <w:tcW w:w="4535" w:type="dxa"/>
            <w:vAlign w:val="center"/>
          </w:tcPr>
          <w:p w14:paraId="151079EC">
            <w:pPr>
              <w:pStyle w:val="12"/>
            </w:pPr>
          </w:p>
        </w:tc>
        <w:tc>
          <w:tcPr>
            <w:tcW w:w="2126" w:type="dxa"/>
            <w:vAlign w:val="center"/>
          </w:tcPr>
          <w:p w14:paraId="2E9789A1">
            <w:pPr>
              <w:pStyle w:val="11"/>
            </w:pPr>
          </w:p>
        </w:tc>
        <w:tc>
          <w:tcPr>
            <w:tcW w:w="4535" w:type="dxa"/>
            <w:vAlign w:val="center"/>
          </w:tcPr>
          <w:p w14:paraId="33A2281F">
            <w:pPr>
              <w:pStyle w:val="12"/>
            </w:pPr>
            <w:r>
              <w:t>二十二、国有资本经营预算支出</w:t>
            </w:r>
          </w:p>
        </w:tc>
        <w:tc>
          <w:tcPr>
            <w:tcW w:w="2126" w:type="dxa"/>
            <w:vAlign w:val="center"/>
          </w:tcPr>
          <w:p w14:paraId="2DC7025E">
            <w:pPr>
              <w:pStyle w:val="11"/>
            </w:pPr>
          </w:p>
        </w:tc>
      </w:tr>
      <w:tr w14:paraId="7D8F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C4A9">
            <w:pPr>
              <w:pStyle w:val="13"/>
            </w:pPr>
            <w:r>
              <w:t>23</w:t>
            </w:r>
          </w:p>
        </w:tc>
        <w:tc>
          <w:tcPr>
            <w:tcW w:w="4535" w:type="dxa"/>
            <w:vAlign w:val="center"/>
          </w:tcPr>
          <w:p w14:paraId="2A6FF1A7">
            <w:pPr>
              <w:pStyle w:val="12"/>
            </w:pPr>
          </w:p>
        </w:tc>
        <w:tc>
          <w:tcPr>
            <w:tcW w:w="2126" w:type="dxa"/>
            <w:vAlign w:val="center"/>
          </w:tcPr>
          <w:p w14:paraId="0CC41C5F">
            <w:pPr>
              <w:pStyle w:val="11"/>
            </w:pPr>
          </w:p>
        </w:tc>
        <w:tc>
          <w:tcPr>
            <w:tcW w:w="4535" w:type="dxa"/>
            <w:vAlign w:val="center"/>
          </w:tcPr>
          <w:p w14:paraId="6DFDCBD0">
            <w:pPr>
              <w:pStyle w:val="12"/>
            </w:pPr>
            <w:r>
              <w:t>二十三、灾害防治及应急管理支出</w:t>
            </w:r>
          </w:p>
        </w:tc>
        <w:tc>
          <w:tcPr>
            <w:tcW w:w="2126" w:type="dxa"/>
            <w:vAlign w:val="center"/>
          </w:tcPr>
          <w:p w14:paraId="5B0CE939">
            <w:pPr>
              <w:pStyle w:val="11"/>
            </w:pPr>
          </w:p>
        </w:tc>
      </w:tr>
      <w:tr w14:paraId="6E7E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2C9E">
            <w:pPr>
              <w:pStyle w:val="13"/>
            </w:pPr>
            <w:r>
              <w:t>24</w:t>
            </w:r>
          </w:p>
        </w:tc>
        <w:tc>
          <w:tcPr>
            <w:tcW w:w="4535" w:type="dxa"/>
            <w:vAlign w:val="center"/>
          </w:tcPr>
          <w:p w14:paraId="27BE4768">
            <w:pPr>
              <w:pStyle w:val="12"/>
            </w:pPr>
          </w:p>
        </w:tc>
        <w:tc>
          <w:tcPr>
            <w:tcW w:w="2126" w:type="dxa"/>
            <w:vAlign w:val="center"/>
          </w:tcPr>
          <w:p w14:paraId="4FFD20B9">
            <w:pPr>
              <w:pStyle w:val="11"/>
            </w:pPr>
          </w:p>
        </w:tc>
        <w:tc>
          <w:tcPr>
            <w:tcW w:w="4535" w:type="dxa"/>
            <w:vAlign w:val="center"/>
          </w:tcPr>
          <w:p w14:paraId="6148E6DB">
            <w:pPr>
              <w:pStyle w:val="12"/>
            </w:pPr>
            <w:r>
              <w:t>二十四、预备费</w:t>
            </w:r>
          </w:p>
        </w:tc>
        <w:tc>
          <w:tcPr>
            <w:tcW w:w="2126" w:type="dxa"/>
            <w:vAlign w:val="center"/>
          </w:tcPr>
          <w:p w14:paraId="180FFEE4">
            <w:pPr>
              <w:pStyle w:val="11"/>
            </w:pPr>
          </w:p>
        </w:tc>
      </w:tr>
      <w:tr w14:paraId="7BCC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3FFA">
            <w:pPr>
              <w:pStyle w:val="13"/>
            </w:pPr>
            <w:r>
              <w:t>25</w:t>
            </w:r>
          </w:p>
        </w:tc>
        <w:tc>
          <w:tcPr>
            <w:tcW w:w="4535" w:type="dxa"/>
            <w:vAlign w:val="center"/>
          </w:tcPr>
          <w:p w14:paraId="4FC1B94B">
            <w:pPr>
              <w:pStyle w:val="12"/>
            </w:pPr>
          </w:p>
        </w:tc>
        <w:tc>
          <w:tcPr>
            <w:tcW w:w="2126" w:type="dxa"/>
            <w:vAlign w:val="center"/>
          </w:tcPr>
          <w:p w14:paraId="4AB04717">
            <w:pPr>
              <w:pStyle w:val="11"/>
            </w:pPr>
          </w:p>
        </w:tc>
        <w:tc>
          <w:tcPr>
            <w:tcW w:w="4535" w:type="dxa"/>
            <w:vAlign w:val="center"/>
          </w:tcPr>
          <w:p w14:paraId="7D1A1A62">
            <w:pPr>
              <w:pStyle w:val="12"/>
            </w:pPr>
            <w:r>
              <w:t>二十五、其他支出</w:t>
            </w:r>
          </w:p>
        </w:tc>
        <w:tc>
          <w:tcPr>
            <w:tcW w:w="2126" w:type="dxa"/>
            <w:vAlign w:val="center"/>
          </w:tcPr>
          <w:p w14:paraId="7998594F">
            <w:pPr>
              <w:pStyle w:val="11"/>
            </w:pPr>
          </w:p>
        </w:tc>
      </w:tr>
      <w:tr w14:paraId="6C7A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BD4E7">
            <w:pPr>
              <w:pStyle w:val="13"/>
            </w:pPr>
            <w:r>
              <w:t>26</w:t>
            </w:r>
          </w:p>
        </w:tc>
        <w:tc>
          <w:tcPr>
            <w:tcW w:w="4535" w:type="dxa"/>
            <w:vAlign w:val="center"/>
          </w:tcPr>
          <w:p w14:paraId="35F25802">
            <w:pPr>
              <w:pStyle w:val="12"/>
            </w:pPr>
          </w:p>
        </w:tc>
        <w:tc>
          <w:tcPr>
            <w:tcW w:w="2126" w:type="dxa"/>
            <w:vAlign w:val="center"/>
          </w:tcPr>
          <w:p w14:paraId="353B4AE2">
            <w:pPr>
              <w:pStyle w:val="11"/>
            </w:pPr>
          </w:p>
        </w:tc>
        <w:tc>
          <w:tcPr>
            <w:tcW w:w="4535" w:type="dxa"/>
            <w:vAlign w:val="center"/>
          </w:tcPr>
          <w:p w14:paraId="01CD66F3">
            <w:pPr>
              <w:pStyle w:val="12"/>
            </w:pPr>
            <w:r>
              <w:t>二十六、转移性支出</w:t>
            </w:r>
          </w:p>
        </w:tc>
        <w:tc>
          <w:tcPr>
            <w:tcW w:w="2126" w:type="dxa"/>
            <w:vAlign w:val="center"/>
          </w:tcPr>
          <w:p w14:paraId="4B8354F6">
            <w:pPr>
              <w:pStyle w:val="11"/>
            </w:pPr>
          </w:p>
        </w:tc>
      </w:tr>
      <w:tr w14:paraId="6732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BF2A">
            <w:pPr>
              <w:pStyle w:val="13"/>
            </w:pPr>
            <w:r>
              <w:t>27</w:t>
            </w:r>
          </w:p>
        </w:tc>
        <w:tc>
          <w:tcPr>
            <w:tcW w:w="4535" w:type="dxa"/>
            <w:vAlign w:val="center"/>
          </w:tcPr>
          <w:p w14:paraId="16F2DFD5">
            <w:pPr>
              <w:pStyle w:val="12"/>
            </w:pPr>
          </w:p>
        </w:tc>
        <w:tc>
          <w:tcPr>
            <w:tcW w:w="2126" w:type="dxa"/>
            <w:vAlign w:val="center"/>
          </w:tcPr>
          <w:p w14:paraId="0A3AADC3">
            <w:pPr>
              <w:pStyle w:val="11"/>
            </w:pPr>
          </w:p>
        </w:tc>
        <w:tc>
          <w:tcPr>
            <w:tcW w:w="4535" w:type="dxa"/>
            <w:vAlign w:val="center"/>
          </w:tcPr>
          <w:p w14:paraId="45C3C016">
            <w:pPr>
              <w:pStyle w:val="12"/>
            </w:pPr>
            <w:r>
              <w:t>二十七、债务还本支出</w:t>
            </w:r>
          </w:p>
        </w:tc>
        <w:tc>
          <w:tcPr>
            <w:tcW w:w="2126" w:type="dxa"/>
            <w:vAlign w:val="center"/>
          </w:tcPr>
          <w:p w14:paraId="34C5C84D">
            <w:pPr>
              <w:pStyle w:val="11"/>
            </w:pPr>
          </w:p>
        </w:tc>
      </w:tr>
      <w:tr w14:paraId="00DB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153A">
            <w:pPr>
              <w:pStyle w:val="13"/>
            </w:pPr>
            <w:r>
              <w:t>28</w:t>
            </w:r>
          </w:p>
        </w:tc>
        <w:tc>
          <w:tcPr>
            <w:tcW w:w="4535" w:type="dxa"/>
            <w:vAlign w:val="center"/>
          </w:tcPr>
          <w:p w14:paraId="0B69ADD5">
            <w:pPr>
              <w:pStyle w:val="12"/>
            </w:pPr>
          </w:p>
        </w:tc>
        <w:tc>
          <w:tcPr>
            <w:tcW w:w="2126" w:type="dxa"/>
            <w:vAlign w:val="center"/>
          </w:tcPr>
          <w:p w14:paraId="71AABCAE">
            <w:pPr>
              <w:pStyle w:val="11"/>
            </w:pPr>
          </w:p>
        </w:tc>
        <w:tc>
          <w:tcPr>
            <w:tcW w:w="4535" w:type="dxa"/>
            <w:vAlign w:val="center"/>
          </w:tcPr>
          <w:p w14:paraId="3A3D7D2C">
            <w:pPr>
              <w:pStyle w:val="12"/>
            </w:pPr>
            <w:r>
              <w:t>二十八、债务付息支出</w:t>
            </w:r>
          </w:p>
        </w:tc>
        <w:tc>
          <w:tcPr>
            <w:tcW w:w="2126" w:type="dxa"/>
            <w:vAlign w:val="center"/>
          </w:tcPr>
          <w:p w14:paraId="7DFB370A">
            <w:pPr>
              <w:pStyle w:val="11"/>
            </w:pPr>
          </w:p>
        </w:tc>
      </w:tr>
      <w:tr w14:paraId="7543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EA020">
            <w:pPr>
              <w:pStyle w:val="13"/>
            </w:pPr>
            <w:r>
              <w:t>29</w:t>
            </w:r>
          </w:p>
        </w:tc>
        <w:tc>
          <w:tcPr>
            <w:tcW w:w="4535" w:type="dxa"/>
            <w:vAlign w:val="center"/>
          </w:tcPr>
          <w:p w14:paraId="0E113170">
            <w:pPr>
              <w:pStyle w:val="12"/>
            </w:pPr>
          </w:p>
        </w:tc>
        <w:tc>
          <w:tcPr>
            <w:tcW w:w="2126" w:type="dxa"/>
            <w:vAlign w:val="center"/>
          </w:tcPr>
          <w:p w14:paraId="3F6A8DAF">
            <w:pPr>
              <w:pStyle w:val="11"/>
            </w:pPr>
          </w:p>
        </w:tc>
        <w:tc>
          <w:tcPr>
            <w:tcW w:w="4535" w:type="dxa"/>
            <w:vAlign w:val="center"/>
          </w:tcPr>
          <w:p w14:paraId="4A4676A7">
            <w:pPr>
              <w:pStyle w:val="12"/>
            </w:pPr>
            <w:r>
              <w:t>二十九、债务发行费用支出</w:t>
            </w:r>
          </w:p>
        </w:tc>
        <w:tc>
          <w:tcPr>
            <w:tcW w:w="2126" w:type="dxa"/>
            <w:vAlign w:val="center"/>
          </w:tcPr>
          <w:p w14:paraId="41125788">
            <w:pPr>
              <w:pStyle w:val="11"/>
            </w:pPr>
          </w:p>
        </w:tc>
      </w:tr>
      <w:tr w14:paraId="7A2B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F503">
            <w:pPr>
              <w:pStyle w:val="13"/>
            </w:pPr>
            <w:r>
              <w:t>30</w:t>
            </w:r>
          </w:p>
        </w:tc>
        <w:tc>
          <w:tcPr>
            <w:tcW w:w="4535" w:type="dxa"/>
            <w:vAlign w:val="center"/>
          </w:tcPr>
          <w:p w14:paraId="745A0713">
            <w:pPr>
              <w:pStyle w:val="12"/>
            </w:pPr>
          </w:p>
        </w:tc>
        <w:tc>
          <w:tcPr>
            <w:tcW w:w="2126" w:type="dxa"/>
            <w:vAlign w:val="center"/>
          </w:tcPr>
          <w:p w14:paraId="0E121540">
            <w:pPr>
              <w:pStyle w:val="11"/>
            </w:pPr>
          </w:p>
        </w:tc>
        <w:tc>
          <w:tcPr>
            <w:tcW w:w="4535" w:type="dxa"/>
            <w:vAlign w:val="center"/>
          </w:tcPr>
          <w:p w14:paraId="263B3245">
            <w:pPr>
              <w:pStyle w:val="12"/>
            </w:pPr>
            <w:r>
              <w:t>三十、抗疫特别国债安排的支出</w:t>
            </w:r>
          </w:p>
        </w:tc>
        <w:tc>
          <w:tcPr>
            <w:tcW w:w="2126" w:type="dxa"/>
            <w:vAlign w:val="center"/>
          </w:tcPr>
          <w:p w14:paraId="6ACA070C">
            <w:pPr>
              <w:pStyle w:val="11"/>
            </w:pPr>
          </w:p>
        </w:tc>
      </w:tr>
      <w:tr w14:paraId="2CF4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644ED">
            <w:pPr>
              <w:pStyle w:val="13"/>
            </w:pPr>
            <w:r>
              <w:t>31</w:t>
            </w:r>
          </w:p>
        </w:tc>
        <w:tc>
          <w:tcPr>
            <w:tcW w:w="4535" w:type="dxa"/>
            <w:vAlign w:val="center"/>
          </w:tcPr>
          <w:p w14:paraId="31749D89">
            <w:pPr>
              <w:pStyle w:val="14"/>
            </w:pPr>
            <w:r>
              <w:t>本年收入合计</w:t>
            </w:r>
          </w:p>
        </w:tc>
        <w:tc>
          <w:tcPr>
            <w:tcW w:w="2126" w:type="dxa"/>
            <w:vAlign w:val="center"/>
          </w:tcPr>
          <w:p w14:paraId="776EB524">
            <w:pPr>
              <w:pStyle w:val="15"/>
            </w:pPr>
            <w:r>
              <w:t>2256.08</w:t>
            </w:r>
          </w:p>
        </w:tc>
        <w:tc>
          <w:tcPr>
            <w:tcW w:w="4535" w:type="dxa"/>
            <w:vAlign w:val="center"/>
          </w:tcPr>
          <w:p w14:paraId="4150CE74">
            <w:pPr>
              <w:pStyle w:val="14"/>
            </w:pPr>
            <w:r>
              <w:t>本年支出合计</w:t>
            </w:r>
          </w:p>
        </w:tc>
        <w:tc>
          <w:tcPr>
            <w:tcW w:w="2126" w:type="dxa"/>
            <w:vAlign w:val="center"/>
          </w:tcPr>
          <w:p w14:paraId="7A5E9397">
            <w:pPr>
              <w:pStyle w:val="15"/>
            </w:pPr>
            <w:r>
              <w:t>2256.08</w:t>
            </w:r>
          </w:p>
        </w:tc>
      </w:tr>
      <w:tr w14:paraId="50BF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803C">
            <w:pPr>
              <w:pStyle w:val="13"/>
            </w:pPr>
            <w:r>
              <w:t>32</w:t>
            </w:r>
          </w:p>
        </w:tc>
        <w:tc>
          <w:tcPr>
            <w:tcW w:w="4535" w:type="dxa"/>
            <w:vAlign w:val="center"/>
          </w:tcPr>
          <w:p w14:paraId="29638D6C">
            <w:pPr>
              <w:pStyle w:val="12"/>
            </w:pPr>
            <w:r>
              <w:t>上年结转结余</w:t>
            </w:r>
          </w:p>
        </w:tc>
        <w:tc>
          <w:tcPr>
            <w:tcW w:w="2126" w:type="dxa"/>
            <w:vAlign w:val="center"/>
          </w:tcPr>
          <w:p w14:paraId="17089FF4">
            <w:pPr>
              <w:pStyle w:val="11"/>
            </w:pPr>
          </w:p>
        </w:tc>
        <w:tc>
          <w:tcPr>
            <w:tcW w:w="4535" w:type="dxa"/>
            <w:vAlign w:val="center"/>
          </w:tcPr>
          <w:p w14:paraId="0ECD392C">
            <w:pPr>
              <w:pStyle w:val="12"/>
            </w:pPr>
            <w:r>
              <w:t>年终结转结余</w:t>
            </w:r>
          </w:p>
        </w:tc>
        <w:tc>
          <w:tcPr>
            <w:tcW w:w="2126" w:type="dxa"/>
            <w:vAlign w:val="center"/>
          </w:tcPr>
          <w:p w14:paraId="6DA99DEB">
            <w:pPr>
              <w:pStyle w:val="11"/>
            </w:pPr>
          </w:p>
        </w:tc>
      </w:tr>
      <w:tr w14:paraId="42E2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2C072">
            <w:pPr>
              <w:pStyle w:val="13"/>
            </w:pPr>
            <w:r>
              <w:t>33</w:t>
            </w:r>
          </w:p>
        </w:tc>
        <w:tc>
          <w:tcPr>
            <w:tcW w:w="4535" w:type="dxa"/>
            <w:vAlign w:val="center"/>
          </w:tcPr>
          <w:p w14:paraId="4B470B01">
            <w:pPr>
              <w:pStyle w:val="14"/>
            </w:pPr>
            <w:r>
              <w:t>收入总计</w:t>
            </w:r>
          </w:p>
        </w:tc>
        <w:tc>
          <w:tcPr>
            <w:tcW w:w="2126" w:type="dxa"/>
            <w:vAlign w:val="center"/>
          </w:tcPr>
          <w:p w14:paraId="3FB34F3D">
            <w:pPr>
              <w:pStyle w:val="15"/>
            </w:pPr>
            <w:r>
              <w:t>2256.08</w:t>
            </w:r>
          </w:p>
        </w:tc>
        <w:tc>
          <w:tcPr>
            <w:tcW w:w="4535" w:type="dxa"/>
            <w:vAlign w:val="center"/>
          </w:tcPr>
          <w:p w14:paraId="224126C6">
            <w:pPr>
              <w:pStyle w:val="14"/>
            </w:pPr>
            <w:r>
              <w:t>支出总计</w:t>
            </w:r>
          </w:p>
        </w:tc>
        <w:tc>
          <w:tcPr>
            <w:tcW w:w="2126" w:type="dxa"/>
            <w:vAlign w:val="center"/>
          </w:tcPr>
          <w:p w14:paraId="6BE71D1C">
            <w:pPr>
              <w:pStyle w:val="15"/>
            </w:pPr>
            <w:r>
              <w:t>2256.08</w:t>
            </w:r>
          </w:p>
        </w:tc>
      </w:tr>
    </w:tbl>
    <w:p w14:paraId="1AC7CDE0">
      <w:pPr>
        <w:sectPr>
          <w:pgSz w:w="16840" w:h="11900" w:orient="landscape"/>
          <w:pgMar w:top="1361" w:right="1020" w:bottom="1134" w:left="1020" w:header="720" w:footer="720" w:gutter="0"/>
          <w:cols w:space="720" w:num="1"/>
        </w:sectPr>
      </w:pPr>
    </w:p>
    <w:p w14:paraId="3B013D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4C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4EFE14">
            <w:pPr>
              <w:pStyle w:val="9"/>
            </w:pPr>
            <w:r>
              <w:t>360024隆尧县大张家庄校区</w:t>
            </w:r>
          </w:p>
        </w:tc>
        <w:tc>
          <w:tcPr>
            <w:tcW w:w="3402" w:type="dxa"/>
            <w:gridSpan w:val="3"/>
            <w:tcBorders>
              <w:top w:val="single" w:color="FFFFFF" w:sz="6" w:space="0"/>
              <w:left w:val="single" w:color="FFFFFF" w:sz="6" w:space="0"/>
              <w:right w:val="single" w:color="FFFFFF" w:sz="6" w:space="0"/>
            </w:tcBorders>
            <w:vAlign w:val="center"/>
          </w:tcPr>
          <w:p w14:paraId="3C3764F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12F82CD">
            <w:pPr>
              <w:pStyle w:val="7"/>
            </w:pPr>
            <w:r>
              <w:t>单位：万元</w:t>
            </w:r>
          </w:p>
        </w:tc>
      </w:tr>
      <w:tr w14:paraId="10C3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7D372E">
            <w:pPr>
              <w:pStyle w:val="10"/>
            </w:pPr>
            <w:r>
              <w:t>序号</w:t>
            </w:r>
          </w:p>
        </w:tc>
        <w:tc>
          <w:tcPr>
            <w:tcW w:w="2551" w:type="dxa"/>
            <w:gridSpan w:val="2"/>
            <w:vAlign w:val="center"/>
          </w:tcPr>
          <w:p w14:paraId="183E90C8">
            <w:pPr>
              <w:pStyle w:val="10"/>
            </w:pPr>
            <w:r>
              <w:t>功能分类科目</w:t>
            </w:r>
          </w:p>
        </w:tc>
        <w:tc>
          <w:tcPr>
            <w:tcW w:w="1134" w:type="dxa"/>
            <w:vMerge w:val="restart"/>
            <w:vAlign w:val="center"/>
          </w:tcPr>
          <w:p w14:paraId="20FC5B2A">
            <w:pPr>
              <w:pStyle w:val="10"/>
            </w:pPr>
            <w:r>
              <w:t>合计</w:t>
            </w:r>
          </w:p>
        </w:tc>
        <w:tc>
          <w:tcPr>
            <w:tcW w:w="9072" w:type="dxa"/>
            <w:gridSpan w:val="8"/>
            <w:vAlign w:val="center"/>
          </w:tcPr>
          <w:p w14:paraId="4222EF96">
            <w:pPr>
              <w:pStyle w:val="10"/>
            </w:pPr>
            <w:r>
              <w:t>本年收入</w:t>
            </w:r>
          </w:p>
        </w:tc>
        <w:tc>
          <w:tcPr>
            <w:tcW w:w="1134" w:type="dxa"/>
            <w:vMerge w:val="restart"/>
            <w:vAlign w:val="center"/>
          </w:tcPr>
          <w:p w14:paraId="6E2BD997">
            <w:pPr>
              <w:pStyle w:val="10"/>
            </w:pPr>
            <w:r>
              <w:t>上年结转</w:t>
            </w:r>
          </w:p>
        </w:tc>
      </w:tr>
      <w:tr w14:paraId="39FF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975911"/>
        </w:tc>
        <w:tc>
          <w:tcPr>
            <w:tcW w:w="992" w:type="dxa"/>
            <w:vAlign w:val="center"/>
          </w:tcPr>
          <w:p w14:paraId="52D69A5C">
            <w:pPr>
              <w:pStyle w:val="10"/>
            </w:pPr>
            <w:r>
              <w:t>科目    编码</w:t>
            </w:r>
          </w:p>
        </w:tc>
        <w:tc>
          <w:tcPr>
            <w:tcW w:w="1559" w:type="dxa"/>
            <w:vAlign w:val="center"/>
          </w:tcPr>
          <w:p w14:paraId="7BDCA108">
            <w:pPr>
              <w:pStyle w:val="10"/>
            </w:pPr>
            <w:r>
              <w:t>科目名称</w:t>
            </w:r>
          </w:p>
        </w:tc>
        <w:tc>
          <w:tcPr>
            <w:tcW w:w="1134" w:type="dxa"/>
            <w:vMerge w:val="continue"/>
          </w:tcPr>
          <w:p w14:paraId="0DEAD999"/>
        </w:tc>
        <w:tc>
          <w:tcPr>
            <w:tcW w:w="1134" w:type="dxa"/>
            <w:vAlign w:val="center"/>
          </w:tcPr>
          <w:p w14:paraId="49EE0497">
            <w:pPr>
              <w:pStyle w:val="10"/>
            </w:pPr>
            <w:r>
              <w:t>小计</w:t>
            </w:r>
          </w:p>
        </w:tc>
        <w:tc>
          <w:tcPr>
            <w:tcW w:w="1134" w:type="dxa"/>
            <w:vAlign w:val="center"/>
          </w:tcPr>
          <w:p w14:paraId="234E30C3">
            <w:pPr>
              <w:pStyle w:val="10"/>
            </w:pPr>
            <w:r>
              <w:t>财政拨款 收入</w:t>
            </w:r>
          </w:p>
        </w:tc>
        <w:tc>
          <w:tcPr>
            <w:tcW w:w="1134" w:type="dxa"/>
            <w:vAlign w:val="center"/>
          </w:tcPr>
          <w:p w14:paraId="02F3604F">
            <w:pPr>
              <w:pStyle w:val="10"/>
            </w:pPr>
            <w:r>
              <w:t>财政专户 收入</w:t>
            </w:r>
          </w:p>
        </w:tc>
        <w:tc>
          <w:tcPr>
            <w:tcW w:w="1134" w:type="dxa"/>
            <w:vAlign w:val="center"/>
          </w:tcPr>
          <w:p w14:paraId="3D141EE3">
            <w:pPr>
              <w:pStyle w:val="10"/>
            </w:pPr>
            <w:r>
              <w:t>事业收入</w:t>
            </w:r>
          </w:p>
        </w:tc>
        <w:tc>
          <w:tcPr>
            <w:tcW w:w="1134" w:type="dxa"/>
            <w:vAlign w:val="center"/>
          </w:tcPr>
          <w:p w14:paraId="1B33ED7A">
            <w:pPr>
              <w:pStyle w:val="10"/>
            </w:pPr>
            <w:r>
              <w:t>经营收入</w:t>
            </w:r>
          </w:p>
        </w:tc>
        <w:tc>
          <w:tcPr>
            <w:tcW w:w="1134" w:type="dxa"/>
            <w:vAlign w:val="center"/>
          </w:tcPr>
          <w:p w14:paraId="525DA307">
            <w:pPr>
              <w:pStyle w:val="10"/>
            </w:pPr>
            <w:r>
              <w:t>上级补助收入</w:t>
            </w:r>
          </w:p>
        </w:tc>
        <w:tc>
          <w:tcPr>
            <w:tcW w:w="1134" w:type="dxa"/>
            <w:vAlign w:val="center"/>
          </w:tcPr>
          <w:p w14:paraId="678DD9B7">
            <w:pPr>
              <w:pStyle w:val="10"/>
            </w:pPr>
            <w:r>
              <w:t>附属单位上缴收入</w:t>
            </w:r>
          </w:p>
        </w:tc>
        <w:tc>
          <w:tcPr>
            <w:tcW w:w="1134" w:type="dxa"/>
            <w:vAlign w:val="center"/>
          </w:tcPr>
          <w:p w14:paraId="05E1600D">
            <w:pPr>
              <w:pStyle w:val="10"/>
            </w:pPr>
            <w:r>
              <w:t>其他收入</w:t>
            </w:r>
          </w:p>
        </w:tc>
        <w:tc>
          <w:tcPr>
            <w:tcW w:w="1134" w:type="dxa"/>
            <w:vMerge w:val="continue"/>
          </w:tcPr>
          <w:p w14:paraId="1B08CB12"/>
        </w:tc>
      </w:tr>
      <w:tr w14:paraId="6E7B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4D3A64">
            <w:pPr>
              <w:pStyle w:val="10"/>
            </w:pPr>
            <w:r>
              <w:t>栏次</w:t>
            </w:r>
          </w:p>
        </w:tc>
        <w:tc>
          <w:tcPr>
            <w:tcW w:w="992" w:type="dxa"/>
            <w:vAlign w:val="center"/>
          </w:tcPr>
          <w:p w14:paraId="552A3C18">
            <w:pPr>
              <w:pStyle w:val="10"/>
            </w:pPr>
            <w:r>
              <w:t>1</w:t>
            </w:r>
          </w:p>
        </w:tc>
        <w:tc>
          <w:tcPr>
            <w:tcW w:w="1559" w:type="dxa"/>
            <w:vAlign w:val="center"/>
          </w:tcPr>
          <w:p w14:paraId="527856C6">
            <w:pPr>
              <w:pStyle w:val="10"/>
            </w:pPr>
            <w:r>
              <w:t>2</w:t>
            </w:r>
          </w:p>
        </w:tc>
        <w:tc>
          <w:tcPr>
            <w:tcW w:w="1134" w:type="dxa"/>
            <w:vAlign w:val="center"/>
          </w:tcPr>
          <w:p w14:paraId="60EFB5FD">
            <w:pPr>
              <w:pStyle w:val="10"/>
            </w:pPr>
            <w:r>
              <w:t>3</w:t>
            </w:r>
          </w:p>
        </w:tc>
        <w:tc>
          <w:tcPr>
            <w:tcW w:w="1134" w:type="dxa"/>
            <w:vAlign w:val="center"/>
          </w:tcPr>
          <w:p w14:paraId="7D4A87A2">
            <w:pPr>
              <w:pStyle w:val="10"/>
            </w:pPr>
            <w:r>
              <w:t>4</w:t>
            </w:r>
          </w:p>
        </w:tc>
        <w:tc>
          <w:tcPr>
            <w:tcW w:w="1134" w:type="dxa"/>
            <w:vAlign w:val="center"/>
          </w:tcPr>
          <w:p w14:paraId="663CD407">
            <w:pPr>
              <w:pStyle w:val="10"/>
            </w:pPr>
            <w:r>
              <w:t>5</w:t>
            </w:r>
          </w:p>
        </w:tc>
        <w:tc>
          <w:tcPr>
            <w:tcW w:w="1134" w:type="dxa"/>
            <w:vAlign w:val="center"/>
          </w:tcPr>
          <w:p w14:paraId="58F08987">
            <w:pPr>
              <w:pStyle w:val="10"/>
            </w:pPr>
            <w:r>
              <w:t>6</w:t>
            </w:r>
          </w:p>
        </w:tc>
        <w:tc>
          <w:tcPr>
            <w:tcW w:w="1134" w:type="dxa"/>
            <w:vAlign w:val="center"/>
          </w:tcPr>
          <w:p w14:paraId="71457B97">
            <w:pPr>
              <w:pStyle w:val="10"/>
            </w:pPr>
            <w:r>
              <w:t>7</w:t>
            </w:r>
          </w:p>
        </w:tc>
        <w:tc>
          <w:tcPr>
            <w:tcW w:w="1134" w:type="dxa"/>
            <w:vAlign w:val="center"/>
          </w:tcPr>
          <w:p w14:paraId="0101F31B">
            <w:pPr>
              <w:pStyle w:val="10"/>
            </w:pPr>
            <w:r>
              <w:t>8</w:t>
            </w:r>
          </w:p>
        </w:tc>
        <w:tc>
          <w:tcPr>
            <w:tcW w:w="1134" w:type="dxa"/>
            <w:vAlign w:val="center"/>
          </w:tcPr>
          <w:p w14:paraId="6792769B">
            <w:pPr>
              <w:pStyle w:val="10"/>
            </w:pPr>
            <w:r>
              <w:t>9</w:t>
            </w:r>
          </w:p>
        </w:tc>
        <w:tc>
          <w:tcPr>
            <w:tcW w:w="1134" w:type="dxa"/>
            <w:vAlign w:val="center"/>
          </w:tcPr>
          <w:p w14:paraId="70A7F63E">
            <w:pPr>
              <w:pStyle w:val="10"/>
            </w:pPr>
            <w:r>
              <w:t>10</w:t>
            </w:r>
          </w:p>
        </w:tc>
        <w:tc>
          <w:tcPr>
            <w:tcW w:w="1134" w:type="dxa"/>
            <w:vAlign w:val="center"/>
          </w:tcPr>
          <w:p w14:paraId="5D39FDE6">
            <w:pPr>
              <w:pStyle w:val="10"/>
            </w:pPr>
            <w:r>
              <w:t>11</w:t>
            </w:r>
          </w:p>
        </w:tc>
        <w:tc>
          <w:tcPr>
            <w:tcW w:w="1134" w:type="dxa"/>
            <w:vAlign w:val="center"/>
          </w:tcPr>
          <w:p w14:paraId="6930C2F2">
            <w:pPr>
              <w:pStyle w:val="10"/>
            </w:pPr>
            <w:r>
              <w:t>12</w:t>
            </w:r>
          </w:p>
        </w:tc>
      </w:tr>
      <w:tr w14:paraId="03912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D03DE">
            <w:pPr>
              <w:pStyle w:val="13"/>
            </w:pPr>
            <w:r>
              <w:t>1</w:t>
            </w:r>
          </w:p>
        </w:tc>
        <w:tc>
          <w:tcPr>
            <w:tcW w:w="992" w:type="dxa"/>
            <w:vAlign w:val="center"/>
          </w:tcPr>
          <w:p w14:paraId="14FDB9AE">
            <w:pPr>
              <w:pStyle w:val="16"/>
            </w:pPr>
          </w:p>
        </w:tc>
        <w:tc>
          <w:tcPr>
            <w:tcW w:w="1559" w:type="dxa"/>
            <w:vAlign w:val="center"/>
          </w:tcPr>
          <w:p w14:paraId="7628A029">
            <w:pPr>
              <w:pStyle w:val="14"/>
            </w:pPr>
            <w:r>
              <w:t>合计</w:t>
            </w:r>
          </w:p>
        </w:tc>
        <w:tc>
          <w:tcPr>
            <w:tcW w:w="1134" w:type="dxa"/>
            <w:vAlign w:val="center"/>
          </w:tcPr>
          <w:p w14:paraId="51966969">
            <w:pPr>
              <w:pStyle w:val="15"/>
            </w:pPr>
            <w:r>
              <w:t>2256.08</w:t>
            </w:r>
          </w:p>
        </w:tc>
        <w:tc>
          <w:tcPr>
            <w:tcW w:w="1134" w:type="dxa"/>
            <w:vAlign w:val="center"/>
          </w:tcPr>
          <w:p w14:paraId="3204248D">
            <w:pPr>
              <w:pStyle w:val="15"/>
            </w:pPr>
            <w:r>
              <w:t>2256.08</w:t>
            </w:r>
          </w:p>
        </w:tc>
        <w:tc>
          <w:tcPr>
            <w:tcW w:w="1134" w:type="dxa"/>
            <w:vAlign w:val="center"/>
          </w:tcPr>
          <w:p w14:paraId="230F8E15">
            <w:pPr>
              <w:pStyle w:val="15"/>
            </w:pPr>
            <w:r>
              <w:t>2256.08</w:t>
            </w:r>
          </w:p>
        </w:tc>
        <w:tc>
          <w:tcPr>
            <w:tcW w:w="1134" w:type="dxa"/>
            <w:vAlign w:val="center"/>
          </w:tcPr>
          <w:p w14:paraId="6F556DED">
            <w:pPr>
              <w:pStyle w:val="15"/>
            </w:pPr>
          </w:p>
        </w:tc>
        <w:tc>
          <w:tcPr>
            <w:tcW w:w="1134" w:type="dxa"/>
            <w:vAlign w:val="center"/>
          </w:tcPr>
          <w:p w14:paraId="77D63DB3">
            <w:pPr>
              <w:pStyle w:val="15"/>
            </w:pPr>
          </w:p>
        </w:tc>
        <w:tc>
          <w:tcPr>
            <w:tcW w:w="1134" w:type="dxa"/>
            <w:vAlign w:val="center"/>
          </w:tcPr>
          <w:p w14:paraId="792A59F8">
            <w:pPr>
              <w:pStyle w:val="15"/>
            </w:pPr>
          </w:p>
        </w:tc>
        <w:tc>
          <w:tcPr>
            <w:tcW w:w="1134" w:type="dxa"/>
            <w:vAlign w:val="center"/>
          </w:tcPr>
          <w:p w14:paraId="723459E0">
            <w:pPr>
              <w:pStyle w:val="15"/>
            </w:pPr>
          </w:p>
        </w:tc>
        <w:tc>
          <w:tcPr>
            <w:tcW w:w="1134" w:type="dxa"/>
            <w:vAlign w:val="center"/>
          </w:tcPr>
          <w:p w14:paraId="13F7CDB0">
            <w:pPr>
              <w:pStyle w:val="15"/>
            </w:pPr>
          </w:p>
        </w:tc>
        <w:tc>
          <w:tcPr>
            <w:tcW w:w="1134" w:type="dxa"/>
            <w:vAlign w:val="center"/>
          </w:tcPr>
          <w:p w14:paraId="64A8CF38">
            <w:pPr>
              <w:pStyle w:val="15"/>
            </w:pPr>
          </w:p>
        </w:tc>
        <w:tc>
          <w:tcPr>
            <w:tcW w:w="1134" w:type="dxa"/>
            <w:vAlign w:val="center"/>
          </w:tcPr>
          <w:p w14:paraId="3AA168D5">
            <w:pPr>
              <w:pStyle w:val="15"/>
            </w:pPr>
          </w:p>
        </w:tc>
      </w:tr>
      <w:tr w14:paraId="5E7B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5D3CC">
            <w:pPr>
              <w:pStyle w:val="13"/>
            </w:pPr>
            <w:r>
              <w:t>2</w:t>
            </w:r>
          </w:p>
        </w:tc>
        <w:tc>
          <w:tcPr>
            <w:tcW w:w="992" w:type="dxa"/>
            <w:vAlign w:val="center"/>
          </w:tcPr>
          <w:p w14:paraId="44C77CCE">
            <w:pPr>
              <w:pStyle w:val="12"/>
            </w:pPr>
            <w:r>
              <w:t>205</w:t>
            </w:r>
          </w:p>
        </w:tc>
        <w:tc>
          <w:tcPr>
            <w:tcW w:w="1559" w:type="dxa"/>
            <w:vAlign w:val="center"/>
          </w:tcPr>
          <w:p w14:paraId="16A37FE3">
            <w:pPr>
              <w:pStyle w:val="12"/>
            </w:pPr>
            <w:r>
              <w:t>教育支出</w:t>
            </w:r>
          </w:p>
        </w:tc>
        <w:tc>
          <w:tcPr>
            <w:tcW w:w="1134" w:type="dxa"/>
            <w:vAlign w:val="center"/>
          </w:tcPr>
          <w:p w14:paraId="777FFDDF">
            <w:pPr>
              <w:pStyle w:val="11"/>
            </w:pPr>
            <w:r>
              <w:t>2256.08</w:t>
            </w:r>
          </w:p>
        </w:tc>
        <w:tc>
          <w:tcPr>
            <w:tcW w:w="1134" w:type="dxa"/>
            <w:vAlign w:val="center"/>
          </w:tcPr>
          <w:p w14:paraId="349E13BE">
            <w:pPr>
              <w:pStyle w:val="11"/>
            </w:pPr>
            <w:r>
              <w:t>2256.08</w:t>
            </w:r>
          </w:p>
        </w:tc>
        <w:tc>
          <w:tcPr>
            <w:tcW w:w="1134" w:type="dxa"/>
            <w:vAlign w:val="center"/>
          </w:tcPr>
          <w:p w14:paraId="08A1A2CB">
            <w:pPr>
              <w:pStyle w:val="11"/>
            </w:pPr>
            <w:r>
              <w:t>2256.08</w:t>
            </w:r>
          </w:p>
        </w:tc>
        <w:tc>
          <w:tcPr>
            <w:tcW w:w="1134" w:type="dxa"/>
            <w:vAlign w:val="center"/>
          </w:tcPr>
          <w:p w14:paraId="2280DB03">
            <w:pPr>
              <w:pStyle w:val="11"/>
            </w:pPr>
          </w:p>
        </w:tc>
        <w:tc>
          <w:tcPr>
            <w:tcW w:w="1134" w:type="dxa"/>
            <w:vAlign w:val="center"/>
          </w:tcPr>
          <w:p w14:paraId="5DAD80FF">
            <w:pPr>
              <w:pStyle w:val="11"/>
            </w:pPr>
          </w:p>
        </w:tc>
        <w:tc>
          <w:tcPr>
            <w:tcW w:w="1134" w:type="dxa"/>
            <w:vAlign w:val="center"/>
          </w:tcPr>
          <w:p w14:paraId="112DD719">
            <w:pPr>
              <w:pStyle w:val="11"/>
            </w:pPr>
          </w:p>
        </w:tc>
        <w:tc>
          <w:tcPr>
            <w:tcW w:w="1134" w:type="dxa"/>
            <w:vAlign w:val="center"/>
          </w:tcPr>
          <w:p w14:paraId="159FA7B6">
            <w:pPr>
              <w:pStyle w:val="11"/>
            </w:pPr>
          </w:p>
        </w:tc>
        <w:tc>
          <w:tcPr>
            <w:tcW w:w="1134" w:type="dxa"/>
            <w:vAlign w:val="center"/>
          </w:tcPr>
          <w:p w14:paraId="22F24CC7">
            <w:pPr>
              <w:pStyle w:val="11"/>
            </w:pPr>
          </w:p>
        </w:tc>
        <w:tc>
          <w:tcPr>
            <w:tcW w:w="1134" w:type="dxa"/>
            <w:vAlign w:val="center"/>
          </w:tcPr>
          <w:p w14:paraId="0176F501">
            <w:pPr>
              <w:pStyle w:val="11"/>
            </w:pPr>
          </w:p>
        </w:tc>
        <w:tc>
          <w:tcPr>
            <w:tcW w:w="1134" w:type="dxa"/>
            <w:vAlign w:val="center"/>
          </w:tcPr>
          <w:p w14:paraId="6DA0696E">
            <w:pPr>
              <w:pStyle w:val="11"/>
            </w:pPr>
          </w:p>
        </w:tc>
      </w:tr>
      <w:tr w14:paraId="6CCD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4EC9A">
            <w:pPr>
              <w:pStyle w:val="13"/>
            </w:pPr>
            <w:r>
              <w:t>3</w:t>
            </w:r>
          </w:p>
        </w:tc>
        <w:tc>
          <w:tcPr>
            <w:tcW w:w="992" w:type="dxa"/>
            <w:vAlign w:val="center"/>
          </w:tcPr>
          <w:p w14:paraId="42E3FF74">
            <w:pPr>
              <w:pStyle w:val="12"/>
            </w:pPr>
            <w:r>
              <w:t>20502</w:t>
            </w:r>
          </w:p>
        </w:tc>
        <w:tc>
          <w:tcPr>
            <w:tcW w:w="1559" w:type="dxa"/>
            <w:vAlign w:val="center"/>
          </w:tcPr>
          <w:p w14:paraId="427ABF96">
            <w:pPr>
              <w:pStyle w:val="12"/>
            </w:pPr>
            <w:r>
              <w:t>普通教育</w:t>
            </w:r>
          </w:p>
        </w:tc>
        <w:tc>
          <w:tcPr>
            <w:tcW w:w="1134" w:type="dxa"/>
            <w:vAlign w:val="center"/>
          </w:tcPr>
          <w:p w14:paraId="6E6C7BC2">
            <w:pPr>
              <w:pStyle w:val="11"/>
            </w:pPr>
            <w:r>
              <w:t>2256.08</w:t>
            </w:r>
          </w:p>
        </w:tc>
        <w:tc>
          <w:tcPr>
            <w:tcW w:w="1134" w:type="dxa"/>
            <w:vAlign w:val="center"/>
          </w:tcPr>
          <w:p w14:paraId="6DBE8AF4">
            <w:pPr>
              <w:pStyle w:val="11"/>
            </w:pPr>
            <w:r>
              <w:t>2256.08</w:t>
            </w:r>
          </w:p>
        </w:tc>
        <w:tc>
          <w:tcPr>
            <w:tcW w:w="1134" w:type="dxa"/>
            <w:vAlign w:val="center"/>
          </w:tcPr>
          <w:p w14:paraId="18EAB360">
            <w:pPr>
              <w:pStyle w:val="11"/>
            </w:pPr>
            <w:r>
              <w:t>2256.08</w:t>
            </w:r>
          </w:p>
        </w:tc>
        <w:tc>
          <w:tcPr>
            <w:tcW w:w="1134" w:type="dxa"/>
            <w:vAlign w:val="center"/>
          </w:tcPr>
          <w:p w14:paraId="0940A77B">
            <w:pPr>
              <w:pStyle w:val="11"/>
            </w:pPr>
          </w:p>
        </w:tc>
        <w:tc>
          <w:tcPr>
            <w:tcW w:w="1134" w:type="dxa"/>
            <w:vAlign w:val="center"/>
          </w:tcPr>
          <w:p w14:paraId="1741A894">
            <w:pPr>
              <w:pStyle w:val="11"/>
            </w:pPr>
          </w:p>
        </w:tc>
        <w:tc>
          <w:tcPr>
            <w:tcW w:w="1134" w:type="dxa"/>
            <w:vAlign w:val="center"/>
          </w:tcPr>
          <w:p w14:paraId="3B3F3838">
            <w:pPr>
              <w:pStyle w:val="11"/>
            </w:pPr>
          </w:p>
        </w:tc>
        <w:tc>
          <w:tcPr>
            <w:tcW w:w="1134" w:type="dxa"/>
            <w:vAlign w:val="center"/>
          </w:tcPr>
          <w:p w14:paraId="685B1D73">
            <w:pPr>
              <w:pStyle w:val="11"/>
            </w:pPr>
          </w:p>
        </w:tc>
        <w:tc>
          <w:tcPr>
            <w:tcW w:w="1134" w:type="dxa"/>
            <w:vAlign w:val="center"/>
          </w:tcPr>
          <w:p w14:paraId="4657381E">
            <w:pPr>
              <w:pStyle w:val="11"/>
            </w:pPr>
          </w:p>
        </w:tc>
        <w:tc>
          <w:tcPr>
            <w:tcW w:w="1134" w:type="dxa"/>
            <w:vAlign w:val="center"/>
          </w:tcPr>
          <w:p w14:paraId="4B23BE5A">
            <w:pPr>
              <w:pStyle w:val="11"/>
            </w:pPr>
          </w:p>
        </w:tc>
        <w:tc>
          <w:tcPr>
            <w:tcW w:w="1134" w:type="dxa"/>
            <w:vAlign w:val="center"/>
          </w:tcPr>
          <w:p w14:paraId="1D30117F">
            <w:pPr>
              <w:pStyle w:val="11"/>
            </w:pPr>
          </w:p>
        </w:tc>
      </w:tr>
      <w:tr w14:paraId="01FE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7A83E">
            <w:pPr>
              <w:pStyle w:val="13"/>
            </w:pPr>
            <w:r>
              <w:t>4</w:t>
            </w:r>
          </w:p>
        </w:tc>
        <w:tc>
          <w:tcPr>
            <w:tcW w:w="992" w:type="dxa"/>
            <w:vAlign w:val="center"/>
          </w:tcPr>
          <w:p w14:paraId="0FBA880F">
            <w:pPr>
              <w:pStyle w:val="12"/>
            </w:pPr>
            <w:r>
              <w:t>2050201</w:t>
            </w:r>
          </w:p>
        </w:tc>
        <w:tc>
          <w:tcPr>
            <w:tcW w:w="1559" w:type="dxa"/>
            <w:vAlign w:val="center"/>
          </w:tcPr>
          <w:p w14:paraId="01167C2D">
            <w:pPr>
              <w:pStyle w:val="12"/>
            </w:pPr>
            <w:r>
              <w:t>学前教育</w:t>
            </w:r>
          </w:p>
        </w:tc>
        <w:tc>
          <w:tcPr>
            <w:tcW w:w="1134" w:type="dxa"/>
            <w:vAlign w:val="center"/>
          </w:tcPr>
          <w:p w14:paraId="09C4E072">
            <w:pPr>
              <w:pStyle w:val="11"/>
            </w:pPr>
            <w:r>
              <w:t>153.47</w:t>
            </w:r>
          </w:p>
        </w:tc>
        <w:tc>
          <w:tcPr>
            <w:tcW w:w="1134" w:type="dxa"/>
            <w:vAlign w:val="center"/>
          </w:tcPr>
          <w:p w14:paraId="0134783A">
            <w:pPr>
              <w:pStyle w:val="11"/>
            </w:pPr>
            <w:r>
              <w:t>153.47</w:t>
            </w:r>
          </w:p>
        </w:tc>
        <w:tc>
          <w:tcPr>
            <w:tcW w:w="1134" w:type="dxa"/>
            <w:vAlign w:val="center"/>
          </w:tcPr>
          <w:p w14:paraId="6C479822">
            <w:pPr>
              <w:pStyle w:val="11"/>
            </w:pPr>
            <w:r>
              <w:t>153.47</w:t>
            </w:r>
          </w:p>
        </w:tc>
        <w:tc>
          <w:tcPr>
            <w:tcW w:w="1134" w:type="dxa"/>
            <w:vAlign w:val="center"/>
          </w:tcPr>
          <w:p w14:paraId="3017E47E">
            <w:pPr>
              <w:pStyle w:val="11"/>
            </w:pPr>
          </w:p>
        </w:tc>
        <w:tc>
          <w:tcPr>
            <w:tcW w:w="1134" w:type="dxa"/>
            <w:vAlign w:val="center"/>
          </w:tcPr>
          <w:p w14:paraId="3650EAC0">
            <w:pPr>
              <w:pStyle w:val="11"/>
            </w:pPr>
          </w:p>
        </w:tc>
        <w:tc>
          <w:tcPr>
            <w:tcW w:w="1134" w:type="dxa"/>
            <w:vAlign w:val="center"/>
          </w:tcPr>
          <w:p w14:paraId="5398771B">
            <w:pPr>
              <w:pStyle w:val="11"/>
            </w:pPr>
          </w:p>
        </w:tc>
        <w:tc>
          <w:tcPr>
            <w:tcW w:w="1134" w:type="dxa"/>
            <w:vAlign w:val="center"/>
          </w:tcPr>
          <w:p w14:paraId="3D8CA946">
            <w:pPr>
              <w:pStyle w:val="11"/>
            </w:pPr>
          </w:p>
        </w:tc>
        <w:tc>
          <w:tcPr>
            <w:tcW w:w="1134" w:type="dxa"/>
            <w:vAlign w:val="center"/>
          </w:tcPr>
          <w:p w14:paraId="751EE64F">
            <w:pPr>
              <w:pStyle w:val="11"/>
            </w:pPr>
          </w:p>
        </w:tc>
        <w:tc>
          <w:tcPr>
            <w:tcW w:w="1134" w:type="dxa"/>
            <w:vAlign w:val="center"/>
          </w:tcPr>
          <w:p w14:paraId="1039AB01">
            <w:pPr>
              <w:pStyle w:val="11"/>
            </w:pPr>
          </w:p>
        </w:tc>
        <w:tc>
          <w:tcPr>
            <w:tcW w:w="1134" w:type="dxa"/>
            <w:vAlign w:val="center"/>
          </w:tcPr>
          <w:p w14:paraId="7A290AAB">
            <w:pPr>
              <w:pStyle w:val="11"/>
            </w:pPr>
          </w:p>
        </w:tc>
      </w:tr>
      <w:tr w14:paraId="4D98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19468">
            <w:pPr>
              <w:pStyle w:val="13"/>
            </w:pPr>
            <w:r>
              <w:t>5</w:t>
            </w:r>
          </w:p>
        </w:tc>
        <w:tc>
          <w:tcPr>
            <w:tcW w:w="992" w:type="dxa"/>
            <w:vAlign w:val="center"/>
          </w:tcPr>
          <w:p w14:paraId="28B6207F">
            <w:pPr>
              <w:pStyle w:val="12"/>
            </w:pPr>
            <w:r>
              <w:t>2050202</w:t>
            </w:r>
          </w:p>
        </w:tc>
        <w:tc>
          <w:tcPr>
            <w:tcW w:w="1559" w:type="dxa"/>
            <w:vAlign w:val="center"/>
          </w:tcPr>
          <w:p w14:paraId="5920551A">
            <w:pPr>
              <w:pStyle w:val="12"/>
            </w:pPr>
            <w:r>
              <w:t>小学教育</w:t>
            </w:r>
          </w:p>
        </w:tc>
        <w:tc>
          <w:tcPr>
            <w:tcW w:w="1134" w:type="dxa"/>
            <w:vAlign w:val="center"/>
          </w:tcPr>
          <w:p w14:paraId="26CAC189">
            <w:pPr>
              <w:pStyle w:val="11"/>
            </w:pPr>
            <w:r>
              <w:t>2102.62</w:t>
            </w:r>
          </w:p>
        </w:tc>
        <w:tc>
          <w:tcPr>
            <w:tcW w:w="1134" w:type="dxa"/>
            <w:vAlign w:val="center"/>
          </w:tcPr>
          <w:p w14:paraId="35FB8205">
            <w:pPr>
              <w:pStyle w:val="11"/>
            </w:pPr>
            <w:r>
              <w:t>2102.62</w:t>
            </w:r>
          </w:p>
        </w:tc>
        <w:tc>
          <w:tcPr>
            <w:tcW w:w="1134" w:type="dxa"/>
            <w:vAlign w:val="center"/>
          </w:tcPr>
          <w:p w14:paraId="6587F967">
            <w:pPr>
              <w:pStyle w:val="11"/>
            </w:pPr>
            <w:r>
              <w:t>2102.62</w:t>
            </w:r>
          </w:p>
        </w:tc>
        <w:tc>
          <w:tcPr>
            <w:tcW w:w="1134" w:type="dxa"/>
            <w:vAlign w:val="center"/>
          </w:tcPr>
          <w:p w14:paraId="5BC9E522">
            <w:pPr>
              <w:pStyle w:val="11"/>
            </w:pPr>
          </w:p>
        </w:tc>
        <w:tc>
          <w:tcPr>
            <w:tcW w:w="1134" w:type="dxa"/>
            <w:vAlign w:val="center"/>
          </w:tcPr>
          <w:p w14:paraId="611FFC4A">
            <w:pPr>
              <w:pStyle w:val="11"/>
            </w:pPr>
          </w:p>
        </w:tc>
        <w:tc>
          <w:tcPr>
            <w:tcW w:w="1134" w:type="dxa"/>
            <w:vAlign w:val="center"/>
          </w:tcPr>
          <w:p w14:paraId="3D385BC3">
            <w:pPr>
              <w:pStyle w:val="11"/>
            </w:pPr>
          </w:p>
        </w:tc>
        <w:tc>
          <w:tcPr>
            <w:tcW w:w="1134" w:type="dxa"/>
            <w:vAlign w:val="center"/>
          </w:tcPr>
          <w:p w14:paraId="22947180">
            <w:pPr>
              <w:pStyle w:val="11"/>
            </w:pPr>
          </w:p>
        </w:tc>
        <w:tc>
          <w:tcPr>
            <w:tcW w:w="1134" w:type="dxa"/>
            <w:vAlign w:val="center"/>
          </w:tcPr>
          <w:p w14:paraId="24EC3C4C">
            <w:pPr>
              <w:pStyle w:val="11"/>
            </w:pPr>
          </w:p>
        </w:tc>
        <w:tc>
          <w:tcPr>
            <w:tcW w:w="1134" w:type="dxa"/>
            <w:vAlign w:val="center"/>
          </w:tcPr>
          <w:p w14:paraId="7487BBF1">
            <w:pPr>
              <w:pStyle w:val="11"/>
            </w:pPr>
          </w:p>
        </w:tc>
        <w:tc>
          <w:tcPr>
            <w:tcW w:w="1134" w:type="dxa"/>
            <w:vAlign w:val="center"/>
          </w:tcPr>
          <w:p w14:paraId="2CC5879A">
            <w:pPr>
              <w:pStyle w:val="11"/>
            </w:pPr>
          </w:p>
        </w:tc>
      </w:tr>
    </w:tbl>
    <w:p w14:paraId="0DBF9C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F5BE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4E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842F2F">
            <w:pPr>
              <w:pStyle w:val="9"/>
            </w:pPr>
            <w:r>
              <w:t>360024隆尧县大张家庄校区</w:t>
            </w:r>
          </w:p>
        </w:tc>
        <w:tc>
          <w:tcPr>
            <w:tcW w:w="2722" w:type="dxa"/>
            <w:gridSpan w:val="2"/>
            <w:tcBorders>
              <w:top w:val="single" w:color="FFFFFF" w:sz="6" w:space="0"/>
              <w:left w:val="single" w:color="FFFFFF" w:sz="6" w:space="0"/>
              <w:right w:val="single" w:color="FFFFFF" w:sz="6" w:space="0"/>
            </w:tcBorders>
            <w:vAlign w:val="center"/>
          </w:tcPr>
          <w:p w14:paraId="6D94C7F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B1FFC04">
            <w:pPr>
              <w:pStyle w:val="7"/>
            </w:pPr>
            <w:r>
              <w:t>单位：万元</w:t>
            </w:r>
          </w:p>
        </w:tc>
      </w:tr>
      <w:tr w14:paraId="48CE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0707F">
            <w:pPr>
              <w:pStyle w:val="10"/>
            </w:pPr>
            <w:r>
              <w:t>序号</w:t>
            </w:r>
          </w:p>
        </w:tc>
        <w:tc>
          <w:tcPr>
            <w:tcW w:w="5527" w:type="dxa"/>
            <w:gridSpan w:val="2"/>
            <w:vAlign w:val="center"/>
          </w:tcPr>
          <w:p w14:paraId="14095B74">
            <w:pPr>
              <w:pStyle w:val="10"/>
            </w:pPr>
            <w:r>
              <w:t>功能分类科目</w:t>
            </w:r>
          </w:p>
        </w:tc>
        <w:tc>
          <w:tcPr>
            <w:tcW w:w="1361" w:type="dxa"/>
            <w:vMerge w:val="restart"/>
            <w:vAlign w:val="center"/>
          </w:tcPr>
          <w:p w14:paraId="0FAA7CDA">
            <w:pPr>
              <w:pStyle w:val="10"/>
            </w:pPr>
            <w:r>
              <w:t>合计</w:t>
            </w:r>
          </w:p>
        </w:tc>
        <w:tc>
          <w:tcPr>
            <w:tcW w:w="1361" w:type="dxa"/>
            <w:vMerge w:val="restart"/>
            <w:vAlign w:val="center"/>
          </w:tcPr>
          <w:p w14:paraId="112B34F1">
            <w:pPr>
              <w:pStyle w:val="10"/>
            </w:pPr>
            <w:r>
              <w:t>基本支出</w:t>
            </w:r>
          </w:p>
        </w:tc>
        <w:tc>
          <w:tcPr>
            <w:tcW w:w="1361" w:type="dxa"/>
            <w:vMerge w:val="restart"/>
            <w:vAlign w:val="center"/>
          </w:tcPr>
          <w:p w14:paraId="6F598CCD">
            <w:pPr>
              <w:pStyle w:val="10"/>
            </w:pPr>
            <w:r>
              <w:t>项目支出</w:t>
            </w:r>
          </w:p>
        </w:tc>
        <w:tc>
          <w:tcPr>
            <w:tcW w:w="1361" w:type="dxa"/>
            <w:vMerge w:val="restart"/>
            <w:vAlign w:val="center"/>
          </w:tcPr>
          <w:p w14:paraId="71F36168">
            <w:pPr>
              <w:pStyle w:val="10"/>
            </w:pPr>
            <w:r>
              <w:t>经营支出</w:t>
            </w:r>
          </w:p>
        </w:tc>
        <w:tc>
          <w:tcPr>
            <w:tcW w:w="1361" w:type="dxa"/>
            <w:vMerge w:val="restart"/>
            <w:vAlign w:val="center"/>
          </w:tcPr>
          <w:p w14:paraId="5E075BDB">
            <w:pPr>
              <w:pStyle w:val="10"/>
            </w:pPr>
            <w:r>
              <w:t>上解上级     支出</w:t>
            </w:r>
          </w:p>
        </w:tc>
        <w:tc>
          <w:tcPr>
            <w:tcW w:w="1361" w:type="dxa"/>
            <w:vMerge w:val="restart"/>
            <w:vAlign w:val="center"/>
          </w:tcPr>
          <w:p w14:paraId="67ADF636">
            <w:pPr>
              <w:pStyle w:val="10"/>
            </w:pPr>
            <w:r>
              <w:t>对附属单位补助支出</w:t>
            </w:r>
          </w:p>
        </w:tc>
      </w:tr>
      <w:tr w14:paraId="4884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C22F00"/>
        </w:tc>
        <w:tc>
          <w:tcPr>
            <w:tcW w:w="992" w:type="dxa"/>
            <w:vAlign w:val="center"/>
          </w:tcPr>
          <w:p w14:paraId="23C62863">
            <w:pPr>
              <w:pStyle w:val="10"/>
            </w:pPr>
            <w:r>
              <w:t>科目    编码</w:t>
            </w:r>
          </w:p>
        </w:tc>
        <w:tc>
          <w:tcPr>
            <w:tcW w:w="4535" w:type="dxa"/>
            <w:vAlign w:val="center"/>
          </w:tcPr>
          <w:p w14:paraId="290A35D8">
            <w:pPr>
              <w:pStyle w:val="10"/>
            </w:pPr>
            <w:r>
              <w:t>科目名称</w:t>
            </w:r>
          </w:p>
        </w:tc>
        <w:tc>
          <w:tcPr>
            <w:tcW w:w="1361" w:type="dxa"/>
            <w:vMerge w:val="continue"/>
          </w:tcPr>
          <w:p w14:paraId="05AE2038"/>
        </w:tc>
        <w:tc>
          <w:tcPr>
            <w:tcW w:w="1361" w:type="dxa"/>
            <w:vMerge w:val="continue"/>
          </w:tcPr>
          <w:p w14:paraId="5CFCAE59"/>
        </w:tc>
        <w:tc>
          <w:tcPr>
            <w:tcW w:w="1361" w:type="dxa"/>
            <w:vMerge w:val="continue"/>
          </w:tcPr>
          <w:p w14:paraId="069E8B3A"/>
        </w:tc>
        <w:tc>
          <w:tcPr>
            <w:tcW w:w="1361" w:type="dxa"/>
            <w:vMerge w:val="continue"/>
          </w:tcPr>
          <w:p w14:paraId="2A6FB313"/>
        </w:tc>
        <w:tc>
          <w:tcPr>
            <w:tcW w:w="1361" w:type="dxa"/>
            <w:vMerge w:val="continue"/>
          </w:tcPr>
          <w:p w14:paraId="1C495438"/>
        </w:tc>
        <w:tc>
          <w:tcPr>
            <w:tcW w:w="1361" w:type="dxa"/>
            <w:vMerge w:val="continue"/>
          </w:tcPr>
          <w:p w14:paraId="6F2295AB"/>
        </w:tc>
      </w:tr>
      <w:tr w14:paraId="7E71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532165">
            <w:pPr>
              <w:pStyle w:val="10"/>
            </w:pPr>
            <w:r>
              <w:t>栏次</w:t>
            </w:r>
          </w:p>
        </w:tc>
        <w:tc>
          <w:tcPr>
            <w:tcW w:w="992" w:type="dxa"/>
            <w:vAlign w:val="center"/>
          </w:tcPr>
          <w:p w14:paraId="36BB9662">
            <w:pPr>
              <w:pStyle w:val="10"/>
            </w:pPr>
            <w:r>
              <w:t>1</w:t>
            </w:r>
          </w:p>
        </w:tc>
        <w:tc>
          <w:tcPr>
            <w:tcW w:w="4535" w:type="dxa"/>
            <w:vAlign w:val="center"/>
          </w:tcPr>
          <w:p w14:paraId="7D508E4A">
            <w:pPr>
              <w:pStyle w:val="10"/>
            </w:pPr>
            <w:r>
              <w:t>2</w:t>
            </w:r>
          </w:p>
        </w:tc>
        <w:tc>
          <w:tcPr>
            <w:tcW w:w="1361" w:type="dxa"/>
            <w:vAlign w:val="center"/>
          </w:tcPr>
          <w:p w14:paraId="2E435D72">
            <w:pPr>
              <w:pStyle w:val="10"/>
            </w:pPr>
            <w:r>
              <w:t>3</w:t>
            </w:r>
          </w:p>
        </w:tc>
        <w:tc>
          <w:tcPr>
            <w:tcW w:w="1361" w:type="dxa"/>
            <w:vAlign w:val="center"/>
          </w:tcPr>
          <w:p w14:paraId="5B7CD589">
            <w:pPr>
              <w:pStyle w:val="10"/>
            </w:pPr>
            <w:r>
              <w:t>4</w:t>
            </w:r>
          </w:p>
        </w:tc>
        <w:tc>
          <w:tcPr>
            <w:tcW w:w="1361" w:type="dxa"/>
            <w:vAlign w:val="center"/>
          </w:tcPr>
          <w:p w14:paraId="768E7459">
            <w:pPr>
              <w:pStyle w:val="10"/>
            </w:pPr>
            <w:r>
              <w:t>5</w:t>
            </w:r>
          </w:p>
        </w:tc>
        <w:tc>
          <w:tcPr>
            <w:tcW w:w="1361" w:type="dxa"/>
            <w:vAlign w:val="center"/>
          </w:tcPr>
          <w:p w14:paraId="22034CF0">
            <w:pPr>
              <w:pStyle w:val="10"/>
            </w:pPr>
            <w:r>
              <w:t>6</w:t>
            </w:r>
          </w:p>
        </w:tc>
        <w:tc>
          <w:tcPr>
            <w:tcW w:w="1361" w:type="dxa"/>
            <w:vAlign w:val="center"/>
          </w:tcPr>
          <w:p w14:paraId="21276604">
            <w:pPr>
              <w:pStyle w:val="10"/>
            </w:pPr>
            <w:r>
              <w:t>7</w:t>
            </w:r>
          </w:p>
        </w:tc>
        <w:tc>
          <w:tcPr>
            <w:tcW w:w="1361" w:type="dxa"/>
            <w:vAlign w:val="center"/>
          </w:tcPr>
          <w:p w14:paraId="2CD65097">
            <w:pPr>
              <w:pStyle w:val="10"/>
            </w:pPr>
            <w:r>
              <w:t>8</w:t>
            </w:r>
          </w:p>
        </w:tc>
      </w:tr>
      <w:tr w14:paraId="2EFE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858E3">
            <w:pPr>
              <w:pStyle w:val="13"/>
            </w:pPr>
            <w:r>
              <w:t>1</w:t>
            </w:r>
          </w:p>
        </w:tc>
        <w:tc>
          <w:tcPr>
            <w:tcW w:w="992" w:type="dxa"/>
            <w:vAlign w:val="center"/>
          </w:tcPr>
          <w:p w14:paraId="3ECECB32">
            <w:pPr>
              <w:pStyle w:val="16"/>
            </w:pPr>
          </w:p>
        </w:tc>
        <w:tc>
          <w:tcPr>
            <w:tcW w:w="4535" w:type="dxa"/>
            <w:vAlign w:val="center"/>
          </w:tcPr>
          <w:p w14:paraId="40255082">
            <w:pPr>
              <w:pStyle w:val="14"/>
            </w:pPr>
            <w:r>
              <w:t>合计</w:t>
            </w:r>
          </w:p>
        </w:tc>
        <w:tc>
          <w:tcPr>
            <w:tcW w:w="1361" w:type="dxa"/>
            <w:vAlign w:val="center"/>
          </w:tcPr>
          <w:p w14:paraId="2EC8FFEC">
            <w:pPr>
              <w:pStyle w:val="15"/>
            </w:pPr>
            <w:r>
              <w:t>2256.08</w:t>
            </w:r>
          </w:p>
        </w:tc>
        <w:tc>
          <w:tcPr>
            <w:tcW w:w="1361" w:type="dxa"/>
            <w:vAlign w:val="center"/>
          </w:tcPr>
          <w:p w14:paraId="076F94DE">
            <w:pPr>
              <w:pStyle w:val="15"/>
            </w:pPr>
            <w:r>
              <w:t>1592.19</w:t>
            </w:r>
          </w:p>
        </w:tc>
        <w:tc>
          <w:tcPr>
            <w:tcW w:w="1361" w:type="dxa"/>
            <w:vAlign w:val="center"/>
          </w:tcPr>
          <w:p w14:paraId="754E8562">
            <w:pPr>
              <w:pStyle w:val="15"/>
            </w:pPr>
            <w:r>
              <w:t>663.89</w:t>
            </w:r>
          </w:p>
        </w:tc>
        <w:tc>
          <w:tcPr>
            <w:tcW w:w="1361" w:type="dxa"/>
            <w:vAlign w:val="center"/>
          </w:tcPr>
          <w:p w14:paraId="7CDFBCC3">
            <w:pPr>
              <w:pStyle w:val="15"/>
            </w:pPr>
          </w:p>
        </w:tc>
        <w:tc>
          <w:tcPr>
            <w:tcW w:w="1361" w:type="dxa"/>
            <w:vAlign w:val="center"/>
          </w:tcPr>
          <w:p w14:paraId="153F23E0">
            <w:pPr>
              <w:pStyle w:val="15"/>
            </w:pPr>
          </w:p>
        </w:tc>
        <w:tc>
          <w:tcPr>
            <w:tcW w:w="1361" w:type="dxa"/>
            <w:vAlign w:val="center"/>
          </w:tcPr>
          <w:p w14:paraId="36FFAC26">
            <w:pPr>
              <w:pStyle w:val="15"/>
            </w:pPr>
          </w:p>
        </w:tc>
      </w:tr>
      <w:tr w14:paraId="147E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BB0D">
            <w:pPr>
              <w:pStyle w:val="13"/>
            </w:pPr>
            <w:r>
              <w:t>2</w:t>
            </w:r>
          </w:p>
        </w:tc>
        <w:tc>
          <w:tcPr>
            <w:tcW w:w="992" w:type="dxa"/>
            <w:vAlign w:val="center"/>
          </w:tcPr>
          <w:p w14:paraId="55C4A071">
            <w:pPr>
              <w:pStyle w:val="12"/>
            </w:pPr>
            <w:r>
              <w:t>205</w:t>
            </w:r>
          </w:p>
        </w:tc>
        <w:tc>
          <w:tcPr>
            <w:tcW w:w="4535" w:type="dxa"/>
            <w:vAlign w:val="center"/>
          </w:tcPr>
          <w:p w14:paraId="0CD0AB0C">
            <w:pPr>
              <w:pStyle w:val="12"/>
            </w:pPr>
            <w:r>
              <w:t>教育支出</w:t>
            </w:r>
          </w:p>
        </w:tc>
        <w:tc>
          <w:tcPr>
            <w:tcW w:w="1361" w:type="dxa"/>
            <w:vAlign w:val="center"/>
          </w:tcPr>
          <w:p w14:paraId="4BF5FCA8">
            <w:pPr>
              <w:pStyle w:val="11"/>
            </w:pPr>
            <w:r>
              <w:t>2256.08</w:t>
            </w:r>
          </w:p>
        </w:tc>
        <w:tc>
          <w:tcPr>
            <w:tcW w:w="1361" w:type="dxa"/>
            <w:vAlign w:val="center"/>
          </w:tcPr>
          <w:p w14:paraId="496CB7E0">
            <w:pPr>
              <w:pStyle w:val="11"/>
            </w:pPr>
            <w:r>
              <w:t>1592.19</w:t>
            </w:r>
          </w:p>
        </w:tc>
        <w:tc>
          <w:tcPr>
            <w:tcW w:w="1361" w:type="dxa"/>
            <w:vAlign w:val="center"/>
          </w:tcPr>
          <w:p w14:paraId="70867866">
            <w:pPr>
              <w:pStyle w:val="11"/>
            </w:pPr>
            <w:r>
              <w:t>663.89</w:t>
            </w:r>
          </w:p>
        </w:tc>
        <w:tc>
          <w:tcPr>
            <w:tcW w:w="1361" w:type="dxa"/>
            <w:vAlign w:val="center"/>
          </w:tcPr>
          <w:p w14:paraId="5870175F">
            <w:pPr>
              <w:pStyle w:val="11"/>
            </w:pPr>
          </w:p>
        </w:tc>
        <w:tc>
          <w:tcPr>
            <w:tcW w:w="1361" w:type="dxa"/>
            <w:vAlign w:val="center"/>
          </w:tcPr>
          <w:p w14:paraId="1E128022">
            <w:pPr>
              <w:pStyle w:val="11"/>
            </w:pPr>
          </w:p>
        </w:tc>
        <w:tc>
          <w:tcPr>
            <w:tcW w:w="1361" w:type="dxa"/>
            <w:vAlign w:val="center"/>
          </w:tcPr>
          <w:p w14:paraId="69A4DF3F">
            <w:pPr>
              <w:pStyle w:val="11"/>
            </w:pPr>
          </w:p>
        </w:tc>
      </w:tr>
      <w:tr w14:paraId="4C93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1F11">
            <w:pPr>
              <w:pStyle w:val="13"/>
            </w:pPr>
            <w:r>
              <w:t>3</w:t>
            </w:r>
          </w:p>
        </w:tc>
        <w:tc>
          <w:tcPr>
            <w:tcW w:w="992" w:type="dxa"/>
            <w:vAlign w:val="center"/>
          </w:tcPr>
          <w:p w14:paraId="6BED84BA">
            <w:pPr>
              <w:pStyle w:val="12"/>
            </w:pPr>
            <w:r>
              <w:t>20502</w:t>
            </w:r>
          </w:p>
        </w:tc>
        <w:tc>
          <w:tcPr>
            <w:tcW w:w="4535" w:type="dxa"/>
            <w:vAlign w:val="center"/>
          </w:tcPr>
          <w:p w14:paraId="2AB6450C">
            <w:pPr>
              <w:pStyle w:val="12"/>
            </w:pPr>
            <w:r>
              <w:t>普通教育</w:t>
            </w:r>
          </w:p>
        </w:tc>
        <w:tc>
          <w:tcPr>
            <w:tcW w:w="1361" w:type="dxa"/>
            <w:vAlign w:val="center"/>
          </w:tcPr>
          <w:p w14:paraId="266DA11D">
            <w:pPr>
              <w:pStyle w:val="11"/>
            </w:pPr>
            <w:r>
              <w:t>2256.08</w:t>
            </w:r>
          </w:p>
        </w:tc>
        <w:tc>
          <w:tcPr>
            <w:tcW w:w="1361" w:type="dxa"/>
            <w:vAlign w:val="center"/>
          </w:tcPr>
          <w:p w14:paraId="546C27FE">
            <w:pPr>
              <w:pStyle w:val="11"/>
            </w:pPr>
            <w:r>
              <w:t>1592.19</w:t>
            </w:r>
          </w:p>
        </w:tc>
        <w:tc>
          <w:tcPr>
            <w:tcW w:w="1361" w:type="dxa"/>
            <w:vAlign w:val="center"/>
          </w:tcPr>
          <w:p w14:paraId="6DB9092E">
            <w:pPr>
              <w:pStyle w:val="11"/>
            </w:pPr>
            <w:r>
              <w:t>663.89</w:t>
            </w:r>
          </w:p>
        </w:tc>
        <w:tc>
          <w:tcPr>
            <w:tcW w:w="1361" w:type="dxa"/>
            <w:vAlign w:val="center"/>
          </w:tcPr>
          <w:p w14:paraId="6C260657">
            <w:pPr>
              <w:pStyle w:val="11"/>
            </w:pPr>
          </w:p>
        </w:tc>
        <w:tc>
          <w:tcPr>
            <w:tcW w:w="1361" w:type="dxa"/>
            <w:vAlign w:val="center"/>
          </w:tcPr>
          <w:p w14:paraId="1AB2CDF7">
            <w:pPr>
              <w:pStyle w:val="11"/>
            </w:pPr>
          </w:p>
        </w:tc>
        <w:tc>
          <w:tcPr>
            <w:tcW w:w="1361" w:type="dxa"/>
            <w:vAlign w:val="center"/>
          </w:tcPr>
          <w:p w14:paraId="6B62BBEB">
            <w:pPr>
              <w:pStyle w:val="11"/>
            </w:pPr>
          </w:p>
        </w:tc>
      </w:tr>
      <w:tr w14:paraId="1FA6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B197">
            <w:pPr>
              <w:pStyle w:val="13"/>
            </w:pPr>
            <w:r>
              <w:t>4</w:t>
            </w:r>
          </w:p>
        </w:tc>
        <w:tc>
          <w:tcPr>
            <w:tcW w:w="992" w:type="dxa"/>
            <w:vAlign w:val="center"/>
          </w:tcPr>
          <w:p w14:paraId="09CC50C8">
            <w:pPr>
              <w:pStyle w:val="12"/>
            </w:pPr>
            <w:r>
              <w:t>2050201</w:t>
            </w:r>
          </w:p>
        </w:tc>
        <w:tc>
          <w:tcPr>
            <w:tcW w:w="4535" w:type="dxa"/>
            <w:vAlign w:val="center"/>
          </w:tcPr>
          <w:p w14:paraId="6DEED96D">
            <w:pPr>
              <w:pStyle w:val="12"/>
            </w:pPr>
            <w:r>
              <w:t>学前教育</w:t>
            </w:r>
          </w:p>
        </w:tc>
        <w:tc>
          <w:tcPr>
            <w:tcW w:w="1361" w:type="dxa"/>
            <w:vAlign w:val="center"/>
          </w:tcPr>
          <w:p w14:paraId="47BBDF5F">
            <w:pPr>
              <w:pStyle w:val="11"/>
            </w:pPr>
            <w:r>
              <w:t>153.47</w:t>
            </w:r>
          </w:p>
        </w:tc>
        <w:tc>
          <w:tcPr>
            <w:tcW w:w="1361" w:type="dxa"/>
            <w:vAlign w:val="center"/>
          </w:tcPr>
          <w:p w14:paraId="40A38EE2">
            <w:pPr>
              <w:pStyle w:val="11"/>
            </w:pPr>
          </w:p>
        </w:tc>
        <w:tc>
          <w:tcPr>
            <w:tcW w:w="1361" w:type="dxa"/>
            <w:vAlign w:val="center"/>
          </w:tcPr>
          <w:p w14:paraId="35E1F161">
            <w:pPr>
              <w:pStyle w:val="11"/>
            </w:pPr>
            <w:r>
              <w:t>153.47</w:t>
            </w:r>
          </w:p>
        </w:tc>
        <w:tc>
          <w:tcPr>
            <w:tcW w:w="1361" w:type="dxa"/>
            <w:vAlign w:val="center"/>
          </w:tcPr>
          <w:p w14:paraId="1EA90540">
            <w:pPr>
              <w:pStyle w:val="11"/>
            </w:pPr>
          </w:p>
        </w:tc>
        <w:tc>
          <w:tcPr>
            <w:tcW w:w="1361" w:type="dxa"/>
            <w:vAlign w:val="center"/>
          </w:tcPr>
          <w:p w14:paraId="405A179D">
            <w:pPr>
              <w:pStyle w:val="11"/>
            </w:pPr>
          </w:p>
        </w:tc>
        <w:tc>
          <w:tcPr>
            <w:tcW w:w="1361" w:type="dxa"/>
            <w:vAlign w:val="center"/>
          </w:tcPr>
          <w:p w14:paraId="3CBAAE66">
            <w:pPr>
              <w:pStyle w:val="11"/>
            </w:pPr>
          </w:p>
        </w:tc>
      </w:tr>
      <w:tr w14:paraId="0EF7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67E19">
            <w:pPr>
              <w:pStyle w:val="13"/>
            </w:pPr>
            <w:r>
              <w:t>5</w:t>
            </w:r>
          </w:p>
        </w:tc>
        <w:tc>
          <w:tcPr>
            <w:tcW w:w="992" w:type="dxa"/>
            <w:vAlign w:val="center"/>
          </w:tcPr>
          <w:p w14:paraId="7A14D02F">
            <w:pPr>
              <w:pStyle w:val="12"/>
            </w:pPr>
            <w:r>
              <w:t>2050202</w:t>
            </w:r>
          </w:p>
        </w:tc>
        <w:tc>
          <w:tcPr>
            <w:tcW w:w="4535" w:type="dxa"/>
            <w:vAlign w:val="center"/>
          </w:tcPr>
          <w:p w14:paraId="029AE325">
            <w:pPr>
              <w:pStyle w:val="12"/>
            </w:pPr>
            <w:r>
              <w:t>小学教育</w:t>
            </w:r>
          </w:p>
        </w:tc>
        <w:tc>
          <w:tcPr>
            <w:tcW w:w="1361" w:type="dxa"/>
            <w:vAlign w:val="center"/>
          </w:tcPr>
          <w:p w14:paraId="6DAA151B">
            <w:pPr>
              <w:pStyle w:val="11"/>
            </w:pPr>
            <w:r>
              <w:t>2102.62</w:t>
            </w:r>
          </w:p>
        </w:tc>
        <w:tc>
          <w:tcPr>
            <w:tcW w:w="1361" w:type="dxa"/>
            <w:vAlign w:val="center"/>
          </w:tcPr>
          <w:p w14:paraId="390240DA">
            <w:pPr>
              <w:pStyle w:val="11"/>
            </w:pPr>
            <w:r>
              <w:t>1592.19</w:t>
            </w:r>
          </w:p>
        </w:tc>
        <w:tc>
          <w:tcPr>
            <w:tcW w:w="1361" w:type="dxa"/>
            <w:vAlign w:val="center"/>
          </w:tcPr>
          <w:p w14:paraId="52103A12">
            <w:pPr>
              <w:pStyle w:val="11"/>
            </w:pPr>
            <w:r>
              <w:t>510.43</w:t>
            </w:r>
          </w:p>
        </w:tc>
        <w:tc>
          <w:tcPr>
            <w:tcW w:w="1361" w:type="dxa"/>
            <w:vAlign w:val="center"/>
          </w:tcPr>
          <w:p w14:paraId="4749A613">
            <w:pPr>
              <w:pStyle w:val="11"/>
            </w:pPr>
          </w:p>
        </w:tc>
        <w:tc>
          <w:tcPr>
            <w:tcW w:w="1361" w:type="dxa"/>
            <w:vAlign w:val="center"/>
          </w:tcPr>
          <w:p w14:paraId="74BDF8FD">
            <w:pPr>
              <w:pStyle w:val="11"/>
            </w:pPr>
          </w:p>
        </w:tc>
        <w:tc>
          <w:tcPr>
            <w:tcW w:w="1361" w:type="dxa"/>
            <w:vAlign w:val="center"/>
          </w:tcPr>
          <w:p w14:paraId="700D2A02">
            <w:pPr>
              <w:pStyle w:val="11"/>
            </w:pPr>
          </w:p>
        </w:tc>
      </w:tr>
    </w:tbl>
    <w:p w14:paraId="474A6C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60D7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AF6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775391">
            <w:pPr>
              <w:pStyle w:val="9"/>
            </w:pPr>
            <w:r>
              <w:t>360024隆尧县大张家庄校区</w:t>
            </w:r>
          </w:p>
        </w:tc>
        <w:tc>
          <w:tcPr>
            <w:tcW w:w="3402" w:type="dxa"/>
            <w:tcBorders>
              <w:top w:val="single" w:color="FFFFFF" w:sz="6" w:space="0"/>
              <w:left w:val="single" w:color="FFFFFF" w:sz="6" w:space="0"/>
              <w:right w:val="single" w:color="FFFFFF" w:sz="6" w:space="0"/>
            </w:tcBorders>
            <w:vAlign w:val="center"/>
          </w:tcPr>
          <w:p w14:paraId="34C0DC9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CD29FC">
            <w:pPr>
              <w:pStyle w:val="7"/>
            </w:pPr>
            <w:r>
              <w:t>单位：万元</w:t>
            </w:r>
          </w:p>
        </w:tc>
      </w:tr>
      <w:tr w14:paraId="08E4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86359">
            <w:pPr>
              <w:pStyle w:val="10"/>
            </w:pPr>
            <w:r>
              <w:t>序号</w:t>
            </w:r>
          </w:p>
        </w:tc>
        <w:tc>
          <w:tcPr>
            <w:tcW w:w="4876" w:type="dxa"/>
            <w:gridSpan w:val="2"/>
            <w:vAlign w:val="center"/>
          </w:tcPr>
          <w:p w14:paraId="40386043">
            <w:pPr>
              <w:pStyle w:val="10"/>
            </w:pPr>
            <w:r>
              <w:t>收入</w:t>
            </w:r>
          </w:p>
        </w:tc>
        <w:tc>
          <w:tcPr>
            <w:tcW w:w="9298" w:type="dxa"/>
            <w:gridSpan w:val="5"/>
            <w:vAlign w:val="center"/>
          </w:tcPr>
          <w:p w14:paraId="48222B78">
            <w:pPr>
              <w:pStyle w:val="10"/>
            </w:pPr>
            <w:r>
              <w:t>支出</w:t>
            </w:r>
          </w:p>
        </w:tc>
      </w:tr>
      <w:tr w14:paraId="3412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4D591"/>
        </w:tc>
        <w:tc>
          <w:tcPr>
            <w:tcW w:w="3402" w:type="dxa"/>
            <w:vAlign w:val="center"/>
          </w:tcPr>
          <w:p w14:paraId="6DD42C87">
            <w:pPr>
              <w:pStyle w:val="10"/>
            </w:pPr>
            <w:r>
              <w:t>项  目</w:t>
            </w:r>
          </w:p>
        </w:tc>
        <w:tc>
          <w:tcPr>
            <w:tcW w:w="1474" w:type="dxa"/>
            <w:vAlign w:val="center"/>
          </w:tcPr>
          <w:p w14:paraId="7A7BF5EA">
            <w:pPr>
              <w:pStyle w:val="10"/>
            </w:pPr>
            <w:r>
              <w:t>金额</w:t>
            </w:r>
          </w:p>
        </w:tc>
        <w:tc>
          <w:tcPr>
            <w:tcW w:w="3402" w:type="dxa"/>
            <w:vAlign w:val="center"/>
          </w:tcPr>
          <w:p w14:paraId="126499C2">
            <w:pPr>
              <w:pStyle w:val="10"/>
            </w:pPr>
            <w:r>
              <w:t>项  目</w:t>
            </w:r>
          </w:p>
        </w:tc>
        <w:tc>
          <w:tcPr>
            <w:tcW w:w="1474" w:type="dxa"/>
            <w:vAlign w:val="center"/>
          </w:tcPr>
          <w:p w14:paraId="4A4B6209">
            <w:pPr>
              <w:pStyle w:val="10"/>
            </w:pPr>
            <w:r>
              <w:t>合计</w:t>
            </w:r>
          </w:p>
        </w:tc>
        <w:tc>
          <w:tcPr>
            <w:tcW w:w="1474" w:type="dxa"/>
            <w:vAlign w:val="center"/>
          </w:tcPr>
          <w:p w14:paraId="2827CD1E">
            <w:pPr>
              <w:pStyle w:val="10"/>
            </w:pPr>
            <w:r>
              <w:t>一般公共预算财政拨款</w:t>
            </w:r>
          </w:p>
        </w:tc>
        <w:tc>
          <w:tcPr>
            <w:tcW w:w="1474" w:type="dxa"/>
            <w:vAlign w:val="center"/>
          </w:tcPr>
          <w:p w14:paraId="61BCE118">
            <w:pPr>
              <w:pStyle w:val="10"/>
            </w:pPr>
            <w:r>
              <w:t>政府性基金预算财政    拨款</w:t>
            </w:r>
          </w:p>
        </w:tc>
        <w:tc>
          <w:tcPr>
            <w:tcW w:w="1474" w:type="dxa"/>
            <w:vAlign w:val="center"/>
          </w:tcPr>
          <w:p w14:paraId="5E4C7106">
            <w:pPr>
              <w:pStyle w:val="10"/>
            </w:pPr>
            <w:r>
              <w:t>国有资本经营预算财政拨款</w:t>
            </w:r>
          </w:p>
        </w:tc>
      </w:tr>
      <w:tr w14:paraId="4C55CB05">
        <w:tblPrEx>
          <w:tblCellMar>
            <w:top w:w="0" w:type="dxa"/>
            <w:left w:w="108" w:type="dxa"/>
            <w:bottom w:w="0" w:type="dxa"/>
            <w:right w:w="108" w:type="dxa"/>
          </w:tblCellMar>
        </w:tblPrEx>
        <w:trPr>
          <w:trHeight w:val="369" w:hRule="atLeast"/>
          <w:tblHeader/>
          <w:jc w:val="center"/>
        </w:trPr>
        <w:tc>
          <w:tcPr>
            <w:tcW w:w="850" w:type="dxa"/>
            <w:vAlign w:val="center"/>
          </w:tcPr>
          <w:p w14:paraId="545BF7D5">
            <w:pPr>
              <w:pStyle w:val="10"/>
            </w:pPr>
            <w:r>
              <w:t>栏次</w:t>
            </w:r>
          </w:p>
        </w:tc>
        <w:tc>
          <w:tcPr>
            <w:tcW w:w="3402" w:type="dxa"/>
            <w:vAlign w:val="center"/>
          </w:tcPr>
          <w:p w14:paraId="300E685F">
            <w:pPr>
              <w:pStyle w:val="10"/>
            </w:pPr>
            <w:r>
              <w:t>1</w:t>
            </w:r>
          </w:p>
        </w:tc>
        <w:tc>
          <w:tcPr>
            <w:tcW w:w="1474" w:type="dxa"/>
            <w:vAlign w:val="center"/>
          </w:tcPr>
          <w:p w14:paraId="490EC309">
            <w:pPr>
              <w:pStyle w:val="10"/>
            </w:pPr>
            <w:r>
              <w:t>2</w:t>
            </w:r>
          </w:p>
        </w:tc>
        <w:tc>
          <w:tcPr>
            <w:tcW w:w="3402" w:type="dxa"/>
            <w:vAlign w:val="center"/>
          </w:tcPr>
          <w:p w14:paraId="76FD8A85">
            <w:pPr>
              <w:pStyle w:val="10"/>
            </w:pPr>
            <w:r>
              <w:t>3</w:t>
            </w:r>
          </w:p>
        </w:tc>
        <w:tc>
          <w:tcPr>
            <w:tcW w:w="1474" w:type="dxa"/>
            <w:vAlign w:val="center"/>
          </w:tcPr>
          <w:p w14:paraId="2C313337">
            <w:pPr>
              <w:pStyle w:val="10"/>
            </w:pPr>
            <w:r>
              <w:t>4</w:t>
            </w:r>
          </w:p>
        </w:tc>
        <w:tc>
          <w:tcPr>
            <w:tcW w:w="1474" w:type="dxa"/>
            <w:vAlign w:val="center"/>
          </w:tcPr>
          <w:p w14:paraId="46F97718">
            <w:pPr>
              <w:pStyle w:val="10"/>
            </w:pPr>
            <w:r>
              <w:t>5</w:t>
            </w:r>
          </w:p>
        </w:tc>
        <w:tc>
          <w:tcPr>
            <w:tcW w:w="1474" w:type="dxa"/>
            <w:vAlign w:val="center"/>
          </w:tcPr>
          <w:p w14:paraId="5CBF88A9">
            <w:pPr>
              <w:pStyle w:val="10"/>
            </w:pPr>
            <w:r>
              <w:t>6</w:t>
            </w:r>
          </w:p>
        </w:tc>
        <w:tc>
          <w:tcPr>
            <w:tcW w:w="1474" w:type="dxa"/>
            <w:vAlign w:val="center"/>
          </w:tcPr>
          <w:p w14:paraId="2ECE1A0D">
            <w:pPr>
              <w:pStyle w:val="10"/>
            </w:pPr>
            <w:r>
              <w:t>7</w:t>
            </w:r>
          </w:p>
        </w:tc>
      </w:tr>
      <w:tr w14:paraId="5DB71FE9">
        <w:tblPrEx>
          <w:tblCellMar>
            <w:top w:w="0" w:type="dxa"/>
            <w:left w:w="108" w:type="dxa"/>
            <w:bottom w:w="0" w:type="dxa"/>
            <w:right w:w="108" w:type="dxa"/>
          </w:tblCellMar>
        </w:tblPrEx>
        <w:trPr>
          <w:trHeight w:val="369" w:hRule="atLeast"/>
          <w:jc w:val="center"/>
        </w:trPr>
        <w:tc>
          <w:tcPr>
            <w:tcW w:w="850" w:type="dxa"/>
            <w:vAlign w:val="center"/>
          </w:tcPr>
          <w:p w14:paraId="22A2A53E">
            <w:pPr>
              <w:pStyle w:val="13"/>
            </w:pPr>
            <w:r>
              <w:t>1</w:t>
            </w:r>
          </w:p>
        </w:tc>
        <w:tc>
          <w:tcPr>
            <w:tcW w:w="3402" w:type="dxa"/>
            <w:vAlign w:val="center"/>
          </w:tcPr>
          <w:p w14:paraId="4DB3559E">
            <w:pPr>
              <w:pStyle w:val="12"/>
            </w:pPr>
            <w:r>
              <w:t>一、一般公共预算拨款</w:t>
            </w:r>
          </w:p>
        </w:tc>
        <w:tc>
          <w:tcPr>
            <w:tcW w:w="1474" w:type="dxa"/>
            <w:vAlign w:val="center"/>
          </w:tcPr>
          <w:p w14:paraId="647C20CE">
            <w:pPr>
              <w:pStyle w:val="11"/>
            </w:pPr>
            <w:r>
              <w:t>2256.08</w:t>
            </w:r>
          </w:p>
        </w:tc>
        <w:tc>
          <w:tcPr>
            <w:tcW w:w="3402" w:type="dxa"/>
            <w:vAlign w:val="center"/>
          </w:tcPr>
          <w:p w14:paraId="476A0A4D">
            <w:pPr>
              <w:pStyle w:val="12"/>
            </w:pPr>
            <w:r>
              <w:t>一、一般公共服务支出</w:t>
            </w:r>
          </w:p>
        </w:tc>
        <w:tc>
          <w:tcPr>
            <w:tcW w:w="1474" w:type="dxa"/>
            <w:vAlign w:val="center"/>
          </w:tcPr>
          <w:p w14:paraId="3CF6345F">
            <w:pPr>
              <w:pStyle w:val="11"/>
            </w:pPr>
          </w:p>
        </w:tc>
        <w:tc>
          <w:tcPr>
            <w:tcW w:w="1474" w:type="dxa"/>
            <w:vAlign w:val="center"/>
          </w:tcPr>
          <w:p w14:paraId="0AF04EEE">
            <w:pPr>
              <w:pStyle w:val="11"/>
            </w:pPr>
          </w:p>
        </w:tc>
        <w:tc>
          <w:tcPr>
            <w:tcW w:w="1474" w:type="dxa"/>
            <w:vAlign w:val="center"/>
          </w:tcPr>
          <w:p w14:paraId="688FFC9F">
            <w:pPr>
              <w:pStyle w:val="11"/>
            </w:pPr>
          </w:p>
        </w:tc>
        <w:tc>
          <w:tcPr>
            <w:tcW w:w="1474" w:type="dxa"/>
            <w:vAlign w:val="center"/>
          </w:tcPr>
          <w:p w14:paraId="06B7CD39">
            <w:pPr>
              <w:pStyle w:val="11"/>
            </w:pPr>
          </w:p>
        </w:tc>
      </w:tr>
      <w:tr w14:paraId="29C9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3B0F">
            <w:pPr>
              <w:pStyle w:val="13"/>
            </w:pPr>
            <w:r>
              <w:t>2</w:t>
            </w:r>
          </w:p>
        </w:tc>
        <w:tc>
          <w:tcPr>
            <w:tcW w:w="3402" w:type="dxa"/>
            <w:vAlign w:val="center"/>
          </w:tcPr>
          <w:p w14:paraId="1C079E40">
            <w:pPr>
              <w:pStyle w:val="12"/>
            </w:pPr>
            <w:r>
              <w:t>二、政府性基金预算拨款</w:t>
            </w:r>
          </w:p>
        </w:tc>
        <w:tc>
          <w:tcPr>
            <w:tcW w:w="1474" w:type="dxa"/>
            <w:vAlign w:val="center"/>
          </w:tcPr>
          <w:p w14:paraId="5A681D06">
            <w:pPr>
              <w:pStyle w:val="11"/>
            </w:pPr>
          </w:p>
        </w:tc>
        <w:tc>
          <w:tcPr>
            <w:tcW w:w="3402" w:type="dxa"/>
            <w:vAlign w:val="center"/>
          </w:tcPr>
          <w:p w14:paraId="2E28A737">
            <w:pPr>
              <w:pStyle w:val="12"/>
            </w:pPr>
            <w:r>
              <w:t>二、外交支出</w:t>
            </w:r>
          </w:p>
        </w:tc>
        <w:tc>
          <w:tcPr>
            <w:tcW w:w="1474" w:type="dxa"/>
            <w:vAlign w:val="center"/>
          </w:tcPr>
          <w:p w14:paraId="06A1D313">
            <w:pPr>
              <w:pStyle w:val="11"/>
            </w:pPr>
          </w:p>
        </w:tc>
        <w:tc>
          <w:tcPr>
            <w:tcW w:w="1474" w:type="dxa"/>
            <w:vAlign w:val="center"/>
          </w:tcPr>
          <w:p w14:paraId="706D335E">
            <w:pPr>
              <w:pStyle w:val="11"/>
            </w:pPr>
          </w:p>
        </w:tc>
        <w:tc>
          <w:tcPr>
            <w:tcW w:w="1474" w:type="dxa"/>
            <w:vAlign w:val="center"/>
          </w:tcPr>
          <w:p w14:paraId="0AE98321">
            <w:pPr>
              <w:pStyle w:val="11"/>
            </w:pPr>
          </w:p>
        </w:tc>
        <w:tc>
          <w:tcPr>
            <w:tcW w:w="1474" w:type="dxa"/>
            <w:vAlign w:val="center"/>
          </w:tcPr>
          <w:p w14:paraId="5E06547C">
            <w:pPr>
              <w:pStyle w:val="11"/>
            </w:pPr>
          </w:p>
        </w:tc>
      </w:tr>
      <w:tr w14:paraId="5AE9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9473">
            <w:pPr>
              <w:pStyle w:val="13"/>
            </w:pPr>
            <w:r>
              <w:t>3</w:t>
            </w:r>
          </w:p>
        </w:tc>
        <w:tc>
          <w:tcPr>
            <w:tcW w:w="3402" w:type="dxa"/>
            <w:vAlign w:val="center"/>
          </w:tcPr>
          <w:p w14:paraId="13B651DA">
            <w:pPr>
              <w:pStyle w:val="12"/>
            </w:pPr>
            <w:r>
              <w:t>三、国有资本经营预算拨款</w:t>
            </w:r>
          </w:p>
        </w:tc>
        <w:tc>
          <w:tcPr>
            <w:tcW w:w="1474" w:type="dxa"/>
            <w:vAlign w:val="center"/>
          </w:tcPr>
          <w:p w14:paraId="62CBA5CB">
            <w:pPr>
              <w:pStyle w:val="11"/>
            </w:pPr>
          </w:p>
        </w:tc>
        <w:tc>
          <w:tcPr>
            <w:tcW w:w="3402" w:type="dxa"/>
            <w:vAlign w:val="center"/>
          </w:tcPr>
          <w:p w14:paraId="215E2C5E">
            <w:pPr>
              <w:pStyle w:val="12"/>
            </w:pPr>
            <w:r>
              <w:t>三、国防支出</w:t>
            </w:r>
          </w:p>
        </w:tc>
        <w:tc>
          <w:tcPr>
            <w:tcW w:w="1474" w:type="dxa"/>
            <w:vAlign w:val="center"/>
          </w:tcPr>
          <w:p w14:paraId="76389EAF">
            <w:pPr>
              <w:pStyle w:val="11"/>
            </w:pPr>
          </w:p>
        </w:tc>
        <w:tc>
          <w:tcPr>
            <w:tcW w:w="1474" w:type="dxa"/>
            <w:vAlign w:val="center"/>
          </w:tcPr>
          <w:p w14:paraId="0E31A3E7">
            <w:pPr>
              <w:pStyle w:val="11"/>
            </w:pPr>
          </w:p>
        </w:tc>
        <w:tc>
          <w:tcPr>
            <w:tcW w:w="1474" w:type="dxa"/>
            <w:vAlign w:val="center"/>
          </w:tcPr>
          <w:p w14:paraId="1FFD4F6F">
            <w:pPr>
              <w:pStyle w:val="11"/>
            </w:pPr>
          </w:p>
        </w:tc>
        <w:tc>
          <w:tcPr>
            <w:tcW w:w="1474" w:type="dxa"/>
            <w:vAlign w:val="center"/>
          </w:tcPr>
          <w:p w14:paraId="05CC141C">
            <w:pPr>
              <w:pStyle w:val="11"/>
            </w:pPr>
          </w:p>
        </w:tc>
      </w:tr>
      <w:tr w14:paraId="6D45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CFE2">
            <w:pPr>
              <w:pStyle w:val="13"/>
            </w:pPr>
            <w:r>
              <w:t>4</w:t>
            </w:r>
          </w:p>
        </w:tc>
        <w:tc>
          <w:tcPr>
            <w:tcW w:w="3402" w:type="dxa"/>
            <w:vAlign w:val="center"/>
          </w:tcPr>
          <w:p w14:paraId="7ADC3D1E">
            <w:pPr>
              <w:pStyle w:val="12"/>
            </w:pPr>
          </w:p>
        </w:tc>
        <w:tc>
          <w:tcPr>
            <w:tcW w:w="1474" w:type="dxa"/>
            <w:vAlign w:val="center"/>
          </w:tcPr>
          <w:p w14:paraId="7DD2E9D5">
            <w:pPr>
              <w:pStyle w:val="11"/>
            </w:pPr>
          </w:p>
        </w:tc>
        <w:tc>
          <w:tcPr>
            <w:tcW w:w="3402" w:type="dxa"/>
            <w:vAlign w:val="center"/>
          </w:tcPr>
          <w:p w14:paraId="4F28FD18">
            <w:pPr>
              <w:pStyle w:val="12"/>
            </w:pPr>
            <w:r>
              <w:t>四、公共安全支出</w:t>
            </w:r>
          </w:p>
        </w:tc>
        <w:tc>
          <w:tcPr>
            <w:tcW w:w="1474" w:type="dxa"/>
            <w:vAlign w:val="center"/>
          </w:tcPr>
          <w:p w14:paraId="0B9A221F">
            <w:pPr>
              <w:pStyle w:val="11"/>
            </w:pPr>
          </w:p>
        </w:tc>
        <w:tc>
          <w:tcPr>
            <w:tcW w:w="1474" w:type="dxa"/>
            <w:vAlign w:val="center"/>
          </w:tcPr>
          <w:p w14:paraId="5250AF81">
            <w:pPr>
              <w:pStyle w:val="11"/>
            </w:pPr>
          </w:p>
        </w:tc>
        <w:tc>
          <w:tcPr>
            <w:tcW w:w="1474" w:type="dxa"/>
            <w:vAlign w:val="center"/>
          </w:tcPr>
          <w:p w14:paraId="46D0291A">
            <w:pPr>
              <w:pStyle w:val="11"/>
            </w:pPr>
          </w:p>
        </w:tc>
        <w:tc>
          <w:tcPr>
            <w:tcW w:w="1474" w:type="dxa"/>
            <w:vAlign w:val="center"/>
          </w:tcPr>
          <w:p w14:paraId="5A24EA77">
            <w:pPr>
              <w:pStyle w:val="11"/>
            </w:pPr>
          </w:p>
        </w:tc>
      </w:tr>
      <w:tr w14:paraId="74B81E7E">
        <w:tblPrEx>
          <w:tblCellMar>
            <w:top w:w="0" w:type="dxa"/>
            <w:left w:w="108" w:type="dxa"/>
            <w:bottom w:w="0" w:type="dxa"/>
            <w:right w:w="108" w:type="dxa"/>
          </w:tblCellMar>
        </w:tblPrEx>
        <w:trPr>
          <w:trHeight w:val="369" w:hRule="atLeast"/>
          <w:jc w:val="center"/>
        </w:trPr>
        <w:tc>
          <w:tcPr>
            <w:tcW w:w="850" w:type="dxa"/>
            <w:vAlign w:val="center"/>
          </w:tcPr>
          <w:p w14:paraId="052D68D5">
            <w:pPr>
              <w:pStyle w:val="13"/>
            </w:pPr>
            <w:r>
              <w:t>5</w:t>
            </w:r>
          </w:p>
        </w:tc>
        <w:tc>
          <w:tcPr>
            <w:tcW w:w="3402" w:type="dxa"/>
            <w:vAlign w:val="center"/>
          </w:tcPr>
          <w:p w14:paraId="104C8EEE">
            <w:pPr>
              <w:pStyle w:val="12"/>
            </w:pPr>
          </w:p>
        </w:tc>
        <w:tc>
          <w:tcPr>
            <w:tcW w:w="1474" w:type="dxa"/>
            <w:vAlign w:val="center"/>
          </w:tcPr>
          <w:p w14:paraId="6941CD6F">
            <w:pPr>
              <w:pStyle w:val="11"/>
            </w:pPr>
          </w:p>
        </w:tc>
        <w:tc>
          <w:tcPr>
            <w:tcW w:w="3402" w:type="dxa"/>
            <w:vAlign w:val="center"/>
          </w:tcPr>
          <w:p w14:paraId="494FE6FF">
            <w:pPr>
              <w:pStyle w:val="12"/>
            </w:pPr>
            <w:r>
              <w:t>五、教育支出</w:t>
            </w:r>
          </w:p>
        </w:tc>
        <w:tc>
          <w:tcPr>
            <w:tcW w:w="1474" w:type="dxa"/>
            <w:vAlign w:val="center"/>
          </w:tcPr>
          <w:p w14:paraId="4A59E196">
            <w:pPr>
              <w:pStyle w:val="11"/>
            </w:pPr>
            <w:r>
              <w:t>2256.08</w:t>
            </w:r>
          </w:p>
        </w:tc>
        <w:tc>
          <w:tcPr>
            <w:tcW w:w="1474" w:type="dxa"/>
            <w:vAlign w:val="center"/>
          </w:tcPr>
          <w:p w14:paraId="3859A5EC">
            <w:pPr>
              <w:pStyle w:val="11"/>
            </w:pPr>
            <w:r>
              <w:t>2256.08</w:t>
            </w:r>
          </w:p>
        </w:tc>
        <w:tc>
          <w:tcPr>
            <w:tcW w:w="1474" w:type="dxa"/>
            <w:vAlign w:val="center"/>
          </w:tcPr>
          <w:p w14:paraId="4229820A">
            <w:pPr>
              <w:pStyle w:val="11"/>
            </w:pPr>
          </w:p>
        </w:tc>
        <w:tc>
          <w:tcPr>
            <w:tcW w:w="1474" w:type="dxa"/>
            <w:vAlign w:val="center"/>
          </w:tcPr>
          <w:p w14:paraId="57E5500A">
            <w:pPr>
              <w:pStyle w:val="11"/>
            </w:pPr>
          </w:p>
        </w:tc>
      </w:tr>
      <w:tr w14:paraId="29E4CD0B">
        <w:tblPrEx>
          <w:tblCellMar>
            <w:top w:w="0" w:type="dxa"/>
            <w:left w:w="108" w:type="dxa"/>
            <w:bottom w:w="0" w:type="dxa"/>
            <w:right w:w="108" w:type="dxa"/>
          </w:tblCellMar>
        </w:tblPrEx>
        <w:trPr>
          <w:trHeight w:val="369" w:hRule="atLeast"/>
          <w:jc w:val="center"/>
        </w:trPr>
        <w:tc>
          <w:tcPr>
            <w:tcW w:w="850" w:type="dxa"/>
            <w:vAlign w:val="center"/>
          </w:tcPr>
          <w:p w14:paraId="46B670E9">
            <w:pPr>
              <w:pStyle w:val="13"/>
            </w:pPr>
            <w:r>
              <w:t>6</w:t>
            </w:r>
          </w:p>
        </w:tc>
        <w:tc>
          <w:tcPr>
            <w:tcW w:w="3402" w:type="dxa"/>
            <w:vAlign w:val="center"/>
          </w:tcPr>
          <w:p w14:paraId="0D286A5B">
            <w:pPr>
              <w:pStyle w:val="12"/>
            </w:pPr>
          </w:p>
        </w:tc>
        <w:tc>
          <w:tcPr>
            <w:tcW w:w="1474" w:type="dxa"/>
            <w:vAlign w:val="center"/>
          </w:tcPr>
          <w:p w14:paraId="30CDED52">
            <w:pPr>
              <w:pStyle w:val="11"/>
            </w:pPr>
          </w:p>
        </w:tc>
        <w:tc>
          <w:tcPr>
            <w:tcW w:w="3402" w:type="dxa"/>
            <w:vAlign w:val="center"/>
          </w:tcPr>
          <w:p w14:paraId="65FE6C57">
            <w:pPr>
              <w:pStyle w:val="12"/>
            </w:pPr>
            <w:r>
              <w:t>六、科学技术支出</w:t>
            </w:r>
          </w:p>
        </w:tc>
        <w:tc>
          <w:tcPr>
            <w:tcW w:w="1474" w:type="dxa"/>
            <w:vAlign w:val="center"/>
          </w:tcPr>
          <w:p w14:paraId="3CCC67A9">
            <w:pPr>
              <w:pStyle w:val="11"/>
            </w:pPr>
          </w:p>
        </w:tc>
        <w:tc>
          <w:tcPr>
            <w:tcW w:w="1474" w:type="dxa"/>
            <w:vAlign w:val="center"/>
          </w:tcPr>
          <w:p w14:paraId="08C6E14A">
            <w:pPr>
              <w:pStyle w:val="11"/>
            </w:pPr>
          </w:p>
        </w:tc>
        <w:tc>
          <w:tcPr>
            <w:tcW w:w="1474" w:type="dxa"/>
            <w:vAlign w:val="center"/>
          </w:tcPr>
          <w:p w14:paraId="5039CCEC">
            <w:pPr>
              <w:pStyle w:val="11"/>
            </w:pPr>
          </w:p>
        </w:tc>
        <w:tc>
          <w:tcPr>
            <w:tcW w:w="1474" w:type="dxa"/>
            <w:vAlign w:val="center"/>
          </w:tcPr>
          <w:p w14:paraId="07E6FD08">
            <w:pPr>
              <w:pStyle w:val="11"/>
            </w:pPr>
          </w:p>
        </w:tc>
      </w:tr>
      <w:tr w14:paraId="7575C553">
        <w:tblPrEx>
          <w:tblCellMar>
            <w:top w:w="0" w:type="dxa"/>
            <w:left w:w="108" w:type="dxa"/>
            <w:bottom w:w="0" w:type="dxa"/>
            <w:right w:w="108" w:type="dxa"/>
          </w:tblCellMar>
        </w:tblPrEx>
        <w:trPr>
          <w:trHeight w:val="369" w:hRule="atLeast"/>
          <w:jc w:val="center"/>
        </w:trPr>
        <w:tc>
          <w:tcPr>
            <w:tcW w:w="850" w:type="dxa"/>
            <w:vAlign w:val="center"/>
          </w:tcPr>
          <w:p w14:paraId="4E94F4F0">
            <w:pPr>
              <w:pStyle w:val="13"/>
            </w:pPr>
            <w:r>
              <w:t>7</w:t>
            </w:r>
          </w:p>
        </w:tc>
        <w:tc>
          <w:tcPr>
            <w:tcW w:w="3402" w:type="dxa"/>
            <w:vAlign w:val="center"/>
          </w:tcPr>
          <w:p w14:paraId="00506C2A">
            <w:pPr>
              <w:pStyle w:val="12"/>
            </w:pPr>
          </w:p>
        </w:tc>
        <w:tc>
          <w:tcPr>
            <w:tcW w:w="1474" w:type="dxa"/>
            <w:vAlign w:val="center"/>
          </w:tcPr>
          <w:p w14:paraId="68786307">
            <w:pPr>
              <w:pStyle w:val="11"/>
            </w:pPr>
          </w:p>
        </w:tc>
        <w:tc>
          <w:tcPr>
            <w:tcW w:w="3402" w:type="dxa"/>
            <w:vAlign w:val="center"/>
          </w:tcPr>
          <w:p w14:paraId="3BF2ECD9">
            <w:pPr>
              <w:pStyle w:val="12"/>
            </w:pPr>
            <w:r>
              <w:t>七、文化旅游体育与传媒支出</w:t>
            </w:r>
          </w:p>
        </w:tc>
        <w:tc>
          <w:tcPr>
            <w:tcW w:w="1474" w:type="dxa"/>
            <w:vAlign w:val="center"/>
          </w:tcPr>
          <w:p w14:paraId="3C61A1F6">
            <w:pPr>
              <w:pStyle w:val="11"/>
            </w:pPr>
          </w:p>
        </w:tc>
        <w:tc>
          <w:tcPr>
            <w:tcW w:w="1474" w:type="dxa"/>
            <w:vAlign w:val="center"/>
          </w:tcPr>
          <w:p w14:paraId="22E24DCB">
            <w:pPr>
              <w:pStyle w:val="11"/>
            </w:pPr>
          </w:p>
        </w:tc>
        <w:tc>
          <w:tcPr>
            <w:tcW w:w="1474" w:type="dxa"/>
            <w:vAlign w:val="center"/>
          </w:tcPr>
          <w:p w14:paraId="3998B18D">
            <w:pPr>
              <w:pStyle w:val="11"/>
            </w:pPr>
          </w:p>
        </w:tc>
        <w:tc>
          <w:tcPr>
            <w:tcW w:w="1474" w:type="dxa"/>
            <w:vAlign w:val="center"/>
          </w:tcPr>
          <w:p w14:paraId="5CC653F2">
            <w:pPr>
              <w:pStyle w:val="11"/>
            </w:pPr>
          </w:p>
        </w:tc>
      </w:tr>
      <w:tr w14:paraId="684D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5636E">
            <w:pPr>
              <w:pStyle w:val="13"/>
            </w:pPr>
            <w:r>
              <w:t>8</w:t>
            </w:r>
          </w:p>
        </w:tc>
        <w:tc>
          <w:tcPr>
            <w:tcW w:w="3402" w:type="dxa"/>
            <w:vAlign w:val="center"/>
          </w:tcPr>
          <w:p w14:paraId="2868990C">
            <w:pPr>
              <w:pStyle w:val="12"/>
            </w:pPr>
          </w:p>
        </w:tc>
        <w:tc>
          <w:tcPr>
            <w:tcW w:w="1474" w:type="dxa"/>
            <w:vAlign w:val="center"/>
          </w:tcPr>
          <w:p w14:paraId="2BACA8F3">
            <w:pPr>
              <w:pStyle w:val="11"/>
            </w:pPr>
          </w:p>
        </w:tc>
        <w:tc>
          <w:tcPr>
            <w:tcW w:w="3402" w:type="dxa"/>
            <w:vAlign w:val="center"/>
          </w:tcPr>
          <w:p w14:paraId="3A130D95">
            <w:pPr>
              <w:pStyle w:val="12"/>
            </w:pPr>
            <w:r>
              <w:t>八、社会保障和就业支出</w:t>
            </w:r>
          </w:p>
        </w:tc>
        <w:tc>
          <w:tcPr>
            <w:tcW w:w="1474" w:type="dxa"/>
            <w:vAlign w:val="center"/>
          </w:tcPr>
          <w:p w14:paraId="121CDB38">
            <w:pPr>
              <w:pStyle w:val="11"/>
            </w:pPr>
          </w:p>
        </w:tc>
        <w:tc>
          <w:tcPr>
            <w:tcW w:w="1474" w:type="dxa"/>
            <w:vAlign w:val="center"/>
          </w:tcPr>
          <w:p w14:paraId="16F5803F">
            <w:pPr>
              <w:pStyle w:val="11"/>
            </w:pPr>
          </w:p>
        </w:tc>
        <w:tc>
          <w:tcPr>
            <w:tcW w:w="1474" w:type="dxa"/>
            <w:vAlign w:val="center"/>
          </w:tcPr>
          <w:p w14:paraId="04EEEC6A">
            <w:pPr>
              <w:pStyle w:val="11"/>
            </w:pPr>
          </w:p>
        </w:tc>
        <w:tc>
          <w:tcPr>
            <w:tcW w:w="1474" w:type="dxa"/>
            <w:vAlign w:val="center"/>
          </w:tcPr>
          <w:p w14:paraId="2CCC318F">
            <w:pPr>
              <w:pStyle w:val="11"/>
            </w:pPr>
          </w:p>
        </w:tc>
      </w:tr>
      <w:tr w14:paraId="1568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5D7FC">
            <w:pPr>
              <w:pStyle w:val="13"/>
            </w:pPr>
            <w:r>
              <w:t>9</w:t>
            </w:r>
          </w:p>
        </w:tc>
        <w:tc>
          <w:tcPr>
            <w:tcW w:w="3402" w:type="dxa"/>
            <w:vAlign w:val="center"/>
          </w:tcPr>
          <w:p w14:paraId="3D93E6F4">
            <w:pPr>
              <w:pStyle w:val="12"/>
            </w:pPr>
          </w:p>
        </w:tc>
        <w:tc>
          <w:tcPr>
            <w:tcW w:w="1474" w:type="dxa"/>
            <w:vAlign w:val="center"/>
          </w:tcPr>
          <w:p w14:paraId="20576281">
            <w:pPr>
              <w:pStyle w:val="11"/>
            </w:pPr>
          </w:p>
        </w:tc>
        <w:tc>
          <w:tcPr>
            <w:tcW w:w="3402" w:type="dxa"/>
            <w:vAlign w:val="center"/>
          </w:tcPr>
          <w:p w14:paraId="3B54BB08">
            <w:pPr>
              <w:pStyle w:val="12"/>
            </w:pPr>
            <w:r>
              <w:t>九、社会保险基金支出</w:t>
            </w:r>
          </w:p>
        </w:tc>
        <w:tc>
          <w:tcPr>
            <w:tcW w:w="1474" w:type="dxa"/>
            <w:vAlign w:val="center"/>
          </w:tcPr>
          <w:p w14:paraId="6BD71809">
            <w:pPr>
              <w:pStyle w:val="11"/>
            </w:pPr>
          </w:p>
        </w:tc>
        <w:tc>
          <w:tcPr>
            <w:tcW w:w="1474" w:type="dxa"/>
            <w:vAlign w:val="center"/>
          </w:tcPr>
          <w:p w14:paraId="3C6809C5">
            <w:pPr>
              <w:pStyle w:val="11"/>
            </w:pPr>
          </w:p>
        </w:tc>
        <w:tc>
          <w:tcPr>
            <w:tcW w:w="1474" w:type="dxa"/>
            <w:vAlign w:val="center"/>
          </w:tcPr>
          <w:p w14:paraId="1AE1F644">
            <w:pPr>
              <w:pStyle w:val="11"/>
            </w:pPr>
          </w:p>
        </w:tc>
        <w:tc>
          <w:tcPr>
            <w:tcW w:w="1474" w:type="dxa"/>
            <w:vAlign w:val="center"/>
          </w:tcPr>
          <w:p w14:paraId="7C758537">
            <w:pPr>
              <w:pStyle w:val="11"/>
            </w:pPr>
          </w:p>
        </w:tc>
      </w:tr>
      <w:tr w14:paraId="3DEE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97E25">
            <w:pPr>
              <w:pStyle w:val="13"/>
            </w:pPr>
            <w:r>
              <w:t>10</w:t>
            </w:r>
          </w:p>
        </w:tc>
        <w:tc>
          <w:tcPr>
            <w:tcW w:w="3402" w:type="dxa"/>
            <w:vAlign w:val="center"/>
          </w:tcPr>
          <w:p w14:paraId="307FF3B9">
            <w:pPr>
              <w:pStyle w:val="12"/>
            </w:pPr>
          </w:p>
        </w:tc>
        <w:tc>
          <w:tcPr>
            <w:tcW w:w="1474" w:type="dxa"/>
            <w:vAlign w:val="center"/>
          </w:tcPr>
          <w:p w14:paraId="3CD56CC6">
            <w:pPr>
              <w:pStyle w:val="11"/>
            </w:pPr>
          </w:p>
        </w:tc>
        <w:tc>
          <w:tcPr>
            <w:tcW w:w="3402" w:type="dxa"/>
            <w:vAlign w:val="center"/>
          </w:tcPr>
          <w:p w14:paraId="3DE0BB83">
            <w:pPr>
              <w:pStyle w:val="12"/>
            </w:pPr>
            <w:r>
              <w:t>十、卫生健康支出</w:t>
            </w:r>
          </w:p>
        </w:tc>
        <w:tc>
          <w:tcPr>
            <w:tcW w:w="1474" w:type="dxa"/>
            <w:vAlign w:val="center"/>
          </w:tcPr>
          <w:p w14:paraId="74EDCEC3">
            <w:pPr>
              <w:pStyle w:val="11"/>
            </w:pPr>
          </w:p>
        </w:tc>
        <w:tc>
          <w:tcPr>
            <w:tcW w:w="1474" w:type="dxa"/>
            <w:vAlign w:val="center"/>
          </w:tcPr>
          <w:p w14:paraId="41FA8005">
            <w:pPr>
              <w:pStyle w:val="11"/>
            </w:pPr>
          </w:p>
        </w:tc>
        <w:tc>
          <w:tcPr>
            <w:tcW w:w="1474" w:type="dxa"/>
            <w:vAlign w:val="center"/>
          </w:tcPr>
          <w:p w14:paraId="0799C91C">
            <w:pPr>
              <w:pStyle w:val="11"/>
            </w:pPr>
          </w:p>
        </w:tc>
        <w:tc>
          <w:tcPr>
            <w:tcW w:w="1474" w:type="dxa"/>
            <w:vAlign w:val="center"/>
          </w:tcPr>
          <w:p w14:paraId="481AE996">
            <w:pPr>
              <w:pStyle w:val="11"/>
            </w:pPr>
          </w:p>
        </w:tc>
      </w:tr>
      <w:tr w14:paraId="02F5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EFE7A">
            <w:pPr>
              <w:pStyle w:val="13"/>
            </w:pPr>
            <w:r>
              <w:t>11</w:t>
            </w:r>
          </w:p>
        </w:tc>
        <w:tc>
          <w:tcPr>
            <w:tcW w:w="3402" w:type="dxa"/>
            <w:vAlign w:val="center"/>
          </w:tcPr>
          <w:p w14:paraId="0867D2D7">
            <w:pPr>
              <w:pStyle w:val="12"/>
            </w:pPr>
          </w:p>
        </w:tc>
        <w:tc>
          <w:tcPr>
            <w:tcW w:w="1474" w:type="dxa"/>
            <w:vAlign w:val="center"/>
          </w:tcPr>
          <w:p w14:paraId="4C8F5E06">
            <w:pPr>
              <w:pStyle w:val="11"/>
            </w:pPr>
          </w:p>
        </w:tc>
        <w:tc>
          <w:tcPr>
            <w:tcW w:w="3402" w:type="dxa"/>
            <w:vAlign w:val="center"/>
          </w:tcPr>
          <w:p w14:paraId="3B07BA5B">
            <w:pPr>
              <w:pStyle w:val="12"/>
            </w:pPr>
            <w:r>
              <w:t>十一、节能环保支出</w:t>
            </w:r>
          </w:p>
        </w:tc>
        <w:tc>
          <w:tcPr>
            <w:tcW w:w="1474" w:type="dxa"/>
            <w:vAlign w:val="center"/>
          </w:tcPr>
          <w:p w14:paraId="118EB1D3">
            <w:pPr>
              <w:pStyle w:val="11"/>
            </w:pPr>
          </w:p>
        </w:tc>
        <w:tc>
          <w:tcPr>
            <w:tcW w:w="1474" w:type="dxa"/>
            <w:vAlign w:val="center"/>
          </w:tcPr>
          <w:p w14:paraId="176BFBD6">
            <w:pPr>
              <w:pStyle w:val="11"/>
            </w:pPr>
          </w:p>
        </w:tc>
        <w:tc>
          <w:tcPr>
            <w:tcW w:w="1474" w:type="dxa"/>
            <w:vAlign w:val="center"/>
          </w:tcPr>
          <w:p w14:paraId="2FE539C8">
            <w:pPr>
              <w:pStyle w:val="11"/>
            </w:pPr>
          </w:p>
        </w:tc>
        <w:tc>
          <w:tcPr>
            <w:tcW w:w="1474" w:type="dxa"/>
            <w:vAlign w:val="center"/>
          </w:tcPr>
          <w:p w14:paraId="542CC176">
            <w:pPr>
              <w:pStyle w:val="11"/>
            </w:pPr>
          </w:p>
        </w:tc>
      </w:tr>
      <w:tr w14:paraId="35F59877">
        <w:tblPrEx>
          <w:tblCellMar>
            <w:top w:w="0" w:type="dxa"/>
            <w:left w:w="108" w:type="dxa"/>
            <w:bottom w:w="0" w:type="dxa"/>
            <w:right w:w="108" w:type="dxa"/>
          </w:tblCellMar>
        </w:tblPrEx>
        <w:trPr>
          <w:trHeight w:val="369" w:hRule="atLeast"/>
          <w:jc w:val="center"/>
        </w:trPr>
        <w:tc>
          <w:tcPr>
            <w:tcW w:w="850" w:type="dxa"/>
            <w:vAlign w:val="center"/>
          </w:tcPr>
          <w:p w14:paraId="6A5CA753">
            <w:pPr>
              <w:pStyle w:val="13"/>
            </w:pPr>
            <w:r>
              <w:t>12</w:t>
            </w:r>
          </w:p>
        </w:tc>
        <w:tc>
          <w:tcPr>
            <w:tcW w:w="3402" w:type="dxa"/>
            <w:vAlign w:val="center"/>
          </w:tcPr>
          <w:p w14:paraId="30214EDC">
            <w:pPr>
              <w:pStyle w:val="12"/>
            </w:pPr>
          </w:p>
        </w:tc>
        <w:tc>
          <w:tcPr>
            <w:tcW w:w="1474" w:type="dxa"/>
            <w:vAlign w:val="center"/>
          </w:tcPr>
          <w:p w14:paraId="7926DDF6">
            <w:pPr>
              <w:pStyle w:val="11"/>
            </w:pPr>
          </w:p>
        </w:tc>
        <w:tc>
          <w:tcPr>
            <w:tcW w:w="3402" w:type="dxa"/>
            <w:vAlign w:val="center"/>
          </w:tcPr>
          <w:p w14:paraId="667EAD3D">
            <w:pPr>
              <w:pStyle w:val="12"/>
            </w:pPr>
            <w:r>
              <w:t>十二、城乡社区支出</w:t>
            </w:r>
          </w:p>
        </w:tc>
        <w:tc>
          <w:tcPr>
            <w:tcW w:w="1474" w:type="dxa"/>
            <w:vAlign w:val="center"/>
          </w:tcPr>
          <w:p w14:paraId="62880DE4">
            <w:pPr>
              <w:pStyle w:val="11"/>
            </w:pPr>
          </w:p>
        </w:tc>
        <w:tc>
          <w:tcPr>
            <w:tcW w:w="1474" w:type="dxa"/>
            <w:vAlign w:val="center"/>
          </w:tcPr>
          <w:p w14:paraId="230C925B">
            <w:pPr>
              <w:pStyle w:val="11"/>
            </w:pPr>
          </w:p>
        </w:tc>
        <w:tc>
          <w:tcPr>
            <w:tcW w:w="1474" w:type="dxa"/>
            <w:vAlign w:val="center"/>
          </w:tcPr>
          <w:p w14:paraId="14325A4A">
            <w:pPr>
              <w:pStyle w:val="11"/>
            </w:pPr>
          </w:p>
        </w:tc>
        <w:tc>
          <w:tcPr>
            <w:tcW w:w="1474" w:type="dxa"/>
            <w:vAlign w:val="center"/>
          </w:tcPr>
          <w:p w14:paraId="774EE573">
            <w:pPr>
              <w:pStyle w:val="11"/>
            </w:pPr>
          </w:p>
        </w:tc>
      </w:tr>
      <w:tr w14:paraId="693C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5E99">
            <w:pPr>
              <w:pStyle w:val="13"/>
            </w:pPr>
            <w:r>
              <w:t>13</w:t>
            </w:r>
          </w:p>
        </w:tc>
        <w:tc>
          <w:tcPr>
            <w:tcW w:w="3402" w:type="dxa"/>
            <w:vAlign w:val="center"/>
          </w:tcPr>
          <w:p w14:paraId="629FB9D7">
            <w:pPr>
              <w:pStyle w:val="12"/>
            </w:pPr>
          </w:p>
        </w:tc>
        <w:tc>
          <w:tcPr>
            <w:tcW w:w="1474" w:type="dxa"/>
            <w:vAlign w:val="center"/>
          </w:tcPr>
          <w:p w14:paraId="08EA9DCC">
            <w:pPr>
              <w:pStyle w:val="11"/>
            </w:pPr>
          </w:p>
        </w:tc>
        <w:tc>
          <w:tcPr>
            <w:tcW w:w="3402" w:type="dxa"/>
            <w:vAlign w:val="center"/>
          </w:tcPr>
          <w:p w14:paraId="671DB34C">
            <w:pPr>
              <w:pStyle w:val="12"/>
            </w:pPr>
            <w:r>
              <w:t>十三、农林水支出</w:t>
            </w:r>
          </w:p>
        </w:tc>
        <w:tc>
          <w:tcPr>
            <w:tcW w:w="1474" w:type="dxa"/>
            <w:vAlign w:val="center"/>
          </w:tcPr>
          <w:p w14:paraId="06738D5F">
            <w:pPr>
              <w:pStyle w:val="11"/>
            </w:pPr>
          </w:p>
        </w:tc>
        <w:tc>
          <w:tcPr>
            <w:tcW w:w="1474" w:type="dxa"/>
            <w:vAlign w:val="center"/>
          </w:tcPr>
          <w:p w14:paraId="5884892B">
            <w:pPr>
              <w:pStyle w:val="11"/>
            </w:pPr>
          </w:p>
        </w:tc>
        <w:tc>
          <w:tcPr>
            <w:tcW w:w="1474" w:type="dxa"/>
            <w:vAlign w:val="center"/>
          </w:tcPr>
          <w:p w14:paraId="64F72CC3">
            <w:pPr>
              <w:pStyle w:val="11"/>
            </w:pPr>
          </w:p>
        </w:tc>
        <w:tc>
          <w:tcPr>
            <w:tcW w:w="1474" w:type="dxa"/>
            <w:vAlign w:val="center"/>
          </w:tcPr>
          <w:p w14:paraId="075A71CD">
            <w:pPr>
              <w:pStyle w:val="11"/>
            </w:pPr>
          </w:p>
        </w:tc>
      </w:tr>
      <w:tr w14:paraId="7A3F214A">
        <w:tblPrEx>
          <w:tblCellMar>
            <w:top w:w="0" w:type="dxa"/>
            <w:left w:w="108" w:type="dxa"/>
            <w:bottom w:w="0" w:type="dxa"/>
            <w:right w:w="108" w:type="dxa"/>
          </w:tblCellMar>
        </w:tblPrEx>
        <w:trPr>
          <w:trHeight w:val="369" w:hRule="atLeast"/>
          <w:jc w:val="center"/>
        </w:trPr>
        <w:tc>
          <w:tcPr>
            <w:tcW w:w="850" w:type="dxa"/>
            <w:vAlign w:val="center"/>
          </w:tcPr>
          <w:p w14:paraId="39FD7905">
            <w:pPr>
              <w:pStyle w:val="13"/>
            </w:pPr>
            <w:r>
              <w:t>14</w:t>
            </w:r>
          </w:p>
        </w:tc>
        <w:tc>
          <w:tcPr>
            <w:tcW w:w="3402" w:type="dxa"/>
            <w:vAlign w:val="center"/>
          </w:tcPr>
          <w:p w14:paraId="09908F51">
            <w:pPr>
              <w:pStyle w:val="12"/>
            </w:pPr>
          </w:p>
        </w:tc>
        <w:tc>
          <w:tcPr>
            <w:tcW w:w="1474" w:type="dxa"/>
            <w:vAlign w:val="center"/>
          </w:tcPr>
          <w:p w14:paraId="24172091">
            <w:pPr>
              <w:pStyle w:val="11"/>
            </w:pPr>
          </w:p>
        </w:tc>
        <w:tc>
          <w:tcPr>
            <w:tcW w:w="3402" w:type="dxa"/>
            <w:vAlign w:val="center"/>
          </w:tcPr>
          <w:p w14:paraId="5F2FDAEA">
            <w:pPr>
              <w:pStyle w:val="12"/>
            </w:pPr>
            <w:r>
              <w:t>十四、交通运输支出</w:t>
            </w:r>
          </w:p>
        </w:tc>
        <w:tc>
          <w:tcPr>
            <w:tcW w:w="1474" w:type="dxa"/>
            <w:vAlign w:val="center"/>
          </w:tcPr>
          <w:p w14:paraId="5BBBD1FA">
            <w:pPr>
              <w:pStyle w:val="11"/>
            </w:pPr>
          </w:p>
        </w:tc>
        <w:tc>
          <w:tcPr>
            <w:tcW w:w="1474" w:type="dxa"/>
            <w:vAlign w:val="center"/>
          </w:tcPr>
          <w:p w14:paraId="73C95076">
            <w:pPr>
              <w:pStyle w:val="11"/>
            </w:pPr>
          </w:p>
        </w:tc>
        <w:tc>
          <w:tcPr>
            <w:tcW w:w="1474" w:type="dxa"/>
            <w:vAlign w:val="center"/>
          </w:tcPr>
          <w:p w14:paraId="2C73FBE4">
            <w:pPr>
              <w:pStyle w:val="11"/>
            </w:pPr>
          </w:p>
        </w:tc>
        <w:tc>
          <w:tcPr>
            <w:tcW w:w="1474" w:type="dxa"/>
            <w:vAlign w:val="center"/>
          </w:tcPr>
          <w:p w14:paraId="31253DAC">
            <w:pPr>
              <w:pStyle w:val="11"/>
            </w:pPr>
          </w:p>
        </w:tc>
      </w:tr>
      <w:tr w14:paraId="61DF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EC39E">
            <w:pPr>
              <w:pStyle w:val="13"/>
            </w:pPr>
            <w:r>
              <w:t>15</w:t>
            </w:r>
          </w:p>
        </w:tc>
        <w:tc>
          <w:tcPr>
            <w:tcW w:w="3402" w:type="dxa"/>
            <w:vAlign w:val="center"/>
          </w:tcPr>
          <w:p w14:paraId="2748C63C">
            <w:pPr>
              <w:pStyle w:val="12"/>
            </w:pPr>
          </w:p>
        </w:tc>
        <w:tc>
          <w:tcPr>
            <w:tcW w:w="1474" w:type="dxa"/>
            <w:vAlign w:val="center"/>
          </w:tcPr>
          <w:p w14:paraId="0FAA73DE">
            <w:pPr>
              <w:pStyle w:val="11"/>
            </w:pPr>
          </w:p>
        </w:tc>
        <w:tc>
          <w:tcPr>
            <w:tcW w:w="3402" w:type="dxa"/>
            <w:vAlign w:val="center"/>
          </w:tcPr>
          <w:p w14:paraId="422AA971">
            <w:pPr>
              <w:pStyle w:val="12"/>
            </w:pPr>
            <w:r>
              <w:t>十五、资源勘探工业信息等支出</w:t>
            </w:r>
          </w:p>
        </w:tc>
        <w:tc>
          <w:tcPr>
            <w:tcW w:w="1474" w:type="dxa"/>
            <w:vAlign w:val="center"/>
          </w:tcPr>
          <w:p w14:paraId="62FAAA85">
            <w:pPr>
              <w:pStyle w:val="11"/>
            </w:pPr>
          </w:p>
        </w:tc>
        <w:tc>
          <w:tcPr>
            <w:tcW w:w="1474" w:type="dxa"/>
            <w:vAlign w:val="center"/>
          </w:tcPr>
          <w:p w14:paraId="23DF4B85">
            <w:pPr>
              <w:pStyle w:val="11"/>
            </w:pPr>
          </w:p>
        </w:tc>
        <w:tc>
          <w:tcPr>
            <w:tcW w:w="1474" w:type="dxa"/>
            <w:vAlign w:val="center"/>
          </w:tcPr>
          <w:p w14:paraId="5AC2AC25">
            <w:pPr>
              <w:pStyle w:val="11"/>
            </w:pPr>
          </w:p>
        </w:tc>
        <w:tc>
          <w:tcPr>
            <w:tcW w:w="1474" w:type="dxa"/>
            <w:vAlign w:val="center"/>
          </w:tcPr>
          <w:p w14:paraId="4F742D8F">
            <w:pPr>
              <w:pStyle w:val="11"/>
            </w:pPr>
          </w:p>
        </w:tc>
      </w:tr>
      <w:tr w14:paraId="0B878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B5604">
            <w:pPr>
              <w:pStyle w:val="13"/>
            </w:pPr>
            <w:r>
              <w:t>16</w:t>
            </w:r>
          </w:p>
        </w:tc>
        <w:tc>
          <w:tcPr>
            <w:tcW w:w="3402" w:type="dxa"/>
            <w:vAlign w:val="center"/>
          </w:tcPr>
          <w:p w14:paraId="6651808D">
            <w:pPr>
              <w:pStyle w:val="12"/>
            </w:pPr>
          </w:p>
        </w:tc>
        <w:tc>
          <w:tcPr>
            <w:tcW w:w="1474" w:type="dxa"/>
            <w:vAlign w:val="center"/>
          </w:tcPr>
          <w:p w14:paraId="5F15ADEC">
            <w:pPr>
              <w:pStyle w:val="11"/>
            </w:pPr>
          </w:p>
        </w:tc>
        <w:tc>
          <w:tcPr>
            <w:tcW w:w="3402" w:type="dxa"/>
            <w:vAlign w:val="center"/>
          </w:tcPr>
          <w:p w14:paraId="4E557A40">
            <w:pPr>
              <w:pStyle w:val="12"/>
            </w:pPr>
            <w:r>
              <w:t>十六、商业服务业等支出</w:t>
            </w:r>
          </w:p>
        </w:tc>
        <w:tc>
          <w:tcPr>
            <w:tcW w:w="1474" w:type="dxa"/>
            <w:vAlign w:val="center"/>
          </w:tcPr>
          <w:p w14:paraId="7AC7418E">
            <w:pPr>
              <w:pStyle w:val="11"/>
            </w:pPr>
          </w:p>
        </w:tc>
        <w:tc>
          <w:tcPr>
            <w:tcW w:w="1474" w:type="dxa"/>
            <w:vAlign w:val="center"/>
          </w:tcPr>
          <w:p w14:paraId="4A8C23F2">
            <w:pPr>
              <w:pStyle w:val="11"/>
            </w:pPr>
          </w:p>
        </w:tc>
        <w:tc>
          <w:tcPr>
            <w:tcW w:w="1474" w:type="dxa"/>
            <w:vAlign w:val="center"/>
          </w:tcPr>
          <w:p w14:paraId="792CFB0D">
            <w:pPr>
              <w:pStyle w:val="11"/>
            </w:pPr>
          </w:p>
        </w:tc>
        <w:tc>
          <w:tcPr>
            <w:tcW w:w="1474" w:type="dxa"/>
            <w:vAlign w:val="center"/>
          </w:tcPr>
          <w:p w14:paraId="43FE1BA3">
            <w:pPr>
              <w:pStyle w:val="11"/>
            </w:pPr>
          </w:p>
        </w:tc>
      </w:tr>
      <w:tr w14:paraId="03539749">
        <w:tblPrEx>
          <w:tblCellMar>
            <w:top w:w="0" w:type="dxa"/>
            <w:left w:w="108" w:type="dxa"/>
            <w:bottom w:w="0" w:type="dxa"/>
            <w:right w:w="108" w:type="dxa"/>
          </w:tblCellMar>
        </w:tblPrEx>
        <w:trPr>
          <w:trHeight w:val="369" w:hRule="atLeast"/>
          <w:jc w:val="center"/>
        </w:trPr>
        <w:tc>
          <w:tcPr>
            <w:tcW w:w="850" w:type="dxa"/>
            <w:vAlign w:val="center"/>
          </w:tcPr>
          <w:p w14:paraId="6AD74ED0">
            <w:pPr>
              <w:pStyle w:val="13"/>
            </w:pPr>
            <w:r>
              <w:t>17</w:t>
            </w:r>
          </w:p>
        </w:tc>
        <w:tc>
          <w:tcPr>
            <w:tcW w:w="3402" w:type="dxa"/>
            <w:vAlign w:val="center"/>
          </w:tcPr>
          <w:p w14:paraId="02929012">
            <w:pPr>
              <w:pStyle w:val="12"/>
            </w:pPr>
          </w:p>
        </w:tc>
        <w:tc>
          <w:tcPr>
            <w:tcW w:w="1474" w:type="dxa"/>
            <w:vAlign w:val="center"/>
          </w:tcPr>
          <w:p w14:paraId="3F0B22F8">
            <w:pPr>
              <w:pStyle w:val="11"/>
            </w:pPr>
          </w:p>
        </w:tc>
        <w:tc>
          <w:tcPr>
            <w:tcW w:w="3402" w:type="dxa"/>
            <w:vAlign w:val="center"/>
          </w:tcPr>
          <w:p w14:paraId="5A5D44AE">
            <w:pPr>
              <w:pStyle w:val="12"/>
            </w:pPr>
            <w:r>
              <w:t>十七、金融支出</w:t>
            </w:r>
          </w:p>
        </w:tc>
        <w:tc>
          <w:tcPr>
            <w:tcW w:w="1474" w:type="dxa"/>
            <w:vAlign w:val="center"/>
          </w:tcPr>
          <w:p w14:paraId="1E08DCD1">
            <w:pPr>
              <w:pStyle w:val="11"/>
            </w:pPr>
          </w:p>
        </w:tc>
        <w:tc>
          <w:tcPr>
            <w:tcW w:w="1474" w:type="dxa"/>
            <w:vAlign w:val="center"/>
          </w:tcPr>
          <w:p w14:paraId="003145AF">
            <w:pPr>
              <w:pStyle w:val="11"/>
            </w:pPr>
          </w:p>
        </w:tc>
        <w:tc>
          <w:tcPr>
            <w:tcW w:w="1474" w:type="dxa"/>
            <w:vAlign w:val="center"/>
          </w:tcPr>
          <w:p w14:paraId="0DE9A842">
            <w:pPr>
              <w:pStyle w:val="11"/>
            </w:pPr>
          </w:p>
        </w:tc>
        <w:tc>
          <w:tcPr>
            <w:tcW w:w="1474" w:type="dxa"/>
            <w:vAlign w:val="center"/>
          </w:tcPr>
          <w:p w14:paraId="00B30061">
            <w:pPr>
              <w:pStyle w:val="11"/>
            </w:pPr>
          </w:p>
        </w:tc>
      </w:tr>
      <w:tr w14:paraId="5FF8FD97">
        <w:tblPrEx>
          <w:tblCellMar>
            <w:top w:w="0" w:type="dxa"/>
            <w:left w:w="108" w:type="dxa"/>
            <w:bottom w:w="0" w:type="dxa"/>
            <w:right w:w="108" w:type="dxa"/>
          </w:tblCellMar>
        </w:tblPrEx>
        <w:trPr>
          <w:trHeight w:val="369" w:hRule="atLeast"/>
          <w:jc w:val="center"/>
        </w:trPr>
        <w:tc>
          <w:tcPr>
            <w:tcW w:w="850" w:type="dxa"/>
            <w:vAlign w:val="center"/>
          </w:tcPr>
          <w:p w14:paraId="5CCE7494">
            <w:pPr>
              <w:pStyle w:val="13"/>
            </w:pPr>
            <w:r>
              <w:t>18</w:t>
            </w:r>
          </w:p>
        </w:tc>
        <w:tc>
          <w:tcPr>
            <w:tcW w:w="3402" w:type="dxa"/>
            <w:vAlign w:val="center"/>
          </w:tcPr>
          <w:p w14:paraId="2416D1F1">
            <w:pPr>
              <w:pStyle w:val="12"/>
            </w:pPr>
          </w:p>
        </w:tc>
        <w:tc>
          <w:tcPr>
            <w:tcW w:w="1474" w:type="dxa"/>
            <w:vAlign w:val="center"/>
          </w:tcPr>
          <w:p w14:paraId="2B260F89">
            <w:pPr>
              <w:pStyle w:val="11"/>
            </w:pPr>
          </w:p>
        </w:tc>
        <w:tc>
          <w:tcPr>
            <w:tcW w:w="3402" w:type="dxa"/>
            <w:vAlign w:val="center"/>
          </w:tcPr>
          <w:p w14:paraId="21F14362">
            <w:pPr>
              <w:pStyle w:val="12"/>
            </w:pPr>
            <w:r>
              <w:t>十八、援助其他地区支出</w:t>
            </w:r>
          </w:p>
        </w:tc>
        <w:tc>
          <w:tcPr>
            <w:tcW w:w="1474" w:type="dxa"/>
            <w:vAlign w:val="center"/>
          </w:tcPr>
          <w:p w14:paraId="6F0638B7">
            <w:pPr>
              <w:pStyle w:val="11"/>
            </w:pPr>
          </w:p>
        </w:tc>
        <w:tc>
          <w:tcPr>
            <w:tcW w:w="1474" w:type="dxa"/>
            <w:vAlign w:val="center"/>
          </w:tcPr>
          <w:p w14:paraId="3061A770">
            <w:pPr>
              <w:pStyle w:val="11"/>
            </w:pPr>
          </w:p>
        </w:tc>
        <w:tc>
          <w:tcPr>
            <w:tcW w:w="1474" w:type="dxa"/>
            <w:vAlign w:val="center"/>
          </w:tcPr>
          <w:p w14:paraId="5743CFE4">
            <w:pPr>
              <w:pStyle w:val="11"/>
            </w:pPr>
          </w:p>
        </w:tc>
        <w:tc>
          <w:tcPr>
            <w:tcW w:w="1474" w:type="dxa"/>
            <w:vAlign w:val="center"/>
          </w:tcPr>
          <w:p w14:paraId="69840770">
            <w:pPr>
              <w:pStyle w:val="11"/>
            </w:pPr>
          </w:p>
        </w:tc>
      </w:tr>
      <w:tr w14:paraId="4AF1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0548">
            <w:pPr>
              <w:pStyle w:val="13"/>
            </w:pPr>
            <w:r>
              <w:t>19</w:t>
            </w:r>
          </w:p>
        </w:tc>
        <w:tc>
          <w:tcPr>
            <w:tcW w:w="3402" w:type="dxa"/>
            <w:vAlign w:val="center"/>
          </w:tcPr>
          <w:p w14:paraId="20ED1435">
            <w:pPr>
              <w:pStyle w:val="12"/>
            </w:pPr>
          </w:p>
        </w:tc>
        <w:tc>
          <w:tcPr>
            <w:tcW w:w="1474" w:type="dxa"/>
            <w:vAlign w:val="center"/>
          </w:tcPr>
          <w:p w14:paraId="69A742DA">
            <w:pPr>
              <w:pStyle w:val="11"/>
            </w:pPr>
          </w:p>
        </w:tc>
        <w:tc>
          <w:tcPr>
            <w:tcW w:w="3402" w:type="dxa"/>
            <w:vAlign w:val="center"/>
          </w:tcPr>
          <w:p w14:paraId="755972D5">
            <w:pPr>
              <w:pStyle w:val="12"/>
            </w:pPr>
            <w:r>
              <w:t>十九、自然资源海洋气象等支出</w:t>
            </w:r>
          </w:p>
        </w:tc>
        <w:tc>
          <w:tcPr>
            <w:tcW w:w="1474" w:type="dxa"/>
            <w:vAlign w:val="center"/>
          </w:tcPr>
          <w:p w14:paraId="0AB1381B">
            <w:pPr>
              <w:pStyle w:val="11"/>
            </w:pPr>
          </w:p>
        </w:tc>
        <w:tc>
          <w:tcPr>
            <w:tcW w:w="1474" w:type="dxa"/>
            <w:vAlign w:val="center"/>
          </w:tcPr>
          <w:p w14:paraId="68A22B77">
            <w:pPr>
              <w:pStyle w:val="11"/>
            </w:pPr>
          </w:p>
        </w:tc>
        <w:tc>
          <w:tcPr>
            <w:tcW w:w="1474" w:type="dxa"/>
            <w:vAlign w:val="center"/>
          </w:tcPr>
          <w:p w14:paraId="4EA6D7B0">
            <w:pPr>
              <w:pStyle w:val="11"/>
            </w:pPr>
          </w:p>
        </w:tc>
        <w:tc>
          <w:tcPr>
            <w:tcW w:w="1474" w:type="dxa"/>
            <w:vAlign w:val="center"/>
          </w:tcPr>
          <w:p w14:paraId="60A90119">
            <w:pPr>
              <w:pStyle w:val="11"/>
            </w:pPr>
          </w:p>
        </w:tc>
      </w:tr>
      <w:tr w14:paraId="7906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4217">
            <w:pPr>
              <w:pStyle w:val="13"/>
            </w:pPr>
            <w:r>
              <w:t>20</w:t>
            </w:r>
          </w:p>
        </w:tc>
        <w:tc>
          <w:tcPr>
            <w:tcW w:w="3402" w:type="dxa"/>
            <w:vAlign w:val="center"/>
          </w:tcPr>
          <w:p w14:paraId="478111FA">
            <w:pPr>
              <w:pStyle w:val="12"/>
            </w:pPr>
          </w:p>
        </w:tc>
        <w:tc>
          <w:tcPr>
            <w:tcW w:w="1474" w:type="dxa"/>
            <w:vAlign w:val="center"/>
          </w:tcPr>
          <w:p w14:paraId="53B0511A">
            <w:pPr>
              <w:pStyle w:val="11"/>
            </w:pPr>
          </w:p>
        </w:tc>
        <w:tc>
          <w:tcPr>
            <w:tcW w:w="3402" w:type="dxa"/>
            <w:vAlign w:val="center"/>
          </w:tcPr>
          <w:p w14:paraId="7AE31F34">
            <w:pPr>
              <w:pStyle w:val="12"/>
            </w:pPr>
            <w:r>
              <w:t>二十、住房保障支出</w:t>
            </w:r>
          </w:p>
        </w:tc>
        <w:tc>
          <w:tcPr>
            <w:tcW w:w="1474" w:type="dxa"/>
            <w:vAlign w:val="center"/>
          </w:tcPr>
          <w:p w14:paraId="059A9F78">
            <w:pPr>
              <w:pStyle w:val="11"/>
            </w:pPr>
          </w:p>
        </w:tc>
        <w:tc>
          <w:tcPr>
            <w:tcW w:w="1474" w:type="dxa"/>
            <w:vAlign w:val="center"/>
          </w:tcPr>
          <w:p w14:paraId="630F757F">
            <w:pPr>
              <w:pStyle w:val="11"/>
            </w:pPr>
          </w:p>
        </w:tc>
        <w:tc>
          <w:tcPr>
            <w:tcW w:w="1474" w:type="dxa"/>
            <w:vAlign w:val="center"/>
          </w:tcPr>
          <w:p w14:paraId="66704285">
            <w:pPr>
              <w:pStyle w:val="11"/>
            </w:pPr>
          </w:p>
        </w:tc>
        <w:tc>
          <w:tcPr>
            <w:tcW w:w="1474" w:type="dxa"/>
            <w:vAlign w:val="center"/>
          </w:tcPr>
          <w:p w14:paraId="7D6534CA">
            <w:pPr>
              <w:pStyle w:val="11"/>
            </w:pPr>
          </w:p>
        </w:tc>
      </w:tr>
      <w:tr w14:paraId="65BF6DCE">
        <w:tblPrEx>
          <w:tblCellMar>
            <w:top w:w="0" w:type="dxa"/>
            <w:left w:w="108" w:type="dxa"/>
            <w:bottom w:w="0" w:type="dxa"/>
            <w:right w:w="108" w:type="dxa"/>
          </w:tblCellMar>
        </w:tblPrEx>
        <w:trPr>
          <w:trHeight w:val="369" w:hRule="atLeast"/>
          <w:jc w:val="center"/>
        </w:trPr>
        <w:tc>
          <w:tcPr>
            <w:tcW w:w="850" w:type="dxa"/>
            <w:vAlign w:val="center"/>
          </w:tcPr>
          <w:p w14:paraId="434BCA49">
            <w:pPr>
              <w:pStyle w:val="13"/>
            </w:pPr>
            <w:r>
              <w:t>21</w:t>
            </w:r>
          </w:p>
        </w:tc>
        <w:tc>
          <w:tcPr>
            <w:tcW w:w="3402" w:type="dxa"/>
            <w:vAlign w:val="center"/>
          </w:tcPr>
          <w:p w14:paraId="49BCBFED">
            <w:pPr>
              <w:pStyle w:val="12"/>
            </w:pPr>
          </w:p>
        </w:tc>
        <w:tc>
          <w:tcPr>
            <w:tcW w:w="1474" w:type="dxa"/>
            <w:vAlign w:val="center"/>
          </w:tcPr>
          <w:p w14:paraId="56E5E65E">
            <w:pPr>
              <w:pStyle w:val="11"/>
            </w:pPr>
          </w:p>
        </w:tc>
        <w:tc>
          <w:tcPr>
            <w:tcW w:w="3402" w:type="dxa"/>
            <w:vAlign w:val="center"/>
          </w:tcPr>
          <w:p w14:paraId="143D8CFB">
            <w:pPr>
              <w:pStyle w:val="12"/>
            </w:pPr>
            <w:r>
              <w:t>二十一、粮油物资储备支出</w:t>
            </w:r>
          </w:p>
        </w:tc>
        <w:tc>
          <w:tcPr>
            <w:tcW w:w="1474" w:type="dxa"/>
            <w:vAlign w:val="center"/>
          </w:tcPr>
          <w:p w14:paraId="03EAA03A">
            <w:pPr>
              <w:pStyle w:val="11"/>
            </w:pPr>
          </w:p>
        </w:tc>
        <w:tc>
          <w:tcPr>
            <w:tcW w:w="1474" w:type="dxa"/>
            <w:vAlign w:val="center"/>
          </w:tcPr>
          <w:p w14:paraId="4A64F7C5">
            <w:pPr>
              <w:pStyle w:val="11"/>
            </w:pPr>
          </w:p>
        </w:tc>
        <w:tc>
          <w:tcPr>
            <w:tcW w:w="1474" w:type="dxa"/>
            <w:vAlign w:val="center"/>
          </w:tcPr>
          <w:p w14:paraId="03FAE9E5">
            <w:pPr>
              <w:pStyle w:val="11"/>
            </w:pPr>
          </w:p>
        </w:tc>
        <w:tc>
          <w:tcPr>
            <w:tcW w:w="1474" w:type="dxa"/>
            <w:vAlign w:val="center"/>
          </w:tcPr>
          <w:p w14:paraId="0CE7E65A">
            <w:pPr>
              <w:pStyle w:val="11"/>
            </w:pPr>
          </w:p>
        </w:tc>
      </w:tr>
      <w:tr w14:paraId="0C30FB86">
        <w:tblPrEx>
          <w:tblCellMar>
            <w:top w:w="0" w:type="dxa"/>
            <w:left w:w="108" w:type="dxa"/>
            <w:bottom w:w="0" w:type="dxa"/>
            <w:right w:w="108" w:type="dxa"/>
          </w:tblCellMar>
        </w:tblPrEx>
        <w:trPr>
          <w:trHeight w:val="369" w:hRule="atLeast"/>
          <w:jc w:val="center"/>
        </w:trPr>
        <w:tc>
          <w:tcPr>
            <w:tcW w:w="850" w:type="dxa"/>
            <w:vAlign w:val="center"/>
          </w:tcPr>
          <w:p w14:paraId="2DF79DC2">
            <w:pPr>
              <w:pStyle w:val="13"/>
            </w:pPr>
            <w:r>
              <w:t>22</w:t>
            </w:r>
          </w:p>
        </w:tc>
        <w:tc>
          <w:tcPr>
            <w:tcW w:w="3402" w:type="dxa"/>
            <w:vAlign w:val="center"/>
          </w:tcPr>
          <w:p w14:paraId="6C1202B0">
            <w:pPr>
              <w:pStyle w:val="12"/>
            </w:pPr>
          </w:p>
        </w:tc>
        <w:tc>
          <w:tcPr>
            <w:tcW w:w="1474" w:type="dxa"/>
            <w:vAlign w:val="center"/>
          </w:tcPr>
          <w:p w14:paraId="414DF5CF">
            <w:pPr>
              <w:pStyle w:val="11"/>
            </w:pPr>
          </w:p>
        </w:tc>
        <w:tc>
          <w:tcPr>
            <w:tcW w:w="3402" w:type="dxa"/>
            <w:vAlign w:val="center"/>
          </w:tcPr>
          <w:p w14:paraId="08A2039B">
            <w:pPr>
              <w:pStyle w:val="12"/>
            </w:pPr>
            <w:r>
              <w:t>二十二、国有资本经营预算支出</w:t>
            </w:r>
          </w:p>
        </w:tc>
        <w:tc>
          <w:tcPr>
            <w:tcW w:w="1474" w:type="dxa"/>
            <w:vAlign w:val="center"/>
          </w:tcPr>
          <w:p w14:paraId="2526B9AF">
            <w:pPr>
              <w:pStyle w:val="11"/>
            </w:pPr>
          </w:p>
        </w:tc>
        <w:tc>
          <w:tcPr>
            <w:tcW w:w="1474" w:type="dxa"/>
            <w:vAlign w:val="center"/>
          </w:tcPr>
          <w:p w14:paraId="778896AB">
            <w:pPr>
              <w:pStyle w:val="11"/>
            </w:pPr>
          </w:p>
        </w:tc>
        <w:tc>
          <w:tcPr>
            <w:tcW w:w="1474" w:type="dxa"/>
            <w:vAlign w:val="center"/>
          </w:tcPr>
          <w:p w14:paraId="29BF96F8">
            <w:pPr>
              <w:pStyle w:val="11"/>
            </w:pPr>
          </w:p>
        </w:tc>
        <w:tc>
          <w:tcPr>
            <w:tcW w:w="1474" w:type="dxa"/>
            <w:vAlign w:val="center"/>
          </w:tcPr>
          <w:p w14:paraId="339413D6">
            <w:pPr>
              <w:pStyle w:val="11"/>
            </w:pPr>
          </w:p>
        </w:tc>
      </w:tr>
      <w:tr w14:paraId="43B30573">
        <w:tblPrEx>
          <w:tblCellMar>
            <w:top w:w="0" w:type="dxa"/>
            <w:left w:w="108" w:type="dxa"/>
            <w:bottom w:w="0" w:type="dxa"/>
            <w:right w:w="108" w:type="dxa"/>
          </w:tblCellMar>
        </w:tblPrEx>
        <w:trPr>
          <w:trHeight w:val="369" w:hRule="atLeast"/>
          <w:jc w:val="center"/>
        </w:trPr>
        <w:tc>
          <w:tcPr>
            <w:tcW w:w="850" w:type="dxa"/>
            <w:vAlign w:val="center"/>
          </w:tcPr>
          <w:p w14:paraId="22D53EF5">
            <w:pPr>
              <w:pStyle w:val="13"/>
            </w:pPr>
            <w:r>
              <w:t>23</w:t>
            </w:r>
          </w:p>
        </w:tc>
        <w:tc>
          <w:tcPr>
            <w:tcW w:w="3402" w:type="dxa"/>
            <w:vAlign w:val="center"/>
          </w:tcPr>
          <w:p w14:paraId="4DB82374">
            <w:pPr>
              <w:pStyle w:val="12"/>
            </w:pPr>
          </w:p>
        </w:tc>
        <w:tc>
          <w:tcPr>
            <w:tcW w:w="1474" w:type="dxa"/>
            <w:vAlign w:val="center"/>
          </w:tcPr>
          <w:p w14:paraId="441E2A4F">
            <w:pPr>
              <w:pStyle w:val="11"/>
            </w:pPr>
          </w:p>
        </w:tc>
        <w:tc>
          <w:tcPr>
            <w:tcW w:w="3402" w:type="dxa"/>
            <w:vAlign w:val="center"/>
          </w:tcPr>
          <w:p w14:paraId="18A511A7">
            <w:pPr>
              <w:pStyle w:val="12"/>
            </w:pPr>
            <w:r>
              <w:t>二十三、灾害防治及应急管理支出</w:t>
            </w:r>
          </w:p>
        </w:tc>
        <w:tc>
          <w:tcPr>
            <w:tcW w:w="1474" w:type="dxa"/>
            <w:vAlign w:val="center"/>
          </w:tcPr>
          <w:p w14:paraId="5592C6E8">
            <w:pPr>
              <w:pStyle w:val="11"/>
            </w:pPr>
          </w:p>
        </w:tc>
        <w:tc>
          <w:tcPr>
            <w:tcW w:w="1474" w:type="dxa"/>
            <w:vAlign w:val="center"/>
          </w:tcPr>
          <w:p w14:paraId="4975B6FC">
            <w:pPr>
              <w:pStyle w:val="11"/>
            </w:pPr>
          </w:p>
        </w:tc>
        <w:tc>
          <w:tcPr>
            <w:tcW w:w="1474" w:type="dxa"/>
            <w:vAlign w:val="center"/>
          </w:tcPr>
          <w:p w14:paraId="467E634E">
            <w:pPr>
              <w:pStyle w:val="11"/>
            </w:pPr>
          </w:p>
        </w:tc>
        <w:tc>
          <w:tcPr>
            <w:tcW w:w="1474" w:type="dxa"/>
            <w:vAlign w:val="center"/>
          </w:tcPr>
          <w:p w14:paraId="7C105EB2">
            <w:pPr>
              <w:pStyle w:val="11"/>
            </w:pPr>
          </w:p>
        </w:tc>
      </w:tr>
      <w:tr w14:paraId="30D3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53E7E">
            <w:pPr>
              <w:pStyle w:val="13"/>
            </w:pPr>
            <w:r>
              <w:t>24</w:t>
            </w:r>
          </w:p>
        </w:tc>
        <w:tc>
          <w:tcPr>
            <w:tcW w:w="3402" w:type="dxa"/>
            <w:vAlign w:val="center"/>
          </w:tcPr>
          <w:p w14:paraId="1E9C438A">
            <w:pPr>
              <w:pStyle w:val="12"/>
            </w:pPr>
          </w:p>
        </w:tc>
        <w:tc>
          <w:tcPr>
            <w:tcW w:w="1474" w:type="dxa"/>
            <w:vAlign w:val="center"/>
          </w:tcPr>
          <w:p w14:paraId="5714FA43">
            <w:pPr>
              <w:pStyle w:val="11"/>
            </w:pPr>
          </w:p>
        </w:tc>
        <w:tc>
          <w:tcPr>
            <w:tcW w:w="3402" w:type="dxa"/>
            <w:vAlign w:val="center"/>
          </w:tcPr>
          <w:p w14:paraId="1538D869">
            <w:pPr>
              <w:pStyle w:val="12"/>
            </w:pPr>
            <w:r>
              <w:t>二十四、预备费</w:t>
            </w:r>
          </w:p>
        </w:tc>
        <w:tc>
          <w:tcPr>
            <w:tcW w:w="1474" w:type="dxa"/>
            <w:vAlign w:val="center"/>
          </w:tcPr>
          <w:p w14:paraId="29A133C8">
            <w:pPr>
              <w:pStyle w:val="11"/>
            </w:pPr>
          </w:p>
        </w:tc>
        <w:tc>
          <w:tcPr>
            <w:tcW w:w="1474" w:type="dxa"/>
            <w:vAlign w:val="center"/>
          </w:tcPr>
          <w:p w14:paraId="7BF62B8D">
            <w:pPr>
              <w:pStyle w:val="11"/>
            </w:pPr>
          </w:p>
        </w:tc>
        <w:tc>
          <w:tcPr>
            <w:tcW w:w="1474" w:type="dxa"/>
            <w:vAlign w:val="center"/>
          </w:tcPr>
          <w:p w14:paraId="60F80677">
            <w:pPr>
              <w:pStyle w:val="11"/>
            </w:pPr>
          </w:p>
        </w:tc>
        <w:tc>
          <w:tcPr>
            <w:tcW w:w="1474" w:type="dxa"/>
            <w:vAlign w:val="center"/>
          </w:tcPr>
          <w:p w14:paraId="3F024F1E">
            <w:pPr>
              <w:pStyle w:val="11"/>
            </w:pPr>
          </w:p>
        </w:tc>
      </w:tr>
      <w:tr w14:paraId="7255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96F1C">
            <w:pPr>
              <w:pStyle w:val="13"/>
            </w:pPr>
            <w:r>
              <w:t>25</w:t>
            </w:r>
          </w:p>
        </w:tc>
        <w:tc>
          <w:tcPr>
            <w:tcW w:w="3402" w:type="dxa"/>
            <w:vAlign w:val="center"/>
          </w:tcPr>
          <w:p w14:paraId="164EE7C7">
            <w:pPr>
              <w:pStyle w:val="12"/>
            </w:pPr>
          </w:p>
        </w:tc>
        <w:tc>
          <w:tcPr>
            <w:tcW w:w="1474" w:type="dxa"/>
            <w:vAlign w:val="center"/>
          </w:tcPr>
          <w:p w14:paraId="6D39F150">
            <w:pPr>
              <w:pStyle w:val="11"/>
            </w:pPr>
          </w:p>
        </w:tc>
        <w:tc>
          <w:tcPr>
            <w:tcW w:w="3402" w:type="dxa"/>
            <w:vAlign w:val="center"/>
          </w:tcPr>
          <w:p w14:paraId="7B55C46E">
            <w:pPr>
              <w:pStyle w:val="12"/>
            </w:pPr>
            <w:r>
              <w:t>二十五、其他支出</w:t>
            </w:r>
          </w:p>
        </w:tc>
        <w:tc>
          <w:tcPr>
            <w:tcW w:w="1474" w:type="dxa"/>
            <w:vAlign w:val="center"/>
          </w:tcPr>
          <w:p w14:paraId="7FF78835">
            <w:pPr>
              <w:pStyle w:val="11"/>
            </w:pPr>
          </w:p>
        </w:tc>
        <w:tc>
          <w:tcPr>
            <w:tcW w:w="1474" w:type="dxa"/>
            <w:vAlign w:val="center"/>
          </w:tcPr>
          <w:p w14:paraId="2CAB9B92">
            <w:pPr>
              <w:pStyle w:val="11"/>
            </w:pPr>
          </w:p>
        </w:tc>
        <w:tc>
          <w:tcPr>
            <w:tcW w:w="1474" w:type="dxa"/>
            <w:vAlign w:val="center"/>
          </w:tcPr>
          <w:p w14:paraId="5651905A">
            <w:pPr>
              <w:pStyle w:val="11"/>
            </w:pPr>
          </w:p>
        </w:tc>
        <w:tc>
          <w:tcPr>
            <w:tcW w:w="1474" w:type="dxa"/>
            <w:vAlign w:val="center"/>
          </w:tcPr>
          <w:p w14:paraId="10058C71">
            <w:pPr>
              <w:pStyle w:val="11"/>
            </w:pPr>
          </w:p>
        </w:tc>
      </w:tr>
      <w:tr w14:paraId="122F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09D37">
            <w:pPr>
              <w:pStyle w:val="13"/>
            </w:pPr>
            <w:r>
              <w:t>26</w:t>
            </w:r>
          </w:p>
        </w:tc>
        <w:tc>
          <w:tcPr>
            <w:tcW w:w="3402" w:type="dxa"/>
            <w:vAlign w:val="center"/>
          </w:tcPr>
          <w:p w14:paraId="2A0DB599">
            <w:pPr>
              <w:pStyle w:val="12"/>
            </w:pPr>
          </w:p>
        </w:tc>
        <w:tc>
          <w:tcPr>
            <w:tcW w:w="1474" w:type="dxa"/>
            <w:vAlign w:val="center"/>
          </w:tcPr>
          <w:p w14:paraId="407FEEEA">
            <w:pPr>
              <w:pStyle w:val="11"/>
            </w:pPr>
          </w:p>
        </w:tc>
        <w:tc>
          <w:tcPr>
            <w:tcW w:w="3402" w:type="dxa"/>
            <w:vAlign w:val="center"/>
          </w:tcPr>
          <w:p w14:paraId="1F52975F">
            <w:pPr>
              <w:pStyle w:val="12"/>
            </w:pPr>
            <w:r>
              <w:t>二十六、转移性支出</w:t>
            </w:r>
          </w:p>
        </w:tc>
        <w:tc>
          <w:tcPr>
            <w:tcW w:w="1474" w:type="dxa"/>
            <w:vAlign w:val="center"/>
          </w:tcPr>
          <w:p w14:paraId="75299231">
            <w:pPr>
              <w:pStyle w:val="11"/>
            </w:pPr>
          </w:p>
        </w:tc>
        <w:tc>
          <w:tcPr>
            <w:tcW w:w="1474" w:type="dxa"/>
            <w:vAlign w:val="center"/>
          </w:tcPr>
          <w:p w14:paraId="714AC540">
            <w:pPr>
              <w:pStyle w:val="11"/>
            </w:pPr>
          </w:p>
        </w:tc>
        <w:tc>
          <w:tcPr>
            <w:tcW w:w="1474" w:type="dxa"/>
            <w:vAlign w:val="center"/>
          </w:tcPr>
          <w:p w14:paraId="7C8A217C">
            <w:pPr>
              <w:pStyle w:val="11"/>
            </w:pPr>
          </w:p>
        </w:tc>
        <w:tc>
          <w:tcPr>
            <w:tcW w:w="1474" w:type="dxa"/>
            <w:vAlign w:val="center"/>
          </w:tcPr>
          <w:p w14:paraId="4B3B0225">
            <w:pPr>
              <w:pStyle w:val="11"/>
            </w:pPr>
          </w:p>
        </w:tc>
      </w:tr>
      <w:tr w14:paraId="05FC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8C363">
            <w:pPr>
              <w:pStyle w:val="13"/>
            </w:pPr>
            <w:r>
              <w:t>27</w:t>
            </w:r>
          </w:p>
        </w:tc>
        <w:tc>
          <w:tcPr>
            <w:tcW w:w="3402" w:type="dxa"/>
            <w:vAlign w:val="center"/>
          </w:tcPr>
          <w:p w14:paraId="1A0CA9F6">
            <w:pPr>
              <w:pStyle w:val="12"/>
            </w:pPr>
          </w:p>
        </w:tc>
        <w:tc>
          <w:tcPr>
            <w:tcW w:w="1474" w:type="dxa"/>
            <w:vAlign w:val="center"/>
          </w:tcPr>
          <w:p w14:paraId="44B1E5AC">
            <w:pPr>
              <w:pStyle w:val="11"/>
            </w:pPr>
          </w:p>
        </w:tc>
        <w:tc>
          <w:tcPr>
            <w:tcW w:w="3402" w:type="dxa"/>
            <w:vAlign w:val="center"/>
          </w:tcPr>
          <w:p w14:paraId="486E31A0">
            <w:pPr>
              <w:pStyle w:val="12"/>
            </w:pPr>
            <w:r>
              <w:t>二十七、债务还本支出</w:t>
            </w:r>
          </w:p>
        </w:tc>
        <w:tc>
          <w:tcPr>
            <w:tcW w:w="1474" w:type="dxa"/>
            <w:vAlign w:val="center"/>
          </w:tcPr>
          <w:p w14:paraId="58E033E9">
            <w:pPr>
              <w:pStyle w:val="11"/>
            </w:pPr>
          </w:p>
        </w:tc>
        <w:tc>
          <w:tcPr>
            <w:tcW w:w="1474" w:type="dxa"/>
            <w:vAlign w:val="center"/>
          </w:tcPr>
          <w:p w14:paraId="17D8FC5A">
            <w:pPr>
              <w:pStyle w:val="11"/>
            </w:pPr>
          </w:p>
        </w:tc>
        <w:tc>
          <w:tcPr>
            <w:tcW w:w="1474" w:type="dxa"/>
            <w:vAlign w:val="center"/>
          </w:tcPr>
          <w:p w14:paraId="0F2EA6A2">
            <w:pPr>
              <w:pStyle w:val="11"/>
            </w:pPr>
          </w:p>
        </w:tc>
        <w:tc>
          <w:tcPr>
            <w:tcW w:w="1474" w:type="dxa"/>
            <w:vAlign w:val="center"/>
          </w:tcPr>
          <w:p w14:paraId="724A00D6">
            <w:pPr>
              <w:pStyle w:val="11"/>
            </w:pPr>
          </w:p>
        </w:tc>
      </w:tr>
      <w:tr w14:paraId="3387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52F75">
            <w:pPr>
              <w:pStyle w:val="13"/>
            </w:pPr>
            <w:r>
              <w:t>28</w:t>
            </w:r>
          </w:p>
        </w:tc>
        <w:tc>
          <w:tcPr>
            <w:tcW w:w="3402" w:type="dxa"/>
            <w:vAlign w:val="center"/>
          </w:tcPr>
          <w:p w14:paraId="5712F007">
            <w:pPr>
              <w:pStyle w:val="12"/>
            </w:pPr>
          </w:p>
        </w:tc>
        <w:tc>
          <w:tcPr>
            <w:tcW w:w="1474" w:type="dxa"/>
            <w:vAlign w:val="center"/>
          </w:tcPr>
          <w:p w14:paraId="6462052E">
            <w:pPr>
              <w:pStyle w:val="11"/>
            </w:pPr>
          </w:p>
        </w:tc>
        <w:tc>
          <w:tcPr>
            <w:tcW w:w="3402" w:type="dxa"/>
            <w:vAlign w:val="center"/>
          </w:tcPr>
          <w:p w14:paraId="7D196FE5">
            <w:pPr>
              <w:pStyle w:val="12"/>
            </w:pPr>
            <w:r>
              <w:t>二十八、债务付息支出</w:t>
            </w:r>
          </w:p>
        </w:tc>
        <w:tc>
          <w:tcPr>
            <w:tcW w:w="1474" w:type="dxa"/>
            <w:vAlign w:val="center"/>
          </w:tcPr>
          <w:p w14:paraId="4CB31298">
            <w:pPr>
              <w:pStyle w:val="11"/>
            </w:pPr>
          </w:p>
        </w:tc>
        <w:tc>
          <w:tcPr>
            <w:tcW w:w="1474" w:type="dxa"/>
            <w:vAlign w:val="center"/>
          </w:tcPr>
          <w:p w14:paraId="7DA58B63">
            <w:pPr>
              <w:pStyle w:val="11"/>
            </w:pPr>
          </w:p>
        </w:tc>
        <w:tc>
          <w:tcPr>
            <w:tcW w:w="1474" w:type="dxa"/>
            <w:vAlign w:val="center"/>
          </w:tcPr>
          <w:p w14:paraId="7446631D">
            <w:pPr>
              <w:pStyle w:val="11"/>
            </w:pPr>
          </w:p>
        </w:tc>
        <w:tc>
          <w:tcPr>
            <w:tcW w:w="1474" w:type="dxa"/>
            <w:vAlign w:val="center"/>
          </w:tcPr>
          <w:p w14:paraId="767EF27B">
            <w:pPr>
              <w:pStyle w:val="11"/>
            </w:pPr>
          </w:p>
        </w:tc>
      </w:tr>
      <w:tr w14:paraId="78AB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42BB">
            <w:pPr>
              <w:pStyle w:val="13"/>
            </w:pPr>
            <w:r>
              <w:t>29</w:t>
            </w:r>
          </w:p>
        </w:tc>
        <w:tc>
          <w:tcPr>
            <w:tcW w:w="3402" w:type="dxa"/>
            <w:vAlign w:val="center"/>
          </w:tcPr>
          <w:p w14:paraId="2F160D31">
            <w:pPr>
              <w:pStyle w:val="12"/>
            </w:pPr>
          </w:p>
        </w:tc>
        <w:tc>
          <w:tcPr>
            <w:tcW w:w="1474" w:type="dxa"/>
            <w:vAlign w:val="center"/>
          </w:tcPr>
          <w:p w14:paraId="75F2ACD5">
            <w:pPr>
              <w:pStyle w:val="11"/>
            </w:pPr>
          </w:p>
        </w:tc>
        <w:tc>
          <w:tcPr>
            <w:tcW w:w="3402" w:type="dxa"/>
            <w:vAlign w:val="center"/>
          </w:tcPr>
          <w:p w14:paraId="0ED59B55">
            <w:pPr>
              <w:pStyle w:val="12"/>
            </w:pPr>
            <w:r>
              <w:t>二十九、债务发行费用支出</w:t>
            </w:r>
          </w:p>
        </w:tc>
        <w:tc>
          <w:tcPr>
            <w:tcW w:w="1474" w:type="dxa"/>
            <w:vAlign w:val="center"/>
          </w:tcPr>
          <w:p w14:paraId="086AEE7B">
            <w:pPr>
              <w:pStyle w:val="11"/>
            </w:pPr>
          </w:p>
        </w:tc>
        <w:tc>
          <w:tcPr>
            <w:tcW w:w="1474" w:type="dxa"/>
            <w:vAlign w:val="center"/>
          </w:tcPr>
          <w:p w14:paraId="44F2F6B5">
            <w:pPr>
              <w:pStyle w:val="11"/>
            </w:pPr>
          </w:p>
        </w:tc>
        <w:tc>
          <w:tcPr>
            <w:tcW w:w="1474" w:type="dxa"/>
            <w:vAlign w:val="center"/>
          </w:tcPr>
          <w:p w14:paraId="7E59843E">
            <w:pPr>
              <w:pStyle w:val="11"/>
            </w:pPr>
          </w:p>
        </w:tc>
        <w:tc>
          <w:tcPr>
            <w:tcW w:w="1474" w:type="dxa"/>
            <w:vAlign w:val="center"/>
          </w:tcPr>
          <w:p w14:paraId="5955FA7B">
            <w:pPr>
              <w:pStyle w:val="11"/>
            </w:pPr>
          </w:p>
        </w:tc>
      </w:tr>
      <w:tr w14:paraId="3DEC2307">
        <w:tblPrEx>
          <w:tblCellMar>
            <w:top w:w="0" w:type="dxa"/>
            <w:left w:w="108" w:type="dxa"/>
            <w:bottom w:w="0" w:type="dxa"/>
            <w:right w:w="108" w:type="dxa"/>
          </w:tblCellMar>
        </w:tblPrEx>
        <w:trPr>
          <w:trHeight w:val="369" w:hRule="atLeast"/>
          <w:jc w:val="center"/>
        </w:trPr>
        <w:tc>
          <w:tcPr>
            <w:tcW w:w="850" w:type="dxa"/>
            <w:vAlign w:val="center"/>
          </w:tcPr>
          <w:p w14:paraId="62CE2473">
            <w:pPr>
              <w:pStyle w:val="13"/>
            </w:pPr>
            <w:r>
              <w:t>30</w:t>
            </w:r>
          </w:p>
        </w:tc>
        <w:tc>
          <w:tcPr>
            <w:tcW w:w="3402" w:type="dxa"/>
            <w:vAlign w:val="center"/>
          </w:tcPr>
          <w:p w14:paraId="266215D0">
            <w:pPr>
              <w:pStyle w:val="12"/>
            </w:pPr>
          </w:p>
        </w:tc>
        <w:tc>
          <w:tcPr>
            <w:tcW w:w="1474" w:type="dxa"/>
            <w:vAlign w:val="center"/>
          </w:tcPr>
          <w:p w14:paraId="44A37295">
            <w:pPr>
              <w:pStyle w:val="11"/>
            </w:pPr>
          </w:p>
        </w:tc>
        <w:tc>
          <w:tcPr>
            <w:tcW w:w="3402" w:type="dxa"/>
            <w:vAlign w:val="center"/>
          </w:tcPr>
          <w:p w14:paraId="5BEF3E84">
            <w:pPr>
              <w:pStyle w:val="12"/>
            </w:pPr>
            <w:r>
              <w:t>三十、抗疫特别国债安排的支出</w:t>
            </w:r>
          </w:p>
        </w:tc>
        <w:tc>
          <w:tcPr>
            <w:tcW w:w="1474" w:type="dxa"/>
            <w:vAlign w:val="center"/>
          </w:tcPr>
          <w:p w14:paraId="2E2ABD37">
            <w:pPr>
              <w:pStyle w:val="11"/>
            </w:pPr>
          </w:p>
        </w:tc>
        <w:tc>
          <w:tcPr>
            <w:tcW w:w="1474" w:type="dxa"/>
            <w:vAlign w:val="center"/>
          </w:tcPr>
          <w:p w14:paraId="2C0C31D2">
            <w:pPr>
              <w:pStyle w:val="11"/>
            </w:pPr>
          </w:p>
        </w:tc>
        <w:tc>
          <w:tcPr>
            <w:tcW w:w="1474" w:type="dxa"/>
            <w:vAlign w:val="center"/>
          </w:tcPr>
          <w:p w14:paraId="3B2C3724">
            <w:pPr>
              <w:pStyle w:val="11"/>
            </w:pPr>
          </w:p>
        </w:tc>
        <w:tc>
          <w:tcPr>
            <w:tcW w:w="1474" w:type="dxa"/>
            <w:vAlign w:val="center"/>
          </w:tcPr>
          <w:p w14:paraId="4A8B62F0">
            <w:pPr>
              <w:pStyle w:val="11"/>
            </w:pPr>
          </w:p>
        </w:tc>
      </w:tr>
      <w:tr w14:paraId="4FC5D3AC">
        <w:tblPrEx>
          <w:tblCellMar>
            <w:top w:w="0" w:type="dxa"/>
            <w:left w:w="108" w:type="dxa"/>
            <w:bottom w:w="0" w:type="dxa"/>
            <w:right w:w="108" w:type="dxa"/>
          </w:tblCellMar>
        </w:tblPrEx>
        <w:trPr>
          <w:trHeight w:val="369" w:hRule="atLeast"/>
          <w:jc w:val="center"/>
        </w:trPr>
        <w:tc>
          <w:tcPr>
            <w:tcW w:w="850" w:type="dxa"/>
            <w:vAlign w:val="center"/>
          </w:tcPr>
          <w:p w14:paraId="5473A2D3">
            <w:pPr>
              <w:pStyle w:val="13"/>
            </w:pPr>
            <w:r>
              <w:t>31</w:t>
            </w:r>
          </w:p>
        </w:tc>
        <w:tc>
          <w:tcPr>
            <w:tcW w:w="3402" w:type="dxa"/>
            <w:vAlign w:val="center"/>
          </w:tcPr>
          <w:p w14:paraId="3C6EE763">
            <w:pPr>
              <w:pStyle w:val="12"/>
            </w:pPr>
          </w:p>
        </w:tc>
        <w:tc>
          <w:tcPr>
            <w:tcW w:w="1474" w:type="dxa"/>
            <w:vAlign w:val="center"/>
          </w:tcPr>
          <w:p w14:paraId="5FB7E98E">
            <w:pPr>
              <w:pStyle w:val="11"/>
            </w:pPr>
          </w:p>
        </w:tc>
        <w:tc>
          <w:tcPr>
            <w:tcW w:w="3402" w:type="dxa"/>
            <w:vAlign w:val="center"/>
          </w:tcPr>
          <w:p w14:paraId="0118E699">
            <w:pPr>
              <w:pStyle w:val="12"/>
            </w:pPr>
            <w:r>
              <w:t>三十一、人行科目</w:t>
            </w:r>
          </w:p>
        </w:tc>
        <w:tc>
          <w:tcPr>
            <w:tcW w:w="1474" w:type="dxa"/>
            <w:vAlign w:val="center"/>
          </w:tcPr>
          <w:p w14:paraId="32506836">
            <w:pPr>
              <w:pStyle w:val="11"/>
            </w:pPr>
          </w:p>
        </w:tc>
        <w:tc>
          <w:tcPr>
            <w:tcW w:w="1474" w:type="dxa"/>
            <w:vAlign w:val="center"/>
          </w:tcPr>
          <w:p w14:paraId="00143D72">
            <w:pPr>
              <w:pStyle w:val="11"/>
            </w:pPr>
          </w:p>
        </w:tc>
        <w:tc>
          <w:tcPr>
            <w:tcW w:w="1474" w:type="dxa"/>
            <w:vAlign w:val="center"/>
          </w:tcPr>
          <w:p w14:paraId="4A71A897">
            <w:pPr>
              <w:pStyle w:val="11"/>
            </w:pPr>
          </w:p>
        </w:tc>
        <w:tc>
          <w:tcPr>
            <w:tcW w:w="1474" w:type="dxa"/>
            <w:vAlign w:val="center"/>
          </w:tcPr>
          <w:p w14:paraId="6711910E">
            <w:pPr>
              <w:pStyle w:val="11"/>
            </w:pPr>
          </w:p>
        </w:tc>
      </w:tr>
      <w:tr w14:paraId="12591AD3">
        <w:tblPrEx>
          <w:tblCellMar>
            <w:top w:w="0" w:type="dxa"/>
            <w:left w:w="108" w:type="dxa"/>
            <w:bottom w:w="0" w:type="dxa"/>
            <w:right w:w="108" w:type="dxa"/>
          </w:tblCellMar>
        </w:tblPrEx>
        <w:trPr>
          <w:trHeight w:val="369" w:hRule="atLeast"/>
          <w:jc w:val="center"/>
        </w:trPr>
        <w:tc>
          <w:tcPr>
            <w:tcW w:w="850" w:type="dxa"/>
            <w:vAlign w:val="center"/>
          </w:tcPr>
          <w:p w14:paraId="0C0ACA9A">
            <w:pPr>
              <w:pStyle w:val="13"/>
            </w:pPr>
            <w:r>
              <w:t>32</w:t>
            </w:r>
          </w:p>
        </w:tc>
        <w:tc>
          <w:tcPr>
            <w:tcW w:w="3402" w:type="dxa"/>
            <w:vAlign w:val="center"/>
          </w:tcPr>
          <w:p w14:paraId="53F1F373">
            <w:pPr>
              <w:pStyle w:val="14"/>
            </w:pPr>
            <w:r>
              <w:t>本年收入合计</w:t>
            </w:r>
          </w:p>
        </w:tc>
        <w:tc>
          <w:tcPr>
            <w:tcW w:w="1474" w:type="dxa"/>
            <w:vAlign w:val="center"/>
          </w:tcPr>
          <w:p w14:paraId="3D9AB8BB">
            <w:pPr>
              <w:pStyle w:val="15"/>
            </w:pPr>
            <w:r>
              <w:t>2256.08</w:t>
            </w:r>
          </w:p>
        </w:tc>
        <w:tc>
          <w:tcPr>
            <w:tcW w:w="3402" w:type="dxa"/>
            <w:vAlign w:val="center"/>
          </w:tcPr>
          <w:p w14:paraId="799F733B">
            <w:pPr>
              <w:pStyle w:val="14"/>
            </w:pPr>
            <w:r>
              <w:t>本年支出合计</w:t>
            </w:r>
          </w:p>
        </w:tc>
        <w:tc>
          <w:tcPr>
            <w:tcW w:w="1474" w:type="dxa"/>
            <w:vAlign w:val="center"/>
          </w:tcPr>
          <w:p w14:paraId="5BF092F0">
            <w:pPr>
              <w:pStyle w:val="15"/>
            </w:pPr>
            <w:r>
              <w:t>2256.08</w:t>
            </w:r>
          </w:p>
        </w:tc>
        <w:tc>
          <w:tcPr>
            <w:tcW w:w="1474" w:type="dxa"/>
            <w:vAlign w:val="center"/>
          </w:tcPr>
          <w:p w14:paraId="778E33E1">
            <w:pPr>
              <w:pStyle w:val="15"/>
            </w:pPr>
            <w:r>
              <w:t>2256.08</w:t>
            </w:r>
          </w:p>
        </w:tc>
        <w:tc>
          <w:tcPr>
            <w:tcW w:w="1474" w:type="dxa"/>
            <w:vAlign w:val="center"/>
          </w:tcPr>
          <w:p w14:paraId="3D853D55">
            <w:pPr>
              <w:pStyle w:val="15"/>
            </w:pPr>
          </w:p>
        </w:tc>
        <w:tc>
          <w:tcPr>
            <w:tcW w:w="1474" w:type="dxa"/>
            <w:vAlign w:val="center"/>
          </w:tcPr>
          <w:p w14:paraId="0961668C">
            <w:pPr>
              <w:pStyle w:val="15"/>
            </w:pPr>
          </w:p>
        </w:tc>
      </w:tr>
      <w:tr w14:paraId="51B82D3B">
        <w:tblPrEx>
          <w:tblCellMar>
            <w:top w:w="0" w:type="dxa"/>
            <w:left w:w="108" w:type="dxa"/>
            <w:bottom w:w="0" w:type="dxa"/>
            <w:right w:w="108" w:type="dxa"/>
          </w:tblCellMar>
        </w:tblPrEx>
        <w:trPr>
          <w:trHeight w:val="369" w:hRule="atLeast"/>
          <w:jc w:val="center"/>
        </w:trPr>
        <w:tc>
          <w:tcPr>
            <w:tcW w:w="850" w:type="dxa"/>
            <w:vAlign w:val="center"/>
          </w:tcPr>
          <w:p w14:paraId="49603F84">
            <w:pPr>
              <w:pStyle w:val="13"/>
            </w:pPr>
            <w:r>
              <w:t>33</w:t>
            </w:r>
          </w:p>
        </w:tc>
        <w:tc>
          <w:tcPr>
            <w:tcW w:w="3402" w:type="dxa"/>
            <w:vAlign w:val="center"/>
          </w:tcPr>
          <w:p w14:paraId="237C05BF">
            <w:pPr>
              <w:pStyle w:val="12"/>
            </w:pPr>
            <w:r>
              <w:t>年初财政拨款结转和结余</w:t>
            </w:r>
          </w:p>
        </w:tc>
        <w:tc>
          <w:tcPr>
            <w:tcW w:w="1474" w:type="dxa"/>
            <w:vAlign w:val="center"/>
          </w:tcPr>
          <w:p w14:paraId="6846A4BB">
            <w:pPr>
              <w:pStyle w:val="11"/>
            </w:pPr>
          </w:p>
        </w:tc>
        <w:tc>
          <w:tcPr>
            <w:tcW w:w="3402" w:type="dxa"/>
            <w:vAlign w:val="center"/>
          </w:tcPr>
          <w:p w14:paraId="34B5B897">
            <w:pPr>
              <w:pStyle w:val="12"/>
            </w:pPr>
            <w:r>
              <w:t>年末财政拨款结转和结余</w:t>
            </w:r>
          </w:p>
        </w:tc>
        <w:tc>
          <w:tcPr>
            <w:tcW w:w="1474" w:type="dxa"/>
            <w:vAlign w:val="center"/>
          </w:tcPr>
          <w:p w14:paraId="58E2B297">
            <w:pPr>
              <w:pStyle w:val="11"/>
            </w:pPr>
          </w:p>
        </w:tc>
        <w:tc>
          <w:tcPr>
            <w:tcW w:w="1474" w:type="dxa"/>
            <w:vAlign w:val="center"/>
          </w:tcPr>
          <w:p w14:paraId="635A4D78">
            <w:pPr>
              <w:pStyle w:val="11"/>
            </w:pPr>
          </w:p>
        </w:tc>
        <w:tc>
          <w:tcPr>
            <w:tcW w:w="1474" w:type="dxa"/>
            <w:vAlign w:val="center"/>
          </w:tcPr>
          <w:p w14:paraId="6C1D9709">
            <w:pPr>
              <w:pStyle w:val="11"/>
            </w:pPr>
          </w:p>
        </w:tc>
        <w:tc>
          <w:tcPr>
            <w:tcW w:w="1474" w:type="dxa"/>
            <w:vAlign w:val="center"/>
          </w:tcPr>
          <w:p w14:paraId="0FD95B64">
            <w:pPr>
              <w:pStyle w:val="11"/>
            </w:pPr>
          </w:p>
        </w:tc>
      </w:tr>
      <w:tr w14:paraId="60BF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327F4">
            <w:pPr>
              <w:pStyle w:val="13"/>
            </w:pPr>
            <w:r>
              <w:t>34</w:t>
            </w:r>
          </w:p>
        </w:tc>
        <w:tc>
          <w:tcPr>
            <w:tcW w:w="3402" w:type="dxa"/>
            <w:vAlign w:val="center"/>
          </w:tcPr>
          <w:p w14:paraId="2C09F7A1">
            <w:pPr>
              <w:pStyle w:val="12"/>
            </w:pPr>
            <w:r>
              <w:t>一、一般公共预算拨款</w:t>
            </w:r>
          </w:p>
        </w:tc>
        <w:tc>
          <w:tcPr>
            <w:tcW w:w="1474" w:type="dxa"/>
            <w:vAlign w:val="center"/>
          </w:tcPr>
          <w:p w14:paraId="6A05D10F">
            <w:pPr>
              <w:pStyle w:val="11"/>
            </w:pPr>
          </w:p>
        </w:tc>
        <w:tc>
          <w:tcPr>
            <w:tcW w:w="3402" w:type="dxa"/>
            <w:vAlign w:val="center"/>
          </w:tcPr>
          <w:p w14:paraId="52186E27">
            <w:pPr>
              <w:pStyle w:val="12"/>
            </w:pPr>
          </w:p>
        </w:tc>
        <w:tc>
          <w:tcPr>
            <w:tcW w:w="1474" w:type="dxa"/>
            <w:vAlign w:val="center"/>
          </w:tcPr>
          <w:p w14:paraId="045A6EB4">
            <w:pPr>
              <w:pStyle w:val="11"/>
            </w:pPr>
          </w:p>
        </w:tc>
        <w:tc>
          <w:tcPr>
            <w:tcW w:w="1474" w:type="dxa"/>
            <w:vAlign w:val="center"/>
          </w:tcPr>
          <w:p w14:paraId="022C0B77">
            <w:pPr>
              <w:pStyle w:val="11"/>
            </w:pPr>
          </w:p>
        </w:tc>
        <w:tc>
          <w:tcPr>
            <w:tcW w:w="1474" w:type="dxa"/>
            <w:vAlign w:val="center"/>
          </w:tcPr>
          <w:p w14:paraId="6B395420">
            <w:pPr>
              <w:pStyle w:val="11"/>
            </w:pPr>
          </w:p>
        </w:tc>
        <w:tc>
          <w:tcPr>
            <w:tcW w:w="1474" w:type="dxa"/>
            <w:vAlign w:val="center"/>
          </w:tcPr>
          <w:p w14:paraId="4907F8A7">
            <w:pPr>
              <w:pStyle w:val="11"/>
            </w:pPr>
          </w:p>
        </w:tc>
      </w:tr>
      <w:tr w14:paraId="796C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685C7">
            <w:pPr>
              <w:pStyle w:val="13"/>
            </w:pPr>
            <w:r>
              <w:t>35</w:t>
            </w:r>
          </w:p>
        </w:tc>
        <w:tc>
          <w:tcPr>
            <w:tcW w:w="3402" w:type="dxa"/>
            <w:vAlign w:val="center"/>
          </w:tcPr>
          <w:p w14:paraId="6ADA607A">
            <w:pPr>
              <w:pStyle w:val="12"/>
            </w:pPr>
            <w:r>
              <w:t>二、政府性基金预算拨款</w:t>
            </w:r>
          </w:p>
        </w:tc>
        <w:tc>
          <w:tcPr>
            <w:tcW w:w="1474" w:type="dxa"/>
            <w:vAlign w:val="center"/>
          </w:tcPr>
          <w:p w14:paraId="13CE38A2">
            <w:pPr>
              <w:pStyle w:val="11"/>
            </w:pPr>
          </w:p>
        </w:tc>
        <w:tc>
          <w:tcPr>
            <w:tcW w:w="3402" w:type="dxa"/>
            <w:vAlign w:val="center"/>
          </w:tcPr>
          <w:p w14:paraId="5693A50B">
            <w:pPr>
              <w:pStyle w:val="12"/>
            </w:pPr>
          </w:p>
        </w:tc>
        <w:tc>
          <w:tcPr>
            <w:tcW w:w="1474" w:type="dxa"/>
            <w:vAlign w:val="center"/>
          </w:tcPr>
          <w:p w14:paraId="1FAA7146">
            <w:pPr>
              <w:pStyle w:val="11"/>
            </w:pPr>
          </w:p>
        </w:tc>
        <w:tc>
          <w:tcPr>
            <w:tcW w:w="1474" w:type="dxa"/>
            <w:vAlign w:val="center"/>
          </w:tcPr>
          <w:p w14:paraId="67F36FF4">
            <w:pPr>
              <w:pStyle w:val="11"/>
            </w:pPr>
          </w:p>
        </w:tc>
        <w:tc>
          <w:tcPr>
            <w:tcW w:w="1474" w:type="dxa"/>
            <w:vAlign w:val="center"/>
          </w:tcPr>
          <w:p w14:paraId="55CFCC29">
            <w:pPr>
              <w:pStyle w:val="11"/>
            </w:pPr>
          </w:p>
        </w:tc>
        <w:tc>
          <w:tcPr>
            <w:tcW w:w="1474" w:type="dxa"/>
            <w:vAlign w:val="center"/>
          </w:tcPr>
          <w:p w14:paraId="70E02DF6">
            <w:pPr>
              <w:pStyle w:val="11"/>
            </w:pPr>
          </w:p>
        </w:tc>
      </w:tr>
      <w:tr w14:paraId="6A19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B6D0A">
            <w:pPr>
              <w:pStyle w:val="13"/>
            </w:pPr>
            <w:r>
              <w:t>36</w:t>
            </w:r>
          </w:p>
        </w:tc>
        <w:tc>
          <w:tcPr>
            <w:tcW w:w="3402" w:type="dxa"/>
            <w:vAlign w:val="center"/>
          </w:tcPr>
          <w:p w14:paraId="7FE1FC36">
            <w:pPr>
              <w:pStyle w:val="12"/>
            </w:pPr>
            <w:r>
              <w:t>三、国有资本经营预算拨款</w:t>
            </w:r>
          </w:p>
        </w:tc>
        <w:tc>
          <w:tcPr>
            <w:tcW w:w="1474" w:type="dxa"/>
            <w:vAlign w:val="center"/>
          </w:tcPr>
          <w:p w14:paraId="11DA9F48">
            <w:pPr>
              <w:pStyle w:val="11"/>
            </w:pPr>
          </w:p>
        </w:tc>
        <w:tc>
          <w:tcPr>
            <w:tcW w:w="3402" w:type="dxa"/>
            <w:vAlign w:val="center"/>
          </w:tcPr>
          <w:p w14:paraId="0146150D">
            <w:pPr>
              <w:pStyle w:val="12"/>
            </w:pPr>
          </w:p>
        </w:tc>
        <w:tc>
          <w:tcPr>
            <w:tcW w:w="1474" w:type="dxa"/>
            <w:vAlign w:val="center"/>
          </w:tcPr>
          <w:p w14:paraId="78A4216D">
            <w:pPr>
              <w:pStyle w:val="11"/>
            </w:pPr>
          </w:p>
        </w:tc>
        <w:tc>
          <w:tcPr>
            <w:tcW w:w="1474" w:type="dxa"/>
            <w:vAlign w:val="center"/>
          </w:tcPr>
          <w:p w14:paraId="439D45AD">
            <w:pPr>
              <w:pStyle w:val="11"/>
            </w:pPr>
          </w:p>
        </w:tc>
        <w:tc>
          <w:tcPr>
            <w:tcW w:w="1474" w:type="dxa"/>
            <w:vAlign w:val="center"/>
          </w:tcPr>
          <w:p w14:paraId="1BB27769">
            <w:pPr>
              <w:pStyle w:val="11"/>
            </w:pPr>
          </w:p>
        </w:tc>
        <w:tc>
          <w:tcPr>
            <w:tcW w:w="1474" w:type="dxa"/>
            <w:vAlign w:val="center"/>
          </w:tcPr>
          <w:p w14:paraId="498CC31F">
            <w:pPr>
              <w:pStyle w:val="11"/>
            </w:pPr>
          </w:p>
        </w:tc>
      </w:tr>
      <w:tr w14:paraId="15C66FA6">
        <w:tblPrEx>
          <w:tblCellMar>
            <w:top w:w="0" w:type="dxa"/>
            <w:left w:w="108" w:type="dxa"/>
            <w:bottom w:w="0" w:type="dxa"/>
            <w:right w:w="108" w:type="dxa"/>
          </w:tblCellMar>
        </w:tblPrEx>
        <w:trPr>
          <w:trHeight w:val="369" w:hRule="atLeast"/>
          <w:jc w:val="center"/>
        </w:trPr>
        <w:tc>
          <w:tcPr>
            <w:tcW w:w="850" w:type="dxa"/>
            <w:vAlign w:val="center"/>
          </w:tcPr>
          <w:p w14:paraId="7CAF7C29">
            <w:pPr>
              <w:pStyle w:val="13"/>
            </w:pPr>
            <w:r>
              <w:t>37</w:t>
            </w:r>
          </w:p>
        </w:tc>
        <w:tc>
          <w:tcPr>
            <w:tcW w:w="3402" w:type="dxa"/>
            <w:vAlign w:val="center"/>
          </w:tcPr>
          <w:p w14:paraId="5A28DB1C">
            <w:pPr>
              <w:pStyle w:val="14"/>
            </w:pPr>
            <w:r>
              <w:t>收入总计</w:t>
            </w:r>
          </w:p>
        </w:tc>
        <w:tc>
          <w:tcPr>
            <w:tcW w:w="1474" w:type="dxa"/>
            <w:vAlign w:val="center"/>
          </w:tcPr>
          <w:p w14:paraId="2619D6B0">
            <w:pPr>
              <w:pStyle w:val="15"/>
            </w:pPr>
            <w:r>
              <w:t>2256.08</w:t>
            </w:r>
          </w:p>
        </w:tc>
        <w:tc>
          <w:tcPr>
            <w:tcW w:w="3402" w:type="dxa"/>
            <w:vAlign w:val="center"/>
          </w:tcPr>
          <w:p w14:paraId="52BD1117">
            <w:pPr>
              <w:pStyle w:val="14"/>
            </w:pPr>
            <w:r>
              <w:t>支出总计</w:t>
            </w:r>
          </w:p>
        </w:tc>
        <w:tc>
          <w:tcPr>
            <w:tcW w:w="1474" w:type="dxa"/>
            <w:vAlign w:val="center"/>
          </w:tcPr>
          <w:p w14:paraId="09FEC38E">
            <w:pPr>
              <w:pStyle w:val="15"/>
            </w:pPr>
            <w:r>
              <w:t>2256.08</w:t>
            </w:r>
          </w:p>
        </w:tc>
        <w:tc>
          <w:tcPr>
            <w:tcW w:w="1474" w:type="dxa"/>
            <w:vAlign w:val="center"/>
          </w:tcPr>
          <w:p w14:paraId="2578DDFD">
            <w:pPr>
              <w:pStyle w:val="15"/>
            </w:pPr>
            <w:r>
              <w:t>2256.08</w:t>
            </w:r>
          </w:p>
        </w:tc>
        <w:tc>
          <w:tcPr>
            <w:tcW w:w="1474" w:type="dxa"/>
            <w:vAlign w:val="center"/>
          </w:tcPr>
          <w:p w14:paraId="288692AB">
            <w:pPr>
              <w:pStyle w:val="15"/>
            </w:pPr>
          </w:p>
        </w:tc>
        <w:tc>
          <w:tcPr>
            <w:tcW w:w="1474" w:type="dxa"/>
            <w:vAlign w:val="center"/>
          </w:tcPr>
          <w:p w14:paraId="0C10E28E">
            <w:pPr>
              <w:pStyle w:val="15"/>
            </w:pPr>
          </w:p>
        </w:tc>
      </w:tr>
    </w:tbl>
    <w:p w14:paraId="7CB3092D">
      <w:pPr>
        <w:sectPr>
          <w:pgSz w:w="16840" w:h="11900" w:orient="landscape"/>
          <w:pgMar w:top="1361" w:right="1020" w:bottom="1134" w:left="1020" w:header="720" w:footer="720" w:gutter="0"/>
          <w:cols w:space="720" w:num="1"/>
        </w:sectPr>
      </w:pPr>
    </w:p>
    <w:p w14:paraId="788C6A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33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F03BB9">
            <w:pPr>
              <w:pStyle w:val="9"/>
            </w:pPr>
            <w:r>
              <w:t>360024隆尧县大张家庄校区</w:t>
            </w:r>
          </w:p>
        </w:tc>
        <w:tc>
          <w:tcPr>
            <w:tcW w:w="2551" w:type="dxa"/>
            <w:tcBorders>
              <w:top w:val="single" w:color="FFFFFF" w:sz="6" w:space="0"/>
              <w:left w:val="single" w:color="FFFFFF" w:sz="6" w:space="0"/>
              <w:right w:val="single" w:color="FFFFFF" w:sz="6" w:space="0"/>
            </w:tcBorders>
            <w:vAlign w:val="center"/>
          </w:tcPr>
          <w:p w14:paraId="6C878A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8561A7">
            <w:pPr>
              <w:pStyle w:val="7"/>
            </w:pPr>
            <w:r>
              <w:t>单位：万元</w:t>
            </w:r>
          </w:p>
        </w:tc>
      </w:tr>
      <w:tr w14:paraId="7776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B578D">
            <w:pPr>
              <w:pStyle w:val="10"/>
            </w:pPr>
            <w:r>
              <w:t>序号</w:t>
            </w:r>
          </w:p>
        </w:tc>
        <w:tc>
          <w:tcPr>
            <w:tcW w:w="5726" w:type="dxa"/>
            <w:gridSpan w:val="2"/>
            <w:vAlign w:val="center"/>
          </w:tcPr>
          <w:p w14:paraId="29468199">
            <w:pPr>
              <w:pStyle w:val="10"/>
            </w:pPr>
            <w:r>
              <w:t>功能分类科目</w:t>
            </w:r>
          </w:p>
        </w:tc>
        <w:tc>
          <w:tcPr>
            <w:tcW w:w="2551" w:type="dxa"/>
            <w:vMerge w:val="restart"/>
            <w:vAlign w:val="center"/>
          </w:tcPr>
          <w:p w14:paraId="419076B1">
            <w:pPr>
              <w:pStyle w:val="10"/>
            </w:pPr>
            <w:r>
              <w:t>合计</w:t>
            </w:r>
          </w:p>
        </w:tc>
        <w:tc>
          <w:tcPr>
            <w:tcW w:w="2551" w:type="dxa"/>
            <w:vMerge w:val="restart"/>
            <w:vAlign w:val="center"/>
          </w:tcPr>
          <w:p w14:paraId="28EDDD3C">
            <w:pPr>
              <w:pStyle w:val="10"/>
            </w:pPr>
            <w:r>
              <w:t>基本支出</w:t>
            </w:r>
          </w:p>
        </w:tc>
        <w:tc>
          <w:tcPr>
            <w:tcW w:w="2551" w:type="dxa"/>
            <w:vMerge w:val="restart"/>
            <w:vAlign w:val="center"/>
          </w:tcPr>
          <w:p w14:paraId="7562902A">
            <w:pPr>
              <w:pStyle w:val="10"/>
            </w:pPr>
            <w:r>
              <w:t>项目支出</w:t>
            </w:r>
          </w:p>
        </w:tc>
      </w:tr>
      <w:tr w14:paraId="632D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B0B692"/>
        </w:tc>
        <w:tc>
          <w:tcPr>
            <w:tcW w:w="1191" w:type="dxa"/>
            <w:vAlign w:val="center"/>
          </w:tcPr>
          <w:p w14:paraId="46F604A0">
            <w:pPr>
              <w:pStyle w:val="10"/>
            </w:pPr>
            <w:r>
              <w:t>科目编码</w:t>
            </w:r>
          </w:p>
        </w:tc>
        <w:tc>
          <w:tcPr>
            <w:tcW w:w="4535" w:type="dxa"/>
            <w:vAlign w:val="center"/>
          </w:tcPr>
          <w:p w14:paraId="5E898893">
            <w:pPr>
              <w:pStyle w:val="10"/>
            </w:pPr>
            <w:r>
              <w:t>科目名称</w:t>
            </w:r>
          </w:p>
        </w:tc>
        <w:tc>
          <w:tcPr>
            <w:tcW w:w="2551" w:type="dxa"/>
            <w:vMerge w:val="continue"/>
          </w:tcPr>
          <w:p w14:paraId="2F72CC65"/>
        </w:tc>
        <w:tc>
          <w:tcPr>
            <w:tcW w:w="2551" w:type="dxa"/>
            <w:vMerge w:val="continue"/>
          </w:tcPr>
          <w:p w14:paraId="15FA0ACC"/>
        </w:tc>
        <w:tc>
          <w:tcPr>
            <w:tcW w:w="2551" w:type="dxa"/>
            <w:vMerge w:val="continue"/>
          </w:tcPr>
          <w:p w14:paraId="18D83730"/>
        </w:tc>
      </w:tr>
      <w:tr w14:paraId="7FC7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BF84C">
            <w:pPr>
              <w:pStyle w:val="10"/>
            </w:pPr>
            <w:r>
              <w:t>栏次</w:t>
            </w:r>
          </w:p>
        </w:tc>
        <w:tc>
          <w:tcPr>
            <w:tcW w:w="1191" w:type="dxa"/>
            <w:vAlign w:val="center"/>
          </w:tcPr>
          <w:p w14:paraId="4B184B52">
            <w:pPr>
              <w:pStyle w:val="10"/>
            </w:pPr>
            <w:r>
              <w:t>1</w:t>
            </w:r>
          </w:p>
        </w:tc>
        <w:tc>
          <w:tcPr>
            <w:tcW w:w="4535" w:type="dxa"/>
            <w:vAlign w:val="center"/>
          </w:tcPr>
          <w:p w14:paraId="52AB8581">
            <w:pPr>
              <w:pStyle w:val="10"/>
            </w:pPr>
            <w:r>
              <w:t>2</w:t>
            </w:r>
          </w:p>
        </w:tc>
        <w:tc>
          <w:tcPr>
            <w:tcW w:w="2551" w:type="dxa"/>
            <w:vAlign w:val="center"/>
          </w:tcPr>
          <w:p w14:paraId="764503E8">
            <w:pPr>
              <w:pStyle w:val="10"/>
            </w:pPr>
            <w:r>
              <w:t>3</w:t>
            </w:r>
          </w:p>
        </w:tc>
        <w:tc>
          <w:tcPr>
            <w:tcW w:w="2551" w:type="dxa"/>
            <w:vAlign w:val="center"/>
          </w:tcPr>
          <w:p w14:paraId="24C4A33D">
            <w:pPr>
              <w:pStyle w:val="10"/>
            </w:pPr>
            <w:r>
              <w:t>4</w:t>
            </w:r>
          </w:p>
        </w:tc>
        <w:tc>
          <w:tcPr>
            <w:tcW w:w="2551" w:type="dxa"/>
            <w:vAlign w:val="center"/>
          </w:tcPr>
          <w:p w14:paraId="7290085C">
            <w:pPr>
              <w:pStyle w:val="10"/>
            </w:pPr>
            <w:r>
              <w:t>5</w:t>
            </w:r>
          </w:p>
        </w:tc>
      </w:tr>
      <w:tr w14:paraId="75573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9DA8">
            <w:pPr>
              <w:pStyle w:val="13"/>
            </w:pPr>
            <w:r>
              <w:t>1</w:t>
            </w:r>
          </w:p>
        </w:tc>
        <w:tc>
          <w:tcPr>
            <w:tcW w:w="1191" w:type="dxa"/>
            <w:vAlign w:val="center"/>
          </w:tcPr>
          <w:p w14:paraId="46235C12">
            <w:pPr>
              <w:pStyle w:val="16"/>
            </w:pPr>
          </w:p>
        </w:tc>
        <w:tc>
          <w:tcPr>
            <w:tcW w:w="4535" w:type="dxa"/>
            <w:vAlign w:val="center"/>
          </w:tcPr>
          <w:p w14:paraId="3FA89077">
            <w:pPr>
              <w:pStyle w:val="14"/>
            </w:pPr>
            <w:r>
              <w:t>合计</w:t>
            </w:r>
          </w:p>
        </w:tc>
        <w:tc>
          <w:tcPr>
            <w:tcW w:w="2551" w:type="dxa"/>
            <w:vAlign w:val="center"/>
          </w:tcPr>
          <w:p w14:paraId="01DA81D5">
            <w:pPr>
              <w:pStyle w:val="15"/>
            </w:pPr>
            <w:r>
              <w:t>2256.08</w:t>
            </w:r>
          </w:p>
        </w:tc>
        <w:tc>
          <w:tcPr>
            <w:tcW w:w="2551" w:type="dxa"/>
            <w:vAlign w:val="center"/>
          </w:tcPr>
          <w:p w14:paraId="14B4AD78">
            <w:pPr>
              <w:pStyle w:val="15"/>
            </w:pPr>
            <w:r>
              <w:t>1592.19</w:t>
            </w:r>
          </w:p>
        </w:tc>
        <w:tc>
          <w:tcPr>
            <w:tcW w:w="2551" w:type="dxa"/>
            <w:vAlign w:val="center"/>
          </w:tcPr>
          <w:p w14:paraId="68B49531">
            <w:pPr>
              <w:pStyle w:val="15"/>
            </w:pPr>
            <w:r>
              <w:t>663.89</w:t>
            </w:r>
          </w:p>
        </w:tc>
      </w:tr>
      <w:tr w14:paraId="0738D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A44F9">
            <w:pPr>
              <w:pStyle w:val="13"/>
            </w:pPr>
            <w:r>
              <w:t>2</w:t>
            </w:r>
          </w:p>
        </w:tc>
        <w:tc>
          <w:tcPr>
            <w:tcW w:w="1191" w:type="dxa"/>
            <w:vAlign w:val="center"/>
          </w:tcPr>
          <w:p w14:paraId="4EED0F73">
            <w:pPr>
              <w:pStyle w:val="12"/>
            </w:pPr>
            <w:r>
              <w:t>205</w:t>
            </w:r>
          </w:p>
        </w:tc>
        <w:tc>
          <w:tcPr>
            <w:tcW w:w="4535" w:type="dxa"/>
            <w:vAlign w:val="center"/>
          </w:tcPr>
          <w:p w14:paraId="0E1E7805">
            <w:pPr>
              <w:pStyle w:val="12"/>
            </w:pPr>
            <w:r>
              <w:t>教育支出</w:t>
            </w:r>
          </w:p>
        </w:tc>
        <w:tc>
          <w:tcPr>
            <w:tcW w:w="2551" w:type="dxa"/>
            <w:vAlign w:val="center"/>
          </w:tcPr>
          <w:p w14:paraId="38474F2D">
            <w:pPr>
              <w:pStyle w:val="11"/>
            </w:pPr>
            <w:r>
              <w:t>2256.08</w:t>
            </w:r>
          </w:p>
        </w:tc>
        <w:tc>
          <w:tcPr>
            <w:tcW w:w="2551" w:type="dxa"/>
            <w:vAlign w:val="center"/>
          </w:tcPr>
          <w:p w14:paraId="388FC47A">
            <w:pPr>
              <w:pStyle w:val="11"/>
            </w:pPr>
            <w:r>
              <w:t>1592.19</w:t>
            </w:r>
          </w:p>
        </w:tc>
        <w:tc>
          <w:tcPr>
            <w:tcW w:w="2551" w:type="dxa"/>
            <w:vAlign w:val="center"/>
          </w:tcPr>
          <w:p w14:paraId="5B8FECDE">
            <w:pPr>
              <w:pStyle w:val="11"/>
            </w:pPr>
            <w:r>
              <w:t>663.89</w:t>
            </w:r>
          </w:p>
        </w:tc>
      </w:tr>
      <w:tr w14:paraId="3FC40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2639C">
            <w:pPr>
              <w:pStyle w:val="13"/>
            </w:pPr>
            <w:r>
              <w:t>3</w:t>
            </w:r>
          </w:p>
        </w:tc>
        <w:tc>
          <w:tcPr>
            <w:tcW w:w="1191" w:type="dxa"/>
            <w:vAlign w:val="center"/>
          </w:tcPr>
          <w:p w14:paraId="5E4D560F">
            <w:pPr>
              <w:pStyle w:val="12"/>
            </w:pPr>
            <w:r>
              <w:t>20502</w:t>
            </w:r>
          </w:p>
        </w:tc>
        <w:tc>
          <w:tcPr>
            <w:tcW w:w="4535" w:type="dxa"/>
            <w:vAlign w:val="center"/>
          </w:tcPr>
          <w:p w14:paraId="7E5C8FCF">
            <w:pPr>
              <w:pStyle w:val="12"/>
            </w:pPr>
            <w:r>
              <w:t>普通教育</w:t>
            </w:r>
          </w:p>
        </w:tc>
        <w:tc>
          <w:tcPr>
            <w:tcW w:w="2551" w:type="dxa"/>
            <w:vAlign w:val="center"/>
          </w:tcPr>
          <w:p w14:paraId="4D084792">
            <w:pPr>
              <w:pStyle w:val="11"/>
            </w:pPr>
            <w:r>
              <w:t>2256.08</w:t>
            </w:r>
          </w:p>
        </w:tc>
        <w:tc>
          <w:tcPr>
            <w:tcW w:w="2551" w:type="dxa"/>
            <w:vAlign w:val="center"/>
          </w:tcPr>
          <w:p w14:paraId="01A9AF6E">
            <w:pPr>
              <w:pStyle w:val="11"/>
            </w:pPr>
            <w:r>
              <w:t>1592.19</w:t>
            </w:r>
          </w:p>
        </w:tc>
        <w:tc>
          <w:tcPr>
            <w:tcW w:w="2551" w:type="dxa"/>
            <w:vAlign w:val="center"/>
          </w:tcPr>
          <w:p w14:paraId="18BA9A07">
            <w:pPr>
              <w:pStyle w:val="11"/>
            </w:pPr>
            <w:r>
              <w:t>663.89</w:t>
            </w:r>
          </w:p>
        </w:tc>
      </w:tr>
      <w:tr w14:paraId="555D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D4DC">
            <w:pPr>
              <w:pStyle w:val="13"/>
            </w:pPr>
            <w:r>
              <w:t>4</w:t>
            </w:r>
          </w:p>
        </w:tc>
        <w:tc>
          <w:tcPr>
            <w:tcW w:w="1191" w:type="dxa"/>
            <w:vAlign w:val="center"/>
          </w:tcPr>
          <w:p w14:paraId="341AF32C">
            <w:pPr>
              <w:pStyle w:val="12"/>
            </w:pPr>
            <w:r>
              <w:t>2050201</w:t>
            </w:r>
          </w:p>
        </w:tc>
        <w:tc>
          <w:tcPr>
            <w:tcW w:w="4535" w:type="dxa"/>
            <w:vAlign w:val="center"/>
          </w:tcPr>
          <w:p w14:paraId="45BD0FA7">
            <w:pPr>
              <w:pStyle w:val="12"/>
            </w:pPr>
            <w:r>
              <w:t>学前教育</w:t>
            </w:r>
          </w:p>
        </w:tc>
        <w:tc>
          <w:tcPr>
            <w:tcW w:w="2551" w:type="dxa"/>
            <w:vAlign w:val="center"/>
          </w:tcPr>
          <w:p w14:paraId="39C5F428">
            <w:pPr>
              <w:pStyle w:val="11"/>
            </w:pPr>
            <w:r>
              <w:t>153.47</w:t>
            </w:r>
          </w:p>
        </w:tc>
        <w:tc>
          <w:tcPr>
            <w:tcW w:w="2551" w:type="dxa"/>
            <w:vAlign w:val="center"/>
          </w:tcPr>
          <w:p w14:paraId="25F933A0">
            <w:pPr>
              <w:pStyle w:val="11"/>
            </w:pPr>
          </w:p>
        </w:tc>
        <w:tc>
          <w:tcPr>
            <w:tcW w:w="2551" w:type="dxa"/>
            <w:vAlign w:val="center"/>
          </w:tcPr>
          <w:p w14:paraId="753F0A5E">
            <w:pPr>
              <w:pStyle w:val="11"/>
            </w:pPr>
            <w:r>
              <w:t>153.47</w:t>
            </w:r>
          </w:p>
        </w:tc>
      </w:tr>
      <w:tr w14:paraId="1DF8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2A7BD">
            <w:pPr>
              <w:pStyle w:val="13"/>
            </w:pPr>
            <w:r>
              <w:t>5</w:t>
            </w:r>
          </w:p>
        </w:tc>
        <w:tc>
          <w:tcPr>
            <w:tcW w:w="1191" w:type="dxa"/>
            <w:vAlign w:val="center"/>
          </w:tcPr>
          <w:p w14:paraId="1E0598FC">
            <w:pPr>
              <w:pStyle w:val="12"/>
            </w:pPr>
            <w:r>
              <w:t>2050202</w:t>
            </w:r>
          </w:p>
        </w:tc>
        <w:tc>
          <w:tcPr>
            <w:tcW w:w="4535" w:type="dxa"/>
            <w:vAlign w:val="center"/>
          </w:tcPr>
          <w:p w14:paraId="639A28EC">
            <w:pPr>
              <w:pStyle w:val="12"/>
            </w:pPr>
            <w:r>
              <w:t>小学教育</w:t>
            </w:r>
          </w:p>
        </w:tc>
        <w:tc>
          <w:tcPr>
            <w:tcW w:w="2551" w:type="dxa"/>
            <w:vAlign w:val="center"/>
          </w:tcPr>
          <w:p w14:paraId="4C569F66">
            <w:pPr>
              <w:pStyle w:val="11"/>
            </w:pPr>
            <w:r>
              <w:t>2102.62</w:t>
            </w:r>
          </w:p>
        </w:tc>
        <w:tc>
          <w:tcPr>
            <w:tcW w:w="2551" w:type="dxa"/>
            <w:vAlign w:val="center"/>
          </w:tcPr>
          <w:p w14:paraId="74E46E38">
            <w:pPr>
              <w:pStyle w:val="11"/>
            </w:pPr>
            <w:r>
              <w:t>1592.19</w:t>
            </w:r>
          </w:p>
        </w:tc>
        <w:tc>
          <w:tcPr>
            <w:tcW w:w="2551" w:type="dxa"/>
            <w:vAlign w:val="center"/>
          </w:tcPr>
          <w:p w14:paraId="5F921595">
            <w:pPr>
              <w:pStyle w:val="11"/>
            </w:pPr>
            <w:r>
              <w:t>510.43</w:t>
            </w:r>
          </w:p>
        </w:tc>
      </w:tr>
    </w:tbl>
    <w:p w14:paraId="4A71F2C5">
      <w:pPr>
        <w:sectPr>
          <w:pgSz w:w="16840" w:h="11900" w:orient="landscape"/>
          <w:pgMar w:top="1361" w:right="1020" w:bottom="1134" w:left="1020" w:header="720" w:footer="720" w:gutter="0"/>
          <w:cols w:space="720" w:num="1"/>
        </w:sectPr>
      </w:pPr>
    </w:p>
    <w:p w14:paraId="46E097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53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139C3">
            <w:pPr>
              <w:pStyle w:val="9"/>
            </w:pPr>
            <w:r>
              <w:t>360024隆尧县大张家庄校区</w:t>
            </w:r>
          </w:p>
        </w:tc>
        <w:tc>
          <w:tcPr>
            <w:tcW w:w="2551" w:type="dxa"/>
            <w:tcBorders>
              <w:top w:val="single" w:color="FFFFFF" w:sz="6" w:space="0"/>
              <w:left w:val="single" w:color="FFFFFF" w:sz="6" w:space="0"/>
              <w:right w:val="single" w:color="FFFFFF" w:sz="6" w:space="0"/>
            </w:tcBorders>
            <w:vAlign w:val="center"/>
          </w:tcPr>
          <w:p w14:paraId="33AA50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7510DF">
            <w:pPr>
              <w:pStyle w:val="7"/>
            </w:pPr>
            <w:r>
              <w:t>单位：万元</w:t>
            </w:r>
          </w:p>
        </w:tc>
      </w:tr>
      <w:tr w14:paraId="4664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F4FD0">
            <w:pPr>
              <w:pStyle w:val="10"/>
            </w:pPr>
            <w:r>
              <w:t>序号</w:t>
            </w:r>
          </w:p>
        </w:tc>
        <w:tc>
          <w:tcPr>
            <w:tcW w:w="5726" w:type="dxa"/>
            <w:gridSpan w:val="2"/>
            <w:vAlign w:val="center"/>
          </w:tcPr>
          <w:p w14:paraId="539EBFE8">
            <w:pPr>
              <w:pStyle w:val="10"/>
            </w:pPr>
            <w:r>
              <w:t>支出部门经济分类科目</w:t>
            </w:r>
          </w:p>
        </w:tc>
        <w:tc>
          <w:tcPr>
            <w:tcW w:w="7653" w:type="dxa"/>
            <w:gridSpan w:val="3"/>
            <w:vAlign w:val="center"/>
          </w:tcPr>
          <w:p w14:paraId="6751505C">
            <w:pPr>
              <w:pStyle w:val="10"/>
            </w:pPr>
            <w:r>
              <w:t>一般公共预算基本支出</w:t>
            </w:r>
          </w:p>
        </w:tc>
      </w:tr>
      <w:tr w14:paraId="2127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FF2F43"/>
        </w:tc>
        <w:tc>
          <w:tcPr>
            <w:tcW w:w="1191" w:type="dxa"/>
            <w:vAlign w:val="center"/>
          </w:tcPr>
          <w:p w14:paraId="774FE409">
            <w:pPr>
              <w:pStyle w:val="10"/>
            </w:pPr>
            <w:r>
              <w:t>科目编码</w:t>
            </w:r>
          </w:p>
        </w:tc>
        <w:tc>
          <w:tcPr>
            <w:tcW w:w="4535" w:type="dxa"/>
            <w:vAlign w:val="center"/>
          </w:tcPr>
          <w:p w14:paraId="5DE393D7">
            <w:pPr>
              <w:pStyle w:val="10"/>
            </w:pPr>
            <w:r>
              <w:t>科目名称</w:t>
            </w:r>
          </w:p>
        </w:tc>
        <w:tc>
          <w:tcPr>
            <w:tcW w:w="2551" w:type="dxa"/>
            <w:vAlign w:val="center"/>
          </w:tcPr>
          <w:p w14:paraId="1059B9B5">
            <w:pPr>
              <w:pStyle w:val="10"/>
            </w:pPr>
            <w:r>
              <w:t>合计</w:t>
            </w:r>
          </w:p>
        </w:tc>
        <w:tc>
          <w:tcPr>
            <w:tcW w:w="2551" w:type="dxa"/>
            <w:vAlign w:val="center"/>
          </w:tcPr>
          <w:p w14:paraId="0E8618F7">
            <w:pPr>
              <w:pStyle w:val="10"/>
            </w:pPr>
            <w:r>
              <w:t>人员经费</w:t>
            </w:r>
          </w:p>
        </w:tc>
        <w:tc>
          <w:tcPr>
            <w:tcW w:w="2551" w:type="dxa"/>
            <w:vAlign w:val="center"/>
          </w:tcPr>
          <w:p w14:paraId="3D131F1F">
            <w:pPr>
              <w:pStyle w:val="10"/>
            </w:pPr>
            <w:r>
              <w:t>公用经费</w:t>
            </w:r>
          </w:p>
        </w:tc>
      </w:tr>
      <w:tr w14:paraId="1FE3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C43CE">
            <w:pPr>
              <w:pStyle w:val="10"/>
            </w:pPr>
            <w:r>
              <w:t>栏次</w:t>
            </w:r>
          </w:p>
        </w:tc>
        <w:tc>
          <w:tcPr>
            <w:tcW w:w="1191" w:type="dxa"/>
            <w:vAlign w:val="center"/>
          </w:tcPr>
          <w:p w14:paraId="154127C2">
            <w:pPr>
              <w:pStyle w:val="10"/>
            </w:pPr>
            <w:r>
              <w:t>1</w:t>
            </w:r>
          </w:p>
        </w:tc>
        <w:tc>
          <w:tcPr>
            <w:tcW w:w="4535" w:type="dxa"/>
            <w:vAlign w:val="center"/>
          </w:tcPr>
          <w:p w14:paraId="001130CC">
            <w:pPr>
              <w:pStyle w:val="10"/>
            </w:pPr>
            <w:r>
              <w:t>2</w:t>
            </w:r>
          </w:p>
        </w:tc>
        <w:tc>
          <w:tcPr>
            <w:tcW w:w="2551" w:type="dxa"/>
            <w:vAlign w:val="center"/>
          </w:tcPr>
          <w:p w14:paraId="119D9063">
            <w:pPr>
              <w:pStyle w:val="10"/>
            </w:pPr>
            <w:r>
              <w:t>3</w:t>
            </w:r>
          </w:p>
        </w:tc>
        <w:tc>
          <w:tcPr>
            <w:tcW w:w="2551" w:type="dxa"/>
            <w:vAlign w:val="center"/>
          </w:tcPr>
          <w:p w14:paraId="0931CB96">
            <w:pPr>
              <w:pStyle w:val="10"/>
            </w:pPr>
            <w:r>
              <w:t>4</w:t>
            </w:r>
          </w:p>
        </w:tc>
        <w:tc>
          <w:tcPr>
            <w:tcW w:w="2551" w:type="dxa"/>
            <w:vAlign w:val="center"/>
          </w:tcPr>
          <w:p w14:paraId="45AD89DD">
            <w:pPr>
              <w:pStyle w:val="10"/>
            </w:pPr>
            <w:r>
              <w:t>5</w:t>
            </w:r>
          </w:p>
        </w:tc>
      </w:tr>
      <w:tr w14:paraId="48D1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76F03">
            <w:pPr>
              <w:pStyle w:val="13"/>
            </w:pPr>
            <w:r>
              <w:t>1</w:t>
            </w:r>
          </w:p>
        </w:tc>
        <w:tc>
          <w:tcPr>
            <w:tcW w:w="1191" w:type="dxa"/>
            <w:vAlign w:val="center"/>
          </w:tcPr>
          <w:p w14:paraId="08707B15">
            <w:pPr>
              <w:pStyle w:val="16"/>
            </w:pPr>
          </w:p>
        </w:tc>
        <w:tc>
          <w:tcPr>
            <w:tcW w:w="4535" w:type="dxa"/>
            <w:vAlign w:val="center"/>
          </w:tcPr>
          <w:p w14:paraId="3F8ECC10">
            <w:pPr>
              <w:pStyle w:val="14"/>
            </w:pPr>
            <w:r>
              <w:t>合计</w:t>
            </w:r>
          </w:p>
        </w:tc>
        <w:tc>
          <w:tcPr>
            <w:tcW w:w="2551" w:type="dxa"/>
            <w:vAlign w:val="center"/>
          </w:tcPr>
          <w:p w14:paraId="2422B8CD">
            <w:pPr>
              <w:pStyle w:val="15"/>
            </w:pPr>
            <w:r>
              <w:t>1592.19</w:t>
            </w:r>
          </w:p>
        </w:tc>
        <w:tc>
          <w:tcPr>
            <w:tcW w:w="2551" w:type="dxa"/>
            <w:vAlign w:val="center"/>
          </w:tcPr>
          <w:p w14:paraId="5DC79577">
            <w:pPr>
              <w:pStyle w:val="15"/>
            </w:pPr>
            <w:r>
              <w:t>1592.19</w:t>
            </w:r>
          </w:p>
        </w:tc>
        <w:tc>
          <w:tcPr>
            <w:tcW w:w="2551" w:type="dxa"/>
            <w:vAlign w:val="center"/>
          </w:tcPr>
          <w:p w14:paraId="535782CC">
            <w:pPr>
              <w:pStyle w:val="15"/>
            </w:pPr>
          </w:p>
        </w:tc>
      </w:tr>
      <w:tr w14:paraId="6C3C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1A376">
            <w:pPr>
              <w:pStyle w:val="13"/>
            </w:pPr>
            <w:r>
              <w:t>2</w:t>
            </w:r>
          </w:p>
        </w:tc>
        <w:tc>
          <w:tcPr>
            <w:tcW w:w="1191" w:type="dxa"/>
            <w:vAlign w:val="center"/>
          </w:tcPr>
          <w:p w14:paraId="6F5AD878">
            <w:pPr>
              <w:pStyle w:val="12"/>
            </w:pPr>
            <w:r>
              <w:t>301</w:t>
            </w:r>
          </w:p>
        </w:tc>
        <w:tc>
          <w:tcPr>
            <w:tcW w:w="4535" w:type="dxa"/>
            <w:vAlign w:val="center"/>
          </w:tcPr>
          <w:p w14:paraId="7099E3B3">
            <w:pPr>
              <w:pStyle w:val="12"/>
            </w:pPr>
            <w:r>
              <w:t>工资福利支出</w:t>
            </w:r>
          </w:p>
        </w:tc>
        <w:tc>
          <w:tcPr>
            <w:tcW w:w="2551" w:type="dxa"/>
            <w:vAlign w:val="center"/>
          </w:tcPr>
          <w:p w14:paraId="349EF628">
            <w:pPr>
              <w:pStyle w:val="11"/>
            </w:pPr>
            <w:r>
              <w:t>1454.71</w:t>
            </w:r>
          </w:p>
        </w:tc>
        <w:tc>
          <w:tcPr>
            <w:tcW w:w="2551" w:type="dxa"/>
            <w:vAlign w:val="center"/>
          </w:tcPr>
          <w:p w14:paraId="58631D32">
            <w:pPr>
              <w:pStyle w:val="11"/>
            </w:pPr>
            <w:r>
              <w:t>1454.71</w:t>
            </w:r>
          </w:p>
        </w:tc>
        <w:tc>
          <w:tcPr>
            <w:tcW w:w="2551" w:type="dxa"/>
            <w:vAlign w:val="center"/>
          </w:tcPr>
          <w:p w14:paraId="2ACA050F">
            <w:pPr>
              <w:pStyle w:val="11"/>
            </w:pPr>
          </w:p>
        </w:tc>
      </w:tr>
      <w:tr w14:paraId="69B4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F1BEF">
            <w:pPr>
              <w:pStyle w:val="13"/>
            </w:pPr>
            <w:r>
              <w:t>3</w:t>
            </w:r>
          </w:p>
        </w:tc>
        <w:tc>
          <w:tcPr>
            <w:tcW w:w="1191" w:type="dxa"/>
            <w:vAlign w:val="center"/>
          </w:tcPr>
          <w:p w14:paraId="13A8981B">
            <w:pPr>
              <w:pStyle w:val="12"/>
            </w:pPr>
            <w:r>
              <w:t>30101</w:t>
            </w:r>
          </w:p>
        </w:tc>
        <w:tc>
          <w:tcPr>
            <w:tcW w:w="4535" w:type="dxa"/>
            <w:vAlign w:val="center"/>
          </w:tcPr>
          <w:p w14:paraId="04206855">
            <w:pPr>
              <w:pStyle w:val="12"/>
            </w:pPr>
            <w:r>
              <w:t>基本工资</w:t>
            </w:r>
          </w:p>
        </w:tc>
        <w:tc>
          <w:tcPr>
            <w:tcW w:w="2551" w:type="dxa"/>
            <w:vAlign w:val="center"/>
          </w:tcPr>
          <w:p w14:paraId="24BD6B13">
            <w:pPr>
              <w:pStyle w:val="11"/>
            </w:pPr>
            <w:r>
              <w:t>652.14</w:t>
            </w:r>
          </w:p>
        </w:tc>
        <w:tc>
          <w:tcPr>
            <w:tcW w:w="2551" w:type="dxa"/>
            <w:vAlign w:val="center"/>
          </w:tcPr>
          <w:p w14:paraId="26B5432C">
            <w:pPr>
              <w:pStyle w:val="11"/>
            </w:pPr>
            <w:r>
              <w:t>652.14</w:t>
            </w:r>
          </w:p>
        </w:tc>
        <w:tc>
          <w:tcPr>
            <w:tcW w:w="2551" w:type="dxa"/>
            <w:vAlign w:val="center"/>
          </w:tcPr>
          <w:p w14:paraId="54DFA228">
            <w:pPr>
              <w:pStyle w:val="11"/>
            </w:pPr>
          </w:p>
        </w:tc>
      </w:tr>
      <w:tr w14:paraId="3CC0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7A631">
            <w:pPr>
              <w:pStyle w:val="13"/>
            </w:pPr>
            <w:r>
              <w:t>4</w:t>
            </w:r>
          </w:p>
        </w:tc>
        <w:tc>
          <w:tcPr>
            <w:tcW w:w="1191" w:type="dxa"/>
            <w:vAlign w:val="center"/>
          </w:tcPr>
          <w:p w14:paraId="59996742">
            <w:pPr>
              <w:pStyle w:val="12"/>
            </w:pPr>
            <w:r>
              <w:t>30102</w:t>
            </w:r>
          </w:p>
        </w:tc>
        <w:tc>
          <w:tcPr>
            <w:tcW w:w="4535" w:type="dxa"/>
            <w:vAlign w:val="center"/>
          </w:tcPr>
          <w:p w14:paraId="54BECFBE">
            <w:pPr>
              <w:pStyle w:val="12"/>
            </w:pPr>
            <w:r>
              <w:t>津贴补贴</w:t>
            </w:r>
          </w:p>
        </w:tc>
        <w:tc>
          <w:tcPr>
            <w:tcW w:w="2551" w:type="dxa"/>
            <w:vAlign w:val="center"/>
          </w:tcPr>
          <w:p w14:paraId="22560D13">
            <w:pPr>
              <w:pStyle w:val="11"/>
            </w:pPr>
            <w:r>
              <w:t>63.38</w:t>
            </w:r>
          </w:p>
        </w:tc>
        <w:tc>
          <w:tcPr>
            <w:tcW w:w="2551" w:type="dxa"/>
            <w:vAlign w:val="center"/>
          </w:tcPr>
          <w:p w14:paraId="556D8F2E">
            <w:pPr>
              <w:pStyle w:val="11"/>
            </w:pPr>
            <w:r>
              <w:t>63.38</w:t>
            </w:r>
          </w:p>
        </w:tc>
        <w:tc>
          <w:tcPr>
            <w:tcW w:w="2551" w:type="dxa"/>
            <w:vAlign w:val="center"/>
          </w:tcPr>
          <w:p w14:paraId="10BECF3E">
            <w:pPr>
              <w:pStyle w:val="11"/>
            </w:pPr>
          </w:p>
        </w:tc>
      </w:tr>
      <w:tr w14:paraId="7419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5092F">
            <w:pPr>
              <w:pStyle w:val="13"/>
            </w:pPr>
            <w:r>
              <w:t>5</w:t>
            </w:r>
          </w:p>
        </w:tc>
        <w:tc>
          <w:tcPr>
            <w:tcW w:w="1191" w:type="dxa"/>
            <w:vAlign w:val="center"/>
          </w:tcPr>
          <w:p w14:paraId="14CED3B5">
            <w:pPr>
              <w:pStyle w:val="12"/>
            </w:pPr>
            <w:r>
              <w:t>30107</w:t>
            </w:r>
          </w:p>
        </w:tc>
        <w:tc>
          <w:tcPr>
            <w:tcW w:w="4535" w:type="dxa"/>
            <w:vAlign w:val="center"/>
          </w:tcPr>
          <w:p w14:paraId="44F4BC21">
            <w:pPr>
              <w:pStyle w:val="12"/>
            </w:pPr>
            <w:r>
              <w:t>绩效工资</w:t>
            </w:r>
          </w:p>
        </w:tc>
        <w:tc>
          <w:tcPr>
            <w:tcW w:w="2551" w:type="dxa"/>
            <w:vAlign w:val="center"/>
          </w:tcPr>
          <w:p w14:paraId="67895056">
            <w:pPr>
              <w:pStyle w:val="11"/>
            </w:pPr>
            <w:r>
              <w:t>410.81</w:t>
            </w:r>
          </w:p>
        </w:tc>
        <w:tc>
          <w:tcPr>
            <w:tcW w:w="2551" w:type="dxa"/>
            <w:vAlign w:val="center"/>
          </w:tcPr>
          <w:p w14:paraId="1FC92296">
            <w:pPr>
              <w:pStyle w:val="11"/>
            </w:pPr>
            <w:r>
              <w:t>410.81</w:t>
            </w:r>
          </w:p>
        </w:tc>
        <w:tc>
          <w:tcPr>
            <w:tcW w:w="2551" w:type="dxa"/>
            <w:vAlign w:val="center"/>
          </w:tcPr>
          <w:p w14:paraId="3EC2E99A">
            <w:pPr>
              <w:pStyle w:val="11"/>
            </w:pPr>
          </w:p>
        </w:tc>
      </w:tr>
      <w:tr w14:paraId="267C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F2B63">
            <w:pPr>
              <w:pStyle w:val="13"/>
            </w:pPr>
            <w:r>
              <w:t>6</w:t>
            </w:r>
          </w:p>
        </w:tc>
        <w:tc>
          <w:tcPr>
            <w:tcW w:w="1191" w:type="dxa"/>
            <w:vAlign w:val="center"/>
          </w:tcPr>
          <w:p w14:paraId="55FE9071">
            <w:pPr>
              <w:pStyle w:val="12"/>
            </w:pPr>
            <w:r>
              <w:t>30108</w:t>
            </w:r>
          </w:p>
        </w:tc>
        <w:tc>
          <w:tcPr>
            <w:tcW w:w="4535" w:type="dxa"/>
            <w:vAlign w:val="center"/>
          </w:tcPr>
          <w:p w14:paraId="6E1B687F">
            <w:pPr>
              <w:pStyle w:val="12"/>
            </w:pPr>
            <w:r>
              <w:t>机关事业单位基本养老保险缴费</w:t>
            </w:r>
          </w:p>
        </w:tc>
        <w:tc>
          <w:tcPr>
            <w:tcW w:w="2551" w:type="dxa"/>
            <w:vAlign w:val="center"/>
          </w:tcPr>
          <w:p w14:paraId="245E9BBD">
            <w:pPr>
              <w:pStyle w:val="11"/>
            </w:pPr>
            <w:r>
              <w:t>146.76</w:t>
            </w:r>
          </w:p>
        </w:tc>
        <w:tc>
          <w:tcPr>
            <w:tcW w:w="2551" w:type="dxa"/>
            <w:vAlign w:val="center"/>
          </w:tcPr>
          <w:p w14:paraId="24622742">
            <w:pPr>
              <w:pStyle w:val="11"/>
            </w:pPr>
            <w:r>
              <w:t>146.76</w:t>
            </w:r>
          </w:p>
        </w:tc>
        <w:tc>
          <w:tcPr>
            <w:tcW w:w="2551" w:type="dxa"/>
            <w:vAlign w:val="center"/>
          </w:tcPr>
          <w:p w14:paraId="5338ECBB">
            <w:pPr>
              <w:pStyle w:val="11"/>
            </w:pPr>
          </w:p>
        </w:tc>
      </w:tr>
      <w:tr w14:paraId="0054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03C04">
            <w:pPr>
              <w:pStyle w:val="13"/>
            </w:pPr>
            <w:r>
              <w:t>7</w:t>
            </w:r>
          </w:p>
        </w:tc>
        <w:tc>
          <w:tcPr>
            <w:tcW w:w="1191" w:type="dxa"/>
            <w:vAlign w:val="center"/>
          </w:tcPr>
          <w:p w14:paraId="52E9AE4D">
            <w:pPr>
              <w:pStyle w:val="12"/>
            </w:pPr>
            <w:r>
              <w:t>30110</w:t>
            </w:r>
          </w:p>
        </w:tc>
        <w:tc>
          <w:tcPr>
            <w:tcW w:w="4535" w:type="dxa"/>
            <w:vAlign w:val="center"/>
          </w:tcPr>
          <w:p w14:paraId="2DB3719A">
            <w:pPr>
              <w:pStyle w:val="12"/>
            </w:pPr>
            <w:r>
              <w:t>职工基本医疗保险缴费</w:t>
            </w:r>
          </w:p>
        </w:tc>
        <w:tc>
          <w:tcPr>
            <w:tcW w:w="2551" w:type="dxa"/>
            <w:vAlign w:val="center"/>
          </w:tcPr>
          <w:p w14:paraId="64F9AD10">
            <w:pPr>
              <w:pStyle w:val="11"/>
            </w:pPr>
            <w:r>
              <w:t>68.60</w:t>
            </w:r>
          </w:p>
        </w:tc>
        <w:tc>
          <w:tcPr>
            <w:tcW w:w="2551" w:type="dxa"/>
            <w:vAlign w:val="center"/>
          </w:tcPr>
          <w:p w14:paraId="6C7D3FE4">
            <w:pPr>
              <w:pStyle w:val="11"/>
            </w:pPr>
            <w:r>
              <w:t>68.60</w:t>
            </w:r>
          </w:p>
        </w:tc>
        <w:tc>
          <w:tcPr>
            <w:tcW w:w="2551" w:type="dxa"/>
            <w:vAlign w:val="center"/>
          </w:tcPr>
          <w:p w14:paraId="4AAF4B9E">
            <w:pPr>
              <w:pStyle w:val="11"/>
            </w:pPr>
          </w:p>
        </w:tc>
      </w:tr>
      <w:tr w14:paraId="66240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2296">
            <w:pPr>
              <w:pStyle w:val="13"/>
            </w:pPr>
            <w:r>
              <w:t>8</w:t>
            </w:r>
          </w:p>
        </w:tc>
        <w:tc>
          <w:tcPr>
            <w:tcW w:w="1191" w:type="dxa"/>
            <w:vAlign w:val="center"/>
          </w:tcPr>
          <w:p w14:paraId="5C4A5E58">
            <w:pPr>
              <w:pStyle w:val="12"/>
            </w:pPr>
            <w:r>
              <w:t>30112</w:t>
            </w:r>
          </w:p>
        </w:tc>
        <w:tc>
          <w:tcPr>
            <w:tcW w:w="4535" w:type="dxa"/>
            <w:vAlign w:val="center"/>
          </w:tcPr>
          <w:p w14:paraId="03A3E7C0">
            <w:pPr>
              <w:pStyle w:val="12"/>
            </w:pPr>
            <w:r>
              <w:t>其他社会保障缴费</w:t>
            </w:r>
          </w:p>
        </w:tc>
        <w:tc>
          <w:tcPr>
            <w:tcW w:w="2551" w:type="dxa"/>
            <w:vAlign w:val="center"/>
          </w:tcPr>
          <w:p w14:paraId="75AD9F6B">
            <w:pPr>
              <w:pStyle w:val="11"/>
            </w:pPr>
            <w:r>
              <w:t>5.00</w:t>
            </w:r>
          </w:p>
        </w:tc>
        <w:tc>
          <w:tcPr>
            <w:tcW w:w="2551" w:type="dxa"/>
            <w:vAlign w:val="center"/>
          </w:tcPr>
          <w:p w14:paraId="29067563">
            <w:pPr>
              <w:pStyle w:val="11"/>
            </w:pPr>
            <w:r>
              <w:t>5.00</w:t>
            </w:r>
          </w:p>
        </w:tc>
        <w:tc>
          <w:tcPr>
            <w:tcW w:w="2551" w:type="dxa"/>
            <w:vAlign w:val="center"/>
          </w:tcPr>
          <w:p w14:paraId="70F39576">
            <w:pPr>
              <w:pStyle w:val="11"/>
            </w:pPr>
          </w:p>
        </w:tc>
      </w:tr>
      <w:tr w14:paraId="4940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D97C4">
            <w:pPr>
              <w:pStyle w:val="13"/>
            </w:pPr>
            <w:r>
              <w:t>9</w:t>
            </w:r>
          </w:p>
        </w:tc>
        <w:tc>
          <w:tcPr>
            <w:tcW w:w="1191" w:type="dxa"/>
            <w:vAlign w:val="center"/>
          </w:tcPr>
          <w:p w14:paraId="797106A8">
            <w:pPr>
              <w:pStyle w:val="12"/>
            </w:pPr>
            <w:r>
              <w:t>30113</w:t>
            </w:r>
          </w:p>
        </w:tc>
        <w:tc>
          <w:tcPr>
            <w:tcW w:w="4535" w:type="dxa"/>
            <w:vAlign w:val="center"/>
          </w:tcPr>
          <w:p w14:paraId="33F5F595">
            <w:pPr>
              <w:pStyle w:val="12"/>
            </w:pPr>
            <w:r>
              <w:t>住房公积金</w:t>
            </w:r>
          </w:p>
        </w:tc>
        <w:tc>
          <w:tcPr>
            <w:tcW w:w="2551" w:type="dxa"/>
            <w:vAlign w:val="center"/>
          </w:tcPr>
          <w:p w14:paraId="68093E5B">
            <w:pPr>
              <w:pStyle w:val="11"/>
            </w:pPr>
            <w:r>
              <w:t>108.02</w:t>
            </w:r>
          </w:p>
        </w:tc>
        <w:tc>
          <w:tcPr>
            <w:tcW w:w="2551" w:type="dxa"/>
            <w:vAlign w:val="center"/>
          </w:tcPr>
          <w:p w14:paraId="33D38D88">
            <w:pPr>
              <w:pStyle w:val="11"/>
            </w:pPr>
            <w:r>
              <w:t>108.02</w:t>
            </w:r>
          </w:p>
        </w:tc>
        <w:tc>
          <w:tcPr>
            <w:tcW w:w="2551" w:type="dxa"/>
            <w:vAlign w:val="center"/>
          </w:tcPr>
          <w:p w14:paraId="7AE44D32">
            <w:pPr>
              <w:pStyle w:val="11"/>
            </w:pPr>
          </w:p>
        </w:tc>
      </w:tr>
      <w:tr w14:paraId="3C8A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C19D">
            <w:pPr>
              <w:pStyle w:val="13"/>
            </w:pPr>
            <w:r>
              <w:t>10</w:t>
            </w:r>
          </w:p>
        </w:tc>
        <w:tc>
          <w:tcPr>
            <w:tcW w:w="1191" w:type="dxa"/>
            <w:vAlign w:val="center"/>
          </w:tcPr>
          <w:p w14:paraId="09BA1642">
            <w:pPr>
              <w:pStyle w:val="12"/>
            </w:pPr>
            <w:r>
              <w:t>303</w:t>
            </w:r>
          </w:p>
        </w:tc>
        <w:tc>
          <w:tcPr>
            <w:tcW w:w="4535" w:type="dxa"/>
            <w:vAlign w:val="center"/>
          </w:tcPr>
          <w:p w14:paraId="5A4D366B">
            <w:pPr>
              <w:pStyle w:val="12"/>
            </w:pPr>
            <w:r>
              <w:t>对个人和家庭的补助</w:t>
            </w:r>
          </w:p>
        </w:tc>
        <w:tc>
          <w:tcPr>
            <w:tcW w:w="2551" w:type="dxa"/>
            <w:vAlign w:val="center"/>
          </w:tcPr>
          <w:p w14:paraId="12321CCC">
            <w:pPr>
              <w:pStyle w:val="11"/>
            </w:pPr>
            <w:r>
              <w:t>137.48</w:t>
            </w:r>
          </w:p>
        </w:tc>
        <w:tc>
          <w:tcPr>
            <w:tcW w:w="2551" w:type="dxa"/>
            <w:vAlign w:val="center"/>
          </w:tcPr>
          <w:p w14:paraId="21AE8C22">
            <w:pPr>
              <w:pStyle w:val="11"/>
            </w:pPr>
            <w:r>
              <w:t>137.48</w:t>
            </w:r>
          </w:p>
        </w:tc>
        <w:tc>
          <w:tcPr>
            <w:tcW w:w="2551" w:type="dxa"/>
            <w:vAlign w:val="center"/>
          </w:tcPr>
          <w:p w14:paraId="22312182">
            <w:pPr>
              <w:pStyle w:val="11"/>
            </w:pPr>
          </w:p>
        </w:tc>
      </w:tr>
      <w:tr w14:paraId="710F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16282">
            <w:pPr>
              <w:pStyle w:val="13"/>
            </w:pPr>
            <w:r>
              <w:t>11</w:t>
            </w:r>
          </w:p>
        </w:tc>
        <w:tc>
          <w:tcPr>
            <w:tcW w:w="1191" w:type="dxa"/>
            <w:vAlign w:val="center"/>
          </w:tcPr>
          <w:p w14:paraId="4C1E4C14">
            <w:pPr>
              <w:pStyle w:val="12"/>
            </w:pPr>
            <w:r>
              <w:t>30302</w:t>
            </w:r>
          </w:p>
        </w:tc>
        <w:tc>
          <w:tcPr>
            <w:tcW w:w="4535" w:type="dxa"/>
            <w:vAlign w:val="center"/>
          </w:tcPr>
          <w:p w14:paraId="33543881">
            <w:pPr>
              <w:pStyle w:val="12"/>
            </w:pPr>
            <w:r>
              <w:t>退休费</w:t>
            </w:r>
          </w:p>
        </w:tc>
        <w:tc>
          <w:tcPr>
            <w:tcW w:w="2551" w:type="dxa"/>
            <w:vAlign w:val="center"/>
          </w:tcPr>
          <w:p w14:paraId="7E809764">
            <w:pPr>
              <w:pStyle w:val="11"/>
            </w:pPr>
            <w:r>
              <w:t>129.56</w:t>
            </w:r>
          </w:p>
        </w:tc>
        <w:tc>
          <w:tcPr>
            <w:tcW w:w="2551" w:type="dxa"/>
            <w:vAlign w:val="center"/>
          </w:tcPr>
          <w:p w14:paraId="5B4435FA">
            <w:pPr>
              <w:pStyle w:val="11"/>
            </w:pPr>
            <w:r>
              <w:t>129.56</w:t>
            </w:r>
          </w:p>
        </w:tc>
        <w:tc>
          <w:tcPr>
            <w:tcW w:w="2551" w:type="dxa"/>
            <w:vAlign w:val="center"/>
          </w:tcPr>
          <w:p w14:paraId="757FE8A1">
            <w:pPr>
              <w:pStyle w:val="11"/>
            </w:pPr>
          </w:p>
        </w:tc>
      </w:tr>
      <w:tr w14:paraId="484A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9830">
            <w:pPr>
              <w:pStyle w:val="13"/>
            </w:pPr>
            <w:r>
              <w:t>12</w:t>
            </w:r>
          </w:p>
        </w:tc>
        <w:tc>
          <w:tcPr>
            <w:tcW w:w="1191" w:type="dxa"/>
            <w:vAlign w:val="center"/>
          </w:tcPr>
          <w:p w14:paraId="219B8355">
            <w:pPr>
              <w:pStyle w:val="12"/>
            </w:pPr>
            <w:r>
              <w:t>30305</w:t>
            </w:r>
          </w:p>
        </w:tc>
        <w:tc>
          <w:tcPr>
            <w:tcW w:w="4535" w:type="dxa"/>
            <w:vAlign w:val="center"/>
          </w:tcPr>
          <w:p w14:paraId="4FB62F7D">
            <w:pPr>
              <w:pStyle w:val="12"/>
            </w:pPr>
            <w:r>
              <w:t>生活补助</w:t>
            </w:r>
          </w:p>
        </w:tc>
        <w:tc>
          <w:tcPr>
            <w:tcW w:w="2551" w:type="dxa"/>
            <w:vAlign w:val="center"/>
          </w:tcPr>
          <w:p w14:paraId="34D79F2F">
            <w:pPr>
              <w:pStyle w:val="11"/>
            </w:pPr>
            <w:r>
              <w:t>7.92</w:t>
            </w:r>
          </w:p>
        </w:tc>
        <w:tc>
          <w:tcPr>
            <w:tcW w:w="2551" w:type="dxa"/>
            <w:vAlign w:val="center"/>
          </w:tcPr>
          <w:p w14:paraId="2B98FA41">
            <w:pPr>
              <w:pStyle w:val="11"/>
            </w:pPr>
            <w:r>
              <w:t>7.92</w:t>
            </w:r>
          </w:p>
        </w:tc>
        <w:tc>
          <w:tcPr>
            <w:tcW w:w="2551" w:type="dxa"/>
            <w:vAlign w:val="center"/>
          </w:tcPr>
          <w:p w14:paraId="620D34B2">
            <w:pPr>
              <w:pStyle w:val="11"/>
            </w:pPr>
          </w:p>
        </w:tc>
      </w:tr>
    </w:tbl>
    <w:p w14:paraId="52605E35">
      <w:pPr>
        <w:sectPr>
          <w:pgSz w:w="16840" w:h="11900" w:orient="landscape"/>
          <w:pgMar w:top="1361" w:right="1020" w:bottom="1134" w:left="1020" w:header="720" w:footer="720" w:gutter="0"/>
          <w:cols w:space="720" w:num="1"/>
        </w:sectPr>
      </w:pPr>
    </w:p>
    <w:p w14:paraId="50616F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6F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946ACD">
            <w:pPr>
              <w:pStyle w:val="9"/>
            </w:pPr>
            <w:r>
              <w:t>360024隆尧县大张家庄校区</w:t>
            </w:r>
          </w:p>
        </w:tc>
        <w:tc>
          <w:tcPr>
            <w:tcW w:w="2551" w:type="dxa"/>
            <w:tcBorders>
              <w:top w:val="single" w:color="FFFFFF" w:sz="6" w:space="0"/>
              <w:left w:val="single" w:color="FFFFFF" w:sz="6" w:space="0"/>
              <w:right w:val="single" w:color="FFFFFF" w:sz="6" w:space="0"/>
            </w:tcBorders>
            <w:vAlign w:val="center"/>
          </w:tcPr>
          <w:p w14:paraId="6326EA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056444">
            <w:pPr>
              <w:pStyle w:val="7"/>
            </w:pPr>
            <w:r>
              <w:t>单位：万元</w:t>
            </w:r>
          </w:p>
        </w:tc>
      </w:tr>
      <w:tr w14:paraId="51C0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EA94A">
            <w:pPr>
              <w:pStyle w:val="10"/>
            </w:pPr>
            <w:r>
              <w:t>序号</w:t>
            </w:r>
          </w:p>
        </w:tc>
        <w:tc>
          <w:tcPr>
            <w:tcW w:w="5726" w:type="dxa"/>
            <w:gridSpan w:val="2"/>
            <w:vAlign w:val="center"/>
          </w:tcPr>
          <w:p w14:paraId="6D4FDE85">
            <w:pPr>
              <w:pStyle w:val="10"/>
            </w:pPr>
            <w:r>
              <w:t>功能分类科目</w:t>
            </w:r>
          </w:p>
        </w:tc>
        <w:tc>
          <w:tcPr>
            <w:tcW w:w="2551" w:type="dxa"/>
            <w:vMerge w:val="restart"/>
            <w:vAlign w:val="center"/>
          </w:tcPr>
          <w:p w14:paraId="3EFFCBE4">
            <w:pPr>
              <w:pStyle w:val="10"/>
            </w:pPr>
            <w:r>
              <w:t>合计</w:t>
            </w:r>
          </w:p>
        </w:tc>
        <w:tc>
          <w:tcPr>
            <w:tcW w:w="2551" w:type="dxa"/>
            <w:vMerge w:val="restart"/>
            <w:vAlign w:val="center"/>
          </w:tcPr>
          <w:p w14:paraId="674B4EAA">
            <w:pPr>
              <w:pStyle w:val="10"/>
            </w:pPr>
            <w:r>
              <w:t>基本支出</w:t>
            </w:r>
          </w:p>
        </w:tc>
        <w:tc>
          <w:tcPr>
            <w:tcW w:w="2551" w:type="dxa"/>
            <w:vMerge w:val="restart"/>
            <w:vAlign w:val="center"/>
          </w:tcPr>
          <w:p w14:paraId="49B0FA49">
            <w:pPr>
              <w:pStyle w:val="10"/>
            </w:pPr>
            <w:r>
              <w:t>项目支出</w:t>
            </w:r>
          </w:p>
        </w:tc>
      </w:tr>
      <w:tr w14:paraId="515B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FE577B"/>
        </w:tc>
        <w:tc>
          <w:tcPr>
            <w:tcW w:w="1191" w:type="dxa"/>
            <w:vAlign w:val="center"/>
          </w:tcPr>
          <w:p w14:paraId="3DDF586E">
            <w:pPr>
              <w:pStyle w:val="10"/>
            </w:pPr>
            <w:r>
              <w:t>科目编码</w:t>
            </w:r>
          </w:p>
        </w:tc>
        <w:tc>
          <w:tcPr>
            <w:tcW w:w="4535" w:type="dxa"/>
            <w:vAlign w:val="center"/>
          </w:tcPr>
          <w:p w14:paraId="3C53C813">
            <w:pPr>
              <w:pStyle w:val="10"/>
            </w:pPr>
            <w:r>
              <w:t>科目名称</w:t>
            </w:r>
          </w:p>
        </w:tc>
        <w:tc>
          <w:tcPr>
            <w:tcW w:w="2551" w:type="dxa"/>
            <w:vMerge w:val="continue"/>
          </w:tcPr>
          <w:p w14:paraId="65608DD2"/>
        </w:tc>
        <w:tc>
          <w:tcPr>
            <w:tcW w:w="2551" w:type="dxa"/>
            <w:vMerge w:val="continue"/>
          </w:tcPr>
          <w:p w14:paraId="01CB0662"/>
        </w:tc>
        <w:tc>
          <w:tcPr>
            <w:tcW w:w="2551" w:type="dxa"/>
            <w:vMerge w:val="continue"/>
          </w:tcPr>
          <w:p w14:paraId="2BB6431B"/>
        </w:tc>
      </w:tr>
      <w:tr w14:paraId="11AC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108688">
            <w:pPr>
              <w:pStyle w:val="10"/>
            </w:pPr>
            <w:r>
              <w:t>栏次</w:t>
            </w:r>
          </w:p>
        </w:tc>
        <w:tc>
          <w:tcPr>
            <w:tcW w:w="1191" w:type="dxa"/>
            <w:vAlign w:val="center"/>
          </w:tcPr>
          <w:p w14:paraId="46988233">
            <w:pPr>
              <w:pStyle w:val="10"/>
            </w:pPr>
            <w:r>
              <w:t>1</w:t>
            </w:r>
          </w:p>
        </w:tc>
        <w:tc>
          <w:tcPr>
            <w:tcW w:w="4535" w:type="dxa"/>
            <w:vAlign w:val="center"/>
          </w:tcPr>
          <w:p w14:paraId="7DF75031">
            <w:pPr>
              <w:pStyle w:val="10"/>
            </w:pPr>
            <w:r>
              <w:t>2</w:t>
            </w:r>
          </w:p>
        </w:tc>
        <w:tc>
          <w:tcPr>
            <w:tcW w:w="2551" w:type="dxa"/>
            <w:vAlign w:val="center"/>
          </w:tcPr>
          <w:p w14:paraId="6937328C">
            <w:pPr>
              <w:pStyle w:val="10"/>
            </w:pPr>
            <w:r>
              <w:t>3</w:t>
            </w:r>
          </w:p>
        </w:tc>
        <w:tc>
          <w:tcPr>
            <w:tcW w:w="2551" w:type="dxa"/>
            <w:vAlign w:val="center"/>
          </w:tcPr>
          <w:p w14:paraId="66D17172">
            <w:pPr>
              <w:pStyle w:val="10"/>
            </w:pPr>
            <w:r>
              <w:t>4</w:t>
            </w:r>
          </w:p>
        </w:tc>
        <w:tc>
          <w:tcPr>
            <w:tcW w:w="2551" w:type="dxa"/>
            <w:vAlign w:val="center"/>
          </w:tcPr>
          <w:p w14:paraId="09DF2A5F">
            <w:pPr>
              <w:pStyle w:val="10"/>
            </w:pPr>
            <w:r>
              <w:t>5</w:t>
            </w:r>
          </w:p>
        </w:tc>
      </w:tr>
      <w:tr w14:paraId="470A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DAB4F">
            <w:pPr>
              <w:pStyle w:val="13"/>
            </w:pPr>
          </w:p>
        </w:tc>
        <w:tc>
          <w:tcPr>
            <w:tcW w:w="1191" w:type="dxa"/>
            <w:vAlign w:val="center"/>
          </w:tcPr>
          <w:p w14:paraId="3FE76559">
            <w:pPr>
              <w:pStyle w:val="12"/>
            </w:pPr>
          </w:p>
        </w:tc>
        <w:tc>
          <w:tcPr>
            <w:tcW w:w="4535" w:type="dxa"/>
            <w:vAlign w:val="center"/>
          </w:tcPr>
          <w:p w14:paraId="2FD929F3">
            <w:pPr>
              <w:pStyle w:val="12"/>
            </w:pPr>
          </w:p>
        </w:tc>
        <w:tc>
          <w:tcPr>
            <w:tcW w:w="2551" w:type="dxa"/>
            <w:vAlign w:val="center"/>
          </w:tcPr>
          <w:p w14:paraId="5E81B89C">
            <w:pPr>
              <w:pStyle w:val="11"/>
            </w:pPr>
          </w:p>
        </w:tc>
        <w:tc>
          <w:tcPr>
            <w:tcW w:w="2551" w:type="dxa"/>
            <w:vAlign w:val="center"/>
          </w:tcPr>
          <w:p w14:paraId="1C2368BA">
            <w:pPr>
              <w:pStyle w:val="11"/>
            </w:pPr>
          </w:p>
        </w:tc>
        <w:tc>
          <w:tcPr>
            <w:tcW w:w="2551" w:type="dxa"/>
            <w:vAlign w:val="center"/>
          </w:tcPr>
          <w:p w14:paraId="7DD8DCBA">
            <w:pPr>
              <w:pStyle w:val="11"/>
            </w:pPr>
          </w:p>
        </w:tc>
      </w:tr>
    </w:tbl>
    <w:p w14:paraId="712B71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F8E02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73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89FCEE">
            <w:pPr>
              <w:pStyle w:val="9"/>
            </w:pPr>
            <w:r>
              <w:t>360024隆尧县大张家庄校区</w:t>
            </w:r>
          </w:p>
        </w:tc>
        <w:tc>
          <w:tcPr>
            <w:tcW w:w="2551" w:type="dxa"/>
            <w:tcBorders>
              <w:top w:val="single" w:color="FFFFFF" w:sz="6" w:space="0"/>
              <w:left w:val="single" w:color="FFFFFF" w:sz="6" w:space="0"/>
              <w:right w:val="single" w:color="FFFFFF" w:sz="6" w:space="0"/>
            </w:tcBorders>
            <w:vAlign w:val="center"/>
          </w:tcPr>
          <w:p w14:paraId="3E10DE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DFDEBF">
            <w:pPr>
              <w:pStyle w:val="7"/>
            </w:pPr>
            <w:r>
              <w:t>单位：万元</w:t>
            </w:r>
          </w:p>
        </w:tc>
      </w:tr>
      <w:tr w14:paraId="4E87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7B3E5">
            <w:pPr>
              <w:pStyle w:val="10"/>
            </w:pPr>
            <w:r>
              <w:t>序号</w:t>
            </w:r>
          </w:p>
        </w:tc>
        <w:tc>
          <w:tcPr>
            <w:tcW w:w="5726" w:type="dxa"/>
            <w:gridSpan w:val="2"/>
            <w:vAlign w:val="center"/>
          </w:tcPr>
          <w:p w14:paraId="76C006A7">
            <w:pPr>
              <w:pStyle w:val="10"/>
            </w:pPr>
            <w:r>
              <w:t>功能分类科目</w:t>
            </w:r>
          </w:p>
        </w:tc>
        <w:tc>
          <w:tcPr>
            <w:tcW w:w="2551" w:type="dxa"/>
            <w:vMerge w:val="restart"/>
            <w:vAlign w:val="center"/>
          </w:tcPr>
          <w:p w14:paraId="1FFB4F85">
            <w:pPr>
              <w:pStyle w:val="10"/>
            </w:pPr>
            <w:r>
              <w:t>合计</w:t>
            </w:r>
          </w:p>
        </w:tc>
        <w:tc>
          <w:tcPr>
            <w:tcW w:w="2551" w:type="dxa"/>
            <w:vMerge w:val="restart"/>
            <w:vAlign w:val="center"/>
          </w:tcPr>
          <w:p w14:paraId="185A1B29">
            <w:pPr>
              <w:pStyle w:val="10"/>
            </w:pPr>
            <w:r>
              <w:t>基本支出</w:t>
            </w:r>
          </w:p>
        </w:tc>
        <w:tc>
          <w:tcPr>
            <w:tcW w:w="2551" w:type="dxa"/>
            <w:vMerge w:val="restart"/>
            <w:vAlign w:val="center"/>
          </w:tcPr>
          <w:p w14:paraId="3358119E">
            <w:pPr>
              <w:pStyle w:val="10"/>
            </w:pPr>
            <w:r>
              <w:t>项目支出</w:t>
            </w:r>
          </w:p>
        </w:tc>
      </w:tr>
      <w:tr w14:paraId="6C60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A1903"/>
        </w:tc>
        <w:tc>
          <w:tcPr>
            <w:tcW w:w="1191" w:type="dxa"/>
            <w:vAlign w:val="center"/>
          </w:tcPr>
          <w:p w14:paraId="2789E01C">
            <w:pPr>
              <w:pStyle w:val="10"/>
            </w:pPr>
            <w:r>
              <w:t>科目编码</w:t>
            </w:r>
          </w:p>
        </w:tc>
        <w:tc>
          <w:tcPr>
            <w:tcW w:w="4535" w:type="dxa"/>
            <w:vAlign w:val="center"/>
          </w:tcPr>
          <w:p w14:paraId="10CB02DA">
            <w:pPr>
              <w:pStyle w:val="10"/>
            </w:pPr>
            <w:r>
              <w:t>科目名称</w:t>
            </w:r>
          </w:p>
        </w:tc>
        <w:tc>
          <w:tcPr>
            <w:tcW w:w="2551" w:type="dxa"/>
            <w:vMerge w:val="continue"/>
          </w:tcPr>
          <w:p w14:paraId="3D88FE76"/>
        </w:tc>
        <w:tc>
          <w:tcPr>
            <w:tcW w:w="2551" w:type="dxa"/>
            <w:vMerge w:val="continue"/>
          </w:tcPr>
          <w:p w14:paraId="6AFF6A49"/>
        </w:tc>
        <w:tc>
          <w:tcPr>
            <w:tcW w:w="2551" w:type="dxa"/>
            <w:vMerge w:val="continue"/>
          </w:tcPr>
          <w:p w14:paraId="67F31AAE"/>
        </w:tc>
      </w:tr>
      <w:tr w14:paraId="3180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3C50B4">
            <w:pPr>
              <w:pStyle w:val="10"/>
            </w:pPr>
            <w:r>
              <w:t>栏次</w:t>
            </w:r>
          </w:p>
        </w:tc>
        <w:tc>
          <w:tcPr>
            <w:tcW w:w="1191" w:type="dxa"/>
            <w:vAlign w:val="center"/>
          </w:tcPr>
          <w:p w14:paraId="7AFD036D">
            <w:pPr>
              <w:pStyle w:val="10"/>
            </w:pPr>
            <w:r>
              <w:t>1</w:t>
            </w:r>
          </w:p>
        </w:tc>
        <w:tc>
          <w:tcPr>
            <w:tcW w:w="4535" w:type="dxa"/>
            <w:vAlign w:val="center"/>
          </w:tcPr>
          <w:p w14:paraId="0F048A4E">
            <w:pPr>
              <w:pStyle w:val="10"/>
            </w:pPr>
            <w:r>
              <w:t>2</w:t>
            </w:r>
          </w:p>
        </w:tc>
        <w:tc>
          <w:tcPr>
            <w:tcW w:w="2551" w:type="dxa"/>
            <w:vAlign w:val="center"/>
          </w:tcPr>
          <w:p w14:paraId="0684A3C9">
            <w:pPr>
              <w:pStyle w:val="10"/>
            </w:pPr>
            <w:r>
              <w:t>3</w:t>
            </w:r>
          </w:p>
        </w:tc>
        <w:tc>
          <w:tcPr>
            <w:tcW w:w="2551" w:type="dxa"/>
            <w:vAlign w:val="center"/>
          </w:tcPr>
          <w:p w14:paraId="69987399">
            <w:pPr>
              <w:pStyle w:val="10"/>
            </w:pPr>
            <w:r>
              <w:t>4</w:t>
            </w:r>
          </w:p>
        </w:tc>
        <w:tc>
          <w:tcPr>
            <w:tcW w:w="2551" w:type="dxa"/>
            <w:vAlign w:val="center"/>
          </w:tcPr>
          <w:p w14:paraId="057F6F5D">
            <w:pPr>
              <w:pStyle w:val="10"/>
            </w:pPr>
            <w:r>
              <w:t>5</w:t>
            </w:r>
          </w:p>
        </w:tc>
      </w:tr>
      <w:tr w14:paraId="36CA9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0F0B7">
            <w:pPr>
              <w:pStyle w:val="13"/>
            </w:pPr>
          </w:p>
        </w:tc>
        <w:tc>
          <w:tcPr>
            <w:tcW w:w="1191" w:type="dxa"/>
            <w:vAlign w:val="center"/>
          </w:tcPr>
          <w:p w14:paraId="7BA78969">
            <w:pPr>
              <w:pStyle w:val="12"/>
            </w:pPr>
          </w:p>
        </w:tc>
        <w:tc>
          <w:tcPr>
            <w:tcW w:w="4535" w:type="dxa"/>
            <w:vAlign w:val="center"/>
          </w:tcPr>
          <w:p w14:paraId="3CC85343">
            <w:pPr>
              <w:pStyle w:val="12"/>
            </w:pPr>
          </w:p>
        </w:tc>
        <w:tc>
          <w:tcPr>
            <w:tcW w:w="2551" w:type="dxa"/>
            <w:vAlign w:val="center"/>
          </w:tcPr>
          <w:p w14:paraId="056C372D">
            <w:pPr>
              <w:pStyle w:val="11"/>
            </w:pPr>
          </w:p>
        </w:tc>
        <w:tc>
          <w:tcPr>
            <w:tcW w:w="2551" w:type="dxa"/>
            <w:vAlign w:val="center"/>
          </w:tcPr>
          <w:p w14:paraId="13DEE422">
            <w:pPr>
              <w:pStyle w:val="11"/>
            </w:pPr>
          </w:p>
        </w:tc>
        <w:tc>
          <w:tcPr>
            <w:tcW w:w="2551" w:type="dxa"/>
            <w:vAlign w:val="center"/>
          </w:tcPr>
          <w:p w14:paraId="6261FFE7">
            <w:pPr>
              <w:pStyle w:val="11"/>
            </w:pPr>
          </w:p>
        </w:tc>
      </w:tr>
    </w:tbl>
    <w:p w14:paraId="051578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58C6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D43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3C81AD">
            <w:pPr>
              <w:pStyle w:val="9"/>
            </w:pPr>
            <w:r>
              <w:t>360024隆尧县大张家庄校区</w:t>
            </w:r>
          </w:p>
        </w:tc>
        <w:tc>
          <w:tcPr>
            <w:tcW w:w="2381" w:type="dxa"/>
            <w:tcBorders>
              <w:top w:val="single" w:color="FFFFFF" w:sz="6" w:space="0"/>
              <w:left w:val="single" w:color="FFFFFF" w:sz="6" w:space="0"/>
              <w:right w:val="single" w:color="FFFFFF" w:sz="6" w:space="0"/>
            </w:tcBorders>
            <w:vAlign w:val="center"/>
          </w:tcPr>
          <w:p w14:paraId="0BA3237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E3D65D9">
            <w:pPr>
              <w:pStyle w:val="7"/>
            </w:pPr>
            <w:r>
              <w:t>单位：万元</w:t>
            </w:r>
          </w:p>
        </w:tc>
      </w:tr>
      <w:tr w14:paraId="6486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AB65A">
            <w:pPr>
              <w:pStyle w:val="10"/>
            </w:pPr>
            <w:r>
              <w:t>序号</w:t>
            </w:r>
          </w:p>
        </w:tc>
        <w:tc>
          <w:tcPr>
            <w:tcW w:w="3798" w:type="dxa"/>
            <w:vMerge w:val="restart"/>
            <w:vAlign w:val="center"/>
          </w:tcPr>
          <w:p w14:paraId="229CCC88">
            <w:pPr>
              <w:pStyle w:val="10"/>
            </w:pPr>
            <w:r>
              <w:t>项  目</w:t>
            </w:r>
          </w:p>
        </w:tc>
        <w:tc>
          <w:tcPr>
            <w:tcW w:w="9524" w:type="dxa"/>
            <w:gridSpan w:val="4"/>
            <w:vAlign w:val="center"/>
          </w:tcPr>
          <w:p w14:paraId="050DE4BE">
            <w:pPr>
              <w:pStyle w:val="10"/>
            </w:pPr>
            <w:r>
              <w:t>资 金 性 质</w:t>
            </w:r>
          </w:p>
        </w:tc>
      </w:tr>
      <w:tr w14:paraId="776F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D866AE"/>
        </w:tc>
        <w:tc>
          <w:tcPr>
            <w:tcW w:w="3798" w:type="dxa"/>
            <w:vMerge w:val="continue"/>
          </w:tcPr>
          <w:p w14:paraId="54AD05AF"/>
        </w:tc>
        <w:tc>
          <w:tcPr>
            <w:tcW w:w="2381" w:type="dxa"/>
            <w:vAlign w:val="center"/>
          </w:tcPr>
          <w:p w14:paraId="6A90FF57">
            <w:pPr>
              <w:pStyle w:val="10"/>
            </w:pPr>
            <w:r>
              <w:t>合计</w:t>
            </w:r>
          </w:p>
        </w:tc>
        <w:tc>
          <w:tcPr>
            <w:tcW w:w="2381" w:type="dxa"/>
            <w:vAlign w:val="center"/>
          </w:tcPr>
          <w:p w14:paraId="28743A8D">
            <w:pPr>
              <w:pStyle w:val="10"/>
            </w:pPr>
            <w:r>
              <w:t>一般公共预算              财政拨款</w:t>
            </w:r>
          </w:p>
        </w:tc>
        <w:tc>
          <w:tcPr>
            <w:tcW w:w="2381" w:type="dxa"/>
            <w:vAlign w:val="center"/>
          </w:tcPr>
          <w:p w14:paraId="33023009">
            <w:pPr>
              <w:pStyle w:val="10"/>
            </w:pPr>
            <w:r>
              <w:t>政府性基金                  预算拨款</w:t>
            </w:r>
          </w:p>
        </w:tc>
        <w:tc>
          <w:tcPr>
            <w:tcW w:w="2381" w:type="dxa"/>
            <w:vAlign w:val="center"/>
          </w:tcPr>
          <w:p w14:paraId="7B679A47">
            <w:pPr>
              <w:pStyle w:val="10"/>
            </w:pPr>
            <w:r>
              <w:t>国有资本经营              预算财政拨款</w:t>
            </w:r>
          </w:p>
        </w:tc>
      </w:tr>
      <w:tr w14:paraId="1261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6CE52B">
            <w:pPr>
              <w:pStyle w:val="10"/>
            </w:pPr>
            <w:r>
              <w:t>栏次</w:t>
            </w:r>
          </w:p>
        </w:tc>
        <w:tc>
          <w:tcPr>
            <w:tcW w:w="3798" w:type="dxa"/>
            <w:vAlign w:val="center"/>
          </w:tcPr>
          <w:p w14:paraId="09834764">
            <w:pPr>
              <w:pStyle w:val="10"/>
            </w:pPr>
            <w:r>
              <w:t>1</w:t>
            </w:r>
          </w:p>
        </w:tc>
        <w:tc>
          <w:tcPr>
            <w:tcW w:w="2381" w:type="dxa"/>
            <w:vAlign w:val="center"/>
          </w:tcPr>
          <w:p w14:paraId="5C924A7D">
            <w:pPr>
              <w:pStyle w:val="10"/>
            </w:pPr>
            <w:r>
              <w:t>2</w:t>
            </w:r>
          </w:p>
        </w:tc>
        <w:tc>
          <w:tcPr>
            <w:tcW w:w="2381" w:type="dxa"/>
            <w:vAlign w:val="center"/>
          </w:tcPr>
          <w:p w14:paraId="76611268">
            <w:pPr>
              <w:pStyle w:val="10"/>
            </w:pPr>
            <w:r>
              <w:t>3</w:t>
            </w:r>
          </w:p>
        </w:tc>
        <w:tc>
          <w:tcPr>
            <w:tcW w:w="2381" w:type="dxa"/>
            <w:vAlign w:val="center"/>
          </w:tcPr>
          <w:p w14:paraId="68B44BFA">
            <w:pPr>
              <w:pStyle w:val="10"/>
            </w:pPr>
            <w:r>
              <w:t>4</w:t>
            </w:r>
          </w:p>
        </w:tc>
        <w:tc>
          <w:tcPr>
            <w:tcW w:w="2381" w:type="dxa"/>
            <w:vAlign w:val="center"/>
          </w:tcPr>
          <w:p w14:paraId="775E1916">
            <w:pPr>
              <w:pStyle w:val="10"/>
            </w:pPr>
            <w:r>
              <w:t>5</w:t>
            </w:r>
          </w:p>
        </w:tc>
      </w:tr>
      <w:tr w14:paraId="4253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8A4DBB">
            <w:pPr>
              <w:pStyle w:val="13"/>
            </w:pPr>
          </w:p>
        </w:tc>
        <w:tc>
          <w:tcPr>
            <w:tcW w:w="3798" w:type="dxa"/>
            <w:vAlign w:val="center"/>
          </w:tcPr>
          <w:p w14:paraId="7B074BE2">
            <w:pPr>
              <w:pStyle w:val="12"/>
            </w:pPr>
          </w:p>
        </w:tc>
        <w:tc>
          <w:tcPr>
            <w:tcW w:w="2381" w:type="dxa"/>
            <w:vAlign w:val="center"/>
          </w:tcPr>
          <w:p w14:paraId="66E09F82">
            <w:pPr>
              <w:pStyle w:val="11"/>
            </w:pPr>
          </w:p>
        </w:tc>
        <w:tc>
          <w:tcPr>
            <w:tcW w:w="2381" w:type="dxa"/>
            <w:vAlign w:val="center"/>
          </w:tcPr>
          <w:p w14:paraId="4301D332">
            <w:pPr>
              <w:pStyle w:val="11"/>
            </w:pPr>
          </w:p>
        </w:tc>
        <w:tc>
          <w:tcPr>
            <w:tcW w:w="2381" w:type="dxa"/>
            <w:vAlign w:val="center"/>
          </w:tcPr>
          <w:p w14:paraId="520D7130">
            <w:pPr>
              <w:pStyle w:val="11"/>
            </w:pPr>
          </w:p>
        </w:tc>
        <w:tc>
          <w:tcPr>
            <w:tcW w:w="2381" w:type="dxa"/>
            <w:vAlign w:val="center"/>
          </w:tcPr>
          <w:p w14:paraId="46D9B5DB">
            <w:pPr>
              <w:pStyle w:val="11"/>
            </w:pPr>
          </w:p>
        </w:tc>
      </w:tr>
    </w:tbl>
    <w:p w14:paraId="6805C66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F580F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隆尧县大张家庄校区2026年单位预算信息公开情况说明</w:t>
      </w:r>
    </w:p>
    <w:p w14:paraId="4BBFEB1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地方预决算公开操作规程》和《关于进一步推进预算公开工作的实施意见》规定，现将隆尧县大张家庄校区2026年单位预算公开如下：</w:t>
      </w:r>
    </w:p>
    <w:p w14:paraId="75FFA7A3">
      <w:pPr>
        <w:spacing w:before="10" w:after="10" w:line="240" w:lineRule="auto"/>
        <w:ind w:firstLine="640"/>
        <w:jc w:val="left"/>
        <w:outlineLvl w:val="5"/>
      </w:pPr>
      <w:r>
        <w:rPr>
          <w:rFonts w:ascii="黑体" w:hAnsi="黑体" w:eastAsia="黑体" w:cs="黑体"/>
          <w:color w:val="000000"/>
          <w:sz w:val="32"/>
        </w:rPr>
        <w:t>一、单位职责及机构设置情况</w:t>
      </w:r>
    </w:p>
    <w:p w14:paraId="17D284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6DE5C0F">
      <w:pPr>
        <w:pStyle w:val="17"/>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隆尧县大张家庄校区事业编制116名，其中，校长1名（正股级），副校长3名（副股级）：经费形式为财政性资金基本保证。</w:t>
      </w:r>
    </w:p>
    <w:p w14:paraId="470E3E2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E1EC6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E8C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BA808A">
            <w:pPr>
              <w:pStyle w:val="10"/>
            </w:pPr>
            <w:r>
              <w:t>单位名称</w:t>
            </w:r>
          </w:p>
        </w:tc>
        <w:tc>
          <w:tcPr>
            <w:tcW w:w="1843" w:type="dxa"/>
            <w:vAlign w:val="center"/>
          </w:tcPr>
          <w:p w14:paraId="4778F390">
            <w:pPr>
              <w:pStyle w:val="10"/>
            </w:pPr>
            <w:r>
              <w:t>单位性质</w:t>
            </w:r>
          </w:p>
        </w:tc>
        <w:tc>
          <w:tcPr>
            <w:tcW w:w="2126" w:type="dxa"/>
            <w:vAlign w:val="center"/>
          </w:tcPr>
          <w:p w14:paraId="194C7822">
            <w:pPr>
              <w:pStyle w:val="10"/>
            </w:pPr>
            <w:r>
              <w:t>单位规格</w:t>
            </w:r>
          </w:p>
        </w:tc>
        <w:tc>
          <w:tcPr>
            <w:tcW w:w="3827" w:type="dxa"/>
            <w:vAlign w:val="center"/>
          </w:tcPr>
          <w:p w14:paraId="3F2A1D48">
            <w:pPr>
              <w:pStyle w:val="10"/>
            </w:pPr>
            <w:r>
              <w:t>经费保障形式</w:t>
            </w:r>
          </w:p>
        </w:tc>
      </w:tr>
      <w:tr w14:paraId="1FDF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DE2B2D">
            <w:pPr>
              <w:pStyle w:val="12"/>
            </w:pPr>
            <w:r>
              <w:t>隆尧县大张家庄校区</w:t>
            </w:r>
          </w:p>
        </w:tc>
        <w:tc>
          <w:tcPr>
            <w:tcW w:w="1843" w:type="dxa"/>
            <w:vAlign w:val="center"/>
          </w:tcPr>
          <w:p w14:paraId="124851D2">
            <w:pPr>
              <w:pStyle w:val="13"/>
            </w:pPr>
            <w:r>
              <w:t>事业</w:t>
            </w:r>
          </w:p>
        </w:tc>
        <w:tc>
          <w:tcPr>
            <w:tcW w:w="2126" w:type="dxa"/>
            <w:vAlign w:val="center"/>
          </w:tcPr>
          <w:p w14:paraId="06E0301E">
            <w:pPr>
              <w:pStyle w:val="13"/>
            </w:pPr>
            <w:r>
              <w:t>股级</w:t>
            </w:r>
          </w:p>
        </w:tc>
        <w:tc>
          <w:tcPr>
            <w:tcW w:w="3827" w:type="dxa"/>
            <w:vAlign w:val="center"/>
          </w:tcPr>
          <w:p w14:paraId="09157BE5">
            <w:pPr>
              <w:pStyle w:val="13"/>
            </w:pPr>
            <w:r>
              <w:t>财政性资金基本保证</w:t>
            </w:r>
          </w:p>
        </w:tc>
      </w:tr>
    </w:tbl>
    <w:p w14:paraId="002780EA">
      <w:pPr>
        <w:spacing w:before="10" w:after="10" w:line="240" w:lineRule="auto"/>
        <w:ind w:firstLine="640"/>
        <w:jc w:val="left"/>
        <w:outlineLvl w:val="5"/>
      </w:pPr>
      <w:r>
        <w:rPr>
          <w:rFonts w:ascii="黑体" w:hAnsi="黑体" w:eastAsia="黑体" w:cs="黑体"/>
          <w:color w:val="000000"/>
          <w:sz w:val="32"/>
        </w:rPr>
        <w:t>二、单位预算安排的总体情况</w:t>
      </w:r>
    </w:p>
    <w:p w14:paraId="4B0ABC3B">
      <w:pPr>
        <w:pStyle w:val="18"/>
      </w:pPr>
      <w:r>
        <w:t>按照预算管理有关规定，目前我校区单位预算的编制实行综合预算管理，即全部收入和支出都反映的预算中。隆尧县大张家庄校区的收支包含在单位预算中。</w:t>
      </w:r>
    </w:p>
    <w:p w14:paraId="54058A29">
      <w:pPr>
        <w:pStyle w:val="18"/>
      </w:pPr>
      <w:r>
        <w:t>1、收入说明</w:t>
      </w:r>
    </w:p>
    <w:p w14:paraId="4F1289E7">
      <w:pPr>
        <w:pStyle w:val="18"/>
      </w:pPr>
      <w:r>
        <w:t>反映本单位当年全部收入。2026年预算收入2256.08万元，其中：一般公共预算收入2256.08万元，基金预算收入0元，财政专户管理资金收入0万元，其他来源收入0元，上年结转179.63万元。</w:t>
      </w:r>
    </w:p>
    <w:p w14:paraId="36228437">
      <w:pPr>
        <w:pStyle w:val="18"/>
      </w:pPr>
      <w:r>
        <w:t>2、支出说明</w:t>
      </w:r>
    </w:p>
    <w:p w14:paraId="62229872">
      <w:pPr>
        <w:pStyle w:val="18"/>
      </w:pPr>
      <w:r>
        <w:t>收支预算总表支出栏、基本支出表、项目支出表按经济分类和支出功能分类科目编制，反映隆尧县大张家庄校区年度单位预算中支出预算的总体情况。2026年单位支出预算为2256.08万元，其中基本支出1592.19万元，项目支出663.89万元</w:t>
      </w:r>
    </w:p>
    <w:p w14:paraId="34B95A03">
      <w:pPr>
        <w:pStyle w:val="18"/>
      </w:pPr>
      <w:r>
        <w:t>3、比上年增减情况</w:t>
      </w:r>
    </w:p>
    <w:p w14:paraId="3B08E0A7">
      <w:pPr>
        <w:pStyle w:val="18"/>
      </w:pPr>
      <w:r>
        <w:t>2026年预算收支安排2256.08万元，较2025年预算增加66.67万元，其中：基本支出减少95.51万元，主要减少人员经费支出；项目支出增加162.18万元。</w:t>
      </w:r>
    </w:p>
    <w:p w14:paraId="3C2E28F0">
      <w:pPr>
        <w:spacing w:before="10" w:after="10" w:line="240" w:lineRule="auto"/>
        <w:ind w:firstLine="640"/>
        <w:jc w:val="left"/>
        <w:outlineLvl w:val="5"/>
      </w:pPr>
      <w:r>
        <w:rPr>
          <w:rFonts w:ascii="黑体" w:hAnsi="黑体" w:eastAsia="黑体" w:cs="黑体"/>
          <w:color w:val="000000"/>
          <w:sz w:val="32"/>
        </w:rPr>
        <w:t>三、机关运行经费安排情况</w:t>
      </w:r>
    </w:p>
    <w:p w14:paraId="0EB720B7">
      <w:pPr>
        <w:pStyle w:val="19"/>
      </w:pPr>
      <w:r>
        <w:t>我单位按学生安排公用经费，无机关运行费</w:t>
      </w:r>
    </w:p>
    <w:p w14:paraId="4522850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832EFD">
      <w:pPr>
        <w:pStyle w:val="20"/>
      </w:pPr>
      <w:r>
        <w:t>2026年，我单位财政拨款“三公”经费预算安排0万元，其中因公出国（境）费0万元；公务用车购置及运维费0万元（其中：公务用车购置费为0万元，公务用车运行维护费0万元</w:t>
      </w:r>
      <w:r>
        <w:rPr>
          <w:rFonts w:hint="eastAsia"/>
          <w:lang w:eastAsia="zh-CN"/>
        </w:rPr>
        <w:t>）</w:t>
      </w:r>
      <w:r>
        <w:t>；公务接待费0万元。与2025年相比无变化。</w:t>
      </w:r>
    </w:p>
    <w:p w14:paraId="1FEEB72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E9CCB8C">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1、冀财教[2023]154号/中央/义教经费/校舍安全保障/大张庄校区刘通庄小学塑胶操场改造绩效目标表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FA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F5DED">
            <w:pPr>
              <w:pStyle w:val="11"/>
            </w:pPr>
            <w:r>
              <w:t>单位：万元</w:t>
            </w:r>
          </w:p>
        </w:tc>
      </w:tr>
      <w:tr w14:paraId="3E276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60D31">
            <w:pPr>
              <w:pStyle w:val="10"/>
            </w:pPr>
            <w:r>
              <w:t>项目编码</w:t>
            </w:r>
          </w:p>
        </w:tc>
        <w:tc>
          <w:tcPr>
            <w:tcW w:w="5103" w:type="dxa"/>
            <w:gridSpan w:val="2"/>
            <w:vAlign w:val="center"/>
          </w:tcPr>
          <w:p w14:paraId="67C61718">
            <w:pPr>
              <w:pStyle w:val="12"/>
            </w:pPr>
            <w:r>
              <w:t>13052526P00876210118B</w:t>
            </w:r>
          </w:p>
        </w:tc>
        <w:tc>
          <w:tcPr>
            <w:tcW w:w="2835" w:type="dxa"/>
            <w:vAlign w:val="center"/>
          </w:tcPr>
          <w:p w14:paraId="06F11604">
            <w:pPr>
              <w:pStyle w:val="10"/>
            </w:pPr>
            <w:r>
              <w:t>项目名称</w:t>
            </w:r>
          </w:p>
        </w:tc>
        <w:tc>
          <w:tcPr>
            <w:tcW w:w="6095" w:type="dxa"/>
            <w:gridSpan w:val="3"/>
            <w:vAlign w:val="center"/>
          </w:tcPr>
          <w:p w14:paraId="7A95BDBE">
            <w:pPr>
              <w:pStyle w:val="12"/>
            </w:pPr>
            <w:r>
              <w:t>冀财教[2023]154号/中央/义教经费/校舍安全保障/大张庄校区刘通庄小学塑胶操场改造</w:t>
            </w:r>
          </w:p>
        </w:tc>
      </w:tr>
      <w:tr w14:paraId="03872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0C2B2">
            <w:pPr>
              <w:pStyle w:val="10"/>
            </w:pPr>
            <w:r>
              <w:t>预算规模及资金用途</w:t>
            </w:r>
          </w:p>
        </w:tc>
        <w:tc>
          <w:tcPr>
            <w:tcW w:w="2268" w:type="dxa"/>
            <w:vAlign w:val="center"/>
          </w:tcPr>
          <w:p w14:paraId="54466CEC">
            <w:pPr>
              <w:pStyle w:val="10"/>
            </w:pPr>
            <w:r>
              <w:t>预算数</w:t>
            </w:r>
          </w:p>
        </w:tc>
        <w:tc>
          <w:tcPr>
            <w:tcW w:w="2835" w:type="dxa"/>
            <w:vAlign w:val="center"/>
          </w:tcPr>
          <w:p w14:paraId="7AA74B53">
            <w:pPr>
              <w:pStyle w:val="12"/>
            </w:pPr>
            <w:r>
              <w:t>22.34</w:t>
            </w:r>
          </w:p>
        </w:tc>
        <w:tc>
          <w:tcPr>
            <w:tcW w:w="2835" w:type="dxa"/>
            <w:vAlign w:val="center"/>
          </w:tcPr>
          <w:p w14:paraId="3E50460C">
            <w:pPr>
              <w:pStyle w:val="10"/>
            </w:pPr>
            <w:r>
              <w:t>其中：财政    资金</w:t>
            </w:r>
          </w:p>
        </w:tc>
        <w:tc>
          <w:tcPr>
            <w:tcW w:w="2551" w:type="dxa"/>
            <w:vAlign w:val="center"/>
          </w:tcPr>
          <w:p w14:paraId="567AA96B">
            <w:pPr>
              <w:pStyle w:val="12"/>
            </w:pPr>
            <w:r>
              <w:t>22.34</w:t>
            </w:r>
          </w:p>
        </w:tc>
        <w:tc>
          <w:tcPr>
            <w:tcW w:w="2268" w:type="dxa"/>
            <w:vAlign w:val="center"/>
          </w:tcPr>
          <w:p w14:paraId="4D2C6EC1">
            <w:pPr>
              <w:pStyle w:val="10"/>
            </w:pPr>
            <w:r>
              <w:t>其他资金</w:t>
            </w:r>
          </w:p>
        </w:tc>
        <w:tc>
          <w:tcPr>
            <w:tcW w:w="1276" w:type="dxa"/>
            <w:vAlign w:val="center"/>
          </w:tcPr>
          <w:p w14:paraId="37B9FDB6">
            <w:pPr>
              <w:pStyle w:val="12"/>
            </w:pPr>
            <w:r>
              <w:t xml:space="preserve"> </w:t>
            </w:r>
          </w:p>
        </w:tc>
      </w:tr>
      <w:tr w14:paraId="3B5EA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63872"/>
        </w:tc>
        <w:tc>
          <w:tcPr>
            <w:tcW w:w="14033" w:type="dxa"/>
            <w:gridSpan w:val="6"/>
            <w:vAlign w:val="center"/>
          </w:tcPr>
          <w:p w14:paraId="4715CB50">
            <w:pPr>
              <w:pStyle w:val="12"/>
            </w:pPr>
            <w:r>
              <w:t>改善义务教育办学条件，进一步提升教育教学办学质量</w:t>
            </w:r>
            <w:r>
              <w:tab/>
            </w:r>
          </w:p>
        </w:tc>
      </w:tr>
      <w:tr w14:paraId="23FE1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72E38">
            <w:pPr>
              <w:pStyle w:val="10"/>
            </w:pPr>
            <w:r>
              <w:t>资金支出计划（%）</w:t>
            </w:r>
          </w:p>
        </w:tc>
        <w:tc>
          <w:tcPr>
            <w:tcW w:w="5103" w:type="dxa"/>
            <w:gridSpan w:val="2"/>
            <w:vAlign w:val="center"/>
          </w:tcPr>
          <w:p w14:paraId="406788AD">
            <w:pPr>
              <w:pStyle w:val="10"/>
            </w:pPr>
            <w:r>
              <w:t>3月底</w:t>
            </w:r>
          </w:p>
        </w:tc>
        <w:tc>
          <w:tcPr>
            <w:tcW w:w="2835" w:type="dxa"/>
            <w:vAlign w:val="center"/>
          </w:tcPr>
          <w:p w14:paraId="23F8FF2E">
            <w:pPr>
              <w:pStyle w:val="10"/>
            </w:pPr>
            <w:r>
              <w:t>6月底</w:t>
            </w:r>
          </w:p>
        </w:tc>
        <w:tc>
          <w:tcPr>
            <w:tcW w:w="2551" w:type="dxa"/>
            <w:vAlign w:val="center"/>
          </w:tcPr>
          <w:p w14:paraId="2F7E0182">
            <w:pPr>
              <w:pStyle w:val="10"/>
            </w:pPr>
            <w:r>
              <w:t>10月底</w:t>
            </w:r>
          </w:p>
        </w:tc>
        <w:tc>
          <w:tcPr>
            <w:tcW w:w="3544" w:type="dxa"/>
            <w:gridSpan w:val="2"/>
            <w:vAlign w:val="center"/>
          </w:tcPr>
          <w:p w14:paraId="4F400263">
            <w:pPr>
              <w:pStyle w:val="10"/>
            </w:pPr>
            <w:r>
              <w:t>12月底</w:t>
            </w:r>
          </w:p>
        </w:tc>
      </w:tr>
      <w:tr w14:paraId="1EEC6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BA9F2"/>
        </w:tc>
        <w:tc>
          <w:tcPr>
            <w:tcW w:w="5103" w:type="dxa"/>
            <w:gridSpan w:val="2"/>
            <w:vAlign w:val="center"/>
          </w:tcPr>
          <w:p w14:paraId="33CC34A7">
            <w:pPr>
              <w:pStyle w:val="13"/>
            </w:pPr>
            <w:r>
              <w:t xml:space="preserve"> </w:t>
            </w:r>
          </w:p>
        </w:tc>
        <w:tc>
          <w:tcPr>
            <w:tcW w:w="2835" w:type="dxa"/>
            <w:vAlign w:val="center"/>
          </w:tcPr>
          <w:p w14:paraId="372F8A5F">
            <w:pPr>
              <w:pStyle w:val="13"/>
            </w:pPr>
            <w:r>
              <w:t>100%</w:t>
            </w:r>
          </w:p>
        </w:tc>
        <w:tc>
          <w:tcPr>
            <w:tcW w:w="2551" w:type="dxa"/>
            <w:vAlign w:val="center"/>
          </w:tcPr>
          <w:p w14:paraId="5D5AA26F">
            <w:pPr>
              <w:pStyle w:val="13"/>
            </w:pPr>
            <w:r>
              <w:t>100%</w:t>
            </w:r>
          </w:p>
        </w:tc>
        <w:tc>
          <w:tcPr>
            <w:tcW w:w="3544" w:type="dxa"/>
            <w:gridSpan w:val="2"/>
            <w:vAlign w:val="center"/>
          </w:tcPr>
          <w:p w14:paraId="26B0C47E">
            <w:pPr>
              <w:pStyle w:val="13"/>
            </w:pPr>
            <w:r>
              <w:t>100%</w:t>
            </w:r>
          </w:p>
        </w:tc>
      </w:tr>
      <w:tr w14:paraId="78884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29B76">
            <w:pPr>
              <w:pStyle w:val="10"/>
            </w:pPr>
            <w:r>
              <w:t>绩效目标</w:t>
            </w:r>
          </w:p>
        </w:tc>
        <w:tc>
          <w:tcPr>
            <w:tcW w:w="14033" w:type="dxa"/>
            <w:gridSpan w:val="6"/>
            <w:vAlign w:val="center"/>
          </w:tcPr>
          <w:p w14:paraId="7CD6B684">
            <w:pPr>
              <w:pStyle w:val="12"/>
            </w:pPr>
            <w:r>
              <w:t>1.改善义务教育办学条件，进一步提升教育教学办学质量</w:t>
            </w:r>
            <w:r>
              <w:tab/>
            </w:r>
            <w:r>
              <w:tab/>
            </w:r>
            <w:r>
              <w:tab/>
            </w:r>
            <w:r>
              <w:tab/>
            </w:r>
            <w:r>
              <w:tab/>
            </w:r>
            <w:r>
              <w:tab/>
            </w:r>
          </w:p>
        </w:tc>
      </w:tr>
    </w:tbl>
    <w:p w14:paraId="09646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89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29A92">
            <w:pPr>
              <w:pStyle w:val="10"/>
            </w:pPr>
            <w:r>
              <w:t>一级指标</w:t>
            </w:r>
          </w:p>
        </w:tc>
        <w:tc>
          <w:tcPr>
            <w:tcW w:w="2268" w:type="dxa"/>
            <w:vAlign w:val="center"/>
          </w:tcPr>
          <w:p w14:paraId="11FFDC40">
            <w:pPr>
              <w:pStyle w:val="10"/>
            </w:pPr>
            <w:r>
              <w:t>二级指标</w:t>
            </w:r>
          </w:p>
        </w:tc>
        <w:tc>
          <w:tcPr>
            <w:tcW w:w="2835" w:type="dxa"/>
            <w:vAlign w:val="center"/>
          </w:tcPr>
          <w:p w14:paraId="66E0AF42">
            <w:pPr>
              <w:pStyle w:val="10"/>
            </w:pPr>
            <w:r>
              <w:t>三级指标</w:t>
            </w:r>
          </w:p>
        </w:tc>
        <w:tc>
          <w:tcPr>
            <w:tcW w:w="5386" w:type="dxa"/>
            <w:vAlign w:val="center"/>
          </w:tcPr>
          <w:p w14:paraId="14C6CC39">
            <w:pPr>
              <w:pStyle w:val="10"/>
            </w:pPr>
            <w:r>
              <w:t>绩效指标描述</w:t>
            </w:r>
          </w:p>
        </w:tc>
        <w:tc>
          <w:tcPr>
            <w:tcW w:w="2268" w:type="dxa"/>
            <w:vAlign w:val="center"/>
          </w:tcPr>
          <w:p w14:paraId="7315156A">
            <w:pPr>
              <w:pStyle w:val="10"/>
            </w:pPr>
            <w:r>
              <w:t>指标值</w:t>
            </w:r>
          </w:p>
        </w:tc>
        <w:tc>
          <w:tcPr>
            <w:tcW w:w="1276" w:type="dxa"/>
            <w:vAlign w:val="center"/>
          </w:tcPr>
          <w:p w14:paraId="32D5AD24">
            <w:pPr>
              <w:pStyle w:val="10"/>
            </w:pPr>
            <w:r>
              <w:t>指标值确定依据</w:t>
            </w:r>
          </w:p>
        </w:tc>
      </w:tr>
      <w:tr w14:paraId="0076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0FE57">
            <w:pPr>
              <w:pStyle w:val="13"/>
            </w:pPr>
            <w:r>
              <w:t>产出指标</w:t>
            </w:r>
          </w:p>
        </w:tc>
        <w:tc>
          <w:tcPr>
            <w:tcW w:w="2268" w:type="dxa"/>
            <w:vAlign w:val="center"/>
          </w:tcPr>
          <w:p w14:paraId="31F07476">
            <w:pPr>
              <w:pStyle w:val="12"/>
            </w:pPr>
            <w:r>
              <w:t>数量指标</w:t>
            </w:r>
          </w:p>
        </w:tc>
        <w:tc>
          <w:tcPr>
            <w:tcW w:w="2835" w:type="dxa"/>
            <w:vAlign w:val="center"/>
          </w:tcPr>
          <w:p w14:paraId="0414BC51">
            <w:pPr>
              <w:pStyle w:val="12"/>
            </w:pPr>
            <w:r>
              <w:t>塑胶操场改造</w:t>
            </w:r>
          </w:p>
        </w:tc>
        <w:tc>
          <w:tcPr>
            <w:tcW w:w="5386" w:type="dxa"/>
            <w:vAlign w:val="center"/>
          </w:tcPr>
          <w:p w14:paraId="3B58C28F">
            <w:pPr>
              <w:pStyle w:val="12"/>
            </w:pPr>
            <w:r>
              <w:t>对学校操场进行铺设塑胶跑道面积</w:t>
            </w:r>
          </w:p>
        </w:tc>
        <w:tc>
          <w:tcPr>
            <w:tcW w:w="2268" w:type="dxa"/>
            <w:vAlign w:val="center"/>
          </w:tcPr>
          <w:p w14:paraId="27E216DC">
            <w:pPr>
              <w:pStyle w:val="12"/>
            </w:pPr>
            <w:r>
              <w:t>6000平方米</w:t>
            </w:r>
          </w:p>
        </w:tc>
        <w:tc>
          <w:tcPr>
            <w:tcW w:w="1276" w:type="dxa"/>
            <w:vAlign w:val="center"/>
          </w:tcPr>
          <w:p w14:paraId="2BE0E5E7">
            <w:pPr>
              <w:pStyle w:val="12"/>
            </w:pPr>
            <w:r>
              <w:t>项目规划</w:t>
            </w:r>
          </w:p>
        </w:tc>
      </w:tr>
      <w:tr w14:paraId="0457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CB1D"/>
        </w:tc>
        <w:tc>
          <w:tcPr>
            <w:tcW w:w="2268" w:type="dxa"/>
            <w:vAlign w:val="center"/>
          </w:tcPr>
          <w:p w14:paraId="05E3C989">
            <w:pPr>
              <w:pStyle w:val="12"/>
            </w:pPr>
            <w:r>
              <w:t>质量指标</w:t>
            </w:r>
          </w:p>
        </w:tc>
        <w:tc>
          <w:tcPr>
            <w:tcW w:w="2835" w:type="dxa"/>
            <w:vAlign w:val="center"/>
          </w:tcPr>
          <w:p w14:paraId="2EEA189F">
            <w:pPr>
              <w:pStyle w:val="12"/>
            </w:pPr>
            <w:r>
              <w:t>工程实施验收合格率</w:t>
            </w:r>
          </w:p>
        </w:tc>
        <w:tc>
          <w:tcPr>
            <w:tcW w:w="5386" w:type="dxa"/>
            <w:vAlign w:val="center"/>
          </w:tcPr>
          <w:p w14:paraId="0EF97A75">
            <w:pPr>
              <w:pStyle w:val="12"/>
            </w:pPr>
            <w:r>
              <w:t>申报程序的合规，项目实施及资金使用符合项目规划</w:t>
            </w:r>
          </w:p>
        </w:tc>
        <w:tc>
          <w:tcPr>
            <w:tcW w:w="2268" w:type="dxa"/>
            <w:vAlign w:val="center"/>
          </w:tcPr>
          <w:p w14:paraId="4CB21401">
            <w:pPr>
              <w:pStyle w:val="12"/>
            </w:pPr>
            <w:r>
              <w:t>≥98%</w:t>
            </w:r>
          </w:p>
        </w:tc>
        <w:tc>
          <w:tcPr>
            <w:tcW w:w="1276" w:type="dxa"/>
            <w:vAlign w:val="center"/>
          </w:tcPr>
          <w:p w14:paraId="356A0A30">
            <w:pPr>
              <w:pStyle w:val="12"/>
            </w:pPr>
            <w:r>
              <w:t>项目规划</w:t>
            </w:r>
          </w:p>
        </w:tc>
      </w:tr>
      <w:tr w14:paraId="124C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76B13"/>
        </w:tc>
        <w:tc>
          <w:tcPr>
            <w:tcW w:w="2268" w:type="dxa"/>
            <w:vAlign w:val="center"/>
          </w:tcPr>
          <w:p w14:paraId="44F39EC8">
            <w:pPr>
              <w:pStyle w:val="12"/>
            </w:pPr>
            <w:r>
              <w:t>时效指标</w:t>
            </w:r>
          </w:p>
        </w:tc>
        <w:tc>
          <w:tcPr>
            <w:tcW w:w="2835" w:type="dxa"/>
            <w:vAlign w:val="center"/>
          </w:tcPr>
          <w:p w14:paraId="3DE49E2B">
            <w:pPr>
              <w:pStyle w:val="12"/>
            </w:pPr>
            <w:r>
              <w:t>资金支付率</w:t>
            </w:r>
          </w:p>
        </w:tc>
        <w:tc>
          <w:tcPr>
            <w:tcW w:w="5386" w:type="dxa"/>
            <w:vAlign w:val="center"/>
          </w:tcPr>
          <w:p w14:paraId="3DE09766">
            <w:pPr>
              <w:pStyle w:val="12"/>
            </w:pPr>
            <w:r>
              <w:t>按照序时进度完成资金支付</w:t>
            </w:r>
          </w:p>
        </w:tc>
        <w:tc>
          <w:tcPr>
            <w:tcW w:w="2268" w:type="dxa"/>
            <w:vAlign w:val="center"/>
          </w:tcPr>
          <w:p w14:paraId="28569128">
            <w:pPr>
              <w:pStyle w:val="12"/>
            </w:pPr>
            <w:r>
              <w:t>≥98%</w:t>
            </w:r>
          </w:p>
        </w:tc>
        <w:tc>
          <w:tcPr>
            <w:tcW w:w="1276" w:type="dxa"/>
            <w:vAlign w:val="center"/>
          </w:tcPr>
          <w:p w14:paraId="520B1687">
            <w:pPr>
              <w:pStyle w:val="12"/>
            </w:pPr>
            <w:r>
              <w:t>项目规划</w:t>
            </w:r>
          </w:p>
        </w:tc>
      </w:tr>
      <w:tr w14:paraId="4772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01F6"/>
        </w:tc>
        <w:tc>
          <w:tcPr>
            <w:tcW w:w="2268" w:type="dxa"/>
            <w:vAlign w:val="center"/>
          </w:tcPr>
          <w:p w14:paraId="3D5F66FD">
            <w:pPr>
              <w:pStyle w:val="12"/>
            </w:pPr>
            <w:r>
              <w:t>成本指标</w:t>
            </w:r>
          </w:p>
        </w:tc>
        <w:tc>
          <w:tcPr>
            <w:tcW w:w="2835" w:type="dxa"/>
            <w:vAlign w:val="center"/>
          </w:tcPr>
          <w:p w14:paraId="3D52430E">
            <w:pPr>
              <w:pStyle w:val="12"/>
            </w:pPr>
            <w:r>
              <w:t>项目成本控制情况</w:t>
            </w:r>
          </w:p>
        </w:tc>
        <w:tc>
          <w:tcPr>
            <w:tcW w:w="5386" w:type="dxa"/>
            <w:vAlign w:val="center"/>
          </w:tcPr>
          <w:p w14:paraId="5CE5D254">
            <w:pPr>
              <w:pStyle w:val="12"/>
            </w:pPr>
            <w:r>
              <w:t>严格按照招标价格及审计额进行</w:t>
            </w:r>
          </w:p>
        </w:tc>
        <w:tc>
          <w:tcPr>
            <w:tcW w:w="2268" w:type="dxa"/>
            <w:vAlign w:val="center"/>
          </w:tcPr>
          <w:p w14:paraId="14B27F07">
            <w:pPr>
              <w:pStyle w:val="12"/>
            </w:pPr>
            <w:r>
              <w:t>223381元</w:t>
            </w:r>
          </w:p>
        </w:tc>
        <w:tc>
          <w:tcPr>
            <w:tcW w:w="1276" w:type="dxa"/>
            <w:vAlign w:val="center"/>
          </w:tcPr>
          <w:p w14:paraId="74C1F5E1">
            <w:pPr>
              <w:pStyle w:val="12"/>
            </w:pPr>
            <w:r>
              <w:t>项目规划</w:t>
            </w:r>
          </w:p>
        </w:tc>
      </w:tr>
      <w:tr w14:paraId="5C78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7D852">
            <w:pPr>
              <w:pStyle w:val="13"/>
            </w:pPr>
            <w:r>
              <w:t>效益指标</w:t>
            </w:r>
          </w:p>
        </w:tc>
        <w:tc>
          <w:tcPr>
            <w:tcW w:w="2268" w:type="dxa"/>
            <w:vAlign w:val="center"/>
          </w:tcPr>
          <w:p w14:paraId="5E51A4FF">
            <w:pPr>
              <w:pStyle w:val="12"/>
            </w:pPr>
            <w:r>
              <w:t>可持续影响指标</w:t>
            </w:r>
          </w:p>
        </w:tc>
        <w:tc>
          <w:tcPr>
            <w:tcW w:w="2835" w:type="dxa"/>
            <w:vAlign w:val="center"/>
          </w:tcPr>
          <w:p w14:paraId="68D03BB5">
            <w:pPr>
              <w:pStyle w:val="12"/>
            </w:pPr>
            <w:r>
              <w:t>学校日常运转</w:t>
            </w:r>
          </w:p>
        </w:tc>
        <w:tc>
          <w:tcPr>
            <w:tcW w:w="5386" w:type="dxa"/>
            <w:vAlign w:val="center"/>
          </w:tcPr>
          <w:p w14:paraId="316401BF">
            <w:pPr>
              <w:pStyle w:val="12"/>
            </w:pPr>
            <w:r>
              <w:t>学生受教育年限</w:t>
            </w:r>
          </w:p>
        </w:tc>
        <w:tc>
          <w:tcPr>
            <w:tcW w:w="2268" w:type="dxa"/>
            <w:vAlign w:val="center"/>
          </w:tcPr>
          <w:p w14:paraId="4993DE59">
            <w:pPr>
              <w:pStyle w:val="12"/>
            </w:pPr>
            <w:r>
              <w:t>6年</w:t>
            </w:r>
          </w:p>
        </w:tc>
        <w:tc>
          <w:tcPr>
            <w:tcW w:w="1276" w:type="dxa"/>
            <w:vAlign w:val="center"/>
          </w:tcPr>
          <w:p w14:paraId="4E836D3A">
            <w:pPr>
              <w:pStyle w:val="12"/>
            </w:pPr>
            <w:r>
              <w:t>项目规划</w:t>
            </w:r>
          </w:p>
        </w:tc>
      </w:tr>
      <w:tr w14:paraId="1B20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DB725">
            <w:pPr>
              <w:pStyle w:val="13"/>
            </w:pPr>
            <w:r>
              <w:t>满意度指标</w:t>
            </w:r>
          </w:p>
        </w:tc>
        <w:tc>
          <w:tcPr>
            <w:tcW w:w="2268" w:type="dxa"/>
            <w:vAlign w:val="center"/>
          </w:tcPr>
          <w:p w14:paraId="5096F84D">
            <w:pPr>
              <w:pStyle w:val="12"/>
            </w:pPr>
            <w:r>
              <w:t>服务对象满意度指标</w:t>
            </w:r>
          </w:p>
        </w:tc>
        <w:tc>
          <w:tcPr>
            <w:tcW w:w="2835" w:type="dxa"/>
            <w:vAlign w:val="center"/>
          </w:tcPr>
          <w:p w14:paraId="160ED9B8">
            <w:pPr>
              <w:pStyle w:val="12"/>
            </w:pPr>
            <w:r>
              <w:t>学生、教师及家长对学校教学环境满意度情况</w:t>
            </w:r>
          </w:p>
        </w:tc>
        <w:tc>
          <w:tcPr>
            <w:tcW w:w="5386" w:type="dxa"/>
            <w:vAlign w:val="center"/>
          </w:tcPr>
          <w:p w14:paraId="0645AF65">
            <w:pPr>
              <w:pStyle w:val="12"/>
            </w:pPr>
            <w:r>
              <w:t>学生、教师及家长对学校教学环境满意度情况</w:t>
            </w:r>
          </w:p>
        </w:tc>
        <w:tc>
          <w:tcPr>
            <w:tcW w:w="2268" w:type="dxa"/>
            <w:vAlign w:val="center"/>
          </w:tcPr>
          <w:p w14:paraId="02F5B4D0">
            <w:pPr>
              <w:pStyle w:val="12"/>
            </w:pPr>
            <w:r>
              <w:t>≥95%</w:t>
            </w:r>
          </w:p>
        </w:tc>
        <w:tc>
          <w:tcPr>
            <w:tcW w:w="1276" w:type="dxa"/>
            <w:vAlign w:val="center"/>
          </w:tcPr>
          <w:p w14:paraId="0CC38920">
            <w:pPr>
              <w:pStyle w:val="12"/>
            </w:pPr>
            <w:r>
              <w:t>调查问卷</w:t>
            </w:r>
          </w:p>
        </w:tc>
      </w:tr>
    </w:tbl>
    <w:p w14:paraId="0EC11375">
      <w:pPr>
        <w:sectPr>
          <w:pgSz w:w="16840" w:h="11900" w:orient="landscape"/>
          <w:pgMar w:top="1361" w:right="1020" w:bottom="1134" w:left="1020" w:header="720" w:footer="720" w:gutter="0"/>
          <w:cols w:space="720" w:num="1"/>
        </w:sectPr>
      </w:pPr>
    </w:p>
    <w:p w14:paraId="616FD228">
      <w:pPr>
        <w:spacing w:before="0" w:after="0"/>
        <w:ind w:firstLine="560"/>
        <w:jc w:val="left"/>
        <w:outlineLvl w:val="9"/>
      </w:pPr>
      <w:r>
        <w:rPr>
          <w:rFonts w:ascii="方正仿宋_GBK" w:hAnsi="方正仿宋_GBK" w:eastAsia="方正仿宋_GBK" w:cs="方正仿宋_GBK"/>
          <w:b/>
          <w:color w:val="000000"/>
          <w:sz w:val="28"/>
        </w:rPr>
        <w:t>2、冀财教[2024]28号/国债/省级/隆尧县黄家庄小学教学楼灾后重建项目绩效目标表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11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AA879">
            <w:pPr>
              <w:pStyle w:val="11"/>
            </w:pPr>
            <w:r>
              <w:t>单位：万元</w:t>
            </w:r>
          </w:p>
        </w:tc>
      </w:tr>
      <w:tr w14:paraId="5BE60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C06D8">
            <w:pPr>
              <w:pStyle w:val="10"/>
            </w:pPr>
            <w:r>
              <w:t>项目编码</w:t>
            </w:r>
          </w:p>
        </w:tc>
        <w:tc>
          <w:tcPr>
            <w:tcW w:w="5103" w:type="dxa"/>
            <w:gridSpan w:val="2"/>
            <w:vAlign w:val="center"/>
          </w:tcPr>
          <w:p w14:paraId="6B139DEB">
            <w:pPr>
              <w:pStyle w:val="12"/>
            </w:pPr>
            <w:r>
              <w:t>13052526P000062100425</w:t>
            </w:r>
          </w:p>
        </w:tc>
        <w:tc>
          <w:tcPr>
            <w:tcW w:w="2835" w:type="dxa"/>
            <w:vAlign w:val="center"/>
          </w:tcPr>
          <w:p w14:paraId="6322DE41">
            <w:pPr>
              <w:pStyle w:val="10"/>
            </w:pPr>
            <w:r>
              <w:t>项目名称</w:t>
            </w:r>
          </w:p>
        </w:tc>
        <w:tc>
          <w:tcPr>
            <w:tcW w:w="6095" w:type="dxa"/>
            <w:gridSpan w:val="3"/>
            <w:vAlign w:val="center"/>
          </w:tcPr>
          <w:p w14:paraId="0849D57B">
            <w:pPr>
              <w:pStyle w:val="12"/>
            </w:pPr>
            <w:r>
              <w:t>冀财教[2024]28号/国债/省级/隆尧县黄家庄小学教学楼灾后重建项目</w:t>
            </w:r>
          </w:p>
        </w:tc>
      </w:tr>
      <w:tr w14:paraId="7886E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E4951">
            <w:pPr>
              <w:pStyle w:val="10"/>
            </w:pPr>
            <w:r>
              <w:t>预算规模及资金用途</w:t>
            </w:r>
          </w:p>
        </w:tc>
        <w:tc>
          <w:tcPr>
            <w:tcW w:w="2268" w:type="dxa"/>
            <w:vAlign w:val="center"/>
          </w:tcPr>
          <w:p w14:paraId="407ECCD8">
            <w:pPr>
              <w:pStyle w:val="10"/>
            </w:pPr>
            <w:r>
              <w:t>预算数</w:t>
            </w:r>
          </w:p>
        </w:tc>
        <w:tc>
          <w:tcPr>
            <w:tcW w:w="2835" w:type="dxa"/>
            <w:vAlign w:val="center"/>
          </w:tcPr>
          <w:p w14:paraId="5CBA5293">
            <w:pPr>
              <w:pStyle w:val="12"/>
            </w:pPr>
            <w:r>
              <w:t>157.29</w:t>
            </w:r>
          </w:p>
        </w:tc>
        <w:tc>
          <w:tcPr>
            <w:tcW w:w="2835" w:type="dxa"/>
            <w:vAlign w:val="center"/>
          </w:tcPr>
          <w:p w14:paraId="2D54D88A">
            <w:pPr>
              <w:pStyle w:val="10"/>
            </w:pPr>
            <w:r>
              <w:t>其中：财政    资金</w:t>
            </w:r>
          </w:p>
        </w:tc>
        <w:tc>
          <w:tcPr>
            <w:tcW w:w="2551" w:type="dxa"/>
            <w:vAlign w:val="center"/>
          </w:tcPr>
          <w:p w14:paraId="70B8F6EF">
            <w:pPr>
              <w:pStyle w:val="12"/>
            </w:pPr>
            <w:r>
              <w:t>157.29</w:t>
            </w:r>
          </w:p>
        </w:tc>
        <w:tc>
          <w:tcPr>
            <w:tcW w:w="2268" w:type="dxa"/>
            <w:vAlign w:val="center"/>
          </w:tcPr>
          <w:p w14:paraId="0A9253C2">
            <w:pPr>
              <w:pStyle w:val="10"/>
            </w:pPr>
            <w:r>
              <w:t>其他资金</w:t>
            </w:r>
          </w:p>
        </w:tc>
        <w:tc>
          <w:tcPr>
            <w:tcW w:w="1276" w:type="dxa"/>
            <w:vAlign w:val="center"/>
          </w:tcPr>
          <w:p w14:paraId="5D3C2286">
            <w:pPr>
              <w:pStyle w:val="12"/>
            </w:pPr>
            <w:r>
              <w:t xml:space="preserve"> </w:t>
            </w:r>
          </w:p>
        </w:tc>
      </w:tr>
      <w:tr w14:paraId="5C7FA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71D5A"/>
        </w:tc>
        <w:tc>
          <w:tcPr>
            <w:tcW w:w="14033" w:type="dxa"/>
            <w:gridSpan w:val="6"/>
            <w:vAlign w:val="center"/>
          </w:tcPr>
          <w:p w14:paraId="449A0361">
            <w:pPr>
              <w:pStyle w:val="12"/>
            </w:pPr>
            <w:r>
              <w:t>用于实现学校等公益性设施灾后恢复重建，帮助灾区尽快恢复教育教学秩序。</w:t>
            </w:r>
          </w:p>
        </w:tc>
      </w:tr>
      <w:tr w14:paraId="51043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4B532">
            <w:pPr>
              <w:pStyle w:val="10"/>
            </w:pPr>
            <w:r>
              <w:t>资金支出计划（%）</w:t>
            </w:r>
          </w:p>
        </w:tc>
        <w:tc>
          <w:tcPr>
            <w:tcW w:w="5103" w:type="dxa"/>
            <w:gridSpan w:val="2"/>
            <w:vAlign w:val="center"/>
          </w:tcPr>
          <w:p w14:paraId="2A2E74C2">
            <w:pPr>
              <w:pStyle w:val="10"/>
            </w:pPr>
            <w:r>
              <w:t>3月底</w:t>
            </w:r>
          </w:p>
        </w:tc>
        <w:tc>
          <w:tcPr>
            <w:tcW w:w="2835" w:type="dxa"/>
            <w:vAlign w:val="center"/>
          </w:tcPr>
          <w:p w14:paraId="4B504F09">
            <w:pPr>
              <w:pStyle w:val="10"/>
            </w:pPr>
            <w:r>
              <w:t>6月底</w:t>
            </w:r>
          </w:p>
        </w:tc>
        <w:tc>
          <w:tcPr>
            <w:tcW w:w="2551" w:type="dxa"/>
            <w:vAlign w:val="center"/>
          </w:tcPr>
          <w:p w14:paraId="4D5007D7">
            <w:pPr>
              <w:pStyle w:val="10"/>
            </w:pPr>
            <w:r>
              <w:t>10月底</w:t>
            </w:r>
          </w:p>
        </w:tc>
        <w:tc>
          <w:tcPr>
            <w:tcW w:w="3544" w:type="dxa"/>
            <w:gridSpan w:val="2"/>
            <w:vAlign w:val="center"/>
          </w:tcPr>
          <w:p w14:paraId="252D2CF5">
            <w:pPr>
              <w:pStyle w:val="10"/>
            </w:pPr>
            <w:r>
              <w:t>12月底</w:t>
            </w:r>
          </w:p>
        </w:tc>
      </w:tr>
      <w:tr w14:paraId="31705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8447F"/>
        </w:tc>
        <w:tc>
          <w:tcPr>
            <w:tcW w:w="5103" w:type="dxa"/>
            <w:gridSpan w:val="2"/>
            <w:vAlign w:val="center"/>
          </w:tcPr>
          <w:p w14:paraId="33DBA467">
            <w:pPr>
              <w:pStyle w:val="13"/>
            </w:pPr>
            <w:r>
              <w:t xml:space="preserve"> </w:t>
            </w:r>
          </w:p>
        </w:tc>
        <w:tc>
          <w:tcPr>
            <w:tcW w:w="2835" w:type="dxa"/>
            <w:vAlign w:val="center"/>
          </w:tcPr>
          <w:p w14:paraId="3B0B137C">
            <w:pPr>
              <w:pStyle w:val="13"/>
            </w:pPr>
            <w:r>
              <w:t>100%</w:t>
            </w:r>
          </w:p>
        </w:tc>
        <w:tc>
          <w:tcPr>
            <w:tcW w:w="2551" w:type="dxa"/>
            <w:vAlign w:val="center"/>
          </w:tcPr>
          <w:p w14:paraId="24692853">
            <w:pPr>
              <w:pStyle w:val="13"/>
            </w:pPr>
            <w:r>
              <w:t>100%</w:t>
            </w:r>
          </w:p>
        </w:tc>
        <w:tc>
          <w:tcPr>
            <w:tcW w:w="3544" w:type="dxa"/>
            <w:gridSpan w:val="2"/>
            <w:vAlign w:val="center"/>
          </w:tcPr>
          <w:p w14:paraId="276C760B">
            <w:pPr>
              <w:pStyle w:val="13"/>
            </w:pPr>
            <w:r>
              <w:t>100%</w:t>
            </w:r>
          </w:p>
        </w:tc>
      </w:tr>
      <w:tr w14:paraId="2E7CE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BC36F">
            <w:pPr>
              <w:pStyle w:val="10"/>
            </w:pPr>
            <w:r>
              <w:t>绩效目标</w:t>
            </w:r>
          </w:p>
        </w:tc>
        <w:tc>
          <w:tcPr>
            <w:tcW w:w="14033" w:type="dxa"/>
            <w:gridSpan w:val="6"/>
            <w:vAlign w:val="center"/>
          </w:tcPr>
          <w:p w14:paraId="2B261345">
            <w:pPr>
              <w:pStyle w:val="12"/>
            </w:pPr>
            <w:r>
              <w:t>1.该项目拟于2024年5月开工建设，到2024年12</w:t>
            </w:r>
            <w:r>
              <w:rPr>
                <w:rFonts w:hint="eastAsia"/>
                <w:lang w:eastAsia="zh-CN"/>
              </w:rPr>
              <w:t>月底</w:t>
            </w:r>
            <w:r>
              <w:t>竣工，建设期限8个月；实现学校等公益性设施灾后恢复重建，帮助灾区尽快恢复教育教学秩序。</w:t>
            </w:r>
          </w:p>
        </w:tc>
      </w:tr>
    </w:tbl>
    <w:p w14:paraId="72C838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F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71148">
            <w:pPr>
              <w:pStyle w:val="10"/>
            </w:pPr>
            <w:r>
              <w:t>一级指标</w:t>
            </w:r>
          </w:p>
        </w:tc>
        <w:tc>
          <w:tcPr>
            <w:tcW w:w="2268" w:type="dxa"/>
            <w:vAlign w:val="center"/>
          </w:tcPr>
          <w:p w14:paraId="4836FB59">
            <w:pPr>
              <w:pStyle w:val="10"/>
            </w:pPr>
            <w:r>
              <w:t>二级指标</w:t>
            </w:r>
          </w:p>
        </w:tc>
        <w:tc>
          <w:tcPr>
            <w:tcW w:w="2835" w:type="dxa"/>
            <w:vAlign w:val="center"/>
          </w:tcPr>
          <w:p w14:paraId="5C682301">
            <w:pPr>
              <w:pStyle w:val="10"/>
            </w:pPr>
            <w:r>
              <w:t>三级指标</w:t>
            </w:r>
          </w:p>
        </w:tc>
        <w:tc>
          <w:tcPr>
            <w:tcW w:w="5386" w:type="dxa"/>
            <w:vAlign w:val="center"/>
          </w:tcPr>
          <w:p w14:paraId="32447A6F">
            <w:pPr>
              <w:pStyle w:val="10"/>
            </w:pPr>
            <w:r>
              <w:t>绩效指标描述</w:t>
            </w:r>
          </w:p>
        </w:tc>
        <w:tc>
          <w:tcPr>
            <w:tcW w:w="2268" w:type="dxa"/>
            <w:vAlign w:val="center"/>
          </w:tcPr>
          <w:p w14:paraId="590D9D55">
            <w:pPr>
              <w:pStyle w:val="10"/>
            </w:pPr>
            <w:r>
              <w:t>指标值</w:t>
            </w:r>
          </w:p>
        </w:tc>
        <w:tc>
          <w:tcPr>
            <w:tcW w:w="1276" w:type="dxa"/>
            <w:vAlign w:val="center"/>
          </w:tcPr>
          <w:p w14:paraId="339B66CB">
            <w:pPr>
              <w:pStyle w:val="10"/>
            </w:pPr>
            <w:r>
              <w:t>指标值确定依据</w:t>
            </w:r>
          </w:p>
        </w:tc>
      </w:tr>
      <w:tr w14:paraId="3362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611EA">
            <w:pPr>
              <w:pStyle w:val="13"/>
            </w:pPr>
            <w:r>
              <w:t>产出指标</w:t>
            </w:r>
          </w:p>
        </w:tc>
        <w:tc>
          <w:tcPr>
            <w:tcW w:w="2268" w:type="dxa"/>
            <w:vAlign w:val="center"/>
          </w:tcPr>
          <w:p w14:paraId="0408C602">
            <w:pPr>
              <w:pStyle w:val="12"/>
            </w:pPr>
            <w:r>
              <w:t>数量指标</w:t>
            </w:r>
          </w:p>
        </w:tc>
        <w:tc>
          <w:tcPr>
            <w:tcW w:w="2835" w:type="dxa"/>
            <w:vAlign w:val="center"/>
          </w:tcPr>
          <w:p w14:paraId="3B39D3CA">
            <w:pPr>
              <w:pStyle w:val="12"/>
            </w:pPr>
            <w:r>
              <w:t>规划用地面积</w:t>
            </w:r>
          </w:p>
        </w:tc>
        <w:tc>
          <w:tcPr>
            <w:tcW w:w="5386" w:type="dxa"/>
            <w:vAlign w:val="center"/>
          </w:tcPr>
          <w:p w14:paraId="077299B2">
            <w:pPr>
              <w:pStyle w:val="12"/>
            </w:pPr>
            <w:r>
              <w:t>总用地面积</w:t>
            </w:r>
          </w:p>
        </w:tc>
        <w:tc>
          <w:tcPr>
            <w:tcW w:w="2268" w:type="dxa"/>
            <w:vAlign w:val="center"/>
          </w:tcPr>
          <w:p w14:paraId="24F5A460">
            <w:pPr>
              <w:pStyle w:val="12"/>
            </w:pPr>
            <w:r>
              <w:t>≥9.5亩</w:t>
            </w:r>
          </w:p>
        </w:tc>
        <w:tc>
          <w:tcPr>
            <w:tcW w:w="1276" w:type="dxa"/>
            <w:vAlign w:val="center"/>
          </w:tcPr>
          <w:p w14:paraId="7095F57B">
            <w:pPr>
              <w:pStyle w:val="12"/>
            </w:pPr>
            <w:r>
              <w:t>项目规划</w:t>
            </w:r>
          </w:p>
        </w:tc>
      </w:tr>
      <w:tr w14:paraId="5461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BB230"/>
        </w:tc>
        <w:tc>
          <w:tcPr>
            <w:tcW w:w="2268" w:type="dxa"/>
            <w:vAlign w:val="center"/>
          </w:tcPr>
          <w:p w14:paraId="436E1776">
            <w:pPr>
              <w:pStyle w:val="12"/>
            </w:pPr>
            <w:r>
              <w:t>数量指标</w:t>
            </w:r>
          </w:p>
        </w:tc>
        <w:tc>
          <w:tcPr>
            <w:tcW w:w="2835" w:type="dxa"/>
            <w:vAlign w:val="center"/>
          </w:tcPr>
          <w:p w14:paraId="4AB844E9">
            <w:pPr>
              <w:pStyle w:val="12"/>
            </w:pPr>
            <w:r>
              <w:t>建筑面积</w:t>
            </w:r>
          </w:p>
        </w:tc>
        <w:tc>
          <w:tcPr>
            <w:tcW w:w="5386" w:type="dxa"/>
            <w:vAlign w:val="center"/>
          </w:tcPr>
          <w:p w14:paraId="6B473F1C">
            <w:pPr>
              <w:pStyle w:val="12"/>
            </w:pPr>
            <w:r>
              <w:t>教学楼1栋、配套办公楼一栋、职工食堂一栋、门卫、厕所、附属用房、消防池、消防泵房</w:t>
            </w:r>
          </w:p>
        </w:tc>
        <w:tc>
          <w:tcPr>
            <w:tcW w:w="2268" w:type="dxa"/>
            <w:vAlign w:val="center"/>
          </w:tcPr>
          <w:p w14:paraId="565B75AC">
            <w:pPr>
              <w:pStyle w:val="12"/>
            </w:pPr>
            <w:r>
              <w:t>≤3780平方米</w:t>
            </w:r>
          </w:p>
        </w:tc>
        <w:tc>
          <w:tcPr>
            <w:tcW w:w="1276" w:type="dxa"/>
            <w:vAlign w:val="center"/>
          </w:tcPr>
          <w:p w14:paraId="1E9C0EFE">
            <w:pPr>
              <w:pStyle w:val="12"/>
            </w:pPr>
            <w:r>
              <w:t>项目规划</w:t>
            </w:r>
          </w:p>
        </w:tc>
      </w:tr>
      <w:tr w14:paraId="212F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ED8A1"/>
        </w:tc>
        <w:tc>
          <w:tcPr>
            <w:tcW w:w="2268" w:type="dxa"/>
            <w:vAlign w:val="center"/>
          </w:tcPr>
          <w:p w14:paraId="72C5ADDA">
            <w:pPr>
              <w:pStyle w:val="12"/>
            </w:pPr>
            <w:r>
              <w:t>数量指标</w:t>
            </w:r>
          </w:p>
        </w:tc>
        <w:tc>
          <w:tcPr>
            <w:tcW w:w="2835" w:type="dxa"/>
            <w:vAlign w:val="center"/>
          </w:tcPr>
          <w:p w14:paraId="2A2FA5A9">
            <w:pPr>
              <w:pStyle w:val="12"/>
            </w:pPr>
            <w:r>
              <w:t>新建、维修改造设施和设备购置项</w:t>
            </w:r>
          </w:p>
        </w:tc>
        <w:tc>
          <w:tcPr>
            <w:tcW w:w="5386" w:type="dxa"/>
            <w:vAlign w:val="center"/>
          </w:tcPr>
          <w:p w14:paraId="5019A2F3">
            <w:pPr>
              <w:pStyle w:val="12"/>
            </w:pPr>
            <w:r>
              <w:t>新建、维修改造设施和设备购置项目个数</w:t>
            </w:r>
          </w:p>
        </w:tc>
        <w:tc>
          <w:tcPr>
            <w:tcW w:w="2268" w:type="dxa"/>
            <w:vAlign w:val="center"/>
          </w:tcPr>
          <w:p w14:paraId="63FEED9F">
            <w:pPr>
              <w:pStyle w:val="12"/>
            </w:pPr>
            <w:r>
              <w:t>≤231 万</w:t>
            </w:r>
          </w:p>
        </w:tc>
        <w:tc>
          <w:tcPr>
            <w:tcW w:w="1276" w:type="dxa"/>
            <w:vAlign w:val="center"/>
          </w:tcPr>
          <w:p w14:paraId="63C0ECF9">
            <w:pPr>
              <w:pStyle w:val="12"/>
            </w:pPr>
            <w:r>
              <w:t>项目规划</w:t>
            </w:r>
          </w:p>
        </w:tc>
      </w:tr>
      <w:tr w14:paraId="2FAB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FB5F8"/>
        </w:tc>
        <w:tc>
          <w:tcPr>
            <w:tcW w:w="2268" w:type="dxa"/>
            <w:vAlign w:val="center"/>
          </w:tcPr>
          <w:p w14:paraId="4AC893E8">
            <w:pPr>
              <w:pStyle w:val="12"/>
            </w:pPr>
            <w:r>
              <w:t>质量指标</w:t>
            </w:r>
          </w:p>
        </w:tc>
        <w:tc>
          <w:tcPr>
            <w:tcW w:w="2835" w:type="dxa"/>
            <w:vAlign w:val="center"/>
          </w:tcPr>
          <w:p w14:paraId="4699956F">
            <w:pPr>
              <w:pStyle w:val="12"/>
            </w:pPr>
            <w:r>
              <w:t>工程实施验收合格率</w:t>
            </w:r>
          </w:p>
        </w:tc>
        <w:tc>
          <w:tcPr>
            <w:tcW w:w="5386" w:type="dxa"/>
            <w:vAlign w:val="center"/>
          </w:tcPr>
          <w:p w14:paraId="351C4C10">
            <w:pPr>
              <w:pStyle w:val="12"/>
            </w:pPr>
            <w:r>
              <w:t>申报程序的合规、项目实施及资金使用符合项目规划</w:t>
            </w:r>
          </w:p>
        </w:tc>
        <w:tc>
          <w:tcPr>
            <w:tcW w:w="2268" w:type="dxa"/>
            <w:vAlign w:val="center"/>
          </w:tcPr>
          <w:p w14:paraId="49D2FD13">
            <w:pPr>
              <w:pStyle w:val="12"/>
            </w:pPr>
            <w:r>
              <w:t>≥98%</w:t>
            </w:r>
          </w:p>
        </w:tc>
        <w:tc>
          <w:tcPr>
            <w:tcW w:w="1276" w:type="dxa"/>
            <w:vAlign w:val="center"/>
          </w:tcPr>
          <w:p w14:paraId="714C0CA8">
            <w:pPr>
              <w:pStyle w:val="12"/>
            </w:pPr>
            <w:r>
              <w:t>项目规划</w:t>
            </w:r>
          </w:p>
        </w:tc>
      </w:tr>
      <w:tr w14:paraId="0E745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A3685"/>
        </w:tc>
        <w:tc>
          <w:tcPr>
            <w:tcW w:w="2268" w:type="dxa"/>
            <w:vAlign w:val="center"/>
          </w:tcPr>
          <w:p w14:paraId="3400BD49">
            <w:pPr>
              <w:pStyle w:val="12"/>
            </w:pPr>
            <w:r>
              <w:t>质量指标</w:t>
            </w:r>
          </w:p>
        </w:tc>
        <w:tc>
          <w:tcPr>
            <w:tcW w:w="2835" w:type="dxa"/>
            <w:vAlign w:val="center"/>
          </w:tcPr>
          <w:p w14:paraId="4BEA3459">
            <w:pPr>
              <w:pStyle w:val="12"/>
            </w:pPr>
            <w:r>
              <w:t>项目设计变更率</w:t>
            </w:r>
          </w:p>
        </w:tc>
        <w:tc>
          <w:tcPr>
            <w:tcW w:w="5386" w:type="dxa"/>
            <w:vAlign w:val="center"/>
          </w:tcPr>
          <w:p w14:paraId="516DD8E0">
            <w:pPr>
              <w:pStyle w:val="12"/>
            </w:pPr>
            <w:r>
              <w:t>反映项目设计变更情况</w:t>
            </w:r>
          </w:p>
        </w:tc>
        <w:tc>
          <w:tcPr>
            <w:tcW w:w="2268" w:type="dxa"/>
            <w:vAlign w:val="center"/>
          </w:tcPr>
          <w:p w14:paraId="376555EE">
            <w:pPr>
              <w:pStyle w:val="12"/>
            </w:pPr>
            <w:r>
              <w:t>≤10%</w:t>
            </w:r>
          </w:p>
        </w:tc>
        <w:tc>
          <w:tcPr>
            <w:tcW w:w="1276" w:type="dxa"/>
            <w:vAlign w:val="center"/>
          </w:tcPr>
          <w:p w14:paraId="600BE1D0">
            <w:pPr>
              <w:pStyle w:val="12"/>
            </w:pPr>
            <w:r>
              <w:t>项目规划</w:t>
            </w:r>
          </w:p>
        </w:tc>
      </w:tr>
      <w:tr w14:paraId="590F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5271"/>
        </w:tc>
        <w:tc>
          <w:tcPr>
            <w:tcW w:w="2268" w:type="dxa"/>
            <w:vAlign w:val="center"/>
          </w:tcPr>
          <w:p w14:paraId="54997236">
            <w:pPr>
              <w:pStyle w:val="12"/>
            </w:pPr>
            <w:r>
              <w:t>时效指标</w:t>
            </w:r>
          </w:p>
        </w:tc>
        <w:tc>
          <w:tcPr>
            <w:tcW w:w="2835" w:type="dxa"/>
            <w:vAlign w:val="center"/>
          </w:tcPr>
          <w:p w14:paraId="4F0D6612">
            <w:pPr>
              <w:pStyle w:val="12"/>
            </w:pPr>
            <w:r>
              <w:t>工程按时完成率</w:t>
            </w:r>
          </w:p>
        </w:tc>
        <w:tc>
          <w:tcPr>
            <w:tcW w:w="5386" w:type="dxa"/>
            <w:vAlign w:val="center"/>
          </w:tcPr>
          <w:p w14:paraId="6AA179BE">
            <w:pPr>
              <w:pStyle w:val="12"/>
            </w:pPr>
            <w:r>
              <w:t>反映按时完成工程数量占工程量的比例</w:t>
            </w:r>
          </w:p>
        </w:tc>
        <w:tc>
          <w:tcPr>
            <w:tcW w:w="2268" w:type="dxa"/>
            <w:vAlign w:val="center"/>
          </w:tcPr>
          <w:p w14:paraId="711711FE">
            <w:pPr>
              <w:pStyle w:val="12"/>
            </w:pPr>
            <w:r>
              <w:t>≥98%</w:t>
            </w:r>
          </w:p>
        </w:tc>
        <w:tc>
          <w:tcPr>
            <w:tcW w:w="1276" w:type="dxa"/>
            <w:vAlign w:val="center"/>
          </w:tcPr>
          <w:p w14:paraId="69A0A7A3">
            <w:pPr>
              <w:pStyle w:val="12"/>
            </w:pPr>
            <w:r>
              <w:t>项目规划</w:t>
            </w:r>
          </w:p>
        </w:tc>
      </w:tr>
      <w:tr w14:paraId="65E65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8F4C3"/>
        </w:tc>
        <w:tc>
          <w:tcPr>
            <w:tcW w:w="2268" w:type="dxa"/>
            <w:vAlign w:val="center"/>
          </w:tcPr>
          <w:p w14:paraId="74B169F8">
            <w:pPr>
              <w:pStyle w:val="12"/>
            </w:pPr>
            <w:r>
              <w:t>时效指标</w:t>
            </w:r>
          </w:p>
        </w:tc>
        <w:tc>
          <w:tcPr>
            <w:tcW w:w="2835" w:type="dxa"/>
            <w:vAlign w:val="center"/>
          </w:tcPr>
          <w:p w14:paraId="0AA4818E">
            <w:pPr>
              <w:pStyle w:val="12"/>
            </w:pPr>
            <w:r>
              <w:t>预算资金执行率</w:t>
            </w:r>
          </w:p>
        </w:tc>
        <w:tc>
          <w:tcPr>
            <w:tcW w:w="5386" w:type="dxa"/>
            <w:vAlign w:val="center"/>
          </w:tcPr>
          <w:p w14:paraId="0AB2BA30">
            <w:pPr>
              <w:pStyle w:val="12"/>
            </w:pPr>
            <w:r>
              <w:t>预算执行率</w:t>
            </w:r>
          </w:p>
        </w:tc>
        <w:tc>
          <w:tcPr>
            <w:tcW w:w="2268" w:type="dxa"/>
            <w:vAlign w:val="center"/>
          </w:tcPr>
          <w:p w14:paraId="3F2FD3AB">
            <w:pPr>
              <w:pStyle w:val="12"/>
            </w:pPr>
            <w:r>
              <w:t>≥98%</w:t>
            </w:r>
          </w:p>
        </w:tc>
        <w:tc>
          <w:tcPr>
            <w:tcW w:w="1276" w:type="dxa"/>
            <w:vAlign w:val="center"/>
          </w:tcPr>
          <w:p w14:paraId="41D9A5B0">
            <w:pPr>
              <w:pStyle w:val="12"/>
            </w:pPr>
            <w:r>
              <w:t>项目规划</w:t>
            </w:r>
          </w:p>
        </w:tc>
      </w:tr>
      <w:tr w14:paraId="184F2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7C416"/>
        </w:tc>
        <w:tc>
          <w:tcPr>
            <w:tcW w:w="2268" w:type="dxa"/>
            <w:vAlign w:val="center"/>
          </w:tcPr>
          <w:p w14:paraId="7A142E8B">
            <w:pPr>
              <w:pStyle w:val="12"/>
            </w:pPr>
            <w:r>
              <w:t>成本指标</w:t>
            </w:r>
          </w:p>
        </w:tc>
        <w:tc>
          <w:tcPr>
            <w:tcW w:w="2835" w:type="dxa"/>
            <w:vAlign w:val="center"/>
          </w:tcPr>
          <w:p w14:paraId="4B22BE6C">
            <w:pPr>
              <w:pStyle w:val="12"/>
            </w:pPr>
            <w:r>
              <w:t>工程建设成本</w:t>
            </w:r>
          </w:p>
        </w:tc>
        <w:tc>
          <w:tcPr>
            <w:tcW w:w="5386" w:type="dxa"/>
            <w:vAlign w:val="center"/>
          </w:tcPr>
          <w:p w14:paraId="24E8107A">
            <w:pPr>
              <w:pStyle w:val="12"/>
            </w:pPr>
            <w:r>
              <w:t>反映工程建设平米数、公里数、个数、亩数等建设、改造、修缮总成本控制情况</w:t>
            </w:r>
          </w:p>
        </w:tc>
        <w:tc>
          <w:tcPr>
            <w:tcW w:w="2268" w:type="dxa"/>
            <w:vAlign w:val="center"/>
          </w:tcPr>
          <w:p w14:paraId="448E5444">
            <w:pPr>
              <w:pStyle w:val="12"/>
            </w:pPr>
            <w:r>
              <w:t>≤1889万元</w:t>
            </w:r>
          </w:p>
        </w:tc>
        <w:tc>
          <w:tcPr>
            <w:tcW w:w="1276" w:type="dxa"/>
            <w:vAlign w:val="center"/>
          </w:tcPr>
          <w:p w14:paraId="7CDC287D">
            <w:pPr>
              <w:pStyle w:val="12"/>
            </w:pPr>
            <w:r>
              <w:t>项目规划</w:t>
            </w:r>
          </w:p>
        </w:tc>
      </w:tr>
      <w:tr w14:paraId="1A59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A9879">
            <w:pPr>
              <w:pStyle w:val="13"/>
            </w:pPr>
            <w:r>
              <w:t>效益指标</w:t>
            </w:r>
          </w:p>
        </w:tc>
        <w:tc>
          <w:tcPr>
            <w:tcW w:w="2268" w:type="dxa"/>
            <w:vAlign w:val="center"/>
          </w:tcPr>
          <w:p w14:paraId="769EBCE7">
            <w:pPr>
              <w:pStyle w:val="12"/>
            </w:pPr>
            <w:r>
              <w:t>社会效益指标</w:t>
            </w:r>
          </w:p>
        </w:tc>
        <w:tc>
          <w:tcPr>
            <w:tcW w:w="2835" w:type="dxa"/>
            <w:vAlign w:val="center"/>
          </w:tcPr>
          <w:p w14:paraId="648A8B30">
            <w:pPr>
              <w:pStyle w:val="12"/>
            </w:pPr>
            <w:r>
              <w:t>学校办学环境提升</w:t>
            </w:r>
          </w:p>
        </w:tc>
        <w:tc>
          <w:tcPr>
            <w:tcW w:w="5386" w:type="dxa"/>
            <w:vAlign w:val="center"/>
          </w:tcPr>
          <w:p w14:paraId="622472CF">
            <w:pPr>
              <w:pStyle w:val="12"/>
            </w:pPr>
            <w:r>
              <w:t>学校教学环境提升及教育教学工作更好开展</w:t>
            </w:r>
          </w:p>
        </w:tc>
        <w:tc>
          <w:tcPr>
            <w:tcW w:w="2268" w:type="dxa"/>
            <w:vAlign w:val="center"/>
          </w:tcPr>
          <w:p w14:paraId="3AC64C8D">
            <w:pPr>
              <w:pStyle w:val="12"/>
            </w:pPr>
            <w:r>
              <w:t>≥80%</w:t>
            </w:r>
          </w:p>
        </w:tc>
        <w:tc>
          <w:tcPr>
            <w:tcW w:w="1276" w:type="dxa"/>
            <w:vAlign w:val="center"/>
          </w:tcPr>
          <w:p w14:paraId="1083258F">
            <w:pPr>
              <w:pStyle w:val="12"/>
            </w:pPr>
            <w:r>
              <w:t>项目规划</w:t>
            </w:r>
          </w:p>
        </w:tc>
      </w:tr>
      <w:tr w14:paraId="0954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441E8"/>
        </w:tc>
        <w:tc>
          <w:tcPr>
            <w:tcW w:w="2268" w:type="dxa"/>
            <w:vAlign w:val="center"/>
          </w:tcPr>
          <w:p w14:paraId="6C0F823F">
            <w:pPr>
              <w:pStyle w:val="12"/>
            </w:pPr>
            <w:r>
              <w:t>社会效益指标</w:t>
            </w:r>
          </w:p>
        </w:tc>
        <w:tc>
          <w:tcPr>
            <w:tcW w:w="2835" w:type="dxa"/>
            <w:vAlign w:val="center"/>
          </w:tcPr>
          <w:p w14:paraId="6EDD27FC">
            <w:pPr>
              <w:pStyle w:val="12"/>
            </w:pPr>
            <w:r>
              <w:t>学校可提供学位</w:t>
            </w:r>
          </w:p>
        </w:tc>
        <w:tc>
          <w:tcPr>
            <w:tcW w:w="5386" w:type="dxa"/>
            <w:vAlign w:val="center"/>
          </w:tcPr>
          <w:p w14:paraId="682747DF">
            <w:pPr>
              <w:pStyle w:val="12"/>
            </w:pPr>
            <w:r>
              <w:t>项目建成后可提供小学学位</w:t>
            </w:r>
          </w:p>
        </w:tc>
        <w:tc>
          <w:tcPr>
            <w:tcW w:w="2268" w:type="dxa"/>
            <w:vAlign w:val="center"/>
          </w:tcPr>
          <w:p w14:paraId="608EC393">
            <w:pPr>
              <w:pStyle w:val="12"/>
            </w:pPr>
            <w:r>
              <w:t>270个</w:t>
            </w:r>
          </w:p>
        </w:tc>
        <w:tc>
          <w:tcPr>
            <w:tcW w:w="1276" w:type="dxa"/>
            <w:vAlign w:val="center"/>
          </w:tcPr>
          <w:p w14:paraId="56FE6061">
            <w:pPr>
              <w:pStyle w:val="12"/>
            </w:pPr>
            <w:r>
              <w:t>项目规划</w:t>
            </w:r>
          </w:p>
        </w:tc>
      </w:tr>
      <w:tr w14:paraId="1178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419EE"/>
        </w:tc>
        <w:tc>
          <w:tcPr>
            <w:tcW w:w="2268" w:type="dxa"/>
            <w:vAlign w:val="center"/>
          </w:tcPr>
          <w:p w14:paraId="6B5842D5">
            <w:pPr>
              <w:pStyle w:val="12"/>
            </w:pPr>
            <w:r>
              <w:t>可持续影响指标</w:t>
            </w:r>
          </w:p>
        </w:tc>
        <w:tc>
          <w:tcPr>
            <w:tcW w:w="2835" w:type="dxa"/>
            <w:vAlign w:val="center"/>
          </w:tcPr>
          <w:p w14:paraId="006342B3">
            <w:pPr>
              <w:pStyle w:val="12"/>
            </w:pPr>
            <w:r>
              <w:t>学校运转得到提高</w:t>
            </w:r>
          </w:p>
        </w:tc>
        <w:tc>
          <w:tcPr>
            <w:tcW w:w="5386" w:type="dxa"/>
            <w:vAlign w:val="center"/>
          </w:tcPr>
          <w:p w14:paraId="124B247D">
            <w:pPr>
              <w:pStyle w:val="12"/>
            </w:pPr>
            <w:r>
              <w:t>学生受教育年限</w:t>
            </w:r>
          </w:p>
        </w:tc>
        <w:tc>
          <w:tcPr>
            <w:tcW w:w="2268" w:type="dxa"/>
            <w:vAlign w:val="center"/>
          </w:tcPr>
          <w:p w14:paraId="2723488F">
            <w:pPr>
              <w:pStyle w:val="12"/>
            </w:pPr>
            <w:r>
              <w:t>6年</w:t>
            </w:r>
          </w:p>
        </w:tc>
        <w:tc>
          <w:tcPr>
            <w:tcW w:w="1276" w:type="dxa"/>
            <w:vAlign w:val="center"/>
          </w:tcPr>
          <w:p w14:paraId="457F40B7">
            <w:pPr>
              <w:pStyle w:val="12"/>
            </w:pPr>
            <w:r>
              <w:t>项目规划</w:t>
            </w:r>
          </w:p>
        </w:tc>
      </w:tr>
      <w:tr w14:paraId="700A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946DD">
            <w:pPr>
              <w:pStyle w:val="13"/>
            </w:pPr>
            <w:r>
              <w:t>满意度指标</w:t>
            </w:r>
          </w:p>
        </w:tc>
        <w:tc>
          <w:tcPr>
            <w:tcW w:w="2268" w:type="dxa"/>
            <w:vAlign w:val="center"/>
          </w:tcPr>
          <w:p w14:paraId="7597D107">
            <w:pPr>
              <w:pStyle w:val="12"/>
            </w:pPr>
            <w:r>
              <w:t>服务对象满意度指标</w:t>
            </w:r>
          </w:p>
        </w:tc>
        <w:tc>
          <w:tcPr>
            <w:tcW w:w="2835" w:type="dxa"/>
            <w:vAlign w:val="center"/>
          </w:tcPr>
          <w:p w14:paraId="1D30F609">
            <w:pPr>
              <w:pStyle w:val="12"/>
            </w:pPr>
            <w:r>
              <w:t>受益群众满意度</w:t>
            </w:r>
          </w:p>
        </w:tc>
        <w:tc>
          <w:tcPr>
            <w:tcW w:w="5386" w:type="dxa"/>
            <w:vAlign w:val="center"/>
          </w:tcPr>
          <w:p w14:paraId="016105CE">
            <w:pPr>
              <w:pStyle w:val="12"/>
            </w:pPr>
            <w:r>
              <w:t>反映通过问卷调查受益群体满意情况</w:t>
            </w:r>
          </w:p>
        </w:tc>
        <w:tc>
          <w:tcPr>
            <w:tcW w:w="2268" w:type="dxa"/>
            <w:vAlign w:val="center"/>
          </w:tcPr>
          <w:p w14:paraId="45576AEA">
            <w:pPr>
              <w:pStyle w:val="12"/>
            </w:pPr>
            <w:r>
              <w:t>≥98%</w:t>
            </w:r>
          </w:p>
        </w:tc>
        <w:tc>
          <w:tcPr>
            <w:tcW w:w="1276" w:type="dxa"/>
            <w:vAlign w:val="center"/>
          </w:tcPr>
          <w:p w14:paraId="6C09C9BC">
            <w:pPr>
              <w:pStyle w:val="12"/>
            </w:pPr>
            <w:r>
              <w:t>调查问卷</w:t>
            </w:r>
          </w:p>
        </w:tc>
      </w:tr>
    </w:tbl>
    <w:p w14:paraId="60E3DFD7">
      <w:pPr>
        <w:sectPr>
          <w:pgSz w:w="16840" w:h="11900" w:orient="landscape"/>
          <w:pgMar w:top="1361" w:right="1020" w:bottom="1134" w:left="1020" w:header="720" w:footer="720" w:gutter="0"/>
          <w:cols w:space="720" w:num="1"/>
        </w:sectPr>
      </w:pPr>
    </w:p>
    <w:p w14:paraId="7B321128">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3、冀财教[2025]121号/中央/2026年义教补助经费/大张庄校区大曹庄小学公用经费绩效目标表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72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0E527">
            <w:pPr>
              <w:pStyle w:val="11"/>
            </w:pPr>
            <w:r>
              <w:t>单位：万元</w:t>
            </w:r>
          </w:p>
        </w:tc>
      </w:tr>
      <w:tr w14:paraId="2FABA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F725E">
            <w:pPr>
              <w:pStyle w:val="10"/>
            </w:pPr>
            <w:r>
              <w:t>项目编码</w:t>
            </w:r>
          </w:p>
        </w:tc>
        <w:tc>
          <w:tcPr>
            <w:tcW w:w="5103" w:type="dxa"/>
            <w:gridSpan w:val="2"/>
            <w:vAlign w:val="center"/>
          </w:tcPr>
          <w:p w14:paraId="2B6C8A76">
            <w:pPr>
              <w:pStyle w:val="12"/>
            </w:pPr>
            <w:r>
              <w:t>13052526P00000410305C</w:t>
            </w:r>
          </w:p>
        </w:tc>
        <w:tc>
          <w:tcPr>
            <w:tcW w:w="2835" w:type="dxa"/>
            <w:vAlign w:val="center"/>
          </w:tcPr>
          <w:p w14:paraId="362A4B49">
            <w:pPr>
              <w:pStyle w:val="10"/>
            </w:pPr>
            <w:r>
              <w:t>项目名称</w:t>
            </w:r>
          </w:p>
        </w:tc>
        <w:tc>
          <w:tcPr>
            <w:tcW w:w="6095" w:type="dxa"/>
            <w:gridSpan w:val="3"/>
            <w:vAlign w:val="center"/>
          </w:tcPr>
          <w:p w14:paraId="7D5E209A">
            <w:pPr>
              <w:pStyle w:val="12"/>
            </w:pPr>
            <w:r>
              <w:t>冀财教[2025]121号/中央/2026年义教补助经费/大张庄校区大曹庄小学公用经费</w:t>
            </w:r>
          </w:p>
        </w:tc>
      </w:tr>
      <w:tr w14:paraId="17566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E177D">
            <w:pPr>
              <w:pStyle w:val="10"/>
            </w:pPr>
            <w:r>
              <w:t>预算规模及资金用途</w:t>
            </w:r>
          </w:p>
        </w:tc>
        <w:tc>
          <w:tcPr>
            <w:tcW w:w="2268" w:type="dxa"/>
            <w:vAlign w:val="center"/>
          </w:tcPr>
          <w:p w14:paraId="0F5C1639">
            <w:pPr>
              <w:pStyle w:val="10"/>
            </w:pPr>
            <w:r>
              <w:t>预算数</w:t>
            </w:r>
          </w:p>
        </w:tc>
        <w:tc>
          <w:tcPr>
            <w:tcW w:w="2835" w:type="dxa"/>
            <w:vAlign w:val="center"/>
          </w:tcPr>
          <w:p w14:paraId="022D40B1">
            <w:pPr>
              <w:pStyle w:val="12"/>
            </w:pPr>
            <w:r>
              <w:t>6.44</w:t>
            </w:r>
          </w:p>
        </w:tc>
        <w:tc>
          <w:tcPr>
            <w:tcW w:w="2835" w:type="dxa"/>
            <w:vAlign w:val="center"/>
          </w:tcPr>
          <w:p w14:paraId="5C7D2932">
            <w:pPr>
              <w:pStyle w:val="10"/>
            </w:pPr>
            <w:r>
              <w:t>其中：财政    资金</w:t>
            </w:r>
          </w:p>
        </w:tc>
        <w:tc>
          <w:tcPr>
            <w:tcW w:w="2551" w:type="dxa"/>
            <w:vAlign w:val="center"/>
          </w:tcPr>
          <w:p w14:paraId="59FD6FB3">
            <w:pPr>
              <w:pStyle w:val="12"/>
            </w:pPr>
            <w:r>
              <w:t>6.44</w:t>
            </w:r>
          </w:p>
        </w:tc>
        <w:tc>
          <w:tcPr>
            <w:tcW w:w="2268" w:type="dxa"/>
            <w:vAlign w:val="center"/>
          </w:tcPr>
          <w:p w14:paraId="24A374CA">
            <w:pPr>
              <w:pStyle w:val="10"/>
            </w:pPr>
            <w:r>
              <w:t>其他资金</w:t>
            </w:r>
          </w:p>
        </w:tc>
        <w:tc>
          <w:tcPr>
            <w:tcW w:w="1276" w:type="dxa"/>
            <w:vAlign w:val="center"/>
          </w:tcPr>
          <w:p w14:paraId="0A9E524A">
            <w:pPr>
              <w:pStyle w:val="12"/>
            </w:pPr>
            <w:r>
              <w:t xml:space="preserve"> </w:t>
            </w:r>
          </w:p>
        </w:tc>
      </w:tr>
      <w:tr w14:paraId="29B76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CC6BA"/>
        </w:tc>
        <w:tc>
          <w:tcPr>
            <w:tcW w:w="14033" w:type="dxa"/>
            <w:gridSpan w:val="6"/>
            <w:vAlign w:val="center"/>
          </w:tcPr>
          <w:p w14:paraId="0ECC69A2">
            <w:pPr>
              <w:pStyle w:val="12"/>
            </w:pPr>
            <w:r>
              <w:t>为保证学校正常运转和改善办学条件。</w:t>
            </w:r>
          </w:p>
        </w:tc>
      </w:tr>
      <w:tr w14:paraId="1D25A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7081A">
            <w:pPr>
              <w:pStyle w:val="10"/>
            </w:pPr>
            <w:r>
              <w:t>资金支出计划（%）</w:t>
            </w:r>
          </w:p>
        </w:tc>
        <w:tc>
          <w:tcPr>
            <w:tcW w:w="5103" w:type="dxa"/>
            <w:gridSpan w:val="2"/>
            <w:vAlign w:val="center"/>
          </w:tcPr>
          <w:p w14:paraId="6DEAB463">
            <w:pPr>
              <w:pStyle w:val="10"/>
            </w:pPr>
            <w:r>
              <w:t>3月底</w:t>
            </w:r>
          </w:p>
        </w:tc>
        <w:tc>
          <w:tcPr>
            <w:tcW w:w="2835" w:type="dxa"/>
            <w:vAlign w:val="center"/>
          </w:tcPr>
          <w:p w14:paraId="76CEC8CC">
            <w:pPr>
              <w:pStyle w:val="10"/>
            </w:pPr>
            <w:r>
              <w:t>6月底</w:t>
            </w:r>
          </w:p>
        </w:tc>
        <w:tc>
          <w:tcPr>
            <w:tcW w:w="2551" w:type="dxa"/>
            <w:vAlign w:val="center"/>
          </w:tcPr>
          <w:p w14:paraId="742C9AFF">
            <w:pPr>
              <w:pStyle w:val="10"/>
            </w:pPr>
            <w:r>
              <w:t>10月底</w:t>
            </w:r>
          </w:p>
        </w:tc>
        <w:tc>
          <w:tcPr>
            <w:tcW w:w="3544" w:type="dxa"/>
            <w:gridSpan w:val="2"/>
            <w:vAlign w:val="center"/>
          </w:tcPr>
          <w:p w14:paraId="71920C64">
            <w:pPr>
              <w:pStyle w:val="10"/>
            </w:pPr>
            <w:r>
              <w:t>12月底</w:t>
            </w:r>
          </w:p>
        </w:tc>
      </w:tr>
      <w:tr w14:paraId="72BED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F7D62"/>
        </w:tc>
        <w:tc>
          <w:tcPr>
            <w:tcW w:w="5103" w:type="dxa"/>
            <w:gridSpan w:val="2"/>
            <w:vAlign w:val="center"/>
          </w:tcPr>
          <w:p w14:paraId="6052E2E2">
            <w:pPr>
              <w:pStyle w:val="13"/>
            </w:pPr>
            <w:r>
              <w:t>25%</w:t>
            </w:r>
          </w:p>
        </w:tc>
        <w:tc>
          <w:tcPr>
            <w:tcW w:w="2835" w:type="dxa"/>
            <w:vAlign w:val="center"/>
          </w:tcPr>
          <w:p w14:paraId="792439F4">
            <w:pPr>
              <w:pStyle w:val="13"/>
            </w:pPr>
            <w:r>
              <w:t>50%</w:t>
            </w:r>
          </w:p>
        </w:tc>
        <w:tc>
          <w:tcPr>
            <w:tcW w:w="2551" w:type="dxa"/>
            <w:vAlign w:val="center"/>
          </w:tcPr>
          <w:p w14:paraId="31EC6F65">
            <w:pPr>
              <w:pStyle w:val="13"/>
            </w:pPr>
            <w:r>
              <w:t>75%</w:t>
            </w:r>
          </w:p>
        </w:tc>
        <w:tc>
          <w:tcPr>
            <w:tcW w:w="3544" w:type="dxa"/>
            <w:gridSpan w:val="2"/>
            <w:vAlign w:val="center"/>
          </w:tcPr>
          <w:p w14:paraId="1964C44C">
            <w:pPr>
              <w:pStyle w:val="13"/>
            </w:pPr>
            <w:r>
              <w:t>100%</w:t>
            </w:r>
          </w:p>
        </w:tc>
      </w:tr>
      <w:tr w14:paraId="1AB9A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05FC5">
            <w:pPr>
              <w:pStyle w:val="10"/>
            </w:pPr>
            <w:r>
              <w:t>绩效目标</w:t>
            </w:r>
          </w:p>
        </w:tc>
        <w:tc>
          <w:tcPr>
            <w:tcW w:w="14033" w:type="dxa"/>
            <w:gridSpan w:val="6"/>
            <w:vAlign w:val="center"/>
          </w:tcPr>
          <w:p w14:paraId="74F5458D">
            <w:pPr>
              <w:pStyle w:val="12"/>
            </w:pPr>
            <w:r>
              <w:t>1.按拨款序时进度完成经费拨付和支出。</w:t>
            </w:r>
          </w:p>
          <w:p w14:paraId="23C4EF6E">
            <w:pPr>
              <w:pStyle w:val="12"/>
            </w:pPr>
            <w:r>
              <w:t>2.为保证学校正常运转和改善办学条件。</w:t>
            </w:r>
          </w:p>
        </w:tc>
      </w:tr>
    </w:tbl>
    <w:p w14:paraId="472E5F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0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CEC46">
            <w:pPr>
              <w:pStyle w:val="10"/>
            </w:pPr>
            <w:r>
              <w:t>一级指标</w:t>
            </w:r>
          </w:p>
        </w:tc>
        <w:tc>
          <w:tcPr>
            <w:tcW w:w="2268" w:type="dxa"/>
            <w:vAlign w:val="center"/>
          </w:tcPr>
          <w:p w14:paraId="2D184F1A">
            <w:pPr>
              <w:pStyle w:val="10"/>
            </w:pPr>
            <w:r>
              <w:t>二级指标</w:t>
            </w:r>
          </w:p>
        </w:tc>
        <w:tc>
          <w:tcPr>
            <w:tcW w:w="2835" w:type="dxa"/>
            <w:vAlign w:val="center"/>
          </w:tcPr>
          <w:p w14:paraId="51EAE2BA">
            <w:pPr>
              <w:pStyle w:val="10"/>
            </w:pPr>
            <w:r>
              <w:t>三级指标</w:t>
            </w:r>
          </w:p>
        </w:tc>
        <w:tc>
          <w:tcPr>
            <w:tcW w:w="5386" w:type="dxa"/>
            <w:vAlign w:val="center"/>
          </w:tcPr>
          <w:p w14:paraId="697D880C">
            <w:pPr>
              <w:pStyle w:val="10"/>
            </w:pPr>
            <w:r>
              <w:t>绩效指标描述</w:t>
            </w:r>
          </w:p>
        </w:tc>
        <w:tc>
          <w:tcPr>
            <w:tcW w:w="2268" w:type="dxa"/>
            <w:vAlign w:val="center"/>
          </w:tcPr>
          <w:p w14:paraId="0FFBDE73">
            <w:pPr>
              <w:pStyle w:val="10"/>
            </w:pPr>
            <w:r>
              <w:t>指标值</w:t>
            </w:r>
          </w:p>
        </w:tc>
        <w:tc>
          <w:tcPr>
            <w:tcW w:w="1276" w:type="dxa"/>
            <w:vAlign w:val="center"/>
          </w:tcPr>
          <w:p w14:paraId="6B4A0438">
            <w:pPr>
              <w:pStyle w:val="10"/>
            </w:pPr>
            <w:r>
              <w:t>指标值确定依据</w:t>
            </w:r>
          </w:p>
        </w:tc>
      </w:tr>
      <w:tr w14:paraId="1BC6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EE641">
            <w:pPr>
              <w:pStyle w:val="13"/>
            </w:pPr>
            <w:r>
              <w:t>产出指标</w:t>
            </w:r>
          </w:p>
        </w:tc>
        <w:tc>
          <w:tcPr>
            <w:tcW w:w="2268" w:type="dxa"/>
            <w:vAlign w:val="center"/>
          </w:tcPr>
          <w:p w14:paraId="0873341E">
            <w:pPr>
              <w:pStyle w:val="12"/>
            </w:pPr>
            <w:r>
              <w:t>数量指标</w:t>
            </w:r>
          </w:p>
        </w:tc>
        <w:tc>
          <w:tcPr>
            <w:tcW w:w="2835" w:type="dxa"/>
            <w:vAlign w:val="center"/>
          </w:tcPr>
          <w:p w14:paraId="2FAF5364">
            <w:pPr>
              <w:pStyle w:val="12"/>
            </w:pPr>
            <w:r>
              <w:t>就读学生数</w:t>
            </w:r>
          </w:p>
        </w:tc>
        <w:tc>
          <w:tcPr>
            <w:tcW w:w="5386" w:type="dxa"/>
            <w:vAlign w:val="center"/>
          </w:tcPr>
          <w:p w14:paraId="17D99E00">
            <w:pPr>
              <w:pStyle w:val="12"/>
            </w:pPr>
            <w:r>
              <w:t>辐射区域内适龄学生人数</w:t>
            </w:r>
          </w:p>
        </w:tc>
        <w:tc>
          <w:tcPr>
            <w:tcW w:w="2268" w:type="dxa"/>
            <w:vAlign w:val="center"/>
          </w:tcPr>
          <w:p w14:paraId="3A91A591">
            <w:pPr>
              <w:pStyle w:val="12"/>
            </w:pPr>
            <w:r>
              <w:t>101人</w:t>
            </w:r>
          </w:p>
        </w:tc>
        <w:tc>
          <w:tcPr>
            <w:tcW w:w="1276" w:type="dxa"/>
            <w:vAlign w:val="center"/>
          </w:tcPr>
          <w:p w14:paraId="34B8E877">
            <w:pPr>
              <w:pStyle w:val="12"/>
            </w:pPr>
            <w:r>
              <w:t>城乡义务教育公用经费管理办法</w:t>
            </w:r>
          </w:p>
        </w:tc>
      </w:tr>
      <w:tr w14:paraId="0635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E78FD"/>
        </w:tc>
        <w:tc>
          <w:tcPr>
            <w:tcW w:w="2268" w:type="dxa"/>
            <w:vAlign w:val="center"/>
          </w:tcPr>
          <w:p w14:paraId="17FBF87C">
            <w:pPr>
              <w:pStyle w:val="12"/>
            </w:pPr>
            <w:r>
              <w:t>质量指标</w:t>
            </w:r>
          </w:p>
        </w:tc>
        <w:tc>
          <w:tcPr>
            <w:tcW w:w="2835" w:type="dxa"/>
            <w:vAlign w:val="center"/>
          </w:tcPr>
          <w:p w14:paraId="0AE37546">
            <w:pPr>
              <w:pStyle w:val="12"/>
            </w:pPr>
            <w:r>
              <w:t>预算执行率</w:t>
            </w:r>
          </w:p>
        </w:tc>
        <w:tc>
          <w:tcPr>
            <w:tcW w:w="5386" w:type="dxa"/>
            <w:vAlign w:val="center"/>
          </w:tcPr>
          <w:p w14:paraId="6DE559B5">
            <w:pPr>
              <w:pStyle w:val="12"/>
            </w:pPr>
            <w:r>
              <w:t>预算执行率≥98%</w:t>
            </w:r>
          </w:p>
        </w:tc>
        <w:tc>
          <w:tcPr>
            <w:tcW w:w="2268" w:type="dxa"/>
            <w:vAlign w:val="center"/>
          </w:tcPr>
          <w:p w14:paraId="41CA9B57">
            <w:pPr>
              <w:pStyle w:val="12"/>
            </w:pPr>
            <w:r>
              <w:t>≥98%</w:t>
            </w:r>
          </w:p>
        </w:tc>
        <w:tc>
          <w:tcPr>
            <w:tcW w:w="1276" w:type="dxa"/>
            <w:vAlign w:val="center"/>
          </w:tcPr>
          <w:p w14:paraId="29C71102">
            <w:pPr>
              <w:pStyle w:val="12"/>
            </w:pPr>
            <w:r>
              <w:t>城乡义务教育公用经费管理办法</w:t>
            </w:r>
          </w:p>
        </w:tc>
      </w:tr>
      <w:tr w14:paraId="1600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FA2C2"/>
        </w:tc>
        <w:tc>
          <w:tcPr>
            <w:tcW w:w="2268" w:type="dxa"/>
            <w:vAlign w:val="center"/>
          </w:tcPr>
          <w:p w14:paraId="21A0BF01">
            <w:pPr>
              <w:pStyle w:val="12"/>
            </w:pPr>
            <w:r>
              <w:t>时效指标</w:t>
            </w:r>
          </w:p>
        </w:tc>
        <w:tc>
          <w:tcPr>
            <w:tcW w:w="2835" w:type="dxa"/>
            <w:vAlign w:val="center"/>
          </w:tcPr>
          <w:p w14:paraId="6171CD91">
            <w:pPr>
              <w:pStyle w:val="12"/>
            </w:pPr>
            <w:r>
              <w:t>义教经费支付完成率</w:t>
            </w:r>
          </w:p>
        </w:tc>
        <w:tc>
          <w:tcPr>
            <w:tcW w:w="5386" w:type="dxa"/>
            <w:vAlign w:val="center"/>
          </w:tcPr>
          <w:p w14:paraId="3890442B">
            <w:pPr>
              <w:pStyle w:val="12"/>
            </w:pPr>
            <w:r>
              <w:t>按照序时进度完成资金支付</w:t>
            </w:r>
          </w:p>
        </w:tc>
        <w:tc>
          <w:tcPr>
            <w:tcW w:w="2268" w:type="dxa"/>
            <w:vAlign w:val="center"/>
          </w:tcPr>
          <w:p w14:paraId="792E2841">
            <w:pPr>
              <w:pStyle w:val="12"/>
            </w:pPr>
            <w:r>
              <w:t>≥98%</w:t>
            </w:r>
          </w:p>
        </w:tc>
        <w:tc>
          <w:tcPr>
            <w:tcW w:w="1276" w:type="dxa"/>
            <w:vAlign w:val="center"/>
          </w:tcPr>
          <w:p w14:paraId="21CA1A40">
            <w:pPr>
              <w:pStyle w:val="12"/>
            </w:pPr>
            <w:r>
              <w:t>城乡义务教育公用经费管理办法</w:t>
            </w:r>
          </w:p>
        </w:tc>
      </w:tr>
      <w:tr w14:paraId="6787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560CD"/>
        </w:tc>
        <w:tc>
          <w:tcPr>
            <w:tcW w:w="2268" w:type="dxa"/>
            <w:vAlign w:val="center"/>
          </w:tcPr>
          <w:p w14:paraId="35B35783">
            <w:pPr>
              <w:pStyle w:val="12"/>
            </w:pPr>
            <w:r>
              <w:t>成本指标</w:t>
            </w:r>
          </w:p>
        </w:tc>
        <w:tc>
          <w:tcPr>
            <w:tcW w:w="2835" w:type="dxa"/>
            <w:vAlign w:val="center"/>
          </w:tcPr>
          <w:p w14:paraId="37C61BB7">
            <w:pPr>
              <w:pStyle w:val="12"/>
            </w:pPr>
            <w:r>
              <w:t>生均拨款标准</w:t>
            </w:r>
          </w:p>
        </w:tc>
        <w:tc>
          <w:tcPr>
            <w:tcW w:w="5386" w:type="dxa"/>
            <w:vAlign w:val="center"/>
          </w:tcPr>
          <w:p w14:paraId="3CE5E202">
            <w:pPr>
              <w:pStyle w:val="12"/>
            </w:pPr>
            <w:r>
              <w:t>小学生公用经费生均小学720元，取暖费120元/生/年，住宿生补助300元/生/年，随班就读学生补助7000元/生</w:t>
            </w:r>
          </w:p>
        </w:tc>
        <w:tc>
          <w:tcPr>
            <w:tcW w:w="2268" w:type="dxa"/>
            <w:vAlign w:val="center"/>
          </w:tcPr>
          <w:p w14:paraId="0222604D">
            <w:pPr>
              <w:pStyle w:val="12"/>
            </w:pPr>
            <w:r>
              <w:t>≥840元</w:t>
            </w:r>
          </w:p>
        </w:tc>
        <w:tc>
          <w:tcPr>
            <w:tcW w:w="1276" w:type="dxa"/>
            <w:vAlign w:val="center"/>
          </w:tcPr>
          <w:p w14:paraId="2B92211F">
            <w:pPr>
              <w:pStyle w:val="12"/>
            </w:pPr>
            <w:r>
              <w:t>城乡义务教育公用经费管理办法</w:t>
            </w:r>
          </w:p>
        </w:tc>
      </w:tr>
      <w:tr w14:paraId="66D2E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3A91D">
            <w:pPr>
              <w:pStyle w:val="13"/>
            </w:pPr>
            <w:r>
              <w:t>效益指标</w:t>
            </w:r>
          </w:p>
        </w:tc>
        <w:tc>
          <w:tcPr>
            <w:tcW w:w="2268" w:type="dxa"/>
            <w:vAlign w:val="center"/>
          </w:tcPr>
          <w:p w14:paraId="31AE8D3A">
            <w:pPr>
              <w:pStyle w:val="12"/>
            </w:pPr>
            <w:r>
              <w:t>社会效益指标</w:t>
            </w:r>
          </w:p>
        </w:tc>
        <w:tc>
          <w:tcPr>
            <w:tcW w:w="2835" w:type="dxa"/>
            <w:vAlign w:val="center"/>
          </w:tcPr>
          <w:p w14:paraId="7385D82C">
            <w:pPr>
              <w:pStyle w:val="12"/>
            </w:pPr>
            <w:r>
              <w:t>学校运转得到提高</w:t>
            </w:r>
          </w:p>
        </w:tc>
        <w:tc>
          <w:tcPr>
            <w:tcW w:w="5386" w:type="dxa"/>
            <w:vAlign w:val="center"/>
          </w:tcPr>
          <w:p w14:paraId="08FE699C">
            <w:pPr>
              <w:pStyle w:val="12"/>
            </w:pPr>
            <w:r>
              <w:t>学生受教育年限</w:t>
            </w:r>
          </w:p>
        </w:tc>
        <w:tc>
          <w:tcPr>
            <w:tcW w:w="2268" w:type="dxa"/>
            <w:vAlign w:val="center"/>
          </w:tcPr>
          <w:p w14:paraId="1889B7DC">
            <w:pPr>
              <w:pStyle w:val="12"/>
            </w:pPr>
            <w:r>
              <w:t>6年</w:t>
            </w:r>
          </w:p>
        </w:tc>
        <w:tc>
          <w:tcPr>
            <w:tcW w:w="1276" w:type="dxa"/>
            <w:vAlign w:val="center"/>
          </w:tcPr>
          <w:p w14:paraId="1AA1ED34">
            <w:pPr>
              <w:pStyle w:val="12"/>
            </w:pPr>
            <w:r>
              <w:t>城乡义务教育公用经费管理办法</w:t>
            </w:r>
          </w:p>
        </w:tc>
      </w:tr>
      <w:tr w14:paraId="5D6F5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A9D8A">
            <w:pPr>
              <w:pStyle w:val="13"/>
            </w:pPr>
            <w:r>
              <w:t>满意度指标</w:t>
            </w:r>
          </w:p>
        </w:tc>
        <w:tc>
          <w:tcPr>
            <w:tcW w:w="2268" w:type="dxa"/>
            <w:vAlign w:val="center"/>
          </w:tcPr>
          <w:p w14:paraId="2DFFD216">
            <w:pPr>
              <w:pStyle w:val="12"/>
            </w:pPr>
            <w:r>
              <w:t>服务对象满意度指标</w:t>
            </w:r>
          </w:p>
        </w:tc>
        <w:tc>
          <w:tcPr>
            <w:tcW w:w="2835" w:type="dxa"/>
            <w:vAlign w:val="center"/>
          </w:tcPr>
          <w:p w14:paraId="0A5D0811">
            <w:pPr>
              <w:pStyle w:val="12"/>
            </w:pPr>
            <w:r>
              <w:t>服务对象满意度</w:t>
            </w:r>
          </w:p>
        </w:tc>
        <w:tc>
          <w:tcPr>
            <w:tcW w:w="5386" w:type="dxa"/>
            <w:vAlign w:val="center"/>
          </w:tcPr>
          <w:p w14:paraId="5C57CA57">
            <w:pPr>
              <w:pStyle w:val="12"/>
            </w:pPr>
            <w:r>
              <w:t>学校老师和学生满意度</w:t>
            </w:r>
          </w:p>
        </w:tc>
        <w:tc>
          <w:tcPr>
            <w:tcW w:w="2268" w:type="dxa"/>
            <w:vAlign w:val="center"/>
          </w:tcPr>
          <w:p w14:paraId="591B8FD5">
            <w:pPr>
              <w:pStyle w:val="12"/>
            </w:pPr>
            <w:r>
              <w:t>≥95%</w:t>
            </w:r>
          </w:p>
        </w:tc>
        <w:tc>
          <w:tcPr>
            <w:tcW w:w="1276" w:type="dxa"/>
            <w:vAlign w:val="center"/>
          </w:tcPr>
          <w:p w14:paraId="6CE963DA">
            <w:pPr>
              <w:pStyle w:val="12"/>
            </w:pPr>
            <w:r>
              <w:t>城乡义务教育公用经费管理办法</w:t>
            </w:r>
          </w:p>
        </w:tc>
      </w:tr>
    </w:tbl>
    <w:p w14:paraId="5414D1D3">
      <w:pPr>
        <w:sectPr>
          <w:pgSz w:w="16840" w:h="11900" w:orient="landscape"/>
          <w:pgMar w:top="1361" w:right="1020" w:bottom="1134" w:left="1020" w:header="720" w:footer="720" w:gutter="0"/>
          <w:cols w:space="720" w:num="1"/>
        </w:sectPr>
      </w:pPr>
    </w:p>
    <w:p w14:paraId="7D270C9F">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4、冀财教[2025]121号/中央/2026年义教补助经费/大张庄校区大张家庄小学公用经费绩效目标表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10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9C3DB">
            <w:pPr>
              <w:pStyle w:val="11"/>
            </w:pPr>
            <w:r>
              <w:t>单位：万元</w:t>
            </w:r>
          </w:p>
        </w:tc>
      </w:tr>
      <w:tr w14:paraId="0DF53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822D4">
            <w:pPr>
              <w:pStyle w:val="10"/>
            </w:pPr>
            <w:r>
              <w:t>项目编码</w:t>
            </w:r>
          </w:p>
        </w:tc>
        <w:tc>
          <w:tcPr>
            <w:tcW w:w="5103" w:type="dxa"/>
            <w:gridSpan w:val="2"/>
            <w:vAlign w:val="center"/>
          </w:tcPr>
          <w:p w14:paraId="1FA94881">
            <w:pPr>
              <w:pStyle w:val="12"/>
            </w:pPr>
            <w:r>
              <w:t>13052526P000004103060</w:t>
            </w:r>
          </w:p>
        </w:tc>
        <w:tc>
          <w:tcPr>
            <w:tcW w:w="2835" w:type="dxa"/>
            <w:vAlign w:val="center"/>
          </w:tcPr>
          <w:p w14:paraId="63F3FB0A">
            <w:pPr>
              <w:pStyle w:val="10"/>
            </w:pPr>
            <w:r>
              <w:t>项目名称</w:t>
            </w:r>
          </w:p>
        </w:tc>
        <w:tc>
          <w:tcPr>
            <w:tcW w:w="6095" w:type="dxa"/>
            <w:gridSpan w:val="3"/>
            <w:vAlign w:val="center"/>
          </w:tcPr>
          <w:p w14:paraId="34A01011">
            <w:pPr>
              <w:pStyle w:val="12"/>
            </w:pPr>
            <w:r>
              <w:t>冀财教[2025]121号/中央/2026年义教补助经费/大张庄校区大张家庄小学公用经费</w:t>
            </w:r>
          </w:p>
        </w:tc>
      </w:tr>
      <w:tr w14:paraId="565F1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A8F0D">
            <w:pPr>
              <w:pStyle w:val="10"/>
            </w:pPr>
            <w:r>
              <w:t>预算规模及资金用途</w:t>
            </w:r>
          </w:p>
        </w:tc>
        <w:tc>
          <w:tcPr>
            <w:tcW w:w="2268" w:type="dxa"/>
            <w:vAlign w:val="center"/>
          </w:tcPr>
          <w:p w14:paraId="6BCF75E6">
            <w:pPr>
              <w:pStyle w:val="10"/>
            </w:pPr>
            <w:r>
              <w:t>预算数</w:t>
            </w:r>
          </w:p>
        </w:tc>
        <w:tc>
          <w:tcPr>
            <w:tcW w:w="2835" w:type="dxa"/>
            <w:vAlign w:val="center"/>
          </w:tcPr>
          <w:p w14:paraId="0687DB50">
            <w:pPr>
              <w:pStyle w:val="12"/>
            </w:pPr>
            <w:r>
              <w:t>57.60</w:t>
            </w:r>
          </w:p>
        </w:tc>
        <w:tc>
          <w:tcPr>
            <w:tcW w:w="2835" w:type="dxa"/>
            <w:vAlign w:val="center"/>
          </w:tcPr>
          <w:p w14:paraId="48CDB830">
            <w:pPr>
              <w:pStyle w:val="10"/>
            </w:pPr>
            <w:r>
              <w:t>其中：财政    资金</w:t>
            </w:r>
          </w:p>
        </w:tc>
        <w:tc>
          <w:tcPr>
            <w:tcW w:w="2551" w:type="dxa"/>
            <w:vAlign w:val="center"/>
          </w:tcPr>
          <w:p w14:paraId="0B706F59">
            <w:pPr>
              <w:pStyle w:val="12"/>
            </w:pPr>
            <w:r>
              <w:t>57.60</w:t>
            </w:r>
          </w:p>
        </w:tc>
        <w:tc>
          <w:tcPr>
            <w:tcW w:w="2268" w:type="dxa"/>
            <w:vAlign w:val="center"/>
          </w:tcPr>
          <w:p w14:paraId="299E775A">
            <w:pPr>
              <w:pStyle w:val="10"/>
            </w:pPr>
            <w:r>
              <w:t>其他资金</w:t>
            </w:r>
          </w:p>
        </w:tc>
        <w:tc>
          <w:tcPr>
            <w:tcW w:w="1276" w:type="dxa"/>
            <w:vAlign w:val="center"/>
          </w:tcPr>
          <w:p w14:paraId="08466F6C">
            <w:pPr>
              <w:pStyle w:val="12"/>
            </w:pPr>
            <w:r>
              <w:t xml:space="preserve"> </w:t>
            </w:r>
          </w:p>
        </w:tc>
      </w:tr>
      <w:tr w14:paraId="65A57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0180E"/>
        </w:tc>
        <w:tc>
          <w:tcPr>
            <w:tcW w:w="14033" w:type="dxa"/>
            <w:gridSpan w:val="6"/>
            <w:vAlign w:val="center"/>
          </w:tcPr>
          <w:p w14:paraId="79893185">
            <w:pPr>
              <w:pStyle w:val="12"/>
            </w:pPr>
            <w:r>
              <w:t>为保证学校正常运转和改善办学条件。</w:t>
            </w:r>
          </w:p>
        </w:tc>
      </w:tr>
      <w:tr w14:paraId="1F505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DE184">
            <w:pPr>
              <w:pStyle w:val="10"/>
            </w:pPr>
            <w:r>
              <w:t>资金支出计划（%）</w:t>
            </w:r>
          </w:p>
        </w:tc>
        <w:tc>
          <w:tcPr>
            <w:tcW w:w="5103" w:type="dxa"/>
            <w:gridSpan w:val="2"/>
            <w:vAlign w:val="center"/>
          </w:tcPr>
          <w:p w14:paraId="4794DC2E">
            <w:pPr>
              <w:pStyle w:val="10"/>
            </w:pPr>
            <w:r>
              <w:t>3月底</w:t>
            </w:r>
          </w:p>
        </w:tc>
        <w:tc>
          <w:tcPr>
            <w:tcW w:w="2835" w:type="dxa"/>
            <w:vAlign w:val="center"/>
          </w:tcPr>
          <w:p w14:paraId="0F04197A">
            <w:pPr>
              <w:pStyle w:val="10"/>
            </w:pPr>
            <w:r>
              <w:t>6月底</w:t>
            </w:r>
          </w:p>
        </w:tc>
        <w:tc>
          <w:tcPr>
            <w:tcW w:w="2551" w:type="dxa"/>
            <w:vAlign w:val="center"/>
          </w:tcPr>
          <w:p w14:paraId="2873A564">
            <w:pPr>
              <w:pStyle w:val="10"/>
            </w:pPr>
            <w:r>
              <w:t>10月底</w:t>
            </w:r>
          </w:p>
        </w:tc>
        <w:tc>
          <w:tcPr>
            <w:tcW w:w="3544" w:type="dxa"/>
            <w:gridSpan w:val="2"/>
            <w:vAlign w:val="center"/>
          </w:tcPr>
          <w:p w14:paraId="138DF1B9">
            <w:pPr>
              <w:pStyle w:val="10"/>
            </w:pPr>
            <w:r>
              <w:t>12月底</w:t>
            </w:r>
          </w:p>
        </w:tc>
      </w:tr>
      <w:tr w14:paraId="60DC4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97EA5"/>
        </w:tc>
        <w:tc>
          <w:tcPr>
            <w:tcW w:w="5103" w:type="dxa"/>
            <w:gridSpan w:val="2"/>
            <w:vAlign w:val="center"/>
          </w:tcPr>
          <w:p w14:paraId="34AC50B4">
            <w:pPr>
              <w:pStyle w:val="13"/>
            </w:pPr>
            <w:r>
              <w:t>25%</w:t>
            </w:r>
          </w:p>
        </w:tc>
        <w:tc>
          <w:tcPr>
            <w:tcW w:w="2835" w:type="dxa"/>
            <w:vAlign w:val="center"/>
          </w:tcPr>
          <w:p w14:paraId="3D4ECC68">
            <w:pPr>
              <w:pStyle w:val="13"/>
            </w:pPr>
            <w:r>
              <w:t>50%</w:t>
            </w:r>
          </w:p>
        </w:tc>
        <w:tc>
          <w:tcPr>
            <w:tcW w:w="2551" w:type="dxa"/>
            <w:vAlign w:val="center"/>
          </w:tcPr>
          <w:p w14:paraId="4514AE00">
            <w:pPr>
              <w:pStyle w:val="13"/>
            </w:pPr>
            <w:r>
              <w:t>75%</w:t>
            </w:r>
          </w:p>
        </w:tc>
        <w:tc>
          <w:tcPr>
            <w:tcW w:w="3544" w:type="dxa"/>
            <w:gridSpan w:val="2"/>
            <w:vAlign w:val="center"/>
          </w:tcPr>
          <w:p w14:paraId="4BF883C4">
            <w:pPr>
              <w:pStyle w:val="13"/>
            </w:pPr>
            <w:r>
              <w:t>100%</w:t>
            </w:r>
          </w:p>
        </w:tc>
      </w:tr>
      <w:tr w14:paraId="15E9F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C799A">
            <w:pPr>
              <w:pStyle w:val="10"/>
            </w:pPr>
            <w:r>
              <w:t>绩效目标</w:t>
            </w:r>
          </w:p>
        </w:tc>
        <w:tc>
          <w:tcPr>
            <w:tcW w:w="14033" w:type="dxa"/>
            <w:gridSpan w:val="6"/>
            <w:vAlign w:val="center"/>
          </w:tcPr>
          <w:p w14:paraId="557769DD">
            <w:pPr>
              <w:pStyle w:val="12"/>
            </w:pPr>
            <w:r>
              <w:t>1.按拨款序时进度完成经费拨付和支出。</w:t>
            </w:r>
          </w:p>
          <w:p w14:paraId="39D8B288">
            <w:pPr>
              <w:pStyle w:val="12"/>
            </w:pPr>
            <w:r>
              <w:t>2.为保证学校正常运转和改善办学条件。</w:t>
            </w:r>
          </w:p>
        </w:tc>
      </w:tr>
    </w:tbl>
    <w:p w14:paraId="44EA66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60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FB629">
            <w:pPr>
              <w:pStyle w:val="10"/>
            </w:pPr>
            <w:r>
              <w:t>一级指标</w:t>
            </w:r>
          </w:p>
        </w:tc>
        <w:tc>
          <w:tcPr>
            <w:tcW w:w="2268" w:type="dxa"/>
            <w:vAlign w:val="center"/>
          </w:tcPr>
          <w:p w14:paraId="71DD6BB7">
            <w:pPr>
              <w:pStyle w:val="10"/>
            </w:pPr>
            <w:r>
              <w:t>二级指标</w:t>
            </w:r>
          </w:p>
        </w:tc>
        <w:tc>
          <w:tcPr>
            <w:tcW w:w="2835" w:type="dxa"/>
            <w:vAlign w:val="center"/>
          </w:tcPr>
          <w:p w14:paraId="6D45ECF9">
            <w:pPr>
              <w:pStyle w:val="10"/>
            </w:pPr>
            <w:r>
              <w:t>三级指标</w:t>
            </w:r>
          </w:p>
        </w:tc>
        <w:tc>
          <w:tcPr>
            <w:tcW w:w="5386" w:type="dxa"/>
            <w:vAlign w:val="center"/>
          </w:tcPr>
          <w:p w14:paraId="6A0EDE55">
            <w:pPr>
              <w:pStyle w:val="10"/>
            </w:pPr>
            <w:r>
              <w:t>绩效指标描述</w:t>
            </w:r>
          </w:p>
        </w:tc>
        <w:tc>
          <w:tcPr>
            <w:tcW w:w="2268" w:type="dxa"/>
            <w:vAlign w:val="center"/>
          </w:tcPr>
          <w:p w14:paraId="085D495F">
            <w:pPr>
              <w:pStyle w:val="10"/>
            </w:pPr>
            <w:r>
              <w:t>指标值</w:t>
            </w:r>
          </w:p>
        </w:tc>
        <w:tc>
          <w:tcPr>
            <w:tcW w:w="1276" w:type="dxa"/>
            <w:vAlign w:val="center"/>
          </w:tcPr>
          <w:p w14:paraId="1213CD29">
            <w:pPr>
              <w:pStyle w:val="10"/>
            </w:pPr>
            <w:r>
              <w:t>指标值确定依据</w:t>
            </w:r>
          </w:p>
        </w:tc>
      </w:tr>
      <w:tr w14:paraId="54CC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44EA2">
            <w:pPr>
              <w:pStyle w:val="13"/>
            </w:pPr>
            <w:r>
              <w:t>产出指标</w:t>
            </w:r>
          </w:p>
        </w:tc>
        <w:tc>
          <w:tcPr>
            <w:tcW w:w="2268" w:type="dxa"/>
            <w:vAlign w:val="center"/>
          </w:tcPr>
          <w:p w14:paraId="71611B64">
            <w:pPr>
              <w:pStyle w:val="12"/>
            </w:pPr>
            <w:r>
              <w:t>数量指标</w:t>
            </w:r>
          </w:p>
        </w:tc>
        <w:tc>
          <w:tcPr>
            <w:tcW w:w="2835" w:type="dxa"/>
            <w:vAlign w:val="center"/>
          </w:tcPr>
          <w:p w14:paraId="2FDB6626">
            <w:pPr>
              <w:pStyle w:val="12"/>
            </w:pPr>
            <w:r>
              <w:t>就读学生数</w:t>
            </w:r>
          </w:p>
        </w:tc>
        <w:tc>
          <w:tcPr>
            <w:tcW w:w="5386" w:type="dxa"/>
            <w:vAlign w:val="center"/>
          </w:tcPr>
          <w:p w14:paraId="790F2DF0">
            <w:pPr>
              <w:pStyle w:val="12"/>
            </w:pPr>
            <w:r>
              <w:t>辐射区域内适龄学生人数</w:t>
            </w:r>
          </w:p>
        </w:tc>
        <w:tc>
          <w:tcPr>
            <w:tcW w:w="2268" w:type="dxa"/>
            <w:vAlign w:val="center"/>
          </w:tcPr>
          <w:p w14:paraId="0ECFE045">
            <w:pPr>
              <w:pStyle w:val="12"/>
            </w:pPr>
            <w:r>
              <w:t>972人</w:t>
            </w:r>
          </w:p>
        </w:tc>
        <w:tc>
          <w:tcPr>
            <w:tcW w:w="1276" w:type="dxa"/>
            <w:vAlign w:val="center"/>
          </w:tcPr>
          <w:p w14:paraId="56B15759">
            <w:pPr>
              <w:pStyle w:val="12"/>
            </w:pPr>
            <w:r>
              <w:t>城乡义务教育公用经费管理办法</w:t>
            </w:r>
          </w:p>
        </w:tc>
      </w:tr>
      <w:tr w14:paraId="7517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CF25F"/>
        </w:tc>
        <w:tc>
          <w:tcPr>
            <w:tcW w:w="2268" w:type="dxa"/>
            <w:vAlign w:val="center"/>
          </w:tcPr>
          <w:p w14:paraId="27463618">
            <w:pPr>
              <w:pStyle w:val="12"/>
            </w:pPr>
            <w:r>
              <w:t>质量指标</w:t>
            </w:r>
          </w:p>
        </w:tc>
        <w:tc>
          <w:tcPr>
            <w:tcW w:w="2835" w:type="dxa"/>
            <w:vAlign w:val="center"/>
          </w:tcPr>
          <w:p w14:paraId="5FBD5BF1">
            <w:pPr>
              <w:pStyle w:val="12"/>
            </w:pPr>
            <w:r>
              <w:t>预算执行率</w:t>
            </w:r>
          </w:p>
        </w:tc>
        <w:tc>
          <w:tcPr>
            <w:tcW w:w="5386" w:type="dxa"/>
            <w:vAlign w:val="center"/>
          </w:tcPr>
          <w:p w14:paraId="7FEB4A51">
            <w:pPr>
              <w:pStyle w:val="12"/>
            </w:pPr>
            <w:r>
              <w:t>预算执行率≥98%</w:t>
            </w:r>
          </w:p>
        </w:tc>
        <w:tc>
          <w:tcPr>
            <w:tcW w:w="2268" w:type="dxa"/>
            <w:vAlign w:val="center"/>
          </w:tcPr>
          <w:p w14:paraId="702A8038">
            <w:pPr>
              <w:pStyle w:val="12"/>
            </w:pPr>
            <w:r>
              <w:t>≥98%</w:t>
            </w:r>
          </w:p>
        </w:tc>
        <w:tc>
          <w:tcPr>
            <w:tcW w:w="1276" w:type="dxa"/>
            <w:vAlign w:val="center"/>
          </w:tcPr>
          <w:p w14:paraId="1D8C2E6C">
            <w:pPr>
              <w:pStyle w:val="12"/>
            </w:pPr>
            <w:r>
              <w:t>城乡义务教育公用经费管理办法</w:t>
            </w:r>
          </w:p>
        </w:tc>
      </w:tr>
      <w:tr w14:paraId="47DAE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8612A"/>
        </w:tc>
        <w:tc>
          <w:tcPr>
            <w:tcW w:w="2268" w:type="dxa"/>
            <w:vAlign w:val="center"/>
          </w:tcPr>
          <w:p w14:paraId="1AE8DF60">
            <w:pPr>
              <w:pStyle w:val="12"/>
            </w:pPr>
            <w:r>
              <w:t>时效指标</w:t>
            </w:r>
          </w:p>
        </w:tc>
        <w:tc>
          <w:tcPr>
            <w:tcW w:w="2835" w:type="dxa"/>
            <w:vAlign w:val="center"/>
          </w:tcPr>
          <w:p w14:paraId="65281D1B">
            <w:pPr>
              <w:pStyle w:val="12"/>
            </w:pPr>
            <w:r>
              <w:t>义教经费支付完成率</w:t>
            </w:r>
          </w:p>
        </w:tc>
        <w:tc>
          <w:tcPr>
            <w:tcW w:w="5386" w:type="dxa"/>
            <w:vAlign w:val="center"/>
          </w:tcPr>
          <w:p w14:paraId="6E2C8B4D">
            <w:pPr>
              <w:pStyle w:val="12"/>
            </w:pPr>
            <w:r>
              <w:t>按照序时进度完成资金支付</w:t>
            </w:r>
          </w:p>
        </w:tc>
        <w:tc>
          <w:tcPr>
            <w:tcW w:w="2268" w:type="dxa"/>
            <w:vAlign w:val="center"/>
          </w:tcPr>
          <w:p w14:paraId="6FF193E4">
            <w:pPr>
              <w:pStyle w:val="12"/>
            </w:pPr>
            <w:r>
              <w:t>≥98%</w:t>
            </w:r>
          </w:p>
        </w:tc>
        <w:tc>
          <w:tcPr>
            <w:tcW w:w="1276" w:type="dxa"/>
            <w:vAlign w:val="center"/>
          </w:tcPr>
          <w:p w14:paraId="73276841">
            <w:pPr>
              <w:pStyle w:val="12"/>
            </w:pPr>
            <w:r>
              <w:t>城乡义务教育公用经费管理办法</w:t>
            </w:r>
          </w:p>
        </w:tc>
      </w:tr>
      <w:tr w14:paraId="210AB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32ADE"/>
        </w:tc>
        <w:tc>
          <w:tcPr>
            <w:tcW w:w="2268" w:type="dxa"/>
            <w:vAlign w:val="center"/>
          </w:tcPr>
          <w:p w14:paraId="52764E53">
            <w:pPr>
              <w:pStyle w:val="12"/>
            </w:pPr>
            <w:r>
              <w:t>成本指标</w:t>
            </w:r>
          </w:p>
        </w:tc>
        <w:tc>
          <w:tcPr>
            <w:tcW w:w="2835" w:type="dxa"/>
            <w:vAlign w:val="center"/>
          </w:tcPr>
          <w:p w14:paraId="7ECC4ADF">
            <w:pPr>
              <w:pStyle w:val="12"/>
            </w:pPr>
            <w:r>
              <w:t>生均拨款标准</w:t>
            </w:r>
          </w:p>
        </w:tc>
        <w:tc>
          <w:tcPr>
            <w:tcW w:w="5386" w:type="dxa"/>
            <w:vAlign w:val="center"/>
          </w:tcPr>
          <w:p w14:paraId="39DB1C76">
            <w:pPr>
              <w:pStyle w:val="12"/>
            </w:pPr>
            <w:r>
              <w:t>小学生公用经费生均小学720元，取暖费120元/生/年，住宿生补助300元/生/年，随班就读学生补助7000元/生</w:t>
            </w:r>
          </w:p>
        </w:tc>
        <w:tc>
          <w:tcPr>
            <w:tcW w:w="2268" w:type="dxa"/>
            <w:vAlign w:val="center"/>
          </w:tcPr>
          <w:p w14:paraId="591D5E4E">
            <w:pPr>
              <w:pStyle w:val="12"/>
            </w:pPr>
            <w:r>
              <w:t>≥840元</w:t>
            </w:r>
          </w:p>
        </w:tc>
        <w:tc>
          <w:tcPr>
            <w:tcW w:w="1276" w:type="dxa"/>
            <w:vAlign w:val="center"/>
          </w:tcPr>
          <w:p w14:paraId="4F824889">
            <w:pPr>
              <w:pStyle w:val="12"/>
            </w:pPr>
            <w:r>
              <w:t>城乡义务教育公用经费管理办法</w:t>
            </w:r>
          </w:p>
        </w:tc>
      </w:tr>
      <w:tr w14:paraId="6246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22E6A">
            <w:pPr>
              <w:pStyle w:val="13"/>
            </w:pPr>
            <w:r>
              <w:t>效益指标</w:t>
            </w:r>
          </w:p>
        </w:tc>
        <w:tc>
          <w:tcPr>
            <w:tcW w:w="2268" w:type="dxa"/>
            <w:vAlign w:val="center"/>
          </w:tcPr>
          <w:p w14:paraId="7027098C">
            <w:pPr>
              <w:pStyle w:val="12"/>
            </w:pPr>
            <w:r>
              <w:t>社会效益指标</w:t>
            </w:r>
          </w:p>
        </w:tc>
        <w:tc>
          <w:tcPr>
            <w:tcW w:w="2835" w:type="dxa"/>
            <w:vAlign w:val="center"/>
          </w:tcPr>
          <w:p w14:paraId="22D7A377">
            <w:pPr>
              <w:pStyle w:val="12"/>
            </w:pPr>
            <w:r>
              <w:t>学校运转得到提高</w:t>
            </w:r>
          </w:p>
        </w:tc>
        <w:tc>
          <w:tcPr>
            <w:tcW w:w="5386" w:type="dxa"/>
            <w:vAlign w:val="center"/>
          </w:tcPr>
          <w:p w14:paraId="74117A0A">
            <w:pPr>
              <w:pStyle w:val="12"/>
            </w:pPr>
            <w:r>
              <w:t>学生受教育年限</w:t>
            </w:r>
          </w:p>
        </w:tc>
        <w:tc>
          <w:tcPr>
            <w:tcW w:w="2268" w:type="dxa"/>
            <w:vAlign w:val="center"/>
          </w:tcPr>
          <w:p w14:paraId="5E0BB083">
            <w:pPr>
              <w:pStyle w:val="12"/>
            </w:pPr>
            <w:r>
              <w:t>6年</w:t>
            </w:r>
          </w:p>
        </w:tc>
        <w:tc>
          <w:tcPr>
            <w:tcW w:w="1276" w:type="dxa"/>
            <w:vAlign w:val="center"/>
          </w:tcPr>
          <w:p w14:paraId="790F7453">
            <w:pPr>
              <w:pStyle w:val="12"/>
            </w:pPr>
            <w:r>
              <w:t>城乡义务教育公用经费管理办法</w:t>
            </w:r>
          </w:p>
        </w:tc>
      </w:tr>
      <w:tr w14:paraId="223C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E4FCA">
            <w:pPr>
              <w:pStyle w:val="13"/>
            </w:pPr>
            <w:r>
              <w:t>满意度指标</w:t>
            </w:r>
          </w:p>
        </w:tc>
        <w:tc>
          <w:tcPr>
            <w:tcW w:w="2268" w:type="dxa"/>
            <w:vAlign w:val="center"/>
          </w:tcPr>
          <w:p w14:paraId="1F6B8929">
            <w:pPr>
              <w:pStyle w:val="12"/>
            </w:pPr>
            <w:r>
              <w:t>服务对象满意度指标</w:t>
            </w:r>
          </w:p>
        </w:tc>
        <w:tc>
          <w:tcPr>
            <w:tcW w:w="2835" w:type="dxa"/>
            <w:vAlign w:val="center"/>
          </w:tcPr>
          <w:p w14:paraId="765C0FFC">
            <w:pPr>
              <w:pStyle w:val="12"/>
            </w:pPr>
            <w:r>
              <w:t>服务对象满意度</w:t>
            </w:r>
          </w:p>
        </w:tc>
        <w:tc>
          <w:tcPr>
            <w:tcW w:w="5386" w:type="dxa"/>
            <w:vAlign w:val="center"/>
          </w:tcPr>
          <w:p w14:paraId="3E4F2B52">
            <w:pPr>
              <w:pStyle w:val="12"/>
            </w:pPr>
            <w:r>
              <w:t>学校老师和学生满意度</w:t>
            </w:r>
          </w:p>
        </w:tc>
        <w:tc>
          <w:tcPr>
            <w:tcW w:w="2268" w:type="dxa"/>
            <w:vAlign w:val="center"/>
          </w:tcPr>
          <w:p w14:paraId="7524EBC6">
            <w:pPr>
              <w:pStyle w:val="12"/>
            </w:pPr>
            <w:r>
              <w:t>≥95%</w:t>
            </w:r>
          </w:p>
        </w:tc>
        <w:tc>
          <w:tcPr>
            <w:tcW w:w="1276" w:type="dxa"/>
            <w:vAlign w:val="center"/>
          </w:tcPr>
          <w:p w14:paraId="438AF657">
            <w:pPr>
              <w:pStyle w:val="12"/>
            </w:pPr>
            <w:r>
              <w:t>城乡义务教育公用经费管理办法</w:t>
            </w:r>
          </w:p>
        </w:tc>
      </w:tr>
    </w:tbl>
    <w:p w14:paraId="060CC32C">
      <w:pPr>
        <w:sectPr>
          <w:pgSz w:w="16840" w:h="11900" w:orient="landscape"/>
          <w:pgMar w:top="1361" w:right="1020" w:bottom="1134" w:left="1020" w:header="720" w:footer="720" w:gutter="0"/>
          <w:cols w:space="720" w:num="1"/>
        </w:sectPr>
      </w:pPr>
    </w:p>
    <w:p w14:paraId="434291DA">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5、冀财教[2025]121号/中央/2026年义教补助经费/大张庄校区黄家庄小学公用经费绩效目标表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3A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A527D">
            <w:pPr>
              <w:pStyle w:val="11"/>
            </w:pPr>
            <w:r>
              <w:t>单位：万元</w:t>
            </w:r>
          </w:p>
        </w:tc>
      </w:tr>
      <w:tr w14:paraId="52FF1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419A7">
            <w:pPr>
              <w:pStyle w:val="10"/>
            </w:pPr>
            <w:r>
              <w:t>项目编码</w:t>
            </w:r>
          </w:p>
        </w:tc>
        <w:tc>
          <w:tcPr>
            <w:tcW w:w="5103" w:type="dxa"/>
            <w:gridSpan w:val="2"/>
            <w:vAlign w:val="center"/>
          </w:tcPr>
          <w:p w14:paraId="4BC8AF6F">
            <w:pPr>
              <w:pStyle w:val="12"/>
            </w:pPr>
            <w:r>
              <w:t>13052526P00000410307K</w:t>
            </w:r>
          </w:p>
        </w:tc>
        <w:tc>
          <w:tcPr>
            <w:tcW w:w="2835" w:type="dxa"/>
            <w:vAlign w:val="center"/>
          </w:tcPr>
          <w:p w14:paraId="176CB819">
            <w:pPr>
              <w:pStyle w:val="10"/>
            </w:pPr>
            <w:r>
              <w:t>项目名称</w:t>
            </w:r>
          </w:p>
        </w:tc>
        <w:tc>
          <w:tcPr>
            <w:tcW w:w="6095" w:type="dxa"/>
            <w:gridSpan w:val="3"/>
            <w:vAlign w:val="center"/>
          </w:tcPr>
          <w:p w14:paraId="27BB1682">
            <w:pPr>
              <w:pStyle w:val="12"/>
            </w:pPr>
            <w:r>
              <w:t>冀财教[2025]121号/中央/2026年义教补助经费/大张庄校区黄家庄小学公用经费</w:t>
            </w:r>
          </w:p>
        </w:tc>
      </w:tr>
      <w:tr w14:paraId="6DD2E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D6ADB">
            <w:pPr>
              <w:pStyle w:val="10"/>
            </w:pPr>
            <w:r>
              <w:t>预算规模及资金用途</w:t>
            </w:r>
          </w:p>
        </w:tc>
        <w:tc>
          <w:tcPr>
            <w:tcW w:w="2268" w:type="dxa"/>
            <w:vAlign w:val="center"/>
          </w:tcPr>
          <w:p w14:paraId="2E8CE39A">
            <w:pPr>
              <w:pStyle w:val="10"/>
            </w:pPr>
            <w:r>
              <w:t>预算数</w:t>
            </w:r>
          </w:p>
        </w:tc>
        <w:tc>
          <w:tcPr>
            <w:tcW w:w="2835" w:type="dxa"/>
            <w:vAlign w:val="center"/>
          </w:tcPr>
          <w:p w14:paraId="1FADF45A">
            <w:pPr>
              <w:pStyle w:val="12"/>
            </w:pPr>
            <w:r>
              <w:t>20.73</w:t>
            </w:r>
          </w:p>
        </w:tc>
        <w:tc>
          <w:tcPr>
            <w:tcW w:w="2835" w:type="dxa"/>
            <w:vAlign w:val="center"/>
          </w:tcPr>
          <w:p w14:paraId="5E23679F">
            <w:pPr>
              <w:pStyle w:val="10"/>
            </w:pPr>
            <w:r>
              <w:t>其中：财政    资金</w:t>
            </w:r>
          </w:p>
        </w:tc>
        <w:tc>
          <w:tcPr>
            <w:tcW w:w="2551" w:type="dxa"/>
            <w:vAlign w:val="center"/>
          </w:tcPr>
          <w:p w14:paraId="1BE00C3C">
            <w:pPr>
              <w:pStyle w:val="12"/>
            </w:pPr>
            <w:r>
              <w:t>20.73</w:t>
            </w:r>
          </w:p>
        </w:tc>
        <w:tc>
          <w:tcPr>
            <w:tcW w:w="2268" w:type="dxa"/>
            <w:vAlign w:val="center"/>
          </w:tcPr>
          <w:p w14:paraId="53FA5B5C">
            <w:pPr>
              <w:pStyle w:val="10"/>
            </w:pPr>
            <w:r>
              <w:t>其他资金</w:t>
            </w:r>
          </w:p>
        </w:tc>
        <w:tc>
          <w:tcPr>
            <w:tcW w:w="1276" w:type="dxa"/>
            <w:vAlign w:val="center"/>
          </w:tcPr>
          <w:p w14:paraId="693F9190">
            <w:pPr>
              <w:pStyle w:val="12"/>
            </w:pPr>
            <w:r>
              <w:t xml:space="preserve"> </w:t>
            </w:r>
          </w:p>
        </w:tc>
      </w:tr>
      <w:tr w14:paraId="09EB8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9461D"/>
        </w:tc>
        <w:tc>
          <w:tcPr>
            <w:tcW w:w="14033" w:type="dxa"/>
            <w:gridSpan w:val="6"/>
            <w:vAlign w:val="center"/>
          </w:tcPr>
          <w:p w14:paraId="6A579780">
            <w:pPr>
              <w:pStyle w:val="12"/>
            </w:pPr>
            <w:r>
              <w:t>为保证学校正常运转和改善办学条件。</w:t>
            </w:r>
          </w:p>
        </w:tc>
      </w:tr>
      <w:tr w14:paraId="06F4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F09F6">
            <w:pPr>
              <w:pStyle w:val="10"/>
            </w:pPr>
            <w:r>
              <w:t>资金支出计划（%）</w:t>
            </w:r>
          </w:p>
        </w:tc>
        <w:tc>
          <w:tcPr>
            <w:tcW w:w="5103" w:type="dxa"/>
            <w:gridSpan w:val="2"/>
            <w:vAlign w:val="center"/>
          </w:tcPr>
          <w:p w14:paraId="6E803B32">
            <w:pPr>
              <w:pStyle w:val="10"/>
            </w:pPr>
            <w:r>
              <w:t>3月底</w:t>
            </w:r>
          </w:p>
        </w:tc>
        <w:tc>
          <w:tcPr>
            <w:tcW w:w="2835" w:type="dxa"/>
            <w:vAlign w:val="center"/>
          </w:tcPr>
          <w:p w14:paraId="6BD8E63A">
            <w:pPr>
              <w:pStyle w:val="10"/>
            </w:pPr>
            <w:r>
              <w:t>6月底</w:t>
            </w:r>
          </w:p>
        </w:tc>
        <w:tc>
          <w:tcPr>
            <w:tcW w:w="2551" w:type="dxa"/>
            <w:vAlign w:val="center"/>
          </w:tcPr>
          <w:p w14:paraId="04B5C335">
            <w:pPr>
              <w:pStyle w:val="10"/>
            </w:pPr>
            <w:r>
              <w:t>10月底</w:t>
            </w:r>
          </w:p>
        </w:tc>
        <w:tc>
          <w:tcPr>
            <w:tcW w:w="3544" w:type="dxa"/>
            <w:gridSpan w:val="2"/>
            <w:vAlign w:val="center"/>
          </w:tcPr>
          <w:p w14:paraId="71549CA4">
            <w:pPr>
              <w:pStyle w:val="10"/>
            </w:pPr>
            <w:r>
              <w:t>12月底</w:t>
            </w:r>
          </w:p>
        </w:tc>
      </w:tr>
      <w:tr w14:paraId="6707D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AF207"/>
        </w:tc>
        <w:tc>
          <w:tcPr>
            <w:tcW w:w="5103" w:type="dxa"/>
            <w:gridSpan w:val="2"/>
            <w:vAlign w:val="center"/>
          </w:tcPr>
          <w:p w14:paraId="47FA1F44">
            <w:pPr>
              <w:pStyle w:val="13"/>
            </w:pPr>
            <w:r>
              <w:t>25%</w:t>
            </w:r>
          </w:p>
        </w:tc>
        <w:tc>
          <w:tcPr>
            <w:tcW w:w="2835" w:type="dxa"/>
            <w:vAlign w:val="center"/>
          </w:tcPr>
          <w:p w14:paraId="1D1EF143">
            <w:pPr>
              <w:pStyle w:val="13"/>
            </w:pPr>
            <w:r>
              <w:t>50%</w:t>
            </w:r>
          </w:p>
        </w:tc>
        <w:tc>
          <w:tcPr>
            <w:tcW w:w="2551" w:type="dxa"/>
            <w:vAlign w:val="center"/>
          </w:tcPr>
          <w:p w14:paraId="4967675A">
            <w:pPr>
              <w:pStyle w:val="13"/>
            </w:pPr>
            <w:r>
              <w:t>75%</w:t>
            </w:r>
          </w:p>
        </w:tc>
        <w:tc>
          <w:tcPr>
            <w:tcW w:w="3544" w:type="dxa"/>
            <w:gridSpan w:val="2"/>
            <w:vAlign w:val="center"/>
          </w:tcPr>
          <w:p w14:paraId="40423567">
            <w:pPr>
              <w:pStyle w:val="13"/>
            </w:pPr>
            <w:r>
              <w:t>100%</w:t>
            </w:r>
          </w:p>
        </w:tc>
      </w:tr>
      <w:tr w14:paraId="26535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F5EF0">
            <w:pPr>
              <w:pStyle w:val="10"/>
            </w:pPr>
            <w:r>
              <w:t>绩效目标</w:t>
            </w:r>
          </w:p>
        </w:tc>
        <w:tc>
          <w:tcPr>
            <w:tcW w:w="14033" w:type="dxa"/>
            <w:gridSpan w:val="6"/>
            <w:vAlign w:val="center"/>
          </w:tcPr>
          <w:p w14:paraId="153BDBF1">
            <w:pPr>
              <w:pStyle w:val="12"/>
            </w:pPr>
            <w:r>
              <w:t>1.按拨款序时进度完成经费拨付和支出。</w:t>
            </w:r>
          </w:p>
          <w:p w14:paraId="188E319F">
            <w:pPr>
              <w:pStyle w:val="12"/>
            </w:pPr>
            <w:r>
              <w:t>2.为保证学校正常运转和改善办学条件。</w:t>
            </w:r>
          </w:p>
        </w:tc>
      </w:tr>
    </w:tbl>
    <w:p w14:paraId="76A86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30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B70D5">
            <w:pPr>
              <w:pStyle w:val="10"/>
            </w:pPr>
            <w:r>
              <w:t>一级指标</w:t>
            </w:r>
          </w:p>
        </w:tc>
        <w:tc>
          <w:tcPr>
            <w:tcW w:w="2268" w:type="dxa"/>
            <w:vAlign w:val="center"/>
          </w:tcPr>
          <w:p w14:paraId="57AEC150">
            <w:pPr>
              <w:pStyle w:val="10"/>
            </w:pPr>
            <w:r>
              <w:t>二级指标</w:t>
            </w:r>
          </w:p>
        </w:tc>
        <w:tc>
          <w:tcPr>
            <w:tcW w:w="2835" w:type="dxa"/>
            <w:vAlign w:val="center"/>
          </w:tcPr>
          <w:p w14:paraId="4E5FFDD6">
            <w:pPr>
              <w:pStyle w:val="10"/>
            </w:pPr>
            <w:r>
              <w:t>三级指标</w:t>
            </w:r>
          </w:p>
        </w:tc>
        <w:tc>
          <w:tcPr>
            <w:tcW w:w="5386" w:type="dxa"/>
            <w:vAlign w:val="center"/>
          </w:tcPr>
          <w:p w14:paraId="23B3C814">
            <w:pPr>
              <w:pStyle w:val="10"/>
            </w:pPr>
            <w:r>
              <w:t>绩效指标描述</w:t>
            </w:r>
          </w:p>
        </w:tc>
        <w:tc>
          <w:tcPr>
            <w:tcW w:w="2268" w:type="dxa"/>
            <w:vAlign w:val="center"/>
          </w:tcPr>
          <w:p w14:paraId="6D40052E">
            <w:pPr>
              <w:pStyle w:val="10"/>
            </w:pPr>
            <w:r>
              <w:t>指标值</w:t>
            </w:r>
          </w:p>
        </w:tc>
        <w:tc>
          <w:tcPr>
            <w:tcW w:w="1276" w:type="dxa"/>
            <w:vAlign w:val="center"/>
          </w:tcPr>
          <w:p w14:paraId="3BFFC20D">
            <w:pPr>
              <w:pStyle w:val="10"/>
            </w:pPr>
            <w:r>
              <w:t>指标值确定依据</w:t>
            </w:r>
          </w:p>
        </w:tc>
      </w:tr>
      <w:tr w14:paraId="438E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9D65C">
            <w:pPr>
              <w:pStyle w:val="13"/>
            </w:pPr>
            <w:r>
              <w:t>产出指标</w:t>
            </w:r>
          </w:p>
        </w:tc>
        <w:tc>
          <w:tcPr>
            <w:tcW w:w="2268" w:type="dxa"/>
            <w:vAlign w:val="center"/>
          </w:tcPr>
          <w:p w14:paraId="0D1ABE4C">
            <w:pPr>
              <w:pStyle w:val="12"/>
            </w:pPr>
            <w:r>
              <w:t>数量指标</w:t>
            </w:r>
          </w:p>
        </w:tc>
        <w:tc>
          <w:tcPr>
            <w:tcW w:w="2835" w:type="dxa"/>
            <w:vAlign w:val="center"/>
          </w:tcPr>
          <w:p w14:paraId="0D4C0ACC">
            <w:pPr>
              <w:pStyle w:val="12"/>
            </w:pPr>
            <w:r>
              <w:t>就读学生数</w:t>
            </w:r>
          </w:p>
        </w:tc>
        <w:tc>
          <w:tcPr>
            <w:tcW w:w="5386" w:type="dxa"/>
            <w:vAlign w:val="center"/>
          </w:tcPr>
          <w:p w14:paraId="0DB7257C">
            <w:pPr>
              <w:pStyle w:val="12"/>
            </w:pPr>
            <w:r>
              <w:t>辐射区域内适龄学生人数</w:t>
            </w:r>
          </w:p>
        </w:tc>
        <w:tc>
          <w:tcPr>
            <w:tcW w:w="2268" w:type="dxa"/>
            <w:vAlign w:val="center"/>
          </w:tcPr>
          <w:p w14:paraId="03071325">
            <w:pPr>
              <w:pStyle w:val="12"/>
            </w:pPr>
            <w:r>
              <w:t>187人</w:t>
            </w:r>
          </w:p>
        </w:tc>
        <w:tc>
          <w:tcPr>
            <w:tcW w:w="1276" w:type="dxa"/>
            <w:vAlign w:val="center"/>
          </w:tcPr>
          <w:p w14:paraId="4B064C23">
            <w:pPr>
              <w:pStyle w:val="12"/>
            </w:pPr>
            <w:r>
              <w:t>城乡义务教育公用经费管理办法</w:t>
            </w:r>
          </w:p>
        </w:tc>
      </w:tr>
      <w:tr w14:paraId="27D4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B3EE0"/>
        </w:tc>
        <w:tc>
          <w:tcPr>
            <w:tcW w:w="2268" w:type="dxa"/>
            <w:vAlign w:val="center"/>
          </w:tcPr>
          <w:p w14:paraId="41D2BE23">
            <w:pPr>
              <w:pStyle w:val="12"/>
            </w:pPr>
            <w:r>
              <w:t>质量指标</w:t>
            </w:r>
          </w:p>
        </w:tc>
        <w:tc>
          <w:tcPr>
            <w:tcW w:w="2835" w:type="dxa"/>
            <w:vAlign w:val="center"/>
          </w:tcPr>
          <w:p w14:paraId="1882D8CB">
            <w:pPr>
              <w:pStyle w:val="12"/>
            </w:pPr>
            <w:r>
              <w:t>预算执行率</w:t>
            </w:r>
          </w:p>
        </w:tc>
        <w:tc>
          <w:tcPr>
            <w:tcW w:w="5386" w:type="dxa"/>
            <w:vAlign w:val="center"/>
          </w:tcPr>
          <w:p w14:paraId="4536CCCA">
            <w:pPr>
              <w:pStyle w:val="12"/>
            </w:pPr>
            <w:r>
              <w:t>预算执行率≥98%</w:t>
            </w:r>
          </w:p>
        </w:tc>
        <w:tc>
          <w:tcPr>
            <w:tcW w:w="2268" w:type="dxa"/>
            <w:vAlign w:val="center"/>
          </w:tcPr>
          <w:p w14:paraId="728A395D">
            <w:pPr>
              <w:pStyle w:val="12"/>
            </w:pPr>
            <w:r>
              <w:t>≥98%</w:t>
            </w:r>
          </w:p>
        </w:tc>
        <w:tc>
          <w:tcPr>
            <w:tcW w:w="1276" w:type="dxa"/>
            <w:vAlign w:val="center"/>
          </w:tcPr>
          <w:p w14:paraId="703E7344">
            <w:pPr>
              <w:pStyle w:val="12"/>
            </w:pPr>
            <w:r>
              <w:t>城乡义务教育公用经费管理办法</w:t>
            </w:r>
          </w:p>
        </w:tc>
      </w:tr>
      <w:tr w14:paraId="55E1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68B17"/>
        </w:tc>
        <w:tc>
          <w:tcPr>
            <w:tcW w:w="2268" w:type="dxa"/>
            <w:vAlign w:val="center"/>
          </w:tcPr>
          <w:p w14:paraId="1CD9E1D0">
            <w:pPr>
              <w:pStyle w:val="12"/>
            </w:pPr>
            <w:r>
              <w:t>时效指标</w:t>
            </w:r>
          </w:p>
        </w:tc>
        <w:tc>
          <w:tcPr>
            <w:tcW w:w="2835" w:type="dxa"/>
            <w:vAlign w:val="center"/>
          </w:tcPr>
          <w:p w14:paraId="59F30C43">
            <w:pPr>
              <w:pStyle w:val="12"/>
            </w:pPr>
            <w:r>
              <w:t>义教经费支付完成率</w:t>
            </w:r>
          </w:p>
        </w:tc>
        <w:tc>
          <w:tcPr>
            <w:tcW w:w="5386" w:type="dxa"/>
            <w:vAlign w:val="center"/>
          </w:tcPr>
          <w:p w14:paraId="02DCA5D3">
            <w:pPr>
              <w:pStyle w:val="12"/>
            </w:pPr>
            <w:r>
              <w:t>按照序时进度完成资金支付</w:t>
            </w:r>
          </w:p>
        </w:tc>
        <w:tc>
          <w:tcPr>
            <w:tcW w:w="2268" w:type="dxa"/>
            <w:vAlign w:val="center"/>
          </w:tcPr>
          <w:p w14:paraId="033EB8A6">
            <w:pPr>
              <w:pStyle w:val="12"/>
            </w:pPr>
            <w:r>
              <w:t>≥98%</w:t>
            </w:r>
          </w:p>
        </w:tc>
        <w:tc>
          <w:tcPr>
            <w:tcW w:w="1276" w:type="dxa"/>
            <w:vAlign w:val="center"/>
          </w:tcPr>
          <w:p w14:paraId="2F7A7406">
            <w:pPr>
              <w:pStyle w:val="12"/>
            </w:pPr>
            <w:r>
              <w:t>城乡义务教育公用经费管理办法</w:t>
            </w:r>
          </w:p>
        </w:tc>
      </w:tr>
      <w:tr w14:paraId="44C2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8124A"/>
        </w:tc>
        <w:tc>
          <w:tcPr>
            <w:tcW w:w="2268" w:type="dxa"/>
            <w:vAlign w:val="center"/>
          </w:tcPr>
          <w:p w14:paraId="5A108A3B">
            <w:pPr>
              <w:pStyle w:val="12"/>
            </w:pPr>
            <w:r>
              <w:t>成本指标</w:t>
            </w:r>
          </w:p>
        </w:tc>
        <w:tc>
          <w:tcPr>
            <w:tcW w:w="2835" w:type="dxa"/>
            <w:vAlign w:val="center"/>
          </w:tcPr>
          <w:p w14:paraId="5050283E">
            <w:pPr>
              <w:pStyle w:val="12"/>
            </w:pPr>
            <w:r>
              <w:t>生均拨款标准</w:t>
            </w:r>
          </w:p>
        </w:tc>
        <w:tc>
          <w:tcPr>
            <w:tcW w:w="5386" w:type="dxa"/>
            <w:vAlign w:val="center"/>
          </w:tcPr>
          <w:p w14:paraId="2C04C738">
            <w:pPr>
              <w:pStyle w:val="12"/>
            </w:pPr>
            <w:r>
              <w:t>小学生公用经费生均小学720元，取暖费120元/生/年，住宿生补助300元/生/年，随班就读学生补助7000元/生</w:t>
            </w:r>
          </w:p>
        </w:tc>
        <w:tc>
          <w:tcPr>
            <w:tcW w:w="2268" w:type="dxa"/>
            <w:vAlign w:val="center"/>
          </w:tcPr>
          <w:p w14:paraId="67BA0714">
            <w:pPr>
              <w:pStyle w:val="12"/>
            </w:pPr>
            <w:r>
              <w:t>≥840元</w:t>
            </w:r>
          </w:p>
        </w:tc>
        <w:tc>
          <w:tcPr>
            <w:tcW w:w="1276" w:type="dxa"/>
            <w:vAlign w:val="center"/>
          </w:tcPr>
          <w:p w14:paraId="0E87478E">
            <w:pPr>
              <w:pStyle w:val="12"/>
            </w:pPr>
            <w:r>
              <w:t>城乡义务教育公用经费管理办法</w:t>
            </w:r>
          </w:p>
        </w:tc>
      </w:tr>
      <w:tr w14:paraId="4200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48256">
            <w:pPr>
              <w:pStyle w:val="13"/>
            </w:pPr>
            <w:r>
              <w:t>效益指标</w:t>
            </w:r>
          </w:p>
        </w:tc>
        <w:tc>
          <w:tcPr>
            <w:tcW w:w="2268" w:type="dxa"/>
            <w:vAlign w:val="center"/>
          </w:tcPr>
          <w:p w14:paraId="04177491">
            <w:pPr>
              <w:pStyle w:val="12"/>
            </w:pPr>
            <w:r>
              <w:t>社会效益指标</w:t>
            </w:r>
          </w:p>
        </w:tc>
        <w:tc>
          <w:tcPr>
            <w:tcW w:w="2835" w:type="dxa"/>
            <w:vAlign w:val="center"/>
          </w:tcPr>
          <w:p w14:paraId="60FB6698">
            <w:pPr>
              <w:pStyle w:val="12"/>
            </w:pPr>
            <w:r>
              <w:t>学校运转得到提高</w:t>
            </w:r>
          </w:p>
        </w:tc>
        <w:tc>
          <w:tcPr>
            <w:tcW w:w="5386" w:type="dxa"/>
            <w:vAlign w:val="center"/>
          </w:tcPr>
          <w:p w14:paraId="08020BCB">
            <w:pPr>
              <w:pStyle w:val="12"/>
            </w:pPr>
            <w:r>
              <w:t>学生受教育年限</w:t>
            </w:r>
          </w:p>
        </w:tc>
        <w:tc>
          <w:tcPr>
            <w:tcW w:w="2268" w:type="dxa"/>
            <w:vAlign w:val="center"/>
          </w:tcPr>
          <w:p w14:paraId="67F323D0">
            <w:pPr>
              <w:pStyle w:val="12"/>
            </w:pPr>
            <w:r>
              <w:t>6年</w:t>
            </w:r>
          </w:p>
        </w:tc>
        <w:tc>
          <w:tcPr>
            <w:tcW w:w="1276" w:type="dxa"/>
            <w:vAlign w:val="center"/>
          </w:tcPr>
          <w:p w14:paraId="2239F02A">
            <w:pPr>
              <w:pStyle w:val="12"/>
            </w:pPr>
            <w:r>
              <w:t>城乡义务教育公用经费管理办法</w:t>
            </w:r>
          </w:p>
        </w:tc>
      </w:tr>
      <w:tr w14:paraId="2CAD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59426">
            <w:pPr>
              <w:pStyle w:val="13"/>
            </w:pPr>
            <w:r>
              <w:t>满意度指标</w:t>
            </w:r>
          </w:p>
        </w:tc>
        <w:tc>
          <w:tcPr>
            <w:tcW w:w="2268" w:type="dxa"/>
            <w:vAlign w:val="center"/>
          </w:tcPr>
          <w:p w14:paraId="3E0537BA">
            <w:pPr>
              <w:pStyle w:val="12"/>
            </w:pPr>
            <w:r>
              <w:t>服务对象满意度指标</w:t>
            </w:r>
          </w:p>
        </w:tc>
        <w:tc>
          <w:tcPr>
            <w:tcW w:w="2835" w:type="dxa"/>
            <w:vAlign w:val="center"/>
          </w:tcPr>
          <w:p w14:paraId="344D0844">
            <w:pPr>
              <w:pStyle w:val="12"/>
            </w:pPr>
            <w:r>
              <w:t>服务对象满意度</w:t>
            </w:r>
          </w:p>
        </w:tc>
        <w:tc>
          <w:tcPr>
            <w:tcW w:w="5386" w:type="dxa"/>
            <w:vAlign w:val="center"/>
          </w:tcPr>
          <w:p w14:paraId="120B8A8B">
            <w:pPr>
              <w:pStyle w:val="12"/>
            </w:pPr>
            <w:r>
              <w:t>学校老师和学生满意度</w:t>
            </w:r>
          </w:p>
        </w:tc>
        <w:tc>
          <w:tcPr>
            <w:tcW w:w="2268" w:type="dxa"/>
            <w:vAlign w:val="center"/>
          </w:tcPr>
          <w:p w14:paraId="4AB84279">
            <w:pPr>
              <w:pStyle w:val="12"/>
            </w:pPr>
            <w:r>
              <w:t>≥95%</w:t>
            </w:r>
          </w:p>
        </w:tc>
        <w:tc>
          <w:tcPr>
            <w:tcW w:w="1276" w:type="dxa"/>
            <w:vAlign w:val="center"/>
          </w:tcPr>
          <w:p w14:paraId="763A782E">
            <w:pPr>
              <w:pStyle w:val="12"/>
            </w:pPr>
            <w:r>
              <w:t>城乡义务教育公用经费管理办法</w:t>
            </w:r>
          </w:p>
        </w:tc>
      </w:tr>
    </w:tbl>
    <w:p w14:paraId="46D074C7">
      <w:pPr>
        <w:sectPr>
          <w:pgSz w:w="16840" w:h="11900" w:orient="landscape"/>
          <w:pgMar w:top="1361" w:right="1020" w:bottom="1134" w:left="1020" w:header="720" w:footer="720" w:gutter="0"/>
          <w:cols w:space="720" w:num="1"/>
        </w:sectPr>
      </w:pPr>
    </w:p>
    <w:p w14:paraId="1C007815">
      <w:pPr>
        <w:spacing w:before="0" w:after="0"/>
        <w:ind w:firstLine="560"/>
        <w:jc w:val="left"/>
        <w:outlineLvl w:val="9"/>
      </w:pPr>
      <w:r>
        <w:rPr>
          <w:rFonts w:ascii="方正仿宋_GBK" w:hAnsi="方正仿宋_GBK" w:eastAsia="方正仿宋_GBK" w:cs="方正仿宋_GBK"/>
          <w:b/>
          <w:color w:val="000000"/>
          <w:sz w:val="28"/>
        </w:rPr>
        <w:t>6、冀财教[2025]121号/中央/2026年义教补助经费/大张庄校区刘通庄小学公用经费绩效目标表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50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59B53">
            <w:pPr>
              <w:pStyle w:val="11"/>
            </w:pPr>
            <w:r>
              <w:t>单位：万元</w:t>
            </w:r>
          </w:p>
        </w:tc>
      </w:tr>
      <w:tr w14:paraId="00104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4456B">
            <w:pPr>
              <w:pStyle w:val="10"/>
            </w:pPr>
            <w:r>
              <w:t>项目编码</w:t>
            </w:r>
          </w:p>
        </w:tc>
        <w:tc>
          <w:tcPr>
            <w:tcW w:w="5103" w:type="dxa"/>
            <w:gridSpan w:val="2"/>
            <w:vAlign w:val="center"/>
          </w:tcPr>
          <w:p w14:paraId="6ACD59C1">
            <w:pPr>
              <w:pStyle w:val="12"/>
            </w:pPr>
            <w:r>
              <w:t>13052526P00000410304Q</w:t>
            </w:r>
          </w:p>
        </w:tc>
        <w:tc>
          <w:tcPr>
            <w:tcW w:w="2835" w:type="dxa"/>
            <w:vAlign w:val="center"/>
          </w:tcPr>
          <w:p w14:paraId="1DB9AB09">
            <w:pPr>
              <w:pStyle w:val="10"/>
            </w:pPr>
            <w:r>
              <w:t>项目名称</w:t>
            </w:r>
          </w:p>
        </w:tc>
        <w:tc>
          <w:tcPr>
            <w:tcW w:w="6095" w:type="dxa"/>
            <w:gridSpan w:val="3"/>
            <w:vAlign w:val="center"/>
          </w:tcPr>
          <w:p w14:paraId="001410CB">
            <w:pPr>
              <w:pStyle w:val="12"/>
            </w:pPr>
            <w:r>
              <w:t>冀财教[2025]121号/中央/2026年义教补助经费/大张庄校区刘通庄小学公用经费</w:t>
            </w:r>
          </w:p>
        </w:tc>
      </w:tr>
      <w:tr w14:paraId="05AFF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56094">
            <w:pPr>
              <w:pStyle w:val="10"/>
            </w:pPr>
            <w:r>
              <w:t>预算规模及资金用途</w:t>
            </w:r>
          </w:p>
        </w:tc>
        <w:tc>
          <w:tcPr>
            <w:tcW w:w="2268" w:type="dxa"/>
            <w:vAlign w:val="center"/>
          </w:tcPr>
          <w:p w14:paraId="276A526E">
            <w:pPr>
              <w:pStyle w:val="10"/>
            </w:pPr>
            <w:r>
              <w:t>预算数</w:t>
            </w:r>
          </w:p>
        </w:tc>
        <w:tc>
          <w:tcPr>
            <w:tcW w:w="2835" w:type="dxa"/>
            <w:vAlign w:val="center"/>
          </w:tcPr>
          <w:p w14:paraId="3FE5800D">
            <w:pPr>
              <w:pStyle w:val="12"/>
            </w:pPr>
            <w:r>
              <w:t>13.96</w:t>
            </w:r>
          </w:p>
        </w:tc>
        <w:tc>
          <w:tcPr>
            <w:tcW w:w="2835" w:type="dxa"/>
            <w:vAlign w:val="center"/>
          </w:tcPr>
          <w:p w14:paraId="4E8120A1">
            <w:pPr>
              <w:pStyle w:val="10"/>
            </w:pPr>
            <w:r>
              <w:t>其中：财政    资金</w:t>
            </w:r>
          </w:p>
        </w:tc>
        <w:tc>
          <w:tcPr>
            <w:tcW w:w="2551" w:type="dxa"/>
            <w:vAlign w:val="center"/>
          </w:tcPr>
          <w:p w14:paraId="3D841675">
            <w:pPr>
              <w:pStyle w:val="12"/>
            </w:pPr>
            <w:r>
              <w:t>13.96</w:t>
            </w:r>
          </w:p>
        </w:tc>
        <w:tc>
          <w:tcPr>
            <w:tcW w:w="2268" w:type="dxa"/>
            <w:vAlign w:val="center"/>
          </w:tcPr>
          <w:p w14:paraId="14377C45">
            <w:pPr>
              <w:pStyle w:val="10"/>
            </w:pPr>
            <w:r>
              <w:t>其他资金</w:t>
            </w:r>
          </w:p>
        </w:tc>
        <w:tc>
          <w:tcPr>
            <w:tcW w:w="1276" w:type="dxa"/>
            <w:vAlign w:val="center"/>
          </w:tcPr>
          <w:p w14:paraId="1A68F97C">
            <w:pPr>
              <w:pStyle w:val="12"/>
            </w:pPr>
            <w:r>
              <w:t xml:space="preserve"> </w:t>
            </w:r>
          </w:p>
        </w:tc>
      </w:tr>
      <w:tr w14:paraId="6DF65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7AED8"/>
        </w:tc>
        <w:tc>
          <w:tcPr>
            <w:tcW w:w="14033" w:type="dxa"/>
            <w:gridSpan w:val="6"/>
            <w:vAlign w:val="center"/>
          </w:tcPr>
          <w:p w14:paraId="1967ED8D">
            <w:pPr>
              <w:pStyle w:val="12"/>
            </w:pPr>
            <w:r>
              <w:t>为保证学校正常运转和改善办学条件。</w:t>
            </w:r>
          </w:p>
        </w:tc>
      </w:tr>
      <w:tr w14:paraId="238BC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8F954">
            <w:pPr>
              <w:pStyle w:val="10"/>
            </w:pPr>
            <w:r>
              <w:t>资金支出计划（%）</w:t>
            </w:r>
          </w:p>
        </w:tc>
        <w:tc>
          <w:tcPr>
            <w:tcW w:w="5103" w:type="dxa"/>
            <w:gridSpan w:val="2"/>
            <w:vAlign w:val="center"/>
          </w:tcPr>
          <w:p w14:paraId="62513434">
            <w:pPr>
              <w:pStyle w:val="10"/>
            </w:pPr>
            <w:r>
              <w:t>3月底</w:t>
            </w:r>
          </w:p>
        </w:tc>
        <w:tc>
          <w:tcPr>
            <w:tcW w:w="2835" w:type="dxa"/>
            <w:vAlign w:val="center"/>
          </w:tcPr>
          <w:p w14:paraId="76D68B74">
            <w:pPr>
              <w:pStyle w:val="10"/>
            </w:pPr>
            <w:r>
              <w:t>6月底</w:t>
            </w:r>
          </w:p>
        </w:tc>
        <w:tc>
          <w:tcPr>
            <w:tcW w:w="2551" w:type="dxa"/>
            <w:vAlign w:val="center"/>
          </w:tcPr>
          <w:p w14:paraId="418F303D">
            <w:pPr>
              <w:pStyle w:val="10"/>
            </w:pPr>
            <w:r>
              <w:t>10月底</w:t>
            </w:r>
          </w:p>
        </w:tc>
        <w:tc>
          <w:tcPr>
            <w:tcW w:w="3544" w:type="dxa"/>
            <w:gridSpan w:val="2"/>
            <w:vAlign w:val="center"/>
          </w:tcPr>
          <w:p w14:paraId="5CEA27D6">
            <w:pPr>
              <w:pStyle w:val="10"/>
            </w:pPr>
            <w:r>
              <w:t>12月底</w:t>
            </w:r>
          </w:p>
        </w:tc>
      </w:tr>
      <w:tr w14:paraId="2C8CC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E8CF4"/>
        </w:tc>
        <w:tc>
          <w:tcPr>
            <w:tcW w:w="5103" w:type="dxa"/>
            <w:gridSpan w:val="2"/>
            <w:vAlign w:val="center"/>
          </w:tcPr>
          <w:p w14:paraId="3CE21D3D">
            <w:pPr>
              <w:pStyle w:val="13"/>
            </w:pPr>
            <w:r>
              <w:t>25%</w:t>
            </w:r>
          </w:p>
        </w:tc>
        <w:tc>
          <w:tcPr>
            <w:tcW w:w="2835" w:type="dxa"/>
            <w:vAlign w:val="center"/>
          </w:tcPr>
          <w:p w14:paraId="20FB50D1">
            <w:pPr>
              <w:pStyle w:val="13"/>
            </w:pPr>
            <w:r>
              <w:t>50%</w:t>
            </w:r>
          </w:p>
        </w:tc>
        <w:tc>
          <w:tcPr>
            <w:tcW w:w="2551" w:type="dxa"/>
            <w:vAlign w:val="center"/>
          </w:tcPr>
          <w:p w14:paraId="0942869D">
            <w:pPr>
              <w:pStyle w:val="13"/>
            </w:pPr>
            <w:r>
              <w:t>75%</w:t>
            </w:r>
          </w:p>
        </w:tc>
        <w:tc>
          <w:tcPr>
            <w:tcW w:w="3544" w:type="dxa"/>
            <w:gridSpan w:val="2"/>
            <w:vAlign w:val="center"/>
          </w:tcPr>
          <w:p w14:paraId="31216D22">
            <w:pPr>
              <w:pStyle w:val="13"/>
            </w:pPr>
            <w:r>
              <w:t>100%</w:t>
            </w:r>
          </w:p>
        </w:tc>
      </w:tr>
      <w:tr w14:paraId="73F92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DABB7">
            <w:pPr>
              <w:pStyle w:val="10"/>
            </w:pPr>
            <w:r>
              <w:t>绩效目标</w:t>
            </w:r>
          </w:p>
        </w:tc>
        <w:tc>
          <w:tcPr>
            <w:tcW w:w="14033" w:type="dxa"/>
            <w:gridSpan w:val="6"/>
            <w:vAlign w:val="center"/>
          </w:tcPr>
          <w:p w14:paraId="4C2CDAB4">
            <w:pPr>
              <w:pStyle w:val="12"/>
            </w:pPr>
            <w:r>
              <w:t>1.按拨款序时进度完成经费拨付和支出。</w:t>
            </w:r>
          </w:p>
          <w:p w14:paraId="14E53D8B">
            <w:pPr>
              <w:pStyle w:val="12"/>
            </w:pPr>
            <w:r>
              <w:t>2.为保证学校正常运转和改善办学条件。</w:t>
            </w:r>
          </w:p>
        </w:tc>
      </w:tr>
    </w:tbl>
    <w:p w14:paraId="73046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F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7E0F6A0">
            <w:pPr>
              <w:pStyle w:val="10"/>
            </w:pPr>
            <w:r>
              <w:t>一级指标</w:t>
            </w:r>
          </w:p>
        </w:tc>
        <w:tc>
          <w:tcPr>
            <w:tcW w:w="2268" w:type="dxa"/>
            <w:vAlign w:val="center"/>
          </w:tcPr>
          <w:p w14:paraId="6A753D26">
            <w:pPr>
              <w:pStyle w:val="10"/>
            </w:pPr>
            <w:r>
              <w:t>二级指标</w:t>
            </w:r>
          </w:p>
        </w:tc>
        <w:tc>
          <w:tcPr>
            <w:tcW w:w="2835" w:type="dxa"/>
            <w:vAlign w:val="center"/>
          </w:tcPr>
          <w:p w14:paraId="46CFFE36">
            <w:pPr>
              <w:pStyle w:val="10"/>
            </w:pPr>
            <w:r>
              <w:t>三级指标</w:t>
            </w:r>
          </w:p>
        </w:tc>
        <w:tc>
          <w:tcPr>
            <w:tcW w:w="5386" w:type="dxa"/>
            <w:vAlign w:val="center"/>
          </w:tcPr>
          <w:p w14:paraId="53B4BC57">
            <w:pPr>
              <w:pStyle w:val="10"/>
            </w:pPr>
            <w:r>
              <w:t>绩效指标描述</w:t>
            </w:r>
          </w:p>
        </w:tc>
        <w:tc>
          <w:tcPr>
            <w:tcW w:w="2268" w:type="dxa"/>
            <w:vAlign w:val="center"/>
          </w:tcPr>
          <w:p w14:paraId="69F2990E">
            <w:pPr>
              <w:pStyle w:val="10"/>
            </w:pPr>
            <w:r>
              <w:t>指标值</w:t>
            </w:r>
          </w:p>
        </w:tc>
        <w:tc>
          <w:tcPr>
            <w:tcW w:w="1276" w:type="dxa"/>
            <w:vAlign w:val="center"/>
          </w:tcPr>
          <w:p w14:paraId="34C272D7">
            <w:pPr>
              <w:pStyle w:val="10"/>
            </w:pPr>
            <w:r>
              <w:t>指标值确定依据</w:t>
            </w:r>
          </w:p>
        </w:tc>
      </w:tr>
      <w:tr w14:paraId="3BD2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170B7">
            <w:pPr>
              <w:pStyle w:val="13"/>
            </w:pPr>
            <w:r>
              <w:t>产出指标</w:t>
            </w:r>
          </w:p>
        </w:tc>
        <w:tc>
          <w:tcPr>
            <w:tcW w:w="2268" w:type="dxa"/>
            <w:vAlign w:val="center"/>
          </w:tcPr>
          <w:p w14:paraId="68CAA96D">
            <w:pPr>
              <w:pStyle w:val="12"/>
            </w:pPr>
            <w:r>
              <w:t>数量指标</w:t>
            </w:r>
          </w:p>
        </w:tc>
        <w:tc>
          <w:tcPr>
            <w:tcW w:w="2835" w:type="dxa"/>
            <w:vAlign w:val="center"/>
          </w:tcPr>
          <w:p w14:paraId="47245B3F">
            <w:pPr>
              <w:pStyle w:val="12"/>
            </w:pPr>
            <w:r>
              <w:t>就读学生数</w:t>
            </w:r>
          </w:p>
        </w:tc>
        <w:tc>
          <w:tcPr>
            <w:tcW w:w="5386" w:type="dxa"/>
            <w:vAlign w:val="center"/>
          </w:tcPr>
          <w:p w14:paraId="57103421">
            <w:pPr>
              <w:pStyle w:val="12"/>
            </w:pPr>
            <w:r>
              <w:t>辐射区域内适龄学生人数</w:t>
            </w:r>
          </w:p>
        </w:tc>
        <w:tc>
          <w:tcPr>
            <w:tcW w:w="2268" w:type="dxa"/>
            <w:vAlign w:val="center"/>
          </w:tcPr>
          <w:p w14:paraId="38505FB2">
            <w:pPr>
              <w:pStyle w:val="12"/>
            </w:pPr>
            <w:r>
              <w:t>209人</w:t>
            </w:r>
          </w:p>
        </w:tc>
        <w:tc>
          <w:tcPr>
            <w:tcW w:w="1276" w:type="dxa"/>
            <w:vAlign w:val="center"/>
          </w:tcPr>
          <w:p w14:paraId="68857323">
            <w:pPr>
              <w:pStyle w:val="12"/>
            </w:pPr>
            <w:r>
              <w:t>城乡义务教育公用经费管理办法</w:t>
            </w:r>
          </w:p>
        </w:tc>
      </w:tr>
      <w:tr w14:paraId="75E8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D4AD8"/>
        </w:tc>
        <w:tc>
          <w:tcPr>
            <w:tcW w:w="2268" w:type="dxa"/>
            <w:vAlign w:val="center"/>
          </w:tcPr>
          <w:p w14:paraId="16EF0799">
            <w:pPr>
              <w:pStyle w:val="12"/>
            </w:pPr>
            <w:r>
              <w:t>质量指标</w:t>
            </w:r>
          </w:p>
        </w:tc>
        <w:tc>
          <w:tcPr>
            <w:tcW w:w="2835" w:type="dxa"/>
            <w:vAlign w:val="center"/>
          </w:tcPr>
          <w:p w14:paraId="6262CC46">
            <w:pPr>
              <w:pStyle w:val="12"/>
            </w:pPr>
            <w:r>
              <w:t>预算执行率</w:t>
            </w:r>
          </w:p>
        </w:tc>
        <w:tc>
          <w:tcPr>
            <w:tcW w:w="5386" w:type="dxa"/>
            <w:vAlign w:val="center"/>
          </w:tcPr>
          <w:p w14:paraId="0CD4F3CA">
            <w:pPr>
              <w:pStyle w:val="12"/>
            </w:pPr>
            <w:r>
              <w:t>预算执行率≥98%</w:t>
            </w:r>
          </w:p>
        </w:tc>
        <w:tc>
          <w:tcPr>
            <w:tcW w:w="2268" w:type="dxa"/>
            <w:vAlign w:val="center"/>
          </w:tcPr>
          <w:p w14:paraId="14DB9181">
            <w:pPr>
              <w:pStyle w:val="12"/>
            </w:pPr>
            <w:r>
              <w:t>≥98%</w:t>
            </w:r>
          </w:p>
        </w:tc>
        <w:tc>
          <w:tcPr>
            <w:tcW w:w="1276" w:type="dxa"/>
            <w:vAlign w:val="center"/>
          </w:tcPr>
          <w:p w14:paraId="7D97A2B2">
            <w:pPr>
              <w:pStyle w:val="12"/>
            </w:pPr>
            <w:r>
              <w:t>城乡义务教育公用经费管理办法</w:t>
            </w:r>
          </w:p>
        </w:tc>
      </w:tr>
      <w:tr w14:paraId="5E79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DB634"/>
        </w:tc>
        <w:tc>
          <w:tcPr>
            <w:tcW w:w="2268" w:type="dxa"/>
            <w:vAlign w:val="center"/>
          </w:tcPr>
          <w:p w14:paraId="18D64B4E">
            <w:pPr>
              <w:pStyle w:val="12"/>
            </w:pPr>
            <w:r>
              <w:t>时效指标</w:t>
            </w:r>
          </w:p>
        </w:tc>
        <w:tc>
          <w:tcPr>
            <w:tcW w:w="2835" w:type="dxa"/>
            <w:vAlign w:val="center"/>
          </w:tcPr>
          <w:p w14:paraId="532272FE">
            <w:pPr>
              <w:pStyle w:val="12"/>
            </w:pPr>
            <w:r>
              <w:t>义教经费支付完成率</w:t>
            </w:r>
          </w:p>
        </w:tc>
        <w:tc>
          <w:tcPr>
            <w:tcW w:w="5386" w:type="dxa"/>
            <w:vAlign w:val="center"/>
          </w:tcPr>
          <w:p w14:paraId="436CDC59">
            <w:pPr>
              <w:pStyle w:val="12"/>
            </w:pPr>
            <w:r>
              <w:t>按照序时进度完成资金支付</w:t>
            </w:r>
          </w:p>
        </w:tc>
        <w:tc>
          <w:tcPr>
            <w:tcW w:w="2268" w:type="dxa"/>
            <w:vAlign w:val="center"/>
          </w:tcPr>
          <w:p w14:paraId="12920A69">
            <w:pPr>
              <w:pStyle w:val="12"/>
            </w:pPr>
            <w:r>
              <w:t>≥98%</w:t>
            </w:r>
          </w:p>
        </w:tc>
        <w:tc>
          <w:tcPr>
            <w:tcW w:w="1276" w:type="dxa"/>
            <w:vAlign w:val="center"/>
          </w:tcPr>
          <w:p w14:paraId="34C53468">
            <w:pPr>
              <w:pStyle w:val="12"/>
            </w:pPr>
            <w:r>
              <w:t>城乡义务教育公用经费管理办法</w:t>
            </w:r>
          </w:p>
        </w:tc>
      </w:tr>
      <w:tr w14:paraId="3C81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E9A55"/>
        </w:tc>
        <w:tc>
          <w:tcPr>
            <w:tcW w:w="2268" w:type="dxa"/>
            <w:vAlign w:val="center"/>
          </w:tcPr>
          <w:p w14:paraId="721C0630">
            <w:pPr>
              <w:pStyle w:val="12"/>
            </w:pPr>
            <w:r>
              <w:t>成本指标</w:t>
            </w:r>
          </w:p>
        </w:tc>
        <w:tc>
          <w:tcPr>
            <w:tcW w:w="2835" w:type="dxa"/>
            <w:vAlign w:val="center"/>
          </w:tcPr>
          <w:p w14:paraId="7631805E">
            <w:pPr>
              <w:pStyle w:val="12"/>
            </w:pPr>
            <w:r>
              <w:t>生均拨款标准</w:t>
            </w:r>
          </w:p>
        </w:tc>
        <w:tc>
          <w:tcPr>
            <w:tcW w:w="5386" w:type="dxa"/>
            <w:vAlign w:val="center"/>
          </w:tcPr>
          <w:p w14:paraId="569D5304">
            <w:pPr>
              <w:pStyle w:val="12"/>
            </w:pPr>
            <w:r>
              <w:t>小学生公用经费生均小学720元，取暖费120元/生/年，住宿生补助300元/生/年，随班就读学生补助7000元/生</w:t>
            </w:r>
          </w:p>
        </w:tc>
        <w:tc>
          <w:tcPr>
            <w:tcW w:w="2268" w:type="dxa"/>
            <w:vAlign w:val="center"/>
          </w:tcPr>
          <w:p w14:paraId="257ACEA1">
            <w:pPr>
              <w:pStyle w:val="12"/>
            </w:pPr>
            <w:r>
              <w:t>≥840元</w:t>
            </w:r>
          </w:p>
        </w:tc>
        <w:tc>
          <w:tcPr>
            <w:tcW w:w="1276" w:type="dxa"/>
            <w:vAlign w:val="center"/>
          </w:tcPr>
          <w:p w14:paraId="6354AA6D">
            <w:pPr>
              <w:pStyle w:val="12"/>
            </w:pPr>
            <w:r>
              <w:t>城乡义务教育公用经费管理办法</w:t>
            </w:r>
          </w:p>
        </w:tc>
      </w:tr>
      <w:tr w14:paraId="523B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E03E5">
            <w:pPr>
              <w:pStyle w:val="13"/>
            </w:pPr>
            <w:r>
              <w:t>效益指标</w:t>
            </w:r>
          </w:p>
        </w:tc>
        <w:tc>
          <w:tcPr>
            <w:tcW w:w="2268" w:type="dxa"/>
            <w:vAlign w:val="center"/>
          </w:tcPr>
          <w:p w14:paraId="1BB8778A">
            <w:pPr>
              <w:pStyle w:val="12"/>
            </w:pPr>
            <w:r>
              <w:t>社会效益指标</w:t>
            </w:r>
          </w:p>
        </w:tc>
        <w:tc>
          <w:tcPr>
            <w:tcW w:w="2835" w:type="dxa"/>
            <w:vAlign w:val="center"/>
          </w:tcPr>
          <w:p w14:paraId="3B50D149">
            <w:pPr>
              <w:pStyle w:val="12"/>
            </w:pPr>
            <w:r>
              <w:t>学校运转得到提高</w:t>
            </w:r>
          </w:p>
        </w:tc>
        <w:tc>
          <w:tcPr>
            <w:tcW w:w="5386" w:type="dxa"/>
            <w:vAlign w:val="center"/>
          </w:tcPr>
          <w:p w14:paraId="4FAFF154">
            <w:pPr>
              <w:pStyle w:val="12"/>
            </w:pPr>
            <w:r>
              <w:t>学生受教育年限</w:t>
            </w:r>
          </w:p>
        </w:tc>
        <w:tc>
          <w:tcPr>
            <w:tcW w:w="2268" w:type="dxa"/>
            <w:vAlign w:val="center"/>
          </w:tcPr>
          <w:p w14:paraId="58A9DB25">
            <w:pPr>
              <w:pStyle w:val="12"/>
            </w:pPr>
            <w:r>
              <w:t>6年</w:t>
            </w:r>
          </w:p>
        </w:tc>
        <w:tc>
          <w:tcPr>
            <w:tcW w:w="1276" w:type="dxa"/>
            <w:vAlign w:val="center"/>
          </w:tcPr>
          <w:p w14:paraId="5918C671">
            <w:pPr>
              <w:pStyle w:val="12"/>
            </w:pPr>
            <w:r>
              <w:t>城乡义务教育公用经费管理办法</w:t>
            </w:r>
          </w:p>
        </w:tc>
      </w:tr>
      <w:tr w14:paraId="60B8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7BF5F">
            <w:pPr>
              <w:pStyle w:val="13"/>
            </w:pPr>
            <w:r>
              <w:t>满意度指标</w:t>
            </w:r>
          </w:p>
        </w:tc>
        <w:tc>
          <w:tcPr>
            <w:tcW w:w="2268" w:type="dxa"/>
            <w:vAlign w:val="center"/>
          </w:tcPr>
          <w:p w14:paraId="260BE520">
            <w:pPr>
              <w:pStyle w:val="12"/>
            </w:pPr>
            <w:r>
              <w:t>服务对象满意度指标</w:t>
            </w:r>
          </w:p>
        </w:tc>
        <w:tc>
          <w:tcPr>
            <w:tcW w:w="2835" w:type="dxa"/>
            <w:vAlign w:val="center"/>
          </w:tcPr>
          <w:p w14:paraId="3043471D">
            <w:pPr>
              <w:pStyle w:val="12"/>
            </w:pPr>
            <w:r>
              <w:t>服务对象满意度</w:t>
            </w:r>
          </w:p>
        </w:tc>
        <w:tc>
          <w:tcPr>
            <w:tcW w:w="5386" w:type="dxa"/>
            <w:vAlign w:val="center"/>
          </w:tcPr>
          <w:p w14:paraId="622FBA71">
            <w:pPr>
              <w:pStyle w:val="12"/>
            </w:pPr>
            <w:r>
              <w:t>学校老师和学生满意度</w:t>
            </w:r>
          </w:p>
        </w:tc>
        <w:tc>
          <w:tcPr>
            <w:tcW w:w="2268" w:type="dxa"/>
            <w:vAlign w:val="center"/>
          </w:tcPr>
          <w:p w14:paraId="526C13D3">
            <w:pPr>
              <w:pStyle w:val="12"/>
            </w:pPr>
            <w:r>
              <w:t>≥95%</w:t>
            </w:r>
          </w:p>
        </w:tc>
        <w:tc>
          <w:tcPr>
            <w:tcW w:w="1276" w:type="dxa"/>
            <w:vAlign w:val="center"/>
          </w:tcPr>
          <w:p w14:paraId="7DA10CEE">
            <w:pPr>
              <w:pStyle w:val="12"/>
            </w:pPr>
            <w:r>
              <w:t>城乡义务教育公用经费管理办法</w:t>
            </w:r>
          </w:p>
        </w:tc>
      </w:tr>
    </w:tbl>
    <w:p w14:paraId="29E4C338">
      <w:pPr>
        <w:sectPr>
          <w:pgSz w:w="16840" w:h="11900" w:orient="landscape"/>
          <w:pgMar w:top="1361" w:right="1020" w:bottom="1134" w:left="1020" w:header="720" w:footer="720" w:gutter="0"/>
          <w:cols w:space="720" w:num="1"/>
        </w:sectPr>
      </w:pPr>
    </w:p>
    <w:p w14:paraId="537F0ED8">
      <w:pPr>
        <w:spacing w:before="0" w:after="0"/>
        <w:ind w:firstLine="560"/>
        <w:jc w:val="left"/>
        <w:outlineLvl w:val="9"/>
      </w:pPr>
      <w:r>
        <w:rPr>
          <w:rFonts w:ascii="方正仿宋_GBK" w:hAnsi="方正仿宋_GBK" w:eastAsia="方正仿宋_GBK" w:cs="方正仿宋_GBK"/>
          <w:b/>
          <w:color w:val="000000"/>
          <w:sz w:val="28"/>
        </w:rPr>
        <w:t>7、冀财教[2025]122号/中央/2026年学前发展资金/大张家庄校区学前教育幼儿资助绩效目标表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43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4EFB0">
            <w:pPr>
              <w:pStyle w:val="11"/>
            </w:pPr>
            <w:r>
              <w:t>单位：万元</w:t>
            </w:r>
          </w:p>
        </w:tc>
      </w:tr>
      <w:tr w14:paraId="230BD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AF470">
            <w:pPr>
              <w:pStyle w:val="10"/>
            </w:pPr>
            <w:r>
              <w:t>项目编码</w:t>
            </w:r>
          </w:p>
        </w:tc>
        <w:tc>
          <w:tcPr>
            <w:tcW w:w="5103" w:type="dxa"/>
            <w:gridSpan w:val="2"/>
            <w:vAlign w:val="center"/>
          </w:tcPr>
          <w:p w14:paraId="6B863424">
            <w:pPr>
              <w:pStyle w:val="12"/>
            </w:pPr>
            <w:r>
              <w:t>13052526P00000210059Y</w:t>
            </w:r>
          </w:p>
        </w:tc>
        <w:tc>
          <w:tcPr>
            <w:tcW w:w="2835" w:type="dxa"/>
            <w:vAlign w:val="center"/>
          </w:tcPr>
          <w:p w14:paraId="2E5FA5C5">
            <w:pPr>
              <w:pStyle w:val="10"/>
            </w:pPr>
            <w:r>
              <w:t>项目名称</w:t>
            </w:r>
          </w:p>
        </w:tc>
        <w:tc>
          <w:tcPr>
            <w:tcW w:w="6095" w:type="dxa"/>
            <w:gridSpan w:val="3"/>
            <w:vAlign w:val="center"/>
          </w:tcPr>
          <w:p w14:paraId="32A1650E">
            <w:pPr>
              <w:pStyle w:val="12"/>
            </w:pPr>
            <w:r>
              <w:t>冀财教[2025]122号/中央/2026年学前发展资金/大张家庄校区学前教育幼儿资助</w:t>
            </w:r>
          </w:p>
        </w:tc>
      </w:tr>
      <w:tr w14:paraId="6B312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E26D3">
            <w:pPr>
              <w:pStyle w:val="10"/>
            </w:pPr>
            <w:r>
              <w:t>预算规模及资金用途</w:t>
            </w:r>
          </w:p>
        </w:tc>
        <w:tc>
          <w:tcPr>
            <w:tcW w:w="2268" w:type="dxa"/>
            <w:vAlign w:val="center"/>
          </w:tcPr>
          <w:p w14:paraId="7FC93001">
            <w:pPr>
              <w:pStyle w:val="10"/>
            </w:pPr>
            <w:r>
              <w:t>预算数</w:t>
            </w:r>
          </w:p>
        </w:tc>
        <w:tc>
          <w:tcPr>
            <w:tcW w:w="2835" w:type="dxa"/>
            <w:vAlign w:val="center"/>
          </w:tcPr>
          <w:p w14:paraId="60A41E1F">
            <w:pPr>
              <w:pStyle w:val="12"/>
            </w:pPr>
            <w:r>
              <w:t>2.94</w:t>
            </w:r>
          </w:p>
        </w:tc>
        <w:tc>
          <w:tcPr>
            <w:tcW w:w="2835" w:type="dxa"/>
            <w:vAlign w:val="center"/>
          </w:tcPr>
          <w:p w14:paraId="465700D1">
            <w:pPr>
              <w:pStyle w:val="10"/>
            </w:pPr>
            <w:r>
              <w:t>其中：财政    资金</w:t>
            </w:r>
          </w:p>
        </w:tc>
        <w:tc>
          <w:tcPr>
            <w:tcW w:w="2551" w:type="dxa"/>
            <w:vAlign w:val="center"/>
          </w:tcPr>
          <w:p w14:paraId="458CD103">
            <w:pPr>
              <w:pStyle w:val="12"/>
            </w:pPr>
            <w:r>
              <w:t>2.94</w:t>
            </w:r>
          </w:p>
        </w:tc>
        <w:tc>
          <w:tcPr>
            <w:tcW w:w="2268" w:type="dxa"/>
            <w:vAlign w:val="center"/>
          </w:tcPr>
          <w:p w14:paraId="62194547">
            <w:pPr>
              <w:pStyle w:val="10"/>
            </w:pPr>
            <w:r>
              <w:t>其他资金</w:t>
            </w:r>
          </w:p>
        </w:tc>
        <w:tc>
          <w:tcPr>
            <w:tcW w:w="1276" w:type="dxa"/>
            <w:vAlign w:val="center"/>
          </w:tcPr>
          <w:p w14:paraId="1BD7DA2A">
            <w:pPr>
              <w:pStyle w:val="12"/>
            </w:pPr>
            <w:r>
              <w:t xml:space="preserve"> </w:t>
            </w:r>
          </w:p>
        </w:tc>
      </w:tr>
      <w:tr w14:paraId="5F1C9A2D">
        <w:tblPrEx>
          <w:tblCellMar>
            <w:top w:w="0" w:type="dxa"/>
            <w:left w:w="108" w:type="dxa"/>
            <w:bottom w:w="0" w:type="dxa"/>
            <w:right w:w="108" w:type="dxa"/>
          </w:tblCellMar>
        </w:tblPrEx>
        <w:trPr>
          <w:trHeight w:val="369" w:hRule="atLeast"/>
          <w:jc w:val="center"/>
        </w:trPr>
        <w:tc>
          <w:tcPr>
            <w:tcW w:w="1276" w:type="dxa"/>
            <w:vMerge w:val="continue"/>
          </w:tcPr>
          <w:p w14:paraId="534C0153"/>
        </w:tc>
        <w:tc>
          <w:tcPr>
            <w:tcW w:w="14033" w:type="dxa"/>
            <w:gridSpan w:val="6"/>
            <w:vAlign w:val="center"/>
          </w:tcPr>
          <w:p w14:paraId="26D0B4F9">
            <w:pPr>
              <w:pStyle w:val="12"/>
            </w:pPr>
            <w:r>
              <w:t>保障落实建档立卡及家庭经济困难儿童资助所需资金，确保建档立卡等家庭经济困难幼儿优先获得资助</w:t>
            </w:r>
          </w:p>
        </w:tc>
      </w:tr>
      <w:tr w14:paraId="04D96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12541">
            <w:pPr>
              <w:pStyle w:val="10"/>
            </w:pPr>
            <w:r>
              <w:t>资金支出计划（%）</w:t>
            </w:r>
          </w:p>
        </w:tc>
        <w:tc>
          <w:tcPr>
            <w:tcW w:w="5103" w:type="dxa"/>
            <w:gridSpan w:val="2"/>
            <w:vAlign w:val="center"/>
          </w:tcPr>
          <w:p w14:paraId="525635BD">
            <w:pPr>
              <w:pStyle w:val="10"/>
            </w:pPr>
            <w:r>
              <w:t>3月底</w:t>
            </w:r>
          </w:p>
        </w:tc>
        <w:tc>
          <w:tcPr>
            <w:tcW w:w="2835" w:type="dxa"/>
            <w:vAlign w:val="center"/>
          </w:tcPr>
          <w:p w14:paraId="63324767">
            <w:pPr>
              <w:pStyle w:val="10"/>
            </w:pPr>
            <w:r>
              <w:t>6月底</w:t>
            </w:r>
          </w:p>
        </w:tc>
        <w:tc>
          <w:tcPr>
            <w:tcW w:w="2551" w:type="dxa"/>
            <w:vAlign w:val="center"/>
          </w:tcPr>
          <w:p w14:paraId="33F29277">
            <w:pPr>
              <w:pStyle w:val="10"/>
            </w:pPr>
            <w:r>
              <w:t>10月底</w:t>
            </w:r>
          </w:p>
        </w:tc>
        <w:tc>
          <w:tcPr>
            <w:tcW w:w="3544" w:type="dxa"/>
            <w:gridSpan w:val="2"/>
            <w:vAlign w:val="center"/>
          </w:tcPr>
          <w:p w14:paraId="5F989674">
            <w:pPr>
              <w:pStyle w:val="10"/>
            </w:pPr>
            <w:r>
              <w:t>12月底</w:t>
            </w:r>
          </w:p>
        </w:tc>
      </w:tr>
      <w:tr w14:paraId="7EB7D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06037"/>
        </w:tc>
        <w:tc>
          <w:tcPr>
            <w:tcW w:w="5103" w:type="dxa"/>
            <w:gridSpan w:val="2"/>
            <w:vAlign w:val="center"/>
          </w:tcPr>
          <w:p w14:paraId="327224C8">
            <w:pPr>
              <w:pStyle w:val="13"/>
            </w:pPr>
            <w:r>
              <w:t xml:space="preserve"> </w:t>
            </w:r>
          </w:p>
        </w:tc>
        <w:tc>
          <w:tcPr>
            <w:tcW w:w="2835" w:type="dxa"/>
            <w:vAlign w:val="center"/>
          </w:tcPr>
          <w:p w14:paraId="23395194">
            <w:pPr>
              <w:pStyle w:val="13"/>
            </w:pPr>
            <w:r>
              <w:t>50%</w:t>
            </w:r>
          </w:p>
        </w:tc>
        <w:tc>
          <w:tcPr>
            <w:tcW w:w="2551" w:type="dxa"/>
            <w:vAlign w:val="center"/>
          </w:tcPr>
          <w:p w14:paraId="4ACF2408">
            <w:pPr>
              <w:pStyle w:val="13"/>
            </w:pPr>
            <w:r>
              <w:t>100%</w:t>
            </w:r>
          </w:p>
        </w:tc>
        <w:tc>
          <w:tcPr>
            <w:tcW w:w="3544" w:type="dxa"/>
            <w:gridSpan w:val="2"/>
            <w:vAlign w:val="center"/>
          </w:tcPr>
          <w:p w14:paraId="7CD01FA9">
            <w:pPr>
              <w:pStyle w:val="13"/>
            </w:pPr>
            <w:r>
              <w:t>100%</w:t>
            </w:r>
          </w:p>
        </w:tc>
      </w:tr>
      <w:tr w14:paraId="7272A18B">
        <w:tblPrEx>
          <w:tblCellMar>
            <w:top w:w="0" w:type="dxa"/>
            <w:left w:w="108" w:type="dxa"/>
            <w:bottom w:w="0" w:type="dxa"/>
            <w:right w:w="108" w:type="dxa"/>
          </w:tblCellMar>
        </w:tblPrEx>
        <w:trPr>
          <w:trHeight w:val="369" w:hRule="atLeast"/>
          <w:jc w:val="center"/>
        </w:trPr>
        <w:tc>
          <w:tcPr>
            <w:tcW w:w="1276" w:type="dxa"/>
            <w:vAlign w:val="center"/>
          </w:tcPr>
          <w:p w14:paraId="48430FEA">
            <w:pPr>
              <w:pStyle w:val="10"/>
            </w:pPr>
            <w:r>
              <w:t>绩效目标</w:t>
            </w:r>
          </w:p>
        </w:tc>
        <w:tc>
          <w:tcPr>
            <w:tcW w:w="14033" w:type="dxa"/>
            <w:gridSpan w:val="6"/>
            <w:vAlign w:val="center"/>
          </w:tcPr>
          <w:p w14:paraId="0A0C1504">
            <w:pPr>
              <w:pStyle w:val="12"/>
            </w:pPr>
            <w:r>
              <w:t>1.保障落实建档立卡及家庭经济困难儿童资助所需资金，确保建档立卡等家庭经济困难幼儿优先获得资助</w:t>
            </w:r>
          </w:p>
          <w:p w14:paraId="33EC1DA6">
            <w:pPr>
              <w:pStyle w:val="12"/>
            </w:pPr>
            <w:r>
              <w:t>2.减轻学前受教育幼儿家庭经济负担，提高学前幼儿入学率。</w:t>
            </w:r>
          </w:p>
        </w:tc>
      </w:tr>
    </w:tbl>
    <w:p w14:paraId="184CE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8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22F4A">
            <w:pPr>
              <w:pStyle w:val="10"/>
            </w:pPr>
            <w:r>
              <w:t>一级指标</w:t>
            </w:r>
          </w:p>
        </w:tc>
        <w:tc>
          <w:tcPr>
            <w:tcW w:w="2268" w:type="dxa"/>
            <w:vAlign w:val="center"/>
          </w:tcPr>
          <w:p w14:paraId="00A55155">
            <w:pPr>
              <w:pStyle w:val="10"/>
            </w:pPr>
            <w:r>
              <w:t>二级指标</w:t>
            </w:r>
          </w:p>
        </w:tc>
        <w:tc>
          <w:tcPr>
            <w:tcW w:w="2835" w:type="dxa"/>
            <w:vAlign w:val="center"/>
          </w:tcPr>
          <w:p w14:paraId="3E6DA05C">
            <w:pPr>
              <w:pStyle w:val="10"/>
            </w:pPr>
            <w:r>
              <w:t>三级指标</w:t>
            </w:r>
          </w:p>
        </w:tc>
        <w:tc>
          <w:tcPr>
            <w:tcW w:w="5386" w:type="dxa"/>
            <w:vAlign w:val="center"/>
          </w:tcPr>
          <w:p w14:paraId="2D3F485A">
            <w:pPr>
              <w:pStyle w:val="10"/>
            </w:pPr>
            <w:r>
              <w:t>绩效指标描述</w:t>
            </w:r>
          </w:p>
        </w:tc>
        <w:tc>
          <w:tcPr>
            <w:tcW w:w="2268" w:type="dxa"/>
            <w:vAlign w:val="center"/>
          </w:tcPr>
          <w:p w14:paraId="45274D8C">
            <w:pPr>
              <w:pStyle w:val="10"/>
            </w:pPr>
            <w:r>
              <w:t>指标值</w:t>
            </w:r>
          </w:p>
        </w:tc>
        <w:tc>
          <w:tcPr>
            <w:tcW w:w="1276" w:type="dxa"/>
            <w:vAlign w:val="center"/>
          </w:tcPr>
          <w:p w14:paraId="3FB2E336">
            <w:pPr>
              <w:pStyle w:val="10"/>
            </w:pPr>
            <w:r>
              <w:t>指标值确定依据</w:t>
            </w:r>
          </w:p>
        </w:tc>
      </w:tr>
      <w:tr w14:paraId="3684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DED0A">
            <w:pPr>
              <w:pStyle w:val="13"/>
            </w:pPr>
            <w:r>
              <w:t>产出指标</w:t>
            </w:r>
          </w:p>
        </w:tc>
        <w:tc>
          <w:tcPr>
            <w:tcW w:w="2268" w:type="dxa"/>
            <w:vAlign w:val="center"/>
          </w:tcPr>
          <w:p w14:paraId="71E73881">
            <w:pPr>
              <w:pStyle w:val="12"/>
            </w:pPr>
            <w:r>
              <w:t>数量指标</w:t>
            </w:r>
          </w:p>
        </w:tc>
        <w:tc>
          <w:tcPr>
            <w:tcW w:w="2835" w:type="dxa"/>
            <w:vAlign w:val="center"/>
          </w:tcPr>
          <w:p w14:paraId="7565EFE4">
            <w:pPr>
              <w:pStyle w:val="12"/>
            </w:pPr>
            <w:r>
              <w:t>幼儿资助比例</w:t>
            </w:r>
          </w:p>
        </w:tc>
        <w:tc>
          <w:tcPr>
            <w:tcW w:w="5386" w:type="dxa"/>
            <w:vAlign w:val="center"/>
          </w:tcPr>
          <w:p w14:paraId="3944B328">
            <w:pPr>
              <w:pStyle w:val="12"/>
            </w:pPr>
            <w:r>
              <w:t>按学前适龄在园儿童实际资助人数测算</w:t>
            </w:r>
          </w:p>
        </w:tc>
        <w:tc>
          <w:tcPr>
            <w:tcW w:w="2268" w:type="dxa"/>
            <w:vAlign w:val="center"/>
          </w:tcPr>
          <w:p w14:paraId="6972511A">
            <w:pPr>
              <w:pStyle w:val="12"/>
            </w:pPr>
            <w:r>
              <w:t>49人</w:t>
            </w:r>
          </w:p>
        </w:tc>
        <w:tc>
          <w:tcPr>
            <w:tcW w:w="1276" w:type="dxa"/>
            <w:vAlign w:val="center"/>
          </w:tcPr>
          <w:p w14:paraId="6754DB57">
            <w:pPr>
              <w:pStyle w:val="12"/>
            </w:pPr>
            <w:r>
              <w:t>发展学前教育资金管理办法</w:t>
            </w:r>
          </w:p>
        </w:tc>
      </w:tr>
      <w:tr w14:paraId="6D99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C3048"/>
        </w:tc>
        <w:tc>
          <w:tcPr>
            <w:tcW w:w="2268" w:type="dxa"/>
            <w:vAlign w:val="center"/>
          </w:tcPr>
          <w:p w14:paraId="5FAD2199">
            <w:pPr>
              <w:pStyle w:val="12"/>
            </w:pPr>
            <w:r>
              <w:t>质量指标</w:t>
            </w:r>
          </w:p>
        </w:tc>
        <w:tc>
          <w:tcPr>
            <w:tcW w:w="2835" w:type="dxa"/>
            <w:vAlign w:val="center"/>
          </w:tcPr>
          <w:p w14:paraId="2D7012C4">
            <w:pPr>
              <w:pStyle w:val="12"/>
            </w:pPr>
            <w:r>
              <w:t>学前教育资助制度落实情况</w:t>
            </w:r>
          </w:p>
        </w:tc>
        <w:tc>
          <w:tcPr>
            <w:tcW w:w="5386" w:type="dxa"/>
            <w:vAlign w:val="center"/>
          </w:tcPr>
          <w:p w14:paraId="0261251D">
            <w:pPr>
              <w:pStyle w:val="12"/>
            </w:pPr>
            <w:r>
              <w:t>符合享受资助条件的学生覆盖率</w:t>
            </w:r>
          </w:p>
        </w:tc>
        <w:tc>
          <w:tcPr>
            <w:tcW w:w="2268" w:type="dxa"/>
            <w:vAlign w:val="center"/>
          </w:tcPr>
          <w:p w14:paraId="4668CA35">
            <w:pPr>
              <w:pStyle w:val="12"/>
            </w:pPr>
            <w:r>
              <w:t>≥98%</w:t>
            </w:r>
          </w:p>
        </w:tc>
        <w:tc>
          <w:tcPr>
            <w:tcW w:w="1276" w:type="dxa"/>
            <w:vAlign w:val="center"/>
          </w:tcPr>
          <w:p w14:paraId="386134E8">
            <w:pPr>
              <w:pStyle w:val="12"/>
            </w:pPr>
            <w:r>
              <w:t>发展学前教育资金管理办法</w:t>
            </w:r>
          </w:p>
        </w:tc>
      </w:tr>
      <w:tr w14:paraId="2BAB4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759EA"/>
        </w:tc>
        <w:tc>
          <w:tcPr>
            <w:tcW w:w="2268" w:type="dxa"/>
            <w:vAlign w:val="center"/>
          </w:tcPr>
          <w:p w14:paraId="7F87795A">
            <w:pPr>
              <w:pStyle w:val="12"/>
            </w:pPr>
            <w:r>
              <w:t>时效指标</w:t>
            </w:r>
          </w:p>
        </w:tc>
        <w:tc>
          <w:tcPr>
            <w:tcW w:w="2835" w:type="dxa"/>
            <w:vAlign w:val="center"/>
          </w:tcPr>
          <w:p w14:paraId="34A32596">
            <w:pPr>
              <w:pStyle w:val="12"/>
            </w:pPr>
            <w:r>
              <w:t>资金拨付率</w:t>
            </w:r>
          </w:p>
        </w:tc>
        <w:tc>
          <w:tcPr>
            <w:tcW w:w="5386" w:type="dxa"/>
            <w:vAlign w:val="center"/>
          </w:tcPr>
          <w:p w14:paraId="423B11A3">
            <w:pPr>
              <w:pStyle w:val="12"/>
            </w:pPr>
            <w:r>
              <w:t>按进度进行资金支付</w:t>
            </w:r>
          </w:p>
        </w:tc>
        <w:tc>
          <w:tcPr>
            <w:tcW w:w="2268" w:type="dxa"/>
            <w:vAlign w:val="center"/>
          </w:tcPr>
          <w:p w14:paraId="22A518C3">
            <w:pPr>
              <w:pStyle w:val="12"/>
            </w:pPr>
            <w:r>
              <w:t>≥98%</w:t>
            </w:r>
          </w:p>
        </w:tc>
        <w:tc>
          <w:tcPr>
            <w:tcW w:w="1276" w:type="dxa"/>
            <w:vAlign w:val="center"/>
          </w:tcPr>
          <w:p w14:paraId="34B6939A">
            <w:pPr>
              <w:pStyle w:val="12"/>
            </w:pPr>
            <w:r>
              <w:t>发展学前教育资金管理办法</w:t>
            </w:r>
          </w:p>
        </w:tc>
      </w:tr>
      <w:tr w14:paraId="1499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808A7"/>
        </w:tc>
        <w:tc>
          <w:tcPr>
            <w:tcW w:w="2268" w:type="dxa"/>
            <w:vAlign w:val="center"/>
          </w:tcPr>
          <w:p w14:paraId="4F2DDB62">
            <w:pPr>
              <w:pStyle w:val="12"/>
            </w:pPr>
            <w:r>
              <w:t>成本指标</w:t>
            </w:r>
          </w:p>
        </w:tc>
        <w:tc>
          <w:tcPr>
            <w:tcW w:w="2835" w:type="dxa"/>
            <w:vAlign w:val="center"/>
          </w:tcPr>
          <w:p w14:paraId="5A0DCDA2">
            <w:pPr>
              <w:pStyle w:val="12"/>
            </w:pPr>
            <w:r>
              <w:t>生均拨款标准</w:t>
            </w:r>
          </w:p>
        </w:tc>
        <w:tc>
          <w:tcPr>
            <w:tcW w:w="5386" w:type="dxa"/>
            <w:vAlign w:val="center"/>
          </w:tcPr>
          <w:p w14:paraId="74C970AD">
            <w:pPr>
              <w:pStyle w:val="12"/>
            </w:pPr>
            <w:r>
              <w:t>按规定标准落实</w:t>
            </w:r>
          </w:p>
        </w:tc>
        <w:tc>
          <w:tcPr>
            <w:tcW w:w="2268" w:type="dxa"/>
            <w:vAlign w:val="center"/>
          </w:tcPr>
          <w:p w14:paraId="26703CB7">
            <w:pPr>
              <w:pStyle w:val="12"/>
            </w:pPr>
            <w:r>
              <w:t>500元/生/半年</w:t>
            </w:r>
          </w:p>
        </w:tc>
        <w:tc>
          <w:tcPr>
            <w:tcW w:w="1276" w:type="dxa"/>
            <w:vAlign w:val="center"/>
          </w:tcPr>
          <w:p w14:paraId="281ADFE7">
            <w:pPr>
              <w:pStyle w:val="12"/>
            </w:pPr>
            <w:r>
              <w:t>发展学前教育资金管理办法</w:t>
            </w:r>
          </w:p>
        </w:tc>
      </w:tr>
      <w:tr w14:paraId="4266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DB4AE">
            <w:pPr>
              <w:pStyle w:val="13"/>
            </w:pPr>
            <w:r>
              <w:t>效益指标</w:t>
            </w:r>
          </w:p>
        </w:tc>
        <w:tc>
          <w:tcPr>
            <w:tcW w:w="2268" w:type="dxa"/>
            <w:vAlign w:val="center"/>
          </w:tcPr>
          <w:p w14:paraId="4AF72CAB">
            <w:pPr>
              <w:pStyle w:val="12"/>
            </w:pPr>
            <w:r>
              <w:t>可持续影响指标</w:t>
            </w:r>
          </w:p>
        </w:tc>
        <w:tc>
          <w:tcPr>
            <w:tcW w:w="2835" w:type="dxa"/>
            <w:vAlign w:val="center"/>
          </w:tcPr>
          <w:p w14:paraId="1BC5C3E6">
            <w:pPr>
              <w:pStyle w:val="12"/>
            </w:pPr>
            <w:r>
              <w:t>教育发展水平明显好转</w:t>
            </w:r>
          </w:p>
        </w:tc>
        <w:tc>
          <w:tcPr>
            <w:tcW w:w="5386" w:type="dxa"/>
            <w:vAlign w:val="center"/>
          </w:tcPr>
          <w:p w14:paraId="71EF4168">
            <w:pPr>
              <w:pStyle w:val="12"/>
            </w:pPr>
            <w:r>
              <w:t>幼儿受教育年限</w:t>
            </w:r>
          </w:p>
        </w:tc>
        <w:tc>
          <w:tcPr>
            <w:tcW w:w="2268" w:type="dxa"/>
            <w:vAlign w:val="center"/>
          </w:tcPr>
          <w:p w14:paraId="7F0A89A3">
            <w:pPr>
              <w:pStyle w:val="12"/>
            </w:pPr>
            <w:r>
              <w:t>3年</w:t>
            </w:r>
          </w:p>
        </w:tc>
        <w:tc>
          <w:tcPr>
            <w:tcW w:w="1276" w:type="dxa"/>
            <w:vAlign w:val="center"/>
          </w:tcPr>
          <w:p w14:paraId="105F0510">
            <w:pPr>
              <w:pStyle w:val="12"/>
            </w:pPr>
            <w:r>
              <w:t>发展学前教育资金管理办法</w:t>
            </w:r>
          </w:p>
        </w:tc>
      </w:tr>
      <w:tr w14:paraId="48E3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C17EF">
            <w:pPr>
              <w:pStyle w:val="13"/>
            </w:pPr>
            <w:r>
              <w:t>满意度指标</w:t>
            </w:r>
          </w:p>
        </w:tc>
        <w:tc>
          <w:tcPr>
            <w:tcW w:w="2268" w:type="dxa"/>
            <w:vAlign w:val="center"/>
          </w:tcPr>
          <w:p w14:paraId="7A9B878C">
            <w:pPr>
              <w:pStyle w:val="12"/>
            </w:pPr>
            <w:r>
              <w:t>服务对象满意度指标</w:t>
            </w:r>
          </w:p>
        </w:tc>
        <w:tc>
          <w:tcPr>
            <w:tcW w:w="2835" w:type="dxa"/>
            <w:vAlign w:val="center"/>
          </w:tcPr>
          <w:p w14:paraId="5BD80FC4">
            <w:pPr>
              <w:pStyle w:val="12"/>
            </w:pPr>
            <w:r>
              <w:t>受益幼儿家长及调查满意度</w:t>
            </w:r>
          </w:p>
        </w:tc>
        <w:tc>
          <w:tcPr>
            <w:tcW w:w="5386" w:type="dxa"/>
            <w:vAlign w:val="center"/>
          </w:tcPr>
          <w:p w14:paraId="4847A533">
            <w:pPr>
              <w:pStyle w:val="12"/>
            </w:pPr>
            <w:r>
              <w:t>学生、教师及家长对学校保教保育工作满意度情况</w:t>
            </w:r>
          </w:p>
        </w:tc>
        <w:tc>
          <w:tcPr>
            <w:tcW w:w="2268" w:type="dxa"/>
            <w:vAlign w:val="center"/>
          </w:tcPr>
          <w:p w14:paraId="6493E40E">
            <w:pPr>
              <w:pStyle w:val="12"/>
            </w:pPr>
            <w:r>
              <w:t>≥95%</w:t>
            </w:r>
          </w:p>
        </w:tc>
        <w:tc>
          <w:tcPr>
            <w:tcW w:w="1276" w:type="dxa"/>
            <w:vAlign w:val="center"/>
          </w:tcPr>
          <w:p w14:paraId="15F8F7E6">
            <w:pPr>
              <w:pStyle w:val="12"/>
            </w:pPr>
            <w:r>
              <w:t>调查问卷</w:t>
            </w:r>
          </w:p>
        </w:tc>
      </w:tr>
    </w:tbl>
    <w:p w14:paraId="53CE8DA0">
      <w:pPr>
        <w:sectPr>
          <w:pgSz w:w="16840" w:h="11900" w:orient="landscape"/>
          <w:pgMar w:top="1361" w:right="1020" w:bottom="1134" w:left="1020" w:header="720" w:footer="720" w:gutter="0"/>
          <w:cols w:space="720" w:num="1"/>
        </w:sectPr>
      </w:pPr>
    </w:p>
    <w:p w14:paraId="23175C0B">
      <w:pPr>
        <w:spacing w:before="0" w:after="0"/>
        <w:ind w:firstLine="560"/>
        <w:jc w:val="left"/>
        <w:outlineLvl w:val="9"/>
      </w:pPr>
      <w:r>
        <w:rPr>
          <w:rFonts w:ascii="方正仿宋_GBK" w:hAnsi="方正仿宋_GBK" w:eastAsia="方正仿宋_GBK" w:cs="方正仿宋_GBK"/>
          <w:b/>
          <w:color w:val="000000"/>
          <w:sz w:val="28"/>
        </w:rPr>
        <w:t>8、冀财教[2025]122号/中央/2026年学前发展资金/大张家庄校区幼儿园免保育教育费补助绩效目标表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E9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D6701">
            <w:pPr>
              <w:pStyle w:val="11"/>
            </w:pPr>
            <w:r>
              <w:t>单位：万元</w:t>
            </w:r>
          </w:p>
        </w:tc>
      </w:tr>
      <w:tr w14:paraId="2F04C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1C783">
            <w:pPr>
              <w:pStyle w:val="10"/>
            </w:pPr>
            <w:r>
              <w:t>项目编码</w:t>
            </w:r>
          </w:p>
        </w:tc>
        <w:tc>
          <w:tcPr>
            <w:tcW w:w="5103" w:type="dxa"/>
            <w:gridSpan w:val="2"/>
            <w:vAlign w:val="center"/>
          </w:tcPr>
          <w:p w14:paraId="06389A3B">
            <w:pPr>
              <w:pStyle w:val="12"/>
            </w:pPr>
            <w:r>
              <w:t>13052526P008769101421</w:t>
            </w:r>
          </w:p>
        </w:tc>
        <w:tc>
          <w:tcPr>
            <w:tcW w:w="2835" w:type="dxa"/>
            <w:vAlign w:val="center"/>
          </w:tcPr>
          <w:p w14:paraId="455BF548">
            <w:pPr>
              <w:pStyle w:val="10"/>
            </w:pPr>
            <w:r>
              <w:t>项目名称</w:t>
            </w:r>
          </w:p>
        </w:tc>
        <w:tc>
          <w:tcPr>
            <w:tcW w:w="6095" w:type="dxa"/>
            <w:gridSpan w:val="3"/>
            <w:vAlign w:val="center"/>
          </w:tcPr>
          <w:p w14:paraId="40E17241">
            <w:pPr>
              <w:pStyle w:val="12"/>
            </w:pPr>
            <w:r>
              <w:t>冀财教[2025]122号/中央/2026年学前发展资金/大张家庄校区幼儿园免保育教育费补助</w:t>
            </w:r>
          </w:p>
        </w:tc>
      </w:tr>
      <w:tr w14:paraId="10C92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A93B4">
            <w:pPr>
              <w:pStyle w:val="10"/>
            </w:pPr>
            <w:r>
              <w:t>预算规模及资金用途</w:t>
            </w:r>
          </w:p>
        </w:tc>
        <w:tc>
          <w:tcPr>
            <w:tcW w:w="2268" w:type="dxa"/>
            <w:vAlign w:val="center"/>
          </w:tcPr>
          <w:p w14:paraId="1BDB9775">
            <w:pPr>
              <w:pStyle w:val="10"/>
            </w:pPr>
            <w:r>
              <w:t>预算数</w:t>
            </w:r>
          </w:p>
        </w:tc>
        <w:tc>
          <w:tcPr>
            <w:tcW w:w="2835" w:type="dxa"/>
            <w:vAlign w:val="center"/>
          </w:tcPr>
          <w:p w14:paraId="74C30193">
            <w:pPr>
              <w:pStyle w:val="12"/>
            </w:pPr>
            <w:r>
              <w:t>5.46</w:t>
            </w:r>
          </w:p>
        </w:tc>
        <w:tc>
          <w:tcPr>
            <w:tcW w:w="2835" w:type="dxa"/>
            <w:vAlign w:val="center"/>
          </w:tcPr>
          <w:p w14:paraId="4424DC01">
            <w:pPr>
              <w:pStyle w:val="10"/>
            </w:pPr>
            <w:r>
              <w:t>其中：财政    资金</w:t>
            </w:r>
          </w:p>
        </w:tc>
        <w:tc>
          <w:tcPr>
            <w:tcW w:w="2551" w:type="dxa"/>
            <w:vAlign w:val="center"/>
          </w:tcPr>
          <w:p w14:paraId="278F1E9C">
            <w:pPr>
              <w:pStyle w:val="12"/>
            </w:pPr>
            <w:r>
              <w:t>5.46</w:t>
            </w:r>
          </w:p>
        </w:tc>
        <w:tc>
          <w:tcPr>
            <w:tcW w:w="2268" w:type="dxa"/>
            <w:vAlign w:val="center"/>
          </w:tcPr>
          <w:p w14:paraId="6B7D4020">
            <w:pPr>
              <w:pStyle w:val="10"/>
            </w:pPr>
            <w:r>
              <w:t>其他资金</w:t>
            </w:r>
          </w:p>
        </w:tc>
        <w:tc>
          <w:tcPr>
            <w:tcW w:w="1276" w:type="dxa"/>
            <w:vAlign w:val="center"/>
          </w:tcPr>
          <w:p w14:paraId="56DDE4F7">
            <w:pPr>
              <w:pStyle w:val="12"/>
            </w:pPr>
            <w:r>
              <w:t xml:space="preserve"> </w:t>
            </w:r>
          </w:p>
        </w:tc>
      </w:tr>
      <w:tr w14:paraId="6C303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C0ABE"/>
        </w:tc>
        <w:tc>
          <w:tcPr>
            <w:tcW w:w="14033" w:type="dxa"/>
            <w:gridSpan w:val="6"/>
            <w:vAlign w:val="center"/>
          </w:tcPr>
          <w:p w14:paraId="265A87AC">
            <w:pPr>
              <w:pStyle w:val="12"/>
            </w:pPr>
            <w:r>
              <w:t>保障幼儿园正常运转，完成教育教学活动和其他日常工作任务等方面的费用支出。</w:t>
            </w:r>
          </w:p>
        </w:tc>
      </w:tr>
      <w:tr w14:paraId="221AD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9BBE0">
            <w:pPr>
              <w:pStyle w:val="10"/>
            </w:pPr>
            <w:r>
              <w:t>资金支出计划（%）</w:t>
            </w:r>
          </w:p>
        </w:tc>
        <w:tc>
          <w:tcPr>
            <w:tcW w:w="5103" w:type="dxa"/>
            <w:gridSpan w:val="2"/>
            <w:vAlign w:val="center"/>
          </w:tcPr>
          <w:p w14:paraId="1E4E0BE6">
            <w:pPr>
              <w:pStyle w:val="10"/>
            </w:pPr>
            <w:r>
              <w:t>3月底</w:t>
            </w:r>
          </w:p>
        </w:tc>
        <w:tc>
          <w:tcPr>
            <w:tcW w:w="2835" w:type="dxa"/>
            <w:vAlign w:val="center"/>
          </w:tcPr>
          <w:p w14:paraId="212E149B">
            <w:pPr>
              <w:pStyle w:val="10"/>
            </w:pPr>
            <w:r>
              <w:t>6月底</w:t>
            </w:r>
          </w:p>
        </w:tc>
        <w:tc>
          <w:tcPr>
            <w:tcW w:w="2551" w:type="dxa"/>
            <w:vAlign w:val="center"/>
          </w:tcPr>
          <w:p w14:paraId="1E18DB47">
            <w:pPr>
              <w:pStyle w:val="10"/>
            </w:pPr>
            <w:r>
              <w:t>10月底</w:t>
            </w:r>
          </w:p>
        </w:tc>
        <w:tc>
          <w:tcPr>
            <w:tcW w:w="3544" w:type="dxa"/>
            <w:gridSpan w:val="2"/>
            <w:vAlign w:val="center"/>
          </w:tcPr>
          <w:p w14:paraId="1E426BDC">
            <w:pPr>
              <w:pStyle w:val="10"/>
            </w:pPr>
            <w:r>
              <w:t>12月底</w:t>
            </w:r>
          </w:p>
        </w:tc>
      </w:tr>
      <w:tr w14:paraId="074D2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ABCD4"/>
        </w:tc>
        <w:tc>
          <w:tcPr>
            <w:tcW w:w="5103" w:type="dxa"/>
            <w:gridSpan w:val="2"/>
            <w:vAlign w:val="center"/>
          </w:tcPr>
          <w:p w14:paraId="6B3182C1">
            <w:pPr>
              <w:pStyle w:val="13"/>
            </w:pPr>
            <w:r>
              <w:t>25%</w:t>
            </w:r>
          </w:p>
        </w:tc>
        <w:tc>
          <w:tcPr>
            <w:tcW w:w="2835" w:type="dxa"/>
            <w:vAlign w:val="center"/>
          </w:tcPr>
          <w:p w14:paraId="65185917">
            <w:pPr>
              <w:pStyle w:val="13"/>
            </w:pPr>
            <w:r>
              <w:t>50%</w:t>
            </w:r>
          </w:p>
        </w:tc>
        <w:tc>
          <w:tcPr>
            <w:tcW w:w="2551" w:type="dxa"/>
            <w:vAlign w:val="center"/>
          </w:tcPr>
          <w:p w14:paraId="2467294B">
            <w:pPr>
              <w:pStyle w:val="13"/>
            </w:pPr>
            <w:r>
              <w:t>75%</w:t>
            </w:r>
          </w:p>
        </w:tc>
        <w:tc>
          <w:tcPr>
            <w:tcW w:w="3544" w:type="dxa"/>
            <w:gridSpan w:val="2"/>
            <w:vAlign w:val="center"/>
          </w:tcPr>
          <w:p w14:paraId="33347CC2">
            <w:pPr>
              <w:pStyle w:val="13"/>
            </w:pPr>
            <w:r>
              <w:t>100%</w:t>
            </w:r>
          </w:p>
        </w:tc>
      </w:tr>
      <w:tr w14:paraId="2F3A0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23A13">
            <w:pPr>
              <w:pStyle w:val="10"/>
            </w:pPr>
            <w:r>
              <w:t>绩效目标</w:t>
            </w:r>
          </w:p>
        </w:tc>
        <w:tc>
          <w:tcPr>
            <w:tcW w:w="14033" w:type="dxa"/>
            <w:gridSpan w:val="6"/>
            <w:vAlign w:val="center"/>
          </w:tcPr>
          <w:p w14:paraId="7ED210A6">
            <w:pPr>
              <w:pStyle w:val="12"/>
            </w:pPr>
            <w:r>
              <w:t>1.保障幼儿园正常运转，完成教育教学活动和其他日常工作任务等方面的费用支出。</w:t>
            </w:r>
          </w:p>
        </w:tc>
      </w:tr>
    </w:tbl>
    <w:p w14:paraId="6A39D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A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4C4A9">
            <w:pPr>
              <w:pStyle w:val="10"/>
            </w:pPr>
            <w:r>
              <w:t>一级指标</w:t>
            </w:r>
          </w:p>
        </w:tc>
        <w:tc>
          <w:tcPr>
            <w:tcW w:w="2268" w:type="dxa"/>
            <w:vAlign w:val="center"/>
          </w:tcPr>
          <w:p w14:paraId="6DE9403E">
            <w:pPr>
              <w:pStyle w:val="10"/>
            </w:pPr>
            <w:r>
              <w:t>二级指标</w:t>
            </w:r>
          </w:p>
        </w:tc>
        <w:tc>
          <w:tcPr>
            <w:tcW w:w="2835" w:type="dxa"/>
            <w:vAlign w:val="center"/>
          </w:tcPr>
          <w:p w14:paraId="580369AD">
            <w:pPr>
              <w:pStyle w:val="10"/>
            </w:pPr>
            <w:r>
              <w:t>三级指标</w:t>
            </w:r>
          </w:p>
        </w:tc>
        <w:tc>
          <w:tcPr>
            <w:tcW w:w="5386" w:type="dxa"/>
            <w:vAlign w:val="center"/>
          </w:tcPr>
          <w:p w14:paraId="655BE699">
            <w:pPr>
              <w:pStyle w:val="10"/>
            </w:pPr>
            <w:r>
              <w:t>绩效指标描述</w:t>
            </w:r>
          </w:p>
        </w:tc>
        <w:tc>
          <w:tcPr>
            <w:tcW w:w="2268" w:type="dxa"/>
            <w:vAlign w:val="center"/>
          </w:tcPr>
          <w:p w14:paraId="09CB9394">
            <w:pPr>
              <w:pStyle w:val="10"/>
            </w:pPr>
            <w:r>
              <w:t>指标值</w:t>
            </w:r>
          </w:p>
        </w:tc>
        <w:tc>
          <w:tcPr>
            <w:tcW w:w="1276" w:type="dxa"/>
            <w:vAlign w:val="center"/>
          </w:tcPr>
          <w:p w14:paraId="00F69132">
            <w:pPr>
              <w:pStyle w:val="10"/>
            </w:pPr>
            <w:r>
              <w:t>指标值确定依据</w:t>
            </w:r>
          </w:p>
        </w:tc>
      </w:tr>
      <w:tr w14:paraId="1FB5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10AC4">
            <w:pPr>
              <w:pStyle w:val="13"/>
            </w:pPr>
            <w:r>
              <w:t>产出指标</w:t>
            </w:r>
          </w:p>
        </w:tc>
        <w:tc>
          <w:tcPr>
            <w:tcW w:w="2268" w:type="dxa"/>
            <w:vAlign w:val="center"/>
          </w:tcPr>
          <w:p w14:paraId="56FEB748">
            <w:pPr>
              <w:pStyle w:val="12"/>
            </w:pPr>
            <w:r>
              <w:t>数量指标</w:t>
            </w:r>
          </w:p>
        </w:tc>
        <w:tc>
          <w:tcPr>
            <w:tcW w:w="2835" w:type="dxa"/>
            <w:vAlign w:val="center"/>
          </w:tcPr>
          <w:p w14:paraId="0E6EEB71">
            <w:pPr>
              <w:pStyle w:val="12"/>
            </w:pPr>
            <w:r>
              <w:t>适龄在园生</w:t>
            </w:r>
          </w:p>
        </w:tc>
        <w:tc>
          <w:tcPr>
            <w:tcW w:w="5386" w:type="dxa"/>
            <w:vAlign w:val="center"/>
          </w:tcPr>
          <w:p w14:paraId="03A8A932">
            <w:pPr>
              <w:pStyle w:val="12"/>
            </w:pPr>
            <w:r>
              <w:t>适龄在园学生人数</w:t>
            </w:r>
          </w:p>
        </w:tc>
        <w:tc>
          <w:tcPr>
            <w:tcW w:w="2268" w:type="dxa"/>
            <w:vAlign w:val="center"/>
          </w:tcPr>
          <w:p w14:paraId="6CE5BF7F">
            <w:pPr>
              <w:pStyle w:val="12"/>
            </w:pPr>
            <w:r>
              <w:t>244人</w:t>
            </w:r>
          </w:p>
        </w:tc>
        <w:tc>
          <w:tcPr>
            <w:tcW w:w="1276" w:type="dxa"/>
            <w:vAlign w:val="center"/>
          </w:tcPr>
          <w:p w14:paraId="65D43ED5">
            <w:pPr>
              <w:pStyle w:val="12"/>
            </w:pPr>
            <w:r>
              <w:t>支持学前教育发展管理方法</w:t>
            </w:r>
          </w:p>
        </w:tc>
      </w:tr>
      <w:tr w14:paraId="5A0C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A2A58"/>
        </w:tc>
        <w:tc>
          <w:tcPr>
            <w:tcW w:w="2268" w:type="dxa"/>
            <w:vAlign w:val="center"/>
          </w:tcPr>
          <w:p w14:paraId="50D108D1">
            <w:pPr>
              <w:pStyle w:val="12"/>
            </w:pPr>
            <w:r>
              <w:t>质量指标</w:t>
            </w:r>
          </w:p>
        </w:tc>
        <w:tc>
          <w:tcPr>
            <w:tcW w:w="2835" w:type="dxa"/>
            <w:vAlign w:val="center"/>
          </w:tcPr>
          <w:p w14:paraId="7912932C">
            <w:pPr>
              <w:pStyle w:val="12"/>
            </w:pPr>
            <w:r>
              <w:t>预算控制率</w:t>
            </w:r>
          </w:p>
        </w:tc>
        <w:tc>
          <w:tcPr>
            <w:tcW w:w="5386" w:type="dxa"/>
            <w:vAlign w:val="center"/>
          </w:tcPr>
          <w:p w14:paraId="5B7FE660">
            <w:pPr>
              <w:pStyle w:val="12"/>
            </w:pPr>
            <w:r>
              <w:t>预算执行</w:t>
            </w:r>
          </w:p>
        </w:tc>
        <w:tc>
          <w:tcPr>
            <w:tcW w:w="2268" w:type="dxa"/>
            <w:vAlign w:val="center"/>
          </w:tcPr>
          <w:p w14:paraId="030767A3">
            <w:pPr>
              <w:pStyle w:val="12"/>
            </w:pPr>
            <w:r>
              <w:t>≥98%</w:t>
            </w:r>
          </w:p>
        </w:tc>
        <w:tc>
          <w:tcPr>
            <w:tcW w:w="1276" w:type="dxa"/>
            <w:vAlign w:val="center"/>
          </w:tcPr>
          <w:p w14:paraId="13360E3B">
            <w:pPr>
              <w:pStyle w:val="12"/>
            </w:pPr>
            <w:r>
              <w:t>支持学前教育发展管理方法</w:t>
            </w:r>
          </w:p>
        </w:tc>
      </w:tr>
      <w:tr w14:paraId="3974D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CF6EC"/>
        </w:tc>
        <w:tc>
          <w:tcPr>
            <w:tcW w:w="2268" w:type="dxa"/>
            <w:vAlign w:val="center"/>
          </w:tcPr>
          <w:p w14:paraId="031C2D9B">
            <w:pPr>
              <w:pStyle w:val="12"/>
            </w:pPr>
            <w:r>
              <w:t>时效指标</w:t>
            </w:r>
          </w:p>
        </w:tc>
        <w:tc>
          <w:tcPr>
            <w:tcW w:w="2835" w:type="dxa"/>
            <w:vAlign w:val="center"/>
          </w:tcPr>
          <w:p w14:paraId="7F6A54EC">
            <w:pPr>
              <w:pStyle w:val="12"/>
            </w:pPr>
            <w:r>
              <w:t>资金支付率</w:t>
            </w:r>
          </w:p>
        </w:tc>
        <w:tc>
          <w:tcPr>
            <w:tcW w:w="5386" w:type="dxa"/>
            <w:vAlign w:val="center"/>
          </w:tcPr>
          <w:p w14:paraId="0F0B04DC">
            <w:pPr>
              <w:pStyle w:val="12"/>
            </w:pPr>
            <w:r>
              <w:t>按照序时进度完成资金支付</w:t>
            </w:r>
          </w:p>
        </w:tc>
        <w:tc>
          <w:tcPr>
            <w:tcW w:w="2268" w:type="dxa"/>
            <w:vAlign w:val="center"/>
          </w:tcPr>
          <w:p w14:paraId="06426296">
            <w:pPr>
              <w:pStyle w:val="12"/>
            </w:pPr>
            <w:r>
              <w:t>≥98%</w:t>
            </w:r>
          </w:p>
        </w:tc>
        <w:tc>
          <w:tcPr>
            <w:tcW w:w="1276" w:type="dxa"/>
            <w:vAlign w:val="center"/>
          </w:tcPr>
          <w:p w14:paraId="2B0CA3AE">
            <w:pPr>
              <w:pStyle w:val="12"/>
            </w:pPr>
            <w:r>
              <w:t>支持学前教育发展管理方法</w:t>
            </w:r>
          </w:p>
        </w:tc>
      </w:tr>
      <w:tr w14:paraId="3AC0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A1200"/>
        </w:tc>
        <w:tc>
          <w:tcPr>
            <w:tcW w:w="2268" w:type="dxa"/>
            <w:vAlign w:val="center"/>
          </w:tcPr>
          <w:p w14:paraId="7DE3F710">
            <w:pPr>
              <w:pStyle w:val="12"/>
            </w:pPr>
            <w:r>
              <w:t>成本指标</w:t>
            </w:r>
          </w:p>
        </w:tc>
        <w:tc>
          <w:tcPr>
            <w:tcW w:w="2835" w:type="dxa"/>
            <w:vAlign w:val="center"/>
          </w:tcPr>
          <w:p w14:paraId="7B220E5D">
            <w:pPr>
              <w:pStyle w:val="12"/>
            </w:pPr>
            <w:r>
              <w:t>生均拨款标准</w:t>
            </w:r>
          </w:p>
        </w:tc>
        <w:tc>
          <w:tcPr>
            <w:tcW w:w="5386" w:type="dxa"/>
            <w:vAlign w:val="center"/>
          </w:tcPr>
          <w:p w14:paraId="1E6561DF">
            <w:pPr>
              <w:pStyle w:val="12"/>
            </w:pPr>
            <w:r>
              <w:t>免保育教育费补助</w:t>
            </w:r>
          </w:p>
        </w:tc>
        <w:tc>
          <w:tcPr>
            <w:tcW w:w="2268" w:type="dxa"/>
            <w:vAlign w:val="center"/>
          </w:tcPr>
          <w:p w14:paraId="69428CF0">
            <w:pPr>
              <w:pStyle w:val="12"/>
            </w:pPr>
            <w:r>
              <w:t>54610元</w:t>
            </w:r>
          </w:p>
        </w:tc>
        <w:tc>
          <w:tcPr>
            <w:tcW w:w="1276" w:type="dxa"/>
            <w:vAlign w:val="center"/>
          </w:tcPr>
          <w:p w14:paraId="4801567F">
            <w:pPr>
              <w:pStyle w:val="12"/>
            </w:pPr>
            <w:r>
              <w:t>支持学前教育发展管理方法</w:t>
            </w:r>
          </w:p>
        </w:tc>
      </w:tr>
      <w:tr w14:paraId="5941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74C4E">
            <w:pPr>
              <w:pStyle w:val="13"/>
            </w:pPr>
            <w:r>
              <w:t>效益指标</w:t>
            </w:r>
          </w:p>
        </w:tc>
        <w:tc>
          <w:tcPr>
            <w:tcW w:w="2268" w:type="dxa"/>
            <w:vAlign w:val="center"/>
          </w:tcPr>
          <w:p w14:paraId="2BC69B6E">
            <w:pPr>
              <w:pStyle w:val="12"/>
            </w:pPr>
            <w:r>
              <w:t>可持续影响指标</w:t>
            </w:r>
          </w:p>
        </w:tc>
        <w:tc>
          <w:tcPr>
            <w:tcW w:w="2835" w:type="dxa"/>
            <w:vAlign w:val="center"/>
          </w:tcPr>
          <w:p w14:paraId="7DDC3B88">
            <w:pPr>
              <w:pStyle w:val="12"/>
            </w:pPr>
            <w:r>
              <w:t>学校运转得到提升</w:t>
            </w:r>
          </w:p>
        </w:tc>
        <w:tc>
          <w:tcPr>
            <w:tcW w:w="5386" w:type="dxa"/>
            <w:vAlign w:val="center"/>
          </w:tcPr>
          <w:p w14:paraId="2D07265A">
            <w:pPr>
              <w:pStyle w:val="12"/>
            </w:pPr>
            <w:r>
              <w:t>幼儿受教育年限</w:t>
            </w:r>
          </w:p>
        </w:tc>
        <w:tc>
          <w:tcPr>
            <w:tcW w:w="2268" w:type="dxa"/>
            <w:vAlign w:val="center"/>
          </w:tcPr>
          <w:p w14:paraId="4F1CEC45">
            <w:pPr>
              <w:pStyle w:val="12"/>
            </w:pPr>
            <w:r>
              <w:t>3年</w:t>
            </w:r>
          </w:p>
        </w:tc>
        <w:tc>
          <w:tcPr>
            <w:tcW w:w="1276" w:type="dxa"/>
            <w:vAlign w:val="center"/>
          </w:tcPr>
          <w:p w14:paraId="5895C0C4">
            <w:pPr>
              <w:pStyle w:val="12"/>
            </w:pPr>
            <w:r>
              <w:t>支持学前教育发展管理方法</w:t>
            </w:r>
          </w:p>
        </w:tc>
      </w:tr>
      <w:tr w14:paraId="5F9E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535AB">
            <w:pPr>
              <w:pStyle w:val="13"/>
            </w:pPr>
            <w:r>
              <w:t>满意度指标</w:t>
            </w:r>
          </w:p>
        </w:tc>
        <w:tc>
          <w:tcPr>
            <w:tcW w:w="2268" w:type="dxa"/>
            <w:vAlign w:val="center"/>
          </w:tcPr>
          <w:p w14:paraId="62E4AF45">
            <w:pPr>
              <w:pStyle w:val="12"/>
            </w:pPr>
            <w:r>
              <w:t>服务对象满意度指标</w:t>
            </w:r>
          </w:p>
        </w:tc>
        <w:tc>
          <w:tcPr>
            <w:tcW w:w="2835" w:type="dxa"/>
            <w:vAlign w:val="center"/>
          </w:tcPr>
          <w:p w14:paraId="0A0CF3D5">
            <w:pPr>
              <w:pStyle w:val="12"/>
            </w:pPr>
            <w:r>
              <w:t>受益学生家长及调查满意度</w:t>
            </w:r>
          </w:p>
        </w:tc>
        <w:tc>
          <w:tcPr>
            <w:tcW w:w="5386" w:type="dxa"/>
            <w:vAlign w:val="center"/>
          </w:tcPr>
          <w:p w14:paraId="19AB9335">
            <w:pPr>
              <w:pStyle w:val="12"/>
            </w:pPr>
            <w:r>
              <w:t>学生、教师及家长对学校保教保育工作满意度情况</w:t>
            </w:r>
          </w:p>
        </w:tc>
        <w:tc>
          <w:tcPr>
            <w:tcW w:w="2268" w:type="dxa"/>
            <w:vAlign w:val="center"/>
          </w:tcPr>
          <w:p w14:paraId="7FC4682D">
            <w:pPr>
              <w:pStyle w:val="12"/>
            </w:pPr>
            <w:r>
              <w:t>≥95%</w:t>
            </w:r>
          </w:p>
        </w:tc>
        <w:tc>
          <w:tcPr>
            <w:tcW w:w="1276" w:type="dxa"/>
            <w:vAlign w:val="center"/>
          </w:tcPr>
          <w:p w14:paraId="792D4A75">
            <w:pPr>
              <w:pStyle w:val="12"/>
            </w:pPr>
            <w:r>
              <w:t>支持学前教育发展管理方法</w:t>
            </w:r>
          </w:p>
        </w:tc>
      </w:tr>
    </w:tbl>
    <w:p w14:paraId="01051702">
      <w:pPr>
        <w:sectPr>
          <w:pgSz w:w="16840" w:h="11900" w:orient="landscape"/>
          <w:pgMar w:top="1361" w:right="1020" w:bottom="1134" w:left="1020" w:header="720" w:footer="720" w:gutter="0"/>
          <w:cols w:space="720" w:num="1"/>
        </w:sectPr>
      </w:pPr>
    </w:p>
    <w:p w14:paraId="2DA0CA2F">
      <w:pPr>
        <w:spacing w:before="0" w:after="0"/>
        <w:ind w:firstLine="560"/>
        <w:jc w:val="left"/>
        <w:outlineLvl w:val="9"/>
      </w:pPr>
      <w:r>
        <w:rPr>
          <w:rFonts w:ascii="方正仿宋_GBK" w:hAnsi="方正仿宋_GBK" w:eastAsia="方正仿宋_GBK" w:cs="方正仿宋_GBK"/>
          <w:b/>
          <w:color w:val="000000"/>
          <w:sz w:val="28"/>
        </w:rPr>
        <w:t>9、冀财教[2025]122号/中央/支持学前教育发展/大曹庄幼儿园围墙粉刷及地面修补等维修改造</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A3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6A4A9">
            <w:pPr>
              <w:pStyle w:val="11"/>
            </w:pPr>
            <w:r>
              <w:t>单位：万元</w:t>
            </w:r>
          </w:p>
        </w:tc>
      </w:tr>
      <w:tr w14:paraId="5DA16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A7B27">
            <w:pPr>
              <w:pStyle w:val="10"/>
            </w:pPr>
            <w:r>
              <w:t>项目编码</w:t>
            </w:r>
          </w:p>
        </w:tc>
        <w:tc>
          <w:tcPr>
            <w:tcW w:w="5103" w:type="dxa"/>
            <w:gridSpan w:val="2"/>
            <w:vAlign w:val="center"/>
          </w:tcPr>
          <w:p w14:paraId="31B40A63">
            <w:pPr>
              <w:pStyle w:val="12"/>
            </w:pPr>
            <w:r>
              <w:t>13052526P00876910200K</w:t>
            </w:r>
          </w:p>
        </w:tc>
        <w:tc>
          <w:tcPr>
            <w:tcW w:w="2835" w:type="dxa"/>
            <w:vAlign w:val="center"/>
          </w:tcPr>
          <w:p w14:paraId="51D0DBF7">
            <w:pPr>
              <w:pStyle w:val="10"/>
            </w:pPr>
            <w:r>
              <w:t>项目名称</w:t>
            </w:r>
          </w:p>
        </w:tc>
        <w:tc>
          <w:tcPr>
            <w:tcW w:w="6095" w:type="dxa"/>
            <w:gridSpan w:val="3"/>
            <w:vAlign w:val="center"/>
          </w:tcPr>
          <w:p w14:paraId="65805B25">
            <w:pPr>
              <w:pStyle w:val="12"/>
            </w:pPr>
            <w:r>
              <w:t>冀财教[2025]122号/中央/支持学前教育发展/大曹庄幼儿园围墙粉刷及地面修补等维修改造</w:t>
            </w:r>
            <w:r>
              <w:tab/>
            </w:r>
            <w:r>
              <w:tab/>
            </w:r>
          </w:p>
        </w:tc>
      </w:tr>
      <w:tr w14:paraId="4902C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81AD4">
            <w:pPr>
              <w:pStyle w:val="10"/>
            </w:pPr>
            <w:r>
              <w:t>预算规模及资金用途</w:t>
            </w:r>
          </w:p>
        </w:tc>
        <w:tc>
          <w:tcPr>
            <w:tcW w:w="2268" w:type="dxa"/>
            <w:vAlign w:val="center"/>
          </w:tcPr>
          <w:p w14:paraId="4A2BF141">
            <w:pPr>
              <w:pStyle w:val="10"/>
            </w:pPr>
            <w:r>
              <w:t>预算数</w:t>
            </w:r>
          </w:p>
        </w:tc>
        <w:tc>
          <w:tcPr>
            <w:tcW w:w="2835" w:type="dxa"/>
            <w:vAlign w:val="center"/>
          </w:tcPr>
          <w:p w14:paraId="07D8EDD9">
            <w:pPr>
              <w:pStyle w:val="12"/>
            </w:pPr>
            <w:r>
              <w:t>20.00</w:t>
            </w:r>
          </w:p>
        </w:tc>
        <w:tc>
          <w:tcPr>
            <w:tcW w:w="2835" w:type="dxa"/>
            <w:vAlign w:val="center"/>
          </w:tcPr>
          <w:p w14:paraId="74DCC22C">
            <w:pPr>
              <w:pStyle w:val="10"/>
            </w:pPr>
            <w:r>
              <w:t>其中：财政    资金</w:t>
            </w:r>
          </w:p>
        </w:tc>
        <w:tc>
          <w:tcPr>
            <w:tcW w:w="2551" w:type="dxa"/>
            <w:vAlign w:val="center"/>
          </w:tcPr>
          <w:p w14:paraId="287487C6">
            <w:pPr>
              <w:pStyle w:val="12"/>
            </w:pPr>
            <w:r>
              <w:t>20.00</w:t>
            </w:r>
          </w:p>
        </w:tc>
        <w:tc>
          <w:tcPr>
            <w:tcW w:w="2268" w:type="dxa"/>
            <w:vAlign w:val="center"/>
          </w:tcPr>
          <w:p w14:paraId="6B6B7432">
            <w:pPr>
              <w:pStyle w:val="10"/>
            </w:pPr>
            <w:r>
              <w:t>其他资金</w:t>
            </w:r>
          </w:p>
        </w:tc>
        <w:tc>
          <w:tcPr>
            <w:tcW w:w="1276" w:type="dxa"/>
            <w:vAlign w:val="center"/>
          </w:tcPr>
          <w:p w14:paraId="4DA4509E">
            <w:pPr>
              <w:pStyle w:val="12"/>
            </w:pPr>
            <w:r>
              <w:t xml:space="preserve"> </w:t>
            </w:r>
          </w:p>
        </w:tc>
      </w:tr>
      <w:tr w14:paraId="4EDEB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62DE0"/>
        </w:tc>
        <w:tc>
          <w:tcPr>
            <w:tcW w:w="14033" w:type="dxa"/>
            <w:gridSpan w:val="6"/>
            <w:vAlign w:val="center"/>
          </w:tcPr>
          <w:p w14:paraId="13E8CF3D">
            <w:pPr>
              <w:pStyle w:val="12"/>
            </w:pPr>
            <w:r>
              <w:t>用于大曹庄幼儿园实验楼防水破损面、阳台硬化、更换排水口等</w:t>
            </w:r>
          </w:p>
        </w:tc>
      </w:tr>
      <w:tr w14:paraId="2DF1B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FF09F">
            <w:pPr>
              <w:pStyle w:val="10"/>
            </w:pPr>
            <w:r>
              <w:t>资金支出计划（%）</w:t>
            </w:r>
          </w:p>
        </w:tc>
        <w:tc>
          <w:tcPr>
            <w:tcW w:w="5103" w:type="dxa"/>
            <w:gridSpan w:val="2"/>
            <w:vAlign w:val="center"/>
          </w:tcPr>
          <w:p w14:paraId="002F8F90">
            <w:pPr>
              <w:pStyle w:val="10"/>
            </w:pPr>
            <w:r>
              <w:t>3月底</w:t>
            </w:r>
          </w:p>
        </w:tc>
        <w:tc>
          <w:tcPr>
            <w:tcW w:w="2835" w:type="dxa"/>
            <w:vAlign w:val="center"/>
          </w:tcPr>
          <w:p w14:paraId="75D0112E">
            <w:pPr>
              <w:pStyle w:val="10"/>
            </w:pPr>
            <w:r>
              <w:t>6月底</w:t>
            </w:r>
          </w:p>
        </w:tc>
        <w:tc>
          <w:tcPr>
            <w:tcW w:w="2551" w:type="dxa"/>
            <w:vAlign w:val="center"/>
          </w:tcPr>
          <w:p w14:paraId="6D08962A">
            <w:pPr>
              <w:pStyle w:val="10"/>
            </w:pPr>
            <w:r>
              <w:t>10月底</w:t>
            </w:r>
          </w:p>
        </w:tc>
        <w:tc>
          <w:tcPr>
            <w:tcW w:w="3544" w:type="dxa"/>
            <w:gridSpan w:val="2"/>
            <w:vAlign w:val="center"/>
          </w:tcPr>
          <w:p w14:paraId="25481DA3">
            <w:pPr>
              <w:pStyle w:val="10"/>
            </w:pPr>
            <w:r>
              <w:t>12月底</w:t>
            </w:r>
          </w:p>
        </w:tc>
      </w:tr>
      <w:tr w14:paraId="7508E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714EF"/>
        </w:tc>
        <w:tc>
          <w:tcPr>
            <w:tcW w:w="5103" w:type="dxa"/>
            <w:gridSpan w:val="2"/>
            <w:vAlign w:val="center"/>
          </w:tcPr>
          <w:p w14:paraId="1A628007">
            <w:pPr>
              <w:pStyle w:val="13"/>
            </w:pPr>
            <w:r>
              <w:t xml:space="preserve"> </w:t>
            </w:r>
          </w:p>
        </w:tc>
        <w:tc>
          <w:tcPr>
            <w:tcW w:w="2835" w:type="dxa"/>
            <w:vAlign w:val="center"/>
          </w:tcPr>
          <w:p w14:paraId="0CEF0A6A">
            <w:pPr>
              <w:pStyle w:val="13"/>
            </w:pPr>
            <w:r>
              <w:t xml:space="preserve"> </w:t>
            </w:r>
          </w:p>
        </w:tc>
        <w:tc>
          <w:tcPr>
            <w:tcW w:w="2551" w:type="dxa"/>
            <w:vAlign w:val="center"/>
          </w:tcPr>
          <w:p w14:paraId="652670E1">
            <w:pPr>
              <w:pStyle w:val="13"/>
            </w:pPr>
            <w:r>
              <w:t>100%</w:t>
            </w:r>
          </w:p>
        </w:tc>
        <w:tc>
          <w:tcPr>
            <w:tcW w:w="3544" w:type="dxa"/>
            <w:gridSpan w:val="2"/>
            <w:vAlign w:val="center"/>
          </w:tcPr>
          <w:p w14:paraId="3E852924">
            <w:pPr>
              <w:pStyle w:val="13"/>
            </w:pPr>
            <w:r>
              <w:t>100%</w:t>
            </w:r>
          </w:p>
        </w:tc>
      </w:tr>
      <w:tr w14:paraId="53697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7E8A6">
            <w:pPr>
              <w:pStyle w:val="10"/>
            </w:pPr>
            <w:r>
              <w:t>绩效目标</w:t>
            </w:r>
          </w:p>
        </w:tc>
        <w:tc>
          <w:tcPr>
            <w:tcW w:w="14033" w:type="dxa"/>
            <w:gridSpan w:val="6"/>
            <w:vAlign w:val="center"/>
          </w:tcPr>
          <w:p w14:paraId="2B8F6116">
            <w:pPr>
              <w:pStyle w:val="12"/>
            </w:pPr>
            <w:r>
              <w:t>1.大曹庄幼儿园实验楼防水破损面、阳台硬化、更换排水口等按期完成</w:t>
            </w:r>
          </w:p>
        </w:tc>
      </w:tr>
    </w:tbl>
    <w:p w14:paraId="240A1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5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95D5C">
            <w:pPr>
              <w:pStyle w:val="10"/>
            </w:pPr>
            <w:r>
              <w:t>一级指标</w:t>
            </w:r>
          </w:p>
        </w:tc>
        <w:tc>
          <w:tcPr>
            <w:tcW w:w="2268" w:type="dxa"/>
            <w:vAlign w:val="center"/>
          </w:tcPr>
          <w:p w14:paraId="1673E8B0">
            <w:pPr>
              <w:pStyle w:val="10"/>
            </w:pPr>
            <w:r>
              <w:t>二级指标</w:t>
            </w:r>
          </w:p>
        </w:tc>
        <w:tc>
          <w:tcPr>
            <w:tcW w:w="2835" w:type="dxa"/>
            <w:vAlign w:val="center"/>
          </w:tcPr>
          <w:p w14:paraId="7BCE4D61">
            <w:pPr>
              <w:pStyle w:val="10"/>
            </w:pPr>
            <w:r>
              <w:t>三级指标</w:t>
            </w:r>
          </w:p>
        </w:tc>
        <w:tc>
          <w:tcPr>
            <w:tcW w:w="5386" w:type="dxa"/>
            <w:vAlign w:val="center"/>
          </w:tcPr>
          <w:p w14:paraId="3682294E">
            <w:pPr>
              <w:pStyle w:val="10"/>
            </w:pPr>
            <w:r>
              <w:t>绩效指标描述</w:t>
            </w:r>
          </w:p>
        </w:tc>
        <w:tc>
          <w:tcPr>
            <w:tcW w:w="2268" w:type="dxa"/>
            <w:vAlign w:val="center"/>
          </w:tcPr>
          <w:p w14:paraId="6E195BAD">
            <w:pPr>
              <w:pStyle w:val="10"/>
            </w:pPr>
            <w:r>
              <w:t>指标值</w:t>
            </w:r>
          </w:p>
        </w:tc>
        <w:tc>
          <w:tcPr>
            <w:tcW w:w="1276" w:type="dxa"/>
            <w:vAlign w:val="center"/>
          </w:tcPr>
          <w:p w14:paraId="51966370">
            <w:pPr>
              <w:pStyle w:val="10"/>
            </w:pPr>
            <w:r>
              <w:t>指标值确定依据</w:t>
            </w:r>
          </w:p>
        </w:tc>
      </w:tr>
      <w:tr w14:paraId="232D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5B509">
            <w:pPr>
              <w:pStyle w:val="13"/>
            </w:pPr>
            <w:r>
              <w:t>产出指标</w:t>
            </w:r>
          </w:p>
        </w:tc>
        <w:tc>
          <w:tcPr>
            <w:tcW w:w="2268" w:type="dxa"/>
            <w:vAlign w:val="center"/>
          </w:tcPr>
          <w:p w14:paraId="74080285">
            <w:pPr>
              <w:pStyle w:val="12"/>
            </w:pPr>
            <w:r>
              <w:t>数量指标</w:t>
            </w:r>
          </w:p>
        </w:tc>
        <w:tc>
          <w:tcPr>
            <w:tcW w:w="2835" w:type="dxa"/>
            <w:vAlign w:val="center"/>
          </w:tcPr>
          <w:p w14:paraId="07100A02">
            <w:pPr>
              <w:pStyle w:val="12"/>
            </w:pPr>
            <w:r>
              <w:t>大曹庄幼儿园维修改造</w:t>
            </w:r>
          </w:p>
        </w:tc>
        <w:tc>
          <w:tcPr>
            <w:tcW w:w="5386" w:type="dxa"/>
            <w:vAlign w:val="center"/>
          </w:tcPr>
          <w:p w14:paraId="24857CFD">
            <w:pPr>
              <w:pStyle w:val="12"/>
            </w:pPr>
            <w:r>
              <w:t>实验楼防水破损面、阳台硬化、更换排水口等</w:t>
            </w:r>
          </w:p>
        </w:tc>
        <w:tc>
          <w:tcPr>
            <w:tcW w:w="2268" w:type="dxa"/>
            <w:vAlign w:val="center"/>
          </w:tcPr>
          <w:p w14:paraId="0174CF03">
            <w:pPr>
              <w:pStyle w:val="12"/>
            </w:pPr>
            <w:r>
              <w:t>1项</w:t>
            </w:r>
          </w:p>
        </w:tc>
        <w:tc>
          <w:tcPr>
            <w:tcW w:w="1276" w:type="dxa"/>
            <w:vAlign w:val="center"/>
          </w:tcPr>
          <w:p w14:paraId="5B14B615">
            <w:pPr>
              <w:pStyle w:val="12"/>
            </w:pPr>
            <w:r>
              <w:t>项目绩效指标</w:t>
            </w:r>
          </w:p>
        </w:tc>
      </w:tr>
      <w:tr w14:paraId="325C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A26EC"/>
        </w:tc>
        <w:tc>
          <w:tcPr>
            <w:tcW w:w="2268" w:type="dxa"/>
            <w:vAlign w:val="center"/>
          </w:tcPr>
          <w:p w14:paraId="207E894A">
            <w:pPr>
              <w:pStyle w:val="12"/>
            </w:pPr>
            <w:r>
              <w:t>质量指标</w:t>
            </w:r>
          </w:p>
        </w:tc>
        <w:tc>
          <w:tcPr>
            <w:tcW w:w="2835" w:type="dxa"/>
            <w:vAlign w:val="center"/>
          </w:tcPr>
          <w:p w14:paraId="10290CC2">
            <w:pPr>
              <w:pStyle w:val="12"/>
            </w:pPr>
            <w:r>
              <w:t>符合验收标准</w:t>
            </w:r>
          </w:p>
        </w:tc>
        <w:tc>
          <w:tcPr>
            <w:tcW w:w="5386" w:type="dxa"/>
            <w:vAlign w:val="center"/>
          </w:tcPr>
          <w:p w14:paraId="6E4974D1">
            <w:pPr>
              <w:pStyle w:val="12"/>
            </w:pPr>
            <w:r>
              <w:t>项目竣工验收合格率</w:t>
            </w:r>
          </w:p>
        </w:tc>
        <w:tc>
          <w:tcPr>
            <w:tcW w:w="2268" w:type="dxa"/>
            <w:vAlign w:val="center"/>
          </w:tcPr>
          <w:p w14:paraId="5082AEC1">
            <w:pPr>
              <w:pStyle w:val="12"/>
            </w:pPr>
            <w:r>
              <w:t>≥98%</w:t>
            </w:r>
          </w:p>
        </w:tc>
        <w:tc>
          <w:tcPr>
            <w:tcW w:w="1276" w:type="dxa"/>
            <w:vAlign w:val="center"/>
          </w:tcPr>
          <w:p w14:paraId="74E89C62">
            <w:pPr>
              <w:pStyle w:val="12"/>
            </w:pPr>
            <w:r>
              <w:t>项目绩效指标</w:t>
            </w:r>
          </w:p>
        </w:tc>
      </w:tr>
      <w:tr w14:paraId="1AC5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8DFAF"/>
        </w:tc>
        <w:tc>
          <w:tcPr>
            <w:tcW w:w="2268" w:type="dxa"/>
            <w:vAlign w:val="center"/>
          </w:tcPr>
          <w:p w14:paraId="20B8EE67">
            <w:pPr>
              <w:pStyle w:val="12"/>
            </w:pPr>
            <w:r>
              <w:t>时效指标</w:t>
            </w:r>
          </w:p>
        </w:tc>
        <w:tc>
          <w:tcPr>
            <w:tcW w:w="2835" w:type="dxa"/>
            <w:vAlign w:val="center"/>
          </w:tcPr>
          <w:p w14:paraId="1982829A">
            <w:pPr>
              <w:pStyle w:val="12"/>
            </w:pPr>
            <w:r>
              <w:t>项目时间</w:t>
            </w:r>
          </w:p>
        </w:tc>
        <w:tc>
          <w:tcPr>
            <w:tcW w:w="5386" w:type="dxa"/>
            <w:vAlign w:val="center"/>
          </w:tcPr>
          <w:p w14:paraId="16FF09D6">
            <w:pPr>
              <w:pStyle w:val="12"/>
            </w:pPr>
            <w:r>
              <w:t>项目按期完成率</w:t>
            </w:r>
          </w:p>
        </w:tc>
        <w:tc>
          <w:tcPr>
            <w:tcW w:w="2268" w:type="dxa"/>
            <w:vAlign w:val="center"/>
          </w:tcPr>
          <w:p w14:paraId="21B7A321">
            <w:pPr>
              <w:pStyle w:val="12"/>
            </w:pPr>
            <w:r>
              <w:t>≥98%</w:t>
            </w:r>
          </w:p>
        </w:tc>
        <w:tc>
          <w:tcPr>
            <w:tcW w:w="1276" w:type="dxa"/>
            <w:vAlign w:val="center"/>
          </w:tcPr>
          <w:p w14:paraId="6627AD13">
            <w:pPr>
              <w:pStyle w:val="12"/>
            </w:pPr>
            <w:r>
              <w:t>项目绩效指标</w:t>
            </w:r>
          </w:p>
        </w:tc>
      </w:tr>
      <w:tr w14:paraId="03D0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7621"/>
        </w:tc>
        <w:tc>
          <w:tcPr>
            <w:tcW w:w="2268" w:type="dxa"/>
            <w:vAlign w:val="center"/>
          </w:tcPr>
          <w:p w14:paraId="593C27D5">
            <w:pPr>
              <w:pStyle w:val="12"/>
            </w:pPr>
            <w:r>
              <w:t>成本指标</w:t>
            </w:r>
          </w:p>
        </w:tc>
        <w:tc>
          <w:tcPr>
            <w:tcW w:w="2835" w:type="dxa"/>
            <w:vAlign w:val="center"/>
          </w:tcPr>
          <w:p w14:paraId="1BDFCAE8">
            <w:pPr>
              <w:pStyle w:val="12"/>
            </w:pPr>
            <w:r>
              <w:t>项目成本</w:t>
            </w:r>
          </w:p>
        </w:tc>
        <w:tc>
          <w:tcPr>
            <w:tcW w:w="5386" w:type="dxa"/>
            <w:vAlign w:val="center"/>
          </w:tcPr>
          <w:p w14:paraId="53333BF5">
            <w:pPr>
              <w:pStyle w:val="12"/>
            </w:pPr>
            <w:r>
              <w:t>保证</w:t>
            </w:r>
            <w:r>
              <w:rPr>
                <w:rFonts w:hint="eastAsia"/>
                <w:lang w:eastAsia="zh-CN"/>
              </w:rPr>
              <w:t>验收</w:t>
            </w:r>
            <w:r>
              <w:t>合格情况下降低成本</w:t>
            </w:r>
          </w:p>
        </w:tc>
        <w:tc>
          <w:tcPr>
            <w:tcW w:w="2268" w:type="dxa"/>
            <w:vAlign w:val="center"/>
          </w:tcPr>
          <w:p w14:paraId="084ED61E">
            <w:pPr>
              <w:pStyle w:val="12"/>
            </w:pPr>
            <w:r>
              <w:t>20万元</w:t>
            </w:r>
          </w:p>
        </w:tc>
        <w:tc>
          <w:tcPr>
            <w:tcW w:w="1276" w:type="dxa"/>
            <w:vAlign w:val="center"/>
          </w:tcPr>
          <w:p w14:paraId="709F5840">
            <w:pPr>
              <w:pStyle w:val="12"/>
            </w:pPr>
            <w:r>
              <w:t>项目绩效指标</w:t>
            </w:r>
          </w:p>
        </w:tc>
      </w:tr>
      <w:tr w14:paraId="4324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765EE">
            <w:pPr>
              <w:pStyle w:val="13"/>
            </w:pPr>
            <w:r>
              <w:t>效益指标</w:t>
            </w:r>
          </w:p>
        </w:tc>
        <w:tc>
          <w:tcPr>
            <w:tcW w:w="2268" w:type="dxa"/>
            <w:vAlign w:val="center"/>
          </w:tcPr>
          <w:p w14:paraId="70F2BB82">
            <w:pPr>
              <w:pStyle w:val="12"/>
            </w:pPr>
            <w:r>
              <w:t>可持续影响指标</w:t>
            </w:r>
          </w:p>
        </w:tc>
        <w:tc>
          <w:tcPr>
            <w:tcW w:w="2835" w:type="dxa"/>
            <w:vAlign w:val="center"/>
          </w:tcPr>
          <w:p w14:paraId="110A6660">
            <w:pPr>
              <w:pStyle w:val="12"/>
            </w:pPr>
            <w:r>
              <w:t>学生受教育年限</w:t>
            </w:r>
          </w:p>
        </w:tc>
        <w:tc>
          <w:tcPr>
            <w:tcW w:w="5386" w:type="dxa"/>
            <w:vAlign w:val="center"/>
          </w:tcPr>
          <w:p w14:paraId="2D47F1DD">
            <w:pPr>
              <w:pStyle w:val="12"/>
            </w:pPr>
            <w:r>
              <w:t>学生受教育年限</w:t>
            </w:r>
          </w:p>
        </w:tc>
        <w:tc>
          <w:tcPr>
            <w:tcW w:w="2268" w:type="dxa"/>
            <w:vAlign w:val="center"/>
          </w:tcPr>
          <w:p w14:paraId="4CA84D4E">
            <w:pPr>
              <w:pStyle w:val="12"/>
            </w:pPr>
            <w:r>
              <w:t>3年</w:t>
            </w:r>
          </w:p>
        </w:tc>
        <w:tc>
          <w:tcPr>
            <w:tcW w:w="1276" w:type="dxa"/>
            <w:vAlign w:val="center"/>
          </w:tcPr>
          <w:p w14:paraId="055114B8">
            <w:pPr>
              <w:pStyle w:val="12"/>
            </w:pPr>
            <w:r>
              <w:t>项目绩效指标</w:t>
            </w:r>
          </w:p>
        </w:tc>
      </w:tr>
      <w:tr w14:paraId="7446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2E3B6">
            <w:pPr>
              <w:pStyle w:val="13"/>
            </w:pPr>
            <w:r>
              <w:t>满意度指标</w:t>
            </w:r>
          </w:p>
        </w:tc>
        <w:tc>
          <w:tcPr>
            <w:tcW w:w="2268" w:type="dxa"/>
            <w:vAlign w:val="center"/>
          </w:tcPr>
          <w:p w14:paraId="7A0CC53C">
            <w:pPr>
              <w:pStyle w:val="12"/>
            </w:pPr>
            <w:r>
              <w:t>服务对象满意度指标</w:t>
            </w:r>
          </w:p>
        </w:tc>
        <w:tc>
          <w:tcPr>
            <w:tcW w:w="2835" w:type="dxa"/>
            <w:vAlign w:val="center"/>
          </w:tcPr>
          <w:p w14:paraId="062A35AB">
            <w:pPr>
              <w:pStyle w:val="12"/>
            </w:pPr>
            <w:r>
              <w:t>教师、学生满意率</w:t>
            </w:r>
          </w:p>
        </w:tc>
        <w:tc>
          <w:tcPr>
            <w:tcW w:w="5386" w:type="dxa"/>
            <w:vAlign w:val="center"/>
          </w:tcPr>
          <w:p w14:paraId="256C1C77">
            <w:pPr>
              <w:pStyle w:val="12"/>
            </w:pPr>
            <w:r>
              <w:t>教师、学生对学校的满意率</w:t>
            </w:r>
          </w:p>
        </w:tc>
        <w:tc>
          <w:tcPr>
            <w:tcW w:w="2268" w:type="dxa"/>
            <w:vAlign w:val="center"/>
          </w:tcPr>
          <w:p w14:paraId="1B1019E7">
            <w:pPr>
              <w:pStyle w:val="12"/>
            </w:pPr>
            <w:r>
              <w:t>≥98%</w:t>
            </w:r>
          </w:p>
        </w:tc>
        <w:tc>
          <w:tcPr>
            <w:tcW w:w="1276" w:type="dxa"/>
            <w:vAlign w:val="center"/>
          </w:tcPr>
          <w:p w14:paraId="64FFD613">
            <w:pPr>
              <w:pStyle w:val="12"/>
            </w:pPr>
            <w:r>
              <w:t>问卷调查</w:t>
            </w:r>
          </w:p>
        </w:tc>
      </w:tr>
    </w:tbl>
    <w:p w14:paraId="2572B5BA">
      <w:pPr>
        <w:sectPr>
          <w:pgSz w:w="16840" w:h="11900" w:orient="landscape"/>
          <w:pgMar w:top="1361" w:right="1020" w:bottom="1134" w:left="1020" w:header="720" w:footer="720" w:gutter="0"/>
          <w:cols w:space="720" w:num="1"/>
        </w:sectPr>
      </w:pPr>
    </w:p>
    <w:p w14:paraId="064124F2">
      <w:pPr>
        <w:spacing w:before="0" w:after="0"/>
        <w:ind w:firstLine="560"/>
        <w:jc w:val="left"/>
        <w:outlineLvl w:val="9"/>
      </w:pPr>
      <w:r>
        <w:rPr>
          <w:rFonts w:ascii="方正仿宋_GBK" w:hAnsi="方正仿宋_GBK" w:eastAsia="方正仿宋_GBK" w:cs="方正仿宋_GBK"/>
          <w:b/>
          <w:color w:val="000000"/>
          <w:sz w:val="28"/>
        </w:rPr>
        <w:t>10、冀财教[2025]122号/中央/支持学前教育发展/张庄校区幼儿园设备购置绩效目标表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25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A0091">
            <w:pPr>
              <w:pStyle w:val="11"/>
            </w:pPr>
            <w:r>
              <w:t>单位：万元</w:t>
            </w:r>
          </w:p>
        </w:tc>
      </w:tr>
      <w:tr w14:paraId="13CB0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FB980">
            <w:pPr>
              <w:pStyle w:val="10"/>
            </w:pPr>
            <w:r>
              <w:t>项目编码</w:t>
            </w:r>
          </w:p>
        </w:tc>
        <w:tc>
          <w:tcPr>
            <w:tcW w:w="5103" w:type="dxa"/>
            <w:gridSpan w:val="2"/>
            <w:vAlign w:val="center"/>
          </w:tcPr>
          <w:p w14:paraId="172BBA95">
            <w:pPr>
              <w:pStyle w:val="12"/>
            </w:pPr>
            <w:r>
              <w:t>13052526P00876910185B</w:t>
            </w:r>
          </w:p>
        </w:tc>
        <w:tc>
          <w:tcPr>
            <w:tcW w:w="2835" w:type="dxa"/>
            <w:vAlign w:val="center"/>
          </w:tcPr>
          <w:p w14:paraId="3064328B">
            <w:pPr>
              <w:pStyle w:val="10"/>
            </w:pPr>
            <w:r>
              <w:t>项目名称</w:t>
            </w:r>
          </w:p>
        </w:tc>
        <w:tc>
          <w:tcPr>
            <w:tcW w:w="6095" w:type="dxa"/>
            <w:gridSpan w:val="3"/>
            <w:vAlign w:val="center"/>
          </w:tcPr>
          <w:p w14:paraId="33669B43">
            <w:pPr>
              <w:pStyle w:val="12"/>
            </w:pPr>
            <w:r>
              <w:t>冀财教[2025]122号/中央/支持学前教育发展/张庄校区幼儿园设备购置</w:t>
            </w:r>
          </w:p>
        </w:tc>
      </w:tr>
      <w:tr w14:paraId="3F77F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DF036">
            <w:pPr>
              <w:pStyle w:val="10"/>
            </w:pPr>
            <w:r>
              <w:t>预算规模及资金用途</w:t>
            </w:r>
          </w:p>
        </w:tc>
        <w:tc>
          <w:tcPr>
            <w:tcW w:w="2268" w:type="dxa"/>
            <w:vAlign w:val="center"/>
          </w:tcPr>
          <w:p w14:paraId="12991EA0">
            <w:pPr>
              <w:pStyle w:val="10"/>
            </w:pPr>
            <w:r>
              <w:t>预算数</w:t>
            </w:r>
          </w:p>
        </w:tc>
        <w:tc>
          <w:tcPr>
            <w:tcW w:w="2835" w:type="dxa"/>
            <w:vAlign w:val="center"/>
          </w:tcPr>
          <w:p w14:paraId="330B6939">
            <w:pPr>
              <w:pStyle w:val="12"/>
            </w:pPr>
            <w:r>
              <w:t>28.82</w:t>
            </w:r>
          </w:p>
        </w:tc>
        <w:tc>
          <w:tcPr>
            <w:tcW w:w="2835" w:type="dxa"/>
            <w:vAlign w:val="center"/>
          </w:tcPr>
          <w:p w14:paraId="38C76668">
            <w:pPr>
              <w:pStyle w:val="10"/>
            </w:pPr>
            <w:r>
              <w:t>其中：财政    资金</w:t>
            </w:r>
          </w:p>
        </w:tc>
        <w:tc>
          <w:tcPr>
            <w:tcW w:w="2551" w:type="dxa"/>
            <w:vAlign w:val="center"/>
          </w:tcPr>
          <w:p w14:paraId="35E19DC5">
            <w:pPr>
              <w:pStyle w:val="12"/>
            </w:pPr>
            <w:r>
              <w:t>28.82</w:t>
            </w:r>
          </w:p>
        </w:tc>
        <w:tc>
          <w:tcPr>
            <w:tcW w:w="2268" w:type="dxa"/>
            <w:vAlign w:val="center"/>
          </w:tcPr>
          <w:p w14:paraId="624D92BD">
            <w:pPr>
              <w:pStyle w:val="10"/>
            </w:pPr>
            <w:r>
              <w:t>其他资金</w:t>
            </w:r>
          </w:p>
        </w:tc>
        <w:tc>
          <w:tcPr>
            <w:tcW w:w="1276" w:type="dxa"/>
            <w:vAlign w:val="center"/>
          </w:tcPr>
          <w:p w14:paraId="44E09202">
            <w:pPr>
              <w:pStyle w:val="12"/>
            </w:pPr>
            <w:r>
              <w:t xml:space="preserve"> </w:t>
            </w:r>
          </w:p>
        </w:tc>
      </w:tr>
      <w:tr w14:paraId="01999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BD91C"/>
        </w:tc>
        <w:tc>
          <w:tcPr>
            <w:tcW w:w="14033" w:type="dxa"/>
            <w:gridSpan w:val="6"/>
            <w:vAlign w:val="center"/>
          </w:tcPr>
          <w:p w14:paraId="5A0CDBAB">
            <w:pPr>
              <w:pStyle w:val="12"/>
            </w:pPr>
            <w:r>
              <w:t>保障幼儿园正常运转，完成教育教学活动和其他日常工作任务等方面的费用支出。</w:t>
            </w:r>
          </w:p>
        </w:tc>
      </w:tr>
      <w:tr w14:paraId="3EAAF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32284">
            <w:pPr>
              <w:pStyle w:val="10"/>
            </w:pPr>
            <w:r>
              <w:t>资金支出计划（%）</w:t>
            </w:r>
          </w:p>
        </w:tc>
        <w:tc>
          <w:tcPr>
            <w:tcW w:w="5103" w:type="dxa"/>
            <w:gridSpan w:val="2"/>
            <w:vAlign w:val="center"/>
          </w:tcPr>
          <w:p w14:paraId="043DEA53">
            <w:pPr>
              <w:pStyle w:val="10"/>
            </w:pPr>
            <w:r>
              <w:t>3月底</w:t>
            </w:r>
          </w:p>
        </w:tc>
        <w:tc>
          <w:tcPr>
            <w:tcW w:w="2835" w:type="dxa"/>
            <w:vAlign w:val="center"/>
          </w:tcPr>
          <w:p w14:paraId="55FC2435">
            <w:pPr>
              <w:pStyle w:val="10"/>
            </w:pPr>
            <w:r>
              <w:t>6月底</w:t>
            </w:r>
          </w:p>
        </w:tc>
        <w:tc>
          <w:tcPr>
            <w:tcW w:w="2551" w:type="dxa"/>
            <w:vAlign w:val="center"/>
          </w:tcPr>
          <w:p w14:paraId="5FA38212">
            <w:pPr>
              <w:pStyle w:val="10"/>
            </w:pPr>
            <w:r>
              <w:t>10月底</w:t>
            </w:r>
          </w:p>
        </w:tc>
        <w:tc>
          <w:tcPr>
            <w:tcW w:w="3544" w:type="dxa"/>
            <w:gridSpan w:val="2"/>
            <w:vAlign w:val="center"/>
          </w:tcPr>
          <w:p w14:paraId="14118E65">
            <w:pPr>
              <w:pStyle w:val="10"/>
            </w:pPr>
            <w:r>
              <w:t>12月底</w:t>
            </w:r>
          </w:p>
        </w:tc>
      </w:tr>
      <w:tr w14:paraId="4D5AD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E2DB2"/>
        </w:tc>
        <w:tc>
          <w:tcPr>
            <w:tcW w:w="5103" w:type="dxa"/>
            <w:gridSpan w:val="2"/>
            <w:vAlign w:val="center"/>
          </w:tcPr>
          <w:p w14:paraId="2166638C">
            <w:pPr>
              <w:pStyle w:val="13"/>
            </w:pPr>
            <w:r>
              <w:t xml:space="preserve"> </w:t>
            </w:r>
          </w:p>
        </w:tc>
        <w:tc>
          <w:tcPr>
            <w:tcW w:w="2835" w:type="dxa"/>
            <w:vAlign w:val="center"/>
          </w:tcPr>
          <w:p w14:paraId="167DC3A7">
            <w:pPr>
              <w:pStyle w:val="13"/>
            </w:pPr>
            <w:r>
              <w:t xml:space="preserve"> </w:t>
            </w:r>
          </w:p>
        </w:tc>
        <w:tc>
          <w:tcPr>
            <w:tcW w:w="2551" w:type="dxa"/>
            <w:vAlign w:val="center"/>
          </w:tcPr>
          <w:p w14:paraId="05429F88">
            <w:pPr>
              <w:pStyle w:val="13"/>
            </w:pPr>
            <w:r>
              <w:t>100%</w:t>
            </w:r>
          </w:p>
        </w:tc>
        <w:tc>
          <w:tcPr>
            <w:tcW w:w="3544" w:type="dxa"/>
            <w:gridSpan w:val="2"/>
            <w:vAlign w:val="center"/>
          </w:tcPr>
          <w:p w14:paraId="3C3DE4ED">
            <w:pPr>
              <w:pStyle w:val="13"/>
            </w:pPr>
            <w:r>
              <w:t>100%</w:t>
            </w:r>
          </w:p>
        </w:tc>
      </w:tr>
      <w:tr w14:paraId="087F7192">
        <w:tblPrEx>
          <w:tblCellMar>
            <w:top w:w="0" w:type="dxa"/>
            <w:left w:w="108" w:type="dxa"/>
            <w:bottom w:w="0" w:type="dxa"/>
            <w:right w:w="108" w:type="dxa"/>
          </w:tblCellMar>
        </w:tblPrEx>
        <w:trPr>
          <w:trHeight w:val="369" w:hRule="atLeast"/>
          <w:jc w:val="center"/>
        </w:trPr>
        <w:tc>
          <w:tcPr>
            <w:tcW w:w="1276" w:type="dxa"/>
            <w:vAlign w:val="center"/>
          </w:tcPr>
          <w:p w14:paraId="17181265">
            <w:pPr>
              <w:pStyle w:val="10"/>
            </w:pPr>
            <w:r>
              <w:t>绩效目标</w:t>
            </w:r>
          </w:p>
        </w:tc>
        <w:tc>
          <w:tcPr>
            <w:tcW w:w="14033" w:type="dxa"/>
            <w:gridSpan w:val="6"/>
            <w:vAlign w:val="center"/>
          </w:tcPr>
          <w:p w14:paraId="212EC8BE">
            <w:pPr>
              <w:pStyle w:val="12"/>
            </w:pPr>
            <w:r>
              <w:t>1.保障幼儿园正常运转，完成教育教学活动和其他日常工作任务等方面的费用支出。</w:t>
            </w:r>
          </w:p>
        </w:tc>
      </w:tr>
    </w:tbl>
    <w:p w14:paraId="532DF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7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E866D">
            <w:pPr>
              <w:pStyle w:val="10"/>
            </w:pPr>
            <w:r>
              <w:t>一级指标</w:t>
            </w:r>
          </w:p>
        </w:tc>
        <w:tc>
          <w:tcPr>
            <w:tcW w:w="2268" w:type="dxa"/>
            <w:vAlign w:val="center"/>
          </w:tcPr>
          <w:p w14:paraId="4E418A77">
            <w:pPr>
              <w:pStyle w:val="10"/>
            </w:pPr>
            <w:r>
              <w:t>二级指标</w:t>
            </w:r>
          </w:p>
        </w:tc>
        <w:tc>
          <w:tcPr>
            <w:tcW w:w="2835" w:type="dxa"/>
            <w:vAlign w:val="center"/>
          </w:tcPr>
          <w:p w14:paraId="1A45EA65">
            <w:pPr>
              <w:pStyle w:val="10"/>
            </w:pPr>
            <w:r>
              <w:t>三级指标</w:t>
            </w:r>
          </w:p>
        </w:tc>
        <w:tc>
          <w:tcPr>
            <w:tcW w:w="5386" w:type="dxa"/>
            <w:vAlign w:val="center"/>
          </w:tcPr>
          <w:p w14:paraId="1B9725A6">
            <w:pPr>
              <w:pStyle w:val="10"/>
            </w:pPr>
            <w:r>
              <w:t>绩效指标描述</w:t>
            </w:r>
          </w:p>
        </w:tc>
        <w:tc>
          <w:tcPr>
            <w:tcW w:w="2268" w:type="dxa"/>
            <w:vAlign w:val="center"/>
          </w:tcPr>
          <w:p w14:paraId="4026F775">
            <w:pPr>
              <w:pStyle w:val="10"/>
            </w:pPr>
            <w:r>
              <w:t>指标值</w:t>
            </w:r>
          </w:p>
        </w:tc>
        <w:tc>
          <w:tcPr>
            <w:tcW w:w="1276" w:type="dxa"/>
            <w:vAlign w:val="center"/>
          </w:tcPr>
          <w:p w14:paraId="24AE38E1">
            <w:pPr>
              <w:pStyle w:val="10"/>
            </w:pPr>
            <w:r>
              <w:t>指标值确定依据</w:t>
            </w:r>
          </w:p>
        </w:tc>
      </w:tr>
      <w:tr w14:paraId="39D7B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B41C4">
            <w:pPr>
              <w:pStyle w:val="13"/>
            </w:pPr>
            <w:r>
              <w:t>产出指标</w:t>
            </w:r>
          </w:p>
        </w:tc>
        <w:tc>
          <w:tcPr>
            <w:tcW w:w="2268" w:type="dxa"/>
            <w:vAlign w:val="center"/>
          </w:tcPr>
          <w:p w14:paraId="181DEF3F">
            <w:pPr>
              <w:pStyle w:val="12"/>
            </w:pPr>
            <w:r>
              <w:t>数量指标</w:t>
            </w:r>
          </w:p>
        </w:tc>
        <w:tc>
          <w:tcPr>
            <w:tcW w:w="2835" w:type="dxa"/>
            <w:vAlign w:val="center"/>
          </w:tcPr>
          <w:p w14:paraId="66289696">
            <w:pPr>
              <w:pStyle w:val="12"/>
            </w:pPr>
            <w:r>
              <w:t>教学设备、家具用具</w:t>
            </w:r>
          </w:p>
        </w:tc>
        <w:tc>
          <w:tcPr>
            <w:tcW w:w="5386" w:type="dxa"/>
            <w:vAlign w:val="center"/>
          </w:tcPr>
          <w:p w14:paraId="6D4EA9CC">
            <w:pPr>
              <w:pStyle w:val="12"/>
            </w:pPr>
            <w:r>
              <w:t>幼儿园教学设备、家具用具</w:t>
            </w:r>
          </w:p>
        </w:tc>
        <w:tc>
          <w:tcPr>
            <w:tcW w:w="2268" w:type="dxa"/>
            <w:vAlign w:val="center"/>
          </w:tcPr>
          <w:p w14:paraId="3D07F458">
            <w:pPr>
              <w:pStyle w:val="12"/>
            </w:pPr>
            <w:r>
              <w:t>2套</w:t>
            </w:r>
          </w:p>
        </w:tc>
        <w:tc>
          <w:tcPr>
            <w:tcW w:w="1276" w:type="dxa"/>
            <w:vAlign w:val="center"/>
          </w:tcPr>
          <w:p w14:paraId="4B9A8153">
            <w:pPr>
              <w:pStyle w:val="12"/>
            </w:pPr>
            <w:r>
              <w:t>项目规划</w:t>
            </w:r>
          </w:p>
        </w:tc>
      </w:tr>
      <w:tr w14:paraId="023A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1669E"/>
        </w:tc>
        <w:tc>
          <w:tcPr>
            <w:tcW w:w="2268" w:type="dxa"/>
            <w:vAlign w:val="center"/>
          </w:tcPr>
          <w:p w14:paraId="17D81612">
            <w:pPr>
              <w:pStyle w:val="12"/>
            </w:pPr>
            <w:r>
              <w:t>质量指标</w:t>
            </w:r>
          </w:p>
        </w:tc>
        <w:tc>
          <w:tcPr>
            <w:tcW w:w="2835" w:type="dxa"/>
            <w:vAlign w:val="center"/>
          </w:tcPr>
          <w:p w14:paraId="33400680">
            <w:pPr>
              <w:pStyle w:val="12"/>
            </w:pPr>
            <w:r>
              <w:t>购置项目质量合格率</w:t>
            </w:r>
          </w:p>
        </w:tc>
        <w:tc>
          <w:tcPr>
            <w:tcW w:w="5386" w:type="dxa"/>
            <w:vAlign w:val="center"/>
          </w:tcPr>
          <w:p w14:paraId="4A4023D3">
            <w:pPr>
              <w:pStyle w:val="12"/>
            </w:pPr>
            <w:r>
              <w:t>专用设备购置质量合格率</w:t>
            </w:r>
          </w:p>
        </w:tc>
        <w:tc>
          <w:tcPr>
            <w:tcW w:w="2268" w:type="dxa"/>
            <w:vAlign w:val="center"/>
          </w:tcPr>
          <w:p w14:paraId="3B420C19">
            <w:pPr>
              <w:pStyle w:val="12"/>
            </w:pPr>
            <w:r>
              <w:t>≥98%</w:t>
            </w:r>
          </w:p>
        </w:tc>
        <w:tc>
          <w:tcPr>
            <w:tcW w:w="1276" w:type="dxa"/>
            <w:vAlign w:val="center"/>
          </w:tcPr>
          <w:p w14:paraId="4B0B5999">
            <w:pPr>
              <w:pStyle w:val="12"/>
            </w:pPr>
            <w:r>
              <w:t>项目规划</w:t>
            </w:r>
          </w:p>
        </w:tc>
      </w:tr>
      <w:tr w14:paraId="5ED4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C2778"/>
        </w:tc>
        <w:tc>
          <w:tcPr>
            <w:tcW w:w="2268" w:type="dxa"/>
            <w:vAlign w:val="center"/>
          </w:tcPr>
          <w:p w14:paraId="4DAF31AC">
            <w:pPr>
              <w:pStyle w:val="12"/>
            </w:pPr>
            <w:r>
              <w:t>时效指标</w:t>
            </w:r>
          </w:p>
        </w:tc>
        <w:tc>
          <w:tcPr>
            <w:tcW w:w="2835" w:type="dxa"/>
            <w:vAlign w:val="center"/>
          </w:tcPr>
          <w:p w14:paraId="7E4159C1">
            <w:pPr>
              <w:pStyle w:val="12"/>
            </w:pPr>
            <w:r>
              <w:t>按时完成率</w:t>
            </w:r>
          </w:p>
        </w:tc>
        <w:tc>
          <w:tcPr>
            <w:tcW w:w="5386" w:type="dxa"/>
            <w:vAlign w:val="center"/>
          </w:tcPr>
          <w:p w14:paraId="2BCCA6CD">
            <w:pPr>
              <w:pStyle w:val="12"/>
            </w:pPr>
            <w:r>
              <w:t>购置项目按时序进度完成比例</w:t>
            </w:r>
          </w:p>
        </w:tc>
        <w:tc>
          <w:tcPr>
            <w:tcW w:w="2268" w:type="dxa"/>
            <w:vAlign w:val="center"/>
          </w:tcPr>
          <w:p w14:paraId="74EB26E2">
            <w:pPr>
              <w:pStyle w:val="12"/>
            </w:pPr>
            <w:r>
              <w:t>≥98%</w:t>
            </w:r>
          </w:p>
        </w:tc>
        <w:tc>
          <w:tcPr>
            <w:tcW w:w="1276" w:type="dxa"/>
            <w:vAlign w:val="center"/>
          </w:tcPr>
          <w:p w14:paraId="6F2A269B">
            <w:pPr>
              <w:pStyle w:val="12"/>
            </w:pPr>
            <w:r>
              <w:t>项目规划</w:t>
            </w:r>
          </w:p>
        </w:tc>
      </w:tr>
      <w:tr w14:paraId="307C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43741"/>
        </w:tc>
        <w:tc>
          <w:tcPr>
            <w:tcW w:w="2268" w:type="dxa"/>
            <w:vAlign w:val="center"/>
          </w:tcPr>
          <w:p w14:paraId="7003A3B4">
            <w:pPr>
              <w:pStyle w:val="12"/>
            </w:pPr>
            <w:r>
              <w:t>成本指标</w:t>
            </w:r>
          </w:p>
        </w:tc>
        <w:tc>
          <w:tcPr>
            <w:tcW w:w="2835" w:type="dxa"/>
            <w:vAlign w:val="center"/>
          </w:tcPr>
          <w:p w14:paraId="436EBF4F">
            <w:pPr>
              <w:pStyle w:val="12"/>
            </w:pPr>
            <w:r>
              <w:t>系统安装成本</w:t>
            </w:r>
          </w:p>
        </w:tc>
        <w:tc>
          <w:tcPr>
            <w:tcW w:w="5386" w:type="dxa"/>
            <w:vAlign w:val="center"/>
          </w:tcPr>
          <w:p w14:paraId="4D975229">
            <w:pPr>
              <w:pStyle w:val="12"/>
            </w:pPr>
            <w:r>
              <w:t>专用设备购置安装成本</w:t>
            </w:r>
          </w:p>
        </w:tc>
        <w:tc>
          <w:tcPr>
            <w:tcW w:w="2268" w:type="dxa"/>
            <w:vAlign w:val="center"/>
          </w:tcPr>
          <w:p w14:paraId="25FAEBC3">
            <w:pPr>
              <w:pStyle w:val="12"/>
            </w:pPr>
            <w:r>
              <w:t>288200元</w:t>
            </w:r>
          </w:p>
        </w:tc>
        <w:tc>
          <w:tcPr>
            <w:tcW w:w="1276" w:type="dxa"/>
            <w:vAlign w:val="center"/>
          </w:tcPr>
          <w:p w14:paraId="7F919C08">
            <w:pPr>
              <w:pStyle w:val="12"/>
            </w:pPr>
            <w:r>
              <w:t>项目规划</w:t>
            </w:r>
          </w:p>
        </w:tc>
      </w:tr>
      <w:tr w14:paraId="1A7178DA">
        <w:tblPrEx>
          <w:tblCellMar>
            <w:top w:w="0" w:type="dxa"/>
            <w:left w:w="108" w:type="dxa"/>
            <w:bottom w:w="0" w:type="dxa"/>
            <w:right w:w="108" w:type="dxa"/>
          </w:tblCellMar>
        </w:tblPrEx>
        <w:trPr>
          <w:trHeight w:val="397" w:hRule="atLeast"/>
          <w:jc w:val="center"/>
        </w:trPr>
        <w:tc>
          <w:tcPr>
            <w:tcW w:w="1276" w:type="dxa"/>
            <w:vAlign w:val="center"/>
          </w:tcPr>
          <w:p w14:paraId="71D04CB8">
            <w:pPr>
              <w:pStyle w:val="13"/>
            </w:pPr>
            <w:r>
              <w:t>效益指标</w:t>
            </w:r>
          </w:p>
        </w:tc>
        <w:tc>
          <w:tcPr>
            <w:tcW w:w="2268" w:type="dxa"/>
            <w:vAlign w:val="center"/>
          </w:tcPr>
          <w:p w14:paraId="345D78A8">
            <w:pPr>
              <w:pStyle w:val="12"/>
            </w:pPr>
            <w:r>
              <w:t>可持续影响指标</w:t>
            </w:r>
          </w:p>
        </w:tc>
        <w:tc>
          <w:tcPr>
            <w:tcW w:w="2835" w:type="dxa"/>
            <w:vAlign w:val="center"/>
          </w:tcPr>
          <w:p w14:paraId="07C4BB88">
            <w:pPr>
              <w:pStyle w:val="12"/>
            </w:pPr>
            <w:r>
              <w:t>学校运转得到提升</w:t>
            </w:r>
          </w:p>
        </w:tc>
        <w:tc>
          <w:tcPr>
            <w:tcW w:w="5386" w:type="dxa"/>
            <w:vAlign w:val="center"/>
          </w:tcPr>
          <w:p w14:paraId="4D30A877">
            <w:pPr>
              <w:pStyle w:val="12"/>
            </w:pPr>
            <w:r>
              <w:t>幼儿受教育年限</w:t>
            </w:r>
          </w:p>
        </w:tc>
        <w:tc>
          <w:tcPr>
            <w:tcW w:w="2268" w:type="dxa"/>
            <w:vAlign w:val="center"/>
          </w:tcPr>
          <w:p w14:paraId="0F21118F">
            <w:pPr>
              <w:pStyle w:val="12"/>
            </w:pPr>
            <w:r>
              <w:t>3年</w:t>
            </w:r>
          </w:p>
        </w:tc>
        <w:tc>
          <w:tcPr>
            <w:tcW w:w="1276" w:type="dxa"/>
            <w:vAlign w:val="center"/>
          </w:tcPr>
          <w:p w14:paraId="3FB40514">
            <w:pPr>
              <w:pStyle w:val="12"/>
            </w:pPr>
            <w:r>
              <w:t>项目规划</w:t>
            </w:r>
          </w:p>
        </w:tc>
      </w:tr>
      <w:tr w14:paraId="6ED1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2382B">
            <w:pPr>
              <w:pStyle w:val="13"/>
            </w:pPr>
            <w:r>
              <w:t>满意度指标</w:t>
            </w:r>
          </w:p>
        </w:tc>
        <w:tc>
          <w:tcPr>
            <w:tcW w:w="2268" w:type="dxa"/>
            <w:vAlign w:val="center"/>
          </w:tcPr>
          <w:p w14:paraId="3AC20F8B">
            <w:pPr>
              <w:pStyle w:val="12"/>
            </w:pPr>
            <w:r>
              <w:t>服务对象满意度指标</w:t>
            </w:r>
          </w:p>
        </w:tc>
        <w:tc>
          <w:tcPr>
            <w:tcW w:w="2835" w:type="dxa"/>
            <w:vAlign w:val="center"/>
          </w:tcPr>
          <w:p w14:paraId="0855A4C2">
            <w:pPr>
              <w:pStyle w:val="12"/>
            </w:pPr>
            <w:r>
              <w:t>家长和学生满意度</w:t>
            </w:r>
          </w:p>
        </w:tc>
        <w:tc>
          <w:tcPr>
            <w:tcW w:w="5386" w:type="dxa"/>
            <w:vAlign w:val="center"/>
          </w:tcPr>
          <w:p w14:paraId="584E837F">
            <w:pPr>
              <w:pStyle w:val="12"/>
            </w:pPr>
            <w:r>
              <w:t>家长和学生满意度</w:t>
            </w:r>
          </w:p>
        </w:tc>
        <w:tc>
          <w:tcPr>
            <w:tcW w:w="2268" w:type="dxa"/>
            <w:vAlign w:val="center"/>
          </w:tcPr>
          <w:p w14:paraId="79FC52E0">
            <w:pPr>
              <w:pStyle w:val="12"/>
            </w:pPr>
            <w:r>
              <w:t>≥95%</w:t>
            </w:r>
          </w:p>
        </w:tc>
        <w:tc>
          <w:tcPr>
            <w:tcW w:w="1276" w:type="dxa"/>
            <w:vAlign w:val="center"/>
          </w:tcPr>
          <w:p w14:paraId="56D2447C">
            <w:pPr>
              <w:pStyle w:val="12"/>
            </w:pPr>
            <w:r>
              <w:t>问卷调查</w:t>
            </w:r>
          </w:p>
        </w:tc>
      </w:tr>
    </w:tbl>
    <w:p w14:paraId="7915854C">
      <w:pPr>
        <w:sectPr>
          <w:pgSz w:w="16840" w:h="11900" w:orient="landscape"/>
          <w:pgMar w:top="1361" w:right="1020" w:bottom="1134" w:left="1020" w:header="720" w:footer="720" w:gutter="0"/>
          <w:cols w:space="720" w:num="1"/>
        </w:sectPr>
      </w:pPr>
    </w:p>
    <w:p w14:paraId="319B46DA">
      <w:pPr>
        <w:spacing w:before="0" w:after="0"/>
        <w:ind w:firstLine="560"/>
        <w:jc w:val="left"/>
        <w:outlineLvl w:val="9"/>
      </w:pPr>
      <w:r>
        <w:rPr>
          <w:rFonts w:ascii="方正仿宋_GBK" w:hAnsi="方正仿宋_GBK" w:eastAsia="方正仿宋_GBK" w:cs="方正仿宋_GBK"/>
          <w:b/>
          <w:color w:val="000000"/>
          <w:sz w:val="28"/>
        </w:rPr>
        <w:t>11、冀财教[2025]145号/省级/2026年薄弱学校改造/大张庄小学体育场地改建绩效目标表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B2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BA108">
            <w:pPr>
              <w:pStyle w:val="11"/>
            </w:pPr>
            <w:r>
              <w:t>单位：万元</w:t>
            </w:r>
          </w:p>
        </w:tc>
      </w:tr>
      <w:tr w14:paraId="1C6D1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5F519">
            <w:pPr>
              <w:pStyle w:val="10"/>
            </w:pPr>
            <w:r>
              <w:t>项目编码</w:t>
            </w:r>
          </w:p>
        </w:tc>
        <w:tc>
          <w:tcPr>
            <w:tcW w:w="5103" w:type="dxa"/>
            <w:gridSpan w:val="2"/>
            <w:vAlign w:val="center"/>
          </w:tcPr>
          <w:p w14:paraId="4ED09149">
            <w:pPr>
              <w:pStyle w:val="12"/>
            </w:pPr>
            <w:r>
              <w:t>13052526P00877010029D</w:t>
            </w:r>
          </w:p>
        </w:tc>
        <w:tc>
          <w:tcPr>
            <w:tcW w:w="2835" w:type="dxa"/>
            <w:vAlign w:val="center"/>
          </w:tcPr>
          <w:p w14:paraId="1AD58E58">
            <w:pPr>
              <w:pStyle w:val="10"/>
            </w:pPr>
            <w:r>
              <w:t>项目名称</w:t>
            </w:r>
          </w:p>
        </w:tc>
        <w:tc>
          <w:tcPr>
            <w:tcW w:w="6095" w:type="dxa"/>
            <w:gridSpan w:val="3"/>
            <w:vAlign w:val="center"/>
          </w:tcPr>
          <w:p w14:paraId="42723CE0">
            <w:pPr>
              <w:pStyle w:val="12"/>
            </w:pPr>
            <w:r>
              <w:t>冀财教[2025]145号/省级/2026年薄弱学校改造/大张庄小学体育场地改建</w:t>
            </w:r>
          </w:p>
        </w:tc>
      </w:tr>
      <w:tr w14:paraId="1A590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F1FC9">
            <w:pPr>
              <w:pStyle w:val="10"/>
            </w:pPr>
            <w:r>
              <w:t>预算规模及资金用途</w:t>
            </w:r>
          </w:p>
        </w:tc>
        <w:tc>
          <w:tcPr>
            <w:tcW w:w="2268" w:type="dxa"/>
            <w:vAlign w:val="center"/>
          </w:tcPr>
          <w:p w14:paraId="39456880">
            <w:pPr>
              <w:pStyle w:val="10"/>
            </w:pPr>
            <w:r>
              <w:t>预算数</w:t>
            </w:r>
          </w:p>
        </w:tc>
        <w:tc>
          <w:tcPr>
            <w:tcW w:w="2835" w:type="dxa"/>
            <w:vAlign w:val="center"/>
          </w:tcPr>
          <w:p w14:paraId="3F72C132">
            <w:pPr>
              <w:pStyle w:val="12"/>
            </w:pPr>
            <w:r>
              <w:t>132.00</w:t>
            </w:r>
          </w:p>
        </w:tc>
        <w:tc>
          <w:tcPr>
            <w:tcW w:w="2835" w:type="dxa"/>
            <w:vAlign w:val="center"/>
          </w:tcPr>
          <w:p w14:paraId="30D68F56">
            <w:pPr>
              <w:pStyle w:val="10"/>
            </w:pPr>
            <w:r>
              <w:t>其中：财政    资金</w:t>
            </w:r>
          </w:p>
        </w:tc>
        <w:tc>
          <w:tcPr>
            <w:tcW w:w="2551" w:type="dxa"/>
            <w:vAlign w:val="center"/>
          </w:tcPr>
          <w:p w14:paraId="313B4933">
            <w:pPr>
              <w:pStyle w:val="12"/>
            </w:pPr>
            <w:r>
              <w:t>132.00</w:t>
            </w:r>
          </w:p>
        </w:tc>
        <w:tc>
          <w:tcPr>
            <w:tcW w:w="2268" w:type="dxa"/>
            <w:vAlign w:val="center"/>
          </w:tcPr>
          <w:p w14:paraId="4BC62BDF">
            <w:pPr>
              <w:pStyle w:val="10"/>
            </w:pPr>
            <w:r>
              <w:t>其他资金</w:t>
            </w:r>
          </w:p>
        </w:tc>
        <w:tc>
          <w:tcPr>
            <w:tcW w:w="1276" w:type="dxa"/>
            <w:vAlign w:val="center"/>
          </w:tcPr>
          <w:p w14:paraId="728F66F0">
            <w:pPr>
              <w:pStyle w:val="12"/>
            </w:pPr>
            <w:r>
              <w:t xml:space="preserve"> </w:t>
            </w:r>
          </w:p>
        </w:tc>
      </w:tr>
      <w:tr w14:paraId="2FEF2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11697"/>
        </w:tc>
        <w:tc>
          <w:tcPr>
            <w:tcW w:w="14033" w:type="dxa"/>
            <w:gridSpan w:val="6"/>
            <w:vAlign w:val="center"/>
          </w:tcPr>
          <w:p w14:paraId="00771333">
            <w:pPr>
              <w:pStyle w:val="12"/>
            </w:pPr>
            <w:r>
              <w:t>改善义务教育办学条件，进一步提升教育教学办学质量</w:t>
            </w:r>
            <w:r>
              <w:tab/>
            </w:r>
          </w:p>
        </w:tc>
      </w:tr>
      <w:tr w14:paraId="514C2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7C23F">
            <w:pPr>
              <w:pStyle w:val="10"/>
            </w:pPr>
            <w:r>
              <w:t>资金支出计划（%）</w:t>
            </w:r>
          </w:p>
        </w:tc>
        <w:tc>
          <w:tcPr>
            <w:tcW w:w="5103" w:type="dxa"/>
            <w:gridSpan w:val="2"/>
            <w:vAlign w:val="center"/>
          </w:tcPr>
          <w:p w14:paraId="0922300D">
            <w:pPr>
              <w:pStyle w:val="10"/>
            </w:pPr>
            <w:r>
              <w:t>3月底</w:t>
            </w:r>
          </w:p>
        </w:tc>
        <w:tc>
          <w:tcPr>
            <w:tcW w:w="2835" w:type="dxa"/>
            <w:vAlign w:val="center"/>
          </w:tcPr>
          <w:p w14:paraId="133CE688">
            <w:pPr>
              <w:pStyle w:val="10"/>
            </w:pPr>
            <w:r>
              <w:t>6月底</w:t>
            </w:r>
          </w:p>
        </w:tc>
        <w:tc>
          <w:tcPr>
            <w:tcW w:w="2551" w:type="dxa"/>
            <w:vAlign w:val="center"/>
          </w:tcPr>
          <w:p w14:paraId="3E7E40A0">
            <w:pPr>
              <w:pStyle w:val="10"/>
            </w:pPr>
            <w:r>
              <w:t>10月底</w:t>
            </w:r>
          </w:p>
        </w:tc>
        <w:tc>
          <w:tcPr>
            <w:tcW w:w="3544" w:type="dxa"/>
            <w:gridSpan w:val="2"/>
            <w:vAlign w:val="center"/>
          </w:tcPr>
          <w:p w14:paraId="72362A52">
            <w:pPr>
              <w:pStyle w:val="10"/>
            </w:pPr>
            <w:r>
              <w:t>12月底</w:t>
            </w:r>
          </w:p>
        </w:tc>
      </w:tr>
      <w:tr w14:paraId="1786E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13915"/>
        </w:tc>
        <w:tc>
          <w:tcPr>
            <w:tcW w:w="5103" w:type="dxa"/>
            <w:gridSpan w:val="2"/>
            <w:vAlign w:val="center"/>
          </w:tcPr>
          <w:p w14:paraId="1437C2BD">
            <w:pPr>
              <w:pStyle w:val="13"/>
            </w:pPr>
            <w:r>
              <w:t xml:space="preserve"> </w:t>
            </w:r>
          </w:p>
        </w:tc>
        <w:tc>
          <w:tcPr>
            <w:tcW w:w="2835" w:type="dxa"/>
            <w:vAlign w:val="center"/>
          </w:tcPr>
          <w:p w14:paraId="255E560B">
            <w:pPr>
              <w:pStyle w:val="13"/>
            </w:pPr>
            <w:r>
              <w:t>50%</w:t>
            </w:r>
          </w:p>
        </w:tc>
        <w:tc>
          <w:tcPr>
            <w:tcW w:w="2551" w:type="dxa"/>
            <w:vAlign w:val="center"/>
          </w:tcPr>
          <w:p w14:paraId="23B0B538">
            <w:pPr>
              <w:pStyle w:val="13"/>
            </w:pPr>
            <w:r>
              <w:t>100%</w:t>
            </w:r>
          </w:p>
        </w:tc>
        <w:tc>
          <w:tcPr>
            <w:tcW w:w="3544" w:type="dxa"/>
            <w:gridSpan w:val="2"/>
            <w:vAlign w:val="center"/>
          </w:tcPr>
          <w:p w14:paraId="4D7198A4">
            <w:pPr>
              <w:pStyle w:val="13"/>
            </w:pPr>
            <w:r>
              <w:t>100%</w:t>
            </w:r>
          </w:p>
        </w:tc>
      </w:tr>
      <w:tr w14:paraId="6A3C4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140ED">
            <w:pPr>
              <w:pStyle w:val="10"/>
            </w:pPr>
            <w:r>
              <w:t>绩效目标</w:t>
            </w:r>
          </w:p>
        </w:tc>
        <w:tc>
          <w:tcPr>
            <w:tcW w:w="14033" w:type="dxa"/>
            <w:gridSpan w:val="6"/>
            <w:vAlign w:val="center"/>
          </w:tcPr>
          <w:p w14:paraId="579F7BA9">
            <w:pPr>
              <w:pStyle w:val="12"/>
            </w:pPr>
            <w:r>
              <w:t>1.改善义务教育办学条件，进一步提升教育教学办学质量</w:t>
            </w:r>
            <w:r>
              <w:tab/>
            </w:r>
            <w:r>
              <w:tab/>
            </w:r>
            <w:r>
              <w:tab/>
            </w:r>
            <w:r>
              <w:tab/>
            </w:r>
            <w:r>
              <w:tab/>
            </w:r>
          </w:p>
        </w:tc>
      </w:tr>
    </w:tbl>
    <w:p w14:paraId="0A677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D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78F90">
            <w:pPr>
              <w:pStyle w:val="10"/>
            </w:pPr>
            <w:r>
              <w:t>一级指标</w:t>
            </w:r>
          </w:p>
        </w:tc>
        <w:tc>
          <w:tcPr>
            <w:tcW w:w="2268" w:type="dxa"/>
            <w:vAlign w:val="center"/>
          </w:tcPr>
          <w:p w14:paraId="1AC06581">
            <w:pPr>
              <w:pStyle w:val="10"/>
            </w:pPr>
            <w:r>
              <w:t>二级指标</w:t>
            </w:r>
          </w:p>
        </w:tc>
        <w:tc>
          <w:tcPr>
            <w:tcW w:w="2835" w:type="dxa"/>
            <w:vAlign w:val="center"/>
          </w:tcPr>
          <w:p w14:paraId="2A097C85">
            <w:pPr>
              <w:pStyle w:val="10"/>
            </w:pPr>
            <w:r>
              <w:t>三级指标</w:t>
            </w:r>
          </w:p>
        </w:tc>
        <w:tc>
          <w:tcPr>
            <w:tcW w:w="5386" w:type="dxa"/>
            <w:vAlign w:val="center"/>
          </w:tcPr>
          <w:p w14:paraId="39D1B1F7">
            <w:pPr>
              <w:pStyle w:val="10"/>
            </w:pPr>
            <w:r>
              <w:t>绩效指标描述</w:t>
            </w:r>
          </w:p>
        </w:tc>
        <w:tc>
          <w:tcPr>
            <w:tcW w:w="2268" w:type="dxa"/>
            <w:vAlign w:val="center"/>
          </w:tcPr>
          <w:p w14:paraId="7EB8F35B">
            <w:pPr>
              <w:pStyle w:val="10"/>
            </w:pPr>
            <w:r>
              <w:t>指标值</w:t>
            </w:r>
          </w:p>
        </w:tc>
        <w:tc>
          <w:tcPr>
            <w:tcW w:w="1276" w:type="dxa"/>
            <w:vAlign w:val="center"/>
          </w:tcPr>
          <w:p w14:paraId="27448895">
            <w:pPr>
              <w:pStyle w:val="10"/>
            </w:pPr>
            <w:r>
              <w:t>指标值确定依据</w:t>
            </w:r>
          </w:p>
        </w:tc>
      </w:tr>
      <w:tr w14:paraId="127C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5C7F9">
            <w:pPr>
              <w:pStyle w:val="13"/>
            </w:pPr>
            <w:r>
              <w:t>产出指标</w:t>
            </w:r>
          </w:p>
        </w:tc>
        <w:tc>
          <w:tcPr>
            <w:tcW w:w="2268" w:type="dxa"/>
            <w:vAlign w:val="center"/>
          </w:tcPr>
          <w:p w14:paraId="2ED0F9CC">
            <w:pPr>
              <w:pStyle w:val="12"/>
            </w:pPr>
            <w:r>
              <w:t>数量指标</w:t>
            </w:r>
          </w:p>
        </w:tc>
        <w:tc>
          <w:tcPr>
            <w:tcW w:w="2835" w:type="dxa"/>
            <w:vAlign w:val="center"/>
          </w:tcPr>
          <w:p w14:paraId="51924685">
            <w:pPr>
              <w:pStyle w:val="12"/>
            </w:pPr>
            <w:r>
              <w:t>体育场地改建</w:t>
            </w:r>
          </w:p>
        </w:tc>
        <w:tc>
          <w:tcPr>
            <w:tcW w:w="5386" w:type="dxa"/>
            <w:vAlign w:val="center"/>
          </w:tcPr>
          <w:p w14:paraId="3862300E">
            <w:pPr>
              <w:pStyle w:val="12"/>
            </w:pPr>
            <w:r>
              <w:t>场地平整、灰土夯实、人造草坪铺设、塑胶透气跑道安装等</w:t>
            </w:r>
          </w:p>
        </w:tc>
        <w:tc>
          <w:tcPr>
            <w:tcW w:w="2268" w:type="dxa"/>
            <w:vAlign w:val="center"/>
          </w:tcPr>
          <w:p w14:paraId="601674AF">
            <w:pPr>
              <w:pStyle w:val="12"/>
            </w:pPr>
            <w:r>
              <w:t>1项</w:t>
            </w:r>
          </w:p>
        </w:tc>
        <w:tc>
          <w:tcPr>
            <w:tcW w:w="1276" w:type="dxa"/>
            <w:vAlign w:val="center"/>
          </w:tcPr>
          <w:p w14:paraId="55C51C9A">
            <w:pPr>
              <w:pStyle w:val="12"/>
            </w:pPr>
            <w:r>
              <w:t>项目规划</w:t>
            </w:r>
          </w:p>
        </w:tc>
      </w:tr>
      <w:tr w14:paraId="61FE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3E299"/>
        </w:tc>
        <w:tc>
          <w:tcPr>
            <w:tcW w:w="2268" w:type="dxa"/>
            <w:vAlign w:val="center"/>
          </w:tcPr>
          <w:p w14:paraId="30195CA0">
            <w:pPr>
              <w:pStyle w:val="12"/>
            </w:pPr>
            <w:r>
              <w:t>质量指标</w:t>
            </w:r>
          </w:p>
        </w:tc>
        <w:tc>
          <w:tcPr>
            <w:tcW w:w="2835" w:type="dxa"/>
            <w:vAlign w:val="center"/>
          </w:tcPr>
          <w:p w14:paraId="456C05E0">
            <w:pPr>
              <w:pStyle w:val="12"/>
            </w:pPr>
            <w:r>
              <w:t>工程实施验收合格率</w:t>
            </w:r>
          </w:p>
        </w:tc>
        <w:tc>
          <w:tcPr>
            <w:tcW w:w="5386" w:type="dxa"/>
            <w:vAlign w:val="center"/>
          </w:tcPr>
          <w:p w14:paraId="114578FB">
            <w:pPr>
              <w:pStyle w:val="12"/>
            </w:pPr>
            <w:r>
              <w:t>申报程序的合规，项目实施及资金使用符合项目规划</w:t>
            </w:r>
          </w:p>
        </w:tc>
        <w:tc>
          <w:tcPr>
            <w:tcW w:w="2268" w:type="dxa"/>
            <w:vAlign w:val="center"/>
          </w:tcPr>
          <w:p w14:paraId="0F500EC9">
            <w:pPr>
              <w:pStyle w:val="12"/>
            </w:pPr>
            <w:r>
              <w:t>≥98%</w:t>
            </w:r>
          </w:p>
        </w:tc>
        <w:tc>
          <w:tcPr>
            <w:tcW w:w="1276" w:type="dxa"/>
            <w:vAlign w:val="center"/>
          </w:tcPr>
          <w:p w14:paraId="5402CB25">
            <w:pPr>
              <w:pStyle w:val="12"/>
            </w:pPr>
            <w:r>
              <w:t>项目规划</w:t>
            </w:r>
          </w:p>
        </w:tc>
      </w:tr>
      <w:tr w14:paraId="3550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C8B37"/>
        </w:tc>
        <w:tc>
          <w:tcPr>
            <w:tcW w:w="2268" w:type="dxa"/>
            <w:vAlign w:val="center"/>
          </w:tcPr>
          <w:p w14:paraId="55F2C146">
            <w:pPr>
              <w:pStyle w:val="12"/>
            </w:pPr>
            <w:r>
              <w:t>时效指标</w:t>
            </w:r>
          </w:p>
        </w:tc>
        <w:tc>
          <w:tcPr>
            <w:tcW w:w="2835" w:type="dxa"/>
            <w:vAlign w:val="center"/>
          </w:tcPr>
          <w:p w14:paraId="0B9ACEB6">
            <w:pPr>
              <w:pStyle w:val="12"/>
            </w:pPr>
            <w:r>
              <w:t>资金支付率</w:t>
            </w:r>
          </w:p>
        </w:tc>
        <w:tc>
          <w:tcPr>
            <w:tcW w:w="5386" w:type="dxa"/>
            <w:vAlign w:val="center"/>
          </w:tcPr>
          <w:p w14:paraId="32AF0106">
            <w:pPr>
              <w:pStyle w:val="12"/>
            </w:pPr>
            <w:r>
              <w:t>按照序时进度完成资金支付</w:t>
            </w:r>
          </w:p>
        </w:tc>
        <w:tc>
          <w:tcPr>
            <w:tcW w:w="2268" w:type="dxa"/>
            <w:vAlign w:val="center"/>
          </w:tcPr>
          <w:p w14:paraId="73AD33CF">
            <w:pPr>
              <w:pStyle w:val="12"/>
            </w:pPr>
            <w:r>
              <w:t>≥98%</w:t>
            </w:r>
          </w:p>
        </w:tc>
        <w:tc>
          <w:tcPr>
            <w:tcW w:w="1276" w:type="dxa"/>
            <w:vAlign w:val="center"/>
          </w:tcPr>
          <w:p w14:paraId="3BF34FF0">
            <w:pPr>
              <w:pStyle w:val="12"/>
            </w:pPr>
            <w:r>
              <w:t>项目规划</w:t>
            </w:r>
          </w:p>
        </w:tc>
      </w:tr>
      <w:tr w14:paraId="23BC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8438F"/>
        </w:tc>
        <w:tc>
          <w:tcPr>
            <w:tcW w:w="2268" w:type="dxa"/>
            <w:vAlign w:val="center"/>
          </w:tcPr>
          <w:p w14:paraId="66C7EA2D">
            <w:pPr>
              <w:pStyle w:val="12"/>
            </w:pPr>
            <w:r>
              <w:t>成本指标</w:t>
            </w:r>
          </w:p>
        </w:tc>
        <w:tc>
          <w:tcPr>
            <w:tcW w:w="2835" w:type="dxa"/>
            <w:vAlign w:val="center"/>
          </w:tcPr>
          <w:p w14:paraId="5E6F6954">
            <w:pPr>
              <w:pStyle w:val="12"/>
            </w:pPr>
            <w:r>
              <w:t>项目成本控制情况</w:t>
            </w:r>
          </w:p>
        </w:tc>
        <w:tc>
          <w:tcPr>
            <w:tcW w:w="5386" w:type="dxa"/>
            <w:vAlign w:val="center"/>
          </w:tcPr>
          <w:p w14:paraId="2E9F0B99">
            <w:pPr>
              <w:pStyle w:val="12"/>
            </w:pPr>
            <w:r>
              <w:t>严格按照招标价格及审计额进行</w:t>
            </w:r>
          </w:p>
        </w:tc>
        <w:tc>
          <w:tcPr>
            <w:tcW w:w="2268" w:type="dxa"/>
            <w:vAlign w:val="center"/>
          </w:tcPr>
          <w:p w14:paraId="1A780F7E">
            <w:pPr>
              <w:pStyle w:val="12"/>
            </w:pPr>
            <w:r>
              <w:t>1320000元</w:t>
            </w:r>
          </w:p>
        </w:tc>
        <w:tc>
          <w:tcPr>
            <w:tcW w:w="1276" w:type="dxa"/>
            <w:vAlign w:val="center"/>
          </w:tcPr>
          <w:p w14:paraId="1674EB69">
            <w:pPr>
              <w:pStyle w:val="12"/>
            </w:pPr>
            <w:r>
              <w:t>项目规划</w:t>
            </w:r>
          </w:p>
        </w:tc>
      </w:tr>
      <w:tr w14:paraId="0E7C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37C63">
            <w:pPr>
              <w:pStyle w:val="13"/>
            </w:pPr>
            <w:r>
              <w:t>效益指标</w:t>
            </w:r>
          </w:p>
        </w:tc>
        <w:tc>
          <w:tcPr>
            <w:tcW w:w="2268" w:type="dxa"/>
            <w:vAlign w:val="center"/>
          </w:tcPr>
          <w:p w14:paraId="2A091F44">
            <w:pPr>
              <w:pStyle w:val="12"/>
            </w:pPr>
            <w:r>
              <w:t>可持续影响指标</w:t>
            </w:r>
          </w:p>
        </w:tc>
        <w:tc>
          <w:tcPr>
            <w:tcW w:w="2835" w:type="dxa"/>
            <w:vAlign w:val="center"/>
          </w:tcPr>
          <w:p w14:paraId="73A6D0A5">
            <w:pPr>
              <w:pStyle w:val="12"/>
            </w:pPr>
            <w:r>
              <w:t>学校日常运转</w:t>
            </w:r>
          </w:p>
        </w:tc>
        <w:tc>
          <w:tcPr>
            <w:tcW w:w="5386" w:type="dxa"/>
            <w:vAlign w:val="center"/>
          </w:tcPr>
          <w:p w14:paraId="22B8D1BE">
            <w:pPr>
              <w:pStyle w:val="12"/>
            </w:pPr>
            <w:r>
              <w:t>学生受教育年限</w:t>
            </w:r>
          </w:p>
        </w:tc>
        <w:tc>
          <w:tcPr>
            <w:tcW w:w="2268" w:type="dxa"/>
            <w:vAlign w:val="center"/>
          </w:tcPr>
          <w:p w14:paraId="4A8135B9">
            <w:pPr>
              <w:pStyle w:val="12"/>
            </w:pPr>
            <w:r>
              <w:t>6年</w:t>
            </w:r>
          </w:p>
        </w:tc>
        <w:tc>
          <w:tcPr>
            <w:tcW w:w="1276" w:type="dxa"/>
            <w:vAlign w:val="center"/>
          </w:tcPr>
          <w:p w14:paraId="1977EEE3">
            <w:pPr>
              <w:pStyle w:val="12"/>
            </w:pPr>
            <w:r>
              <w:t>项目规划</w:t>
            </w:r>
          </w:p>
        </w:tc>
      </w:tr>
      <w:tr w14:paraId="13CA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A0590">
            <w:pPr>
              <w:pStyle w:val="13"/>
            </w:pPr>
            <w:r>
              <w:t>满意度指标</w:t>
            </w:r>
          </w:p>
        </w:tc>
        <w:tc>
          <w:tcPr>
            <w:tcW w:w="2268" w:type="dxa"/>
            <w:vAlign w:val="center"/>
          </w:tcPr>
          <w:p w14:paraId="56DD902D">
            <w:pPr>
              <w:pStyle w:val="12"/>
            </w:pPr>
            <w:r>
              <w:t>服务对象满意度指标</w:t>
            </w:r>
          </w:p>
        </w:tc>
        <w:tc>
          <w:tcPr>
            <w:tcW w:w="2835" w:type="dxa"/>
            <w:vAlign w:val="center"/>
          </w:tcPr>
          <w:p w14:paraId="1EFC1E70">
            <w:pPr>
              <w:pStyle w:val="12"/>
            </w:pPr>
            <w:r>
              <w:t>学生、教师及家长对学校教学环境满意度情况</w:t>
            </w:r>
          </w:p>
        </w:tc>
        <w:tc>
          <w:tcPr>
            <w:tcW w:w="5386" w:type="dxa"/>
            <w:vAlign w:val="center"/>
          </w:tcPr>
          <w:p w14:paraId="07871AA2">
            <w:pPr>
              <w:pStyle w:val="12"/>
            </w:pPr>
            <w:r>
              <w:t>学生、教师及家长对学校教学环境满意度情况</w:t>
            </w:r>
          </w:p>
        </w:tc>
        <w:tc>
          <w:tcPr>
            <w:tcW w:w="2268" w:type="dxa"/>
            <w:vAlign w:val="center"/>
          </w:tcPr>
          <w:p w14:paraId="13374DF2">
            <w:pPr>
              <w:pStyle w:val="12"/>
            </w:pPr>
            <w:r>
              <w:t>≥95%</w:t>
            </w:r>
          </w:p>
        </w:tc>
        <w:tc>
          <w:tcPr>
            <w:tcW w:w="1276" w:type="dxa"/>
            <w:vAlign w:val="center"/>
          </w:tcPr>
          <w:p w14:paraId="40D2F572">
            <w:pPr>
              <w:pStyle w:val="12"/>
            </w:pPr>
            <w:r>
              <w:t>调查问卷</w:t>
            </w:r>
          </w:p>
        </w:tc>
      </w:tr>
    </w:tbl>
    <w:p w14:paraId="6B43460E">
      <w:pPr>
        <w:sectPr>
          <w:pgSz w:w="16840" w:h="11900" w:orient="landscape"/>
          <w:pgMar w:top="1361" w:right="1020" w:bottom="1134" w:left="1020" w:header="720" w:footer="720" w:gutter="0"/>
          <w:cols w:space="720" w:num="1"/>
        </w:sectPr>
      </w:pPr>
    </w:p>
    <w:p w14:paraId="298497C8">
      <w:pPr>
        <w:spacing w:before="0" w:after="0"/>
        <w:ind w:firstLine="560"/>
        <w:jc w:val="left"/>
        <w:outlineLvl w:val="9"/>
      </w:pPr>
      <w:r>
        <w:rPr>
          <w:rFonts w:ascii="方正仿宋_GBK" w:hAnsi="方正仿宋_GBK" w:eastAsia="方正仿宋_GBK" w:cs="方正仿宋_GBK"/>
          <w:b/>
          <w:color w:val="000000"/>
          <w:sz w:val="28"/>
        </w:rPr>
        <w:t>12、冀财教[2025]147号/省级/2026年义教补助经费/大张庄校区大曹庄小学公用经费绩效目标表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FA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4A51A">
            <w:pPr>
              <w:pStyle w:val="11"/>
            </w:pPr>
            <w:r>
              <w:t>单位：万元</w:t>
            </w:r>
          </w:p>
        </w:tc>
      </w:tr>
      <w:tr w14:paraId="58806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A3A1F">
            <w:pPr>
              <w:pStyle w:val="10"/>
            </w:pPr>
            <w:r>
              <w:t>项目编码</w:t>
            </w:r>
          </w:p>
        </w:tc>
        <w:tc>
          <w:tcPr>
            <w:tcW w:w="5103" w:type="dxa"/>
            <w:gridSpan w:val="2"/>
            <w:vAlign w:val="center"/>
          </w:tcPr>
          <w:p w14:paraId="09CE7159">
            <w:pPr>
              <w:pStyle w:val="12"/>
            </w:pPr>
            <w:r>
              <w:t>13052526P00000410385B</w:t>
            </w:r>
          </w:p>
        </w:tc>
        <w:tc>
          <w:tcPr>
            <w:tcW w:w="2835" w:type="dxa"/>
            <w:vAlign w:val="center"/>
          </w:tcPr>
          <w:p w14:paraId="42381223">
            <w:pPr>
              <w:pStyle w:val="10"/>
            </w:pPr>
            <w:r>
              <w:t>项目名称</w:t>
            </w:r>
          </w:p>
        </w:tc>
        <w:tc>
          <w:tcPr>
            <w:tcW w:w="6095" w:type="dxa"/>
            <w:gridSpan w:val="3"/>
            <w:vAlign w:val="center"/>
          </w:tcPr>
          <w:p w14:paraId="0D6246A5">
            <w:pPr>
              <w:pStyle w:val="12"/>
            </w:pPr>
            <w:r>
              <w:t>冀财教[2025]147号/省级/2026年义教补助经费/大张庄校区大曹庄小学公用经费</w:t>
            </w:r>
          </w:p>
        </w:tc>
      </w:tr>
      <w:tr w14:paraId="246CB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C8A3">
            <w:pPr>
              <w:pStyle w:val="10"/>
            </w:pPr>
            <w:r>
              <w:t>预算规模及资金用途</w:t>
            </w:r>
          </w:p>
        </w:tc>
        <w:tc>
          <w:tcPr>
            <w:tcW w:w="2268" w:type="dxa"/>
            <w:vAlign w:val="center"/>
          </w:tcPr>
          <w:p w14:paraId="762D7842">
            <w:pPr>
              <w:pStyle w:val="10"/>
            </w:pPr>
            <w:r>
              <w:t>预算数</w:t>
            </w:r>
          </w:p>
        </w:tc>
        <w:tc>
          <w:tcPr>
            <w:tcW w:w="2835" w:type="dxa"/>
            <w:vAlign w:val="center"/>
          </w:tcPr>
          <w:p w14:paraId="0EE33578">
            <w:pPr>
              <w:pStyle w:val="12"/>
            </w:pPr>
            <w:r>
              <w:t>3.39</w:t>
            </w:r>
          </w:p>
        </w:tc>
        <w:tc>
          <w:tcPr>
            <w:tcW w:w="2835" w:type="dxa"/>
            <w:vAlign w:val="center"/>
          </w:tcPr>
          <w:p w14:paraId="25E97A6E">
            <w:pPr>
              <w:pStyle w:val="10"/>
            </w:pPr>
            <w:r>
              <w:t>其中：财政    资金</w:t>
            </w:r>
          </w:p>
        </w:tc>
        <w:tc>
          <w:tcPr>
            <w:tcW w:w="2551" w:type="dxa"/>
            <w:vAlign w:val="center"/>
          </w:tcPr>
          <w:p w14:paraId="13179316">
            <w:pPr>
              <w:pStyle w:val="12"/>
            </w:pPr>
            <w:r>
              <w:t>3.39</w:t>
            </w:r>
          </w:p>
        </w:tc>
        <w:tc>
          <w:tcPr>
            <w:tcW w:w="2268" w:type="dxa"/>
            <w:vAlign w:val="center"/>
          </w:tcPr>
          <w:p w14:paraId="46D7BC5C">
            <w:pPr>
              <w:pStyle w:val="10"/>
            </w:pPr>
            <w:r>
              <w:t>其他资金</w:t>
            </w:r>
          </w:p>
        </w:tc>
        <w:tc>
          <w:tcPr>
            <w:tcW w:w="1276" w:type="dxa"/>
            <w:vAlign w:val="center"/>
          </w:tcPr>
          <w:p w14:paraId="687D0CE3">
            <w:pPr>
              <w:pStyle w:val="12"/>
            </w:pPr>
            <w:r>
              <w:t xml:space="preserve"> </w:t>
            </w:r>
          </w:p>
        </w:tc>
      </w:tr>
      <w:tr w14:paraId="1D1F9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77206"/>
        </w:tc>
        <w:tc>
          <w:tcPr>
            <w:tcW w:w="14033" w:type="dxa"/>
            <w:gridSpan w:val="6"/>
            <w:vAlign w:val="center"/>
          </w:tcPr>
          <w:p w14:paraId="7E274CDC">
            <w:pPr>
              <w:pStyle w:val="12"/>
            </w:pPr>
            <w:r>
              <w:t>为保证学校正常运转和改善办学条件。</w:t>
            </w:r>
          </w:p>
        </w:tc>
      </w:tr>
      <w:tr w14:paraId="2D4F7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65F03">
            <w:pPr>
              <w:pStyle w:val="10"/>
            </w:pPr>
            <w:r>
              <w:t>资金支出计划（%）</w:t>
            </w:r>
          </w:p>
        </w:tc>
        <w:tc>
          <w:tcPr>
            <w:tcW w:w="5103" w:type="dxa"/>
            <w:gridSpan w:val="2"/>
            <w:vAlign w:val="center"/>
          </w:tcPr>
          <w:p w14:paraId="43C249D9">
            <w:pPr>
              <w:pStyle w:val="10"/>
            </w:pPr>
            <w:r>
              <w:t>3月底</w:t>
            </w:r>
          </w:p>
        </w:tc>
        <w:tc>
          <w:tcPr>
            <w:tcW w:w="2835" w:type="dxa"/>
            <w:vAlign w:val="center"/>
          </w:tcPr>
          <w:p w14:paraId="2F2FE9D3">
            <w:pPr>
              <w:pStyle w:val="10"/>
            </w:pPr>
            <w:r>
              <w:t>6月底</w:t>
            </w:r>
          </w:p>
        </w:tc>
        <w:tc>
          <w:tcPr>
            <w:tcW w:w="2551" w:type="dxa"/>
            <w:vAlign w:val="center"/>
          </w:tcPr>
          <w:p w14:paraId="1BB333CE">
            <w:pPr>
              <w:pStyle w:val="10"/>
            </w:pPr>
            <w:r>
              <w:t>10月底</w:t>
            </w:r>
          </w:p>
        </w:tc>
        <w:tc>
          <w:tcPr>
            <w:tcW w:w="3544" w:type="dxa"/>
            <w:gridSpan w:val="2"/>
            <w:vAlign w:val="center"/>
          </w:tcPr>
          <w:p w14:paraId="19F94D30">
            <w:pPr>
              <w:pStyle w:val="10"/>
            </w:pPr>
            <w:r>
              <w:t>12月底</w:t>
            </w:r>
          </w:p>
        </w:tc>
      </w:tr>
      <w:tr w14:paraId="2A616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E3D7E"/>
        </w:tc>
        <w:tc>
          <w:tcPr>
            <w:tcW w:w="5103" w:type="dxa"/>
            <w:gridSpan w:val="2"/>
            <w:vAlign w:val="center"/>
          </w:tcPr>
          <w:p w14:paraId="13D1B6B9">
            <w:pPr>
              <w:pStyle w:val="13"/>
            </w:pPr>
            <w:r>
              <w:t>25%</w:t>
            </w:r>
          </w:p>
        </w:tc>
        <w:tc>
          <w:tcPr>
            <w:tcW w:w="2835" w:type="dxa"/>
            <w:vAlign w:val="center"/>
          </w:tcPr>
          <w:p w14:paraId="325633D5">
            <w:pPr>
              <w:pStyle w:val="13"/>
            </w:pPr>
            <w:r>
              <w:t>50%</w:t>
            </w:r>
          </w:p>
        </w:tc>
        <w:tc>
          <w:tcPr>
            <w:tcW w:w="2551" w:type="dxa"/>
            <w:vAlign w:val="center"/>
          </w:tcPr>
          <w:p w14:paraId="4A4BDA16">
            <w:pPr>
              <w:pStyle w:val="13"/>
            </w:pPr>
            <w:r>
              <w:t>75%</w:t>
            </w:r>
          </w:p>
        </w:tc>
        <w:tc>
          <w:tcPr>
            <w:tcW w:w="3544" w:type="dxa"/>
            <w:gridSpan w:val="2"/>
            <w:vAlign w:val="center"/>
          </w:tcPr>
          <w:p w14:paraId="720777E1">
            <w:pPr>
              <w:pStyle w:val="13"/>
            </w:pPr>
            <w:r>
              <w:t>100%</w:t>
            </w:r>
          </w:p>
        </w:tc>
      </w:tr>
      <w:tr w14:paraId="5B862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476B6">
            <w:pPr>
              <w:pStyle w:val="10"/>
            </w:pPr>
            <w:r>
              <w:t>绩效目标</w:t>
            </w:r>
          </w:p>
        </w:tc>
        <w:tc>
          <w:tcPr>
            <w:tcW w:w="14033" w:type="dxa"/>
            <w:gridSpan w:val="6"/>
            <w:vAlign w:val="center"/>
          </w:tcPr>
          <w:p w14:paraId="1E0D174C">
            <w:pPr>
              <w:pStyle w:val="12"/>
            </w:pPr>
            <w:r>
              <w:t>1.按拨款序时进度完成经费拨付和支出。</w:t>
            </w:r>
          </w:p>
          <w:p w14:paraId="040EA46F">
            <w:pPr>
              <w:pStyle w:val="12"/>
            </w:pPr>
            <w:r>
              <w:t>2.为保证学校正常运转和改善办学条件。</w:t>
            </w:r>
          </w:p>
        </w:tc>
      </w:tr>
    </w:tbl>
    <w:p w14:paraId="72761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8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0AA5C">
            <w:pPr>
              <w:pStyle w:val="10"/>
            </w:pPr>
            <w:r>
              <w:t>一级指标</w:t>
            </w:r>
          </w:p>
        </w:tc>
        <w:tc>
          <w:tcPr>
            <w:tcW w:w="2268" w:type="dxa"/>
            <w:vAlign w:val="center"/>
          </w:tcPr>
          <w:p w14:paraId="149BA4C7">
            <w:pPr>
              <w:pStyle w:val="10"/>
            </w:pPr>
            <w:r>
              <w:t>二级指标</w:t>
            </w:r>
          </w:p>
        </w:tc>
        <w:tc>
          <w:tcPr>
            <w:tcW w:w="2835" w:type="dxa"/>
            <w:vAlign w:val="center"/>
          </w:tcPr>
          <w:p w14:paraId="2469CE46">
            <w:pPr>
              <w:pStyle w:val="10"/>
            </w:pPr>
            <w:r>
              <w:t>三级指标</w:t>
            </w:r>
          </w:p>
        </w:tc>
        <w:tc>
          <w:tcPr>
            <w:tcW w:w="5386" w:type="dxa"/>
            <w:vAlign w:val="center"/>
          </w:tcPr>
          <w:p w14:paraId="519C8E26">
            <w:pPr>
              <w:pStyle w:val="10"/>
            </w:pPr>
            <w:r>
              <w:t>绩效指标描述</w:t>
            </w:r>
          </w:p>
        </w:tc>
        <w:tc>
          <w:tcPr>
            <w:tcW w:w="2268" w:type="dxa"/>
            <w:vAlign w:val="center"/>
          </w:tcPr>
          <w:p w14:paraId="57006B99">
            <w:pPr>
              <w:pStyle w:val="10"/>
            </w:pPr>
            <w:r>
              <w:t>指标值</w:t>
            </w:r>
          </w:p>
        </w:tc>
        <w:tc>
          <w:tcPr>
            <w:tcW w:w="1276" w:type="dxa"/>
            <w:vAlign w:val="center"/>
          </w:tcPr>
          <w:p w14:paraId="5A357C35">
            <w:pPr>
              <w:pStyle w:val="10"/>
            </w:pPr>
            <w:r>
              <w:t>指标值确定依据</w:t>
            </w:r>
          </w:p>
        </w:tc>
      </w:tr>
      <w:tr w14:paraId="7D31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F16CD">
            <w:pPr>
              <w:pStyle w:val="13"/>
            </w:pPr>
            <w:r>
              <w:t>产出指标</w:t>
            </w:r>
          </w:p>
        </w:tc>
        <w:tc>
          <w:tcPr>
            <w:tcW w:w="2268" w:type="dxa"/>
            <w:vAlign w:val="center"/>
          </w:tcPr>
          <w:p w14:paraId="71E05AD1">
            <w:pPr>
              <w:pStyle w:val="12"/>
            </w:pPr>
            <w:r>
              <w:t>数量指标</w:t>
            </w:r>
          </w:p>
        </w:tc>
        <w:tc>
          <w:tcPr>
            <w:tcW w:w="2835" w:type="dxa"/>
            <w:vAlign w:val="center"/>
          </w:tcPr>
          <w:p w14:paraId="68863178">
            <w:pPr>
              <w:pStyle w:val="12"/>
            </w:pPr>
            <w:r>
              <w:t>就读学生数</w:t>
            </w:r>
          </w:p>
        </w:tc>
        <w:tc>
          <w:tcPr>
            <w:tcW w:w="5386" w:type="dxa"/>
            <w:vAlign w:val="center"/>
          </w:tcPr>
          <w:p w14:paraId="79EC9B74">
            <w:pPr>
              <w:pStyle w:val="12"/>
            </w:pPr>
            <w:r>
              <w:t>辐射区域内适龄学生人数</w:t>
            </w:r>
          </w:p>
        </w:tc>
        <w:tc>
          <w:tcPr>
            <w:tcW w:w="2268" w:type="dxa"/>
            <w:vAlign w:val="center"/>
          </w:tcPr>
          <w:p w14:paraId="7EC3033F">
            <w:pPr>
              <w:pStyle w:val="12"/>
            </w:pPr>
            <w:r>
              <w:t>101人</w:t>
            </w:r>
          </w:p>
        </w:tc>
        <w:tc>
          <w:tcPr>
            <w:tcW w:w="1276" w:type="dxa"/>
            <w:vAlign w:val="center"/>
          </w:tcPr>
          <w:p w14:paraId="5A20FF31">
            <w:pPr>
              <w:pStyle w:val="12"/>
            </w:pPr>
            <w:r>
              <w:t>城乡义务教育公用经费管理办法</w:t>
            </w:r>
          </w:p>
        </w:tc>
      </w:tr>
      <w:tr w14:paraId="4E93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3DE24"/>
        </w:tc>
        <w:tc>
          <w:tcPr>
            <w:tcW w:w="2268" w:type="dxa"/>
            <w:vAlign w:val="center"/>
          </w:tcPr>
          <w:p w14:paraId="738BE4C2">
            <w:pPr>
              <w:pStyle w:val="12"/>
            </w:pPr>
            <w:r>
              <w:t>质量指标</w:t>
            </w:r>
          </w:p>
        </w:tc>
        <w:tc>
          <w:tcPr>
            <w:tcW w:w="2835" w:type="dxa"/>
            <w:vAlign w:val="center"/>
          </w:tcPr>
          <w:p w14:paraId="15BD54FC">
            <w:pPr>
              <w:pStyle w:val="12"/>
            </w:pPr>
            <w:r>
              <w:t>预算执行率</w:t>
            </w:r>
          </w:p>
        </w:tc>
        <w:tc>
          <w:tcPr>
            <w:tcW w:w="5386" w:type="dxa"/>
            <w:vAlign w:val="center"/>
          </w:tcPr>
          <w:p w14:paraId="489B65C9">
            <w:pPr>
              <w:pStyle w:val="12"/>
            </w:pPr>
            <w:r>
              <w:t>预算执行率≥98%</w:t>
            </w:r>
          </w:p>
        </w:tc>
        <w:tc>
          <w:tcPr>
            <w:tcW w:w="2268" w:type="dxa"/>
            <w:vAlign w:val="center"/>
          </w:tcPr>
          <w:p w14:paraId="5226DB09">
            <w:pPr>
              <w:pStyle w:val="12"/>
            </w:pPr>
            <w:r>
              <w:t>≥98%</w:t>
            </w:r>
          </w:p>
        </w:tc>
        <w:tc>
          <w:tcPr>
            <w:tcW w:w="1276" w:type="dxa"/>
            <w:vAlign w:val="center"/>
          </w:tcPr>
          <w:p w14:paraId="0202DC88">
            <w:pPr>
              <w:pStyle w:val="12"/>
            </w:pPr>
            <w:r>
              <w:t>城乡义务教育公用经费管理办法</w:t>
            </w:r>
          </w:p>
        </w:tc>
      </w:tr>
      <w:tr w14:paraId="0065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135B"/>
        </w:tc>
        <w:tc>
          <w:tcPr>
            <w:tcW w:w="2268" w:type="dxa"/>
            <w:vAlign w:val="center"/>
          </w:tcPr>
          <w:p w14:paraId="23CF9DF8">
            <w:pPr>
              <w:pStyle w:val="12"/>
            </w:pPr>
            <w:r>
              <w:t>时效指标</w:t>
            </w:r>
          </w:p>
        </w:tc>
        <w:tc>
          <w:tcPr>
            <w:tcW w:w="2835" w:type="dxa"/>
            <w:vAlign w:val="center"/>
          </w:tcPr>
          <w:p w14:paraId="4784E051">
            <w:pPr>
              <w:pStyle w:val="12"/>
            </w:pPr>
            <w:r>
              <w:t>义教经费支付完成率</w:t>
            </w:r>
          </w:p>
        </w:tc>
        <w:tc>
          <w:tcPr>
            <w:tcW w:w="5386" w:type="dxa"/>
            <w:vAlign w:val="center"/>
          </w:tcPr>
          <w:p w14:paraId="0D005587">
            <w:pPr>
              <w:pStyle w:val="12"/>
            </w:pPr>
            <w:r>
              <w:t>按照序时进度完成资金支付</w:t>
            </w:r>
          </w:p>
        </w:tc>
        <w:tc>
          <w:tcPr>
            <w:tcW w:w="2268" w:type="dxa"/>
            <w:vAlign w:val="center"/>
          </w:tcPr>
          <w:p w14:paraId="16EBFC61">
            <w:pPr>
              <w:pStyle w:val="12"/>
            </w:pPr>
            <w:r>
              <w:t>≥98%</w:t>
            </w:r>
          </w:p>
        </w:tc>
        <w:tc>
          <w:tcPr>
            <w:tcW w:w="1276" w:type="dxa"/>
            <w:vAlign w:val="center"/>
          </w:tcPr>
          <w:p w14:paraId="6EA4E2BA">
            <w:pPr>
              <w:pStyle w:val="12"/>
            </w:pPr>
            <w:r>
              <w:t>城乡义务教育公用经费管理办法</w:t>
            </w:r>
          </w:p>
        </w:tc>
      </w:tr>
      <w:tr w14:paraId="600D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9B0C0"/>
        </w:tc>
        <w:tc>
          <w:tcPr>
            <w:tcW w:w="2268" w:type="dxa"/>
            <w:vAlign w:val="center"/>
          </w:tcPr>
          <w:p w14:paraId="3CBF2D41">
            <w:pPr>
              <w:pStyle w:val="12"/>
            </w:pPr>
            <w:r>
              <w:t>成本指标</w:t>
            </w:r>
          </w:p>
        </w:tc>
        <w:tc>
          <w:tcPr>
            <w:tcW w:w="2835" w:type="dxa"/>
            <w:vAlign w:val="center"/>
          </w:tcPr>
          <w:p w14:paraId="1D110678">
            <w:pPr>
              <w:pStyle w:val="12"/>
            </w:pPr>
            <w:r>
              <w:t>生均拨款标准</w:t>
            </w:r>
          </w:p>
        </w:tc>
        <w:tc>
          <w:tcPr>
            <w:tcW w:w="5386" w:type="dxa"/>
            <w:vAlign w:val="center"/>
          </w:tcPr>
          <w:p w14:paraId="61A20F3F">
            <w:pPr>
              <w:pStyle w:val="12"/>
            </w:pPr>
            <w:r>
              <w:t>小学生公用经费生均小学720元，取暖费120元/生/年，住宿生补助300元/生/年，随班就读学生补助7000元/生</w:t>
            </w:r>
          </w:p>
        </w:tc>
        <w:tc>
          <w:tcPr>
            <w:tcW w:w="2268" w:type="dxa"/>
            <w:vAlign w:val="center"/>
          </w:tcPr>
          <w:p w14:paraId="56CB0B98">
            <w:pPr>
              <w:pStyle w:val="12"/>
            </w:pPr>
            <w:r>
              <w:t>≥840元</w:t>
            </w:r>
          </w:p>
        </w:tc>
        <w:tc>
          <w:tcPr>
            <w:tcW w:w="1276" w:type="dxa"/>
            <w:vAlign w:val="center"/>
          </w:tcPr>
          <w:p w14:paraId="776D4908">
            <w:pPr>
              <w:pStyle w:val="12"/>
            </w:pPr>
            <w:r>
              <w:t>城乡义务教育公用经费管理办法</w:t>
            </w:r>
          </w:p>
        </w:tc>
      </w:tr>
      <w:tr w14:paraId="72EF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F10F4">
            <w:pPr>
              <w:pStyle w:val="13"/>
            </w:pPr>
            <w:r>
              <w:t>效益指标</w:t>
            </w:r>
          </w:p>
        </w:tc>
        <w:tc>
          <w:tcPr>
            <w:tcW w:w="2268" w:type="dxa"/>
            <w:vAlign w:val="center"/>
          </w:tcPr>
          <w:p w14:paraId="02678E55">
            <w:pPr>
              <w:pStyle w:val="12"/>
            </w:pPr>
            <w:r>
              <w:t>社会效益指标</w:t>
            </w:r>
          </w:p>
        </w:tc>
        <w:tc>
          <w:tcPr>
            <w:tcW w:w="2835" w:type="dxa"/>
            <w:vAlign w:val="center"/>
          </w:tcPr>
          <w:p w14:paraId="68341018">
            <w:pPr>
              <w:pStyle w:val="12"/>
            </w:pPr>
            <w:r>
              <w:t>学校运转得到提高</w:t>
            </w:r>
          </w:p>
        </w:tc>
        <w:tc>
          <w:tcPr>
            <w:tcW w:w="5386" w:type="dxa"/>
            <w:vAlign w:val="center"/>
          </w:tcPr>
          <w:p w14:paraId="3A6A32CA">
            <w:pPr>
              <w:pStyle w:val="12"/>
            </w:pPr>
            <w:r>
              <w:t>学生受教育年限</w:t>
            </w:r>
          </w:p>
        </w:tc>
        <w:tc>
          <w:tcPr>
            <w:tcW w:w="2268" w:type="dxa"/>
            <w:vAlign w:val="center"/>
          </w:tcPr>
          <w:p w14:paraId="1DE9E431">
            <w:pPr>
              <w:pStyle w:val="12"/>
            </w:pPr>
            <w:r>
              <w:t>6年</w:t>
            </w:r>
          </w:p>
        </w:tc>
        <w:tc>
          <w:tcPr>
            <w:tcW w:w="1276" w:type="dxa"/>
            <w:vAlign w:val="center"/>
          </w:tcPr>
          <w:p w14:paraId="7AFF0238">
            <w:pPr>
              <w:pStyle w:val="12"/>
            </w:pPr>
            <w:r>
              <w:t>城乡义务教育公用经费管理办法</w:t>
            </w:r>
          </w:p>
        </w:tc>
      </w:tr>
      <w:tr w14:paraId="4AFE0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FC822">
            <w:pPr>
              <w:pStyle w:val="13"/>
            </w:pPr>
            <w:r>
              <w:t>满意度指标</w:t>
            </w:r>
          </w:p>
        </w:tc>
        <w:tc>
          <w:tcPr>
            <w:tcW w:w="2268" w:type="dxa"/>
            <w:vAlign w:val="center"/>
          </w:tcPr>
          <w:p w14:paraId="1E5B1574">
            <w:pPr>
              <w:pStyle w:val="12"/>
            </w:pPr>
            <w:r>
              <w:t>服务对象满意度指标</w:t>
            </w:r>
          </w:p>
        </w:tc>
        <w:tc>
          <w:tcPr>
            <w:tcW w:w="2835" w:type="dxa"/>
            <w:vAlign w:val="center"/>
          </w:tcPr>
          <w:p w14:paraId="662742FA">
            <w:pPr>
              <w:pStyle w:val="12"/>
            </w:pPr>
            <w:r>
              <w:t>服务对象满意度</w:t>
            </w:r>
          </w:p>
        </w:tc>
        <w:tc>
          <w:tcPr>
            <w:tcW w:w="5386" w:type="dxa"/>
            <w:vAlign w:val="center"/>
          </w:tcPr>
          <w:p w14:paraId="42FA1CA5">
            <w:pPr>
              <w:pStyle w:val="12"/>
            </w:pPr>
            <w:r>
              <w:t>学校老师和学生满意度</w:t>
            </w:r>
          </w:p>
        </w:tc>
        <w:tc>
          <w:tcPr>
            <w:tcW w:w="2268" w:type="dxa"/>
            <w:vAlign w:val="center"/>
          </w:tcPr>
          <w:p w14:paraId="036108B6">
            <w:pPr>
              <w:pStyle w:val="12"/>
            </w:pPr>
            <w:r>
              <w:t>≥95%</w:t>
            </w:r>
          </w:p>
        </w:tc>
        <w:tc>
          <w:tcPr>
            <w:tcW w:w="1276" w:type="dxa"/>
            <w:vAlign w:val="center"/>
          </w:tcPr>
          <w:p w14:paraId="00ABBC4E">
            <w:pPr>
              <w:pStyle w:val="12"/>
            </w:pPr>
            <w:r>
              <w:t>城乡义务教育公用经费管理办法</w:t>
            </w:r>
          </w:p>
        </w:tc>
      </w:tr>
    </w:tbl>
    <w:p w14:paraId="13855831">
      <w:pPr>
        <w:sectPr>
          <w:pgSz w:w="16840" w:h="11900" w:orient="landscape"/>
          <w:pgMar w:top="1361" w:right="1020" w:bottom="1134" w:left="1020" w:header="720" w:footer="720" w:gutter="0"/>
          <w:cols w:space="720" w:num="1"/>
        </w:sectPr>
      </w:pPr>
    </w:p>
    <w:p w14:paraId="3C666A7D">
      <w:pPr>
        <w:spacing w:before="0" w:after="0"/>
        <w:ind w:firstLine="560"/>
        <w:jc w:val="left"/>
        <w:outlineLvl w:val="9"/>
      </w:pPr>
      <w:r>
        <w:rPr>
          <w:rFonts w:ascii="方正仿宋_GBK" w:hAnsi="方正仿宋_GBK" w:eastAsia="方正仿宋_GBK" w:cs="方正仿宋_GBK"/>
          <w:b/>
          <w:color w:val="000000"/>
          <w:sz w:val="28"/>
        </w:rPr>
        <w:t>13、冀财教[2025]147号/省级/2026年义教补助经费/大张庄校区大张家庄小学公用经费绩效目标表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04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B46B5">
            <w:pPr>
              <w:pStyle w:val="11"/>
            </w:pPr>
            <w:r>
              <w:t>单位：万元</w:t>
            </w:r>
          </w:p>
        </w:tc>
      </w:tr>
      <w:tr w14:paraId="7E762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F0C74">
            <w:pPr>
              <w:pStyle w:val="10"/>
            </w:pPr>
            <w:r>
              <w:t>项目编码</w:t>
            </w:r>
          </w:p>
        </w:tc>
        <w:tc>
          <w:tcPr>
            <w:tcW w:w="5103" w:type="dxa"/>
            <w:gridSpan w:val="2"/>
            <w:vAlign w:val="center"/>
          </w:tcPr>
          <w:p w14:paraId="599F61B3">
            <w:pPr>
              <w:pStyle w:val="12"/>
            </w:pPr>
            <w:r>
              <w:t>13052526P00000410386Y</w:t>
            </w:r>
          </w:p>
        </w:tc>
        <w:tc>
          <w:tcPr>
            <w:tcW w:w="2835" w:type="dxa"/>
            <w:vAlign w:val="center"/>
          </w:tcPr>
          <w:p w14:paraId="1AC4873E">
            <w:pPr>
              <w:pStyle w:val="10"/>
            </w:pPr>
            <w:r>
              <w:t>项目名称</w:t>
            </w:r>
          </w:p>
        </w:tc>
        <w:tc>
          <w:tcPr>
            <w:tcW w:w="6095" w:type="dxa"/>
            <w:gridSpan w:val="3"/>
            <w:vAlign w:val="center"/>
          </w:tcPr>
          <w:p w14:paraId="6CE6B98A">
            <w:pPr>
              <w:pStyle w:val="12"/>
            </w:pPr>
            <w:r>
              <w:t>冀财教[2025]147号/省级/2026年义教补助经费/大张庄校区大张家庄小学公用经费</w:t>
            </w:r>
          </w:p>
        </w:tc>
      </w:tr>
      <w:tr w14:paraId="5F39F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9D3D7">
            <w:pPr>
              <w:pStyle w:val="10"/>
            </w:pPr>
            <w:r>
              <w:t>预算规模及资金用途</w:t>
            </w:r>
          </w:p>
        </w:tc>
        <w:tc>
          <w:tcPr>
            <w:tcW w:w="2268" w:type="dxa"/>
            <w:vAlign w:val="center"/>
          </w:tcPr>
          <w:p w14:paraId="45B4A02F">
            <w:pPr>
              <w:pStyle w:val="10"/>
            </w:pPr>
            <w:r>
              <w:t>预算数</w:t>
            </w:r>
          </w:p>
        </w:tc>
        <w:tc>
          <w:tcPr>
            <w:tcW w:w="2835" w:type="dxa"/>
            <w:vAlign w:val="center"/>
          </w:tcPr>
          <w:p w14:paraId="5B8A275D">
            <w:pPr>
              <w:pStyle w:val="12"/>
            </w:pPr>
            <w:r>
              <w:t>30.27</w:t>
            </w:r>
          </w:p>
        </w:tc>
        <w:tc>
          <w:tcPr>
            <w:tcW w:w="2835" w:type="dxa"/>
            <w:vAlign w:val="center"/>
          </w:tcPr>
          <w:p w14:paraId="56CCE27A">
            <w:pPr>
              <w:pStyle w:val="10"/>
            </w:pPr>
            <w:r>
              <w:t>其中：财政    资金</w:t>
            </w:r>
          </w:p>
        </w:tc>
        <w:tc>
          <w:tcPr>
            <w:tcW w:w="2551" w:type="dxa"/>
            <w:vAlign w:val="center"/>
          </w:tcPr>
          <w:p w14:paraId="67B13FE9">
            <w:pPr>
              <w:pStyle w:val="12"/>
            </w:pPr>
            <w:r>
              <w:t>30.27</w:t>
            </w:r>
          </w:p>
        </w:tc>
        <w:tc>
          <w:tcPr>
            <w:tcW w:w="2268" w:type="dxa"/>
            <w:vAlign w:val="center"/>
          </w:tcPr>
          <w:p w14:paraId="7968BCAB">
            <w:pPr>
              <w:pStyle w:val="10"/>
            </w:pPr>
            <w:r>
              <w:t>其他资金</w:t>
            </w:r>
          </w:p>
        </w:tc>
        <w:tc>
          <w:tcPr>
            <w:tcW w:w="1276" w:type="dxa"/>
            <w:vAlign w:val="center"/>
          </w:tcPr>
          <w:p w14:paraId="75DF887A">
            <w:pPr>
              <w:pStyle w:val="12"/>
            </w:pPr>
            <w:r>
              <w:t xml:space="preserve"> </w:t>
            </w:r>
          </w:p>
        </w:tc>
      </w:tr>
      <w:tr w14:paraId="33662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2E374"/>
        </w:tc>
        <w:tc>
          <w:tcPr>
            <w:tcW w:w="14033" w:type="dxa"/>
            <w:gridSpan w:val="6"/>
            <w:vAlign w:val="center"/>
          </w:tcPr>
          <w:p w14:paraId="3717603E">
            <w:pPr>
              <w:pStyle w:val="12"/>
            </w:pPr>
            <w:r>
              <w:t>为保证学校正常运转和改善办学条件。</w:t>
            </w:r>
          </w:p>
        </w:tc>
      </w:tr>
      <w:tr w14:paraId="5F5A6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28AF">
            <w:pPr>
              <w:pStyle w:val="10"/>
            </w:pPr>
            <w:r>
              <w:t>资金支出计划（%）</w:t>
            </w:r>
          </w:p>
        </w:tc>
        <w:tc>
          <w:tcPr>
            <w:tcW w:w="5103" w:type="dxa"/>
            <w:gridSpan w:val="2"/>
            <w:vAlign w:val="center"/>
          </w:tcPr>
          <w:p w14:paraId="38A80A21">
            <w:pPr>
              <w:pStyle w:val="10"/>
            </w:pPr>
            <w:r>
              <w:t>3月底</w:t>
            </w:r>
          </w:p>
        </w:tc>
        <w:tc>
          <w:tcPr>
            <w:tcW w:w="2835" w:type="dxa"/>
            <w:vAlign w:val="center"/>
          </w:tcPr>
          <w:p w14:paraId="56675090">
            <w:pPr>
              <w:pStyle w:val="10"/>
            </w:pPr>
            <w:r>
              <w:t>6月底</w:t>
            </w:r>
          </w:p>
        </w:tc>
        <w:tc>
          <w:tcPr>
            <w:tcW w:w="2551" w:type="dxa"/>
            <w:vAlign w:val="center"/>
          </w:tcPr>
          <w:p w14:paraId="6477EFA4">
            <w:pPr>
              <w:pStyle w:val="10"/>
            </w:pPr>
            <w:r>
              <w:t>10月底</w:t>
            </w:r>
          </w:p>
        </w:tc>
        <w:tc>
          <w:tcPr>
            <w:tcW w:w="3544" w:type="dxa"/>
            <w:gridSpan w:val="2"/>
            <w:vAlign w:val="center"/>
          </w:tcPr>
          <w:p w14:paraId="1B51E793">
            <w:pPr>
              <w:pStyle w:val="10"/>
            </w:pPr>
            <w:r>
              <w:t>12月底</w:t>
            </w:r>
          </w:p>
        </w:tc>
      </w:tr>
      <w:tr w14:paraId="1CC89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6ED1E"/>
        </w:tc>
        <w:tc>
          <w:tcPr>
            <w:tcW w:w="5103" w:type="dxa"/>
            <w:gridSpan w:val="2"/>
            <w:vAlign w:val="center"/>
          </w:tcPr>
          <w:p w14:paraId="2A387C73">
            <w:pPr>
              <w:pStyle w:val="13"/>
            </w:pPr>
            <w:r>
              <w:t>25%</w:t>
            </w:r>
          </w:p>
        </w:tc>
        <w:tc>
          <w:tcPr>
            <w:tcW w:w="2835" w:type="dxa"/>
            <w:vAlign w:val="center"/>
          </w:tcPr>
          <w:p w14:paraId="2F72F918">
            <w:pPr>
              <w:pStyle w:val="13"/>
            </w:pPr>
            <w:r>
              <w:t>50%</w:t>
            </w:r>
          </w:p>
        </w:tc>
        <w:tc>
          <w:tcPr>
            <w:tcW w:w="2551" w:type="dxa"/>
            <w:vAlign w:val="center"/>
          </w:tcPr>
          <w:p w14:paraId="0AF9B238">
            <w:pPr>
              <w:pStyle w:val="13"/>
            </w:pPr>
            <w:r>
              <w:t>75%</w:t>
            </w:r>
          </w:p>
        </w:tc>
        <w:tc>
          <w:tcPr>
            <w:tcW w:w="3544" w:type="dxa"/>
            <w:gridSpan w:val="2"/>
            <w:vAlign w:val="center"/>
          </w:tcPr>
          <w:p w14:paraId="1C88B719">
            <w:pPr>
              <w:pStyle w:val="13"/>
            </w:pPr>
            <w:r>
              <w:t>100%</w:t>
            </w:r>
          </w:p>
        </w:tc>
      </w:tr>
      <w:tr w14:paraId="30CA2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2FB67">
            <w:pPr>
              <w:pStyle w:val="10"/>
            </w:pPr>
            <w:r>
              <w:t>绩效目标</w:t>
            </w:r>
          </w:p>
        </w:tc>
        <w:tc>
          <w:tcPr>
            <w:tcW w:w="14033" w:type="dxa"/>
            <w:gridSpan w:val="6"/>
            <w:vAlign w:val="center"/>
          </w:tcPr>
          <w:p w14:paraId="67955B8B">
            <w:pPr>
              <w:pStyle w:val="12"/>
            </w:pPr>
            <w:r>
              <w:t>1.按拨款序时进度完成经费拨付和支出。</w:t>
            </w:r>
          </w:p>
          <w:p w14:paraId="0DC73F03">
            <w:pPr>
              <w:pStyle w:val="12"/>
            </w:pPr>
            <w:r>
              <w:t>2.为保证学校正常运转和改善办学条件。</w:t>
            </w:r>
          </w:p>
        </w:tc>
      </w:tr>
    </w:tbl>
    <w:p w14:paraId="145E4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7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9B6F8">
            <w:pPr>
              <w:pStyle w:val="10"/>
            </w:pPr>
            <w:r>
              <w:t>一级指标</w:t>
            </w:r>
          </w:p>
        </w:tc>
        <w:tc>
          <w:tcPr>
            <w:tcW w:w="2268" w:type="dxa"/>
            <w:vAlign w:val="center"/>
          </w:tcPr>
          <w:p w14:paraId="441271A0">
            <w:pPr>
              <w:pStyle w:val="10"/>
            </w:pPr>
            <w:r>
              <w:t>二级指标</w:t>
            </w:r>
          </w:p>
        </w:tc>
        <w:tc>
          <w:tcPr>
            <w:tcW w:w="2835" w:type="dxa"/>
            <w:vAlign w:val="center"/>
          </w:tcPr>
          <w:p w14:paraId="6119B04A">
            <w:pPr>
              <w:pStyle w:val="10"/>
            </w:pPr>
            <w:r>
              <w:t>三级指标</w:t>
            </w:r>
          </w:p>
        </w:tc>
        <w:tc>
          <w:tcPr>
            <w:tcW w:w="5386" w:type="dxa"/>
            <w:vAlign w:val="center"/>
          </w:tcPr>
          <w:p w14:paraId="4E0A431D">
            <w:pPr>
              <w:pStyle w:val="10"/>
            </w:pPr>
            <w:r>
              <w:t>绩效指标描述</w:t>
            </w:r>
          </w:p>
        </w:tc>
        <w:tc>
          <w:tcPr>
            <w:tcW w:w="2268" w:type="dxa"/>
            <w:vAlign w:val="center"/>
          </w:tcPr>
          <w:p w14:paraId="724F6383">
            <w:pPr>
              <w:pStyle w:val="10"/>
            </w:pPr>
            <w:r>
              <w:t>指标值</w:t>
            </w:r>
          </w:p>
        </w:tc>
        <w:tc>
          <w:tcPr>
            <w:tcW w:w="1276" w:type="dxa"/>
            <w:vAlign w:val="center"/>
          </w:tcPr>
          <w:p w14:paraId="7BD396E3">
            <w:pPr>
              <w:pStyle w:val="10"/>
            </w:pPr>
            <w:r>
              <w:t>指标值确定依据</w:t>
            </w:r>
          </w:p>
        </w:tc>
      </w:tr>
      <w:tr w14:paraId="3ACE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DE291">
            <w:pPr>
              <w:pStyle w:val="13"/>
            </w:pPr>
            <w:r>
              <w:t>产出指标</w:t>
            </w:r>
          </w:p>
        </w:tc>
        <w:tc>
          <w:tcPr>
            <w:tcW w:w="2268" w:type="dxa"/>
            <w:vAlign w:val="center"/>
          </w:tcPr>
          <w:p w14:paraId="1B0F8242">
            <w:pPr>
              <w:pStyle w:val="12"/>
            </w:pPr>
            <w:r>
              <w:t>数量指标</w:t>
            </w:r>
          </w:p>
        </w:tc>
        <w:tc>
          <w:tcPr>
            <w:tcW w:w="2835" w:type="dxa"/>
            <w:vAlign w:val="center"/>
          </w:tcPr>
          <w:p w14:paraId="39C2A4E2">
            <w:pPr>
              <w:pStyle w:val="12"/>
            </w:pPr>
            <w:r>
              <w:t>就读学生数</w:t>
            </w:r>
          </w:p>
        </w:tc>
        <w:tc>
          <w:tcPr>
            <w:tcW w:w="5386" w:type="dxa"/>
            <w:vAlign w:val="center"/>
          </w:tcPr>
          <w:p w14:paraId="01460BCC">
            <w:pPr>
              <w:pStyle w:val="12"/>
            </w:pPr>
            <w:r>
              <w:t>辐射区域内适龄学生人数</w:t>
            </w:r>
          </w:p>
        </w:tc>
        <w:tc>
          <w:tcPr>
            <w:tcW w:w="2268" w:type="dxa"/>
            <w:vAlign w:val="center"/>
          </w:tcPr>
          <w:p w14:paraId="0FF71ECE">
            <w:pPr>
              <w:pStyle w:val="12"/>
            </w:pPr>
            <w:r>
              <w:t>972人</w:t>
            </w:r>
          </w:p>
        </w:tc>
        <w:tc>
          <w:tcPr>
            <w:tcW w:w="1276" w:type="dxa"/>
            <w:vAlign w:val="center"/>
          </w:tcPr>
          <w:p w14:paraId="68EDAE60">
            <w:pPr>
              <w:pStyle w:val="12"/>
            </w:pPr>
            <w:r>
              <w:t>城乡义务教育公用经费管理办法</w:t>
            </w:r>
          </w:p>
        </w:tc>
      </w:tr>
      <w:tr w14:paraId="348E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14E69"/>
        </w:tc>
        <w:tc>
          <w:tcPr>
            <w:tcW w:w="2268" w:type="dxa"/>
            <w:vAlign w:val="center"/>
          </w:tcPr>
          <w:p w14:paraId="36178C1C">
            <w:pPr>
              <w:pStyle w:val="12"/>
            </w:pPr>
            <w:r>
              <w:t>质量指标</w:t>
            </w:r>
          </w:p>
        </w:tc>
        <w:tc>
          <w:tcPr>
            <w:tcW w:w="2835" w:type="dxa"/>
            <w:vAlign w:val="center"/>
          </w:tcPr>
          <w:p w14:paraId="794DD654">
            <w:pPr>
              <w:pStyle w:val="12"/>
            </w:pPr>
            <w:r>
              <w:t>预算执行率</w:t>
            </w:r>
          </w:p>
        </w:tc>
        <w:tc>
          <w:tcPr>
            <w:tcW w:w="5386" w:type="dxa"/>
            <w:vAlign w:val="center"/>
          </w:tcPr>
          <w:p w14:paraId="6A9DECCB">
            <w:pPr>
              <w:pStyle w:val="12"/>
            </w:pPr>
            <w:r>
              <w:t>预算执行率≥98%</w:t>
            </w:r>
          </w:p>
        </w:tc>
        <w:tc>
          <w:tcPr>
            <w:tcW w:w="2268" w:type="dxa"/>
            <w:vAlign w:val="center"/>
          </w:tcPr>
          <w:p w14:paraId="76336460">
            <w:pPr>
              <w:pStyle w:val="12"/>
            </w:pPr>
            <w:r>
              <w:t>≥98%</w:t>
            </w:r>
          </w:p>
        </w:tc>
        <w:tc>
          <w:tcPr>
            <w:tcW w:w="1276" w:type="dxa"/>
            <w:vAlign w:val="center"/>
          </w:tcPr>
          <w:p w14:paraId="66F87AC5">
            <w:pPr>
              <w:pStyle w:val="12"/>
            </w:pPr>
            <w:r>
              <w:t>城乡义务教育公用经费管理办法</w:t>
            </w:r>
          </w:p>
        </w:tc>
      </w:tr>
      <w:tr w14:paraId="4C46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1690A"/>
        </w:tc>
        <w:tc>
          <w:tcPr>
            <w:tcW w:w="2268" w:type="dxa"/>
            <w:vAlign w:val="center"/>
          </w:tcPr>
          <w:p w14:paraId="54C8914A">
            <w:pPr>
              <w:pStyle w:val="12"/>
            </w:pPr>
            <w:r>
              <w:t>时效指标</w:t>
            </w:r>
          </w:p>
        </w:tc>
        <w:tc>
          <w:tcPr>
            <w:tcW w:w="2835" w:type="dxa"/>
            <w:vAlign w:val="center"/>
          </w:tcPr>
          <w:p w14:paraId="2D72F8CA">
            <w:pPr>
              <w:pStyle w:val="12"/>
            </w:pPr>
            <w:r>
              <w:t>义教经费支付完成率</w:t>
            </w:r>
          </w:p>
        </w:tc>
        <w:tc>
          <w:tcPr>
            <w:tcW w:w="5386" w:type="dxa"/>
            <w:vAlign w:val="center"/>
          </w:tcPr>
          <w:p w14:paraId="48C5CF4C">
            <w:pPr>
              <w:pStyle w:val="12"/>
            </w:pPr>
            <w:r>
              <w:t>按照序时进度完成资金支付</w:t>
            </w:r>
          </w:p>
        </w:tc>
        <w:tc>
          <w:tcPr>
            <w:tcW w:w="2268" w:type="dxa"/>
            <w:vAlign w:val="center"/>
          </w:tcPr>
          <w:p w14:paraId="01262B4F">
            <w:pPr>
              <w:pStyle w:val="12"/>
            </w:pPr>
            <w:r>
              <w:t>≥98%</w:t>
            </w:r>
          </w:p>
        </w:tc>
        <w:tc>
          <w:tcPr>
            <w:tcW w:w="1276" w:type="dxa"/>
            <w:vAlign w:val="center"/>
          </w:tcPr>
          <w:p w14:paraId="3E589771">
            <w:pPr>
              <w:pStyle w:val="12"/>
            </w:pPr>
            <w:r>
              <w:t>城乡义务教育公用经费管理办法</w:t>
            </w:r>
          </w:p>
        </w:tc>
      </w:tr>
      <w:tr w14:paraId="7F76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9F3FD"/>
        </w:tc>
        <w:tc>
          <w:tcPr>
            <w:tcW w:w="2268" w:type="dxa"/>
            <w:vAlign w:val="center"/>
          </w:tcPr>
          <w:p w14:paraId="34FE6531">
            <w:pPr>
              <w:pStyle w:val="12"/>
            </w:pPr>
            <w:r>
              <w:t>成本指标</w:t>
            </w:r>
          </w:p>
        </w:tc>
        <w:tc>
          <w:tcPr>
            <w:tcW w:w="2835" w:type="dxa"/>
            <w:vAlign w:val="center"/>
          </w:tcPr>
          <w:p w14:paraId="636E6D9B">
            <w:pPr>
              <w:pStyle w:val="12"/>
            </w:pPr>
            <w:r>
              <w:t>生均拨款标准</w:t>
            </w:r>
          </w:p>
        </w:tc>
        <w:tc>
          <w:tcPr>
            <w:tcW w:w="5386" w:type="dxa"/>
            <w:vAlign w:val="center"/>
          </w:tcPr>
          <w:p w14:paraId="0E805927">
            <w:pPr>
              <w:pStyle w:val="12"/>
            </w:pPr>
            <w:r>
              <w:t>小学生公用经费生均小学720元，取暖费120元/生/年，住宿生补助300元/生/年，随班就读学生补助7000元/生</w:t>
            </w:r>
          </w:p>
        </w:tc>
        <w:tc>
          <w:tcPr>
            <w:tcW w:w="2268" w:type="dxa"/>
            <w:vAlign w:val="center"/>
          </w:tcPr>
          <w:p w14:paraId="36A94084">
            <w:pPr>
              <w:pStyle w:val="12"/>
            </w:pPr>
            <w:r>
              <w:t>≥840元</w:t>
            </w:r>
          </w:p>
        </w:tc>
        <w:tc>
          <w:tcPr>
            <w:tcW w:w="1276" w:type="dxa"/>
            <w:vAlign w:val="center"/>
          </w:tcPr>
          <w:p w14:paraId="253902C5">
            <w:pPr>
              <w:pStyle w:val="12"/>
            </w:pPr>
            <w:r>
              <w:t>城乡义务教育公用经费管理办法</w:t>
            </w:r>
          </w:p>
        </w:tc>
      </w:tr>
      <w:tr w14:paraId="081D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5DC5C">
            <w:pPr>
              <w:pStyle w:val="13"/>
            </w:pPr>
            <w:r>
              <w:t>效益指标</w:t>
            </w:r>
          </w:p>
        </w:tc>
        <w:tc>
          <w:tcPr>
            <w:tcW w:w="2268" w:type="dxa"/>
            <w:vAlign w:val="center"/>
          </w:tcPr>
          <w:p w14:paraId="419E2D87">
            <w:pPr>
              <w:pStyle w:val="12"/>
            </w:pPr>
            <w:r>
              <w:t>社会效益指标</w:t>
            </w:r>
          </w:p>
        </w:tc>
        <w:tc>
          <w:tcPr>
            <w:tcW w:w="2835" w:type="dxa"/>
            <w:vAlign w:val="center"/>
          </w:tcPr>
          <w:p w14:paraId="34D4E98C">
            <w:pPr>
              <w:pStyle w:val="12"/>
            </w:pPr>
            <w:r>
              <w:t>学校运转得到提高</w:t>
            </w:r>
          </w:p>
        </w:tc>
        <w:tc>
          <w:tcPr>
            <w:tcW w:w="5386" w:type="dxa"/>
            <w:vAlign w:val="center"/>
          </w:tcPr>
          <w:p w14:paraId="0A3A9E08">
            <w:pPr>
              <w:pStyle w:val="12"/>
            </w:pPr>
            <w:r>
              <w:t>学生受教育年限</w:t>
            </w:r>
          </w:p>
        </w:tc>
        <w:tc>
          <w:tcPr>
            <w:tcW w:w="2268" w:type="dxa"/>
            <w:vAlign w:val="center"/>
          </w:tcPr>
          <w:p w14:paraId="15089B89">
            <w:pPr>
              <w:pStyle w:val="12"/>
            </w:pPr>
            <w:r>
              <w:t>6年</w:t>
            </w:r>
          </w:p>
        </w:tc>
        <w:tc>
          <w:tcPr>
            <w:tcW w:w="1276" w:type="dxa"/>
            <w:vAlign w:val="center"/>
          </w:tcPr>
          <w:p w14:paraId="6CB033BD">
            <w:pPr>
              <w:pStyle w:val="12"/>
            </w:pPr>
            <w:r>
              <w:t>城乡义务教育公用经费管理办法</w:t>
            </w:r>
          </w:p>
        </w:tc>
      </w:tr>
      <w:tr w14:paraId="5681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6174E">
            <w:pPr>
              <w:pStyle w:val="13"/>
            </w:pPr>
            <w:r>
              <w:t>满意度指标</w:t>
            </w:r>
          </w:p>
        </w:tc>
        <w:tc>
          <w:tcPr>
            <w:tcW w:w="2268" w:type="dxa"/>
            <w:vAlign w:val="center"/>
          </w:tcPr>
          <w:p w14:paraId="716A09BC">
            <w:pPr>
              <w:pStyle w:val="12"/>
            </w:pPr>
            <w:r>
              <w:t>服务对象满意度指标</w:t>
            </w:r>
          </w:p>
        </w:tc>
        <w:tc>
          <w:tcPr>
            <w:tcW w:w="2835" w:type="dxa"/>
            <w:vAlign w:val="center"/>
          </w:tcPr>
          <w:p w14:paraId="4CA4749A">
            <w:pPr>
              <w:pStyle w:val="12"/>
            </w:pPr>
            <w:r>
              <w:t>服务对象满意度</w:t>
            </w:r>
          </w:p>
        </w:tc>
        <w:tc>
          <w:tcPr>
            <w:tcW w:w="5386" w:type="dxa"/>
            <w:vAlign w:val="center"/>
          </w:tcPr>
          <w:p w14:paraId="02785ADF">
            <w:pPr>
              <w:pStyle w:val="12"/>
            </w:pPr>
            <w:r>
              <w:t>学校老师和学生满意度</w:t>
            </w:r>
          </w:p>
        </w:tc>
        <w:tc>
          <w:tcPr>
            <w:tcW w:w="2268" w:type="dxa"/>
            <w:vAlign w:val="center"/>
          </w:tcPr>
          <w:p w14:paraId="55A0948F">
            <w:pPr>
              <w:pStyle w:val="12"/>
            </w:pPr>
            <w:r>
              <w:t>≥95%</w:t>
            </w:r>
          </w:p>
        </w:tc>
        <w:tc>
          <w:tcPr>
            <w:tcW w:w="1276" w:type="dxa"/>
            <w:vAlign w:val="center"/>
          </w:tcPr>
          <w:p w14:paraId="64B75A1C">
            <w:pPr>
              <w:pStyle w:val="12"/>
            </w:pPr>
            <w:r>
              <w:t>城乡义务教育公用经费管理办法</w:t>
            </w:r>
          </w:p>
        </w:tc>
      </w:tr>
    </w:tbl>
    <w:p w14:paraId="7FEC50E2">
      <w:pPr>
        <w:sectPr>
          <w:pgSz w:w="16840" w:h="11900" w:orient="landscape"/>
          <w:pgMar w:top="1361" w:right="1020" w:bottom="1134" w:left="1020" w:header="720" w:footer="720" w:gutter="0"/>
          <w:cols w:space="720" w:num="1"/>
        </w:sectPr>
      </w:pPr>
    </w:p>
    <w:p w14:paraId="2EF3F268">
      <w:pPr>
        <w:spacing w:before="0" w:after="0"/>
        <w:ind w:firstLine="560"/>
        <w:jc w:val="left"/>
        <w:outlineLvl w:val="9"/>
      </w:pPr>
      <w:r>
        <w:rPr>
          <w:rFonts w:ascii="方正仿宋_GBK" w:hAnsi="方正仿宋_GBK" w:eastAsia="方正仿宋_GBK" w:cs="方正仿宋_GBK"/>
          <w:b/>
          <w:color w:val="000000"/>
          <w:sz w:val="28"/>
        </w:rPr>
        <w:t>14、冀财教[2025]147号/省级/2026年义教补助经费/大张庄校区黄家庄小学公用经费绩效目标表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4B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72C4C">
            <w:pPr>
              <w:pStyle w:val="11"/>
            </w:pPr>
            <w:r>
              <w:t>单位：万元</w:t>
            </w:r>
          </w:p>
        </w:tc>
      </w:tr>
      <w:tr w14:paraId="6A588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57C56">
            <w:pPr>
              <w:pStyle w:val="10"/>
            </w:pPr>
            <w:r>
              <w:t>项目编码</w:t>
            </w:r>
          </w:p>
        </w:tc>
        <w:tc>
          <w:tcPr>
            <w:tcW w:w="5103" w:type="dxa"/>
            <w:gridSpan w:val="2"/>
            <w:vAlign w:val="center"/>
          </w:tcPr>
          <w:p w14:paraId="480C2F5C">
            <w:pPr>
              <w:pStyle w:val="12"/>
            </w:pPr>
            <w:r>
              <w:t>13052526P00000410387J</w:t>
            </w:r>
          </w:p>
        </w:tc>
        <w:tc>
          <w:tcPr>
            <w:tcW w:w="2835" w:type="dxa"/>
            <w:vAlign w:val="center"/>
          </w:tcPr>
          <w:p w14:paraId="41935498">
            <w:pPr>
              <w:pStyle w:val="10"/>
            </w:pPr>
            <w:r>
              <w:t>项目名称</w:t>
            </w:r>
          </w:p>
        </w:tc>
        <w:tc>
          <w:tcPr>
            <w:tcW w:w="6095" w:type="dxa"/>
            <w:gridSpan w:val="3"/>
            <w:vAlign w:val="center"/>
          </w:tcPr>
          <w:p w14:paraId="271C0366">
            <w:pPr>
              <w:pStyle w:val="12"/>
            </w:pPr>
            <w:r>
              <w:t>冀财教[2025]147号/省级/2026年义教补助经费/大张庄校区黄家庄小学公用经费</w:t>
            </w:r>
          </w:p>
        </w:tc>
      </w:tr>
      <w:tr w14:paraId="12AC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15C72">
            <w:pPr>
              <w:pStyle w:val="10"/>
            </w:pPr>
            <w:r>
              <w:t>预算规模及资金用途</w:t>
            </w:r>
          </w:p>
        </w:tc>
        <w:tc>
          <w:tcPr>
            <w:tcW w:w="2268" w:type="dxa"/>
            <w:vAlign w:val="center"/>
          </w:tcPr>
          <w:p w14:paraId="7422708C">
            <w:pPr>
              <w:pStyle w:val="10"/>
            </w:pPr>
            <w:r>
              <w:t>预算数</w:t>
            </w:r>
          </w:p>
        </w:tc>
        <w:tc>
          <w:tcPr>
            <w:tcW w:w="2835" w:type="dxa"/>
            <w:vAlign w:val="center"/>
          </w:tcPr>
          <w:p w14:paraId="0B7C6C4C">
            <w:pPr>
              <w:pStyle w:val="12"/>
            </w:pPr>
            <w:r>
              <w:t>10.90</w:t>
            </w:r>
          </w:p>
        </w:tc>
        <w:tc>
          <w:tcPr>
            <w:tcW w:w="2835" w:type="dxa"/>
            <w:vAlign w:val="center"/>
          </w:tcPr>
          <w:p w14:paraId="0A386C10">
            <w:pPr>
              <w:pStyle w:val="10"/>
            </w:pPr>
            <w:r>
              <w:t>其中：财政    资金</w:t>
            </w:r>
          </w:p>
        </w:tc>
        <w:tc>
          <w:tcPr>
            <w:tcW w:w="2551" w:type="dxa"/>
            <w:vAlign w:val="center"/>
          </w:tcPr>
          <w:p w14:paraId="50BA572E">
            <w:pPr>
              <w:pStyle w:val="12"/>
            </w:pPr>
            <w:r>
              <w:t>10.90</w:t>
            </w:r>
          </w:p>
        </w:tc>
        <w:tc>
          <w:tcPr>
            <w:tcW w:w="2268" w:type="dxa"/>
            <w:vAlign w:val="center"/>
          </w:tcPr>
          <w:p w14:paraId="04711352">
            <w:pPr>
              <w:pStyle w:val="10"/>
            </w:pPr>
            <w:r>
              <w:t>其他资金</w:t>
            </w:r>
          </w:p>
        </w:tc>
        <w:tc>
          <w:tcPr>
            <w:tcW w:w="1276" w:type="dxa"/>
            <w:vAlign w:val="center"/>
          </w:tcPr>
          <w:p w14:paraId="4D0E41F0">
            <w:pPr>
              <w:pStyle w:val="12"/>
            </w:pPr>
            <w:r>
              <w:t xml:space="preserve"> </w:t>
            </w:r>
          </w:p>
        </w:tc>
      </w:tr>
      <w:tr w14:paraId="4551B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3D511"/>
        </w:tc>
        <w:tc>
          <w:tcPr>
            <w:tcW w:w="14033" w:type="dxa"/>
            <w:gridSpan w:val="6"/>
            <w:vAlign w:val="center"/>
          </w:tcPr>
          <w:p w14:paraId="4BED3F59">
            <w:pPr>
              <w:pStyle w:val="12"/>
            </w:pPr>
            <w:r>
              <w:t>为保证学校正常运转和改善办学条件。</w:t>
            </w:r>
          </w:p>
        </w:tc>
      </w:tr>
      <w:tr w14:paraId="78EE1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B4DE5">
            <w:pPr>
              <w:pStyle w:val="10"/>
            </w:pPr>
            <w:r>
              <w:t>资金支出计划（%）</w:t>
            </w:r>
          </w:p>
        </w:tc>
        <w:tc>
          <w:tcPr>
            <w:tcW w:w="5103" w:type="dxa"/>
            <w:gridSpan w:val="2"/>
            <w:vAlign w:val="center"/>
          </w:tcPr>
          <w:p w14:paraId="0DC5D5BC">
            <w:pPr>
              <w:pStyle w:val="10"/>
            </w:pPr>
            <w:r>
              <w:t>3月底</w:t>
            </w:r>
          </w:p>
        </w:tc>
        <w:tc>
          <w:tcPr>
            <w:tcW w:w="2835" w:type="dxa"/>
            <w:vAlign w:val="center"/>
          </w:tcPr>
          <w:p w14:paraId="154AF651">
            <w:pPr>
              <w:pStyle w:val="10"/>
            </w:pPr>
            <w:r>
              <w:t>6月底</w:t>
            </w:r>
          </w:p>
        </w:tc>
        <w:tc>
          <w:tcPr>
            <w:tcW w:w="2551" w:type="dxa"/>
            <w:vAlign w:val="center"/>
          </w:tcPr>
          <w:p w14:paraId="189D97E5">
            <w:pPr>
              <w:pStyle w:val="10"/>
            </w:pPr>
            <w:r>
              <w:t>10月底</w:t>
            </w:r>
          </w:p>
        </w:tc>
        <w:tc>
          <w:tcPr>
            <w:tcW w:w="3544" w:type="dxa"/>
            <w:gridSpan w:val="2"/>
            <w:vAlign w:val="center"/>
          </w:tcPr>
          <w:p w14:paraId="47D77CC4">
            <w:pPr>
              <w:pStyle w:val="10"/>
            </w:pPr>
            <w:r>
              <w:t>12月底</w:t>
            </w:r>
          </w:p>
        </w:tc>
      </w:tr>
      <w:tr w14:paraId="1704D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45875"/>
        </w:tc>
        <w:tc>
          <w:tcPr>
            <w:tcW w:w="5103" w:type="dxa"/>
            <w:gridSpan w:val="2"/>
            <w:vAlign w:val="center"/>
          </w:tcPr>
          <w:p w14:paraId="2F43CF99">
            <w:pPr>
              <w:pStyle w:val="13"/>
            </w:pPr>
            <w:r>
              <w:t>25%</w:t>
            </w:r>
          </w:p>
        </w:tc>
        <w:tc>
          <w:tcPr>
            <w:tcW w:w="2835" w:type="dxa"/>
            <w:vAlign w:val="center"/>
          </w:tcPr>
          <w:p w14:paraId="32197F5D">
            <w:pPr>
              <w:pStyle w:val="13"/>
            </w:pPr>
            <w:r>
              <w:t>50%</w:t>
            </w:r>
          </w:p>
        </w:tc>
        <w:tc>
          <w:tcPr>
            <w:tcW w:w="2551" w:type="dxa"/>
            <w:vAlign w:val="center"/>
          </w:tcPr>
          <w:p w14:paraId="2F2C890D">
            <w:pPr>
              <w:pStyle w:val="13"/>
            </w:pPr>
            <w:r>
              <w:t>75%</w:t>
            </w:r>
          </w:p>
        </w:tc>
        <w:tc>
          <w:tcPr>
            <w:tcW w:w="3544" w:type="dxa"/>
            <w:gridSpan w:val="2"/>
            <w:vAlign w:val="center"/>
          </w:tcPr>
          <w:p w14:paraId="71ED347A">
            <w:pPr>
              <w:pStyle w:val="13"/>
            </w:pPr>
            <w:r>
              <w:t>100%</w:t>
            </w:r>
          </w:p>
        </w:tc>
      </w:tr>
      <w:tr w14:paraId="183E4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72504">
            <w:pPr>
              <w:pStyle w:val="10"/>
            </w:pPr>
            <w:r>
              <w:t>绩效目标</w:t>
            </w:r>
          </w:p>
        </w:tc>
        <w:tc>
          <w:tcPr>
            <w:tcW w:w="14033" w:type="dxa"/>
            <w:gridSpan w:val="6"/>
            <w:vAlign w:val="center"/>
          </w:tcPr>
          <w:p w14:paraId="09ACD573">
            <w:pPr>
              <w:pStyle w:val="12"/>
            </w:pPr>
            <w:r>
              <w:t>1.按拨款序时进度完成经费拨付和支出。</w:t>
            </w:r>
          </w:p>
          <w:p w14:paraId="33F3DF82">
            <w:pPr>
              <w:pStyle w:val="12"/>
            </w:pPr>
            <w:r>
              <w:t>2.为保证学校正常运转和改善办学条件。</w:t>
            </w:r>
          </w:p>
        </w:tc>
      </w:tr>
    </w:tbl>
    <w:p w14:paraId="096C5F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5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DF344">
            <w:pPr>
              <w:pStyle w:val="10"/>
            </w:pPr>
            <w:r>
              <w:t>一级指标</w:t>
            </w:r>
          </w:p>
        </w:tc>
        <w:tc>
          <w:tcPr>
            <w:tcW w:w="2268" w:type="dxa"/>
            <w:vAlign w:val="center"/>
          </w:tcPr>
          <w:p w14:paraId="1BE837AF">
            <w:pPr>
              <w:pStyle w:val="10"/>
            </w:pPr>
            <w:r>
              <w:t>二级指标</w:t>
            </w:r>
          </w:p>
        </w:tc>
        <w:tc>
          <w:tcPr>
            <w:tcW w:w="2835" w:type="dxa"/>
            <w:vAlign w:val="center"/>
          </w:tcPr>
          <w:p w14:paraId="3B1C3CFB">
            <w:pPr>
              <w:pStyle w:val="10"/>
            </w:pPr>
            <w:r>
              <w:t>三级指标</w:t>
            </w:r>
          </w:p>
        </w:tc>
        <w:tc>
          <w:tcPr>
            <w:tcW w:w="5386" w:type="dxa"/>
            <w:vAlign w:val="center"/>
          </w:tcPr>
          <w:p w14:paraId="535E3072">
            <w:pPr>
              <w:pStyle w:val="10"/>
            </w:pPr>
            <w:r>
              <w:t>绩效指标描述</w:t>
            </w:r>
          </w:p>
        </w:tc>
        <w:tc>
          <w:tcPr>
            <w:tcW w:w="2268" w:type="dxa"/>
            <w:vAlign w:val="center"/>
          </w:tcPr>
          <w:p w14:paraId="3DA9C0B2">
            <w:pPr>
              <w:pStyle w:val="10"/>
            </w:pPr>
            <w:r>
              <w:t>指标值</w:t>
            </w:r>
          </w:p>
        </w:tc>
        <w:tc>
          <w:tcPr>
            <w:tcW w:w="1276" w:type="dxa"/>
            <w:vAlign w:val="center"/>
          </w:tcPr>
          <w:p w14:paraId="158BEFAB">
            <w:pPr>
              <w:pStyle w:val="10"/>
            </w:pPr>
            <w:r>
              <w:t>指标值确定依据</w:t>
            </w:r>
          </w:p>
        </w:tc>
      </w:tr>
      <w:tr w14:paraId="2D65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52881">
            <w:pPr>
              <w:pStyle w:val="13"/>
            </w:pPr>
            <w:r>
              <w:t>产出指标</w:t>
            </w:r>
          </w:p>
        </w:tc>
        <w:tc>
          <w:tcPr>
            <w:tcW w:w="2268" w:type="dxa"/>
            <w:vAlign w:val="center"/>
          </w:tcPr>
          <w:p w14:paraId="7ECB54B7">
            <w:pPr>
              <w:pStyle w:val="12"/>
            </w:pPr>
            <w:r>
              <w:t>数量指标</w:t>
            </w:r>
          </w:p>
        </w:tc>
        <w:tc>
          <w:tcPr>
            <w:tcW w:w="2835" w:type="dxa"/>
            <w:vAlign w:val="center"/>
          </w:tcPr>
          <w:p w14:paraId="607F2C0B">
            <w:pPr>
              <w:pStyle w:val="12"/>
            </w:pPr>
            <w:r>
              <w:t>就读学生数</w:t>
            </w:r>
          </w:p>
        </w:tc>
        <w:tc>
          <w:tcPr>
            <w:tcW w:w="5386" w:type="dxa"/>
            <w:vAlign w:val="center"/>
          </w:tcPr>
          <w:p w14:paraId="6D412296">
            <w:pPr>
              <w:pStyle w:val="12"/>
            </w:pPr>
            <w:r>
              <w:t>辐射区域内适龄学生人数</w:t>
            </w:r>
          </w:p>
        </w:tc>
        <w:tc>
          <w:tcPr>
            <w:tcW w:w="2268" w:type="dxa"/>
            <w:vAlign w:val="center"/>
          </w:tcPr>
          <w:p w14:paraId="0679F59E">
            <w:pPr>
              <w:pStyle w:val="12"/>
            </w:pPr>
            <w:r>
              <w:t>187人</w:t>
            </w:r>
          </w:p>
        </w:tc>
        <w:tc>
          <w:tcPr>
            <w:tcW w:w="1276" w:type="dxa"/>
            <w:vAlign w:val="center"/>
          </w:tcPr>
          <w:p w14:paraId="19A52A9E">
            <w:pPr>
              <w:pStyle w:val="12"/>
            </w:pPr>
            <w:r>
              <w:t>城乡义务教育公用经费管理办法</w:t>
            </w:r>
          </w:p>
        </w:tc>
      </w:tr>
      <w:tr w14:paraId="637C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7A021"/>
        </w:tc>
        <w:tc>
          <w:tcPr>
            <w:tcW w:w="2268" w:type="dxa"/>
            <w:vAlign w:val="center"/>
          </w:tcPr>
          <w:p w14:paraId="716A1C29">
            <w:pPr>
              <w:pStyle w:val="12"/>
            </w:pPr>
            <w:r>
              <w:t>质量指标</w:t>
            </w:r>
          </w:p>
        </w:tc>
        <w:tc>
          <w:tcPr>
            <w:tcW w:w="2835" w:type="dxa"/>
            <w:vAlign w:val="center"/>
          </w:tcPr>
          <w:p w14:paraId="66E7B417">
            <w:pPr>
              <w:pStyle w:val="12"/>
            </w:pPr>
            <w:r>
              <w:t>预算执行率</w:t>
            </w:r>
          </w:p>
        </w:tc>
        <w:tc>
          <w:tcPr>
            <w:tcW w:w="5386" w:type="dxa"/>
            <w:vAlign w:val="center"/>
          </w:tcPr>
          <w:p w14:paraId="4CFB207B">
            <w:pPr>
              <w:pStyle w:val="12"/>
            </w:pPr>
            <w:r>
              <w:t>预算执行率≥98%</w:t>
            </w:r>
          </w:p>
        </w:tc>
        <w:tc>
          <w:tcPr>
            <w:tcW w:w="2268" w:type="dxa"/>
            <w:vAlign w:val="center"/>
          </w:tcPr>
          <w:p w14:paraId="73785F89">
            <w:pPr>
              <w:pStyle w:val="12"/>
            </w:pPr>
            <w:r>
              <w:t>≥98%</w:t>
            </w:r>
          </w:p>
        </w:tc>
        <w:tc>
          <w:tcPr>
            <w:tcW w:w="1276" w:type="dxa"/>
            <w:vAlign w:val="center"/>
          </w:tcPr>
          <w:p w14:paraId="4F57D44A">
            <w:pPr>
              <w:pStyle w:val="12"/>
            </w:pPr>
            <w:r>
              <w:t>城乡义务教育公用经费管理办法</w:t>
            </w:r>
          </w:p>
        </w:tc>
      </w:tr>
      <w:tr w14:paraId="2404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80293"/>
        </w:tc>
        <w:tc>
          <w:tcPr>
            <w:tcW w:w="2268" w:type="dxa"/>
            <w:vAlign w:val="center"/>
          </w:tcPr>
          <w:p w14:paraId="2E462888">
            <w:pPr>
              <w:pStyle w:val="12"/>
            </w:pPr>
            <w:r>
              <w:t>时效指标</w:t>
            </w:r>
          </w:p>
        </w:tc>
        <w:tc>
          <w:tcPr>
            <w:tcW w:w="2835" w:type="dxa"/>
            <w:vAlign w:val="center"/>
          </w:tcPr>
          <w:p w14:paraId="66D67619">
            <w:pPr>
              <w:pStyle w:val="12"/>
            </w:pPr>
            <w:r>
              <w:t>义教经费支付完成率</w:t>
            </w:r>
          </w:p>
        </w:tc>
        <w:tc>
          <w:tcPr>
            <w:tcW w:w="5386" w:type="dxa"/>
            <w:vAlign w:val="center"/>
          </w:tcPr>
          <w:p w14:paraId="2E44AD8B">
            <w:pPr>
              <w:pStyle w:val="12"/>
            </w:pPr>
            <w:r>
              <w:t>按照序时进度完成资金支付</w:t>
            </w:r>
          </w:p>
        </w:tc>
        <w:tc>
          <w:tcPr>
            <w:tcW w:w="2268" w:type="dxa"/>
            <w:vAlign w:val="center"/>
          </w:tcPr>
          <w:p w14:paraId="7B598AE7">
            <w:pPr>
              <w:pStyle w:val="12"/>
            </w:pPr>
            <w:r>
              <w:t>≥98%</w:t>
            </w:r>
          </w:p>
        </w:tc>
        <w:tc>
          <w:tcPr>
            <w:tcW w:w="1276" w:type="dxa"/>
            <w:vAlign w:val="center"/>
          </w:tcPr>
          <w:p w14:paraId="4D70029A">
            <w:pPr>
              <w:pStyle w:val="12"/>
            </w:pPr>
            <w:r>
              <w:t>城乡义务教育公用经费管理办法</w:t>
            </w:r>
          </w:p>
        </w:tc>
      </w:tr>
      <w:tr w14:paraId="5D61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B891"/>
        </w:tc>
        <w:tc>
          <w:tcPr>
            <w:tcW w:w="2268" w:type="dxa"/>
            <w:vAlign w:val="center"/>
          </w:tcPr>
          <w:p w14:paraId="72375165">
            <w:pPr>
              <w:pStyle w:val="12"/>
            </w:pPr>
            <w:r>
              <w:t>成本指标</w:t>
            </w:r>
          </w:p>
        </w:tc>
        <w:tc>
          <w:tcPr>
            <w:tcW w:w="2835" w:type="dxa"/>
            <w:vAlign w:val="center"/>
          </w:tcPr>
          <w:p w14:paraId="19F15D36">
            <w:pPr>
              <w:pStyle w:val="12"/>
            </w:pPr>
            <w:r>
              <w:t>生均拨款标准</w:t>
            </w:r>
          </w:p>
        </w:tc>
        <w:tc>
          <w:tcPr>
            <w:tcW w:w="5386" w:type="dxa"/>
            <w:vAlign w:val="center"/>
          </w:tcPr>
          <w:p w14:paraId="09CFDE6D">
            <w:pPr>
              <w:pStyle w:val="12"/>
            </w:pPr>
            <w:r>
              <w:t>小学生公用经费生均小学720元，取暖费120元/生/年，住宿生补助300元/生/年，随班就读学生补助7000元/生</w:t>
            </w:r>
          </w:p>
        </w:tc>
        <w:tc>
          <w:tcPr>
            <w:tcW w:w="2268" w:type="dxa"/>
            <w:vAlign w:val="center"/>
          </w:tcPr>
          <w:p w14:paraId="252B97CC">
            <w:pPr>
              <w:pStyle w:val="12"/>
            </w:pPr>
            <w:r>
              <w:t>≥840元</w:t>
            </w:r>
          </w:p>
        </w:tc>
        <w:tc>
          <w:tcPr>
            <w:tcW w:w="1276" w:type="dxa"/>
            <w:vAlign w:val="center"/>
          </w:tcPr>
          <w:p w14:paraId="1413EB4A">
            <w:pPr>
              <w:pStyle w:val="12"/>
            </w:pPr>
            <w:r>
              <w:t>城乡义务教育公用经费管理办法</w:t>
            </w:r>
          </w:p>
        </w:tc>
      </w:tr>
      <w:tr w14:paraId="0903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090E6">
            <w:pPr>
              <w:pStyle w:val="13"/>
            </w:pPr>
            <w:r>
              <w:t>效益指标</w:t>
            </w:r>
          </w:p>
        </w:tc>
        <w:tc>
          <w:tcPr>
            <w:tcW w:w="2268" w:type="dxa"/>
            <w:vAlign w:val="center"/>
          </w:tcPr>
          <w:p w14:paraId="6AD1F821">
            <w:pPr>
              <w:pStyle w:val="12"/>
            </w:pPr>
            <w:r>
              <w:t>社会效益指标</w:t>
            </w:r>
          </w:p>
        </w:tc>
        <w:tc>
          <w:tcPr>
            <w:tcW w:w="2835" w:type="dxa"/>
            <w:vAlign w:val="center"/>
          </w:tcPr>
          <w:p w14:paraId="5E03E84F">
            <w:pPr>
              <w:pStyle w:val="12"/>
            </w:pPr>
            <w:r>
              <w:t>学校运转得到提高</w:t>
            </w:r>
          </w:p>
        </w:tc>
        <w:tc>
          <w:tcPr>
            <w:tcW w:w="5386" w:type="dxa"/>
            <w:vAlign w:val="center"/>
          </w:tcPr>
          <w:p w14:paraId="5FF8C8F5">
            <w:pPr>
              <w:pStyle w:val="12"/>
            </w:pPr>
            <w:r>
              <w:t>学生受教育年限</w:t>
            </w:r>
          </w:p>
        </w:tc>
        <w:tc>
          <w:tcPr>
            <w:tcW w:w="2268" w:type="dxa"/>
            <w:vAlign w:val="center"/>
          </w:tcPr>
          <w:p w14:paraId="79181014">
            <w:pPr>
              <w:pStyle w:val="12"/>
            </w:pPr>
            <w:r>
              <w:t>6年</w:t>
            </w:r>
          </w:p>
        </w:tc>
        <w:tc>
          <w:tcPr>
            <w:tcW w:w="1276" w:type="dxa"/>
            <w:vAlign w:val="center"/>
          </w:tcPr>
          <w:p w14:paraId="5B3E0673">
            <w:pPr>
              <w:pStyle w:val="12"/>
            </w:pPr>
            <w:r>
              <w:t>城乡义务教育公用经费管理办法</w:t>
            </w:r>
          </w:p>
        </w:tc>
      </w:tr>
      <w:tr w14:paraId="318D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B6996">
            <w:pPr>
              <w:pStyle w:val="13"/>
            </w:pPr>
            <w:r>
              <w:t>满意度指标</w:t>
            </w:r>
          </w:p>
        </w:tc>
        <w:tc>
          <w:tcPr>
            <w:tcW w:w="2268" w:type="dxa"/>
            <w:vAlign w:val="center"/>
          </w:tcPr>
          <w:p w14:paraId="2959F42F">
            <w:pPr>
              <w:pStyle w:val="12"/>
            </w:pPr>
            <w:r>
              <w:t>服务对象满意度指标</w:t>
            </w:r>
          </w:p>
        </w:tc>
        <w:tc>
          <w:tcPr>
            <w:tcW w:w="2835" w:type="dxa"/>
            <w:vAlign w:val="center"/>
          </w:tcPr>
          <w:p w14:paraId="247C7CFF">
            <w:pPr>
              <w:pStyle w:val="12"/>
            </w:pPr>
            <w:r>
              <w:t>服务对象满意度</w:t>
            </w:r>
          </w:p>
        </w:tc>
        <w:tc>
          <w:tcPr>
            <w:tcW w:w="5386" w:type="dxa"/>
            <w:vAlign w:val="center"/>
          </w:tcPr>
          <w:p w14:paraId="014DF2F5">
            <w:pPr>
              <w:pStyle w:val="12"/>
            </w:pPr>
            <w:r>
              <w:t>学校老师和学生满意度</w:t>
            </w:r>
          </w:p>
        </w:tc>
        <w:tc>
          <w:tcPr>
            <w:tcW w:w="2268" w:type="dxa"/>
            <w:vAlign w:val="center"/>
          </w:tcPr>
          <w:p w14:paraId="53E320FA">
            <w:pPr>
              <w:pStyle w:val="12"/>
            </w:pPr>
            <w:r>
              <w:t>≥95%</w:t>
            </w:r>
          </w:p>
        </w:tc>
        <w:tc>
          <w:tcPr>
            <w:tcW w:w="1276" w:type="dxa"/>
            <w:vAlign w:val="center"/>
          </w:tcPr>
          <w:p w14:paraId="1D3B2BA8">
            <w:pPr>
              <w:pStyle w:val="12"/>
            </w:pPr>
            <w:r>
              <w:t>城乡义务教育公用经费管理办法</w:t>
            </w:r>
          </w:p>
        </w:tc>
      </w:tr>
    </w:tbl>
    <w:p w14:paraId="2D35E554">
      <w:pPr>
        <w:sectPr>
          <w:pgSz w:w="16840" w:h="11900" w:orient="landscape"/>
          <w:pgMar w:top="1361" w:right="1020" w:bottom="1134" w:left="1020" w:header="720" w:footer="720" w:gutter="0"/>
          <w:cols w:space="720" w:num="1"/>
        </w:sectPr>
      </w:pPr>
    </w:p>
    <w:p w14:paraId="3A95BF74">
      <w:pPr>
        <w:spacing w:before="0" w:after="0"/>
        <w:ind w:firstLine="560"/>
        <w:jc w:val="left"/>
        <w:outlineLvl w:val="9"/>
      </w:pPr>
      <w:r>
        <w:rPr>
          <w:rFonts w:ascii="方正仿宋_GBK" w:hAnsi="方正仿宋_GBK" w:eastAsia="方正仿宋_GBK" w:cs="方正仿宋_GBK"/>
          <w:b/>
          <w:color w:val="000000"/>
          <w:sz w:val="28"/>
        </w:rPr>
        <w:t>15、冀财教[2025]147号/省级/2026年义教补助经费/大张庄校区刘通庄小学公用经费绩效目标表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14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93716">
            <w:pPr>
              <w:pStyle w:val="11"/>
            </w:pPr>
            <w:r>
              <w:t>单位：万元</w:t>
            </w:r>
          </w:p>
        </w:tc>
      </w:tr>
      <w:tr w14:paraId="2A1CA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9CC57">
            <w:pPr>
              <w:pStyle w:val="10"/>
            </w:pPr>
            <w:r>
              <w:t>项目编码</w:t>
            </w:r>
          </w:p>
        </w:tc>
        <w:tc>
          <w:tcPr>
            <w:tcW w:w="5103" w:type="dxa"/>
            <w:gridSpan w:val="2"/>
            <w:vAlign w:val="center"/>
          </w:tcPr>
          <w:p w14:paraId="51B64BE7">
            <w:pPr>
              <w:pStyle w:val="12"/>
            </w:pPr>
            <w:r>
              <w:t>13052526P00000410384P</w:t>
            </w:r>
          </w:p>
        </w:tc>
        <w:tc>
          <w:tcPr>
            <w:tcW w:w="2835" w:type="dxa"/>
            <w:vAlign w:val="center"/>
          </w:tcPr>
          <w:p w14:paraId="1392A3A8">
            <w:pPr>
              <w:pStyle w:val="10"/>
            </w:pPr>
            <w:r>
              <w:t>项目名称</w:t>
            </w:r>
          </w:p>
        </w:tc>
        <w:tc>
          <w:tcPr>
            <w:tcW w:w="6095" w:type="dxa"/>
            <w:gridSpan w:val="3"/>
            <w:vAlign w:val="center"/>
          </w:tcPr>
          <w:p w14:paraId="6BD0E4D5">
            <w:pPr>
              <w:pStyle w:val="12"/>
            </w:pPr>
            <w:r>
              <w:t>冀财教[2025]147号/省级/2026年义教补助经费/大张庄校区刘通庄小学公用经费</w:t>
            </w:r>
          </w:p>
        </w:tc>
      </w:tr>
      <w:tr w14:paraId="712B6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7DBD0">
            <w:pPr>
              <w:pStyle w:val="10"/>
            </w:pPr>
            <w:r>
              <w:t>预算规模及资金用途</w:t>
            </w:r>
          </w:p>
        </w:tc>
        <w:tc>
          <w:tcPr>
            <w:tcW w:w="2268" w:type="dxa"/>
            <w:vAlign w:val="center"/>
          </w:tcPr>
          <w:p w14:paraId="4F3FEFC3">
            <w:pPr>
              <w:pStyle w:val="10"/>
            </w:pPr>
            <w:r>
              <w:t>预算数</w:t>
            </w:r>
          </w:p>
        </w:tc>
        <w:tc>
          <w:tcPr>
            <w:tcW w:w="2835" w:type="dxa"/>
            <w:vAlign w:val="center"/>
          </w:tcPr>
          <w:p w14:paraId="53795418">
            <w:pPr>
              <w:pStyle w:val="12"/>
            </w:pPr>
            <w:r>
              <w:t>7.34</w:t>
            </w:r>
          </w:p>
        </w:tc>
        <w:tc>
          <w:tcPr>
            <w:tcW w:w="2835" w:type="dxa"/>
            <w:vAlign w:val="center"/>
          </w:tcPr>
          <w:p w14:paraId="771B0565">
            <w:pPr>
              <w:pStyle w:val="10"/>
            </w:pPr>
            <w:r>
              <w:t>其中：财政    资金</w:t>
            </w:r>
          </w:p>
        </w:tc>
        <w:tc>
          <w:tcPr>
            <w:tcW w:w="2551" w:type="dxa"/>
            <w:vAlign w:val="center"/>
          </w:tcPr>
          <w:p w14:paraId="1D59E4C8">
            <w:pPr>
              <w:pStyle w:val="12"/>
            </w:pPr>
            <w:r>
              <w:t>7.34</w:t>
            </w:r>
          </w:p>
        </w:tc>
        <w:tc>
          <w:tcPr>
            <w:tcW w:w="2268" w:type="dxa"/>
            <w:vAlign w:val="center"/>
          </w:tcPr>
          <w:p w14:paraId="4F982C86">
            <w:pPr>
              <w:pStyle w:val="10"/>
            </w:pPr>
            <w:r>
              <w:t>其他资金</w:t>
            </w:r>
          </w:p>
        </w:tc>
        <w:tc>
          <w:tcPr>
            <w:tcW w:w="1276" w:type="dxa"/>
            <w:vAlign w:val="center"/>
          </w:tcPr>
          <w:p w14:paraId="5FDC631F">
            <w:pPr>
              <w:pStyle w:val="12"/>
            </w:pPr>
            <w:r>
              <w:t xml:space="preserve"> </w:t>
            </w:r>
          </w:p>
        </w:tc>
      </w:tr>
      <w:tr w14:paraId="3F4AE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451A0"/>
        </w:tc>
        <w:tc>
          <w:tcPr>
            <w:tcW w:w="14033" w:type="dxa"/>
            <w:gridSpan w:val="6"/>
            <w:vAlign w:val="center"/>
          </w:tcPr>
          <w:p w14:paraId="31C8BF5D">
            <w:pPr>
              <w:pStyle w:val="12"/>
            </w:pPr>
            <w:r>
              <w:t>为保证学校正常运转和改善办学条件。</w:t>
            </w:r>
          </w:p>
        </w:tc>
      </w:tr>
      <w:tr w14:paraId="49FEC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FE469">
            <w:pPr>
              <w:pStyle w:val="10"/>
            </w:pPr>
            <w:r>
              <w:t>资金支出计划（%）</w:t>
            </w:r>
          </w:p>
        </w:tc>
        <w:tc>
          <w:tcPr>
            <w:tcW w:w="5103" w:type="dxa"/>
            <w:gridSpan w:val="2"/>
            <w:vAlign w:val="center"/>
          </w:tcPr>
          <w:p w14:paraId="4547CAFD">
            <w:pPr>
              <w:pStyle w:val="10"/>
            </w:pPr>
            <w:r>
              <w:t>3月底</w:t>
            </w:r>
          </w:p>
        </w:tc>
        <w:tc>
          <w:tcPr>
            <w:tcW w:w="2835" w:type="dxa"/>
            <w:vAlign w:val="center"/>
          </w:tcPr>
          <w:p w14:paraId="726F62FF">
            <w:pPr>
              <w:pStyle w:val="10"/>
            </w:pPr>
            <w:r>
              <w:t>6月底</w:t>
            </w:r>
          </w:p>
        </w:tc>
        <w:tc>
          <w:tcPr>
            <w:tcW w:w="2551" w:type="dxa"/>
            <w:vAlign w:val="center"/>
          </w:tcPr>
          <w:p w14:paraId="2AC9E79C">
            <w:pPr>
              <w:pStyle w:val="10"/>
            </w:pPr>
            <w:r>
              <w:t>10月底</w:t>
            </w:r>
          </w:p>
        </w:tc>
        <w:tc>
          <w:tcPr>
            <w:tcW w:w="3544" w:type="dxa"/>
            <w:gridSpan w:val="2"/>
            <w:vAlign w:val="center"/>
          </w:tcPr>
          <w:p w14:paraId="3C378433">
            <w:pPr>
              <w:pStyle w:val="10"/>
            </w:pPr>
            <w:r>
              <w:t>12月底</w:t>
            </w:r>
          </w:p>
        </w:tc>
      </w:tr>
      <w:tr w14:paraId="78106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079AC"/>
        </w:tc>
        <w:tc>
          <w:tcPr>
            <w:tcW w:w="5103" w:type="dxa"/>
            <w:gridSpan w:val="2"/>
            <w:vAlign w:val="center"/>
          </w:tcPr>
          <w:p w14:paraId="1B996FC1">
            <w:pPr>
              <w:pStyle w:val="13"/>
            </w:pPr>
            <w:r>
              <w:t>25%</w:t>
            </w:r>
          </w:p>
        </w:tc>
        <w:tc>
          <w:tcPr>
            <w:tcW w:w="2835" w:type="dxa"/>
            <w:vAlign w:val="center"/>
          </w:tcPr>
          <w:p w14:paraId="490341B3">
            <w:pPr>
              <w:pStyle w:val="13"/>
            </w:pPr>
            <w:r>
              <w:t>50%</w:t>
            </w:r>
          </w:p>
        </w:tc>
        <w:tc>
          <w:tcPr>
            <w:tcW w:w="2551" w:type="dxa"/>
            <w:vAlign w:val="center"/>
          </w:tcPr>
          <w:p w14:paraId="42D2F5F3">
            <w:pPr>
              <w:pStyle w:val="13"/>
            </w:pPr>
            <w:r>
              <w:t>75%</w:t>
            </w:r>
          </w:p>
        </w:tc>
        <w:tc>
          <w:tcPr>
            <w:tcW w:w="3544" w:type="dxa"/>
            <w:gridSpan w:val="2"/>
            <w:vAlign w:val="center"/>
          </w:tcPr>
          <w:p w14:paraId="3004AE8E">
            <w:pPr>
              <w:pStyle w:val="13"/>
            </w:pPr>
            <w:r>
              <w:t>100%</w:t>
            </w:r>
          </w:p>
        </w:tc>
      </w:tr>
      <w:tr w14:paraId="419D9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B857D">
            <w:pPr>
              <w:pStyle w:val="10"/>
            </w:pPr>
            <w:r>
              <w:t>绩效目标</w:t>
            </w:r>
          </w:p>
        </w:tc>
        <w:tc>
          <w:tcPr>
            <w:tcW w:w="14033" w:type="dxa"/>
            <w:gridSpan w:val="6"/>
            <w:vAlign w:val="center"/>
          </w:tcPr>
          <w:p w14:paraId="3C0DE14A">
            <w:pPr>
              <w:pStyle w:val="12"/>
            </w:pPr>
            <w:r>
              <w:t>1.按拨款序时进度完成经费拨付和支出。</w:t>
            </w:r>
          </w:p>
          <w:p w14:paraId="63A8DBAD">
            <w:pPr>
              <w:pStyle w:val="12"/>
            </w:pPr>
            <w:r>
              <w:t>2.为保证学校正常运转和改善办学条件。</w:t>
            </w:r>
          </w:p>
        </w:tc>
      </w:tr>
    </w:tbl>
    <w:p w14:paraId="16549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B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AA3B4">
            <w:pPr>
              <w:pStyle w:val="10"/>
            </w:pPr>
            <w:r>
              <w:t>一级指标</w:t>
            </w:r>
          </w:p>
        </w:tc>
        <w:tc>
          <w:tcPr>
            <w:tcW w:w="2268" w:type="dxa"/>
            <w:vAlign w:val="center"/>
          </w:tcPr>
          <w:p w14:paraId="53CF661B">
            <w:pPr>
              <w:pStyle w:val="10"/>
            </w:pPr>
            <w:r>
              <w:t>二级指标</w:t>
            </w:r>
          </w:p>
        </w:tc>
        <w:tc>
          <w:tcPr>
            <w:tcW w:w="2835" w:type="dxa"/>
            <w:vAlign w:val="center"/>
          </w:tcPr>
          <w:p w14:paraId="0D2F549E">
            <w:pPr>
              <w:pStyle w:val="10"/>
            </w:pPr>
            <w:r>
              <w:t>三级指标</w:t>
            </w:r>
          </w:p>
        </w:tc>
        <w:tc>
          <w:tcPr>
            <w:tcW w:w="5386" w:type="dxa"/>
            <w:vAlign w:val="center"/>
          </w:tcPr>
          <w:p w14:paraId="4E0120C3">
            <w:pPr>
              <w:pStyle w:val="10"/>
            </w:pPr>
            <w:r>
              <w:t>绩效指标描述</w:t>
            </w:r>
          </w:p>
        </w:tc>
        <w:tc>
          <w:tcPr>
            <w:tcW w:w="2268" w:type="dxa"/>
            <w:vAlign w:val="center"/>
          </w:tcPr>
          <w:p w14:paraId="3C9D4CC9">
            <w:pPr>
              <w:pStyle w:val="10"/>
            </w:pPr>
            <w:r>
              <w:t>指标值</w:t>
            </w:r>
          </w:p>
        </w:tc>
        <w:tc>
          <w:tcPr>
            <w:tcW w:w="1276" w:type="dxa"/>
            <w:vAlign w:val="center"/>
          </w:tcPr>
          <w:p w14:paraId="1B37317B">
            <w:pPr>
              <w:pStyle w:val="10"/>
            </w:pPr>
            <w:r>
              <w:t>指标值确定依据</w:t>
            </w:r>
          </w:p>
        </w:tc>
      </w:tr>
      <w:tr w14:paraId="14B6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4B76D">
            <w:pPr>
              <w:pStyle w:val="13"/>
            </w:pPr>
            <w:r>
              <w:t>产出指标</w:t>
            </w:r>
          </w:p>
        </w:tc>
        <w:tc>
          <w:tcPr>
            <w:tcW w:w="2268" w:type="dxa"/>
            <w:vAlign w:val="center"/>
          </w:tcPr>
          <w:p w14:paraId="73CE4BD5">
            <w:pPr>
              <w:pStyle w:val="12"/>
            </w:pPr>
            <w:r>
              <w:t>数量指标</w:t>
            </w:r>
          </w:p>
        </w:tc>
        <w:tc>
          <w:tcPr>
            <w:tcW w:w="2835" w:type="dxa"/>
            <w:vAlign w:val="center"/>
          </w:tcPr>
          <w:p w14:paraId="5999888C">
            <w:pPr>
              <w:pStyle w:val="12"/>
            </w:pPr>
            <w:r>
              <w:t>就读学生数</w:t>
            </w:r>
          </w:p>
        </w:tc>
        <w:tc>
          <w:tcPr>
            <w:tcW w:w="5386" w:type="dxa"/>
            <w:vAlign w:val="center"/>
          </w:tcPr>
          <w:p w14:paraId="2B569965">
            <w:pPr>
              <w:pStyle w:val="12"/>
            </w:pPr>
            <w:r>
              <w:t>辐射区域内适龄学生人数</w:t>
            </w:r>
          </w:p>
        </w:tc>
        <w:tc>
          <w:tcPr>
            <w:tcW w:w="2268" w:type="dxa"/>
            <w:vAlign w:val="center"/>
          </w:tcPr>
          <w:p w14:paraId="537D5E41">
            <w:pPr>
              <w:pStyle w:val="12"/>
            </w:pPr>
            <w:r>
              <w:t>209人</w:t>
            </w:r>
          </w:p>
        </w:tc>
        <w:tc>
          <w:tcPr>
            <w:tcW w:w="1276" w:type="dxa"/>
            <w:vAlign w:val="center"/>
          </w:tcPr>
          <w:p w14:paraId="31AEB9AB">
            <w:pPr>
              <w:pStyle w:val="12"/>
            </w:pPr>
            <w:r>
              <w:t>城乡义务教育公用经费管理办法</w:t>
            </w:r>
          </w:p>
        </w:tc>
      </w:tr>
      <w:tr w14:paraId="27EE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B4592"/>
        </w:tc>
        <w:tc>
          <w:tcPr>
            <w:tcW w:w="2268" w:type="dxa"/>
            <w:vAlign w:val="center"/>
          </w:tcPr>
          <w:p w14:paraId="25D17103">
            <w:pPr>
              <w:pStyle w:val="12"/>
            </w:pPr>
            <w:r>
              <w:t>质量指标</w:t>
            </w:r>
          </w:p>
        </w:tc>
        <w:tc>
          <w:tcPr>
            <w:tcW w:w="2835" w:type="dxa"/>
            <w:vAlign w:val="center"/>
          </w:tcPr>
          <w:p w14:paraId="7030340D">
            <w:pPr>
              <w:pStyle w:val="12"/>
            </w:pPr>
            <w:r>
              <w:t>预算执行率</w:t>
            </w:r>
          </w:p>
        </w:tc>
        <w:tc>
          <w:tcPr>
            <w:tcW w:w="5386" w:type="dxa"/>
            <w:vAlign w:val="center"/>
          </w:tcPr>
          <w:p w14:paraId="334EE8DF">
            <w:pPr>
              <w:pStyle w:val="12"/>
            </w:pPr>
            <w:r>
              <w:t>预算执行率≥98%</w:t>
            </w:r>
          </w:p>
        </w:tc>
        <w:tc>
          <w:tcPr>
            <w:tcW w:w="2268" w:type="dxa"/>
            <w:vAlign w:val="center"/>
          </w:tcPr>
          <w:p w14:paraId="64C0D008">
            <w:pPr>
              <w:pStyle w:val="12"/>
            </w:pPr>
            <w:r>
              <w:t>≥98%</w:t>
            </w:r>
          </w:p>
        </w:tc>
        <w:tc>
          <w:tcPr>
            <w:tcW w:w="1276" w:type="dxa"/>
            <w:vAlign w:val="center"/>
          </w:tcPr>
          <w:p w14:paraId="50986FDA">
            <w:pPr>
              <w:pStyle w:val="12"/>
            </w:pPr>
            <w:r>
              <w:t>城乡义务教育公用经费管理办法</w:t>
            </w:r>
          </w:p>
        </w:tc>
      </w:tr>
      <w:tr w14:paraId="12F3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4852F"/>
        </w:tc>
        <w:tc>
          <w:tcPr>
            <w:tcW w:w="2268" w:type="dxa"/>
            <w:vAlign w:val="center"/>
          </w:tcPr>
          <w:p w14:paraId="3E521262">
            <w:pPr>
              <w:pStyle w:val="12"/>
            </w:pPr>
            <w:r>
              <w:t>时效指标</w:t>
            </w:r>
          </w:p>
        </w:tc>
        <w:tc>
          <w:tcPr>
            <w:tcW w:w="2835" w:type="dxa"/>
            <w:vAlign w:val="center"/>
          </w:tcPr>
          <w:p w14:paraId="3A14B868">
            <w:pPr>
              <w:pStyle w:val="12"/>
            </w:pPr>
            <w:r>
              <w:t>义教经费支付完成率</w:t>
            </w:r>
          </w:p>
        </w:tc>
        <w:tc>
          <w:tcPr>
            <w:tcW w:w="5386" w:type="dxa"/>
            <w:vAlign w:val="center"/>
          </w:tcPr>
          <w:p w14:paraId="1DF9A709">
            <w:pPr>
              <w:pStyle w:val="12"/>
            </w:pPr>
            <w:r>
              <w:t>按照序时进度完成资金支付</w:t>
            </w:r>
          </w:p>
        </w:tc>
        <w:tc>
          <w:tcPr>
            <w:tcW w:w="2268" w:type="dxa"/>
            <w:vAlign w:val="center"/>
          </w:tcPr>
          <w:p w14:paraId="64196861">
            <w:pPr>
              <w:pStyle w:val="12"/>
            </w:pPr>
            <w:r>
              <w:t>≥98%</w:t>
            </w:r>
          </w:p>
        </w:tc>
        <w:tc>
          <w:tcPr>
            <w:tcW w:w="1276" w:type="dxa"/>
            <w:vAlign w:val="center"/>
          </w:tcPr>
          <w:p w14:paraId="225F621E">
            <w:pPr>
              <w:pStyle w:val="12"/>
            </w:pPr>
            <w:r>
              <w:t>城乡义务教育公用经费管理办法</w:t>
            </w:r>
          </w:p>
        </w:tc>
      </w:tr>
      <w:tr w14:paraId="2150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0565B"/>
        </w:tc>
        <w:tc>
          <w:tcPr>
            <w:tcW w:w="2268" w:type="dxa"/>
            <w:vAlign w:val="center"/>
          </w:tcPr>
          <w:p w14:paraId="3B2107C8">
            <w:pPr>
              <w:pStyle w:val="12"/>
            </w:pPr>
            <w:r>
              <w:t>成本指标</w:t>
            </w:r>
          </w:p>
        </w:tc>
        <w:tc>
          <w:tcPr>
            <w:tcW w:w="2835" w:type="dxa"/>
            <w:vAlign w:val="center"/>
          </w:tcPr>
          <w:p w14:paraId="0097DECB">
            <w:pPr>
              <w:pStyle w:val="12"/>
            </w:pPr>
            <w:r>
              <w:t>生均拨款标准</w:t>
            </w:r>
          </w:p>
        </w:tc>
        <w:tc>
          <w:tcPr>
            <w:tcW w:w="5386" w:type="dxa"/>
            <w:vAlign w:val="center"/>
          </w:tcPr>
          <w:p w14:paraId="48116D1C">
            <w:pPr>
              <w:pStyle w:val="12"/>
            </w:pPr>
            <w:r>
              <w:t>小学生公用经费生均小学720元，取暖费120元/生/年，住宿生补助300元/生/年，随班就读学生补助7000元/生</w:t>
            </w:r>
          </w:p>
        </w:tc>
        <w:tc>
          <w:tcPr>
            <w:tcW w:w="2268" w:type="dxa"/>
            <w:vAlign w:val="center"/>
          </w:tcPr>
          <w:p w14:paraId="528982DF">
            <w:pPr>
              <w:pStyle w:val="12"/>
            </w:pPr>
            <w:r>
              <w:t>≥840元</w:t>
            </w:r>
          </w:p>
        </w:tc>
        <w:tc>
          <w:tcPr>
            <w:tcW w:w="1276" w:type="dxa"/>
            <w:vAlign w:val="center"/>
          </w:tcPr>
          <w:p w14:paraId="5F83C70A">
            <w:pPr>
              <w:pStyle w:val="12"/>
            </w:pPr>
            <w:r>
              <w:t>城乡义务教育公用经费管理办法</w:t>
            </w:r>
          </w:p>
        </w:tc>
      </w:tr>
      <w:tr w14:paraId="5D49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DAF2B">
            <w:pPr>
              <w:pStyle w:val="13"/>
            </w:pPr>
            <w:r>
              <w:t>效益指标</w:t>
            </w:r>
          </w:p>
        </w:tc>
        <w:tc>
          <w:tcPr>
            <w:tcW w:w="2268" w:type="dxa"/>
            <w:vAlign w:val="center"/>
          </w:tcPr>
          <w:p w14:paraId="1EED7FFF">
            <w:pPr>
              <w:pStyle w:val="12"/>
            </w:pPr>
            <w:r>
              <w:t>社会效益指标</w:t>
            </w:r>
          </w:p>
        </w:tc>
        <w:tc>
          <w:tcPr>
            <w:tcW w:w="2835" w:type="dxa"/>
            <w:vAlign w:val="center"/>
          </w:tcPr>
          <w:p w14:paraId="3163267C">
            <w:pPr>
              <w:pStyle w:val="12"/>
            </w:pPr>
            <w:r>
              <w:t>学校运转得到提高</w:t>
            </w:r>
          </w:p>
        </w:tc>
        <w:tc>
          <w:tcPr>
            <w:tcW w:w="5386" w:type="dxa"/>
            <w:vAlign w:val="center"/>
          </w:tcPr>
          <w:p w14:paraId="25F0B590">
            <w:pPr>
              <w:pStyle w:val="12"/>
            </w:pPr>
            <w:r>
              <w:t>学生受教育年限</w:t>
            </w:r>
          </w:p>
        </w:tc>
        <w:tc>
          <w:tcPr>
            <w:tcW w:w="2268" w:type="dxa"/>
            <w:vAlign w:val="center"/>
          </w:tcPr>
          <w:p w14:paraId="2A21EC86">
            <w:pPr>
              <w:pStyle w:val="12"/>
            </w:pPr>
            <w:r>
              <w:t>6年</w:t>
            </w:r>
          </w:p>
        </w:tc>
        <w:tc>
          <w:tcPr>
            <w:tcW w:w="1276" w:type="dxa"/>
            <w:vAlign w:val="center"/>
          </w:tcPr>
          <w:p w14:paraId="06D8F58A">
            <w:pPr>
              <w:pStyle w:val="12"/>
            </w:pPr>
            <w:r>
              <w:t>城乡义务教育公用经费管理办法</w:t>
            </w:r>
          </w:p>
        </w:tc>
      </w:tr>
      <w:tr w14:paraId="73FF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32279">
            <w:pPr>
              <w:pStyle w:val="13"/>
            </w:pPr>
            <w:r>
              <w:t>满意度指标</w:t>
            </w:r>
          </w:p>
        </w:tc>
        <w:tc>
          <w:tcPr>
            <w:tcW w:w="2268" w:type="dxa"/>
            <w:vAlign w:val="center"/>
          </w:tcPr>
          <w:p w14:paraId="708BBC2F">
            <w:pPr>
              <w:pStyle w:val="12"/>
            </w:pPr>
            <w:r>
              <w:t>服务对象满意度指标</w:t>
            </w:r>
          </w:p>
        </w:tc>
        <w:tc>
          <w:tcPr>
            <w:tcW w:w="2835" w:type="dxa"/>
            <w:vAlign w:val="center"/>
          </w:tcPr>
          <w:p w14:paraId="05F0D256">
            <w:pPr>
              <w:pStyle w:val="12"/>
            </w:pPr>
            <w:r>
              <w:t>服务对象满意度</w:t>
            </w:r>
          </w:p>
        </w:tc>
        <w:tc>
          <w:tcPr>
            <w:tcW w:w="5386" w:type="dxa"/>
            <w:vAlign w:val="center"/>
          </w:tcPr>
          <w:p w14:paraId="2D32529A">
            <w:pPr>
              <w:pStyle w:val="12"/>
            </w:pPr>
            <w:r>
              <w:t>学校老师和学生满意度</w:t>
            </w:r>
          </w:p>
        </w:tc>
        <w:tc>
          <w:tcPr>
            <w:tcW w:w="2268" w:type="dxa"/>
            <w:vAlign w:val="center"/>
          </w:tcPr>
          <w:p w14:paraId="4EFA7675">
            <w:pPr>
              <w:pStyle w:val="12"/>
            </w:pPr>
            <w:r>
              <w:t>≥95%</w:t>
            </w:r>
          </w:p>
        </w:tc>
        <w:tc>
          <w:tcPr>
            <w:tcW w:w="1276" w:type="dxa"/>
            <w:vAlign w:val="center"/>
          </w:tcPr>
          <w:p w14:paraId="4424C119">
            <w:pPr>
              <w:pStyle w:val="12"/>
            </w:pPr>
            <w:r>
              <w:t>城乡义务教育公用经费管理办法</w:t>
            </w:r>
          </w:p>
        </w:tc>
      </w:tr>
    </w:tbl>
    <w:p w14:paraId="4DA34352">
      <w:pPr>
        <w:sectPr>
          <w:pgSz w:w="16840" w:h="11900" w:orient="landscape"/>
          <w:pgMar w:top="1361" w:right="1020" w:bottom="1134" w:left="1020" w:header="720" w:footer="720" w:gutter="0"/>
          <w:cols w:space="720" w:num="1"/>
        </w:sectPr>
      </w:pPr>
    </w:p>
    <w:p w14:paraId="367ED4CF">
      <w:pPr>
        <w:spacing w:before="0" w:after="0"/>
        <w:ind w:firstLine="560"/>
        <w:jc w:val="left"/>
        <w:outlineLvl w:val="9"/>
      </w:pPr>
      <w:r>
        <w:rPr>
          <w:rFonts w:ascii="方正仿宋_GBK" w:hAnsi="方正仿宋_GBK" w:eastAsia="方正仿宋_GBK" w:cs="方正仿宋_GBK"/>
          <w:b/>
          <w:color w:val="000000"/>
          <w:sz w:val="28"/>
        </w:rPr>
        <w:t>16、冀财教[2025]147号/省级/义教/2026年校舍安全/刘通庄小学院落升级改造绩效目标表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F3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3AF51">
            <w:pPr>
              <w:pStyle w:val="11"/>
            </w:pPr>
            <w:r>
              <w:t>单位：万元</w:t>
            </w:r>
          </w:p>
        </w:tc>
      </w:tr>
      <w:tr w14:paraId="531FB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44DF6">
            <w:pPr>
              <w:pStyle w:val="10"/>
            </w:pPr>
            <w:r>
              <w:t>项目编码</w:t>
            </w:r>
          </w:p>
        </w:tc>
        <w:tc>
          <w:tcPr>
            <w:tcW w:w="5103" w:type="dxa"/>
            <w:gridSpan w:val="2"/>
            <w:vAlign w:val="center"/>
          </w:tcPr>
          <w:p w14:paraId="53E1598E">
            <w:pPr>
              <w:pStyle w:val="12"/>
            </w:pPr>
            <w:r>
              <w:t>13052526P00876210107U</w:t>
            </w:r>
          </w:p>
        </w:tc>
        <w:tc>
          <w:tcPr>
            <w:tcW w:w="2835" w:type="dxa"/>
            <w:vAlign w:val="center"/>
          </w:tcPr>
          <w:p w14:paraId="0FB80F99">
            <w:pPr>
              <w:pStyle w:val="10"/>
            </w:pPr>
            <w:r>
              <w:t>项目名称</w:t>
            </w:r>
          </w:p>
        </w:tc>
        <w:tc>
          <w:tcPr>
            <w:tcW w:w="6095" w:type="dxa"/>
            <w:gridSpan w:val="3"/>
            <w:vAlign w:val="center"/>
          </w:tcPr>
          <w:p w14:paraId="217703E5">
            <w:pPr>
              <w:pStyle w:val="12"/>
            </w:pPr>
            <w:r>
              <w:t>冀财教[2025]147号/省级/义教/2026年校舍安全/刘通庄小学院落升级改造</w:t>
            </w:r>
          </w:p>
        </w:tc>
      </w:tr>
      <w:tr w14:paraId="54344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2AA52">
            <w:pPr>
              <w:pStyle w:val="10"/>
            </w:pPr>
            <w:r>
              <w:t>预算规模及资金用途</w:t>
            </w:r>
          </w:p>
        </w:tc>
        <w:tc>
          <w:tcPr>
            <w:tcW w:w="2268" w:type="dxa"/>
            <w:vAlign w:val="center"/>
          </w:tcPr>
          <w:p w14:paraId="1E7ABB6D">
            <w:pPr>
              <w:pStyle w:val="10"/>
            </w:pPr>
            <w:r>
              <w:t>预算数</w:t>
            </w:r>
          </w:p>
        </w:tc>
        <w:tc>
          <w:tcPr>
            <w:tcW w:w="2835" w:type="dxa"/>
            <w:vAlign w:val="center"/>
          </w:tcPr>
          <w:p w14:paraId="3D2DF612">
            <w:pPr>
              <w:pStyle w:val="12"/>
            </w:pPr>
            <w:r>
              <w:t>18.00</w:t>
            </w:r>
          </w:p>
        </w:tc>
        <w:tc>
          <w:tcPr>
            <w:tcW w:w="2835" w:type="dxa"/>
            <w:vAlign w:val="center"/>
          </w:tcPr>
          <w:p w14:paraId="5EF703CB">
            <w:pPr>
              <w:pStyle w:val="10"/>
            </w:pPr>
            <w:r>
              <w:t>其中：财政    资金</w:t>
            </w:r>
          </w:p>
        </w:tc>
        <w:tc>
          <w:tcPr>
            <w:tcW w:w="2551" w:type="dxa"/>
            <w:vAlign w:val="center"/>
          </w:tcPr>
          <w:p w14:paraId="5BDCA649">
            <w:pPr>
              <w:pStyle w:val="12"/>
            </w:pPr>
            <w:r>
              <w:t>18.00</w:t>
            </w:r>
          </w:p>
        </w:tc>
        <w:tc>
          <w:tcPr>
            <w:tcW w:w="2268" w:type="dxa"/>
            <w:vAlign w:val="center"/>
          </w:tcPr>
          <w:p w14:paraId="0BC80174">
            <w:pPr>
              <w:pStyle w:val="10"/>
            </w:pPr>
            <w:r>
              <w:t>其他资金</w:t>
            </w:r>
          </w:p>
        </w:tc>
        <w:tc>
          <w:tcPr>
            <w:tcW w:w="1276" w:type="dxa"/>
            <w:vAlign w:val="center"/>
          </w:tcPr>
          <w:p w14:paraId="22FB288B">
            <w:pPr>
              <w:pStyle w:val="12"/>
            </w:pPr>
            <w:r>
              <w:t xml:space="preserve"> </w:t>
            </w:r>
          </w:p>
        </w:tc>
      </w:tr>
      <w:tr w14:paraId="49340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417E5"/>
        </w:tc>
        <w:tc>
          <w:tcPr>
            <w:tcW w:w="14033" w:type="dxa"/>
            <w:gridSpan w:val="6"/>
            <w:vAlign w:val="center"/>
          </w:tcPr>
          <w:p w14:paraId="6B6E5AF5">
            <w:pPr>
              <w:pStyle w:val="12"/>
            </w:pPr>
            <w:r>
              <w:t>改善义务教育办学条件，进一步提升教育教学办学质量</w:t>
            </w:r>
            <w:r>
              <w:tab/>
            </w:r>
          </w:p>
        </w:tc>
      </w:tr>
      <w:tr w14:paraId="7518C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3C038">
            <w:pPr>
              <w:pStyle w:val="10"/>
            </w:pPr>
            <w:r>
              <w:t>资金支出计划（%）</w:t>
            </w:r>
          </w:p>
        </w:tc>
        <w:tc>
          <w:tcPr>
            <w:tcW w:w="5103" w:type="dxa"/>
            <w:gridSpan w:val="2"/>
            <w:vAlign w:val="center"/>
          </w:tcPr>
          <w:p w14:paraId="7B888B8E">
            <w:pPr>
              <w:pStyle w:val="10"/>
            </w:pPr>
            <w:r>
              <w:t>3月底</w:t>
            </w:r>
          </w:p>
        </w:tc>
        <w:tc>
          <w:tcPr>
            <w:tcW w:w="2835" w:type="dxa"/>
            <w:vAlign w:val="center"/>
          </w:tcPr>
          <w:p w14:paraId="5C631CDB">
            <w:pPr>
              <w:pStyle w:val="10"/>
            </w:pPr>
            <w:r>
              <w:t>6月底</w:t>
            </w:r>
          </w:p>
        </w:tc>
        <w:tc>
          <w:tcPr>
            <w:tcW w:w="2551" w:type="dxa"/>
            <w:vAlign w:val="center"/>
          </w:tcPr>
          <w:p w14:paraId="09D8A104">
            <w:pPr>
              <w:pStyle w:val="10"/>
            </w:pPr>
            <w:r>
              <w:t>10月底</w:t>
            </w:r>
          </w:p>
        </w:tc>
        <w:tc>
          <w:tcPr>
            <w:tcW w:w="3544" w:type="dxa"/>
            <w:gridSpan w:val="2"/>
            <w:vAlign w:val="center"/>
          </w:tcPr>
          <w:p w14:paraId="1F075035">
            <w:pPr>
              <w:pStyle w:val="10"/>
            </w:pPr>
            <w:r>
              <w:t>12月底</w:t>
            </w:r>
          </w:p>
        </w:tc>
      </w:tr>
      <w:tr w14:paraId="41F29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15632"/>
        </w:tc>
        <w:tc>
          <w:tcPr>
            <w:tcW w:w="5103" w:type="dxa"/>
            <w:gridSpan w:val="2"/>
            <w:vAlign w:val="center"/>
          </w:tcPr>
          <w:p w14:paraId="44CCBCC1">
            <w:pPr>
              <w:pStyle w:val="13"/>
            </w:pPr>
            <w:r>
              <w:t xml:space="preserve"> </w:t>
            </w:r>
          </w:p>
        </w:tc>
        <w:tc>
          <w:tcPr>
            <w:tcW w:w="2835" w:type="dxa"/>
            <w:vAlign w:val="center"/>
          </w:tcPr>
          <w:p w14:paraId="41BC9B53">
            <w:pPr>
              <w:pStyle w:val="13"/>
            </w:pPr>
            <w:r>
              <w:t xml:space="preserve"> </w:t>
            </w:r>
          </w:p>
        </w:tc>
        <w:tc>
          <w:tcPr>
            <w:tcW w:w="2551" w:type="dxa"/>
            <w:vAlign w:val="center"/>
          </w:tcPr>
          <w:p w14:paraId="6AB46C06">
            <w:pPr>
              <w:pStyle w:val="13"/>
            </w:pPr>
            <w:r>
              <w:t>100%</w:t>
            </w:r>
          </w:p>
        </w:tc>
        <w:tc>
          <w:tcPr>
            <w:tcW w:w="3544" w:type="dxa"/>
            <w:gridSpan w:val="2"/>
            <w:vAlign w:val="center"/>
          </w:tcPr>
          <w:p w14:paraId="5AEE63E8">
            <w:pPr>
              <w:pStyle w:val="13"/>
            </w:pPr>
            <w:r>
              <w:t>100%</w:t>
            </w:r>
          </w:p>
        </w:tc>
      </w:tr>
      <w:tr w14:paraId="3DD8E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86CB4">
            <w:pPr>
              <w:pStyle w:val="10"/>
            </w:pPr>
            <w:r>
              <w:t>绩效目标</w:t>
            </w:r>
          </w:p>
        </w:tc>
        <w:tc>
          <w:tcPr>
            <w:tcW w:w="14033" w:type="dxa"/>
            <w:gridSpan w:val="6"/>
            <w:vAlign w:val="center"/>
          </w:tcPr>
          <w:p w14:paraId="3E1FE9D0">
            <w:pPr>
              <w:pStyle w:val="12"/>
            </w:pPr>
            <w:r>
              <w:t>1.改善义务教育办学条件，进一步提升教育教学办学质量</w:t>
            </w:r>
            <w:r>
              <w:tab/>
            </w:r>
            <w:r>
              <w:tab/>
            </w:r>
            <w:r>
              <w:tab/>
            </w:r>
            <w:r>
              <w:tab/>
            </w:r>
            <w:r>
              <w:tab/>
            </w:r>
          </w:p>
        </w:tc>
      </w:tr>
    </w:tbl>
    <w:p w14:paraId="6910D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3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2FAA1">
            <w:pPr>
              <w:pStyle w:val="10"/>
            </w:pPr>
            <w:r>
              <w:t>一级指标</w:t>
            </w:r>
          </w:p>
        </w:tc>
        <w:tc>
          <w:tcPr>
            <w:tcW w:w="2268" w:type="dxa"/>
            <w:vAlign w:val="center"/>
          </w:tcPr>
          <w:p w14:paraId="3F823D6F">
            <w:pPr>
              <w:pStyle w:val="10"/>
            </w:pPr>
            <w:r>
              <w:t>二级指标</w:t>
            </w:r>
          </w:p>
        </w:tc>
        <w:tc>
          <w:tcPr>
            <w:tcW w:w="2835" w:type="dxa"/>
            <w:vAlign w:val="center"/>
          </w:tcPr>
          <w:p w14:paraId="57B365B5">
            <w:pPr>
              <w:pStyle w:val="10"/>
            </w:pPr>
            <w:r>
              <w:t>三级指标</w:t>
            </w:r>
          </w:p>
        </w:tc>
        <w:tc>
          <w:tcPr>
            <w:tcW w:w="5386" w:type="dxa"/>
            <w:vAlign w:val="center"/>
          </w:tcPr>
          <w:p w14:paraId="4F8BEBEE">
            <w:pPr>
              <w:pStyle w:val="10"/>
            </w:pPr>
            <w:r>
              <w:t>绩效指标描述</w:t>
            </w:r>
          </w:p>
        </w:tc>
        <w:tc>
          <w:tcPr>
            <w:tcW w:w="2268" w:type="dxa"/>
            <w:vAlign w:val="center"/>
          </w:tcPr>
          <w:p w14:paraId="64A3B61D">
            <w:pPr>
              <w:pStyle w:val="10"/>
            </w:pPr>
            <w:r>
              <w:t>指标值</w:t>
            </w:r>
          </w:p>
        </w:tc>
        <w:tc>
          <w:tcPr>
            <w:tcW w:w="1276" w:type="dxa"/>
            <w:vAlign w:val="center"/>
          </w:tcPr>
          <w:p w14:paraId="2FABFF35">
            <w:pPr>
              <w:pStyle w:val="10"/>
            </w:pPr>
            <w:r>
              <w:t>指标值确定依据</w:t>
            </w:r>
          </w:p>
        </w:tc>
      </w:tr>
      <w:tr w14:paraId="570A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C574F">
            <w:pPr>
              <w:pStyle w:val="13"/>
            </w:pPr>
            <w:r>
              <w:t>产出指标</w:t>
            </w:r>
          </w:p>
        </w:tc>
        <w:tc>
          <w:tcPr>
            <w:tcW w:w="2268" w:type="dxa"/>
            <w:vAlign w:val="center"/>
          </w:tcPr>
          <w:p w14:paraId="17039A32">
            <w:pPr>
              <w:pStyle w:val="12"/>
            </w:pPr>
            <w:r>
              <w:t>数量指标</w:t>
            </w:r>
          </w:p>
        </w:tc>
        <w:tc>
          <w:tcPr>
            <w:tcW w:w="2835" w:type="dxa"/>
            <w:vAlign w:val="center"/>
          </w:tcPr>
          <w:p w14:paraId="32C56873">
            <w:pPr>
              <w:pStyle w:val="12"/>
            </w:pPr>
            <w:r>
              <w:t>院落升级改造</w:t>
            </w:r>
          </w:p>
        </w:tc>
        <w:tc>
          <w:tcPr>
            <w:tcW w:w="5386" w:type="dxa"/>
            <w:vAlign w:val="center"/>
          </w:tcPr>
          <w:p w14:paraId="4C4AF81A">
            <w:pPr>
              <w:pStyle w:val="12"/>
            </w:pPr>
            <w:r>
              <w:t>对刘通庄小学院落进行地基平整、便道砌砖等</w:t>
            </w:r>
          </w:p>
        </w:tc>
        <w:tc>
          <w:tcPr>
            <w:tcW w:w="2268" w:type="dxa"/>
            <w:vAlign w:val="center"/>
          </w:tcPr>
          <w:p w14:paraId="4C09E75A">
            <w:pPr>
              <w:pStyle w:val="12"/>
            </w:pPr>
            <w:r>
              <w:t>1项</w:t>
            </w:r>
          </w:p>
        </w:tc>
        <w:tc>
          <w:tcPr>
            <w:tcW w:w="1276" w:type="dxa"/>
            <w:vAlign w:val="center"/>
          </w:tcPr>
          <w:p w14:paraId="60BC5534">
            <w:pPr>
              <w:pStyle w:val="12"/>
            </w:pPr>
            <w:r>
              <w:t>项目规划</w:t>
            </w:r>
          </w:p>
        </w:tc>
      </w:tr>
      <w:tr w14:paraId="6F72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E310F"/>
        </w:tc>
        <w:tc>
          <w:tcPr>
            <w:tcW w:w="2268" w:type="dxa"/>
            <w:vAlign w:val="center"/>
          </w:tcPr>
          <w:p w14:paraId="48B8276E">
            <w:pPr>
              <w:pStyle w:val="12"/>
            </w:pPr>
            <w:r>
              <w:t>质量指标</w:t>
            </w:r>
          </w:p>
        </w:tc>
        <w:tc>
          <w:tcPr>
            <w:tcW w:w="2835" w:type="dxa"/>
            <w:vAlign w:val="center"/>
          </w:tcPr>
          <w:p w14:paraId="0BA4BDF4">
            <w:pPr>
              <w:pStyle w:val="12"/>
            </w:pPr>
            <w:r>
              <w:t>工程实施验收合格率</w:t>
            </w:r>
          </w:p>
        </w:tc>
        <w:tc>
          <w:tcPr>
            <w:tcW w:w="5386" w:type="dxa"/>
            <w:vAlign w:val="center"/>
          </w:tcPr>
          <w:p w14:paraId="604DF256">
            <w:pPr>
              <w:pStyle w:val="12"/>
            </w:pPr>
            <w:r>
              <w:t>申报程序的合规，项目实施及资金使用符合项目规划</w:t>
            </w:r>
          </w:p>
        </w:tc>
        <w:tc>
          <w:tcPr>
            <w:tcW w:w="2268" w:type="dxa"/>
            <w:vAlign w:val="center"/>
          </w:tcPr>
          <w:p w14:paraId="172971A1">
            <w:pPr>
              <w:pStyle w:val="12"/>
            </w:pPr>
            <w:r>
              <w:t>≥98%</w:t>
            </w:r>
          </w:p>
        </w:tc>
        <w:tc>
          <w:tcPr>
            <w:tcW w:w="1276" w:type="dxa"/>
            <w:vAlign w:val="center"/>
          </w:tcPr>
          <w:p w14:paraId="0960AB42">
            <w:pPr>
              <w:pStyle w:val="12"/>
            </w:pPr>
            <w:r>
              <w:t>项目规划</w:t>
            </w:r>
          </w:p>
        </w:tc>
      </w:tr>
      <w:tr w14:paraId="7713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EA20D"/>
        </w:tc>
        <w:tc>
          <w:tcPr>
            <w:tcW w:w="2268" w:type="dxa"/>
            <w:vAlign w:val="center"/>
          </w:tcPr>
          <w:p w14:paraId="500ECF2B">
            <w:pPr>
              <w:pStyle w:val="12"/>
            </w:pPr>
            <w:r>
              <w:t>时效指标</w:t>
            </w:r>
          </w:p>
        </w:tc>
        <w:tc>
          <w:tcPr>
            <w:tcW w:w="2835" w:type="dxa"/>
            <w:vAlign w:val="center"/>
          </w:tcPr>
          <w:p w14:paraId="44BECB57">
            <w:pPr>
              <w:pStyle w:val="12"/>
            </w:pPr>
            <w:r>
              <w:t>资金支付率</w:t>
            </w:r>
          </w:p>
        </w:tc>
        <w:tc>
          <w:tcPr>
            <w:tcW w:w="5386" w:type="dxa"/>
            <w:vAlign w:val="center"/>
          </w:tcPr>
          <w:p w14:paraId="065B33D9">
            <w:pPr>
              <w:pStyle w:val="12"/>
            </w:pPr>
            <w:r>
              <w:t>按照序时进度完成资金支付</w:t>
            </w:r>
          </w:p>
        </w:tc>
        <w:tc>
          <w:tcPr>
            <w:tcW w:w="2268" w:type="dxa"/>
            <w:vAlign w:val="center"/>
          </w:tcPr>
          <w:p w14:paraId="053C4FA7">
            <w:pPr>
              <w:pStyle w:val="12"/>
            </w:pPr>
            <w:r>
              <w:t>≥98%</w:t>
            </w:r>
          </w:p>
        </w:tc>
        <w:tc>
          <w:tcPr>
            <w:tcW w:w="1276" w:type="dxa"/>
            <w:vAlign w:val="center"/>
          </w:tcPr>
          <w:p w14:paraId="508F7F35">
            <w:pPr>
              <w:pStyle w:val="12"/>
            </w:pPr>
            <w:r>
              <w:t>项目规划</w:t>
            </w:r>
          </w:p>
        </w:tc>
      </w:tr>
      <w:tr w14:paraId="5AD1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C6C3"/>
        </w:tc>
        <w:tc>
          <w:tcPr>
            <w:tcW w:w="2268" w:type="dxa"/>
            <w:vAlign w:val="center"/>
          </w:tcPr>
          <w:p w14:paraId="49100BDA">
            <w:pPr>
              <w:pStyle w:val="12"/>
            </w:pPr>
            <w:r>
              <w:t>成本指标</w:t>
            </w:r>
          </w:p>
        </w:tc>
        <w:tc>
          <w:tcPr>
            <w:tcW w:w="2835" w:type="dxa"/>
            <w:vAlign w:val="center"/>
          </w:tcPr>
          <w:p w14:paraId="2F0DB661">
            <w:pPr>
              <w:pStyle w:val="12"/>
            </w:pPr>
            <w:r>
              <w:t>项目成本控制情况</w:t>
            </w:r>
          </w:p>
        </w:tc>
        <w:tc>
          <w:tcPr>
            <w:tcW w:w="5386" w:type="dxa"/>
            <w:vAlign w:val="center"/>
          </w:tcPr>
          <w:p w14:paraId="45D3B48D">
            <w:pPr>
              <w:pStyle w:val="12"/>
            </w:pPr>
            <w:r>
              <w:t>严格按照招标价格及审计额进行</w:t>
            </w:r>
          </w:p>
        </w:tc>
        <w:tc>
          <w:tcPr>
            <w:tcW w:w="2268" w:type="dxa"/>
            <w:vAlign w:val="center"/>
          </w:tcPr>
          <w:p w14:paraId="273AFC79">
            <w:pPr>
              <w:pStyle w:val="12"/>
            </w:pPr>
            <w:r>
              <w:t>180000元</w:t>
            </w:r>
          </w:p>
        </w:tc>
        <w:tc>
          <w:tcPr>
            <w:tcW w:w="1276" w:type="dxa"/>
            <w:vAlign w:val="center"/>
          </w:tcPr>
          <w:p w14:paraId="30825519">
            <w:pPr>
              <w:pStyle w:val="12"/>
            </w:pPr>
            <w:r>
              <w:t>项目规划</w:t>
            </w:r>
          </w:p>
        </w:tc>
      </w:tr>
      <w:tr w14:paraId="1491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B89EA">
            <w:pPr>
              <w:pStyle w:val="13"/>
            </w:pPr>
            <w:r>
              <w:t>效益指标</w:t>
            </w:r>
          </w:p>
        </w:tc>
        <w:tc>
          <w:tcPr>
            <w:tcW w:w="2268" w:type="dxa"/>
            <w:vAlign w:val="center"/>
          </w:tcPr>
          <w:p w14:paraId="6610EF25">
            <w:pPr>
              <w:pStyle w:val="12"/>
            </w:pPr>
            <w:r>
              <w:t>可持续影响指标</w:t>
            </w:r>
          </w:p>
        </w:tc>
        <w:tc>
          <w:tcPr>
            <w:tcW w:w="2835" w:type="dxa"/>
            <w:vAlign w:val="center"/>
          </w:tcPr>
          <w:p w14:paraId="32CF5997">
            <w:pPr>
              <w:pStyle w:val="12"/>
            </w:pPr>
            <w:r>
              <w:t>学校日常运转</w:t>
            </w:r>
          </w:p>
        </w:tc>
        <w:tc>
          <w:tcPr>
            <w:tcW w:w="5386" w:type="dxa"/>
            <w:vAlign w:val="center"/>
          </w:tcPr>
          <w:p w14:paraId="163F2906">
            <w:pPr>
              <w:pStyle w:val="12"/>
            </w:pPr>
            <w:r>
              <w:t>学生受教育年限</w:t>
            </w:r>
          </w:p>
        </w:tc>
        <w:tc>
          <w:tcPr>
            <w:tcW w:w="2268" w:type="dxa"/>
            <w:vAlign w:val="center"/>
          </w:tcPr>
          <w:p w14:paraId="1506FA83">
            <w:pPr>
              <w:pStyle w:val="12"/>
            </w:pPr>
            <w:r>
              <w:t>6年</w:t>
            </w:r>
          </w:p>
        </w:tc>
        <w:tc>
          <w:tcPr>
            <w:tcW w:w="1276" w:type="dxa"/>
            <w:vAlign w:val="center"/>
          </w:tcPr>
          <w:p w14:paraId="2ACA396E">
            <w:pPr>
              <w:pStyle w:val="12"/>
            </w:pPr>
            <w:r>
              <w:t>项目规划</w:t>
            </w:r>
          </w:p>
        </w:tc>
      </w:tr>
      <w:tr w14:paraId="044B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320D1">
            <w:pPr>
              <w:pStyle w:val="13"/>
            </w:pPr>
            <w:r>
              <w:t>满意度指标</w:t>
            </w:r>
          </w:p>
        </w:tc>
        <w:tc>
          <w:tcPr>
            <w:tcW w:w="2268" w:type="dxa"/>
            <w:vAlign w:val="center"/>
          </w:tcPr>
          <w:p w14:paraId="71D19886">
            <w:pPr>
              <w:pStyle w:val="12"/>
            </w:pPr>
            <w:r>
              <w:t>服务对象满意度指标</w:t>
            </w:r>
          </w:p>
        </w:tc>
        <w:tc>
          <w:tcPr>
            <w:tcW w:w="2835" w:type="dxa"/>
            <w:vAlign w:val="center"/>
          </w:tcPr>
          <w:p w14:paraId="16466989">
            <w:pPr>
              <w:pStyle w:val="12"/>
            </w:pPr>
            <w:r>
              <w:t>学生、教师及家长对学校教学环境满意度情况</w:t>
            </w:r>
          </w:p>
        </w:tc>
        <w:tc>
          <w:tcPr>
            <w:tcW w:w="5386" w:type="dxa"/>
            <w:vAlign w:val="center"/>
          </w:tcPr>
          <w:p w14:paraId="5DD58872">
            <w:pPr>
              <w:pStyle w:val="12"/>
            </w:pPr>
            <w:r>
              <w:t>学生、教师及家长对学校教学环境满意度情况</w:t>
            </w:r>
          </w:p>
        </w:tc>
        <w:tc>
          <w:tcPr>
            <w:tcW w:w="2268" w:type="dxa"/>
            <w:vAlign w:val="center"/>
          </w:tcPr>
          <w:p w14:paraId="06C27E61">
            <w:pPr>
              <w:pStyle w:val="12"/>
            </w:pPr>
            <w:r>
              <w:t>≥95%</w:t>
            </w:r>
          </w:p>
        </w:tc>
        <w:tc>
          <w:tcPr>
            <w:tcW w:w="1276" w:type="dxa"/>
            <w:vAlign w:val="center"/>
          </w:tcPr>
          <w:p w14:paraId="5C81A044">
            <w:pPr>
              <w:pStyle w:val="12"/>
            </w:pPr>
            <w:r>
              <w:t>调查问卷</w:t>
            </w:r>
          </w:p>
        </w:tc>
      </w:tr>
    </w:tbl>
    <w:p w14:paraId="1DB02D9E">
      <w:pPr>
        <w:sectPr>
          <w:pgSz w:w="16840" w:h="11900" w:orient="landscape"/>
          <w:pgMar w:top="1361" w:right="1020" w:bottom="1134" w:left="1020" w:header="720" w:footer="720" w:gutter="0"/>
          <w:cols w:space="720" w:num="1"/>
        </w:sectPr>
      </w:pPr>
    </w:p>
    <w:p w14:paraId="2FBB76A0">
      <w:pPr>
        <w:spacing w:before="0" w:after="0"/>
        <w:ind w:firstLine="560"/>
        <w:jc w:val="left"/>
        <w:outlineLvl w:val="9"/>
      </w:pPr>
      <w:r>
        <w:rPr>
          <w:rFonts w:ascii="方正仿宋_GBK" w:hAnsi="方正仿宋_GBK" w:eastAsia="方正仿宋_GBK" w:cs="方正仿宋_GBK"/>
          <w:b/>
          <w:color w:val="000000"/>
          <w:sz w:val="28"/>
        </w:rPr>
        <w:t>17、冀财教[2025]148号/支持义务教育发展/大张庄校区黄家庄小学空调购置绩效目标表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75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2F96A">
            <w:pPr>
              <w:pStyle w:val="11"/>
            </w:pPr>
            <w:r>
              <w:t>单位：万元</w:t>
            </w:r>
          </w:p>
        </w:tc>
      </w:tr>
      <w:tr w14:paraId="040EB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03877">
            <w:pPr>
              <w:pStyle w:val="10"/>
            </w:pPr>
            <w:r>
              <w:t>项目编码</w:t>
            </w:r>
          </w:p>
        </w:tc>
        <w:tc>
          <w:tcPr>
            <w:tcW w:w="5103" w:type="dxa"/>
            <w:gridSpan w:val="2"/>
            <w:vAlign w:val="center"/>
          </w:tcPr>
          <w:p w14:paraId="5F166AA4">
            <w:pPr>
              <w:pStyle w:val="12"/>
            </w:pPr>
            <w:r>
              <w:t>13052526P000002101352</w:t>
            </w:r>
          </w:p>
        </w:tc>
        <w:tc>
          <w:tcPr>
            <w:tcW w:w="2835" w:type="dxa"/>
            <w:vAlign w:val="center"/>
          </w:tcPr>
          <w:p w14:paraId="189666E7">
            <w:pPr>
              <w:pStyle w:val="10"/>
            </w:pPr>
            <w:r>
              <w:t>项目名称</w:t>
            </w:r>
          </w:p>
        </w:tc>
        <w:tc>
          <w:tcPr>
            <w:tcW w:w="6095" w:type="dxa"/>
            <w:gridSpan w:val="3"/>
            <w:vAlign w:val="center"/>
          </w:tcPr>
          <w:p w14:paraId="14028FDA">
            <w:pPr>
              <w:pStyle w:val="12"/>
            </w:pPr>
            <w:r>
              <w:t>冀财教[2025]148号/支持义务教育发展/大张庄校区黄家庄小学空调购置</w:t>
            </w:r>
          </w:p>
        </w:tc>
      </w:tr>
      <w:tr w14:paraId="428F1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59894">
            <w:pPr>
              <w:pStyle w:val="10"/>
            </w:pPr>
            <w:r>
              <w:t>预算规模及资金用途</w:t>
            </w:r>
          </w:p>
        </w:tc>
        <w:tc>
          <w:tcPr>
            <w:tcW w:w="2268" w:type="dxa"/>
            <w:vAlign w:val="center"/>
          </w:tcPr>
          <w:p w14:paraId="47B677F4">
            <w:pPr>
              <w:pStyle w:val="10"/>
            </w:pPr>
            <w:r>
              <w:t>预算数</w:t>
            </w:r>
          </w:p>
        </w:tc>
        <w:tc>
          <w:tcPr>
            <w:tcW w:w="2835" w:type="dxa"/>
            <w:vAlign w:val="center"/>
          </w:tcPr>
          <w:p w14:paraId="20E409EC">
            <w:pPr>
              <w:pStyle w:val="12"/>
            </w:pPr>
            <w:r>
              <w:t>13.75</w:t>
            </w:r>
          </w:p>
        </w:tc>
        <w:tc>
          <w:tcPr>
            <w:tcW w:w="2835" w:type="dxa"/>
            <w:vAlign w:val="center"/>
          </w:tcPr>
          <w:p w14:paraId="01E601B1">
            <w:pPr>
              <w:pStyle w:val="10"/>
            </w:pPr>
            <w:r>
              <w:t>其中：财政    资金</w:t>
            </w:r>
          </w:p>
        </w:tc>
        <w:tc>
          <w:tcPr>
            <w:tcW w:w="2551" w:type="dxa"/>
            <w:vAlign w:val="center"/>
          </w:tcPr>
          <w:p w14:paraId="2C5A8F3E">
            <w:pPr>
              <w:pStyle w:val="12"/>
            </w:pPr>
            <w:r>
              <w:t>13.75</w:t>
            </w:r>
          </w:p>
        </w:tc>
        <w:tc>
          <w:tcPr>
            <w:tcW w:w="2268" w:type="dxa"/>
            <w:vAlign w:val="center"/>
          </w:tcPr>
          <w:p w14:paraId="25D931F3">
            <w:pPr>
              <w:pStyle w:val="10"/>
            </w:pPr>
            <w:r>
              <w:t>其他资金</w:t>
            </w:r>
          </w:p>
        </w:tc>
        <w:tc>
          <w:tcPr>
            <w:tcW w:w="1276" w:type="dxa"/>
            <w:vAlign w:val="center"/>
          </w:tcPr>
          <w:p w14:paraId="769F0F68">
            <w:pPr>
              <w:pStyle w:val="12"/>
            </w:pPr>
            <w:r>
              <w:t xml:space="preserve"> </w:t>
            </w:r>
          </w:p>
        </w:tc>
      </w:tr>
      <w:tr w14:paraId="38C2D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2B712"/>
        </w:tc>
        <w:tc>
          <w:tcPr>
            <w:tcW w:w="14033" w:type="dxa"/>
            <w:gridSpan w:val="6"/>
            <w:vAlign w:val="center"/>
          </w:tcPr>
          <w:p w14:paraId="0076CCA4">
            <w:pPr>
              <w:pStyle w:val="12"/>
            </w:pPr>
            <w:r>
              <w:t>提高教学条件，提升教学水平，进一步提高学校</w:t>
            </w:r>
            <w:r>
              <w:rPr>
                <w:rFonts w:hint="eastAsia"/>
                <w:lang w:eastAsia="zh-CN"/>
              </w:rPr>
              <w:t>环境</w:t>
            </w:r>
            <w:r>
              <w:t>条件。</w:t>
            </w:r>
          </w:p>
        </w:tc>
      </w:tr>
      <w:tr w14:paraId="3BA7F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01470">
            <w:pPr>
              <w:pStyle w:val="10"/>
            </w:pPr>
            <w:r>
              <w:t>资金支出计划（%）</w:t>
            </w:r>
          </w:p>
        </w:tc>
        <w:tc>
          <w:tcPr>
            <w:tcW w:w="5103" w:type="dxa"/>
            <w:gridSpan w:val="2"/>
            <w:vAlign w:val="center"/>
          </w:tcPr>
          <w:p w14:paraId="5B8722D7">
            <w:pPr>
              <w:pStyle w:val="10"/>
            </w:pPr>
            <w:r>
              <w:t>3月底</w:t>
            </w:r>
          </w:p>
        </w:tc>
        <w:tc>
          <w:tcPr>
            <w:tcW w:w="2835" w:type="dxa"/>
            <w:vAlign w:val="center"/>
          </w:tcPr>
          <w:p w14:paraId="2C0F2F6B">
            <w:pPr>
              <w:pStyle w:val="10"/>
            </w:pPr>
            <w:r>
              <w:t>6月底</w:t>
            </w:r>
          </w:p>
        </w:tc>
        <w:tc>
          <w:tcPr>
            <w:tcW w:w="2551" w:type="dxa"/>
            <w:vAlign w:val="center"/>
          </w:tcPr>
          <w:p w14:paraId="2FDBB26D">
            <w:pPr>
              <w:pStyle w:val="10"/>
            </w:pPr>
            <w:r>
              <w:t>10月底</w:t>
            </w:r>
          </w:p>
        </w:tc>
        <w:tc>
          <w:tcPr>
            <w:tcW w:w="3544" w:type="dxa"/>
            <w:gridSpan w:val="2"/>
            <w:vAlign w:val="center"/>
          </w:tcPr>
          <w:p w14:paraId="3D5E8EC1">
            <w:pPr>
              <w:pStyle w:val="10"/>
            </w:pPr>
            <w:r>
              <w:t>12月底</w:t>
            </w:r>
          </w:p>
        </w:tc>
      </w:tr>
      <w:tr w14:paraId="157CB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A4F38"/>
        </w:tc>
        <w:tc>
          <w:tcPr>
            <w:tcW w:w="5103" w:type="dxa"/>
            <w:gridSpan w:val="2"/>
            <w:vAlign w:val="center"/>
          </w:tcPr>
          <w:p w14:paraId="48F96321">
            <w:pPr>
              <w:pStyle w:val="13"/>
            </w:pPr>
            <w:r>
              <w:t xml:space="preserve"> </w:t>
            </w:r>
          </w:p>
        </w:tc>
        <w:tc>
          <w:tcPr>
            <w:tcW w:w="2835" w:type="dxa"/>
            <w:vAlign w:val="center"/>
          </w:tcPr>
          <w:p w14:paraId="7D6777D6">
            <w:pPr>
              <w:pStyle w:val="13"/>
            </w:pPr>
            <w:r>
              <w:t>50%</w:t>
            </w:r>
          </w:p>
        </w:tc>
        <w:tc>
          <w:tcPr>
            <w:tcW w:w="2551" w:type="dxa"/>
            <w:vAlign w:val="center"/>
          </w:tcPr>
          <w:p w14:paraId="6F45E29A">
            <w:pPr>
              <w:pStyle w:val="13"/>
            </w:pPr>
            <w:r>
              <w:t>100%</w:t>
            </w:r>
          </w:p>
        </w:tc>
        <w:tc>
          <w:tcPr>
            <w:tcW w:w="3544" w:type="dxa"/>
            <w:gridSpan w:val="2"/>
            <w:vAlign w:val="center"/>
          </w:tcPr>
          <w:p w14:paraId="7A94DE0E">
            <w:pPr>
              <w:pStyle w:val="13"/>
            </w:pPr>
            <w:r>
              <w:t>100%</w:t>
            </w:r>
          </w:p>
        </w:tc>
      </w:tr>
      <w:tr w14:paraId="17F0D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49B32">
            <w:pPr>
              <w:pStyle w:val="10"/>
            </w:pPr>
            <w:r>
              <w:t>绩效目标</w:t>
            </w:r>
          </w:p>
        </w:tc>
        <w:tc>
          <w:tcPr>
            <w:tcW w:w="14033" w:type="dxa"/>
            <w:gridSpan w:val="6"/>
            <w:vAlign w:val="center"/>
          </w:tcPr>
          <w:p w14:paraId="21C363DC">
            <w:pPr>
              <w:pStyle w:val="12"/>
            </w:pPr>
            <w:r>
              <w:t>1.提高教学条件，提升教学水平，进一步提高学校</w:t>
            </w:r>
            <w:r>
              <w:rPr>
                <w:rFonts w:hint="eastAsia"/>
                <w:lang w:eastAsia="zh-CN"/>
              </w:rPr>
              <w:t>环境</w:t>
            </w:r>
            <w:r>
              <w:t>条件。</w:t>
            </w:r>
          </w:p>
        </w:tc>
      </w:tr>
    </w:tbl>
    <w:p w14:paraId="30020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E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CFC42">
            <w:pPr>
              <w:pStyle w:val="10"/>
            </w:pPr>
            <w:r>
              <w:t>一级指标</w:t>
            </w:r>
          </w:p>
        </w:tc>
        <w:tc>
          <w:tcPr>
            <w:tcW w:w="2268" w:type="dxa"/>
            <w:vAlign w:val="center"/>
          </w:tcPr>
          <w:p w14:paraId="23DEEC11">
            <w:pPr>
              <w:pStyle w:val="10"/>
            </w:pPr>
            <w:r>
              <w:t>二级指标</w:t>
            </w:r>
          </w:p>
        </w:tc>
        <w:tc>
          <w:tcPr>
            <w:tcW w:w="2835" w:type="dxa"/>
            <w:vAlign w:val="center"/>
          </w:tcPr>
          <w:p w14:paraId="327A5D70">
            <w:pPr>
              <w:pStyle w:val="10"/>
            </w:pPr>
            <w:r>
              <w:t>三级指标</w:t>
            </w:r>
          </w:p>
        </w:tc>
        <w:tc>
          <w:tcPr>
            <w:tcW w:w="5386" w:type="dxa"/>
            <w:vAlign w:val="center"/>
          </w:tcPr>
          <w:p w14:paraId="69DCC460">
            <w:pPr>
              <w:pStyle w:val="10"/>
            </w:pPr>
            <w:r>
              <w:t>绩效指标描述</w:t>
            </w:r>
          </w:p>
        </w:tc>
        <w:tc>
          <w:tcPr>
            <w:tcW w:w="2268" w:type="dxa"/>
            <w:vAlign w:val="center"/>
          </w:tcPr>
          <w:p w14:paraId="4F84546F">
            <w:pPr>
              <w:pStyle w:val="10"/>
            </w:pPr>
            <w:r>
              <w:t>指标值</w:t>
            </w:r>
          </w:p>
        </w:tc>
        <w:tc>
          <w:tcPr>
            <w:tcW w:w="1276" w:type="dxa"/>
            <w:vAlign w:val="center"/>
          </w:tcPr>
          <w:p w14:paraId="7CC9159C">
            <w:pPr>
              <w:pStyle w:val="10"/>
            </w:pPr>
            <w:r>
              <w:t>指标值确定依据</w:t>
            </w:r>
          </w:p>
        </w:tc>
      </w:tr>
      <w:tr w14:paraId="7224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A2C8F">
            <w:pPr>
              <w:pStyle w:val="13"/>
            </w:pPr>
            <w:r>
              <w:t>产出指标</w:t>
            </w:r>
          </w:p>
        </w:tc>
        <w:tc>
          <w:tcPr>
            <w:tcW w:w="2268" w:type="dxa"/>
            <w:vAlign w:val="center"/>
          </w:tcPr>
          <w:p w14:paraId="49EC3286">
            <w:pPr>
              <w:pStyle w:val="12"/>
            </w:pPr>
            <w:r>
              <w:t>数量指标</w:t>
            </w:r>
          </w:p>
        </w:tc>
        <w:tc>
          <w:tcPr>
            <w:tcW w:w="2835" w:type="dxa"/>
            <w:vAlign w:val="center"/>
          </w:tcPr>
          <w:p w14:paraId="468CD8B2">
            <w:pPr>
              <w:pStyle w:val="12"/>
            </w:pPr>
            <w:r>
              <w:t>空调设备购置</w:t>
            </w:r>
          </w:p>
        </w:tc>
        <w:tc>
          <w:tcPr>
            <w:tcW w:w="5386" w:type="dxa"/>
            <w:vAlign w:val="center"/>
          </w:tcPr>
          <w:p w14:paraId="70156D61">
            <w:pPr>
              <w:pStyle w:val="12"/>
            </w:pPr>
            <w:r>
              <w:t>学校购置空调设备</w:t>
            </w:r>
          </w:p>
        </w:tc>
        <w:tc>
          <w:tcPr>
            <w:tcW w:w="2268" w:type="dxa"/>
            <w:vAlign w:val="center"/>
          </w:tcPr>
          <w:p w14:paraId="6771EB46">
            <w:pPr>
              <w:pStyle w:val="12"/>
            </w:pPr>
            <w:r>
              <w:t>25台</w:t>
            </w:r>
          </w:p>
        </w:tc>
        <w:tc>
          <w:tcPr>
            <w:tcW w:w="1276" w:type="dxa"/>
            <w:vAlign w:val="center"/>
          </w:tcPr>
          <w:p w14:paraId="1ED86964">
            <w:pPr>
              <w:pStyle w:val="12"/>
            </w:pPr>
            <w:r>
              <w:t>项目规划</w:t>
            </w:r>
          </w:p>
        </w:tc>
      </w:tr>
      <w:tr w14:paraId="1C3C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26FDF"/>
        </w:tc>
        <w:tc>
          <w:tcPr>
            <w:tcW w:w="2268" w:type="dxa"/>
            <w:vAlign w:val="center"/>
          </w:tcPr>
          <w:p w14:paraId="716ECE1A">
            <w:pPr>
              <w:pStyle w:val="12"/>
            </w:pPr>
            <w:r>
              <w:t>质量指标</w:t>
            </w:r>
          </w:p>
        </w:tc>
        <w:tc>
          <w:tcPr>
            <w:tcW w:w="2835" w:type="dxa"/>
            <w:vAlign w:val="center"/>
          </w:tcPr>
          <w:p w14:paraId="02385FEB">
            <w:pPr>
              <w:pStyle w:val="12"/>
            </w:pPr>
            <w:r>
              <w:t>购置设备收合格完成率</w:t>
            </w:r>
          </w:p>
        </w:tc>
        <w:tc>
          <w:tcPr>
            <w:tcW w:w="5386" w:type="dxa"/>
            <w:vAlign w:val="center"/>
          </w:tcPr>
          <w:p w14:paraId="1213B1AF">
            <w:pPr>
              <w:pStyle w:val="12"/>
            </w:pPr>
            <w:r>
              <w:t>学校购置设备数量与计划购置数量之比</w:t>
            </w:r>
          </w:p>
        </w:tc>
        <w:tc>
          <w:tcPr>
            <w:tcW w:w="2268" w:type="dxa"/>
            <w:vAlign w:val="center"/>
          </w:tcPr>
          <w:p w14:paraId="076BC1EC">
            <w:pPr>
              <w:pStyle w:val="12"/>
            </w:pPr>
            <w:r>
              <w:t>≥98%</w:t>
            </w:r>
          </w:p>
        </w:tc>
        <w:tc>
          <w:tcPr>
            <w:tcW w:w="1276" w:type="dxa"/>
            <w:vAlign w:val="center"/>
          </w:tcPr>
          <w:p w14:paraId="53CAA106">
            <w:pPr>
              <w:pStyle w:val="12"/>
            </w:pPr>
            <w:r>
              <w:t>项目规划</w:t>
            </w:r>
          </w:p>
        </w:tc>
      </w:tr>
      <w:tr w14:paraId="2063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FF11A"/>
        </w:tc>
        <w:tc>
          <w:tcPr>
            <w:tcW w:w="2268" w:type="dxa"/>
            <w:vAlign w:val="center"/>
          </w:tcPr>
          <w:p w14:paraId="5ACFB3C5">
            <w:pPr>
              <w:pStyle w:val="12"/>
            </w:pPr>
            <w:r>
              <w:t>时效指标</w:t>
            </w:r>
          </w:p>
        </w:tc>
        <w:tc>
          <w:tcPr>
            <w:tcW w:w="2835" w:type="dxa"/>
            <w:vAlign w:val="center"/>
          </w:tcPr>
          <w:p w14:paraId="27B38BCD">
            <w:pPr>
              <w:pStyle w:val="12"/>
            </w:pPr>
            <w:r>
              <w:t>购置设备完成率</w:t>
            </w:r>
          </w:p>
        </w:tc>
        <w:tc>
          <w:tcPr>
            <w:tcW w:w="5386" w:type="dxa"/>
            <w:vAlign w:val="center"/>
          </w:tcPr>
          <w:p w14:paraId="18ED0EC5">
            <w:pPr>
              <w:pStyle w:val="12"/>
            </w:pPr>
            <w:r>
              <w:t>学校购置设备完成情况</w:t>
            </w:r>
          </w:p>
        </w:tc>
        <w:tc>
          <w:tcPr>
            <w:tcW w:w="2268" w:type="dxa"/>
            <w:vAlign w:val="center"/>
          </w:tcPr>
          <w:p w14:paraId="71A4E57C">
            <w:pPr>
              <w:pStyle w:val="12"/>
            </w:pPr>
            <w:r>
              <w:t>≥98%</w:t>
            </w:r>
          </w:p>
        </w:tc>
        <w:tc>
          <w:tcPr>
            <w:tcW w:w="1276" w:type="dxa"/>
            <w:vAlign w:val="center"/>
          </w:tcPr>
          <w:p w14:paraId="58086CBF">
            <w:pPr>
              <w:pStyle w:val="12"/>
            </w:pPr>
            <w:r>
              <w:t>项目规划</w:t>
            </w:r>
          </w:p>
        </w:tc>
      </w:tr>
      <w:tr w14:paraId="6297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EF41D"/>
        </w:tc>
        <w:tc>
          <w:tcPr>
            <w:tcW w:w="2268" w:type="dxa"/>
            <w:vAlign w:val="center"/>
          </w:tcPr>
          <w:p w14:paraId="40D888E3">
            <w:pPr>
              <w:pStyle w:val="12"/>
            </w:pPr>
            <w:r>
              <w:t>成本指标</w:t>
            </w:r>
          </w:p>
        </w:tc>
        <w:tc>
          <w:tcPr>
            <w:tcW w:w="2835" w:type="dxa"/>
            <w:vAlign w:val="center"/>
          </w:tcPr>
          <w:p w14:paraId="196F6556">
            <w:pPr>
              <w:pStyle w:val="12"/>
            </w:pPr>
            <w:r>
              <w:t>购置设备成本</w:t>
            </w:r>
          </w:p>
        </w:tc>
        <w:tc>
          <w:tcPr>
            <w:tcW w:w="5386" w:type="dxa"/>
            <w:vAlign w:val="center"/>
          </w:tcPr>
          <w:p w14:paraId="7DAA0805">
            <w:pPr>
              <w:pStyle w:val="12"/>
            </w:pPr>
            <w:r>
              <w:t>用于学校购置设备的资金投入</w:t>
            </w:r>
          </w:p>
        </w:tc>
        <w:tc>
          <w:tcPr>
            <w:tcW w:w="2268" w:type="dxa"/>
            <w:vAlign w:val="center"/>
          </w:tcPr>
          <w:p w14:paraId="4AC61669">
            <w:pPr>
              <w:pStyle w:val="12"/>
            </w:pPr>
            <w:r>
              <w:t>137500元</w:t>
            </w:r>
          </w:p>
        </w:tc>
        <w:tc>
          <w:tcPr>
            <w:tcW w:w="1276" w:type="dxa"/>
            <w:vAlign w:val="center"/>
          </w:tcPr>
          <w:p w14:paraId="57A58CC8">
            <w:pPr>
              <w:pStyle w:val="12"/>
            </w:pPr>
            <w:r>
              <w:t>项目规划</w:t>
            </w:r>
          </w:p>
        </w:tc>
      </w:tr>
      <w:tr w14:paraId="14D10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D9810">
            <w:pPr>
              <w:pStyle w:val="13"/>
            </w:pPr>
            <w:r>
              <w:t>效益指标</w:t>
            </w:r>
          </w:p>
        </w:tc>
        <w:tc>
          <w:tcPr>
            <w:tcW w:w="2268" w:type="dxa"/>
            <w:vAlign w:val="center"/>
          </w:tcPr>
          <w:p w14:paraId="782FDE7D">
            <w:pPr>
              <w:pStyle w:val="12"/>
            </w:pPr>
            <w:r>
              <w:t>可持续影响指标</w:t>
            </w:r>
          </w:p>
        </w:tc>
        <w:tc>
          <w:tcPr>
            <w:tcW w:w="2835" w:type="dxa"/>
            <w:vAlign w:val="center"/>
          </w:tcPr>
          <w:p w14:paraId="7C9B2124">
            <w:pPr>
              <w:pStyle w:val="12"/>
            </w:pPr>
            <w:r>
              <w:t>受教育年限</w:t>
            </w:r>
          </w:p>
        </w:tc>
        <w:tc>
          <w:tcPr>
            <w:tcW w:w="5386" w:type="dxa"/>
            <w:vAlign w:val="center"/>
          </w:tcPr>
          <w:p w14:paraId="2F5CD4B8">
            <w:pPr>
              <w:pStyle w:val="12"/>
            </w:pPr>
            <w:r>
              <w:t>受教育年限</w:t>
            </w:r>
          </w:p>
        </w:tc>
        <w:tc>
          <w:tcPr>
            <w:tcW w:w="2268" w:type="dxa"/>
            <w:vAlign w:val="center"/>
          </w:tcPr>
          <w:p w14:paraId="65CC00DC">
            <w:pPr>
              <w:pStyle w:val="12"/>
            </w:pPr>
            <w:r>
              <w:t>6年</w:t>
            </w:r>
          </w:p>
        </w:tc>
        <w:tc>
          <w:tcPr>
            <w:tcW w:w="1276" w:type="dxa"/>
            <w:vAlign w:val="center"/>
          </w:tcPr>
          <w:p w14:paraId="5FC3E91A">
            <w:pPr>
              <w:pStyle w:val="12"/>
            </w:pPr>
            <w:r>
              <w:t>项目规划</w:t>
            </w:r>
          </w:p>
        </w:tc>
      </w:tr>
      <w:tr w14:paraId="0760A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3DAAD">
            <w:pPr>
              <w:pStyle w:val="13"/>
            </w:pPr>
            <w:r>
              <w:t>满意度指标</w:t>
            </w:r>
          </w:p>
        </w:tc>
        <w:tc>
          <w:tcPr>
            <w:tcW w:w="2268" w:type="dxa"/>
            <w:vAlign w:val="center"/>
          </w:tcPr>
          <w:p w14:paraId="2767BEB1">
            <w:pPr>
              <w:pStyle w:val="12"/>
            </w:pPr>
            <w:r>
              <w:t>服务对象满意度指标</w:t>
            </w:r>
          </w:p>
        </w:tc>
        <w:tc>
          <w:tcPr>
            <w:tcW w:w="2835" w:type="dxa"/>
            <w:vAlign w:val="center"/>
          </w:tcPr>
          <w:p w14:paraId="1C273D5A">
            <w:pPr>
              <w:pStyle w:val="12"/>
            </w:pPr>
            <w:r>
              <w:t>学生满意度</w:t>
            </w:r>
          </w:p>
        </w:tc>
        <w:tc>
          <w:tcPr>
            <w:tcW w:w="5386" w:type="dxa"/>
            <w:vAlign w:val="center"/>
          </w:tcPr>
          <w:p w14:paraId="65D6A108">
            <w:pPr>
              <w:pStyle w:val="12"/>
            </w:pPr>
            <w:r>
              <w:t>学生对实施项目的满意度</w:t>
            </w:r>
          </w:p>
        </w:tc>
        <w:tc>
          <w:tcPr>
            <w:tcW w:w="2268" w:type="dxa"/>
            <w:vAlign w:val="center"/>
          </w:tcPr>
          <w:p w14:paraId="491B191C">
            <w:pPr>
              <w:pStyle w:val="12"/>
            </w:pPr>
            <w:r>
              <w:t>≥95%</w:t>
            </w:r>
          </w:p>
        </w:tc>
        <w:tc>
          <w:tcPr>
            <w:tcW w:w="1276" w:type="dxa"/>
            <w:vAlign w:val="center"/>
          </w:tcPr>
          <w:p w14:paraId="0024D5B6">
            <w:pPr>
              <w:pStyle w:val="12"/>
            </w:pPr>
            <w:r>
              <w:t>项目规划</w:t>
            </w:r>
          </w:p>
        </w:tc>
      </w:tr>
    </w:tbl>
    <w:p w14:paraId="3248B229">
      <w:pPr>
        <w:sectPr>
          <w:pgSz w:w="16840" w:h="11900" w:orient="landscape"/>
          <w:pgMar w:top="1361" w:right="1020" w:bottom="1134" w:left="1020" w:header="720" w:footer="720" w:gutter="0"/>
          <w:cols w:space="720" w:num="1"/>
        </w:sectPr>
      </w:pPr>
    </w:p>
    <w:p w14:paraId="232B3201">
      <w:pPr>
        <w:spacing w:before="0" w:after="0"/>
        <w:ind w:firstLine="560"/>
        <w:jc w:val="left"/>
        <w:outlineLvl w:val="9"/>
      </w:pPr>
      <w:r>
        <w:rPr>
          <w:rFonts w:ascii="方正仿宋_GBK" w:hAnsi="方正仿宋_GBK" w:eastAsia="方正仿宋_GBK" w:cs="方正仿宋_GBK"/>
          <w:b/>
          <w:color w:val="000000"/>
          <w:sz w:val="28"/>
        </w:rPr>
        <w:t>18、冀财教[2025]149号/省级/2026年学前发展资金/大张家庄校区学前教育公用经费绩效目标表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52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CFDA1">
            <w:pPr>
              <w:pStyle w:val="11"/>
            </w:pPr>
            <w:r>
              <w:t>单位：万元</w:t>
            </w:r>
          </w:p>
        </w:tc>
      </w:tr>
      <w:tr w14:paraId="54344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C98FF">
            <w:pPr>
              <w:pStyle w:val="10"/>
            </w:pPr>
            <w:r>
              <w:t>项目编码</w:t>
            </w:r>
          </w:p>
        </w:tc>
        <w:tc>
          <w:tcPr>
            <w:tcW w:w="5103" w:type="dxa"/>
            <w:gridSpan w:val="2"/>
            <w:vAlign w:val="center"/>
          </w:tcPr>
          <w:p w14:paraId="6C49958F">
            <w:pPr>
              <w:pStyle w:val="12"/>
            </w:pPr>
            <w:r>
              <w:t>13052526P008757101117</w:t>
            </w:r>
          </w:p>
        </w:tc>
        <w:tc>
          <w:tcPr>
            <w:tcW w:w="2835" w:type="dxa"/>
            <w:vAlign w:val="center"/>
          </w:tcPr>
          <w:p w14:paraId="5476CD2E">
            <w:pPr>
              <w:pStyle w:val="10"/>
            </w:pPr>
            <w:r>
              <w:t>项目名称</w:t>
            </w:r>
          </w:p>
        </w:tc>
        <w:tc>
          <w:tcPr>
            <w:tcW w:w="6095" w:type="dxa"/>
            <w:gridSpan w:val="3"/>
            <w:vAlign w:val="center"/>
          </w:tcPr>
          <w:p w14:paraId="0F4032B8">
            <w:pPr>
              <w:pStyle w:val="12"/>
            </w:pPr>
            <w:r>
              <w:t>冀财教[2025]149号/省级/2026年学前发展资金/大张家庄校区学前教育公用经费</w:t>
            </w:r>
          </w:p>
        </w:tc>
      </w:tr>
      <w:tr w14:paraId="623C6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3AEC0">
            <w:pPr>
              <w:pStyle w:val="10"/>
            </w:pPr>
            <w:r>
              <w:t>预算规模及资金用途</w:t>
            </w:r>
          </w:p>
        </w:tc>
        <w:tc>
          <w:tcPr>
            <w:tcW w:w="2268" w:type="dxa"/>
            <w:vAlign w:val="center"/>
          </w:tcPr>
          <w:p w14:paraId="34B3D013">
            <w:pPr>
              <w:pStyle w:val="10"/>
            </w:pPr>
            <w:r>
              <w:t>预算数</w:t>
            </w:r>
          </w:p>
        </w:tc>
        <w:tc>
          <w:tcPr>
            <w:tcW w:w="2835" w:type="dxa"/>
            <w:vAlign w:val="center"/>
          </w:tcPr>
          <w:p w14:paraId="48A55301">
            <w:pPr>
              <w:pStyle w:val="12"/>
            </w:pPr>
            <w:r>
              <w:t>8.96</w:t>
            </w:r>
          </w:p>
        </w:tc>
        <w:tc>
          <w:tcPr>
            <w:tcW w:w="2835" w:type="dxa"/>
            <w:vAlign w:val="center"/>
          </w:tcPr>
          <w:p w14:paraId="14FB39D6">
            <w:pPr>
              <w:pStyle w:val="10"/>
            </w:pPr>
            <w:r>
              <w:t>其中：财政    资金</w:t>
            </w:r>
          </w:p>
        </w:tc>
        <w:tc>
          <w:tcPr>
            <w:tcW w:w="2551" w:type="dxa"/>
            <w:vAlign w:val="center"/>
          </w:tcPr>
          <w:p w14:paraId="2268361F">
            <w:pPr>
              <w:pStyle w:val="12"/>
            </w:pPr>
            <w:r>
              <w:t>8.96</w:t>
            </w:r>
          </w:p>
        </w:tc>
        <w:tc>
          <w:tcPr>
            <w:tcW w:w="2268" w:type="dxa"/>
            <w:vAlign w:val="center"/>
          </w:tcPr>
          <w:p w14:paraId="046F6ACF">
            <w:pPr>
              <w:pStyle w:val="10"/>
            </w:pPr>
            <w:r>
              <w:t>其他资金</w:t>
            </w:r>
          </w:p>
        </w:tc>
        <w:tc>
          <w:tcPr>
            <w:tcW w:w="1276" w:type="dxa"/>
            <w:vAlign w:val="center"/>
          </w:tcPr>
          <w:p w14:paraId="0ABA48AF">
            <w:pPr>
              <w:pStyle w:val="12"/>
            </w:pPr>
            <w:r>
              <w:t xml:space="preserve"> </w:t>
            </w:r>
          </w:p>
        </w:tc>
      </w:tr>
      <w:tr w14:paraId="79AC9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9F868"/>
        </w:tc>
        <w:tc>
          <w:tcPr>
            <w:tcW w:w="14033" w:type="dxa"/>
            <w:gridSpan w:val="6"/>
            <w:vAlign w:val="center"/>
          </w:tcPr>
          <w:p w14:paraId="1A9933C8">
            <w:pPr>
              <w:pStyle w:val="12"/>
            </w:pPr>
            <w:r>
              <w:t>保证幼儿园正常运转和改善办学条件。</w:t>
            </w:r>
          </w:p>
        </w:tc>
      </w:tr>
      <w:tr w14:paraId="4CF0C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A1DAF">
            <w:pPr>
              <w:pStyle w:val="10"/>
            </w:pPr>
            <w:r>
              <w:t>资金支出计划（%）</w:t>
            </w:r>
          </w:p>
        </w:tc>
        <w:tc>
          <w:tcPr>
            <w:tcW w:w="5103" w:type="dxa"/>
            <w:gridSpan w:val="2"/>
            <w:vAlign w:val="center"/>
          </w:tcPr>
          <w:p w14:paraId="34B52F79">
            <w:pPr>
              <w:pStyle w:val="10"/>
            </w:pPr>
            <w:r>
              <w:t>3月底</w:t>
            </w:r>
          </w:p>
        </w:tc>
        <w:tc>
          <w:tcPr>
            <w:tcW w:w="2835" w:type="dxa"/>
            <w:vAlign w:val="center"/>
          </w:tcPr>
          <w:p w14:paraId="0A909959">
            <w:pPr>
              <w:pStyle w:val="10"/>
            </w:pPr>
            <w:r>
              <w:t>6月底</w:t>
            </w:r>
          </w:p>
        </w:tc>
        <w:tc>
          <w:tcPr>
            <w:tcW w:w="2551" w:type="dxa"/>
            <w:vAlign w:val="center"/>
          </w:tcPr>
          <w:p w14:paraId="3EC957EE">
            <w:pPr>
              <w:pStyle w:val="10"/>
            </w:pPr>
            <w:r>
              <w:t>10月底</w:t>
            </w:r>
          </w:p>
        </w:tc>
        <w:tc>
          <w:tcPr>
            <w:tcW w:w="3544" w:type="dxa"/>
            <w:gridSpan w:val="2"/>
            <w:vAlign w:val="center"/>
          </w:tcPr>
          <w:p w14:paraId="4DE37240">
            <w:pPr>
              <w:pStyle w:val="10"/>
            </w:pPr>
            <w:r>
              <w:t>12月底</w:t>
            </w:r>
          </w:p>
        </w:tc>
      </w:tr>
      <w:tr w14:paraId="646F4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09F64"/>
        </w:tc>
        <w:tc>
          <w:tcPr>
            <w:tcW w:w="5103" w:type="dxa"/>
            <w:gridSpan w:val="2"/>
            <w:vAlign w:val="center"/>
          </w:tcPr>
          <w:p w14:paraId="43A7F1AA">
            <w:pPr>
              <w:pStyle w:val="13"/>
            </w:pPr>
            <w:r>
              <w:t>25%</w:t>
            </w:r>
          </w:p>
        </w:tc>
        <w:tc>
          <w:tcPr>
            <w:tcW w:w="2835" w:type="dxa"/>
            <w:vAlign w:val="center"/>
          </w:tcPr>
          <w:p w14:paraId="7B7EF73A">
            <w:pPr>
              <w:pStyle w:val="13"/>
            </w:pPr>
            <w:r>
              <w:t>50%</w:t>
            </w:r>
          </w:p>
        </w:tc>
        <w:tc>
          <w:tcPr>
            <w:tcW w:w="2551" w:type="dxa"/>
            <w:vAlign w:val="center"/>
          </w:tcPr>
          <w:p w14:paraId="6489374A">
            <w:pPr>
              <w:pStyle w:val="13"/>
            </w:pPr>
            <w:r>
              <w:t>75%</w:t>
            </w:r>
          </w:p>
        </w:tc>
        <w:tc>
          <w:tcPr>
            <w:tcW w:w="3544" w:type="dxa"/>
            <w:gridSpan w:val="2"/>
            <w:vAlign w:val="center"/>
          </w:tcPr>
          <w:p w14:paraId="7DE58EBA">
            <w:pPr>
              <w:pStyle w:val="13"/>
            </w:pPr>
            <w:r>
              <w:t>100%</w:t>
            </w:r>
          </w:p>
        </w:tc>
      </w:tr>
      <w:tr w14:paraId="7D31F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F7710">
            <w:pPr>
              <w:pStyle w:val="10"/>
            </w:pPr>
            <w:r>
              <w:t>绩效目标</w:t>
            </w:r>
          </w:p>
        </w:tc>
        <w:tc>
          <w:tcPr>
            <w:tcW w:w="14033" w:type="dxa"/>
            <w:gridSpan w:val="6"/>
            <w:vAlign w:val="center"/>
          </w:tcPr>
          <w:p w14:paraId="2EFB1DC9">
            <w:pPr>
              <w:pStyle w:val="12"/>
            </w:pPr>
            <w:r>
              <w:t>1.为保证幼儿园正常运转和改善办学条件。</w:t>
            </w:r>
          </w:p>
          <w:p w14:paraId="6025AF89">
            <w:pPr>
              <w:pStyle w:val="12"/>
            </w:pPr>
            <w:r>
              <w:t>2.按拨款序时进度完成经费拨付和支出。</w:t>
            </w:r>
          </w:p>
        </w:tc>
      </w:tr>
    </w:tbl>
    <w:p w14:paraId="49BAA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7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EC399">
            <w:pPr>
              <w:pStyle w:val="10"/>
            </w:pPr>
            <w:r>
              <w:t>一级指标</w:t>
            </w:r>
          </w:p>
        </w:tc>
        <w:tc>
          <w:tcPr>
            <w:tcW w:w="2268" w:type="dxa"/>
            <w:vAlign w:val="center"/>
          </w:tcPr>
          <w:p w14:paraId="150CC1D0">
            <w:pPr>
              <w:pStyle w:val="10"/>
            </w:pPr>
            <w:r>
              <w:t>二级指标</w:t>
            </w:r>
          </w:p>
        </w:tc>
        <w:tc>
          <w:tcPr>
            <w:tcW w:w="2835" w:type="dxa"/>
            <w:vAlign w:val="center"/>
          </w:tcPr>
          <w:p w14:paraId="3D521FC4">
            <w:pPr>
              <w:pStyle w:val="10"/>
            </w:pPr>
            <w:r>
              <w:t>三级指标</w:t>
            </w:r>
          </w:p>
        </w:tc>
        <w:tc>
          <w:tcPr>
            <w:tcW w:w="5386" w:type="dxa"/>
            <w:vAlign w:val="center"/>
          </w:tcPr>
          <w:p w14:paraId="1740C751">
            <w:pPr>
              <w:pStyle w:val="10"/>
            </w:pPr>
            <w:r>
              <w:t>绩效指标描述</w:t>
            </w:r>
          </w:p>
        </w:tc>
        <w:tc>
          <w:tcPr>
            <w:tcW w:w="2268" w:type="dxa"/>
            <w:vAlign w:val="center"/>
          </w:tcPr>
          <w:p w14:paraId="7953741E">
            <w:pPr>
              <w:pStyle w:val="10"/>
            </w:pPr>
            <w:r>
              <w:t>指标值</w:t>
            </w:r>
          </w:p>
        </w:tc>
        <w:tc>
          <w:tcPr>
            <w:tcW w:w="1276" w:type="dxa"/>
            <w:vAlign w:val="center"/>
          </w:tcPr>
          <w:p w14:paraId="7AFC8235">
            <w:pPr>
              <w:pStyle w:val="10"/>
            </w:pPr>
            <w:r>
              <w:t>指标值确定依据</w:t>
            </w:r>
          </w:p>
        </w:tc>
      </w:tr>
      <w:tr w14:paraId="131B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1E14B">
            <w:pPr>
              <w:pStyle w:val="13"/>
            </w:pPr>
            <w:r>
              <w:t>产出指标</w:t>
            </w:r>
          </w:p>
        </w:tc>
        <w:tc>
          <w:tcPr>
            <w:tcW w:w="2268" w:type="dxa"/>
            <w:vAlign w:val="center"/>
          </w:tcPr>
          <w:p w14:paraId="4E324AEB">
            <w:pPr>
              <w:pStyle w:val="12"/>
            </w:pPr>
            <w:r>
              <w:t>数量指标</w:t>
            </w:r>
          </w:p>
        </w:tc>
        <w:tc>
          <w:tcPr>
            <w:tcW w:w="2835" w:type="dxa"/>
            <w:vAlign w:val="center"/>
          </w:tcPr>
          <w:p w14:paraId="688A115A">
            <w:pPr>
              <w:pStyle w:val="12"/>
            </w:pPr>
            <w:r>
              <w:t>适龄在园生</w:t>
            </w:r>
          </w:p>
        </w:tc>
        <w:tc>
          <w:tcPr>
            <w:tcW w:w="5386" w:type="dxa"/>
            <w:vAlign w:val="center"/>
          </w:tcPr>
          <w:p w14:paraId="6D849B63">
            <w:pPr>
              <w:pStyle w:val="12"/>
            </w:pPr>
            <w:r>
              <w:t>适龄在园学生人数</w:t>
            </w:r>
          </w:p>
        </w:tc>
        <w:tc>
          <w:tcPr>
            <w:tcW w:w="2268" w:type="dxa"/>
            <w:vAlign w:val="center"/>
          </w:tcPr>
          <w:p w14:paraId="166D855C">
            <w:pPr>
              <w:pStyle w:val="12"/>
            </w:pPr>
            <w:r>
              <w:t>597人</w:t>
            </w:r>
          </w:p>
        </w:tc>
        <w:tc>
          <w:tcPr>
            <w:tcW w:w="1276" w:type="dxa"/>
            <w:vAlign w:val="center"/>
          </w:tcPr>
          <w:p w14:paraId="710CF6C0">
            <w:pPr>
              <w:pStyle w:val="12"/>
            </w:pPr>
            <w:r>
              <w:t>支持学前教育发展资金管理办法</w:t>
            </w:r>
          </w:p>
        </w:tc>
      </w:tr>
      <w:tr w14:paraId="0A13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18AC"/>
        </w:tc>
        <w:tc>
          <w:tcPr>
            <w:tcW w:w="2268" w:type="dxa"/>
            <w:vAlign w:val="center"/>
          </w:tcPr>
          <w:p w14:paraId="0A1D2665">
            <w:pPr>
              <w:pStyle w:val="12"/>
            </w:pPr>
            <w:r>
              <w:t>质量指标</w:t>
            </w:r>
          </w:p>
        </w:tc>
        <w:tc>
          <w:tcPr>
            <w:tcW w:w="2835" w:type="dxa"/>
            <w:vAlign w:val="center"/>
          </w:tcPr>
          <w:p w14:paraId="2FE032DB">
            <w:pPr>
              <w:pStyle w:val="12"/>
            </w:pPr>
            <w:r>
              <w:t>公用经费控制率</w:t>
            </w:r>
          </w:p>
        </w:tc>
        <w:tc>
          <w:tcPr>
            <w:tcW w:w="5386" w:type="dxa"/>
            <w:vAlign w:val="center"/>
          </w:tcPr>
          <w:p w14:paraId="697E210B">
            <w:pPr>
              <w:pStyle w:val="12"/>
            </w:pPr>
            <w:r>
              <w:t>幼儿园公用经费拨付执行率</w:t>
            </w:r>
          </w:p>
        </w:tc>
        <w:tc>
          <w:tcPr>
            <w:tcW w:w="2268" w:type="dxa"/>
            <w:vAlign w:val="center"/>
          </w:tcPr>
          <w:p w14:paraId="30C83760">
            <w:pPr>
              <w:pStyle w:val="12"/>
            </w:pPr>
            <w:r>
              <w:t>≥98%</w:t>
            </w:r>
          </w:p>
        </w:tc>
        <w:tc>
          <w:tcPr>
            <w:tcW w:w="1276" w:type="dxa"/>
            <w:vAlign w:val="center"/>
          </w:tcPr>
          <w:p w14:paraId="01FFD52C">
            <w:pPr>
              <w:pStyle w:val="12"/>
            </w:pPr>
            <w:r>
              <w:t>支持学前教育发展资金管理办法</w:t>
            </w:r>
          </w:p>
        </w:tc>
      </w:tr>
      <w:tr w14:paraId="7DAC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F8CA9"/>
        </w:tc>
        <w:tc>
          <w:tcPr>
            <w:tcW w:w="2268" w:type="dxa"/>
            <w:vAlign w:val="center"/>
          </w:tcPr>
          <w:p w14:paraId="668772C2">
            <w:pPr>
              <w:pStyle w:val="12"/>
            </w:pPr>
            <w:r>
              <w:t>时效指标</w:t>
            </w:r>
          </w:p>
        </w:tc>
        <w:tc>
          <w:tcPr>
            <w:tcW w:w="2835" w:type="dxa"/>
            <w:vAlign w:val="center"/>
          </w:tcPr>
          <w:p w14:paraId="13F1DAF9">
            <w:pPr>
              <w:pStyle w:val="12"/>
            </w:pPr>
            <w:r>
              <w:t>资金支付率</w:t>
            </w:r>
          </w:p>
        </w:tc>
        <w:tc>
          <w:tcPr>
            <w:tcW w:w="5386" w:type="dxa"/>
            <w:vAlign w:val="center"/>
          </w:tcPr>
          <w:p w14:paraId="66FE305A">
            <w:pPr>
              <w:pStyle w:val="12"/>
            </w:pPr>
            <w:r>
              <w:t>按照序时进度完成资金支付</w:t>
            </w:r>
          </w:p>
        </w:tc>
        <w:tc>
          <w:tcPr>
            <w:tcW w:w="2268" w:type="dxa"/>
            <w:vAlign w:val="center"/>
          </w:tcPr>
          <w:p w14:paraId="2C9C7FF3">
            <w:pPr>
              <w:pStyle w:val="12"/>
            </w:pPr>
            <w:r>
              <w:t>≥98%</w:t>
            </w:r>
          </w:p>
        </w:tc>
        <w:tc>
          <w:tcPr>
            <w:tcW w:w="1276" w:type="dxa"/>
            <w:vAlign w:val="center"/>
          </w:tcPr>
          <w:p w14:paraId="43CF4A68">
            <w:pPr>
              <w:pStyle w:val="12"/>
            </w:pPr>
            <w:r>
              <w:t>支持学前教育发展资金管理办法</w:t>
            </w:r>
          </w:p>
        </w:tc>
      </w:tr>
      <w:tr w14:paraId="3F18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3D0BF"/>
        </w:tc>
        <w:tc>
          <w:tcPr>
            <w:tcW w:w="2268" w:type="dxa"/>
            <w:vAlign w:val="center"/>
          </w:tcPr>
          <w:p w14:paraId="23C3D055">
            <w:pPr>
              <w:pStyle w:val="12"/>
            </w:pPr>
            <w:r>
              <w:t>成本指标</w:t>
            </w:r>
          </w:p>
        </w:tc>
        <w:tc>
          <w:tcPr>
            <w:tcW w:w="2835" w:type="dxa"/>
            <w:vAlign w:val="center"/>
          </w:tcPr>
          <w:p w14:paraId="10BF9C66">
            <w:pPr>
              <w:pStyle w:val="12"/>
            </w:pPr>
            <w:r>
              <w:t>生均拨款标准</w:t>
            </w:r>
          </w:p>
        </w:tc>
        <w:tc>
          <w:tcPr>
            <w:tcW w:w="5386" w:type="dxa"/>
            <w:vAlign w:val="center"/>
          </w:tcPr>
          <w:p w14:paraId="23ED80C6">
            <w:pPr>
              <w:pStyle w:val="12"/>
            </w:pPr>
            <w:r>
              <w:t>学前：（基本标准600元/生/学年）</w:t>
            </w:r>
          </w:p>
        </w:tc>
        <w:tc>
          <w:tcPr>
            <w:tcW w:w="2268" w:type="dxa"/>
            <w:vAlign w:val="center"/>
          </w:tcPr>
          <w:p w14:paraId="48CBB29B">
            <w:pPr>
              <w:pStyle w:val="12"/>
            </w:pPr>
            <w:r>
              <w:t>600元</w:t>
            </w:r>
          </w:p>
        </w:tc>
        <w:tc>
          <w:tcPr>
            <w:tcW w:w="1276" w:type="dxa"/>
            <w:vAlign w:val="center"/>
          </w:tcPr>
          <w:p w14:paraId="2E1092CA">
            <w:pPr>
              <w:pStyle w:val="12"/>
            </w:pPr>
            <w:r>
              <w:t>支持学前教育发展资金管理办法</w:t>
            </w:r>
          </w:p>
        </w:tc>
      </w:tr>
      <w:tr w14:paraId="5665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E88C8">
            <w:pPr>
              <w:pStyle w:val="13"/>
            </w:pPr>
            <w:r>
              <w:t>效益指标</w:t>
            </w:r>
          </w:p>
        </w:tc>
        <w:tc>
          <w:tcPr>
            <w:tcW w:w="2268" w:type="dxa"/>
            <w:vAlign w:val="center"/>
          </w:tcPr>
          <w:p w14:paraId="725824CA">
            <w:pPr>
              <w:pStyle w:val="12"/>
            </w:pPr>
            <w:r>
              <w:t>可持续影响指标</w:t>
            </w:r>
          </w:p>
        </w:tc>
        <w:tc>
          <w:tcPr>
            <w:tcW w:w="2835" w:type="dxa"/>
            <w:vAlign w:val="center"/>
          </w:tcPr>
          <w:p w14:paraId="4CBBE460">
            <w:pPr>
              <w:pStyle w:val="12"/>
            </w:pPr>
            <w:r>
              <w:t>教育发展水平明显好转</w:t>
            </w:r>
          </w:p>
        </w:tc>
        <w:tc>
          <w:tcPr>
            <w:tcW w:w="5386" w:type="dxa"/>
            <w:vAlign w:val="center"/>
          </w:tcPr>
          <w:p w14:paraId="31AFC65F">
            <w:pPr>
              <w:pStyle w:val="12"/>
            </w:pPr>
            <w:r>
              <w:t>学生受教育年限</w:t>
            </w:r>
          </w:p>
        </w:tc>
        <w:tc>
          <w:tcPr>
            <w:tcW w:w="2268" w:type="dxa"/>
            <w:vAlign w:val="center"/>
          </w:tcPr>
          <w:p w14:paraId="263D0EBF">
            <w:pPr>
              <w:pStyle w:val="12"/>
            </w:pPr>
            <w:r>
              <w:t>3年</w:t>
            </w:r>
          </w:p>
        </w:tc>
        <w:tc>
          <w:tcPr>
            <w:tcW w:w="1276" w:type="dxa"/>
            <w:vAlign w:val="center"/>
          </w:tcPr>
          <w:p w14:paraId="6EC6EE03">
            <w:pPr>
              <w:pStyle w:val="12"/>
            </w:pPr>
            <w:r>
              <w:t>支持学前教育发展资金管理办法</w:t>
            </w:r>
          </w:p>
        </w:tc>
      </w:tr>
      <w:tr w14:paraId="4A3F7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78A26">
            <w:pPr>
              <w:pStyle w:val="13"/>
            </w:pPr>
            <w:r>
              <w:t>满意度指标</w:t>
            </w:r>
          </w:p>
        </w:tc>
        <w:tc>
          <w:tcPr>
            <w:tcW w:w="2268" w:type="dxa"/>
            <w:vAlign w:val="center"/>
          </w:tcPr>
          <w:p w14:paraId="0994D370">
            <w:pPr>
              <w:pStyle w:val="12"/>
            </w:pPr>
            <w:r>
              <w:t>服务对象满意度指标</w:t>
            </w:r>
          </w:p>
        </w:tc>
        <w:tc>
          <w:tcPr>
            <w:tcW w:w="2835" w:type="dxa"/>
            <w:vAlign w:val="center"/>
          </w:tcPr>
          <w:p w14:paraId="1B1CA54E">
            <w:pPr>
              <w:pStyle w:val="12"/>
            </w:pPr>
            <w:r>
              <w:t>受益学生家长及调查满意度</w:t>
            </w:r>
          </w:p>
        </w:tc>
        <w:tc>
          <w:tcPr>
            <w:tcW w:w="5386" w:type="dxa"/>
            <w:vAlign w:val="center"/>
          </w:tcPr>
          <w:p w14:paraId="2D270788">
            <w:pPr>
              <w:pStyle w:val="12"/>
            </w:pPr>
            <w:r>
              <w:t>幼儿、教师及家长对学校保教保育工作满意度情况</w:t>
            </w:r>
          </w:p>
        </w:tc>
        <w:tc>
          <w:tcPr>
            <w:tcW w:w="2268" w:type="dxa"/>
            <w:vAlign w:val="center"/>
          </w:tcPr>
          <w:p w14:paraId="2662D0EE">
            <w:pPr>
              <w:pStyle w:val="12"/>
            </w:pPr>
            <w:r>
              <w:t>≥95%</w:t>
            </w:r>
          </w:p>
        </w:tc>
        <w:tc>
          <w:tcPr>
            <w:tcW w:w="1276" w:type="dxa"/>
            <w:vAlign w:val="center"/>
          </w:tcPr>
          <w:p w14:paraId="48500A72">
            <w:pPr>
              <w:pStyle w:val="12"/>
            </w:pPr>
            <w:r>
              <w:t>调查问卷</w:t>
            </w:r>
          </w:p>
        </w:tc>
      </w:tr>
    </w:tbl>
    <w:p w14:paraId="4B56A383">
      <w:pPr>
        <w:sectPr>
          <w:pgSz w:w="16840" w:h="11900" w:orient="landscape"/>
          <w:pgMar w:top="1361" w:right="1020" w:bottom="1134" w:left="1020" w:header="720" w:footer="720" w:gutter="0"/>
          <w:cols w:space="720" w:num="1"/>
        </w:sectPr>
      </w:pPr>
    </w:p>
    <w:p w14:paraId="541A63EC">
      <w:pPr>
        <w:spacing w:before="0" w:after="0"/>
        <w:ind w:firstLine="560"/>
        <w:jc w:val="left"/>
        <w:outlineLvl w:val="9"/>
      </w:pPr>
      <w:r>
        <w:rPr>
          <w:rFonts w:ascii="方正仿宋_GBK" w:hAnsi="方正仿宋_GBK" w:eastAsia="方正仿宋_GBK" w:cs="方正仿宋_GBK"/>
          <w:b/>
          <w:color w:val="000000"/>
          <w:sz w:val="28"/>
        </w:rPr>
        <w:t>19、冀财教[2025]149号/省级/2026年学前发展资金/大张家庄校区学前教育幼儿资助绩效目标表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D2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A9F9A">
            <w:pPr>
              <w:pStyle w:val="11"/>
            </w:pPr>
            <w:r>
              <w:t>单位：万元</w:t>
            </w:r>
          </w:p>
        </w:tc>
      </w:tr>
      <w:tr w14:paraId="2F7EB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BBD25">
            <w:pPr>
              <w:pStyle w:val="10"/>
            </w:pPr>
            <w:r>
              <w:t>项目编码</w:t>
            </w:r>
          </w:p>
        </w:tc>
        <w:tc>
          <w:tcPr>
            <w:tcW w:w="5103" w:type="dxa"/>
            <w:gridSpan w:val="2"/>
            <w:vAlign w:val="center"/>
          </w:tcPr>
          <w:p w14:paraId="0E5EA9DE">
            <w:pPr>
              <w:pStyle w:val="12"/>
            </w:pPr>
            <w:r>
              <w:t>13052526P00000210074L</w:t>
            </w:r>
          </w:p>
        </w:tc>
        <w:tc>
          <w:tcPr>
            <w:tcW w:w="2835" w:type="dxa"/>
            <w:vAlign w:val="center"/>
          </w:tcPr>
          <w:p w14:paraId="3BC6BD28">
            <w:pPr>
              <w:pStyle w:val="10"/>
            </w:pPr>
            <w:r>
              <w:t>项目名称</w:t>
            </w:r>
          </w:p>
        </w:tc>
        <w:tc>
          <w:tcPr>
            <w:tcW w:w="6095" w:type="dxa"/>
            <w:gridSpan w:val="3"/>
            <w:vAlign w:val="center"/>
          </w:tcPr>
          <w:p w14:paraId="3C142DBB">
            <w:pPr>
              <w:pStyle w:val="12"/>
            </w:pPr>
            <w:r>
              <w:t>冀财教[2025]149号/省级/2026年学前发展资金/大张家庄校区学前教育幼儿资助</w:t>
            </w:r>
          </w:p>
        </w:tc>
      </w:tr>
      <w:tr w14:paraId="4C667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0C832">
            <w:pPr>
              <w:pStyle w:val="10"/>
            </w:pPr>
            <w:r>
              <w:t>预算规模及资金用途</w:t>
            </w:r>
          </w:p>
        </w:tc>
        <w:tc>
          <w:tcPr>
            <w:tcW w:w="2268" w:type="dxa"/>
            <w:vAlign w:val="center"/>
          </w:tcPr>
          <w:p w14:paraId="2A0B12D3">
            <w:pPr>
              <w:pStyle w:val="10"/>
            </w:pPr>
            <w:r>
              <w:t>预算数</w:t>
            </w:r>
          </w:p>
        </w:tc>
        <w:tc>
          <w:tcPr>
            <w:tcW w:w="2835" w:type="dxa"/>
            <w:vAlign w:val="center"/>
          </w:tcPr>
          <w:p w14:paraId="0C191CD6">
            <w:pPr>
              <w:pStyle w:val="12"/>
            </w:pPr>
            <w:r>
              <w:t>0.98</w:t>
            </w:r>
          </w:p>
        </w:tc>
        <w:tc>
          <w:tcPr>
            <w:tcW w:w="2835" w:type="dxa"/>
            <w:vAlign w:val="center"/>
          </w:tcPr>
          <w:p w14:paraId="360A53A9">
            <w:pPr>
              <w:pStyle w:val="10"/>
            </w:pPr>
            <w:r>
              <w:t>其中：财政    资金</w:t>
            </w:r>
          </w:p>
        </w:tc>
        <w:tc>
          <w:tcPr>
            <w:tcW w:w="2551" w:type="dxa"/>
            <w:vAlign w:val="center"/>
          </w:tcPr>
          <w:p w14:paraId="5E407E12">
            <w:pPr>
              <w:pStyle w:val="12"/>
            </w:pPr>
            <w:r>
              <w:t>0.98</w:t>
            </w:r>
          </w:p>
        </w:tc>
        <w:tc>
          <w:tcPr>
            <w:tcW w:w="2268" w:type="dxa"/>
            <w:vAlign w:val="center"/>
          </w:tcPr>
          <w:p w14:paraId="0A1E7755">
            <w:pPr>
              <w:pStyle w:val="10"/>
            </w:pPr>
            <w:r>
              <w:t>其他资金</w:t>
            </w:r>
          </w:p>
        </w:tc>
        <w:tc>
          <w:tcPr>
            <w:tcW w:w="1276" w:type="dxa"/>
            <w:vAlign w:val="center"/>
          </w:tcPr>
          <w:p w14:paraId="09833388">
            <w:pPr>
              <w:pStyle w:val="12"/>
            </w:pPr>
            <w:r>
              <w:t xml:space="preserve"> </w:t>
            </w:r>
          </w:p>
        </w:tc>
      </w:tr>
      <w:tr w14:paraId="54052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C9BCB"/>
        </w:tc>
        <w:tc>
          <w:tcPr>
            <w:tcW w:w="14033" w:type="dxa"/>
            <w:gridSpan w:val="6"/>
            <w:vAlign w:val="center"/>
          </w:tcPr>
          <w:p w14:paraId="225B5E26">
            <w:pPr>
              <w:pStyle w:val="12"/>
            </w:pPr>
            <w:r>
              <w:t>保障落实建档立卡及家庭经济困难儿童资助所需资金，确保建档立卡等家庭经济困难幼儿优先获得资助</w:t>
            </w:r>
          </w:p>
        </w:tc>
      </w:tr>
      <w:tr w14:paraId="355DC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609D7">
            <w:pPr>
              <w:pStyle w:val="10"/>
            </w:pPr>
            <w:r>
              <w:t>资金支出计划（%）</w:t>
            </w:r>
          </w:p>
        </w:tc>
        <w:tc>
          <w:tcPr>
            <w:tcW w:w="5103" w:type="dxa"/>
            <w:gridSpan w:val="2"/>
            <w:vAlign w:val="center"/>
          </w:tcPr>
          <w:p w14:paraId="72E5EA95">
            <w:pPr>
              <w:pStyle w:val="10"/>
            </w:pPr>
            <w:r>
              <w:t>3月底</w:t>
            </w:r>
          </w:p>
        </w:tc>
        <w:tc>
          <w:tcPr>
            <w:tcW w:w="2835" w:type="dxa"/>
            <w:vAlign w:val="center"/>
          </w:tcPr>
          <w:p w14:paraId="23F81855">
            <w:pPr>
              <w:pStyle w:val="10"/>
            </w:pPr>
            <w:r>
              <w:t>6月底</w:t>
            </w:r>
          </w:p>
        </w:tc>
        <w:tc>
          <w:tcPr>
            <w:tcW w:w="2551" w:type="dxa"/>
            <w:vAlign w:val="center"/>
          </w:tcPr>
          <w:p w14:paraId="68660BB7">
            <w:pPr>
              <w:pStyle w:val="10"/>
            </w:pPr>
            <w:r>
              <w:t>10月底</w:t>
            </w:r>
          </w:p>
        </w:tc>
        <w:tc>
          <w:tcPr>
            <w:tcW w:w="3544" w:type="dxa"/>
            <w:gridSpan w:val="2"/>
            <w:vAlign w:val="center"/>
          </w:tcPr>
          <w:p w14:paraId="01D8B349">
            <w:pPr>
              <w:pStyle w:val="10"/>
            </w:pPr>
            <w:r>
              <w:t>12月底</w:t>
            </w:r>
          </w:p>
        </w:tc>
      </w:tr>
      <w:tr w14:paraId="23C80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3960C"/>
        </w:tc>
        <w:tc>
          <w:tcPr>
            <w:tcW w:w="5103" w:type="dxa"/>
            <w:gridSpan w:val="2"/>
            <w:vAlign w:val="center"/>
          </w:tcPr>
          <w:p w14:paraId="25D9109E">
            <w:pPr>
              <w:pStyle w:val="13"/>
            </w:pPr>
            <w:r>
              <w:t xml:space="preserve"> </w:t>
            </w:r>
          </w:p>
        </w:tc>
        <w:tc>
          <w:tcPr>
            <w:tcW w:w="2835" w:type="dxa"/>
            <w:vAlign w:val="center"/>
          </w:tcPr>
          <w:p w14:paraId="11AAB059">
            <w:pPr>
              <w:pStyle w:val="13"/>
            </w:pPr>
            <w:r>
              <w:t>50%</w:t>
            </w:r>
          </w:p>
        </w:tc>
        <w:tc>
          <w:tcPr>
            <w:tcW w:w="2551" w:type="dxa"/>
            <w:vAlign w:val="center"/>
          </w:tcPr>
          <w:p w14:paraId="54570609">
            <w:pPr>
              <w:pStyle w:val="13"/>
            </w:pPr>
            <w:r>
              <w:t>100%</w:t>
            </w:r>
          </w:p>
        </w:tc>
        <w:tc>
          <w:tcPr>
            <w:tcW w:w="3544" w:type="dxa"/>
            <w:gridSpan w:val="2"/>
            <w:vAlign w:val="center"/>
          </w:tcPr>
          <w:p w14:paraId="56388218">
            <w:pPr>
              <w:pStyle w:val="13"/>
            </w:pPr>
            <w:r>
              <w:t>100%</w:t>
            </w:r>
          </w:p>
        </w:tc>
      </w:tr>
      <w:tr w14:paraId="7E150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EB8C6">
            <w:pPr>
              <w:pStyle w:val="10"/>
            </w:pPr>
            <w:r>
              <w:t>绩效目标</w:t>
            </w:r>
          </w:p>
        </w:tc>
        <w:tc>
          <w:tcPr>
            <w:tcW w:w="14033" w:type="dxa"/>
            <w:gridSpan w:val="6"/>
            <w:vAlign w:val="center"/>
          </w:tcPr>
          <w:p w14:paraId="1221D31F">
            <w:pPr>
              <w:pStyle w:val="12"/>
            </w:pPr>
            <w:r>
              <w:t>1.保障落实建档立卡及家庭经济困难儿童资助所需资金，确保建档立卡等家庭经济困难幼儿优先获得资助</w:t>
            </w:r>
          </w:p>
          <w:p w14:paraId="72C4C03F">
            <w:pPr>
              <w:pStyle w:val="12"/>
            </w:pPr>
            <w:r>
              <w:t>2.减轻学前受教育幼儿家庭经济负担，提高学前幼儿入学率。</w:t>
            </w:r>
          </w:p>
        </w:tc>
      </w:tr>
    </w:tbl>
    <w:p w14:paraId="45B18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0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E5396">
            <w:pPr>
              <w:pStyle w:val="10"/>
            </w:pPr>
            <w:r>
              <w:t>一级指标</w:t>
            </w:r>
          </w:p>
        </w:tc>
        <w:tc>
          <w:tcPr>
            <w:tcW w:w="2268" w:type="dxa"/>
            <w:vAlign w:val="center"/>
          </w:tcPr>
          <w:p w14:paraId="3185BA17">
            <w:pPr>
              <w:pStyle w:val="10"/>
            </w:pPr>
            <w:r>
              <w:t>二级指标</w:t>
            </w:r>
          </w:p>
        </w:tc>
        <w:tc>
          <w:tcPr>
            <w:tcW w:w="2835" w:type="dxa"/>
            <w:vAlign w:val="center"/>
          </w:tcPr>
          <w:p w14:paraId="50A3D56A">
            <w:pPr>
              <w:pStyle w:val="10"/>
            </w:pPr>
            <w:r>
              <w:t>三级指标</w:t>
            </w:r>
          </w:p>
        </w:tc>
        <w:tc>
          <w:tcPr>
            <w:tcW w:w="5386" w:type="dxa"/>
            <w:vAlign w:val="center"/>
          </w:tcPr>
          <w:p w14:paraId="717E88B8">
            <w:pPr>
              <w:pStyle w:val="10"/>
            </w:pPr>
            <w:r>
              <w:t>绩效指标描述</w:t>
            </w:r>
          </w:p>
        </w:tc>
        <w:tc>
          <w:tcPr>
            <w:tcW w:w="2268" w:type="dxa"/>
            <w:vAlign w:val="center"/>
          </w:tcPr>
          <w:p w14:paraId="1111793D">
            <w:pPr>
              <w:pStyle w:val="10"/>
            </w:pPr>
            <w:r>
              <w:t>指标值</w:t>
            </w:r>
          </w:p>
        </w:tc>
        <w:tc>
          <w:tcPr>
            <w:tcW w:w="1276" w:type="dxa"/>
            <w:vAlign w:val="center"/>
          </w:tcPr>
          <w:p w14:paraId="73927BA8">
            <w:pPr>
              <w:pStyle w:val="10"/>
            </w:pPr>
            <w:r>
              <w:t>指标值确定依据</w:t>
            </w:r>
          </w:p>
        </w:tc>
      </w:tr>
      <w:tr w14:paraId="27967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379E7">
            <w:pPr>
              <w:pStyle w:val="13"/>
            </w:pPr>
            <w:r>
              <w:t>产出指标</w:t>
            </w:r>
          </w:p>
        </w:tc>
        <w:tc>
          <w:tcPr>
            <w:tcW w:w="2268" w:type="dxa"/>
            <w:vAlign w:val="center"/>
          </w:tcPr>
          <w:p w14:paraId="4A716EA4">
            <w:pPr>
              <w:pStyle w:val="12"/>
            </w:pPr>
            <w:r>
              <w:t>数量指标</w:t>
            </w:r>
          </w:p>
        </w:tc>
        <w:tc>
          <w:tcPr>
            <w:tcW w:w="2835" w:type="dxa"/>
            <w:vAlign w:val="center"/>
          </w:tcPr>
          <w:p w14:paraId="041BDAC9">
            <w:pPr>
              <w:pStyle w:val="12"/>
            </w:pPr>
            <w:r>
              <w:t>幼儿资助比例</w:t>
            </w:r>
          </w:p>
        </w:tc>
        <w:tc>
          <w:tcPr>
            <w:tcW w:w="5386" w:type="dxa"/>
            <w:vAlign w:val="center"/>
          </w:tcPr>
          <w:p w14:paraId="6B0CDC57">
            <w:pPr>
              <w:pStyle w:val="12"/>
            </w:pPr>
            <w:r>
              <w:t>按学前适龄在园儿童实际资助人数测算</w:t>
            </w:r>
          </w:p>
        </w:tc>
        <w:tc>
          <w:tcPr>
            <w:tcW w:w="2268" w:type="dxa"/>
            <w:vAlign w:val="center"/>
          </w:tcPr>
          <w:p w14:paraId="0BDA6799">
            <w:pPr>
              <w:pStyle w:val="12"/>
            </w:pPr>
            <w:r>
              <w:t>49人</w:t>
            </w:r>
          </w:p>
        </w:tc>
        <w:tc>
          <w:tcPr>
            <w:tcW w:w="1276" w:type="dxa"/>
            <w:vAlign w:val="center"/>
          </w:tcPr>
          <w:p w14:paraId="11FD2FA1">
            <w:pPr>
              <w:pStyle w:val="12"/>
            </w:pPr>
            <w:r>
              <w:t>发展学前教育资金管理办法</w:t>
            </w:r>
          </w:p>
        </w:tc>
      </w:tr>
      <w:tr w14:paraId="4DEC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E9737"/>
        </w:tc>
        <w:tc>
          <w:tcPr>
            <w:tcW w:w="2268" w:type="dxa"/>
            <w:vAlign w:val="center"/>
          </w:tcPr>
          <w:p w14:paraId="4787E490">
            <w:pPr>
              <w:pStyle w:val="12"/>
            </w:pPr>
            <w:r>
              <w:t>质量指标</w:t>
            </w:r>
          </w:p>
        </w:tc>
        <w:tc>
          <w:tcPr>
            <w:tcW w:w="2835" w:type="dxa"/>
            <w:vAlign w:val="center"/>
          </w:tcPr>
          <w:p w14:paraId="1D90C306">
            <w:pPr>
              <w:pStyle w:val="12"/>
            </w:pPr>
            <w:r>
              <w:t>学前教育资助制度落实情况</w:t>
            </w:r>
          </w:p>
        </w:tc>
        <w:tc>
          <w:tcPr>
            <w:tcW w:w="5386" w:type="dxa"/>
            <w:vAlign w:val="center"/>
          </w:tcPr>
          <w:p w14:paraId="1BA1EAFF">
            <w:pPr>
              <w:pStyle w:val="12"/>
            </w:pPr>
            <w:r>
              <w:t>符合享受资助条件的学生覆盖率</w:t>
            </w:r>
          </w:p>
        </w:tc>
        <w:tc>
          <w:tcPr>
            <w:tcW w:w="2268" w:type="dxa"/>
            <w:vAlign w:val="center"/>
          </w:tcPr>
          <w:p w14:paraId="0FD64BCD">
            <w:pPr>
              <w:pStyle w:val="12"/>
            </w:pPr>
            <w:r>
              <w:t>≥98%</w:t>
            </w:r>
          </w:p>
        </w:tc>
        <w:tc>
          <w:tcPr>
            <w:tcW w:w="1276" w:type="dxa"/>
            <w:vAlign w:val="center"/>
          </w:tcPr>
          <w:p w14:paraId="2795397C">
            <w:pPr>
              <w:pStyle w:val="12"/>
            </w:pPr>
            <w:r>
              <w:t>发展学前教育资金管理办法</w:t>
            </w:r>
          </w:p>
        </w:tc>
      </w:tr>
      <w:tr w14:paraId="6346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CA383"/>
        </w:tc>
        <w:tc>
          <w:tcPr>
            <w:tcW w:w="2268" w:type="dxa"/>
            <w:vAlign w:val="center"/>
          </w:tcPr>
          <w:p w14:paraId="5B524250">
            <w:pPr>
              <w:pStyle w:val="12"/>
            </w:pPr>
            <w:r>
              <w:t>时效指标</w:t>
            </w:r>
          </w:p>
        </w:tc>
        <w:tc>
          <w:tcPr>
            <w:tcW w:w="2835" w:type="dxa"/>
            <w:vAlign w:val="center"/>
          </w:tcPr>
          <w:p w14:paraId="627C40D1">
            <w:pPr>
              <w:pStyle w:val="12"/>
            </w:pPr>
            <w:r>
              <w:t>资金拨付率</w:t>
            </w:r>
          </w:p>
        </w:tc>
        <w:tc>
          <w:tcPr>
            <w:tcW w:w="5386" w:type="dxa"/>
            <w:vAlign w:val="center"/>
          </w:tcPr>
          <w:p w14:paraId="1234B264">
            <w:pPr>
              <w:pStyle w:val="12"/>
            </w:pPr>
            <w:r>
              <w:t>按进度进行资金支付</w:t>
            </w:r>
          </w:p>
        </w:tc>
        <w:tc>
          <w:tcPr>
            <w:tcW w:w="2268" w:type="dxa"/>
            <w:vAlign w:val="center"/>
          </w:tcPr>
          <w:p w14:paraId="3AF2C3DA">
            <w:pPr>
              <w:pStyle w:val="12"/>
            </w:pPr>
            <w:r>
              <w:t>≥98%</w:t>
            </w:r>
          </w:p>
        </w:tc>
        <w:tc>
          <w:tcPr>
            <w:tcW w:w="1276" w:type="dxa"/>
            <w:vAlign w:val="center"/>
          </w:tcPr>
          <w:p w14:paraId="51443395">
            <w:pPr>
              <w:pStyle w:val="12"/>
            </w:pPr>
            <w:r>
              <w:t>发展学前教育资金管理办法</w:t>
            </w:r>
          </w:p>
        </w:tc>
      </w:tr>
      <w:tr w14:paraId="188F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C244C"/>
        </w:tc>
        <w:tc>
          <w:tcPr>
            <w:tcW w:w="2268" w:type="dxa"/>
            <w:vAlign w:val="center"/>
          </w:tcPr>
          <w:p w14:paraId="1B9F3087">
            <w:pPr>
              <w:pStyle w:val="12"/>
            </w:pPr>
            <w:r>
              <w:t>成本指标</w:t>
            </w:r>
          </w:p>
        </w:tc>
        <w:tc>
          <w:tcPr>
            <w:tcW w:w="2835" w:type="dxa"/>
            <w:vAlign w:val="center"/>
          </w:tcPr>
          <w:p w14:paraId="185F103E">
            <w:pPr>
              <w:pStyle w:val="12"/>
            </w:pPr>
            <w:r>
              <w:t>生均拨款标准</w:t>
            </w:r>
          </w:p>
        </w:tc>
        <w:tc>
          <w:tcPr>
            <w:tcW w:w="5386" w:type="dxa"/>
            <w:vAlign w:val="center"/>
          </w:tcPr>
          <w:p w14:paraId="55A49032">
            <w:pPr>
              <w:pStyle w:val="12"/>
            </w:pPr>
            <w:r>
              <w:t>按规定标准落实</w:t>
            </w:r>
          </w:p>
        </w:tc>
        <w:tc>
          <w:tcPr>
            <w:tcW w:w="2268" w:type="dxa"/>
            <w:vAlign w:val="center"/>
          </w:tcPr>
          <w:p w14:paraId="36D5B71D">
            <w:pPr>
              <w:pStyle w:val="12"/>
            </w:pPr>
            <w:r>
              <w:t>500元/生/半年</w:t>
            </w:r>
          </w:p>
        </w:tc>
        <w:tc>
          <w:tcPr>
            <w:tcW w:w="1276" w:type="dxa"/>
            <w:vAlign w:val="center"/>
          </w:tcPr>
          <w:p w14:paraId="69B6B595">
            <w:pPr>
              <w:pStyle w:val="12"/>
            </w:pPr>
            <w:r>
              <w:t>发展学前教育资金管理办法</w:t>
            </w:r>
          </w:p>
        </w:tc>
      </w:tr>
      <w:tr w14:paraId="4BF1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0DEA8">
            <w:pPr>
              <w:pStyle w:val="13"/>
            </w:pPr>
            <w:r>
              <w:t>效益指标</w:t>
            </w:r>
          </w:p>
        </w:tc>
        <w:tc>
          <w:tcPr>
            <w:tcW w:w="2268" w:type="dxa"/>
            <w:vAlign w:val="center"/>
          </w:tcPr>
          <w:p w14:paraId="084A86AE">
            <w:pPr>
              <w:pStyle w:val="12"/>
            </w:pPr>
            <w:r>
              <w:t>可持续影响指标</w:t>
            </w:r>
          </w:p>
        </w:tc>
        <w:tc>
          <w:tcPr>
            <w:tcW w:w="2835" w:type="dxa"/>
            <w:vAlign w:val="center"/>
          </w:tcPr>
          <w:p w14:paraId="502E83EE">
            <w:pPr>
              <w:pStyle w:val="12"/>
            </w:pPr>
            <w:r>
              <w:t>教育发展水平明显好转</w:t>
            </w:r>
          </w:p>
        </w:tc>
        <w:tc>
          <w:tcPr>
            <w:tcW w:w="5386" w:type="dxa"/>
            <w:vAlign w:val="center"/>
          </w:tcPr>
          <w:p w14:paraId="199E815C">
            <w:pPr>
              <w:pStyle w:val="12"/>
            </w:pPr>
            <w:r>
              <w:t>幼儿受教育年限</w:t>
            </w:r>
          </w:p>
        </w:tc>
        <w:tc>
          <w:tcPr>
            <w:tcW w:w="2268" w:type="dxa"/>
            <w:vAlign w:val="center"/>
          </w:tcPr>
          <w:p w14:paraId="73BB465F">
            <w:pPr>
              <w:pStyle w:val="12"/>
            </w:pPr>
            <w:r>
              <w:t>3年</w:t>
            </w:r>
          </w:p>
        </w:tc>
        <w:tc>
          <w:tcPr>
            <w:tcW w:w="1276" w:type="dxa"/>
            <w:vAlign w:val="center"/>
          </w:tcPr>
          <w:p w14:paraId="4DA06F73">
            <w:pPr>
              <w:pStyle w:val="12"/>
            </w:pPr>
            <w:r>
              <w:t>发展学前教育资金管理办法</w:t>
            </w:r>
          </w:p>
        </w:tc>
      </w:tr>
      <w:tr w14:paraId="4F52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705D9">
            <w:pPr>
              <w:pStyle w:val="13"/>
            </w:pPr>
            <w:r>
              <w:t>满意度指标</w:t>
            </w:r>
          </w:p>
        </w:tc>
        <w:tc>
          <w:tcPr>
            <w:tcW w:w="2268" w:type="dxa"/>
            <w:vAlign w:val="center"/>
          </w:tcPr>
          <w:p w14:paraId="36B5E483">
            <w:pPr>
              <w:pStyle w:val="12"/>
            </w:pPr>
            <w:r>
              <w:t>服务对象满意度指标</w:t>
            </w:r>
          </w:p>
        </w:tc>
        <w:tc>
          <w:tcPr>
            <w:tcW w:w="2835" w:type="dxa"/>
            <w:vAlign w:val="center"/>
          </w:tcPr>
          <w:p w14:paraId="5C892937">
            <w:pPr>
              <w:pStyle w:val="12"/>
            </w:pPr>
            <w:r>
              <w:t>受益幼儿家长及调查满意度</w:t>
            </w:r>
          </w:p>
        </w:tc>
        <w:tc>
          <w:tcPr>
            <w:tcW w:w="5386" w:type="dxa"/>
            <w:vAlign w:val="center"/>
          </w:tcPr>
          <w:p w14:paraId="27F92E54">
            <w:pPr>
              <w:pStyle w:val="12"/>
            </w:pPr>
            <w:r>
              <w:t>学生、教师及家长对学校保教保育工作满意度情况</w:t>
            </w:r>
          </w:p>
        </w:tc>
        <w:tc>
          <w:tcPr>
            <w:tcW w:w="2268" w:type="dxa"/>
            <w:vAlign w:val="center"/>
          </w:tcPr>
          <w:p w14:paraId="3475D887">
            <w:pPr>
              <w:pStyle w:val="12"/>
            </w:pPr>
            <w:r>
              <w:t>≥95%</w:t>
            </w:r>
          </w:p>
        </w:tc>
        <w:tc>
          <w:tcPr>
            <w:tcW w:w="1276" w:type="dxa"/>
            <w:vAlign w:val="center"/>
          </w:tcPr>
          <w:p w14:paraId="72B3852E">
            <w:pPr>
              <w:pStyle w:val="12"/>
            </w:pPr>
            <w:r>
              <w:t>调查问卷</w:t>
            </w:r>
          </w:p>
        </w:tc>
      </w:tr>
    </w:tbl>
    <w:p w14:paraId="60B361C3">
      <w:pPr>
        <w:sectPr>
          <w:pgSz w:w="16840" w:h="11900" w:orient="landscape"/>
          <w:pgMar w:top="1361" w:right="1020" w:bottom="1134" w:left="1020" w:header="720" w:footer="720" w:gutter="0"/>
          <w:cols w:space="720" w:num="1"/>
        </w:sectPr>
      </w:pPr>
    </w:p>
    <w:p w14:paraId="759AAE21">
      <w:pPr>
        <w:spacing w:before="0" w:after="0"/>
        <w:ind w:firstLine="560"/>
        <w:jc w:val="left"/>
        <w:outlineLvl w:val="9"/>
      </w:pPr>
      <w:r>
        <w:rPr>
          <w:rFonts w:ascii="方正仿宋_GBK" w:hAnsi="方正仿宋_GBK" w:eastAsia="方正仿宋_GBK" w:cs="方正仿宋_GBK"/>
          <w:b/>
          <w:color w:val="000000"/>
          <w:sz w:val="28"/>
        </w:rPr>
        <w:t>20、冀财教[2025]149号/省级/2026年学前发展资金/大张家庄校区幼儿园免保育教育费补助绩效目标表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F9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76958">
            <w:pPr>
              <w:pStyle w:val="11"/>
            </w:pPr>
            <w:r>
              <w:t>单位：万元</w:t>
            </w:r>
          </w:p>
        </w:tc>
      </w:tr>
      <w:tr w14:paraId="7CFE6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A5EC5">
            <w:pPr>
              <w:pStyle w:val="10"/>
            </w:pPr>
            <w:r>
              <w:t>项目编码</w:t>
            </w:r>
          </w:p>
        </w:tc>
        <w:tc>
          <w:tcPr>
            <w:tcW w:w="5103" w:type="dxa"/>
            <w:gridSpan w:val="2"/>
            <w:vAlign w:val="center"/>
          </w:tcPr>
          <w:p w14:paraId="3677B2E4">
            <w:pPr>
              <w:pStyle w:val="12"/>
            </w:pPr>
            <w:r>
              <w:t>13052526P00876910157Y</w:t>
            </w:r>
          </w:p>
        </w:tc>
        <w:tc>
          <w:tcPr>
            <w:tcW w:w="2835" w:type="dxa"/>
            <w:vAlign w:val="center"/>
          </w:tcPr>
          <w:p w14:paraId="5F849228">
            <w:pPr>
              <w:pStyle w:val="10"/>
            </w:pPr>
            <w:r>
              <w:t>项目名称</w:t>
            </w:r>
          </w:p>
        </w:tc>
        <w:tc>
          <w:tcPr>
            <w:tcW w:w="6095" w:type="dxa"/>
            <w:gridSpan w:val="3"/>
            <w:vAlign w:val="center"/>
          </w:tcPr>
          <w:p w14:paraId="1BEE6D1D">
            <w:pPr>
              <w:pStyle w:val="12"/>
            </w:pPr>
            <w:r>
              <w:t>冀财教[2025]149号/省级/2026年学前发展资金/大张家庄校区幼儿园免保育教育费补助</w:t>
            </w:r>
          </w:p>
        </w:tc>
      </w:tr>
      <w:tr w14:paraId="27DC2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D2C8E">
            <w:pPr>
              <w:pStyle w:val="10"/>
            </w:pPr>
            <w:r>
              <w:t>预算规模及资金用途</w:t>
            </w:r>
          </w:p>
        </w:tc>
        <w:tc>
          <w:tcPr>
            <w:tcW w:w="2268" w:type="dxa"/>
            <w:vAlign w:val="center"/>
          </w:tcPr>
          <w:p w14:paraId="5855B928">
            <w:pPr>
              <w:pStyle w:val="10"/>
            </w:pPr>
            <w:r>
              <w:t>预算数</w:t>
            </w:r>
          </w:p>
        </w:tc>
        <w:tc>
          <w:tcPr>
            <w:tcW w:w="2835" w:type="dxa"/>
            <w:vAlign w:val="center"/>
          </w:tcPr>
          <w:p w14:paraId="6CD4137F">
            <w:pPr>
              <w:pStyle w:val="12"/>
            </w:pPr>
            <w:r>
              <w:t>10.02</w:t>
            </w:r>
          </w:p>
        </w:tc>
        <w:tc>
          <w:tcPr>
            <w:tcW w:w="2835" w:type="dxa"/>
            <w:vAlign w:val="center"/>
          </w:tcPr>
          <w:p w14:paraId="55F1DD04">
            <w:pPr>
              <w:pStyle w:val="10"/>
            </w:pPr>
            <w:r>
              <w:t>其中：财政    资金</w:t>
            </w:r>
          </w:p>
        </w:tc>
        <w:tc>
          <w:tcPr>
            <w:tcW w:w="2551" w:type="dxa"/>
            <w:vAlign w:val="center"/>
          </w:tcPr>
          <w:p w14:paraId="747D4087">
            <w:pPr>
              <w:pStyle w:val="12"/>
            </w:pPr>
            <w:r>
              <w:t>10.02</w:t>
            </w:r>
          </w:p>
        </w:tc>
        <w:tc>
          <w:tcPr>
            <w:tcW w:w="2268" w:type="dxa"/>
            <w:vAlign w:val="center"/>
          </w:tcPr>
          <w:p w14:paraId="722B823C">
            <w:pPr>
              <w:pStyle w:val="10"/>
            </w:pPr>
            <w:r>
              <w:t>其他资金</w:t>
            </w:r>
          </w:p>
        </w:tc>
        <w:tc>
          <w:tcPr>
            <w:tcW w:w="1276" w:type="dxa"/>
            <w:vAlign w:val="center"/>
          </w:tcPr>
          <w:p w14:paraId="5141500D">
            <w:pPr>
              <w:pStyle w:val="12"/>
            </w:pPr>
            <w:r>
              <w:t xml:space="preserve"> </w:t>
            </w:r>
          </w:p>
        </w:tc>
      </w:tr>
      <w:tr w14:paraId="2E94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F520A"/>
        </w:tc>
        <w:tc>
          <w:tcPr>
            <w:tcW w:w="14033" w:type="dxa"/>
            <w:gridSpan w:val="6"/>
            <w:vAlign w:val="center"/>
          </w:tcPr>
          <w:p w14:paraId="2D9C25DC">
            <w:pPr>
              <w:pStyle w:val="12"/>
            </w:pPr>
            <w:r>
              <w:t>保障幼儿园正常运转，完成教育教学活动和其他日常工作任务等方面的费用支出。</w:t>
            </w:r>
          </w:p>
        </w:tc>
      </w:tr>
      <w:tr w14:paraId="64EE4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39EA1">
            <w:pPr>
              <w:pStyle w:val="10"/>
            </w:pPr>
            <w:r>
              <w:t>资金支出计划（%）</w:t>
            </w:r>
          </w:p>
        </w:tc>
        <w:tc>
          <w:tcPr>
            <w:tcW w:w="5103" w:type="dxa"/>
            <w:gridSpan w:val="2"/>
            <w:vAlign w:val="center"/>
          </w:tcPr>
          <w:p w14:paraId="1327DB5D">
            <w:pPr>
              <w:pStyle w:val="10"/>
            </w:pPr>
            <w:r>
              <w:t>3月底</w:t>
            </w:r>
          </w:p>
        </w:tc>
        <w:tc>
          <w:tcPr>
            <w:tcW w:w="2835" w:type="dxa"/>
            <w:vAlign w:val="center"/>
          </w:tcPr>
          <w:p w14:paraId="2EDD5892">
            <w:pPr>
              <w:pStyle w:val="10"/>
            </w:pPr>
            <w:r>
              <w:t>6月底</w:t>
            </w:r>
          </w:p>
        </w:tc>
        <w:tc>
          <w:tcPr>
            <w:tcW w:w="2551" w:type="dxa"/>
            <w:vAlign w:val="center"/>
          </w:tcPr>
          <w:p w14:paraId="440EB7B8">
            <w:pPr>
              <w:pStyle w:val="10"/>
            </w:pPr>
            <w:r>
              <w:t>10月底</w:t>
            </w:r>
          </w:p>
        </w:tc>
        <w:tc>
          <w:tcPr>
            <w:tcW w:w="3544" w:type="dxa"/>
            <w:gridSpan w:val="2"/>
            <w:vAlign w:val="center"/>
          </w:tcPr>
          <w:p w14:paraId="226ABB54">
            <w:pPr>
              <w:pStyle w:val="10"/>
            </w:pPr>
            <w:r>
              <w:t>12月底</w:t>
            </w:r>
          </w:p>
        </w:tc>
      </w:tr>
      <w:tr w14:paraId="4B672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A40A0"/>
        </w:tc>
        <w:tc>
          <w:tcPr>
            <w:tcW w:w="5103" w:type="dxa"/>
            <w:gridSpan w:val="2"/>
            <w:vAlign w:val="center"/>
          </w:tcPr>
          <w:p w14:paraId="29F87C43">
            <w:pPr>
              <w:pStyle w:val="13"/>
            </w:pPr>
            <w:r>
              <w:t>25%</w:t>
            </w:r>
          </w:p>
        </w:tc>
        <w:tc>
          <w:tcPr>
            <w:tcW w:w="2835" w:type="dxa"/>
            <w:vAlign w:val="center"/>
          </w:tcPr>
          <w:p w14:paraId="512F0BDC">
            <w:pPr>
              <w:pStyle w:val="13"/>
            </w:pPr>
            <w:r>
              <w:t>50%</w:t>
            </w:r>
          </w:p>
        </w:tc>
        <w:tc>
          <w:tcPr>
            <w:tcW w:w="2551" w:type="dxa"/>
            <w:vAlign w:val="center"/>
          </w:tcPr>
          <w:p w14:paraId="7EA5EF54">
            <w:pPr>
              <w:pStyle w:val="13"/>
            </w:pPr>
            <w:r>
              <w:t>75%</w:t>
            </w:r>
          </w:p>
        </w:tc>
        <w:tc>
          <w:tcPr>
            <w:tcW w:w="3544" w:type="dxa"/>
            <w:gridSpan w:val="2"/>
            <w:vAlign w:val="center"/>
          </w:tcPr>
          <w:p w14:paraId="28184544">
            <w:pPr>
              <w:pStyle w:val="13"/>
            </w:pPr>
            <w:r>
              <w:t>100%</w:t>
            </w:r>
          </w:p>
        </w:tc>
      </w:tr>
      <w:tr w14:paraId="46A8B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C5779">
            <w:pPr>
              <w:pStyle w:val="10"/>
            </w:pPr>
            <w:r>
              <w:t>绩效目标</w:t>
            </w:r>
          </w:p>
        </w:tc>
        <w:tc>
          <w:tcPr>
            <w:tcW w:w="14033" w:type="dxa"/>
            <w:gridSpan w:val="6"/>
            <w:vAlign w:val="center"/>
          </w:tcPr>
          <w:p w14:paraId="586111AD">
            <w:pPr>
              <w:pStyle w:val="12"/>
            </w:pPr>
            <w:r>
              <w:t>1.保障幼儿园正常运转，完成教育教学活动和其他日常工作任务等方面的费用支出。</w:t>
            </w:r>
          </w:p>
        </w:tc>
      </w:tr>
    </w:tbl>
    <w:p w14:paraId="694338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5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90D4D">
            <w:pPr>
              <w:pStyle w:val="10"/>
            </w:pPr>
            <w:r>
              <w:t>一级指标</w:t>
            </w:r>
          </w:p>
        </w:tc>
        <w:tc>
          <w:tcPr>
            <w:tcW w:w="2268" w:type="dxa"/>
            <w:vAlign w:val="center"/>
          </w:tcPr>
          <w:p w14:paraId="1C205283">
            <w:pPr>
              <w:pStyle w:val="10"/>
            </w:pPr>
            <w:r>
              <w:t>二级指标</w:t>
            </w:r>
          </w:p>
        </w:tc>
        <w:tc>
          <w:tcPr>
            <w:tcW w:w="2835" w:type="dxa"/>
            <w:vAlign w:val="center"/>
          </w:tcPr>
          <w:p w14:paraId="702A5918">
            <w:pPr>
              <w:pStyle w:val="10"/>
            </w:pPr>
            <w:r>
              <w:t>三级指标</w:t>
            </w:r>
          </w:p>
        </w:tc>
        <w:tc>
          <w:tcPr>
            <w:tcW w:w="5386" w:type="dxa"/>
            <w:vAlign w:val="center"/>
          </w:tcPr>
          <w:p w14:paraId="41C03728">
            <w:pPr>
              <w:pStyle w:val="10"/>
            </w:pPr>
            <w:r>
              <w:t>绩效指标描述</w:t>
            </w:r>
          </w:p>
        </w:tc>
        <w:tc>
          <w:tcPr>
            <w:tcW w:w="2268" w:type="dxa"/>
            <w:vAlign w:val="center"/>
          </w:tcPr>
          <w:p w14:paraId="07709B4B">
            <w:pPr>
              <w:pStyle w:val="10"/>
            </w:pPr>
            <w:r>
              <w:t>指标值</w:t>
            </w:r>
          </w:p>
        </w:tc>
        <w:tc>
          <w:tcPr>
            <w:tcW w:w="1276" w:type="dxa"/>
            <w:vAlign w:val="center"/>
          </w:tcPr>
          <w:p w14:paraId="25E10AC1">
            <w:pPr>
              <w:pStyle w:val="10"/>
            </w:pPr>
            <w:r>
              <w:t>指标值确定依据</w:t>
            </w:r>
          </w:p>
        </w:tc>
      </w:tr>
      <w:tr w14:paraId="0465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A73EA">
            <w:pPr>
              <w:pStyle w:val="13"/>
            </w:pPr>
            <w:r>
              <w:t>产出指标</w:t>
            </w:r>
          </w:p>
        </w:tc>
        <w:tc>
          <w:tcPr>
            <w:tcW w:w="2268" w:type="dxa"/>
            <w:vAlign w:val="center"/>
          </w:tcPr>
          <w:p w14:paraId="0880C58D">
            <w:pPr>
              <w:pStyle w:val="12"/>
            </w:pPr>
            <w:r>
              <w:t>数量指标</w:t>
            </w:r>
          </w:p>
        </w:tc>
        <w:tc>
          <w:tcPr>
            <w:tcW w:w="2835" w:type="dxa"/>
            <w:vAlign w:val="center"/>
          </w:tcPr>
          <w:p w14:paraId="42264D43">
            <w:pPr>
              <w:pStyle w:val="12"/>
            </w:pPr>
            <w:r>
              <w:t>适龄在园生</w:t>
            </w:r>
          </w:p>
        </w:tc>
        <w:tc>
          <w:tcPr>
            <w:tcW w:w="5386" w:type="dxa"/>
            <w:vAlign w:val="center"/>
          </w:tcPr>
          <w:p w14:paraId="5C030203">
            <w:pPr>
              <w:pStyle w:val="12"/>
            </w:pPr>
            <w:r>
              <w:t>适龄在园学生人数</w:t>
            </w:r>
          </w:p>
        </w:tc>
        <w:tc>
          <w:tcPr>
            <w:tcW w:w="2268" w:type="dxa"/>
            <w:vAlign w:val="center"/>
          </w:tcPr>
          <w:p w14:paraId="66C5A4E2">
            <w:pPr>
              <w:pStyle w:val="12"/>
            </w:pPr>
            <w:r>
              <w:t>244人</w:t>
            </w:r>
          </w:p>
        </w:tc>
        <w:tc>
          <w:tcPr>
            <w:tcW w:w="1276" w:type="dxa"/>
            <w:vAlign w:val="center"/>
          </w:tcPr>
          <w:p w14:paraId="6BF333B0">
            <w:pPr>
              <w:pStyle w:val="12"/>
            </w:pPr>
            <w:r>
              <w:t>支持学前教育发展管理方法</w:t>
            </w:r>
          </w:p>
        </w:tc>
      </w:tr>
      <w:tr w14:paraId="11895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1CC64"/>
        </w:tc>
        <w:tc>
          <w:tcPr>
            <w:tcW w:w="2268" w:type="dxa"/>
            <w:vAlign w:val="center"/>
          </w:tcPr>
          <w:p w14:paraId="623F5AE3">
            <w:pPr>
              <w:pStyle w:val="12"/>
            </w:pPr>
            <w:r>
              <w:t>质量指标</w:t>
            </w:r>
          </w:p>
        </w:tc>
        <w:tc>
          <w:tcPr>
            <w:tcW w:w="2835" w:type="dxa"/>
            <w:vAlign w:val="center"/>
          </w:tcPr>
          <w:p w14:paraId="7BD2F0C8">
            <w:pPr>
              <w:pStyle w:val="12"/>
            </w:pPr>
            <w:r>
              <w:t>预算控制率</w:t>
            </w:r>
          </w:p>
        </w:tc>
        <w:tc>
          <w:tcPr>
            <w:tcW w:w="5386" w:type="dxa"/>
            <w:vAlign w:val="center"/>
          </w:tcPr>
          <w:p w14:paraId="39CE7E8C">
            <w:pPr>
              <w:pStyle w:val="12"/>
            </w:pPr>
            <w:r>
              <w:t>预算执行</w:t>
            </w:r>
          </w:p>
        </w:tc>
        <w:tc>
          <w:tcPr>
            <w:tcW w:w="2268" w:type="dxa"/>
            <w:vAlign w:val="center"/>
          </w:tcPr>
          <w:p w14:paraId="0E559CD8">
            <w:pPr>
              <w:pStyle w:val="12"/>
            </w:pPr>
            <w:r>
              <w:t>≥98%</w:t>
            </w:r>
          </w:p>
        </w:tc>
        <w:tc>
          <w:tcPr>
            <w:tcW w:w="1276" w:type="dxa"/>
            <w:vAlign w:val="center"/>
          </w:tcPr>
          <w:p w14:paraId="2B4B9EEB">
            <w:pPr>
              <w:pStyle w:val="12"/>
            </w:pPr>
            <w:r>
              <w:t>支持学前教育发展管理方法</w:t>
            </w:r>
          </w:p>
        </w:tc>
      </w:tr>
      <w:tr w14:paraId="55D6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E1728"/>
        </w:tc>
        <w:tc>
          <w:tcPr>
            <w:tcW w:w="2268" w:type="dxa"/>
            <w:vAlign w:val="center"/>
          </w:tcPr>
          <w:p w14:paraId="10D395CE">
            <w:pPr>
              <w:pStyle w:val="12"/>
            </w:pPr>
            <w:r>
              <w:t>时效指标</w:t>
            </w:r>
          </w:p>
        </w:tc>
        <w:tc>
          <w:tcPr>
            <w:tcW w:w="2835" w:type="dxa"/>
            <w:vAlign w:val="center"/>
          </w:tcPr>
          <w:p w14:paraId="3030E401">
            <w:pPr>
              <w:pStyle w:val="12"/>
            </w:pPr>
            <w:r>
              <w:t>资金支付率</w:t>
            </w:r>
          </w:p>
        </w:tc>
        <w:tc>
          <w:tcPr>
            <w:tcW w:w="5386" w:type="dxa"/>
            <w:vAlign w:val="center"/>
          </w:tcPr>
          <w:p w14:paraId="4A300696">
            <w:pPr>
              <w:pStyle w:val="12"/>
            </w:pPr>
            <w:r>
              <w:t>按照序时进度完成资金支付</w:t>
            </w:r>
          </w:p>
        </w:tc>
        <w:tc>
          <w:tcPr>
            <w:tcW w:w="2268" w:type="dxa"/>
            <w:vAlign w:val="center"/>
          </w:tcPr>
          <w:p w14:paraId="01F05EFB">
            <w:pPr>
              <w:pStyle w:val="12"/>
            </w:pPr>
            <w:r>
              <w:t>≥98%</w:t>
            </w:r>
          </w:p>
        </w:tc>
        <w:tc>
          <w:tcPr>
            <w:tcW w:w="1276" w:type="dxa"/>
            <w:vAlign w:val="center"/>
          </w:tcPr>
          <w:p w14:paraId="75660BFC">
            <w:pPr>
              <w:pStyle w:val="12"/>
            </w:pPr>
            <w:r>
              <w:t>支持学前教育发展管理方法</w:t>
            </w:r>
          </w:p>
        </w:tc>
      </w:tr>
      <w:tr w14:paraId="5275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76855"/>
        </w:tc>
        <w:tc>
          <w:tcPr>
            <w:tcW w:w="2268" w:type="dxa"/>
            <w:vAlign w:val="center"/>
          </w:tcPr>
          <w:p w14:paraId="1AFD365C">
            <w:pPr>
              <w:pStyle w:val="12"/>
            </w:pPr>
            <w:r>
              <w:t>成本指标</w:t>
            </w:r>
          </w:p>
        </w:tc>
        <w:tc>
          <w:tcPr>
            <w:tcW w:w="2835" w:type="dxa"/>
            <w:vAlign w:val="center"/>
          </w:tcPr>
          <w:p w14:paraId="36F4A4D0">
            <w:pPr>
              <w:pStyle w:val="12"/>
            </w:pPr>
            <w:r>
              <w:t>生均拨款标准</w:t>
            </w:r>
          </w:p>
        </w:tc>
        <w:tc>
          <w:tcPr>
            <w:tcW w:w="5386" w:type="dxa"/>
            <w:vAlign w:val="center"/>
          </w:tcPr>
          <w:p w14:paraId="204DCC28">
            <w:pPr>
              <w:pStyle w:val="12"/>
            </w:pPr>
            <w:r>
              <w:t>免保育教育费补助</w:t>
            </w:r>
          </w:p>
        </w:tc>
        <w:tc>
          <w:tcPr>
            <w:tcW w:w="2268" w:type="dxa"/>
            <w:vAlign w:val="center"/>
          </w:tcPr>
          <w:p w14:paraId="0D0E07FA">
            <w:pPr>
              <w:pStyle w:val="12"/>
            </w:pPr>
            <w:r>
              <w:t>100212元</w:t>
            </w:r>
          </w:p>
        </w:tc>
        <w:tc>
          <w:tcPr>
            <w:tcW w:w="1276" w:type="dxa"/>
            <w:vAlign w:val="center"/>
          </w:tcPr>
          <w:p w14:paraId="6F34A282">
            <w:pPr>
              <w:pStyle w:val="12"/>
            </w:pPr>
            <w:r>
              <w:t>支持学前教育发展管理方法</w:t>
            </w:r>
          </w:p>
        </w:tc>
      </w:tr>
      <w:tr w14:paraId="6AD2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35B83">
            <w:pPr>
              <w:pStyle w:val="13"/>
            </w:pPr>
            <w:r>
              <w:t>效益指标</w:t>
            </w:r>
          </w:p>
        </w:tc>
        <w:tc>
          <w:tcPr>
            <w:tcW w:w="2268" w:type="dxa"/>
            <w:vAlign w:val="center"/>
          </w:tcPr>
          <w:p w14:paraId="104FE251">
            <w:pPr>
              <w:pStyle w:val="12"/>
            </w:pPr>
            <w:r>
              <w:t>可持续影响指标</w:t>
            </w:r>
          </w:p>
        </w:tc>
        <w:tc>
          <w:tcPr>
            <w:tcW w:w="2835" w:type="dxa"/>
            <w:vAlign w:val="center"/>
          </w:tcPr>
          <w:p w14:paraId="2B25F057">
            <w:pPr>
              <w:pStyle w:val="12"/>
            </w:pPr>
            <w:r>
              <w:t>学校运转得到提升</w:t>
            </w:r>
          </w:p>
        </w:tc>
        <w:tc>
          <w:tcPr>
            <w:tcW w:w="5386" w:type="dxa"/>
            <w:vAlign w:val="center"/>
          </w:tcPr>
          <w:p w14:paraId="38D00D23">
            <w:pPr>
              <w:pStyle w:val="12"/>
            </w:pPr>
            <w:r>
              <w:t>幼儿受教育年限</w:t>
            </w:r>
          </w:p>
        </w:tc>
        <w:tc>
          <w:tcPr>
            <w:tcW w:w="2268" w:type="dxa"/>
            <w:vAlign w:val="center"/>
          </w:tcPr>
          <w:p w14:paraId="35FC1EC0">
            <w:pPr>
              <w:pStyle w:val="12"/>
            </w:pPr>
            <w:r>
              <w:t>3年</w:t>
            </w:r>
          </w:p>
        </w:tc>
        <w:tc>
          <w:tcPr>
            <w:tcW w:w="1276" w:type="dxa"/>
            <w:vAlign w:val="center"/>
          </w:tcPr>
          <w:p w14:paraId="77F3E88E">
            <w:pPr>
              <w:pStyle w:val="12"/>
            </w:pPr>
            <w:r>
              <w:t>支持学前教育发展管理方法</w:t>
            </w:r>
          </w:p>
        </w:tc>
      </w:tr>
      <w:tr w14:paraId="5971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6023E">
            <w:pPr>
              <w:pStyle w:val="13"/>
            </w:pPr>
            <w:r>
              <w:t>满意度指标</w:t>
            </w:r>
          </w:p>
        </w:tc>
        <w:tc>
          <w:tcPr>
            <w:tcW w:w="2268" w:type="dxa"/>
            <w:vAlign w:val="center"/>
          </w:tcPr>
          <w:p w14:paraId="04A724F6">
            <w:pPr>
              <w:pStyle w:val="12"/>
            </w:pPr>
            <w:r>
              <w:t>服务对象满意度指标</w:t>
            </w:r>
          </w:p>
        </w:tc>
        <w:tc>
          <w:tcPr>
            <w:tcW w:w="2835" w:type="dxa"/>
            <w:vAlign w:val="center"/>
          </w:tcPr>
          <w:p w14:paraId="2AFED6F1">
            <w:pPr>
              <w:pStyle w:val="12"/>
            </w:pPr>
            <w:r>
              <w:t>受益学生家长及调查满意度</w:t>
            </w:r>
          </w:p>
        </w:tc>
        <w:tc>
          <w:tcPr>
            <w:tcW w:w="5386" w:type="dxa"/>
            <w:vAlign w:val="center"/>
          </w:tcPr>
          <w:p w14:paraId="44C6B5B3">
            <w:pPr>
              <w:pStyle w:val="12"/>
            </w:pPr>
            <w:r>
              <w:t>学生、教师及家长对学校保教保育工作满意度情况</w:t>
            </w:r>
          </w:p>
        </w:tc>
        <w:tc>
          <w:tcPr>
            <w:tcW w:w="2268" w:type="dxa"/>
            <w:vAlign w:val="center"/>
          </w:tcPr>
          <w:p w14:paraId="4DD4FCE8">
            <w:pPr>
              <w:pStyle w:val="12"/>
            </w:pPr>
            <w:r>
              <w:t>≥95%</w:t>
            </w:r>
          </w:p>
        </w:tc>
        <w:tc>
          <w:tcPr>
            <w:tcW w:w="1276" w:type="dxa"/>
            <w:vAlign w:val="center"/>
          </w:tcPr>
          <w:p w14:paraId="7B541B56">
            <w:pPr>
              <w:pStyle w:val="12"/>
            </w:pPr>
            <w:r>
              <w:t>支持学前教育发展管理方法</w:t>
            </w:r>
          </w:p>
        </w:tc>
      </w:tr>
    </w:tbl>
    <w:p w14:paraId="3BCACBE6">
      <w:pPr>
        <w:sectPr>
          <w:pgSz w:w="16840" w:h="11900" w:orient="landscape"/>
          <w:pgMar w:top="1361" w:right="1020" w:bottom="1134" w:left="1020" w:header="720" w:footer="720" w:gutter="0"/>
          <w:cols w:space="720" w:num="1"/>
        </w:sectPr>
      </w:pPr>
    </w:p>
    <w:p w14:paraId="68564116">
      <w:pPr>
        <w:spacing w:before="0" w:after="0"/>
        <w:ind w:firstLine="560"/>
        <w:jc w:val="left"/>
        <w:outlineLvl w:val="9"/>
      </w:pPr>
      <w:r>
        <w:rPr>
          <w:rFonts w:ascii="方正仿宋_GBK" w:hAnsi="方正仿宋_GBK" w:eastAsia="方正仿宋_GBK" w:cs="方正仿宋_GBK"/>
          <w:b/>
          <w:color w:val="000000"/>
          <w:sz w:val="28"/>
        </w:rPr>
        <w:t>21、县级配套/2026年/大张家庄校区幼儿园免保育教育费补助绩效目标表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2A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53037">
            <w:pPr>
              <w:pStyle w:val="11"/>
            </w:pPr>
            <w:r>
              <w:t>单位：万元</w:t>
            </w:r>
          </w:p>
        </w:tc>
      </w:tr>
      <w:tr w14:paraId="1FB50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54A62">
            <w:pPr>
              <w:pStyle w:val="10"/>
            </w:pPr>
            <w:r>
              <w:t>项目编码</w:t>
            </w:r>
          </w:p>
        </w:tc>
        <w:tc>
          <w:tcPr>
            <w:tcW w:w="5103" w:type="dxa"/>
            <w:gridSpan w:val="2"/>
            <w:vAlign w:val="center"/>
          </w:tcPr>
          <w:p w14:paraId="191551A5">
            <w:pPr>
              <w:pStyle w:val="12"/>
            </w:pPr>
            <w:r>
              <w:t>13052526P00876910172L</w:t>
            </w:r>
          </w:p>
        </w:tc>
        <w:tc>
          <w:tcPr>
            <w:tcW w:w="2835" w:type="dxa"/>
            <w:vAlign w:val="center"/>
          </w:tcPr>
          <w:p w14:paraId="69D0ECFE">
            <w:pPr>
              <w:pStyle w:val="10"/>
            </w:pPr>
            <w:r>
              <w:t>项目名称</w:t>
            </w:r>
          </w:p>
        </w:tc>
        <w:tc>
          <w:tcPr>
            <w:tcW w:w="6095" w:type="dxa"/>
            <w:gridSpan w:val="3"/>
            <w:vAlign w:val="center"/>
          </w:tcPr>
          <w:p w14:paraId="669D1992">
            <w:pPr>
              <w:pStyle w:val="12"/>
            </w:pPr>
            <w:r>
              <w:t>县级配套/2026年/大张家庄校区幼儿园免保育教育费补助</w:t>
            </w:r>
          </w:p>
        </w:tc>
      </w:tr>
      <w:tr w14:paraId="631CE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AA389">
            <w:pPr>
              <w:pStyle w:val="10"/>
            </w:pPr>
            <w:r>
              <w:t>预算规模及资金用途</w:t>
            </w:r>
          </w:p>
        </w:tc>
        <w:tc>
          <w:tcPr>
            <w:tcW w:w="2268" w:type="dxa"/>
            <w:vAlign w:val="center"/>
          </w:tcPr>
          <w:p w14:paraId="3BCFDF52">
            <w:pPr>
              <w:pStyle w:val="10"/>
            </w:pPr>
            <w:r>
              <w:t>预算数</w:t>
            </w:r>
          </w:p>
        </w:tc>
        <w:tc>
          <w:tcPr>
            <w:tcW w:w="2835" w:type="dxa"/>
            <w:vAlign w:val="center"/>
          </w:tcPr>
          <w:p w14:paraId="1347E305">
            <w:pPr>
              <w:pStyle w:val="12"/>
            </w:pPr>
            <w:r>
              <w:t>3.64</w:t>
            </w:r>
          </w:p>
        </w:tc>
        <w:tc>
          <w:tcPr>
            <w:tcW w:w="2835" w:type="dxa"/>
            <w:vAlign w:val="center"/>
          </w:tcPr>
          <w:p w14:paraId="6EBE5715">
            <w:pPr>
              <w:pStyle w:val="10"/>
            </w:pPr>
            <w:r>
              <w:t>其中：财政    资金</w:t>
            </w:r>
          </w:p>
        </w:tc>
        <w:tc>
          <w:tcPr>
            <w:tcW w:w="2551" w:type="dxa"/>
            <w:vAlign w:val="center"/>
          </w:tcPr>
          <w:p w14:paraId="53AE3CF2">
            <w:pPr>
              <w:pStyle w:val="12"/>
            </w:pPr>
            <w:r>
              <w:t>3.64</w:t>
            </w:r>
          </w:p>
        </w:tc>
        <w:tc>
          <w:tcPr>
            <w:tcW w:w="2268" w:type="dxa"/>
            <w:vAlign w:val="center"/>
          </w:tcPr>
          <w:p w14:paraId="679E7ADB">
            <w:pPr>
              <w:pStyle w:val="10"/>
            </w:pPr>
            <w:r>
              <w:t>其他资金</w:t>
            </w:r>
          </w:p>
        </w:tc>
        <w:tc>
          <w:tcPr>
            <w:tcW w:w="1276" w:type="dxa"/>
            <w:vAlign w:val="center"/>
          </w:tcPr>
          <w:p w14:paraId="587648CF">
            <w:pPr>
              <w:pStyle w:val="12"/>
            </w:pPr>
            <w:r>
              <w:t xml:space="preserve"> </w:t>
            </w:r>
          </w:p>
        </w:tc>
      </w:tr>
      <w:tr w14:paraId="2EA29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B362E"/>
        </w:tc>
        <w:tc>
          <w:tcPr>
            <w:tcW w:w="14033" w:type="dxa"/>
            <w:gridSpan w:val="6"/>
            <w:vAlign w:val="center"/>
          </w:tcPr>
          <w:p w14:paraId="51C9DE9B">
            <w:pPr>
              <w:pStyle w:val="12"/>
            </w:pPr>
            <w:r>
              <w:t>保障幼儿园正常运转，完成教育教学活动和其他日常工作任务等方面的费用支出。</w:t>
            </w:r>
          </w:p>
        </w:tc>
      </w:tr>
      <w:tr w14:paraId="091E1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81AC7">
            <w:pPr>
              <w:pStyle w:val="10"/>
            </w:pPr>
            <w:r>
              <w:t>资金支出计划（%）</w:t>
            </w:r>
          </w:p>
        </w:tc>
        <w:tc>
          <w:tcPr>
            <w:tcW w:w="5103" w:type="dxa"/>
            <w:gridSpan w:val="2"/>
            <w:vAlign w:val="center"/>
          </w:tcPr>
          <w:p w14:paraId="4681F2E2">
            <w:pPr>
              <w:pStyle w:val="10"/>
            </w:pPr>
            <w:r>
              <w:t>3月底</w:t>
            </w:r>
          </w:p>
        </w:tc>
        <w:tc>
          <w:tcPr>
            <w:tcW w:w="2835" w:type="dxa"/>
            <w:vAlign w:val="center"/>
          </w:tcPr>
          <w:p w14:paraId="1F993F90">
            <w:pPr>
              <w:pStyle w:val="10"/>
            </w:pPr>
            <w:r>
              <w:t>6月底</w:t>
            </w:r>
          </w:p>
        </w:tc>
        <w:tc>
          <w:tcPr>
            <w:tcW w:w="2551" w:type="dxa"/>
            <w:vAlign w:val="center"/>
          </w:tcPr>
          <w:p w14:paraId="41CDB34A">
            <w:pPr>
              <w:pStyle w:val="10"/>
            </w:pPr>
            <w:r>
              <w:t>10月底</w:t>
            </w:r>
          </w:p>
        </w:tc>
        <w:tc>
          <w:tcPr>
            <w:tcW w:w="3544" w:type="dxa"/>
            <w:gridSpan w:val="2"/>
            <w:vAlign w:val="center"/>
          </w:tcPr>
          <w:p w14:paraId="35FA7771">
            <w:pPr>
              <w:pStyle w:val="10"/>
            </w:pPr>
            <w:r>
              <w:t>12月底</w:t>
            </w:r>
          </w:p>
        </w:tc>
      </w:tr>
      <w:tr w14:paraId="37087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6BB24"/>
        </w:tc>
        <w:tc>
          <w:tcPr>
            <w:tcW w:w="5103" w:type="dxa"/>
            <w:gridSpan w:val="2"/>
            <w:vAlign w:val="center"/>
          </w:tcPr>
          <w:p w14:paraId="062AECF7">
            <w:pPr>
              <w:pStyle w:val="13"/>
            </w:pPr>
            <w:r>
              <w:t>25%</w:t>
            </w:r>
          </w:p>
        </w:tc>
        <w:tc>
          <w:tcPr>
            <w:tcW w:w="2835" w:type="dxa"/>
            <w:vAlign w:val="center"/>
          </w:tcPr>
          <w:p w14:paraId="16311E52">
            <w:pPr>
              <w:pStyle w:val="13"/>
            </w:pPr>
            <w:r>
              <w:t>50%</w:t>
            </w:r>
          </w:p>
        </w:tc>
        <w:tc>
          <w:tcPr>
            <w:tcW w:w="2551" w:type="dxa"/>
            <w:vAlign w:val="center"/>
          </w:tcPr>
          <w:p w14:paraId="553EDC7E">
            <w:pPr>
              <w:pStyle w:val="13"/>
            </w:pPr>
            <w:r>
              <w:t>75%</w:t>
            </w:r>
          </w:p>
        </w:tc>
        <w:tc>
          <w:tcPr>
            <w:tcW w:w="3544" w:type="dxa"/>
            <w:gridSpan w:val="2"/>
            <w:vAlign w:val="center"/>
          </w:tcPr>
          <w:p w14:paraId="50068FA6">
            <w:pPr>
              <w:pStyle w:val="13"/>
            </w:pPr>
            <w:r>
              <w:t>100%</w:t>
            </w:r>
          </w:p>
        </w:tc>
      </w:tr>
      <w:tr w14:paraId="7F4CD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D66E2">
            <w:pPr>
              <w:pStyle w:val="10"/>
            </w:pPr>
            <w:r>
              <w:t>绩效目标</w:t>
            </w:r>
          </w:p>
        </w:tc>
        <w:tc>
          <w:tcPr>
            <w:tcW w:w="14033" w:type="dxa"/>
            <w:gridSpan w:val="6"/>
            <w:vAlign w:val="center"/>
          </w:tcPr>
          <w:p w14:paraId="1EF37A0C">
            <w:pPr>
              <w:pStyle w:val="12"/>
            </w:pPr>
            <w:r>
              <w:t>1.保障幼儿园正常运转，完成教育教学活动和其他日常工作任务等方面的费用支出。</w:t>
            </w:r>
          </w:p>
        </w:tc>
      </w:tr>
    </w:tbl>
    <w:p w14:paraId="746B5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F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627E1">
            <w:pPr>
              <w:pStyle w:val="10"/>
            </w:pPr>
            <w:r>
              <w:t>一级指标</w:t>
            </w:r>
          </w:p>
        </w:tc>
        <w:tc>
          <w:tcPr>
            <w:tcW w:w="2268" w:type="dxa"/>
            <w:vAlign w:val="center"/>
          </w:tcPr>
          <w:p w14:paraId="56786ADA">
            <w:pPr>
              <w:pStyle w:val="10"/>
            </w:pPr>
            <w:r>
              <w:t>二级指标</w:t>
            </w:r>
          </w:p>
        </w:tc>
        <w:tc>
          <w:tcPr>
            <w:tcW w:w="2835" w:type="dxa"/>
            <w:vAlign w:val="center"/>
          </w:tcPr>
          <w:p w14:paraId="3BBBE419">
            <w:pPr>
              <w:pStyle w:val="10"/>
            </w:pPr>
            <w:r>
              <w:t>三级指标</w:t>
            </w:r>
          </w:p>
        </w:tc>
        <w:tc>
          <w:tcPr>
            <w:tcW w:w="5386" w:type="dxa"/>
            <w:vAlign w:val="center"/>
          </w:tcPr>
          <w:p w14:paraId="5EDF8FDC">
            <w:pPr>
              <w:pStyle w:val="10"/>
            </w:pPr>
            <w:r>
              <w:t>绩效指标描述</w:t>
            </w:r>
          </w:p>
        </w:tc>
        <w:tc>
          <w:tcPr>
            <w:tcW w:w="2268" w:type="dxa"/>
            <w:vAlign w:val="center"/>
          </w:tcPr>
          <w:p w14:paraId="7E25A7FB">
            <w:pPr>
              <w:pStyle w:val="10"/>
            </w:pPr>
            <w:r>
              <w:t>指标值</w:t>
            </w:r>
          </w:p>
        </w:tc>
        <w:tc>
          <w:tcPr>
            <w:tcW w:w="1276" w:type="dxa"/>
            <w:vAlign w:val="center"/>
          </w:tcPr>
          <w:p w14:paraId="6D5C4296">
            <w:pPr>
              <w:pStyle w:val="10"/>
            </w:pPr>
            <w:r>
              <w:t>指标值确定依据</w:t>
            </w:r>
          </w:p>
        </w:tc>
      </w:tr>
      <w:tr w14:paraId="6829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8AECC">
            <w:pPr>
              <w:pStyle w:val="13"/>
            </w:pPr>
            <w:r>
              <w:t>产出指标</w:t>
            </w:r>
          </w:p>
        </w:tc>
        <w:tc>
          <w:tcPr>
            <w:tcW w:w="2268" w:type="dxa"/>
            <w:vAlign w:val="center"/>
          </w:tcPr>
          <w:p w14:paraId="2047AF49">
            <w:pPr>
              <w:pStyle w:val="12"/>
            </w:pPr>
            <w:r>
              <w:t>数量指标</w:t>
            </w:r>
          </w:p>
        </w:tc>
        <w:tc>
          <w:tcPr>
            <w:tcW w:w="2835" w:type="dxa"/>
            <w:vAlign w:val="center"/>
          </w:tcPr>
          <w:p w14:paraId="3FD2646E">
            <w:pPr>
              <w:pStyle w:val="12"/>
            </w:pPr>
            <w:r>
              <w:t>适龄在园生</w:t>
            </w:r>
          </w:p>
        </w:tc>
        <w:tc>
          <w:tcPr>
            <w:tcW w:w="5386" w:type="dxa"/>
            <w:vAlign w:val="center"/>
          </w:tcPr>
          <w:p w14:paraId="2661A697">
            <w:pPr>
              <w:pStyle w:val="12"/>
            </w:pPr>
            <w:r>
              <w:t>适龄在园学生人数</w:t>
            </w:r>
          </w:p>
        </w:tc>
        <w:tc>
          <w:tcPr>
            <w:tcW w:w="2268" w:type="dxa"/>
            <w:vAlign w:val="center"/>
          </w:tcPr>
          <w:p w14:paraId="6E129A93">
            <w:pPr>
              <w:pStyle w:val="12"/>
            </w:pPr>
            <w:r>
              <w:t>244人</w:t>
            </w:r>
          </w:p>
        </w:tc>
        <w:tc>
          <w:tcPr>
            <w:tcW w:w="1276" w:type="dxa"/>
            <w:vAlign w:val="center"/>
          </w:tcPr>
          <w:p w14:paraId="352DFC3C">
            <w:pPr>
              <w:pStyle w:val="12"/>
            </w:pPr>
            <w:r>
              <w:t>支持学前教育发展管理方法</w:t>
            </w:r>
          </w:p>
        </w:tc>
      </w:tr>
      <w:tr w14:paraId="0494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F2E85"/>
        </w:tc>
        <w:tc>
          <w:tcPr>
            <w:tcW w:w="2268" w:type="dxa"/>
            <w:vAlign w:val="center"/>
          </w:tcPr>
          <w:p w14:paraId="0F995CFD">
            <w:pPr>
              <w:pStyle w:val="12"/>
            </w:pPr>
            <w:r>
              <w:t>质量指标</w:t>
            </w:r>
          </w:p>
        </w:tc>
        <w:tc>
          <w:tcPr>
            <w:tcW w:w="2835" w:type="dxa"/>
            <w:vAlign w:val="center"/>
          </w:tcPr>
          <w:p w14:paraId="399B97E1">
            <w:pPr>
              <w:pStyle w:val="12"/>
            </w:pPr>
            <w:r>
              <w:t>预算控制率</w:t>
            </w:r>
          </w:p>
        </w:tc>
        <w:tc>
          <w:tcPr>
            <w:tcW w:w="5386" w:type="dxa"/>
            <w:vAlign w:val="center"/>
          </w:tcPr>
          <w:p w14:paraId="76477754">
            <w:pPr>
              <w:pStyle w:val="12"/>
            </w:pPr>
            <w:r>
              <w:t>预算执行</w:t>
            </w:r>
          </w:p>
        </w:tc>
        <w:tc>
          <w:tcPr>
            <w:tcW w:w="2268" w:type="dxa"/>
            <w:vAlign w:val="center"/>
          </w:tcPr>
          <w:p w14:paraId="3DAA5060">
            <w:pPr>
              <w:pStyle w:val="12"/>
            </w:pPr>
            <w:r>
              <w:t>≥98%</w:t>
            </w:r>
          </w:p>
        </w:tc>
        <w:tc>
          <w:tcPr>
            <w:tcW w:w="1276" w:type="dxa"/>
            <w:vAlign w:val="center"/>
          </w:tcPr>
          <w:p w14:paraId="50728ECF">
            <w:pPr>
              <w:pStyle w:val="12"/>
            </w:pPr>
            <w:r>
              <w:t>支持学前教育发展管理方法</w:t>
            </w:r>
          </w:p>
        </w:tc>
      </w:tr>
      <w:tr w14:paraId="26BA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6F8EA"/>
        </w:tc>
        <w:tc>
          <w:tcPr>
            <w:tcW w:w="2268" w:type="dxa"/>
            <w:vAlign w:val="center"/>
          </w:tcPr>
          <w:p w14:paraId="727C8BAC">
            <w:pPr>
              <w:pStyle w:val="12"/>
            </w:pPr>
            <w:r>
              <w:t>时效指标</w:t>
            </w:r>
          </w:p>
        </w:tc>
        <w:tc>
          <w:tcPr>
            <w:tcW w:w="2835" w:type="dxa"/>
            <w:vAlign w:val="center"/>
          </w:tcPr>
          <w:p w14:paraId="66304335">
            <w:pPr>
              <w:pStyle w:val="12"/>
            </w:pPr>
            <w:r>
              <w:t>资金支付率</w:t>
            </w:r>
          </w:p>
        </w:tc>
        <w:tc>
          <w:tcPr>
            <w:tcW w:w="5386" w:type="dxa"/>
            <w:vAlign w:val="center"/>
          </w:tcPr>
          <w:p w14:paraId="40EF25E8">
            <w:pPr>
              <w:pStyle w:val="12"/>
            </w:pPr>
            <w:r>
              <w:t>按照序时进度完成资金支付</w:t>
            </w:r>
          </w:p>
        </w:tc>
        <w:tc>
          <w:tcPr>
            <w:tcW w:w="2268" w:type="dxa"/>
            <w:vAlign w:val="center"/>
          </w:tcPr>
          <w:p w14:paraId="6FCB73E4">
            <w:pPr>
              <w:pStyle w:val="12"/>
            </w:pPr>
            <w:r>
              <w:t>≥98%</w:t>
            </w:r>
          </w:p>
        </w:tc>
        <w:tc>
          <w:tcPr>
            <w:tcW w:w="1276" w:type="dxa"/>
            <w:vAlign w:val="center"/>
          </w:tcPr>
          <w:p w14:paraId="1AAD8F2E">
            <w:pPr>
              <w:pStyle w:val="12"/>
            </w:pPr>
            <w:r>
              <w:t>支持学前教育发展管理方法</w:t>
            </w:r>
          </w:p>
        </w:tc>
      </w:tr>
      <w:tr w14:paraId="544E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D87C7"/>
        </w:tc>
        <w:tc>
          <w:tcPr>
            <w:tcW w:w="2268" w:type="dxa"/>
            <w:vAlign w:val="center"/>
          </w:tcPr>
          <w:p w14:paraId="7DC5CFBF">
            <w:pPr>
              <w:pStyle w:val="12"/>
            </w:pPr>
            <w:r>
              <w:t>成本指标</w:t>
            </w:r>
          </w:p>
        </w:tc>
        <w:tc>
          <w:tcPr>
            <w:tcW w:w="2835" w:type="dxa"/>
            <w:vAlign w:val="center"/>
          </w:tcPr>
          <w:p w14:paraId="3709E2EB">
            <w:pPr>
              <w:pStyle w:val="12"/>
            </w:pPr>
            <w:r>
              <w:t>生均拨款标准</w:t>
            </w:r>
          </w:p>
        </w:tc>
        <w:tc>
          <w:tcPr>
            <w:tcW w:w="5386" w:type="dxa"/>
            <w:vAlign w:val="center"/>
          </w:tcPr>
          <w:p w14:paraId="493AC375">
            <w:pPr>
              <w:pStyle w:val="12"/>
            </w:pPr>
            <w:r>
              <w:t>免保育教育费补助</w:t>
            </w:r>
          </w:p>
        </w:tc>
        <w:tc>
          <w:tcPr>
            <w:tcW w:w="2268" w:type="dxa"/>
            <w:vAlign w:val="center"/>
          </w:tcPr>
          <w:p w14:paraId="7543660C">
            <w:pPr>
              <w:pStyle w:val="12"/>
            </w:pPr>
            <w:r>
              <w:t>36364元</w:t>
            </w:r>
          </w:p>
        </w:tc>
        <w:tc>
          <w:tcPr>
            <w:tcW w:w="1276" w:type="dxa"/>
            <w:vAlign w:val="center"/>
          </w:tcPr>
          <w:p w14:paraId="1E301982">
            <w:pPr>
              <w:pStyle w:val="12"/>
            </w:pPr>
            <w:r>
              <w:t>支持学前教育发展管理方法</w:t>
            </w:r>
          </w:p>
        </w:tc>
      </w:tr>
      <w:tr w14:paraId="0BF60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17635">
            <w:pPr>
              <w:pStyle w:val="13"/>
            </w:pPr>
            <w:r>
              <w:t>效益指标</w:t>
            </w:r>
          </w:p>
        </w:tc>
        <w:tc>
          <w:tcPr>
            <w:tcW w:w="2268" w:type="dxa"/>
            <w:vAlign w:val="center"/>
          </w:tcPr>
          <w:p w14:paraId="56B51BF4">
            <w:pPr>
              <w:pStyle w:val="12"/>
            </w:pPr>
            <w:r>
              <w:t>可持续影响指标</w:t>
            </w:r>
          </w:p>
        </w:tc>
        <w:tc>
          <w:tcPr>
            <w:tcW w:w="2835" w:type="dxa"/>
            <w:vAlign w:val="center"/>
          </w:tcPr>
          <w:p w14:paraId="2AEC8CCD">
            <w:pPr>
              <w:pStyle w:val="12"/>
            </w:pPr>
            <w:r>
              <w:t>学校运转得到提升</w:t>
            </w:r>
          </w:p>
        </w:tc>
        <w:tc>
          <w:tcPr>
            <w:tcW w:w="5386" w:type="dxa"/>
            <w:vAlign w:val="center"/>
          </w:tcPr>
          <w:p w14:paraId="07B79AF9">
            <w:pPr>
              <w:pStyle w:val="12"/>
            </w:pPr>
            <w:r>
              <w:t>幼儿受教育年限</w:t>
            </w:r>
          </w:p>
        </w:tc>
        <w:tc>
          <w:tcPr>
            <w:tcW w:w="2268" w:type="dxa"/>
            <w:vAlign w:val="center"/>
          </w:tcPr>
          <w:p w14:paraId="32909BED">
            <w:pPr>
              <w:pStyle w:val="12"/>
            </w:pPr>
            <w:r>
              <w:t>3年</w:t>
            </w:r>
          </w:p>
        </w:tc>
        <w:tc>
          <w:tcPr>
            <w:tcW w:w="1276" w:type="dxa"/>
            <w:vAlign w:val="center"/>
          </w:tcPr>
          <w:p w14:paraId="3FB4F6F3">
            <w:pPr>
              <w:pStyle w:val="12"/>
            </w:pPr>
            <w:r>
              <w:t>支持学前教育发展管理方法</w:t>
            </w:r>
          </w:p>
        </w:tc>
      </w:tr>
      <w:tr w14:paraId="00EC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CF1EE">
            <w:pPr>
              <w:pStyle w:val="13"/>
            </w:pPr>
            <w:r>
              <w:t>满意度指标</w:t>
            </w:r>
          </w:p>
        </w:tc>
        <w:tc>
          <w:tcPr>
            <w:tcW w:w="2268" w:type="dxa"/>
            <w:vAlign w:val="center"/>
          </w:tcPr>
          <w:p w14:paraId="62349C90">
            <w:pPr>
              <w:pStyle w:val="12"/>
            </w:pPr>
            <w:r>
              <w:t>服务对象满意度指标</w:t>
            </w:r>
          </w:p>
        </w:tc>
        <w:tc>
          <w:tcPr>
            <w:tcW w:w="2835" w:type="dxa"/>
            <w:vAlign w:val="center"/>
          </w:tcPr>
          <w:p w14:paraId="4D38EDB8">
            <w:pPr>
              <w:pStyle w:val="12"/>
            </w:pPr>
            <w:r>
              <w:t>受益学生家长及调查满意度</w:t>
            </w:r>
          </w:p>
        </w:tc>
        <w:tc>
          <w:tcPr>
            <w:tcW w:w="5386" w:type="dxa"/>
            <w:vAlign w:val="center"/>
          </w:tcPr>
          <w:p w14:paraId="78AD03B9">
            <w:pPr>
              <w:pStyle w:val="12"/>
            </w:pPr>
            <w:r>
              <w:t>学生、教师及家长对学校保教保育工作满意度情况</w:t>
            </w:r>
          </w:p>
        </w:tc>
        <w:tc>
          <w:tcPr>
            <w:tcW w:w="2268" w:type="dxa"/>
            <w:vAlign w:val="center"/>
          </w:tcPr>
          <w:p w14:paraId="275F178F">
            <w:pPr>
              <w:pStyle w:val="12"/>
            </w:pPr>
            <w:r>
              <w:t>≥95%</w:t>
            </w:r>
          </w:p>
        </w:tc>
        <w:tc>
          <w:tcPr>
            <w:tcW w:w="1276" w:type="dxa"/>
            <w:vAlign w:val="center"/>
          </w:tcPr>
          <w:p w14:paraId="6C0D69A1">
            <w:pPr>
              <w:pStyle w:val="12"/>
            </w:pPr>
            <w:r>
              <w:t>支持学前教育发展管理方法</w:t>
            </w:r>
          </w:p>
        </w:tc>
      </w:tr>
    </w:tbl>
    <w:p w14:paraId="0FB219EF">
      <w:pPr>
        <w:sectPr>
          <w:pgSz w:w="16840" w:h="11900" w:orient="landscape"/>
          <w:pgMar w:top="1361" w:right="1020" w:bottom="1134" w:left="1020" w:header="720" w:footer="720" w:gutter="0"/>
          <w:cols w:space="720" w:num="1"/>
        </w:sectPr>
      </w:pPr>
    </w:p>
    <w:p w14:paraId="7E09DE51">
      <w:pPr>
        <w:spacing w:before="0" w:after="0"/>
        <w:ind w:firstLine="560"/>
        <w:jc w:val="left"/>
        <w:outlineLvl w:val="9"/>
      </w:pPr>
      <w:r>
        <w:rPr>
          <w:rFonts w:ascii="方正仿宋_GBK" w:hAnsi="方正仿宋_GBK" w:eastAsia="方正仿宋_GBK" w:cs="方正仿宋_GBK"/>
          <w:b/>
          <w:color w:val="000000"/>
          <w:sz w:val="28"/>
        </w:rPr>
        <w:t>22、县级配套/大张家庄校区学前教育幼儿资助绩效目标表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E6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855B4">
            <w:pPr>
              <w:pStyle w:val="11"/>
            </w:pPr>
            <w:r>
              <w:t>单位：万元</w:t>
            </w:r>
          </w:p>
        </w:tc>
      </w:tr>
      <w:tr w14:paraId="64200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64430">
            <w:pPr>
              <w:pStyle w:val="10"/>
            </w:pPr>
            <w:r>
              <w:t>项目编码</w:t>
            </w:r>
          </w:p>
        </w:tc>
        <w:tc>
          <w:tcPr>
            <w:tcW w:w="5103" w:type="dxa"/>
            <w:gridSpan w:val="2"/>
            <w:vAlign w:val="center"/>
          </w:tcPr>
          <w:p w14:paraId="667118F6">
            <w:pPr>
              <w:pStyle w:val="12"/>
            </w:pPr>
            <w:r>
              <w:t>13052526P00000210088Y</w:t>
            </w:r>
          </w:p>
        </w:tc>
        <w:tc>
          <w:tcPr>
            <w:tcW w:w="2835" w:type="dxa"/>
            <w:vAlign w:val="center"/>
          </w:tcPr>
          <w:p w14:paraId="15F04353">
            <w:pPr>
              <w:pStyle w:val="10"/>
            </w:pPr>
            <w:r>
              <w:t>项目名称</w:t>
            </w:r>
          </w:p>
        </w:tc>
        <w:tc>
          <w:tcPr>
            <w:tcW w:w="6095" w:type="dxa"/>
            <w:gridSpan w:val="3"/>
            <w:vAlign w:val="center"/>
          </w:tcPr>
          <w:p w14:paraId="1BFD1B67">
            <w:pPr>
              <w:pStyle w:val="12"/>
            </w:pPr>
            <w:r>
              <w:t>县级配套/大张家庄校区学前教育幼儿资助</w:t>
            </w:r>
          </w:p>
        </w:tc>
      </w:tr>
      <w:tr w14:paraId="6587C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913D9">
            <w:pPr>
              <w:pStyle w:val="10"/>
            </w:pPr>
            <w:r>
              <w:t>预算规模及资金用途</w:t>
            </w:r>
          </w:p>
        </w:tc>
        <w:tc>
          <w:tcPr>
            <w:tcW w:w="2268" w:type="dxa"/>
            <w:vAlign w:val="center"/>
          </w:tcPr>
          <w:p w14:paraId="165599A9">
            <w:pPr>
              <w:pStyle w:val="10"/>
            </w:pPr>
            <w:r>
              <w:t>预算数</w:t>
            </w:r>
          </w:p>
        </w:tc>
        <w:tc>
          <w:tcPr>
            <w:tcW w:w="2835" w:type="dxa"/>
            <w:vAlign w:val="center"/>
          </w:tcPr>
          <w:p w14:paraId="703CC256">
            <w:pPr>
              <w:pStyle w:val="12"/>
            </w:pPr>
            <w:r>
              <w:t>0.98</w:t>
            </w:r>
          </w:p>
        </w:tc>
        <w:tc>
          <w:tcPr>
            <w:tcW w:w="2835" w:type="dxa"/>
            <w:vAlign w:val="center"/>
          </w:tcPr>
          <w:p w14:paraId="48EA64F9">
            <w:pPr>
              <w:pStyle w:val="10"/>
            </w:pPr>
            <w:r>
              <w:t>其中：财政    资金</w:t>
            </w:r>
          </w:p>
        </w:tc>
        <w:tc>
          <w:tcPr>
            <w:tcW w:w="2551" w:type="dxa"/>
            <w:vAlign w:val="center"/>
          </w:tcPr>
          <w:p w14:paraId="4C1BF412">
            <w:pPr>
              <w:pStyle w:val="12"/>
            </w:pPr>
            <w:r>
              <w:t>0.98</w:t>
            </w:r>
          </w:p>
        </w:tc>
        <w:tc>
          <w:tcPr>
            <w:tcW w:w="2268" w:type="dxa"/>
            <w:vAlign w:val="center"/>
          </w:tcPr>
          <w:p w14:paraId="275638E9">
            <w:pPr>
              <w:pStyle w:val="10"/>
            </w:pPr>
            <w:r>
              <w:t>其他资金</w:t>
            </w:r>
          </w:p>
        </w:tc>
        <w:tc>
          <w:tcPr>
            <w:tcW w:w="1276" w:type="dxa"/>
            <w:vAlign w:val="center"/>
          </w:tcPr>
          <w:p w14:paraId="57F27D30">
            <w:pPr>
              <w:pStyle w:val="12"/>
            </w:pPr>
            <w:r>
              <w:t xml:space="preserve"> </w:t>
            </w:r>
          </w:p>
        </w:tc>
      </w:tr>
      <w:tr w14:paraId="44D1B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416B3"/>
        </w:tc>
        <w:tc>
          <w:tcPr>
            <w:tcW w:w="14033" w:type="dxa"/>
            <w:gridSpan w:val="6"/>
            <w:vAlign w:val="center"/>
          </w:tcPr>
          <w:p w14:paraId="60D729A8">
            <w:pPr>
              <w:pStyle w:val="12"/>
            </w:pPr>
            <w:r>
              <w:t>保障落实建档立卡及家庭经济困难儿童资助所需资金，确保建档立卡等家庭经济困难幼儿优先获得资助</w:t>
            </w:r>
          </w:p>
        </w:tc>
      </w:tr>
      <w:tr w14:paraId="1199B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511E8">
            <w:pPr>
              <w:pStyle w:val="10"/>
            </w:pPr>
            <w:r>
              <w:t>资金支出计划（%）</w:t>
            </w:r>
          </w:p>
        </w:tc>
        <w:tc>
          <w:tcPr>
            <w:tcW w:w="5103" w:type="dxa"/>
            <w:gridSpan w:val="2"/>
            <w:vAlign w:val="center"/>
          </w:tcPr>
          <w:p w14:paraId="771E2944">
            <w:pPr>
              <w:pStyle w:val="10"/>
            </w:pPr>
            <w:r>
              <w:t>3月底</w:t>
            </w:r>
          </w:p>
        </w:tc>
        <w:tc>
          <w:tcPr>
            <w:tcW w:w="2835" w:type="dxa"/>
            <w:vAlign w:val="center"/>
          </w:tcPr>
          <w:p w14:paraId="628C75EE">
            <w:pPr>
              <w:pStyle w:val="10"/>
            </w:pPr>
            <w:r>
              <w:t>6月底</w:t>
            </w:r>
          </w:p>
        </w:tc>
        <w:tc>
          <w:tcPr>
            <w:tcW w:w="2551" w:type="dxa"/>
            <w:vAlign w:val="center"/>
          </w:tcPr>
          <w:p w14:paraId="29AC41B1">
            <w:pPr>
              <w:pStyle w:val="10"/>
            </w:pPr>
            <w:r>
              <w:t>10月底</w:t>
            </w:r>
          </w:p>
        </w:tc>
        <w:tc>
          <w:tcPr>
            <w:tcW w:w="3544" w:type="dxa"/>
            <w:gridSpan w:val="2"/>
            <w:vAlign w:val="center"/>
          </w:tcPr>
          <w:p w14:paraId="5437FD6D">
            <w:pPr>
              <w:pStyle w:val="10"/>
            </w:pPr>
            <w:r>
              <w:t>12月底</w:t>
            </w:r>
          </w:p>
        </w:tc>
      </w:tr>
      <w:tr w14:paraId="57F4D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F617A"/>
        </w:tc>
        <w:tc>
          <w:tcPr>
            <w:tcW w:w="5103" w:type="dxa"/>
            <w:gridSpan w:val="2"/>
            <w:vAlign w:val="center"/>
          </w:tcPr>
          <w:p w14:paraId="0DC63F74">
            <w:pPr>
              <w:pStyle w:val="13"/>
            </w:pPr>
            <w:r>
              <w:t xml:space="preserve"> </w:t>
            </w:r>
          </w:p>
        </w:tc>
        <w:tc>
          <w:tcPr>
            <w:tcW w:w="2835" w:type="dxa"/>
            <w:vAlign w:val="center"/>
          </w:tcPr>
          <w:p w14:paraId="0F18493E">
            <w:pPr>
              <w:pStyle w:val="13"/>
            </w:pPr>
            <w:r>
              <w:t>50%</w:t>
            </w:r>
          </w:p>
        </w:tc>
        <w:tc>
          <w:tcPr>
            <w:tcW w:w="2551" w:type="dxa"/>
            <w:vAlign w:val="center"/>
          </w:tcPr>
          <w:p w14:paraId="4298C575">
            <w:pPr>
              <w:pStyle w:val="13"/>
            </w:pPr>
            <w:r>
              <w:t>100%</w:t>
            </w:r>
          </w:p>
        </w:tc>
        <w:tc>
          <w:tcPr>
            <w:tcW w:w="3544" w:type="dxa"/>
            <w:gridSpan w:val="2"/>
            <w:vAlign w:val="center"/>
          </w:tcPr>
          <w:p w14:paraId="4515D35B">
            <w:pPr>
              <w:pStyle w:val="13"/>
            </w:pPr>
            <w:r>
              <w:t>100%</w:t>
            </w:r>
          </w:p>
        </w:tc>
      </w:tr>
      <w:tr w14:paraId="40396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A210A">
            <w:pPr>
              <w:pStyle w:val="10"/>
            </w:pPr>
            <w:r>
              <w:t>绩效目标</w:t>
            </w:r>
          </w:p>
        </w:tc>
        <w:tc>
          <w:tcPr>
            <w:tcW w:w="14033" w:type="dxa"/>
            <w:gridSpan w:val="6"/>
            <w:vAlign w:val="center"/>
          </w:tcPr>
          <w:p w14:paraId="4A8E898E">
            <w:pPr>
              <w:pStyle w:val="12"/>
            </w:pPr>
            <w:r>
              <w:t>1.保障落实建档立卡及家庭经济困难儿童资助所需资金，确保建档立卡等家庭经济困难幼儿优先获得资助</w:t>
            </w:r>
          </w:p>
          <w:p w14:paraId="7732FDB4">
            <w:pPr>
              <w:pStyle w:val="12"/>
            </w:pPr>
            <w:r>
              <w:t>2.减轻学前受教育幼儿家庭经济负担，提高学前幼儿入学率。</w:t>
            </w:r>
          </w:p>
        </w:tc>
      </w:tr>
    </w:tbl>
    <w:p w14:paraId="519EF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C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982F9">
            <w:pPr>
              <w:pStyle w:val="10"/>
            </w:pPr>
            <w:r>
              <w:t>一级指标</w:t>
            </w:r>
          </w:p>
        </w:tc>
        <w:tc>
          <w:tcPr>
            <w:tcW w:w="2268" w:type="dxa"/>
            <w:vAlign w:val="center"/>
          </w:tcPr>
          <w:p w14:paraId="4DB1495E">
            <w:pPr>
              <w:pStyle w:val="10"/>
            </w:pPr>
            <w:r>
              <w:t>二级指标</w:t>
            </w:r>
          </w:p>
        </w:tc>
        <w:tc>
          <w:tcPr>
            <w:tcW w:w="2835" w:type="dxa"/>
            <w:vAlign w:val="center"/>
          </w:tcPr>
          <w:p w14:paraId="4EDC31D9">
            <w:pPr>
              <w:pStyle w:val="10"/>
            </w:pPr>
            <w:r>
              <w:t>三级指标</w:t>
            </w:r>
          </w:p>
        </w:tc>
        <w:tc>
          <w:tcPr>
            <w:tcW w:w="5386" w:type="dxa"/>
            <w:vAlign w:val="center"/>
          </w:tcPr>
          <w:p w14:paraId="5EF9C6D5">
            <w:pPr>
              <w:pStyle w:val="10"/>
            </w:pPr>
            <w:r>
              <w:t>绩效指标描述</w:t>
            </w:r>
          </w:p>
        </w:tc>
        <w:tc>
          <w:tcPr>
            <w:tcW w:w="2268" w:type="dxa"/>
            <w:vAlign w:val="center"/>
          </w:tcPr>
          <w:p w14:paraId="45FD70C4">
            <w:pPr>
              <w:pStyle w:val="10"/>
            </w:pPr>
            <w:r>
              <w:t>指标值</w:t>
            </w:r>
          </w:p>
        </w:tc>
        <w:tc>
          <w:tcPr>
            <w:tcW w:w="1276" w:type="dxa"/>
            <w:vAlign w:val="center"/>
          </w:tcPr>
          <w:p w14:paraId="61720B01">
            <w:pPr>
              <w:pStyle w:val="10"/>
            </w:pPr>
            <w:r>
              <w:t>指标值确定依据</w:t>
            </w:r>
          </w:p>
        </w:tc>
      </w:tr>
      <w:tr w14:paraId="390A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F4BB9">
            <w:pPr>
              <w:pStyle w:val="13"/>
            </w:pPr>
            <w:r>
              <w:t>产出指标</w:t>
            </w:r>
          </w:p>
        </w:tc>
        <w:tc>
          <w:tcPr>
            <w:tcW w:w="2268" w:type="dxa"/>
            <w:vAlign w:val="center"/>
          </w:tcPr>
          <w:p w14:paraId="050235B3">
            <w:pPr>
              <w:pStyle w:val="12"/>
            </w:pPr>
            <w:r>
              <w:t>数量指标</w:t>
            </w:r>
          </w:p>
        </w:tc>
        <w:tc>
          <w:tcPr>
            <w:tcW w:w="2835" w:type="dxa"/>
            <w:vAlign w:val="center"/>
          </w:tcPr>
          <w:p w14:paraId="62ABDF6C">
            <w:pPr>
              <w:pStyle w:val="12"/>
            </w:pPr>
            <w:r>
              <w:t>幼儿资助比例</w:t>
            </w:r>
          </w:p>
        </w:tc>
        <w:tc>
          <w:tcPr>
            <w:tcW w:w="5386" w:type="dxa"/>
            <w:vAlign w:val="center"/>
          </w:tcPr>
          <w:p w14:paraId="4F49054D">
            <w:pPr>
              <w:pStyle w:val="12"/>
            </w:pPr>
            <w:r>
              <w:t>按学前适龄在园儿童实际资助人数测算</w:t>
            </w:r>
          </w:p>
        </w:tc>
        <w:tc>
          <w:tcPr>
            <w:tcW w:w="2268" w:type="dxa"/>
            <w:vAlign w:val="center"/>
          </w:tcPr>
          <w:p w14:paraId="5295D84F">
            <w:pPr>
              <w:pStyle w:val="12"/>
            </w:pPr>
            <w:r>
              <w:t>49人</w:t>
            </w:r>
          </w:p>
        </w:tc>
        <w:tc>
          <w:tcPr>
            <w:tcW w:w="1276" w:type="dxa"/>
            <w:vAlign w:val="center"/>
          </w:tcPr>
          <w:p w14:paraId="1419C369">
            <w:pPr>
              <w:pStyle w:val="12"/>
            </w:pPr>
            <w:r>
              <w:t>发展学前教育资金管理办法</w:t>
            </w:r>
          </w:p>
        </w:tc>
      </w:tr>
      <w:tr w14:paraId="3BBB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8C9E1"/>
        </w:tc>
        <w:tc>
          <w:tcPr>
            <w:tcW w:w="2268" w:type="dxa"/>
            <w:vAlign w:val="center"/>
          </w:tcPr>
          <w:p w14:paraId="66E5510D">
            <w:pPr>
              <w:pStyle w:val="12"/>
            </w:pPr>
            <w:r>
              <w:t>质量指标</w:t>
            </w:r>
          </w:p>
        </w:tc>
        <w:tc>
          <w:tcPr>
            <w:tcW w:w="2835" w:type="dxa"/>
            <w:vAlign w:val="center"/>
          </w:tcPr>
          <w:p w14:paraId="607123CA">
            <w:pPr>
              <w:pStyle w:val="12"/>
            </w:pPr>
            <w:r>
              <w:t>学前教育资助制度落实情况</w:t>
            </w:r>
          </w:p>
        </w:tc>
        <w:tc>
          <w:tcPr>
            <w:tcW w:w="5386" w:type="dxa"/>
            <w:vAlign w:val="center"/>
          </w:tcPr>
          <w:p w14:paraId="5EA09509">
            <w:pPr>
              <w:pStyle w:val="12"/>
            </w:pPr>
            <w:r>
              <w:t>符合享受资助条件的学生覆盖率</w:t>
            </w:r>
          </w:p>
        </w:tc>
        <w:tc>
          <w:tcPr>
            <w:tcW w:w="2268" w:type="dxa"/>
            <w:vAlign w:val="center"/>
          </w:tcPr>
          <w:p w14:paraId="01FF5EC6">
            <w:pPr>
              <w:pStyle w:val="12"/>
            </w:pPr>
            <w:r>
              <w:t>≥98%</w:t>
            </w:r>
          </w:p>
        </w:tc>
        <w:tc>
          <w:tcPr>
            <w:tcW w:w="1276" w:type="dxa"/>
            <w:vAlign w:val="center"/>
          </w:tcPr>
          <w:p w14:paraId="14AC3088">
            <w:pPr>
              <w:pStyle w:val="12"/>
            </w:pPr>
            <w:r>
              <w:t>发展学前教育资金管理办法</w:t>
            </w:r>
          </w:p>
        </w:tc>
      </w:tr>
      <w:tr w14:paraId="6751E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41B82"/>
        </w:tc>
        <w:tc>
          <w:tcPr>
            <w:tcW w:w="2268" w:type="dxa"/>
            <w:vAlign w:val="center"/>
          </w:tcPr>
          <w:p w14:paraId="24BD2FFB">
            <w:pPr>
              <w:pStyle w:val="12"/>
            </w:pPr>
            <w:r>
              <w:t>时效指标</w:t>
            </w:r>
          </w:p>
        </w:tc>
        <w:tc>
          <w:tcPr>
            <w:tcW w:w="2835" w:type="dxa"/>
            <w:vAlign w:val="center"/>
          </w:tcPr>
          <w:p w14:paraId="449EDBB0">
            <w:pPr>
              <w:pStyle w:val="12"/>
            </w:pPr>
            <w:r>
              <w:t>资金拨付率</w:t>
            </w:r>
          </w:p>
        </w:tc>
        <w:tc>
          <w:tcPr>
            <w:tcW w:w="5386" w:type="dxa"/>
            <w:vAlign w:val="center"/>
          </w:tcPr>
          <w:p w14:paraId="3D55E52D">
            <w:pPr>
              <w:pStyle w:val="12"/>
            </w:pPr>
            <w:r>
              <w:t>按进度进行资金支付</w:t>
            </w:r>
          </w:p>
        </w:tc>
        <w:tc>
          <w:tcPr>
            <w:tcW w:w="2268" w:type="dxa"/>
            <w:vAlign w:val="center"/>
          </w:tcPr>
          <w:p w14:paraId="2D3D554E">
            <w:pPr>
              <w:pStyle w:val="12"/>
            </w:pPr>
            <w:r>
              <w:t>≥98%</w:t>
            </w:r>
          </w:p>
        </w:tc>
        <w:tc>
          <w:tcPr>
            <w:tcW w:w="1276" w:type="dxa"/>
            <w:vAlign w:val="center"/>
          </w:tcPr>
          <w:p w14:paraId="7EFAC4F9">
            <w:pPr>
              <w:pStyle w:val="12"/>
            </w:pPr>
            <w:r>
              <w:t>发展学前教育资金管理办法</w:t>
            </w:r>
          </w:p>
        </w:tc>
      </w:tr>
      <w:tr w14:paraId="220E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17497"/>
        </w:tc>
        <w:tc>
          <w:tcPr>
            <w:tcW w:w="2268" w:type="dxa"/>
            <w:vAlign w:val="center"/>
          </w:tcPr>
          <w:p w14:paraId="62A7F423">
            <w:pPr>
              <w:pStyle w:val="12"/>
            </w:pPr>
            <w:r>
              <w:t>成本指标</w:t>
            </w:r>
          </w:p>
        </w:tc>
        <w:tc>
          <w:tcPr>
            <w:tcW w:w="2835" w:type="dxa"/>
            <w:vAlign w:val="center"/>
          </w:tcPr>
          <w:p w14:paraId="4710DC7D">
            <w:pPr>
              <w:pStyle w:val="12"/>
            </w:pPr>
            <w:r>
              <w:t>生均拨款标准</w:t>
            </w:r>
          </w:p>
        </w:tc>
        <w:tc>
          <w:tcPr>
            <w:tcW w:w="5386" w:type="dxa"/>
            <w:vAlign w:val="center"/>
          </w:tcPr>
          <w:p w14:paraId="5FEBE204">
            <w:pPr>
              <w:pStyle w:val="12"/>
            </w:pPr>
            <w:r>
              <w:t>按规定标准落实</w:t>
            </w:r>
          </w:p>
        </w:tc>
        <w:tc>
          <w:tcPr>
            <w:tcW w:w="2268" w:type="dxa"/>
            <w:vAlign w:val="center"/>
          </w:tcPr>
          <w:p w14:paraId="246BDD65">
            <w:pPr>
              <w:pStyle w:val="12"/>
            </w:pPr>
            <w:r>
              <w:t>500元/生/半年</w:t>
            </w:r>
          </w:p>
        </w:tc>
        <w:tc>
          <w:tcPr>
            <w:tcW w:w="1276" w:type="dxa"/>
            <w:vAlign w:val="center"/>
          </w:tcPr>
          <w:p w14:paraId="7EB10128">
            <w:pPr>
              <w:pStyle w:val="12"/>
            </w:pPr>
            <w:r>
              <w:t>发展学前教育资金管理办法</w:t>
            </w:r>
          </w:p>
        </w:tc>
      </w:tr>
      <w:tr w14:paraId="4E64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95787">
            <w:pPr>
              <w:pStyle w:val="13"/>
            </w:pPr>
            <w:r>
              <w:t>效益指标</w:t>
            </w:r>
          </w:p>
        </w:tc>
        <w:tc>
          <w:tcPr>
            <w:tcW w:w="2268" w:type="dxa"/>
            <w:vAlign w:val="center"/>
          </w:tcPr>
          <w:p w14:paraId="32E109EB">
            <w:pPr>
              <w:pStyle w:val="12"/>
            </w:pPr>
            <w:r>
              <w:t>可持续影响指标</w:t>
            </w:r>
          </w:p>
        </w:tc>
        <w:tc>
          <w:tcPr>
            <w:tcW w:w="2835" w:type="dxa"/>
            <w:vAlign w:val="center"/>
          </w:tcPr>
          <w:p w14:paraId="11506FA2">
            <w:pPr>
              <w:pStyle w:val="12"/>
            </w:pPr>
            <w:r>
              <w:t>教育发展水平明显好转</w:t>
            </w:r>
          </w:p>
        </w:tc>
        <w:tc>
          <w:tcPr>
            <w:tcW w:w="5386" w:type="dxa"/>
            <w:vAlign w:val="center"/>
          </w:tcPr>
          <w:p w14:paraId="3D624038">
            <w:pPr>
              <w:pStyle w:val="12"/>
            </w:pPr>
            <w:r>
              <w:t>幼儿受教育年限</w:t>
            </w:r>
          </w:p>
        </w:tc>
        <w:tc>
          <w:tcPr>
            <w:tcW w:w="2268" w:type="dxa"/>
            <w:vAlign w:val="center"/>
          </w:tcPr>
          <w:p w14:paraId="7D914A74">
            <w:pPr>
              <w:pStyle w:val="12"/>
            </w:pPr>
            <w:r>
              <w:t>3年</w:t>
            </w:r>
          </w:p>
        </w:tc>
        <w:tc>
          <w:tcPr>
            <w:tcW w:w="1276" w:type="dxa"/>
            <w:vAlign w:val="center"/>
          </w:tcPr>
          <w:p w14:paraId="45D86350">
            <w:pPr>
              <w:pStyle w:val="12"/>
            </w:pPr>
            <w:r>
              <w:t>发展学前教育资金管理办法</w:t>
            </w:r>
          </w:p>
        </w:tc>
      </w:tr>
      <w:tr w14:paraId="73BA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734ED">
            <w:pPr>
              <w:pStyle w:val="13"/>
            </w:pPr>
            <w:r>
              <w:t>满意度指标</w:t>
            </w:r>
          </w:p>
        </w:tc>
        <w:tc>
          <w:tcPr>
            <w:tcW w:w="2268" w:type="dxa"/>
            <w:vAlign w:val="center"/>
          </w:tcPr>
          <w:p w14:paraId="1380A95B">
            <w:pPr>
              <w:pStyle w:val="12"/>
            </w:pPr>
            <w:r>
              <w:t>服务对象满意度指标</w:t>
            </w:r>
          </w:p>
        </w:tc>
        <w:tc>
          <w:tcPr>
            <w:tcW w:w="2835" w:type="dxa"/>
            <w:vAlign w:val="center"/>
          </w:tcPr>
          <w:p w14:paraId="18FACD64">
            <w:pPr>
              <w:pStyle w:val="12"/>
            </w:pPr>
            <w:r>
              <w:t>受益幼儿家长及调查满意度</w:t>
            </w:r>
          </w:p>
        </w:tc>
        <w:tc>
          <w:tcPr>
            <w:tcW w:w="5386" w:type="dxa"/>
            <w:vAlign w:val="center"/>
          </w:tcPr>
          <w:p w14:paraId="3CD4571D">
            <w:pPr>
              <w:pStyle w:val="12"/>
            </w:pPr>
            <w:r>
              <w:t>学生、教师及家长对学校保教保育工作满意度情况</w:t>
            </w:r>
          </w:p>
        </w:tc>
        <w:tc>
          <w:tcPr>
            <w:tcW w:w="2268" w:type="dxa"/>
            <w:vAlign w:val="center"/>
          </w:tcPr>
          <w:p w14:paraId="2B8273FD">
            <w:pPr>
              <w:pStyle w:val="12"/>
            </w:pPr>
            <w:r>
              <w:t>≥95%</w:t>
            </w:r>
          </w:p>
        </w:tc>
        <w:tc>
          <w:tcPr>
            <w:tcW w:w="1276" w:type="dxa"/>
            <w:vAlign w:val="center"/>
          </w:tcPr>
          <w:p w14:paraId="1A531729">
            <w:pPr>
              <w:pStyle w:val="12"/>
            </w:pPr>
            <w:r>
              <w:t>调查问卷</w:t>
            </w:r>
          </w:p>
        </w:tc>
      </w:tr>
    </w:tbl>
    <w:p w14:paraId="77BD9FA0">
      <w:pPr>
        <w:sectPr>
          <w:pgSz w:w="16840" w:h="11900" w:orient="landscape"/>
          <w:pgMar w:top="1361" w:right="1020" w:bottom="1134" w:left="1020" w:header="720" w:footer="720" w:gutter="0"/>
          <w:cols w:space="720" w:num="1"/>
        </w:sectPr>
      </w:pPr>
    </w:p>
    <w:p w14:paraId="4DEE447B">
      <w:pPr>
        <w:spacing w:before="0" w:after="0"/>
        <w:ind w:firstLine="560"/>
        <w:jc w:val="left"/>
        <w:outlineLvl w:val="9"/>
      </w:pPr>
      <w:r>
        <w:rPr>
          <w:rFonts w:ascii="方正仿宋_GBK" w:hAnsi="方正仿宋_GBK" w:eastAsia="方正仿宋_GBK" w:cs="方正仿宋_GBK"/>
          <w:b/>
          <w:color w:val="000000"/>
          <w:sz w:val="28"/>
        </w:rPr>
        <w:t>23、县级配套/大张庄校区大曹庄小学公用经费绩效目标表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2E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D95F0">
            <w:pPr>
              <w:pStyle w:val="11"/>
            </w:pPr>
            <w:r>
              <w:t>单位：万元</w:t>
            </w:r>
          </w:p>
        </w:tc>
      </w:tr>
      <w:tr w14:paraId="5787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53A59">
            <w:pPr>
              <w:pStyle w:val="10"/>
            </w:pPr>
            <w:r>
              <w:t>项目编码</w:t>
            </w:r>
          </w:p>
        </w:tc>
        <w:tc>
          <w:tcPr>
            <w:tcW w:w="5103" w:type="dxa"/>
            <w:gridSpan w:val="2"/>
            <w:vAlign w:val="center"/>
          </w:tcPr>
          <w:p w14:paraId="7FAF0CB2">
            <w:pPr>
              <w:pStyle w:val="12"/>
            </w:pPr>
            <w:r>
              <w:t>13052526P00000410465W</w:t>
            </w:r>
          </w:p>
        </w:tc>
        <w:tc>
          <w:tcPr>
            <w:tcW w:w="2835" w:type="dxa"/>
            <w:vAlign w:val="center"/>
          </w:tcPr>
          <w:p w14:paraId="10AD0A02">
            <w:pPr>
              <w:pStyle w:val="10"/>
            </w:pPr>
            <w:r>
              <w:t>项目名称</w:t>
            </w:r>
          </w:p>
        </w:tc>
        <w:tc>
          <w:tcPr>
            <w:tcW w:w="6095" w:type="dxa"/>
            <w:gridSpan w:val="3"/>
            <w:vAlign w:val="center"/>
          </w:tcPr>
          <w:p w14:paraId="081540B5">
            <w:pPr>
              <w:pStyle w:val="12"/>
            </w:pPr>
            <w:r>
              <w:t>县级配套/大张庄校区大曹庄小学公用经费</w:t>
            </w:r>
          </w:p>
        </w:tc>
      </w:tr>
      <w:tr w14:paraId="6CC75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9DCD5">
            <w:pPr>
              <w:pStyle w:val="10"/>
            </w:pPr>
            <w:r>
              <w:t>预算规模及资金用途</w:t>
            </w:r>
          </w:p>
        </w:tc>
        <w:tc>
          <w:tcPr>
            <w:tcW w:w="2268" w:type="dxa"/>
            <w:vAlign w:val="center"/>
          </w:tcPr>
          <w:p w14:paraId="55172D57">
            <w:pPr>
              <w:pStyle w:val="10"/>
            </w:pPr>
            <w:r>
              <w:t>预算数</w:t>
            </w:r>
          </w:p>
        </w:tc>
        <w:tc>
          <w:tcPr>
            <w:tcW w:w="2835" w:type="dxa"/>
            <w:vAlign w:val="center"/>
          </w:tcPr>
          <w:p w14:paraId="5A7AF514">
            <w:pPr>
              <w:pStyle w:val="12"/>
            </w:pPr>
            <w:r>
              <w:t>1.07</w:t>
            </w:r>
          </w:p>
        </w:tc>
        <w:tc>
          <w:tcPr>
            <w:tcW w:w="2835" w:type="dxa"/>
            <w:vAlign w:val="center"/>
          </w:tcPr>
          <w:p w14:paraId="16DDBAB5">
            <w:pPr>
              <w:pStyle w:val="10"/>
            </w:pPr>
            <w:r>
              <w:t>其中：财政    资金</w:t>
            </w:r>
          </w:p>
        </w:tc>
        <w:tc>
          <w:tcPr>
            <w:tcW w:w="2551" w:type="dxa"/>
            <w:vAlign w:val="center"/>
          </w:tcPr>
          <w:p w14:paraId="3FB5E3E1">
            <w:pPr>
              <w:pStyle w:val="12"/>
            </w:pPr>
            <w:r>
              <w:t>1.07</w:t>
            </w:r>
          </w:p>
        </w:tc>
        <w:tc>
          <w:tcPr>
            <w:tcW w:w="2268" w:type="dxa"/>
            <w:vAlign w:val="center"/>
          </w:tcPr>
          <w:p w14:paraId="1DB8395D">
            <w:pPr>
              <w:pStyle w:val="10"/>
            </w:pPr>
            <w:r>
              <w:t>其他资金</w:t>
            </w:r>
          </w:p>
        </w:tc>
        <w:tc>
          <w:tcPr>
            <w:tcW w:w="1276" w:type="dxa"/>
            <w:vAlign w:val="center"/>
          </w:tcPr>
          <w:p w14:paraId="520F8C1F">
            <w:pPr>
              <w:pStyle w:val="12"/>
            </w:pPr>
            <w:r>
              <w:t xml:space="preserve"> </w:t>
            </w:r>
          </w:p>
        </w:tc>
      </w:tr>
      <w:tr w14:paraId="70714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29921"/>
        </w:tc>
        <w:tc>
          <w:tcPr>
            <w:tcW w:w="14033" w:type="dxa"/>
            <w:gridSpan w:val="6"/>
            <w:vAlign w:val="center"/>
          </w:tcPr>
          <w:p w14:paraId="211F9DDA">
            <w:pPr>
              <w:pStyle w:val="12"/>
            </w:pPr>
            <w:r>
              <w:t>为保证学校正常运转和改善办学条件。</w:t>
            </w:r>
          </w:p>
        </w:tc>
      </w:tr>
      <w:tr w14:paraId="6E11B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603DE">
            <w:pPr>
              <w:pStyle w:val="10"/>
            </w:pPr>
            <w:r>
              <w:t>资金支出计划（%）</w:t>
            </w:r>
          </w:p>
        </w:tc>
        <w:tc>
          <w:tcPr>
            <w:tcW w:w="5103" w:type="dxa"/>
            <w:gridSpan w:val="2"/>
            <w:vAlign w:val="center"/>
          </w:tcPr>
          <w:p w14:paraId="1A9081DC">
            <w:pPr>
              <w:pStyle w:val="10"/>
            </w:pPr>
            <w:r>
              <w:t>3月底</w:t>
            </w:r>
          </w:p>
        </w:tc>
        <w:tc>
          <w:tcPr>
            <w:tcW w:w="2835" w:type="dxa"/>
            <w:vAlign w:val="center"/>
          </w:tcPr>
          <w:p w14:paraId="27BF4703">
            <w:pPr>
              <w:pStyle w:val="10"/>
            </w:pPr>
            <w:r>
              <w:t>6月底</w:t>
            </w:r>
          </w:p>
        </w:tc>
        <w:tc>
          <w:tcPr>
            <w:tcW w:w="2551" w:type="dxa"/>
            <w:vAlign w:val="center"/>
          </w:tcPr>
          <w:p w14:paraId="742E8005">
            <w:pPr>
              <w:pStyle w:val="10"/>
            </w:pPr>
            <w:r>
              <w:t>10月底</w:t>
            </w:r>
          </w:p>
        </w:tc>
        <w:tc>
          <w:tcPr>
            <w:tcW w:w="3544" w:type="dxa"/>
            <w:gridSpan w:val="2"/>
            <w:vAlign w:val="center"/>
          </w:tcPr>
          <w:p w14:paraId="74283E37">
            <w:pPr>
              <w:pStyle w:val="10"/>
            </w:pPr>
            <w:r>
              <w:t>12月底</w:t>
            </w:r>
          </w:p>
        </w:tc>
      </w:tr>
      <w:tr w14:paraId="50F78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52145"/>
        </w:tc>
        <w:tc>
          <w:tcPr>
            <w:tcW w:w="5103" w:type="dxa"/>
            <w:gridSpan w:val="2"/>
            <w:vAlign w:val="center"/>
          </w:tcPr>
          <w:p w14:paraId="72D03982">
            <w:pPr>
              <w:pStyle w:val="13"/>
            </w:pPr>
            <w:r>
              <w:t>25%</w:t>
            </w:r>
          </w:p>
        </w:tc>
        <w:tc>
          <w:tcPr>
            <w:tcW w:w="2835" w:type="dxa"/>
            <w:vAlign w:val="center"/>
          </w:tcPr>
          <w:p w14:paraId="42618F4B">
            <w:pPr>
              <w:pStyle w:val="13"/>
            </w:pPr>
            <w:r>
              <w:t>50%</w:t>
            </w:r>
          </w:p>
        </w:tc>
        <w:tc>
          <w:tcPr>
            <w:tcW w:w="2551" w:type="dxa"/>
            <w:vAlign w:val="center"/>
          </w:tcPr>
          <w:p w14:paraId="69C2BD51">
            <w:pPr>
              <w:pStyle w:val="13"/>
            </w:pPr>
            <w:r>
              <w:t>75%</w:t>
            </w:r>
          </w:p>
        </w:tc>
        <w:tc>
          <w:tcPr>
            <w:tcW w:w="3544" w:type="dxa"/>
            <w:gridSpan w:val="2"/>
            <w:vAlign w:val="center"/>
          </w:tcPr>
          <w:p w14:paraId="13ECEBBB">
            <w:pPr>
              <w:pStyle w:val="13"/>
            </w:pPr>
            <w:r>
              <w:t>100%</w:t>
            </w:r>
          </w:p>
        </w:tc>
      </w:tr>
      <w:tr w14:paraId="0CDD5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77D26">
            <w:pPr>
              <w:pStyle w:val="10"/>
            </w:pPr>
            <w:r>
              <w:t>绩效目标</w:t>
            </w:r>
          </w:p>
        </w:tc>
        <w:tc>
          <w:tcPr>
            <w:tcW w:w="14033" w:type="dxa"/>
            <w:gridSpan w:val="6"/>
            <w:vAlign w:val="center"/>
          </w:tcPr>
          <w:p w14:paraId="1E5379A6">
            <w:pPr>
              <w:pStyle w:val="12"/>
            </w:pPr>
            <w:r>
              <w:t>1.按拨款序时进度完成经费拨付和支出。</w:t>
            </w:r>
          </w:p>
          <w:p w14:paraId="5B47087E">
            <w:pPr>
              <w:pStyle w:val="12"/>
            </w:pPr>
            <w:r>
              <w:t>2.为保证学校正常运转和改善办学条件。</w:t>
            </w:r>
          </w:p>
        </w:tc>
      </w:tr>
    </w:tbl>
    <w:p w14:paraId="312B86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5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768F6">
            <w:pPr>
              <w:pStyle w:val="10"/>
            </w:pPr>
            <w:r>
              <w:t>一级指标</w:t>
            </w:r>
          </w:p>
        </w:tc>
        <w:tc>
          <w:tcPr>
            <w:tcW w:w="2268" w:type="dxa"/>
            <w:vAlign w:val="center"/>
          </w:tcPr>
          <w:p w14:paraId="0DC0CB0B">
            <w:pPr>
              <w:pStyle w:val="10"/>
            </w:pPr>
            <w:r>
              <w:t>二级指标</w:t>
            </w:r>
          </w:p>
        </w:tc>
        <w:tc>
          <w:tcPr>
            <w:tcW w:w="2835" w:type="dxa"/>
            <w:vAlign w:val="center"/>
          </w:tcPr>
          <w:p w14:paraId="53110964">
            <w:pPr>
              <w:pStyle w:val="10"/>
            </w:pPr>
            <w:r>
              <w:t>三级指标</w:t>
            </w:r>
          </w:p>
        </w:tc>
        <w:tc>
          <w:tcPr>
            <w:tcW w:w="5386" w:type="dxa"/>
            <w:vAlign w:val="center"/>
          </w:tcPr>
          <w:p w14:paraId="29080B93">
            <w:pPr>
              <w:pStyle w:val="10"/>
            </w:pPr>
            <w:r>
              <w:t>绩效指标描述</w:t>
            </w:r>
          </w:p>
        </w:tc>
        <w:tc>
          <w:tcPr>
            <w:tcW w:w="2268" w:type="dxa"/>
            <w:vAlign w:val="center"/>
          </w:tcPr>
          <w:p w14:paraId="7260EAA5">
            <w:pPr>
              <w:pStyle w:val="10"/>
            </w:pPr>
            <w:r>
              <w:t>指标值</w:t>
            </w:r>
          </w:p>
        </w:tc>
        <w:tc>
          <w:tcPr>
            <w:tcW w:w="1276" w:type="dxa"/>
            <w:vAlign w:val="center"/>
          </w:tcPr>
          <w:p w14:paraId="0C0E08B7">
            <w:pPr>
              <w:pStyle w:val="10"/>
            </w:pPr>
            <w:r>
              <w:t>指标值确定依据</w:t>
            </w:r>
          </w:p>
        </w:tc>
      </w:tr>
      <w:tr w14:paraId="23DF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017B6">
            <w:pPr>
              <w:pStyle w:val="13"/>
            </w:pPr>
            <w:r>
              <w:t>产出指标</w:t>
            </w:r>
          </w:p>
        </w:tc>
        <w:tc>
          <w:tcPr>
            <w:tcW w:w="2268" w:type="dxa"/>
            <w:vAlign w:val="center"/>
          </w:tcPr>
          <w:p w14:paraId="01911D3F">
            <w:pPr>
              <w:pStyle w:val="12"/>
            </w:pPr>
            <w:r>
              <w:t>数量指标</w:t>
            </w:r>
          </w:p>
        </w:tc>
        <w:tc>
          <w:tcPr>
            <w:tcW w:w="2835" w:type="dxa"/>
            <w:vAlign w:val="center"/>
          </w:tcPr>
          <w:p w14:paraId="68A6EAD0">
            <w:pPr>
              <w:pStyle w:val="12"/>
            </w:pPr>
            <w:r>
              <w:t>就读学生数</w:t>
            </w:r>
          </w:p>
        </w:tc>
        <w:tc>
          <w:tcPr>
            <w:tcW w:w="5386" w:type="dxa"/>
            <w:vAlign w:val="center"/>
          </w:tcPr>
          <w:p w14:paraId="37DA7E9C">
            <w:pPr>
              <w:pStyle w:val="12"/>
            </w:pPr>
            <w:r>
              <w:t>辐射区域内适龄学生人数</w:t>
            </w:r>
          </w:p>
        </w:tc>
        <w:tc>
          <w:tcPr>
            <w:tcW w:w="2268" w:type="dxa"/>
            <w:vAlign w:val="center"/>
          </w:tcPr>
          <w:p w14:paraId="0BE77168">
            <w:pPr>
              <w:pStyle w:val="12"/>
            </w:pPr>
            <w:r>
              <w:t>101人</w:t>
            </w:r>
          </w:p>
        </w:tc>
        <w:tc>
          <w:tcPr>
            <w:tcW w:w="1276" w:type="dxa"/>
            <w:vAlign w:val="center"/>
          </w:tcPr>
          <w:p w14:paraId="3AF639B0">
            <w:pPr>
              <w:pStyle w:val="12"/>
            </w:pPr>
            <w:r>
              <w:t>城乡义务教育公用经费管理办法</w:t>
            </w:r>
          </w:p>
        </w:tc>
      </w:tr>
      <w:tr w14:paraId="225F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EF0B3"/>
        </w:tc>
        <w:tc>
          <w:tcPr>
            <w:tcW w:w="2268" w:type="dxa"/>
            <w:vAlign w:val="center"/>
          </w:tcPr>
          <w:p w14:paraId="0C390243">
            <w:pPr>
              <w:pStyle w:val="12"/>
            </w:pPr>
            <w:r>
              <w:t>质量指标</w:t>
            </w:r>
          </w:p>
        </w:tc>
        <w:tc>
          <w:tcPr>
            <w:tcW w:w="2835" w:type="dxa"/>
            <w:vAlign w:val="center"/>
          </w:tcPr>
          <w:p w14:paraId="572213C7">
            <w:pPr>
              <w:pStyle w:val="12"/>
            </w:pPr>
            <w:r>
              <w:t>预算执行率</w:t>
            </w:r>
          </w:p>
        </w:tc>
        <w:tc>
          <w:tcPr>
            <w:tcW w:w="5386" w:type="dxa"/>
            <w:vAlign w:val="center"/>
          </w:tcPr>
          <w:p w14:paraId="032616B9">
            <w:pPr>
              <w:pStyle w:val="12"/>
            </w:pPr>
            <w:r>
              <w:t>预算执行率≥98%</w:t>
            </w:r>
          </w:p>
        </w:tc>
        <w:tc>
          <w:tcPr>
            <w:tcW w:w="2268" w:type="dxa"/>
            <w:vAlign w:val="center"/>
          </w:tcPr>
          <w:p w14:paraId="1667DE43">
            <w:pPr>
              <w:pStyle w:val="12"/>
            </w:pPr>
            <w:r>
              <w:t>≥98%</w:t>
            </w:r>
          </w:p>
        </w:tc>
        <w:tc>
          <w:tcPr>
            <w:tcW w:w="1276" w:type="dxa"/>
            <w:vAlign w:val="center"/>
          </w:tcPr>
          <w:p w14:paraId="706902AF">
            <w:pPr>
              <w:pStyle w:val="12"/>
            </w:pPr>
            <w:r>
              <w:t>城乡义务教育公用经费管理办法</w:t>
            </w:r>
          </w:p>
        </w:tc>
      </w:tr>
      <w:tr w14:paraId="04B9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061D9"/>
        </w:tc>
        <w:tc>
          <w:tcPr>
            <w:tcW w:w="2268" w:type="dxa"/>
            <w:vAlign w:val="center"/>
          </w:tcPr>
          <w:p w14:paraId="434CE34F">
            <w:pPr>
              <w:pStyle w:val="12"/>
            </w:pPr>
            <w:r>
              <w:t>时效指标</w:t>
            </w:r>
          </w:p>
        </w:tc>
        <w:tc>
          <w:tcPr>
            <w:tcW w:w="2835" w:type="dxa"/>
            <w:vAlign w:val="center"/>
          </w:tcPr>
          <w:p w14:paraId="34213211">
            <w:pPr>
              <w:pStyle w:val="12"/>
            </w:pPr>
            <w:r>
              <w:t>义教经费支付完成率</w:t>
            </w:r>
          </w:p>
        </w:tc>
        <w:tc>
          <w:tcPr>
            <w:tcW w:w="5386" w:type="dxa"/>
            <w:vAlign w:val="center"/>
          </w:tcPr>
          <w:p w14:paraId="406313B5">
            <w:pPr>
              <w:pStyle w:val="12"/>
            </w:pPr>
            <w:r>
              <w:t>按照序时进度完成资金支付</w:t>
            </w:r>
          </w:p>
        </w:tc>
        <w:tc>
          <w:tcPr>
            <w:tcW w:w="2268" w:type="dxa"/>
            <w:vAlign w:val="center"/>
          </w:tcPr>
          <w:p w14:paraId="7986088C">
            <w:pPr>
              <w:pStyle w:val="12"/>
            </w:pPr>
            <w:r>
              <w:t>≥98%</w:t>
            </w:r>
          </w:p>
        </w:tc>
        <w:tc>
          <w:tcPr>
            <w:tcW w:w="1276" w:type="dxa"/>
            <w:vAlign w:val="center"/>
          </w:tcPr>
          <w:p w14:paraId="6479D8BD">
            <w:pPr>
              <w:pStyle w:val="12"/>
            </w:pPr>
            <w:r>
              <w:t>城乡义务教育公用经费管理办法</w:t>
            </w:r>
          </w:p>
        </w:tc>
      </w:tr>
      <w:tr w14:paraId="76FE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5DB4C"/>
        </w:tc>
        <w:tc>
          <w:tcPr>
            <w:tcW w:w="2268" w:type="dxa"/>
            <w:vAlign w:val="center"/>
          </w:tcPr>
          <w:p w14:paraId="619DEC09">
            <w:pPr>
              <w:pStyle w:val="12"/>
            </w:pPr>
            <w:r>
              <w:t>成本指标</w:t>
            </w:r>
          </w:p>
        </w:tc>
        <w:tc>
          <w:tcPr>
            <w:tcW w:w="2835" w:type="dxa"/>
            <w:vAlign w:val="center"/>
          </w:tcPr>
          <w:p w14:paraId="39155606">
            <w:pPr>
              <w:pStyle w:val="12"/>
            </w:pPr>
            <w:r>
              <w:t>生均拨款标准</w:t>
            </w:r>
          </w:p>
        </w:tc>
        <w:tc>
          <w:tcPr>
            <w:tcW w:w="5386" w:type="dxa"/>
            <w:vAlign w:val="center"/>
          </w:tcPr>
          <w:p w14:paraId="66AB2849">
            <w:pPr>
              <w:pStyle w:val="12"/>
            </w:pPr>
            <w:r>
              <w:t>小学生公用经费生均小学720元，取暖费120元/生/年，住宿生补助300元/生/年，随班就读学生补助7000元/生</w:t>
            </w:r>
          </w:p>
        </w:tc>
        <w:tc>
          <w:tcPr>
            <w:tcW w:w="2268" w:type="dxa"/>
            <w:vAlign w:val="center"/>
          </w:tcPr>
          <w:p w14:paraId="01A77291">
            <w:pPr>
              <w:pStyle w:val="12"/>
            </w:pPr>
            <w:r>
              <w:t>≥840元</w:t>
            </w:r>
          </w:p>
        </w:tc>
        <w:tc>
          <w:tcPr>
            <w:tcW w:w="1276" w:type="dxa"/>
            <w:vAlign w:val="center"/>
          </w:tcPr>
          <w:p w14:paraId="799CAA95">
            <w:pPr>
              <w:pStyle w:val="12"/>
            </w:pPr>
            <w:r>
              <w:t>城乡义务教育公用经费管理办法</w:t>
            </w:r>
          </w:p>
        </w:tc>
      </w:tr>
      <w:tr w14:paraId="0622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A8C0A">
            <w:pPr>
              <w:pStyle w:val="13"/>
            </w:pPr>
            <w:r>
              <w:t>效益指标</w:t>
            </w:r>
          </w:p>
        </w:tc>
        <w:tc>
          <w:tcPr>
            <w:tcW w:w="2268" w:type="dxa"/>
            <w:vAlign w:val="center"/>
          </w:tcPr>
          <w:p w14:paraId="2EDB146B">
            <w:pPr>
              <w:pStyle w:val="12"/>
            </w:pPr>
            <w:r>
              <w:t>社会效益指标</w:t>
            </w:r>
          </w:p>
        </w:tc>
        <w:tc>
          <w:tcPr>
            <w:tcW w:w="2835" w:type="dxa"/>
            <w:vAlign w:val="center"/>
          </w:tcPr>
          <w:p w14:paraId="34A10C8B">
            <w:pPr>
              <w:pStyle w:val="12"/>
            </w:pPr>
            <w:r>
              <w:t>学校运转得到提高</w:t>
            </w:r>
          </w:p>
        </w:tc>
        <w:tc>
          <w:tcPr>
            <w:tcW w:w="5386" w:type="dxa"/>
            <w:vAlign w:val="center"/>
          </w:tcPr>
          <w:p w14:paraId="50BA73F7">
            <w:pPr>
              <w:pStyle w:val="12"/>
            </w:pPr>
            <w:r>
              <w:t>学生受教育年限</w:t>
            </w:r>
          </w:p>
        </w:tc>
        <w:tc>
          <w:tcPr>
            <w:tcW w:w="2268" w:type="dxa"/>
            <w:vAlign w:val="center"/>
          </w:tcPr>
          <w:p w14:paraId="63072681">
            <w:pPr>
              <w:pStyle w:val="12"/>
            </w:pPr>
            <w:r>
              <w:t>6年</w:t>
            </w:r>
          </w:p>
        </w:tc>
        <w:tc>
          <w:tcPr>
            <w:tcW w:w="1276" w:type="dxa"/>
            <w:vAlign w:val="center"/>
          </w:tcPr>
          <w:p w14:paraId="3F787753">
            <w:pPr>
              <w:pStyle w:val="12"/>
            </w:pPr>
            <w:r>
              <w:t>城乡义务教育公用经费管理办法</w:t>
            </w:r>
          </w:p>
        </w:tc>
      </w:tr>
      <w:tr w14:paraId="7DA5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63E04">
            <w:pPr>
              <w:pStyle w:val="13"/>
            </w:pPr>
            <w:r>
              <w:t>满意度指标</w:t>
            </w:r>
          </w:p>
        </w:tc>
        <w:tc>
          <w:tcPr>
            <w:tcW w:w="2268" w:type="dxa"/>
            <w:vAlign w:val="center"/>
          </w:tcPr>
          <w:p w14:paraId="1025BF62">
            <w:pPr>
              <w:pStyle w:val="12"/>
            </w:pPr>
            <w:r>
              <w:t>服务对象满意度指标</w:t>
            </w:r>
          </w:p>
        </w:tc>
        <w:tc>
          <w:tcPr>
            <w:tcW w:w="2835" w:type="dxa"/>
            <w:vAlign w:val="center"/>
          </w:tcPr>
          <w:p w14:paraId="60F8CF64">
            <w:pPr>
              <w:pStyle w:val="12"/>
            </w:pPr>
            <w:r>
              <w:t>服务对象满意度</w:t>
            </w:r>
          </w:p>
        </w:tc>
        <w:tc>
          <w:tcPr>
            <w:tcW w:w="5386" w:type="dxa"/>
            <w:vAlign w:val="center"/>
          </w:tcPr>
          <w:p w14:paraId="33FAFC99">
            <w:pPr>
              <w:pStyle w:val="12"/>
            </w:pPr>
            <w:r>
              <w:t>学校老师和学生满意度</w:t>
            </w:r>
          </w:p>
        </w:tc>
        <w:tc>
          <w:tcPr>
            <w:tcW w:w="2268" w:type="dxa"/>
            <w:vAlign w:val="center"/>
          </w:tcPr>
          <w:p w14:paraId="658FDD2F">
            <w:pPr>
              <w:pStyle w:val="12"/>
            </w:pPr>
            <w:r>
              <w:t>≥95%</w:t>
            </w:r>
          </w:p>
        </w:tc>
        <w:tc>
          <w:tcPr>
            <w:tcW w:w="1276" w:type="dxa"/>
            <w:vAlign w:val="center"/>
          </w:tcPr>
          <w:p w14:paraId="1F782A54">
            <w:pPr>
              <w:pStyle w:val="12"/>
            </w:pPr>
            <w:r>
              <w:t>城乡义务教育公用经费管理办法</w:t>
            </w:r>
          </w:p>
        </w:tc>
      </w:tr>
    </w:tbl>
    <w:p w14:paraId="03E9DFDE">
      <w:pPr>
        <w:sectPr>
          <w:pgSz w:w="16840" w:h="11900" w:orient="landscape"/>
          <w:pgMar w:top="1361" w:right="1020" w:bottom="1134" w:left="1020" w:header="720" w:footer="720" w:gutter="0"/>
          <w:cols w:space="720" w:num="1"/>
        </w:sectPr>
      </w:pPr>
    </w:p>
    <w:p w14:paraId="48C9C4F8">
      <w:pPr>
        <w:spacing w:before="0" w:after="0"/>
        <w:ind w:firstLine="560"/>
        <w:jc w:val="left"/>
        <w:outlineLvl w:val="9"/>
      </w:pPr>
      <w:r>
        <w:rPr>
          <w:rFonts w:ascii="方正仿宋_GBK" w:hAnsi="方正仿宋_GBK" w:eastAsia="方正仿宋_GBK" w:cs="方正仿宋_GBK"/>
          <w:b/>
          <w:color w:val="000000"/>
          <w:sz w:val="28"/>
        </w:rPr>
        <w:t>24、县级配套/大张庄校区大张家庄小学公用经费绩效目标表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82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C5AD0">
            <w:pPr>
              <w:pStyle w:val="11"/>
            </w:pPr>
            <w:r>
              <w:t>单位：万元</w:t>
            </w:r>
          </w:p>
        </w:tc>
      </w:tr>
      <w:tr w14:paraId="0DAAE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A2B22">
            <w:pPr>
              <w:pStyle w:val="10"/>
            </w:pPr>
            <w:r>
              <w:t>项目编码</w:t>
            </w:r>
          </w:p>
        </w:tc>
        <w:tc>
          <w:tcPr>
            <w:tcW w:w="5103" w:type="dxa"/>
            <w:gridSpan w:val="2"/>
            <w:vAlign w:val="center"/>
          </w:tcPr>
          <w:p w14:paraId="4F715900">
            <w:pPr>
              <w:pStyle w:val="12"/>
            </w:pPr>
            <w:r>
              <w:t>13052526P00000410466G</w:t>
            </w:r>
          </w:p>
        </w:tc>
        <w:tc>
          <w:tcPr>
            <w:tcW w:w="2835" w:type="dxa"/>
            <w:vAlign w:val="center"/>
          </w:tcPr>
          <w:p w14:paraId="03DF7359">
            <w:pPr>
              <w:pStyle w:val="10"/>
            </w:pPr>
            <w:r>
              <w:t>项目名称</w:t>
            </w:r>
          </w:p>
        </w:tc>
        <w:tc>
          <w:tcPr>
            <w:tcW w:w="6095" w:type="dxa"/>
            <w:gridSpan w:val="3"/>
            <w:vAlign w:val="center"/>
          </w:tcPr>
          <w:p w14:paraId="3BA62E73">
            <w:pPr>
              <w:pStyle w:val="12"/>
            </w:pPr>
            <w:r>
              <w:t>县级配套/大张庄校区大张家庄小学公用经费</w:t>
            </w:r>
          </w:p>
        </w:tc>
      </w:tr>
      <w:tr w14:paraId="50565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AEAF0">
            <w:pPr>
              <w:pStyle w:val="10"/>
            </w:pPr>
            <w:r>
              <w:t>预算规模及资金用途</w:t>
            </w:r>
          </w:p>
        </w:tc>
        <w:tc>
          <w:tcPr>
            <w:tcW w:w="2268" w:type="dxa"/>
            <w:vAlign w:val="center"/>
          </w:tcPr>
          <w:p w14:paraId="08C59AF9">
            <w:pPr>
              <w:pStyle w:val="10"/>
            </w:pPr>
            <w:r>
              <w:t>预算数</w:t>
            </w:r>
          </w:p>
        </w:tc>
        <w:tc>
          <w:tcPr>
            <w:tcW w:w="2835" w:type="dxa"/>
            <w:vAlign w:val="center"/>
          </w:tcPr>
          <w:p w14:paraId="007CC8F9">
            <w:pPr>
              <w:pStyle w:val="12"/>
            </w:pPr>
            <w:r>
              <w:t>9.59</w:t>
            </w:r>
          </w:p>
        </w:tc>
        <w:tc>
          <w:tcPr>
            <w:tcW w:w="2835" w:type="dxa"/>
            <w:vAlign w:val="center"/>
          </w:tcPr>
          <w:p w14:paraId="3E5AC3AC">
            <w:pPr>
              <w:pStyle w:val="10"/>
            </w:pPr>
            <w:r>
              <w:t>其中：财政    资金</w:t>
            </w:r>
          </w:p>
        </w:tc>
        <w:tc>
          <w:tcPr>
            <w:tcW w:w="2551" w:type="dxa"/>
            <w:vAlign w:val="center"/>
          </w:tcPr>
          <w:p w14:paraId="30A85AE7">
            <w:pPr>
              <w:pStyle w:val="12"/>
            </w:pPr>
            <w:r>
              <w:t>9.59</w:t>
            </w:r>
          </w:p>
        </w:tc>
        <w:tc>
          <w:tcPr>
            <w:tcW w:w="2268" w:type="dxa"/>
            <w:vAlign w:val="center"/>
          </w:tcPr>
          <w:p w14:paraId="2526AE04">
            <w:pPr>
              <w:pStyle w:val="10"/>
            </w:pPr>
            <w:r>
              <w:t>其他资金</w:t>
            </w:r>
          </w:p>
        </w:tc>
        <w:tc>
          <w:tcPr>
            <w:tcW w:w="1276" w:type="dxa"/>
            <w:vAlign w:val="center"/>
          </w:tcPr>
          <w:p w14:paraId="5871BEC4">
            <w:pPr>
              <w:pStyle w:val="12"/>
            </w:pPr>
            <w:r>
              <w:t xml:space="preserve"> </w:t>
            </w:r>
          </w:p>
        </w:tc>
      </w:tr>
      <w:tr w14:paraId="044A7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6B4C7"/>
        </w:tc>
        <w:tc>
          <w:tcPr>
            <w:tcW w:w="14033" w:type="dxa"/>
            <w:gridSpan w:val="6"/>
            <w:vAlign w:val="center"/>
          </w:tcPr>
          <w:p w14:paraId="57BCAFC9">
            <w:pPr>
              <w:pStyle w:val="12"/>
            </w:pPr>
            <w:r>
              <w:t>为保证学校正常运转和改善办学条件。</w:t>
            </w:r>
          </w:p>
        </w:tc>
      </w:tr>
      <w:tr w14:paraId="1DE22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B57B3">
            <w:pPr>
              <w:pStyle w:val="10"/>
            </w:pPr>
            <w:r>
              <w:t>资金支出计划（%）</w:t>
            </w:r>
          </w:p>
        </w:tc>
        <w:tc>
          <w:tcPr>
            <w:tcW w:w="5103" w:type="dxa"/>
            <w:gridSpan w:val="2"/>
            <w:vAlign w:val="center"/>
          </w:tcPr>
          <w:p w14:paraId="1D688614">
            <w:pPr>
              <w:pStyle w:val="10"/>
            </w:pPr>
            <w:r>
              <w:t>3月底</w:t>
            </w:r>
          </w:p>
        </w:tc>
        <w:tc>
          <w:tcPr>
            <w:tcW w:w="2835" w:type="dxa"/>
            <w:vAlign w:val="center"/>
          </w:tcPr>
          <w:p w14:paraId="2EFF3BFD">
            <w:pPr>
              <w:pStyle w:val="10"/>
            </w:pPr>
            <w:r>
              <w:t>6月底</w:t>
            </w:r>
          </w:p>
        </w:tc>
        <w:tc>
          <w:tcPr>
            <w:tcW w:w="2551" w:type="dxa"/>
            <w:vAlign w:val="center"/>
          </w:tcPr>
          <w:p w14:paraId="56023534">
            <w:pPr>
              <w:pStyle w:val="10"/>
            </w:pPr>
            <w:r>
              <w:t>10月底</w:t>
            </w:r>
          </w:p>
        </w:tc>
        <w:tc>
          <w:tcPr>
            <w:tcW w:w="3544" w:type="dxa"/>
            <w:gridSpan w:val="2"/>
            <w:vAlign w:val="center"/>
          </w:tcPr>
          <w:p w14:paraId="39BA7962">
            <w:pPr>
              <w:pStyle w:val="10"/>
            </w:pPr>
            <w:r>
              <w:t>12月底</w:t>
            </w:r>
          </w:p>
        </w:tc>
      </w:tr>
      <w:tr w14:paraId="09942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C0A44"/>
        </w:tc>
        <w:tc>
          <w:tcPr>
            <w:tcW w:w="5103" w:type="dxa"/>
            <w:gridSpan w:val="2"/>
            <w:vAlign w:val="center"/>
          </w:tcPr>
          <w:p w14:paraId="0570DD31">
            <w:pPr>
              <w:pStyle w:val="13"/>
            </w:pPr>
            <w:r>
              <w:t>25%</w:t>
            </w:r>
          </w:p>
        </w:tc>
        <w:tc>
          <w:tcPr>
            <w:tcW w:w="2835" w:type="dxa"/>
            <w:vAlign w:val="center"/>
          </w:tcPr>
          <w:p w14:paraId="4BFA2CDA">
            <w:pPr>
              <w:pStyle w:val="13"/>
            </w:pPr>
            <w:r>
              <w:t>50%</w:t>
            </w:r>
          </w:p>
        </w:tc>
        <w:tc>
          <w:tcPr>
            <w:tcW w:w="2551" w:type="dxa"/>
            <w:vAlign w:val="center"/>
          </w:tcPr>
          <w:p w14:paraId="21C01B0F">
            <w:pPr>
              <w:pStyle w:val="13"/>
            </w:pPr>
            <w:r>
              <w:t>75%</w:t>
            </w:r>
          </w:p>
        </w:tc>
        <w:tc>
          <w:tcPr>
            <w:tcW w:w="3544" w:type="dxa"/>
            <w:gridSpan w:val="2"/>
            <w:vAlign w:val="center"/>
          </w:tcPr>
          <w:p w14:paraId="16C35D82">
            <w:pPr>
              <w:pStyle w:val="13"/>
            </w:pPr>
            <w:r>
              <w:t>100%</w:t>
            </w:r>
          </w:p>
        </w:tc>
      </w:tr>
      <w:tr w14:paraId="6ACF8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BB6A1">
            <w:pPr>
              <w:pStyle w:val="10"/>
            </w:pPr>
            <w:r>
              <w:t>绩效目标</w:t>
            </w:r>
          </w:p>
        </w:tc>
        <w:tc>
          <w:tcPr>
            <w:tcW w:w="14033" w:type="dxa"/>
            <w:gridSpan w:val="6"/>
            <w:vAlign w:val="center"/>
          </w:tcPr>
          <w:p w14:paraId="51AFA448">
            <w:pPr>
              <w:pStyle w:val="12"/>
            </w:pPr>
            <w:r>
              <w:t>1.按拨款序时进度完成经费拨付和支出。</w:t>
            </w:r>
          </w:p>
          <w:p w14:paraId="0EE5A71E">
            <w:pPr>
              <w:pStyle w:val="12"/>
            </w:pPr>
            <w:r>
              <w:t>2.为保证学校正常运转和改善办学条件。</w:t>
            </w:r>
          </w:p>
        </w:tc>
      </w:tr>
    </w:tbl>
    <w:p w14:paraId="5D751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C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FBD97">
            <w:pPr>
              <w:pStyle w:val="10"/>
            </w:pPr>
            <w:r>
              <w:t>一级指标</w:t>
            </w:r>
          </w:p>
        </w:tc>
        <w:tc>
          <w:tcPr>
            <w:tcW w:w="2268" w:type="dxa"/>
            <w:vAlign w:val="center"/>
          </w:tcPr>
          <w:p w14:paraId="38E95823">
            <w:pPr>
              <w:pStyle w:val="10"/>
            </w:pPr>
            <w:r>
              <w:t>二级指标</w:t>
            </w:r>
          </w:p>
        </w:tc>
        <w:tc>
          <w:tcPr>
            <w:tcW w:w="2835" w:type="dxa"/>
            <w:vAlign w:val="center"/>
          </w:tcPr>
          <w:p w14:paraId="7E683C74">
            <w:pPr>
              <w:pStyle w:val="10"/>
            </w:pPr>
            <w:r>
              <w:t>三级指标</w:t>
            </w:r>
          </w:p>
        </w:tc>
        <w:tc>
          <w:tcPr>
            <w:tcW w:w="5386" w:type="dxa"/>
            <w:vAlign w:val="center"/>
          </w:tcPr>
          <w:p w14:paraId="40A08D5C">
            <w:pPr>
              <w:pStyle w:val="10"/>
            </w:pPr>
            <w:r>
              <w:t>绩效指标描述</w:t>
            </w:r>
          </w:p>
        </w:tc>
        <w:tc>
          <w:tcPr>
            <w:tcW w:w="2268" w:type="dxa"/>
            <w:vAlign w:val="center"/>
          </w:tcPr>
          <w:p w14:paraId="50021C3E">
            <w:pPr>
              <w:pStyle w:val="10"/>
            </w:pPr>
            <w:r>
              <w:t>指标值</w:t>
            </w:r>
          </w:p>
        </w:tc>
        <w:tc>
          <w:tcPr>
            <w:tcW w:w="1276" w:type="dxa"/>
            <w:vAlign w:val="center"/>
          </w:tcPr>
          <w:p w14:paraId="3A4D706A">
            <w:pPr>
              <w:pStyle w:val="10"/>
            </w:pPr>
            <w:r>
              <w:t>指标值确定依据</w:t>
            </w:r>
          </w:p>
        </w:tc>
      </w:tr>
      <w:tr w14:paraId="0F9C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85217">
            <w:pPr>
              <w:pStyle w:val="13"/>
            </w:pPr>
            <w:r>
              <w:t>产出指标</w:t>
            </w:r>
          </w:p>
        </w:tc>
        <w:tc>
          <w:tcPr>
            <w:tcW w:w="2268" w:type="dxa"/>
            <w:vAlign w:val="center"/>
          </w:tcPr>
          <w:p w14:paraId="1C134C67">
            <w:pPr>
              <w:pStyle w:val="12"/>
            </w:pPr>
            <w:r>
              <w:t>数量指标</w:t>
            </w:r>
          </w:p>
        </w:tc>
        <w:tc>
          <w:tcPr>
            <w:tcW w:w="2835" w:type="dxa"/>
            <w:vAlign w:val="center"/>
          </w:tcPr>
          <w:p w14:paraId="714E9137">
            <w:pPr>
              <w:pStyle w:val="12"/>
            </w:pPr>
            <w:r>
              <w:t>就读学生数</w:t>
            </w:r>
          </w:p>
        </w:tc>
        <w:tc>
          <w:tcPr>
            <w:tcW w:w="5386" w:type="dxa"/>
            <w:vAlign w:val="center"/>
          </w:tcPr>
          <w:p w14:paraId="0A9112C7">
            <w:pPr>
              <w:pStyle w:val="12"/>
            </w:pPr>
            <w:r>
              <w:t>辐射区域内适龄学生人数</w:t>
            </w:r>
          </w:p>
        </w:tc>
        <w:tc>
          <w:tcPr>
            <w:tcW w:w="2268" w:type="dxa"/>
            <w:vAlign w:val="center"/>
          </w:tcPr>
          <w:p w14:paraId="0B7946A0">
            <w:pPr>
              <w:pStyle w:val="12"/>
            </w:pPr>
            <w:r>
              <w:t>972人</w:t>
            </w:r>
          </w:p>
        </w:tc>
        <w:tc>
          <w:tcPr>
            <w:tcW w:w="1276" w:type="dxa"/>
            <w:vAlign w:val="center"/>
          </w:tcPr>
          <w:p w14:paraId="1426063B">
            <w:pPr>
              <w:pStyle w:val="12"/>
            </w:pPr>
            <w:r>
              <w:t>城乡义务教育公用经费管理办法</w:t>
            </w:r>
          </w:p>
        </w:tc>
      </w:tr>
      <w:tr w14:paraId="6CC8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D5AB"/>
        </w:tc>
        <w:tc>
          <w:tcPr>
            <w:tcW w:w="2268" w:type="dxa"/>
            <w:vAlign w:val="center"/>
          </w:tcPr>
          <w:p w14:paraId="0D60ED4B">
            <w:pPr>
              <w:pStyle w:val="12"/>
            </w:pPr>
            <w:r>
              <w:t>质量指标</w:t>
            </w:r>
          </w:p>
        </w:tc>
        <w:tc>
          <w:tcPr>
            <w:tcW w:w="2835" w:type="dxa"/>
            <w:vAlign w:val="center"/>
          </w:tcPr>
          <w:p w14:paraId="6934E78F">
            <w:pPr>
              <w:pStyle w:val="12"/>
            </w:pPr>
            <w:r>
              <w:t>预算执行率</w:t>
            </w:r>
          </w:p>
        </w:tc>
        <w:tc>
          <w:tcPr>
            <w:tcW w:w="5386" w:type="dxa"/>
            <w:vAlign w:val="center"/>
          </w:tcPr>
          <w:p w14:paraId="06E99888">
            <w:pPr>
              <w:pStyle w:val="12"/>
            </w:pPr>
            <w:r>
              <w:t>预算执行率≥98%</w:t>
            </w:r>
          </w:p>
        </w:tc>
        <w:tc>
          <w:tcPr>
            <w:tcW w:w="2268" w:type="dxa"/>
            <w:vAlign w:val="center"/>
          </w:tcPr>
          <w:p w14:paraId="15833285">
            <w:pPr>
              <w:pStyle w:val="12"/>
            </w:pPr>
            <w:r>
              <w:t>≥98%</w:t>
            </w:r>
          </w:p>
        </w:tc>
        <w:tc>
          <w:tcPr>
            <w:tcW w:w="1276" w:type="dxa"/>
            <w:vAlign w:val="center"/>
          </w:tcPr>
          <w:p w14:paraId="0BBE2963">
            <w:pPr>
              <w:pStyle w:val="12"/>
            </w:pPr>
            <w:r>
              <w:t>城乡义务教育公用经费管理办法</w:t>
            </w:r>
          </w:p>
        </w:tc>
      </w:tr>
      <w:tr w14:paraId="5C6B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6224D"/>
        </w:tc>
        <w:tc>
          <w:tcPr>
            <w:tcW w:w="2268" w:type="dxa"/>
            <w:vAlign w:val="center"/>
          </w:tcPr>
          <w:p w14:paraId="1C1277C8">
            <w:pPr>
              <w:pStyle w:val="12"/>
            </w:pPr>
            <w:r>
              <w:t>时效指标</w:t>
            </w:r>
          </w:p>
        </w:tc>
        <w:tc>
          <w:tcPr>
            <w:tcW w:w="2835" w:type="dxa"/>
            <w:vAlign w:val="center"/>
          </w:tcPr>
          <w:p w14:paraId="3CD1FC55">
            <w:pPr>
              <w:pStyle w:val="12"/>
            </w:pPr>
            <w:r>
              <w:t>义教经费支付完成率</w:t>
            </w:r>
          </w:p>
        </w:tc>
        <w:tc>
          <w:tcPr>
            <w:tcW w:w="5386" w:type="dxa"/>
            <w:vAlign w:val="center"/>
          </w:tcPr>
          <w:p w14:paraId="5F0E0C2F">
            <w:pPr>
              <w:pStyle w:val="12"/>
            </w:pPr>
            <w:r>
              <w:t>按照序时进度完成资金支付</w:t>
            </w:r>
          </w:p>
        </w:tc>
        <w:tc>
          <w:tcPr>
            <w:tcW w:w="2268" w:type="dxa"/>
            <w:vAlign w:val="center"/>
          </w:tcPr>
          <w:p w14:paraId="0CC0633A">
            <w:pPr>
              <w:pStyle w:val="12"/>
            </w:pPr>
            <w:r>
              <w:t>≥98%</w:t>
            </w:r>
          </w:p>
        </w:tc>
        <w:tc>
          <w:tcPr>
            <w:tcW w:w="1276" w:type="dxa"/>
            <w:vAlign w:val="center"/>
          </w:tcPr>
          <w:p w14:paraId="42A1E3B1">
            <w:pPr>
              <w:pStyle w:val="12"/>
            </w:pPr>
            <w:r>
              <w:t>城乡义务教育公用经费管理办法</w:t>
            </w:r>
          </w:p>
        </w:tc>
      </w:tr>
      <w:tr w14:paraId="18F1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9F2FD"/>
        </w:tc>
        <w:tc>
          <w:tcPr>
            <w:tcW w:w="2268" w:type="dxa"/>
            <w:vAlign w:val="center"/>
          </w:tcPr>
          <w:p w14:paraId="63733DBB">
            <w:pPr>
              <w:pStyle w:val="12"/>
            </w:pPr>
            <w:r>
              <w:t>成本指标</w:t>
            </w:r>
          </w:p>
        </w:tc>
        <w:tc>
          <w:tcPr>
            <w:tcW w:w="2835" w:type="dxa"/>
            <w:vAlign w:val="center"/>
          </w:tcPr>
          <w:p w14:paraId="6B7F9BCB">
            <w:pPr>
              <w:pStyle w:val="12"/>
            </w:pPr>
            <w:r>
              <w:t>生均拨款标准</w:t>
            </w:r>
          </w:p>
        </w:tc>
        <w:tc>
          <w:tcPr>
            <w:tcW w:w="5386" w:type="dxa"/>
            <w:vAlign w:val="center"/>
          </w:tcPr>
          <w:p w14:paraId="63C2EF79">
            <w:pPr>
              <w:pStyle w:val="12"/>
            </w:pPr>
            <w:r>
              <w:t>小学生公用经费生均小学720元，取暖费120元/生/年，住宿生补助300元/生/年，随班就读学生补助7000元/生</w:t>
            </w:r>
          </w:p>
        </w:tc>
        <w:tc>
          <w:tcPr>
            <w:tcW w:w="2268" w:type="dxa"/>
            <w:vAlign w:val="center"/>
          </w:tcPr>
          <w:p w14:paraId="03754264">
            <w:pPr>
              <w:pStyle w:val="12"/>
            </w:pPr>
            <w:r>
              <w:t>≥840元</w:t>
            </w:r>
          </w:p>
        </w:tc>
        <w:tc>
          <w:tcPr>
            <w:tcW w:w="1276" w:type="dxa"/>
            <w:vAlign w:val="center"/>
          </w:tcPr>
          <w:p w14:paraId="1231A33F">
            <w:pPr>
              <w:pStyle w:val="12"/>
            </w:pPr>
            <w:r>
              <w:t>城乡义务教育公用经费管理办法</w:t>
            </w:r>
          </w:p>
        </w:tc>
      </w:tr>
      <w:tr w14:paraId="53F2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8AABA">
            <w:pPr>
              <w:pStyle w:val="13"/>
            </w:pPr>
            <w:r>
              <w:t>效益指标</w:t>
            </w:r>
          </w:p>
        </w:tc>
        <w:tc>
          <w:tcPr>
            <w:tcW w:w="2268" w:type="dxa"/>
            <w:vAlign w:val="center"/>
          </w:tcPr>
          <w:p w14:paraId="194ADC00">
            <w:pPr>
              <w:pStyle w:val="12"/>
            </w:pPr>
            <w:r>
              <w:t>社会效益指标</w:t>
            </w:r>
          </w:p>
        </w:tc>
        <w:tc>
          <w:tcPr>
            <w:tcW w:w="2835" w:type="dxa"/>
            <w:vAlign w:val="center"/>
          </w:tcPr>
          <w:p w14:paraId="39147C86">
            <w:pPr>
              <w:pStyle w:val="12"/>
            </w:pPr>
            <w:r>
              <w:t>学校运转得到提高</w:t>
            </w:r>
          </w:p>
        </w:tc>
        <w:tc>
          <w:tcPr>
            <w:tcW w:w="5386" w:type="dxa"/>
            <w:vAlign w:val="center"/>
          </w:tcPr>
          <w:p w14:paraId="09BACEFB">
            <w:pPr>
              <w:pStyle w:val="12"/>
            </w:pPr>
            <w:r>
              <w:t>学生受教育年限</w:t>
            </w:r>
          </w:p>
        </w:tc>
        <w:tc>
          <w:tcPr>
            <w:tcW w:w="2268" w:type="dxa"/>
            <w:vAlign w:val="center"/>
          </w:tcPr>
          <w:p w14:paraId="49C150CC">
            <w:pPr>
              <w:pStyle w:val="12"/>
            </w:pPr>
            <w:r>
              <w:t>6年</w:t>
            </w:r>
          </w:p>
        </w:tc>
        <w:tc>
          <w:tcPr>
            <w:tcW w:w="1276" w:type="dxa"/>
            <w:vAlign w:val="center"/>
          </w:tcPr>
          <w:p w14:paraId="365CD72E">
            <w:pPr>
              <w:pStyle w:val="12"/>
            </w:pPr>
            <w:r>
              <w:t>城乡义务教育公用经费管理办法</w:t>
            </w:r>
          </w:p>
        </w:tc>
      </w:tr>
      <w:tr w14:paraId="5CEF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1550C">
            <w:pPr>
              <w:pStyle w:val="13"/>
            </w:pPr>
            <w:r>
              <w:t>满意度指标</w:t>
            </w:r>
          </w:p>
        </w:tc>
        <w:tc>
          <w:tcPr>
            <w:tcW w:w="2268" w:type="dxa"/>
            <w:vAlign w:val="center"/>
          </w:tcPr>
          <w:p w14:paraId="01BE1432">
            <w:pPr>
              <w:pStyle w:val="12"/>
            </w:pPr>
            <w:r>
              <w:t>服务对象满意度指标</w:t>
            </w:r>
          </w:p>
        </w:tc>
        <w:tc>
          <w:tcPr>
            <w:tcW w:w="2835" w:type="dxa"/>
            <w:vAlign w:val="center"/>
          </w:tcPr>
          <w:p w14:paraId="455A631A">
            <w:pPr>
              <w:pStyle w:val="12"/>
            </w:pPr>
            <w:r>
              <w:t>服务对象满意度</w:t>
            </w:r>
          </w:p>
        </w:tc>
        <w:tc>
          <w:tcPr>
            <w:tcW w:w="5386" w:type="dxa"/>
            <w:vAlign w:val="center"/>
          </w:tcPr>
          <w:p w14:paraId="2C2AC87C">
            <w:pPr>
              <w:pStyle w:val="12"/>
            </w:pPr>
            <w:r>
              <w:t>学校老师和学生满意度</w:t>
            </w:r>
          </w:p>
        </w:tc>
        <w:tc>
          <w:tcPr>
            <w:tcW w:w="2268" w:type="dxa"/>
            <w:vAlign w:val="center"/>
          </w:tcPr>
          <w:p w14:paraId="1C2B53D5">
            <w:pPr>
              <w:pStyle w:val="12"/>
            </w:pPr>
            <w:r>
              <w:t>≥95%</w:t>
            </w:r>
          </w:p>
        </w:tc>
        <w:tc>
          <w:tcPr>
            <w:tcW w:w="1276" w:type="dxa"/>
            <w:vAlign w:val="center"/>
          </w:tcPr>
          <w:p w14:paraId="2460FC1B">
            <w:pPr>
              <w:pStyle w:val="12"/>
            </w:pPr>
            <w:r>
              <w:t>城乡义务教育公用经费管理办法</w:t>
            </w:r>
          </w:p>
        </w:tc>
      </w:tr>
    </w:tbl>
    <w:p w14:paraId="6D15915A">
      <w:pPr>
        <w:sectPr>
          <w:pgSz w:w="16840" w:h="11900" w:orient="landscape"/>
          <w:pgMar w:top="1361" w:right="1020" w:bottom="1134" w:left="1020" w:header="720" w:footer="720" w:gutter="0"/>
          <w:cols w:space="720" w:num="1"/>
        </w:sectPr>
      </w:pPr>
    </w:p>
    <w:p w14:paraId="750B0A8C">
      <w:pPr>
        <w:spacing w:before="0" w:after="0"/>
        <w:ind w:firstLine="560"/>
        <w:jc w:val="left"/>
        <w:outlineLvl w:val="9"/>
      </w:pPr>
      <w:r>
        <w:rPr>
          <w:rFonts w:ascii="方正仿宋_GBK" w:hAnsi="方正仿宋_GBK" w:eastAsia="方正仿宋_GBK" w:cs="方正仿宋_GBK"/>
          <w:b/>
          <w:color w:val="000000"/>
          <w:sz w:val="28"/>
        </w:rPr>
        <w:t>25、县级配套/大张庄校区黄家庄小学公用经费绩效目标表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02A7F">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9CB47">
            <w:pPr>
              <w:pStyle w:val="11"/>
            </w:pPr>
            <w:r>
              <w:t>单位：万元</w:t>
            </w:r>
          </w:p>
        </w:tc>
      </w:tr>
      <w:tr w14:paraId="644A2666">
        <w:tblPrEx>
          <w:tblCellMar>
            <w:top w:w="0" w:type="dxa"/>
            <w:left w:w="108" w:type="dxa"/>
            <w:bottom w:w="0" w:type="dxa"/>
            <w:right w:w="108" w:type="dxa"/>
          </w:tblCellMar>
        </w:tblPrEx>
        <w:trPr>
          <w:trHeight w:val="369" w:hRule="atLeast"/>
          <w:jc w:val="center"/>
        </w:trPr>
        <w:tc>
          <w:tcPr>
            <w:tcW w:w="1276" w:type="dxa"/>
            <w:vAlign w:val="center"/>
          </w:tcPr>
          <w:p w14:paraId="682682A0">
            <w:pPr>
              <w:pStyle w:val="10"/>
            </w:pPr>
            <w:r>
              <w:t>项目编码</w:t>
            </w:r>
          </w:p>
        </w:tc>
        <w:tc>
          <w:tcPr>
            <w:tcW w:w="5103" w:type="dxa"/>
            <w:gridSpan w:val="2"/>
            <w:vAlign w:val="center"/>
          </w:tcPr>
          <w:p w14:paraId="2BE666CD">
            <w:pPr>
              <w:pStyle w:val="12"/>
            </w:pPr>
            <w:r>
              <w:t>13052526P000004104674</w:t>
            </w:r>
          </w:p>
        </w:tc>
        <w:tc>
          <w:tcPr>
            <w:tcW w:w="2835" w:type="dxa"/>
            <w:vAlign w:val="center"/>
          </w:tcPr>
          <w:p w14:paraId="6A76AC69">
            <w:pPr>
              <w:pStyle w:val="10"/>
            </w:pPr>
            <w:r>
              <w:t>项目名称</w:t>
            </w:r>
          </w:p>
        </w:tc>
        <w:tc>
          <w:tcPr>
            <w:tcW w:w="6095" w:type="dxa"/>
            <w:gridSpan w:val="3"/>
            <w:vAlign w:val="center"/>
          </w:tcPr>
          <w:p w14:paraId="4CE8D0A6">
            <w:pPr>
              <w:pStyle w:val="12"/>
            </w:pPr>
            <w:r>
              <w:t>县级配套/大张庄校区黄家庄小学公用经费</w:t>
            </w:r>
          </w:p>
        </w:tc>
      </w:tr>
      <w:tr w14:paraId="4953D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639A5">
            <w:pPr>
              <w:pStyle w:val="10"/>
            </w:pPr>
            <w:r>
              <w:t>预算规模及资金用途</w:t>
            </w:r>
          </w:p>
        </w:tc>
        <w:tc>
          <w:tcPr>
            <w:tcW w:w="2268" w:type="dxa"/>
            <w:vAlign w:val="center"/>
          </w:tcPr>
          <w:p w14:paraId="7E399100">
            <w:pPr>
              <w:pStyle w:val="10"/>
            </w:pPr>
            <w:r>
              <w:t>预算数</w:t>
            </w:r>
          </w:p>
        </w:tc>
        <w:tc>
          <w:tcPr>
            <w:tcW w:w="2835" w:type="dxa"/>
            <w:vAlign w:val="center"/>
          </w:tcPr>
          <w:p w14:paraId="05F6856E">
            <w:pPr>
              <w:pStyle w:val="12"/>
            </w:pPr>
            <w:r>
              <w:t>3.45</w:t>
            </w:r>
          </w:p>
        </w:tc>
        <w:tc>
          <w:tcPr>
            <w:tcW w:w="2835" w:type="dxa"/>
            <w:vAlign w:val="center"/>
          </w:tcPr>
          <w:p w14:paraId="2898A7BD">
            <w:pPr>
              <w:pStyle w:val="10"/>
            </w:pPr>
            <w:r>
              <w:t>其中：财政    资金</w:t>
            </w:r>
          </w:p>
        </w:tc>
        <w:tc>
          <w:tcPr>
            <w:tcW w:w="2551" w:type="dxa"/>
            <w:vAlign w:val="center"/>
          </w:tcPr>
          <w:p w14:paraId="1D68DDE1">
            <w:pPr>
              <w:pStyle w:val="12"/>
            </w:pPr>
            <w:r>
              <w:t>3.45</w:t>
            </w:r>
          </w:p>
        </w:tc>
        <w:tc>
          <w:tcPr>
            <w:tcW w:w="2268" w:type="dxa"/>
            <w:vAlign w:val="center"/>
          </w:tcPr>
          <w:p w14:paraId="633CC96F">
            <w:pPr>
              <w:pStyle w:val="10"/>
            </w:pPr>
            <w:r>
              <w:t>其他资金</w:t>
            </w:r>
          </w:p>
        </w:tc>
        <w:tc>
          <w:tcPr>
            <w:tcW w:w="1276" w:type="dxa"/>
            <w:vAlign w:val="center"/>
          </w:tcPr>
          <w:p w14:paraId="5A7F70E5">
            <w:pPr>
              <w:pStyle w:val="12"/>
            </w:pPr>
            <w:r>
              <w:t xml:space="preserve"> </w:t>
            </w:r>
          </w:p>
        </w:tc>
      </w:tr>
      <w:tr w14:paraId="0D150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E87D9"/>
        </w:tc>
        <w:tc>
          <w:tcPr>
            <w:tcW w:w="14033" w:type="dxa"/>
            <w:gridSpan w:val="6"/>
            <w:vAlign w:val="center"/>
          </w:tcPr>
          <w:p w14:paraId="1086E46B">
            <w:pPr>
              <w:pStyle w:val="12"/>
            </w:pPr>
            <w:r>
              <w:t>为保证学校正常运转和改善办学条件。</w:t>
            </w:r>
          </w:p>
        </w:tc>
      </w:tr>
      <w:tr w14:paraId="3CA9F44F">
        <w:tblPrEx>
          <w:tblCellMar>
            <w:top w:w="0" w:type="dxa"/>
            <w:left w:w="108" w:type="dxa"/>
            <w:bottom w:w="0" w:type="dxa"/>
            <w:right w:w="108" w:type="dxa"/>
          </w:tblCellMar>
        </w:tblPrEx>
        <w:trPr>
          <w:trHeight w:val="369" w:hRule="atLeast"/>
          <w:jc w:val="center"/>
        </w:trPr>
        <w:tc>
          <w:tcPr>
            <w:tcW w:w="1276" w:type="dxa"/>
            <w:vMerge w:val="restart"/>
            <w:vAlign w:val="center"/>
          </w:tcPr>
          <w:p w14:paraId="188B0E57">
            <w:pPr>
              <w:pStyle w:val="10"/>
            </w:pPr>
            <w:r>
              <w:t>资金支出计划（%）</w:t>
            </w:r>
          </w:p>
        </w:tc>
        <w:tc>
          <w:tcPr>
            <w:tcW w:w="5103" w:type="dxa"/>
            <w:gridSpan w:val="2"/>
            <w:vAlign w:val="center"/>
          </w:tcPr>
          <w:p w14:paraId="7F53A09D">
            <w:pPr>
              <w:pStyle w:val="10"/>
            </w:pPr>
            <w:r>
              <w:t>3月底</w:t>
            </w:r>
          </w:p>
        </w:tc>
        <w:tc>
          <w:tcPr>
            <w:tcW w:w="2835" w:type="dxa"/>
            <w:vAlign w:val="center"/>
          </w:tcPr>
          <w:p w14:paraId="6EB57357">
            <w:pPr>
              <w:pStyle w:val="10"/>
            </w:pPr>
            <w:r>
              <w:t>6月底</w:t>
            </w:r>
          </w:p>
        </w:tc>
        <w:tc>
          <w:tcPr>
            <w:tcW w:w="2551" w:type="dxa"/>
            <w:vAlign w:val="center"/>
          </w:tcPr>
          <w:p w14:paraId="79F25716">
            <w:pPr>
              <w:pStyle w:val="10"/>
            </w:pPr>
            <w:r>
              <w:t>10月底</w:t>
            </w:r>
          </w:p>
        </w:tc>
        <w:tc>
          <w:tcPr>
            <w:tcW w:w="3544" w:type="dxa"/>
            <w:gridSpan w:val="2"/>
            <w:vAlign w:val="center"/>
          </w:tcPr>
          <w:p w14:paraId="6DE469AD">
            <w:pPr>
              <w:pStyle w:val="10"/>
            </w:pPr>
            <w:r>
              <w:t>12月底</w:t>
            </w:r>
          </w:p>
        </w:tc>
      </w:tr>
      <w:tr w14:paraId="417BED8D">
        <w:tblPrEx>
          <w:tblCellMar>
            <w:top w:w="0" w:type="dxa"/>
            <w:left w:w="108" w:type="dxa"/>
            <w:bottom w:w="0" w:type="dxa"/>
            <w:right w:w="108" w:type="dxa"/>
          </w:tblCellMar>
        </w:tblPrEx>
        <w:trPr>
          <w:trHeight w:val="369" w:hRule="atLeast"/>
          <w:jc w:val="center"/>
        </w:trPr>
        <w:tc>
          <w:tcPr>
            <w:tcW w:w="1276" w:type="dxa"/>
            <w:vMerge w:val="continue"/>
          </w:tcPr>
          <w:p w14:paraId="498F1447"/>
        </w:tc>
        <w:tc>
          <w:tcPr>
            <w:tcW w:w="5103" w:type="dxa"/>
            <w:gridSpan w:val="2"/>
            <w:vAlign w:val="center"/>
          </w:tcPr>
          <w:p w14:paraId="7E3E421C">
            <w:pPr>
              <w:pStyle w:val="13"/>
            </w:pPr>
            <w:r>
              <w:t>25%</w:t>
            </w:r>
          </w:p>
        </w:tc>
        <w:tc>
          <w:tcPr>
            <w:tcW w:w="2835" w:type="dxa"/>
            <w:vAlign w:val="center"/>
          </w:tcPr>
          <w:p w14:paraId="176104DA">
            <w:pPr>
              <w:pStyle w:val="13"/>
            </w:pPr>
            <w:r>
              <w:t>50%</w:t>
            </w:r>
          </w:p>
        </w:tc>
        <w:tc>
          <w:tcPr>
            <w:tcW w:w="2551" w:type="dxa"/>
            <w:vAlign w:val="center"/>
          </w:tcPr>
          <w:p w14:paraId="2DF8314C">
            <w:pPr>
              <w:pStyle w:val="13"/>
            </w:pPr>
            <w:r>
              <w:t>75%</w:t>
            </w:r>
          </w:p>
        </w:tc>
        <w:tc>
          <w:tcPr>
            <w:tcW w:w="3544" w:type="dxa"/>
            <w:gridSpan w:val="2"/>
            <w:vAlign w:val="center"/>
          </w:tcPr>
          <w:p w14:paraId="10926C68">
            <w:pPr>
              <w:pStyle w:val="13"/>
            </w:pPr>
            <w:r>
              <w:t>100%</w:t>
            </w:r>
          </w:p>
        </w:tc>
      </w:tr>
      <w:tr w14:paraId="065CE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F9D11">
            <w:pPr>
              <w:pStyle w:val="10"/>
            </w:pPr>
            <w:r>
              <w:t>绩效目标</w:t>
            </w:r>
          </w:p>
        </w:tc>
        <w:tc>
          <w:tcPr>
            <w:tcW w:w="14033" w:type="dxa"/>
            <w:gridSpan w:val="6"/>
            <w:vAlign w:val="center"/>
          </w:tcPr>
          <w:p w14:paraId="72C99B05">
            <w:pPr>
              <w:pStyle w:val="12"/>
            </w:pPr>
            <w:r>
              <w:t>1.按拨款序时进度完成经费拨付和支出。</w:t>
            </w:r>
          </w:p>
          <w:p w14:paraId="5BA5D096">
            <w:pPr>
              <w:pStyle w:val="12"/>
            </w:pPr>
            <w:r>
              <w:t>2.为保证学校正常运转和改善办学条件。</w:t>
            </w:r>
          </w:p>
        </w:tc>
      </w:tr>
    </w:tbl>
    <w:p w14:paraId="6A0B0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1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586EE">
            <w:pPr>
              <w:pStyle w:val="10"/>
            </w:pPr>
            <w:r>
              <w:t>一级指标</w:t>
            </w:r>
          </w:p>
        </w:tc>
        <w:tc>
          <w:tcPr>
            <w:tcW w:w="2268" w:type="dxa"/>
            <w:vAlign w:val="center"/>
          </w:tcPr>
          <w:p w14:paraId="57A35279">
            <w:pPr>
              <w:pStyle w:val="10"/>
            </w:pPr>
            <w:r>
              <w:t>二级指标</w:t>
            </w:r>
          </w:p>
        </w:tc>
        <w:tc>
          <w:tcPr>
            <w:tcW w:w="2835" w:type="dxa"/>
            <w:vAlign w:val="center"/>
          </w:tcPr>
          <w:p w14:paraId="40449E22">
            <w:pPr>
              <w:pStyle w:val="10"/>
            </w:pPr>
            <w:r>
              <w:t>三级指标</w:t>
            </w:r>
          </w:p>
        </w:tc>
        <w:tc>
          <w:tcPr>
            <w:tcW w:w="5386" w:type="dxa"/>
            <w:vAlign w:val="center"/>
          </w:tcPr>
          <w:p w14:paraId="7B4638F1">
            <w:pPr>
              <w:pStyle w:val="10"/>
            </w:pPr>
            <w:r>
              <w:t>绩效指标描述</w:t>
            </w:r>
          </w:p>
        </w:tc>
        <w:tc>
          <w:tcPr>
            <w:tcW w:w="2268" w:type="dxa"/>
            <w:vAlign w:val="center"/>
          </w:tcPr>
          <w:p w14:paraId="0482EA54">
            <w:pPr>
              <w:pStyle w:val="10"/>
            </w:pPr>
            <w:r>
              <w:t>指标值</w:t>
            </w:r>
          </w:p>
        </w:tc>
        <w:tc>
          <w:tcPr>
            <w:tcW w:w="1276" w:type="dxa"/>
            <w:vAlign w:val="center"/>
          </w:tcPr>
          <w:p w14:paraId="6EB670D8">
            <w:pPr>
              <w:pStyle w:val="10"/>
            </w:pPr>
            <w:r>
              <w:t>指标值确定依据</w:t>
            </w:r>
          </w:p>
        </w:tc>
      </w:tr>
      <w:tr w14:paraId="21B2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6830F">
            <w:pPr>
              <w:pStyle w:val="13"/>
            </w:pPr>
            <w:r>
              <w:t>产出指标</w:t>
            </w:r>
          </w:p>
        </w:tc>
        <w:tc>
          <w:tcPr>
            <w:tcW w:w="2268" w:type="dxa"/>
            <w:vAlign w:val="center"/>
          </w:tcPr>
          <w:p w14:paraId="3AFED6B0">
            <w:pPr>
              <w:pStyle w:val="12"/>
            </w:pPr>
            <w:r>
              <w:t>数量指标</w:t>
            </w:r>
          </w:p>
        </w:tc>
        <w:tc>
          <w:tcPr>
            <w:tcW w:w="2835" w:type="dxa"/>
            <w:vAlign w:val="center"/>
          </w:tcPr>
          <w:p w14:paraId="1BF4AC24">
            <w:pPr>
              <w:pStyle w:val="12"/>
            </w:pPr>
            <w:r>
              <w:t>就读学生数</w:t>
            </w:r>
          </w:p>
        </w:tc>
        <w:tc>
          <w:tcPr>
            <w:tcW w:w="5386" w:type="dxa"/>
            <w:vAlign w:val="center"/>
          </w:tcPr>
          <w:p w14:paraId="28CA22CA">
            <w:pPr>
              <w:pStyle w:val="12"/>
            </w:pPr>
            <w:r>
              <w:t>辐射区域内适龄学生人数</w:t>
            </w:r>
          </w:p>
        </w:tc>
        <w:tc>
          <w:tcPr>
            <w:tcW w:w="2268" w:type="dxa"/>
            <w:vAlign w:val="center"/>
          </w:tcPr>
          <w:p w14:paraId="159FCFD0">
            <w:pPr>
              <w:pStyle w:val="12"/>
            </w:pPr>
            <w:r>
              <w:t>187人</w:t>
            </w:r>
          </w:p>
        </w:tc>
        <w:tc>
          <w:tcPr>
            <w:tcW w:w="1276" w:type="dxa"/>
            <w:vAlign w:val="center"/>
          </w:tcPr>
          <w:p w14:paraId="76B46484">
            <w:pPr>
              <w:pStyle w:val="12"/>
            </w:pPr>
            <w:r>
              <w:t>城乡义务教育公用经费管理办法</w:t>
            </w:r>
          </w:p>
        </w:tc>
      </w:tr>
      <w:tr w14:paraId="7036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63349"/>
        </w:tc>
        <w:tc>
          <w:tcPr>
            <w:tcW w:w="2268" w:type="dxa"/>
            <w:vAlign w:val="center"/>
          </w:tcPr>
          <w:p w14:paraId="328FA3B7">
            <w:pPr>
              <w:pStyle w:val="12"/>
            </w:pPr>
            <w:r>
              <w:t>质量指标</w:t>
            </w:r>
          </w:p>
        </w:tc>
        <w:tc>
          <w:tcPr>
            <w:tcW w:w="2835" w:type="dxa"/>
            <w:vAlign w:val="center"/>
          </w:tcPr>
          <w:p w14:paraId="3520DE8C">
            <w:pPr>
              <w:pStyle w:val="12"/>
            </w:pPr>
            <w:r>
              <w:t>预算执行率</w:t>
            </w:r>
          </w:p>
        </w:tc>
        <w:tc>
          <w:tcPr>
            <w:tcW w:w="5386" w:type="dxa"/>
            <w:vAlign w:val="center"/>
          </w:tcPr>
          <w:p w14:paraId="08D13C7F">
            <w:pPr>
              <w:pStyle w:val="12"/>
            </w:pPr>
            <w:r>
              <w:t>预算执行率≥98%</w:t>
            </w:r>
          </w:p>
        </w:tc>
        <w:tc>
          <w:tcPr>
            <w:tcW w:w="2268" w:type="dxa"/>
            <w:vAlign w:val="center"/>
          </w:tcPr>
          <w:p w14:paraId="75EAFB52">
            <w:pPr>
              <w:pStyle w:val="12"/>
            </w:pPr>
            <w:r>
              <w:t>≥98%</w:t>
            </w:r>
          </w:p>
        </w:tc>
        <w:tc>
          <w:tcPr>
            <w:tcW w:w="1276" w:type="dxa"/>
            <w:vAlign w:val="center"/>
          </w:tcPr>
          <w:p w14:paraId="7BF5F359">
            <w:pPr>
              <w:pStyle w:val="12"/>
            </w:pPr>
            <w:r>
              <w:t>城乡义务教育公用经费管理办法</w:t>
            </w:r>
          </w:p>
        </w:tc>
      </w:tr>
      <w:tr w14:paraId="3A65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F3CBF"/>
        </w:tc>
        <w:tc>
          <w:tcPr>
            <w:tcW w:w="2268" w:type="dxa"/>
            <w:vAlign w:val="center"/>
          </w:tcPr>
          <w:p w14:paraId="027E1DAB">
            <w:pPr>
              <w:pStyle w:val="12"/>
            </w:pPr>
            <w:r>
              <w:t>时效指标</w:t>
            </w:r>
          </w:p>
        </w:tc>
        <w:tc>
          <w:tcPr>
            <w:tcW w:w="2835" w:type="dxa"/>
            <w:vAlign w:val="center"/>
          </w:tcPr>
          <w:p w14:paraId="163A4385">
            <w:pPr>
              <w:pStyle w:val="12"/>
            </w:pPr>
            <w:r>
              <w:t>义教经费支付完成率</w:t>
            </w:r>
          </w:p>
        </w:tc>
        <w:tc>
          <w:tcPr>
            <w:tcW w:w="5386" w:type="dxa"/>
            <w:vAlign w:val="center"/>
          </w:tcPr>
          <w:p w14:paraId="2CF8E2B4">
            <w:pPr>
              <w:pStyle w:val="12"/>
            </w:pPr>
            <w:r>
              <w:t>按照序时进度完成资金支付</w:t>
            </w:r>
          </w:p>
        </w:tc>
        <w:tc>
          <w:tcPr>
            <w:tcW w:w="2268" w:type="dxa"/>
            <w:vAlign w:val="center"/>
          </w:tcPr>
          <w:p w14:paraId="10879FE3">
            <w:pPr>
              <w:pStyle w:val="12"/>
            </w:pPr>
            <w:r>
              <w:t>≥98%</w:t>
            </w:r>
          </w:p>
        </w:tc>
        <w:tc>
          <w:tcPr>
            <w:tcW w:w="1276" w:type="dxa"/>
            <w:vAlign w:val="center"/>
          </w:tcPr>
          <w:p w14:paraId="252CB12F">
            <w:pPr>
              <w:pStyle w:val="12"/>
            </w:pPr>
            <w:r>
              <w:t>城乡义务教育公用经费管理办法</w:t>
            </w:r>
          </w:p>
        </w:tc>
      </w:tr>
      <w:tr w14:paraId="1609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BB5E4"/>
        </w:tc>
        <w:tc>
          <w:tcPr>
            <w:tcW w:w="2268" w:type="dxa"/>
            <w:vAlign w:val="center"/>
          </w:tcPr>
          <w:p w14:paraId="1D41FCC0">
            <w:pPr>
              <w:pStyle w:val="12"/>
            </w:pPr>
            <w:r>
              <w:t>成本指标</w:t>
            </w:r>
          </w:p>
        </w:tc>
        <w:tc>
          <w:tcPr>
            <w:tcW w:w="2835" w:type="dxa"/>
            <w:vAlign w:val="center"/>
          </w:tcPr>
          <w:p w14:paraId="1C2A046F">
            <w:pPr>
              <w:pStyle w:val="12"/>
            </w:pPr>
            <w:r>
              <w:t>生均拨款标准</w:t>
            </w:r>
          </w:p>
        </w:tc>
        <w:tc>
          <w:tcPr>
            <w:tcW w:w="5386" w:type="dxa"/>
            <w:vAlign w:val="center"/>
          </w:tcPr>
          <w:p w14:paraId="1F67AEB4">
            <w:pPr>
              <w:pStyle w:val="12"/>
            </w:pPr>
            <w:r>
              <w:t>小学生公用经费生均小学720元，取暖费120元/生/年，住宿生补助300元/生/年，随班就读学生补助7000元/生</w:t>
            </w:r>
          </w:p>
        </w:tc>
        <w:tc>
          <w:tcPr>
            <w:tcW w:w="2268" w:type="dxa"/>
            <w:vAlign w:val="center"/>
          </w:tcPr>
          <w:p w14:paraId="3E678766">
            <w:pPr>
              <w:pStyle w:val="12"/>
            </w:pPr>
            <w:r>
              <w:t>≥840元</w:t>
            </w:r>
          </w:p>
        </w:tc>
        <w:tc>
          <w:tcPr>
            <w:tcW w:w="1276" w:type="dxa"/>
            <w:vAlign w:val="center"/>
          </w:tcPr>
          <w:p w14:paraId="59F468CC">
            <w:pPr>
              <w:pStyle w:val="12"/>
            </w:pPr>
            <w:r>
              <w:t>城乡义务教育公用经费管理办法</w:t>
            </w:r>
          </w:p>
        </w:tc>
      </w:tr>
      <w:tr w14:paraId="16F2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9ED6C">
            <w:pPr>
              <w:pStyle w:val="13"/>
            </w:pPr>
            <w:r>
              <w:t>效益指标</w:t>
            </w:r>
          </w:p>
        </w:tc>
        <w:tc>
          <w:tcPr>
            <w:tcW w:w="2268" w:type="dxa"/>
            <w:vAlign w:val="center"/>
          </w:tcPr>
          <w:p w14:paraId="79B37715">
            <w:pPr>
              <w:pStyle w:val="12"/>
            </w:pPr>
            <w:r>
              <w:t>社会效益指标</w:t>
            </w:r>
          </w:p>
        </w:tc>
        <w:tc>
          <w:tcPr>
            <w:tcW w:w="2835" w:type="dxa"/>
            <w:vAlign w:val="center"/>
          </w:tcPr>
          <w:p w14:paraId="704C27E0">
            <w:pPr>
              <w:pStyle w:val="12"/>
            </w:pPr>
            <w:r>
              <w:t>学校运转得到提高</w:t>
            </w:r>
          </w:p>
        </w:tc>
        <w:tc>
          <w:tcPr>
            <w:tcW w:w="5386" w:type="dxa"/>
            <w:vAlign w:val="center"/>
          </w:tcPr>
          <w:p w14:paraId="047AED15">
            <w:pPr>
              <w:pStyle w:val="12"/>
            </w:pPr>
            <w:r>
              <w:t>学生受教育年限</w:t>
            </w:r>
          </w:p>
        </w:tc>
        <w:tc>
          <w:tcPr>
            <w:tcW w:w="2268" w:type="dxa"/>
            <w:vAlign w:val="center"/>
          </w:tcPr>
          <w:p w14:paraId="30E27CEB">
            <w:pPr>
              <w:pStyle w:val="12"/>
            </w:pPr>
            <w:r>
              <w:t>6年</w:t>
            </w:r>
          </w:p>
        </w:tc>
        <w:tc>
          <w:tcPr>
            <w:tcW w:w="1276" w:type="dxa"/>
            <w:vAlign w:val="center"/>
          </w:tcPr>
          <w:p w14:paraId="65971DF1">
            <w:pPr>
              <w:pStyle w:val="12"/>
            </w:pPr>
            <w:r>
              <w:t>城乡义务教育公用经费管理办法</w:t>
            </w:r>
          </w:p>
        </w:tc>
      </w:tr>
      <w:tr w14:paraId="7375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924FB">
            <w:pPr>
              <w:pStyle w:val="13"/>
            </w:pPr>
            <w:r>
              <w:t>满意度指标</w:t>
            </w:r>
          </w:p>
        </w:tc>
        <w:tc>
          <w:tcPr>
            <w:tcW w:w="2268" w:type="dxa"/>
            <w:vAlign w:val="center"/>
          </w:tcPr>
          <w:p w14:paraId="5EF49CA2">
            <w:pPr>
              <w:pStyle w:val="12"/>
            </w:pPr>
            <w:r>
              <w:t>服务对象满意度指标</w:t>
            </w:r>
          </w:p>
        </w:tc>
        <w:tc>
          <w:tcPr>
            <w:tcW w:w="2835" w:type="dxa"/>
            <w:vAlign w:val="center"/>
          </w:tcPr>
          <w:p w14:paraId="214D84B8">
            <w:pPr>
              <w:pStyle w:val="12"/>
            </w:pPr>
            <w:r>
              <w:t>服务对象满意度</w:t>
            </w:r>
          </w:p>
        </w:tc>
        <w:tc>
          <w:tcPr>
            <w:tcW w:w="5386" w:type="dxa"/>
            <w:vAlign w:val="center"/>
          </w:tcPr>
          <w:p w14:paraId="1401114A">
            <w:pPr>
              <w:pStyle w:val="12"/>
            </w:pPr>
            <w:r>
              <w:t>学校老师和学生满意度</w:t>
            </w:r>
          </w:p>
        </w:tc>
        <w:tc>
          <w:tcPr>
            <w:tcW w:w="2268" w:type="dxa"/>
            <w:vAlign w:val="center"/>
          </w:tcPr>
          <w:p w14:paraId="363F33A4">
            <w:pPr>
              <w:pStyle w:val="12"/>
            </w:pPr>
            <w:r>
              <w:t>≥95%</w:t>
            </w:r>
          </w:p>
        </w:tc>
        <w:tc>
          <w:tcPr>
            <w:tcW w:w="1276" w:type="dxa"/>
            <w:vAlign w:val="center"/>
          </w:tcPr>
          <w:p w14:paraId="495C119F">
            <w:pPr>
              <w:pStyle w:val="12"/>
            </w:pPr>
            <w:r>
              <w:t>城乡义务教育公用经费管理办法</w:t>
            </w:r>
          </w:p>
        </w:tc>
      </w:tr>
    </w:tbl>
    <w:p w14:paraId="7DA28C8E">
      <w:pPr>
        <w:sectPr>
          <w:pgSz w:w="16840" w:h="11900" w:orient="landscape"/>
          <w:pgMar w:top="1361" w:right="1020" w:bottom="1134" w:left="1020" w:header="720" w:footer="720" w:gutter="0"/>
          <w:cols w:space="720" w:num="1"/>
        </w:sectPr>
      </w:pPr>
    </w:p>
    <w:p w14:paraId="3A78DC7C">
      <w:pPr>
        <w:spacing w:before="0" w:after="0"/>
        <w:ind w:firstLine="560"/>
        <w:jc w:val="left"/>
        <w:outlineLvl w:val="9"/>
      </w:pPr>
      <w:r>
        <w:rPr>
          <w:rFonts w:ascii="方正仿宋_GBK" w:hAnsi="方正仿宋_GBK" w:eastAsia="方正仿宋_GBK" w:cs="方正仿宋_GBK"/>
          <w:b/>
          <w:color w:val="000000"/>
          <w:sz w:val="28"/>
        </w:rPr>
        <w:t>26、县级配套/大张庄校区刘通庄小学公用经费绩效目标表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9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AA297">
            <w:pPr>
              <w:pStyle w:val="11"/>
            </w:pPr>
            <w:r>
              <w:t>单位：万元</w:t>
            </w:r>
          </w:p>
        </w:tc>
      </w:tr>
      <w:tr w14:paraId="604E2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7BC8E">
            <w:pPr>
              <w:pStyle w:val="10"/>
            </w:pPr>
            <w:r>
              <w:t>项目编码</w:t>
            </w:r>
          </w:p>
        </w:tc>
        <w:tc>
          <w:tcPr>
            <w:tcW w:w="5103" w:type="dxa"/>
            <w:gridSpan w:val="2"/>
            <w:vAlign w:val="center"/>
          </w:tcPr>
          <w:p w14:paraId="3CF87765">
            <w:pPr>
              <w:pStyle w:val="12"/>
            </w:pPr>
            <w:r>
              <w:t>13052526P000004104649</w:t>
            </w:r>
          </w:p>
        </w:tc>
        <w:tc>
          <w:tcPr>
            <w:tcW w:w="2835" w:type="dxa"/>
            <w:vAlign w:val="center"/>
          </w:tcPr>
          <w:p w14:paraId="0DF59F18">
            <w:pPr>
              <w:pStyle w:val="10"/>
            </w:pPr>
            <w:r>
              <w:t>项目名称</w:t>
            </w:r>
          </w:p>
        </w:tc>
        <w:tc>
          <w:tcPr>
            <w:tcW w:w="6095" w:type="dxa"/>
            <w:gridSpan w:val="3"/>
            <w:vAlign w:val="center"/>
          </w:tcPr>
          <w:p w14:paraId="5AB1242A">
            <w:pPr>
              <w:pStyle w:val="12"/>
            </w:pPr>
            <w:r>
              <w:t>县级配套/大张庄校区刘通庄小学公用经费</w:t>
            </w:r>
          </w:p>
        </w:tc>
      </w:tr>
      <w:tr w14:paraId="10766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93843">
            <w:pPr>
              <w:pStyle w:val="10"/>
            </w:pPr>
            <w:r>
              <w:t>预算规模及资金用途</w:t>
            </w:r>
          </w:p>
        </w:tc>
        <w:tc>
          <w:tcPr>
            <w:tcW w:w="2268" w:type="dxa"/>
            <w:vAlign w:val="center"/>
          </w:tcPr>
          <w:p w14:paraId="6C43FC02">
            <w:pPr>
              <w:pStyle w:val="10"/>
            </w:pPr>
            <w:r>
              <w:t>预算数</w:t>
            </w:r>
          </w:p>
        </w:tc>
        <w:tc>
          <w:tcPr>
            <w:tcW w:w="2835" w:type="dxa"/>
            <w:vAlign w:val="center"/>
          </w:tcPr>
          <w:p w14:paraId="1ADF10D3">
            <w:pPr>
              <w:pStyle w:val="12"/>
            </w:pPr>
            <w:r>
              <w:t>2.32</w:t>
            </w:r>
          </w:p>
        </w:tc>
        <w:tc>
          <w:tcPr>
            <w:tcW w:w="2835" w:type="dxa"/>
            <w:vAlign w:val="center"/>
          </w:tcPr>
          <w:p w14:paraId="6064AC74">
            <w:pPr>
              <w:pStyle w:val="10"/>
            </w:pPr>
            <w:r>
              <w:t>其中：财政    资金</w:t>
            </w:r>
          </w:p>
        </w:tc>
        <w:tc>
          <w:tcPr>
            <w:tcW w:w="2551" w:type="dxa"/>
            <w:vAlign w:val="center"/>
          </w:tcPr>
          <w:p w14:paraId="690FB117">
            <w:pPr>
              <w:pStyle w:val="12"/>
            </w:pPr>
            <w:r>
              <w:t>2.32</w:t>
            </w:r>
          </w:p>
        </w:tc>
        <w:tc>
          <w:tcPr>
            <w:tcW w:w="2268" w:type="dxa"/>
            <w:vAlign w:val="center"/>
          </w:tcPr>
          <w:p w14:paraId="747F6A6F">
            <w:pPr>
              <w:pStyle w:val="10"/>
            </w:pPr>
            <w:r>
              <w:t>其他资金</w:t>
            </w:r>
          </w:p>
        </w:tc>
        <w:tc>
          <w:tcPr>
            <w:tcW w:w="1276" w:type="dxa"/>
            <w:vAlign w:val="center"/>
          </w:tcPr>
          <w:p w14:paraId="41399233">
            <w:pPr>
              <w:pStyle w:val="12"/>
            </w:pPr>
            <w:r>
              <w:t xml:space="preserve"> </w:t>
            </w:r>
          </w:p>
        </w:tc>
      </w:tr>
      <w:tr w14:paraId="34192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E73CD"/>
        </w:tc>
        <w:tc>
          <w:tcPr>
            <w:tcW w:w="14033" w:type="dxa"/>
            <w:gridSpan w:val="6"/>
            <w:vAlign w:val="center"/>
          </w:tcPr>
          <w:p w14:paraId="06176C13">
            <w:pPr>
              <w:pStyle w:val="12"/>
            </w:pPr>
            <w:r>
              <w:t>为保证学校正常运转和改善办学条件。</w:t>
            </w:r>
          </w:p>
        </w:tc>
      </w:tr>
      <w:tr w14:paraId="6AE0A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A437B">
            <w:pPr>
              <w:pStyle w:val="10"/>
            </w:pPr>
            <w:r>
              <w:t>资金支出计划（%）</w:t>
            </w:r>
          </w:p>
        </w:tc>
        <w:tc>
          <w:tcPr>
            <w:tcW w:w="5103" w:type="dxa"/>
            <w:gridSpan w:val="2"/>
            <w:vAlign w:val="center"/>
          </w:tcPr>
          <w:p w14:paraId="4B8EF779">
            <w:pPr>
              <w:pStyle w:val="10"/>
            </w:pPr>
            <w:r>
              <w:t>3月底</w:t>
            </w:r>
          </w:p>
        </w:tc>
        <w:tc>
          <w:tcPr>
            <w:tcW w:w="2835" w:type="dxa"/>
            <w:vAlign w:val="center"/>
          </w:tcPr>
          <w:p w14:paraId="6A29E604">
            <w:pPr>
              <w:pStyle w:val="10"/>
            </w:pPr>
            <w:r>
              <w:t>6月底</w:t>
            </w:r>
          </w:p>
        </w:tc>
        <w:tc>
          <w:tcPr>
            <w:tcW w:w="2551" w:type="dxa"/>
            <w:vAlign w:val="center"/>
          </w:tcPr>
          <w:p w14:paraId="1EA96DC2">
            <w:pPr>
              <w:pStyle w:val="10"/>
            </w:pPr>
            <w:r>
              <w:t>10月底</w:t>
            </w:r>
          </w:p>
        </w:tc>
        <w:tc>
          <w:tcPr>
            <w:tcW w:w="3544" w:type="dxa"/>
            <w:gridSpan w:val="2"/>
            <w:vAlign w:val="center"/>
          </w:tcPr>
          <w:p w14:paraId="1388385A">
            <w:pPr>
              <w:pStyle w:val="10"/>
            </w:pPr>
            <w:r>
              <w:t>12月底</w:t>
            </w:r>
          </w:p>
        </w:tc>
      </w:tr>
      <w:tr w14:paraId="19981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24F69"/>
        </w:tc>
        <w:tc>
          <w:tcPr>
            <w:tcW w:w="5103" w:type="dxa"/>
            <w:gridSpan w:val="2"/>
            <w:vAlign w:val="center"/>
          </w:tcPr>
          <w:p w14:paraId="67E0A9E3">
            <w:pPr>
              <w:pStyle w:val="13"/>
            </w:pPr>
            <w:r>
              <w:t>25%</w:t>
            </w:r>
          </w:p>
        </w:tc>
        <w:tc>
          <w:tcPr>
            <w:tcW w:w="2835" w:type="dxa"/>
            <w:vAlign w:val="center"/>
          </w:tcPr>
          <w:p w14:paraId="58A12B89">
            <w:pPr>
              <w:pStyle w:val="13"/>
            </w:pPr>
            <w:r>
              <w:t>50%</w:t>
            </w:r>
          </w:p>
        </w:tc>
        <w:tc>
          <w:tcPr>
            <w:tcW w:w="2551" w:type="dxa"/>
            <w:vAlign w:val="center"/>
          </w:tcPr>
          <w:p w14:paraId="058952F2">
            <w:pPr>
              <w:pStyle w:val="13"/>
            </w:pPr>
            <w:r>
              <w:t>75%</w:t>
            </w:r>
          </w:p>
        </w:tc>
        <w:tc>
          <w:tcPr>
            <w:tcW w:w="3544" w:type="dxa"/>
            <w:gridSpan w:val="2"/>
            <w:vAlign w:val="center"/>
          </w:tcPr>
          <w:p w14:paraId="0686D17C">
            <w:pPr>
              <w:pStyle w:val="13"/>
            </w:pPr>
            <w:r>
              <w:t>100%</w:t>
            </w:r>
          </w:p>
        </w:tc>
      </w:tr>
      <w:tr w14:paraId="6C2A9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F63F4">
            <w:pPr>
              <w:pStyle w:val="10"/>
            </w:pPr>
            <w:r>
              <w:t>绩效目标</w:t>
            </w:r>
          </w:p>
        </w:tc>
        <w:tc>
          <w:tcPr>
            <w:tcW w:w="14033" w:type="dxa"/>
            <w:gridSpan w:val="6"/>
            <w:vAlign w:val="center"/>
          </w:tcPr>
          <w:p w14:paraId="7D6EBCE8">
            <w:pPr>
              <w:pStyle w:val="12"/>
            </w:pPr>
            <w:r>
              <w:t>1.按拨款序时进度完成经费拨付和支出。</w:t>
            </w:r>
          </w:p>
          <w:p w14:paraId="528DEF42">
            <w:pPr>
              <w:pStyle w:val="12"/>
            </w:pPr>
            <w:r>
              <w:t>2.为保证学校正常运转和改善办学条件。</w:t>
            </w:r>
          </w:p>
        </w:tc>
      </w:tr>
    </w:tbl>
    <w:p w14:paraId="0AFD5C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6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5B23A">
            <w:pPr>
              <w:pStyle w:val="10"/>
            </w:pPr>
            <w:r>
              <w:t>一级指标</w:t>
            </w:r>
          </w:p>
        </w:tc>
        <w:tc>
          <w:tcPr>
            <w:tcW w:w="2268" w:type="dxa"/>
            <w:vAlign w:val="center"/>
          </w:tcPr>
          <w:p w14:paraId="2F8B9A26">
            <w:pPr>
              <w:pStyle w:val="10"/>
            </w:pPr>
            <w:r>
              <w:t>二级指标</w:t>
            </w:r>
          </w:p>
        </w:tc>
        <w:tc>
          <w:tcPr>
            <w:tcW w:w="2835" w:type="dxa"/>
            <w:vAlign w:val="center"/>
          </w:tcPr>
          <w:p w14:paraId="66A58737">
            <w:pPr>
              <w:pStyle w:val="10"/>
            </w:pPr>
            <w:r>
              <w:t>三级指标</w:t>
            </w:r>
          </w:p>
        </w:tc>
        <w:tc>
          <w:tcPr>
            <w:tcW w:w="5386" w:type="dxa"/>
            <w:vAlign w:val="center"/>
          </w:tcPr>
          <w:p w14:paraId="3678472A">
            <w:pPr>
              <w:pStyle w:val="10"/>
            </w:pPr>
            <w:r>
              <w:t>绩效指标描述</w:t>
            </w:r>
          </w:p>
        </w:tc>
        <w:tc>
          <w:tcPr>
            <w:tcW w:w="2268" w:type="dxa"/>
            <w:vAlign w:val="center"/>
          </w:tcPr>
          <w:p w14:paraId="4FD3C3C9">
            <w:pPr>
              <w:pStyle w:val="10"/>
            </w:pPr>
            <w:r>
              <w:t>指标值</w:t>
            </w:r>
          </w:p>
        </w:tc>
        <w:tc>
          <w:tcPr>
            <w:tcW w:w="1276" w:type="dxa"/>
            <w:vAlign w:val="center"/>
          </w:tcPr>
          <w:p w14:paraId="4EA6E455">
            <w:pPr>
              <w:pStyle w:val="10"/>
            </w:pPr>
            <w:r>
              <w:t>指标值确定依据</w:t>
            </w:r>
          </w:p>
        </w:tc>
      </w:tr>
      <w:tr w14:paraId="2017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CAAEE">
            <w:pPr>
              <w:pStyle w:val="13"/>
            </w:pPr>
            <w:r>
              <w:t>产出指标</w:t>
            </w:r>
          </w:p>
        </w:tc>
        <w:tc>
          <w:tcPr>
            <w:tcW w:w="2268" w:type="dxa"/>
            <w:vAlign w:val="center"/>
          </w:tcPr>
          <w:p w14:paraId="0C92C9E3">
            <w:pPr>
              <w:pStyle w:val="12"/>
            </w:pPr>
            <w:r>
              <w:t>数量指标</w:t>
            </w:r>
          </w:p>
        </w:tc>
        <w:tc>
          <w:tcPr>
            <w:tcW w:w="2835" w:type="dxa"/>
            <w:vAlign w:val="center"/>
          </w:tcPr>
          <w:p w14:paraId="73E45B3A">
            <w:pPr>
              <w:pStyle w:val="12"/>
            </w:pPr>
            <w:r>
              <w:t>就读学生数</w:t>
            </w:r>
          </w:p>
        </w:tc>
        <w:tc>
          <w:tcPr>
            <w:tcW w:w="5386" w:type="dxa"/>
            <w:vAlign w:val="center"/>
          </w:tcPr>
          <w:p w14:paraId="0EC20F35">
            <w:pPr>
              <w:pStyle w:val="12"/>
            </w:pPr>
            <w:r>
              <w:t>辐射区域内适龄学生人数</w:t>
            </w:r>
          </w:p>
        </w:tc>
        <w:tc>
          <w:tcPr>
            <w:tcW w:w="2268" w:type="dxa"/>
            <w:vAlign w:val="center"/>
          </w:tcPr>
          <w:p w14:paraId="2F31FB0A">
            <w:pPr>
              <w:pStyle w:val="12"/>
            </w:pPr>
            <w:r>
              <w:t>209人</w:t>
            </w:r>
          </w:p>
        </w:tc>
        <w:tc>
          <w:tcPr>
            <w:tcW w:w="1276" w:type="dxa"/>
            <w:vAlign w:val="center"/>
          </w:tcPr>
          <w:p w14:paraId="56BCE566">
            <w:pPr>
              <w:pStyle w:val="12"/>
            </w:pPr>
            <w:r>
              <w:t>城乡义务教育公用经费管理办法</w:t>
            </w:r>
          </w:p>
        </w:tc>
      </w:tr>
      <w:tr w14:paraId="7359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4D681"/>
        </w:tc>
        <w:tc>
          <w:tcPr>
            <w:tcW w:w="2268" w:type="dxa"/>
            <w:vAlign w:val="center"/>
          </w:tcPr>
          <w:p w14:paraId="28E7AECB">
            <w:pPr>
              <w:pStyle w:val="12"/>
            </w:pPr>
            <w:r>
              <w:t>质量指标</w:t>
            </w:r>
          </w:p>
        </w:tc>
        <w:tc>
          <w:tcPr>
            <w:tcW w:w="2835" w:type="dxa"/>
            <w:vAlign w:val="center"/>
          </w:tcPr>
          <w:p w14:paraId="6BEC7614">
            <w:pPr>
              <w:pStyle w:val="12"/>
            </w:pPr>
            <w:r>
              <w:t>预算执行率</w:t>
            </w:r>
          </w:p>
        </w:tc>
        <w:tc>
          <w:tcPr>
            <w:tcW w:w="5386" w:type="dxa"/>
            <w:vAlign w:val="center"/>
          </w:tcPr>
          <w:p w14:paraId="157BAC02">
            <w:pPr>
              <w:pStyle w:val="12"/>
            </w:pPr>
            <w:r>
              <w:t>预算执行率≥98%</w:t>
            </w:r>
          </w:p>
        </w:tc>
        <w:tc>
          <w:tcPr>
            <w:tcW w:w="2268" w:type="dxa"/>
            <w:vAlign w:val="center"/>
          </w:tcPr>
          <w:p w14:paraId="037D9A04">
            <w:pPr>
              <w:pStyle w:val="12"/>
            </w:pPr>
            <w:r>
              <w:t>≥98%</w:t>
            </w:r>
          </w:p>
        </w:tc>
        <w:tc>
          <w:tcPr>
            <w:tcW w:w="1276" w:type="dxa"/>
            <w:vAlign w:val="center"/>
          </w:tcPr>
          <w:p w14:paraId="2AC6D339">
            <w:pPr>
              <w:pStyle w:val="12"/>
            </w:pPr>
            <w:r>
              <w:t>城乡义务教育公用经费管理办法</w:t>
            </w:r>
          </w:p>
        </w:tc>
      </w:tr>
      <w:tr w14:paraId="2211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97C55"/>
        </w:tc>
        <w:tc>
          <w:tcPr>
            <w:tcW w:w="2268" w:type="dxa"/>
            <w:vAlign w:val="center"/>
          </w:tcPr>
          <w:p w14:paraId="27823C50">
            <w:pPr>
              <w:pStyle w:val="12"/>
            </w:pPr>
            <w:r>
              <w:t>时效指标</w:t>
            </w:r>
          </w:p>
        </w:tc>
        <w:tc>
          <w:tcPr>
            <w:tcW w:w="2835" w:type="dxa"/>
            <w:vAlign w:val="center"/>
          </w:tcPr>
          <w:p w14:paraId="1639B094">
            <w:pPr>
              <w:pStyle w:val="12"/>
            </w:pPr>
            <w:r>
              <w:t>义教经费支付完成率</w:t>
            </w:r>
          </w:p>
        </w:tc>
        <w:tc>
          <w:tcPr>
            <w:tcW w:w="5386" w:type="dxa"/>
            <w:vAlign w:val="center"/>
          </w:tcPr>
          <w:p w14:paraId="6E2092BA">
            <w:pPr>
              <w:pStyle w:val="12"/>
            </w:pPr>
            <w:r>
              <w:t>按照序时进度完成资金支付</w:t>
            </w:r>
          </w:p>
        </w:tc>
        <w:tc>
          <w:tcPr>
            <w:tcW w:w="2268" w:type="dxa"/>
            <w:vAlign w:val="center"/>
          </w:tcPr>
          <w:p w14:paraId="28B52702">
            <w:pPr>
              <w:pStyle w:val="12"/>
            </w:pPr>
            <w:r>
              <w:t>≥98%</w:t>
            </w:r>
          </w:p>
        </w:tc>
        <w:tc>
          <w:tcPr>
            <w:tcW w:w="1276" w:type="dxa"/>
            <w:vAlign w:val="center"/>
          </w:tcPr>
          <w:p w14:paraId="6C73A07F">
            <w:pPr>
              <w:pStyle w:val="12"/>
            </w:pPr>
            <w:r>
              <w:t>城乡义务教育公用经费管理办法</w:t>
            </w:r>
          </w:p>
        </w:tc>
      </w:tr>
      <w:tr w14:paraId="2C25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0C2AF"/>
        </w:tc>
        <w:tc>
          <w:tcPr>
            <w:tcW w:w="2268" w:type="dxa"/>
            <w:vAlign w:val="center"/>
          </w:tcPr>
          <w:p w14:paraId="1186BE81">
            <w:pPr>
              <w:pStyle w:val="12"/>
            </w:pPr>
            <w:r>
              <w:t>成本指标</w:t>
            </w:r>
          </w:p>
        </w:tc>
        <w:tc>
          <w:tcPr>
            <w:tcW w:w="2835" w:type="dxa"/>
            <w:vAlign w:val="center"/>
          </w:tcPr>
          <w:p w14:paraId="63899BFF">
            <w:pPr>
              <w:pStyle w:val="12"/>
            </w:pPr>
            <w:r>
              <w:t>生均拨款标准</w:t>
            </w:r>
          </w:p>
        </w:tc>
        <w:tc>
          <w:tcPr>
            <w:tcW w:w="5386" w:type="dxa"/>
            <w:vAlign w:val="center"/>
          </w:tcPr>
          <w:p w14:paraId="353BD3C7">
            <w:pPr>
              <w:pStyle w:val="12"/>
            </w:pPr>
            <w:r>
              <w:t>小学生公用经费生均小学720元，取暖费120元/生/年，住宿生补助300元/生/年，随班就读学生补助7000元/生</w:t>
            </w:r>
          </w:p>
        </w:tc>
        <w:tc>
          <w:tcPr>
            <w:tcW w:w="2268" w:type="dxa"/>
            <w:vAlign w:val="center"/>
          </w:tcPr>
          <w:p w14:paraId="061C985E">
            <w:pPr>
              <w:pStyle w:val="12"/>
            </w:pPr>
            <w:r>
              <w:t>≥840元</w:t>
            </w:r>
          </w:p>
        </w:tc>
        <w:tc>
          <w:tcPr>
            <w:tcW w:w="1276" w:type="dxa"/>
            <w:vAlign w:val="center"/>
          </w:tcPr>
          <w:p w14:paraId="5588A6D0">
            <w:pPr>
              <w:pStyle w:val="12"/>
            </w:pPr>
            <w:r>
              <w:t>城乡义务教育公用经费管理办法</w:t>
            </w:r>
          </w:p>
        </w:tc>
      </w:tr>
      <w:tr w14:paraId="0ACF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C314E">
            <w:pPr>
              <w:pStyle w:val="13"/>
            </w:pPr>
            <w:r>
              <w:t>效益指标</w:t>
            </w:r>
          </w:p>
        </w:tc>
        <w:tc>
          <w:tcPr>
            <w:tcW w:w="2268" w:type="dxa"/>
            <w:vAlign w:val="center"/>
          </w:tcPr>
          <w:p w14:paraId="144FDB3A">
            <w:pPr>
              <w:pStyle w:val="12"/>
            </w:pPr>
            <w:r>
              <w:t>社会效益指标</w:t>
            </w:r>
          </w:p>
        </w:tc>
        <w:tc>
          <w:tcPr>
            <w:tcW w:w="2835" w:type="dxa"/>
            <w:vAlign w:val="center"/>
          </w:tcPr>
          <w:p w14:paraId="5A064E3B">
            <w:pPr>
              <w:pStyle w:val="12"/>
            </w:pPr>
            <w:r>
              <w:t>学校运转得到提高</w:t>
            </w:r>
          </w:p>
        </w:tc>
        <w:tc>
          <w:tcPr>
            <w:tcW w:w="5386" w:type="dxa"/>
            <w:vAlign w:val="center"/>
          </w:tcPr>
          <w:p w14:paraId="0F23F280">
            <w:pPr>
              <w:pStyle w:val="12"/>
            </w:pPr>
            <w:r>
              <w:t>学生受教育年限</w:t>
            </w:r>
          </w:p>
        </w:tc>
        <w:tc>
          <w:tcPr>
            <w:tcW w:w="2268" w:type="dxa"/>
            <w:vAlign w:val="center"/>
          </w:tcPr>
          <w:p w14:paraId="195CBF66">
            <w:pPr>
              <w:pStyle w:val="12"/>
            </w:pPr>
            <w:r>
              <w:t>6年</w:t>
            </w:r>
          </w:p>
        </w:tc>
        <w:tc>
          <w:tcPr>
            <w:tcW w:w="1276" w:type="dxa"/>
            <w:vAlign w:val="center"/>
          </w:tcPr>
          <w:p w14:paraId="4E13AC8D">
            <w:pPr>
              <w:pStyle w:val="12"/>
            </w:pPr>
            <w:r>
              <w:t>城乡义务教育公用经费管理办法</w:t>
            </w:r>
          </w:p>
        </w:tc>
      </w:tr>
      <w:tr w14:paraId="7B6F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46C04">
            <w:pPr>
              <w:pStyle w:val="13"/>
            </w:pPr>
            <w:r>
              <w:t>满意度指标</w:t>
            </w:r>
          </w:p>
        </w:tc>
        <w:tc>
          <w:tcPr>
            <w:tcW w:w="2268" w:type="dxa"/>
            <w:vAlign w:val="center"/>
          </w:tcPr>
          <w:p w14:paraId="23C9D347">
            <w:pPr>
              <w:pStyle w:val="12"/>
            </w:pPr>
            <w:r>
              <w:t>服务对象满意度指标</w:t>
            </w:r>
          </w:p>
        </w:tc>
        <w:tc>
          <w:tcPr>
            <w:tcW w:w="2835" w:type="dxa"/>
            <w:vAlign w:val="center"/>
          </w:tcPr>
          <w:p w14:paraId="0373E9D5">
            <w:pPr>
              <w:pStyle w:val="12"/>
            </w:pPr>
            <w:r>
              <w:t>服务对象满意度</w:t>
            </w:r>
          </w:p>
        </w:tc>
        <w:tc>
          <w:tcPr>
            <w:tcW w:w="5386" w:type="dxa"/>
            <w:vAlign w:val="center"/>
          </w:tcPr>
          <w:p w14:paraId="1086104F">
            <w:pPr>
              <w:pStyle w:val="12"/>
            </w:pPr>
            <w:r>
              <w:t>学校老师和学生满意度</w:t>
            </w:r>
          </w:p>
        </w:tc>
        <w:tc>
          <w:tcPr>
            <w:tcW w:w="2268" w:type="dxa"/>
            <w:vAlign w:val="center"/>
          </w:tcPr>
          <w:p w14:paraId="49AB6607">
            <w:pPr>
              <w:pStyle w:val="12"/>
            </w:pPr>
            <w:r>
              <w:t>≥95%</w:t>
            </w:r>
          </w:p>
        </w:tc>
        <w:tc>
          <w:tcPr>
            <w:tcW w:w="1276" w:type="dxa"/>
            <w:vAlign w:val="center"/>
          </w:tcPr>
          <w:p w14:paraId="65BD2371">
            <w:pPr>
              <w:pStyle w:val="12"/>
            </w:pPr>
            <w:r>
              <w:t>城乡义务教育公用经费管理办法</w:t>
            </w:r>
          </w:p>
        </w:tc>
      </w:tr>
    </w:tbl>
    <w:p w14:paraId="4ED92EC2">
      <w:pPr>
        <w:sectPr>
          <w:pgSz w:w="16840" w:h="11900" w:orient="landscape"/>
          <w:pgMar w:top="1361" w:right="1020" w:bottom="1134" w:left="1020" w:header="720" w:footer="720" w:gutter="0"/>
          <w:cols w:space="720" w:num="1"/>
        </w:sectPr>
      </w:pPr>
    </w:p>
    <w:p w14:paraId="7F8221B4">
      <w:pPr>
        <w:spacing w:before="0" w:after="0"/>
        <w:ind w:firstLine="560"/>
        <w:jc w:val="left"/>
        <w:outlineLvl w:val="9"/>
      </w:pPr>
      <w:r>
        <w:rPr>
          <w:rFonts w:ascii="方正仿宋_GBK" w:hAnsi="方正仿宋_GBK" w:eastAsia="方正仿宋_GBK" w:cs="方正仿宋_GBK"/>
          <w:b/>
          <w:color w:val="000000"/>
          <w:sz w:val="28"/>
        </w:rPr>
        <w:t>27、县级资金/2024年大张家庄校区学前教育公用经费绩效目标表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96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B4FF1">
            <w:pPr>
              <w:pStyle w:val="11"/>
            </w:pPr>
            <w:r>
              <w:t>单位：万元</w:t>
            </w:r>
          </w:p>
        </w:tc>
      </w:tr>
      <w:tr w14:paraId="6AB16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EF63A">
            <w:pPr>
              <w:pStyle w:val="10"/>
            </w:pPr>
            <w:r>
              <w:t>项目编码</w:t>
            </w:r>
          </w:p>
        </w:tc>
        <w:tc>
          <w:tcPr>
            <w:tcW w:w="5103" w:type="dxa"/>
            <w:gridSpan w:val="2"/>
            <w:vAlign w:val="center"/>
          </w:tcPr>
          <w:p w14:paraId="39FABE1A">
            <w:pPr>
              <w:pStyle w:val="12"/>
            </w:pPr>
            <w:r>
              <w:t>13052526P00875710139U</w:t>
            </w:r>
          </w:p>
        </w:tc>
        <w:tc>
          <w:tcPr>
            <w:tcW w:w="2835" w:type="dxa"/>
            <w:vAlign w:val="center"/>
          </w:tcPr>
          <w:p w14:paraId="4214B18D">
            <w:pPr>
              <w:pStyle w:val="10"/>
            </w:pPr>
            <w:r>
              <w:t>项目名称</w:t>
            </w:r>
          </w:p>
        </w:tc>
        <w:tc>
          <w:tcPr>
            <w:tcW w:w="6095" w:type="dxa"/>
            <w:gridSpan w:val="3"/>
            <w:vAlign w:val="center"/>
          </w:tcPr>
          <w:p w14:paraId="48963851">
            <w:pPr>
              <w:pStyle w:val="12"/>
            </w:pPr>
            <w:r>
              <w:t>县级资金/2024年大张家庄校区学前教育公用经费</w:t>
            </w:r>
          </w:p>
        </w:tc>
      </w:tr>
      <w:tr w14:paraId="74AFC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0BC65">
            <w:pPr>
              <w:pStyle w:val="10"/>
            </w:pPr>
            <w:r>
              <w:t>预算规模及资金用途</w:t>
            </w:r>
          </w:p>
        </w:tc>
        <w:tc>
          <w:tcPr>
            <w:tcW w:w="2268" w:type="dxa"/>
            <w:vAlign w:val="center"/>
          </w:tcPr>
          <w:p w14:paraId="78C2E8D9">
            <w:pPr>
              <w:pStyle w:val="10"/>
            </w:pPr>
            <w:r>
              <w:t>预算数</w:t>
            </w:r>
          </w:p>
        </w:tc>
        <w:tc>
          <w:tcPr>
            <w:tcW w:w="2835" w:type="dxa"/>
            <w:vAlign w:val="center"/>
          </w:tcPr>
          <w:p w14:paraId="5F6E67D8">
            <w:pPr>
              <w:pStyle w:val="12"/>
            </w:pPr>
            <w:r>
              <w:t>45.63</w:t>
            </w:r>
          </w:p>
        </w:tc>
        <w:tc>
          <w:tcPr>
            <w:tcW w:w="2835" w:type="dxa"/>
            <w:vAlign w:val="center"/>
          </w:tcPr>
          <w:p w14:paraId="1B405CAB">
            <w:pPr>
              <w:pStyle w:val="10"/>
            </w:pPr>
            <w:r>
              <w:t>其中：财政    资金</w:t>
            </w:r>
          </w:p>
        </w:tc>
        <w:tc>
          <w:tcPr>
            <w:tcW w:w="2551" w:type="dxa"/>
            <w:vAlign w:val="center"/>
          </w:tcPr>
          <w:p w14:paraId="1008387F">
            <w:pPr>
              <w:pStyle w:val="12"/>
            </w:pPr>
            <w:r>
              <w:t>45.63</w:t>
            </w:r>
          </w:p>
        </w:tc>
        <w:tc>
          <w:tcPr>
            <w:tcW w:w="2268" w:type="dxa"/>
            <w:vAlign w:val="center"/>
          </w:tcPr>
          <w:p w14:paraId="7512FEEB">
            <w:pPr>
              <w:pStyle w:val="10"/>
            </w:pPr>
            <w:r>
              <w:t>其他资金</w:t>
            </w:r>
          </w:p>
        </w:tc>
        <w:tc>
          <w:tcPr>
            <w:tcW w:w="1276" w:type="dxa"/>
            <w:vAlign w:val="center"/>
          </w:tcPr>
          <w:p w14:paraId="1FA12552">
            <w:pPr>
              <w:pStyle w:val="12"/>
            </w:pPr>
            <w:r>
              <w:t xml:space="preserve"> </w:t>
            </w:r>
          </w:p>
        </w:tc>
      </w:tr>
      <w:tr w14:paraId="4498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169A7"/>
        </w:tc>
        <w:tc>
          <w:tcPr>
            <w:tcW w:w="14033" w:type="dxa"/>
            <w:gridSpan w:val="6"/>
            <w:vAlign w:val="center"/>
          </w:tcPr>
          <w:p w14:paraId="71F59505">
            <w:pPr>
              <w:pStyle w:val="12"/>
            </w:pPr>
            <w:r>
              <w:t>保证幼儿园正常运转和改善办学条件。</w:t>
            </w:r>
          </w:p>
        </w:tc>
      </w:tr>
      <w:tr w14:paraId="373C9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C5207">
            <w:pPr>
              <w:pStyle w:val="10"/>
            </w:pPr>
            <w:r>
              <w:t>资金支出计划（%）</w:t>
            </w:r>
          </w:p>
        </w:tc>
        <w:tc>
          <w:tcPr>
            <w:tcW w:w="5103" w:type="dxa"/>
            <w:gridSpan w:val="2"/>
            <w:vAlign w:val="center"/>
          </w:tcPr>
          <w:p w14:paraId="3B0FC2F7">
            <w:pPr>
              <w:pStyle w:val="10"/>
            </w:pPr>
            <w:r>
              <w:t>3月底</w:t>
            </w:r>
          </w:p>
        </w:tc>
        <w:tc>
          <w:tcPr>
            <w:tcW w:w="2835" w:type="dxa"/>
            <w:vAlign w:val="center"/>
          </w:tcPr>
          <w:p w14:paraId="3AD8EF2F">
            <w:pPr>
              <w:pStyle w:val="10"/>
            </w:pPr>
            <w:r>
              <w:t>6月底</w:t>
            </w:r>
          </w:p>
        </w:tc>
        <w:tc>
          <w:tcPr>
            <w:tcW w:w="2551" w:type="dxa"/>
            <w:vAlign w:val="center"/>
          </w:tcPr>
          <w:p w14:paraId="62F372D1">
            <w:pPr>
              <w:pStyle w:val="10"/>
            </w:pPr>
            <w:r>
              <w:t>10月底</w:t>
            </w:r>
          </w:p>
        </w:tc>
        <w:tc>
          <w:tcPr>
            <w:tcW w:w="3544" w:type="dxa"/>
            <w:gridSpan w:val="2"/>
            <w:vAlign w:val="center"/>
          </w:tcPr>
          <w:p w14:paraId="444D51A9">
            <w:pPr>
              <w:pStyle w:val="10"/>
            </w:pPr>
            <w:r>
              <w:t>12月底</w:t>
            </w:r>
          </w:p>
        </w:tc>
      </w:tr>
      <w:tr w14:paraId="1CEDF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A9DFF"/>
        </w:tc>
        <w:tc>
          <w:tcPr>
            <w:tcW w:w="5103" w:type="dxa"/>
            <w:gridSpan w:val="2"/>
            <w:vAlign w:val="center"/>
          </w:tcPr>
          <w:p w14:paraId="3A29A22D">
            <w:pPr>
              <w:pStyle w:val="13"/>
            </w:pPr>
            <w:r>
              <w:t>25%</w:t>
            </w:r>
          </w:p>
        </w:tc>
        <w:tc>
          <w:tcPr>
            <w:tcW w:w="2835" w:type="dxa"/>
            <w:vAlign w:val="center"/>
          </w:tcPr>
          <w:p w14:paraId="1478826A">
            <w:pPr>
              <w:pStyle w:val="13"/>
            </w:pPr>
            <w:r>
              <w:t>50%</w:t>
            </w:r>
          </w:p>
        </w:tc>
        <w:tc>
          <w:tcPr>
            <w:tcW w:w="2551" w:type="dxa"/>
            <w:vAlign w:val="center"/>
          </w:tcPr>
          <w:p w14:paraId="325103DE">
            <w:pPr>
              <w:pStyle w:val="13"/>
            </w:pPr>
            <w:r>
              <w:t>75%</w:t>
            </w:r>
          </w:p>
        </w:tc>
        <w:tc>
          <w:tcPr>
            <w:tcW w:w="3544" w:type="dxa"/>
            <w:gridSpan w:val="2"/>
            <w:vAlign w:val="center"/>
          </w:tcPr>
          <w:p w14:paraId="2A4DF482">
            <w:pPr>
              <w:pStyle w:val="13"/>
            </w:pPr>
            <w:r>
              <w:t>100%</w:t>
            </w:r>
          </w:p>
        </w:tc>
      </w:tr>
      <w:tr w14:paraId="5304F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65F27">
            <w:pPr>
              <w:pStyle w:val="10"/>
            </w:pPr>
            <w:r>
              <w:t>绩效目标</w:t>
            </w:r>
          </w:p>
        </w:tc>
        <w:tc>
          <w:tcPr>
            <w:tcW w:w="14033" w:type="dxa"/>
            <w:gridSpan w:val="6"/>
            <w:vAlign w:val="center"/>
          </w:tcPr>
          <w:p w14:paraId="555266AE">
            <w:pPr>
              <w:pStyle w:val="12"/>
            </w:pPr>
            <w:r>
              <w:t>1.按拨款序时进度完成经费拨付和支出。</w:t>
            </w:r>
          </w:p>
          <w:p w14:paraId="24F034B1">
            <w:pPr>
              <w:pStyle w:val="12"/>
            </w:pPr>
            <w:r>
              <w:t>2.为保证幼儿园正常运转和改善办学条件。</w:t>
            </w:r>
          </w:p>
        </w:tc>
      </w:tr>
    </w:tbl>
    <w:p w14:paraId="1C41D5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8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DAE1B">
            <w:pPr>
              <w:pStyle w:val="10"/>
            </w:pPr>
            <w:r>
              <w:t>一级指标</w:t>
            </w:r>
          </w:p>
        </w:tc>
        <w:tc>
          <w:tcPr>
            <w:tcW w:w="2268" w:type="dxa"/>
            <w:vAlign w:val="center"/>
          </w:tcPr>
          <w:p w14:paraId="5F5EB3D9">
            <w:pPr>
              <w:pStyle w:val="10"/>
            </w:pPr>
            <w:r>
              <w:t>二级指标</w:t>
            </w:r>
          </w:p>
        </w:tc>
        <w:tc>
          <w:tcPr>
            <w:tcW w:w="2835" w:type="dxa"/>
            <w:vAlign w:val="center"/>
          </w:tcPr>
          <w:p w14:paraId="4F1D6C4B">
            <w:pPr>
              <w:pStyle w:val="10"/>
            </w:pPr>
            <w:r>
              <w:t>三级指标</w:t>
            </w:r>
          </w:p>
        </w:tc>
        <w:tc>
          <w:tcPr>
            <w:tcW w:w="5386" w:type="dxa"/>
            <w:vAlign w:val="center"/>
          </w:tcPr>
          <w:p w14:paraId="766E0FC2">
            <w:pPr>
              <w:pStyle w:val="10"/>
            </w:pPr>
            <w:r>
              <w:t>绩效指标描述</w:t>
            </w:r>
          </w:p>
        </w:tc>
        <w:tc>
          <w:tcPr>
            <w:tcW w:w="2268" w:type="dxa"/>
            <w:vAlign w:val="center"/>
          </w:tcPr>
          <w:p w14:paraId="60A84D1B">
            <w:pPr>
              <w:pStyle w:val="10"/>
            </w:pPr>
            <w:r>
              <w:t>指标值</w:t>
            </w:r>
          </w:p>
        </w:tc>
        <w:tc>
          <w:tcPr>
            <w:tcW w:w="1276" w:type="dxa"/>
            <w:vAlign w:val="center"/>
          </w:tcPr>
          <w:p w14:paraId="318B01A5">
            <w:pPr>
              <w:pStyle w:val="10"/>
            </w:pPr>
            <w:r>
              <w:t>指标值确定依据</w:t>
            </w:r>
          </w:p>
        </w:tc>
      </w:tr>
      <w:tr w14:paraId="4370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B4251">
            <w:pPr>
              <w:pStyle w:val="13"/>
            </w:pPr>
            <w:r>
              <w:t>产出指标</w:t>
            </w:r>
          </w:p>
        </w:tc>
        <w:tc>
          <w:tcPr>
            <w:tcW w:w="2268" w:type="dxa"/>
            <w:vAlign w:val="center"/>
          </w:tcPr>
          <w:p w14:paraId="6912A6FE">
            <w:pPr>
              <w:pStyle w:val="12"/>
            </w:pPr>
            <w:r>
              <w:t>数量指标</w:t>
            </w:r>
          </w:p>
        </w:tc>
        <w:tc>
          <w:tcPr>
            <w:tcW w:w="2835" w:type="dxa"/>
            <w:vAlign w:val="center"/>
          </w:tcPr>
          <w:p w14:paraId="0699CA64">
            <w:pPr>
              <w:pStyle w:val="12"/>
            </w:pPr>
            <w:r>
              <w:t>适龄在园生</w:t>
            </w:r>
          </w:p>
        </w:tc>
        <w:tc>
          <w:tcPr>
            <w:tcW w:w="5386" w:type="dxa"/>
            <w:vAlign w:val="center"/>
          </w:tcPr>
          <w:p w14:paraId="34A1C67A">
            <w:pPr>
              <w:pStyle w:val="12"/>
            </w:pPr>
            <w:r>
              <w:t>适龄在园学生人数</w:t>
            </w:r>
          </w:p>
        </w:tc>
        <w:tc>
          <w:tcPr>
            <w:tcW w:w="2268" w:type="dxa"/>
            <w:vAlign w:val="center"/>
          </w:tcPr>
          <w:p w14:paraId="2E91F30B">
            <w:pPr>
              <w:pStyle w:val="12"/>
            </w:pPr>
            <w:r>
              <w:t>1014人</w:t>
            </w:r>
          </w:p>
        </w:tc>
        <w:tc>
          <w:tcPr>
            <w:tcW w:w="1276" w:type="dxa"/>
            <w:vAlign w:val="center"/>
          </w:tcPr>
          <w:p w14:paraId="59C36098">
            <w:pPr>
              <w:pStyle w:val="12"/>
            </w:pPr>
            <w:r>
              <w:t>支持学前教育发展县级资金管理办法</w:t>
            </w:r>
          </w:p>
        </w:tc>
      </w:tr>
      <w:tr w14:paraId="3D8E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A34C1"/>
        </w:tc>
        <w:tc>
          <w:tcPr>
            <w:tcW w:w="2268" w:type="dxa"/>
            <w:vAlign w:val="center"/>
          </w:tcPr>
          <w:p w14:paraId="47973381">
            <w:pPr>
              <w:pStyle w:val="12"/>
            </w:pPr>
            <w:r>
              <w:t>质量指标</w:t>
            </w:r>
          </w:p>
        </w:tc>
        <w:tc>
          <w:tcPr>
            <w:tcW w:w="2835" w:type="dxa"/>
            <w:vAlign w:val="center"/>
          </w:tcPr>
          <w:p w14:paraId="75D71BAB">
            <w:pPr>
              <w:pStyle w:val="12"/>
            </w:pPr>
            <w:r>
              <w:t>公用经费控制率</w:t>
            </w:r>
          </w:p>
        </w:tc>
        <w:tc>
          <w:tcPr>
            <w:tcW w:w="5386" w:type="dxa"/>
            <w:vAlign w:val="center"/>
          </w:tcPr>
          <w:p w14:paraId="2F63241F">
            <w:pPr>
              <w:pStyle w:val="12"/>
            </w:pPr>
            <w:r>
              <w:t>幼儿园公用经费拨付执行率</w:t>
            </w:r>
          </w:p>
        </w:tc>
        <w:tc>
          <w:tcPr>
            <w:tcW w:w="2268" w:type="dxa"/>
            <w:vAlign w:val="center"/>
          </w:tcPr>
          <w:p w14:paraId="025A325F">
            <w:pPr>
              <w:pStyle w:val="12"/>
            </w:pPr>
            <w:r>
              <w:t>≥98%</w:t>
            </w:r>
          </w:p>
        </w:tc>
        <w:tc>
          <w:tcPr>
            <w:tcW w:w="1276" w:type="dxa"/>
            <w:vAlign w:val="center"/>
          </w:tcPr>
          <w:p w14:paraId="218A933B">
            <w:pPr>
              <w:pStyle w:val="12"/>
            </w:pPr>
            <w:r>
              <w:t>支持学前教育发展县级资金管理办法</w:t>
            </w:r>
          </w:p>
        </w:tc>
      </w:tr>
      <w:tr w14:paraId="1233E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0A4E4"/>
        </w:tc>
        <w:tc>
          <w:tcPr>
            <w:tcW w:w="2268" w:type="dxa"/>
            <w:vAlign w:val="center"/>
          </w:tcPr>
          <w:p w14:paraId="1F1B9443">
            <w:pPr>
              <w:pStyle w:val="12"/>
            </w:pPr>
            <w:r>
              <w:t>时效指标</w:t>
            </w:r>
          </w:p>
        </w:tc>
        <w:tc>
          <w:tcPr>
            <w:tcW w:w="2835" w:type="dxa"/>
            <w:vAlign w:val="center"/>
          </w:tcPr>
          <w:p w14:paraId="6E17FD32">
            <w:pPr>
              <w:pStyle w:val="12"/>
            </w:pPr>
            <w:r>
              <w:t>资金支付率</w:t>
            </w:r>
          </w:p>
        </w:tc>
        <w:tc>
          <w:tcPr>
            <w:tcW w:w="5386" w:type="dxa"/>
            <w:vAlign w:val="center"/>
          </w:tcPr>
          <w:p w14:paraId="76206502">
            <w:pPr>
              <w:pStyle w:val="12"/>
            </w:pPr>
            <w:r>
              <w:t>按照序时进度完成资金支付</w:t>
            </w:r>
          </w:p>
        </w:tc>
        <w:tc>
          <w:tcPr>
            <w:tcW w:w="2268" w:type="dxa"/>
            <w:vAlign w:val="center"/>
          </w:tcPr>
          <w:p w14:paraId="622D9262">
            <w:pPr>
              <w:pStyle w:val="12"/>
            </w:pPr>
            <w:r>
              <w:t>≥98%</w:t>
            </w:r>
          </w:p>
        </w:tc>
        <w:tc>
          <w:tcPr>
            <w:tcW w:w="1276" w:type="dxa"/>
            <w:vAlign w:val="center"/>
          </w:tcPr>
          <w:p w14:paraId="6DF45668">
            <w:pPr>
              <w:pStyle w:val="12"/>
            </w:pPr>
            <w:r>
              <w:t>支持学前教育发展县级资金管理办法</w:t>
            </w:r>
          </w:p>
        </w:tc>
      </w:tr>
      <w:tr w14:paraId="1219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CF51F"/>
        </w:tc>
        <w:tc>
          <w:tcPr>
            <w:tcW w:w="2268" w:type="dxa"/>
            <w:vAlign w:val="center"/>
          </w:tcPr>
          <w:p w14:paraId="4F331EBF">
            <w:pPr>
              <w:pStyle w:val="12"/>
            </w:pPr>
            <w:r>
              <w:t>成本指标</w:t>
            </w:r>
          </w:p>
        </w:tc>
        <w:tc>
          <w:tcPr>
            <w:tcW w:w="2835" w:type="dxa"/>
            <w:vAlign w:val="center"/>
          </w:tcPr>
          <w:p w14:paraId="10064E2C">
            <w:pPr>
              <w:pStyle w:val="12"/>
            </w:pPr>
            <w:r>
              <w:t>生均拨款标准</w:t>
            </w:r>
          </w:p>
        </w:tc>
        <w:tc>
          <w:tcPr>
            <w:tcW w:w="5386" w:type="dxa"/>
            <w:vAlign w:val="center"/>
          </w:tcPr>
          <w:p w14:paraId="2ABD083A">
            <w:pPr>
              <w:pStyle w:val="12"/>
            </w:pPr>
            <w:r>
              <w:t>学前：（基本标准600元/生/学年）</w:t>
            </w:r>
          </w:p>
        </w:tc>
        <w:tc>
          <w:tcPr>
            <w:tcW w:w="2268" w:type="dxa"/>
            <w:vAlign w:val="center"/>
          </w:tcPr>
          <w:p w14:paraId="02F57FAE">
            <w:pPr>
              <w:pStyle w:val="12"/>
            </w:pPr>
            <w:r>
              <w:t>600元</w:t>
            </w:r>
          </w:p>
        </w:tc>
        <w:tc>
          <w:tcPr>
            <w:tcW w:w="1276" w:type="dxa"/>
            <w:vAlign w:val="center"/>
          </w:tcPr>
          <w:p w14:paraId="1E5C923B">
            <w:pPr>
              <w:pStyle w:val="12"/>
            </w:pPr>
            <w:r>
              <w:t>支持学前教育发展县级资金管理办法</w:t>
            </w:r>
          </w:p>
        </w:tc>
      </w:tr>
      <w:tr w14:paraId="63CA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740D9">
            <w:pPr>
              <w:pStyle w:val="13"/>
            </w:pPr>
            <w:r>
              <w:t>效益指标</w:t>
            </w:r>
          </w:p>
        </w:tc>
        <w:tc>
          <w:tcPr>
            <w:tcW w:w="2268" w:type="dxa"/>
            <w:vAlign w:val="center"/>
          </w:tcPr>
          <w:p w14:paraId="6A1274F5">
            <w:pPr>
              <w:pStyle w:val="12"/>
            </w:pPr>
            <w:r>
              <w:t>可持续影响指标</w:t>
            </w:r>
          </w:p>
        </w:tc>
        <w:tc>
          <w:tcPr>
            <w:tcW w:w="2835" w:type="dxa"/>
            <w:vAlign w:val="center"/>
          </w:tcPr>
          <w:p w14:paraId="4258FD03">
            <w:pPr>
              <w:pStyle w:val="12"/>
            </w:pPr>
            <w:r>
              <w:t>教育发展水平明显好转</w:t>
            </w:r>
          </w:p>
        </w:tc>
        <w:tc>
          <w:tcPr>
            <w:tcW w:w="5386" w:type="dxa"/>
            <w:vAlign w:val="center"/>
          </w:tcPr>
          <w:p w14:paraId="2D050037">
            <w:pPr>
              <w:pStyle w:val="12"/>
            </w:pPr>
            <w:r>
              <w:t>学生受教育年限</w:t>
            </w:r>
          </w:p>
        </w:tc>
        <w:tc>
          <w:tcPr>
            <w:tcW w:w="2268" w:type="dxa"/>
            <w:vAlign w:val="center"/>
          </w:tcPr>
          <w:p w14:paraId="5C1C7215">
            <w:pPr>
              <w:pStyle w:val="12"/>
            </w:pPr>
            <w:r>
              <w:t>3年</w:t>
            </w:r>
          </w:p>
        </w:tc>
        <w:tc>
          <w:tcPr>
            <w:tcW w:w="1276" w:type="dxa"/>
            <w:vAlign w:val="center"/>
          </w:tcPr>
          <w:p w14:paraId="3D0B3D4F">
            <w:pPr>
              <w:pStyle w:val="12"/>
            </w:pPr>
            <w:r>
              <w:t>支持学前教育发展县级资金管理办法</w:t>
            </w:r>
          </w:p>
        </w:tc>
      </w:tr>
      <w:tr w14:paraId="6ED1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62020">
            <w:pPr>
              <w:pStyle w:val="13"/>
            </w:pPr>
            <w:r>
              <w:t>满意度指标</w:t>
            </w:r>
          </w:p>
        </w:tc>
        <w:tc>
          <w:tcPr>
            <w:tcW w:w="2268" w:type="dxa"/>
            <w:vAlign w:val="center"/>
          </w:tcPr>
          <w:p w14:paraId="500E27F4">
            <w:pPr>
              <w:pStyle w:val="12"/>
            </w:pPr>
            <w:r>
              <w:t>服务对象满意度指标</w:t>
            </w:r>
          </w:p>
        </w:tc>
        <w:tc>
          <w:tcPr>
            <w:tcW w:w="2835" w:type="dxa"/>
            <w:vAlign w:val="center"/>
          </w:tcPr>
          <w:p w14:paraId="7D7E50CA">
            <w:pPr>
              <w:pStyle w:val="12"/>
            </w:pPr>
            <w:r>
              <w:t>受益学生家长及调查满意度</w:t>
            </w:r>
          </w:p>
        </w:tc>
        <w:tc>
          <w:tcPr>
            <w:tcW w:w="5386" w:type="dxa"/>
            <w:vAlign w:val="center"/>
          </w:tcPr>
          <w:p w14:paraId="141BAB5F">
            <w:pPr>
              <w:pStyle w:val="12"/>
            </w:pPr>
            <w:r>
              <w:t>幼儿、教师及家长对学校保教保育工作满意度情况</w:t>
            </w:r>
          </w:p>
        </w:tc>
        <w:tc>
          <w:tcPr>
            <w:tcW w:w="2268" w:type="dxa"/>
            <w:vAlign w:val="center"/>
          </w:tcPr>
          <w:p w14:paraId="0797B559">
            <w:pPr>
              <w:pStyle w:val="12"/>
            </w:pPr>
            <w:r>
              <w:t>≥95%</w:t>
            </w:r>
          </w:p>
        </w:tc>
        <w:tc>
          <w:tcPr>
            <w:tcW w:w="1276" w:type="dxa"/>
            <w:vAlign w:val="center"/>
          </w:tcPr>
          <w:p w14:paraId="3F1B4753">
            <w:pPr>
              <w:pStyle w:val="12"/>
            </w:pPr>
            <w:r>
              <w:t>调查问卷</w:t>
            </w:r>
          </w:p>
        </w:tc>
      </w:tr>
    </w:tbl>
    <w:p w14:paraId="4F9FD5D7">
      <w:pPr>
        <w:sectPr>
          <w:pgSz w:w="16840" w:h="11900" w:orient="landscape"/>
          <w:pgMar w:top="1361" w:right="1020" w:bottom="1134" w:left="1020" w:header="720" w:footer="720" w:gutter="0"/>
          <w:cols w:space="720" w:num="1"/>
        </w:sectPr>
      </w:pPr>
    </w:p>
    <w:p w14:paraId="1CA90DBA">
      <w:pPr>
        <w:spacing w:before="0" w:after="0"/>
        <w:ind w:firstLine="560"/>
        <w:jc w:val="left"/>
        <w:outlineLvl w:val="9"/>
      </w:pPr>
      <w:r>
        <w:rPr>
          <w:rFonts w:ascii="方正仿宋_GBK" w:hAnsi="方正仿宋_GBK" w:eastAsia="方正仿宋_GBK" w:cs="方正仿宋_GBK"/>
          <w:b/>
          <w:color w:val="000000"/>
          <w:sz w:val="28"/>
        </w:rPr>
        <w:t>28、县级资金/2026年大张家庄校区学前教育公用经费绩效目标表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48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10910">
            <w:pPr>
              <w:pStyle w:val="11"/>
            </w:pPr>
            <w:r>
              <w:t>单位：万元</w:t>
            </w:r>
          </w:p>
        </w:tc>
      </w:tr>
      <w:tr w14:paraId="28B99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65210">
            <w:pPr>
              <w:pStyle w:val="10"/>
            </w:pPr>
            <w:r>
              <w:t>项目编码</w:t>
            </w:r>
          </w:p>
        </w:tc>
        <w:tc>
          <w:tcPr>
            <w:tcW w:w="5103" w:type="dxa"/>
            <w:gridSpan w:val="2"/>
            <w:vAlign w:val="center"/>
          </w:tcPr>
          <w:p w14:paraId="247C6DDD">
            <w:pPr>
              <w:pStyle w:val="12"/>
            </w:pPr>
            <w:r>
              <w:t>13052526P00875710125H</w:t>
            </w:r>
          </w:p>
        </w:tc>
        <w:tc>
          <w:tcPr>
            <w:tcW w:w="2835" w:type="dxa"/>
            <w:vAlign w:val="center"/>
          </w:tcPr>
          <w:p w14:paraId="0EFD6D4D">
            <w:pPr>
              <w:pStyle w:val="10"/>
            </w:pPr>
            <w:r>
              <w:t>项目名称</w:t>
            </w:r>
          </w:p>
        </w:tc>
        <w:tc>
          <w:tcPr>
            <w:tcW w:w="6095" w:type="dxa"/>
            <w:gridSpan w:val="3"/>
            <w:vAlign w:val="center"/>
          </w:tcPr>
          <w:p w14:paraId="1AC8FBAB">
            <w:pPr>
              <w:pStyle w:val="12"/>
            </w:pPr>
            <w:r>
              <w:t>县级资金/2026年大张家庄校区学前教育公用经费</w:t>
            </w:r>
          </w:p>
        </w:tc>
      </w:tr>
      <w:tr w14:paraId="399C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A1CCF">
            <w:pPr>
              <w:pStyle w:val="10"/>
            </w:pPr>
            <w:r>
              <w:t>预算规模及资金用途</w:t>
            </w:r>
          </w:p>
        </w:tc>
        <w:tc>
          <w:tcPr>
            <w:tcW w:w="2268" w:type="dxa"/>
            <w:vAlign w:val="center"/>
          </w:tcPr>
          <w:p w14:paraId="7ADB92C2">
            <w:pPr>
              <w:pStyle w:val="10"/>
            </w:pPr>
            <w:r>
              <w:t>预算数</w:t>
            </w:r>
          </w:p>
        </w:tc>
        <w:tc>
          <w:tcPr>
            <w:tcW w:w="2835" w:type="dxa"/>
            <w:vAlign w:val="center"/>
          </w:tcPr>
          <w:p w14:paraId="676075CD">
            <w:pPr>
              <w:pStyle w:val="12"/>
            </w:pPr>
            <w:r>
              <w:t>17.00</w:t>
            </w:r>
          </w:p>
        </w:tc>
        <w:tc>
          <w:tcPr>
            <w:tcW w:w="2835" w:type="dxa"/>
            <w:vAlign w:val="center"/>
          </w:tcPr>
          <w:p w14:paraId="57DAAF06">
            <w:pPr>
              <w:pStyle w:val="10"/>
            </w:pPr>
            <w:r>
              <w:t>其中：财政    资金</w:t>
            </w:r>
          </w:p>
        </w:tc>
        <w:tc>
          <w:tcPr>
            <w:tcW w:w="2551" w:type="dxa"/>
            <w:vAlign w:val="center"/>
          </w:tcPr>
          <w:p w14:paraId="13B3B530">
            <w:pPr>
              <w:pStyle w:val="12"/>
            </w:pPr>
            <w:r>
              <w:t>17.00</w:t>
            </w:r>
          </w:p>
        </w:tc>
        <w:tc>
          <w:tcPr>
            <w:tcW w:w="2268" w:type="dxa"/>
            <w:vAlign w:val="center"/>
          </w:tcPr>
          <w:p w14:paraId="1064892A">
            <w:pPr>
              <w:pStyle w:val="10"/>
            </w:pPr>
            <w:r>
              <w:t>其他资金</w:t>
            </w:r>
          </w:p>
        </w:tc>
        <w:tc>
          <w:tcPr>
            <w:tcW w:w="1276" w:type="dxa"/>
            <w:vAlign w:val="center"/>
          </w:tcPr>
          <w:p w14:paraId="2CE73E0D">
            <w:pPr>
              <w:pStyle w:val="12"/>
            </w:pPr>
            <w:r>
              <w:t xml:space="preserve"> </w:t>
            </w:r>
          </w:p>
        </w:tc>
      </w:tr>
      <w:tr w14:paraId="4EB3D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EF17D"/>
        </w:tc>
        <w:tc>
          <w:tcPr>
            <w:tcW w:w="14033" w:type="dxa"/>
            <w:gridSpan w:val="6"/>
            <w:vAlign w:val="center"/>
          </w:tcPr>
          <w:p w14:paraId="1D29895D">
            <w:pPr>
              <w:pStyle w:val="12"/>
            </w:pPr>
            <w:r>
              <w:t>保证幼儿园正常运转和改善办学条件。</w:t>
            </w:r>
          </w:p>
        </w:tc>
      </w:tr>
      <w:tr w14:paraId="19E1A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D3307">
            <w:pPr>
              <w:pStyle w:val="10"/>
            </w:pPr>
            <w:r>
              <w:t>资金支出计划（%）</w:t>
            </w:r>
          </w:p>
        </w:tc>
        <w:tc>
          <w:tcPr>
            <w:tcW w:w="5103" w:type="dxa"/>
            <w:gridSpan w:val="2"/>
            <w:vAlign w:val="center"/>
          </w:tcPr>
          <w:p w14:paraId="3E8A1C5C">
            <w:pPr>
              <w:pStyle w:val="10"/>
            </w:pPr>
            <w:r>
              <w:t>3月底</w:t>
            </w:r>
          </w:p>
        </w:tc>
        <w:tc>
          <w:tcPr>
            <w:tcW w:w="2835" w:type="dxa"/>
            <w:vAlign w:val="center"/>
          </w:tcPr>
          <w:p w14:paraId="636B3806">
            <w:pPr>
              <w:pStyle w:val="10"/>
            </w:pPr>
            <w:r>
              <w:t>6月底</w:t>
            </w:r>
          </w:p>
        </w:tc>
        <w:tc>
          <w:tcPr>
            <w:tcW w:w="2551" w:type="dxa"/>
            <w:vAlign w:val="center"/>
          </w:tcPr>
          <w:p w14:paraId="74BADE0B">
            <w:pPr>
              <w:pStyle w:val="10"/>
            </w:pPr>
            <w:r>
              <w:t>10月底</w:t>
            </w:r>
          </w:p>
        </w:tc>
        <w:tc>
          <w:tcPr>
            <w:tcW w:w="3544" w:type="dxa"/>
            <w:gridSpan w:val="2"/>
            <w:vAlign w:val="center"/>
          </w:tcPr>
          <w:p w14:paraId="7E003F5A">
            <w:pPr>
              <w:pStyle w:val="10"/>
            </w:pPr>
            <w:r>
              <w:t>12月底</w:t>
            </w:r>
          </w:p>
        </w:tc>
      </w:tr>
      <w:tr w14:paraId="10318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01BD1"/>
        </w:tc>
        <w:tc>
          <w:tcPr>
            <w:tcW w:w="5103" w:type="dxa"/>
            <w:gridSpan w:val="2"/>
            <w:vAlign w:val="center"/>
          </w:tcPr>
          <w:p w14:paraId="369F2931">
            <w:pPr>
              <w:pStyle w:val="13"/>
            </w:pPr>
            <w:r>
              <w:t>25%</w:t>
            </w:r>
          </w:p>
        </w:tc>
        <w:tc>
          <w:tcPr>
            <w:tcW w:w="2835" w:type="dxa"/>
            <w:vAlign w:val="center"/>
          </w:tcPr>
          <w:p w14:paraId="388B5AC0">
            <w:pPr>
              <w:pStyle w:val="13"/>
            </w:pPr>
            <w:r>
              <w:t>50%</w:t>
            </w:r>
          </w:p>
        </w:tc>
        <w:tc>
          <w:tcPr>
            <w:tcW w:w="2551" w:type="dxa"/>
            <w:vAlign w:val="center"/>
          </w:tcPr>
          <w:p w14:paraId="33731775">
            <w:pPr>
              <w:pStyle w:val="13"/>
            </w:pPr>
            <w:r>
              <w:t>75%</w:t>
            </w:r>
          </w:p>
        </w:tc>
        <w:tc>
          <w:tcPr>
            <w:tcW w:w="3544" w:type="dxa"/>
            <w:gridSpan w:val="2"/>
            <w:vAlign w:val="center"/>
          </w:tcPr>
          <w:p w14:paraId="171459C0">
            <w:pPr>
              <w:pStyle w:val="13"/>
            </w:pPr>
            <w:r>
              <w:t>100%</w:t>
            </w:r>
          </w:p>
        </w:tc>
      </w:tr>
      <w:tr w14:paraId="1F77B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15671">
            <w:pPr>
              <w:pStyle w:val="10"/>
            </w:pPr>
            <w:r>
              <w:t>绩效目标</w:t>
            </w:r>
          </w:p>
        </w:tc>
        <w:tc>
          <w:tcPr>
            <w:tcW w:w="14033" w:type="dxa"/>
            <w:gridSpan w:val="6"/>
            <w:vAlign w:val="center"/>
          </w:tcPr>
          <w:p w14:paraId="49AF3064">
            <w:pPr>
              <w:pStyle w:val="12"/>
            </w:pPr>
            <w:r>
              <w:t>1.为保证幼儿园正常运转和改善办学条件。</w:t>
            </w:r>
          </w:p>
          <w:p w14:paraId="33A12CE6">
            <w:pPr>
              <w:pStyle w:val="12"/>
            </w:pPr>
            <w:r>
              <w:t>2.按拨款序时进度完成经费拨付和支出。</w:t>
            </w:r>
          </w:p>
        </w:tc>
      </w:tr>
    </w:tbl>
    <w:p w14:paraId="73B456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4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B4355">
            <w:pPr>
              <w:pStyle w:val="10"/>
            </w:pPr>
            <w:r>
              <w:t>一级指标</w:t>
            </w:r>
          </w:p>
        </w:tc>
        <w:tc>
          <w:tcPr>
            <w:tcW w:w="2268" w:type="dxa"/>
            <w:vAlign w:val="center"/>
          </w:tcPr>
          <w:p w14:paraId="34FBE4D3">
            <w:pPr>
              <w:pStyle w:val="10"/>
            </w:pPr>
            <w:r>
              <w:t>二级指标</w:t>
            </w:r>
          </w:p>
        </w:tc>
        <w:tc>
          <w:tcPr>
            <w:tcW w:w="2835" w:type="dxa"/>
            <w:vAlign w:val="center"/>
          </w:tcPr>
          <w:p w14:paraId="1F1BC894">
            <w:pPr>
              <w:pStyle w:val="10"/>
            </w:pPr>
            <w:r>
              <w:t>三级指标</w:t>
            </w:r>
          </w:p>
        </w:tc>
        <w:tc>
          <w:tcPr>
            <w:tcW w:w="5386" w:type="dxa"/>
            <w:vAlign w:val="center"/>
          </w:tcPr>
          <w:p w14:paraId="64692287">
            <w:pPr>
              <w:pStyle w:val="10"/>
            </w:pPr>
            <w:r>
              <w:t>绩效指标描述</w:t>
            </w:r>
          </w:p>
        </w:tc>
        <w:tc>
          <w:tcPr>
            <w:tcW w:w="2268" w:type="dxa"/>
            <w:vAlign w:val="center"/>
          </w:tcPr>
          <w:p w14:paraId="436DBB2D">
            <w:pPr>
              <w:pStyle w:val="10"/>
            </w:pPr>
            <w:r>
              <w:t>指标值</w:t>
            </w:r>
          </w:p>
        </w:tc>
        <w:tc>
          <w:tcPr>
            <w:tcW w:w="1276" w:type="dxa"/>
            <w:vAlign w:val="center"/>
          </w:tcPr>
          <w:p w14:paraId="3B4B1E13">
            <w:pPr>
              <w:pStyle w:val="10"/>
            </w:pPr>
            <w:r>
              <w:t>指标值确定依据</w:t>
            </w:r>
          </w:p>
        </w:tc>
      </w:tr>
      <w:tr w14:paraId="4477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8A070">
            <w:pPr>
              <w:pStyle w:val="13"/>
            </w:pPr>
            <w:r>
              <w:t>产出指标</w:t>
            </w:r>
          </w:p>
        </w:tc>
        <w:tc>
          <w:tcPr>
            <w:tcW w:w="2268" w:type="dxa"/>
            <w:vAlign w:val="center"/>
          </w:tcPr>
          <w:p w14:paraId="3353B5DE">
            <w:pPr>
              <w:pStyle w:val="12"/>
            </w:pPr>
            <w:r>
              <w:t>数量指标</w:t>
            </w:r>
          </w:p>
        </w:tc>
        <w:tc>
          <w:tcPr>
            <w:tcW w:w="2835" w:type="dxa"/>
            <w:vAlign w:val="center"/>
          </w:tcPr>
          <w:p w14:paraId="4BD56925">
            <w:pPr>
              <w:pStyle w:val="12"/>
            </w:pPr>
            <w:r>
              <w:t>适龄在园生</w:t>
            </w:r>
          </w:p>
        </w:tc>
        <w:tc>
          <w:tcPr>
            <w:tcW w:w="5386" w:type="dxa"/>
            <w:vAlign w:val="center"/>
          </w:tcPr>
          <w:p w14:paraId="436549B2">
            <w:pPr>
              <w:pStyle w:val="12"/>
            </w:pPr>
            <w:r>
              <w:t>适龄在园学生人数</w:t>
            </w:r>
          </w:p>
        </w:tc>
        <w:tc>
          <w:tcPr>
            <w:tcW w:w="2268" w:type="dxa"/>
            <w:vAlign w:val="center"/>
          </w:tcPr>
          <w:p w14:paraId="5D40FD1E">
            <w:pPr>
              <w:pStyle w:val="12"/>
            </w:pPr>
            <w:r>
              <w:t>597人</w:t>
            </w:r>
          </w:p>
        </w:tc>
        <w:tc>
          <w:tcPr>
            <w:tcW w:w="1276" w:type="dxa"/>
            <w:vAlign w:val="center"/>
          </w:tcPr>
          <w:p w14:paraId="4794CEC1">
            <w:pPr>
              <w:pStyle w:val="12"/>
            </w:pPr>
            <w:r>
              <w:t>支持学前教育发展县级资金管理办法</w:t>
            </w:r>
          </w:p>
        </w:tc>
      </w:tr>
      <w:tr w14:paraId="6962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08EF8"/>
        </w:tc>
        <w:tc>
          <w:tcPr>
            <w:tcW w:w="2268" w:type="dxa"/>
            <w:vAlign w:val="center"/>
          </w:tcPr>
          <w:p w14:paraId="41B01B82">
            <w:pPr>
              <w:pStyle w:val="12"/>
            </w:pPr>
            <w:r>
              <w:t>质量指标</w:t>
            </w:r>
          </w:p>
        </w:tc>
        <w:tc>
          <w:tcPr>
            <w:tcW w:w="2835" w:type="dxa"/>
            <w:vAlign w:val="center"/>
          </w:tcPr>
          <w:p w14:paraId="17CEEBEC">
            <w:pPr>
              <w:pStyle w:val="12"/>
            </w:pPr>
            <w:r>
              <w:t>公用经费控制率</w:t>
            </w:r>
          </w:p>
        </w:tc>
        <w:tc>
          <w:tcPr>
            <w:tcW w:w="5386" w:type="dxa"/>
            <w:vAlign w:val="center"/>
          </w:tcPr>
          <w:p w14:paraId="5571A0C5">
            <w:pPr>
              <w:pStyle w:val="12"/>
            </w:pPr>
            <w:r>
              <w:t>幼儿园公用经费拨付执行率</w:t>
            </w:r>
          </w:p>
        </w:tc>
        <w:tc>
          <w:tcPr>
            <w:tcW w:w="2268" w:type="dxa"/>
            <w:vAlign w:val="center"/>
          </w:tcPr>
          <w:p w14:paraId="6F9DD16C">
            <w:pPr>
              <w:pStyle w:val="12"/>
            </w:pPr>
            <w:r>
              <w:t>≥98%</w:t>
            </w:r>
          </w:p>
        </w:tc>
        <w:tc>
          <w:tcPr>
            <w:tcW w:w="1276" w:type="dxa"/>
            <w:vAlign w:val="center"/>
          </w:tcPr>
          <w:p w14:paraId="7B72566B">
            <w:pPr>
              <w:pStyle w:val="12"/>
            </w:pPr>
            <w:r>
              <w:t>支持学前教育发展县级资金管理办法</w:t>
            </w:r>
          </w:p>
        </w:tc>
      </w:tr>
      <w:tr w14:paraId="2D69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3CAE4"/>
        </w:tc>
        <w:tc>
          <w:tcPr>
            <w:tcW w:w="2268" w:type="dxa"/>
            <w:vAlign w:val="center"/>
          </w:tcPr>
          <w:p w14:paraId="7C658E96">
            <w:pPr>
              <w:pStyle w:val="12"/>
            </w:pPr>
            <w:r>
              <w:t>时效指标</w:t>
            </w:r>
          </w:p>
        </w:tc>
        <w:tc>
          <w:tcPr>
            <w:tcW w:w="2835" w:type="dxa"/>
            <w:vAlign w:val="center"/>
          </w:tcPr>
          <w:p w14:paraId="6E06B320">
            <w:pPr>
              <w:pStyle w:val="12"/>
            </w:pPr>
            <w:r>
              <w:t>资金支付率</w:t>
            </w:r>
          </w:p>
        </w:tc>
        <w:tc>
          <w:tcPr>
            <w:tcW w:w="5386" w:type="dxa"/>
            <w:vAlign w:val="center"/>
          </w:tcPr>
          <w:p w14:paraId="08C1F2CA">
            <w:pPr>
              <w:pStyle w:val="12"/>
            </w:pPr>
            <w:r>
              <w:t>按照序时进度完成资金支付</w:t>
            </w:r>
          </w:p>
        </w:tc>
        <w:tc>
          <w:tcPr>
            <w:tcW w:w="2268" w:type="dxa"/>
            <w:vAlign w:val="center"/>
          </w:tcPr>
          <w:p w14:paraId="69006833">
            <w:pPr>
              <w:pStyle w:val="12"/>
            </w:pPr>
            <w:r>
              <w:t>≥98%</w:t>
            </w:r>
          </w:p>
        </w:tc>
        <w:tc>
          <w:tcPr>
            <w:tcW w:w="1276" w:type="dxa"/>
            <w:vAlign w:val="center"/>
          </w:tcPr>
          <w:p w14:paraId="07410078">
            <w:pPr>
              <w:pStyle w:val="12"/>
            </w:pPr>
            <w:r>
              <w:t>支持学前教育发展县级资金管理办法</w:t>
            </w:r>
          </w:p>
        </w:tc>
      </w:tr>
      <w:tr w14:paraId="2DCB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A031A"/>
        </w:tc>
        <w:tc>
          <w:tcPr>
            <w:tcW w:w="2268" w:type="dxa"/>
            <w:vAlign w:val="center"/>
          </w:tcPr>
          <w:p w14:paraId="493BCD10">
            <w:pPr>
              <w:pStyle w:val="12"/>
            </w:pPr>
            <w:r>
              <w:t>成本指标</w:t>
            </w:r>
          </w:p>
        </w:tc>
        <w:tc>
          <w:tcPr>
            <w:tcW w:w="2835" w:type="dxa"/>
            <w:vAlign w:val="center"/>
          </w:tcPr>
          <w:p w14:paraId="21AEBB9A">
            <w:pPr>
              <w:pStyle w:val="12"/>
            </w:pPr>
            <w:r>
              <w:t>生均拨款标准</w:t>
            </w:r>
          </w:p>
        </w:tc>
        <w:tc>
          <w:tcPr>
            <w:tcW w:w="5386" w:type="dxa"/>
            <w:vAlign w:val="center"/>
          </w:tcPr>
          <w:p w14:paraId="2C042D7D">
            <w:pPr>
              <w:pStyle w:val="12"/>
            </w:pPr>
            <w:r>
              <w:t>学前：（基本标准600元/生/学年）</w:t>
            </w:r>
          </w:p>
        </w:tc>
        <w:tc>
          <w:tcPr>
            <w:tcW w:w="2268" w:type="dxa"/>
            <w:vAlign w:val="center"/>
          </w:tcPr>
          <w:p w14:paraId="55598E3D">
            <w:pPr>
              <w:pStyle w:val="12"/>
            </w:pPr>
            <w:r>
              <w:t>600元</w:t>
            </w:r>
          </w:p>
        </w:tc>
        <w:tc>
          <w:tcPr>
            <w:tcW w:w="1276" w:type="dxa"/>
            <w:vAlign w:val="center"/>
          </w:tcPr>
          <w:p w14:paraId="5E7231E7">
            <w:pPr>
              <w:pStyle w:val="12"/>
            </w:pPr>
            <w:r>
              <w:t>支持学前教育发展县级资金管理办法</w:t>
            </w:r>
          </w:p>
        </w:tc>
      </w:tr>
      <w:tr w14:paraId="5724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511D4">
            <w:pPr>
              <w:pStyle w:val="13"/>
            </w:pPr>
            <w:r>
              <w:t>效益指标</w:t>
            </w:r>
          </w:p>
        </w:tc>
        <w:tc>
          <w:tcPr>
            <w:tcW w:w="2268" w:type="dxa"/>
            <w:vAlign w:val="center"/>
          </w:tcPr>
          <w:p w14:paraId="51C840DD">
            <w:pPr>
              <w:pStyle w:val="12"/>
            </w:pPr>
            <w:r>
              <w:t>可持续影响指标</w:t>
            </w:r>
          </w:p>
        </w:tc>
        <w:tc>
          <w:tcPr>
            <w:tcW w:w="2835" w:type="dxa"/>
            <w:vAlign w:val="center"/>
          </w:tcPr>
          <w:p w14:paraId="1FF1FF4A">
            <w:pPr>
              <w:pStyle w:val="12"/>
            </w:pPr>
            <w:r>
              <w:t>教育发展水平明显好转</w:t>
            </w:r>
          </w:p>
        </w:tc>
        <w:tc>
          <w:tcPr>
            <w:tcW w:w="5386" w:type="dxa"/>
            <w:vAlign w:val="center"/>
          </w:tcPr>
          <w:p w14:paraId="728B57D8">
            <w:pPr>
              <w:pStyle w:val="12"/>
            </w:pPr>
            <w:r>
              <w:t>学生受教育年限</w:t>
            </w:r>
          </w:p>
        </w:tc>
        <w:tc>
          <w:tcPr>
            <w:tcW w:w="2268" w:type="dxa"/>
            <w:vAlign w:val="center"/>
          </w:tcPr>
          <w:p w14:paraId="5CC5508F">
            <w:pPr>
              <w:pStyle w:val="12"/>
            </w:pPr>
            <w:r>
              <w:t>3年</w:t>
            </w:r>
          </w:p>
        </w:tc>
        <w:tc>
          <w:tcPr>
            <w:tcW w:w="1276" w:type="dxa"/>
            <w:vAlign w:val="center"/>
          </w:tcPr>
          <w:p w14:paraId="27A760F5">
            <w:pPr>
              <w:pStyle w:val="12"/>
            </w:pPr>
            <w:r>
              <w:t>支持学前教育发展县级资金管理办法</w:t>
            </w:r>
          </w:p>
        </w:tc>
      </w:tr>
      <w:tr w14:paraId="7EDA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4D520">
            <w:pPr>
              <w:pStyle w:val="13"/>
            </w:pPr>
            <w:r>
              <w:t>满意度指标</w:t>
            </w:r>
          </w:p>
        </w:tc>
        <w:tc>
          <w:tcPr>
            <w:tcW w:w="2268" w:type="dxa"/>
            <w:vAlign w:val="center"/>
          </w:tcPr>
          <w:p w14:paraId="73B62930">
            <w:pPr>
              <w:pStyle w:val="12"/>
            </w:pPr>
            <w:r>
              <w:t>服务对象满意度指标</w:t>
            </w:r>
          </w:p>
        </w:tc>
        <w:tc>
          <w:tcPr>
            <w:tcW w:w="2835" w:type="dxa"/>
            <w:vAlign w:val="center"/>
          </w:tcPr>
          <w:p w14:paraId="6286BC8D">
            <w:pPr>
              <w:pStyle w:val="12"/>
            </w:pPr>
            <w:r>
              <w:t>受益学生家长及调查满意度</w:t>
            </w:r>
          </w:p>
        </w:tc>
        <w:tc>
          <w:tcPr>
            <w:tcW w:w="5386" w:type="dxa"/>
            <w:vAlign w:val="center"/>
          </w:tcPr>
          <w:p w14:paraId="520C9A21">
            <w:pPr>
              <w:pStyle w:val="12"/>
            </w:pPr>
            <w:r>
              <w:t>幼儿、教师及家长对学校保教保育工作满意度情况</w:t>
            </w:r>
          </w:p>
        </w:tc>
        <w:tc>
          <w:tcPr>
            <w:tcW w:w="2268" w:type="dxa"/>
            <w:vAlign w:val="center"/>
          </w:tcPr>
          <w:p w14:paraId="2E72761E">
            <w:pPr>
              <w:pStyle w:val="12"/>
            </w:pPr>
            <w:r>
              <w:t>≥95%</w:t>
            </w:r>
          </w:p>
        </w:tc>
        <w:tc>
          <w:tcPr>
            <w:tcW w:w="1276" w:type="dxa"/>
            <w:vAlign w:val="center"/>
          </w:tcPr>
          <w:p w14:paraId="678C82AF">
            <w:pPr>
              <w:pStyle w:val="12"/>
            </w:pPr>
            <w:r>
              <w:t>调查问卷</w:t>
            </w:r>
          </w:p>
        </w:tc>
      </w:tr>
    </w:tbl>
    <w:p w14:paraId="5BAB5E57">
      <w:pPr>
        <w:sectPr>
          <w:pgSz w:w="16840" w:h="11900" w:orient="landscape"/>
          <w:pgMar w:top="1361" w:right="1020" w:bottom="1134" w:left="1020" w:header="720" w:footer="720" w:gutter="0"/>
          <w:cols w:space="720" w:num="1"/>
        </w:sectPr>
      </w:pPr>
    </w:p>
    <w:p w14:paraId="5FE54CA9">
      <w:pPr>
        <w:spacing w:before="0" w:after="0"/>
        <w:ind w:firstLine="560"/>
        <w:jc w:val="left"/>
        <w:outlineLvl w:val="9"/>
      </w:pPr>
      <w:r>
        <w:rPr>
          <w:rFonts w:ascii="方正仿宋_GBK" w:hAnsi="方正仿宋_GBK" w:eastAsia="方正仿宋_GBK" w:cs="方正仿宋_GBK"/>
          <w:b/>
          <w:color w:val="000000"/>
          <w:sz w:val="28"/>
        </w:rPr>
        <w:t>29、学前专项经费/大张家庄校区绩效目标表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9D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F01F8">
            <w:pPr>
              <w:pStyle w:val="11"/>
            </w:pPr>
            <w:r>
              <w:t>单位：万元</w:t>
            </w:r>
          </w:p>
        </w:tc>
      </w:tr>
      <w:tr w14:paraId="69A10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0A8CC">
            <w:pPr>
              <w:pStyle w:val="10"/>
            </w:pPr>
            <w:r>
              <w:t>项目编码</w:t>
            </w:r>
          </w:p>
        </w:tc>
        <w:tc>
          <w:tcPr>
            <w:tcW w:w="5103" w:type="dxa"/>
            <w:gridSpan w:val="2"/>
            <w:vAlign w:val="center"/>
          </w:tcPr>
          <w:p w14:paraId="0EF8FD98">
            <w:pPr>
              <w:pStyle w:val="12"/>
            </w:pPr>
            <w:r>
              <w:t>13052526P00000210100C</w:t>
            </w:r>
          </w:p>
        </w:tc>
        <w:tc>
          <w:tcPr>
            <w:tcW w:w="2835" w:type="dxa"/>
            <w:vAlign w:val="center"/>
          </w:tcPr>
          <w:p w14:paraId="482A74DC">
            <w:pPr>
              <w:pStyle w:val="10"/>
            </w:pPr>
            <w:r>
              <w:t>项目名称</w:t>
            </w:r>
          </w:p>
        </w:tc>
        <w:tc>
          <w:tcPr>
            <w:tcW w:w="6095" w:type="dxa"/>
            <w:gridSpan w:val="3"/>
            <w:vAlign w:val="center"/>
          </w:tcPr>
          <w:p w14:paraId="59FAA24C">
            <w:pPr>
              <w:pStyle w:val="12"/>
            </w:pPr>
            <w:r>
              <w:t>学前专项经费/大张家庄校区</w:t>
            </w:r>
          </w:p>
        </w:tc>
      </w:tr>
      <w:tr w14:paraId="708B1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0990D">
            <w:pPr>
              <w:pStyle w:val="10"/>
            </w:pPr>
            <w:r>
              <w:t>预算规模及资金用途</w:t>
            </w:r>
          </w:p>
        </w:tc>
        <w:tc>
          <w:tcPr>
            <w:tcW w:w="2268" w:type="dxa"/>
            <w:vAlign w:val="center"/>
          </w:tcPr>
          <w:p w14:paraId="35232200">
            <w:pPr>
              <w:pStyle w:val="10"/>
            </w:pPr>
            <w:r>
              <w:t>预算数</w:t>
            </w:r>
          </w:p>
        </w:tc>
        <w:tc>
          <w:tcPr>
            <w:tcW w:w="2835" w:type="dxa"/>
            <w:vAlign w:val="center"/>
          </w:tcPr>
          <w:p w14:paraId="003CFB36">
            <w:pPr>
              <w:pStyle w:val="12"/>
            </w:pPr>
            <w:r>
              <w:t>9.05</w:t>
            </w:r>
          </w:p>
        </w:tc>
        <w:tc>
          <w:tcPr>
            <w:tcW w:w="2835" w:type="dxa"/>
            <w:vAlign w:val="center"/>
          </w:tcPr>
          <w:p w14:paraId="2B8969A7">
            <w:pPr>
              <w:pStyle w:val="10"/>
            </w:pPr>
            <w:r>
              <w:t>其中：财政    资金</w:t>
            </w:r>
          </w:p>
        </w:tc>
        <w:tc>
          <w:tcPr>
            <w:tcW w:w="2551" w:type="dxa"/>
            <w:vAlign w:val="center"/>
          </w:tcPr>
          <w:p w14:paraId="6D4F6212">
            <w:pPr>
              <w:pStyle w:val="12"/>
            </w:pPr>
            <w:r>
              <w:t>9.05</w:t>
            </w:r>
          </w:p>
        </w:tc>
        <w:tc>
          <w:tcPr>
            <w:tcW w:w="2268" w:type="dxa"/>
            <w:vAlign w:val="center"/>
          </w:tcPr>
          <w:p w14:paraId="55849F1D">
            <w:pPr>
              <w:pStyle w:val="10"/>
            </w:pPr>
            <w:r>
              <w:t>其他资金</w:t>
            </w:r>
          </w:p>
        </w:tc>
        <w:tc>
          <w:tcPr>
            <w:tcW w:w="1276" w:type="dxa"/>
            <w:vAlign w:val="center"/>
          </w:tcPr>
          <w:p w14:paraId="31EECAB2">
            <w:pPr>
              <w:pStyle w:val="12"/>
            </w:pPr>
            <w:r>
              <w:t xml:space="preserve"> </w:t>
            </w:r>
          </w:p>
        </w:tc>
      </w:tr>
      <w:tr w14:paraId="5B374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26998"/>
        </w:tc>
        <w:tc>
          <w:tcPr>
            <w:tcW w:w="14033" w:type="dxa"/>
            <w:gridSpan w:val="6"/>
            <w:vAlign w:val="center"/>
          </w:tcPr>
          <w:p w14:paraId="2E9C23B2">
            <w:pPr>
              <w:pStyle w:val="12"/>
            </w:pPr>
            <w:r>
              <w:t>用于保障幼儿园正常运转</w:t>
            </w:r>
          </w:p>
        </w:tc>
      </w:tr>
      <w:tr w14:paraId="4AEFF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D962E">
            <w:pPr>
              <w:pStyle w:val="10"/>
            </w:pPr>
            <w:r>
              <w:t>资金支出计划（%）</w:t>
            </w:r>
          </w:p>
        </w:tc>
        <w:tc>
          <w:tcPr>
            <w:tcW w:w="5103" w:type="dxa"/>
            <w:gridSpan w:val="2"/>
            <w:vAlign w:val="center"/>
          </w:tcPr>
          <w:p w14:paraId="394B02D1">
            <w:pPr>
              <w:pStyle w:val="10"/>
            </w:pPr>
            <w:r>
              <w:t>3月底</w:t>
            </w:r>
          </w:p>
        </w:tc>
        <w:tc>
          <w:tcPr>
            <w:tcW w:w="2835" w:type="dxa"/>
            <w:vAlign w:val="center"/>
          </w:tcPr>
          <w:p w14:paraId="2E150AA4">
            <w:pPr>
              <w:pStyle w:val="10"/>
            </w:pPr>
            <w:r>
              <w:t>6月底</w:t>
            </w:r>
          </w:p>
        </w:tc>
        <w:tc>
          <w:tcPr>
            <w:tcW w:w="2551" w:type="dxa"/>
            <w:vAlign w:val="center"/>
          </w:tcPr>
          <w:p w14:paraId="061FDFA0">
            <w:pPr>
              <w:pStyle w:val="10"/>
            </w:pPr>
            <w:r>
              <w:t>10月底</w:t>
            </w:r>
          </w:p>
        </w:tc>
        <w:tc>
          <w:tcPr>
            <w:tcW w:w="3544" w:type="dxa"/>
            <w:gridSpan w:val="2"/>
            <w:vAlign w:val="center"/>
          </w:tcPr>
          <w:p w14:paraId="021399CC">
            <w:pPr>
              <w:pStyle w:val="10"/>
            </w:pPr>
            <w:r>
              <w:t>12月底</w:t>
            </w:r>
          </w:p>
        </w:tc>
      </w:tr>
      <w:tr w14:paraId="5ACA8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799C7"/>
        </w:tc>
        <w:tc>
          <w:tcPr>
            <w:tcW w:w="5103" w:type="dxa"/>
            <w:gridSpan w:val="2"/>
            <w:vAlign w:val="center"/>
          </w:tcPr>
          <w:p w14:paraId="1736D20A">
            <w:pPr>
              <w:pStyle w:val="13"/>
            </w:pPr>
            <w:r>
              <w:t xml:space="preserve"> </w:t>
            </w:r>
          </w:p>
        </w:tc>
        <w:tc>
          <w:tcPr>
            <w:tcW w:w="2835" w:type="dxa"/>
            <w:vAlign w:val="center"/>
          </w:tcPr>
          <w:p w14:paraId="2F9FB055">
            <w:pPr>
              <w:pStyle w:val="13"/>
            </w:pPr>
            <w:r>
              <w:t>50%</w:t>
            </w:r>
          </w:p>
        </w:tc>
        <w:tc>
          <w:tcPr>
            <w:tcW w:w="2551" w:type="dxa"/>
            <w:vAlign w:val="center"/>
          </w:tcPr>
          <w:p w14:paraId="356CB525">
            <w:pPr>
              <w:pStyle w:val="13"/>
            </w:pPr>
            <w:r>
              <w:t>50%</w:t>
            </w:r>
          </w:p>
        </w:tc>
        <w:tc>
          <w:tcPr>
            <w:tcW w:w="3544" w:type="dxa"/>
            <w:gridSpan w:val="2"/>
            <w:vAlign w:val="center"/>
          </w:tcPr>
          <w:p w14:paraId="20C42B45">
            <w:pPr>
              <w:pStyle w:val="13"/>
            </w:pPr>
            <w:r>
              <w:t>100%</w:t>
            </w:r>
          </w:p>
        </w:tc>
      </w:tr>
      <w:tr w14:paraId="51FCD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68174">
            <w:pPr>
              <w:pStyle w:val="10"/>
            </w:pPr>
            <w:r>
              <w:t>绩效目标</w:t>
            </w:r>
          </w:p>
        </w:tc>
        <w:tc>
          <w:tcPr>
            <w:tcW w:w="14033" w:type="dxa"/>
            <w:gridSpan w:val="6"/>
            <w:vAlign w:val="center"/>
          </w:tcPr>
          <w:p w14:paraId="75314802">
            <w:pPr>
              <w:pStyle w:val="12"/>
            </w:pPr>
            <w:r>
              <w:t>1.按上缴财政序时进度完成公立幼儿园保育费支出。</w:t>
            </w:r>
          </w:p>
          <w:p w14:paraId="6F13BABB">
            <w:pPr>
              <w:pStyle w:val="12"/>
            </w:pPr>
            <w:r>
              <w:t>2.按要求完成公立幼儿园保育费按月/季度上缴财政。</w:t>
            </w:r>
          </w:p>
        </w:tc>
      </w:tr>
    </w:tbl>
    <w:p w14:paraId="65D0B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C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81113">
            <w:pPr>
              <w:pStyle w:val="10"/>
            </w:pPr>
            <w:r>
              <w:t>一级指标</w:t>
            </w:r>
          </w:p>
        </w:tc>
        <w:tc>
          <w:tcPr>
            <w:tcW w:w="2268" w:type="dxa"/>
            <w:vAlign w:val="center"/>
          </w:tcPr>
          <w:p w14:paraId="45716562">
            <w:pPr>
              <w:pStyle w:val="10"/>
            </w:pPr>
            <w:r>
              <w:t>二级指标</w:t>
            </w:r>
          </w:p>
        </w:tc>
        <w:tc>
          <w:tcPr>
            <w:tcW w:w="2835" w:type="dxa"/>
            <w:vAlign w:val="center"/>
          </w:tcPr>
          <w:p w14:paraId="689475FC">
            <w:pPr>
              <w:pStyle w:val="10"/>
            </w:pPr>
            <w:r>
              <w:t>三级指标</w:t>
            </w:r>
          </w:p>
        </w:tc>
        <w:tc>
          <w:tcPr>
            <w:tcW w:w="5386" w:type="dxa"/>
            <w:vAlign w:val="center"/>
          </w:tcPr>
          <w:p w14:paraId="3D2AC715">
            <w:pPr>
              <w:pStyle w:val="10"/>
            </w:pPr>
            <w:r>
              <w:t>绩效指标描述</w:t>
            </w:r>
          </w:p>
        </w:tc>
        <w:tc>
          <w:tcPr>
            <w:tcW w:w="2268" w:type="dxa"/>
            <w:vAlign w:val="center"/>
          </w:tcPr>
          <w:p w14:paraId="3F159B15">
            <w:pPr>
              <w:pStyle w:val="10"/>
            </w:pPr>
            <w:r>
              <w:t>指标值</w:t>
            </w:r>
          </w:p>
        </w:tc>
        <w:tc>
          <w:tcPr>
            <w:tcW w:w="1276" w:type="dxa"/>
            <w:vAlign w:val="center"/>
          </w:tcPr>
          <w:p w14:paraId="47EDAE23">
            <w:pPr>
              <w:pStyle w:val="10"/>
            </w:pPr>
            <w:r>
              <w:t>指标值确定依据</w:t>
            </w:r>
          </w:p>
        </w:tc>
      </w:tr>
      <w:tr w14:paraId="00DA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26B8D">
            <w:pPr>
              <w:pStyle w:val="13"/>
            </w:pPr>
            <w:r>
              <w:t>产出指标</w:t>
            </w:r>
          </w:p>
        </w:tc>
        <w:tc>
          <w:tcPr>
            <w:tcW w:w="2268" w:type="dxa"/>
            <w:vAlign w:val="center"/>
          </w:tcPr>
          <w:p w14:paraId="25013A7A">
            <w:pPr>
              <w:pStyle w:val="12"/>
            </w:pPr>
            <w:r>
              <w:t>数量指标</w:t>
            </w:r>
          </w:p>
        </w:tc>
        <w:tc>
          <w:tcPr>
            <w:tcW w:w="2835" w:type="dxa"/>
            <w:vAlign w:val="center"/>
          </w:tcPr>
          <w:p w14:paraId="52D43107">
            <w:pPr>
              <w:pStyle w:val="12"/>
            </w:pPr>
            <w:r>
              <w:t>适龄在园生</w:t>
            </w:r>
          </w:p>
        </w:tc>
        <w:tc>
          <w:tcPr>
            <w:tcW w:w="5386" w:type="dxa"/>
            <w:vAlign w:val="center"/>
          </w:tcPr>
          <w:p w14:paraId="38E609A3">
            <w:pPr>
              <w:pStyle w:val="12"/>
            </w:pPr>
            <w:r>
              <w:t>适龄在园学生人数</w:t>
            </w:r>
          </w:p>
        </w:tc>
        <w:tc>
          <w:tcPr>
            <w:tcW w:w="2268" w:type="dxa"/>
            <w:vAlign w:val="center"/>
          </w:tcPr>
          <w:p w14:paraId="54E148FA">
            <w:pPr>
              <w:pStyle w:val="12"/>
            </w:pPr>
            <w:r>
              <w:t>116 人</w:t>
            </w:r>
          </w:p>
        </w:tc>
        <w:tc>
          <w:tcPr>
            <w:tcW w:w="1276" w:type="dxa"/>
            <w:vAlign w:val="center"/>
          </w:tcPr>
          <w:p w14:paraId="43926C67">
            <w:pPr>
              <w:pStyle w:val="12"/>
            </w:pPr>
            <w:r>
              <w:t>年度工作计划</w:t>
            </w:r>
          </w:p>
        </w:tc>
      </w:tr>
      <w:tr w14:paraId="225E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F8CB0"/>
        </w:tc>
        <w:tc>
          <w:tcPr>
            <w:tcW w:w="2268" w:type="dxa"/>
            <w:vAlign w:val="center"/>
          </w:tcPr>
          <w:p w14:paraId="45577FD5">
            <w:pPr>
              <w:pStyle w:val="12"/>
            </w:pPr>
            <w:r>
              <w:t>质量指标</w:t>
            </w:r>
          </w:p>
        </w:tc>
        <w:tc>
          <w:tcPr>
            <w:tcW w:w="2835" w:type="dxa"/>
            <w:vAlign w:val="center"/>
          </w:tcPr>
          <w:p w14:paraId="248F1721">
            <w:pPr>
              <w:pStyle w:val="12"/>
            </w:pPr>
            <w:r>
              <w:t>按月上缴财政完成率</w:t>
            </w:r>
          </w:p>
        </w:tc>
        <w:tc>
          <w:tcPr>
            <w:tcW w:w="5386" w:type="dxa"/>
            <w:vAlign w:val="center"/>
          </w:tcPr>
          <w:p w14:paraId="3804ED65">
            <w:pPr>
              <w:pStyle w:val="12"/>
            </w:pPr>
            <w:r>
              <w:t>按月完成公立幼儿园保育费上缴财政</w:t>
            </w:r>
          </w:p>
        </w:tc>
        <w:tc>
          <w:tcPr>
            <w:tcW w:w="2268" w:type="dxa"/>
            <w:vAlign w:val="center"/>
          </w:tcPr>
          <w:p w14:paraId="61012C71">
            <w:pPr>
              <w:pStyle w:val="12"/>
            </w:pPr>
            <w:r>
              <w:t>≥98%</w:t>
            </w:r>
          </w:p>
        </w:tc>
        <w:tc>
          <w:tcPr>
            <w:tcW w:w="1276" w:type="dxa"/>
            <w:vAlign w:val="center"/>
          </w:tcPr>
          <w:p w14:paraId="48963AD4">
            <w:pPr>
              <w:pStyle w:val="12"/>
            </w:pPr>
            <w:r>
              <w:t>年度工作计划</w:t>
            </w:r>
          </w:p>
        </w:tc>
      </w:tr>
      <w:tr w14:paraId="1666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16073"/>
        </w:tc>
        <w:tc>
          <w:tcPr>
            <w:tcW w:w="2268" w:type="dxa"/>
            <w:vAlign w:val="center"/>
          </w:tcPr>
          <w:p w14:paraId="6257E634">
            <w:pPr>
              <w:pStyle w:val="12"/>
            </w:pPr>
            <w:r>
              <w:t>时效指标</w:t>
            </w:r>
          </w:p>
        </w:tc>
        <w:tc>
          <w:tcPr>
            <w:tcW w:w="2835" w:type="dxa"/>
            <w:vAlign w:val="center"/>
          </w:tcPr>
          <w:p w14:paraId="099E4946">
            <w:pPr>
              <w:pStyle w:val="12"/>
            </w:pPr>
            <w:r>
              <w:t>资金支付率</w:t>
            </w:r>
          </w:p>
        </w:tc>
        <w:tc>
          <w:tcPr>
            <w:tcW w:w="5386" w:type="dxa"/>
            <w:vAlign w:val="center"/>
          </w:tcPr>
          <w:p w14:paraId="32AC02A5">
            <w:pPr>
              <w:pStyle w:val="12"/>
            </w:pPr>
            <w:r>
              <w:t>按照上缴财政进度完成公立幼儿园保育费支付</w:t>
            </w:r>
          </w:p>
        </w:tc>
        <w:tc>
          <w:tcPr>
            <w:tcW w:w="2268" w:type="dxa"/>
            <w:vAlign w:val="center"/>
          </w:tcPr>
          <w:p w14:paraId="303DB137">
            <w:pPr>
              <w:pStyle w:val="12"/>
            </w:pPr>
            <w:r>
              <w:t>≥98%</w:t>
            </w:r>
          </w:p>
        </w:tc>
        <w:tc>
          <w:tcPr>
            <w:tcW w:w="1276" w:type="dxa"/>
            <w:vAlign w:val="center"/>
          </w:tcPr>
          <w:p w14:paraId="7768A8B2">
            <w:pPr>
              <w:pStyle w:val="12"/>
            </w:pPr>
            <w:r>
              <w:t>年度工作计划</w:t>
            </w:r>
          </w:p>
        </w:tc>
      </w:tr>
      <w:tr w14:paraId="0AB2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2EDAD"/>
        </w:tc>
        <w:tc>
          <w:tcPr>
            <w:tcW w:w="2268" w:type="dxa"/>
            <w:vAlign w:val="center"/>
          </w:tcPr>
          <w:p w14:paraId="09514514">
            <w:pPr>
              <w:pStyle w:val="12"/>
            </w:pPr>
            <w:r>
              <w:t>成本指标</w:t>
            </w:r>
          </w:p>
        </w:tc>
        <w:tc>
          <w:tcPr>
            <w:tcW w:w="2835" w:type="dxa"/>
            <w:vAlign w:val="center"/>
          </w:tcPr>
          <w:p w14:paraId="0A5AE29F">
            <w:pPr>
              <w:pStyle w:val="12"/>
            </w:pPr>
            <w:r>
              <w:t>公办幼儿园保育费收费标准</w:t>
            </w:r>
          </w:p>
        </w:tc>
        <w:tc>
          <w:tcPr>
            <w:tcW w:w="5386" w:type="dxa"/>
            <w:vAlign w:val="center"/>
          </w:tcPr>
          <w:p w14:paraId="356DA63C">
            <w:pPr>
              <w:pStyle w:val="12"/>
            </w:pPr>
            <w:r>
              <w:t>农村二类园130元/月/生</w:t>
            </w:r>
          </w:p>
        </w:tc>
        <w:tc>
          <w:tcPr>
            <w:tcW w:w="2268" w:type="dxa"/>
            <w:vAlign w:val="center"/>
          </w:tcPr>
          <w:p w14:paraId="2AB6DC92">
            <w:pPr>
              <w:pStyle w:val="12"/>
            </w:pPr>
            <w:r>
              <w:t>130元</w:t>
            </w:r>
          </w:p>
        </w:tc>
        <w:tc>
          <w:tcPr>
            <w:tcW w:w="1276" w:type="dxa"/>
            <w:vAlign w:val="center"/>
          </w:tcPr>
          <w:p w14:paraId="036E4224">
            <w:pPr>
              <w:pStyle w:val="12"/>
            </w:pPr>
            <w:r>
              <w:t>年度工作计划</w:t>
            </w:r>
          </w:p>
        </w:tc>
      </w:tr>
      <w:tr w14:paraId="1C4A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9067D"/>
        </w:tc>
        <w:tc>
          <w:tcPr>
            <w:tcW w:w="2268" w:type="dxa"/>
            <w:vAlign w:val="center"/>
          </w:tcPr>
          <w:p w14:paraId="19C461BD">
            <w:pPr>
              <w:pStyle w:val="12"/>
            </w:pPr>
            <w:r>
              <w:t>成本指标</w:t>
            </w:r>
          </w:p>
        </w:tc>
        <w:tc>
          <w:tcPr>
            <w:tcW w:w="2835" w:type="dxa"/>
            <w:vAlign w:val="center"/>
          </w:tcPr>
          <w:p w14:paraId="7069EED6">
            <w:pPr>
              <w:pStyle w:val="12"/>
            </w:pPr>
            <w:r>
              <w:t>公办幼儿园保育费收费标准</w:t>
            </w:r>
          </w:p>
        </w:tc>
        <w:tc>
          <w:tcPr>
            <w:tcW w:w="5386" w:type="dxa"/>
            <w:vAlign w:val="center"/>
          </w:tcPr>
          <w:p w14:paraId="68859BB4">
            <w:pPr>
              <w:pStyle w:val="12"/>
            </w:pPr>
            <w:r>
              <w:t>农村一类园150元/月/生</w:t>
            </w:r>
          </w:p>
        </w:tc>
        <w:tc>
          <w:tcPr>
            <w:tcW w:w="2268" w:type="dxa"/>
            <w:vAlign w:val="center"/>
          </w:tcPr>
          <w:p w14:paraId="6500AA0C">
            <w:pPr>
              <w:pStyle w:val="12"/>
            </w:pPr>
            <w:r>
              <w:t>150元</w:t>
            </w:r>
          </w:p>
        </w:tc>
        <w:tc>
          <w:tcPr>
            <w:tcW w:w="1276" w:type="dxa"/>
            <w:vAlign w:val="center"/>
          </w:tcPr>
          <w:p w14:paraId="7EC8B73A">
            <w:pPr>
              <w:pStyle w:val="12"/>
            </w:pPr>
            <w:r>
              <w:t>年度工作计划</w:t>
            </w:r>
          </w:p>
        </w:tc>
      </w:tr>
      <w:tr w14:paraId="6753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32DED"/>
        </w:tc>
        <w:tc>
          <w:tcPr>
            <w:tcW w:w="2268" w:type="dxa"/>
            <w:vAlign w:val="center"/>
          </w:tcPr>
          <w:p w14:paraId="37CEED48">
            <w:pPr>
              <w:pStyle w:val="12"/>
            </w:pPr>
            <w:r>
              <w:t>成本指标</w:t>
            </w:r>
          </w:p>
        </w:tc>
        <w:tc>
          <w:tcPr>
            <w:tcW w:w="2835" w:type="dxa"/>
            <w:vAlign w:val="center"/>
          </w:tcPr>
          <w:p w14:paraId="63740D30">
            <w:pPr>
              <w:pStyle w:val="12"/>
            </w:pPr>
            <w:r>
              <w:t>公办幼儿园保育费收费标准</w:t>
            </w:r>
          </w:p>
        </w:tc>
        <w:tc>
          <w:tcPr>
            <w:tcW w:w="5386" w:type="dxa"/>
            <w:vAlign w:val="center"/>
          </w:tcPr>
          <w:p w14:paraId="3B529E46">
            <w:pPr>
              <w:pStyle w:val="12"/>
            </w:pPr>
            <w:r>
              <w:t>农村示范园170元/月/生</w:t>
            </w:r>
          </w:p>
        </w:tc>
        <w:tc>
          <w:tcPr>
            <w:tcW w:w="2268" w:type="dxa"/>
            <w:vAlign w:val="center"/>
          </w:tcPr>
          <w:p w14:paraId="620C2FF1">
            <w:pPr>
              <w:pStyle w:val="12"/>
            </w:pPr>
            <w:r>
              <w:t>170元</w:t>
            </w:r>
          </w:p>
        </w:tc>
        <w:tc>
          <w:tcPr>
            <w:tcW w:w="1276" w:type="dxa"/>
            <w:vAlign w:val="center"/>
          </w:tcPr>
          <w:p w14:paraId="449CB865">
            <w:pPr>
              <w:pStyle w:val="12"/>
            </w:pPr>
            <w:r>
              <w:t>年度工作计划</w:t>
            </w:r>
          </w:p>
        </w:tc>
      </w:tr>
      <w:tr w14:paraId="5A4C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ED7CE">
            <w:pPr>
              <w:pStyle w:val="13"/>
            </w:pPr>
            <w:r>
              <w:t>效益指标</w:t>
            </w:r>
          </w:p>
        </w:tc>
        <w:tc>
          <w:tcPr>
            <w:tcW w:w="2268" w:type="dxa"/>
            <w:vAlign w:val="center"/>
          </w:tcPr>
          <w:p w14:paraId="1804F9FB">
            <w:pPr>
              <w:pStyle w:val="12"/>
            </w:pPr>
            <w:r>
              <w:t>可持续影响指标</w:t>
            </w:r>
          </w:p>
        </w:tc>
        <w:tc>
          <w:tcPr>
            <w:tcW w:w="2835" w:type="dxa"/>
            <w:vAlign w:val="center"/>
          </w:tcPr>
          <w:p w14:paraId="75FEA008">
            <w:pPr>
              <w:pStyle w:val="12"/>
            </w:pPr>
            <w:r>
              <w:t>学校运转得到提高</w:t>
            </w:r>
          </w:p>
        </w:tc>
        <w:tc>
          <w:tcPr>
            <w:tcW w:w="5386" w:type="dxa"/>
            <w:vAlign w:val="center"/>
          </w:tcPr>
          <w:p w14:paraId="04EBEBCF">
            <w:pPr>
              <w:pStyle w:val="12"/>
            </w:pPr>
            <w:r>
              <w:t>幼儿受教育年限</w:t>
            </w:r>
          </w:p>
        </w:tc>
        <w:tc>
          <w:tcPr>
            <w:tcW w:w="2268" w:type="dxa"/>
            <w:vAlign w:val="center"/>
          </w:tcPr>
          <w:p w14:paraId="5878121F">
            <w:pPr>
              <w:pStyle w:val="12"/>
            </w:pPr>
            <w:r>
              <w:t>3年</w:t>
            </w:r>
          </w:p>
        </w:tc>
        <w:tc>
          <w:tcPr>
            <w:tcW w:w="1276" w:type="dxa"/>
            <w:vAlign w:val="center"/>
          </w:tcPr>
          <w:p w14:paraId="79095305">
            <w:pPr>
              <w:pStyle w:val="12"/>
            </w:pPr>
            <w:r>
              <w:t>年度工作计划</w:t>
            </w:r>
          </w:p>
        </w:tc>
      </w:tr>
      <w:tr w14:paraId="4306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85ECA">
            <w:pPr>
              <w:pStyle w:val="13"/>
            </w:pPr>
            <w:r>
              <w:t>满意度指标</w:t>
            </w:r>
          </w:p>
        </w:tc>
        <w:tc>
          <w:tcPr>
            <w:tcW w:w="2268" w:type="dxa"/>
            <w:vAlign w:val="center"/>
          </w:tcPr>
          <w:p w14:paraId="6AEEA361">
            <w:pPr>
              <w:pStyle w:val="12"/>
            </w:pPr>
            <w:r>
              <w:t>服务对象满意度指标</w:t>
            </w:r>
          </w:p>
        </w:tc>
        <w:tc>
          <w:tcPr>
            <w:tcW w:w="2835" w:type="dxa"/>
            <w:vAlign w:val="center"/>
          </w:tcPr>
          <w:p w14:paraId="5F9085E8">
            <w:pPr>
              <w:pStyle w:val="12"/>
            </w:pPr>
            <w:r>
              <w:t>受益学生家长及调查满意度</w:t>
            </w:r>
          </w:p>
        </w:tc>
        <w:tc>
          <w:tcPr>
            <w:tcW w:w="5386" w:type="dxa"/>
            <w:vAlign w:val="center"/>
          </w:tcPr>
          <w:p w14:paraId="4677C5FE">
            <w:pPr>
              <w:pStyle w:val="12"/>
            </w:pPr>
            <w:r>
              <w:t>幼儿、教师及家长对学校保教保育工作满意度情况</w:t>
            </w:r>
          </w:p>
        </w:tc>
        <w:tc>
          <w:tcPr>
            <w:tcW w:w="2268" w:type="dxa"/>
            <w:vAlign w:val="center"/>
          </w:tcPr>
          <w:p w14:paraId="0BF2F84D">
            <w:pPr>
              <w:pStyle w:val="12"/>
            </w:pPr>
            <w:r>
              <w:t>≥95%</w:t>
            </w:r>
          </w:p>
        </w:tc>
        <w:tc>
          <w:tcPr>
            <w:tcW w:w="1276" w:type="dxa"/>
            <w:vAlign w:val="center"/>
          </w:tcPr>
          <w:p w14:paraId="3F7F01AB">
            <w:pPr>
              <w:pStyle w:val="12"/>
            </w:pPr>
            <w:r>
              <w:t>年度工作计划</w:t>
            </w:r>
          </w:p>
        </w:tc>
      </w:tr>
    </w:tbl>
    <w:p w14:paraId="129F424F">
      <w:pPr>
        <w:sectPr>
          <w:pgSz w:w="16840" w:h="11900" w:orient="landscape"/>
          <w:pgMar w:top="1361" w:right="1020" w:bottom="1134" w:left="1020" w:header="720" w:footer="720" w:gutter="0"/>
          <w:cols w:space="720" w:num="1"/>
        </w:sectPr>
      </w:pPr>
    </w:p>
    <w:p w14:paraId="2BF57A4A">
      <w:pPr>
        <w:spacing w:before="10" w:after="10" w:line="240" w:lineRule="auto"/>
        <w:ind w:firstLine="640"/>
        <w:jc w:val="left"/>
        <w:outlineLvl w:val="5"/>
      </w:pPr>
      <w:r>
        <w:rPr>
          <w:rFonts w:ascii="黑体" w:hAnsi="黑体" w:eastAsia="黑体" w:cs="黑体"/>
          <w:color w:val="000000"/>
          <w:sz w:val="32"/>
        </w:rPr>
        <w:t>六、政府采购预算情况</w:t>
      </w:r>
    </w:p>
    <w:p w14:paraId="72B2E96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7A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2DE9AA">
            <w:pPr>
              <w:pStyle w:val="9"/>
            </w:pPr>
            <w:r>
              <w:t>360024隆尧县大张家庄校区</w:t>
            </w:r>
          </w:p>
        </w:tc>
        <w:tc>
          <w:tcPr>
            <w:tcW w:w="8676" w:type="dxa"/>
            <w:gridSpan w:val="9"/>
            <w:tcBorders>
              <w:top w:val="single" w:color="FFFFFF" w:sz="6" w:space="0"/>
              <w:left w:val="single" w:color="FFFFFF" w:sz="6" w:space="0"/>
              <w:right w:val="single" w:color="FFFFFF" w:sz="6" w:space="0"/>
            </w:tcBorders>
            <w:vAlign w:val="center"/>
          </w:tcPr>
          <w:p w14:paraId="4AFBB680">
            <w:pPr>
              <w:pStyle w:val="21"/>
            </w:pPr>
            <w:r>
              <w:t>单位：万元</w:t>
            </w:r>
          </w:p>
        </w:tc>
      </w:tr>
      <w:tr w14:paraId="2639C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2F74E9">
            <w:pPr>
              <w:pStyle w:val="10"/>
            </w:pPr>
            <w:r>
              <w:t>政府采购项目来源</w:t>
            </w:r>
          </w:p>
        </w:tc>
        <w:tc>
          <w:tcPr>
            <w:tcW w:w="1134" w:type="dxa"/>
            <w:vMerge w:val="restart"/>
            <w:vAlign w:val="center"/>
          </w:tcPr>
          <w:p w14:paraId="07E6148B">
            <w:pPr>
              <w:pStyle w:val="10"/>
            </w:pPr>
            <w:r>
              <w:t>采购物品名称</w:t>
            </w:r>
          </w:p>
        </w:tc>
        <w:tc>
          <w:tcPr>
            <w:tcW w:w="1134" w:type="dxa"/>
            <w:vMerge w:val="restart"/>
            <w:vAlign w:val="center"/>
          </w:tcPr>
          <w:p w14:paraId="7DDE3011">
            <w:pPr>
              <w:pStyle w:val="10"/>
            </w:pPr>
            <w:r>
              <w:t>政府采购目录序号</w:t>
            </w:r>
          </w:p>
        </w:tc>
        <w:tc>
          <w:tcPr>
            <w:tcW w:w="709" w:type="dxa"/>
            <w:vMerge w:val="restart"/>
            <w:vAlign w:val="center"/>
          </w:tcPr>
          <w:p w14:paraId="2C7AF1F6">
            <w:pPr>
              <w:pStyle w:val="10"/>
            </w:pPr>
            <w:r>
              <w:t>计量  单位</w:t>
            </w:r>
          </w:p>
        </w:tc>
        <w:tc>
          <w:tcPr>
            <w:tcW w:w="850" w:type="dxa"/>
            <w:vMerge w:val="restart"/>
            <w:vAlign w:val="center"/>
          </w:tcPr>
          <w:p w14:paraId="1E774B37">
            <w:pPr>
              <w:pStyle w:val="10"/>
            </w:pPr>
            <w:r>
              <w:t>数量</w:t>
            </w:r>
          </w:p>
        </w:tc>
        <w:tc>
          <w:tcPr>
            <w:tcW w:w="850" w:type="dxa"/>
            <w:vMerge w:val="restart"/>
            <w:vAlign w:val="center"/>
          </w:tcPr>
          <w:p w14:paraId="55F57CC9">
            <w:pPr>
              <w:pStyle w:val="10"/>
            </w:pPr>
            <w:r>
              <w:t>单价</w:t>
            </w:r>
          </w:p>
        </w:tc>
        <w:tc>
          <w:tcPr>
            <w:tcW w:w="7712" w:type="dxa"/>
            <w:gridSpan w:val="8"/>
            <w:vAlign w:val="center"/>
          </w:tcPr>
          <w:p w14:paraId="4B4B3810">
            <w:pPr>
              <w:pStyle w:val="10"/>
            </w:pPr>
            <w:r>
              <w:t>政府采购金额（当年部门预算安排资金）</w:t>
            </w:r>
          </w:p>
        </w:tc>
        <w:tc>
          <w:tcPr>
            <w:tcW w:w="964" w:type="dxa"/>
            <w:vMerge w:val="restart"/>
            <w:vAlign w:val="center"/>
          </w:tcPr>
          <w:p w14:paraId="0DF9457C">
            <w:pPr>
              <w:pStyle w:val="10"/>
            </w:pPr>
            <w:r>
              <w:t>2026年  预留中  小微企  业份额</w:t>
            </w:r>
          </w:p>
        </w:tc>
      </w:tr>
      <w:tr w14:paraId="7076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755C76">
            <w:pPr>
              <w:pStyle w:val="10"/>
            </w:pPr>
            <w:r>
              <w:t>项目名称</w:t>
            </w:r>
          </w:p>
        </w:tc>
        <w:tc>
          <w:tcPr>
            <w:tcW w:w="964" w:type="dxa"/>
            <w:vAlign w:val="center"/>
          </w:tcPr>
          <w:p w14:paraId="138EC410">
            <w:pPr>
              <w:pStyle w:val="10"/>
            </w:pPr>
            <w:r>
              <w:t>预算    资金</w:t>
            </w:r>
          </w:p>
        </w:tc>
        <w:tc>
          <w:tcPr>
            <w:tcW w:w="1134" w:type="dxa"/>
            <w:vMerge w:val="continue"/>
          </w:tcPr>
          <w:p w14:paraId="7B520616"/>
        </w:tc>
        <w:tc>
          <w:tcPr>
            <w:tcW w:w="1134" w:type="dxa"/>
            <w:vMerge w:val="continue"/>
          </w:tcPr>
          <w:p w14:paraId="3E280D27"/>
        </w:tc>
        <w:tc>
          <w:tcPr>
            <w:tcW w:w="709" w:type="dxa"/>
            <w:vMerge w:val="continue"/>
          </w:tcPr>
          <w:p w14:paraId="0AFF8DCD"/>
        </w:tc>
        <w:tc>
          <w:tcPr>
            <w:tcW w:w="850" w:type="dxa"/>
            <w:vMerge w:val="continue"/>
          </w:tcPr>
          <w:p w14:paraId="614F8480"/>
        </w:tc>
        <w:tc>
          <w:tcPr>
            <w:tcW w:w="850" w:type="dxa"/>
            <w:vMerge w:val="continue"/>
          </w:tcPr>
          <w:p w14:paraId="4AF5FEE0"/>
        </w:tc>
        <w:tc>
          <w:tcPr>
            <w:tcW w:w="964" w:type="dxa"/>
            <w:vAlign w:val="center"/>
          </w:tcPr>
          <w:p w14:paraId="36DC7AD9">
            <w:pPr>
              <w:pStyle w:val="10"/>
            </w:pPr>
            <w:r>
              <w:t>合计</w:t>
            </w:r>
          </w:p>
        </w:tc>
        <w:tc>
          <w:tcPr>
            <w:tcW w:w="964" w:type="dxa"/>
            <w:vAlign w:val="center"/>
          </w:tcPr>
          <w:p w14:paraId="58C94D7C">
            <w:pPr>
              <w:pStyle w:val="10"/>
            </w:pPr>
            <w:r>
              <w:t>一般公共预算拨款</w:t>
            </w:r>
          </w:p>
        </w:tc>
        <w:tc>
          <w:tcPr>
            <w:tcW w:w="964" w:type="dxa"/>
            <w:vAlign w:val="center"/>
          </w:tcPr>
          <w:p w14:paraId="107A9D92">
            <w:pPr>
              <w:pStyle w:val="10"/>
            </w:pPr>
            <w:r>
              <w:t>基金预算拨款</w:t>
            </w:r>
          </w:p>
        </w:tc>
        <w:tc>
          <w:tcPr>
            <w:tcW w:w="964" w:type="dxa"/>
            <w:vAlign w:val="center"/>
          </w:tcPr>
          <w:p w14:paraId="0D8C870E">
            <w:pPr>
              <w:pStyle w:val="10"/>
            </w:pPr>
            <w:r>
              <w:t>国有资本经营预算拨款</w:t>
            </w:r>
          </w:p>
        </w:tc>
        <w:tc>
          <w:tcPr>
            <w:tcW w:w="964" w:type="dxa"/>
            <w:vAlign w:val="center"/>
          </w:tcPr>
          <w:p w14:paraId="613B436A">
            <w:pPr>
              <w:pStyle w:val="10"/>
            </w:pPr>
            <w:r>
              <w:t>财政专户核拨</w:t>
            </w:r>
          </w:p>
        </w:tc>
        <w:tc>
          <w:tcPr>
            <w:tcW w:w="964" w:type="dxa"/>
            <w:vAlign w:val="center"/>
          </w:tcPr>
          <w:p w14:paraId="0E15CE3A">
            <w:pPr>
              <w:pStyle w:val="10"/>
            </w:pPr>
            <w:r>
              <w:t>单位    资金</w:t>
            </w:r>
          </w:p>
        </w:tc>
        <w:tc>
          <w:tcPr>
            <w:tcW w:w="964" w:type="dxa"/>
            <w:vAlign w:val="center"/>
          </w:tcPr>
          <w:p w14:paraId="34D0A33D">
            <w:pPr>
              <w:pStyle w:val="10"/>
            </w:pPr>
            <w:r>
              <w:t>财政拨款结转</w:t>
            </w:r>
          </w:p>
        </w:tc>
        <w:tc>
          <w:tcPr>
            <w:tcW w:w="964" w:type="dxa"/>
            <w:vAlign w:val="center"/>
          </w:tcPr>
          <w:p w14:paraId="0E3D28F5">
            <w:pPr>
              <w:pStyle w:val="10"/>
            </w:pPr>
            <w:r>
              <w:t>非财政拨款结余</w:t>
            </w:r>
          </w:p>
        </w:tc>
        <w:tc>
          <w:tcPr>
            <w:tcW w:w="964" w:type="dxa"/>
            <w:vMerge w:val="continue"/>
          </w:tcPr>
          <w:p w14:paraId="534C482C"/>
        </w:tc>
      </w:tr>
      <w:tr w14:paraId="63ED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238D48">
            <w:pPr>
              <w:pStyle w:val="14"/>
            </w:pPr>
            <w:r>
              <w:t>合  计</w:t>
            </w:r>
          </w:p>
        </w:tc>
        <w:tc>
          <w:tcPr>
            <w:tcW w:w="964" w:type="dxa"/>
            <w:vAlign w:val="center"/>
          </w:tcPr>
          <w:p w14:paraId="43A828EC">
            <w:pPr>
              <w:pStyle w:val="15"/>
            </w:pPr>
          </w:p>
        </w:tc>
        <w:tc>
          <w:tcPr>
            <w:tcW w:w="1134" w:type="dxa"/>
            <w:vAlign w:val="center"/>
          </w:tcPr>
          <w:p w14:paraId="76D1580D">
            <w:pPr>
              <w:pStyle w:val="16"/>
            </w:pPr>
          </w:p>
        </w:tc>
        <w:tc>
          <w:tcPr>
            <w:tcW w:w="1134" w:type="dxa"/>
            <w:vAlign w:val="center"/>
          </w:tcPr>
          <w:p w14:paraId="55686903">
            <w:pPr>
              <w:pStyle w:val="16"/>
            </w:pPr>
          </w:p>
        </w:tc>
        <w:tc>
          <w:tcPr>
            <w:tcW w:w="709" w:type="dxa"/>
            <w:vAlign w:val="center"/>
          </w:tcPr>
          <w:p w14:paraId="2B2EF4FF">
            <w:pPr>
              <w:pStyle w:val="14"/>
            </w:pPr>
          </w:p>
        </w:tc>
        <w:tc>
          <w:tcPr>
            <w:tcW w:w="850" w:type="dxa"/>
            <w:vAlign w:val="center"/>
          </w:tcPr>
          <w:p w14:paraId="54F52BDF">
            <w:pPr>
              <w:pStyle w:val="15"/>
            </w:pPr>
          </w:p>
        </w:tc>
        <w:tc>
          <w:tcPr>
            <w:tcW w:w="850" w:type="dxa"/>
            <w:vAlign w:val="center"/>
          </w:tcPr>
          <w:p w14:paraId="792C9B88">
            <w:pPr>
              <w:pStyle w:val="15"/>
            </w:pPr>
          </w:p>
        </w:tc>
        <w:tc>
          <w:tcPr>
            <w:tcW w:w="964" w:type="dxa"/>
            <w:vAlign w:val="center"/>
          </w:tcPr>
          <w:p w14:paraId="17E1F875">
            <w:pPr>
              <w:pStyle w:val="15"/>
            </w:pPr>
            <w:r>
              <w:t>134.78</w:t>
            </w:r>
          </w:p>
        </w:tc>
        <w:tc>
          <w:tcPr>
            <w:tcW w:w="964" w:type="dxa"/>
            <w:vAlign w:val="center"/>
          </w:tcPr>
          <w:p w14:paraId="2263843A">
            <w:pPr>
              <w:pStyle w:val="15"/>
            </w:pPr>
            <w:r>
              <w:t>134.78</w:t>
            </w:r>
          </w:p>
        </w:tc>
        <w:tc>
          <w:tcPr>
            <w:tcW w:w="964" w:type="dxa"/>
            <w:vAlign w:val="center"/>
          </w:tcPr>
          <w:p w14:paraId="6248C7DD">
            <w:pPr>
              <w:pStyle w:val="15"/>
            </w:pPr>
          </w:p>
        </w:tc>
        <w:tc>
          <w:tcPr>
            <w:tcW w:w="964" w:type="dxa"/>
            <w:vAlign w:val="center"/>
          </w:tcPr>
          <w:p w14:paraId="58E7A360">
            <w:pPr>
              <w:pStyle w:val="15"/>
            </w:pPr>
          </w:p>
        </w:tc>
        <w:tc>
          <w:tcPr>
            <w:tcW w:w="964" w:type="dxa"/>
            <w:vAlign w:val="center"/>
          </w:tcPr>
          <w:p w14:paraId="35512338">
            <w:pPr>
              <w:pStyle w:val="15"/>
            </w:pPr>
          </w:p>
        </w:tc>
        <w:tc>
          <w:tcPr>
            <w:tcW w:w="964" w:type="dxa"/>
            <w:vAlign w:val="center"/>
          </w:tcPr>
          <w:p w14:paraId="54147906">
            <w:pPr>
              <w:pStyle w:val="15"/>
            </w:pPr>
          </w:p>
        </w:tc>
        <w:tc>
          <w:tcPr>
            <w:tcW w:w="964" w:type="dxa"/>
            <w:vAlign w:val="center"/>
          </w:tcPr>
          <w:p w14:paraId="4D348762">
            <w:pPr>
              <w:pStyle w:val="15"/>
            </w:pPr>
          </w:p>
        </w:tc>
        <w:tc>
          <w:tcPr>
            <w:tcW w:w="964" w:type="dxa"/>
            <w:vAlign w:val="center"/>
          </w:tcPr>
          <w:p w14:paraId="405CEE03">
            <w:pPr>
              <w:pStyle w:val="15"/>
            </w:pPr>
          </w:p>
        </w:tc>
        <w:tc>
          <w:tcPr>
            <w:tcW w:w="964" w:type="dxa"/>
            <w:vAlign w:val="center"/>
          </w:tcPr>
          <w:p w14:paraId="72589DE9">
            <w:pPr>
              <w:pStyle w:val="15"/>
            </w:pPr>
            <w:r>
              <w:t>134.78</w:t>
            </w:r>
          </w:p>
        </w:tc>
      </w:tr>
      <w:tr w14:paraId="5DC0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B07D86">
            <w:pPr>
              <w:pStyle w:val="14"/>
            </w:pPr>
            <w:r>
              <w:t>隆尧县大张家庄校区小计</w:t>
            </w:r>
          </w:p>
        </w:tc>
        <w:tc>
          <w:tcPr>
            <w:tcW w:w="964" w:type="dxa"/>
            <w:vAlign w:val="center"/>
          </w:tcPr>
          <w:p w14:paraId="5233C967">
            <w:pPr>
              <w:pStyle w:val="15"/>
            </w:pPr>
          </w:p>
        </w:tc>
        <w:tc>
          <w:tcPr>
            <w:tcW w:w="1134" w:type="dxa"/>
            <w:vAlign w:val="center"/>
          </w:tcPr>
          <w:p w14:paraId="34BFC19E">
            <w:pPr>
              <w:pStyle w:val="16"/>
            </w:pPr>
          </w:p>
        </w:tc>
        <w:tc>
          <w:tcPr>
            <w:tcW w:w="1134" w:type="dxa"/>
            <w:vAlign w:val="center"/>
          </w:tcPr>
          <w:p w14:paraId="46227BFB">
            <w:pPr>
              <w:pStyle w:val="16"/>
            </w:pPr>
          </w:p>
        </w:tc>
        <w:tc>
          <w:tcPr>
            <w:tcW w:w="709" w:type="dxa"/>
            <w:vAlign w:val="center"/>
          </w:tcPr>
          <w:p w14:paraId="35F47B23">
            <w:pPr>
              <w:pStyle w:val="14"/>
            </w:pPr>
          </w:p>
        </w:tc>
        <w:tc>
          <w:tcPr>
            <w:tcW w:w="850" w:type="dxa"/>
            <w:vAlign w:val="center"/>
          </w:tcPr>
          <w:p w14:paraId="12B2E695">
            <w:pPr>
              <w:pStyle w:val="15"/>
            </w:pPr>
          </w:p>
        </w:tc>
        <w:tc>
          <w:tcPr>
            <w:tcW w:w="850" w:type="dxa"/>
            <w:vAlign w:val="center"/>
          </w:tcPr>
          <w:p w14:paraId="0F2AFF61">
            <w:pPr>
              <w:pStyle w:val="15"/>
            </w:pPr>
          </w:p>
        </w:tc>
        <w:tc>
          <w:tcPr>
            <w:tcW w:w="964" w:type="dxa"/>
            <w:vAlign w:val="center"/>
          </w:tcPr>
          <w:p w14:paraId="2E728337">
            <w:pPr>
              <w:pStyle w:val="15"/>
            </w:pPr>
            <w:r>
              <w:t>134.78</w:t>
            </w:r>
          </w:p>
        </w:tc>
        <w:tc>
          <w:tcPr>
            <w:tcW w:w="964" w:type="dxa"/>
            <w:vAlign w:val="center"/>
          </w:tcPr>
          <w:p w14:paraId="4AE99CC9">
            <w:pPr>
              <w:pStyle w:val="15"/>
            </w:pPr>
            <w:r>
              <w:t>134.78</w:t>
            </w:r>
          </w:p>
        </w:tc>
        <w:tc>
          <w:tcPr>
            <w:tcW w:w="964" w:type="dxa"/>
            <w:vAlign w:val="center"/>
          </w:tcPr>
          <w:p w14:paraId="5C3D0A56">
            <w:pPr>
              <w:pStyle w:val="15"/>
            </w:pPr>
          </w:p>
        </w:tc>
        <w:tc>
          <w:tcPr>
            <w:tcW w:w="964" w:type="dxa"/>
            <w:vAlign w:val="center"/>
          </w:tcPr>
          <w:p w14:paraId="1D1C6FE4">
            <w:pPr>
              <w:pStyle w:val="15"/>
            </w:pPr>
          </w:p>
        </w:tc>
        <w:tc>
          <w:tcPr>
            <w:tcW w:w="964" w:type="dxa"/>
            <w:vAlign w:val="center"/>
          </w:tcPr>
          <w:p w14:paraId="3765DDB6">
            <w:pPr>
              <w:pStyle w:val="15"/>
            </w:pPr>
          </w:p>
        </w:tc>
        <w:tc>
          <w:tcPr>
            <w:tcW w:w="964" w:type="dxa"/>
            <w:vAlign w:val="center"/>
          </w:tcPr>
          <w:p w14:paraId="11625875">
            <w:pPr>
              <w:pStyle w:val="15"/>
            </w:pPr>
          </w:p>
        </w:tc>
        <w:tc>
          <w:tcPr>
            <w:tcW w:w="964" w:type="dxa"/>
            <w:vAlign w:val="center"/>
          </w:tcPr>
          <w:p w14:paraId="71DC8652">
            <w:pPr>
              <w:pStyle w:val="15"/>
            </w:pPr>
          </w:p>
        </w:tc>
        <w:tc>
          <w:tcPr>
            <w:tcW w:w="964" w:type="dxa"/>
            <w:vAlign w:val="center"/>
          </w:tcPr>
          <w:p w14:paraId="0E59C2F6">
            <w:pPr>
              <w:pStyle w:val="15"/>
            </w:pPr>
          </w:p>
        </w:tc>
        <w:tc>
          <w:tcPr>
            <w:tcW w:w="964" w:type="dxa"/>
            <w:vAlign w:val="center"/>
          </w:tcPr>
          <w:p w14:paraId="249259EE">
            <w:pPr>
              <w:pStyle w:val="15"/>
            </w:pPr>
            <w:r>
              <w:t>134.78</w:t>
            </w:r>
          </w:p>
        </w:tc>
      </w:tr>
      <w:tr w14:paraId="77A19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09423A">
            <w:pPr>
              <w:pStyle w:val="12"/>
            </w:pPr>
            <w:r>
              <w:t>冀财教[2025]121号/中央/2026年义教补助经费/大张庄校区大张家庄小学公用经费</w:t>
            </w:r>
          </w:p>
        </w:tc>
        <w:tc>
          <w:tcPr>
            <w:tcW w:w="964" w:type="dxa"/>
            <w:vAlign w:val="center"/>
          </w:tcPr>
          <w:p w14:paraId="5E400DE2">
            <w:pPr>
              <w:pStyle w:val="11"/>
            </w:pPr>
            <w:r>
              <w:t>57.60</w:t>
            </w:r>
          </w:p>
        </w:tc>
        <w:tc>
          <w:tcPr>
            <w:tcW w:w="1134" w:type="dxa"/>
            <w:vAlign w:val="center"/>
          </w:tcPr>
          <w:p w14:paraId="2022F60C">
            <w:pPr>
              <w:pStyle w:val="12"/>
            </w:pPr>
            <w:r>
              <w:t>触控一体机</w:t>
            </w:r>
          </w:p>
        </w:tc>
        <w:tc>
          <w:tcPr>
            <w:tcW w:w="1134" w:type="dxa"/>
            <w:vAlign w:val="center"/>
          </w:tcPr>
          <w:p w14:paraId="55594170">
            <w:pPr>
              <w:pStyle w:val="12"/>
            </w:pPr>
            <w:r>
              <w:t>A02020800</w:t>
            </w:r>
          </w:p>
        </w:tc>
        <w:tc>
          <w:tcPr>
            <w:tcW w:w="709" w:type="dxa"/>
            <w:vAlign w:val="center"/>
          </w:tcPr>
          <w:p w14:paraId="7C94BA7D">
            <w:pPr>
              <w:pStyle w:val="13"/>
            </w:pPr>
            <w:r>
              <w:t>套</w:t>
            </w:r>
          </w:p>
        </w:tc>
        <w:tc>
          <w:tcPr>
            <w:tcW w:w="850" w:type="dxa"/>
            <w:vAlign w:val="center"/>
          </w:tcPr>
          <w:p w14:paraId="78216ACA">
            <w:pPr>
              <w:pStyle w:val="11"/>
            </w:pPr>
            <w:r>
              <w:t>1</w:t>
            </w:r>
          </w:p>
        </w:tc>
        <w:tc>
          <w:tcPr>
            <w:tcW w:w="850" w:type="dxa"/>
            <w:vAlign w:val="center"/>
          </w:tcPr>
          <w:p w14:paraId="060A34CB">
            <w:pPr>
              <w:pStyle w:val="11"/>
            </w:pPr>
            <w:r>
              <w:t>2.00</w:t>
            </w:r>
          </w:p>
        </w:tc>
        <w:tc>
          <w:tcPr>
            <w:tcW w:w="964" w:type="dxa"/>
            <w:vAlign w:val="center"/>
          </w:tcPr>
          <w:p w14:paraId="515773D8">
            <w:pPr>
              <w:pStyle w:val="11"/>
            </w:pPr>
            <w:r>
              <w:t>2.00</w:t>
            </w:r>
          </w:p>
        </w:tc>
        <w:tc>
          <w:tcPr>
            <w:tcW w:w="964" w:type="dxa"/>
            <w:vAlign w:val="center"/>
          </w:tcPr>
          <w:p w14:paraId="317CCCED">
            <w:pPr>
              <w:pStyle w:val="11"/>
            </w:pPr>
            <w:r>
              <w:t>2.00</w:t>
            </w:r>
          </w:p>
        </w:tc>
        <w:tc>
          <w:tcPr>
            <w:tcW w:w="964" w:type="dxa"/>
            <w:vAlign w:val="center"/>
          </w:tcPr>
          <w:p w14:paraId="29CE20AC">
            <w:pPr>
              <w:pStyle w:val="11"/>
            </w:pPr>
          </w:p>
        </w:tc>
        <w:tc>
          <w:tcPr>
            <w:tcW w:w="964" w:type="dxa"/>
            <w:vAlign w:val="center"/>
          </w:tcPr>
          <w:p w14:paraId="15209874">
            <w:pPr>
              <w:pStyle w:val="11"/>
            </w:pPr>
          </w:p>
        </w:tc>
        <w:tc>
          <w:tcPr>
            <w:tcW w:w="964" w:type="dxa"/>
            <w:vAlign w:val="center"/>
          </w:tcPr>
          <w:p w14:paraId="36FDD077">
            <w:pPr>
              <w:pStyle w:val="11"/>
            </w:pPr>
          </w:p>
        </w:tc>
        <w:tc>
          <w:tcPr>
            <w:tcW w:w="964" w:type="dxa"/>
            <w:vAlign w:val="center"/>
          </w:tcPr>
          <w:p w14:paraId="49B7A12C">
            <w:pPr>
              <w:pStyle w:val="11"/>
            </w:pPr>
          </w:p>
        </w:tc>
        <w:tc>
          <w:tcPr>
            <w:tcW w:w="964" w:type="dxa"/>
            <w:vAlign w:val="center"/>
          </w:tcPr>
          <w:p w14:paraId="016D089C">
            <w:pPr>
              <w:pStyle w:val="11"/>
            </w:pPr>
          </w:p>
        </w:tc>
        <w:tc>
          <w:tcPr>
            <w:tcW w:w="964" w:type="dxa"/>
            <w:vAlign w:val="center"/>
          </w:tcPr>
          <w:p w14:paraId="27150D22">
            <w:pPr>
              <w:pStyle w:val="11"/>
            </w:pPr>
          </w:p>
        </w:tc>
        <w:tc>
          <w:tcPr>
            <w:tcW w:w="964" w:type="dxa"/>
            <w:vAlign w:val="center"/>
          </w:tcPr>
          <w:p w14:paraId="129F48C2">
            <w:pPr>
              <w:pStyle w:val="11"/>
            </w:pPr>
            <w:r>
              <w:t>2.00</w:t>
            </w:r>
          </w:p>
        </w:tc>
      </w:tr>
      <w:tr w14:paraId="13A3B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9DECF1">
            <w:pPr>
              <w:pStyle w:val="12"/>
            </w:pPr>
            <w:r>
              <w:t>冀财教[2025]121号/中央/2026年义教补助经费/大张庄校区大张家庄小学公用经费</w:t>
            </w:r>
          </w:p>
        </w:tc>
        <w:tc>
          <w:tcPr>
            <w:tcW w:w="964" w:type="dxa"/>
            <w:vAlign w:val="center"/>
          </w:tcPr>
          <w:p w14:paraId="4ABE2DBF">
            <w:pPr>
              <w:pStyle w:val="11"/>
            </w:pPr>
            <w:r>
              <w:t>57.60</w:t>
            </w:r>
          </w:p>
        </w:tc>
        <w:tc>
          <w:tcPr>
            <w:tcW w:w="1134" w:type="dxa"/>
            <w:vAlign w:val="center"/>
          </w:tcPr>
          <w:p w14:paraId="37249F2B">
            <w:pPr>
              <w:pStyle w:val="12"/>
            </w:pPr>
            <w:r>
              <w:t>文件柜</w:t>
            </w:r>
          </w:p>
        </w:tc>
        <w:tc>
          <w:tcPr>
            <w:tcW w:w="1134" w:type="dxa"/>
            <w:vAlign w:val="center"/>
          </w:tcPr>
          <w:p w14:paraId="00203C26">
            <w:pPr>
              <w:pStyle w:val="12"/>
            </w:pPr>
            <w:r>
              <w:t>A05010502</w:t>
            </w:r>
          </w:p>
        </w:tc>
        <w:tc>
          <w:tcPr>
            <w:tcW w:w="709" w:type="dxa"/>
            <w:vAlign w:val="center"/>
          </w:tcPr>
          <w:p w14:paraId="33A22244">
            <w:pPr>
              <w:pStyle w:val="13"/>
            </w:pPr>
            <w:r>
              <w:t>个</w:t>
            </w:r>
          </w:p>
        </w:tc>
        <w:tc>
          <w:tcPr>
            <w:tcW w:w="850" w:type="dxa"/>
            <w:vAlign w:val="center"/>
          </w:tcPr>
          <w:p w14:paraId="5D5F8A6E">
            <w:pPr>
              <w:pStyle w:val="11"/>
            </w:pPr>
            <w:r>
              <w:t>3</w:t>
            </w:r>
          </w:p>
        </w:tc>
        <w:tc>
          <w:tcPr>
            <w:tcW w:w="850" w:type="dxa"/>
            <w:vAlign w:val="center"/>
          </w:tcPr>
          <w:p w14:paraId="43FA7DB1">
            <w:pPr>
              <w:pStyle w:val="11"/>
            </w:pPr>
            <w:r>
              <w:t>0.06</w:t>
            </w:r>
          </w:p>
        </w:tc>
        <w:tc>
          <w:tcPr>
            <w:tcW w:w="964" w:type="dxa"/>
            <w:vAlign w:val="center"/>
          </w:tcPr>
          <w:p w14:paraId="673CCFD8">
            <w:pPr>
              <w:pStyle w:val="11"/>
            </w:pPr>
            <w:r>
              <w:t>0.18</w:t>
            </w:r>
          </w:p>
        </w:tc>
        <w:tc>
          <w:tcPr>
            <w:tcW w:w="964" w:type="dxa"/>
            <w:vAlign w:val="center"/>
          </w:tcPr>
          <w:p w14:paraId="33CBD92E">
            <w:pPr>
              <w:pStyle w:val="11"/>
            </w:pPr>
            <w:r>
              <w:t>0.18</w:t>
            </w:r>
          </w:p>
        </w:tc>
        <w:tc>
          <w:tcPr>
            <w:tcW w:w="964" w:type="dxa"/>
            <w:vAlign w:val="center"/>
          </w:tcPr>
          <w:p w14:paraId="280EE955">
            <w:pPr>
              <w:pStyle w:val="11"/>
            </w:pPr>
          </w:p>
        </w:tc>
        <w:tc>
          <w:tcPr>
            <w:tcW w:w="964" w:type="dxa"/>
            <w:vAlign w:val="center"/>
          </w:tcPr>
          <w:p w14:paraId="0271128E">
            <w:pPr>
              <w:pStyle w:val="11"/>
            </w:pPr>
          </w:p>
        </w:tc>
        <w:tc>
          <w:tcPr>
            <w:tcW w:w="964" w:type="dxa"/>
            <w:vAlign w:val="center"/>
          </w:tcPr>
          <w:p w14:paraId="4A033F45">
            <w:pPr>
              <w:pStyle w:val="11"/>
            </w:pPr>
          </w:p>
        </w:tc>
        <w:tc>
          <w:tcPr>
            <w:tcW w:w="964" w:type="dxa"/>
            <w:vAlign w:val="center"/>
          </w:tcPr>
          <w:p w14:paraId="33AC591D">
            <w:pPr>
              <w:pStyle w:val="11"/>
            </w:pPr>
          </w:p>
        </w:tc>
        <w:tc>
          <w:tcPr>
            <w:tcW w:w="964" w:type="dxa"/>
            <w:vAlign w:val="center"/>
          </w:tcPr>
          <w:p w14:paraId="41853DEB">
            <w:pPr>
              <w:pStyle w:val="11"/>
            </w:pPr>
          </w:p>
        </w:tc>
        <w:tc>
          <w:tcPr>
            <w:tcW w:w="964" w:type="dxa"/>
            <w:vAlign w:val="center"/>
          </w:tcPr>
          <w:p w14:paraId="6234C29D">
            <w:pPr>
              <w:pStyle w:val="11"/>
            </w:pPr>
          </w:p>
        </w:tc>
        <w:tc>
          <w:tcPr>
            <w:tcW w:w="964" w:type="dxa"/>
            <w:vAlign w:val="center"/>
          </w:tcPr>
          <w:p w14:paraId="15432BD2">
            <w:pPr>
              <w:pStyle w:val="11"/>
            </w:pPr>
            <w:r>
              <w:t>0.18</w:t>
            </w:r>
          </w:p>
        </w:tc>
      </w:tr>
      <w:tr w14:paraId="26D4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7EE3BD">
            <w:pPr>
              <w:pStyle w:val="12"/>
            </w:pPr>
            <w:r>
              <w:t>冀财教[2025]122号/中央/支持学前教育发展/张庄校区幼儿园设备购置</w:t>
            </w:r>
          </w:p>
        </w:tc>
        <w:tc>
          <w:tcPr>
            <w:tcW w:w="964" w:type="dxa"/>
            <w:vAlign w:val="center"/>
          </w:tcPr>
          <w:p w14:paraId="24A41D1E">
            <w:pPr>
              <w:pStyle w:val="11"/>
            </w:pPr>
            <w:r>
              <w:t>28.82</w:t>
            </w:r>
          </w:p>
        </w:tc>
        <w:tc>
          <w:tcPr>
            <w:tcW w:w="1134" w:type="dxa"/>
            <w:vAlign w:val="center"/>
          </w:tcPr>
          <w:p w14:paraId="4CD7ABD8">
            <w:pPr>
              <w:pStyle w:val="12"/>
            </w:pPr>
            <w:r>
              <w:t>A4 彩色打印机</w:t>
            </w:r>
          </w:p>
        </w:tc>
        <w:tc>
          <w:tcPr>
            <w:tcW w:w="1134" w:type="dxa"/>
            <w:vAlign w:val="center"/>
          </w:tcPr>
          <w:p w14:paraId="16425F5B">
            <w:pPr>
              <w:pStyle w:val="12"/>
            </w:pPr>
            <w:r>
              <w:t>A02021004</w:t>
            </w:r>
          </w:p>
        </w:tc>
        <w:tc>
          <w:tcPr>
            <w:tcW w:w="709" w:type="dxa"/>
            <w:vAlign w:val="center"/>
          </w:tcPr>
          <w:p w14:paraId="49FF76A7">
            <w:pPr>
              <w:pStyle w:val="13"/>
            </w:pPr>
            <w:r>
              <w:t>台</w:t>
            </w:r>
          </w:p>
        </w:tc>
        <w:tc>
          <w:tcPr>
            <w:tcW w:w="850" w:type="dxa"/>
            <w:vAlign w:val="center"/>
          </w:tcPr>
          <w:p w14:paraId="647AC027">
            <w:pPr>
              <w:pStyle w:val="11"/>
            </w:pPr>
            <w:r>
              <w:t>3</w:t>
            </w:r>
          </w:p>
        </w:tc>
        <w:tc>
          <w:tcPr>
            <w:tcW w:w="850" w:type="dxa"/>
            <w:vAlign w:val="center"/>
          </w:tcPr>
          <w:p w14:paraId="78026199">
            <w:pPr>
              <w:pStyle w:val="11"/>
            </w:pPr>
            <w:r>
              <w:t>0.20</w:t>
            </w:r>
          </w:p>
        </w:tc>
        <w:tc>
          <w:tcPr>
            <w:tcW w:w="964" w:type="dxa"/>
            <w:vAlign w:val="center"/>
          </w:tcPr>
          <w:p w14:paraId="4FDE0403">
            <w:pPr>
              <w:pStyle w:val="11"/>
            </w:pPr>
            <w:r>
              <w:t>0.60</w:t>
            </w:r>
          </w:p>
        </w:tc>
        <w:tc>
          <w:tcPr>
            <w:tcW w:w="964" w:type="dxa"/>
            <w:vAlign w:val="center"/>
          </w:tcPr>
          <w:p w14:paraId="0B15EC6B">
            <w:pPr>
              <w:pStyle w:val="11"/>
            </w:pPr>
            <w:r>
              <w:t>0.60</w:t>
            </w:r>
          </w:p>
        </w:tc>
        <w:tc>
          <w:tcPr>
            <w:tcW w:w="964" w:type="dxa"/>
            <w:vAlign w:val="center"/>
          </w:tcPr>
          <w:p w14:paraId="670350D8">
            <w:pPr>
              <w:pStyle w:val="11"/>
            </w:pPr>
          </w:p>
        </w:tc>
        <w:tc>
          <w:tcPr>
            <w:tcW w:w="964" w:type="dxa"/>
            <w:vAlign w:val="center"/>
          </w:tcPr>
          <w:p w14:paraId="48B56365">
            <w:pPr>
              <w:pStyle w:val="11"/>
            </w:pPr>
          </w:p>
        </w:tc>
        <w:tc>
          <w:tcPr>
            <w:tcW w:w="964" w:type="dxa"/>
            <w:vAlign w:val="center"/>
          </w:tcPr>
          <w:p w14:paraId="53683CBB">
            <w:pPr>
              <w:pStyle w:val="11"/>
            </w:pPr>
          </w:p>
        </w:tc>
        <w:tc>
          <w:tcPr>
            <w:tcW w:w="964" w:type="dxa"/>
            <w:vAlign w:val="center"/>
          </w:tcPr>
          <w:p w14:paraId="0A737194">
            <w:pPr>
              <w:pStyle w:val="11"/>
            </w:pPr>
          </w:p>
        </w:tc>
        <w:tc>
          <w:tcPr>
            <w:tcW w:w="964" w:type="dxa"/>
            <w:vAlign w:val="center"/>
          </w:tcPr>
          <w:p w14:paraId="24C26FB2">
            <w:pPr>
              <w:pStyle w:val="11"/>
            </w:pPr>
          </w:p>
        </w:tc>
        <w:tc>
          <w:tcPr>
            <w:tcW w:w="964" w:type="dxa"/>
            <w:vAlign w:val="center"/>
          </w:tcPr>
          <w:p w14:paraId="098323A0">
            <w:pPr>
              <w:pStyle w:val="11"/>
            </w:pPr>
          </w:p>
        </w:tc>
        <w:tc>
          <w:tcPr>
            <w:tcW w:w="964" w:type="dxa"/>
            <w:vAlign w:val="center"/>
          </w:tcPr>
          <w:p w14:paraId="0DF76AA6">
            <w:pPr>
              <w:pStyle w:val="11"/>
            </w:pPr>
            <w:r>
              <w:t>0.60</w:t>
            </w:r>
          </w:p>
        </w:tc>
      </w:tr>
      <w:tr w14:paraId="65A7D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892B92">
            <w:pPr>
              <w:pStyle w:val="12"/>
            </w:pPr>
            <w:r>
              <w:t>冀财教[2025]145号/省级/2026年薄弱学校改造/大张庄小学体育场地改建</w:t>
            </w:r>
          </w:p>
        </w:tc>
        <w:tc>
          <w:tcPr>
            <w:tcW w:w="964" w:type="dxa"/>
            <w:vAlign w:val="center"/>
          </w:tcPr>
          <w:p w14:paraId="038186BC">
            <w:pPr>
              <w:pStyle w:val="11"/>
            </w:pPr>
            <w:r>
              <w:t>132.00</w:t>
            </w:r>
          </w:p>
        </w:tc>
        <w:tc>
          <w:tcPr>
            <w:tcW w:w="1134" w:type="dxa"/>
            <w:vAlign w:val="center"/>
          </w:tcPr>
          <w:p w14:paraId="2017681A">
            <w:pPr>
              <w:pStyle w:val="12"/>
            </w:pPr>
            <w:r>
              <w:t>室外体育和娱乐设施工程施工</w:t>
            </w:r>
          </w:p>
        </w:tc>
        <w:tc>
          <w:tcPr>
            <w:tcW w:w="1134" w:type="dxa"/>
            <w:vAlign w:val="center"/>
          </w:tcPr>
          <w:p w14:paraId="1F3456CE">
            <w:pPr>
              <w:pStyle w:val="12"/>
            </w:pPr>
            <w:r>
              <w:t>B02130400</w:t>
            </w:r>
          </w:p>
        </w:tc>
        <w:tc>
          <w:tcPr>
            <w:tcW w:w="709" w:type="dxa"/>
            <w:vAlign w:val="center"/>
          </w:tcPr>
          <w:p w14:paraId="37FACA51">
            <w:pPr>
              <w:pStyle w:val="13"/>
            </w:pPr>
            <w:r>
              <w:t>年</w:t>
            </w:r>
          </w:p>
        </w:tc>
        <w:tc>
          <w:tcPr>
            <w:tcW w:w="850" w:type="dxa"/>
            <w:vAlign w:val="center"/>
          </w:tcPr>
          <w:p w14:paraId="42458546">
            <w:pPr>
              <w:pStyle w:val="11"/>
            </w:pPr>
            <w:r>
              <w:t>1</w:t>
            </w:r>
          </w:p>
        </w:tc>
        <w:tc>
          <w:tcPr>
            <w:tcW w:w="850" w:type="dxa"/>
            <w:vAlign w:val="center"/>
          </w:tcPr>
          <w:p w14:paraId="6DB8D6F8">
            <w:pPr>
              <w:pStyle w:val="11"/>
            </w:pPr>
            <w:r>
              <w:t>132.00</w:t>
            </w:r>
          </w:p>
        </w:tc>
        <w:tc>
          <w:tcPr>
            <w:tcW w:w="964" w:type="dxa"/>
            <w:vAlign w:val="center"/>
          </w:tcPr>
          <w:p w14:paraId="01CAA5BC">
            <w:pPr>
              <w:pStyle w:val="11"/>
            </w:pPr>
            <w:r>
              <w:t>132.00</w:t>
            </w:r>
          </w:p>
        </w:tc>
        <w:tc>
          <w:tcPr>
            <w:tcW w:w="964" w:type="dxa"/>
            <w:vAlign w:val="center"/>
          </w:tcPr>
          <w:p w14:paraId="04DAA3C0">
            <w:pPr>
              <w:pStyle w:val="11"/>
            </w:pPr>
            <w:r>
              <w:t>132.00</w:t>
            </w:r>
          </w:p>
        </w:tc>
        <w:tc>
          <w:tcPr>
            <w:tcW w:w="964" w:type="dxa"/>
            <w:vAlign w:val="center"/>
          </w:tcPr>
          <w:p w14:paraId="1FE8F9B5">
            <w:pPr>
              <w:pStyle w:val="11"/>
            </w:pPr>
          </w:p>
        </w:tc>
        <w:tc>
          <w:tcPr>
            <w:tcW w:w="964" w:type="dxa"/>
            <w:vAlign w:val="center"/>
          </w:tcPr>
          <w:p w14:paraId="20EE2471">
            <w:pPr>
              <w:pStyle w:val="11"/>
            </w:pPr>
          </w:p>
        </w:tc>
        <w:tc>
          <w:tcPr>
            <w:tcW w:w="964" w:type="dxa"/>
            <w:vAlign w:val="center"/>
          </w:tcPr>
          <w:p w14:paraId="6B5687EE">
            <w:pPr>
              <w:pStyle w:val="11"/>
            </w:pPr>
          </w:p>
        </w:tc>
        <w:tc>
          <w:tcPr>
            <w:tcW w:w="964" w:type="dxa"/>
            <w:vAlign w:val="center"/>
          </w:tcPr>
          <w:p w14:paraId="01E028CA">
            <w:pPr>
              <w:pStyle w:val="11"/>
            </w:pPr>
          </w:p>
        </w:tc>
        <w:tc>
          <w:tcPr>
            <w:tcW w:w="964" w:type="dxa"/>
            <w:vAlign w:val="center"/>
          </w:tcPr>
          <w:p w14:paraId="092AF127">
            <w:pPr>
              <w:pStyle w:val="11"/>
            </w:pPr>
          </w:p>
        </w:tc>
        <w:tc>
          <w:tcPr>
            <w:tcW w:w="964" w:type="dxa"/>
            <w:vAlign w:val="center"/>
          </w:tcPr>
          <w:p w14:paraId="293154E6">
            <w:pPr>
              <w:pStyle w:val="11"/>
            </w:pPr>
          </w:p>
        </w:tc>
        <w:tc>
          <w:tcPr>
            <w:tcW w:w="964" w:type="dxa"/>
            <w:vAlign w:val="center"/>
          </w:tcPr>
          <w:p w14:paraId="6D4D267B">
            <w:pPr>
              <w:pStyle w:val="11"/>
            </w:pPr>
            <w:r>
              <w:t>132.00</w:t>
            </w:r>
          </w:p>
        </w:tc>
      </w:tr>
    </w:tbl>
    <w:p w14:paraId="2A4513B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F90B01">
      <w:pPr>
        <w:spacing w:before="0" w:after="0"/>
        <w:ind w:firstLine="640"/>
        <w:jc w:val="left"/>
        <w:outlineLvl w:val="9"/>
      </w:pPr>
      <w:r>
        <w:rPr>
          <w:rFonts w:ascii="Times New Roman" w:hAnsi="Times New Roman" w:eastAsia="方正仿宋_GBK" w:cs="Times New Roman"/>
          <w:color w:val="000000"/>
          <w:sz w:val="32"/>
        </w:rPr>
        <w:t xml:space="preserve"> </w:t>
      </w:r>
    </w:p>
    <w:p w14:paraId="77A28B87">
      <w:pPr>
        <w:spacing w:before="10" w:after="10" w:line="240" w:lineRule="auto"/>
        <w:ind w:firstLine="640"/>
        <w:jc w:val="left"/>
        <w:outlineLvl w:val="5"/>
      </w:pPr>
      <w:r>
        <w:rPr>
          <w:rFonts w:ascii="黑体" w:hAnsi="黑体" w:eastAsia="黑体" w:cs="黑体"/>
          <w:color w:val="000000"/>
          <w:sz w:val="32"/>
        </w:rPr>
        <w:t>七、国有资产信息</w:t>
      </w:r>
    </w:p>
    <w:p w14:paraId="55EFC4B0">
      <w:pPr>
        <w:spacing w:before="0" w:after="0" w:line="500" w:lineRule="exact"/>
        <w:ind w:firstLine="560"/>
        <w:jc w:val="left"/>
        <w:outlineLvl w:val="9"/>
      </w:pPr>
      <w:r>
        <w:rPr>
          <w:rFonts w:ascii="Times New Roman" w:hAnsi="Times New Roman" w:eastAsia="方正仿宋_GBK" w:cs="Times New Roman"/>
          <w:b w:val="0"/>
          <w:color w:val="000000"/>
          <w:sz w:val="28"/>
        </w:rPr>
        <w:t>隆尧县大张家庄校区上年末固定资产金额为2435.28万元（详见下表）。本年度拟购置固定资产总额为61.11万元，已按要求列入政府采购预算，详见政府采购预算表。</w:t>
      </w:r>
    </w:p>
    <w:p w14:paraId="5E1FD4D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04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B78DB0">
            <w:pPr>
              <w:pStyle w:val="9"/>
            </w:pPr>
            <w:r>
              <w:t>360024隆尧县大张家庄校区</w:t>
            </w:r>
          </w:p>
        </w:tc>
        <w:tc>
          <w:tcPr>
            <w:tcW w:w="5670" w:type="dxa"/>
            <w:gridSpan w:val="2"/>
            <w:tcBorders>
              <w:top w:val="single" w:color="FFFFFF" w:sz="6" w:space="0"/>
              <w:left w:val="single" w:color="FFFFFF" w:sz="6" w:space="0"/>
              <w:right w:val="single" w:color="FFFFFF" w:sz="6" w:space="0"/>
            </w:tcBorders>
            <w:vAlign w:val="center"/>
          </w:tcPr>
          <w:p w14:paraId="3ECFBB9B">
            <w:pPr>
              <w:pStyle w:val="7"/>
            </w:pPr>
            <w:r>
              <w:t>截止时间：2025-12-31</w:t>
            </w:r>
          </w:p>
        </w:tc>
      </w:tr>
      <w:tr w14:paraId="234C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746F7C">
            <w:pPr>
              <w:pStyle w:val="10"/>
            </w:pPr>
            <w:r>
              <w:t>项   目</w:t>
            </w:r>
          </w:p>
        </w:tc>
        <w:tc>
          <w:tcPr>
            <w:tcW w:w="2835" w:type="dxa"/>
            <w:vAlign w:val="center"/>
          </w:tcPr>
          <w:p w14:paraId="5C19F446">
            <w:pPr>
              <w:pStyle w:val="10"/>
            </w:pPr>
            <w:r>
              <w:t>数量</w:t>
            </w:r>
          </w:p>
        </w:tc>
        <w:tc>
          <w:tcPr>
            <w:tcW w:w="2835" w:type="dxa"/>
            <w:vAlign w:val="center"/>
          </w:tcPr>
          <w:p w14:paraId="3BB9FB53">
            <w:pPr>
              <w:pStyle w:val="10"/>
            </w:pPr>
            <w:r>
              <w:t>价值（金额单位：万元）</w:t>
            </w:r>
          </w:p>
        </w:tc>
      </w:tr>
      <w:tr w14:paraId="7EC93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8B096D">
            <w:pPr>
              <w:pStyle w:val="12"/>
            </w:pPr>
            <w:r>
              <w:t>资产总额</w:t>
            </w:r>
          </w:p>
        </w:tc>
        <w:tc>
          <w:tcPr>
            <w:tcW w:w="2835" w:type="dxa"/>
            <w:vAlign w:val="center"/>
          </w:tcPr>
          <w:p w14:paraId="6CCB591D">
            <w:pPr>
              <w:pStyle w:val="13"/>
            </w:pPr>
          </w:p>
        </w:tc>
        <w:tc>
          <w:tcPr>
            <w:tcW w:w="2835" w:type="dxa"/>
            <w:vAlign w:val="center"/>
          </w:tcPr>
          <w:p w14:paraId="14E0922C">
            <w:pPr>
              <w:pStyle w:val="11"/>
            </w:pPr>
            <w:r>
              <w:t>2435.28</w:t>
            </w:r>
          </w:p>
        </w:tc>
      </w:tr>
      <w:tr w14:paraId="3F9035F0">
        <w:tblPrEx>
          <w:tblCellMar>
            <w:top w:w="0" w:type="dxa"/>
            <w:left w:w="108" w:type="dxa"/>
            <w:bottom w:w="0" w:type="dxa"/>
            <w:right w:w="108" w:type="dxa"/>
          </w:tblCellMar>
        </w:tblPrEx>
        <w:trPr>
          <w:jc w:val="center"/>
        </w:trPr>
        <w:tc>
          <w:tcPr>
            <w:tcW w:w="7370" w:type="dxa"/>
            <w:vAlign w:val="center"/>
          </w:tcPr>
          <w:p w14:paraId="6C1FDCD3">
            <w:pPr>
              <w:pStyle w:val="12"/>
            </w:pPr>
            <w:r>
              <w:t>1、房屋（平方米）</w:t>
            </w:r>
          </w:p>
        </w:tc>
        <w:tc>
          <w:tcPr>
            <w:tcW w:w="2835" w:type="dxa"/>
            <w:vAlign w:val="center"/>
          </w:tcPr>
          <w:p w14:paraId="4472385E">
            <w:pPr>
              <w:pStyle w:val="13"/>
            </w:pPr>
            <w:r>
              <w:t>20678.40</w:t>
            </w:r>
          </w:p>
        </w:tc>
        <w:tc>
          <w:tcPr>
            <w:tcW w:w="2835" w:type="dxa"/>
            <w:vAlign w:val="center"/>
          </w:tcPr>
          <w:p w14:paraId="4ED0BE1B">
            <w:pPr>
              <w:pStyle w:val="11"/>
            </w:pPr>
            <w:r>
              <w:t>1567.48</w:t>
            </w:r>
          </w:p>
        </w:tc>
      </w:tr>
      <w:tr w14:paraId="5E244B93">
        <w:tblPrEx>
          <w:tblCellMar>
            <w:top w:w="0" w:type="dxa"/>
            <w:left w:w="108" w:type="dxa"/>
            <w:bottom w:w="0" w:type="dxa"/>
            <w:right w:w="108" w:type="dxa"/>
          </w:tblCellMar>
        </w:tblPrEx>
        <w:trPr>
          <w:jc w:val="center"/>
        </w:trPr>
        <w:tc>
          <w:tcPr>
            <w:tcW w:w="7370" w:type="dxa"/>
            <w:vAlign w:val="center"/>
          </w:tcPr>
          <w:p w14:paraId="2E474EEE">
            <w:pPr>
              <w:pStyle w:val="12"/>
            </w:pPr>
            <w:r>
              <w:t>　　其中：办公用房（平方米）</w:t>
            </w:r>
          </w:p>
        </w:tc>
        <w:tc>
          <w:tcPr>
            <w:tcW w:w="2835" w:type="dxa"/>
            <w:vAlign w:val="center"/>
          </w:tcPr>
          <w:p w14:paraId="39ADB84E">
            <w:pPr>
              <w:pStyle w:val="13"/>
            </w:pPr>
            <w:r>
              <w:t>12289.40</w:t>
            </w:r>
          </w:p>
        </w:tc>
        <w:tc>
          <w:tcPr>
            <w:tcW w:w="2835" w:type="dxa"/>
            <w:vAlign w:val="center"/>
          </w:tcPr>
          <w:p w14:paraId="7E91147F">
            <w:pPr>
              <w:pStyle w:val="11"/>
            </w:pPr>
            <w:r>
              <w:t>931.57</w:t>
            </w:r>
          </w:p>
        </w:tc>
      </w:tr>
      <w:tr w14:paraId="3A1C379F">
        <w:tblPrEx>
          <w:tblCellMar>
            <w:top w:w="0" w:type="dxa"/>
            <w:left w:w="108" w:type="dxa"/>
            <w:bottom w:w="0" w:type="dxa"/>
            <w:right w:w="108" w:type="dxa"/>
          </w:tblCellMar>
        </w:tblPrEx>
        <w:trPr>
          <w:jc w:val="center"/>
        </w:trPr>
        <w:tc>
          <w:tcPr>
            <w:tcW w:w="7370" w:type="dxa"/>
            <w:vAlign w:val="center"/>
          </w:tcPr>
          <w:p w14:paraId="250AC92C">
            <w:pPr>
              <w:pStyle w:val="12"/>
            </w:pPr>
            <w:r>
              <w:t>2、车辆（台、辆）</w:t>
            </w:r>
          </w:p>
        </w:tc>
        <w:tc>
          <w:tcPr>
            <w:tcW w:w="2835" w:type="dxa"/>
            <w:vAlign w:val="center"/>
          </w:tcPr>
          <w:p w14:paraId="0C16B579">
            <w:pPr>
              <w:pStyle w:val="13"/>
            </w:pPr>
          </w:p>
        </w:tc>
        <w:tc>
          <w:tcPr>
            <w:tcW w:w="2835" w:type="dxa"/>
            <w:vAlign w:val="center"/>
          </w:tcPr>
          <w:p w14:paraId="1AC770DA">
            <w:pPr>
              <w:pStyle w:val="11"/>
            </w:pPr>
          </w:p>
        </w:tc>
      </w:tr>
      <w:tr w14:paraId="4BDDBDA7">
        <w:tblPrEx>
          <w:tblCellMar>
            <w:top w:w="0" w:type="dxa"/>
            <w:left w:w="108" w:type="dxa"/>
            <w:bottom w:w="0" w:type="dxa"/>
            <w:right w:w="108" w:type="dxa"/>
          </w:tblCellMar>
        </w:tblPrEx>
        <w:trPr>
          <w:jc w:val="center"/>
        </w:trPr>
        <w:tc>
          <w:tcPr>
            <w:tcW w:w="7370" w:type="dxa"/>
            <w:vAlign w:val="center"/>
          </w:tcPr>
          <w:p w14:paraId="312CC2FB">
            <w:pPr>
              <w:pStyle w:val="12"/>
            </w:pPr>
            <w:r>
              <w:t>3、单价在20万元以上的设备</w:t>
            </w:r>
          </w:p>
        </w:tc>
        <w:tc>
          <w:tcPr>
            <w:tcW w:w="2835" w:type="dxa"/>
            <w:vAlign w:val="center"/>
          </w:tcPr>
          <w:p w14:paraId="2294F7D8">
            <w:pPr>
              <w:pStyle w:val="13"/>
            </w:pPr>
            <w:r>
              <w:t>1</w:t>
            </w:r>
          </w:p>
        </w:tc>
        <w:tc>
          <w:tcPr>
            <w:tcW w:w="2835" w:type="dxa"/>
            <w:vAlign w:val="center"/>
          </w:tcPr>
          <w:p w14:paraId="061C50DD">
            <w:pPr>
              <w:pStyle w:val="11"/>
            </w:pPr>
            <w:r>
              <w:t>129.54</w:t>
            </w:r>
          </w:p>
        </w:tc>
      </w:tr>
      <w:tr w14:paraId="49210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A48EBC">
            <w:pPr>
              <w:pStyle w:val="12"/>
            </w:pPr>
            <w:r>
              <w:t>4、其他固定资产</w:t>
            </w:r>
          </w:p>
        </w:tc>
        <w:tc>
          <w:tcPr>
            <w:tcW w:w="2835" w:type="dxa"/>
            <w:vAlign w:val="center"/>
          </w:tcPr>
          <w:p w14:paraId="40622D84">
            <w:pPr>
              <w:pStyle w:val="13"/>
            </w:pPr>
            <w:r>
              <w:t>40683</w:t>
            </w:r>
          </w:p>
        </w:tc>
        <w:tc>
          <w:tcPr>
            <w:tcW w:w="2835" w:type="dxa"/>
            <w:vAlign w:val="center"/>
          </w:tcPr>
          <w:p w14:paraId="6A13328B">
            <w:pPr>
              <w:pStyle w:val="11"/>
            </w:pPr>
            <w:r>
              <w:t>738.26</w:t>
            </w:r>
          </w:p>
        </w:tc>
      </w:tr>
    </w:tbl>
    <w:p w14:paraId="4CF85F8E">
      <w:pPr>
        <w:spacing w:before="0" w:after="0"/>
        <w:ind w:firstLine="640"/>
        <w:jc w:val="left"/>
        <w:outlineLvl w:val="9"/>
      </w:pPr>
      <w:r>
        <w:rPr>
          <w:rFonts w:ascii="Times New Roman" w:hAnsi="Times New Roman" w:eastAsia="方正仿宋_GBK" w:cs="Times New Roman"/>
          <w:color w:val="000000"/>
          <w:sz w:val="32"/>
        </w:rPr>
        <w:t xml:space="preserve"> </w:t>
      </w:r>
    </w:p>
    <w:p w14:paraId="11C5E1B0">
      <w:pPr>
        <w:spacing w:before="10" w:after="10" w:line="240" w:lineRule="auto"/>
        <w:ind w:firstLine="640"/>
        <w:jc w:val="left"/>
        <w:outlineLvl w:val="5"/>
      </w:pPr>
      <w:r>
        <w:rPr>
          <w:rFonts w:ascii="黑体" w:hAnsi="黑体" w:eastAsia="黑体" w:cs="黑体"/>
          <w:color w:val="000000"/>
          <w:sz w:val="32"/>
        </w:rPr>
        <w:t>八、名词解释</w:t>
      </w:r>
    </w:p>
    <w:p w14:paraId="38629B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23C6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8C04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94DD16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2577E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67F6A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71595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851D4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6D81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E5275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CDCAEE">
      <w:pPr>
        <w:spacing w:before="10" w:after="10" w:line="240" w:lineRule="auto"/>
        <w:ind w:firstLine="640"/>
        <w:jc w:val="left"/>
        <w:outlineLvl w:val="5"/>
      </w:pPr>
      <w:r>
        <w:rPr>
          <w:rFonts w:ascii="黑体" w:hAnsi="黑体" w:eastAsia="黑体" w:cs="黑体"/>
          <w:color w:val="000000"/>
          <w:sz w:val="32"/>
        </w:rPr>
        <w:t>九、其他需要说明的事项</w:t>
      </w:r>
    </w:p>
    <w:p w14:paraId="73371FF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4625C79">
      <w:pPr>
        <w:spacing w:before="0" w:after="0"/>
        <w:ind w:firstLine="0"/>
        <w:jc w:val="center"/>
        <w:outlineLvl w:val="3"/>
      </w:pPr>
      <w:bookmarkStart w:id="23" w:name="_Toc_4_4_0000000024"/>
      <w:r>
        <w:rPr>
          <w:rFonts w:ascii="方正小标宋_GBK" w:hAnsi="方正小标宋_GBK" w:eastAsia="方正小标宋_GBK" w:cs="方正小标宋_GBK"/>
          <w:b w:val="0"/>
          <w:color w:val="000000"/>
          <w:sz w:val="44"/>
        </w:rPr>
        <w:t>二十四、隆尧县千户营校区收支预算</w:t>
      </w:r>
      <w:bookmarkEnd w:id="23"/>
    </w:p>
    <w:p w14:paraId="04E989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1B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AC4331">
            <w:pPr>
              <w:pStyle w:val="9"/>
            </w:pPr>
            <w:r>
              <w:t>360025隆尧县千户营校区</w:t>
            </w:r>
          </w:p>
        </w:tc>
        <w:tc>
          <w:tcPr>
            <w:tcW w:w="2126" w:type="dxa"/>
            <w:tcBorders>
              <w:top w:val="single" w:color="FFFFFF" w:sz="6" w:space="0"/>
              <w:left w:val="single" w:color="FFFFFF" w:sz="6" w:space="0"/>
              <w:right w:val="single" w:color="FFFFFF" w:sz="6" w:space="0"/>
            </w:tcBorders>
            <w:vAlign w:val="center"/>
          </w:tcPr>
          <w:p w14:paraId="3A607A9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A33D562">
            <w:pPr>
              <w:pStyle w:val="7"/>
            </w:pPr>
            <w:r>
              <w:t>单位：万元</w:t>
            </w:r>
          </w:p>
        </w:tc>
      </w:tr>
      <w:tr w14:paraId="0AB1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05E7A">
            <w:pPr>
              <w:pStyle w:val="10"/>
            </w:pPr>
            <w:r>
              <w:t>序号</w:t>
            </w:r>
          </w:p>
        </w:tc>
        <w:tc>
          <w:tcPr>
            <w:tcW w:w="6661" w:type="dxa"/>
            <w:gridSpan w:val="2"/>
            <w:vAlign w:val="center"/>
          </w:tcPr>
          <w:p w14:paraId="31C7D623">
            <w:pPr>
              <w:pStyle w:val="10"/>
            </w:pPr>
            <w:r>
              <w:t>收入</w:t>
            </w:r>
          </w:p>
        </w:tc>
        <w:tc>
          <w:tcPr>
            <w:tcW w:w="6661" w:type="dxa"/>
            <w:gridSpan w:val="2"/>
            <w:vAlign w:val="center"/>
          </w:tcPr>
          <w:p w14:paraId="0310F70F">
            <w:pPr>
              <w:pStyle w:val="10"/>
            </w:pPr>
            <w:r>
              <w:t>支出</w:t>
            </w:r>
          </w:p>
        </w:tc>
      </w:tr>
      <w:tr w14:paraId="4D1C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2D774"/>
        </w:tc>
        <w:tc>
          <w:tcPr>
            <w:tcW w:w="4535" w:type="dxa"/>
            <w:vAlign w:val="center"/>
          </w:tcPr>
          <w:p w14:paraId="3243870C">
            <w:pPr>
              <w:pStyle w:val="10"/>
            </w:pPr>
            <w:r>
              <w:t>项  目</w:t>
            </w:r>
          </w:p>
        </w:tc>
        <w:tc>
          <w:tcPr>
            <w:tcW w:w="2126" w:type="dxa"/>
            <w:vAlign w:val="center"/>
          </w:tcPr>
          <w:p w14:paraId="26D1B1EF">
            <w:pPr>
              <w:pStyle w:val="10"/>
            </w:pPr>
            <w:r>
              <w:t>预算数</w:t>
            </w:r>
          </w:p>
        </w:tc>
        <w:tc>
          <w:tcPr>
            <w:tcW w:w="4535" w:type="dxa"/>
            <w:vAlign w:val="center"/>
          </w:tcPr>
          <w:p w14:paraId="2E7696EE">
            <w:pPr>
              <w:pStyle w:val="10"/>
            </w:pPr>
            <w:r>
              <w:t>项  目</w:t>
            </w:r>
          </w:p>
        </w:tc>
        <w:tc>
          <w:tcPr>
            <w:tcW w:w="2126" w:type="dxa"/>
            <w:vAlign w:val="center"/>
          </w:tcPr>
          <w:p w14:paraId="16ADC817">
            <w:pPr>
              <w:pStyle w:val="10"/>
            </w:pPr>
            <w:r>
              <w:t>预算数</w:t>
            </w:r>
          </w:p>
        </w:tc>
      </w:tr>
      <w:tr w14:paraId="75E9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2EB03">
            <w:pPr>
              <w:pStyle w:val="10"/>
            </w:pPr>
            <w:r>
              <w:t>栏次</w:t>
            </w:r>
          </w:p>
        </w:tc>
        <w:tc>
          <w:tcPr>
            <w:tcW w:w="4535" w:type="dxa"/>
            <w:vAlign w:val="center"/>
          </w:tcPr>
          <w:p w14:paraId="2D707E8A">
            <w:pPr>
              <w:pStyle w:val="10"/>
            </w:pPr>
            <w:r>
              <w:t>1</w:t>
            </w:r>
          </w:p>
        </w:tc>
        <w:tc>
          <w:tcPr>
            <w:tcW w:w="2126" w:type="dxa"/>
            <w:vAlign w:val="center"/>
          </w:tcPr>
          <w:p w14:paraId="7D0FF45E">
            <w:pPr>
              <w:pStyle w:val="10"/>
            </w:pPr>
            <w:r>
              <w:t>2</w:t>
            </w:r>
          </w:p>
        </w:tc>
        <w:tc>
          <w:tcPr>
            <w:tcW w:w="4535" w:type="dxa"/>
            <w:vAlign w:val="center"/>
          </w:tcPr>
          <w:p w14:paraId="030BF791">
            <w:pPr>
              <w:pStyle w:val="10"/>
            </w:pPr>
            <w:r>
              <w:t>3</w:t>
            </w:r>
          </w:p>
        </w:tc>
        <w:tc>
          <w:tcPr>
            <w:tcW w:w="2126" w:type="dxa"/>
            <w:vAlign w:val="center"/>
          </w:tcPr>
          <w:p w14:paraId="69F8705E">
            <w:pPr>
              <w:pStyle w:val="10"/>
            </w:pPr>
            <w:r>
              <w:t>4</w:t>
            </w:r>
          </w:p>
        </w:tc>
      </w:tr>
      <w:tr w14:paraId="7A7DB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8C12D">
            <w:pPr>
              <w:pStyle w:val="13"/>
            </w:pPr>
            <w:r>
              <w:t>1</w:t>
            </w:r>
          </w:p>
        </w:tc>
        <w:tc>
          <w:tcPr>
            <w:tcW w:w="4535" w:type="dxa"/>
            <w:vAlign w:val="center"/>
          </w:tcPr>
          <w:p w14:paraId="6278DF57">
            <w:pPr>
              <w:pStyle w:val="12"/>
            </w:pPr>
            <w:r>
              <w:t>一、一般公共预算拨款收入</w:t>
            </w:r>
          </w:p>
        </w:tc>
        <w:tc>
          <w:tcPr>
            <w:tcW w:w="2126" w:type="dxa"/>
            <w:vAlign w:val="center"/>
          </w:tcPr>
          <w:p w14:paraId="48CA7918">
            <w:pPr>
              <w:pStyle w:val="11"/>
            </w:pPr>
            <w:r>
              <w:t>2082.45</w:t>
            </w:r>
          </w:p>
        </w:tc>
        <w:tc>
          <w:tcPr>
            <w:tcW w:w="4535" w:type="dxa"/>
            <w:vAlign w:val="center"/>
          </w:tcPr>
          <w:p w14:paraId="6E30BE4F">
            <w:pPr>
              <w:pStyle w:val="12"/>
            </w:pPr>
            <w:r>
              <w:t>一、一般公共服务支出</w:t>
            </w:r>
          </w:p>
        </w:tc>
        <w:tc>
          <w:tcPr>
            <w:tcW w:w="2126" w:type="dxa"/>
            <w:vAlign w:val="center"/>
          </w:tcPr>
          <w:p w14:paraId="3087DB15">
            <w:pPr>
              <w:pStyle w:val="11"/>
            </w:pPr>
          </w:p>
        </w:tc>
      </w:tr>
      <w:tr w14:paraId="1FE1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F2A2">
            <w:pPr>
              <w:pStyle w:val="13"/>
            </w:pPr>
            <w:r>
              <w:t>2</w:t>
            </w:r>
          </w:p>
        </w:tc>
        <w:tc>
          <w:tcPr>
            <w:tcW w:w="4535" w:type="dxa"/>
            <w:vAlign w:val="center"/>
          </w:tcPr>
          <w:p w14:paraId="1C0ED841">
            <w:pPr>
              <w:pStyle w:val="12"/>
            </w:pPr>
            <w:r>
              <w:t>二、政府性基金预算拨款收入</w:t>
            </w:r>
          </w:p>
        </w:tc>
        <w:tc>
          <w:tcPr>
            <w:tcW w:w="2126" w:type="dxa"/>
            <w:vAlign w:val="center"/>
          </w:tcPr>
          <w:p w14:paraId="57E0412F">
            <w:pPr>
              <w:pStyle w:val="11"/>
            </w:pPr>
          </w:p>
        </w:tc>
        <w:tc>
          <w:tcPr>
            <w:tcW w:w="4535" w:type="dxa"/>
            <w:vAlign w:val="center"/>
          </w:tcPr>
          <w:p w14:paraId="7D1605EE">
            <w:pPr>
              <w:pStyle w:val="12"/>
            </w:pPr>
            <w:r>
              <w:t>二、外交支出</w:t>
            </w:r>
          </w:p>
        </w:tc>
        <w:tc>
          <w:tcPr>
            <w:tcW w:w="2126" w:type="dxa"/>
            <w:vAlign w:val="center"/>
          </w:tcPr>
          <w:p w14:paraId="0B9B2332">
            <w:pPr>
              <w:pStyle w:val="11"/>
            </w:pPr>
          </w:p>
        </w:tc>
      </w:tr>
      <w:tr w14:paraId="62E4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3092">
            <w:pPr>
              <w:pStyle w:val="13"/>
            </w:pPr>
            <w:r>
              <w:t>3</w:t>
            </w:r>
          </w:p>
        </w:tc>
        <w:tc>
          <w:tcPr>
            <w:tcW w:w="4535" w:type="dxa"/>
            <w:vAlign w:val="center"/>
          </w:tcPr>
          <w:p w14:paraId="2DA02823">
            <w:pPr>
              <w:pStyle w:val="12"/>
            </w:pPr>
            <w:r>
              <w:t>三、国有资本经营预算拨款收入</w:t>
            </w:r>
          </w:p>
        </w:tc>
        <w:tc>
          <w:tcPr>
            <w:tcW w:w="2126" w:type="dxa"/>
            <w:vAlign w:val="center"/>
          </w:tcPr>
          <w:p w14:paraId="35686657">
            <w:pPr>
              <w:pStyle w:val="11"/>
            </w:pPr>
          </w:p>
        </w:tc>
        <w:tc>
          <w:tcPr>
            <w:tcW w:w="4535" w:type="dxa"/>
            <w:vAlign w:val="center"/>
          </w:tcPr>
          <w:p w14:paraId="167A30FB">
            <w:pPr>
              <w:pStyle w:val="12"/>
            </w:pPr>
            <w:r>
              <w:t>三、国防支出</w:t>
            </w:r>
          </w:p>
        </w:tc>
        <w:tc>
          <w:tcPr>
            <w:tcW w:w="2126" w:type="dxa"/>
            <w:vAlign w:val="center"/>
          </w:tcPr>
          <w:p w14:paraId="09A38EAB">
            <w:pPr>
              <w:pStyle w:val="11"/>
            </w:pPr>
          </w:p>
        </w:tc>
      </w:tr>
      <w:tr w14:paraId="0BD4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FAF3">
            <w:pPr>
              <w:pStyle w:val="13"/>
            </w:pPr>
            <w:r>
              <w:t>4</w:t>
            </w:r>
          </w:p>
        </w:tc>
        <w:tc>
          <w:tcPr>
            <w:tcW w:w="4535" w:type="dxa"/>
            <w:vAlign w:val="center"/>
          </w:tcPr>
          <w:p w14:paraId="329756CE">
            <w:pPr>
              <w:pStyle w:val="12"/>
            </w:pPr>
            <w:r>
              <w:t>四、财政专户管理资金收入</w:t>
            </w:r>
          </w:p>
        </w:tc>
        <w:tc>
          <w:tcPr>
            <w:tcW w:w="2126" w:type="dxa"/>
            <w:vAlign w:val="center"/>
          </w:tcPr>
          <w:p w14:paraId="50116D0F">
            <w:pPr>
              <w:pStyle w:val="11"/>
            </w:pPr>
          </w:p>
        </w:tc>
        <w:tc>
          <w:tcPr>
            <w:tcW w:w="4535" w:type="dxa"/>
            <w:vAlign w:val="center"/>
          </w:tcPr>
          <w:p w14:paraId="0706626F">
            <w:pPr>
              <w:pStyle w:val="12"/>
            </w:pPr>
            <w:r>
              <w:t>四、公共安全支出</w:t>
            </w:r>
          </w:p>
        </w:tc>
        <w:tc>
          <w:tcPr>
            <w:tcW w:w="2126" w:type="dxa"/>
            <w:vAlign w:val="center"/>
          </w:tcPr>
          <w:p w14:paraId="798FFB3A">
            <w:pPr>
              <w:pStyle w:val="11"/>
            </w:pPr>
          </w:p>
        </w:tc>
      </w:tr>
      <w:tr w14:paraId="4DB2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395F8">
            <w:pPr>
              <w:pStyle w:val="13"/>
            </w:pPr>
            <w:r>
              <w:t>5</w:t>
            </w:r>
          </w:p>
        </w:tc>
        <w:tc>
          <w:tcPr>
            <w:tcW w:w="4535" w:type="dxa"/>
            <w:vAlign w:val="center"/>
          </w:tcPr>
          <w:p w14:paraId="209CF3D9">
            <w:pPr>
              <w:pStyle w:val="12"/>
            </w:pPr>
            <w:r>
              <w:t>五、单位资金</w:t>
            </w:r>
          </w:p>
        </w:tc>
        <w:tc>
          <w:tcPr>
            <w:tcW w:w="2126" w:type="dxa"/>
            <w:vAlign w:val="center"/>
          </w:tcPr>
          <w:p w14:paraId="4DDE2DE6">
            <w:pPr>
              <w:pStyle w:val="11"/>
            </w:pPr>
          </w:p>
        </w:tc>
        <w:tc>
          <w:tcPr>
            <w:tcW w:w="4535" w:type="dxa"/>
            <w:vAlign w:val="center"/>
          </w:tcPr>
          <w:p w14:paraId="34F7DAA0">
            <w:pPr>
              <w:pStyle w:val="12"/>
            </w:pPr>
            <w:r>
              <w:t>五、教育支出</w:t>
            </w:r>
          </w:p>
        </w:tc>
        <w:tc>
          <w:tcPr>
            <w:tcW w:w="2126" w:type="dxa"/>
            <w:vAlign w:val="center"/>
          </w:tcPr>
          <w:p w14:paraId="619F2E36">
            <w:pPr>
              <w:pStyle w:val="11"/>
            </w:pPr>
            <w:r>
              <w:t>2082.45</w:t>
            </w:r>
          </w:p>
        </w:tc>
      </w:tr>
      <w:tr w14:paraId="789F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5C08F">
            <w:pPr>
              <w:pStyle w:val="13"/>
            </w:pPr>
            <w:r>
              <w:t>6</w:t>
            </w:r>
          </w:p>
        </w:tc>
        <w:tc>
          <w:tcPr>
            <w:tcW w:w="4535" w:type="dxa"/>
            <w:vAlign w:val="center"/>
          </w:tcPr>
          <w:p w14:paraId="4FD95120">
            <w:pPr>
              <w:pStyle w:val="12"/>
            </w:pPr>
          </w:p>
        </w:tc>
        <w:tc>
          <w:tcPr>
            <w:tcW w:w="2126" w:type="dxa"/>
            <w:vAlign w:val="center"/>
          </w:tcPr>
          <w:p w14:paraId="4563BEC7">
            <w:pPr>
              <w:pStyle w:val="11"/>
            </w:pPr>
          </w:p>
        </w:tc>
        <w:tc>
          <w:tcPr>
            <w:tcW w:w="4535" w:type="dxa"/>
            <w:vAlign w:val="center"/>
          </w:tcPr>
          <w:p w14:paraId="58D87C0A">
            <w:pPr>
              <w:pStyle w:val="12"/>
            </w:pPr>
            <w:r>
              <w:t>六、科学技术支出</w:t>
            </w:r>
          </w:p>
        </w:tc>
        <w:tc>
          <w:tcPr>
            <w:tcW w:w="2126" w:type="dxa"/>
            <w:vAlign w:val="center"/>
          </w:tcPr>
          <w:p w14:paraId="75BD5BEC">
            <w:pPr>
              <w:pStyle w:val="11"/>
            </w:pPr>
          </w:p>
        </w:tc>
      </w:tr>
      <w:tr w14:paraId="3266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A84B2">
            <w:pPr>
              <w:pStyle w:val="13"/>
            </w:pPr>
            <w:r>
              <w:t>7</w:t>
            </w:r>
          </w:p>
        </w:tc>
        <w:tc>
          <w:tcPr>
            <w:tcW w:w="4535" w:type="dxa"/>
            <w:vAlign w:val="center"/>
          </w:tcPr>
          <w:p w14:paraId="661619C0">
            <w:pPr>
              <w:pStyle w:val="12"/>
            </w:pPr>
          </w:p>
        </w:tc>
        <w:tc>
          <w:tcPr>
            <w:tcW w:w="2126" w:type="dxa"/>
            <w:vAlign w:val="center"/>
          </w:tcPr>
          <w:p w14:paraId="09E8C3CF">
            <w:pPr>
              <w:pStyle w:val="11"/>
            </w:pPr>
          </w:p>
        </w:tc>
        <w:tc>
          <w:tcPr>
            <w:tcW w:w="4535" w:type="dxa"/>
            <w:vAlign w:val="center"/>
          </w:tcPr>
          <w:p w14:paraId="3E5CD9F7">
            <w:pPr>
              <w:pStyle w:val="12"/>
            </w:pPr>
            <w:r>
              <w:t>七、文化旅游体育与传媒支出</w:t>
            </w:r>
          </w:p>
        </w:tc>
        <w:tc>
          <w:tcPr>
            <w:tcW w:w="2126" w:type="dxa"/>
            <w:vAlign w:val="center"/>
          </w:tcPr>
          <w:p w14:paraId="5612A11B">
            <w:pPr>
              <w:pStyle w:val="11"/>
            </w:pPr>
          </w:p>
        </w:tc>
      </w:tr>
      <w:tr w14:paraId="56C4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1AC8">
            <w:pPr>
              <w:pStyle w:val="13"/>
            </w:pPr>
            <w:r>
              <w:t>8</w:t>
            </w:r>
          </w:p>
        </w:tc>
        <w:tc>
          <w:tcPr>
            <w:tcW w:w="4535" w:type="dxa"/>
            <w:vAlign w:val="center"/>
          </w:tcPr>
          <w:p w14:paraId="6F555B37">
            <w:pPr>
              <w:pStyle w:val="12"/>
            </w:pPr>
          </w:p>
        </w:tc>
        <w:tc>
          <w:tcPr>
            <w:tcW w:w="2126" w:type="dxa"/>
            <w:vAlign w:val="center"/>
          </w:tcPr>
          <w:p w14:paraId="3763B841">
            <w:pPr>
              <w:pStyle w:val="11"/>
            </w:pPr>
          </w:p>
        </w:tc>
        <w:tc>
          <w:tcPr>
            <w:tcW w:w="4535" w:type="dxa"/>
            <w:vAlign w:val="center"/>
          </w:tcPr>
          <w:p w14:paraId="20B1B416">
            <w:pPr>
              <w:pStyle w:val="12"/>
            </w:pPr>
            <w:r>
              <w:t>八、社会保障和就业支出</w:t>
            </w:r>
          </w:p>
        </w:tc>
        <w:tc>
          <w:tcPr>
            <w:tcW w:w="2126" w:type="dxa"/>
            <w:vAlign w:val="center"/>
          </w:tcPr>
          <w:p w14:paraId="2563819F">
            <w:pPr>
              <w:pStyle w:val="11"/>
            </w:pPr>
          </w:p>
        </w:tc>
      </w:tr>
      <w:tr w14:paraId="1C2F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58434">
            <w:pPr>
              <w:pStyle w:val="13"/>
            </w:pPr>
            <w:r>
              <w:t>9</w:t>
            </w:r>
          </w:p>
        </w:tc>
        <w:tc>
          <w:tcPr>
            <w:tcW w:w="4535" w:type="dxa"/>
            <w:vAlign w:val="center"/>
          </w:tcPr>
          <w:p w14:paraId="642148CA">
            <w:pPr>
              <w:pStyle w:val="12"/>
            </w:pPr>
          </w:p>
        </w:tc>
        <w:tc>
          <w:tcPr>
            <w:tcW w:w="2126" w:type="dxa"/>
            <w:vAlign w:val="center"/>
          </w:tcPr>
          <w:p w14:paraId="42A9F451">
            <w:pPr>
              <w:pStyle w:val="11"/>
            </w:pPr>
          </w:p>
        </w:tc>
        <w:tc>
          <w:tcPr>
            <w:tcW w:w="4535" w:type="dxa"/>
            <w:vAlign w:val="center"/>
          </w:tcPr>
          <w:p w14:paraId="15724C97">
            <w:pPr>
              <w:pStyle w:val="12"/>
            </w:pPr>
            <w:r>
              <w:t>九、社会保险基金支出</w:t>
            </w:r>
          </w:p>
        </w:tc>
        <w:tc>
          <w:tcPr>
            <w:tcW w:w="2126" w:type="dxa"/>
            <w:vAlign w:val="center"/>
          </w:tcPr>
          <w:p w14:paraId="0450C3C5">
            <w:pPr>
              <w:pStyle w:val="11"/>
            </w:pPr>
          </w:p>
        </w:tc>
      </w:tr>
      <w:tr w14:paraId="7E1D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A5AE">
            <w:pPr>
              <w:pStyle w:val="13"/>
            </w:pPr>
            <w:r>
              <w:t>10</w:t>
            </w:r>
          </w:p>
        </w:tc>
        <w:tc>
          <w:tcPr>
            <w:tcW w:w="4535" w:type="dxa"/>
            <w:vAlign w:val="center"/>
          </w:tcPr>
          <w:p w14:paraId="05D37BC9">
            <w:pPr>
              <w:pStyle w:val="12"/>
            </w:pPr>
          </w:p>
        </w:tc>
        <w:tc>
          <w:tcPr>
            <w:tcW w:w="2126" w:type="dxa"/>
            <w:vAlign w:val="center"/>
          </w:tcPr>
          <w:p w14:paraId="7194488F">
            <w:pPr>
              <w:pStyle w:val="11"/>
            </w:pPr>
          </w:p>
        </w:tc>
        <w:tc>
          <w:tcPr>
            <w:tcW w:w="4535" w:type="dxa"/>
            <w:vAlign w:val="center"/>
          </w:tcPr>
          <w:p w14:paraId="0AC29214">
            <w:pPr>
              <w:pStyle w:val="12"/>
            </w:pPr>
            <w:r>
              <w:t>十、卫生健康支出</w:t>
            </w:r>
          </w:p>
        </w:tc>
        <w:tc>
          <w:tcPr>
            <w:tcW w:w="2126" w:type="dxa"/>
            <w:vAlign w:val="center"/>
          </w:tcPr>
          <w:p w14:paraId="17B3E08F">
            <w:pPr>
              <w:pStyle w:val="11"/>
            </w:pPr>
          </w:p>
        </w:tc>
      </w:tr>
      <w:tr w14:paraId="522F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71395">
            <w:pPr>
              <w:pStyle w:val="13"/>
            </w:pPr>
            <w:r>
              <w:t>11</w:t>
            </w:r>
          </w:p>
        </w:tc>
        <w:tc>
          <w:tcPr>
            <w:tcW w:w="4535" w:type="dxa"/>
            <w:vAlign w:val="center"/>
          </w:tcPr>
          <w:p w14:paraId="25104A8E">
            <w:pPr>
              <w:pStyle w:val="12"/>
            </w:pPr>
          </w:p>
        </w:tc>
        <w:tc>
          <w:tcPr>
            <w:tcW w:w="2126" w:type="dxa"/>
            <w:vAlign w:val="center"/>
          </w:tcPr>
          <w:p w14:paraId="3F90059B">
            <w:pPr>
              <w:pStyle w:val="11"/>
            </w:pPr>
          </w:p>
        </w:tc>
        <w:tc>
          <w:tcPr>
            <w:tcW w:w="4535" w:type="dxa"/>
            <w:vAlign w:val="center"/>
          </w:tcPr>
          <w:p w14:paraId="1E00C0E1">
            <w:pPr>
              <w:pStyle w:val="12"/>
            </w:pPr>
            <w:r>
              <w:t>十一、节能环保支出</w:t>
            </w:r>
          </w:p>
        </w:tc>
        <w:tc>
          <w:tcPr>
            <w:tcW w:w="2126" w:type="dxa"/>
            <w:vAlign w:val="center"/>
          </w:tcPr>
          <w:p w14:paraId="02813BE3">
            <w:pPr>
              <w:pStyle w:val="11"/>
            </w:pPr>
          </w:p>
        </w:tc>
      </w:tr>
      <w:tr w14:paraId="6D51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9E2D5">
            <w:pPr>
              <w:pStyle w:val="13"/>
            </w:pPr>
            <w:r>
              <w:t>12</w:t>
            </w:r>
          </w:p>
        </w:tc>
        <w:tc>
          <w:tcPr>
            <w:tcW w:w="4535" w:type="dxa"/>
            <w:vAlign w:val="center"/>
          </w:tcPr>
          <w:p w14:paraId="6F8B82BB">
            <w:pPr>
              <w:pStyle w:val="12"/>
            </w:pPr>
          </w:p>
        </w:tc>
        <w:tc>
          <w:tcPr>
            <w:tcW w:w="2126" w:type="dxa"/>
            <w:vAlign w:val="center"/>
          </w:tcPr>
          <w:p w14:paraId="234041E4">
            <w:pPr>
              <w:pStyle w:val="11"/>
            </w:pPr>
          </w:p>
        </w:tc>
        <w:tc>
          <w:tcPr>
            <w:tcW w:w="4535" w:type="dxa"/>
            <w:vAlign w:val="center"/>
          </w:tcPr>
          <w:p w14:paraId="007F536E">
            <w:pPr>
              <w:pStyle w:val="12"/>
            </w:pPr>
            <w:r>
              <w:t>十二、城乡社区支出</w:t>
            </w:r>
          </w:p>
        </w:tc>
        <w:tc>
          <w:tcPr>
            <w:tcW w:w="2126" w:type="dxa"/>
            <w:vAlign w:val="center"/>
          </w:tcPr>
          <w:p w14:paraId="0C0DB655">
            <w:pPr>
              <w:pStyle w:val="11"/>
            </w:pPr>
          </w:p>
        </w:tc>
      </w:tr>
      <w:tr w14:paraId="7F99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8A56A">
            <w:pPr>
              <w:pStyle w:val="13"/>
            </w:pPr>
            <w:r>
              <w:t>13</w:t>
            </w:r>
          </w:p>
        </w:tc>
        <w:tc>
          <w:tcPr>
            <w:tcW w:w="4535" w:type="dxa"/>
            <w:vAlign w:val="center"/>
          </w:tcPr>
          <w:p w14:paraId="1F9E4417">
            <w:pPr>
              <w:pStyle w:val="12"/>
            </w:pPr>
          </w:p>
        </w:tc>
        <w:tc>
          <w:tcPr>
            <w:tcW w:w="2126" w:type="dxa"/>
            <w:vAlign w:val="center"/>
          </w:tcPr>
          <w:p w14:paraId="1C114B46">
            <w:pPr>
              <w:pStyle w:val="11"/>
            </w:pPr>
          </w:p>
        </w:tc>
        <w:tc>
          <w:tcPr>
            <w:tcW w:w="4535" w:type="dxa"/>
            <w:vAlign w:val="center"/>
          </w:tcPr>
          <w:p w14:paraId="7DEF4235">
            <w:pPr>
              <w:pStyle w:val="12"/>
            </w:pPr>
            <w:r>
              <w:t>十三、农林水支出</w:t>
            </w:r>
          </w:p>
        </w:tc>
        <w:tc>
          <w:tcPr>
            <w:tcW w:w="2126" w:type="dxa"/>
            <w:vAlign w:val="center"/>
          </w:tcPr>
          <w:p w14:paraId="02BCDC06">
            <w:pPr>
              <w:pStyle w:val="11"/>
            </w:pPr>
          </w:p>
        </w:tc>
      </w:tr>
      <w:tr w14:paraId="180B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E64B8">
            <w:pPr>
              <w:pStyle w:val="13"/>
            </w:pPr>
            <w:r>
              <w:t>14</w:t>
            </w:r>
          </w:p>
        </w:tc>
        <w:tc>
          <w:tcPr>
            <w:tcW w:w="4535" w:type="dxa"/>
            <w:vAlign w:val="center"/>
          </w:tcPr>
          <w:p w14:paraId="5967D9EE">
            <w:pPr>
              <w:pStyle w:val="12"/>
            </w:pPr>
          </w:p>
        </w:tc>
        <w:tc>
          <w:tcPr>
            <w:tcW w:w="2126" w:type="dxa"/>
            <w:vAlign w:val="center"/>
          </w:tcPr>
          <w:p w14:paraId="2CD433CF">
            <w:pPr>
              <w:pStyle w:val="11"/>
            </w:pPr>
          </w:p>
        </w:tc>
        <w:tc>
          <w:tcPr>
            <w:tcW w:w="4535" w:type="dxa"/>
            <w:vAlign w:val="center"/>
          </w:tcPr>
          <w:p w14:paraId="25F34FFD">
            <w:pPr>
              <w:pStyle w:val="12"/>
            </w:pPr>
            <w:r>
              <w:t>十四、交通运输支出</w:t>
            </w:r>
          </w:p>
        </w:tc>
        <w:tc>
          <w:tcPr>
            <w:tcW w:w="2126" w:type="dxa"/>
            <w:vAlign w:val="center"/>
          </w:tcPr>
          <w:p w14:paraId="77E747B8">
            <w:pPr>
              <w:pStyle w:val="11"/>
            </w:pPr>
          </w:p>
        </w:tc>
      </w:tr>
      <w:tr w14:paraId="4B6A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B8B0B">
            <w:pPr>
              <w:pStyle w:val="13"/>
            </w:pPr>
            <w:r>
              <w:t>15</w:t>
            </w:r>
          </w:p>
        </w:tc>
        <w:tc>
          <w:tcPr>
            <w:tcW w:w="4535" w:type="dxa"/>
            <w:vAlign w:val="center"/>
          </w:tcPr>
          <w:p w14:paraId="3A97E32B">
            <w:pPr>
              <w:pStyle w:val="12"/>
            </w:pPr>
          </w:p>
        </w:tc>
        <w:tc>
          <w:tcPr>
            <w:tcW w:w="2126" w:type="dxa"/>
            <w:vAlign w:val="center"/>
          </w:tcPr>
          <w:p w14:paraId="7AB2E598">
            <w:pPr>
              <w:pStyle w:val="11"/>
            </w:pPr>
          </w:p>
        </w:tc>
        <w:tc>
          <w:tcPr>
            <w:tcW w:w="4535" w:type="dxa"/>
            <w:vAlign w:val="center"/>
          </w:tcPr>
          <w:p w14:paraId="4AE52695">
            <w:pPr>
              <w:pStyle w:val="12"/>
            </w:pPr>
            <w:r>
              <w:t>十五、资源勘探工业信息等支出</w:t>
            </w:r>
          </w:p>
        </w:tc>
        <w:tc>
          <w:tcPr>
            <w:tcW w:w="2126" w:type="dxa"/>
            <w:vAlign w:val="center"/>
          </w:tcPr>
          <w:p w14:paraId="789D301A">
            <w:pPr>
              <w:pStyle w:val="11"/>
            </w:pPr>
          </w:p>
        </w:tc>
      </w:tr>
      <w:tr w14:paraId="3C6AE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1EEB">
            <w:pPr>
              <w:pStyle w:val="13"/>
            </w:pPr>
            <w:r>
              <w:t>16</w:t>
            </w:r>
          </w:p>
        </w:tc>
        <w:tc>
          <w:tcPr>
            <w:tcW w:w="4535" w:type="dxa"/>
            <w:vAlign w:val="center"/>
          </w:tcPr>
          <w:p w14:paraId="5D3AAE26">
            <w:pPr>
              <w:pStyle w:val="12"/>
            </w:pPr>
          </w:p>
        </w:tc>
        <w:tc>
          <w:tcPr>
            <w:tcW w:w="2126" w:type="dxa"/>
            <w:vAlign w:val="center"/>
          </w:tcPr>
          <w:p w14:paraId="5612569C">
            <w:pPr>
              <w:pStyle w:val="11"/>
            </w:pPr>
          </w:p>
        </w:tc>
        <w:tc>
          <w:tcPr>
            <w:tcW w:w="4535" w:type="dxa"/>
            <w:vAlign w:val="center"/>
          </w:tcPr>
          <w:p w14:paraId="522DF6E1">
            <w:pPr>
              <w:pStyle w:val="12"/>
            </w:pPr>
            <w:r>
              <w:t>十六、商业服务业等支出</w:t>
            </w:r>
          </w:p>
        </w:tc>
        <w:tc>
          <w:tcPr>
            <w:tcW w:w="2126" w:type="dxa"/>
            <w:vAlign w:val="center"/>
          </w:tcPr>
          <w:p w14:paraId="5EFA6FD7">
            <w:pPr>
              <w:pStyle w:val="11"/>
            </w:pPr>
          </w:p>
        </w:tc>
      </w:tr>
      <w:tr w14:paraId="7D70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58E48">
            <w:pPr>
              <w:pStyle w:val="13"/>
            </w:pPr>
            <w:r>
              <w:t>17</w:t>
            </w:r>
          </w:p>
        </w:tc>
        <w:tc>
          <w:tcPr>
            <w:tcW w:w="4535" w:type="dxa"/>
            <w:vAlign w:val="center"/>
          </w:tcPr>
          <w:p w14:paraId="39A92E86">
            <w:pPr>
              <w:pStyle w:val="12"/>
            </w:pPr>
          </w:p>
        </w:tc>
        <w:tc>
          <w:tcPr>
            <w:tcW w:w="2126" w:type="dxa"/>
            <w:vAlign w:val="center"/>
          </w:tcPr>
          <w:p w14:paraId="4395EF39">
            <w:pPr>
              <w:pStyle w:val="11"/>
            </w:pPr>
          </w:p>
        </w:tc>
        <w:tc>
          <w:tcPr>
            <w:tcW w:w="4535" w:type="dxa"/>
            <w:vAlign w:val="center"/>
          </w:tcPr>
          <w:p w14:paraId="200F0C17">
            <w:pPr>
              <w:pStyle w:val="12"/>
            </w:pPr>
            <w:r>
              <w:t>十七、金融支出</w:t>
            </w:r>
          </w:p>
        </w:tc>
        <w:tc>
          <w:tcPr>
            <w:tcW w:w="2126" w:type="dxa"/>
            <w:vAlign w:val="center"/>
          </w:tcPr>
          <w:p w14:paraId="0320526C">
            <w:pPr>
              <w:pStyle w:val="11"/>
            </w:pPr>
          </w:p>
        </w:tc>
      </w:tr>
      <w:tr w14:paraId="6DA4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5A076">
            <w:pPr>
              <w:pStyle w:val="13"/>
            </w:pPr>
            <w:r>
              <w:t>18</w:t>
            </w:r>
          </w:p>
        </w:tc>
        <w:tc>
          <w:tcPr>
            <w:tcW w:w="4535" w:type="dxa"/>
            <w:vAlign w:val="center"/>
          </w:tcPr>
          <w:p w14:paraId="43B4E46E">
            <w:pPr>
              <w:pStyle w:val="12"/>
            </w:pPr>
          </w:p>
        </w:tc>
        <w:tc>
          <w:tcPr>
            <w:tcW w:w="2126" w:type="dxa"/>
            <w:vAlign w:val="center"/>
          </w:tcPr>
          <w:p w14:paraId="362044AC">
            <w:pPr>
              <w:pStyle w:val="11"/>
            </w:pPr>
          </w:p>
        </w:tc>
        <w:tc>
          <w:tcPr>
            <w:tcW w:w="4535" w:type="dxa"/>
            <w:vAlign w:val="center"/>
          </w:tcPr>
          <w:p w14:paraId="321E18AA">
            <w:pPr>
              <w:pStyle w:val="12"/>
            </w:pPr>
            <w:r>
              <w:t>十八、援助其他地区支出</w:t>
            </w:r>
          </w:p>
        </w:tc>
        <w:tc>
          <w:tcPr>
            <w:tcW w:w="2126" w:type="dxa"/>
            <w:vAlign w:val="center"/>
          </w:tcPr>
          <w:p w14:paraId="4CEB1C2C">
            <w:pPr>
              <w:pStyle w:val="11"/>
            </w:pPr>
          </w:p>
        </w:tc>
      </w:tr>
      <w:tr w14:paraId="1F79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4E11D">
            <w:pPr>
              <w:pStyle w:val="13"/>
            </w:pPr>
            <w:r>
              <w:t>19</w:t>
            </w:r>
          </w:p>
        </w:tc>
        <w:tc>
          <w:tcPr>
            <w:tcW w:w="4535" w:type="dxa"/>
            <w:vAlign w:val="center"/>
          </w:tcPr>
          <w:p w14:paraId="172D9D80">
            <w:pPr>
              <w:pStyle w:val="12"/>
            </w:pPr>
          </w:p>
        </w:tc>
        <w:tc>
          <w:tcPr>
            <w:tcW w:w="2126" w:type="dxa"/>
            <w:vAlign w:val="center"/>
          </w:tcPr>
          <w:p w14:paraId="213D626F">
            <w:pPr>
              <w:pStyle w:val="11"/>
            </w:pPr>
          </w:p>
        </w:tc>
        <w:tc>
          <w:tcPr>
            <w:tcW w:w="4535" w:type="dxa"/>
            <w:vAlign w:val="center"/>
          </w:tcPr>
          <w:p w14:paraId="5DAD8A1F">
            <w:pPr>
              <w:pStyle w:val="12"/>
            </w:pPr>
            <w:r>
              <w:t>十九、自然资源海洋气象等支出</w:t>
            </w:r>
          </w:p>
        </w:tc>
        <w:tc>
          <w:tcPr>
            <w:tcW w:w="2126" w:type="dxa"/>
            <w:vAlign w:val="center"/>
          </w:tcPr>
          <w:p w14:paraId="47CDAD0B">
            <w:pPr>
              <w:pStyle w:val="11"/>
            </w:pPr>
          </w:p>
        </w:tc>
      </w:tr>
      <w:tr w14:paraId="03D4E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FF54">
            <w:pPr>
              <w:pStyle w:val="13"/>
            </w:pPr>
            <w:r>
              <w:t>20</w:t>
            </w:r>
          </w:p>
        </w:tc>
        <w:tc>
          <w:tcPr>
            <w:tcW w:w="4535" w:type="dxa"/>
            <w:vAlign w:val="center"/>
          </w:tcPr>
          <w:p w14:paraId="740FBFA0">
            <w:pPr>
              <w:pStyle w:val="12"/>
            </w:pPr>
          </w:p>
        </w:tc>
        <w:tc>
          <w:tcPr>
            <w:tcW w:w="2126" w:type="dxa"/>
            <w:vAlign w:val="center"/>
          </w:tcPr>
          <w:p w14:paraId="0B5A9F30">
            <w:pPr>
              <w:pStyle w:val="11"/>
            </w:pPr>
          </w:p>
        </w:tc>
        <w:tc>
          <w:tcPr>
            <w:tcW w:w="4535" w:type="dxa"/>
            <w:vAlign w:val="center"/>
          </w:tcPr>
          <w:p w14:paraId="07DE4ECF">
            <w:pPr>
              <w:pStyle w:val="12"/>
            </w:pPr>
            <w:r>
              <w:t>二十、住房保障支出</w:t>
            </w:r>
          </w:p>
        </w:tc>
        <w:tc>
          <w:tcPr>
            <w:tcW w:w="2126" w:type="dxa"/>
            <w:vAlign w:val="center"/>
          </w:tcPr>
          <w:p w14:paraId="7D5FF4D9">
            <w:pPr>
              <w:pStyle w:val="11"/>
            </w:pPr>
          </w:p>
        </w:tc>
      </w:tr>
      <w:tr w14:paraId="63509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E8981">
            <w:pPr>
              <w:pStyle w:val="13"/>
            </w:pPr>
            <w:r>
              <w:t>21</w:t>
            </w:r>
          </w:p>
        </w:tc>
        <w:tc>
          <w:tcPr>
            <w:tcW w:w="4535" w:type="dxa"/>
            <w:vAlign w:val="center"/>
          </w:tcPr>
          <w:p w14:paraId="01045FE1">
            <w:pPr>
              <w:pStyle w:val="12"/>
            </w:pPr>
          </w:p>
        </w:tc>
        <w:tc>
          <w:tcPr>
            <w:tcW w:w="2126" w:type="dxa"/>
            <w:vAlign w:val="center"/>
          </w:tcPr>
          <w:p w14:paraId="29A0E6D3">
            <w:pPr>
              <w:pStyle w:val="11"/>
            </w:pPr>
          </w:p>
        </w:tc>
        <w:tc>
          <w:tcPr>
            <w:tcW w:w="4535" w:type="dxa"/>
            <w:vAlign w:val="center"/>
          </w:tcPr>
          <w:p w14:paraId="3198A849">
            <w:pPr>
              <w:pStyle w:val="12"/>
            </w:pPr>
            <w:r>
              <w:t>二十一、粮油物资储备支出</w:t>
            </w:r>
          </w:p>
        </w:tc>
        <w:tc>
          <w:tcPr>
            <w:tcW w:w="2126" w:type="dxa"/>
            <w:vAlign w:val="center"/>
          </w:tcPr>
          <w:p w14:paraId="10D6C1D4">
            <w:pPr>
              <w:pStyle w:val="11"/>
            </w:pPr>
          </w:p>
        </w:tc>
      </w:tr>
      <w:tr w14:paraId="1535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5EC89">
            <w:pPr>
              <w:pStyle w:val="13"/>
            </w:pPr>
            <w:r>
              <w:t>22</w:t>
            </w:r>
          </w:p>
        </w:tc>
        <w:tc>
          <w:tcPr>
            <w:tcW w:w="4535" w:type="dxa"/>
            <w:vAlign w:val="center"/>
          </w:tcPr>
          <w:p w14:paraId="564254C7">
            <w:pPr>
              <w:pStyle w:val="12"/>
            </w:pPr>
          </w:p>
        </w:tc>
        <w:tc>
          <w:tcPr>
            <w:tcW w:w="2126" w:type="dxa"/>
            <w:vAlign w:val="center"/>
          </w:tcPr>
          <w:p w14:paraId="4B072F5D">
            <w:pPr>
              <w:pStyle w:val="11"/>
            </w:pPr>
          </w:p>
        </w:tc>
        <w:tc>
          <w:tcPr>
            <w:tcW w:w="4535" w:type="dxa"/>
            <w:vAlign w:val="center"/>
          </w:tcPr>
          <w:p w14:paraId="23E55DB8">
            <w:pPr>
              <w:pStyle w:val="12"/>
            </w:pPr>
            <w:r>
              <w:t>二十二、国有资本经营预算支出</w:t>
            </w:r>
          </w:p>
        </w:tc>
        <w:tc>
          <w:tcPr>
            <w:tcW w:w="2126" w:type="dxa"/>
            <w:vAlign w:val="center"/>
          </w:tcPr>
          <w:p w14:paraId="3B65140D">
            <w:pPr>
              <w:pStyle w:val="11"/>
            </w:pPr>
          </w:p>
        </w:tc>
      </w:tr>
      <w:tr w14:paraId="0CD0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FB27">
            <w:pPr>
              <w:pStyle w:val="13"/>
            </w:pPr>
            <w:r>
              <w:t>23</w:t>
            </w:r>
          </w:p>
        </w:tc>
        <w:tc>
          <w:tcPr>
            <w:tcW w:w="4535" w:type="dxa"/>
            <w:vAlign w:val="center"/>
          </w:tcPr>
          <w:p w14:paraId="1D425732">
            <w:pPr>
              <w:pStyle w:val="12"/>
            </w:pPr>
          </w:p>
        </w:tc>
        <w:tc>
          <w:tcPr>
            <w:tcW w:w="2126" w:type="dxa"/>
            <w:vAlign w:val="center"/>
          </w:tcPr>
          <w:p w14:paraId="509477F1">
            <w:pPr>
              <w:pStyle w:val="11"/>
            </w:pPr>
          </w:p>
        </w:tc>
        <w:tc>
          <w:tcPr>
            <w:tcW w:w="4535" w:type="dxa"/>
            <w:vAlign w:val="center"/>
          </w:tcPr>
          <w:p w14:paraId="11F1F81E">
            <w:pPr>
              <w:pStyle w:val="12"/>
            </w:pPr>
            <w:r>
              <w:t>二十三、灾害防治及应急管理支出</w:t>
            </w:r>
          </w:p>
        </w:tc>
        <w:tc>
          <w:tcPr>
            <w:tcW w:w="2126" w:type="dxa"/>
            <w:vAlign w:val="center"/>
          </w:tcPr>
          <w:p w14:paraId="0D1DD2A2">
            <w:pPr>
              <w:pStyle w:val="11"/>
            </w:pPr>
          </w:p>
        </w:tc>
      </w:tr>
      <w:tr w14:paraId="0721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5E6B">
            <w:pPr>
              <w:pStyle w:val="13"/>
            </w:pPr>
            <w:r>
              <w:t>24</w:t>
            </w:r>
          </w:p>
        </w:tc>
        <w:tc>
          <w:tcPr>
            <w:tcW w:w="4535" w:type="dxa"/>
            <w:vAlign w:val="center"/>
          </w:tcPr>
          <w:p w14:paraId="37F3C938">
            <w:pPr>
              <w:pStyle w:val="12"/>
            </w:pPr>
          </w:p>
        </w:tc>
        <w:tc>
          <w:tcPr>
            <w:tcW w:w="2126" w:type="dxa"/>
            <w:vAlign w:val="center"/>
          </w:tcPr>
          <w:p w14:paraId="1B36B746">
            <w:pPr>
              <w:pStyle w:val="11"/>
            </w:pPr>
          </w:p>
        </w:tc>
        <w:tc>
          <w:tcPr>
            <w:tcW w:w="4535" w:type="dxa"/>
            <w:vAlign w:val="center"/>
          </w:tcPr>
          <w:p w14:paraId="60D8AA06">
            <w:pPr>
              <w:pStyle w:val="12"/>
            </w:pPr>
            <w:r>
              <w:t>二十四、预备费</w:t>
            </w:r>
          </w:p>
        </w:tc>
        <w:tc>
          <w:tcPr>
            <w:tcW w:w="2126" w:type="dxa"/>
            <w:vAlign w:val="center"/>
          </w:tcPr>
          <w:p w14:paraId="44F164DF">
            <w:pPr>
              <w:pStyle w:val="11"/>
            </w:pPr>
          </w:p>
        </w:tc>
      </w:tr>
      <w:tr w14:paraId="3C6F8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4E07F">
            <w:pPr>
              <w:pStyle w:val="13"/>
            </w:pPr>
            <w:r>
              <w:t>25</w:t>
            </w:r>
          </w:p>
        </w:tc>
        <w:tc>
          <w:tcPr>
            <w:tcW w:w="4535" w:type="dxa"/>
            <w:vAlign w:val="center"/>
          </w:tcPr>
          <w:p w14:paraId="5D72A54D">
            <w:pPr>
              <w:pStyle w:val="12"/>
            </w:pPr>
          </w:p>
        </w:tc>
        <w:tc>
          <w:tcPr>
            <w:tcW w:w="2126" w:type="dxa"/>
            <w:vAlign w:val="center"/>
          </w:tcPr>
          <w:p w14:paraId="4B3CA78C">
            <w:pPr>
              <w:pStyle w:val="11"/>
            </w:pPr>
          </w:p>
        </w:tc>
        <w:tc>
          <w:tcPr>
            <w:tcW w:w="4535" w:type="dxa"/>
            <w:vAlign w:val="center"/>
          </w:tcPr>
          <w:p w14:paraId="47399D3A">
            <w:pPr>
              <w:pStyle w:val="12"/>
            </w:pPr>
            <w:r>
              <w:t>二十五、其他支出</w:t>
            </w:r>
          </w:p>
        </w:tc>
        <w:tc>
          <w:tcPr>
            <w:tcW w:w="2126" w:type="dxa"/>
            <w:vAlign w:val="center"/>
          </w:tcPr>
          <w:p w14:paraId="5A33650A">
            <w:pPr>
              <w:pStyle w:val="11"/>
            </w:pPr>
          </w:p>
        </w:tc>
      </w:tr>
      <w:tr w14:paraId="6AF1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F61F9">
            <w:pPr>
              <w:pStyle w:val="13"/>
            </w:pPr>
            <w:r>
              <w:t>26</w:t>
            </w:r>
          </w:p>
        </w:tc>
        <w:tc>
          <w:tcPr>
            <w:tcW w:w="4535" w:type="dxa"/>
            <w:vAlign w:val="center"/>
          </w:tcPr>
          <w:p w14:paraId="01DB06DD">
            <w:pPr>
              <w:pStyle w:val="12"/>
            </w:pPr>
          </w:p>
        </w:tc>
        <w:tc>
          <w:tcPr>
            <w:tcW w:w="2126" w:type="dxa"/>
            <w:vAlign w:val="center"/>
          </w:tcPr>
          <w:p w14:paraId="77327CC6">
            <w:pPr>
              <w:pStyle w:val="11"/>
            </w:pPr>
          </w:p>
        </w:tc>
        <w:tc>
          <w:tcPr>
            <w:tcW w:w="4535" w:type="dxa"/>
            <w:vAlign w:val="center"/>
          </w:tcPr>
          <w:p w14:paraId="4AF31DEE">
            <w:pPr>
              <w:pStyle w:val="12"/>
            </w:pPr>
            <w:r>
              <w:t>二十六、转移性支出</w:t>
            </w:r>
          </w:p>
        </w:tc>
        <w:tc>
          <w:tcPr>
            <w:tcW w:w="2126" w:type="dxa"/>
            <w:vAlign w:val="center"/>
          </w:tcPr>
          <w:p w14:paraId="48B1359E">
            <w:pPr>
              <w:pStyle w:val="11"/>
            </w:pPr>
          </w:p>
        </w:tc>
      </w:tr>
      <w:tr w14:paraId="3A6B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A25F">
            <w:pPr>
              <w:pStyle w:val="13"/>
            </w:pPr>
            <w:r>
              <w:t>27</w:t>
            </w:r>
          </w:p>
        </w:tc>
        <w:tc>
          <w:tcPr>
            <w:tcW w:w="4535" w:type="dxa"/>
            <w:vAlign w:val="center"/>
          </w:tcPr>
          <w:p w14:paraId="17931BC9">
            <w:pPr>
              <w:pStyle w:val="12"/>
            </w:pPr>
          </w:p>
        </w:tc>
        <w:tc>
          <w:tcPr>
            <w:tcW w:w="2126" w:type="dxa"/>
            <w:vAlign w:val="center"/>
          </w:tcPr>
          <w:p w14:paraId="2CA3D12F">
            <w:pPr>
              <w:pStyle w:val="11"/>
            </w:pPr>
          </w:p>
        </w:tc>
        <w:tc>
          <w:tcPr>
            <w:tcW w:w="4535" w:type="dxa"/>
            <w:vAlign w:val="center"/>
          </w:tcPr>
          <w:p w14:paraId="181E1429">
            <w:pPr>
              <w:pStyle w:val="12"/>
            </w:pPr>
            <w:r>
              <w:t>二十七、债务还本支出</w:t>
            </w:r>
          </w:p>
        </w:tc>
        <w:tc>
          <w:tcPr>
            <w:tcW w:w="2126" w:type="dxa"/>
            <w:vAlign w:val="center"/>
          </w:tcPr>
          <w:p w14:paraId="5D24F0FC">
            <w:pPr>
              <w:pStyle w:val="11"/>
            </w:pPr>
          </w:p>
        </w:tc>
      </w:tr>
      <w:tr w14:paraId="4D42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642F6">
            <w:pPr>
              <w:pStyle w:val="13"/>
            </w:pPr>
            <w:r>
              <w:t>28</w:t>
            </w:r>
          </w:p>
        </w:tc>
        <w:tc>
          <w:tcPr>
            <w:tcW w:w="4535" w:type="dxa"/>
            <w:vAlign w:val="center"/>
          </w:tcPr>
          <w:p w14:paraId="0E0B44AE">
            <w:pPr>
              <w:pStyle w:val="12"/>
            </w:pPr>
          </w:p>
        </w:tc>
        <w:tc>
          <w:tcPr>
            <w:tcW w:w="2126" w:type="dxa"/>
            <w:vAlign w:val="center"/>
          </w:tcPr>
          <w:p w14:paraId="0A812BE3">
            <w:pPr>
              <w:pStyle w:val="11"/>
            </w:pPr>
          </w:p>
        </w:tc>
        <w:tc>
          <w:tcPr>
            <w:tcW w:w="4535" w:type="dxa"/>
            <w:vAlign w:val="center"/>
          </w:tcPr>
          <w:p w14:paraId="772987CA">
            <w:pPr>
              <w:pStyle w:val="12"/>
            </w:pPr>
            <w:r>
              <w:t>二十八、债务付息支出</w:t>
            </w:r>
          </w:p>
        </w:tc>
        <w:tc>
          <w:tcPr>
            <w:tcW w:w="2126" w:type="dxa"/>
            <w:vAlign w:val="center"/>
          </w:tcPr>
          <w:p w14:paraId="5E9A1F58">
            <w:pPr>
              <w:pStyle w:val="11"/>
            </w:pPr>
          </w:p>
        </w:tc>
      </w:tr>
      <w:tr w14:paraId="3239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B158">
            <w:pPr>
              <w:pStyle w:val="13"/>
            </w:pPr>
            <w:r>
              <w:t>29</w:t>
            </w:r>
          </w:p>
        </w:tc>
        <w:tc>
          <w:tcPr>
            <w:tcW w:w="4535" w:type="dxa"/>
            <w:vAlign w:val="center"/>
          </w:tcPr>
          <w:p w14:paraId="4CA29E39">
            <w:pPr>
              <w:pStyle w:val="12"/>
            </w:pPr>
          </w:p>
        </w:tc>
        <w:tc>
          <w:tcPr>
            <w:tcW w:w="2126" w:type="dxa"/>
            <w:vAlign w:val="center"/>
          </w:tcPr>
          <w:p w14:paraId="50FB7267">
            <w:pPr>
              <w:pStyle w:val="11"/>
            </w:pPr>
          </w:p>
        </w:tc>
        <w:tc>
          <w:tcPr>
            <w:tcW w:w="4535" w:type="dxa"/>
            <w:vAlign w:val="center"/>
          </w:tcPr>
          <w:p w14:paraId="1DC8ECF4">
            <w:pPr>
              <w:pStyle w:val="12"/>
            </w:pPr>
            <w:r>
              <w:t>二十九、债务发行费用支出</w:t>
            </w:r>
          </w:p>
        </w:tc>
        <w:tc>
          <w:tcPr>
            <w:tcW w:w="2126" w:type="dxa"/>
            <w:vAlign w:val="center"/>
          </w:tcPr>
          <w:p w14:paraId="02E60FDA">
            <w:pPr>
              <w:pStyle w:val="11"/>
            </w:pPr>
          </w:p>
        </w:tc>
      </w:tr>
      <w:tr w14:paraId="585E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00074">
            <w:pPr>
              <w:pStyle w:val="13"/>
            </w:pPr>
            <w:r>
              <w:t>30</w:t>
            </w:r>
          </w:p>
        </w:tc>
        <w:tc>
          <w:tcPr>
            <w:tcW w:w="4535" w:type="dxa"/>
            <w:vAlign w:val="center"/>
          </w:tcPr>
          <w:p w14:paraId="7DEB385C">
            <w:pPr>
              <w:pStyle w:val="12"/>
            </w:pPr>
          </w:p>
        </w:tc>
        <w:tc>
          <w:tcPr>
            <w:tcW w:w="2126" w:type="dxa"/>
            <w:vAlign w:val="center"/>
          </w:tcPr>
          <w:p w14:paraId="2B87C77E">
            <w:pPr>
              <w:pStyle w:val="11"/>
            </w:pPr>
          </w:p>
        </w:tc>
        <w:tc>
          <w:tcPr>
            <w:tcW w:w="4535" w:type="dxa"/>
            <w:vAlign w:val="center"/>
          </w:tcPr>
          <w:p w14:paraId="357DAD66">
            <w:pPr>
              <w:pStyle w:val="12"/>
            </w:pPr>
            <w:r>
              <w:t>三十、抗疫特别国债安排的支出</w:t>
            </w:r>
          </w:p>
        </w:tc>
        <w:tc>
          <w:tcPr>
            <w:tcW w:w="2126" w:type="dxa"/>
            <w:vAlign w:val="center"/>
          </w:tcPr>
          <w:p w14:paraId="7D87E2F1">
            <w:pPr>
              <w:pStyle w:val="11"/>
            </w:pPr>
          </w:p>
        </w:tc>
      </w:tr>
      <w:tr w14:paraId="27A3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C581">
            <w:pPr>
              <w:pStyle w:val="13"/>
            </w:pPr>
            <w:r>
              <w:t>31</w:t>
            </w:r>
          </w:p>
        </w:tc>
        <w:tc>
          <w:tcPr>
            <w:tcW w:w="4535" w:type="dxa"/>
            <w:vAlign w:val="center"/>
          </w:tcPr>
          <w:p w14:paraId="3504C6CB">
            <w:pPr>
              <w:pStyle w:val="14"/>
            </w:pPr>
            <w:r>
              <w:t>本年收入合计</w:t>
            </w:r>
          </w:p>
        </w:tc>
        <w:tc>
          <w:tcPr>
            <w:tcW w:w="2126" w:type="dxa"/>
            <w:vAlign w:val="center"/>
          </w:tcPr>
          <w:p w14:paraId="164A906D">
            <w:pPr>
              <w:pStyle w:val="15"/>
            </w:pPr>
            <w:r>
              <w:t>2082.45</w:t>
            </w:r>
          </w:p>
        </w:tc>
        <w:tc>
          <w:tcPr>
            <w:tcW w:w="4535" w:type="dxa"/>
            <w:vAlign w:val="center"/>
          </w:tcPr>
          <w:p w14:paraId="0D8965FB">
            <w:pPr>
              <w:pStyle w:val="14"/>
            </w:pPr>
            <w:r>
              <w:t>本年支出合计</w:t>
            </w:r>
          </w:p>
        </w:tc>
        <w:tc>
          <w:tcPr>
            <w:tcW w:w="2126" w:type="dxa"/>
            <w:vAlign w:val="center"/>
          </w:tcPr>
          <w:p w14:paraId="71BE5087">
            <w:pPr>
              <w:pStyle w:val="15"/>
            </w:pPr>
            <w:r>
              <w:t>2082.45</w:t>
            </w:r>
          </w:p>
        </w:tc>
      </w:tr>
      <w:tr w14:paraId="4A9A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C84F">
            <w:pPr>
              <w:pStyle w:val="13"/>
            </w:pPr>
            <w:r>
              <w:t>32</w:t>
            </w:r>
          </w:p>
        </w:tc>
        <w:tc>
          <w:tcPr>
            <w:tcW w:w="4535" w:type="dxa"/>
            <w:vAlign w:val="center"/>
          </w:tcPr>
          <w:p w14:paraId="6D4D082B">
            <w:pPr>
              <w:pStyle w:val="12"/>
            </w:pPr>
            <w:r>
              <w:t>上年结转结余</w:t>
            </w:r>
          </w:p>
        </w:tc>
        <w:tc>
          <w:tcPr>
            <w:tcW w:w="2126" w:type="dxa"/>
            <w:vAlign w:val="center"/>
          </w:tcPr>
          <w:p w14:paraId="05064A34">
            <w:pPr>
              <w:pStyle w:val="11"/>
            </w:pPr>
          </w:p>
        </w:tc>
        <w:tc>
          <w:tcPr>
            <w:tcW w:w="4535" w:type="dxa"/>
            <w:vAlign w:val="center"/>
          </w:tcPr>
          <w:p w14:paraId="00254CAA">
            <w:pPr>
              <w:pStyle w:val="12"/>
            </w:pPr>
            <w:r>
              <w:t>年终结转结余</w:t>
            </w:r>
          </w:p>
        </w:tc>
        <w:tc>
          <w:tcPr>
            <w:tcW w:w="2126" w:type="dxa"/>
            <w:vAlign w:val="center"/>
          </w:tcPr>
          <w:p w14:paraId="4797F6BA">
            <w:pPr>
              <w:pStyle w:val="11"/>
            </w:pPr>
          </w:p>
        </w:tc>
      </w:tr>
      <w:tr w14:paraId="2FAC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6AD24">
            <w:pPr>
              <w:pStyle w:val="13"/>
            </w:pPr>
            <w:r>
              <w:t>33</w:t>
            </w:r>
          </w:p>
        </w:tc>
        <w:tc>
          <w:tcPr>
            <w:tcW w:w="4535" w:type="dxa"/>
            <w:vAlign w:val="center"/>
          </w:tcPr>
          <w:p w14:paraId="60F4E815">
            <w:pPr>
              <w:pStyle w:val="14"/>
            </w:pPr>
            <w:r>
              <w:t>收入总计</w:t>
            </w:r>
          </w:p>
        </w:tc>
        <w:tc>
          <w:tcPr>
            <w:tcW w:w="2126" w:type="dxa"/>
            <w:vAlign w:val="center"/>
          </w:tcPr>
          <w:p w14:paraId="19126109">
            <w:pPr>
              <w:pStyle w:val="15"/>
            </w:pPr>
            <w:r>
              <w:t>2082.45</w:t>
            </w:r>
          </w:p>
        </w:tc>
        <w:tc>
          <w:tcPr>
            <w:tcW w:w="4535" w:type="dxa"/>
            <w:vAlign w:val="center"/>
          </w:tcPr>
          <w:p w14:paraId="4EEB8D74">
            <w:pPr>
              <w:pStyle w:val="14"/>
            </w:pPr>
            <w:r>
              <w:t>支出总计</w:t>
            </w:r>
          </w:p>
        </w:tc>
        <w:tc>
          <w:tcPr>
            <w:tcW w:w="2126" w:type="dxa"/>
            <w:vAlign w:val="center"/>
          </w:tcPr>
          <w:p w14:paraId="69B333C0">
            <w:pPr>
              <w:pStyle w:val="15"/>
            </w:pPr>
            <w:r>
              <w:t>2082.45</w:t>
            </w:r>
          </w:p>
        </w:tc>
      </w:tr>
    </w:tbl>
    <w:p w14:paraId="235AFCB1">
      <w:pPr>
        <w:sectPr>
          <w:pgSz w:w="16840" w:h="11900" w:orient="landscape"/>
          <w:pgMar w:top="1361" w:right="1020" w:bottom="1134" w:left="1020" w:header="720" w:footer="720" w:gutter="0"/>
          <w:cols w:space="720" w:num="1"/>
        </w:sectPr>
      </w:pPr>
    </w:p>
    <w:p w14:paraId="691B56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38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BBFAF6">
            <w:pPr>
              <w:pStyle w:val="9"/>
            </w:pPr>
            <w:r>
              <w:t>360025隆尧县千户营校区</w:t>
            </w:r>
          </w:p>
        </w:tc>
        <w:tc>
          <w:tcPr>
            <w:tcW w:w="3402" w:type="dxa"/>
            <w:gridSpan w:val="3"/>
            <w:tcBorders>
              <w:top w:val="single" w:color="FFFFFF" w:sz="6" w:space="0"/>
              <w:left w:val="single" w:color="FFFFFF" w:sz="6" w:space="0"/>
              <w:right w:val="single" w:color="FFFFFF" w:sz="6" w:space="0"/>
            </w:tcBorders>
            <w:vAlign w:val="center"/>
          </w:tcPr>
          <w:p w14:paraId="6537BF2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6A5924B">
            <w:pPr>
              <w:pStyle w:val="7"/>
            </w:pPr>
            <w:r>
              <w:t>单位：万元</w:t>
            </w:r>
          </w:p>
        </w:tc>
      </w:tr>
      <w:tr w14:paraId="6A56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F84F1D">
            <w:pPr>
              <w:pStyle w:val="10"/>
            </w:pPr>
            <w:r>
              <w:t>序号</w:t>
            </w:r>
          </w:p>
        </w:tc>
        <w:tc>
          <w:tcPr>
            <w:tcW w:w="2551" w:type="dxa"/>
            <w:gridSpan w:val="2"/>
            <w:vAlign w:val="center"/>
          </w:tcPr>
          <w:p w14:paraId="7001507A">
            <w:pPr>
              <w:pStyle w:val="10"/>
            </w:pPr>
            <w:r>
              <w:t>功能分类科目</w:t>
            </w:r>
          </w:p>
        </w:tc>
        <w:tc>
          <w:tcPr>
            <w:tcW w:w="1134" w:type="dxa"/>
            <w:vMerge w:val="restart"/>
            <w:vAlign w:val="center"/>
          </w:tcPr>
          <w:p w14:paraId="5602E3EA">
            <w:pPr>
              <w:pStyle w:val="10"/>
            </w:pPr>
            <w:r>
              <w:t>合计</w:t>
            </w:r>
          </w:p>
        </w:tc>
        <w:tc>
          <w:tcPr>
            <w:tcW w:w="9072" w:type="dxa"/>
            <w:gridSpan w:val="8"/>
            <w:vAlign w:val="center"/>
          </w:tcPr>
          <w:p w14:paraId="23300A38">
            <w:pPr>
              <w:pStyle w:val="10"/>
            </w:pPr>
            <w:r>
              <w:t>本年收入</w:t>
            </w:r>
          </w:p>
        </w:tc>
        <w:tc>
          <w:tcPr>
            <w:tcW w:w="1134" w:type="dxa"/>
            <w:vMerge w:val="restart"/>
            <w:vAlign w:val="center"/>
          </w:tcPr>
          <w:p w14:paraId="237A5951">
            <w:pPr>
              <w:pStyle w:val="10"/>
            </w:pPr>
            <w:r>
              <w:t>上年结转</w:t>
            </w:r>
          </w:p>
        </w:tc>
      </w:tr>
      <w:tr w14:paraId="6E94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6752EB"/>
        </w:tc>
        <w:tc>
          <w:tcPr>
            <w:tcW w:w="992" w:type="dxa"/>
            <w:vAlign w:val="center"/>
          </w:tcPr>
          <w:p w14:paraId="2F093716">
            <w:pPr>
              <w:pStyle w:val="10"/>
            </w:pPr>
            <w:r>
              <w:t>科目    编码</w:t>
            </w:r>
          </w:p>
        </w:tc>
        <w:tc>
          <w:tcPr>
            <w:tcW w:w="1559" w:type="dxa"/>
            <w:vAlign w:val="center"/>
          </w:tcPr>
          <w:p w14:paraId="7A9DF10E">
            <w:pPr>
              <w:pStyle w:val="10"/>
            </w:pPr>
            <w:r>
              <w:t>科目名称</w:t>
            </w:r>
          </w:p>
        </w:tc>
        <w:tc>
          <w:tcPr>
            <w:tcW w:w="1134" w:type="dxa"/>
            <w:vMerge w:val="continue"/>
          </w:tcPr>
          <w:p w14:paraId="740C3B07"/>
        </w:tc>
        <w:tc>
          <w:tcPr>
            <w:tcW w:w="1134" w:type="dxa"/>
            <w:vAlign w:val="center"/>
          </w:tcPr>
          <w:p w14:paraId="30F56B50">
            <w:pPr>
              <w:pStyle w:val="10"/>
            </w:pPr>
            <w:r>
              <w:t>小计</w:t>
            </w:r>
          </w:p>
        </w:tc>
        <w:tc>
          <w:tcPr>
            <w:tcW w:w="1134" w:type="dxa"/>
            <w:vAlign w:val="center"/>
          </w:tcPr>
          <w:p w14:paraId="20C7C664">
            <w:pPr>
              <w:pStyle w:val="10"/>
            </w:pPr>
            <w:r>
              <w:t>财政拨款 收入</w:t>
            </w:r>
          </w:p>
        </w:tc>
        <w:tc>
          <w:tcPr>
            <w:tcW w:w="1134" w:type="dxa"/>
            <w:vAlign w:val="center"/>
          </w:tcPr>
          <w:p w14:paraId="43D55925">
            <w:pPr>
              <w:pStyle w:val="10"/>
            </w:pPr>
            <w:r>
              <w:t>财政专户 收入</w:t>
            </w:r>
          </w:p>
        </w:tc>
        <w:tc>
          <w:tcPr>
            <w:tcW w:w="1134" w:type="dxa"/>
            <w:vAlign w:val="center"/>
          </w:tcPr>
          <w:p w14:paraId="105D3BE6">
            <w:pPr>
              <w:pStyle w:val="10"/>
            </w:pPr>
            <w:r>
              <w:t>事业收入</w:t>
            </w:r>
          </w:p>
        </w:tc>
        <w:tc>
          <w:tcPr>
            <w:tcW w:w="1134" w:type="dxa"/>
            <w:vAlign w:val="center"/>
          </w:tcPr>
          <w:p w14:paraId="19AE6A74">
            <w:pPr>
              <w:pStyle w:val="10"/>
            </w:pPr>
            <w:r>
              <w:t>经营收入</w:t>
            </w:r>
          </w:p>
        </w:tc>
        <w:tc>
          <w:tcPr>
            <w:tcW w:w="1134" w:type="dxa"/>
            <w:vAlign w:val="center"/>
          </w:tcPr>
          <w:p w14:paraId="224CAAB4">
            <w:pPr>
              <w:pStyle w:val="10"/>
            </w:pPr>
            <w:r>
              <w:t>上级补助收入</w:t>
            </w:r>
          </w:p>
        </w:tc>
        <w:tc>
          <w:tcPr>
            <w:tcW w:w="1134" w:type="dxa"/>
            <w:vAlign w:val="center"/>
          </w:tcPr>
          <w:p w14:paraId="5A8FE567">
            <w:pPr>
              <w:pStyle w:val="10"/>
            </w:pPr>
            <w:r>
              <w:t>附属单位上缴收入</w:t>
            </w:r>
          </w:p>
        </w:tc>
        <w:tc>
          <w:tcPr>
            <w:tcW w:w="1134" w:type="dxa"/>
            <w:vAlign w:val="center"/>
          </w:tcPr>
          <w:p w14:paraId="3246D184">
            <w:pPr>
              <w:pStyle w:val="10"/>
            </w:pPr>
            <w:r>
              <w:t>其他收入</w:t>
            </w:r>
          </w:p>
        </w:tc>
        <w:tc>
          <w:tcPr>
            <w:tcW w:w="1134" w:type="dxa"/>
            <w:vMerge w:val="continue"/>
          </w:tcPr>
          <w:p w14:paraId="5670359C"/>
        </w:tc>
      </w:tr>
      <w:tr w14:paraId="78F4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4CACA3">
            <w:pPr>
              <w:pStyle w:val="10"/>
            </w:pPr>
            <w:r>
              <w:t>栏次</w:t>
            </w:r>
          </w:p>
        </w:tc>
        <w:tc>
          <w:tcPr>
            <w:tcW w:w="992" w:type="dxa"/>
            <w:vAlign w:val="center"/>
          </w:tcPr>
          <w:p w14:paraId="3D33FA1C">
            <w:pPr>
              <w:pStyle w:val="10"/>
            </w:pPr>
            <w:r>
              <w:t>1</w:t>
            </w:r>
          </w:p>
        </w:tc>
        <w:tc>
          <w:tcPr>
            <w:tcW w:w="1559" w:type="dxa"/>
            <w:vAlign w:val="center"/>
          </w:tcPr>
          <w:p w14:paraId="53801884">
            <w:pPr>
              <w:pStyle w:val="10"/>
            </w:pPr>
            <w:r>
              <w:t>2</w:t>
            </w:r>
          </w:p>
        </w:tc>
        <w:tc>
          <w:tcPr>
            <w:tcW w:w="1134" w:type="dxa"/>
            <w:vAlign w:val="center"/>
          </w:tcPr>
          <w:p w14:paraId="4F993AEB">
            <w:pPr>
              <w:pStyle w:val="10"/>
            </w:pPr>
            <w:r>
              <w:t>3</w:t>
            </w:r>
          </w:p>
        </w:tc>
        <w:tc>
          <w:tcPr>
            <w:tcW w:w="1134" w:type="dxa"/>
            <w:vAlign w:val="center"/>
          </w:tcPr>
          <w:p w14:paraId="389E36F8">
            <w:pPr>
              <w:pStyle w:val="10"/>
            </w:pPr>
            <w:r>
              <w:t>4</w:t>
            </w:r>
          </w:p>
        </w:tc>
        <w:tc>
          <w:tcPr>
            <w:tcW w:w="1134" w:type="dxa"/>
            <w:vAlign w:val="center"/>
          </w:tcPr>
          <w:p w14:paraId="0C605476">
            <w:pPr>
              <w:pStyle w:val="10"/>
            </w:pPr>
            <w:r>
              <w:t>5</w:t>
            </w:r>
          </w:p>
        </w:tc>
        <w:tc>
          <w:tcPr>
            <w:tcW w:w="1134" w:type="dxa"/>
            <w:vAlign w:val="center"/>
          </w:tcPr>
          <w:p w14:paraId="56095655">
            <w:pPr>
              <w:pStyle w:val="10"/>
            </w:pPr>
            <w:r>
              <w:t>6</w:t>
            </w:r>
          </w:p>
        </w:tc>
        <w:tc>
          <w:tcPr>
            <w:tcW w:w="1134" w:type="dxa"/>
            <w:vAlign w:val="center"/>
          </w:tcPr>
          <w:p w14:paraId="49CE7F90">
            <w:pPr>
              <w:pStyle w:val="10"/>
            </w:pPr>
            <w:r>
              <w:t>7</w:t>
            </w:r>
          </w:p>
        </w:tc>
        <w:tc>
          <w:tcPr>
            <w:tcW w:w="1134" w:type="dxa"/>
            <w:vAlign w:val="center"/>
          </w:tcPr>
          <w:p w14:paraId="3AEF3CCB">
            <w:pPr>
              <w:pStyle w:val="10"/>
            </w:pPr>
            <w:r>
              <w:t>8</w:t>
            </w:r>
          </w:p>
        </w:tc>
        <w:tc>
          <w:tcPr>
            <w:tcW w:w="1134" w:type="dxa"/>
            <w:vAlign w:val="center"/>
          </w:tcPr>
          <w:p w14:paraId="37CCE4F9">
            <w:pPr>
              <w:pStyle w:val="10"/>
            </w:pPr>
            <w:r>
              <w:t>9</w:t>
            </w:r>
          </w:p>
        </w:tc>
        <w:tc>
          <w:tcPr>
            <w:tcW w:w="1134" w:type="dxa"/>
            <w:vAlign w:val="center"/>
          </w:tcPr>
          <w:p w14:paraId="358EF297">
            <w:pPr>
              <w:pStyle w:val="10"/>
            </w:pPr>
            <w:r>
              <w:t>10</w:t>
            </w:r>
          </w:p>
        </w:tc>
        <w:tc>
          <w:tcPr>
            <w:tcW w:w="1134" w:type="dxa"/>
            <w:vAlign w:val="center"/>
          </w:tcPr>
          <w:p w14:paraId="7D2C8BEF">
            <w:pPr>
              <w:pStyle w:val="10"/>
            </w:pPr>
            <w:r>
              <w:t>11</w:t>
            </w:r>
          </w:p>
        </w:tc>
        <w:tc>
          <w:tcPr>
            <w:tcW w:w="1134" w:type="dxa"/>
            <w:vAlign w:val="center"/>
          </w:tcPr>
          <w:p w14:paraId="0A04BD7E">
            <w:pPr>
              <w:pStyle w:val="10"/>
            </w:pPr>
            <w:r>
              <w:t>12</w:t>
            </w:r>
          </w:p>
        </w:tc>
      </w:tr>
      <w:tr w14:paraId="4BED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E78EC">
            <w:pPr>
              <w:pStyle w:val="13"/>
            </w:pPr>
            <w:r>
              <w:t>1</w:t>
            </w:r>
          </w:p>
        </w:tc>
        <w:tc>
          <w:tcPr>
            <w:tcW w:w="992" w:type="dxa"/>
            <w:vAlign w:val="center"/>
          </w:tcPr>
          <w:p w14:paraId="180C3A5E">
            <w:pPr>
              <w:pStyle w:val="16"/>
            </w:pPr>
          </w:p>
        </w:tc>
        <w:tc>
          <w:tcPr>
            <w:tcW w:w="1559" w:type="dxa"/>
            <w:vAlign w:val="center"/>
          </w:tcPr>
          <w:p w14:paraId="2A07D2D6">
            <w:pPr>
              <w:pStyle w:val="14"/>
            </w:pPr>
            <w:r>
              <w:t>合计</w:t>
            </w:r>
          </w:p>
        </w:tc>
        <w:tc>
          <w:tcPr>
            <w:tcW w:w="1134" w:type="dxa"/>
            <w:vAlign w:val="center"/>
          </w:tcPr>
          <w:p w14:paraId="3658308C">
            <w:pPr>
              <w:pStyle w:val="15"/>
            </w:pPr>
            <w:r>
              <w:t>2082.45</w:t>
            </w:r>
          </w:p>
        </w:tc>
        <w:tc>
          <w:tcPr>
            <w:tcW w:w="1134" w:type="dxa"/>
            <w:vAlign w:val="center"/>
          </w:tcPr>
          <w:p w14:paraId="33994BB9">
            <w:pPr>
              <w:pStyle w:val="15"/>
            </w:pPr>
            <w:r>
              <w:t>2082.45</w:t>
            </w:r>
          </w:p>
        </w:tc>
        <w:tc>
          <w:tcPr>
            <w:tcW w:w="1134" w:type="dxa"/>
            <w:vAlign w:val="center"/>
          </w:tcPr>
          <w:p w14:paraId="26FB2C69">
            <w:pPr>
              <w:pStyle w:val="15"/>
            </w:pPr>
            <w:r>
              <w:t>2082.45</w:t>
            </w:r>
          </w:p>
        </w:tc>
        <w:tc>
          <w:tcPr>
            <w:tcW w:w="1134" w:type="dxa"/>
            <w:vAlign w:val="center"/>
          </w:tcPr>
          <w:p w14:paraId="28CA5FB2">
            <w:pPr>
              <w:pStyle w:val="15"/>
            </w:pPr>
          </w:p>
        </w:tc>
        <w:tc>
          <w:tcPr>
            <w:tcW w:w="1134" w:type="dxa"/>
            <w:vAlign w:val="center"/>
          </w:tcPr>
          <w:p w14:paraId="6CB06991">
            <w:pPr>
              <w:pStyle w:val="15"/>
            </w:pPr>
          </w:p>
        </w:tc>
        <w:tc>
          <w:tcPr>
            <w:tcW w:w="1134" w:type="dxa"/>
            <w:vAlign w:val="center"/>
          </w:tcPr>
          <w:p w14:paraId="0365E0E7">
            <w:pPr>
              <w:pStyle w:val="15"/>
            </w:pPr>
          </w:p>
        </w:tc>
        <w:tc>
          <w:tcPr>
            <w:tcW w:w="1134" w:type="dxa"/>
            <w:vAlign w:val="center"/>
          </w:tcPr>
          <w:p w14:paraId="13B58276">
            <w:pPr>
              <w:pStyle w:val="15"/>
            </w:pPr>
          </w:p>
        </w:tc>
        <w:tc>
          <w:tcPr>
            <w:tcW w:w="1134" w:type="dxa"/>
            <w:vAlign w:val="center"/>
          </w:tcPr>
          <w:p w14:paraId="5B4F99C8">
            <w:pPr>
              <w:pStyle w:val="15"/>
            </w:pPr>
          </w:p>
        </w:tc>
        <w:tc>
          <w:tcPr>
            <w:tcW w:w="1134" w:type="dxa"/>
            <w:vAlign w:val="center"/>
          </w:tcPr>
          <w:p w14:paraId="12304968">
            <w:pPr>
              <w:pStyle w:val="15"/>
            </w:pPr>
          </w:p>
        </w:tc>
        <w:tc>
          <w:tcPr>
            <w:tcW w:w="1134" w:type="dxa"/>
            <w:vAlign w:val="center"/>
          </w:tcPr>
          <w:p w14:paraId="01DF6C14">
            <w:pPr>
              <w:pStyle w:val="15"/>
            </w:pPr>
          </w:p>
        </w:tc>
      </w:tr>
      <w:tr w14:paraId="2739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9A27E">
            <w:pPr>
              <w:pStyle w:val="13"/>
            </w:pPr>
            <w:r>
              <w:t>2</w:t>
            </w:r>
          </w:p>
        </w:tc>
        <w:tc>
          <w:tcPr>
            <w:tcW w:w="992" w:type="dxa"/>
            <w:vAlign w:val="center"/>
          </w:tcPr>
          <w:p w14:paraId="163799CD">
            <w:pPr>
              <w:pStyle w:val="12"/>
            </w:pPr>
            <w:r>
              <w:t>205</w:t>
            </w:r>
          </w:p>
        </w:tc>
        <w:tc>
          <w:tcPr>
            <w:tcW w:w="1559" w:type="dxa"/>
            <w:vAlign w:val="center"/>
          </w:tcPr>
          <w:p w14:paraId="03676E67">
            <w:pPr>
              <w:pStyle w:val="12"/>
            </w:pPr>
            <w:r>
              <w:t>教育支出</w:t>
            </w:r>
          </w:p>
        </w:tc>
        <w:tc>
          <w:tcPr>
            <w:tcW w:w="1134" w:type="dxa"/>
            <w:vAlign w:val="center"/>
          </w:tcPr>
          <w:p w14:paraId="78960C4B">
            <w:pPr>
              <w:pStyle w:val="11"/>
            </w:pPr>
            <w:r>
              <w:t>2082.45</w:t>
            </w:r>
          </w:p>
        </w:tc>
        <w:tc>
          <w:tcPr>
            <w:tcW w:w="1134" w:type="dxa"/>
            <w:vAlign w:val="center"/>
          </w:tcPr>
          <w:p w14:paraId="4F2F9E55">
            <w:pPr>
              <w:pStyle w:val="11"/>
            </w:pPr>
            <w:r>
              <w:t>2082.45</w:t>
            </w:r>
          </w:p>
        </w:tc>
        <w:tc>
          <w:tcPr>
            <w:tcW w:w="1134" w:type="dxa"/>
            <w:vAlign w:val="center"/>
          </w:tcPr>
          <w:p w14:paraId="4F94D1D1">
            <w:pPr>
              <w:pStyle w:val="11"/>
            </w:pPr>
            <w:r>
              <w:t>2082.45</w:t>
            </w:r>
          </w:p>
        </w:tc>
        <w:tc>
          <w:tcPr>
            <w:tcW w:w="1134" w:type="dxa"/>
            <w:vAlign w:val="center"/>
          </w:tcPr>
          <w:p w14:paraId="048004FB">
            <w:pPr>
              <w:pStyle w:val="11"/>
            </w:pPr>
          </w:p>
        </w:tc>
        <w:tc>
          <w:tcPr>
            <w:tcW w:w="1134" w:type="dxa"/>
            <w:vAlign w:val="center"/>
          </w:tcPr>
          <w:p w14:paraId="5D7900DD">
            <w:pPr>
              <w:pStyle w:val="11"/>
            </w:pPr>
          </w:p>
        </w:tc>
        <w:tc>
          <w:tcPr>
            <w:tcW w:w="1134" w:type="dxa"/>
            <w:vAlign w:val="center"/>
          </w:tcPr>
          <w:p w14:paraId="3C13F0F8">
            <w:pPr>
              <w:pStyle w:val="11"/>
            </w:pPr>
          </w:p>
        </w:tc>
        <w:tc>
          <w:tcPr>
            <w:tcW w:w="1134" w:type="dxa"/>
            <w:vAlign w:val="center"/>
          </w:tcPr>
          <w:p w14:paraId="1719006C">
            <w:pPr>
              <w:pStyle w:val="11"/>
            </w:pPr>
          </w:p>
        </w:tc>
        <w:tc>
          <w:tcPr>
            <w:tcW w:w="1134" w:type="dxa"/>
            <w:vAlign w:val="center"/>
          </w:tcPr>
          <w:p w14:paraId="35AB0489">
            <w:pPr>
              <w:pStyle w:val="11"/>
            </w:pPr>
          </w:p>
        </w:tc>
        <w:tc>
          <w:tcPr>
            <w:tcW w:w="1134" w:type="dxa"/>
            <w:vAlign w:val="center"/>
          </w:tcPr>
          <w:p w14:paraId="190A422C">
            <w:pPr>
              <w:pStyle w:val="11"/>
            </w:pPr>
          </w:p>
        </w:tc>
        <w:tc>
          <w:tcPr>
            <w:tcW w:w="1134" w:type="dxa"/>
            <w:vAlign w:val="center"/>
          </w:tcPr>
          <w:p w14:paraId="4D0BA721">
            <w:pPr>
              <w:pStyle w:val="11"/>
            </w:pPr>
          </w:p>
        </w:tc>
      </w:tr>
      <w:tr w14:paraId="0EC0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FE06B">
            <w:pPr>
              <w:pStyle w:val="13"/>
            </w:pPr>
            <w:r>
              <w:t>3</w:t>
            </w:r>
          </w:p>
        </w:tc>
        <w:tc>
          <w:tcPr>
            <w:tcW w:w="992" w:type="dxa"/>
            <w:vAlign w:val="center"/>
          </w:tcPr>
          <w:p w14:paraId="05B942FC">
            <w:pPr>
              <w:pStyle w:val="12"/>
            </w:pPr>
            <w:r>
              <w:t>20502</w:t>
            </w:r>
          </w:p>
        </w:tc>
        <w:tc>
          <w:tcPr>
            <w:tcW w:w="1559" w:type="dxa"/>
            <w:vAlign w:val="center"/>
          </w:tcPr>
          <w:p w14:paraId="2393DCC3">
            <w:pPr>
              <w:pStyle w:val="12"/>
            </w:pPr>
            <w:r>
              <w:t>普通教育</w:t>
            </w:r>
          </w:p>
        </w:tc>
        <w:tc>
          <w:tcPr>
            <w:tcW w:w="1134" w:type="dxa"/>
            <w:vAlign w:val="center"/>
          </w:tcPr>
          <w:p w14:paraId="0FBEDBE7">
            <w:pPr>
              <w:pStyle w:val="11"/>
            </w:pPr>
            <w:r>
              <w:t>2082.45</w:t>
            </w:r>
          </w:p>
        </w:tc>
        <w:tc>
          <w:tcPr>
            <w:tcW w:w="1134" w:type="dxa"/>
            <w:vAlign w:val="center"/>
          </w:tcPr>
          <w:p w14:paraId="4DE66B3B">
            <w:pPr>
              <w:pStyle w:val="11"/>
            </w:pPr>
            <w:r>
              <w:t>2082.45</w:t>
            </w:r>
          </w:p>
        </w:tc>
        <w:tc>
          <w:tcPr>
            <w:tcW w:w="1134" w:type="dxa"/>
            <w:vAlign w:val="center"/>
          </w:tcPr>
          <w:p w14:paraId="4E9AADB0">
            <w:pPr>
              <w:pStyle w:val="11"/>
            </w:pPr>
            <w:r>
              <w:t>2082.45</w:t>
            </w:r>
          </w:p>
        </w:tc>
        <w:tc>
          <w:tcPr>
            <w:tcW w:w="1134" w:type="dxa"/>
            <w:vAlign w:val="center"/>
          </w:tcPr>
          <w:p w14:paraId="5472E2BA">
            <w:pPr>
              <w:pStyle w:val="11"/>
            </w:pPr>
          </w:p>
        </w:tc>
        <w:tc>
          <w:tcPr>
            <w:tcW w:w="1134" w:type="dxa"/>
            <w:vAlign w:val="center"/>
          </w:tcPr>
          <w:p w14:paraId="1350A38C">
            <w:pPr>
              <w:pStyle w:val="11"/>
            </w:pPr>
          </w:p>
        </w:tc>
        <w:tc>
          <w:tcPr>
            <w:tcW w:w="1134" w:type="dxa"/>
            <w:vAlign w:val="center"/>
          </w:tcPr>
          <w:p w14:paraId="0E6A9AB7">
            <w:pPr>
              <w:pStyle w:val="11"/>
            </w:pPr>
          </w:p>
        </w:tc>
        <w:tc>
          <w:tcPr>
            <w:tcW w:w="1134" w:type="dxa"/>
            <w:vAlign w:val="center"/>
          </w:tcPr>
          <w:p w14:paraId="2BEBC206">
            <w:pPr>
              <w:pStyle w:val="11"/>
            </w:pPr>
          </w:p>
        </w:tc>
        <w:tc>
          <w:tcPr>
            <w:tcW w:w="1134" w:type="dxa"/>
            <w:vAlign w:val="center"/>
          </w:tcPr>
          <w:p w14:paraId="1C335F73">
            <w:pPr>
              <w:pStyle w:val="11"/>
            </w:pPr>
          </w:p>
        </w:tc>
        <w:tc>
          <w:tcPr>
            <w:tcW w:w="1134" w:type="dxa"/>
            <w:vAlign w:val="center"/>
          </w:tcPr>
          <w:p w14:paraId="20E26D99">
            <w:pPr>
              <w:pStyle w:val="11"/>
            </w:pPr>
          </w:p>
        </w:tc>
        <w:tc>
          <w:tcPr>
            <w:tcW w:w="1134" w:type="dxa"/>
            <w:vAlign w:val="center"/>
          </w:tcPr>
          <w:p w14:paraId="738E925F">
            <w:pPr>
              <w:pStyle w:val="11"/>
            </w:pPr>
          </w:p>
        </w:tc>
      </w:tr>
      <w:tr w14:paraId="256F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65F98">
            <w:pPr>
              <w:pStyle w:val="13"/>
            </w:pPr>
            <w:r>
              <w:t>4</w:t>
            </w:r>
          </w:p>
        </w:tc>
        <w:tc>
          <w:tcPr>
            <w:tcW w:w="992" w:type="dxa"/>
            <w:vAlign w:val="center"/>
          </w:tcPr>
          <w:p w14:paraId="726887B4">
            <w:pPr>
              <w:pStyle w:val="12"/>
            </w:pPr>
            <w:r>
              <w:t>2050201</w:t>
            </w:r>
          </w:p>
        </w:tc>
        <w:tc>
          <w:tcPr>
            <w:tcW w:w="1559" w:type="dxa"/>
            <w:vAlign w:val="center"/>
          </w:tcPr>
          <w:p w14:paraId="3EEC438F">
            <w:pPr>
              <w:pStyle w:val="12"/>
            </w:pPr>
            <w:r>
              <w:t>学前教育</w:t>
            </w:r>
          </w:p>
        </w:tc>
        <w:tc>
          <w:tcPr>
            <w:tcW w:w="1134" w:type="dxa"/>
            <w:vAlign w:val="center"/>
          </w:tcPr>
          <w:p w14:paraId="4023C619">
            <w:pPr>
              <w:pStyle w:val="11"/>
            </w:pPr>
            <w:r>
              <w:t>143.43</w:t>
            </w:r>
          </w:p>
        </w:tc>
        <w:tc>
          <w:tcPr>
            <w:tcW w:w="1134" w:type="dxa"/>
            <w:vAlign w:val="center"/>
          </w:tcPr>
          <w:p w14:paraId="2A02CE82">
            <w:pPr>
              <w:pStyle w:val="11"/>
            </w:pPr>
            <w:r>
              <w:t>143.43</w:t>
            </w:r>
          </w:p>
        </w:tc>
        <w:tc>
          <w:tcPr>
            <w:tcW w:w="1134" w:type="dxa"/>
            <w:vAlign w:val="center"/>
          </w:tcPr>
          <w:p w14:paraId="1EF9B58A">
            <w:pPr>
              <w:pStyle w:val="11"/>
            </w:pPr>
            <w:r>
              <w:t>143.43</w:t>
            </w:r>
          </w:p>
        </w:tc>
        <w:tc>
          <w:tcPr>
            <w:tcW w:w="1134" w:type="dxa"/>
            <w:vAlign w:val="center"/>
          </w:tcPr>
          <w:p w14:paraId="43159620">
            <w:pPr>
              <w:pStyle w:val="11"/>
            </w:pPr>
          </w:p>
        </w:tc>
        <w:tc>
          <w:tcPr>
            <w:tcW w:w="1134" w:type="dxa"/>
            <w:vAlign w:val="center"/>
          </w:tcPr>
          <w:p w14:paraId="3D4FAC04">
            <w:pPr>
              <w:pStyle w:val="11"/>
            </w:pPr>
          </w:p>
        </w:tc>
        <w:tc>
          <w:tcPr>
            <w:tcW w:w="1134" w:type="dxa"/>
            <w:vAlign w:val="center"/>
          </w:tcPr>
          <w:p w14:paraId="56D680EE">
            <w:pPr>
              <w:pStyle w:val="11"/>
            </w:pPr>
          </w:p>
        </w:tc>
        <w:tc>
          <w:tcPr>
            <w:tcW w:w="1134" w:type="dxa"/>
            <w:vAlign w:val="center"/>
          </w:tcPr>
          <w:p w14:paraId="5890FA3F">
            <w:pPr>
              <w:pStyle w:val="11"/>
            </w:pPr>
          </w:p>
        </w:tc>
        <w:tc>
          <w:tcPr>
            <w:tcW w:w="1134" w:type="dxa"/>
            <w:vAlign w:val="center"/>
          </w:tcPr>
          <w:p w14:paraId="2F263066">
            <w:pPr>
              <w:pStyle w:val="11"/>
            </w:pPr>
          </w:p>
        </w:tc>
        <w:tc>
          <w:tcPr>
            <w:tcW w:w="1134" w:type="dxa"/>
            <w:vAlign w:val="center"/>
          </w:tcPr>
          <w:p w14:paraId="2B7E4165">
            <w:pPr>
              <w:pStyle w:val="11"/>
            </w:pPr>
          </w:p>
        </w:tc>
        <w:tc>
          <w:tcPr>
            <w:tcW w:w="1134" w:type="dxa"/>
            <w:vAlign w:val="center"/>
          </w:tcPr>
          <w:p w14:paraId="3438E02B">
            <w:pPr>
              <w:pStyle w:val="11"/>
            </w:pPr>
          </w:p>
        </w:tc>
      </w:tr>
      <w:tr w14:paraId="474F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FDD7C">
            <w:pPr>
              <w:pStyle w:val="13"/>
            </w:pPr>
            <w:r>
              <w:t>5</w:t>
            </w:r>
          </w:p>
        </w:tc>
        <w:tc>
          <w:tcPr>
            <w:tcW w:w="992" w:type="dxa"/>
            <w:vAlign w:val="center"/>
          </w:tcPr>
          <w:p w14:paraId="2AD66421">
            <w:pPr>
              <w:pStyle w:val="12"/>
            </w:pPr>
            <w:r>
              <w:t>2050202</w:t>
            </w:r>
          </w:p>
        </w:tc>
        <w:tc>
          <w:tcPr>
            <w:tcW w:w="1559" w:type="dxa"/>
            <w:vAlign w:val="center"/>
          </w:tcPr>
          <w:p w14:paraId="4DE45B42">
            <w:pPr>
              <w:pStyle w:val="12"/>
            </w:pPr>
            <w:r>
              <w:t>小学教育</w:t>
            </w:r>
          </w:p>
        </w:tc>
        <w:tc>
          <w:tcPr>
            <w:tcW w:w="1134" w:type="dxa"/>
            <w:vAlign w:val="center"/>
          </w:tcPr>
          <w:p w14:paraId="030A43EA">
            <w:pPr>
              <w:pStyle w:val="11"/>
            </w:pPr>
            <w:r>
              <w:t>1939.02</w:t>
            </w:r>
          </w:p>
        </w:tc>
        <w:tc>
          <w:tcPr>
            <w:tcW w:w="1134" w:type="dxa"/>
            <w:vAlign w:val="center"/>
          </w:tcPr>
          <w:p w14:paraId="69219066">
            <w:pPr>
              <w:pStyle w:val="11"/>
            </w:pPr>
            <w:r>
              <w:t>1939.02</w:t>
            </w:r>
          </w:p>
        </w:tc>
        <w:tc>
          <w:tcPr>
            <w:tcW w:w="1134" w:type="dxa"/>
            <w:vAlign w:val="center"/>
          </w:tcPr>
          <w:p w14:paraId="5189E6D4">
            <w:pPr>
              <w:pStyle w:val="11"/>
            </w:pPr>
            <w:r>
              <w:t>1939.02</w:t>
            </w:r>
          </w:p>
        </w:tc>
        <w:tc>
          <w:tcPr>
            <w:tcW w:w="1134" w:type="dxa"/>
            <w:vAlign w:val="center"/>
          </w:tcPr>
          <w:p w14:paraId="0727BB46">
            <w:pPr>
              <w:pStyle w:val="11"/>
            </w:pPr>
          </w:p>
        </w:tc>
        <w:tc>
          <w:tcPr>
            <w:tcW w:w="1134" w:type="dxa"/>
            <w:vAlign w:val="center"/>
          </w:tcPr>
          <w:p w14:paraId="55296385">
            <w:pPr>
              <w:pStyle w:val="11"/>
            </w:pPr>
          </w:p>
        </w:tc>
        <w:tc>
          <w:tcPr>
            <w:tcW w:w="1134" w:type="dxa"/>
            <w:vAlign w:val="center"/>
          </w:tcPr>
          <w:p w14:paraId="05D4530B">
            <w:pPr>
              <w:pStyle w:val="11"/>
            </w:pPr>
          </w:p>
        </w:tc>
        <w:tc>
          <w:tcPr>
            <w:tcW w:w="1134" w:type="dxa"/>
            <w:vAlign w:val="center"/>
          </w:tcPr>
          <w:p w14:paraId="105CB35D">
            <w:pPr>
              <w:pStyle w:val="11"/>
            </w:pPr>
          </w:p>
        </w:tc>
        <w:tc>
          <w:tcPr>
            <w:tcW w:w="1134" w:type="dxa"/>
            <w:vAlign w:val="center"/>
          </w:tcPr>
          <w:p w14:paraId="271D3B4B">
            <w:pPr>
              <w:pStyle w:val="11"/>
            </w:pPr>
          </w:p>
        </w:tc>
        <w:tc>
          <w:tcPr>
            <w:tcW w:w="1134" w:type="dxa"/>
            <w:vAlign w:val="center"/>
          </w:tcPr>
          <w:p w14:paraId="5527216F">
            <w:pPr>
              <w:pStyle w:val="11"/>
            </w:pPr>
          </w:p>
        </w:tc>
        <w:tc>
          <w:tcPr>
            <w:tcW w:w="1134" w:type="dxa"/>
            <w:vAlign w:val="center"/>
          </w:tcPr>
          <w:p w14:paraId="271C291C">
            <w:pPr>
              <w:pStyle w:val="11"/>
            </w:pPr>
          </w:p>
        </w:tc>
      </w:tr>
    </w:tbl>
    <w:p w14:paraId="12174F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A20B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42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DB8942">
            <w:pPr>
              <w:pStyle w:val="9"/>
            </w:pPr>
            <w:r>
              <w:t>360025隆尧县千户营校区</w:t>
            </w:r>
          </w:p>
        </w:tc>
        <w:tc>
          <w:tcPr>
            <w:tcW w:w="2722" w:type="dxa"/>
            <w:gridSpan w:val="2"/>
            <w:tcBorders>
              <w:top w:val="single" w:color="FFFFFF" w:sz="6" w:space="0"/>
              <w:left w:val="single" w:color="FFFFFF" w:sz="6" w:space="0"/>
              <w:right w:val="single" w:color="FFFFFF" w:sz="6" w:space="0"/>
            </w:tcBorders>
            <w:vAlign w:val="center"/>
          </w:tcPr>
          <w:p w14:paraId="1A314B8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C54F715">
            <w:pPr>
              <w:pStyle w:val="7"/>
            </w:pPr>
            <w:r>
              <w:t>单位：万元</w:t>
            </w:r>
          </w:p>
        </w:tc>
      </w:tr>
      <w:tr w14:paraId="049A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69E9D">
            <w:pPr>
              <w:pStyle w:val="10"/>
            </w:pPr>
            <w:r>
              <w:t>序号</w:t>
            </w:r>
          </w:p>
        </w:tc>
        <w:tc>
          <w:tcPr>
            <w:tcW w:w="5527" w:type="dxa"/>
            <w:gridSpan w:val="2"/>
            <w:vAlign w:val="center"/>
          </w:tcPr>
          <w:p w14:paraId="4AC18881">
            <w:pPr>
              <w:pStyle w:val="10"/>
            </w:pPr>
            <w:r>
              <w:t>功能分类科目</w:t>
            </w:r>
          </w:p>
        </w:tc>
        <w:tc>
          <w:tcPr>
            <w:tcW w:w="1361" w:type="dxa"/>
            <w:vMerge w:val="restart"/>
            <w:vAlign w:val="center"/>
          </w:tcPr>
          <w:p w14:paraId="50DDEB98">
            <w:pPr>
              <w:pStyle w:val="10"/>
            </w:pPr>
            <w:r>
              <w:t>合计</w:t>
            </w:r>
          </w:p>
        </w:tc>
        <w:tc>
          <w:tcPr>
            <w:tcW w:w="1361" w:type="dxa"/>
            <w:vMerge w:val="restart"/>
            <w:vAlign w:val="center"/>
          </w:tcPr>
          <w:p w14:paraId="374FDE80">
            <w:pPr>
              <w:pStyle w:val="10"/>
            </w:pPr>
            <w:r>
              <w:t>基本支出</w:t>
            </w:r>
          </w:p>
        </w:tc>
        <w:tc>
          <w:tcPr>
            <w:tcW w:w="1361" w:type="dxa"/>
            <w:vMerge w:val="restart"/>
            <w:vAlign w:val="center"/>
          </w:tcPr>
          <w:p w14:paraId="056A6404">
            <w:pPr>
              <w:pStyle w:val="10"/>
            </w:pPr>
            <w:r>
              <w:t>项目支出</w:t>
            </w:r>
          </w:p>
        </w:tc>
        <w:tc>
          <w:tcPr>
            <w:tcW w:w="1361" w:type="dxa"/>
            <w:vMerge w:val="restart"/>
            <w:vAlign w:val="center"/>
          </w:tcPr>
          <w:p w14:paraId="16F805CD">
            <w:pPr>
              <w:pStyle w:val="10"/>
            </w:pPr>
            <w:r>
              <w:t>经营支出</w:t>
            </w:r>
          </w:p>
        </w:tc>
        <w:tc>
          <w:tcPr>
            <w:tcW w:w="1361" w:type="dxa"/>
            <w:vMerge w:val="restart"/>
            <w:vAlign w:val="center"/>
          </w:tcPr>
          <w:p w14:paraId="34F4A16F">
            <w:pPr>
              <w:pStyle w:val="10"/>
            </w:pPr>
            <w:r>
              <w:t>上解上级     支出</w:t>
            </w:r>
          </w:p>
        </w:tc>
        <w:tc>
          <w:tcPr>
            <w:tcW w:w="1361" w:type="dxa"/>
            <w:vMerge w:val="restart"/>
            <w:vAlign w:val="center"/>
          </w:tcPr>
          <w:p w14:paraId="1389AEB9">
            <w:pPr>
              <w:pStyle w:val="10"/>
            </w:pPr>
            <w:r>
              <w:t>对附属单位补助支出</w:t>
            </w:r>
          </w:p>
        </w:tc>
      </w:tr>
      <w:tr w14:paraId="2FAA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AA5A9D"/>
        </w:tc>
        <w:tc>
          <w:tcPr>
            <w:tcW w:w="992" w:type="dxa"/>
            <w:vAlign w:val="center"/>
          </w:tcPr>
          <w:p w14:paraId="2AA203A1">
            <w:pPr>
              <w:pStyle w:val="10"/>
            </w:pPr>
            <w:r>
              <w:t>科目    编码</w:t>
            </w:r>
          </w:p>
        </w:tc>
        <w:tc>
          <w:tcPr>
            <w:tcW w:w="4535" w:type="dxa"/>
            <w:vAlign w:val="center"/>
          </w:tcPr>
          <w:p w14:paraId="5ECEF23D">
            <w:pPr>
              <w:pStyle w:val="10"/>
            </w:pPr>
            <w:r>
              <w:t>科目名称</w:t>
            </w:r>
          </w:p>
        </w:tc>
        <w:tc>
          <w:tcPr>
            <w:tcW w:w="1361" w:type="dxa"/>
            <w:vMerge w:val="continue"/>
          </w:tcPr>
          <w:p w14:paraId="1CFA616B"/>
        </w:tc>
        <w:tc>
          <w:tcPr>
            <w:tcW w:w="1361" w:type="dxa"/>
            <w:vMerge w:val="continue"/>
          </w:tcPr>
          <w:p w14:paraId="73916C5E"/>
        </w:tc>
        <w:tc>
          <w:tcPr>
            <w:tcW w:w="1361" w:type="dxa"/>
            <w:vMerge w:val="continue"/>
          </w:tcPr>
          <w:p w14:paraId="4539234C"/>
        </w:tc>
        <w:tc>
          <w:tcPr>
            <w:tcW w:w="1361" w:type="dxa"/>
            <w:vMerge w:val="continue"/>
          </w:tcPr>
          <w:p w14:paraId="03A3193E"/>
        </w:tc>
        <w:tc>
          <w:tcPr>
            <w:tcW w:w="1361" w:type="dxa"/>
            <w:vMerge w:val="continue"/>
          </w:tcPr>
          <w:p w14:paraId="39500FD0"/>
        </w:tc>
        <w:tc>
          <w:tcPr>
            <w:tcW w:w="1361" w:type="dxa"/>
            <w:vMerge w:val="continue"/>
          </w:tcPr>
          <w:p w14:paraId="38A56A01"/>
        </w:tc>
      </w:tr>
      <w:tr w14:paraId="0084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36291">
            <w:pPr>
              <w:pStyle w:val="10"/>
            </w:pPr>
            <w:r>
              <w:t>栏次</w:t>
            </w:r>
          </w:p>
        </w:tc>
        <w:tc>
          <w:tcPr>
            <w:tcW w:w="992" w:type="dxa"/>
            <w:vAlign w:val="center"/>
          </w:tcPr>
          <w:p w14:paraId="46789F9C">
            <w:pPr>
              <w:pStyle w:val="10"/>
            </w:pPr>
            <w:r>
              <w:t>1</w:t>
            </w:r>
          </w:p>
        </w:tc>
        <w:tc>
          <w:tcPr>
            <w:tcW w:w="4535" w:type="dxa"/>
            <w:vAlign w:val="center"/>
          </w:tcPr>
          <w:p w14:paraId="3850ACEE">
            <w:pPr>
              <w:pStyle w:val="10"/>
            </w:pPr>
            <w:r>
              <w:t>2</w:t>
            </w:r>
          </w:p>
        </w:tc>
        <w:tc>
          <w:tcPr>
            <w:tcW w:w="1361" w:type="dxa"/>
            <w:vAlign w:val="center"/>
          </w:tcPr>
          <w:p w14:paraId="7FA6BC25">
            <w:pPr>
              <w:pStyle w:val="10"/>
            </w:pPr>
            <w:r>
              <w:t>3</w:t>
            </w:r>
          </w:p>
        </w:tc>
        <w:tc>
          <w:tcPr>
            <w:tcW w:w="1361" w:type="dxa"/>
            <w:vAlign w:val="center"/>
          </w:tcPr>
          <w:p w14:paraId="46231465">
            <w:pPr>
              <w:pStyle w:val="10"/>
            </w:pPr>
            <w:r>
              <w:t>4</w:t>
            </w:r>
          </w:p>
        </w:tc>
        <w:tc>
          <w:tcPr>
            <w:tcW w:w="1361" w:type="dxa"/>
            <w:vAlign w:val="center"/>
          </w:tcPr>
          <w:p w14:paraId="7A65E761">
            <w:pPr>
              <w:pStyle w:val="10"/>
            </w:pPr>
            <w:r>
              <w:t>5</w:t>
            </w:r>
          </w:p>
        </w:tc>
        <w:tc>
          <w:tcPr>
            <w:tcW w:w="1361" w:type="dxa"/>
            <w:vAlign w:val="center"/>
          </w:tcPr>
          <w:p w14:paraId="4611DA26">
            <w:pPr>
              <w:pStyle w:val="10"/>
            </w:pPr>
            <w:r>
              <w:t>6</w:t>
            </w:r>
          </w:p>
        </w:tc>
        <w:tc>
          <w:tcPr>
            <w:tcW w:w="1361" w:type="dxa"/>
            <w:vAlign w:val="center"/>
          </w:tcPr>
          <w:p w14:paraId="6A1443CF">
            <w:pPr>
              <w:pStyle w:val="10"/>
            </w:pPr>
            <w:r>
              <w:t>7</w:t>
            </w:r>
          </w:p>
        </w:tc>
        <w:tc>
          <w:tcPr>
            <w:tcW w:w="1361" w:type="dxa"/>
            <w:vAlign w:val="center"/>
          </w:tcPr>
          <w:p w14:paraId="79043F57">
            <w:pPr>
              <w:pStyle w:val="10"/>
            </w:pPr>
            <w:r>
              <w:t>8</w:t>
            </w:r>
          </w:p>
        </w:tc>
      </w:tr>
      <w:tr w14:paraId="09D7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C7EF4">
            <w:pPr>
              <w:pStyle w:val="13"/>
            </w:pPr>
            <w:r>
              <w:t>1</w:t>
            </w:r>
          </w:p>
        </w:tc>
        <w:tc>
          <w:tcPr>
            <w:tcW w:w="992" w:type="dxa"/>
            <w:vAlign w:val="center"/>
          </w:tcPr>
          <w:p w14:paraId="26F53776">
            <w:pPr>
              <w:pStyle w:val="16"/>
            </w:pPr>
          </w:p>
        </w:tc>
        <w:tc>
          <w:tcPr>
            <w:tcW w:w="4535" w:type="dxa"/>
            <w:vAlign w:val="center"/>
          </w:tcPr>
          <w:p w14:paraId="4DE46430">
            <w:pPr>
              <w:pStyle w:val="14"/>
            </w:pPr>
            <w:r>
              <w:t>合计</w:t>
            </w:r>
          </w:p>
        </w:tc>
        <w:tc>
          <w:tcPr>
            <w:tcW w:w="1361" w:type="dxa"/>
            <w:vAlign w:val="center"/>
          </w:tcPr>
          <w:p w14:paraId="611607D0">
            <w:pPr>
              <w:pStyle w:val="15"/>
            </w:pPr>
            <w:r>
              <w:t>2082.45</w:t>
            </w:r>
          </w:p>
        </w:tc>
        <w:tc>
          <w:tcPr>
            <w:tcW w:w="1361" w:type="dxa"/>
            <w:vAlign w:val="center"/>
          </w:tcPr>
          <w:p w14:paraId="4A657816">
            <w:pPr>
              <w:pStyle w:val="15"/>
            </w:pPr>
            <w:r>
              <w:t>1564.81</w:t>
            </w:r>
          </w:p>
        </w:tc>
        <w:tc>
          <w:tcPr>
            <w:tcW w:w="1361" w:type="dxa"/>
            <w:vAlign w:val="center"/>
          </w:tcPr>
          <w:p w14:paraId="73331A5B">
            <w:pPr>
              <w:pStyle w:val="15"/>
            </w:pPr>
            <w:r>
              <w:t>517.64</w:t>
            </w:r>
          </w:p>
        </w:tc>
        <w:tc>
          <w:tcPr>
            <w:tcW w:w="1361" w:type="dxa"/>
            <w:vAlign w:val="center"/>
          </w:tcPr>
          <w:p w14:paraId="20DD4C21">
            <w:pPr>
              <w:pStyle w:val="15"/>
            </w:pPr>
          </w:p>
        </w:tc>
        <w:tc>
          <w:tcPr>
            <w:tcW w:w="1361" w:type="dxa"/>
            <w:vAlign w:val="center"/>
          </w:tcPr>
          <w:p w14:paraId="07D86CBC">
            <w:pPr>
              <w:pStyle w:val="15"/>
            </w:pPr>
          </w:p>
        </w:tc>
        <w:tc>
          <w:tcPr>
            <w:tcW w:w="1361" w:type="dxa"/>
            <w:vAlign w:val="center"/>
          </w:tcPr>
          <w:p w14:paraId="1C728F75">
            <w:pPr>
              <w:pStyle w:val="15"/>
            </w:pPr>
          </w:p>
        </w:tc>
      </w:tr>
      <w:tr w14:paraId="340D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15B3">
            <w:pPr>
              <w:pStyle w:val="13"/>
            </w:pPr>
            <w:r>
              <w:t>2</w:t>
            </w:r>
          </w:p>
        </w:tc>
        <w:tc>
          <w:tcPr>
            <w:tcW w:w="992" w:type="dxa"/>
            <w:vAlign w:val="center"/>
          </w:tcPr>
          <w:p w14:paraId="0BFC4871">
            <w:pPr>
              <w:pStyle w:val="12"/>
            </w:pPr>
            <w:r>
              <w:t>205</w:t>
            </w:r>
          </w:p>
        </w:tc>
        <w:tc>
          <w:tcPr>
            <w:tcW w:w="4535" w:type="dxa"/>
            <w:vAlign w:val="center"/>
          </w:tcPr>
          <w:p w14:paraId="45EB1D31">
            <w:pPr>
              <w:pStyle w:val="12"/>
            </w:pPr>
            <w:r>
              <w:t>教育支出</w:t>
            </w:r>
          </w:p>
        </w:tc>
        <w:tc>
          <w:tcPr>
            <w:tcW w:w="1361" w:type="dxa"/>
            <w:vAlign w:val="center"/>
          </w:tcPr>
          <w:p w14:paraId="570A6785">
            <w:pPr>
              <w:pStyle w:val="11"/>
            </w:pPr>
            <w:r>
              <w:t>2082.45</w:t>
            </w:r>
          </w:p>
        </w:tc>
        <w:tc>
          <w:tcPr>
            <w:tcW w:w="1361" w:type="dxa"/>
            <w:vAlign w:val="center"/>
          </w:tcPr>
          <w:p w14:paraId="0C7EF67B">
            <w:pPr>
              <w:pStyle w:val="11"/>
            </w:pPr>
            <w:r>
              <w:t>1564.81</w:t>
            </w:r>
          </w:p>
        </w:tc>
        <w:tc>
          <w:tcPr>
            <w:tcW w:w="1361" w:type="dxa"/>
            <w:vAlign w:val="center"/>
          </w:tcPr>
          <w:p w14:paraId="647955DB">
            <w:pPr>
              <w:pStyle w:val="11"/>
            </w:pPr>
            <w:r>
              <w:t>517.64</w:t>
            </w:r>
          </w:p>
        </w:tc>
        <w:tc>
          <w:tcPr>
            <w:tcW w:w="1361" w:type="dxa"/>
            <w:vAlign w:val="center"/>
          </w:tcPr>
          <w:p w14:paraId="18D10E7B">
            <w:pPr>
              <w:pStyle w:val="11"/>
            </w:pPr>
          </w:p>
        </w:tc>
        <w:tc>
          <w:tcPr>
            <w:tcW w:w="1361" w:type="dxa"/>
            <w:vAlign w:val="center"/>
          </w:tcPr>
          <w:p w14:paraId="61A5C1AD">
            <w:pPr>
              <w:pStyle w:val="11"/>
            </w:pPr>
          </w:p>
        </w:tc>
        <w:tc>
          <w:tcPr>
            <w:tcW w:w="1361" w:type="dxa"/>
            <w:vAlign w:val="center"/>
          </w:tcPr>
          <w:p w14:paraId="6327021A">
            <w:pPr>
              <w:pStyle w:val="11"/>
            </w:pPr>
          </w:p>
        </w:tc>
      </w:tr>
      <w:tr w14:paraId="6F64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A5F0">
            <w:pPr>
              <w:pStyle w:val="13"/>
            </w:pPr>
            <w:r>
              <w:t>3</w:t>
            </w:r>
          </w:p>
        </w:tc>
        <w:tc>
          <w:tcPr>
            <w:tcW w:w="992" w:type="dxa"/>
            <w:vAlign w:val="center"/>
          </w:tcPr>
          <w:p w14:paraId="0923EAFC">
            <w:pPr>
              <w:pStyle w:val="12"/>
            </w:pPr>
            <w:r>
              <w:t>20502</w:t>
            </w:r>
          </w:p>
        </w:tc>
        <w:tc>
          <w:tcPr>
            <w:tcW w:w="4535" w:type="dxa"/>
            <w:vAlign w:val="center"/>
          </w:tcPr>
          <w:p w14:paraId="21B0F83B">
            <w:pPr>
              <w:pStyle w:val="12"/>
            </w:pPr>
            <w:r>
              <w:t>普通教育</w:t>
            </w:r>
          </w:p>
        </w:tc>
        <w:tc>
          <w:tcPr>
            <w:tcW w:w="1361" w:type="dxa"/>
            <w:vAlign w:val="center"/>
          </w:tcPr>
          <w:p w14:paraId="031A97C2">
            <w:pPr>
              <w:pStyle w:val="11"/>
            </w:pPr>
            <w:r>
              <w:t>2082.45</w:t>
            </w:r>
          </w:p>
        </w:tc>
        <w:tc>
          <w:tcPr>
            <w:tcW w:w="1361" w:type="dxa"/>
            <w:vAlign w:val="center"/>
          </w:tcPr>
          <w:p w14:paraId="1270F347">
            <w:pPr>
              <w:pStyle w:val="11"/>
            </w:pPr>
            <w:r>
              <w:t>1564.81</w:t>
            </w:r>
          </w:p>
        </w:tc>
        <w:tc>
          <w:tcPr>
            <w:tcW w:w="1361" w:type="dxa"/>
            <w:vAlign w:val="center"/>
          </w:tcPr>
          <w:p w14:paraId="5978809D">
            <w:pPr>
              <w:pStyle w:val="11"/>
            </w:pPr>
            <w:r>
              <w:t>517.64</w:t>
            </w:r>
          </w:p>
        </w:tc>
        <w:tc>
          <w:tcPr>
            <w:tcW w:w="1361" w:type="dxa"/>
            <w:vAlign w:val="center"/>
          </w:tcPr>
          <w:p w14:paraId="72BDE90F">
            <w:pPr>
              <w:pStyle w:val="11"/>
            </w:pPr>
          </w:p>
        </w:tc>
        <w:tc>
          <w:tcPr>
            <w:tcW w:w="1361" w:type="dxa"/>
            <w:vAlign w:val="center"/>
          </w:tcPr>
          <w:p w14:paraId="785866D2">
            <w:pPr>
              <w:pStyle w:val="11"/>
            </w:pPr>
          </w:p>
        </w:tc>
        <w:tc>
          <w:tcPr>
            <w:tcW w:w="1361" w:type="dxa"/>
            <w:vAlign w:val="center"/>
          </w:tcPr>
          <w:p w14:paraId="77BA99F8">
            <w:pPr>
              <w:pStyle w:val="11"/>
            </w:pPr>
          </w:p>
        </w:tc>
      </w:tr>
      <w:tr w14:paraId="7345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C85F">
            <w:pPr>
              <w:pStyle w:val="13"/>
            </w:pPr>
            <w:r>
              <w:t>4</w:t>
            </w:r>
          </w:p>
        </w:tc>
        <w:tc>
          <w:tcPr>
            <w:tcW w:w="992" w:type="dxa"/>
            <w:vAlign w:val="center"/>
          </w:tcPr>
          <w:p w14:paraId="66BC2DBF">
            <w:pPr>
              <w:pStyle w:val="12"/>
            </w:pPr>
            <w:r>
              <w:t>2050201</w:t>
            </w:r>
          </w:p>
        </w:tc>
        <w:tc>
          <w:tcPr>
            <w:tcW w:w="4535" w:type="dxa"/>
            <w:vAlign w:val="center"/>
          </w:tcPr>
          <w:p w14:paraId="73FEACDE">
            <w:pPr>
              <w:pStyle w:val="12"/>
            </w:pPr>
            <w:r>
              <w:t>学前教育</w:t>
            </w:r>
          </w:p>
        </w:tc>
        <w:tc>
          <w:tcPr>
            <w:tcW w:w="1361" w:type="dxa"/>
            <w:vAlign w:val="center"/>
          </w:tcPr>
          <w:p w14:paraId="2D3BF8EB">
            <w:pPr>
              <w:pStyle w:val="11"/>
            </w:pPr>
            <w:r>
              <w:t>143.43</w:t>
            </w:r>
          </w:p>
        </w:tc>
        <w:tc>
          <w:tcPr>
            <w:tcW w:w="1361" w:type="dxa"/>
            <w:vAlign w:val="center"/>
          </w:tcPr>
          <w:p w14:paraId="4CC13A9D">
            <w:pPr>
              <w:pStyle w:val="11"/>
            </w:pPr>
          </w:p>
        </w:tc>
        <w:tc>
          <w:tcPr>
            <w:tcW w:w="1361" w:type="dxa"/>
            <w:vAlign w:val="center"/>
          </w:tcPr>
          <w:p w14:paraId="6093E5B0">
            <w:pPr>
              <w:pStyle w:val="11"/>
            </w:pPr>
            <w:r>
              <w:t>143.43</w:t>
            </w:r>
          </w:p>
        </w:tc>
        <w:tc>
          <w:tcPr>
            <w:tcW w:w="1361" w:type="dxa"/>
            <w:vAlign w:val="center"/>
          </w:tcPr>
          <w:p w14:paraId="3569AACE">
            <w:pPr>
              <w:pStyle w:val="11"/>
            </w:pPr>
          </w:p>
        </w:tc>
        <w:tc>
          <w:tcPr>
            <w:tcW w:w="1361" w:type="dxa"/>
            <w:vAlign w:val="center"/>
          </w:tcPr>
          <w:p w14:paraId="4C1BCD3C">
            <w:pPr>
              <w:pStyle w:val="11"/>
            </w:pPr>
          </w:p>
        </w:tc>
        <w:tc>
          <w:tcPr>
            <w:tcW w:w="1361" w:type="dxa"/>
            <w:vAlign w:val="center"/>
          </w:tcPr>
          <w:p w14:paraId="5FCF03BE">
            <w:pPr>
              <w:pStyle w:val="11"/>
            </w:pPr>
          </w:p>
        </w:tc>
      </w:tr>
      <w:tr w14:paraId="7B73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76C1">
            <w:pPr>
              <w:pStyle w:val="13"/>
            </w:pPr>
            <w:r>
              <w:t>5</w:t>
            </w:r>
          </w:p>
        </w:tc>
        <w:tc>
          <w:tcPr>
            <w:tcW w:w="992" w:type="dxa"/>
            <w:vAlign w:val="center"/>
          </w:tcPr>
          <w:p w14:paraId="67ED7E93">
            <w:pPr>
              <w:pStyle w:val="12"/>
            </w:pPr>
            <w:r>
              <w:t>2050202</w:t>
            </w:r>
          </w:p>
        </w:tc>
        <w:tc>
          <w:tcPr>
            <w:tcW w:w="4535" w:type="dxa"/>
            <w:vAlign w:val="center"/>
          </w:tcPr>
          <w:p w14:paraId="2A578490">
            <w:pPr>
              <w:pStyle w:val="12"/>
            </w:pPr>
            <w:r>
              <w:t>小学教育</w:t>
            </w:r>
          </w:p>
        </w:tc>
        <w:tc>
          <w:tcPr>
            <w:tcW w:w="1361" w:type="dxa"/>
            <w:vAlign w:val="center"/>
          </w:tcPr>
          <w:p w14:paraId="614E405C">
            <w:pPr>
              <w:pStyle w:val="11"/>
            </w:pPr>
            <w:r>
              <w:t>1939.02</w:t>
            </w:r>
          </w:p>
        </w:tc>
        <w:tc>
          <w:tcPr>
            <w:tcW w:w="1361" w:type="dxa"/>
            <w:vAlign w:val="center"/>
          </w:tcPr>
          <w:p w14:paraId="4F8CBF3A">
            <w:pPr>
              <w:pStyle w:val="11"/>
            </w:pPr>
            <w:r>
              <w:t>1564.81</w:t>
            </w:r>
          </w:p>
        </w:tc>
        <w:tc>
          <w:tcPr>
            <w:tcW w:w="1361" w:type="dxa"/>
            <w:vAlign w:val="center"/>
          </w:tcPr>
          <w:p w14:paraId="3871FA52">
            <w:pPr>
              <w:pStyle w:val="11"/>
            </w:pPr>
            <w:r>
              <w:t>374.21</w:t>
            </w:r>
          </w:p>
        </w:tc>
        <w:tc>
          <w:tcPr>
            <w:tcW w:w="1361" w:type="dxa"/>
            <w:vAlign w:val="center"/>
          </w:tcPr>
          <w:p w14:paraId="19E30E7D">
            <w:pPr>
              <w:pStyle w:val="11"/>
            </w:pPr>
          </w:p>
        </w:tc>
        <w:tc>
          <w:tcPr>
            <w:tcW w:w="1361" w:type="dxa"/>
            <w:vAlign w:val="center"/>
          </w:tcPr>
          <w:p w14:paraId="1A0810B2">
            <w:pPr>
              <w:pStyle w:val="11"/>
            </w:pPr>
          </w:p>
        </w:tc>
        <w:tc>
          <w:tcPr>
            <w:tcW w:w="1361" w:type="dxa"/>
            <w:vAlign w:val="center"/>
          </w:tcPr>
          <w:p w14:paraId="32860998">
            <w:pPr>
              <w:pStyle w:val="11"/>
            </w:pPr>
          </w:p>
        </w:tc>
      </w:tr>
    </w:tbl>
    <w:p w14:paraId="075870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3059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95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D9C546">
            <w:pPr>
              <w:pStyle w:val="9"/>
            </w:pPr>
            <w:r>
              <w:t>360025隆尧县千户营校区</w:t>
            </w:r>
          </w:p>
        </w:tc>
        <w:tc>
          <w:tcPr>
            <w:tcW w:w="3402" w:type="dxa"/>
            <w:tcBorders>
              <w:top w:val="single" w:color="FFFFFF" w:sz="6" w:space="0"/>
              <w:left w:val="single" w:color="FFFFFF" w:sz="6" w:space="0"/>
              <w:right w:val="single" w:color="FFFFFF" w:sz="6" w:space="0"/>
            </w:tcBorders>
            <w:vAlign w:val="center"/>
          </w:tcPr>
          <w:p w14:paraId="3999381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B2340E0">
            <w:pPr>
              <w:pStyle w:val="7"/>
            </w:pPr>
            <w:r>
              <w:t>单位：万元</w:t>
            </w:r>
          </w:p>
        </w:tc>
      </w:tr>
      <w:tr w14:paraId="0ACD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D7781">
            <w:pPr>
              <w:pStyle w:val="10"/>
            </w:pPr>
            <w:r>
              <w:t>序号</w:t>
            </w:r>
          </w:p>
        </w:tc>
        <w:tc>
          <w:tcPr>
            <w:tcW w:w="4876" w:type="dxa"/>
            <w:gridSpan w:val="2"/>
            <w:vAlign w:val="center"/>
          </w:tcPr>
          <w:p w14:paraId="66D68CBA">
            <w:pPr>
              <w:pStyle w:val="10"/>
            </w:pPr>
            <w:r>
              <w:t>收入</w:t>
            </w:r>
          </w:p>
        </w:tc>
        <w:tc>
          <w:tcPr>
            <w:tcW w:w="9298" w:type="dxa"/>
            <w:gridSpan w:val="5"/>
            <w:vAlign w:val="center"/>
          </w:tcPr>
          <w:p w14:paraId="43148485">
            <w:pPr>
              <w:pStyle w:val="10"/>
            </w:pPr>
            <w:r>
              <w:t>支出</w:t>
            </w:r>
          </w:p>
        </w:tc>
      </w:tr>
      <w:tr w14:paraId="2735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601E07"/>
        </w:tc>
        <w:tc>
          <w:tcPr>
            <w:tcW w:w="3402" w:type="dxa"/>
            <w:vAlign w:val="center"/>
          </w:tcPr>
          <w:p w14:paraId="3FD685AF">
            <w:pPr>
              <w:pStyle w:val="10"/>
            </w:pPr>
            <w:r>
              <w:t>项  目</w:t>
            </w:r>
          </w:p>
        </w:tc>
        <w:tc>
          <w:tcPr>
            <w:tcW w:w="1474" w:type="dxa"/>
            <w:vAlign w:val="center"/>
          </w:tcPr>
          <w:p w14:paraId="3D1E0F7C">
            <w:pPr>
              <w:pStyle w:val="10"/>
            </w:pPr>
            <w:r>
              <w:t>金额</w:t>
            </w:r>
          </w:p>
        </w:tc>
        <w:tc>
          <w:tcPr>
            <w:tcW w:w="3402" w:type="dxa"/>
            <w:vAlign w:val="center"/>
          </w:tcPr>
          <w:p w14:paraId="0F9810F6">
            <w:pPr>
              <w:pStyle w:val="10"/>
            </w:pPr>
            <w:r>
              <w:t>项  目</w:t>
            </w:r>
          </w:p>
        </w:tc>
        <w:tc>
          <w:tcPr>
            <w:tcW w:w="1474" w:type="dxa"/>
            <w:vAlign w:val="center"/>
          </w:tcPr>
          <w:p w14:paraId="78377D8A">
            <w:pPr>
              <w:pStyle w:val="10"/>
            </w:pPr>
            <w:r>
              <w:t>合计</w:t>
            </w:r>
          </w:p>
        </w:tc>
        <w:tc>
          <w:tcPr>
            <w:tcW w:w="1474" w:type="dxa"/>
            <w:vAlign w:val="center"/>
          </w:tcPr>
          <w:p w14:paraId="38E35DE0">
            <w:pPr>
              <w:pStyle w:val="10"/>
            </w:pPr>
            <w:r>
              <w:t>一般公共预算财政拨款</w:t>
            </w:r>
          </w:p>
        </w:tc>
        <w:tc>
          <w:tcPr>
            <w:tcW w:w="1474" w:type="dxa"/>
            <w:vAlign w:val="center"/>
          </w:tcPr>
          <w:p w14:paraId="2587188D">
            <w:pPr>
              <w:pStyle w:val="10"/>
            </w:pPr>
            <w:r>
              <w:t>政府性基金预算财政    拨款</w:t>
            </w:r>
          </w:p>
        </w:tc>
        <w:tc>
          <w:tcPr>
            <w:tcW w:w="1474" w:type="dxa"/>
            <w:vAlign w:val="center"/>
          </w:tcPr>
          <w:p w14:paraId="0D6AF303">
            <w:pPr>
              <w:pStyle w:val="10"/>
            </w:pPr>
            <w:r>
              <w:t>国有资本经营预算财政拨款</w:t>
            </w:r>
          </w:p>
        </w:tc>
      </w:tr>
      <w:tr w14:paraId="27FF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53C0F2">
            <w:pPr>
              <w:pStyle w:val="10"/>
            </w:pPr>
            <w:r>
              <w:t>栏次</w:t>
            </w:r>
          </w:p>
        </w:tc>
        <w:tc>
          <w:tcPr>
            <w:tcW w:w="3402" w:type="dxa"/>
            <w:vAlign w:val="center"/>
          </w:tcPr>
          <w:p w14:paraId="21B1833E">
            <w:pPr>
              <w:pStyle w:val="10"/>
            </w:pPr>
            <w:r>
              <w:t>1</w:t>
            </w:r>
          </w:p>
        </w:tc>
        <w:tc>
          <w:tcPr>
            <w:tcW w:w="1474" w:type="dxa"/>
            <w:vAlign w:val="center"/>
          </w:tcPr>
          <w:p w14:paraId="53851A40">
            <w:pPr>
              <w:pStyle w:val="10"/>
            </w:pPr>
            <w:r>
              <w:t>2</w:t>
            </w:r>
          </w:p>
        </w:tc>
        <w:tc>
          <w:tcPr>
            <w:tcW w:w="3402" w:type="dxa"/>
            <w:vAlign w:val="center"/>
          </w:tcPr>
          <w:p w14:paraId="5FE0AF92">
            <w:pPr>
              <w:pStyle w:val="10"/>
            </w:pPr>
            <w:r>
              <w:t>3</w:t>
            </w:r>
          </w:p>
        </w:tc>
        <w:tc>
          <w:tcPr>
            <w:tcW w:w="1474" w:type="dxa"/>
            <w:vAlign w:val="center"/>
          </w:tcPr>
          <w:p w14:paraId="319B7530">
            <w:pPr>
              <w:pStyle w:val="10"/>
            </w:pPr>
            <w:r>
              <w:t>4</w:t>
            </w:r>
          </w:p>
        </w:tc>
        <w:tc>
          <w:tcPr>
            <w:tcW w:w="1474" w:type="dxa"/>
            <w:vAlign w:val="center"/>
          </w:tcPr>
          <w:p w14:paraId="4CC0DE1A">
            <w:pPr>
              <w:pStyle w:val="10"/>
            </w:pPr>
            <w:r>
              <w:t>5</w:t>
            </w:r>
          </w:p>
        </w:tc>
        <w:tc>
          <w:tcPr>
            <w:tcW w:w="1474" w:type="dxa"/>
            <w:vAlign w:val="center"/>
          </w:tcPr>
          <w:p w14:paraId="7171476C">
            <w:pPr>
              <w:pStyle w:val="10"/>
            </w:pPr>
            <w:r>
              <w:t>6</w:t>
            </w:r>
          </w:p>
        </w:tc>
        <w:tc>
          <w:tcPr>
            <w:tcW w:w="1474" w:type="dxa"/>
            <w:vAlign w:val="center"/>
          </w:tcPr>
          <w:p w14:paraId="26ABFEC8">
            <w:pPr>
              <w:pStyle w:val="10"/>
            </w:pPr>
            <w:r>
              <w:t>7</w:t>
            </w:r>
          </w:p>
        </w:tc>
      </w:tr>
      <w:tr w14:paraId="6494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D8400">
            <w:pPr>
              <w:pStyle w:val="13"/>
            </w:pPr>
            <w:r>
              <w:t>1</w:t>
            </w:r>
          </w:p>
        </w:tc>
        <w:tc>
          <w:tcPr>
            <w:tcW w:w="3402" w:type="dxa"/>
            <w:vAlign w:val="center"/>
          </w:tcPr>
          <w:p w14:paraId="26590319">
            <w:pPr>
              <w:pStyle w:val="12"/>
            </w:pPr>
            <w:r>
              <w:t>一、一般公共预算拨款</w:t>
            </w:r>
          </w:p>
        </w:tc>
        <w:tc>
          <w:tcPr>
            <w:tcW w:w="1474" w:type="dxa"/>
            <w:vAlign w:val="center"/>
          </w:tcPr>
          <w:p w14:paraId="23A5C481">
            <w:pPr>
              <w:pStyle w:val="11"/>
            </w:pPr>
            <w:r>
              <w:t>2082.45</w:t>
            </w:r>
          </w:p>
        </w:tc>
        <w:tc>
          <w:tcPr>
            <w:tcW w:w="3402" w:type="dxa"/>
            <w:vAlign w:val="center"/>
          </w:tcPr>
          <w:p w14:paraId="0E6B5339">
            <w:pPr>
              <w:pStyle w:val="12"/>
            </w:pPr>
            <w:r>
              <w:t>一、一般公共服务支出</w:t>
            </w:r>
          </w:p>
        </w:tc>
        <w:tc>
          <w:tcPr>
            <w:tcW w:w="1474" w:type="dxa"/>
            <w:vAlign w:val="center"/>
          </w:tcPr>
          <w:p w14:paraId="51451294">
            <w:pPr>
              <w:pStyle w:val="11"/>
            </w:pPr>
          </w:p>
        </w:tc>
        <w:tc>
          <w:tcPr>
            <w:tcW w:w="1474" w:type="dxa"/>
            <w:vAlign w:val="center"/>
          </w:tcPr>
          <w:p w14:paraId="70390784">
            <w:pPr>
              <w:pStyle w:val="11"/>
            </w:pPr>
          </w:p>
        </w:tc>
        <w:tc>
          <w:tcPr>
            <w:tcW w:w="1474" w:type="dxa"/>
            <w:vAlign w:val="center"/>
          </w:tcPr>
          <w:p w14:paraId="0D42A6D9">
            <w:pPr>
              <w:pStyle w:val="11"/>
            </w:pPr>
          </w:p>
        </w:tc>
        <w:tc>
          <w:tcPr>
            <w:tcW w:w="1474" w:type="dxa"/>
            <w:vAlign w:val="center"/>
          </w:tcPr>
          <w:p w14:paraId="216E30B5">
            <w:pPr>
              <w:pStyle w:val="11"/>
            </w:pPr>
          </w:p>
        </w:tc>
      </w:tr>
      <w:tr w14:paraId="4783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15774">
            <w:pPr>
              <w:pStyle w:val="13"/>
            </w:pPr>
            <w:r>
              <w:t>2</w:t>
            </w:r>
          </w:p>
        </w:tc>
        <w:tc>
          <w:tcPr>
            <w:tcW w:w="3402" w:type="dxa"/>
            <w:vAlign w:val="center"/>
          </w:tcPr>
          <w:p w14:paraId="42C5C6C8">
            <w:pPr>
              <w:pStyle w:val="12"/>
            </w:pPr>
            <w:r>
              <w:t>二、政府性基金预算拨款</w:t>
            </w:r>
          </w:p>
        </w:tc>
        <w:tc>
          <w:tcPr>
            <w:tcW w:w="1474" w:type="dxa"/>
            <w:vAlign w:val="center"/>
          </w:tcPr>
          <w:p w14:paraId="07364521">
            <w:pPr>
              <w:pStyle w:val="11"/>
            </w:pPr>
          </w:p>
        </w:tc>
        <w:tc>
          <w:tcPr>
            <w:tcW w:w="3402" w:type="dxa"/>
            <w:vAlign w:val="center"/>
          </w:tcPr>
          <w:p w14:paraId="13C6CB53">
            <w:pPr>
              <w:pStyle w:val="12"/>
            </w:pPr>
            <w:r>
              <w:t>二、外交支出</w:t>
            </w:r>
          </w:p>
        </w:tc>
        <w:tc>
          <w:tcPr>
            <w:tcW w:w="1474" w:type="dxa"/>
            <w:vAlign w:val="center"/>
          </w:tcPr>
          <w:p w14:paraId="0E484469">
            <w:pPr>
              <w:pStyle w:val="11"/>
            </w:pPr>
          </w:p>
        </w:tc>
        <w:tc>
          <w:tcPr>
            <w:tcW w:w="1474" w:type="dxa"/>
            <w:vAlign w:val="center"/>
          </w:tcPr>
          <w:p w14:paraId="270E39A8">
            <w:pPr>
              <w:pStyle w:val="11"/>
            </w:pPr>
          </w:p>
        </w:tc>
        <w:tc>
          <w:tcPr>
            <w:tcW w:w="1474" w:type="dxa"/>
            <w:vAlign w:val="center"/>
          </w:tcPr>
          <w:p w14:paraId="7D225876">
            <w:pPr>
              <w:pStyle w:val="11"/>
            </w:pPr>
          </w:p>
        </w:tc>
        <w:tc>
          <w:tcPr>
            <w:tcW w:w="1474" w:type="dxa"/>
            <w:vAlign w:val="center"/>
          </w:tcPr>
          <w:p w14:paraId="4E2B0A3E">
            <w:pPr>
              <w:pStyle w:val="11"/>
            </w:pPr>
          </w:p>
        </w:tc>
      </w:tr>
      <w:tr w14:paraId="06E5F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8A70">
            <w:pPr>
              <w:pStyle w:val="13"/>
            </w:pPr>
            <w:r>
              <w:t>3</w:t>
            </w:r>
          </w:p>
        </w:tc>
        <w:tc>
          <w:tcPr>
            <w:tcW w:w="3402" w:type="dxa"/>
            <w:vAlign w:val="center"/>
          </w:tcPr>
          <w:p w14:paraId="39FA3679">
            <w:pPr>
              <w:pStyle w:val="12"/>
            </w:pPr>
            <w:r>
              <w:t>三、国有资本经营预算拨款</w:t>
            </w:r>
          </w:p>
        </w:tc>
        <w:tc>
          <w:tcPr>
            <w:tcW w:w="1474" w:type="dxa"/>
            <w:vAlign w:val="center"/>
          </w:tcPr>
          <w:p w14:paraId="0349CD72">
            <w:pPr>
              <w:pStyle w:val="11"/>
            </w:pPr>
          </w:p>
        </w:tc>
        <w:tc>
          <w:tcPr>
            <w:tcW w:w="3402" w:type="dxa"/>
            <w:vAlign w:val="center"/>
          </w:tcPr>
          <w:p w14:paraId="69EFF5DE">
            <w:pPr>
              <w:pStyle w:val="12"/>
            </w:pPr>
            <w:r>
              <w:t>三、国防支出</w:t>
            </w:r>
          </w:p>
        </w:tc>
        <w:tc>
          <w:tcPr>
            <w:tcW w:w="1474" w:type="dxa"/>
            <w:vAlign w:val="center"/>
          </w:tcPr>
          <w:p w14:paraId="73437520">
            <w:pPr>
              <w:pStyle w:val="11"/>
            </w:pPr>
          </w:p>
        </w:tc>
        <w:tc>
          <w:tcPr>
            <w:tcW w:w="1474" w:type="dxa"/>
            <w:vAlign w:val="center"/>
          </w:tcPr>
          <w:p w14:paraId="62548362">
            <w:pPr>
              <w:pStyle w:val="11"/>
            </w:pPr>
          </w:p>
        </w:tc>
        <w:tc>
          <w:tcPr>
            <w:tcW w:w="1474" w:type="dxa"/>
            <w:vAlign w:val="center"/>
          </w:tcPr>
          <w:p w14:paraId="0F4BEFB6">
            <w:pPr>
              <w:pStyle w:val="11"/>
            </w:pPr>
          </w:p>
        </w:tc>
        <w:tc>
          <w:tcPr>
            <w:tcW w:w="1474" w:type="dxa"/>
            <w:vAlign w:val="center"/>
          </w:tcPr>
          <w:p w14:paraId="3E8D899B">
            <w:pPr>
              <w:pStyle w:val="11"/>
            </w:pPr>
          </w:p>
        </w:tc>
      </w:tr>
      <w:tr w14:paraId="13A4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83CC9">
            <w:pPr>
              <w:pStyle w:val="13"/>
            </w:pPr>
            <w:r>
              <w:t>4</w:t>
            </w:r>
          </w:p>
        </w:tc>
        <w:tc>
          <w:tcPr>
            <w:tcW w:w="3402" w:type="dxa"/>
            <w:vAlign w:val="center"/>
          </w:tcPr>
          <w:p w14:paraId="579E471C">
            <w:pPr>
              <w:pStyle w:val="12"/>
            </w:pPr>
          </w:p>
        </w:tc>
        <w:tc>
          <w:tcPr>
            <w:tcW w:w="1474" w:type="dxa"/>
            <w:vAlign w:val="center"/>
          </w:tcPr>
          <w:p w14:paraId="77CC98CC">
            <w:pPr>
              <w:pStyle w:val="11"/>
            </w:pPr>
          </w:p>
        </w:tc>
        <w:tc>
          <w:tcPr>
            <w:tcW w:w="3402" w:type="dxa"/>
            <w:vAlign w:val="center"/>
          </w:tcPr>
          <w:p w14:paraId="683A5A7E">
            <w:pPr>
              <w:pStyle w:val="12"/>
            </w:pPr>
            <w:r>
              <w:t>四、公共安全支出</w:t>
            </w:r>
          </w:p>
        </w:tc>
        <w:tc>
          <w:tcPr>
            <w:tcW w:w="1474" w:type="dxa"/>
            <w:vAlign w:val="center"/>
          </w:tcPr>
          <w:p w14:paraId="682EDABD">
            <w:pPr>
              <w:pStyle w:val="11"/>
            </w:pPr>
          </w:p>
        </w:tc>
        <w:tc>
          <w:tcPr>
            <w:tcW w:w="1474" w:type="dxa"/>
            <w:vAlign w:val="center"/>
          </w:tcPr>
          <w:p w14:paraId="18548C79">
            <w:pPr>
              <w:pStyle w:val="11"/>
            </w:pPr>
          </w:p>
        </w:tc>
        <w:tc>
          <w:tcPr>
            <w:tcW w:w="1474" w:type="dxa"/>
            <w:vAlign w:val="center"/>
          </w:tcPr>
          <w:p w14:paraId="32776B7A">
            <w:pPr>
              <w:pStyle w:val="11"/>
            </w:pPr>
          </w:p>
        </w:tc>
        <w:tc>
          <w:tcPr>
            <w:tcW w:w="1474" w:type="dxa"/>
            <w:vAlign w:val="center"/>
          </w:tcPr>
          <w:p w14:paraId="4D60D5F5">
            <w:pPr>
              <w:pStyle w:val="11"/>
            </w:pPr>
          </w:p>
        </w:tc>
      </w:tr>
      <w:tr w14:paraId="371F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81EE">
            <w:pPr>
              <w:pStyle w:val="13"/>
            </w:pPr>
            <w:r>
              <w:t>5</w:t>
            </w:r>
          </w:p>
        </w:tc>
        <w:tc>
          <w:tcPr>
            <w:tcW w:w="3402" w:type="dxa"/>
            <w:vAlign w:val="center"/>
          </w:tcPr>
          <w:p w14:paraId="1F2ABC23">
            <w:pPr>
              <w:pStyle w:val="12"/>
            </w:pPr>
          </w:p>
        </w:tc>
        <w:tc>
          <w:tcPr>
            <w:tcW w:w="1474" w:type="dxa"/>
            <w:vAlign w:val="center"/>
          </w:tcPr>
          <w:p w14:paraId="0F8E1F8C">
            <w:pPr>
              <w:pStyle w:val="11"/>
            </w:pPr>
          </w:p>
        </w:tc>
        <w:tc>
          <w:tcPr>
            <w:tcW w:w="3402" w:type="dxa"/>
            <w:vAlign w:val="center"/>
          </w:tcPr>
          <w:p w14:paraId="4910EB9D">
            <w:pPr>
              <w:pStyle w:val="12"/>
            </w:pPr>
            <w:r>
              <w:t>五、教育支出</w:t>
            </w:r>
          </w:p>
        </w:tc>
        <w:tc>
          <w:tcPr>
            <w:tcW w:w="1474" w:type="dxa"/>
            <w:vAlign w:val="center"/>
          </w:tcPr>
          <w:p w14:paraId="002DD880">
            <w:pPr>
              <w:pStyle w:val="11"/>
            </w:pPr>
            <w:r>
              <w:t>2082.45</w:t>
            </w:r>
          </w:p>
        </w:tc>
        <w:tc>
          <w:tcPr>
            <w:tcW w:w="1474" w:type="dxa"/>
            <w:vAlign w:val="center"/>
          </w:tcPr>
          <w:p w14:paraId="2205CBCB">
            <w:pPr>
              <w:pStyle w:val="11"/>
            </w:pPr>
            <w:r>
              <w:t>2082.45</w:t>
            </w:r>
          </w:p>
        </w:tc>
        <w:tc>
          <w:tcPr>
            <w:tcW w:w="1474" w:type="dxa"/>
            <w:vAlign w:val="center"/>
          </w:tcPr>
          <w:p w14:paraId="44AE0F8F">
            <w:pPr>
              <w:pStyle w:val="11"/>
            </w:pPr>
          </w:p>
        </w:tc>
        <w:tc>
          <w:tcPr>
            <w:tcW w:w="1474" w:type="dxa"/>
            <w:vAlign w:val="center"/>
          </w:tcPr>
          <w:p w14:paraId="2F7BE023">
            <w:pPr>
              <w:pStyle w:val="11"/>
            </w:pPr>
          </w:p>
        </w:tc>
      </w:tr>
      <w:tr w14:paraId="41B9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4A0A">
            <w:pPr>
              <w:pStyle w:val="13"/>
            </w:pPr>
            <w:r>
              <w:t>6</w:t>
            </w:r>
          </w:p>
        </w:tc>
        <w:tc>
          <w:tcPr>
            <w:tcW w:w="3402" w:type="dxa"/>
            <w:vAlign w:val="center"/>
          </w:tcPr>
          <w:p w14:paraId="2F2C4C38">
            <w:pPr>
              <w:pStyle w:val="12"/>
            </w:pPr>
          </w:p>
        </w:tc>
        <w:tc>
          <w:tcPr>
            <w:tcW w:w="1474" w:type="dxa"/>
            <w:vAlign w:val="center"/>
          </w:tcPr>
          <w:p w14:paraId="2CB7A290">
            <w:pPr>
              <w:pStyle w:val="11"/>
            </w:pPr>
          </w:p>
        </w:tc>
        <w:tc>
          <w:tcPr>
            <w:tcW w:w="3402" w:type="dxa"/>
            <w:vAlign w:val="center"/>
          </w:tcPr>
          <w:p w14:paraId="0EF39698">
            <w:pPr>
              <w:pStyle w:val="12"/>
            </w:pPr>
            <w:r>
              <w:t>六、科学技术支出</w:t>
            </w:r>
          </w:p>
        </w:tc>
        <w:tc>
          <w:tcPr>
            <w:tcW w:w="1474" w:type="dxa"/>
            <w:vAlign w:val="center"/>
          </w:tcPr>
          <w:p w14:paraId="0AE94460">
            <w:pPr>
              <w:pStyle w:val="11"/>
            </w:pPr>
          </w:p>
        </w:tc>
        <w:tc>
          <w:tcPr>
            <w:tcW w:w="1474" w:type="dxa"/>
            <w:vAlign w:val="center"/>
          </w:tcPr>
          <w:p w14:paraId="24457FD0">
            <w:pPr>
              <w:pStyle w:val="11"/>
            </w:pPr>
          </w:p>
        </w:tc>
        <w:tc>
          <w:tcPr>
            <w:tcW w:w="1474" w:type="dxa"/>
            <w:vAlign w:val="center"/>
          </w:tcPr>
          <w:p w14:paraId="3A11885A">
            <w:pPr>
              <w:pStyle w:val="11"/>
            </w:pPr>
          </w:p>
        </w:tc>
        <w:tc>
          <w:tcPr>
            <w:tcW w:w="1474" w:type="dxa"/>
            <w:vAlign w:val="center"/>
          </w:tcPr>
          <w:p w14:paraId="50E5C148">
            <w:pPr>
              <w:pStyle w:val="11"/>
            </w:pPr>
          </w:p>
        </w:tc>
      </w:tr>
      <w:tr w14:paraId="073F8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4A6D3">
            <w:pPr>
              <w:pStyle w:val="13"/>
            </w:pPr>
            <w:r>
              <w:t>7</w:t>
            </w:r>
          </w:p>
        </w:tc>
        <w:tc>
          <w:tcPr>
            <w:tcW w:w="3402" w:type="dxa"/>
            <w:vAlign w:val="center"/>
          </w:tcPr>
          <w:p w14:paraId="317F54DD">
            <w:pPr>
              <w:pStyle w:val="12"/>
            </w:pPr>
          </w:p>
        </w:tc>
        <w:tc>
          <w:tcPr>
            <w:tcW w:w="1474" w:type="dxa"/>
            <w:vAlign w:val="center"/>
          </w:tcPr>
          <w:p w14:paraId="33871F87">
            <w:pPr>
              <w:pStyle w:val="11"/>
            </w:pPr>
          </w:p>
        </w:tc>
        <w:tc>
          <w:tcPr>
            <w:tcW w:w="3402" w:type="dxa"/>
            <w:vAlign w:val="center"/>
          </w:tcPr>
          <w:p w14:paraId="2B62E258">
            <w:pPr>
              <w:pStyle w:val="12"/>
            </w:pPr>
            <w:r>
              <w:t>七、文化旅游体育与传媒支出</w:t>
            </w:r>
          </w:p>
        </w:tc>
        <w:tc>
          <w:tcPr>
            <w:tcW w:w="1474" w:type="dxa"/>
            <w:vAlign w:val="center"/>
          </w:tcPr>
          <w:p w14:paraId="4E134DA3">
            <w:pPr>
              <w:pStyle w:val="11"/>
            </w:pPr>
          </w:p>
        </w:tc>
        <w:tc>
          <w:tcPr>
            <w:tcW w:w="1474" w:type="dxa"/>
            <w:vAlign w:val="center"/>
          </w:tcPr>
          <w:p w14:paraId="4B911BAE">
            <w:pPr>
              <w:pStyle w:val="11"/>
            </w:pPr>
          </w:p>
        </w:tc>
        <w:tc>
          <w:tcPr>
            <w:tcW w:w="1474" w:type="dxa"/>
            <w:vAlign w:val="center"/>
          </w:tcPr>
          <w:p w14:paraId="1ECE4B3C">
            <w:pPr>
              <w:pStyle w:val="11"/>
            </w:pPr>
          </w:p>
        </w:tc>
        <w:tc>
          <w:tcPr>
            <w:tcW w:w="1474" w:type="dxa"/>
            <w:vAlign w:val="center"/>
          </w:tcPr>
          <w:p w14:paraId="179488C4">
            <w:pPr>
              <w:pStyle w:val="11"/>
            </w:pPr>
          </w:p>
        </w:tc>
      </w:tr>
      <w:tr w14:paraId="36C6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5C91C">
            <w:pPr>
              <w:pStyle w:val="13"/>
            </w:pPr>
            <w:r>
              <w:t>8</w:t>
            </w:r>
          </w:p>
        </w:tc>
        <w:tc>
          <w:tcPr>
            <w:tcW w:w="3402" w:type="dxa"/>
            <w:vAlign w:val="center"/>
          </w:tcPr>
          <w:p w14:paraId="43157E08">
            <w:pPr>
              <w:pStyle w:val="12"/>
            </w:pPr>
          </w:p>
        </w:tc>
        <w:tc>
          <w:tcPr>
            <w:tcW w:w="1474" w:type="dxa"/>
            <w:vAlign w:val="center"/>
          </w:tcPr>
          <w:p w14:paraId="6FFEABFF">
            <w:pPr>
              <w:pStyle w:val="11"/>
            </w:pPr>
          </w:p>
        </w:tc>
        <w:tc>
          <w:tcPr>
            <w:tcW w:w="3402" w:type="dxa"/>
            <w:vAlign w:val="center"/>
          </w:tcPr>
          <w:p w14:paraId="34506ACC">
            <w:pPr>
              <w:pStyle w:val="12"/>
            </w:pPr>
            <w:r>
              <w:t>八、社会保障和就业支出</w:t>
            </w:r>
          </w:p>
        </w:tc>
        <w:tc>
          <w:tcPr>
            <w:tcW w:w="1474" w:type="dxa"/>
            <w:vAlign w:val="center"/>
          </w:tcPr>
          <w:p w14:paraId="2C1B7682">
            <w:pPr>
              <w:pStyle w:val="11"/>
            </w:pPr>
          </w:p>
        </w:tc>
        <w:tc>
          <w:tcPr>
            <w:tcW w:w="1474" w:type="dxa"/>
            <w:vAlign w:val="center"/>
          </w:tcPr>
          <w:p w14:paraId="4752F65F">
            <w:pPr>
              <w:pStyle w:val="11"/>
            </w:pPr>
          </w:p>
        </w:tc>
        <w:tc>
          <w:tcPr>
            <w:tcW w:w="1474" w:type="dxa"/>
            <w:vAlign w:val="center"/>
          </w:tcPr>
          <w:p w14:paraId="43DCCDF6">
            <w:pPr>
              <w:pStyle w:val="11"/>
            </w:pPr>
          </w:p>
        </w:tc>
        <w:tc>
          <w:tcPr>
            <w:tcW w:w="1474" w:type="dxa"/>
            <w:vAlign w:val="center"/>
          </w:tcPr>
          <w:p w14:paraId="7D03394A">
            <w:pPr>
              <w:pStyle w:val="11"/>
            </w:pPr>
          </w:p>
        </w:tc>
      </w:tr>
      <w:tr w14:paraId="679A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2276B">
            <w:pPr>
              <w:pStyle w:val="13"/>
            </w:pPr>
            <w:r>
              <w:t>9</w:t>
            </w:r>
          </w:p>
        </w:tc>
        <w:tc>
          <w:tcPr>
            <w:tcW w:w="3402" w:type="dxa"/>
            <w:vAlign w:val="center"/>
          </w:tcPr>
          <w:p w14:paraId="23C0CAF0">
            <w:pPr>
              <w:pStyle w:val="12"/>
            </w:pPr>
          </w:p>
        </w:tc>
        <w:tc>
          <w:tcPr>
            <w:tcW w:w="1474" w:type="dxa"/>
            <w:vAlign w:val="center"/>
          </w:tcPr>
          <w:p w14:paraId="2351532B">
            <w:pPr>
              <w:pStyle w:val="11"/>
            </w:pPr>
          </w:p>
        </w:tc>
        <w:tc>
          <w:tcPr>
            <w:tcW w:w="3402" w:type="dxa"/>
            <w:vAlign w:val="center"/>
          </w:tcPr>
          <w:p w14:paraId="43BBE49B">
            <w:pPr>
              <w:pStyle w:val="12"/>
            </w:pPr>
            <w:r>
              <w:t>九、社会保险基金支出</w:t>
            </w:r>
          </w:p>
        </w:tc>
        <w:tc>
          <w:tcPr>
            <w:tcW w:w="1474" w:type="dxa"/>
            <w:vAlign w:val="center"/>
          </w:tcPr>
          <w:p w14:paraId="7D194D9D">
            <w:pPr>
              <w:pStyle w:val="11"/>
            </w:pPr>
          </w:p>
        </w:tc>
        <w:tc>
          <w:tcPr>
            <w:tcW w:w="1474" w:type="dxa"/>
            <w:vAlign w:val="center"/>
          </w:tcPr>
          <w:p w14:paraId="6B038902">
            <w:pPr>
              <w:pStyle w:val="11"/>
            </w:pPr>
          </w:p>
        </w:tc>
        <w:tc>
          <w:tcPr>
            <w:tcW w:w="1474" w:type="dxa"/>
            <w:vAlign w:val="center"/>
          </w:tcPr>
          <w:p w14:paraId="597A9886">
            <w:pPr>
              <w:pStyle w:val="11"/>
            </w:pPr>
          </w:p>
        </w:tc>
        <w:tc>
          <w:tcPr>
            <w:tcW w:w="1474" w:type="dxa"/>
            <w:vAlign w:val="center"/>
          </w:tcPr>
          <w:p w14:paraId="6ECD02A7">
            <w:pPr>
              <w:pStyle w:val="11"/>
            </w:pPr>
          </w:p>
        </w:tc>
      </w:tr>
      <w:tr w14:paraId="0954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F8C0">
            <w:pPr>
              <w:pStyle w:val="13"/>
            </w:pPr>
            <w:r>
              <w:t>10</w:t>
            </w:r>
          </w:p>
        </w:tc>
        <w:tc>
          <w:tcPr>
            <w:tcW w:w="3402" w:type="dxa"/>
            <w:vAlign w:val="center"/>
          </w:tcPr>
          <w:p w14:paraId="2003625D">
            <w:pPr>
              <w:pStyle w:val="12"/>
            </w:pPr>
          </w:p>
        </w:tc>
        <w:tc>
          <w:tcPr>
            <w:tcW w:w="1474" w:type="dxa"/>
            <w:vAlign w:val="center"/>
          </w:tcPr>
          <w:p w14:paraId="2D081E2A">
            <w:pPr>
              <w:pStyle w:val="11"/>
            </w:pPr>
          </w:p>
        </w:tc>
        <w:tc>
          <w:tcPr>
            <w:tcW w:w="3402" w:type="dxa"/>
            <w:vAlign w:val="center"/>
          </w:tcPr>
          <w:p w14:paraId="04C2CCB7">
            <w:pPr>
              <w:pStyle w:val="12"/>
            </w:pPr>
            <w:r>
              <w:t>十、卫生健康支出</w:t>
            </w:r>
          </w:p>
        </w:tc>
        <w:tc>
          <w:tcPr>
            <w:tcW w:w="1474" w:type="dxa"/>
            <w:vAlign w:val="center"/>
          </w:tcPr>
          <w:p w14:paraId="5CE23CEC">
            <w:pPr>
              <w:pStyle w:val="11"/>
            </w:pPr>
          </w:p>
        </w:tc>
        <w:tc>
          <w:tcPr>
            <w:tcW w:w="1474" w:type="dxa"/>
            <w:vAlign w:val="center"/>
          </w:tcPr>
          <w:p w14:paraId="10231AF4">
            <w:pPr>
              <w:pStyle w:val="11"/>
            </w:pPr>
          </w:p>
        </w:tc>
        <w:tc>
          <w:tcPr>
            <w:tcW w:w="1474" w:type="dxa"/>
            <w:vAlign w:val="center"/>
          </w:tcPr>
          <w:p w14:paraId="08DA443D">
            <w:pPr>
              <w:pStyle w:val="11"/>
            </w:pPr>
          </w:p>
        </w:tc>
        <w:tc>
          <w:tcPr>
            <w:tcW w:w="1474" w:type="dxa"/>
            <w:vAlign w:val="center"/>
          </w:tcPr>
          <w:p w14:paraId="698EEE45">
            <w:pPr>
              <w:pStyle w:val="11"/>
            </w:pPr>
          </w:p>
        </w:tc>
      </w:tr>
      <w:tr w14:paraId="76C7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A4A06">
            <w:pPr>
              <w:pStyle w:val="13"/>
            </w:pPr>
            <w:r>
              <w:t>11</w:t>
            </w:r>
          </w:p>
        </w:tc>
        <w:tc>
          <w:tcPr>
            <w:tcW w:w="3402" w:type="dxa"/>
            <w:vAlign w:val="center"/>
          </w:tcPr>
          <w:p w14:paraId="3D277E26">
            <w:pPr>
              <w:pStyle w:val="12"/>
            </w:pPr>
          </w:p>
        </w:tc>
        <w:tc>
          <w:tcPr>
            <w:tcW w:w="1474" w:type="dxa"/>
            <w:vAlign w:val="center"/>
          </w:tcPr>
          <w:p w14:paraId="625CD3E5">
            <w:pPr>
              <w:pStyle w:val="11"/>
            </w:pPr>
          </w:p>
        </w:tc>
        <w:tc>
          <w:tcPr>
            <w:tcW w:w="3402" w:type="dxa"/>
            <w:vAlign w:val="center"/>
          </w:tcPr>
          <w:p w14:paraId="589848AB">
            <w:pPr>
              <w:pStyle w:val="12"/>
            </w:pPr>
            <w:r>
              <w:t>十一、节能环保支出</w:t>
            </w:r>
          </w:p>
        </w:tc>
        <w:tc>
          <w:tcPr>
            <w:tcW w:w="1474" w:type="dxa"/>
            <w:vAlign w:val="center"/>
          </w:tcPr>
          <w:p w14:paraId="5E79CDE3">
            <w:pPr>
              <w:pStyle w:val="11"/>
            </w:pPr>
          </w:p>
        </w:tc>
        <w:tc>
          <w:tcPr>
            <w:tcW w:w="1474" w:type="dxa"/>
            <w:vAlign w:val="center"/>
          </w:tcPr>
          <w:p w14:paraId="36DE77CF">
            <w:pPr>
              <w:pStyle w:val="11"/>
            </w:pPr>
          </w:p>
        </w:tc>
        <w:tc>
          <w:tcPr>
            <w:tcW w:w="1474" w:type="dxa"/>
            <w:vAlign w:val="center"/>
          </w:tcPr>
          <w:p w14:paraId="3E6D6350">
            <w:pPr>
              <w:pStyle w:val="11"/>
            </w:pPr>
          </w:p>
        </w:tc>
        <w:tc>
          <w:tcPr>
            <w:tcW w:w="1474" w:type="dxa"/>
            <w:vAlign w:val="center"/>
          </w:tcPr>
          <w:p w14:paraId="301FD945">
            <w:pPr>
              <w:pStyle w:val="11"/>
            </w:pPr>
          </w:p>
        </w:tc>
      </w:tr>
      <w:tr w14:paraId="7464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163F6">
            <w:pPr>
              <w:pStyle w:val="13"/>
            </w:pPr>
            <w:r>
              <w:t>12</w:t>
            </w:r>
          </w:p>
        </w:tc>
        <w:tc>
          <w:tcPr>
            <w:tcW w:w="3402" w:type="dxa"/>
            <w:vAlign w:val="center"/>
          </w:tcPr>
          <w:p w14:paraId="3589C797">
            <w:pPr>
              <w:pStyle w:val="12"/>
            </w:pPr>
          </w:p>
        </w:tc>
        <w:tc>
          <w:tcPr>
            <w:tcW w:w="1474" w:type="dxa"/>
            <w:vAlign w:val="center"/>
          </w:tcPr>
          <w:p w14:paraId="2AF4C391">
            <w:pPr>
              <w:pStyle w:val="11"/>
            </w:pPr>
          </w:p>
        </w:tc>
        <w:tc>
          <w:tcPr>
            <w:tcW w:w="3402" w:type="dxa"/>
            <w:vAlign w:val="center"/>
          </w:tcPr>
          <w:p w14:paraId="15FD7D69">
            <w:pPr>
              <w:pStyle w:val="12"/>
            </w:pPr>
            <w:r>
              <w:t>十二、城乡社区支出</w:t>
            </w:r>
          </w:p>
        </w:tc>
        <w:tc>
          <w:tcPr>
            <w:tcW w:w="1474" w:type="dxa"/>
            <w:vAlign w:val="center"/>
          </w:tcPr>
          <w:p w14:paraId="6D3FD279">
            <w:pPr>
              <w:pStyle w:val="11"/>
            </w:pPr>
          </w:p>
        </w:tc>
        <w:tc>
          <w:tcPr>
            <w:tcW w:w="1474" w:type="dxa"/>
            <w:vAlign w:val="center"/>
          </w:tcPr>
          <w:p w14:paraId="4203FC5A">
            <w:pPr>
              <w:pStyle w:val="11"/>
            </w:pPr>
          </w:p>
        </w:tc>
        <w:tc>
          <w:tcPr>
            <w:tcW w:w="1474" w:type="dxa"/>
            <w:vAlign w:val="center"/>
          </w:tcPr>
          <w:p w14:paraId="1DA679BE">
            <w:pPr>
              <w:pStyle w:val="11"/>
            </w:pPr>
          </w:p>
        </w:tc>
        <w:tc>
          <w:tcPr>
            <w:tcW w:w="1474" w:type="dxa"/>
            <w:vAlign w:val="center"/>
          </w:tcPr>
          <w:p w14:paraId="68DCB8E2">
            <w:pPr>
              <w:pStyle w:val="11"/>
            </w:pPr>
          </w:p>
        </w:tc>
      </w:tr>
      <w:tr w14:paraId="1F49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124AA">
            <w:pPr>
              <w:pStyle w:val="13"/>
            </w:pPr>
            <w:r>
              <w:t>13</w:t>
            </w:r>
          </w:p>
        </w:tc>
        <w:tc>
          <w:tcPr>
            <w:tcW w:w="3402" w:type="dxa"/>
            <w:vAlign w:val="center"/>
          </w:tcPr>
          <w:p w14:paraId="7F1393C5">
            <w:pPr>
              <w:pStyle w:val="12"/>
            </w:pPr>
          </w:p>
        </w:tc>
        <w:tc>
          <w:tcPr>
            <w:tcW w:w="1474" w:type="dxa"/>
            <w:vAlign w:val="center"/>
          </w:tcPr>
          <w:p w14:paraId="62B762F7">
            <w:pPr>
              <w:pStyle w:val="11"/>
            </w:pPr>
          </w:p>
        </w:tc>
        <w:tc>
          <w:tcPr>
            <w:tcW w:w="3402" w:type="dxa"/>
            <w:vAlign w:val="center"/>
          </w:tcPr>
          <w:p w14:paraId="702B124B">
            <w:pPr>
              <w:pStyle w:val="12"/>
            </w:pPr>
            <w:r>
              <w:t>十三、农林水支出</w:t>
            </w:r>
          </w:p>
        </w:tc>
        <w:tc>
          <w:tcPr>
            <w:tcW w:w="1474" w:type="dxa"/>
            <w:vAlign w:val="center"/>
          </w:tcPr>
          <w:p w14:paraId="2B15D5FB">
            <w:pPr>
              <w:pStyle w:val="11"/>
            </w:pPr>
          </w:p>
        </w:tc>
        <w:tc>
          <w:tcPr>
            <w:tcW w:w="1474" w:type="dxa"/>
            <w:vAlign w:val="center"/>
          </w:tcPr>
          <w:p w14:paraId="6ACFFA6D">
            <w:pPr>
              <w:pStyle w:val="11"/>
            </w:pPr>
          </w:p>
        </w:tc>
        <w:tc>
          <w:tcPr>
            <w:tcW w:w="1474" w:type="dxa"/>
            <w:vAlign w:val="center"/>
          </w:tcPr>
          <w:p w14:paraId="5ED6D4ED">
            <w:pPr>
              <w:pStyle w:val="11"/>
            </w:pPr>
          </w:p>
        </w:tc>
        <w:tc>
          <w:tcPr>
            <w:tcW w:w="1474" w:type="dxa"/>
            <w:vAlign w:val="center"/>
          </w:tcPr>
          <w:p w14:paraId="2C6B5C56">
            <w:pPr>
              <w:pStyle w:val="11"/>
            </w:pPr>
          </w:p>
        </w:tc>
      </w:tr>
      <w:tr w14:paraId="005E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BBFB9">
            <w:pPr>
              <w:pStyle w:val="13"/>
            </w:pPr>
            <w:r>
              <w:t>14</w:t>
            </w:r>
          </w:p>
        </w:tc>
        <w:tc>
          <w:tcPr>
            <w:tcW w:w="3402" w:type="dxa"/>
            <w:vAlign w:val="center"/>
          </w:tcPr>
          <w:p w14:paraId="7B3885B8">
            <w:pPr>
              <w:pStyle w:val="12"/>
            </w:pPr>
          </w:p>
        </w:tc>
        <w:tc>
          <w:tcPr>
            <w:tcW w:w="1474" w:type="dxa"/>
            <w:vAlign w:val="center"/>
          </w:tcPr>
          <w:p w14:paraId="36957C48">
            <w:pPr>
              <w:pStyle w:val="11"/>
            </w:pPr>
          </w:p>
        </w:tc>
        <w:tc>
          <w:tcPr>
            <w:tcW w:w="3402" w:type="dxa"/>
            <w:vAlign w:val="center"/>
          </w:tcPr>
          <w:p w14:paraId="510B552D">
            <w:pPr>
              <w:pStyle w:val="12"/>
            </w:pPr>
            <w:r>
              <w:t>十四、交通运输支出</w:t>
            </w:r>
          </w:p>
        </w:tc>
        <w:tc>
          <w:tcPr>
            <w:tcW w:w="1474" w:type="dxa"/>
            <w:vAlign w:val="center"/>
          </w:tcPr>
          <w:p w14:paraId="741F1487">
            <w:pPr>
              <w:pStyle w:val="11"/>
            </w:pPr>
          </w:p>
        </w:tc>
        <w:tc>
          <w:tcPr>
            <w:tcW w:w="1474" w:type="dxa"/>
            <w:vAlign w:val="center"/>
          </w:tcPr>
          <w:p w14:paraId="77FCF1D3">
            <w:pPr>
              <w:pStyle w:val="11"/>
            </w:pPr>
          </w:p>
        </w:tc>
        <w:tc>
          <w:tcPr>
            <w:tcW w:w="1474" w:type="dxa"/>
            <w:vAlign w:val="center"/>
          </w:tcPr>
          <w:p w14:paraId="7E08F2FA">
            <w:pPr>
              <w:pStyle w:val="11"/>
            </w:pPr>
          </w:p>
        </w:tc>
        <w:tc>
          <w:tcPr>
            <w:tcW w:w="1474" w:type="dxa"/>
            <w:vAlign w:val="center"/>
          </w:tcPr>
          <w:p w14:paraId="413A652B">
            <w:pPr>
              <w:pStyle w:val="11"/>
            </w:pPr>
          </w:p>
        </w:tc>
      </w:tr>
      <w:tr w14:paraId="26C7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895F2">
            <w:pPr>
              <w:pStyle w:val="13"/>
            </w:pPr>
            <w:r>
              <w:t>15</w:t>
            </w:r>
          </w:p>
        </w:tc>
        <w:tc>
          <w:tcPr>
            <w:tcW w:w="3402" w:type="dxa"/>
            <w:vAlign w:val="center"/>
          </w:tcPr>
          <w:p w14:paraId="3916DF37">
            <w:pPr>
              <w:pStyle w:val="12"/>
            </w:pPr>
          </w:p>
        </w:tc>
        <w:tc>
          <w:tcPr>
            <w:tcW w:w="1474" w:type="dxa"/>
            <w:vAlign w:val="center"/>
          </w:tcPr>
          <w:p w14:paraId="0F368511">
            <w:pPr>
              <w:pStyle w:val="11"/>
            </w:pPr>
          </w:p>
        </w:tc>
        <w:tc>
          <w:tcPr>
            <w:tcW w:w="3402" w:type="dxa"/>
            <w:vAlign w:val="center"/>
          </w:tcPr>
          <w:p w14:paraId="25634F72">
            <w:pPr>
              <w:pStyle w:val="12"/>
            </w:pPr>
            <w:r>
              <w:t>十五、资源勘探工业信息等支出</w:t>
            </w:r>
          </w:p>
        </w:tc>
        <w:tc>
          <w:tcPr>
            <w:tcW w:w="1474" w:type="dxa"/>
            <w:vAlign w:val="center"/>
          </w:tcPr>
          <w:p w14:paraId="3734F4DB">
            <w:pPr>
              <w:pStyle w:val="11"/>
            </w:pPr>
          </w:p>
        </w:tc>
        <w:tc>
          <w:tcPr>
            <w:tcW w:w="1474" w:type="dxa"/>
            <w:vAlign w:val="center"/>
          </w:tcPr>
          <w:p w14:paraId="3759FE7D">
            <w:pPr>
              <w:pStyle w:val="11"/>
            </w:pPr>
          </w:p>
        </w:tc>
        <w:tc>
          <w:tcPr>
            <w:tcW w:w="1474" w:type="dxa"/>
            <w:vAlign w:val="center"/>
          </w:tcPr>
          <w:p w14:paraId="38C09FF0">
            <w:pPr>
              <w:pStyle w:val="11"/>
            </w:pPr>
          </w:p>
        </w:tc>
        <w:tc>
          <w:tcPr>
            <w:tcW w:w="1474" w:type="dxa"/>
            <w:vAlign w:val="center"/>
          </w:tcPr>
          <w:p w14:paraId="257D2DCE">
            <w:pPr>
              <w:pStyle w:val="11"/>
            </w:pPr>
          </w:p>
        </w:tc>
      </w:tr>
      <w:tr w14:paraId="2EEA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C5BD1">
            <w:pPr>
              <w:pStyle w:val="13"/>
            </w:pPr>
            <w:r>
              <w:t>16</w:t>
            </w:r>
          </w:p>
        </w:tc>
        <w:tc>
          <w:tcPr>
            <w:tcW w:w="3402" w:type="dxa"/>
            <w:vAlign w:val="center"/>
          </w:tcPr>
          <w:p w14:paraId="74F3A3E1">
            <w:pPr>
              <w:pStyle w:val="12"/>
            </w:pPr>
          </w:p>
        </w:tc>
        <w:tc>
          <w:tcPr>
            <w:tcW w:w="1474" w:type="dxa"/>
            <w:vAlign w:val="center"/>
          </w:tcPr>
          <w:p w14:paraId="3397A83A">
            <w:pPr>
              <w:pStyle w:val="11"/>
            </w:pPr>
          </w:p>
        </w:tc>
        <w:tc>
          <w:tcPr>
            <w:tcW w:w="3402" w:type="dxa"/>
            <w:vAlign w:val="center"/>
          </w:tcPr>
          <w:p w14:paraId="71A0ADF2">
            <w:pPr>
              <w:pStyle w:val="12"/>
            </w:pPr>
            <w:r>
              <w:t>十六、商业服务业等支出</w:t>
            </w:r>
          </w:p>
        </w:tc>
        <w:tc>
          <w:tcPr>
            <w:tcW w:w="1474" w:type="dxa"/>
            <w:vAlign w:val="center"/>
          </w:tcPr>
          <w:p w14:paraId="151D04FB">
            <w:pPr>
              <w:pStyle w:val="11"/>
            </w:pPr>
          </w:p>
        </w:tc>
        <w:tc>
          <w:tcPr>
            <w:tcW w:w="1474" w:type="dxa"/>
            <w:vAlign w:val="center"/>
          </w:tcPr>
          <w:p w14:paraId="1F1BAA10">
            <w:pPr>
              <w:pStyle w:val="11"/>
            </w:pPr>
          </w:p>
        </w:tc>
        <w:tc>
          <w:tcPr>
            <w:tcW w:w="1474" w:type="dxa"/>
            <w:vAlign w:val="center"/>
          </w:tcPr>
          <w:p w14:paraId="740D2F39">
            <w:pPr>
              <w:pStyle w:val="11"/>
            </w:pPr>
          </w:p>
        </w:tc>
        <w:tc>
          <w:tcPr>
            <w:tcW w:w="1474" w:type="dxa"/>
            <w:vAlign w:val="center"/>
          </w:tcPr>
          <w:p w14:paraId="4878C691">
            <w:pPr>
              <w:pStyle w:val="11"/>
            </w:pPr>
          </w:p>
        </w:tc>
      </w:tr>
      <w:tr w14:paraId="11FE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418A">
            <w:pPr>
              <w:pStyle w:val="13"/>
            </w:pPr>
            <w:r>
              <w:t>17</w:t>
            </w:r>
          </w:p>
        </w:tc>
        <w:tc>
          <w:tcPr>
            <w:tcW w:w="3402" w:type="dxa"/>
            <w:vAlign w:val="center"/>
          </w:tcPr>
          <w:p w14:paraId="52E50122">
            <w:pPr>
              <w:pStyle w:val="12"/>
            </w:pPr>
          </w:p>
        </w:tc>
        <w:tc>
          <w:tcPr>
            <w:tcW w:w="1474" w:type="dxa"/>
            <w:vAlign w:val="center"/>
          </w:tcPr>
          <w:p w14:paraId="4E63028D">
            <w:pPr>
              <w:pStyle w:val="11"/>
            </w:pPr>
          </w:p>
        </w:tc>
        <w:tc>
          <w:tcPr>
            <w:tcW w:w="3402" w:type="dxa"/>
            <w:vAlign w:val="center"/>
          </w:tcPr>
          <w:p w14:paraId="4ED6035C">
            <w:pPr>
              <w:pStyle w:val="12"/>
            </w:pPr>
            <w:r>
              <w:t>十七、金融支出</w:t>
            </w:r>
          </w:p>
        </w:tc>
        <w:tc>
          <w:tcPr>
            <w:tcW w:w="1474" w:type="dxa"/>
            <w:vAlign w:val="center"/>
          </w:tcPr>
          <w:p w14:paraId="390BA160">
            <w:pPr>
              <w:pStyle w:val="11"/>
            </w:pPr>
          </w:p>
        </w:tc>
        <w:tc>
          <w:tcPr>
            <w:tcW w:w="1474" w:type="dxa"/>
            <w:vAlign w:val="center"/>
          </w:tcPr>
          <w:p w14:paraId="3D23994D">
            <w:pPr>
              <w:pStyle w:val="11"/>
            </w:pPr>
          </w:p>
        </w:tc>
        <w:tc>
          <w:tcPr>
            <w:tcW w:w="1474" w:type="dxa"/>
            <w:vAlign w:val="center"/>
          </w:tcPr>
          <w:p w14:paraId="3A0C7486">
            <w:pPr>
              <w:pStyle w:val="11"/>
            </w:pPr>
          </w:p>
        </w:tc>
        <w:tc>
          <w:tcPr>
            <w:tcW w:w="1474" w:type="dxa"/>
            <w:vAlign w:val="center"/>
          </w:tcPr>
          <w:p w14:paraId="27721388">
            <w:pPr>
              <w:pStyle w:val="11"/>
            </w:pPr>
          </w:p>
        </w:tc>
      </w:tr>
      <w:tr w14:paraId="74E1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19774">
            <w:pPr>
              <w:pStyle w:val="13"/>
            </w:pPr>
            <w:r>
              <w:t>18</w:t>
            </w:r>
          </w:p>
        </w:tc>
        <w:tc>
          <w:tcPr>
            <w:tcW w:w="3402" w:type="dxa"/>
            <w:vAlign w:val="center"/>
          </w:tcPr>
          <w:p w14:paraId="7CDAA179">
            <w:pPr>
              <w:pStyle w:val="12"/>
            </w:pPr>
          </w:p>
        </w:tc>
        <w:tc>
          <w:tcPr>
            <w:tcW w:w="1474" w:type="dxa"/>
            <w:vAlign w:val="center"/>
          </w:tcPr>
          <w:p w14:paraId="69930FB3">
            <w:pPr>
              <w:pStyle w:val="11"/>
            </w:pPr>
          </w:p>
        </w:tc>
        <w:tc>
          <w:tcPr>
            <w:tcW w:w="3402" w:type="dxa"/>
            <w:vAlign w:val="center"/>
          </w:tcPr>
          <w:p w14:paraId="2637C69E">
            <w:pPr>
              <w:pStyle w:val="12"/>
            </w:pPr>
            <w:r>
              <w:t>十八、援助其他地区支出</w:t>
            </w:r>
          </w:p>
        </w:tc>
        <w:tc>
          <w:tcPr>
            <w:tcW w:w="1474" w:type="dxa"/>
            <w:vAlign w:val="center"/>
          </w:tcPr>
          <w:p w14:paraId="336F2773">
            <w:pPr>
              <w:pStyle w:val="11"/>
            </w:pPr>
          </w:p>
        </w:tc>
        <w:tc>
          <w:tcPr>
            <w:tcW w:w="1474" w:type="dxa"/>
            <w:vAlign w:val="center"/>
          </w:tcPr>
          <w:p w14:paraId="3CDC15B1">
            <w:pPr>
              <w:pStyle w:val="11"/>
            </w:pPr>
          </w:p>
        </w:tc>
        <w:tc>
          <w:tcPr>
            <w:tcW w:w="1474" w:type="dxa"/>
            <w:vAlign w:val="center"/>
          </w:tcPr>
          <w:p w14:paraId="318BBFA3">
            <w:pPr>
              <w:pStyle w:val="11"/>
            </w:pPr>
          </w:p>
        </w:tc>
        <w:tc>
          <w:tcPr>
            <w:tcW w:w="1474" w:type="dxa"/>
            <w:vAlign w:val="center"/>
          </w:tcPr>
          <w:p w14:paraId="76D753E6">
            <w:pPr>
              <w:pStyle w:val="11"/>
            </w:pPr>
          </w:p>
        </w:tc>
      </w:tr>
      <w:tr w14:paraId="1CA5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4885A">
            <w:pPr>
              <w:pStyle w:val="13"/>
            </w:pPr>
            <w:r>
              <w:t>19</w:t>
            </w:r>
          </w:p>
        </w:tc>
        <w:tc>
          <w:tcPr>
            <w:tcW w:w="3402" w:type="dxa"/>
            <w:vAlign w:val="center"/>
          </w:tcPr>
          <w:p w14:paraId="56C22C03">
            <w:pPr>
              <w:pStyle w:val="12"/>
            </w:pPr>
          </w:p>
        </w:tc>
        <w:tc>
          <w:tcPr>
            <w:tcW w:w="1474" w:type="dxa"/>
            <w:vAlign w:val="center"/>
          </w:tcPr>
          <w:p w14:paraId="3E87119A">
            <w:pPr>
              <w:pStyle w:val="11"/>
            </w:pPr>
          </w:p>
        </w:tc>
        <w:tc>
          <w:tcPr>
            <w:tcW w:w="3402" w:type="dxa"/>
            <w:vAlign w:val="center"/>
          </w:tcPr>
          <w:p w14:paraId="7396EB34">
            <w:pPr>
              <w:pStyle w:val="12"/>
            </w:pPr>
            <w:r>
              <w:t>十九、自然资源海洋气象等支出</w:t>
            </w:r>
          </w:p>
        </w:tc>
        <w:tc>
          <w:tcPr>
            <w:tcW w:w="1474" w:type="dxa"/>
            <w:vAlign w:val="center"/>
          </w:tcPr>
          <w:p w14:paraId="34BD8E05">
            <w:pPr>
              <w:pStyle w:val="11"/>
            </w:pPr>
          </w:p>
        </w:tc>
        <w:tc>
          <w:tcPr>
            <w:tcW w:w="1474" w:type="dxa"/>
            <w:vAlign w:val="center"/>
          </w:tcPr>
          <w:p w14:paraId="43604B09">
            <w:pPr>
              <w:pStyle w:val="11"/>
            </w:pPr>
          </w:p>
        </w:tc>
        <w:tc>
          <w:tcPr>
            <w:tcW w:w="1474" w:type="dxa"/>
            <w:vAlign w:val="center"/>
          </w:tcPr>
          <w:p w14:paraId="76DEFDCE">
            <w:pPr>
              <w:pStyle w:val="11"/>
            </w:pPr>
          </w:p>
        </w:tc>
        <w:tc>
          <w:tcPr>
            <w:tcW w:w="1474" w:type="dxa"/>
            <w:vAlign w:val="center"/>
          </w:tcPr>
          <w:p w14:paraId="6BA11BF0">
            <w:pPr>
              <w:pStyle w:val="11"/>
            </w:pPr>
          </w:p>
        </w:tc>
      </w:tr>
      <w:tr w14:paraId="0B24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2551">
            <w:pPr>
              <w:pStyle w:val="13"/>
            </w:pPr>
            <w:r>
              <w:t>20</w:t>
            </w:r>
          </w:p>
        </w:tc>
        <w:tc>
          <w:tcPr>
            <w:tcW w:w="3402" w:type="dxa"/>
            <w:vAlign w:val="center"/>
          </w:tcPr>
          <w:p w14:paraId="2AAE70BA">
            <w:pPr>
              <w:pStyle w:val="12"/>
            </w:pPr>
          </w:p>
        </w:tc>
        <w:tc>
          <w:tcPr>
            <w:tcW w:w="1474" w:type="dxa"/>
            <w:vAlign w:val="center"/>
          </w:tcPr>
          <w:p w14:paraId="317870EF">
            <w:pPr>
              <w:pStyle w:val="11"/>
            </w:pPr>
          </w:p>
        </w:tc>
        <w:tc>
          <w:tcPr>
            <w:tcW w:w="3402" w:type="dxa"/>
            <w:vAlign w:val="center"/>
          </w:tcPr>
          <w:p w14:paraId="09663466">
            <w:pPr>
              <w:pStyle w:val="12"/>
            </w:pPr>
            <w:r>
              <w:t>二十、住房保障支出</w:t>
            </w:r>
          </w:p>
        </w:tc>
        <w:tc>
          <w:tcPr>
            <w:tcW w:w="1474" w:type="dxa"/>
            <w:vAlign w:val="center"/>
          </w:tcPr>
          <w:p w14:paraId="5BC9887C">
            <w:pPr>
              <w:pStyle w:val="11"/>
            </w:pPr>
          </w:p>
        </w:tc>
        <w:tc>
          <w:tcPr>
            <w:tcW w:w="1474" w:type="dxa"/>
            <w:vAlign w:val="center"/>
          </w:tcPr>
          <w:p w14:paraId="2AC3327C">
            <w:pPr>
              <w:pStyle w:val="11"/>
            </w:pPr>
          </w:p>
        </w:tc>
        <w:tc>
          <w:tcPr>
            <w:tcW w:w="1474" w:type="dxa"/>
            <w:vAlign w:val="center"/>
          </w:tcPr>
          <w:p w14:paraId="11CE9BF7">
            <w:pPr>
              <w:pStyle w:val="11"/>
            </w:pPr>
          </w:p>
        </w:tc>
        <w:tc>
          <w:tcPr>
            <w:tcW w:w="1474" w:type="dxa"/>
            <w:vAlign w:val="center"/>
          </w:tcPr>
          <w:p w14:paraId="2BDB7F03">
            <w:pPr>
              <w:pStyle w:val="11"/>
            </w:pPr>
          </w:p>
        </w:tc>
      </w:tr>
      <w:tr w14:paraId="727C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D1A2">
            <w:pPr>
              <w:pStyle w:val="13"/>
            </w:pPr>
            <w:r>
              <w:t>21</w:t>
            </w:r>
          </w:p>
        </w:tc>
        <w:tc>
          <w:tcPr>
            <w:tcW w:w="3402" w:type="dxa"/>
            <w:vAlign w:val="center"/>
          </w:tcPr>
          <w:p w14:paraId="005D7E36">
            <w:pPr>
              <w:pStyle w:val="12"/>
            </w:pPr>
          </w:p>
        </w:tc>
        <w:tc>
          <w:tcPr>
            <w:tcW w:w="1474" w:type="dxa"/>
            <w:vAlign w:val="center"/>
          </w:tcPr>
          <w:p w14:paraId="19FAB375">
            <w:pPr>
              <w:pStyle w:val="11"/>
            </w:pPr>
          </w:p>
        </w:tc>
        <w:tc>
          <w:tcPr>
            <w:tcW w:w="3402" w:type="dxa"/>
            <w:vAlign w:val="center"/>
          </w:tcPr>
          <w:p w14:paraId="6AAADEA4">
            <w:pPr>
              <w:pStyle w:val="12"/>
            </w:pPr>
            <w:r>
              <w:t>二十一、粮油物资储备支出</w:t>
            </w:r>
          </w:p>
        </w:tc>
        <w:tc>
          <w:tcPr>
            <w:tcW w:w="1474" w:type="dxa"/>
            <w:vAlign w:val="center"/>
          </w:tcPr>
          <w:p w14:paraId="448E9B79">
            <w:pPr>
              <w:pStyle w:val="11"/>
            </w:pPr>
          </w:p>
        </w:tc>
        <w:tc>
          <w:tcPr>
            <w:tcW w:w="1474" w:type="dxa"/>
            <w:vAlign w:val="center"/>
          </w:tcPr>
          <w:p w14:paraId="241D2741">
            <w:pPr>
              <w:pStyle w:val="11"/>
            </w:pPr>
          </w:p>
        </w:tc>
        <w:tc>
          <w:tcPr>
            <w:tcW w:w="1474" w:type="dxa"/>
            <w:vAlign w:val="center"/>
          </w:tcPr>
          <w:p w14:paraId="17803BA2">
            <w:pPr>
              <w:pStyle w:val="11"/>
            </w:pPr>
          </w:p>
        </w:tc>
        <w:tc>
          <w:tcPr>
            <w:tcW w:w="1474" w:type="dxa"/>
            <w:vAlign w:val="center"/>
          </w:tcPr>
          <w:p w14:paraId="21E080EC">
            <w:pPr>
              <w:pStyle w:val="11"/>
            </w:pPr>
          </w:p>
        </w:tc>
      </w:tr>
      <w:tr w14:paraId="5599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E996">
            <w:pPr>
              <w:pStyle w:val="13"/>
            </w:pPr>
            <w:r>
              <w:t>22</w:t>
            </w:r>
          </w:p>
        </w:tc>
        <w:tc>
          <w:tcPr>
            <w:tcW w:w="3402" w:type="dxa"/>
            <w:vAlign w:val="center"/>
          </w:tcPr>
          <w:p w14:paraId="10CCEFF8">
            <w:pPr>
              <w:pStyle w:val="12"/>
            </w:pPr>
          </w:p>
        </w:tc>
        <w:tc>
          <w:tcPr>
            <w:tcW w:w="1474" w:type="dxa"/>
            <w:vAlign w:val="center"/>
          </w:tcPr>
          <w:p w14:paraId="459EDDCB">
            <w:pPr>
              <w:pStyle w:val="11"/>
            </w:pPr>
          </w:p>
        </w:tc>
        <w:tc>
          <w:tcPr>
            <w:tcW w:w="3402" w:type="dxa"/>
            <w:vAlign w:val="center"/>
          </w:tcPr>
          <w:p w14:paraId="3BF1EC26">
            <w:pPr>
              <w:pStyle w:val="12"/>
            </w:pPr>
            <w:r>
              <w:t>二十二、国有资本经营预算支出</w:t>
            </w:r>
          </w:p>
        </w:tc>
        <w:tc>
          <w:tcPr>
            <w:tcW w:w="1474" w:type="dxa"/>
            <w:vAlign w:val="center"/>
          </w:tcPr>
          <w:p w14:paraId="2F04E61D">
            <w:pPr>
              <w:pStyle w:val="11"/>
            </w:pPr>
          </w:p>
        </w:tc>
        <w:tc>
          <w:tcPr>
            <w:tcW w:w="1474" w:type="dxa"/>
            <w:vAlign w:val="center"/>
          </w:tcPr>
          <w:p w14:paraId="2FCC5FBE">
            <w:pPr>
              <w:pStyle w:val="11"/>
            </w:pPr>
          </w:p>
        </w:tc>
        <w:tc>
          <w:tcPr>
            <w:tcW w:w="1474" w:type="dxa"/>
            <w:vAlign w:val="center"/>
          </w:tcPr>
          <w:p w14:paraId="75990C9D">
            <w:pPr>
              <w:pStyle w:val="11"/>
            </w:pPr>
          </w:p>
        </w:tc>
        <w:tc>
          <w:tcPr>
            <w:tcW w:w="1474" w:type="dxa"/>
            <w:vAlign w:val="center"/>
          </w:tcPr>
          <w:p w14:paraId="68B311E4">
            <w:pPr>
              <w:pStyle w:val="11"/>
            </w:pPr>
          </w:p>
        </w:tc>
      </w:tr>
      <w:tr w14:paraId="3FD3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47B40">
            <w:pPr>
              <w:pStyle w:val="13"/>
            </w:pPr>
            <w:r>
              <w:t>23</w:t>
            </w:r>
          </w:p>
        </w:tc>
        <w:tc>
          <w:tcPr>
            <w:tcW w:w="3402" w:type="dxa"/>
            <w:vAlign w:val="center"/>
          </w:tcPr>
          <w:p w14:paraId="6C81D7D7">
            <w:pPr>
              <w:pStyle w:val="12"/>
            </w:pPr>
          </w:p>
        </w:tc>
        <w:tc>
          <w:tcPr>
            <w:tcW w:w="1474" w:type="dxa"/>
            <w:vAlign w:val="center"/>
          </w:tcPr>
          <w:p w14:paraId="068BE50C">
            <w:pPr>
              <w:pStyle w:val="11"/>
            </w:pPr>
          </w:p>
        </w:tc>
        <w:tc>
          <w:tcPr>
            <w:tcW w:w="3402" w:type="dxa"/>
            <w:vAlign w:val="center"/>
          </w:tcPr>
          <w:p w14:paraId="7EF43AE4">
            <w:pPr>
              <w:pStyle w:val="12"/>
            </w:pPr>
            <w:r>
              <w:t>二十三、灾害防治及应急管理支出</w:t>
            </w:r>
          </w:p>
        </w:tc>
        <w:tc>
          <w:tcPr>
            <w:tcW w:w="1474" w:type="dxa"/>
            <w:vAlign w:val="center"/>
          </w:tcPr>
          <w:p w14:paraId="4AA63D3E">
            <w:pPr>
              <w:pStyle w:val="11"/>
            </w:pPr>
          </w:p>
        </w:tc>
        <w:tc>
          <w:tcPr>
            <w:tcW w:w="1474" w:type="dxa"/>
            <w:vAlign w:val="center"/>
          </w:tcPr>
          <w:p w14:paraId="6E989858">
            <w:pPr>
              <w:pStyle w:val="11"/>
            </w:pPr>
          </w:p>
        </w:tc>
        <w:tc>
          <w:tcPr>
            <w:tcW w:w="1474" w:type="dxa"/>
            <w:vAlign w:val="center"/>
          </w:tcPr>
          <w:p w14:paraId="7DF52CBD">
            <w:pPr>
              <w:pStyle w:val="11"/>
            </w:pPr>
          </w:p>
        </w:tc>
        <w:tc>
          <w:tcPr>
            <w:tcW w:w="1474" w:type="dxa"/>
            <w:vAlign w:val="center"/>
          </w:tcPr>
          <w:p w14:paraId="55F76EE2">
            <w:pPr>
              <w:pStyle w:val="11"/>
            </w:pPr>
          </w:p>
        </w:tc>
      </w:tr>
      <w:tr w14:paraId="3CDD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7B182">
            <w:pPr>
              <w:pStyle w:val="13"/>
            </w:pPr>
            <w:r>
              <w:t>24</w:t>
            </w:r>
          </w:p>
        </w:tc>
        <w:tc>
          <w:tcPr>
            <w:tcW w:w="3402" w:type="dxa"/>
            <w:vAlign w:val="center"/>
          </w:tcPr>
          <w:p w14:paraId="0E7E1E49">
            <w:pPr>
              <w:pStyle w:val="12"/>
            </w:pPr>
          </w:p>
        </w:tc>
        <w:tc>
          <w:tcPr>
            <w:tcW w:w="1474" w:type="dxa"/>
            <w:vAlign w:val="center"/>
          </w:tcPr>
          <w:p w14:paraId="4E7F7CB4">
            <w:pPr>
              <w:pStyle w:val="11"/>
            </w:pPr>
          </w:p>
        </w:tc>
        <w:tc>
          <w:tcPr>
            <w:tcW w:w="3402" w:type="dxa"/>
            <w:vAlign w:val="center"/>
          </w:tcPr>
          <w:p w14:paraId="46FFFA33">
            <w:pPr>
              <w:pStyle w:val="12"/>
            </w:pPr>
            <w:r>
              <w:t>二十四、预备费</w:t>
            </w:r>
          </w:p>
        </w:tc>
        <w:tc>
          <w:tcPr>
            <w:tcW w:w="1474" w:type="dxa"/>
            <w:vAlign w:val="center"/>
          </w:tcPr>
          <w:p w14:paraId="5A155106">
            <w:pPr>
              <w:pStyle w:val="11"/>
            </w:pPr>
          </w:p>
        </w:tc>
        <w:tc>
          <w:tcPr>
            <w:tcW w:w="1474" w:type="dxa"/>
            <w:vAlign w:val="center"/>
          </w:tcPr>
          <w:p w14:paraId="1854770E">
            <w:pPr>
              <w:pStyle w:val="11"/>
            </w:pPr>
          </w:p>
        </w:tc>
        <w:tc>
          <w:tcPr>
            <w:tcW w:w="1474" w:type="dxa"/>
            <w:vAlign w:val="center"/>
          </w:tcPr>
          <w:p w14:paraId="77FD3BAD">
            <w:pPr>
              <w:pStyle w:val="11"/>
            </w:pPr>
          </w:p>
        </w:tc>
        <w:tc>
          <w:tcPr>
            <w:tcW w:w="1474" w:type="dxa"/>
            <w:vAlign w:val="center"/>
          </w:tcPr>
          <w:p w14:paraId="08881E2A">
            <w:pPr>
              <w:pStyle w:val="11"/>
            </w:pPr>
          </w:p>
        </w:tc>
      </w:tr>
      <w:tr w14:paraId="5EA1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F75E">
            <w:pPr>
              <w:pStyle w:val="13"/>
            </w:pPr>
            <w:r>
              <w:t>25</w:t>
            </w:r>
          </w:p>
        </w:tc>
        <w:tc>
          <w:tcPr>
            <w:tcW w:w="3402" w:type="dxa"/>
            <w:vAlign w:val="center"/>
          </w:tcPr>
          <w:p w14:paraId="79762541">
            <w:pPr>
              <w:pStyle w:val="12"/>
            </w:pPr>
          </w:p>
        </w:tc>
        <w:tc>
          <w:tcPr>
            <w:tcW w:w="1474" w:type="dxa"/>
            <w:vAlign w:val="center"/>
          </w:tcPr>
          <w:p w14:paraId="6A38CD7A">
            <w:pPr>
              <w:pStyle w:val="11"/>
            </w:pPr>
          </w:p>
        </w:tc>
        <w:tc>
          <w:tcPr>
            <w:tcW w:w="3402" w:type="dxa"/>
            <w:vAlign w:val="center"/>
          </w:tcPr>
          <w:p w14:paraId="40F983BD">
            <w:pPr>
              <w:pStyle w:val="12"/>
            </w:pPr>
            <w:r>
              <w:t>二十五、其他支出</w:t>
            </w:r>
          </w:p>
        </w:tc>
        <w:tc>
          <w:tcPr>
            <w:tcW w:w="1474" w:type="dxa"/>
            <w:vAlign w:val="center"/>
          </w:tcPr>
          <w:p w14:paraId="40EC7F43">
            <w:pPr>
              <w:pStyle w:val="11"/>
            </w:pPr>
          </w:p>
        </w:tc>
        <w:tc>
          <w:tcPr>
            <w:tcW w:w="1474" w:type="dxa"/>
            <w:vAlign w:val="center"/>
          </w:tcPr>
          <w:p w14:paraId="06F133C6">
            <w:pPr>
              <w:pStyle w:val="11"/>
            </w:pPr>
          </w:p>
        </w:tc>
        <w:tc>
          <w:tcPr>
            <w:tcW w:w="1474" w:type="dxa"/>
            <w:vAlign w:val="center"/>
          </w:tcPr>
          <w:p w14:paraId="1FF5B6E9">
            <w:pPr>
              <w:pStyle w:val="11"/>
            </w:pPr>
          </w:p>
        </w:tc>
        <w:tc>
          <w:tcPr>
            <w:tcW w:w="1474" w:type="dxa"/>
            <w:vAlign w:val="center"/>
          </w:tcPr>
          <w:p w14:paraId="50C398A8">
            <w:pPr>
              <w:pStyle w:val="11"/>
            </w:pPr>
          </w:p>
        </w:tc>
      </w:tr>
      <w:tr w14:paraId="12E0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7296B">
            <w:pPr>
              <w:pStyle w:val="13"/>
            </w:pPr>
            <w:r>
              <w:t>26</w:t>
            </w:r>
          </w:p>
        </w:tc>
        <w:tc>
          <w:tcPr>
            <w:tcW w:w="3402" w:type="dxa"/>
            <w:vAlign w:val="center"/>
          </w:tcPr>
          <w:p w14:paraId="792D0A4E">
            <w:pPr>
              <w:pStyle w:val="12"/>
            </w:pPr>
          </w:p>
        </w:tc>
        <w:tc>
          <w:tcPr>
            <w:tcW w:w="1474" w:type="dxa"/>
            <w:vAlign w:val="center"/>
          </w:tcPr>
          <w:p w14:paraId="6A41B474">
            <w:pPr>
              <w:pStyle w:val="11"/>
            </w:pPr>
          </w:p>
        </w:tc>
        <w:tc>
          <w:tcPr>
            <w:tcW w:w="3402" w:type="dxa"/>
            <w:vAlign w:val="center"/>
          </w:tcPr>
          <w:p w14:paraId="3DE99EF0">
            <w:pPr>
              <w:pStyle w:val="12"/>
            </w:pPr>
            <w:r>
              <w:t>二十六、转移性支出</w:t>
            </w:r>
          </w:p>
        </w:tc>
        <w:tc>
          <w:tcPr>
            <w:tcW w:w="1474" w:type="dxa"/>
            <w:vAlign w:val="center"/>
          </w:tcPr>
          <w:p w14:paraId="5FCA6C7B">
            <w:pPr>
              <w:pStyle w:val="11"/>
            </w:pPr>
          </w:p>
        </w:tc>
        <w:tc>
          <w:tcPr>
            <w:tcW w:w="1474" w:type="dxa"/>
            <w:vAlign w:val="center"/>
          </w:tcPr>
          <w:p w14:paraId="45852FF5">
            <w:pPr>
              <w:pStyle w:val="11"/>
            </w:pPr>
          </w:p>
        </w:tc>
        <w:tc>
          <w:tcPr>
            <w:tcW w:w="1474" w:type="dxa"/>
            <w:vAlign w:val="center"/>
          </w:tcPr>
          <w:p w14:paraId="573B18C1">
            <w:pPr>
              <w:pStyle w:val="11"/>
            </w:pPr>
          </w:p>
        </w:tc>
        <w:tc>
          <w:tcPr>
            <w:tcW w:w="1474" w:type="dxa"/>
            <w:vAlign w:val="center"/>
          </w:tcPr>
          <w:p w14:paraId="1C653CB9">
            <w:pPr>
              <w:pStyle w:val="11"/>
            </w:pPr>
          </w:p>
        </w:tc>
      </w:tr>
      <w:tr w14:paraId="6016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1E4B5">
            <w:pPr>
              <w:pStyle w:val="13"/>
            </w:pPr>
            <w:r>
              <w:t>27</w:t>
            </w:r>
          </w:p>
        </w:tc>
        <w:tc>
          <w:tcPr>
            <w:tcW w:w="3402" w:type="dxa"/>
            <w:vAlign w:val="center"/>
          </w:tcPr>
          <w:p w14:paraId="359CB658">
            <w:pPr>
              <w:pStyle w:val="12"/>
            </w:pPr>
          </w:p>
        </w:tc>
        <w:tc>
          <w:tcPr>
            <w:tcW w:w="1474" w:type="dxa"/>
            <w:vAlign w:val="center"/>
          </w:tcPr>
          <w:p w14:paraId="6C20BC27">
            <w:pPr>
              <w:pStyle w:val="11"/>
            </w:pPr>
          </w:p>
        </w:tc>
        <w:tc>
          <w:tcPr>
            <w:tcW w:w="3402" w:type="dxa"/>
            <w:vAlign w:val="center"/>
          </w:tcPr>
          <w:p w14:paraId="39AFBC27">
            <w:pPr>
              <w:pStyle w:val="12"/>
            </w:pPr>
            <w:r>
              <w:t>二十七、债务还本支出</w:t>
            </w:r>
          </w:p>
        </w:tc>
        <w:tc>
          <w:tcPr>
            <w:tcW w:w="1474" w:type="dxa"/>
            <w:vAlign w:val="center"/>
          </w:tcPr>
          <w:p w14:paraId="5F4C9222">
            <w:pPr>
              <w:pStyle w:val="11"/>
            </w:pPr>
          </w:p>
        </w:tc>
        <w:tc>
          <w:tcPr>
            <w:tcW w:w="1474" w:type="dxa"/>
            <w:vAlign w:val="center"/>
          </w:tcPr>
          <w:p w14:paraId="7F0183BF">
            <w:pPr>
              <w:pStyle w:val="11"/>
            </w:pPr>
          </w:p>
        </w:tc>
        <w:tc>
          <w:tcPr>
            <w:tcW w:w="1474" w:type="dxa"/>
            <w:vAlign w:val="center"/>
          </w:tcPr>
          <w:p w14:paraId="133AF077">
            <w:pPr>
              <w:pStyle w:val="11"/>
            </w:pPr>
          </w:p>
        </w:tc>
        <w:tc>
          <w:tcPr>
            <w:tcW w:w="1474" w:type="dxa"/>
            <w:vAlign w:val="center"/>
          </w:tcPr>
          <w:p w14:paraId="0D7FD7F3">
            <w:pPr>
              <w:pStyle w:val="11"/>
            </w:pPr>
          </w:p>
        </w:tc>
      </w:tr>
      <w:tr w14:paraId="1F84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AC5DC">
            <w:pPr>
              <w:pStyle w:val="13"/>
            </w:pPr>
            <w:r>
              <w:t>28</w:t>
            </w:r>
          </w:p>
        </w:tc>
        <w:tc>
          <w:tcPr>
            <w:tcW w:w="3402" w:type="dxa"/>
            <w:vAlign w:val="center"/>
          </w:tcPr>
          <w:p w14:paraId="2319FF9C">
            <w:pPr>
              <w:pStyle w:val="12"/>
            </w:pPr>
          </w:p>
        </w:tc>
        <w:tc>
          <w:tcPr>
            <w:tcW w:w="1474" w:type="dxa"/>
            <w:vAlign w:val="center"/>
          </w:tcPr>
          <w:p w14:paraId="30D58D46">
            <w:pPr>
              <w:pStyle w:val="11"/>
            </w:pPr>
          </w:p>
        </w:tc>
        <w:tc>
          <w:tcPr>
            <w:tcW w:w="3402" w:type="dxa"/>
            <w:vAlign w:val="center"/>
          </w:tcPr>
          <w:p w14:paraId="0AC8C1B0">
            <w:pPr>
              <w:pStyle w:val="12"/>
            </w:pPr>
            <w:r>
              <w:t>二十八、债务付息支出</w:t>
            </w:r>
          </w:p>
        </w:tc>
        <w:tc>
          <w:tcPr>
            <w:tcW w:w="1474" w:type="dxa"/>
            <w:vAlign w:val="center"/>
          </w:tcPr>
          <w:p w14:paraId="705B2416">
            <w:pPr>
              <w:pStyle w:val="11"/>
            </w:pPr>
          </w:p>
        </w:tc>
        <w:tc>
          <w:tcPr>
            <w:tcW w:w="1474" w:type="dxa"/>
            <w:vAlign w:val="center"/>
          </w:tcPr>
          <w:p w14:paraId="5352C623">
            <w:pPr>
              <w:pStyle w:val="11"/>
            </w:pPr>
          </w:p>
        </w:tc>
        <w:tc>
          <w:tcPr>
            <w:tcW w:w="1474" w:type="dxa"/>
            <w:vAlign w:val="center"/>
          </w:tcPr>
          <w:p w14:paraId="05FBB813">
            <w:pPr>
              <w:pStyle w:val="11"/>
            </w:pPr>
          </w:p>
        </w:tc>
        <w:tc>
          <w:tcPr>
            <w:tcW w:w="1474" w:type="dxa"/>
            <w:vAlign w:val="center"/>
          </w:tcPr>
          <w:p w14:paraId="1CBC4577">
            <w:pPr>
              <w:pStyle w:val="11"/>
            </w:pPr>
          </w:p>
        </w:tc>
      </w:tr>
      <w:tr w14:paraId="4398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E023">
            <w:pPr>
              <w:pStyle w:val="13"/>
            </w:pPr>
            <w:r>
              <w:t>29</w:t>
            </w:r>
          </w:p>
        </w:tc>
        <w:tc>
          <w:tcPr>
            <w:tcW w:w="3402" w:type="dxa"/>
            <w:vAlign w:val="center"/>
          </w:tcPr>
          <w:p w14:paraId="4BC61007">
            <w:pPr>
              <w:pStyle w:val="12"/>
            </w:pPr>
          </w:p>
        </w:tc>
        <w:tc>
          <w:tcPr>
            <w:tcW w:w="1474" w:type="dxa"/>
            <w:vAlign w:val="center"/>
          </w:tcPr>
          <w:p w14:paraId="22071837">
            <w:pPr>
              <w:pStyle w:val="11"/>
            </w:pPr>
          </w:p>
        </w:tc>
        <w:tc>
          <w:tcPr>
            <w:tcW w:w="3402" w:type="dxa"/>
            <w:vAlign w:val="center"/>
          </w:tcPr>
          <w:p w14:paraId="0B4E9474">
            <w:pPr>
              <w:pStyle w:val="12"/>
            </w:pPr>
            <w:r>
              <w:t>二十九、债务发行费用支出</w:t>
            </w:r>
          </w:p>
        </w:tc>
        <w:tc>
          <w:tcPr>
            <w:tcW w:w="1474" w:type="dxa"/>
            <w:vAlign w:val="center"/>
          </w:tcPr>
          <w:p w14:paraId="4D95351B">
            <w:pPr>
              <w:pStyle w:val="11"/>
            </w:pPr>
          </w:p>
        </w:tc>
        <w:tc>
          <w:tcPr>
            <w:tcW w:w="1474" w:type="dxa"/>
            <w:vAlign w:val="center"/>
          </w:tcPr>
          <w:p w14:paraId="5B0478F0">
            <w:pPr>
              <w:pStyle w:val="11"/>
            </w:pPr>
          </w:p>
        </w:tc>
        <w:tc>
          <w:tcPr>
            <w:tcW w:w="1474" w:type="dxa"/>
            <w:vAlign w:val="center"/>
          </w:tcPr>
          <w:p w14:paraId="44BC00ED">
            <w:pPr>
              <w:pStyle w:val="11"/>
            </w:pPr>
          </w:p>
        </w:tc>
        <w:tc>
          <w:tcPr>
            <w:tcW w:w="1474" w:type="dxa"/>
            <w:vAlign w:val="center"/>
          </w:tcPr>
          <w:p w14:paraId="45CFC212">
            <w:pPr>
              <w:pStyle w:val="11"/>
            </w:pPr>
          </w:p>
        </w:tc>
      </w:tr>
      <w:tr w14:paraId="3FDB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CE039">
            <w:pPr>
              <w:pStyle w:val="13"/>
            </w:pPr>
            <w:r>
              <w:t>30</w:t>
            </w:r>
          </w:p>
        </w:tc>
        <w:tc>
          <w:tcPr>
            <w:tcW w:w="3402" w:type="dxa"/>
            <w:vAlign w:val="center"/>
          </w:tcPr>
          <w:p w14:paraId="6426A5A5">
            <w:pPr>
              <w:pStyle w:val="12"/>
            </w:pPr>
          </w:p>
        </w:tc>
        <w:tc>
          <w:tcPr>
            <w:tcW w:w="1474" w:type="dxa"/>
            <w:vAlign w:val="center"/>
          </w:tcPr>
          <w:p w14:paraId="3023A2C6">
            <w:pPr>
              <w:pStyle w:val="11"/>
            </w:pPr>
          </w:p>
        </w:tc>
        <w:tc>
          <w:tcPr>
            <w:tcW w:w="3402" w:type="dxa"/>
            <w:vAlign w:val="center"/>
          </w:tcPr>
          <w:p w14:paraId="185A70DC">
            <w:pPr>
              <w:pStyle w:val="12"/>
            </w:pPr>
            <w:r>
              <w:t>三十、抗疫特别国债安排的支出</w:t>
            </w:r>
          </w:p>
        </w:tc>
        <w:tc>
          <w:tcPr>
            <w:tcW w:w="1474" w:type="dxa"/>
            <w:vAlign w:val="center"/>
          </w:tcPr>
          <w:p w14:paraId="3785FFBB">
            <w:pPr>
              <w:pStyle w:val="11"/>
            </w:pPr>
          </w:p>
        </w:tc>
        <w:tc>
          <w:tcPr>
            <w:tcW w:w="1474" w:type="dxa"/>
            <w:vAlign w:val="center"/>
          </w:tcPr>
          <w:p w14:paraId="5587921D">
            <w:pPr>
              <w:pStyle w:val="11"/>
            </w:pPr>
          </w:p>
        </w:tc>
        <w:tc>
          <w:tcPr>
            <w:tcW w:w="1474" w:type="dxa"/>
            <w:vAlign w:val="center"/>
          </w:tcPr>
          <w:p w14:paraId="44BBE63C">
            <w:pPr>
              <w:pStyle w:val="11"/>
            </w:pPr>
          </w:p>
        </w:tc>
        <w:tc>
          <w:tcPr>
            <w:tcW w:w="1474" w:type="dxa"/>
            <w:vAlign w:val="center"/>
          </w:tcPr>
          <w:p w14:paraId="1A251FB5">
            <w:pPr>
              <w:pStyle w:val="11"/>
            </w:pPr>
          </w:p>
        </w:tc>
      </w:tr>
      <w:tr w14:paraId="554E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1CB5">
            <w:pPr>
              <w:pStyle w:val="13"/>
            </w:pPr>
            <w:r>
              <w:t>31</w:t>
            </w:r>
          </w:p>
        </w:tc>
        <w:tc>
          <w:tcPr>
            <w:tcW w:w="3402" w:type="dxa"/>
            <w:vAlign w:val="center"/>
          </w:tcPr>
          <w:p w14:paraId="28D5C287">
            <w:pPr>
              <w:pStyle w:val="12"/>
            </w:pPr>
          </w:p>
        </w:tc>
        <w:tc>
          <w:tcPr>
            <w:tcW w:w="1474" w:type="dxa"/>
            <w:vAlign w:val="center"/>
          </w:tcPr>
          <w:p w14:paraId="6806E011">
            <w:pPr>
              <w:pStyle w:val="11"/>
            </w:pPr>
          </w:p>
        </w:tc>
        <w:tc>
          <w:tcPr>
            <w:tcW w:w="3402" w:type="dxa"/>
            <w:vAlign w:val="center"/>
          </w:tcPr>
          <w:p w14:paraId="7ED80C6B">
            <w:pPr>
              <w:pStyle w:val="12"/>
            </w:pPr>
            <w:r>
              <w:t>三十一、人行科目</w:t>
            </w:r>
          </w:p>
        </w:tc>
        <w:tc>
          <w:tcPr>
            <w:tcW w:w="1474" w:type="dxa"/>
            <w:vAlign w:val="center"/>
          </w:tcPr>
          <w:p w14:paraId="547ECED5">
            <w:pPr>
              <w:pStyle w:val="11"/>
            </w:pPr>
          </w:p>
        </w:tc>
        <w:tc>
          <w:tcPr>
            <w:tcW w:w="1474" w:type="dxa"/>
            <w:vAlign w:val="center"/>
          </w:tcPr>
          <w:p w14:paraId="6089FF4C">
            <w:pPr>
              <w:pStyle w:val="11"/>
            </w:pPr>
          </w:p>
        </w:tc>
        <w:tc>
          <w:tcPr>
            <w:tcW w:w="1474" w:type="dxa"/>
            <w:vAlign w:val="center"/>
          </w:tcPr>
          <w:p w14:paraId="56A97016">
            <w:pPr>
              <w:pStyle w:val="11"/>
            </w:pPr>
          </w:p>
        </w:tc>
        <w:tc>
          <w:tcPr>
            <w:tcW w:w="1474" w:type="dxa"/>
            <w:vAlign w:val="center"/>
          </w:tcPr>
          <w:p w14:paraId="1AE9524D">
            <w:pPr>
              <w:pStyle w:val="11"/>
            </w:pPr>
          </w:p>
        </w:tc>
      </w:tr>
      <w:tr w14:paraId="2F85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9A453">
            <w:pPr>
              <w:pStyle w:val="13"/>
            </w:pPr>
            <w:r>
              <w:t>32</w:t>
            </w:r>
          </w:p>
        </w:tc>
        <w:tc>
          <w:tcPr>
            <w:tcW w:w="3402" w:type="dxa"/>
            <w:vAlign w:val="center"/>
          </w:tcPr>
          <w:p w14:paraId="03DE8727">
            <w:pPr>
              <w:pStyle w:val="14"/>
            </w:pPr>
            <w:r>
              <w:t>本年收入合计</w:t>
            </w:r>
          </w:p>
        </w:tc>
        <w:tc>
          <w:tcPr>
            <w:tcW w:w="1474" w:type="dxa"/>
            <w:vAlign w:val="center"/>
          </w:tcPr>
          <w:p w14:paraId="58547819">
            <w:pPr>
              <w:pStyle w:val="15"/>
            </w:pPr>
            <w:r>
              <w:t>2082.45</w:t>
            </w:r>
          </w:p>
        </w:tc>
        <w:tc>
          <w:tcPr>
            <w:tcW w:w="3402" w:type="dxa"/>
            <w:vAlign w:val="center"/>
          </w:tcPr>
          <w:p w14:paraId="1322BB08">
            <w:pPr>
              <w:pStyle w:val="14"/>
            </w:pPr>
            <w:r>
              <w:t>本年支出合计</w:t>
            </w:r>
          </w:p>
        </w:tc>
        <w:tc>
          <w:tcPr>
            <w:tcW w:w="1474" w:type="dxa"/>
            <w:vAlign w:val="center"/>
          </w:tcPr>
          <w:p w14:paraId="2898237D">
            <w:pPr>
              <w:pStyle w:val="15"/>
            </w:pPr>
            <w:r>
              <w:t>2082.45</w:t>
            </w:r>
          </w:p>
        </w:tc>
        <w:tc>
          <w:tcPr>
            <w:tcW w:w="1474" w:type="dxa"/>
            <w:vAlign w:val="center"/>
          </w:tcPr>
          <w:p w14:paraId="3A2DA1BD">
            <w:pPr>
              <w:pStyle w:val="15"/>
            </w:pPr>
            <w:r>
              <w:t>2082.45</w:t>
            </w:r>
          </w:p>
        </w:tc>
        <w:tc>
          <w:tcPr>
            <w:tcW w:w="1474" w:type="dxa"/>
            <w:vAlign w:val="center"/>
          </w:tcPr>
          <w:p w14:paraId="331FC231">
            <w:pPr>
              <w:pStyle w:val="15"/>
            </w:pPr>
          </w:p>
        </w:tc>
        <w:tc>
          <w:tcPr>
            <w:tcW w:w="1474" w:type="dxa"/>
            <w:vAlign w:val="center"/>
          </w:tcPr>
          <w:p w14:paraId="573C1F24">
            <w:pPr>
              <w:pStyle w:val="15"/>
            </w:pPr>
          </w:p>
        </w:tc>
      </w:tr>
      <w:tr w14:paraId="664ED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29114">
            <w:pPr>
              <w:pStyle w:val="13"/>
            </w:pPr>
            <w:r>
              <w:t>33</w:t>
            </w:r>
          </w:p>
        </w:tc>
        <w:tc>
          <w:tcPr>
            <w:tcW w:w="3402" w:type="dxa"/>
            <w:vAlign w:val="center"/>
          </w:tcPr>
          <w:p w14:paraId="7F50F488">
            <w:pPr>
              <w:pStyle w:val="12"/>
            </w:pPr>
            <w:r>
              <w:t>年初财政拨款结转和结余</w:t>
            </w:r>
          </w:p>
        </w:tc>
        <w:tc>
          <w:tcPr>
            <w:tcW w:w="1474" w:type="dxa"/>
            <w:vAlign w:val="center"/>
          </w:tcPr>
          <w:p w14:paraId="12ADDFC5">
            <w:pPr>
              <w:pStyle w:val="11"/>
            </w:pPr>
          </w:p>
        </w:tc>
        <w:tc>
          <w:tcPr>
            <w:tcW w:w="3402" w:type="dxa"/>
            <w:vAlign w:val="center"/>
          </w:tcPr>
          <w:p w14:paraId="545EC1B3">
            <w:pPr>
              <w:pStyle w:val="12"/>
            </w:pPr>
            <w:r>
              <w:t>年末财政拨款结转和结余</w:t>
            </w:r>
          </w:p>
        </w:tc>
        <w:tc>
          <w:tcPr>
            <w:tcW w:w="1474" w:type="dxa"/>
            <w:vAlign w:val="center"/>
          </w:tcPr>
          <w:p w14:paraId="5624C137">
            <w:pPr>
              <w:pStyle w:val="11"/>
            </w:pPr>
          </w:p>
        </w:tc>
        <w:tc>
          <w:tcPr>
            <w:tcW w:w="1474" w:type="dxa"/>
            <w:vAlign w:val="center"/>
          </w:tcPr>
          <w:p w14:paraId="0379955A">
            <w:pPr>
              <w:pStyle w:val="11"/>
            </w:pPr>
          </w:p>
        </w:tc>
        <w:tc>
          <w:tcPr>
            <w:tcW w:w="1474" w:type="dxa"/>
            <w:vAlign w:val="center"/>
          </w:tcPr>
          <w:p w14:paraId="110F7411">
            <w:pPr>
              <w:pStyle w:val="11"/>
            </w:pPr>
          </w:p>
        </w:tc>
        <w:tc>
          <w:tcPr>
            <w:tcW w:w="1474" w:type="dxa"/>
            <w:vAlign w:val="center"/>
          </w:tcPr>
          <w:p w14:paraId="2BECC6B1">
            <w:pPr>
              <w:pStyle w:val="11"/>
            </w:pPr>
          </w:p>
        </w:tc>
      </w:tr>
      <w:tr w14:paraId="4296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3C275">
            <w:pPr>
              <w:pStyle w:val="13"/>
            </w:pPr>
            <w:r>
              <w:t>34</w:t>
            </w:r>
          </w:p>
        </w:tc>
        <w:tc>
          <w:tcPr>
            <w:tcW w:w="3402" w:type="dxa"/>
            <w:vAlign w:val="center"/>
          </w:tcPr>
          <w:p w14:paraId="5907C2EF">
            <w:pPr>
              <w:pStyle w:val="12"/>
            </w:pPr>
            <w:r>
              <w:t>一、一般公共预算拨款</w:t>
            </w:r>
          </w:p>
        </w:tc>
        <w:tc>
          <w:tcPr>
            <w:tcW w:w="1474" w:type="dxa"/>
            <w:vAlign w:val="center"/>
          </w:tcPr>
          <w:p w14:paraId="75682CDA">
            <w:pPr>
              <w:pStyle w:val="11"/>
            </w:pPr>
          </w:p>
        </w:tc>
        <w:tc>
          <w:tcPr>
            <w:tcW w:w="3402" w:type="dxa"/>
            <w:vAlign w:val="center"/>
          </w:tcPr>
          <w:p w14:paraId="2689B6BF">
            <w:pPr>
              <w:pStyle w:val="12"/>
            </w:pPr>
          </w:p>
        </w:tc>
        <w:tc>
          <w:tcPr>
            <w:tcW w:w="1474" w:type="dxa"/>
            <w:vAlign w:val="center"/>
          </w:tcPr>
          <w:p w14:paraId="1D9AA6C7">
            <w:pPr>
              <w:pStyle w:val="11"/>
            </w:pPr>
          </w:p>
        </w:tc>
        <w:tc>
          <w:tcPr>
            <w:tcW w:w="1474" w:type="dxa"/>
            <w:vAlign w:val="center"/>
          </w:tcPr>
          <w:p w14:paraId="59D295DD">
            <w:pPr>
              <w:pStyle w:val="11"/>
            </w:pPr>
          </w:p>
        </w:tc>
        <w:tc>
          <w:tcPr>
            <w:tcW w:w="1474" w:type="dxa"/>
            <w:vAlign w:val="center"/>
          </w:tcPr>
          <w:p w14:paraId="6B36F516">
            <w:pPr>
              <w:pStyle w:val="11"/>
            </w:pPr>
          </w:p>
        </w:tc>
        <w:tc>
          <w:tcPr>
            <w:tcW w:w="1474" w:type="dxa"/>
            <w:vAlign w:val="center"/>
          </w:tcPr>
          <w:p w14:paraId="069924CD">
            <w:pPr>
              <w:pStyle w:val="11"/>
            </w:pPr>
          </w:p>
        </w:tc>
      </w:tr>
      <w:tr w14:paraId="745D9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F359">
            <w:pPr>
              <w:pStyle w:val="13"/>
            </w:pPr>
            <w:r>
              <w:t>35</w:t>
            </w:r>
          </w:p>
        </w:tc>
        <w:tc>
          <w:tcPr>
            <w:tcW w:w="3402" w:type="dxa"/>
            <w:vAlign w:val="center"/>
          </w:tcPr>
          <w:p w14:paraId="0458E9CE">
            <w:pPr>
              <w:pStyle w:val="12"/>
            </w:pPr>
            <w:r>
              <w:t>二、政府性基金预算拨款</w:t>
            </w:r>
          </w:p>
        </w:tc>
        <w:tc>
          <w:tcPr>
            <w:tcW w:w="1474" w:type="dxa"/>
            <w:vAlign w:val="center"/>
          </w:tcPr>
          <w:p w14:paraId="7EA00B76">
            <w:pPr>
              <w:pStyle w:val="11"/>
            </w:pPr>
          </w:p>
        </w:tc>
        <w:tc>
          <w:tcPr>
            <w:tcW w:w="3402" w:type="dxa"/>
            <w:vAlign w:val="center"/>
          </w:tcPr>
          <w:p w14:paraId="291379E5">
            <w:pPr>
              <w:pStyle w:val="12"/>
            </w:pPr>
          </w:p>
        </w:tc>
        <w:tc>
          <w:tcPr>
            <w:tcW w:w="1474" w:type="dxa"/>
            <w:vAlign w:val="center"/>
          </w:tcPr>
          <w:p w14:paraId="5ADCFCF2">
            <w:pPr>
              <w:pStyle w:val="11"/>
            </w:pPr>
          </w:p>
        </w:tc>
        <w:tc>
          <w:tcPr>
            <w:tcW w:w="1474" w:type="dxa"/>
            <w:vAlign w:val="center"/>
          </w:tcPr>
          <w:p w14:paraId="038F2E7F">
            <w:pPr>
              <w:pStyle w:val="11"/>
            </w:pPr>
          </w:p>
        </w:tc>
        <w:tc>
          <w:tcPr>
            <w:tcW w:w="1474" w:type="dxa"/>
            <w:vAlign w:val="center"/>
          </w:tcPr>
          <w:p w14:paraId="67167E6A">
            <w:pPr>
              <w:pStyle w:val="11"/>
            </w:pPr>
          </w:p>
        </w:tc>
        <w:tc>
          <w:tcPr>
            <w:tcW w:w="1474" w:type="dxa"/>
            <w:vAlign w:val="center"/>
          </w:tcPr>
          <w:p w14:paraId="340E36D2">
            <w:pPr>
              <w:pStyle w:val="11"/>
            </w:pPr>
          </w:p>
        </w:tc>
      </w:tr>
      <w:tr w14:paraId="121E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D2494">
            <w:pPr>
              <w:pStyle w:val="13"/>
            </w:pPr>
            <w:r>
              <w:t>36</w:t>
            </w:r>
          </w:p>
        </w:tc>
        <w:tc>
          <w:tcPr>
            <w:tcW w:w="3402" w:type="dxa"/>
            <w:vAlign w:val="center"/>
          </w:tcPr>
          <w:p w14:paraId="214B2EA3">
            <w:pPr>
              <w:pStyle w:val="12"/>
            </w:pPr>
            <w:r>
              <w:t>三、国有资本经营预算拨款</w:t>
            </w:r>
          </w:p>
        </w:tc>
        <w:tc>
          <w:tcPr>
            <w:tcW w:w="1474" w:type="dxa"/>
            <w:vAlign w:val="center"/>
          </w:tcPr>
          <w:p w14:paraId="26542178">
            <w:pPr>
              <w:pStyle w:val="11"/>
            </w:pPr>
          </w:p>
        </w:tc>
        <w:tc>
          <w:tcPr>
            <w:tcW w:w="3402" w:type="dxa"/>
            <w:vAlign w:val="center"/>
          </w:tcPr>
          <w:p w14:paraId="24B79959">
            <w:pPr>
              <w:pStyle w:val="12"/>
            </w:pPr>
          </w:p>
        </w:tc>
        <w:tc>
          <w:tcPr>
            <w:tcW w:w="1474" w:type="dxa"/>
            <w:vAlign w:val="center"/>
          </w:tcPr>
          <w:p w14:paraId="04A70114">
            <w:pPr>
              <w:pStyle w:val="11"/>
            </w:pPr>
          </w:p>
        </w:tc>
        <w:tc>
          <w:tcPr>
            <w:tcW w:w="1474" w:type="dxa"/>
            <w:vAlign w:val="center"/>
          </w:tcPr>
          <w:p w14:paraId="78132598">
            <w:pPr>
              <w:pStyle w:val="11"/>
            </w:pPr>
          </w:p>
        </w:tc>
        <w:tc>
          <w:tcPr>
            <w:tcW w:w="1474" w:type="dxa"/>
            <w:vAlign w:val="center"/>
          </w:tcPr>
          <w:p w14:paraId="79CAD096">
            <w:pPr>
              <w:pStyle w:val="11"/>
            </w:pPr>
          </w:p>
        </w:tc>
        <w:tc>
          <w:tcPr>
            <w:tcW w:w="1474" w:type="dxa"/>
            <w:vAlign w:val="center"/>
          </w:tcPr>
          <w:p w14:paraId="03C87A3B">
            <w:pPr>
              <w:pStyle w:val="11"/>
            </w:pPr>
          </w:p>
        </w:tc>
      </w:tr>
      <w:tr w14:paraId="5915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063C">
            <w:pPr>
              <w:pStyle w:val="13"/>
            </w:pPr>
            <w:r>
              <w:t>37</w:t>
            </w:r>
          </w:p>
        </w:tc>
        <w:tc>
          <w:tcPr>
            <w:tcW w:w="3402" w:type="dxa"/>
            <w:vAlign w:val="center"/>
          </w:tcPr>
          <w:p w14:paraId="5A3D17BF">
            <w:pPr>
              <w:pStyle w:val="14"/>
            </w:pPr>
            <w:r>
              <w:t>收入总计</w:t>
            </w:r>
          </w:p>
        </w:tc>
        <w:tc>
          <w:tcPr>
            <w:tcW w:w="1474" w:type="dxa"/>
            <w:vAlign w:val="center"/>
          </w:tcPr>
          <w:p w14:paraId="0FECA6E9">
            <w:pPr>
              <w:pStyle w:val="15"/>
            </w:pPr>
            <w:r>
              <w:t>2082.45</w:t>
            </w:r>
          </w:p>
        </w:tc>
        <w:tc>
          <w:tcPr>
            <w:tcW w:w="3402" w:type="dxa"/>
            <w:vAlign w:val="center"/>
          </w:tcPr>
          <w:p w14:paraId="3F25299E">
            <w:pPr>
              <w:pStyle w:val="14"/>
            </w:pPr>
            <w:r>
              <w:t>支出总计</w:t>
            </w:r>
          </w:p>
        </w:tc>
        <w:tc>
          <w:tcPr>
            <w:tcW w:w="1474" w:type="dxa"/>
            <w:vAlign w:val="center"/>
          </w:tcPr>
          <w:p w14:paraId="506CE658">
            <w:pPr>
              <w:pStyle w:val="15"/>
            </w:pPr>
            <w:r>
              <w:t>2082.45</w:t>
            </w:r>
          </w:p>
        </w:tc>
        <w:tc>
          <w:tcPr>
            <w:tcW w:w="1474" w:type="dxa"/>
            <w:vAlign w:val="center"/>
          </w:tcPr>
          <w:p w14:paraId="2A3E3A1B">
            <w:pPr>
              <w:pStyle w:val="15"/>
            </w:pPr>
            <w:r>
              <w:t>2082.45</w:t>
            </w:r>
          </w:p>
        </w:tc>
        <w:tc>
          <w:tcPr>
            <w:tcW w:w="1474" w:type="dxa"/>
            <w:vAlign w:val="center"/>
          </w:tcPr>
          <w:p w14:paraId="54212A3B">
            <w:pPr>
              <w:pStyle w:val="15"/>
            </w:pPr>
          </w:p>
        </w:tc>
        <w:tc>
          <w:tcPr>
            <w:tcW w:w="1474" w:type="dxa"/>
            <w:vAlign w:val="center"/>
          </w:tcPr>
          <w:p w14:paraId="70C5AC43">
            <w:pPr>
              <w:pStyle w:val="15"/>
            </w:pPr>
          </w:p>
        </w:tc>
      </w:tr>
    </w:tbl>
    <w:p w14:paraId="432511F5">
      <w:pPr>
        <w:sectPr>
          <w:pgSz w:w="16840" w:h="11900" w:orient="landscape"/>
          <w:pgMar w:top="1361" w:right="1020" w:bottom="1134" w:left="1020" w:header="720" w:footer="720" w:gutter="0"/>
          <w:cols w:space="720" w:num="1"/>
        </w:sectPr>
      </w:pPr>
    </w:p>
    <w:p w14:paraId="568D75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47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99A20D">
            <w:pPr>
              <w:pStyle w:val="9"/>
            </w:pPr>
            <w:r>
              <w:t>360025隆尧县千户营校区</w:t>
            </w:r>
          </w:p>
        </w:tc>
        <w:tc>
          <w:tcPr>
            <w:tcW w:w="2551" w:type="dxa"/>
            <w:tcBorders>
              <w:top w:val="single" w:color="FFFFFF" w:sz="6" w:space="0"/>
              <w:left w:val="single" w:color="FFFFFF" w:sz="6" w:space="0"/>
              <w:right w:val="single" w:color="FFFFFF" w:sz="6" w:space="0"/>
            </w:tcBorders>
            <w:vAlign w:val="center"/>
          </w:tcPr>
          <w:p w14:paraId="398DCE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C41B09">
            <w:pPr>
              <w:pStyle w:val="7"/>
            </w:pPr>
            <w:r>
              <w:t>单位：万元</w:t>
            </w:r>
          </w:p>
        </w:tc>
      </w:tr>
      <w:tr w14:paraId="364C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6A910D">
            <w:pPr>
              <w:pStyle w:val="10"/>
            </w:pPr>
            <w:r>
              <w:t>序号</w:t>
            </w:r>
          </w:p>
        </w:tc>
        <w:tc>
          <w:tcPr>
            <w:tcW w:w="5726" w:type="dxa"/>
            <w:gridSpan w:val="2"/>
            <w:vAlign w:val="center"/>
          </w:tcPr>
          <w:p w14:paraId="7F10D992">
            <w:pPr>
              <w:pStyle w:val="10"/>
            </w:pPr>
            <w:r>
              <w:t>功能分类科目</w:t>
            </w:r>
          </w:p>
        </w:tc>
        <w:tc>
          <w:tcPr>
            <w:tcW w:w="2551" w:type="dxa"/>
            <w:vMerge w:val="restart"/>
            <w:vAlign w:val="center"/>
          </w:tcPr>
          <w:p w14:paraId="5C6C0AF0">
            <w:pPr>
              <w:pStyle w:val="10"/>
            </w:pPr>
            <w:r>
              <w:t>合计</w:t>
            </w:r>
          </w:p>
        </w:tc>
        <w:tc>
          <w:tcPr>
            <w:tcW w:w="2551" w:type="dxa"/>
            <w:vMerge w:val="restart"/>
            <w:vAlign w:val="center"/>
          </w:tcPr>
          <w:p w14:paraId="3A3A1810">
            <w:pPr>
              <w:pStyle w:val="10"/>
            </w:pPr>
            <w:r>
              <w:t>基本支出</w:t>
            </w:r>
          </w:p>
        </w:tc>
        <w:tc>
          <w:tcPr>
            <w:tcW w:w="2551" w:type="dxa"/>
            <w:vMerge w:val="restart"/>
            <w:vAlign w:val="center"/>
          </w:tcPr>
          <w:p w14:paraId="0C8EC9ED">
            <w:pPr>
              <w:pStyle w:val="10"/>
            </w:pPr>
            <w:r>
              <w:t>项目支出</w:t>
            </w:r>
          </w:p>
        </w:tc>
      </w:tr>
      <w:tr w14:paraId="6D30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9BDF2"/>
        </w:tc>
        <w:tc>
          <w:tcPr>
            <w:tcW w:w="1191" w:type="dxa"/>
            <w:vAlign w:val="center"/>
          </w:tcPr>
          <w:p w14:paraId="22D58842">
            <w:pPr>
              <w:pStyle w:val="10"/>
            </w:pPr>
            <w:r>
              <w:t>科目编码</w:t>
            </w:r>
          </w:p>
        </w:tc>
        <w:tc>
          <w:tcPr>
            <w:tcW w:w="4535" w:type="dxa"/>
            <w:vAlign w:val="center"/>
          </w:tcPr>
          <w:p w14:paraId="5941B971">
            <w:pPr>
              <w:pStyle w:val="10"/>
            </w:pPr>
            <w:r>
              <w:t>科目名称</w:t>
            </w:r>
          </w:p>
        </w:tc>
        <w:tc>
          <w:tcPr>
            <w:tcW w:w="2551" w:type="dxa"/>
            <w:vMerge w:val="continue"/>
          </w:tcPr>
          <w:p w14:paraId="7BE8BD85"/>
        </w:tc>
        <w:tc>
          <w:tcPr>
            <w:tcW w:w="2551" w:type="dxa"/>
            <w:vMerge w:val="continue"/>
          </w:tcPr>
          <w:p w14:paraId="06A98B3B"/>
        </w:tc>
        <w:tc>
          <w:tcPr>
            <w:tcW w:w="2551" w:type="dxa"/>
            <w:vMerge w:val="continue"/>
          </w:tcPr>
          <w:p w14:paraId="670703F3"/>
        </w:tc>
      </w:tr>
      <w:tr w14:paraId="18DC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E7BDE4">
            <w:pPr>
              <w:pStyle w:val="10"/>
            </w:pPr>
            <w:r>
              <w:t>栏次</w:t>
            </w:r>
          </w:p>
        </w:tc>
        <w:tc>
          <w:tcPr>
            <w:tcW w:w="1191" w:type="dxa"/>
            <w:vAlign w:val="center"/>
          </w:tcPr>
          <w:p w14:paraId="6EE9F530">
            <w:pPr>
              <w:pStyle w:val="10"/>
            </w:pPr>
            <w:r>
              <w:t>1</w:t>
            </w:r>
          </w:p>
        </w:tc>
        <w:tc>
          <w:tcPr>
            <w:tcW w:w="4535" w:type="dxa"/>
            <w:vAlign w:val="center"/>
          </w:tcPr>
          <w:p w14:paraId="7A344AB0">
            <w:pPr>
              <w:pStyle w:val="10"/>
            </w:pPr>
            <w:r>
              <w:t>2</w:t>
            </w:r>
          </w:p>
        </w:tc>
        <w:tc>
          <w:tcPr>
            <w:tcW w:w="2551" w:type="dxa"/>
            <w:vAlign w:val="center"/>
          </w:tcPr>
          <w:p w14:paraId="4DB47ABE">
            <w:pPr>
              <w:pStyle w:val="10"/>
            </w:pPr>
            <w:r>
              <w:t>3</w:t>
            </w:r>
          </w:p>
        </w:tc>
        <w:tc>
          <w:tcPr>
            <w:tcW w:w="2551" w:type="dxa"/>
            <w:vAlign w:val="center"/>
          </w:tcPr>
          <w:p w14:paraId="7539CAA4">
            <w:pPr>
              <w:pStyle w:val="10"/>
            </w:pPr>
            <w:r>
              <w:t>4</w:t>
            </w:r>
          </w:p>
        </w:tc>
        <w:tc>
          <w:tcPr>
            <w:tcW w:w="2551" w:type="dxa"/>
            <w:vAlign w:val="center"/>
          </w:tcPr>
          <w:p w14:paraId="21363131">
            <w:pPr>
              <w:pStyle w:val="10"/>
            </w:pPr>
            <w:r>
              <w:t>5</w:t>
            </w:r>
          </w:p>
        </w:tc>
      </w:tr>
      <w:tr w14:paraId="57D4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83C4">
            <w:pPr>
              <w:pStyle w:val="13"/>
            </w:pPr>
            <w:r>
              <w:t>1</w:t>
            </w:r>
          </w:p>
        </w:tc>
        <w:tc>
          <w:tcPr>
            <w:tcW w:w="1191" w:type="dxa"/>
            <w:vAlign w:val="center"/>
          </w:tcPr>
          <w:p w14:paraId="78593420">
            <w:pPr>
              <w:pStyle w:val="16"/>
            </w:pPr>
          </w:p>
        </w:tc>
        <w:tc>
          <w:tcPr>
            <w:tcW w:w="4535" w:type="dxa"/>
            <w:vAlign w:val="center"/>
          </w:tcPr>
          <w:p w14:paraId="065D5FB1">
            <w:pPr>
              <w:pStyle w:val="14"/>
            </w:pPr>
            <w:r>
              <w:t>合计</w:t>
            </w:r>
          </w:p>
        </w:tc>
        <w:tc>
          <w:tcPr>
            <w:tcW w:w="2551" w:type="dxa"/>
            <w:vAlign w:val="center"/>
          </w:tcPr>
          <w:p w14:paraId="1D18B703">
            <w:pPr>
              <w:pStyle w:val="15"/>
            </w:pPr>
            <w:r>
              <w:t>2082.45</w:t>
            </w:r>
          </w:p>
        </w:tc>
        <w:tc>
          <w:tcPr>
            <w:tcW w:w="2551" w:type="dxa"/>
            <w:vAlign w:val="center"/>
          </w:tcPr>
          <w:p w14:paraId="26466F6F">
            <w:pPr>
              <w:pStyle w:val="15"/>
            </w:pPr>
            <w:r>
              <w:t>1564.81</w:t>
            </w:r>
          </w:p>
        </w:tc>
        <w:tc>
          <w:tcPr>
            <w:tcW w:w="2551" w:type="dxa"/>
            <w:vAlign w:val="center"/>
          </w:tcPr>
          <w:p w14:paraId="5467D3C1">
            <w:pPr>
              <w:pStyle w:val="15"/>
            </w:pPr>
            <w:r>
              <w:t>517.64</w:t>
            </w:r>
          </w:p>
        </w:tc>
      </w:tr>
      <w:tr w14:paraId="0C5D9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F5636">
            <w:pPr>
              <w:pStyle w:val="13"/>
            </w:pPr>
            <w:r>
              <w:t>2</w:t>
            </w:r>
          </w:p>
        </w:tc>
        <w:tc>
          <w:tcPr>
            <w:tcW w:w="1191" w:type="dxa"/>
            <w:vAlign w:val="center"/>
          </w:tcPr>
          <w:p w14:paraId="6A8C13A0">
            <w:pPr>
              <w:pStyle w:val="12"/>
            </w:pPr>
            <w:r>
              <w:t>205</w:t>
            </w:r>
          </w:p>
        </w:tc>
        <w:tc>
          <w:tcPr>
            <w:tcW w:w="4535" w:type="dxa"/>
            <w:vAlign w:val="center"/>
          </w:tcPr>
          <w:p w14:paraId="53E6CCA3">
            <w:pPr>
              <w:pStyle w:val="12"/>
            </w:pPr>
            <w:r>
              <w:t>教育支出</w:t>
            </w:r>
          </w:p>
        </w:tc>
        <w:tc>
          <w:tcPr>
            <w:tcW w:w="2551" w:type="dxa"/>
            <w:vAlign w:val="center"/>
          </w:tcPr>
          <w:p w14:paraId="2D888A91">
            <w:pPr>
              <w:pStyle w:val="11"/>
            </w:pPr>
            <w:r>
              <w:t>2082.45</w:t>
            </w:r>
          </w:p>
        </w:tc>
        <w:tc>
          <w:tcPr>
            <w:tcW w:w="2551" w:type="dxa"/>
            <w:vAlign w:val="center"/>
          </w:tcPr>
          <w:p w14:paraId="2DDE0824">
            <w:pPr>
              <w:pStyle w:val="11"/>
            </w:pPr>
            <w:r>
              <w:t>1564.81</w:t>
            </w:r>
          </w:p>
        </w:tc>
        <w:tc>
          <w:tcPr>
            <w:tcW w:w="2551" w:type="dxa"/>
            <w:vAlign w:val="center"/>
          </w:tcPr>
          <w:p w14:paraId="7BE5D7AE">
            <w:pPr>
              <w:pStyle w:val="11"/>
            </w:pPr>
            <w:r>
              <w:t>517.64</w:t>
            </w:r>
          </w:p>
        </w:tc>
      </w:tr>
      <w:tr w14:paraId="76DF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A22B">
            <w:pPr>
              <w:pStyle w:val="13"/>
            </w:pPr>
            <w:r>
              <w:t>3</w:t>
            </w:r>
          </w:p>
        </w:tc>
        <w:tc>
          <w:tcPr>
            <w:tcW w:w="1191" w:type="dxa"/>
            <w:vAlign w:val="center"/>
          </w:tcPr>
          <w:p w14:paraId="2F75446B">
            <w:pPr>
              <w:pStyle w:val="12"/>
            </w:pPr>
            <w:r>
              <w:t>20502</w:t>
            </w:r>
          </w:p>
        </w:tc>
        <w:tc>
          <w:tcPr>
            <w:tcW w:w="4535" w:type="dxa"/>
            <w:vAlign w:val="center"/>
          </w:tcPr>
          <w:p w14:paraId="52540493">
            <w:pPr>
              <w:pStyle w:val="12"/>
            </w:pPr>
            <w:r>
              <w:t>普通教育</w:t>
            </w:r>
          </w:p>
        </w:tc>
        <w:tc>
          <w:tcPr>
            <w:tcW w:w="2551" w:type="dxa"/>
            <w:vAlign w:val="center"/>
          </w:tcPr>
          <w:p w14:paraId="09484372">
            <w:pPr>
              <w:pStyle w:val="11"/>
            </w:pPr>
            <w:r>
              <w:t>2082.45</w:t>
            </w:r>
          </w:p>
        </w:tc>
        <w:tc>
          <w:tcPr>
            <w:tcW w:w="2551" w:type="dxa"/>
            <w:vAlign w:val="center"/>
          </w:tcPr>
          <w:p w14:paraId="0C6C281F">
            <w:pPr>
              <w:pStyle w:val="11"/>
            </w:pPr>
            <w:r>
              <w:t>1564.81</w:t>
            </w:r>
          </w:p>
        </w:tc>
        <w:tc>
          <w:tcPr>
            <w:tcW w:w="2551" w:type="dxa"/>
            <w:vAlign w:val="center"/>
          </w:tcPr>
          <w:p w14:paraId="533D60F2">
            <w:pPr>
              <w:pStyle w:val="11"/>
            </w:pPr>
            <w:r>
              <w:t>517.64</w:t>
            </w:r>
          </w:p>
        </w:tc>
      </w:tr>
      <w:tr w14:paraId="0D0E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B72F0">
            <w:pPr>
              <w:pStyle w:val="13"/>
            </w:pPr>
            <w:r>
              <w:t>4</w:t>
            </w:r>
          </w:p>
        </w:tc>
        <w:tc>
          <w:tcPr>
            <w:tcW w:w="1191" w:type="dxa"/>
            <w:vAlign w:val="center"/>
          </w:tcPr>
          <w:p w14:paraId="5395947D">
            <w:pPr>
              <w:pStyle w:val="12"/>
            </w:pPr>
            <w:r>
              <w:t>2050201</w:t>
            </w:r>
          </w:p>
        </w:tc>
        <w:tc>
          <w:tcPr>
            <w:tcW w:w="4535" w:type="dxa"/>
            <w:vAlign w:val="center"/>
          </w:tcPr>
          <w:p w14:paraId="093F14C3">
            <w:pPr>
              <w:pStyle w:val="12"/>
            </w:pPr>
            <w:r>
              <w:t>学前教育</w:t>
            </w:r>
          </w:p>
        </w:tc>
        <w:tc>
          <w:tcPr>
            <w:tcW w:w="2551" w:type="dxa"/>
            <w:vAlign w:val="center"/>
          </w:tcPr>
          <w:p w14:paraId="7094752C">
            <w:pPr>
              <w:pStyle w:val="11"/>
            </w:pPr>
            <w:r>
              <w:t>143.43</w:t>
            </w:r>
          </w:p>
        </w:tc>
        <w:tc>
          <w:tcPr>
            <w:tcW w:w="2551" w:type="dxa"/>
            <w:vAlign w:val="center"/>
          </w:tcPr>
          <w:p w14:paraId="74C0E628">
            <w:pPr>
              <w:pStyle w:val="11"/>
            </w:pPr>
          </w:p>
        </w:tc>
        <w:tc>
          <w:tcPr>
            <w:tcW w:w="2551" w:type="dxa"/>
            <w:vAlign w:val="center"/>
          </w:tcPr>
          <w:p w14:paraId="3A11DAA5">
            <w:pPr>
              <w:pStyle w:val="11"/>
            </w:pPr>
            <w:r>
              <w:t>143.43</w:t>
            </w:r>
          </w:p>
        </w:tc>
      </w:tr>
      <w:tr w14:paraId="009AF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B9CD">
            <w:pPr>
              <w:pStyle w:val="13"/>
            </w:pPr>
            <w:r>
              <w:t>5</w:t>
            </w:r>
          </w:p>
        </w:tc>
        <w:tc>
          <w:tcPr>
            <w:tcW w:w="1191" w:type="dxa"/>
            <w:vAlign w:val="center"/>
          </w:tcPr>
          <w:p w14:paraId="13C9DFD0">
            <w:pPr>
              <w:pStyle w:val="12"/>
            </w:pPr>
            <w:r>
              <w:t>2050202</w:t>
            </w:r>
          </w:p>
        </w:tc>
        <w:tc>
          <w:tcPr>
            <w:tcW w:w="4535" w:type="dxa"/>
            <w:vAlign w:val="center"/>
          </w:tcPr>
          <w:p w14:paraId="1F35D89C">
            <w:pPr>
              <w:pStyle w:val="12"/>
            </w:pPr>
            <w:r>
              <w:t>小学教育</w:t>
            </w:r>
          </w:p>
        </w:tc>
        <w:tc>
          <w:tcPr>
            <w:tcW w:w="2551" w:type="dxa"/>
            <w:vAlign w:val="center"/>
          </w:tcPr>
          <w:p w14:paraId="07C0F21C">
            <w:pPr>
              <w:pStyle w:val="11"/>
            </w:pPr>
            <w:r>
              <w:t>1939.02</w:t>
            </w:r>
          </w:p>
        </w:tc>
        <w:tc>
          <w:tcPr>
            <w:tcW w:w="2551" w:type="dxa"/>
            <w:vAlign w:val="center"/>
          </w:tcPr>
          <w:p w14:paraId="661A8EFB">
            <w:pPr>
              <w:pStyle w:val="11"/>
            </w:pPr>
            <w:r>
              <w:t>1564.81</w:t>
            </w:r>
          </w:p>
        </w:tc>
        <w:tc>
          <w:tcPr>
            <w:tcW w:w="2551" w:type="dxa"/>
            <w:vAlign w:val="center"/>
          </w:tcPr>
          <w:p w14:paraId="2BDE7F43">
            <w:pPr>
              <w:pStyle w:val="11"/>
            </w:pPr>
            <w:r>
              <w:t>374.21</w:t>
            </w:r>
          </w:p>
        </w:tc>
      </w:tr>
    </w:tbl>
    <w:p w14:paraId="1F219170">
      <w:pPr>
        <w:sectPr>
          <w:pgSz w:w="16840" w:h="11900" w:orient="landscape"/>
          <w:pgMar w:top="1361" w:right="1020" w:bottom="1134" w:left="1020" w:header="720" w:footer="720" w:gutter="0"/>
          <w:cols w:space="720" w:num="1"/>
        </w:sectPr>
      </w:pPr>
    </w:p>
    <w:p w14:paraId="4A09E3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259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6F7A91">
            <w:pPr>
              <w:pStyle w:val="9"/>
            </w:pPr>
            <w:r>
              <w:t>360025隆尧县千户营校区</w:t>
            </w:r>
          </w:p>
        </w:tc>
        <w:tc>
          <w:tcPr>
            <w:tcW w:w="2551" w:type="dxa"/>
            <w:tcBorders>
              <w:top w:val="single" w:color="FFFFFF" w:sz="6" w:space="0"/>
              <w:left w:val="single" w:color="FFFFFF" w:sz="6" w:space="0"/>
              <w:right w:val="single" w:color="FFFFFF" w:sz="6" w:space="0"/>
            </w:tcBorders>
            <w:vAlign w:val="center"/>
          </w:tcPr>
          <w:p w14:paraId="5F6C8BE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3D93A2">
            <w:pPr>
              <w:pStyle w:val="7"/>
            </w:pPr>
            <w:r>
              <w:t>单位：万元</w:t>
            </w:r>
          </w:p>
        </w:tc>
      </w:tr>
      <w:tr w14:paraId="3F53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A0452">
            <w:pPr>
              <w:pStyle w:val="10"/>
            </w:pPr>
            <w:r>
              <w:t>序号</w:t>
            </w:r>
          </w:p>
        </w:tc>
        <w:tc>
          <w:tcPr>
            <w:tcW w:w="5726" w:type="dxa"/>
            <w:gridSpan w:val="2"/>
            <w:vAlign w:val="center"/>
          </w:tcPr>
          <w:p w14:paraId="092C6DA5">
            <w:pPr>
              <w:pStyle w:val="10"/>
            </w:pPr>
            <w:r>
              <w:t>支出部门经济分类科目</w:t>
            </w:r>
          </w:p>
        </w:tc>
        <w:tc>
          <w:tcPr>
            <w:tcW w:w="7653" w:type="dxa"/>
            <w:gridSpan w:val="3"/>
            <w:vAlign w:val="center"/>
          </w:tcPr>
          <w:p w14:paraId="609C7740">
            <w:pPr>
              <w:pStyle w:val="10"/>
            </w:pPr>
            <w:r>
              <w:t>一般公共预算基本支出</w:t>
            </w:r>
          </w:p>
        </w:tc>
      </w:tr>
      <w:tr w14:paraId="2963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4C6988"/>
        </w:tc>
        <w:tc>
          <w:tcPr>
            <w:tcW w:w="1191" w:type="dxa"/>
            <w:vAlign w:val="center"/>
          </w:tcPr>
          <w:p w14:paraId="59EF7489">
            <w:pPr>
              <w:pStyle w:val="10"/>
            </w:pPr>
            <w:r>
              <w:t>科目编码</w:t>
            </w:r>
          </w:p>
        </w:tc>
        <w:tc>
          <w:tcPr>
            <w:tcW w:w="4535" w:type="dxa"/>
            <w:vAlign w:val="center"/>
          </w:tcPr>
          <w:p w14:paraId="622BA3FA">
            <w:pPr>
              <w:pStyle w:val="10"/>
            </w:pPr>
            <w:r>
              <w:t>科目名称</w:t>
            </w:r>
          </w:p>
        </w:tc>
        <w:tc>
          <w:tcPr>
            <w:tcW w:w="2551" w:type="dxa"/>
            <w:vAlign w:val="center"/>
          </w:tcPr>
          <w:p w14:paraId="0ADA044C">
            <w:pPr>
              <w:pStyle w:val="10"/>
            </w:pPr>
            <w:r>
              <w:t>合计</w:t>
            </w:r>
          </w:p>
        </w:tc>
        <w:tc>
          <w:tcPr>
            <w:tcW w:w="2551" w:type="dxa"/>
            <w:vAlign w:val="center"/>
          </w:tcPr>
          <w:p w14:paraId="2C2ED880">
            <w:pPr>
              <w:pStyle w:val="10"/>
            </w:pPr>
            <w:r>
              <w:t>人员经费</w:t>
            </w:r>
          </w:p>
        </w:tc>
        <w:tc>
          <w:tcPr>
            <w:tcW w:w="2551" w:type="dxa"/>
            <w:vAlign w:val="center"/>
          </w:tcPr>
          <w:p w14:paraId="2957143C">
            <w:pPr>
              <w:pStyle w:val="10"/>
            </w:pPr>
            <w:r>
              <w:t>公用经费</w:t>
            </w:r>
          </w:p>
        </w:tc>
      </w:tr>
      <w:tr w14:paraId="015F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CFF50">
            <w:pPr>
              <w:pStyle w:val="10"/>
            </w:pPr>
            <w:r>
              <w:t>栏次</w:t>
            </w:r>
          </w:p>
        </w:tc>
        <w:tc>
          <w:tcPr>
            <w:tcW w:w="1191" w:type="dxa"/>
            <w:vAlign w:val="center"/>
          </w:tcPr>
          <w:p w14:paraId="6FC8811D">
            <w:pPr>
              <w:pStyle w:val="10"/>
            </w:pPr>
            <w:r>
              <w:t>1</w:t>
            </w:r>
          </w:p>
        </w:tc>
        <w:tc>
          <w:tcPr>
            <w:tcW w:w="4535" w:type="dxa"/>
            <w:vAlign w:val="center"/>
          </w:tcPr>
          <w:p w14:paraId="6C1FC667">
            <w:pPr>
              <w:pStyle w:val="10"/>
            </w:pPr>
            <w:r>
              <w:t>2</w:t>
            </w:r>
          </w:p>
        </w:tc>
        <w:tc>
          <w:tcPr>
            <w:tcW w:w="2551" w:type="dxa"/>
            <w:vAlign w:val="center"/>
          </w:tcPr>
          <w:p w14:paraId="579359FE">
            <w:pPr>
              <w:pStyle w:val="10"/>
            </w:pPr>
            <w:r>
              <w:t>3</w:t>
            </w:r>
          </w:p>
        </w:tc>
        <w:tc>
          <w:tcPr>
            <w:tcW w:w="2551" w:type="dxa"/>
            <w:vAlign w:val="center"/>
          </w:tcPr>
          <w:p w14:paraId="01A0E2C6">
            <w:pPr>
              <w:pStyle w:val="10"/>
            </w:pPr>
            <w:r>
              <w:t>4</w:t>
            </w:r>
          </w:p>
        </w:tc>
        <w:tc>
          <w:tcPr>
            <w:tcW w:w="2551" w:type="dxa"/>
            <w:vAlign w:val="center"/>
          </w:tcPr>
          <w:p w14:paraId="60030770">
            <w:pPr>
              <w:pStyle w:val="10"/>
            </w:pPr>
            <w:r>
              <w:t>5</w:t>
            </w:r>
          </w:p>
        </w:tc>
      </w:tr>
      <w:tr w14:paraId="72D7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22BBC">
            <w:pPr>
              <w:pStyle w:val="13"/>
            </w:pPr>
            <w:r>
              <w:t>1</w:t>
            </w:r>
          </w:p>
        </w:tc>
        <w:tc>
          <w:tcPr>
            <w:tcW w:w="1191" w:type="dxa"/>
            <w:vAlign w:val="center"/>
          </w:tcPr>
          <w:p w14:paraId="52ED18C8">
            <w:pPr>
              <w:pStyle w:val="16"/>
            </w:pPr>
          </w:p>
        </w:tc>
        <w:tc>
          <w:tcPr>
            <w:tcW w:w="4535" w:type="dxa"/>
            <w:vAlign w:val="center"/>
          </w:tcPr>
          <w:p w14:paraId="4CEBFB71">
            <w:pPr>
              <w:pStyle w:val="14"/>
            </w:pPr>
            <w:r>
              <w:t>合计</w:t>
            </w:r>
          </w:p>
        </w:tc>
        <w:tc>
          <w:tcPr>
            <w:tcW w:w="2551" w:type="dxa"/>
            <w:vAlign w:val="center"/>
          </w:tcPr>
          <w:p w14:paraId="184C30A7">
            <w:pPr>
              <w:pStyle w:val="15"/>
            </w:pPr>
            <w:r>
              <w:t>1564.81</w:t>
            </w:r>
          </w:p>
        </w:tc>
        <w:tc>
          <w:tcPr>
            <w:tcW w:w="2551" w:type="dxa"/>
            <w:vAlign w:val="center"/>
          </w:tcPr>
          <w:p w14:paraId="67CDBABF">
            <w:pPr>
              <w:pStyle w:val="15"/>
            </w:pPr>
            <w:r>
              <w:t>1564.81</w:t>
            </w:r>
          </w:p>
        </w:tc>
        <w:tc>
          <w:tcPr>
            <w:tcW w:w="2551" w:type="dxa"/>
            <w:vAlign w:val="center"/>
          </w:tcPr>
          <w:p w14:paraId="6E4DA518">
            <w:pPr>
              <w:pStyle w:val="15"/>
            </w:pPr>
          </w:p>
        </w:tc>
      </w:tr>
      <w:tr w14:paraId="6A3D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1EBF2">
            <w:pPr>
              <w:pStyle w:val="13"/>
            </w:pPr>
            <w:r>
              <w:t>2</w:t>
            </w:r>
          </w:p>
        </w:tc>
        <w:tc>
          <w:tcPr>
            <w:tcW w:w="1191" w:type="dxa"/>
            <w:vAlign w:val="center"/>
          </w:tcPr>
          <w:p w14:paraId="1E9F6E5E">
            <w:pPr>
              <w:pStyle w:val="12"/>
            </w:pPr>
            <w:r>
              <w:t>301</w:t>
            </w:r>
          </w:p>
        </w:tc>
        <w:tc>
          <w:tcPr>
            <w:tcW w:w="4535" w:type="dxa"/>
            <w:vAlign w:val="center"/>
          </w:tcPr>
          <w:p w14:paraId="7B9A430C">
            <w:pPr>
              <w:pStyle w:val="12"/>
            </w:pPr>
            <w:r>
              <w:t>工资福利支出</w:t>
            </w:r>
          </w:p>
        </w:tc>
        <w:tc>
          <w:tcPr>
            <w:tcW w:w="2551" w:type="dxa"/>
            <w:vAlign w:val="center"/>
          </w:tcPr>
          <w:p w14:paraId="36458CB6">
            <w:pPr>
              <w:pStyle w:val="11"/>
            </w:pPr>
            <w:r>
              <w:t>1419.91</w:t>
            </w:r>
          </w:p>
        </w:tc>
        <w:tc>
          <w:tcPr>
            <w:tcW w:w="2551" w:type="dxa"/>
            <w:vAlign w:val="center"/>
          </w:tcPr>
          <w:p w14:paraId="4DB0313F">
            <w:pPr>
              <w:pStyle w:val="11"/>
            </w:pPr>
            <w:r>
              <w:t>1419.91</w:t>
            </w:r>
          </w:p>
        </w:tc>
        <w:tc>
          <w:tcPr>
            <w:tcW w:w="2551" w:type="dxa"/>
            <w:vAlign w:val="center"/>
          </w:tcPr>
          <w:p w14:paraId="603F33A7">
            <w:pPr>
              <w:pStyle w:val="11"/>
            </w:pPr>
          </w:p>
        </w:tc>
      </w:tr>
      <w:tr w14:paraId="4D3B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88C0">
            <w:pPr>
              <w:pStyle w:val="13"/>
            </w:pPr>
            <w:r>
              <w:t>3</w:t>
            </w:r>
          </w:p>
        </w:tc>
        <w:tc>
          <w:tcPr>
            <w:tcW w:w="1191" w:type="dxa"/>
            <w:vAlign w:val="center"/>
          </w:tcPr>
          <w:p w14:paraId="53C02D47">
            <w:pPr>
              <w:pStyle w:val="12"/>
            </w:pPr>
            <w:r>
              <w:t>30101</w:t>
            </w:r>
          </w:p>
        </w:tc>
        <w:tc>
          <w:tcPr>
            <w:tcW w:w="4535" w:type="dxa"/>
            <w:vAlign w:val="center"/>
          </w:tcPr>
          <w:p w14:paraId="58B6CD04">
            <w:pPr>
              <w:pStyle w:val="12"/>
            </w:pPr>
            <w:r>
              <w:t>基本工资</w:t>
            </w:r>
          </w:p>
        </w:tc>
        <w:tc>
          <w:tcPr>
            <w:tcW w:w="2551" w:type="dxa"/>
            <w:vAlign w:val="center"/>
          </w:tcPr>
          <w:p w14:paraId="192DEC89">
            <w:pPr>
              <w:pStyle w:val="11"/>
            </w:pPr>
            <w:r>
              <w:t>627.23</w:t>
            </w:r>
          </w:p>
        </w:tc>
        <w:tc>
          <w:tcPr>
            <w:tcW w:w="2551" w:type="dxa"/>
            <w:vAlign w:val="center"/>
          </w:tcPr>
          <w:p w14:paraId="54C4436D">
            <w:pPr>
              <w:pStyle w:val="11"/>
            </w:pPr>
            <w:r>
              <w:t>627.23</w:t>
            </w:r>
          </w:p>
        </w:tc>
        <w:tc>
          <w:tcPr>
            <w:tcW w:w="2551" w:type="dxa"/>
            <w:vAlign w:val="center"/>
          </w:tcPr>
          <w:p w14:paraId="07DCDFD5">
            <w:pPr>
              <w:pStyle w:val="11"/>
            </w:pPr>
          </w:p>
        </w:tc>
      </w:tr>
      <w:tr w14:paraId="2899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0A14D">
            <w:pPr>
              <w:pStyle w:val="13"/>
            </w:pPr>
            <w:r>
              <w:t>4</w:t>
            </w:r>
          </w:p>
        </w:tc>
        <w:tc>
          <w:tcPr>
            <w:tcW w:w="1191" w:type="dxa"/>
            <w:vAlign w:val="center"/>
          </w:tcPr>
          <w:p w14:paraId="0FAC81EC">
            <w:pPr>
              <w:pStyle w:val="12"/>
            </w:pPr>
            <w:r>
              <w:t>30102</w:t>
            </w:r>
          </w:p>
        </w:tc>
        <w:tc>
          <w:tcPr>
            <w:tcW w:w="4535" w:type="dxa"/>
            <w:vAlign w:val="center"/>
          </w:tcPr>
          <w:p w14:paraId="4462C1C5">
            <w:pPr>
              <w:pStyle w:val="12"/>
            </w:pPr>
            <w:r>
              <w:t>津贴补贴</w:t>
            </w:r>
          </w:p>
        </w:tc>
        <w:tc>
          <w:tcPr>
            <w:tcW w:w="2551" w:type="dxa"/>
            <w:vAlign w:val="center"/>
          </w:tcPr>
          <w:p w14:paraId="3B937B5F">
            <w:pPr>
              <w:pStyle w:val="11"/>
            </w:pPr>
            <w:r>
              <w:t>62.50</w:t>
            </w:r>
          </w:p>
        </w:tc>
        <w:tc>
          <w:tcPr>
            <w:tcW w:w="2551" w:type="dxa"/>
            <w:vAlign w:val="center"/>
          </w:tcPr>
          <w:p w14:paraId="741AF5C3">
            <w:pPr>
              <w:pStyle w:val="11"/>
            </w:pPr>
            <w:r>
              <w:t>62.50</w:t>
            </w:r>
          </w:p>
        </w:tc>
        <w:tc>
          <w:tcPr>
            <w:tcW w:w="2551" w:type="dxa"/>
            <w:vAlign w:val="center"/>
          </w:tcPr>
          <w:p w14:paraId="6168159F">
            <w:pPr>
              <w:pStyle w:val="11"/>
            </w:pPr>
          </w:p>
        </w:tc>
      </w:tr>
      <w:tr w14:paraId="7895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4C8C">
            <w:pPr>
              <w:pStyle w:val="13"/>
            </w:pPr>
            <w:r>
              <w:t>5</w:t>
            </w:r>
          </w:p>
        </w:tc>
        <w:tc>
          <w:tcPr>
            <w:tcW w:w="1191" w:type="dxa"/>
            <w:vAlign w:val="center"/>
          </w:tcPr>
          <w:p w14:paraId="7DEC5E59">
            <w:pPr>
              <w:pStyle w:val="12"/>
            </w:pPr>
            <w:r>
              <w:t>30107</w:t>
            </w:r>
          </w:p>
        </w:tc>
        <w:tc>
          <w:tcPr>
            <w:tcW w:w="4535" w:type="dxa"/>
            <w:vAlign w:val="center"/>
          </w:tcPr>
          <w:p w14:paraId="387A0F82">
            <w:pPr>
              <w:pStyle w:val="12"/>
            </w:pPr>
            <w:r>
              <w:t>绩效工资</w:t>
            </w:r>
          </w:p>
        </w:tc>
        <w:tc>
          <w:tcPr>
            <w:tcW w:w="2551" w:type="dxa"/>
            <w:vAlign w:val="center"/>
          </w:tcPr>
          <w:p w14:paraId="791CACC3">
            <w:pPr>
              <w:pStyle w:val="11"/>
            </w:pPr>
            <w:r>
              <w:t>412.52</w:t>
            </w:r>
          </w:p>
        </w:tc>
        <w:tc>
          <w:tcPr>
            <w:tcW w:w="2551" w:type="dxa"/>
            <w:vAlign w:val="center"/>
          </w:tcPr>
          <w:p w14:paraId="3054E8AB">
            <w:pPr>
              <w:pStyle w:val="11"/>
            </w:pPr>
            <w:r>
              <w:t>412.52</w:t>
            </w:r>
          </w:p>
        </w:tc>
        <w:tc>
          <w:tcPr>
            <w:tcW w:w="2551" w:type="dxa"/>
            <w:vAlign w:val="center"/>
          </w:tcPr>
          <w:p w14:paraId="76EAC89C">
            <w:pPr>
              <w:pStyle w:val="11"/>
            </w:pPr>
          </w:p>
        </w:tc>
      </w:tr>
      <w:tr w14:paraId="418C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E0CF">
            <w:pPr>
              <w:pStyle w:val="13"/>
            </w:pPr>
            <w:r>
              <w:t>6</w:t>
            </w:r>
          </w:p>
        </w:tc>
        <w:tc>
          <w:tcPr>
            <w:tcW w:w="1191" w:type="dxa"/>
            <w:vAlign w:val="center"/>
          </w:tcPr>
          <w:p w14:paraId="44FD95BD">
            <w:pPr>
              <w:pStyle w:val="12"/>
            </w:pPr>
            <w:r>
              <w:t>30108</w:t>
            </w:r>
          </w:p>
        </w:tc>
        <w:tc>
          <w:tcPr>
            <w:tcW w:w="4535" w:type="dxa"/>
            <w:vAlign w:val="center"/>
          </w:tcPr>
          <w:p w14:paraId="2025B4BA">
            <w:pPr>
              <w:pStyle w:val="12"/>
            </w:pPr>
            <w:r>
              <w:t>机关事业单位基本养老保险缴费</w:t>
            </w:r>
          </w:p>
        </w:tc>
        <w:tc>
          <w:tcPr>
            <w:tcW w:w="2551" w:type="dxa"/>
            <w:vAlign w:val="center"/>
          </w:tcPr>
          <w:p w14:paraId="4DCF6C5B">
            <w:pPr>
              <w:pStyle w:val="11"/>
            </w:pPr>
            <w:r>
              <w:t>140.69</w:t>
            </w:r>
          </w:p>
        </w:tc>
        <w:tc>
          <w:tcPr>
            <w:tcW w:w="2551" w:type="dxa"/>
            <w:vAlign w:val="center"/>
          </w:tcPr>
          <w:p w14:paraId="691C52CD">
            <w:pPr>
              <w:pStyle w:val="11"/>
            </w:pPr>
            <w:r>
              <w:t>140.69</w:t>
            </w:r>
          </w:p>
        </w:tc>
        <w:tc>
          <w:tcPr>
            <w:tcW w:w="2551" w:type="dxa"/>
            <w:vAlign w:val="center"/>
          </w:tcPr>
          <w:p w14:paraId="02B2DA3A">
            <w:pPr>
              <w:pStyle w:val="11"/>
            </w:pPr>
          </w:p>
        </w:tc>
      </w:tr>
      <w:tr w14:paraId="607A8E9F">
        <w:tblPrEx>
          <w:tblCellMar>
            <w:top w:w="0" w:type="dxa"/>
            <w:left w:w="108" w:type="dxa"/>
            <w:bottom w:w="0" w:type="dxa"/>
            <w:right w:w="108" w:type="dxa"/>
          </w:tblCellMar>
        </w:tblPrEx>
        <w:trPr>
          <w:trHeight w:val="369" w:hRule="atLeast"/>
          <w:jc w:val="center"/>
        </w:trPr>
        <w:tc>
          <w:tcPr>
            <w:tcW w:w="850" w:type="dxa"/>
            <w:vAlign w:val="center"/>
          </w:tcPr>
          <w:p w14:paraId="7A8300DB">
            <w:pPr>
              <w:pStyle w:val="13"/>
            </w:pPr>
            <w:r>
              <w:t>7</w:t>
            </w:r>
          </w:p>
        </w:tc>
        <w:tc>
          <w:tcPr>
            <w:tcW w:w="1191" w:type="dxa"/>
            <w:vAlign w:val="center"/>
          </w:tcPr>
          <w:p w14:paraId="014D4892">
            <w:pPr>
              <w:pStyle w:val="12"/>
            </w:pPr>
            <w:r>
              <w:t>30110</w:t>
            </w:r>
          </w:p>
        </w:tc>
        <w:tc>
          <w:tcPr>
            <w:tcW w:w="4535" w:type="dxa"/>
            <w:vAlign w:val="center"/>
          </w:tcPr>
          <w:p w14:paraId="69EB5BFA">
            <w:pPr>
              <w:pStyle w:val="12"/>
            </w:pPr>
            <w:r>
              <w:t>职工基本医疗保险缴费</w:t>
            </w:r>
          </w:p>
        </w:tc>
        <w:tc>
          <w:tcPr>
            <w:tcW w:w="2551" w:type="dxa"/>
            <w:vAlign w:val="center"/>
          </w:tcPr>
          <w:p w14:paraId="741685B1">
            <w:pPr>
              <w:pStyle w:val="11"/>
            </w:pPr>
            <w:r>
              <w:t>66.84</w:t>
            </w:r>
          </w:p>
        </w:tc>
        <w:tc>
          <w:tcPr>
            <w:tcW w:w="2551" w:type="dxa"/>
            <w:vAlign w:val="center"/>
          </w:tcPr>
          <w:p w14:paraId="2F778DB2">
            <w:pPr>
              <w:pStyle w:val="11"/>
            </w:pPr>
            <w:r>
              <w:t>66.84</w:t>
            </w:r>
          </w:p>
        </w:tc>
        <w:tc>
          <w:tcPr>
            <w:tcW w:w="2551" w:type="dxa"/>
            <w:vAlign w:val="center"/>
          </w:tcPr>
          <w:p w14:paraId="648A97D8">
            <w:pPr>
              <w:pStyle w:val="11"/>
            </w:pPr>
          </w:p>
        </w:tc>
      </w:tr>
      <w:tr w14:paraId="3DA1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A266E">
            <w:pPr>
              <w:pStyle w:val="13"/>
            </w:pPr>
            <w:r>
              <w:t>8</w:t>
            </w:r>
          </w:p>
        </w:tc>
        <w:tc>
          <w:tcPr>
            <w:tcW w:w="1191" w:type="dxa"/>
            <w:vAlign w:val="center"/>
          </w:tcPr>
          <w:p w14:paraId="68DC6ECE">
            <w:pPr>
              <w:pStyle w:val="12"/>
            </w:pPr>
            <w:r>
              <w:t>30112</w:t>
            </w:r>
          </w:p>
        </w:tc>
        <w:tc>
          <w:tcPr>
            <w:tcW w:w="4535" w:type="dxa"/>
            <w:vAlign w:val="center"/>
          </w:tcPr>
          <w:p w14:paraId="66436380">
            <w:pPr>
              <w:pStyle w:val="12"/>
            </w:pPr>
            <w:r>
              <w:t>其他社会保障缴费</w:t>
            </w:r>
          </w:p>
        </w:tc>
        <w:tc>
          <w:tcPr>
            <w:tcW w:w="2551" w:type="dxa"/>
            <w:vAlign w:val="center"/>
          </w:tcPr>
          <w:p w14:paraId="1851DEEB">
            <w:pPr>
              <w:pStyle w:val="11"/>
            </w:pPr>
            <w:r>
              <w:t>4.40</w:t>
            </w:r>
          </w:p>
        </w:tc>
        <w:tc>
          <w:tcPr>
            <w:tcW w:w="2551" w:type="dxa"/>
            <w:vAlign w:val="center"/>
          </w:tcPr>
          <w:p w14:paraId="683272A0">
            <w:pPr>
              <w:pStyle w:val="11"/>
            </w:pPr>
            <w:r>
              <w:t>4.40</w:t>
            </w:r>
          </w:p>
        </w:tc>
        <w:tc>
          <w:tcPr>
            <w:tcW w:w="2551" w:type="dxa"/>
            <w:vAlign w:val="center"/>
          </w:tcPr>
          <w:p w14:paraId="534030D8">
            <w:pPr>
              <w:pStyle w:val="11"/>
            </w:pPr>
          </w:p>
        </w:tc>
      </w:tr>
      <w:tr w14:paraId="1AA69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5A97">
            <w:pPr>
              <w:pStyle w:val="13"/>
            </w:pPr>
            <w:r>
              <w:t>9</w:t>
            </w:r>
          </w:p>
        </w:tc>
        <w:tc>
          <w:tcPr>
            <w:tcW w:w="1191" w:type="dxa"/>
            <w:vAlign w:val="center"/>
          </w:tcPr>
          <w:p w14:paraId="68B78005">
            <w:pPr>
              <w:pStyle w:val="12"/>
            </w:pPr>
            <w:r>
              <w:t>30113</w:t>
            </w:r>
          </w:p>
        </w:tc>
        <w:tc>
          <w:tcPr>
            <w:tcW w:w="4535" w:type="dxa"/>
            <w:vAlign w:val="center"/>
          </w:tcPr>
          <w:p w14:paraId="139CFD52">
            <w:pPr>
              <w:pStyle w:val="12"/>
            </w:pPr>
            <w:r>
              <w:t>住房公积金</w:t>
            </w:r>
          </w:p>
        </w:tc>
        <w:tc>
          <w:tcPr>
            <w:tcW w:w="2551" w:type="dxa"/>
            <w:vAlign w:val="center"/>
          </w:tcPr>
          <w:p w14:paraId="5F8802A2">
            <w:pPr>
              <w:pStyle w:val="11"/>
            </w:pPr>
            <w:r>
              <w:t>105.73</w:t>
            </w:r>
          </w:p>
        </w:tc>
        <w:tc>
          <w:tcPr>
            <w:tcW w:w="2551" w:type="dxa"/>
            <w:vAlign w:val="center"/>
          </w:tcPr>
          <w:p w14:paraId="7235EA87">
            <w:pPr>
              <w:pStyle w:val="11"/>
            </w:pPr>
            <w:r>
              <w:t>105.73</w:t>
            </w:r>
          </w:p>
        </w:tc>
        <w:tc>
          <w:tcPr>
            <w:tcW w:w="2551" w:type="dxa"/>
            <w:vAlign w:val="center"/>
          </w:tcPr>
          <w:p w14:paraId="4DCC0525">
            <w:pPr>
              <w:pStyle w:val="11"/>
            </w:pPr>
          </w:p>
        </w:tc>
      </w:tr>
      <w:tr w14:paraId="60D7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B1DE6">
            <w:pPr>
              <w:pStyle w:val="13"/>
            </w:pPr>
            <w:r>
              <w:t>10</w:t>
            </w:r>
          </w:p>
        </w:tc>
        <w:tc>
          <w:tcPr>
            <w:tcW w:w="1191" w:type="dxa"/>
            <w:vAlign w:val="center"/>
          </w:tcPr>
          <w:p w14:paraId="76E7EC77">
            <w:pPr>
              <w:pStyle w:val="12"/>
            </w:pPr>
            <w:r>
              <w:t>303</w:t>
            </w:r>
          </w:p>
        </w:tc>
        <w:tc>
          <w:tcPr>
            <w:tcW w:w="4535" w:type="dxa"/>
            <w:vAlign w:val="center"/>
          </w:tcPr>
          <w:p w14:paraId="59E77177">
            <w:pPr>
              <w:pStyle w:val="12"/>
            </w:pPr>
            <w:r>
              <w:t>对个人和家庭的补助</w:t>
            </w:r>
          </w:p>
        </w:tc>
        <w:tc>
          <w:tcPr>
            <w:tcW w:w="2551" w:type="dxa"/>
            <w:vAlign w:val="center"/>
          </w:tcPr>
          <w:p w14:paraId="13F122FE">
            <w:pPr>
              <w:pStyle w:val="11"/>
            </w:pPr>
            <w:r>
              <w:t>144.89</w:t>
            </w:r>
          </w:p>
        </w:tc>
        <w:tc>
          <w:tcPr>
            <w:tcW w:w="2551" w:type="dxa"/>
            <w:vAlign w:val="center"/>
          </w:tcPr>
          <w:p w14:paraId="0D93AB23">
            <w:pPr>
              <w:pStyle w:val="11"/>
            </w:pPr>
            <w:r>
              <w:t>144.89</w:t>
            </w:r>
          </w:p>
        </w:tc>
        <w:tc>
          <w:tcPr>
            <w:tcW w:w="2551" w:type="dxa"/>
            <w:vAlign w:val="center"/>
          </w:tcPr>
          <w:p w14:paraId="6C21BC62">
            <w:pPr>
              <w:pStyle w:val="11"/>
            </w:pPr>
          </w:p>
        </w:tc>
      </w:tr>
      <w:tr w14:paraId="3558D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FF19C">
            <w:pPr>
              <w:pStyle w:val="13"/>
            </w:pPr>
            <w:r>
              <w:t>11</w:t>
            </w:r>
          </w:p>
        </w:tc>
        <w:tc>
          <w:tcPr>
            <w:tcW w:w="1191" w:type="dxa"/>
            <w:vAlign w:val="center"/>
          </w:tcPr>
          <w:p w14:paraId="60D5F97C">
            <w:pPr>
              <w:pStyle w:val="12"/>
            </w:pPr>
            <w:r>
              <w:t>30302</w:t>
            </w:r>
          </w:p>
        </w:tc>
        <w:tc>
          <w:tcPr>
            <w:tcW w:w="4535" w:type="dxa"/>
            <w:vAlign w:val="center"/>
          </w:tcPr>
          <w:p w14:paraId="714E2D94">
            <w:pPr>
              <w:pStyle w:val="12"/>
            </w:pPr>
            <w:r>
              <w:t>退休费</w:t>
            </w:r>
          </w:p>
        </w:tc>
        <w:tc>
          <w:tcPr>
            <w:tcW w:w="2551" w:type="dxa"/>
            <w:vAlign w:val="center"/>
          </w:tcPr>
          <w:p w14:paraId="3BF804F0">
            <w:pPr>
              <w:pStyle w:val="11"/>
            </w:pPr>
            <w:r>
              <w:t>136.07</w:t>
            </w:r>
          </w:p>
        </w:tc>
        <w:tc>
          <w:tcPr>
            <w:tcW w:w="2551" w:type="dxa"/>
            <w:vAlign w:val="center"/>
          </w:tcPr>
          <w:p w14:paraId="1891BBCC">
            <w:pPr>
              <w:pStyle w:val="11"/>
            </w:pPr>
            <w:r>
              <w:t>136.07</w:t>
            </w:r>
          </w:p>
        </w:tc>
        <w:tc>
          <w:tcPr>
            <w:tcW w:w="2551" w:type="dxa"/>
            <w:vAlign w:val="center"/>
          </w:tcPr>
          <w:p w14:paraId="29ADB318">
            <w:pPr>
              <w:pStyle w:val="11"/>
            </w:pPr>
          </w:p>
        </w:tc>
      </w:tr>
      <w:tr w14:paraId="508D8095">
        <w:tblPrEx>
          <w:tblCellMar>
            <w:top w:w="0" w:type="dxa"/>
            <w:left w:w="108" w:type="dxa"/>
            <w:bottom w:w="0" w:type="dxa"/>
            <w:right w:w="108" w:type="dxa"/>
          </w:tblCellMar>
        </w:tblPrEx>
        <w:trPr>
          <w:trHeight w:val="369" w:hRule="atLeast"/>
          <w:jc w:val="center"/>
        </w:trPr>
        <w:tc>
          <w:tcPr>
            <w:tcW w:w="850" w:type="dxa"/>
            <w:vAlign w:val="center"/>
          </w:tcPr>
          <w:p w14:paraId="47DE0A76">
            <w:pPr>
              <w:pStyle w:val="13"/>
            </w:pPr>
            <w:r>
              <w:t>12</w:t>
            </w:r>
          </w:p>
        </w:tc>
        <w:tc>
          <w:tcPr>
            <w:tcW w:w="1191" w:type="dxa"/>
            <w:vAlign w:val="center"/>
          </w:tcPr>
          <w:p w14:paraId="04A35B94">
            <w:pPr>
              <w:pStyle w:val="12"/>
            </w:pPr>
            <w:r>
              <w:t>30305</w:t>
            </w:r>
          </w:p>
        </w:tc>
        <w:tc>
          <w:tcPr>
            <w:tcW w:w="4535" w:type="dxa"/>
            <w:vAlign w:val="center"/>
          </w:tcPr>
          <w:p w14:paraId="31FA3D67">
            <w:pPr>
              <w:pStyle w:val="12"/>
            </w:pPr>
            <w:r>
              <w:t>生活补助</w:t>
            </w:r>
          </w:p>
        </w:tc>
        <w:tc>
          <w:tcPr>
            <w:tcW w:w="2551" w:type="dxa"/>
            <w:vAlign w:val="center"/>
          </w:tcPr>
          <w:p w14:paraId="01ACFCFE">
            <w:pPr>
              <w:pStyle w:val="11"/>
            </w:pPr>
            <w:r>
              <w:t>8.82</w:t>
            </w:r>
          </w:p>
        </w:tc>
        <w:tc>
          <w:tcPr>
            <w:tcW w:w="2551" w:type="dxa"/>
            <w:vAlign w:val="center"/>
          </w:tcPr>
          <w:p w14:paraId="74AAC934">
            <w:pPr>
              <w:pStyle w:val="11"/>
            </w:pPr>
            <w:r>
              <w:t>8.82</w:t>
            </w:r>
          </w:p>
        </w:tc>
        <w:tc>
          <w:tcPr>
            <w:tcW w:w="2551" w:type="dxa"/>
            <w:vAlign w:val="center"/>
          </w:tcPr>
          <w:p w14:paraId="6C734209">
            <w:pPr>
              <w:pStyle w:val="11"/>
            </w:pPr>
          </w:p>
        </w:tc>
      </w:tr>
    </w:tbl>
    <w:p w14:paraId="55BFB8F2">
      <w:pPr>
        <w:sectPr>
          <w:pgSz w:w="16840" w:h="11900" w:orient="landscape"/>
          <w:pgMar w:top="1361" w:right="1020" w:bottom="1134" w:left="1020" w:header="720" w:footer="720" w:gutter="0"/>
          <w:cols w:space="720" w:num="1"/>
        </w:sectPr>
      </w:pPr>
    </w:p>
    <w:p w14:paraId="42E2DE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3F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F3B24">
            <w:pPr>
              <w:pStyle w:val="9"/>
            </w:pPr>
            <w:r>
              <w:t>360025隆尧县千户营校区</w:t>
            </w:r>
          </w:p>
        </w:tc>
        <w:tc>
          <w:tcPr>
            <w:tcW w:w="2551" w:type="dxa"/>
            <w:tcBorders>
              <w:top w:val="single" w:color="FFFFFF" w:sz="6" w:space="0"/>
              <w:left w:val="single" w:color="FFFFFF" w:sz="6" w:space="0"/>
              <w:right w:val="single" w:color="FFFFFF" w:sz="6" w:space="0"/>
            </w:tcBorders>
            <w:vAlign w:val="center"/>
          </w:tcPr>
          <w:p w14:paraId="56B484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250412">
            <w:pPr>
              <w:pStyle w:val="7"/>
            </w:pPr>
            <w:r>
              <w:t>单位：万元</w:t>
            </w:r>
          </w:p>
        </w:tc>
      </w:tr>
      <w:tr w14:paraId="3218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3BE5F">
            <w:pPr>
              <w:pStyle w:val="10"/>
            </w:pPr>
            <w:r>
              <w:t>序号</w:t>
            </w:r>
          </w:p>
        </w:tc>
        <w:tc>
          <w:tcPr>
            <w:tcW w:w="5726" w:type="dxa"/>
            <w:gridSpan w:val="2"/>
            <w:vAlign w:val="center"/>
          </w:tcPr>
          <w:p w14:paraId="4B2199C9">
            <w:pPr>
              <w:pStyle w:val="10"/>
            </w:pPr>
            <w:r>
              <w:t>功能分类科目</w:t>
            </w:r>
          </w:p>
        </w:tc>
        <w:tc>
          <w:tcPr>
            <w:tcW w:w="2551" w:type="dxa"/>
            <w:vMerge w:val="restart"/>
            <w:vAlign w:val="center"/>
          </w:tcPr>
          <w:p w14:paraId="4436D0E8">
            <w:pPr>
              <w:pStyle w:val="10"/>
            </w:pPr>
            <w:r>
              <w:t>合计</w:t>
            </w:r>
          </w:p>
        </w:tc>
        <w:tc>
          <w:tcPr>
            <w:tcW w:w="2551" w:type="dxa"/>
            <w:vMerge w:val="restart"/>
            <w:vAlign w:val="center"/>
          </w:tcPr>
          <w:p w14:paraId="60F81892">
            <w:pPr>
              <w:pStyle w:val="10"/>
            </w:pPr>
            <w:r>
              <w:t>基本支出</w:t>
            </w:r>
          </w:p>
        </w:tc>
        <w:tc>
          <w:tcPr>
            <w:tcW w:w="2551" w:type="dxa"/>
            <w:vMerge w:val="restart"/>
            <w:vAlign w:val="center"/>
          </w:tcPr>
          <w:p w14:paraId="06DD91E6">
            <w:pPr>
              <w:pStyle w:val="10"/>
            </w:pPr>
            <w:r>
              <w:t>项目支出</w:t>
            </w:r>
          </w:p>
        </w:tc>
      </w:tr>
      <w:tr w14:paraId="56E9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49BCE2"/>
        </w:tc>
        <w:tc>
          <w:tcPr>
            <w:tcW w:w="1191" w:type="dxa"/>
            <w:vAlign w:val="center"/>
          </w:tcPr>
          <w:p w14:paraId="13A90598">
            <w:pPr>
              <w:pStyle w:val="10"/>
            </w:pPr>
            <w:r>
              <w:t>科目编码</w:t>
            </w:r>
          </w:p>
        </w:tc>
        <w:tc>
          <w:tcPr>
            <w:tcW w:w="4535" w:type="dxa"/>
            <w:vAlign w:val="center"/>
          </w:tcPr>
          <w:p w14:paraId="2450D3B2">
            <w:pPr>
              <w:pStyle w:val="10"/>
            </w:pPr>
            <w:r>
              <w:t>科目名称</w:t>
            </w:r>
          </w:p>
        </w:tc>
        <w:tc>
          <w:tcPr>
            <w:tcW w:w="2551" w:type="dxa"/>
            <w:vMerge w:val="continue"/>
          </w:tcPr>
          <w:p w14:paraId="448CA53C"/>
        </w:tc>
        <w:tc>
          <w:tcPr>
            <w:tcW w:w="2551" w:type="dxa"/>
            <w:vMerge w:val="continue"/>
          </w:tcPr>
          <w:p w14:paraId="4405FDED"/>
        </w:tc>
        <w:tc>
          <w:tcPr>
            <w:tcW w:w="2551" w:type="dxa"/>
            <w:vMerge w:val="continue"/>
          </w:tcPr>
          <w:p w14:paraId="677B53EF"/>
        </w:tc>
      </w:tr>
      <w:tr w14:paraId="6557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F8624">
            <w:pPr>
              <w:pStyle w:val="10"/>
            </w:pPr>
            <w:r>
              <w:t>栏次</w:t>
            </w:r>
          </w:p>
        </w:tc>
        <w:tc>
          <w:tcPr>
            <w:tcW w:w="1191" w:type="dxa"/>
            <w:vAlign w:val="center"/>
          </w:tcPr>
          <w:p w14:paraId="33A760E4">
            <w:pPr>
              <w:pStyle w:val="10"/>
            </w:pPr>
            <w:r>
              <w:t>1</w:t>
            </w:r>
          </w:p>
        </w:tc>
        <w:tc>
          <w:tcPr>
            <w:tcW w:w="4535" w:type="dxa"/>
            <w:vAlign w:val="center"/>
          </w:tcPr>
          <w:p w14:paraId="404782E6">
            <w:pPr>
              <w:pStyle w:val="10"/>
            </w:pPr>
            <w:r>
              <w:t>2</w:t>
            </w:r>
          </w:p>
        </w:tc>
        <w:tc>
          <w:tcPr>
            <w:tcW w:w="2551" w:type="dxa"/>
            <w:vAlign w:val="center"/>
          </w:tcPr>
          <w:p w14:paraId="242442CA">
            <w:pPr>
              <w:pStyle w:val="10"/>
            </w:pPr>
            <w:r>
              <w:t>3</w:t>
            </w:r>
          </w:p>
        </w:tc>
        <w:tc>
          <w:tcPr>
            <w:tcW w:w="2551" w:type="dxa"/>
            <w:vAlign w:val="center"/>
          </w:tcPr>
          <w:p w14:paraId="714096BA">
            <w:pPr>
              <w:pStyle w:val="10"/>
            </w:pPr>
            <w:r>
              <w:t>4</w:t>
            </w:r>
          </w:p>
        </w:tc>
        <w:tc>
          <w:tcPr>
            <w:tcW w:w="2551" w:type="dxa"/>
            <w:vAlign w:val="center"/>
          </w:tcPr>
          <w:p w14:paraId="29506ED1">
            <w:pPr>
              <w:pStyle w:val="10"/>
            </w:pPr>
            <w:r>
              <w:t>5</w:t>
            </w:r>
          </w:p>
        </w:tc>
      </w:tr>
      <w:tr w14:paraId="6EC3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2F061">
            <w:pPr>
              <w:pStyle w:val="13"/>
            </w:pPr>
          </w:p>
        </w:tc>
        <w:tc>
          <w:tcPr>
            <w:tcW w:w="1191" w:type="dxa"/>
            <w:vAlign w:val="center"/>
          </w:tcPr>
          <w:p w14:paraId="6AC6DFC0">
            <w:pPr>
              <w:pStyle w:val="12"/>
            </w:pPr>
          </w:p>
        </w:tc>
        <w:tc>
          <w:tcPr>
            <w:tcW w:w="4535" w:type="dxa"/>
            <w:vAlign w:val="center"/>
          </w:tcPr>
          <w:p w14:paraId="065C9CB8">
            <w:pPr>
              <w:pStyle w:val="12"/>
            </w:pPr>
          </w:p>
        </w:tc>
        <w:tc>
          <w:tcPr>
            <w:tcW w:w="2551" w:type="dxa"/>
            <w:vAlign w:val="center"/>
          </w:tcPr>
          <w:p w14:paraId="035A8322">
            <w:pPr>
              <w:pStyle w:val="11"/>
            </w:pPr>
          </w:p>
        </w:tc>
        <w:tc>
          <w:tcPr>
            <w:tcW w:w="2551" w:type="dxa"/>
            <w:vAlign w:val="center"/>
          </w:tcPr>
          <w:p w14:paraId="19020BC1">
            <w:pPr>
              <w:pStyle w:val="11"/>
            </w:pPr>
          </w:p>
        </w:tc>
        <w:tc>
          <w:tcPr>
            <w:tcW w:w="2551" w:type="dxa"/>
            <w:vAlign w:val="center"/>
          </w:tcPr>
          <w:p w14:paraId="79D3CFFF">
            <w:pPr>
              <w:pStyle w:val="11"/>
            </w:pPr>
          </w:p>
        </w:tc>
      </w:tr>
    </w:tbl>
    <w:p w14:paraId="1F85C3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CABB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4C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437D42">
            <w:pPr>
              <w:pStyle w:val="9"/>
            </w:pPr>
            <w:r>
              <w:t>360025隆尧县千户营校区</w:t>
            </w:r>
          </w:p>
        </w:tc>
        <w:tc>
          <w:tcPr>
            <w:tcW w:w="2551" w:type="dxa"/>
            <w:tcBorders>
              <w:top w:val="single" w:color="FFFFFF" w:sz="6" w:space="0"/>
              <w:left w:val="single" w:color="FFFFFF" w:sz="6" w:space="0"/>
              <w:right w:val="single" w:color="FFFFFF" w:sz="6" w:space="0"/>
            </w:tcBorders>
            <w:vAlign w:val="center"/>
          </w:tcPr>
          <w:p w14:paraId="4BB9AD3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357F96">
            <w:pPr>
              <w:pStyle w:val="7"/>
            </w:pPr>
            <w:r>
              <w:t>单位：万元</w:t>
            </w:r>
          </w:p>
        </w:tc>
      </w:tr>
      <w:tr w14:paraId="282E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C4587">
            <w:pPr>
              <w:pStyle w:val="10"/>
            </w:pPr>
            <w:r>
              <w:t>序号</w:t>
            </w:r>
          </w:p>
        </w:tc>
        <w:tc>
          <w:tcPr>
            <w:tcW w:w="5726" w:type="dxa"/>
            <w:gridSpan w:val="2"/>
            <w:vAlign w:val="center"/>
          </w:tcPr>
          <w:p w14:paraId="04263253">
            <w:pPr>
              <w:pStyle w:val="10"/>
            </w:pPr>
            <w:r>
              <w:t>功能分类科目</w:t>
            </w:r>
          </w:p>
        </w:tc>
        <w:tc>
          <w:tcPr>
            <w:tcW w:w="2551" w:type="dxa"/>
            <w:vMerge w:val="restart"/>
            <w:vAlign w:val="center"/>
          </w:tcPr>
          <w:p w14:paraId="14011FE9">
            <w:pPr>
              <w:pStyle w:val="10"/>
            </w:pPr>
            <w:r>
              <w:t>合计</w:t>
            </w:r>
          </w:p>
        </w:tc>
        <w:tc>
          <w:tcPr>
            <w:tcW w:w="2551" w:type="dxa"/>
            <w:vMerge w:val="restart"/>
            <w:vAlign w:val="center"/>
          </w:tcPr>
          <w:p w14:paraId="7258B183">
            <w:pPr>
              <w:pStyle w:val="10"/>
            </w:pPr>
            <w:r>
              <w:t>基本支出</w:t>
            </w:r>
          </w:p>
        </w:tc>
        <w:tc>
          <w:tcPr>
            <w:tcW w:w="2551" w:type="dxa"/>
            <w:vMerge w:val="restart"/>
            <w:vAlign w:val="center"/>
          </w:tcPr>
          <w:p w14:paraId="63F58A5E">
            <w:pPr>
              <w:pStyle w:val="10"/>
            </w:pPr>
            <w:r>
              <w:t>项目支出</w:t>
            </w:r>
          </w:p>
        </w:tc>
      </w:tr>
      <w:tr w14:paraId="44B9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5DA9E"/>
        </w:tc>
        <w:tc>
          <w:tcPr>
            <w:tcW w:w="1191" w:type="dxa"/>
            <w:vAlign w:val="center"/>
          </w:tcPr>
          <w:p w14:paraId="1AE2D572">
            <w:pPr>
              <w:pStyle w:val="10"/>
            </w:pPr>
            <w:r>
              <w:t>科目编码</w:t>
            </w:r>
          </w:p>
        </w:tc>
        <w:tc>
          <w:tcPr>
            <w:tcW w:w="4535" w:type="dxa"/>
            <w:vAlign w:val="center"/>
          </w:tcPr>
          <w:p w14:paraId="68FC20F5">
            <w:pPr>
              <w:pStyle w:val="10"/>
            </w:pPr>
            <w:r>
              <w:t>科目名称</w:t>
            </w:r>
          </w:p>
        </w:tc>
        <w:tc>
          <w:tcPr>
            <w:tcW w:w="2551" w:type="dxa"/>
            <w:vMerge w:val="continue"/>
          </w:tcPr>
          <w:p w14:paraId="26B4831C"/>
        </w:tc>
        <w:tc>
          <w:tcPr>
            <w:tcW w:w="2551" w:type="dxa"/>
            <w:vMerge w:val="continue"/>
          </w:tcPr>
          <w:p w14:paraId="748F94A1"/>
        </w:tc>
        <w:tc>
          <w:tcPr>
            <w:tcW w:w="2551" w:type="dxa"/>
            <w:vMerge w:val="continue"/>
          </w:tcPr>
          <w:p w14:paraId="310654B2"/>
        </w:tc>
      </w:tr>
      <w:tr w14:paraId="7125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0D4DA7">
            <w:pPr>
              <w:pStyle w:val="10"/>
            </w:pPr>
            <w:r>
              <w:t>栏次</w:t>
            </w:r>
          </w:p>
        </w:tc>
        <w:tc>
          <w:tcPr>
            <w:tcW w:w="1191" w:type="dxa"/>
            <w:vAlign w:val="center"/>
          </w:tcPr>
          <w:p w14:paraId="20C1FB23">
            <w:pPr>
              <w:pStyle w:val="10"/>
            </w:pPr>
            <w:r>
              <w:t>1</w:t>
            </w:r>
          </w:p>
        </w:tc>
        <w:tc>
          <w:tcPr>
            <w:tcW w:w="4535" w:type="dxa"/>
            <w:vAlign w:val="center"/>
          </w:tcPr>
          <w:p w14:paraId="0201D4C9">
            <w:pPr>
              <w:pStyle w:val="10"/>
            </w:pPr>
            <w:r>
              <w:t>2</w:t>
            </w:r>
          </w:p>
        </w:tc>
        <w:tc>
          <w:tcPr>
            <w:tcW w:w="2551" w:type="dxa"/>
            <w:vAlign w:val="center"/>
          </w:tcPr>
          <w:p w14:paraId="5AB46DEE">
            <w:pPr>
              <w:pStyle w:val="10"/>
            </w:pPr>
            <w:r>
              <w:t>3</w:t>
            </w:r>
          </w:p>
        </w:tc>
        <w:tc>
          <w:tcPr>
            <w:tcW w:w="2551" w:type="dxa"/>
            <w:vAlign w:val="center"/>
          </w:tcPr>
          <w:p w14:paraId="3B53CA2D">
            <w:pPr>
              <w:pStyle w:val="10"/>
            </w:pPr>
            <w:r>
              <w:t>4</w:t>
            </w:r>
          </w:p>
        </w:tc>
        <w:tc>
          <w:tcPr>
            <w:tcW w:w="2551" w:type="dxa"/>
            <w:vAlign w:val="center"/>
          </w:tcPr>
          <w:p w14:paraId="386B07EF">
            <w:pPr>
              <w:pStyle w:val="10"/>
            </w:pPr>
            <w:r>
              <w:t>5</w:t>
            </w:r>
          </w:p>
        </w:tc>
      </w:tr>
      <w:tr w14:paraId="4E91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1AD1">
            <w:pPr>
              <w:pStyle w:val="13"/>
            </w:pPr>
          </w:p>
        </w:tc>
        <w:tc>
          <w:tcPr>
            <w:tcW w:w="1191" w:type="dxa"/>
            <w:vAlign w:val="center"/>
          </w:tcPr>
          <w:p w14:paraId="6595B5F0">
            <w:pPr>
              <w:pStyle w:val="12"/>
            </w:pPr>
          </w:p>
        </w:tc>
        <w:tc>
          <w:tcPr>
            <w:tcW w:w="4535" w:type="dxa"/>
            <w:vAlign w:val="center"/>
          </w:tcPr>
          <w:p w14:paraId="395F2969">
            <w:pPr>
              <w:pStyle w:val="12"/>
            </w:pPr>
          </w:p>
        </w:tc>
        <w:tc>
          <w:tcPr>
            <w:tcW w:w="2551" w:type="dxa"/>
            <w:vAlign w:val="center"/>
          </w:tcPr>
          <w:p w14:paraId="147AB108">
            <w:pPr>
              <w:pStyle w:val="11"/>
            </w:pPr>
          </w:p>
        </w:tc>
        <w:tc>
          <w:tcPr>
            <w:tcW w:w="2551" w:type="dxa"/>
            <w:vAlign w:val="center"/>
          </w:tcPr>
          <w:p w14:paraId="325BBE0C">
            <w:pPr>
              <w:pStyle w:val="11"/>
            </w:pPr>
          </w:p>
        </w:tc>
        <w:tc>
          <w:tcPr>
            <w:tcW w:w="2551" w:type="dxa"/>
            <w:vAlign w:val="center"/>
          </w:tcPr>
          <w:p w14:paraId="2675675A">
            <w:pPr>
              <w:pStyle w:val="11"/>
            </w:pPr>
          </w:p>
        </w:tc>
      </w:tr>
    </w:tbl>
    <w:p w14:paraId="579952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ACAF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54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86861C">
            <w:pPr>
              <w:pStyle w:val="9"/>
            </w:pPr>
            <w:r>
              <w:t>360025隆尧县千户营校区</w:t>
            </w:r>
          </w:p>
        </w:tc>
        <w:tc>
          <w:tcPr>
            <w:tcW w:w="2381" w:type="dxa"/>
            <w:tcBorders>
              <w:top w:val="single" w:color="FFFFFF" w:sz="6" w:space="0"/>
              <w:left w:val="single" w:color="FFFFFF" w:sz="6" w:space="0"/>
              <w:right w:val="single" w:color="FFFFFF" w:sz="6" w:space="0"/>
            </w:tcBorders>
            <w:vAlign w:val="center"/>
          </w:tcPr>
          <w:p w14:paraId="0D4EBCE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74934FD">
            <w:pPr>
              <w:pStyle w:val="7"/>
            </w:pPr>
            <w:r>
              <w:t>单位：万元</w:t>
            </w:r>
          </w:p>
        </w:tc>
      </w:tr>
      <w:tr w14:paraId="5BCB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CCF2D">
            <w:pPr>
              <w:pStyle w:val="10"/>
            </w:pPr>
            <w:r>
              <w:t>序号</w:t>
            </w:r>
          </w:p>
        </w:tc>
        <w:tc>
          <w:tcPr>
            <w:tcW w:w="3798" w:type="dxa"/>
            <w:vMerge w:val="restart"/>
            <w:vAlign w:val="center"/>
          </w:tcPr>
          <w:p w14:paraId="5B3419A1">
            <w:pPr>
              <w:pStyle w:val="10"/>
            </w:pPr>
            <w:r>
              <w:t>项  目</w:t>
            </w:r>
          </w:p>
        </w:tc>
        <w:tc>
          <w:tcPr>
            <w:tcW w:w="9524" w:type="dxa"/>
            <w:gridSpan w:val="4"/>
            <w:vAlign w:val="center"/>
          </w:tcPr>
          <w:p w14:paraId="505CB37C">
            <w:pPr>
              <w:pStyle w:val="10"/>
            </w:pPr>
            <w:r>
              <w:t>资 金 性 质</w:t>
            </w:r>
          </w:p>
        </w:tc>
      </w:tr>
      <w:tr w14:paraId="5336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6801CB"/>
        </w:tc>
        <w:tc>
          <w:tcPr>
            <w:tcW w:w="3798" w:type="dxa"/>
            <w:vMerge w:val="continue"/>
          </w:tcPr>
          <w:p w14:paraId="66C5F218"/>
        </w:tc>
        <w:tc>
          <w:tcPr>
            <w:tcW w:w="2381" w:type="dxa"/>
            <w:vAlign w:val="center"/>
          </w:tcPr>
          <w:p w14:paraId="0C6EA8D7">
            <w:pPr>
              <w:pStyle w:val="10"/>
            </w:pPr>
            <w:r>
              <w:t>合计</w:t>
            </w:r>
          </w:p>
        </w:tc>
        <w:tc>
          <w:tcPr>
            <w:tcW w:w="2381" w:type="dxa"/>
            <w:vAlign w:val="center"/>
          </w:tcPr>
          <w:p w14:paraId="061BFC65">
            <w:pPr>
              <w:pStyle w:val="10"/>
            </w:pPr>
            <w:r>
              <w:t>一般公共预算              财政拨款</w:t>
            </w:r>
          </w:p>
        </w:tc>
        <w:tc>
          <w:tcPr>
            <w:tcW w:w="2381" w:type="dxa"/>
            <w:vAlign w:val="center"/>
          </w:tcPr>
          <w:p w14:paraId="20B3A82E">
            <w:pPr>
              <w:pStyle w:val="10"/>
            </w:pPr>
            <w:r>
              <w:t>政府性基金                  预算拨款</w:t>
            </w:r>
          </w:p>
        </w:tc>
        <w:tc>
          <w:tcPr>
            <w:tcW w:w="2381" w:type="dxa"/>
            <w:vAlign w:val="center"/>
          </w:tcPr>
          <w:p w14:paraId="6872955A">
            <w:pPr>
              <w:pStyle w:val="10"/>
            </w:pPr>
            <w:r>
              <w:t>国有资本经营              预算财政拨款</w:t>
            </w:r>
          </w:p>
        </w:tc>
      </w:tr>
      <w:tr w14:paraId="42EA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B1B826">
            <w:pPr>
              <w:pStyle w:val="10"/>
            </w:pPr>
            <w:r>
              <w:t>栏次</w:t>
            </w:r>
          </w:p>
        </w:tc>
        <w:tc>
          <w:tcPr>
            <w:tcW w:w="3798" w:type="dxa"/>
            <w:vAlign w:val="center"/>
          </w:tcPr>
          <w:p w14:paraId="2DF39D33">
            <w:pPr>
              <w:pStyle w:val="10"/>
            </w:pPr>
            <w:r>
              <w:t>1</w:t>
            </w:r>
          </w:p>
        </w:tc>
        <w:tc>
          <w:tcPr>
            <w:tcW w:w="2381" w:type="dxa"/>
            <w:vAlign w:val="center"/>
          </w:tcPr>
          <w:p w14:paraId="4A097711">
            <w:pPr>
              <w:pStyle w:val="10"/>
            </w:pPr>
            <w:r>
              <w:t>2</w:t>
            </w:r>
          </w:p>
        </w:tc>
        <w:tc>
          <w:tcPr>
            <w:tcW w:w="2381" w:type="dxa"/>
            <w:vAlign w:val="center"/>
          </w:tcPr>
          <w:p w14:paraId="21C6A12C">
            <w:pPr>
              <w:pStyle w:val="10"/>
            </w:pPr>
            <w:r>
              <w:t>3</w:t>
            </w:r>
          </w:p>
        </w:tc>
        <w:tc>
          <w:tcPr>
            <w:tcW w:w="2381" w:type="dxa"/>
            <w:vAlign w:val="center"/>
          </w:tcPr>
          <w:p w14:paraId="692DE85A">
            <w:pPr>
              <w:pStyle w:val="10"/>
            </w:pPr>
            <w:r>
              <w:t>4</w:t>
            </w:r>
          </w:p>
        </w:tc>
        <w:tc>
          <w:tcPr>
            <w:tcW w:w="2381" w:type="dxa"/>
            <w:vAlign w:val="center"/>
          </w:tcPr>
          <w:p w14:paraId="08F5FB76">
            <w:pPr>
              <w:pStyle w:val="10"/>
            </w:pPr>
            <w:r>
              <w:t>5</w:t>
            </w:r>
          </w:p>
        </w:tc>
      </w:tr>
      <w:tr w14:paraId="4524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8A7A2C">
            <w:pPr>
              <w:pStyle w:val="13"/>
            </w:pPr>
          </w:p>
        </w:tc>
        <w:tc>
          <w:tcPr>
            <w:tcW w:w="3798" w:type="dxa"/>
            <w:vAlign w:val="center"/>
          </w:tcPr>
          <w:p w14:paraId="29373560">
            <w:pPr>
              <w:pStyle w:val="12"/>
            </w:pPr>
          </w:p>
        </w:tc>
        <w:tc>
          <w:tcPr>
            <w:tcW w:w="2381" w:type="dxa"/>
            <w:vAlign w:val="center"/>
          </w:tcPr>
          <w:p w14:paraId="644E8715">
            <w:pPr>
              <w:pStyle w:val="11"/>
            </w:pPr>
          </w:p>
        </w:tc>
        <w:tc>
          <w:tcPr>
            <w:tcW w:w="2381" w:type="dxa"/>
            <w:vAlign w:val="center"/>
          </w:tcPr>
          <w:p w14:paraId="686583B0">
            <w:pPr>
              <w:pStyle w:val="11"/>
            </w:pPr>
          </w:p>
        </w:tc>
        <w:tc>
          <w:tcPr>
            <w:tcW w:w="2381" w:type="dxa"/>
            <w:vAlign w:val="center"/>
          </w:tcPr>
          <w:p w14:paraId="72AA8FCF">
            <w:pPr>
              <w:pStyle w:val="11"/>
            </w:pPr>
          </w:p>
        </w:tc>
        <w:tc>
          <w:tcPr>
            <w:tcW w:w="2381" w:type="dxa"/>
            <w:vAlign w:val="center"/>
          </w:tcPr>
          <w:p w14:paraId="17B51890">
            <w:pPr>
              <w:pStyle w:val="11"/>
            </w:pPr>
          </w:p>
        </w:tc>
      </w:tr>
    </w:tbl>
    <w:p w14:paraId="41A7D7B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C3DF9D">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隆尧县千户营校区2026年单位预算信息公开情况说明</w:t>
      </w:r>
    </w:p>
    <w:p w14:paraId="01D3600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地方预决算公开操作规程》和《关于进一步推进预算公开工作的实施意见》规定，现将隆尧县千户营校区2026年单位预算公开如下：</w:t>
      </w:r>
    </w:p>
    <w:p w14:paraId="2A7CCA26">
      <w:pPr>
        <w:spacing w:before="10" w:after="10" w:line="240" w:lineRule="auto"/>
        <w:ind w:firstLine="640"/>
        <w:jc w:val="left"/>
        <w:outlineLvl w:val="5"/>
      </w:pPr>
      <w:r>
        <w:rPr>
          <w:rFonts w:ascii="黑体" w:hAnsi="黑体" w:eastAsia="黑体" w:cs="黑体"/>
          <w:color w:val="000000"/>
          <w:sz w:val="32"/>
        </w:rPr>
        <w:t>一、单位职责及机构设置情况</w:t>
      </w:r>
    </w:p>
    <w:p w14:paraId="5FB8C21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3B069D9">
      <w:pPr>
        <w:pStyle w:val="17"/>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隆尧县千户营校区事业编制119名，其中，校长1名（正股级），副校长2名（副股级）：经费形式为财政性资金基本保证。</w:t>
      </w:r>
    </w:p>
    <w:p w14:paraId="75A05E3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EB011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E5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83D5D8">
            <w:pPr>
              <w:pStyle w:val="10"/>
            </w:pPr>
            <w:r>
              <w:t>单位名称</w:t>
            </w:r>
          </w:p>
        </w:tc>
        <w:tc>
          <w:tcPr>
            <w:tcW w:w="1843" w:type="dxa"/>
            <w:vAlign w:val="center"/>
          </w:tcPr>
          <w:p w14:paraId="35550E8C">
            <w:pPr>
              <w:pStyle w:val="10"/>
            </w:pPr>
            <w:r>
              <w:t>单位性质</w:t>
            </w:r>
          </w:p>
        </w:tc>
        <w:tc>
          <w:tcPr>
            <w:tcW w:w="2126" w:type="dxa"/>
            <w:vAlign w:val="center"/>
          </w:tcPr>
          <w:p w14:paraId="1C1F84EC">
            <w:pPr>
              <w:pStyle w:val="10"/>
            </w:pPr>
            <w:r>
              <w:t>单位规格</w:t>
            </w:r>
          </w:p>
        </w:tc>
        <w:tc>
          <w:tcPr>
            <w:tcW w:w="3827" w:type="dxa"/>
            <w:vAlign w:val="center"/>
          </w:tcPr>
          <w:p w14:paraId="060703F8">
            <w:pPr>
              <w:pStyle w:val="10"/>
            </w:pPr>
            <w:r>
              <w:t>经费保障形式</w:t>
            </w:r>
          </w:p>
        </w:tc>
      </w:tr>
      <w:tr w14:paraId="0C4A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5C407D">
            <w:pPr>
              <w:pStyle w:val="12"/>
            </w:pPr>
            <w:r>
              <w:t>隆尧县千户营校区</w:t>
            </w:r>
          </w:p>
        </w:tc>
        <w:tc>
          <w:tcPr>
            <w:tcW w:w="1843" w:type="dxa"/>
            <w:vAlign w:val="center"/>
          </w:tcPr>
          <w:p w14:paraId="3DE8143A">
            <w:pPr>
              <w:pStyle w:val="13"/>
            </w:pPr>
            <w:r>
              <w:t>事业</w:t>
            </w:r>
          </w:p>
        </w:tc>
        <w:tc>
          <w:tcPr>
            <w:tcW w:w="2126" w:type="dxa"/>
            <w:vAlign w:val="center"/>
          </w:tcPr>
          <w:p w14:paraId="7B2A8DC4">
            <w:pPr>
              <w:pStyle w:val="13"/>
            </w:pPr>
            <w:r>
              <w:t>股级</w:t>
            </w:r>
          </w:p>
        </w:tc>
        <w:tc>
          <w:tcPr>
            <w:tcW w:w="3827" w:type="dxa"/>
            <w:vAlign w:val="center"/>
          </w:tcPr>
          <w:p w14:paraId="21FE86F2">
            <w:pPr>
              <w:pStyle w:val="13"/>
            </w:pPr>
            <w:r>
              <w:t>财政性资金基本保证</w:t>
            </w:r>
          </w:p>
        </w:tc>
      </w:tr>
    </w:tbl>
    <w:p w14:paraId="7F606237">
      <w:pPr>
        <w:spacing w:before="10" w:after="10" w:line="240" w:lineRule="auto"/>
        <w:ind w:firstLine="640"/>
        <w:jc w:val="left"/>
        <w:outlineLvl w:val="5"/>
      </w:pPr>
      <w:r>
        <w:rPr>
          <w:rFonts w:ascii="黑体" w:hAnsi="黑体" w:eastAsia="黑体" w:cs="黑体"/>
          <w:color w:val="000000"/>
          <w:sz w:val="32"/>
        </w:rPr>
        <w:t>二、单位预算安排的总体情况</w:t>
      </w:r>
    </w:p>
    <w:p w14:paraId="4E6D39DA">
      <w:pPr>
        <w:pStyle w:val="18"/>
      </w:pPr>
      <w:r>
        <w:t>单位预算安排的总体情况</w:t>
      </w:r>
    </w:p>
    <w:p w14:paraId="0A7BECC9">
      <w:pPr>
        <w:pStyle w:val="18"/>
      </w:pPr>
      <w:r>
        <w:t>按照预算管理有关规定，目前我校区单位预算的编制实行综合预算管理，即全部收入和支出都反映的预算中。隆尧县千户营校区的收支包含在单位预算中。</w:t>
      </w:r>
    </w:p>
    <w:p w14:paraId="57756355">
      <w:pPr>
        <w:pStyle w:val="18"/>
      </w:pPr>
      <w:r>
        <w:t>1、收入说明</w:t>
      </w:r>
    </w:p>
    <w:p w14:paraId="7DF5D2C2">
      <w:pPr>
        <w:pStyle w:val="18"/>
      </w:pPr>
      <w:r>
        <w:t>反映本单位当年全部收入。2026年预算收入2082.45万元，其中：一般公共预算收入2082.45万元，基金预算收入0万元，上年结转收入0万元，财政专户收入0万元，其他来源收入0万元。</w:t>
      </w:r>
    </w:p>
    <w:p w14:paraId="7265589C">
      <w:pPr>
        <w:pStyle w:val="18"/>
      </w:pPr>
      <w:r>
        <w:t>2、支出说明</w:t>
      </w:r>
    </w:p>
    <w:p w14:paraId="471388AC">
      <w:pPr>
        <w:pStyle w:val="18"/>
      </w:pPr>
      <w:r>
        <w:t>收支预算总表支出栏、基本支出表、项目支出表按经济分类和支出功能分类科目编制，反映我单位预算中支出预算的总体情况。2026年单位支出预算为2082.45万元，其中基本支出1564.818万元；项目支出517.64万元。</w:t>
      </w:r>
    </w:p>
    <w:p w14:paraId="22793B84">
      <w:pPr>
        <w:pStyle w:val="18"/>
      </w:pPr>
      <w:r>
        <w:t>3、比上年增减情况</w:t>
      </w:r>
    </w:p>
    <w:p w14:paraId="40EDF522">
      <w:pPr>
        <w:pStyle w:val="18"/>
      </w:pPr>
      <w:r>
        <w:t>2026年单位预算收支安排2082.45万元，较2025年预算增加88.66万元，其中基本支出减少31.87万元，项目支出增加120.53万元。</w:t>
      </w:r>
    </w:p>
    <w:p w14:paraId="6109144A">
      <w:pPr>
        <w:spacing w:before="10" w:after="10" w:line="240" w:lineRule="auto"/>
        <w:ind w:firstLine="640"/>
        <w:jc w:val="left"/>
        <w:outlineLvl w:val="5"/>
      </w:pPr>
      <w:r>
        <w:rPr>
          <w:rFonts w:ascii="黑体" w:hAnsi="黑体" w:eastAsia="黑体" w:cs="黑体"/>
          <w:color w:val="000000"/>
          <w:sz w:val="32"/>
        </w:rPr>
        <w:t>三、机关运行经费安排情况</w:t>
      </w:r>
    </w:p>
    <w:p w14:paraId="395FDDA7">
      <w:pPr>
        <w:pStyle w:val="19"/>
      </w:pPr>
      <w:r>
        <w:t>我单位按学生安排公用经费，无机关运行经费。</w:t>
      </w:r>
    </w:p>
    <w:p w14:paraId="712D83D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DD140AA">
      <w:pPr>
        <w:pStyle w:val="20"/>
      </w:pPr>
      <w:r>
        <w:t>我单位未安排</w:t>
      </w:r>
      <w:r>
        <w:rPr>
          <w:rFonts w:hint="eastAsia"/>
          <w:lang w:eastAsia="zh-CN"/>
        </w:rPr>
        <w:t>“三公”经费</w:t>
      </w:r>
      <w:r>
        <w:t>。</w:t>
      </w:r>
    </w:p>
    <w:p w14:paraId="34B293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8B816B">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1、冀财教[2025]121号/中央/2026年义教补助经费/千户营校区毛尔寨小学公用经费绩效目标表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F1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9FF10">
            <w:pPr>
              <w:pStyle w:val="11"/>
            </w:pPr>
            <w:r>
              <w:t>单位：万元</w:t>
            </w:r>
          </w:p>
        </w:tc>
      </w:tr>
      <w:tr w14:paraId="4CDF7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DC6DD">
            <w:pPr>
              <w:pStyle w:val="10"/>
            </w:pPr>
            <w:r>
              <w:t>项目编码</w:t>
            </w:r>
          </w:p>
        </w:tc>
        <w:tc>
          <w:tcPr>
            <w:tcW w:w="5103" w:type="dxa"/>
            <w:gridSpan w:val="2"/>
            <w:vAlign w:val="center"/>
          </w:tcPr>
          <w:p w14:paraId="1270F610">
            <w:pPr>
              <w:pStyle w:val="12"/>
            </w:pPr>
            <w:r>
              <w:t>13052526P00000410309T</w:t>
            </w:r>
          </w:p>
        </w:tc>
        <w:tc>
          <w:tcPr>
            <w:tcW w:w="2835" w:type="dxa"/>
            <w:vAlign w:val="center"/>
          </w:tcPr>
          <w:p w14:paraId="1C5B86FE">
            <w:pPr>
              <w:pStyle w:val="10"/>
            </w:pPr>
            <w:r>
              <w:t>项目名称</w:t>
            </w:r>
          </w:p>
        </w:tc>
        <w:tc>
          <w:tcPr>
            <w:tcW w:w="6095" w:type="dxa"/>
            <w:gridSpan w:val="3"/>
            <w:vAlign w:val="center"/>
          </w:tcPr>
          <w:p w14:paraId="271C0198">
            <w:pPr>
              <w:pStyle w:val="12"/>
            </w:pPr>
            <w:r>
              <w:t>冀财教[2025]121号/中央/2026年义教补助经费/千户营校区毛尔寨小学公用经费</w:t>
            </w:r>
          </w:p>
        </w:tc>
      </w:tr>
      <w:tr w14:paraId="42FEC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189F7">
            <w:pPr>
              <w:pStyle w:val="10"/>
            </w:pPr>
            <w:r>
              <w:t>预算规模及资金用途</w:t>
            </w:r>
          </w:p>
        </w:tc>
        <w:tc>
          <w:tcPr>
            <w:tcW w:w="2268" w:type="dxa"/>
            <w:vAlign w:val="center"/>
          </w:tcPr>
          <w:p w14:paraId="11E5C5FF">
            <w:pPr>
              <w:pStyle w:val="10"/>
            </w:pPr>
            <w:r>
              <w:t>预算数</w:t>
            </w:r>
          </w:p>
        </w:tc>
        <w:tc>
          <w:tcPr>
            <w:tcW w:w="2835" w:type="dxa"/>
            <w:vAlign w:val="center"/>
          </w:tcPr>
          <w:p w14:paraId="648C6136">
            <w:pPr>
              <w:pStyle w:val="12"/>
            </w:pPr>
            <w:r>
              <w:t>27.46</w:t>
            </w:r>
          </w:p>
        </w:tc>
        <w:tc>
          <w:tcPr>
            <w:tcW w:w="2835" w:type="dxa"/>
            <w:vAlign w:val="center"/>
          </w:tcPr>
          <w:p w14:paraId="302A6EDF">
            <w:pPr>
              <w:pStyle w:val="10"/>
            </w:pPr>
            <w:r>
              <w:t>其中：财政    资金</w:t>
            </w:r>
          </w:p>
        </w:tc>
        <w:tc>
          <w:tcPr>
            <w:tcW w:w="2551" w:type="dxa"/>
            <w:vAlign w:val="center"/>
          </w:tcPr>
          <w:p w14:paraId="07CC392D">
            <w:pPr>
              <w:pStyle w:val="12"/>
            </w:pPr>
            <w:r>
              <w:t>27.46</w:t>
            </w:r>
          </w:p>
        </w:tc>
        <w:tc>
          <w:tcPr>
            <w:tcW w:w="2268" w:type="dxa"/>
            <w:vAlign w:val="center"/>
          </w:tcPr>
          <w:p w14:paraId="591FA3CA">
            <w:pPr>
              <w:pStyle w:val="10"/>
            </w:pPr>
            <w:r>
              <w:t>其他资金</w:t>
            </w:r>
          </w:p>
        </w:tc>
        <w:tc>
          <w:tcPr>
            <w:tcW w:w="1276" w:type="dxa"/>
            <w:vAlign w:val="center"/>
          </w:tcPr>
          <w:p w14:paraId="7CF47BCE">
            <w:pPr>
              <w:pStyle w:val="12"/>
            </w:pPr>
            <w:r>
              <w:t xml:space="preserve"> </w:t>
            </w:r>
          </w:p>
        </w:tc>
      </w:tr>
      <w:tr w14:paraId="1ABB5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57A0C"/>
        </w:tc>
        <w:tc>
          <w:tcPr>
            <w:tcW w:w="14033" w:type="dxa"/>
            <w:gridSpan w:val="6"/>
            <w:vAlign w:val="center"/>
          </w:tcPr>
          <w:p w14:paraId="455A2E62">
            <w:pPr>
              <w:pStyle w:val="12"/>
            </w:pPr>
            <w:r>
              <w:t>为保证学校正常运转和改善办学条件。</w:t>
            </w:r>
          </w:p>
        </w:tc>
      </w:tr>
      <w:tr w14:paraId="570DD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255CB">
            <w:pPr>
              <w:pStyle w:val="10"/>
            </w:pPr>
            <w:r>
              <w:t>资金支出计划（%）</w:t>
            </w:r>
          </w:p>
        </w:tc>
        <w:tc>
          <w:tcPr>
            <w:tcW w:w="5103" w:type="dxa"/>
            <w:gridSpan w:val="2"/>
            <w:vAlign w:val="center"/>
          </w:tcPr>
          <w:p w14:paraId="3C7DE603">
            <w:pPr>
              <w:pStyle w:val="10"/>
            </w:pPr>
            <w:r>
              <w:t>3月底</w:t>
            </w:r>
          </w:p>
        </w:tc>
        <w:tc>
          <w:tcPr>
            <w:tcW w:w="2835" w:type="dxa"/>
            <w:vAlign w:val="center"/>
          </w:tcPr>
          <w:p w14:paraId="7DD8D1F6">
            <w:pPr>
              <w:pStyle w:val="10"/>
            </w:pPr>
            <w:r>
              <w:t>6月底</w:t>
            </w:r>
          </w:p>
        </w:tc>
        <w:tc>
          <w:tcPr>
            <w:tcW w:w="2551" w:type="dxa"/>
            <w:vAlign w:val="center"/>
          </w:tcPr>
          <w:p w14:paraId="126B36E8">
            <w:pPr>
              <w:pStyle w:val="10"/>
            </w:pPr>
            <w:r>
              <w:t>10月底</w:t>
            </w:r>
          </w:p>
        </w:tc>
        <w:tc>
          <w:tcPr>
            <w:tcW w:w="3544" w:type="dxa"/>
            <w:gridSpan w:val="2"/>
            <w:vAlign w:val="center"/>
          </w:tcPr>
          <w:p w14:paraId="76050939">
            <w:pPr>
              <w:pStyle w:val="10"/>
            </w:pPr>
            <w:r>
              <w:t>12月底</w:t>
            </w:r>
          </w:p>
        </w:tc>
      </w:tr>
      <w:tr w14:paraId="2F870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C76A6"/>
        </w:tc>
        <w:tc>
          <w:tcPr>
            <w:tcW w:w="5103" w:type="dxa"/>
            <w:gridSpan w:val="2"/>
            <w:vAlign w:val="center"/>
          </w:tcPr>
          <w:p w14:paraId="761A5084">
            <w:pPr>
              <w:pStyle w:val="13"/>
            </w:pPr>
            <w:r>
              <w:t>25%</w:t>
            </w:r>
          </w:p>
        </w:tc>
        <w:tc>
          <w:tcPr>
            <w:tcW w:w="2835" w:type="dxa"/>
            <w:vAlign w:val="center"/>
          </w:tcPr>
          <w:p w14:paraId="646E487B">
            <w:pPr>
              <w:pStyle w:val="13"/>
            </w:pPr>
            <w:r>
              <w:t>50%</w:t>
            </w:r>
          </w:p>
        </w:tc>
        <w:tc>
          <w:tcPr>
            <w:tcW w:w="2551" w:type="dxa"/>
            <w:vAlign w:val="center"/>
          </w:tcPr>
          <w:p w14:paraId="3076FC6A">
            <w:pPr>
              <w:pStyle w:val="13"/>
            </w:pPr>
            <w:r>
              <w:t>75%</w:t>
            </w:r>
          </w:p>
        </w:tc>
        <w:tc>
          <w:tcPr>
            <w:tcW w:w="3544" w:type="dxa"/>
            <w:gridSpan w:val="2"/>
            <w:vAlign w:val="center"/>
          </w:tcPr>
          <w:p w14:paraId="41354B7F">
            <w:pPr>
              <w:pStyle w:val="13"/>
            </w:pPr>
            <w:r>
              <w:t>100%</w:t>
            </w:r>
          </w:p>
        </w:tc>
      </w:tr>
      <w:tr w14:paraId="667BB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E9719">
            <w:pPr>
              <w:pStyle w:val="10"/>
            </w:pPr>
            <w:r>
              <w:t>绩效目标</w:t>
            </w:r>
          </w:p>
        </w:tc>
        <w:tc>
          <w:tcPr>
            <w:tcW w:w="14033" w:type="dxa"/>
            <w:gridSpan w:val="6"/>
            <w:vAlign w:val="center"/>
          </w:tcPr>
          <w:p w14:paraId="4D2BE643">
            <w:pPr>
              <w:pStyle w:val="12"/>
            </w:pPr>
            <w:r>
              <w:t>1.为保证学校正常运转和改善办学条件。</w:t>
            </w:r>
          </w:p>
          <w:p w14:paraId="292D8D8D">
            <w:pPr>
              <w:pStyle w:val="12"/>
            </w:pPr>
            <w:r>
              <w:t>2.按拨款序时进度完成经费拨付和支出。</w:t>
            </w:r>
          </w:p>
        </w:tc>
      </w:tr>
    </w:tbl>
    <w:p w14:paraId="69118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7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3822C">
            <w:pPr>
              <w:pStyle w:val="10"/>
            </w:pPr>
            <w:r>
              <w:t>一级指标</w:t>
            </w:r>
          </w:p>
        </w:tc>
        <w:tc>
          <w:tcPr>
            <w:tcW w:w="2268" w:type="dxa"/>
            <w:vAlign w:val="center"/>
          </w:tcPr>
          <w:p w14:paraId="5AE8EB4A">
            <w:pPr>
              <w:pStyle w:val="10"/>
            </w:pPr>
            <w:r>
              <w:t>二级指标</w:t>
            </w:r>
          </w:p>
        </w:tc>
        <w:tc>
          <w:tcPr>
            <w:tcW w:w="2835" w:type="dxa"/>
            <w:vAlign w:val="center"/>
          </w:tcPr>
          <w:p w14:paraId="6825D6DF">
            <w:pPr>
              <w:pStyle w:val="10"/>
            </w:pPr>
            <w:r>
              <w:t>三级指标</w:t>
            </w:r>
          </w:p>
        </w:tc>
        <w:tc>
          <w:tcPr>
            <w:tcW w:w="5386" w:type="dxa"/>
            <w:vAlign w:val="center"/>
          </w:tcPr>
          <w:p w14:paraId="4C0CA239">
            <w:pPr>
              <w:pStyle w:val="10"/>
            </w:pPr>
            <w:r>
              <w:t>绩效指标描述</w:t>
            </w:r>
          </w:p>
        </w:tc>
        <w:tc>
          <w:tcPr>
            <w:tcW w:w="2268" w:type="dxa"/>
            <w:vAlign w:val="center"/>
          </w:tcPr>
          <w:p w14:paraId="034086BC">
            <w:pPr>
              <w:pStyle w:val="10"/>
            </w:pPr>
            <w:r>
              <w:t>指标值</w:t>
            </w:r>
          </w:p>
        </w:tc>
        <w:tc>
          <w:tcPr>
            <w:tcW w:w="1276" w:type="dxa"/>
            <w:vAlign w:val="center"/>
          </w:tcPr>
          <w:p w14:paraId="0CE93A48">
            <w:pPr>
              <w:pStyle w:val="10"/>
            </w:pPr>
            <w:r>
              <w:t>指标值确定依据</w:t>
            </w:r>
          </w:p>
        </w:tc>
      </w:tr>
      <w:tr w14:paraId="0425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54D32">
            <w:pPr>
              <w:pStyle w:val="13"/>
            </w:pPr>
            <w:r>
              <w:t>产出指标</w:t>
            </w:r>
          </w:p>
        </w:tc>
        <w:tc>
          <w:tcPr>
            <w:tcW w:w="2268" w:type="dxa"/>
            <w:vAlign w:val="center"/>
          </w:tcPr>
          <w:p w14:paraId="70764DB0">
            <w:pPr>
              <w:pStyle w:val="12"/>
            </w:pPr>
            <w:r>
              <w:t>数量指标</w:t>
            </w:r>
          </w:p>
        </w:tc>
        <w:tc>
          <w:tcPr>
            <w:tcW w:w="2835" w:type="dxa"/>
            <w:vAlign w:val="center"/>
          </w:tcPr>
          <w:p w14:paraId="4773A80A">
            <w:pPr>
              <w:pStyle w:val="12"/>
            </w:pPr>
            <w:r>
              <w:t>就读学生数</w:t>
            </w:r>
          </w:p>
        </w:tc>
        <w:tc>
          <w:tcPr>
            <w:tcW w:w="5386" w:type="dxa"/>
            <w:vAlign w:val="center"/>
          </w:tcPr>
          <w:p w14:paraId="78ED6F5A">
            <w:pPr>
              <w:pStyle w:val="12"/>
            </w:pPr>
            <w:r>
              <w:t>辐射区域内适龄学生人数</w:t>
            </w:r>
          </w:p>
        </w:tc>
        <w:tc>
          <w:tcPr>
            <w:tcW w:w="2268" w:type="dxa"/>
            <w:vAlign w:val="center"/>
          </w:tcPr>
          <w:p w14:paraId="262B81C9">
            <w:pPr>
              <w:pStyle w:val="12"/>
            </w:pPr>
            <w:r>
              <w:t>394人</w:t>
            </w:r>
          </w:p>
        </w:tc>
        <w:tc>
          <w:tcPr>
            <w:tcW w:w="1276" w:type="dxa"/>
            <w:vAlign w:val="center"/>
          </w:tcPr>
          <w:p w14:paraId="1D97385E">
            <w:pPr>
              <w:pStyle w:val="12"/>
            </w:pPr>
            <w:r>
              <w:t>城乡义务教育公用经费管理办法</w:t>
            </w:r>
          </w:p>
        </w:tc>
      </w:tr>
      <w:tr w14:paraId="41B6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2A05"/>
        </w:tc>
        <w:tc>
          <w:tcPr>
            <w:tcW w:w="2268" w:type="dxa"/>
            <w:vAlign w:val="center"/>
          </w:tcPr>
          <w:p w14:paraId="53A69880">
            <w:pPr>
              <w:pStyle w:val="12"/>
            </w:pPr>
            <w:r>
              <w:t>质量指标</w:t>
            </w:r>
          </w:p>
        </w:tc>
        <w:tc>
          <w:tcPr>
            <w:tcW w:w="2835" w:type="dxa"/>
            <w:vAlign w:val="center"/>
          </w:tcPr>
          <w:p w14:paraId="07BB8C81">
            <w:pPr>
              <w:pStyle w:val="12"/>
            </w:pPr>
            <w:r>
              <w:t>预算执行率</w:t>
            </w:r>
          </w:p>
        </w:tc>
        <w:tc>
          <w:tcPr>
            <w:tcW w:w="5386" w:type="dxa"/>
            <w:vAlign w:val="center"/>
          </w:tcPr>
          <w:p w14:paraId="34ED1772">
            <w:pPr>
              <w:pStyle w:val="12"/>
            </w:pPr>
            <w:r>
              <w:t>预算执行率≥98%</w:t>
            </w:r>
          </w:p>
        </w:tc>
        <w:tc>
          <w:tcPr>
            <w:tcW w:w="2268" w:type="dxa"/>
            <w:vAlign w:val="center"/>
          </w:tcPr>
          <w:p w14:paraId="3B97F922">
            <w:pPr>
              <w:pStyle w:val="12"/>
            </w:pPr>
            <w:r>
              <w:t>≥98%</w:t>
            </w:r>
          </w:p>
        </w:tc>
        <w:tc>
          <w:tcPr>
            <w:tcW w:w="1276" w:type="dxa"/>
            <w:vAlign w:val="center"/>
          </w:tcPr>
          <w:p w14:paraId="23638B80">
            <w:pPr>
              <w:pStyle w:val="12"/>
            </w:pPr>
            <w:r>
              <w:t>城乡义务教育公用经费管理办法</w:t>
            </w:r>
          </w:p>
        </w:tc>
      </w:tr>
      <w:tr w14:paraId="4523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6A44"/>
        </w:tc>
        <w:tc>
          <w:tcPr>
            <w:tcW w:w="2268" w:type="dxa"/>
            <w:vAlign w:val="center"/>
          </w:tcPr>
          <w:p w14:paraId="305459BC">
            <w:pPr>
              <w:pStyle w:val="12"/>
            </w:pPr>
            <w:r>
              <w:t>时效指标</w:t>
            </w:r>
          </w:p>
        </w:tc>
        <w:tc>
          <w:tcPr>
            <w:tcW w:w="2835" w:type="dxa"/>
            <w:vAlign w:val="center"/>
          </w:tcPr>
          <w:p w14:paraId="188895DA">
            <w:pPr>
              <w:pStyle w:val="12"/>
            </w:pPr>
            <w:r>
              <w:t>义教经费支付完成率</w:t>
            </w:r>
          </w:p>
        </w:tc>
        <w:tc>
          <w:tcPr>
            <w:tcW w:w="5386" w:type="dxa"/>
            <w:vAlign w:val="center"/>
          </w:tcPr>
          <w:p w14:paraId="4A4B4A12">
            <w:pPr>
              <w:pStyle w:val="12"/>
            </w:pPr>
            <w:r>
              <w:t>按照序时进度完成资金支付</w:t>
            </w:r>
          </w:p>
        </w:tc>
        <w:tc>
          <w:tcPr>
            <w:tcW w:w="2268" w:type="dxa"/>
            <w:vAlign w:val="center"/>
          </w:tcPr>
          <w:p w14:paraId="33DB4DF2">
            <w:pPr>
              <w:pStyle w:val="12"/>
            </w:pPr>
            <w:r>
              <w:t>≥100%</w:t>
            </w:r>
          </w:p>
        </w:tc>
        <w:tc>
          <w:tcPr>
            <w:tcW w:w="1276" w:type="dxa"/>
            <w:vAlign w:val="center"/>
          </w:tcPr>
          <w:p w14:paraId="6C6B8974">
            <w:pPr>
              <w:pStyle w:val="12"/>
            </w:pPr>
            <w:r>
              <w:t>城乡义务教育公用经费管理办法</w:t>
            </w:r>
          </w:p>
        </w:tc>
      </w:tr>
      <w:tr w14:paraId="6E88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EE107"/>
        </w:tc>
        <w:tc>
          <w:tcPr>
            <w:tcW w:w="2268" w:type="dxa"/>
            <w:vAlign w:val="center"/>
          </w:tcPr>
          <w:p w14:paraId="34E6EA42">
            <w:pPr>
              <w:pStyle w:val="12"/>
            </w:pPr>
            <w:r>
              <w:t>成本指标</w:t>
            </w:r>
          </w:p>
        </w:tc>
        <w:tc>
          <w:tcPr>
            <w:tcW w:w="2835" w:type="dxa"/>
            <w:vAlign w:val="center"/>
          </w:tcPr>
          <w:p w14:paraId="00D658FE">
            <w:pPr>
              <w:pStyle w:val="12"/>
            </w:pPr>
            <w:r>
              <w:t>生均拨款标准</w:t>
            </w:r>
          </w:p>
        </w:tc>
        <w:tc>
          <w:tcPr>
            <w:tcW w:w="5386" w:type="dxa"/>
            <w:vAlign w:val="center"/>
          </w:tcPr>
          <w:p w14:paraId="5CB89070">
            <w:pPr>
              <w:pStyle w:val="12"/>
            </w:pPr>
            <w:r>
              <w:t>小学生公用经费生均小学720元，取暖费120元/生/年，随班就读学生补助7000元/生</w:t>
            </w:r>
          </w:p>
        </w:tc>
        <w:tc>
          <w:tcPr>
            <w:tcW w:w="2268" w:type="dxa"/>
            <w:vAlign w:val="center"/>
          </w:tcPr>
          <w:p w14:paraId="0E5B22F9">
            <w:pPr>
              <w:pStyle w:val="12"/>
            </w:pPr>
            <w:r>
              <w:t>≥840元</w:t>
            </w:r>
          </w:p>
        </w:tc>
        <w:tc>
          <w:tcPr>
            <w:tcW w:w="1276" w:type="dxa"/>
            <w:vAlign w:val="center"/>
          </w:tcPr>
          <w:p w14:paraId="2153E2AD">
            <w:pPr>
              <w:pStyle w:val="12"/>
            </w:pPr>
            <w:r>
              <w:t>城乡义务教育公用经费管理办法</w:t>
            </w:r>
          </w:p>
        </w:tc>
      </w:tr>
      <w:tr w14:paraId="6791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35C4E">
            <w:pPr>
              <w:pStyle w:val="13"/>
            </w:pPr>
            <w:r>
              <w:t>效益指标</w:t>
            </w:r>
          </w:p>
        </w:tc>
        <w:tc>
          <w:tcPr>
            <w:tcW w:w="2268" w:type="dxa"/>
            <w:vAlign w:val="center"/>
          </w:tcPr>
          <w:p w14:paraId="342CC033">
            <w:pPr>
              <w:pStyle w:val="12"/>
            </w:pPr>
            <w:r>
              <w:t>社会效益指标</w:t>
            </w:r>
          </w:p>
        </w:tc>
        <w:tc>
          <w:tcPr>
            <w:tcW w:w="2835" w:type="dxa"/>
            <w:vAlign w:val="center"/>
          </w:tcPr>
          <w:p w14:paraId="1285BB09">
            <w:pPr>
              <w:pStyle w:val="12"/>
            </w:pPr>
            <w:r>
              <w:t>学校运转得到提高</w:t>
            </w:r>
          </w:p>
        </w:tc>
        <w:tc>
          <w:tcPr>
            <w:tcW w:w="5386" w:type="dxa"/>
            <w:vAlign w:val="center"/>
          </w:tcPr>
          <w:p w14:paraId="2CAEB5C2">
            <w:pPr>
              <w:pStyle w:val="12"/>
            </w:pPr>
            <w:r>
              <w:t>学生受教育年限</w:t>
            </w:r>
          </w:p>
        </w:tc>
        <w:tc>
          <w:tcPr>
            <w:tcW w:w="2268" w:type="dxa"/>
            <w:vAlign w:val="center"/>
          </w:tcPr>
          <w:p w14:paraId="13F69349">
            <w:pPr>
              <w:pStyle w:val="12"/>
            </w:pPr>
            <w:r>
              <w:t>6年</w:t>
            </w:r>
          </w:p>
        </w:tc>
        <w:tc>
          <w:tcPr>
            <w:tcW w:w="1276" w:type="dxa"/>
            <w:vAlign w:val="center"/>
          </w:tcPr>
          <w:p w14:paraId="443EA779">
            <w:pPr>
              <w:pStyle w:val="12"/>
            </w:pPr>
            <w:r>
              <w:t>城乡义务教育公用经费管理办法</w:t>
            </w:r>
          </w:p>
        </w:tc>
      </w:tr>
      <w:tr w14:paraId="7411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2E952">
            <w:pPr>
              <w:pStyle w:val="13"/>
            </w:pPr>
            <w:r>
              <w:t>满意度指标</w:t>
            </w:r>
          </w:p>
        </w:tc>
        <w:tc>
          <w:tcPr>
            <w:tcW w:w="2268" w:type="dxa"/>
            <w:vAlign w:val="center"/>
          </w:tcPr>
          <w:p w14:paraId="1415A571">
            <w:pPr>
              <w:pStyle w:val="12"/>
            </w:pPr>
            <w:r>
              <w:t>服务对象满意度指标</w:t>
            </w:r>
          </w:p>
        </w:tc>
        <w:tc>
          <w:tcPr>
            <w:tcW w:w="2835" w:type="dxa"/>
            <w:vAlign w:val="center"/>
          </w:tcPr>
          <w:p w14:paraId="39F2E2B8">
            <w:pPr>
              <w:pStyle w:val="12"/>
            </w:pPr>
            <w:r>
              <w:t>服务对象满意度</w:t>
            </w:r>
          </w:p>
        </w:tc>
        <w:tc>
          <w:tcPr>
            <w:tcW w:w="5386" w:type="dxa"/>
            <w:vAlign w:val="center"/>
          </w:tcPr>
          <w:p w14:paraId="1FFFDF62">
            <w:pPr>
              <w:pStyle w:val="12"/>
            </w:pPr>
            <w:r>
              <w:t>学校老师和学生满意度</w:t>
            </w:r>
          </w:p>
        </w:tc>
        <w:tc>
          <w:tcPr>
            <w:tcW w:w="2268" w:type="dxa"/>
            <w:vAlign w:val="center"/>
          </w:tcPr>
          <w:p w14:paraId="49727AA4">
            <w:pPr>
              <w:pStyle w:val="12"/>
            </w:pPr>
            <w:r>
              <w:t>≥95%</w:t>
            </w:r>
          </w:p>
        </w:tc>
        <w:tc>
          <w:tcPr>
            <w:tcW w:w="1276" w:type="dxa"/>
            <w:vAlign w:val="center"/>
          </w:tcPr>
          <w:p w14:paraId="3D1B118C">
            <w:pPr>
              <w:pStyle w:val="12"/>
            </w:pPr>
            <w:r>
              <w:t>城乡义务教育公用经费管理办法</w:t>
            </w:r>
          </w:p>
        </w:tc>
      </w:tr>
    </w:tbl>
    <w:p w14:paraId="2F5C8D1C">
      <w:pPr>
        <w:sectPr>
          <w:pgSz w:w="16840" w:h="11900" w:orient="landscape"/>
          <w:pgMar w:top="1361" w:right="1020" w:bottom="1134" w:left="1020" w:header="720" w:footer="720" w:gutter="0"/>
          <w:cols w:space="720" w:num="1"/>
        </w:sectPr>
      </w:pPr>
    </w:p>
    <w:p w14:paraId="68E01D56">
      <w:pPr>
        <w:spacing w:before="0" w:after="0"/>
        <w:ind w:firstLine="560"/>
        <w:jc w:val="left"/>
        <w:outlineLvl w:val="9"/>
      </w:pPr>
      <w:r>
        <w:rPr>
          <w:rFonts w:ascii="方正仿宋_GBK" w:hAnsi="方正仿宋_GBK" w:eastAsia="方正仿宋_GBK" w:cs="方正仿宋_GBK"/>
          <w:b/>
          <w:color w:val="000000"/>
          <w:sz w:val="28"/>
        </w:rPr>
        <w:t>2、冀财教[2025]121号/中央/2026年义教补助经费/千户营校区千户营小学公用经费绩效目标表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E9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7CE00">
            <w:pPr>
              <w:pStyle w:val="11"/>
            </w:pPr>
            <w:r>
              <w:t>单位：万元</w:t>
            </w:r>
          </w:p>
        </w:tc>
      </w:tr>
      <w:tr w14:paraId="771A4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5C875">
            <w:pPr>
              <w:pStyle w:val="10"/>
            </w:pPr>
            <w:r>
              <w:t>项目编码</w:t>
            </w:r>
          </w:p>
        </w:tc>
        <w:tc>
          <w:tcPr>
            <w:tcW w:w="5103" w:type="dxa"/>
            <w:gridSpan w:val="2"/>
            <w:vAlign w:val="center"/>
          </w:tcPr>
          <w:p w14:paraId="2609A678">
            <w:pPr>
              <w:pStyle w:val="12"/>
            </w:pPr>
            <w:r>
              <w:t>13052526P00000410311R</w:t>
            </w:r>
          </w:p>
        </w:tc>
        <w:tc>
          <w:tcPr>
            <w:tcW w:w="2835" w:type="dxa"/>
            <w:vAlign w:val="center"/>
          </w:tcPr>
          <w:p w14:paraId="6C06A403">
            <w:pPr>
              <w:pStyle w:val="10"/>
            </w:pPr>
            <w:r>
              <w:t>项目名称</w:t>
            </w:r>
          </w:p>
        </w:tc>
        <w:tc>
          <w:tcPr>
            <w:tcW w:w="6095" w:type="dxa"/>
            <w:gridSpan w:val="3"/>
            <w:vAlign w:val="center"/>
          </w:tcPr>
          <w:p w14:paraId="7789D0FE">
            <w:pPr>
              <w:pStyle w:val="12"/>
            </w:pPr>
            <w:r>
              <w:t>冀财教[2025]121号/中央/2026年义教补助经费/千户营校区千户营小学公用经费</w:t>
            </w:r>
          </w:p>
        </w:tc>
      </w:tr>
      <w:tr w14:paraId="2E67E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B7E39">
            <w:pPr>
              <w:pStyle w:val="10"/>
            </w:pPr>
            <w:r>
              <w:t>预算规模及资金用途</w:t>
            </w:r>
          </w:p>
        </w:tc>
        <w:tc>
          <w:tcPr>
            <w:tcW w:w="2268" w:type="dxa"/>
            <w:vAlign w:val="center"/>
          </w:tcPr>
          <w:p w14:paraId="2B39F0C3">
            <w:pPr>
              <w:pStyle w:val="10"/>
            </w:pPr>
            <w:r>
              <w:t>预算数</w:t>
            </w:r>
          </w:p>
        </w:tc>
        <w:tc>
          <w:tcPr>
            <w:tcW w:w="2835" w:type="dxa"/>
            <w:vAlign w:val="center"/>
          </w:tcPr>
          <w:p w14:paraId="5028EDB8">
            <w:pPr>
              <w:pStyle w:val="12"/>
            </w:pPr>
            <w:r>
              <w:t>77.08</w:t>
            </w:r>
          </w:p>
        </w:tc>
        <w:tc>
          <w:tcPr>
            <w:tcW w:w="2835" w:type="dxa"/>
            <w:vAlign w:val="center"/>
          </w:tcPr>
          <w:p w14:paraId="29A132AE">
            <w:pPr>
              <w:pStyle w:val="10"/>
            </w:pPr>
            <w:r>
              <w:t>其中：财政    资金</w:t>
            </w:r>
          </w:p>
        </w:tc>
        <w:tc>
          <w:tcPr>
            <w:tcW w:w="2551" w:type="dxa"/>
            <w:vAlign w:val="center"/>
          </w:tcPr>
          <w:p w14:paraId="061EEA62">
            <w:pPr>
              <w:pStyle w:val="12"/>
            </w:pPr>
            <w:r>
              <w:t>77.08</w:t>
            </w:r>
          </w:p>
        </w:tc>
        <w:tc>
          <w:tcPr>
            <w:tcW w:w="2268" w:type="dxa"/>
            <w:vAlign w:val="center"/>
          </w:tcPr>
          <w:p w14:paraId="08CE4975">
            <w:pPr>
              <w:pStyle w:val="10"/>
            </w:pPr>
            <w:r>
              <w:t>其他资金</w:t>
            </w:r>
          </w:p>
        </w:tc>
        <w:tc>
          <w:tcPr>
            <w:tcW w:w="1276" w:type="dxa"/>
            <w:vAlign w:val="center"/>
          </w:tcPr>
          <w:p w14:paraId="091F2743">
            <w:pPr>
              <w:pStyle w:val="12"/>
            </w:pPr>
            <w:r>
              <w:t xml:space="preserve"> </w:t>
            </w:r>
          </w:p>
        </w:tc>
      </w:tr>
      <w:tr w14:paraId="37223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E539E"/>
        </w:tc>
        <w:tc>
          <w:tcPr>
            <w:tcW w:w="14033" w:type="dxa"/>
            <w:gridSpan w:val="6"/>
            <w:vAlign w:val="center"/>
          </w:tcPr>
          <w:p w14:paraId="56BD83ED">
            <w:pPr>
              <w:pStyle w:val="12"/>
            </w:pPr>
            <w:r>
              <w:t>为保证学校正常运转和改善办学条件。</w:t>
            </w:r>
          </w:p>
        </w:tc>
      </w:tr>
      <w:tr w14:paraId="5B86D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A1C0E">
            <w:pPr>
              <w:pStyle w:val="10"/>
            </w:pPr>
            <w:r>
              <w:t>资金支出计划（%）</w:t>
            </w:r>
          </w:p>
        </w:tc>
        <w:tc>
          <w:tcPr>
            <w:tcW w:w="5103" w:type="dxa"/>
            <w:gridSpan w:val="2"/>
            <w:vAlign w:val="center"/>
          </w:tcPr>
          <w:p w14:paraId="73A29B58">
            <w:pPr>
              <w:pStyle w:val="10"/>
            </w:pPr>
            <w:r>
              <w:t>3月底</w:t>
            </w:r>
          </w:p>
        </w:tc>
        <w:tc>
          <w:tcPr>
            <w:tcW w:w="2835" w:type="dxa"/>
            <w:vAlign w:val="center"/>
          </w:tcPr>
          <w:p w14:paraId="696A07BA">
            <w:pPr>
              <w:pStyle w:val="10"/>
            </w:pPr>
            <w:r>
              <w:t>6月底</w:t>
            </w:r>
          </w:p>
        </w:tc>
        <w:tc>
          <w:tcPr>
            <w:tcW w:w="2551" w:type="dxa"/>
            <w:vAlign w:val="center"/>
          </w:tcPr>
          <w:p w14:paraId="5D7BA00B">
            <w:pPr>
              <w:pStyle w:val="10"/>
            </w:pPr>
            <w:r>
              <w:t>10月底</w:t>
            </w:r>
          </w:p>
        </w:tc>
        <w:tc>
          <w:tcPr>
            <w:tcW w:w="3544" w:type="dxa"/>
            <w:gridSpan w:val="2"/>
            <w:vAlign w:val="center"/>
          </w:tcPr>
          <w:p w14:paraId="2C33E192">
            <w:pPr>
              <w:pStyle w:val="10"/>
            </w:pPr>
            <w:r>
              <w:t>12月底</w:t>
            </w:r>
          </w:p>
        </w:tc>
      </w:tr>
      <w:tr w14:paraId="068D2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23626"/>
        </w:tc>
        <w:tc>
          <w:tcPr>
            <w:tcW w:w="5103" w:type="dxa"/>
            <w:gridSpan w:val="2"/>
            <w:vAlign w:val="center"/>
          </w:tcPr>
          <w:p w14:paraId="3320A0A1">
            <w:pPr>
              <w:pStyle w:val="13"/>
            </w:pPr>
            <w:r>
              <w:t>25%</w:t>
            </w:r>
          </w:p>
        </w:tc>
        <w:tc>
          <w:tcPr>
            <w:tcW w:w="2835" w:type="dxa"/>
            <w:vAlign w:val="center"/>
          </w:tcPr>
          <w:p w14:paraId="02EAFF4E">
            <w:pPr>
              <w:pStyle w:val="13"/>
            </w:pPr>
            <w:r>
              <w:t>50%</w:t>
            </w:r>
          </w:p>
        </w:tc>
        <w:tc>
          <w:tcPr>
            <w:tcW w:w="2551" w:type="dxa"/>
            <w:vAlign w:val="center"/>
          </w:tcPr>
          <w:p w14:paraId="16905A8D">
            <w:pPr>
              <w:pStyle w:val="13"/>
            </w:pPr>
            <w:r>
              <w:t>75%</w:t>
            </w:r>
          </w:p>
        </w:tc>
        <w:tc>
          <w:tcPr>
            <w:tcW w:w="3544" w:type="dxa"/>
            <w:gridSpan w:val="2"/>
            <w:vAlign w:val="center"/>
          </w:tcPr>
          <w:p w14:paraId="5091186C">
            <w:pPr>
              <w:pStyle w:val="13"/>
            </w:pPr>
            <w:r>
              <w:t>100%</w:t>
            </w:r>
          </w:p>
        </w:tc>
      </w:tr>
      <w:tr w14:paraId="2CA43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6A99D">
            <w:pPr>
              <w:pStyle w:val="10"/>
            </w:pPr>
            <w:r>
              <w:t>绩效目标</w:t>
            </w:r>
          </w:p>
        </w:tc>
        <w:tc>
          <w:tcPr>
            <w:tcW w:w="14033" w:type="dxa"/>
            <w:gridSpan w:val="6"/>
            <w:vAlign w:val="center"/>
          </w:tcPr>
          <w:p w14:paraId="30CD6106">
            <w:pPr>
              <w:pStyle w:val="12"/>
            </w:pPr>
            <w:r>
              <w:t>1.为保证学校正常运转和改善办学条件。</w:t>
            </w:r>
          </w:p>
          <w:p w14:paraId="4916EDAF">
            <w:pPr>
              <w:pStyle w:val="12"/>
            </w:pPr>
            <w:r>
              <w:t>2.按拨款序时进度完成经费拨付和支出。</w:t>
            </w:r>
          </w:p>
        </w:tc>
      </w:tr>
    </w:tbl>
    <w:p w14:paraId="7861AD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8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B204B">
            <w:pPr>
              <w:pStyle w:val="10"/>
            </w:pPr>
            <w:r>
              <w:t>一级指标</w:t>
            </w:r>
          </w:p>
        </w:tc>
        <w:tc>
          <w:tcPr>
            <w:tcW w:w="2268" w:type="dxa"/>
            <w:vAlign w:val="center"/>
          </w:tcPr>
          <w:p w14:paraId="3042E9E4">
            <w:pPr>
              <w:pStyle w:val="10"/>
            </w:pPr>
            <w:r>
              <w:t>二级指标</w:t>
            </w:r>
          </w:p>
        </w:tc>
        <w:tc>
          <w:tcPr>
            <w:tcW w:w="2835" w:type="dxa"/>
            <w:vAlign w:val="center"/>
          </w:tcPr>
          <w:p w14:paraId="2C352017">
            <w:pPr>
              <w:pStyle w:val="10"/>
            </w:pPr>
            <w:r>
              <w:t>三级指标</w:t>
            </w:r>
          </w:p>
        </w:tc>
        <w:tc>
          <w:tcPr>
            <w:tcW w:w="5386" w:type="dxa"/>
            <w:vAlign w:val="center"/>
          </w:tcPr>
          <w:p w14:paraId="2F387856">
            <w:pPr>
              <w:pStyle w:val="10"/>
            </w:pPr>
            <w:r>
              <w:t>绩效指标描述</w:t>
            </w:r>
          </w:p>
        </w:tc>
        <w:tc>
          <w:tcPr>
            <w:tcW w:w="2268" w:type="dxa"/>
            <w:vAlign w:val="center"/>
          </w:tcPr>
          <w:p w14:paraId="3339D1BD">
            <w:pPr>
              <w:pStyle w:val="10"/>
            </w:pPr>
            <w:r>
              <w:t>指标值</w:t>
            </w:r>
          </w:p>
        </w:tc>
        <w:tc>
          <w:tcPr>
            <w:tcW w:w="1276" w:type="dxa"/>
            <w:vAlign w:val="center"/>
          </w:tcPr>
          <w:p w14:paraId="63CA4E00">
            <w:pPr>
              <w:pStyle w:val="10"/>
            </w:pPr>
            <w:r>
              <w:t>指标值确定依据</w:t>
            </w:r>
          </w:p>
        </w:tc>
      </w:tr>
      <w:tr w14:paraId="5404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23D8F">
            <w:pPr>
              <w:pStyle w:val="13"/>
            </w:pPr>
            <w:r>
              <w:t>产出指标</w:t>
            </w:r>
          </w:p>
        </w:tc>
        <w:tc>
          <w:tcPr>
            <w:tcW w:w="2268" w:type="dxa"/>
            <w:vAlign w:val="center"/>
          </w:tcPr>
          <w:p w14:paraId="4ED27AA7">
            <w:pPr>
              <w:pStyle w:val="12"/>
            </w:pPr>
            <w:r>
              <w:t>数量指标</w:t>
            </w:r>
          </w:p>
        </w:tc>
        <w:tc>
          <w:tcPr>
            <w:tcW w:w="2835" w:type="dxa"/>
            <w:vAlign w:val="center"/>
          </w:tcPr>
          <w:p w14:paraId="6B199346">
            <w:pPr>
              <w:pStyle w:val="12"/>
            </w:pPr>
            <w:r>
              <w:t>就读学生数</w:t>
            </w:r>
          </w:p>
        </w:tc>
        <w:tc>
          <w:tcPr>
            <w:tcW w:w="5386" w:type="dxa"/>
            <w:vAlign w:val="center"/>
          </w:tcPr>
          <w:p w14:paraId="34EDF254">
            <w:pPr>
              <w:pStyle w:val="12"/>
            </w:pPr>
            <w:r>
              <w:t>辐射区域内适龄学生人数</w:t>
            </w:r>
          </w:p>
        </w:tc>
        <w:tc>
          <w:tcPr>
            <w:tcW w:w="2268" w:type="dxa"/>
            <w:vAlign w:val="center"/>
          </w:tcPr>
          <w:p w14:paraId="3F8FBEC5">
            <w:pPr>
              <w:pStyle w:val="12"/>
            </w:pPr>
            <w:r>
              <w:t>1241人</w:t>
            </w:r>
          </w:p>
        </w:tc>
        <w:tc>
          <w:tcPr>
            <w:tcW w:w="1276" w:type="dxa"/>
            <w:vAlign w:val="center"/>
          </w:tcPr>
          <w:p w14:paraId="52E40C84">
            <w:pPr>
              <w:pStyle w:val="12"/>
            </w:pPr>
            <w:r>
              <w:t>城乡义务教育公用经费管理办法</w:t>
            </w:r>
          </w:p>
        </w:tc>
      </w:tr>
      <w:tr w14:paraId="1E5C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DC8D1"/>
        </w:tc>
        <w:tc>
          <w:tcPr>
            <w:tcW w:w="2268" w:type="dxa"/>
            <w:vAlign w:val="center"/>
          </w:tcPr>
          <w:p w14:paraId="767623B6">
            <w:pPr>
              <w:pStyle w:val="12"/>
            </w:pPr>
            <w:r>
              <w:t>质量指标</w:t>
            </w:r>
          </w:p>
        </w:tc>
        <w:tc>
          <w:tcPr>
            <w:tcW w:w="2835" w:type="dxa"/>
            <w:vAlign w:val="center"/>
          </w:tcPr>
          <w:p w14:paraId="5708B453">
            <w:pPr>
              <w:pStyle w:val="12"/>
            </w:pPr>
            <w:r>
              <w:t>预算执行率</w:t>
            </w:r>
          </w:p>
        </w:tc>
        <w:tc>
          <w:tcPr>
            <w:tcW w:w="5386" w:type="dxa"/>
            <w:vAlign w:val="center"/>
          </w:tcPr>
          <w:p w14:paraId="4F800546">
            <w:pPr>
              <w:pStyle w:val="12"/>
            </w:pPr>
            <w:r>
              <w:t>预算执行率≥98%</w:t>
            </w:r>
          </w:p>
        </w:tc>
        <w:tc>
          <w:tcPr>
            <w:tcW w:w="2268" w:type="dxa"/>
            <w:vAlign w:val="center"/>
          </w:tcPr>
          <w:p w14:paraId="053FA526">
            <w:pPr>
              <w:pStyle w:val="12"/>
            </w:pPr>
            <w:r>
              <w:t>≥98%</w:t>
            </w:r>
          </w:p>
        </w:tc>
        <w:tc>
          <w:tcPr>
            <w:tcW w:w="1276" w:type="dxa"/>
            <w:vAlign w:val="center"/>
          </w:tcPr>
          <w:p w14:paraId="5AF9DF8B">
            <w:pPr>
              <w:pStyle w:val="12"/>
            </w:pPr>
            <w:r>
              <w:t>城乡义务教育公用经费管理办法</w:t>
            </w:r>
          </w:p>
        </w:tc>
      </w:tr>
      <w:tr w14:paraId="1FD3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33511"/>
        </w:tc>
        <w:tc>
          <w:tcPr>
            <w:tcW w:w="2268" w:type="dxa"/>
            <w:vAlign w:val="center"/>
          </w:tcPr>
          <w:p w14:paraId="1EC6A60C">
            <w:pPr>
              <w:pStyle w:val="12"/>
            </w:pPr>
            <w:r>
              <w:t>时效指标</w:t>
            </w:r>
          </w:p>
        </w:tc>
        <w:tc>
          <w:tcPr>
            <w:tcW w:w="2835" w:type="dxa"/>
            <w:vAlign w:val="center"/>
          </w:tcPr>
          <w:p w14:paraId="16799101">
            <w:pPr>
              <w:pStyle w:val="12"/>
            </w:pPr>
            <w:r>
              <w:t>义教经费支付完成率</w:t>
            </w:r>
          </w:p>
        </w:tc>
        <w:tc>
          <w:tcPr>
            <w:tcW w:w="5386" w:type="dxa"/>
            <w:vAlign w:val="center"/>
          </w:tcPr>
          <w:p w14:paraId="0563D396">
            <w:pPr>
              <w:pStyle w:val="12"/>
            </w:pPr>
            <w:r>
              <w:t>按照序时进度完成资金支付</w:t>
            </w:r>
          </w:p>
        </w:tc>
        <w:tc>
          <w:tcPr>
            <w:tcW w:w="2268" w:type="dxa"/>
            <w:vAlign w:val="center"/>
          </w:tcPr>
          <w:p w14:paraId="1D78DF13">
            <w:pPr>
              <w:pStyle w:val="12"/>
            </w:pPr>
            <w:r>
              <w:t>≥98%</w:t>
            </w:r>
          </w:p>
        </w:tc>
        <w:tc>
          <w:tcPr>
            <w:tcW w:w="1276" w:type="dxa"/>
            <w:vAlign w:val="center"/>
          </w:tcPr>
          <w:p w14:paraId="6320B572">
            <w:pPr>
              <w:pStyle w:val="12"/>
            </w:pPr>
            <w:r>
              <w:t>城乡义务教育公用经费管理办法</w:t>
            </w:r>
          </w:p>
        </w:tc>
      </w:tr>
      <w:tr w14:paraId="2349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E1674"/>
        </w:tc>
        <w:tc>
          <w:tcPr>
            <w:tcW w:w="2268" w:type="dxa"/>
            <w:vAlign w:val="center"/>
          </w:tcPr>
          <w:p w14:paraId="6074ABD4">
            <w:pPr>
              <w:pStyle w:val="12"/>
            </w:pPr>
            <w:r>
              <w:t>成本指标</w:t>
            </w:r>
          </w:p>
        </w:tc>
        <w:tc>
          <w:tcPr>
            <w:tcW w:w="2835" w:type="dxa"/>
            <w:vAlign w:val="center"/>
          </w:tcPr>
          <w:p w14:paraId="5AF08059">
            <w:pPr>
              <w:pStyle w:val="12"/>
            </w:pPr>
            <w:r>
              <w:t>生均拨款标准</w:t>
            </w:r>
          </w:p>
        </w:tc>
        <w:tc>
          <w:tcPr>
            <w:tcW w:w="5386" w:type="dxa"/>
            <w:vAlign w:val="center"/>
          </w:tcPr>
          <w:p w14:paraId="3B92CE37">
            <w:pPr>
              <w:pStyle w:val="12"/>
            </w:pPr>
            <w:r>
              <w:t>小学生公用经费生均小学720元，取暖费120元/生/年，随班就读学生补助7000元/生</w:t>
            </w:r>
          </w:p>
        </w:tc>
        <w:tc>
          <w:tcPr>
            <w:tcW w:w="2268" w:type="dxa"/>
            <w:vAlign w:val="center"/>
          </w:tcPr>
          <w:p w14:paraId="43EBE225">
            <w:pPr>
              <w:pStyle w:val="12"/>
            </w:pPr>
            <w:r>
              <w:t>≥840元</w:t>
            </w:r>
          </w:p>
        </w:tc>
        <w:tc>
          <w:tcPr>
            <w:tcW w:w="1276" w:type="dxa"/>
            <w:vAlign w:val="center"/>
          </w:tcPr>
          <w:p w14:paraId="7CC8697B">
            <w:pPr>
              <w:pStyle w:val="12"/>
            </w:pPr>
            <w:r>
              <w:t>城乡义务教育公用经费管理办法</w:t>
            </w:r>
          </w:p>
        </w:tc>
      </w:tr>
      <w:tr w14:paraId="464D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D2D96">
            <w:pPr>
              <w:pStyle w:val="13"/>
            </w:pPr>
            <w:r>
              <w:t>效益指标</w:t>
            </w:r>
          </w:p>
        </w:tc>
        <w:tc>
          <w:tcPr>
            <w:tcW w:w="2268" w:type="dxa"/>
            <w:vAlign w:val="center"/>
          </w:tcPr>
          <w:p w14:paraId="6667FFFE">
            <w:pPr>
              <w:pStyle w:val="12"/>
            </w:pPr>
            <w:r>
              <w:t>社会效益指标</w:t>
            </w:r>
          </w:p>
        </w:tc>
        <w:tc>
          <w:tcPr>
            <w:tcW w:w="2835" w:type="dxa"/>
            <w:vAlign w:val="center"/>
          </w:tcPr>
          <w:p w14:paraId="265C2A6E">
            <w:pPr>
              <w:pStyle w:val="12"/>
            </w:pPr>
            <w:r>
              <w:t>学校运转得到提高</w:t>
            </w:r>
          </w:p>
        </w:tc>
        <w:tc>
          <w:tcPr>
            <w:tcW w:w="5386" w:type="dxa"/>
            <w:vAlign w:val="center"/>
          </w:tcPr>
          <w:p w14:paraId="47B27208">
            <w:pPr>
              <w:pStyle w:val="12"/>
            </w:pPr>
            <w:r>
              <w:t>学生受教育年限</w:t>
            </w:r>
          </w:p>
        </w:tc>
        <w:tc>
          <w:tcPr>
            <w:tcW w:w="2268" w:type="dxa"/>
            <w:vAlign w:val="center"/>
          </w:tcPr>
          <w:p w14:paraId="5BABE58B">
            <w:pPr>
              <w:pStyle w:val="12"/>
            </w:pPr>
            <w:r>
              <w:t>6年</w:t>
            </w:r>
          </w:p>
        </w:tc>
        <w:tc>
          <w:tcPr>
            <w:tcW w:w="1276" w:type="dxa"/>
            <w:vAlign w:val="center"/>
          </w:tcPr>
          <w:p w14:paraId="0ED39099">
            <w:pPr>
              <w:pStyle w:val="12"/>
            </w:pPr>
            <w:r>
              <w:t>城乡义务教育公用经费管理办法</w:t>
            </w:r>
          </w:p>
        </w:tc>
      </w:tr>
      <w:tr w14:paraId="320D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F6450">
            <w:pPr>
              <w:pStyle w:val="13"/>
            </w:pPr>
            <w:r>
              <w:t>满意度指标</w:t>
            </w:r>
          </w:p>
        </w:tc>
        <w:tc>
          <w:tcPr>
            <w:tcW w:w="2268" w:type="dxa"/>
            <w:vAlign w:val="center"/>
          </w:tcPr>
          <w:p w14:paraId="5858C041">
            <w:pPr>
              <w:pStyle w:val="12"/>
            </w:pPr>
            <w:r>
              <w:t>服务对象满意度指标</w:t>
            </w:r>
          </w:p>
        </w:tc>
        <w:tc>
          <w:tcPr>
            <w:tcW w:w="2835" w:type="dxa"/>
            <w:vAlign w:val="center"/>
          </w:tcPr>
          <w:p w14:paraId="36CD0B91">
            <w:pPr>
              <w:pStyle w:val="12"/>
            </w:pPr>
            <w:r>
              <w:t>服务对象满意度</w:t>
            </w:r>
          </w:p>
        </w:tc>
        <w:tc>
          <w:tcPr>
            <w:tcW w:w="5386" w:type="dxa"/>
            <w:vAlign w:val="center"/>
          </w:tcPr>
          <w:p w14:paraId="2071217F">
            <w:pPr>
              <w:pStyle w:val="12"/>
            </w:pPr>
            <w:r>
              <w:t>学校老师和学生满意度</w:t>
            </w:r>
          </w:p>
        </w:tc>
        <w:tc>
          <w:tcPr>
            <w:tcW w:w="2268" w:type="dxa"/>
            <w:vAlign w:val="center"/>
          </w:tcPr>
          <w:p w14:paraId="3A343828">
            <w:pPr>
              <w:pStyle w:val="12"/>
            </w:pPr>
            <w:r>
              <w:t>≥95%</w:t>
            </w:r>
          </w:p>
        </w:tc>
        <w:tc>
          <w:tcPr>
            <w:tcW w:w="1276" w:type="dxa"/>
            <w:vAlign w:val="center"/>
          </w:tcPr>
          <w:p w14:paraId="4F06C48A">
            <w:pPr>
              <w:pStyle w:val="12"/>
            </w:pPr>
            <w:r>
              <w:t>城乡义务教育公用经费管理办法</w:t>
            </w:r>
          </w:p>
        </w:tc>
      </w:tr>
    </w:tbl>
    <w:p w14:paraId="3406BD37">
      <w:pPr>
        <w:sectPr>
          <w:pgSz w:w="16840" w:h="11900" w:orient="landscape"/>
          <w:pgMar w:top="1361" w:right="1020" w:bottom="1134" w:left="1020" w:header="720" w:footer="720" w:gutter="0"/>
          <w:cols w:space="720" w:num="1"/>
        </w:sectPr>
      </w:pPr>
    </w:p>
    <w:p w14:paraId="68456011">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3、冀财教[2025]121号/中央/2026年义教补助经费/千户营校区徐麻营小学公用经费绩效目标表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E5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49D53">
            <w:pPr>
              <w:pStyle w:val="11"/>
            </w:pPr>
            <w:r>
              <w:t>单位：万元</w:t>
            </w:r>
          </w:p>
        </w:tc>
      </w:tr>
      <w:tr w14:paraId="7BBE0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EDA03">
            <w:pPr>
              <w:pStyle w:val="10"/>
            </w:pPr>
            <w:r>
              <w:t>项目编码</w:t>
            </w:r>
          </w:p>
        </w:tc>
        <w:tc>
          <w:tcPr>
            <w:tcW w:w="5103" w:type="dxa"/>
            <w:gridSpan w:val="2"/>
            <w:vAlign w:val="center"/>
          </w:tcPr>
          <w:p w14:paraId="0850B5BE">
            <w:pPr>
              <w:pStyle w:val="12"/>
            </w:pPr>
            <w:r>
              <w:t>13052526P000004103106</w:t>
            </w:r>
          </w:p>
        </w:tc>
        <w:tc>
          <w:tcPr>
            <w:tcW w:w="2835" w:type="dxa"/>
            <w:vAlign w:val="center"/>
          </w:tcPr>
          <w:p w14:paraId="12AC9D47">
            <w:pPr>
              <w:pStyle w:val="10"/>
            </w:pPr>
            <w:r>
              <w:t>项目名称</w:t>
            </w:r>
          </w:p>
        </w:tc>
        <w:tc>
          <w:tcPr>
            <w:tcW w:w="6095" w:type="dxa"/>
            <w:gridSpan w:val="3"/>
            <w:vAlign w:val="center"/>
          </w:tcPr>
          <w:p w14:paraId="308D4B2B">
            <w:pPr>
              <w:pStyle w:val="12"/>
            </w:pPr>
            <w:r>
              <w:t>冀财教[2025]121号/中央/2026年义教补助经费/千户营校区徐麻营小学公用经费</w:t>
            </w:r>
          </w:p>
        </w:tc>
      </w:tr>
      <w:tr w14:paraId="37ACC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B933D">
            <w:pPr>
              <w:pStyle w:val="10"/>
            </w:pPr>
            <w:r>
              <w:t>预算规模及资金用途</w:t>
            </w:r>
          </w:p>
        </w:tc>
        <w:tc>
          <w:tcPr>
            <w:tcW w:w="2268" w:type="dxa"/>
            <w:vAlign w:val="center"/>
          </w:tcPr>
          <w:p w14:paraId="01E26B07">
            <w:pPr>
              <w:pStyle w:val="10"/>
            </w:pPr>
            <w:r>
              <w:t>预算数</w:t>
            </w:r>
          </w:p>
        </w:tc>
        <w:tc>
          <w:tcPr>
            <w:tcW w:w="2835" w:type="dxa"/>
            <w:vAlign w:val="center"/>
          </w:tcPr>
          <w:p w14:paraId="36C5623A">
            <w:pPr>
              <w:pStyle w:val="12"/>
            </w:pPr>
            <w:r>
              <w:t>42.50</w:t>
            </w:r>
          </w:p>
        </w:tc>
        <w:tc>
          <w:tcPr>
            <w:tcW w:w="2835" w:type="dxa"/>
            <w:vAlign w:val="center"/>
          </w:tcPr>
          <w:p w14:paraId="550ED18E">
            <w:pPr>
              <w:pStyle w:val="10"/>
            </w:pPr>
            <w:r>
              <w:t>其中：财政    资金</w:t>
            </w:r>
          </w:p>
        </w:tc>
        <w:tc>
          <w:tcPr>
            <w:tcW w:w="2551" w:type="dxa"/>
            <w:vAlign w:val="center"/>
          </w:tcPr>
          <w:p w14:paraId="12959E16">
            <w:pPr>
              <w:pStyle w:val="12"/>
            </w:pPr>
            <w:r>
              <w:t>42.50</w:t>
            </w:r>
          </w:p>
        </w:tc>
        <w:tc>
          <w:tcPr>
            <w:tcW w:w="2268" w:type="dxa"/>
            <w:vAlign w:val="center"/>
          </w:tcPr>
          <w:p w14:paraId="75E10FCF">
            <w:pPr>
              <w:pStyle w:val="10"/>
            </w:pPr>
            <w:r>
              <w:t>其他资金</w:t>
            </w:r>
          </w:p>
        </w:tc>
        <w:tc>
          <w:tcPr>
            <w:tcW w:w="1276" w:type="dxa"/>
            <w:vAlign w:val="center"/>
          </w:tcPr>
          <w:p w14:paraId="5F615010">
            <w:pPr>
              <w:pStyle w:val="12"/>
            </w:pPr>
            <w:r>
              <w:t xml:space="preserve"> </w:t>
            </w:r>
          </w:p>
        </w:tc>
      </w:tr>
      <w:tr w14:paraId="74760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DB29D"/>
        </w:tc>
        <w:tc>
          <w:tcPr>
            <w:tcW w:w="14033" w:type="dxa"/>
            <w:gridSpan w:val="6"/>
            <w:vAlign w:val="center"/>
          </w:tcPr>
          <w:p w14:paraId="1B5F4065">
            <w:pPr>
              <w:pStyle w:val="12"/>
            </w:pPr>
            <w:r>
              <w:t>为保证学校正常运转和改善办学条件。</w:t>
            </w:r>
          </w:p>
        </w:tc>
      </w:tr>
      <w:tr w14:paraId="5D2B5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412A5">
            <w:pPr>
              <w:pStyle w:val="10"/>
            </w:pPr>
            <w:r>
              <w:t>资金支出计划（%）</w:t>
            </w:r>
          </w:p>
        </w:tc>
        <w:tc>
          <w:tcPr>
            <w:tcW w:w="5103" w:type="dxa"/>
            <w:gridSpan w:val="2"/>
            <w:vAlign w:val="center"/>
          </w:tcPr>
          <w:p w14:paraId="6CCB8D09">
            <w:pPr>
              <w:pStyle w:val="10"/>
            </w:pPr>
            <w:r>
              <w:t>3月底</w:t>
            </w:r>
          </w:p>
        </w:tc>
        <w:tc>
          <w:tcPr>
            <w:tcW w:w="2835" w:type="dxa"/>
            <w:vAlign w:val="center"/>
          </w:tcPr>
          <w:p w14:paraId="1FF3FDEC">
            <w:pPr>
              <w:pStyle w:val="10"/>
            </w:pPr>
            <w:r>
              <w:t>6月底</w:t>
            </w:r>
          </w:p>
        </w:tc>
        <w:tc>
          <w:tcPr>
            <w:tcW w:w="2551" w:type="dxa"/>
            <w:vAlign w:val="center"/>
          </w:tcPr>
          <w:p w14:paraId="76F294DC">
            <w:pPr>
              <w:pStyle w:val="10"/>
            </w:pPr>
            <w:r>
              <w:t>10月底</w:t>
            </w:r>
          </w:p>
        </w:tc>
        <w:tc>
          <w:tcPr>
            <w:tcW w:w="3544" w:type="dxa"/>
            <w:gridSpan w:val="2"/>
            <w:vAlign w:val="center"/>
          </w:tcPr>
          <w:p w14:paraId="04CDDA7A">
            <w:pPr>
              <w:pStyle w:val="10"/>
            </w:pPr>
            <w:r>
              <w:t>12月底</w:t>
            </w:r>
          </w:p>
        </w:tc>
      </w:tr>
      <w:tr w14:paraId="45577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03FB7"/>
        </w:tc>
        <w:tc>
          <w:tcPr>
            <w:tcW w:w="5103" w:type="dxa"/>
            <w:gridSpan w:val="2"/>
            <w:vAlign w:val="center"/>
          </w:tcPr>
          <w:p w14:paraId="7ECE9332">
            <w:pPr>
              <w:pStyle w:val="13"/>
            </w:pPr>
            <w:r>
              <w:t>25%</w:t>
            </w:r>
          </w:p>
        </w:tc>
        <w:tc>
          <w:tcPr>
            <w:tcW w:w="2835" w:type="dxa"/>
            <w:vAlign w:val="center"/>
          </w:tcPr>
          <w:p w14:paraId="678658B4">
            <w:pPr>
              <w:pStyle w:val="13"/>
            </w:pPr>
            <w:r>
              <w:t>50%</w:t>
            </w:r>
          </w:p>
        </w:tc>
        <w:tc>
          <w:tcPr>
            <w:tcW w:w="2551" w:type="dxa"/>
            <w:vAlign w:val="center"/>
          </w:tcPr>
          <w:p w14:paraId="5ED4DE15">
            <w:pPr>
              <w:pStyle w:val="13"/>
            </w:pPr>
            <w:r>
              <w:t>75%</w:t>
            </w:r>
          </w:p>
        </w:tc>
        <w:tc>
          <w:tcPr>
            <w:tcW w:w="3544" w:type="dxa"/>
            <w:gridSpan w:val="2"/>
            <w:vAlign w:val="center"/>
          </w:tcPr>
          <w:p w14:paraId="5B2A5BFA">
            <w:pPr>
              <w:pStyle w:val="13"/>
            </w:pPr>
            <w:r>
              <w:t>100%</w:t>
            </w:r>
          </w:p>
        </w:tc>
      </w:tr>
      <w:tr w14:paraId="32C21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72FD9">
            <w:pPr>
              <w:pStyle w:val="10"/>
            </w:pPr>
            <w:r>
              <w:t>绩效目标</w:t>
            </w:r>
          </w:p>
        </w:tc>
        <w:tc>
          <w:tcPr>
            <w:tcW w:w="14033" w:type="dxa"/>
            <w:gridSpan w:val="6"/>
            <w:vAlign w:val="center"/>
          </w:tcPr>
          <w:p w14:paraId="108FF3C5">
            <w:pPr>
              <w:pStyle w:val="12"/>
            </w:pPr>
            <w:r>
              <w:t>1.为保证学校正常运转和改善办学条件。</w:t>
            </w:r>
          </w:p>
          <w:p w14:paraId="4DA9ECB7">
            <w:pPr>
              <w:pStyle w:val="12"/>
            </w:pPr>
            <w:r>
              <w:t>2.按拨款序时进度完成经费拨付和支出。</w:t>
            </w:r>
          </w:p>
        </w:tc>
      </w:tr>
    </w:tbl>
    <w:p w14:paraId="576C9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02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6A884">
            <w:pPr>
              <w:pStyle w:val="10"/>
            </w:pPr>
            <w:r>
              <w:t>一级指标</w:t>
            </w:r>
          </w:p>
        </w:tc>
        <w:tc>
          <w:tcPr>
            <w:tcW w:w="2268" w:type="dxa"/>
            <w:vAlign w:val="center"/>
          </w:tcPr>
          <w:p w14:paraId="088937F7">
            <w:pPr>
              <w:pStyle w:val="10"/>
            </w:pPr>
            <w:r>
              <w:t>二级指标</w:t>
            </w:r>
          </w:p>
        </w:tc>
        <w:tc>
          <w:tcPr>
            <w:tcW w:w="2835" w:type="dxa"/>
            <w:vAlign w:val="center"/>
          </w:tcPr>
          <w:p w14:paraId="1A31D830">
            <w:pPr>
              <w:pStyle w:val="10"/>
            </w:pPr>
            <w:r>
              <w:t>三级指标</w:t>
            </w:r>
          </w:p>
        </w:tc>
        <w:tc>
          <w:tcPr>
            <w:tcW w:w="5386" w:type="dxa"/>
            <w:vAlign w:val="center"/>
          </w:tcPr>
          <w:p w14:paraId="05E62E93">
            <w:pPr>
              <w:pStyle w:val="10"/>
            </w:pPr>
            <w:r>
              <w:t>绩效指标描述</w:t>
            </w:r>
          </w:p>
        </w:tc>
        <w:tc>
          <w:tcPr>
            <w:tcW w:w="2268" w:type="dxa"/>
            <w:vAlign w:val="center"/>
          </w:tcPr>
          <w:p w14:paraId="208DCFBA">
            <w:pPr>
              <w:pStyle w:val="10"/>
            </w:pPr>
            <w:r>
              <w:t>指标值</w:t>
            </w:r>
          </w:p>
        </w:tc>
        <w:tc>
          <w:tcPr>
            <w:tcW w:w="1276" w:type="dxa"/>
            <w:vAlign w:val="center"/>
          </w:tcPr>
          <w:p w14:paraId="331A84F0">
            <w:pPr>
              <w:pStyle w:val="10"/>
            </w:pPr>
            <w:r>
              <w:t>指标值确定依据</w:t>
            </w:r>
          </w:p>
        </w:tc>
      </w:tr>
      <w:tr w14:paraId="3A03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7AC67">
            <w:pPr>
              <w:pStyle w:val="13"/>
            </w:pPr>
            <w:r>
              <w:t>产出指标</w:t>
            </w:r>
          </w:p>
        </w:tc>
        <w:tc>
          <w:tcPr>
            <w:tcW w:w="2268" w:type="dxa"/>
            <w:vAlign w:val="center"/>
          </w:tcPr>
          <w:p w14:paraId="02A9DFE4">
            <w:pPr>
              <w:pStyle w:val="12"/>
            </w:pPr>
            <w:r>
              <w:t>数量指标</w:t>
            </w:r>
          </w:p>
        </w:tc>
        <w:tc>
          <w:tcPr>
            <w:tcW w:w="2835" w:type="dxa"/>
            <w:vAlign w:val="center"/>
          </w:tcPr>
          <w:p w14:paraId="0CD76F8B">
            <w:pPr>
              <w:pStyle w:val="12"/>
            </w:pPr>
            <w:r>
              <w:t>就读学生数</w:t>
            </w:r>
          </w:p>
        </w:tc>
        <w:tc>
          <w:tcPr>
            <w:tcW w:w="5386" w:type="dxa"/>
            <w:vAlign w:val="center"/>
          </w:tcPr>
          <w:p w14:paraId="095BB97D">
            <w:pPr>
              <w:pStyle w:val="12"/>
            </w:pPr>
            <w:r>
              <w:t>辐射区域内适龄学生人数</w:t>
            </w:r>
          </w:p>
        </w:tc>
        <w:tc>
          <w:tcPr>
            <w:tcW w:w="2268" w:type="dxa"/>
            <w:vAlign w:val="center"/>
          </w:tcPr>
          <w:p w14:paraId="6FEAAB39">
            <w:pPr>
              <w:pStyle w:val="12"/>
            </w:pPr>
            <w:r>
              <w:t>651人</w:t>
            </w:r>
          </w:p>
        </w:tc>
        <w:tc>
          <w:tcPr>
            <w:tcW w:w="1276" w:type="dxa"/>
            <w:vAlign w:val="center"/>
          </w:tcPr>
          <w:p w14:paraId="3DC97D3B">
            <w:pPr>
              <w:pStyle w:val="12"/>
            </w:pPr>
            <w:r>
              <w:t>城乡义务教育公用经费管理办法</w:t>
            </w:r>
          </w:p>
        </w:tc>
      </w:tr>
      <w:tr w14:paraId="6CBD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D1796"/>
        </w:tc>
        <w:tc>
          <w:tcPr>
            <w:tcW w:w="2268" w:type="dxa"/>
            <w:vAlign w:val="center"/>
          </w:tcPr>
          <w:p w14:paraId="5533C75B">
            <w:pPr>
              <w:pStyle w:val="12"/>
            </w:pPr>
            <w:r>
              <w:t>质量指标</w:t>
            </w:r>
          </w:p>
        </w:tc>
        <w:tc>
          <w:tcPr>
            <w:tcW w:w="2835" w:type="dxa"/>
            <w:vAlign w:val="center"/>
          </w:tcPr>
          <w:p w14:paraId="7C6C5EF2">
            <w:pPr>
              <w:pStyle w:val="12"/>
            </w:pPr>
            <w:r>
              <w:t>预算执行率</w:t>
            </w:r>
          </w:p>
        </w:tc>
        <w:tc>
          <w:tcPr>
            <w:tcW w:w="5386" w:type="dxa"/>
            <w:vAlign w:val="center"/>
          </w:tcPr>
          <w:p w14:paraId="4F665D3C">
            <w:pPr>
              <w:pStyle w:val="12"/>
            </w:pPr>
            <w:r>
              <w:t>预算执行率≥98%</w:t>
            </w:r>
          </w:p>
        </w:tc>
        <w:tc>
          <w:tcPr>
            <w:tcW w:w="2268" w:type="dxa"/>
            <w:vAlign w:val="center"/>
          </w:tcPr>
          <w:p w14:paraId="346BDD7F">
            <w:pPr>
              <w:pStyle w:val="12"/>
            </w:pPr>
            <w:r>
              <w:t>≥98%</w:t>
            </w:r>
          </w:p>
        </w:tc>
        <w:tc>
          <w:tcPr>
            <w:tcW w:w="1276" w:type="dxa"/>
            <w:vAlign w:val="center"/>
          </w:tcPr>
          <w:p w14:paraId="3C06FA0E">
            <w:pPr>
              <w:pStyle w:val="12"/>
            </w:pPr>
            <w:r>
              <w:t>城乡义务教育公用经费管理办法</w:t>
            </w:r>
          </w:p>
        </w:tc>
      </w:tr>
      <w:tr w14:paraId="64D8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E7A02"/>
        </w:tc>
        <w:tc>
          <w:tcPr>
            <w:tcW w:w="2268" w:type="dxa"/>
            <w:vAlign w:val="center"/>
          </w:tcPr>
          <w:p w14:paraId="54D6699B">
            <w:pPr>
              <w:pStyle w:val="12"/>
            </w:pPr>
            <w:r>
              <w:t>时效指标</w:t>
            </w:r>
          </w:p>
        </w:tc>
        <w:tc>
          <w:tcPr>
            <w:tcW w:w="2835" w:type="dxa"/>
            <w:vAlign w:val="center"/>
          </w:tcPr>
          <w:p w14:paraId="6F63BE7D">
            <w:pPr>
              <w:pStyle w:val="12"/>
            </w:pPr>
            <w:r>
              <w:t>义教经费支付完成率</w:t>
            </w:r>
          </w:p>
        </w:tc>
        <w:tc>
          <w:tcPr>
            <w:tcW w:w="5386" w:type="dxa"/>
            <w:vAlign w:val="center"/>
          </w:tcPr>
          <w:p w14:paraId="68B4EB4B">
            <w:pPr>
              <w:pStyle w:val="12"/>
            </w:pPr>
            <w:r>
              <w:t>按照序时进度完成资金支付</w:t>
            </w:r>
          </w:p>
        </w:tc>
        <w:tc>
          <w:tcPr>
            <w:tcW w:w="2268" w:type="dxa"/>
            <w:vAlign w:val="center"/>
          </w:tcPr>
          <w:p w14:paraId="2F5DB302">
            <w:pPr>
              <w:pStyle w:val="12"/>
            </w:pPr>
            <w:r>
              <w:t>≥98%</w:t>
            </w:r>
          </w:p>
        </w:tc>
        <w:tc>
          <w:tcPr>
            <w:tcW w:w="1276" w:type="dxa"/>
            <w:vAlign w:val="center"/>
          </w:tcPr>
          <w:p w14:paraId="3E283DBD">
            <w:pPr>
              <w:pStyle w:val="12"/>
            </w:pPr>
            <w:r>
              <w:t>城乡义务教育公用经费管理办法</w:t>
            </w:r>
          </w:p>
        </w:tc>
      </w:tr>
      <w:tr w14:paraId="60DF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00A40"/>
        </w:tc>
        <w:tc>
          <w:tcPr>
            <w:tcW w:w="2268" w:type="dxa"/>
            <w:vAlign w:val="center"/>
          </w:tcPr>
          <w:p w14:paraId="2134A720">
            <w:pPr>
              <w:pStyle w:val="12"/>
            </w:pPr>
            <w:r>
              <w:t>成本指标</w:t>
            </w:r>
          </w:p>
        </w:tc>
        <w:tc>
          <w:tcPr>
            <w:tcW w:w="2835" w:type="dxa"/>
            <w:vAlign w:val="center"/>
          </w:tcPr>
          <w:p w14:paraId="48EDA994">
            <w:pPr>
              <w:pStyle w:val="12"/>
            </w:pPr>
            <w:r>
              <w:t>生均拨款标准</w:t>
            </w:r>
          </w:p>
        </w:tc>
        <w:tc>
          <w:tcPr>
            <w:tcW w:w="5386" w:type="dxa"/>
            <w:vAlign w:val="center"/>
          </w:tcPr>
          <w:p w14:paraId="71298D65">
            <w:pPr>
              <w:pStyle w:val="12"/>
            </w:pPr>
            <w:r>
              <w:t>小学生公用经费生均小学720元，取暖费120元/生/年，随班就读学生补助7000元/生</w:t>
            </w:r>
          </w:p>
        </w:tc>
        <w:tc>
          <w:tcPr>
            <w:tcW w:w="2268" w:type="dxa"/>
            <w:vAlign w:val="center"/>
          </w:tcPr>
          <w:p w14:paraId="76E886E3">
            <w:pPr>
              <w:pStyle w:val="12"/>
            </w:pPr>
            <w:r>
              <w:t>≥840元</w:t>
            </w:r>
          </w:p>
        </w:tc>
        <w:tc>
          <w:tcPr>
            <w:tcW w:w="1276" w:type="dxa"/>
            <w:vAlign w:val="center"/>
          </w:tcPr>
          <w:p w14:paraId="74571A55">
            <w:pPr>
              <w:pStyle w:val="12"/>
            </w:pPr>
            <w:r>
              <w:t>城乡义务教育公用经费管理办法</w:t>
            </w:r>
          </w:p>
        </w:tc>
      </w:tr>
      <w:tr w14:paraId="2D20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236C7">
            <w:pPr>
              <w:pStyle w:val="13"/>
            </w:pPr>
            <w:r>
              <w:t>效益指标</w:t>
            </w:r>
          </w:p>
        </w:tc>
        <w:tc>
          <w:tcPr>
            <w:tcW w:w="2268" w:type="dxa"/>
            <w:vAlign w:val="center"/>
          </w:tcPr>
          <w:p w14:paraId="0EFE9EDD">
            <w:pPr>
              <w:pStyle w:val="12"/>
            </w:pPr>
            <w:r>
              <w:t>社会效益指标</w:t>
            </w:r>
          </w:p>
        </w:tc>
        <w:tc>
          <w:tcPr>
            <w:tcW w:w="2835" w:type="dxa"/>
            <w:vAlign w:val="center"/>
          </w:tcPr>
          <w:p w14:paraId="20CE4367">
            <w:pPr>
              <w:pStyle w:val="12"/>
            </w:pPr>
            <w:r>
              <w:t>学校运转得到提高</w:t>
            </w:r>
          </w:p>
        </w:tc>
        <w:tc>
          <w:tcPr>
            <w:tcW w:w="5386" w:type="dxa"/>
            <w:vAlign w:val="center"/>
          </w:tcPr>
          <w:p w14:paraId="5B5D618E">
            <w:pPr>
              <w:pStyle w:val="12"/>
            </w:pPr>
            <w:r>
              <w:t>学生受教育年限</w:t>
            </w:r>
          </w:p>
        </w:tc>
        <w:tc>
          <w:tcPr>
            <w:tcW w:w="2268" w:type="dxa"/>
            <w:vAlign w:val="center"/>
          </w:tcPr>
          <w:p w14:paraId="0FCFC12E">
            <w:pPr>
              <w:pStyle w:val="12"/>
            </w:pPr>
            <w:r>
              <w:t>6年</w:t>
            </w:r>
          </w:p>
        </w:tc>
        <w:tc>
          <w:tcPr>
            <w:tcW w:w="1276" w:type="dxa"/>
            <w:vAlign w:val="center"/>
          </w:tcPr>
          <w:p w14:paraId="70CCE89C">
            <w:pPr>
              <w:pStyle w:val="12"/>
            </w:pPr>
            <w:r>
              <w:t>城乡义务教育公用经费管理办法</w:t>
            </w:r>
          </w:p>
        </w:tc>
      </w:tr>
      <w:tr w14:paraId="4994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C5AA6">
            <w:pPr>
              <w:pStyle w:val="13"/>
            </w:pPr>
            <w:r>
              <w:t>满意度指标</w:t>
            </w:r>
          </w:p>
        </w:tc>
        <w:tc>
          <w:tcPr>
            <w:tcW w:w="2268" w:type="dxa"/>
            <w:vAlign w:val="center"/>
          </w:tcPr>
          <w:p w14:paraId="46BF085B">
            <w:pPr>
              <w:pStyle w:val="12"/>
            </w:pPr>
            <w:r>
              <w:t>服务对象满意度指标</w:t>
            </w:r>
          </w:p>
        </w:tc>
        <w:tc>
          <w:tcPr>
            <w:tcW w:w="2835" w:type="dxa"/>
            <w:vAlign w:val="center"/>
          </w:tcPr>
          <w:p w14:paraId="702B2416">
            <w:pPr>
              <w:pStyle w:val="12"/>
            </w:pPr>
            <w:r>
              <w:t>服务对象满意度</w:t>
            </w:r>
          </w:p>
        </w:tc>
        <w:tc>
          <w:tcPr>
            <w:tcW w:w="5386" w:type="dxa"/>
            <w:vAlign w:val="center"/>
          </w:tcPr>
          <w:p w14:paraId="2BE04840">
            <w:pPr>
              <w:pStyle w:val="12"/>
            </w:pPr>
            <w:r>
              <w:t>学校老师和学生满意度</w:t>
            </w:r>
          </w:p>
        </w:tc>
        <w:tc>
          <w:tcPr>
            <w:tcW w:w="2268" w:type="dxa"/>
            <w:vAlign w:val="center"/>
          </w:tcPr>
          <w:p w14:paraId="5FDA5E44">
            <w:pPr>
              <w:pStyle w:val="12"/>
            </w:pPr>
            <w:r>
              <w:t>≥95%</w:t>
            </w:r>
          </w:p>
        </w:tc>
        <w:tc>
          <w:tcPr>
            <w:tcW w:w="1276" w:type="dxa"/>
            <w:vAlign w:val="center"/>
          </w:tcPr>
          <w:p w14:paraId="658DAF3A">
            <w:pPr>
              <w:pStyle w:val="12"/>
            </w:pPr>
            <w:r>
              <w:t>城乡义务教育公用经费管理办法</w:t>
            </w:r>
          </w:p>
        </w:tc>
      </w:tr>
    </w:tbl>
    <w:p w14:paraId="74F3EA74">
      <w:pPr>
        <w:sectPr>
          <w:pgSz w:w="16840" w:h="11900" w:orient="landscape"/>
          <w:pgMar w:top="1361" w:right="1020" w:bottom="1134" w:left="1020" w:header="720" w:footer="720" w:gutter="0"/>
          <w:cols w:space="720" w:num="1"/>
        </w:sectPr>
      </w:pPr>
    </w:p>
    <w:p w14:paraId="54E7B46E">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4、冀财教[2025]121号/中央/2026年义教补助经费/千户营校区枣驼小学公用经费绩效目标表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C9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DAEF8">
            <w:pPr>
              <w:pStyle w:val="11"/>
            </w:pPr>
            <w:r>
              <w:t>单位：万元</w:t>
            </w:r>
          </w:p>
        </w:tc>
      </w:tr>
      <w:tr w14:paraId="66EFE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86297">
            <w:pPr>
              <w:pStyle w:val="10"/>
            </w:pPr>
            <w:r>
              <w:t>项目编码</w:t>
            </w:r>
          </w:p>
        </w:tc>
        <w:tc>
          <w:tcPr>
            <w:tcW w:w="5103" w:type="dxa"/>
            <w:gridSpan w:val="2"/>
            <w:vAlign w:val="center"/>
          </w:tcPr>
          <w:p w14:paraId="46E8D603">
            <w:pPr>
              <w:pStyle w:val="12"/>
            </w:pPr>
            <w:r>
              <w:t>13052526P000004103087</w:t>
            </w:r>
          </w:p>
        </w:tc>
        <w:tc>
          <w:tcPr>
            <w:tcW w:w="2835" w:type="dxa"/>
            <w:vAlign w:val="center"/>
          </w:tcPr>
          <w:p w14:paraId="4E3649A7">
            <w:pPr>
              <w:pStyle w:val="10"/>
            </w:pPr>
            <w:r>
              <w:t>项目名称</w:t>
            </w:r>
          </w:p>
        </w:tc>
        <w:tc>
          <w:tcPr>
            <w:tcW w:w="6095" w:type="dxa"/>
            <w:gridSpan w:val="3"/>
            <w:vAlign w:val="center"/>
          </w:tcPr>
          <w:p w14:paraId="6599D1C1">
            <w:pPr>
              <w:pStyle w:val="12"/>
            </w:pPr>
            <w:r>
              <w:t>冀财教[2025]121号/中央/2026年义教补助经费/千户营校区枣驼小学公用经费</w:t>
            </w:r>
          </w:p>
        </w:tc>
      </w:tr>
      <w:tr w14:paraId="546D1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C54F2">
            <w:pPr>
              <w:pStyle w:val="10"/>
            </w:pPr>
            <w:r>
              <w:t>预算规模及资金用途</w:t>
            </w:r>
          </w:p>
        </w:tc>
        <w:tc>
          <w:tcPr>
            <w:tcW w:w="2268" w:type="dxa"/>
            <w:vAlign w:val="center"/>
          </w:tcPr>
          <w:p w14:paraId="0A0B910C">
            <w:pPr>
              <w:pStyle w:val="10"/>
            </w:pPr>
            <w:r>
              <w:t>预算数</w:t>
            </w:r>
          </w:p>
        </w:tc>
        <w:tc>
          <w:tcPr>
            <w:tcW w:w="2835" w:type="dxa"/>
            <w:vAlign w:val="center"/>
          </w:tcPr>
          <w:p w14:paraId="7AF65CF6">
            <w:pPr>
              <w:pStyle w:val="12"/>
            </w:pPr>
            <w:r>
              <w:t>9.52</w:t>
            </w:r>
          </w:p>
        </w:tc>
        <w:tc>
          <w:tcPr>
            <w:tcW w:w="2835" w:type="dxa"/>
            <w:vAlign w:val="center"/>
          </w:tcPr>
          <w:p w14:paraId="2F2D6AAF">
            <w:pPr>
              <w:pStyle w:val="10"/>
            </w:pPr>
            <w:r>
              <w:t>其中：财政    资金</w:t>
            </w:r>
          </w:p>
        </w:tc>
        <w:tc>
          <w:tcPr>
            <w:tcW w:w="2551" w:type="dxa"/>
            <w:vAlign w:val="center"/>
          </w:tcPr>
          <w:p w14:paraId="5A505E45">
            <w:pPr>
              <w:pStyle w:val="12"/>
            </w:pPr>
            <w:r>
              <w:t>9.52</w:t>
            </w:r>
          </w:p>
        </w:tc>
        <w:tc>
          <w:tcPr>
            <w:tcW w:w="2268" w:type="dxa"/>
            <w:vAlign w:val="center"/>
          </w:tcPr>
          <w:p w14:paraId="3280DE7B">
            <w:pPr>
              <w:pStyle w:val="10"/>
            </w:pPr>
            <w:r>
              <w:t>其他资金</w:t>
            </w:r>
          </w:p>
        </w:tc>
        <w:tc>
          <w:tcPr>
            <w:tcW w:w="1276" w:type="dxa"/>
            <w:vAlign w:val="center"/>
          </w:tcPr>
          <w:p w14:paraId="53431375">
            <w:pPr>
              <w:pStyle w:val="12"/>
            </w:pPr>
            <w:r>
              <w:t xml:space="preserve"> </w:t>
            </w:r>
          </w:p>
        </w:tc>
      </w:tr>
      <w:tr w14:paraId="1FC22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70351"/>
        </w:tc>
        <w:tc>
          <w:tcPr>
            <w:tcW w:w="14033" w:type="dxa"/>
            <w:gridSpan w:val="6"/>
            <w:vAlign w:val="center"/>
          </w:tcPr>
          <w:p w14:paraId="438AA5EC">
            <w:pPr>
              <w:pStyle w:val="12"/>
            </w:pPr>
            <w:r>
              <w:t>为保证学校正常运转和改善办学条件。</w:t>
            </w:r>
          </w:p>
        </w:tc>
      </w:tr>
      <w:tr w14:paraId="0B02D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53577">
            <w:pPr>
              <w:pStyle w:val="10"/>
            </w:pPr>
            <w:r>
              <w:t>资金支出计划（%）</w:t>
            </w:r>
          </w:p>
        </w:tc>
        <w:tc>
          <w:tcPr>
            <w:tcW w:w="5103" w:type="dxa"/>
            <w:gridSpan w:val="2"/>
            <w:vAlign w:val="center"/>
          </w:tcPr>
          <w:p w14:paraId="7AAFF74B">
            <w:pPr>
              <w:pStyle w:val="10"/>
            </w:pPr>
            <w:r>
              <w:t>3月底</w:t>
            </w:r>
          </w:p>
        </w:tc>
        <w:tc>
          <w:tcPr>
            <w:tcW w:w="2835" w:type="dxa"/>
            <w:vAlign w:val="center"/>
          </w:tcPr>
          <w:p w14:paraId="1F8E520C">
            <w:pPr>
              <w:pStyle w:val="10"/>
            </w:pPr>
            <w:r>
              <w:t>6月底</w:t>
            </w:r>
          </w:p>
        </w:tc>
        <w:tc>
          <w:tcPr>
            <w:tcW w:w="2551" w:type="dxa"/>
            <w:vAlign w:val="center"/>
          </w:tcPr>
          <w:p w14:paraId="43A0A395">
            <w:pPr>
              <w:pStyle w:val="10"/>
            </w:pPr>
            <w:r>
              <w:t>10月底</w:t>
            </w:r>
          </w:p>
        </w:tc>
        <w:tc>
          <w:tcPr>
            <w:tcW w:w="3544" w:type="dxa"/>
            <w:gridSpan w:val="2"/>
            <w:vAlign w:val="center"/>
          </w:tcPr>
          <w:p w14:paraId="58264D50">
            <w:pPr>
              <w:pStyle w:val="10"/>
            </w:pPr>
            <w:r>
              <w:t>12月底</w:t>
            </w:r>
          </w:p>
        </w:tc>
      </w:tr>
      <w:tr w14:paraId="40F07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6A8D7"/>
        </w:tc>
        <w:tc>
          <w:tcPr>
            <w:tcW w:w="5103" w:type="dxa"/>
            <w:gridSpan w:val="2"/>
            <w:vAlign w:val="center"/>
          </w:tcPr>
          <w:p w14:paraId="520A2720">
            <w:pPr>
              <w:pStyle w:val="13"/>
            </w:pPr>
            <w:r>
              <w:t>25%</w:t>
            </w:r>
          </w:p>
        </w:tc>
        <w:tc>
          <w:tcPr>
            <w:tcW w:w="2835" w:type="dxa"/>
            <w:vAlign w:val="center"/>
          </w:tcPr>
          <w:p w14:paraId="518072D3">
            <w:pPr>
              <w:pStyle w:val="13"/>
            </w:pPr>
            <w:r>
              <w:t>50%</w:t>
            </w:r>
          </w:p>
        </w:tc>
        <w:tc>
          <w:tcPr>
            <w:tcW w:w="2551" w:type="dxa"/>
            <w:vAlign w:val="center"/>
          </w:tcPr>
          <w:p w14:paraId="55F267DF">
            <w:pPr>
              <w:pStyle w:val="13"/>
            </w:pPr>
            <w:r>
              <w:t>75%</w:t>
            </w:r>
          </w:p>
        </w:tc>
        <w:tc>
          <w:tcPr>
            <w:tcW w:w="3544" w:type="dxa"/>
            <w:gridSpan w:val="2"/>
            <w:vAlign w:val="center"/>
          </w:tcPr>
          <w:p w14:paraId="6D4E3B67">
            <w:pPr>
              <w:pStyle w:val="13"/>
            </w:pPr>
            <w:r>
              <w:t>100%</w:t>
            </w:r>
          </w:p>
        </w:tc>
      </w:tr>
      <w:tr w14:paraId="5BA0E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982EA">
            <w:pPr>
              <w:pStyle w:val="10"/>
            </w:pPr>
            <w:r>
              <w:t>绩效目标</w:t>
            </w:r>
          </w:p>
        </w:tc>
        <w:tc>
          <w:tcPr>
            <w:tcW w:w="14033" w:type="dxa"/>
            <w:gridSpan w:val="6"/>
            <w:vAlign w:val="center"/>
          </w:tcPr>
          <w:p w14:paraId="4D49A518">
            <w:pPr>
              <w:pStyle w:val="12"/>
            </w:pPr>
            <w:r>
              <w:t>1.为保证学校正常运转和改善办学条件。</w:t>
            </w:r>
          </w:p>
          <w:p w14:paraId="5750D719">
            <w:pPr>
              <w:pStyle w:val="12"/>
            </w:pPr>
            <w:r>
              <w:t>2.按拨款序时进度完成经费拨付和支出。</w:t>
            </w:r>
          </w:p>
        </w:tc>
      </w:tr>
    </w:tbl>
    <w:p w14:paraId="12AEE9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3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280E5">
            <w:pPr>
              <w:pStyle w:val="10"/>
            </w:pPr>
            <w:r>
              <w:t>一级指标</w:t>
            </w:r>
          </w:p>
        </w:tc>
        <w:tc>
          <w:tcPr>
            <w:tcW w:w="2268" w:type="dxa"/>
            <w:vAlign w:val="center"/>
          </w:tcPr>
          <w:p w14:paraId="6C57609A">
            <w:pPr>
              <w:pStyle w:val="10"/>
            </w:pPr>
            <w:r>
              <w:t>二级指标</w:t>
            </w:r>
          </w:p>
        </w:tc>
        <w:tc>
          <w:tcPr>
            <w:tcW w:w="2835" w:type="dxa"/>
            <w:vAlign w:val="center"/>
          </w:tcPr>
          <w:p w14:paraId="416F2410">
            <w:pPr>
              <w:pStyle w:val="10"/>
            </w:pPr>
            <w:r>
              <w:t>三级指标</w:t>
            </w:r>
          </w:p>
        </w:tc>
        <w:tc>
          <w:tcPr>
            <w:tcW w:w="5386" w:type="dxa"/>
            <w:vAlign w:val="center"/>
          </w:tcPr>
          <w:p w14:paraId="7AD27D3C">
            <w:pPr>
              <w:pStyle w:val="10"/>
            </w:pPr>
            <w:r>
              <w:t>绩效指标描述</w:t>
            </w:r>
          </w:p>
        </w:tc>
        <w:tc>
          <w:tcPr>
            <w:tcW w:w="2268" w:type="dxa"/>
            <w:vAlign w:val="center"/>
          </w:tcPr>
          <w:p w14:paraId="21E85253">
            <w:pPr>
              <w:pStyle w:val="10"/>
            </w:pPr>
            <w:r>
              <w:t>指标值</w:t>
            </w:r>
          </w:p>
        </w:tc>
        <w:tc>
          <w:tcPr>
            <w:tcW w:w="1276" w:type="dxa"/>
            <w:vAlign w:val="center"/>
          </w:tcPr>
          <w:p w14:paraId="27A255C0">
            <w:pPr>
              <w:pStyle w:val="10"/>
            </w:pPr>
            <w:r>
              <w:t>指标值确定依据</w:t>
            </w:r>
          </w:p>
        </w:tc>
      </w:tr>
      <w:tr w14:paraId="5D65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455A8">
            <w:pPr>
              <w:pStyle w:val="13"/>
            </w:pPr>
            <w:r>
              <w:t>产出指标</w:t>
            </w:r>
          </w:p>
        </w:tc>
        <w:tc>
          <w:tcPr>
            <w:tcW w:w="2268" w:type="dxa"/>
            <w:vAlign w:val="center"/>
          </w:tcPr>
          <w:p w14:paraId="7EB7DAC8">
            <w:pPr>
              <w:pStyle w:val="12"/>
            </w:pPr>
            <w:r>
              <w:t>数量指标</w:t>
            </w:r>
          </w:p>
        </w:tc>
        <w:tc>
          <w:tcPr>
            <w:tcW w:w="2835" w:type="dxa"/>
            <w:vAlign w:val="center"/>
          </w:tcPr>
          <w:p w14:paraId="4E532F78">
            <w:pPr>
              <w:pStyle w:val="12"/>
            </w:pPr>
            <w:r>
              <w:t>就读学生数</w:t>
            </w:r>
          </w:p>
        </w:tc>
        <w:tc>
          <w:tcPr>
            <w:tcW w:w="5386" w:type="dxa"/>
            <w:vAlign w:val="center"/>
          </w:tcPr>
          <w:p w14:paraId="19F4FDAE">
            <w:pPr>
              <w:pStyle w:val="12"/>
            </w:pPr>
            <w:r>
              <w:t>辐射区域内适龄学生人数</w:t>
            </w:r>
          </w:p>
        </w:tc>
        <w:tc>
          <w:tcPr>
            <w:tcW w:w="2268" w:type="dxa"/>
            <w:vAlign w:val="center"/>
          </w:tcPr>
          <w:p w14:paraId="131A877F">
            <w:pPr>
              <w:pStyle w:val="12"/>
            </w:pPr>
            <w:r>
              <w:t>177人</w:t>
            </w:r>
          </w:p>
        </w:tc>
        <w:tc>
          <w:tcPr>
            <w:tcW w:w="1276" w:type="dxa"/>
            <w:vAlign w:val="center"/>
          </w:tcPr>
          <w:p w14:paraId="7064FF86">
            <w:pPr>
              <w:pStyle w:val="12"/>
            </w:pPr>
            <w:r>
              <w:t>城乡义务教育公用经费管理办法</w:t>
            </w:r>
          </w:p>
        </w:tc>
      </w:tr>
      <w:tr w14:paraId="38D24366">
        <w:tblPrEx>
          <w:tblCellMar>
            <w:top w:w="0" w:type="dxa"/>
            <w:left w:w="108" w:type="dxa"/>
            <w:bottom w:w="0" w:type="dxa"/>
            <w:right w:w="108" w:type="dxa"/>
          </w:tblCellMar>
        </w:tblPrEx>
        <w:trPr>
          <w:trHeight w:val="397" w:hRule="atLeast"/>
          <w:jc w:val="center"/>
        </w:trPr>
        <w:tc>
          <w:tcPr>
            <w:tcW w:w="1276" w:type="dxa"/>
            <w:vMerge w:val="continue"/>
            <w:vAlign w:val="center"/>
          </w:tcPr>
          <w:p w14:paraId="50D7F807"/>
        </w:tc>
        <w:tc>
          <w:tcPr>
            <w:tcW w:w="2268" w:type="dxa"/>
            <w:vAlign w:val="center"/>
          </w:tcPr>
          <w:p w14:paraId="6B99013A">
            <w:pPr>
              <w:pStyle w:val="12"/>
            </w:pPr>
            <w:r>
              <w:t>质量指标</w:t>
            </w:r>
          </w:p>
        </w:tc>
        <w:tc>
          <w:tcPr>
            <w:tcW w:w="2835" w:type="dxa"/>
            <w:vAlign w:val="center"/>
          </w:tcPr>
          <w:p w14:paraId="6FBACB34">
            <w:pPr>
              <w:pStyle w:val="12"/>
            </w:pPr>
            <w:r>
              <w:t>预算执行率</w:t>
            </w:r>
          </w:p>
        </w:tc>
        <w:tc>
          <w:tcPr>
            <w:tcW w:w="5386" w:type="dxa"/>
            <w:vAlign w:val="center"/>
          </w:tcPr>
          <w:p w14:paraId="3D6493C7">
            <w:pPr>
              <w:pStyle w:val="12"/>
            </w:pPr>
            <w:r>
              <w:t>预算执行率≥98%</w:t>
            </w:r>
          </w:p>
        </w:tc>
        <w:tc>
          <w:tcPr>
            <w:tcW w:w="2268" w:type="dxa"/>
            <w:vAlign w:val="center"/>
          </w:tcPr>
          <w:p w14:paraId="285AE185">
            <w:pPr>
              <w:pStyle w:val="12"/>
            </w:pPr>
            <w:r>
              <w:t>≥98%</w:t>
            </w:r>
          </w:p>
        </w:tc>
        <w:tc>
          <w:tcPr>
            <w:tcW w:w="1276" w:type="dxa"/>
            <w:vAlign w:val="center"/>
          </w:tcPr>
          <w:p w14:paraId="45745DB3">
            <w:pPr>
              <w:pStyle w:val="12"/>
            </w:pPr>
            <w:r>
              <w:t>城乡义务教育公用经费管理办法</w:t>
            </w:r>
          </w:p>
        </w:tc>
      </w:tr>
      <w:tr w14:paraId="362A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063F3"/>
        </w:tc>
        <w:tc>
          <w:tcPr>
            <w:tcW w:w="2268" w:type="dxa"/>
            <w:vAlign w:val="center"/>
          </w:tcPr>
          <w:p w14:paraId="37EF86B5">
            <w:pPr>
              <w:pStyle w:val="12"/>
            </w:pPr>
            <w:r>
              <w:t>时效指标</w:t>
            </w:r>
          </w:p>
        </w:tc>
        <w:tc>
          <w:tcPr>
            <w:tcW w:w="2835" w:type="dxa"/>
            <w:vAlign w:val="center"/>
          </w:tcPr>
          <w:p w14:paraId="2BFE9CA9">
            <w:pPr>
              <w:pStyle w:val="12"/>
            </w:pPr>
            <w:r>
              <w:t>义教经费支付完成率</w:t>
            </w:r>
          </w:p>
        </w:tc>
        <w:tc>
          <w:tcPr>
            <w:tcW w:w="5386" w:type="dxa"/>
            <w:vAlign w:val="center"/>
          </w:tcPr>
          <w:p w14:paraId="1337E8B8">
            <w:pPr>
              <w:pStyle w:val="12"/>
            </w:pPr>
            <w:r>
              <w:t>按照序时进度完成资金支付</w:t>
            </w:r>
          </w:p>
        </w:tc>
        <w:tc>
          <w:tcPr>
            <w:tcW w:w="2268" w:type="dxa"/>
            <w:vAlign w:val="center"/>
          </w:tcPr>
          <w:p w14:paraId="55C4CACD">
            <w:pPr>
              <w:pStyle w:val="12"/>
            </w:pPr>
            <w:r>
              <w:t>≥98%</w:t>
            </w:r>
          </w:p>
        </w:tc>
        <w:tc>
          <w:tcPr>
            <w:tcW w:w="1276" w:type="dxa"/>
            <w:vAlign w:val="center"/>
          </w:tcPr>
          <w:p w14:paraId="602CBA47">
            <w:pPr>
              <w:pStyle w:val="12"/>
            </w:pPr>
            <w:r>
              <w:t>城乡义务教育公用经费管理办法</w:t>
            </w:r>
          </w:p>
        </w:tc>
      </w:tr>
      <w:tr w14:paraId="708F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37060"/>
        </w:tc>
        <w:tc>
          <w:tcPr>
            <w:tcW w:w="2268" w:type="dxa"/>
            <w:vAlign w:val="center"/>
          </w:tcPr>
          <w:p w14:paraId="13A1824A">
            <w:pPr>
              <w:pStyle w:val="12"/>
            </w:pPr>
            <w:r>
              <w:t>成本指标</w:t>
            </w:r>
          </w:p>
        </w:tc>
        <w:tc>
          <w:tcPr>
            <w:tcW w:w="2835" w:type="dxa"/>
            <w:vAlign w:val="center"/>
          </w:tcPr>
          <w:p w14:paraId="628FD70C">
            <w:pPr>
              <w:pStyle w:val="12"/>
            </w:pPr>
            <w:r>
              <w:t>生均拨款标准</w:t>
            </w:r>
          </w:p>
        </w:tc>
        <w:tc>
          <w:tcPr>
            <w:tcW w:w="5386" w:type="dxa"/>
            <w:vAlign w:val="center"/>
          </w:tcPr>
          <w:p w14:paraId="24ED6380">
            <w:pPr>
              <w:pStyle w:val="12"/>
            </w:pPr>
            <w:r>
              <w:t>小学生公用经费生均小学720元，取暖费120元/生/年，随班就读学生补助7000元/生</w:t>
            </w:r>
          </w:p>
        </w:tc>
        <w:tc>
          <w:tcPr>
            <w:tcW w:w="2268" w:type="dxa"/>
            <w:vAlign w:val="center"/>
          </w:tcPr>
          <w:p w14:paraId="23F9508D">
            <w:pPr>
              <w:pStyle w:val="12"/>
            </w:pPr>
            <w:r>
              <w:t>≥840元</w:t>
            </w:r>
          </w:p>
        </w:tc>
        <w:tc>
          <w:tcPr>
            <w:tcW w:w="1276" w:type="dxa"/>
            <w:vAlign w:val="center"/>
          </w:tcPr>
          <w:p w14:paraId="2A3F9372">
            <w:pPr>
              <w:pStyle w:val="12"/>
            </w:pPr>
            <w:r>
              <w:t>城乡义务教育公用经费管理办法</w:t>
            </w:r>
          </w:p>
        </w:tc>
      </w:tr>
      <w:tr w14:paraId="2B68A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87946">
            <w:pPr>
              <w:pStyle w:val="13"/>
            </w:pPr>
            <w:r>
              <w:t>效益指标</w:t>
            </w:r>
          </w:p>
        </w:tc>
        <w:tc>
          <w:tcPr>
            <w:tcW w:w="2268" w:type="dxa"/>
            <w:vAlign w:val="center"/>
          </w:tcPr>
          <w:p w14:paraId="69C7C6B1">
            <w:pPr>
              <w:pStyle w:val="12"/>
            </w:pPr>
            <w:r>
              <w:t>社会效益指标</w:t>
            </w:r>
          </w:p>
        </w:tc>
        <w:tc>
          <w:tcPr>
            <w:tcW w:w="2835" w:type="dxa"/>
            <w:vAlign w:val="center"/>
          </w:tcPr>
          <w:p w14:paraId="0E1F7C4F">
            <w:pPr>
              <w:pStyle w:val="12"/>
            </w:pPr>
            <w:r>
              <w:t>学校运转得到提高</w:t>
            </w:r>
          </w:p>
        </w:tc>
        <w:tc>
          <w:tcPr>
            <w:tcW w:w="5386" w:type="dxa"/>
            <w:vAlign w:val="center"/>
          </w:tcPr>
          <w:p w14:paraId="41672F9F">
            <w:pPr>
              <w:pStyle w:val="12"/>
            </w:pPr>
            <w:r>
              <w:t>学生受教育年限</w:t>
            </w:r>
          </w:p>
        </w:tc>
        <w:tc>
          <w:tcPr>
            <w:tcW w:w="2268" w:type="dxa"/>
            <w:vAlign w:val="center"/>
          </w:tcPr>
          <w:p w14:paraId="195F8405">
            <w:pPr>
              <w:pStyle w:val="12"/>
            </w:pPr>
            <w:r>
              <w:t>6年</w:t>
            </w:r>
          </w:p>
        </w:tc>
        <w:tc>
          <w:tcPr>
            <w:tcW w:w="1276" w:type="dxa"/>
            <w:vAlign w:val="center"/>
          </w:tcPr>
          <w:p w14:paraId="6AC7DACB">
            <w:pPr>
              <w:pStyle w:val="12"/>
            </w:pPr>
            <w:r>
              <w:t>城乡义务教育公用经费管理办法</w:t>
            </w:r>
          </w:p>
        </w:tc>
      </w:tr>
      <w:tr w14:paraId="48C5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26271">
            <w:pPr>
              <w:pStyle w:val="13"/>
            </w:pPr>
            <w:r>
              <w:t>满意度指标</w:t>
            </w:r>
          </w:p>
        </w:tc>
        <w:tc>
          <w:tcPr>
            <w:tcW w:w="2268" w:type="dxa"/>
            <w:vAlign w:val="center"/>
          </w:tcPr>
          <w:p w14:paraId="1DA8A231">
            <w:pPr>
              <w:pStyle w:val="12"/>
            </w:pPr>
            <w:r>
              <w:t>服务对象满意度指标</w:t>
            </w:r>
          </w:p>
        </w:tc>
        <w:tc>
          <w:tcPr>
            <w:tcW w:w="2835" w:type="dxa"/>
            <w:vAlign w:val="center"/>
          </w:tcPr>
          <w:p w14:paraId="0A84846B">
            <w:pPr>
              <w:pStyle w:val="12"/>
            </w:pPr>
            <w:r>
              <w:t>服务对象满意度</w:t>
            </w:r>
          </w:p>
        </w:tc>
        <w:tc>
          <w:tcPr>
            <w:tcW w:w="5386" w:type="dxa"/>
            <w:vAlign w:val="center"/>
          </w:tcPr>
          <w:p w14:paraId="1B9E83D6">
            <w:pPr>
              <w:pStyle w:val="12"/>
            </w:pPr>
            <w:r>
              <w:t>学校老师和学生满意度</w:t>
            </w:r>
          </w:p>
        </w:tc>
        <w:tc>
          <w:tcPr>
            <w:tcW w:w="2268" w:type="dxa"/>
            <w:vAlign w:val="center"/>
          </w:tcPr>
          <w:p w14:paraId="5A899CBF">
            <w:pPr>
              <w:pStyle w:val="12"/>
            </w:pPr>
            <w:r>
              <w:t>≥95%</w:t>
            </w:r>
          </w:p>
        </w:tc>
        <w:tc>
          <w:tcPr>
            <w:tcW w:w="1276" w:type="dxa"/>
            <w:vAlign w:val="center"/>
          </w:tcPr>
          <w:p w14:paraId="4F322445">
            <w:pPr>
              <w:pStyle w:val="12"/>
            </w:pPr>
            <w:r>
              <w:t>城乡义务教育公用经费管理办法</w:t>
            </w:r>
          </w:p>
        </w:tc>
      </w:tr>
    </w:tbl>
    <w:p w14:paraId="28A40D6D">
      <w:pPr>
        <w:sectPr>
          <w:pgSz w:w="16840" w:h="11900" w:orient="landscape"/>
          <w:pgMar w:top="1361" w:right="1020" w:bottom="1134" w:left="1020" w:header="720" w:footer="720" w:gutter="0"/>
          <w:cols w:space="720" w:num="1"/>
        </w:sectPr>
      </w:pPr>
    </w:p>
    <w:p w14:paraId="6A161894">
      <w:pPr>
        <w:spacing w:before="0" w:after="0"/>
        <w:ind w:firstLine="560"/>
        <w:jc w:val="left"/>
        <w:outlineLvl w:val="9"/>
      </w:pPr>
      <w:r>
        <w:rPr>
          <w:rFonts w:ascii="方正仿宋_GBK" w:hAnsi="方正仿宋_GBK" w:eastAsia="方正仿宋_GBK" w:cs="方正仿宋_GBK"/>
          <w:b/>
          <w:color w:val="000000"/>
          <w:sz w:val="28"/>
        </w:rPr>
        <w:t>5、冀财教[2025]121号/中央/义教/2026年校舍安全/千户营小学校舍维修改造绩效目标表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EE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CEB78">
            <w:pPr>
              <w:pStyle w:val="11"/>
            </w:pPr>
            <w:r>
              <w:t>单位：万元</w:t>
            </w:r>
          </w:p>
        </w:tc>
      </w:tr>
      <w:tr w14:paraId="70326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D1DA0">
            <w:pPr>
              <w:pStyle w:val="10"/>
            </w:pPr>
            <w:r>
              <w:t>项目编码</w:t>
            </w:r>
          </w:p>
        </w:tc>
        <w:tc>
          <w:tcPr>
            <w:tcW w:w="5103" w:type="dxa"/>
            <w:gridSpan w:val="2"/>
            <w:vAlign w:val="center"/>
          </w:tcPr>
          <w:p w14:paraId="4AAD2358">
            <w:pPr>
              <w:pStyle w:val="12"/>
            </w:pPr>
            <w:r>
              <w:t>13052526P00876210094J</w:t>
            </w:r>
          </w:p>
        </w:tc>
        <w:tc>
          <w:tcPr>
            <w:tcW w:w="2835" w:type="dxa"/>
            <w:vAlign w:val="center"/>
          </w:tcPr>
          <w:p w14:paraId="3B631B61">
            <w:pPr>
              <w:pStyle w:val="10"/>
            </w:pPr>
            <w:r>
              <w:t>项目名称</w:t>
            </w:r>
          </w:p>
        </w:tc>
        <w:tc>
          <w:tcPr>
            <w:tcW w:w="6095" w:type="dxa"/>
            <w:gridSpan w:val="3"/>
            <w:vAlign w:val="center"/>
          </w:tcPr>
          <w:p w14:paraId="115BBEFB">
            <w:pPr>
              <w:pStyle w:val="12"/>
            </w:pPr>
            <w:r>
              <w:t>冀财教[2025]121号/中央/义教/2026年校舍安全/千户营小学校舍维修改造</w:t>
            </w:r>
          </w:p>
        </w:tc>
      </w:tr>
      <w:tr w14:paraId="133AE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CD8E6">
            <w:pPr>
              <w:pStyle w:val="10"/>
            </w:pPr>
            <w:r>
              <w:t>预算规模及资金用途</w:t>
            </w:r>
          </w:p>
        </w:tc>
        <w:tc>
          <w:tcPr>
            <w:tcW w:w="2268" w:type="dxa"/>
            <w:vAlign w:val="center"/>
          </w:tcPr>
          <w:p w14:paraId="359DE3DF">
            <w:pPr>
              <w:pStyle w:val="10"/>
            </w:pPr>
            <w:r>
              <w:t>预算数</w:t>
            </w:r>
          </w:p>
        </w:tc>
        <w:tc>
          <w:tcPr>
            <w:tcW w:w="2835" w:type="dxa"/>
            <w:vAlign w:val="center"/>
          </w:tcPr>
          <w:p w14:paraId="10BC9101">
            <w:pPr>
              <w:pStyle w:val="12"/>
            </w:pPr>
            <w:r>
              <w:t>53.30</w:t>
            </w:r>
          </w:p>
        </w:tc>
        <w:tc>
          <w:tcPr>
            <w:tcW w:w="2835" w:type="dxa"/>
            <w:vAlign w:val="center"/>
          </w:tcPr>
          <w:p w14:paraId="3CE9C192">
            <w:pPr>
              <w:pStyle w:val="10"/>
            </w:pPr>
            <w:r>
              <w:t>其中：财政    资金</w:t>
            </w:r>
          </w:p>
        </w:tc>
        <w:tc>
          <w:tcPr>
            <w:tcW w:w="2551" w:type="dxa"/>
            <w:vAlign w:val="center"/>
          </w:tcPr>
          <w:p w14:paraId="41C237CE">
            <w:pPr>
              <w:pStyle w:val="12"/>
            </w:pPr>
            <w:r>
              <w:t>53.30</w:t>
            </w:r>
          </w:p>
        </w:tc>
        <w:tc>
          <w:tcPr>
            <w:tcW w:w="2268" w:type="dxa"/>
            <w:vAlign w:val="center"/>
          </w:tcPr>
          <w:p w14:paraId="178D8F60">
            <w:pPr>
              <w:pStyle w:val="10"/>
            </w:pPr>
            <w:r>
              <w:t>其他资金</w:t>
            </w:r>
          </w:p>
        </w:tc>
        <w:tc>
          <w:tcPr>
            <w:tcW w:w="1276" w:type="dxa"/>
            <w:vAlign w:val="center"/>
          </w:tcPr>
          <w:p w14:paraId="0B7C67F5">
            <w:pPr>
              <w:pStyle w:val="12"/>
            </w:pPr>
            <w:r>
              <w:t xml:space="preserve"> </w:t>
            </w:r>
          </w:p>
        </w:tc>
      </w:tr>
      <w:tr w14:paraId="43339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12CCB"/>
        </w:tc>
        <w:tc>
          <w:tcPr>
            <w:tcW w:w="14033" w:type="dxa"/>
            <w:gridSpan w:val="6"/>
            <w:vAlign w:val="center"/>
          </w:tcPr>
          <w:p w14:paraId="742CD74A">
            <w:pPr>
              <w:pStyle w:val="12"/>
            </w:pPr>
            <w:r>
              <w:t>改善义务教育办学条件，进一步提升教育教学办学质量</w:t>
            </w:r>
            <w:r>
              <w:tab/>
            </w:r>
            <w:r>
              <w:tab/>
            </w:r>
            <w:r>
              <w:tab/>
            </w:r>
            <w:r>
              <w:tab/>
            </w:r>
            <w:r>
              <w:tab/>
            </w:r>
          </w:p>
        </w:tc>
      </w:tr>
      <w:tr w14:paraId="4C8AB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5E3F3">
            <w:pPr>
              <w:pStyle w:val="10"/>
            </w:pPr>
            <w:r>
              <w:t>资金支出计划（%）</w:t>
            </w:r>
          </w:p>
        </w:tc>
        <w:tc>
          <w:tcPr>
            <w:tcW w:w="5103" w:type="dxa"/>
            <w:gridSpan w:val="2"/>
            <w:vAlign w:val="center"/>
          </w:tcPr>
          <w:p w14:paraId="0107CFD8">
            <w:pPr>
              <w:pStyle w:val="10"/>
            </w:pPr>
            <w:r>
              <w:t>3月底</w:t>
            </w:r>
          </w:p>
        </w:tc>
        <w:tc>
          <w:tcPr>
            <w:tcW w:w="2835" w:type="dxa"/>
            <w:vAlign w:val="center"/>
          </w:tcPr>
          <w:p w14:paraId="4952C1EE">
            <w:pPr>
              <w:pStyle w:val="10"/>
            </w:pPr>
            <w:r>
              <w:t>6月底</w:t>
            </w:r>
          </w:p>
        </w:tc>
        <w:tc>
          <w:tcPr>
            <w:tcW w:w="2551" w:type="dxa"/>
            <w:vAlign w:val="center"/>
          </w:tcPr>
          <w:p w14:paraId="4884AD55">
            <w:pPr>
              <w:pStyle w:val="10"/>
            </w:pPr>
            <w:r>
              <w:t>10月底</w:t>
            </w:r>
          </w:p>
        </w:tc>
        <w:tc>
          <w:tcPr>
            <w:tcW w:w="3544" w:type="dxa"/>
            <w:gridSpan w:val="2"/>
            <w:vAlign w:val="center"/>
          </w:tcPr>
          <w:p w14:paraId="53C13CD3">
            <w:pPr>
              <w:pStyle w:val="10"/>
            </w:pPr>
            <w:r>
              <w:t>12月底</w:t>
            </w:r>
          </w:p>
        </w:tc>
      </w:tr>
      <w:tr w14:paraId="7DACA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FEA38"/>
        </w:tc>
        <w:tc>
          <w:tcPr>
            <w:tcW w:w="5103" w:type="dxa"/>
            <w:gridSpan w:val="2"/>
            <w:vAlign w:val="center"/>
          </w:tcPr>
          <w:p w14:paraId="1E563EDC">
            <w:pPr>
              <w:pStyle w:val="13"/>
            </w:pPr>
            <w:r>
              <w:t xml:space="preserve"> </w:t>
            </w:r>
          </w:p>
        </w:tc>
        <w:tc>
          <w:tcPr>
            <w:tcW w:w="2835" w:type="dxa"/>
            <w:vAlign w:val="center"/>
          </w:tcPr>
          <w:p w14:paraId="67ABE057">
            <w:pPr>
              <w:pStyle w:val="13"/>
            </w:pPr>
            <w:r>
              <w:t>50%</w:t>
            </w:r>
          </w:p>
        </w:tc>
        <w:tc>
          <w:tcPr>
            <w:tcW w:w="2551" w:type="dxa"/>
            <w:vAlign w:val="center"/>
          </w:tcPr>
          <w:p w14:paraId="3512C527">
            <w:pPr>
              <w:pStyle w:val="13"/>
            </w:pPr>
            <w:r>
              <w:t>100%</w:t>
            </w:r>
          </w:p>
        </w:tc>
        <w:tc>
          <w:tcPr>
            <w:tcW w:w="3544" w:type="dxa"/>
            <w:gridSpan w:val="2"/>
            <w:vAlign w:val="center"/>
          </w:tcPr>
          <w:p w14:paraId="7A8EA7A1">
            <w:pPr>
              <w:pStyle w:val="13"/>
            </w:pPr>
            <w:r>
              <w:t>100%</w:t>
            </w:r>
          </w:p>
        </w:tc>
      </w:tr>
      <w:tr w14:paraId="2F13D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3FA49">
            <w:pPr>
              <w:pStyle w:val="10"/>
            </w:pPr>
            <w:r>
              <w:t>绩效目标</w:t>
            </w:r>
          </w:p>
        </w:tc>
        <w:tc>
          <w:tcPr>
            <w:tcW w:w="14033" w:type="dxa"/>
            <w:gridSpan w:val="6"/>
            <w:vAlign w:val="center"/>
          </w:tcPr>
          <w:p w14:paraId="48738D84">
            <w:pPr>
              <w:pStyle w:val="12"/>
            </w:pPr>
            <w:r>
              <w:t>1.改善义务教育办学条件，进一步提升教育教学办学质量</w:t>
            </w:r>
            <w:r>
              <w:tab/>
            </w:r>
            <w:r>
              <w:tab/>
            </w:r>
            <w:r>
              <w:tab/>
            </w:r>
            <w:r>
              <w:tab/>
            </w:r>
            <w:r>
              <w:tab/>
            </w:r>
          </w:p>
        </w:tc>
      </w:tr>
    </w:tbl>
    <w:p w14:paraId="652CF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5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C5024">
            <w:pPr>
              <w:pStyle w:val="10"/>
            </w:pPr>
            <w:r>
              <w:t>一级指标</w:t>
            </w:r>
          </w:p>
        </w:tc>
        <w:tc>
          <w:tcPr>
            <w:tcW w:w="2268" w:type="dxa"/>
            <w:vAlign w:val="center"/>
          </w:tcPr>
          <w:p w14:paraId="33DCD6B6">
            <w:pPr>
              <w:pStyle w:val="10"/>
            </w:pPr>
            <w:r>
              <w:t>二级指标</w:t>
            </w:r>
          </w:p>
        </w:tc>
        <w:tc>
          <w:tcPr>
            <w:tcW w:w="2835" w:type="dxa"/>
            <w:vAlign w:val="center"/>
          </w:tcPr>
          <w:p w14:paraId="2E06B183">
            <w:pPr>
              <w:pStyle w:val="10"/>
            </w:pPr>
            <w:r>
              <w:t>三级指标</w:t>
            </w:r>
          </w:p>
        </w:tc>
        <w:tc>
          <w:tcPr>
            <w:tcW w:w="5386" w:type="dxa"/>
            <w:vAlign w:val="center"/>
          </w:tcPr>
          <w:p w14:paraId="78002465">
            <w:pPr>
              <w:pStyle w:val="10"/>
            </w:pPr>
            <w:r>
              <w:t>绩效指标描述</w:t>
            </w:r>
          </w:p>
        </w:tc>
        <w:tc>
          <w:tcPr>
            <w:tcW w:w="2268" w:type="dxa"/>
            <w:vAlign w:val="center"/>
          </w:tcPr>
          <w:p w14:paraId="2B0BE247">
            <w:pPr>
              <w:pStyle w:val="10"/>
            </w:pPr>
            <w:r>
              <w:t>指标值</w:t>
            </w:r>
          </w:p>
        </w:tc>
        <w:tc>
          <w:tcPr>
            <w:tcW w:w="1276" w:type="dxa"/>
            <w:vAlign w:val="center"/>
          </w:tcPr>
          <w:p w14:paraId="0F3D3C47">
            <w:pPr>
              <w:pStyle w:val="10"/>
            </w:pPr>
            <w:r>
              <w:t>指标值确定依据</w:t>
            </w:r>
          </w:p>
        </w:tc>
      </w:tr>
      <w:tr w14:paraId="312F8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6A699">
            <w:pPr>
              <w:pStyle w:val="13"/>
            </w:pPr>
            <w:r>
              <w:t>产出指标</w:t>
            </w:r>
          </w:p>
        </w:tc>
        <w:tc>
          <w:tcPr>
            <w:tcW w:w="2268" w:type="dxa"/>
            <w:vAlign w:val="center"/>
          </w:tcPr>
          <w:p w14:paraId="7CF47631">
            <w:pPr>
              <w:pStyle w:val="12"/>
            </w:pPr>
            <w:r>
              <w:t>数量指标</w:t>
            </w:r>
          </w:p>
        </w:tc>
        <w:tc>
          <w:tcPr>
            <w:tcW w:w="2835" w:type="dxa"/>
            <w:vAlign w:val="center"/>
          </w:tcPr>
          <w:p w14:paraId="389230AB">
            <w:pPr>
              <w:pStyle w:val="12"/>
            </w:pPr>
            <w:r>
              <w:t>校舍维修改造</w:t>
            </w:r>
          </w:p>
        </w:tc>
        <w:tc>
          <w:tcPr>
            <w:tcW w:w="5386" w:type="dxa"/>
            <w:vAlign w:val="center"/>
          </w:tcPr>
          <w:p w14:paraId="454A38A3">
            <w:pPr>
              <w:pStyle w:val="12"/>
            </w:pPr>
            <w:r>
              <w:t>围墙重建、教学楼走廊地胶、内外墙粉刷等</w:t>
            </w:r>
          </w:p>
        </w:tc>
        <w:tc>
          <w:tcPr>
            <w:tcW w:w="2268" w:type="dxa"/>
            <w:vAlign w:val="center"/>
          </w:tcPr>
          <w:p w14:paraId="026F0368">
            <w:pPr>
              <w:pStyle w:val="12"/>
            </w:pPr>
            <w:r>
              <w:t>1项</w:t>
            </w:r>
          </w:p>
        </w:tc>
        <w:tc>
          <w:tcPr>
            <w:tcW w:w="1276" w:type="dxa"/>
            <w:vAlign w:val="center"/>
          </w:tcPr>
          <w:p w14:paraId="71FFBFCF">
            <w:pPr>
              <w:pStyle w:val="12"/>
            </w:pPr>
            <w:r>
              <w:t>项目规划</w:t>
            </w:r>
          </w:p>
        </w:tc>
      </w:tr>
      <w:tr w14:paraId="2602C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A3E11"/>
        </w:tc>
        <w:tc>
          <w:tcPr>
            <w:tcW w:w="2268" w:type="dxa"/>
            <w:vAlign w:val="center"/>
          </w:tcPr>
          <w:p w14:paraId="0BB8ECF0">
            <w:pPr>
              <w:pStyle w:val="12"/>
            </w:pPr>
            <w:r>
              <w:t>质量指标</w:t>
            </w:r>
          </w:p>
        </w:tc>
        <w:tc>
          <w:tcPr>
            <w:tcW w:w="2835" w:type="dxa"/>
            <w:vAlign w:val="center"/>
          </w:tcPr>
          <w:p w14:paraId="1B4AF10B">
            <w:pPr>
              <w:pStyle w:val="12"/>
            </w:pPr>
            <w:r>
              <w:t>工程实施验收合格率</w:t>
            </w:r>
          </w:p>
        </w:tc>
        <w:tc>
          <w:tcPr>
            <w:tcW w:w="5386" w:type="dxa"/>
            <w:vAlign w:val="center"/>
          </w:tcPr>
          <w:p w14:paraId="4109A34D">
            <w:pPr>
              <w:pStyle w:val="12"/>
            </w:pPr>
            <w:r>
              <w:t>申报程序的合规，项目实施及资金使用符合项目规划</w:t>
            </w:r>
          </w:p>
        </w:tc>
        <w:tc>
          <w:tcPr>
            <w:tcW w:w="2268" w:type="dxa"/>
            <w:vAlign w:val="center"/>
          </w:tcPr>
          <w:p w14:paraId="538EF8F0">
            <w:pPr>
              <w:pStyle w:val="12"/>
            </w:pPr>
            <w:r>
              <w:t>≥98%</w:t>
            </w:r>
          </w:p>
        </w:tc>
        <w:tc>
          <w:tcPr>
            <w:tcW w:w="1276" w:type="dxa"/>
            <w:vAlign w:val="center"/>
          </w:tcPr>
          <w:p w14:paraId="6E4D9BC4">
            <w:pPr>
              <w:pStyle w:val="12"/>
            </w:pPr>
            <w:r>
              <w:t>项目规划</w:t>
            </w:r>
          </w:p>
        </w:tc>
      </w:tr>
      <w:tr w14:paraId="7216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24BB9"/>
        </w:tc>
        <w:tc>
          <w:tcPr>
            <w:tcW w:w="2268" w:type="dxa"/>
            <w:vAlign w:val="center"/>
          </w:tcPr>
          <w:p w14:paraId="62C64B0E">
            <w:pPr>
              <w:pStyle w:val="12"/>
            </w:pPr>
            <w:r>
              <w:t>时效指标</w:t>
            </w:r>
          </w:p>
        </w:tc>
        <w:tc>
          <w:tcPr>
            <w:tcW w:w="2835" w:type="dxa"/>
            <w:vAlign w:val="center"/>
          </w:tcPr>
          <w:p w14:paraId="3C60777B">
            <w:pPr>
              <w:pStyle w:val="12"/>
            </w:pPr>
            <w:r>
              <w:t>资金支付率</w:t>
            </w:r>
          </w:p>
        </w:tc>
        <w:tc>
          <w:tcPr>
            <w:tcW w:w="5386" w:type="dxa"/>
            <w:vAlign w:val="center"/>
          </w:tcPr>
          <w:p w14:paraId="465FA770">
            <w:pPr>
              <w:pStyle w:val="12"/>
            </w:pPr>
            <w:r>
              <w:t>按照序时进度完成资金支付</w:t>
            </w:r>
          </w:p>
        </w:tc>
        <w:tc>
          <w:tcPr>
            <w:tcW w:w="2268" w:type="dxa"/>
            <w:vAlign w:val="center"/>
          </w:tcPr>
          <w:p w14:paraId="172C6396">
            <w:pPr>
              <w:pStyle w:val="12"/>
            </w:pPr>
            <w:r>
              <w:t>≥98%</w:t>
            </w:r>
          </w:p>
        </w:tc>
        <w:tc>
          <w:tcPr>
            <w:tcW w:w="1276" w:type="dxa"/>
            <w:vAlign w:val="center"/>
          </w:tcPr>
          <w:p w14:paraId="0EDF5A64">
            <w:pPr>
              <w:pStyle w:val="12"/>
            </w:pPr>
            <w:r>
              <w:t>项目规划</w:t>
            </w:r>
          </w:p>
        </w:tc>
      </w:tr>
      <w:tr w14:paraId="1996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43576"/>
        </w:tc>
        <w:tc>
          <w:tcPr>
            <w:tcW w:w="2268" w:type="dxa"/>
            <w:vAlign w:val="center"/>
          </w:tcPr>
          <w:p w14:paraId="51D2D6A9">
            <w:pPr>
              <w:pStyle w:val="12"/>
            </w:pPr>
            <w:r>
              <w:t>成本指标</w:t>
            </w:r>
          </w:p>
        </w:tc>
        <w:tc>
          <w:tcPr>
            <w:tcW w:w="2835" w:type="dxa"/>
            <w:vAlign w:val="center"/>
          </w:tcPr>
          <w:p w14:paraId="3A69BB8C">
            <w:pPr>
              <w:pStyle w:val="12"/>
            </w:pPr>
            <w:r>
              <w:t>项目成本控制情况</w:t>
            </w:r>
          </w:p>
        </w:tc>
        <w:tc>
          <w:tcPr>
            <w:tcW w:w="5386" w:type="dxa"/>
            <w:vAlign w:val="center"/>
          </w:tcPr>
          <w:p w14:paraId="7019C2D7">
            <w:pPr>
              <w:pStyle w:val="12"/>
            </w:pPr>
            <w:r>
              <w:t>严格按照招标价格及审计额进行</w:t>
            </w:r>
          </w:p>
        </w:tc>
        <w:tc>
          <w:tcPr>
            <w:tcW w:w="2268" w:type="dxa"/>
            <w:vAlign w:val="center"/>
          </w:tcPr>
          <w:p w14:paraId="3A2A85CB">
            <w:pPr>
              <w:pStyle w:val="12"/>
            </w:pPr>
            <w:r>
              <w:t>533000元</w:t>
            </w:r>
          </w:p>
        </w:tc>
        <w:tc>
          <w:tcPr>
            <w:tcW w:w="1276" w:type="dxa"/>
            <w:vAlign w:val="center"/>
          </w:tcPr>
          <w:p w14:paraId="3103EA31">
            <w:pPr>
              <w:pStyle w:val="12"/>
            </w:pPr>
            <w:r>
              <w:t>项目规划</w:t>
            </w:r>
          </w:p>
        </w:tc>
      </w:tr>
      <w:tr w14:paraId="5569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BD94B">
            <w:pPr>
              <w:pStyle w:val="13"/>
            </w:pPr>
            <w:r>
              <w:t>效益指标</w:t>
            </w:r>
          </w:p>
        </w:tc>
        <w:tc>
          <w:tcPr>
            <w:tcW w:w="2268" w:type="dxa"/>
            <w:vAlign w:val="center"/>
          </w:tcPr>
          <w:p w14:paraId="69408E3D">
            <w:pPr>
              <w:pStyle w:val="12"/>
            </w:pPr>
            <w:r>
              <w:t>可持续影响指标</w:t>
            </w:r>
          </w:p>
        </w:tc>
        <w:tc>
          <w:tcPr>
            <w:tcW w:w="2835" w:type="dxa"/>
            <w:vAlign w:val="center"/>
          </w:tcPr>
          <w:p w14:paraId="35F52ACC">
            <w:pPr>
              <w:pStyle w:val="12"/>
            </w:pPr>
            <w:r>
              <w:t>学校日常运转</w:t>
            </w:r>
          </w:p>
        </w:tc>
        <w:tc>
          <w:tcPr>
            <w:tcW w:w="5386" w:type="dxa"/>
            <w:vAlign w:val="center"/>
          </w:tcPr>
          <w:p w14:paraId="79EC3504">
            <w:pPr>
              <w:pStyle w:val="12"/>
            </w:pPr>
            <w:r>
              <w:t>学生受教育年限</w:t>
            </w:r>
          </w:p>
        </w:tc>
        <w:tc>
          <w:tcPr>
            <w:tcW w:w="2268" w:type="dxa"/>
            <w:vAlign w:val="center"/>
          </w:tcPr>
          <w:p w14:paraId="22CA6F60">
            <w:pPr>
              <w:pStyle w:val="12"/>
            </w:pPr>
            <w:r>
              <w:t>6年</w:t>
            </w:r>
          </w:p>
        </w:tc>
        <w:tc>
          <w:tcPr>
            <w:tcW w:w="1276" w:type="dxa"/>
            <w:vAlign w:val="center"/>
          </w:tcPr>
          <w:p w14:paraId="08038E5C">
            <w:pPr>
              <w:pStyle w:val="12"/>
            </w:pPr>
            <w:r>
              <w:t>项目规划</w:t>
            </w:r>
          </w:p>
        </w:tc>
      </w:tr>
      <w:tr w14:paraId="6FB3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1AB73">
            <w:pPr>
              <w:pStyle w:val="13"/>
            </w:pPr>
            <w:r>
              <w:t>满意度指标</w:t>
            </w:r>
          </w:p>
        </w:tc>
        <w:tc>
          <w:tcPr>
            <w:tcW w:w="2268" w:type="dxa"/>
            <w:vAlign w:val="center"/>
          </w:tcPr>
          <w:p w14:paraId="616DD4B2">
            <w:pPr>
              <w:pStyle w:val="12"/>
            </w:pPr>
            <w:r>
              <w:t>服务对象满意度指标</w:t>
            </w:r>
          </w:p>
        </w:tc>
        <w:tc>
          <w:tcPr>
            <w:tcW w:w="2835" w:type="dxa"/>
            <w:vAlign w:val="center"/>
          </w:tcPr>
          <w:p w14:paraId="53139B94">
            <w:pPr>
              <w:pStyle w:val="12"/>
            </w:pPr>
            <w:r>
              <w:t>学生、教师及家长对学校教学环境满意度情况</w:t>
            </w:r>
          </w:p>
        </w:tc>
        <w:tc>
          <w:tcPr>
            <w:tcW w:w="5386" w:type="dxa"/>
            <w:vAlign w:val="center"/>
          </w:tcPr>
          <w:p w14:paraId="71307C59">
            <w:pPr>
              <w:pStyle w:val="12"/>
            </w:pPr>
            <w:r>
              <w:t>学生、教师及家长对学校教学环境满意度情况</w:t>
            </w:r>
          </w:p>
        </w:tc>
        <w:tc>
          <w:tcPr>
            <w:tcW w:w="2268" w:type="dxa"/>
            <w:vAlign w:val="center"/>
          </w:tcPr>
          <w:p w14:paraId="6563C39A">
            <w:pPr>
              <w:pStyle w:val="12"/>
            </w:pPr>
            <w:r>
              <w:t>≥95%</w:t>
            </w:r>
          </w:p>
        </w:tc>
        <w:tc>
          <w:tcPr>
            <w:tcW w:w="1276" w:type="dxa"/>
            <w:vAlign w:val="center"/>
          </w:tcPr>
          <w:p w14:paraId="491035A8">
            <w:pPr>
              <w:pStyle w:val="12"/>
            </w:pPr>
            <w:r>
              <w:t>调查问卷</w:t>
            </w:r>
          </w:p>
        </w:tc>
      </w:tr>
    </w:tbl>
    <w:p w14:paraId="6D457C13">
      <w:pPr>
        <w:sectPr>
          <w:pgSz w:w="16840" w:h="11900" w:orient="landscape"/>
          <w:pgMar w:top="1361" w:right="1020" w:bottom="1134" w:left="1020" w:header="720" w:footer="720" w:gutter="0"/>
          <w:cols w:space="720" w:num="1"/>
        </w:sectPr>
      </w:pPr>
    </w:p>
    <w:p w14:paraId="7B3A9E00">
      <w:pPr>
        <w:spacing w:before="0" w:after="0"/>
        <w:ind w:firstLine="560"/>
        <w:jc w:val="left"/>
        <w:outlineLvl w:val="9"/>
      </w:pPr>
      <w:r>
        <w:rPr>
          <w:rFonts w:ascii="方正仿宋_GBK" w:hAnsi="方正仿宋_GBK" w:eastAsia="方正仿宋_GBK" w:cs="方正仿宋_GBK"/>
          <w:b/>
          <w:color w:val="000000"/>
          <w:sz w:val="28"/>
        </w:rPr>
        <w:t>6、冀财教[2025]122号/中央/2026年学前发展资金/千户营校区学前教育幼儿资助绩效目标表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2A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37BE5">
            <w:pPr>
              <w:pStyle w:val="11"/>
            </w:pPr>
            <w:r>
              <w:t>单位：万元</w:t>
            </w:r>
          </w:p>
        </w:tc>
      </w:tr>
      <w:tr w14:paraId="2128B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7E9AC">
            <w:pPr>
              <w:pStyle w:val="10"/>
            </w:pPr>
            <w:r>
              <w:t>项目编码</w:t>
            </w:r>
          </w:p>
        </w:tc>
        <w:tc>
          <w:tcPr>
            <w:tcW w:w="5103" w:type="dxa"/>
            <w:gridSpan w:val="2"/>
            <w:vAlign w:val="center"/>
          </w:tcPr>
          <w:p w14:paraId="3C6946AA">
            <w:pPr>
              <w:pStyle w:val="12"/>
            </w:pPr>
            <w:r>
              <w:t>13052526P00000210060A</w:t>
            </w:r>
          </w:p>
        </w:tc>
        <w:tc>
          <w:tcPr>
            <w:tcW w:w="2835" w:type="dxa"/>
            <w:vAlign w:val="center"/>
          </w:tcPr>
          <w:p w14:paraId="1CFEACE8">
            <w:pPr>
              <w:pStyle w:val="10"/>
            </w:pPr>
            <w:r>
              <w:t>项目名称</w:t>
            </w:r>
          </w:p>
        </w:tc>
        <w:tc>
          <w:tcPr>
            <w:tcW w:w="6095" w:type="dxa"/>
            <w:gridSpan w:val="3"/>
            <w:vAlign w:val="center"/>
          </w:tcPr>
          <w:p w14:paraId="6F4B469B">
            <w:pPr>
              <w:pStyle w:val="12"/>
            </w:pPr>
            <w:r>
              <w:t>冀财教[2025]122号/中央/2026年学前发展资金/千户营校区学前教育幼儿资助</w:t>
            </w:r>
          </w:p>
        </w:tc>
      </w:tr>
      <w:tr w14:paraId="4B6A9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E7C4B">
            <w:pPr>
              <w:pStyle w:val="10"/>
            </w:pPr>
            <w:r>
              <w:t>预算规模及资金用途</w:t>
            </w:r>
          </w:p>
        </w:tc>
        <w:tc>
          <w:tcPr>
            <w:tcW w:w="2268" w:type="dxa"/>
            <w:vAlign w:val="center"/>
          </w:tcPr>
          <w:p w14:paraId="318A5877">
            <w:pPr>
              <w:pStyle w:val="10"/>
            </w:pPr>
            <w:r>
              <w:t>预算数</w:t>
            </w:r>
          </w:p>
        </w:tc>
        <w:tc>
          <w:tcPr>
            <w:tcW w:w="2835" w:type="dxa"/>
            <w:vAlign w:val="center"/>
          </w:tcPr>
          <w:p w14:paraId="05C6FF6E">
            <w:pPr>
              <w:pStyle w:val="12"/>
            </w:pPr>
            <w:r>
              <w:t>2.58</w:t>
            </w:r>
          </w:p>
        </w:tc>
        <w:tc>
          <w:tcPr>
            <w:tcW w:w="2835" w:type="dxa"/>
            <w:vAlign w:val="center"/>
          </w:tcPr>
          <w:p w14:paraId="0680948C">
            <w:pPr>
              <w:pStyle w:val="10"/>
            </w:pPr>
            <w:r>
              <w:t>其中：财政    资金</w:t>
            </w:r>
          </w:p>
        </w:tc>
        <w:tc>
          <w:tcPr>
            <w:tcW w:w="2551" w:type="dxa"/>
            <w:vAlign w:val="center"/>
          </w:tcPr>
          <w:p w14:paraId="4F59DAFE">
            <w:pPr>
              <w:pStyle w:val="12"/>
            </w:pPr>
            <w:r>
              <w:t>2.58</w:t>
            </w:r>
          </w:p>
        </w:tc>
        <w:tc>
          <w:tcPr>
            <w:tcW w:w="2268" w:type="dxa"/>
            <w:vAlign w:val="center"/>
          </w:tcPr>
          <w:p w14:paraId="01E92D3A">
            <w:pPr>
              <w:pStyle w:val="10"/>
            </w:pPr>
            <w:r>
              <w:t>其他资金</w:t>
            </w:r>
          </w:p>
        </w:tc>
        <w:tc>
          <w:tcPr>
            <w:tcW w:w="1276" w:type="dxa"/>
            <w:vAlign w:val="center"/>
          </w:tcPr>
          <w:p w14:paraId="70ED21CB">
            <w:pPr>
              <w:pStyle w:val="12"/>
            </w:pPr>
            <w:r>
              <w:t xml:space="preserve"> </w:t>
            </w:r>
          </w:p>
        </w:tc>
      </w:tr>
      <w:tr w14:paraId="12449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7A1A2"/>
        </w:tc>
        <w:tc>
          <w:tcPr>
            <w:tcW w:w="14033" w:type="dxa"/>
            <w:gridSpan w:val="6"/>
            <w:vAlign w:val="center"/>
          </w:tcPr>
          <w:p w14:paraId="634D4AD2">
            <w:pPr>
              <w:pStyle w:val="12"/>
            </w:pPr>
            <w:r>
              <w:t>保障落实建档立卡及家庭经济困难儿童资助所需资金，确保建档立卡等家庭经济困难幼儿优先获得资助</w:t>
            </w:r>
          </w:p>
        </w:tc>
      </w:tr>
      <w:tr w14:paraId="1B948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243B0">
            <w:pPr>
              <w:pStyle w:val="10"/>
            </w:pPr>
            <w:r>
              <w:t>资金支出计划（%）</w:t>
            </w:r>
          </w:p>
        </w:tc>
        <w:tc>
          <w:tcPr>
            <w:tcW w:w="5103" w:type="dxa"/>
            <w:gridSpan w:val="2"/>
            <w:vAlign w:val="center"/>
          </w:tcPr>
          <w:p w14:paraId="6C83C1EF">
            <w:pPr>
              <w:pStyle w:val="10"/>
            </w:pPr>
            <w:r>
              <w:t>3月底</w:t>
            </w:r>
          </w:p>
        </w:tc>
        <w:tc>
          <w:tcPr>
            <w:tcW w:w="2835" w:type="dxa"/>
            <w:vAlign w:val="center"/>
          </w:tcPr>
          <w:p w14:paraId="0AE4B7B5">
            <w:pPr>
              <w:pStyle w:val="10"/>
            </w:pPr>
            <w:r>
              <w:t>6月底</w:t>
            </w:r>
          </w:p>
        </w:tc>
        <w:tc>
          <w:tcPr>
            <w:tcW w:w="2551" w:type="dxa"/>
            <w:vAlign w:val="center"/>
          </w:tcPr>
          <w:p w14:paraId="69BCA44E">
            <w:pPr>
              <w:pStyle w:val="10"/>
            </w:pPr>
            <w:r>
              <w:t>10月底</w:t>
            </w:r>
          </w:p>
        </w:tc>
        <w:tc>
          <w:tcPr>
            <w:tcW w:w="3544" w:type="dxa"/>
            <w:gridSpan w:val="2"/>
            <w:vAlign w:val="center"/>
          </w:tcPr>
          <w:p w14:paraId="2A088709">
            <w:pPr>
              <w:pStyle w:val="10"/>
            </w:pPr>
            <w:r>
              <w:t>12月底</w:t>
            </w:r>
          </w:p>
        </w:tc>
      </w:tr>
      <w:tr w14:paraId="0434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84D86"/>
        </w:tc>
        <w:tc>
          <w:tcPr>
            <w:tcW w:w="5103" w:type="dxa"/>
            <w:gridSpan w:val="2"/>
            <w:vAlign w:val="center"/>
          </w:tcPr>
          <w:p w14:paraId="7A462F82">
            <w:pPr>
              <w:pStyle w:val="13"/>
            </w:pPr>
            <w:r>
              <w:t xml:space="preserve"> </w:t>
            </w:r>
          </w:p>
        </w:tc>
        <w:tc>
          <w:tcPr>
            <w:tcW w:w="2835" w:type="dxa"/>
            <w:vAlign w:val="center"/>
          </w:tcPr>
          <w:p w14:paraId="5E221544">
            <w:pPr>
              <w:pStyle w:val="13"/>
            </w:pPr>
            <w:r>
              <w:t>50%</w:t>
            </w:r>
          </w:p>
        </w:tc>
        <w:tc>
          <w:tcPr>
            <w:tcW w:w="2551" w:type="dxa"/>
            <w:vAlign w:val="center"/>
          </w:tcPr>
          <w:p w14:paraId="35C8D017">
            <w:pPr>
              <w:pStyle w:val="13"/>
            </w:pPr>
            <w:r>
              <w:t>100%</w:t>
            </w:r>
          </w:p>
        </w:tc>
        <w:tc>
          <w:tcPr>
            <w:tcW w:w="3544" w:type="dxa"/>
            <w:gridSpan w:val="2"/>
            <w:vAlign w:val="center"/>
          </w:tcPr>
          <w:p w14:paraId="4FA2D691">
            <w:pPr>
              <w:pStyle w:val="13"/>
            </w:pPr>
            <w:r>
              <w:t>100%</w:t>
            </w:r>
          </w:p>
        </w:tc>
      </w:tr>
      <w:tr w14:paraId="1FD04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E6517">
            <w:pPr>
              <w:pStyle w:val="10"/>
            </w:pPr>
            <w:r>
              <w:t>绩效目标</w:t>
            </w:r>
          </w:p>
        </w:tc>
        <w:tc>
          <w:tcPr>
            <w:tcW w:w="14033" w:type="dxa"/>
            <w:gridSpan w:val="6"/>
            <w:vAlign w:val="center"/>
          </w:tcPr>
          <w:p w14:paraId="42EB5B8C">
            <w:pPr>
              <w:pStyle w:val="12"/>
            </w:pPr>
            <w:r>
              <w:t>1.保障落实建档立卡及家庭经济困难儿童资助所需资金，确保建档立卡等家庭经济困难幼儿优先获得资助</w:t>
            </w:r>
          </w:p>
          <w:p w14:paraId="7B70C818">
            <w:pPr>
              <w:pStyle w:val="12"/>
            </w:pPr>
            <w:r>
              <w:t>2.减轻学前受教育幼儿家庭经济负担，提高学前幼儿入学率。</w:t>
            </w:r>
          </w:p>
        </w:tc>
      </w:tr>
    </w:tbl>
    <w:p w14:paraId="4ADE7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01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ECC3F">
            <w:pPr>
              <w:pStyle w:val="10"/>
            </w:pPr>
            <w:r>
              <w:t>一级指标</w:t>
            </w:r>
          </w:p>
        </w:tc>
        <w:tc>
          <w:tcPr>
            <w:tcW w:w="2268" w:type="dxa"/>
            <w:vAlign w:val="center"/>
          </w:tcPr>
          <w:p w14:paraId="1021C6B7">
            <w:pPr>
              <w:pStyle w:val="10"/>
            </w:pPr>
            <w:r>
              <w:t>二级指标</w:t>
            </w:r>
          </w:p>
        </w:tc>
        <w:tc>
          <w:tcPr>
            <w:tcW w:w="2835" w:type="dxa"/>
            <w:vAlign w:val="center"/>
          </w:tcPr>
          <w:p w14:paraId="0EA3FF4F">
            <w:pPr>
              <w:pStyle w:val="10"/>
            </w:pPr>
            <w:r>
              <w:t>三级指标</w:t>
            </w:r>
          </w:p>
        </w:tc>
        <w:tc>
          <w:tcPr>
            <w:tcW w:w="5386" w:type="dxa"/>
            <w:vAlign w:val="center"/>
          </w:tcPr>
          <w:p w14:paraId="2EC96A48">
            <w:pPr>
              <w:pStyle w:val="10"/>
            </w:pPr>
            <w:r>
              <w:t>绩效指标描述</w:t>
            </w:r>
          </w:p>
        </w:tc>
        <w:tc>
          <w:tcPr>
            <w:tcW w:w="2268" w:type="dxa"/>
            <w:vAlign w:val="center"/>
          </w:tcPr>
          <w:p w14:paraId="465E704E">
            <w:pPr>
              <w:pStyle w:val="10"/>
            </w:pPr>
            <w:r>
              <w:t>指标值</w:t>
            </w:r>
          </w:p>
        </w:tc>
        <w:tc>
          <w:tcPr>
            <w:tcW w:w="1276" w:type="dxa"/>
            <w:vAlign w:val="center"/>
          </w:tcPr>
          <w:p w14:paraId="781518C2">
            <w:pPr>
              <w:pStyle w:val="10"/>
            </w:pPr>
            <w:r>
              <w:t>指标值确定依据</w:t>
            </w:r>
          </w:p>
        </w:tc>
      </w:tr>
      <w:tr w14:paraId="3C7A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6EAA8">
            <w:pPr>
              <w:pStyle w:val="13"/>
            </w:pPr>
            <w:r>
              <w:t>产出指标</w:t>
            </w:r>
          </w:p>
        </w:tc>
        <w:tc>
          <w:tcPr>
            <w:tcW w:w="2268" w:type="dxa"/>
            <w:vAlign w:val="center"/>
          </w:tcPr>
          <w:p w14:paraId="0EEF763A">
            <w:pPr>
              <w:pStyle w:val="12"/>
            </w:pPr>
            <w:r>
              <w:t>数量指标</w:t>
            </w:r>
          </w:p>
        </w:tc>
        <w:tc>
          <w:tcPr>
            <w:tcW w:w="2835" w:type="dxa"/>
            <w:vAlign w:val="center"/>
          </w:tcPr>
          <w:p w14:paraId="384D6DAB">
            <w:pPr>
              <w:pStyle w:val="12"/>
            </w:pPr>
            <w:r>
              <w:t>幼儿资助比例</w:t>
            </w:r>
          </w:p>
        </w:tc>
        <w:tc>
          <w:tcPr>
            <w:tcW w:w="5386" w:type="dxa"/>
            <w:vAlign w:val="center"/>
          </w:tcPr>
          <w:p w14:paraId="4867C616">
            <w:pPr>
              <w:pStyle w:val="12"/>
            </w:pPr>
            <w:r>
              <w:t>按学前适龄在园儿童实际资助人数测算</w:t>
            </w:r>
          </w:p>
        </w:tc>
        <w:tc>
          <w:tcPr>
            <w:tcW w:w="2268" w:type="dxa"/>
            <w:vAlign w:val="center"/>
          </w:tcPr>
          <w:p w14:paraId="123315A0">
            <w:pPr>
              <w:pStyle w:val="12"/>
            </w:pPr>
            <w:r>
              <w:t>43人</w:t>
            </w:r>
          </w:p>
        </w:tc>
        <w:tc>
          <w:tcPr>
            <w:tcW w:w="1276" w:type="dxa"/>
            <w:vAlign w:val="center"/>
          </w:tcPr>
          <w:p w14:paraId="431D5CBA">
            <w:pPr>
              <w:pStyle w:val="12"/>
            </w:pPr>
            <w:r>
              <w:t>发展学前教育资金管理办法</w:t>
            </w:r>
          </w:p>
        </w:tc>
      </w:tr>
      <w:tr w14:paraId="6406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A535E"/>
        </w:tc>
        <w:tc>
          <w:tcPr>
            <w:tcW w:w="2268" w:type="dxa"/>
            <w:vAlign w:val="center"/>
          </w:tcPr>
          <w:p w14:paraId="7F667820">
            <w:pPr>
              <w:pStyle w:val="12"/>
            </w:pPr>
            <w:r>
              <w:t>质量指标</w:t>
            </w:r>
          </w:p>
        </w:tc>
        <w:tc>
          <w:tcPr>
            <w:tcW w:w="2835" w:type="dxa"/>
            <w:vAlign w:val="center"/>
          </w:tcPr>
          <w:p w14:paraId="70318C43">
            <w:pPr>
              <w:pStyle w:val="12"/>
            </w:pPr>
            <w:r>
              <w:t>学前教育资助制度落实情况</w:t>
            </w:r>
          </w:p>
        </w:tc>
        <w:tc>
          <w:tcPr>
            <w:tcW w:w="5386" w:type="dxa"/>
            <w:vAlign w:val="center"/>
          </w:tcPr>
          <w:p w14:paraId="293DFEAA">
            <w:pPr>
              <w:pStyle w:val="12"/>
            </w:pPr>
            <w:r>
              <w:t>符合享受资助条件的学生覆盖率</w:t>
            </w:r>
          </w:p>
        </w:tc>
        <w:tc>
          <w:tcPr>
            <w:tcW w:w="2268" w:type="dxa"/>
            <w:vAlign w:val="center"/>
          </w:tcPr>
          <w:p w14:paraId="0E6FE5C9">
            <w:pPr>
              <w:pStyle w:val="12"/>
            </w:pPr>
            <w:r>
              <w:t>≥98%</w:t>
            </w:r>
          </w:p>
        </w:tc>
        <w:tc>
          <w:tcPr>
            <w:tcW w:w="1276" w:type="dxa"/>
            <w:vAlign w:val="center"/>
          </w:tcPr>
          <w:p w14:paraId="32F4F3F5">
            <w:pPr>
              <w:pStyle w:val="12"/>
            </w:pPr>
            <w:r>
              <w:t>发展学前教育资金管理办法</w:t>
            </w:r>
          </w:p>
        </w:tc>
      </w:tr>
      <w:tr w14:paraId="50D9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C3FF7"/>
        </w:tc>
        <w:tc>
          <w:tcPr>
            <w:tcW w:w="2268" w:type="dxa"/>
            <w:vAlign w:val="center"/>
          </w:tcPr>
          <w:p w14:paraId="0E450388">
            <w:pPr>
              <w:pStyle w:val="12"/>
            </w:pPr>
            <w:r>
              <w:t>时效指标</w:t>
            </w:r>
          </w:p>
        </w:tc>
        <w:tc>
          <w:tcPr>
            <w:tcW w:w="2835" w:type="dxa"/>
            <w:vAlign w:val="center"/>
          </w:tcPr>
          <w:p w14:paraId="1E0E6E31">
            <w:pPr>
              <w:pStyle w:val="12"/>
            </w:pPr>
            <w:r>
              <w:t>资金拨付率</w:t>
            </w:r>
          </w:p>
        </w:tc>
        <w:tc>
          <w:tcPr>
            <w:tcW w:w="5386" w:type="dxa"/>
            <w:vAlign w:val="center"/>
          </w:tcPr>
          <w:p w14:paraId="37E4E998">
            <w:pPr>
              <w:pStyle w:val="12"/>
            </w:pPr>
            <w:r>
              <w:t>按进度进行资金支付</w:t>
            </w:r>
          </w:p>
        </w:tc>
        <w:tc>
          <w:tcPr>
            <w:tcW w:w="2268" w:type="dxa"/>
            <w:vAlign w:val="center"/>
          </w:tcPr>
          <w:p w14:paraId="04F8D6B2">
            <w:pPr>
              <w:pStyle w:val="12"/>
            </w:pPr>
            <w:r>
              <w:t>≥98%</w:t>
            </w:r>
          </w:p>
        </w:tc>
        <w:tc>
          <w:tcPr>
            <w:tcW w:w="1276" w:type="dxa"/>
            <w:vAlign w:val="center"/>
          </w:tcPr>
          <w:p w14:paraId="21F09562">
            <w:pPr>
              <w:pStyle w:val="12"/>
            </w:pPr>
            <w:r>
              <w:t>发展学前教育资金管理办法</w:t>
            </w:r>
          </w:p>
        </w:tc>
      </w:tr>
      <w:tr w14:paraId="3751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02BF9"/>
        </w:tc>
        <w:tc>
          <w:tcPr>
            <w:tcW w:w="2268" w:type="dxa"/>
            <w:vAlign w:val="center"/>
          </w:tcPr>
          <w:p w14:paraId="01CC642C">
            <w:pPr>
              <w:pStyle w:val="12"/>
            </w:pPr>
            <w:r>
              <w:t>成本指标</w:t>
            </w:r>
          </w:p>
        </w:tc>
        <w:tc>
          <w:tcPr>
            <w:tcW w:w="2835" w:type="dxa"/>
            <w:vAlign w:val="center"/>
          </w:tcPr>
          <w:p w14:paraId="2B9952F1">
            <w:pPr>
              <w:pStyle w:val="12"/>
            </w:pPr>
            <w:r>
              <w:t>生均拨款标准</w:t>
            </w:r>
          </w:p>
        </w:tc>
        <w:tc>
          <w:tcPr>
            <w:tcW w:w="5386" w:type="dxa"/>
            <w:vAlign w:val="center"/>
          </w:tcPr>
          <w:p w14:paraId="6E9A3855">
            <w:pPr>
              <w:pStyle w:val="12"/>
            </w:pPr>
            <w:r>
              <w:t>按规定标准落实</w:t>
            </w:r>
          </w:p>
        </w:tc>
        <w:tc>
          <w:tcPr>
            <w:tcW w:w="2268" w:type="dxa"/>
            <w:vAlign w:val="center"/>
          </w:tcPr>
          <w:p w14:paraId="6DE64CB2">
            <w:pPr>
              <w:pStyle w:val="12"/>
            </w:pPr>
            <w:r>
              <w:t>500元/生/半年</w:t>
            </w:r>
          </w:p>
        </w:tc>
        <w:tc>
          <w:tcPr>
            <w:tcW w:w="1276" w:type="dxa"/>
            <w:vAlign w:val="center"/>
          </w:tcPr>
          <w:p w14:paraId="4FB63CE6">
            <w:pPr>
              <w:pStyle w:val="12"/>
            </w:pPr>
            <w:r>
              <w:t>发展学前教育资金管理办法</w:t>
            </w:r>
          </w:p>
        </w:tc>
      </w:tr>
      <w:tr w14:paraId="408B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10ABE">
            <w:pPr>
              <w:pStyle w:val="13"/>
            </w:pPr>
            <w:r>
              <w:t>效益指标</w:t>
            </w:r>
          </w:p>
        </w:tc>
        <w:tc>
          <w:tcPr>
            <w:tcW w:w="2268" w:type="dxa"/>
            <w:vAlign w:val="center"/>
          </w:tcPr>
          <w:p w14:paraId="15EE6506">
            <w:pPr>
              <w:pStyle w:val="12"/>
            </w:pPr>
            <w:r>
              <w:t>可持续影响指标</w:t>
            </w:r>
          </w:p>
        </w:tc>
        <w:tc>
          <w:tcPr>
            <w:tcW w:w="2835" w:type="dxa"/>
            <w:vAlign w:val="center"/>
          </w:tcPr>
          <w:p w14:paraId="3B05623C">
            <w:pPr>
              <w:pStyle w:val="12"/>
            </w:pPr>
            <w:r>
              <w:t>教育发展水平明显好转</w:t>
            </w:r>
          </w:p>
        </w:tc>
        <w:tc>
          <w:tcPr>
            <w:tcW w:w="5386" w:type="dxa"/>
            <w:vAlign w:val="center"/>
          </w:tcPr>
          <w:p w14:paraId="13232D18">
            <w:pPr>
              <w:pStyle w:val="12"/>
            </w:pPr>
            <w:r>
              <w:t>幼儿受教育年限</w:t>
            </w:r>
          </w:p>
        </w:tc>
        <w:tc>
          <w:tcPr>
            <w:tcW w:w="2268" w:type="dxa"/>
            <w:vAlign w:val="center"/>
          </w:tcPr>
          <w:p w14:paraId="4CE4EA22">
            <w:pPr>
              <w:pStyle w:val="12"/>
            </w:pPr>
            <w:r>
              <w:t>3年</w:t>
            </w:r>
          </w:p>
        </w:tc>
        <w:tc>
          <w:tcPr>
            <w:tcW w:w="1276" w:type="dxa"/>
            <w:vAlign w:val="center"/>
          </w:tcPr>
          <w:p w14:paraId="79367D9E">
            <w:pPr>
              <w:pStyle w:val="12"/>
            </w:pPr>
            <w:r>
              <w:t>发展学前教育资金管理办法</w:t>
            </w:r>
          </w:p>
        </w:tc>
      </w:tr>
      <w:tr w14:paraId="2BF3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0FDC8">
            <w:pPr>
              <w:pStyle w:val="13"/>
            </w:pPr>
            <w:r>
              <w:t>满意度指标</w:t>
            </w:r>
          </w:p>
        </w:tc>
        <w:tc>
          <w:tcPr>
            <w:tcW w:w="2268" w:type="dxa"/>
            <w:vAlign w:val="center"/>
          </w:tcPr>
          <w:p w14:paraId="642629FF">
            <w:pPr>
              <w:pStyle w:val="12"/>
            </w:pPr>
            <w:r>
              <w:t>服务对象满意度指标</w:t>
            </w:r>
          </w:p>
        </w:tc>
        <w:tc>
          <w:tcPr>
            <w:tcW w:w="2835" w:type="dxa"/>
            <w:vAlign w:val="center"/>
          </w:tcPr>
          <w:p w14:paraId="332DA750">
            <w:pPr>
              <w:pStyle w:val="12"/>
            </w:pPr>
            <w:r>
              <w:t>受益幼儿家长及调查满意度</w:t>
            </w:r>
          </w:p>
        </w:tc>
        <w:tc>
          <w:tcPr>
            <w:tcW w:w="5386" w:type="dxa"/>
            <w:vAlign w:val="center"/>
          </w:tcPr>
          <w:p w14:paraId="66DC9713">
            <w:pPr>
              <w:pStyle w:val="12"/>
            </w:pPr>
            <w:r>
              <w:t>学生、教师及家长对学校保教保育工作满意度情况</w:t>
            </w:r>
          </w:p>
        </w:tc>
        <w:tc>
          <w:tcPr>
            <w:tcW w:w="2268" w:type="dxa"/>
            <w:vAlign w:val="center"/>
          </w:tcPr>
          <w:p w14:paraId="7B6A5EC9">
            <w:pPr>
              <w:pStyle w:val="12"/>
            </w:pPr>
            <w:r>
              <w:t>≥95%</w:t>
            </w:r>
          </w:p>
        </w:tc>
        <w:tc>
          <w:tcPr>
            <w:tcW w:w="1276" w:type="dxa"/>
            <w:vAlign w:val="center"/>
          </w:tcPr>
          <w:p w14:paraId="38CFEDB9">
            <w:pPr>
              <w:pStyle w:val="12"/>
            </w:pPr>
            <w:r>
              <w:t>调查问卷</w:t>
            </w:r>
          </w:p>
        </w:tc>
      </w:tr>
    </w:tbl>
    <w:p w14:paraId="31BF7FEC">
      <w:pPr>
        <w:sectPr>
          <w:pgSz w:w="16840" w:h="11900" w:orient="landscape"/>
          <w:pgMar w:top="1361" w:right="1020" w:bottom="1134" w:left="1020" w:header="720" w:footer="720" w:gutter="0"/>
          <w:cols w:space="720" w:num="1"/>
        </w:sectPr>
      </w:pPr>
    </w:p>
    <w:p w14:paraId="783B7367">
      <w:pPr>
        <w:spacing w:before="0" w:after="0"/>
        <w:ind w:firstLine="560"/>
        <w:jc w:val="left"/>
        <w:outlineLvl w:val="9"/>
      </w:pPr>
      <w:r>
        <w:rPr>
          <w:rFonts w:ascii="方正仿宋_GBK" w:hAnsi="方正仿宋_GBK" w:eastAsia="方正仿宋_GBK" w:cs="方正仿宋_GBK"/>
          <w:b/>
          <w:color w:val="000000"/>
          <w:sz w:val="28"/>
        </w:rPr>
        <w:t>7、冀财教[2025]122号/中央/2026年学前发展资金/千户营校区幼儿园免保育教育费补助绩效目标表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95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55869">
            <w:pPr>
              <w:pStyle w:val="11"/>
            </w:pPr>
            <w:r>
              <w:t>单位：万元</w:t>
            </w:r>
          </w:p>
        </w:tc>
      </w:tr>
      <w:tr w14:paraId="7BA72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A7B52">
            <w:pPr>
              <w:pStyle w:val="10"/>
            </w:pPr>
            <w:r>
              <w:t>项目编码</w:t>
            </w:r>
          </w:p>
        </w:tc>
        <w:tc>
          <w:tcPr>
            <w:tcW w:w="5103" w:type="dxa"/>
            <w:gridSpan w:val="2"/>
            <w:vAlign w:val="center"/>
          </w:tcPr>
          <w:p w14:paraId="053BBB59">
            <w:pPr>
              <w:pStyle w:val="12"/>
            </w:pPr>
            <w:r>
              <w:t>13052526P00876910143L</w:t>
            </w:r>
          </w:p>
        </w:tc>
        <w:tc>
          <w:tcPr>
            <w:tcW w:w="2835" w:type="dxa"/>
            <w:vAlign w:val="center"/>
          </w:tcPr>
          <w:p w14:paraId="1445CB6B">
            <w:pPr>
              <w:pStyle w:val="10"/>
            </w:pPr>
            <w:r>
              <w:t>项目名称</w:t>
            </w:r>
          </w:p>
        </w:tc>
        <w:tc>
          <w:tcPr>
            <w:tcW w:w="6095" w:type="dxa"/>
            <w:gridSpan w:val="3"/>
            <w:vAlign w:val="center"/>
          </w:tcPr>
          <w:p w14:paraId="0334FEF0">
            <w:pPr>
              <w:pStyle w:val="12"/>
            </w:pPr>
            <w:r>
              <w:t>冀财教[2025]122号/中央/2026年学前发展资金/千户营校区幼儿园免保育教育费补助</w:t>
            </w:r>
          </w:p>
        </w:tc>
      </w:tr>
      <w:tr w14:paraId="57592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68F82">
            <w:pPr>
              <w:pStyle w:val="10"/>
            </w:pPr>
            <w:r>
              <w:t>预算规模及资金用途</w:t>
            </w:r>
          </w:p>
        </w:tc>
        <w:tc>
          <w:tcPr>
            <w:tcW w:w="2268" w:type="dxa"/>
            <w:vAlign w:val="center"/>
          </w:tcPr>
          <w:p w14:paraId="14ADE0B6">
            <w:pPr>
              <w:pStyle w:val="10"/>
            </w:pPr>
            <w:r>
              <w:t>预算数</w:t>
            </w:r>
          </w:p>
        </w:tc>
        <w:tc>
          <w:tcPr>
            <w:tcW w:w="2835" w:type="dxa"/>
            <w:vAlign w:val="center"/>
          </w:tcPr>
          <w:p w14:paraId="1FBCD0EA">
            <w:pPr>
              <w:pStyle w:val="12"/>
            </w:pPr>
            <w:r>
              <w:t>5.75</w:t>
            </w:r>
          </w:p>
        </w:tc>
        <w:tc>
          <w:tcPr>
            <w:tcW w:w="2835" w:type="dxa"/>
            <w:vAlign w:val="center"/>
          </w:tcPr>
          <w:p w14:paraId="52E8047B">
            <w:pPr>
              <w:pStyle w:val="10"/>
            </w:pPr>
            <w:r>
              <w:t>其中：财政    资金</w:t>
            </w:r>
          </w:p>
        </w:tc>
        <w:tc>
          <w:tcPr>
            <w:tcW w:w="2551" w:type="dxa"/>
            <w:vAlign w:val="center"/>
          </w:tcPr>
          <w:p w14:paraId="293C4C82">
            <w:pPr>
              <w:pStyle w:val="12"/>
            </w:pPr>
            <w:r>
              <w:t>5.75</w:t>
            </w:r>
          </w:p>
        </w:tc>
        <w:tc>
          <w:tcPr>
            <w:tcW w:w="2268" w:type="dxa"/>
            <w:vAlign w:val="center"/>
          </w:tcPr>
          <w:p w14:paraId="231685D7">
            <w:pPr>
              <w:pStyle w:val="10"/>
            </w:pPr>
            <w:r>
              <w:t>其他资金</w:t>
            </w:r>
          </w:p>
        </w:tc>
        <w:tc>
          <w:tcPr>
            <w:tcW w:w="1276" w:type="dxa"/>
            <w:vAlign w:val="center"/>
          </w:tcPr>
          <w:p w14:paraId="144447ED">
            <w:pPr>
              <w:pStyle w:val="12"/>
            </w:pPr>
            <w:r>
              <w:t xml:space="preserve"> </w:t>
            </w:r>
          </w:p>
        </w:tc>
      </w:tr>
      <w:tr w14:paraId="24918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C31A8"/>
        </w:tc>
        <w:tc>
          <w:tcPr>
            <w:tcW w:w="14033" w:type="dxa"/>
            <w:gridSpan w:val="6"/>
            <w:vAlign w:val="center"/>
          </w:tcPr>
          <w:p w14:paraId="02FE64C3">
            <w:pPr>
              <w:pStyle w:val="12"/>
            </w:pPr>
            <w:r>
              <w:t>保障幼儿园正常运转，完成教育教学活动和其他日常工作任务等方面的费用支出。</w:t>
            </w:r>
          </w:p>
        </w:tc>
      </w:tr>
      <w:tr w14:paraId="6598A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8852A">
            <w:pPr>
              <w:pStyle w:val="10"/>
            </w:pPr>
            <w:r>
              <w:t>资金支出计划（%）</w:t>
            </w:r>
          </w:p>
        </w:tc>
        <w:tc>
          <w:tcPr>
            <w:tcW w:w="5103" w:type="dxa"/>
            <w:gridSpan w:val="2"/>
            <w:vAlign w:val="center"/>
          </w:tcPr>
          <w:p w14:paraId="01A1D34B">
            <w:pPr>
              <w:pStyle w:val="10"/>
            </w:pPr>
            <w:r>
              <w:t>3月底</w:t>
            </w:r>
          </w:p>
        </w:tc>
        <w:tc>
          <w:tcPr>
            <w:tcW w:w="2835" w:type="dxa"/>
            <w:vAlign w:val="center"/>
          </w:tcPr>
          <w:p w14:paraId="6248BA7A">
            <w:pPr>
              <w:pStyle w:val="10"/>
            </w:pPr>
            <w:r>
              <w:t>6月底</w:t>
            </w:r>
          </w:p>
        </w:tc>
        <w:tc>
          <w:tcPr>
            <w:tcW w:w="2551" w:type="dxa"/>
            <w:vAlign w:val="center"/>
          </w:tcPr>
          <w:p w14:paraId="1A969295">
            <w:pPr>
              <w:pStyle w:val="10"/>
            </w:pPr>
            <w:r>
              <w:t>10月底</w:t>
            </w:r>
          </w:p>
        </w:tc>
        <w:tc>
          <w:tcPr>
            <w:tcW w:w="3544" w:type="dxa"/>
            <w:gridSpan w:val="2"/>
            <w:vAlign w:val="center"/>
          </w:tcPr>
          <w:p w14:paraId="2804C4EB">
            <w:pPr>
              <w:pStyle w:val="10"/>
            </w:pPr>
            <w:r>
              <w:t>12月底</w:t>
            </w:r>
          </w:p>
        </w:tc>
      </w:tr>
      <w:tr w14:paraId="46EA9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2B36E"/>
        </w:tc>
        <w:tc>
          <w:tcPr>
            <w:tcW w:w="5103" w:type="dxa"/>
            <w:gridSpan w:val="2"/>
            <w:vAlign w:val="center"/>
          </w:tcPr>
          <w:p w14:paraId="50E97018">
            <w:pPr>
              <w:pStyle w:val="13"/>
            </w:pPr>
            <w:r>
              <w:t>25%</w:t>
            </w:r>
          </w:p>
        </w:tc>
        <w:tc>
          <w:tcPr>
            <w:tcW w:w="2835" w:type="dxa"/>
            <w:vAlign w:val="center"/>
          </w:tcPr>
          <w:p w14:paraId="2FBEEF2B">
            <w:pPr>
              <w:pStyle w:val="13"/>
            </w:pPr>
            <w:r>
              <w:t>50%</w:t>
            </w:r>
          </w:p>
        </w:tc>
        <w:tc>
          <w:tcPr>
            <w:tcW w:w="2551" w:type="dxa"/>
            <w:vAlign w:val="center"/>
          </w:tcPr>
          <w:p w14:paraId="149EA1DB">
            <w:pPr>
              <w:pStyle w:val="13"/>
            </w:pPr>
            <w:r>
              <w:t>75%</w:t>
            </w:r>
          </w:p>
        </w:tc>
        <w:tc>
          <w:tcPr>
            <w:tcW w:w="3544" w:type="dxa"/>
            <w:gridSpan w:val="2"/>
            <w:vAlign w:val="center"/>
          </w:tcPr>
          <w:p w14:paraId="2BFF029C">
            <w:pPr>
              <w:pStyle w:val="13"/>
            </w:pPr>
            <w:r>
              <w:t>100%</w:t>
            </w:r>
          </w:p>
        </w:tc>
      </w:tr>
      <w:tr w14:paraId="1D8D3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267A4">
            <w:pPr>
              <w:pStyle w:val="10"/>
            </w:pPr>
            <w:r>
              <w:t>绩效目标</w:t>
            </w:r>
          </w:p>
        </w:tc>
        <w:tc>
          <w:tcPr>
            <w:tcW w:w="14033" w:type="dxa"/>
            <w:gridSpan w:val="6"/>
            <w:vAlign w:val="center"/>
          </w:tcPr>
          <w:p w14:paraId="31EC4202">
            <w:pPr>
              <w:pStyle w:val="12"/>
            </w:pPr>
            <w:r>
              <w:t>1.保障幼儿园正常运转，完成教育教学活动和其他日常工作任务等方面的费用支出。</w:t>
            </w:r>
          </w:p>
        </w:tc>
      </w:tr>
    </w:tbl>
    <w:p w14:paraId="0DC47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3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6957E">
            <w:pPr>
              <w:pStyle w:val="10"/>
            </w:pPr>
            <w:r>
              <w:t>一级指标</w:t>
            </w:r>
          </w:p>
        </w:tc>
        <w:tc>
          <w:tcPr>
            <w:tcW w:w="2268" w:type="dxa"/>
            <w:vAlign w:val="center"/>
          </w:tcPr>
          <w:p w14:paraId="6410FE93">
            <w:pPr>
              <w:pStyle w:val="10"/>
            </w:pPr>
            <w:r>
              <w:t>二级指标</w:t>
            </w:r>
          </w:p>
        </w:tc>
        <w:tc>
          <w:tcPr>
            <w:tcW w:w="2835" w:type="dxa"/>
            <w:vAlign w:val="center"/>
          </w:tcPr>
          <w:p w14:paraId="585D6509">
            <w:pPr>
              <w:pStyle w:val="10"/>
            </w:pPr>
            <w:r>
              <w:t>三级指标</w:t>
            </w:r>
          </w:p>
        </w:tc>
        <w:tc>
          <w:tcPr>
            <w:tcW w:w="5386" w:type="dxa"/>
            <w:vAlign w:val="center"/>
          </w:tcPr>
          <w:p w14:paraId="200EC4BE">
            <w:pPr>
              <w:pStyle w:val="10"/>
            </w:pPr>
            <w:r>
              <w:t>绩效指标描述</w:t>
            </w:r>
          </w:p>
        </w:tc>
        <w:tc>
          <w:tcPr>
            <w:tcW w:w="2268" w:type="dxa"/>
            <w:vAlign w:val="center"/>
          </w:tcPr>
          <w:p w14:paraId="2FA4F1D1">
            <w:pPr>
              <w:pStyle w:val="10"/>
            </w:pPr>
            <w:r>
              <w:t>指标值</w:t>
            </w:r>
          </w:p>
        </w:tc>
        <w:tc>
          <w:tcPr>
            <w:tcW w:w="1276" w:type="dxa"/>
            <w:vAlign w:val="center"/>
          </w:tcPr>
          <w:p w14:paraId="5D757ED2">
            <w:pPr>
              <w:pStyle w:val="10"/>
            </w:pPr>
            <w:r>
              <w:t>指标值确定依据</w:t>
            </w:r>
          </w:p>
        </w:tc>
      </w:tr>
      <w:tr w14:paraId="29F3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1B5D8">
            <w:pPr>
              <w:pStyle w:val="13"/>
            </w:pPr>
            <w:r>
              <w:t>产出指标</w:t>
            </w:r>
          </w:p>
        </w:tc>
        <w:tc>
          <w:tcPr>
            <w:tcW w:w="2268" w:type="dxa"/>
            <w:vAlign w:val="center"/>
          </w:tcPr>
          <w:p w14:paraId="3A21E0B0">
            <w:pPr>
              <w:pStyle w:val="12"/>
            </w:pPr>
            <w:r>
              <w:t>数量指标</w:t>
            </w:r>
          </w:p>
        </w:tc>
        <w:tc>
          <w:tcPr>
            <w:tcW w:w="2835" w:type="dxa"/>
            <w:vAlign w:val="center"/>
          </w:tcPr>
          <w:p w14:paraId="5D1C973A">
            <w:pPr>
              <w:pStyle w:val="12"/>
            </w:pPr>
            <w:r>
              <w:t>适龄在园生</w:t>
            </w:r>
          </w:p>
        </w:tc>
        <w:tc>
          <w:tcPr>
            <w:tcW w:w="5386" w:type="dxa"/>
            <w:vAlign w:val="center"/>
          </w:tcPr>
          <w:p w14:paraId="27171630">
            <w:pPr>
              <w:pStyle w:val="12"/>
            </w:pPr>
            <w:r>
              <w:t>适龄在园学生人数</w:t>
            </w:r>
          </w:p>
        </w:tc>
        <w:tc>
          <w:tcPr>
            <w:tcW w:w="2268" w:type="dxa"/>
            <w:vAlign w:val="center"/>
          </w:tcPr>
          <w:p w14:paraId="6E716A8C">
            <w:pPr>
              <w:pStyle w:val="12"/>
            </w:pPr>
            <w:r>
              <w:t>257人</w:t>
            </w:r>
          </w:p>
        </w:tc>
        <w:tc>
          <w:tcPr>
            <w:tcW w:w="1276" w:type="dxa"/>
            <w:vAlign w:val="center"/>
          </w:tcPr>
          <w:p w14:paraId="1D4256C7">
            <w:pPr>
              <w:pStyle w:val="12"/>
            </w:pPr>
            <w:r>
              <w:t>支持学前教育发展管理方法</w:t>
            </w:r>
          </w:p>
        </w:tc>
      </w:tr>
      <w:tr w14:paraId="3DCD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FB2D7"/>
        </w:tc>
        <w:tc>
          <w:tcPr>
            <w:tcW w:w="2268" w:type="dxa"/>
            <w:vAlign w:val="center"/>
          </w:tcPr>
          <w:p w14:paraId="01AA2B46">
            <w:pPr>
              <w:pStyle w:val="12"/>
            </w:pPr>
            <w:r>
              <w:t>质量指标</w:t>
            </w:r>
          </w:p>
        </w:tc>
        <w:tc>
          <w:tcPr>
            <w:tcW w:w="2835" w:type="dxa"/>
            <w:vAlign w:val="center"/>
          </w:tcPr>
          <w:p w14:paraId="2A29E5E5">
            <w:pPr>
              <w:pStyle w:val="12"/>
            </w:pPr>
            <w:r>
              <w:t>预算控制率</w:t>
            </w:r>
          </w:p>
        </w:tc>
        <w:tc>
          <w:tcPr>
            <w:tcW w:w="5386" w:type="dxa"/>
            <w:vAlign w:val="center"/>
          </w:tcPr>
          <w:p w14:paraId="6652B82B">
            <w:pPr>
              <w:pStyle w:val="12"/>
            </w:pPr>
            <w:r>
              <w:t>预算执行</w:t>
            </w:r>
          </w:p>
        </w:tc>
        <w:tc>
          <w:tcPr>
            <w:tcW w:w="2268" w:type="dxa"/>
            <w:vAlign w:val="center"/>
          </w:tcPr>
          <w:p w14:paraId="3D59971E">
            <w:pPr>
              <w:pStyle w:val="12"/>
            </w:pPr>
            <w:r>
              <w:t>≥98%</w:t>
            </w:r>
          </w:p>
        </w:tc>
        <w:tc>
          <w:tcPr>
            <w:tcW w:w="1276" w:type="dxa"/>
            <w:vAlign w:val="center"/>
          </w:tcPr>
          <w:p w14:paraId="332277B4">
            <w:pPr>
              <w:pStyle w:val="12"/>
            </w:pPr>
            <w:r>
              <w:t>支持学前教育发展管理方法</w:t>
            </w:r>
          </w:p>
        </w:tc>
      </w:tr>
      <w:tr w14:paraId="2EB4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87FC9"/>
        </w:tc>
        <w:tc>
          <w:tcPr>
            <w:tcW w:w="2268" w:type="dxa"/>
            <w:vAlign w:val="center"/>
          </w:tcPr>
          <w:p w14:paraId="18F5C1BF">
            <w:pPr>
              <w:pStyle w:val="12"/>
            </w:pPr>
            <w:r>
              <w:t>时效指标</w:t>
            </w:r>
          </w:p>
        </w:tc>
        <w:tc>
          <w:tcPr>
            <w:tcW w:w="2835" w:type="dxa"/>
            <w:vAlign w:val="center"/>
          </w:tcPr>
          <w:p w14:paraId="22C810E1">
            <w:pPr>
              <w:pStyle w:val="12"/>
            </w:pPr>
            <w:r>
              <w:t>资金支付率</w:t>
            </w:r>
          </w:p>
        </w:tc>
        <w:tc>
          <w:tcPr>
            <w:tcW w:w="5386" w:type="dxa"/>
            <w:vAlign w:val="center"/>
          </w:tcPr>
          <w:p w14:paraId="27B967CD">
            <w:pPr>
              <w:pStyle w:val="12"/>
            </w:pPr>
            <w:r>
              <w:t>按照序时进度完成资金支付</w:t>
            </w:r>
          </w:p>
        </w:tc>
        <w:tc>
          <w:tcPr>
            <w:tcW w:w="2268" w:type="dxa"/>
            <w:vAlign w:val="center"/>
          </w:tcPr>
          <w:p w14:paraId="66B70523">
            <w:pPr>
              <w:pStyle w:val="12"/>
            </w:pPr>
            <w:r>
              <w:t>≥98%</w:t>
            </w:r>
          </w:p>
        </w:tc>
        <w:tc>
          <w:tcPr>
            <w:tcW w:w="1276" w:type="dxa"/>
            <w:vAlign w:val="center"/>
          </w:tcPr>
          <w:p w14:paraId="20A7434E">
            <w:pPr>
              <w:pStyle w:val="12"/>
            </w:pPr>
            <w:r>
              <w:t>支持学前教育发展管理方法</w:t>
            </w:r>
          </w:p>
        </w:tc>
      </w:tr>
      <w:tr w14:paraId="4E83F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6EA2F"/>
        </w:tc>
        <w:tc>
          <w:tcPr>
            <w:tcW w:w="2268" w:type="dxa"/>
            <w:vAlign w:val="center"/>
          </w:tcPr>
          <w:p w14:paraId="6C7FB015">
            <w:pPr>
              <w:pStyle w:val="12"/>
            </w:pPr>
            <w:r>
              <w:t>成本指标</w:t>
            </w:r>
          </w:p>
        </w:tc>
        <w:tc>
          <w:tcPr>
            <w:tcW w:w="2835" w:type="dxa"/>
            <w:vAlign w:val="center"/>
          </w:tcPr>
          <w:p w14:paraId="52B27E87">
            <w:pPr>
              <w:pStyle w:val="12"/>
            </w:pPr>
            <w:r>
              <w:t>生均拨款标准</w:t>
            </w:r>
          </w:p>
        </w:tc>
        <w:tc>
          <w:tcPr>
            <w:tcW w:w="5386" w:type="dxa"/>
            <w:vAlign w:val="center"/>
          </w:tcPr>
          <w:p w14:paraId="289BDEA5">
            <w:pPr>
              <w:pStyle w:val="12"/>
            </w:pPr>
            <w:r>
              <w:t>免保育教育费补助</w:t>
            </w:r>
          </w:p>
        </w:tc>
        <w:tc>
          <w:tcPr>
            <w:tcW w:w="2268" w:type="dxa"/>
            <w:vAlign w:val="center"/>
          </w:tcPr>
          <w:p w14:paraId="7D845A4F">
            <w:pPr>
              <w:pStyle w:val="12"/>
            </w:pPr>
            <w:r>
              <w:t>57520元</w:t>
            </w:r>
          </w:p>
        </w:tc>
        <w:tc>
          <w:tcPr>
            <w:tcW w:w="1276" w:type="dxa"/>
            <w:vAlign w:val="center"/>
          </w:tcPr>
          <w:p w14:paraId="5A4C4195">
            <w:pPr>
              <w:pStyle w:val="12"/>
            </w:pPr>
            <w:r>
              <w:t>支持学前教育发展管理方法</w:t>
            </w:r>
          </w:p>
        </w:tc>
      </w:tr>
      <w:tr w14:paraId="7F48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996E1">
            <w:pPr>
              <w:pStyle w:val="13"/>
            </w:pPr>
            <w:r>
              <w:t>效益指标</w:t>
            </w:r>
          </w:p>
        </w:tc>
        <w:tc>
          <w:tcPr>
            <w:tcW w:w="2268" w:type="dxa"/>
            <w:vAlign w:val="center"/>
          </w:tcPr>
          <w:p w14:paraId="6C778C36">
            <w:pPr>
              <w:pStyle w:val="12"/>
            </w:pPr>
            <w:r>
              <w:t>可持续影响指标</w:t>
            </w:r>
          </w:p>
        </w:tc>
        <w:tc>
          <w:tcPr>
            <w:tcW w:w="2835" w:type="dxa"/>
            <w:vAlign w:val="center"/>
          </w:tcPr>
          <w:p w14:paraId="582E77F2">
            <w:pPr>
              <w:pStyle w:val="12"/>
            </w:pPr>
            <w:r>
              <w:t>学校运转得到提升</w:t>
            </w:r>
          </w:p>
        </w:tc>
        <w:tc>
          <w:tcPr>
            <w:tcW w:w="5386" w:type="dxa"/>
            <w:vAlign w:val="center"/>
          </w:tcPr>
          <w:p w14:paraId="26A77D4B">
            <w:pPr>
              <w:pStyle w:val="12"/>
            </w:pPr>
            <w:r>
              <w:t>幼儿受教育年限</w:t>
            </w:r>
          </w:p>
        </w:tc>
        <w:tc>
          <w:tcPr>
            <w:tcW w:w="2268" w:type="dxa"/>
            <w:vAlign w:val="center"/>
          </w:tcPr>
          <w:p w14:paraId="0D45152D">
            <w:pPr>
              <w:pStyle w:val="12"/>
            </w:pPr>
            <w:r>
              <w:t>3年</w:t>
            </w:r>
          </w:p>
        </w:tc>
        <w:tc>
          <w:tcPr>
            <w:tcW w:w="1276" w:type="dxa"/>
            <w:vAlign w:val="center"/>
          </w:tcPr>
          <w:p w14:paraId="1FC32310">
            <w:pPr>
              <w:pStyle w:val="12"/>
            </w:pPr>
            <w:r>
              <w:t>支持学前教育发展管理方法</w:t>
            </w:r>
          </w:p>
        </w:tc>
      </w:tr>
      <w:tr w14:paraId="60F9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B2B38">
            <w:pPr>
              <w:pStyle w:val="13"/>
            </w:pPr>
            <w:r>
              <w:t>满意度指标</w:t>
            </w:r>
          </w:p>
        </w:tc>
        <w:tc>
          <w:tcPr>
            <w:tcW w:w="2268" w:type="dxa"/>
            <w:vAlign w:val="center"/>
          </w:tcPr>
          <w:p w14:paraId="16F27359">
            <w:pPr>
              <w:pStyle w:val="12"/>
            </w:pPr>
            <w:r>
              <w:t>服务对象满意度指标</w:t>
            </w:r>
          </w:p>
        </w:tc>
        <w:tc>
          <w:tcPr>
            <w:tcW w:w="2835" w:type="dxa"/>
            <w:vAlign w:val="center"/>
          </w:tcPr>
          <w:p w14:paraId="0FEB956B">
            <w:pPr>
              <w:pStyle w:val="12"/>
            </w:pPr>
            <w:r>
              <w:t>受益学生家长及调查满意度</w:t>
            </w:r>
          </w:p>
        </w:tc>
        <w:tc>
          <w:tcPr>
            <w:tcW w:w="5386" w:type="dxa"/>
            <w:vAlign w:val="center"/>
          </w:tcPr>
          <w:p w14:paraId="42E5923E">
            <w:pPr>
              <w:pStyle w:val="12"/>
            </w:pPr>
            <w:r>
              <w:t>学生、教师及家长对学校保教保育工作满意度情况</w:t>
            </w:r>
          </w:p>
        </w:tc>
        <w:tc>
          <w:tcPr>
            <w:tcW w:w="2268" w:type="dxa"/>
            <w:vAlign w:val="center"/>
          </w:tcPr>
          <w:p w14:paraId="7E0E8B40">
            <w:pPr>
              <w:pStyle w:val="12"/>
            </w:pPr>
            <w:r>
              <w:t>≥95%</w:t>
            </w:r>
          </w:p>
        </w:tc>
        <w:tc>
          <w:tcPr>
            <w:tcW w:w="1276" w:type="dxa"/>
            <w:vAlign w:val="center"/>
          </w:tcPr>
          <w:p w14:paraId="530296D5">
            <w:pPr>
              <w:pStyle w:val="12"/>
            </w:pPr>
            <w:r>
              <w:t>支持学前教育发展管理方法</w:t>
            </w:r>
          </w:p>
        </w:tc>
      </w:tr>
    </w:tbl>
    <w:p w14:paraId="69188A19">
      <w:pPr>
        <w:sectPr>
          <w:pgSz w:w="16840" w:h="11900" w:orient="landscape"/>
          <w:pgMar w:top="1361" w:right="1020" w:bottom="1134" w:left="1020" w:header="720" w:footer="720" w:gutter="0"/>
          <w:cols w:space="720" w:num="1"/>
        </w:sectPr>
      </w:pPr>
    </w:p>
    <w:p w14:paraId="3C32F467">
      <w:pPr>
        <w:spacing w:before="0" w:after="0"/>
        <w:ind w:firstLine="560"/>
        <w:jc w:val="left"/>
        <w:outlineLvl w:val="9"/>
      </w:pPr>
      <w:r>
        <w:rPr>
          <w:rFonts w:ascii="方正仿宋_GBK" w:hAnsi="方正仿宋_GBK" w:eastAsia="方正仿宋_GBK" w:cs="方正仿宋_GBK"/>
          <w:b/>
          <w:color w:val="000000"/>
          <w:sz w:val="28"/>
        </w:rPr>
        <w:t>8、冀财教[2025]122号/中央/支持学前教育发展/南王岳幼儿园校园维修改造绩效目标表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35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D9CDE">
            <w:pPr>
              <w:pStyle w:val="11"/>
            </w:pPr>
            <w:r>
              <w:t>单位：万元</w:t>
            </w:r>
          </w:p>
        </w:tc>
      </w:tr>
      <w:tr w14:paraId="40CA5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5C3DC">
            <w:pPr>
              <w:pStyle w:val="10"/>
            </w:pPr>
            <w:r>
              <w:t>项目编码</w:t>
            </w:r>
          </w:p>
        </w:tc>
        <w:tc>
          <w:tcPr>
            <w:tcW w:w="5103" w:type="dxa"/>
            <w:gridSpan w:val="2"/>
            <w:vAlign w:val="center"/>
          </w:tcPr>
          <w:p w14:paraId="266770D7">
            <w:pPr>
              <w:pStyle w:val="12"/>
            </w:pPr>
            <w:r>
              <w:t>13052526P008769102017</w:t>
            </w:r>
          </w:p>
        </w:tc>
        <w:tc>
          <w:tcPr>
            <w:tcW w:w="2835" w:type="dxa"/>
            <w:vAlign w:val="center"/>
          </w:tcPr>
          <w:p w14:paraId="15292D75">
            <w:pPr>
              <w:pStyle w:val="10"/>
            </w:pPr>
            <w:r>
              <w:t>项目名称</w:t>
            </w:r>
          </w:p>
        </w:tc>
        <w:tc>
          <w:tcPr>
            <w:tcW w:w="6095" w:type="dxa"/>
            <w:gridSpan w:val="3"/>
            <w:vAlign w:val="center"/>
          </w:tcPr>
          <w:p w14:paraId="637F92B2">
            <w:pPr>
              <w:pStyle w:val="12"/>
            </w:pPr>
            <w:r>
              <w:t>冀财教[2025]122号/中央/支持学前教育发展/南王岳幼儿园校园维修改造</w:t>
            </w:r>
          </w:p>
        </w:tc>
      </w:tr>
      <w:tr w14:paraId="604C4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E23FD">
            <w:pPr>
              <w:pStyle w:val="10"/>
            </w:pPr>
            <w:r>
              <w:t>预算规模及资金用途</w:t>
            </w:r>
          </w:p>
        </w:tc>
        <w:tc>
          <w:tcPr>
            <w:tcW w:w="2268" w:type="dxa"/>
            <w:vAlign w:val="center"/>
          </w:tcPr>
          <w:p w14:paraId="5131B394">
            <w:pPr>
              <w:pStyle w:val="10"/>
            </w:pPr>
            <w:r>
              <w:t>预算数</w:t>
            </w:r>
          </w:p>
        </w:tc>
        <w:tc>
          <w:tcPr>
            <w:tcW w:w="2835" w:type="dxa"/>
            <w:vAlign w:val="center"/>
          </w:tcPr>
          <w:p w14:paraId="29E41C4E">
            <w:pPr>
              <w:pStyle w:val="12"/>
            </w:pPr>
            <w:r>
              <w:t>22.17</w:t>
            </w:r>
          </w:p>
        </w:tc>
        <w:tc>
          <w:tcPr>
            <w:tcW w:w="2835" w:type="dxa"/>
            <w:vAlign w:val="center"/>
          </w:tcPr>
          <w:p w14:paraId="4E21D931">
            <w:pPr>
              <w:pStyle w:val="10"/>
            </w:pPr>
            <w:r>
              <w:t>其中：财政    资金</w:t>
            </w:r>
          </w:p>
        </w:tc>
        <w:tc>
          <w:tcPr>
            <w:tcW w:w="2551" w:type="dxa"/>
            <w:vAlign w:val="center"/>
          </w:tcPr>
          <w:p w14:paraId="413170CB">
            <w:pPr>
              <w:pStyle w:val="12"/>
            </w:pPr>
            <w:r>
              <w:t>22.17</w:t>
            </w:r>
          </w:p>
        </w:tc>
        <w:tc>
          <w:tcPr>
            <w:tcW w:w="2268" w:type="dxa"/>
            <w:vAlign w:val="center"/>
          </w:tcPr>
          <w:p w14:paraId="3F5CD4BF">
            <w:pPr>
              <w:pStyle w:val="10"/>
            </w:pPr>
            <w:r>
              <w:t>其他资金</w:t>
            </w:r>
          </w:p>
        </w:tc>
        <w:tc>
          <w:tcPr>
            <w:tcW w:w="1276" w:type="dxa"/>
            <w:vAlign w:val="center"/>
          </w:tcPr>
          <w:p w14:paraId="7BE2ABCB">
            <w:pPr>
              <w:pStyle w:val="12"/>
            </w:pPr>
            <w:r>
              <w:t xml:space="preserve"> </w:t>
            </w:r>
          </w:p>
        </w:tc>
      </w:tr>
      <w:tr w14:paraId="06BB8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92DF3"/>
        </w:tc>
        <w:tc>
          <w:tcPr>
            <w:tcW w:w="14033" w:type="dxa"/>
            <w:gridSpan w:val="6"/>
            <w:vAlign w:val="center"/>
          </w:tcPr>
          <w:p w14:paraId="7A356A88">
            <w:pPr>
              <w:pStyle w:val="12"/>
            </w:pPr>
            <w:r>
              <w:t>改善教育办学条件，进一步提升教育教学办学质量</w:t>
            </w:r>
            <w:r>
              <w:tab/>
            </w:r>
          </w:p>
        </w:tc>
      </w:tr>
      <w:tr w14:paraId="5DBDD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5DD78">
            <w:pPr>
              <w:pStyle w:val="10"/>
            </w:pPr>
            <w:r>
              <w:t>资金支出计划（%）</w:t>
            </w:r>
          </w:p>
        </w:tc>
        <w:tc>
          <w:tcPr>
            <w:tcW w:w="5103" w:type="dxa"/>
            <w:gridSpan w:val="2"/>
            <w:vAlign w:val="center"/>
          </w:tcPr>
          <w:p w14:paraId="24166780">
            <w:pPr>
              <w:pStyle w:val="10"/>
            </w:pPr>
            <w:r>
              <w:t>3月底</w:t>
            </w:r>
          </w:p>
        </w:tc>
        <w:tc>
          <w:tcPr>
            <w:tcW w:w="2835" w:type="dxa"/>
            <w:vAlign w:val="center"/>
          </w:tcPr>
          <w:p w14:paraId="49CBDAD5">
            <w:pPr>
              <w:pStyle w:val="10"/>
            </w:pPr>
            <w:r>
              <w:t>6月底</w:t>
            </w:r>
          </w:p>
        </w:tc>
        <w:tc>
          <w:tcPr>
            <w:tcW w:w="2551" w:type="dxa"/>
            <w:vAlign w:val="center"/>
          </w:tcPr>
          <w:p w14:paraId="6571E9BF">
            <w:pPr>
              <w:pStyle w:val="10"/>
            </w:pPr>
            <w:r>
              <w:t>10月底</w:t>
            </w:r>
          </w:p>
        </w:tc>
        <w:tc>
          <w:tcPr>
            <w:tcW w:w="3544" w:type="dxa"/>
            <w:gridSpan w:val="2"/>
            <w:vAlign w:val="center"/>
          </w:tcPr>
          <w:p w14:paraId="7AD779C2">
            <w:pPr>
              <w:pStyle w:val="10"/>
            </w:pPr>
            <w:r>
              <w:t>12月底</w:t>
            </w:r>
          </w:p>
        </w:tc>
      </w:tr>
      <w:tr w14:paraId="3BCD3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A3987"/>
        </w:tc>
        <w:tc>
          <w:tcPr>
            <w:tcW w:w="5103" w:type="dxa"/>
            <w:gridSpan w:val="2"/>
            <w:vAlign w:val="center"/>
          </w:tcPr>
          <w:p w14:paraId="7009FEEE">
            <w:pPr>
              <w:pStyle w:val="13"/>
            </w:pPr>
            <w:r>
              <w:t xml:space="preserve"> </w:t>
            </w:r>
          </w:p>
        </w:tc>
        <w:tc>
          <w:tcPr>
            <w:tcW w:w="2835" w:type="dxa"/>
            <w:vAlign w:val="center"/>
          </w:tcPr>
          <w:p w14:paraId="631FD058">
            <w:pPr>
              <w:pStyle w:val="13"/>
            </w:pPr>
            <w:r>
              <w:t>50%</w:t>
            </w:r>
          </w:p>
        </w:tc>
        <w:tc>
          <w:tcPr>
            <w:tcW w:w="2551" w:type="dxa"/>
            <w:vAlign w:val="center"/>
          </w:tcPr>
          <w:p w14:paraId="2F9A1755">
            <w:pPr>
              <w:pStyle w:val="13"/>
            </w:pPr>
            <w:r>
              <w:t>100%</w:t>
            </w:r>
          </w:p>
        </w:tc>
        <w:tc>
          <w:tcPr>
            <w:tcW w:w="3544" w:type="dxa"/>
            <w:gridSpan w:val="2"/>
            <w:vAlign w:val="center"/>
          </w:tcPr>
          <w:p w14:paraId="2668F72D">
            <w:pPr>
              <w:pStyle w:val="13"/>
            </w:pPr>
            <w:r>
              <w:t>100%</w:t>
            </w:r>
          </w:p>
        </w:tc>
      </w:tr>
      <w:tr w14:paraId="537CB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A8C2B">
            <w:pPr>
              <w:pStyle w:val="10"/>
            </w:pPr>
            <w:r>
              <w:t>绩效目标</w:t>
            </w:r>
          </w:p>
        </w:tc>
        <w:tc>
          <w:tcPr>
            <w:tcW w:w="14033" w:type="dxa"/>
            <w:gridSpan w:val="6"/>
            <w:vAlign w:val="center"/>
          </w:tcPr>
          <w:p w14:paraId="694B31ED">
            <w:pPr>
              <w:pStyle w:val="12"/>
            </w:pPr>
            <w:r>
              <w:t>1.改善教育办学条件，进一步提升教育教学办学质量</w:t>
            </w:r>
            <w:r>
              <w:tab/>
            </w:r>
            <w:r>
              <w:tab/>
            </w:r>
            <w:r>
              <w:tab/>
            </w:r>
            <w:r>
              <w:tab/>
            </w:r>
            <w:r>
              <w:tab/>
            </w:r>
          </w:p>
        </w:tc>
      </w:tr>
    </w:tbl>
    <w:p w14:paraId="4C407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5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3F85E">
            <w:pPr>
              <w:pStyle w:val="10"/>
            </w:pPr>
            <w:r>
              <w:t>一级指标</w:t>
            </w:r>
          </w:p>
        </w:tc>
        <w:tc>
          <w:tcPr>
            <w:tcW w:w="2268" w:type="dxa"/>
            <w:vAlign w:val="center"/>
          </w:tcPr>
          <w:p w14:paraId="64D26D6B">
            <w:pPr>
              <w:pStyle w:val="10"/>
            </w:pPr>
            <w:r>
              <w:t>二级指标</w:t>
            </w:r>
          </w:p>
        </w:tc>
        <w:tc>
          <w:tcPr>
            <w:tcW w:w="2835" w:type="dxa"/>
            <w:vAlign w:val="center"/>
          </w:tcPr>
          <w:p w14:paraId="0A1F2647">
            <w:pPr>
              <w:pStyle w:val="10"/>
            </w:pPr>
            <w:r>
              <w:t>三级指标</w:t>
            </w:r>
          </w:p>
        </w:tc>
        <w:tc>
          <w:tcPr>
            <w:tcW w:w="5386" w:type="dxa"/>
            <w:vAlign w:val="center"/>
          </w:tcPr>
          <w:p w14:paraId="18B6EF09">
            <w:pPr>
              <w:pStyle w:val="10"/>
            </w:pPr>
            <w:r>
              <w:t>绩效指标描述</w:t>
            </w:r>
          </w:p>
        </w:tc>
        <w:tc>
          <w:tcPr>
            <w:tcW w:w="2268" w:type="dxa"/>
            <w:vAlign w:val="center"/>
          </w:tcPr>
          <w:p w14:paraId="4F8263A3">
            <w:pPr>
              <w:pStyle w:val="10"/>
            </w:pPr>
            <w:r>
              <w:t>指标值</w:t>
            </w:r>
          </w:p>
        </w:tc>
        <w:tc>
          <w:tcPr>
            <w:tcW w:w="1276" w:type="dxa"/>
            <w:vAlign w:val="center"/>
          </w:tcPr>
          <w:p w14:paraId="3ADAE342">
            <w:pPr>
              <w:pStyle w:val="10"/>
            </w:pPr>
            <w:r>
              <w:t>指标值确定依据</w:t>
            </w:r>
          </w:p>
        </w:tc>
      </w:tr>
      <w:tr w14:paraId="0EA7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52C29">
            <w:pPr>
              <w:pStyle w:val="13"/>
            </w:pPr>
            <w:r>
              <w:t>产出指标</w:t>
            </w:r>
          </w:p>
        </w:tc>
        <w:tc>
          <w:tcPr>
            <w:tcW w:w="2268" w:type="dxa"/>
            <w:vAlign w:val="center"/>
          </w:tcPr>
          <w:p w14:paraId="2C294890">
            <w:pPr>
              <w:pStyle w:val="12"/>
            </w:pPr>
            <w:r>
              <w:t>数量指标</w:t>
            </w:r>
          </w:p>
        </w:tc>
        <w:tc>
          <w:tcPr>
            <w:tcW w:w="2835" w:type="dxa"/>
            <w:vAlign w:val="center"/>
          </w:tcPr>
          <w:p w14:paraId="3631003E">
            <w:pPr>
              <w:pStyle w:val="12"/>
            </w:pPr>
            <w:r>
              <w:t>幼儿园维修改造</w:t>
            </w:r>
          </w:p>
        </w:tc>
        <w:tc>
          <w:tcPr>
            <w:tcW w:w="5386" w:type="dxa"/>
            <w:vAlign w:val="center"/>
          </w:tcPr>
          <w:p w14:paraId="2D139656">
            <w:pPr>
              <w:pStyle w:val="12"/>
            </w:pPr>
            <w:r>
              <w:t>外墙喷漆、围墙彩绘、PVC塑钢围栏</w:t>
            </w:r>
          </w:p>
        </w:tc>
        <w:tc>
          <w:tcPr>
            <w:tcW w:w="2268" w:type="dxa"/>
            <w:vAlign w:val="center"/>
          </w:tcPr>
          <w:p w14:paraId="202393B0">
            <w:pPr>
              <w:pStyle w:val="12"/>
            </w:pPr>
            <w:r>
              <w:t>1项</w:t>
            </w:r>
          </w:p>
        </w:tc>
        <w:tc>
          <w:tcPr>
            <w:tcW w:w="1276" w:type="dxa"/>
            <w:vAlign w:val="center"/>
          </w:tcPr>
          <w:p w14:paraId="441C76C4">
            <w:pPr>
              <w:pStyle w:val="12"/>
            </w:pPr>
            <w:r>
              <w:t>项目规划</w:t>
            </w:r>
          </w:p>
        </w:tc>
      </w:tr>
      <w:tr w14:paraId="0072EF15">
        <w:tblPrEx>
          <w:tblCellMar>
            <w:top w:w="0" w:type="dxa"/>
            <w:left w:w="108" w:type="dxa"/>
            <w:bottom w:w="0" w:type="dxa"/>
            <w:right w:w="108" w:type="dxa"/>
          </w:tblCellMar>
        </w:tblPrEx>
        <w:trPr>
          <w:trHeight w:val="397" w:hRule="atLeast"/>
          <w:jc w:val="center"/>
        </w:trPr>
        <w:tc>
          <w:tcPr>
            <w:tcW w:w="1276" w:type="dxa"/>
            <w:vMerge w:val="continue"/>
            <w:vAlign w:val="center"/>
          </w:tcPr>
          <w:p w14:paraId="3EDD2295"/>
        </w:tc>
        <w:tc>
          <w:tcPr>
            <w:tcW w:w="2268" w:type="dxa"/>
            <w:vAlign w:val="center"/>
          </w:tcPr>
          <w:p w14:paraId="6AD05764">
            <w:pPr>
              <w:pStyle w:val="12"/>
            </w:pPr>
            <w:r>
              <w:t>质量指标</w:t>
            </w:r>
          </w:p>
        </w:tc>
        <w:tc>
          <w:tcPr>
            <w:tcW w:w="2835" w:type="dxa"/>
            <w:vAlign w:val="center"/>
          </w:tcPr>
          <w:p w14:paraId="0C007E95">
            <w:pPr>
              <w:pStyle w:val="12"/>
            </w:pPr>
            <w:r>
              <w:t>工程实施验收合格率</w:t>
            </w:r>
          </w:p>
        </w:tc>
        <w:tc>
          <w:tcPr>
            <w:tcW w:w="5386" w:type="dxa"/>
            <w:vAlign w:val="center"/>
          </w:tcPr>
          <w:p w14:paraId="24FE8C22">
            <w:pPr>
              <w:pStyle w:val="12"/>
            </w:pPr>
            <w:r>
              <w:t>申报程序的合规，项目实施及资金使用符合项目规划</w:t>
            </w:r>
          </w:p>
        </w:tc>
        <w:tc>
          <w:tcPr>
            <w:tcW w:w="2268" w:type="dxa"/>
            <w:vAlign w:val="center"/>
          </w:tcPr>
          <w:p w14:paraId="4AE541F1">
            <w:pPr>
              <w:pStyle w:val="12"/>
            </w:pPr>
            <w:r>
              <w:t>≥98%</w:t>
            </w:r>
          </w:p>
        </w:tc>
        <w:tc>
          <w:tcPr>
            <w:tcW w:w="1276" w:type="dxa"/>
            <w:vAlign w:val="center"/>
          </w:tcPr>
          <w:p w14:paraId="6FEF73A5">
            <w:pPr>
              <w:pStyle w:val="12"/>
            </w:pPr>
            <w:r>
              <w:t>项目规划</w:t>
            </w:r>
          </w:p>
        </w:tc>
      </w:tr>
      <w:tr w14:paraId="7024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B8CEF"/>
        </w:tc>
        <w:tc>
          <w:tcPr>
            <w:tcW w:w="2268" w:type="dxa"/>
            <w:vAlign w:val="center"/>
          </w:tcPr>
          <w:p w14:paraId="181B6A43">
            <w:pPr>
              <w:pStyle w:val="12"/>
            </w:pPr>
            <w:r>
              <w:t>时效指标</w:t>
            </w:r>
          </w:p>
        </w:tc>
        <w:tc>
          <w:tcPr>
            <w:tcW w:w="2835" w:type="dxa"/>
            <w:vAlign w:val="center"/>
          </w:tcPr>
          <w:p w14:paraId="65E0968E">
            <w:pPr>
              <w:pStyle w:val="12"/>
            </w:pPr>
            <w:r>
              <w:t>资金支付率</w:t>
            </w:r>
          </w:p>
        </w:tc>
        <w:tc>
          <w:tcPr>
            <w:tcW w:w="5386" w:type="dxa"/>
            <w:vAlign w:val="center"/>
          </w:tcPr>
          <w:p w14:paraId="7DD207AF">
            <w:pPr>
              <w:pStyle w:val="12"/>
            </w:pPr>
            <w:r>
              <w:t>按照序时进度完成资金支付</w:t>
            </w:r>
          </w:p>
        </w:tc>
        <w:tc>
          <w:tcPr>
            <w:tcW w:w="2268" w:type="dxa"/>
            <w:vAlign w:val="center"/>
          </w:tcPr>
          <w:p w14:paraId="48AD3516">
            <w:pPr>
              <w:pStyle w:val="12"/>
            </w:pPr>
            <w:r>
              <w:t>≥98%</w:t>
            </w:r>
          </w:p>
        </w:tc>
        <w:tc>
          <w:tcPr>
            <w:tcW w:w="1276" w:type="dxa"/>
            <w:vAlign w:val="center"/>
          </w:tcPr>
          <w:p w14:paraId="4EBB045B">
            <w:pPr>
              <w:pStyle w:val="12"/>
            </w:pPr>
            <w:r>
              <w:t>项目规划</w:t>
            </w:r>
          </w:p>
        </w:tc>
      </w:tr>
      <w:tr w14:paraId="5DBB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DC7CB"/>
        </w:tc>
        <w:tc>
          <w:tcPr>
            <w:tcW w:w="2268" w:type="dxa"/>
            <w:vAlign w:val="center"/>
          </w:tcPr>
          <w:p w14:paraId="5C9F8F40">
            <w:pPr>
              <w:pStyle w:val="12"/>
            </w:pPr>
            <w:r>
              <w:t>成本指标</w:t>
            </w:r>
          </w:p>
        </w:tc>
        <w:tc>
          <w:tcPr>
            <w:tcW w:w="2835" w:type="dxa"/>
            <w:vAlign w:val="center"/>
          </w:tcPr>
          <w:p w14:paraId="490AA318">
            <w:pPr>
              <w:pStyle w:val="12"/>
            </w:pPr>
            <w:r>
              <w:t>项目成本控制情况</w:t>
            </w:r>
          </w:p>
        </w:tc>
        <w:tc>
          <w:tcPr>
            <w:tcW w:w="5386" w:type="dxa"/>
            <w:vAlign w:val="center"/>
          </w:tcPr>
          <w:p w14:paraId="67D881B6">
            <w:pPr>
              <w:pStyle w:val="12"/>
            </w:pPr>
            <w:r>
              <w:t>严格按照招标价格及审计额进行</w:t>
            </w:r>
          </w:p>
        </w:tc>
        <w:tc>
          <w:tcPr>
            <w:tcW w:w="2268" w:type="dxa"/>
            <w:vAlign w:val="center"/>
          </w:tcPr>
          <w:p w14:paraId="4A4E9B8E">
            <w:pPr>
              <w:pStyle w:val="12"/>
            </w:pPr>
            <w:r>
              <w:t>221700元</w:t>
            </w:r>
          </w:p>
        </w:tc>
        <w:tc>
          <w:tcPr>
            <w:tcW w:w="1276" w:type="dxa"/>
            <w:vAlign w:val="center"/>
          </w:tcPr>
          <w:p w14:paraId="0A141599">
            <w:pPr>
              <w:pStyle w:val="12"/>
            </w:pPr>
            <w:r>
              <w:t>项目规划</w:t>
            </w:r>
          </w:p>
        </w:tc>
      </w:tr>
      <w:tr w14:paraId="05D5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5DCD2">
            <w:pPr>
              <w:pStyle w:val="13"/>
            </w:pPr>
            <w:r>
              <w:t>效益指标</w:t>
            </w:r>
          </w:p>
        </w:tc>
        <w:tc>
          <w:tcPr>
            <w:tcW w:w="2268" w:type="dxa"/>
            <w:vAlign w:val="center"/>
          </w:tcPr>
          <w:p w14:paraId="102BF567">
            <w:pPr>
              <w:pStyle w:val="12"/>
            </w:pPr>
            <w:r>
              <w:t>可持续影响指标</w:t>
            </w:r>
          </w:p>
        </w:tc>
        <w:tc>
          <w:tcPr>
            <w:tcW w:w="2835" w:type="dxa"/>
            <w:vAlign w:val="center"/>
          </w:tcPr>
          <w:p w14:paraId="53EBB125">
            <w:pPr>
              <w:pStyle w:val="12"/>
            </w:pPr>
            <w:r>
              <w:t>学校日常运转</w:t>
            </w:r>
          </w:p>
        </w:tc>
        <w:tc>
          <w:tcPr>
            <w:tcW w:w="5386" w:type="dxa"/>
            <w:vAlign w:val="center"/>
          </w:tcPr>
          <w:p w14:paraId="25716C38">
            <w:pPr>
              <w:pStyle w:val="12"/>
            </w:pPr>
            <w:r>
              <w:t>学生受教育年限</w:t>
            </w:r>
          </w:p>
        </w:tc>
        <w:tc>
          <w:tcPr>
            <w:tcW w:w="2268" w:type="dxa"/>
            <w:vAlign w:val="center"/>
          </w:tcPr>
          <w:p w14:paraId="06904341">
            <w:pPr>
              <w:pStyle w:val="12"/>
            </w:pPr>
            <w:r>
              <w:t>3年</w:t>
            </w:r>
          </w:p>
        </w:tc>
        <w:tc>
          <w:tcPr>
            <w:tcW w:w="1276" w:type="dxa"/>
            <w:vAlign w:val="center"/>
          </w:tcPr>
          <w:p w14:paraId="0C0213D0">
            <w:pPr>
              <w:pStyle w:val="12"/>
            </w:pPr>
            <w:r>
              <w:t>项目规划</w:t>
            </w:r>
          </w:p>
        </w:tc>
      </w:tr>
      <w:tr w14:paraId="3D46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90DA4">
            <w:pPr>
              <w:pStyle w:val="13"/>
            </w:pPr>
            <w:r>
              <w:t>满意度指标</w:t>
            </w:r>
          </w:p>
        </w:tc>
        <w:tc>
          <w:tcPr>
            <w:tcW w:w="2268" w:type="dxa"/>
            <w:vAlign w:val="center"/>
          </w:tcPr>
          <w:p w14:paraId="72E34865">
            <w:pPr>
              <w:pStyle w:val="12"/>
            </w:pPr>
            <w:r>
              <w:t>服务对象满意度指标</w:t>
            </w:r>
          </w:p>
        </w:tc>
        <w:tc>
          <w:tcPr>
            <w:tcW w:w="2835" w:type="dxa"/>
            <w:vAlign w:val="center"/>
          </w:tcPr>
          <w:p w14:paraId="3A38D2E1">
            <w:pPr>
              <w:pStyle w:val="12"/>
            </w:pPr>
            <w:r>
              <w:t>学生、教师及家长对学校教学环境满意度情况</w:t>
            </w:r>
          </w:p>
        </w:tc>
        <w:tc>
          <w:tcPr>
            <w:tcW w:w="5386" w:type="dxa"/>
            <w:vAlign w:val="center"/>
          </w:tcPr>
          <w:p w14:paraId="04F2328F">
            <w:pPr>
              <w:pStyle w:val="12"/>
            </w:pPr>
            <w:r>
              <w:t>学生、教师及家长对学校教学环境满意度情况</w:t>
            </w:r>
          </w:p>
        </w:tc>
        <w:tc>
          <w:tcPr>
            <w:tcW w:w="2268" w:type="dxa"/>
            <w:vAlign w:val="center"/>
          </w:tcPr>
          <w:p w14:paraId="33D3E7D6">
            <w:pPr>
              <w:pStyle w:val="12"/>
            </w:pPr>
            <w:r>
              <w:t>≥95%</w:t>
            </w:r>
          </w:p>
        </w:tc>
        <w:tc>
          <w:tcPr>
            <w:tcW w:w="1276" w:type="dxa"/>
            <w:vAlign w:val="center"/>
          </w:tcPr>
          <w:p w14:paraId="28BCCB29">
            <w:pPr>
              <w:pStyle w:val="12"/>
            </w:pPr>
            <w:r>
              <w:t>调查问卷</w:t>
            </w:r>
          </w:p>
        </w:tc>
      </w:tr>
    </w:tbl>
    <w:p w14:paraId="0AD69DB8">
      <w:pPr>
        <w:sectPr>
          <w:pgSz w:w="16840" w:h="11900" w:orient="landscape"/>
          <w:pgMar w:top="1361" w:right="1020" w:bottom="1134" w:left="1020" w:header="720" w:footer="720" w:gutter="0"/>
          <w:cols w:space="720" w:num="1"/>
        </w:sectPr>
      </w:pPr>
    </w:p>
    <w:p w14:paraId="0BBD6474">
      <w:pPr>
        <w:spacing w:before="0" w:after="0"/>
        <w:ind w:firstLine="560"/>
        <w:jc w:val="left"/>
        <w:outlineLvl w:val="9"/>
      </w:pPr>
      <w:r>
        <w:rPr>
          <w:rFonts w:ascii="方正仿宋_GBK" w:hAnsi="方正仿宋_GBK" w:eastAsia="方正仿宋_GBK" w:cs="方正仿宋_GBK"/>
          <w:b/>
          <w:color w:val="000000"/>
          <w:sz w:val="28"/>
        </w:rPr>
        <w:t>9、冀财教[2025]147号/省级/2026年义教补助经费/千户营校区毛尔寨小学公用经费绩效目标表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E3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CC509">
            <w:pPr>
              <w:pStyle w:val="11"/>
            </w:pPr>
            <w:r>
              <w:t>单位：万元</w:t>
            </w:r>
          </w:p>
        </w:tc>
      </w:tr>
      <w:tr w14:paraId="6F7D1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68ED8">
            <w:pPr>
              <w:pStyle w:val="10"/>
            </w:pPr>
            <w:r>
              <w:t>项目编码</w:t>
            </w:r>
          </w:p>
        </w:tc>
        <w:tc>
          <w:tcPr>
            <w:tcW w:w="5103" w:type="dxa"/>
            <w:gridSpan w:val="2"/>
            <w:vAlign w:val="center"/>
          </w:tcPr>
          <w:p w14:paraId="3C09C2D1">
            <w:pPr>
              <w:pStyle w:val="12"/>
            </w:pPr>
            <w:r>
              <w:t>13052526P00000410389R</w:t>
            </w:r>
          </w:p>
        </w:tc>
        <w:tc>
          <w:tcPr>
            <w:tcW w:w="2835" w:type="dxa"/>
            <w:vAlign w:val="center"/>
          </w:tcPr>
          <w:p w14:paraId="57ACD1FB">
            <w:pPr>
              <w:pStyle w:val="10"/>
            </w:pPr>
            <w:r>
              <w:t>项目名称</w:t>
            </w:r>
          </w:p>
        </w:tc>
        <w:tc>
          <w:tcPr>
            <w:tcW w:w="6095" w:type="dxa"/>
            <w:gridSpan w:val="3"/>
            <w:vAlign w:val="center"/>
          </w:tcPr>
          <w:p w14:paraId="42F34121">
            <w:pPr>
              <w:pStyle w:val="12"/>
            </w:pPr>
            <w:r>
              <w:t>冀财教[2025]147号/省级/2026年义教补助经费/千户营校区毛尔寨小学公用经费</w:t>
            </w:r>
          </w:p>
        </w:tc>
      </w:tr>
      <w:tr w14:paraId="6D341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18884">
            <w:pPr>
              <w:pStyle w:val="10"/>
            </w:pPr>
            <w:r>
              <w:t>预算规模及资金用途</w:t>
            </w:r>
          </w:p>
        </w:tc>
        <w:tc>
          <w:tcPr>
            <w:tcW w:w="2268" w:type="dxa"/>
            <w:vAlign w:val="center"/>
          </w:tcPr>
          <w:p w14:paraId="1E2DFE49">
            <w:pPr>
              <w:pStyle w:val="10"/>
            </w:pPr>
            <w:r>
              <w:t>预算数</w:t>
            </w:r>
          </w:p>
        </w:tc>
        <w:tc>
          <w:tcPr>
            <w:tcW w:w="2835" w:type="dxa"/>
            <w:vAlign w:val="center"/>
          </w:tcPr>
          <w:p w14:paraId="3DD28657">
            <w:pPr>
              <w:pStyle w:val="12"/>
            </w:pPr>
            <w:r>
              <w:t>14.43</w:t>
            </w:r>
          </w:p>
        </w:tc>
        <w:tc>
          <w:tcPr>
            <w:tcW w:w="2835" w:type="dxa"/>
            <w:vAlign w:val="center"/>
          </w:tcPr>
          <w:p w14:paraId="1A2BE9A1">
            <w:pPr>
              <w:pStyle w:val="10"/>
            </w:pPr>
            <w:r>
              <w:t>其中：财政    资金</w:t>
            </w:r>
          </w:p>
        </w:tc>
        <w:tc>
          <w:tcPr>
            <w:tcW w:w="2551" w:type="dxa"/>
            <w:vAlign w:val="center"/>
          </w:tcPr>
          <w:p w14:paraId="56D0BCA4">
            <w:pPr>
              <w:pStyle w:val="12"/>
            </w:pPr>
            <w:r>
              <w:t>14.43</w:t>
            </w:r>
          </w:p>
        </w:tc>
        <w:tc>
          <w:tcPr>
            <w:tcW w:w="2268" w:type="dxa"/>
            <w:vAlign w:val="center"/>
          </w:tcPr>
          <w:p w14:paraId="32915C01">
            <w:pPr>
              <w:pStyle w:val="10"/>
            </w:pPr>
            <w:r>
              <w:t>其他资金</w:t>
            </w:r>
          </w:p>
        </w:tc>
        <w:tc>
          <w:tcPr>
            <w:tcW w:w="1276" w:type="dxa"/>
            <w:vAlign w:val="center"/>
          </w:tcPr>
          <w:p w14:paraId="0F12CE63">
            <w:pPr>
              <w:pStyle w:val="12"/>
            </w:pPr>
            <w:r>
              <w:t xml:space="preserve"> </w:t>
            </w:r>
          </w:p>
        </w:tc>
      </w:tr>
      <w:tr w14:paraId="09B72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4A457"/>
        </w:tc>
        <w:tc>
          <w:tcPr>
            <w:tcW w:w="14033" w:type="dxa"/>
            <w:gridSpan w:val="6"/>
            <w:vAlign w:val="center"/>
          </w:tcPr>
          <w:p w14:paraId="24A3C145">
            <w:pPr>
              <w:pStyle w:val="12"/>
            </w:pPr>
            <w:r>
              <w:t>为保证学校正常运转和改善办学条件。</w:t>
            </w:r>
          </w:p>
        </w:tc>
      </w:tr>
      <w:tr w14:paraId="7030B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7E923">
            <w:pPr>
              <w:pStyle w:val="10"/>
            </w:pPr>
            <w:r>
              <w:t>资金支出计划（%）</w:t>
            </w:r>
          </w:p>
        </w:tc>
        <w:tc>
          <w:tcPr>
            <w:tcW w:w="5103" w:type="dxa"/>
            <w:gridSpan w:val="2"/>
            <w:vAlign w:val="center"/>
          </w:tcPr>
          <w:p w14:paraId="1CA96C37">
            <w:pPr>
              <w:pStyle w:val="10"/>
            </w:pPr>
            <w:r>
              <w:t>3月底</w:t>
            </w:r>
          </w:p>
        </w:tc>
        <w:tc>
          <w:tcPr>
            <w:tcW w:w="2835" w:type="dxa"/>
            <w:vAlign w:val="center"/>
          </w:tcPr>
          <w:p w14:paraId="5A43CBCD">
            <w:pPr>
              <w:pStyle w:val="10"/>
            </w:pPr>
            <w:r>
              <w:t>6月底</w:t>
            </w:r>
          </w:p>
        </w:tc>
        <w:tc>
          <w:tcPr>
            <w:tcW w:w="2551" w:type="dxa"/>
            <w:vAlign w:val="center"/>
          </w:tcPr>
          <w:p w14:paraId="21132AD9">
            <w:pPr>
              <w:pStyle w:val="10"/>
            </w:pPr>
            <w:r>
              <w:t>10月底</w:t>
            </w:r>
          </w:p>
        </w:tc>
        <w:tc>
          <w:tcPr>
            <w:tcW w:w="3544" w:type="dxa"/>
            <w:gridSpan w:val="2"/>
            <w:vAlign w:val="center"/>
          </w:tcPr>
          <w:p w14:paraId="4A566606">
            <w:pPr>
              <w:pStyle w:val="10"/>
            </w:pPr>
            <w:r>
              <w:t>12月底</w:t>
            </w:r>
          </w:p>
        </w:tc>
      </w:tr>
      <w:tr w14:paraId="6CE8D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37F2B"/>
        </w:tc>
        <w:tc>
          <w:tcPr>
            <w:tcW w:w="5103" w:type="dxa"/>
            <w:gridSpan w:val="2"/>
            <w:vAlign w:val="center"/>
          </w:tcPr>
          <w:p w14:paraId="46BDF84A">
            <w:pPr>
              <w:pStyle w:val="13"/>
            </w:pPr>
            <w:r>
              <w:t>25%</w:t>
            </w:r>
          </w:p>
        </w:tc>
        <w:tc>
          <w:tcPr>
            <w:tcW w:w="2835" w:type="dxa"/>
            <w:vAlign w:val="center"/>
          </w:tcPr>
          <w:p w14:paraId="67B36E48">
            <w:pPr>
              <w:pStyle w:val="13"/>
            </w:pPr>
            <w:r>
              <w:t>50%</w:t>
            </w:r>
          </w:p>
        </w:tc>
        <w:tc>
          <w:tcPr>
            <w:tcW w:w="2551" w:type="dxa"/>
            <w:vAlign w:val="center"/>
          </w:tcPr>
          <w:p w14:paraId="112C41F5">
            <w:pPr>
              <w:pStyle w:val="13"/>
            </w:pPr>
            <w:r>
              <w:t>75%</w:t>
            </w:r>
          </w:p>
        </w:tc>
        <w:tc>
          <w:tcPr>
            <w:tcW w:w="3544" w:type="dxa"/>
            <w:gridSpan w:val="2"/>
            <w:vAlign w:val="center"/>
          </w:tcPr>
          <w:p w14:paraId="45046C27">
            <w:pPr>
              <w:pStyle w:val="13"/>
            </w:pPr>
            <w:r>
              <w:t>100%</w:t>
            </w:r>
          </w:p>
        </w:tc>
      </w:tr>
      <w:tr w14:paraId="009BC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699C3">
            <w:pPr>
              <w:pStyle w:val="10"/>
            </w:pPr>
            <w:r>
              <w:t>绩效目标</w:t>
            </w:r>
          </w:p>
        </w:tc>
        <w:tc>
          <w:tcPr>
            <w:tcW w:w="14033" w:type="dxa"/>
            <w:gridSpan w:val="6"/>
            <w:vAlign w:val="center"/>
          </w:tcPr>
          <w:p w14:paraId="07E3CA1A">
            <w:pPr>
              <w:pStyle w:val="12"/>
            </w:pPr>
            <w:r>
              <w:t>1.为保证学校正常运转和改善办学条件。</w:t>
            </w:r>
          </w:p>
          <w:p w14:paraId="38F29CE9">
            <w:pPr>
              <w:pStyle w:val="12"/>
            </w:pPr>
            <w:r>
              <w:t>2.按拨款序时进度完成经费拨付和支出。</w:t>
            </w:r>
          </w:p>
        </w:tc>
      </w:tr>
    </w:tbl>
    <w:p w14:paraId="2B1AE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0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66597">
            <w:pPr>
              <w:pStyle w:val="10"/>
            </w:pPr>
            <w:r>
              <w:t>一级指标</w:t>
            </w:r>
          </w:p>
        </w:tc>
        <w:tc>
          <w:tcPr>
            <w:tcW w:w="2268" w:type="dxa"/>
            <w:vAlign w:val="center"/>
          </w:tcPr>
          <w:p w14:paraId="686955CD">
            <w:pPr>
              <w:pStyle w:val="10"/>
            </w:pPr>
            <w:r>
              <w:t>二级指标</w:t>
            </w:r>
          </w:p>
        </w:tc>
        <w:tc>
          <w:tcPr>
            <w:tcW w:w="2835" w:type="dxa"/>
            <w:vAlign w:val="center"/>
          </w:tcPr>
          <w:p w14:paraId="2D218BFF">
            <w:pPr>
              <w:pStyle w:val="10"/>
            </w:pPr>
            <w:r>
              <w:t>三级指标</w:t>
            </w:r>
          </w:p>
        </w:tc>
        <w:tc>
          <w:tcPr>
            <w:tcW w:w="5386" w:type="dxa"/>
            <w:vAlign w:val="center"/>
          </w:tcPr>
          <w:p w14:paraId="5BFC33E5">
            <w:pPr>
              <w:pStyle w:val="10"/>
            </w:pPr>
            <w:r>
              <w:t>绩效指标描述</w:t>
            </w:r>
          </w:p>
        </w:tc>
        <w:tc>
          <w:tcPr>
            <w:tcW w:w="2268" w:type="dxa"/>
            <w:vAlign w:val="center"/>
          </w:tcPr>
          <w:p w14:paraId="38A25416">
            <w:pPr>
              <w:pStyle w:val="10"/>
            </w:pPr>
            <w:r>
              <w:t>指标值</w:t>
            </w:r>
          </w:p>
        </w:tc>
        <w:tc>
          <w:tcPr>
            <w:tcW w:w="1276" w:type="dxa"/>
            <w:vAlign w:val="center"/>
          </w:tcPr>
          <w:p w14:paraId="29D02689">
            <w:pPr>
              <w:pStyle w:val="10"/>
            </w:pPr>
            <w:r>
              <w:t>指标值确定依据</w:t>
            </w:r>
          </w:p>
        </w:tc>
      </w:tr>
      <w:tr w14:paraId="5ECA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05B51">
            <w:pPr>
              <w:pStyle w:val="13"/>
            </w:pPr>
            <w:r>
              <w:t>产出指标</w:t>
            </w:r>
          </w:p>
        </w:tc>
        <w:tc>
          <w:tcPr>
            <w:tcW w:w="2268" w:type="dxa"/>
            <w:vAlign w:val="center"/>
          </w:tcPr>
          <w:p w14:paraId="1B1FF3DB">
            <w:pPr>
              <w:pStyle w:val="12"/>
            </w:pPr>
            <w:r>
              <w:t>数量指标</w:t>
            </w:r>
          </w:p>
        </w:tc>
        <w:tc>
          <w:tcPr>
            <w:tcW w:w="2835" w:type="dxa"/>
            <w:vAlign w:val="center"/>
          </w:tcPr>
          <w:p w14:paraId="0078D373">
            <w:pPr>
              <w:pStyle w:val="12"/>
            </w:pPr>
            <w:r>
              <w:t>就读学生数</w:t>
            </w:r>
          </w:p>
        </w:tc>
        <w:tc>
          <w:tcPr>
            <w:tcW w:w="5386" w:type="dxa"/>
            <w:vAlign w:val="center"/>
          </w:tcPr>
          <w:p w14:paraId="14EA871B">
            <w:pPr>
              <w:pStyle w:val="12"/>
            </w:pPr>
            <w:r>
              <w:t>辐射区域内适龄学生人数</w:t>
            </w:r>
          </w:p>
        </w:tc>
        <w:tc>
          <w:tcPr>
            <w:tcW w:w="2268" w:type="dxa"/>
            <w:vAlign w:val="center"/>
          </w:tcPr>
          <w:p w14:paraId="43FECF05">
            <w:pPr>
              <w:pStyle w:val="12"/>
            </w:pPr>
            <w:r>
              <w:t>397人</w:t>
            </w:r>
          </w:p>
        </w:tc>
        <w:tc>
          <w:tcPr>
            <w:tcW w:w="1276" w:type="dxa"/>
            <w:vAlign w:val="center"/>
          </w:tcPr>
          <w:p w14:paraId="090E16DF">
            <w:pPr>
              <w:pStyle w:val="12"/>
            </w:pPr>
            <w:r>
              <w:t>城乡义务教育公用经费管理办法</w:t>
            </w:r>
          </w:p>
        </w:tc>
      </w:tr>
      <w:tr w14:paraId="230D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CA49E"/>
        </w:tc>
        <w:tc>
          <w:tcPr>
            <w:tcW w:w="2268" w:type="dxa"/>
            <w:vAlign w:val="center"/>
          </w:tcPr>
          <w:p w14:paraId="0C0A6009">
            <w:pPr>
              <w:pStyle w:val="12"/>
            </w:pPr>
            <w:r>
              <w:t>质量指标</w:t>
            </w:r>
          </w:p>
        </w:tc>
        <w:tc>
          <w:tcPr>
            <w:tcW w:w="2835" w:type="dxa"/>
            <w:vAlign w:val="center"/>
          </w:tcPr>
          <w:p w14:paraId="58E7A2CA">
            <w:pPr>
              <w:pStyle w:val="12"/>
            </w:pPr>
            <w:r>
              <w:t>预算执行率</w:t>
            </w:r>
          </w:p>
        </w:tc>
        <w:tc>
          <w:tcPr>
            <w:tcW w:w="5386" w:type="dxa"/>
            <w:vAlign w:val="center"/>
          </w:tcPr>
          <w:p w14:paraId="0F1DD7F9">
            <w:pPr>
              <w:pStyle w:val="12"/>
            </w:pPr>
            <w:r>
              <w:t>预算执行率≥98%</w:t>
            </w:r>
          </w:p>
        </w:tc>
        <w:tc>
          <w:tcPr>
            <w:tcW w:w="2268" w:type="dxa"/>
            <w:vAlign w:val="center"/>
          </w:tcPr>
          <w:p w14:paraId="37E4928A">
            <w:pPr>
              <w:pStyle w:val="12"/>
            </w:pPr>
            <w:r>
              <w:t>≥98%</w:t>
            </w:r>
          </w:p>
        </w:tc>
        <w:tc>
          <w:tcPr>
            <w:tcW w:w="1276" w:type="dxa"/>
            <w:vAlign w:val="center"/>
          </w:tcPr>
          <w:p w14:paraId="25AFB45E">
            <w:pPr>
              <w:pStyle w:val="12"/>
            </w:pPr>
            <w:r>
              <w:t>城乡义务教育公用经费管理办法</w:t>
            </w:r>
          </w:p>
        </w:tc>
      </w:tr>
      <w:tr w14:paraId="71CF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5F849"/>
        </w:tc>
        <w:tc>
          <w:tcPr>
            <w:tcW w:w="2268" w:type="dxa"/>
            <w:vAlign w:val="center"/>
          </w:tcPr>
          <w:p w14:paraId="459619F0">
            <w:pPr>
              <w:pStyle w:val="12"/>
            </w:pPr>
            <w:r>
              <w:t>时效指标</w:t>
            </w:r>
          </w:p>
        </w:tc>
        <w:tc>
          <w:tcPr>
            <w:tcW w:w="2835" w:type="dxa"/>
            <w:vAlign w:val="center"/>
          </w:tcPr>
          <w:p w14:paraId="79AC5253">
            <w:pPr>
              <w:pStyle w:val="12"/>
            </w:pPr>
            <w:r>
              <w:t>义教经费支付完成率</w:t>
            </w:r>
          </w:p>
        </w:tc>
        <w:tc>
          <w:tcPr>
            <w:tcW w:w="5386" w:type="dxa"/>
            <w:vAlign w:val="center"/>
          </w:tcPr>
          <w:p w14:paraId="026D69C8">
            <w:pPr>
              <w:pStyle w:val="12"/>
            </w:pPr>
            <w:r>
              <w:t>按照序时进度完成资金支付</w:t>
            </w:r>
          </w:p>
        </w:tc>
        <w:tc>
          <w:tcPr>
            <w:tcW w:w="2268" w:type="dxa"/>
            <w:vAlign w:val="center"/>
          </w:tcPr>
          <w:p w14:paraId="590EFDC4">
            <w:pPr>
              <w:pStyle w:val="12"/>
            </w:pPr>
            <w:r>
              <w:t>≥98%</w:t>
            </w:r>
          </w:p>
        </w:tc>
        <w:tc>
          <w:tcPr>
            <w:tcW w:w="1276" w:type="dxa"/>
            <w:vAlign w:val="center"/>
          </w:tcPr>
          <w:p w14:paraId="407A5181">
            <w:pPr>
              <w:pStyle w:val="12"/>
            </w:pPr>
            <w:r>
              <w:t>城乡义务教育公用经费管理办法</w:t>
            </w:r>
          </w:p>
        </w:tc>
      </w:tr>
      <w:tr w14:paraId="1F72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190C7"/>
        </w:tc>
        <w:tc>
          <w:tcPr>
            <w:tcW w:w="2268" w:type="dxa"/>
            <w:vAlign w:val="center"/>
          </w:tcPr>
          <w:p w14:paraId="0C67B48F">
            <w:pPr>
              <w:pStyle w:val="12"/>
            </w:pPr>
            <w:r>
              <w:t>成本指标</w:t>
            </w:r>
          </w:p>
        </w:tc>
        <w:tc>
          <w:tcPr>
            <w:tcW w:w="2835" w:type="dxa"/>
            <w:vAlign w:val="center"/>
          </w:tcPr>
          <w:p w14:paraId="27488B9D">
            <w:pPr>
              <w:pStyle w:val="12"/>
            </w:pPr>
            <w:r>
              <w:t>生均拨款标准</w:t>
            </w:r>
          </w:p>
        </w:tc>
        <w:tc>
          <w:tcPr>
            <w:tcW w:w="5386" w:type="dxa"/>
            <w:vAlign w:val="center"/>
          </w:tcPr>
          <w:p w14:paraId="311F0EA8">
            <w:pPr>
              <w:pStyle w:val="12"/>
            </w:pPr>
            <w:r>
              <w:t>小学生公用经费生均小学720元，取暖费120元/生/年，随班就读学生补助7000元/生</w:t>
            </w:r>
          </w:p>
        </w:tc>
        <w:tc>
          <w:tcPr>
            <w:tcW w:w="2268" w:type="dxa"/>
            <w:vAlign w:val="center"/>
          </w:tcPr>
          <w:p w14:paraId="4C7D9A76">
            <w:pPr>
              <w:pStyle w:val="12"/>
            </w:pPr>
            <w:r>
              <w:t>≥840元</w:t>
            </w:r>
          </w:p>
        </w:tc>
        <w:tc>
          <w:tcPr>
            <w:tcW w:w="1276" w:type="dxa"/>
            <w:vAlign w:val="center"/>
          </w:tcPr>
          <w:p w14:paraId="1287FF4D">
            <w:pPr>
              <w:pStyle w:val="12"/>
            </w:pPr>
            <w:r>
              <w:t>城乡义务教育公用经费管理办法</w:t>
            </w:r>
          </w:p>
        </w:tc>
      </w:tr>
      <w:tr w14:paraId="2C81D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020B4">
            <w:pPr>
              <w:pStyle w:val="13"/>
            </w:pPr>
            <w:r>
              <w:t>效益指标</w:t>
            </w:r>
          </w:p>
        </w:tc>
        <w:tc>
          <w:tcPr>
            <w:tcW w:w="2268" w:type="dxa"/>
            <w:vAlign w:val="center"/>
          </w:tcPr>
          <w:p w14:paraId="4D08C3F4">
            <w:pPr>
              <w:pStyle w:val="12"/>
            </w:pPr>
            <w:r>
              <w:t>社会效益指标</w:t>
            </w:r>
          </w:p>
        </w:tc>
        <w:tc>
          <w:tcPr>
            <w:tcW w:w="2835" w:type="dxa"/>
            <w:vAlign w:val="center"/>
          </w:tcPr>
          <w:p w14:paraId="78FDC0C6">
            <w:pPr>
              <w:pStyle w:val="12"/>
            </w:pPr>
            <w:r>
              <w:t>学校运转得到提高</w:t>
            </w:r>
          </w:p>
        </w:tc>
        <w:tc>
          <w:tcPr>
            <w:tcW w:w="5386" w:type="dxa"/>
            <w:vAlign w:val="center"/>
          </w:tcPr>
          <w:p w14:paraId="3CC47F13">
            <w:pPr>
              <w:pStyle w:val="12"/>
            </w:pPr>
            <w:r>
              <w:t>学生受教育年限</w:t>
            </w:r>
          </w:p>
        </w:tc>
        <w:tc>
          <w:tcPr>
            <w:tcW w:w="2268" w:type="dxa"/>
            <w:vAlign w:val="center"/>
          </w:tcPr>
          <w:p w14:paraId="247B00CF">
            <w:pPr>
              <w:pStyle w:val="12"/>
            </w:pPr>
            <w:r>
              <w:t>6年</w:t>
            </w:r>
          </w:p>
        </w:tc>
        <w:tc>
          <w:tcPr>
            <w:tcW w:w="1276" w:type="dxa"/>
            <w:vAlign w:val="center"/>
          </w:tcPr>
          <w:p w14:paraId="4BF76806">
            <w:pPr>
              <w:pStyle w:val="12"/>
            </w:pPr>
            <w:r>
              <w:t>城乡义务教育公用经费管理办法</w:t>
            </w:r>
          </w:p>
        </w:tc>
      </w:tr>
      <w:tr w14:paraId="27EF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3F055">
            <w:pPr>
              <w:pStyle w:val="13"/>
            </w:pPr>
            <w:r>
              <w:t>满意度指标</w:t>
            </w:r>
          </w:p>
        </w:tc>
        <w:tc>
          <w:tcPr>
            <w:tcW w:w="2268" w:type="dxa"/>
            <w:vAlign w:val="center"/>
          </w:tcPr>
          <w:p w14:paraId="1463767F">
            <w:pPr>
              <w:pStyle w:val="12"/>
            </w:pPr>
            <w:r>
              <w:t>服务对象满意度指标</w:t>
            </w:r>
          </w:p>
        </w:tc>
        <w:tc>
          <w:tcPr>
            <w:tcW w:w="2835" w:type="dxa"/>
            <w:vAlign w:val="center"/>
          </w:tcPr>
          <w:p w14:paraId="7957A5FF">
            <w:pPr>
              <w:pStyle w:val="12"/>
            </w:pPr>
            <w:r>
              <w:t>服务对象满意度</w:t>
            </w:r>
          </w:p>
        </w:tc>
        <w:tc>
          <w:tcPr>
            <w:tcW w:w="5386" w:type="dxa"/>
            <w:vAlign w:val="center"/>
          </w:tcPr>
          <w:p w14:paraId="4BF8FF38">
            <w:pPr>
              <w:pStyle w:val="12"/>
            </w:pPr>
            <w:r>
              <w:t>学校老师和学生满意度</w:t>
            </w:r>
          </w:p>
        </w:tc>
        <w:tc>
          <w:tcPr>
            <w:tcW w:w="2268" w:type="dxa"/>
            <w:vAlign w:val="center"/>
          </w:tcPr>
          <w:p w14:paraId="50E1CE08">
            <w:pPr>
              <w:pStyle w:val="12"/>
            </w:pPr>
            <w:r>
              <w:t>≥95%</w:t>
            </w:r>
          </w:p>
        </w:tc>
        <w:tc>
          <w:tcPr>
            <w:tcW w:w="1276" w:type="dxa"/>
            <w:vAlign w:val="center"/>
          </w:tcPr>
          <w:p w14:paraId="200E6C49">
            <w:pPr>
              <w:pStyle w:val="12"/>
            </w:pPr>
            <w:r>
              <w:t>城乡义务教育公用经费管理办法</w:t>
            </w:r>
          </w:p>
        </w:tc>
      </w:tr>
    </w:tbl>
    <w:p w14:paraId="3AE432A1">
      <w:pPr>
        <w:sectPr>
          <w:pgSz w:w="16840" w:h="11900" w:orient="landscape"/>
          <w:pgMar w:top="1361" w:right="1020" w:bottom="1134" w:left="1020" w:header="720" w:footer="720" w:gutter="0"/>
          <w:cols w:space="720" w:num="1"/>
        </w:sectPr>
      </w:pPr>
    </w:p>
    <w:p w14:paraId="5BCDFDFD">
      <w:pPr>
        <w:spacing w:before="0" w:after="0"/>
        <w:ind w:firstLine="560"/>
        <w:jc w:val="left"/>
        <w:outlineLvl w:val="9"/>
      </w:pPr>
      <w:r>
        <w:rPr>
          <w:rFonts w:ascii="方正仿宋_GBK" w:hAnsi="方正仿宋_GBK" w:eastAsia="方正仿宋_GBK" w:cs="方正仿宋_GBK"/>
          <w:b/>
          <w:color w:val="000000"/>
          <w:sz w:val="28"/>
        </w:rPr>
        <w:t>10、冀财教[2025]147号/省级/2026年义教补助经费/千户营校区千户营小学公用经费绩效目标表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65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00CC3">
            <w:pPr>
              <w:pStyle w:val="11"/>
            </w:pPr>
            <w:r>
              <w:t>单位：万元</w:t>
            </w:r>
          </w:p>
        </w:tc>
      </w:tr>
      <w:tr w14:paraId="29705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888DA">
            <w:pPr>
              <w:pStyle w:val="10"/>
            </w:pPr>
            <w:r>
              <w:t>项目编码</w:t>
            </w:r>
          </w:p>
        </w:tc>
        <w:tc>
          <w:tcPr>
            <w:tcW w:w="5103" w:type="dxa"/>
            <w:gridSpan w:val="2"/>
            <w:vAlign w:val="center"/>
          </w:tcPr>
          <w:p w14:paraId="1709D09B">
            <w:pPr>
              <w:pStyle w:val="12"/>
            </w:pPr>
            <w:r>
              <w:t>13052526P00000410391Q</w:t>
            </w:r>
          </w:p>
        </w:tc>
        <w:tc>
          <w:tcPr>
            <w:tcW w:w="2835" w:type="dxa"/>
            <w:vAlign w:val="center"/>
          </w:tcPr>
          <w:p w14:paraId="7716F079">
            <w:pPr>
              <w:pStyle w:val="10"/>
            </w:pPr>
            <w:r>
              <w:t>项目名称</w:t>
            </w:r>
          </w:p>
        </w:tc>
        <w:tc>
          <w:tcPr>
            <w:tcW w:w="6095" w:type="dxa"/>
            <w:gridSpan w:val="3"/>
            <w:vAlign w:val="center"/>
          </w:tcPr>
          <w:p w14:paraId="34B1AB54">
            <w:pPr>
              <w:pStyle w:val="12"/>
            </w:pPr>
            <w:r>
              <w:t>冀财教[2025]147号/省级/2026年义教补助经费/千户营校区千户营小学公用经费</w:t>
            </w:r>
          </w:p>
        </w:tc>
      </w:tr>
      <w:tr w14:paraId="2258A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D8721">
            <w:pPr>
              <w:pStyle w:val="10"/>
            </w:pPr>
            <w:r>
              <w:t>预算规模及资金用途</w:t>
            </w:r>
          </w:p>
        </w:tc>
        <w:tc>
          <w:tcPr>
            <w:tcW w:w="2268" w:type="dxa"/>
            <w:vAlign w:val="center"/>
          </w:tcPr>
          <w:p w14:paraId="1292E96C">
            <w:pPr>
              <w:pStyle w:val="10"/>
            </w:pPr>
            <w:r>
              <w:t>预算数</w:t>
            </w:r>
          </w:p>
        </w:tc>
        <w:tc>
          <w:tcPr>
            <w:tcW w:w="2835" w:type="dxa"/>
            <w:vAlign w:val="center"/>
          </w:tcPr>
          <w:p w14:paraId="2C8A4B0D">
            <w:pPr>
              <w:pStyle w:val="12"/>
            </w:pPr>
            <w:r>
              <w:t>40.51</w:t>
            </w:r>
          </w:p>
        </w:tc>
        <w:tc>
          <w:tcPr>
            <w:tcW w:w="2835" w:type="dxa"/>
            <w:vAlign w:val="center"/>
          </w:tcPr>
          <w:p w14:paraId="42D7C5D6">
            <w:pPr>
              <w:pStyle w:val="10"/>
            </w:pPr>
            <w:r>
              <w:t>其中：财政    资金</w:t>
            </w:r>
          </w:p>
        </w:tc>
        <w:tc>
          <w:tcPr>
            <w:tcW w:w="2551" w:type="dxa"/>
            <w:vAlign w:val="center"/>
          </w:tcPr>
          <w:p w14:paraId="172B2375">
            <w:pPr>
              <w:pStyle w:val="12"/>
            </w:pPr>
            <w:r>
              <w:t>40.51</w:t>
            </w:r>
          </w:p>
        </w:tc>
        <w:tc>
          <w:tcPr>
            <w:tcW w:w="2268" w:type="dxa"/>
            <w:vAlign w:val="center"/>
          </w:tcPr>
          <w:p w14:paraId="6325D483">
            <w:pPr>
              <w:pStyle w:val="10"/>
            </w:pPr>
            <w:r>
              <w:t>其他资金</w:t>
            </w:r>
          </w:p>
        </w:tc>
        <w:tc>
          <w:tcPr>
            <w:tcW w:w="1276" w:type="dxa"/>
            <w:vAlign w:val="center"/>
          </w:tcPr>
          <w:p w14:paraId="2FBFF76F">
            <w:pPr>
              <w:pStyle w:val="12"/>
            </w:pPr>
            <w:r>
              <w:t xml:space="preserve"> </w:t>
            </w:r>
          </w:p>
        </w:tc>
      </w:tr>
      <w:tr w14:paraId="0BA5A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9F76D"/>
        </w:tc>
        <w:tc>
          <w:tcPr>
            <w:tcW w:w="14033" w:type="dxa"/>
            <w:gridSpan w:val="6"/>
            <w:vAlign w:val="center"/>
          </w:tcPr>
          <w:p w14:paraId="2B00DF21">
            <w:pPr>
              <w:pStyle w:val="12"/>
            </w:pPr>
            <w:r>
              <w:t>保证学校正常运转和改善办学条件。</w:t>
            </w:r>
          </w:p>
        </w:tc>
      </w:tr>
      <w:tr w14:paraId="72751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53C2F">
            <w:pPr>
              <w:pStyle w:val="10"/>
            </w:pPr>
            <w:r>
              <w:t>资金支出计划（%）</w:t>
            </w:r>
          </w:p>
        </w:tc>
        <w:tc>
          <w:tcPr>
            <w:tcW w:w="5103" w:type="dxa"/>
            <w:gridSpan w:val="2"/>
            <w:vAlign w:val="center"/>
          </w:tcPr>
          <w:p w14:paraId="1C9B0A00">
            <w:pPr>
              <w:pStyle w:val="10"/>
            </w:pPr>
            <w:r>
              <w:t>3月底</w:t>
            </w:r>
          </w:p>
        </w:tc>
        <w:tc>
          <w:tcPr>
            <w:tcW w:w="2835" w:type="dxa"/>
            <w:vAlign w:val="center"/>
          </w:tcPr>
          <w:p w14:paraId="63229FD5">
            <w:pPr>
              <w:pStyle w:val="10"/>
            </w:pPr>
            <w:r>
              <w:t>6月底</w:t>
            </w:r>
          </w:p>
        </w:tc>
        <w:tc>
          <w:tcPr>
            <w:tcW w:w="2551" w:type="dxa"/>
            <w:vAlign w:val="center"/>
          </w:tcPr>
          <w:p w14:paraId="15143C72">
            <w:pPr>
              <w:pStyle w:val="10"/>
            </w:pPr>
            <w:r>
              <w:t>10月底</w:t>
            </w:r>
          </w:p>
        </w:tc>
        <w:tc>
          <w:tcPr>
            <w:tcW w:w="3544" w:type="dxa"/>
            <w:gridSpan w:val="2"/>
            <w:vAlign w:val="center"/>
          </w:tcPr>
          <w:p w14:paraId="42AC10D1">
            <w:pPr>
              <w:pStyle w:val="10"/>
            </w:pPr>
            <w:r>
              <w:t>12月底</w:t>
            </w:r>
          </w:p>
        </w:tc>
      </w:tr>
      <w:tr w14:paraId="0852D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1AA88"/>
        </w:tc>
        <w:tc>
          <w:tcPr>
            <w:tcW w:w="5103" w:type="dxa"/>
            <w:gridSpan w:val="2"/>
            <w:vAlign w:val="center"/>
          </w:tcPr>
          <w:p w14:paraId="57298C05">
            <w:pPr>
              <w:pStyle w:val="13"/>
            </w:pPr>
            <w:r>
              <w:t>25%</w:t>
            </w:r>
          </w:p>
        </w:tc>
        <w:tc>
          <w:tcPr>
            <w:tcW w:w="2835" w:type="dxa"/>
            <w:vAlign w:val="center"/>
          </w:tcPr>
          <w:p w14:paraId="20383125">
            <w:pPr>
              <w:pStyle w:val="13"/>
            </w:pPr>
            <w:r>
              <w:t>50%</w:t>
            </w:r>
          </w:p>
        </w:tc>
        <w:tc>
          <w:tcPr>
            <w:tcW w:w="2551" w:type="dxa"/>
            <w:vAlign w:val="center"/>
          </w:tcPr>
          <w:p w14:paraId="0F677480">
            <w:pPr>
              <w:pStyle w:val="13"/>
            </w:pPr>
            <w:r>
              <w:t>75%</w:t>
            </w:r>
          </w:p>
        </w:tc>
        <w:tc>
          <w:tcPr>
            <w:tcW w:w="3544" w:type="dxa"/>
            <w:gridSpan w:val="2"/>
            <w:vAlign w:val="center"/>
          </w:tcPr>
          <w:p w14:paraId="4F4FA537">
            <w:pPr>
              <w:pStyle w:val="13"/>
            </w:pPr>
            <w:r>
              <w:t>100%</w:t>
            </w:r>
          </w:p>
        </w:tc>
      </w:tr>
      <w:tr w14:paraId="3ECC7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6D973">
            <w:pPr>
              <w:pStyle w:val="10"/>
            </w:pPr>
            <w:r>
              <w:t>绩效目标</w:t>
            </w:r>
          </w:p>
        </w:tc>
        <w:tc>
          <w:tcPr>
            <w:tcW w:w="14033" w:type="dxa"/>
            <w:gridSpan w:val="6"/>
            <w:vAlign w:val="center"/>
          </w:tcPr>
          <w:p w14:paraId="33C09BDC">
            <w:pPr>
              <w:pStyle w:val="12"/>
            </w:pPr>
            <w:r>
              <w:t>1.为保证学校正常运转和改善办学条件。</w:t>
            </w:r>
          </w:p>
          <w:p w14:paraId="7EEDDF33">
            <w:pPr>
              <w:pStyle w:val="12"/>
            </w:pPr>
            <w:r>
              <w:t>2.按拨款序时进度完成经费拨付和支出。</w:t>
            </w:r>
          </w:p>
        </w:tc>
      </w:tr>
    </w:tbl>
    <w:p w14:paraId="5826E1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E1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F1624">
            <w:pPr>
              <w:pStyle w:val="10"/>
            </w:pPr>
            <w:r>
              <w:t>一级指标</w:t>
            </w:r>
          </w:p>
        </w:tc>
        <w:tc>
          <w:tcPr>
            <w:tcW w:w="2268" w:type="dxa"/>
            <w:vAlign w:val="center"/>
          </w:tcPr>
          <w:p w14:paraId="5198559F">
            <w:pPr>
              <w:pStyle w:val="10"/>
            </w:pPr>
            <w:r>
              <w:t>二级指标</w:t>
            </w:r>
          </w:p>
        </w:tc>
        <w:tc>
          <w:tcPr>
            <w:tcW w:w="2835" w:type="dxa"/>
            <w:vAlign w:val="center"/>
          </w:tcPr>
          <w:p w14:paraId="28E38291">
            <w:pPr>
              <w:pStyle w:val="10"/>
            </w:pPr>
            <w:r>
              <w:t>三级指标</w:t>
            </w:r>
          </w:p>
        </w:tc>
        <w:tc>
          <w:tcPr>
            <w:tcW w:w="5386" w:type="dxa"/>
            <w:vAlign w:val="center"/>
          </w:tcPr>
          <w:p w14:paraId="48C05D09">
            <w:pPr>
              <w:pStyle w:val="10"/>
            </w:pPr>
            <w:r>
              <w:t>绩效指标描述</w:t>
            </w:r>
          </w:p>
        </w:tc>
        <w:tc>
          <w:tcPr>
            <w:tcW w:w="2268" w:type="dxa"/>
            <w:vAlign w:val="center"/>
          </w:tcPr>
          <w:p w14:paraId="3D0D7717">
            <w:pPr>
              <w:pStyle w:val="10"/>
            </w:pPr>
            <w:r>
              <w:t>指标值</w:t>
            </w:r>
          </w:p>
        </w:tc>
        <w:tc>
          <w:tcPr>
            <w:tcW w:w="1276" w:type="dxa"/>
            <w:vAlign w:val="center"/>
          </w:tcPr>
          <w:p w14:paraId="7FE90CD3">
            <w:pPr>
              <w:pStyle w:val="10"/>
            </w:pPr>
            <w:r>
              <w:t>指标值确定依据</w:t>
            </w:r>
          </w:p>
        </w:tc>
      </w:tr>
      <w:tr w14:paraId="626F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03AFF">
            <w:pPr>
              <w:pStyle w:val="13"/>
            </w:pPr>
            <w:r>
              <w:t>产出指标</w:t>
            </w:r>
          </w:p>
        </w:tc>
        <w:tc>
          <w:tcPr>
            <w:tcW w:w="2268" w:type="dxa"/>
            <w:vAlign w:val="center"/>
          </w:tcPr>
          <w:p w14:paraId="79251DDA">
            <w:pPr>
              <w:pStyle w:val="12"/>
            </w:pPr>
            <w:r>
              <w:t>数量指标</w:t>
            </w:r>
          </w:p>
        </w:tc>
        <w:tc>
          <w:tcPr>
            <w:tcW w:w="2835" w:type="dxa"/>
            <w:vAlign w:val="center"/>
          </w:tcPr>
          <w:p w14:paraId="0B35BFDB">
            <w:pPr>
              <w:pStyle w:val="12"/>
            </w:pPr>
            <w:r>
              <w:t>就读学生数</w:t>
            </w:r>
          </w:p>
        </w:tc>
        <w:tc>
          <w:tcPr>
            <w:tcW w:w="5386" w:type="dxa"/>
            <w:vAlign w:val="center"/>
          </w:tcPr>
          <w:p w14:paraId="0650968D">
            <w:pPr>
              <w:pStyle w:val="12"/>
            </w:pPr>
            <w:r>
              <w:t>辐射区域内适龄学生人数</w:t>
            </w:r>
          </w:p>
        </w:tc>
        <w:tc>
          <w:tcPr>
            <w:tcW w:w="2268" w:type="dxa"/>
            <w:vAlign w:val="center"/>
          </w:tcPr>
          <w:p w14:paraId="04428F74">
            <w:pPr>
              <w:pStyle w:val="12"/>
            </w:pPr>
            <w:r>
              <w:t>1241人</w:t>
            </w:r>
          </w:p>
        </w:tc>
        <w:tc>
          <w:tcPr>
            <w:tcW w:w="1276" w:type="dxa"/>
            <w:vAlign w:val="center"/>
          </w:tcPr>
          <w:p w14:paraId="2AA2DBFA">
            <w:pPr>
              <w:pStyle w:val="12"/>
            </w:pPr>
            <w:r>
              <w:t>城乡义务教育公用经费管理办法</w:t>
            </w:r>
          </w:p>
        </w:tc>
      </w:tr>
      <w:tr w14:paraId="1ED7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ECA76"/>
        </w:tc>
        <w:tc>
          <w:tcPr>
            <w:tcW w:w="2268" w:type="dxa"/>
            <w:vAlign w:val="center"/>
          </w:tcPr>
          <w:p w14:paraId="222BC82D">
            <w:pPr>
              <w:pStyle w:val="12"/>
            </w:pPr>
            <w:r>
              <w:t>质量指标</w:t>
            </w:r>
          </w:p>
        </w:tc>
        <w:tc>
          <w:tcPr>
            <w:tcW w:w="2835" w:type="dxa"/>
            <w:vAlign w:val="center"/>
          </w:tcPr>
          <w:p w14:paraId="61669B88">
            <w:pPr>
              <w:pStyle w:val="12"/>
            </w:pPr>
            <w:r>
              <w:t>预算执行率</w:t>
            </w:r>
          </w:p>
        </w:tc>
        <w:tc>
          <w:tcPr>
            <w:tcW w:w="5386" w:type="dxa"/>
            <w:vAlign w:val="center"/>
          </w:tcPr>
          <w:p w14:paraId="6711994F">
            <w:pPr>
              <w:pStyle w:val="12"/>
            </w:pPr>
            <w:r>
              <w:t>预算执行率≥98%</w:t>
            </w:r>
          </w:p>
        </w:tc>
        <w:tc>
          <w:tcPr>
            <w:tcW w:w="2268" w:type="dxa"/>
            <w:vAlign w:val="center"/>
          </w:tcPr>
          <w:p w14:paraId="104EB842">
            <w:pPr>
              <w:pStyle w:val="12"/>
            </w:pPr>
            <w:r>
              <w:t>≥98%</w:t>
            </w:r>
          </w:p>
        </w:tc>
        <w:tc>
          <w:tcPr>
            <w:tcW w:w="1276" w:type="dxa"/>
            <w:vAlign w:val="center"/>
          </w:tcPr>
          <w:p w14:paraId="6E10E141">
            <w:pPr>
              <w:pStyle w:val="12"/>
            </w:pPr>
            <w:r>
              <w:t>城乡义务教育公用经费管理办法</w:t>
            </w:r>
          </w:p>
        </w:tc>
      </w:tr>
      <w:tr w14:paraId="3C2A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EE2A1"/>
        </w:tc>
        <w:tc>
          <w:tcPr>
            <w:tcW w:w="2268" w:type="dxa"/>
            <w:vAlign w:val="center"/>
          </w:tcPr>
          <w:p w14:paraId="4D22C954">
            <w:pPr>
              <w:pStyle w:val="12"/>
            </w:pPr>
            <w:r>
              <w:t>时效指标</w:t>
            </w:r>
          </w:p>
        </w:tc>
        <w:tc>
          <w:tcPr>
            <w:tcW w:w="2835" w:type="dxa"/>
            <w:vAlign w:val="center"/>
          </w:tcPr>
          <w:p w14:paraId="4DE9C236">
            <w:pPr>
              <w:pStyle w:val="12"/>
            </w:pPr>
            <w:r>
              <w:t>义教经费支付完成率</w:t>
            </w:r>
          </w:p>
        </w:tc>
        <w:tc>
          <w:tcPr>
            <w:tcW w:w="5386" w:type="dxa"/>
            <w:vAlign w:val="center"/>
          </w:tcPr>
          <w:p w14:paraId="4097E74E">
            <w:pPr>
              <w:pStyle w:val="12"/>
            </w:pPr>
            <w:r>
              <w:t>按照序时进度完成资金支付</w:t>
            </w:r>
          </w:p>
        </w:tc>
        <w:tc>
          <w:tcPr>
            <w:tcW w:w="2268" w:type="dxa"/>
            <w:vAlign w:val="center"/>
          </w:tcPr>
          <w:p w14:paraId="4668E75D">
            <w:pPr>
              <w:pStyle w:val="12"/>
            </w:pPr>
            <w:r>
              <w:t>≥98%</w:t>
            </w:r>
          </w:p>
        </w:tc>
        <w:tc>
          <w:tcPr>
            <w:tcW w:w="1276" w:type="dxa"/>
            <w:vAlign w:val="center"/>
          </w:tcPr>
          <w:p w14:paraId="6DC471C7">
            <w:pPr>
              <w:pStyle w:val="12"/>
            </w:pPr>
            <w:r>
              <w:t>城乡义务教育公用经费管理办法</w:t>
            </w:r>
          </w:p>
        </w:tc>
      </w:tr>
      <w:tr w14:paraId="7722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8A70A"/>
        </w:tc>
        <w:tc>
          <w:tcPr>
            <w:tcW w:w="2268" w:type="dxa"/>
            <w:vAlign w:val="center"/>
          </w:tcPr>
          <w:p w14:paraId="795A4CF9">
            <w:pPr>
              <w:pStyle w:val="12"/>
            </w:pPr>
            <w:r>
              <w:t>成本指标</w:t>
            </w:r>
          </w:p>
        </w:tc>
        <w:tc>
          <w:tcPr>
            <w:tcW w:w="2835" w:type="dxa"/>
            <w:vAlign w:val="center"/>
          </w:tcPr>
          <w:p w14:paraId="31B7921F">
            <w:pPr>
              <w:pStyle w:val="12"/>
            </w:pPr>
            <w:r>
              <w:t>生均拨款标准</w:t>
            </w:r>
          </w:p>
        </w:tc>
        <w:tc>
          <w:tcPr>
            <w:tcW w:w="5386" w:type="dxa"/>
            <w:vAlign w:val="center"/>
          </w:tcPr>
          <w:p w14:paraId="2B53B9DA">
            <w:pPr>
              <w:pStyle w:val="12"/>
            </w:pPr>
            <w:r>
              <w:t>小学生公用经费生均小学720元，取暖费120元/生/年，随班就读学生补助7000元/生</w:t>
            </w:r>
          </w:p>
        </w:tc>
        <w:tc>
          <w:tcPr>
            <w:tcW w:w="2268" w:type="dxa"/>
            <w:vAlign w:val="center"/>
          </w:tcPr>
          <w:p w14:paraId="5A2F702A">
            <w:pPr>
              <w:pStyle w:val="12"/>
            </w:pPr>
            <w:r>
              <w:t>≥840元</w:t>
            </w:r>
          </w:p>
        </w:tc>
        <w:tc>
          <w:tcPr>
            <w:tcW w:w="1276" w:type="dxa"/>
            <w:vAlign w:val="center"/>
          </w:tcPr>
          <w:p w14:paraId="5BE6E00C">
            <w:pPr>
              <w:pStyle w:val="12"/>
            </w:pPr>
            <w:r>
              <w:t>城乡义务教育公用经费管理办法</w:t>
            </w:r>
          </w:p>
        </w:tc>
      </w:tr>
      <w:tr w14:paraId="313F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DD070">
            <w:pPr>
              <w:pStyle w:val="13"/>
            </w:pPr>
            <w:r>
              <w:t>效益指标</w:t>
            </w:r>
          </w:p>
        </w:tc>
        <w:tc>
          <w:tcPr>
            <w:tcW w:w="2268" w:type="dxa"/>
            <w:vAlign w:val="center"/>
          </w:tcPr>
          <w:p w14:paraId="1525621F">
            <w:pPr>
              <w:pStyle w:val="12"/>
            </w:pPr>
            <w:r>
              <w:t>社会效益指标</w:t>
            </w:r>
          </w:p>
        </w:tc>
        <w:tc>
          <w:tcPr>
            <w:tcW w:w="2835" w:type="dxa"/>
            <w:vAlign w:val="center"/>
          </w:tcPr>
          <w:p w14:paraId="726D9A71">
            <w:pPr>
              <w:pStyle w:val="12"/>
            </w:pPr>
            <w:r>
              <w:t>学校运转得到提高</w:t>
            </w:r>
          </w:p>
        </w:tc>
        <w:tc>
          <w:tcPr>
            <w:tcW w:w="5386" w:type="dxa"/>
            <w:vAlign w:val="center"/>
          </w:tcPr>
          <w:p w14:paraId="2065D251">
            <w:pPr>
              <w:pStyle w:val="12"/>
            </w:pPr>
            <w:r>
              <w:t>学生受教育年限</w:t>
            </w:r>
          </w:p>
        </w:tc>
        <w:tc>
          <w:tcPr>
            <w:tcW w:w="2268" w:type="dxa"/>
            <w:vAlign w:val="center"/>
          </w:tcPr>
          <w:p w14:paraId="1ABF83BC">
            <w:pPr>
              <w:pStyle w:val="12"/>
            </w:pPr>
            <w:r>
              <w:t>6年</w:t>
            </w:r>
          </w:p>
        </w:tc>
        <w:tc>
          <w:tcPr>
            <w:tcW w:w="1276" w:type="dxa"/>
            <w:vAlign w:val="center"/>
          </w:tcPr>
          <w:p w14:paraId="0E02DA1D">
            <w:pPr>
              <w:pStyle w:val="12"/>
            </w:pPr>
            <w:r>
              <w:t>城乡义务教育公用经费管理办法</w:t>
            </w:r>
          </w:p>
        </w:tc>
      </w:tr>
      <w:tr w14:paraId="1D49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60FDE">
            <w:pPr>
              <w:pStyle w:val="13"/>
            </w:pPr>
            <w:r>
              <w:t>满意度指标</w:t>
            </w:r>
          </w:p>
        </w:tc>
        <w:tc>
          <w:tcPr>
            <w:tcW w:w="2268" w:type="dxa"/>
            <w:vAlign w:val="center"/>
          </w:tcPr>
          <w:p w14:paraId="66D485C5">
            <w:pPr>
              <w:pStyle w:val="12"/>
            </w:pPr>
            <w:r>
              <w:t>服务对象满意度指标</w:t>
            </w:r>
          </w:p>
        </w:tc>
        <w:tc>
          <w:tcPr>
            <w:tcW w:w="2835" w:type="dxa"/>
            <w:vAlign w:val="center"/>
          </w:tcPr>
          <w:p w14:paraId="7868F102">
            <w:pPr>
              <w:pStyle w:val="12"/>
            </w:pPr>
            <w:r>
              <w:t>服务对象满意度</w:t>
            </w:r>
          </w:p>
        </w:tc>
        <w:tc>
          <w:tcPr>
            <w:tcW w:w="5386" w:type="dxa"/>
            <w:vAlign w:val="center"/>
          </w:tcPr>
          <w:p w14:paraId="6A7A0155">
            <w:pPr>
              <w:pStyle w:val="12"/>
            </w:pPr>
            <w:r>
              <w:t>学校老师和学生满意度</w:t>
            </w:r>
          </w:p>
        </w:tc>
        <w:tc>
          <w:tcPr>
            <w:tcW w:w="2268" w:type="dxa"/>
            <w:vAlign w:val="center"/>
          </w:tcPr>
          <w:p w14:paraId="1197188C">
            <w:pPr>
              <w:pStyle w:val="12"/>
            </w:pPr>
            <w:r>
              <w:t>≥95%</w:t>
            </w:r>
          </w:p>
        </w:tc>
        <w:tc>
          <w:tcPr>
            <w:tcW w:w="1276" w:type="dxa"/>
            <w:vAlign w:val="center"/>
          </w:tcPr>
          <w:p w14:paraId="0C651D6D">
            <w:pPr>
              <w:pStyle w:val="12"/>
            </w:pPr>
            <w:r>
              <w:t>城乡义务教育公用经费管理办法</w:t>
            </w:r>
          </w:p>
        </w:tc>
      </w:tr>
    </w:tbl>
    <w:p w14:paraId="2133B755">
      <w:pPr>
        <w:sectPr>
          <w:pgSz w:w="16840" w:h="11900" w:orient="landscape"/>
          <w:pgMar w:top="1361" w:right="1020" w:bottom="1134" w:left="1020" w:header="720" w:footer="720" w:gutter="0"/>
          <w:cols w:space="720" w:num="1"/>
        </w:sectPr>
      </w:pPr>
    </w:p>
    <w:p w14:paraId="2508BF48">
      <w:pPr>
        <w:spacing w:before="0" w:after="0"/>
        <w:ind w:firstLine="560"/>
        <w:jc w:val="left"/>
        <w:outlineLvl w:val="9"/>
      </w:pPr>
      <w:r>
        <w:rPr>
          <w:rFonts w:ascii="方正仿宋_GBK" w:hAnsi="方正仿宋_GBK" w:eastAsia="方正仿宋_GBK" w:cs="方正仿宋_GBK"/>
          <w:b/>
          <w:color w:val="000000"/>
          <w:sz w:val="28"/>
        </w:rPr>
        <w:t>11、冀财教[2025]147号/省级/2026年义教补助经费/千户营校区徐麻营小学公用经费绩效目标表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30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E7286">
            <w:pPr>
              <w:pStyle w:val="11"/>
            </w:pPr>
            <w:r>
              <w:t>单位：万元</w:t>
            </w:r>
          </w:p>
        </w:tc>
      </w:tr>
      <w:tr w14:paraId="62171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C010F">
            <w:pPr>
              <w:pStyle w:val="10"/>
            </w:pPr>
            <w:r>
              <w:t>项目编码</w:t>
            </w:r>
          </w:p>
        </w:tc>
        <w:tc>
          <w:tcPr>
            <w:tcW w:w="5103" w:type="dxa"/>
            <w:gridSpan w:val="2"/>
            <w:vAlign w:val="center"/>
          </w:tcPr>
          <w:p w14:paraId="605DEAD1">
            <w:pPr>
              <w:pStyle w:val="12"/>
            </w:pPr>
            <w:r>
              <w:t>13052526P000004103905</w:t>
            </w:r>
          </w:p>
        </w:tc>
        <w:tc>
          <w:tcPr>
            <w:tcW w:w="2835" w:type="dxa"/>
            <w:vAlign w:val="center"/>
          </w:tcPr>
          <w:p w14:paraId="077B7FA4">
            <w:pPr>
              <w:pStyle w:val="10"/>
            </w:pPr>
            <w:r>
              <w:t>项目名称</w:t>
            </w:r>
          </w:p>
        </w:tc>
        <w:tc>
          <w:tcPr>
            <w:tcW w:w="6095" w:type="dxa"/>
            <w:gridSpan w:val="3"/>
            <w:vAlign w:val="center"/>
          </w:tcPr>
          <w:p w14:paraId="15F78274">
            <w:pPr>
              <w:pStyle w:val="12"/>
            </w:pPr>
            <w:r>
              <w:t>冀财教[2025]147号/省级/2026年义教补助经费/千户营校区徐麻营小学公用经费</w:t>
            </w:r>
          </w:p>
        </w:tc>
      </w:tr>
      <w:tr w14:paraId="54D8C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9CF6E">
            <w:pPr>
              <w:pStyle w:val="10"/>
            </w:pPr>
            <w:r>
              <w:t>预算规模及资金用途</w:t>
            </w:r>
          </w:p>
        </w:tc>
        <w:tc>
          <w:tcPr>
            <w:tcW w:w="2268" w:type="dxa"/>
            <w:vAlign w:val="center"/>
          </w:tcPr>
          <w:p w14:paraId="5338CB8B">
            <w:pPr>
              <w:pStyle w:val="10"/>
            </w:pPr>
            <w:r>
              <w:t>预算数</w:t>
            </w:r>
          </w:p>
        </w:tc>
        <w:tc>
          <w:tcPr>
            <w:tcW w:w="2835" w:type="dxa"/>
            <w:vAlign w:val="center"/>
          </w:tcPr>
          <w:p w14:paraId="01ECC99A">
            <w:pPr>
              <w:pStyle w:val="12"/>
            </w:pPr>
            <w:r>
              <w:t>22.34</w:t>
            </w:r>
          </w:p>
        </w:tc>
        <w:tc>
          <w:tcPr>
            <w:tcW w:w="2835" w:type="dxa"/>
            <w:vAlign w:val="center"/>
          </w:tcPr>
          <w:p w14:paraId="0DF00021">
            <w:pPr>
              <w:pStyle w:val="10"/>
            </w:pPr>
            <w:r>
              <w:t>其中：财政    资金</w:t>
            </w:r>
          </w:p>
        </w:tc>
        <w:tc>
          <w:tcPr>
            <w:tcW w:w="2551" w:type="dxa"/>
            <w:vAlign w:val="center"/>
          </w:tcPr>
          <w:p w14:paraId="590594B1">
            <w:pPr>
              <w:pStyle w:val="12"/>
            </w:pPr>
            <w:r>
              <w:t>22.34</w:t>
            </w:r>
          </w:p>
        </w:tc>
        <w:tc>
          <w:tcPr>
            <w:tcW w:w="2268" w:type="dxa"/>
            <w:vAlign w:val="center"/>
          </w:tcPr>
          <w:p w14:paraId="5FF3CB38">
            <w:pPr>
              <w:pStyle w:val="10"/>
            </w:pPr>
            <w:r>
              <w:t>其他资金</w:t>
            </w:r>
          </w:p>
        </w:tc>
        <w:tc>
          <w:tcPr>
            <w:tcW w:w="1276" w:type="dxa"/>
            <w:vAlign w:val="center"/>
          </w:tcPr>
          <w:p w14:paraId="74D9DF11">
            <w:pPr>
              <w:pStyle w:val="12"/>
            </w:pPr>
            <w:r>
              <w:t xml:space="preserve"> </w:t>
            </w:r>
          </w:p>
        </w:tc>
      </w:tr>
      <w:tr w14:paraId="7F281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38BD3"/>
        </w:tc>
        <w:tc>
          <w:tcPr>
            <w:tcW w:w="14033" w:type="dxa"/>
            <w:gridSpan w:val="6"/>
            <w:vAlign w:val="center"/>
          </w:tcPr>
          <w:p w14:paraId="1F82DC94">
            <w:pPr>
              <w:pStyle w:val="12"/>
            </w:pPr>
            <w:r>
              <w:t>按拨款序时进度完成经费拨付和支出。</w:t>
            </w:r>
          </w:p>
        </w:tc>
      </w:tr>
      <w:tr w14:paraId="55684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16301">
            <w:pPr>
              <w:pStyle w:val="10"/>
            </w:pPr>
            <w:r>
              <w:t>资金支出计划（%）</w:t>
            </w:r>
          </w:p>
        </w:tc>
        <w:tc>
          <w:tcPr>
            <w:tcW w:w="5103" w:type="dxa"/>
            <w:gridSpan w:val="2"/>
            <w:vAlign w:val="center"/>
          </w:tcPr>
          <w:p w14:paraId="7CB5BCD3">
            <w:pPr>
              <w:pStyle w:val="10"/>
            </w:pPr>
            <w:r>
              <w:t>3月底</w:t>
            </w:r>
          </w:p>
        </w:tc>
        <w:tc>
          <w:tcPr>
            <w:tcW w:w="2835" w:type="dxa"/>
            <w:vAlign w:val="center"/>
          </w:tcPr>
          <w:p w14:paraId="4ADFB510">
            <w:pPr>
              <w:pStyle w:val="10"/>
            </w:pPr>
            <w:r>
              <w:t>6月底</w:t>
            </w:r>
          </w:p>
        </w:tc>
        <w:tc>
          <w:tcPr>
            <w:tcW w:w="2551" w:type="dxa"/>
            <w:vAlign w:val="center"/>
          </w:tcPr>
          <w:p w14:paraId="19E8E2E8">
            <w:pPr>
              <w:pStyle w:val="10"/>
            </w:pPr>
            <w:r>
              <w:t>10月底</w:t>
            </w:r>
          </w:p>
        </w:tc>
        <w:tc>
          <w:tcPr>
            <w:tcW w:w="3544" w:type="dxa"/>
            <w:gridSpan w:val="2"/>
            <w:vAlign w:val="center"/>
          </w:tcPr>
          <w:p w14:paraId="2858C387">
            <w:pPr>
              <w:pStyle w:val="10"/>
            </w:pPr>
            <w:r>
              <w:t>12月底</w:t>
            </w:r>
          </w:p>
        </w:tc>
      </w:tr>
      <w:tr w14:paraId="73B45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F5107"/>
        </w:tc>
        <w:tc>
          <w:tcPr>
            <w:tcW w:w="5103" w:type="dxa"/>
            <w:gridSpan w:val="2"/>
            <w:vAlign w:val="center"/>
          </w:tcPr>
          <w:p w14:paraId="24357213">
            <w:pPr>
              <w:pStyle w:val="13"/>
            </w:pPr>
            <w:r>
              <w:t>25%</w:t>
            </w:r>
          </w:p>
        </w:tc>
        <w:tc>
          <w:tcPr>
            <w:tcW w:w="2835" w:type="dxa"/>
            <w:vAlign w:val="center"/>
          </w:tcPr>
          <w:p w14:paraId="30723D45">
            <w:pPr>
              <w:pStyle w:val="13"/>
            </w:pPr>
            <w:r>
              <w:t>50%</w:t>
            </w:r>
          </w:p>
        </w:tc>
        <w:tc>
          <w:tcPr>
            <w:tcW w:w="2551" w:type="dxa"/>
            <w:vAlign w:val="center"/>
          </w:tcPr>
          <w:p w14:paraId="69BA6C13">
            <w:pPr>
              <w:pStyle w:val="13"/>
            </w:pPr>
            <w:r>
              <w:t>75%</w:t>
            </w:r>
          </w:p>
        </w:tc>
        <w:tc>
          <w:tcPr>
            <w:tcW w:w="3544" w:type="dxa"/>
            <w:gridSpan w:val="2"/>
            <w:vAlign w:val="center"/>
          </w:tcPr>
          <w:p w14:paraId="5672761E">
            <w:pPr>
              <w:pStyle w:val="13"/>
            </w:pPr>
            <w:r>
              <w:t>100%</w:t>
            </w:r>
          </w:p>
        </w:tc>
      </w:tr>
      <w:tr w14:paraId="608A5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5D3AE">
            <w:pPr>
              <w:pStyle w:val="10"/>
            </w:pPr>
            <w:r>
              <w:t>绩效目标</w:t>
            </w:r>
          </w:p>
        </w:tc>
        <w:tc>
          <w:tcPr>
            <w:tcW w:w="14033" w:type="dxa"/>
            <w:gridSpan w:val="6"/>
            <w:vAlign w:val="center"/>
          </w:tcPr>
          <w:p w14:paraId="6C07D832">
            <w:pPr>
              <w:pStyle w:val="12"/>
            </w:pPr>
            <w:r>
              <w:t>1.为保证学校正常运转和改善办学条件。</w:t>
            </w:r>
          </w:p>
          <w:p w14:paraId="37604C08">
            <w:pPr>
              <w:pStyle w:val="12"/>
            </w:pPr>
            <w:r>
              <w:t>2.按拨款序时进度完成经费拨付和支出。</w:t>
            </w:r>
          </w:p>
        </w:tc>
      </w:tr>
    </w:tbl>
    <w:p w14:paraId="6BF7CA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2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40D3C">
            <w:pPr>
              <w:pStyle w:val="10"/>
            </w:pPr>
            <w:r>
              <w:t>一级指标</w:t>
            </w:r>
          </w:p>
        </w:tc>
        <w:tc>
          <w:tcPr>
            <w:tcW w:w="2268" w:type="dxa"/>
            <w:vAlign w:val="center"/>
          </w:tcPr>
          <w:p w14:paraId="04A5A68D">
            <w:pPr>
              <w:pStyle w:val="10"/>
            </w:pPr>
            <w:r>
              <w:t>二级指标</w:t>
            </w:r>
          </w:p>
        </w:tc>
        <w:tc>
          <w:tcPr>
            <w:tcW w:w="2835" w:type="dxa"/>
            <w:vAlign w:val="center"/>
          </w:tcPr>
          <w:p w14:paraId="0D5FA459">
            <w:pPr>
              <w:pStyle w:val="10"/>
            </w:pPr>
            <w:r>
              <w:t>三级指标</w:t>
            </w:r>
          </w:p>
        </w:tc>
        <w:tc>
          <w:tcPr>
            <w:tcW w:w="5386" w:type="dxa"/>
            <w:vAlign w:val="center"/>
          </w:tcPr>
          <w:p w14:paraId="15E8E5E4">
            <w:pPr>
              <w:pStyle w:val="10"/>
            </w:pPr>
            <w:r>
              <w:t>绩效指标描述</w:t>
            </w:r>
          </w:p>
        </w:tc>
        <w:tc>
          <w:tcPr>
            <w:tcW w:w="2268" w:type="dxa"/>
            <w:vAlign w:val="center"/>
          </w:tcPr>
          <w:p w14:paraId="7EE81F5C">
            <w:pPr>
              <w:pStyle w:val="10"/>
            </w:pPr>
            <w:r>
              <w:t>指标值</w:t>
            </w:r>
          </w:p>
        </w:tc>
        <w:tc>
          <w:tcPr>
            <w:tcW w:w="1276" w:type="dxa"/>
            <w:vAlign w:val="center"/>
          </w:tcPr>
          <w:p w14:paraId="34B7FFF4">
            <w:pPr>
              <w:pStyle w:val="10"/>
            </w:pPr>
            <w:r>
              <w:t>指标值确定依据</w:t>
            </w:r>
          </w:p>
        </w:tc>
      </w:tr>
      <w:tr w14:paraId="6275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89A97">
            <w:pPr>
              <w:pStyle w:val="13"/>
            </w:pPr>
            <w:r>
              <w:t>产出指标</w:t>
            </w:r>
          </w:p>
        </w:tc>
        <w:tc>
          <w:tcPr>
            <w:tcW w:w="2268" w:type="dxa"/>
            <w:vAlign w:val="center"/>
          </w:tcPr>
          <w:p w14:paraId="58A65FD1">
            <w:pPr>
              <w:pStyle w:val="12"/>
            </w:pPr>
            <w:r>
              <w:t>数量指标</w:t>
            </w:r>
          </w:p>
        </w:tc>
        <w:tc>
          <w:tcPr>
            <w:tcW w:w="2835" w:type="dxa"/>
            <w:vAlign w:val="center"/>
          </w:tcPr>
          <w:p w14:paraId="44EA84BC">
            <w:pPr>
              <w:pStyle w:val="12"/>
            </w:pPr>
            <w:r>
              <w:t>就读学生数</w:t>
            </w:r>
          </w:p>
        </w:tc>
        <w:tc>
          <w:tcPr>
            <w:tcW w:w="5386" w:type="dxa"/>
            <w:vAlign w:val="center"/>
          </w:tcPr>
          <w:p w14:paraId="10DAC8EC">
            <w:pPr>
              <w:pStyle w:val="12"/>
            </w:pPr>
            <w:r>
              <w:t>辐射区域内适龄学生人数</w:t>
            </w:r>
          </w:p>
        </w:tc>
        <w:tc>
          <w:tcPr>
            <w:tcW w:w="2268" w:type="dxa"/>
            <w:vAlign w:val="center"/>
          </w:tcPr>
          <w:p w14:paraId="25B052E3">
            <w:pPr>
              <w:pStyle w:val="12"/>
            </w:pPr>
            <w:r>
              <w:t>651人</w:t>
            </w:r>
          </w:p>
        </w:tc>
        <w:tc>
          <w:tcPr>
            <w:tcW w:w="1276" w:type="dxa"/>
            <w:vAlign w:val="center"/>
          </w:tcPr>
          <w:p w14:paraId="61C2CDB4">
            <w:pPr>
              <w:pStyle w:val="12"/>
            </w:pPr>
            <w:r>
              <w:t>城乡义务教育公用经费管理办法</w:t>
            </w:r>
          </w:p>
        </w:tc>
      </w:tr>
      <w:tr w14:paraId="5DAC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6AEA6"/>
        </w:tc>
        <w:tc>
          <w:tcPr>
            <w:tcW w:w="2268" w:type="dxa"/>
            <w:vAlign w:val="center"/>
          </w:tcPr>
          <w:p w14:paraId="537365D6">
            <w:pPr>
              <w:pStyle w:val="12"/>
            </w:pPr>
            <w:r>
              <w:t>质量指标</w:t>
            </w:r>
          </w:p>
        </w:tc>
        <w:tc>
          <w:tcPr>
            <w:tcW w:w="2835" w:type="dxa"/>
            <w:vAlign w:val="center"/>
          </w:tcPr>
          <w:p w14:paraId="578C049B">
            <w:pPr>
              <w:pStyle w:val="12"/>
            </w:pPr>
            <w:r>
              <w:t>预算执行率</w:t>
            </w:r>
          </w:p>
        </w:tc>
        <w:tc>
          <w:tcPr>
            <w:tcW w:w="5386" w:type="dxa"/>
            <w:vAlign w:val="center"/>
          </w:tcPr>
          <w:p w14:paraId="42CA2F1D">
            <w:pPr>
              <w:pStyle w:val="12"/>
            </w:pPr>
            <w:r>
              <w:t>预算执行率≥98%</w:t>
            </w:r>
          </w:p>
        </w:tc>
        <w:tc>
          <w:tcPr>
            <w:tcW w:w="2268" w:type="dxa"/>
            <w:vAlign w:val="center"/>
          </w:tcPr>
          <w:p w14:paraId="149EBEB8">
            <w:pPr>
              <w:pStyle w:val="12"/>
            </w:pPr>
            <w:r>
              <w:t>≥98%</w:t>
            </w:r>
          </w:p>
        </w:tc>
        <w:tc>
          <w:tcPr>
            <w:tcW w:w="1276" w:type="dxa"/>
            <w:vAlign w:val="center"/>
          </w:tcPr>
          <w:p w14:paraId="653DEE84">
            <w:pPr>
              <w:pStyle w:val="12"/>
            </w:pPr>
            <w:r>
              <w:t>城乡义务教育公用经费管理办法</w:t>
            </w:r>
          </w:p>
        </w:tc>
      </w:tr>
      <w:tr w14:paraId="40F5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E5F39"/>
        </w:tc>
        <w:tc>
          <w:tcPr>
            <w:tcW w:w="2268" w:type="dxa"/>
            <w:vAlign w:val="center"/>
          </w:tcPr>
          <w:p w14:paraId="4513ADF1">
            <w:pPr>
              <w:pStyle w:val="12"/>
            </w:pPr>
            <w:r>
              <w:t>时效指标</w:t>
            </w:r>
          </w:p>
        </w:tc>
        <w:tc>
          <w:tcPr>
            <w:tcW w:w="2835" w:type="dxa"/>
            <w:vAlign w:val="center"/>
          </w:tcPr>
          <w:p w14:paraId="0ACFB152">
            <w:pPr>
              <w:pStyle w:val="12"/>
            </w:pPr>
            <w:r>
              <w:t>义教经费支付完成率</w:t>
            </w:r>
          </w:p>
        </w:tc>
        <w:tc>
          <w:tcPr>
            <w:tcW w:w="5386" w:type="dxa"/>
            <w:vAlign w:val="center"/>
          </w:tcPr>
          <w:p w14:paraId="3C19518D">
            <w:pPr>
              <w:pStyle w:val="12"/>
            </w:pPr>
            <w:r>
              <w:t>按照序时进度完成资金支付</w:t>
            </w:r>
          </w:p>
        </w:tc>
        <w:tc>
          <w:tcPr>
            <w:tcW w:w="2268" w:type="dxa"/>
            <w:vAlign w:val="center"/>
          </w:tcPr>
          <w:p w14:paraId="4723AC49">
            <w:pPr>
              <w:pStyle w:val="12"/>
            </w:pPr>
            <w:r>
              <w:t>≥98%</w:t>
            </w:r>
          </w:p>
        </w:tc>
        <w:tc>
          <w:tcPr>
            <w:tcW w:w="1276" w:type="dxa"/>
            <w:vAlign w:val="center"/>
          </w:tcPr>
          <w:p w14:paraId="74DDC232">
            <w:pPr>
              <w:pStyle w:val="12"/>
            </w:pPr>
            <w:r>
              <w:t>城乡义务教育公用经费管理办法</w:t>
            </w:r>
          </w:p>
        </w:tc>
      </w:tr>
      <w:tr w14:paraId="6793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28A2F"/>
        </w:tc>
        <w:tc>
          <w:tcPr>
            <w:tcW w:w="2268" w:type="dxa"/>
            <w:vAlign w:val="center"/>
          </w:tcPr>
          <w:p w14:paraId="75381114">
            <w:pPr>
              <w:pStyle w:val="12"/>
            </w:pPr>
            <w:r>
              <w:t>成本指标</w:t>
            </w:r>
          </w:p>
        </w:tc>
        <w:tc>
          <w:tcPr>
            <w:tcW w:w="2835" w:type="dxa"/>
            <w:vAlign w:val="center"/>
          </w:tcPr>
          <w:p w14:paraId="61832E1E">
            <w:pPr>
              <w:pStyle w:val="12"/>
            </w:pPr>
            <w:r>
              <w:t>生均拨款标准</w:t>
            </w:r>
          </w:p>
        </w:tc>
        <w:tc>
          <w:tcPr>
            <w:tcW w:w="5386" w:type="dxa"/>
            <w:vAlign w:val="center"/>
          </w:tcPr>
          <w:p w14:paraId="5B614E14">
            <w:pPr>
              <w:pStyle w:val="12"/>
            </w:pPr>
            <w:r>
              <w:t>小学生公用经费生均小学720元，取暖费120元/生/年，随班就读学生补助7000元/生</w:t>
            </w:r>
          </w:p>
        </w:tc>
        <w:tc>
          <w:tcPr>
            <w:tcW w:w="2268" w:type="dxa"/>
            <w:vAlign w:val="center"/>
          </w:tcPr>
          <w:p w14:paraId="31C0A812">
            <w:pPr>
              <w:pStyle w:val="12"/>
            </w:pPr>
            <w:r>
              <w:t>≥840元</w:t>
            </w:r>
          </w:p>
        </w:tc>
        <w:tc>
          <w:tcPr>
            <w:tcW w:w="1276" w:type="dxa"/>
            <w:vAlign w:val="center"/>
          </w:tcPr>
          <w:p w14:paraId="022EB1C9">
            <w:pPr>
              <w:pStyle w:val="12"/>
            </w:pPr>
            <w:r>
              <w:t>城乡义务教育公用经费管理办法</w:t>
            </w:r>
          </w:p>
        </w:tc>
      </w:tr>
      <w:tr w14:paraId="66D3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E7F58">
            <w:pPr>
              <w:pStyle w:val="13"/>
            </w:pPr>
            <w:r>
              <w:t>效益指标</w:t>
            </w:r>
          </w:p>
        </w:tc>
        <w:tc>
          <w:tcPr>
            <w:tcW w:w="2268" w:type="dxa"/>
            <w:vAlign w:val="center"/>
          </w:tcPr>
          <w:p w14:paraId="170B29E7">
            <w:pPr>
              <w:pStyle w:val="12"/>
            </w:pPr>
            <w:r>
              <w:t>社会效益指标</w:t>
            </w:r>
          </w:p>
        </w:tc>
        <w:tc>
          <w:tcPr>
            <w:tcW w:w="2835" w:type="dxa"/>
            <w:vAlign w:val="center"/>
          </w:tcPr>
          <w:p w14:paraId="510B5B86">
            <w:pPr>
              <w:pStyle w:val="12"/>
            </w:pPr>
            <w:r>
              <w:t>学校运转得到提高</w:t>
            </w:r>
          </w:p>
        </w:tc>
        <w:tc>
          <w:tcPr>
            <w:tcW w:w="5386" w:type="dxa"/>
            <w:vAlign w:val="center"/>
          </w:tcPr>
          <w:p w14:paraId="3BBD2860">
            <w:pPr>
              <w:pStyle w:val="12"/>
            </w:pPr>
            <w:r>
              <w:t>学生受教育年限</w:t>
            </w:r>
          </w:p>
        </w:tc>
        <w:tc>
          <w:tcPr>
            <w:tcW w:w="2268" w:type="dxa"/>
            <w:vAlign w:val="center"/>
          </w:tcPr>
          <w:p w14:paraId="7CB321A3">
            <w:pPr>
              <w:pStyle w:val="12"/>
            </w:pPr>
            <w:r>
              <w:t>6年</w:t>
            </w:r>
          </w:p>
        </w:tc>
        <w:tc>
          <w:tcPr>
            <w:tcW w:w="1276" w:type="dxa"/>
            <w:vAlign w:val="center"/>
          </w:tcPr>
          <w:p w14:paraId="1C5E597D">
            <w:pPr>
              <w:pStyle w:val="12"/>
            </w:pPr>
            <w:r>
              <w:t>城乡义务教育公用经费管理办法</w:t>
            </w:r>
          </w:p>
        </w:tc>
      </w:tr>
      <w:tr w14:paraId="328B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9886F">
            <w:pPr>
              <w:pStyle w:val="13"/>
            </w:pPr>
            <w:r>
              <w:t>满意度指标</w:t>
            </w:r>
          </w:p>
        </w:tc>
        <w:tc>
          <w:tcPr>
            <w:tcW w:w="2268" w:type="dxa"/>
            <w:vAlign w:val="center"/>
          </w:tcPr>
          <w:p w14:paraId="1B5C6E53">
            <w:pPr>
              <w:pStyle w:val="12"/>
            </w:pPr>
            <w:r>
              <w:t>服务对象满意度指标</w:t>
            </w:r>
          </w:p>
        </w:tc>
        <w:tc>
          <w:tcPr>
            <w:tcW w:w="2835" w:type="dxa"/>
            <w:vAlign w:val="center"/>
          </w:tcPr>
          <w:p w14:paraId="7ABD9273">
            <w:pPr>
              <w:pStyle w:val="12"/>
            </w:pPr>
            <w:r>
              <w:t>服务对象满意度</w:t>
            </w:r>
          </w:p>
        </w:tc>
        <w:tc>
          <w:tcPr>
            <w:tcW w:w="5386" w:type="dxa"/>
            <w:vAlign w:val="center"/>
          </w:tcPr>
          <w:p w14:paraId="00C0E0D3">
            <w:pPr>
              <w:pStyle w:val="12"/>
            </w:pPr>
            <w:r>
              <w:t>学校老师和学生满意度</w:t>
            </w:r>
          </w:p>
        </w:tc>
        <w:tc>
          <w:tcPr>
            <w:tcW w:w="2268" w:type="dxa"/>
            <w:vAlign w:val="center"/>
          </w:tcPr>
          <w:p w14:paraId="51F3C846">
            <w:pPr>
              <w:pStyle w:val="12"/>
            </w:pPr>
            <w:r>
              <w:t>≥95%</w:t>
            </w:r>
          </w:p>
        </w:tc>
        <w:tc>
          <w:tcPr>
            <w:tcW w:w="1276" w:type="dxa"/>
            <w:vAlign w:val="center"/>
          </w:tcPr>
          <w:p w14:paraId="3908456E">
            <w:pPr>
              <w:pStyle w:val="12"/>
            </w:pPr>
            <w:r>
              <w:t>城乡义务教育公用经费管理办法</w:t>
            </w:r>
          </w:p>
        </w:tc>
      </w:tr>
    </w:tbl>
    <w:p w14:paraId="7F2D9CA7">
      <w:pPr>
        <w:sectPr>
          <w:pgSz w:w="16840" w:h="11900" w:orient="landscape"/>
          <w:pgMar w:top="1361" w:right="1020" w:bottom="1134" w:left="1020" w:header="720" w:footer="720" w:gutter="0"/>
          <w:cols w:space="720" w:num="1"/>
        </w:sectPr>
      </w:pPr>
    </w:p>
    <w:p w14:paraId="72842500">
      <w:pPr>
        <w:spacing w:before="0" w:after="0"/>
        <w:ind w:firstLine="560"/>
        <w:jc w:val="left"/>
        <w:outlineLvl w:val="9"/>
      </w:pPr>
      <w:r>
        <w:rPr>
          <w:rFonts w:ascii="方正仿宋_GBK" w:hAnsi="方正仿宋_GBK" w:eastAsia="方正仿宋_GBK" w:cs="方正仿宋_GBK"/>
          <w:b/>
          <w:color w:val="000000"/>
          <w:sz w:val="28"/>
        </w:rPr>
        <w:t>12、冀财教[2025]147号/省级/2026年义教补助经费/千户营校区枣驼小学公用经费绩效目标表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48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4AE9E">
            <w:pPr>
              <w:pStyle w:val="11"/>
            </w:pPr>
            <w:r>
              <w:t>单位：万元</w:t>
            </w:r>
          </w:p>
        </w:tc>
      </w:tr>
      <w:tr w14:paraId="46F85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B61C4">
            <w:pPr>
              <w:pStyle w:val="10"/>
            </w:pPr>
            <w:r>
              <w:t>项目编码</w:t>
            </w:r>
          </w:p>
        </w:tc>
        <w:tc>
          <w:tcPr>
            <w:tcW w:w="5103" w:type="dxa"/>
            <w:gridSpan w:val="2"/>
            <w:vAlign w:val="center"/>
          </w:tcPr>
          <w:p w14:paraId="6028AE94">
            <w:pPr>
              <w:pStyle w:val="12"/>
            </w:pPr>
            <w:r>
              <w:t>13052526P000004103886</w:t>
            </w:r>
          </w:p>
        </w:tc>
        <w:tc>
          <w:tcPr>
            <w:tcW w:w="2835" w:type="dxa"/>
            <w:vAlign w:val="center"/>
          </w:tcPr>
          <w:p w14:paraId="71A3AC59">
            <w:pPr>
              <w:pStyle w:val="10"/>
            </w:pPr>
            <w:r>
              <w:t>项目名称</w:t>
            </w:r>
          </w:p>
        </w:tc>
        <w:tc>
          <w:tcPr>
            <w:tcW w:w="6095" w:type="dxa"/>
            <w:gridSpan w:val="3"/>
            <w:vAlign w:val="center"/>
          </w:tcPr>
          <w:p w14:paraId="653F3FDA">
            <w:pPr>
              <w:pStyle w:val="12"/>
            </w:pPr>
            <w:r>
              <w:t>冀财教[2025]147号/省级/2026年义教补助经费/千户营校区枣驼小学公用经费</w:t>
            </w:r>
          </w:p>
        </w:tc>
      </w:tr>
      <w:tr w14:paraId="4FA76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E0458">
            <w:pPr>
              <w:pStyle w:val="10"/>
            </w:pPr>
            <w:r>
              <w:t>预算规模及资金用途</w:t>
            </w:r>
          </w:p>
        </w:tc>
        <w:tc>
          <w:tcPr>
            <w:tcW w:w="2268" w:type="dxa"/>
            <w:vAlign w:val="center"/>
          </w:tcPr>
          <w:p w14:paraId="26067AF8">
            <w:pPr>
              <w:pStyle w:val="10"/>
            </w:pPr>
            <w:r>
              <w:t>预算数</w:t>
            </w:r>
          </w:p>
        </w:tc>
        <w:tc>
          <w:tcPr>
            <w:tcW w:w="2835" w:type="dxa"/>
            <w:vAlign w:val="center"/>
          </w:tcPr>
          <w:p w14:paraId="25EF44A2">
            <w:pPr>
              <w:pStyle w:val="12"/>
            </w:pPr>
            <w:r>
              <w:t>5.00</w:t>
            </w:r>
          </w:p>
        </w:tc>
        <w:tc>
          <w:tcPr>
            <w:tcW w:w="2835" w:type="dxa"/>
            <w:vAlign w:val="center"/>
          </w:tcPr>
          <w:p w14:paraId="65889340">
            <w:pPr>
              <w:pStyle w:val="10"/>
            </w:pPr>
            <w:r>
              <w:t>其中：财政    资金</w:t>
            </w:r>
          </w:p>
        </w:tc>
        <w:tc>
          <w:tcPr>
            <w:tcW w:w="2551" w:type="dxa"/>
            <w:vAlign w:val="center"/>
          </w:tcPr>
          <w:p w14:paraId="00316854">
            <w:pPr>
              <w:pStyle w:val="12"/>
            </w:pPr>
            <w:r>
              <w:t>5.00</w:t>
            </w:r>
          </w:p>
        </w:tc>
        <w:tc>
          <w:tcPr>
            <w:tcW w:w="2268" w:type="dxa"/>
            <w:vAlign w:val="center"/>
          </w:tcPr>
          <w:p w14:paraId="0A68A6FB">
            <w:pPr>
              <w:pStyle w:val="10"/>
            </w:pPr>
            <w:r>
              <w:t>其他资金</w:t>
            </w:r>
          </w:p>
        </w:tc>
        <w:tc>
          <w:tcPr>
            <w:tcW w:w="1276" w:type="dxa"/>
            <w:vAlign w:val="center"/>
          </w:tcPr>
          <w:p w14:paraId="1380C33F">
            <w:pPr>
              <w:pStyle w:val="12"/>
            </w:pPr>
            <w:r>
              <w:t xml:space="preserve"> </w:t>
            </w:r>
          </w:p>
        </w:tc>
      </w:tr>
      <w:tr w14:paraId="70957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D8423"/>
        </w:tc>
        <w:tc>
          <w:tcPr>
            <w:tcW w:w="14033" w:type="dxa"/>
            <w:gridSpan w:val="6"/>
            <w:vAlign w:val="center"/>
          </w:tcPr>
          <w:p w14:paraId="78088F7C">
            <w:pPr>
              <w:pStyle w:val="12"/>
            </w:pPr>
            <w:r>
              <w:t>为保证学校正常运转和改善办学条件。</w:t>
            </w:r>
          </w:p>
        </w:tc>
      </w:tr>
      <w:tr w14:paraId="046EB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023B8">
            <w:pPr>
              <w:pStyle w:val="10"/>
            </w:pPr>
            <w:r>
              <w:t>资金支出计划（%）</w:t>
            </w:r>
          </w:p>
        </w:tc>
        <w:tc>
          <w:tcPr>
            <w:tcW w:w="5103" w:type="dxa"/>
            <w:gridSpan w:val="2"/>
            <w:vAlign w:val="center"/>
          </w:tcPr>
          <w:p w14:paraId="1DD737A5">
            <w:pPr>
              <w:pStyle w:val="10"/>
            </w:pPr>
            <w:r>
              <w:t>3月底</w:t>
            </w:r>
          </w:p>
        </w:tc>
        <w:tc>
          <w:tcPr>
            <w:tcW w:w="2835" w:type="dxa"/>
            <w:vAlign w:val="center"/>
          </w:tcPr>
          <w:p w14:paraId="69845442">
            <w:pPr>
              <w:pStyle w:val="10"/>
            </w:pPr>
            <w:r>
              <w:t>6月底</w:t>
            </w:r>
          </w:p>
        </w:tc>
        <w:tc>
          <w:tcPr>
            <w:tcW w:w="2551" w:type="dxa"/>
            <w:vAlign w:val="center"/>
          </w:tcPr>
          <w:p w14:paraId="446D0298">
            <w:pPr>
              <w:pStyle w:val="10"/>
            </w:pPr>
            <w:r>
              <w:t>10月底</w:t>
            </w:r>
          </w:p>
        </w:tc>
        <w:tc>
          <w:tcPr>
            <w:tcW w:w="3544" w:type="dxa"/>
            <w:gridSpan w:val="2"/>
            <w:vAlign w:val="center"/>
          </w:tcPr>
          <w:p w14:paraId="277D6C47">
            <w:pPr>
              <w:pStyle w:val="10"/>
            </w:pPr>
            <w:r>
              <w:t>12月底</w:t>
            </w:r>
          </w:p>
        </w:tc>
      </w:tr>
      <w:tr w14:paraId="10882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5577D"/>
        </w:tc>
        <w:tc>
          <w:tcPr>
            <w:tcW w:w="5103" w:type="dxa"/>
            <w:gridSpan w:val="2"/>
            <w:vAlign w:val="center"/>
          </w:tcPr>
          <w:p w14:paraId="1790B0AD">
            <w:pPr>
              <w:pStyle w:val="13"/>
            </w:pPr>
            <w:r>
              <w:t>25%</w:t>
            </w:r>
          </w:p>
        </w:tc>
        <w:tc>
          <w:tcPr>
            <w:tcW w:w="2835" w:type="dxa"/>
            <w:vAlign w:val="center"/>
          </w:tcPr>
          <w:p w14:paraId="6C583EAA">
            <w:pPr>
              <w:pStyle w:val="13"/>
            </w:pPr>
            <w:r>
              <w:t>50%</w:t>
            </w:r>
          </w:p>
        </w:tc>
        <w:tc>
          <w:tcPr>
            <w:tcW w:w="2551" w:type="dxa"/>
            <w:vAlign w:val="center"/>
          </w:tcPr>
          <w:p w14:paraId="6DAD797C">
            <w:pPr>
              <w:pStyle w:val="13"/>
            </w:pPr>
            <w:r>
              <w:t>75%</w:t>
            </w:r>
          </w:p>
        </w:tc>
        <w:tc>
          <w:tcPr>
            <w:tcW w:w="3544" w:type="dxa"/>
            <w:gridSpan w:val="2"/>
            <w:vAlign w:val="center"/>
          </w:tcPr>
          <w:p w14:paraId="6F1ACD1B">
            <w:pPr>
              <w:pStyle w:val="13"/>
            </w:pPr>
            <w:r>
              <w:t>100%</w:t>
            </w:r>
          </w:p>
        </w:tc>
      </w:tr>
      <w:tr w14:paraId="11F7C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BF211">
            <w:pPr>
              <w:pStyle w:val="10"/>
            </w:pPr>
            <w:r>
              <w:t>绩效目标</w:t>
            </w:r>
          </w:p>
        </w:tc>
        <w:tc>
          <w:tcPr>
            <w:tcW w:w="14033" w:type="dxa"/>
            <w:gridSpan w:val="6"/>
            <w:vAlign w:val="center"/>
          </w:tcPr>
          <w:p w14:paraId="2BB00261">
            <w:pPr>
              <w:pStyle w:val="12"/>
            </w:pPr>
            <w:r>
              <w:t>1.为保证学校正常运转和改善办学条件。</w:t>
            </w:r>
          </w:p>
          <w:p w14:paraId="5894B942">
            <w:pPr>
              <w:pStyle w:val="12"/>
            </w:pPr>
            <w:r>
              <w:t>2.按拨款序时进度完成经费拨付和支出。</w:t>
            </w:r>
          </w:p>
        </w:tc>
      </w:tr>
    </w:tbl>
    <w:p w14:paraId="54C600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0A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0D3AE">
            <w:pPr>
              <w:pStyle w:val="10"/>
            </w:pPr>
            <w:r>
              <w:t>一级指标</w:t>
            </w:r>
          </w:p>
        </w:tc>
        <w:tc>
          <w:tcPr>
            <w:tcW w:w="2268" w:type="dxa"/>
            <w:vAlign w:val="center"/>
          </w:tcPr>
          <w:p w14:paraId="5180FCF7">
            <w:pPr>
              <w:pStyle w:val="10"/>
            </w:pPr>
            <w:r>
              <w:t>二级指标</w:t>
            </w:r>
          </w:p>
        </w:tc>
        <w:tc>
          <w:tcPr>
            <w:tcW w:w="2835" w:type="dxa"/>
            <w:vAlign w:val="center"/>
          </w:tcPr>
          <w:p w14:paraId="1E449C79">
            <w:pPr>
              <w:pStyle w:val="10"/>
            </w:pPr>
            <w:r>
              <w:t>三级指标</w:t>
            </w:r>
          </w:p>
        </w:tc>
        <w:tc>
          <w:tcPr>
            <w:tcW w:w="5386" w:type="dxa"/>
            <w:vAlign w:val="center"/>
          </w:tcPr>
          <w:p w14:paraId="7C95C53C">
            <w:pPr>
              <w:pStyle w:val="10"/>
            </w:pPr>
            <w:r>
              <w:t>绩效指标描述</w:t>
            </w:r>
          </w:p>
        </w:tc>
        <w:tc>
          <w:tcPr>
            <w:tcW w:w="2268" w:type="dxa"/>
            <w:vAlign w:val="center"/>
          </w:tcPr>
          <w:p w14:paraId="307B827B">
            <w:pPr>
              <w:pStyle w:val="10"/>
            </w:pPr>
            <w:r>
              <w:t>指标值</w:t>
            </w:r>
          </w:p>
        </w:tc>
        <w:tc>
          <w:tcPr>
            <w:tcW w:w="1276" w:type="dxa"/>
            <w:vAlign w:val="center"/>
          </w:tcPr>
          <w:p w14:paraId="792B421C">
            <w:pPr>
              <w:pStyle w:val="10"/>
            </w:pPr>
            <w:r>
              <w:t>指标值确定依据</w:t>
            </w:r>
          </w:p>
        </w:tc>
      </w:tr>
      <w:tr w14:paraId="6EED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D5033">
            <w:pPr>
              <w:pStyle w:val="13"/>
            </w:pPr>
            <w:r>
              <w:t>产出指标</w:t>
            </w:r>
          </w:p>
        </w:tc>
        <w:tc>
          <w:tcPr>
            <w:tcW w:w="2268" w:type="dxa"/>
            <w:vAlign w:val="center"/>
          </w:tcPr>
          <w:p w14:paraId="5017E062">
            <w:pPr>
              <w:pStyle w:val="12"/>
            </w:pPr>
            <w:r>
              <w:t>数量指标</w:t>
            </w:r>
          </w:p>
        </w:tc>
        <w:tc>
          <w:tcPr>
            <w:tcW w:w="2835" w:type="dxa"/>
            <w:vAlign w:val="center"/>
          </w:tcPr>
          <w:p w14:paraId="2840E5E9">
            <w:pPr>
              <w:pStyle w:val="12"/>
            </w:pPr>
            <w:r>
              <w:t>就读学生数</w:t>
            </w:r>
          </w:p>
        </w:tc>
        <w:tc>
          <w:tcPr>
            <w:tcW w:w="5386" w:type="dxa"/>
            <w:vAlign w:val="center"/>
          </w:tcPr>
          <w:p w14:paraId="465E1464">
            <w:pPr>
              <w:pStyle w:val="12"/>
            </w:pPr>
            <w:r>
              <w:t>辐射区域内适龄学生人数</w:t>
            </w:r>
          </w:p>
        </w:tc>
        <w:tc>
          <w:tcPr>
            <w:tcW w:w="2268" w:type="dxa"/>
            <w:vAlign w:val="center"/>
          </w:tcPr>
          <w:p w14:paraId="267F9FD2">
            <w:pPr>
              <w:pStyle w:val="12"/>
            </w:pPr>
            <w:r>
              <w:t>177人</w:t>
            </w:r>
          </w:p>
        </w:tc>
        <w:tc>
          <w:tcPr>
            <w:tcW w:w="1276" w:type="dxa"/>
            <w:vAlign w:val="center"/>
          </w:tcPr>
          <w:p w14:paraId="10380F06">
            <w:pPr>
              <w:pStyle w:val="12"/>
            </w:pPr>
            <w:r>
              <w:t>城乡义务教育公用经费管理办法</w:t>
            </w:r>
          </w:p>
        </w:tc>
      </w:tr>
      <w:tr w14:paraId="4BFE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7D228"/>
        </w:tc>
        <w:tc>
          <w:tcPr>
            <w:tcW w:w="2268" w:type="dxa"/>
            <w:vAlign w:val="center"/>
          </w:tcPr>
          <w:p w14:paraId="6F7C4C76">
            <w:pPr>
              <w:pStyle w:val="12"/>
            </w:pPr>
            <w:r>
              <w:t>质量指标</w:t>
            </w:r>
          </w:p>
        </w:tc>
        <w:tc>
          <w:tcPr>
            <w:tcW w:w="2835" w:type="dxa"/>
            <w:vAlign w:val="center"/>
          </w:tcPr>
          <w:p w14:paraId="67F92525">
            <w:pPr>
              <w:pStyle w:val="12"/>
            </w:pPr>
            <w:r>
              <w:t>预算执行率</w:t>
            </w:r>
          </w:p>
        </w:tc>
        <w:tc>
          <w:tcPr>
            <w:tcW w:w="5386" w:type="dxa"/>
            <w:vAlign w:val="center"/>
          </w:tcPr>
          <w:p w14:paraId="18E91889">
            <w:pPr>
              <w:pStyle w:val="12"/>
            </w:pPr>
            <w:r>
              <w:t>预算执行率≥98%</w:t>
            </w:r>
          </w:p>
        </w:tc>
        <w:tc>
          <w:tcPr>
            <w:tcW w:w="2268" w:type="dxa"/>
            <w:vAlign w:val="center"/>
          </w:tcPr>
          <w:p w14:paraId="13EA37E2">
            <w:pPr>
              <w:pStyle w:val="12"/>
            </w:pPr>
            <w:r>
              <w:t>≥98%</w:t>
            </w:r>
          </w:p>
        </w:tc>
        <w:tc>
          <w:tcPr>
            <w:tcW w:w="1276" w:type="dxa"/>
            <w:vAlign w:val="center"/>
          </w:tcPr>
          <w:p w14:paraId="38A09DBC">
            <w:pPr>
              <w:pStyle w:val="12"/>
            </w:pPr>
            <w:r>
              <w:t>城乡义务教育公用经费管理办法</w:t>
            </w:r>
          </w:p>
        </w:tc>
      </w:tr>
      <w:tr w14:paraId="0699DCB6">
        <w:tblPrEx>
          <w:tblCellMar>
            <w:top w:w="0" w:type="dxa"/>
            <w:left w:w="108" w:type="dxa"/>
            <w:bottom w:w="0" w:type="dxa"/>
            <w:right w:w="108" w:type="dxa"/>
          </w:tblCellMar>
        </w:tblPrEx>
        <w:trPr>
          <w:trHeight w:val="397" w:hRule="atLeast"/>
          <w:jc w:val="center"/>
        </w:trPr>
        <w:tc>
          <w:tcPr>
            <w:tcW w:w="1276" w:type="dxa"/>
            <w:vMerge w:val="continue"/>
            <w:vAlign w:val="center"/>
          </w:tcPr>
          <w:p w14:paraId="05AC8269"/>
        </w:tc>
        <w:tc>
          <w:tcPr>
            <w:tcW w:w="2268" w:type="dxa"/>
            <w:vAlign w:val="center"/>
          </w:tcPr>
          <w:p w14:paraId="3E412DE0">
            <w:pPr>
              <w:pStyle w:val="12"/>
            </w:pPr>
            <w:r>
              <w:t>时效指标</w:t>
            </w:r>
          </w:p>
        </w:tc>
        <w:tc>
          <w:tcPr>
            <w:tcW w:w="2835" w:type="dxa"/>
            <w:vAlign w:val="center"/>
          </w:tcPr>
          <w:p w14:paraId="256FABA5">
            <w:pPr>
              <w:pStyle w:val="12"/>
            </w:pPr>
            <w:r>
              <w:t>义教经费支付完成率</w:t>
            </w:r>
          </w:p>
        </w:tc>
        <w:tc>
          <w:tcPr>
            <w:tcW w:w="5386" w:type="dxa"/>
            <w:vAlign w:val="center"/>
          </w:tcPr>
          <w:p w14:paraId="6EDDC71B">
            <w:pPr>
              <w:pStyle w:val="12"/>
            </w:pPr>
            <w:r>
              <w:t>按照序时进度完成资金支付</w:t>
            </w:r>
          </w:p>
        </w:tc>
        <w:tc>
          <w:tcPr>
            <w:tcW w:w="2268" w:type="dxa"/>
            <w:vAlign w:val="center"/>
          </w:tcPr>
          <w:p w14:paraId="6F52CC4E">
            <w:pPr>
              <w:pStyle w:val="12"/>
            </w:pPr>
            <w:r>
              <w:t>≥98%</w:t>
            </w:r>
          </w:p>
        </w:tc>
        <w:tc>
          <w:tcPr>
            <w:tcW w:w="1276" w:type="dxa"/>
            <w:vAlign w:val="center"/>
          </w:tcPr>
          <w:p w14:paraId="45636A5C">
            <w:pPr>
              <w:pStyle w:val="12"/>
            </w:pPr>
            <w:r>
              <w:t>城乡义务教育公用经费管理办法</w:t>
            </w:r>
          </w:p>
        </w:tc>
      </w:tr>
      <w:tr w14:paraId="4EF78387">
        <w:tblPrEx>
          <w:tblCellMar>
            <w:top w:w="0" w:type="dxa"/>
            <w:left w:w="108" w:type="dxa"/>
            <w:bottom w:w="0" w:type="dxa"/>
            <w:right w:w="108" w:type="dxa"/>
          </w:tblCellMar>
        </w:tblPrEx>
        <w:trPr>
          <w:trHeight w:val="397" w:hRule="atLeast"/>
          <w:jc w:val="center"/>
        </w:trPr>
        <w:tc>
          <w:tcPr>
            <w:tcW w:w="1276" w:type="dxa"/>
            <w:vMerge w:val="continue"/>
            <w:vAlign w:val="center"/>
          </w:tcPr>
          <w:p w14:paraId="2FF4D496"/>
        </w:tc>
        <w:tc>
          <w:tcPr>
            <w:tcW w:w="2268" w:type="dxa"/>
            <w:vAlign w:val="center"/>
          </w:tcPr>
          <w:p w14:paraId="7E06DEC7">
            <w:pPr>
              <w:pStyle w:val="12"/>
            </w:pPr>
            <w:r>
              <w:t>成本指标</w:t>
            </w:r>
          </w:p>
        </w:tc>
        <w:tc>
          <w:tcPr>
            <w:tcW w:w="2835" w:type="dxa"/>
            <w:vAlign w:val="center"/>
          </w:tcPr>
          <w:p w14:paraId="240585C9">
            <w:pPr>
              <w:pStyle w:val="12"/>
            </w:pPr>
            <w:r>
              <w:t>生均拨款标准</w:t>
            </w:r>
          </w:p>
        </w:tc>
        <w:tc>
          <w:tcPr>
            <w:tcW w:w="5386" w:type="dxa"/>
            <w:vAlign w:val="center"/>
          </w:tcPr>
          <w:p w14:paraId="6578B0B9">
            <w:pPr>
              <w:pStyle w:val="12"/>
            </w:pPr>
            <w:r>
              <w:t>小学生公用经费生均小学720元，取暖费120元/生/年，随班就读学生补助7000元/生</w:t>
            </w:r>
          </w:p>
        </w:tc>
        <w:tc>
          <w:tcPr>
            <w:tcW w:w="2268" w:type="dxa"/>
            <w:vAlign w:val="center"/>
          </w:tcPr>
          <w:p w14:paraId="22D02429">
            <w:pPr>
              <w:pStyle w:val="12"/>
            </w:pPr>
            <w:r>
              <w:t>≥840元</w:t>
            </w:r>
          </w:p>
        </w:tc>
        <w:tc>
          <w:tcPr>
            <w:tcW w:w="1276" w:type="dxa"/>
            <w:vAlign w:val="center"/>
          </w:tcPr>
          <w:p w14:paraId="53B1655E">
            <w:pPr>
              <w:pStyle w:val="12"/>
            </w:pPr>
            <w:r>
              <w:t>城乡义务教育公用经费管理办法</w:t>
            </w:r>
          </w:p>
        </w:tc>
      </w:tr>
      <w:tr w14:paraId="5818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332F2">
            <w:pPr>
              <w:pStyle w:val="13"/>
            </w:pPr>
            <w:r>
              <w:t>效益指标</w:t>
            </w:r>
          </w:p>
        </w:tc>
        <w:tc>
          <w:tcPr>
            <w:tcW w:w="2268" w:type="dxa"/>
            <w:vAlign w:val="center"/>
          </w:tcPr>
          <w:p w14:paraId="0E1F295D">
            <w:pPr>
              <w:pStyle w:val="12"/>
            </w:pPr>
            <w:r>
              <w:t>社会效益指标</w:t>
            </w:r>
          </w:p>
        </w:tc>
        <w:tc>
          <w:tcPr>
            <w:tcW w:w="2835" w:type="dxa"/>
            <w:vAlign w:val="center"/>
          </w:tcPr>
          <w:p w14:paraId="07A2C5ED">
            <w:pPr>
              <w:pStyle w:val="12"/>
            </w:pPr>
            <w:r>
              <w:t>学校运转得到提高</w:t>
            </w:r>
          </w:p>
        </w:tc>
        <w:tc>
          <w:tcPr>
            <w:tcW w:w="5386" w:type="dxa"/>
            <w:vAlign w:val="center"/>
          </w:tcPr>
          <w:p w14:paraId="7B0B7789">
            <w:pPr>
              <w:pStyle w:val="12"/>
            </w:pPr>
            <w:r>
              <w:t>学生受教育年限</w:t>
            </w:r>
          </w:p>
        </w:tc>
        <w:tc>
          <w:tcPr>
            <w:tcW w:w="2268" w:type="dxa"/>
            <w:vAlign w:val="center"/>
          </w:tcPr>
          <w:p w14:paraId="6E1C75F6">
            <w:pPr>
              <w:pStyle w:val="12"/>
            </w:pPr>
            <w:r>
              <w:t>6年</w:t>
            </w:r>
          </w:p>
        </w:tc>
        <w:tc>
          <w:tcPr>
            <w:tcW w:w="1276" w:type="dxa"/>
            <w:vAlign w:val="center"/>
          </w:tcPr>
          <w:p w14:paraId="06F51B28">
            <w:pPr>
              <w:pStyle w:val="12"/>
            </w:pPr>
            <w:r>
              <w:t>城乡义务教育公用经费管理办法</w:t>
            </w:r>
          </w:p>
        </w:tc>
      </w:tr>
      <w:tr w14:paraId="537405E4">
        <w:tblPrEx>
          <w:tblCellMar>
            <w:top w:w="0" w:type="dxa"/>
            <w:left w:w="108" w:type="dxa"/>
            <w:bottom w:w="0" w:type="dxa"/>
            <w:right w:w="108" w:type="dxa"/>
          </w:tblCellMar>
        </w:tblPrEx>
        <w:trPr>
          <w:trHeight w:val="397" w:hRule="atLeast"/>
          <w:jc w:val="center"/>
        </w:trPr>
        <w:tc>
          <w:tcPr>
            <w:tcW w:w="1276" w:type="dxa"/>
            <w:vAlign w:val="center"/>
          </w:tcPr>
          <w:p w14:paraId="3456E290">
            <w:pPr>
              <w:pStyle w:val="13"/>
            </w:pPr>
            <w:r>
              <w:t>满意度指标</w:t>
            </w:r>
          </w:p>
        </w:tc>
        <w:tc>
          <w:tcPr>
            <w:tcW w:w="2268" w:type="dxa"/>
            <w:vAlign w:val="center"/>
          </w:tcPr>
          <w:p w14:paraId="088D2B57">
            <w:pPr>
              <w:pStyle w:val="12"/>
            </w:pPr>
            <w:r>
              <w:t>服务对象满意度指标</w:t>
            </w:r>
          </w:p>
        </w:tc>
        <w:tc>
          <w:tcPr>
            <w:tcW w:w="2835" w:type="dxa"/>
            <w:vAlign w:val="center"/>
          </w:tcPr>
          <w:p w14:paraId="2F720618">
            <w:pPr>
              <w:pStyle w:val="12"/>
            </w:pPr>
            <w:r>
              <w:t>服务对象满意度</w:t>
            </w:r>
          </w:p>
        </w:tc>
        <w:tc>
          <w:tcPr>
            <w:tcW w:w="5386" w:type="dxa"/>
            <w:vAlign w:val="center"/>
          </w:tcPr>
          <w:p w14:paraId="58456660">
            <w:pPr>
              <w:pStyle w:val="12"/>
            </w:pPr>
            <w:r>
              <w:t>学校老师和学生满意度</w:t>
            </w:r>
          </w:p>
        </w:tc>
        <w:tc>
          <w:tcPr>
            <w:tcW w:w="2268" w:type="dxa"/>
            <w:vAlign w:val="center"/>
          </w:tcPr>
          <w:p w14:paraId="4CE5FD71">
            <w:pPr>
              <w:pStyle w:val="12"/>
            </w:pPr>
            <w:r>
              <w:t>≥95%</w:t>
            </w:r>
          </w:p>
        </w:tc>
        <w:tc>
          <w:tcPr>
            <w:tcW w:w="1276" w:type="dxa"/>
            <w:vAlign w:val="center"/>
          </w:tcPr>
          <w:p w14:paraId="6AFD471E">
            <w:pPr>
              <w:pStyle w:val="12"/>
            </w:pPr>
            <w:r>
              <w:t>城乡义务教育公用经费管理办法</w:t>
            </w:r>
          </w:p>
        </w:tc>
      </w:tr>
    </w:tbl>
    <w:p w14:paraId="193BF179">
      <w:pPr>
        <w:sectPr>
          <w:pgSz w:w="16840" w:h="11900" w:orient="landscape"/>
          <w:pgMar w:top="1361" w:right="1020" w:bottom="1134" w:left="1020" w:header="720" w:footer="720" w:gutter="0"/>
          <w:cols w:space="720" w:num="1"/>
        </w:sectPr>
      </w:pPr>
    </w:p>
    <w:p w14:paraId="50057B46">
      <w:pPr>
        <w:spacing w:before="0" w:after="0"/>
        <w:ind w:firstLine="560"/>
        <w:jc w:val="left"/>
        <w:outlineLvl w:val="9"/>
      </w:pPr>
      <w:r>
        <w:rPr>
          <w:rFonts w:ascii="方正仿宋_GBK" w:hAnsi="方正仿宋_GBK" w:eastAsia="方正仿宋_GBK" w:cs="方正仿宋_GBK"/>
          <w:b/>
          <w:color w:val="000000"/>
          <w:sz w:val="28"/>
        </w:rPr>
        <w:t>13、冀财教[2025]147号/省级/义教/2026年校舍安全/毛尔寨小学校舍维修改造绩效目标表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42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339E4">
            <w:pPr>
              <w:pStyle w:val="11"/>
            </w:pPr>
            <w:r>
              <w:t>单位：万元</w:t>
            </w:r>
          </w:p>
        </w:tc>
      </w:tr>
      <w:tr w14:paraId="48DE5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00ECD">
            <w:pPr>
              <w:pStyle w:val="10"/>
            </w:pPr>
            <w:r>
              <w:t>项目编码</w:t>
            </w:r>
          </w:p>
        </w:tc>
        <w:tc>
          <w:tcPr>
            <w:tcW w:w="5103" w:type="dxa"/>
            <w:gridSpan w:val="2"/>
            <w:vAlign w:val="center"/>
          </w:tcPr>
          <w:p w14:paraId="1CF8975B">
            <w:pPr>
              <w:pStyle w:val="12"/>
            </w:pPr>
            <w:r>
              <w:t>13052526P00876210108F</w:t>
            </w:r>
          </w:p>
        </w:tc>
        <w:tc>
          <w:tcPr>
            <w:tcW w:w="2835" w:type="dxa"/>
            <w:vAlign w:val="center"/>
          </w:tcPr>
          <w:p w14:paraId="49CEA4F7">
            <w:pPr>
              <w:pStyle w:val="10"/>
            </w:pPr>
            <w:r>
              <w:t>项目名称</w:t>
            </w:r>
          </w:p>
        </w:tc>
        <w:tc>
          <w:tcPr>
            <w:tcW w:w="6095" w:type="dxa"/>
            <w:gridSpan w:val="3"/>
            <w:vAlign w:val="center"/>
          </w:tcPr>
          <w:p w14:paraId="76E3CCE1">
            <w:pPr>
              <w:pStyle w:val="12"/>
            </w:pPr>
            <w:r>
              <w:t>冀财教[2025]147号/省级/义教/2026年校舍安全/毛尔寨小学校舍维修改造</w:t>
            </w:r>
          </w:p>
        </w:tc>
      </w:tr>
      <w:tr w14:paraId="4F24F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AD8B6">
            <w:pPr>
              <w:pStyle w:val="10"/>
            </w:pPr>
            <w:r>
              <w:t>预算规模及资金用途</w:t>
            </w:r>
          </w:p>
        </w:tc>
        <w:tc>
          <w:tcPr>
            <w:tcW w:w="2268" w:type="dxa"/>
            <w:vAlign w:val="center"/>
          </w:tcPr>
          <w:p w14:paraId="02D69359">
            <w:pPr>
              <w:pStyle w:val="10"/>
            </w:pPr>
            <w:r>
              <w:t>预算数</w:t>
            </w:r>
          </w:p>
        </w:tc>
        <w:tc>
          <w:tcPr>
            <w:tcW w:w="2835" w:type="dxa"/>
            <w:vAlign w:val="center"/>
          </w:tcPr>
          <w:p w14:paraId="16C37463">
            <w:pPr>
              <w:pStyle w:val="12"/>
            </w:pPr>
            <w:r>
              <w:t>48.00</w:t>
            </w:r>
          </w:p>
        </w:tc>
        <w:tc>
          <w:tcPr>
            <w:tcW w:w="2835" w:type="dxa"/>
            <w:vAlign w:val="center"/>
          </w:tcPr>
          <w:p w14:paraId="4A5830FE">
            <w:pPr>
              <w:pStyle w:val="10"/>
            </w:pPr>
            <w:r>
              <w:t>其中：财政    资金</w:t>
            </w:r>
          </w:p>
        </w:tc>
        <w:tc>
          <w:tcPr>
            <w:tcW w:w="2551" w:type="dxa"/>
            <w:vAlign w:val="center"/>
          </w:tcPr>
          <w:p w14:paraId="53B58418">
            <w:pPr>
              <w:pStyle w:val="12"/>
            </w:pPr>
            <w:r>
              <w:t>48.00</w:t>
            </w:r>
          </w:p>
        </w:tc>
        <w:tc>
          <w:tcPr>
            <w:tcW w:w="2268" w:type="dxa"/>
            <w:vAlign w:val="center"/>
          </w:tcPr>
          <w:p w14:paraId="586194B6">
            <w:pPr>
              <w:pStyle w:val="10"/>
            </w:pPr>
            <w:r>
              <w:t>其他资金</w:t>
            </w:r>
          </w:p>
        </w:tc>
        <w:tc>
          <w:tcPr>
            <w:tcW w:w="1276" w:type="dxa"/>
            <w:vAlign w:val="center"/>
          </w:tcPr>
          <w:p w14:paraId="0C54E23D">
            <w:pPr>
              <w:pStyle w:val="12"/>
            </w:pPr>
            <w:r>
              <w:t xml:space="preserve"> </w:t>
            </w:r>
          </w:p>
        </w:tc>
      </w:tr>
      <w:tr w14:paraId="597DD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9AB55"/>
        </w:tc>
        <w:tc>
          <w:tcPr>
            <w:tcW w:w="14033" w:type="dxa"/>
            <w:gridSpan w:val="6"/>
            <w:vAlign w:val="center"/>
          </w:tcPr>
          <w:p w14:paraId="6986A2ED">
            <w:pPr>
              <w:pStyle w:val="12"/>
            </w:pPr>
            <w:r>
              <w:t>改善义务教育办学条件，进一步提升教育教学办学质量</w:t>
            </w:r>
            <w:r>
              <w:tab/>
            </w:r>
            <w:r>
              <w:tab/>
            </w:r>
            <w:r>
              <w:tab/>
            </w:r>
            <w:r>
              <w:tab/>
            </w:r>
            <w:r>
              <w:tab/>
            </w:r>
          </w:p>
        </w:tc>
      </w:tr>
      <w:tr w14:paraId="66939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3486E">
            <w:pPr>
              <w:pStyle w:val="10"/>
            </w:pPr>
            <w:r>
              <w:t>资金支出计划（%）</w:t>
            </w:r>
          </w:p>
        </w:tc>
        <w:tc>
          <w:tcPr>
            <w:tcW w:w="5103" w:type="dxa"/>
            <w:gridSpan w:val="2"/>
            <w:vAlign w:val="center"/>
          </w:tcPr>
          <w:p w14:paraId="6FA0DAE9">
            <w:pPr>
              <w:pStyle w:val="10"/>
            </w:pPr>
            <w:r>
              <w:t>3月底</w:t>
            </w:r>
          </w:p>
        </w:tc>
        <w:tc>
          <w:tcPr>
            <w:tcW w:w="2835" w:type="dxa"/>
            <w:vAlign w:val="center"/>
          </w:tcPr>
          <w:p w14:paraId="1E06F21E">
            <w:pPr>
              <w:pStyle w:val="10"/>
            </w:pPr>
            <w:r>
              <w:t>6月底</w:t>
            </w:r>
          </w:p>
        </w:tc>
        <w:tc>
          <w:tcPr>
            <w:tcW w:w="2551" w:type="dxa"/>
            <w:vAlign w:val="center"/>
          </w:tcPr>
          <w:p w14:paraId="48FEFED9">
            <w:pPr>
              <w:pStyle w:val="10"/>
            </w:pPr>
            <w:r>
              <w:t>10月底</w:t>
            </w:r>
          </w:p>
        </w:tc>
        <w:tc>
          <w:tcPr>
            <w:tcW w:w="3544" w:type="dxa"/>
            <w:gridSpan w:val="2"/>
            <w:vAlign w:val="center"/>
          </w:tcPr>
          <w:p w14:paraId="40E24B79">
            <w:pPr>
              <w:pStyle w:val="10"/>
            </w:pPr>
            <w:r>
              <w:t>12月底</w:t>
            </w:r>
          </w:p>
        </w:tc>
      </w:tr>
      <w:tr w14:paraId="46357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64EAA"/>
        </w:tc>
        <w:tc>
          <w:tcPr>
            <w:tcW w:w="5103" w:type="dxa"/>
            <w:gridSpan w:val="2"/>
            <w:vAlign w:val="center"/>
          </w:tcPr>
          <w:p w14:paraId="7BEC3A67">
            <w:pPr>
              <w:pStyle w:val="13"/>
            </w:pPr>
            <w:r>
              <w:t xml:space="preserve"> </w:t>
            </w:r>
          </w:p>
        </w:tc>
        <w:tc>
          <w:tcPr>
            <w:tcW w:w="2835" w:type="dxa"/>
            <w:vAlign w:val="center"/>
          </w:tcPr>
          <w:p w14:paraId="16FAC459">
            <w:pPr>
              <w:pStyle w:val="13"/>
            </w:pPr>
            <w:r>
              <w:t>50%</w:t>
            </w:r>
          </w:p>
        </w:tc>
        <w:tc>
          <w:tcPr>
            <w:tcW w:w="2551" w:type="dxa"/>
            <w:vAlign w:val="center"/>
          </w:tcPr>
          <w:p w14:paraId="3D40E46A">
            <w:pPr>
              <w:pStyle w:val="13"/>
            </w:pPr>
            <w:r>
              <w:t>100%</w:t>
            </w:r>
          </w:p>
        </w:tc>
        <w:tc>
          <w:tcPr>
            <w:tcW w:w="3544" w:type="dxa"/>
            <w:gridSpan w:val="2"/>
            <w:vAlign w:val="center"/>
          </w:tcPr>
          <w:p w14:paraId="5801D701">
            <w:pPr>
              <w:pStyle w:val="13"/>
            </w:pPr>
            <w:r>
              <w:t>100%</w:t>
            </w:r>
          </w:p>
        </w:tc>
      </w:tr>
      <w:tr w14:paraId="36AB7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1C8E7">
            <w:pPr>
              <w:pStyle w:val="10"/>
            </w:pPr>
            <w:r>
              <w:t>绩效目标</w:t>
            </w:r>
          </w:p>
        </w:tc>
        <w:tc>
          <w:tcPr>
            <w:tcW w:w="14033" w:type="dxa"/>
            <w:gridSpan w:val="6"/>
            <w:vAlign w:val="center"/>
          </w:tcPr>
          <w:p w14:paraId="53FD882D">
            <w:pPr>
              <w:pStyle w:val="12"/>
            </w:pPr>
            <w:r>
              <w:t>1.改善义务教育办学条件，进一步提升教育教学办学质量</w:t>
            </w:r>
            <w:r>
              <w:tab/>
            </w:r>
            <w:r>
              <w:tab/>
            </w:r>
            <w:r>
              <w:tab/>
            </w:r>
            <w:r>
              <w:tab/>
            </w:r>
            <w:r>
              <w:tab/>
            </w:r>
          </w:p>
        </w:tc>
      </w:tr>
    </w:tbl>
    <w:p w14:paraId="291B8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1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1A5FC">
            <w:pPr>
              <w:pStyle w:val="10"/>
            </w:pPr>
            <w:r>
              <w:t>一级指标</w:t>
            </w:r>
          </w:p>
        </w:tc>
        <w:tc>
          <w:tcPr>
            <w:tcW w:w="2268" w:type="dxa"/>
            <w:vAlign w:val="center"/>
          </w:tcPr>
          <w:p w14:paraId="5BE40B98">
            <w:pPr>
              <w:pStyle w:val="10"/>
            </w:pPr>
            <w:r>
              <w:t>二级指标</w:t>
            </w:r>
          </w:p>
        </w:tc>
        <w:tc>
          <w:tcPr>
            <w:tcW w:w="2835" w:type="dxa"/>
            <w:vAlign w:val="center"/>
          </w:tcPr>
          <w:p w14:paraId="2115D165">
            <w:pPr>
              <w:pStyle w:val="10"/>
            </w:pPr>
            <w:r>
              <w:t>三级指标</w:t>
            </w:r>
          </w:p>
        </w:tc>
        <w:tc>
          <w:tcPr>
            <w:tcW w:w="5386" w:type="dxa"/>
            <w:vAlign w:val="center"/>
          </w:tcPr>
          <w:p w14:paraId="72171D60">
            <w:pPr>
              <w:pStyle w:val="10"/>
            </w:pPr>
            <w:r>
              <w:t>绩效指标描述</w:t>
            </w:r>
          </w:p>
        </w:tc>
        <w:tc>
          <w:tcPr>
            <w:tcW w:w="2268" w:type="dxa"/>
            <w:vAlign w:val="center"/>
          </w:tcPr>
          <w:p w14:paraId="41527F18">
            <w:pPr>
              <w:pStyle w:val="10"/>
            </w:pPr>
            <w:r>
              <w:t>指标值</w:t>
            </w:r>
          </w:p>
        </w:tc>
        <w:tc>
          <w:tcPr>
            <w:tcW w:w="1276" w:type="dxa"/>
            <w:vAlign w:val="center"/>
          </w:tcPr>
          <w:p w14:paraId="58DE79FD">
            <w:pPr>
              <w:pStyle w:val="10"/>
            </w:pPr>
            <w:r>
              <w:t>指标值确定依据</w:t>
            </w:r>
          </w:p>
        </w:tc>
      </w:tr>
      <w:tr w14:paraId="5252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2381D">
            <w:pPr>
              <w:pStyle w:val="13"/>
            </w:pPr>
            <w:r>
              <w:t>产出指标</w:t>
            </w:r>
          </w:p>
        </w:tc>
        <w:tc>
          <w:tcPr>
            <w:tcW w:w="2268" w:type="dxa"/>
            <w:vAlign w:val="center"/>
          </w:tcPr>
          <w:p w14:paraId="43BF50F8">
            <w:pPr>
              <w:pStyle w:val="12"/>
            </w:pPr>
            <w:r>
              <w:t>数量指标</w:t>
            </w:r>
          </w:p>
        </w:tc>
        <w:tc>
          <w:tcPr>
            <w:tcW w:w="2835" w:type="dxa"/>
            <w:vAlign w:val="center"/>
          </w:tcPr>
          <w:p w14:paraId="75E7A2B5">
            <w:pPr>
              <w:pStyle w:val="12"/>
            </w:pPr>
            <w:r>
              <w:t>校舍维修改造</w:t>
            </w:r>
          </w:p>
        </w:tc>
        <w:tc>
          <w:tcPr>
            <w:tcW w:w="5386" w:type="dxa"/>
            <w:vAlign w:val="center"/>
          </w:tcPr>
          <w:p w14:paraId="62C25A14">
            <w:pPr>
              <w:pStyle w:val="12"/>
            </w:pPr>
            <w:r>
              <w:t>教学楼外墙维修喷漆、台阶修补、宿舍地面铺地板砖，校园外墙喷漆</w:t>
            </w:r>
          </w:p>
        </w:tc>
        <w:tc>
          <w:tcPr>
            <w:tcW w:w="2268" w:type="dxa"/>
            <w:vAlign w:val="center"/>
          </w:tcPr>
          <w:p w14:paraId="002142F4">
            <w:pPr>
              <w:pStyle w:val="12"/>
            </w:pPr>
            <w:r>
              <w:t>1项</w:t>
            </w:r>
          </w:p>
        </w:tc>
        <w:tc>
          <w:tcPr>
            <w:tcW w:w="1276" w:type="dxa"/>
            <w:vAlign w:val="center"/>
          </w:tcPr>
          <w:p w14:paraId="09B86A90">
            <w:pPr>
              <w:pStyle w:val="12"/>
            </w:pPr>
            <w:r>
              <w:t>项目规划</w:t>
            </w:r>
          </w:p>
        </w:tc>
      </w:tr>
      <w:tr w14:paraId="72E4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A94FE"/>
        </w:tc>
        <w:tc>
          <w:tcPr>
            <w:tcW w:w="2268" w:type="dxa"/>
            <w:vAlign w:val="center"/>
          </w:tcPr>
          <w:p w14:paraId="77E59FE6">
            <w:pPr>
              <w:pStyle w:val="12"/>
            </w:pPr>
            <w:r>
              <w:t>质量指标</w:t>
            </w:r>
          </w:p>
        </w:tc>
        <w:tc>
          <w:tcPr>
            <w:tcW w:w="2835" w:type="dxa"/>
            <w:vAlign w:val="center"/>
          </w:tcPr>
          <w:p w14:paraId="3555A623">
            <w:pPr>
              <w:pStyle w:val="12"/>
            </w:pPr>
            <w:r>
              <w:t>工程实施验收合格率</w:t>
            </w:r>
          </w:p>
        </w:tc>
        <w:tc>
          <w:tcPr>
            <w:tcW w:w="5386" w:type="dxa"/>
            <w:vAlign w:val="center"/>
          </w:tcPr>
          <w:p w14:paraId="6E50F16D">
            <w:pPr>
              <w:pStyle w:val="12"/>
            </w:pPr>
            <w:r>
              <w:t>申报程序的合规，项目实施及资金使用符合项目规划</w:t>
            </w:r>
          </w:p>
        </w:tc>
        <w:tc>
          <w:tcPr>
            <w:tcW w:w="2268" w:type="dxa"/>
            <w:vAlign w:val="center"/>
          </w:tcPr>
          <w:p w14:paraId="26A708B4">
            <w:pPr>
              <w:pStyle w:val="12"/>
            </w:pPr>
            <w:r>
              <w:t>≥98%</w:t>
            </w:r>
          </w:p>
        </w:tc>
        <w:tc>
          <w:tcPr>
            <w:tcW w:w="1276" w:type="dxa"/>
            <w:vAlign w:val="center"/>
          </w:tcPr>
          <w:p w14:paraId="07A6E138">
            <w:pPr>
              <w:pStyle w:val="12"/>
            </w:pPr>
            <w:r>
              <w:t>项目规划</w:t>
            </w:r>
          </w:p>
        </w:tc>
      </w:tr>
      <w:tr w14:paraId="4A7D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2122E"/>
        </w:tc>
        <w:tc>
          <w:tcPr>
            <w:tcW w:w="2268" w:type="dxa"/>
            <w:vAlign w:val="center"/>
          </w:tcPr>
          <w:p w14:paraId="3D0E25D8">
            <w:pPr>
              <w:pStyle w:val="12"/>
            </w:pPr>
            <w:r>
              <w:t>时效指标</w:t>
            </w:r>
          </w:p>
        </w:tc>
        <w:tc>
          <w:tcPr>
            <w:tcW w:w="2835" w:type="dxa"/>
            <w:vAlign w:val="center"/>
          </w:tcPr>
          <w:p w14:paraId="75AC2476">
            <w:pPr>
              <w:pStyle w:val="12"/>
            </w:pPr>
            <w:r>
              <w:t>资金支付率</w:t>
            </w:r>
          </w:p>
        </w:tc>
        <w:tc>
          <w:tcPr>
            <w:tcW w:w="5386" w:type="dxa"/>
            <w:vAlign w:val="center"/>
          </w:tcPr>
          <w:p w14:paraId="7D3B4610">
            <w:pPr>
              <w:pStyle w:val="12"/>
            </w:pPr>
            <w:r>
              <w:t>按照序时进度完成资金支付</w:t>
            </w:r>
          </w:p>
        </w:tc>
        <w:tc>
          <w:tcPr>
            <w:tcW w:w="2268" w:type="dxa"/>
            <w:vAlign w:val="center"/>
          </w:tcPr>
          <w:p w14:paraId="28416D86">
            <w:pPr>
              <w:pStyle w:val="12"/>
            </w:pPr>
            <w:r>
              <w:t>≥98%</w:t>
            </w:r>
          </w:p>
        </w:tc>
        <w:tc>
          <w:tcPr>
            <w:tcW w:w="1276" w:type="dxa"/>
            <w:vAlign w:val="center"/>
          </w:tcPr>
          <w:p w14:paraId="740913C0">
            <w:pPr>
              <w:pStyle w:val="12"/>
            </w:pPr>
            <w:r>
              <w:t>项目规划</w:t>
            </w:r>
          </w:p>
        </w:tc>
      </w:tr>
      <w:tr w14:paraId="66D3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ADBBC"/>
        </w:tc>
        <w:tc>
          <w:tcPr>
            <w:tcW w:w="2268" w:type="dxa"/>
            <w:vAlign w:val="center"/>
          </w:tcPr>
          <w:p w14:paraId="6E9053FA">
            <w:pPr>
              <w:pStyle w:val="12"/>
            </w:pPr>
            <w:r>
              <w:t>成本指标</w:t>
            </w:r>
          </w:p>
        </w:tc>
        <w:tc>
          <w:tcPr>
            <w:tcW w:w="2835" w:type="dxa"/>
            <w:vAlign w:val="center"/>
          </w:tcPr>
          <w:p w14:paraId="6B422A0F">
            <w:pPr>
              <w:pStyle w:val="12"/>
            </w:pPr>
            <w:r>
              <w:t>项目成本控制情况</w:t>
            </w:r>
          </w:p>
        </w:tc>
        <w:tc>
          <w:tcPr>
            <w:tcW w:w="5386" w:type="dxa"/>
            <w:vAlign w:val="center"/>
          </w:tcPr>
          <w:p w14:paraId="7DC07060">
            <w:pPr>
              <w:pStyle w:val="12"/>
            </w:pPr>
            <w:r>
              <w:t>严格按照招标价格及审计额进行</w:t>
            </w:r>
          </w:p>
        </w:tc>
        <w:tc>
          <w:tcPr>
            <w:tcW w:w="2268" w:type="dxa"/>
            <w:vAlign w:val="center"/>
          </w:tcPr>
          <w:p w14:paraId="13164521">
            <w:pPr>
              <w:pStyle w:val="12"/>
            </w:pPr>
            <w:r>
              <w:t>480000元</w:t>
            </w:r>
          </w:p>
        </w:tc>
        <w:tc>
          <w:tcPr>
            <w:tcW w:w="1276" w:type="dxa"/>
            <w:vAlign w:val="center"/>
          </w:tcPr>
          <w:p w14:paraId="5136BF40">
            <w:pPr>
              <w:pStyle w:val="12"/>
            </w:pPr>
            <w:r>
              <w:t>项目规划</w:t>
            </w:r>
          </w:p>
        </w:tc>
      </w:tr>
      <w:tr w14:paraId="262C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6B5E4">
            <w:pPr>
              <w:pStyle w:val="13"/>
            </w:pPr>
            <w:r>
              <w:t>效益指标</w:t>
            </w:r>
          </w:p>
        </w:tc>
        <w:tc>
          <w:tcPr>
            <w:tcW w:w="2268" w:type="dxa"/>
            <w:vAlign w:val="center"/>
          </w:tcPr>
          <w:p w14:paraId="36FE158F">
            <w:pPr>
              <w:pStyle w:val="12"/>
            </w:pPr>
            <w:r>
              <w:t>可持续影响指标</w:t>
            </w:r>
          </w:p>
        </w:tc>
        <w:tc>
          <w:tcPr>
            <w:tcW w:w="2835" w:type="dxa"/>
            <w:vAlign w:val="center"/>
          </w:tcPr>
          <w:p w14:paraId="4D156F79">
            <w:pPr>
              <w:pStyle w:val="12"/>
            </w:pPr>
            <w:r>
              <w:t>学校日常运转</w:t>
            </w:r>
          </w:p>
        </w:tc>
        <w:tc>
          <w:tcPr>
            <w:tcW w:w="5386" w:type="dxa"/>
            <w:vAlign w:val="center"/>
          </w:tcPr>
          <w:p w14:paraId="3802D113">
            <w:pPr>
              <w:pStyle w:val="12"/>
            </w:pPr>
            <w:r>
              <w:t>学生受教育年限</w:t>
            </w:r>
          </w:p>
        </w:tc>
        <w:tc>
          <w:tcPr>
            <w:tcW w:w="2268" w:type="dxa"/>
            <w:vAlign w:val="center"/>
          </w:tcPr>
          <w:p w14:paraId="7C2A77C1">
            <w:pPr>
              <w:pStyle w:val="12"/>
            </w:pPr>
            <w:r>
              <w:t>6年</w:t>
            </w:r>
          </w:p>
        </w:tc>
        <w:tc>
          <w:tcPr>
            <w:tcW w:w="1276" w:type="dxa"/>
            <w:vAlign w:val="center"/>
          </w:tcPr>
          <w:p w14:paraId="7DC5C36B">
            <w:pPr>
              <w:pStyle w:val="12"/>
            </w:pPr>
            <w:r>
              <w:t>项目规划</w:t>
            </w:r>
          </w:p>
        </w:tc>
      </w:tr>
      <w:tr w14:paraId="7628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41DD4">
            <w:pPr>
              <w:pStyle w:val="13"/>
            </w:pPr>
            <w:r>
              <w:t>满意度指标</w:t>
            </w:r>
          </w:p>
        </w:tc>
        <w:tc>
          <w:tcPr>
            <w:tcW w:w="2268" w:type="dxa"/>
            <w:vAlign w:val="center"/>
          </w:tcPr>
          <w:p w14:paraId="180533BC">
            <w:pPr>
              <w:pStyle w:val="12"/>
            </w:pPr>
            <w:r>
              <w:t>服务对象满意度指标</w:t>
            </w:r>
          </w:p>
        </w:tc>
        <w:tc>
          <w:tcPr>
            <w:tcW w:w="2835" w:type="dxa"/>
            <w:vAlign w:val="center"/>
          </w:tcPr>
          <w:p w14:paraId="6FDAAB78">
            <w:pPr>
              <w:pStyle w:val="12"/>
            </w:pPr>
            <w:r>
              <w:t>学生、教师及家长对学校教学环境满意度情况</w:t>
            </w:r>
          </w:p>
        </w:tc>
        <w:tc>
          <w:tcPr>
            <w:tcW w:w="5386" w:type="dxa"/>
            <w:vAlign w:val="center"/>
          </w:tcPr>
          <w:p w14:paraId="653EFBEC">
            <w:pPr>
              <w:pStyle w:val="12"/>
            </w:pPr>
            <w:r>
              <w:t>学生、教师及家长对学校教学环境满意度情况</w:t>
            </w:r>
          </w:p>
        </w:tc>
        <w:tc>
          <w:tcPr>
            <w:tcW w:w="2268" w:type="dxa"/>
            <w:vAlign w:val="center"/>
          </w:tcPr>
          <w:p w14:paraId="4EF2BCA5">
            <w:pPr>
              <w:pStyle w:val="12"/>
            </w:pPr>
            <w:r>
              <w:t>≥95%</w:t>
            </w:r>
          </w:p>
        </w:tc>
        <w:tc>
          <w:tcPr>
            <w:tcW w:w="1276" w:type="dxa"/>
            <w:vAlign w:val="center"/>
          </w:tcPr>
          <w:p w14:paraId="3FB952FE">
            <w:pPr>
              <w:pStyle w:val="12"/>
            </w:pPr>
            <w:r>
              <w:t>调查问卷</w:t>
            </w:r>
          </w:p>
        </w:tc>
      </w:tr>
    </w:tbl>
    <w:p w14:paraId="56680C41">
      <w:pPr>
        <w:sectPr>
          <w:pgSz w:w="16840" w:h="11900" w:orient="landscape"/>
          <w:pgMar w:top="1361" w:right="1020" w:bottom="1134" w:left="1020" w:header="720" w:footer="720" w:gutter="0"/>
          <w:cols w:space="720" w:num="1"/>
        </w:sectPr>
      </w:pPr>
    </w:p>
    <w:p w14:paraId="53BF5F98">
      <w:pPr>
        <w:spacing w:before="0" w:after="0"/>
        <w:ind w:firstLine="560"/>
        <w:jc w:val="left"/>
        <w:outlineLvl w:val="9"/>
      </w:pPr>
      <w:r>
        <w:rPr>
          <w:rFonts w:ascii="方正仿宋_GBK" w:hAnsi="方正仿宋_GBK" w:eastAsia="方正仿宋_GBK" w:cs="方正仿宋_GBK"/>
          <w:b/>
          <w:color w:val="000000"/>
          <w:sz w:val="28"/>
        </w:rPr>
        <w:t>14、冀财教[2025]148号/支持义务教育发展/千户营校区徐麻营小学公用经费绩效目标表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34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259EC">
            <w:pPr>
              <w:pStyle w:val="11"/>
            </w:pPr>
            <w:r>
              <w:t>单位：万元</w:t>
            </w:r>
          </w:p>
        </w:tc>
      </w:tr>
      <w:tr w14:paraId="4ECAA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13D55">
            <w:pPr>
              <w:pStyle w:val="10"/>
            </w:pPr>
            <w:r>
              <w:t>项目编码</w:t>
            </w:r>
          </w:p>
        </w:tc>
        <w:tc>
          <w:tcPr>
            <w:tcW w:w="5103" w:type="dxa"/>
            <w:gridSpan w:val="2"/>
            <w:vAlign w:val="center"/>
          </w:tcPr>
          <w:p w14:paraId="7298F5F1">
            <w:pPr>
              <w:pStyle w:val="12"/>
            </w:pPr>
            <w:r>
              <w:t>13052526P00000210136M</w:t>
            </w:r>
          </w:p>
        </w:tc>
        <w:tc>
          <w:tcPr>
            <w:tcW w:w="2835" w:type="dxa"/>
            <w:vAlign w:val="center"/>
          </w:tcPr>
          <w:p w14:paraId="1E0AB873">
            <w:pPr>
              <w:pStyle w:val="10"/>
            </w:pPr>
            <w:r>
              <w:t>项目名称</w:t>
            </w:r>
          </w:p>
        </w:tc>
        <w:tc>
          <w:tcPr>
            <w:tcW w:w="6095" w:type="dxa"/>
            <w:gridSpan w:val="3"/>
            <w:vAlign w:val="center"/>
          </w:tcPr>
          <w:p w14:paraId="47BA531E">
            <w:pPr>
              <w:pStyle w:val="12"/>
            </w:pPr>
            <w:r>
              <w:t>冀财教[2025]148号/支持义务教育发展/千户营校区徐麻营小学公用经费</w:t>
            </w:r>
          </w:p>
        </w:tc>
      </w:tr>
      <w:tr w14:paraId="1E808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83D89">
            <w:pPr>
              <w:pStyle w:val="10"/>
            </w:pPr>
            <w:r>
              <w:t>预算规模及资金用途</w:t>
            </w:r>
          </w:p>
        </w:tc>
        <w:tc>
          <w:tcPr>
            <w:tcW w:w="2268" w:type="dxa"/>
            <w:vAlign w:val="center"/>
          </w:tcPr>
          <w:p w14:paraId="196C35DD">
            <w:pPr>
              <w:pStyle w:val="10"/>
            </w:pPr>
            <w:r>
              <w:t>预算数</w:t>
            </w:r>
          </w:p>
        </w:tc>
        <w:tc>
          <w:tcPr>
            <w:tcW w:w="2835" w:type="dxa"/>
            <w:vAlign w:val="center"/>
          </w:tcPr>
          <w:p w14:paraId="3D937308">
            <w:pPr>
              <w:pStyle w:val="12"/>
            </w:pPr>
            <w:r>
              <w:t>8.00</w:t>
            </w:r>
          </w:p>
        </w:tc>
        <w:tc>
          <w:tcPr>
            <w:tcW w:w="2835" w:type="dxa"/>
            <w:vAlign w:val="center"/>
          </w:tcPr>
          <w:p w14:paraId="55494530">
            <w:pPr>
              <w:pStyle w:val="10"/>
            </w:pPr>
            <w:r>
              <w:t>其中：财政    资金</w:t>
            </w:r>
          </w:p>
        </w:tc>
        <w:tc>
          <w:tcPr>
            <w:tcW w:w="2551" w:type="dxa"/>
            <w:vAlign w:val="center"/>
          </w:tcPr>
          <w:p w14:paraId="11A55037">
            <w:pPr>
              <w:pStyle w:val="12"/>
            </w:pPr>
            <w:r>
              <w:t>8.00</w:t>
            </w:r>
          </w:p>
        </w:tc>
        <w:tc>
          <w:tcPr>
            <w:tcW w:w="2268" w:type="dxa"/>
            <w:vAlign w:val="center"/>
          </w:tcPr>
          <w:p w14:paraId="3387707E">
            <w:pPr>
              <w:pStyle w:val="10"/>
            </w:pPr>
            <w:r>
              <w:t>其他资金</w:t>
            </w:r>
          </w:p>
        </w:tc>
        <w:tc>
          <w:tcPr>
            <w:tcW w:w="1276" w:type="dxa"/>
            <w:vAlign w:val="center"/>
          </w:tcPr>
          <w:p w14:paraId="614B6999">
            <w:pPr>
              <w:pStyle w:val="12"/>
            </w:pPr>
            <w:r>
              <w:t xml:space="preserve"> </w:t>
            </w:r>
          </w:p>
        </w:tc>
      </w:tr>
      <w:tr w14:paraId="75DEC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EAF01"/>
        </w:tc>
        <w:tc>
          <w:tcPr>
            <w:tcW w:w="14033" w:type="dxa"/>
            <w:gridSpan w:val="6"/>
            <w:vAlign w:val="center"/>
          </w:tcPr>
          <w:p w14:paraId="36C9C69B">
            <w:pPr>
              <w:pStyle w:val="12"/>
            </w:pPr>
            <w:r>
              <w:t>提高教学条件，提升教学水平，进一步提高学校</w:t>
            </w:r>
            <w:r>
              <w:rPr>
                <w:rFonts w:hint="eastAsia"/>
                <w:lang w:eastAsia="zh-CN"/>
              </w:rPr>
              <w:t>环境</w:t>
            </w:r>
            <w:r>
              <w:t>条件。</w:t>
            </w:r>
          </w:p>
        </w:tc>
      </w:tr>
      <w:tr w14:paraId="49742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9FF38">
            <w:pPr>
              <w:pStyle w:val="10"/>
            </w:pPr>
            <w:r>
              <w:t>资金支出计划（%）</w:t>
            </w:r>
          </w:p>
        </w:tc>
        <w:tc>
          <w:tcPr>
            <w:tcW w:w="5103" w:type="dxa"/>
            <w:gridSpan w:val="2"/>
            <w:vAlign w:val="center"/>
          </w:tcPr>
          <w:p w14:paraId="1379B6D6">
            <w:pPr>
              <w:pStyle w:val="10"/>
            </w:pPr>
            <w:r>
              <w:t>3月底</w:t>
            </w:r>
          </w:p>
        </w:tc>
        <w:tc>
          <w:tcPr>
            <w:tcW w:w="2835" w:type="dxa"/>
            <w:vAlign w:val="center"/>
          </w:tcPr>
          <w:p w14:paraId="57FDDB6B">
            <w:pPr>
              <w:pStyle w:val="10"/>
            </w:pPr>
            <w:r>
              <w:t>6月底</w:t>
            </w:r>
          </w:p>
        </w:tc>
        <w:tc>
          <w:tcPr>
            <w:tcW w:w="2551" w:type="dxa"/>
            <w:vAlign w:val="center"/>
          </w:tcPr>
          <w:p w14:paraId="11E970FA">
            <w:pPr>
              <w:pStyle w:val="10"/>
            </w:pPr>
            <w:r>
              <w:t>10月底</w:t>
            </w:r>
          </w:p>
        </w:tc>
        <w:tc>
          <w:tcPr>
            <w:tcW w:w="3544" w:type="dxa"/>
            <w:gridSpan w:val="2"/>
            <w:vAlign w:val="center"/>
          </w:tcPr>
          <w:p w14:paraId="618AFABD">
            <w:pPr>
              <w:pStyle w:val="10"/>
            </w:pPr>
            <w:r>
              <w:t>12月底</w:t>
            </w:r>
          </w:p>
        </w:tc>
      </w:tr>
      <w:tr w14:paraId="047DD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C9CE7"/>
        </w:tc>
        <w:tc>
          <w:tcPr>
            <w:tcW w:w="5103" w:type="dxa"/>
            <w:gridSpan w:val="2"/>
            <w:vAlign w:val="center"/>
          </w:tcPr>
          <w:p w14:paraId="390CCA4E">
            <w:pPr>
              <w:pStyle w:val="13"/>
            </w:pPr>
            <w:r>
              <w:t xml:space="preserve"> </w:t>
            </w:r>
          </w:p>
        </w:tc>
        <w:tc>
          <w:tcPr>
            <w:tcW w:w="2835" w:type="dxa"/>
            <w:vAlign w:val="center"/>
          </w:tcPr>
          <w:p w14:paraId="593E4959">
            <w:pPr>
              <w:pStyle w:val="13"/>
            </w:pPr>
            <w:r>
              <w:t>50%</w:t>
            </w:r>
          </w:p>
        </w:tc>
        <w:tc>
          <w:tcPr>
            <w:tcW w:w="2551" w:type="dxa"/>
            <w:vAlign w:val="center"/>
          </w:tcPr>
          <w:p w14:paraId="243FFB45">
            <w:pPr>
              <w:pStyle w:val="13"/>
            </w:pPr>
            <w:r>
              <w:t>100%</w:t>
            </w:r>
          </w:p>
        </w:tc>
        <w:tc>
          <w:tcPr>
            <w:tcW w:w="3544" w:type="dxa"/>
            <w:gridSpan w:val="2"/>
            <w:vAlign w:val="center"/>
          </w:tcPr>
          <w:p w14:paraId="052796E1">
            <w:pPr>
              <w:pStyle w:val="13"/>
            </w:pPr>
            <w:r>
              <w:t>100%</w:t>
            </w:r>
          </w:p>
        </w:tc>
      </w:tr>
      <w:tr w14:paraId="01B5A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E26D3">
            <w:pPr>
              <w:pStyle w:val="10"/>
            </w:pPr>
            <w:r>
              <w:t>绩效目标</w:t>
            </w:r>
          </w:p>
        </w:tc>
        <w:tc>
          <w:tcPr>
            <w:tcW w:w="14033" w:type="dxa"/>
            <w:gridSpan w:val="6"/>
            <w:vAlign w:val="center"/>
          </w:tcPr>
          <w:p w14:paraId="3285EC35">
            <w:pPr>
              <w:pStyle w:val="12"/>
            </w:pPr>
            <w:r>
              <w:t>1.提高教学条件，提升教学水平，进一步提高学校</w:t>
            </w:r>
            <w:r>
              <w:rPr>
                <w:rFonts w:hint="eastAsia"/>
                <w:lang w:eastAsia="zh-CN"/>
              </w:rPr>
              <w:t>环境</w:t>
            </w:r>
            <w:r>
              <w:t>条件。</w:t>
            </w:r>
          </w:p>
        </w:tc>
      </w:tr>
    </w:tbl>
    <w:p w14:paraId="587DC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D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A89C9">
            <w:pPr>
              <w:pStyle w:val="10"/>
            </w:pPr>
            <w:r>
              <w:t>一级指标</w:t>
            </w:r>
          </w:p>
        </w:tc>
        <w:tc>
          <w:tcPr>
            <w:tcW w:w="2268" w:type="dxa"/>
            <w:vAlign w:val="center"/>
          </w:tcPr>
          <w:p w14:paraId="39157C4E">
            <w:pPr>
              <w:pStyle w:val="10"/>
            </w:pPr>
            <w:r>
              <w:t>二级指标</w:t>
            </w:r>
          </w:p>
        </w:tc>
        <w:tc>
          <w:tcPr>
            <w:tcW w:w="2835" w:type="dxa"/>
            <w:vAlign w:val="center"/>
          </w:tcPr>
          <w:p w14:paraId="7CD512E3">
            <w:pPr>
              <w:pStyle w:val="10"/>
            </w:pPr>
            <w:r>
              <w:t>三级指标</w:t>
            </w:r>
          </w:p>
        </w:tc>
        <w:tc>
          <w:tcPr>
            <w:tcW w:w="5386" w:type="dxa"/>
            <w:vAlign w:val="center"/>
          </w:tcPr>
          <w:p w14:paraId="2FD58461">
            <w:pPr>
              <w:pStyle w:val="10"/>
            </w:pPr>
            <w:r>
              <w:t>绩效指标描述</w:t>
            </w:r>
          </w:p>
        </w:tc>
        <w:tc>
          <w:tcPr>
            <w:tcW w:w="2268" w:type="dxa"/>
            <w:vAlign w:val="center"/>
          </w:tcPr>
          <w:p w14:paraId="3EBED6EB">
            <w:pPr>
              <w:pStyle w:val="10"/>
            </w:pPr>
            <w:r>
              <w:t>指标值</w:t>
            </w:r>
          </w:p>
        </w:tc>
        <w:tc>
          <w:tcPr>
            <w:tcW w:w="1276" w:type="dxa"/>
            <w:vAlign w:val="center"/>
          </w:tcPr>
          <w:p w14:paraId="5E362834">
            <w:pPr>
              <w:pStyle w:val="10"/>
            </w:pPr>
            <w:r>
              <w:t>指标值确定依据</w:t>
            </w:r>
          </w:p>
        </w:tc>
      </w:tr>
      <w:tr w14:paraId="0245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11C71">
            <w:pPr>
              <w:pStyle w:val="13"/>
            </w:pPr>
            <w:r>
              <w:t>产出指标</w:t>
            </w:r>
          </w:p>
        </w:tc>
        <w:tc>
          <w:tcPr>
            <w:tcW w:w="2268" w:type="dxa"/>
            <w:vAlign w:val="center"/>
          </w:tcPr>
          <w:p w14:paraId="50EE06B7">
            <w:pPr>
              <w:pStyle w:val="12"/>
            </w:pPr>
            <w:r>
              <w:t>数量指标</w:t>
            </w:r>
          </w:p>
        </w:tc>
        <w:tc>
          <w:tcPr>
            <w:tcW w:w="2835" w:type="dxa"/>
            <w:vAlign w:val="center"/>
          </w:tcPr>
          <w:p w14:paraId="4B3081D1">
            <w:pPr>
              <w:pStyle w:val="12"/>
            </w:pPr>
            <w:r>
              <w:t>专用设备购置</w:t>
            </w:r>
          </w:p>
        </w:tc>
        <w:tc>
          <w:tcPr>
            <w:tcW w:w="5386" w:type="dxa"/>
            <w:vAlign w:val="center"/>
          </w:tcPr>
          <w:p w14:paraId="3496AEB5">
            <w:pPr>
              <w:pStyle w:val="12"/>
            </w:pPr>
            <w:r>
              <w:t>学校购置智慧黑板</w:t>
            </w:r>
          </w:p>
        </w:tc>
        <w:tc>
          <w:tcPr>
            <w:tcW w:w="2268" w:type="dxa"/>
            <w:vAlign w:val="center"/>
          </w:tcPr>
          <w:p w14:paraId="2835524D">
            <w:pPr>
              <w:pStyle w:val="12"/>
            </w:pPr>
            <w:r>
              <w:t>4台</w:t>
            </w:r>
          </w:p>
        </w:tc>
        <w:tc>
          <w:tcPr>
            <w:tcW w:w="1276" w:type="dxa"/>
            <w:vAlign w:val="center"/>
          </w:tcPr>
          <w:p w14:paraId="10D711D8">
            <w:pPr>
              <w:pStyle w:val="12"/>
            </w:pPr>
            <w:r>
              <w:t>项目规划</w:t>
            </w:r>
          </w:p>
        </w:tc>
      </w:tr>
      <w:tr w14:paraId="2B69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7747B"/>
        </w:tc>
        <w:tc>
          <w:tcPr>
            <w:tcW w:w="2268" w:type="dxa"/>
            <w:vAlign w:val="center"/>
          </w:tcPr>
          <w:p w14:paraId="42AA2D2D">
            <w:pPr>
              <w:pStyle w:val="12"/>
            </w:pPr>
            <w:r>
              <w:t>质量指标</w:t>
            </w:r>
          </w:p>
        </w:tc>
        <w:tc>
          <w:tcPr>
            <w:tcW w:w="2835" w:type="dxa"/>
            <w:vAlign w:val="center"/>
          </w:tcPr>
          <w:p w14:paraId="3CD75B56">
            <w:pPr>
              <w:pStyle w:val="12"/>
            </w:pPr>
            <w:r>
              <w:t>购置设备收合格完成率</w:t>
            </w:r>
          </w:p>
        </w:tc>
        <w:tc>
          <w:tcPr>
            <w:tcW w:w="5386" w:type="dxa"/>
            <w:vAlign w:val="center"/>
          </w:tcPr>
          <w:p w14:paraId="5DB1CF25">
            <w:pPr>
              <w:pStyle w:val="12"/>
            </w:pPr>
            <w:r>
              <w:t>学校购置设备数量与计划购置数量之比</w:t>
            </w:r>
          </w:p>
        </w:tc>
        <w:tc>
          <w:tcPr>
            <w:tcW w:w="2268" w:type="dxa"/>
            <w:vAlign w:val="center"/>
          </w:tcPr>
          <w:p w14:paraId="7F4FF86C">
            <w:pPr>
              <w:pStyle w:val="12"/>
            </w:pPr>
            <w:r>
              <w:t>≥98%</w:t>
            </w:r>
          </w:p>
        </w:tc>
        <w:tc>
          <w:tcPr>
            <w:tcW w:w="1276" w:type="dxa"/>
            <w:vAlign w:val="center"/>
          </w:tcPr>
          <w:p w14:paraId="23795CCC">
            <w:pPr>
              <w:pStyle w:val="12"/>
            </w:pPr>
            <w:r>
              <w:t>项目规划</w:t>
            </w:r>
          </w:p>
        </w:tc>
      </w:tr>
      <w:tr w14:paraId="06B43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5523F"/>
        </w:tc>
        <w:tc>
          <w:tcPr>
            <w:tcW w:w="2268" w:type="dxa"/>
            <w:vAlign w:val="center"/>
          </w:tcPr>
          <w:p w14:paraId="3FFD475C">
            <w:pPr>
              <w:pStyle w:val="12"/>
            </w:pPr>
            <w:r>
              <w:t>时效指标</w:t>
            </w:r>
          </w:p>
        </w:tc>
        <w:tc>
          <w:tcPr>
            <w:tcW w:w="2835" w:type="dxa"/>
            <w:vAlign w:val="center"/>
          </w:tcPr>
          <w:p w14:paraId="69147A00">
            <w:pPr>
              <w:pStyle w:val="12"/>
            </w:pPr>
            <w:r>
              <w:t>购置设备完成率</w:t>
            </w:r>
          </w:p>
        </w:tc>
        <w:tc>
          <w:tcPr>
            <w:tcW w:w="5386" w:type="dxa"/>
            <w:vAlign w:val="center"/>
          </w:tcPr>
          <w:p w14:paraId="040EA393">
            <w:pPr>
              <w:pStyle w:val="12"/>
            </w:pPr>
            <w:r>
              <w:t>学校购置设备完成情况</w:t>
            </w:r>
          </w:p>
        </w:tc>
        <w:tc>
          <w:tcPr>
            <w:tcW w:w="2268" w:type="dxa"/>
            <w:vAlign w:val="center"/>
          </w:tcPr>
          <w:p w14:paraId="659473DF">
            <w:pPr>
              <w:pStyle w:val="12"/>
            </w:pPr>
            <w:r>
              <w:t>≥98%</w:t>
            </w:r>
          </w:p>
        </w:tc>
        <w:tc>
          <w:tcPr>
            <w:tcW w:w="1276" w:type="dxa"/>
            <w:vAlign w:val="center"/>
          </w:tcPr>
          <w:p w14:paraId="7D87D71F">
            <w:pPr>
              <w:pStyle w:val="12"/>
            </w:pPr>
            <w:r>
              <w:t>项目规划</w:t>
            </w:r>
          </w:p>
        </w:tc>
      </w:tr>
      <w:tr w14:paraId="4A93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1A374"/>
        </w:tc>
        <w:tc>
          <w:tcPr>
            <w:tcW w:w="2268" w:type="dxa"/>
            <w:vAlign w:val="center"/>
          </w:tcPr>
          <w:p w14:paraId="2F8BEF60">
            <w:pPr>
              <w:pStyle w:val="12"/>
            </w:pPr>
            <w:r>
              <w:t>成本指标</w:t>
            </w:r>
          </w:p>
        </w:tc>
        <w:tc>
          <w:tcPr>
            <w:tcW w:w="2835" w:type="dxa"/>
            <w:vAlign w:val="center"/>
          </w:tcPr>
          <w:p w14:paraId="11A3925B">
            <w:pPr>
              <w:pStyle w:val="12"/>
            </w:pPr>
            <w:r>
              <w:t>购置设备成本</w:t>
            </w:r>
          </w:p>
        </w:tc>
        <w:tc>
          <w:tcPr>
            <w:tcW w:w="5386" w:type="dxa"/>
            <w:vAlign w:val="center"/>
          </w:tcPr>
          <w:p w14:paraId="42FA40E5">
            <w:pPr>
              <w:pStyle w:val="12"/>
            </w:pPr>
            <w:r>
              <w:t>用于学校购置设备的资金投入</w:t>
            </w:r>
          </w:p>
        </w:tc>
        <w:tc>
          <w:tcPr>
            <w:tcW w:w="2268" w:type="dxa"/>
            <w:vAlign w:val="center"/>
          </w:tcPr>
          <w:p w14:paraId="7C2F753E">
            <w:pPr>
              <w:pStyle w:val="12"/>
            </w:pPr>
            <w:r>
              <w:t>8万元</w:t>
            </w:r>
          </w:p>
        </w:tc>
        <w:tc>
          <w:tcPr>
            <w:tcW w:w="1276" w:type="dxa"/>
            <w:vAlign w:val="center"/>
          </w:tcPr>
          <w:p w14:paraId="2F421470">
            <w:pPr>
              <w:pStyle w:val="12"/>
            </w:pPr>
            <w:r>
              <w:t>项目规划</w:t>
            </w:r>
          </w:p>
        </w:tc>
      </w:tr>
      <w:tr w14:paraId="38FE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58EF5">
            <w:pPr>
              <w:pStyle w:val="13"/>
            </w:pPr>
            <w:r>
              <w:t>效益指标</w:t>
            </w:r>
          </w:p>
        </w:tc>
        <w:tc>
          <w:tcPr>
            <w:tcW w:w="2268" w:type="dxa"/>
            <w:vAlign w:val="center"/>
          </w:tcPr>
          <w:p w14:paraId="5AE5A4B9">
            <w:pPr>
              <w:pStyle w:val="12"/>
            </w:pPr>
            <w:r>
              <w:t>可持续影响指标</w:t>
            </w:r>
          </w:p>
        </w:tc>
        <w:tc>
          <w:tcPr>
            <w:tcW w:w="2835" w:type="dxa"/>
            <w:vAlign w:val="center"/>
          </w:tcPr>
          <w:p w14:paraId="69F95466">
            <w:pPr>
              <w:pStyle w:val="12"/>
            </w:pPr>
            <w:r>
              <w:t>受益学生及范围增加</w:t>
            </w:r>
          </w:p>
        </w:tc>
        <w:tc>
          <w:tcPr>
            <w:tcW w:w="5386" w:type="dxa"/>
            <w:vAlign w:val="center"/>
          </w:tcPr>
          <w:p w14:paraId="1DAFF644">
            <w:pPr>
              <w:pStyle w:val="12"/>
            </w:pPr>
            <w:r>
              <w:t>提高符合就学条件的学生就学，增加学生入学率</w:t>
            </w:r>
          </w:p>
        </w:tc>
        <w:tc>
          <w:tcPr>
            <w:tcW w:w="2268" w:type="dxa"/>
            <w:vAlign w:val="center"/>
          </w:tcPr>
          <w:p w14:paraId="101C497A">
            <w:pPr>
              <w:pStyle w:val="12"/>
            </w:pPr>
            <w:r>
              <w:t>≥98%</w:t>
            </w:r>
          </w:p>
        </w:tc>
        <w:tc>
          <w:tcPr>
            <w:tcW w:w="1276" w:type="dxa"/>
            <w:vAlign w:val="center"/>
          </w:tcPr>
          <w:p w14:paraId="13475503">
            <w:pPr>
              <w:pStyle w:val="12"/>
            </w:pPr>
            <w:r>
              <w:t>项目规划</w:t>
            </w:r>
          </w:p>
        </w:tc>
      </w:tr>
      <w:tr w14:paraId="7BA8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269D1">
            <w:pPr>
              <w:pStyle w:val="13"/>
            </w:pPr>
            <w:r>
              <w:t>满意度指标</w:t>
            </w:r>
          </w:p>
        </w:tc>
        <w:tc>
          <w:tcPr>
            <w:tcW w:w="2268" w:type="dxa"/>
            <w:vAlign w:val="center"/>
          </w:tcPr>
          <w:p w14:paraId="3A32591E">
            <w:pPr>
              <w:pStyle w:val="12"/>
            </w:pPr>
            <w:r>
              <w:t>服务对象满意度指标</w:t>
            </w:r>
          </w:p>
        </w:tc>
        <w:tc>
          <w:tcPr>
            <w:tcW w:w="2835" w:type="dxa"/>
            <w:vAlign w:val="center"/>
          </w:tcPr>
          <w:p w14:paraId="5E0452DD">
            <w:pPr>
              <w:pStyle w:val="12"/>
            </w:pPr>
            <w:r>
              <w:t>学生满意度</w:t>
            </w:r>
          </w:p>
        </w:tc>
        <w:tc>
          <w:tcPr>
            <w:tcW w:w="5386" w:type="dxa"/>
            <w:vAlign w:val="center"/>
          </w:tcPr>
          <w:p w14:paraId="0F9B9D47">
            <w:pPr>
              <w:pStyle w:val="12"/>
            </w:pPr>
            <w:r>
              <w:t>学生对实施项目的满意度</w:t>
            </w:r>
          </w:p>
        </w:tc>
        <w:tc>
          <w:tcPr>
            <w:tcW w:w="2268" w:type="dxa"/>
            <w:vAlign w:val="center"/>
          </w:tcPr>
          <w:p w14:paraId="10874437">
            <w:pPr>
              <w:pStyle w:val="12"/>
            </w:pPr>
            <w:r>
              <w:t>≥95%</w:t>
            </w:r>
          </w:p>
        </w:tc>
        <w:tc>
          <w:tcPr>
            <w:tcW w:w="1276" w:type="dxa"/>
            <w:vAlign w:val="center"/>
          </w:tcPr>
          <w:p w14:paraId="0B555B7C">
            <w:pPr>
              <w:pStyle w:val="12"/>
            </w:pPr>
            <w:r>
              <w:t>项目规划</w:t>
            </w:r>
          </w:p>
        </w:tc>
      </w:tr>
    </w:tbl>
    <w:p w14:paraId="7647CB0D">
      <w:pPr>
        <w:sectPr>
          <w:pgSz w:w="16840" w:h="11900" w:orient="landscape"/>
          <w:pgMar w:top="1361" w:right="1020" w:bottom="1134" w:left="1020" w:header="720" w:footer="720" w:gutter="0"/>
          <w:cols w:space="720" w:num="1"/>
        </w:sectPr>
      </w:pPr>
    </w:p>
    <w:p w14:paraId="22329635">
      <w:pPr>
        <w:spacing w:before="0" w:after="0"/>
        <w:ind w:firstLine="560"/>
        <w:jc w:val="left"/>
        <w:outlineLvl w:val="9"/>
      </w:pPr>
      <w:r>
        <w:rPr>
          <w:rFonts w:ascii="方正仿宋_GBK" w:hAnsi="方正仿宋_GBK" w:eastAsia="方正仿宋_GBK" w:cs="方正仿宋_GBK"/>
          <w:b/>
          <w:color w:val="000000"/>
          <w:sz w:val="28"/>
        </w:rPr>
        <w:t>15、冀财教[2025]149号/省级/2026年学前发展资金/千户营校区学前教育公用经费绩效目标表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64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7B4FC">
            <w:pPr>
              <w:pStyle w:val="11"/>
            </w:pPr>
            <w:r>
              <w:t>单位：万元</w:t>
            </w:r>
          </w:p>
        </w:tc>
      </w:tr>
      <w:tr w14:paraId="48C37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9EC44">
            <w:pPr>
              <w:pStyle w:val="10"/>
            </w:pPr>
            <w:r>
              <w:t>项目编码</w:t>
            </w:r>
          </w:p>
        </w:tc>
        <w:tc>
          <w:tcPr>
            <w:tcW w:w="5103" w:type="dxa"/>
            <w:gridSpan w:val="2"/>
            <w:vAlign w:val="center"/>
          </w:tcPr>
          <w:p w14:paraId="44278603">
            <w:pPr>
              <w:pStyle w:val="12"/>
            </w:pPr>
            <w:r>
              <w:t>13052526P00875710112T</w:t>
            </w:r>
          </w:p>
        </w:tc>
        <w:tc>
          <w:tcPr>
            <w:tcW w:w="2835" w:type="dxa"/>
            <w:vAlign w:val="center"/>
          </w:tcPr>
          <w:p w14:paraId="48BC8265">
            <w:pPr>
              <w:pStyle w:val="10"/>
            </w:pPr>
            <w:r>
              <w:t>项目名称</w:t>
            </w:r>
          </w:p>
        </w:tc>
        <w:tc>
          <w:tcPr>
            <w:tcW w:w="6095" w:type="dxa"/>
            <w:gridSpan w:val="3"/>
            <w:vAlign w:val="center"/>
          </w:tcPr>
          <w:p w14:paraId="4AD56698">
            <w:pPr>
              <w:pStyle w:val="12"/>
            </w:pPr>
            <w:r>
              <w:t>冀财教[2025]149号/省级/2026年学前发展资金/千户营校区学前教育公用经费</w:t>
            </w:r>
          </w:p>
        </w:tc>
      </w:tr>
      <w:tr w14:paraId="3DD1B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078D9">
            <w:pPr>
              <w:pStyle w:val="10"/>
            </w:pPr>
            <w:r>
              <w:t>预算规模及资金用途</w:t>
            </w:r>
          </w:p>
        </w:tc>
        <w:tc>
          <w:tcPr>
            <w:tcW w:w="2268" w:type="dxa"/>
            <w:vAlign w:val="center"/>
          </w:tcPr>
          <w:p w14:paraId="4A0BD2FC">
            <w:pPr>
              <w:pStyle w:val="10"/>
            </w:pPr>
            <w:r>
              <w:t>预算数</w:t>
            </w:r>
          </w:p>
        </w:tc>
        <w:tc>
          <w:tcPr>
            <w:tcW w:w="2835" w:type="dxa"/>
            <w:vAlign w:val="center"/>
          </w:tcPr>
          <w:p w14:paraId="6146A153">
            <w:pPr>
              <w:pStyle w:val="12"/>
            </w:pPr>
            <w:r>
              <w:t>6.54</w:t>
            </w:r>
          </w:p>
        </w:tc>
        <w:tc>
          <w:tcPr>
            <w:tcW w:w="2835" w:type="dxa"/>
            <w:vAlign w:val="center"/>
          </w:tcPr>
          <w:p w14:paraId="783B71FE">
            <w:pPr>
              <w:pStyle w:val="10"/>
            </w:pPr>
            <w:r>
              <w:t>其中：财政    资金</w:t>
            </w:r>
          </w:p>
        </w:tc>
        <w:tc>
          <w:tcPr>
            <w:tcW w:w="2551" w:type="dxa"/>
            <w:vAlign w:val="center"/>
          </w:tcPr>
          <w:p w14:paraId="571652FF">
            <w:pPr>
              <w:pStyle w:val="12"/>
            </w:pPr>
            <w:r>
              <w:t>6.54</w:t>
            </w:r>
          </w:p>
        </w:tc>
        <w:tc>
          <w:tcPr>
            <w:tcW w:w="2268" w:type="dxa"/>
            <w:vAlign w:val="center"/>
          </w:tcPr>
          <w:p w14:paraId="2E573540">
            <w:pPr>
              <w:pStyle w:val="10"/>
            </w:pPr>
            <w:r>
              <w:t>其他资金</w:t>
            </w:r>
          </w:p>
        </w:tc>
        <w:tc>
          <w:tcPr>
            <w:tcW w:w="1276" w:type="dxa"/>
            <w:vAlign w:val="center"/>
          </w:tcPr>
          <w:p w14:paraId="06B79016">
            <w:pPr>
              <w:pStyle w:val="12"/>
            </w:pPr>
            <w:r>
              <w:t xml:space="preserve"> </w:t>
            </w:r>
          </w:p>
        </w:tc>
      </w:tr>
      <w:tr w14:paraId="7B872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2583F"/>
        </w:tc>
        <w:tc>
          <w:tcPr>
            <w:tcW w:w="14033" w:type="dxa"/>
            <w:gridSpan w:val="6"/>
            <w:vAlign w:val="center"/>
          </w:tcPr>
          <w:p w14:paraId="13DA89FB">
            <w:pPr>
              <w:pStyle w:val="12"/>
            </w:pPr>
            <w:r>
              <w:t>保证幼儿园正常运转和改善办学条件。</w:t>
            </w:r>
          </w:p>
        </w:tc>
      </w:tr>
      <w:tr w14:paraId="27668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16E7C">
            <w:pPr>
              <w:pStyle w:val="10"/>
            </w:pPr>
            <w:r>
              <w:t>资金支出计划（%）</w:t>
            </w:r>
          </w:p>
        </w:tc>
        <w:tc>
          <w:tcPr>
            <w:tcW w:w="5103" w:type="dxa"/>
            <w:gridSpan w:val="2"/>
            <w:vAlign w:val="center"/>
          </w:tcPr>
          <w:p w14:paraId="7ABF2FD6">
            <w:pPr>
              <w:pStyle w:val="10"/>
            </w:pPr>
            <w:r>
              <w:t>3月底</w:t>
            </w:r>
          </w:p>
        </w:tc>
        <w:tc>
          <w:tcPr>
            <w:tcW w:w="2835" w:type="dxa"/>
            <w:vAlign w:val="center"/>
          </w:tcPr>
          <w:p w14:paraId="0B8A5C5A">
            <w:pPr>
              <w:pStyle w:val="10"/>
            </w:pPr>
            <w:r>
              <w:t>6月底</w:t>
            </w:r>
          </w:p>
        </w:tc>
        <w:tc>
          <w:tcPr>
            <w:tcW w:w="2551" w:type="dxa"/>
            <w:vAlign w:val="center"/>
          </w:tcPr>
          <w:p w14:paraId="223640BF">
            <w:pPr>
              <w:pStyle w:val="10"/>
            </w:pPr>
            <w:r>
              <w:t>10月底</w:t>
            </w:r>
          </w:p>
        </w:tc>
        <w:tc>
          <w:tcPr>
            <w:tcW w:w="3544" w:type="dxa"/>
            <w:gridSpan w:val="2"/>
            <w:vAlign w:val="center"/>
          </w:tcPr>
          <w:p w14:paraId="50FC6E16">
            <w:pPr>
              <w:pStyle w:val="10"/>
            </w:pPr>
            <w:r>
              <w:t>12月底</w:t>
            </w:r>
          </w:p>
        </w:tc>
      </w:tr>
      <w:tr w14:paraId="627E2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6526F"/>
        </w:tc>
        <w:tc>
          <w:tcPr>
            <w:tcW w:w="5103" w:type="dxa"/>
            <w:gridSpan w:val="2"/>
            <w:vAlign w:val="center"/>
          </w:tcPr>
          <w:p w14:paraId="4E7B1BB4">
            <w:pPr>
              <w:pStyle w:val="13"/>
            </w:pPr>
            <w:r>
              <w:t>25%</w:t>
            </w:r>
          </w:p>
        </w:tc>
        <w:tc>
          <w:tcPr>
            <w:tcW w:w="2835" w:type="dxa"/>
            <w:vAlign w:val="center"/>
          </w:tcPr>
          <w:p w14:paraId="55119E29">
            <w:pPr>
              <w:pStyle w:val="13"/>
            </w:pPr>
            <w:r>
              <w:t>50%</w:t>
            </w:r>
          </w:p>
        </w:tc>
        <w:tc>
          <w:tcPr>
            <w:tcW w:w="2551" w:type="dxa"/>
            <w:vAlign w:val="center"/>
          </w:tcPr>
          <w:p w14:paraId="2CF96C21">
            <w:pPr>
              <w:pStyle w:val="13"/>
            </w:pPr>
            <w:r>
              <w:t>75%</w:t>
            </w:r>
          </w:p>
        </w:tc>
        <w:tc>
          <w:tcPr>
            <w:tcW w:w="3544" w:type="dxa"/>
            <w:gridSpan w:val="2"/>
            <w:vAlign w:val="center"/>
          </w:tcPr>
          <w:p w14:paraId="379C3EAD">
            <w:pPr>
              <w:pStyle w:val="13"/>
            </w:pPr>
            <w:r>
              <w:t>100%</w:t>
            </w:r>
          </w:p>
        </w:tc>
      </w:tr>
      <w:tr w14:paraId="761BB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E3541">
            <w:pPr>
              <w:pStyle w:val="10"/>
            </w:pPr>
            <w:r>
              <w:t>绩效目标</w:t>
            </w:r>
          </w:p>
        </w:tc>
        <w:tc>
          <w:tcPr>
            <w:tcW w:w="14033" w:type="dxa"/>
            <w:gridSpan w:val="6"/>
            <w:vAlign w:val="center"/>
          </w:tcPr>
          <w:p w14:paraId="7640D7BD">
            <w:pPr>
              <w:pStyle w:val="12"/>
            </w:pPr>
            <w:r>
              <w:t>1.为保证幼儿园正常运转和改善办学条件。</w:t>
            </w:r>
          </w:p>
          <w:p w14:paraId="446CF27E">
            <w:pPr>
              <w:pStyle w:val="12"/>
            </w:pPr>
            <w:r>
              <w:t>2.按拨款序时进度完成经费拨付和支出。</w:t>
            </w:r>
          </w:p>
        </w:tc>
      </w:tr>
    </w:tbl>
    <w:p w14:paraId="271DB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4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B2453">
            <w:pPr>
              <w:pStyle w:val="10"/>
            </w:pPr>
            <w:r>
              <w:t>一级指标</w:t>
            </w:r>
          </w:p>
        </w:tc>
        <w:tc>
          <w:tcPr>
            <w:tcW w:w="2268" w:type="dxa"/>
            <w:vAlign w:val="center"/>
          </w:tcPr>
          <w:p w14:paraId="77024562">
            <w:pPr>
              <w:pStyle w:val="10"/>
            </w:pPr>
            <w:r>
              <w:t>二级指标</w:t>
            </w:r>
          </w:p>
        </w:tc>
        <w:tc>
          <w:tcPr>
            <w:tcW w:w="2835" w:type="dxa"/>
            <w:vAlign w:val="center"/>
          </w:tcPr>
          <w:p w14:paraId="761E7526">
            <w:pPr>
              <w:pStyle w:val="10"/>
            </w:pPr>
            <w:r>
              <w:t>三级指标</w:t>
            </w:r>
          </w:p>
        </w:tc>
        <w:tc>
          <w:tcPr>
            <w:tcW w:w="5386" w:type="dxa"/>
            <w:vAlign w:val="center"/>
          </w:tcPr>
          <w:p w14:paraId="39A3A025">
            <w:pPr>
              <w:pStyle w:val="10"/>
            </w:pPr>
            <w:r>
              <w:t>绩效指标描述</w:t>
            </w:r>
          </w:p>
        </w:tc>
        <w:tc>
          <w:tcPr>
            <w:tcW w:w="2268" w:type="dxa"/>
            <w:vAlign w:val="center"/>
          </w:tcPr>
          <w:p w14:paraId="03A1580F">
            <w:pPr>
              <w:pStyle w:val="10"/>
            </w:pPr>
            <w:r>
              <w:t>指标值</w:t>
            </w:r>
          </w:p>
        </w:tc>
        <w:tc>
          <w:tcPr>
            <w:tcW w:w="1276" w:type="dxa"/>
            <w:vAlign w:val="center"/>
          </w:tcPr>
          <w:p w14:paraId="7620FE74">
            <w:pPr>
              <w:pStyle w:val="10"/>
            </w:pPr>
            <w:r>
              <w:t>指标值确定依据</w:t>
            </w:r>
          </w:p>
        </w:tc>
      </w:tr>
      <w:tr w14:paraId="6CEA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63796">
            <w:pPr>
              <w:pStyle w:val="13"/>
            </w:pPr>
            <w:r>
              <w:t>产出指标</w:t>
            </w:r>
          </w:p>
        </w:tc>
        <w:tc>
          <w:tcPr>
            <w:tcW w:w="2268" w:type="dxa"/>
            <w:vAlign w:val="center"/>
          </w:tcPr>
          <w:p w14:paraId="72E6B697">
            <w:pPr>
              <w:pStyle w:val="12"/>
            </w:pPr>
            <w:r>
              <w:t>数量指标</w:t>
            </w:r>
          </w:p>
        </w:tc>
        <w:tc>
          <w:tcPr>
            <w:tcW w:w="2835" w:type="dxa"/>
            <w:vAlign w:val="center"/>
          </w:tcPr>
          <w:p w14:paraId="22449A48">
            <w:pPr>
              <w:pStyle w:val="12"/>
            </w:pPr>
            <w:r>
              <w:t>适龄在园生</w:t>
            </w:r>
          </w:p>
        </w:tc>
        <w:tc>
          <w:tcPr>
            <w:tcW w:w="5386" w:type="dxa"/>
            <w:vAlign w:val="center"/>
          </w:tcPr>
          <w:p w14:paraId="4F42CE6C">
            <w:pPr>
              <w:pStyle w:val="12"/>
            </w:pPr>
            <w:r>
              <w:t>适龄在园学生人数</w:t>
            </w:r>
          </w:p>
        </w:tc>
        <w:tc>
          <w:tcPr>
            <w:tcW w:w="2268" w:type="dxa"/>
            <w:vAlign w:val="center"/>
          </w:tcPr>
          <w:p w14:paraId="4A0A5100">
            <w:pPr>
              <w:pStyle w:val="12"/>
            </w:pPr>
            <w:r>
              <w:t>436人</w:t>
            </w:r>
          </w:p>
        </w:tc>
        <w:tc>
          <w:tcPr>
            <w:tcW w:w="1276" w:type="dxa"/>
            <w:vAlign w:val="center"/>
          </w:tcPr>
          <w:p w14:paraId="7B933A92">
            <w:pPr>
              <w:pStyle w:val="12"/>
            </w:pPr>
            <w:r>
              <w:t>支持学前教育发展资金管理办法</w:t>
            </w:r>
          </w:p>
        </w:tc>
      </w:tr>
      <w:tr w14:paraId="45AC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404DC"/>
        </w:tc>
        <w:tc>
          <w:tcPr>
            <w:tcW w:w="2268" w:type="dxa"/>
            <w:vAlign w:val="center"/>
          </w:tcPr>
          <w:p w14:paraId="5138670C">
            <w:pPr>
              <w:pStyle w:val="12"/>
            </w:pPr>
            <w:r>
              <w:t>质量指标</w:t>
            </w:r>
          </w:p>
        </w:tc>
        <w:tc>
          <w:tcPr>
            <w:tcW w:w="2835" w:type="dxa"/>
            <w:vAlign w:val="center"/>
          </w:tcPr>
          <w:p w14:paraId="338D8B4E">
            <w:pPr>
              <w:pStyle w:val="12"/>
            </w:pPr>
            <w:r>
              <w:t>公用经费控制率</w:t>
            </w:r>
          </w:p>
        </w:tc>
        <w:tc>
          <w:tcPr>
            <w:tcW w:w="5386" w:type="dxa"/>
            <w:vAlign w:val="center"/>
          </w:tcPr>
          <w:p w14:paraId="268188F2">
            <w:pPr>
              <w:pStyle w:val="12"/>
            </w:pPr>
            <w:r>
              <w:t>幼儿园公用经费拨付执行率</w:t>
            </w:r>
          </w:p>
        </w:tc>
        <w:tc>
          <w:tcPr>
            <w:tcW w:w="2268" w:type="dxa"/>
            <w:vAlign w:val="center"/>
          </w:tcPr>
          <w:p w14:paraId="1290DDD3">
            <w:pPr>
              <w:pStyle w:val="12"/>
            </w:pPr>
            <w:r>
              <w:t>≥98%</w:t>
            </w:r>
          </w:p>
        </w:tc>
        <w:tc>
          <w:tcPr>
            <w:tcW w:w="1276" w:type="dxa"/>
            <w:vAlign w:val="center"/>
          </w:tcPr>
          <w:p w14:paraId="7E845FF2">
            <w:pPr>
              <w:pStyle w:val="12"/>
            </w:pPr>
            <w:r>
              <w:t>支持学前教育发展资金管理办法</w:t>
            </w:r>
          </w:p>
        </w:tc>
      </w:tr>
      <w:tr w14:paraId="07C2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91AC2"/>
        </w:tc>
        <w:tc>
          <w:tcPr>
            <w:tcW w:w="2268" w:type="dxa"/>
            <w:vAlign w:val="center"/>
          </w:tcPr>
          <w:p w14:paraId="07D935FD">
            <w:pPr>
              <w:pStyle w:val="12"/>
            </w:pPr>
            <w:r>
              <w:t>时效指标</w:t>
            </w:r>
          </w:p>
        </w:tc>
        <w:tc>
          <w:tcPr>
            <w:tcW w:w="2835" w:type="dxa"/>
            <w:vAlign w:val="center"/>
          </w:tcPr>
          <w:p w14:paraId="5D6DA3C0">
            <w:pPr>
              <w:pStyle w:val="12"/>
            </w:pPr>
            <w:r>
              <w:t>资金支付率</w:t>
            </w:r>
          </w:p>
        </w:tc>
        <w:tc>
          <w:tcPr>
            <w:tcW w:w="5386" w:type="dxa"/>
            <w:vAlign w:val="center"/>
          </w:tcPr>
          <w:p w14:paraId="78186168">
            <w:pPr>
              <w:pStyle w:val="12"/>
            </w:pPr>
            <w:r>
              <w:t>按照序时进度完成资金支付</w:t>
            </w:r>
          </w:p>
        </w:tc>
        <w:tc>
          <w:tcPr>
            <w:tcW w:w="2268" w:type="dxa"/>
            <w:vAlign w:val="center"/>
          </w:tcPr>
          <w:p w14:paraId="632AC249">
            <w:pPr>
              <w:pStyle w:val="12"/>
            </w:pPr>
            <w:r>
              <w:t>≥98%</w:t>
            </w:r>
          </w:p>
        </w:tc>
        <w:tc>
          <w:tcPr>
            <w:tcW w:w="1276" w:type="dxa"/>
            <w:vAlign w:val="center"/>
          </w:tcPr>
          <w:p w14:paraId="4BE8EB5F">
            <w:pPr>
              <w:pStyle w:val="12"/>
            </w:pPr>
            <w:r>
              <w:t>支持学前教育发展资金管理办法</w:t>
            </w:r>
          </w:p>
        </w:tc>
      </w:tr>
      <w:tr w14:paraId="605C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6B9C4"/>
        </w:tc>
        <w:tc>
          <w:tcPr>
            <w:tcW w:w="2268" w:type="dxa"/>
            <w:vAlign w:val="center"/>
          </w:tcPr>
          <w:p w14:paraId="2F3755E8">
            <w:pPr>
              <w:pStyle w:val="12"/>
            </w:pPr>
            <w:r>
              <w:t>成本指标</w:t>
            </w:r>
          </w:p>
        </w:tc>
        <w:tc>
          <w:tcPr>
            <w:tcW w:w="2835" w:type="dxa"/>
            <w:vAlign w:val="center"/>
          </w:tcPr>
          <w:p w14:paraId="64339CBB">
            <w:pPr>
              <w:pStyle w:val="12"/>
            </w:pPr>
            <w:r>
              <w:t>生均拨款标准</w:t>
            </w:r>
          </w:p>
        </w:tc>
        <w:tc>
          <w:tcPr>
            <w:tcW w:w="5386" w:type="dxa"/>
            <w:vAlign w:val="center"/>
          </w:tcPr>
          <w:p w14:paraId="02DC537E">
            <w:pPr>
              <w:pStyle w:val="12"/>
            </w:pPr>
            <w:r>
              <w:t>学前：（基本标准600元/生/学年）</w:t>
            </w:r>
          </w:p>
        </w:tc>
        <w:tc>
          <w:tcPr>
            <w:tcW w:w="2268" w:type="dxa"/>
            <w:vAlign w:val="center"/>
          </w:tcPr>
          <w:p w14:paraId="5A4B68AD">
            <w:pPr>
              <w:pStyle w:val="12"/>
            </w:pPr>
            <w:r>
              <w:t>600元</w:t>
            </w:r>
          </w:p>
        </w:tc>
        <w:tc>
          <w:tcPr>
            <w:tcW w:w="1276" w:type="dxa"/>
            <w:vAlign w:val="center"/>
          </w:tcPr>
          <w:p w14:paraId="2999D781">
            <w:pPr>
              <w:pStyle w:val="12"/>
            </w:pPr>
            <w:r>
              <w:t>支持学前教育发展资金管理办法</w:t>
            </w:r>
          </w:p>
        </w:tc>
      </w:tr>
      <w:tr w14:paraId="4669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B99F6">
            <w:pPr>
              <w:pStyle w:val="13"/>
            </w:pPr>
            <w:r>
              <w:t>效益指标</w:t>
            </w:r>
          </w:p>
        </w:tc>
        <w:tc>
          <w:tcPr>
            <w:tcW w:w="2268" w:type="dxa"/>
            <w:vAlign w:val="center"/>
          </w:tcPr>
          <w:p w14:paraId="554791C8">
            <w:pPr>
              <w:pStyle w:val="12"/>
            </w:pPr>
            <w:r>
              <w:t>可持续影响指标</w:t>
            </w:r>
          </w:p>
        </w:tc>
        <w:tc>
          <w:tcPr>
            <w:tcW w:w="2835" w:type="dxa"/>
            <w:vAlign w:val="center"/>
          </w:tcPr>
          <w:p w14:paraId="7BB9E7AD">
            <w:pPr>
              <w:pStyle w:val="12"/>
            </w:pPr>
            <w:r>
              <w:t>教育发展水平明显好转</w:t>
            </w:r>
          </w:p>
        </w:tc>
        <w:tc>
          <w:tcPr>
            <w:tcW w:w="5386" w:type="dxa"/>
            <w:vAlign w:val="center"/>
          </w:tcPr>
          <w:p w14:paraId="061F33DD">
            <w:pPr>
              <w:pStyle w:val="12"/>
            </w:pPr>
            <w:r>
              <w:t>学生受教育年限</w:t>
            </w:r>
          </w:p>
        </w:tc>
        <w:tc>
          <w:tcPr>
            <w:tcW w:w="2268" w:type="dxa"/>
            <w:vAlign w:val="center"/>
          </w:tcPr>
          <w:p w14:paraId="10AED050">
            <w:pPr>
              <w:pStyle w:val="12"/>
            </w:pPr>
            <w:r>
              <w:t>3年</w:t>
            </w:r>
          </w:p>
        </w:tc>
        <w:tc>
          <w:tcPr>
            <w:tcW w:w="1276" w:type="dxa"/>
            <w:vAlign w:val="center"/>
          </w:tcPr>
          <w:p w14:paraId="7F134D4E">
            <w:pPr>
              <w:pStyle w:val="12"/>
            </w:pPr>
            <w:r>
              <w:t>支持学前教育发展资金管理办法</w:t>
            </w:r>
          </w:p>
        </w:tc>
      </w:tr>
      <w:tr w14:paraId="3175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D0AD7">
            <w:pPr>
              <w:pStyle w:val="13"/>
            </w:pPr>
            <w:r>
              <w:t>满意度指标</w:t>
            </w:r>
          </w:p>
        </w:tc>
        <w:tc>
          <w:tcPr>
            <w:tcW w:w="2268" w:type="dxa"/>
            <w:vAlign w:val="center"/>
          </w:tcPr>
          <w:p w14:paraId="053C3ED5">
            <w:pPr>
              <w:pStyle w:val="12"/>
            </w:pPr>
            <w:r>
              <w:t>服务对象满意度指标</w:t>
            </w:r>
          </w:p>
        </w:tc>
        <w:tc>
          <w:tcPr>
            <w:tcW w:w="2835" w:type="dxa"/>
            <w:vAlign w:val="center"/>
          </w:tcPr>
          <w:p w14:paraId="35B122F6">
            <w:pPr>
              <w:pStyle w:val="12"/>
            </w:pPr>
            <w:r>
              <w:t>受益学生家长及调查满意度</w:t>
            </w:r>
          </w:p>
        </w:tc>
        <w:tc>
          <w:tcPr>
            <w:tcW w:w="5386" w:type="dxa"/>
            <w:vAlign w:val="center"/>
          </w:tcPr>
          <w:p w14:paraId="36F53592">
            <w:pPr>
              <w:pStyle w:val="12"/>
            </w:pPr>
            <w:r>
              <w:t>幼儿、教师及家长对学校保教保育工作满意度情况</w:t>
            </w:r>
          </w:p>
        </w:tc>
        <w:tc>
          <w:tcPr>
            <w:tcW w:w="2268" w:type="dxa"/>
            <w:vAlign w:val="center"/>
          </w:tcPr>
          <w:p w14:paraId="7272FFF8">
            <w:pPr>
              <w:pStyle w:val="12"/>
            </w:pPr>
            <w:r>
              <w:t>≥95%</w:t>
            </w:r>
          </w:p>
        </w:tc>
        <w:tc>
          <w:tcPr>
            <w:tcW w:w="1276" w:type="dxa"/>
            <w:vAlign w:val="center"/>
          </w:tcPr>
          <w:p w14:paraId="3C02655A">
            <w:pPr>
              <w:pStyle w:val="12"/>
            </w:pPr>
            <w:r>
              <w:t>调查问卷</w:t>
            </w:r>
          </w:p>
        </w:tc>
      </w:tr>
    </w:tbl>
    <w:p w14:paraId="0B745993">
      <w:pPr>
        <w:sectPr>
          <w:pgSz w:w="16840" w:h="11900" w:orient="landscape"/>
          <w:pgMar w:top="1361" w:right="1020" w:bottom="1134" w:left="1020" w:header="720" w:footer="720" w:gutter="0"/>
          <w:cols w:space="720" w:num="1"/>
        </w:sectPr>
      </w:pPr>
    </w:p>
    <w:p w14:paraId="547B7906">
      <w:pPr>
        <w:spacing w:before="0" w:after="0"/>
        <w:ind w:firstLine="560"/>
        <w:jc w:val="left"/>
        <w:outlineLvl w:val="9"/>
      </w:pPr>
      <w:r>
        <w:rPr>
          <w:rFonts w:ascii="方正仿宋_GBK" w:hAnsi="方正仿宋_GBK" w:eastAsia="方正仿宋_GBK" w:cs="方正仿宋_GBK"/>
          <w:b/>
          <w:color w:val="000000"/>
          <w:sz w:val="28"/>
        </w:rPr>
        <w:t>16、冀财教[2025]149号/省级/2026年学前发展资金/千户营校区学前教育幼儿资助绩效目标表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DB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C31AE">
            <w:pPr>
              <w:pStyle w:val="11"/>
            </w:pPr>
            <w:r>
              <w:t>单位：万元</w:t>
            </w:r>
          </w:p>
        </w:tc>
      </w:tr>
      <w:tr w14:paraId="2E7BB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C7F71">
            <w:pPr>
              <w:pStyle w:val="10"/>
            </w:pPr>
            <w:r>
              <w:t>项目编码</w:t>
            </w:r>
          </w:p>
        </w:tc>
        <w:tc>
          <w:tcPr>
            <w:tcW w:w="5103" w:type="dxa"/>
            <w:gridSpan w:val="2"/>
            <w:vAlign w:val="center"/>
          </w:tcPr>
          <w:p w14:paraId="28A8F64F">
            <w:pPr>
              <w:pStyle w:val="12"/>
            </w:pPr>
            <w:r>
              <w:t>13052526P000002100758</w:t>
            </w:r>
          </w:p>
        </w:tc>
        <w:tc>
          <w:tcPr>
            <w:tcW w:w="2835" w:type="dxa"/>
            <w:vAlign w:val="center"/>
          </w:tcPr>
          <w:p w14:paraId="2127751B">
            <w:pPr>
              <w:pStyle w:val="10"/>
            </w:pPr>
            <w:r>
              <w:t>项目名称</w:t>
            </w:r>
          </w:p>
        </w:tc>
        <w:tc>
          <w:tcPr>
            <w:tcW w:w="6095" w:type="dxa"/>
            <w:gridSpan w:val="3"/>
            <w:vAlign w:val="center"/>
          </w:tcPr>
          <w:p w14:paraId="123FCE26">
            <w:pPr>
              <w:pStyle w:val="12"/>
            </w:pPr>
            <w:r>
              <w:t>冀财教[2025]149号/省级/2026年学前发展资金/千户营校区学前教育幼儿资助</w:t>
            </w:r>
          </w:p>
        </w:tc>
      </w:tr>
      <w:tr w14:paraId="53E8A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5F695">
            <w:pPr>
              <w:pStyle w:val="10"/>
            </w:pPr>
            <w:r>
              <w:t>预算规模及资金用途</w:t>
            </w:r>
          </w:p>
        </w:tc>
        <w:tc>
          <w:tcPr>
            <w:tcW w:w="2268" w:type="dxa"/>
            <w:vAlign w:val="center"/>
          </w:tcPr>
          <w:p w14:paraId="10A92795">
            <w:pPr>
              <w:pStyle w:val="10"/>
            </w:pPr>
            <w:r>
              <w:t>预算数</w:t>
            </w:r>
          </w:p>
        </w:tc>
        <w:tc>
          <w:tcPr>
            <w:tcW w:w="2835" w:type="dxa"/>
            <w:vAlign w:val="center"/>
          </w:tcPr>
          <w:p w14:paraId="780E3BBB">
            <w:pPr>
              <w:pStyle w:val="12"/>
            </w:pPr>
            <w:r>
              <w:t>0.86</w:t>
            </w:r>
          </w:p>
        </w:tc>
        <w:tc>
          <w:tcPr>
            <w:tcW w:w="2835" w:type="dxa"/>
            <w:vAlign w:val="center"/>
          </w:tcPr>
          <w:p w14:paraId="4820719A">
            <w:pPr>
              <w:pStyle w:val="10"/>
            </w:pPr>
            <w:r>
              <w:t>其中：财政    资金</w:t>
            </w:r>
          </w:p>
        </w:tc>
        <w:tc>
          <w:tcPr>
            <w:tcW w:w="2551" w:type="dxa"/>
            <w:vAlign w:val="center"/>
          </w:tcPr>
          <w:p w14:paraId="0555459D">
            <w:pPr>
              <w:pStyle w:val="12"/>
            </w:pPr>
            <w:r>
              <w:t>0.86</w:t>
            </w:r>
          </w:p>
        </w:tc>
        <w:tc>
          <w:tcPr>
            <w:tcW w:w="2268" w:type="dxa"/>
            <w:vAlign w:val="center"/>
          </w:tcPr>
          <w:p w14:paraId="0BB1DBDE">
            <w:pPr>
              <w:pStyle w:val="10"/>
            </w:pPr>
            <w:r>
              <w:t>其他资金</w:t>
            </w:r>
          </w:p>
        </w:tc>
        <w:tc>
          <w:tcPr>
            <w:tcW w:w="1276" w:type="dxa"/>
            <w:vAlign w:val="center"/>
          </w:tcPr>
          <w:p w14:paraId="7670FF45">
            <w:pPr>
              <w:pStyle w:val="12"/>
            </w:pPr>
            <w:r>
              <w:t xml:space="preserve"> </w:t>
            </w:r>
          </w:p>
        </w:tc>
      </w:tr>
      <w:tr w14:paraId="51FD8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F68B4"/>
        </w:tc>
        <w:tc>
          <w:tcPr>
            <w:tcW w:w="14033" w:type="dxa"/>
            <w:gridSpan w:val="6"/>
            <w:vAlign w:val="center"/>
          </w:tcPr>
          <w:p w14:paraId="669DC425">
            <w:pPr>
              <w:pStyle w:val="12"/>
            </w:pPr>
            <w:r>
              <w:t>保障落实建档立卡及家庭经济困难儿童资助所需资金，确保建档立卡等家庭经济困难幼儿优先获得资助</w:t>
            </w:r>
          </w:p>
        </w:tc>
      </w:tr>
      <w:tr w14:paraId="3F6C5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4A81B">
            <w:pPr>
              <w:pStyle w:val="10"/>
            </w:pPr>
            <w:r>
              <w:t>资金支出计划（%）</w:t>
            </w:r>
          </w:p>
        </w:tc>
        <w:tc>
          <w:tcPr>
            <w:tcW w:w="5103" w:type="dxa"/>
            <w:gridSpan w:val="2"/>
            <w:vAlign w:val="center"/>
          </w:tcPr>
          <w:p w14:paraId="7BF656C0">
            <w:pPr>
              <w:pStyle w:val="10"/>
            </w:pPr>
            <w:r>
              <w:t>3月底</w:t>
            </w:r>
          </w:p>
        </w:tc>
        <w:tc>
          <w:tcPr>
            <w:tcW w:w="2835" w:type="dxa"/>
            <w:vAlign w:val="center"/>
          </w:tcPr>
          <w:p w14:paraId="5E5A006C">
            <w:pPr>
              <w:pStyle w:val="10"/>
            </w:pPr>
            <w:r>
              <w:t>6月底</w:t>
            </w:r>
          </w:p>
        </w:tc>
        <w:tc>
          <w:tcPr>
            <w:tcW w:w="2551" w:type="dxa"/>
            <w:vAlign w:val="center"/>
          </w:tcPr>
          <w:p w14:paraId="25200A21">
            <w:pPr>
              <w:pStyle w:val="10"/>
            </w:pPr>
            <w:r>
              <w:t>10月底</w:t>
            </w:r>
          </w:p>
        </w:tc>
        <w:tc>
          <w:tcPr>
            <w:tcW w:w="3544" w:type="dxa"/>
            <w:gridSpan w:val="2"/>
            <w:vAlign w:val="center"/>
          </w:tcPr>
          <w:p w14:paraId="5B7752EC">
            <w:pPr>
              <w:pStyle w:val="10"/>
            </w:pPr>
            <w:r>
              <w:t>12月底</w:t>
            </w:r>
          </w:p>
        </w:tc>
      </w:tr>
      <w:tr w14:paraId="58F2B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5F998"/>
        </w:tc>
        <w:tc>
          <w:tcPr>
            <w:tcW w:w="5103" w:type="dxa"/>
            <w:gridSpan w:val="2"/>
            <w:vAlign w:val="center"/>
          </w:tcPr>
          <w:p w14:paraId="3D23856A">
            <w:pPr>
              <w:pStyle w:val="13"/>
            </w:pPr>
            <w:r>
              <w:t xml:space="preserve"> </w:t>
            </w:r>
          </w:p>
        </w:tc>
        <w:tc>
          <w:tcPr>
            <w:tcW w:w="2835" w:type="dxa"/>
            <w:vAlign w:val="center"/>
          </w:tcPr>
          <w:p w14:paraId="638C6238">
            <w:pPr>
              <w:pStyle w:val="13"/>
            </w:pPr>
            <w:r>
              <w:t>50%</w:t>
            </w:r>
          </w:p>
        </w:tc>
        <w:tc>
          <w:tcPr>
            <w:tcW w:w="2551" w:type="dxa"/>
            <w:vAlign w:val="center"/>
          </w:tcPr>
          <w:p w14:paraId="6526296A">
            <w:pPr>
              <w:pStyle w:val="13"/>
            </w:pPr>
            <w:r>
              <w:t>100%</w:t>
            </w:r>
          </w:p>
        </w:tc>
        <w:tc>
          <w:tcPr>
            <w:tcW w:w="3544" w:type="dxa"/>
            <w:gridSpan w:val="2"/>
            <w:vAlign w:val="center"/>
          </w:tcPr>
          <w:p w14:paraId="61815C0E">
            <w:pPr>
              <w:pStyle w:val="13"/>
            </w:pPr>
            <w:r>
              <w:t>100%</w:t>
            </w:r>
          </w:p>
        </w:tc>
      </w:tr>
      <w:tr w14:paraId="2AC2D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EFB01">
            <w:pPr>
              <w:pStyle w:val="10"/>
            </w:pPr>
            <w:r>
              <w:t>绩效目标</w:t>
            </w:r>
          </w:p>
        </w:tc>
        <w:tc>
          <w:tcPr>
            <w:tcW w:w="14033" w:type="dxa"/>
            <w:gridSpan w:val="6"/>
            <w:vAlign w:val="center"/>
          </w:tcPr>
          <w:p w14:paraId="46C91610">
            <w:pPr>
              <w:pStyle w:val="12"/>
            </w:pPr>
            <w:r>
              <w:t>1.保障落实建档立卡及家庭经济困难儿童资助所需资金，确保建档立卡等家庭经济困难幼儿优先获得资助</w:t>
            </w:r>
          </w:p>
          <w:p w14:paraId="3BDB6F70">
            <w:pPr>
              <w:pStyle w:val="12"/>
            </w:pPr>
            <w:r>
              <w:t>2.减轻学前受教育幼儿家庭经济负担，提高学前幼儿入学率。</w:t>
            </w:r>
          </w:p>
        </w:tc>
      </w:tr>
    </w:tbl>
    <w:p w14:paraId="23266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1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04DAC">
            <w:pPr>
              <w:pStyle w:val="10"/>
            </w:pPr>
            <w:r>
              <w:t>一级指标</w:t>
            </w:r>
          </w:p>
        </w:tc>
        <w:tc>
          <w:tcPr>
            <w:tcW w:w="2268" w:type="dxa"/>
            <w:vAlign w:val="center"/>
          </w:tcPr>
          <w:p w14:paraId="369B578B">
            <w:pPr>
              <w:pStyle w:val="10"/>
            </w:pPr>
            <w:r>
              <w:t>二级指标</w:t>
            </w:r>
          </w:p>
        </w:tc>
        <w:tc>
          <w:tcPr>
            <w:tcW w:w="2835" w:type="dxa"/>
            <w:vAlign w:val="center"/>
          </w:tcPr>
          <w:p w14:paraId="10EEB6E8">
            <w:pPr>
              <w:pStyle w:val="10"/>
            </w:pPr>
            <w:r>
              <w:t>三级指标</w:t>
            </w:r>
          </w:p>
        </w:tc>
        <w:tc>
          <w:tcPr>
            <w:tcW w:w="5386" w:type="dxa"/>
            <w:vAlign w:val="center"/>
          </w:tcPr>
          <w:p w14:paraId="5BB7B720">
            <w:pPr>
              <w:pStyle w:val="10"/>
            </w:pPr>
            <w:r>
              <w:t>绩效指标描述</w:t>
            </w:r>
          </w:p>
        </w:tc>
        <w:tc>
          <w:tcPr>
            <w:tcW w:w="2268" w:type="dxa"/>
            <w:vAlign w:val="center"/>
          </w:tcPr>
          <w:p w14:paraId="00EEFF40">
            <w:pPr>
              <w:pStyle w:val="10"/>
            </w:pPr>
            <w:r>
              <w:t>指标值</w:t>
            </w:r>
          </w:p>
        </w:tc>
        <w:tc>
          <w:tcPr>
            <w:tcW w:w="1276" w:type="dxa"/>
            <w:vAlign w:val="center"/>
          </w:tcPr>
          <w:p w14:paraId="0185A8FC">
            <w:pPr>
              <w:pStyle w:val="10"/>
            </w:pPr>
            <w:r>
              <w:t>指标值确定依据</w:t>
            </w:r>
          </w:p>
        </w:tc>
      </w:tr>
      <w:tr w14:paraId="09BC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219AD">
            <w:pPr>
              <w:pStyle w:val="13"/>
            </w:pPr>
            <w:r>
              <w:t>产出指标</w:t>
            </w:r>
          </w:p>
        </w:tc>
        <w:tc>
          <w:tcPr>
            <w:tcW w:w="2268" w:type="dxa"/>
            <w:vAlign w:val="center"/>
          </w:tcPr>
          <w:p w14:paraId="33DC0B1F">
            <w:pPr>
              <w:pStyle w:val="12"/>
            </w:pPr>
            <w:r>
              <w:t>数量指标</w:t>
            </w:r>
          </w:p>
        </w:tc>
        <w:tc>
          <w:tcPr>
            <w:tcW w:w="2835" w:type="dxa"/>
            <w:vAlign w:val="center"/>
          </w:tcPr>
          <w:p w14:paraId="0AF42676">
            <w:pPr>
              <w:pStyle w:val="12"/>
            </w:pPr>
            <w:r>
              <w:t>幼儿资助比例</w:t>
            </w:r>
          </w:p>
        </w:tc>
        <w:tc>
          <w:tcPr>
            <w:tcW w:w="5386" w:type="dxa"/>
            <w:vAlign w:val="center"/>
          </w:tcPr>
          <w:p w14:paraId="74E6622A">
            <w:pPr>
              <w:pStyle w:val="12"/>
            </w:pPr>
            <w:r>
              <w:t>按学前适龄在园儿童实际资助人数测算</w:t>
            </w:r>
          </w:p>
        </w:tc>
        <w:tc>
          <w:tcPr>
            <w:tcW w:w="2268" w:type="dxa"/>
            <w:vAlign w:val="center"/>
          </w:tcPr>
          <w:p w14:paraId="46E82E9F">
            <w:pPr>
              <w:pStyle w:val="12"/>
            </w:pPr>
            <w:r>
              <w:t>43人</w:t>
            </w:r>
          </w:p>
        </w:tc>
        <w:tc>
          <w:tcPr>
            <w:tcW w:w="1276" w:type="dxa"/>
            <w:vAlign w:val="center"/>
          </w:tcPr>
          <w:p w14:paraId="1AAC88F3">
            <w:pPr>
              <w:pStyle w:val="12"/>
            </w:pPr>
            <w:r>
              <w:t>发展学前教育资金管理办法</w:t>
            </w:r>
          </w:p>
        </w:tc>
      </w:tr>
      <w:tr w14:paraId="5985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D4B20"/>
        </w:tc>
        <w:tc>
          <w:tcPr>
            <w:tcW w:w="2268" w:type="dxa"/>
            <w:vAlign w:val="center"/>
          </w:tcPr>
          <w:p w14:paraId="49260CFC">
            <w:pPr>
              <w:pStyle w:val="12"/>
            </w:pPr>
            <w:r>
              <w:t>质量指标</w:t>
            </w:r>
          </w:p>
        </w:tc>
        <w:tc>
          <w:tcPr>
            <w:tcW w:w="2835" w:type="dxa"/>
            <w:vAlign w:val="center"/>
          </w:tcPr>
          <w:p w14:paraId="279C92E3">
            <w:pPr>
              <w:pStyle w:val="12"/>
            </w:pPr>
            <w:r>
              <w:t>学前教育资助制度落实情况</w:t>
            </w:r>
          </w:p>
        </w:tc>
        <w:tc>
          <w:tcPr>
            <w:tcW w:w="5386" w:type="dxa"/>
            <w:vAlign w:val="center"/>
          </w:tcPr>
          <w:p w14:paraId="5518D003">
            <w:pPr>
              <w:pStyle w:val="12"/>
            </w:pPr>
            <w:r>
              <w:t>符合享受资助条件的学生覆盖率</w:t>
            </w:r>
          </w:p>
        </w:tc>
        <w:tc>
          <w:tcPr>
            <w:tcW w:w="2268" w:type="dxa"/>
            <w:vAlign w:val="center"/>
          </w:tcPr>
          <w:p w14:paraId="42138130">
            <w:pPr>
              <w:pStyle w:val="12"/>
            </w:pPr>
            <w:r>
              <w:t>≥98%</w:t>
            </w:r>
          </w:p>
        </w:tc>
        <w:tc>
          <w:tcPr>
            <w:tcW w:w="1276" w:type="dxa"/>
            <w:vAlign w:val="center"/>
          </w:tcPr>
          <w:p w14:paraId="779AA3F0">
            <w:pPr>
              <w:pStyle w:val="12"/>
            </w:pPr>
            <w:r>
              <w:t>发展学前教育资金管理办法</w:t>
            </w:r>
          </w:p>
        </w:tc>
      </w:tr>
      <w:tr w14:paraId="7D46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1D092"/>
        </w:tc>
        <w:tc>
          <w:tcPr>
            <w:tcW w:w="2268" w:type="dxa"/>
            <w:vAlign w:val="center"/>
          </w:tcPr>
          <w:p w14:paraId="1EA8BE71">
            <w:pPr>
              <w:pStyle w:val="12"/>
            </w:pPr>
            <w:r>
              <w:t>时效指标</w:t>
            </w:r>
          </w:p>
        </w:tc>
        <w:tc>
          <w:tcPr>
            <w:tcW w:w="2835" w:type="dxa"/>
            <w:vAlign w:val="center"/>
          </w:tcPr>
          <w:p w14:paraId="591AFCE7">
            <w:pPr>
              <w:pStyle w:val="12"/>
            </w:pPr>
            <w:r>
              <w:t>资金拨付率</w:t>
            </w:r>
          </w:p>
        </w:tc>
        <w:tc>
          <w:tcPr>
            <w:tcW w:w="5386" w:type="dxa"/>
            <w:vAlign w:val="center"/>
          </w:tcPr>
          <w:p w14:paraId="4E7B9453">
            <w:pPr>
              <w:pStyle w:val="12"/>
            </w:pPr>
            <w:r>
              <w:t>按进度进行资金支付</w:t>
            </w:r>
          </w:p>
        </w:tc>
        <w:tc>
          <w:tcPr>
            <w:tcW w:w="2268" w:type="dxa"/>
            <w:vAlign w:val="center"/>
          </w:tcPr>
          <w:p w14:paraId="1C6E94D3">
            <w:pPr>
              <w:pStyle w:val="12"/>
            </w:pPr>
            <w:r>
              <w:t>≥98%</w:t>
            </w:r>
          </w:p>
        </w:tc>
        <w:tc>
          <w:tcPr>
            <w:tcW w:w="1276" w:type="dxa"/>
            <w:vAlign w:val="center"/>
          </w:tcPr>
          <w:p w14:paraId="418ADAC8">
            <w:pPr>
              <w:pStyle w:val="12"/>
            </w:pPr>
            <w:r>
              <w:t>发展学前教育资金管理办法</w:t>
            </w:r>
          </w:p>
        </w:tc>
      </w:tr>
      <w:tr w14:paraId="3ED8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DBD39"/>
        </w:tc>
        <w:tc>
          <w:tcPr>
            <w:tcW w:w="2268" w:type="dxa"/>
            <w:vAlign w:val="center"/>
          </w:tcPr>
          <w:p w14:paraId="187D1AF4">
            <w:pPr>
              <w:pStyle w:val="12"/>
            </w:pPr>
            <w:r>
              <w:t>成本指标</w:t>
            </w:r>
          </w:p>
        </w:tc>
        <w:tc>
          <w:tcPr>
            <w:tcW w:w="2835" w:type="dxa"/>
            <w:vAlign w:val="center"/>
          </w:tcPr>
          <w:p w14:paraId="2FDAF70E">
            <w:pPr>
              <w:pStyle w:val="12"/>
            </w:pPr>
            <w:r>
              <w:t>生均拨款标准</w:t>
            </w:r>
          </w:p>
        </w:tc>
        <w:tc>
          <w:tcPr>
            <w:tcW w:w="5386" w:type="dxa"/>
            <w:vAlign w:val="center"/>
          </w:tcPr>
          <w:p w14:paraId="217465D9">
            <w:pPr>
              <w:pStyle w:val="12"/>
            </w:pPr>
            <w:r>
              <w:t>按规定标准落实</w:t>
            </w:r>
          </w:p>
        </w:tc>
        <w:tc>
          <w:tcPr>
            <w:tcW w:w="2268" w:type="dxa"/>
            <w:vAlign w:val="center"/>
          </w:tcPr>
          <w:p w14:paraId="687D9E8C">
            <w:pPr>
              <w:pStyle w:val="12"/>
            </w:pPr>
            <w:r>
              <w:t>500元/生/半年</w:t>
            </w:r>
          </w:p>
        </w:tc>
        <w:tc>
          <w:tcPr>
            <w:tcW w:w="1276" w:type="dxa"/>
            <w:vAlign w:val="center"/>
          </w:tcPr>
          <w:p w14:paraId="0238F927">
            <w:pPr>
              <w:pStyle w:val="12"/>
            </w:pPr>
            <w:r>
              <w:t>发展学前教育资金管理办法</w:t>
            </w:r>
          </w:p>
        </w:tc>
      </w:tr>
      <w:tr w14:paraId="64F1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3D6E8">
            <w:pPr>
              <w:pStyle w:val="13"/>
            </w:pPr>
            <w:r>
              <w:t>效益指标</w:t>
            </w:r>
          </w:p>
        </w:tc>
        <w:tc>
          <w:tcPr>
            <w:tcW w:w="2268" w:type="dxa"/>
            <w:vAlign w:val="center"/>
          </w:tcPr>
          <w:p w14:paraId="6E5B3031">
            <w:pPr>
              <w:pStyle w:val="12"/>
            </w:pPr>
            <w:r>
              <w:t>可持续影响指标</w:t>
            </w:r>
          </w:p>
        </w:tc>
        <w:tc>
          <w:tcPr>
            <w:tcW w:w="2835" w:type="dxa"/>
            <w:vAlign w:val="center"/>
          </w:tcPr>
          <w:p w14:paraId="489D3586">
            <w:pPr>
              <w:pStyle w:val="12"/>
            </w:pPr>
            <w:r>
              <w:t>教育发展水平明显好转</w:t>
            </w:r>
          </w:p>
        </w:tc>
        <w:tc>
          <w:tcPr>
            <w:tcW w:w="5386" w:type="dxa"/>
            <w:vAlign w:val="center"/>
          </w:tcPr>
          <w:p w14:paraId="7CE538AE">
            <w:pPr>
              <w:pStyle w:val="12"/>
            </w:pPr>
            <w:r>
              <w:t>幼儿受教育年限</w:t>
            </w:r>
          </w:p>
        </w:tc>
        <w:tc>
          <w:tcPr>
            <w:tcW w:w="2268" w:type="dxa"/>
            <w:vAlign w:val="center"/>
          </w:tcPr>
          <w:p w14:paraId="40DE788F">
            <w:pPr>
              <w:pStyle w:val="12"/>
            </w:pPr>
            <w:r>
              <w:t>3年</w:t>
            </w:r>
          </w:p>
        </w:tc>
        <w:tc>
          <w:tcPr>
            <w:tcW w:w="1276" w:type="dxa"/>
            <w:vAlign w:val="center"/>
          </w:tcPr>
          <w:p w14:paraId="75650CE7">
            <w:pPr>
              <w:pStyle w:val="12"/>
            </w:pPr>
            <w:r>
              <w:t>发展学前教育资金管理办法</w:t>
            </w:r>
          </w:p>
        </w:tc>
      </w:tr>
      <w:tr w14:paraId="2EA1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53BFC">
            <w:pPr>
              <w:pStyle w:val="13"/>
            </w:pPr>
            <w:r>
              <w:t>满意度指标</w:t>
            </w:r>
          </w:p>
        </w:tc>
        <w:tc>
          <w:tcPr>
            <w:tcW w:w="2268" w:type="dxa"/>
            <w:vAlign w:val="center"/>
          </w:tcPr>
          <w:p w14:paraId="30DFB97F">
            <w:pPr>
              <w:pStyle w:val="12"/>
            </w:pPr>
            <w:r>
              <w:t>服务对象满意度指标</w:t>
            </w:r>
          </w:p>
        </w:tc>
        <w:tc>
          <w:tcPr>
            <w:tcW w:w="2835" w:type="dxa"/>
            <w:vAlign w:val="center"/>
          </w:tcPr>
          <w:p w14:paraId="27E67933">
            <w:pPr>
              <w:pStyle w:val="12"/>
            </w:pPr>
            <w:r>
              <w:t>受益幼儿家长及调查满意度</w:t>
            </w:r>
          </w:p>
        </w:tc>
        <w:tc>
          <w:tcPr>
            <w:tcW w:w="5386" w:type="dxa"/>
            <w:vAlign w:val="center"/>
          </w:tcPr>
          <w:p w14:paraId="4FA464EF">
            <w:pPr>
              <w:pStyle w:val="12"/>
            </w:pPr>
            <w:r>
              <w:t>学生、教师及家长对学校保教保育工作满意度情况</w:t>
            </w:r>
          </w:p>
        </w:tc>
        <w:tc>
          <w:tcPr>
            <w:tcW w:w="2268" w:type="dxa"/>
            <w:vAlign w:val="center"/>
          </w:tcPr>
          <w:p w14:paraId="051F59B9">
            <w:pPr>
              <w:pStyle w:val="12"/>
            </w:pPr>
            <w:r>
              <w:t>≥95%</w:t>
            </w:r>
          </w:p>
        </w:tc>
        <w:tc>
          <w:tcPr>
            <w:tcW w:w="1276" w:type="dxa"/>
            <w:vAlign w:val="center"/>
          </w:tcPr>
          <w:p w14:paraId="22EE638C">
            <w:pPr>
              <w:pStyle w:val="12"/>
            </w:pPr>
            <w:r>
              <w:t>调查问卷</w:t>
            </w:r>
          </w:p>
        </w:tc>
      </w:tr>
    </w:tbl>
    <w:p w14:paraId="0E691D91">
      <w:pPr>
        <w:sectPr>
          <w:pgSz w:w="16840" w:h="11900" w:orient="landscape"/>
          <w:pgMar w:top="1361" w:right="1020" w:bottom="1134" w:left="1020" w:header="720" w:footer="720" w:gutter="0"/>
          <w:cols w:space="720" w:num="1"/>
        </w:sectPr>
      </w:pPr>
    </w:p>
    <w:p w14:paraId="6A874118">
      <w:pPr>
        <w:spacing w:before="0" w:after="0"/>
        <w:ind w:firstLine="560"/>
        <w:jc w:val="left"/>
        <w:outlineLvl w:val="9"/>
      </w:pPr>
      <w:r>
        <w:rPr>
          <w:rFonts w:ascii="方正仿宋_GBK" w:hAnsi="方正仿宋_GBK" w:eastAsia="方正仿宋_GBK" w:cs="方正仿宋_GBK"/>
          <w:b/>
          <w:color w:val="000000"/>
          <w:sz w:val="28"/>
        </w:rPr>
        <w:t>17、冀财教[2025]149号/省级/2026年学前发展资金/千户营校区幼儿园免保育教育费补助绩效目标表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9D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A31AE">
            <w:pPr>
              <w:pStyle w:val="11"/>
            </w:pPr>
            <w:r>
              <w:t>单位：万元</w:t>
            </w:r>
          </w:p>
        </w:tc>
      </w:tr>
      <w:tr w14:paraId="24342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58C21">
            <w:pPr>
              <w:pStyle w:val="10"/>
            </w:pPr>
            <w:r>
              <w:t>项目编码</w:t>
            </w:r>
          </w:p>
        </w:tc>
        <w:tc>
          <w:tcPr>
            <w:tcW w:w="5103" w:type="dxa"/>
            <w:gridSpan w:val="2"/>
            <w:vAlign w:val="center"/>
          </w:tcPr>
          <w:p w14:paraId="2DDAFA31">
            <w:pPr>
              <w:pStyle w:val="12"/>
            </w:pPr>
            <w:r>
              <w:t>13052526P00876910158J</w:t>
            </w:r>
          </w:p>
        </w:tc>
        <w:tc>
          <w:tcPr>
            <w:tcW w:w="2835" w:type="dxa"/>
            <w:vAlign w:val="center"/>
          </w:tcPr>
          <w:p w14:paraId="6E46CDD7">
            <w:pPr>
              <w:pStyle w:val="10"/>
            </w:pPr>
            <w:r>
              <w:t>项目名称</w:t>
            </w:r>
          </w:p>
        </w:tc>
        <w:tc>
          <w:tcPr>
            <w:tcW w:w="6095" w:type="dxa"/>
            <w:gridSpan w:val="3"/>
            <w:vAlign w:val="center"/>
          </w:tcPr>
          <w:p w14:paraId="69656E09">
            <w:pPr>
              <w:pStyle w:val="12"/>
            </w:pPr>
            <w:r>
              <w:t>冀财教[2025]149号/省级/2026年学前发展资金/千户营校区幼儿园免保育教育费补助</w:t>
            </w:r>
          </w:p>
        </w:tc>
      </w:tr>
      <w:tr w14:paraId="0D58D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5236D">
            <w:pPr>
              <w:pStyle w:val="10"/>
            </w:pPr>
            <w:r>
              <w:t>预算规模及资金用途</w:t>
            </w:r>
          </w:p>
        </w:tc>
        <w:tc>
          <w:tcPr>
            <w:tcW w:w="2268" w:type="dxa"/>
            <w:vAlign w:val="center"/>
          </w:tcPr>
          <w:p w14:paraId="148AD4E1">
            <w:pPr>
              <w:pStyle w:val="10"/>
            </w:pPr>
            <w:r>
              <w:t>预算数</w:t>
            </w:r>
          </w:p>
        </w:tc>
        <w:tc>
          <w:tcPr>
            <w:tcW w:w="2835" w:type="dxa"/>
            <w:vAlign w:val="center"/>
          </w:tcPr>
          <w:p w14:paraId="1DEA5CDA">
            <w:pPr>
              <w:pStyle w:val="12"/>
            </w:pPr>
            <w:r>
              <w:t>10.56</w:t>
            </w:r>
          </w:p>
        </w:tc>
        <w:tc>
          <w:tcPr>
            <w:tcW w:w="2835" w:type="dxa"/>
            <w:vAlign w:val="center"/>
          </w:tcPr>
          <w:p w14:paraId="5767002F">
            <w:pPr>
              <w:pStyle w:val="10"/>
            </w:pPr>
            <w:r>
              <w:t>其中：财政    资金</w:t>
            </w:r>
          </w:p>
        </w:tc>
        <w:tc>
          <w:tcPr>
            <w:tcW w:w="2551" w:type="dxa"/>
            <w:vAlign w:val="center"/>
          </w:tcPr>
          <w:p w14:paraId="4D179AC4">
            <w:pPr>
              <w:pStyle w:val="12"/>
            </w:pPr>
            <w:r>
              <w:t>10.56</w:t>
            </w:r>
          </w:p>
        </w:tc>
        <w:tc>
          <w:tcPr>
            <w:tcW w:w="2268" w:type="dxa"/>
            <w:vAlign w:val="center"/>
          </w:tcPr>
          <w:p w14:paraId="5BD4F09D">
            <w:pPr>
              <w:pStyle w:val="10"/>
            </w:pPr>
            <w:r>
              <w:t>其他资金</w:t>
            </w:r>
          </w:p>
        </w:tc>
        <w:tc>
          <w:tcPr>
            <w:tcW w:w="1276" w:type="dxa"/>
            <w:vAlign w:val="center"/>
          </w:tcPr>
          <w:p w14:paraId="69671234">
            <w:pPr>
              <w:pStyle w:val="12"/>
            </w:pPr>
            <w:r>
              <w:t xml:space="preserve"> </w:t>
            </w:r>
          </w:p>
        </w:tc>
      </w:tr>
      <w:tr w14:paraId="784C5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855BC"/>
        </w:tc>
        <w:tc>
          <w:tcPr>
            <w:tcW w:w="14033" w:type="dxa"/>
            <w:gridSpan w:val="6"/>
            <w:vAlign w:val="center"/>
          </w:tcPr>
          <w:p w14:paraId="70E1652B">
            <w:pPr>
              <w:pStyle w:val="12"/>
            </w:pPr>
            <w:r>
              <w:t>保障幼儿园正常运转，完成教育教学活动和其他日常工作任务等方面的费用支出。</w:t>
            </w:r>
          </w:p>
        </w:tc>
      </w:tr>
      <w:tr w14:paraId="435AD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90816">
            <w:pPr>
              <w:pStyle w:val="10"/>
            </w:pPr>
            <w:r>
              <w:t>资金支出计划（%）</w:t>
            </w:r>
          </w:p>
        </w:tc>
        <w:tc>
          <w:tcPr>
            <w:tcW w:w="5103" w:type="dxa"/>
            <w:gridSpan w:val="2"/>
            <w:vAlign w:val="center"/>
          </w:tcPr>
          <w:p w14:paraId="4896AE50">
            <w:pPr>
              <w:pStyle w:val="10"/>
            </w:pPr>
            <w:r>
              <w:t>3月底</w:t>
            </w:r>
          </w:p>
        </w:tc>
        <w:tc>
          <w:tcPr>
            <w:tcW w:w="2835" w:type="dxa"/>
            <w:vAlign w:val="center"/>
          </w:tcPr>
          <w:p w14:paraId="7D367ADD">
            <w:pPr>
              <w:pStyle w:val="10"/>
            </w:pPr>
            <w:r>
              <w:t>6月底</w:t>
            </w:r>
          </w:p>
        </w:tc>
        <w:tc>
          <w:tcPr>
            <w:tcW w:w="2551" w:type="dxa"/>
            <w:vAlign w:val="center"/>
          </w:tcPr>
          <w:p w14:paraId="1CADE4ED">
            <w:pPr>
              <w:pStyle w:val="10"/>
            </w:pPr>
            <w:r>
              <w:t>10月底</w:t>
            </w:r>
          </w:p>
        </w:tc>
        <w:tc>
          <w:tcPr>
            <w:tcW w:w="3544" w:type="dxa"/>
            <w:gridSpan w:val="2"/>
            <w:vAlign w:val="center"/>
          </w:tcPr>
          <w:p w14:paraId="415F1588">
            <w:pPr>
              <w:pStyle w:val="10"/>
            </w:pPr>
            <w:r>
              <w:t>12月底</w:t>
            </w:r>
          </w:p>
        </w:tc>
      </w:tr>
      <w:tr w14:paraId="02313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30789"/>
        </w:tc>
        <w:tc>
          <w:tcPr>
            <w:tcW w:w="5103" w:type="dxa"/>
            <w:gridSpan w:val="2"/>
            <w:vAlign w:val="center"/>
          </w:tcPr>
          <w:p w14:paraId="4071480E">
            <w:pPr>
              <w:pStyle w:val="13"/>
            </w:pPr>
            <w:r>
              <w:t>25%</w:t>
            </w:r>
          </w:p>
        </w:tc>
        <w:tc>
          <w:tcPr>
            <w:tcW w:w="2835" w:type="dxa"/>
            <w:vAlign w:val="center"/>
          </w:tcPr>
          <w:p w14:paraId="3348160B">
            <w:pPr>
              <w:pStyle w:val="13"/>
            </w:pPr>
            <w:r>
              <w:t>50%</w:t>
            </w:r>
          </w:p>
        </w:tc>
        <w:tc>
          <w:tcPr>
            <w:tcW w:w="2551" w:type="dxa"/>
            <w:vAlign w:val="center"/>
          </w:tcPr>
          <w:p w14:paraId="2E4564AD">
            <w:pPr>
              <w:pStyle w:val="13"/>
            </w:pPr>
            <w:r>
              <w:t>75%</w:t>
            </w:r>
          </w:p>
        </w:tc>
        <w:tc>
          <w:tcPr>
            <w:tcW w:w="3544" w:type="dxa"/>
            <w:gridSpan w:val="2"/>
            <w:vAlign w:val="center"/>
          </w:tcPr>
          <w:p w14:paraId="38DD62B3">
            <w:pPr>
              <w:pStyle w:val="13"/>
            </w:pPr>
            <w:r>
              <w:t>100%</w:t>
            </w:r>
          </w:p>
        </w:tc>
      </w:tr>
      <w:tr w14:paraId="08538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DEA50">
            <w:pPr>
              <w:pStyle w:val="10"/>
            </w:pPr>
            <w:r>
              <w:t>绩效目标</w:t>
            </w:r>
          </w:p>
        </w:tc>
        <w:tc>
          <w:tcPr>
            <w:tcW w:w="14033" w:type="dxa"/>
            <w:gridSpan w:val="6"/>
            <w:vAlign w:val="center"/>
          </w:tcPr>
          <w:p w14:paraId="1C24FE83">
            <w:pPr>
              <w:pStyle w:val="12"/>
            </w:pPr>
            <w:r>
              <w:t>1.保障幼儿园正常运转，完成教育教学活动和其他日常工作任务等方面的费用支出。</w:t>
            </w:r>
          </w:p>
        </w:tc>
      </w:tr>
    </w:tbl>
    <w:p w14:paraId="7D420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5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0EA90">
            <w:pPr>
              <w:pStyle w:val="10"/>
            </w:pPr>
            <w:r>
              <w:t>一级指标</w:t>
            </w:r>
          </w:p>
        </w:tc>
        <w:tc>
          <w:tcPr>
            <w:tcW w:w="2268" w:type="dxa"/>
            <w:vAlign w:val="center"/>
          </w:tcPr>
          <w:p w14:paraId="540F2E56">
            <w:pPr>
              <w:pStyle w:val="10"/>
            </w:pPr>
            <w:r>
              <w:t>二级指标</w:t>
            </w:r>
          </w:p>
        </w:tc>
        <w:tc>
          <w:tcPr>
            <w:tcW w:w="2835" w:type="dxa"/>
            <w:vAlign w:val="center"/>
          </w:tcPr>
          <w:p w14:paraId="27A9943F">
            <w:pPr>
              <w:pStyle w:val="10"/>
            </w:pPr>
            <w:r>
              <w:t>三级指标</w:t>
            </w:r>
          </w:p>
        </w:tc>
        <w:tc>
          <w:tcPr>
            <w:tcW w:w="5386" w:type="dxa"/>
            <w:vAlign w:val="center"/>
          </w:tcPr>
          <w:p w14:paraId="7207CF92">
            <w:pPr>
              <w:pStyle w:val="10"/>
            </w:pPr>
            <w:r>
              <w:t>绩效指标描述</w:t>
            </w:r>
          </w:p>
        </w:tc>
        <w:tc>
          <w:tcPr>
            <w:tcW w:w="2268" w:type="dxa"/>
            <w:vAlign w:val="center"/>
          </w:tcPr>
          <w:p w14:paraId="0589F5B5">
            <w:pPr>
              <w:pStyle w:val="10"/>
            </w:pPr>
            <w:r>
              <w:t>指标值</w:t>
            </w:r>
          </w:p>
        </w:tc>
        <w:tc>
          <w:tcPr>
            <w:tcW w:w="1276" w:type="dxa"/>
            <w:vAlign w:val="center"/>
          </w:tcPr>
          <w:p w14:paraId="68473427">
            <w:pPr>
              <w:pStyle w:val="10"/>
            </w:pPr>
            <w:r>
              <w:t>指标值确定依据</w:t>
            </w:r>
          </w:p>
        </w:tc>
      </w:tr>
      <w:tr w14:paraId="59CE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4D960">
            <w:pPr>
              <w:pStyle w:val="13"/>
            </w:pPr>
            <w:r>
              <w:t>产出指标</w:t>
            </w:r>
          </w:p>
        </w:tc>
        <w:tc>
          <w:tcPr>
            <w:tcW w:w="2268" w:type="dxa"/>
            <w:vAlign w:val="center"/>
          </w:tcPr>
          <w:p w14:paraId="2A27578E">
            <w:pPr>
              <w:pStyle w:val="12"/>
            </w:pPr>
            <w:r>
              <w:t>数量指标</w:t>
            </w:r>
          </w:p>
        </w:tc>
        <w:tc>
          <w:tcPr>
            <w:tcW w:w="2835" w:type="dxa"/>
            <w:vAlign w:val="center"/>
          </w:tcPr>
          <w:p w14:paraId="579127AC">
            <w:pPr>
              <w:pStyle w:val="12"/>
            </w:pPr>
            <w:r>
              <w:t>适龄在园生</w:t>
            </w:r>
          </w:p>
        </w:tc>
        <w:tc>
          <w:tcPr>
            <w:tcW w:w="5386" w:type="dxa"/>
            <w:vAlign w:val="center"/>
          </w:tcPr>
          <w:p w14:paraId="512B69F1">
            <w:pPr>
              <w:pStyle w:val="12"/>
            </w:pPr>
            <w:r>
              <w:t>适龄在园学生人数</w:t>
            </w:r>
          </w:p>
        </w:tc>
        <w:tc>
          <w:tcPr>
            <w:tcW w:w="2268" w:type="dxa"/>
            <w:vAlign w:val="center"/>
          </w:tcPr>
          <w:p w14:paraId="09D72769">
            <w:pPr>
              <w:pStyle w:val="12"/>
            </w:pPr>
            <w:r>
              <w:t>257人</w:t>
            </w:r>
          </w:p>
        </w:tc>
        <w:tc>
          <w:tcPr>
            <w:tcW w:w="1276" w:type="dxa"/>
            <w:vAlign w:val="center"/>
          </w:tcPr>
          <w:p w14:paraId="63C10FE4">
            <w:pPr>
              <w:pStyle w:val="12"/>
            </w:pPr>
            <w:r>
              <w:t>支持学前教育发展管理方法</w:t>
            </w:r>
          </w:p>
        </w:tc>
      </w:tr>
      <w:tr w14:paraId="524B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45D13"/>
        </w:tc>
        <w:tc>
          <w:tcPr>
            <w:tcW w:w="2268" w:type="dxa"/>
            <w:vAlign w:val="center"/>
          </w:tcPr>
          <w:p w14:paraId="542C526F">
            <w:pPr>
              <w:pStyle w:val="12"/>
            </w:pPr>
            <w:r>
              <w:t>质量指标</w:t>
            </w:r>
          </w:p>
        </w:tc>
        <w:tc>
          <w:tcPr>
            <w:tcW w:w="2835" w:type="dxa"/>
            <w:vAlign w:val="center"/>
          </w:tcPr>
          <w:p w14:paraId="28C43B5F">
            <w:pPr>
              <w:pStyle w:val="12"/>
            </w:pPr>
            <w:r>
              <w:t>预算控制率</w:t>
            </w:r>
          </w:p>
        </w:tc>
        <w:tc>
          <w:tcPr>
            <w:tcW w:w="5386" w:type="dxa"/>
            <w:vAlign w:val="center"/>
          </w:tcPr>
          <w:p w14:paraId="1EBE5F2A">
            <w:pPr>
              <w:pStyle w:val="12"/>
            </w:pPr>
            <w:r>
              <w:t>预算执行</w:t>
            </w:r>
          </w:p>
        </w:tc>
        <w:tc>
          <w:tcPr>
            <w:tcW w:w="2268" w:type="dxa"/>
            <w:vAlign w:val="center"/>
          </w:tcPr>
          <w:p w14:paraId="7E2227B0">
            <w:pPr>
              <w:pStyle w:val="12"/>
            </w:pPr>
            <w:r>
              <w:t>≥98%</w:t>
            </w:r>
          </w:p>
        </w:tc>
        <w:tc>
          <w:tcPr>
            <w:tcW w:w="1276" w:type="dxa"/>
            <w:vAlign w:val="center"/>
          </w:tcPr>
          <w:p w14:paraId="2022FCF0">
            <w:pPr>
              <w:pStyle w:val="12"/>
            </w:pPr>
            <w:r>
              <w:t>支持学前教育发展管理方法</w:t>
            </w:r>
          </w:p>
        </w:tc>
      </w:tr>
      <w:tr w14:paraId="542B3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6CC04"/>
        </w:tc>
        <w:tc>
          <w:tcPr>
            <w:tcW w:w="2268" w:type="dxa"/>
            <w:vAlign w:val="center"/>
          </w:tcPr>
          <w:p w14:paraId="35125DBB">
            <w:pPr>
              <w:pStyle w:val="12"/>
            </w:pPr>
            <w:r>
              <w:t>时效指标</w:t>
            </w:r>
          </w:p>
        </w:tc>
        <w:tc>
          <w:tcPr>
            <w:tcW w:w="2835" w:type="dxa"/>
            <w:vAlign w:val="center"/>
          </w:tcPr>
          <w:p w14:paraId="25BD6531">
            <w:pPr>
              <w:pStyle w:val="12"/>
            </w:pPr>
            <w:r>
              <w:t>资金支付率</w:t>
            </w:r>
          </w:p>
        </w:tc>
        <w:tc>
          <w:tcPr>
            <w:tcW w:w="5386" w:type="dxa"/>
            <w:vAlign w:val="center"/>
          </w:tcPr>
          <w:p w14:paraId="39CA8FAA">
            <w:pPr>
              <w:pStyle w:val="12"/>
            </w:pPr>
            <w:r>
              <w:t>按照序时进度完成资金支付</w:t>
            </w:r>
          </w:p>
        </w:tc>
        <w:tc>
          <w:tcPr>
            <w:tcW w:w="2268" w:type="dxa"/>
            <w:vAlign w:val="center"/>
          </w:tcPr>
          <w:p w14:paraId="57442A8F">
            <w:pPr>
              <w:pStyle w:val="12"/>
            </w:pPr>
            <w:r>
              <w:t>≥98%</w:t>
            </w:r>
          </w:p>
        </w:tc>
        <w:tc>
          <w:tcPr>
            <w:tcW w:w="1276" w:type="dxa"/>
            <w:vAlign w:val="center"/>
          </w:tcPr>
          <w:p w14:paraId="3432B250">
            <w:pPr>
              <w:pStyle w:val="12"/>
            </w:pPr>
            <w:r>
              <w:t>支持学前教育发展管理方法</w:t>
            </w:r>
          </w:p>
        </w:tc>
      </w:tr>
      <w:tr w14:paraId="3073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F8EC3"/>
        </w:tc>
        <w:tc>
          <w:tcPr>
            <w:tcW w:w="2268" w:type="dxa"/>
            <w:vAlign w:val="center"/>
          </w:tcPr>
          <w:p w14:paraId="74241FEE">
            <w:pPr>
              <w:pStyle w:val="12"/>
            </w:pPr>
            <w:r>
              <w:t>成本指标</w:t>
            </w:r>
          </w:p>
        </w:tc>
        <w:tc>
          <w:tcPr>
            <w:tcW w:w="2835" w:type="dxa"/>
            <w:vAlign w:val="center"/>
          </w:tcPr>
          <w:p w14:paraId="51E8CC3D">
            <w:pPr>
              <w:pStyle w:val="12"/>
            </w:pPr>
            <w:r>
              <w:t>生均拨款标准</w:t>
            </w:r>
          </w:p>
        </w:tc>
        <w:tc>
          <w:tcPr>
            <w:tcW w:w="5386" w:type="dxa"/>
            <w:vAlign w:val="center"/>
          </w:tcPr>
          <w:p w14:paraId="2FF5FAEF">
            <w:pPr>
              <w:pStyle w:val="12"/>
            </w:pPr>
            <w:r>
              <w:t>免保育教育费补助</w:t>
            </w:r>
          </w:p>
        </w:tc>
        <w:tc>
          <w:tcPr>
            <w:tcW w:w="2268" w:type="dxa"/>
            <w:vAlign w:val="center"/>
          </w:tcPr>
          <w:p w14:paraId="32085C4E">
            <w:pPr>
              <w:pStyle w:val="12"/>
            </w:pPr>
            <w:r>
              <w:t>105551元</w:t>
            </w:r>
          </w:p>
        </w:tc>
        <w:tc>
          <w:tcPr>
            <w:tcW w:w="1276" w:type="dxa"/>
            <w:vAlign w:val="center"/>
          </w:tcPr>
          <w:p w14:paraId="3DD71C84">
            <w:pPr>
              <w:pStyle w:val="12"/>
            </w:pPr>
            <w:r>
              <w:t>支持学前教育发展管理方法</w:t>
            </w:r>
          </w:p>
        </w:tc>
      </w:tr>
      <w:tr w14:paraId="494B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C3069">
            <w:pPr>
              <w:pStyle w:val="13"/>
            </w:pPr>
            <w:r>
              <w:t>效益指标</w:t>
            </w:r>
          </w:p>
        </w:tc>
        <w:tc>
          <w:tcPr>
            <w:tcW w:w="2268" w:type="dxa"/>
            <w:vAlign w:val="center"/>
          </w:tcPr>
          <w:p w14:paraId="4E41B68F">
            <w:pPr>
              <w:pStyle w:val="12"/>
            </w:pPr>
            <w:r>
              <w:t>可持续影响指标</w:t>
            </w:r>
          </w:p>
        </w:tc>
        <w:tc>
          <w:tcPr>
            <w:tcW w:w="2835" w:type="dxa"/>
            <w:vAlign w:val="center"/>
          </w:tcPr>
          <w:p w14:paraId="09FB14BF">
            <w:pPr>
              <w:pStyle w:val="12"/>
            </w:pPr>
            <w:r>
              <w:t>学校运转得到提升</w:t>
            </w:r>
          </w:p>
        </w:tc>
        <w:tc>
          <w:tcPr>
            <w:tcW w:w="5386" w:type="dxa"/>
            <w:vAlign w:val="center"/>
          </w:tcPr>
          <w:p w14:paraId="3A8DC032">
            <w:pPr>
              <w:pStyle w:val="12"/>
            </w:pPr>
            <w:r>
              <w:t>幼儿受教育年限</w:t>
            </w:r>
          </w:p>
        </w:tc>
        <w:tc>
          <w:tcPr>
            <w:tcW w:w="2268" w:type="dxa"/>
            <w:vAlign w:val="center"/>
          </w:tcPr>
          <w:p w14:paraId="02597FCA">
            <w:pPr>
              <w:pStyle w:val="12"/>
            </w:pPr>
            <w:r>
              <w:t>3年</w:t>
            </w:r>
          </w:p>
        </w:tc>
        <w:tc>
          <w:tcPr>
            <w:tcW w:w="1276" w:type="dxa"/>
            <w:vAlign w:val="center"/>
          </w:tcPr>
          <w:p w14:paraId="2D0BDBC4">
            <w:pPr>
              <w:pStyle w:val="12"/>
            </w:pPr>
            <w:r>
              <w:t>支持学前教育发展管理方法</w:t>
            </w:r>
          </w:p>
        </w:tc>
      </w:tr>
      <w:tr w14:paraId="5241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981AD">
            <w:pPr>
              <w:pStyle w:val="13"/>
            </w:pPr>
            <w:r>
              <w:t>满意度指标</w:t>
            </w:r>
          </w:p>
        </w:tc>
        <w:tc>
          <w:tcPr>
            <w:tcW w:w="2268" w:type="dxa"/>
            <w:vAlign w:val="center"/>
          </w:tcPr>
          <w:p w14:paraId="4BB22116">
            <w:pPr>
              <w:pStyle w:val="12"/>
            </w:pPr>
            <w:r>
              <w:t>服务对象满意度指标</w:t>
            </w:r>
          </w:p>
        </w:tc>
        <w:tc>
          <w:tcPr>
            <w:tcW w:w="2835" w:type="dxa"/>
            <w:vAlign w:val="center"/>
          </w:tcPr>
          <w:p w14:paraId="379DA11D">
            <w:pPr>
              <w:pStyle w:val="12"/>
            </w:pPr>
            <w:r>
              <w:t>受益学生家长及调查满意度</w:t>
            </w:r>
          </w:p>
        </w:tc>
        <w:tc>
          <w:tcPr>
            <w:tcW w:w="5386" w:type="dxa"/>
            <w:vAlign w:val="center"/>
          </w:tcPr>
          <w:p w14:paraId="2A28A8AC">
            <w:pPr>
              <w:pStyle w:val="12"/>
            </w:pPr>
            <w:r>
              <w:t>学生、教师及家长对学校保教保育工作满意度情况</w:t>
            </w:r>
          </w:p>
        </w:tc>
        <w:tc>
          <w:tcPr>
            <w:tcW w:w="2268" w:type="dxa"/>
            <w:vAlign w:val="center"/>
          </w:tcPr>
          <w:p w14:paraId="4C71CFE5">
            <w:pPr>
              <w:pStyle w:val="12"/>
            </w:pPr>
            <w:r>
              <w:t>≥95%</w:t>
            </w:r>
          </w:p>
        </w:tc>
        <w:tc>
          <w:tcPr>
            <w:tcW w:w="1276" w:type="dxa"/>
            <w:vAlign w:val="center"/>
          </w:tcPr>
          <w:p w14:paraId="036F482D">
            <w:pPr>
              <w:pStyle w:val="12"/>
            </w:pPr>
            <w:r>
              <w:t>支持学前教育发展管理方法</w:t>
            </w:r>
          </w:p>
        </w:tc>
      </w:tr>
    </w:tbl>
    <w:p w14:paraId="7AF9A7BD">
      <w:pPr>
        <w:sectPr>
          <w:pgSz w:w="16840" w:h="11900" w:orient="landscape"/>
          <w:pgMar w:top="1361" w:right="1020" w:bottom="1134" w:left="1020" w:header="720" w:footer="720" w:gutter="0"/>
          <w:cols w:space="720" w:num="1"/>
        </w:sectPr>
      </w:pPr>
    </w:p>
    <w:p w14:paraId="7DBB59B1">
      <w:pPr>
        <w:spacing w:before="0" w:after="0"/>
        <w:ind w:firstLine="560"/>
        <w:jc w:val="left"/>
        <w:outlineLvl w:val="9"/>
      </w:pPr>
      <w:r>
        <w:rPr>
          <w:rFonts w:ascii="方正仿宋_GBK" w:hAnsi="方正仿宋_GBK" w:eastAsia="方正仿宋_GBK" w:cs="方正仿宋_GBK"/>
          <w:b/>
          <w:color w:val="000000"/>
          <w:sz w:val="28"/>
        </w:rPr>
        <w:t>18、冀财教[2025]149号/省级/支持学前教育发展/千户营校区幼儿园设备购置绩效目标表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49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87016">
            <w:pPr>
              <w:pStyle w:val="11"/>
            </w:pPr>
            <w:r>
              <w:t>单位：万元</w:t>
            </w:r>
          </w:p>
        </w:tc>
      </w:tr>
      <w:tr w14:paraId="74409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1DEF5">
            <w:pPr>
              <w:pStyle w:val="10"/>
            </w:pPr>
            <w:r>
              <w:t>项目编码</w:t>
            </w:r>
          </w:p>
        </w:tc>
        <w:tc>
          <w:tcPr>
            <w:tcW w:w="5103" w:type="dxa"/>
            <w:gridSpan w:val="2"/>
            <w:vAlign w:val="center"/>
          </w:tcPr>
          <w:p w14:paraId="735DF611">
            <w:pPr>
              <w:pStyle w:val="12"/>
            </w:pPr>
            <w:r>
              <w:t>13052526P00876910205M</w:t>
            </w:r>
          </w:p>
        </w:tc>
        <w:tc>
          <w:tcPr>
            <w:tcW w:w="2835" w:type="dxa"/>
            <w:vAlign w:val="center"/>
          </w:tcPr>
          <w:p w14:paraId="24891DF4">
            <w:pPr>
              <w:pStyle w:val="10"/>
            </w:pPr>
            <w:r>
              <w:t>项目名称</w:t>
            </w:r>
          </w:p>
        </w:tc>
        <w:tc>
          <w:tcPr>
            <w:tcW w:w="6095" w:type="dxa"/>
            <w:gridSpan w:val="3"/>
            <w:vAlign w:val="center"/>
          </w:tcPr>
          <w:p w14:paraId="28886F4E">
            <w:pPr>
              <w:pStyle w:val="12"/>
            </w:pPr>
            <w:r>
              <w:t>冀财教[2025]149号/省级/支持学前教育发展/千户营校区幼儿园设备购置</w:t>
            </w:r>
          </w:p>
        </w:tc>
      </w:tr>
      <w:tr w14:paraId="1DDAD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0A914">
            <w:pPr>
              <w:pStyle w:val="10"/>
            </w:pPr>
            <w:r>
              <w:t>预算规模及资金用途</w:t>
            </w:r>
          </w:p>
        </w:tc>
        <w:tc>
          <w:tcPr>
            <w:tcW w:w="2268" w:type="dxa"/>
            <w:vAlign w:val="center"/>
          </w:tcPr>
          <w:p w14:paraId="4974E368">
            <w:pPr>
              <w:pStyle w:val="10"/>
            </w:pPr>
            <w:r>
              <w:t>预算数</w:t>
            </w:r>
          </w:p>
        </w:tc>
        <w:tc>
          <w:tcPr>
            <w:tcW w:w="2835" w:type="dxa"/>
            <w:vAlign w:val="center"/>
          </w:tcPr>
          <w:p w14:paraId="25C7F5D4">
            <w:pPr>
              <w:pStyle w:val="12"/>
            </w:pPr>
            <w:r>
              <w:t>24.65</w:t>
            </w:r>
          </w:p>
        </w:tc>
        <w:tc>
          <w:tcPr>
            <w:tcW w:w="2835" w:type="dxa"/>
            <w:vAlign w:val="center"/>
          </w:tcPr>
          <w:p w14:paraId="5632E925">
            <w:pPr>
              <w:pStyle w:val="10"/>
            </w:pPr>
            <w:r>
              <w:t>其中：财政    资金</w:t>
            </w:r>
          </w:p>
        </w:tc>
        <w:tc>
          <w:tcPr>
            <w:tcW w:w="2551" w:type="dxa"/>
            <w:vAlign w:val="center"/>
          </w:tcPr>
          <w:p w14:paraId="6679292F">
            <w:pPr>
              <w:pStyle w:val="12"/>
            </w:pPr>
            <w:r>
              <w:t>24.65</w:t>
            </w:r>
          </w:p>
        </w:tc>
        <w:tc>
          <w:tcPr>
            <w:tcW w:w="2268" w:type="dxa"/>
            <w:vAlign w:val="center"/>
          </w:tcPr>
          <w:p w14:paraId="17BE93CE">
            <w:pPr>
              <w:pStyle w:val="10"/>
            </w:pPr>
            <w:r>
              <w:t>其他资金</w:t>
            </w:r>
          </w:p>
        </w:tc>
        <w:tc>
          <w:tcPr>
            <w:tcW w:w="1276" w:type="dxa"/>
            <w:vAlign w:val="center"/>
          </w:tcPr>
          <w:p w14:paraId="7F1F8E6B">
            <w:pPr>
              <w:pStyle w:val="12"/>
            </w:pPr>
            <w:r>
              <w:t xml:space="preserve"> </w:t>
            </w:r>
          </w:p>
        </w:tc>
      </w:tr>
      <w:tr w14:paraId="62501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AF6CB"/>
        </w:tc>
        <w:tc>
          <w:tcPr>
            <w:tcW w:w="14033" w:type="dxa"/>
            <w:gridSpan w:val="6"/>
            <w:vAlign w:val="center"/>
          </w:tcPr>
          <w:p w14:paraId="0ED8697C">
            <w:pPr>
              <w:pStyle w:val="12"/>
            </w:pPr>
            <w:r>
              <w:t>提高教学条件，提升教学水平，进一步提高学校</w:t>
            </w:r>
            <w:r>
              <w:rPr>
                <w:rFonts w:hint="eastAsia"/>
                <w:lang w:eastAsia="zh-CN"/>
              </w:rPr>
              <w:t>环境</w:t>
            </w:r>
            <w:r>
              <w:t>条件。</w:t>
            </w:r>
          </w:p>
        </w:tc>
      </w:tr>
      <w:tr w14:paraId="7C661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684D4">
            <w:pPr>
              <w:pStyle w:val="10"/>
            </w:pPr>
            <w:r>
              <w:t>资金支出计划（%）</w:t>
            </w:r>
          </w:p>
        </w:tc>
        <w:tc>
          <w:tcPr>
            <w:tcW w:w="5103" w:type="dxa"/>
            <w:gridSpan w:val="2"/>
            <w:vAlign w:val="center"/>
          </w:tcPr>
          <w:p w14:paraId="0B0DB8F3">
            <w:pPr>
              <w:pStyle w:val="10"/>
            </w:pPr>
            <w:r>
              <w:t>3月底</w:t>
            </w:r>
          </w:p>
        </w:tc>
        <w:tc>
          <w:tcPr>
            <w:tcW w:w="2835" w:type="dxa"/>
            <w:vAlign w:val="center"/>
          </w:tcPr>
          <w:p w14:paraId="3E874FFC">
            <w:pPr>
              <w:pStyle w:val="10"/>
            </w:pPr>
            <w:r>
              <w:t>6月底</w:t>
            </w:r>
          </w:p>
        </w:tc>
        <w:tc>
          <w:tcPr>
            <w:tcW w:w="2551" w:type="dxa"/>
            <w:vAlign w:val="center"/>
          </w:tcPr>
          <w:p w14:paraId="09BFD001">
            <w:pPr>
              <w:pStyle w:val="10"/>
            </w:pPr>
            <w:r>
              <w:t>10月底</w:t>
            </w:r>
          </w:p>
        </w:tc>
        <w:tc>
          <w:tcPr>
            <w:tcW w:w="3544" w:type="dxa"/>
            <w:gridSpan w:val="2"/>
            <w:vAlign w:val="center"/>
          </w:tcPr>
          <w:p w14:paraId="17D6187A">
            <w:pPr>
              <w:pStyle w:val="10"/>
            </w:pPr>
            <w:r>
              <w:t>12月底</w:t>
            </w:r>
          </w:p>
        </w:tc>
      </w:tr>
      <w:tr w14:paraId="38F57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A2B61"/>
        </w:tc>
        <w:tc>
          <w:tcPr>
            <w:tcW w:w="5103" w:type="dxa"/>
            <w:gridSpan w:val="2"/>
            <w:vAlign w:val="center"/>
          </w:tcPr>
          <w:p w14:paraId="7AEBC062">
            <w:pPr>
              <w:pStyle w:val="13"/>
            </w:pPr>
            <w:r>
              <w:t xml:space="preserve"> </w:t>
            </w:r>
          </w:p>
        </w:tc>
        <w:tc>
          <w:tcPr>
            <w:tcW w:w="2835" w:type="dxa"/>
            <w:vAlign w:val="center"/>
          </w:tcPr>
          <w:p w14:paraId="07904CD9">
            <w:pPr>
              <w:pStyle w:val="13"/>
            </w:pPr>
            <w:r>
              <w:t>50%</w:t>
            </w:r>
          </w:p>
        </w:tc>
        <w:tc>
          <w:tcPr>
            <w:tcW w:w="2551" w:type="dxa"/>
            <w:vAlign w:val="center"/>
          </w:tcPr>
          <w:p w14:paraId="564F38F6">
            <w:pPr>
              <w:pStyle w:val="13"/>
            </w:pPr>
            <w:r>
              <w:t>100%</w:t>
            </w:r>
          </w:p>
        </w:tc>
        <w:tc>
          <w:tcPr>
            <w:tcW w:w="3544" w:type="dxa"/>
            <w:gridSpan w:val="2"/>
            <w:vAlign w:val="center"/>
          </w:tcPr>
          <w:p w14:paraId="6AE3E7DE">
            <w:pPr>
              <w:pStyle w:val="13"/>
            </w:pPr>
            <w:r>
              <w:t>100%</w:t>
            </w:r>
          </w:p>
        </w:tc>
      </w:tr>
      <w:tr w14:paraId="6A8BF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1D2F3">
            <w:pPr>
              <w:pStyle w:val="10"/>
            </w:pPr>
            <w:r>
              <w:t>绩效目标</w:t>
            </w:r>
          </w:p>
        </w:tc>
        <w:tc>
          <w:tcPr>
            <w:tcW w:w="14033" w:type="dxa"/>
            <w:gridSpan w:val="6"/>
            <w:vAlign w:val="center"/>
          </w:tcPr>
          <w:p w14:paraId="72459C99">
            <w:pPr>
              <w:pStyle w:val="12"/>
            </w:pPr>
            <w:r>
              <w:t>1.提高教学条件，提升教学水平，进一步提高学校</w:t>
            </w:r>
            <w:r>
              <w:rPr>
                <w:rFonts w:hint="eastAsia"/>
                <w:lang w:eastAsia="zh-CN"/>
              </w:rPr>
              <w:t>环境</w:t>
            </w:r>
            <w:r>
              <w:t>条件。</w:t>
            </w:r>
          </w:p>
        </w:tc>
      </w:tr>
    </w:tbl>
    <w:p w14:paraId="55A4D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4E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F7E9D">
            <w:pPr>
              <w:pStyle w:val="10"/>
            </w:pPr>
            <w:r>
              <w:t>一级指标</w:t>
            </w:r>
          </w:p>
        </w:tc>
        <w:tc>
          <w:tcPr>
            <w:tcW w:w="2268" w:type="dxa"/>
            <w:vAlign w:val="center"/>
          </w:tcPr>
          <w:p w14:paraId="450BE382">
            <w:pPr>
              <w:pStyle w:val="10"/>
            </w:pPr>
            <w:r>
              <w:t>二级指标</w:t>
            </w:r>
          </w:p>
        </w:tc>
        <w:tc>
          <w:tcPr>
            <w:tcW w:w="2835" w:type="dxa"/>
            <w:vAlign w:val="center"/>
          </w:tcPr>
          <w:p w14:paraId="357CBABE">
            <w:pPr>
              <w:pStyle w:val="10"/>
            </w:pPr>
            <w:r>
              <w:t>三级指标</w:t>
            </w:r>
          </w:p>
        </w:tc>
        <w:tc>
          <w:tcPr>
            <w:tcW w:w="5386" w:type="dxa"/>
            <w:vAlign w:val="center"/>
          </w:tcPr>
          <w:p w14:paraId="0596DE48">
            <w:pPr>
              <w:pStyle w:val="10"/>
            </w:pPr>
            <w:r>
              <w:t>绩效指标描述</w:t>
            </w:r>
          </w:p>
        </w:tc>
        <w:tc>
          <w:tcPr>
            <w:tcW w:w="2268" w:type="dxa"/>
            <w:vAlign w:val="center"/>
          </w:tcPr>
          <w:p w14:paraId="42E65611">
            <w:pPr>
              <w:pStyle w:val="10"/>
            </w:pPr>
            <w:r>
              <w:t>指标值</w:t>
            </w:r>
          </w:p>
        </w:tc>
        <w:tc>
          <w:tcPr>
            <w:tcW w:w="1276" w:type="dxa"/>
            <w:vAlign w:val="center"/>
          </w:tcPr>
          <w:p w14:paraId="01872412">
            <w:pPr>
              <w:pStyle w:val="10"/>
            </w:pPr>
            <w:r>
              <w:t>指标值确定依据</w:t>
            </w:r>
          </w:p>
        </w:tc>
      </w:tr>
      <w:tr w14:paraId="241A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EFF65">
            <w:pPr>
              <w:pStyle w:val="13"/>
            </w:pPr>
            <w:r>
              <w:t>产出指标</w:t>
            </w:r>
          </w:p>
        </w:tc>
        <w:tc>
          <w:tcPr>
            <w:tcW w:w="2268" w:type="dxa"/>
            <w:vAlign w:val="center"/>
          </w:tcPr>
          <w:p w14:paraId="03BF3636">
            <w:pPr>
              <w:pStyle w:val="12"/>
            </w:pPr>
            <w:r>
              <w:t>数量指标</w:t>
            </w:r>
          </w:p>
        </w:tc>
        <w:tc>
          <w:tcPr>
            <w:tcW w:w="2835" w:type="dxa"/>
            <w:vAlign w:val="center"/>
          </w:tcPr>
          <w:p w14:paraId="387B7B59">
            <w:pPr>
              <w:pStyle w:val="12"/>
            </w:pPr>
            <w:r>
              <w:t>幼儿园设备购置</w:t>
            </w:r>
          </w:p>
        </w:tc>
        <w:tc>
          <w:tcPr>
            <w:tcW w:w="5386" w:type="dxa"/>
            <w:vAlign w:val="center"/>
          </w:tcPr>
          <w:p w14:paraId="20208124">
            <w:pPr>
              <w:pStyle w:val="12"/>
            </w:pPr>
            <w:r>
              <w:t>学校购置教学设备一套、家具用具一套</w:t>
            </w:r>
          </w:p>
        </w:tc>
        <w:tc>
          <w:tcPr>
            <w:tcW w:w="2268" w:type="dxa"/>
            <w:vAlign w:val="center"/>
          </w:tcPr>
          <w:p w14:paraId="35EE5B88">
            <w:pPr>
              <w:pStyle w:val="12"/>
            </w:pPr>
            <w:r>
              <w:t>2套</w:t>
            </w:r>
          </w:p>
        </w:tc>
        <w:tc>
          <w:tcPr>
            <w:tcW w:w="1276" w:type="dxa"/>
            <w:vAlign w:val="center"/>
          </w:tcPr>
          <w:p w14:paraId="67433735">
            <w:pPr>
              <w:pStyle w:val="12"/>
            </w:pPr>
            <w:r>
              <w:t>项目规划</w:t>
            </w:r>
          </w:p>
        </w:tc>
      </w:tr>
      <w:tr w14:paraId="476C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69F5A"/>
        </w:tc>
        <w:tc>
          <w:tcPr>
            <w:tcW w:w="2268" w:type="dxa"/>
            <w:vAlign w:val="center"/>
          </w:tcPr>
          <w:p w14:paraId="7B90B00B">
            <w:pPr>
              <w:pStyle w:val="12"/>
            </w:pPr>
            <w:r>
              <w:t>质量指标</w:t>
            </w:r>
          </w:p>
        </w:tc>
        <w:tc>
          <w:tcPr>
            <w:tcW w:w="2835" w:type="dxa"/>
            <w:vAlign w:val="center"/>
          </w:tcPr>
          <w:p w14:paraId="47B505C3">
            <w:pPr>
              <w:pStyle w:val="12"/>
            </w:pPr>
            <w:r>
              <w:t>购置设备收合格完成率</w:t>
            </w:r>
          </w:p>
        </w:tc>
        <w:tc>
          <w:tcPr>
            <w:tcW w:w="5386" w:type="dxa"/>
            <w:vAlign w:val="center"/>
          </w:tcPr>
          <w:p w14:paraId="1F75AE82">
            <w:pPr>
              <w:pStyle w:val="12"/>
            </w:pPr>
            <w:r>
              <w:t>学校购置设备数量与计划购置数量之比</w:t>
            </w:r>
          </w:p>
        </w:tc>
        <w:tc>
          <w:tcPr>
            <w:tcW w:w="2268" w:type="dxa"/>
            <w:vAlign w:val="center"/>
          </w:tcPr>
          <w:p w14:paraId="3B512638">
            <w:pPr>
              <w:pStyle w:val="12"/>
            </w:pPr>
            <w:r>
              <w:t>≥98%</w:t>
            </w:r>
          </w:p>
        </w:tc>
        <w:tc>
          <w:tcPr>
            <w:tcW w:w="1276" w:type="dxa"/>
            <w:vAlign w:val="center"/>
          </w:tcPr>
          <w:p w14:paraId="16692833">
            <w:pPr>
              <w:pStyle w:val="12"/>
            </w:pPr>
            <w:r>
              <w:t>项目规划</w:t>
            </w:r>
          </w:p>
        </w:tc>
      </w:tr>
      <w:tr w14:paraId="726C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E2C57"/>
        </w:tc>
        <w:tc>
          <w:tcPr>
            <w:tcW w:w="2268" w:type="dxa"/>
            <w:vAlign w:val="center"/>
          </w:tcPr>
          <w:p w14:paraId="76E18B85">
            <w:pPr>
              <w:pStyle w:val="12"/>
            </w:pPr>
            <w:r>
              <w:t>时效指标</w:t>
            </w:r>
          </w:p>
        </w:tc>
        <w:tc>
          <w:tcPr>
            <w:tcW w:w="2835" w:type="dxa"/>
            <w:vAlign w:val="center"/>
          </w:tcPr>
          <w:p w14:paraId="3F516643">
            <w:pPr>
              <w:pStyle w:val="12"/>
            </w:pPr>
            <w:r>
              <w:t>购置设备完成率</w:t>
            </w:r>
          </w:p>
        </w:tc>
        <w:tc>
          <w:tcPr>
            <w:tcW w:w="5386" w:type="dxa"/>
            <w:vAlign w:val="center"/>
          </w:tcPr>
          <w:p w14:paraId="07FCC1CA">
            <w:pPr>
              <w:pStyle w:val="12"/>
            </w:pPr>
            <w:r>
              <w:t>学校购置设备完成情况</w:t>
            </w:r>
          </w:p>
        </w:tc>
        <w:tc>
          <w:tcPr>
            <w:tcW w:w="2268" w:type="dxa"/>
            <w:vAlign w:val="center"/>
          </w:tcPr>
          <w:p w14:paraId="38955862">
            <w:pPr>
              <w:pStyle w:val="12"/>
            </w:pPr>
            <w:r>
              <w:t>≥98%</w:t>
            </w:r>
          </w:p>
        </w:tc>
        <w:tc>
          <w:tcPr>
            <w:tcW w:w="1276" w:type="dxa"/>
            <w:vAlign w:val="center"/>
          </w:tcPr>
          <w:p w14:paraId="722FC547">
            <w:pPr>
              <w:pStyle w:val="12"/>
            </w:pPr>
            <w:r>
              <w:t>项目规划</w:t>
            </w:r>
          </w:p>
        </w:tc>
      </w:tr>
      <w:tr w14:paraId="1FCF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039E2"/>
        </w:tc>
        <w:tc>
          <w:tcPr>
            <w:tcW w:w="2268" w:type="dxa"/>
            <w:vAlign w:val="center"/>
          </w:tcPr>
          <w:p w14:paraId="226F8C20">
            <w:pPr>
              <w:pStyle w:val="12"/>
            </w:pPr>
            <w:r>
              <w:t>成本指标</w:t>
            </w:r>
          </w:p>
        </w:tc>
        <w:tc>
          <w:tcPr>
            <w:tcW w:w="2835" w:type="dxa"/>
            <w:vAlign w:val="center"/>
          </w:tcPr>
          <w:p w14:paraId="7C3B3201">
            <w:pPr>
              <w:pStyle w:val="12"/>
            </w:pPr>
            <w:r>
              <w:t>购置设备成本</w:t>
            </w:r>
          </w:p>
        </w:tc>
        <w:tc>
          <w:tcPr>
            <w:tcW w:w="5386" w:type="dxa"/>
            <w:vAlign w:val="center"/>
          </w:tcPr>
          <w:p w14:paraId="596D5A16">
            <w:pPr>
              <w:pStyle w:val="12"/>
            </w:pPr>
            <w:r>
              <w:t>用于学校购置设备的资金投入</w:t>
            </w:r>
          </w:p>
        </w:tc>
        <w:tc>
          <w:tcPr>
            <w:tcW w:w="2268" w:type="dxa"/>
            <w:vAlign w:val="center"/>
          </w:tcPr>
          <w:p w14:paraId="639BE96C">
            <w:pPr>
              <w:pStyle w:val="12"/>
            </w:pPr>
            <w:r>
              <w:t>246500元</w:t>
            </w:r>
          </w:p>
        </w:tc>
        <w:tc>
          <w:tcPr>
            <w:tcW w:w="1276" w:type="dxa"/>
            <w:vAlign w:val="center"/>
          </w:tcPr>
          <w:p w14:paraId="1C9D4FD3">
            <w:pPr>
              <w:pStyle w:val="12"/>
            </w:pPr>
            <w:r>
              <w:t>项目规划</w:t>
            </w:r>
          </w:p>
        </w:tc>
      </w:tr>
      <w:tr w14:paraId="496D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609A6">
            <w:pPr>
              <w:pStyle w:val="13"/>
            </w:pPr>
            <w:r>
              <w:t>效益指标</w:t>
            </w:r>
          </w:p>
        </w:tc>
        <w:tc>
          <w:tcPr>
            <w:tcW w:w="2268" w:type="dxa"/>
            <w:vAlign w:val="center"/>
          </w:tcPr>
          <w:p w14:paraId="714EC279">
            <w:pPr>
              <w:pStyle w:val="12"/>
            </w:pPr>
            <w:r>
              <w:t>可持续影响指标</w:t>
            </w:r>
          </w:p>
        </w:tc>
        <w:tc>
          <w:tcPr>
            <w:tcW w:w="2835" w:type="dxa"/>
            <w:vAlign w:val="center"/>
          </w:tcPr>
          <w:p w14:paraId="514A128F">
            <w:pPr>
              <w:pStyle w:val="12"/>
            </w:pPr>
            <w:r>
              <w:t>学校受教育年限</w:t>
            </w:r>
          </w:p>
        </w:tc>
        <w:tc>
          <w:tcPr>
            <w:tcW w:w="5386" w:type="dxa"/>
            <w:vAlign w:val="center"/>
          </w:tcPr>
          <w:p w14:paraId="4B94B494">
            <w:pPr>
              <w:pStyle w:val="12"/>
            </w:pPr>
            <w:r>
              <w:t>学校受教育年限</w:t>
            </w:r>
          </w:p>
        </w:tc>
        <w:tc>
          <w:tcPr>
            <w:tcW w:w="2268" w:type="dxa"/>
            <w:vAlign w:val="center"/>
          </w:tcPr>
          <w:p w14:paraId="5C94B0EB">
            <w:pPr>
              <w:pStyle w:val="12"/>
            </w:pPr>
            <w:r>
              <w:t>3年</w:t>
            </w:r>
          </w:p>
        </w:tc>
        <w:tc>
          <w:tcPr>
            <w:tcW w:w="1276" w:type="dxa"/>
            <w:vAlign w:val="center"/>
          </w:tcPr>
          <w:p w14:paraId="3A3F70D7">
            <w:pPr>
              <w:pStyle w:val="12"/>
            </w:pPr>
            <w:r>
              <w:t>项目规划</w:t>
            </w:r>
          </w:p>
        </w:tc>
      </w:tr>
      <w:tr w14:paraId="634D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410F0">
            <w:pPr>
              <w:pStyle w:val="13"/>
            </w:pPr>
            <w:r>
              <w:t>满意度指标</w:t>
            </w:r>
          </w:p>
        </w:tc>
        <w:tc>
          <w:tcPr>
            <w:tcW w:w="2268" w:type="dxa"/>
            <w:vAlign w:val="center"/>
          </w:tcPr>
          <w:p w14:paraId="11BE99F0">
            <w:pPr>
              <w:pStyle w:val="12"/>
            </w:pPr>
            <w:r>
              <w:t>服务对象满意度指标</w:t>
            </w:r>
          </w:p>
        </w:tc>
        <w:tc>
          <w:tcPr>
            <w:tcW w:w="2835" w:type="dxa"/>
            <w:vAlign w:val="center"/>
          </w:tcPr>
          <w:p w14:paraId="05FB08F4">
            <w:pPr>
              <w:pStyle w:val="12"/>
            </w:pPr>
            <w:r>
              <w:t>学生满意度</w:t>
            </w:r>
          </w:p>
        </w:tc>
        <w:tc>
          <w:tcPr>
            <w:tcW w:w="5386" w:type="dxa"/>
            <w:vAlign w:val="center"/>
          </w:tcPr>
          <w:p w14:paraId="653DA9AE">
            <w:pPr>
              <w:pStyle w:val="12"/>
            </w:pPr>
            <w:r>
              <w:t>学生对实施项目的满意度</w:t>
            </w:r>
          </w:p>
        </w:tc>
        <w:tc>
          <w:tcPr>
            <w:tcW w:w="2268" w:type="dxa"/>
            <w:vAlign w:val="center"/>
          </w:tcPr>
          <w:p w14:paraId="3E5C64F9">
            <w:pPr>
              <w:pStyle w:val="12"/>
            </w:pPr>
            <w:r>
              <w:t>≥95%</w:t>
            </w:r>
          </w:p>
        </w:tc>
        <w:tc>
          <w:tcPr>
            <w:tcW w:w="1276" w:type="dxa"/>
            <w:vAlign w:val="center"/>
          </w:tcPr>
          <w:p w14:paraId="415023BE">
            <w:pPr>
              <w:pStyle w:val="12"/>
            </w:pPr>
            <w:r>
              <w:t>问卷调查</w:t>
            </w:r>
          </w:p>
        </w:tc>
      </w:tr>
    </w:tbl>
    <w:p w14:paraId="49E04F64">
      <w:pPr>
        <w:sectPr>
          <w:pgSz w:w="16840" w:h="11900" w:orient="landscape"/>
          <w:pgMar w:top="1361" w:right="1020" w:bottom="1134" w:left="1020" w:header="720" w:footer="720" w:gutter="0"/>
          <w:cols w:space="720" w:num="1"/>
        </w:sectPr>
      </w:pPr>
    </w:p>
    <w:p w14:paraId="427BA3A8">
      <w:pPr>
        <w:spacing w:before="0" w:after="0"/>
        <w:ind w:firstLine="560"/>
        <w:jc w:val="left"/>
        <w:outlineLvl w:val="9"/>
      </w:pPr>
      <w:r>
        <w:rPr>
          <w:rFonts w:ascii="方正仿宋_GBK" w:hAnsi="方正仿宋_GBK" w:eastAsia="方正仿宋_GBK" w:cs="方正仿宋_GBK"/>
          <w:b/>
          <w:color w:val="000000"/>
          <w:sz w:val="28"/>
        </w:rPr>
        <w:t>19、县级配套/2026年/千户营校区幼儿园免保育教育费补助绩效目标表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9D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F1673">
            <w:pPr>
              <w:pStyle w:val="11"/>
            </w:pPr>
            <w:r>
              <w:t>单位：万元</w:t>
            </w:r>
          </w:p>
        </w:tc>
      </w:tr>
      <w:tr w14:paraId="6DEFD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5AEAD">
            <w:pPr>
              <w:pStyle w:val="10"/>
            </w:pPr>
            <w:r>
              <w:t>项目编码</w:t>
            </w:r>
          </w:p>
        </w:tc>
        <w:tc>
          <w:tcPr>
            <w:tcW w:w="5103" w:type="dxa"/>
            <w:gridSpan w:val="2"/>
            <w:vAlign w:val="center"/>
          </w:tcPr>
          <w:p w14:paraId="4FDB2070">
            <w:pPr>
              <w:pStyle w:val="12"/>
            </w:pPr>
            <w:r>
              <w:t>13052526P008769101738</w:t>
            </w:r>
          </w:p>
        </w:tc>
        <w:tc>
          <w:tcPr>
            <w:tcW w:w="2835" w:type="dxa"/>
            <w:vAlign w:val="center"/>
          </w:tcPr>
          <w:p w14:paraId="2E64E79C">
            <w:pPr>
              <w:pStyle w:val="10"/>
            </w:pPr>
            <w:r>
              <w:t>项目名称</w:t>
            </w:r>
          </w:p>
        </w:tc>
        <w:tc>
          <w:tcPr>
            <w:tcW w:w="6095" w:type="dxa"/>
            <w:gridSpan w:val="3"/>
            <w:vAlign w:val="center"/>
          </w:tcPr>
          <w:p w14:paraId="24C637A8">
            <w:pPr>
              <w:pStyle w:val="12"/>
            </w:pPr>
            <w:r>
              <w:t>县级配套/2026年/千户营校区幼儿园免保育教育费补助</w:t>
            </w:r>
          </w:p>
        </w:tc>
      </w:tr>
      <w:tr w14:paraId="334E0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4F45D">
            <w:pPr>
              <w:pStyle w:val="10"/>
            </w:pPr>
            <w:r>
              <w:t>预算规模及资金用途</w:t>
            </w:r>
          </w:p>
        </w:tc>
        <w:tc>
          <w:tcPr>
            <w:tcW w:w="2268" w:type="dxa"/>
            <w:vAlign w:val="center"/>
          </w:tcPr>
          <w:p w14:paraId="4A1935F4">
            <w:pPr>
              <w:pStyle w:val="10"/>
            </w:pPr>
            <w:r>
              <w:t>预算数</w:t>
            </w:r>
          </w:p>
        </w:tc>
        <w:tc>
          <w:tcPr>
            <w:tcW w:w="2835" w:type="dxa"/>
            <w:vAlign w:val="center"/>
          </w:tcPr>
          <w:p w14:paraId="5C117155">
            <w:pPr>
              <w:pStyle w:val="12"/>
            </w:pPr>
            <w:r>
              <w:t>3.83</w:t>
            </w:r>
          </w:p>
        </w:tc>
        <w:tc>
          <w:tcPr>
            <w:tcW w:w="2835" w:type="dxa"/>
            <w:vAlign w:val="center"/>
          </w:tcPr>
          <w:p w14:paraId="52008130">
            <w:pPr>
              <w:pStyle w:val="10"/>
            </w:pPr>
            <w:r>
              <w:t>其中：财政    资金</w:t>
            </w:r>
          </w:p>
        </w:tc>
        <w:tc>
          <w:tcPr>
            <w:tcW w:w="2551" w:type="dxa"/>
            <w:vAlign w:val="center"/>
          </w:tcPr>
          <w:p w14:paraId="56E94818">
            <w:pPr>
              <w:pStyle w:val="12"/>
            </w:pPr>
            <w:r>
              <w:t>3.83</w:t>
            </w:r>
          </w:p>
        </w:tc>
        <w:tc>
          <w:tcPr>
            <w:tcW w:w="2268" w:type="dxa"/>
            <w:vAlign w:val="center"/>
          </w:tcPr>
          <w:p w14:paraId="2F337AD8">
            <w:pPr>
              <w:pStyle w:val="10"/>
            </w:pPr>
            <w:r>
              <w:t>其他资金</w:t>
            </w:r>
          </w:p>
        </w:tc>
        <w:tc>
          <w:tcPr>
            <w:tcW w:w="1276" w:type="dxa"/>
            <w:vAlign w:val="center"/>
          </w:tcPr>
          <w:p w14:paraId="18F6C64F">
            <w:pPr>
              <w:pStyle w:val="12"/>
            </w:pPr>
            <w:r>
              <w:t xml:space="preserve"> </w:t>
            </w:r>
          </w:p>
        </w:tc>
      </w:tr>
      <w:tr w14:paraId="063E5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4103E"/>
        </w:tc>
        <w:tc>
          <w:tcPr>
            <w:tcW w:w="14033" w:type="dxa"/>
            <w:gridSpan w:val="6"/>
            <w:vAlign w:val="center"/>
          </w:tcPr>
          <w:p w14:paraId="4B57ACFF">
            <w:pPr>
              <w:pStyle w:val="12"/>
            </w:pPr>
            <w:r>
              <w:t>保障幼儿园正常运转，完成教育教学活动和其他日常工作任务等方面的费用支出。</w:t>
            </w:r>
          </w:p>
        </w:tc>
      </w:tr>
      <w:tr w14:paraId="45790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5F52D">
            <w:pPr>
              <w:pStyle w:val="10"/>
            </w:pPr>
            <w:r>
              <w:t>资金支出计划（%）</w:t>
            </w:r>
          </w:p>
        </w:tc>
        <w:tc>
          <w:tcPr>
            <w:tcW w:w="5103" w:type="dxa"/>
            <w:gridSpan w:val="2"/>
            <w:vAlign w:val="center"/>
          </w:tcPr>
          <w:p w14:paraId="3EECFF49">
            <w:pPr>
              <w:pStyle w:val="10"/>
            </w:pPr>
            <w:r>
              <w:t>3月底</w:t>
            </w:r>
          </w:p>
        </w:tc>
        <w:tc>
          <w:tcPr>
            <w:tcW w:w="2835" w:type="dxa"/>
            <w:vAlign w:val="center"/>
          </w:tcPr>
          <w:p w14:paraId="5C998E98">
            <w:pPr>
              <w:pStyle w:val="10"/>
            </w:pPr>
            <w:r>
              <w:t>6月底</w:t>
            </w:r>
          </w:p>
        </w:tc>
        <w:tc>
          <w:tcPr>
            <w:tcW w:w="2551" w:type="dxa"/>
            <w:vAlign w:val="center"/>
          </w:tcPr>
          <w:p w14:paraId="77786253">
            <w:pPr>
              <w:pStyle w:val="10"/>
            </w:pPr>
            <w:r>
              <w:t>10月底</w:t>
            </w:r>
          </w:p>
        </w:tc>
        <w:tc>
          <w:tcPr>
            <w:tcW w:w="3544" w:type="dxa"/>
            <w:gridSpan w:val="2"/>
            <w:vAlign w:val="center"/>
          </w:tcPr>
          <w:p w14:paraId="09CA8F67">
            <w:pPr>
              <w:pStyle w:val="10"/>
            </w:pPr>
            <w:r>
              <w:t>12月底</w:t>
            </w:r>
          </w:p>
        </w:tc>
      </w:tr>
      <w:tr w14:paraId="48C21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6D36A"/>
        </w:tc>
        <w:tc>
          <w:tcPr>
            <w:tcW w:w="5103" w:type="dxa"/>
            <w:gridSpan w:val="2"/>
            <w:vAlign w:val="center"/>
          </w:tcPr>
          <w:p w14:paraId="6BF4F512">
            <w:pPr>
              <w:pStyle w:val="13"/>
            </w:pPr>
            <w:r>
              <w:t>25%</w:t>
            </w:r>
          </w:p>
        </w:tc>
        <w:tc>
          <w:tcPr>
            <w:tcW w:w="2835" w:type="dxa"/>
            <w:vAlign w:val="center"/>
          </w:tcPr>
          <w:p w14:paraId="0668E864">
            <w:pPr>
              <w:pStyle w:val="13"/>
            </w:pPr>
            <w:r>
              <w:t>50%</w:t>
            </w:r>
          </w:p>
        </w:tc>
        <w:tc>
          <w:tcPr>
            <w:tcW w:w="2551" w:type="dxa"/>
            <w:vAlign w:val="center"/>
          </w:tcPr>
          <w:p w14:paraId="7215B2C1">
            <w:pPr>
              <w:pStyle w:val="13"/>
            </w:pPr>
            <w:r>
              <w:t>75%</w:t>
            </w:r>
          </w:p>
        </w:tc>
        <w:tc>
          <w:tcPr>
            <w:tcW w:w="3544" w:type="dxa"/>
            <w:gridSpan w:val="2"/>
            <w:vAlign w:val="center"/>
          </w:tcPr>
          <w:p w14:paraId="08B757CC">
            <w:pPr>
              <w:pStyle w:val="13"/>
            </w:pPr>
            <w:r>
              <w:t>100%</w:t>
            </w:r>
          </w:p>
        </w:tc>
      </w:tr>
      <w:tr w14:paraId="36252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50184">
            <w:pPr>
              <w:pStyle w:val="10"/>
            </w:pPr>
            <w:r>
              <w:t>绩效目标</w:t>
            </w:r>
          </w:p>
        </w:tc>
        <w:tc>
          <w:tcPr>
            <w:tcW w:w="14033" w:type="dxa"/>
            <w:gridSpan w:val="6"/>
            <w:vAlign w:val="center"/>
          </w:tcPr>
          <w:p w14:paraId="198DF99A">
            <w:pPr>
              <w:pStyle w:val="12"/>
            </w:pPr>
            <w:r>
              <w:t>1.保障幼儿园正常运转，完成教育教学活动和其他日常工作任务等方面的费用支出。</w:t>
            </w:r>
          </w:p>
        </w:tc>
      </w:tr>
    </w:tbl>
    <w:p w14:paraId="274C06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1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BE2EF">
            <w:pPr>
              <w:pStyle w:val="10"/>
            </w:pPr>
            <w:r>
              <w:t>一级指标</w:t>
            </w:r>
          </w:p>
        </w:tc>
        <w:tc>
          <w:tcPr>
            <w:tcW w:w="2268" w:type="dxa"/>
            <w:vAlign w:val="center"/>
          </w:tcPr>
          <w:p w14:paraId="58261FB7">
            <w:pPr>
              <w:pStyle w:val="10"/>
            </w:pPr>
            <w:r>
              <w:t>二级指标</w:t>
            </w:r>
          </w:p>
        </w:tc>
        <w:tc>
          <w:tcPr>
            <w:tcW w:w="2835" w:type="dxa"/>
            <w:vAlign w:val="center"/>
          </w:tcPr>
          <w:p w14:paraId="12BCFE39">
            <w:pPr>
              <w:pStyle w:val="10"/>
            </w:pPr>
            <w:r>
              <w:t>三级指标</w:t>
            </w:r>
          </w:p>
        </w:tc>
        <w:tc>
          <w:tcPr>
            <w:tcW w:w="5386" w:type="dxa"/>
            <w:vAlign w:val="center"/>
          </w:tcPr>
          <w:p w14:paraId="61422FEA">
            <w:pPr>
              <w:pStyle w:val="10"/>
            </w:pPr>
            <w:r>
              <w:t>绩效指标描述</w:t>
            </w:r>
          </w:p>
        </w:tc>
        <w:tc>
          <w:tcPr>
            <w:tcW w:w="2268" w:type="dxa"/>
            <w:vAlign w:val="center"/>
          </w:tcPr>
          <w:p w14:paraId="61DB0C77">
            <w:pPr>
              <w:pStyle w:val="10"/>
            </w:pPr>
            <w:r>
              <w:t>指标值</w:t>
            </w:r>
          </w:p>
        </w:tc>
        <w:tc>
          <w:tcPr>
            <w:tcW w:w="1276" w:type="dxa"/>
            <w:vAlign w:val="center"/>
          </w:tcPr>
          <w:p w14:paraId="60900CBE">
            <w:pPr>
              <w:pStyle w:val="10"/>
            </w:pPr>
            <w:r>
              <w:t>指标值确定依据</w:t>
            </w:r>
          </w:p>
        </w:tc>
      </w:tr>
      <w:tr w14:paraId="6F57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36B83">
            <w:pPr>
              <w:pStyle w:val="13"/>
            </w:pPr>
            <w:r>
              <w:t>产出指标</w:t>
            </w:r>
          </w:p>
        </w:tc>
        <w:tc>
          <w:tcPr>
            <w:tcW w:w="2268" w:type="dxa"/>
            <w:vAlign w:val="center"/>
          </w:tcPr>
          <w:p w14:paraId="290AC5A9">
            <w:pPr>
              <w:pStyle w:val="12"/>
            </w:pPr>
            <w:r>
              <w:t>数量指标</w:t>
            </w:r>
          </w:p>
        </w:tc>
        <w:tc>
          <w:tcPr>
            <w:tcW w:w="2835" w:type="dxa"/>
            <w:vAlign w:val="center"/>
          </w:tcPr>
          <w:p w14:paraId="7109699E">
            <w:pPr>
              <w:pStyle w:val="12"/>
            </w:pPr>
            <w:r>
              <w:t>适龄在园生</w:t>
            </w:r>
          </w:p>
        </w:tc>
        <w:tc>
          <w:tcPr>
            <w:tcW w:w="5386" w:type="dxa"/>
            <w:vAlign w:val="center"/>
          </w:tcPr>
          <w:p w14:paraId="7D666FBC">
            <w:pPr>
              <w:pStyle w:val="12"/>
            </w:pPr>
            <w:r>
              <w:t>适龄在园学生人数</w:t>
            </w:r>
          </w:p>
        </w:tc>
        <w:tc>
          <w:tcPr>
            <w:tcW w:w="2268" w:type="dxa"/>
            <w:vAlign w:val="center"/>
          </w:tcPr>
          <w:p w14:paraId="2FBFE1FC">
            <w:pPr>
              <w:pStyle w:val="12"/>
            </w:pPr>
            <w:r>
              <w:t>257人</w:t>
            </w:r>
          </w:p>
        </w:tc>
        <w:tc>
          <w:tcPr>
            <w:tcW w:w="1276" w:type="dxa"/>
            <w:vAlign w:val="center"/>
          </w:tcPr>
          <w:p w14:paraId="3724B632">
            <w:pPr>
              <w:pStyle w:val="12"/>
            </w:pPr>
            <w:r>
              <w:t>支持学前教育发展管理方法</w:t>
            </w:r>
          </w:p>
        </w:tc>
      </w:tr>
      <w:tr w14:paraId="55C9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63D5D"/>
        </w:tc>
        <w:tc>
          <w:tcPr>
            <w:tcW w:w="2268" w:type="dxa"/>
            <w:vAlign w:val="center"/>
          </w:tcPr>
          <w:p w14:paraId="00B6BD95">
            <w:pPr>
              <w:pStyle w:val="12"/>
            </w:pPr>
            <w:r>
              <w:t>质量指标</w:t>
            </w:r>
          </w:p>
        </w:tc>
        <w:tc>
          <w:tcPr>
            <w:tcW w:w="2835" w:type="dxa"/>
            <w:vAlign w:val="center"/>
          </w:tcPr>
          <w:p w14:paraId="5F160A52">
            <w:pPr>
              <w:pStyle w:val="12"/>
            </w:pPr>
            <w:r>
              <w:t>预算控制率</w:t>
            </w:r>
          </w:p>
        </w:tc>
        <w:tc>
          <w:tcPr>
            <w:tcW w:w="5386" w:type="dxa"/>
            <w:vAlign w:val="center"/>
          </w:tcPr>
          <w:p w14:paraId="6A6F0ABB">
            <w:pPr>
              <w:pStyle w:val="12"/>
            </w:pPr>
            <w:r>
              <w:t>预算执行</w:t>
            </w:r>
          </w:p>
        </w:tc>
        <w:tc>
          <w:tcPr>
            <w:tcW w:w="2268" w:type="dxa"/>
            <w:vAlign w:val="center"/>
          </w:tcPr>
          <w:p w14:paraId="38CBBD10">
            <w:pPr>
              <w:pStyle w:val="12"/>
            </w:pPr>
            <w:r>
              <w:t>≥98%</w:t>
            </w:r>
          </w:p>
        </w:tc>
        <w:tc>
          <w:tcPr>
            <w:tcW w:w="1276" w:type="dxa"/>
            <w:vAlign w:val="center"/>
          </w:tcPr>
          <w:p w14:paraId="315DD101">
            <w:pPr>
              <w:pStyle w:val="12"/>
            </w:pPr>
            <w:r>
              <w:t>支持学前教育发展管理方法</w:t>
            </w:r>
          </w:p>
        </w:tc>
      </w:tr>
      <w:tr w14:paraId="5E2C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ADD7D"/>
        </w:tc>
        <w:tc>
          <w:tcPr>
            <w:tcW w:w="2268" w:type="dxa"/>
            <w:vAlign w:val="center"/>
          </w:tcPr>
          <w:p w14:paraId="1C0E8BFF">
            <w:pPr>
              <w:pStyle w:val="12"/>
            </w:pPr>
            <w:r>
              <w:t>时效指标</w:t>
            </w:r>
          </w:p>
        </w:tc>
        <w:tc>
          <w:tcPr>
            <w:tcW w:w="2835" w:type="dxa"/>
            <w:vAlign w:val="center"/>
          </w:tcPr>
          <w:p w14:paraId="5A072875">
            <w:pPr>
              <w:pStyle w:val="12"/>
            </w:pPr>
            <w:r>
              <w:t>资金支付率</w:t>
            </w:r>
          </w:p>
        </w:tc>
        <w:tc>
          <w:tcPr>
            <w:tcW w:w="5386" w:type="dxa"/>
            <w:vAlign w:val="center"/>
          </w:tcPr>
          <w:p w14:paraId="062CB968">
            <w:pPr>
              <w:pStyle w:val="12"/>
            </w:pPr>
            <w:r>
              <w:t>按照序时进度完成资金支付</w:t>
            </w:r>
          </w:p>
        </w:tc>
        <w:tc>
          <w:tcPr>
            <w:tcW w:w="2268" w:type="dxa"/>
            <w:vAlign w:val="center"/>
          </w:tcPr>
          <w:p w14:paraId="552F887E">
            <w:pPr>
              <w:pStyle w:val="12"/>
            </w:pPr>
            <w:r>
              <w:t>≥98%</w:t>
            </w:r>
          </w:p>
        </w:tc>
        <w:tc>
          <w:tcPr>
            <w:tcW w:w="1276" w:type="dxa"/>
            <w:vAlign w:val="center"/>
          </w:tcPr>
          <w:p w14:paraId="394B5314">
            <w:pPr>
              <w:pStyle w:val="12"/>
            </w:pPr>
            <w:r>
              <w:t>支持学前教育发展管理方法</w:t>
            </w:r>
          </w:p>
        </w:tc>
      </w:tr>
      <w:tr w14:paraId="2F9B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78FE7"/>
        </w:tc>
        <w:tc>
          <w:tcPr>
            <w:tcW w:w="2268" w:type="dxa"/>
            <w:vAlign w:val="center"/>
          </w:tcPr>
          <w:p w14:paraId="660D2C7A">
            <w:pPr>
              <w:pStyle w:val="12"/>
            </w:pPr>
            <w:r>
              <w:t>成本指标</w:t>
            </w:r>
          </w:p>
        </w:tc>
        <w:tc>
          <w:tcPr>
            <w:tcW w:w="2835" w:type="dxa"/>
            <w:vAlign w:val="center"/>
          </w:tcPr>
          <w:p w14:paraId="477474AD">
            <w:pPr>
              <w:pStyle w:val="12"/>
            </w:pPr>
            <w:r>
              <w:t>生均拨款标准</w:t>
            </w:r>
          </w:p>
        </w:tc>
        <w:tc>
          <w:tcPr>
            <w:tcW w:w="5386" w:type="dxa"/>
            <w:vAlign w:val="center"/>
          </w:tcPr>
          <w:p w14:paraId="0F976BBD">
            <w:pPr>
              <w:pStyle w:val="12"/>
            </w:pPr>
            <w:r>
              <w:t>免保育教育费补助</w:t>
            </w:r>
          </w:p>
        </w:tc>
        <w:tc>
          <w:tcPr>
            <w:tcW w:w="2268" w:type="dxa"/>
            <w:vAlign w:val="center"/>
          </w:tcPr>
          <w:p w14:paraId="710F2AB5">
            <w:pPr>
              <w:pStyle w:val="12"/>
            </w:pPr>
            <w:r>
              <w:t>38301元</w:t>
            </w:r>
          </w:p>
        </w:tc>
        <w:tc>
          <w:tcPr>
            <w:tcW w:w="1276" w:type="dxa"/>
            <w:vAlign w:val="center"/>
          </w:tcPr>
          <w:p w14:paraId="35493FEF">
            <w:pPr>
              <w:pStyle w:val="12"/>
            </w:pPr>
            <w:r>
              <w:t>支持学前教育发展管理方法</w:t>
            </w:r>
          </w:p>
        </w:tc>
      </w:tr>
      <w:tr w14:paraId="6D41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1D9D8">
            <w:pPr>
              <w:pStyle w:val="13"/>
            </w:pPr>
            <w:r>
              <w:t>效益指标</w:t>
            </w:r>
          </w:p>
        </w:tc>
        <w:tc>
          <w:tcPr>
            <w:tcW w:w="2268" w:type="dxa"/>
            <w:vAlign w:val="center"/>
          </w:tcPr>
          <w:p w14:paraId="5023E0BA">
            <w:pPr>
              <w:pStyle w:val="12"/>
            </w:pPr>
            <w:r>
              <w:t>可持续影响指标</w:t>
            </w:r>
          </w:p>
        </w:tc>
        <w:tc>
          <w:tcPr>
            <w:tcW w:w="2835" w:type="dxa"/>
            <w:vAlign w:val="center"/>
          </w:tcPr>
          <w:p w14:paraId="47F9B9D2">
            <w:pPr>
              <w:pStyle w:val="12"/>
            </w:pPr>
            <w:r>
              <w:t>学校运转得到提升</w:t>
            </w:r>
          </w:p>
        </w:tc>
        <w:tc>
          <w:tcPr>
            <w:tcW w:w="5386" w:type="dxa"/>
            <w:vAlign w:val="center"/>
          </w:tcPr>
          <w:p w14:paraId="14ADAB8C">
            <w:pPr>
              <w:pStyle w:val="12"/>
            </w:pPr>
            <w:r>
              <w:t>幼儿受教育年限</w:t>
            </w:r>
          </w:p>
        </w:tc>
        <w:tc>
          <w:tcPr>
            <w:tcW w:w="2268" w:type="dxa"/>
            <w:vAlign w:val="center"/>
          </w:tcPr>
          <w:p w14:paraId="2D48E027">
            <w:pPr>
              <w:pStyle w:val="12"/>
            </w:pPr>
            <w:r>
              <w:t>3年</w:t>
            </w:r>
          </w:p>
        </w:tc>
        <w:tc>
          <w:tcPr>
            <w:tcW w:w="1276" w:type="dxa"/>
            <w:vAlign w:val="center"/>
          </w:tcPr>
          <w:p w14:paraId="52459D03">
            <w:pPr>
              <w:pStyle w:val="12"/>
            </w:pPr>
            <w:r>
              <w:t>支持学前教育发展管理方法</w:t>
            </w:r>
          </w:p>
        </w:tc>
      </w:tr>
      <w:tr w14:paraId="0F0D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76562">
            <w:pPr>
              <w:pStyle w:val="13"/>
            </w:pPr>
            <w:r>
              <w:t>满意度指标</w:t>
            </w:r>
          </w:p>
        </w:tc>
        <w:tc>
          <w:tcPr>
            <w:tcW w:w="2268" w:type="dxa"/>
            <w:vAlign w:val="center"/>
          </w:tcPr>
          <w:p w14:paraId="54A5AD28">
            <w:pPr>
              <w:pStyle w:val="12"/>
            </w:pPr>
            <w:r>
              <w:t>服务对象满意度指标</w:t>
            </w:r>
          </w:p>
        </w:tc>
        <w:tc>
          <w:tcPr>
            <w:tcW w:w="2835" w:type="dxa"/>
            <w:vAlign w:val="center"/>
          </w:tcPr>
          <w:p w14:paraId="607B0F9D">
            <w:pPr>
              <w:pStyle w:val="12"/>
            </w:pPr>
            <w:r>
              <w:t>受益学生家长及调查满意度</w:t>
            </w:r>
          </w:p>
        </w:tc>
        <w:tc>
          <w:tcPr>
            <w:tcW w:w="5386" w:type="dxa"/>
            <w:vAlign w:val="center"/>
          </w:tcPr>
          <w:p w14:paraId="07945883">
            <w:pPr>
              <w:pStyle w:val="12"/>
            </w:pPr>
            <w:r>
              <w:t>学生、教师及家长对学校保教保育工作满意度情况</w:t>
            </w:r>
          </w:p>
        </w:tc>
        <w:tc>
          <w:tcPr>
            <w:tcW w:w="2268" w:type="dxa"/>
            <w:vAlign w:val="center"/>
          </w:tcPr>
          <w:p w14:paraId="35C7ED3A">
            <w:pPr>
              <w:pStyle w:val="12"/>
            </w:pPr>
            <w:r>
              <w:t>≥95%</w:t>
            </w:r>
          </w:p>
        </w:tc>
        <w:tc>
          <w:tcPr>
            <w:tcW w:w="1276" w:type="dxa"/>
            <w:vAlign w:val="center"/>
          </w:tcPr>
          <w:p w14:paraId="55F741D7">
            <w:pPr>
              <w:pStyle w:val="12"/>
            </w:pPr>
            <w:r>
              <w:t>支持学前教育发展管理方法</w:t>
            </w:r>
          </w:p>
        </w:tc>
      </w:tr>
    </w:tbl>
    <w:p w14:paraId="554E5BC6">
      <w:pPr>
        <w:sectPr>
          <w:pgSz w:w="16840" w:h="11900" w:orient="landscape"/>
          <w:pgMar w:top="1361" w:right="1020" w:bottom="1134" w:left="1020" w:header="720" w:footer="720" w:gutter="0"/>
          <w:cols w:space="720" w:num="1"/>
        </w:sectPr>
      </w:pPr>
    </w:p>
    <w:p w14:paraId="02744B3F">
      <w:pPr>
        <w:spacing w:before="0" w:after="0"/>
        <w:ind w:firstLine="560"/>
        <w:jc w:val="left"/>
        <w:outlineLvl w:val="9"/>
      </w:pPr>
      <w:r>
        <w:rPr>
          <w:rFonts w:ascii="方正仿宋_GBK" w:hAnsi="方正仿宋_GBK" w:eastAsia="方正仿宋_GBK" w:cs="方正仿宋_GBK"/>
          <w:b/>
          <w:color w:val="000000"/>
          <w:sz w:val="28"/>
        </w:rPr>
        <w:t>20、县级配套/千户营校区毛尔寨小学公用经费绩效目标表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F1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935CC">
            <w:pPr>
              <w:pStyle w:val="11"/>
            </w:pPr>
            <w:r>
              <w:t>单位：万元</w:t>
            </w:r>
          </w:p>
        </w:tc>
      </w:tr>
      <w:tr w14:paraId="30E17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AC873">
            <w:pPr>
              <w:pStyle w:val="10"/>
            </w:pPr>
            <w:r>
              <w:t>项目编码</w:t>
            </w:r>
          </w:p>
        </w:tc>
        <w:tc>
          <w:tcPr>
            <w:tcW w:w="5103" w:type="dxa"/>
            <w:gridSpan w:val="2"/>
            <w:vAlign w:val="center"/>
          </w:tcPr>
          <w:p w14:paraId="62373020">
            <w:pPr>
              <w:pStyle w:val="12"/>
            </w:pPr>
            <w:r>
              <w:t>13052526P00000410469B</w:t>
            </w:r>
          </w:p>
        </w:tc>
        <w:tc>
          <w:tcPr>
            <w:tcW w:w="2835" w:type="dxa"/>
            <w:vAlign w:val="center"/>
          </w:tcPr>
          <w:p w14:paraId="5B8E1894">
            <w:pPr>
              <w:pStyle w:val="10"/>
            </w:pPr>
            <w:r>
              <w:t>项目名称</w:t>
            </w:r>
          </w:p>
        </w:tc>
        <w:tc>
          <w:tcPr>
            <w:tcW w:w="6095" w:type="dxa"/>
            <w:gridSpan w:val="3"/>
            <w:vAlign w:val="center"/>
          </w:tcPr>
          <w:p w14:paraId="02F3461B">
            <w:pPr>
              <w:pStyle w:val="12"/>
            </w:pPr>
            <w:r>
              <w:t>县级配套/千户营校区毛尔寨小学公用经费</w:t>
            </w:r>
          </w:p>
        </w:tc>
      </w:tr>
      <w:tr w14:paraId="41109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809A1">
            <w:pPr>
              <w:pStyle w:val="10"/>
            </w:pPr>
            <w:r>
              <w:t>预算规模及资金用途</w:t>
            </w:r>
          </w:p>
        </w:tc>
        <w:tc>
          <w:tcPr>
            <w:tcW w:w="2268" w:type="dxa"/>
            <w:vAlign w:val="center"/>
          </w:tcPr>
          <w:p w14:paraId="3D7867EC">
            <w:pPr>
              <w:pStyle w:val="10"/>
            </w:pPr>
            <w:r>
              <w:t>预算数</w:t>
            </w:r>
          </w:p>
        </w:tc>
        <w:tc>
          <w:tcPr>
            <w:tcW w:w="2835" w:type="dxa"/>
            <w:vAlign w:val="center"/>
          </w:tcPr>
          <w:p w14:paraId="360F7DB9">
            <w:pPr>
              <w:pStyle w:val="12"/>
            </w:pPr>
            <w:r>
              <w:t>4.58</w:t>
            </w:r>
          </w:p>
        </w:tc>
        <w:tc>
          <w:tcPr>
            <w:tcW w:w="2835" w:type="dxa"/>
            <w:vAlign w:val="center"/>
          </w:tcPr>
          <w:p w14:paraId="238B0D1A">
            <w:pPr>
              <w:pStyle w:val="10"/>
            </w:pPr>
            <w:r>
              <w:t>其中：财政    资金</w:t>
            </w:r>
          </w:p>
        </w:tc>
        <w:tc>
          <w:tcPr>
            <w:tcW w:w="2551" w:type="dxa"/>
            <w:vAlign w:val="center"/>
          </w:tcPr>
          <w:p w14:paraId="0341FFF7">
            <w:pPr>
              <w:pStyle w:val="12"/>
            </w:pPr>
            <w:r>
              <w:t>4.58</w:t>
            </w:r>
          </w:p>
        </w:tc>
        <w:tc>
          <w:tcPr>
            <w:tcW w:w="2268" w:type="dxa"/>
            <w:vAlign w:val="center"/>
          </w:tcPr>
          <w:p w14:paraId="78BC7D3E">
            <w:pPr>
              <w:pStyle w:val="10"/>
            </w:pPr>
            <w:r>
              <w:t>其他资金</w:t>
            </w:r>
          </w:p>
        </w:tc>
        <w:tc>
          <w:tcPr>
            <w:tcW w:w="1276" w:type="dxa"/>
            <w:vAlign w:val="center"/>
          </w:tcPr>
          <w:p w14:paraId="6A8B415F">
            <w:pPr>
              <w:pStyle w:val="12"/>
            </w:pPr>
            <w:r>
              <w:t xml:space="preserve"> </w:t>
            </w:r>
          </w:p>
        </w:tc>
      </w:tr>
      <w:tr w14:paraId="59FCF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FA94A"/>
        </w:tc>
        <w:tc>
          <w:tcPr>
            <w:tcW w:w="14033" w:type="dxa"/>
            <w:gridSpan w:val="6"/>
            <w:vAlign w:val="center"/>
          </w:tcPr>
          <w:p w14:paraId="5A87FB1C">
            <w:pPr>
              <w:pStyle w:val="12"/>
            </w:pPr>
            <w:r>
              <w:t>为保证学校正常运转和改善办学条件。</w:t>
            </w:r>
          </w:p>
        </w:tc>
      </w:tr>
      <w:tr w14:paraId="20545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BE75E">
            <w:pPr>
              <w:pStyle w:val="10"/>
            </w:pPr>
            <w:r>
              <w:t>资金支出计划（%）</w:t>
            </w:r>
          </w:p>
        </w:tc>
        <w:tc>
          <w:tcPr>
            <w:tcW w:w="5103" w:type="dxa"/>
            <w:gridSpan w:val="2"/>
            <w:vAlign w:val="center"/>
          </w:tcPr>
          <w:p w14:paraId="507C4A35">
            <w:pPr>
              <w:pStyle w:val="10"/>
            </w:pPr>
            <w:r>
              <w:t>3月底</w:t>
            </w:r>
          </w:p>
        </w:tc>
        <w:tc>
          <w:tcPr>
            <w:tcW w:w="2835" w:type="dxa"/>
            <w:vAlign w:val="center"/>
          </w:tcPr>
          <w:p w14:paraId="54C1B401">
            <w:pPr>
              <w:pStyle w:val="10"/>
            </w:pPr>
            <w:r>
              <w:t>6月底</w:t>
            </w:r>
          </w:p>
        </w:tc>
        <w:tc>
          <w:tcPr>
            <w:tcW w:w="2551" w:type="dxa"/>
            <w:vAlign w:val="center"/>
          </w:tcPr>
          <w:p w14:paraId="489ACAE8">
            <w:pPr>
              <w:pStyle w:val="10"/>
            </w:pPr>
            <w:r>
              <w:t>10月底</w:t>
            </w:r>
          </w:p>
        </w:tc>
        <w:tc>
          <w:tcPr>
            <w:tcW w:w="3544" w:type="dxa"/>
            <w:gridSpan w:val="2"/>
            <w:vAlign w:val="center"/>
          </w:tcPr>
          <w:p w14:paraId="31011C59">
            <w:pPr>
              <w:pStyle w:val="10"/>
            </w:pPr>
            <w:r>
              <w:t>12月底</w:t>
            </w:r>
          </w:p>
        </w:tc>
      </w:tr>
      <w:tr w14:paraId="241EE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C5C57"/>
        </w:tc>
        <w:tc>
          <w:tcPr>
            <w:tcW w:w="5103" w:type="dxa"/>
            <w:gridSpan w:val="2"/>
            <w:vAlign w:val="center"/>
          </w:tcPr>
          <w:p w14:paraId="135216CF">
            <w:pPr>
              <w:pStyle w:val="13"/>
            </w:pPr>
            <w:r>
              <w:t>25%</w:t>
            </w:r>
          </w:p>
        </w:tc>
        <w:tc>
          <w:tcPr>
            <w:tcW w:w="2835" w:type="dxa"/>
            <w:vAlign w:val="center"/>
          </w:tcPr>
          <w:p w14:paraId="653E993A">
            <w:pPr>
              <w:pStyle w:val="13"/>
            </w:pPr>
            <w:r>
              <w:t>50%</w:t>
            </w:r>
          </w:p>
        </w:tc>
        <w:tc>
          <w:tcPr>
            <w:tcW w:w="2551" w:type="dxa"/>
            <w:vAlign w:val="center"/>
          </w:tcPr>
          <w:p w14:paraId="7F3A4A94">
            <w:pPr>
              <w:pStyle w:val="13"/>
            </w:pPr>
            <w:r>
              <w:t>75%</w:t>
            </w:r>
          </w:p>
        </w:tc>
        <w:tc>
          <w:tcPr>
            <w:tcW w:w="3544" w:type="dxa"/>
            <w:gridSpan w:val="2"/>
            <w:vAlign w:val="center"/>
          </w:tcPr>
          <w:p w14:paraId="7B78AD4D">
            <w:pPr>
              <w:pStyle w:val="13"/>
            </w:pPr>
            <w:r>
              <w:t>100%</w:t>
            </w:r>
          </w:p>
        </w:tc>
      </w:tr>
      <w:tr w14:paraId="45FD2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106FF">
            <w:pPr>
              <w:pStyle w:val="10"/>
            </w:pPr>
            <w:r>
              <w:t>绩效目标</w:t>
            </w:r>
          </w:p>
        </w:tc>
        <w:tc>
          <w:tcPr>
            <w:tcW w:w="14033" w:type="dxa"/>
            <w:gridSpan w:val="6"/>
            <w:vAlign w:val="center"/>
          </w:tcPr>
          <w:p w14:paraId="3DAE0304">
            <w:pPr>
              <w:pStyle w:val="12"/>
            </w:pPr>
            <w:r>
              <w:t>1.为保证学校正常运转和改善办学条件。</w:t>
            </w:r>
          </w:p>
          <w:p w14:paraId="371736A8">
            <w:pPr>
              <w:pStyle w:val="12"/>
            </w:pPr>
            <w:r>
              <w:t>2.按拨款序时进度完成经费拨付和支出。</w:t>
            </w:r>
          </w:p>
        </w:tc>
      </w:tr>
    </w:tbl>
    <w:p w14:paraId="73D8D1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0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E6F39">
            <w:pPr>
              <w:pStyle w:val="10"/>
            </w:pPr>
            <w:r>
              <w:t>一级指标</w:t>
            </w:r>
          </w:p>
        </w:tc>
        <w:tc>
          <w:tcPr>
            <w:tcW w:w="2268" w:type="dxa"/>
            <w:vAlign w:val="center"/>
          </w:tcPr>
          <w:p w14:paraId="6E60E54E">
            <w:pPr>
              <w:pStyle w:val="10"/>
            </w:pPr>
            <w:r>
              <w:t>二级指标</w:t>
            </w:r>
          </w:p>
        </w:tc>
        <w:tc>
          <w:tcPr>
            <w:tcW w:w="2835" w:type="dxa"/>
            <w:vAlign w:val="center"/>
          </w:tcPr>
          <w:p w14:paraId="238C5B36">
            <w:pPr>
              <w:pStyle w:val="10"/>
            </w:pPr>
            <w:r>
              <w:t>三级指标</w:t>
            </w:r>
          </w:p>
        </w:tc>
        <w:tc>
          <w:tcPr>
            <w:tcW w:w="5386" w:type="dxa"/>
            <w:vAlign w:val="center"/>
          </w:tcPr>
          <w:p w14:paraId="4FAC6CFA">
            <w:pPr>
              <w:pStyle w:val="10"/>
            </w:pPr>
            <w:r>
              <w:t>绩效指标描述</w:t>
            </w:r>
          </w:p>
        </w:tc>
        <w:tc>
          <w:tcPr>
            <w:tcW w:w="2268" w:type="dxa"/>
            <w:vAlign w:val="center"/>
          </w:tcPr>
          <w:p w14:paraId="46A5F243">
            <w:pPr>
              <w:pStyle w:val="10"/>
            </w:pPr>
            <w:r>
              <w:t>指标值</w:t>
            </w:r>
          </w:p>
        </w:tc>
        <w:tc>
          <w:tcPr>
            <w:tcW w:w="1276" w:type="dxa"/>
            <w:vAlign w:val="center"/>
          </w:tcPr>
          <w:p w14:paraId="4E7ECC09">
            <w:pPr>
              <w:pStyle w:val="10"/>
            </w:pPr>
            <w:r>
              <w:t>指标值确定依据</w:t>
            </w:r>
          </w:p>
        </w:tc>
      </w:tr>
      <w:tr w14:paraId="74E5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FD817">
            <w:pPr>
              <w:pStyle w:val="13"/>
            </w:pPr>
            <w:r>
              <w:t>产出指标</w:t>
            </w:r>
          </w:p>
        </w:tc>
        <w:tc>
          <w:tcPr>
            <w:tcW w:w="2268" w:type="dxa"/>
            <w:vAlign w:val="center"/>
          </w:tcPr>
          <w:p w14:paraId="2D57207E">
            <w:pPr>
              <w:pStyle w:val="12"/>
            </w:pPr>
            <w:r>
              <w:t>数量指标</w:t>
            </w:r>
          </w:p>
        </w:tc>
        <w:tc>
          <w:tcPr>
            <w:tcW w:w="2835" w:type="dxa"/>
            <w:vAlign w:val="center"/>
          </w:tcPr>
          <w:p w14:paraId="366A27AE">
            <w:pPr>
              <w:pStyle w:val="12"/>
            </w:pPr>
            <w:r>
              <w:t>就读学生数</w:t>
            </w:r>
          </w:p>
        </w:tc>
        <w:tc>
          <w:tcPr>
            <w:tcW w:w="5386" w:type="dxa"/>
            <w:vAlign w:val="center"/>
          </w:tcPr>
          <w:p w14:paraId="7C4D53A1">
            <w:pPr>
              <w:pStyle w:val="12"/>
            </w:pPr>
            <w:r>
              <w:t>辐射区域内适龄学生人数</w:t>
            </w:r>
          </w:p>
        </w:tc>
        <w:tc>
          <w:tcPr>
            <w:tcW w:w="2268" w:type="dxa"/>
            <w:vAlign w:val="center"/>
          </w:tcPr>
          <w:p w14:paraId="07B29497">
            <w:pPr>
              <w:pStyle w:val="12"/>
            </w:pPr>
            <w:r>
              <w:t>397人</w:t>
            </w:r>
          </w:p>
        </w:tc>
        <w:tc>
          <w:tcPr>
            <w:tcW w:w="1276" w:type="dxa"/>
            <w:vAlign w:val="center"/>
          </w:tcPr>
          <w:p w14:paraId="3E969966">
            <w:pPr>
              <w:pStyle w:val="12"/>
            </w:pPr>
            <w:r>
              <w:t>城乡义务教育公用经费管理办法</w:t>
            </w:r>
          </w:p>
        </w:tc>
      </w:tr>
      <w:tr w14:paraId="00A2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264CD"/>
        </w:tc>
        <w:tc>
          <w:tcPr>
            <w:tcW w:w="2268" w:type="dxa"/>
            <w:vAlign w:val="center"/>
          </w:tcPr>
          <w:p w14:paraId="5F82195E">
            <w:pPr>
              <w:pStyle w:val="12"/>
            </w:pPr>
            <w:r>
              <w:t>质量指标</w:t>
            </w:r>
          </w:p>
        </w:tc>
        <w:tc>
          <w:tcPr>
            <w:tcW w:w="2835" w:type="dxa"/>
            <w:vAlign w:val="center"/>
          </w:tcPr>
          <w:p w14:paraId="7064F414">
            <w:pPr>
              <w:pStyle w:val="12"/>
            </w:pPr>
            <w:r>
              <w:t>预算执行率</w:t>
            </w:r>
          </w:p>
        </w:tc>
        <w:tc>
          <w:tcPr>
            <w:tcW w:w="5386" w:type="dxa"/>
            <w:vAlign w:val="center"/>
          </w:tcPr>
          <w:p w14:paraId="4053232A">
            <w:pPr>
              <w:pStyle w:val="12"/>
            </w:pPr>
            <w:r>
              <w:t>预算执行率≥98%</w:t>
            </w:r>
          </w:p>
        </w:tc>
        <w:tc>
          <w:tcPr>
            <w:tcW w:w="2268" w:type="dxa"/>
            <w:vAlign w:val="center"/>
          </w:tcPr>
          <w:p w14:paraId="1E224453">
            <w:pPr>
              <w:pStyle w:val="12"/>
            </w:pPr>
            <w:r>
              <w:t>≥98%</w:t>
            </w:r>
          </w:p>
        </w:tc>
        <w:tc>
          <w:tcPr>
            <w:tcW w:w="1276" w:type="dxa"/>
            <w:vAlign w:val="center"/>
          </w:tcPr>
          <w:p w14:paraId="74EE3BA3">
            <w:pPr>
              <w:pStyle w:val="12"/>
            </w:pPr>
            <w:r>
              <w:t>城乡义务教育公用经费管理办法</w:t>
            </w:r>
          </w:p>
        </w:tc>
      </w:tr>
      <w:tr w14:paraId="440D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16DB2"/>
        </w:tc>
        <w:tc>
          <w:tcPr>
            <w:tcW w:w="2268" w:type="dxa"/>
            <w:vAlign w:val="center"/>
          </w:tcPr>
          <w:p w14:paraId="1E9BBD22">
            <w:pPr>
              <w:pStyle w:val="12"/>
            </w:pPr>
            <w:r>
              <w:t>时效指标</w:t>
            </w:r>
          </w:p>
        </w:tc>
        <w:tc>
          <w:tcPr>
            <w:tcW w:w="2835" w:type="dxa"/>
            <w:vAlign w:val="center"/>
          </w:tcPr>
          <w:p w14:paraId="6AD6188B">
            <w:pPr>
              <w:pStyle w:val="12"/>
            </w:pPr>
            <w:r>
              <w:t>义教经费支付完成率</w:t>
            </w:r>
          </w:p>
        </w:tc>
        <w:tc>
          <w:tcPr>
            <w:tcW w:w="5386" w:type="dxa"/>
            <w:vAlign w:val="center"/>
          </w:tcPr>
          <w:p w14:paraId="62734E00">
            <w:pPr>
              <w:pStyle w:val="12"/>
            </w:pPr>
            <w:r>
              <w:t>按照序时进度完成资金支付</w:t>
            </w:r>
          </w:p>
        </w:tc>
        <w:tc>
          <w:tcPr>
            <w:tcW w:w="2268" w:type="dxa"/>
            <w:vAlign w:val="center"/>
          </w:tcPr>
          <w:p w14:paraId="73D2D76E">
            <w:pPr>
              <w:pStyle w:val="12"/>
            </w:pPr>
            <w:r>
              <w:t>98%</w:t>
            </w:r>
          </w:p>
        </w:tc>
        <w:tc>
          <w:tcPr>
            <w:tcW w:w="1276" w:type="dxa"/>
            <w:vAlign w:val="center"/>
          </w:tcPr>
          <w:p w14:paraId="00814104">
            <w:pPr>
              <w:pStyle w:val="12"/>
            </w:pPr>
            <w:r>
              <w:t>城乡义务教育公用经费管理办法</w:t>
            </w:r>
          </w:p>
        </w:tc>
      </w:tr>
      <w:tr w14:paraId="1437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A0B7D"/>
        </w:tc>
        <w:tc>
          <w:tcPr>
            <w:tcW w:w="2268" w:type="dxa"/>
            <w:vAlign w:val="center"/>
          </w:tcPr>
          <w:p w14:paraId="5E69081E">
            <w:pPr>
              <w:pStyle w:val="12"/>
            </w:pPr>
            <w:r>
              <w:t>成本指标</w:t>
            </w:r>
          </w:p>
        </w:tc>
        <w:tc>
          <w:tcPr>
            <w:tcW w:w="2835" w:type="dxa"/>
            <w:vAlign w:val="center"/>
          </w:tcPr>
          <w:p w14:paraId="483677E5">
            <w:pPr>
              <w:pStyle w:val="12"/>
            </w:pPr>
            <w:r>
              <w:t>生均拨款标准</w:t>
            </w:r>
          </w:p>
        </w:tc>
        <w:tc>
          <w:tcPr>
            <w:tcW w:w="5386" w:type="dxa"/>
            <w:vAlign w:val="center"/>
          </w:tcPr>
          <w:p w14:paraId="6AFA4F8D">
            <w:pPr>
              <w:pStyle w:val="12"/>
            </w:pPr>
            <w:r>
              <w:t>小学生公用经费生均小学720元，取暖费120元/生/年，随班就读学生补助7000元/生</w:t>
            </w:r>
          </w:p>
        </w:tc>
        <w:tc>
          <w:tcPr>
            <w:tcW w:w="2268" w:type="dxa"/>
            <w:vAlign w:val="center"/>
          </w:tcPr>
          <w:p w14:paraId="1A71DB16">
            <w:pPr>
              <w:pStyle w:val="12"/>
            </w:pPr>
            <w:r>
              <w:t>≥840元</w:t>
            </w:r>
          </w:p>
        </w:tc>
        <w:tc>
          <w:tcPr>
            <w:tcW w:w="1276" w:type="dxa"/>
            <w:vAlign w:val="center"/>
          </w:tcPr>
          <w:p w14:paraId="20400096">
            <w:pPr>
              <w:pStyle w:val="12"/>
            </w:pPr>
            <w:r>
              <w:t>城乡义务教育公用经费管理办法</w:t>
            </w:r>
          </w:p>
        </w:tc>
      </w:tr>
      <w:tr w14:paraId="1E654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23237">
            <w:pPr>
              <w:pStyle w:val="13"/>
            </w:pPr>
            <w:r>
              <w:t>效益指标</w:t>
            </w:r>
          </w:p>
        </w:tc>
        <w:tc>
          <w:tcPr>
            <w:tcW w:w="2268" w:type="dxa"/>
            <w:vAlign w:val="center"/>
          </w:tcPr>
          <w:p w14:paraId="73112568">
            <w:pPr>
              <w:pStyle w:val="12"/>
            </w:pPr>
            <w:r>
              <w:t>社会效益指标</w:t>
            </w:r>
          </w:p>
        </w:tc>
        <w:tc>
          <w:tcPr>
            <w:tcW w:w="2835" w:type="dxa"/>
            <w:vAlign w:val="center"/>
          </w:tcPr>
          <w:p w14:paraId="12135CCC">
            <w:pPr>
              <w:pStyle w:val="12"/>
            </w:pPr>
            <w:r>
              <w:t>学校运转得到提高</w:t>
            </w:r>
          </w:p>
        </w:tc>
        <w:tc>
          <w:tcPr>
            <w:tcW w:w="5386" w:type="dxa"/>
            <w:vAlign w:val="center"/>
          </w:tcPr>
          <w:p w14:paraId="62F1B081">
            <w:pPr>
              <w:pStyle w:val="12"/>
            </w:pPr>
            <w:r>
              <w:t>学生受教育年限</w:t>
            </w:r>
          </w:p>
        </w:tc>
        <w:tc>
          <w:tcPr>
            <w:tcW w:w="2268" w:type="dxa"/>
            <w:vAlign w:val="center"/>
          </w:tcPr>
          <w:p w14:paraId="0F844A85">
            <w:pPr>
              <w:pStyle w:val="12"/>
            </w:pPr>
            <w:r>
              <w:t>6年</w:t>
            </w:r>
          </w:p>
        </w:tc>
        <w:tc>
          <w:tcPr>
            <w:tcW w:w="1276" w:type="dxa"/>
            <w:vAlign w:val="center"/>
          </w:tcPr>
          <w:p w14:paraId="123C9991">
            <w:pPr>
              <w:pStyle w:val="12"/>
            </w:pPr>
            <w:r>
              <w:t>城乡义务教育公用经费管理办法</w:t>
            </w:r>
          </w:p>
        </w:tc>
      </w:tr>
      <w:tr w14:paraId="27D8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61EBE">
            <w:pPr>
              <w:pStyle w:val="13"/>
            </w:pPr>
            <w:r>
              <w:t>满意度指标</w:t>
            </w:r>
          </w:p>
        </w:tc>
        <w:tc>
          <w:tcPr>
            <w:tcW w:w="2268" w:type="dxa"/>
            <w:vAlign w:val="center"/>
          </w:tcPr>
          <w:p w14:paraId="0E7C29D2">
            <w:pPr>
              <w:pStyle w:val="12"/>
            </w:pPr>
            <w:r>
              <w:t>服务对象满意度指标</w:t>
            </w:r>
          </w:p>
        </w:tc>
        <w:tc>
          <w:tcPr>
            <w:tcW w:w="2835" w:type="dxa"/>
            <w:vAlign w:val="center"/>
          </w:tcPr>
          <w:p w14:paraId="25E35AF9">
            <w:pPr>
              <w:pStyle w:val="12"/>
            </w:pPr>
            <w:r>
              <w:t>服务对象满意度</w:t>
            </w:r>
          </w:p>
        </w:tc>
        <w:tc>
          <w:tcPr>
            <w:tcW w:w="5386" w:type="dxa"/>
            <w:vAlign w:val="center"/>
          </w:tcPr>
          <w:p w14:paraId="57AD6F54">
            <w:pPr>
              <w:pStyle w:val="12"/>
            </w:pPr>
            <w:r>
              <w:t>学校老师和学生满意度</w:t>
            </w:r>
          </w:p>
        </w:tc>
        <w:tc>
          <w:tcPr>
            <w:tcW w:w="2268" w:type="dxa"/>
            <w:vAlign w:val="center"/>
          </w:tcPr>
          <w:p w14:paraId="20AE58C4">
            <w:pPr>
              <w:pStyle w:val="12"/>
            </w:pPr>
            <w:r>
              <w:t>≥95%</w:t>
            </w:r>
          </w:p>
        </w:tc>
        <w:tc>
          <w:tcPr>
            <w:tcW w:w="1276" w:type="dxa"/>
            <w:vAlign w:val="center"/>
          </w:tcPr>
          <w:p w14:paraId="42688C18">
            <w:pPr>
              <w:pStyle w:val="12"/>
            </w:pPr>
            <w:r>
              <w:t>城乡义务教育公用经费管理办法</w:t>
            </w:r>
          </w:p>
        </w:tc>
      </w:tr>
    </w:tbl>
    <w:p w14:paraId="72CF4592">
      <w:pPr>
        <w:sectPr>
          <w:pgSz w:w="16840" w:h="11900" w:orient="landscape"/>
          <w:pgMar w:top="1361" w:right="1020" w:bottom="1134" w:left="1020" w:header="720" w:footer="720" w:gutter="0"/>
          <w:cols w:space="720" w:num="1"/>
        </w:sectPr>
      </w:pPr>
    </w:p>
    <w:p w14:paraId="2DD4CB15">
      <w:pPr>
        <w:spacing w:before="0" w:after="0"/>
        <w:ind w:firstLine="560"/>
        <w:jc w:val="left"/>
        <w:outlineLvl w:val="9"/>
      </w:pPr>
      <w:r>
        <w:rPr>
          <w:rFonts w:ascii="方正仿宋_GBK" w:hAnsi="方正仿宋_GBK" w:eastAsia="方正仿宋_GBK" w:cs="方正仿宋_GBK"/>
          <w:b/>
          <w:color w:val="000000"/>
          <w:sz w:val="28"/>
        </w:rPr>
        <w:t>21、县级配套/千户营校区千户营小学公用经费绩效目标表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F8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73023">
            <w:pPr>
              <w:pStyle w:val="11"/>
            </w:pPr>
            <w:r>
              <w:t>单位：万元</w:t>
            </w:r>
          </w:p>
        </w:tc>
      </w:tr>
      <w:tr w14:paraId="2F704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1AED6">
            <w:pPr>
              <w:pStyle w:val="10"/>
            </w:pPr>
            <w:r>
              <w:t>项目编码</w:t>
            </w:r>
          </w:p>
        </w:tc>
        <w:tc>
          <w:tcPr>
            <w:tcW w:w="5103" w:type="dxa"/>
            <w:gridSpan w:val="2"/>
            <w:vAlign w:val="center"/>
          </w:tcPr>
          <w:p w14:paraId="5CA3E0CE">
            <w:pPr>
              <w:pStyle w:val="12"/>
            </w:pPr>
            <w:r>
              <w:t>13052526P00000410471A</w:t>
            </w:r>
          </w:p>
        </w:tc>
        <w:tc>
          <w:tcPr>
            <w:tcW w:w="2835" w:type="dxa"/>
            <w:vAlign w:val="center"/>
          </w:tcPr>
          <w:p w14:paraId="6513F2AF">
            <w:pPr>
              <w:pStyle w:val="10"/>
            </w:pPr>
            <w:r>
              <w:t>项目名称</w:t>
            </w:r>
          </w:p>
        </w:tc>
        <w:tc>
          <w:tcPr>
            <w:tcW w:w="6095" w:type="dxa"/>
            <w:gridSpan w:val="3"/>
            <w:vAlign w:val="center"/>
          </w:tcPr>
          <w:p w14:paraId="66B30867">
            <w:pPr>
              <w:pStyle w:val="12"/>
            </w:pPr>
            <w:r>
              <w:t>县级配套/千户营校区千户营小学公用经费</w:t>
            </w:r>
          </w:p>
        </w:tc>
      </w:tr>
      <w:tr w14:paraId="65704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E2B97">
            <w:pPr>
              <w:pStyle w:val="10"/>
            </w:pPr>
            <w:r>
              <w:t>预算规模及资金用途</w:t>
            </w:r>
          </w:p>
        </w:tc>
        <w:tc>
          <w:tcPr>
            <w:tcW w:w="2268" w:type="dxa"/>
            <w:vAlign w:val="center"/>
          </w:tcPr>
          <w:p w14:paraId="33DEFCFE">
            <w:pPr>
              <w:pStyle w:val="10"/>
            </w:pPr>
            <w:r>
              <w:t>预算数</w:t>
            </w:r>
          </w:p>
        </w:tc>
        <w:tc>
          <w:tcPr>
            <w:tcW w:w="2835" w:type="dxa"/>
            <w:vAlign w:val="center"/>
          </w:tcPr>
          <w:p w14:paraId="1FBA656C">
            <w:pPr>
              <w:pStyle w:val="12"/>
            </w:pPr>
            <w:r>
              <w:t>12.83</w:t>
            </w:r>
          </w:p>
        </w:tc>
        <w:tc>
          <w:tcPr>
            <w:tcW w:w="2835" w:type="dxa"/>
            <w:vAlign w:val="center"/>
          </w:tcPr>
          <w:p w14:paraId="3126405F">
            <w:pPr>
              <w:pStyle w:val="10"/>
            </w:pPr>
            <w:r>
              <w:t>其中：财政    资金</w:t>
            </w:r>
          </w:p>
        </w:tc>
        <w:tc>
          <w:tcPr>
            <w:tcW w:w="2551" w:type="dxa"/>
            <w:vAlign w:val="center"/>
          </w:tcPr>
          <w:p w14:paraId="651A37E7">
            <w:pPr>
              <w:pStyle w:val="12"/>
            </w:pPr>
            <w:r>
              <w:t>12.83</w:t>
            </w:r>
          </w:p>
        </w:tc>
        <w:tc>
          <w:tcPr>
            <w:tcW w:w="2268" w:type="dxa"/>
            <w:vAlign w:val="center"/>
          </w:tcPr>
          <w:p w14:paraId="5C5F0245">
            <w:pPr>
              <w:pStyle w:val="10"/>
            </w:pPr>
            <w:r>
              <w:t>其他资金</w:t>
            </w:r>
          </w:p>
        </w:tc>
        <w:tc>
          <w:tcPr>
            <w:tcW w:w="1276" w:type="dxa"/>
            <w:vAlign w:val="center"/>
          </w:tcPr>
          <w:p w14:paraId="13E76709">
            <w:pPr>
              <w:pStyle w:val="12"/>
            </w:pPr>
            <w:r>
              <w:t xml:space="preserve"> </w:t>
            </w:r>
          </w:p>
        </w:tc>
      </w:tr>
      <w:tr w14:paraId="5AA5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7C2BF"/>
        </w:tc>
        <w:tc>
          <w:tcPr>
            <w:tcW w:w="14033" w:type="dxa"/>
            <w:gridSpan w:val="6"/>
            <w:vAlign w:val="center"/>
          </w:tcPr>
          <w:p w14:paraId="46A46F63">
            <w:pPr>
              <w:pStyle w:val="12"/>
            </w:pPr>
            <w:r>
              <w:t>为保证学校正常运转和改善办学条件。</w:t>
            </w:r>
          </w:p>
        </w:tc>
      </w:tr>
      <w:tr w14:paraId="63318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F36E8">
            <w:pPr>
              <w:pStyle w:val="10"/>
            </w:pPr>
            <w:r>
              <w:t>资金支出计划（%）</w:t>
            </w:r>
          </w:p>
        </w:tc>
        <w:tc>
          <w:tcPr>
            <w:tcW w:w="5103" w:type="dxa"/>
            <w:gridSpan w:val="2"/>
            <w:vAlign w:val="center"/>
          </w:tcPr>
          <w:p w14:paraId="1231F19E">
            <w:pPr>
              <w:pStyle w:val="10"/>
            </w:pPr>
            <w:r>
              <w:t>3月底</w:t>
            </w:r>
          </w:p>
        </w:tc>
        <w:tc>
          <w:tcPr>
            <w:tcW w:w="2835" w:type="dxa"/>
            <w:vAlign w:val="center"/>
          </w:tcPr>
          <w:p w14:paraId="6E3ED580">
            <w:pPr>
              <w:pStyle w:val="10"/>
            </w:pPr>
            <w:r>
              <w:t>6月底</w:t>
            </w:r>
          </w:p>
        </w:tc>
        <w:tc>
          <w:tcPr>
            <w:tcW w:w="2551" w:type="dxa"/>
            <w:vAlign w:val="center"/>
          </w:tcPr>
          <w:p w14:paraId="47D1441B">
            <w:pPr>
              <w:pStyle w:val="10"/>
            </w:pPr>
            <w:r>
              <w:t>10月底</w:t>
            </w:r>
          </w:p>
        </w:tc>
        <w:tc>
          <w:tcPr>
            <w:tcW w:w="3544" w:type="dxa"/>
            <w:gridSpan w:val="2"/>
            <w:vAlign w:val="center"/>
          </w:tcPr>
          <w:p w14:paraId="46CD6F84">
            <w:pPr>
              <w:pStyle w:val="10"/>
            </w:pPr>
            <w:r>
              <w:t>12月底</w:t>
            </w:r>
          </w:p>
        </w:tc>
      </w:tr>
      <w:tr w14:paraId="004A6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67E55"/>
        </w:tc>
        <w:tc>
          <w:tcPr>
            <w:tcW w:w="5103" w:type="dxa"/>
            <w:gridSpan w:val="2"/>
            <w:vAlign w:val="center"/>
          </w:tcPr>
          <w:p w14:paraId="68126153">
            <w:pPr>
              <w:pStyle w:val="13"/>
            </w:pPr>
            <w:r>
              <w:t>25%</w:t>
            </w:r>
          </w:p>
        </w:tc>
        <w:tc>
          <w:tcPr>
            <w:tcW w:w="2835" w:type="dxa"/>
            <w:vAlign w:val="center"/>
          </w:tcPr>
          <w:p w14:paraId="634209F1">
            <w:pPr>
              <w:pStyle w:val="13"/>
            </w:pPr>
            <w:r>
              <w:t>50%</w:t>
            </w:r>
          </w:p>
        </w:tc>
        <w:tc>
          <w:tcPr>
            <w:tcW w:w="2551" w:type="dxa"/>
            <w:vAlign w:val="center"/>
          </w:tcPr>
          <w:p w14:paraId="22431BEE">
            <w:pPr>
              <w:pStyle w:val="13"/>
            </w:pPr>
            <w:r>
              <w:t>75%</w:t>
            </w:r>
          </w:p>
        </w:tc>
        <w:tc>
          <w:tcPr>
            <w:tcW w:w="3544" w:type="dxa"/>
            <w:gridSpan w:val="2"/>
            <w:vAlign w:val="center"/>
          </w:tcPr>
          <w:p w14:paraId="20B7AB0C">
            <w:pPr>
              <w:pStyle w:val="13"/>
            </w:pPr>
            <w:r>
              <w:t>100%</w:t>
            </w:r>
          </w:p>
        </w:tc>
      </w:tr>
      <w:tr w14:paraId="76069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936A0">
            <w:pPr>
              <w:pStyle w:val="10"/>
            </w:pPr>
            <w:r>
              <w:t>绩效目标</w:t>
            </w:r>
          </w:p>
        </w:tc>
        <w:tc>
          <w:tcPr>
            <w:tcW w:w="14033" w:type="dxa"/>
            <w:gridSpan w:val="6"/>
            <w:vAlign w:val="center"/>
          </w:tcPr>
          <w:p w14:paraId="12196AFE">
            <w:pPr>
              <w:pStyle w:val="12"/>
            </w:pPr>
            <w:r>
              <w:t>1.为保证学校正常运转和改善办学条件。</w:t>
            </w:r>
          </w:p>
          <w:p w14:paraId="55779A9F">
            <w:pPr>
              <w:pStyle w:val="12"/>
            </w:pPr>
            <w:r>
              <w:t>2.按拨款序时进度完成经费拨付和支出。</w:t>
            </w:r>
          </w:p>
        </w:tc>
      </w:tr>
    </w:tbl>
    <w:p w14:paraId="27014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34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A4553">
            <w:pPr>
              <w:pStyle w:val="10"/>
            </w:pPr>
            <w:r>
              <w:t>一级指标</w:t>
            </w:r>
          </w:p>
        </w:tc>
        <w:tc>
          <w:tcPr>
            <w:tcW w:w="2268" w:type="dxa"/>
            <w:vAlign w:val="center"/>
          </w:tcPr>
          <w:p w14:paraId="2BCE42B3">
            <w:pPr>
              <w:pStyle w:val="10"/>
            </w:pPr>
            <w:r>
              <w:t>二级指标</w:t>
            </w:r>
          </w:p>
        </w:tc>
        <w:tc>
          <w:tcPr>
            <w:tcW w:w="2835" w:type="dxa"/>
            <w:vAlign w:val="center"/>
          </w:tcPr>
          <w:p w14:paraId="23AD3288">
            <w:pPr>
              <w:pStyle w:val="10"/>
            </w:pPr>
            <w:r>
              <w:t>三级指标</w:t>
            </w:r>
          </w:p>
        </w:tc>
        <w:tc>
          <w:tcPr>
            <w:tcW w:w="5386" w:type="dxa"/>
            <w:vAlign w:val="center"/>
          </w:tcPr>
          <w:p w14:paraId="514AE0E4">
            <w:pPr>
              <w:pStyle w:val="10"/>
            </w:pPr>
            <w:r>
              <w:t>绩效指标描述</w:t>
            </w:r>
          </w:p>
        </w:tc>
        <w:tc>
          <w:tcPr>
            <w:tcW w:w="2268" w:type="dxa"/>
            <w:vAlign w:val="center"/>
          </w:tcPr>
          <w:p w14:paraId="134C5EF8">
            <w:pPr>
              <w:pStyle w:val="10"/>
            </w:pPr>
            <w:r>
              <w:t>指标值</w:t>
            </w:r>
          </w:p>
        </w:tc>
        <w:tc>
          <w:tcPr>
            <w:tcW w:w="1276" w:type="dxa"/>
            <w:vAlign w:val="center"/>
          </w:tcPr>
          <w:p w14:paraId="0095ACF7">
            <w:pPr>
              <w:pStyle w:val="10"/>
            </w:pPr>
            <w:r>
              <w:t>指标值确定依据</w:t>
            </w:r>
          </w:p>
        </w:tc>
      </w:tr>
      <w:tr w14:paraId="193B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9D997">
            <w:pPr>
              <w:pStyle w:val="13"/>
            </w:pPr>
            <w:r>
              <w:t>产出指标</w:t>
            </w:r>
          </w:p>
        </w:tc>
        <w:tc>
          <w:tcPr>
            <w:tcW w:w="2268" w:type="dxa"/>
            <w:vAlign w:val="center"/>
          </w:tcPr>
          <w:p w14:paraId="3F17D191">
            <w:pPr>
              <w:pStyle w:val="12"/>
            </w:pPr>
            <w:r>
              <w:t>数量指标</w:t>
            </w:r>
          </w:p>
        </w:tc>
        <w:tc>
          <w:tcPr>
            <w:tcW w:w="2835" w:type="dxa"/>
            <w:vAlign w:val="center"/>
          </w:tcPr>
          <w:p w14:paraId="585052AD">
            <w:pPr>
              <w:pStyle w:val="12"/>
            </w:pPr>
            <w:r>
              <w:t>就读学生数</w:t>
            </w:r>
          </w:p>
        </w:tc>
        <w:tc>
          <w:tcPr>
            <w:tcW w:w="5386" w:type="dxa"/>
            <w:vAlign w:val="center"/>
          </w:tcPr>
          <w:p w14:paraId="7EAEC8AA">
            <w:pPr>
              <w:pStyle w:val="12"/>
            </w:pPr>
            <w:r>
              <w:t>辐射区域内适龄学生人数</w:t>
            </w:r>
          </w:p>
        </w:tc>
        <w:tc>
          <w:tcPr>
            <w:tcW w:w="2268" w:type="dxa"/>
            <w:vAlign w:val="center"/>
          </w:tcPr>
          <w:p w14:paraId="08C4B675">
            <w:pPr>
              <w:pStyle w:val="12"/>
            </w:pPr>
            <w:r>
              <w:t>1241人</w:t>
            </w:r>
          </w:p>
        </w:tc>
        <w:tc>
          <w:tcPr>
            <w:tcW w:w="1276" w:type="dxa"/>
            <w:vAlign w:val="center"/>
          </w:tcPr>
          <w:p w14:paraId="191388C9">
            <w:pPr>
              <w:pStyle w:val="12"/>
            </w:pPr>
            <w:r>
              <w:t>城乡义务教育公用经费管理办法</w:t>
            </w:r>
          </w:p>
        </w:tc>
      </w:tr>
      <w:tr w14:paraId="3DB3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D8FFC"/>
        </w:tc>
        <w:tc>
          <w:tcPr>
            <w:tcW w:w="2268" w:type="dxa"/>
            <w:vAlign w:val="center"/>
          </w:tcPr>
          <w:p w14:paraId="33AD4869">
            <w:pPr>
              <w:pStyle w:val="12"/>
            </w:pPr>
            <w:r>
              <w:t>质量指标</w:t>
            </w:r>
          </w:p>
        </w:tc>
        <w:tc>
          <w:tcPr>
            <w:tcW w:w="2835" w:type="dxa"/>
            <w:vAlign w:val="center"/>
          </w:tcPr>
          <w:p w14:paraId="1A98A37D">
            <w:pPr>
              <w:pStyle w:val="12"/>
            </w:pPr>
            <w:r>
              <w:t>预算执行率</w:t>
            </w:r>
          </w:p>
        </w:tc>
        <w:tc>
          <w:tcPr>
            <w:tcW w:w="5386" w:type="dxa"/>
            <w:vAlign w:val="center"/>
          </w:tcPr>
          <w:p w14:paraId="7D79D8AE">
            <w:pPr>
              <w:pStyle w:val="12"/>
            </w:pPr>
            <w:r>
              <w:t>预算执行率≥98%</w:t>
            </w:r>
          </w:p>
        </w:tc>
        <w:tc>
          <w:tcPr>
            <w:tcW w:w="2268" w:type="dxa"/>
            <w:vAlign w:val="center"/>
          </w:tcPr>
          <w:p w14:paraId="2AC53FFC">
            <w:pPr>
              <w:pStyle w:val="12"/>
            </w:pPr>
            <w:r>
              <w:t>≥98%</w:t>
            </w:r>
          </w:p>
        </w:tc>
        <w:tc>
          <w:tcPr>
            <w:tcW w:w="1276" w:type="dxa"/>
            <w:vAlign w:val="center"/>
          </w:tcPr>
          <w:p w14:paraId="255A35C3">
            <w:pPr>
              <w:pStyle w:val="12"/>
            </w:pPr>
            <w:r>
              <w:t>城乡义务教育公用经费管理办法</w:t>
            </w:r>
          </w:p>
        </w:tc>
      </w:tr>
      <w:tr w14:paraId="66BF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B48F2"/>
        </w:tc>
        <w:tc>
          <w:tcPr>
            <w:tcW w:w="2268" w:type="dxa"/>
            <w:vAlign w:val="center"/>
          </w:tcPr>
          <w:p w14:paraId="1235ADEC">
            <w:pPr>
              <w:pStyle w:val="12"/>
            </w:pPr>
            <w:r>
              <w:t>时效指标</w:t>
            </w:r>
          </w:p>
        </w:tc>
        <w:tc>
          <w:tcPr>
            <w:tcW w:w="2835" w:type="dxa"/>
            <w:vAlign w:val="center"/>
          </w:tcPr>
          <w:p w14:paraId="727226A2">
            <w:pPr>
              <w:pStyle w:val="12"/>
            </w:pPr>
            <w:r>
              <w:t>义教经费支付完成率</w:t>
            </w:r>
          </w:p>
        </w:tc>
        <w:tc>
          <w:tcPr>
            <w:tcW w:w="5386" w:type="dxa"/>
            <w:vAlign w:val="center"/>
          </w:tcPr>
          <w:p w14:paraId="6CBBA906">
            <w:pPr>
              <w:pStyle w:val="12"/>
            </w:pPr>
            <w:r>
              <w:t>按照序时进度完成资金支付</w:t>
            </w:r>
          </w:p>
        </w:tc>
        <w:tc>
          <w:tcPr>
            <w:tcW w:w="2268" w:type="dxa"/>
            <w:vAlign w:val="center"/>
          </w:tcPr>
          <w:p w14:paraId="65354E17">
            <w:pPr>
              <w:pStyle w:val="12"/>
            </w:pPr>
            <w:r>
              <w:t>≥100%</w:t>
            </w:r>
          </w:p>
        </w:tc>
        <w:tc>
          <w:tcPr>
            <w:tcW w:w="1276" w:type="dxa"/>
            <w:vAlign w:val="center"/>
          </w:tcPr>
          <w:p w14:paraId="45511D5C">
            <w:pPr>
              <w:pStyle w:val="12"/>
            </w:pPr>
            <w:r>
              <w:t>城乡义务教育公用经费管理办法</w:t>
            </w:r>
          </w:p>
        </w:tc>
      </w:tr>
      <w:tr w14:paraId="739D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D17B0"/>
        </w:tc>
        <w:tc>
          <w:tcPr>
            <w:tcW w:w="2268" w:type="dxa"/>
            <w:vAlign w:val="center"/>
          </w:tcPr>
          <w:p w14:paraId="444D934B">
            <w:pPr>
              <w:pStyle w:val="12"/>
            </w:pPr>
            <w:r>
              <w:t>成本指标</w:t>
            </w:r>
          </w:p>
        </w:tc>
        <w:tc>
          <w:tcPr>
            <w:tcW w:w="2835" w:type="dxa"/>
            <w:vAlign w:val="center"/>
          </w:tcPr>
          <w:p w14:paraId="0A5FF4C0">
            <w:pPr>
              <w:pStyle w:val="12"/>
            </w:pPr>
            <w:r>
              <w:t>生均拨款标准</w:t>
            </w:r>
          </w:p>
        </w:tc>
        <w:tc>
          <w:tcPr>
            <w:tcW w:w="5386" w:type="dxa"/>
            <w:vAlign w:val="center"/>
          </w:tcPr>
          <w:p w14:paraId="2F4BBE3B">
            <w:pPr>
              <w:pStyle w:val="12"/>
            </w:pPr>
            <w:r>
              <w:t>小学生公用经费生均小学720元，取暖费120元/生/年，随班就读学生补助7000元/生</w:t>
            </w:r>
          </w:p>
        </w:tc>
        <w:tc>
          <w:tcPr>
            <w:tcW w:w="2268" w:type="dxa"/>
            <w:vAlign w:val="center"/>
          </w:tcPr>
          <w:p w14:paraId="2CC89238">
            <w:pPr>
              <w:pStyle w:val="12"/>
            </w:pPr>
            <w:r>
              <w:t>≥840元</w:t>
            </w:r>
          </w:p>
        </w:tc>
        <w:tc>
          <w:tcPr>
            <w:tcW w:w="1276" w:type="dxa"/>
            <w:vAlign w:val="center"/>
          </w:tcPr>
          <w:p w14:paraId="0678AEEE">
            <w:pPr>
              <w:pStyle w:val="12"/>
            </w:pPr>
            <w:r>
              <w:t>城乡义务教育公用经费管理办法</w:t>
            </w:r>
          </w:p>
        </w:tc>
      </w:tr>
      <w:tr w14:paraId="5A08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5D6B0">
            <w:pPr>
              <w:pStyle w:val="13"/>
            </w:pPr>
            <w:r>
              <w:t>效益指标</w:t>
            </w:r>
          </w:p>
        </w:tc>
        <w:tc>
          <w:tcPr>
            <w:tcW w:w="2268" w:type="dxa"/>
            <w:vAlign w:val="center"/>
          </w:tcPr>
          <w:p w14:paraId="1FCFFC50">
            <w:pPr>
              <w:pStyle w:val="12"/>
            </w:pPr>
            <w:r>
              <w:t>社会效益指标</w:t>
            </w:r>
          </w:p>
        </w:tc>
        <w:tc>
          <w:tcPr>
            <w:tcW w:w="2835" w:type="dxa"/>
            <w:vAlign w:val="center"/>
          </w:tcPr>
          <w:p w14:paraId="35AF12CB">
            <w:pPr>
              <w:pStyle w:val="12"/>
            </w:pPr>
            <w:r>
              <w:t>学校运转得到提高</w:t>
            </w:r>
          </w:p>
        </w:tc>
        <w:tc>
          <w:tcPr>
            <w:tcW w:w="5386" w:type="dxa"/>
            <w:vAlign w:val="center"/>
          </w:tcPr>
          <w:p w14:paraId="709308CA">
            <w:pPr>
              <w:pStyle w:val="12"/>
            </w:pPr>
            <w:r>
              <w:t>学生受教育年限</w:t>
            </w:r>
          </w:p>
        </w:tc>
        <w:tc>
          <w:tcPr>
            <w:tcW w:w="2268" w:type="dxa"/>
            <w:vAlign w:val="center"/>
          </w:tcPr>
          <w:p w14:paraId="1E9049E1">
            <w:pPr>
              <w:pStyle w:val="12"/>
            </w:pPr>
            <w:r>
              <w:t>6年</w:t>
            </w:r>
          </w:p>
        </w:tc>
        <w:tc>
          <w:tcPr>
            <w:tcW w:w="1276" w:type="dxa"/>
            <w:vAlign w:val="center"/>
          </w:tcPr>
          <w:p w14:paraId="1D347D32">
            <w:pPr>
              <w:pStyle w:val="12"/>
            </w:pPr>
            <w:r>
              <w:t>城乡义务教育公用经费管理办法</w:t>
            </w:r>
          </w:p>
        </w:tc>
      </w:tr>
      <w:tr w14:paraId="6F16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399E4">
            <w:pPr>
              <w:pStyle w:val="13"/>
            </w:pPr>
            <w:r>
              <w:t>满意度指标</w:t>
            </w:r>
          </w:p>
        </w:tc>
        <w:tc>
          <w:tcPr>
            <w:tcW w:w="2268" w:type="dxa"/>
            <w:vAlign w:val="center"/>
          </w:tcPr>
          <w:p w14:paraId="120E4CD5">
            <w:pPr>
              <w:pStyle w:val="12"/>
            </w:pPr>
            <w:r>
              <w:t>服务对象满意度指标</w:t>
            </w:r>
          </w:p>
        </w:tc>
        <w:tc>
          <w:tcPr>
            <w:tcW w:w="2835" w:type="dxa"/>
            <w:vAlign w:val="center"/>
          </w:tcPr>
          <w:p w14:paraId="64B51CE5">
            <w:pPr>
              <w:pStyle w:val="12"/>
            </w:pPr>
            <w:r>
              <w:t>服务对象满意度</w:t>
            </w:r>
          </w:p>
        </w:tc>
        <w:tc>
          <w:tcPr>
            <w:tcW w:w="5386" w:type="dxa"/>
            <w:vAlign w:val="center"/>
          </w:tcPr>
          <w:p w14:paraId="1ED504BE">
            <w:pPr>
              <w:pStyle w:val="12"/>
            </w:pPr>
            <w:r>
              <w:t>学校老师和学生满意度</w:t>
            </w:r>
          </w:p>
        </w:tc>
        <w:tc>
          <w:tcPr>
            <w:tcW w:w="2268" w:type="dxa"/>
            <w:vAlign w:val="center"/>
          </w:tcPr>
          <w:p w14:paraId="4D09A58C">
            <w:pPr>
              <w:pStyle w:val="12"/>
            </w:pPr>
            <w:r>
              <w:t>≥95%</w:t>
            </w:r>
          </w:p>
        </w:tc>
        <w:tc>
          <w:tcPr>
            <w:tcW w:w="1276" w:type="dxa"/>
            <w:vAlign w:val="center"/>
          </w:tcPr>
          <w:p w14:paraId="4703E7FB">
            <w:pPr>
              <w:pStyle w:val="12"/>
            </w:pPr>
            <w:r>
              <w:t>城乡义务教育公用经费管理办法</w:t>
            </w:r>
          </w:p>
        </w:tc>
      </w:tr>
    </w:tbl>
    <w:p w14:paraId="67954536">
      <w:pPr>
        <w:sectPr>
          <w:pgSz w:w="16840" w:h="11900" w:orient="landscape"/>
          <w:pgMar w:top="1361" w:right="1020" w:bottom="1134" w:left="1020" w:header="720" w:footer="720" w:gutter="0"/>
          <w:cols w:space="720" w:num="1"/>
        </w:sectPr>
      </w:pPr>
    </w:p>
    <w:p w14:paraId="2D31D8C8">
      <w:pPr>
        <w:spacing w:before="0" w:after="0"/>
        <w:ind w:firstLine="560"/>
        <w:jc w:val="left"/>
        <w:outlineLvl w:val="9"/>
      </w:pPr>
      <w:r>
        <w:rPr>
          <w:rFonts w:ascii="方正仿宋_GBK" w:hAnsi="方正仿宋_GBK" w:eastAsia="方正仿宋_GBK" w:cs="方正仿宋_GBK"/>
          <w:b/>
          <w:color w:val="000000"/>
          <w:sz w:val="28"/>
        </w:rPr>
        <w:t>22、县级配套/千户营校区徐麻营小学公用经费绩效目标表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88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258B2">
            <w:pPr>
              <w:pStyle w:val="11"/>
            </w:pPr>
            <w:r>
              <w:t>单位：万元</w:t>
            </w:r>
          </w:p>
        </w:tc>
      </w:tr>
      <w:tr w14:paraId="58FC7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27E01">
            <w:pPr>
              <w:pStyle w:val="10"/>
            </w:pPr>
            <w:r>
              <w:t>项目编码</w:t>
            </w:r>
          </w:p>
        </w:tc>
        <w:tc>
          <w:tcPr>
            <w:tcW w:w="5103" w:type="dxa"/>
            <w:gridSpan w:val="2"/>
            <w:vAlign w:val="center"/>
          </w:tcPr>
          <w:p w14:paraId="014DAD18">
            <w:pPr>
              <w:pStyle w:val="12"/>
            </w:pPr>
            <w:r>
              <w:t>13052526P00000410470N</w:t>
            </w:r>
          </w:p>
        </w:tc>
        <w:tc>
          <w:tcPr>
            <w:tcW w:w="2835" w:type="dxa"/>
            <w:vAlign w:val="center"/>
          </w:tcPr>
          <w:p w14:paraId="0C4DFC2F">
            <w:pPr>
              <w:pStyle w:val="10"/>
            </w:pPr>
            <w:r>
              <w:t>项目名称</w:t>
            </w:r>
          </w:p>
        </w:tc>
        <w:tc>
          <w:tcPr>
            <w:tcW w:w="6095" w:type="dxa"/>
            <w:gridSpan w:val="3"/>
            <w:vAlign w:val="center"/>
          </w:tcPr>
          <w:p w14:paraId="0300ED91">
            <w:pPr>
              <w:pStyle w:val="12"/>
            </w:pPr>
            <w:r>
              <w:t>县级配套/千户营校区徐麻营小学公用经费</w:t>
            </w:r>
          </w:p>
        </w:tc>
      </w:tr>
      <w:tr w14:paraId="7EC40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D47B9">
            <w:pPr>
              <w:pStyle w:val="10"/>
            </w:pPr>
            <w:r>
              <w:t>预算规模及资金用途</w:t>
            </w:r>
          </w:p>
        </w:tc>
        <w:tc>
          <w:tcPr>
            <w:tcW w:w="2268" w:type="dxa"/>
            <w:vAlign w:val="center"/>
          </w:tcPr>
          <w:p w14:paraId="5C799A6B">
            <w:pPr>
              <w:pStyle w:val="10"/>
            </w:pPr>
            <w:r>
              <w:t>预算数</w:t>
            </w:r>
          </w:p>
        </w:tc>
        <w:tc>
          <w:tcPr>
            <w:tcW w:w="2835" w:type="dxa"/>
            <w:vAlign w:val="center"/>
          </w:tcPr>
          <w:p w14:paraId="76C92A0A">
            <w:pPr>
              <w:pStyle w:val="12"/>
            </w:pPr>
            <w:r>
              <w:t>7.08</w:t>
            </w:r>
          </w:p>
        </w:tc>
        <w:tc>
          <w:tcPr>
            <w:tcW w:w="2835" w:type="dxa"/>
            <w:vAlign w:val="center"/>
          </w:tcPr>
          <w:p w14:paraId="7114F65D">
            <w:pPr>
              <w:pStyle w:val="10"/>
            </w:pPr>
            <w:r>
              <w:t>其中：财政    资金</w:t>
            </w:r>
          </w:p>
        </w:tc>
        <w:tc>
          <w:tcPr>
            <w:tcW w:w="2551" w:type="dxa"/>
            <w:vAlign w:val="center"/>
          </w:tcPr>
          <w:p w14:paraId="006C7C76">
            <w:pPr>
              <w:pStyle w:val="12"/>
            </w:pPr>
            <w:r>
              <w:t>7.08</w:t>
            </w:r>
          </w:p>
        </w:tc>
        <w:tc>
          <w:tcPr>
            <w:tcW w:w="2268" w:type="dxa"/>
            <w:vAlign w:val="center"/>
          </w:tcPr>
          <w:p w14:paraId="0AC484A7">
            <w:pPr>
              <w:pStyle w:val="10"/>
            </w:pPr>
            <w:r>
              <w:t>其他资金</w:t>
            </w:r>
          </w:p>
        </w:tc>
        <w:tc>
          <w:tcPr>
            <w:tcW w:w="1276" w:type="dxa"/>
            <w:vAlign w:val="center"/>
          </w:tcPr>
          <w:p w14:paraId="1323430B">
            <w:pPr>
              <w:pStyle w:val="12"/>
            </w:pPr>
            <w:r>
              <w:t xml:space="preserve"> </w:t>
            </w:r>
          </w:p>
        </w:tc>
      </w:tr>
      <w:tr w14:paraId="2FE94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D24AE"/>
        </w:tc>
        <w:tc>
          <w:tcPr>
            <w:tcW w:w="14033" w:type="dxa"/>
            <w:gridSpan w:val="6"/>
            <w:vAlign w:val="center"/>
          </w:tcPr>
          <w:p w14:paraId="6AC711BB">
            <w:pPr>
              <w:pStyle w:val="12"/>
            </w:pPr>
            <w:r>
              <w:t>为保证学校正常运转和改善办学条件。</w:t>
            </w:r>
          </w:p>
        </w:tc>
      </w:tr>
      <w:tr w14:paraId="624A7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A6C6B">
            <w:pPr>
              <w:pStyle w:val="10"/>
            </w:pPr>
            <w:r>
              <w:t>资金支出计划（%）</w:t>
            </w:r>
          </w:p>
        </w:tc>
        <w:tc>
          <w:tcPr>
            <w:tcW w:w="5103" w:type="dxa"/>
            <w:gridSpan w:val="2"/>
            <w:vAlign w:val="center"/>
          </w:tcPr>
          <w:p w14:paraId="4703CAFD">
            <w:pPr>
              <w:pStyle w:val="10"/>
            </w:pPr>
            <w:r>
              <w:t>3月底</w:t>
            </w:r>
          </w:p>
        </w:tc>
        <w:tc>
          <w:tcPr>
            <w:tcW w:w="2835" w:type="dxa"/>
            <w:vAlign w:val="center"/>
          </w:tcPr>
          <w:p w14:paraId="3DD4FF3E">
            <w:pPr>
              <w:pStyle w:val="10"/>
            </w:pPr>
            <w:r>
              <w:t>6月底</w:t>
            </w:r>
          </w:p>
        </w:tc>
        <w:tc>
          <w:tcPr>
            <w:tcW w:w="2551" w:type="dxa"/>
            <w:vAlign w:val="center"/>
          </w:tcPr>
          <w:p w14:paraId="2C50EF66">
            <w:pPr>
              <w:pStyle w:val="10"/>
            </w:pPr>
            <w:r>
              <w:t>10月底</w:t>
            </w:r>
          </w:p>
        </w:tc>
        <w:tc>
          <w:tcPr>
            <w:tcW w:w="3544" w:type="dxa"/>
            <w:gridSpan w:val="2"/>
            <w:vAlign w:val="center"/>
          </w:tcPr>
          <w:p w14:paraId="5A1E876B">
            <w:pPr>
              <w:pStyle w:val="10"/>
            </w:pPr>
            <w:r>
              <w:t>12月底</w:t>
            </w:r>
          </w:p>
        </w:tc>
      </w:tr>
      <w:tr w14:paraId="26088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A2903"/>
        </w:tc>
        <w:tc>
          <w:tcPr>
            <w:tcW w:w="5103" w:type="dxa"/>
            <w:gridSpan w:val="2"/>
            <w:vAlign w:val="center"/>
          </w:tcPr>
          <w:p w14:paraId="47D71315">
            <w:pPr>
              <w:pStyle w:val="13"/>
            </w:pPr>
            <w:r>
              <w:t>25%</w:t>
            </w:r>
          </w:p>
        </w:tc>
        <w:tc>
          <w:tcPr>
            <w:tcW w:w="2835" w:type="dxa"/>
            <w:vAlign w:val="center"/>
          </w:tcPr>
          <w:p w14:paraId="7C9B3713">
            <w:pPr>
              <w:pStyle w:val="13"/>
            </w:pPr>
            <w:r>
              <w:t>50%</w:t>
            </w:r>
          </w:p>
        </w:tc>
        <w:tc>
          <w:tcPr>
            <w:tcW w:w="2551" w:type="dxa"/>
            <w:vAlign w:val="center"/>
          </w:tcPr>
          <w:p w14:paraId="66824BCF">
            <w:pPr>
              <w:pStyle w:val="13"/>
            </w:pPr>
            <w:r>
              <w:t>75%</w:t>
            </w:r>
          </w:p>
        </w:tc>
        <w:tc>
          <w:tcPr>
            <w:tcW w:w="3544" w:type="dxa"/>
            <w:gridSpan w:val="2"/>
            <w:vAlign w:val="center"/>
          </w:tcPr>
          <w:p w14:paraId="69A63C77">
            <w:pPr>
              <w:pStyle w:val="13"/>
            </w:pPr>
            <w:r>
              <w:t>100%</w:t>
            </w:r>
          </w:p>
        </w:tc>
      </w:tr>
      <w:tr w14:paraId="2FC91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356A0">
            <w:pPr>
              <w:pStyle w:val="10"/>
            </w:pPr>
            <w:r>
              <w:t>绩效目标</w:t>
            </w:r>
          </w:p>
        </w:tc>
        <w:tc>
          <w:tcPr>
            <w:tcW w:w="14033" w:type="dxa"/>
            <w:gridSpan w:val="6"/>
            <w:vAlign w:val="center"/>
          </w:tcPr>
          <w:p w14:paraId="3886C68E">
            <w:pPr>
              <w:pStyle w:val="12"/>
            </w:pPr>
            <w:r>
              <w:t>1.为保证学校正常运转和改善办学条件。</w:t>
            </w:r>
          </w:p>
          <w:p w14:paraId="29F1678E">
            <w:pPr>
              <w:pStyle w:val="12"/>
            </w:pPr>
            <w:r>
              <w:t>2.按拨款序时进度完成经费拨付和支出。</w:t>
            </w:r>
          </w:p>
        </w:tc>
      </w:tr>
    </w:tbl>
    <w:p w14:paraId="50C6CE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5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C1707">
            <w:pPr>
              <w:pStyle w:val="10"/>
            </w:pPr>
            <w:r>
              <w:t>一级指标</w:t>
            </w:r>
          </w:p>
        </w:tc>
        <w:tc>
          <w:tcPr>
            <w:tcW w:w="2268" w:type="dxa"/>
            <w:vAlign w:val="center"/>
          </w:tcPr>
          <w:p w14:paraId="4042946C">
            <w:pPr>
              <w:pStyle w:val="10"/>
            </w:pPr>
            <w:r>
              <w:t>二级指标</w:t>
            </w:r>
          </w:p>
        </w:tc>
        <w:tc>
          <w:tcPr>
            <w:tcW w:w="2835" w:type="dxa"/>
            <w:vAlign w:val="center"/>
          </w:tcPr>
          <w:p w14:paraId="050057EB">
            <w:pPr>
              <w:pStyle w:val="10"/>
            </w:pPr>
            <w:r>
              <w:t>三级指标</w:t>
            </w:r>
          </w:p>
        </w:tc>
        <w:tc>
          <w:tcPr>
            <w:tcW w:w="5386" w:type="dxa"/>
            <w:vAlign w:val="center"/>
          </w:tcPr>
          <w:p w14:paraId="1D8CBD0E">
            <w:pPr>
              <w:pStyle w:val="10"/>
            </w:pPr>
            <w:r>
              <w:t>绩效指标描述</w:t>
            </w:r>
          </w:p>
        </w:tc>
        <w:tc>
          <w:tcPr>
            <w:tcW w:w="2268" w:type="dxa"/>
            <w:vAlign w:val="center"/>
          </w:tcPr>
          <w:p w14:paraId="603476B7">
            <w:pPr>
              <w:pStyle w:val="10"/>
            </w:pPr>
            <w:r>
              <w:t>指标值</w:t>
            </w:r>
          </w:p>
        </w:tc>
        <w:tc>
          <w:tcPr>
            <w:tcW w:w="1276" w:type="dxa"/>
            <w:vAlign w:val="center"/>
          </w:tcPr>
          <w:p w14:paraId="17CB7EA8">
            <w:pPr>
              <w:pStyle w:val="10"/>
            </w:pPr>
            <w:r>
              <w:t>指标值确定依据</w:t>
            </w:r>
          </w:p>
        </w:tc>
      </w:tr>
      <w:tr w14:paraId="4D74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B3F98">
            <w:pPr>
              <w:pStyle w:val="13"/>
            </w:pPr>
            <w:r>
              <w:t>产出指标</w:t>
            </w:r>
          </w:p>
        </w:tc>
        <w:tc>
          <w:tcPr>
            <w:tcW w:w="2268" w:type="dxa"/>
            <w:vAlign w:val="center"/>
          </w:tcPr>
          <w:p w14:paraId="61DB381B">
            <w:pPr>
              <w:pStyle w:val="12"/>
            </w:pPr>
            <w:r>
              <w:t>数量指标</w:t>
            </w:r>
          </w:p>
        </w:tc>
        <w:tc>
          <w:tcPr>
            <w:tcW w:w="2835" w:type="dxa"/>
            <w:vAlign w:val="center"/>
          </w:tcPr>
          <w:p w14:paraId="7BC28146">
            <w:pPr>
              <w:pStyle w:val="12"/>
            </w:pPr>
            <w:r>
              <w:t>就读学生数</w:t>
            </w:r>
          </w:p>
        </w:tc>
        <w:tc>
          <w:tcPr>
            <w:tcW w:w="5386" w:type="dxa"/>
            <w:vAlign w:val="center"/>
          </w:tcPr>
          <w:p w14:paraId="2ECDC955">
            <w:pPr>
              <w:pStyle w:val="12"/>
            </w:pPr>
            <w:r>
              <w:t>辐射区域内适龄学生人数</w:t>
            </w:r>
          </w:p>
        </w:tc>
        <w:tc>
          <w:tcPr>
            <w:tcW w:w="2268" w:type="dxa"/>
            <w:vAlign w:val="center"/>
          </w:tcPr>
          <w:p w14:paraId="74FE9831">
            <w:pPr>
              <w:pStyle w:val="12"/>
            </w:pPr>
            <w:r>
              <w:t>651人</w:t>
            </w:r>
          </w:p>
        </w:tc>
        <w:tc>
          <w:tcPr>
            <w:tcW w:w="1276" w:type="dxa"/>
            <w:vAlign w:val="center"/>
          </w:tcPr>
          <w:p w14:paraId="03B7A05F">
            <w:pPr>
              <w:pStyle w:val="12"/>
            </w:pPr>
            <w:r>
              <w:t>城乡义务教育公用经费管理办法</w:t>
            </w:r>
          </w:p>
        </w:tc>
      </w:tr>
      <w:tr w14:paraId="185EC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D05B"/>
        </w:tc>
        <w:tc>
          <w:tcPr>
            <w:tcW w:w="2268" w:type="dxa"/>
            <w:vAlign w:val="center"/>
          </w:tcPr>
          <w:p w14:paraId="180A7411">
            <w:pPr>
              <w:pStyle w:val="12"/>
            </w:pPr>
            <w:r>
              <w:t>质量指标</w:t>
            </w:r>
          </w:p>
        </w:tc>
        <w:tc>
          <w:tcPr>
            <w:tcW w:w="2835" w:type="dxa"/>
            <w:vAlign w:val="center"/>
          </w:tcPr>
          <w:p w14:paraId="21D6F362">
            <w:pPr>
              <w:pStyle w:val="12"/>
            </w:pPr>
            <w:r>
              <w:t>预算执行率</w:t>
            </w:r>
          </w:p>
        </w:tc>
        <w:tc>
          <w:tcPr>
            <w:tcW w:w="5386" w:type="dxa"/>
            <w:vAlign w:val="center"/>
          </w:tcPr>
          <w:p w14:paraId="048D6982">
            <w:pPr>
              <w:pStyle w:val="12"/>
            </w:pPr>
            <w:r>
              <w:t>预算执行率≥98%</w:t>
            </w:r>
          </w:p>
        </w:tc>
        <w:tc>
          <w:tcPr>
            <w:tcW w:w="2268" w:type="dxa"/>
            <w:vAlign w:val="center"/>
          </w:tcPr>
          <w:p w14:paraId="6FCB7FDD">
            <w:pPr>
              <w:pStyle w:val="12"/>
            </w:pPr>
            <w:r>
              <w:t>≥98%</w:t>
            </w:r>
          </w:p>
        </w:tc>
        <w:tc>
          <w:tcPr>
            <w:tcW w:w="1276" w:type="dxa"/>
            <w:vAlign w:val="center"/>
          </w:tcPr>
          <w:p w14:paraId="01B178AE">
            <w:pPr>
              <w:pStyle w:val="12"/>
            </w:pPr>
            <w:r>
              <w:t>城乡义务教育公用经费管理办法</w:t>
            </w:r>
          </w:p>
        </w:tc>
      </w:tr>
      <w:tr w14:paraId="4516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59A7"/>
        </w:tc>
        <w:tc>
          <w:tcPr>
            <w:tcW w:w="2268" w:type="dxa"/>
            <w:vAlign w:val="center"/>
          </w:tcPr>
          <w:p w14:paraId="3CEF1618">
            <w:pPr>
              <w:pStyle w:val="12"/>
            </w:pPr>
            <w:r>
              <w:t>时效指标</w:t>
            </w:r>
          </w:p>
        </w:tc>
        <w:tc>
          <w:tcPr>
            <w:tcW w:w="2835" w:type="dxa"/>
            <w:vAlign w:val="center"/>
          </w:tcPr>
          <w:p w14:paraId="45084D22">
            <w:pPr>
              <w:pStyle w:val="12"/>
            </w:pPr>
            <w:r>
              <w:t>义教经费支付完成率</w:t>
            </w:r>
          </w:p>
        </w:tc>
        <w:tc>
          <w:tcPr>
            <w:tcW w:w="5386" w:type="dxa"/>
            <w:vAlign w:val="center"/>
          </w:tcPr>
          <w:p w14:paraId="436BD31C">
            <w:pPr>
              <w:pStyle w:val="12"/>
            </w:pPr>
            <w:r>
              <w:t>按照序时进度完成资金支付</w:t>
            </w:r>
          </w:p>
        </w:tc>
        <w:tc>
          <w:tcPr>
            <w:tcW w:w="2268" w:type="dxa"/>
            <w:vAlign w:val="center"/>
          </w:tcPr>
          <w:p w14:paraId="27FED5D4">
            <w:pPr>
              <w:pStyle w:val="12"/>
            </w:pPr>
            <w:r>
              <w:t>≥98%</w:t>
            </w:r>
          </w:p>
        </w:tc>
        <w:tc>
          <w:tcPr>
            <w:tcW w:w="1276" w:type="dxa"/>
            <w:vAlign w:val="center"/>
          </w:tcPr>
          <w:p w14:paraId="63DDAE8B">
            <w:pPr>
              <w:pStyle w:val="12"/>
            </w:pPr>
            <w:r>
              <w:t>城乡义务教育公用经费管理办法</w:t>
            </w:r>
          </w:p>
        </w:tc>
      </w:tr>
      <w:tr w14:paraId="1C98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062FB"/>
        </w:tc>
        <w:tc>
          <w:tcPr>
            <w:tcW w:w="2268" w:type="dxa"/>
            <w:vAlign w:val="center"/>
          </w:tcPr>
          <w:p w14:paraId="1E1D03A1">
            <w:pPr>
              <w:pStyle w:val="12"/>
            </w:pPr>
            <w:r>
              <w:t>成本指标</w:t>
            </w:r>
          </w:p>
        </w:tc>
        <w:tc>
          <w:tcPr>
            <w:tcW w:w="2835" w:type="dxa"/>
            <w:vAlign w:val="center"/>
          </w:tcPr>
          <w:p w14:paraId="2BFF5E87">
            <w:pPr>
              <w:pStyle w:val="12"/>
            </w:pPr>
            <w:r>
              <w:t>生均拨款标准</w:t>
            </w:r>
          </w:p>
        </w:tc>
        <w:tc>
          <w:tcPr>
            <w:tcW w:w="5386" w:type="dxa"/>
            <w:vAlign w:val="center"/>
          </w:tcPr>
          <w:p w14:paraId="2100574A">
            <w:pPr>
              <w:pStyle w:val="12"/>
            </w:pPr>
            <w:r>
              <w:t>小学生公用经费生均小学720元，取暖费120元/生/年，随班就读学生补助7000元/生</w:t>
            </w:r>
          </w:p>
        </w:tc>
        <w:tc>
          <w:tcPr>
            <w:tcW w:w="2268" w:type="dxa"/>
            <w:vAlign w:val="center"/>
          </w:tcPr>
          <w:p w14:paraId="2D1F8265">
            <w:pPr>
              <w:pStyle w:val="12"/>
            </w:pPr>
            <w:r>
              <w:t>≥840元</w:t>
            </w:r>
          </w:p>
        </w:tc>
        <w:tc>
          <w:tcPr>
            <w:tcW w:w="1276" w:type="dxa"/>
            <w:vAlign w:val="center"/>
          </w:tcPr>
          <w:p w14:paraId="0FA9511F">
            <w:pPr>
              <w:pStyle w:val="12"/>
            </w:pPr>
            <w:r>
              <w:t>城乡义务教育公用经费管理办法</w:t>
            </w:r>
          </w:p>
        </w:tc>
      </w:tr>
      <w:tr w14:paraId="55FE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C0AAD">
            <w:pPr>
              <w:pStyle w:val="13"/>
            </w:pPr>
            <w:r>
              <w:t>效益指标</w:t>
            </w:r>
          </w:p>
        </w:tc>
        <w:tc>
          <w:tcPr>
            <w:tcW w:w="2268" w:type="dxa"/>
            <w:vAlign w:val="center"/>
          </w:tcPr>
          <w:p w14:paraId="03A0D1FF">
            <w:pPr>
              <w:pStyle w:val="12"/>
            </w:pPr>
            <w:r>
              <w:t>社会效益指标</w:t>
            </w:r>
          </w:p>
        </w:tc>
        <w:tc>
          <w:tcPr>
            <w:tcW w:w="2835" w:type="dxa"/>
            <w:vAlign w:val="center"/>
          </w:tcPr>
          <w:p w14:paraId="46F40C90">
            <w:pPr>
              <w:pStyle w:val="12"/>
            </w:pPr>
            <w:r>
              <w:t>学校运转得到提高</w:t>
            </w:r>
          </w:p>
        </w:tc>
        <w:tc>
          <w:tcPr>
            <w:tcW w:w="5386" w:type="dxa"/>
            <w:vAlign w:val="center"/>
          </w:tcPr>
          <w:p w14:paraId="6E7C0E12">
            <w:pPr>
              <w:pStyle w:val="12"/>
            </w:pPr>
            <w:r>
              <w:t>学生受教育年限</w:t>
            </w:r>
          </w:p>
        </w:tc>
        <w:tc>
          <w:tcPr>
            <w:tcW w:w="2268" w:type="dxa"/>
            <w:vAlign w:val="center"/>
          </w:tcPr>
          <w:p w14:paraId="18F42B91">
            <w:pPr>
              <w:pStyle w:val="12"/>
            </w:pPr>
            <w:r>
              <w:t>6年</w:t>
            </w:r>
          </w:p>
        </w:tc>
        <w:tc>
          <w:tcPr>
            <w:tcW w:w="1276" w:type="dxa"/>
            <w:vAlign w:val="center"/>
          </w:tcPr>
          <w:p w14:paraId="2E14560E">
            <w:pPr>
              <w:pStyle w:val="12"/>
            </w:pPr>
            <w:r>
              <w:t>城乡义务教育公用经费管理办法</w:t>
            </w:r>
          </w:p>
        </w:tc>
      </w:tr>
      <w:tr w14:paraId="7437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E4FD4">
            <w:pPr>
              <w:pStyle w:val="13"/>
            </w:pPr>
            <w:r>
              <w:t>满意度指标</w:t>
            </w:r>
          </w:p>
        </w:tc>
        <w:tc>
          <w:tcPr>
            <w:tcW w:w="2268" w:type="dxa"/>
            <w:vAlign w:val="center"/>
          </w:tcPr>
          <w:p w14:paraId="2B87C314">
            <w:pPr>
              <w:pStyle w:val="12"/>
            </w:pPr>
            <w:r>
              <w:t>服务对象满意度指标</w:t>
            </w:r>
          </w:p>
        </w:tc>
        <w:tc>
          <w:tcPr>
            <w:tcW w:w="2835" w:type="dxa"/>
            <w:vAlign w:val="center"/>
          </w:tcPr>
          <w:p w14:paraId="67537C2A">
            <w:pPr>
              <w:pStyle w:val="12"/>
            </w:pPr>
            <w:r>
              <w:t>服务对象满意度</w:t>
            </w:r>
          </w:p>
        </w:tc>
        <w:tc>
          <w:tcPr>
            <w:tcW w:w="5386" w:type="dxa"/>
            <w:vAlign w:val="center"/>
          </w:tcPr>
          <w:p w14:paraId="233DA062">
            <w:pPr>
              <w:pStyle w:val="12"/>
            </w:pPr>
            <w:r>
              <w:t>学校老师和学生满意度</w:t>
            </w:r>
          </w:p>
        </w:tc>
        <w:tc>
          <w:tcPr>
            <w:tcW w:w="2268" w:type="dxa"/>
            <w:vAlign w:val="center"/>
          </w:tcPr>
          <w:p w14:paraId="021F6094">
            <w:pPr>
              <w:pStyle w:val="12"/>
            </w:pPr>
            <w:r>
              <w:t>≥95%</w:t>
            </w:r>
          </w:p>
        </w:tc>
        <w:tc>
          <w:tcPr>
            <w:tcW w:w="1276" w:type="dxa"/>
            <w:vAlign w:val="center"/>
          </w:tcPr>
          <w:p w14:paraId="434519D1">
            <w:pPr>
              <w:pStyle w:val="12"/>
            </w:pPr>
            <w:r>
              <w:t>城乡义务教育公用经费管理办法</w:t>
            </w:r>
          </w:p>
        </w:tc>
      </w:tr>
    </w:tbl>
    <w:p w14:paraId="7A3D6852">
      <w:pPr>
        <w:sectPr>
          <w:pgSz w:w="16840" w:h="11900" w:orient="landscape"/>
          <w:pgMar w:top="1361" w:right="1020" w:bottom="1134" w:left="1020" w:header="720" w:footer="720" w:gutter="0"/>
          <w:cols w:space="720" w:num="1"/>
        </w:sectPr>
      </w:pPr>
    </w:p>
    <w:p w14:paraId="6E0AF5E3">
      <w:pPr>
        <w:spacing w:before="0" w:after="0"/>
        <w:ind w:firstLine="560"/>
        <w:jc w:val="left"/>
        <w:outlineLvl w:val="9"/>
      </w:pPr>
      <w:r>
        <w:rPr>
          <w:rFonts w:ascii="方正仿宋_GBK" w:hAnsi="方正仿宋_GBK" w:eastAsia="方正仿宋_GBK" w:cs="方正仿宋_GBK"/>
          <w:b/>
          <w:color w:val="000000"/>
          <w:sz w:val="28"/>
        </w:rPr>
        <w:t>23、县级配套/千户营校区学前教育幼儿资助绩效目标表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51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2BABF">
            <w:pPr>
              <w:pStyle w:val="11"/>
            </w:pPr>
            <w:r>
              <w:t>单位：万元</w:t>
            </w:r>
          </w:p>
        </w:tc>
      </w:tr>
      <w:tr w14:paraId="119B4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998BF">
            <w:pPr>
              <w:pStyle w:val="10"/>
            </w:pPr>
            <w:r>
              <w:t>项目编码</w:t>
            </w:r>
          </w:p>
        </w:tc>
        <w:tc>
          <w:tcPr>
            <w:tcW w:w="5103" w:type="dxa"/>
            <w:gridSpan w:val="2"/>
            <w:vAlign w:val="center"/>
          </w:tcPr>
          <w:p w14:paraId="074010EB">
            <w:pPr>
              <w:pStyle w:val="12"/>
            </w:pPr>
            <w:r>
              <w:t>13052526P00000210089J</w:t>
            </w:r>
          </w:p>
        </w:tc>
        <w:tc>
          <w:tcPr>
            <w:tcW w:w="2835" w:type="dxa"/>
            <w:vAlign w:val="center"/>
          </w:tcPr>
          <w:p w14:paraId="27592FF4">
            <w:pPr>
              <w:pStyle w:val="10"/>
            </w:pPr>
            <w:r>
              <w:t>项目名称</w:t>
            </w:r>
          </w:p>
        </w:tc>
        <w:tc>
          <w:tcPr>
            <w:tcW w:w="6095" w:type="dxa"/>
            <w:gridSpan w:val="3"/>
            <w:vAlign w:val="center"/>
          </w:tcPr>
          <w:p w14:paraId="1D5AE6E1">
            <w:pPr>
              <w:pStyle w:val="12"/>
            </w:pPr>
            <w:r>
              <w:t>县级配套/千户营校区学前教育幼儿资助</w:t>
            </w:r>
          </w:p>
        </w:tc>
      </w:tr>
      <w:tr w14:paraId="631F3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F8B37">
            <w:pPr>
              <w:pStyle w:val="10"/>
            </w:pPr>
            <w:r>
              <w:t>预算规模及资金用途</w:t>
            </w:r>
          </w:p>
        </w:tc>
        <w:tc>
          <w:tcPr>
            <w:tcW w:w="2268" w:type="dxa"/>
            <w:vAlign w:val="center"/>
          </w:tcPr>
          <w:p w14:paraId="19E06E4E">
            <w:pPr>
              <w:pStyle w:val="10"/>
            </w:pPr>
            <w:r>
              <w:t>预算数</w:t>
            </w:r>
          </w:p>
        </w:tc>
        <w:tc>
          <w:tcPr>
            <w:tcW w:w="2835" w:type="dxa"/>
            <w:vAlign w:val="center"/>
          </w:tcPr>
          <w:p w14:paraId="042A0D5B">
            <w:pPr>
              <w:pStyle w:val="12"/>
            </w:pPr>
            <w:r>
              <w:t>0.86</w:t>
            </w:r>
          </w:p>
        </w:tc>
        <w:tc>
          <w:tcPr>
            <w:tcW w:w="2835" w:type="dxa"/>
            <w:vAlign w:val="center"/>
          </w:tcPr>
          <w:p w14:paraId="42D8A68E">
            <w:pPr>
              <w:pStyle w:val="10"/>
            </w:pPr>
            <w:r>
              <w:t>其中：财政    资金</w:t>
            </w:r>
          </w:p>
        </w:tc>
        <w:tc>
          <w:tcPr>
            <w:tcW w:w="2551" w:type="dxa"/>
            <w:vAlign w:val="center"/>
          </w:tcPr>
          <w:p w14:paraId="40C5EDA6">
            <w:pPr>
              <w:pStyle w:val="12"/>
            </w:pPr>
            <w:r>
              <w:t>0.86</w:t>
            </w:r>
          </w:p>
        </w:tc>
        <w:tc>
          <w:tcPr>
            <w:tcW w:w="2268" w:type="dxa"/>
            <w:vAlign w:val="center"/>
          </w:tcPr>
          <w:p w14:paraId="16219D64">
            <w:pPr>
              <w:pStyle w:val="10"/>
            </w:pPr>
            <w:r>
              <w:t>其他资金</w:t>
            </w:r>
          </w:p>
        </w:tc>
        <w:tc>
          <w:tcPr>
            <w:tcW w:w="1276" w:type="dxa"/>
            <w:vAlign w:val="center"/>
          </w:tcPr>
          <w:p w14:paraId="694020D3">
            <w:pPr>
              <w:pStyle w:val="12"/>
            </w:pPr>
            <w:r>
              <w:t xml:space="preserve"> </w:t>
            </w:r>
          </w:p>
        </w:tc>
      </w:tr>
      <w:tr w14:paraId="124A7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57325"/>
        </w:tc>
        <w:tc>
          <w:tcPr>
            <w:tcW w:w="14033" w:type="dxa"/>
            <w:gridSpan w:val="6"/>
            <w:vAlign w:val="center"/>
          </w:tcPr>
          <w:p w14:paraId="4FC1A234">
            <w:pPr>
              <w:pStyle w:val="12"/>
            </w:pPr>
            <w:r>
              <w:t>保障落实建档立卡及家庭经济困难儿童资助所需资金，确保建档立卡等家庭经济困难幼儿优先获得资助</w:t>
            </w:r>
          </w:p>
        </w:tc>
      </w:tr>
      <w:tr w14:paraId="79CAE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95D79">
            <w:pPr>
              <w:pStyle w:val="10"/>
            </w:pPr>
            <w:r>
              <w:t>资金支出计划（%）</w:t>
            </w:r>
          </w:p>
        </w:tc>
        <w:tc>
          <w:tcPr>
            <w:tcW w:w="5103" w:type="dxa"/>
            <w:gridSpan w:val="2"/>
            <w:vAlign w:val="center"/>
          </w:tcPr>
          <w:p w14:paraId="0404E66B">
            <w:pPr>
              <w:pStyle w:val="10"/>
            </w:pPr>
            <w:r>
              <w:t>3月底</w:t>
            </w:r>
          </w:p>
        </w:tc>
        <w:tc>
          <w:tcPr>
            <w:tcW w:w="2835" w:type="dxa"/>
            <w:vAlign w:val="center"/>
          </w:tcPr>
          <w:p w14:paraId="5D1AFDA1">
            <w:pPr>
              <w:pStyle w:val="10"/>
            </w:pPr>
            <w:r>
              <w:t>6月底</w:t>
            </w:r>
          </w:p>
        </w:tc>
        <w:tc>
          <w:tcPr>
            <w:tcW w:w="2551" w:type="dxa"/>
            <w:vAlign w:val="center"/>
          </w:tcPr>
          <w:p w14:paraId="6E4FAB84">
            <w:pPr>
              <w:pStyle w:val="10"/>
            </w:pPr>
            <w:r>
              <w:t>10月底</w:t>
            </w:r>
          </w:p>
        </w:tc>
        <w:tc>
          <w:tcPr>
            <w:tcW w:w="3544" w:type="dxa"/>
            <w:gridSpan w:val="2"/>
            <w:vAlign w:val="center"/>
          </w:tcPr>
          <w:p w14:paraId="4A78CD24">
            <w:pPr>
              <w:pStyle w:val="10"/>
            </w:pPr>
            <w:r>
              <w:t>12月底</w:t>
            </w:r>
          </w:p>
        </w:tc>
      </w:tr>
      <w:tr w14:paraId="529CA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3DEA3"/>
        </w:tc>
        <w:tc>
          <w:tcPr>
            <w:tcW w:w="5103" w:type="dxa"/>
            <w:gridSpan w:val="2"/>
            <w:vAlign w:val="center"/>
          </w:tcPr>
          <w:p w14:paraId="36C48F6E">
            <w:pPr>
              <w:pStyle w:val="13"/>
            </w:pPr>
            <w:r>
              <w:t xml:space="preserve"> </w:t>
            </w:r>
          </w:p>
        </w:tc>
        <w:tc>
          <w:tcPr>
            <w:tcW w:w="2835" w:type="dxa"/>
            <w:vAlign w:val="center"/>
          </w:tcPr>
          <w:p w14:paraId="576F0846">
            <w:pPr>
              <w:pStyle w:val="13"/>
            </w:pPr>
            <w:r>
              <w:t>50%</w:t>
            </w:r>
          </w:p>
        </w:tc>
        <w:tc>
          <w:tcPr>
            <w:tcW w:w="2551" w:type="dxa"/>
            <w:vAlign w:val="center"/>
          </w:tcPr>
          <w:p w14:paraId="3C952A9F">
            <w:pPr>
              <w:pStyle w:val="13"/>
            </w:pPr>
            <w:r>
              <w:t>100%</w:t>
            </w:r>
          </w:p>
        </w:tc>
        <w:tc>
          <w:tcPr>
            <w:tcW w:w="3544" w:type="dxa"/>
            <w:gridSpan w:val="2"/>
            <w:vAlign w:val="center"/>
          </w:tcPr>
          <w:p w14:paraId="6D9CA889">
            <w:pPr>
              <w:pStyle w:val="13"/>
            </w:pPr>
            <w:r>
              <w:t>100%</w:t>
            </w:r>
          </w:p>
        </w:tc>
      </w:tr>
      <w:tr w14:paraId="303A6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D92CC">
            <w:pPr>
              <w:pStyle w:val="10"/>
            </w:pPr>
            <w:r>
              <w:t>绩效目标</w:t>
            </w:r>
          </w:p>
        </w:tc>
        <w:tc>
          <w:tcPr>
            <w:tcW w:w="14033" w:type="dxa"/>
            <w:gridSpan w:val="6"/>
            <w:vAlign w:val="center"/>
          </w:tcPr>
          <w:p w14:paraId="22CCB280">
            <w:pPr>
              <w:pStyle w:val="12"/>
            </w:pPr>
            <w:r>
              <w:t>1.保障落实建档立卡及家庭经济困难儿童资助所需资金，确保建档立卡等家庭经济困难幼儿优先获得资助</w:t>
            </w:r>
          </w:p>
          <w:p w14:paraId="757683B1">
            <w:pPr>
              <w:pStyle w:val="12"/>
            </w:pPr>
            <w:r>
              <w:t>2.减轻学前受教育幼儿家庭经济负担，提高学前幼儿入学率。</w:t>
            </w:r>
          </w:p>
        </w:tc>
      </w:tr>
    </w:tbl>
    <w:p w14:paraId="2B558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E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CF956">
            <w:pPr>
              <w:pStyle w:val="10"/>
            </w:pPr>
            <w:r>
              <w:t>一级指标</w:t>
            </w:r>
          </w:p>
        </w:tc>
        <w:tc>
          <w:tcPr>
            <w:tcW w:w="2268" w:type="dxa"/>
            <w:vAlign w:val="center"/>
          </w:tcPr>
          <w:p w14:paraId="2AA2AD34">
            <w:pPr>
              <w:pStyle w:val="10"/>
            </w:pPr>
            <w:r>
              <w:t>二级指标</w:t>
            </w:r>
          </w:p>
        </w:tc>
        <w:tc>
          <w:tcPr>
            <w:tcW w:w="2835" w:type="dxa"/>
            <w:vAlign w:val="center"/>
          </w:tcPr>
          <w:p w14:paraId="42610F1B">
            <w:pPr>
              <w:pStyle w:val="10"/>
            </w:pPr>
            <w:r>
              <w:t>三级指标</w:t>
            </w:r>
          </w:p>
        </w:tc>
        <w:tc>
          <w:tcPr>
            <w:tcW w:w="5386" w:type="dxa"/>
            <w:vAlign w:val="center"/>
          </w:tcPr>
          <w:p w14:paraId="1E530927">
            <w:pPr>
              <w:pStyle w:val="10"/>
            </w:pPr>
            <w:r>
              <w:t>绩效指标描述</w:t>
            </w:r>
          </w:p>
        </w:tc>
        <w:tc>
          <w:tcPr>
            <w:tcW w:w="2268" w:type="dxa"/>
            <w:vAlign w:val="center"/>
          </w:tcPr>
          <w:p w14:paraId="36275B22">
            <w:pPr>
              <w:pStyle w:val="10"/>
            </w:pPr>
            <w:r>
              <w:t>指标值</w:t>
            </w:r>
          </w:p>
        </w:tc>
        <w:tc>
          <w:tcPr>
            <w:tcW w:w="1276" w:type="dxa"/>
            <w:vAlign w:val="center"/>
          </w:tcPr>
          <w:p w14:paraId="53C9D448">
            <w:pPr>
              <w:pStyle w:val="10"/>
            </w:pPr>
            <w:r>
              <w:t>指标值确定依据</w:t>
            </w:r>
          </w:p>
        </w:tc>
      </w:tr>
      <w:tr w14:paraId="5720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03801">
            <w:pPr>
              <w:pStyle w:val="13"/>
            </w:pPr>
            <w:r>
              <w:t>产出指标</w:t>
            </w:r>
          </w:p>
        </w:tc>
        <w:tc>
          <w:tcPr>
            <w:tcW w:w="2268" w:type="dxa"/>
            <w:vAlign w:val="center"/>
          </w:tcPr>
          <w:p w14:paraId="508A4D91">
            <w:pPr>
              <w:pStyle w:val="12"/>
            </w:pPr>
            <w:r>
              <w:t>数量指标</w:t>
            </w:r>
          </w:p>
        </w:tc>
        <w:tc>
          <w:tcPr>
            <w:tcW w:w="2835" w:type="dxa"/>
            <w:vAlign w:val="center"/>
          </w:tcPr>
          <w:p w14:paraId="2F2922B3">
            <w:pPr>
              <w:pStyle w:val="12"/>
            </w:pPr>
            <w:r>
              <w:t>幼儿资助比例</w:t>
            </w:r>
          </w:p>
        </w:tc>
        <w:tc>
          <w:tcPr>
            <w:tcW w:w="5386" w:type="dxa"/>
            <w:vAlign w:val="center"/>
          </w:tcPr>
          <w:p w14:paraId="3198D7A3">
            <w:pPr>
              <w:pStyle w:val="12"/>
            </w:pPr>
            <w:r>
              <w:t>按学前适龄在园儿童实际资助人数测算</w:t>
            </w:r>
          </w:p>
        </w:tc>
        <w:tc>
          <w:tcPr>
            <w:tcW w:w="2268" w:type="dxa"/>
            <w:vAlign w:val="center"/>
          </w:tcPr>
          <w:p w14:paraId="3E5DBA84">
            <w:pPr>
              <w:pStyle w:val="12"/>
            </w:pPr>
            <w:r>
              <w:t>43人</w:t>
            </w:r>
          </w:p>
        </w:tc>
        <w:tc>
          <w:tcPr>
            <w:tcW w:w="1276" w:type="dxa"/>
            <w:vAlign w:val="center"/>
          </w:tcPr>
          <w:p w14:paraId="435E947B">
            <w:pPr>
              <w:pStyle w:val="12"/>
            </w:pPr>
            <w:r>
              <w:t>发展学前教育资金管理办法</w:t>
            </w:r>
          </w:p>
        </w:tc>
      </w:tr>
      <w:tr w14:paraId="2C17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5B641"/>
        </w:tc>
        <w:tc>
          <w:tcPr>
            <w:tcW w:w="2268" w:type="dxa"/>
            <w:vAlign w:val="center"/>
          </w:tcPr>
          <w:p w14:paraId="78C9F4F3">
            <w:pPr>
              <w:pStyle w:val="12"/>
            </w:pPr>
            <w:r>
              <w:t>质量指标</w:t>
            </w:r>
          </w:p>
        </w:tc>
        <w:tc>
          <w:tcPr>
            <w:tcW w:w="2835" w:type="dxa"/>
            <w:vAlign w:val="center"/>
          </w:tcPr>
          <w:p w14:paraId="281FB274">
            <w:pPr>
              <w:pStyle w:val="12"/>
            </w:pPr>
            <w:r>
              <w:t>学前教育资助制度落实情况</w:t>
            </w:r>
          </w:p>
        </w:tc>
        <w:tc>
          <w:tcPr>
            <w:tcW w:w="5386" w:type="dxa"/>
            <w:vAlign w:val="center"/>
          </w:tcPr>
          <w:p w14:paraId="6E7AB02B">
            <w:pPr>
              <w:pStyle w:val="12"/>
            </w:pPr>
            <w:r>
              <w:t>符合享受资助条件的学生覆盖率</w:t>
            </w:r>
          </w:p>
        </w:tc>
        <w:tc>
          <w:tcPr>
            <w:tcW w:w="2268" w:type="dxa"/>
            <w:vAlign w:val="center"/>
          </w:tcPr>
          <w:p w14:paraId="62311354">
            <w:pPr>
              <w:pStyle w:val="12"/>
            </w:pPr>
            <w:r>
              <w:t>≥98%</w:t>
            </w:r>
          </w:p>
        </w:tc>
        <w:tc>
          <w:tcPr>
            <w:tcW w:w="1276" w:type="dxa"/>
            <w:vAlign w:val="center"/>
          </w:tcPr>
          <w:p w14:paraId="46433001">
            <w:pPr>
              <w:pStyle w:val="12"/>
            </w:pPr>
            <w:r>
              <w:t>发展学前教育资金管理办法</w:t>
            </w:r>
          </w:p>
        </w:tc>
      </w:tr>
      <w:tr w14:paraId="60A4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98DC3"/>
        </w:tc>
        <w:tc>
          <w:tcPr>
            <w:tcW w:w="2268" w:type="dxa"/>
            <w:vAlign w:val="center"/>
          </w:tcPr>
          <w:p w14:paraId="70AF939A">
            <w:pPr>
              <w:pStyle w:val="12"/>
            </w:pPr>
            <w:r>
              <w:t>时效指标</w:t>
            </w:r>
          </w:p>
        </w:tc>
        <w:tc>
          <w:tcPr>
            <w:tcW w:w="2835" w:type="dxa"/>
            <w:vAlign w:val="center"/>
          </w:tcPr>
          <w:p w14:paraId="26435BAC">
            <w:pPr>
              <w:pStyle w:val="12"/>
            </w:pPr>
            <w:r>
              <w:t>资金拨付率</w:t>
            </w:r>
          </w:p>
        </w:tc>
        <w:tc>
          <w:tcPr>
            <w:tcW w:w="5386" w:type="dxa"/>
            <w:vAlign w:val="center"/>
          </w:tcPr>
          <w:p w14:paraId="16D758CF">
            <w:pPr>
              <w:pStyle w:val="12"/>
            </w:pPr>
            <w:r>
              <w:t>按进度进行资金支付</w:t>
            </w:r>
          </w:p>
        </w:tc>
        <w:tc>
          <w:tcPr>
            <w:tcW w:w="2268" w:type="dxa"/>
            <w:vAlign w:val="center"/>
          </w:tcPr>
          <w:p w14:paraId="072361DF">
            <w:pPr>
              <w:pStyle w:val="12"/>
            </w:pPr>
            <w:r>
              <w:t>≥98%</w:t>
            </w:r>
          </w:p>
        </w:tc>
        <w:tc>
          <w:tcPr>
            <w:tcW w:w="1276" w:type="dxa"/>
            <w:vAlign w:val="center"/>
          </w:tcPr>
          <w:p w14:paraId="56792A33">
            <w:pPr>
              <w:pStyle w:val="12"/>
            </w:pPr>
            <w:r>
              <w:t>发展学前教育资金管理办法</w:t>
            </w:r>
          </w:p>
        </w:tc>
      </w:tr>
      <w:tr w14:paraId="16EB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91A10"/>
        </w:tc>
        <w:tc>
          <w:tcPr>
            <w:tcW w:w="2268" w:type="dxa"/>
            <w:vAlign w:val="center"/>
          </w:tcPr>
          <w:p w14:paraId="0AB09055">
            <w:pPr>
              <w:pStyle w:val="12"/>
            </w:pPr>
            <w:r>
              <w:t>成本指标</w:t>
            </w:r>
          </w:p>
        </w:tc>
        <w:tc>
          <w:tcPr>
            <w:tcW w:w="2835" w:type="dxa"/>
            <w:vAlign w:val="center"/>
          </w:tcPr>
          <w:p w14:paraId="11E90082">
            <w:pPr>
              <w:pStyle w:val="12"/>
            </w:pPr>
            <w:r>
              <w:t>生均拨款标准</w:t>
            </w:r>
          </w:p>
        </w:tc>
        <w:tc>
          <w:tcPr>
            <w:tcW w:w="5386" w:type="dxa"/>
            <w:vAlign w:val="center"/>
          </w:tcPr>
          <w:p w14:paraId="353A0D19">
            <w:pPr>
              <w:pStyle w:val="12"/>
            </w:pPr>
            <w:r>
              <w:t>按规定标准落实</w:t>
            </w:r>
          </w:p>
        </w:tc>
        <w:tc>
          <w:tcPr>
            <w:tcW w:w="2268" w:type="dxa"/>
            <w:vAlign w:val="center"/>
          </w:tcPr>
          <w:p w14:paraId="28DDF783">
            <w:pPr>
              <w:pStyle w:val="12"/>
            </w:pPr>
            <w:r>
              <w:t>500元/生/半年</w:t>
            </w:r>
          </w:p>
        </w:tc>
        <w:tc>
          <w:tcPr>
            <w:tcW w:w="1276" w:type="dxa"/>
            <w:vAlign w:val="center"/>
          </w:tcPr>
          <w:p w14:paraId="3612C4C7">
            <w:pPr>
              <w:pStyle w:val="12"/>
            </w:pPr>
            <w:r>
              <w:t>发展学前教育资金管理办法</w:t>
            </w:r>
          </w:p>
        </w:tc>
      </w:tr>
      <w:tr w14:paraId="05CF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F841B">
            <w:pPr>
              <w:pStyle w:val="13"/>
            </w:pPr>
            <w:r>
              <w:t>效益指标</w:t>
            </w:r>
          </w:p>
        </w:tc>
        <w:tc>
          <w:tcPr>
            <w:tcW w:w="2268" w:type="dxa"/>
            <w:vAlign w:val="center"/>
          </w:tcPr>
          <w:p w14:paraId="4B19950D">
            <w:pPr>
              <w:pStyle w:val="12"/>
            </w:pPr>
            <w:r>
              <w:t>可持续影响指标</w:t>
            </w:r>
          </w:p>
        </w:tc>
        <w:tc>
          <w:tcPr>
            <w:tcW w:w="2835" w:type="dxa"/>
            <w:vAlign w:val="center"/>
          </w:tcPr>
          <w:p w14:paraId="04570A67">
            <w:pPr>
              <w:pStyle w:val="12"/>
            </w:pPr>
            <w:r>
              <w:t>教育发展水平明显好转</w:t>
            </w:r>
          </w:p>
        </w:tc>
        <w:tc>
          <w:tcPr>
            <w:tcW w:w="5386" w:type="dxa"/>
            <w:vAlign w:val="center"/>
          </w:tcPr>
          <w:p w14:paraId="36A85DEA">
            <w:pPr>
              <w:pStyle w:val="12"/>
            </w:pPr>
            <w:r>
              <w:t>幼儿受教育年限</w:t>
            </w:r>
          </w:p>
        </w:tc>
        <w:tc>
          <w:tcPr>
            <w:tcW w:w="2268" w:type="dxa"/>
            <w:vAlign w:val="center"/>
          </w:tcPr>
          <w:p w14:paraId="7BA0BBC5">
            <w:pPr>
              <w:pStyle w:val="12"/>
            </w:pPr>
            <w:r>
              <w:t>3年</w:t>
            </w:r>
          </w:p>
        </w:tc>
        <w:tc>
          <w:tcPr>
            <w:tcW w:w="1276" w:type="dxa"/>
            <w:vAlign w:val="center"/>
          </w:tcPr>
          <w:p w14:paraId="6A24C900">
            <w:pPr>
              <w:pStyle w:val="12"/>
            </w:pPr>
            <w:r>
              <w:t>发展学前教育资金管理办法</w:t>
            </w:r>
          </w:p>
        </w:tc>
      </w:tr>
      <w:tr w14:paraId="2C1F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6976D">
            <w:pPr>
              <w:pStyle w:val="13"/>
            </w:pPr>
            <w:r>
              <w:t>满意度指标</w:t>
            </w:r>
          </w:p>
        </w:tc>
        <w:tc>
          <w:tcPr>
            <w:tcW w:w="2268" w:type="dxa"/>
            <w:vAlign w:val="center"/>
          </w:tcPr>
          <w:p w14:paraId="39159FCE">
            <w:pPr>
              <w:pStyle w:val="12"/>
            </w:pPr>
            <w:r>
              <w:t>服务对象满意度指标</w:t>
            </w:r>
          </w:p>
        </w:tc>
        <w:tc>
          <w:tcPr>
            <w:tcW w:w="2835" w:type="dxa"/>
            <w:vAlign w:val="center"/>
          </w:tcPr>
          <w:p w14:paraId="41BA2BA3">
            <w:pPr>
              <w:pStyle w:val="12"/>
            </w:pPr>
            <w:r>
              <w:t>受益幼儿家长及调查满意度</w:t>
            </w:r>
          </w:p>
        </w:tc>
        <w:tc>
          <w:tcPr>
            <w:tcW w:w="5386" w:type="dxa"/>
            <w:vAlign w:val="center"/>
          </w:tcPr>
          <w:p w14:paraId="0DC4F87C">
            <w:pPr>
              <w:pStyle w:val="12"/>
            </w:pPr>
            <w:r>
              <w:t>学生、教师及家长对学校保教保育工作满意度情况</w:t>
            </w:r>
          </w:p>
        </w:tc>
        <w:tc>
          <w:tcPr>
            <w:tcW w:w="2268" w:type="dxa"/>
            <w:vAlign w:val="center"/>
          </w:tcPr>
          <w:p w14:paraId="2661B301">
            <w:pPr>
              <w:pStyle w:val="12"/>
            </w:pPr>
            <w:r>
              <w:t>≥95%</w:t>
            </w:r>
          </w:p>
        </w:tc>
        <w:tc>
          <w:tcPr>
            <w:tcW w:w="1276" w:type="dxa"/>
            <w:vAlign w:val="center"/>
          </w:tcPr>
          <w:p w14:paraId="29901B49">
            <w:pPr>
              <w:pStyle w:val="12"/>
            </w:pPr>
            <w:r>
              <w:t>调查问卷</w:t>
            </w:r>
          </w:p>
        </w:tc>
      </w:tr>
    </w:tbl>
    <w:p w14:paraId="2E6D0802">
      <w:pPr>
        <w:sectPr>
          <w:pgSz w:w="16840" w:h="11900" w:orient="landscape"/>
          <w:pgMar w:top="1361" w:right="1020" w:bottom="1134" w:left="1020" w:header="720" w:footer="720" w:gutter="0"/>
          <w:cols w:space="720" w:num="1"/>
        </w:sectPr>
      </w:pPr>
    </w:p>
    <w:p w14:paraId="6120A8F0">
      <w:pPr>
        <w:spacing w:before="0" w:after="0"/>
        <w:ind w:firstLine="560"/>
        <w:jc w:val="left"/>
        <w:outlineLvl w:val="9"/>
      </w:pPr>
      <w:r>
        <w:rPr>
          <w:rFonts w:ascii="方正仿宋_GBK" w:hAnsi="方正仿宋_GBK" w:eastAsia="方正仿宋_GBK" w:cs="方正仿宋_GBK"/>
          <w:b/>
          <w:color w:val="000000"/>
          <w:sz w:val="28"/>
        </w:rPr>
        <w:t>24、县级配套/千户营校区枣驼小学公用经费绩效目标表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82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86845">
            <w:pPr>
              <w:pStyle w:val="11"/>
            </w:pPr>
            <w:r>
              <w:t>单位：万元</w:t>
            </w:r>
          </w:p>
        </w:tc>
      </w:tr>
      <w:tr w14:paraId="5D7FC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BA6C4">
            <w:pPr>
              <w:pStyle w:val="10"/>
            </w:pPr>
            <w:r>
              <w:t>项目编码</w:t>
            </w:r>
          </w:p>
        </w:tc>
        <w:tc>
          <w:tcPr>
            <w:tcW w:w="5103" w:type="dxa"/>
            <w:gridSpan w:val="2"/>
            <w:vAlign w:val="center"/>
          </w:tcPr>
          <w:p w14:paraId="2AB37A2B">
            <w:pPr>
              <w:pStyle w:val="12"/>
            </w:pPr>
            <w:r>
              <w:t>13052526P00000410468P</w:t>
            </w:r>
          </w:p>
        </w:tc>
        <w:tc>
          <w:tcPr>
            <w:tcW w:w="2835" w:type="dxa"/>
            <w:vAlign w:val="center"/>
          </w:tcPr>
          <w:p w14:paraId="3A6CAF54">
            <w:pPr>
              <w:pStyle w:val="10"/>
            </w:pPr>
            <w:r>
              <w:t>项目名称</w:t>
            </w:r>
          </w:p>
        </w:tc>
        <w:tc>
          <w:tcPr>
            <w:tcW w:w="6095" w:type="dxa"/>
            <w:gridSpan w:val="3"/>
            <w:vAlign w:val="center"/>
          </w:tcPr>
          <w:p w14:paraId="541545D1">
            <w:pPr>
              <w:pStyle w:val="12"/>
            </w:pPr>
            <w:r>
              <w:t>县级配套/千户营校区枣驼小学公用经费</w:t>
            </w:r>
          </w:p>
        </w:tc>
      </w:tr>
      <w:tr w14:paraId="1DBCC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9F117">
            <w:pPr>
              <w:pStyle w:val="10"/>
            </w:pPr>
            <w:r>
              <w:t>预算规模及资金用途</w:t>
            </w:r>
          </w:p>
        </w:tc>
        <w:tc>
          <w:tcPr>
            <w:tcW w:w="2268" w:type="dxa"/>
            <w:vAlign w:val="center"/>
          </w:tcPr>
          <w:p w14:paraId="542B4EA1">
            <w:pPr>
              <w:pStyle w:val="10"/>
            </w:pPr>
            <w:r>
              <w:t>预算数</w:t>
            </w:r>
          </w:p>
        </w:tc>
        <w:tc>
          <w:tcPr>
            <w:tcW w:w="2835" w:type="dxa"/>
            <w:vAlign w:val="center"/>
          </w:tcPr>
          <w:p w14:paraId="6521FF4F">
            <w:pPr>
              <w:pStyle w:val="12"/>
            </w:pPr>
            <w:r>
              <w:t>1.58</w:t>
            </w:r>
          </w:p>
        </w:tc>
        <w:tc>
          <w:tcPr>
            <w:tcW w:w="2835" w:type="dxa"/>
            <w:vAlign w:val="center"/>
          </w:tcPr>
          <w:p w14:paraId="1E5249EE">
            <w:pPr>
              <w:pStyle w:val="10"/>
            </w:pPr>
            <w:r>
              <w:t>其中：财政    资金</w:t>
            </w:r>
          </w:p>
        </w:tc>
        <w:tc>
          <w:tcPr>
            <w:tcW w:w="2551" w:type="dxa"/>
            <w:vAlign w:val="center"/>
          </w:tcPr>
          <w:p w14:paraId="771881AA">
            <w:pPr>
              <w:pStyle w:val="12"/>
            </w:pPr>
            <w:r>
              <w:t>1.58</w:t>
            </w:r>
          </w:p>
        </w:tc>
        <w:tc>
          <w:tcPr>
            <w:tcW w:w="2268" w:type="dxa"/>
            <w:vAlign w:val="center"/>
          </w:tcPr>
          <w:p w14:paraId="79E4FDE4">
            <w:pPr>
              <w:pStyle w:val="10"/>
            </w:pPr>
            <w:r>
              <w:t>其他资金</w:t>
            </w:r>
          </w:p>
        </w:tc>
        <w:tc>
          <w:tcPr>
            <w:tcW w:w="1276" w:type="dxa"/>
            <w:vAlign w:val="center"/>
          </w:tcPr>
          <w:p w14:paraId="74948C62">
            <w:pPr>
              <w:pStyle w:val="12"/>
            </w:pPr>
            <w:r>
              <w:t xml:space="preserve"> </w:t>
            </w:r>
          </w:p>
        </w:tc>
      </w:tr>
      <w:tr w14:paraId="5FA0D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3BEA2"/>
        </w:tc>
        <w:tc>
          <w:tcPr>
            <w:tcW w:w="14033" w:type="dxa"/>
            <w:gridSpan w:val="6"/>
            <w:vAlign w:val="center"/>
          </w:tcPr>
          <w:p w14:paraId="2504C676">
            <w:pPr>
              <w:pStyle w:val="12"/>
            </w:pPr>
            <w:r>
              <w:t>为保证学校正常运转和改善办学条件。</w:t>
            </w:r>
          </w:p>
        </w:tc>
      </w:tr>
      <w:tr w14:paraId="6D283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D39C4">
            <w:pPr>
              <w:pStyle w:val="10"/>
            </w:pPr>
            <w:r>
              <w:t>资金支出计划（%）</w:t>
            </w:r>
          </w:p>
        </w:tc>
        <w:tc>
          <w:tcPr>
            <w:tcW w:w="5103" w:type="dxa"/>
            <w:gridSpan w:val="2"/>
            <w:vAlign w:val="center"/>
          </w:tcPr>
          <w:p w14:paraId="399AA85B">
            <w:pPr>
              <w:pStyle w:val="10"/>
            </w:pPr>
            <w:r>
              <w:t>3月底</w:t>
            </w:r>
          </w:p>
        </w:tc>
        <w:tc>
          <w:tcPr>
            <w:tcW w:w="2835" w:type="dxa"/>
            <w:vAlign w:val="center"/>
          </w:tcPr>
          <w:p w14:paraId="64F42893">
            <w:pPr>
              <w:pStyle w:val="10"/>
            </w:pPr>
            <w:r>
              <w:t>6月底</w:t>
            </w:r>
          </w:p>
        </w:tc>
        <w:tc>
          <w:tcPr>
            <w:tcW w:w="2551" w:type="dxa"/>
            <w:vAlign w:val="center"/>
          </w:tcPr>
          <w:p w14:paraId="7604240C">
            <w:pPr>
              <w:pStyle w:val="10"/>
            </w:pPr>
            <w:r>
              <w:t>10月底</w:t>
            </w:r>
          </w:p>
        </w:tc>
        <w:tc>
          <w:tcPr>
            <w:tcW w:w="3544" w:type="dxa"/>
            <w:gridSpan w:val="2"/>
            <w:vAlign w:val="center"/>
          </w:tcPr>
          <w:p w14:paraId="13D69667">
            <w:pPr>
              <w:pStyle w:val="10"/>
            </w:pPr>
            <w:r>
              <w:t>12月底</w:t>
            </w:r>
          </w:p>
        </w:tc>
      </w:tr>
      <w:tr w14:paraId="223F4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32233"/>
        </w:tc>
        <w:tc>
          <w:tcPr>
            <w:tcW w:w="5103" w:type="dxa"/>
            <w:gridSpan w:val="2"/>
            <w:vAlign w:val="center"/>
          </w:tcPr>
          <w:p w14:paraId="053D4D59">
            <w:pPr>
              <w:pStyle w:val="13"/>
            </w:pPr>
            <w:r>
              <w:t>25%</w:t>
            </w:r>
          </w:p>
        </w:tc>
        <w:tc>
          <w:tcPr>
            <w:tcW w:w="2835" w:type="dxa"/>
            <w:vAlign w:val="center"/>
          </w:tcPr>
          <w:p w14:paraId="3FBA25D0">
            <w:pPr>
              <w:pStyle w:val="13"/>
            </w:pPr>
            <w:r>
              <w:t>50%</w:t>
            </w:r>
          </w:p>
        </w:tc>
        <w:tc>
          <w:tcPr>
            <w:tcW w:w="2551" w:type="dxa"/>
            <w:vAlign w:val="center"/>
          </w:tcPr>
          <w:p w14:paraId="15BB9BF0">
            <w:pPr>
              <w:pStyle w:val="13"/>
            </w:pPr>
            <w:r>
              <w:t>75%</w:t>
            </w:r>
          </w:p>
        </w:tc>
        <w:tc>
          <w:tcPr>
            <w:tcW w:w="3544" w:type="dxa"/>
            <w:gridSpan w:val="2"/>
            <w:vAlign w:val="center"/>
          </w:tcPr>
          <w:p w14:paraId="7439D6BC">
            <w:pPr>
              <w:pStyle w:val="13"/>
            </w:pPr>
            <w:r>
              <w:t>100%</w:t>
            </w:r>
          </w:p>
        </w:tc>
      </w:tr>
      <w:tr w14:paraId="42DAF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0BA5C">
            <w:pPr>
              <w:pStyle w:val="10"/>
            </w:pPr>
            <w:r>
              <w:t>绩效目标</w:t>
            </w:r>
          </w:p>
        </w:tc>
        <w:tc>
          <w:tcPr>
            <w:tcW w:w="14033" w:type="dxa"/>
            <w:gridSpan w:val="6"/>
            <w:vAlign w:val="center"/>
          </w:tcPr>
          <w:p w14:paraId="629F83FD">
            <w:pPr>
              <w:pStyle w:val="12"/>
            </w:pPr>
            <w:r>
              <w:t>1.为保证学校正常运转和改善办学条件。</w:t>
            </w:r>
          </w:p>
          <w:p w14:paraId="7FC558ED">
            <w:pPr>
              <w:pStyle w:val="12"/>
            </w:pPr>
            <w:r>
              <w:t>2.按拨款序时进度完成经费拨付和支出。</w:t>
            </w:r>
          </w:p>
        </w:tc>
      </w:tr>
    </w:tbl>
    <w:p w14:paraId="7A380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A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1FD5E">
            <w:pPr>
              <w:pStyle w:val="10"/>
            </w:pPr>
            <w:r>
              <w:t>一级指标</w:t>
            </w:r>
          </w:p>
        </w:tc>
        <w:tc>
          <w:tcPr>
            <w:tcW w:w="2268" w:type="dxa"/>
            <w:vAlign w:val="center"/>
          </w:tcPr>
          <w:p w14:paraId="120E6E8D">
            <w:pPr>
              <w:pStyle w:val="10"/>
            </w:pPr>
            <w:r>
              <w:t>二级指标</w:t>
            </w:r>
          </w:p>
        </w:tc>
        <w:tc>
          <w:tcPr>
            <w:tcW w:w="2835" w:type="dxa"/>
            <w:vAlign w:val="center"/>
          </w:tcPr>
          <w:p w14:paraId="65917D1E">
            <w:pPr>
              <w:pStyle w:val="10"/>
            </w:pPr>
            <w:r>
              <w:t>三级指标</w:t>
            </w:r>
          </w:p>
        </w:tc>
        <w:tc>
          <w:tcPr>
            <w:tcW w:w="5386" w:type="dxa"/>
            <w:vAlign w:val="center"/>
          </w:tcPr>
          <w:p w14:paraId="26B528B0">
            <w:pPr>
              <w:pStyle w:val="10"/>
            </w:pPr>
            <w:r>
              <w:t>绩效指标描述</w:t>
            </w:r>
          </w:p>
        </w:tc>
        <w:tc>
          <w:tcPr>
            <w:tcW w:w="2268" w:type="dxa"/>
            <w:vAlign w:val="center"/>
          </w:tcPr>
          <w:p w14:paraId="4EF7753B">
            <w:pPr>
              <w:pStyle w:val="10"/>
            </w:pPr>
            <w:r>
              <w:t>指标值</w:t>
            </w:r>
          </w:p>
        </w:tc>
        <w:tc>
          <w:tcPr>
            <w:tcW w:w="1276" w:type="dxa"/>
            <w:vAlign w:val="center"/>
          </w:tcPr>
          <w:p w14:paraId="59E43A13">
            <w:pPr>
              <w:pStyle w:val="10"/>
            </w:pPr>
            <w:r>
              <w:t>指标值确定依据</w:t>
            </w:r>
          </w:p>
        </w:tc>
      </w:tr>
      <w:tr w14:paraId="3212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D124E">
            <w:pPr>
              <w:pStyle w:val="13"/>
            </w:pPr>
            <w:r>
              <w:t>产出指标</w:t>
            </w:r>
          </w:p>
        </w:tc>
        <w:tc>
          <w:tcPr>
            <w:tcW w:w="2268" w:type="dxa"/>
            <w:vAlign w:val="center"/>
          </w:tcPr>
          <w:p w14:paraId="615671E2">
            <w:pPr>
              <w:pStyle w:val="12"/>
            </w:pPr>
            <w:r>
              <w:t>数量指标</w:t>
            </w:r>
          </w:p>
        </w:tc>
        <w:tc>
          <w:tcPr>
            <w:tcW w:w="2835" w:type="dxa"/>
            <w:vAlign w:val="center"/>
          </w:tcPr>
          <w:p w14:paraId="1F37859D">
            <w:pPr>
              <w:pStyle w:val="12"/>
            </w:pPr>
            <w:r>
              <w:t>就读学生数</w:t>
            </w:r>
          </w:p>
        </w:tc>
        <w:tc>
          <w:tcPr>
            <w:tcW w:w="5386" w:type="dxa"/>
            <w:vAlign w:val="center"/>
          </w:tcPr>
          <w:p w14:paraId="7F5D513D">
            <w:pPr>
              <w:pStyle w:val="12"/>
            </w:pPr>
            <w:r>
              <w:t>辐射区域内适龄学生人数</w:t>
            </w:r>
          </w:p>
        </w:tc>
        <w:tc>
          <w:tcPr>
            <w:tcW w:w="2268" w:type="dxa"/>
            <w:vAlign w:val="center"/>
          </w:tcPr>
          <w:p w14:paraId="0A4A4FA1">
            <w:pPr>
              <w:pStyle w:val="12"/>
            </w:pPr>
            <w:r>
              <w:t>177人</w:t>
            </w:r>
          </w:p>
        </w:tc>
        <w:tc>
          <w:tcPr>
            <w:tcW w:w="1276" w:type="dxa"/>
            <w:vAlign w:val="center"/>
          </w:tcPr>
          <w:p w14:paraId="13069CF7">
            <w:pPr>
              <w:pStyle w:val="12"/>
            </w:pPr>
            <w:r>
              <w:t>城乡义务教育公用经费管理办法</w:t>
            </w:r>
          </w:p>
        </w:tc>
      </w:tr>
      <w:tr w14:paraId="6DBB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28201"/>
        </w:tc>
        <w:tc>
          <w:tcPr>
            <w:tcW w:w="2268" w:type="dxa"/>
            <w:vAlign w:val="center"/>
          </w:tcPr>
          <w:p w14:paraId="782A6921">
            <w:pPr>
              <w:pStyle w:val="12"/>
            </w:pPr>
            <w:r>
              <w:t>质量指标</w:t>
            </w:r>
          </w:p>
        </w:tc>
        <w:tc>
          <w:tcPr>
            <w:tcW w:w="2835" w:type="dxa"/>
            <w:vAlign w:val="center"/>
          </w:tcPr>
          <w:p w14:paraId="11A79A34">
            <w:pPr>
              <w:pStyle w:val="12"/>
            </w:pPr>
            <w:r>
              <w:t>预算执行率</w:t>
            </w:r>
          </w:p>
        </w:tc>
        <w:tc>
          <w:tcPr>
            <w:tcW w:w="5386" w:type="dxa"/>
            <w:vAlign w:val="center"/>
          </w:tcPr>
          <w:p w14:paraId="1962245F">
            <w:pPr>
              <w:pStyle w:val="12"/>
            </w:pPr>
            <w:r>
              <w:t>预算执行率≥98%</w:t>
            </w:r>
          </w:p>
        </w:tc>
        <w:tc>
          <w:tcPr>
            <w:tcW w:w="2268" w:type="dxa"/>
            <w:vAlign w:val="center"/>
          </w:tcPr>
          <w:p w14:paraId="61FE332D">
            <w:pPr>
              <w:pStyle w:val="12"/>
            </w:pPr>
            <w:r>
              <w:t>≥98%</w:t>
            </w:r>
          </w:p>
        </w:tc>
        <w:tc>
          <w:tcPr>
            <w:tcW w:w="1276" w:type="dxa"/>
            <w:vAlign w:val="center"/>
          </w:tcPr>
          <w:p w14:paraId="78404F6A">
            <w:pPr>
              <w:pStyle w:val="12"/>
            </w:pPr>
            <w:r>
              <w:t>城乡义务教育公用经费管理办法</w:t>
            </w:r>
          </w:p>
        </w:tc>
      </w:tr>
      <w:tr w14:paraId="3C03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65596"/>
        </w:tc>
        <w:tc>
          <w:tcPr>
            <w:tcW w:w="2268" w:type="dxa"/>
            <w:vAlign w:val="center"/>
          </w:tcPr>
          <w:p w14:paraId="3D499568">
            <w:pPr>
              <w:pStyle w:val="12"/>
            </w:pPr>
            <w:r>
              <w:t>时效指标</w:t>
            </w:r>
          </w:p>
        </w:tc>
        <w:tc>
          <w:tcPr>
            <w:tcW w:w="2835" w:type="dxa"/>
            <w:vAlign w:val="center"/>
          </w:tcPr>
          <w:p w14:paraId="670116CC">
            <w:pPr>
              <w:pStyle w:val="12"/>
            </w:pPr>
            <w:r>
              <w:t>义教经费支付完成率</w:t>
            </w:r>
          </w:p>
        </w:tc>
        <w:tc>
          <w:tcPr>
            <w:tcW w:w="5386" w:type="dxa"/>
            <w:vAlign w:val="center"/>
          </w:tcPr>
          <w:p w14:paraId="7F6062C4">
            <w:pPr>
              <w:pStyle w:val="12"/>
            </w:pPr>
            <w:r>
              <w:t>按照序时进度完成资金支付</w:t>
            </w:r>
          </w:p>
        </w:tc>
        <w:tc>
          <w:tcPr>
            <w:tcW w:w="2268" w:type="dxa"/>
            <w:vAlign w:val="center"/>
          </w:tcPr>
          <w:p w14:paraId="5FE75056">
            <w:pPr>
              <w:pStyle w:val="12"/>
            </w:pPr>
            <w:r>
              <w:t>≥98%</w:t>
            </w:r>
          </w:p>
        </w:tc>
        <w:tc>
          <w:tcPr>
            <w:tcW w:w="1276" w:type="dxa"/>
            <w:vAlign w:val="center"/>
          </w:tcPr>
          <w:p w14:paraId="45D05221">
            <w:pPr>
              <w:pStyle w:val="12"/>
            </w:pPr>
            <w:r>
              <w:t>城乡义务教育公用经费管理办法</w:t>
            </w:r>
          </w:p>
        </w:tc>
      </w:tr>
      <w:tr w14:paraId="2348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CDAB3"/>
        </w:tc>
        <w:tc>
          <w:tcPr>
            <w:tcW w:w="2268" w:type="dxa"/>
            <w:vAlign w:val="center"/>
          </w:tcPr>
          <w:p w14:paraId="51D1E18C">
            <w:pPr>
              <w:pStyle w:val="12"/>
            </w:pPr>
            <w:r>
              <w:t>成本指标</w:t>
            </w:r>
          </w:p>
        </w:tc>
        <w:tc>
          <w:tcPr>
            <w:tcW w:w="2835" w:type="dxa"/>
            <w:vAlign w:val="center"/>
          </w:tcPr>
          <w:p w14:paraId="3090A7AE">
            <w:pPr>
              <w:pStyle w:val="12"/>
            </w:pPr>
            <w:r>
              <w:t>生均拨款标准</w:t>
            </w:r>
          </w:p>
        </w:tc>
        <w:tc>
          <w:tcPr>
            <w:tcW w:w="5386" w:type="dxa"/>
            <w:vAlign w:val="center"/>
          </w:tcPr>
          <w:p w14:paraId="0CA973C0">
            <w:pPr>
              <w:pStyle w:val="12"/>
            </w:pPr>
            <w:r>
              <w:t>小学生公用经费生均小学720元，取暖费120元/生/年，随班就读学生补助7000元/生</w:t>
            </w:r>
          </w:p>
        </w:tc>
        <w:tc>
          <w:tcPr>
            <w:tcW w:w="2268" w:type="dxa"/>
            <w:vAlign w:val="center"/>
          </w:tcPr>
          <w:p w14:paraId="4269159F">
            <w:pPr>
              <w:pStyle w:val="12"/>
            </w:pPr>
            <w:r>
              <w:t>≥840元</w:t>
            </w:r>
          </w:p>
        </w:tc>
        <w:tc>
          <w:tcPr>
            <w:tcW w:w="1276" w:type="dxa"/>
            <w:vAlign w:val="center"/>
          </w:tcPr>
          <w:p w14:paraId="165FCC5B">
            <w:pPr>
              <w:pStyle w:val="12"/>
            </w:pPr>
            <w:r>
              <w:t>城乡义务教育公用经费管理办法</w:t>
            </w:r>
          </w:p>
        </w:tc>
      </w:tr>
      <w:tr w14:paraId="7C015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DD225">
            <w:pPr>
              <w:pStyle w:val="13"/>
            </w:pPr>
            <w:r>
              <w:t>效益指标</w:t>
            </w:r>
          </w:p>
        </w:tc>
        <w:tc>
          <w:tcPr>
            <w:tcW w:w="2268" w:type="dxa"/>
            <w:vAlign w:val="center"/>
          </w:tcPr>
          <w:p w14:paraId="6F326FA6">
            <w:pPr>
              <w:pStyle w:val="12"/>
            </w:pPr>
            <w:r>
              <w:t>社会效益指标</w:t>
            </w:r>
          </w:p>
        </w:tc>
        <w:tc>
          <w:tcPr>
            <w:tcW w:w="2835" w:type="dxa"/>
            <w:vAlign w:val="center"/>
          </w:tcPr>
          <w:p w14:paraId="5E335ECF">
            <w:pPr>
              <w:pStyle w:val="12"/>
            </w:pPr>
            <w:r>
              <w:t>学校运转得到提高</w:t>
            </w:r>
          </w:p>
        </w:tc>
        <w:tc>
          <w:tcPr>
            <w:tcW w:w="5386" w:type="dxa"/>
            <w:vAlign w:val="center"/>
          </w:tcPr>
          <w:p w14:paraId="70B03C15">
            <w:pPr>
              <w:pStyle w:val="12"/>
            </w:pPr>
            <w:r>
              <w:t>学生受教育年限</w:t>
            </w:r>
          </w:p>
        </w:tc>
        <w:tc>
          <w:tcPr>
            <w:tcW w:w="2268" w:type="dxa"/>
            <w:vAlign w:val="center"/>
          </w:tcPr>
          <w:p w14:paraId="5EF8EA54">
            <w:pPr>
              <w:pStyle w:val="12"/>
            </w:pPr>
            <w:r>
              <w:t>6年</w:t>
            </w:r>
          </w:p>
        </w:tc>
        <w:tc>
          <w:tcPr>
            <w:tcW w:w="1276" w:type="dxa"/>
            <w:vAlign w:val="center"/>
          </w:tcPr>
          <w:p w14:paraId="2FCC81AA">
            <w:pPr>
              <w:pStyle w:val="12"/>
            </w:pPr>
            <w:r>
              <w:t>城乡义务教育公用经费管理办法</w:t>
            </w:r>
          </w:p>
        </w:tc>
      </w:tr>
      <w:tr w14:paraId="0E82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990FD">
            <w:pPr>
              <w:pStyle w:val="13"/>
            </w:pPr>
            <w:r>
              <w:t>满意度指标</w:t>
            </w:r>
          </w:p>
        </w:tc>
        <w:tc>
          <w:tcPr>
            <w:tcW w:w="2268" w:type="dxa"/>
            <w:vAlign w:val="center"/>
          </w:tcPr>
          <w:p w14:paraId="539E430D">
            <w:pPr>
              <w:pStyle w:val="12"/>
            </w:pPr>
            <w:r>
              <w:t>服务对象满意度指标</w:t>
            </w:r>
          </w:p>
        </w:tc>
        <w:tc>
          <w:tcPr>
            <w:tcW w:w="2835" w:type="dxa"/>
            <w:vAlign w:val="center"/>
          </w:tcPr>
          <w:p w14:paraId="0AE73D1D">
            <w:pPr>
              <w:pStyle w:val="12"/>
            </w:pPr>
            <w:r>
              <w:t>服务对象满意度</w:t>
            </w:r>
          </w:p>
        </w:tc>
        <w:tc>
          <w:tcPr>
            <w:tcW w:w="5386" w:type="dxa"/>
            <w:vAlign w:val="center"/>
          </w:tcPr>
          <w:p w14:paraId="7BFEA1C0">
            <w:pPr>
              <w:pStyle w:val="12"/>
            </w:pPr>
            <w:r>
              <w:t>学校老师和学生满意度</w:t>
            </w:r>
          </w:p>
        </w:tc>
        <w:tc>
          <w:tcPr>
            <w:tcW w:w="2268" w:type="dxa"/>
            <w:vAlign w:val="center"/>
          </w:tcPr>
          <w:p w14:paraId="12DFE4E9">
            <w:pPr>
              <w:pStyle w:val="12"/>
            </w:pPr>
            <w:r>
              <w:t>≥95%</w:t>
            </w:r>
          </w:p>
        </w:tc>
        <w:tc>
          <w:tcPr>
            <w:tcW w:w="1276" w:type="dxa"/>
            <w:vAlign w:val="center"/>
          </w:tcPr>
          <w:p w14:paraId="2ADB31E8">
            <w:pPr>
              <w:pStyle w:val="12"/>
            </w:pPr>
            <w:r>
              <w:t>城乡义务教育公用经费管理办法</w:t>
            </w:r>
          </w:p>
        </w:tc>
      </w:tr>
    </w:tbl>
    <w:p w14:paraId="1CF4F35B">
      <w:pPr>
        <w:sectPr>
          <w:pgSz w:w="16840" w:h="11900" w:orient="landscape"/>
          <w:pgMar w:top="1361" w:right="1020" w:bottom="1134" w:left="1020" w:header="720" w:footer="720" w:gutter="0"/>
          <w:cols w:space="720" w:num="1"/>
        </w:sectPr>
      </w:pPr>
    </w:p>
    <w:p w14:paraId="7DABC55A">
      <w:pPr>
        <w:spacing w:before="0" w:after="0"/>
        <w:ind w:firstLine="560"/>
        <w:jc w:val="left"/>
        <w:outlineLvl w:val="9"/>
      </w:pPr>
      <w:r>
        <w:rPr>
          <w:rFonts w:ascii="方正仿宋_GBK" w:hAnsi="方正仿宋_GBK" w:eastAsia="方正仿宋_GBK" w:cs="方正仿宋_GBK"/>
          <w:b/>
          <w:color w:val="000000"/>
          <w:sz w:val="28"/>
        </w:rPr>
        <w:t>25、县级资金/2024年千户营校区学前教育公用经费绩效目标表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6D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3277C">
            <w:pPr>
              <w:pStyle w:val="11"/>
            </w:pPr>
            <w:r>
              <w:t>单位：万元</w:t>
            </w:r>
          </w:p>
        </w:tc>
      </w:tr>
      <w:tr w14:paraId="72C2A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F9E92">
            <w:pPr>
              <w:pStyle w:val="10"/>
            </w:pPr>
            <w:r>
              <w:t>项目编码</w:t>
            </w:r>
          </w:p>
        </w:tc>
        <w:tc>
          <w:tcPr>
            <w:tcW w:w="5103" w:type="dxa"/>
            <w:gridSpan w:val="2"/>
            <w:vAlign w:val="center"/>
          </w:tcPr>
          <w:p w14:paraId="6DBAF2C0">
            <w:pPr>
              <w:pStyle w:val="12"/>
            </w:pPr>
            <w:r>
              <w:t>13052526P008757101407</w:t>
            </w:r>
          </w:p>
        </w:tc>
        <w:tc>
          <w:tcPr>
            <w:tcW w:w="2835" w:type="dxa"/>
            <w:vAlign w:val="center"/>
          </w:tcPr>
          <w:p w14:paraId="3E465C7A">
            <w:pPr>
              <w:pStyle w:val="10"/>
            </w:pPr>
            <w:r>
              <w:t>项目名称</w:t>
            </w:r>
          </w:p>
        </w:tc>
        <w:tc>
          <w:tcPr>
            <w:tcW w:w="6095" w:type="dxa"/>
            <w:gridSpan w:val="3"/>
            <w:vAlign w:val="center"/>
          </w:tcPr>
          <w:p w14:paraId="24D2521C">
            <w:pPr>
              <w:pStyle w:val="12"/>
            </w:pPr>
            <w:r>
              <w:t>县级资金/2024年千户营校区学前教育公用经费</w:t>
            </w:r>
          </w:p>
        </w:tc>
      </w:tr>
      <w:tr w14:paraId="0C756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28019">
            <w:pPr>
              <w:pStyle w:val="10"/>
            </w:pPr>
            <w:r>
              <w:t>预算规模及资金用途</w:t>
            </w:r>
          </w:p>
        </w:tc>
        <w:tc>
          <w:tcPr>
            <w:tcW w:w="2268" w:type="dxa"/>
            <w:vAlign w:val="center"/>
          </w:tcPr>
          <w:p w14:paraId="5BB0CF42">
            <w:pPr>
              <w:pStyle w:val="10"/>
            </w:pPr>
            <w:r>
              <w:t>预算数</w:t>
            </w:r>
          </w:p>
        </w:tc>
        <w:tc>
          <w:tcPr>
            <w:tcW w:w="2835" w:type="dxa"/>
            <w:vAlign w:val="center"/>
          </w:tcPr>
          <w:p w14:paraId="366FD2FA">
            <w:pPr>
              <w:pStyle w:val="12"/>
            </w:pPr>
            <w:r>
              <w:t>36.80</w:t>
            </w:r>
          </w:p>
        </w:tc>
        <w:tc>
          <w:tcPr>
            <w:tcW w:w="2835" w:type="dxa"/>
            <w:vAlign w:val="center"/>
          </w:tcPr>
          <w:p w14:paraId="3D01CDE7">
            <w:pPr>
              <w:pStyle w:val="10"/>
            </w:pPr>
            <w:r>
              <w:t>其中：财政    资金</w:t>
            </w:r>
          </w:p>
        </w:tc>
        <w:tc>
          <w:tcPr>
            <w:tcW w:w="2551" w:type="dxa"/>
            <w:vAlign w:val="center"/>
          </w:tcPr>
          <w:p w14:paraId="58BCC6C0">
            <w:pPr>
              <w:pStyle w:val="12"/>
            </w:pPr>
            <w:r>
              <w:t>36.80</w:t>
            </w:r>
          </w:p>
        </w:tc>
        <w:tc>
          <w:tcPr>
            <w:tcW w:w="2268" w:type="dxa"/>
            <w:vAlign w:val="center"/>
          </w:tcPr>
          <w:p w14:paraId="249698C3">
            <w:pPr>
              <w:pStyle w:val="10"/>
            </w:pPr>
            <w:r>
              <w:t>其他资金</w:t>
            </w:r>
          </w:p>
        </w:tc>
        <w:tc>
          <w:tcPr>
            <w:tcW w:w="1276" w:type="dxa"/>
            <w:vAlign w:val="center"/>
          </w:tcPr>
          <w:p w14:paraId="5E7FE3E9">
            <w:pPr>
              <w:pStyle w:val="12"/>
            </w:pPr>
            <w:r>
              <w:t xml:space="preserve"> </w:t>
            </w:r>
          </w:p>
        </w:tc>
      </w:tr>
      <w:tr w14:paraId="199DA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F76B9"/>
        </w:tc>
        <w:tc>
          <w:tcPr>
            <w:tcW w:w="14033" w:type="dxa"/>
            <w:gridSpan w:val="6"/>
            <w:vAlign w:val="center"/>
          </w:tcPr>
          <w:p w14:paraId="4753F1C9">
            <w:pPr>
              <w:pStyle w:val="12"/>
            </w:pPr>
            <w:r>
              <w:t>保证幼儿园正常运转和改善办学条件。</w:t>
            </w:r>
          </w:p>
        </w:tc>
      </w:tr>
      <w:tr w14:paraId="656CA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73060">
            <w:pPr>
              <w:pStyle w:val="10"/>
            </w:pPr>
            <w:r>
              <w:t>资金支出计划（%）</w:t>
            </w:r>
          </w:p>
        </w:tc>
        <w:tc>
          <w:tcPr>
            <w:tcW w:w="5103" w:type="dxa"/>
            <w:gridSpan w:val="2"/>
            <w:vAlign w:val="center"/>
          </w:tcPr>
          <w:p w14:paraId="7CAC2BEF">
            <w:pPr>
              <w:pStyle w:val="10"/>
            </w:pPr>
            <w:r>
              <w:t>3月底</w:t>
            </w:r>
          </w:p>
        </w:tc>
        <w:tc>
          <w:tcPr>
            <w:tcW w:w="2835" w:type="dxa"/>
            <w:vAlign w:val="center"/>
          </w:tcPr>
          <w:p w14:paraId="63304558">
            <w:pPr>
              <w:pStyle w:val="10"/>
            </w:pPr>
            <w:r>
              <w:t>6月底</w:t>
            </w:r>
          </w:p>
        </w:tc>
        <w:tc>
          <w:tcPr>
            <w:tcW w:w="2551" w:type="dxa"/>
            <w:vAlign w:val="center"/>
          </w:tcPr>
          <w:p w14:paraId="75F599E8">
            <w:pPr>
              <w:pStyle w:val="10"/>
            </w:pPr>
            <w:r>
              <w:t>10月底</w:t>
            </w:r>
          </w:p>
        </w:tc>
        <w:tc>
          <w:tcPr>
            <w:tcW w:w="3544" w:type="dxa"/>
            <w:gridSpan w:val="2"/>
            <w:vAlign w:val="center"/>
          </w:tcPr>
          <w:p w14:paraId="589BFF2B">
            <w:pPr>
              <w:pStyle w:val="10"/>
            </w:pPr>
            <w:r>
              <w:t>12月底</w:t>
            </w:r>
          </w:p>
        </w:tc>
      </w:tr>
      <w:tr w14:paraId="3219A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355B3"/>
        </w:tc>
        <w:tc>
          <w:tcPr>
            <w:tcW w:w="5103" w:type="dxa"/>
            <w:gridSpan w:val="2"/>
            <w:vAlign w:val="center"/>
          </w:tcPr>
          <w:p w14:paraId="5FA29DC1">
            <w:pPr>
              <w:pStyle w:val="13"/>
            </w:pPr>
            <w:r>
              <w:t>25%</w:t>
            </w:r>
          </w:p>
        </w:tc>
        <w:tc>
          <w:tcPr>
            <w:tcW w:w="2835" w:type="dxa"/>
            <w:vAlign w:val="center"/>
          </w:tcPr>
          <w:p w14:paraId="2ADC0131">
            <w:pPr>
              <w:pStyle w:val="13"/>
            </w:pPr>
            <w:r>
              <w:t>50%</w:t>
            </w:r>
          </w:p>
        </w:tc>
        <w:tc>
          <w:tcPr>
            <w:tcW w:w="2551" w:type="dxa"/>
            <w:vAlign w:val="center"/>
          </w:tcPr>
          <w:p w14:paraId="556AA07E">
            <w:pPr>
              <w:pStyle w:val="13"/>
            </w:pPr>
            <w:r>
              <w:t>75%</w:t>
            </w:r>
          </w:p>
        </w:tc>
        <w:tc>
          <w:tcPr>
            <w:tcW w:w="3544" w:type="dxa"/>
            <w:gridSpan w:val="2"/>
            <w:vAlign w:val="center"/>
          </w:tcPr>
          <w:p w14:paraId="0F4D2DA5">
            <w:pPr>
              <w:pStyle w:val="13"/>
            </w:pPr>
            <w:r>
              <w:t>100%</w:t>
            </w:r>
          </w:p>
        </w:tc>
      </w:tr>
      <w:tr w14:paraId="0805B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BD735">
            <w:pPr>
              <w:pStyle w:val="10"/>
            </w:pPr>
            <w:r>
              <w:t>绩效目标</w:t>
            </w:r>
          </w:p>
        </w:tc>
        <w:tc>
          <w:tcPr>
            <w:tcW w:w="14033" w:type="dxa"/>
            <w:gridSpan w:val="6"/>
            <w:vAlign w:val="center"/>
          </w:tcPr>
          <w:p w14:paraId="0EBE08F2">
            <w:pPr>
              <w:pStyle w:val="12"/>
            </w:pPr>
            <w:r>
              <w:t>1.按拨款序时进度完成经费拨付和支出。</w:t>
            </w:r>
          </w:p>
          <w:p w14:paraId="08AA5496">
            <w:pPr>
              <w:pStyle w:val="12"/>
            </w:pPr>
            <w:r>
              <w:t>2.为保证幼儿园正常运转和改善办学条件。</w:t>
            </w:r>
          </w:p>
        </w:tc>
      </w:tr>
    </w:tbl>
    <w:p w14:paraId="4E3C7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1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A734F">
            <w:pPr>
              <w:pStyle w:val="10"/>
            </w:pPr>
            <w:r>
              <w:t>一级指标</w:t>
            </w:r>
          </w:p>
        </w:tc>
        <w:tc>
          <w:tcPr>
            <w:tcW w:w="2268" w:type="dxa"/>
            <w:vAlign w:val="center"/>
          </w:tcPr>
          <w:p w14:paraId="4E343B35">
            <w:pPr>
              <w:pStyle w:val="10"/>
            </w:pPr>
            <w:r>
              <w:t>二级指标</w:t>
            </w:r>
          </w:p>
        </w:tc>
        <w:tc>
          <w:tcPr>
            <w:tcW w:w="2835" w:type="dxa"/>
            <w:vAlign w:val="center"/>
          </w:tcPr>
          <w:p w14:paraId="2E3059E8">
            <w:pPr>
              <w:pStyle w:val="10"/>
            </w:pPr>
            <w:r>
              <w:t>三级指标</w:t>
            </w:r>
          </w:p>
        </w:tc>
        <w:tc>
          <w:tcPr>
            <w:tcW w:w="5386" w:type="dxa"/>
            <w:vAlign w:val="center"/>
          </w:tcPr>
          <w:p w14:paraId="780C8C7E">
            <w:pPr>
              <w:pStyle w:val="10"/>
            </w:pPr>
            <w:r>
              <w:t>绩效指标描述</w:t>
            </w:r>
          </w:p>
        </w:tc>
        <w:tc>
          <w:tcPr>
            <w:tcW w:w="2268" w:type="dxa"/>
            <w:vAlign w:val="center"/>
          </w:tcPr>
          <w:p w14:paraId="1E2A6D6C">
            <w:pPr>
              <w:pStyle w:val="10"/>
            </w:pPr>
            <w:r>
              <w:t>指标值</w:t>
            </w:r>
          </w:p>
        </w:tc>
        <w:tc>
          <w:tcPr>
            <w:tcW w:w="1276" w:type="dxa"/>
            <w:vAlign w:val="center"/>
          </w:tcPr>
          <w:p w14:paraId="42B07E32">
            <w:pPr>
              <w:pStyle w:val="10"/>
            </w:pPr>
            <w:r>
              <w:t>指标值确定依据</w:t>
            </w:r>
          </w:p>
        </w:tc>
      </w:tr>
      <w:tr w14:paraId="05F1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150C1">
            <w:pPr>
              <w:pStyle w:val="13"/>
            </w:pPr>
            <w:r>
              <w:t>产出指标</w:t>
            </w:r>
          </w:p>
        </w:tc>
        <w:tc>
          <w:tcPr>
            <w:tcW w:w="2268" w:type="dxa"/>
            <w:vAlign w:val="center"/>
          </w:tcPr>
          <w:p w14:paraId="31C9ADCB">
            <w:pPr>
              <w:pStyle w:val="12"/>
            </w:pPr>
            <w:r>
              <w:t>数量指标</w:t>
            </w:r>
          </w:p>
        </w:tc>
        <w:tc>
          <w:tcPr>
            <w:tcW w:w="2835" w:type="dxa"/>
            <w:vAlign w:val="center"/>
          </w:tcPr>
          <w:p w14:paraId="41CC2B11">
            <w:pPr>
              <w:pStyle w:val="12"/>
            </w:pPr>
            <w:r>
              <w:t>适龄在园生</w:t>
            </w:r>
          </w:p>
        </w:tc>
        <w:tc>
          <w:tcPr>
            <w:tcW w:w="5386" w:type="dxa"/>
            <w:vAlign w:val="center"/>
          </w:tcPr>
          <w:p w14:paraId="356FFE5D">
            <w:pPr>
              <w:pStyle w:val="12"/>
            </w:pPr>
            <w:r>
              <w:t>适龄在园学生人数</w:t>
            </w:r>
          </w:p>
        </w:tc>
        <w:tc>
          <w:tcPr>
            <w:tcW w:w="2268" w:type="dxa"/>
            <w:vAlign w:val="center"/>
          </w:tcPr>
          <w:p w14:paraId="3EDB30CD">
            <w:pPr>
              <w:pStyle w:val="12"/>
            </w:pPr>
            <w:r>
              <w:t>785人</w:t>
            </w:r>
          </w:p>
        </w:tc>
        <w:tc>
          <w:tcPr>
            <w:tcW w:w="1276" w:type="dxa"/>
            <w:vAlign w:val="center"/>
          </w:tcPr>
          <w:p w14:paraId="4C41CD77">
            <w:pPr>
              <w:pStyle w:val="12"/>
            </w:pPr>
            <w:r>
              <w:t>支持学前教育发展县级资金管理办法</w:t>
            </w:r>
          </w:p>
        </w:tc>
      </w:tr>
      <w:tr w14:paraId="4845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32D5"/>
        </w:tc>
        <w:tc>
          <w:tcPr>
            <w:tcW w:w="2268" w:type="dxa"/>
            <w:vAlign w:val="center"/>
          </w:tcPr>
          <w:p w14:paraId="53ADC251">
            <w:pPr>
              <w:pStyle w:val="12"/>
            </w:pPr>
            <w:r>
              <w:t>质量指标</w:t>
            </w:r>
          </w:p>
        </w:tc>
        <w:tc>
          <w:tcPr>
            <w:tcW w:w="2835" w:type="dxa"/>
            <w:vAlign w:val="center"/>
          </w:tcPr>
          <w:p w14:paraId="03FF3B95">
            <w:pPr>
              <w:pStyle w:val="12"/>
            </w:pPr>
            <w:r>
              <w:t>公用经费控制率</w:t>
            </w:r>
          </w:p>
        </w:tc>
        <w:tc>
          <w:tcPr>
            <w:tcW w:w="5386" w:type="dxa"/>
            <w:vAlign w:val="center"/>
          </w:tcPr>
          <w:p w14:paraId="45AA902C">
            <w:pPr>
              <w:pStyle w:val="12"/>
            </w:pPr>
            <w:r>
              <w:t>幼儿园公用经费拨付执行率</w:t>
            </w:r>
          </w:p>
        </w:tc>
        <w:tc>
          <w:tcPr>
            <w:tcW w:w="2268" w:type="dxa"/>
            <w:vAlign w:val="center"/>
          </w:tcPr>
          <w:p w14:paraId="3322B564">
            <w:pPr>
              <w:pStyle w:val="12"/>
            </w:pPr>
            <w:r>
              <w:t>≥98%</w:t>
            </w:r>
          </w:p>
        </w:tc>
        <w:tc>
          <w:tcPr>
            <w:tcW w:w="1276" w:type="dxa"/>
            <w:vAlign w:val="center"/>
          </w:tcPr>
          <w:p w14:paraId="00891913">
            <w:pPr>
              <w:pStyle w:val="12"/>
            </w:pPr>
            <w:r>
              <w:t>支持学前教育发展县级资金管理办法</w:t>
            </w:r>
          </w:p>
        </w:tc>
      </w:tr>
      <w:tr w14:paraId="0F9F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C8E2A"/>
        </w:tc>
        <w:tc>
          <w:tcPr>
            <w:tcW w:w="2268" w:type="dxa"/>
            <w:vAlign w:val="center"/>
          </w:tcPr>
          <w:p w14:paraId="091F3C98">
            <w:pPr>
              <w:pStyle w:val="12"/>
            </w:pPr>
            <w:r>
              <w:t>时效指标</w:t>
            </w:r>
          </w:p>
        </w:tc>
        <w:tc>
          <w:tcPr>
            <w:tcW w:w="2835" w:type="dxa"/>
            <w:vAlign w:val="center"/>
          </w:tcPr>
          <w:p w14:paraId="1DE7B2F2">
            <w:pPr>
              <w:pStyle w:val="12"/>
            </w:pPr>
            <w:r>
              <w:t>资金支付率</w:t>
            </w:r>
          </w:p>
        </w:tc>
        <w:tc>
          <w:tcPr>
            <w:tcW w:w="5386" w:type="dxa"/>
            <w:vAlign w:val="center"/>
          </w:tcPr>
          <w:p w14:paraId="51E64677">
            <w:pPr>
              <w:pStyle w:val="12"/>
            </w:pPr>
            <w:r>
              <w:t>按照序时进度完成资金支付</w:t>
            </w:r>
          </w:p>
        </w:tc>
        <w:tc>
          <w:tcPr>
            <w:tcW w:w="2268" w:type="dxa"/>
            <w:vAlign w:val="center"/>
          </w:tcPr>
          <w:p w14:paraId="2BB9CE15">
            <w:pPr>
              <w:pStyle w:val="12"/>
            </w:pPr>
            <w:r>
              <w:t>≥98%</w:t>
            </w:r>
          </w:p>
        </w:tc>
        <w:tc>
          <w:tcPr>
            <w:tcW w:w="1276" w:type="dxa"/>
            <w:vAlign w:val="center"/>
          </w:tcPr>
          <w:p w14:paraId="203C009E">
            <w:pPr>
              <w:pStyle w:val="12"/>
            </w:pPr>
            <w:r>
              <w:t>支持学前教育发展县级资金管理办法</w:t>
            </w:r>
          </w:p>
        </w:tc>
      </w:tr>
      <w:tr w14:paraId="7ADA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731D1"/>
        </w:tc>
        <w:tc>
          <w:tcPr>
            <w:tcW w:w="2268" w:type="dxa"/>
            <w:vAlign w:val="center"/>
          </w:tcPr>
          <w:p w14:paraId="25A7B035">
            <w:pPr>
              <w:pStyle w:val="12"/>
            </w:pPr>
            <w:r>
              <w:t>成本指标</w:t>
            </w:r>
          </w:p>
        </w:tc>
        <w:tc>
          <w:tcPr>
            <w:tcW w:w="2835" w:type="dxa"/>
            <w:vAlign w:val="center"/>
          </w:tcPr>
          <w:p w14:paraId="175F9FB0">
            <w:pPr>
              <w:pStyle w:val="12"/>
            </w:pPr>
            <w:r>
              <w:t>生均拨款标准</w:t>
            </w:r>
          </w:p>
        </w:tc>
        <w:tc>
          <w:tcPr>
            <w:tcW w:w="5386" w:type="dxa"/>
            <w:vAlign w:val="center"/>
          </w:tcPr>
          <w:p w14:paraId="57B58D51">
            <w:pPr>
              <w:pStyle w:val="12"/>
            </w:pPr>
            <w:r>
              <w:t>学前：（基本标准600元/生/学年）</w:t>
            </w:r>
          </w:p>
        </w:tc>
        <w:tc>
          <w:tcPr>
            <w:tcW w:w="2268" w:type="dxa"/>
            <w:vAlign w:val="center"/>
          </w:tcPr>
          <w:p w14:paraId="22529707">
            <w:pPr>
              <w:pStyle w:val="12"/>
            </w:pPr>
            <w:r>
              <w:t>600元</w:t>
            </w:r>
          </w:p>
        </w:tc>
        <w:tc>
          <w:tcPr>
            <w:tcW w:w="1276" w:type="dxa"/>
            <w:vAlign w:val="center"/>
          </w:tcPr>
          <w:p w14:paraId="3AB08607">
            <w:pPr>
              <w:pStyle w:val="12"/>
            </w:pPr>
            <w:r>
              <w:t>支持学前教育发展县级资金管理办法</w:t>
            </w:r>
          </w:p>
        </w:tc>
      </w:tr>
      <w:tr w14:paraId="5852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0D18A">
            <w:pPr>
              <w:pStyle w:val="13"/>
            </w:pPr>
            <w:r>
              <w:t>效益指标</w:t>
            </w:r>
          </w:p>
        </w:tc>
        <w:tc>
          <w:tcPr>
            <w:tcW w:w="2268" w:type="dxa"/>
            <w:vAlign w:val="center"/>
          </w:tcPr>
          <w:p w14:paraId="696F6125">
            <w:pPr>
              <w:pStyle w:val="12"/>
            </w:pPr>
            <w:r>
              <w:t>可持续影响指标</w:t>
            </w:r>
          </w:p>
        </w:tc>
        <w:tc>
          <w:tcPr>
            <w:tcW w:w="2835" w:type="dxa"/>
            <w:vAlign w:val="center"/>
          </w:tcPr>
          <w:p w14:paraId="53964994">
            <w:pPr>
              <w:pStyle w:val="12"/>
            </w:pPr>
            <w:r>
              <w:t>教育发展水平明显好转</w:t>
            </w:r>
          </w:p>
        </w:tc>
        <w:tc>
          <w:tcPr>
            <w:tcW w:w="5386" w:type="dxa"/>
            <w:vAlign w:val="center"/>
          </w:tcPr>
          <w:p w14:paraId="01765222">
            <w:pPr>
              <w:pStyle w:val="12"/>
            </w:pPr>
            <w:r>
              <w:t>学生受教育年限</w:t>
            </w:r>
          </w:p>
        </w:tc>
        <w:tc>
          <w:tcPr>
            <w:tcW w:w="2268" w:type="dxa"/>
            <w:vAlign w:val="center"/>
          </w:tcPr>
          <w:p w14:paraId="1038AC88">
            <w:pPr>
              <w:pStyle w:val="12"/>
            </w:pPr>
            <w:r>
              <w:t>3年</w:t>
            </w:r>
          </w:p>
        </w:tc>
        <w:tc>
          <w:tcPr>
            <w:tcW w:w="1276" w:type="dxa"/>
            <w:vAlign w:val="center"/>
          </w:tcPr>
          <w:p w14:paraId="57998713">
            <w:pPr>
              <w:pStyle w:val="12"/>
            </w:pPr>
            <w:r>
              <w:t>支持学前教育发展县级资金管理办法</w:t>
            </w:r>
          </w:p>
        </w:tc>
      </w:tr>
      <w:tr w14:paraId="292F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C1EDE">
            <w:pPr>
              <w:pStyle w:val="13"/>
            </w:pPr>
            <w:r>
              <w:t>满意度指标</w:t>
            </w:r>
          </w:p>
        </w:tc>
        <w:tc>
          <w:tcPr>
            <w:tcW w:w="2268" w:type="dxa"/>
            <w:vAlign w:val="center"/>
          </w:tcPr>
          <w:p w14:paraId="6B0CBAE3">
            <w:pPr>
              <w:pStyle w:val="12"/>
            </w:pPr>
            <w:r>
              <w:t>服务对象满意度指标</w:t>
            </w:r>
          </w:p>
        </w:tc>
        <w:tc>
          <w:tcPr>
            <w:tcW w:w="2835" w:type="dxa"/>
            <w:vAlign w:val="center"/>
          </w:tcPr>
          <w:p w14:paraId="60C23519">
            <w:pPr>
              <w:pStyle w:val="12"/>
            </w:pPr>
            <w:r>
              <w:t>受益学生家长及调查满意度</w:t>
            </w:r>
          </w:p>
        </w:tc>
        <w:tc>
          <w:tcPr>
            <w:tcW w:w="5386" w:type="dxa"/>
            <w:vAlign w:val="center"/>
          </w:tcPr>
          <w:p w14:paraId="6DECBD40">
            <w:pPr>
              <w:pStyle w:val="12"/>
            </w:pPr>
            <w:r>
              <w:t>幼儿、教师及家长对学校保教保育工作满意度情况</w:t>
            </w:r>
          </w:p>
        </w:tc>
        <w:tc>
          <w:tcPr>
            <w:tcW w:w="2268" w:type="dxa"/>
            <w:vAlign w:val="center"/>
          </w:tcPr>
          <w:p w14:paraId="24411325">
            <w:pPr>
              <w:pStyle w:val="12"/>
            </w:pPr>
            <w:r>
              <w:t>≥95%</w:t>
            </w:r>
          </w:p>
        </w:tc>
        <w:tc>
          <w:tcPr>
            <w:tcW w:w="1276" w:type="dxa"/>
            <w:vAlign w:val="center"/>
          </w:tcPr>
          <w:p w14:paraId="63CAF960">
            <w:pPr>
              <w:pStyle w:val="12"/>
            </w:pPr>
            <w:r>
              <w:t>调查问卷</w:t>
            </w:r>
          </w:p>
        </w:tc>
      </w:tr>
    </w:tbl>
    <w:p w14:paraId="4C261742">
      <w:pPr>
        <w:sectPr>
          <w:pgSz w:w="16840" w:h="11900" w:orient="landscape"/>
          <w:pgMar w:top="1361" w:right="1020" w:bottom="1134" w:left="1020" w:header="720" w:footer="720" w:gutter="0"/>
          <w:cols w:space="720" w:num="1"/>
        </w:sectPr>
      </w:pPr>
    </w:p>
    <w:p w14:paraId="3D03CD90">
      <w:pPr>
        <w:spacing w:before="0" w:after="0"/>
        <w:ind w:firstLine="560"/>
        <w:jc w:val="left"/>
        <w:outlineLvl w:val="9"/>
      </w:pPr>
      <w:r>
        <w:rPr>
          <w:rFonts w:ascii="方正仿宋_GBK" w:hAnsi="方正仿宋_GBK" w:eastAsia="方正仿宋_GBK" w:cs="方正仿宋_GBK"/>
          <w:b/>
          <w:color w:val="000000"/>
          <w:sz w:val="28"/>
        </w:rPr>
        <w:t>26、县级资金/2026年千户营校区学前教育公用经费绩效目标表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5C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9D444">
            <w:pPr>
              <w:pStyle w:val="11"/>
            </w:pPr>
            <w:r>
              <w:t>单位：万元</w:t>
            </w:r>
          </w:p>
        </w:tc>
      </w:tr>
      <w:tr w14:paraId="402AD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21E39">
            <w:pPr>
              <w:pStyle w:val="10"/>
            </w:pPr>
            <w:r>
              <w:t>项目编码</w:t>
            </w:r>
          </w:p>
        </w:tc>
        <w:tc>
          <w:tcPr>
            <w:tcW w:w="5103" w:type="dxa"/>
            <w:gridSpan w:val="2"/>
            <w:vAlign w:val="center"/>
          </w:tcPr>
          <w:p w14:paraId="64E10AFE">
            <w:pPr>
              <w:pStyle w:val="12"/>
            </w:pPr>
            <w:r>
              <w:t>13052526P008757101265</w:t>
            </w:r>
          </w:p>
        </w:tc>
        <w:tc>
          <w:tcPr>
            <w:tcW w:w="2835" w:type="dxa"/>
            <w:vAlign w:val="center"/>
          </w:tcPr>
          <w:p w14:paraId="5D649F37">
            <w:pPr>
              <w:pStyle w:val="10"/>
            </w:pPr>
            <w:r>
              <w:t>项目名称</w:t>
            </w:r>
          </w:p>
        </w:tc>
        <w:tc>
          <w:tcPr>
            <w:tcW w:w="6095" w:type="dxa"/>
            <w:gridSpan w:val="3"/>
            <w:vAlign w:val="center"/>
          </w:tcPr>
          <w:p w14:paraId="1E56D267">
            <w:pPr>
              <w:pStyle w:val="12"/>
            </w:pPr>
            <w:r>
              <w:t>县级资金/2026年千户营校区学前教育公用经费</w:t>
            </w:r>
          </w:p>
        </w:tc>
      </w:tr>
      <w:tr w14:paraId="3F4D0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2B13D">
            <w:pPr>
              <w:pStyle w:val="10"/>
            </w:pPr>
            <w:r>
              <w:t>预算规模及资金用途</w:t>
            </w:r>
          </w:p>
        </w:tc>
        <w:tc>
          <w:tcPr>
            <w:tcW w:w="2268" w:type="dxa"/>
            <w:vAlign w:val="center"/>
          </w:tcPr>
          <w:p w14:paraId="5CF0079C">
            <w:pPr>
              <w:pStyle w:val="10"/>
            </w:pPr>
            <w:r>
              <w:t>预算数</w:t>
            </w:r>
          </w:p>
        </w:tc>
        <w:tc>
          <w:tcPr>
            <w:tcW w:w="2835" w:type="dxa"/>
            <w:vAlign w:val="center"/>
          </w:tcPr>
          <w:p w14:paraId="51036A21">
            <w:pPr>
              <w:pStyle w:val="12"/>
            </w:pPr>
            <w:r>
              <w:t>12.41</w:t>
            </w:r>
          </w:p>
        </w:tc>
        <w:tc>
          <w:tcPr>
            <w:tcW w:w="2835" w:type="dxa"/>
            <w:vAlign w:val="center"/>
          </w:tcPr>
          <w:p w14:paraId="0732C306">
            <w:pPr>
              <w:pStyle w:val="10"/>
            </w:pPr>
            <w:r>
              <w:t>其中：财政    资金</w:t>
            </w:r>
          </w:p>
        </w:tc>
        <w:tc>
          <w:tcPr>
            <w:tcW w:w="2551" w:type="dxa"/>
            <w:vAlign w:val="center"/>
          </w:tcPr>
          <w:p w14:paraId="3A3076C5">
            <w:pPr>
              <w:pStyle w:val="12"/>
            </w:pPr>
            <w:r>
              <w:t>12.41</w:t>
            </w:r>
          </w:p>
        </w:tc>
        <w:tc>
          <w:tcPr>
            <w:tcW w:w="2268" w:type="dxa"/>
            <w:vAlign w:val="center"/>
          </w:tcPr>
          <w:p w14:paraId="36975F58">
            <w:pPr>
              <w:pStyle w:val="10"/>
            </w:pPr>
            <w:r>
              <w:t>其他资金</w:t>
            </w:r>
          </w:p>
        </w:tc>
        <w:tc>
          <w:tcPr>
            <w:tcW w:w="1276" w:type="dxa"/>
            <w:vAlign w:val="center"/>
          </w:tcPr>
          <w:p w14:paraId="3DD2F7AB">
            <w:pPr>
              <w:pStyle w:val="12"/>
            </w:pPr>
            <w:r>
              <w:t xml:space="preserve"> </w:t>
            </w:r>
          </w:p>
        </w:tc>
      </w:tr>
      <w:tr w14:paraId="07CA1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9F4DB"/>
        </w:tc>
        <w:tc>
          <w:tcPr>
            <w:tcW w:w="14033" w:type="dxa"/>
            <w:gridSpan w:val="6"/>
            <w:vAlign w:val="center"/>
          </w:tcPr>
          <w:p w14:paraId="23B85B5A">
            <w:pPr>
              <w:pStyle w:val="12"/>
            </w:pPr>
            <w:r>
              <w:t>保证幼儿园正常运转和改善办学条件。</w:t>
            </w:r>
          </w:p>
        </w:tc>
      </w:tr>
      <w:tr w14:paraId="0DD8F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7FDE1">
            <w:pPr>
              <w:pStyle w:val="10"/>
            </w:pPr>
            <w:r>
              <w:t>资金支出计划（%）</w:t>
            </w:r>
          </w:p>
        </w:tc>
        <w:tc>
          <w:tcPr>
            <w:tcW w:w="5103" w:type="dxa"/>
            <w:gridSpan w:val="2"/>
            <w:vAlign w:val="center"/>
          </w:tcPr>
          <w:p w14:paraId="3AE2521C">
            <w:pPr>
              <w:pStyle w:val="10"/>
            </w:pPr>
            <w:r>
              <w:t>3月底</w:t>
            </w:r>
          </w:p>
        </w:tc>
        <w:tc>
          <w:tcPr>
            <w:tcW w:w="2835" w:type="dxa"/>
            <w:vAlign w:val="center"/>
          </w:tcPr>
          <w:p w14:paraId="174481B1">
            <w:pPr>
              <w:pStyle w:val="10"/>
            </w:pPr>
            <w:r>
              <w:t>6月底</w:t>
            </w:r>
          </w:p>
        </w:tc>
        <w:tc>
          <w:tcPr>
            <w:tcW w:w="2551" w:type="dxa"/>
            <w:vAlign w:val="center"/>
          </w:tcPr>
          <w:p w14:paraId="434AC3E0">
            <w:pPr>
              <w:pStyle w:val="10"/>
            </w:pPr>
            <w:r>
              <w:t>10月底</w:t>
            </w:r>
          </w:p>
        </w:tc>
        <w:tc>
          <w:tcPr>
            <w:tcW w:w="3544" w:type="dxa"/>
            <w:gridSpan w:val="2"/>
            <w:vAlign w:val="center"/>
          </w:tcPr>
          <w:p w14:paraId="0C5CC3A8">
            <w:pPr>
              <w:pStyle w:val="10"/>
            </w:pPr>
            <w:r>
              <w:t>12月底</w:t>
            </w:r>
          </w:p>
        </w:tc>
      </w:tr>
      <w:tr w14:paraId="2BDC2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323CD"/>
        </w:tc>
        <w:tc>
          <w:tcPr>
            <w:tcW w:w="5103" w:type="dxa"/>
            <w:gridSpan w:val="2"/>
            <w:vAlign w:val="center"/>
          </w:tcPr>
          <w:p w14:paraId="0DEC6EFD">
            <w:pPr>
              <w:pStyle w:val="13"/>
            </w:pPr>
            <w:r>
              <w:t>25%</w:t>
            </w:r>
          </w:p>
        </w:tc>
        <w:tc>
          <w:tcPr>
            <w:tcW w:w="2835" w:type="dxa"/>
            <w:vAlign w:val="center"/>
          </w:tcPr>
          <w:p w14:paraId="0BE4CAE8">
            <w:pPr>
              <w:pStyle w:val="13"/>
            </w:pPr>
            <w:r>
              <w:t>50%</w:t>
            </w:r>
          </w:p>
        </w:tc>
        <w:tc>
          <w:tcPr>
            <w:tcW w:w="2551" w:type="dxa"/>
            <w:vAlign w:val="center"/>
          </w:tcPr>
          <w:p w14:paraId="2A4004E5">
            <w:pPr>
              <w:pStyle w:val="13"/>
            </w:pPr>
            <w:r>
              <w:t>75%</w:t>
            </w:r>
          </w:p>
        </w:tc>
        <w:tc>
          <w:tcPr>
            <w:tcW w:w="3544" w:type="dxa"/>
            <w:gridSpan w:val="2"/>
            <w:vAlign w:val="center"/>
          </w:tcPr>
          <w:p w14:paraId="5919CC12">
            <w:pPr>
              <w:pStyle w:val="13"/>
            </w:pPr>
            <w:r>
              <w:t>100%</w:t>
            </w:r>
          </w:p>
        </w:tc>
      </w:tr>
      <w:tr w14:paraId="1EA3C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1E571">
            <w:pPr>
              <w:pStyle w:val="10"/>
            </w:pPr>
            <w:r>
              <w:t>绩效目标</w:t>
            </w:r>
          </w:p>
        </w:tc>
        <w:tc>
          <w:tcPr>
            <w:tcW w:w="14033" w:type="dxa"/>
            <w:gridSpan w:val="6"/>
            <w:vAlign w:val="center"/>
          </w:tcPr>
          <w:p w14:paraId="5FCCE28E">
            <w:pPr>
              <w:pStyle w:val="12"/>
            </w:pPr>
            <w:r>
              <w:t>1.为保证幼儿园正常运转和改善办学条件。</w:t>
            </w:r>
          </w:p>
          <w:p w14:paraId="609B36D3">
            <w:pPr>
              <w:pStyle w:val="12"/>
            </w:pPr>
            <w:r>
              <w:t>2.按拨款序时进度完成经费拨付和支出。</w:t>
            </w:r>
          </w:p>
        </w:tc>
      </w:tr>
    </w:tbl>
    <w:p w14:paraId="6D376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3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62013">
            <w:pPr>
              <w:pStyle w:val="10"/>
            </w:pPr>
            <w:r>
              <w:t>一级指标</w:t>
            </w:r>
          </w:p>
        </w:tc>
        <w:tc>
          <w:tcPr>
            <w:tcW w:w="2268" w:type="dxa"/>
            <w:vAlign w:val="center"/>
          </w:tcPr>
          <w:p w14:paraId="01532C7E">
            <w:pPr>
              <w:pStyle w:val="10"/>
            </w:pPr>
            <w:r>
              <w:t>二级指标</w:t>
            </w:r>
          </w:p>
        </w:tc>
        <w:tc>
          <w:tcPr>
            <w:tcW w:w="2835" w:type="dxa"/>
            <w:vAlign w:val="center"/>
          </w:tcPr>
          <w:p w14:paraId="2A6540C0">
            <w:pPr>
              <w:pStyle w:val="10"/>
            </w:pPr>
            <w:r>
              <w:t>三级指标</w:t>
            </w:r>
          </w:p>
        </w:tc>
        <w:tc>
          <w:tcPr>
            <w:tcW w:w="5386" w:type="dxa"/>
            <w:vAlign w:val="center"/>
          </w:tcPr>
          <w:p w14:paraId="406A2672">
            <w:pPr>
              <w:pStyle w:val="10"/>
            </w:pPr>
            <w:r>
              <w:t>绩效指标描述</w:t>
            </w:r>
          </w:p>
        </w:tc>
        <w:tc>
          <w:tcPr>
            <w:tcW w:w="2268" w:type="dxa"/>
            <w:vAlign w:val="center"/>
          </w:tcPr>
          <w:p w14:paraId="63BA812A">
            <w:pPr>
              <w:pStyle w:val="10"/>
            </w:pPr>
            <w:r>
              <w:t>指标值</w:t>
            </w:r>
          </w:p>
        </w:tc>
        <w:tc>
          <w:tcPr>
            <w:tcW w:w="1276" w:type="dxa"/>
            <w:vAlign w:val="center"/>
          </w:tcPr>
          <w:p w14:paraId="5CA59CD8">
            <w:pPr>
              <w:pStyle w:val="10"/>
            </w:pPr>
            <w:r>
              <w:t>指标值确定依据</w:t>
            </w:r>
          </w:p>
        </w:tc>
      </w:tr>
      <w:tr w14:paraId="4862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29802">
            <w:pPr>
              <w:pStyle w:val="13"/>
            </w:pPr>
            <w:r>
              <w:t>产出指标</w:t>
            </w:r>
          </w:p>
        </w:tc>
        <w:tc>
          <w:tcPr>
            <w:tcW w:w="2268" w:type="dxa"/>
            <w:vAlign w:val="center"/>
          </w:tcPr>
          <w:p w14:paraId="170E3E56">
            <w:pPr>
              <w:pStyle w:val="12"/>
            </w:pPr>
            <w:r>
              <w:t>数量指标</w:t>
            </w:r>
          </w:p>
        </w:tc>
        <w:tc>
          <w:tcPr>
            <w:tcW w:w="2835" w:type="dxa"/>
            <w:vAlign w:val="center"/>
          </w:tcPr>
          <w:p w14:paraId="0147B878">
            <w:pPr>
              <w:pStyle w:val="12"/>
            </w:pPr>
            <w:r>
              <w:t>适龄在园生</w:t>
            </w:r>
          </w:p>
        </w:tc>
        <w:tc>
          <w:tcPr>
            <w:tcW w:w="5386" w:type="dxa"/>
            <w:vAlign w:val="center"/>
          </w:tcPr>
          <w:p w14:paraId="6C2C8680">
            <w:pPr>
              <w:pStyle w:val="12"/>
            </w:pPr>
            <w:r>
              <w:t>适龄在园学生人数</w:t>
            </w:r>
          </w:p>
        </w:tc>
        <w:tc>
          <w:tcPr>
            <w:tcW w:w="2268" w:type="dxa"/>
            <w:vAlign w:val="center"/>
          </w:tcPr>
          <w:p w14:paraId="101F0089">
            <w:pPr>
              <w:pStyle w:val="12"/>
            </w:pPr>
            <w:r>
              <w:t>436人</w:t>
            </w:r>
          </w:p>
        </w:tc>
        <w:tc>
          <w:tcPr>
            <w:tcW w:w="1276" w:type="dxa"/>
            <w:vAlign w:val="center"/>
          </w:tcPr>
          <w:p w14:paraId="6AFDD812">
            <w:pPr>
              <w:pStyle w:val="12"/>
            </w:pPr>
            <w:r>
              <w:t>支持学前教育发展县级资金管理办法</w:t>
            </w:r>
          </w:p>
        </w:tc>
      </w:tr>
      <w:tr w14:paraId="597B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E10BD"/>
        </w:tc>
        <w:tc>
          <w:tcPr>
            <w:tcW w:w="2268" w:type="dxa"/>
            <w:vAlign w:val="center"/>
          </w:tcPr>
          <w:p w14:paraId="42786E7D">
            <w:pPr>
              <w:pStyle w:val="12"/>
            </w:pPr>
            <w:r>
              <w:t>质量指标</w:t>
            </w:r>
          </w:p>
        </w:tc>
        <w:tc>
          <w:tcPr>
            <w:tcW w:w="2835" w:type="dxa"/>
            <w:vAlign w:val="center"/>
          </w:tcPr>
          <w:p w14:paraId="0B53CA87">
            <w:pPr>
              <w:pStyle w:val="12"/>
            </w:pPr>
            <w:r>
              <w:t>公用经费控制率</w:t>
            </w:r>
          </w:p>
        </w:tc>
        <w:tc>
          <w:tcPr>
            <w:tcW w:w="5386" w:type="dxa"/>
            <w:vAlign w:val="center"/>
          </w:tcPr>
          <w:p w14:paraId="49991D15">
            <w:pPr>
              <w:pStyle w:val="12"/>
            </w:pPr>
            <w:r>
              <w:t>幼儿园公用经费拨付执行率</w:t>
            </w:r>
          </w:p>
        </w:tc>
        <w:tc>
          <w:tcPr>
            <w:tcW w:w="2268" w:type="dxa"/>
            <w:vAlign w:val="center"/>
          </w:tcPr>
          <w:p w14:paraId="2D23CF9E">
            <w:pPr>
              <w:pStyle w:val="12"/>
            </w:pPr>
            <w:r>
              <w:t>≥98%</w:t>
            </w:r>
          </w:p>
        </w:tc>
        <w:tc>
          <w:tcPr>
            <w:tcW w:w="1276" w:type="dxa"/>
            <w:vAlign w:val="center"/>
          </w:tcPr>
          <w:p w14:paraId="25CC9D37">
            <w:pPr>
              <w:pStyle w:val="12"/>
            </w:pPr>
            <w:r>
              <w:t>支持学前教育发展县级资金管理办法</w:t>
            </w:r>
          </w:p>
        </w:tc>
      </w:tr>
      <w:tr w14:paraId="0ED4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298C4"/>
        </w:tc>
        <w:tc>
          <w:tcPr>
            <w:tcW w:w="2268" w:type="dxa"/>
            <w:vAlign w:val="center"/>
          </w:tcPr>
          <w:p w14:paraId="65716C44">
            <w:pPr>
              <w:pStyle w:val="12"/>
            </w:pPr>
            <w:r>
              <w:t>时效指标</w:t>
            </w:r>
          </w:p>
        </w:tc>
        <w:tc>
          <w:tcPr>
            <w:tcW w:w="2835" w:type="dxa"/>
            <w:vAlign w:val="center"/>
          </w:tcPr>
          <w:p w14:paraId="323054D8">
            <w:pPr>
              <w:pStyle w:val="12"/>
            </w:pPr>
            <w:r>
              <w:t>资金支付率</w:t>
            </w:r>
          </w:p>
        </w:tc>
        <w:tc>
          <w:tcPr>
            <w:tcW w:w="5386" w:type="dxa"/>
            <w:vAlign w:val="center"/>
          </w:tcPr>
          <w:p w14:paraId="66FD5A61">
            <w:pPr>
              <w:pStyle w:val="12"/>
            </w:pPr>
            <w:r>
              <w:t>按照序时进度完成资金支付</w:t>
            </w:r>
          </w:p>
        </w:tc>
        <w:tc>
          <w:tcPr>
            <w:tcW w:w="2268" w:type="dxa"/>
            <w:vAlign w:val="center"/>
          </w:tcPr>
          <w:p w14:paraId="4612D892">
            <w:pPr>
              <w:pStyle w:val="12"/>
            </w:pPr>
            <w:r>
              <w:t>≥98%</w:t>
            </w:r>
          </w:p>
        </w:tc>
        <w:tc>
          <w:tcPr>
            <w:tcW w:w="1276" w:type="dxa"/>
            <w:vAlign w:val="center"/>
          </w:tcPr>
          <w:p w14:paraId="67E54F78">
            <w:pPr>
              <w:pStyle w:val="12"/>
            </w:pPr>
            <w:r>
              <w:t>支持学前教育发展县级资金管理办法</w:t>
            </w:r>
          </w:p>
        </w:tc>
      </w:tr>
      <w:tr w14:paraId="085F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C359A"/>
        </w:tc>
        <w:tc>
          <w:tcPr>
            <w:tcW w:w="2268" w:type="dxa"/>
            <w:vAlign w:val="center"/>
          </w:tcPr>
          <w:p w14:paraId="70DF22CA">
            <w:pPr>
              <w:pStyle w:val="12"/>
            </w:pPr>
            <w:r>
              <w:t>成本指标</w:t>
            </w:r>
          </w:p>
        </w:tc>
        <w:tc>
          <w:tcPr>
            <w:tcW w:w="2835" w:type="dxa"/>
            <w:vAlign w:val="center"/>
          </w:tcPr>
          <w:p w14:paraId="4BDDB0E8">
            <w:pPr>
              <w:pStyle w:val="12"/>
            </w:pPr>
            <w:r>
              <w:t>生均拨款标准</w:t>
            </w:r>
          </w:p>
        </w:tc>
        <w:tc>
          <w:tcPr>
            <w:tcW w:w="5386" w:type="dxa"/>
            <w:vAlign w:val="center"/>
          </w:tcPr>
          <w:p w14:paraId="221B1718">
            <w:pPr>
              <w:pStyle w:val="12"/>
            </w:pPr>
            <w:r>
              <w:t>学前：（基本标准600元/生/学年）</w:t>
            </w:r>
          </w:p>
        </w:tc>
        <w:tc>
          <w:tcPr>
            <w:tcW w:w="2268" w:type="dxa"/>
            <w:vAlign w:val="center"/>
          </w:tcPr>
          <w:p w14:paraId="3C3C9369">
            <w:pPr>
              <w:pStyle w:val="12"/>
            </w:pPr>
            <w:r>
              <w:t>600元</w:t>
            </w:r>
          </w:p>
        </w:tc>
        <w:tc>
          <w:tcPr>
            <w:tcW w:w="1276" w:type="dxa"/>
            <w:vAlign w:val="center"/>
          </w:tcPr>
          <w:p w14:paraId="58442781">
            <w:pPr>
              <w:pStyle w:val="12"/>
            </w:pPr>
            <w:r>
              <w:t>支持学前教育发展县级资金管理办法</w:t>
            </w:r>
          </w:p>
        </w:tc>
      </w:tr>
      <w:tr w14:paraId="3E2A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E5567">
            <w:pPr>
              <w:pStyle w:val="13"/>
            </w:pPr>
            <w:r>
              <w:t>效益指标</w:t>
            </w:r>
          </w:p>
        </w:tc>
        <w:tc>
          <w:tcPr>
            <w:tcW w:w="2268" w:type="dxa"/>
            <w:vAlign w:val="center"/>
          </w:tcPr>
          <w:p w14:paraId="36B6F3E2">
            <w:pPr>
              <w:pStyle w:val="12"/>
            </w:pPr>
            <w:r>
              <w:t>可持续影响指标</w:t>
            </w:r>
          </w:p>
        </w:tc>
        <w:tc>
          <w:tcPr>
            <w:tcW w:w="2835" w:type="dxa"/>
            <w:vAlign w:val="center"/>
          </w:tcPr>
          <w:p w14:paraId="27D69C76">
            <w:pPr>
              <w:pStyle w:val="12"/>
            </w:pPr>
            <w:r>
              <w:t>教育发展水平明显好转</w:t>
            </w:r>
          </w:p>
        </w:tc>
        <w:tc>
          <w:tcPr>
            <w:tcW w:w="5386" w:type="dxa"/>
            <w:vAlign w:val="center"/>
          </w:tcPr>
          <w:p w14:paraId="67E5D84C">
            <w:pPr>
              <w:pStyle w:val="12"/>
            </w:pPr>
            <w:r>
              <w:t>学生受教育年限</w:t>
            </w:r>
          </w:p>
        </w:tc>
        <w:tc>
          <w:tcPr>
            <w:tcW w:w="2268" w:type="dxa"/>
            <w:vAlign w:val="center"/>
          </w:tcPr>
          <w:p w14:paraId="66370187">
            <w:pPr>
              <w:pStyle w:val="12"/>
            </w:pPr>
            <w:r>
              <w:t>3年</w:t>
            </w:r>
          </w:p>
        </w:tc>
        <w:tc>
          <w:tcPr>
            <w:tcW w:w="1276" w:type="dxa"/>
            <w:vAlign w:val="center"/>
          </w:tcPr>
          <w:p w14:paraId="671DC358">
            <w:pPr>
              <w:pStyle w:val="12"/>
            </w:pPr>
            <w:r>
              <w:t>支持学前教育发展县级资金管理办法</w:t>
            </w:r>
          </w:p>
        </w:tc>
      </w:tr>
      <w:tr w14:paraId="2DB1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F951C">
            <w:pPr>
              <w:pStyle w:val="13"/>
            </w:pPr>
            <w:r>
              <w:t>满意度指标</w:t>
            </w:r>
          </w:p>
        </w:tc>
        <w:tc>
          <w:tcPr>
            <w:tcW w:w="2268" w:type="dxa"/>
            <w:vAlign w:val="center"/>
          </w:tcPr>
          <w:p w14:paraId="5BA20973">
            <w:pPr>
              <w:pStyle w:val="12"/>
            </w:pPr>
            <w:r>
              <w:t>服务对象满意度指标</w:t>
            </w:r>
          </w:p>
        </w:tc>
        <w:tc>
          <w:tcPr>
            <w:tcW w:w="2835" w:type="dxa"/>
            <w:vAlign w:val="center"/>
          </w:tcPr>
          <w:p w14:paraId="23A6D680">
            <w:pPr>
              <w:pStyle w:val="12"/>
            </w:pPr>
            <w:r>
              <w:t>受益学生家长及调查满意度</w:t>
            </w:r>
          </w:p>
        </w:tc>
        <w:tc>
          <w:tcPr>
            <w:tcW w:w="5386" w:type="dxa"/>
            <w:vAlign w:val="center"/>
          </w:tcPr>
          <w:p w14:paraId="72DE4E71">
            <w:pPr>
              <w:pStyle w:val="12"/>
            </w:pPr>
            <w:r>
              <w:t>幼儿、教师及家长对学校保教保育工作满意度情况</w:t>
            </w:r>
          </w:p>
        </w:tc>
        <w:tc>
          <w:tcPr>
            <w:tcW w:w="2268" w:type="dxa"/>
            <w:vAlign w:val="center"/>
          </w:tcPr>
          <w:p w14:paraId="17733201">
            <w:pPr>
              <w:pStyle w:val="12"/>
            </w:pPr>
            <w:r>
              <w:t>≥95%</w:t>
            </w:r>
          </w:p>
        </w:tc>
        <w:tc>
          <w:tcPr>
            <w:tcW w:w="1276" w:type="dxa"/>
            <w:vAlign w:val="center"/>
          </w:tcPr>
          <w:p w14:paraId="482C55CC">
            <w:pPr>
              <w:pStyle w:val="12"/>
            </w:pPr>
            <w:r>
              <w:t>调查问卷</w:t>
            </w:r>
          </w:p>
        </w:tc>
      </w:tr>
    </w:tbl>
    <w:p w14:paraId="39DB8B16">
      <w:pPr>
        <w:sectPr>
          <w:pgSz w:w="16840" w:h="11900" w:orient="landscape"/>
          <w:pgMar w:top="1361" w:right="1020" w:bottom="1134" w:left="1020" w:header="720" w:footer="720" w:gutter="0"/>
          <w:cols w:space="720" w:num="1"/>
        </w:sectPr>
      </w:pPr>
    </w:p>
    <w:p w14:paraId="42AB7208">
      <w:pPr>
        <w:spacing w:before="0" w:after="0"/>
        <w:ind w:firstLine="560"/>
        <w:jc w:val="left"/>
        <w:outlineLvl w:val="9"/>
      </w:pPr>
      <w:r>
        <w:rPr>
          <w:rFonts w:ascii="方正仿宋_GBK" w:hAnsi="方正仿宋_GBK" w:eastAsia="方正仿宋_GBK" w:cs="方正仿宋_GBK"/>
          <w:b/>
          <w:color w:val="000000"/>
          <w:sz w:val="28"/>
        </w:rPr>
        <w:t>27、学前专项经费/千户营校区绩效目标表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68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096C3">
            <w:pPr>
              <w:pStyle w:val="11"/>
            </w:pPr>
            <w:r>
              <w:t>单位：万元</w:t>
            </w:r>
          </w:p>
        </w:tc>
      </w:tr>
      <w:tr w14:paraId="48CF5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5DC54">
            <w:pPr>
              <w:pStyle w:val="10"/>
            </w:pPr>
            <w:r>
              <w:t>项目编码</w:t>
            </w:r>
          </w:p>
        </w:tc>
        <w:tc>
          <w:tcPr>
            <w:tcW w:w="5103" w:type="dxa"/>
            <w:gridSpan w:val="2"/>
            <w:vAlign w:val="center"/>
          </w:tcPr>
          <w:p w14:paraId="4D2C9E63">
            <w:pPr>
              <w:pStyle w:val="12"/>
            </w:pPr>
            <w:r>
              <w:t>13052526P000002101010</w:t>
            </w:r>
          </w:p>
        </w:tc>
        <w:tc>
          <w:tcPr>
            <w:tcW w:w="2835" w:type="dxa"/>
            <w:vAlign w:val="center"/>
          </w:tcPr>
          <w:p w14:paraId="502F49BA">
            <w:pPr>
              <w:pStyle w:val="10"/>
            </w:pPr>
            <w:r>
              <w:t>项目名称</w:t>
            </w:r>
          </w:p>
        </w:tc>
        <w:tc>
          <w:tcPr>
            <w:tcW w:w="6095" w:type="dxa"/>
            <w:gridSpan w:val="3"/>
            <w:vAlign w:val="center"/>
          </w:tcPr>
          <w:p w14:paraId="4528218B">
            <w:pPr>
              <w:pStyle w:val="12"/>
            </w:pPr>
            <w:r>
              <w:t>学前专项经费/千户营校区</w:t>
            </w:r>
          </w:p>
        </w:tc>
      </w:tr>
      <w:tr w14:paraId="10573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07927">
            <w:pPr>
              <w:pStyle w:val="10"/>
            </w:pPr>
            <w:r>
              <w:t>预算规模及资金用途</w:t>
            </w:r>
          </w:p>
        </w:tc>
        <w:tc>
          <w:tcPr>
            <w:tcW w:w="2268" w:type="dxa"/>
            <w:vAlign w:val="center"/>
          </w:tcPr>
          <w:p w14:paraId="11F2DA51">
            <w:pPr>
              <w:pStyle w:val="10"/>
            </w:pPr>
            <w:r>
              <w:t>预算数</w:t>
            </w:r>
          </w:p>
        </w:tc>
        <w:tc>
          <w:tcPr>
            <w:tcW w:w="2835" w:type="dxa"/>
            <w:vAlign w:val="center"/>
          </w:tcPr>
          <w:p w14:paraId="1DCFAB89">
            <w:pPr>
              <w:pStyle w:val="12"/>
            </w:pPr>
            <w:r>
              <w:t>16.43</w:t>
            </w:r>
          </w:p>
        </w:tc>
        <w:tc>
          <w:tcPr>
            <w:tcW w:w="2835" w:type="dxa"/>
            <w:vAlign w:val="center"/>
          </w:tcPr>
          <w:p w14:paraId="242F5960">
            <w:pPr>
              <w:pStyle w:val="10"/>
            </w:pPr>
            <w:r>
              <w:t>其中：财政    资金</w:t>
            </w:r>
          </w:p>
        </w:tc>
        <w:tc>
          <w:tcPr>
            <w:tcW w:w="2551" w:type="dxa"/>
            <w:vAlign w:val="center"/>
          </w:tcPr>
          <w:p w14:paraId="250EA658">
            <w:pPr>
              <w:pStyle w:val="12"/>
            </w:pPr>
            <w:r>
              <w:t>16.43</w:t>
            </w:r>
          </w:p>
        </w:tc>
        <w:tc>
          <w:tcPr>
            <w:tcW w:w="2268" w:type="dxa"/>
            <w:vAlign w:val="center"/>
          </w:tcPr>
          <w:p w14:paraId="6B988589">
            <w:pPr>
              <w:pStyle w:val="10"/>
            </w:pPr>
            <w:r>
              <w:t>其他资金</w:t>
            </w:r>
          </w:p>
        </w:tc>
        <w:tc>
          <w:tcPr>
            <w:tcW w:w="1276" w:type="dxa"/>
            <w:vAlign w:val="center"/>
          </w:tcPr>
          <w:p w14:paraId="0AF53073">
            <w:pPr>
              <w:pStyle w:val="12"/>
            </w:pPr>
            <w:r>
              <w:t xml:space="preserve"> </w:t>
            </w:r>
          </w:p>
        </w:tc>
      </w:tr>
      <w:tr w14:paraId="43DD5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0DDCD"/>
        </w:tc>
        <w:tc>
          <w:tcPr>
            <w:tcW w:w="14033" w:type="dxa"/>
            <w:gridSpan w:val="6"/>
            <w:vAlign w:val="center"/>
          </w:tcPr>
          <w:p w14:paraId="32E4A0E9">
            <w:pPr>
              <w:pStyle w:val="12"/>
            </w:pPr>
            <w:r>
              <w:t>用于保障幼儿园正常运转</w:t>
            </w:r>
          </w:p>
        </w:tc>
      </w:tr>
      <w:tr w14:paraId="7625B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9AC63">
            <w:pPr>
              <w:pStyle w:val="10"/>
            </w:pPr>
            <w:r>
              <w:t>资金支出计划（%）</w:t>
            </w:r>
          </w:p>
        </w:tc>
        <w:tc>
          <w:tcPr>
            <w:tcW w:w="5103" w:type="dxa"/>
            <w:gridSpan w:val="2"/>
            <w:vAlign w:val="center"/>
          </w:tcPr>
          <w:p w14:paraId="6E214C60">
            <w:pPr>
              <w:pStyle w:val="10"/>
            </w:pPr>
            <w:r>
              <w:t>3月底</w:t>
            </w:r>
          </w:p>
        </w:tc>
        <w:tc>
          <w:tcPr>
            <w:tcW w:w="2835" w:type="dxa"/>
            <w:vAlign w:val="center"/>
          </w:tcPr>
          <w:p w14:paraId="526DA719">
            <w:pPr>
              <w:pStyle w:val="10"/>
            </w:pPr>
            <w:r>
              <w:t>6月底</w:t>
            </w:r>
          </w:p>
        </w:tc>
        <w:tc>
          <w:tcPr>
            <w:tcW w:w="2551" w:type="dxa"/>
            <w:vAlign w:val="center"/>
          </w:tcPr>
          <w:p w14:paraId="41033CD8">
            <w:pPr>
              <w:pStyle w:val="10"/>
            </w:pPr>
            <w:r>
              <w:t>10月底</w:t>
            </w:r>
          </w:p>
        </w:tc>
        <w:tc>
          <w:tcPr>
            <w:tcW w:w="3544" w:type="dxa"/>
            <w:gridSpan w:val="2"/>
            <w:vAlign w:val="center"/>
          </w:tcPr>
          <w:p w14:paraId="67F7E483">
            <w:pPr>
              <w:pStyle w:val="10"/>
            </w:pPr>
            <w:r>
              <w:t>12月底</w:t>
            </w:r>
          </w:p>
        </w:tc>
      </w:tr>
      <w:tr w14:paraId="7A27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7530D"/>
        </w:tc>
        <w:tc>
          <w:tcPr>
            <w:tcW w:w="5103" w:type="dxa"/>
            <w:gridSpan w:val="2"/>
            <w:vAlign w:val="center"/>
          </w:tcPr>
          <w:p w14:paraId="013E505C">
            <w:pPr>
              <w:pStyle w:val="13"/>
            </w:pPr>
            <w:r>
              <w:t xml:space="preserve"> </w:t>
            </w:r>
          </w:p>
        </w:tc>
        <w:tc>
          <w:tcPr>
            <w:tcW w:w="2835" w:type="dxa"/>
            <w:vAlign w:val="center"/>
          </w:tcPr>
          <w:p w14:paraId="306536C1">
            <w:pPr>
              <w:pStyle w:val="13"/>
            </w:pPr>
            <w:r>
              <w:t>50%</w:t>
            </w:r>
          </w:p>
        </w:tc>
        <w:tc>
          <w:tcPr>
            <w:tcW w:w="2551" w:type="dxa"/>
            <w:vAlign w:val="center"/>
          </w:tcPr>
          <w:p w14:paraId="7E39F807">
            <w:pPr>
              <w:pStyle w:val="13"/>
            </w:pPr>
            <w:r>
              <w:t>50%</w:t>
            </w:r>
          </w:p>
        </w:tc>
        <w:tc>
          <w:tcPr>
            <w:tcW w:w="3544" w:type="dxa"/>
            <w:gridSpan w:val="2"/>
            <w:vAlign w:val="center"/>
          </w:tcPr>
          <w:p w14:paraId="33A8F082">
            <w:pPr>
              <w:pStyle w:val="13"/>
            </w:pPr>
            <w:r>
              <w:t>100%</w:t>
            </w:r>
          </w:p>
        </w:tc>
      </w:tr>
      <w:tr w14:paraId="79F1C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FC79E">
            <w:pPr>
              <w:pStyle w:val="10"/>
            </w:pPr>
            <w:r>
              <w:t>绩效目标</w:t>
            </w:r>
          </w:p>
        </w:tc>
        <w:tc>
          <w:tcPr>
            <w:tcW w:w="14033" w:type="dxa"/>
            <w:gridSpan w:val="6"/>
            <w:vAlign w:val="center"/>
          </w:tcPr>
          <w:p w14:paraId="6C7740CB">
            <w:pPr>
              <w:pStyle w:val="12"/>
            </w:pPr>
            <w:r>
              <w:t>1.按上缴财政序时进度完成公立幼儿园保育费支出。</w:t>
            </w:r>
          </w:p>
          <w:p w14:paraId="0A3A2416">
            <w:pPr>
              <w:pStyle w:val="12"/>
            </w:pPr>
            <w:r>
              <w:t>2.按要求完成公立幼儿园保育费按月/季度上缴财政。</w:t>
            </w:r>
          </w:p>
        </w:tc>
      </w:tr>
    </w:tbl>
    <w:p w14:paraId="54197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4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1657F">
            <w:pPr>
              <w:pStyle w:val="10"/>
            </w:pPr>
            <w:r>
              <w:t>一级指标</w:t>
            </w:r>
          </w:p>
        </w:tc>
        <w:tc>
          <w:tcPr>
            <w:tcW w:w="2268" w:type="dxa"/>
            <w:vAlign w:val="center"/>
          </w:tcPr>
          <w:p w14:paraId="6A2E9C05">
            <w:pPr>
              <w:pStyle w:val="10"/>
            </w:pPr>
            <w:r>
              <w:t>二级指标</w:t>
            </w:r>
          </w:p>
        </w:tc>
        <w:tc>
          <w:tcPr>
            <w:tcW w:w="2835" w:type="dxa"/>
            <w:vAlign w:val="center"/>
          </w:tcPr>
          <w:p w14:paraId="1505ED4C">
            <w:pPr>
              <w:pStyle w:val="10"/>
            </w:pPr>
            <w:r>
              <w:t>三级指标</w:t>
            </w:r>
          </w:p>
        </w:tc>
        <w:tc>
          <w:tcPr>
            <w:tcW w:w="5386" w:type="dxa"/>
            <w:vAlign w:val="center"/>
          </w:tcPr>
          <w:p w14:paraId="3394DCFC">
            <w:pPr>
              <w:pStyle w:val="10"/>
            </w:pPr>
            <w:r>
              <w:t>绩效指标描述</w:t>
            </w:r>
          </w:p>
        </w:tc>
        <w:tc>
          <w:tcPr>
            <w:tcW w:w="2268" w:type="dxa"/>
            <w:vAlign w:val="center"/>
          </w:tcPr>
          <w:p w14:paraId="7891E23B">
            <w:pPr>
              <w:pStyle w:val="10"/>
            </w:pPr>
            <w:r>
              <w:t>指标值</w:t>
            </w:r>
          </w:p>
        </w:tc>
        <w:tc>
          <w:tcPr>
            <w:tcW w:w="1276" w:type="dxa"/>
            <w:vAlign w:val="center"/>
          </w:tcPr>
          <w:p w14:paraId="4307F3F5">
            <w:pPr>
              <w:pStyle w:val="10"/>
            </w:pPr>
            <w:r>
              <w:t>指标值确定依据</w:t>
            </w:r>
          </w:p>
        </w:tc>
      </w:tr>
      <w:tr w14:paraId="3C79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F58DF">
            <w:pPr>
              <w:pStyle w:val="13"/>
            </w:pPr>
            <w:r>
              <w:t>产出指标</w:t>
            </w:r>
          </w:p>
        </w:tc>
        <w:tc>
          <w:tcPr>
            <w:tcW w:w="2268" w:type="dxa"/>
            <w:vAlign w:val="center"/>
          </w:tcPr>
          <w:p w14:paraId="49F3D41A">
            <w:pPr>
              <w:pStyle w:val="12"/>
            </w:pPr>
            <w:r>
              <w:t>数量指标</w:t>
            </w:r>
          </w:p>
        </w:tc>
        <w:tc>
          <w:tcPr>
            <w:tcW w:w="2835" w:type="dxa"/>
            <w:vAlign w:val="center"/>
          </w:tcPr>
          <w:p w14:paraId="5601F88F">
            <w:pPr>
              <w:pStyle w:val="12"/>
            </w:pPr>
            <w:r>
              <w:t>适龄在园生</w:t>
            </w:r>
          </w:p>
        </w:tc>
        <w:tc>
          <w:tcPr>
            <w:tcW w:w="5386" w:type="dxa"/>
            <w:vAlign w:val="center"/>
          </w:tcPr>
          <w:p w14:paraId="321AECB3">
            <w:pPr>
              <w:pStyle w:val="12"/>
            </w:pPr>
            <w:r>
              <w:t>适龄在园学生人数</w:t>
            </w:r>
          </w:p>
        </w:tc>
        <w:tc>
          <w:tcPr>
            <w:tcW w:w="2268" w:type="dxa"/>
            <w:vAlign w:val="center"/>
          </w:tcPr>
          <w:p w14:paraId="6D42CB68">
            <w:pPr>
              <w:pStyle w:val="12"/>
            </w:pPr>
            <w:r>
              <w:t>223 人</w:t>
            </w:r>
          </w:p>
        </w:tc>
        <w:tc>
          <w:tcPr>
            <w:tcW w:w="1276" w:type="dxa"/>
            <w:vAlign w:val="center"/>
          </w:tcPr>
          <w:p w14:paraId="06E3EB04">
            <w:pPr>
              <w:pStyle w:val="12"/>
            </w:pPr>
            <w:r>
              <w:t>年度工作计划</w:t>
            </w:r>
          </w:p>
        </w:tc>
      </w:tr>
      <w:tr w14:paraId="2CF1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0379C"/>
        </w:tc>
        <w:tc>
          <w:tcPr>
            <w:tcW w:w="2268" w:type="dxa"/>
            <w:vAlign w:val="center"/>
          </w:tcPr>
          <w:p w14:paraId="02C5B517">
            <w:pPr>
              <w:pStyle w:val="12"/>
            </w:pPr>
            <w:r>
              <w:t>质量指标</w:t>
            </w:r>
          </w:p>
        </w:tc>
        <w:tc>
          <w:tcPr>
            <w:tcW w:w="2835" w:type="dxa"/>
            <w:vAlign w:val="center"/>
          </w:tcPr>
          <w:p w14:paraId="2D5A5EA6">
            <w:pPr>
              <w:pStyle w:val="12"/>
            </w:pPr>
            <w:r>
              <w:t>按月上缴财政完成率</w:t>
            </w:r>
          </w:p>
        </w:tc>
        <w:tc>
          <w:tcPr>
            <w:tcW w:w="5386" w:type="dxa"/>
            <w:vAlign w:val="center"/>
          </w:tcPr>
          <w:p w14:paraId="55798DFF">
            <w:pPr>
              <w:pStyle w:val="12"/>
            </w:pPr>
            <w:r>
              <w:t>按月完成公立幼儿园保育费上缴财政</w:t>
            </w:r>
          </w:p>
        </w:tc>
        <w:tc>
          <w:tcPr>
            <w:tcW w:w="2268" w:type="dxa"/>
            <w:vAlign w:val="center"/>
          </w:tcPr>
          <w:p w14:paraId="7D0A8FF6">
            <w:pPr>
              <w:pStyle w:val="12"/>
            </w:pPr>
            <w:r>
              <w:t>≥98%</w:t>
            </w:r>
          </w:p>
        </w:tc>
        <w:tc>
          <w:tcPr>
            <w:tcW w:w="1276" w:type="dxa"/>
            <w:vAlign w:val="center"/>
          </w:tcPr>
          <w:p w14:paraId="4F6C016F">
            <w:pPr>
              <w:pStyle w:val="12"/>
            </w:pPr>
            <w:r>
              <w:t>年度工作计划</w:t>
            </w:r>
          </w:p>
        </w:tc>
      </w:tr>
      <w:tr w14:paraId="21F6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8131E"/>
        </w:tc>
        <w:tc>
          <w:tcPr>
            <w:tcW w:w="2268" w:type="dxa"/>
            <w:vAlign w:val="center"/>
          </w:tcPr>
          <w:p w14:paraId="74EE61F5">
            <w:pPr>
              <w:pStyle w:val="12"/>
            </w:pPr>
            <w:r>
              <w:t>时效指标</w:t>
            </w:r>
          </w:p>
        </w:tc>
        <w:tc>
          <w:tcPr>
            <w:tcW w:w="2835" w:type="dxa"/>
            <w:vAlign w:val="center"/>
          </w:tcPr>
          <w:p w14:paraId="02232048">
            <w:pPr>
              <w:pStyle w:val="12"/>
            </w:pPr>
            <w:r>
              <w:t>资金支付率</w:t>
            </w:r>
          </w:p>
        </w:tc>
        <w:tc>
          <w:tcPr>
            <w:tcW w:w="5386" w:type="dxa"/>
            <w:vAlign w:val="center"/>
          </w:tcPr>
          <w:p w14:paraId="211B7BCA">
            <w:pPr>
              <w:pStyle w:val="12"/>
            </w:pPr>
            <w:r>
              <w:t>按照上缴财政进度完成公立幼儿园保育费支付</w:t>
            </w:r>
          </w:p>
        </w:tc>
        <w:tc>
          <w:tcPr>
            <w:tcW w:w="2268" w:type="dxa"/>
            <w:vAlign w:val="center"/>
          </w:tcPr>
          <w:p w14:paraId="276FADDE">
            <w:pPr>
              <w:pStyle w:val="12"/>
            </w:pPr>
            <w:r>
              <w:t>≥98%</w:t>
            </w:r>
          </w:p>
        </w:tc>
        <w:tc>
          <w:tcPr>
            <w:tcW w:w="1276" w:type="dxa"/>
            <w:vAlign w:val="center"/>
          </w:tcPr>
          <w:p w14:paraId="0E1E6E45">
            <w:pPr>
              <w:pStyle w:val="12"/>
            </w:pPr>
            <w:r>
              <w:t>年度工作计划</w:t>
            </w:r>
          </w:p>
        </w:tc>
      </w:tr>
      <w:tr w14:paraId="7F26E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77912"/>
        </w:tc>
        <w:tc>
          <w:tcPr>
            <w:tcW w:w="2268" w:type="dxa"/>
            <w:vAlign w:val="center"/>
          </w:tcPr>
          <w:p w14:paraId="6FAA5BA5">
            <w:pPr>
              <w:pStyle w:val="12"/>
            </w:pPr>
            <w:r>
              <w:t>成本指标</w:t>
            </w:r>
          </w:p>
        </w:tc>
        <w:tc>
          <w:tcPr>
            <w:tcW w:w="2835" w:type="dxa"/>
            <w:vAlign w:val="center"/>
          </w:tcPr>
          <w:p w14:paraId="05DB34E4">
            <w:pPr>
              <w:pStyle w:val="12"/>
            </w:pPr>
            <w:r>
              <w:t>公办幼儿园保育费收费标准</w:t>
            </w:r>
          </w:p>
        </w:tc>
        <w:tc>
          <w:tcPr>
            <w:tcW w:w="5386" w:type="dxa"/>
            <w:vAlign w:val="center"/>
          </w:tcPr>
          <w:p w14:paraId="1E9F363E">
            <w:pPr>
              <w:pStyle w:val="12"/>
            </w:pPr>
            <w:r>
              <w:t>农村二类园130元/月/生</w:t>
            </w:r>
          </w:p>
        </w:tc>
        <w:tc>
          <w:tcPr>
            <w:tcW w:w="2268" w:type="dxa"/>
            <w:vAlign w:val="center"/>
          </w:tcPr>
          <w:p w14:paraId="66A492D2">
            <w:pPr>
              <w:pStyle w:val="12"/>
            </w:pPr>
            <w:r>
              <w:t>130元</w:t>
            </w:r>
          </w:p>
        </w:tc>
        <w:tc>
          <w:tcPr>
            <w:tcW w:w="1276" w:type="dxa"/>
            <w:vAlign w:val="center"/>
          </w:tcPr>
          <w:p w14:paraId="44710A97">
            <w:pPr>
              <w:pStyle w:val="12"/>
            </w:pPr>
            <w:r>
              <w:t>年度工作计划</w:t>
            </w:r>
          </w:p>
        </w:tc>
      </w:tr>
      <w:tr w14:paraId="23E6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05506"/>
        </w:tc>
        <w:tc>
          <w:tcPr>
            <w:tcW w:w="2268" w:type="dxa"/>
            <w:vAlign w:val="center"/>
          </w:tcPr>
          <w:p w14:paraId="5DF41EC4">
            <w:pPr>
              <w:pStyle w:val="12"/>
            </w:pPr>
            <w:r>
              <w:t>成本指标</w:t>
            </w:r>
          </w:p>
        </w:tc>
        <w:tc>
          <w:tcPr>
            <w:tcW w:w="2835" w:type="dxa"/>
            <w:vAlign w:val="center"/>
          </w:tcPr>
          <w:p w14:paraId="2703B3B7">
            <w:pPr>
              <w:pStyle w:val="12"/>
            </w:pPr>
            <w:r>
              <w:t>公办幼儿园保育费收费标准</w:t>
            </w:r>
          </w:p>
        </w:tc>
        <w:tc>
          <w:tcPr>
            <w:tcW w:w="5386" w:type="dxa"/>
            <w:vAlign w:val="center"/>
          </w:tcPr>
          <w:p w14:paraId="0EDE5881">
            <w:pPr>
              <w:pStyle w:val="12"/>
            </w:pPr>
            <w:r>
              <w:t>农村一类园150元/月/生</w:t>
            </w:r>
          </w:p>
        </w:tc>
        <w:tc>
          <w:tcPr>
            <w:tcW w:w="2268" w:type="dxa"/>
            <w:vAlign w:val="center"/>
          </w:tcPr>
          <w:p w14:paraId="1DF1B041">
            <w:pPr>
              <w:pStyle w:val="12"/>
            </w:pPr>
            <w:r>
              <w:t>150元</w:t>
            </w:r>
          </w:p>
        </w:tc>
        <w:tc>
          <w:tcPr>
            <w:tcW w:w="1276" w:type="dxa"/>
            <w:vAlign w:val="center"/>
          </w:tcPr>
          <w:p w14:paraId="3559730A">
            <w:pPr>
              <w:pStyle w:val="12"/>
            </w:pPr>
            <w:r>
              <w:t>年度工作计划</w:t>
            </w:r>
          </w:p>
        </w:tc>
      </w:tr>
      <w:tr w14:paraId="1EA2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09D75"/>
        </w:tc>
        <w:tc>
          <w:tcPr>
            <w:tcW w:w="2268" w:type="dxa"/>
            <w:vAlign w:val="center"/>
          </w:tcPr>
          <w:p w14:paraId="4A0491D6">
            <w:pPr>
              <w:pStyle w:val="12"/>
            </w:pPr>
            <w:r>
              <w:t>成本指标</w:t>
            </w:r>
          </w:p>
        </w:tc>
        <w:tc>
          <w:tcPr>
            <w:tcW w:w="2835" w:type="dxa"/>
            <w:vAlign w:val="center"/>
          </w:tcPr>
          <w:p w14:paraId="662C51B4">
            <w:pPr>
              <w:pStyle w:val="12"/>
            </w:pPr>
            <w:r>
              <w:t>公办幼儿园保育费收费标准</w:t>
            </w:r>
          </w:p>
        </w:tc>
        <w:tc>
          <w:tcPr>
            <w:tcW w:w="5386" w:type="dxa"/>
            <w:vAlign w:val="center"/>
          </w:tcPr>
          <w:p w14:paraId="7D932408">
            <w:pPr>
              <w:pStyle w:val="12"/>
            </w:pPr>
            <w:r>
              <w:t>农村示范园170元/月/生</w:t>
            </w:r>
          </w:p>
        </w:tc>
        <w:tc>
          <w:tcPr>
            <w:tcW w:w="2268" w:type="dxa"/>
            <w:vAlign w:val="center"/>
          </w:tcPr>
          <w:p w14:paraId="5375036A">
            <w:pPr>
              <w:pStyle w:val="12"/>
            </w:pPr>
            <w:r>
              <w:t>170元</w:t>
            </w:r>
          </w:p>
        </w:tc>
        <w:tc>
          <w:tcPr>
            <w:tcW w:w="1276" w:type="dxa"/>
            <w:vAlign w:val="center"/>
          </w:tcPr>
          <w:p w14:paraId="3F6A3282">
            <w:pPr>
              <w:pStyle w:val="12"/>
            </w:pPr>
            <w:r>
              <w:t>年度工作计划</w:t>
            </w:r>
          </w:p>
        </w:tc>
      </w:tr>
      <w:tr w14:paraId="306C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F6D9D">
            <w:pPr>
              <w:pStyle w:val="13"/>
            </w:pPr>
            <w:r>
              <w:t>效益指标</w:t>
            </w:r>
          </w:p>
        </w:tc>
        <w:tc>
          <w:tcPr>
            <w:tcW w:w="2268" w:type="dxa"/>
            <w:vAlign w:val="center"/>
          </w:tcPr>
          <w:p w14:paraId="5213A16D">
            <w:pPr>
              <w:pStyle w:val="12"/>
            </w:pPr>
            <w:r>
              <w:t>可持续影响指标</w:t>
            </w:r>
          </w:p>
        </w:tc>
        <w:tc>
          <w:tcPr>
            <w:tcW w:w="2835" w:type="dxa"/>
            <w:vAlign w:val="center"/>
          </w:tcPr>
          <w:p w14:paraId="3653EA84">
            <w:pPr>
              <w:pStyle w:val="12"/>
            </w:pPr>
            <w:r>
              <w:t>学校运转得到提高</w:t>
            </w:r>
          </w:p>
        </w:tc>
        <w:tc>
          <w:tcPr>
            <w:tcW w:w="5386" w:type="dxa"/>
            <w:vAlign w:val="center"/>
          </w:tcPr>
          <w:p w14:paraId="72EBBF83">
            <w:pPr>
              <w:pStyle w:val="12"/>
            </w:pPr>
            <w:r>
              <w:t>幼儿受教育年限</w:t>
            </w:r>
          </w:p>
        </w:tc>
        <w:tc>
          <w:tcPr>
            <w:tcW w:w="2268" w:type="dxa"/>
            <w:vAlign w:val="center"/>
          </w:tcPr>
          <w:p w14:paraId="4EC9247C">
            <w:pPr>
              <w:pStyle w:val="12"/>
            </w:pPr>
            <w:r>
              <w:t>3年</w:t>
            </w:r>
          </w:p>
        </w:tc>
        <w:tc>
          <w:tcPr>
            <w:tcW w:w="1276" w:type="dxa"/>
            <w:vAlign w:val="center"/>
          </w:tcPr>
          <w:p w14:paraId="12EB64D7">
            <w:pPr>
              <w:pStyle w:val="12"/>
            </w:pPr>
            <w:r>
              <w:t>年度工作计划</w:t>
            </w:r>
          </w:p>
        </w:tc>
      </w:tr>
      <w:tr w14:paraId="6ACE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4D6A7">
            <w:pPr>
              <w:pStyle w:val="13"/>
            </w:pPr>
            <w:r>
              <w:t>满意度指标</w:t>
            </w:r>
          </w:p>
        </w:tc>
        <w:tc>
          <w:tcPr>
            <w:tcW w:w="2268" w:type="dxa"/>
            <w:vAlign w:val="center"/>
          </w:tcPr>
          <w:p w14:paraId="0870A483">
            <w:pPr>
              <w:pStyle w:val="12"/>
            </w:pPr>
            <w:r>
              <w:t>服务对象满意度指标</w:t>
            </w:r>
          </w:p>
        </w:tc>
        <w:tc>
          <w:tcPr>
            <w:tcW w:w="2835" w:type="dxa"/>
            <w:vAlign w:val="center"/>
          </w:tcPr>
          <w:p w14:paraId="77DE3667">
            <w:pPr>
              <w:pStyle w:val="12"/>
            </w:pPr>
            <w:r>
              <w:t>受益学生家长及调查满意度</w:t>
            </w:r>
          </w:p>
        </w:tc>
        <w:tc>
          <w:tcPr>
            <w:tcW w:w="5386" w:type="dxa"/>
            <w:vAlign w:val="center"/>
          </w:tcPr>
          <w:p w14:paraId="0C0AEC42">
            <w:pPr>
              <w:pStyle w:val="12"/>
            </w:pPr>
            <w:r>
              <w:t>幼儿、教师及家长对学校保教保育工作满意度情况</w:t>
            </w:r>
          </w:p>
        </w:tc>
        <w:tc>
          <w:tcPr>
            <w:tcW w:w="2268" w:type="dxa"/>
            <w:vAlign w:val="center"/>
          </w:tcPr>
          <w:p w14:paraId="5A32DB8E">
            <w:pPr>
              <w:pStyle w:val="12"/>
            </w:pPr>
            <w:r>
              <w:t>≥95%</w:t>
            </w:r>
          </w:p>
        </w:tc>
        <w:tc>
          <w:tcPr>
            <w:tcW w:w="1276" w:type="dxa"/>
            <w:vAlign w:val="center"/>
          </w:tcPr>
          <w:p w14:paraId="0DACE6BC">
            <w:pPr>
              <w:pStyle w:val="12"/>
            </w:pPr>
            <w:r>
              <w:t>年度工作计划</w:t>
            </w:r>
          </w:p>
        </w:tc>
      </w:tr>
    </w:tbl>
    <w:p w14:paraId="659B1B41">
      <w:pPr>
        <w:sectPr>
          <w:pgSz w:w="16840" w:h="11900" w:orient="landscape"/>
          <w:pgMar w:top="1361" w:right="1020" w:bottom="1134" w:left="1020" w:header="720" w:footer="720" w:gutter="0"/>
          <w:cols w:space="720" w:num="1"/>
        </w:sectPr>
      </w:pPr>
    </w:p>
    <w:p w14:paraId="69BB5CE1">
      <w:pPr>
        <w:spacing w:before="10" w:after="10" w:line="240" w:lineRule="auto"/>
        <w:ind w:firstLine="640"/>
        <w:jc w:val="left"/>
        <w:outlineLvl w:val="5"/>
      </w:pPr>
      <w:r>
        <w:rPr>
          <w:rFonts w:ascii="黑体" w:hAnsi="黑体" w:eastAsia="黑体" w:cs="黑体"/>
          <w:color w:val="000000"/>
          <w:sz w:val="32"/>
        </w:rPr>
        <w:t>六、政府采购预算情况</w:t>
      </w:r>
    </w:p>
    <w:p w14:paraId="403A743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CE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2F3238">
            <w:pPr>
              <w:pStyle w:val="9"/>
            </w:pPr>
            <w:r>
              <w:t>360025隆尧县千户营校区</w:t>
            </w:r>
          </w:p>
        </w:tc>
        <w:tc>
          <w:tcPr>
            <w:tcW w:w="8676" w:type="dxa"/>
            <w:gridSpan w:val="9"/>
            <w:tcBorders>
              <w:top w:val="single" w:color="FFFFFF" w:sz="6" w:space="0"/>
              <w:left w:val="single" w:color="FFFFFF" w:sz="6" w:space="0"/>
              <w:right w:val="single" w:color="FFFFFF" w:sz="6" w:space="0"/>
            </w:tcBorders>
            <w:vAlign w:val="center"/>
          </w:tcPr>
          <w:p w14:paraId="16C7F7AB">
            <w:pPr>
              <w:pStyle w:val="21"/>
            </w:pPr>
            <w:r>
              <w:t>单位：万元</w:t>
            </w:r>
          </w:p>
        </w:tc>
      </w:tr>
      <w:tr w14:paraId="303E0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E8587D">
            <w:pPr>
              <w:pStyle w:val="10"/>
            </w:pPr>
            <w:r>
              <w:t>政府采购项目来源</w:t>
            </w:r>
          </w:p>
        </w:tc>
        <w:tc>
          <w:tcPr>
            <w:tcW w:w="1134" w:type="dxa"/>
            <w:vMerge w:val="restart"/>
            <w:vAlign w:val="center"/>
          </w:tcPr>
          <w:p w14:paraId="04D46B36">
            <w:pPr>
              <w:pStyle w:val="10"/>
            </w:pPr>
            <w:r>
              <w:t>采购物品名称</w:t>
            </w:r>
          </w:p>
        </w:tc>
        <w:tc>
          <w:tcPr>
            <w:tcW w:w="1134" w:type="dxa"/>
            <w:vMerge w:val="restart"/>
            <w:vAlign w:val="center"/>
          </w:tcPr>
          <w:p w14:paraId="5692858B">
            <w:pPr>
              <w:pStyle w:val="10"/>
            </w:pPr>
            <w:r>
              <w:t>政府采购目录序号</w:t>
            </w:r>
          </w:p>
        </w:tc>
        <w:tc>
          <w:tcPr>
            <w:tcW w:w="709" w:type="dxa"/>
            <w:vMerge w:val="restart"/>
            <w:vAlign w:val="center"/>
          </w:tcPr>
          <w:p w14:paraId="0998C146">
            <w:pPr>
              <w:pStyle w:val="10"/>
            </w:pPr>
            <w:r>
              <w:t>计量  单位</w:t>
            </w:r>
          </w:p>
        </w:tc>
        <w:tc>
          <w:tcPr>
            <w:tcW w:w="850" w:type="dxa"/>
            <w:vMerge w:val="restart"/>
            <w:vAlign w:val="center"/>
          </w:tcPr>
          <w:p w14:paraId="25D43806">
            <w:pPr>
              <w:pStyle w:val="10"/>
            </w:pPr>
            <w:r>
              <w:t>数量</w:t>
            </w:r>
          </w:p>
        </w:tc>
        <w:tc>
          <w:tcPr>
            <w:tcW w:w="850" w:type="dxa"/>
            <w:vMerge w:val="restart"/>
            <w:vAlign w:val="center"/>
          </w:tcPr>
          <w:p w14:paraId="35E67F0F">
            <w:pPr>
              <w:pStyle w:val="10"/>
            </w:pPr>
            <w:r>
              <w:t>单价</w:t>
            </w:r>
          </w:p>
        </w:tc>
        <w:tc>
          <w:tcPr>
            <w:tcW w:w="7712" w:type="dxa"/>
            <w:gridSpan w:val="8"/>
            <w:vAlign w:val="center"/>
          </w:tcPr>
          <w:p w14:paraId="1EC5817A">
            <w:pPr>
              <w:pStyle w:val="10"/>
            </w:pPr>
            <w:r>
              <w:t>政府采购金额（当年部门预算安排资金）</w:t>
            </w:r>
          </w:p>
        </w:tc>
        <w:tc>
          <w:tcPr>
            <w:tcW w:w="964" w:type="dxa"/>
            <w:vMerge w:val="restart"/>
            <w:vAlign w:val="center"/>
          </w:tcPr>
          <w:p w14:paraId="0079824A">
            <w:pPr>
              <w:pStyle w:val="10"/>
            </w:pPr>
            <w:r>
              <w:t>2026年  预留中  小微企  业份额</w:t>
            </w:r>
          </w:p>
        </w:tc>
      </w:tr>
      <w:tr w14:paraId="0C77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8127D8">
            <w:pPr>
              <w:pStyle w:val="10"/>
            </w:pPr>
            <w:r>
              <w:t>项目名称</w:t>
            </w:r>
          </w:p>
        </w:tc>
        <w:tc>
          <w:tcPr>
            <w:tcW w:w="964" w:type="dxa"/>
            <w:vAlign w:val="center"/>
          </w:tcPr>
          <w:p w14:paraId="40191C31">
            <w:pPr>
              <w:pStyle w:val="10"/>
            </w:pPr>
            <w:r>
              <w:t>预算    资金</w:t>
            </w:r>
          </w:p>
        </w:tc>
        <w:tc>
          <w:tcPr>
            <w:tcW w:w="1134" w:type="dxa"/>
            <w:vMerge w:val="continue"/>
          </w:tcPr>
          <w:p w14:paraId="6A81D754"/>
        </w:tc>
        <w:tc>
          <w:tcPr>
            <w:tcW w:w="1134" w:type="dxa"/>
            <w:vMerge w:val="continue"/>
          </w:tcPr>
          <w:p w14:paraId="7001AC99"/>
        </w:tc>
        <w:tc>
          <w:tcPr>
            <w:tcW w:w="709" w:type="dxa"/>
            <w:vMerge w:val="continue"/>
          </w:tcPr>
          <w:p w14:paraId="1D81A8FF"/>
        </w:tc>
        <w:tc>
          <w:tcPr>
            <w:tcW w:w="850" w:type="dxa"/>
            <w:vMerge w:val="continue"/>
          </w:tcPr>
          <w:p w14:paraId="157433FF"/>
        </w:tc>
        <w:tc>
          <w:tcPr>
            <w:tcW w:w="850" w:type="dxa"/>
            <w:vMerge w:val="continue"/>
          </w:tcPr>
          <w:p w14:paraId="467946DC"/>
        </w:tc>
        <w:tc>
          <w:tcPr>
            <w:tcW w:w="964" w:type="dxa"/>
            <w:vAlign w:val="center"/>
          </w:tcPr>
          <w:p w14:paraId="00F72944">
            <w:pPr>
              <w:pStyle w:val="10"/>
            </w:pPr>
            <w:r>
              <w:t>合计</w:t>
            </w:r>
          </w:p>
        </w:tc>
        <w:tc>
          <w:tcPr>
            <w:tcW w:w="964" w:type="dxa"/>
            <w:vAlign w:val="center"/>
          </w:tcPr>
          <w:p w14:paraId="6E0377EF">
            <w:pPr>
              <w:pStyle w:val="10"/>
            </w:pPr>
            <w:r>
              <w:t>一般公共预算拨款</w:t>
            </w:r>
          </w:p>
        </w:tc>
        <w:tc>
          <w:tcPr>
            <w:tcW w:w="964" w:type="dxa"/>
            <w:vAlign w:val="center"/>
          </w:tcPr>
          <w:p w14:paraId="75022585">
            <w:pPr>
              <w:pStyle w:val="10"/>
            </w:pPr>
            <w:r>
              <w:t>基金预算拨款</w:t>
            </w:r>
          </w:p>
        </w:tc>
        <w:tc>
          <w:tcPr>
            <w:tcW w:w="964" w:type="dxa"/>
            <w:vAlign w:val="center"/>
          </w:tcPr>
          <w:p w14:paraId="40CECD38">
            <w:pPr>
              <w:pStyle w:val="10"/>
            </w:pPr>
            <w:r>
              <w:t>国有资本经营预算拨款</w:t>
            </w:r>
          </w:p>
        </w:tc>
        <w:tc>
          <w:tcPr>
            <w:tcW w:w="964" w:type="dxa"/>
            <w:vAlign w:val="center"/>
          </w:tcPr>
          <w:p w14:paraId="190C580A">
            <w:pPr>
              <w:pStyle w:val="10"/>
            </w:pPr>
            <w:r>
              <w:t>财政专户核拨</w:t>
            </w:r>
          </w:p>
        </w:tc>
        <w:tc>
          <w:tcPr>
            <w:tcW w:w="964" w:type="dxa"/>
            <w:vAlign w:val="center"/>
          </w:tcPr>
          <w:p w14:paraId="353375DE">
            <w:pPr>
              <w:pStyle w:val="10"/>
            </w:pPr>
            <w:r>
              <w:t>单位    资金</w:t>
            </w:r>
          </w:p>
        </w:tc>
        <w:tc>
          <w:tcPr>
            <w:tcW w:w="964" w:type="dxa"/>
            <w:vAlign w:val="center"/>
          </w:tcPr>
          <w:p w14:paraId="7CB60ECB">
            <w:pPr>
              <w:pStyle w:val="10"/>
            </w:pPr>
            <w:r>
              <w:t>财政拨款结转</w:t>
            </w:r>
          </w:p>
        </w:tc>
        <w:tc>
          <w:tcPr>
            <w:tcW w:w="964" w:type="dxa"/>
            <w:vAlign w:val="center"/>
          </w:tcPr>
          <w:p w14:paraId="63947AFB">
            <w:pPr>
              <w:pStyle w:val="10"/>
            </w:pPr>
            <w:r>
              <w:t>非财政拨款结余</w:t>
            </w:r>
          </w:p>
        </w:tc>
        <w:tc>
          <w:tcPr>
            <w:tcW w:w="964" w:type="dxa"/>
            <w:vMerge w:val="continue"/>
          </w:tcPr>
          <w:p w14:paraId="022BF436"/>
        </w:tc>
      </w:tr>
      <w:tr w14:paraId="7E46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B1C709">
            <w:pPr>
              <w:pStyle w:val="14"/>
            </w:pPr>
            <w:r>
              <w:t>合  计</w:t>
            </w:r>
          </w:p>
        </w:tc>
        <w:tc>
          <w:tcPr>
            <w:tcW w:w="964" w:type="dxa"/>
            <w:vAlign w:val="center"/>
          </w:tcPr>
          <w:p w14:paraId="6CB3DC1E">
            <w:pPr>
              <w:pStyle w:val="15"/>
            </w:pPr>
          </w:p>
        </w:tc>
        <w:tc>
          <w:tcPr>
            <w:tcW w:w="1134" w:type="dxa"/>
            <w:vAlign w:val="center"/>
          </w:tcPr>
          <w:p w14:paraId="5BFA76A6">
            <w:pPr>
              <w:pStyle w:val="16"/>
            </w:pPr>
          </w:p>
        </w:tc>
        <w:tc>
          <w:tcPr>
            <w:tcW w:w="1134" w:type="dxa"/>
            <w:vAlign w:val="center"/>
          </w:tcPr>
          <w:p w14:paraId="3AADEB10">
            <w:pPr>
              <w:pStyle w:val="16"/>
            </w:pPr>
          </w:p>
        </w:tc>
        <w:tc>
          <w:tcPr>
            <w:tcW w:w="709" w:type="dxa"/>
            <w:vAlign w:val="center"/>
          </w:tcPr>
          <w:p w14:paraId="69B7B7F9">
            <w:pPr>
              <w:pStyle w:val="14"/>
            </w:pPr>
          </w:p>
        </w:tc>
        <w:tc>
          <w:tcPr>
            <w:tcW w:w="850" w:type="dxa"/>
            <w:vAlign w:val="center"/>
          </w:tcPr>
          <w:p w14:paraId="4381F441">
            <w:pPr>
              <w:pStyle w:val="15"/>
            </w:pPr>
          </w:p>
        </w:tc>
        <w:tc>
          <w:tcPr>
            <w:tcW w:w="850" w:type="dxa"/>
            <w:vAlign w:val="center"/>
          </w:tcPr>
          <w:p w14:paraId="3521BA1A">
            <w:pPr>
              <w:pStyle w:val="15"/>
            </w:pPr>
          </w:p>
        </w:tc>
        <w:tc>
          <w:tcPr>
            <w:tcW w:w="964" w:type="dxa"/>
            <w:vAlign w:val="center"/>
          </w:tcPr>
          <w:p w14:paraId="5E2C4C24">
            <w:pPr>
              <w:pStyle w:val="15"/>
            </w:pPr>
            <w:r>
              <w:t>2.70</w:t>
            </w:r>
          </w:p>
        </w:tc>
        <w:tc>
          <w:tcPr>
            <w:tcW w:w="964" w:type="dxa"/>
            <w:vAlign w:val="center"/>
          </w:tcPr>
          <w:p w14:paraId="4BFBCA5B">
            <w:pPr>
              <w:pStyle w:val="15"/>
            </w:pPr>
            <w:r>
              <w:t>2.70</w:t>
            </w:r>
          </w:p>
        </w:tc>
        <w:tc>
          <w:tcPr>
            <w:tcW w:w="964" w:type="dxa"/>
            <w:vAlign w:val="center"/>
          </w:tcPr>
          <w:p w14:paraId="02AEAB42">
            <w:pPr>
              <w:pStyle w:val="15"/>
            </w:pPr>
          </w:p>
        </w:tc>
        <w:tc>
          <w:tcPr>
            <w:tcW w:w="964" w:type="dxa"/>
            <w:vAlign w:val="center"/>
          </w:tcPr>
          <w:p w14:paraId="0F67C212">
            <w:pPr>
              <w:pStyle w:val="15"/>
            </w:pPr>
          </w:p>
        </w:tc>
        <w:tc>
          <w:tcPr>
            <w:tcW w:w="964" w:type="dxa"/>
            <w:vAlign w:val="center"/>
          </w:tcPr>
          <w:p w14:paraId="3DADB043">
            <w:pPr>
              <w:pStyle w:val="15"/>
            </w:pPr>
          </w:p>
        </w:tc>
        <w:tc>
          <w:tcPr>
            <w:tcW w:w="964" w:type="dxa"/>
            <w:vAlign w:val="center"/>
          </w:tcPr>
          <w:p w14:paraId="16E9C09F">
            <w:pPr>
              <w:pStyle w:val="15"/>
            </w:pPr>
          </w:p>
        </w:tc>
        <w:tc>
          <w:tcPr>
            <w:tcW w:w="964" w:type="dxa"/>
            <w:vAlign w:val="center"/>
          </w:tcPr>
          <w:p w14:paraId="354B3CEF">
            <w:pPr>
              <w:pStyle w:val="15"/>
            </w:pPr>
          </w:p>
        </w:tc>
        <w:tc>
          <w:tcPr>
            <w:tcW w:w="964" w:type="dxa"/>
            <w:vAlign w:val="center"/>
          </w:tcPr>
          <w:p w14:paraId="1D488538">
            <w:pPr>
              <w:pStyle w:val="15"/>
            </w:pPr>
          </w:p>
        </w:tc>
        <w:tc>
          <w:tcPr>
            <w:tcW w:w="964" w:type="dxa"/>
            <w:vAlign w:val="center"/>
          </w:tcPr>
          <w:p w14:paraId="4754328B">
            <w:pPr>
              <w:pStyle w:val="15"/>
            </w:pPr>
            <w:r>
              <w:t>2.70</w:t>
            </w:r>
          </w:p>
        </w:tc>
      </w:tr>
      <w:tr w14:paraId="00DD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1D5EC9">
            <w:pPr>
              <w:pStyle w:val="14"/>
            </w:pPr>
            <w:r>
              <w:t>隆尧县千户营校区小计</w:t>
            </w:r>
          </w:p>
        </w:tc>
        <w:tc>
          <w:tcPr>
            <w:tcW w:w="964" w:type="dxa"/>
            <w:vAlign w:val="center"/>
          </w:tcPr>
          <w:p w14:paraId="0CC9348B">
            <w:pPr>
              <w:pStyle w:val="15"/>
            </w:pPr>
          </w:p>
        </w:tc>
        <w:tc>
          <w:tcPr>
            <w:tcW w:w="1134" w:type="dxa"/>
            <w:vAlign w:val="center"/>
          </w:tcPr>
          <w:p w14:paraId="5058DA0B">
            <w:pPr>
              <w:pStyle w:val="16"/>
            </w:pPr>
          </w:p>
        </w:tc>
        <w:tc>
          <w:tcPr>
            <w:tcW w:w="1134" w:type="dxa"/>
            <w:vAlign w:val="center"/>
          </w:tcPr>
          <w:p w14:paraId="675D36BC">
            <w:pPr>
              <w:pStyle w:val="16"/>
            </w:pPr>
          </w:p>
        </w:tc>
        <w:tc>
          <w:tcPr>
            <w:tcW w:w="709" w:type="dxa"/>
            <w:vAlign w:val="center"/>
          </w:tcPr>
          <w:p w14:paraId="79DC6DC9">
            <w:pPr>
              <w:pStyle w:val="14"/>
            </w:pPr>
          </w:p>
        </w:tc>
        <w:tc>
          <w:tcPr>
            <w:tcW w:w="850" w:type="dxa"/>
            <w:vAlign w:val="center"/>
          </w:tcPr>
          <w:p w14:paraId="351E173A">
            <w:pPr>
              <w:pStyle w:val="15"/>
            </w:pPr>
          </w:p>
        </w:tc>
        <w:tc>
          <w:tcPr>
            <w:tcW w:w="850" w:type="dxa"/>
            <w:vAlign w:val="center"/>
          </w:tcPr>
          <w:p w14:paraId="12181062">
            <w:pPr>
              <w:pStyle w:val="15"/>
            </w:pPr>
          </w:p>
        </w:tc>
        <w:tc>
          <w:tcPr>
            <w:tcW w:w="964" w:type="dxa"/>
            <w:vAlign w:val="center"/>
          </w:tcPr>
          <w:p w14:paraId="5CA2B3EB">
            <w:pPr>
              <w:pStyle w:val="15"/>
            </w:pPr>
            <w:r>
              <w:t>2.70</w:t>
            </w:r>
          </w:p>
        </w:tc>
        <w:tc>
          <w:tcPr>
            <w:tcW w:w="964" w:type="dxa"/>
            <w:vAlign w:val="center"/>
          </w:tcPr>
          <w:p w14:paraId="72D61387">
            <w:pPr>
              <w:pStyle w:val="15"/>
            </w:pPr>
            <w:r>
              <w:t>2.70</w:t>
            </w:r>
          </w:p>
        </w:tc>
        <w:tc>
          <w:tcPr>
            <w:tcW w:w="964" w:type="dxa"/>
            <w:vAlign w:val="center"/>
          </w:tcPr>
          <w:p w14:paraId="189578AB">
            <w:pPr>
              <w:pStyle w:val="15"/>
            </w:pPr>
          </w:p>
        </w:tc>
        <w:tc>
          <w:tcPr>
            <w:tcW w:w="964" w:type="dxa"/>
            <w:vAlign w:val="center"/>
          </w:tcPr>
          <w:p w14:paraId="5D755AFC">
            <w:pPr>
              <w:pStyle w:val="15"/>
            </w:pPr>
          </w:p>
        </w:tc>
        <w:tc>
          <w:tcPr>
            <w:tcW w:w="964" w:type="dxa"/>
            <w:vAlign w:val="center"/>
          </w:tcPr>
          <w:p w14:paraId="35DB1E2D">
            <w:pPr>
              <w:pStyle w:val="15"/>
            </w:pPr>
          </w:p>
        </w:tc>
        <w:tc>
          <w:tcPr>
            <w:tcW w:w="964" w:type="dxa"/>
            <w:vAlign w:val="center"/>
          </w:tcPr>
          <w:p w14:paraId="7A5220C4">
            <w:pPr>
              <w:pStyle w:val="15"/>
            </w:pPr>
          </w:p>
        </w:tc>
        <w:tc>
          <w:tcPr>
            <w:tcW w:w="964" w:type="dxa"/>
            <w:vAlign w:val="center"/>
          </w:tcPr>
          <w:p w14:paraId="78A66479">
            <w:pPr>
              <w:pStyle w:val="15"/>
            </w:pPr>
          </w:p>
        </w:tc>
        <w:tc>
          <w:tcPr>
            <w:tcW w:w="964" w:type="dxa"/>
            <w:vAlign w:val="center"/>
          </w:tcPr>
          <w:p w14:paraId="5E800C1D">
            <w:pPr>
              <w:pStyle w:val="15"/>
            </w:pPr>
          </w:p>
        </w:tc>
        <w:tc>
          <w:tcPr>
            <w:tcW w:w="964" w:type="dxa"/>
            <w:vAlign w:val="center"/>
          </w:tcPr>
          <w:p w14:paraId="091665C6">
            <w:pPr>
              <w:pStyle w:val="15"/>
            </w:pPr>
            <w:r>
              <w:t>2.70</w:t>
            </w:r>
          </w:p>
        </w:tc>
      </w:tr>
      <w:tr w14:paraId="3ABB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FF57FE">
            <w:pPr>
              <w:pStyle w:val="12"/>
            </w:pPr>
            <w:r>
              <w:t>冀财教[2025]121号/中央/2026年义教补助经费/千户营校区千户营小学公用经费</w:t>
            </w:r>
          </w:p>
        </w:tc>
        <w:tc>
          <w:tcPr>
            <w:tcW w:w="964" w:type="dxa"/>
            <w:vAlign w:val="center"/>
          </w:tcPr>
          <w:p w14:paraId="23ADDA33">
            <w:pPr>
              <w:pStyle w:val="11"/>
            </w:pPr>
            <w:r>
              <w:t>77.08</w:t>
            </w:r>
          </w:p>
        </w:tc>
        <w:tc>
          <w:tcPr>
            <w:tcW w:w="1134" w:type="dxa"/>
            <w:vAlign w:val="center"/>
          </w:tcPr>
          <w:p w14:paraId="5288CEB3">
            <w:pPr>
              <w:pStyle w:val="12"/>
            </w:pPr>
            <w:r>
              <w:t>A4 黑白打印机</w:t>
            </w:r>
          </w:p>
        </w:tc>
        <w:tc>
          <w:tcPr>
            <w:tcW w:w="1134" w:type="dxa"/>
            <w:vAlign w:val="center"/>
          </w:tcPr>
          <w:p w14:paraId="280AFC87">
            <w:pPr>
              <w:pStyle w:val="12"/>
            </w:pPr>
            <w:r>
              <w:t>A02021003</w:t>
            </w:r>
          </w:p>
        </w:tc>
        <w:tc>
          <w:tcPr>
            <w:tcW w:w="709" w:type="dxa"/>
            <w:vAlign w:val="center"/>
          </w:tcPr>
          <w:p w14:paraId="2C4A7EE7">
            <w:pPr>
              <w:pStyle w:val="13"/>
            </w:pPr>
            <w:r>
              <w:t>台</w:t>
            </w:r>
          </w:p>
        </w:tc>
        <w:tc>
          <w:tcPr>
            <w:tcW w:w="850" w:type="dxa"/>
            <w:vAlign w:val="center"/>
          </w:tcPr>
          <w:p w14:paraId="5A534C88">
            <w:pPr>
              <w:pStyle w:val="11"/>
            </w:pPr>
            <w:r>
              <w:t>1</w:t>
            </w:r>
          </w:p>
        </w:tc>
        <w:tc>
          <w:tcPr>
            <w:tcW w:w="850" w:type="dxa"/>
            <w:vAlign w:val="center"/>
          </w:tcPr>
          <w:p w14:paraId="54429DA8">
            <w:pPr>
              <w:pStyle w:val="11"/>
            </w:pPr>
            <w:r>
              <w:t>0.18</w:t>
            </w:r>
          </w:p>
        </w:tc>
        <w:tc>
          <w:tcPr>
            <w:tcW w:w="964" w:type="dxa"/>
            <w:vAlign w:val="center"/>
          </w:tcPr>
          <w:p w14:paraId="35E1EED9">
            <w:pPr>
              <w:pStyle w:val="11"/>
            </w:pPr>
            <w:r>
              <w:t>0.18</w:t>
            </w:r>
          </w:p>
        </w:tc>
        <w:tc>
          <w:tcPr>
            <w:tcW w:w="964" w:type="dxa"/>
            <w:vAlign w:val="center"/>
          </w:tcPr>
          <w:p w14:paraId="7B1FC76A">
            <w:pPr>
              <w:pStyle w:val="11"/>
            </w:pPr>
            <w:r>
              <w:t>0.18</w:t>
            </w:r>
          </w:p>
        </w:tc>
        <w:tc>
          <w:tcPr>
            <w:tcW w:w="964" w:type="dxa"/>
            <w:vAlign w:val="center"/>
          </w:tcPr>
          <w:p w14:paraId="627A858E">
            <w:pPr>
              <w:pStyle w:val="11"/>
            </w:pPr>
          </w:p>
        </w:tc>
        <w:tc>
          <w:tcPr>
            <w:tcW w:w="964" w:type="dxa"/>
            <w:vAlign w:val="center"/>
          </w:tcPr>
          <w:p w14:paraId="215ADFEC">
            <w:pPr>
              <w:pStyle w:val="11"/>
            </w:pPr>
          </w:p>
        </w:tc>
        <w:tc>
          <w:tcPr>
            <w:tcW w:w="964" w:type="dxa"/>
            <w:vAlign w:val="center"/>
          </w:tcPr>
          <w:p w14:paraId="7F57A210">
            <w:pPr>
              <w:pStyle w:val="11"/>
            </w:pPr>
          </w:p>
        </w:tc>
        <w:tc>
          <w:tcPr>
            <w:tcW w:w="964" w:type="dxa"/>
            <w:vAlign w:val="center"/>
          </w:tcPr>
          <w:p w14:paraId="4D5C8C5D">
            <w:pPr>
              <w:pStyle w:val="11"/>
            </w:pPr>
          </w:p>
        </w:tc>
        <w:tc>
          <w:tcPr>
            <w:tcW w:w="964" w:type="dxa"/>
            <w:vAlign w:val="center"/>
          </w:tcPr>
          <w:p w14:paraId="673CC107">
            <w:pPr>
              <w:pStyle w:val="11"/>
            </w:pPr>
          </w:p>
        </w:tc>
        <w:tc>
          <w:tcPr>
            <w:tcW w:w="964" w:type="dxa"/>
            <w:vAlign w:val="center"/>
          </w:tcPr>
          <w:p w14:paraId="0B58A08D">
            <w:pPr>
              <w:pStyle w:val="11"/>
            </w:pPr>
          </w:p>
        </w:tc>
        <w:tc>
          <w:tcPr>
            <w:tcW w:w="964" w:type="dxa"/>
            <w:vAlign w:val="center"/>
          </w:tcPr>
          <w:p w14:paraId="6690A853">
            <w:pPr>
              <w:pStyle w:val="11"/>
            </w:pPr>
            <w:r>
              <w:t>0.18</w:t>
            </w:r>
          </w:p>
        </w:tc>
      </w:tr>
      <w:tr w14:paraId="6179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E7AB3D">
            <w:pPr>
              <w:pStyle w:val="12"/>
            </w:pPr>
            <w:r>
              <w:t>冀财教[2025]121号/中央/2026年义教补助经费/千户营校区千户营小学公用经费</w:t>
            </w:r>
          </w:p>
        </w:tc>
        <w:tc>
          <w:tcPr>
            <w:tcW w:w="964" w:type="dxa"/>
            <w:vAlign w:val="center"/>
          </w:tcPr>
          <w:p w14:paraId="2804662C">
            <w:pPr>
              <w:pStyle w:val="11"/>
            </w:pPr>
            <w:r>
              <w:t>77.08</w:t>
            </w:r>
          </w:p>
        </w:tc>
        <w:tc>
          <w:tcPr>
            <w:tcW w:w="1134" w:type="dxa"/>
            <w:vAlign w:val="center"/>
          </w:tcPr>
          <w:p w14:paraId="0073EA19">
            <w:pPr>
              <w:pStyle w:val="12"/>
            </w:pPr>
            <w:r>
              <w:t>办公椅</w:t>
            </w:r>
          </w:p>
        </w:tc>
        <w:tc>
          <w:tcPr>
            <w:tcW w:w="1134" w:type="dxa"/>
            <w:vAlign w:val="center"/>
          </w:tcPr>
          <w:p w14:paraId="577AF53B">
            <w:pPr>
              <w:pStyle w:val="12"/>
            </w:pPr>
            <w:r>
              <w:t>A05010301</w:t>
            </w:r>
          </w:p>
        </w:tc>
        <w:tc>
          <w:tcPr>
            <w:tcW w:w="709" w:type="dxa"/>
            <w:vAlign w:val="center"/>
          </w:tcPr>
          <w:p w14:paraId="62536DAC">
            <w:pPr>
              <w:pStyle w:val="13"/>
            </w:pPr>
            <w:r>
              <w:t>个</w:t>
            </w:r>
          </w:p>
        </w:tc>
        <w:tc>
          <w:tcPr>
            <w:tcW w:w="850" w:type="dxa"/>
            <w:vAlign w:val="center"/>
          </w:tcPr>
          <w:p w14:paraId="684D8D27">
            <w:pPr>
              <w:pStyle w:val="11"/>
            </w:pPr>
            <w:r>
              <w:t>25</w:t>
            </w:r>
          </w:p>
        </w:tc>
        <w:tc>
          <w:tcPr>
            <w:tcW w:w="850" w:type="dxa"/>
            <w:vAlign w:val="center"/>
          </w:tcPr>
          <w:p w14:paraId="3733147D">
            <w:pPr>
              <w:pStyle w:val="11"/>
            </w:pPr>
            <w:r>
              <w:t>0.02</w:t>
            </w:r>
          </w:p>
        </w:tc>
        <w:tc>
          <w:tcPr>
            <w:tcW w:w="964" w:type="dxa"/>
            <w:vAlign w:val="center"/>
          </w:tcPr>
          <w:p w14:paraId="27BB77B0">
            <w:pPr>
              <w:pStyle w:val="11"/>
            </w:pPr>
            <w:r>
              <w:t>0.45</w:t>
            </w:r>
          </w:p>
        </w:tc>
        <w:tc>
          <w:tcPr>
            <w:tcW w:w="964" w:type="dxa"/>
            <w:vAlign w:val="center"/>
          </w:tcPr>
          <w:p w14:paraId="44D9D4FA">
            <w:pPr>
              <w:pStyle w:val="11"/>
            </w:pPr>
            <w:r>
              <w:t>0.45</w:t>
            </w:r>
          </w:p>
        </w:tc>
        <w:tc>
          <w:tcPr>
            <w:tcW w:w="964" w:type="dxa"/>
            <w:vAlign w:val="center"/>
          </w:tcPr>
          <w:p w14:paraId="7DB7B929">
            <w:pPr>
              <w:pStyle w:val="11"/>
            </w:pPr>
          </w:p>
        </w:tc>
        <w:tc>
          <w:tcPr>
            <w:tcW w:w="964" w:type="dxa"/>
            <w:vAlign w:val="center"/>
          </w:tcPr>
          <w:p w14:paraId="4A011F64">
            <w:pPr>
              <w:pStyle w:val="11"/>
            </w:pPr>
          </w:p>
        </w:tc>
        <w:tc>
          <w:tcPr>
            <w:tcW w:w="964" w:type="dxa"/>
            <w:vAlign w:val="center"/>
          </w:tcPr>
          <w:p w14:paraId="6736EC5C">
            <w:pPr>
              <w:pStyle w:val="11"/>
            </w:pPr>
          </w:p>
        </w:tc>
        <w:tc>
          <w:tcPr>
            <w:tcW w:w="964" w:type="dxa"/>
            <w:vAlign w:val="center"/>
          </w:tcPr>
          <w:p w14:paraId="2D115621">
            <w:pPr>
              <w:pStyle w:val="11"/>
            </w:pPr>
          </w:p>
        </w:tc>
        <w:tc>
          <w:tcPr>
            <w:tcW w:w="964" w:type="dxa"/>
            <w:vAlign w:val="center"/>
          </w:tcPr>
          <w:p w14:paraId="4225211F">
            <w:pPr>
              <w:pStyle w:val="11"/>
            </w:pPr>
          </w:p>
        </w:tc>
        <w:tc>
          <w:tcPr>
            <w:tcW w:w="964" w:type="dxa"/>
            <w:vAlign w:val="center"/>
          </w:tcPr>
          <w:p w14:paraId="180D324E">
            <w:pPr>
              <w:pStyle w:val="11"/>
            </w:pPr>
          </w:p>
        </w:tc>
        <w:tc>
          <w:tcPr>
            <w:tcW w:w="964" w:type="dxa"/>
            <w:vAlign w:val="center"/>
          </w:tcPr>
          <w:p w14:paraId="546DC003">
            <w:pPr>
              <w:pStyle w:val="11"/>
            </w:pPr>
            <w:r>
              <w:t>0.45</w:t>
            </w:r>
          </w:p>
        </w:tc>
      </w:tr>
      <w:tr w14:paraId="0D2C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016783">
            <w:pPr>
              <w:pStyle w:val="12"/>
            </w:pPr>
            <w:r>
              <w:t>冀财教[2025]121号/中央/2026年义教补助经费/千户营校区千户营小学公用经费</w:t>
            </w:r>
          </w:p>
        </w:tc>
        <w:tc>
          <w:tcPr>
            <w:tcW w:w="964" w:type="dxa"/>
            <w:vAlign w:val="center"/>
          </w:tcPr>
          <w:p w14:paraId="07FCA0F0">
            <w:pPr>
              <w:pStyle w:val="11"/>
            </w:pPr>
            <w:r>
              <w:t>77.08</w:t>
            </w:r>
          </w:p>
        </w:tc>
        <w:tc>
          <w:tcPr>
            <w:tcW w:w="1134" w:type="dxa"/>
            <w:vAlign w:val="center"/>
          </w:tcPr>
          <w:p w14:paraId="235A3B21">
            <w:pPr>
              <w:pStyle w:val="12"/>
            </w:pPr>
            <w:r>
              <w:t>书柜</w:t>
            </w:r>
          </w:p>
        </w:tc>
        <w:tc>
          <w:tcPr>
            <w:tcW w:w="1134" w:type="dxa"/>
            <w:vAlign w:val="center"/>
          </w:tcPr>
          <w:p w14:paraId="1710E220">
            <w:pPr>
              <w:pStyle w:val="12"/>
            </w:pPr>
            <w:r>
              <w:t>A05010501</w:t>
            </w:r>
          </w:p>
        </w:tc>
        <w:tc>
          <w:tcPr>
            <w:tcW w:w="709" w:type="dxa"/>
            <w:vAlign w:val="center"/>
          </w:tcPr>
          <w:p w14:paraId="6599AC83">
            <w:pPr>
              <w:pStyle w:val="13"/>
            </w:pPr>
            <w:r>
              <w:t>个</w:t>
            </w:r>
          </w:p>
        </w:tc>
        <w:tc>
          <w:tcPr>
            <w:tcW w:w="850" w:type="dxa"/>
            <w:vAlign w:val="center"/>
          </w:tcPr>
          <w:p w14:paraId="66883D3C">
            <w:pPr>
              <w:pStyle w:val="11"/>
            </w:pPr>
            <w:r>
              <w:t>18</w:t>
            </w:r>
          </w:p>
        </w:tc>
        <w:tc>
          <w:tcPr>
            <w:tcW w:w="850" w:type="dxa"/>
            <w:vAlign w:val="center"/>
          </w:tcPr>
          <w:p w14:paraId="45A5F210">
            <w:pPr>
              <w:pStyle w:val="11"/>
            </w:pPr>
            <w:r>
              <w:t>0.09</w:t>
            </w:r>
          </w:p>
        </w:tc>
        <w:tc>
          <w:tcPr>
            <w:tcW w:w="964" w:type="dxa"/>
            <w:vAlign w:val="center"/>
          </w:tcPr>
          <w:p w14:paraId="04B07026">
            <w:pPr>
              <w:pStyle w:val="11"/>
            </w:pPr>
            <w:r>
              <w:t>1.53</w:t>
            </w:r>
          </w:p>
        </w:tc>
        <w:tc>
          <w:tcPr>
            <w:tcW w:w="964" w:type="dxa"/>
            <w:vAlign w:val="center"/>
          </w:tcPr>
          <w:p w14:paraId="2070CA0B">
            <w:pPr>
              <w:pStyle w:val="11"/>
            </w:pPr>
            <w:r>
              <w:t>1.53</w:t>
            </w:r>
          </w:p>
        </w:tc>
        <w:tc>
          <w:tcPr>
            <w:tcW w:w="964" w:type="dxa"/>
            <w:vAlign w:val="center"/>
          </w:tcPr>
          <w:p w14:paraId="496915CC">
            <w:pPr>
              <w:pStyle w:val="11"/>
            </w:pPr>
          </w:p>
        </w:tc>
        <w:tc>
          <w:tcPr>
            <w:tcW w:w="964" w:type="dxa"/>
            <w:vAlign w:val="center"/>
          </w:tcPr>
          <w:p w14:paraId="75E6EEA5">
            <w:pPr>
              <w:pStyle w:val="11"/>
            </w:pPr>
          </w:p>
        </w:tc>
        <w:tc>
          <w:tcPr>
            <w:tcW w:w="964" w:type="dxa"/>
            <w:vAlign w:val="center"/>
          </w:tcPr>
          <w:p w14:paraId="1231C898">
            <w:pPr>
              <w:pStyle w:val="11"/>
            </w:pPr>
          </w:p>
        </w:tc>
        <w:tc>
          <w:tcPr>
            <w:tcW w:w="964" w:type="dxa"/>
            <w:vAlign w:val="center"/>
          </w:tcPr>
          <w:p w14:paraId="290E1B25">
            <w:pPr>
              <w:pStyle w:val="11"/>
            </w:pPr>
          </w:p>
        </w:tc>
        <w:tc>
          <w:tcPr>
            <w:tcW w:w="964" w:type="dxa"/>
            <w:vAlign w:val="center"/>
          </w:tcPr>
          <w:p w14:paraId="5DFA2E66">
            <w:pPr>
              <w:pStyle w:val="11"/>
            </w:pPr>
          </w:p>
        </w:tc>
        <w:tc>
          <w:tcPr>
            <w:tcW w:w="964" w:type="dxa"/>
            <w:vAlign w:val="center"/>
          </w:tcPr>
          <w:p w14:paraId="608ACED5">
            <w:pPr>
              <w:pStyle w:val="11"/>
            </w:pPr>
          </w:p>
        </w:tc>
        <w:tc>
          <w:tcPr>
            <w:tcW w:w="964" w:type="dxa"/>
            <w:vAlign w:val="center"/>
          </w:tcPr>
          <w:p w14:paraId="5613E8E6">
            <w:pPr>
              <w:pStyle w:val="11"/>
            </w:pPr>
            <w:r>
              <w:t>1.53</w:t>
            </w:r>
          </w:p>
        </w:tc>
      </w:tr>
      <w:tr w14:paraId="25A0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FE4750">
            <w:pPr>
              <w:pStyle w:val="12"/>
            </w:pPr>
            <w:r>
              <w:t>冀财教[2025]121号/中央/2026年义教补助经费/千户营校区徐麻营小学公用经费</w:t>
            </w:r>
          </w:p>
        </w:tc>
        <w:tc>
          <w:tcPr>
            <w:tcW w:w="964" w:type="dxa"/>
            <w:vAlign w:val="center"/>
          </w:tcPr>
          <w:p w14:paraId="46D571B5">
            <w:pPr>
              <w:pStyle w:val="11"/>
            </w:pPr>
            <w:r>
              <w:t>42.50</w:t>
            </w:r>
          </w:p>
        </w:tc>
        <w:tc>
          <w:tcPr>
            <w:tcW w:w="1134" w:type="dxa"/>
            <w:vAlign w:val="center"/>
          </w:tcPr>
          <w:p w14:paraId="75EA9D5D">
            <w:pPr>
              <w:pStyle w:val="12"/>
            </w:pPr>
            <w:r>
              <w:t>LED 显示屏</w:t>
            </w:r>
          </w:p>
        </w:tc>
        <w:tc>
          <w:tcPr>
            <w:tcW w:w="1134" w:type="dxa"/>
            <w:vAlign w:val="center"/>
          </w:tcPr>
          <w:p w14:paraId="242607F6">
            <w:pPr>
              <w:pStyle w:val="12"/>
            </w:pPr>
            <w:r>
              <w:t>A02021103</w:t>
            </w:r>
          </w:p>
        </w:tc>
        <w:tc>
          <w:tcPr>
            <w:tcW w:w="709" w:type="dxa"/>
            <w:vAlign w:val="center"/>
          </w:tcPr>
          <w:p w14:paraId="5EB6A2C5">
            <w:pPr>
              <w:pStyle w:val="13"/>
            </w:pPr>
            <w:r>
              <w:t>平方米</w:t>
            </w:r>
          </w:p>
        </w:tc>
        <w:tc>
          <w:tcPr>
            <w:tcW w:w="850" w:type="dxa"/>
            <w:vAlign w:val="center"/>
          </w:tcPr>
          <w:p w14:paraId="3AABC967">
            <w:pPr>
              <w:pStyle w:val="11"/>
            </w:pPr>
            <w:r>
              <w:t>2</w:t>
            </w:r>
          </w:p>
        </w:tc>
        <w:tc>
          <w:tcPr>
            <w:tcW w:w="850" w:type="dxa"/>
            <w:vAlign w:val="center"/>
          </w:tcPr>
          <w:p w14:paraId="570549A9">
            <w:pPr>
              <w:pStyle w:val="11"/>
            </w:pPr>
            <w:r>
              <w:t>0.10</w:t>
            </w:r>
          </w:p>
        </w:tc>
        <w:tc>
          <w:tcPr>
            <w:tcW w:w="964" w:type="dxa"/>
            <w:vAlign w:val="center"/>
          </w:tcPr>
          <w:p w14:paraId="4E42BFCF">
            <w:pPr>
              <w:pStyle w:val="11"/>
            </w:pPr>
            <w:r>
              <w:t>0.20</w:t>
            </w:r>
          </w:p>
        </w:tc>
        <w:tc>
          <w:tcPr>
            <w:tcW w:w="964" w:type="dxa"/>
            <w:vAlign w:val="center"/>
          </w:tcPr>
          <w:p w14:paraId="0E92C659">
            <w:pPr>
              <w:pStyle w:val="11"/>
            </w:pPr>
            <w:r>
              <w:t>0.20</w:t>
            </w:r>
          </w:p>
        </w:tc>
        <w:tc>
          <w:tcPr>
            <w:tcW w:w="964" w:type="dxa"/>
            <w:vAlign w:val="center"/>
          </w:tcPr>
          <w:p w14:paraId="1671AD04">
            <w:pPr>
              <w:pStyle w:val="11"/>
            </w:pPr>
          </w:p>
        </w:tc>
        <w:tc>
          <w:tcPr>
            <w:tcW w:w="964" w:type="dxa"/>
            <w:vAlign w:val="center"/>
          </w:tcPr>
          <w:p w14:paraId="516BBA27">
            <w:pPr>
              <w:pStyle w:val="11"/>
            </w:pPr>
          </w:p>
        </w:tc>
        <w:tc>
          <w:tcPr>
            <w:tcW w:w="964" w:type="dxa"/>
            <w:vAlign w:val="center"/>
          </w:tcPr>
          <w:p w14:paraId="3DAC5977">
            <w:pPr>
              <w:pStyle w:val="11"/>
            </w:pPr>
          </w:p>
        </w:tc>
        <w:tc>
          <w:tcPr>
            <w:tcW w:w="964" w:type="dxa"/>
            <w:vAlign w:val="center"/>
          </w:tcPr>
          <w:p w14:paraId="49536824">
            <w:pPr>
              <w:pStyle w:val="11"/>
            </w:pPr>
          </w:p>
        </w:tc>
        <w:tc>
          <w:tcPr>
            <w:tcW w:w="964" w:type="dxa"/>
            <w:vAlign w:val="center"/>
          </w:tcPr>
          <w:p w14:paraId="7D0DB4A2">
            <w:pPr>
              <w:pStyle w:val="11"/>
            </w:pPr>
          </w:p>
        </w:tc>
        <w:tc>
          <w:tcPr>
            <w:tcW w:w="964" w:type="dxa"/>
            <w:vAlign w:val="center"/>
          </w:tcPr>
          <w:p w14:paraId="6418C6E9">
            <w:pPr>
              <w:pStyle w:val="11"/>
            </w:pPr>
          </w:p>
        </w:tc>
        <w:tc>
          <w:tcPr>
            <w:tcW w:w="964" w:type="dxa"/>
            <w:vAlign w:val="center"/>
          </w:tcPr>
          <w:p w14:paraId="0062A305">
            <w:pPr>
              <w:pStyle w:val="11"/>
            </w:pPr>
            <w:r>
              <w:t>0.20</w:t>
            </w:r>
          </w:p>
        </w:tc>
      </w:tr>
      <w:tr w14:paraId="15F3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6A376">
            <w:pPr>
              <w:pStyle w:val="12"/>
            </w:pPr>
            <w:r>
              <w:t>冀财教[2025]121号/中央/2026年义教补助经费/千户营校区徐麻营小学公用经费</w:t>
            </w:r>
          </w:p>
        </w:tc>
        <w:tc>
          <w:tcPr>
            <w:tcW w:w="964" w:type="dxa"/>
            <w:vAlign w:val="center"/>
          </w:tcPr>
          <w:p w14:paraId="6C0C45B3">
            <w:pPr>
              <w:pStyle w:val="11"/>
            </w:pPr>
            <w:r>
              <w:t>42.50</w:t>
            </w:r>
          </w:p>
        </w:tc>
        <w:tc>
          <w:tcPr>
            <w:tcW w:w="1134" w:type="dxa"/>
            <w:vAlign w:val="center"/>
          </w:tcPr>
          <w:p w14:paraId="19D31D96">
            <w:pPr>
              <w:pStyle w:val="12"/>
            </w:pPr>
            <w:r>
              <w:t>办公桌</w:t>
            </w:r>
          </w:p>
        </w:tc>
        <w:tc>
          <w:tcPr>
            <w:tcW w:w="1134" w:type="dxa"/>
            <w:vAlign w:val="center"/>
          </w:tcPr>
          <w:p w14:paraId="53C0DF1A">
            <w:pPr>
              <w:pStyle w:val="12"/>
            </w:pPr>
            <w:r>
              <w:t>A05010201</w:t>
            </w:r>
          </w:p>
        </w:tc>
        <w:tc>
          <w:tcPr>
            <w:tcW w:w="709" w:type="dxa"/>
            <w:vAlign w:val="center"/>
          </w:tcPr>
          <w:p w14:paraId="3224EB8C">
            <w:pPr>
              <w:pStyle w:val="13"/>
            </w:pPr>
            <w:r>
              <w:t>套</w:t>
            </w:r>
          </w:p>
        </w:tc>
        <w:tc>
          <w:tcPr>
            <w:tcW w:w="850" w:type="dxa"/>
            <w:vAlign w:val="center"/>
          </w:tcPr>
          <w:p w14:paraId="61B6F0B9">
            <w:pPr>
              <w:pStyle w:val="11"/>
            </w:pPr>
            <w:r>
              <w:t>2</w:t>
            </w:r>
          </w:p>
        </w:tc>
        <w:tc>
          <w:tcPr>
            <w:tcW w:w="850" w:type="dxa"/>
            <w:vAlign w:val="center"/>
          </w:tcPr>
          <w:p w14:paraId="50EAD4A3">
            <w:pPr>
              <w:pStyle w:val="11"/>
            </w:pPr>
            <w:r>
              <w:t>0.07</w:t>
            </w:r>
          </w:p>
        </w:tc>
        <w:tc>
          <w:tcPr>
            <w:tcW w:w="964" w:type="dxa"/>
            <w:vAlign w:val="center"/>
          </w:tcPr>
          <w:p w14:paraId="1CB84A4B">
            <w:pPr>
              <w:pStyle w:val="11"/>
            </w:pPr>
            <w:r>
              <w:t>0.14</w:t>
            </w:r>
          </w:p>
        </w:tc>
        <w:tc>
          <w:tcPr>
            <w:tcW w:w="964" w:type="dxa"/>
            <w:vAlign w:val="center"/>
          </w:tcPr>
          <w:p w14:paraId="30CF79A8">
            <w:pPr>
              <w:pStyle w:val="11"/>
            </w:pPr>
            <w:r>
              <w:t>0.14</w:t>
            </w:r>
          </w:p>
        </w:tc>
        <w:tc>
          <w:tcPr>
            <w:tcW w:w="964" w:type="dxa"/>
            <w:vAlign w:val="center"/>
          </w:tcPr>
          <w:p w14:paraId="2BB3582E">
            <w:pPr>
              <w:pStyle w:val="11"/>
            </w:pPr>
          </w:p>
        </w:tc>
        <w:tc>
          <w:tcPr>
            <w:tcW w:w="964" w:type="dxa"/>
            <w:vAlign w:val="center"/>
          </w:tcPr>
          <w:p w14:paraId="7E72CE7D">
            <w:pPr>
              <w:pStyle w:val="11"/>
            </w:pPr>
          </w:p>
        </w:tc>
        <w:tc>
          <w:tcPr>
            <w:tcW w:w="964" w:type="dxa"/>
            <w:vAlign w:val="center"/>
          </w:tcPr>
          <w:p w14:paraId="436100F3">
            <w:pPr>
              <w:pStyle w:val="11"/>
            </w:pPr>
          </w:p>
        </w:tc>
        <w:tc>
          <w:tcPr>
            <w:tcW w:w="964" w:type="dxa"/>
            <w:vAlign w:val="center"/>
          </w:tcPr>
          <w:p w14:paraId="6403694E">
            <w:pPr>
              <w:pStyle w:val="11"/>
            </w:pPr>
          </w:p>
        </w:tc>
        <w:tc>
          <w:tcPr>
            <w:tcW w:w="964" w:type="dxa"/>
            <w:vAlign w:val="center"/>
          </w:tcPr>
          <w:p w14:paraId="4A5207A5">
            <w:pPr>
              <w:pStyle w:val="11"/>
            </w:pPr>
          </w:p>
        </w:tc>
        <w:tc>
          <w:tcPr>
            <w:tcW w:w="964" w:type="dxa"/>
            <w:vAlign w:val="center"/>
          </w:tcPr>
          <w:p w14:paraId="42BA27C1">
            <w:pPr>
              <w:pStyle w:val="11"/>
            </w:pPr>
          </w:p>
        </w:tc>
        <w:tc>
          <w:tcPr>
            <w:tcW w:w="964" w:type="dxa"/>
            <w:vAlign w:val="center"/>
          </w:tcPr>
          <w:p w14:paraId="17C3A13E">
            <w:pPr>
              <w:pStyle w:val="11"/>
            </w:pPr>
            <w:r>
              <w:t>0.14</w:t>
            </w:r>
          </w:p>
        </w:tc>
      </w:tr>
      <w:tr w14:paraId="7777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F9CC9B">
            <w:pPr>
              <w:pStyle w:val="12"/>
            </w:pPr>
            <w:r>
              <w:t>冀财教[2025]149号/省级/支持学前教育发展/千户营校区幼儿园设备购置</w:t>
            </w:r>
          </w:p>
        </w:tc>
        <w:tc>
          <w:tcPr>
            <w:tcW w:w="964" w:type="dxa"/>
            <w:vAlign w:val="center"/>
          </w:tcPr>
          <w:p w14:paraId="43C87CE5">
            <w:pPr>
              <w:pStyle w:val="11"/>
            </w:pPr>
            <w:r>
              <w:t>24.65</w:t>
            </w:r>
          </w:p>
        </w:tc>
        <w:tc>
          <w:tcPr>
            <w:tcW w:w="1134" w:type="dxa"/>
            <w:vAlign w:val="center"/>
          </w:tcPr>
          <w:p w14:paraId="14E092FD">
            <w:pPr>
              <w:pStyle w:val="12"/>
            </w:pPr>
            <w:r>
              <w:t>A4 彩色打印机</w:t>
            </w:r>
          </w:p>
        </w:tc>
        <w:tc>
          <w:tcPr>
            <w:tcW w:w="1134" w:type="dxa"/>
            <w:vAlign w:val="center"/>
          </w:tcPr>
          <w:p w14:paraId="26F1ED50">
            <w:pPr>
              <w:pStyle w:val="12"/>
            </w:pPr>
            <w:r>
              <w:t>A02021004</w:t>
            </w:r>
          </w:p>
        </w:tc>
        <w:tc>
          <w:tcPr>
            <w:tcW w:w="709" w:type="dxa"/>
            <w:vAlign w:val="center"/>
          </w:tcPr>
          <w:p w14:paraId="65756BB1">
            <w:pPr>
              <w:pStyle w:val="13"/>
            </w:pPr>
            <w:r>
              <w:t>台</w:t>
            </w:r>
          </w:p>
        </w:tc>
        <w:tc>
          <w:tcPr>
            <w:tcW w:w="850" w:type="dxa"/>
            <w:vAlign w:val="center"/>
          </w:tcPr>
          <w:p w14:paraId="4A286CE9">
            <w:pPr>
              <w:pStyle w:val="11"/>
            </w:pPr>
            <w:r>
              <w:t>1</w:t>
            </w:r>
          </w:p>
        </w:tc>
        <w:tc>
          <w:tcPr>
            <w:tcW w:w="850" w:type="dxa"/>
            <w:vAlign w:val="center"/>
          </w:tcPr>
          <w:p w14:paraId="0F362D67">
            <w:pPr>
              <w:pStyle w:val="11"/>
            </w:pPr>
            <w:r>
              <w:t>0.20</w:t>
            </w:r>
          </w:p>
        </w:tc>
        <w:tc>
          <w:tcPr>
            <w:tcW w:w="964" w:type="dxa"/>
            <w:vAlign w:val="center"/>
          </w:tcPr>
          <w:p w14:paraId="5A31E183">
            <w:pPr>
              <w:pStyle w:val="11"/>
            </w:pPr>
            <w:r>
              <w:t>0.20</w:t>
            </w:r>
          </w:p>
        </w:tc>
        <w:tc>
          <w:tcPr>
            <w:tcW w:w="964" w:type="dxa"/>
            <w:vAlign w:val="center"/>
          </w:tcPr>
          <w:p w14:paraId="4822A163">
            <w:pPr>
              <w:pStyle w:val="11"/>
            </w:pPr>
            <w:r>
              <w:t>0.20</w:t>
            </w:r>
          </w:p>
        </w:tc>
        <w:tc>
          <w:tcPr>
            <w:tcW w:w="964" w:type="dxa"/>
            <w:vAlign w:val="center"/>
          </w:tcPr>
          <w:p w14:paraId="7EAE844C">
            <w:pPr>
              <w:pStyle w:val="11"/>
            </w:pPr>
          </w:p>
        </w:tc>
        <w:tc>
          <w:tcPr>
            <w:tcW w:w="964" w:type="dxa"/>
            <w:vAlign w:val="center"/>
          </w:tcPr>
          <w:p w14:paraId="703FF409">
            <w:pPr>
              <w:pStyle w:val="11"/>
            </w:pPr>
          </w:p>
        </w:tc>
        <w:tc>
          <w:tcPr>
            <w:tcW w:w="964" w:type="dxa"/>
            <w:vAlign w:val="center"/>
          </w:tcPr>
          <w:p w14:paraId="19BF851E">
            <w:pPr>
              <w:pStyle w:val="11"/>
            </w:pPr>
          </w:p>
        </w:tc>
        <w:tc>
          <w:tcPr>
            <w:tcW w:w="964" w:type="dxa"/>
            <w:vAlign w:val="center"/>
          </w:tcPr>
          <w:p w14:paraId="28BF2925">
            <w:pPr>
              <w:pStyle w:val="11"/>
            </w:pPr>
          </w:p>
        </w:tc>
        <w:tc>
          <w:tcPr>
            <w:tcW w:w="964" w:type="dxa"/>
            <w:vAlign w:val="center"/>
          </w:tcPr>
          <w:p w14:paraId="1925344A">
            <w:pPr>
              <w:pStyle w:val="11"/>
            </w:pPr>
          </w:p>
        </w:tc>
        <w:tc>
          <w:tcPr>
            <w:tcW w:w="964" w:type="dxa"/>
            <w:vAlign w:val="center"/>
          </w:tcPr>
          <w:p w14:paraId="323BB8F0">
            <w:pPr>
              <w:pStyle w:val="11"/>
            </w:pPr>
          </w:p>
        </w:tc>
        <w:tc>
          <w:tcPr>
            <w:tcW w:w="964" w:type="dxa"/>
            <w:vAlign w:val="center"/>
          </w:tcPr>
          <w:p w14:paraId="78AE9469">
            <w:pPr>
              <w:pStyle w:val="11"/>
            </w:pPr>
            <w:r>
              <w:t>0.20</w:t>
            </w:r>
          </w:p>
        </w:tc>
      </w:tr>
    </w:tbl>
    <w:p w14:paraId="6E67A82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8446C7">
      <w:pPr>
        <w:spacing w:before="0" w:after="0"/>
        <w:ind w:firstLine="640"/>
        <w:jc w:val="left"/>
        <w:outlineLvl w:val="9"/>
      </w:pPr>
      <w:r>
        <w:rPr>
          <w:rFonts w:ascii="Times New Roman" w:hAnsi="Times New Roman" w:eastAsia="方正仿宋_GBK" w:cs="Times New Roman"/>
          <w:color w:val="000000"/>
          <w:sz w:val="32"/>
        </w:rPr>
        <w:t xml:space="preserve"> </w:t>
      </w:r>
    </w:p>
    <w:p w14:paraId="0F4E04A9">
      <w:pPr>
        <w:spacing w:before="10" w:after="10" w:line="240" w:lineRule="auto"/>
        <w:ind w:firstLine="640"/>
        <w:jc w:val="left"/>
        <w:outlineLvl w:val="5"/>
      </w:pPr>
      <w:r>
        <w:rPr>
          <w:rFonts w:ascii="黑体" w:hAnsi="黑体" w:eastAsia="黑体" w:cs="黑体"/>
          <w:color w:val="000000"/>
          <w:sz w:val="32"/>
        </w:rPr>
        <w:t>七、国有资产信息</w:t>
      </w:r>
    </w:p>
    <w:p w14:paraId="2EBC85DB">
      <w:pPr>
        <w:spacing w:before="0" w:after="0" w:line="500" w:lineRule="exact"/>
        <w:ind w:firstLine="560"/>
        <w:jc w:val="left"/>
        <w:outlineLvl w:val="9"/>
      </w:pPr>
      <w:r>
        <w:rPr>
          <w:rFonts w:ascii="Times New Roman" w:hAnsi="Times New Roman" w:eastAsia="方正仿宋_GBK" w:cs="Times New Roman"/>
          <w:b w:val="0"/>
          <w:color w:val="000000"/>
          <w:sz w:val="28"/>
        </w:rPr>
        <w:t>隆尧县千户营校区上年末固定资产金额为2318.18万元（详见下表）。本年度拟购置固定资产总额为51.22万元，已按要求列入政府采购预算，详见政府采购预算表。</w:t>
      </w:r>
    </w:p>
    <w:p w14:paraId="0633F9C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A5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34D207">
            <w:pPr>
              <w:pStyle w:val="9"/>
            </w:pPr>
            <w:r>
              <w:t>360025隆尧县千户营校区</w:t>
            </w:r>
          </w:p>
        </w:tc>
        <w:tc>
          <w:tcPr>
            <w:tcW w:w="5670" w:type="dxa"/>
            <w:gridSpan w:val="2"/>
            <w:tcBorders>
              <w:top w:val="single" w:color="FFFFFF" w:sz="6" w:space="0"/>
              <w:left w:val="single" w:color="FFFFFF" w:sz="6" w:space="0"/>
              <w:right w:val="single" w:color="FFFFFF" w:sz="6" w:space="0"/>
            </w:tcBorders>
            <w:vAlign w:val="center"/>
          </w:tcPr>
          <w:p w14:paraId="3C0AABB9">
            <w:pPr>
              <w:pStyle w:val="7"/>
            </w:pPr>
            <w:r>
              <w:t>截止时间：2025-12-31</w:t>
            </w:r>
          </w:p>
        </w:tc>
      </w:tr>
      <w:tr w14:paraId="6D75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FE24A4">
            <w:pPr>
              <w:pStyle w:val="10"/>
            </w:pPr>
            <w:r>
              <w:t>项   目</w:t>
            </w:r>
          </w:p>
        </w:tc>
        <w:tc>
          <w:tcPr>
            <w:tcW w:w="2835" w:type="dxa"/>
            <w:vAlign w:val="center"/>
          </w:tcPr>
          <w:p w14:paraId="3A337393">
            <w:pPr>
              <w:pStyle w:val="10"/>
            </w:pPr>
            <w:r>
              <w:t>数量</w:t>
            </w:r>
          </w:p>
        </w:tc>
        <w:tc>
          <w:tcPr>
            <w:tcW w:w="2835" w:type="dxa"/>
            <w:vAlign w:val="center"/>
          </w:tcPr>
          <w:p w14:paraId="1FAC80A9">
            <w:pPr>
              <w:pStyle w:val="10"/>
            </w:pPr>
            <w:r>
              <w:t>价值（金额单位：万元）</w:t>
            </w:r>
          </w:p>
        </w:tc>
      </w:tr>
      <w:tr w14:paraId="21C5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BCE543">
            <w:pPr>
              <w:pStyle w:val="12"/>
            </w:pPr>
            <w:r>
              <w:t>资产总额</w:t>
            </w:r>
          </w:p>
        </w:tc>
        <w:tc>
          <w:tcPr>
            <w:tcW w:w="2835" w:type="dxa"/>
            <w:vAlign w:val="center"/>
          </w:tcPr>
          <w:p w14:paraId="48F976F3">
            <w:pPr>
              <w:pStyle w:val="13"/>
            </w:pPr>
          </w:p>
        </w:tc>
        <w:tc>
          <w:tcPr>
            <w:tcW w:w="2835" w:type="dxa"/>
            <w:vAlign w:val="center"/>
          </w:tcPr>
          <w:p w14:paraId="13E14471">
            <w:pPr>
              <w:pStyle w:val="11"/>
            </w:pPr>
            <w:r>
              <w:t>2318.18</w:t>
            </w:r>
          </w:p>
        </w:tc>
      </w:tr>
      <w:tr w14:paraId="72DD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760EDB">
            <w:pPr>
              <w:pStyle w:val="12"/>
            </w:pPr>
            <w:r>
              <w:t>1、房屋（平方米）</w:t>
            </w:r>
          </w:p>
        </w:tc>
        <w:tc>
          <w:tcPr>
            <w:tcW w:w="2835" w:type="dxa"/>
            <w:vAlign w:val="center"/>
          </w:tcPr>
          <w:p w14:paraId="1CDAA163">
            <w:pPr>
              <w:pStyle w:val="13"/>
            </w:pPr>
            <w:r>
              <w:t>16098.79</w:t>
            </w:r>
          </w:p>
        </w:tc>
        <w:tc>
          <w:tcPr>
            <w:tcW w:w="2835" w:type="dxa"/>
            <w:vAlign w:val="center"/>
          </w:tcPr>
          <w:p w14:paraId="40A6C48B">
            <w:pPr>
              <w:pStyle w:val="11"/>
            </w:pPr>
            <w:r>
              <w:t>1384.32</w:t>
            </w:r>
          </w:p>
        </w:tc>
      </w:tr>
      <w:tr w14:paraId="76D3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23F885">
            <w:pPr>
              <w:pStyle w:val="12"/>
            </w:pPr>
            <w:r>
              <w:t>　　其中：办公用房（平方米）</w:t>
            </w:r>
          </w:p>
        </w:tc>
        <w:tc>
          <w:tcPr>
            <w:tcW w:w="2835" w:type="dxa"/>
            <w:vAlign w:val="center"/>
          </w:tcPr>
          <w:p w14:paraId="1319E051">
            <w:pPr>
              <w:pStyle w:val="13"/>
            </w:pPr>
            <w:r>
              <w:t>4170.79</w:t>
            </w:r>
          </w:p>
        </w:tc>
        <w:tc>
          <w:tcPr>
            <w:tcW w:w="2835" w:type="dxa"/>
            <w:vAlign w:val="center"/>
          </w:tcPr>
          <w:p w14:paraId="729CD340">
            <w:pPr>
              <w:pStyle w:val="11"/>
            </w:pPr>
            <w:r>
              <w:t>358.64</w:t>
            </w:r>
          </w:p>
        </w:tc>
      </w:tr>
      <w:tr w14:paraId="5507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CCBB9B">
            <w:pPr>
              <w:pStyle w:val="12"/>
            </w:pPr>
            <w:r>
              <w:t>2、车辆（台、辆）</w:t>
            </w:r>
          </w:p>
        </w:tc>
        <w:tc>
          <w:tcPr>
            <w:tcW w:w="2835" w:type="dxa"/>
            <w:vAlign w:val="center"/>
          </w:tcPr>
          <w:p w14:paraId="17970676">
            <w:pPr>
              <w:pStyle w:val="13"/>
            </w:pPr>
          </w:p>
        </w:tc>
        <w:tc>
          <w:tcPr>
            <w:tcW w:w="2835" w:type="dxa"/>
            <w:vAlign w:val="center"/>
          </w:tcPr>
          <w:p w14:paraId="29A1DAFF">
            <w:pPr>
              <w:pStyle w:val="11"/>
            </w:pPr>
          </w:p>
        </w:tc>
      </w:tr>
      <w:tr w14:paraId="6F0C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CDB9D9">
            <w:pPr>
              <w:pStyle w:val="12"/>
            </w:pPr>
            <w:r>
              <w:t>3、单价在20万元以上的设备</w:t>
            </w:r>
          </w:p>
        </w:tc>
        <w:tc>
          <w:tcPr>
            <w:tcW w:w="2835" w:type="dxa"/>
            <w:vAlign w:val="center"/>
          </w:tcPr>
          <w:p w14:paraId="060E0841">
            <w:pPr>
              <w:pStyle w:val="13"/>
            </w:pPr>
          </w:p>
        </w:tc>
        <w:tc>
          <w:tcPr>
            <w:tcW w:w="2835" w:type="dxa"/>
            <w:vAlign w:val="center"/>
          </w:tcPr>
          <w:p w14:paraId="3C37BB9C">
            <w:pPr>
              <w:pStyle w:val="11"/>
            </w:pPr>
          </w:p>
        </w:tc>
      </w:tr>
      <w:tr w14:paraId="3C80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BFD08B">
            <w:pPr>
              <w:pStyle w:val="12"/>
            </w:pPr>
            <w:r>
              <w:t>4、其他固定资产</w:t>
            </w:r>
          </w:p>
        </w:tc>
        <w:tc>
          <w:tcPr>
            <w:tcW w:w="2835" w:type="dxa"/>
            <w:vAlign w:val="center"/>
          </w:tcPr>
          <w:p w14:paraId="14891E38">
            <w:pPr>
              <w:pStyle w:val="13"/>
            </w:pPr>
            <w:r>
              <w:t>117706</w:t>
            </w:r>
          </w:p>
        </w:tc>
        <w:tc>
          <w:tcPr>
            <w:tcW w:w="2835" w:type="dxa"/>
            <w:vAlign w:val="center"/>
          </w:tcPr>
          <w:p w14:paraId="6E545B03">
            <w:pPr>
              <w:pStyle w:val="11"/>
            </w:pPr>
            <w:r>
              <w:t>933.86</w:t>
            </w:r>
          </w:p>
        </w:tc>
      </w:tr>
    </w:tbl>
    <w:p w14:paraId="4D1BE12B">
      <w:pPr>
        <w:spacing w:before="0" w:after="0"/>
        <w:ind w:firstLine="640"/>
        <w:jc w:val="left"/>
        <w:outlineLvl w:val="9"/>
      </w:pPr>
      <w:r>
        <w:rPr>
          <w:rFonts w:ascii="Times New Roman" w:hAnsi="Times New Roman" w:eastAsia="方正仿宋_GBK" w:cs="Times New Roman"/>
          <w:color w:val="000000"/>
          <w:sz w:val="32"/>
        </w:rPr>
        <w:t xml:space="preserve"> </w:t>
      </w:r>
    </w:p>
    <w:p w14:paraId="167C4304">
      <w:pPr>
        <w:spacing w:before="10" w:after="10" w:line="240" w:lineRule="auto"/>
        <w:ind w:firstLine="640"/>
        <w:jc w:val="left"/>
        <w:outlineLvl w:val="5"/>
      </w:pPr>
      <w:r>
        <w:rPr>
          <w:rFonts w:ascii="黑体" w:hAnsi="黑体" w:eastAsia="黑体" w:cs="黑体"/>
          <w:color w:val="000000"/>
          <w:sz w:val="32"/>
        </w:rPr>
        <w:t>八、名词解释</w:t>
      </w:r>
    </w:p>
    <w:p w14:paraId="44CC266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2BBA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E501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0B40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0B9D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654A3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F8D71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66CB3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4C15F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6AE6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EC3C08">
      <w:pPr>
        <w:spacing w:before="10" w:after="10" w:line="240" w:lineRule="auto"/>
        <w:ind w:firstLine="640"/>
        <w:jc w:val="left"/>
        <w:outlineLvl w:val="5"/>
      </w:pPr>
      <w:r>
        <w:rPr>
          <w:rFonts w:ascii="黑体" w:hAnsi="黑体" w:eastAsia="黑体" w:cs="黑体"/>
          <w:color w:val="000000"/>
          <w:sz w:val="32"/>
        </w:rPr>
        <w:t>九、其他需要说明的事项</w:t>
      </w:r>
    </w:p>
    <w:p w14:paraId="595D23F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C33887D">
      <w:pPr>
        <w:spacing w:before="0" w:after="0"/>
        <w:ind w:firstLine="0"/>
        <w:jc w:val="center"/>
        <w:outlineLvl w:val="3"/>
      </w:pPr>
      <w:bookmarkStart w:id="24" w:name="_Toc_4_4_0000000025"/>
      <w:r>
        <w:rPr>
          <w:rFonts w:ascii="方正小标宋_GBK" w:hAnsi="方正小标宋_GBK" w:eastAsia="方正小标宋_GBK" w:cs="方正小标宋_GBK"/>
          <w:b w:val="0"/>
          <w:color w:val="000000"/>
          <w:sz w:val="44"/>
        </w:rPr>
        <w:t>二十五、隆尧县牛家桥校区收支预算</w:t>
      </w:r>
      <w:bookmarkEnd w:id="24"/>
    </w:p>
    <w:p w14:paraId="043F48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40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C77CA5">
            <w:pPr>
              <w:pStyle w:val="9"/>
            </w:pPr>
            <w:r>
              <w:t>360026隆尧县牛家桥校区</w:t>
            </w:r>
          </w:p>
        </w:tc>
        <w:tc>
          <w:tcPr>
            <w:tcW w:w="2126" w:type="dxa"/>
            <w:tcBorders>
              <w:top w:val="single" w:color="FFFFFF" w:sz="6" w:space="0"/>
              <w:left w:val="single" w:color="FFFFFF" w:sz="6" w:space="0"/>
              <w:right w:val="single" w:color="FFFFFF" w:sz="6" w:space="0"/>
            </w:tcBorders>
            <w:vAlign w:val="center"/>
          </w:tcPr>
          <w:p w14:paraId="19CDAB5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7240EE9">
            <w:pPr>
              <w:pStyle w:val="7"/>
            </w:pPr>
            <w:r>
              <w:t>单位：万元</w:t>
            </w:r>
          </w:p>
        </w:tc>
      </w:tr>
      <w:tr w14:paraId="00822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C35F8">
            <w:pPr>
              <w:pStyle w:val="10"/>
            </w:pPr>
            <w:r>
              <w:t>序号</w:t>
            </w:r>
          </w:p>
        </w:tc>
        <w:tc>
          <w:tcPr>
            <w:tcW w:w="6661" w:type="dxa"/>
            <w:gridSpan w:val="2"/>
            <w:vAlign w:val="center"/>
          </w:tcPr>
          <w:p w14:paraId="7981F368">
            <w:pPr>
              <w:pStyle w:val="10"/>
            </w:pPr>
            <w:r>
              <w:t>收入</w:t>
            </w:r>
          </w:p>
        </w:tc>
        <w:tc>
          <w:tcPr>
            <w:tcW w:w="6661" w:type="dxa"/>
            <w:gridSpan w:val="2"/>
            <w:vAlign w:val="center"/>
          </w:tcPr>
          <w:p w14:paraId="620649B6">
            <w:pPr>
              <w:pStyle w:val="10"/>
            </w:pPr>
            <w:r>
              <w:t>支出</w:t>
            </w:r>
          </w:p>
        </w:tc>
      </w:tr>
      <w:tr w14:paraId="06FC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922C5"/>
        </w:tc>
        <w:tc>
          <w:tcPr>
            <w:tcW w:w="4535" w:type="dxa"/>
            <w:vAlign w:val="center"/>
          </w:tcPr>
          <w:p w14:paraId="2BFE45AF">
            <w:pPr>
              <w:pStyle w:val="10"/>
            </w:pPr>
            <w:r>
              <w:t>项  目</w:t>
            </w:r>
          </w:p>
        </w:tc>
        <w:tc>
          <w:tcPr>
            <w:tcW w:w="2126" w:type="dxa"/>
            <w:vAlign w:val="center"/>
          </w:tcPr>
          <w:p w14:paraId="45FBC46A">
            <w:pPr>
              <w:pStyle w:val="10"/>
            </w:pPr>
            <w:r>
              <w:t>预算数</w:t>
            </w:r>
          </w:p>
        </w:tc>
        <w:tc>
          <w:tcPr>
            <w:tcW w:w="4535" w:type="dxa"/>
            <w:vAlign w:val="center"/>
          </w:tcPr>
          <w:p w14:paraId="4B085401">
            <w:pPr>
              <w:pStyle w:val="10"/>
            </w:pPr>
            <w:r>
              <w:t>项  目</w:t>
            </w:r>
          </w:p>
        </w:tc>
        <w:tc>
          <w:tcPr>
            <w:tcW w:w="2126" w:type="dxa"/>
            <w:vAlign w:val="center"/>
          </w:tcPr>
          <w:p w14:paraId="178F3B05">
            <w:pPr>
              <w:pStyle w:val="10"/>
            </w:pPr>
            <w:r>
              <w:t>预算数</w:t>
            </w:r>
          </w:p>
        </w:tc>
      </w:tr>
      <w:tr w14:paraId="0C19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0D45E">
            <w:pPr>
              <w:pStyle w:val="10"/>
            </w:pPr>
            <w:r>
              <w:t>栏次</w:t>
            </w:r>
          </w:p>
        </w:tc>
        <w:tc>
          <w:tcPr>
            <w:tcW w:w="4535" w:type="dxa"/>
            <w:vAlign w:val="center"/>
          </w:tcPr>
          <w:p w14:paraId="3B974924">
            <w:pPr>
              <w:pStyle w:val="10"/>
            </w:pPr>
            <w:r>
              <w:t>1</w:t>
            </w:r>
          </w:p>
        </w:tc>
        <w:tc>
          <w:tcPr>
            <w:tcW w:w="2126" w:type="dxa"/>
            <w:vAlign w:val="center"/>
          </w:tcPr>
          <w:p w14:paraId="7BFC8FBE">
            <w:pPr>
              <w:pStyle w:val="10"/>
            </w:pPr>
            <w:r>
              <w:t>2</w:t>
            </w:r>
          </w:p>
        </w:tc>
        <w:tc>
          <w:tcPr>
            <w:tcW w:w="4535" w:type="dxa"/>
            <w:vAlign w:val="center"/>
          </w:tcPr>
          <w:p w14:paraId="7CB11F65">
            <w:pPr>
              <w:pStyle w:val="10"/>
            </w:pPr>
            <w:r>
              <w:t>3</w:t>
            </w:r>
          </w:p>
        </w:tc>
        <w:tc>
          <w:tcPr>
            <w:tcW w:w="2126" w:type="dxa"/>
            <w:vAlign w:val="center"/>
          </w:tcPr>
          <w:p w14:paraId="073F81D4">
            <w:pPr>
              <w:pStyle w:val="10"/>
            </w:pPr>
            <w:r>
              <w:t>4</w:t>
            </w:r>
          </w:p>
        </w:tc>
      </w:tr>
      <w:tr w14:paraId="7755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57B8E">
            <w:pPr>
              <w:pStyle w:val="13"/>
            </w:pPr>
            <w:r>
              <w:t>1</w:t>
            </w:r>
          </w:p>
        </w:tc>
        <w:tc>
          <w:tcPr>
            <w:tcW w:w="4535" w:type="dxa"/>
            <w:vAlign w:val="center"/>
          </w:tcPr>
          <w:p w14:paraId="088B4A4B">
            <w:pPr>
              <w:pStyle w:val="12"/>
            </w:pPr>
            <w:r>
              <w:t>一、一般公共预算拨款收入</w:t>
            </w:r>
          </w:p>
        </w:tc>
        <w:tc>
          <w:tcPr>
            <w:tcW w:w="2126" w:type="dxa"/>
            <w:vAlign w:val="center"/>
          </w:tcPr>
          <w:p w14:paraId="174E9C76">
            <w:pPr>
              <w:pStyle w:val="11"/>
            </w:pPr>
            <w:r>
              <w:t>2098.68</w:t>
            </w:r>
          </w:p>
        </w:tc>
        <w:tc>
          <w:tcPr>
            <w:tcW w:w="4535" w:type="dxa"/>
            <w:vAlign w:val="center"/>
          </w:tcPr>
          <w:p w14:paraId="4369E66E">
            <w:pPr>
              <w:pStyle w:val="12"/>
            </w:pPr>
            <w:r>
              <w:t>一、一般公共服务支出</w:t>
            </w:r>
          </w:p>
        </w:tc>
        <w:tc>
          <w:tcPr>
            <w:tcW w:w="2126" w:type="dxa"/>
            <w:vAlign w:val="center"/>
          </w:tcPr>
          <w:p w14:paraId="47492E18">
            <w:pPr>
              <w:pStyle w:val="11"/>
            </w:pPr>
          </w:p>
        </w:tc>
      </w:tr>
      <w:tr w14:paraId="2BB1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46D5">
            <w:pPr>
              <w:pStyle w:val="13"/>
            </w:pPr>
            <w:r>
              <w:t>2</w:t>
            </w:r>
          </w:p>
        </w:tc>
        <w:tc>
          <w:tcPr>
            <w:tcW w:w="4535" w:type="dxa"/>
            <w:vAlign w:val="center"/>
          </w:tcPr>
          <w:p w14:paraId="76813604">
            <w:pPr>
              <w:pStyle w:val="12"/>
            </w:pPr>
            <w:r>
              <w:t>二、政府性基金预算拨款收入</w:t>
            </w:r>
          </w:p>
        </w:tc>
        <w:tc>
          <w:tcPr>
            <w:tcW w:w="2126" w:type="dxa"/>
            <w:vAlign w:val="center"/>
          </w:tcPr>
          <w:p w14:paraId="54A53EE6">
            <w:pPr>
              <w:pStyle w:val="11"/>
            </w:pPr>
          </w:p>
        </w:tc>
        <w:tc>
          <w:tcPr>
            <w:tcW w:w="4535" w:type="dxa"/>
            <w:vAlign w:val="center"/>
          </w:tcPr>
          <w:p w14:paraId="75ECF218">
            <w:pPr>
              <w:pStyle w:val="12"/>
            </w:pPr>
            <w:r>
              <w:t>二、外交支出</w:t>
            </w:r>
          </w:p>
        </w:tc>
        <w:tc>
          <w:tcPr>
            <w:tcW w:w="2126" w:type="dxa"/>
            <w:vAlign w:val="center"/>
          </w:tcPr>
          <w:p w14:paraId="35934031">
            <w:pPr>
              <w:pStyle w:val="11"/>
            </w:pPr>
          </w:p>
        </w:tc>
      </w:tr>
      <w:tr w14:paraId="4F2A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1C61">
            <w:pPr>
              <w:pStyle w:val="13"/>
            </w:pPr>
            <w:r>
              <w:t>3</w:t>
            </w:r>
          </w:p>
        </w:tc>
        <w:tc>
          <w:tcPr>
            <w:tcW w:w="4535" w:type="dxa"/>
            <w:vAlign w:val="center"/>
          </w:tcPr>
          <w:p w14:paraId="774E8EE6">
            <w:pPr>
              <w:pStyle w:val="12"/>
            </w:pPr>
            <w:r>
              <w:t>三、国有资本经营预算拨款收入</w:t>
            </w:r>
          </w:p>
        </w:tc>
        <w:tc>
          <w:tcPr>
            <w:tcW w:w="2126" w:type="dxa"/>
            <w:vAlign w:val="center"/>
          </w:tcPr>
          <w:p w14:paraId="3AC43902">
            <w:pPr>
              <w:pStyle w:val="11"/>
            </w:pPr>
          </w:p>
        </w:tc>
        <w:tc>
          <w:tcPr>
            <w:tcW w:w="4535" w:type="dxa"/>
            <w:vAlign w:val="center"/>
          </w:tcPr>
          <w:p w14:paraId="23AE2C86">
            <w:pPr>
              <w:pStyle w:val="12"/>
            </w:pPr>
            <w:r>
              <w:t>三、国防支出</w:t>
            </w:r>
          </w:p>
        </w:tc>
        <w:tc>
          <w:tcPr>
            <w:tcW w:w="2126" w:type="dxa"/>
            <w:vAlign w:val="center"/>
          </w:tcPr>
          <w:p w14:paraId="204FC51F">
            <w:pPr>
              <w:pStyle w:val="11"/>
            </w:pPr>
          </w:p>
        </w:tc>
      </w:tr>
      <w:tr w14:paraId="0204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AB10D">
            <w:pPr>
              <w:pStyle w:val="13"/>
            </w:pPr>
            <w:r>
              <w:t>4</w:t>
            </w:r>
          </w:p>
        </w:tc>
        <w:tc>
          <w:tcPr>
            <w:tcW w:w="4535" w:type="dxa"/>
            <w:vAlign w:val="center"/>
          </w:tcPr>
          <w:p w14:paraId="380ACFE6">
            <w:pPr>
              <w:pStyle w:val="12"/>
            </w:pPr>
            <w:r>
              <w:t>四、财政专户管理资金收入</w:t>
            </w:r>
          </w:p>
        </w:tc>
        <w:tc>
          <w:tcPr>
            <w:tcW w:w="2126" w:type="dxa"/>
            <w:vAlign w:val="center"/>
          </w:tcPr>
          <w:p w14:paraId="619126B1">
            <w:pPr>
              <w:pStyle w:val="11"/>
            </w:pPr>
          </w:p>
        </w:tc>
        <w:tc>
          <w:tcPr>
            <w:tcW w:w="4535" w:type="dxa"/>
            <w:vAlign w:val="center"/>
          </w:tcPr>
          <w:p w14:paraId="030DB5D5">
            <w:pPr>
              <w:pStyle w:val="12"/>
            </w:pPr>
            <w:r>
              <w:t>四、公共安全支出</w:t>
            </w:r>
          </w:p>
        </w:tc>
        <w:tc>
          <w:tcPr>
            <w:tcW w:w="2126" w:type="dxa"/>
            <w:vAlign w:val="center"/>
          </w:tcPr>
          <w:p w14:paraId="279CB96E">
            <w:pPr>
              <w:pStyle w:val="11"/>
            </w:pPr>
          </w:p>
        </w:tc>
      </w:tr>
      <w:tr w14:paraId="6837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151E">
            <w:pPr>
              <w:pStyle w:val="13"/>
            </w:pPr>
            <w:r>
              <w:t>5</w:t>
            </w:r>
          </w:p>
        </w:tc>
        <w:tc>
          <w:tcPr>
            <w:tcW w:w="4535" w:type="dxa"/>
            <w:vAlign w:val="center"/>
          </w:tcPr>
          <w:p w14:paraId="1EA3D104">
            <w:pPr>
              <w:pStyle w:val="12"/>
            </w:pPr>
            <w:r>
              <w:t>五、单位资金</w:t>
            </w:r>
          </w:p>
        </w:tc>
        <w:tc>
          <w:tcPr>
            <w:tcW w:w="2126" w:type="dxa"/>
            <w:vAlign w:val="center"/>
          </w:tcPr>
          <w:p w14:paraId="7F331D57">
            <w:pPr>
              <w:pStyle w:val="11"/>
            </w:pPr>
          </w:p>
        </w:tc>
        <w:tc>
          <w:tcPr>
            <w:tcW w:w="4535" w:type="dxa"/>
            <w:vAlign w:val="center"/>
          </w:tcPr>
          <w:p w14:paraId="0AF08931">
            <w:pPr>
              <w:pStyle w:val="12"/>
            </w:pPr>
            <w:r>
              <w:t>五、教育支出</w:t>
            </w:r>
          </w:p>
        </w:tc>
        <w:tc>
          <w:tcPr>
            <w:tcW w:w="2126" w:type="dxa"/>
            <w:vAlign w:val="center"/>
          </w:tcPr>
          <w:p w14:paraId="0BB9450E">
            <w:pPr>
              <w:pStyle w:val="11"/>
            </w:pPr>
            <w:r>
              <w:t>2098.68</w:t>
            </w:r>
          </w:p>
        </w:tc>
      </w:tr>
      <w:tr w14:paraId="3280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DAC74">
            <w:pPr>
              <w:pStyle w:val="13"/>
            </w:pPr>
            <w:r>
              <w:t>6</w:t>
            </w:r>
          </w:p>
        </w:tc>
        <w:tc>
          <w:tcPr>
            <w:tcW w:w="4535" w:type="dxa"/>
            <w:vAlign w:val="center"/>
          </w:tcPr>
          <w:p w14:paraId="0CDCAEC4">
            <w:pPr>
              <w:pStyle w:val="12"/>
            </w:pPr>
          </w:p>
        </w:tc>
        <w:tc>
          <w:tcPr>
            <w:tcW w:w="2126" w:type="dxa"/>
            <w:vAlign w:val="center"/>
          </w:tcPr>
          <w:p w14:paraId="7ACEA2A7">
            <w:pPr>
              <w:pStyle w:val="11"/>
            </w:pPr>
          </w:p>
        </w:tc>
        <w:tc>
          <w:tcPr>
            <w:tcW w:w="4535" w:type="dxa"/>
            <w:vAlign w:val="center"/>
          </w:tcPr>
          <w:p w14:paraId="5D8D320F">
            <w:pPr>
              <w:pStyle w:val="12"/>
            </w:pPr>
            <w:r>
              <w:t>六、科学技术支出</w:t>
            </w:r>
          </w:p>
        </w:tc>
        <w:tc>
          <w:tcPr>
            <w:tcW w:w="2126" w:type="dxa"/>
            <w:vAlign w:val="center"/>
          </w:tcPr>
          <w:p w14:paraId="4FF9A14E">
            <w:pPr>
              <w:pStyle w:val="11"/>
            </w:pPr>
          </w:p>
        </w:tc>
      </w:tr>
      <w:tr w14:paraId="766C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D9BF">
            <w:pPr>
              <w:pStyle w:val="13"/>
            </w:pPr>
            <w:r>
              <w:t>7</w:t>
            </w:r>
          </w:p>
        </w:tc>
        <w:tc>
          <w:tcPr>
            <w:tcW w:w="4535" w:type="dxa"/>
            <w:vAlign w:val="center"/>
          </w:tcPr>
          <w:p w14:paraId="2CBB1D4C">
            <w:pPr>
              <w:pStyle w:val="12"/>
            </w:pPr>
          </w:p>
        </w:tc>
        <w:tc>
          <w:tcPr>
            <w:tcW w:w="2126" w:type="dxa"/>
            <w:vAlign w:val="center"/>
          </w:tcPr>
          <w:p w14:paraId="4D2195B8">
            <w:pPr>
              <w:pStyle w:val="11"/>
            </w:pPr>
          </w:p>
        </w:tc>
        <w:tc>
          <w:tcPr>
            <w:tcW w:w="4535" w:type="dxa"/>
            <w:vAlign w:val="center"/>
          </w:tcPr>
          <w:p w14:paraId="5FFA4C5A">
            <w:pPr>
              <w:pStyle w:val="12"/>
            </w:pPr>
            <w:r>
              <w:t>七、文化旅游体育与传媒支出</w:t>
            </w:r>
          </w:p>
        </w:tc>
        <w:tc>
          <w:tcPr>
            <w:tcW w:w="2126" w:type="dxa"/>
            <w:vAlign w:val="center"/>
          </w:tcPr>
          <w:p w14:paraId="1D876493">
            <w:pPr>
              <w:pStyle w:val="11"/>
            </w:pPr>
          </w:p>
        </w:tc>
      </w:tr>
      <w:tr w14:paraId="052B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77D2">
            <w:pPr>
              <w:pStyle w:val="13"/>
            </w:pPr>
            <w:r>
              <w:t>8</w:t>
            </w:r>
          </w:p>
        </w:tc>
        <w:tc>
          <w:tcPr>
            <w:tcW w:w="4535" w:type="dxa"/>
            <w:vAlign w:val="center"/>
          </w:tcPr>
          <w:p w14:paraId="7B034D53">
            <w:pPr>
              <w:pStyle w:val="12"/>
            </w:pPr>
          </w:p>
        </w:tc>
        <w:tc>
          <w:tcPr>
            <w:tcW w:w="2126" w:type="dxa"/>
            <w:vAlign w:val="center"/>
          </w:tcPr>
          <w:p w14:paraId="4A7C6D2E">
            <w:pPr>
              <w:pStyle w:val="11"/>
            </w:pPr>
          </w:p>
        </w:tc>
        <w:tc>
          <w:tcPr>
            <w:tcW w:w="4535" w:type="dxa"/>
            <w:vAlign w:val="center"/>
          </w:tcPr>
          <w:p w14:paraId="364602FD">
            <w:pPr>
              <w:pStyle w:val="12"/>
            </w:pPr>
            <w:r>
              <w:t>八、社会保障和就业支出</w:t>
            </w:r>
          </w:p>
        </w:tc>
        <w:tc>
          <w:tcPr>
            <w:tcW w:w="2126" w:type="dxa"/>
            <w:vAlign w:val="center"/>
          </w:tcPr>
          <w:p w14:paraId="3EF2AF19">
            <w:pPr>
              <w:pStyle w:val="11"/>
            </w:pPr>
          </w:p>
        </w:tc>
      </w:tr>
      <w:tr w14:paraId="4C5A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4351">
            <w:pPr>
              <w:pStyle w:val="13"/>
            </w:pPr>
            <w:r>
              <w:t>9</w:t>
            </w:r>
          </w:p>
        </w:tc>
        <w:tc>
          <w:tcPr>
            <w:tcW w:w="4535" w:type="dxa"/>
            <w:vAlign w:val="center"/>
          </w:tcPr>
          <w:p w14:paraId="4D38A13C">
            <w:pPr>
              <w:pStyle w:val="12"/>
            </w:pPr>
          </w:p>
        </w:tc>
        <w:tc>
          <w:tcPr>
            <w:tcW w:w="2126" w:type="dxa"/>
            <w:vAlign w:val="center"/>
          </w:tcPr>
          <w:p w14:paraId="0EFC1EFE">
            <w:pPr>
              <w:pStyle w:val="11"/>
            </w:pPr>
          </w:p>
        </w:tc>
        <w:tc>
          <w:tcPr>
            <w:tcW w:w="4535" w:type="dxa"/>
            <w:vAlign w:val="center"/>
          </w:tcPr>
          <w:p w14:paraId="6005D433">
            <w:pPr>
              <w:pStyle w:val="12"/>
            </w:pPr>
            <w:r>
              <w:t>九、社会保险基金支出</w:t>
            </w:r>
          </w:p>
        </w:tc>
        <w:tc>
          <w:tcPr>
            <w:tcW w:w="2126" w:type="dxa"/>
            <w:vAlign w:val="center"/>
          </w:tcPr>
          <w:p w14:paraId="6CC67361">
            <w:pPr>
              <w:pStyle w:val="11"/>
            </w:pPr>
          </w:p>
        </w:tc>
      </w:tr>
      <w:tr w14:paraId="5B69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97C2">
            <w:pPr>
              <w:pStyle w:val="13"/>
            </w:pPr>
            <w:r>
              <w:t>10</w:t>
            </w:r>
          </w:p>
        </w:tc>
        <w:tc>
          <w:tcPr>
            <w:tcW w:w="4535" w:type="dxa"/>
            <w:vAlign w:val="center"/>
          </w:tcPr>
          <w:p w14:paraId="0C0826CF">
            <w:pPr>
              <w:pStyle w:val="12"/>
            </w:pPr>
          </w:p>
        </w:tc>
        <w:tc>
          <w:tcPr>
            <w:tcW w:w="2126" w:type="dxa"/>
            <w:vAlign w:val="center"/>
          </w:tcPr>
          <w:p w14:paraId="54BC6CD8">
            <w:pPr>
              <w:pStyle w:val="11"/>
            </w:pPr>
          </w:p>
        </w:tc>
        <w:tc>
          <w:tcPr>
            <w:tcW w:w="4535" w:type="dxa"/>
            <w:vAlign w:val="center"/>
          </w:tcPr>
          <w:p w14:paraId="375EC362">
            <w:pPr>
              <w:pStyle w:val="12"/>
            </w:pPr>
            <w:r>
              <w:t>十、卫生健康支出</w:t>
            </w:r>
          </w:p>
        </w:tc>
        <w:tc>
          <w:tcPr>
            <w:tcW w:w="2126" w:type="dxa"/>
            <w:vAlign w:val="center"/>
          </w:tcPr>
          <w:p w14:paraId="7DD686B5">
            <w:pPr>
              <w:pStyle w:val="11"/>
            </w:pPr>
          </w:p>
        </w:tc>
      </w:tr>
      <w:tr w14:paraId="447D4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7698A">
            <w:pPr>
              <w:pStyle w:val="13"/>
            </w:pPr>
            <w:r>
              <w:t>11</w:t>
            </w:r>
          </w:p>
        </w:tc>
        <w:tc>
          <w:tcPr>
            <w:tcW w:w="4535" w:type="dxa"/>
            <w:vAlign w:val="center"/>
          </w:tcPr>
          <w:p w14:paraId="28203FC8">
            <w:pPr>
              <w:pStyle w:val="12"/>
            </w:pPr>
          </w:p>
        </w:tc>
        <w:tc>
          <w:tcPr>
            <w:tcW w:w="2126" w:type="dxa"/>
            <w:vAlign w:val="center"/>
          </w:tcPr>
          <w:p w14:paraId="6C4B499A">
            <w:pPr>
              <w:pStyle w:val="11"/>
            </w:pPr>
          </w:p>
        </w:tc>
        <w:tc>
          <w:tcPr>
            <w:tcW w:w="4535" w:type="dxa"/>
            <w:vAlign w:val="center"/>
          </w:tcPr>
          <w:p w14:paraId="1A9D5B50">
            <w:pPr>
              <w:pStyle w:val="12"/>
            </w:pPr>
            <w:r>
              <w:t>十一、节能环保支出</w:t>
            </w:r>
          </w:p>
        </w:tc>
        <w:tc>
          <w:tcPr>
            <w:tcW w:w="2126" w:type="dxa"/>
            <w:vAlign w:val="center"/>
          </w:tcPr>
          <w:p w14:paraId="54F6BB18">
            <w:pPr>
              <w:pStyle w:val="11"/>
            </w:pPr>
          </w:p>
        </w:tc>
      </w:tr>
      <w:tr w14:paraId="7A7A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E4653">
            <w:pPr>
              <w:pStyle w:val="13"/>
            </w:pPr>
            <w:r>
              <w:t>12</w:t>
            </w:r>
          </w:p>
        </w:tc>
        <w:tc>
          <w:tcPr>
            <w:tcW w:w="4535" w:type="dxa"/>
            <w:vAlign w:val="center"/>
          </w:tcPr>
          <w:p w14:paraId="7841CF86">
            <w:pPr>
              <w:pStyle w:val="12"/>
            </w:pPr>
          </w:p>
        </w:tc>
        <w:tc>
          <w:tcPr>
            <w:tcW w:w="2126" w:type="dxa"/>
            <w:vAlign w:val="center"/>
          </w:tcPr>
          <w:p w14:paraId="3067CCEA">
            <w:pPr>
              <w:pStyle w:val="11"/>
            </w:pPr>
          </w:p>
        </w:tc>
        <w:tc>
          <w:tcPr>
            <w:tcW w:w="4535" w:type="dxa"/>
            <w:vAlign w:val="center"/>
          </w:tcPr>
          <w:p w14:paraId="6DC20708">
            <w:pPr>
              <w:pStyle w:val="12"/>
            </w:pPr>
            <w:r>
              <w:t>十二、城乡社区支出</w:t>
            </w:r>
          </w:p>
        </w:tc>
        <w:tc>
          <w:tcPr>
            <w:tcW w:w="2126" w:type="dxa"/>
            <w:vAlign w:val="center"/>
          </w:tcPr>
          <w:p w14:paraId="3E75C018">
            <w:pPr>
              <w:pStyle w:val="11"/>
            </w:pPr>
          </w:p>
        </w:tc>
      </w:tr>
      <w:tr w14:paraId="2F2D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35125">
            <w:pPr>
              <w:pStyle w:val="13"/>
            </w:pPr>
            <w:r>
              <w:t>13</w:t>
            </w:r>
          </w:p>
        </w:tc>
        <w:tc>
          <w:tcPr>
            <w:tcW w:w="4535" w:type="dxa"/>
            <w:vAlign w:val="center"/>
          </w:tcPr>
          <w:p w14:paraId="5DCE5728">
            <w:pPr>
              <w:pStyle w:val="12"/>
            </w:pPr>
          </w:p>
        </w:tc>
        <w:tc>
          <w:tcPr>
            <w:tcW w:w="2126" w:type="dxa"/>
            <w:vAlign w:val="center"/>
          </w:tcPr>
          <w:p w14:paraId="54AA783E">
            <w:pPr>
              <w:pStyle w:val="11"/>
            </w:pPr>
          </w:p>
        </w:tc>
        <w:tc>
          <w:tcPr>
            <w:tcW w:w="4535" w:type="dxa"/>
            <w:vAlign w:val="center"/>
          </w:tcPr>
          <w:p w14:paraId="63A3A3F2">
            <w:pPr>
              <w:pStyle w:val="12"/>
            </w:pPr>
            <w:r>
              <w:t>十三、农林水支出</w:t>
            </w:r>
          </w:p>
        </w:tc>
        <w:tc>
          <w:tcPr>
            <w:tcW w:w="2126" w:type="dxa"/>
            <w:vAlign w:val="center"/>
          </w:tcPr>
          <w:p w14:paraId="1DAD0B4A">
            <w:pPr>
              <w:pStyle w:val="11"/>
            </w:pPr>
          </w:p>
        </w:tc>
      </w:tr>
      <w:tr w14:paraId="315A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1BDC1">
            <w:pPr>
              <w:pStyle w:val="13"/>
            </w:pPr>
            <w:r>
              <w:t>14</w:t>
            </w:r>
          </w:p>
        </w:tc>
        <w:tc>
          <w:tcPr>
            <w:tcW w:w="4535" w:type="dxa"/>
            <w:vAlign w:val="center"/>
          </w:tcPr>
          <w:p w14:paraId="23B4C6FE">
            <w:pPr>
              <w:pStyle w:val="12"/>
            </w:pPr>
          </w:p>
        </w:tc>
        <w:tc>
          <w:tcPr>
            <w:tcW w:w="2126" w:type="dxa"/>
            <w:vAlign w:val="center"/>
          </w:tcPr>
          <w:p w14:paraId="3DD18D2E">
            <w:pPr>
              <w:pStyle w:val="11"/>
            </w:pPr>
          </w:p>
        </w:tc>
        <w:tc>
          <w:tcPr>
            <w:tcW w:w="4535" w:type="dxa"/>
            <w:vAlign w:val="center"/>
          </w:tcPr>
          <w:p w14:paraId="46EF29EF">
            <w:pPr>
              <w:pStyle w:val="12"/>
            </w:pPr>
            <w:r>
              <w:t>十四、交通运输支出</w:t>
            </w:r>
          </w:p>
        </w:tc>
        <w:tc>
          <w:tcPr>
            <w:tcW w:w="2126" w:type="dxa"/>
            <w:vAlign w:val="center"/>
          </w:tcPr>
          <w:p w14:paraId="47FA3CA4">
            <w:pPr>
              <w:pStyle w:val="11"/>
            </w:pPr>
          </w:p>
        </w:tc>
      </w:tr>
      <w:tr w14:paraId="1231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97CF">
            <w:pPr>
              <w:pStyle w:val="13"/>
            </w:pPr>
            <w:r>
              <w:t>15</w:t>
            </w:r>
          </w:p>
        </w:tc>
        <w:tc>
          <w:tcPr>
            <w:tcW w:w="4535" w:type="dxa"/>
            <w:vAlign w:val="center"/>
          </w:tcPr>
          <w:p w14:paraId="33282066">
            <w:pPr>
              <w:pStyle w:val="12"/>
            </w:pPr>
          </w:p>
        </w:tc>
        <w:tc>
          <w:tcPr>
            <w:tcW w:w="2126" w:type="dxa"/>
            <w:vAlign w:val="center"/>
          </w:tcPr>
          <w:p w14:paraId="72E5D23B">
            <w:pPr>
              <w:pStyle w:val="11"/>
            </w:pPr>
          </w:p>
        </w:tc>
        <w:tc>
          <w:tcPr>
            <w:tcW w:w="4535" w:type="dxa"/>
            <w:vAlign w:val="center"/>
          </w:tcPr>
          <w:p w14:paraId="00A717A0">
            <w:pPr>
              <w:pStyle w:val="12"/>
            </w:pPr>
            <w:r>
              <w:t>十五、资源勘探工业信息等支出</w:t>
            </w:r>
          </w:p>
        </w:tc>
        <w:tc>
          <w:tcPr>
            <w:tcW w:w="2126" w:type="dxa"/>
            <w:vAlign w:val="center"/>
          </w:tcPr>
          <w:p w14:paraId="598E111D">
            <w:pPr>
              <w:pStyle w:val="11"/>
            </w:pPr>
          </w:p>
        </w:tc>
      </w:tr>
      <w:tr w14:paraId="7383E5F7">
        <w:tblPrEx>
          <w:tblCellMar>
            <w:top w:w="0" w:type="dxa"/>
            <w:left w:w="108" w:type="dxa"/>
            <w:bottom w:w="0" w:type="dxa"/>
            <w:right w:w="108" w:type="dxa"/>
          </w:tblCellMar>
        </w:tblPrEx>
        <w:trPr>
          <w:trHeight w:val="369" w:hRule="atLeast"/>
          <w:jc w:val="center"/>
        </w:trPr>
        <w:tc>
          <w:tcPr>
            <w:tcW w:w="850" w:type="dxa"/>
            <w:vAlign w:val="center"/>
          </w:tcPr>
          <w:p w14:paraId="366F9B14">
            <w:pPr>
              <w:pStyle w:val="13"/>
            </w:pPr>
            <w:r>
              <w:t>16</w:t>
            </w:r>
          </w:p>
        </w:tc>
        <w:tc>
          <w:tcPr>
            <w:tcW w:w="4535" w:type="dxa"/>
            <w:vAlign w:val="center"/>
          </w:tcPr>
          <w:p w14:paraId="635CDDC1">
            <w:pPr>
              <w:pStyle w:val="12"/>
            </w:pPr>
          </w:p>
        </w:tc>
        <w:tc>
          <w:tcPr>
            <w:tcW w:w="2126" w:type="dxa"/>
            <w:vAlign w:val="center"/>
          </w:tcPr>
          <w:p w14:paraId="00A3DC60">
            <w:pPr>
              <w:pStyle w:val="11"/>
            </w:pPr>
          </w:p>
        </w:tc>
        <w:tc>
          <w:tcPr>
            <w:tcW w:w="4535" w:type="dxa"/>
            <w:vAlign w:val="center"/>
          </w:tcPr>
          <w:p w14:paraId="3E4A964E">
            <w:pPr>
              <w:pStyle w:val="12"/>
            </w:pPr>
            <w:r>
              <w:t>十六、商业服务业等支出</w:t>
            </w:r>
          </w:p>
        </w:tc>
        <w:tc>
          <w:tcPr>
            <w:tcW w:w="2126" w:type="dxa"/>
            <w:vAlign w:val="center"/>
          </w:tcPr>
          <w:p w14:paraId="72AE8112">
            <w:pPr>
              <w:pStyle w:val="11"/>
            </w:pPr>
          </w:p>
        </w:tc>
      </w:tr>
      <w:tr w14:paraId="55A5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B963">
            <w:pPr>
              <w:pStyle w:val="13"/>
            </w:pPr>
            <w:r>
              <w:t>17</w:t>
            </w:r>
          </w:p>
        </w:tc>
        <w:tc>
          <w:tcPr>
            <w:tcW w:w="4535" w:type="dxa"/>
            <w:vAlign w:val="center"/>
          </w:tcPr>
          <w:p w14:paraId="7362EFFF">
            <w:pPr>
              <w:pStyle w:val="12"/>
            </w:pPr>
          </w:p>
        </w:tc>
        <w:tc>
          <w:tcPr>
            <w:tcW w:w="2126" w:type="dxa"/>
            <w:vAlign w:val="center"/>
          </w:tcPr>
          <w:p w14:paraId="0C7E819F">
            <w:pPr>
              <w:pStyle w:val="11"/>
            </w:pPr>
          </w:p>
        </w:tc>
        <w:tc>
          <w:tcPr>
            <w:tcW w:w="4535" w:type="dxa"/>
            <w:vAlign w:val="center"/>
          </w:tcPr>
          <w:p w14:paraId="391718ED">
            <w:pPr>
              <w:pStyle w:val="12"/>
            </w:pPr>
            <w:r>
              <w:t>十七、金融支出</w:t>
            </w:r>
          </w:p>
        </w:tc>
        <w:tc>
          <w:tcPr>
            <w:tcW w:w="2126" w:type="dxa"/>
            <w:vAlign w:val="center"/>
          </w:tcPr>
          <w:p w14:paraId="2549D879">
            <w:pPr>
              <w:pStyle w:val="11"/>
            </w:pPr>
          </w:p>
        </w:tc>
      </w:tr>
      <w:tr w14:paraId="2B7C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E408">
            <w:pPr>
              <w:pStyle w:val="13"/>
            </w:pPr>
            <w:r>
              <w:t>18</w:t>
            </w:r>
          </w:p>
        </w:tc>
        <w:tc>
          <w:tcPr>
            <w:tcW w:w="4535" w:type="dxa"/>
            <w:vAlign w:val="center"/>
          </w:tcPr>
          <w:p w14:paraId="2B2F5078">
            <w:pPr>
              <w:pStyle w:val="12"/>
            </w:pPr>
          </w:p>
        </w:tc>
        <w:tc>
          <w:tcPr>
            <w:tcW w:w="2126" w:type="dxa"/>
            <w:vAlign w:val="center"/>
          </w:tcPr>
          <w:p w14:paraId="665CDE30">
            <w:pPr>
              <w:pStyle w:val="11"/>
            </w:pPr>
          </w:p>
        </w:tc>
        <w:tc>
          <w:tcPr>
            <w:tcW w:w="4535" w:type="dxa"/>
            <w:vAlign w:val="center"/>
          </w:tcPr>
          <w:p w14:paraId="410B085F">
            <w:pPr>
              <w:pStyle w:val="12"/>
            </w:pPr>
            <w:r>
              <w:t>十八、援助其他地区支出</w:t>
            </w:r>
          </w:p>
        </w:tc>
        <w:tc>
          <w:tcPr>
            <w:tcW w:w="2126" w:type="dxa"/>
            <w:vAlign w:val="center"/>
          </w:tcPr>
          <w:p w14:paraId="1815AA1E">
            <w:pPr>
              <w:pStyle w:val="11"/>
            </w:pPr>
          </w:p>
        </w:tc>
      </w:tr>
      <w:tr w14:paraId="5B73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4122">
            <w:pPr>
              <w:pStyle w:val="13"/>
            </w:pPr>
            <w:r>
              <w:t>19</w:t>
            </w:r>
          </w:p>
        </w:tc>
        <w:tc>
          <w:tcPr>
            <w:tcW w:w="4535" w:type="dxa"/>
            <w:vAlign w:val="center"/>
          </w:tcPr>
          <w:p w14:paraId="79224319">
            <w:pPr>
              <w:pStyle w:val="12"/>
            </w:pPr>
          </w:p>
        </w:tc>
        <w:tc>
          <w:tcPr>
            <w:tcW w:w="2126" w:type="dxa"/>
            <w:vAlign w:val="center"/>
          </w:tcPr>
          <w:p w14:paraId="230A7936">
            <w:pPr>
              <w:pStyle w:val="11"/>
            </w:pPr>
          </w:p>
        </w:tc>
        <w:tc>
          <w:tcPr>
            <w:tcW w:w="4535" w:type="dxa"/>
            <w:vAlign w:val="center"/>
          </w:tcPr>
          <w:p w14:paraId="360F16A4">
            <w:pPr>
              <w:pStyle w:val="12"/>
            </w:pPr>
            <w:r>
              <w:t>十九、自然资源海洋气象等支出</w:t>
            </w:r>
          </w:p>
        </w:tc>
        <w:tc>
          <w:tcPr>
            <w:tcW w:w="2126" w:type="dxa"/>
            <w:vAlign w:val="center"/>
          </w:tcPr>
          <w:p w14:paraId="18EA57DE">
            <w:pPr>
              <w:pStyle w:val="11"/>
            </w:pPr>
          </w:p>
        </w:tc>
      </w:tr>
      <w:tr w14:paraId="3A31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3375D">
            <w:pPr>
              <w:pStyle w:val="13"/>
            </w:pPr>
            <w:r>
              <w:t>20</w:t>
            </w:r>
          </w:p>
        </w:tc>
        <w:tc>
          <w:tcPr>
            <w:tcW w:w="4535" w:type="dxa"/>
            <w:vAlign w:val="center"/>
          </w:tcPr>
          <w:p w14:paraId="2A9F3D40">
            <w:pPr>
              <w:pStyle w:val="12"/>
            </w:pPr>
          </w:p>
        </w:tc>
        <w:tc>
          <w:tcPr>
            <w:tcW w:w="2126" w:type="dxa"/>
            <w:vAlign w:val="center"/>
          </w:tcPr>
          <w:p w14:paraId="7F6B2D2F">
            <w:pPr>
              <w:pStyle w:val="11"/>
            </w:pPr>
          </w:p>
        </w:tc>
        <w:tc>
          <w:tcPr>
            <w:tcW w:w="4535" w:type="dxa"/>
            <w:vAlign w:val="center"/>
          </w:tcPr>
          <w:p w14:paraId="4DECEEA0">
            <w:pPr>
              <w:pStyle w:val="12"/>
            </w:pPr>
            <w:r>
              <w:t>二十、住房保障支出</w:t>
            </w:r>
          </w:p>
        </w:tc>
        <w:tc>
          <w:tcPr>
            <w:tcW w:w="2126" w:type="dxa"/>
            <w:vAlign w:val="center"/>
          </w:tcPr>
          <w:p w14:paraId="50D8E0E5">
            <w:pPr>
              <w:pStyle w:val="11"/>
            </w:pPr>
          </w:p>
        </w:tc>
      </w:tr>
      <w:tr w14:paraId="275E80B1">
        <w:tblPrEx>
          <w:tblCellMar>
            <w:top w:w="0" w:type="dxa"/>
            <w:left w:w="108" w:type="dxa"/>
            <w:bottom w:w="0" w:type="dxa"/>
            <w:right w:w="108" w:type="dxa"/>
          </w:tblCellMar>
        </w:tblPrEx>
        <w:trPr>
          <w:trHeight w:val="369" w:hRule="atLeast"/>
          <w:jc w:val="center"/>
        </w:trPr>
        <w:tc>
          <w:tcPr>
            <w:tcW w:w="850" w:type="dxa"/>
            <w:vAlign w:val="center"/>
          </w:tcPr>
          <w:p w14:paraId="7EEEB851">
            <w:pPr>
              <w:pStyle w:val="13"/>
            </w:pPr>
            <w:r>
              <w:t>21</w:t>
            </w:r>
          </w:p>
        </w:tc>
        <w:tc>
          <w:tcPr>
            <w:tcW w:w="4535" w:type="dxa"/>
            <w:vAlign w:val="center"/>
          </w:tcPr>
          <w:p w14:paraId="7DB78CDF">
            <w:pPr>
              <w:pStyle w:val="12"/>
            </w:pPr>
          </w:p>
        </w:tc>
        <w:tc>
          <w:tcPr>
            <w:tcW w:w="2126" w:type="dxa"/>
            <w:vAlign w:val="center"/>
          </w:tcPr>
          <w:p w14:paraId="5A6E73AF">
            <w:pPr>
              <w:pStyle w:val="11"/>
            </w:pPr>
          </w:p>
        </w:tc>
        <w:tc>
          <w:tcPr>
            <w:tcW w:w="4535" w:type="dxa"/>
            <w:vAlign w:val="center"/>
          </w:tcPr>
          <w:p w14:paraId="57D0B7DC">
            <w:pPr>
              <w:pStyle w:val="12"/>
            </w:pPr>
            <w:r>
              <w:t>二十一、粮油物资储备支出</w:t>
            </w:r>
          </w:p>
        </w:tc>
        <w:tc>
          <w:tcPr>
            <w:tcW w:w="2126" w:type="dxa"/>
            <w:vAlign w:val="center"/>
          </w:tcPr>
          <w:p w14:paraId="65FBAE34">
            <w:pPr>
              <w:pStyle w:val="11"/>
            </w:pPr>
          </w:p>
        </w:tc>
      </w:tr>
      <w:tr w14:paraId="147AE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3554">
            <w:pPr>
              <w:pStyle w:val="13"/>
            </w:pPr>
            <w:r>
              <w:t>22</w:t>
            </w:r>
          </w:p>
        </w:tc>
        <w:tc>
          <w:tcPr>
            <w:tcW w:w="4535" w:type="dxa"/>
            <w:vAlign w:val="center"/>
          </w:tcPr>
          <w:p w14:paraId="1A272704">
            <w:pPr>
              <w:pStyle w:val="12"/>
            </w:pPr>
          </w:p>
        </w:tc>
        <w:tc>
          <w:tcPr>
            <w:tcW w:w="2126" w:type="dxa"/>
            <w:vAlign w:val="center"/>
          </w:tcPr>
          <w:p w14:paraId="444612C2">
            <w:pPr>
              <w:pStyle w:val="11"/>
            </w:pPr>
          </w:p>
        </w:tc>
        <w:tc>
          <w:tcPr>
            <w:tcW w:w="4535" w:type="dxa"/>
            <w:vAlign w:val="center"/>
          </w:tcPr>
          <w:p w14:paraId="760E9A38">
            <w:pPr>
              <w:pStyle w:val="12"/>
            </w:pPr>
            <w:r>
              <w:t>二十二、国有资本经营预算支出</w:t>
            </w:r>
          </w:p>
        </w:tc>
        <w:tc>
          <w:tcPr>
            <w:tcW w:w="2126" w:type="dxa"/>
            <w:vAlign w:val="center"/>
          </w:tcPr>
          <w:p w14:paraId="6FE3FEB5">
            <w:pPr>
              <w:pStyle w:val="11"/>
            </w:pPr>
          </w:p>
        </w:tc>
      </w:tr>
      <w:tr w14:paraId="4F05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8A82B">
            <w:pPr>
              <w:pStyle w:val="13"/>
            </w:pPr>
            <w:r>
              <w:t>23</w:t>
            </w:r>
          </w:p>
        </w:tc>
        <w:tc>
          <w:tcPr>
            <w:tcW w:w="4535" w:type="dxa"/>
            <w:vAlign w:val="center"/>
          </w:tcPr>
          <w:p w14:paraId="56FFD645">
            <w:pPr>
              <w:pStyle w:val="12"/>
            </w:pPr>
          </w:p>
        </w:tc>
        <w:tc>
          <w:tcPr>
            <w:tcW w:w="2126" w:type="dxa"/>
            <w:vAlign w:val="center"/>
          </w:tcPr>
          <w:p w14:paraId="622921D7">
            <w:pPr>
              <w:pStyle w:val="11"/>
            </w:pPr>
          </w:p>
        </w:tc>
        <w:tc>
          <w:tcPr>
            <w:tcW w:w="4535" w:type="dxa"/>
            <w:vAlign w:val="center"/>
          </w:tcPr>
          <w:p w14:paraId="0BEDED04">
            <w:pPr>
              <w:pStyle w:val="12"/>
            </w:pPr>
            <w:r>
              <w:t>二十三、灾害防治及应急管理支出</w:t>
            </w:r>
          </w:p>
        </w:tc>
        <w:tc>
          <w:tcPr>
            <w:tcW w:w="2126" w:type="dxa"/>
            <w:vAlign w:val="center"/>
          </w:tcPr>
          <w:p w14:paraId="616EA358">
            <w:pPr>
              <w:pStyle w:val="11"/>
            </w:pPr>
          </w:p>
        </w:tc>
      </w:tr>
      <w:tr w14:paraId="420B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A33A6">
            <w:pPr>
              <w:pStyle w:val="13"/>
            </w:pPr>
            <w:r>
              <w:t>24</w:t>
            </w:r>
          </w:p>
        </w:tc>
        <w:tc>
          <w:tcPr>
            <w:tcW w:w="4535" w:type="dxa"/>
            <w:vAlign w:val="center"/>
          </w:tcPr>
          <w:p w14:paraId="4B50BC9F">
            <w:pPr>
              <w:pStyle w:val="12"/>
            </w:pPr>
          </w:p>
        </w:tc>
        <w:tc>
          <w:tcPr>
            <w:tcW w:w="2126" w:type="dxa"/>
            <w:vAlign w:val="center"/>
          </w:tcPr>
          <w:p w14:paraId="4C048A71">
            <w:pPr>
              <w:pStyle w:val="11"/>
            </w:pPr>
          </w:p>
        </w:tc>
        <w:tc>
          <w:tcPr>
            <w:tcW w:w="4535" w:type="dxa"/>
            <w:vAlign w:val="center"/>
          </w:tcPr>
          <w:p w14:paraId="1E5AB383">
            <w:pPr>
              <w:pStyle w:val="12"/>
            </w:pPr>
            <w:r>
              <w:t>二十四、预备费</w:t>
            </w:r>
          </w:p>
        </w:tc>
        <w:tc>
          <w:tcPr>
            <w:tcW w:w="2126" w:type="dxa"/>
            <w:vAlign w:val="center"/>
          </w:tcPr>
          <w:p w14:paraId="17F49F2F">
            <w:pPr>
              <w:pStyle w:val="11"/>
            </w:pPr>
          </w:p>
        </w:tc>
      </w:tr>
      <w:tr w14:paraId="4F46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1F443">
            <w:pPr>
              <w:pStyle w:val="13"/>
            </w:pPr>
            <w:r>
              <w:t>25</w:t>
            </w:r>
          </w:p>
        </w:tc>
        <w:tc>
          <w:tcPr>
            <w:tcW w:w="4535" w:type="dxa"/>
            <w:vAlign w:val="center"/>
          </w:tcPr>
          <w:p w14:paraId="6027B800">
            <w:pPr>
              <w:pStyle w:val="12"/>
            </w:pPr>
          </w:p>
        </w:tc>
        <w:tc>
          <w:tcPr>
            <w:tcW w:w="2126" w:type="dxa"/>
            <w:vAlign w:val="center"/>
          </w:tcPr>
          <w:p w14:paraId="46A1402A">
            <w:pPr>
              <w:pStyle w:val="11"/>
            </w:pPr>
          </w:p>
        </w:tc>
        <w:tc>
          <w:tcPr>
            <w:tcW w:w="4535" w:type="dxa"/>
            <w:vAlign w:val="center"/>
          </w:tcPr>
          <w:p w14:paraId="5E0BA215">
            <w:pPr>
              <w:pStyle w:val="12"/>
            </w:pPr>
            <w:r>
              <w:t>二十五、其他支出</w:t>
            </w:r>
          </w:p>
        </w:tc>
        <w:tc>
          <w:tcPr>
            <w:tcW w:w="2126" w:type="dxa"/>
            <w:vAlign w:val="center"/>
          </w:tcPr>
          <w:p w14:paraId="411C8BF5">
            <w:pPr>
              <w:pStyle w:val="11"/>
            </w:pPr>
          </w:p>
        </w:tc>
      </w:tr>
      <w:tr w14:paraId="2C380E53">
        <w:tblPrEx>
          <w:tblCellMar>
            <w:top w:w="0" w:type="dxa"/>
            <w:left w:w="108" w:type="dxa"/>
            <w:bottom w:w="0" w:type="dxa"/>
            <w:right w:w="108" w:type="dxa"/>
          </w:tblCellMar>
        </w:tblPrEx>
        <w:trPr>
          <w:trHeight w:val="369" w:hRule="atLeast"/>
          <w:jc w:val="center"/>
        </w:trPr>
        <w:tc>
          <w:tcPr>
            <w:tcW w:w="850" w:type="dxa"/>
            <w:vAlign w:val="center"/>
          </w:tcPr>
          <w:p w14:paraId="6579AF07">
            <w:pPr>
              <w:pStyle w:val="13"/>
            </w:pPr>
            <w:r>
              <w:t>26</w:t>
            </w:r>
          </w:p>
        </w:tc>
        <w:tc>
          <w:tcPr>
            <w:tcW w:w="4535" w:type="dxa"/>
            <w:vAlign w:val="center"/>
          </w:tcPr>
          <w:p w14:paraId="1AF3D6EF">
            <w:pPr>
              <w:pStyle w:val="12"/>
            </w:pPr>
          </w:p>
        </w:tc>
        <w:tc>
          <w:tcPr>
            <w:tcW w:w="2126" w:type="dxa"/>
            <w:vAlign w:val="center"/>
          </w:tcPr>
          <w:p w14:paraId="22BD2D74">
            <w:pPr>
              <w:pStyle w:val="11"/>
            </w:pPr>
          </w:p>
        </w:tc>
        <w:tc>
          <w:tcPr>
            <w:tcW w:w="4535" w:type="dxa"/>
            <w:vAlign w:val="center"/>
          </w:tcPr>
          <w:p w14:paraId="7BFDE8D3">
            <w:pPr>
              <w:pStyle w:val="12"/>
            </w:pPr>
            <w:r>
              <w:t>二十六、转移性支出</w:t>
            </w:r>
          </w:p>
        </w:tc>
        <w:tc>
          <w:tcPr>
            <w:tcW w:w="2126" w:type="dxa"/>
            <w:vAlign w:val="center"/>
          </w:tcPr>
          <w:p w14:paraId="0930DF71">
            <w:pPr>
              <w:pStyle w:val="11"/>
            </w:pPr>
          </w:p>
        </w:tc>
      </w:tr>
      <w:tr w14:paraId="396B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B7A8">
            <w:pPr>
              <w:pStyle w:val="13"/>
            </w:pPr>
            <w:r>
              <w:t>27</w:t>
            </w:r>
          </w:p>
        </w:tc>
        <w:tc>
          <w:tcPr>
            <w:tcW w:w="4535" w:type="dxa"/>
            <w:vAlign w:val="center"/>
          </w:tcPr>
          <w:p w14:paraId="54244983">
            <w:pPr>
              <w:pStyle w:val="12"/>
            </w:pPr>
          </w:p>
        </w:tc>
        <w:tc>
          <w:tcPr>
            <w:tcW w:w="2126" w:type="dxa"/>
            <w:vAlign w:val="center"/>
          </w:tcPr>
          <w:p w14:paraId="24EDAD0E">
            <w:pPr>
              <w:pStyle w:val="11"/>
            </w:pPr>
          </w:p>
        </w:tc>
        <w:tc>
          <w:tcPr>
            <w:tcW w:w="4535" w:type="dxa"/>
            <w:vAlign w:val="center"/>
          </w:tcPr>
          <w:p w14:paraId="72C43E91">
            <w:pPr>
              <w:pStyle w:val="12"/>
            </w:pPr>
            <w:r>
              <w:t>二十七、债务还本支出</w:t>
            </w:r>
          </w:p>
        </w:tc>
        <w:tc>
          <w:tcPr>
            <w:tcW w:w="2126" w:type="dxa"/>
            <w:vAlign w:val="center"/>
          </w:tcPr>
          <w:p w14:paraId="2D6A22C6">
            <w:pPr>
              <w:pStyle w:val="11"/>
            </w:pPr>
          </w:p>
        </w:tc>
      </w:tr>
      <w:tr w14:paraId="0477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E6B18">
            <w:pPr>
              <w:pStyle w:val="13"/>
            </w:pPr>
            <w:r>
              <w:t>28</w:t>
            </w:r>
          </w:p>
        </w:tc>
        <w:tc>
          <w:tcPr>
            <w:tcW w:w="4535" w:type="dxa"/>
            <w:vAlign w:val="center"/>
          </w:tcPr>
          <w:p w14:paraId="37DD6ECE">
            <w:pPr>
              <w:pStyle w:val="12"/>
            </w:pPr>
          </w:p>
        </w:tc>
        <w:tc>
          <w:tcPr>
            <w:tcW w:w="2126" w:type="dxa"/>
            <w:vAlign w:val="center"/>
          </w:tcPr>
          <w:p w14:paraId="0EB31D7A">
            <w:pPr>
              <w:pStyle w:val="11"/>
            </w:pPr>
          </w:p>
        </w:tc>
        <w:tc>
          <w:tcPr>
            <w:tcW w:w="4535" w:type="dxa"/>
            <w:vAlign w:val="center"/>
          </w:tcPr>
          <w:p w14:paraId="2B55D4BE">
            <w:pPr>
              <w:pStyle w:val="12"/>
            </w:pPr>
            <w:r>
              <w:t>二十八、债务付息支出</w:t>
            </w:r>
          </w:p>
        </w:tc>
        <w:tc>
          <w:tcPr>
            <w:tcW w:w="2126" w:type="dxa"/>
            <w:vAlign w:val="center"/>
          </w:tcPr>
          <w:p w14:paraId="37E7B431">
            <w:pPr>
              <w:pStyle w:val="11"/>
            </w:pPr>
          </w:p>
        </w:tc>
      </w:tr>
      <w:tr w14:paraId="15ABD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1A8D">
            <w:pPr>
              <w:pStyle w:val="13"/>
            </w:pPr>
            <w:r>
              <w:t>29</w:t>
            </w:r>
          </w:p>
        </w:tc>
        <w:tc>
          <w:tcPr>
            <w:tcW w:w="4535" w:type="dxa"/>
            <w:vAlign w:val="center"/>
          </w:tcPr>
          <w:p w14:paraId="74D358E6">
            <w:pPr>
              <w:pStyle w:val="12"/>
            </w:pPr>
          </w:p>
        </w:tc>
        <w:tc>
          <w:tcPr>
            <w:tcW w:w="2126" w:type="dxa"/>
            <w:vAlign w:val="center"/>
          </w:tcPr>
          <w:p w14:paraId="725DEFCE">
            <w:pPr>
              <w:pStyle w:val="11"/>
            </w:pPr>
          </w:p>
        </w:tc>
        <w:tc>
          <w:tcPr>
            <w:tcW w:w="4535" w:type="dxa"/>
            <w:vAlign w:val="center"/>
          </w:tcPr>
          <w:p w14:paraId="3366A6B6">
            <w:pPr>
              <w:pStyle w:val="12"/>
            </w:pPr>
            <w:r>
              <w:t>二十九、债务发行费用支出</w:t>
            </w:r>
          </w:p>
        </w:tc>
        <w:tc>
          <w:tcPr>
            <w:tcW w:w="2126" w:type="dxa"/>
            <w:vAlign w:val="center"/>
          </w:tcPr>
          <w:p w14:paraId="19B23F28">
            <w:pPr>
              <w:pStyle w:val="11"/>
            </w:pPr>
          </w:p>
        </w:tc>
      </w:tr>
      <w:tr w14:paraId="7F9E5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3BBFE">
            <w:pPr>
              <w:pStyle w:val="13"/>
            </w:pPr>
            <w:r>
              <w:t>30</w:t>
            </w:r>
          </w:p>
        </w:tc>
        <w:tc>
          <w:tcPr>
            <w:tcW w:w="4535" w:type="dxa"/>
            <w:vAlign w:val="center"/>
          </w:tcPr>
          <w:p w14:paraId="265C44A4">
            <w:pPr>
              <w:pStyle w:val="12"/>
            </w:pPr>
          </w:p>
        </w:tc>
        <w:tc>
          <w:tcPr>
            <w:tcW w:w="2126" w:type="dxa"/>
            <w:vAlign w:val="center"/>
          </w:tcPr>
          <w:p w14:paraId="26D81337">
            <w:pPr>
              <w:pStyle w:val="11"/>
            </w:pPr>
          </w:p>
        </w:tc>
        <w:tc>
          <w:tcPr>
            <w:tcW w:w="4535" w:type="dxa"/>
            <w:vAlign w:val="center"/>
          </w:tcPr>
          <w:p w14:paraId="47581219">
            <w:pPr>
              <w:pStyle w:val="12"/>
            </w:pPr>
            <w:r>
              <w:t>三十、抗疫特别国债安排的支出</w:t>
            </w:r>
          </w:p>
        </w:tc>
        <w:tc>
          <w:tcPr>
            <w:tcW w:w="2126" w:type="dxa"/>
            <w:vAlign w:val="center"/>
          </w:tcPr>
          <w:p w14:paraId="1FF2CE73">
            <w:pPr>
              <w:pStyle w:val="11"/>
            </w:pPr>
          </w:p>
        </w:tc>
      </w:tr>
      <w:tr w14:paraId="501B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44F41">
            <w:pPr>
              <w:pStyle w:val="13"/>
            </w:pPr>
            <w:r>
              <w:t>31</w:t>
            </w:r>
          </w:p>
        </w:tc>
        <w:tc>
          <w:tcPr>
            <w:tcW w:w="4535" w:type="dxa"/>
            <w:vAlign w:val="center"/>
          </w:tcPr>
          <w:p w14:paraId="190C3971">
            <w:pPr>
              <w:pStyle w:val="14"/>
            </w:pPr>
            <w:r>
              <w:t>本年收入合计</w:t>
            </w:r>
          </w:p>
        </w:tc>
        <w:tc>
          <w:tcPr>
            <w:tcW w:w="2126" w:type="dxa"/>
            <w:vAlign w:val="center"/>
          </w:tcPr>
          <w:p w14:paraId="16C99FA9">
            <w:pPr>
              <w:pStyle w:val="15"/>
            </w:pPr>
            <w:r>
              <w:t>2098.68</w:t>
            </w:r>
          </w:p>
        </w:tc>
        <w:tc>
          <w:tcPr>
            <w:tcW w:w="4535" w:type="dxa"/>
            <w:vAlign w:val="center"/>
          </w:tcPr>
          <w:p w14:paraId="444B2388">
            <w:pPr>
              <w:pStyle w:val="14"/>
            </w:pPr>
            <w:r>
              <w:t>本年支出合计</w:t>
            </w:r>
          </w:p>
        </w:tc>
        <w:tc>
          <w:tcPr>
            <w:tcW w:w="2126" w:type="dxa"/>
            <w:vAlign w:val="center"/>
          </w:tcPr>
          <w:p w14:paraId="710629A8">
            <w:pPr>
              <w:pStyle w:val="15"/>
            </w:pPr>
            <w:r>
              <w:t>2098.68</w:t>
            </w:r>
          </w:p>
        </w:tc>
      </w:tr>
      <w:tr w14:paraId="21E9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6665E">
            <w:pPr>
              <w:pStyle w:val="13"/>
            </w:pPr>
            <w:r>
              <w:t>32</w:t>
            </w:r>
          </w:p>
        </w:tc>
        <w:tc>
          <w:tcPr>
            <w:tcW w:w="4535" w:type="dxa"/>
            <w:vAlign w:val="center"/>
          </w:tcPr>
          <w:p w14:paraId="2307DDB3">
            <w:pPr>
              <w:pStyle w:val="12"/>
            </w:pPr>
            <w:r>
              <w:t>上年结转结余</w:t>
            </w:r>
          </w:p>
        </w:tc>
        <w:tc>
          <w:tcPr>
            <w:tcW w:w="2126" w:type="dxa"/>
            <w:vAlign w:val="center"/>
          </w:tcPr>
          <w:p w14:paraId="2E2FCC69">
            <w:pPr>
              <w:pStyle w:val="11"/>
            </w:pPr>
          </w:p>
        </w:tc>
        <w:tc>
          <w:tcPr>
            <w:tcW w:w="4535" w:type="dxa"/>
            <w:vAlign w:val="center"/>
          </w:tcPr>
          <w:p w14:paraId="2E7C3552">
            <w:pPr>
              <w:pStyle w:val="12"/>
            </w:pPr>
            <w:r>
              <w:t>年终结转结余</w:t>
            </w:r>
          </w:p>
        </w:tc>
        <w:tc>
          <w:tcPr>
            <w:tcW w:w="2126" w:type="dxa"/>
            <w:vAlign w:val="center"/>
          </w:tcPr>
          <w:p w14:paraId="23DCF129">
            <w:pPr>
              <w:pStyle w:val="11"/>
            </w:pPr>
          </w:p>
        </w:tc>
      </w:tr>
      <w:tr w14:paraId="2E058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227D">
            <w:pPr>
              <w:pStyle w:val="13"/>
            </w:pPr>
            <w:r>
              <w:t>33</w:t>
            </w:r>
          </w:p>
        </w:tc>
        <w:tc>
          <w:tcPr>
            <w:tcW w:w="4535" w:type="dxa"/>
            <w:vAlign w:val="center"/>
          </w:tcPr>
          <w:p w14:paraId="15C31D04">
            <w:pPr>
              <w:pStyle w:val="14"/>
            </w:pPr>
            <w:r>
              <w:t>收入总计</w:t>
            </w:r>
          </w:p>
        </w:tc>
        <w:tc>
          <w:tcPr>
            <w:tcW w:w="2126" w:type="dxa"/>
            <w:vAlign w:val="center"/>
          </w:tcPr>
          <w:p w14:paraId="6BBBBFE4">
            <w:pPr>
              <w:pStyle w:val="15"/>
            </w:pPr>
            <w:r>
              <w:t>2098.68</w:t>
            </w:r>
          </w:p>
        </w:tc>
        <w:tc>
          <w:tcPr>
            <w:tcW w:w="4535" w:type="dxa"/>
            <w:vAlign w:val="center"/>
          </w:tcPr>
          <w:p w14:paraId="083D5D7D">
            <w:pPr>
              <w:pStyle w:val="14"/>
            </w:pPr>
            <w:r>
              <w:t>支出总计</w:t>
            </w:r>
          </w:p>
        </w:tc>
        <w:tc>
          <w:tcPr>
            <w:tcW w:w="2126" w:type="dxa"/>
            <w:vAlign w:val="center"/>
          </w:tcPr>
          <w:p w14:paraId="0B1A2518">
            <w:pPr>
              <w:pStyle w:val="15"/>
            </w:pPr>
            <w:r>
              <w:t>2098.68</w:t>
            </w:r>
          </w:p>
        </w:tc>
      </w:tr>
    </w:tbl>
    <w:p w14:paraId="53830E56">
      <w:pPr>
        <w:sectPr>
          <w:pgSz w:w="16840" w:h="11900" w:orient="landscape"/>
          <w:pgMar w:top="1361" w:right="1020" w:bottom="1134" w:left="1020" w:header="720" w:footer="720" w:gutter="0"/>
          <w:cols w:space="720" w:num="1"/>
        </w:sectPr>
      </w:pPr>
    </w:p>
    <w:p w14:paraId="4C14CD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4C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CC75A7">
            <w:pPr>
              <w:pStyle w:val="9"/>
            </w:pPr>
            <w:r>
              <w:t>360026隆尧县牛家桥校区</w:t>
            </w:r>
          </w:p>
        </w:tc>
        <w:tc>
          <w:tcPr>
            <w:tcW w:w="3402" w:type="dxa"/>
            <w:gridSpan w:val="3"/>
            <w:tcBorders>
              <w:top w:val="single" w:color="FFFFFF" w:sz="6" w:space="0"/>
              <w:left w:val="single" w:color="FFFFFF" w:sz="6" w:space="0"/>
              <w:right w:val="single" w:color="FFFFFF" w:sz="6" w:space="0"/>
            </w:tcBorders>
            <w:vAlign w:val="center"/>
          </w:tcPr>
          <w:p w14:paraId="3996226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C744A6C">
            <w:pPr>
              <w:pStyle w:val="7"/>
            </w:pPr>
            <w:r>
              <w:t>单位：万元</w:t>
            </w:r>
          </w:p>
        </w:tc>
      </w:tr>
      <w:tr w14:paraId="7E6D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17F703">
            <w:pPr>
              <w:pStyle w:val="10"/>
            </w:pPr>
            <w:r>
              <w:t>序号</w:t>
            </w:r>
          </w:p>
        </w:tc>
        <w:tc>
          <w:tcPr>
            <w:tcW w:w="2551" w:type="dxa"/>
            <w:gridSpan w:val="2"/>
            <w:vAlign w:val="center"/>
          </w:tcPr>
          <w:p w14:paraId="1D98F804">
            <w:pPr>
              <w:pStyle w:val="10"/>
            </w:pPr>
            <w:r>
              <w:t>功能分类科目</w:t>
            </w:r>
          </w:p>
        </w:tc>
        <w:tc>
          <w:tcPr>
            <w:tcW w:w="1134" w:type="dxa"/>
            <w:vMerge w:val="restart"/>
            <w:vAlign w:val="center"/>
          </w:tcPr>
          <w:p w14:paraId="41FCB348">
            <w:pPr>
              <w:pStyle w:val="10"/>
            </w:pPr>
            <w:r>
              <w:t>合计</w:t>
            </w:r>
          </w:p>
        </w:tc>
        <w:tc>
          <w:tcPr>
            <w:tcW w:w="9072" w:type="dxa"/>
            <w:gridSpan w:val="8"/>
            <w:vAlign w:val="center"/>
          </w:tcPr>
          <w:p w14:paraId="2A00F413">
            <w:pPr>
              <w:pStyle w:val="10"/>
            </w:pPr>
            <w:r>
              <w:t>本年收入</w:t>
            </w:r>
          </w:p>
        </w:tc>
        <w:tc>
          <w:tcPr>
            <w:tcW w:w="1134" w:type="dxa"/>
            <w:vMerge w:val="restart"/>
            <w:vAlign w:val="center"/>
          </w:tcPr>
          <w:p w14:paraId="15FF8FD4">
            <w:pPr>
              <w:pStyle w:val="10"/>
            </w:pPr>
            <w:r>
              <w:t>上年结转</w:t>
            </w:r>
          </w:p>
        </w:tc>
      </w:tr>
      <w:tr w14:paraId="1029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505EAB"/>
        </w:tc>
        <w:tc>
          <w:tcPr>
            <w:tcW w:w="992" w:type="dxa"/>
            <w:vAlign w:val="center"/>
          </w:tcPr>
          <w:p w14:paraId="1234D0D2">
            <w:pPr>
              <w:pStyle w:val="10"/>
            </w:pPr>
            <w:r>
              <w:t>科目    编码</w:t>
            </w:r>
          </w:p>
        </w:tc>
        <w:tc>
          <w:tcPr>
            <w:tcW w:w="1559" w:type="dxa"/>
            <w:vAlign w:val="center"/>
          </w:tcPr>
          <w:p w14:paraId="68751451">
            <w:pPr>
              <w:pStyle w:val="10"/>
            </w:pPr>
            <w:r>
              <w:t>科目名称</w:t>
            </w:r>
          </w:p>
        </w:tc>
        <w:tc>
          <w:tcPr>
            <w:tcW w:w="1134" w:type="dxa"/>
            <w:vMerge w:val="continue"/>
          </w:tcPr>
          <w:p w14:paraId="4CCB09AC"/>
        </w:tc>
        <w:tc>
          <w:tcPr>
            <w:tcW w:w="1134" w:type="dxa"/>
            <w:vAlign w:val="center"/>
          </w:tcPr>
          <w:p w14:paraId="632E3C42">
            <w:pPr>
              <w:pStyle w:val="10"/>
            </w:pPr>
            <w:r>
              <w:t>小计</w:t>
            </w:r>
          </w:p>
        </w:tc>
        <w:tc>
          <w:tcPr>
            <w:tcW w:w="1134" w:type="dxa"/>
            <w:vAlign w:val="center"/>
          </w:tcPr>
          <w:p w14:paraId="6C18543B">
            <w:pPr>
              <w:pStyle w:val="10"/>
            </w:pPr>
            <w:r>
              <w:t>财政拨款 收入</w:t>
            </w:r>
          </w:p>
        </w:tc>
        <w:tc>
          <w:tcPr>
            <w:tcW w:w="1134" w:type="dxa"/>
            <w:vAlign w:val="center"/>
          </w:tcPr>
          <w:p w14:paraId="46847205">
            <w:pPr>
              <w:pStyle w:val="10"/>
            </w:pPr>
            <w:r>
              <w:t>财政专户 收入</w:t>
            </w:r>
          </w:p>
        </w:tc>
        <w:tc>
          <w:tcPr>
            <w:tcW w:w="1134" w:type="dxa"/>
            <w:vAlign w:val="center"/>
          </w:tcPr>
          <w:p w14:paraId="542C06D3">
            <w:pPr>
              <w:pStyle w:val="10"/>
            </w:pPr>
            <w:r>
              <w:t>事业收入</w:t>
            </w:r>
          </w:p>
        </w:tc>
        <w:tc>
          <w:tcPr>
            <w:tcW w:w="1134" w:type="dxa"/>
            <w:vAlign w:val="center"/>
          </w:tcPr>
          <w:p w14:paraId="776E683F">
            <w:pPr>
              <w:pStyle w:val="10"/>
            </w:pPr>
            <w:r>
              <w:t>经营收入</w:t>
            </w:r>
          </w:p>
        </w:tc>
        <w:tc>
          <w:tcPr>
            <w:tcW w:w="1134" w:type="dxa"/>
            <w:vAlign w:val="center"/>
          </w:tcPr>
          <w:p w14:paraId="0DFF3ED9">
            <w:pPr>
              <w:pStyle w:val="10"/>
            </w:pPr>
            <w:r>
              <w:t>上级补助收入</w:t>
            </w:r>
          </w:p>
        </w:tc>
        <w:tc>
          <w:tcPr>
            <w:tcW w:w="1134" w:type="dxa"/>
            <w:vAlign w:val="center"/>
          </w:tcPr>
          <w:p w14:paraId="3A8372DB">
            <w:pPr>
              <w:pStyle w:val="10"/>
            </w:pPr>
            <w:r>
              <w:t>附属单位上缴收入</w:t>
            </w:r>
          </w:p>
        </w:tc>
        <w:tc>
          <w:tcPr>
            <w:tcW w:w="1134" w:type="dxa"/>
            <w:vAlign w:val="center"/>
          </w:tcPr>
          <w:p w14:paraId="496BBBE1">
            <w:pPr>
              <w:pStyle w:val="10"/>
            </w:pPr>
            <w:r>
              <w:t>其他收入</w:t>
            </w:r>
          </w:p>
        </w:tc>
        <w:tc>
          <w:tcPr>
            <w:tcW w:w="1134" w:type="dxa"/>
            <w:vMerge w:val="continue"/>
          </w:tcPr>
          <w:p w14:paraId="631BE843"/>
        </w:tc>
      </w:tr>
      <w:tr w14:paraId="1580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526B6A">
            <w:pPr>
              <w:pStyle w:val="10"/>
            </w:pPr>
            <w:r>
              <w:t>栏次</w:t>
            </w:r>
          </w:p>
        </w:tc>
        <w:tc>
          <w:tcPr>
            <w:tcW w:w="992" w:type="dxa"/>
            <w:vAlign w:val="center"/>
          </w:tcPr>
          <w:p w14:paraId="5A600E8D">
            <w:pPr>
              <w:pStyle w:val="10"/>
            </w:pPr>
            <w:r>
              <w:t>1</w:t>
            </w:r>
          </w:p>
        </w:tc>
        <w:tc>
          <w:tcPr>
            <w:tcW w:w="1559" w:type="dxa"/>
            <w:vAlign w:val="center"/>
          </w:tcPr>
          <w:p w14:paraId="549977AB">
            <w:pPr>
              <w:pStyle w:val="10"/>
            </w:pPr>
            <w:r>
              <w:t>2</w:t>
            </w:r>
          </w:p>
        </w:tc>
        <w:tc>
          <w:tcPr>
            <w:tcW w:w="1134" w:type="dxa"/>
            <w:vAlign w:val="center"/>
          </w:tcPr>
          <w:p w14:paraId="22B35ED9">
            <w:pPr>
              <w:pStyle w:val="10"/>
            </w:pPr>
            <w:r>
              <w:t>3</w:t>
            </w:r>
          </w:p>
        </w:tc>
        <w:tc>
          <w:tcPr>
            <w:tcW w:w="1134" w:type="dxa"/>
            <w:vAlign w:val="center"/>
          </w:tcPr>
          <w:p w14:paraId="4D83E52C">
            <w:pPr>
              <w:pStyle w:val="10"/>
            </w:pPr>
            <w:r>
              <w:t>4</w:t>
            </w:r>
          </w:p>
        </w:tc>
        <w:tc>
          <w:tcPr>
            <w:tcW w:w="1134" w:type="dxa"/>
            <w:vAlign w:val="center"/>
          </w:tcPr>
          <w:p w14:paraId="428F0D2E">
            <w:pPr>
              <w:pStyle w:val="10"/>
            </w:pPr>
            <w:r>
              <w:t>5</w:t>
            </w:r>
          </w:p>
        </w:tc>
        <w:tc>
          <w:tcPr>
            <w:tcW w:w="1134" w:type="dxa"/>
            <w:vAlign w:val="center"/>
          </w:tcPr>
          <w:p w14:paraId="5168F19D">
            <w:pPr>
              <w:pStyle w:val="10"/>
            </w:pPr>
            <w:r>
              <w:t>6</w:t>
            </w:r>
          </w:p>
        </w:tc>
        <w:tc>
          <w:tcPr>
            <w:tcW w:w="1134" w:type="dxa"/>
            <w:vAlign w:val="center"/>
          </w:tcPr>
          <w:p w14:paraId="69A12BE0">
            <w:pPr>
              <w:pStyle w:val="10"/>
            </w:pPr>
            <w:r>
              <w:t>7</w:t>
            </w:r>
          </w:p>
        </w:tc>
        <w:tc>
          <w:tcPr>
            <w:tcW w:w="1134" w:type="dxa"/>
            <w:vAlign w:val="center"/>
          </w:tcPr>
          <w:p w14:paraId="73B25A40">
            <w:pPr>
              <w:pStyle w:val="10"/>
            </w:pPr>
            <w:r>
              <w:t>8</w:t>
            </w:r>
          </w:p>
        </w:tc>
        <w:tc>
          <w:tcPr>
            <w:tcW w:w="1134" w:type="dxa"/>
            <w:vAlign w:val="center"/>
          </w:tcPr>
          <w:p w14:paraId="4835B311">
            <w:pPr>
              <w:pStyle w:val="10"/>
            </w:pPr>
            <w:r>
              <w:t>9</w:t>
            </w:r>
          </w:p>
        </w:tc>
        <w:tc>
          <w:tcPr>
            <w:tcW w:w="1134" w:type="dxa"/>
            <w:vAlign w:val="center"/>
          </w:tcPr>
          <w:p w14:paraId="093264F1">
            <w:pPr>
              <w:pStyle w:val="10"/>
            </w:pPr>
            <w:r>
              <w:t>10</w:t>
            </w:r>
          </w:p>
        </w:tc>
        <w:tc>
          <w:tcPr>
            <w:tcW w:w="1134" w:type="dxa"/>
            <w:vAlign w:val="center"/>
          </w:tcPr>
          <w:p w14:paraId="0DB1195F">
            <w:pPr>
              <w:pStyle w:val="10"/>
            </w:pPr>
            <w:r>
              <w:t>11</w:t>
            </w:r>
          </w:p>
        </w:tc>
        <w:tc>
          <w:tcPr>
            <w:tcW w:w="1134" w:type="dxa"/>
            <w:vAlign w:val="center"/>
          </w:tcPr>
          <w:p w14:paraId="4D4B00BF">
            <w:pPr>
              <w:pStyle w:val="10"/>
            </w:pPr>
            <w:r>
              <w:t>12</w:t>
            </w:r>
          </w:p>
        </w:tc>
      </w:tr>
      <w:tr w14:paraId="69A9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47518">
            <w:pPr>
              <w:pStyle w:val="13"/>
            </w:pPr>
            <w:r>
              <w:t>1</w:t>
            </w:r>
          </w:p>
        </w:tc>
        <w:tc>
          <w:tcPr>
            <w:tcW w:w="992" w:type="dxa"/>
            <w:vAlign w:val="center"/>
          </w:tcPr>
          <w:p w14:paraId="1B000FCF">
            <w:pPr>
              <w:pStyle w:val="16"/>
            </w:pPr>
          </w:p>
        </w:tc>
        <w:tc>
          <w:tcPr>
            <w:tcW w:w="1559" w:type="dxa"/>
            <w:vAlign w:val="center"/>
          </w:tcPr>
          <w:p w14:paraId="1983AD9B">
            <w:pPr>
              <w:pStyle w:val="14"/>
            </w:pPr>
            <w:r>
              <w:t>合计</w:t>
            </w:r>
          </w:p>
        </w:tc>
        <w:tc>
          <w:tcPr>
            <w:tcW w:w="1134" w:type="dxa"/>
            <w:vAlign w:val="center"/>
          </w:tcPr>
          <w:p w14:paraId="6D1D46CC">
            <w:pPr>
              <w:pStyle w:val="15"/>
            </w:pPr>
            <w:r>
              <w:t>2098.68</w:t>
            </w:r>
          </w:p>
        </w:tc>
        <w:tc>
          <w:tcPr>
            <w:tcW w:w="1134" w:type="dxa"/>
            <w:vAlign w:val="center"/>
          </w:tcPr>
          <w:p w14:paraId="656737B0">
            <w:pPr>
              <w:pStyle w:val="15"/>
            </w:pPr>
            <w:r>
              <w:t>2098.68</w:t>
            </w:r>
          </w:p>
        </w:tc>
        <w:tc>
          <w:tcPr>
            <w:tcW w:w="1134" w:type="dxa"/>
            <w:vAlign w:val="center"/>
          </w:tcPr>
          <w:p w14:paraId="78C24F9B">
            <w:pPr>
              <w:pStyle w:val="15"/>
            </w:pPr>
            <w:r>
              <w:t>2098.68</w:t>
            </w:r>
          </w:p>
        </w:tc>
        <w:tc>
          <w:tcPr>
            <w:tcW w:w="1134" w:type="dxa"/>
            <w:vAlign w:val="center"/>
          </w:tcPr>
          <w:p w14:paraId="2B98237A">
            <w:pPr>
              <w:pStyle w:val="15"/>
            </w:pPr>
          </w:p>
        </w:tc>
        <w:tc>
          <w:tcPr>
            <w:tcW w:w="1134" w:type="dxa"/>
            <w:vAlign w:val="center"/>
          </w:tcPr>
          <w:p w14:paraId="5F9A7619">
            <w:pPr>
              <w:pStyle w:val="15"/>
            </w:pPr>
          </w:p>
        </w:tc>
        <w:tc>
          <w:tcPr>
            <w:tcW w:w="1134" w:type="dxa"/>
            <w:vAlign w:val="center"/>
          </w:tcPr>
          <w:p w14:paraId="3495A0A3">
            <w:pPr>
              <w:pStyle w:val="15"/>
            </w:pPr>
          </w:p>
        </w:tc>
        <w:tc>
          <w:tcPr>
            <w:tcW w:w="1134" w:type="dxa"/>
            <w:vAlign w:val="center"/>
          </w:tcPr>
          <w:p w14:paraId="6A38121B">
            <w:pPr>
              <w:pStyle w:val="15"/>
            </w:pPr>
          </w:p>
        </w:tc>
        <w:tc>
          <w:tcPr>
            <w:tcW w:w="1134" w:type="dxa"/>
            <w:vAlign w:val="center"/>
          </w:tcPr>
          <w:p w14:paraId="7A58D32B">
            <w:pPr>
              <w:pStyle w:val="15"/>
            </w:pPr>
          </w:p>
        </w:tc>
        <w:tc>
          <w:tcPr>
            <w:tcW w:w="1134" w:type="dxa"/>
            <w:vAlign w:val="center"/>
          </w:tcPr>
          <w:p w14:paraId="3B727486">
            <w:pPr>
              <w:pStyle w:val="15"/>
            </w:pPr>
          </w:p>
        </w:tc>
        <w:tc>
          <w:tcPr>
            <w:tcW w:w="1134" w:type="dxa"/>
            <w:vAlign w:val="center"/>
          </w:tcPr>
          <w:p w14:paraId="3EA7FC38">
            <w:pPr>
              <w:pStyle w:val="15"/>
            </w:pPr>
          </w:p>
        </w:tc>
      </w:tr>
      <w:tr w14:paraId="60BC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D3CB0">
            <w:pPr>
              <w:pStyle w:val="13"/>
            </w:pPr>
            <w:r>
              <w:t>2</w:t>
            </w:r>
          </w:p>
        </w:tc>
        <w:tc>
          <w:tcPr>
            <w:tcW w:w="992" w:type="dxa"/>
            <w:vAlign w:val="center"/>
          </w:tcPr>
          <w:p w14:paraId="034527B6">
            <w:pPr>
              <w:pStyle w:val="12"/>
            </w:pPr>
            <w:r>
              <w:t>205</w:t>
            </w:r>
          </w:p>
        </w:tc>
        <w:tc>
          <w:tcPr>
            <w:tcW w:w="1559" w:type="dxa"/>
            <w:vAlign w:val="center"/>
          </w:tcPr>
          <w:p w14:paraId="697D70A0">
            <w:pPr>
              <w:pStyle w:val="12"/>
            </w:pPr>
            <w:r>
              <w:t>教育支出</w:t>
            </w:r>
          </w:p>
        </w:tc>
        <w:tc>
          <w:tcPr>
            <w:tcW w:w="1134" w:type="dxa"/>
            <w:vAlign w:val="center"/>
          </w:tcPr>
          <w:p w14:paraId="69075910">
            <w:pPr>
              <w:pStyle w:val="11"/>
            </w:pPr>
            <w:r>
              <w:t>2098.68</w:t>
            </w:r>
          </w:p>
        </w:tc>
        <w:tc>
          <w:tcPr>
            <w:tcW w:w="1134" w:type="dxa"/>
            <w:vAlign w:val="center"/>
          </w:tcPr>
          <w:p w14:paraId="07613D34">
            <w:pPr>
              <w:pStyle w:val="11"/>
            </w:pPr>
            <w:r>
              <w:t>2098.68</w:t>
            </w:r>
          </w:p>
        </w:tc>
        <w:tc>
          <w:tcPr>
            <w:tcW w:w="1134" w:type="dxa"/>
            <w:vAlign w:val="center"/>
          </w:tcPr>
          <w:p w14:paraId="6C41F0A9">
            <w:pPr>
              <w:pStyle w:val="11"/>
            </w:pPr>
            <w:r>
              <w:t>2098.68</w:t>
            </w:r>
          </w:p>
        </w:tc>
        <w:tc>
          <w:tcPr>
            <w:tcW w:w="1134" w:type="dxa"/>
            <w:vAlign w:val="center"/>
          </w:tcPr>
          <w:p w14:paraId="45CD9107">
            <w:pPr>
              <w:pStyle w:val="11"/>
            </w:pPr>
          </w:p>
        </w:tc>
        <w:tc>
          <w:tcPr>
            <w:tcW w:w="1134" w:type="dxa"/>
            <w:vAlign w:val="center"/>
          </w:tcPr>
          <w:p w14:paraId="38E54603">
            <w:pPr>
              <w:pStyle w:val="11"/>
            </w:pPr>
          </w:p>
        </w:tc>
        <w:tc>
          <w:tcPr>
            <w:tcW w:w="1134" w:type="dxa"/>
            <w:vAlign w:val="center"/>
          </w:tcPr>
          <w:p w14:paraId="6A1460DE">
            <w:pPr>
              <w:pStyle w:val="11"/>
            </w:pPr>
          </w:p>
        </w:tc>
        <w:tc>
          <w:tcPr>
            <w:tcW w:w="1134" w:type="dxa"/>
            <w:vAlign w:val="center"/>
          </w:tcPr>
          <w:p w14:paraId="56CB5FE3">
            <w:pPr>
              <w:pStyle w:val="11"/>
            </w:pPr>
          </w:p>
        </w:tc>
        <w:tc>
          <w:tcPr>
            <w:tcW w:w="1134" w:type="dxa"/>
            <w:vAlign w:val="center"/>
          </w:tcPr>
          <w:p w14:paraId="7D186714">
            <w:pPr>
              <w:pStyle w:val="11"/>
            </w:pPr>
          </w:p>
        </w:tc>
        <w:tc>
          <w:tcPr>
            <w:tcW w:w="1134" w:type="dxa"/>
            <w:vAlign w:val="center"/>
          </w:tcPr>
          <w:p w14:paraId="4E80D191">
            <w:pPr>
              <w:pStyle w:val="11"/>
            </w:pPr>
          </w:p>
        </w:tc>
        <w:tc>
          <w:tcPr>
            <w:tcW w:w="1134" w:type="dxa"/>
            <w:vAlign w:val="center"/>
          </w:tcPr>
          <w:p w14:paraId="5607ABE8">
            <w:pPr>
              <w:pStyle w:val="11"/>
            </w:pPr>
          </w:p>
        </w:tc>
      </w:tr>
      <w:tr w14:paraId="46ED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A4DD7">
            <w:pPr>
              <w:pStyle w:val="13"/>
            </w:pPr>
            <w:r>
              <w:t>3</w:t>
            </w:r>
          </w:p>
        </w:tc>
        <w:tc>
          <w:tcPr>
            <w:tcW w:w="992" w:type="dxa"/>
            <w:vAlign w:val="center"/>
          </w:tcPr>
          <w:p w14:paraId="5A71C7BD">
            <w:pPr>
              <w:pStyle w:val="12"/>
            </w:pPr>
            <w:r>
              <w:t>20502</w:t>
            </w:r>
          </w:p>
        </w:tc>
        <w:tc>
          <w:tcPr>
            <w:tcW w:w="1559" w:type="dxa"/>
            <w:vAlign w:val="center"/>
          </w:tcPr>
          <w:p w14:paraId="4792F44E">
            <w:pPr>
              <w:pStyle w:val="12"/>
            </w:pPr>
            <w:r>
              <w:t>普通教育</w:t>
            </w:r>
          </w:p>
        </w:tc>
        <w:tc>
          <w:tcPr>
            <w:tcW w:w="1134" w:type="dxa"/>
            <w:vAlign w:val="center"/>
          </w:tcPr>
          <w:p w14:paraId="2391C775">
            <w:pPr>
              <w:pStyle w:val="11"/>
            </w:pPr>
            <w:r>
              <w:t>2098.68</w:t>
            </w:r>
          </w:p>
        </w:tc>
        <w:tc>
          <w:tcPr>
            <w:tcW w:w="1134" w:type="dxa"/>
            <w:vAlign w:val="center"/>
          </w:tcPr>
          <w:p w14:paraId="547FBFEE">
            <w:pPr>
              <w:pStyle w:val="11"/>
            </w:pPr>
            <w:r>
              <w:t>2098.68</w:t>
            </w:r>
          </w:p>
        </w:tc>
        <w:tc>
          <w:tcPr>
            <w:tcW w:w="1134" w:type="dxa"/>
            <w:vAlign w:val="center"/>
          </w:tcPr>
          <w:p w14:paraId="3009DCF6">
            <w:pPr>
              <w:pStyle w:val="11"/>
            </w:pPr>
            <w:r>
              <w:t>2098.68</w:t>
            </w:r>
          </w:p>
        </w:tc>
        <w:tc>
          <w:tcPr>
            <w:tcW w:w="1134" w:type="dxa"/>
            <w:vAlign w:val="center"/>
          </w:tcPr>
          <w:p w14:paraId="23F4D9EB">
            <w:pPr>
              <w:pStyle w:val="11"/>
            </w:pPr>
          </w:p>
        </w:tc>
        <w:tc>
          <w:tcPr>
            <w:tcW w:w="1134" w:type="dxa"/>
            <w:vAlign w:val="center"/>
          </w:tcPr>
          <w:p w14:paraId="7AEDE5C3">
            <w:pPr>
              <w:pStyle w:val="11"/>
            </w:pPr>
          </w:p>
        </w:tc>
        <w:tc>
          <w:tcPr>
            <w:tcW w:w="1134" w:type="dxa"/>
            <w:vAlign w:val="center"/>
          </w:tcPr>
          <w:p w14:paraId="1F45EDE9">
            <w:pPr>
              <w:pStyle w:val="11"/>
            </w:pPr>
          </w:p>
        </w:tc>
        <w:tc>
          <w:tcPr>
            <w:tcW w:w="1134" w:type="dxa"/>
            <w:vAlign w:val="center"/>
          </w:tcPr>
          <w:p w14:paraId="120112E5">
            <w:pPr>
              <w:pStyle w:val="11"/>
            </w:pPr>
          </w:p>
        </w:tc>
        <w:tc>
          <w:tcPr>
            <w:tcW w:w="1134" w:type="dxa"/>
            <w:vAlign w:val="center"/>
          </w:tcPr>
          <w:p w14:paraId="3083A91D">
            <w:pPr>
              <w:pStyle w:val="11"/>
            </w:pPr>
          </w:p>
        </w:tc>
        <w:tc>
          <w:tcPr>
            <w:tcW w:w="1134" w:type="dxa"/>
            <w:vAlign w:val="center"/>
          </w:tcPr>
          <w:p w14:paraId="4AFB2BC9">
            <w:pPr>
              <w:pStyle w:val="11"/>
            </w:pPr>
          </w:p>
        </w:tc>
        <w:tc>
          <w:tcPr>
            <w:tcW w:w="1134" w:type="dxa"/>
            <w:vAlign w:val="center"/>
          </w:tcPr>
          <w:p w14:paraId="2B92AC56">
            <w:pPr>
              <w:pStyle w:val="11"/>
            </w:pPr>
          </w:p>
        </w:tc>
      </w:tr>
      <w:tr w14:paraId="3270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A3200">
            <w:pPr>
              <w:pStyle w:val="13"/>
            </w:pPr>
            <w:r>
              <w:t>4</w:t>
            </w:r>
          </w:p>
        </w:tc>
        <w:tc>
          <w:tcPr>
            <w:tcW w:w="992" w:type="dxa"/>
            <w:vAlign w:val="center"/>
          </w:tcPr>
          <w:p w14:paraId="7D73B511">
            <w:pPr>
              <w:pStyle w:val="12"/>
            </w:pPr>
            <w:r>
              <w:t>2050201</w:t>
            </w:r>
          </w:p>
        </w:tc>
        <w:tc>
          <w:tcPr>
            <w:tcW w:w="1559" w:type="dxa"/>
            <w:vAlign w:val="center"/>
          </w:tcPr>
          <w:p w14:paraId="437E4C8A">
            <w:pPr>
              <w:pStyle w:val="12"/>
            </w:pPr>
            <w:r>
              <w:t>学前教育</w:t>
            </w:r>
          </w:p>
        </w:tc>
        <w:tc>
          <w:tcPr>
            <w:tcW w:w="1134" w:type="dxa"/>
            <w:vAlign w:val="center"/>
          </w:tcPr>
          <w:p w14:paraId="61BFC0D8">
            <w:pPr>
              <w:pStyle w:val="11"/>
            </w:pPr>
            <w:r>
              <w:t>77.51</w:t>
            </w:r>
          </w:p>
        </w:tc>
        <w:tc>
          <w:tcPr>
            <w:tcW w:w="1134" w:type="dxa"/>
            <w:vAlign w:val="center"/>
          </w:tcPr>
          <w:p w14:paraId="4FBCCEA6">
            <w:pPr>
              <w:pStyle w:val="11"/>
            </w:pPr>
            <w:r>
              <w:t>77.51</w:t>
            </w:r>
          </w:p>
        </w:tc>
        <w:tc>
          <w:tcPr>
            <w:tcW w:w="1134" w:type="dxa"/>
            <w:vAlign w:val="center"/>
          </w:tcPr>
          <w:p w14:paraId="3B4A5789">
            <w:pPr>
              <w:pStyle w:val="11"/>
            </w:pPr>
            <w:r>
              <w:t>77.51</w:t>
            </w:r>
          </w:p>
        </w:tc>
        <w:tc>
          <w:tcPr>
            <w:tcW w:w="1134" w:type="dxa"/>
            <w:vAlign w:val="center"/>
          </w:tcPr>
          <w:p w14:paraId="6FBA1668">
            <w:pPr>
              <w:pStyle w:val="11"/>
            </w:pPr>
          </w:p>
        </w:tc>
        <w:tc>
          <w:tcPr>
            <w:tcW w:w="1134" w:type="dxa"/>
            <w:vAlign w:val="center"/>
          </w:tcPr>
          <w:p w14:paraId="38F35C85">
            <w:pPr>
              <w:pStyle w:val="11"/>
            </w:pPr>
          </w:p>
        </w:tc>
        <w:tc>
          <w:tcPr>
            <w:tcW w:w="1134" w:type="dxa"/>
            <w:vAlign w:val="center"/>
          </w:tcPr>
          <w:p w14:paraId="1F33B6C2">
            <w:pPr>
              <w:pStyle w:val="11"/>
            </w:pPr>
          </w:p>
        </w:tc>
        <w:tc>
          <w:tcPr>
            <w:tcW w:w="1134" w:type="dxa"/>
            <w:vAlign w:val="center"/>
          </w:tcPr>
          <w:p w14:paraId="6E040AB2">
            <w:pPr>
              <w:pStyle w:val="11"/>
            </w:pPr>
          </w:p>
        </w:tc>
        <w:tc>
          <w:tcPr>
            <w:tcW w:w="1134" w:type="dxa"/>
            <w:vAlign w:val="center"/>
          </w:tcPr>
          <w:p w14:paraId="4F732620">
            <w:pPr>
              <w:pStyle w:val="11"/>
            </w:pPr>
          </w:p>
        </w:tc>
        <w:tc>
          <w:tcPr>
            <w:tcW w:w="1134" w:type="dxa"/>
            <w:vAlign w:val="center"/>
          </w:tcPr>
          <w:p w14:paraId="660453DF">
            <w:pPr>
              <w:pStyle w:val="11"/>
            </w:pPr>
          </w:p>
        </w:tc>
        <w:tc>
          <w:tcPr>
            <w:tcW w:w="1134" w:type="dxa"/>
            <w:vAlign w:val="center"/>
          </w:tcPr>
          <w:p w14:paraId="1A990CF7">
            <w:pPr>
              <w:pStyle w:val="11"/>
            </w:pPr>
          </w:p>
        </w:tc>
      </w:tr>
      <w:tr w14:paraId="6313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3E735">
            <w:pPr>
              <w:pStyle w:val="13"/>
            </w:pPr>
            <w:r>
              <w:t>5</w:t>
            </w:r>
          </w:p>
        </w:tc>
        <w:tc>
          <w:tcPr>
            <w:tcW w:w="992" w:type="dxa"/>
            <w:vAlign w:val="center"/>
          </w:tcPr>
          <w:p w14:paraId="60BF7D5B">
            <w:pPr>
              <w:pStyle w:val="12"/>
            </w:pPr>
            <w:r>
              <w:t>2050202</w:t>
            </w:r>
          </w:p>
        </w:tc>
        <w:tc>
          <w:tcPr>
            <w:tcW w:w="1559" w:type="dxa"/>
            <w:vAlign w:val="center"/>
          </w:tcPr>
          <w:p w14:paraId="3EB61330">
            <w:pPr>
              <w:pStyle w:val="12"/>
            </w:pPr>
            <w:r>
              <w:t>小学教育</w:t>
            </w:r>
          </w:p>
        </w:tc>
        <w:tc>
          <w:tcPr>
            <w:tcW w:w="1134" w:type="dxa"/>
            <w:vAlign w:val="center"/>
          </w:tcPr>
          <w:p w14:paraId="79CDADC1">
            <w:pPr>
              <w:pStyle w:val="11"/>
            </w:pPr>
            <w:r>
              <w:t>2021.17</w:t>
            </w:r>
          </w:p>
        </w:tc>
        <w:tc>
          <w:tcPr>
            <w:tcW w:w="1134" w:type="dxa"/>
            <w:vAlign w:val="center"/>
          </w:tcPr>
          <w:p w14:paraId="5427016A">
            <w:pPr>
              <w:pStyle w:val="11"/>
            </w:pPr>
            <w:r>
              <w:t>2021.17</w:t>
            </w:r>
          </w:p>
        </w:tc>
        <w:tc>
          <w:tcPr>
            <w:tcW w:w="1134" w:type="dxa"/>
            <w:vAlign w:val="center"/>
          </w:tcPr>
          <w:p w14:paraId="419EB7CE">
            <w:pPr>
              <w:pStyle w:val="11"/>
            </w:pPr>
            <w:r>
              <w:t>2021.17</w:t>
            </w:r>
          </w:p>
        </w:tc>
        <w:tc>
          <w:tcPr>
            <w:tcW w:w="1134" w:type="dxa"/>
            <w:vAlign w:val="center"/>
          </w:tcPr>
          <w:p w14:paraId="2ED2D152">
            <w:pPr>
              <w:pStyle w:val="11"/>
            </w:pPr>
          </w:p>
        </w:tc>
        <w:tc>
          <w:tcPr>
            <w:tcW w:w="1134" w:type="dxa"/>
            <w:vAlign w:val="center"/>
          </w:tcPr>
          <w:p w14:paraId="505C8021">
            <w:pPr>
              <w:pStyle w:val="11"/>
            </w:pPr>
          </w:p>
        </w:tc>
        <w:tc>
          <w:tcPr>
            <w:tcW w:w="1134" w:type="dxa"/>
            <w:vAlign w:val="center"/>
          </w:tcPr>
          <w:p w14:paraId="0FA9E68F">
            <w:pPr>
              <w:pStyle w:val="11"/>
            </w:pPr>
          </w:p>
        </w:tc>
        <w:tc>
          <w:tcPr>
            <w:tcW w:w="1134" w:type="dxa"/>
            <w:vAlign w:val="center"/>
          </w:tcPr>
          <w:p w14:paraId="3A221F69">
            <w:pPr>
              <w:pStyle w:val="11"/>
            </w:pPr>
          </w:p>
        </w:tc>
        <w:tc>
          <w:tcPr>
            <w:tcW w:w="1134" w:type="dxa"/>
            <w:vAlign w:val="center"/>
          </w:tcPr>
          <w:p w14:paraId="1F6E4F4C">
            <w:pPr>
              <w:pStyle w:val="11"/>
            </w:pPr>
          </w:p>
        </w:tc>
        <w:tc>
          <w:tcPr>
            <w:tcW w:w="1134" w:type="dxa"/>
            <w:vAlign w:val="center"/>
          </w:tcPr>
          <w:p w14:paraId="492CC649">
            <w:pPr>
              <w:pStyle w:val="11"/>
            </w:pPr>
          </w:p>
        </w:tc>
        <w:tc>
          <w:tcPr>
            <w:tcW w:w="1134" w:type="dxa"/>
            <w:vAlign w:val="center"/>
          </w:tcPr>
          <w:p w14:paraId="46C7CAC9">
            <w:pPr>
              <w:pStyle w:val="11"/>
            </w:pPr>
          </w:p>
        </w:tc>
      </w:tr>
    </w:tbl>
    <w:p w14:paraId="3ADE7B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A46C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06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9C4464">
            <w:pPr>
              <w:pStyle w:val="9"/>
            </w:pPr>
            <w:r>
              <w:t>360026隆尧县牛家桥校区</w:t>
            </w:r>
          </w:p>
        </w:tc>
        <w:tc>
          <w:tcPr>
            <w:tcW w:w="2722" w:type="dxa"/>
            <w:gridSpan w:val="2"/>
            <w:tcBorders>
              <w:top w:val="single" w:color="FFFFFF" w:sz="6" w:space="0"/>
              <w:left w:val="single" w:color="FFFFFF" w:sz="6" w:space="0"/>
              <w:right w:val="single" w:color="FFFFFF" w:sz="6" w:space="0"/>
            </w:tcBorders>
            <w:vAlign w:val="center"/>
          </w:tcPr>
          <w:p w14:paraId="67DC12A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8F52CAB">
            <w:pPr>
              <w:pStyle w:val="7"/>
            </w:pPr>
            <w:r>
              <w:t>单位：万元</w:t>
            </w:r>
          </w:p>
        </w:tc>
      </w:tr>
      <w:tr w14:paraId="20CFD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A30DC">
            <w:pPr>
              <w:pStyle w:val="10"/>
            </w:pPr>
            <w:r>
              <w:t>序号</w:t>
            </w:r>
          </w:p>
        </w:tc>
        <w:tc>
          <w:tcPr>
            <w:tcW w:w="5527" w:type="dxa"/>
            <w:gridSpan w:val="2"/>
            <w:vAlign w:val="center"/>
          </w:tcPr>
          <w:p w14:paraId="768E5361">
            <w:pPr>
              <w:pStyle w:val="10"/>
            </w:pPr>
            <w:r>
              <w:t>功能分类科目</w:t>
            </w:r>
          </w:p>
        </w:tc>
        <w:tc>
          <w:tcPr>
            <w:tcW w:w="1361" w:type="dxa"/>
            <w:vMerge w:val="restart"/>
            <w:vAlign w:val="center"/>
          </w:tcPr>
          <w:p w14:paraId="1F5F2DA2">
            <w:pPr>
              <w:pStyle w:val="10"/>
            </w:pPr>
            <w:r>
              <w:t>合计</w:t>
            </w:r>
          </w:p>
        </w:tc>
        <w:tc>
          <w:tcPr>
            <w:tcW w:w="1361" w:type="dxa"/>
            <w:vMerge w:val="restart"/>
            <w:vAlign w:val="center"/>
          </w:tcPr>
          <w:p w14:paraId="282604A6">
            <w:pPr>
              <w:pStyle w:val="10"/>
            </w:pPr>
            <w:r>
              <w:t>基本支出</w:t>
            </w:r>
          </w:p>
        </w:tc>
        <w:tc>
          <w:tcPr>
            <w:tcW w:w="1361" w:type="dxa"/>
            <w:vMerge w:val="restart"/>
            <w:vAlign w:val="center"/>
          </w:tcPr>
          <w:p w14:paraId="6B3EA333">
            <w:pPr>
              <w:pStyle w:val="10"/>
            </w:pPr>
            <w:r>
              <w:t>项目支出</w:t>
            </w:r>
          </w:p>
        </w:tc>
        <w:tc>
          <w:tcPr>
            <w:tcW w:w="1361" w:type="dxa"/>
            <w:vMerge w:val="restart"/>
            <w:vAlign w:val="center"/>
          </w:tcPr>
          <w:p w14:paraId="0B8BEE01">
            <w:pPr>
              <w:pStyle w:val="10"/>
            </w:pPr>
            <w:r>
              <w:t>经营支出</w:t>
            </w:r>
          </w:p>
        </w:tc>
        <w:tc>
          <w:tcPr>
            <w:tcW w:w="1361" w:type="dxa"/>
            <w:vMerge w:val="restart"/>
            <w:vAlign w:val="center"/>
          </w:tcPr>
          <w:p w14:paraId="260F43CB">
            <w:pPr>
              <w:pStyle w:val="10"/>
            </w:pPr>
            <w:r>
              <w:t>上解上级     支出</w:t>
            </w:r>
          </w:p>
        </w:tc>
        <w:tc>
          <w:tcPr>
            <w:tcW w:w="1361" w:type="dxa"/>
            <w:vMerge w:val="restart"/>
            <w:vAlign w:val="center"/>
          </w:tcPr>
          <w:p w14:paraId="783D7CF7">
            <w:pPr>
              <w:pStyle w:val="10"/>
            </w:pPr>
            <w:r>
              <w:t>对附属单位补助支出</w:t>
            </w:r>
          </w:p>
        </w:tc>
      </w:tr>
      <w:tr w14:paraId="0110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A0635F"/>
        </w:tc>
        <w:tc>
          <w:tcPr>
            <w:tcW w:w="992" w:type="dxa"/>
            <w:vAlign w:val="center"/>
          </w:tcPr>
          <w:p w14:paraId="7641680C">
            <w:pPr>
              <w:pStyle w:val="10"/>
            </w:pPr>
            <w:r>
              <w:t>科目    编码</w:t>
            </w:r>
          </w:p>
        </w:tc>
        <w:tc>
          <w:tcPr>
            <w:tcW w:w="4535" w:type="dxa"/>
            <w:vAlign w:val="center"/>
          </w:tcPr>
          <w:p w14:paraId="76B71DCB">
            <w:pPr>
              <w:pStyle w:val="10"/>
            </w:pPr>
            <w:r>
              <w:t>科目名称</w:t>
            </w:r>
          </w:p>
        </w:tc>
        <w:tc>
          <w:tcPr>
            <w:tcW w:w="1361" w:type="dxa"/>
            <w:vMerge w:val="continue"/>
          </w:tcPr>
          <w:p w14:paraId="45DF5CC7"/>
        </w:tc>
        <w:tc>
          <w:tcPr>
            <w:tcW w:w="1361" w:type="dxa"/>
            <w:vMerge w:val="continue"/>
          </w:tcPr>
          <w:p w14:paraId="76CD41DB"/>
        </w:tc>
        <w:tc>
          <w:tcPr>
            <w:tcW w:w="1361" w:type="dxa"/>
            <w:vMerge w:val="continue"/>
          </w:tcPr>
          <w:p w14:paraId="632207E1"/>
        </w:tc>
        <w:tc>
          <w:tcPr>
            <w:tcW w:w="1361" w:type="dxa"/>
            <w:vMerge w:val="continue"/>
          </w:tcPr>
          <w:p w14:paraId="11E3D4A2"/>
        </w:tc>
        <w:tc>
          <w:tcPr>
            <w:tcW w:w="1361" w:type="dxa"/>
            <w:vMerge w:val="continue"/>
          </w:tcPr>
          <w:p w14:paraId="272D9BF0"/>
        </w:tc>
        <w:tc>
          <w:tcPr>
            <w:tcW w:w="1361" w:type="dxa"/>
            <w:vMerge w:val="continue"/>
          </w:tcPr>
          <w:p w14:paraId="635537A5"/>
        </w:tc>
      </w:tr>
      <w:tr w14:paraId="4E77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F7674">
            <w:pPr>
              <w:pStyle w:val="10"/>
            </w:pPr>
            <w:r>
              <w:t>栏次</w:t>
            </w:r>
          </w:p>
        </w:tc>
        <w:tc>
          <w:tcPr>
            <w:tcW w:w="992" w:type="dxa"/>
            <w:vAlign w:val="center"/>
          </w:tcPr>
          <w:p w14:paraId="374C1771">
            <w:pPr>
              <w:pStyle w:val="10"/>
            </w:pPr>
            <w:r>
              <w:t>1</w:t>
            </w:r>
          </w:p>
        </w:tc>
        <w:tc>
          <w:tcPr>
            <w:tcW w:w="4535" w:type="dxa"/>
            <w:vAlign w:val="center"/>
          </w:tcPr>
          <w:p w14:paraId="19613B87">
            <w:pPr>
              <w:pStyle w:val="10"/>
            </w:pPr>
            <w:r>
              <w:t>2</w:t>
            </w:r>
          </w:p>
        </w:tc>
        <w:tc>
          <w:tcPr>
            <w:tcW w:w="1361" w:type="dxa"/>
            <w:vAlign w:val="center"/>
          </w:tcPr>
          <w:p w14:paraId="2388FDBD">
            <w:pPr>
              <w:pStyle w:val="10"/>
            </w:pPr>
            <w:r>
              <w:t>3</w:t>
            </w:r>
          </w:p>
        </w:tc>
        <w:tc>
          <w:tcPr>
            <w:tcW w:w="1361" w:type="dxa"/>
            <w:vAlign w:val="center"/>
          </w:tcPr>
          <w:p w14:paraId="048B4DE7">
            <w:pPr>
              <w:pStyle w:val="10"/>
            </w:pPr>
            <w:r>
              <w:t>4</w:t>
            </w:r>
          </w:p>
        </w:tc>
        <w:tc>
          <w:tcPr>
            <w:tcW w:w="1361" w:type="dxa"/>
            <w:vAlign w:val="center"/>
          </w:tcPr>
          <w:p w14:paraId="3CE559E8">
            <w:pPr>
              <w:pStyle w:val="10"/>
            </w:pPr>
            <w:r>
              <w:t>5</w:t>
            </w:r>
          </w:p>
        </w:tc>
        <w:tc>
          <w:tcPr>
            <w:tcW w:w="1361" w:type="dxa"/>
            <w:vAlign w:val="center"/>
          </w:tcPr>
          <w:p w14:paraId="6696379E">
            <w:pPr>
              <w:pStyle w:val="10"/>
            </w:pPr>
            <w:r>
              <w:t>6</w:t>
            </w:r>
          </w:p>
        </w:tc>
        <w:tc>
          <w:tcPr>
            <w:tcW w:w="1361" w:type="dxa"/>
            <w:vAlign w:val="center"/>
          </w:tcPr>
          <w:p w14:paraId="6050B5B4">
            <w:pPr>
              <w:pStyle w:val="10"/>
            </w:pPr>
            <w:r>
              <w:t>7</w:t>
            </w:r>
          </w:p>
        </w:tc>
        <w:tc>
          <w:tcPr>
            <w:tcW w:w="1361" w:type="dxa"/>
            <w:vAlign w:val="center"/>
          </w:tcPr>
          <w:p w14:paraId="214F4931">
            <w:pPr>
              <w:pStyle w:val="10"/>
            </w:pPr>
            <w:r>
              <w:t>8</w:t>
            </w:r>
          </w:p>
        </w:tc>
      </w:tr>
      <w:tr w14:paraId="4895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66A2">
            <w:pPr>
              <w:pStyle w:val="13"/>
            </w:pPr>
            <w:r>
              <w:t>1</w:t>
            </w:r>
          </w:p>
        </w:tc>
        <w:tc>
          <w:tcPr>
            <w:tcW w:w="992" w:type="dxa"/>
            <w:vAlign w:val="center"/>
          </w:tcPr>
          <w:p w14:paraId="236A08B6">
            <w:pPr>
              <w:pStyle w:val="16"/>
            </w:pPr>
          </w:p>
        </w:tc>
        <w:tc>
          <w:tcPr>
            <w:tcW w:w="4535" w:type="dxa"/>
            <w:vAlign w:val="center"/>
          </w:tcPr>
          <w:p w14:paraId="59DB37AF">
            <w:pPr>
              <w:pStyle w:val="14"/>
            </w:pPr>
            <w:r>
              <w:t>合计</w:t>
            </w:r>
          </w:p>
        </w:tc>
        <w:tc>
          <w:tcPr>
            <w:tcW w:w="1361" w:type="dxa"/>
            <w:vAlign w:val="center"/>
          </w:tcPr>
          <w:p w14:paraId="152DC6BA">
            <w:pPr>
              <w:pStyle w:val="15"/>
            </w:pPr>
            <w:r>
              <w:t>2098.68</w:t>
            </w:r>
          </w:p>
        </w:tc>
        <w:tc>
          <w:tcPr>
            <w:tcW w:w="1361" w:type="dxa"/>
            <w:vAlign w:val="center"/>
          </w:tcPr>
          <w:p w14:paraId="1EE05FF6">
            <w:pPr>
              <w:pStyle w:val="15"/>
            </w:pPr>
            <w:r>
              <w:t>1653.09</w:t>
            </w:r>
          </w:p>
        </w:tc>
        <w:tc>
          <w:tcPr>
            <w:tcW w:w="1361" w:type="dxa"/>
            <w:vAlign w:val="center"/>
          </w:tcPr>
          <w:p w14:paraId="1521BC45">
            <w:pPr>
              <w:pStyle w:val="15"/>
            </w:pPr>
            <w:r>
              <w:t>445.58</w:t>
            </w:r>
          </w:p>
        </w:tc>
        <w:tc>
          <w:tcPr>
            <w:tcW w:w="1361" w:type="dxa"/>
            <w:vAlign w:val="center"/>
          </w:tcPr>
          <w:p w14:paraId="38527753">
            <w:pPr>
              <w:pStyle w:val="15"/>
            </w:pPr>
          </w:p>
        </w:tc>
        <w:tc>
          <w:tcPr>
            <w:tcW w:w="1361" w:type="dxa"/>
            <w:vAlign w:val="center"/>
          </w:tcPr>
          <w:p w14:paraId="7DFE2CE0">
            <w:pPr>
              <w:pStyle w:val="15"/>
            </w:pPr>
          </w:p>
        </w:tc>
        <w:tc>
          <w:tcPr>
            <w:tcW w:w="1361" w:type="dxa"/>
            <w:vAlign w:val="center"/>
          </w:tcPr>
          <w:p w14:paraId="1AD38C8F">
            <w:pPr>
              <w:pStyle w:val="15"/>
            </w:pPr>
          </w:p>
        </w:tc>
      </w:tr>
      <w:tr w14:paraId="02C2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BB46A">
            <w:pPr>
              <w:pStyle w:val="13"/>
            </w:pPr>
            <w:r>
              <w:t>2</w:t>
            </w:r>
          </w:p>
        </w:tc>
        <w:tc>
          <w:tcPr>
            <w:tcW w:w="992" w:type="dxa"/>
            <w:vAlign w:val="center"/>
          </w:tcPr>
          <w:p w14:paraId="32E23ABD">
            <w:pPr>
              <w:pStyle w:val="12"/>
            </w:pPr>
            <w:r>
              <w:t>205</w:t>
            </w:r>
          </w:p>
        </w:tc>
        <w:tc>
          <w:tcPr>
            <w:tcW w:w="4535" w:type="dxa"/>
            <w:vAlign w:val="center"/>
          </w:tcPr>
          <w:p w14:paraId="1F4C3B21">
            <w:pPr>
              <w:pStyle w:val="12"/>
            </w:pPr>
            <w:r>
              <w:t>教育支出</w:t>
            </w:r>
          </w:p>
        </w:tc>
        <w:tc>
          <w:tcPr>
            <w:tcW w:w="1361" w:type="dxa"/>
            <w:vAlign w:val="center"/>
          </w:tcPr>
          <w:p w14:paraId="45721012">
            <w:pPr>
              <w:pStyle w:val="11"/>
            </w:pPr>
            <w:r>
              <w:t>2098.68</w:t>
            </w:r>
          </w:p>
        </w:tc>
        <w:tc>
          <w:tcPr>
            <w:tcW w:w="1361" w:type="dxa"/>
            <w:vAlign w:val="center"/>
          </w:tcPr>
          <w:p w14:paraId="30C02524">
            <w:pPr>
              <w:pStyle w:val="11"/>
            </w:pPr>
            <w:r>
              <w:t>1653.09</w:t>
            </w:r>
          </w:p>
        </w:tc>
        <w:tc>
          <w:tcPr>
            <w:tcW w:w="1361" w:type="dxa"/>
            <w:vAlign w:val="center"/>
          </w:tcPr>
          <w:p w14:paraId="1CD30F0A">
            <w:pPr>
              <w:pStyle w:val="11"/>
            </w:pPr>
            <w:r>
              <w:t>445.58</w:t>
            </w:r>
          </w:p>
        </w:tc>
        <w:tc>
          <w:tcPr>
            <w:tcW w:w="1361" w:type="dxa"/>
            <w:vAlign w:val="center"/>
          </w:tcPr>
          <w:p w14:paraId="6ACE9BDE">
            <w:pPr>
              <w:pStyle w:val="11"/>
            </w:pPr>
          </w:p>
        </w:tc>
        <w:tc>
          <w:tcPr>
            <w:tcW w:w="1361" w:type="dxa"/>
            <w:vAlign w:val="center"/>
          </w:tcPr>
          <w:p w14:paraId="182AA8A3">
            <w:pPr>
              <w:pStyle w:val="11"/>
            </w:pPr>
          </w:p>
        </w:tc>
        <w:tc>
          <w:tcPr>
            <w:tcW w:w="1361" w:type="dxa"/>
            <w:vAlign w:val="center"/>
          </w:tcPr>
          <w:p w14:paraId="5FADB2A7">
            <w:pPr>
              <w:pStyle w:val="11"/>
            </w:pPr>
          </w:p>
        </w:tc>
      </w:tr>
      <w:tr w14:paraId="08655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BEB39">
            <w:pPr>
              <w:pStyle w:val="13"/>
            </w:pPr>
            <w:r>
              <w:t>3</w:t>
            </w:r>
          </w:p>
        </w:tc>
        <w:tc>
          <w:tcPr>
            <w:tcW w:w="992" w:type="dxa"/>
            <w:vAlign w:val="center"/>
          </w:tcPr>
          <w:p w14:paraId="76ACC902">
            <w:pPr>
              <w:pStyle w:val="12"/>
            </w:pPr>
            <w:r>
              <w:t>20502</w:t>
            </w:r>
          </w:p>
        </w:tc>
        <w:tc>
          <w:tcPr>
            <w:tcW w:w="4535" w:type="dxa"/>
            <w:vAlign w:val="center"/>
          </w:tcPr>
          <w:p w14:paraId="3717094D">
            <w:pPr>
              <w:pStyle w:val="12"/>
            </w:pPr>
            <w:r>
              <w:t>普通教育</w:t>
            </w:r>
          </w:p>
        </w:tc>
        <w:tc>
          <w:tcPr>
            <w:tcW w:w="1361" w:type="dxa"/>
            <w:vAlign w:val="center"/>
          </w:tcPr>
          <w:p w14:paraId="7CF7862D">
            <w:pPr>
              <w:pStyle w:val="11"/>
            </w:pPr>
            <w:r>
              <w:t>2098.68</w:t>
            </w:r>
          </w:p>
        </w:tc>
        <w:tc>
          <w:tcPr>
            <w:tcW w:w="1361" w:type="dxa"/>
            <w:vAlign w:val="center"/>
          </w:tcPr>
          <w:p w14:paraId="116AEB4F">
            <w:pPr>
              <w:pStyle w:val="11"/>
            </w:pPr>
            <w:r>
              <w:t>1653.09</w:t>
            </w:r>
          </w:p>
        </w:tc>
        <w:tc>
          <w:tcPr>
            <w:tcW w:w="1361" w:type="dxa"/>
            <w:vAlign w:val="center"/>
          </w:tcPr>
          <w:p w14:paraId="52F3C960">
            <w:pPr>
              <w:pStyle w:val="11"/>
            </w:pPr>
            <w:r>
              <w:t>445.58</w:t>
            </w:r>
          </w:p>
        </w:tc>
        <w:tc>
          <w:tcPr>
            <w:tcW w:w="1361" w:type="dxa"/>
            <w:vAlign w:val="center"/>
          </w:tcPr>
          <w:p w14:paraId="35C60BE7">
            <w:pPr>
              <w:pStyle w:val="11"/>
            </w:pPr>
          </w:p>
        </w:tc>
        <w:tc>
          <w:tcPr>
            <w:tcW w:w="1361" w:type="dxa"/>
            <w:vAlign w:val="center"/>
          </w:tcPr>
          <w:p w14:paraId="520620BD">
            <w:pPr>
              <w:pStyle w:val="11"/>
            </w:pPr>
          </w:p>
        </w:tc>
        <w:tc>
          <w:tcPr>
            <w:tcW w:w="1361" w:type="dxa"/>
            <w:vAlign w:val="center"/>
          </w:tcPr>
          <w:p w14:paraId="15193675">
            <w:pPr>
              <w:pStyle w:val="11"/>
            </w:pPr>
          </w:p>
        </w:tc>
      </w:tr>
      <w:tr w14:paraId="307F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CAD9B">
            <w:pPr>
              <w:pStyle w:val="13"/>
            </w:pPr>
            <w:r>
              <w:t>4</w:t>
            </w:r>
          </w:p>
        </w:tc>
        <w:tc>
          <w:tcPr>
            <w:tcW w:w="992" w:type="dxa"/>
            <w:vAlign w:val="center"/>
          </w:tcPr>
          <w:p w14:paraId="7CCD8CCE">
            <w:pPr>
              <w:pStyle w:val="12"/>
            </w:pPr>
            <w:r>
              <w:t>2050201</w:t>
            </w:r>
          </w:p>
        </w:tc>
        <w:tc>
          <w:tcPr>
            <w:tcW w:w="4535" w:type="dxa"/>
            <w:vAlign w:val="center"/>
          </w:tcPr>
          <w:p w14:paraId="6CE9E9D8">
            <w:pPr>
              <w:pStyle w:val="12"/>
            </w:pPr>
            <w:r>
              <w:t>学前教育</w:t>
            </w:r>
          </w:p>
        </w:tc>
        <w:tc>
          <w:tcPr>
            <w:tcW w:w="1361" w:type="dxa"/>
            <w:vAlign w:val="center"/>
          </w:tcPr>
          <w:p w14:paraId="569058C6">
            <w:pPr>
              <w:pStyle w:val="11"/>
            </w:pPr>
            <w:r>
              <w:t>77.51</w:t>
            </w:r>
          </w:p>
        </w:tc>
        <w:tc>
          <w:tcPr>
            <w:tcW w:w="1361" w:type="dxa"/>
            <w:vAlign w:val="center"/>
          </w:tcPr>
          <w:p w14:paraId="74D8A1D5">
            <w:pPr>
              <w:pStyle w:val="11"/>
            </w:pPr>
          </w:p>
        </w:tc>
        <w:tc>
          <w:tcPr>
            <w:tcW w:w="1361" w:type="dxa"/>
            <w:vAlign w:val="center"/>
          </w:tcPr>
          <w:p w14:paraId="06AF1004">
            <w:pPr>
              <w:pStyle w:val="11"/>
            </w:pPr>
            <w:r>
              <w:t>77.51</w:t>
            </w:r>
          </w:p>
        </w:tc>
        <w:tc>
          <w:tcPr>
            <w:tcW w:w="1361" w:type="dxa"/>
            <w:vAlign w:val="center"/>
          </w:tcPr>
          <w:p w14:paraId="2C783669">
            <w:pPr>
              <w:pStyle w:val="11"/>
            </w:pPr>
          </w:p>
        </w:tc>
        <w:tc>
          <w:tcPr>
            <w:tcW w:w="1361" w:type="dxa"/>
            <w:vAlign w:val="center"/>
          </w:tcPr>
          <w:p w14:paraId="048FC39A">
            <w:pPr>
              <w:pStyle w:val="11"/>
            </w:pPr>
          </w:p>
        </w:tc>
        <w:tc>
          <w:tcPr>
            <w:tcW w:w="1361" w:type="dxa"/>
            <w:vAlign w:val="center"/>
          </w:tcPr>
          <w:p w14:paraId="0C00AC04">
            <w:pPr>
              <w:pStyle w:val="11"/>
            </w:pPr>
          </w:p>
        </w:tc>
      </w:tr>
      <w:tr w14:paraId="03B0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7F415">
            <w:pPr>
              <w:pStyle w:val="13"/>
            </w:pPr>
            <w:r>
              <w:t>5</w:t>
            </w:r>
          </w:p>
        </w:tc>
        <w:tc>
          <w:tcPr>
            <w:tcW w:w="992" w:type="dxa"/>
            <w:vAlign w:val="center"/>
          </w:tcPr>
          <w:p w14:paraId="6414C96E">
            <w:pPr>
              <w:pStyle w:val="12"/>
            </w:pPr>
            <w:r>
              <w:t>2050202</w:t>
            </w:r>
          </w:p>
        </w:tc>
        <w:tc>
          <w:tcPr>
            <w:tcW w:w="4535" w:type="dxa"/>
            <w:vAlign w:val="center"/>
          </w:tcPr>
          <w:p w14:paraId="36C5D6A4">
            <w:pPr>
              <w:pStyle w:val="12"/>
            </w:pPr>
            <w:r>
              <w:t>小学教育</w:t>
            </w:r>
          </w:p>
        </w:tc>
        <w:tc>
          <w:tcPr>
            <w:tcW w:w="1361" w:type="dxa"/>
            <w:vAlign w:val="center"/>
          </w:tcPr>
          <w:p w14:paraId="55BDC90D">
            <w:pPr>
              <w:pStyle w:val="11"/>
            </w:pPr>
            <w:r>
              <w:t>2021.17</w:t>
            </w:r>
          </w:p>
        </w:tc>
        <w:tc>
          <w:tcPr>
            <w:tcW w:w="1361" w:type="dxa"/>
            <w:vAlign w:val="center"/>
          </w:tcPr>
          <w:p w14:paraId="4C400F8D">
            <w:pPr>
              <w:pStyle w:val="11"/>
            </w:pPr>
            <w:r>
              <w:t>1653.09</w:t>
            </w:r>
          </w:p>
        </w:tc>
        <w:tc>
          <w:tcPr>
            <w:tcW w:w="1361" w:type="dxa"/>
            <w:vAlign w:val="center"/>
          </w:tcPr>
          <w:p w14:paraId="4376C5B6">
            <w:pPr>
              <w:pStyle w:val="11"/>
            </w:pPr>
            <w:r>
              <w:t>368.08</w:t>
            </w:r>
          </w:p>
        </w:tc>
        <w:tc>
          <w:tcPr>
            <w:tcW w:w="1361" w:type="dxa"/>
            <w:vAlign w:val="center"/>
          </w:tcPr>
          <w:p w14:paraId="0B63C7DA">
            <w:pPr>
              <w:pStyle w:val="11"/>
            </w:pPr>
          </w:p>
        </w:tc>
        <w:tc>
          <w:tcPr>
            <w:tcW w:w="1361" w:type="dxa"/>
            <w:vAlign w:val="center"/>
          </w:tcPr>
          <w:p w14:paraId="26E82E75">
            <w:pPr>
              <w:pStyle w:val="11"/>
            </w:pPr>
          </w:p>
        </w:tc>
        <w:tc>
          <w:tcPr>
            <w:tcW w:w="1361" w:type="dxa"/>
            <w:vAlign w:val="center"/>
          </w:tcPr>
          <w:p w14:paraId="64F522B0">
            <w:pPr>
              <w:pStyle w:val="11"/>
            </w:pPr>
          </w:p>
        </w:tc>
      </w:tr>
    </w:tbl>
    <w:p w14:paraId="4BD1AB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3DEE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8A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A1891F">
            <w:pPr>
              <w:pStyle w:val="9"/>
            </w:pPr>
            <w:r>
              <w:t>360026隆尧县牛家桥校区</w:t>
            </w:r>
          </w:p>
        </w:tc>
        <w:tc>
          <w:tcPr>
            <w:tcW w:w="3402" w:type="dxa"/>
            <w:tcBorders>
              <w:top w:val="single" w:color="FFFFFF" w:sz="6" w:space="0"/>
              <w:left w:val="single" w:color="FFFFFF" w:sz="6" w:space="0"/>
              <w:right w:val="single" w:color="FFFFFF" w:sz="6" w:space="0"/>
            </w:tcBorders>
            <w:vAlign w:val="center"/>
          </w:tcPr>
          <w:p w14:paraId="74C1091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D0F9873">
            <w:pPr>
              <w:pStyle w:val="7"/>
            </w:pPr>
            <w:r>
              <w:t>单位：万元</w:t>
            </w:r>
          </w:p>
        </w:tc>
      </w:tr>
      <w:tr w14:paraId="5749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B607C">
            <w:pPr>
              <w:pStyle w:val="10"/>
            </w:pPr>
            <w:r>
              <w:t>序号</w:t>
            </w:r>
          </w:p>
        </w:tc>
        <w:tc>
          <w:tcPr>
            <w:tcW w:w="4876" w:type="dxa"/>
            <w:gridSpan w:val="2"/>
            <w:vAlign w:val="center"/>
          </w:tcPr>
          <w:p w14:paraId="1ECA17D1">
            <w:pPr>
              <w:pStyle w:val="10"/>
            </w:pPr>
            <w:r>
              <w:t>收入</w:t>
            </w:r>
          </w:p>
        </w:tc>
        <w:tc>
          <w:tcPr>
            <w:tcW w:w="9298" w:type="dxa"/>
            <w:gridSpan w:val="5"/>
            <w:vAlign w:val="center"/>
          </w:tcPr>
          <w:p w14:paraId="1E2F6F22">
            <w:pPr>
              <w:pStyle w:val="10"/>
            </w:pPr>
            <w:r>
              <w:t>支出</w:t>
            </w:r>
          </w:p>
        </w:tc>
      </w:tr>
      <w:tr w14:paraId="000E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1F4F7"/>
        </w:tc>
        <w:tc>
          <w:tcPr>
            <w:tcW w:w="3402" w:type="dxa"/>
            <w:vAlign w:val="center"/>
          </w:tcPr>
          <w:p w14:paraId="563C9CA3">
            <w:pPr>
              <w:pStyle w:val="10"/>
            </w:pPr>
            <w:r>
              <w:t>项  目</w:t>
            </w:r>
          </w:p>
        </w:tc>
        <w:tc>
          <w:tcPr>
            <w:tcW w:w="1474" w:type="dxa"/>
            <w:vAlign w:val="center"/>
          </w:tcPr>
          <w:p w14:paraId="4E2B70C2">
            <w:pPr>
              <w:pStyle w:val="10"/>
            </w:pPr>
            <w:r>
              <w:t>金额</w:t>
            </w:r>
          </w:p>
        </w:tc>
        <w:tc>
          <w:tcPr>
            <w:tcW w:w="3402" w:type="dxa"/>
            <w:vAlign w:val="center"/>
          </w:tcPr>
          <w:p w14:paraId="7715D3E4">
            <w:pPr>
              <w:pStyle w:val="10"/>
            </w:pPr>
            <w:r>
              <w:t>项  目</w:t>
            </w:r>
          </w:p>
        </w:tc>
        <w:tc>
          <w:tcPr>
            <w:tcW w:w="1474" w:type="dxa"/>
            <w:vAlign w:val="center"/>
          </w:tcPr>
          <w:p w14:paraId="41DB1F38">
            <w:pPr>
              <w:pStyle w:val="10"/>
            </w:pPr>
            <w:r>
              <w:t>合计</w:t>
            </w:r>
          </w:p>
        </w:tc>
        <w:tc>
          <w:tcPr>
            <w:tcW w:w="1474" w:type="dxa"/>
            <w:vAlign w:val="center"/>
          </w:tcPr>
          <w:p w14:paraId="2E6AEF1C">
            <w:pPr>
              <w:pStyle w:val="10"/>
            </w:pPr>
            <w:r>
              <w:t>一般公共预算财政拨款</w:t>
            </w:r>
          </w:p>
        </w:tc>
        <w:tc>
          <w:tcPr>
            <w:tcW w:w="1474" w:type="dxa"/>
            <w:vAlign w:val="center"/>
          </w:tcPr>
          <w:p w14:paraId="4D4CD4ED">
            <w:pPr>
              <w:pStyle w:val="10"/>
            </w:pPr>
            <w:r>
              <w:t>政府性基金预算财政    拨款</w:t>
            </w:r>
          </w:p>
        </w:tc>
        <w:tc>
          <w:tcPr>
            <w:tcW w:w="1474" w:type="dxa"/>
            <w:vAlign w:val="center"/>
          </w:tcPr>
          <w:p w14:paraId="1A943E9E">
            <w:pPr>
              <w:pStyle w:val="10"/>
            </w:pPr>
            <w:r>
              <w:t>国有资本经营预算财政拨款</w:t>
            </w:r>
          </w:p>
        </w:tc>
      </w:tr>
      <w:tr w14:paraId="1999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C98F0">
            <w:pPr>
              <w:pStyle w:val="10"/>
            </w:pPr>
            <w:r>
              <w:t>栏次</w:t>
            </w:r>
          </w:p>
        </w:tc>
        <w:tc>
          <w:tcPr>
            <w:tcW w:w="3402" w:type="dxa"/>
            <w:vAlign w:val="center"/>
          </w:tcPr>
          <w:p w14:paraId="0B7B2796">
            <w:pPr>
              <w:pStyle w:val="10"/>
            </w:pPr>
            <w:r>
              <w:t>1</w:t>
            </w:r>
          </w:p>
        </w:tc>
        <w:tc>
          <w:tcPr>
            <w:tcW w:w="1474" w:type="dxa"/>
            <w:vAlign w:val="center"/>
          </w:tcPr>
          <w:p w14:paraId="2A0CA139">
            <w:pPr>
              <w:pStyle w:val="10"/>
            </w:pPr>
            <w:r>
              <w:t>2</w:t>
            </w:r>
          </w:p>
        </w:tc>
        <w:tc>
          <w:tcPr>
            <w:tcW w:w="3402" w:type="dxa"/>
            <w:vAlign w:val="center"/>
          </w:tcPr>
          <w:p w14:paraId="7BFCF62E">
            <w:pPr>
              <w:pStyle w:val="10"/>
            </w:pPr>
            <w:r>
              <w:t>3</w:t>
            </w:r>
          </w:p>
        </w:tc>
        <w:tc>
          <w:tcPr>
            <w:tcW w:w="1474" w:type="dxa"/>
            <w:vAlign w:val="center"/>
          </w:tcPr>
          <w:p w14:paraId="18D7C756">
            <w:pPr>
              <w:pStyle w:val="10"/>
            </w:pPr>
            <w:r>
              <w:t>4</w:t>
            </w:r>
          </w:p>
        </w:tc>
        <w:tc>
          <w:tcPr>
            <w:tcW w:w="1474" w:type="dxa"/>
            <w:vAlign w:val="center"/>
          </w:tcPr>
          <w:p w14:paraId="78CC3B56">
            <w:pPr>
              <w:pStyle w:val="10"/>
            </w:pPr>
            <w:r>
              <w:t>5</w:t>
            </w:r>
          </w:p>
        </w:tc>
        <w:tc>
          <w:tcPr>
            <w:tcW w:w="1474" w:type="dxa"/>
            <w:vAlign w:val="center"/>
          </w:tcPr>
          <w:p w14:paraId="25E5A3E9">
            <w:pPr>
              <w:pStyle w:val="10"/>
            </w:pPr>
            <w:r>
              <w:t>6</w:t>
            </w:r>
          </w:p>
        </w:tc>
        <w:tc>
          <w:tcPr>
            <w:tcW w:w="1474" w:type="dxa"/>
            <w:vAlign w:val="center"/>
          </w:tcPr>
          <w:p w14:paraId="5123F81A">
            <w:pPr>
              <w:pStyle w:val="10"/>
            </w:pPr>
            <w:r>
              <w:t>7</w:t>
            </w:r>
          </w:p>
        </w:tc>
      </w:tr>
      <w:tr w14:paraId="2E2A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34DEF">
            <w:pPr>
              <w:pStyle w:val="13"/>
            </w:pPr>
            <w:r>
              <w:t>1</w:t>
            </w:r>
          </w:p>
        </w:tc>
        <w:tc>
          <w:tcPr>
            <w:tcW w:w="3402" w:type="dxa"/>
            <w:vAlign w:val="center"/>
          </w:tcPr>
          <w:p w14:paraId="098DC704">
            <w:pPr>
              <w:pStyle w:val="12"/>
            </w:pPr>
            <w:r>
              <w:t>一、一般公共预算拨款</w:t>
            </w:r>
          </w:p>
        </w:tc>
        <w:tc>
          <w:tcPr>
            <w:tcW w:w="1474" w:type="dxa"/>
            <w:vAlign w:val="center"/>
          </w:tcPr>
          <w:p w14:paraId="34CE51D5">
            <w:pPr>
              <w:pStyle w:val="11"/>
            </w:pPr>
            <w:r>
              <w:t>2098.68</w:t>
            </w:r>
          </w:p>
        </w:tc>
        <w:tc>
          <w:tcPr>
            <w:tcW w:w="3402" w:type="dxa"/>
            <w:vAlign w:val="center"/>
          </w:tcPr>
          <w:p w14:paraId="5146D4A6">
            <w:pPr>
              <w:pStyle w:val="12"/>
            </w:pPr>
            <w:r>
              <w:t>一、一般公共服务支出</w:t>
            </w:r>
          </w:p>
        </w:tc>
        <w:tc>
          <w:tcPr>
            <w:tcW w:w="1474" w:type="dxa"/>
            <w:vAlign w:val="center"/>
          </w:tcPr>
          <w:p w14:paraId="67D9348C">
            <w:pPr>
              <w:pStyle w:val="11"/>
            </w:pPr>
          </w:p>
        </w:tc>
        <w:tc>
          <w:tcPr>
            <w:tcW w:w="1474" w:type="dxa"/>
            <w:vAlign w:val="center"/>
          </w:tcPr>
          <w:p w14:paraId="3A7C5814">
            <w:pPr>
              <w:pStyle w:val="11"/>
            </w:pPr>
          </w:p>
        </w:tc>
        <w:tc>
          <w:tcPr>
            <w:tcW w:w="1474" w:type="dxa"/>
            <w:vAlign w:val="center"/>
          </w:tcPr>
          <w:p w14:paraId="43D4AF3A">
            <w:pPr>
              <w:pStyle w:val="11"/>
            </w:pPr>
          </w:p>
        </w:tc>
        <w:tc>
          <w:tcPr>
            <w:tcW w:w="1474" w:type="dxa"/>
            <w:vAlign w:val="center"/>
          </w:tcPr>
          <w:p w14:paraId="436828F9">
            <w:pPr>
              <w:pStyle w:val="11"/>
            </w:pPr>
          </w:p>
        </w:tc>
      </w:tr>
      <w:tr w14:paraId="66B1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8D060">
            <w:pPr>
              <w:pStyle w:val="13"/>
            </w:pPr>
            <w:r>
              <w:t>2</w:t>
            </w:r>
          </w:p>
        </w:tc>
        <w:tc>
          <w:tcPr>
            <w:tcW w:w="3402" w:type="dxa"/>
            <w:vAlign w:val="center"/>
          </w:tcPr>
          <w:p w14:paraId="49C1739B">
            <w:pPr>
              <w:pStyle w:val="12"/>
            </w:pPr>
            <w:r>
              <w:t>二、政府性基金预算拨款</w:t>
            </w:r>
          </w:p>
        </w:tc>
        <w:tc>
          <w:tcPr>
            <w:tcW w:w="1474" w:type="dxa"/>
            <w:vAlign w:val="center"/>
          </w:tcPr>
          <w:p w14:paraId="6F29A5C1">
            <w:pPr>
              <w:pStyle w:val="11"/>
            </w:pPr>
          </w:p>
        </w:tc>
        <w:tc>
          <w:tcPr>
            <w:tcW w:w="3402" w:type="dxa"/>
            <w:vAlign w:val="center"/>
          </w:tcPr>
          <w:p w14:paraId="137C6685">
            <w:pPr>
              <w:pStyle w:val="12"/>
            </w:pPr>
            <w:r>
              <w:t>二、外交支出</w:t>
            </w:r>
          </w:p>
        </w:tc>
        <w:tc>
          <w:tcPr>
            <w:tcW w:w="1474" w:type="dxa"/>
            <w:vAlign w:val="center"/>
          </w:tcPr>
          <w:p w14:paraId="0A42E82F">
            <w:pPr>
              <w:pStyle w:val="11"/>
            </w:pPr>
          </w:p>
        </w:tc>
        <w:tc>
          <w:tcPr>
            <w:tcW w:w="1474" w:type="dxa"/>
            <w:vAlign w:val="center"/>
          </w:tcPr>
          <w:p w14:paraId="071AD01C">
            <w:pPr>
              <w:pStyle w:val="11"/>
            </w:pPr>
          </w:p>
        </w:tc>
        <w:tc>
          <w:tcPr>
            <w:tcW w:w="1474" w:type="dxa"/>
            <w:vAlign w:val="center"/>
          </w:tcPr>
          <w:p w14:paraId="03A5D4C2">
            <w:pPr>
              <w:pStyle w:val="11"/>
            </w:pPr>
          </w:p>
        </w:tc>
        <w:tc>
          <w:tcPr>
            <w:tcW w:w="1474" w:type="dxa"/>
            <w:vAlign w:val="center"/>
          </w:tcPr>
          <w:p w14:paraId="39409349">
            <w:pPr>
              <w:pStyle w:val="11"/>
            </w:pPr>
          </w:p>
        </w:tc>
      </w:tr>
      <w:tr w14:paraId="4A1A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BDF65">
            <w:pPr>
              <w:pStyle w:val="13"/>
            </w:pPr>
            <w:r>
              <w:t>3</w:t>
            </w:r>
          </w:p>
        </w:tc>
        <w:tc>
          <w:tcPr>
            <w:tcW w:w="3402" w:type="dxa"/>
            <w:vAlign w:val="center"/>
          </w:tcPr>
          <w:p w14:paraId="7CF23C29">
            <w:pPr>
              <w:pStyle w:val="12"/>
            </w:pPr>
            <w:r>
              <w:t>三、国有资本经营预算拨款</w:t>
            </w:r>
          </w:p>
        </w:tc>
        <w:tc>
          <w:tcPr>
            <w:tcW w:w="1474" w:type="dxa"/>
            <w:vAlign w:val="center"/>
          </w:tcPr>
          <w:p w14:paraId="691CDC94">
            <w:pPr>
              <w:pStyle w:val="11"/>
            </w:pPr>
          </w:p>
        </w:tc>
        <w:tc>
          <w:tcPr>
            <w:tcW w:w="3402" w:type="dxa"/>
            <w:vAlign w:val="center"/>
          </w:tcPr>
          <w:p w14:paraId="40EEA521">
            <w:pPr>
              <w:pStyle w:val="12"/>
            </w:pPr>
            <w:r>
              <w:t>三、国防支出</w:t>
            </w:r>
          </w:p>
        </w:tc>
        <w:tc>
          <w:tcPr>
            <w:tcW w:w="1474" w:type="dxa"/>
            <w:vAlign w:val="center"/>
          </w:tcPr>
          <w:p w14:paraId="303C9048">
            <w:pPr>
              <w:pStyle w:val="11"/>
            </w:pPr>
          </w:p>
        </w:tc>
        <w:tc>
          <w:tcPr>
            <w:tcW w:w="1474" w:type="dxa"/>
            <w:vAlign w:val="center"/>
          </w:tcPr>
          <w:p w14:paraId="0441AA4E">
            <w:pPr>
              <w:pStyle w:val="11"/>
            </w:pPr>
          </w:p>
        </w:tc>
        <w:tc>
          <w:tcPr>
            <w:tcW w:w="1474" w:type="dxa"/>
            <w:vAlign w:val="center"/>
          </w:tcPr>
          <w:p w14:paraId="5C66FB75">
            <w:pPr>
              <w:pStyle w:val="11"/>
            </w:pPr>
          </w:p>
        </w:tc>
        <w:tc>
          <w:tcPr>
            <w:tcW w:w="1474" w:type="dxa"/>
            <w:vAlign w:val="center"/>
          </w:tcPr>
          <w:p w14:paraId="09FE0521">
            <w:pPr>
              <w:pStyle w:val="11"/>
            </w:pPr>
          </w:p>
        </w:tc>
      </w:tr>
      <w:tr w14:paraId="42A0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F0E4">
            <w:pPr>
              <w:pStyle w:val="13"/>
            </w:pPr>
            <w:r>
              <w:t>4</w:t>
            </w:r>
          </w:p>
        </w:tc>
        <w:tc>
          <w:tcPr>
            <w:tcW w:w="3402" w:type="dxa"/>
            <w:vAlign w:val="center"/>
          </w:tcPr>
          <w:p w14:paraId="27D686F4">
            <w:pPr>
              <w:pStyle w:val="12"/>
            </w:pPr>
          </w:p>
        </w:tc>
        <w:tc>
          <w:tcPr>
            <w:tcW w:w="1474" w:type="dxa"/>
            <w:vAlign w:val="center"/>
          </w:tcPr>
          <w:p w14:paraId="48B6D3EA">
            <w:pPr>
              <w:pStyle w:val="11"/>
            </w:pPr>
          </w:p>
        </w:tc>
        <w:tc>
          <w:tcPr>
            <w:tcW w:w="3402" w:type="dxa"/>
            <w:vAlign w:val="center"/>
          </w:tcPr>
          <w:p w14:paraId="7E4F8D4A">
            <w:pPr>
              <w:pStyle w:val="12"/>
            </w:pPr>
            <w:r>
              <w:t>四、公共安全支出</w:t>
            </w:r>
          </w:p>
        </w:tc>
        <w:tc>
          <w:tcPr>
            <w:tcW w:w="1474" w:type="dxa"/>
            <w:vAlign w:val="center"/>
          </w:tcPr>
          <w:p w14:paraId="5AA2685A">
            <w:pPr>
              <w:pStyle w:val="11"/>
            </w:pPr>
          </w:p>
        </w:tc>
        <w:tc>
          <w:tcPr>
            <w:tcW w:w="1474" w:type="dxa"/>
            <w:vAlign w:val="center"/>
          </w:tcPr>
          <w:p w14:paraId="1845575C">
            <w:pPr>
              <w:pStyle w:val="11"/>
            </w:pPr>
          </w:p>
        </w:tc>
        <w:tc>
          <w:tcPr>
            <w:tcW w:w="1474" w:type="dxa"/>
            <w:vAlign w:val="center"/>
          </w:tcPr>
          <w:p w14:paraId="186D3FD4">
            <w:pPr>
              <w:pStyle w:val="11"/>
            </w:pPr>
          </w:p>
        </w:tc>
        <w:tc>
          <w:tcPr>
            <w:tcW w:w="1474" w:type="dxa"/>
            <w:vAlign w:val="center"/>
          </w:tcPr>
          <w:p w14:paraId="1162C573">
            <w:pPr>
              <w:pStyle w:val="11"/>
            </w:pPr>
          </w:p>
        </w:tc>
      </w:tr>
      <w:tr w14:paraId="492B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F1AD">
            <w:pPr>
              <w:pStyle w:val="13"/>
            </w:pPr>
            <w:r>
              <w:t>5</w:t>
            </w:r>
          </w:p>
        </w:tc>
        <w:tc>
          <w:tcPr>
            <w:tcW w:w="3402" w:type="dxa"/>
            <w:vAlign w:val="center"/>
          </w:tcPr>
          <w:p w14:paraId="6FDD752A">
            <w:pPr>
              <w:pStyle w:val="12"/>
            </w:pPr>
          </w:p>
        </w:tc>
        <w:tc>
          <w:tcPr>
            <w:tcW w:w="1474" w:type="dxa"/>
            <w:vAlign w:val="center"/>
          </w:tcPr>
          <w:p w14:paraId="7B893747">
            <w:pPr>
              <w:pStyle w:val="11"/>
            </w:pPr>
          </w:p>
        </w:tc>
        <w:tc>
          <w:tcPr>
            <w:tcW w:w="3402" w:type="dxa"/>
            <w:vAlign w:val="center"/>
          </w:tcPr>
          <w:p w14:paraId="06236EE2">
            <w:pPr>
              <w:pStyle w:val="12"/>
            </w:pPr>
            <w:r>
              <w:t>五、教育支出</w:t>
            </w:r>
          </w:p>
        </w:tc>
        <w:tc>
          <w:tcPr>
            <w:tcW w:w="1474" w:type="dxa"/>
            <w:vAlign w:val="center"/>
          </w:tcPr>
          <w:p w14:paraId="3086EDC6">
            <w:pPr>
              <w:pStyle w:val="11"/>
            </w:pPr>
            <w:r>
              <w:t>2098.68</w:t>
            </w:r>
          </w:p>
        </w:tc>
        <w:tc>
          <w:tcPr>
            <w:tcW w:w="1474" w:type="dxa"/>
            <w:vAlign w:val="center"/>
          </w:tcPr>
          <w:p w14:paraId="6EE8D2C2">
            <w:pPr>
              <w:pStyle w:val="11"/>
            </w:pPr>
            <w:r>
              <w:t>2098.68</w:t>
            </w:r>
          </w:p>
        </w:tc>
        <w:tc>
          <w:tcPr>
            <w:tcW w:w="1474" w:type="dxa"/>
            <w:vAlign w:val="center"/>
          </w:tcPr>
          <w:p w14:paraId="246661FC">
            <w:pPr>
              <w:pStyle w:val="11"/>
            </w:pPr>
          </w:p>
        </w:tc>
        <w:tc>
          <w:tcPr>
            <w:tcW w:w="1474" w:type="dxa"/>
            <w:vAlign w:val="center"/>
          </w:tcPr>
          <w:p w14:paraId="3B6C550F">
            <w:pPr>
              <w:pStyle w:val="11"/>
            </w:pPr>
          </w:p>
        </w:tc>
      </w:tr>
      <w:tr w14:paraId="7B61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12F44">
            <w:pPr>
              <w:pStyle w:val="13"/>
            </w:pPr>
            <w:r>
              <w:t>6</w:t>
            </w:r>
          </w:p>
        </w:tc>
        <w:tc>
          <w:tcPr>
            <w:tcW w:w="3402" w:type="dxa"/>
            <w:vAlign w:val="center"/>
          </w:tcPr>
          <w:p w14:paraId="5E9449D7">
            <w:pPr>
              <w:pStyle w:val="12"/>
            </w:pPr>
          </w:p>
        </w:tc>
        <w:tc>
          <w:tcPr>
            <w:tcW w:w="1474" w:type="dxa"/>
            <w:vAlign w:val="center"/>
          </w:tcPr>
          <w:p w14:paraId="7459F536">
            <w:pPr>
              <w:pStyle w:val="11"/>
            </w:pPr>
          </w:p>
        </w:tc>
        <w:tc>
          <w:tcPr>
            <w:tcW w:w="3402" w:type="dxa"/>
            <w:vAlign w:val="center"/>
          </w:tcPr>
          <w:p w14:paraId="092B94CD">
            <w:pPr>
              <w:pStyle w:val="12"/>
            </w:pPr>
            <w:r>
              <w:t>六、科学技术支出</w:t>
            </w:r>
          </w:p>
        </w:tc>
        <w:tc>
          <w:tcPr>
            <w:tcW w:w="1474" w:type="dxa"/>
            <w:vAlign w:val="center"/>
          </w:tcPr>
          <w:p w14:paraId="7E0954DD">
            <w:pPr>
              <w:pStyle w:val="11"/>
            </w:pPr>
          </w:p>
        </w:tc>
        <w:tc>
          <w:tcPr>
            <w:tcW w:w="1474" w:type="dxa"/>
            <w:vAlign w:val="center"/>
          </w:tcPr>
          <w:p w14:paraId="1603935F">
            <w:pPr>
              <w:pStyle w:val="11"/>
            </w:pPr>
          </w:p>
        </w:tc>
        <w:tc>
          <w:tcPr>
            <w:tcW w:w="1474" w:type="dxa"/>
            <w:vAlign w:val="center"/>
          </w:tcPr>
          <w:p w14:paraId="401DC7D2">
            <w:pPr>
              <w:pStyle w:val="11"/>
            </w:pPr>
          </w:p>
        </w:tc>
        <w:tc>
          <w:tcPr>
            <w:tcW w:w="1474" w:type="dxa"/>
            <w:vAlign w:val="center"/>
          </w:tcPr>
          <w:p w14:paraId="166D325B">
            <w:pPr>
              <w:pStyle w:val="11"/>
            </w:pPr>
          </w:p>
        </w:tc>
      </w:tr>
      <w:tr w14:paraId="6252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BD64C">
            <w:pPr>
              <w:pStyle w:val="13"/>
            </w:pPr>
            <w:r>
              <w:t>7</w:t>
            </w:r>
          </w:p>
        </w:tc>
        <w:tc>
          <w:tcPr>
            <w:tcW w:w="3402" w:type="dxa"/>
            <w:vAlign w:val="center"/>
          </w:tcPr>
          <w:p w14:paraId="3B8D2EA0">
            <w:pPr>
              <w:pStyle w:val="12"/>
            </w:pPr>
          </w:p>
        </w:tc>
        <w:tc>
          <w:tcPr>
            <w:tcW w:w="1474" w:type="dxa"/>
            <w:vAlign w:val="center"/>
          </w:tcPr>
          <w:p w14:paraId="068C2CC5">
            <w:pPr>
              <w:pStyle w:val="11"/>
            </w:pPr>
          </w:p>
        </w:tc>
        <w:tc>
          <w:tcPr>
            <w:tcW w:w="3402" w:type="dxa"/>
            <w:vAlign w:val="center"/>
          </w:tcPr>
          <w:p w14:paraId="32FE7B0C">
            <w:pPr>
              <w:pStyle w:val="12"/>
            </w:pPr>
            <w:r>
              <w:t>七、文化旅游体育与传媒支出</w:t>
            </w:r>
          </w:p>
        </w:tc>
        <w:tc>
          <w:tcPr>
            <w:tcW w:w="1474" w:type="dxa"/>
            <w:vAlign w:val="center"/>
          </w:tcPr>
          <w:p w14:paraId="1D8F2BD1">
            <w:pPr>
              <w:pStyle w:val="11"/>
            </w:pPr>
          </w:p>
        </w:tc>
        <w:tc>
          <w:tcPr>
            <w:tcW w:w="1474" w:type="dxa"/>
            <w:vAlign w:val="center"/>
          </w:tcPr>
          <w:p w14:paraId="0468542A">
            <w:pPr>
              <w:pStyle w:val="11"/>
            </w:pPr>
          </w:p>
        </w:tc>
        <w:tc>
          <w:tcPr>
            <w:tcW w:w="1474" w:type="dxa"/>
            <w:vAlign w:val="center"/>
          </w:tcPr>
          <w:p w14:paraId="0AE77ADA">
            <w:pPr>
              <w:pStyle w:val="11"/>
            </w:pPr>
          </w:p>
        </w:tc>
        <w:tc>
          <w:tcPr>
            <w:tcW w:w="1474" w:type="dxa"/>
            <w:vAlign w:val="center"/>
          </w:tcPr>
          <w:p w14:paraId="707DDE9F">
            <w:pPr>
              <w:pStyle w:val="11"/>
            </w:pPr>
          </w:p>
        </w:tc>
      </w:tr>
      <w:tr w14:paraId="75B4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F6EEF">
            <w:pPr>
              <w:pStyle w:val="13"/>
            </w:pPr>
            <w:r>
              <w:t>8</w:t>
            </w:r>
          </w:p>
        </w:tc>
        <w:tc>
          <w:tcPr>
            <w:tcW w:w="3402" w:type="dxa"/>
            <w:vAlign w:val="center"/>
          </w:tcPr>
          <w:p w14:paraId="1BF031F9">
            <w:pPr>
              <w:pStyle w:val="12"/>
            </w:pPr>
          </w:p>
        </w:tc>
        <w:tc>
          <w:tcPr>
            <w:tcW w:w="1474" w:type="dxa"/>
            <w:vAlign w:val="center"/>
          </w:tcPr>
          <w:p w14:paraId="7172A38D">
            <w:pPr>
              <w:pStyle w:val="11"/>
            </w:pPr>
          </w:p>
        </w:tc>
        <w:tc>
          <w:tcPr>
            <w:tcW w:w="3402" w:type="dxa"/>
            <w:vAlign w:val="center"/>
          </w:tcPr>
          <w:p w14:paraId="4DC64F37">
            <w:pPr>
              <w:pStyle w:val="12"/>
            </w:pPr>
            <w:r>
              <w:t>八、社会保障和就业支出</w:t>
            </w:r>
          </w:p>
        </w:tc>
        <w:tc>
          <w:tcPr>
            <w:tcW w:w="1474" w:type="dxa"/>
            <w:vAlign w:val="center"/>
          </w:tcPr>
          <w:p w14:paraId="2DB3A622">
            <w:pPr>
              <w:pStyle w:val="11"/>
            </w:pPr>
          </w:p>
        </w:tc>
        <w:tc>
          <w:tcPr>
            <w:tcW w:w="1474" w:type="dxa"/>
            <w:vAlign w:val="center"/>
          </w:tcPr>
          <w:p w14:paraId="51294E12">
            <w:pPr>
              <w:pStyle w:val="11"/>
            </w:pPr>
          </w:p>
        </w:tc>
        <w:tc>
          <w:tcPr>
            <w:tcW w:w="1474" w:type="dxa"/>
            <w:vAlign w:val="center"/>
          </w:tcPr>
          <w:p w14:paraId="662A7F84">
            <w:pPr>
              <w:pStyle w:val="11"/>
            </w:pPr>
          </w:p>
        </w:tc>
        <w:tc>
          <w:tcPr>
            <w:tcW w:w="1474" w:type="dxa"/>
            <w:vAlign w:val="center"/>
          </w:tcPr>
          <w:p w14:paraId="31E8922D">
            <w:pPr>
              <w:pStyle w:val="11"/>
            </w:pPr>
          </w:p>
        </w:tc>
      </w:tr>
      <w:tr w14:paraId="79A0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A59E">
            <w:pPr>
              <w:pStyle w:val="13"/>
            </w:pPr>
            <w:r>
              <w:t>9</w:t>
            </w:r>
          </w:p>
        </w:tc>
        <w:tc>
          <w:tcPr>
            <w:tcW w:w="3402" w:type="dxa"/>
            <w:vAlign w:val="center"/>
          </w:tcPr>
          <w:p w14:paraId="73393263">
            <w:pPr>
              <w:pStyle w:val="12"/>
            </w:pPr>
          </w:p>
        </w:tc>
        <w:tc>
          <w:tcPr>
            <w:tcW w:w="1474" w:type="dxa"/>
            <w:vAlign w:val="center"/>
          </w:tcPr>
          <w:p w14:paraId="4F93DA0A">
            <w:pPr>
              <w:pStyle w:val="11"/>
            </w:pPr>
          </w:p>
        </w:tc>
        <w:tc>
          <w:tcPr>
            <w:tcW w:w="3402" w:type="dxa"/>
            <w:vAlign w:val="center"/>
          </w:tcPr>
          <w:p w14:paraId="188EFC81">
            <w:pPr>
              <w:pStyle w:val="12"/>
            </w:pPr>
            <w:r>
              <w:t>九、社会保险基金支出</w:t>
            </w:r>
          </w:p>
        </w:tc>
        <w:tc>
          <w:tcPr>
            <w:tcW w:w="1474" w:type="dxa"/>
            <w:vAlign w:val="center"/>
          </w:tcPr>
          <w:p w14:paraId="47A5FED1">
            <w:pPr>
              <w:pStyle w:val="11"/>
            </w:pPr>
          </w:p>
        </w:tc>
        <w:tc>
          <w:tcPr>
            <w:tcW w:w="1474" w:type="dxa"/>
            <w:vAlign w:val="center"/>
          </w:tcPr>
          <w:p w14:paraId="295EA9DB">
            <w:pPr>
              <w:pStyle w:val="11"/>
            </w:pPr>
          </w:p>
        </w:tc>
        <w:tc>
          <w:tcPr>
            <w:tcW w:w="1474" w:type="dxa"/>
            <w:vAlign w:val="center"/>
          </w:tcPr>
          <w:p w14:paraId="194D8395">
            <w:pPr>
              <w:pStyle w:val="11"/>
            </w:pPr>
          </w:p>
        </w:tc>
        <w:tc>
          <w:tcPr>
            <w:tcW w:w="1474" w:type="dxa"/>
            <w:vAlign w:val="center"/>
          </w:tcPr>
          <w:p w14:paraId="138F3CF6">
            <w:pPr>
              <w:pStyle w:val="11"/>
            </w:pPr>
          </w:p>
        </w:tc>
      </w:tr>
      <w:tr w14:paraId="10CF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B4858">
            <w:pPr>
              <w:pStyle w:val="13"/>
            </w:pPr>
            <w:r>
              <w:t>10</w:t>
            </w:r>
          </w:p>
        </w:tc>
        <w:tc>
          <w:tcPr>
            <w:tcW w:w="3402" w:type="dxa"/>
            <w:vAlign w:val="center"/>
          </w:tcPr>
          <w:p w14:paraId="166BF473">
            <w:pPr>
              <w:pStyle w:val="12"/>
            </w:pPr>
          </w:p>
        </w:tc>
        <w:tc>
          <w:tcPr>
            <w:tcW w:w="1474" w:type="dxa"/>
            <w:vAlign w:val="center"/>
          </w:tcPr>
          <w:p w14:paraId="376DD683">
            <w:pPr>
              <w:pStyle w:val="11"/>
            </w:pPr>
          </w:p>
        </w:tc>
        <w:tc>
          <w:tcPr>
            <w:tcW w:w="3402" w:type="dxa"/>
            <w:vAlign w:val="center"/>
          </w:tcPr>
          <w:p w14:paraId="200BFBC5">
            <w:pPr>
              <w:pStyle w:val="12"/>
            </w:pPr>
            <w:r>
              <w:t>十、卫生健康支出</w:t>
            </w:r>
          </w:p>
        </w:tc>
        <w:tc>
          <w:tcPr>
            <w:tcW w:w="1474" w:type="dxa"/>
            <w:vAlign w:val="center"/>
          </w:tcPr>
          <w:p w14:paraId="008FA9D7">
            <w:pPr>
              <w:pStyle w:val="11"/>
            </w:pPr>
          </w:p>
        </w:tc>
        <w:tc>
          <w:tcPr>
            <w:tcW w:w="1474" w:type="dxa"/>
            <w:vAlign w:val="center"/>
          </w:tcPr>
          <w:p w14:paraId="656B8FC7">
            <w:pPr>
              <w:pStyle w:val="11"/>
            </w:pPr>
          </w:p>
        </w:tc>
        <w:tc>
          <w:tcPr>
            <w:tcW w:w="1474" w:type="dxa"/>
            <w:vAlign w:val="center"/>
          </w:tcPr>
          <w:p w14:paraId="08A0B044">
            <w:pPr>
              <w:pStyle w:val="11"/>
            </w:pPr>
          </w:p>
        </w:tc>
        <w:tc>
          <w:tcPr>
            <w:tcW w:w="1474" w:type="dxa"/>
            <w:vAlign w:val="center"/>
          </w:tcPr>
          <w:p w14:paraId="2F1A55C8">
            <w:pPr>
              <w:pStyle w:val="11"/>
            </w:pPr>
          </w:p>
        </w:tc>
      </w:tr>
      <w:tr w14:paraId="0531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1846F">
            <w:pPr>
              <w:pStyle w:val="13"/>
            </w:pPr>
            <w:r>
              <w:t>11</w:t>
            </w:r>
          </w:p>
        </w:tc>
        <w:tc>
          <w:tcPr>
            <w:tcW w:w="3402" w:type="dxa"/>
            <w:vAlign w:val="center"/>
          </w:tcPr>
          <w:p w14:paraId="4A5FC22E">
            <w:pPr>
              <w:pStyle w:val="12"/>
            </w:pPr>
          </w:p>
        </w:tc>
        <w:tc>
          <w:tcPr>
            <w:tcW w:w="1474" w:type="dxa"/>
            <w:vAlign w:val="center"/>
          </w:tcPr>
          <w:p w14:paraId="70EE3E55">
            <w:pPr>
              <w:pStyle w:val="11"/>
            </w:pPr>
          </w:p>
        </w:tc>
        <w:tc>
          <w:tcPr>
            <w:tcW w:w="3402" w:type="dxa"/>
            <w:vAlign w:val="center"/>
          </w:tcPr>
          <w:p w14:paraId="05CFF800">
            <w:pPr>
              <w:pStyle w:val="12"/>
            </w:pPr>
            <w:r>
              <w:t>十一、节能环保支出</w:t>
            </w:r>
          </w:p>
        </w:tc>
        <w:tc>
          <w:tcPr>
            <w:tcW w:w="1474" w:type="dxa"/>
            <w:vAlign w:val="center"/>
          </w:tcPr>
          <w:p w14:paraId="160A3175">
            <w:pPr>
              <w:pStyle w:val="11"/>
            </w:pPr>
          </w:p>
        </w:tc>
        <w:tc>
          <w:tcPr>
            <w:tcW w:w="1474" w:type="dxa"/>
            <w:vAlign w:val="center"/>
          </w:tcPr>
          <w:p w14:paraId="51982969">
            <w:pPr>
              <w:pStyle w:val="11"/>
            </w:pPr>
          </w:p>
        </w:tc>
        <w:tc>
          <w:tcPr>
            <w:tcW w:w="1474" w:type="dxa"/>
            <w:vAlign w:val="center"/>
          </w:tcPr>
          <w:p w14:paraId="527DF63A">
            <w:pPr>
              <w:pStyle w:val="11"/>
            </w:pPr>
          </w:p>
        </w:tc>
        <w:tc>
          <w:tcPr>
            <w:tcW w:w="1474" w:type="dxa"/>
            <w:vAlign w:val="center"/>
          </w:tcPr>
          <w:p w14:paraId="232A9EBB">
            <w:pPr>
              <w:pStyle w:val="11"/>
            </w:pPr>
          </w:p>
        </w:tc>
      </w:tr>
      <w:tr w14:paraId="0A2D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0B1F">
            <w:pPr>
              <w:pStyle w:val="13"/>
            </w:pPr>
            <w:r>
              <w:t>12</w:t>
            </w:r>
          </w:p>
        </w:tc>
        <w:tc>
          <w:tcPr>
            <w:tcW w:w="3402" w:type="dxa"/>
            <w:vAlign w:val="center"/>
          </w:tcPr>
          <w:p w14:paraId="2BEA7C15">
            <w:pPr>
              <w:pStyle w:val="12"/>
            </w:pPr>
          </w:p>
        </w:tc>
        <w:tc>
          <w:tcPr>
            <w:tcW w:w="1474" w:type="dxa"/>
            <w:vAlign w:val="center"/>
          </w:tcPr>
          <w:p w14:paraId="1A282040">
            <w:pPr>
              <w:pStyle w:val="11"/>
            </w:pPr>
          </w:p>
        </w:tc>
        <w:tc>
          <w:tcPr>
            <w:tcW w:w="3402" w:type="dxa"/>
            <w:vAlign w:val="center"/>
          </w:tcPr>
          <w:p w14:paraId="64FE052A">
            <w:pPr>
              <w:pStyle w:val="12"/>
            </w:pPr>
            <w:r>
              <w:t>十二、城乡社区支出</w:t>
            </w:r>
          </w:p>
        </w:tc>
        <w:tc>
          <w:tcPr>
            <w:tcW w:w="1474" w:type="dxa"/>
            <w:vAlign w:val="center"/>
          </w:tcPr>
          <w:p w14:paraId="206A515B">
            <w:pPr>
              <w:pStyle w:val="11"/>
            </w:pPr>
          </w:p>
        </w:tc>
        <w:tc>
          <w:tcPr>
            <w:tcW w:w="1474" w:type="dxa"/>
            <w:vAlign w:val="center"/>
          </w:tcPr>
          <w:p w14:paraId="25C82D28">
            <w:pPr>
              <w:pStyle w:val="11"/>
            </w:pPr>
          </w:p>
        </w:tc>
        <w:tc>
          <w:tcPr>
            <w:tcW w:w="1474" w:type="dxa"/>
            <w:vAlign w:val="center"/>
          </w:tcPr>
          <w:p w14:paraId="489E9CA8">
            <w:pPr>
              <w:pStyle w:val="11"/>
            </w:pPr>
          </w:p>
        </w:tc>
        <w:tc>
          <w:tcPr>
            <w:tcW w:w="1474" w:type="dxa"/>
            <w:vAlign w:val="center"/>
          </w:tcPr>
          <w:p w14:paraId="253B657F">
            <w:pPr>
              <w:pStyle w:val="11"/>
            </w:pPr>
          </w:p>
        </w:tc>
      </w:tr>
      <w:tr w14:paraId="3781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0D2E0">
            <w:pPr>
              <w:pStyle w:val="13"/>
            </w:pPr>
            <w:r>
              <w:t>13</w:t>
            </w:r>
          </w:p>
        </w:tc>
        <w:tc>
          <w:tcPr>
            <w:tcW w:w="3402" w:type="dxa"/>
            <w:vAlign w:val="center"/>
          </w:tcPr>
          <w:p w14:paraId="35EA9093">
            <w:pPr>
              <w:pStyle w:val="12"/>
            </w:pPr>
          </w:p>
        </w:tc>
        <w:tc>
          <w:tcPr>
            <w:tcW w:w="1474" w:type="dxa"/>
            <w:vAlign w:val="center"/>
          </w:tcPr>
          <w:p w14:paraId="210FCBAC">
            <w:pPr>
              <w:pStyle w:val="11"/>
            </w:pPr>
          </w:p>
        </w:tc>
        <w:tc>
          <w:tcPr>
            <w:tcW w:w="3402" w:type="dxa"/>
            <w:vAlign w:val="center"/>
          </w:tcPr>
          <w:p w14:paraId="642E4A5F">
            <w:pPr>
              <w:pStyle w:val="12"/>
            </w:pPr>
            <w:r>
              <w:t>十三、农林水支出</w:t>
            </w:r>
          </w:p>
        </w:tc>
        <w:tc>
          <w:tcPr>
            <w:tcW w:w="1474" w:type="dxa"/>
            <w:vAlign w:val="center"/>
          </w:tcPr>
          <w:p w14:paraId="3ABA8F23">
            <w:pPr>
              <w:pStyle w:val="11"/>
            </w:pPr>
          </w:p>
        </w:tc>
        <w:tc>
          <w:tcPr>
            <w:tcW w:w="1474" w:type="dxa"/>
            <w:vAlign w:val="center"/>
          </w:tcPr>
          <w:p w14:paraId="155CE222">
            <w:pPr>
              <w:pStyle w:val="11"/>
            </w:pPr>
          </w:p>
        </w:tc>
        <w:tc>
          <w:tcPr>
            <w:tcW w:w="1474" w:type="dxa"/>
            <w:vAlign w:val="center"/>
          </w:tcPr>
          <w:p w14:paraId="0FCD2726">
            <w:pPr>
              <w:pStyle w:val="11"/>
            </w:pPr>
          </w:p>
        </w:tc>
        <w:tc>
          <w:tcPr>
            <w:tcW w:w="1474" w:type="dxa"/>
            <w:vAlign w:val="center"/>
          </w:tcPr>
          <w:p w14:paraId="20163D71">
            <w:pPr>
              <w:pStyle w:val="11"/>
            </w:pPr>
          </w:p>
        </w:tc>
      </w:tr>
      <w:tr w14:paraId="3210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19CDF">
            <w:pPr>
              <w:pStyle w:val="13"/>
            </w:pPr>
            <w:r>
              <w:t>14</w:t>
            </w:r>
          </w:p>
        </w:tc>
        <w:tc>
          <w:tcPr>
            <w:tcW w:w="3402" w:type="dxa"/>
            <w:vAlign w:val="center"/>
          </w:tcPr>
          <w:p w14:paraId="476F0899">
            <w:pPr>
              <w:pStyle w:val="12"/>
            </w:pPr>
          </w:p>
        </w:tc>
        <w:tc>
          <w:tcPr>
            <w:tcW w:w="1474" w:type="dxa"/>
            <w:vAlign w:val="center"/>
          </w:tcPr>
          <w:p w14:paraId="201932C3">
            <w:pPr>
              <w:pStyle w:val="11"/>
            </w:pPr>
          </w:p>
        </w:tc>
        <w:tc>
          <w:tcPr>
            <w:tcW w:w="3402" w:type="dxa"/>
            <w:vAlign w:val="center"/>
          </w:tcPr>
          <w:p w14:paraId="4CF8B43F">
            <w:pPr>
              <w:pStyle w:val="12"/>
            </w:pPr>
            <w:r>
              <w:t>十四、交通运输支出</w:t>
            </w:r>
          </w:p>
        </w:tc>
        <w:tc>
          <w:tcPr>
            <w:tcW w:w="1474" w:type="dxa"/>
            <w:vAlign w:val="center"/>
          </w:tcPr>
          <w:p w14:paraId="72A802B0">
            <w:pPr>
              <w:pStyle w:val="11"/>
            </w:pPr>
          </w:p>
        </w:tc>
        <w:tc>
          <w:tcPr>
            <w:tcW w:w="1474" w:type="dxa"/>
            <w:vAlign w:val="center"/>
          </w:tcPr>
          <w:p w14:paraId="5B3D7D5F">
            <w:pPr>
              <w:pStyle w:val="11"/>
            </w:pPr>
          </w:p>
        </w:tc>
        <w:tc>
          <w:tcPr>
            <w:tcW w:w="1474" w:type="dxa"/>
            <w:vAlign w:val="center"/>
          </w:tcPr>
          <w:p w14:paraId="3D3027EC">
            <w:pPr>
              <w:pStyle w:val="11"/>
            </w:pPr>
          </w:p>
        </w:tc>
        <w:tc>
          <w:tcPr>
            <w:tcW w:w="1474" w:type="dxa"/>
            <w:vAlign w:val="center"/>
          </w:tcPr>
          <w:p w14:paraId="30B19834">
            <w:pPr>
              <w:pStyle w:val="11"/>
            </w:pPr>
          </w:p>
        </w:tc>
      </w:tr>
      <w:tr w14:paraId="3E51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2E245">
            <w:pPr>
              <w:pStyle w:val="13"/>
            </w:pPr>
            <w:r>
              <w:t>15</w:t>
            </w:r>
          </w:p>
        </w:tc>
        <w:tc>
          <w:tcPr>
            <w:tcW w:w="3402" w:type="dxa"/>
            <w:vAlign w:val="center"/>
          </w:tcPr>
          <w:p w14:paraId="036ED607">
            <w:pPr>
              <w:pStyle w:val="12"/>
            </w:pPr>
          </w:p>
        </w:tc>
        <w:tc>
          <w:tcPr>
            <w:tcW w:w="1474" w:type="dxa"/>
            <w:vAlign w:val="center"/>
          </w:tcPr>
          <w:p w14:paraId="071F710C">
            <w:pPr>
              <w:pStyle w:val="11"/>
            </w:pPr>
          </w:p>
        </w:tc>
        <w:tc>
          <w:tcPr>
            <w:tcW w:w="3402" w:type="dxa"/>
            <w:vAlign w:val="center"/>
          </w:tcPr>
          <w:p w14:paraId="69346407">
            <w:pPr>
              <w:pStyle w:val="12"/>
            </w:pPr>
            <w:r>
              <w:t>十五、资源勘探工业信息等支出</w:t>
            </w:r>
          </w:p>
        </w:tc>
        <w:tc>
          <w:tcPr>
            <w:tcW w:w="1474" w:type="dxa"/>
            <w:vAlign w:val="center"/>
          </w:tcPr>
          <w:p w14:paraId="62F42C72">
            <w:pPr>
              <w:pStyle w:val="11"/>
            </w:pPr>
          </w:p>
        </w:tc>
        <w:tc>
          <w:tcPr>
            <w:tcW w:w="1474" w:type="dxa"/>
            <w:vAlign w:val="center"/>
          </w:tcPr>
          <w:p w14:paraId="79C9C65C">
            <w:pPr>
              <w:pStyle w:val="11"/>
            </w:pPr>
          </w:p>
        </w:tc>
        <w:tc>
          <w:tcPr>
            <w:tcW w:w="1474" w:type="dxa"/>
            <w:vAlign w:val="center"/>
          </w:tcPr>
          <w:p w14:paraId="339BB4E3">
            <w:pPr>
              <w:pStyle w:val="11"/>
            </w:pPr>
          </w:p>
        </w:tc>
        <w:tc>
          <w:tcPr>
            <w:tcW w:w="1474" w:type="dxa"/>
            <w:vAlign w:val="center"/>
          </w:tcPr>
          <w:p w14:paraId="5EF411A7">
            <w:pPr>
              <w:pStyle w:val="11"/>
            </w:pPr>
          </w:p>
        </w:tc>
      </w:tr>
      <w:tr w14:paraId="18C0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92233">
            <w:pPr>
              <w:pStyle w:val="13"/>
            </w:pPr>
            <w:r>
              <w:t>16</w:t>
            </w:r>
          </w:p>
        </w:tc>
        <w:tc>
          <w:tcPr>
            <w:tcW w:w="3402" w:type="dxa"/>
            <w:vAlign w:val="center"/>
          </w:tcPr>
          <w:p w14:paraId="3E66C256">
            <w:pPr>
              <w:pStyle w:val="12"/>
            </w:pPr>
          </w:p>
        </w:tc>
        <w:tc>
          <w:tcPr>
            <w:tcW w:w="1474" w:type="dxa"/>
            <w:vAlign w:val="center"/>
          </w:tcPr>
          <w:p w14:paraId="70E8EB97">
            <w:pPr>
              <w:pStyle w:val="11"/>
            </w:pPr>
          </w:p>
        </w:tc>
        <w:tc>
          <w:tcPr>
            <w:tcW w:w="3402" w:type="dxa"/>
            <w:vAlign w:val="center"/>
          </w:tcPr>
          <w:p w14:paraId="3B297F18">
            <w:pPr>
              <w:pStyle w:val="12"/>
            </w:pPr>
            <w:r>
              <w:t>十六、商业服务业等支出</w:t>
            </w:r>
          </w:p>
        </w:tc>
        <w:tc>
          <w:tcPr>
            <w:tcW w:w="1474" w:type="dxa"/>
            <w:vAlign w:val="center"/>
          </w:tcPr>
          <w:p w14:paraId="7442D71C">
            <w:pPr>
              <w:pStyle w:val="11"/>
            </w:pPr>
          </w:p>
        </w:tc>
        <w:tc>
          <w:tcPr>
            <w:tcW w:w="1474" w:type="dxa"/>
            <w:vAlign w:val="center"/>
          </w:tcPr>
          <w:p w14:paraId="47C09B81">
            <w:pPr>
              <w:pStyle w:val="11"/>
            </w:pPr>
          </w:p>
        </w:tc>
        <w:tc>
          <w:tcPr>
            <w:tcW w:w="1474" w:type="dxa"/>
            <w:vAlign w:val="center"/>
          </w:tcPr>
          <w:p w14:paraId="5C5F2390">
            <w:pPr>
              <w:pStyle w:val="11"/>
            </w:pPr>
          </w:p>
        </w:tc>
        <w:tc>
          <w:tcPr>
            <w:tcW w:w="1474" w:type="dxa"/>
            <w:vAlign w:val="center"/>
          </w:tcPr>
          <w:p w14:paraId="3A2D37D8">
            <w:pPr>
              <w:pStyle w:val="11"/>
            </w:pPr>
          </w:p>
        </w:tc>
      </w:tr>
      <w:tr w14:paraId="18C9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4BBA5">
            <w:pPr>
              <w:pStyle w:val="13"/>
            </w:pPr>
            <w:r>
              <w:t>17</w:t>
            </w:r>
          </w:p>
        </w:tc>
        <w:tc>
          <w:tcPr>
            <w:tcW w:w="3402" w:type="dxa"/>
            <w:vAlign w:val="center"/>
          </w:tcPr>
          <w:p w14:paraId="25FF41FB">
            <w:pPr>
              <w:pStyle w:val="12"/>
            </w:pPr>
          </w:p>
        </w:tc>
        <w:tc>
          <w:tcPr>
            <w:tcW w:w="1474" w:type="dxa"/>
            <w:vAlign w:val="center"/>
          </w:tcPr>
          <w:p w14:paraId="7603C7FD">
            <w:pPr>
              <w:pStyle w:val="11"/>
            </w:pPr>
          </w:p>
        </w:tc>
        <w:tc>
          <w:tcPr>
            <w:tcW w:w="3402" w:type="dxa"/>
            <w:vAlign w:val="center"/>
          </w:tcPr>
          <w:p w14:paraId="202BAEA8">
            <w:pPr>
              <w:pStyle w:val="12"/>
            </w:pPr>
            <w:r>
              <w:t>十七、金融支出</w:t>
            </w:r>
          </w:p>
        </w:tc>
        <w:tc>
          <w:tcPr>
            <w:tcW w:w="1474" w:type="dxa"/>
            <w:vAlign w:val="center"/>
          </w:tcPr>
          <w:p w14:paraId="06EEC638">
            <w:pPr>
              <w:pStyle w:val="11"/>
            </w:pPr>
          </w:p>
        </w:tc>
        <w:tc>
          <w:tcPr>
            <w:tcW w:w="1474" w:type="dxa"/>
            <w:vAlign w:val="center"/>
          </w:tcPr>
          <w:p w14:paraId="58A63897">
            <w:pPr>
              <w:pStyle w:val="11"/>
            </w:pPr>
          </w:p>
        </w:tc>
        <w:tc>
          <w:tcPr>
            <w:tcW w:w="1474" w:type="dxa"/>
            <w:vAlign w:val="center"/>
          </w:tcPr>
          <w:p w14:paraId="6F6D3A44">
            <w:pPr>
              <w:pStyle w:val="11"/>
            </w:pPr>
          </w:p>
        </w:tc>
        <w:tc>
          <w:tcPr>
            <w:tcW w:w="1474" w:type="dxa"/>
            <w:vAlign w:val="center"/>
          </w:tcPr>
          <w:p w14:paraId="587D511C">
            <w:pPr>
              <w:pStyle w:val="11"/>
            </w:pPr>
          </w:p>
        </w:tc>
      </w:tr>
      <w:tr w14:paraId="5E61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D5C68">
            <w:pPr>
              <w:pStyle w:val="13"/>
            </w:pPr>
            <w:r>
              <w:t>18</w:t>
            </w:r>
          </w:p>
        </w:tc>
        <w:tc>
          <w:tcPr>
            <w:tcW w:w="3402" w:type="dxa"/>
            <w:vAlign w:val="center"/>
          </w:tcPr>
          <w:p w14:paraId="1A0EFAC8">
            <w:pPr>
              <w:pStyle w:val="12"/>
            </w:pPr>
          </w:p>
        </w:tc>
        <w:tc>
          <w:tcPr>
            <w:tcW w:w="1474" w:type="dxa"/>
            <w:vAlign w:val="center"/>
          </w:tcPr>
          <w:p w14:paraId="153EBADB">
            <w:pPr>
              <w:pStyle w:val="11"/>
            </w:pPr>
          </w:p>
        </w:tc>
        <w:tc>
          <w:tcPr>
            <w:tcW w:w="3402" w:type="dxa"/>
            <w:vAlign w:val="center"/>
          </w:tcPr>
          <w:p w14:paraId="38898346">
            <w:pPr>
              <w:pStyle w:val="12"/>
            </w:pPr>
            <w:r>
              <w:t>十八、援助其他地区支出</w:t>
            </w:r>
          </w:p>
        </w:tc>
        <w:tc>
          <w:tcPr>
            <w:tcW w:w="1474" w:type="dxa"/>
            <w:vAlign w:val="center"/>
          </w:tcPr>
          <w:p w14:paraId="3754E757">
            <w:pPr>
              <w:pStyle w:val="11"/>
            </w:pPr>
          </w:p>
        </w:tc>
        <w:tc>
          <w:tcPr>
            <w:tcW w:w="1474" w:type="dxa"/>
            <w:vAlign w:val="center"/>
          </w:tcPr>
          <w:p w14:paraId="497E27EC">
            <w:pPr>
              <w:pStyle w:val="11"/>
            </w:pPr>
          </w:p>
        </w:tc>
        <w:tc>
          <w:tcPr>
            <w:tcW w:w="1474" w:type="dxa"/>
            <w:vAlign w:val="center"/>
          </w:tcPr>
          <w:p w14:paraId="504A69A5">
            <w:pPr>
              <w:pStyle w:val="11"/>
            </w:pPr>
          </w:p>
        </w:tc>
        <w:tc>
          <w:tcPr>
            <w:tcW w:w="1474" w:type="dxa"/>
            <w:vAlign w:val="center"/>
          </w:tcPr>
          <w:p w14:paraId="1BABEC39">
            <w:pPr>
              <w:pStyle w:val="11"/>
            </w:pPr>
          </w:p>
        </w:tc>
      </w:tr>
      <w:tr w14:paraId="406B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B9B03">
            <w:pPr>
              <w:pStyle w:val="13"/>
            </w:pPr>
            <w:r>
              <w:t>19</w:t>
            </w:r>
          </w:p>
        </w:tc>
        <w:tc>
          <w:tcPr>
            <w:tcW w:w="3402" w:type="dxa"/>
            <w:vAlign w:val="center"/>
          </w:tcPr>
          <w:p w14:paraId="57C20B0D">
            <w:pPr>
              <w:pStyle w:val="12"/>
            </w:pPr>
          </w:p>
        </w:tc>
        <w:tc>
          <w:tcPr>
            <w:tcW w:w="1474" w:type="dxa"/>
            <w:vAlign w:val="center"/>
          </w:tcPr>
          <w:p w14:paraId="6783BBCC">
            <w:pPr>
              <w:pStyle w:val="11"/>
            </w:pPr>
          </w:p>
        </w:tc>
        <w:tc>
          <w:tcPr>
            <w:tcW w:w="3402" w:type="dxa"/>
            <w:vAlign w:val="center"/>
          </w:tcPr>
          <w:p w14:paraId="5ABF435D">
            <w:pPr>
              <w:pStyle w:val="12"/>
            </w:pPr>
            <w:r>
              <w:t>十九、自然资源海洋气象等支出</w:t>
            </w:r>
          </w:p>
        </w:tc>
        <w:tc>
          <w:tcPr>
            <w:tcW w:w="1474" w:type="dxa"/>
            <w:vAlign w:val="center"/>
          </w:tcPr>
          <w:p w14:paraId="42655B7D">
            <w:pPr>
              <w:pStyle w:val="11"/>
            </w:pPr>
          </w:p>
        </w:tc>
        <w:tc>
          <w:tcPr>
            <w:tcW w:w="1474" w:type="dxa"/>
            <w:vAlign w:val="center"/>
          </w:tcPr>
          <w:p w14:paraId="031DE779">
            <w:pPr>
              <w:pStyle w:val="11"/>
            </w:pPr>
          </w:p>
        </w:tc>
        <w:tc>
          <w:tcPr>
            <w:tcW w:w="1474" w:type="dxa"/>
            <w:vAlign w:val="center"/>
          </w:tcPr>
          <w:p w14:paraId="03BF393D">
            <w:pPr>
              <w:pStyle w:val="11"/>
            </w:pPr>
          </w:p>
        </w:tc>
        <w:tc>
          <w:tcPr>
            <w:tcW w:w="1474" w:type="dxa"/>
            <w:vAlign w:val="center"/>
          </w:tcPr>
          <w:p w14:paraId="38522F77">
            <w:pPr>
              <w:pStyle w:val="11"/>
            </w:pPr>
          </w:p>
        </w:tc>
      </w:tr>
      <w:tr w14:paraId="4D10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A0B3">
            <w:pPr>
              <w:pStyle w:val="13"/>
            </w:pPr>
            <w:r>
              <w:t>20</w:t>
            </w:r>
          </w:p>
        </w:tc>
        <w:tc>
          <w:tcPr>
            <w:tcW w:w="3402" w:type="dxa"/>
            <w:vAlign w:val="center"/>
          </w:tcPr>
          <w:p w14:paraId="4C43939F">
            <w:pPr>
              <w:pStyle w:val="12"/>
            </w:pPr>
          </w:p>
        </w:tc>
        <w:tc>
          <w:tcPr>
            <w:tcW w:w="1474" w:type="dxa"/>
            <w:vAlign w:val="center"/>
          </w:tcPr>
          <w:p w14:paraId="4D5F4F59">
            <w:pPr>
              <w:pStyle w:val="11"/>
            </w:pPr>
          </w:p>
        </w:tc>
        <w:tc>
          <w:tcPr>
            <w:tcW w:w="3402" w:type="dxa"/>
            <w:vAlign w:val="center"/>
          </w:tcPr>
          <w:p w14:paraId="5EDC12B1">
            <w:pPr>
              <w:pStyle w:val="12"/>
            </w:pPr>
            <w:r>
              <w:t>二十、住房保障支出</w:t>
            </w:r>
          </w:p>
        </w:tc>
        <w:tc>
          <w:tcPr>
            <w:tcW w:w="1474" w:type="dxa"/>
            <w:vAlign w:val="center"/>
          </w:tcPr>
          <w:p w14:paraId="0FFFCACB">
            <w:pPr>
              <w:pStyle w:val="11"/>
            </w:pPr>
          </w:p>
        </w:tc>
        <w:tc>
          <w:tcPr>
            <w:tcW w:w="1474" w:type="dxa"/>
            <w:vAlign w:val="center"/>
          </w:tcPr>
          <w:p w14:paraId="582729CD">
            <w:pPr>
              <w:pStyle w:val="11"/>
            </w:pPr>
          </w:p>
        </w:tc>
        <w:tc>
          <w:tcPr>
            <w:tcW w:w="1474" w:type="dxa"/>
            <w:vAlign w:val="center"/>
          </w:tcPr>
          <w:p w14:paraId="4A67ABB1">
            <w:pPr>
              <w:pStyle w:val="11"/>
            </w:pPr>
          </w:p>
        </w:tc>
        <w:tc>
          <w:tcPr>
            <w:tcW w:w="1474" w:type="dxa"/>
            <w:vAlign w:val="center"/>
          </w:tcPr>
          <w:p w14:paraId="39D0BF30">
            <w:pPr>
              <w:pStyle w:val="11"/>
            </w:pPr>
          </w:p>
        </w:tc>
      </w:tr>
      <w:tr w14:paraId="1E1F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D07C3">
            <w:pPr>
              <w:pStyle w:val="13"/>
            </w:pPr>
            <w:r>
              <w:t>21</w:t>
            </w:r>
          </w:p>
        </w:tc>
        <w:tc>
          <w:tcPr>
            <w:tcW w:w="3402" w:type="dxa"/>
            <w:vAlign w:val="center"/>
          </w:tcPr>
          <w:p w14:paraId="072C8164">
            <w:pPr>
              <w:pStyle w:val="12"/>
            </w:pPr>
          </w:p>
        </w:tc>
        <w:tc>
          <w:tcPr>
            <w:tcW w:w="1474" w:type="dxa"/>
            <w:vAlign w:val="center"/>
          </w:tcPr>
          <w:p w14:paraId="11C5AD93">
            <w:pPr>
              <w:pStyle w:val="11"/>
            </w:pPr>
          </w:p>
        </w:tc>
        <w:tc>
          <w:tcPr>
            <w:tcW w:w="3402" w:type="dxa"/>
            <w:vAlign w:val="center"/>
          </w:tcPr>
          <w:p w14:paraId="73DE9268">
            <w:pPr>
              <w:pStyle w:val="12"/>
            </w:pPr>
            <w:r>
              <w:t>二十一、粮油物资储备支出</w:t>
            </w:r>
          </w:p>
        </w:tc>
        <w:tc>
          <w:tcPr>
            <w:tcW w:w="1474" w:type="dxa"/>
            <w:vAlign w:val="center"/>
          </w:tcPr>
          <w:p w14:paraId="17B3ACB9">
            <w:pPr>
              <w:pStyle w:val="11"/>
            </w:pPr>
          </w:p>
        </w:tc>
        <w:tc>
          <w:tcPr>
            <w:tcW w:w="1474" w:type="dxa"/>
            <w:vAlign w:val="center"/>
          </w:tcPr>
          <w:p w14:paraId="5C03A75B">
            <w:pPr>
              <w:pStyle w:val="11"/>
            </w:pPr>
          </w:p>
        </w:tc>
        <w:tc>
          <w:tcPr>
            <w:tcW w:w="1474" w:type="dxa"/>
            <w:vAlign w:val="center"/>
          </w:tcPr>
          <w:p w14:paraId="778955DB">
            <w:pPr>
              <w:pStyle w:val="11"/>
            </w:pPr>
          </w:p>
        </w:tc>
        <w:tc>
          <w:tcPr>
            <w:tcW w:w="1474" w:type="dxa"/>
            <w:vAlign w:val="center"/>
          </w:tcPr>
          <w:p w14:paraId="1338C270">
            <w:pPr>
              <w:pStyle w:val="11"/>
            </w:pPr>
          </w:p>
        </w:tc>
      </w:tr>
      <w:tr w14:paraId="1E52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67EDB">
            <w:pPr>
              <w:pStyle w:val="13"/>
            </w:pPr>
            <w:r>
              <w:t>22</w:t>
            </w:r>
          </w:p>
        </w:tc>
        <w:tc>
          <w:tcPr>
            <w:tcW w:w="3402" w:type="dxa"/>
            <w:vAlign w:val="center"/>
          </w:tcPr>
          <w:p w14:paraId="4EC1D381">
            <w:pPr>
              <w:pStyle w:val="12"/>
            </w:pPr>
          </w:p>
        </w:tc>
        <w:tc>
          <w:tcPr>
            <w:tcW w:w="1474" w:type="dxa"/>
            <w:vAlign w:val="center"/>
          </w:tcPr>
          <w:p w14:paraId="1B83230B">
            <w:pPr>
              <w:pStyle w:val="11"/>
            </w:pPr>
          </w:p>
        </w:tc>
        <w:tc>
          <w:tcPr>
            <w:tcW w:w="3402" w:type="dxa"/>
            <w:vAlign w:val="center"/>
          </w:tcPr>
          <w:p w14:paraId="30F91E34">
            <w:pPr>
              <w:pStyle w:val="12"/>
            </w:pPr>
            <w:r>
              <w:t>二十二、国有资本经营预算支出</w:t>
            </w:r>
          </w:p>
        </w:tc>
        <w:tc>
          <w:tcPr>
            <w:tcW w:w="1474" w:type="dxa"/>
            <w:vAlign w:val="center"/>
          </w:tcPr>
          <w:p w14:paraId="793CA839">
            <w:pPr>
              <w:pStyle w:val="11"/>
            </w:pPr>
          </w:p>
        </w:tc>
        <w:tc>
          <w:tcPr>
            <w:tcW w:w="1474" w:type="dxa"/>
            <w:vAlign w:val="center"/>
          </w:tcPr>
          <w:p w14:paraId="274ADCDC">
            <w:pPr>
              <w:pStyle w:val="11"/>
            </w:pPr>
          </w:p>
        </w:tc>
        <w:tc>
          <w:tcPr>
            <w:tcW w:w="1474" w:type="dxa"/>
            <w:vAlign w:val="center"/>
          </w:tcPr>
          <w:p w14:paraId="38361E4E">
            <w:pPr>
              <w:pStyle w:val="11"/>
            </w:pPr>
          </w:p>
        </w:tc>
        <w:tc>
          <w:tcPr>
            <w:tcW w:w="1474" w:type="dxa"/>
            <w:vAlign w:val="center"/>
          </w:tcPr>
          <w:p w14:paraId="1F1F25A4">
            <w:pPr>
              <w:pStyle w:val="11"/>
            </w:pPr>
          </w:p>
        </w:tc>
      </w:tr>
      <w:tr w14:paraId="1E11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314D8">
            <w:pPr>
              <w:pStyle w:val="13"/>
            </w:pPr>
            <w:r>
              <w:t>23</w:t>
            </w:r>
          </w:p>
        </w:tc>
        <w:tc>
          <w:tcPr>
            <w:tcW w:w="3402" w:type="dxa"/>
            <w:vAlign w:val="center"/>
          </w:tcPr>
          <w:p w14:paraId="554ED21D">
            <w:pPr>
              <w:pStyle w:val="12"/>
            </w:pPr>
          </w:p>
        </w:tc>
        <w:tc>
          <w:tcPr>
            <w:tcW w:w="1474" w:type="dxa"/>
            <w:vAlign w:val="center"/>
          </w:tcPr>
          <w:p w14:paraId="7FFC8F18">
            <w:pPr>
              <w:pStyle w:val="11"/>
            </w:pPr>
          </w:p>
        </w:tc>
        <w:tc>
          <w:tcPr>
            <w:tcW w:w="3402" w:type="dxa"/>
            <w:vAlign w:val="center"/>
          </w:tcPr>
          <w:p w14:paraId="2DC99D64">
            <w:pPr>
              <w:pStyle w:val="12"/>
            </w:pPr>
            <w:r>
              <w:t>二十三、灾害防治及应急管理支出</w:t>
            </w:r>
          </w:p>
        </w:tc>
        <w:tc>
          <w:tcPr>
            <w:tcW w:w="1474" w:type="dxa"/>
            <w:vAlign w:val="center"/>
          </w:tcPr>
          <w:p w14:paraId="395C9FF7">
            <w:pPr>
              <w:pStyle w:val="11"/>
            </w:pPr>
          </w:p>
        </w:tc>
        <w:tc>
          <w:tcPr>
            <w:tcW w:w="1474" w:type="dxa"/>
            <w:vAlign w:val="center"/>
          </w:tcPr>
          <w:p w14:paraId="77A2F085">
            <w:pPr>
              <w:pStyle w:val="11"/>
            </w:pPr>
          </w:p>
        </w:tc>
        <w:tc>
          <w:tcPr>
            <w:tcW w:w="1474" w:type="dxa"/>
            <w:vAlign w:val="center"/>
          </w:tcPr>
          <w:p w14:paraId="51C42379">
            <w:pPr>
              <w:pStyle w:val="11"/>
            </w:pPr>
          </w:p>
        </w:tc>
        <w:tc>
          <w:tcPr>
            <w:tcW w:w="1474" w:type="dxa"/>
            <w:vAlign w:val="center"/>
          </w:tcPr>
          <w:p w14:paraId="5C6CF794">
            <w:pPr>
              <w:pStyle w:val="11"/>
            </w:pPr>
          </w:p>
        </w:tc>
      </w:tr>
      <w:tr w14:paraId="2313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B7950">
            <w:pPr>
              <w:pStyle w:val="13"/>
            </w:pPr>
            <w:r>
              <w:t>24</w:t>
            </w:r>
          </w:p>
        </w:tc>
        <w:tc>
          <w:tcPr>
            <w:tcW w:w="3402" w:type="dxa"/>
            <w:vAlign w:val="center"/>
          </w:tcPr>
          <w:p w14:paraId="1DE83F4B">
            <w:pPr>
              <w:pStyle w:val="12"/>
            </w:pPr>
          </w:p>
        </w:tc>
        <w:tc>
          <w:tcPr>
            <w:tcW w:w="1474" w:type="dxa"/>
            <w:vAlign w:val="center"/>
          </w:tcPr>
          <w:p w14:paraId="35A4A0E3">
            <w:pPr>
              <w:pStyle w:val="11"/>
            </w:pPr>
          </w:p>
        </w:tc>
        <w:tc>
          <w:tcPr>
            <w:tcW w:w="3402" w:type="dxa"/>
            <w:vAlign w:val="center"/>
          </w:tcPr>
          <w:p w14:paraId="222F1441">
            <w:pPr>
              <w:pStyle w:val="12"/>
            </w:pPr>
            <w:r>
              <w:t>二十四、预备费</w:t>
            </w:r>
          </w:p>
        </w:tc>
        <w:tc>
          <w:tcPr>
            <w:tcW w:w="1474" w:type="dxa"/>
            <w:vAlign w:val="center"/>
          </w:tcPr>
          <w:p w14:paraId="23350AFD">
            <w:pPr>
              <w:pStyle w:val="11"/>
            </w:pPr>
          </w:p>
        </w:tc>
        <w:tc>
          <w:tcPr>
            <w:tcW w:w="1474" w:type="dxa"/>
            <w:vAlign w:val="center"/>
          </w:tcPr>
          <w:p w14:paraId="0CF9AA1C">
            <w:pPr>
              <w:pStyle w:val="11"/>
            </w:pPr>
          </w:p>
        </w:tc>
        <w:tc>
          <w:tcPr>
            <w:tcW w:w="1474" w:type="dxa"/>
            <w:vAlign w:val="center"/>
          </w:tcPr>
          <w:p w14:paraId="7753B2A7">
            <w:pPr>
              <w:pStyle w:val="11"/>
            </w:pPr>
          </w:p>
        </w:tc>
        <w:tc>
          <w:tcPr>
            <w:tcW w:w="1474" w:type="dxa"/>
            <w:vAlign w:val="center"/>
          </w:tcPr>
          <w:p w14:paraId="2015170B">
            <w:pPr>
              <w:pStyle w:val="11"/>
            </w:pPr>
          </w:p>
        </w:tc>
      </w:tr>
      <w:tr w14:paraId="2CF5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39D10">
            <w:pPr>
              <w:pStyle w:val="13"/>
            </w:pPr>
            <w:r>
              <w:t>25</w:t>
            </w:r>
          </w:p>
        </w:tc>
        <w:tc>
          <w:tcPr>
            <w:tcW w:w="3402" w:type="dxa"/>
            <w:vAlign w:val="center"/>
          </w:tcPr>
          <w:p w14:paraId="5B243E66">
            <w:pPr>
              <w:pStyle w:val="12"/>
            </w:pPr>
          </w:p>
        </w:tc>
        <w:tc>
          <w:tcPr>
            <w:tcW w:w="1474" w:type="dxa"/>
            <w:vAlign w:val="center"/>
          </w:tcPr>
          <w:p w14:paraId="686EB424">
            <w:pPr>
              <w:pStyle w:val="11"/>
            </w:pPr>
          </w:p>
        </w:tc>
        <w:tc>
          <w:tcPr>
            <w:tcW w:w="3402" w:type="dxa"/>
            <w:vAlign w:val="center"/>
          </w:tcPr>
          <w:p w14:paraId="219E2663">
            <w:pPr>
              <w:pStyle w:val="12"/>
            </w:pPr>
            <w:r>
              <w:t>二十五、其他支出</w:t>
            </w:r>
          </w:p>
        </w:tc>
        <w:tc>
          <w:tcPr>
            <w:tcW w:w="1474" w:type="dxa"/>
            <w:vAlign w:val="center"/>
          </w:tcPr>
          <w:p w14:paraId="5FCFAFE3">
            <w:pPr>
              <w:pStyle w:val="11"/>
            </w:pPr>
          </w:p>
        </w:tc>
        <w:tc>
          <w:tcPr>
            <w:tcW w:w="1474" w:type="dxa"/>
            <w:vAlign w:val="center"/>
          </w:tcPr>
          <w:p w14:paraId="66A42E65">
            <w:pPr>
              <w:pStyle w:val="11"/>
            </w:pPr>
          </w:p>
        </w:tc>
        <w:tc>
          <w:tcPr>
            <w:tcW w:w="1474" w:type="dxa"/>
            <w:vAlign w:val="center"/>
          </w:tcPr>
          <w:p w14:paraId="3C1AAD52">
            <w:pPr>
              <w:pStyle w:val="11"/>
            </w:pPr>
          </w:p>
        </w:tc>
        <w:tc>
          <w:tcPr>
            <w:tcW w:w="1474" w:type="dxa"/>
            <w:vAlign w:val="center"/>
          </w:tcPr>
          <w:p w14:paraId="578C395E">
            <w:pPr>
              <w:pStyle w:val="11"/>
            </w:pPr>
          </w:p>
        </w:tc>
      </w:tr>
      <w:tr w14:paraId="3827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25A20">
            <w:pPr>
              <w:pStyle w:val="13"/>
            </w:pPr>
            <w:r>
              <w:t>26</w:t>
            </w:r>
          </w:p>
        </w:tc>
        <w:tc>
          <w:tcPr>
            <w:tcW w:w="3402" w:type="dxa"/>
            <w:vAlign w:val="center"/>
          </w:tcPr>
          <w:p w14:paraId="16494C79">
            <w:pPr>
              <w:pStyle w:val="12"/>
            </w:pPr>
          </w:p>
        </w:tc>
        <w:tc>
          <w:tcPr>
            <w:tcW w:w="1474" w:type="dxa"/>
            <w:vAlign w:val="center"/>
          </w:tcPr>
          <w:p w14:paraId="1C74DD79">
            <w:pPr>
              <w:pStyle w:val="11"/>
            </w:pPr>
          </w:p>
        </w:tc>
        <w:tc>
          <w:tcPr>
            <w:tcW w:w="3402" w:type="dxa"/>
            <w:vAlign w:val="center"/>
          </w:tcPr>
          <w:p w14:paraId="5782602C">
            <w:pPr>
              <w:pStyle w:val="12"/>
            </w:pPr>
            <w:r>
              <w:t>二十六、转移性支出</w:t>
            </w:r>
          </w:p>
        </w:tc>
        <w:tc>
          <w:tcPr>
            <w:tcW w:w="1474" w:type="dxa"/>
            <w:vAlign w:val="center"/>
          </w:tcPr>
          <w:p w14:paraId="1E2D6625">
            <w:pPr>
              <w:pStyle w:val="11"/>
            </w:pPr>
          </w:p>
        </w:tc>
        <w:tc>
          <w:tcPr>
            <w:tcW w:w="1474" w:type="dxa"/>
            <w:vAlign w:val="center"/>
          </w:tcPr>
          <w:p w14:paraId="6B19DFF5">
            <w:pPr>
              <w:pStyle w:val="11"/>
            </w:pPr>
          </w:p>
        </w:tc>
        <w:tc>
          <w:tcPr>
            <w:tcW w:w="1474" w:type="dxa"/>
            <w:vAlign w:val="center"/>
          </w:tcPr>
          <w:p w14:paraId="6F2151F8">
            <w:pPr>
              <w:pStyle w:val="11"/>
            </w:pPr>
          </w:p>
        </w:tc>
        <w:tc>
          <w:tcPr>
            <w:tcW w:w="1474" w:type="dxa"/>
            <w:vAlign w:val="center"/>
          </w:tcPr>
          <w:p w14:paraId="642EAF1C">
            <w:pPr>
              <w:pStyle w:val="11"/>
            </w:pPr>
          </w:p>
        </w:tc>
      </w:tr>
      <w:tr w14:paraId="30E2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10A03">
            <w:pPr>
              <w:pStyle w:val="13"/>
            </w:pPr>
            <w:r>
              <w:t>27</w:t>
            </w:r>
          </w:p>
        </w:tc>
        <w:tc>
          <w:tcPr>
            <w:tcW w:w="3402" w:type="dxa"/>
            <w:vAlign w:val="center"/>
          </w:tcPr>
          <w:p w14:paraId="401263F4">
            <w:pPr>
              <w:pStyle w:val="12"/>
            </w:pPr>
          </w:p>
        </w:tc>
        <w:tc>
          <w:tcPr>
            <w:tcW w:w="1474" w:type="dxa"/>
            <w:vAlign w:val="center"/>
          </w:tcPr>
          <w:p w14:paraId="477A45CB">
            <w:pPr>
              <w:pStyle w:val="11"/>
            </w:pPr>
          </w:p>
        </w:tc>
        <w:tc>
          <w:tcPr>
            <w:tcW w:w="3402" w:type="dxa"/>
            <w:vAlign w:val="center"/>
          </w:tcPr>
          <w:p w14:paraId="4ECD6116">
            <w:pPr>
              <w:pStyle w:val="12"/>
            </w:pPr>
            <w:r>
              <w:t>二十七、债务还本支出</w:t>
            </w:r>
          </w:p>
        </w:tc>
        <w:tc>
          <w:tcPr>
            <w:tcW w:w="1474" w:type="dxa"/>
            <w:vAlign w:val="center"/>
          </w:tcPr>
          <w:p w14:paraId="68C04AEA">
            <w:pPr>
              <w:pStyle w:val="11"/>
            </w:pPr>
          </w:p>
        </w:tc>
        <w:tc>
          <w:tcPr>
            <w:tcW w:w="1474" w:type="dxa"/>
            <w:vAlign w:val="center"/>
          </w:tcPr>
          <w:p w14:paraId="3B978F30">
            <w:pPr>
              <w:pStyle w:val="11"/>
            </w:pPr>
          </w:p>
        </w:tc>
        <w:tc>
          <w:tcPr>
            <w:tcW w:w="1474" w:type="dxa"/>
            <w:vAlign w:val="center"/>
          </w:tcPr>
          <w:p w14:paraId="1201D542">
            <w:pPr>
              <w:pStyle w:val="11"/>
            </w:pPr>
          </w:p>
        </w:tc>
        <w:tc>
          <w:tcPr>
            <w:tcW w:w="1474" w:type="dxa"/>
            <w:vAlign w:val="center"/>
          </w:tcPr>
          <w:p w14:paraId="30313561">
            <w:pPr>
              <w:pStyle w:val="11"/>
            </w:pPr>
          </w:p>
        </w:tc>
      </w:tr>
      <w:tr w14:paraId="4A92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8F11E">
            <w:pPr>
              <w:pStyle w:val="13"/>
            </w:pPr>
            <w:r>
              <w:t>28</w:t>
            </w:r>
          </w:p>
        </w:tc>
        <w:tc>
          <w:tcPr>
            <w:tcW w:w="3402" w:type="dxa"/>
            <w:vAlign w:val="center"/>
          </w:tcPr>
          <w:p w14:paraId="08181C80">
            <w:pPr>
              <w:pStyle w:val="12"/>
            </w:pPr>
          </w:p>
        </w:tc>
        <w:tc>
          <w:tcPr>
            <w:tcW w:w="1474" w:type="dxa"/>
            <w:vAlign w:val="center"/>
          </w:tcPr>
          <w:p w14:paraId="44BE91D2">
            <w:pPr>
              <w:pStyle w:val="11"/>
            </w:pPr>
          </w:p>
        </w:tc>
        <w:tc>
          <w:tcPr>
            <w:tcW w:w="3402" w:type="dxa"/>
            <w:vAlign w:val="center"/>
          </w:tcPr>
          <w:p w14:paraId="1B8AFAAF">
            <w:pPr>
              <w:pStyle w:val="12"/>
            </w:pPr>
            <w:r>
              <w:t>二十八、债务付息支出</w:t>
            </w:r>
          </w:p>
        </w:tc>
        <w:tc>
          <w:tcPr>
            <w:tcW w:w="1474" w:type="dxa"/>
            <w:vAlign w:val="center"/>
          </w:tcPr>
          <w:p w14:paraId="11C34A42">
            <w:pPr>
              <w:pStyle w:val="11"/>
            </w:pPr>
          </w:p>
        </w:tc>
        <w:tc>
          <w:tcPr>
            <w:tcW w:w="1474" w:type="dxa"/>
            <w:vAlign w:val="center"/>
          </w:tcPr>
          <w:p w14:paraId="4EDDFA39">
            <w:pPr>
              <w:pStyle w:val="11"/>
            </w:pPr>
          </w:p>
        </w:tc>
        <w:tc>
          <w:tcPr>
            <w:tcW w:w="1474" w:type="dxa"/>
            <w:vAlign w:val="center"/>
          </w:tcPr>
          <w:p w14:paraId="34CB928B">
            <w:pPr>
              <w:pStyle w:val="11"/>
            </w:pPr>
          </w:p>
        </w:tc>
        <w:tc>
          <w:tcPr>
            <w:tcW w:w="1474" w:type="dxa"/>
            <w:vAlign w:val="center"/>
          </w:tcPr>
          <w:p w14:paraId="72E1EBAD">
            <w:pPr>
              <w:pStyle w:val="11"/>
            </w:pPr>
          </w:p>
        </w:tc>
      </w:tr>
      <w:tr w14:paraId="3793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3D406">
            <w:pPr>
              <w:pStyle w:val="13"/>
            </w:pPr>
            <w:r>
              <w:t>29</w:t>
            </w:r>
          </w:p>
        </w:tc>
        <w:tc>
          <w:tcPr>
            <w:tcW w:w="3402" w:type="dxa"/>
            <w:vAlign w:val="center"/>
          </w:tcPr>
          <w:p w14:paraId="2BF54FA8">
            <w:pPr>
              <w:pStyle w:val="12"/>
            </w:pPr>
          </w:p>
        </w:tc>
        <w:tc>
          <w:tcPr>
            <w:tcW w:w="1474" w:type="dxa"/>
            <w:vAlign w:val="center"/>
          </w:tcPr>
          <w:p w14:paraId="6F097921">
            <w:pPr>
              <w:pStyle w:val="11"/>
            </w:pPr>
          </w:p>
        </w:tc>
        <w:tc>
          <w:tcPr>
            <w:tcW w:w="3402" w:type="dxa"/>
            <w:vAlign w:val="center"/>
          </w:tcPr>
          <w:p w14:paraId="7379A46C">
            <w:pPr>
              <w:pStyle w:val="12"/>
            </w:pPr>
            <w:r>
              <w:t>二十九、债务发行费用支出</w:t>
            </w:r>
          </w:p>
        </w:tc>
        <w:tc>
          <w:tcPr>
            <w:tcW w:w="1474" w:type="dxa"/>
            <w:vAlign w:val="center"/>
          </w:tcPr>
          <w:p w14:paraId="00B078DE">
            <w:pPr>
              <w:pStyle w:val="11"/>
            </w:pPr>
          </w:p>
        </w:tc>
        <w:tc>
          <w:tcPr>
            <w:tcW w:w="1474" w:type="dxa"/>
            <w:vAlign w:val="center"/>
          </w:tcPr>
          <w:p w14:paraId="20FC719B">
            <w:pPr>
              <w:pStyle w:val="11"/>
            </w:pPr>
          </w:p>
        </w:tc>
        <w:tc>
          <w:tcPr>
            <w:tcW w:w="1474" w:type="dxa"/>
            <w:vAlign w:val="center"/>
          </w:tcPr>
          <w:p w14:paraId="55042E2B">
            <w:pPr>
              <w:pStyle w:val="11"/>
            </w:pPr>
          </w:p>
        </w:tc>
        <w:tc>
          <w:tcPr>
            <w:tcW w:w="1474" w:type="dxa"/>
            <w:vAlign w:val="center"/>
          </w:tcPr>
          <w:p w14:paraId="098E4B46">
            <w:pPr>
              <w:pStyle w:val="11"/>
            </w:pPr>
          </w:p>
        </w:tc>
      </w:tr>
      <w:tr w14:paraId="2F2D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5791">
            <w:pPr>
              <w:pStyle w:val="13"/>
            </w:pPr>
            <w:r>
              <w:t>30</w:t>
            </w:r>
          </w:p>
        </w:tc>
        <w:tc>
          <w:tcPr>
            <w:tcW w:w="3402" w:type="dxa"/>
            <w:vAlign w:val="center"/>
          </w:tcPr>
          <w:p w14:paraId="4A73CFBB">
            <w:pPr>
              <w:pStyle w:val="12"/>
            </w:pPr>
          </w:p>
        </w:tc>
        <w:tc>
          <w:tcPr>
            <w:tcW w:w="1474" w:type="dxa"/>
            <w:vAlign w:val="center"/>
          </w:tcPr>
          <w:p w14:paraId="4D72427B">
            <w:pPr>
              <w:pStyle w:val="11"/>
            </w:pPr>
          </w:p>
        </w:tc>
        <w:tc>
          <w:tcPr>
            <w:tcW w:w="3402" w:type="dxa"/>
            <w:vAlign w:val="center"/>
          </w:tcPr>
          <w:p w14:paraId="05510E4C">
            <w:pPr>
              <w:pStyle w:val="12"/>
            </w:pPr>
            <w:r>
              <w:t>三十、抗疫特别国债安排的支出</w:t>
            </w:r>
          </w:p>
        </w:tc>
        <w:tc>
          <w:tcPr>
            <w:tcW w:w="1474" w:type="dxa"/>
            <w:vAlign w:val="center"/>
          </w:tcPr>
          <w:p w14:paraId="40B6D10E">
            <w:pPr>
              <w:pStyle w:val="11"/>
            </w:pPr>
          </w:p>
        </w:tc>
        <w:tc>
          <w:tcPr>
            <w:tcW w:w="1474" w:type="dxa"/>
            <w:vAlign w:val="center"/>
          </w:tcPr>
          <w:p w14:paraId="379ED099">
            <w:pPr>
              <w:pStyle w:val="11"/>
            </w:pPr>
          </w:p>
        </w:tc>
        <w:tc>
          <w:tcPr>
            <w:tcW w:w="1474" w:type="dxa"/>
            <w:vAlign w:val="center"/>
          </w:tcPr>
          <w:p w14:paraId="0C6429D9">
            <w:pPr>
              <w:pStyle w:val="11"/>
            </w:pPr>
          </w:p>
        </w:tc>
        <w:tc>
          <w:tcPr>
            <w:tcW w:w="1474" w:type="dxa"/>
            <w:vAlign w:val="center"/>
          </w:tcPr>
          <w:p w14:paraId="7A1AE0CA">
            <w:pPr>
              <w:pStyle w:val="11"/>
            </w:pPr>
          </w:p>
        </w:tc>
      </w:tr>
      <w:tr w14:paraId="4B1D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28E5">
            <w:pPr>
              <w:pStyle w:val="13"/>
            </w:pPr>
            <w:r>
              <w:t>31</w:t>
            </w:r>
          </w:p>
        </w:tc>
        <w:tc>
          <w:tcPr>
            <w:tcW w:w="3402" w:type="dxa"/>
            <w:vAlign w:val="center"/>
          </w:tcPr>
          <w:p w14:paraId="3F0BDA37">
            <w:pPr>
              <w:pStyle w:val="12"/>
            </w:pPr>
          </w:p>
        </w:tc>
        <w:tc>
          <w:tcPr>
            <w:tcW w:w="1474" w:type="dxa"/>
            <w:vAlign w:val="center"/>
          </w:tcPr>
          <w:p w14:paraId="2740AA32">
            <w:pPr>
              <w:pStyle w:val="11"/>
            </w:pPr>
          </w:p>
        </w:tc>
        <w:tc>
          <w:tcPr>
            <w:tcW w:w="3402" w:type="dxa"/>
            <w:vAlign w:val="center"/>
          </w:tcPr>
          <w:p w14:paraId="3795E671">
            <w:pPr>
              <w:pStyle w:val="12"/>
            </w:pPr>
            <w:r>
              <w:t>三十一、人行科目</w:t>
            </w:r>
          </w:p>
        </w:tc>
        <w:tc>
          <w:tcPr>
            <w:tcW w:w="1474" w:type="dxa"/>
            <w:vAlign w:val="center"/>
          </w:tcPr>
          <w:p w14:paraId="281BF6AE">
            <w:pPr>
              <w:pStyle w:val="11"/>
            </w:pPr>
          </w:p>
        </w:tc>
        <w:tc>
          <w:tcPr>
            <w:tcW w:w="1474" w:type="dxa"/>
            <w:vAlign w:val="center"/>
          </w:tcPr>
          <w:p w14:paraId="30933094">
            <w:pPr>
              <w:pStyle w:val="11"/>
            </w:pPr>
          </w:p>
        </w:tc>
        <w:tc>
          <w:tcPr>
            <w:tcW w:w="1474" w:type="dxa"/>
            <w:vAlign w:val="center"/>
          </w:tcPr>
          <w:p w14:paraId="5522D8DF">
            <w:pPr>
              <w:pStyle w:val="11"/>
            </w:pPr>
          </w:p>
        </w:tc>
        <w:tc>
          <w:tcPr>
            <w:tcW w:w="1474" w:type="dxa"/>
            <w:vAlign w:val="center"/>
          </w:tcPr>
          <w:p w14:paraId="11D51532">
            <w:pPr>
              <w:pStyle w:val="11"/>
            </w:pPr>
          </w:p>
        </w:tc>
      </w:tr>
      <w:tr w14:paraId="0BBA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3B6DF">
            <w:pPr>
              <w:pStyle w:val="13"/>
            </w:pPr>
            <w:r>
              <w:t>32</w:t>
            </w:r>
          </w:p>
        </w:tc>
        <w:tc>
          <w:tcPr>
            <w:tcW w:w="3402" w:type="dxa"/>
            <w:vAlign w:val="center"/>
          </w:tcPr>
          <w:p w14:paraId="2BFFC1A3">
            <w:pPr>
              <w:pStyle w:val="14"/>
            </w:pPr>
            <w:r>
              <w:t>本年收入合计</w:t>
            </w:r>
          </w:p>
        </w:tc>
        <w:tc>
          <w:tcPr>
            <w:tcW w:w="1474" w:type="dxa"/>
            <w:vAlign w:val="center"/>
          </w:tcPr>
          <w:p w14:paraId="6BD1D814">
            <w:pPr>
              <w:pStyle w:val="15"/>
            </w:pPr>
            <w:r>
              <w:t>2098.68</w:t>
            </w:r>
          </w:p>
        </w:tc>
        <w:tc>
          <w:tcPr>
            <w:tcW w:w="3402" w:type="dxa"/>
            <w:vAlign w:val="center"/>
          </w:tcPr>
          <w:p w14:paraId="1A2E2B1E">
            <w:pPr>
              <w:pStyle w:val="14"/>
            </w:pPr>
            <w:r>
              <w:t>本年支出合计</w:t>
            </w:r>
          </w:p>
        </w:tc>
        <w:tc>
          <w:tcPr>
            <w:tcW w:w="1474" w:type="dxa"/>
            <w:vAlign w:val="center"/>
          </w:tcPr>
          <w:p w14:paraId="26EC2A94">
            <w:pPr>
              <w:pStyle w:val="15"/>
            </w:pPr>
            <w:r>
              <w:t>2098.68</w:t>
            </w:r>
          </w:p>
        </w:tc>
        <w:tc>
          <w:tcPr>
            <w:tcW w:w="1474" w:type="dxa"/>
            <w:vAlign w:val="center"/>
          </w:tcPr>
          <w:p w14:paraId="17FDC802">
            <w:pPr>
              <w:pStyle w:val="15"/>
            </w:pPr>
            <w:r>
              <w:t>2098.68</w:t>
            </w:r>
          </w:p>
        </w:tc>
        <w:tc>
          <w:tcPr>
            <w:tcW w:w="1474" w:type="dxa"/>
            <w:vAlign w:val="center"/>
          </w:tcPr>
          <w:p w14:paraId="60B474DD">
            <w:pPr>
              <w:pStyle w:val="15"/>
            </w:pPr>
          </w:p>
        </w:tc>
        <w:tc>
          <w:tcPr>
            <w:tcW w:w="1474" w:type="dxa"/>
            <w:vAlign w:val="center"/>
          </w:tcPr>
          <w:p w14:paraId="2C45C292">
            <w:pPr>
              <w:pStyle w:val="15"/>
            </w:pPr>
          </w:p>
        </w:tc>
      </w:tr>
      <w:tr w14:paraId="779D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86C4F">
            <w:pPr>
              <w:pStyle w:val="13"/>
            </w:pPr>
            <w:r>
              <w:t>33</w:t>
            </w:r>
          </w:p>
        </w:tc>
        <w:tc>
          <w:tcPr>
            <w:tcW w:w="3402" w:type="dxa"/>
            <w:vAlign w:val="center"/>
          </w:tcPr>
          <w:p w14:paraId="7186D544">
            <w:pPr>
              <w:pStyle w:val="12"/>
            </w:pPr>
            <w:r>
              <w:t>年初财政拨款结转和结余</w:t>
            </w:r>
          </w:p>
        </w:tc>
        <w:tc>
          <w:tcPr>
            <w:tcW w:w="1474" w:type="dxa"/>
            <w:vAlign w:val="center"/>
          </w:tcPr>
          <w:p w14:paraId="4D983C77">
            <w:pPr>
              <w:pStyle w:val="11"/>
            </w:pPr>
          </w:p>
        </w:tc>
        <w:tc>
          <w:tcPr>
            <w:tcW w:w="3402" w:type="dxa"/>
            <w:vAlign w:val="center"/>
          </w:tcPr>
          <w:p w14:paraId="69F51A23">
            <w:pPr>
              <w:pStyle w:val="12"/>
            </w:pPr>
            <w:r>
              <w:t>年末财政拨款结转和结余</w:t>
            </w:r>
          </w:p>
        </w:tc>
        <w:tc>
          <w:tcPr>
            <w:tcW w:w="1474" w:type="dxa"/>
            <w:vAlign w:val="center"/>
          </w:tcPr>
          <w:p w14:paraId="2E033E97">
            <w:pPr>
              <w:pStyle w:val="11"/>
            </w:pPr>
          </w:p>
        </w:tc>
        <w:tc>
          <w:tcPr>
            <w:tcW w:w="1474" w:type="dxa"/>
            <w:vAlign w:val="center"/>
          </w:tcPr>
          <w:p w14:paraId="53877A9C">
            <w:pPr>
              <w:pStyle w:val="11"/>
            </w:pPr>
          </w:p>
        </w:tc>
        <w:tc>
          <w:tcPr>
            <w:tcW w:w="1474" w:type="dxa"/>
            <w:vAlign w:val="center"/>
          </w:tcPr>
          <w:p w14:paraId="06BBC589">
            <w:pPr>
              <w:pStyle w:val="11"/>
            </w:pPr>
          </w:p>
        </w:tc>
        <w:tc>
          <w:tcPr>
            <w:tcW w:w="1474" w:type="dxa"/>
            <w:vAlign w:val="center"/>
          </w:tcPr>
          <w:p w14:paraId="68B60369">
            <w:pPr>
              <w:pStyle w:val="11"/>
            </w:pPr>
          </w:p>
        </w:tc>
      </w:tr>
      <w:tr w14:paraId="3219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6746">
            <w:pPr>
              <w:pStyle w:val="13"/>
            </w:pPr>
            <w:r>
              <w:t>34</w:t>
            </w:r>
          </w:p>
        </w:tc>
        <w:tc>
          <w:tcPr>
            <w:tcW w:w="3402" w:type="dxa"/>
            <w:vAlign w:val="center"/>
          </w:tcPr>
          <w:p w14:paraId="5B45E548">
            <w:pPr>
              <w:pStyle w:val="12"/>
            </w:pPr>
            <w:r>
              <w:t>一、一般公共预算拨款</w:t>
            </w:r>
          </w:p>
        </w:tc>
        <w:tc>
          <w:tcPr>
            <w:tcW w:w="1474" w:type="dxa"/>
            <w:vAlign w:val="center"/>
          </w:tcPr>
          <w:p w14:paraId="72D2CA40">
            <w:pPr>
              <w:pStyle w:val="11"/>
            </w:pPr>
          </w:p>
        </w:tc>
        <w:tc>
          <w:tcPr>
            <w:tcW w:w="3402" w:type="dxa"/>
            <w:vAlign w:val="center"/>
          </w:tcPr>
          <w:p w14:paraId="6B658F5E">
            <w:pPr>
              <w:pStyle w:val="12"/>
            </w:pPr>
          </w:p>
        </w:tc>
        <w:tc>
          <w:tcPr>
            <w:tcW w:w="1474" w:type="dxa"/>
            <w:vAlign w:val="center"/>
          </w:tcPr>
          <w:p w14:paraId="4591D062">
            <w:pPr>
              <w:pStyle w:val="11"/>
            </w:pPr>
          </w:p>
        </w:tc>
        <w:tc>
          <w:tcPr>
            <w:tcW w:w="1474" w:type="dxa"/>
            <w:vAlign w:val="center"/>
          </w:tcPr>
          <w:p w14:paraId="1E38B5F4">
            <w:pPr>
              <w:pStyle w:val="11"/>
            </w:pPr>
          </w:p>
        </w:tc>
        <w:tc>
          <w:tcPr>
            <w:tcW w:w="1474" w:type="dxa"/>
            <w:vAlign w:val="center"/>
          </w:tcPr>
          <w:p w14:paraId="270DA666">
            <w:pPr>
              <w:pStyle w:val="11"/>
            </w:pPr>
          </w:p>
        </w:tc>
        <w:tc>
          <w:tcPr>
            <w:tcW w:w="1474" w:type="dxa"/>
            <w:vAlign w:val="center"/>
          </w:tcPr>
          <w:p w14:paraId="11ABBEAE">
            <w:pPr>
              <w:pStyle w:val="11"/>
            </w:pPr>
          </w:p>
        </w:tc>
      </w:tr>
      <w:tr w14:paraId="6FA6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26386">
            <w:pPr>
              <w:pStyle w:val="13"/>
            </w:pPr>
            <w:r>
              <w:t>35</w:t>
            </w:r>
          </w:p>
        </w:tc>
        <w:tc>
          <w:tcPr>
            <w:tcW w:w="3402" w:type="dxa"/>
            <w:vAlign w:val="center"/>
          </w:tcPr>
          <w:p w14:paraId="59AEB1F5">
            <w:pPr>
              <w:pStyle w:val="12"/>
            </w:pPr>
            <w:r>
              <w:t>二、政府性基金预算拨款</w:t>
            </w:r>
          </w:p>
        </w:tc>
        <w:tc>
          <w:tcPr>
            <w:tcW w:w="1474" w:type="dxa"/>
            <w:vAlign w:val="center"/>
          </w:tcPr>
          <w:p w14:paraId="4EDE3085">
            <w:pPr>
              <w:pStyle w:val="11"/>
            </w:pPr>
          </w:p>
        </w:tc>
        <w:tc>
          <w:tcPr>
            <w:tcW w:w="3402" w:type="dxa"/>
            <w:vAlign w:val="center"/>
          </w:tcPr>
          <w:p w14:paraId="6CB7403F">
            <w:pPr>
              <w:pStyle w:val="12"/>
            </w:pPr>
          </w:p>
        </w:tc>
        <w:tc>
          <w:tcPr>
            <w:tcW w:w="1474" w:type="dxa"/>
            <w:vAlign w:val="center"/>
          </w:tcPr>
          <w:p w14:paraId="40198FA4">
            <w:pPr>
              <w:pStyle w:val="11"/>
            </w:pPr>
          </w:p>
        </w:tc>
        <w:tc>
          <w:tcPr>
            <w:tcW w:w="1474" w:type="dxa"/>
            <w:vAlign w:val="center"/>
          </w:tcPr>
          <w:p w14:paraId="4A68C4B6">
            <w:pPr>
              <w:pStyle w:val="11"/>
            </w:pPr>
          </w:p>
        </w:tc>
        <w:tc>
          <w:tcPr>
            <w:tcW w:w="1474" w:type="dxa"/>
            <w:vAlign w:val="center"/>
          </w:tcPr>
          <w:p w14:paraId="252366C5">
            <w:pPr>
              <w:pStyle w:val="11"/>
            </w:pPr>
          </w:p>
        </w:tc>
        <w:tc>
          <w:tcPr>
            <w:tcW w:w="1474" w:type="dxa"/>
            <w:vAlign w:val="center"/>
          </w:tcPr>
          <w:p w14:paraId="176A19B9">
            <w:pPr>
              <w:pStyle w:val="11"/>
            </w:pPr>
          </w:p>
        </w:tc>
      </w:tr>
      <w:tr w14:paraId="19B2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3A00E">
            <w:pPr>
              <w:pStyle w:val="13"/>
            </w:pPr>
            <w:r>
              <w:t>36</w:t>
            </w:r>
          </w:p>
        </w:tc>
        <w:tc>
          <w:tcPr>
            <w:tcW w:w="3402" w:type="dxa"/>
            <w:vAlign w:val="center"/>
          </w:tcPr>
          <w:p w14:paraId="1C8F93C8">
            <w:pPr>
              <w:pStyle w:val="12"/>
            </w:pPr>
            <w:r>
              <w:t>三、国有资本经营预算拨款</w:t>
            </w:r>
          </w:p>
        </w:tc>
        <w:tc>
          <w:tcPr>
            <w:tcW w:w="1474" w:type="dxa"/>
            <w:vAlign w:val="center"/>
          </w:tcPr>
          <w:p w14:paraId="1CFE814A">
            <w:pPr>
              <w:pStyle w:val="11"/>
            </w:pPr>
          </w:p>
        </w:tc>
        <w:tc>
          <w:tcPr>
            <w:tcW w:w="3402" w:type="dxa"/>
            <w:vAlign w:val="center"/>
          </w:tcPr>
          <w:p w14:paraId="2A1A0E9E">
            <w:pPr>
              <w:pStyle w:val="12"/>
            </w:pPr>
          </w:p>
        </w:tc>
        <w:tc>
          <w:tcPr>
            <w:tcW w:w="1474" w:type="dxa"/>
            <w:vAlign w:val="center"/>
          </w:tcPr>
          <w:p w14:paraId="46C7814B">
            <w:pPr>
              <w:pStyle w:val="11"/>
            </w:pPr>
          </w:p>
        </w:tc>
        <w:tc>
          <w:tcPr>
            <w:tcW w:w="1474" w:type="dxa"/>
            <w:vAlign w:val="center"/>
          </w:tcPr>
          <w:p w14:paraId="51EE1198">
            <w:pPr>
              <w:pStyle w:val="11"/>
            </w:pPr>
          </w:p>
        </w:tc>
        <w:tc>
          <w:tcPr>
            <w:tcW w:w="1474" w:type="dxa"/>
            <w:vAlign w:val="center"/>
          </w:tcPr>
          <w:p w14:paraId="595D0D08">
            <w:pPr>
              <w:pStyle w:val="11"/>
            </w:pPr>
          </w:p>
        </w:tc>
        <w:tc>
          <w:tcPr>
            <w:tcW w:w="1474" w:type="dxa"/>
            <w:vAlign w:val="center"/>
          </w:tcPr>
          <w:p w14:paraId="620807E9">
            <w:pPr>
              <w:pStyle w:val="11"/>
            </w:pPr>
          </w:p>
        </w:tc>
      </w:tr>
      <w:tr w14:paraId="33BF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5E96">
            <w:pPr>
              <w:pStyle w:val="13"/>
            </w:pPr>
            <w:r>
              <w:t>37</w:t>
            </w:r>
          </w:p>
        </w:tc>
        <w:tc>
          <w:tcPr>
            <w:tcW w:w="3402" w:type="dxa"/>
            <w:vAlign w:val="center"/>
          </w:tcPr>
          <w:p w14:paraId="410296BD">
            <w:pPr>
              <w:pStyle w:val="14"/>
            </w:pPr>
            <w:r>
              <w:t>收入总计</w:t>
            </w:r>
          </w:p>
        </w:tc>
        <w:tc>
          <w:tcPr>
            <w:tcW w:w="1474" w:type="dxa"/>
            <w:vAlign w:val="center"/>
          </w:tcPr>
          <w:p w14:paraId="055364ED">
            <w:pPr>
              <w:pStyle w:val="15"/>
            </w:pPr>
            <w:r>
              <w:t>2098.68</w:t>
            </w:r>
          </w:p>
        </w:tc>
        <w:tc>
          <w:tcPr>
            <w:tcW w:w="3402" w:type="dxa"/>
            <w:vAlign w:val="center"/>
          </w:tcPr>
          <w:p w14:paraId="37173E72">
            <w:pPr>
              <w:pStyle w:val="14"/>
            </w:pPr>
            <w:r>
              <w:t>支出总计</w:t>
            </w:r>
          </w:p>
        </w:tc>
        <w:tc>
          <w:tcPr>
            <w:tcW w:w="1474" w:type="dxa"/>
            <w:vAlign w:val="center"/>
          </w:tcPr>
          <w:p w14:paraId="78AD8A0E">
            <w:pPr>
              <w:pStyle w:val="15"/>
            </w:pPr>
            <w:r>
              <w:t>2098.68</w:t>
            </w:r>
          </w:p>
        </w:tc>
        <w:tc>
          <w:tcPr>
            <w:tcW w:w="1474" w:type="dxa"/>
            <w:vAlign w:val="center"/>
          </w:tcPr>
          <w:p w14:paraId="6F7F09F7">
            <w:pPr>
              <w:pStyle w:val="15"/>
            </w:pPr>
            <w:r>
              <w:t>2098.68</w:t>
            </w:r>
          </w:p>
        </w:tc>
        <w:tc>
          <w:tcPr>
            <w:tcW w:w="1474" w:type="dxa"/>
            <w:vAlign w:val="center"/>
          </w:tcPr>
          <w:p w14:paraId="611D44A3">
            <w:pPr>
              <w:pStyle w:val="15"/>
            </w:pPr>
          </w:p>
        </w:tc>
        <w:tc>
          <w:tcPr>
            <w:tcW w:w="1474" w:type="dxa"/>
            <w:vAlign w:val="center"/>
          </w:tcPr>
          <w:p w14:paraId="2B3ED144">
            <w:pPr>
              <w:pStyle w:val="15"/>
            </w:pPr>
          </w:p>
        </w:tc>
      </w:tr>
    </w:tbl>
    <w:p w14:paraId="02DB39B0">
      <w:pPr>
        <w:sectPr>
          <w:pgSz w:w="16840" w:h="11900" w:orient="landscape"/>
          <w:pgMar w:top="1361" w:right="1020" w:bottom="1134" w:left="1020" w:header="720" w:footer="720" w:gutter="0"/>
          <w:cols w:space="720" w:num="1"/>
        </w:sectPr>
      </w:pPr>
    </w:p>
    <w:p w14:paraId="6AD147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78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E158C5">
            <w:pPr>
              <w:pStyle w:val="9"/>
            </w:pPr>
            <w:r>
              <w:t>360026隆尧县牛家桥校区</w:t>
            </w:r>
          </w:p>
        </w:tc>
        <w:tc>
          <w:tcPr>
            <w:tcW w:w="2551" w:type="dxa"/>
            <w:tcBorders>
              <w:top w:val="single" w:color="FFFFFF" w:sz="6" w:space="0"/>
              <w:left w:val="single" w:color="FFFFFF" w:sz="6" w:space="0"/>
              <w:right w:val="single" w:color="FFFFFF" w:sz="6" w:space="0"/>
            </w:tcBorders>
            <w:vAlign w:val="center"/>
          </w:tcPr>
          <w:p w14:paraId="562621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955591">
            <w:pPr>
              <w:pStyle w:val="7"/>
            </w:pPr>
            <w:r>
              <w:t>单位：万元</w:t>
            </w:r>
          </w:p>
        </w:tc>
      </w:tr>
      <w:tr w14:paraId="005B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6E761">
            <w:pPr>
              <w:pStyle w:val="10"/>
            </w:pPr>
            <w:r>
              <w:t>序号</w:t>
            </w:r>
          </w:p>
        </w:tc>
        <w:tc>
          <w:tcPr>
            <w:tcW w:w="5726" w:type="dxa"/>
            <w:gridSpan w:val="2"/>
            <w:vAlign w:val="center"/>
          </w:tcPr>
          <w:p w14:paraId="14FD32F0">
            <w:pPr>
              <w:pStyle w:val="10"/>
            </w:pPr>
            <w:r>
              <w:t>功能分类科目</w:t>
            </w:r>
          </w:p>
        </w:tc>
        <w:tc>
          <w:tcPr>
            <w:tcW w:w="2551" w:type="dxa"/>
            <w:vMerge w:val="restart"/>
            <w:vAlign w:val="center"/>
          </w:tcPr>
          <w:p w14:paraId="00B678B3">
            <w:pPr>
              <w:pStyle w:val="10"/>
            </w:pPr>
            <w:r>
              <w:t>合计</w:t>
            </w:r>
          </w:p>
        </w:tc>
        <w:tc>
          <w:tcPr>
            <w:tcW w:w="2551" w:type="dxa"/>
            <w:vMerge w:val="restart"/>
            <w:vAlign w:val="center"/>
          </w:tcPr>
          <w:p w14:paraId="1DFB38A4">
            <w:pPr>
              <w:pStyle w:val="10"/>
            </w:pPr>
            <w:r>
              <w:t>基本支出</w:t>
            </w:r>
          </w:p>
        </w:tc>
        <w:tc>
          <w:tcPr>
            <w:tcW w:w="2551" w:type="dxa"/>
            <w:vMerge w:val="restart"/>
            <w:vAlign w:val="center"/>
          </w:tcPr>
          <w:p w14:paraId="1D56F8FB">
            <w:pPr>
              <w:pStyle w:val="10"/>
            </w:pPr>
            <w:r>
              <w:t>项目支出</w:t>
            </w:r>
          </w:p>
        </w:tc>
      </w:tr>
      <w:tr w14:paraId="120C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0CEC25"/>
        </w:tc>
        <w:tc>
          <w:tcPr>
            <w:tcW w:w="1191" w:type="dxa"/>
            <w:vAlign w:val="center"/>
          </w:tcPr>
          <w:p w14:paraId="3EF53C77">
            <w:pPr>
              <w:pStyle w:val="10"/>
            </w:pPr>
            <w:r>
              <w:t>科目编码</w:t>
            </w:r>
          </w:p>
        </w:tc>
        <w:tc>
          <w:tcPr>
            <w:tcW w:w="4535" w:type="dxa"/>
            <w:vAlign w:val="center"/>
          </w:tcPr>
          <w:p w14:paraId="3428DF98">
            <w:pPr>
              <w:pStyle w:val="10"/>
            </w:pPr>
            <w:r>
              <w:t>科目名称</w:t>
            </w:r>
          </w:p>
        </w:tc>
        <w:tc>
          <w:tcPr>
            <w:tcW w:w="2551" w:type="dxa"/>
            <w:vMerge w:val="continue"/>
          </w:tcPr>
          <w:p w14:paraId="26ED4FF1"/>
        </w:tc>
        <w:tc>
          <w:tcPr>
            <w:tcW w:w="2551" w:type="dxa"/>
            <w:vMerge w:val="continue"/>
          </w:tcPr>
          <w:p w14:paraId="46EFF050"/>
        </w:tc>
        <w:tc>
          <w:tcPr>
            <w:tcW w:w="2551" w:type="dxa"/>
            <w:vMerge w:val="continue"/>
          </w:tcPr>
          <w:p w14:paraId="45D67220"/>
        </w:tc>
      </w:tr>
      <w:tr w14:paraId="6216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DDAFA5">
            <w:pPr>
              <w:pStyle w:val="10"/>
            </w:pPr>
            <w:r>
              <w:t>栏次</w:t>
            </w:r>
          </w:p>
        </w:tc>
        <w:tc>
          <w:tcPr>
            <w:tcW w:w="1191" w:type="dxa"/>
            <w:vAlign w:val="center"/>
          </w:tcPr>
          <w:p w14:paraId="50CA463B">
            <w:pPr>
              <w:pStyle w:val="10"/>
            </w:pPr>
            <w:r>
              <w:t>1</w:t>
            </w:r>
          </w:p>
        </w:tc>
        <w:tc>
          <w:tcPr>
            <w:tcW w:w="4535" w:type="dxa"/>
            <w:vAlign w:val="center"/>
          </w:tcPr>
          <w:p w14:paraId="74E2FEA6">
            <w:pPr>
              <w:pStyle w:val="10"/>
            </w:pPr>
            <w:r>
              <w:t>2</w:t>
            </w:r>
          </w:p>
        </w:tc>
        <w:tc>
          <w:tcPr>
            <w:tcW w:w="2551" w:type="dxa"/>
            <w:vAlign w:val="center"/>
          </w:tcPr>
          <w:p w14:paraId="233010C8">
            <w:pPr>
              <w:pStyle w:val="10"/>
            </w:pPr>
            <w:r>
              <w:t>3</w:t>
            </w:r>
          </w:p>
        </w:tc>
        <w:tc>
          <w:tcPr>
            <w:tcW w:w="2551" w:type="dxa"/>
            <w:vAlign w:val="center"/>
          </w:tcPr>
          <w:p w14:paraId="107ECD2A">
            <w:pPr>
              <w:pStyle w:val="10"/>
            </w:pPr>
            <w:r>
              <w:t>4</w:t>
            </w:r>
          </w:p>
        </w:tc>
        <w:tc>
          <w:tcPr>
            <w:tcW w:w="2551" w:type="dxa"/>
            <w:vAlign w:val="center"/>
          </w:tcPr>
          <w:p w14:paraId="1412124C">
            <w:pPr>
              <w:pStyle w:val="10"/>
            </w:pPr>
            <w:r>
              <w:t>5</w:t>
            </w:r>
          </w:p>
        </w:tc>
      </w:tr>
      <w:tr w14:paraId="3C0B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1393B">
            <w:pPr>
              <w:pStyle w:val="13"/>
            </w:pPr>
            <w:r>
              <w:t>1</w:t>
            </w:r>
          </w:p>
        </w:tc>
        <w:tc>
          <w:tcPr>
            <w:tcW w:w="1191" w:type="dxa"/>
            <w:vAlign w:val="center"/>
          </w:tcPr>
          <w:p w14:paraId="21943D74">
            <w:pPr>
              <w:pStyle w:val="16"/>
            </w:pPr>
          </w:p>
        </w:tc>
        <w:tc>
          <w:tcPr>
            <w:tcW w:w="4535" w:type="dxa"/>
            <w:vAlign w:val="center"/>
          </w:tcPr>
          <w:p w14:paraId="72DBB824">
            <w:pPr>
              <w:pStyle w:val="14"/>
            </w:pPr>
            <w:r>
              <w:t>合计</w:t>
            </w:r>
          </w:p>
        </w:tc>
        <w:tc>
          <w:tcPr>
            <w:tcW w:w="2551" w:type="dxa"/>
            <w:vAlign w:val="center"/>
          </w:tcPr>
          <w:p w14:paraId="087D8849">
            <w:pPr>
              <w:pStyle w:val="15"/>
            </w:pPr>
            <w:r>
              <w:t>2098.68</w:t>
            </w:r>
          </w:p>
        </w:tc>
        <w:tc>
          <w:tcPr>
            <w:tcW w:w="2551" w:type="dxa"/>
            <w:vAlign w:val="center"/>
          </w:tcPr>
          <w:p w14:paraId="05B266FB">
            <w:pPr>
              <w:pStyle w:val="15"/>
            </w:pPr>
            <w:r>
              <w:t>1653.09</w:t>
            </w:r>
          </w:p>
        </w:tc>
        <w:tc>
          <w:tcPr>
            <w:tcW w:w="2551" w:type="dxa"/>
            <w:vAlign w:val="center"/>
          </w:tcPr>
          <w:p w14:paraId="278A5BA0">
            <w:pPr>
              <w:pStyle w:val="15"/>
            </w:pPr>
            <w:r>
              <w:t>445.58</w:t>
            </w:r>
          </w:p>
        </w:tc>
      </w:tr>
      <w:tr w14:paraId="125C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FC9B">
            <w:pPr>
              <w:pStyle w:val="13"/>
            </w:pPr>
            <w:r>
              <w:t>2</w:t>
            </w:r>
          </w:p>
        </w:tc>
        <w:tc>
          <w:tcPr>
            <w:tcW w:w="1191" w:type="dxa"/>
            <w:vAlign w:val="center"/>
          </w:tcPr>
          <w:p w14:paraId="2EAB03FF">
            <w:pPr>
              <w:pStyle w:val="12"/>
            </w:pPr>
            <w:r>
              <w:t>205</w:t>
            </w:r>
          </w:p>
        </w:tc>
        <w:tc>
          <w:tcPr>
            <w:tcW w:w="4535" w:type="dxa"/>
            <w:vAlign w:val="center"/>
          </w:tcPr>
          <w:p w14:paraId="56D6C5DA">
            <w:pPr>
              <w:pStyle w:val="12"/>
            </w:pPr>
            <w:r>
              <w:t>教育支出</w:t>
            </w:r>
          </w:p>
        </w:tc>
        <w:tc>
          <w:tcPr>
            <w:tcW w:w="2551" w:type="dxa"/>
            <w:vAlign w:val="center"/>
          </w:tcPr>
          <w:p w14:paraId="3FF0E26D">
            <w:pPr>
              <w:pStyle w:val="11"/>
            </w:pPr>
            <w:r>
              <w:t>2098.68</w:t>
            </w:r>
          </w:p>
        </w:tc>
        <w:tc>
          <w:tcPr>
            <w:tcW w:w="2551" w:type="dxa"/>
            <w:vAlign w:val="center"/>
          </w:tcPr>
          <w:p w14:paraId="454A6AE9">
            <w:pPr>
              <w:pStyle w:val="11"/>
            </w:pPr>
            <w:r>
              <w:t>1653.09</w:t>
            </w:r>
          </w:p>
        </w:tc>
        <w:tc>
          <w:tcPr>
            <w:tcW w:w="2551" w:type="dxa"/>
            <w:vAlign w:val="center"/>
          </w:tcPr>
          <w:p w14:paraId="62EC9BC2">
            <w:pPr>
              <w:pStyle w:val="11"/>
            </w:pPr>
            <w:r>
              <w:t>445.58</w:t>
            </w:r>
          </w:p>
        </w:tc>
      </w:tr>
      <w:tr w14:paraId="6818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170CB">
            <w:pPr>
              <w:pStyle w:val="13"/>
            </w:pPr>
            <w:r>
              <w:t>3</w:t>
            </w:r>
          </w:p>
        </w:tc>
        <w:tc>
          <w:tcPr>
            <w:tcW w:w="1191" w:type="dxa"/>
            <w:vAlign w:val="center"/>
          </w:tcPr>
          <w:p w14:paraId="12EC8FA6">
            <w:pPr>
              <w:pStyle w:val="12"/>
            </w:pPr>
            <w:r>
              <w:t>20502</w:t>
            </w:r>
          </w:p>
        </w:tc>
        <w:tc>
          <w:tcPr>
            <w:tcW w:w="4535" w:type="dxa"/>
            <w:vAlign w:val="center"/>
          </w:tcPr>
          <w:p w14:paraId="3B569CEB">
            <w:pPr>
              <w:pStyle w:val="12"/>
            </w:pPr>
            <w:r>
              <w:t>普通教育</w:t>
            </w:r>
          </w:p>
        </w:tc>
        <w:tc>
          <w:tcPr>
            <w:tcW w:w="2551" w:type="dxa"/>
            <w:vAlign w:val="center"/>
          </w:tcPr>
          <w:p w14:paraId="0B11DB7E">
            <w:pPr>
              <w:pStyle w:val="11"/>
            </w:pPr>
            <w:r>
              <w:t>2098.68</w:t>
            </w:r>
          </w:p>
        </w:tc>
        <w:tc>
          <w:tcPr>
            <w:tcW w:w="2551" w:type="dxa"/>
            <w:vAlign w:val="center"/>
          </w:tcPr>
          <w:p w14:paraId="24DEBE03">
            <w:pPr>
              <w:pStyle w:val="11"/>
            </w:pPr>
            <w:r>
              <w:t>1653.09</w:t>
            </w:r>
          </w:p>
        </w:tc>
        <w:tc>
          <w:tcPr>
            <w:tcW w:w="2551" w:type="dxa"/>
            <w:vAlign w:val="center"/>
          </w:tcPr>
          <w:p w14:paraId="4B23119F">
            <w:pPr>
              <w:pStyle w:val="11"/>
            </w:pPr>
            <w:r>
              <w:t>445.58</w:t>
            </w:r>
          </w:p>
        </w:tc>
      </w:tr>
      <w:tr w14:paraId="35CB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18A4B">
            <w:pPr>
              <w:pStyle w:val="13"/>
            </w:pPr>
            <w:r>
              <w:t>4</w:t>
            </w:r>
          </w:p>
        </w:tc>
        <w:tc>
          <w:tcPr>
            <w:tcW w:w="1191" w:type="dxa"/>
            <w:vAlign w:val="center"/>
          </w:tcPr>
          <w:p w14:paraId="3607D65C">
            <w:pPr>
              <w:pStyle w:val="12"/>
            </w:pPr>
            <w:r>
              <w:t>2050201</w:t>
            </w:r>
          </w:p>
        </w:tc>
        <w:tc>
          <w:tcPr>
            <w:tcW w:w="4535" w:type="dxa"/>
            <w:vAlign w:val="center"/>
          </w:tcPr>
          <w:p w14:paraId="3B2B0360">
            <w:pPr>
              <w:pStyle w:val="12"/>
            </w:pPr>
            <w:r>
              <w:t>学前教育</w:t>
            </w:r>
          </w:p>
        </w:tc>
        <w:tc>
          <w:tcPr>
            <w:tcW w:w="2551" w:type="dxa"/>
            <w:vAlign w:val="center"/>
          </w:tcPr>
          <w:p w14:paraId="7718DF6F">
            <w:pPr>
              <w:pStyle w:val="11"/>
            </w:pPr>
            <w:r>
              <w:t>77.51</w:t>
            </w:r>
          </w:p>
        </w:tc>
        <w:tc>
          <w:tcPr>
            <w:tcW w:w="2551" w:type="dxa"/>
            <w:vAlign w:val="center"/>
          </w:tcPr>
          <w:p w14:paraId="5ACE06DD">
            <w:pPr>
              <w:pStyle w:val="11"/>
            </w:pPr>
          </w:p>
        </w:tc>
        <w:tc>
          <w:tcPr>
            <w:tcW w:w="2551" w:type="dxa"/>
            <w:vAlign w:val="center"/>
          </w:tcPr>
          <w:p w14:paraId="21B8353B">
            <w:pPr>
              <w:pStyle w:val="11"/>
            </w:pPr>
            <w:r>
              <w:t>77.51</w:t>
            </w:r>
          </w:p>
        </w:tc>
      </w:tr>
      <w:tr w14:paraId="4AF7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1929">
            <w:pPr>
              <w:pStyle w:val="13"/>
            </w:pPr>
            <w:r>
              <w:t>5</w:t>
            </w:r>
          </w:p>
        </w:tc>
        <w:tc>
          <w:tcPr>
            <w:tcW w:w="1191" w:type="dxa"/>
            <w:vAlign w:val="center"/>
          </w:tcPr>
          <w:p w14:paraId="6A5DE1CD">
            <w:pPr>
              <w:pStyle w:val="12"/>
            </w:pPr>
            <w:r>
              <w:t>2050202</w:t>
            </w:r>
          </w:p>
        </w:tc>
        <w:tc>
          <w:tcPr>
            <w:tcW w:w="4535" w:type="dxa"/>
            <w:vAlign w:val="center"/>
          </w:tcPr>
          <w:p w14:paraId="5B8F1C28">
            <w:pPr>
              <w:pStyle w:val="12"/>
            </w:pPr>
            <w:r>
              <w:t>小学教育</w:t>
            </w:r>
          </w:p>
        </w:tc>
        <w:tc>
          <w:tcPr>
            <w:tcW w:w="2551" w:type="dxa"/>
            <w:vAlign w:val="center"/>
          </w:tcPr>
          <w:p w14:paraId="35B1AD40">
            <w:pPr>
              <w:pStyle w:val="11"/>
            </w:pPr>
            <w:r>
              <w:t>2021.17</w:t>
            </w:r>
          </w:p>
        </w:tc>
        <w:tc>
          <w:tcPr>
            <w:tcW w:w="2551" w:type="dxa"/>
            <w:vAlign w:val="center"/>
          </w:tcPr>
          <w:p w14:paraId="0B5447E3">
            <w:pPr>
              <w:pStyle w:val="11"/>
            </w:pPr>
            <w:r>
              <w:t>1653.09</w:t>
            </w:r>
          </w:p>
        </w:tc>
        <w:tc>
          <w:tcPr>
            <w:tcW w:w="2551" w:type="dxa"/>
            <w:vAlign w:val="center"/>
          </w:tcPr>
          <w:p w14:paraId="7F54849A">
            <w:pPr>
              <w:pStyle w:val="11"/>
            </w:pPr>
            <w:r>
              <w:t>368.08</w:t>
            </w:r>
          </w:p>
        </w:tc>
      </w:tr>
    </w:tbl>
    <w:p w14:paraId="659E5767">
      <w:pPr>
        <w:sectPr>
          <w:pgSz w:w="16840" w:h="11900" w:orient="landscape"/>
          <w:pgMar w:top="1361" w:right="1020" w:bottom="1134" w:left="1020" w:header="720" w:footer="720" w:gutter="0"/>
          <w:cols w:space="720" w:num="1"/>
        </w:sectPr>
      </w:pPr>
    </w:p>
    <w:p w14:paraId="639CE6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FF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E87537">
            <w:pPr>
              <w:pStyle w:val="9"/>
            </w:pPr>
            <w:r>
              <w:t>360026隆尧县牛家桥校区</w:t>
            </w:r>
          </w:p>
        </w:tc>
        <w:tc>
          <w:tcPr>
            <w:tcW w:w="2551" w:type="dxa"/>
            <w:tcBorders>
              <w:top w:val="single" w:color="FFFFFF" w:sz="6" w:space="0"/>
              <w:left w:val="single" w:color="FFFFFF" w:sz="6" w:space="0"/>
              <w:right w:val="single" w:color="FFFFFF" w:sz="6" w:space="0"/>
            </w:tcBorders>
            <w:vAlign w:val="center"/>
          </w:tcPr>
          <w:p w14:paraId="04996A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231E53">
            <w:pPr>
              <w:pStyle w:val="7"/>
            </w:pPr>
            <w:r>
              <w:t>单位：万元</w:t>
            </w:r>
          </w:p>
        </w:tc>
      </w:tr>
      <w:tr w14:paraId="505D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30139">
            <w:pPr>
              <w:pStyle w:val="10"/>
            </w:pPr>
            <w:r>
              <w:t>序号</w:t>
            </w:r>
          </w:p>
        </w:tc>
        <w:tc>
          <w:tcPr>
            <w:tcW w:w="5726" w:type="dxa"/>
            <w:gridSpan w:val="2"/>
            <w:vAlign w:val="center"/>
          </w:tcPr>
          <w:p w14:paraId="1BD674AD">
            <w:pPr>
              <w:pStyle w:val="10"/>
            </w:pPr>
            <w:r>
              <w:t>支出部门经济分类科目</w:t>
            </w:r>
          </w:p>
        </w:tc>
        <w:tc>
          <w:tcPr>
            <w:tcW w:w="7653" w:type="dxa"/>
            <w:gridSpan w:val="3"/>
            <w:vAlign w:val="center"/>
          </w:tcPr>
          <w:p w14:paraId="78F36B3B">
            <w:pPr>
              <w:pStyle w:val="10"/>
            </w:pPr>
            <w:r>
              <w:t>一般公共预算基本支出</w:t>
            </w:r>
          </w:p>
        </w:tc>
      </w:tr>
      <w:tr w14:paraId="7F71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361EA7"/>
        </w:tc>
        <w:tc>
          <w:tcPr>
            <w:tcW w:w="1191" w:type="dxa"/>
            <w:vAlign w:val="center"/>
          </w:tcPr>
          <w:p w14:paraId="0DF27F7C">
            <w:pPr>
              <w:pStyle w:val="10"/>
            </w:pPr>
            <w:r>
              <w:t>科目编码</w:t>
            </w:r>
          </w:p>
        </w:tc>
        <w:tc>
          <w:tcPr>
            <w:tcW w:w="4535" w:type="dxa"/>
            <w:vAlign w:val="center"/>
          </w:tcPr>
          <w:p w14:paraId="38363936">
            <w:pPr>
              <w:pStyle w:val="10"/>
            </w:pPr>
            <w:r>
              <w:t>科目名称</w:t>
            </w:r>
          </w:p>
        </w:tc>
        <w:tc>
          <w:tcPr>
            <w:tcW w:w="2551" w:type="dxa"/>
            <w:vAlign w:val="center"/>
          </w:tcPr>
          <w:p w14:paraId="4B1D39C6">
            <w:pPr>
              <w:pStyle w:val="10"/>
            </w:pPr>
            <w:r>
              <w:t>合计</w:t>
            </w:r>
          </w:p>
        </w:tc>
        <w:tc>
          <w:tcPr>
            <w:tcW w:w="2551" w:type="dxa"/>
            <w:vAlign w:val="center"/>
          </w:tcPr>
          <w:p w14:paraId="0D4B20C0">
            <w:pPr>
              <w:pStyle w:val="10"/>
            </w:pPr>
            <w:r>
              <w:t>人员经费</w:t>
            </w:r>
          </w:p>
        </w:tc>
        <w:tc>
          <w:tcPr>
            <w:tcW w:w="2551" w:type="dxa"/>
            <w:vAlign w:val="center"/>
          </w:tcPr>
          <w:p w14:paraId="34EAEB9B">
            <w:pPr>
              <w:pStyle w:val="10"/>
            </w:pPr>
            <w:r>
              <w:t>公用经费</w:t>
            </w:r>
          </w:p>
        </w:tc>
      </w:tr>
      <w:tr w14:paraId="6906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A4BE0">
            <w:pPr>
              <w:pStyle w:val="10"/>
            </w:pPr>
            <w:r>
              <w:t>栏次</w:t>
            </w:r>
          </w:p>
        </w:tc>
        <w:tc>
          <w:tcPr>
            <w:tcW w:w="1191" w:type="dxa"/>
            <w:vAlign w:val="center"/>
          </w:tcPr>
          <w:p w14:paraId="26F40AD7">
            <w:pPr>
              <w:pStyle w:val="10"/>
            </w:pPr>
            <w:r>
              <w:t>1</w:t>
            </w:r>
          </w:p>
        </w:tc>
        <w:tc>
          <w:tcPr>
            <w:tcW w:w="4535" w:type="dxa"/>
            <w:vAlign w:val="center"/>
          </w:tcPr>
          <w:p w14:paraId="76AD005F">
            <w:pPr>
              <w:pStyle w:val="10"/>
            </w:pPr>
            <w:r>
              <w:t>2</w:t>
            </w:r>
          </w:p>
        </w:tc>
        <w:tc>
          <w:tcPr>
            <w:tcW w:w="2551" w:type="dxa"/>
            <w:vAlign w:val="center"/>
          </w:tcPr>
          <w:p w14:paraId="1100421A">
            <w:pPr>
              <w:pStyle w:val="10"/>
            </w:pPr>
            <w:r>
              <w:t>3</w:t>
            </w:r>
          </w:p>
        </w:tc>
        <w:tc>
          <w:tcPr>
            <w:tcW w:w="2551" w:type="dxa"/>
            <w:vAlign w:val="center"/>
          </w:tcPr>
          <w:p w14:paraId="23BB2AF2">
            <w:pPr>
              <w:pStyle w:val="10"/>
            </w:pPr>
            <w:r>
              <w:t>4</w:t>
            </w:r>
          </w:p>
        </w:tc>
        <w:tc>
          <w:tcPr>
            <w:tcW w:w="2551" w:type="dxa"/>
            <w:vAlign w:val="center"/>
          </w:tcPr>
          <w:p w14:paraId="70E3D87C">
            <w:pPr>
              <w:pStyle w:val="10"/>
            </w:pPr>
            <w:r>
              <w:t>5</w:t>
            </w:r>
          </w:p>
        </w:tc>
      </w:tr>
      <w:tr w14:paraId="5CD1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94F16">
            <w:pPr>
              <w:pStyle w:val="13"/>
            </w:pPr>
            <w:r>
              <w:t>1</w:t>
            </w:r>
          </w:p>
        </w:tc>
        <w:tc>
          <w:tcPr>
            <w:tcW w:w="1191" w:type="dxa"/>
            <w:vAlign w:val="center"/>
          </w:tcPr>
          <w:p w14:paraId="4CC12558">
            <w:pPr>
              <w:pStyle w:val="16"/>
            </w:pPr>
          </w:p>
        </w:tc>
        <w:tc>
          <w:tcPr>
            <w:tcW w:w="4535" w:type="dxa"/>
            <w:vAlign w:val="center"/>
          </w:tcPr>
          <w:p w14:paraId="74D86418">
            <w:pPr>
              <w:pStyle w:val="14"/>
            </w:pPr>
            <w:r>
              <w:t>合计</w:t>
            </w:r>
          </w:p>
        </w:tc>
        <w:tc>
          <w:tcPr>
            <w:tcW w:w="2551" w:type="dxa"/>
            <w:vAlign w:val="center"/>
          </w:tcPr>
          <w:p w14:paraId="3EC63F88">
            <w:pPr>
              <w:pStyle w:val="15"/>
            </w:pPr>
            <w:r>
              <w:t>1653.09</w:t>
            </w:r>
          </w:p>
        </w:tc>
        <w:tc>
          <w:tcPr>
            <w:tcW w:w="2551" w:type="dxa"/>
            <w:vAlign w:val="center"/>
          </w:tcPr>
          <w:p w14:paraId="67BF2607">
            <w:pPr>
              <w:pStyle w:val="15"/>
            </w:pPr>
            <w:r>
              <w:t>1653.09</w:t>
            </w:r>
          </w:p>
        </w:tc>
        <w:tc>
          <w:tcPr>
            <w:tcW w:w="2551" w:type="dxa"/>
            <w:vAlign w:val="center"/>
          </w:tcPr>
          <w:p w14:paraId="0C91A379">
            <w:pPr>
              <w:pStyle w:val="15"/>
            </w:pPr>
          </w:p>
        </w:tc>
      </w:tr>
      <w:tr w14:paraId="2DC42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4934A">
            <w:pPr>
              <w:pStyle w:val="13"/>
            </w:pPr>
            <w:r>
              <w:t>2</w:t>
            </w:r>
          </w:p>
        </w:tc>
        <w:tc>
          <w:tcPr>
            <w:tcW w:w="1191" w:type="dxa"/>
            <w:vAlign w:val="center"/>
          </w:tcPr>
          <w:p w14:paraId="30B08AC3">
            <w:pPr>
              <w:pStyle w:val="12"/>
            </w:pPr>
            <w:r>
              <w:t>301</w:t>
            </w:r>
          </w:p>
        </w:tc>
        <w:tc>
          <w:tcPr>
            <w:tcW w:w="4535" w:type="dxa"/>
            <w:vAlign w:val="center"/>
          </w:tcPr>
          <w:p w14:paraId="5EFE85C7">
            <w:pPr>
              <w:pStyle w:val="12"/>
            </w:pPr>
            <w:r>
              <w:t>工资福利支出</w:t>
            </w:r>
          </w:p>
        </w:tc>
        <w:tc>
          <w:tcPr>
            <w:tcW w:w="2551" w:type="dxa"/>
            <w:vAlign w:val="center"/>
          </w:tcPr>
          <w:p w14:paraId="1D1DCBAE">
            <w:pPr>
              <w:pStyle w:val="11"/>
            </w:pPr>
            <w:r>
              <w:t>1549.38</w:t>
            </w:r>
          </w:p>
        </w:tc>
        <w:tc>
          <w:tcPr>
            <w:tcW w:w="2551" w:type="dxa"/>
            <w:vAlign w:val="center"/>
          </w:tcPr>
          <w:p w14:paraId="334C4785">
            <w:pPr>
              <w:pStyle w:val="11"/>
            </w:pPr>
            <w:r>
              <w:t>1549.38</w:t>
            </w:r>
          </w:p>
        </w:tc>
        <w:tc>
          <w:tcPr>
            <w:tcW w:w="2551" w:type="dxa"/>
            <w:vAlign w:val="center"/>
          </w:tcPr>
          <w:p w14:paraId="551C92E0">
            <w:pPr>
              <w:pStyle w:val="11"/>
            </w:pPr>
          </w:p>
        </w:tc>
      </w:tr>
      <w:tr w14:paraId="5F35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FB4D">
            <w:pPr>
              <w:pStyle w:val="13"/>
            </w:pPr>
            <w:r>
              <w:t>3</w:t>
            </w:r>
          </w:p>
        </w:tc>
        <w:tc>
          <w:tcPr>
            <w:tcW w:w="1191" w:type="dxa"/>
            <w:vAlign w:val="center"/>
          </w:tcPr>
          <w:p w14:paraId="5606A665">
            <w:pPr>
              <w:pStyle w:val="12"/>
            </w:pPr>
            <w:r>
              <w:t>30101</w:t>
            </w:r>
          </w:p>
        </w:tc>
        <w:tc>
          <w:tcPr>
            <w:tcW w:w="4535" w:type="dxa"/>
            <w:vAlign w:val="center"/>
          </w:tcPr>
          <w:p w14:paraId="5043BBCC">
            <w:pPr>
              <w:pStyle w:val="12"/>
            </w:pPr>
            <w:r>
              <w:t>基本工资</w:t>
            </w:r>
          </w:p>
        </w:tc>
        <w:tc>
          <w:tcPr>
            <w:tcW w:w="2551" w:type="dxa"/>
            <w:vAlign w:val="center"/>
          </w:tcPr>
          <w:p w14:paraId="56CE2219">
            <w:pPr>
              <w:pStyle w:val="11"/>
            </w:pPr>
            <w:r>
              <w:t>702.31</w:t>
            </w:r>
          </w:p>
        </w:tc>
        <w:tc>
          <w:tcPr>
            <w:tcW w:w="2551" w:type="dxa"/>
            <w:vAlign w:val="center"/>
          </w:tcPr>
          <w:p w14:paraId="3EDE306D">
            <w:pPr>
              <w:pStyle w:val="11"/>
            </w:pPr>
            <w:r>
              <w:t>702.31</w:t>
            </w:r>
          </w:p>
        </w:tc>
        <w:tc>
          <w:tcPr>
            <w:tcW w:w="2551" w:type="dxa"/>
            <w:vAlign w:val="center"/>
          </w:tcPr>
          <w:p w14:paraId="1528F877">
            <w:pPr>
              <w:pStyle w:val="11"/>
            </w:pPr>
          </w:p>
        </w:tc>
      </w:tr>
      <w:tr w14:paraId="6BDD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9F94">
            <w:pPr>
              <w:pStyle w:val="13"/>
            </w:pPr>
            <w:r>
              <w:t>4</w:t>
            </w:r>
          </w:p>
        </w:tc>
        <w:tc>
          <w:tcPr>
            <w:tcW w:w="1191" w:type="dxa"/>
            <w:vAlign w:val="center"/>
          </w:tcPr>
          <w:p w14:paraId="306685CE">
            <w:pPr>
              <w:pStyle w:val="12"/>
            </w:pPr>
            <w:r>
              <w:t>30102</w:t>
            </w:r>
          </w:p>
        </w:tc>
        <w:tc>
          <w:tcPr>
            <w:tcW w:w="4535" w:type="dxa"/>
            <w:vAlign w:val="center"/>
          </w:tcPr>
          <w:p w14:paraId="26AEC4B8">
            <w:pPr>
              <w:pStyle w:val="12"/>
            </w:pPr>
            <w:r>
              <w:t>津贴补贴</w:t>
            </w:r>
          </w:p>
        </w:tc>
        <w:tc>
          <w:tcPr>
            <w:tcW w:w="2551" w:type="dxa"/>
            <w:vAlign w:val="center"/>
          </w:tcPr>
          <w:p w14:paraId="4BB341BD">
            <w:pPr>
              <w:pStyle w:val="11"/>
            </w:pPr>
            <w:r>
              <w:t>68.45</w:t>
            </w:r>
          </w:p>
        </w:tc>
        <w:tc>
          <w:tcPr>
            <w:tcW w:w="2551" w:type="dxa"/>
            <w:vAlign w:val="center"/>
          </w:tcPr>
          <w:p w14:paraId="4B439AEC">
            <w:pPr>
              <w:pStyle w:val="11"/>
            </w:pPr>
            <w:r>
              <w:t>68.45</w:t>
            </w:r>
          </w:p>
        </w:tc>
        <w:tc>
          <w:tcPr>
            <w:tcW w:w="2551" w:type="dxa"/>
            <w:vAlign w:val="center"/>
          </w:tcPr>
          <w:p w14:paraId="4D73DEA8">
            <w:pPr>
              <w:pStyle w:val="11"/>
            </w:pPr>
          </w:p>
        </w:tc>
      </w:tr>
      <w:tr w14:paraId="4670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C80D0">
            <w:pPr>
              <w:pStyle w:val="13"/>
            </w:pPr>
            <w:r>
              <w:t>5</w:t>
            </w:r>
          </w:p>
        </w:tc>
        <w:tc>
          <w:tcPr>
            <w:tcW w:w="1191" w:type="dxa"/>
            <w:vAlign w:val="center"/>
          </w:tcPr>
          <w:p w14:paraId="7ABEE1CE">
            <w:pPr>
              <w:pStyle w:val="12"/>
            </w:pPr>
            <w:r>
              <w:t>30107</w:t>
            </w:r>
          </w:p>
        </w:tc>
        <w:tc>
          <w:tcPr>
            <w:tcW w:w="4535" w:type="dxa"/>
            <w:vAlign w:val="center"/>
          </w:tcPr>
          <w:p w14:paraId="5901C751">
            <w:pPr>
              <w:pStyle w:val="12"/>
            </w:pPr>
            <w:r>
              <w:t>绩效工资</w:t>
            </w:r>
          </w:p>
        </w:tc>
        <w:tc>
          <w:tcPr>
            <w:tcW w:w="2551" w:type="dxa"/>
            <w:vAlign w:val="center"/>
          </w:tcPr>
          <w:p w14:paraId="28BD40FA">
            <w:pPr>
              <w:pStyle w:val="11"/>
            </w:pPr>
            <w:r>
              <w:t>424.26</w:t>
            </w:r>
          </w:p>
        </w:tc>
        <w:tc>
          <w:tcPr>
            <w:tcW w:w="2551" w:type="dxa"/>
            <w:vAlign w:val="center"/>
          </w:tcPr>
          <w:p w14:paraId="56AB4910">
            <w:pPr>
              <w:pStyle w:val="11"/>
            </w:pPr>
            <w:r>
              <w:t>424.26</w:t>
            </w:r>
          </w:p>
        </w:tc>
        <w:tc>
          <w:tcPr>
            <w:tcW w:w="2551" w:type="dxa"/>
            <w:vAlign w:val="center"/>
          </w:tcPr>
          <w:p w14:paraId="12994511">
            <w:pPr>
              <w:pStyle w:val="11"/>
            </w:pPr>
          </w:p>
        </w:tc>
      </w:tr>
      <w:tr w14:paraId="3115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0A84A">
            <w:pPr>
              <w:pStyle w:val="13"/>
            </w:pPr>
            <w:r>
              <w:t>6</w:t>
            </w:r>
          </w:p>
        </w:tc>
        <w:tc>
          <w:tcPr>
            <w:tcW w:w="1191" w:type="dxa"/>
            <w:vAlign w:val="center"/>
          </w:tcPr>
          <w:p w14:paraId="5F01EA11">
            <w:pPr>
              <w:pStyle w:val="12"/>
            </w:pPr>
            <w:r>
              <w:t>30108</w:t>
            </w:r>
          </w:p>
        </w:tc>
        <w:tc>
          <w:tcPr>
            <w:tcW w:w="4535" w:type="dxa"/>
            <w:vAlign w:val="center"/>
          </w:tcPr>
          <w:p w14:paraId="77528F10">
            <w:pPr>
              <w:pStyle w:val="12"/>
            </w:pPr>
            <w:r>
              <w:t>机关事业单位基本养老保险缴费</w:t>
            </w:r>
          </w:p>
        </w:tc>
        <w:tc>
          <w:tcPr>
            <w:tcW w:w="2551" w:type="dxa"/>
            <w:vAlign w:val="center"/>
          </w:tcPr>
          <w:p w14:paraId="402F4BCB">
            <w:pPr>
              <w:pStyle w:val="11"/>
            </w:pPr>
            <w:r>
              <w:t>155.60</w:t>
            </w:r>
          </w:p>
        </w:tc>
        <w:tc>
          <w:tcPr>
            <w:tcW w:w="2551" w:type="dxa"/>
            <w:vAlign w:val="center"/>
          </w:tcPr>
          <w:p w14:paraId="3D14D201">
            <w:pPr>
              <w:pStyle w:val="11"/>
            </w:pPr>
            <w:r>
              <w:t>155.60</w:t>
            </w:r>
          </w:p>
        </w:tc>
        <w:tc>
          <w:tcPr>
            <w:tcW w:w="2551" w:type="dxa"/>
            <w:vAlign w:val="center"/>
          </w:tcPr>
          <w:p w14:paraId="213AFA37">
            <w:pPr>
              <w:pStyle w:val="11"/>
            </w:pPr>
          </w:p>
        </w:tc>
      </w:tr>
      <w:tr w14:paraId="101B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E330">
            <w:pPr>
              <w:pStyle w:val="13"/>
            </w:pPr>
            <w:r>
              <w:t>7</w:t>
            </w:r>
          </w:p>
        </w:tc>
        <w:tc>
          <w:tcPr>
            <w:tcW w:w="1191" w:type="dxa"/>
            <w:vAlign w:val="center"/>
          </w:tcPr>
          <w:p w14:paraId="7EE8F976">
            <w:pPr>
              <w:pStyle w:val="12"/>
            </w:pPr>
            <w:r>
              <w:t>30110</w:t>
            </w:r>
          </w:p>
        </w:tc>
        <w:tc>
          <w:tcPr>
            <w:tcW w:w="4535" w:type="dxa"/>
            <w:vAlign w:val="center"/>
          </w:tcPr>
          <w:p w14:paraId="474D9C2E">
            <w:pPr>
              <w:pStyle w:val="12"/>
            </w:pPr>
            <w:r>
              <w:t>职工基本医疗保险缴费</w:t>
            </w:r>
          </w:p>
        </w:tc>
        <w:tc>
          <w:tcPr>
            <w:tcW w:w="2551" w:type="dxa"/>
            <w:vAlign w:val="center"/>
          </w:tcPr>
          <w:p w14:paraId="4C37EC81">
            <w:pPr>
              <w:pStyle w:val="11"/>
            </w:pPr>
            <w:r>
              <w:t>72.59</w:t>
            </w:r>
          </w:p>
        </w:tc>
        <w:tc>
          <w:tcPr>
            <w:tcW w:w="2551" w:type="dxa"/>
            <w:vAlign w:val="center"/>
          </w:tcPr>
          <w:p w14:paraId="49781979">
            <w:pPr>
              <w:pStyle w:val="11"/>
            </w:pPr>
            <w:r>
              <w:t>72.59</w:t>
            </w:r>
          </w:p>
        </w:tc>
        <w:tc>
          <w:tcPr>
            <w:tcW w:w="2551" w:type="dxa"/>
            <w:vAlign w:val="center"/>
          </w:tcPr>
          <w:p w14:paraId="4611993E">
            <w:pPr>
              <w:pStyle w:val="11"/>
            </w:pPr>
          </w:p>
        </w:tc>
      </w:tr>
      <w:tr w14:paraId="507E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1578">
            <w:pPr>
              <w:pStyle w:val="13"/>
            </w:pPr>
            <w:r>
              <w:t>8</w:t>
            </w:r>
          </w:p>
        </w:tc>
        <w:tc>
          <w:tcPr>
            <w:tcW w:w="1191" w:type="dxa"/>
            <w:vAlign w:val="center"/>
          </w:tcPr>
          <w:p w14:paraId="48F5FDE2">
            <w:pPr>
              <w:pStyle w:val="12"/>
            </w:pPr>
            <w:r>
              <w:t>30112</w:t>
            </w:r>
          </w:p>
        </w:tc>
        <w:tc>
          <w:tcPr>
            <w:tcW w:w="4535" w:type="dxa"/>
            <w:vAlign w:val="center"/>
          </w:tcPr>
          <w:p w14:paraId="31EA3A60">
            <w:pPr>
              <w:pStyle w:val="12"/>
            </w:pPr>
            <w:r>
              <w:t>其他社会保障缴费</w:t>
            </w:r>
          </w:p>
        </w:tc>
        <w:tc>
          <w:tcPr>
            <w:tcW w:w="2551" w:type="dxa"/>
            <w:vAlign w:val="center"/>
          </w:tcPr>
          <w:p w14:paraId="11B0F0B5">
            <w:pPr>
              <w:pStyle w:val="11"/>
            </w:pPr>
            <w:r>
              <w:t>10.00</w:t>
            </w:r>
          </w:p>
        </w:tc>
        <w:tc>
          <w:tcPr>
            <w:tcW w:w="2551" w:type="dxa"/>
            <w:vAlign w:val="center"/>
          </w:tcPr>
          <w:p w14:paraId="039CED51">
            <w:pPr>
              <w:pStyle w:val="11"/>
            </w:pPr>
            <w:r>
              <w:t>10.00</w:t>
            </w:r>
          </w:p>
        </w:tc>
        <w:tc>
          <w:tcPr>
            <w:tcW w:w="2551" w:type="dxa"/>
            <w:vAlign w:val="center"/>
          </w:tcPr>
          <w:p w14:paraId="7784F612">
            <w:pPr>
              <w:pStyle w:val="11"/>
            </w:pPr>
          </w:p>
        </w:tc>
      </w:tr>
      <w:tr w14:paraId="32B4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583C9">
            <w:pPr>
              <w:pStyle w:val="13"/>
            </w:pPr>
            <w:r>
              <w:t>9</w:t>
            </w:r>
          </w:p>
        </w:tc>
        <w:tc>
          <w:tcPr>
            <w:tcW w:w="1191" w:type="dxa"/>
            <w:vAlign w:val="center"/>
          </w:tcPr>
          <w:p w14:paraId="2557FBA8">
            <w:pPr>
              <w:pStyle w:val="12"/>
            </w:pPr>
            <w:r>
              <w:t>30113</w:t>
            </w:r>
          </w:p>
        </w:tc>
        <w:tc>
          <w:tcPr>
            <w:tcW w:w="4535" w:type="dxa"/>
            <w:vAlign w:val="center"/>
          </w:tcPr>
          <w:p w14:paraId="0C970123">
            <w:pPr>
              <w:pStyle w:val="12"/>
            </w:pPr>
            <w:r>
              <w:t>住房公积金</w:t>
            </w:r>
          </w:p>
        </w:tc>
        <w:tc>
          <w:tcPr>
            <w:tcW w:w="2551" w:type="dxa"/>
            <w:vAlign w:val="center"/>
          </w:tcPr>
          <w:p w14:paraId="26148F08">
            <w:pPr>
              <w:pStyle w:val="11"/>
            </w:pPr>
            <w:r>
              <w:t>116.16</w:t>
            </w:r>
          </w:p>
        </w:tc>
        <w:tc>
          <w:tcPr>
            <w:tcW w:w="2551" w:type="dxa"/>
            <w:vAlign w:val="center"/>
          </w:tcPr>
          <w:p w14:paraId="2715C9C6">
            <w:pPr>
              <w:pStyle w:val="11"/>
            </w:pPr>
            <w:r>
              <w:t>116.16</w:t>
            </w:r>
          </w:p>
        </w:tc>
        <w:tc>
          <w:tcPr>
            <w:tcW w:w="2551" w:type="dxa"/>
            <w:vAlign w:val="center"/>
          </w:tcPr>
          <w:p w14:paraId="2FD20370">
            <w:pPr>
              <w:pStyle w:val="11"/>
            </w:pPr>
          </w:p>
        </w:tc>
      </w:tr>
      <w:tr w14:paraId="2ADD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BAEA6">
            <w:pPr>
              <w:pStyle w:val="13"/>
            </w:pPr>
            <w:r>
              <w:t>10</w:t>
            </w:r>
          </w:p>
        </w:tc>
        <w:tc>
          <w:tcPr>
            <w:tcW w:w="1191" w:type="dxa"/>
            <w:vAlign w:val="center"/>
          </w:tcPr>
          <w:p w14:paraId="64B71F6D">
            <w:pPr>
              <w:pStyle w:val="12"/>
            </w:pPr>
            <w:r>
              <w:t>303</w:t>
            </w:r>
          </w:p>
        </w:tc>
        <w:tc>
          <w:tcPr>
            <w:tcW w:w="4535" w:type="dxa"/>
            <w:vAlign w:val="center"/>
          </w:tcPr>
          <w:p w14:paraId="49EC63C5">
            <w:pPr>
              <w:pStyle w:val="12"/>
            </w:pPr>
            <w:r>
              <w:t>对个人和家庭的补助</w:t>
            </w:r>
          </w:p>
        </w:tc>
        <w:tc>
          <w:tcPr>
            <w:tcW w:w="2551" w:type="dxa"/>
            <w:vAlign w:val="center"/>
          </w:tcPr>
          <w:p w14:paraId="320CE073">
            <w:pPr>
              <w:pStyle w:val="11"/>
            </w:pPr>
            <w:r>
              <w:t>103.71</w:t>
            </w:r>
          </w:p>
        </w:tc>
        <w:tc>
          <w:tcPr>
            <w:tcW w:w="2551" w:type="dxa"/>
            <w:vAlign w:val="center"/>
          </w:tcPr>
          <w:p w14:paraId="06151A55">
            <w:pPr>
              <w:pStyle w:val="11"/>
            </w:pPr>
            <w:r>
              <w:t>103.71</w:t>
            </w:r>
          </w:p>
        </w:tc>
        <w:tc>
          <w:tcPr>
            <w:tcW w:w="2551" w:type="dxa"/>
            <w:vAlign w:val="center"/>
          </w:tcPr>
          <w:p w14:paraId="44770C72">
            <w:pPr>
              <w:pStyle w:val="11"/>
            </w:pPr>
          </w:p>
        </w:tc>
      </w:tr>
      <w:tr w14:paraId="09C56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EA26">
            <w:pPr>
              <w:pStyle w:val="13"/>
            </w:pPr>
            <w:r>
              <w:t>11</w:t>
            </w:r>
          </w:p>
        </w:tc>
        <w:tc>
          <w:tcPr>
            <w:tcW w:w="1191" w:type="dxa"/>
            <w:vAlign w:val="center"/>
          </w:tcPr>
          <w:p w14:paraId="1F9802AE">
            <w:pPr>
              <w:pStyle w:val="12"/>
            </w:pPr>
            <w:r>
              <w:t>30302</w:t>
            </w:r>
          </w:p>
        </w:tc>
        <w:tc>
          <w:tcPr>
            <w:tcW w:w="4535" w:type="dxa"/>
            <w:vAlign w:val="center"/>
          </w:tcPr>
          <w:p w14:paraId="2307F2D6">
            <w:pPr>
              <w:pStyle w:val="12"/>
            </w:pPr>
            <w:r>
              <w:t>退休费</w:t>
            </w:r>
          </w:p>
        </w:tc>
        <w:tc>
          <w:tcPr>
            <w:tcW w:w="2551" w:type="dxa"/>
            <w:vAlign w:val="center"/>
          </w:tcPr>
          <w:p w14:paraId="4F184750">
            <w:pPr>
              <w:pStyle w:val="11"/>
            </w:pPr>
            <w:r>
              <w:t>97.16</w:t>
            </w:r>
          </w:p>
        </w:tc>
        <w:tc>
          <w:tcPr>
            <w:tcW w:w="2551" w:type="dxa"/>
            <w:vAlign w:val="center"/>
          </w:tcPr>
          <w:p w14:paraId="4FDA526B">
            <w:pPr>
              <w:pStyle w:val="11"/>
            </w:pPr>
            <w:r>
              <w:t>97.16</w:t>
            </w:r>
          </w:p>
        </w:tc>
        <w:tc>
          <w:tcPr>
            <w:tcW w:w="2551" w:type="dxa"/>
            <w:vAlign w:val="center"/>
          </w:tcPr>
          <w:p w14:paraId="516300F8">
            <w:pPr>
              <w:pStyle w:val="11"/>
            </w:pPr>
          </w:p>
        </w:tc>
      </w:tr>
      <w:tr w14:paraId="5B2D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48545">
            <w:pPr>
              <w:pStyle w:val="13"/>
            </w:pPr>
            <w:r>
              <w:t>12</w:t>
            </w:r>
          </w:p>
        </w:tc>
        <w:tc>
          <w:tcPr>
            <w:tcW w:w="1191" w:type="dxa"/>
            <w:vAlign w:val="center"/>
          </w:tcPr>
          <w:p w14:paraId="5AE79892">
            <w:pPr>
              <w:pStyle w:val="12"/>
            </w:pPr>
            <w:r>
              <w:t>30305</w:t>
            </w:r>
          </w:p>
        </w:tc>
        <w:tc>
          <w:tcPr>
            <w:tcW w:w="4535" w:type="dxa"/>
            <w:vAlign w:val="center"/>
          </w:tcPr>
          <w:p w14:paraId="29B43CEE">
            <w:pPr>
              <w:pStyle w:val="12"/>
            </w:pPr>
            <w:r>
              <w:t>生活补助</w:t>
            </w:r>
          </w:p>
        </w:tc>
        <w:tc>
          <w:tcPr>
            <w:tcW w:w="2551" w:type="dxa"/>
            <w:vAlign w:val="center"/>
          </w:tcPr>
          <w:p w14:paraId="7B372DBB">
            <w:pPr>
              <w:pStyle w:val="11"/>
            </w:pPr>
            <w:r>
              <w:t>6.55</w:t>
            </w:r>
          </w:p>
        </w:tc>
        <w:tc>
          <w:tcPr>
            <w:tcW w:w="2551" w:type="dxa"/>
            <w:vAlign w:val="center"/>
          </w:tcPr>
          <w:p w14:paraId="1F75460A">
            <w:pPr>
              <w:pStyle w:val="11"/>
            </w:pPr>
            <w:r>
              <w:t>6.55</w:t>
            </w:r>
          </w:p>
        </w:tc>
        <w:tc>
          <w:tcPr>
            <w:tcW w:w="2551" w:type="dxa"/>
            <w:vAlign w:val="center"/>
          </w:tcPr>
          <w:p w14:paraId="31A8E588">
            <w:pPr>
              <w:pStyle w:val="11"/>
            </w:pPr>
          </w:p>
        </w:tc>
      </w:tr>
    </w:tbl>
    <w:p w14:paraId="2A5CBE8D">
      <w:pPr>
        <w:sectPr>
          <w:pgSz w:w="16840" w:h="11900" w:orient="landscape"/>
          <w:pgMar w:top="1361" w:right="1020" w:bottom="1134" w:left="1020" w:header="720" w:footer="720" w:gutter="0"/>
          <w:cols w:space="720" w:num="1"/>
        </w:sectPr>
      </w:pPr>
    </w:p>
    <w:p w14:paraId="1792CA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9D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FFE7A4">
            <w:pPr>
              <w:pStyle w:val="9"/>
            </w:pPr>
            <w:r>
              <w:t>360026隆尧县牛家桥校区</w:t>
            </w:r>
          </w:p>
        </w:tc>
        <w:tc>
          <w:tcPr>
            <w:tcW w:w="2551" w:type="dxa"/>
            <w:tcBorders>
              <w:top w:val="single" w:color="FFFFFF" w:sz="6" w:space="0"/>
              <w:left w:val="single" w:color="FFFFFF" w:sz="6" w:space="0"/>
              <w:right w:val="single" w:color="FFFFFF" w:sz="6" w:space="0"/>
            </w:tcBorders>
            <w:vAlign w:val="center"/>
          </w:tcPr>
          <w:p w14:paraId="44073E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7EE443">
            <w:pPr>
              <w:pStyle w:val="7"/>
            </w:pPr>
            <w:r>
              <w:t>单位：万元</w:t>
            </w:r>
          </w:p>
        </w:tc>
      </w:tr>
      <w:tr w14:paraId="1222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DA627">
            <w:pPr>
              <w:pStyle w:val="10"/>
            </w:pPr>
            <w:r>
              <w:t>序号</w:t>
            </w:r>
          </w:p>
        </w:tc>
        <w:tc>
          <w:tcPr>
            <w:tcW w:w="5726" w:type="dxa"/>
            <w:gridSpan w:val="2"/>
            <w:vAlign w:val="center"/>
          </w:tcPr>
          <w:p w14:paraId="18D65706">
            <w:pPr>
              <w:pStyle w:val="10"/>
            </w:pPr>
            <w:r>
              <w:t>功能分类科目</w:t>
            </w:r>
          </w:p>
        </w:tc>
        <w:tc>
          <w:tcPr>
            <w:tcW w:w="2551" w:type="dxa"/>
            <w:vMerge w:val="restart"/>
            <w:vAlign w:val="center"/>
          </w:tcPr>
          <w:p w14:paraId="35524915">
            <w:pPr>
              <w:pStyle w:val="10"/>
            </w:pPr>
            <w:r>
              <w:t>合计</w:t>
            </w:r>
          </w:p>
        </w:tc>
        <w:tc>
          <w:tcPr>
            <w:tcW w:w="2551" w:type="dxa"/>
            <w:vMerge w:val="restart"/>
            <w:vAlign w:val="center"/>
          </w:tcPr>
          <w:p w14:paraId="5A4924AC">
            <w:pPr>
              <w:pStyle w:val="10"/>
            </w:pPr>
            <w:r>
              <w:t>基本支出</w:t>
            </w:r>
          </w:p>
        </w:tc>
        <w:tc>
          <w:tcPr>
            <w:tcW w:w="2551" w:type="dxa"/>
            <w:vMerge w:val="restart"/>
            <w:vAlign w:val="center"/>
          </w:tcPr>
          <w:p w14:paraId="4D5622A1">
            <w:pPr>
              <w:pStyle w:val="10"/>
            </w:pPr>
            <w:r>
              <w:t>项目支出</w:t>
            </w:r>
          </w:p>
        </w:tc>
      </w:tr>
      <w:tr w14:paraId="0FF11D7D">
        <w:tblPrEx>
          <w:tblCellMar>
            <w:top w:w="0" w:type="dxa"/>
            <w:left w:w="108" w:type="dxa"/>
            <w:bottom w:w="0" w:type="dxa"/>
            <w:right w:w="108" w:type="dxa"/>
          </w:tblCellMar>
        </w:tblPrEx>
        <w:trPr>
          <w:trHeight w:val="369" w:hRule="atLeast"/>
          <w:tblHeader/>
          <w:jc w:val="center"/>
        </w:trPr>
        <w:tc>
          <w:tcPr>
            <w:tcW w:w="850" w:type="dxa"/>
            <w:vMerge w:val="continue"/>
          </w:tcPr>
          <w:p w14:paraId="1FCCF62E"/>
        </w:tc>
        <w:tc>
          <w:tcPr>
            <w:tcW w:w="1191" w:type="dxa"/>
            <w:vAlign w:val="center"/>
          </w:tcPr>
          <w:p w14:paraId="1A10DCBE">
            <w:pPr>
              <w:pStyle w:val="10"/>
            </w:pPr>
            <w:r>
              <w:t>科目编码</w:t>
            </w:r>
          </w:p>
        </w:tc>
        <w:tc>
          <w:tcPr>
            <w:tcW w:w="4535" w:type="dxa"/>
            <w:vAlign w:val="center"/>
          </w:tcPr>
          <w:p w14:paraId="3C1570EA">
            <w:pPr>
              <w:pStyle w:val="10"/>
            </w:pPr>
            <w:r>
              <w:t>科目名称</w:t>
            </w:r>
          </w:p>
        </w:tc>
        <w:tc>
          <w:tcPr>
            <w:tcW w:w="2551" w:type="dxa"/>
            <w:vMerge w:val="continue"/>
          </w:tcPr>
          <w:p w14:paraId="03269110"/>
        </w:tc>
        <w:tc>
          <w:tcPr>
            <w:tcW w:w="2551" w:type="dxa"/>
            <w:vMerge w:val="continue"/>
          </w:tcPr>
          <w:p w14:paraId="7DABE489"/>
        </w:tc>
        <w:tc>
          <w:tcPr>
            <w:tcW w:w="2551" w:type="dxa"/>
            <w:vMerge w:val="continue"/>
          </w:tcPr>
          <w:p w14:paraId="49710F96"/>
        </w:tc>
      </w:tr>
      <w:tr w14:paraId="7A300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E5014">
            <w:pPr>
              <w:pStyle w:val="10"/>
            </w:pPr>
            <w:r>
              <w:t>栏次</w:t>
            </w:r>
          </w:p>
        </w:tc>
        <w:tc>
          <w:tcPr>
            <w:tcW w:w="1191" w:type="dxa"/>
            <w:vAlign w:val="center"/>
          </w:tcPr>
          <w:p w14:paraId="64B8F4B6">
            <w:pPr>
              <w:pStyle w:val="10"/>
            </w:pPr>
            <w:r>
              <w:t>1</w:t>
            </w:r>
          </w:p>
        </w:tc>
        <w:tc>
          <w:tcPr>
            <w:tcW w:w="4535" w:type="dxa"/>
            <w:vAlign w:val="center"/>
          </w:tcPr>
          <w:p w14:paraId="6DC91219">
            <w:pPr>
              <w:pStyle w:val="10"/>
            </w:pPr>
            <w:r>
              <w:t>2</w:t>
            </w:r>
          </w:p>
        </w:tc>
        <w:tc>
          <w:tcPr>
            <w:tcW w:w="2551" w:type="dxa"/>
            <w:vAlign w:val="center"/>
          </w:tcPr>
          <w:p w14:paraId="47DA62BE">
            <w:pPr>
              <w:pStyle w:val="10"/>
            </w:pPr>
            <w:r>
              <w:t>3</w:t>
            </w:r>
          </w:p>
        </w:tc>
        <w:tc>
          <w:tcPr>
            <w:tcW w:w="2551" w:type="dxa"/>
            <w:vAlign w:val="center"/>
          </w:tcPr>
          <w:p w14:paraId="2B8E96EE">
            <w:pPr>
              <w:pStyle w:val="10"/>
            </w:pPr>
            <w:r>
              <w:t>4</w:t>
            </w:r>
          </w:p>
        </w:tc>
        <w:tc>
          <w:tcPr>
            <w:tcW w:w="2551" w:type="dxa"/>
            <w:vAlign w:val="center"/>
          </w:tcPr>
          <w:p w14:paraId="59D63BB5">
            <w:pPr>
              <w:pStyle w:val="10"/>
            </w:pPr>
            <w:r>
              <w:t>5</w:t>
            </w:r>
          </w:p>
        </w:tc>
      </w:tr>
      <w:tr w14:paraId="20B9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6B9CE">
            <w:pPr>
              <w:pStyle w:val="13"/>
            </w:pPr>
          </w:p>
        </w:tc>
        <w:tc>
          <w:tcPr>
            <w:tcW w:w="1191" w:type="dxa"/>
            <w:vAlign w:val="center"/>
          </w:tcPr>
          <w:p w14:paraId="32AEA763">
            <w:pPr>
              <w:pStyle w:val="12"/>
            </w:pPr>
          </w:p>
        </w:tc>
        <w:tc>
          <w:tcPr>
            <w:tcW w:w="4535" w:type="dxa"/>
            <w:vAlign w:val="center"/>
          </w:tcPr>
          <w:p w14:paraId="7FAE15DB">
            <w:pPr>
              <w:pStyle w:val="12"/>
            </w:pPr>
          </w:p>
        </w:tc>
        <w:tc>
          <w:tcPr>
            <w:tcW w:w="2551" w:type="dxa"/>
            <w:vAlign w:val="center"/>
          </w:tcPr>
          <w:p w14:paraId="57186EB1">
            <w:pPr>
              <w:pStyle w:val="11"/>
            </w:pPr>
          </w:p>
        </w:tc>
        <w:tc>
          <w:tcPr>
            <w:tcW w:w="2551" w:type="dxa"/>
            <w:vAlign w:val="center"/>
          </w:tcPr>
          <w:p w14:paraId="381E3A49">
            <w:pPr>
              <w:pStyle w:val="11"/>
            </w:pPr>
          </w:p>
        </w:tc>
        <w:tc>
          <w:tcPr>
            <w:tcW w:w="2551" w:type="dxa"/>
            <w:vAlign w:val="center"/>
          </w:tcPr>
          <w:p w14:paraId="423C5459">
            <w:pPr>
              <w:pStyle w:val="11"/>
            </w:pPr>
          </w:p>
        </w:tc>
      </w:tr>
    </w:tbl>
    <w:p w14:paraId="4A5C11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A798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FD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08E306">
            <w:pPr>
              <w:pStyle w:val="9"/>
            </w:pPr>
            <w:r>
              <w:t>360026隆尧县牛家桥校区</w:t>
            </w:r>
          </w:p>
        </w:tc>
        <w:tc>
          <w:tcPr>
            <w:tcW w:w="2551" w:type="dxa"/>
            <w:tcBorders>
              <w:top w:val="single" w:color="FFFFFF" w:sz="6" w:space="0"/>
              <w:left w:val="single" w:color="FFFFFF" w:sz="6" w:space="0"/>
              <w:right w:val="single" w:color="FFFFFF" w:sz="6" w:space="0"/>
            </w:tcBorders>
            <w:vAlign w:val="center"/>
          </w:tcPr>
          <w:p w14:paraId="7BE50D6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81BE9C">
            <w:pPr>
              <w:pStyle w:val="7"/>
            </w:pPr>
            <w:r>
              <w:t>单位：万元</w:t>
            </w:r>
          </w:p>
        </w:tc>
      </w:tr>
      <w:tr w14:paraId="71CA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9BA1F">
            <w:pPr>
              <w:pStyle w:val="10"/>
            </w:pPr>
            <w:r>
              <w:t>序号</w:t>
            </w:r>
          </w:p>
        </w:tc>
        <w:tc>
          <w:tcPr>
            <w:tcW w:w="5726" w:type="dxa"/>
            <w:gridSpan w:val="2"/>
            <w:vAlign w:val="center"/>
          </w:tcPr>
          <w:p w14:paraId="71455DE3">
            <w:pPr>
              <w:pStyle w:val="10"/>
            </w:pPr>
            <w:r>
              <w:t>功能分类科目</w:t>
            </w:r>
          </w:p>
        </w:tc>
        <w:tc>
          <w:tcPr>
            <w:tcW w:w="2551" w:type="dxa"/>
            <w:vMerge w:val="restart"/>
            <w:vAlign w:val="center"/>
          </w:tcPr>
          <w:p w14:paraId="65C49CBF">
            <w:pPr>
              <w:pStyle w:val="10"/>
            </w:pPr>
            <w:r>
              <w:t>合计</w:t>
            </w:r>
          </w:p>
        </w:tc>
        <w:tc>
          <w:tcPr>
            <w:tcW w:w="2551" w:type="dxa"/>
            <w:vMerge w:val="restart"/>
            <w:vAlign w:val="center"/>
          </w:tcPr>
          <w:p w14:paraId="2E32CE62">
            <w:pPr>
              <w:pStyle w:val="10"/>
            </w:pPr>
            <w:r>
              <w:t>基本支出</w:t>
            </w:r>
          </w:p>
        </w:tc>
        <w:tc>
          <w:tcPr>
            <w:tcW w:w="2551" w:type="dxa"/>
            <w:vMerge w:val="restart"/>
            <w:vAlign w:val="center"/>
          </w:tcPr>
          <w:p w14:paraId="3B8CB1C6">
            <w:pPr>
              <w:pStyle w:val="10"/>
            </w:pPr>
            <w:r>
              <w:t>项目支出</w:t>
            </w:r>
          </w:p>
        </w:tc>
      </w:tr>
      <w:tr w14:paraId="67DB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52C668"/>
        </w:tc>
        <w:tc>
          <w:tcPr>
            <w:tcW w:w="1191" w:type="dxa"/>
            <w:vAlign w:val="center"/>
          </w:tcPr>
          <w:p w14:paraId="619A32FC">
            <w:pPr>
              <w:pStyle w:val="10"/>
            </w:pPr>
            <w:r>
              <w:t>科目编码</w:t>
            </w:r>
          </w:p>
        </w:tc>
        <w:tc>
          <w:tcPr>
            <w:tcW w:w="4535" w:type="dxa"/>
            <w:vAlign w:val="center"/>
          </w:tcPr>
          <w:p w14:paraId="31EB7A9E">
            <w:pPr>
              <w:pStyle w:val="10"/>
            </w:pPr>
            <w:r>
              <w:t>科目名称</w:t>
            </w:r>
          </w:p>
        </w:tc>
        <w:tc>
          <w:tcPr>
            <w:tcW w:w="2551" w:type="dxa"/>
            <w:vMerge w:val="continue"/>
          </w:tcPr>
          <w:p w14:paraId="1A3F218B"/>
        </w:tc>
        <w:tc>
          <w:tcPr>
            <w:tcW w:w="2551" w:type="dxa"/>
            <w:vMerge w:val="continue"/>
          </w:tcPr>
          <w:p w14:paraId="6DEACBA1"/>
        </w:tc>
        <w:tc>
          <w:tcPr>
            <w:tcW w:w="2551" w:type="dxa"/>
            <w:vMerge w:val="continue"/>
          </w:tcPr>
          <w:p w14:paraId="19DB6C23"/>
        </w:tc>
      </w:tr>
      <w:tr w14:paraId="47E7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90585A">
            <w:pPr>
              <w:pStyle w:val="10"/>
            </w:pPr>
            <w:r>
              <w:t>栏次</w:t>
            </w:r>
          </w:p>
        </w:tc>
        <w:tc>
          <w:tcPr>
            <w:tcW w:w="1191" w:type="dxa"/>
            <w:vAlign w:val="center"/>
          </w:tcPr>
          <w:p w14:paraId="063078BF">
            <w:pPr>
              <w:pStyle w:val="10"/>
            </w:pPr>
            <w:r>
              <w:t>1</w:t>
            </w:r>
          </w:p>
        </w:tc>
        <w:tc>
          <w:tcPr>
            <w:tcW w:w="4535" w:type="dxa"/>
            <w:vAlign w:val="center"/>
          </w:tcPr>
          <w:p w14:paraId="71864ED7">
            <w:pPr>
              <w:pStyle w:val="10"/>
            </w:pPr>
            <w:r>
              <w:t>2</w:t>
            </w:r>
          </w:p>
        </w:tc>
        <w:tc>
          <w:tcPr>
            <w:tcW w:w="2551" w:type="dxa"/>
            <w:vAlign w:val="center"/>
          </w:tcPr>
          <w:p w14:paraId="11519D1F">
            <w:pPr>
              <w:pStyle w:val="10"/>
            </w:pPr>
            <w:r>
              <w:t>3</w:t>
            </w:r>
          </w:p>
        </w:tc>
        <w:tc>
          <w:tcPr>
            <w:tcW w:w="2551" w:type="dxa"/>
            <w:vAlign w:val="center"/>
          </w:tcPr>
          <w:p w14:paraId="264AEE52">
            <w:pPr>
              <w:pStyle w:val="10"/>
            </w:pPr>
            <w:r>
              <w:t>4</w:t>
            </w:r>
          </w:p>
        </w:tc>
        <w:tc>
          <w:tcPr>
            <w:tcW w:w="2551" w:type="dxa"/>
            <w:vAlign w:val="center"/>
          </w:tcPr>
          <w:p w14:paraId="1DB0C6B6">
            <w:pPr>
              <w:pStyle w:val="10"/>
            </w:pPr>
            <w:r>
              <w:t>5</w:t>
            </w:r>
          </w:p>
        </w:tc>
      </w:tr>
      <w:tr w14:paraId="5F4E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A0B0">
            <w:pPr>
              <w:pStyle w:val="13"/>
            </w:pPr>
          </w:p>
        </w:tc>
        <w:tc>
          <w:tcPr>
            <w:tcW w:w="1191" w:type="dxa"/>
            <w:vAlign w:val="center"/>
          </w:tcPr>
          <w:p w14:paraId="201E34BB">
            <w:pPr>
              <w:pStyle w:val="12"/>
            </w:pPr>
          </w:p>
        </w:tc>
        <w:tc>
          <w:tcPr>
            <w:tcW w:w="4535" w:type="dxa"/>
            <w:vAlign w:val="center"/>
          </w:tcPr>
          <w:p w14:paraId="72C326CB">
            <w:pPr>
              <w:pStyle w:val="12"/>
            </w:pPr>
          </w:p>
        </w:tc>
        <w:tc>
          <w:tcPr>
            <w:tcW w:w="2551" w:type="dxa"/>
            <w:vAlign w:val="center"/>
          </w:tcPr>
          <w:p w14:paraId="26940A22">
            <w:pPr>
              <w:pStyle w:val="11"/>
            </w:pPr>
          </w:p>
        </w:tc>
        <w:tc>
          <w:tcPr>
            <w:tcW w:w="2551" w:type="dxa"/>
            <w:vAlign w:val="center"/>
          </w:tcPr>
          <w:p w14:paraId="37AF63A8">
            <w:pPr>
              <w:pStyle w:val="11"/>
            </w:pPr>
          </w:p>
        </w:tc>
        <w:tc>
          <w:tcPr>
            <w:tcW w:w="2551" w:type="dxa"/>
            <w:vAlign w:val="center"/>
          </w:tcPr>
          <w:p w14:paraId="0A60B1C7">
            <w:pPr>
              <w:pStyle w:val="11"/>
            </w:pPr>
          </w:p>
        </w:tc>
      </w:tr>
    </w:tbl>
    <w:p w14:paraId="19691B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CDE7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2C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74ED39">
            <w:pPr>
              <w:pStyle w:val="9"/>
            </w:pPr>
            <w:r>
              <w:t>360026隆尧县牛家桥校区</w:t>
            </w:r>
          </w:p>
        </w:tc>
        <w:tc>
          <w:tcPr>
            <w:tcW w:w="2381" w:type="dxa"/>
            <w:tcBorders>
              <w:top w:val="single" w:color="FFFFFF" w:sz="6" w:space="0"/>
              <w:left w:val="single" w:color="FFFFFF" w:sz="6" w:space="0"/>
              <w:right w:val="single" w:color="FFFFFF" w:sz="6" w:space="0"/>
            </w:tcBorders>
            <w:vAlign w:val="center"/>
          </w:tcPr>
          <w:p w14:paraId="6FF31D7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AE48DC">
            <w:pPr>
              <w:pStyle w:val="7"/>
            </w:pPr>
            <w:r>
              <w:t>单位：万元</w:t>
            </w:r>
          </w:p>
        </w:tc>
      </w:tr>
      <w:tr w14:paraId="7CFF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80BF6">
            <w:pPr>
              <w:pStyle w:val="10"/>
            </w:pPr>
            <w:r>
              <w:t>序号</w:t>
            </w:r>
          </w:p>
        </w:tc>
        <w:tc>
          <w:tcPr>
            <w:tcW w:w="3798" w:type="dxa"/>
            <w:vMerge w:val="restart"/>
            <w:vAlign w:val="center"/>
          </w:tcPr>
          <w:p w14:paraId="480BD8FC">
            <w:pPr>
              <w:pStyle w:val="10"/>
            </w:pPr>
            <w:r>
              <w:t>项  目</w:t>
            </w:r>
          </w:p>
        </w:tc>
        <w:tc>
          <w:tcPr>
            <w:tcW w:w="9524" w:type="dxa"/>
            <w:gridSpan w:val="4"/>
            <w:vAlign w:val="center"/>
          </w:tcPr>
          <w:p w14:paraId="0C1D4462">
            <w:pPr>
              <w:pStyle w:val="10"/>
            </w:pPr>
            <w:r>
              <w:t>资 金 性 质</w:t>
            </w:r>
          </w:p>
        </w:tc>
      </w:tr>
      <w:tr w14:paraId="2E78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F7F993"/>
        </w:tc>
        <w:tc>
          <w:tcPr>
            <w:tcW w:w="3798" w:type="dxa"/>
            <w:vMerge w:val="continue"/>
          </w:tcPr>
          <w:p w14:paraId="0C08EFD2"/>
        </w:tc>
        <w:tc>
          <w:tcPr>
            <w:tcW w:w="2381" w:type="dxa"/>
            <w:vAlign w:val="center"/>
          </w:tcPr>
          <w:p w14:paraId="6A7A8CC4">
            <w:pPr>
              <w:pStyle w:val="10"/>
            </w:pPr>
            <w:r>
              <w:t>合计</w:t>
            </w:r>
          </w:p>
        </w:tc>
        <w:tc>
          <w:tcPr>
            <w:tcW w:w="2381" w:type="dxa"/>
            <w:vAlign w:val="center"/>
          </w:tcPr>
          <w:p w14:paraId="0D040C21">
            <w:pPr>
              <w:pStyle w:val="10"/>
            </w:pPr>
            <w:r>
              <w:t>一般公共预算              财政拨款</w:t>
            </w:r>
          </w:p>
        </w:tc>
        <w:tc>
          <w:tcPr>
            <w:tcW w:w="2381" w:type="dxa"/>
            <w:vAlign w:val="center"/>
          </w:tcPr>
          <w:p w14:paraId="553E406C">
            <w:pPr>
              <w:pStyle w:val="10"/>
            </w:pPr>
            <w:r>
              <w:t>政府性基金                  预算拨款</w:t>
            </w:r>
          </w:p>
        </w:tc>
        <w:tc>
          <w:tcPr>
            <w:tcW w:w="2381" w:type="dxa"/>
            <w:vAlign w:val="center"/>
          </w:tcPr>
          <w:p w14:paraId="2EC3C97A">
            <w:pPr>
              <w:pStyle w:val="10"/>
            </w:pPr>
            <w:r>
              <w:t>国有资本经营              预算财政拨款</w:t>
            </w:r>
          </w:p>
        </w:tc>
      </w:tr>
      <w:tr w14:paraId="0643C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FF623D">
            <w:pPr>
              <w:pStyle w:val="10"/>
            </w:pPr>
            <w:r>
              <w:t>栏次</w:t>
            </w:r>
          </w:p>
        </w:tc>
        <w:tc>
          <w:tcPr>
            <w:tcW w:w="3798" w:type="dxa"/>
            <w:vAlign w:val="center"/>
          </w:tcPr>
          <w:p w14:paraId="239EA9FB">
            <w:pPr>
              <w:pStyle w:val="10"/>
            </w:pPr>
            <w:r>
              <w:t>1</w:t>
            </w:r>
          </w:p>
        </w:tc>
        <w:tc>
          <w:tcPr>
            <w:tcW w:w="2381" w:type="dxa"/>
            <w:vAlign w:val="center"/>
          </w:tcPr>
          <w:p w14:paraId="30362FF1">
            <w:pPr>
              <w:pStyle w:val="10"/>
            </w:pPr>
            <w:r>
              <w:t>2</w:t>
            </w:r>
          </w:p>
        </w:tc>
        <w:tc>
          <w:tcPr>
            <w:tcW w:w="2381" w:type="dxa"/>
            <w:vAlign w:val="center"/>
          </w:tcPr>
          <w:p w14:paraId="6ABD189D">
            <w:pPr>
              <w:pStyle w:val="10"/>
            </w:pPr>
            <w:r>
              <w:t>3</w:t>
            </w:r>
          </w:p>
        </w:tc>
        <w:tc>
          <w:tcPr>
            <w:tcW w:w="2381" w:type="dxa"/>
            <w:vAlign w:val="center"/>
          </w:tcPr>
          <w:p w14:paraId="09A0647B">
            <w:pPr>
              <w:pStyle w:val="10"/>
            </w:pPr>
            <w:r>
              <w:t>4</w:t>
            </w:r>
          </w:p>
        </w:tc>
        <w:tc>
          <w:tcPr>
            <w:tcW w:w="2381" w:type="dxa"/>
            <w:vAlign w:val="center"/>
          </w:tcPr>
          <w:p w14:paraId="6D24432C">
            <w:pPr>
              <w:pStyle w:val="10"/>
            </w:pPr>
            <w:r>
              <w:t>5</w:t>
            </w:r>
          </w:p>
        </w:tc>
      </w:tr>
      <w:tr w14:paraId="32F8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73C76C">
            <w:pPr>
              <w:pStyle w:val="13"/>
            </w:pPr>
          </w:p>
        </w:tc>
        <w:tc>
          <w:tcPr>
            <w:tcW w:w="3798" w:type="dxa"/>
            <w:vAlign w:val="center"/>
          </w:tcPr>
          <w:p w14:paraId="729B7BE1">
            <w:pPr>
              <w:pStyle w:val="12"/>
            </w:pPr>
          </w:p>
        </w:tc>
        <w:tc>
          <w:tcPr>
            <w:tcW w:w="2381" w:type="dxa"/>
            <w:vAlign w:val="center"/>
          </w:tcPr>
          <w:p w14:paraId="75406F3C">
            <w:pPr>
              <w:pStyle w:val="11"/>
            </w:pPr>
          </w:p>
        </w:tc>
        <w:tc>
          <w:tcPr>
            <w:tcW w:w="2381" w:type="dxa"/>
            <w:vAlign w:val="center"/>
          </w:tcPr>
          <w:p w14:paraId="7D6ACE45">
            <w:pPr>
              <w:pStyle w:val="11"/>
            </w:pPr>
          </w:p>
        </w:tc>
        <w:tc>
          <w:tcPr>
            <w:tcW w:w="2381" w:type="dxa"/>
            <w:vAlign w:val="center"/>
          </w:tcPr>
          <w:p w14:paraId="23E5AD07">
            <w:pPr>
              <w:pStyle w:val="11"/>
            </w:pPr>
          </w:p>
        </w:tc>
        <w:tc>
          <w:tcPr>
            <w:tcW w:w="2381" w:type="dxa"/>
            <w:vAlign w:val="center"/>
          </w:tcPr>
          <w:p w14:paraId="15F2E5A2">
            <w:pPr>
              <w:pStyle w:val="11"/>
            </w:pPr>
          </w:p>
        </w:tc>
      </w:tr>
    </w:tbl>
    <w:p w14:paraId="6FA3E05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703D7FF">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隆尧县牛家桥校区2026年单位预算信息公开情况说明</w:t>
      </w:r>
    </w:p>
    <w:p w14:paraId="2C487CD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地方预决算公开操作规程》和《关于进一步推进预算公开工作的实施意见》规定，现将隆尧县牛家桥校区2026年单位预算公开如下：</w:t>
      </w:r>
    </w:p>
    <w:p w14:paraId="554356DE">
      <w:pPr>
        <w:spacing w:before="10" w:after="10" w:line="240" w:lineRule="auto"/>
        <w:ind w:firstLine="640"/>
        <w:jc w:val="left"/>
        <w:outlineLvl w:val="5"/>
      </w:pPr>
      <w:r>
        <w:rPr>
          <w:rFonts w:ascii="黑体" w:hAnsi="黑体" w:eastAsia="黑体" w:cs="黑体"/>
          <w:color w:val="000000"/>
          <w:sz w:val="32"/>
        </w:rPr>
        <w:t>一、单位职责及机构设置情况</w:t>
      </w:r>
    </w:p>
    <w:p w14:paraId="314DD1D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B0F73FB">
      <w:pPr>
        <w:pStyle w:val="17"/>
        <w:rPr>
          <w:rFonts w:hint="eastAsia"/>
        </w:rPr>
      </w:pPr>
      <w:r>
        <w:rPr>
          <w:rFonts w:hint="eastAsia"/>
        </w:rPr>
        <w:t>1.贯彻落实基础教育的方针、政策，开展小学阶段教育教学和所辖学校管理工作，促进学生德、智、体。美、劳全面发展；</w:t>
      </w:r>
    </w:p>
    <w:p w14:paraId="76957487">
      <w:pPr>
        <w:pStyle w:val="17"/>
        <w:rPr>
          <w:rFonts w:hint="eastAsia"/>
        </w:rPr>
      </w:pPr>
      <w:r>
        <w:rPr>
          <w:rFonts w:hint="eastAsia"/>
        </w:rPr>
        <w:t>2. 负责学生安全教育和管理，确保学生身心健康；</w:t>
      </w:r>
    </w:p>
    <w:p w14:paraId="597A9AC2">
      <w:pPr>
        <w:pStyle w:val="17"/>
        <w:rPr>
          <w:rFonts w:hint="eastAsia"/>
        </w:rPr>
      </w:pPr>
      <w:r>
        <w:rPr>
          <w:rFonts w:hint="eastAsia"/>
        </w:rPr>
        <w:t>3. 加强教师队伍建设和管理，为教育教学工作</w:t>
      </w:r>
      <w:r>
        <w:rPr>
          <w:rFonts w:hint="eastAsia"/>
          <w:lang w:eastAsia="zh-CN"/>
        </w:rPr>
        <w:t>提供</w:t>
      </w:r>
      <w:r>
        <w:rPr>
          <w:rFonts w:hint="eastAsia"/>
        </w:rPr>
        <w:t>保障。</w:t>
      </w:r>
    </w:p>
    <w:p w14:paraId="408B383F">
      <w:pPr>
        <w:pStyle w:val="17"/>
        <w:rPr>
          <w:rFonts w:hint="eastAsia"/>
        </w:rPr>
      </w:pPr>
      <w:r>
        <w:rPr>
          <w:rFonts w:hint="eastAsia"/>
        </w:rPr>
        <w:t>三、人员编制和领导职数</w:t>
      </w:r>
    </w:p>
    <w:p w14:paraId="0FFF4C62">
      <w:pPr>
        <w:pStyle w:val="17"/>
      </w:pPr>
      <w:r>
        <w:rPr>
          <w:rFonts w:hint="eastAsia"/>
        </w:rPr>
        <w:t>隆尧县牛家桥校区事业编制127名</w:t>
      </w:r>
      <w:r>
        <w:rPr>
          <w:rFonts w:hint="eastAsia"/>
          <w:lang w:eastAsia="zh-CN"/>
        </w:rPr>
        <w:t>。</w:t>
      </w:r>
      <w:r>
        <w:rPr>
          <w:rFonts w:hint="eastAsia"/>
        </w:rPr>
        <w:t>其中，校长1名（正股级），副校长3名（副股级）；经费形式为财政性资金基本保证。</w:t>
      </w:r>
    </w:p>
    <w:p w14:paraId="4476F5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1B5D4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65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BBD7A9">
            <w:pPr>
              <w:pStyle w:val="10"/>
            </w:pPr>
            <w:r>
              <w:t>单位名称</w:t>
            </w:r>
          </w:p>
        </w:tc>
        <w:tc>
          <w:tcPr>
            <w:tcW w:w="1843" w:type="dxa"/>
            <w:vAlign w:val="center"/>
          </w:tcPr>
          <w:p w14:paraId="79F334CA">
            <w:pPr>
              <w:pStyle w:val="10"/>
            </w:pPr>
            <w:r>
              <w:t>单位性质</w:t>
            </w:r>
          </w:p>
        </w:tc>
        <w:tc>
          <w:tcPr>
            <w:tcW w:w="2126" w:type="dxa"/>
            <w:vAlign w:val="center"/>
          </w:tcPr>
          <w:p w14:paraId="32CA3DAF">
            <w:pPr>
              <w:pStyle w:val="10"/>
            </w:pPr>
            <w:r>
              <w:t>单位规格</w:t>
            </w:r>
          </w:p>
        </w:tc>
        <w:tc>
          <w:tcPr>
            <w:tcW w:w="3827" w:type="dxa"/>
            <w:vAlign w:val="center"/>
          </w:tcPr>
          <w:p w14:paraId="53C7F2D8">
            <w:pPr>
              <w:pStyle w:val="10"/>
            </w:pPr>
            <w:r>
              <w:t>经费保障形式</w:t>
            </w:r>
          </w:p>
        </w:tc>
      </w:tr>
      <w:tr w14:paraId="21B1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76DCD2">
            <w:pPr>
              <w:pStyle w:val="12"/>
            </w:pPr>
            <w:r>
              <w:t>隆尧县牛家桥校区</w:t>
            </w:r>
          </w:p>
        </w:tc>
        <w:tc>
          <w:tcPr>
            <w:tcW w:w="1843" w:type="dxa"/>
            <w:vAlign w:val="center"/>
          </w:tcPr>
          <w:p w14:paraId="1E2A9DFC">
            <w:pPr>
              <w:pStyle w:val="13"/>
            </w:pPr>
            <w:r>
              <w:t>事业</w:t>
            </w:r>
          </w:p>
        </w:tc>
        <w:tc>
          <w:tcPr>
            <w:tcW w:w="2126" w:type="dxa"/>
            <w:vAlign w:val="center"/>
          </w:tcPr>
          <w:p w14:paraId="5F43BB19">
            <w:pPr>
              <w:pStyle w:val="13"/>
            </w:pPr>
            <w:r>
              <w:t>股级</w:t>
            </w:r>
          </w:p>
        </w:tc>
        <w:tc>
          <w:tcPr>
            <w:tcW w:w="3827" w:type="dxa"/>
            <w:vAlign w:val="center"/>
          </w:tcPr>
          <w:p w14:paraId="7BFC18A9">
            <w:pPr>
              <w:pStyle w:val="13"/>
            </w:pPr>
            <w:r>
              <w:t>财政性资金基本保证</w:t>
            </w:r>
          </w:p>
        </w:tc>
      </w:tr>
    </w:tbl>
    <w:p w14:paraId="37899E09">
      <w:pPr>
        <w:spacing w:before="10" w:after="10" w:line="240" w:lineRule="auto"/>
        <w:ind w:firstLine="640"/>
        <w:jc w:val="left"/>
        <w:outlineLvl w:val="5"/>
      </w:pPr>
      <w:r>
        <w:rPr>
          <w:rFonts w:ascii="黑体" w:hAnsi="黑体" w:eastAsia="黑体" w:cs="黑体"/>
          <w:color w:val="000000"/>
          <w:sz w:val="32"/>
        </w:rPr>
        <w:t>二、单位预算安排的总体情况</w:t>
      </w:r>
    </w:p>
    <w:p w14:paraId="4075848F">
      <w:pPr>
        <w:pStyle w:val="18"/>
      </w:pPr>
      <w:r>
        <w:t>按照预算管理有关规定，目前我省单位预算的编制实行综合预算管理，即全部收入和支出都反映在预算中。隆尧县牛家桥校区的收支包含在单位预算中。</w:t>
      </w:r>
    </w:p>
    <w:p w14:paraId="7C787825">
      <w:pPr>
        <w:pStyle w:val="18"/>
      </w:pPr>
      <w:r>
        <w:t>1、收入说明</w:t>
      </w:r>
    </w:p>
    <w:p w14:paraId="03FC3D70">
      <w:pPr>
        <w:pStyle w:val="18"/>
      </w:pPr>
      <w:r>
        <w:t>反映本单位当年及去年全部收入情况。2026年预算收入2098.68万元，其中：一般公共预算收入2098.68万元，基金预算收入0万元，基金预算收入0万元，国有资本经营预算收入0万元，财政专户拨收入0万元，单位资金收入0万元，上年结转结余0万元。</w:t>
      </w:r>
    </w:p>
    <w:p w14:paraId="3907FD2B">
      <w:pPr>
        <w:pStyle w:val="18"/>
      </w:pPr>
      <w:r>
        <w:t>2、支出说明</w:t>
      </w:r>
    </w:p>
    <w:p w14:paraId="493A4278">
      <w:pPr>
        <w:pStyle w:val="18"/>
      </w:pPr>
      <w:r>
        <w:t>收支预算总表支出栏、基本支出表、项目支出表按经济分类和支出功能分类科目编制，反映隆尧县牛家桥校区支出预算的总体情况。2026年单位支出预算为2098.68万元，其中基本支出1653.09万元、项目支出445.58万元。主要为小学教育2021.17万元，学前教育77.51万元。</w:t>
      </w:r>
    </w:p>
    <w:p w14:paraId="34473547">
      <w:pPr>
        <w:pStyle w:val="18"/>
      </w:pPr>
      <w:r>
        <w:t>3、比上年增减情况</w:t>
      </w:r>
    </w:p>
    <w:p w14:paraId="1C0F78CC">
      <w:pPr>
        <w:pStyle w:val="18"/>
      </w:pPr>
      <w:r>
        <w:t>2026年预算收支安排2098.68万元，较2025年年初预算减少114.17万元，其中基本支出减少102.14万元，项目支出减少12.03万元。</w:t>
      </w:r>
    </w:p>
    <w:p w14:paraId="1955A770">
      <w:pPr>
        <w:pStyle w:val="18"/>
      </w:pPr>
    </w:p>
    <w:p w14:paraId="47A6FAE8">
      <w:pPr>
        <w:spacing w:before="10" w:after="10" w:line="240" w:lineRule="auto"/>
        <w:ind w:firstLine="640"/>
        <w:jc w:val="left"/>
        <w:outlineLvl w:val="5"/>
      </w:pPr>
      <w:r>
        <w:rPr>
          <w:rFonts w:ascii="黑体" w:hAnsi="黑体" w:eastAsia="黑体" w:cs="黑体"/>
          <w:color w:val="000000"/>
          <w:sz w:val="32"/>
        </w:rPr>
        <w:t>三、机关运行经费安排情况</w:t>
      </w:r>
    </w:p>
    <w:p w14:paraId="625F7D1D">
      <w:pPr>
        <w:pStyle w:val="19"/>
      </w:pPr>
      <w:r>
        <w:t>我单位按学生安排公用经费，无机关运行经费</w:t>
      </w:r>
    </w:p>
    <w:p w14:paraId="586F306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9084962">
      <w:pPr>
        <w:pStyle w:val="20"/>
      </w:pPr>
      <w:r>
        <w:t>我单位未安排</w:t>
      </w:r>
      <w:r>
        <w:rPr>
          <w:rFonts w:hint="eastAsia"/>
          <w:lang w:eastAsia="zh-CN"/>
        </w:rPr>
        <w:t>“三公”经费</w:t>
      </w:r>
      <w:r>
        <w:t>。</w:t>
      </w:r>
    </w:p>
    <w:p w14:paraId="75B07C1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8673AE8">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1、冀财教[2023]154号/中央/义教经费/校舍安全保障/牛家桥校区旧城小学塑胶操场改造绩效目标表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EC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15F97">
            <w:pPr>
              <w:pStyle w:val="11"/>
            </w:pPr>
            <w:r>
              <w:t>单位：万元</w:t>
            </w:r>
          </w:p>
        </w:tc>
      </w:tr>
      <w:tr w14:paraId="1EFDC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EF2CE">
            <w:pPr>
              <w:pStyle w:val="10"/>
            </w:pPr>
            <w:r>
              <w:t>项目编码</w:t>
            </w:r>
          </w:p>
        </w:tc>
        <w:tc>
          <w:tcPr>
            <w:tcW w:w="5103" w:type="dxa"/>
            <w:gridSpan w:val="2"/>
            <w:vAlign w:val="center"/>
          </w:tcPr>
          <w:p w14:paraId="3B8D8D0D">
            <w:pPr>
              <w:pStyle w:val="12"/>
            </w:pPr>
            <w:r>
              <w:t>13052526P00876210119Y</w:t>
            </w:r>
          </w:p>
        </w:tc>
        <w:tc>
          <w:tcPr>
            <w:tcW w:w="2835" w:type="dxa"/>
            <w:vAlign w:val="center"/>
          </w:tcPr>
          <w:p w14:paraId="65504177">
            <w:pPr>
              <w:pStyle w:val="10"/>
            </w:pPr>
            <w:r>
              <w:t>项目名称</w:t>
            </w:r>
          </w:p>
        </w:tc>
        <w:tc>
          <w:tcPr>
            <w:tcW w:w="6095" w:type="dxa"/>
            <w:gridSpan w:val="3"/>
            <w:vAlign w:val="center"/>
          </w:tcPr>
          <w:p w14:paraId="34715110">
            <w:pPr>
              <w:pStyle w:val="12"/>
            </w:pPr>
            <w:r>
              <w:t>冀财教[2023]154号/中央/义教经费/校舍安全保障/牛家桥校区旧城小学塑胶操场改造</w:t>
            </w:r>
          </w:p>
        </w:tc>
      </w:tr>
      <w:tr w14:paraId="1A18C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71608">
            <w:pPr>
              <w:pStyle w:val="10"/>
            </w:pPr>
            <w:r>
              <w:t>预算规模及资金用途</w:t>
            </w:r>
          </w:p>
        </w:tc>
        <w:tc>
          <w:tcPr>
            <w:tcW w:w="2268" w:type="dxa"/>
            <w:vAlign w:val="center"/>
          </w:tcPr>
          <w:p w14:paraId="0997BC2F">
            <w:pPr>
              <w:pStyle w:val="10"/>
            </w:pPr>
            <w:r>
              <w:t>预算数</w:t>
            </w:r>
          </w:p>
        </w:tc>
        <w:tc>
          <w:tcPr>
            <w:tcW w:w="2835" w:type="dxa"/>
            <w:vAlign w:val="center"/>
          </w:tcPr>
          <w:p w14:paraId="3EA355CA">
            <w:pPr>
              <w:pStyle w:val="12"/>
            </w:pPr>
            <w:r>
              <w:t>25.93</w:t>
            </w:r>
          </w:p>
        </w:tc>
        <w:tc>
          <w:tcPr>
            <w:tcW w:w="2835" w:type="dxa"/>
            <w:vAlign w:val="center"/>
          </w:tcPr>
          <w:p w14:paraId="50FDFDEF">
            <w:pPr>
              <w:pStyle w:val="10"/>
            </w:pPr>
            <w:r>
              <w:t>其中：财政    资金</w:t>
            </w:r>
          </w:p>
        </w:tc>
        <w:tc>
          <w:tcPr>
            <w:tcW w:w="2551" w:type="dxa"/>
            <w:vAlign w:val="center"/>
          </w:tcPr>
          <w:p w14:paraId="7F1322A3">
            <w:pPr>
              <w:pStyle w:val="12"/>
            </w:pPr>
            <w:r>
              <w:t>25.93</w:t>
            </w:r>
          </w:p>
        </w:tc>
        <w:tc>
          <w:tcPr>
            <w:tcW w:w="2268" w:type="dxa"/>
            <w:vAlign w:val="center"/>
          </w:tcPr>
          <w:p w14:paraId="6DDFFB64">
            <w:pPr>
              <w:pStyle w:val="10"/>
            </w:pPr>
            <w:r>
              <w:t>其他资金</w:t>
            </w:r>
          </w:p>
        </w:tc>
        <w:tc>
          <w:tcPr>
            <w:tcW w:w="1276" w:type="dxa"/>
            <w:vAlign w:val="center"/>
          </w:tcPr>
          <w:p w14:paraId="3EAFC51E">
            <w:pPr>
              <w:pStyle w:val="12"/>
            </w:pPr>
            <w:r>
              <w:t xml:space="preserve"> </w:t>
            </w:r>
          </w:p>
        </w:tc>
      </w:tr>
      <w:tr w14:paraId="24A52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B472C"/>
        </w:tc>
        <w:tc>
          <w:tcPr>
            <w:tcW w:w="14033" w:type="dxa"/>
            <w:gridSpan w:val="6"/>
            <w:vAlign w:val="center"/>
          </w:tcPr>
          <w:p w14:paraId="7BC5B4F4">
            <w:pPr>
              <w:pStyle w:val="12"/>
            </w:pPr>
            <w:r>
              <w:t>完成旧城小学塑胶操场改造，满足学校正常教学需要。</w:t>
            </w:r>
          </w:p>
        </w:tc>
      </w:tr>
      <w:tr w14:paraId="56E97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2427F">
            <w:pPr>
              <w:pStyle w:val="10"/>
            </w:pPr>
            <w:r>
              <w:t>资金支出计划（%）</w:t>
            </w:r>
          </w:p>
        </w:tc>
        <w:tc>
          <w:tcPr>
            <w:tcW w:w="5103" w:type="dxa"/>
            <w:gridSpan w:val="2"/>
            <w:vAlign w:val="center"/>
          </w:tcPr>
          <w:p w14:paraId="105A2F3D">
            <w:pPr>
              <w:pStyle w:val="10"/>
            </w:pPr>
            <w:r>
              <w:t>3月底</w:t>
            </w:r>
          </w:p>
        </w:tc>
        <w:tc>
          <w:tcPr>
            <w:tcW w:w="2835" w:type="dxa"/>
            <w:vAlign w:val="center"/>
          </w:tcPr>
          <w:p w14:paraId="641E52A4">
            <w:pPr>
              <w:pStyle w:val="10"/>
            </w:pPr>
            <w:r>
              <w:t>6月底</w:t>
            </w:r>
          </w:p>
        </w:tc>
        <w:tc>
          <w:tcPr>
            <w:tcW w:w="2551" w:type="dxa"/>
            <w:vAlign w:val="center"/>
          </w:tcPr>
          <w:p w14:paraId="3C44B44C">
            <w:pPr>
              <w:pStyle w:val="10"/>
            </w:pPr>
            <w:r>
              <w:t>10月底</w:t>
            </w:r>
          </w:p>
        </w:tc>
        <w:tc>
          <w:tcPr>
            <w:tcW w:w="3544" w:type="dxa"/>
            <w:gridSpan w:val="2"/>
            <w:vAlign w:val="center"/>
          </w:tcPr>
          <w:p w14:paraId="753DACEE">
            <w:pPr>
              <w:pStyle w:val="10"/>
            </w:pPr>
            <w:r>
              <w:t>12月底</w:t>
            </w:r>
          </w:p>
        </w:tc>
      </w:tr>
      <w:tr w14:paraId="30DDA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728A8"/>
        </w:tc>
        <w:tc>
          <w:tcPr>
            <w:tcW w:w="5103" w:type="dxa"/>
            <w:gridSpan w:val="2"/>
            <w:vAlign w:val="center"/>
          </w:tcPr>
          <w:p w14:paraId="665F7B6C">
            <w:pPr>
              <w:pStyle w:val="13"/>
            </w:pPr>
            <w:r>
              <w:t xml:space="preserve"> </w:t>
            </w:r>
          </w:p>
        </w:tc>
        <w:tc>
          <w:tcPr>
            <w:tcW w:w="2835" w:type="dxa"/>
            <w:vAlign w:val="center"/>
          </w:tcPr>
          <w:p w14:paraId="450DF4A3">
            <w:pPr>
              <w:pStyle w:val="13"/>
            </w:pPr>
            <w:r>
              <w:t xml:space="preserve"> </w:t>
            </w:r>
          </w:p>
        </w:tc>
        <w:tc>
          <w:tcPr>
            <w:tcW w:w="2551" w:type="dxa"/>
            <w:vAlign w:val="center"/>
          </w:tcPr>
          <w:p w14:paraId="03B457C3">
            <w:pPr>
              <w:pStyle w:val="13"/>
            </w:pPr>
            <w:r>
              <w:t>100%</w:t>
            </w:r>
          </w:p>
        </w:tc>
        <w:tc>
          <w:tcPr>
            <w:tcW w:w="3544" w:type="dxa"/>
            <w:gridSpan w:val="2"/>
            <w:vAlign w:val="center"/>
          </w:tcPr>
          <w:p w14:paraId="6F0F1808">
            <w:pPr>
              <w:pStyle w:val="13"/>
            </w:pPr>
            <w:r>
              <w:t>100%</w:t>
            </w:r>
          </w:p>
        </w:tc>
      </w:tr>
      <w:tr w14:paraId="5C087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DB553">
            <w:pPr>
              <w:pStyle w:val="10"/>
            </w:pPr>
            <w:r>
              <w:t>绩效目标</w:t>
            </w:r>
          </w:p>
        </w:tc>
        <w:tc>
          <w:tcPr>
            <w:tcW w:w="14033" w:type="dxa"/>
            <w:gridSpan w:val="6"/>
            <w:vAlign w:val="center"/>
          </w:tcPr>
          <w:p w14:paraId="21A0D533">
            <w:pPr>
              <w:pStyle w:val="12"/>
            </w:pPr>
            <w:r>
              <w:t>1.完成旧城小学塑胶操场改造，满足学校正常教学需要。</w:t>
            </w:r>
          </w:p>
          <w:p w14:paraId="57FB05C8">
            <w:pPr>
              <w:pStyle w:val="12"/>
            </w:pPr>
            <w:r>
              <w:t>2.按规定拨付专项资金，资金支付率达到100%。</w:t>
            </w:r>
          </w:p>
        </w:tc>
      </w:tr>
    </w:tbl>
    <w:p w14:paraId="4C64A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F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421E9">
            <w:pPr>
              <w:pStyle w:val="10"/>
            </w:pPr>
            <w:r>
              <w:t>一级指标</w:t>
            </w:r>
          </w:p>
        </w:tc>
        <w:tc>
          <w:tcPr>
            <w:tcW w:w="2268" w:type="dxa"/>
            <w:vAlign w:val="center"/>
          </w:tcPr>
          <w:p w14:paraId="44828D7F">
            <w:pPr>
              <w:pStyle w:val="10"/>
            </w:pPr>
            <w:r>
              <w:t>二级指标</w:t>
            </w:r>
          </w:p>
        </w:tc>
        <w:tc>
          <w:tcPr>
            <w:tcW w:w="2835" w:type="dxa"/>
            <w:vAlign w:val="center"/>
          </w:tcPr>
          <w:p w14:paraId="1059EE98">
            <w:pPr>
              <w:pStyle w:val="10"/>
            </w:pPr>
            <w:r>
              <w:t>三级指标</w:t>
            </w:r>
          </w:p>
        </w:tc>
        <w:tc>
          <w:tcPr>
            <w:tcW w:w="5386" w:type="dxa"/>
            <w:vAlign w:val="center"/>
          </w:tcPr>
          <w:p w14:paraId="01FBD19D">
            <w:pPr>
              <w:pStyle w:val="10"/>
            </w:pPr>
            <w:r>
              <w:t>绩效指标描述</w:t>
            </w:r>
          </w:p>
        </w:tc>
        <w:tc>
          <w:tcPr>
            <w:tcW w:w="2268" w:type="dxa"/>
            <w:vAlign w:val="center"/>
          </w:tcPr>
          <w:p w14:paraId="0CD2AE01">
            <w:pPr>
              <w:pStyle w:val="10"/>
            </w:pPr>
            <w:r>
              <w:t>指标值</w:t>
            </w:r>
          </w:p>
        </w:tc>
        <w:tc>
          <w:tcPr>
            <w:tcW w:w="1276" w:type="dxa"/>
            <w:vAlign w:val="center"/>
          </w:tcPr>
          <w:p w14:paraId="49899368">
            <w:pPr>
              <w:pStyle w:val="10"/>
            </w:pPr>
            <w:r>
              <w:t>指标值确定依据</w:t>
            </w:r>
          </w:p>
        </w:tc>
      </w:tr>
      <w:tr w14:paraId="307C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E42B1">
            <w:pPr>
              <w:pStyle w:val="13"/>
            </w:pPr>
            <w:r>
              <w:t>产出指标</w:t>
            </w:r>
          </w:p>
        </w:tc>
        <w:tc>
          <w:tcPr>
            <w:tcW w:w="2268" w:type="dxa"/>
            <w:vAlign w:val="center"/>
          </w:tcPr>
          <w:p w14:paraId="70395763">
            <w:pPr>
              <w:pStyle w:val="12"/>
            </w:pPr>
            <w:r>
              <w:t>数量指标</w:t>
            </w:r>
          </w:p>
        </w:tc>
        <w:tc>
          <w:tcPr>
            <w:tcW w:w="2835" w:type="dxa"/>
            <w:vAlign w:val="center"/>
          </w:tcPr>
          <w:p w14:paraId="07F621B9">
            <w:pPr>
              <w:pStyle w:val="12"/>
            </w:pPr>
            <w:r>
              <w:t>操场改造</w:t>
            </w:r>
          </w:p>
        </w:tc>
        <w:tc>
          <w:tcPr>
            <w:tcW w:w="5386" w:type="dxa"/>
            <w:vAlign w:val="center"/>
          </w:tcPr>
          <w:p w14:paraId="0492C966">
            <w:pPr>
              <w:pStyle w:val="12"/>
            </w:pPr>
            <w:r>
              <w:t>塑胶操场改造</w:t>
            </w:r>
          </w:p>
        </w:tc>
        <w:tc>
          <w:tcPr>
            <w:tcW w:w="2268" w:type="dxa"/>
            <w:vAlign w:val="center"/>
          </w:tcPr>
          <w:p w14:paraId="47BDAFBF">
            <w:pPr>
              <w:pStyle w:val="12"/>
            </w:pPr>
            <w:r>
              <w:t>≥7000</w:t>
            </w:r>
            <w:r>
              <w:rPr>
                <w:rFonts w:hint="eastAsia"/>
                <w:lang w:eastAsia="zh-CN"/>
              </w:rPr>
              <w:t>平方米</w:t>
            </w:r>
          </w:p>
        </w:tc>
        <w:tc>
          <w:tcPr>
            <w:tcW w:w="1276" w:type="dxa"/>
            <w:vAlign w:val="center"/>
          </w:tcPr>
          <w:p w14:paraId="2A5D2C67">
            <w:pPr>
              <w:pStyle w:val="12"/>
            </w:pPr>
            <w:r>
              <w:t>项目规划</w:t>
            </w:r>
          </w:p>
        </w:tc>
      </w:tr>
      <w:tr w14:paraId="0DE1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E09EE"/>
        </w:tc>
        <w:tc>
          <w:tcPr>
            <w:tcW w:w="2268" w:type="dxa"/>
            <w:vAlign w:val="center"/>
          </w:tcPr>
          <w:p w14:paraId="60211725">
            <w:pPr>
              <w:pStyle w:val="12"/>
            </w:pPr>
            <w:r>
              <w:t>质量指标</w:t>
            </w:r>
          </w:p>
        </w:tc>
        <w:tc>
          <w:tcPr>
            <w:tcW w:w="2835" w:type="dxa"/>
            <w:vAlign w:val="center"/>
          </w:tcPr>
          <w:p w14:paraId="5C493D69">
            <w:pPr>
              <w:pStyle w:val="12"/>
            </w:pPr>
            <w:r>
              <w:t>资金支付率</w:t>
            </w:r>
          </w:p>
        </w:tc>
        <w:tc>
          <w:tcPr>
            <w:tcW w:w="5386" w:type="dxa"/>
            <w:vAlign w:val="center"/>
          </w:tcPr>
          <w:p w14:paraId="04899449">
            <w:pPr>
              <w:pStyle w:val="12"/>
            </w:pPr>
            <w:r>
              <w:t>按照序时进度完成资金支付</w:t>
            </w:r>
          </w:p>
        </w:tc>
        <w:tc>
          <w:tcPr>
            <w:tcW w:w="2268" w:type="dxa"/>
            <w:vAlign w:val="center"/>
          </w:tcPr>
          <w:p w14:paraId="796A6A32">
            <w:pPr>
              <w:pStyle w:val="12"/>
            </w:pPr>
            <w:r>
              <w:t>100%</w:t>
            </w:r>
          </w:p>
        </w:tc>
        <w:tc>
          <w:tcPr>
            <w:tcW w:w="1276" w:type="dxa"/>
            <w:vAlign w:val="center"/>
          </w:tcPr>
          <w:p w14:paraId="09D081E1">
            <w:pPr>
              <w:pStyle w:val="12"/>
            </w:pPr>
            <w:r>
              <w:t>项目规划</w:t>
            </w:r>
          </w:p>
        </w:tc>
      </w:tr>
      <w:tr w14:paraId="6534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EAD3B"/>
        </w:tc>
        <w:tc>
          <w:tcPr>
            <w:tcW w:w="2268" w:type="dxa"/>
            <w:vAlign w:val="center"/>
          </w:tcPr>
          <w:p w14:paraId="7A7F8A6F">
            <w:pPr>
              <w:pStyle w:val="12"/>
            </w:pPr>
            <w:r>
              <w:t>时效指标</w:t>
            </w:r>
          </w:p>
        </w:tc>
        <w:tc>
          <w:tcPr>
            <w:tcW w:w="2835" w:type="dxa"/>
            <w:vAlign w:val="center"/>
          </w:tcPr>
          <w:p w14:paraId="03857DBB">
            <w:pPr>
              <w:pStyle w:val="12"/>
            </w:pPr>
            <w:r>
              <w:t>项目竣工验收合格率</w:t>
            </w:r>
          </w:p>
        </w:tc>
        <w:tc>
          <w:tcPr>
            <w:tcW w:w="5386" w:type="dxa"/>
            <w:vAlign w:val="center"/>
          </w:tcPr>
          <w:p w14:paraId="5F94298F">
            <w:pPr>
              <w:pStyle w:val="12"/>
            </w:pPr>
            <w:r>
              <w:t>项目改造质量达标率</w:t>
            </w:r>
          </w:p>
        </w:tc>
        <w:tc>
          <w:tcPr>
            <w:tcW w:w="2268" w:type="dxa"/>
            <w:vAlign w:val="center"/>
          </w:tcPr>
          <w:p w14:paraId="26094F9B">
            <w:pPr>
              <w:pStyle w:val="12"/>
            </w:pPr>
            <w:r>
              <w:t>100%</w:t>
            </w:r>
          </w:p>
        </w:tc>
        <w:tc>
          <w:tcPr>
            <w:tcW w:w="1276" w:type="dxa"/>
            <w:vAlign w:val="center"/>
          </w:tcPr>
          <w:p w14:paraId="6B74691A">
            <w:pPr>
              <w:pStyle w:val="12"/>
            </w:pPr>
            <w:r>
              <w:t>项目规划</w:t>
            </w:r>
          </w:p>
        </w:tc>
      </w:tr>
      <w:tr w14:paraId="2189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07370"/>
        </w:tc>
        <w:tc>
          <w:tcPr>
            <w:tcW w:w="2268" w:type="dxa"/>
            <w:vAlign w:val="center"/>
          </w:tcPr>
          <w:p w14:paraId="2428C518">
            <w:pPr>
              <w:pStyle w:val="12"/>
            </w:pPr>
            <w:r>
              <w:t>成本指标</w:t>
            </w:r>
          </w:p>
        </w:tc>
        <w:tc>
          <w:tcPr>
            <w:tcW w:w="2835" w:type="dxa"/>
            <w:vAlign w:val="center"/>
          </w:tcPr>
          <w:p w14:paraId="01824579">
            <w:pPr>
              <w:pStyle w:val="12"/>
            </w:pPr>
            <w:r>
              <w:t>项目实际成本</w:t>
            </w:r>
          </w:p>
        </w:tc>
        <w:tc>
          <w:tcPr>
            <w:tcW w:w="5386" w:type="dxa"/>
            <w:vAlign w:val="center"/>
          </w:tcPr>
          <w:p w14:paraId="59281698">
            <w:pPr>
              <w:pStyle w:val="12"/>
            </w:pPr>
            <w:r>
              <w:t>塑胶操场改造剩余维修款</w:t>
            </w:r>
          </w:p>
        </w:tc>
        <w:tc>
          <w:tcPr>
            <w:tcW w:w="2268" w:type="dxa"/>
            <w:vAlign w:val="center"/>
          </w:tcPr>
          <w:p w14:paraId="6B48B3D9">
            <w:pPr>
              <w:pStyle w:val="12"/>
            </w:pPr>
            <w:r>
              <w:t>2592954元</w:t>
            </w:r>
          </w:p>
        </w:tc>
        <w:tc>
          <w:tcPr>
            <w:tcW w:w="1276" w:type="dxa"/>
            <w:vAlign w:val="center"/>
          </w:tcPr>
          <w:p w14:paraId="5850DCE8">
            <w:pPr>
              <w:pStyle w:val="12"/>
            </w:pPr>
            <w:r>
              <w:t>项目规划</w:t>
            </w:r>
          </w:p>
        </w:tc>
      </w:tr>
      <w:tr w14:paraId="2310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AB1BA">
            <w:pPr>
              <w:pStyle w:val="13"/>
            </w:pPr>
            <w:r>
              <w:t>效益指标</w:t>
            </w:r>
          </w:p>
        </w:tc>
        <w:tc>
          <w:tcPr>
            <w:tcW w:w="2268" w:type="dxa"/>
            <w:vAlign w:val="center"/>
          </w:tcPr>
          <w:p w14:paraId="25F60137">
            <w:pPr>
              <w:pStyle w:val="12"/>
            </w:pPr>
            <w:r>
              <w:t>社会效益指标</w:t>
            </w:r>
          </w:p>
        </w:tc>
        <w:tc>
          <w:tcPr>
            <w:tcW w:w="2835" w:type="dxa"/>
            <w:vAlign w:val="center"/>
          </w:tcPr>
          <w:p w14:paraId="64A027B0">
            <w:pPr>
              <w:pStyle w:val="12"/>
            </w:pPr>
            <w:r>
              <w:t>教育发展水平</w:t>
            </w:r>
          </w:p>
        </w:tc>
        <w:tc>
          <w:tcPr>
            <w:tcW w:w="5386" w:type="dxa"/>
            <w:vAlign w:val="center"/>
          </w:tcPr>
          <w:p w14:paraId="5349A226">
            <w:pPr>
              <w:pStyle w:val="12"/>
            </w:pPr>
            <w:r>
              <w:t>辖区内教育环境明显好转</w:t>
            </w:r>
          </w:p>
        </w:tc>
        <w:tc>
          <w:tcPr>
            <w:tcW w:w="2268" w:type="dxa"/>
            <w:vAlign w:val="center"/>
          </w:tcPr>
          <w:p w14:paraId="00C6AD0E">
            <w:pPr>
              <w:pStyle w:val="12"/>
            </w:pPr>
            <w:r>
              <w:t>≥95%</w:t>
            </w:r>
          </w:p>
        </w:tc>
        <w:tc>
          <w:tcPr>
            <w:tcW w:w="1276" w:type="dxa"/>
            <w:vAlign w:val="center"/>
          </w:tcPr>
          <w:p w14:paraId="13E08353">
            <w:pPr>
              <w:pStyle w:val="12"/>
            </w:pPr>
            <w:r>
              <w:t>项目规划</w:t>
            </w:r>
          </w:p>
        </w:tc>
      </w:tr>
      <w:tr w14:paraId="0EB9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27F27"/>
        </w:tc>
        <w:tc>
          <w:tcPr>
            <w:tcW w:w="2268" w:type="dxa"/>
            <w:vAlign w:val="center"/>
          </w:tcPr>
          <w:p w14:paraId="23E5C889">
            <w:pPr>
              <w:pStyle w:val="12"/>
            </w:pPr>
            <w:r>
              <w:t>生态效益指标</w:t>
            </w:r>
          </w:p>
        </w:tc>
        <w:tc>
          <w:tcPr>
            <w:tcW w:w="2835" w:type="dxa"/>
            <w:vAlign w:val="center"/>
          </w:tcPr>
          <w:p w14:paraId="3633C730">
            <w:pPr>
              <w:pStyle w:val="12"/>
            </w:pPr>
            <w:r>
              <w:t>校园环境</w:t>
            </w:r>
          </w:p>
        </w:tc>
        <w:tc>
          <w:tcPr>
            <w:tcW w:w="5386" w:type="dxa"/>
            <w:vAlign w:val="center"/>
          </w:tcPr>
          <w:p w14:paraId="3AD7836A">
            <w:pPr>
              <w:pStyle w:val="12"/>
            </w:pPr>
            <w:r>
              <w:t>办学条件和环境得到改善</w:t>
            </w:r>
          </w:p>
        </w:tc>
        <w:tc>
          <w:tcPr>
            <w:tcW w:w="2268" w:type="dxa"/>
            <w:vAlign w:val="center"/>
          </w:tcPr>
          <w:p w14:paraId="5175741E">
            <w:pPr>
              <w:pStyle w:val="12"/>
            </w:pPr>
            <w:r>
              <w:t>≥95%</w:t>
            </w:r>
          </w:p>
        </w:tc>
        <w:tc>
          <w:tcPr>
            <w:tcW w:w="1276" w:type="dxa"/>
            <w:vAlign w:val="center"/>
          </w:tcPr>
          <w:p w14:paraId="11CB9BEA">
            <w:pPr>
              <w:pStyle w:val="12"/>
            </w:pPr>
            <w:r>
              <w:t>项目规划</w:t>
            </w:r>
          </w:p>
        </w:tc>
      </w:tr>
      <w:tr w14:paraId="75D0B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BDC10">
            <w:pPr>
              <w:pStyle w:val="13"/>
            </w:pPr>
            <w:r>
              <w:t>满意度指标</w:t>
            </w:r>
          </w:p>
        </w:tc>
        <w:tc>
          <w:tcPr>
            <w:tcW w:w="2268" w:type="dxa"/>
            <w:vAlign w:val="center"/>
          </w:tcPr>
          <w:p w14:paraId="10541CF4">
            <w:pPr>
              <w:pStyle w:val="12"/>
            </w:pPr>
            <w:r>
              <w:t>服务对象满意度指标</w:t>
            </w:r>
          </w:p>
        </w:tc>
        <w:tc>
          <w:tcPr>
            <w:tcW w:w="2835" w:type="dxa"/>
            <w:vAlign w:val="center"/>
          </w:tcPr>
          <w:p w14:paraId="3B171971">
            <w:pPr>
              <w:pStyle w:val="12"/>
            </w:pPr>
            <w:r>
              <w:t>受益学生家长及调查满意度</w:t>
            </w:r>
          </w:p>
        </w:tc>
        <w:tc>
          <w:tcPr>
            <w:tcW w:w="5386" w:type="dxa"/>
            <w:vAlign w:val="center"/>
          </w:tcPr>
          <w:p w14:paraId="2130108B">
            <w:pPr>
              <w:pStyle w:val="12"/>
            </w:pPr>
            <w:r>
              <w:t>学生、教师及家长对学校工作满意度情况</w:t>
            </w:r>
          </w:p>
        </w:tc>
        <w:tc>
          <w:tcPr>
            <w:tcW w:w="2268" w:type="dxa"/>
            <w:vAlign w:val="center"/>
          </w:tcPr>
          <w:p w14:paraId="47D71258">
            <w:pPr>
              <w:pStyle w:val="12"/>
            </w:pPr>
            <w:r>
              <w:t>≥95%</w:t>
            </w:r>
          </w:p>
        </w:tc>
        <w:tc>
          <w:tcPr>
            <w:tcW w:w="1276" w:type="dxa"/>
            <w:vAlign w:val="center"/>
          </w:tcPr>
          <w:p w14:paraId="209264F0">
            <w:pPr>
              <w:pStyle w:val="12"/>
            </w:pPr>
            <w:r>
              <w:t>问卷调查</w:t>
            </w:r>
          </w:p>
        </w:tc>
      </w:tr>
    </w:tbl>
    <w:p w14:paraId="5DE14B3D">
      <w:pPr>
        <w:sectPr>
          <w:pgSz w:w="16840" w:h="11900" w:orient="landscape"/>
          <w:pgMar w:top="1361" w:right="1020" w:bottom="1134" w:left="1020" w:header="720" w:footer="720" w:gutter="0"/>
          <w:cols w:space="720" w:num="1"/>
        </w:sectPr>
      </w:pPr>
    </w:p>
    <w:p w14:paraId="19F3EAA6">
      <w:pPr>
        <w:spacing w:before="0" w:after="0"/>
        <w:ind w:firstLine="560"/>
        <w:jc w:val="left"/>
        <w:outlineLvl w:val="9"/>
      </w:pPr>
      <w:r>
        <w:rPr>
          <w:rFonts w:ascii="方正仿宋_GBK" w:hAnsi="方正仿宋_GBK" w:eastAsia="方正仿宋_GBK" w:cs="方正仿宋_GBK"/>
          <w:b/>
          <w:color w:val="000000"/>
          <w:sz w:val="28"/>
        </w:rPr>
        <w:t>2、冀财教[2023]154号/中央/义教经费/校舍安全保障/牛家桥校区开河小学教学楼维修改造绩效目标表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10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68326">
            <w:pPr>
              <w:pStyle w:val="11"/>
            </w:pPr>
            <w:r>
              <w:t>单位：万元</w:t>
            </w:r>
          </w:p>
        </w:tc>
      </w:tr>
      <w:tr w14:paraId="7663A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442AD">
            <w:pPr>
              <w:pStyle w:val="10"/>
            </w:pPr>
            <w:r>
              <w:t>项目编码</w:t>
            </w:r>
          </w:p>
        </w:tc>
        <w:tc>
          <w:tcPr>
            <w:tcW w:w="5103" w:type="dxa"/>
            <w:gridSpan w:val="2"/>
            <w:vAlign w:val="center"/>
          </w:tcPr>
          <w:p w14:paraId="054044A2">
            <w:pPr>
              <w:pStyle w:val="12"/>
            </w:pPr>
            <w:r>
              <w:t>13052526P00876210120A</w:t>
            </w:r>
          </w:p>
        </w:tc>
        <w:tc>
          <w:tcPr>
            <w:tcW w:w="2835" w:type="dxa"/>
            <w:vAlign w:val="center"/>
          </w:tcPr>
          <w:p w14:paraId="00ED993A">
            <w:pPr>
              <w:pStyle w:val="10"/>
            </w:pPr>
            <w:r>
              <w:t>项目名称</w:t>
            </w:r>
          </w:p>
        </w:tc>
        <w:tc>
          <w:tcPr>
            <w:tcW w:w="6095" w:type="dxa"/>
            <w:gridSpan w:val="3"/>
            <w:vAlign w:val="center"/>
          </w:tcPr>
          <w:p w14:paraId="3043BEDB">
            <w:pPr>
              <w:pStyle w:val="12"/>
            </w:pPr>
            <w:r>
              <w:t>冀财教[2023]154号/中央/义教经费/校舍安全保障/牛家桥校区开河小学教学楼维修改造</w:t>
            </w:r>
          </w:p>
        </w:tc>
      </w:tr>
      <w:tr w14:paraId="41657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298B6">
            <w:pPr>
              <w:pStyle w:val="10"/>
            </w:pPr>
            <w:r>
              <w:t>预算规模及资金用途</w:t>
            </w:r>
          </w:p>
        </w:tc>
        <w:tc>
          <w:tcPr>
            <w:tcW w:w="2268" w:type="dxa"/>
            <w:vAlign w:val="center"/>
          </w:tcPr>
          <w:p w14:paraId="0F2AA480">
            <w:pPr>
              <w:pStyle w:val="10"/>
            </w:pPr>
            <w:r>
              <w:t>预算数</w:t>
            </w:r>
          </w:p>
        </w:tc>
        <w:tc>
          <w:tcPr>
            <w:tcW w:w="2835" w:type="dxa"/>
            <w:vAlign w:val="center"/>
          </w:tcPr>
          <w:p w14:paraId="22948386">
            <w:pPr>
              <w:pStyle w:val="12"/>
            </w:pPr>
            <w:r>
              <w:t>17.76</w:t>
            </w:r>
          </w:p>
        </w:tc>
        <w:tc>
          <w:tcPr>
            <w:tcW w:w="2835" w:type="dxa"/>
            <w:vAlign w:val="center"/>
          </w:tcPr>
          <w:p w14:paraId="28D7CE06">
            <w:pPr>
              <w:pStyle w:val="10"/>
            </w:pPr>
            <w:r>
              <w:t>其中：财政    资金</w:t>
            </w:r>
          </w:p>
        </w:tc>
        <w:tc>
          <w:tcPr>
            <w:tcW w:w="2551" w:type="dxa"/>
            <w:vAlign w:val="center"/>
          </w:tcPr>
          <w:p w14:paraId="647D087E">
            <w:pPr>
              <w:pStyle w:val="12"/>
            </w:pPr>
            <w:r>
              <w:t>17.76</w:t>
            </w:r>
          </w:p>
        </w:tc>
        <w:tc>
          <w:tcPr>
            <w:tcW w:w="2268" w:type="dxa"/>
            <w:vAlign w:val="center"/>
          </w:tcPr>
          <w:p w14:paraId="3AE54415">
            <w:pPr>
              <w:pStyle w:val="10"/>
            </w:pPr>
            <w:r>
              <w:t>其他资金</w:t>
            </w:r>
          </w:p>
        </w:tc>
        <w:tc>
          <w:tcPr>
            <w:tcW w:w="1276" w:type="dxa"/>
            <w:vAlign w:val="center"/>
          </w:tcPr>
          <w:p w14:paraId="55E9A1FE">
            <w:pPr>
              <w:pStyle w:val="12"/>
            </w:pPr>
            <w:r>
              <w:t xml:space="preserve"> </w:t>
            </w:r>
          </w:p>
        </w:tc>
      </w:tr>
      <w:tr w14:paraId="42BAF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C06F5"/>
        </w:tc>
        <w:tc>
          <w:tcPr>
            <w:tcW w:w="14033" w:type="dxa"/>
            <w:gridSpan w:val="6"/>
            <w:vAlign w:val="center"/>
          </w:tcPr>
          <w:p w14:paraId="075F297F">
            <w:pPr>
              <w:pStyle w:val="12"/>
            </w:pPr>
            <w:r>
              <w:t>完成开河小学教学楼维修，满足学校正常教学需要。</w:t>
            </w:r>
            <w:r>
              <w:tab/>
            </w:r>
          </w:p>
        </w:tc>
      </w:tr>
      <w:tr w14:paraId="4DA8F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593B8">
            <w:pPr>
              <w:pStyle w:val="10"/>
            </w:pPr>
            <w:r>
              <w:t>资金支出计划（%）</w:t>
            </w:r>
          </w:p>
        </w:tc>
        <w:tc>
          <w:tcPr>
            <w:tcW w:w="5103" w:type="dxa"/>
            <w:gridSpan w:val="2"/>
            <w:vAlign w:val="center"/>
          </w:tcPr>
          <w:p w14:paraId="3210EA70">
            <w:pPr>
              <w:pStyle w:val="10"/>
            </w:pPr>
            <w:r>
              <w:t>3月底</w:t>
            </w:r>
          </w:p>
        </w:tc>
        <w:tc>
          <w:tcPr>
            <w:tcW w:w="2835" w:type="dxa"/>
            <w:vAlign w:val="center"/>
          </w:tcPr>
          <w:p w14:paraId="679DBA32">
            <w:pPr>
              <w:pStyle w:val="10"/>
            </w:pPr>
            <w:r>
              <w:t>6月底</w:t>
            </w:r>
          </w:p>
        </w:tc>
        <w:tc>
          <w:tcPr>
            <w:tcW w:w="2551" w:type="dxa"/>
            <w:vAlign w:val="center"/>
          </w:tcPr>
          <w:p w14:paraId="73B0BA0F">
            <w:pPr>
              <w:pStyle w:val="10"/>
            </w:pPr>
            <w:r>
              <w:t>10月底</w:t>
            </w:r>
          </w:p>
        </w:tc>
        <w:tc>
          <w:tcPr>
            <w:tcW w:w="3544" w:type="dxa"/>
            <w:gridSpan w:val="2"/>
            <w:vAlign w:val="center"/>
          </w:tcPr>
          <w:p w14:paraId="7411619E">
            <w:pPr>
              <w:pStyle w:val="10"/>
            </w:pPr>
            <w:r>
              <w:t>12月底</w:t>
            </w:r>
          </w:p>
        </w:tc>
      </w:tr>
      <w:tr w14:paraId="39629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A7C64"/>
        </w:tc>
        <w:tc>
          <w:tcPr>
            <w:tcW w:w="5103" w:type="dxa"/>
            <w:gridSpan w:val="2"/>
            <w:vAlign w:val="center"/>
          </w:tcPr>
          <w:p w14:paraId="03FA1E1E">
            <w:pPr>
              <w:pStyle w:val="13"/>
            </w:pPr>
            <w:r>
              <w:t xml:space="preserve"> </w:t>
            </w:r>
          </w:p>
        </w:tc>
        <w:tc>
          <w:tcPr>
            <w:tcW w:w="2835" w:type="dxa"/>
            <w:vAlign w:val="center"/>
          </w:tcPr>
          <w:p w14:paraId="7B704BBE">
            <w:pPr>
              <w:pStyle w:val="13"/>
            </w:pPr>
            <w:r>
              <w:t xml:space="preserve"> </w:t>
            </w:r>
          </w:p>
        </w:tc>
        <w:tc>
          <w:tcPr>
            <w:tcW w:w="2551" w:type="dxa"/>
            <w:vAlign w:val="center"/>
          </w:tcPr>
          <w:p w14:paraId="7BED4F13">
            <w:pPr>
              <w:pStyle w:val="13"/>
            </w:pPr>
            <w:r>
              <w:t>100%</w:t>
            </w:r>
          </w:p>
        </w:tc>
        <w:tc>
          <w:tcPr>
            <w:tcW w:w="3544" w:type="dxa"/>
            <w:gridSpan w:val="2"/>
            <w:vAlign w:val="center"/>
          </w:tcPr>
          <w:p w14:paraId="200C2233">
            <w:pPr>
              <w:pStyle w:val="13"/>
            </w:pPr>
            <w:r>
              <w:t>100%</w:t>
            </w:r>
          </w:p>
        </w:tc>
      </w:tr>
      <w:tr w14:paraId="19188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2738C">
            <w:pPr>
              <w:pStyle w:val="10"/>
            </w:pPr>
            <w:r>
              <w:t>绩效目标</w:t>
            </w:r>
          </w:p>
        </w:tc>
        <w:tc>
          <w:tcPr>
            <w:tcW w:w="14033" w:type="dxa"/>
            <w:gridSpan w:val="6"/>
            <w:vAlign w:val="center"/>
          </w:tcPr>
          <w:p w14:paraId="58F8252E">
            <w:pPr>
              <w:pStyle w:val="12"/>
            </w:pPr>
            <w:r>
              <w:t>1.完成开河小学教学楼维修，满足学校正常教学需要。</w:t>
            </w:r>
            <w:r>
              <w:tab/>
            </w:r>
          </w:p>
          <w:p w14:paraId="646C3D43">
            <w:pPr>
              <w:pStyle w:val="12"/>
            </w:pPr>
          </w:p>
          <w:p w14:paraId="7FC1D233">
            <w:pPr>
              <w:pStyle w:val="12"/>
            </w:pPr>
            <w:r>
              <w:t>2.按规定拨付专项资金，资金支付率达到100%。</w:t>
            </w:r>
            <w:r>
              <w:tab/>
            </w:r>
          </w:p>
          <w:p w14:paraId="4F6E16C3">
            <w:pPr>
              <w:pStyle w:val="12"/>
            </w:pPr>
          </w:p>
        </w:tc>
      </w:tr>
    </w:tbl>
    <w:p w14:paraId="1F29A3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C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48F1B">
            <w:pPr>
              <w:pStyle w:val="10"/>
            </w:pPr>
            <w:r>
              <w:t>一级指标</w:t>
            </w:r>
          </w:p>
        </w:tc>
        <w:tc>
          <w:tcPr>
            <w:tcW w:w="2268" w:type="dxa"/>
            <w:vAlign w:val="center"/>
          </w:tcPr>
          <w:p w14:paraId="5033A325">
            <w:pPr>
              <w:pStyle w:val="10"/>
            </w:pPr>
            <w:r>
              <w:t>二级指标</w:t>
            </w:r>
          </w:p>
        </w:tc>
        <w:tc>
          <w:tcPr>
            <w:tcW w:w="2835" w:type="dxa"/>
            <w:vAlign w:val="center"/>
          </w:tcPr>
          <w:p w14:paraId="366F3DAC">
            <w:pPr>
              <w:pStyle w:val="10"/>
            </w:pPr>
            <w:r>
              <w:t>三级指标</w:t>
            </w:r>
          </w:p>
        </w:tc>
        <w:tc>
          <w:tcPr>
            <w:tcW w:w="5386" w:type="dxa"/>
            <w:vAlign w:val="center"/>
          </w:tcPr>
          <w:p w14:paraId="06046112">
            <w:pPr>
              <w:pStyle w:val="10"/>
            </w:pPr>
            <w:r>
              <w:t>绩效指标描述</w:t>
            </w:r>
          </w:p>
        </w:tc>
        <w:tc>
          <w:tcPr>
            <w:tcW w:w="2268" w:type="dxa"/>
            <w:vAlign w:val="center"/>
          </w:tcPr>
          <w:p w14:paraId="1ADDB4B9">
            <w:pPr>
              <w:pStyle w:val="10"/>
            </w:pPr>
            <w:r>
              <w:t>指标值</w:t>
            </w:r>
          </w:p>
        </w:tc>
        <w:tc>
          <w:tcPr>
            <w:tcW w:w="1276" w:type="dxa"/>
            <w:vAlign w:val="center"/>
          </w:tcPr>
          <w:p w14:paraId="4B79B867">
            <w:pPr>
              <w:pStyle w:val="10"/>
            </w:pPr>
            <w:r>
              <w:t>指标值确定依据</w:t>
            </w:r>
          </w:p>
        </w:tc>
      </w:tr>
      <w:tr w14:paraId="73EA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B50B8">
            <w:pPr>
              <w:pStyle w:val="13"/>
            </w:pPr>
            <w:r>
              <w:t>产出指标</w:t>
            </w:r>
          </w:p>
        </w:tc>
        <w:tc>
          <w:tcPr>
            <w:tcW w:w="2268" w:type="dxa"/>
            <w:vAlign w:val="center"/>
          </w:tcPr>
          <w:p w14:paraId="4CBC668C">
            <w:pPr>
              <w:pStyle w:val="12"/>
            </w:pPr>
            <w:r>
              <w:t>数量指标</w:t>
            </w:r>
          </w:p>
        </w:tc>
        <w:tc>
          <w:tcPr>
            <w:tcW w:w="2835" w:type="dxa"/>
            <w:vAlign w:val="center"/>
          </w:tcPr>
          <w:p w14:paraId="2BBD92F3">
            <w:pPr>
              <w:pStyle w:val="12"/>
            </w:pPr>
            <w:r>
              <w:t>教学楼维修</w:t>
            </w:r>
          </w:p>
        </w:tc>
        <w:tc>
          <w:tcPr>
            <w:tcW w:w="5386" w:type="dxa"/>
            <w:vAlign w:val="center"/>
          </w:tcPr>
          <w:p w14:paraId="32888033">
            <w:pPr>
              <w:pStyle w:val="12"/>
            </w:pPr>
            <w:r>
              <w:t>教学楼外墙、内墙维修</w:t>
            </w:r>
          </w:p>
        </w:tc>
        <w:tc>
          <w:tcPr>
            <w:tcW w:w="2268" w:type="dxa"/>
            <w:vAlign w:val="center"/>
          </w:tcPr>
          <w:p w14:paraId="31F02A59">
            <w:pPr>
              <w:pStyle w:val="12"/>
            </w:pPr>
            <w:r>
              <w:t>850</w:t>
            </w:r>
            <w:r>
              <w:rPr>
                <w:rFonts w:hint="eastAsia"/>
                <w:lang w:eastAsia="zh-CN"/>
              </w:rPr>
              <w:t>平方</w:t>
            </w:r>
            <w:r>
              <w:t>米</w:t>
            </w:r>
          </w:p>
        </w:tc>
        <w:tc>
          <w:tcPr>
            <w:tcW w:w="1276" w:type="dxa"/>
            <w:vAlign w:val="center"/>
          </w:tcPr>
          <w:p w14:paraId="33D39968">
            <w:pPr>
              <w:pStyle w:val="12"/>
            </w:pPr>
            <w:r>
              <w:t xml:space="preserve"> 项目规划</w:t>
            </w:r>
          </w:p>
        </w:tc>
      </w:tr>
      <w:tr w14:paraId="2791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2C643"/>
        </w:tc>
        <w:tc>
          <w:tcPr>
            <w:tcW w:w="2268" w:type="dxa"/>
            <w:vAlign w:val="center"/>
          </w:tcPr>
          <w:p w14:paraId="03F299EF">
            <w:pPr>
              <w:pStyle w:val="12"/>
            </w:pPr>
            <w:r>
              <w:t>质量指标</w:t>
            </w:r>
          </w:p>
        </w:tc>
        <w:tc>
          <w:tcPr>
            <w:tcW w:w="2835" w:type="dxa"/>
            <w:vAlign w:val="center"/>
          </w:tcPr>
          <w:p w14:paraId="59004E19">
            <w:pPr>
              <w:pStyle w:val="12"/>
            </w:pPr>
            <w:r>
              <w:t>资金支付率</w:t>
            </w:r>
          </w:p>
        </w:tc>
        <w:tc>
          <w:tcPr>
            <w:tcW w:w="5386" w:type="dxa"/>
            <w:vAlign w:val="center"/>
          </w:tcPr>
          <w:p w14:paraId="75CAD30A">
            <w:pPr>
              <w:pStyle w:val="12"/>
            </w:pPr>
            <w:r>
              <w:t>按照序时进度完成资金支付</w:t>
            </w:r>
          </w:p>
        </w:tc>
        <w:tc>
          <w:tcPr>
            <w:tcW w:w="2268" w:type="dxa"/>
            <w:vAlign w:val="center"/>
          </w:tcPr>
          <w:p w14:paraId="6D6EF41B">
            <w:pPr>
              <w:pStyle w:val="12"/>
            </w:pPr>
            <w:r>
              <w:t>100%</w:t>
            </w:r>
          </w:p>
        </w:tc>
        <w:tc>
          <w:tcPr>
            <w:tcW w:w="1276" w:type="dxa"/>
            <w:vAlign w:val="center"/>
          </w:tcPr>
          <w:p w14:paraId="7BA4B833">
            <w:pPr>
              <w:pStyle w:val="12"/>
            </w:pPr>
            <w:r>
              <w:t xml:space="preserve"> 项目规划</w:t>
            </w:r>
          </w:p>
        </w:tc>
      </w:tr>
      <w:tr w14:paraId="7EF73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5F048"/>
        </w:tc>
        <w:tc>
          <w:tcPr>
            <w:tcW w:w="2268" w:type="dxa"/>
            <w:vAlign w:val="center"/>
          </w:tcPr>
          <w:p w14:paraId="66A4A519">
            <w:pPr>
              <w:pStyle w:val="12"/>
            </w:pPr>
            <w:r>
              <w:t>时效指标</w:t>
            </w:r>
          </w:p>
        </w:tc>
        <w:tc>
          <w:tcPr>
            <w:tcW w:w="2835" w:type="dxa"/>
            <w:vAlign w:val="center"/>
          </w:tcPr>
          <w:p w14:paraId="25D0819C">
            <w:pPr>
              <w:pStyle w:val="12"/>
            </w:pPr>
            <w:r>
              <w:t>项目竣工验收合格率</w:t>
            </w:r>
          </w:p>
        </w:tc>
        <w:tc>
          <w:tcPr>
            <w:tcW w:w="5386" w:type="dxa"/>
            <w:vAlign w:val="center"/>
          </w:tcPr>
          <w:p w14:paraId="0116A6E9">
            <w:pPr>
              <w:pStyle w:val="12"/>
            </w:pPr>
            <w:r>
              <w:t>项目改造质量达标率</w:t>
            </w:r>
          </w:p>
        </w:tc>
        <w:tc>
          <w:tcPr>
            <w:tcW w:w="2268" w:type="dxa"/>
            <w:vAlign w:val="center"/>
          </w:tcPr>
          <w:p w14:paraId="3A7F9261">
            <w:pPr>
              <w:pStyle w:val="12"/>
            </w:pPr>
            <w:r>
              <w:t>100%</w:t>
            </w:r>
          </w:p>
        </w:tc>
        <w:tc>
          <w:tcPr>
            <w:tcW w:w="1276" w:type="dxa"/>
            <w:vAlign w:val="center"/>
          </w:tcPr>
          <w:p w14:paraId="671B9373">
            <w:pPr>
              <w:pStyle w:val="12"/>
            </w:pPr>
            <w:r>
              <w:t xml:space="preserve"> 项目规划</w:t>
            </w:r>
          </w:p>
        </w:tc>
      </w:tr>
      <w:tr w14:paraId="36E1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514CA"/>
        </w:tc>
        <w:tc>
          <w:tcPr>
            <w:tcW w:w="2268" w:type="dxa"/>
            <w:vAlign w:val="center"/>
          </w:tcPr>
          <w:p w14:paraId="1A629EE8">
            <w:pPr>
              <w:pStyle w:val="12"/>
            </w:pPr>
            <w:r>
              <w:t>成本指标</w:t>
            </w:r>
          </w:p>
        </w:tc>
        <w:tc>
          <w:tcPr>
            <w:tcW w:w="2835" w:type="dxa"/>
            <w:vAlign w:val="center"/>
          </w:tcPr>
          <w:p w14:paraId="745A28E4">
            <w:pPr>
              <w:pStyle w:val="12"/>
            </w:pPr>
            <w:r>
              <w:t>项目实际成本</w:t>
            </w:r>
          </w:p>
        </w:tc>
        <w:tc>
          <w:tcPr>
            <w:tcW w:w="5386" w:type="dxa"/>
            <w:vAlign w:val="center"/>
          </w:tcPr>
          <w:p w14:paraId="3C4C899B">
            <w:pPr>
              <w:pStyle w:val="12"/>
            </w:pPr>
            <w:r>
              <w:t>教学楼外墙、内墙维修</w:t>
            </w:r>
          </w:p>
        </w:tc>
        <w:tc>
          <w:tcPr>
            <w:tcW w:w="2268" w:type="dxa"/>
            <w:vAlign w:val="center"/>
          </w:tcPr>
          <w:p w14:paraId="608805F8">
            <w:pPr>
              <w:pStyle w:val="12"/>
            </w:pPr>
            <w:r>
              <w:t>177590元</w:t>
            </w:r>
          </w:p>
        </w:tc>
        <w:tc>
          <w:tcPr>
            <w:tcW w:w="1276" w:type="dxa"/>
            <w:vAlign w:val="center"/>
          </w:tcPr>
          <w:p w14:paraId="5CD0CE86">
            <w:pPr>
              <w:pStyle w:val="12"/>
            </w:pPr>
            <w:r>
              <w:t xml:space="preserve"> 项目规划</w:t>
            </w:r>
          </w:p>
        </w:tc>
      </w:tr>
      <w:tr w14:paraId="2471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DC43E">
            <w:pPr>
              <w:pStyle w:val="13"/>
            </w:pPr>
            <w:r>
              <w:t>效益指标</w:t>
            </w:r>
          </w:p>
        </w:tc>
        <w:tc>
          <w:tcPr>
            <w:tcW w:w="2268" w:type="dxa"/>
            <w:vAlign w:val="center"/>
          </w:tcPr>
          <w:p w14:paraId="086580EF">
            <w:pPr>
              <w:pStyle w:val="12"/>
            </w:pPr>
            <w:r>
              <w:t>社会效益指标</w:t>
            </w:r>
          </w:p>
        </w:tc>
        <w:tc>
          <w:tcPr>
            <w:tcW w:w="2835" w:type="dxa"/>
            <w:vAlign w:val="center"/>
          </w:tcPr>
          <w:p w14:paraId="11211B58">
            <w:pPr>
              <w:pStyle w:val="12"/>
            </w:pPr>
            <w:r>
              <w:t>教育发展水平</w:t>
            </w:r>
          </w:p>
        </w:tc>
        <w:tc>
          <w:tcPr>
            <w:tcW w:w="5386" w:type="dxa"/>
            <w:vAlign w:val="center"/>
          </w:tcPr>
          <w:p w14:paraId="6490732A">
            <w:pPr>
              <w:pStyle w:val="12"/>
            </w:pPr>
            <w:r>
              <w:t>辖区内教育环境明显好转</w:t>
            </w:r>
          </w:p>
        </w:tc>
        <w:tc>
          <w:tcPr>
            <w:tcW w:w="2268" w:type="dxa"/>
            <w:vAlign w:val="center"/>
          </w:tcPr>
          <w:p w14:paraId="71839AC0">
            <w:pPr>
              <w:pStyle w:val="12"/>
            </w:pPr>
            <w:r>
              <w:t>≥95%</w:t>
            </w:r>
          </w:p>
        </w:tc>
        <w:tc>
          <w:tcPr>
            <w:tcW w:w="1276" w:type="dxa"/>
            <w:vAlign w:val="center"/>
          </w:tcPr>
          <w:p w14:paraId="10F6C5C7">
            <w:pPr>
              <w:pStyle w:val="12"/>
            </w:pPr>
            <w:r>
              <w:t xml:space="preserve"> 项目规划</w:t>
            </w:r>
          </w:p>
        </w:tc>
      </w:tr>
      <w:tr w14:paraId="61D7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DC83B">
            <w:pPr>
              <w:pStyle w:val="13"/>
            </w:pPr>
            <w:r>
              <w:t>满意度指标</w:t>
            </w:r>
          </w:p>
        </w:tc>
        <w:tc>
          <w:tcPr>
            <w:tcW w:w="2268" w:type="dxa"/>
            <w:vAlign w:val="center"/>
          </w:tcPr>
          <w:p w14:paraId="25A621B1">
            <w:pPr>
              <w:pStyle w:val="12"/>
            </w:pPr>
            <w:r>
              <w:t>服务对象满意度指标</w:t>
            </w:r>
          </w:p>
        </w:tc>
        <w:tc>
          <w:tcPr>
            <w:tcW w:w="2835" w:type="dxa"/>
            <w:vAlign w:val="center"/>
          </w:tcPr>
          <w:p w14:paraId="6EF4B52F">
            <w:pPr>
              <w:pStyle w:val="12"/>
            </w:pPr>
            <w:r>
              <w:t>受益学生家长及调查满意度</w:t>
            </w:r>
          </w:p>
        </w:tc>
        <w:tc>
          <w:tcPr>
            <w:tcW w:w="5386" w:type="dxa"/>
            <w:vAlign w:val="center"/>
          </w:tcPr>
          <w:p w14:paraId="4EDE6507">
            <w:pPr>
              <w:pStyle w:val="12"/>
            </w:pPr>
            <w:r>
              <w:t>学生、教师及家长对学校工作满意度情况</w:t>
            </w:r>
          </w:p>
        </w:tc>
        <w:tc>
          <w:tcPr>
            <w:tcW w:w="2268" w:type="dxa"/>
            <w:vAlign w:val="center"/>
          </w:tcPr>
          <w:p w14:paraId="7FFD5685">
            <w:pPr>
              <w:pStyle w:val="12"/>
            </w:pPr>
            <w:r>
              <w:t>≥95%</w:t>
            </w:r>
          </w:p>
        </w:tc>
        <w:tc>
          <w:tcPr>
            <w:tcW w:w="1276" w:type="dxa"/>
            <w:vAlign w:val="center"/>
          </w:tcPr>
          <w:p w14:paraId="24723086">
            <w:pPr>
              <w:pStyle w:val="12"/>
            </w:pPr>
            <w:r>
              <w:t>问卷调查</w:t>
            </w:r>
          </w:p>
        </w:tc>
      </w:tr>
    </w:tbl>
    <w:p w14:paraId="1721B999">
      <w:pPr>
        <w:sectPr>
          <w:pgSz w:w="16840" w:h="11900" w:orient="landscape"/>
          <w:pgMar w:top="1361" w:right="1020" w:bottom="1134" w:left="1020" w:header="720" w:footer="720" w:gutter="0"/>
          <w:cols w:space="720" w:num="1"/>
        </w:sectPr>
      </w:pPr>
    </w:p>
    <w:p w14:paraId="3685D5F3">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3、冀财教[2025]121号/中央/2026年义教补助经费/牛家桥校区北吴疃小学公用经费绩效目标表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03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51BD9">
            <w:pPr>
              <w:pStyle w:val="11"/>
            </w:pPr>
            <w:r>
              <w:t>单位：万元</w:t>
            </w:r>
          </w:p>
        </w:tc>
      </w:tr>
      <w:tr w14:paraId="46BC6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0AA32">
            <w:pPr>
              <w:pStyle w:val="10"/>
            </w:pPr>
            <w:r>
              <w:t>项目编码</w:t>
            </w:r>
          </w:p>
        </w:tc>
        <w:tc>
          <w:tcPr>
            <w:tcW w:w="5103" w:type="dxa"/>
            <w:gridSpan w:val="2"/>
            <w:vAlign w:val="center"/>
          </w:tcPr>
          <w:p w14:paraId="7CB16B90">
            <w:pPr>
              <w:pStyle w:val="12"/>
            </w:pPr>
            <w:r>
              <w:t>13052526P00000410333Q</w:t>
            </w:r>
          </w:p>
        </w:tc>
        <w:tc>
          <w:tcPr>
            <w:tcW w:w="2835" w:type="dxa"/>
            <w:vAlign w:val="center"/>
          </w:tcPr>
          <w:p w14:paraId="364B7ABF">
            <w:pPr>
              <w:pStyle w:val="10"/>
            </w:pPr>
            <w:r>
              <w:t>项目名称</w:t>
            </w:r>
          </w:p>
        </w:tc>
        <w:tc>
          <w:tcPr>
            <w:tcW w:w="6095" w:type="dxa"/>
            <w:gridSpan w:val="3"/>
            <w:vAlign w:val="center"/>
          </w:tcPr>
          <w:p w14:paraId="50B1C778">
            <w:pPr>
              <w:pStyle w:val="12"/>
            </w:pPr>
            <w:r>
              <w:t>冀财教[2025]121号/中央/2026年义教补助经费/牛家桥校区北吴疃小学公用经费</w:t>
            </w:r>
          </w:p>
        </w:tc>
      </w:tr>
      <w:tr w14:paraId="44464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C1CB0">
            <w:pPr>
              <w:pStyle w:val="10"/>
            </w:pPr>
            <w:r>
              <w:t>预算规模及资金用途</w:t>
            </w:r>
          </w:p>
        </w:tc>
        <w:tc>
          <w:tcPr>
            <w:tcW w:w="2268" w:type="dxa"/>
            <w:vAlign w:val="center"/>
          </w:tcPr>
          <w:p w14:paraId="69AEFC1D">
            <w:pPr>
              <w:pStyle w:val="10"/>
            </w:pPr>
            <w:r>
              <w:t>预算数</w:t>
            </w:r>
          </w:p>
        </w:tc>
        <w:tc>
          <w:tcPr>
            <w:tcW w:w="2835" w:type="dxa"/>
            <w:vAlign w:val="center"/>
          </w:tcPr>
          <w:p w14:paraId="5787C9D3">
            <w:pPr>
              <w:pStyle w:val="12"/>
            </w:pPr>
            <w:r>
              <w:t>5.97</w:t>
            </w:r>
          </w:p>
        </w:tc>
        <w:tc>
          <w:tcPr>
            <w:tcW w:w="2835" w:type="dxa"/>
            <w:vAlign w:val="center"/>
          </w:tcPr>
          <w:p w14:paraId="1E2C2C6A">
            <w:pPr>
              <w:pStyle w:val="10"/>
            </w:pPr>
            <w:r>
              <w:t>其中：财政    资金</w:t>
            </w:r>
          </w:p>
        </w:tc>
        <w:tc>
          <w:tcPr>
            <w:tcW w:w="2551" w:type="dxa"/>
            <w:vAlign w:val="center"/>
          </w:tcPr>
          <w:p w14:paraId="36ACD4C4">
            <w:pPr>
              <w:pStyle w:val="12"/>
            </w:pPr>
            <w:r>
              <w:t>5.97</w:t>
            </w:r>
          </w:p>
        </w:tc>
        <w:tc>
          <w:tcPr>
            <w:tcW w:w="2268" w:type="dxa"/>
            <w:vAlign w:val="center"/>
          </w:tcPr>
          <w:p w14:paraId="32C3E90F">
            <w:pPr>
              <w:pStyle w:val="10"/>
            </w:pPr>
            <w:r>
              <w:t>其他资金</w:t>
            </w:r>
          </w:p>
        </w:tc>
        <w:tc>
          <w:tcPr>
            <w:tcW w:w="1276" w:type="dxa"/>
            <w:vAlign w:val="center"/>
          </w:tcPr>
          <w:p w14:paraId="1FFF9BE2">
            <w:pPr>
              <w:pStyle w:val="12"/>
            </w:pPr>
            <w:r>
              <w:t xml:space="preserve"> </w:t>
            </w:r>
          </w:p>
        </w:tc>
      </w:tr>
      <w:tr w14:paraId="6C9A8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94BCF"/>
        </w:tc>
        <w:tc>
          <w:tcPr>
            <w:tcW w:w="14033" w:type="dxa"/>
            <w:gridSpan w:val="6"/>
            <w:vAlign w:val="center"/>
          </w:tcPr>
          <w:p w14:paraId="198BD256">
            <w:pPr>
              <w:pStyle w:val="12"/>
            </w:pPr>
            <w:r>
              <w:t>有效完成学校教学安全秩序，保障学校教学任务有效开展，满足学校正常教学需要。</w:t>
            </w:r>
          </w:p>
        </w:tc>
      </w:tr>
      <w:tr w14:paraId="6ECEF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D1F9C">
            <w:pPr>
              <w:pStyle w:val="10"/>
            </w:pPr>
            <w:r>
              <w:t>资金支出计划（%）</w:t>
            </w:r>
          </w:p>
        </w:tc>
        <w:tc>
          <w:tcPr>
            <w:tcW w:w="5103" w:type="dxa"/>
            <w:gridSpan w:val="2"/>
            <w:vAlign w:val="center"/>
          </w:tcPr>
          <w:p w14:paraId="01479D82">
            <w:pPr>
              <w:pStyle w:val="10"/>
            </w:pPr>
            <w:r>
              <w:t>3月底</w:t>
            </w:r>
          </w:p>
        </w:tc>
        <w:tc>
          <w:tcPr>
            <w:tcW w:w="2835" w:type="dxa"/>
            <w:vAlign w:val="center"/>
          </w:tcPr>
          <w:p w14:paraId="0E82169D">
            <w:pPr>
              <w:pStyle w:val="10"/>
            </w:pPr>
            <w:r>
              <w:t>6月底</w:t>
            </w:r>
          </w:p>
        </w:tc>
        <w:tc>
          <w:tcPr>
            <w:tcW w:w="2551" w:type="dxa"/>
            <w:vAlign w:val="center"/>
          </w:tcPr>
          <w:p w14:paraId="0F20FAC2">
            <w:pPr>
              <w:pStyle w:val="10"/>
            </w:pPr>
            <w:r>
              <w:t>10月底</w:t>
            </w:r>
          </w:p>
        </w:tc>
        <w:tc>
          <w:tcPr>
            <w:tcW w:w="3544" w:type="dxa"/>
            <w:gridSpan w:val="2"/>
            <w:vAlign w:val="center"/>
          </w:tcPr>
          <w:p w14:paraId="458435A2">
            <w:pPr>
              <w:pStyle w:val="10"/>
            </w:pPr>
            <w:r>
              <w:t>12月底</w:t>
            </w:r>
          </w:p>
        </w:tc>
      </w:tr>
      <w:tr w14:paraId="3180F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80DC3"/>
        </w:tc>
        <w:tc>
          <w:tcPr>
            <w:tcW w:w="5103" w:type="dxa"/>
            <w:gridSpan w:val="2"/>
            <w:vAlign w:val="center"/>
          </w:tcPr>
          <w:p w14:paraId="4E4A27A6">
            <w:pPr>
              <w:pStyle w:val="13"/>
            </w:pPr>
            <w:r>
              <w:t>25%</w:t>
            </w:r>
          </w:p>
        </w:tc>
        <w:tc>
          <w:tcPr>
            <w:tcW w:w="2835" w:type="dxa"/>
            <w:vAlign w:val="center"/>
          </w:tcPr>
          <w:p w14:paraId="6BDBEE14">
            <w:pPr>
              <w:pStyle w:val="13"/>
            </w:pPr>
            <w:r>
              <w:t>50%</w:t>
            </w:r>
          </w:p>
        </w:tc>
        <w:tc>
          <w:tcPr>
            <w:tcW w:w="2551" w:type="dxa"/>
            <w:vAlign w:val="center"/>
          </w:tcPr>
          <w:p w14:paraId="72843ED0">
            <w:pPr>
              <w:pStyle w:val="13"/>
            </w:pPr>
            <w:r>
              <w:t>75%</w:t>
            </w:r>
          </w:p>
        </w:tc>
        <w:tc>
          <w:tcPr>
            <w:tcW w:w="3544" w:type="dxa"/>
            <w:gridSpan w:val="2"/>
            <w:vAlign w:val="center"/>
          </w:tcPr>
          <w:p w14:paraId="63B410AF">
            <w:pPr>
              <w:pStyle w:val="13"/>
            </w:pPr>
            <w:r>
              <w:t>100%</w:t>
            </w:r>
          </w:p>
        </w:tc>
      </w:tr>
      <w:tr w14:paraId="7B28B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72022">
            <w:pPr>
              <w:pStyle w:val="10"/>
            </w:pPr>
            <w:r>
              <w:t>绩效目标</w:t>
            </w:r>
          </w:p>
        </w:tc>
        <w:tc>
          <w:tcPr>
            <w:tcW w:w="14033" w:type="dxa"/>
            <w:gridSpan w:val="6"/>
            <w:vAlign w:val="center"/>
          </w:tcPr>
          <w:p w14:paraId="04012F18">
            <w:pPr>
              <w:pStyle w:val="12"/>
            </w:pPr>
            <w:r>
              <w:t>1.有效完成学校教学安全秩序，保障学校教学任务有效开展，满足学校正常教学需要。</w:t>
            </w:r>
          </w:p>
          <w:p w14:paraId="07BFE77D">
            <w:pPr>
              <w:pStyle w:val="12"/>
            </w:pPr>
            <w:r>
              <w:t>2.按规定拨付公用经费资金，预算执行率≥98%。</w:t>
            </w:r>
          </w:p>
        </w:tc>
      </w:tr>
    </w:tbl>
    <w:p w14:paraId="1BB18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0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632DD">
            <w:pPr>
              <w:pStyle w:val="10"/>
            </w:pPr>
            <w:r>
              <w:t>一级指标</w:t>
            </w:r>
          </w:p>
        </w:tc>
        <w:tc>
          <w:tcPr>
            <w:tcW w:w="2268" w:type="dxa"/>
            <w:vAlign w:val="center"/>
          </w:tcPr>
          <w:p w14:paraId="1CEE2653">
            <w:pPr>
              <w:pStyle w:val="10"/>
            </w:pPr>
            <w:r>
              <w:t>二级指标</w:t>
            </w:r>
          </w:p>
        </w:tc>
        <w:tc>
          <w:tcPr>
            <w:tcW w:w="2835" w:type="dxa"/>
            <w:vAlign w:val="center"/>
          </w:tcPr>
          <w:p w14:paraId="36924F4C">
            <w:pPr>
              <w:pStyle w:val="10"/>
            </w:pPr>
            <w:r>
              <w:t>三级指标</w:t>
            </w:r>
          </w:p>
        </w:tc>
        <w:tc>
          <w:tcPr>
            <w:tcW w:w="5386" w:type="dxa"/>
            <w:vAlign w:val="center"/>
          </w:tcPr>
          <w:p w14:paraId="5A75AA2A">
            <w:pPr>
              <w:pStyle w:val="10"/>
            </w:pPr>
            <w:r>
              <w:t>绩效指标描述</w:t>
            </w:r>
          </w:p>
        </w:tc>
        <w:tc>
          <w:tcPr>
            <w:tcW w:w="2268" w:type="dxa"/>
            <w:vAlign w:val="center"/>
          </w:tcPr>
          <w:p w14:paraId="3722DA52">
            <w:pPr>
              <w:pStyle w:val="10"/>
            </w:pPr>
            <w:r>
              <w:t>指标值</w:t>
            </w:r>
          </w:p>
        </w:tc>
        <w:tc>
          <w:tcPr>
            <w:tcW w:w="1276" w:type="dxa"/>
            <w:vAlign w:val="center"/>
          </w:tcPr>
          <w:p w14:paraId="4B74D44D">
            <w:pPr>
              <w:pStyle w:val="10"/>
            </w:pPr>
            <w:r>
              <w:t>指标值确定依据</w:t>
            </w:r>
          </w:p>
        </w:tc>
      </w:tr>
      <w:tr w14:paraId="3CDD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DFCAD">
            <w:pPr>
              <w:pStyle w:val="13"/>
            </w:pPr>
            <w:r>
              <w:t>产出指标</w:t>
            </w:r>
          </w:p>
        </w:tc>
        <w:tc>
          <w:tcPr>
            <w:tcW w:w="2268" w:type="dxa"/>
            <w:vAlign w:val="center"/>
          </w:tcPr>
          <w:p w14:paraId="36113BDF">
            <w:pPr>
              <w:pStyle w:val="12"/>
            </w:pPr>
            <w:r>
              <w:t>成本指标</w:t>
            </w:r>
          </w:p>
        </w:tc>
        <w:tc>
          <w:tcPr>
            <w:tcW w:w="2835" w:type="dxa"/>
            <w:vAlign w:val="center"/>
          </w:tcPr>
          <w:p w14:paraId="4DD3C057">
            <w:pPr>
              <w:pStyle w:val="12"/>
            </w:pPr>
            <w:r>
              <w:t>生均拨款标准</w:t>
            </w:r>
          </w:p>
        </w:tc>
        <w:tc>
          <w:tcPr>
            <w:tcW w:w="5386" w:type="dxa"/>
            <w:vAlign w:val="center"/>
          </w:tcPr>
          <w:p w14:paraId="0AB55747">
            <w:pPr>
              <w:pStyle w:val="12"/>
            </w:pPr>
            <w:r>
              <w:t>小学生公用经费生均小学720元。取暖费120元/生/年，随班就读学生补助7000元/生</w:t>
            </w:r>
          </w:p>
        </w:tc>
        <w:tc>
          <w:tcPr>
            <w:tcW w:w="2268" w:type="dxa"/>
            <w:vAlign w:val="center"/>
          </w:tcPr>
          <w:p w14:paraId="0E2AE37D">
            <w:pPr>
              <w:pStyle w:val="12"/>
            </w:pPr>
            <w:r>
              <w:t>840元</w:t>
            </w:r>
          </w:p>
        </w:tc>
        <w:tc>
          <w:tcPr>
            <w:tcW w:w="1276" w:type="dxa"/>
            <w:vAlign w:val="center"/>
          </w:tcPr>
          <w:p w14:paraId="522C7AB8">
            <w:pPr>
              <w:pStyle w:val="12"/>
            </w:pPr>
            <w:r>
              <w:t>城乡义务教育公用经费管理办法</w:t>
            </w:r>
          </w:p>
        </w:tc>
      </w:tr>
      <w:tr w14:paraId="6276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D5AAA"/>
        </w:tc>
        <w:tc>
          <w:tcPr>
            <w:tcW w:w="2268" w:type="dxa"/>
            <w:vAlign w:val="center"/>
          </w:tcPr>
          <w:p w14:paraId="73949DA3">
            <w:pPr>
              <w:pStyle w:val="12"/>
            </w:pPr>
            <w:r>
              <w:t>数量指标</w:t>
            </w:r>
          </w:p>
        </w:tc>
        <w:tc>
          <w:tcPr>
            <w:tcW w:w="2835" w:type="dxa"/>
            <w:vAlign w:val="center"/>
          </w:tcPr>
          <w:p w14:paraId="5174D130">
            <w:pPr>
              <w:pStyle w:val="12"/>
            </w:pPr>
            <w:r>
              <w:t>就读学生数</w:t>
            </w:r>
          </w:p>
        </w:tc>
        <w:tc>
          <w:tcPr>
            <w:tcW w:w="5386" w:type="dxa"/>
            <w:vAlign w:val="center"/>
          </w:tcPr>
          <w:p w14:paraId="52E5AB10">
            <w:pPr>
              <w:pStyle w:val="12"/>
            </w:pPr>
            <w:r>
              <w:t>辐射区域内适龄学生人数</w:t>
            </w:r>
          </w:p>
        </w:tc>
        <w:tc>
          <w:tcPr>
            <w:tcW w:w="2268" w:type="dxa"/>
            <w:vAlign w:val="center"/>
          </w:tcPr>
          <w:p w14:paraId="70631B2B">
            <w:pPr>
              <w:pStyle w:val="12"/>
            </w:pPr>
            <w:r>
              <w:t>113人</w:t>
            </w:r>
          </w:p>
        </w:tc>
        <w:tc>
          <w:tcPr>
            <w:tcW w:w="1276" w:type="dxa"/>
            <w:vAlign w:val="center"/>
          </w:tcPr>
          <w:p w14:paraId="74EB6700">
            <w:pPr>
              <w:pStyle w:val="12"/>
            </w:pPr>
            <w:r>
              <w:t>城乡义务教育公用经费管理办法</w:t>
            </w:r>
          </w:p>
        </w:tc>
      </w:tr>
      <w:tr w14:paraId="55423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BF542"/>
        </w:tc>
        <w:tc>
          <w:tcPr>
            <w:tcW w:w="2268" w:type="dxa"/>
            <w:vAlign w:val="center"/>
          </w:tcPr>
          <w:p w14:paraId="3870E8CA">
            <w:pPr>
              <w:pStyle w:val="12"/>
            </w:pPr>
            <w:r>
              <w:t>质量指标</w:t>
            </w:r>
          </w:p>
        </w:tc>
        <w:tc>
          <w:tcPr>
            <w:tcW w:w="2835" w:type="dxa"/>
            <w:vAlign w:val="center"/>
          </w:tcPr>
          <w:p w14:paraId="7B242E30">
            <w:pPr>
              <w:pStyle w:val="12"/>
            </w:pPr>
            <w:r>
              <w:t>预算执行率</w:t>
            </w:r>
          </w:p>
        </w:tc>
        <w:tc>
          <w:tcPr>
            <w:tcW w:w="5386" w:type="dxa"/>
            <w:vAlign w:val="center"/>
          </w:tcPr>
          <w:p w14:paraId="3BE293C8">
            <w:pPr>
              <w:pStyle w:val="12"/>
            </w:pPr>
            <w:r>
              <w:t>预算执行率≥98%</w:t>
            </w:r>
          </w:p>
        </w:tc>
        <w:tc>
          <w:tcPr>
            <w:tcW w:w="2268" w:type="dxa"/>
            <w:vAlign w:val="center"/>
          </w:tcPr>
          <w:p w14:paraId="4683E0E0">
            <w:pPr>
              <w:pStyle w:val="12"/>
            </w:pPr>
            <w:r>
              <w:t>98%</w:t>
            </w:r>
          </w:p>
        </w:tc>
        <w:tc>
          <w:tcPr>
            <w:tcW w:w="1276" w:type="dxa"/>
            <w:vAlign w:val="center"/>
          </w:tcPr>
          <w:p w14:paraId="4F4D1753">
            <w:pPr>
              <w:pStyle w:val="12"/>
            </w:pPr>
            <w:r>
              <w:t>城乡义务教育公用经费管理办法</w:t>
            </w:r>
          </w:p>
        </w:tc>
      </w:tr>
      <w:tr w14:paraId="1C56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1B7E3"/>
        </w:tc>
        <w:tc>
          <w:tcPr>
            <w:tcW w:w="2268" w:type="dxa"/>
            <w:vAlign w:val="center"/>
          </w:tcPr>
          <w:p w14:paraId="07FC5A17">
            <w:pPr>
              <w:pStyle w:val="12"/>
            </w:pPr>
            <w:r>
              <w:t>时效指标</w:t>
            </w:r>
          </w:p>
        </w:tc>
        <w:tc>
          <w:tcPr>
            <w:tcW w:w="2835" w:type="dxa"/>
            <w:vAlign w:val="center"/>
          </w:tcPr>
          <w:p w14:paraId="4AC574FC">
            <w:pPr>
              <w:pStyle w:val="12"/>
            </w:pPr>
            <w:r>
              <w:t>义教经费支付完成率</w:t>
            </w:r>
          </w:p>
        </w:tc>
        <w:tc>
          <w:tcPr>
            <w:tcW w:w="5386" w:type="dxa"/>
            <w:vAlign w:val="center"/>
          </w:tcPr>
          <w:p w14:paraId="311059DC">
            <w:pPr>
              <w:pStyle w:val="12"/>
            </w:pPr>
            <w:r>
              <w:t>按照序时进度完成资金支付</w:t>
            </w:r>
          </w:p>
        </w:tc>
        <w:tc>
          <w:tcPr>
            <w:tcW w:w="2268" w:type="dxa"/>
            <w:vAlign w:val="center"/>
          </w:tcPr>
          <w:p w14:paraId="06909D81">
            <w:pPr>
              <w:pStyle w:val="12"/>
            </w:pPr>
            <w:r>
              <w:t>100%</w:t>
            </w:r>
          </w:p>
        </w:tc>
        <w:tc>
          <w:tcPr>
            <w:tcW w:w="1276" w:type="dxa"/>
            <w:vAlign w:val="center"/>
          </w:tcPr>
          <w:p w14:paraId="1C41D428">
            <w:pPr>
              <w:pStyle w:val="12"/>
            </w:pPr>
            <w:r>
              <w:t>城乡义务教育公用经费管理办法</w:t>
            </w:r>
          </w:p>
        </w:tc>
      </w:tr>
      <w:tr w14:paraId="21670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41DB1">
            <w:pPr>
              <w:pStyle w:val="13"/>
            </w:pPr>
            <w:r>
              <w:t>效益指标</w:t>
            </w:r>
          </w:p>
        </w:tc>
        <w:tc>
          <w:tcPr>
            <w:tcW w:w="2268" w:type="dxa"/>
            <w:vAlign w:val="center"/>
          </w:tcPr>
          <w:p w14:paraId="1387F70B">
            <w:pPr>
              <w:pStyle w:val="12"/>
            </w:pPr>
            <w:r>
              <w:t>社会效益指标</w:t>
            </w:r>
          </w:p>
        </w:tc>
        <w:tc>
          <w:tcPr>
            <w:tcW w:w="2835" w:type="dxa"/>
            <w:vAlign w:val="center"/>
          </w:tcPr>
          <w:p w14:paraId="3FF13B3D">
            <w:pPr>
              <w:pStyle w:val="12"/>
            </w:pPr>
            <w:r>
              <w:t>学校运转得到提高</w:t>
            </w:r>
          </w:p>
        </w:tc>
        <w:tc>
          <w:tcPr>
            <w:tcW w:w="5386" w:type="dxa"/>
            <w:vAlign w:val="center"/>
          </w:tcPr>
          <w:p w14:paraId="4826111A">
            <w:pPr>
              <w:pStyle w:val="12"/>
            </w:pPr>
            <w:r>
              <w:t>学生受教育年限</w:t>
            </w:r>
          </w:p>
        </w:tc>
        <w:tc>
          <w:tcPr>
            <w:tcW w:w="2268" w:type="dxa"/>
            <w:vAlign w:val="center"/>
          </w:tcPr>
          <w:p w14:paraId="030AA759">
            <w:pPr>
              <w:pStyle w:val="12"/>
            </w:pPr>
            <w:r>
              <w:t>6年</w:t>
            </w:r>
          </w:p>
        </w:tc>
        <w:tc>
          <w:tcPr>
            <w:tcW w:w="1276" w:type="dxa"/>
            <w:vAlign w:val="center"/>
          </w:tcPr>
          <w:p w14:paraId="5C99ECE9">
            <w:pPr>
              <w:pStyle w:val="12"/>
            </w:pPr>
            <w:r>
              <w:t>城乡义务教育公用经费管理办法</w:t>
            </w:r>
          </w:p>
        </w:tc>
      </w:tr>
      <w:tr w14:paraId="33FC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6A70E">
            <w:pPr>
              <w:pStyle w:val="13"/>
            </w:pPr>
            <w:r>
              <w:t>满意度指标</w:t>
            </w:r>
          </w:p>
        </w:tc>
        <w:tc>
          <w:tcPr>
            <w:tcW w:w="2268" w:type="dxa"/>
            <w:vAlign w:val="center"/>
          </w:tcPr>
          <w:p w14:paraId="7586D329">
            <w:pPr>
              <w:pStyle w:val="12"/>
            </w:pPr>
            <w:r>
              <w:t>服务对象满意度指标</w:t>
            </w:r>
          </w:p>
        </w:tc>
        <w:tc>
          <w:tcPr>
            <w:tcW w:w="2835" w:type="dxa"/>
            <w:vAlign w:val="center"/>
          </w:tcPr>
          <w:p w14:paraId="6FCABFBF">
            <w:pPr>
              <w:pStyle w:val="12"/>
            </w:pPr>
            <w:r>
              <w:t>服务对象满意度</w:t>
            </w:r>
          </w:p>
        </w:tc>
        <w:tc>
          <w:tcPr>
            <w:tcW w:w="5386" w:type="dxa"/>
            <w:vAlign w:val="center"/>
          </w:tcPr>
          <w:p w14:paraId="551441C9">
            <w:pPr>
              <w:pStyle w:val="12"/>
            </w:pPr>
            <w:r>
              <w:t>学校老师和学生满意度</w:t>
            </w:r>
          </w:p>
        </w:tc>
        <w:tc>
          <w:tcPr>
            <w:tcW w:w="2268" w:type="dxa"/>
            <w:vAlign w:val="center"/>
          </w:tcPr>
          <w:p w14:paraId="69D463B8">
            <w:pPr>
              <w:pStyle w:val="12"/>
            </w:pPr>
            <w:r>
              <w:t>≥95%</w:t>
            </w:r>
          </w:p>
        </w:tc>
        <w:tc>
          <w:tcPr>
            <w:tcW w:w="1276" w:type="dxa"/>
            <w:vAlign w:val="center"/>
          </w:tcPr>
          <w:p w14:paraId="1D6559F4">
            <w:pPr>
              <w:pStyle w:val="12"/>
            </w:pPr>
            <w:r>
              <w:t>问卷调查</w:t>
            </w:r>
          </w:p>
        </w:tc>
      </w:tr>
    </w:tbl>
    <w:p w14:paraId="22E5B159">
      <w:pPr>
        <w:sectPr>
          <w:pgSz w:w="16840" w:h="11900" w:orient="landscape"/>
          <w:pgMar w:top="1361" w:right="1020" w:bottom="1134" w:left="1020" w:header="720" w:footer="720" w:gutter="0"/>
          <w:cols w:space="720" w:num="1"/>
        </w:sectPr>
      </w:pPr>
    </w:p>
    <w:p w14:paraId="69D8D6DD">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4、冀财教[2025]121号/中央/2026年义教补助经费/牛家桥校区旧城小学公用经费绩效目标表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AC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26B0C">
            <w:pPr>
              <w:pStyle w:val="11"/>
            </w:pPr>
            <w:r>
              <w:t>单位：万元</w:t>
            </w:r>
          </w:p>
        </w:tc>
      </w:tr>
      <w:tr w14:paraId="36DC4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B4920">
            <w:pPr>
              <w:pStyle w:val="10"/>
            </w:pPr>
            <w:r>
              <w:t>项目编码</w:t>
            </w:r>
          </w:p>
        </w:tc>
        <w:tc>
          <w:tcPr>
            <w:tcW w:w="5103" w:type="dxa"/>
            <w:gridSpan w:val="2"/>
            <w:vAlign w:val="center"/>
          </w:tcPr>
          <w:p w14:paraId="1699E8DC">
            <w:pPr>
              <w:pStyle w:val="12"/>
            </w:pPr>
            <w:r>
              <w:t>13052526P00000410312D</w:t>
            </w:r>
          </w:p>
        </w:tc>
        <w:tc>
          <w:tcPr>
            <w:tcW w:w="2835" w:type="dxa"/>
            <w:vAlign w:val="center"/>
          </w:tcPr>
          <w:p w14:paraId="35D5CC73">
            <w:pPr>
              <w:pStyle w:val="10"/>
            </w:pPr>
            <w:r>
              <w:t>项目名称</w:t>
            </w:r>
          </w:p>
        </w:tc>
        <w:tc>
          <w:tcPr>
            <w:tcW w:w="6095" w:type="dxa"/>
            <w:gridSpan w:val="3"/>
            <w:vAlign w:val="center"/>
          </w:tcPr>
          <w:p w14:paraId="24500BED">
            <w:pPr>
              <w:pStyle w:val="12"/>
            </w:pPr>
            <w:r>
              <w:t>冀财教[2025]121号/中央/2026年义教补助经费/牛家桥校区旧城小学公用经费</w:t>
            </w:r>
          </w:p>
        </w:tc>
      </w:tr>
      <w:tr w14:paraId="7F03B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65B1B">
            <w:pPr>
              <w:pStyle w:val="10"/>
            </w:pPr>
            <w:r>
              <w:t>预算规模及资金用途</w:t>
            </w:r>
          </w:p>
        </w:tc>
        <w:tc>
          <w:tcPr>
            <w:tcW w:w="2268" w:type="dxa"/>
            <w:vAlign w:val="center"/>
          </w:tcPr>
          <w:p w14:paraId="3F25E5BC">
            <w:pPr>
              <w:pStyle w:val="10"/>
            </w:pPr>
            <w:r>
              <w:t>预算数</w:t>
            </w:r>
          </w:p>
        </w:tc>
        <w:tc>
          <w:tcPr>
            <w:tcW w:w="2835" w:type="dxa"/>
            <w:vAlign w:val="center"/>
          </w:tcPr>
          <w:p w14:paraId="5C5A9A07">
            <w:pPr>
              <w:pStyle w:val="12"/>
            </w:pPr>
            <w:r>
              <w:t>36.13</w:t>
            </w:r>
          </w:p>
        </w:tc>
        <w:tc>
          <w:tcPr>
            <w:tcW w:w="2835" w:type="dxa"/>
            <w:vAlign w:val="center"/>
          </w:tcPr>
          <w:p w14:paraId="53D437E0">
            <w:pPr>
              <w:pStyle w:val="10"/>
            </w:pPr>
            <w:r>
              <w:t>其中：财政    资金</w:t>
            </w:r>
          </w:p>
        </w:tc>
        <w:tc>
          <w:tcPr>
            <w:tcW w:w="2551" w:type="dxa"/>
            <w:vAlign w:val="center"/>
          </w:tcPr>
          <w:p w14:paraId="37066BBC">
            <w:pPr>
              <w:pStyle w:val="12"/>
            </w:pPr>
            <w:r>
              <w:t>36.13</w:t>
            </w:r>
          </w:p>
        </w:tc>
        <w:tc>
          <w:tcPr>
            <w:tcW w:w="2268" w:type="dxa"/>
            <w:vAlign w:val="center"/>
          </w:tcPr>
          <w:p w14:paraId="4D5945FC">
            <w:pPr>
              <w:pStyle w:val="10"/>
            </w:pPr>
            <w:r>
              <w:t>其他资金</w:t>
            </w:r>
          </w:p>
        </w:tc>
        <w:tc>
          <w:tcPr>
            <w:tcW w:w="1276" w:type="dxa"/>
            <w:vAlign w:val="center"/>
          </w:tcPr>
          <w:p w14:paraId="4F4D62AB">
            <w:pPr>
              <w:pStyle w:val="12"/>
            </w:pPr>
            <w:r>
              <w:t xml:space="preserve"> </w:t>
            </w:r>
          </w:p>
        </w:tc>
      </w:tr>
      <w:tr w14:paraId="5758A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AB8FE"/>
        </w:tc>
        <w:tc>
          <w:tcPr>
            <w:tcW w:w="14033" w:type="dxa"/>
            <w:gridSpan w:val="6"/>
            <w:vAlign w:val="center"/>
          </w:tcPr>
          <w:p w14:paraId="0A0D70AA">
            <w:pPr>
              <w:pStyle w:val="12"/>
            </w:pPr>
            <w:r>
              <w:t>有效完成学校教学安全秩序，保障学校教学任务有效开展，满足学校正常教学需要。</w:t>
            </w:r>
          </w:p>
        </w:tc>
      </w:tr>
      <w:tr w14:paraId="6EFE6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950B7">
            <w:pPr>
              <w:pStyle w:val="10"/>
            </w:pPr>
            <w:r>
              <w:t>资金支出计划（%）</w:t>
            </w:r>
          </w:p>
        </w:tc>
        <w:tc>
          <w:tcPr>
            <w:tcW w:w="5103" w:type="dxa"/>
            <w:gridSpan w:val="2"/>
            <w:vAlign w:val="center"/>
          </w:tcPr>
          <w:p w14:paraId="386D8CFC">
            <w:pPr>
              <w:pStyle w:val="10"/>
            </w:pPr>
            <w:r>
              <w:t>3月底</w:t>
            </w:r>
          </w:p>
        </w:tc>
        <w:tc>
          <w:tcPr>
            <w:tcW w:w="2835" w:type="dxa"/>
            <w:vAlign w:val="center"/>
          </w:tcPr>
          <w:p w14:paraId="17CDAE39">
            <w:pPr>
              <w:pStyle w:val="10"/>
            </w:pPr>
            <w:r>
              <w:t>6月底</w:t>
            </w:r>
          </w:p>
        </w:tc>
        <w:tc>
          <w:tcPr>
            <w:tcW w:w="2551" w:type="dxa"/>
            <w:vAlign w:val="center"/>
          </w:tcPr>
          <w:p w14:paraId="21B3AD28">
            <w:pPr>
              <w:pStyle w:val="10"/>
            </w:pPr>
            <w:r>
              <w:t>10月底</w:t>
            </w:r>
          </w:p>
        </w:tc>
        <w:tc>
          <w:tcPr>
            <w:tcW w:w="3544" w:type="dxa"/>
            <w:gridSpan w:val="2"/>
            <w:vAlign w:val="center"/>
          </w:tcPr>
          <w:p w14:paraId="66A3FE29">
            <w:pPr>
              <w:pStyle w:val="10"/>
            </w:pPr>
            <w:r>
              <w:t>12月底</w:t>
            </w:r>
          </w:p>
        </w:tc>
      </w:tr>
      <w:tr w14:paraId="07208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4B593"/>
        </w:tc>
        <w:tc>
          <w:tcPr>
            <w:tcW w:w="5103" w:type="dxa"/>
            <w:gridSpan w:val="2"/>
            <w:vAlign w:val="center"/>
          </w:tcPr>
          <w:p w14:paraId="3D4EBC1C">
            <w:pPr>
              <w:pStyle w:val="13"/>
            </w:pPr>
            <w:r>
              <w:t>25%</w:t>
            </w:r>
          </w:p>
        </w:tc>
        <w:tc>
          <w:tcPr>
            <w:tcW w:w="2835" w:type="dxa"/>
            <w:vAlign w:val="center"/>
          </w:tcPr>
          <w:p w14:paraId="0B204FEC">
            <w:pPr>
              <w:pStyle w:val="13"/>
            </w:pPr>
            <w:r>
              <w:t>50%</w:t>
            </w:r>
          </w:p>
        </w:tc>
        <w:tc>
          <w:tcPr>
            <w:tcW w:w="2551" w:type="dxa"/>
            <w:vAlign w:val="center"/>
          </w:tcPr>
          <w:p w14:paraId="42C2AFFF">
            <w:pPr>
              <w:pStyle w:val="13"/>
            </w:pPr>
            <w:r>
              <w:t>75%</w:t>
            </w:r>
          </w:p>
        </w:tc>
        <w:tc>
          <w:tcPr>
            <w:tcW w:w="3544" w:type="dxa"/>
            <w:gridSpan w:val="2"/>
            <w:vAlign w:val="center"/>
          </w:tcPr>
          <w:p w14:paraId="6A8DC1DC">
            <w:pPr>
              <w:pStyle w:val="13"/>
            </w:pPr>
            <w:r>
              <w:t>100%</w:t>
            </w:r>
          </w:p>
        </w:tc>
      </w:tr>
      <w:tr w14:paraId="63B4C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D7BC9">
            <w:pPr>
              <w:pStyle w:val="10"/>
            </w:pPr>
            <w:r>
              <w:t>绩效目标</w:t>
            </w:r>
          </w:p>
        </w:tc>
        <w:tc>
          <w:tcPr>
            <w:tcW w:w="14033" w:type="dxa"/>
            <w:gridSpan w:val="6"/>
            <w:vAlign w:val="center"/>
          </w:tcPr>
          <w:p w14:paraId="421848A9">
            <w:pPr>
              <w:pStyle w:val="12"/>
            </w:pPr>
            <w:r>
              <w:t>1.有效完成学校教学安全秩序，保障学校教学任务有效开展，满足学校正常教学需要。</w:t>
            </w:r>
          </w:p>
          <w:p w14:paraId="378E3F7E">
            <w:pPr>
              <w:pStyle w:val="12"/>
            </w:pPr>
            <w:r>
              <w:t>2.按规定拨付公用经费资金，预算执行率≥98%。</w:t>
            </w:r>
          </w:p>
        </w:tc>
      </w:tr>
    </w:tbl>
    <w:p w14:paraId="44100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8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BCB9B">
            <w:pPr>
              <w:pStyle w:val="10"/>
            </w:pPr>
            <w:r>
              <w:t>一级指标</w:t>
            </w:r>
          </w:p>
        </w:tc>
        <w:tc>
          <w:tcPr>
            <w:tcW w:w="2268" w:type="dxa"/>
            <w:vAlign w:val="center"/>
          </w:tcPr>
          <w:p w14:paraId="7A9A482C">
            <w:pPr>
              <w:pStyle w:val="10"/>
            </w:pPr>
            <w:r>
              <w:t>二级指标</w:t>
            </w:r>
          </w:p>
        </w:tc>
        <w:tc>
          <w:tcPr>
            <w:tcW w:w="2835" w:type="dxa"/>
            <w:vAlign w:val="center"/>
          </w:tcPr>
          <w:p w14:paraId="7FEB5DA5">
            <w:pPr>
              <w:pStyle w:val="10"/>
            </w:pPr>
            <w:r>
              <w:t>三级指标</w:t>
            </w:r>
          </w:p>
        </w:tc>
        <w:tc>
          <w:tcPr>
            <w:tcW w:w="5386" w:type="dxa"/>
            <w:vAlign w:val="center"/>
          </w:tcPr>
          <w:p w14:paraId="136267FC">
            <w:pPr>
              <w:pStyle w:val="10"/>
            </w:pPr>
            <w:r>
              <w:t>绩效指标描述</w:t>
            </w:r>
          </w:p>
        </w:tc>
        <w:tc>
          <w:tcPr>
            <w:tcW w:w="2268" w:type="dxa"/>
            <w:vAlign w:val="center"/>
          </w:tcPr>
          <w:p w14:paraId="3F0B51DE">
            <w:pPr>
              <w:pStyle w:val="10"/>
            </w:pPr>
            <w:r>
              <w:t>指标值</w:t>
            </w:r>
          </w:p>
        </w:tc>
        <w:tc>
          <w:tcPr>
            <w:tcW w:w="1276" w:type="dxa"/>
            <w:vAlign w:val="center"/>
          </w:tcPr>
          <w:p w14:paraId="0EC52BDB">
            <w:pPr>
              <w:pStyle w:val="10"/>
            </w:pPr>
            <w:r>
              <w:t>指标值确定依据</w:t>
            </w:r>
          </w:p>
        </w:tc>
      </w:tr>
      <w:tr w14:paraId="1DC3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F7CB3">
            <w:pPr>
              <w:pStyle w:val="13"/>
            </w:pPr>
            <w:r>
              <w:t>产出指标</w:t>
            </w:r>
          </w:p>
        </w:tc>
        <w:tc>
          <w:tcPr>
            <w:tcW w:w="2268" w:type="dxa"/>
            <w:vAlign w:val="center"/>
          </w:tcPr>
          <w:p w14:paraId="2F86BF61">
            <w:pPr>
              <w:pStyle w:val="12"/>
            </w:pPr>
            <w:r>
              <w:t>成本指标</w:t>
            </w:r>
          </w:p>
        </w:tc>
        <w:tc>
          <w:tcPr>
            <w:tcW w:w="2835" w:type="dxa"/>
            <w:vAlign w:val="center"/>
          </w:tcPr>
          <w:p w14:paraId="18D29C64">
            <w:pPr>
              <w:pStyle w:val="12"/>
            </w:pPr>
            <w:r>
              <w:t>生均拨款标准</w:t>
            </w:r>
          </w:p>
        </w:tc>
        <w:tc>
          <w:tcPr>
            <w:tcW w:w="5386" w:type="dxa"/>
            <w:vAlign w:val="center"/>
          </w:tcPr>
          <w:p w14:paraId="6226803B">
            <w:pPr>
              <w:pStyle w:val="12"/>
            </w:pPr>
            <w:r>
              <w:t>小学生公用经费生均小学720元。取暖费120元/生/年，随班就读学生补助7000元/生</w:t>
            </w:r>
          </w:p>
        </w:tc>
        <w:tc>
          <w:tcPr>
            <w:tcW w:w="2268" w:type="dxa"/>
            <w:vAlign w:val="center"/>
          </w:tcPr>
          <w:p w14:paraId="787F9EDB">
            <w:pPr>
              <w:pStyle w:val="12"/>
            </w:pPr>
            <w:r>
              <w:t>840元</w:t>
            </w:r>
          </w:p>
        </w:tc>
        <w:tc>
          <w:tcPr>
            <w:tcW w:w="1276" w:type="dxa"/>
            <w:vAlign w:val="center"/>
          </w:tcPr>
          <w:p w14:paraId="51AA6CC4">
            <w:pPr>
              <w:pStyle w:val="12"/>
            </w:pPr>
            <w:r>
              <w:t>城乡义务教育公用经费管理办法</w:t>
            </w:r>
          </w:p>
        </w:tc>
      </w:tr>
      <w:tr w14:paraId="3484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42F45"/>
        </w:tc>
        <w:tc>
          <w:tcPr>
            <w:tcW w:w="2268" w:type="dxa"/>
            <w:vAlign w:val="center"/>
          </w:tcPr>
          <w:p w14:paraId="515D4BDD">
            <w:pPr>
              <w:pStyle w:val="12"/>
            </w:pPr>
            <w:r>
              <w:t>数量指标</w:t>
            </w:r>
          </w:p>
        </w:tc>
        <w:tc>
          <w:tcPr>
            <w:tcW w:w="2835" w:type="dxa"/>
            <w:vAlign w:val="center"/>
          </w:tcPr>
          <w:p w14:paraId="0CBA46BC">
            <w:pPr>
              <w:pStyle w:val="12"/>
            </w:pPr>
            <w:r>
              <w:t>就读学生数</w:t>
            </w:r>
          </w:p>
        </w:tc>
        <w:tc>
          <w:tcPr>
            <w:tcW w:w="5386" w:type="dxa"/>
            <w:vAlign w:val="center"/>
          </w:tcPr>
          <w:p w14:paraId="27468BD2">
            <w:pPr>
              <w:pStyle w:val="12"/>
            </w:pPr>
            <w:r>
              <w:t>辐射区域内适龄学生人数</w:t>
            </w:r>
          </w:p>
        </w:tc>
        <w:tc>
          <w:tcPr>
            <w:tcW w:w="2268" w:type="dxa"/>
            <w:vAlign w:val="center"/>
          </w:tcPr>
          <w:p w14:paraId="478D574C">
            <w:pPr>
              <w:pStyle w:val="12"/>
            </w:pPr>
            <w:r>
              <w:t>560人</w:t>
            </w:r>
          </w:p>
        </w:tc>
        <w:tc>
          <w:tcPr>
            <w:tcW w:w="1276" w:type="dxa"/>
            <w:vAlign w:val="center"/>
          </w:tcPr>
          <w:p w14:paraId="6F06390B">
            <w:pPr>
              <w:pStyle w:val="12"/>
            </w:pPr>
            <w:r>
              <w:t>城乡义务教育公用经费管理办法</w:t>
            </w:r>
          </w:p>
        </w:tc>
      </w:tr>
      <w:tr w14:paraId="1476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C8B38"/>
        </w:tc>
        <w:tc>
          <w:tcPr>
            <w:tcW w:w="2268" w:type="dxa"/>
            <w:vAlign w:val="center"/>
          </w:tcPr>
          <w:p w14:paraId="4614E334">
            <w:pPr>
              <w:pStyle w:val="12"/>
            </w:pPr>
            <w:r>
              <w:t>质量指标</w:t>
            </w:r>
          </w:p>
        </w:tc>
        <w:tc>
          <w:tcPr>
            <w:tcW w:w="2835" w:type="dxa"/>
            <w:vAlign w:val="center"/>
          </w:tcPr>
          <w:p w14:paraId="79454A89">
            <w:pPr>
              <w:pStyle w:val="12"/>
            </w:pPr>
            <w:r>
              <w:t>预算执行率</w:t>
            </w:r>
          </w:p>
        </w:tc>
        <w:tc>
          <w:tcPr>
            <w:tcW w:w="5386" w:type="dxa"/>
            <w:vAlign w:val="center"/>
          </w:tcPr>
          <w:p w14:paraId="3CE19AEB">
            <w:pPr>
              <w:pStyle w:val="12"/>
            </w:pPr>
            <w:r>
              <w:t>预算执行率≥98%</w:t>
            </w:r>
          </w:p>
        </w:tc>
        <w:tc>
          <w:tcPr>
            <w:tcW w:w="2268" w:type="dxa"/>
            <w:vAlign w:val="center"/>
          </w:tcPr>
          <w:p w14:paraId="26A2D581">
            <w:pPr>
              <w:pStyle w:val="12"/>
            </w:pPr>
            <w:r>
              <w:t>98%</w:t>
            </w:r>
          </w:p>
        </w:tc>
        <w:tc>
          <w:tcPr>
            <w:tcW w:w="1276" w:type="dxa"/>
            <w:vAlign w:val="center"/>
          </w:tcPr>
          <w:p w14:paraId="0574D228">
            <w:pPr>
              <w:pStyle w:val="12"/>
            </w:pPr>
            <w:r>
              <w:t>城乡义务教育公用经费管理办法</w:t>
            </w:r>
          </w:p>
        </w:tc>
      </w:tr>
      <w:tr w14:paraId="2EA6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91BCC"/>
        </w:tc>
        <w:tc>
          <w:tcPr>
            <w:tcW w:w="2268" w:type="dxa"/>
            <w:vAlign w:val="center"/>
          </w:tcPr>
          <w:p w14:paraId="0069FAE6">
            <w:pPr>
              <w:pStyle w:val="12"/>
            </w:pPr>
            <w:r>
              <w:t>时效指标</w:t>
            </w:r>
          </w:p>
        </w:tc>
        <w:tc>
          <w:tcPr>
            <w:tcW w:w="2835" w:type="dxa"/>
            <w:vAlign w:val="center"/>
          </w:tcPr>
          <w:p w14:paraId="5A82CDE7">
            <w:pPr>
              <w:pStyle w:val="12"/>
            </w:pPr>
            <w:r>
              <w:t>义教经费支付完成率</w:t>
            </w:r>
          </w:p>
        </w:tc>
        <w:tc>
          <w:tcPr>
            <w:tcW w:w="5386" w:type="dxa"/>
            <w:vAlign w:val="center"/>
          </w:tcPr>
          <w:p w14:paraId="14DF4C0D">
            <w:pPr>
              <w:pStyle w:val="12"/>
            </w:pPr>
            <w:r>
              <w:t>按照序时进度完成资金支付</w:t>
            </w:r>
          </w:p>
        </w:tc>
        <w:tc>
          <w:tcPr>
            <w:tcW w:w="2268" w:type="dxa"/>
            <w:vAlign w:val="center"/>
          </w:tcPr>
          <w:p w14:paraId="59CC80C6">
            <w:pPr>
              <w:pStyle w:val="12"/>
            </w:pPr>
            <w:r>
              <w:t>100%</w:t>
            </w:r>
          </w:p>
        </w:tc>
        <w:tc>
          <w:tcPr>
            <w:tcW w:w="1276" w:type="dxa"/>
            <w:vAlign w:val="center"/>
          </w:tcPr>
          <w:p w14:paraId="217D0AA0">
            <w:pPr>
              <w:pStyle w:val="12"/>
            </w:pPr>
            <w:r>
              <w:t>城乡义务教育公用经费管理办法</w:t>
            </w:r>
          </w:p>
        </w:tc>
      </w:tr>
      <w:tr w14:paraId="16B9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F63A4">
            <w:pPr>
              <w:pStyle w:val="13"/>
            </w:pPr>
            <w:r>
              <w:t>效益指标</w:t>
            </w:r>
          </w:p>
        </w:tc>
        <w:tc>
          <w:tcPr>
            <w:tcW w:w="2268" w:type="dxa"/>
            <w:vAlign w:val="center"/>
          </w:tcPr>
          <w:p w14:paraId="1310E5B5">
            <w:pPr>
              <w:pStyle w:val="12"/>
            </w:pPr>
            <w:r>
              <w:t>社会效益指标</w:t>
            </w:r>
          </w:p>
        </w:tc>
        <w:tc>
          <w:tcPr>
            <w:tcW w:w="2835" w:type="dxa"/>
            <w:vAlign w:val="center"/>
          </w:tcPr>
          <w:p w14:paraId="19352F45">
            <w:pPr>
              <w:pStyle w:val="12"/>
            </w:pPr>
            <w:r>
              <w:t>学校运转得到提高</w:t>
            </w:r>
          </w:p>
        </w:tc>
        <w:tc>
          <w:tcPr>
            <w:tcW w:w="5386" w:type="dxa"/>
            <w:vAlign w:val="center"/>
          </w:tcPr>
          <w:p w14:paraId="654A0B28">
            <w:pPr>
              <w:pStyle w:val="12"/>
            </w:pPr>
            <w:r>
              <w:t>学生受教育年限</w:t>
            </w:r>
          </w:p>
        </w:tc>
        <w:tc>
          <w:tcPr>
            <w:tcW w:w="2268" w:type="dxa"/>
            <w:vAlign w:val="center"/>
          </w:tcPr>
          <w:p w14:paraId="707D6D6C">
            <w:pPr>
              <w:pStyle w:val="12"/>
            </w:pPr>
            <w:r>
              <w:t>6年</w:t>
            </w:r>
          </w:p>
        </w:tc>
        <w:tc>
          <w:tcPr>
            <w:tcW w:w="1276" w:type="dxa"/>
            <w:vAlign w:val="center"/>
          </w:tcPr>
          <w:p w14:paraId="72CB1505">
            <w:pPr>
              <w:pStyle w:val="12"/>
            </w:pPr>
            <w:r>
              <w:t>城乡义务教育公用经费管理办法</w:t>
            </w:r>
          </w:p>
        </w:tc>
      </w:tr>
      <w:tr w14:paraId="52DD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A5227">
            <w:pPr>
              <w:pStyle w:val="13"/>
            </w:pPr>
            <w:r>
              <w:t>满意度指标</w:t>
            </w:r>
          </w:p>
        </w:tc>
        <w:tc>
          <w:tcPr>
            <w:tcW w:w="2268" w:type="dxa"/>
            <w:vAlign w:val="center"/>
          </w:tcPr>
          <w:p w14:paraId="6EAF4070">
            <w:pPr>
              <w:pStyle w:val="12"/>
            </w:pPr>
            <w:r>
              <w:t>服务对象满意度指标</w:t>
            </w:r>
          </w:p>
        </w:tc>
        <w:tc>
          <w:tcPr>
            <w:tcW w:w="2835" w:type="dxa"/>
            <w:vAlign w:val="center"/>
          </w:tcPr>
          <w:p w14:paraId="235B19BD">
            <w:pPr>
              <w:pStyle w:val="12"/>
            </w:pPr>
            <w:r>
              <w:t>服务对象满意度</w:t>
            </w:r>
          </w:p>
        </w:tc>
        <w:tc>
          <w:tcPr>
            <w:tcW w:w="5386" w:type="dxa"/>
            <w:vAlign w:val="center"/>
          </w:tcPr>
          <w:p w14:paraId="25A61D01">
            <w:pPr>
              <w:pStyle w:val="12"/>
            </w:pPr>
            <w:r>
              <w:t>学校老师和学生满意度</w:t>
            </w:r>
          </w:p>
        </w:tc>
        <w:tc>
          <w:tcPr>
            <w:tcW w:w="2268" w:type="dxa"/>
            <w:vAlign w:val="center"/>
          </w:tcPr>
          <w:p w14:paraId="30049235">
            <w:pPr>
              <w:pStyle w:val="12"/>
            </w:pPr>
            <w:r>
              <w:t>≥95%</w:t>
            </w:r>
          </w:p>
        </w:tc>
        <w:tc>
          <w:tcPr>
            <w:tcW w:w="1276" w:type="dxa"/>
            <w:vAlign w:val="center"/>
          </w:tcPr>
          <w:p w14:paraId="353DBDCC">
            <w:pPr>
              <w:pStyle w:val="12"/>
            </w:pPr>
            <w:r>
              <w:t>问卷调查</w:t>
            </w:r>
          </w:p>
        </w:tc>
      </w:tr>
    </w:tbl>
    <w:p w14:paraId="12366834">
      <w:pPr>
        <w:sectPr>
          <w:pgSz w:w="16840" w:h="11900" w:orient="landscape"/>
          <w:pgMar w:top="1361" w:right="1020" w:bottom="1134" w:left="1020" w:header="720" w:footer="720" w:gutter="0"/>
          <w:cols w:space="720" w:num="1"/>
        </w:sectPr>
      </w:pPr>
    </w:p>
    <w:p w14:paraId="5ECEA76C">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5、冀财教[2025]121号/中央/2026年义教补助经费/牛家桥校区开河小学公用经费绩效目标表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12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A7889">
            <w:pPr>
              <w:pStyle w:val="11"/>
            </w:pPr>
            <w:r>
              <w:t>单位：万元</w:t>
            </w:r>
          </w:p>
        </w:tc>
      </w:tr>
      <w:tr w14:paraId="73AB3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5A619">
            <w:pPr>
              <w:pStyle w:val="10"/>
            </w:pPr>
            <w:r>
              <w:t>项目编码</w:t>
            </w:r>
          </w:p>
        </w:tc>
        <w:tc>
          <w:tcPr>
            <w:tcW w:w="5103" w:type="dxa"/>
            <w:gridSpan w:val="2"/>
            <w:vAlign w:val="center"/>
          </w:tcPr>
          <w:p w14:paraId="6B9F5324">
            <w:pPr>
              <w:pStyle w:val="12"/>
            </w:pPr>
            <w:r>
              <w:t>13052526P00000410336K</w:t>
            </w:r>
          </w:p>
        </w:tc>
        <w:tc>
          <w:tcPr>
            <w:tcW w:w="2835" w:type="dxa"/>
            <w:vAlign w:val="center"/>
          </w:tcPr>
          <w:p w14:paraId="54DE010C">
            <w:pPr>
              <w:pStyle w:val="10"/>
            </w:pPr>
            <w:r>
              <w:t>项目名称</w:t>
            </w:r>
          </w:p>
        </w:tc>
        <w:tc>
          <w:tcPr>
            <w:tcW w:w="6095" w:type="dxa"/>
            <w:gridSpan w:val="3"/>
            <w:vAlign w:val="center"/>
          </w:tcPr>
          <w:p w14:paraId="420B761F">
            <w:pPr>
              <w:pStyle w:val="12"/>
            </w:pPr>
            <w:r>
              <w:t>冀财教[2025]121号/中央/2026年义教补助经费/牛家桥校区开河小学公用经费</w:t>
            </w:r>
          </w:p>
        </w:tc>
      </w:tr>
      <w:tr w14:paraId="1E64B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AB0A6">
            <w:pPr>
              <w:pStyle w:val="10"/>
            </w:pPr>
            <w:r>
              <w:t>预算规模及资金用途</w:t>
            </w:r>
          </w:p>
        </w:tc>
        <w:tc>
          <w:tcPr>
            <w:tcW w:w="2268" w:type="dxa"/>
            <w:vAlign w:val="center"/>
          </w:tcPr>
          <w:p w14:paraId="082C8D37">
            <w:pPr>
              <w:pStyle w:val="10"/>
            </w:pPr>
            <w:r>
              <w:t>预算数</w:t>
            </w:r>
          </w:p>
        </w:tc>
        <w:tc>
          <w:tcPr>
            <w:tcW w:w="2835" w:type="dxa"/>
            <w:vAlign w:val="center"/>
          </w:tcPr>
          <w:p w14:paraId="5AF6922A">
            <w:pPr>
              <w:pStyle w:val="12"/>
            </w:pPr>
            <w:r>
              <w:t>41.70</w:t>
            </w:r>
          </w:p>
        </w:tc>
        <w:tc>
          <w:tcPr>
            <w:tcW w:w="2835" w:type="dxa"/>
            <w:vAlign w:val="center"/>
          </w:tcPr>
          <w:p w14:paraId="407D6B86">
            <w:pPr>
              <w:pStyle w:val="10"/>
            </w:pPr>
            <w:r>
              <w:t>其中：财政    资金</w:t>
            </w:r>
          </w:p>
        </w:tc>
        <w:tc>
          <w:tcPr>
            <w:tcW w:w="2551" w:type="dxa"/>
            <w:vAlign w:val="center"/>
          </w:tcPr>
          <w:p w14:paraId="47936FD0">
            <w:pPr>
              <w:pStyle w:val="12"/>
            </w:pPr>
            <w:r>
              <w:t>41.70</w:t>
            </w:r>
          </w:p>
        </w:tc>
        <w:tc>
          <w:tcPr>
            <w:tcW w:w="2268" w:type="dxa"/>
            <w:vAlign w:val="center"/>
          </w:tcPr>
          <w:p w14:paraId="47FF5056">
            <w:pPr>
              <w:pStyle w:val="10"/>
            </w:pPr>
            <w:r>
              <w:t>其他资金</w:t>
            </w:r>
          </w:p>
        </w:tc>
        <w:tc>
          <w:tcPr>
            <w:tcW w:w="1276" w:type="dxa"/>
            <w:vAlign w:val="center"/>
          </w:tcPr>
          <w:p w14:paraId="53386702">
            <w:pPr>
              <w:pStyle w:val="12"/>
            </w:pPr>
            <w:r>
              <w:t xml:space="preserve"> </w:t>
            </w:r>
          </w:p>
        </w:tc>
      </w:tr>
      <w:tr w14:paraId="342AD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FFE91"/>
        </w:tc>
        <w:tc>
          <w:tcPr>
            <w:tcW w:w="14033" w:type="dxa"/>
            <w:gridSpan w:val="6"/>
            <w:vAlign w:val="center"/>
          </w:tcPr>
          <w:p w14:paraId="3F524B90">
            <w:pPr>
              <w:pStyle w:val="12"/>
            </w:pPr>
            <w:r>
              <w:t>有效完成学校教学安全秩序，保障学校教学任务有效开展，满足学校正常教学需要。</w:t>
            </w:r>
          </w:p>
        </w:tc>
      </w:tr>
      <w:tr w14:paraId="454B7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7DA70">
            <w:pPr>
              <w:pStyle w:val="10"/>
            </w:pPr>
            <w:r>
              <w:t>资金支出计划（%）</w:t>
            </w:r>
          </w:p>
        </w:tc>
        <w:tc>
          <w:tcPr>
            <w:tcW w:w="5103" w:type="dxa"/>
            <w:gridSpan w:val="2"/>
            <w:vAlign w:val="center"/>
          </w:tcPr>
          <w:p w14:paraId="3E6B985C">
            <w:pPr>
              <w:pStyle w:val="10"/>
            </w:pPr>
            <w:r>
              <w:t>3月底</w:t>
            </w:r>
          </w:p>
        </w:tc>
        <w:tc>
          <w:tcPr>
            <w:tcW w:w="2835" w:type="dxa"/>
            <w:vAlign w:val="center"/>
          </w:tcPr>
          <w:p w14:paraId="4F284A4E">
            <w:pPr>
              <w:pStyle w:val="10"/>
            </w:pPr>
            <w:r>
              <w:t>6月底</w:t>
            </w:r>
          </w:p>
        </w:tc>
        <w:tc>
          <w:tcPr>
            <w:tcW w:w="2551" w:type="dxa"/>
            <w:vAlign w:val="center"/>
          </w:tcPr>
          <w:p w14:paraId="50EBB5D1">
            <w:pPr>
              <w:pStyle w:val="10"/>
            </w:pPr>
            <w:r>
              <w:t>10月底</w:t>
            </w:r>
          </w:p>
        </w:tc>
        <w:tc>
          <w:tcPr>
            <w:tcW w:w="3544" w:type="dxa"/>
            <w:gridSpan w:val="2"/>
            <w:vAlign w:val="center"/>
          </w:tcPr>
          <w:p w14:paraId="2BF143E7">
            <w:pPr>
              <w:pStyle w:val="10"/>
            </w:pPr>
            <w:r>
              <w:t>12月底</w:t>
            </w:r>
          </w:p>
        </w:tc>
      </w:tr>
      <w:tr w14:paraId="4A3F4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D3E43"/>
        </w:tc>
        <w:tc>
          <w:tcPr>
            <w:tcW w:w="5103" w:type="dxa"/>
            <w:gridSpan w:val="2"/>
            <w:vAlign w:val="center"/>
          </w:tcPr>
          <w:p w14:paraId="4528506B">
            <w:pPr>
              <w:pStyle w:val="13"/>
            </w:pPr>
            <w:r>
              <w:t>25%</w:t>
            </w:r>
          </w:p>
        </w:tc>
        <w:tc>
          <w:tcPr>
            <w:tcW w:w="2835" w:type="dxa"/>
            <w:vAlign w:val="center"/>
          </w:tcPr>
          <w:p w14:paraId="44F5C56F">
            <w:pPr>
              <w:pStyle w:val="13"/>
            </w:pPr>
            <w:r>
              <w:t>50%</w:t>
            </w:r>
          </w:p>
        </w:tc>
        <w:tc>
          <w:tcPr>
            <w:tcW w:w="2551" w:type="dxa"/>
            <w:vAlign w:val="center"/>
          </w:tcPr>
          <w:p w14:paraId="622C8A02">
            <w:pPr>
              <w:pStyle w:val="13"/>
            </w:pPr>
            <w:r>
              <w:t>75%</w:t>
            </w:r>
          </w:p>
        </w:tc>
        <w:tc>
          <w:tcPr>
            <w:tcW w:w="3544" w:type="dxa"/>
            <w:gridSpan w:val="2"/>
            <w:vAlign w:val="center"/>
          </w:tcPr>
          <w:p w14:paraId="63DFAD91">
            <w:pPr>
              <w:pStyle w:val="13"/>
            </w:pPr>
            <w:r>
              <w:t>100%</w:t>
            </w:r>
          </w:p>
        </w:tc>
      </w:tr>
      <w:tr w14:paraId="06E69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A26C0">
            <w:pPr>
              <w:pStyle w:val="10"/>
            </w:pPr>
            <w:r>
              <w:t>绩效目标</w:t>
            </w:r>
          </w:p>
        </w:tc>
        <w:tc>
          <w:tcPr>
            <w:tcW w:w="14033" w:type="dxa"/>
            <w:gridSpan w:val="6"/>
            <w:vAlign w:val="center"/>
          </w:tcPr>
          <w:p w14:paraId="56CA71E5">
            <w:pPr>
              <w:pStyle w:val="12"/>
            </w:pPr>
            <w:r>
              <w:t>1.有效完成学校教学安全秩序，保障学校教学任务有效开展，满足学校正常教学需要。</w:t>
            </w:r>
          </w:p>
          <w:p w14:paraId="17414A06">
            <w:pPr>
              <w:pStyle w:val="12"/>
            </w:pPr>
            <w:r>
              <w:t>2.按规定拨付公用经费资金，预算执行率≥98%。</w:t>
            </w:r>
          </w:p>
        </w:tc>
      </w:tr>
    </w:tbl>
    <w:p w14:paraId="764DA0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F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F55C4">
            <w:pPr>
              <w:pStyle w:val="10"/>
            </w:pPr>
            <w:r>
              <w:t>一级指标</w:t>
            </w:r>
          </w:p>
        </w:tc>
        <w:tc>
          <w:tcPr>
            <w:tcW w:w="2268" w:type="dxa"/>
            <w:vAlign w:val="center"/>
          </w:tcPr>
          <w:p w14:paraId="46851ED8">
            <w:pPr>
              <w:pStyle w:val="10"/>
            </w:pPr>
            <w:r>
              <w:t>二级指标</w:t>
            </w:r>
          </w:p>
        </w:tc>
        <w:tc>
          <w:tcPr>
            <w:tcW w:w="2835" w:type="dxa"/>
            <w:vAlign w:val="center"/>
          </w:tcPr>
          <w:p w14:paraId="1368868A">
            <w:pPr>
              <w:pStyle w:val="10"/>
            </w:pPr>
            <w:r>
              <w:t>三级指标</w:t>
            </w:r>
          </w:p>
        </w:tc>
        <w:tc>
          <w:tcPr>
            <w:tcW w:w="5386" w:type="dxa"/>
            <w:vAlign w:val="center"/>
          </w:tcPr>
          <w:p w14:paraId="4F21CCA7">
            <w:pPr>
              <w:pStyle w:val="10"/>
            </w:pPr>
            <w:r>
              <w:t>绩效指标描述</w:t>
            </w:r>
          </w:p>
        </w:tc>
        <w:tc>
          <w:tcPr>
            <w:tcW w:w="2268" w:type="dxa"/>
            <w:vAlign w:val="center"/>
          </w:tcPr>
          <w:p w14:paraId="3F8219B2">
            <w:pPr>
              <w:pStyle w:val="10"/>
            </w:pPr>
            <w:r>
              <w:t>指标值</w:t>
            </w:r>
          </w:p>
        </w:tc>
        <w:tc>
          <w:tcPr>
            <w:tcW w:w="1276" w:type="dxa"/>
            <w:vAlign w:val="center"/>
          </w:tcPr>
          <w:p w14:paraId="2092B425">
            <w:pPr>
              <w:pStyle w:val="10"/>
            </w:pPr>
            <w:r>
              <w:t>指标值确定依据</w:t>
            </w:r>
          </w:p>
        </w:tc>
      </w:tr>
      <w:tr w14:paraId="6E12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C7848">
            <w:pPr>
              <w:pStyle w:val="13"/>
            </w:pPr>
            <w:r>
              <w:t>产出指标</w:t>
            </w:r>
          </w:p>
        </w:tc>
        <w:tc>
          <w:tcPr>
            <w:tcW w:w="2268" w:type="dxa"/>
            <w:vAlign w:val="center"/>
          </w:tcPr>
          <w:p w14:paraId="1EB27046">
            <w:pPr>
              <w:pStyle w:val="12"/>
            </w:pPr>
            <w:r>
              <w:t>成本指标</w:t>
            </w:r>
          </w:p>
        </w:tc>
        <w:tc>
          <w:tcPr>
            <w:tcW w:w="2835" w:type="dxa"/>
            <w:vAlign w:val="center"/>
          </w:tcPr>
          <w:p w14:paraId="4997878B">
            <w:pPr>
              <w:pStyle w:val="12"/>
            </w:pPr>
            <w:r>
              <w:t>生均拨款标准</w:t>
            </w:r>
          </w:p>
        </w:tc>
        <w:tc>
          <w:tcPr>
            <w:tcW w:w="5386" w:type="dxa"/>
            <w:vAlign w:val="center"/>
          </w:tcPr>
          <w:p w14:paraId="55FE5BCE">
            <w:pPr>
              <w:pStyle w:val="12"/>
            </w:pPr>
            <w:r>
              <w:t>小学生公用经费生均小学720元。取暖费120元/生/年，随班就读学生补助7000元/生</w:t>
            </w:r>
          </w:p>
        </w:tc>
        <w:tc>
          <w:tcPr>
            <w:tcW w:w="2268" w:type="dxa"/>
            <w:vAlign w:val="center"/>
          </w:tcPr>
          <w:p w14:paraId="07CE37D1">
            <w:pPr>
              <w:pStyle w:val="12"/>
            </w:pPr>
            <w:r>
              <w:t>840元</w:t>
            </w:r>
          </w:p>
        </w:tc>
        <w:tc>
          <w:tcPr>
            <w:tcW w:w="1276" w:type="dxa"/>
            <w:vAlign w:val="center"/>
          </w:tcPr>
          <w:p w14:paraId="45707C12">
            <w:pPr>
              <w:pStyle w:val="12"/>
            </w:pPr>
            <w:r>
              <w:t>城乡义务教育公用经费管理办法</w:t>
            </w:r>
          </w:p>
        </w:tc>
      </w:tr>
      <w:tr w14:paraId="7BCA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68D7A"/>
        </w:tc>
        <w:tc>
          <w:tcPr>
            <w:tcW w:w="2268" w:type="dxa"/>
            <w:vAlign w:val="center"/>
          </w:tcPr>
          <w:p w14:paraId="0062EA90">
            <w:pPr>
              <w:pStyle w:val="12"/>
            </w:pPr>
            <w:r>
              <w:t>数量指标</w:t>
            </w:r>
          </w:p>
        </w:tc>
        <w:tc>
          <w:tcPr>
            <w:tcW w:w="2835" w:type="dxa"/>
            <w:vAlign w:val="center"/>
          </w:tcPr>
          <w:p w14:paraId="59652D25">
            <w:pPr>
              <w:pStyle w:val="12"/>
            </w:pPr>
            <w:r>
              <w:t>就读学生数</w:t>
            </w:r>
          </w:p>
        </w:tc>
        <w:tc>
          <w:tcPr>
            <w:tcW w:w="5386" w:type="dxa"/>
            <w:vAlign w:val="center"/>
          </w:tcPr>
          <w:p w14:paraId="6DA9319E">
            <w:pPr>
              <w:pStyle w:val="12"/>
            </w:pPr>
            <w:r>
              <w:t>辐射区域内适龄学生人数</w:t>
            </w:r>
          </w:p>
        </w:tc>
        <w:tc>
          <w:tcPr>
            <w:tcW w:w="2268" w:type="dxa"/>
            <w:vAlign w:val="center"/>
          </w:tcPr>
          <w:p w14:paraId="7A7653BB">
            <w:pPr>
              <w:pStyle w:val="12"/>
            </w:pPr>
            <w:r>
              <w:t>653人</w:t>
            </w:r>
          </w:p>
        </w:tc>
        <w:tc>
          <w:tcPr>
            <w:tcW w:w="1276" w:type="dxa"/>
            <w:vAlign w:val="center"/>
          </w:tcPr>
          <w:p w14:paraId="5A4FA81A">
            <w:pPr>
              <w:pStyle w:val="12"/>
            </w:pPr>
            <w:r>
              <w:t>城乡义务教育公用经费管理办法</w:t>
            </w:r>
          </w:p>
        </w:tc>
      </w:tr>
      <w:tr w14:paraId="7520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B744B"/>
        </w:tc>
        <w:tc>
          <w:tcPr>
            <w:tcW w:w="2268" w:type="dxa"/>
            <w:vAlign w:val="center"/>
          </w:tcPr>
          <w:p w14:paraId="7B4C3680">
            <w:pPr>
              <w:pStyle w:val="12"/>
            </w:pPr>
            <w:r>
              <w:t>质量指标</w:t>
            </w:r>
          </w:p>
        </w:tc>
        <w:tc>
          <w:tcPr>
            <w:tcW w:w="2835" w:type="dxa"/>
            <w:vAlign w:val="center"/>
          </w:tcPr>
          <w:p w14:paraId="60F9BA54">
            <w:pPr>
              <w:pStyle w:val="12"/>
            </w:pPr>
            <w:r>
              <w:t>预算执行率</w:t>
            </w:r>
          </w:p>
        </w:tc>
        <w:tc>
          <w:tcPr>
            <w:tcW w:w="5386" w:type="dxa"/>
            <w:vAlign w:val="center"/>
          </w:tcPr>
          <w:p w14:paraId="1E386FDB">
            <w:pPr>
              <w:pStyle w:val="12"/>
            </w:pPr>
            <w:r>
              <w:t>预算执行率≥98%</w:t>
            </w:r>
          </w:p>
        </w:tc>
        <w:tc>
          <w:tcPr>
            <w:tcW w:w="2268" w:type="dxa"/>
            <w:vAlign w:val="center"/>
          </w:tcPr>
          <w:p w14:paraId="693C2AAF">
            <w:pPr>
              <w:pStyle w:val="12"/>
            </w:pPr>
            <w:r>
              <w:t>98%</w:t>
            </w:r>
          </w:p>
        </w:tc>
        <w:tc>
          <w:tcPr>
            <w:tcW w:w="1276" w:type="dxa"/>
            <w:vAlign w:val="center"/>
          </w:tcPr>
          <w:p w14:paraId="6D7B6963">
            <w:pPr>
              <w:pStyle w:val="12"/>
            </w:pPr>
            <w:r>
              <w:t>城乡义务教育公用经费管理办法</w:t>
            </w:r>
          </w:p>
        </w:tc>
      </w:tr>
      <w:tr w14:paraId="61F0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7884E"/>
        </w:tc>
        <w:tc>
          <w:tcPr>
            <w:tcW w:w="2268" w:type="dxa"/>
            <w:vAlign w:val="center"/>
          </w:tcPr>
          <w:p w14:paraId="68BBB719">
            <w:pPr>
              <w:pStyle w:val="12"/>
            </w:pPr>
            <w:r>
              <w:t>时效指标</w:t>
            </w:r>
          </w:p>
        </w:tc>
        <w:tc>
          <w:tcPr>
            <w:tcW w:w="2835" w:type="dxa"/>
            <w:vAlign w:val="center"/>
          </w:tcPr>
          <w:p w14:paraId="11411E59">
            <w:pPr>
              <w:pStyle w:val="12"/>
            </w:pPr>
            <w:r>
              <w:t>义教经费支付完成率</w:t>
            </w:r>
          </w:p>
        </w:tc>
        <w:tc>
          <w:tcPr>
            <w:tcW w:w="5386" w:type="dxa"/>
            <w:vAlign w:val="center"/>
          </w:tcPr>
          <w:p w14:paraId="79BD2104">
            <w:pPr>
              <w:pStyle w:val="12"/>
            </w:pPr>
            <w:r>
              <w:t>按照序时进度完成资金支付</w:t>
            </w:r>
          </w:p>
        </w:tc>
        <w:tc>
          <w:tcPr>
            <w:tcW w:w="2268" w:type="dxa"/>
            <w:vAlign w:val="center"/>
          </w:tcPr>
          <w:p w14:paraId="7C4D8C83">
            <w:pPr>
              <w:pStyle w:val="12"/>
            </w:pPr>
            <w:r>
              <w:t>100%</w:t>
            </w:r>
          </w:p>
        </w:tc>
        <w:tc>
          <w:tcPr>
            <w:tcW w:w="1276" w:type="dxa"/>
            <w:vAlign w:val="center"/>
          </w:tcPr>
          <w:p w14:paraId="248E777A">
            <w:pPr>
              <w:pStyle w:val="12"/>
            </w:pPr>
            <w:r>
              <w:t>城乡义务教育公用经费管理办法</w:t>
            </w:r>
          </w:p>
        </w:tc>
      </w:tr>
      <w:tr w14:paraId="71BD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B9576">
            <w:pPr>
              <w:pStyle w:val="13"/>
            </w:pPr>
            <w:r>
              <w:t>效益指标</w:t>
            </w:r>
          </w:p>
        </w:tc>
        <w:tc>
          <w:tcPr>
            <w:tcW w:w="2268" w:type="dxa"/>
            <w:vAlign w:val="center"/>
          </w:tcPr>
          <w:p w14:paraId="67C6F5F1">
            <w:pPr>
              <w:pStyle w:val="12"/>
            </w:pPr>
            <w:r>
              <w:t>经济效益指标</w:t>
            </w:r>
          </w:p>
        </w:tc>
        <w:tc>
          <w:tcPr>
            <w:tcW w:w="2835" w:type="dxa"/>
            <w:vAlign w:val="center"/>
          </w:tcPr>
          <w:p w14:paraId="04735827">
            <w:pPr>
              <w:pStyle w:val="12"/>
            </w:pPr>
            <w:r>
              <w:t>学校运转得到提高</w:t>
            </w:r>
          </w:p>
        </w:tc>
        <w:tc>
          <w:tcPr>
            <w:tcW w:w="5386" w:type="dxa"/>
            <w:vAlign w:val="center"/>
          </w:tcPr>
          <w:p w14:paraId="0A2D9A70">
            <w:pPr>
              <w:pStyle w:val="12"/>
            </w:pPr>
            <w:r>
              <w:t>学生受教育年限</w:t>
            </w:r>
          </w:p>
        </w:tc>
        <w:tc>
          <w:tcPr>
            <w:tcW w:w="2268" w:type="dxa"/>
            <w:vAlign w:val="center"/>
          </w:tcPr>
          <w:p w14:paraId="1CA8CEEC">
            <w:pPr>
              <w:pStyle w:val="12"/>
            </w:pPr>
            <w:r>
              <w:t>6年</w:t>
            </w:r>
          </w:p>
        </w:tc>
        <w:tc>
          <w:tcPr>
            <w:tcW w:w="1276" w:type="dxa"/>
            <w:vAlign w:val="center"/>
          </w:tcPr>
          <w:p w14:paraId="77F7EDF1">
            <w:pPr>
              <w:pStyle w:val="12"/>
            </w:pPr>
            <w:r>
              <w:t>城乡义务教育公用经费管理办法</w:t>
            </w:r>
          </w:p>
        </w:tc>
      </w:tr>
      <w:tr w14:paraId="6D9F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490B3">
            <w:pPr>
              <w:pStyle w:val="13"/>
            </w:pPr>
            <w:r>
              <w:t>满意度指标</w:t>
            </w:r>
          </w:p>
        </w:tc>
        <w:tc>
          <w:tcPr>
            <w:tcW w:w="2268" w:type="dxa"/>
            <w:vAlign w:val="center"/>
          </w:tcPr>
          <w:p w14:paraId="40EE5EDE">
            <w:pPr>
              <w:pStyle w:val="12"/>
            </w:pPr>
            <w:r>
              <w:t>服务对象满意度指标</w:t>
            </w:r>
          </w:p>
        </w:tc>
        <w:tc>
          <w:tcPr>
            <w:tcW w:w="2835" w:type="dxa"/>
            <w:vAlign w:val="center"/>
          </w:tcPr>
          <w:p w14:paraId="178916D1">
            <w:pPr>
              <w:pStyle w:val="12"/>
            </w:pPr>
            <w:r>
              <w:t>服务对象满意度</w:t>
            </w:r>
          </w:p>
        </w:tc>
        <w:tc>
          <w:tcPr>
            <w:tcW w:w="5386" w:type="dxa"/>
            <w:vAlign w:val="center"/>
          </w:tcPr>
          <w:p w14:paraId="3204218D">
            <w:pPr>
              <w:pStyle w:val="12"/>
            </w:pPr>
            <w:r>
              <w:t>学校老师和学生满意度</w:t>
            </w:r>
          </w:p>
        </w:tc>
        <w:tc>
          <w:tcPr>
            <w:tcW w:w="2268" w:type="dxa"/>
            <w:vAlign w:val="center"/>
          </w:tcPr>
          <w:p w14:paraId="60D00EDB">
            <w:pPr>
              <w:pStyle w:val="12"/>
            </w:pPr>
            <w:r>
              <w:t>≥95%</w:t>
            </w:r>
          </w:p>
        </w:tc>
        <w:tc>
          <w:tcPr>
            <w:tcW w:w="1276" w:type="dxa"/>
            <w:vAlign w:val="center"/>
          </w:tcPr>
          <w:p w14:paraId="128AD4F1">
            <w:pPr>
              <w:pStyle w:val="12"/>
            </w:pPr>
            <w:r>
              <w:t>问卷调查</w:t>
            </w:r>
          </w:p>
        </w:tc>
      </w:tr>
    </w:tbl>
    <w:p w14:paraId="3316D580">
      <w:pPr>
        <w:sectPr>
          <w:pgSz w:w="16840" w:h="11900" w:orient="landscape"/>
          <w:pgMar w:top="1361" w:right="1020" w:bottom="1134" w:left="1020" w:header="720" w:footer="720" w:gutter="0"/>
          <w:cols w:space="720" w:num="1"/>
        </w:sectPr>
      </w:pPr>
    </w:p>
    <w:p w14:paraId="3C73918C">
      <w:pPr>
        <w:spacing w:before="0" w:after="0"/>
        <w:ind w:firstLine="560"/>
        <w:jc w:val="left"/>
        <w:outlineLvl w:val="9"/>
      </w:pPr>
      <w:r>
        <w:rPr>
          <w:rFonts w:ascii="方正仿宋_GBK" w:hAnsi="方正仿宋_GBK" w:eastAsia="方正仿宋_GBK" w:cs="方正仿宋_GBK"/>
          <w:b/>
          <w:color w:val="000000"/>
          <w:sz w:val="28"/>
        </w:rPr>
        <w:t>6、冀财教[2025]121号/中央/2026年义教补助经费/牛家桥校区梅庄小学公用经费绩效目标表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22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5CF9E">
            <w:pPr>
              <w:pStyle w:val="11"/>
            </w:pPr>
            <w:r>
              <w:t>单位：万元</w:t>
            </w:r>
          </w:p>
        </w:tc>
      </w:tr>
      <w:tr w14:paraId="7D0BC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50304">
            <w:pPr>
              <w:pStyle w:val="10"/>
            </w:pPr>
            <w:r>
              <w:t>项目编码</w:t>
            </w:r>
          </w:p>
        </w:tc>
        <w:tc>
          <w:tcPr>
            <w:tcW w:w="5103" w:type="dxa"/>
            <w:gridSpan w:val="2"/>
            <w:vAlign w:val="center"/>
          </w:tcPr>
          <w:p w14:paraId="3180C6CF">
            <w:pPr>
              <w:pStyle w:val="12"/>
            </w:pPr>
            <w:r>
              <w:t>13052526P000004103350</w:t>
            </w:r>
          </w:p>
        </w:tc>
        <w:tc>
          <w:tcPr>
            <w:tcW w:w="2835" w:type="dxa"/>
            <w:vAlign w:val="center"/>
          </w:tcPr>
          <w:p w14:paraId="5ECBC2DA">
            <w:pPr>
              <w:pStyle w:val="10"/>
            </w:pPr>
            <w:r>
              <w:t>项目名称</w:t>
            </w:r>
          </w:p>
        </w:tc>
        <w:tc>
          <w:tcPr>
            <w:tcW w:w="6095" w:type="dxa"/>
            <w:gridSpan w:val="3"/>
            <w:vAlign w:val="center"/>
          </w:tcPr>
          <w:p w14:paraId="3BC7B4B1">
            <w:pPr>
              <w:pStyle w:val="12"/>
            </w:pPr>
            <w:r>
              <w:t>冀财教[2025]121号/中央/2026年义教补助经费/牛家桥校区梅庄小学公用经费</w:t>
            </w:r>
          </w:p>
        </w:tc>
      </w:tr>
      <w:tr w14:paraId="7AE42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277DB">
            <w:pPr>
              <w:pStyle w:val="10"/>
            </w:pPr>
            <w:r>
              <w:t>预算规模及资金用途</w:t>
            </w:r>
          </w:p>
        </w:tc>
        <w:tc>
          <w:tcPr>
            <w:tcW w:w="2268" w:type="dxa"/>
            <w:vAlign w:val="center"/>
          </w:tcPr>
          <w:p w14:paraId="7A7853C1">
            <w:pPr>
              <w:pStyle w:val="10"/>
            </w:pPr>
            <w:r>
              <w:t>预算数</w:t>
            </w:r>
          </w:p>
        </w:tc>
        <w:tc>
          <w:tcPr>
            <w:tcW w:w="2835" w:type="dxa"/>
            <w:vAlign w:val="center"/>
          </w:tcPr>
          <w:p w14:paraId="13364B10">
            <w:pPr>
              <w:pStyle w:val="12"/>
            </w:pPr>
            <w:r>
              <w:t>4.96</w:t>
            </w:r>
          </w:p>
        </w:tc>
        <w:tc>
          <w:tcPr>
            <w:tcW w:w="2835" w:type="dxa"/>
            <w:vAlign w:val="center"/>
          </w:tcPr>
          <w:p w14:paraId="3302ADD6">
            <w:pPr>
              <w:pStyle w:val="10"/>
            </w:pPr>
            <w:r>
              <w:t>其中：财政    资金</w:t>
            </w:r>
          </w:p>
        </w:tc>
        <w:tc>
          <w:tcPr>
            <w:tcW w:w="2551" w:type="dxa"/>
            <w:vAlign w:val="center"/>
          </w:tcPr>
          <w:p w14:paraId="65D53691">
            <w:pPr>
              <w:pStyle w:val="12"/>
            </w:pPr>
            <w:r>
              <w:t>4.96</w:t>
            </w:r>
          </w:p>
        </w:tc>
        <w:tc>
          <w:tcPr>
            <w:tcW w:w="2268" w:type="dxa"/>
            <w:vAlign w:val="center"/>
          </w:tcPr>
          <w:p w14:paraId="431AA64D">
            <w:pPr>
              <w:pStyle w:val="10"/>
            </w:pPr>
            <w:r>
              <w:t>其他资金</w:t>
            </w:r>
          </w:p>
        </w:tc>
        <w:tc>
          <w:tcPr>
            <w:tcW w:w="1276" w:type="dxa"/>
            <w:vAlign w:val="center"/>
          </w:tcPr>
          <w:p w14:paraId="67530FBC">
            <w:pPr>
              <w:pStyle w:val="12"/>
            </w:pPr>
            <w:r>
              <w:t xml:space="preserve"> </w:t>
            </w:r>
          </w:p>
        </w:tc>
      </w:tr>
      <w:tr w14:paraId="058D2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0597E"/>
        </w:tc>
        <w:tc>
          <w:tcPr>
            <w:tcW w:w="14033" w:type="dxa"/>
            <w:gridSpan w:val="6"/>
            <w:vAlign w:val="center"/>
          </w:tcPr>
          <w:p w14:paraId="211DD5E8">
            <w:pPr>
              <w:pStyle w:val="12"/>
            </w:pPr>
            <w:r>
              <w:t>有效完成学校教学安全秩序，保障学校教学任务有效开展，满足学校正常教学需要。</w:t>
            </w:r>
          </w:p>
        </w:tc>
      </w:tr>
      <w:tr w14:paraId="39A95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C982B">
            <w:pPr>
              <w:pStyle w:val="10"/>
            </w:pPr>
            <w:r>
              <w:t>资金支出计划（%）</w:t>
            </w:r>
          </w:p>
        </w:tc>
        <w:tc>
          <w:tcPr>
            <w:tcW w:w="5103" w:type="dxa"/>
            <w:gridSpan w:val="2"/>
            <w:vAlign w:val="center"/>
          </w:tcPr>
          <w:p w14:paraId="0414E4E5">
            <w:pPr>
              <w:pStyle w:val="10"/>
            </w:pPr>
            <w:r>
              <w:t>3月底</w:t>
            </w:r>
          </w:p>
        </w:tc>
        <w:tc>
          <w:tcPr>
            <w:tcW w:w="2835" w:type="dxa"/>
            <w:vAlign w:val="center"/>
          </w:tcPr>
          <w:p w14:paraId="390F2408">
            <w:pPr>
              <w:pStyle w:val="10"/>
            </w:pPr>
            <w:r>
              <w:t>6月底</w:t>
            </w:r>
          </w:p>
        </w:tc>
        <w:tc>
          <w:tcPr>
            <w:tcW w:w="2551" w:type="dxa"/>
            <w:vAlign w:val="center"/>
          </w:tcPr>
          <w:p w14:paraId="01B91804">
            <w:pPr>
              <w:pStyle w:val="10"/>
            </w:pPr>
            <w:r>
              <w:t>10月底</w:t>
            </w:r>
          </w:p>
        </w:tc>
        <w:tc>
          <w:tcPr>
            <w:tcW w:w="3544" w:type="dxa"/>
            <w:gridSpan w:val="2"/>
            <w:vAlign w:val="center"/>
          </w:tcPr>
          <w:p w14:paraId="44B8876C">
            <w:pPr>
              <w:pStyle w:val="10"/>
            </w:pPr>
            <w:r>
              <w:t>12月底</w:t>
            </w:r>
          </w:p>
        </w:tc>
      </w:tr>
      <w:tr w14:paraId="1D24A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0195C"/>
        </w:tc>
        <w:tc>
          <w:tcPr>
            <w:tcW w:w="5103" w:type="dxa"/>
            <w:gridSpan w:val="2"/>
            <w:vAlign w:val="center"/>
          </w:tcPr>
          <w:p w14:paraId="080D584B">
            <w:pPr>
              <w:pStyle w:val="13"/>
            </w:pPr>
            <w:r>
              <w:t>25%</w:t>
            </w:r>
          </w:p>
        </w:tc>
        <w:tc>
          <w:tcPr>
            <w:tcW w:w="2835" w:type="dxa"/>
            <w:vAlign w:val="center"/>
          </w:tcPr>
          <w:p w14:paraId="6FB7A15D">
            <w:pPr>
              <w:pStyle w:val="13"/>
            </w:pPr>
            <w:r>
              <w:t>50%</w:t>
            </w:r>
          </w:p>
        </w:tc>
        <w:tc>
          <w:tcPr>
            <w:tcW w:w="2551" w:type="dxa"/>
            <w:vAlign w:val="center"/>
          </w:tcPr>
          <w:p w14:paraId="34C37DEC">
            <w:pPr>
              <w:pStyle w:val="13"/>
            </w:pPr>
            <w:r>
              <w:t>75%</w:t>
            </w:r>
          </w:p>
        </w:tc>
        <w:tc>
          <w:tcPr>
            <w:tcW w:w="3544" w:type="dxa"/>
            <w:gridSpan w:val="2"/>
            <w:vAlign w:val="center"/>
          </w:tcPr>
          <w:p w14:paraId="5A519D7C">
            <w:pPr>
              <w:pStyle w:val="13"/>
            </w:pPr>
            <w:r>
              <w:t>100%</w:t>
            </w:r>
          </w:p>
        </w:tc>
      </w:tr>
      <w:tr w14:paraId="53363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40DD6">
            <w:pPr>
              <w:pStyle w:val="10"/>
            </w:pPr>
            <w:r>
              <w:t>绩效目标</w:t>
            </w:r>
          </w:p>
        </w:tc>
        <w:tc>
          <w:tcPr>
            <w:tcW w:w="14033" w:type="dxa"/>
            <w:gridSpan w:val="6"/>
            <w:vAlign w:val="center"/>
          </w:tcPr>
          <w:p w14:paraId="67B57CDC">
            <w:pPr>
              <w:pStyle w:val="12"/>
            </w:pPr>
            <w:r>
              <w:t>1.有效完成学校教学安全秩序，保障学校教学任务有效开展，满足学校正常教学需要。</w:t>
            </w:r>
          </w:p>
          <w:p w14:paraId="3E0B6904">
            <w:pPr>
              <w:pStyle w:val="12"/>
            </w:pPr>
            <w:r>
              <w:t>2.按规定拨付公用经费资金，预算执行率≥98%。</w:t>
            </w:r>
          </w:p>
        </w:tc>
      </w:tr>
    </w:tbl>
    <w:p w14:paraId="03B2A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BD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AEAC2">
            <w:pPr>
              <w:pStyle w:val="10"/>
            </w:pPr>
            <w:r>
              <w:t>一级指标</w:t>
            </w:r>
          </w:p>
        </w:tc>
        <w:tc>
          <w:tcPr>
            <w:tcW w:w="2268" w:type="dxa"/>
            <w:vAlign w:val="center"/>
          </w:tcPr>
          <w:p w14:paraId="167CC848">
            <w:pPr>
              <w:pStyle w:val="10"/>
            </w:pPr>
            <w:r>
              <w:t>二级指标</w:t>
            </w:r>
          </w:p>
        </w:tc>
        <w:tc>
          <w:tcPr>
            <w:tcW w:w="2835" w:type="dxa"/>
            <w:vAlign w:val="center"/>
          </w:tcPr>
          <w:p w14:paraId="3EEE7015">
            <w:pPr>
              <w:pStyle w:val="10"/>
            </w:pPr>
            <w:r>
              <w:t>三级指标</w:t>
            </w:r>
          </w:p>
        </w:tc>
        <w:tc>
          <w:tcPr>
            <w:tcW w:w="5386" w:type="dxa"/>
            <w:vAlign w:val="center"/>
          </w:tcPr>
          <w:p w14:paraId="62F157B4">
            <w:pPr>
              <w:pStyle w:val="10"/>
            </w:pPr>
            <w:r>
              <w:t>绩效指标描述</w:t>
            </w:r>
          </w:p>
        </w:tc>
        <w:tc>
          <w:tcPr>
            <w:tcW w:w="2268" w:type="dxa"/>
            <w:vAlign w:val="center"/>
          </w:tcPr>
          <w:p w14:paraId="4D4E08DD">
            <w:pPr>
              <w:pStyle w:val="10"/>
            </w:pPr>
            <w:r>
              <w:t>指标值</w:t>
            </w:r>
          </w:p>
        </w:tc>
        <w:tc>
          <w:tcPr>
            <w:tcW w:w="1276" w:type="dxa"/>
            <w:vAlign w:val="center"/>
          </w:tcPr>
          <w:p w14:paraId="1A468006">
            <w:pPr>
              <w:pStyle w:val="10"/>
            </w:pPr>
            <w:r>
              <w:t>指标值确定依据</w:t>
            </w:r>
          </w:p>
        </w:tc>
      </w:tr>
      <w:tr w14:paraId="6E5E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DB3E7">
            <w:pPr>
              <w:pStyle w:val="13"/>
            </w:pPr>
            <w:r>
              <w:t>产出指标</w:t>
            </w:r>
          </w:p>
        </w:tc>
        <w:tc>
          <w:tcPr>
            <w:tcW w:w="2268" w:type="dxa"/>
            <w:vAlign w:val="center"/>
          </w:tcPr>
          <w:p w14:paraId="0333E298">
            <w:pPr>
              <w:pStyle w:val="12"/>
            </w:pPr>
            <w:r>
              <w:t>成本指标</w:t>
            </w:r>
          </w:p>
        </w:tc>
        <w:tc>
          <w:tcPr>
            <w:tcW w:w="2835" w:type="dxa"/>
            <w:vAlign w:val="center"/>
          </w:tcPr>
          <w:p w14:paraId="6CB8A05B">
            <w:pPr>
              <w:pStyle w:val="12"/>
            </w:pPr>
            <w:r>
              <w:t>生均拨款标准</w:t>
            </w:r>
          </w:p>
        </w:tc>
        <w:tc>
          <w:tcPr>
            <w:tcW w:w="5386" w:type="dxa"/>
            <w:vAlign w:val="center"/>
          </w:tcPr>
          <w:p w14:paraId="23B8876C">
            <w:pPr>
              <w:pStyle w:val="12"/>
            </w:pPr>
            <w:r>
              <w:t>小学生公用经费生均小学720元。取暖费120元/生/年，随班就读学生补助7000元/生</w:t>
            </w:r>
          </w:p>
        </w:tc>
        <w:tc>
          <w:tcPr>
            <w:tcW w:w="2268" w:type="dxa"/>
            <w:vAlign w:val="center"/>
          </w:tcPr>
          <w:p w14:paraId="1DC5CE47">
            <w:pPr>
              <w:pStyle w:val="12"/>
            </w:pPr>
            <w:r>
              <w:t>840元</w:t>
            </w:r>
          </w:p>
        </w:tc>
        <w:tc>
          <w:tcPr>
            <w:tcW w:w="1276" w:type="dxa"/>
            <w:vAlign w:val="center"/>
          </w:tcPr>
          <w:p w14:paraId="32E5E13F">
            <w:pPr>
              <w:pStyle w:val="12"/>
            </w:pPr>
            <w:r>
              <w:t>城乡义务教育公用经费管理办法</w:t>
            </w:r>
          </w:p>
        </w:tc>
      </w:tr>
      <w:tr w14:paraId="59A9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95720"/>
        </w:tc>
        <w:tc>
          <w:tcPr>
            <w:tcW w:w="2268" w:type="dxa"/>
            <w:vAlign w:val="center"/>
          </w:tcPr>
          <w:p w14:paraId="4C05E8D8">
            <w:pPr>
              <w:pStyle w:val="12"/>
            </w:pPr>
            <w:r>
              <w:t>数量指标</w:t>
            </w:r>
          </w:p>
        </w:tc>
        <w:tc>
          <w:tcPr>
            <w:tcW w:w="2835" w:type="dxa"/>
            <w:vAlign w:val="center"/>
          </w:tcPr>
          <w:p w14:paraId="134755FB">
            <w:pPr>
              <w:pStyle w:val="12"/>
            </w:pPr>
            <w:r>
              <w:t>就读学生数</w:t>
            </w:r>
          </w:p>
        </w:tc>
        <w:tc>
          <w:tcPr>
            <w:tcW w:w="5386" w:type="dxa"/>
            <w:vAlign w:val="center"/>
          </w:tcPr>
          <w:p w14:paraId="087B6C3C">
            <w:pPr>
              <w:pStyle w:val="12"/>
            </w:pPr>
            <w:r>
              <w:t>辐射区域内适龄学生人数</w:t>
            </w:r>
          </w:p>
        </w:tc>
        <w:tc>
          <w:tcPr>
            <w:tcW w:w="2268" w:type="dxa"/>
            <w:vAlign w:val="center"/>
          </w:tcPr>
          <w:p w14:paraId="4F7419F2">
            <w:pPr>
              <w:pStyle w:val="12"/>
            </w:pPr>
            <w:r>
              <w:t>100人</w:t>
            </w:r>
          </w:p>
        </w:tc>
        <w:tc>
          <w:tcPr>
            <w:tcW w:w="1276" w:type="dxa"/>
            <w:vAlign w:val="center"/>
          </w:tcPr>
          <w:p w14:paraId="3BB68489">
            <w:pPr>
              <w:pStyle w:val="12"/>
            </w:pPr>
            <w:r>
              <w:t>城乡义务教育公用经费管理办法</w:t>
            </w:r>
          </w:p>
        </w:tc>
      </w:tr>
      <w:tr w14:paraId="4E26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63B29"/>
        </w:tc>
        <w:tc>
          <w:tcPr>
            <w:tcW w:w="2268" w:type="dxa"/>
            <w:vAlign w:val="center"/>
          </w:tcPr>
          <w:p w14:paraId="2C3E2121">
            <w:pPr>
              <w:pStyle w:val="12"/>
            </w:pPr>
            <w:r>
              <w:t>质量指标</w:t>
            </w:r>
          </w:p>
        </w:tc>
        <w:tc>
          <w:tcPr>
            <w:tcW w:w="2835" w:type="dxa"/>
            <w:vAlign w:val="center"/>
          </w:tcPr>
          <w:p w14:paraId="61C269ED">
            <w:pPr>
              <w:pStyle w:val="12"/>
            </w:pPr>
            <w:r>
              <w:t>预算执行率</w:t>
            </w:r>
          </w:p>
        </w:tc>
        <w:tc>
          <w:tcPr>
            <w:tcW w:w="5386" w:type="dxa"/>
            <w:vAlign w:val="center"/>
          </w:tcPr>
          <w:p w14:paraId="407E5856">
            <w:pPr>
              <w:pStyle w:val="12"/>
            </w:pPr>
            <w:r>
              <w:t>预算执行率≥98%</w:t>
            </w:r>
          </w:p>
        </w:tc>
        <w:tc>
          <w:tcPr>
            <w:tcW w:w="2268" w:type="dxa"/>
            <w:vAlign w:val="center"/>
          </w:tcPr>
          <w:p w14:paraId="1CB4AD14">
            <w:pPr>
              <w:pStyle w:val="12"/>
            </w:pPr>
            <w:r>
              <w:t>98%</w:t>
            </w:r>
          </w:p>
        </w:tc>
        <w:tc>
          <w:tcPr>
            <w:tcW w:w="1276" w:type="dxa"/>
            <w:vAlign w:val="center"/>
          </w:tcPr>
          <w:p w14:paraId="174A6C00">
            <w:pPr>
              <w:pStyle w:val="12"/>
            </w:pPr>
            <w:r>
              <w:t>城乡义务教育公用经费管理办法</w:t>
            </w:r>
          </w:p>
        </w:tc>
      </w:tr>
      <w:tr w14:paraId="1278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94C0A"/>
        </w:tc>
        <w:tc>
          <w:tcPr>
            <w:tcW w:w="2268" w:type="dxa"/>
            <w:vAlign w:val="center"/>
          </w:tcPr>
          <w:p w14:paraId="3D4E9256">
            <w:pPr>
              <w:pStyle w:val="12"/>
            </w:pPr>
            <w:r>
              <w:t>时效指标</w:t>
            </w:r>
          </w:p>
        </w:tc>
        <w:tc>
          <w:tcPr>
            <w:tcW w:w="2835" w:type="dxa"/>
            <w:vAlign w:val="center"/>
          </w:tcPr>
          <w:p w14:paraId="236CFC93">
            <w:pPr>
              <w:pStyle w:val="12"/>
            </w:pPr>
            <w:r>
              <w:t>义教经费支付完成率</w:t>
            </w:r>
          </w:p>
        </w:tc>
        <w:tc>
          <w:tcPr>
            <w:tcW w:w="5386" w:type="dxa"/>
            <w:vAlign w:val="center"/>
          </w:tcPr>
          <w:p w14:paraId="482A277E">
            <w:pPr>
              <w:pStyle w:val="12"/>
            </w:pPr>
            <w:r>
              <w:t>按照序时进度完成资金支付</w:t>
            </w:r>
          </w:p>
        </w:tc>
        <w:tc>
          <w:tcPr>
            <w:tcW w:w="2268" w:type="dxa"/>
            <w:vAlign w:val="center"/>
          </w:tcPr>
          <w:p w14:paraId="2618DFE9">
            <w:pPr>
              <w:pStyle w:val="12"/>
            </w:pPr>
            <w:r>
              <w:t>100%</w:t>
            </w:r>
          </w:p>
        </w:tc>
        <w:tc>
          <w:tcPr>
            <w:tcW w:w="1276" w:type="dxa"/>
            <w:vAlign w:val="center"/>
          </w:tcPr>
          <w:p w14:paraId="06B67A6D">
            <w:pPr>
              <w:pStyle w:val="12"/>
            </w:pPr>
            <w:r>
              <w:t>城乡义务教育公用经费管理办法</w:t>
            </w:r>
          </w:p>
        </w:tc>
      </w:tr>
      <w:tr w14:paraId="452D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4DD2F">
            <w:pPr>
              <w:pStyle w:val="13"/>
            </w:pPr>
            <w:r>
              <w:t>效益指标</w:t>
            </w:r>
          </w:p>
        </w:tc>
        <w:tc>
          <w:tcPr>
            <w:tcW w:w="2268" w:type="dxa"/>
            <w:vAlign w:val="center"/>
          </w:tcPr>
          <w:p w14:paraId="5FFBB089">
            <w:pPr>
              <w:pStyle w:val="12"/>
            </w:pPr>
            <w:r>
              <w:t>社会效益指标</w:t>
            </w:r>
          </w:p>
        </w:tc>
        <w:tc>
          <w:tcPr>
            <w:tcW w:w="2835" w:type="dxa"/>
            <w:vAlign w:val="center"/>
          </w:tcPr>
          <w:p w14:paraId="13B49488">
            <w:pPr>
              <w:pStyle w:val="12"/>
            </w:pPr>
            <w:r>
              <w:t>学校运转得到提高</w:t>
            </w:r>
          </w:p>
        </w:tc>
        <w:tc>
          <w:tcPr>
            <w:tcW w:w="5386" w:type="dxa"/>
            <w:vAlign w:val="center"/>
          </w:tcPr>
          <w:p w14:paraId="72D7FD35">
            <w:pPr>
              <w:pStyle w:val="12"/>
            </w:pPr>
            <w:r>
              <w:t>学生受教育年限</w:t>
            </w:r>
          </w:p>
        </w:tc>
        <w:tc>
          <w:tcPr>
            <w:tcW w:w="2268" w:type="dxa"/>
            <w:vAlign w:val="center"/>
          </w:tcPr>
          <w:p w14:paraId="23B26D57">
            <w:pPr>
              <w:pStyle w:val="12"/>
            </w:pPr>
            <w:r>
              <w:t>6年</w:t>
            </w:r>
          </w:p>
        </w:tc>
        <w:tc>
          <w:tcPr>
            <w:tcW w:w="1276" w:type="dxa"/>
            <w:vAlign w:val="center"/>
          </w:tcPr>
          <w:p w14:paraId="09CDE033">
            <w:pPr>
              <w:pStyle w:val="12"/>
            </w:pPr>
            <w:r>
              <w:t>城乡义务教育公用经费管理办法</w:t>
            </w:r>
          </w:p>
        </w:tc>
      </w:tr>
      <w:tr w14:paraId="1877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59511">
            <w:pPr>
              <w:pStyle w:val="13"/>
            </w:pPr>
            <w:r>
              <w:t>满意度指标</w:t>
            </w:r>
          </w:p>
        </w:tc>
        <w:tc>
          <w:tcPr>
            <w:tcW w:w="2268" w:type="dxa"/>
            <w:vAlign w:val="center"/>
          </w:tcPr>
          <w:p w14:paraId="23812443">
            <w:pPr>
              <w:pStyle w:val="12"/>
            </w:pPr>
            <w:r>
              <w:t>服务对象满意度指标</w:t>
            </w:r>
          </w:p>
        </w:tc>
        <w:tc>
          <w:tcPr>
            <w:tcW w:w="2835" w:type="dxa"/>
            <w:vAlign w:val="center"/>
          </w:tcPr>
          <w:p w14:paraId="625C05AB">
            <w:pPr>
              <w:pStyle w:val="12"/>
            </w:pPr>
            <w:r>
              <w:t>服务对象满意度</w:t>
            </w:r>
          </w:p>
        </w:tc>
        <w:tc>
          <w:tcPr>
            <w:tcW w:w="5386" w:type="dxa"/>
            <w:vAlign w:val="center"/>
          </w:tcPr>
          <w:p w14:paraId="707EE7C7">
            <w:pPr>
              <w:pStyle w:val="12"/>
            </w:pPr>
            <w:r>
              <w:t>学校老师和学生满意度</w:t>
            </w:r>
          </w:p>
        </w:tc>
        <w:tc>
          <w:tcPr>
            <w:tcW w:w="2268" w:type="dxa"/>
            <w:vAlign w:val="center"/>
          </w:tcPr>
          <w:p w14:paraId="673D9A3B">
            <w:pPr>
              <w:pStyle w:val="12"/>
            </w:pPr>
            <w:r>
              <w:t>≥95%</w:t>
            </w:r>
          </w:p>
        </w:tc>
        <w:tc>
          <w:tcPr>
            <w:tcW w:w="1276" w:type="dxa"/>
            <w:vAlign w:val="center"/>
          </w:tcPr>
          <w:p w14:paraId="18441356">
            <w:pPr>
              <w:pStyle w:val="12"/>
            </w:pPr>
            <w:r>
              <w:t>问卷调查</w:t>
            </w:r>
          </w:p>
        </w:tc>
      </w:tr>
    </w:tbl>
    <w:p w14:paraId="03AC5267">
      <w:pPr>
        <w:sectPr>
          <w:pgSz w:w="16840" w:h="11900" w:orient="landscape"/>
          <w:pgMar w:top="1361" w:right="1020" w:bottom="1134" w:left="1020" w:header="720" w:footer="720" w:gutter="0"/>
          <w:cols w:space="720" w:num="1"/>
        </w:sectPr>
      </w:pPr>
    </w:p>
    <w:p w14:paraId="1BBE8B96">
      <w:pPr>
        <w:spacing w:before="0" w:after="0"/>
        <w:ind w:firstLine="560"/>
        <w:jc w:val="left"/>
        <w:outlineLvl w:val="9"/>
      </w:pPr>
      <w:r>
        <w:rPr>
          <w:rFonts w:ascii="方正仿宋_GBK" w:hAnsi="方正仿宋_GBK" w:eastAsia="方正仿宋_GBK" w:cs="方正仿宋_GBK"/>
          <w:b/>
          <w:color w:val="000000"/>
          <w:sz w:val="28"/>
        </w:rPr>
        <w:t>7、冀财教[2025]121号/中央/2026年义教补助经费/牛家桥校区南杨楼小学公用经费绩效目标表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71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6733D">
            <w:pPr>
              <w:pStyle w:val="11"/>
            </w:pPr>
            <w:r>
              <w:t>单位：万元</w:t>
            </w:r>
          </w:p>
        </w:tc>
      </w:tr>
      <w:tr w14:paraId="6563F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E7073">
            <w:pPr>
              <w:pStyle w:val="10"/>
            </w:pPr>
            <w:r>
              <w:t>项目编码</w:t>
            </w:r>
          </w:p>
        </w:tc>
        <w:tc>
          <w:tcPr>
            <w:tcW w:w="5103" w:type="dxa"/>
            <w:gridSpan w:val="2"/>
            <w:vAlign w:val="center"/>
          </w:tcPr>
          <w:p w14:paraId="04CD3ECF">
            <w:pPr>
              <w:pStyle w:val="12"/>
            </w:pPr>
            <w:r>
              <w:t>13052526P000004103377</w:t>
            </w:r>
          </w:p>
        </w:tc>
        <w:tc>
          <w:tcPr>
            <w:tcW w:w="2835" w:type="dxa"/>
            <w:vAlign w:val="center"/>
          </w:tcPr>
          <w:p w14:paraId="38BBD22C">
            <w:pPr>
              <w:pStyle w:val="10"/>
            </w:pPr>
            <w:r>
              <w:t>项目名称</w:t>
            </w:r>
          </w:p>
        </w:tc>
        <w:tc>
          <w:tcPr>
            <w:tcW w:w="6095" w:type="dxa"/>
            <w:gridSpan w:val="3"/>
            <w:vAlign w:val="center"/>
          </w:tcPr>
          <w:p w14:paraId="3F2AD441">
            <w:pPr>
              <w:pStyle w:val="12"/>
            </w:pPr>
            <w:r>
              <w:t>冀财教[2025]121号/中央/2026年义教补助经费/牛家桥校区南杨楼小学公用经费</w:t>
            </w:r>
          </w:p>
        </w:tc>
      </w:tr>
      <w:tr w14:paraId="3EA6F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AC002">
            <w:pPr>
              <w:pStyle w:val="10"/>
            </w:pPr>
            <w:r>
              <w:t>预算规模及资金用途</w:t>
            </w:r>
          </w:p>
        </w:tc>
        <w:tc>
          <w:tcPr>
            <w:tcW w:w="2268" w:type="dxa"/>
            <w:vAlign w:val="center"/>
          </w:tcPr>
          <w:p w14:paraId="27E329A3">
            <w:pPr>
              <w:pStyle w:val="10"/>
            </w:pPr>
            <w:r>
              <w:t>预算数</w:t>
            </w:r>
          </w:p>
        </w:tc>
        <w:tc>
          <w:tcPr>
            <w:tcW w:w="2835" w:type="dxa"/>
            <w:vAlign w:val="center"/>
          </w:tcPr>
          <w:p w14:paraId="71A91B10">
            <w:pPr>
              <w:pStyle w:val="12"/>
            </w:pPr>
            <w:r>
              <w:t>4.96</w:t>
            </w:r>
          </w:p>
        </w:tc>
        <w:tc>
          <w:tcPr>
            <w:tcW w:w="2835" w:type="dxa"/>
            <w:vAlign w:val="center"/>
          </w:tcPr>
          <w:p w14:paraId="1C1D8F05">
            <w:pPr>
              <w:pStyle w:val="10"/>
            </w:pPr>
            <w:r>
              <w:t>其中：财政    资金</w:t>
            </w:r>
          </w:p>
        </w:tc>
        <w:tc>
          <w:tcPr>
            <w:tcW w:w="2551" w:type="dxa"/>
            <w:vAlign w:val="center"/>
          </w:tcPr>
          <w:p w14:paraId="6B65B9DA">
            <w:pPr>
              <w:pStyle w:val="12"/>
            </w:pPr>
            <w:r>
              <w:t>4.96</w:t>
            </w:r>
          </w:p>
        </w:tc>
        <w:tc>
          <w:tcPr>
            <w:tcW w:w="2268" w:type="dxa"/>
            <w:vAlign w:val="center"/>
          </w:tcPr>
          <w:p w14:paraId="542DD4B6">
            <w:pPr>
              <w:pStyle w:val="10"/>
            </w:pPr>
            <w:r>
              <w:t>其他资金</w:t>
            </w:r>
          </w:p>
        </w:tc>
        <w:tc>
          <w:tcPr>
            <w:tcW w:w="1276" w:type="dxa"/>
            <w:vAlign w:val="center"/>
          </w:tcPr>
          <w:p w14:paraId="75A5E209">
            <w:pPr>
              <w:pStyle w:val="12"/>
            </w:pPr>
            <w:r>
              <w:t xml:space="preserve"> </w:t>
            </w:r>
          </w:p>
        </w:tc>
      </w:tr>
      <w:tr w14:paraId="79B5D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482C8"/>
        </w:tc>
        <w:tc>
          <w:tcPr>
            <w:tcW w:w="14033" w:type="dxa"/>
            <w:gridSpan w:val="6"/>
            <w:vAlign w:val="center"/>
          </w:tcPr>
          <w:p w14:paraId="4B427042">
            <w:pPr>
              <w:pStyle w:val="12"/>
            </w:pPr>
            <w:r>
              <w:t>有效完成学校教学安全秩序，保障学校教学任务有效开展，满足学校正常教学需要。</w:t>
            </w:r>
          </w:p>
        </w:tc>
      </w:tr>
      <w:tr w14:paraId="4DDD7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C39DC">
            <w:pPr>
              <w:pStyle w:val="10"/>
            </w:pPr>
            <w:r>
              <w:t>资金支出计划（%）</w:t>
            </w:r>
          </w:p>
        </w:tc>
        <w:tc>
          <w:tcPr>
            <w:tcW w:w="5103" w:type="dxa"/>
            <w:gridSpan w:val="2"/>
            <w:vAlign w:val="center"/>
          </w:tcPr>
          <w:p w14:paraId="03C33999">
            <w:pPr>
              <w:pStyle w:val="10"/>
            </w:pPr>
            <w:r>
              <w:t>3月底</w:t>
            </w:r>
          </w:p>
        </w:tc>
        <w:tc>
          <w:tcPr>
            <w:tcW w:w="2835" w:type="dxa"/>
            <w:vAlign w:val="center"/>
          </w:tcPr>
          <w:p w14:paraId="09686D09">
            <w:pPr>
              <w:pStyle w:val="10"/>
            </w:pPr>
            <w:r>
              <w:t>6月底</w:t>
            </w:r>
          </w:p>
        </w:tc>
        <w:tc>
          <w:tcPr>
            <w:tcW w:w="2551" w:type="dxa"/>
            <w:vAlign w:val="center"/>
          </w:tcPr>
          <w:p w14:paraId="0B037DBE">
            <w:pPr>
              <w:pStyle w:val="10"/>
            </w:pPr>
            <w:r>
              <w:t>10月底</w:t>
            </w:r>
          </w:p>
        </w:tc>
        <w:tc>
          <w:tcPr>
            <w:tcW w:w="3544" w:type="dxa"/>
            <w:gridSpan w:val="2"/>
            <w:vAlign w:val="center"/>
          </w:tcPr>
          <w:p w14:paraId="72BAF66C">
            <w:pPr>
              <w:pStyle w:val="10"/>
            </w:pPr>
            <w:r>
              <w:t>12月底</w:t>
            </w:r>
          </w:p>
        </w:tc>
      </w:tr>
      <w:tr w14:paraId="36178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ED9A2"/>
        </w:tc>
        <w:tc>
          <w:tcPr>
            <w:tcW w:w="5103" w:type="dxa"/>
            <w:gridSpan w:val="2"/>
            <w:vAlign w:val="center"/>
          </w:tcPr>
          <w:p w14:paraId="4B21E0FA">
            <w:pPr>
              <w:pStyle w:val="13"/>
            </w:pPr>
            <w:r>
              <w:t>25%</w:t>
            </w:r>
          </w:p>
        </w:tc>
        <w:tc>
          <w:tcPr>
            <w:tcW w:w="2835" w:type="dxa"/>
            <w:vAlign w:val="center"/>
          </w:tcPr>
          <w:p w14:paraId="395990DB">
            <w:pPr>
              <w:pStyle w:val="13"/>
            </w:pPr>
            <w:r>
              <w:t>50%</w:t>
            </w:r>
          </w:p>
        </w:tc>
        <w:tc>
          <w:tcPr>
            <w:tcW w:w="2551" w:type="dxa"/>
            <w:vAlign w:val="center"/>
          </w:tcPr>
          <w:p w14:paraId="1D11DA51">
            <w:pPr>
              <w:pStyle w:val="13"/>
            </w:pPr>
            <w:r>
              <w:t>75%</w:t>
            </w:r>
          </w:p>
        </w:tc>
        <w:tc>
          <w:tcPr>
            <w:tcW w:w="3544" w:type="dxa"/>
            <w:gridSpan w:val="2"/>
            <w:vAlign w:val="center"/>
          </w:tcPr>
          <w:p w14:paraId="7BB3C1A3">
            <w:pPr>
              <w:pStyle w:val="13"/>
            </w:pPr>
            <w:r>
              <w:t>100%</w:t>
            </w:r>
          </w:p>
        </w:tc>
      </w:tr>
      <w:tr w14:paraId="165DF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A43A4">
            <w:pPr>
              <w:pStyle w:val="10"/>
            </w:pPr>
            <w:r>
              <w:t>绩效目标</w:t>
            </w:r>
          </w:p>
        </w:tc>
        <w:tc>
          <w:tcPr>
            <w:tcW w:w="14033" w:type="dxa"/>
            <w:gridSpan w:val="6"/>
            <w:vAlign w:val="center"/>
          </w:tcPr>
          <w:p w14:paraId="3CB38B51">
            <w:pPr>
              <w:pStyle w:val="12"/>
            </w:pPr>
            <w:r>
              <w:t>1.有效完成学校教学安全秩序，保障学校教学任务有效开展，满足学校正常教学需要。</w:t>
            </w:r>
          </w:p>
          <w:p w14:paraId="577E7F67">
            <w:pPr>
              <w:pStyle w:val="12"/>
            </w:pPr>
            <w:r>
              <w:t>2.按规定拨付公用经费资金，预算执行率≥98%。</w:t>
            </w:r>
          </w:p>
        </w:tc>
      </w:tr>
    </w:tbl>
    <w:p w14:paraId="4E314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C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22EED">
            <w:pPr>
              <w:pStyle w:val="10"/>
            </w:pPr>
            <w:r>
              <w:t>一级指标</w:t>
            </w:r>
          </w:p>
        </w:tc>
        <w:tc>
          <w:tcPr>
            <w:tcW w:w="2268" w:type="dxa"/>
            <w:vAlign w:val="center"/>
          </w:tcPr>
          <w:p w14:paraId="56C29B37">
            <w:pPr>
              <w:pStyle w:val="10"/>
            </w:pPr>
            <w:r>
              <w:t>二级指标</w:t>
            </w:r>
          </w:p>
        </w:tc>
        <w:tc>
          <w:tcPr>
            <w:tcW w:w="2835" w:type="dxa"/>
            <w:vAlign w:val="center"/>
          </w:tcPr>
          <w:p w14:paraId="4C31EEEA">
            <w:pPr>
              <w:pStyle w:val="10"/>
            </w:pPr>
            <w:r>
              <w:t>三级指标</w:t>
            </w:r>
          </w:p>
        </w:tc>
        <w:tc>
          <w:tcPr>
            <w:tcW w:w="5386" w:type="dxa"/>
            <w:vAlign w:val="center"/>
          </w:tcPr>
          <w:p w14:paraId="7C276A03">
            <w:pPr>
              <w:pStyle w:val="10"/>
            </w:pPr>
            <w:r>
              <w:t>绩效指标描述</w:t>
            </w:r>
          </w:p>
        </w:tc>
        <w:tc>
          <w:tcPr>
            <w:tcW w:w="2268" w:type="dxa"/>
            <w:vAlign w:val="center"/>
          </w:tcPr>
          <w:p w14:paraId="6A8DDDEB">
            <w:pPr>
              <w:pStyle w:val="10"/>
            </w:pPr>
            <w:r>
              <w:t>指标值</w:t>
            </w:r>
          </w:p>
        </w:tc>
        <w:tc>
          <w:tcPr>
            <w:tcW w:w="1276" w:type="dxa"/>
            <w:vAlign w:val="center"/>
          </w:tcPr>
          <w:p w14:paraId="5635B4DA">
            <w:pPr>
              <w:pStyle w:val="10"/>
            </w:pPr>
            <w:r>
              <w:t>指标值确定依据</w:t>
            </w:r>
          </w:p>
        </w:tc>
      </w:tr>
      <w:tr w14:paraId="13EB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D62B9">
            <w:pPr>
              <w:pStyle w:val="13"/>
            </w:pPr>
            <w:r>
              <w:t>产出指标</w:t>
            </w:r>
          </w:p>
        </w:tc>
        <w:tc>
          <w:tcPr>
            <w:tcW w:w="2268" w:type="dxa"/>
            <w:vAlign w:val="center"/>
          </w:tcPr>
          <w:p w14:paraId="4C399BCC">
            <w:pPr>
              <w:pStyle w:val="12"/>
            </w:pPr>
            <w:r>
              <w:t>成本指标</w:t>
            </w:r>
          </w:p>
        </w:tc>
        <w:tc>
          <w:tcPr>
            <w:tcW w:w="2835" w:type="dxa"/>
            <w:vAlign w:val="center"/>
          </w:tcPr>
          <w:p w14:paraId="32457575">
            <w:pPr>
              <w:pStyle w:val="12"/>
            </w:pPr>
            <w:r>
              <w:t>生均拨款标准</w:t>
            </w:r>
          </w:p>
        </w:tc>
        <w:tc>
          <w:tcPr>
            <w:tcW w:w="5386" w:type="dxa"/>
            <w:vAlign w:val="center"/>
          </w:tcPr>
          <w:p w14:paraId="5A99031B">
            <w:pPr>
              <w:pStyle w:val="12"/>
            </w:pPr>
            <w:r>
              <w:t>小学生公用经费生均小学720元。取暖费120元/生/年，随班就读学生补助7000元/生</w:t>
            </w:r>
          </w:p>
        </w:tc>
        <w:tc>
          <w:tcPr>
            <w:tcW w:w="2268" w:type="dxa"/>
            <w:vAlign w:val="center"/>
          </w:tcPr>
          <w:p w14:paraId="3B862560">
            <w:pPr>
              <w:pStyle w:val="12"/>
            </w:pPr>
            <w:r>
              <w:t>840元</w:t>
            </w:r>
          </w:p>
        </w:tc>
        <w:tc>
          <w:tcPr>
            <w:tcW w:w="1276" w:type="dxa"/>
            <w:vAlign w:val="center"/>
          </w:tcPr>
          <w:p w14:paraId="73161FEB">
            <w:pPr>
              <w:pStyle w:val="12"/>
            </w:pPr>
            <w:r>
              <w:t>城乡义务教育公用经费管理办法</w:t>
            </w:r>
          </w:p>
        </w:tc>
      </w:tr>
      <w:tr w14:paraId="7505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F4D9"/>
        </w:tc>
        <w:tc>
          <w:tcPr>
            <w:tcW w:w="2268" w:type="dxa"/>
            <w:vAlign w:val="center"/>
          </w:tcPr>
          <w:p w14:paraId="005CAC0D">
            <w:pPr>
              <w:pStyle w:val="12"/>
            </w:pPr>
            <w:r>
              <w:t>数量指标</w:t>
            </w:r>
          </w:p>
        </w:tc>
        <w:tc>
          <w:tcPr>
            <w:tcW w:w="2835" w:type="dxa"/>
            <w:vAlign w:val="center"/>
          </w:tcPr>
          <w:p w14:paraId="03E5E2E4">
            <w:pPr>
              <w:pStyle w:val="12"/>
            </w:pPr>
            <w:r>
              <w:t>就读学生数</w:t>
            </w:r>
          </w:p>
        </w:tc>
        <w:tc>
          <w:tcPr>
            <w:tcW w:w="5386" w:type="dxa"/>
            <w:vAlign w:val="center"/>
          </w:tcPr>
          <w:p w14:paraId="4D00554C">
            <w:pPr>
              <w:pStyle w:val="12"/>
            </w:pPr>
            <w:r>
              <w:t>辐射区域内适龄学生人数</w:t>
            </w:r>
          </w:p>
        </w:tc>
        <w:tc>
          <w:tcPr>
            <w:tcW w:w="2268" w:type="dxa"/>
            <w:vAlign w:val="center"/>
          </w:tcPr>
          <w:p w14:paraId="7199FA32">
            <w:pPr>
              <w:pStyle w:val="12"/>
            </w:pPr>
            <w:r>
              <w:t>100人</w:t>
            </w:r>
          </w:p>
        </w:tc>
        <w:tc>
          <w:tcPr>
            <w:tcW w:w="1276" w:type="dxa"/>
            <w:vAlign w:val="center"/>
          </w:tcPr>
          <w:p w14:paraId="4A55050A">
            <w:pPr>
              <w:pStyle w:val="12"/>
            </w:pPr>
            <w:r>
              <w:t>城乡义务教育公用经费管理办法</w:t>
            </w:r>
          </w:p>
        </w:tc>
      </w:tr>
      <w:tr w14:paraId="2E2B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39FDD"/>
        </w:tc>
        <w:tc>
          <w:tcPr>
            <w:tcW w:w="2268" w:type="dxa"/>
            <w:vAlign w:val="center"/>
          </w:tcPr>
          <w:p w14:paraId="665BEF84">
            <w:pPr>
              <w:pStyle w:val="12"/>
            </w:pPr>
            <w:r>
              <w:t>质量指标</w:t>
            </w:r>
          </w:p>
        </w:tc>
        <w:tc>
          <w:tcPr>
            <w:tcW w:w="2835" w:type="dxa"/>
            <w:vAlign w:val="center"/>
          </w:tcPr>
          <w:p w14:paraId="7E96B0DB">
            <w:pPr>
              <w:pStyle w:val="12"/>
            </w:pPr>
            <w:r>
              <w:t>预算执行率</w:t>
            </w:r>
          </w:p>
        </w:tc>
        <w:tc>
          <w:tcPr>
            <w:tcW w:w="5386" w:type="dxa"/>
            <w:vAlign w:val="center"/>
          </w:tcPr>
          <w:p w14:paraId="16B7A8F8">
            <w:pPr>
              <w:pStyle w:val="12"/>
            </w:pPr>
            <w:r>
              <w:t>预算执行率≥98%</w:t>
            </w:r>
          </w:p>
        </w:tc>
        <w:tc>
          <w:tcPr>
            <w:tcW w:w="2268" w:type="dxa"/>
            <w:vAlign w:val="center"/>
          </w:tcPr>
          <w:p w14:paraId="1A4E7C9B">
            <w:pPr>
              <w:pStyle w:val="12"/>
            </w:pPr>
            <w:r>
              <w:t>98%</w:t>
            </w:r>
          </w:p>
        </w:tc>
        <w:tc>
          <w:tcPr>
            <w:tcW w:w="1276" w:type="dxa"/>
            <w:vAlign w:val="center"/>
          </w:tcPr>
          <w:p w14:paraId="1CA73F83">
            <w:pPr>
              <w:pStyle w:val="12"/>
            </w:pPr>
            <w:r>
              <w:t>城乡义务教育公用经费管理办法</w:t>
            </w:r>
          </w:p>
        </w:tc>
      </w:tr>
      <w:tr w14:paraId="590F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C8076"/>
        </w:tc>
        <w:tc>
          <w:tcPr>
            <w:tcW w:w="2268" w:type="dxa"/>
            <w:vAlign w:val="center"/>
          </w:tcPr>
          <w:p w14:paraId="6C4A4AF4">
            <w:pPr>
              <w:pStyle w:val="12"/>
            </w:pPr>
            <w:r>
              <w:t>时效指标</w:t>
            </w:r>
          </w:p>
        </w:tc>
        <w:tc>
          <w:tcPr>
            <w:tcW w:w="2835" w:type="dxa"/>
            <w:vAlign w:val="center"/>
          </w:tcPr>
          <w:p w14:paraId="627B9ACE">
            <w:pPr>
              <w:pStyle w:val="12"/>
            </w:pPr>
            <w:r>
              <w:t>义教经费支付完成率</w:t>
            </w:r>
          </w:p>
        </w:tc>
        <w:tc>
          <w:tcPr>
            <w:tcW w:w="5386" w:type="dxa"/>
            <w:vAlign w:val="center"/>
          </w:tcPr>
          <w:p w14:paraId="540038A5">
            <w:pPr>
              <w:pStyle w:val="12"/>
            </w:pPr>
            <w:r>
              <w:t>按照序时进度完成资金支付</w:t>
            </w:r>
          </w:p>
        </w:tc>
        <w:tc>
          <w:tcPr>
            <w:tcW w:w="2268" w:type="dxa"/>
            <w:vAlign w:val="center"/>
          </w:tcPr>
          <w:p w14:paraId="184A647C">
            <w:pPr>
              <w:pStyle w:val="12"/>
            </w:pPr>
            <w:r>
              <w:t>100%</w:t>
            </w:r>
          </w:p>
        </w:tc>
        <w:tc>
          <w:tcPr>
            <w:tcW w:w="1276" w:type="dxa"/>
            <w:vAlign w:val="center"/>
          </w:tcPr>
          <w:p w14:paraId="2075268D">
            <w:pPr>
              <w:pStyle w:val="12"/>
            </w:pPr>
            <w:r>
              <w:t>城乡义务教育公用经费管理办法</w:t>
            </w:r>
          </w:p>
        </w:tc>
      </w:tr>
      <w:tr w14:paraId="3477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873C8">
            <w:pPr>
              <w:pStyle w:val="13"/>
            </w:pPr>
            <w:r>
              <w:t>效益指标</w:t>
            </w:r>
          </w:p>
        </w:tc>
        <w:tc>
          <w:tcPr>
            <w:tcW w:w="2268" w:type="dxa"/>
            <w:vAlign w:val="center"/>
          </w:tcPr>
          <w:p w14:paraId="4A60031D">
            <w:pPr>
              <w:pStyle w:val="12"/>
            </w:pPr>
            <w:r>
              <w:t>社会效益指标</w:t>
            </w:r>
          </w:p>
        </w:tc>
        <w:tc>
          <w:tcPr>
            <w:tcW w:w="2835" w:type="dxa"/>
            <w:vAlign w:val="center"/>
          </w:tcPr>
          <w:p w14:paraId="47C87235">
            <w:pPr>
              <w:pStyle w:val="12"/>
            </w:pPr>
            <w:r>
              <w:t>学校运转得到提高</w:t>
            </w:r>
          </w:p>
        </w:tc>
        <w:tc>
          <w:tcPr>
            <w:tcW w:w="5386" w:type="dxa"/>
            <w:vAlign w:val="center"/>
          </w:tcPr>
          <w:p w14:paraId="3C66C373">
            <w:pPr>
              <w:pStyle w:val="12"/>
            </w:pPr>
            <w:r>
              <w:t>学生受教育年限</w:t>
            </w:r>
          </w:p>
        </w:tc>
        <w:tc>
          <w:tcPr>
            <w:tcW w:w="2268" w:type="dxa"/>
            <w:vAlign w:val="center"/>
          </w:tcPr>
          <w:p w14:paraId="722255E4">
            <w:pPr>
              <w:pStyle w:val="12"/>
            </w:pPr>
            <w:r>
              <w:t>6年</w:t>
            </w:r>
          </w:p>
        </w:tc>
        <w:tc>
          <w:tcPr>
            <w:tcW w:w="1276" w:type="dxa"/>
            <w:vAlign w:val="center"/>
          </w:tcPr>
          <w:p w14:paraId="4D937A2F">
            <w:pPr>
              <w:pStyle w:val="12"/>
            </w:pPr>
            <w:r>
              <w:t>城乡义务教育公用经费管理办法</w:t>
            </w:r>
          </w:p>
        </w:tc>
      </w:tr>
      <w:tr w14:paraId="50F7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DA028">
            <w:pPr>
              <w:pStyle w:val="13"/>
            </w:pPr>
            <w:r>
              <w:t>满意度指标</w:t>
            </w:r>
          </w:p>
        </w:tc>
        <w:tc>
          <w:tcPr>
            <w:tcW w:w="2268" w:type="dxa"/>
            <w:vAlign w:val="center"/>
          </w:tcPr>
          <w:p w14:paraId="4CAFD366">
            <w:pPr>
              <w:pStyle w:val="12"/>
            </w:pPr>
            <w:r>
              <w:t>服务对象满意度指标</w:t>
            </w:r>
          </w:p>
        </w:tc>
        <w:tc>
          <w:tcPr>
            <w:tcW w:w="2835" w:type="dxa"/>
            <w:vAlign w:val="center"/>
          </w:tcPr>
          <w:p w14:paraId="37CD4B1E">
            <w:pPr>
              <w:pStyle w:val="12"/>
            </w:pPr>
            <w:r>
              <w:t>服务对象满意度</w:t>
            </w:r>
          </w:p>
        </w:tc>
        <w:tc>
          <w:tcPr>
            <w:tcW w:w="5386" w:type="dxa"/>
            <w:vAlign w:val="center"/>
          </w:tcPr>
          <w:p w14:paraId="3A4E9088">
            <w:pPr>
              <w:pStyle w:val="12"/>
            </w:pPr>
            <w:r>
              <w:t>学校老师和学生满意度</w:t>
            </w:r>
          </w:p>
        </w:tc>
        <w:tc>
          <w:tcPr>
            <w:tcW w:w="2268" w:type="dxa"/>
            <w:vAlign w:val="center"/>
          </w:tcPr>
          <w:p w14:paraId="484AA29B">
            <w:pPr>
              <w:pStyle w:val="12"/>
            </w:pPr>
            <w:r>
              <w:t>≥95%</w:t>
            </w:r>
          </w:p>
        </w:tc>
        <w:tc>
          <w:tcPr>
            <w:tcW w:w="1276" w:type="dxa"/>
            <w:vAlign w:val="center"/>
          </w:tcPr>
          <w:p w14:paraId="379BAB80">
            <w:pPr>
              <w:pStyle w:val="12"/>
            </w:pPr>
            <w:r>
              <w:t>问卷调查</w:t>
            </w:r>
          </w:p>
        </w:tc>
      </w:tr>
    </w:tbl>
    <w:p w14:paraId="6193951E">
      <w:pPr>
        <w:sectPr>
          <w:pgSz w:w="16840" w:h="11900" w:orient="landscape"/>
          <w:pgMar w:top="1361" w:right="1020" w:bottom="1134" w:left="1020" w:header="720" w:footer="720" w:gutter="0"/>
          <w:cols w:space="720" w:num="1"/>
        </w:sectPr>
      </w:pPr>
    </w:p>
    <w:p w14:paraId="14D5C492">
      <w:pPr>
        <w:spacing w:before="0" w:after="0"/>
        <w:ind w:firstLine="560"/>
        <w:jc w:val="left"/>
        <w:outlineLvl w:val="9"/>
      </w:pPr>
      <w:r>
        <w:rPr>
          <w:rFonts w:ascii="方正仿宋_GBK" w:hAnsi="方正仿宋_GBK" w:eastAsia="方正仿宋_GBK" w:cs="方正仿宋_GBK"/>
          <w:b/>
          <w:color w:val="000000"/>
          <w:sz w:val="28"/>
        </w:rPr>
        <w:t>8、冀财教[2025]121号/中央/2026年义教补助经费/牛家桥校区牛家桥小学公用经费绩效目标表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D0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40924">
            <w:pPr>
              <w:pStyle w:val="11"/>
            </w:pPr>
            <w:r>
              <w:t>单位：万元</w:t>
            </w:r>
          </w:p>
        </w:tc>
      </w:tr>
      <w:tr w14:paraId="29AB9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4B376">
            <w:pPr>
              <w:pStyle w:val="10"/>
            </w:pPr>
            <w:r>
              <w:t>项目编码</w:t>
            </w:r>
          </w:p>
        </w:tc>
        <w:tc>
          <w:tcPr>
            <w:tcW w:w="5103" w:type="dxa"/>
            <w:gridSpan w:val="2"/>
            <w:vAlign w:val="center"/>
          </w:tcPr>
          <w:p w14:paraId="444E935B">
            <w:pPr>
              <w:pStyle w:val="12"/>
            </w:pPr>
            <w:r>
              <w:t>13052526P00000410334C</w:t>
            </w:r>
          </w:p>
        </w:tc>
        <w:tc>
          <w:tcPr>
            <w:tcW w:w="2835" w:type="dxa"/>
            <w:vAlign w:val="center"/>
          </w:tcPr>
          <w:p w14:paraId="3E652646">
            <w:pPr>
              <w:pStyle w:val="10"/>
            </w:pPr>
            <w:r>
              <w:t>项目名称</w:t>
            </w:r>
          </w:p>
        </w:tc>
        <w:tc>
          <w:tcPr>
            <w:tcW w:w="6095" w:type="dxa"/>
            <w:gridSpan w:val="3"/>
            <w:vAlign w:val="center"/>
          </w:tcPr>
          <w:p w14:paraId="02EEF301">
            <w:pPr>
              <w:pStyle w:val="12"/>
            </w:pPr>
            <w:r>
              <w:t>冀财教[2025]121号/中央/2026年义教补助经费/牛家桥校区牛家桥小学公用经费</w:t>
            </w:r>
          </w:p>
        </w:tc>
      </w:tr>
      <w:tr w14:paraId="649F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4EB3E">
            <w:pPr>
              <w:pStyle w:val="10"/>
            </w:pPr>
            <w:r>
              <w:t>预算规模及资金用途</w:t>
            </w:r>
          </w:p>
        </w:tc>
        <w:tc>
          <w:tcPr>
            <w:tcW w:w="2268" w:type="dxa"/>
            <w:vAlign w:val="center"/>
          </w:tcPr>
          <w:p w14:paraId="2AE587D8">
            <w:pPr>
              <w:pStyle w:val="10"/>
            </w:pPr>
            <w:r>
              <w:t>预算数</w:t>
            </w:r>
          </w:p>
        </w:tc>
        <w:tc>
          <w:tcPr>
            <w:tcW w:w="2835" w:type="dxa"/>
            <w:vAlign w:val="center"/>
          </w:tcPr>
          <w:p w14:paraId="3785CC03">
            <w:pPr>
              <w:pStyle w:val="12"/>
            </w:pPr>
            <w:r>
              <w:t>43.36</w:t>
            </w:r>
          </w:p>
        </w:tc>
        <w:tc>
          <w:tcPr>
            <w:tcW w:w="2835" w:type="dxa"/>
            <w:vAlign w:val="center"/>
          </w:tcPr>
          <w:p w14:paraId="4C1F5148">
            <w:pPr>
              <w:pStyle w:val="10"/>
            </w:pPr>
            <w:r>
              <w:t>其中：财政    资金</w:t>
            </w:r>
          </w:p>
        </w:tc>
        <w:tc>
          <w:tcPr>
            <w:tcW w:w="2551" w:type="dxa"/>
            <w:vAlign w:val="center"/>
          </w:tcPr>
          <w:p w14:paraId="188A5CDF">
            <w:pPr>
              <w:pStyle w:val="12"/>
            </w:pPr>
            <w:r>
              <w:t>43.36</w:t>
            </w:r>
          </w:p>
        </w:tc>
        <w:tc>
          <w:tcPr>
            <w:tcW w:w="2268" w:type="dxa"/>
            <w:vAlign w:val="center"/>
          </w:tcPr>
          <w:p w14:paraId="1A7CC0E6">
            <w:pPr>
              <w:pStyle w:val="10"/>
            </w:pPr>
            <w:r>
              <w:t>其他资金</w:t>
            </w:r>
          </w:p>
        </w:tc>
        <w:tc>
          <w:tcPr>
            <w:tcW w:w="1276" w:type="dxa"/>
            <w:vAlign w:val="center"/>
          </w:tcPr>
          <w:p w14:paraId="20168138">
            <w:pPr>
              <w:pStyle w:val="12"/>
            </w:pPr>
            <w:r>
              <w:t xml:space="preserve"> </w:t>
            </w:r>
          </w:p>
        </w:tc>
      </w:tr>
      <w:tr w14:paraId="7B669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ACCB5"/>
        </w:tc>
        <w:tc>
          <w:tcPr>
            <w:tcW w:w="14033" w:type="dxa"/>
            <w:gridSpan w:val="6"/>
            <w:vAlign w:val="center"/>
          </w:tcPr>
          <w:p w14:paraId="47933449">
            <w:pPr>
              <w:pStyle w:val="12"/>
            </w:pPr>
            <w:r>
              <w:t>有效完成学校教学安全秩序，保障学校教学任务有效开展，满足学校正常教学需要。</w:t>
            </w:r>
          </w:p>
        </w:tc>
      </w:tr>
      <w:tr w14:paraId="12C41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B4D85">
            <w:pPr>
              <w:pStyle w:val="10"/>
            </w:pPr>
            <w:r>
              <w:t>资金支出计划（%）</w:t>
            </w:r>
          </w:p>
        </w:tc>
        <w:tc>
          <w:tcPr>
            <w:tcW w:w="5103" w:type="dxa"/>
            <w:gridSpan w:val="2"/>
            <w:vAlign w:val="center"/>
          </w:tcPr>
          <w:p w14:paraId="4C53125C">
            <w:pPr>
              <w:pStyle w:val="10"/>
            </w:pPr>
            <w:r>
              <w:t>3月底</w:t>
            </w:r>
          </w:p>
        </w:tc>
        <w:tc>
          <w:tcPr>
            <w:tcW w:w="2835" w:type="dxa"/>
            <w:vAlign w:val="center"/>
          </w:tcPr>
          <w:p w14:paraId="5763B62A">
            <w:pPr>
              <w:pStyle w:val="10"/>
            </w:pPr>
            <w:r>
              <w:t>6月底</w:t>
            </w:r>
          </w:p>
        </w:tc>
        <w:tc>
          <w:tcPr>
            <w:tcW w:w="2551" w:type="dxa"/>
            <w:vAlign w:val="center"/>
          </w:tcPr>
          <w:p w14:paraId="1156AE20">
            <w:pPr>
              <w:pStyle w:val="10"/>
            </w:pPr>
            <w:r>
              <w:t>10月底</w:t>
            </w:r>
          </w:p>
        </w:tc>
        <w:tc>
          <w:tcPr>
            <w:tcW w:w="3544" w:type="dxa"/>
            <w:gridSpan w:val="2"/>
            <w:vAlign w:val="center"/>
          </w:tcPr>
          <w:p w14:paraId="6A5DD8A8">
            <w:pPr>
              <w:pStyle w:val="10"/>
            </w:pPr>
            <w:r>
              <w:t>12月底</w:t>
            </w:r>
          </w:p>
        </w:tc>
      </w:tr>
      <w:tr w14:paraId="3A3D5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A1B56"/>
        </w:tc>
        <w:tc>
          <w:tcPr>
            <w:tcW w:w="5103" w:type="dxa"/>
            <w:gridSpan w:val="2"/>
            <w:vAlign w:val="center"/>
          </w:tcPr>
          <w:p w14:paraId="419EEDA7">
            <w:pPr>
              <w:pStyle w:val="13"/>
            </w:pPr>
            <w:r>
              <w:t>25%</w:t>
            </w:r>
          </w:p>
        </w:tc>
        <w:tc>
          <w:tcPr>
            <w:tcW w:w="2835" w:type="dxa"/>
            <w:vAlign w:val="center"/>
          </w:tcPr>
          <w:p w14:paraId="5E70356C">
            <w:pPr>
              <w:pStyle w:val="13"/>
            </w:pPr>
            <w:r>
              <w:t>50%</w:t>
            </w:r>
          </w:p>
        </w:tc>
        <w:tc>
          <w:tcPr>
            <w:tcW w:w="2551" w:type="dxa"/>
            <w:vAlign w:val="center"/>
          </w:tcPr>
          <w:p w14:paraId="7857D3F4">
            <w:pPr>
              <w:pStyle w:val="13"/>
            </w:pPr>
            <w:r>
              <w:t>75%</w:t>
            </w:r>
          </w:p>
        </w:tc>
        <w:tc>
          <w:tcPr>
            <w:tcW w:w="3544" w:type="dxa"/>
            <w:gridSpan w:val="2"/>
            <w:vAlign w:val="center"/>
          </w:tcPr>
          <w:p w14:paraId="45E13AB3">
            <w:pPr>
              <w:pStyle w:val="13"/>
            </w:pPr>
            <w:r>
              <w:t>100%</w:t>
            </w:r>
          </w:p>
        </w:tc>
      </w:tr>
      <w:tr w14:paraId="7B42C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D54B9">
            <w:pPr>
              <w:pStyle w:val="10"/>
            </w:pPr>
            <w:r>
              <w:t>绩效目标</w:t>
            </w:r>
          </w:p>
        </w:tc>
        <w:tc>
          <w:tcPr>
            <w:tcW w:w="14033" w:type="dxa"/>
            <w:gridSpan w:val="6"/>
            <w:vAlign w:val="center"/>
          </w:tcPr>
          <w:p w14:paraId="7409E82C">
            <w:pPr>
              <w:pStyle w:val="12"/>
            </w:pPr>
            <w:r>
              <w:t>1.有效完成学校教学安全秩序，保障学校教学任务有效开展，满足学校正常教学需要。</w:t>
            </w:r>
          </w:p>
          <w:p w14:paraId="05F5FC45">
            <w:pPr>
              <w:pStyle w:val="12"/>
            </w:pPr>
            <w:r>
              <w:t>2.按规定拨付公用经费资金，预算执行率≥98%。</w:t>
            </w:r>
          </w:p>
        </w:tc>
      </w:tr>
    </w:tbl>
    <w:p w14:paraId="0A9ED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CE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E00E3">
            <w:pPr>
              <w:pStyle w:val="10"/>
            </w:pPr>
            <w:r>
              <w:t>一级指标</w:t>
            </w:r>
          </w:p>
        </w:tc>
        <w:tc>
          <w:tcPr>
            <w:tcW w:w="2268" w:type="dxa"/>
            <w:vAlign w:val="center"/>
          </w:tcPr>
          <w:p w14:paraId="1EFBD782">
            <w:pPr>
              <w:pStyle w:val="10"/>
            </w:pPr>
            <w:r>
              <w:t>二级指标</w:t>
            </w:r>
          </w:p>
        </w:tc>
        <w:tc>
          <w:tcPr>
            <w:tcW w:w="2835" w:type="dxa"/>
            <w:vAlign w:val="center"/>
          </w:tcPr>
          <w:p w14:paraId="545F93FB">
            <w:pPr>
              <w:pStyle w:val="10"/>
            </w:pPr>
            <w:r>
              <w:t>三级指标</w:t>
            </w:r>
          </w:p>
        </w:tc>
        <w:tc>
          <w:tcPr>
            <w:tcW w:w="5386" w:type="dxa"/>
            <w:vAlign w:val="center"/>
          </w:tcPr>
          <w:p w14:paraId="4D5C9A48">
            <w:pPr>
              <w:pStyle w:val="10"/>
            </w:pPr>
            <w:r>
              <w:t>绩效指标描述</w:t>
            </w:r>
          </w:p>
        </w:tc>
        <w:tc>
          <w:tcPr>
            <w:tcW w:w="2268" w:type="dxa"/>
            <w:vAlign w:val="center"/>
          </w:tcPr>
          <w:p w14:paraId="152BED8C">
            <w:pPr>
              <w:pStyle w:val="10"/>
            </w:pPr>
            <w:r>
              <w:t>指标值</w:t>
            </w:r>
          </w:p>
        </w:tc>
        <w:tc>
          <w:tcPr>
            <w:tcW w:w="1276" w:type="dxa"/>
            <w:vAlign w:val="center"/>
          </w:tcPr>
          <w:p w14:paraId="0A15C05A">
            <w:pPr>
              <w:pStyle w:val="10"/>
            </w:pPr>
            <w:r>
              <w:t>指标值确定依据</w:t>
            </w:r>
          </w:p>
        </w:tc>
      </w:tr>
      <w:tr w14:paraId="1EAA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D411B">
            <w:pPr>
              <w:pStyle w:val="13"/>
            </w:pPr>
            <w:r>
              <w:t>产出指标</w:t>
            </w:r>
          </w:p>
        </w:tc>
        <w:tc>
          <w:tcPr>
            <w:tcW w:w="2268" w:type="dxa"/>
            <w:vAlign w:val="center"/>
          </w:tcPr>
          <w:p w14:paraId="12A5929E">
            <w:pPr>
              <w:pStyle w:val="12"/>
            </w:pPr>
            <w:r>
              <w:t>成本指标</w:t>
            </w:r>
          </w:p>
        </w:tc>
        <w:tc>
          <w:tcPr>
            <w:tcW w:w="2835" w:type="dxa"/>
            <w:vAlign w:val="center"/>
          </w:tcPr>
          <w:p w14:paraId="14B1F606">
            <w:pPr>
              <w:pStyle w:val="12"/>
            </w:pPr>
            <w:r>
              <w:t>生均拨款标准</w:t>
            </w:r>
          </w:p>
        </w:tc>
        <w:tc>
          <w:tcPr>
            <w:tcW w:w="5386" w:type="dxa"/>
            <w:vAlign w:val="center"/>
          </w:tcPr>
          <w:p w14:paraId="6C95BB25">
            <w:pPr>
              <w:pStyle w:val="12"/>
            </w:pPr>
            <w:r>
              <w:t>小学生公用经费生均小学720元。取暖费120元/生/年，随班就读学生补助7000元/生</w:t>
            </w:r>
          </w:p>
        </w:tc>
        <w:tc>
          <w:tcPr>
            <w:tcW w:w="2268" w:type="dxa"/>
            <w:vAlign w:val="center"/>
          </w:tcPr>
          <w:p w14:paraId="6695F7BB">
            <w:pPr>
              <w:pStyle w:val="12"/>
            </w:pPr>
            <w:r>
              <w:t>840元</w:t>
            </w:r>
          </w:p>
        </w:tc>
        <w:tc>
          <w:tcPr>
            <w:tcW w:w="1276" w:type="dxa"/>
            <w:vAlign w:val="center"/>
          </w:tcPr>
          <w:p w14:paraId="73CBCE72">
            <w:pPr>
              <w:pStyle w:val="12"/>
            </w:pPr>
            <w:r>
              <w:t>城乡义务教育公用经费管理办法</w:t>
            </w:r>
          </w:p>
        </w:tc>
      </w:tr>
      <w:tr w14:paraId="7E39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5ACED"/>
        </w:tc>
        <w:tc>
          <w:tcPr>
            <w:tcW w:w="2268" w:type="dxa"/>
            <w:vAlign w:val="center"/>
          </w:tcPr>
          <w:p w14:paraId="2507BCBD">
            <w:pPr>
              <w:pStyle w:val="12"/>
            </w:pPr>
            <w:r>
              <w:t>数量指标</w:t>
            </w:r>
          </w:p>
        </w:tc>
        <w:tc>
          <w:tcPr>
            <w:tcW w:w="2835" w:type="dxa"/>
            <w:vAlign w:val="center"/>
          </w:tcPr>
          <w:p w14:paraId="1459E130">
            <w:pPr>
              <w:pStyle w:val="12"/>
            </w:pPr>
            <w:r>
              <w:t>就读学生数</w:t>
            </w:r>
          </w:p>
        </w:tc>
        <w:tc>
          <w:tcPr>
            <w:tcW w:w="5386" w:type="dxa"/>
            <w:vAlign w:val="center"/>
          </w:tcPr>
          <w:p w14:paraId="49B3ECBF">
            <w:pPr>
              <w:pStyle w:val="12"/>
            </w:pPr>
            <w:r>
              <w:t>辐射区域内适龄学生人数</w:t>
            </w:r>
          </w:p>
        </w:tc>
        <w:tc>
          <w:tcPr>
            <w:tcW w:w="2268" w:type="dxa"/>
            <w:vAlign w:val="center"/>
          </w:tcPr>
          <w:p w14:paraId="49144321">
            <w:pPr>
              <w:pStyle w:val="12"/>
            </w:pPr>
            <w:r>
              <w:t>677人</w:t>
            </w:r>
          </w:p>
        </w:tc>
        <w:tc>
          <w:tcPr>
            <w:tcW w:w="1276" w:type="dxa"/>
            <w:vAlign w:val="center"/>
          </w:tcPr>
          <w:p w14:paraId="120E1A3B">
            <w:pPr>
              <w:pStyle w:val="12"/>
            </w:pPr>
            <w:r>
              <w:t>城乡义务教育公用经费管理办法</w:t>
            </w:r>
          </w:p>
        </w:tc>
      </w:tr>
      <w:tr w14:paraId="3B2A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55B81"/>
        </w:tc>
        <w:tc>
          <w:tcPr>
            <w:tcW w:w="2268" w:type="dxa"/>
            <w:vAlign w:val="center"/>
          </w:tcPr>
          <w:p w14:paraId="0034B34E">
            <w:pPr>
              <w:pStyle w:val="12"/>
            </w:pPr>
            <w:r>
              <w:t>质量指标</w:t>
            </w:r>
          </w:p>
        </w:tc>
        <w:tc>
          <w:tcPr>
            <w:tcW w:w="2835" w:type="dxa"/>
            <w:vAlign w:val="center"/>
          </w:tcPr>
          <w:p w14:paraId="5B9E369A">
            <w:pPr>
              <w:pStyle w:val="12"/>
            </w:pPr>
            <w:r>
              <w:t>预算执行率</w:t>
            </w:r>
          </w:p>
        </w:tc>
        <w:tc>
          <w:tcPr>
            <w:tcW w:w="5386" w:type="dxa"/>
            <w:vAlign w:val="center"/>
          </w:tcPr>
          <w:p w14:paraId="4F76F597">
            <w:pPr>
              <w:pStyle w:val="12"/>
            </w:pPr>
            <w:r>
              <w:t>预算执行率≥98%</w:t>
            </w:r>
          </w:p>
        </w:tc>
        <w:tc>
          <w:tcPr>
            <w:tcW w:w="2268" w:type="dxa"/>
            <w:vAlign w:val="center"/>
          </w:tcPr>
          <w:p w14:paraId="2F81D6F9">
            <w:pPr>
              <w:pStyle w:val="12"/>
            </w:pPr>
            <w:r>
              <w:t>98%</w:t>
            </w:r>
          </w:p>
        </w:tc>
        <w:tc>
          <w:tcPr>
            <w:tcW w:w="1276" w:type="dxa"/>
            <w:vAlign w:val="center"/>
          </w:tcPr>
          <w:p w14:paraId="600CBFDC">
            <w:pPr>
              <w:pStyle w:val="12"/>
            </w:pPr>
            <w:r>
              <w:t>城乡义务教育公用经费管理办法</w:t>
            </w:r>
          </w:p>
        </w:tc>
      </w:tr>
      <w:tr w14:paraId="60BB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408BE"/>
        </w:tc>
        <w:tc>
          <w:tcPr>
            <w:tcW w:w="2268" w:type="dxa"/>
            <w:vAlign w:val="center"/>
          </w:tcPr>
          <w:p w14:paraId="62FE6247">
            <w:pPr>
              <w:pStyle w:val="12"/>
            </w:pPr>
            <w:r>
              <w:t>时效指标</w:t>
            </w:r>
          </w:p>
        </w:tc>
        <w:tc>
          <w:tcPr>
            <w:tcW w:w="2835" w:type="dxa"/>
            <w:vAlign w:val="center"/>
          </w:tcPr>
          <w:p w14:paraId="1DBCB19D">
            <w:pPr>
              <w:pStyle w:val="12"/>
            </w:pPr>
            <w:r>
              <w:t>义教经费支付完成率</w:t>
            </w:r>
          </w:p>
        </w:tc>
        <w:tc>
          <w:tcPr>
            <w:tcW w:w="5386" w:type="dxa"/>
            <w:vAlign w:val="center"/>
          </w:tcPr>
          <w:p w14:paraId="1850FF2C">
            <w:pPr>
              <w:pStyle w:val="12"/>
            </w:pPr>
            <w:r>
              <w:t>按照序时进度完成资金支付</w:t>
            </w:r>
          </w:p>
        </w:tc>
        <w:tc>
          <w:tcPr>
            <w:tcW w:w="2268" w:type="dxa"/>
            <w:vAlign w:val="center"/>
          </w:tcPr>
          <w:p w14:paraId="3FD9B3A7">
            <w:pPr>
              <w:pStyle w:val="12"/>
            </w:pPr>
            <w:r>
              <w:t>100%</w:t>
            </w:r>
          </w:p>
        </w:tc>
        <w:tc>
          <w:tcPr>
            <w:tcW w:w="1276" w:type="dxa"/>
            <w:vAlign w:val="center"/>
          </w:tcPr>
          <w:p w14:paraId="2C08364E">
            <w:pPr>
              <w:pStyle w:val="12"/>
            </w:pPr>
            <w:r>
              <w:t>城乡义务教育公用经费管理办法</w:t>
            </w:r>
          </w:p>
        </w:tc>
      </w:tr>
      <w:tr w14:paraId="4C03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7796D">
            <w:pPr>
              <w:pStyle w:val="13"/>
            </w:pPr>
            <w:r>
              <w:t>效益指标</w:t>
            </w:r>
          </w:p>
        </w:tc>
        <w:tc>
          <w:tcPr>
            <w:tcW w:w="2268" w:type="dxa"/>
            <w:vAlign w:val="center"/>
          </w:tcPr>
          <w:p w14:paraId="6C4AEA62">
            <w:pPr>
              <w:pStyle w:val="12"/>
            </w:pPr>
            <w:r>
              <w:t>社会效益指标</w:t>
            </w:r>
          </w:p>
        </w:tc>
        <w:tc>
          <w:tcPr>
            <w:tcW w:w="2835" w:type="dxa"/>
            <w:vAlign w:val="center"/>
          </w:tcPr>
          <w:p w14:paraId="4776719C">
            <w:pPr>
              <w:pStyle w:val="12"/>
            </w:pPr>
            <w:r>
              <w:t>学校运转得到提高</w:t>
            </w:r>
          </w:p>
        </w:tc>
        <w:tc>
          <w:tcPr>
            <w:tcW w:w="5386" w:type="dxa"/>
            <w:vAlign w:val="center"/>
          </w:tcPr>
          <w:p w14:paraId="51841EA3">
            <w:pPr>
              <w:pStyle w:val="12"/>
            </w:pPr>
            <w:r>
              <w:t>学生受教育年限</w:t>
            </w:r>
          </w:p>
        </w:tc>
        <w:tc>
          <w:tcPr>
            <w:tcW w:w="2268" w:type="dxa"/>
            <w:vAlign w:val="center"/>
          </w:tcPr>
          <w:p w14:paraId="34289BD8">
            <w:pPr>
              <w:pStyle w:val="12"/>
            </w:pPr>
            <w:r>
              <w:t>6年</w:t>
            </w:r>
          </w:p>
        </w:tc>
        <w:tc>
          <w:tcPr>
            <w:tcW w:w="1276" w:type="dxa"/>
            <w:vAlign w:val="center"/>
          </w:tcPr>
          <w:p w14:paraId="2675CA54">
            <w:pPr>
              <w:pStyle w:val="12"/>
            </w:pPr>
            <w:r>
              <w:t>城乡义务教育公用经费管理办法</w:t>
            </w:r>
          </w:p>
        </w:tc>
      </w:tr>
      <w:tr w14:paraId="1D23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35CF4">
            <w:pPr>
              <w:pStyle w:val="13"/>
            </w:pPr>
            <w:r>
              <w:t>满意度指标</w:t>
            </w:r>
          </w:p>
        </w:tc>
        <w:tc>
          <w:tcPr>
            <w:tcW w:w="2268" w:type="dxa"/>
            <w:vAlign w:val="center"/>
          </w:tcPr>
          <w:p w14:paraId="362BC247">
            <w:pPr>
              <w:pStyle w:val="12"/>
            </w:pPr>
            <w:r>
              <w:t>服务对象满意度指标</w:t>
            </w:r>
          </w:p>
        </w:tc>
        <w:tc>
          <w:tcPr>
            <w:tcW w:w="2835" w:type="dxa"/>
            <w:vAlign w:val="center"/>
          </w:tcPr>
          <w:p w14:paraId="5B627892">
            <w:pPr>
              <w:pStyle w:val="12"/>
            </w:pPr>
            <w:r>
              <w:t>服务对象满意度</w:t>
            </w:r>
          </w:p>
        </w:tc>
        <w:tc>
          <w:tcPr>
            <w:tcW w:w="5386" w:type="dxa"/>
            <w:vAlign w:val="center"/>
          </w:tcPr>
          <w:p w14:paraId="6D03DE78">
            <w:pPr>
              <w:pStyle w:val="12"/>
            </w:pPr>
            <w:r>
              <w:t>学校老师和学生满意度</w:t>
            </w:r>
          </w:p>
        </w:tc>
        <w:tc>
          <w:tcPr>
            <w:tcW w:w="2268" w:type="dxa"/>
            <w:vAlign w:val="center"/>
          </w:tcPr>
          <w:p w14:paraId="34D05D38">
            <w:pPr>
              <w:pStyle w:val="12"/>
            </w:pPr>
            <w:r>
              <w:t>≥95%</w:t>
            </w:r>
          </w:p>
        </w:tc>
        <w:tc>
          <w:tcPr>
            <w:tcW w:w="1276" w:type="dxa"/>
            <w:vAlign w:val="center"/>
          </w:tcPr>
          <w:p w14:paraId="620AD7D9">
            <w:pPr>
              <w:pStyle w:val="12"/>
            </w:pPr>
            <w:r>
              <w:t>问卷调查</w:t>
            </w:r>
          </w:p>
        </w:tc>
      </w:tr>
    </w:tbl>
    <w:p w14:paraId="5F17EFEF">
      <w:pPr>
        <w:sectPr>
          <w:pgSz w:w="16840" w:h="11900" w:orient="landscape"/>
          <w:pgMar w:top="1361" w:right="1020" w:bottom="1134" w:left="1020" w:header="720" w:footer="720" w:gutter="0"/>
          <w:cols w:space="720" w:num="1"/>
        </w:sectPr>
      </w:pPr>
    </w:p>
    <w:p w14:paraId="6BB1536C">
      <w:pPr>
        <w:spacing w:before="0" w:after="0"/>
        <w:ind w:firstLine="560"/>
        <w:jc w:val="left"/>
        <w:outlineLvl w:val="9"/>
      </w:pPr>
      <w:r>
        <w:rPr>
          <w:rFonts w:ascii="方正仿宋_GBK" w:hAnsi="方正仿宋_GBK" w:eastAsia="方正仿宋_GBK" w:cs="方正仿宋_GBK"/>
          <w:b/>
          <w:color w:val="000000"/>
          <w:sz w:val="28"/>
        </w:rPr>
        <w:t>9、冀财教[2025]122号/中央/2026年学前发展资金/牛家桥校区学前教育幼儿资助绩效目标表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60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FDE2E">
            <w:pPr>
              <w:pStyle w:val="11"/>
            </w:pPr>
            <w:r>
              <w:t>单位：万元</w:t>
            </w:r>
          </w:p>
        </w:tc>
      </w:tr>
      <w:tr w14:paraId="35F31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AEC6E">
            <w:pPr>
              <w:pStyle w:val="10"/>
            </w:pPr>
            <w:r>
              <w:t>项目编码</w:t>
            </w:r>
          </w:p>
        </w:tc>
        <w:tc>
          <w:tcPr>
            <w:tcW w:w="5103" w:type="dxa"/>
            <w:gridSpan w:val="2"/>
            <w:vAlign w:val="center"/>
          </w:tcPr>
          <w:p w14:paraId="0AFC9BA3">
            <w:pPr>
              <w:pStyle w:val="12"/>
            </w:pPr>
            <w:r>
              <w:t>13052526P00000210061X</w:t>
            </w:r>
          </w:p>
        </w:tc>
        <w:tc>
          <w:tcPr>
            <w:tcW w:w="2835" w:type="dxa"/>
            <w:vAlign w:val="center"/>
          </w:tcPr>
          <w:p w14:paraId="5B64D01B">
            <w:pPr>
              <w:pStyle w:val="10"/>
            </w:pPr>
            <w:r>
              <w:t>项目名称</w:t>
            </w:r>
          </w:p>
        </w:tc>
        <w:tc>
          <w:tcPr>
            <w:tcW w:w="6095" w:type="dxa"/>
            <w:gridSpan w:val="3"/>
            <w:vAlign w:val="center"/>
          </w:tcPr>
          <w:p w14:paraId="4C71CA04">
            <w:pPr>
              <w:pStyle w:val="12"/>
            </w:pPr>
            <w:r>
              <w:t>冀财教[2025]122号/中央/2026年学前发展资金/牛家桥校区学前教育幼儿资助</w:t>
            </w:r>
          </w:p>
        </w:tc>
      </w:tr>
      <w:tr w14:paraId="73B12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6BDCB">
            <w:pPr>
              <w:pStyle w:val="10"/>
            </w:pPr>
            <w:r>
              <w:t>预算规模及资金用途</w:t>
            </w:r>
          </w:p>
        </w:tc>
        <w:tc>
          <w:tcPr>
            <w:tcW w:w="2268" w:type="dxa"/>
            <w:vAlign w:val="center"/>
          </w:tcPr>
          <w:p w14:paraId="7434724B">
            <w:pPr>
              <w:pStyle w:val="10"/>
            </w:pPr>
            <w:r>
              <w:t>预算数</w:t>
            </w:r>
          </w:p>
        </w:tc>
        <w:tc>
          <w:tcPr>
            <w:tcW w:w="2835" w:type="dxa"/>
            <w:vAlign w:val="center"/>
          </w:tcPr>
          <w:p w14:paraId="2D882930">
            <w:pPr>
              <w:pStyle w:val="12"/>
            </w:pPr>
            <w:r>
              <w:t>1.50</w:t>
            </w:r>
          </w:p>
        </w:tc>
        <w:tc>
          <w:tcPr>
            <w:tcW w:w="2835" w:type="dxa"/>
            <w:vAlign w:val="center"/>
          </w:tcPr>
          <w:p w14:paraId="7E34DA11">
            <w:pPr>
              <w:pStyle w:val="10"/>
            </w:pPr>
            <w:r>
              <w:t>其中：财政    资金</w:t>
            </w:r>
          </w:p>
        </w:tc>
        <w:tc>
          <w:tcPr>
            <w:tcW w:w="2551" w:type="dxa"/>
            <w:vAlign w:val="center"/>
          </w:tcPr>
          <w:p w14:paraId="3F875626">
            <w:pPr>
              <w:pStyle w:val="12"/>
            </w:pPr>
            <w:r>
              <w:t>1.50</w:t>
            </w:r>
          </w:p>
        </w:tc>
        <w:tc>
          <w:tcPr>
            <w:tcW w:w="2268" w:type="dxa"/>
            <w:vAlign w:val="center"/>
          </w:tcPr>
          <w:p w14:paraId="31F25D57">
            <w:pPr>
              <w:pStyle w:val="10"/>
            </w:pPr>
            <w:r>
              <w:t>其他资金</w:t>
            </w:r>
          </w:p>
        </w:tc>
        <w:tc>
          <w:tcPr>
            <w:tcW w:w="1276" w:type="dxa"/>
            <w:vAlign w:val="center"/>
          </w:tcPr>
          <w:p w14:paraId="25D4AF63">
            <w:pPr>
              <w:pStyle w:val="12"/>
            </w:pPr>
            <w:r>
              <w:t xml:space="preserve"> </w:t>
            </w:r>
          </w:p>
        </w:tc>
      </w:tr>
      <w:tr w14:paraId="2BC9A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37F5C"/>
        </w:tc>
        <w:tc>
          <w:tcPr>
            <w:tcW w:w="14033" w:type="dxa"/>
            <w:gridSpan w:val="6"/>
            <w:vAlign w:val="center"/>
          </w:tcPr>
          <w:p w14:paraId="2E62CD95">
            <w:pPr>
              <w:pStyle w:val="12"/>
            </w:pPr>
            <w:r>
              <w:t>保证本年度资助经费足额落实到位，符合享受资助条件的学生应助尽助。</w:t>
            </w:r>
          </w:p>
        </w:tc>
      </w:tr>
      <w:tr w14:paraId="75AB9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819BB">
            <w:pPr>
              <w:pStyle w:val="10"/>
            </w:pPr>
            <w:r>
              <w:t>资金支出计划（%）</w:t>
            </w:r>
          </w:p>
        </w:tc>
        <w:tc>
          <w:tcPr>
            <w:tcW w:w="5103" w:type="dxa"/>
            <w:gridSpan w:val="2"/>
            <w:vAlign w:val="center"/>
          </w:tcPr>
          <w:p w14:paraId="4168237E">
            <w:pPr>
              <w:pStyle w:val="10"/>
            </w:pPr>
            <w:r>
              <w:t>3月底</w:t>
            </w:r>
          </w:p>
        </w:tc>
        <w:tc>
          <w:tcPr>
            <w:tcW w:w="2835" w:type="dxa"/>
            <w:vAlign w:val="center"/>
          </w:tcPr>
          <w:p w14:paraId="24A7CD62">
            <w:pPr>
              <w:pStyle w:val="10"/>
            </w:pPr>
            <w:r>
              <w:t>6月底</w:t>
            </w:r>
          </w:p>
        </w:tc>
        <w:tc>
          <w:tcPr>
            <w:tcW w:w="2551" w:type="dxa"/>
            <w:vAlign w:val="center"/>
          </w:tcPr>
          <w:p w14:paraId="71E9F94B">
            <w:pPr>
              <w:pStyle w:val="10"/>
            </w:pPr>
            <w:r>
              <w:t>10月底</w:t>
            </w:r>
          </w:p>
        </w:tc>
        <w:tc>
          <w:tcPr>
            <w:tcW w:w="3544" w:type="dxa"/>
            <w:gridSpan w:val="2"/>
            <w:vAlign w:val="center"/>
          </w:tcPr>
          <w:p w14:paraId="1D86B8B6">
            <w:pPr>
              <w:pStyle w:val="10"/>
            </w:pPr>
            <w:r>
              <w:t>12月底</w:t>
            </w:r>
          </w:p>
        </w:tc>
      </w:tr>
      <w:tr w14:paraId="5C6A3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99D91"/>
        </w:tc>
        <w:tc>
          <w:tcPr>
            <w:tcW w:w="5103" w:type="dxa"/>
            <w:gridSpan w:val="2"/>
            <w:vAlign w:val="center"/>
          </w:tcPr>
          <w:p w14:paraId="616DEBC7">
            <w:pPr>
              <w:pStyle w:val="13"/>
            </w:pPr>
            <w:r>
              <w:t xml:space="preserve"> </w:t>
            </w:r>
          </w:p>
        </w:tc>
        <w:tc>
          <w:tcPr>
            <w:tcW w:w="2835" w:type="dxa"/>
            <w:vAlign w:val="center"/>
          </w:tcPr>
          <w:p w14:paraId="4DE6A804">
            <w:pPr>
              <w:pStyle w:val="13"/>
            </w:pPr>
            <w:r>
              <w:t>50%</w:t>
            </w:r>
          </w:p>
        </w:tc>
        <w:tc>
          <w:tcPr>
            <w:tcW w:w="2551" w:type="dxa"/>
            <w:vAlign w:val="center"/>
          </w:tcPr>
          <w:p w14:paraId="1ADEB07E">
            <w:pPr>
              <w:pStyle w:val="13"/>
            </w:pPr>
            <w:r>
              <w:t>50%</w:t>
            </w:r>
          </w:p>
        </w:tc>
        <w:tc>
          <w:tcPr>
            <w:tcW w:w="3544" w:type="dxa"/>
            <w:gridSpan w:val="2"/>
            <w:vAlign w:val="center"/>
          </w:tcPr>
          <w:p w14:paraId="4F7081F0">
            <w:pPr>
              <w:pStyle w:val="13"/>
            </w:pPr>
            <w:r>
              <w:t>100%</w:t>
            </w:r>
          </w:p>
        </w:tc>
      </w:tr>
      <w:tr w14:paraId="2CE58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38606">
            <w:pPr>
              <w:pStyle w:val="10"/>
            </w:pPr>
            <w:r>
              <w:t>绩效目标</w:t>
            </w:r>
          </w:p>
        </w:tc>
        <w:tc>
          <w:tcPr>
            <w:tcW w:w="14033" w:type="dxa"/>
            <w:gridSpan w:val="6"/>
            <w:vAlign w:val="center"/>
          </w:tcPr>
          <w:p w14:paraId="7291B7B7">
            <w:pPr>
              <w:pStyle w:val="12"/>
            </w:pPr>
            <w:r>
              <w:t>1.保证本年度资助经费足额落实到位，符合享受资助条件的学生应助尽助。</w:t>
            </w:r>
          </w:p>
        </w:tc>
      </w:tr>
    </w:tbl>
    <w:p w14:paraId="6C9E50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9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A02F4">
            <w:pPr>
              <w:pStyle w:val="10"/>
            </w:pPr>
            <w:r>
              <w:t>一级指标</w:t>
            </w:r>
          </w:p>
        </w:tc>
        <w:tc>
          <w:tcPr>
            <w:tcW w:w="2268" w:type="dxa"/>
            <w:vAlign w:val="center"/>
          </w:tcPr>
          <w:p w14:paraId="23001555">
            <w:pPr>
              <w:pStyle w:val="10"/>
            </w:pPr>
            <w:r>
              <w:t>二级指标</w:t>
            </w:r>
          </w:p>
        </w:tc>
        <w:tc>
          <w:tcPr>
            <w:tcW w:w="2835" w:type="dxa"/>
            <w:vAlign w:val="center"/>
          </w:tcPr>
          <w:p w14:paraId="2A06E158">
            <w:pPr>
              <w:pStyle w:val="10"/>
            </w:pPr>
            <w:r>
              <w:t>三级指标</w:t>
            </w:r>
          </w:p>
        </w:tc>
        <w:tc>
          <w:tcPr>
            <w:tcW w:w="5386" w:type="dxa"/>
            <w:vAlign w:val="center"/>
          </w:tcPr>
          <w:p w14:paraId="4D844CC3">
            <w:pPr>
              <w:pStyle w:val="10"/>
            </w:pPr>
            <w:r>
              <w:t>绩效指标描述</w:t>
            </w:r>
          </w:p>
        </w:tc>
        <w:tc>
          <w:tcPr>
            <w:tcW w:w="2268" w:type="dxa"/>
            <w:vAlign w:val="center"/>
          </w:tcPr>
          <w:p w14:paraId="19E9BA42">
            <w:pPr>
              <w:pStyle w:val="10"/>
            </w:pPr>
            <w:r>
              <w:t>指标值</w:t>
            </w:r>
          </w:p>
        </w:tc>
        <w:tc>
          <w:tcPr>
            <w:tcW w:w="1276" w:type="dxa"/>
            <w:vAlign w:val="center"/>
          </w:tcPr>
          <w:p w14:paraId="3BC9D3C5">
            <w:pPr>
              <w:pStyle w:val="10"/>
            </w:pPr>
            <w:r>
              <w:t>指标值确定依据</w:t>
            </w:r>
          </w:p>
        </w:tc>
      </w:tr>
      <w:tr w14:paraId="529B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F48F4">
            <w:pPr>
              <w:pStyle w:val="13"/>
            </w:pPr>
            <w:r>
              <w:t>产出指标</w:t>
            </w:r>
          </w:p>
        </w:tc>
        <w:tc>
          <w:tcPr>
            <w:tcW w:w="2268" w:type="dxa"/>
            <w:vAlign w:val="center"/>
          </w:tcPr>
          <w:p w14:paraId="0BAE53F2">
            <w:pPr>
              <w:pStyle w:val="12"/>
            </w:pPr>
            <w:r>
              <w:t>数量指标</w:t>
            </w:r>
          </w:p>
        </w:tc>
        <w:tc>
          <w:tcPr>
            <w:tcW w:w="2835" w:type="dxa"/>
            <w:vAlign w:val="center"/>
          </w:tcPr>
          <w:p w14:paraId="37387375">
            <w:pPr>
              <w:pStyle w:val="12"/>
            </w:pPr>
            <w:r>
              <w:t xml:space="preserve"> 幼儿资助人数</w:t>
            </w:r>
          </w:p>
        </w:tc>
        <w:tc>
          <w:tcPr>
            <w:tcW w:w="5386" w:type="dxa"/>
            <w:vAlign w:val="center"/>
          </w:tcPr>
          <w:p w14:paraId="0D0B5067">
            <w:pPr>
              <w:pStyle w:val="12"/>
            </w:pPr>
            <w:r>
              <w:t xml:space="preserve"> 幼儿资助人数</w:t>
            </w:r>
          </w:p>
        </w:tc>
        <w:tc>
          <w:tcPr>
            <w:tcW w:w="2268" w:type="dxa"/>
            <w:vAlign w:val="center"/>
          </w:tcPr>
          <w:p w14:paraId="44DCF117">
            <w:pPr>
              <w:pStyle w:val="12"/>
            </w:pPr>
            <w:r>
              <w:t>25 人</w:t>
            </w:r>
          </w:p>
        </w:tc>
        <w:tc>
          <w:tcPr>
            <w:tcW w:w="1276" w:type="dxa"/>
            <w:vAlign w:val="center"/>
          </w:tcPr>
          <w:p w14:paraId="3CC25C79">
            <w:pPr>
              <w:pStyle w:val="12"/>
            </w:pPr>
            <w:r>
              <w:t>幼儿资助经费管理办法</w:t>
            </w:r>
          </w:p>
        </w:tc>
      </w:tr>
      <w:tr w14:paraId="78D7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9E548"/>
        </w:tc>
        <w:tc>
          <w:tcPr>
            <w:tcW w:w="2268" w:type="dxa"/>
            <w:vAlign w:val="center"/>
          </w:tcPr>
          <w:p w14:paraId="6C36200F">
            <w:pPr>
              <w:pStyle w:val="12"/>
            </w:pPr>
            <w:r>
              <w:t>质量指标</w:t>
            </w:r>
          </w:p>
        </w:tc>
        <w:tc>
          <w:tcPr>
            <w:tcW w:w="2835" w:type="dxa"/>
            <w:vAlign w:val="center"/>
          </w:tcPr>
          <w:p w14:paraId="03E59A55">
            <w:pPr>
              <w:pStyle w:val="12"/>
            </w:pPr>
            <w:r>
              <w:t>资助资金使用率</w:t>
            </w:r>
          </w:p>
        </w:tc>
        <w:tc>
          <w:tcPr>
            <w:tcW w:w="5386" w:type="dxa"/>
            <w:vAlign w:val="center"/>
          </w:tcPr>
          <w:p w14:paraId="2206DF85">
            <w:pPr>
              <w:pStyle w:val="12"/>
            </w:pPr>
            <w:r>
              <w:t>符合享受资助条件的学生应助尽助</w:t>
            </w:r>
          </w:p>
        </w:tc>
        <w:tc>
          <w:tcPr>
            <w:tcW w:w="2268" w:type="dxa"/>
            <w:vAlign w:val="center"/>
          </w:tcPr>
          <w:p w14:paraId="2AEA0178">
            <w:pPr>
              <w:pStyle w:val="12"/>
            </w:pPr>
            <w:r>
              <w:t>100%</w:t>
            </w:r>
          </w:p>
        </w:tc>
        <w:tc>
          <w:tcPr>
            <w:tcW w:w="1276" w:type="dxa"/>
            <w:vAlign w:val="center"/>
          </w:tcPr>
          <w:p w14:paraId="78AC284C">
            <w:pPr>
              <w:pStyle w:val="12"/>
            </w:pPr>
            <w:r>
              <w:t>幼儿资助经费管理办法</w:t>
            </w:r>
          </w:p>
        </w:tc>
      </w:tr>
      <w:tr w14:paraId="5512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83CE4"/>
        </w:tc>
        <w:tc>
          <w:tcPr>
            <w:tcW w:w="2268" w:type="dxa"/>
            <w:vAlign w:val="center"/>
          </w:tcPr>
          <w:p w14:paraId="3F47B731">
            <w:pPr>
              <w:pStyle w:val="12"/>
            </w:pPr>
            <w:r>
              <w:t>时效指标</w:t>
            </w:r>
          </w:p>
        </w:tc>
        <w:tc>
          <w:tcPr>
            <w:tcW w:w="2835" w:type="dxa"/>
            <w:vAlign w:val="center"/>
          </w:tcPr>
          <w:p w14:paraId="772A8F98">
            <w:pPr>
              <w:pStyle w:val="12"/>
            </w:pPr>
            <w:r>
              <w:t>资金拨付率</w:t>
            </w:r>
          </w:p>
        </w:tc>
        <w:tc>
          <w:tcPr>
            <w:tcW w:w="5386" w:type="dxa"/>
            <w:vAlign w:val="center"/>
          </w:tcPr>
          <w:p w14:paraId="7EB2218D">
            <w:pPr>
              <w:pStyle w:val="12"/>
            </w:pPr>
            <w:r>
              <w:t>所有项目资金支付进度</w:t>
            </w:r>
          </w:p>
        </w:tc>
        <w:tc>
          <w:tcPr>
            <w:tcW w:w="2268" w:type="dxa"/>
            <w:vAlign w:val="center"/>
          </w:tcPr>
          <w:p w14:paraId="4412F03D">
            <w:pPr>
              <w:pStyle w:val="12"/>
            </w:pPr>
            <w:r>
              <w:t>100%</w:t>
            </w:r>
          </w:p>
        </w:tc>
        <w:tc>
          <w:tcPr>
            <w:tcW w:w="1276" w:type="dxa"/>
            <w:vAlign w:val="center"/>
          </w:tcPr>
          <w:p w14:paraId="70848014">
            <w:pPr>
              <w:pStyle w:val="12"/>
            </w:pPr>
            <w:r>
              <w:t>幼儿资助经费管理办法</w:t>
            </w:r>
          </w:p>
        </w:tc>
      </w:tr>
      <w:tr w14:paraId="78E8DFA0">
        <w:tblPrEx>
          <w:tblCellMar>
            <w:top w:w="0" w:type="dxa"/>
            <w:left w:w="108" w:type="dxa"/>
            <w:bottom w:w="0" w:type="dxa"/>
            <w:right w:w="108" w:type="dxa"/>
          </w:tblCellMar>
        </w:tblPrEx>
        <w:trPr>
          <w:trHeight w:val="397" w:hRule="atLeast"/>
          <w:jc w:val="center"/>
        </w:trPr>
        <w:tc>
          <w:tcPr>
            <w:tcW w:w="1276" w:type="dxa"/>
            <w:vMerge w:val="continue"/>
            <w:vAlign w:val="center"/>
          </w:tcPr>
          <w:p w14:paraId="70B9FC57"/>
        </w:tc>
        <w:tc>
          <w:tcPr>
            <w:tcW w:w="2268" w:type="dxa"/>
            <w:vAlign w:val="center"/>
          </w:tcPr>
          <w:p w14:paraId="0E938B22">
            <w:pPr>
              <w:pStyle w:val="12"/>
            </w:pPr>
            <w:r>
              <w:t>成本指标</w:t>
            </w:r>
          </w:p>
        </w:tc>
        <w:tc>
          <w:tcPr>
            <w:tcW w:w="2835" w:type="dxa"/>
            <w:vAlign w:val="center"/>
          </w:tcPr>
          <w:p w14:paraId="665B615B">
            <w:pPr>
              <w:pStyle w:val="12"/>
            </w:pPr>
            <w:r>
              <w:t>幼儿园生均成本</w:t>
            </w:r>
          </w:p>
        </w:tc>
        <w:tc>
          <w:tcPr>
            <w:tcW w:w="5386" w:type="dxa"/>
            <w:vAlign w:val="center"/>
          </w:tcPr>
          <w:p w14:paraId="7394AA1E">
            <w:pPr>
              <w:pStyle w:val="12"/>
            </w:pPr>
            <w:r>
              <w:t>按照幼儿园资助标准1000元/生/年</w:t>
            </w:r>
          </w:p>
        </w:tc>
        <w:tc>
          <w:tcPr>
            <w:tcW w:w="2268" w:type="dxa"/>
            <w:vAlign w:val="center"/>
          </w:tcPr>
          <w:p w14:paraId="4D9FB4BD">
            <w:pPr>
              <w:pStyle w:val="12"/>
            </w:pPr>
            <w:r>
              <w:t>1000元</w:t>
            </w:r>
          </w:p>
        </w:tc>
        <w:tc>
          <w:tcPr>
            <w:tcW w:w="1276" w:type="dxa"/>
            <w:vAlign w:val="center"/>
          </w:tcPr>
          <w:p w14:paraId="1F18C7E0">
            <w:pPr>
              <w:pStyle w:val="12"/>
            </w:pPr>
            <w:r>
              <w:t>幼儿资助经费管理办法</w:t>
            </w:r>
          </w:p>
        </w:tc>
      </w:tr>
      <w:tr w14:paraId="1CAA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03AF0">
            <w:pPr>
              <w:pStyle w:val="13"/>
            </w:pPr>
            <w:r>
              <w:t>效益指标</w:t>
            </w:r>
          </w:p>
        </w:tc>
        <w:tc>
          <w:tcPr>
            <w:tcW w:w="2268" w:type="dxa"/>
            <w:vAlign w:val="center"/>
          </w:tcPr>
          <w:p w14:paraId="73A617FC">
            <w:pPr>
              <w:pStyle w:val="12"/>
            </w:pPr>
            <w:r>
              <w:t>可持续影响指标</w:t>
            </w:r>
          </w:p>
        </w:tc>
        <w:tc>
          <w:tcPr>
            <w:tcW w:w="2835" w:type="dxa"/>
            <w:vAlign w:val="center"/>
          </w:tcPr>
          <w:p w14:paraId="07EBBDBD">
            <w:pPr>
              <w:pStyle w:val="12"/>
            </w:pPr>
            <w:r>
              <w:t>幼儿园正常运转</w:t>
            </w:r>
          </w:p>
        </w:tc>
        <w:tc>
          <w:tcPr>
            <w:tcW w:w="5386" w:type="dxa"/>
            <w:vAlign w:val="center"/>
          </w:tcPr>
          <w:p w14:paraId="5BF84534">
            <w:pPr>
              <w:pStyle w:val="12"/>
            </w:pPr>
            <w:r>
              <w:t>幼儿受教育年限</w:t>
            </w:r>
          </w:p>
        </w:tc>
        <w:tc>
          <w:tcPr>
            <w:tcW w:w="2268" w:type="dxa"/>
            <w:vAlign w:val="center"/>
          </w:tcPr>
          <w:p w14:paraId="55D7E500">
            <w:pPr>
              <w:pStyle w:val="12"/>
            </w:pPr>
            <w:r>
              <w:t>3年</w:t>
            </w:r>
          </w:p>
        </w:tc>
        <w:tc>
          <w:tcPr>
            <w:tcW w:w="1276" w:type="dxa"/>
            <w:vAlign w:val="center"/>
          </w:tcPr>
          <w:p w14:paraId="22F125C4">
            <w:pPr>
              <w:pStyle w:val="12"/>
            </w:pPr>
            <w:r>
              <w:t>幼儿资助经费管理办法</w:t>
            </w:r>
          </w:p>
        </w:tc>
      </w:tr>
      <w:tr w14:paraId="3C64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BEEAF">
            <w:pPr>
              <w:pStyle w:val="13"/>
            </w:pPr>
            <w:r>
              <w:t>满意度指标</w:t>
            </w:r>
          </w:p>
        </w:tc>
        <w:tc>
          <w:tcPr>
            <w:tcW w:w="2268" w:type="dxa"/>
            <w:vAlign w:val="center"/>
          </w:tcPr>
          <w:p w14:paraId="6541591E">
            <w:pPr>
              <w:pStyle w:val="12"/>
            </w:pPr>
            <w:r>
              <w:t>服务对象满意度指标</w:t>
            </w:r>
          </w:p>
        </w:tc>
        <w:tc>
          <w:tcPr>
            <w:tcW w:w="2835" w:type="dxa"/>
            <w:vAlign w:val="center"/>
          </w:tcPr>
          <w:p w14:paraId="29229690">
            <w:pPr>
              <w:pStyle w:val="12"/>
            </w:pPr>
            <w:r>
              <w:t>受益幼儿家长及调查满意度</w:t>
            </w:r>
          </w:p>
        </w:tc>
        <w:tc>
          <w:tcPr>
            <w:tcW w:w="5386" w:type="dxa"/>
            <w:vAlign w:val="center"/>
          </w:tcPr>
          <w:p w14:paraId="341A8688">
            <w:pPr>
              <w:pStyle w:val="12"/>
            </w:pPr>
            <w:r>
              <w:t>学生、教师及家长对学校保教保育工作满意度情况</w:t>
            </w:r>
          </w:p>
        </w:tc>
        <w:tc>
          <w:tcPr>
            <w:tcW w:w="2268" w:type="dxa"/>
            <w:vAlign w:val="center"/>
          </w:tcPr>
          <w:p w14:paraId="257D8728">
            <w:pPr>
              <w:pStyle w:val="12"/>
            </w:pPr>
            <w:r>
              <w:t>≥95%</w:t>
            </w:r>
          </w:p>
        </w:tc>
        <w:tc>
          <w:tcPr>
            <w:tcW w:w="1276" w:type="dxa"/>
            <w:vAlign w:val="center"/>
          </w:tcPr>
          <w:p w14:paraId="2D46FF15">
            <w:pPr>
              <w:pStyle w:val="12"/>
            </w:pPr>
            <w:r>
              <w:t>幼儿资助经费管理办法</w:t>
            </w:r>
          </w:p>
        </w:tc>
      </w:tr>
    </w:tbl>
    <w:p w14:paraId="3CB4B1AB">
      <w:pPr>
        <w:sectPr>
          <w:pgSz w:w="16840" w:h="11900" w:orient="landscape"/>
          <w:pgMar w:top="1361" w:right="1020" w:bottom="1134" w:left="1020" w:header="720" w:footer="720" w:gutter="0"/>
          <w:cols w:space="720" w:num="1"/>
        </w:sectPr>
      </w:pPr>
    </w:p>
    <w:p w14:paraId="6CE8CFB4">
      <w:pPr>
        <w:spacing w:before="0" w:after="0"/>
        <w:ind w:firstLine="560"/>
        <w:jc w:val="left"/>
        <w:outlineLvl w:val="9"/>
      </w:pPr>
      <w:r>
        <w:rPr>
          <w:rFonts w:ascii="方正仿宋_GBK" w:hAnsi="方正仿宋_GBK" w:eastAsia="方正仿宋_GBK" w:cs="方正仿宋_GBK"/>
          <w:b/>
          <w:color w:val="000000"/>
          <w:sz w:val="28"/>
        </w:rPr>
        <w:t>10、冀财教[2025]122号/中央/2026年学前发展资金/牛家桥校区幼儿园免保育教育费补助绩效目标表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B0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BED75">
            <w:pPr>
              <w:pStyle w:val="11"/>
            </w:pPr>
            <w:r>
              <w:t>单位：万元</w:t>
            </w:r>
          </w:p>
        </w:tc>
      </w:tr>
      <w:tr w14:paraId="6703C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2CA71">
            <w:pPr>
              <w:pStyle w:val="10"/>
            </w:pPr>
            <w:r>
              <w:t>项目编码</w:t>
            </w:r>
          </w:p>
        </w:tc>
        <w:tc>
          <w:tcPr>
            <w:tcW w:w="5103" w:type="dxa"/>
            <w:gridSpan w:val="2"/>
            <w:vAlign w:val="center"/>
          </w:tcPr>
          <w:p w14:paraId="63B057C1">
            <w:pPr>
              <w:pStyle w:val="12"/>
            </w:pPr>
            <w:r>
              <w:t>13052526P008769101448</w:t>
            </w:r>
          </w:p>
        </w:tc>
        <w:tc>
          <w:tcPr>
            <w:tcW w:w="2835" w:type="dxa"/>
            <w:vAlign w:val="center"/>
          </w:tcPr>
          <w:p w14:paraId="2CA93001">
            <w:pPr>
              <w:pStyle w:val="10"/>
            </w:pPr>
            <w:r>
              <w:t>项目名称</w:t>
            </w:r>
          </w:p>
        </w:tc>
        <w:tc>
          <w:tcPr>
            <w:tcW w:w="6095" w:type="dxa"/>
            <w:gridSpan w:val="3"/>
            <w:vAlign w:val="center"/>
          </w:tcPr>
          <w:p w14:paraId="456800AF">
            <w:pPr>
              <w:pStyle w:val="12"/>
            </w:pPr>
            <w:r>
              <w:t>冀财教[2025]122号/中央/2026年学前发展资金/牛家桥校区幼儿园免保育教育费补助</w:t>
            </w:r>
          </w:p>
        </w:tc>
      </w:tr>
      <w:tr w14:paraId="6379B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0BA39">
            <w:pPr>
              <w:pStyle w:val="10"/>
            </w:pPr>
            <w:r>
              <w:t>预算规模及资金用途</w:t>
            </w:r>
          </w:p>
        </w:tc>
        <w:tc>
          <w:tcPr>
            <w:tcW w:w="2268" w:type="dxa"/>
            <w:vAlign w:val="center"/>
          </w:tcPr>
          <w:p w14:paraId="19762FA4">
            <w:pPr>
              <w:pStyle w:val="10"/>
            </w:pPr>
            <w:r>
              <w:t>预算数</w:t>
            </w:r>
          </w:p>
        </w:tc>
        <w:tc>
          <w:tcPr>
            <w:tcW w:w="2835" w:type="dxa"/>
            <w:vAlign w:val="center"/>
          </w:tcPr>
          <w:p w14:paraId="581BD532">
            <w:pPr>
              <w:pStyle w:val="12"/>
            </w:pPr>
            <w:r>
              <w:t>3.49</w:t>
            </w:r>
          </w:p>
        </w:tc>
        <w:tc>
          <w:tcPr>
            <w:tcW w:w="2835" w:type="dxa"/>
            <w:vAlign w:val="center"/>
          </w:tcPr>
          <w:p w14:paraId="2B846939">
            <w:pPr>
              <w:pStyle w:val="10"/>
            </w:pPr>
            <w:r>
              <w:t>其中：财政    资金</w:t>
            </w:r>
          </w:p>
        </w:tc>
        <w:tc>
          <w:tcPr>
            <w:tcW w:w="2551" w:type="dxa"/>
            <w:vAlign w:val="center"/>
          </w:tcPr>
          <w:p w14:paraId="45A8FEF1">
            <w:pPr>
              <w:pStyle w:val="12"/>
            </w:pPr>
            <w:r>
              <w:t>3.49</w:t>
            </w:r>
          </w:p>
        </w:tc>
        <w:tc>
          <w:tcPr>
            <w:tcW w:w="2268" w:type="dxa"/>
            <w:vAlign w:val="center"/>
          </w:tcPr>
          <w:p w14:paraId="2EEB31C2">
            <w:pPr>
              <w:pStyle w:val="10"/>
            </w:pPr>
            <w:r>
              <w:t>其他资金</w:t>
            </w:r>
          </w:p>
        </w:tc>
        <w:tc>
          <w:tcPr>
            <w:tcW w:w="1276" w:type="dxa"/>
            <w:vAlign w:val="center"/>
          </w:tcPr>
          <w:p w14:paraId="52B99F2E">
            <w:pPr>
              <w:pStyle w:val="12"/>
            </w:pPr>
            <w:r>
              <w:t xml:space="preserve"> </w:t>
            </w:r>
          </w:p>
        </w:tc>
      </w:tr>
      <w:tr w14:paraId="75631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52A03"/>
        </w:tc>
        <w:tc>
          <w:tcPr>
            <w:tcW w:w="14033" w:type="dxa"/>
            <w:gridSpan w:val="6"/>
            <w:vAlign w:val="center"/>
          </w:tcPr>
          <w:p w14:paraId="5E0C263F">
            <w:pPr>
              <w:pStyle w:val="12"/>
            </w:pPr>
            <w:r>
              <w:t xml:space="preserve"> 保障幼儿园正常运转，完成教育教学活动和其他日常工作任务等方面的费用支出。</w:t>
            </w:r>
          </w:p>
        </w:tc>
      </w:tr>
      <w:tr w14:paraId="44874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F2472">
            <w:pPr>
              <w:pStyle w:val="10"/>
            </w:pPr>
            <w:r>
              <w:t>资金支出计划（%）</w:t>
            </w:r>
          </w:p>
        </w:tc>
        <w:tc>
          <w:tcPr>
            <w:tcW w:w="5103" w:type="dxa"/>
            <w:gridSpan w:val="2"/>
            <w:vAlign w:val="center"/>
          </w:tcPr>
          <w:p w14:paraId="78F8BBB2">
            <w:pPr>
              <w:pStyle w:val="10"/>
            </w:pPr>
            <w:r>
              <w:t>3月底</w:t>
            </w:r>
          </w:p>
        </w:tc>
        <w:tc>
          <w:tcPr>
            <w:tcW w:w="2835" w:type="dxa"/>
            <w:vAlign w:val="center"/>
          </w:tcPr>
          <w:p w14:paraId="7E25EDF6">
            <w:pPr>
              <w:pStyle w:val="10"/>
            </w:pPr>
            <w:r>
              <w:t>6月底</w:t>
            </w:r>
          </w:p>
        </w:tc>
        <w:tc>
          <w:tcPr>
            <w:tcW w:w="2551" w:type="dxa"/>
            <w:vAlign w:val="center"/>
          </w:tcPr>
          <w:p w14:paraId="3299F211">
            <w:pPr>
              <w:pStyle w:val="10"/>
            </w:pPr>
            <w:r>
              <w:t>10月底</w:t>
            </w:r>
          </w:p>
        </w:tc>
        <w:tc>
          <w:tcPr>
            <w:tcW w:w="3544" w:type="dxa"/>
            <w:gridSpan w:val="2"/>
            <w:vAlign w:val="center"/>
          </w:tcPr>
          <w:p w14:paraId="56E92169">
            <w:pPr>
              <w:pStyle w:val="10"/>
            </w:pPr>
            <w:r>
              <w:t>12月底</w:t>
            </w:r>
          </w:p>
        </w:tc>
      </w:tr>
      <w:tr w14:paraId="7B3DB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7EAA3"/>
        </w:tc>
        <w:tc>
          <w:tcPr>
            <w:tcW w:w="5103" w:type="dxa"/>
            <w:gridSpan w:val="2"/>
            <w:vAlign w:val="center"/>
          </w:tcPr>
          <w:p w14:paraId="16ACDDC7">
            <w:pPr>
              <w:pStyle w:val="13"/>
            </w:pPr>
            <w:r>
              <w:t>25%</w:t>
            </w:r>
          </w:p>
        </w:tc>
        <w:tc>
          <w:tcPr>
            <w:tcW w:w="2835" w:type="dxa"/>
            <w:vAlign w:val="center"/>
          </w:tcPr>
          <w:p w14:paraId="030BB7C1">
            <w:pPr>
              <w:pStyle w:val="13"/>
            </w:pPr>
            <w:r>
              <w:t>50%</w:t>
            </w:r>
          </w:p>
        </w:tc>
        <w:tc>
          <w:tcPr>
            <w:tcW w:w="2551" w:type="dxa"/>
            <w:vAlign w:val="center"/>
          </w:tcPr>
          <w:p w14:paraId="27DE53FD">
            <w:pPr>
              <w:pStyle w:val="13"/>
            </w:pPr>
            <w:r>
              <w:t>75%</w:t>
            </w:r>
          </w:p>
        </w:tc>
        <w:tc>
          <w:tcPr>
            <w:tcW w:w="3544" w:type="dxa"/>
            <w:gridSpan w:val="2"/>
            <w:vAlign w:val="center"/>
          </w:tcPr>
          <w:p w14:paraId="1B7241D1">
            <w:pPr>
              <w:pStyle w:val="13"/>
            </w:pPr>
            <w:r>
              <w:t>100%</w:t>
            </w:r>
          </w:p>
        </w:tc>
      </w:tr>
      <w:tr w14:paraId="6A130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EBBF2">
            <w:pPr>
              <w:pStyle w:val="10"/>
            </w:pPr>
            <w:r>
              <w:t>绩效目标</w:t>
            </w:r>
          </w:p>
        </w:tc>
        <w:tc>
          <w:tcPr>
            <w:tcW w:w="14033" w:type="dxa"/>
            <w:gridSpan w:val="6"/>
            <w:vAlign w:val="center"/>
          </w:tcPr>
          <w:p w14:paraId="61BBD715">
            <w:pPr>
              <w:pStyle w:val="12"/>
            </w:pPr>
            <w:r>
              <w:t>1. 保障幼儿园正常运转，完成教育教学活动和其他日常工作任务等方面的费用支出。</w:t>
            </w:r>
          </w:p>
        </w:tc>
      </w:tr>
    </w:tbl>
    <w:p w14:paraId="3EECEC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B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9F774">
            <w:pPr>
              <w:pStyle w:val="10"/>
            </w:pPr>
            <w:r>
              <w:t>一级指标</w:t>
            </w:r>
          </w:p>
        </w:tc>
        <w:tc>
          <w:tcPr>
            <w:tcW w:w="2268" w:type="dxa"/>
            <w:vAlign w:val="center"/>
          </w:tcPr>
          <w:p w14:paraId="3859F56D">
            <w:pPr>
              <w:pStyle w:val="10"/>
            </w:pPr>
            <w:r>
              <w:t>二级指标</w:t>
            </w:r>
          </w:p>
        </w:tc>
        <w:tc>
          <w:tcPr>
            <w:tcW w:w="2835" w:type="dxa"/>
            <w:vAlign w:val="center"/>
          </w:tcPr>
          <w:p w14:paraId="4A74C456">
            <w:pPr>
              <w:pStyle w:val="10"/>
            </w:pPr>
            <w:r>
              <w:t>三级指标</w:t>
            </w:r>
          </w:p>
        </w:tc>
        <w:tc>
          <w:tcPr>
            <w:tcW w:w="5386" w:type="dxa"/>
            <w:vAlign w:val="center"/>
          </w:tcPr>
          <w:p w14:paraId="75AC5948">
            <w:pPr>
              <w:pStyle w:val="10"/>
            </w:pPr>
            <w:r>
              <w:t>绩效指标描述</w:t>
            </w:r>
          </w:p>
        </w:tc>
        <w:tc>
          <w:tcPr>
            <w:tcW w:w="2268" w:type="dxa"/>
            <w:vAlign w:val="center"/>
          </w:tcPr>
          <w:p w14:paraId="34221B71">
            <w:pPr>
              <w:pStyle w:val="10"/>
            </w:pPr>
            <w:r>
              <w:t>指标值</w:t>
            </w:r>
          </w:p>
        </w:tc>
        <w:tc>
          <w:tcPr>
            <w:tcW w:w="1276" w:type="dxa"/>
            <w:vAlign w:val="center"/>
          </w:tcPr>
          <w:p w14:paraId="2C56C538">
            <w:pPr>
              <w:pStyle w:val="10"/>
            </w:pPr>
            <w:r>
              <w:t>指标值确定依据</w:t>
            </w:r>
          </w:p>
        </w:tc>
      </w:tr>
      <w:tr w14:paraId="6326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77A14">
            <w:pPr>
              <w:pStyle w:val="13"/>
            </w:pPr>
            <w:r>
              <w:t>产出指标</w:t>
            </w:r>
          </w:p>
        </w:tc>
        <w:tc>
          <w:tcPr>
            <w:tcW w:w="2268" w:type="dxa"/>
            <w:vAlign w:val="center"/>
          </w:tcPr>
          <w:p w14:paraId="7DDFE32B">
            <w:pPr>
              <w:pStyle w:val="12"/>
            </w:pPr>
            <w:r>
              <w:t>数量指标</w:t>
            </w:r>
          </w:p>
        </w:tc>
        <w:tc>
          <w:tcPr>
            <w:tcW w:w="2835" w:type="dxa"/>
            <w:vAlign w:val="center"/>
          </w:tcPr>
          <w:p w14:paraId="0EF7C20F">
            <w:pPr>
              <w:pStyle w:val="12"/>
            </w:pPr>
            <w:r>
              <w:t>适龄在园生</w:t>
            </w:r>
          </w:p>
        </w:tc>
        <w:tc>
          <w:tcPr>
            <w:tcW w:w="5386" w:type="dxa"/>
            <w:vAlign w:val="center"/>
          </w:tcPr>
          <w:p w14:paraId="373FCDFD">
            <w:pPr>
              <w:pStyle w:val="12"/>
            </w:pPr>
            <w:r>
              <w:t>适龄在园学生人数</w:t>
            </w:r>
          </w:p>
        </w:tc>
        <w:tc>
          <w:tcPr>
            <w:tcW w:w="2268" w:type="dxa"/>
            <w:vAlign w:val="center"/>
          </w:tcPr>
          <w:p w14:paraId="77A4FC67">
            <w:pPr>
              <w:pStyle w:val="12"/>
            </w:pPr>
            <w:r>
              <w:t>100%</w:t>
            </w:r>
          </w:p>
        </w:tc>
        <w:tc>
          <w:tcPr>
            <w:tcW w:w="1276" w:type="dxa"/>
            <w:vAlign w:val="center"/>
          </w:tcPr>
          <w:p w14:paraId="49C88146">
            <w:pPr>
              <w:pStyle w:val="12"/>
            </w:pPr>
            <w:r>
              <w:t>支持学前教育发展资金管理方法</w:t>
            </w:r>
          </w:p>
        </w:tc>
      </w:tr>
      <w:tr w14:paraId="4320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31710"/>
        </w:tc>
        <w:tc>
          <w:tcPr>
            <w:tcW w:w="2268" w:type="dxa"/>
            <w:vAlign w:val="center"/>
          </w:tcPr>
          <w:p w14:paraId="4D699730">
            <w:pPr>
              <w:pStyle w:val="12"/>
            </w:pPr>
            <w:r>
              <w:t>质量指标</w:t>
            </w:r>
          </w:p>
        </w:tc>
        <w:tc>
          <w:tcPr>
            <w:tcW w:w="2835" w:type="dxa"/>
            <w:vAlign w:val="center"/>
          </w:tcPr>
          <w:p w14:paraId="5F04CBA7">
            <w:pPr>
              <w:pStyle w:val="12"/>
            </w:pPr>
            <w:r>
              <w:t>公用经费使用率</w:t>
            </w:r>
          </w:p>
        </w:tc>
        <w:tc>
          <w:tcPr>
            <w:tcW w:w="5386" w:type="dxa"/>
            <w:vAlign w:val="center"/>
          </w:tcPr>
          <w:p w14:paraId="56A82756">
            <w:pPr>
              <w:pStyle w:val="12"/>
            </w:pPr>
            <w:r>
              <w:t>用于弥补经费不足，改善办学条件</w:t>
            </w:r>
          </w:p>
        </w:tc>
        <w:tc>
          <w:tcPr>
            <w:tcW w:w="2268" w:type="dxa"/>
            <w:vAlign w:val="center"/>
          </w:tcPr>
          <w:p w14:paraId="2E0FDE92">
            <w:pPr>
              <w:pStyle w:val="12"/>
            </w:pPr>
            <w:r>
              <w:t>100%</w:t>
            </w:r>
          </w:p>
        </w:tc>
        <w:tc>
          <w:tcPr>
            <w:tcW w:w="1276" w:type="dxa"/>
            <w:vAlign w:val="center"/>
          </w:tcPr>
          <w:p w14:paraId="35E80748">
            <w:pPr>
              <w:pStyle w:val="12"/>
            </w:pPr>
            <w:r>
              <w:t>支持学前教育发展资金管理方法</w:t>
            </w:r>
          </w:p>
        </w:tc>
      </w:tr>
      <w:tr w14:paraId="65D6F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895C3"/>
        </w:tc>
        <w:tc>
          <w:tcPr>
            <w:tcW w:w="2268" w:type="dxa"/>
            <w:vAlign w:val="center"/>
          </w:tcPr>
          <w:p w14:paraId="69BB99C9">
            <w:pPr>
              <w:pStyle w:val="12"/>
            </w:pPr>
            <w:r>
              <w:t>时效指标</w:t>
            </w:r>
          </w:p>
        </w:tc>
        <w:tc>
          <w:tcPr>
            <w:tcW w:w="2835" w:type="dxa"/>
            <w:vAlign w:val="center"/>
          </w:tcPr>
          <w:p w14:paraId="6A77FD16">
            <w:pPr>
              <w:pStyle w:val="12"/>
            </w:pPr>
            <w:r>
              <w:t>资金支付率</w:t>
            </w:r>
          </w:p>
        </w:tc>
        <w:tc>
          <w:tcPr>
            <w:tcW w:w="5386" w:type="dxa"/>
            <w:vAlign w:val="center"/>
          </w:tcPr>
          <w:p w14:paraId="143007D9">
            <w:pPr>
              <w:pStyle w:val="12"/>
            </w:pPr>
            <w:r>
              <w:t>按照序时进度完成资金支付</w:t>
            </w:r>
          </w:p>
        </w:tc>
        <w:tc>
          <w:tcPr>
            <w:tcW w:w="2268" w:type="dxa"/>
            <w:vAlign w:val="center"/>
          </w:tcPr>
          <w:p w14:paraId="666E257F">
            <w:pPr>
              <w:pStyle w:val="12"/>
            </w:pPr>
            <w:r>
              <w:t>100%</w:t>
            </w:r>
          </w:p>
        </w:tc>
        <w:tc>
          <w:tcPr>
            <w:tcW w:w="1276" w:type="dxa"/>
            <w:vAlign w:val="center"/>
          </w:tcPr>
          <w:p w14:paraId="7612F8CF">
            <w:pPr>
              <w:pStyle w:val="12"/>
            </w:pPr>
            <w:r>
              <w:t>支持学前教育发展资金管理方法</w:t>
            </w:r>
          </w:p>
        </w:tc>
      </w:tr>
      <w:tr w14:paraId="28182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B8DCC"/>
        </w:tc>
        <w:tc>
          <w:tcPr>
            <w:tcW w:w="2268" w:type="dxa"/>
            <w:vAlign w:val="center"/>
          </w:tcPr>
          <w:p w14:paraId="26DFD9BC">
            <w:pPr>
              <w:pStyle w:val="12"/>
            </w:pPr>
            <w:r>
              <w:t>成本指标</w:t>
            </w:r>
          </w:p>
        </w:tc>
        <w:tc>
          <w:tcPr>
            <w:tcW w:w="2835" w:type="dxa"/>
            <w:vAlign w:val="center"/>
          </w:tcPr>
          <w:p w14:paraId="05FD8338">
            <w:pPr>
              <w:pStyle w:val="12"/>
            </w:pPr>
            <w:r>
              <w:t>生均拨款标准</w:t>
            </w:r>
          </w:p>
        </w:tc>
        <w:tc>
          <w:tcPr>
            <w:tcW w:w="5386" w:type="dxa"/>
            <w:vAlign w:val="center"/>
          </w:tcPr>
          <w:p w14:paraId="00E83335">
            <w:pPr>
              <w:pStyle w:val="12"/>
            </w:pPr>
            <w:r>
              <w:t>根据各学校学前保育费标准进行补助</w:t>
            </w:r>
          </w:p>
        </w:tc>
        <w:tc>
          <w:tcPr>
            <w:tcW w:w="2268" w:type="dxa"/>
            <w:vAlign w:val="center"/>
          </w:tcPr>
          <w:p w14:paraId="68E2155B">
            <w:pPr>
              <w:pStyle w:val="12"/>
            </w:pPr>
            <w:r>
              <w:t>34915元</w:t>
            </w:r>
          </w:p>
        </w:tc>
        <w:tc>
          <w:tcPr>
            <w:tcW w:w="1276" w:type="dxa"/>
            <w:vAlign w:val="center"/>
          </w:tcPr>
          <w:p w14:paraId="4263655B">
            <w:pPr>
              <w:pStyle w:val="12"/>
            </w:pPr>
            <w:r>
              <w:t>支持学前教育发展资金管理方法</w:t>
            </w:r>
          </w:p>
        </w:tc>
      </w:tr>
      <w:tr w14:paraId="226FC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EC9C6">
            <w:pPr>
              <w:pStyle w:val="13"/>
            </w:pPr>
            <w:r>
              <w:t>效益指标</w:t>
            </w:r>
          </w:p>
        </w:tc>
        <w:tc>
          <w:tcPr>
            <w:tcW w:w="2268" w:type="dxa"/>
            <w:vAlign w:val="center"/>
          </w:tcPr>
          <w:p w14:paraId="265A9AD5">
            <w:pPr>
              <w:pStyle w:val="12"/>
            </w:pPr>
            <w:r>
              <w:t>可持续影响指标</w:t>
            </w:r>
          </w:p>
        </w:tc>
        <w:tc>
          <w:tcPr>
            <w:tcW w:w="2835" w:type="dxa"/>
            <w:vAlign w:val="center"/>
          </w:tcPr>
          <w:p w14:paraId="4342BD37">
            <w:pPr>
              <w:pStyle w:val="12"/>
            </w:pPr>
            <w:r>
              <w:t>学校运转得到提高</w:t>
            </w:r>
          </w:p>
        </w:tc>
        <w:tc>
          <w:tcPr>
            <w:tcW w:w="5386" w:type="dxa"/>
            <w:vAlign w:val="center"/>
          </w:tcPr>
          <w:p w14:paraId="1E9E9457">
            <w:pPr>
              <w:pStyle w:val="12"/>
            </w:pPr>
            <w:r>
              <w:t>学生受教育年限</w:t>
            </w:r>
          </w:p>
        </w:tc>
        <w:tc>
          <w:tcPr>
            <w:tcW w:w="2268" w:type="dxa"/>
            <w:vAlign w:val="center"/>
          </w:tcPr>
          <w:p w14:paraId="538E5AC3">
            <w:pPr>
              <w:pStyle w:val="12"/>
            </w:pPr>
            <w:r>
              <w:t>3年</w:t>
            </w:r>
          </w:p>
        </w:tc>
        <w:tc>
          <w:tcPr>
            <w:tcW w:w="1276" w:type="dxa"/>
            <w:vAlign w:val="center"/>
          </w:tcPr>
          <w:p w14:paraId="3EBD44C9">
            <w:pPr>
              <w:pStyle w:val="12"/>
            </w:pPr>
            <w:r>
              <w:t>支持学前教育发展资金管理方法</w:t>
            </w:r>
          </w:p>
        </w:tc>
      </w:tr>
      <w:tr w14:paraId="7448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1D043">
            <w:pPr>
              <w:pStyle w:val="13"/>
            </w:pPr>
            <w:r>
              <w:t>满意度指标</w:t>
            </w:r>
          </w:p>
        </w:tc>
        <w:tc>
          <w:tcPr>
            <w:tcW w:w="2268" w:type="dxa"/>
            <w:vAlign w:val="center"/>
          </w:tcPr>
          <w:p w14:paraId="6810A319">
            <w:pPr>
              <w:pStyle w:val="12"/>
            </w:pPr>
            <w:r>
              <w:t>服务对象满意度指标</w:t>
            </w:r>
          </w:p>
        </w:tc>
        <w:tc>
          <w:tcPr>
            <w:tcW w:w="2835" w:type="dxa"/>
            <w:vAlign w:val="center"/>
          </w:tcPr>
          <w:p w14:paraId="0454F627">
            <w:pPr>
              <w:pStyle w:val="12"/>
            </w:pPr>
            <w:r>
              <w:t>受益学生家长及调查满意度</w:t>
            </w:r>
          </w:p>
        </w:tc>
        <w:tc>
          <w:tcPr>
            <w:tcW w:w="5386" w:type="dxa"/>
            <w:vAlign w:val="center"/>
          </w:tcPr>
          <w:p w14:paraId="763D16FD">
            <w:pPr>
              <w:pStyle w:val="12"/>
            </w:pPr>
            <w:r>
              <w:t>学生、教师及家长对学校保教保育工作满意度情况</w:t>
            </w:r>
          </w:p>
        </w:tc>
        <w:tc>
          <w:tcPr>
            <w:tcW w:w="2268" w:type="dxa"/>
            <w:vAlign w:val="center"/>
          </w:tcPr>
          <w:p w14:paraId="55B2EA1A">
            <w:pPr>
              <w:pStyle w:val="12"/>
            </w:pPr>
            <w:r>
              <w:t>≥95%</w:t>
            </w:r>
          </w:p>
        </w:tc>
        <w:tc>
          <w:tcPr>
            <w:tcW w:w="1276" w:type="dxa"/>
            <w:vAlign w:val="center"/>
          </w:tcPr>
          <w:p w14:paraId="5F075BBD">
            <w:pPr>
              <w:pStyle w:val="12"/>
            </w:pPr>
            <w:r>
              <w:t>支持学前教育发展资金管理方法</w:t>
            </w:r>
          </w:p>
        </w:tc>
      </w:tr>
    </w:tbl>
    <w:p w14:paraId="200E8963">
      <w:pPr>
        <w:sectPr>
          <w:pgSz w:w="16840" w:h="11900" w:orient="landscape"/>
          <w:pgMar w:top="1361" w:right="1020" w:bottom="1134" w:left="1020" w:header="720" w:footer="720" w:gutter="0"/>
          <w:cols w:space="720" w:num="1"/>
        </w:sectPr>
      </w:pPr>
    </w:p>
    <w:p w14:paraId="3A80D703">
      <w:pPr>
        <w:spacing w:before="0" w:after="0"/>
        <w:ind w:firstLine="560"/>
        <w:jc w:val="left"/>
        <w:outlineLvl w:val="9"/>
      </w:pPr>
      <w:r>
        <w:rPr>
          <w:rFonts w:ascii="方正仿宋_GBK" w:hAnsi="方正仿宋_GBK" w:eastAsia="方正仿宋_GBK" w:cs="方正仿宋_GBK"/>
          <w:b/>
          <w:color w:val="000000"/>
          <w:sz w:val="28"/>
        </w:rPr>
        <w:t>11、冀财教[2025]122号/中央/支持学前教育发展/牛家桥校区幼儿园设备购置绩效目标表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37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B7938">
            <w:pPr>
              <w:pStyle w:val="11"/>
            </w:pPr>
            <w:r>
              <w:t>单位：万元</w:t>
            </w:r>
          </w:p>
        </w:tc>
      </w:tr>
      <w:tr w14:paraId="501A6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33434">
            <w:pPr>
              <w:pStyle w:val="10"/>
            </w:pPr>
            <w:r>
              <w:t>项目编码</w:t>
            </w:r>
          </w:p>
        </w:tc>
        <w:tc>
          <w:tcPr>
            <w:tcW w:w="5103" w:type="dxa"/>
            <w:gridSpan w:val="2"/>
            <w:vAlign w:val="center"/>
          </w:tcPr>
          <w:p w14:paraId="59B30BFB">
            <w:pPr>
              <w:pStyle w:val="12"/>
            </w:pPr>
            <w:r>
              <w:t>13052526P00876910186Y</w:t>
            </w:r>
          </w:p>
        </w:tc>
        <w:tc>
          <w:tcPr>
            <w:tcW w:w="2835" w:type="dxa"/>
            <w:vAlign w:val="center"/>
          </w:tcPr>
          <w:p w14:paraId="1E0D79F2">
            <w:pPr>
              <w:pStyle w:val="10"/>
            </w:pPr>
            <w:r>
              <w:t>项目名称</w:t>
            </w:r>
          </w:p>
        </w:tc>
        <w:tc>
          <w:tcPr>
            <w:tcW w:w="6095" w:type="dxa"/>
            <w:gridSpan w:val="3"/>
            <w:vAlign w:val="center"/>
          </w:tcPr>
          <w:p w14:paraId="5B1562C9">
            <w:pPr>
              <w:pStyle w:val="12"/>
            </w:pPr>
            <w:r>
              <w:t>冀财教[2025]122号/中央/支持学前教育发展/牛家桥校区幼儿园设备购置</w:t>
            </w:r>
          </w:p>
        </w:tc>
      </w:tr>
      <w:tr w14:paraId="796D5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E5B72">
            <w:pPr>
              <w:pStyle w:val="10"/>
            </w:pPr>
            <w:r>
              <w:t>预算规模及资金用途</w:t>
            </w:r>
          </w:p>
        </w:tc>
        <w:tc>
          <w:tcPr>
            <w:tcW w:w="2268" w:type="dxa"/>
            <w:vAlign w:val="center"/>
          </w:tcPr>
          <w:p w14:paraId="76BAC1B0">
            <w:pPr>
              <w:pStyle w:val="10"/>
            </w:pPr>
            <w:r>
              <w:t>预算数</w:t>
            </w:r>
          </w:p>
        </w:tc>
        <w:tc>
          <w:tcPr>
            <w:tcW w:w="2835" w:type="dxa"/>
            <w:vAlign w:val="center"/>
          </w:tcPr>
          <w:p w14:paraId="6525177B">
            <w:pPr>
              <w:pStyle w:val="12"/>
            </w:pPr>
            <w:r>
              <w:t>9.80</w:t>
            </w:r>
          </w:p>
        </w:tc>
        <w:tc>
          <w:tcPr>
            <w:tcW w:w="2835" w:type="dxa"/>
            <w:vAlign w:val="center"/>
          </w:tcPr>
          <w:p w14:paraId="1CEEB7D7">
            <w:pPr>
              <w:pStyle w:val="10"/>
            </w:pPr>
            <w:r>
              <w:t>其中：财政    资金</w:t>
            </w:r>
          </w:p>
        </w:tc>
        <w:tc>
          <w:tcPr>
            <w:tcW w:w="2551" w:type="dxa"/>
            <w:vAlign w:val="center"/>
          </w:tcPr>
          <w:p w14:paraId="463349AF">
            <w:pPr>
              <w:pStyle w:val="12"/>
            </w:pPr>
            <w:r>
              <w:t>9.80</w:t>
            </w:r>
          </w:p>
        </w:tc>
        <w:tc>
          <w:tcPr>
            <w:tcW w:w="2268" w:type="dxa"/>
            <w:vAlign w:val="center"/>
          </w:tcPr>
          <w:p w14:paraId="45EAE093">
            <w:pPr>
              <w:pStyle w:val="10"/>
            </w:pPr>
            <w:r>
              <w:t>其他资金</w:t>
            </w:r>
          </w:p>
        </w:tc>
        <w:tc>
          <w:tcPr>
            <w:tcW w:w="1276" w:type="dxa"/>
            <w:vAlign w:val="center"/>
          </w:tcPr>
          <w:p w14:paraId="62E5FC8E">
            <w:pPr>
              <w:pStyle w:val="12"/>
            </w:pPr>
            <w:r>
              <w:t xml:space="preserve"> </w:t>
            </w:r>
          </w:p>
        </w:tc>
      </w:tr>
      <w:tr w14:paraId="416E5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4E52B"/>
        </w:tc>
        <w:tc>
          <w:tcPr>
            <w:tcW w:w="14033" w:type="dxa"/>
            <w:gridSpan w:val="6"/>
            <w:vAlign w:val="center"/>
          </w:tcPr>
          <w:p w14:paraId="610F3F76">
            <w:pPr>
              <w:pStyle w:val="12"/>
            </w:pPr>
            <w:r>
              <w:t>保障幼儿园正常运转，完成教育教学活动和其他日常工作任务等方面的费用支出。</w:t>
            </w:r>
          </w:p>
        </w:tc>
      </w:tr>
      <w:tr w14:paraId="39D7C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DFC39">
            <w:pPr>
              <w:pStyle w:val="10"/>
            </w:pPr>
            <w:r>
              <w:t>资金支出计划（%）</w:t>
            </w:r>
          </w:p>
        </w:tc>
        <w:tc>
          <w:tcPr>
            <w:tcW w:w="5103" w:type="dxa"/>
            <w:gridSpan w:val="2"/>
            <w:vAlign w:val="center"/>
          </w:tcPr>
          <w:p w14:paraId="1CDE6190">
            <w:pPr>
              <w:pStyle w:val="10"/>
            </w:pPr>
            <w:r>
              <w:t>3月底</w:t>
            </w:r>
          </w:p>
        </w:tc>
        <w:tc>
          <w:tcPr>
            <w:tcW w:w="2835" w:type="dxa"/>
            <w:vAlign w:val="center"/>
          </w:tcPr>
          <w:p w14:paraId="3FD2A259">
            <w:pPr>
              <w:pStyle w:val="10"/>
            </w:pPr>
            <w:r>
              <w:t>6月底</w:t>
            </w:r>
          </w:p>
        </w:tc>
        <w:tc>
          <w:tcPr>
            <w:tcW w:w="2551" w:type="dxa"/>
            <w:vAlign w:val="center"/>
          </w:tcPr>
          <w:p w14:paraId="01B39FBF">
            <w:pPr>
              <w:pStyle w:val="10"/>
            </w:pPr>
            <w:r>
              <w:t>10月底</w:t>
            </w:r>
          </w:p>
        </w:tc>
        <w:tc>
          <w:tcPr>
            <w:tcW w:w="3544" w:type="dxa"/>
            <w:gridSpan w:val="2"/>
            <w:vAlign w:val="center"/>
          </w:tcPr>
          <w:p w14:paraId="6EB1FB33">
            <w:pPr>
              <w:pStyle w:val="10"/>
            </w:pPr>
            <w:r>
              <w:t>12月底</w:t>
            </w:r>
          </w:p>
        </w:tc>
      </w:tr>
      <w:tr w14:paraId="2E919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18DFB"/>
        </w:tc>
        <w:tc>
          <w:tcPr>
            <w:tcW w:w="5103" w:type="dxa"/>
            <w:gridSpan w:val="2"/>
            <w:vAlign w:val="center"/>
          </w:tcPr>
          <w:p w14:paraId="6AF0FAAC">
            <w:pPr>
              <w:pStyle w:val="13"/>
            </w:pPr>
            <w:r>
              <w:t xml:space="preserve"> </w:t>
            </w:r>
          </w:p>
        </w:tc>
        <w:tc>
          <w:tcPr>
            <w:tcW w:w="2835" w:type="dxa"/>
            <w:vAlign w:val="center"/>
          </w:tcPr>
          <w:p w14:paraId="54771851">
            <w:pPr>
              <w:pStyle w:val="13"/>
            </w:pPr>
            <w:r>
              <w:t xml:space="preserve"> </w:t>
            </w:r>
          </w:p>
        </w:tc>
        <w:tc>
          <w:tcPr>
            <w:tcW w:w="2551" w:type="dxa"/>
            <w:vAlign w:val="center"/>
          </w:tcPr>
          <w:p w14:paraId="2707EA52">
            <w:pPr>
              <w:pStyle w:val="13"/>
            </w:pPr>
            <w:r>
              <w:t>100%</w:t>
            </w:r>
          </w:p>
        </w:tc>
        <w:tc>
          <w:tcPr>
            <w:tcW w:w="3544" w:type="dxa"/>
            <w:gridSpan w:val="2"/>
            <w:vAlign w:val="center"/>
          </w:tcPr>
          <w:p w14:paraId="0EEDF211">
            <w:pPr>
              <w:pStyle w:val="13"/>
            </w:pPr>
            <w:r>
              <w:t>100%</w:t>
            </w:r>
          </w:p>
        </w:tc>
      </w:tr>
      <w:tr w14:paraId="183AC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E3E05">
            <w:pPr>
              <w:pStyle w:val="10"/>
            </w:pPr>
            <w:r>
              <w:t>绩效目标</w:t>
            </w:r>
          </w:p>
        </w:tc>
        <w:tc>
          <w:tcPr>
            <w:tcW w:w="14033" w:type="dxa"/>
            <w:gridSpan w:val="6"/>
            <w:vAlign w:val="center"/>
          </w:tcPr>
          <w:p w14:paraId="7115D387">
            <w:pPr>
              <w:pStyle w:val="12"/>
            </w:pPr>
            <w:r>
              <w:t>1.项目需资金9.8万元，资金拨付率达到100%。</w:t>
            </w:r>
            <w:r>
              <w:tab/>
            </w:r>
            <w:r>
              <w:tab/>
            </w:r>
            <w:r>
              <w:tab/>
            </w:r>
          </w:p>
          <w:p w14:paraId="46354E4A">
            <w:pPr>
              <w:pStyle w:val="12"/>
            </w:pPr>
            <w:r>
              <w:t>2.保障幼儿园正常运转，完成教育教学活动和其他日常工作任务等方面的费用支出。</w:t>
            </w:r>
          </w:p>
        </w:tc>
      </w:tr>
    </w:tbl>
    <w:p w14:paraId="7654E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9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43182">
            <w:pPr>
              <w:pStyle w:val="10"/>
            </w:pPr>
            <w:r>
              <w:t>一级指标</w:t>
            </w:r>
          </w:p>
        </w:tc>
        <w:tc>
          <w:tcPr>
            <w:tcW w:w="2268" w:type="dxa"/>
            <w:vAlign w:val="center"/>
          </w:tcPr>
          <w:p w14:paraId="2C781A3A">
            <w:pPr>
              <w:pStyle w:val="10"/>
            </w:pPr>
            <w:r>
              <w:t>二级指标</w:t>
            </w:r>
          </w:p>
        </w:tc>
        <w:tc>
          <w:tcPr>
            <w:tcW w:w="2835" w:type="dxa"/>
            <w:vAlign w:val="center"/>
          </w:tcPr>
          <w:p w14:paraId="79803637">
            <w:pPr>
              <w:pStyle w:val="10"/>
            </w:pPr>
            <w:r>
              <w:t>三级指标</w:t>
            </w:r>
          </w:p>
        </w:tc>
        <w:tc>
          <w:tcPr>
            <w:tcW w:w="5386" w:type="dxa"/>
            <w:vAlign w:val="center"/>
          </w:tcPr>
          <w:p w14:paraId="42C40CD0">
            <w:pPr>
              <w:pStyle w:val="10"/>
            </w:pPr>
            <w:r>
              <w:t>绩效指标描述</w:t>
            </w:r>
          </w:p>
        </w:tc>
        <w:tc>
          <w:tcPr>
            <w:tcW w:w="2268" w:type="dxa"/>
            <w:vAlign w:val="center"/>
          </w:tcPr>
          <w:p w14:paraId="16F9146F">
            <w:pPr>
              <w:pStyle w:val="10"/>
            </w:pPr>
            <w:r>
              <w:t>指标值</w:t>
            </w:r>
          </w:p>
        </w:tc>
        <w:tc>
          <w:tcPr>
            <w:tcW w:w="1276" w:type="dxa"/>
            <w:vAlign w:val="center"/>
          </w:tcPr>
          <w:p w14:paraId="6D9C6BDC">
            <w:pPr>
              <w:pStyle w:val="10"/>
            </w:pPr>
            <w:r>
              <w:t>指标值确定依据</w:t>
            </w:r>
          </w:p>
        </w:tc>
      </w:tr>
      <w:tr w14:paraId="6BB8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994FB">
            <w:pPr>
              <w:pStyle w:val="13"/>
            </w:pPr>
            <w:r>
              <w:t>产出指标</w:t>
            </w:r>
          </w:p>
        </w:tc>
        <w:tc>
          <w:tcPr>
            <w:tcW w:w="2268" w:type="dxa"/>
            <w:vAlign w:val="center"/>
          </w:tcPr>
          <w:p w14:paraId="43E3DDCD">
            <w:pPr>
              <w:pStyle w:val="12"/>
            </w:pPr>
            <w:r>
              <w:t>数量指标</w:t>
            </w:r>
          </w:p>
        </w:tc>
        <w:tc>
          <w:tcPr>
            <w:tcW w:w="2835" w:type="dxa"/>
            <w:vAlign w:val="center"/>
          </w:tcPr>
          <w:p w14:paraId="0EF6C7E1">
            <w:pPr>
              <w:pStyle w:val="12"/>
            </w:pPr>
            <w:r>
              <w:t>教学设备</w:t>
            </w:r>
          </w:p>
        </w:tc>
        <w:tc>
          <w:tcPr>
            <w:tcW w:w="5386" w:type="dxa"/>
            <w:vAlign w:val="center"/>
          </w:tcPr>
          <w:p w14:paraId="5DB5297F">
            <w:pPr>
              <w:pStyle w:val="12"/>
            </w:pPr>
            <w:r>
              <w:t>幼儿园设备购置</w:t>
            </w:r>
          </w:p>
        </w:tc>
        <w:tc>
          <w:tcPr>
            <w:tcW w:w="2268" w:type="dxa"/>
            <w:vAlign w:val="center"/>
          </w:tcPr>
          <w:p w14:paraId="781B8E53">
            <w:pPr>
              <w:pStyle w:val="12"/>
            </w:pPr>
            <w:r>
              <w:t>≥3套</w:t>
            </w:r>
          </w:p>
        </w:tc>
        <w:tc>
          <w:tcPr>
            <w:tcW w:w="1276" w:type="dxa"/>
            <w:vAlign w:val="center"/>
          </w:tcPr>
          <w:p w14:paraId="2572E5D8">
            <w:pPr>
              <w:pStyle w:val="12"/>
            </w:pPr>
            <w:r>
              <w:t>项目规划</w:t>
            </w:r>
          </w:p>
        </w:tc>
      </w:tr>
      <w:tr w14:paraId="0FD4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2FBE0"/>
        </w:tc>
        <w:tc>
          <w:tcPr>
            <w:tcW w:w="2268" w:type="dxa"/>
            <w:vAlign w:val="center"/>
          </w:tcPr>
          <w:p w14:paraId="75A3E88B">
            <w:pPr>
              <w:pStyle w:val="12"/>
            </w:pPr>
            <w:r>
              <w:t>质量指标</w:t>
            </w:r>
          </w:p>
        </w:tc>
        <w:tc>
          <w:tcPr>
            <w:tcW w:w="2835" w:type="dxa"/>
            <w:vAlign w:val="center"/>
          </w:tcPr>
          <w:p w14:paraId="26327D58">
            <w:pPr>
              <w:pStyle w:val="12"/>
            </w:pPr>
            <w:r>
              <w:t>购置项目质量合格率</w:t>
            </w:r>
          </w:p>
        </w:tc>
        <w:tc>
          <w:tcPr>
            <w:tcW w:w="5386" w:type="dxa"/>
            <w:vAlign w:val="center"/>
          </w:tcPr>
          <w:p w14:paraId="692A0EFF">
            <w:pPr>
              <w:pStyle w:val="12"/>
            </w:pPr>
            <w:r>
              <w:t>专用设备购置质量合格率</w:t>
            </w:r>
          </w:p>
        </w:tc>
        <w:tc>
          <w:tcPr>
            <w:tcW w:w="2268" w:type="dxa"/>
            <w:vAlign w:val="center"/>
          </w:tcPr>
          <w:p w14:paraId="3B57C983">
            <w:pPr>
              <w:pStyle w:val="12"/>
            </w:pPr>
            <w:r>
              <w:t>100%</w:t>
            </w:r>
          </w:p>
        </w:tc>
        <w:tc>
          <w:tcPr>
            <w:tcW w:w="1276" w:type="dxa"/>
            <w:vAlign w:val="center"/>
          </w:tcPr>
          <w:p w14:paraId="0D4F57EB">
            <w:pPr>
              <w:pStyle w:val="12"/>
            </w:pPr>
            <w:r>
              <w:t>项目规划</w:t>
            </w:r>
          </w:p>
        </w:tc>
      </w:tr>
      <w:tr w14:paraId="6D95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1E056"/>
        </w:tc>
        <w:tc>
          <w:tcPr>
            <w:tcW w:w="2268" w:type="dxa"/>
            <w:vAlign w:val="center"/>
          </w:tcPr>
          <w:p w14:paraId="1882389C">
            <w:pPr>
              <w:pStyle w:val="12"/>
            </w:pPr>
            <w:r>
              <w:t>时效指标</w:t>
            </w:r>
          </w:p>
        </w:tc>
        <w:tc>
          <w:tcPr>
            <w:tcW w:w="2835" w:type="dxa"/>
            <w:vAlign w:val="center"/>
          </w:tcPr>
          <w:p w14:paraId="5FBB77E1">
            <w:pPr>
              <w:pStyle w:val="12"/>
            </w:pPr>
            <w:r>
              <w:t>按时完成率</w:t>
            </w:r>
          </w:p>
        </w:tc>
        <w:tc>
          <w:tcPr>
            <w:tcW w:w="5386" w:type="dxa"/>
            <w:vAlign w:val="center"/>
          </w:tcPr>
          <w:p w14:paraId="37DB1E7A">
            <w:pPr>
              <w:pStyle w:val="12"/>
            </w:pPr>
            <w:r>
              <w:t>购置项目按时序进度完成比例</w:t>
            </w:r>
          </w:p>
        </w:tc>
        <w:tc>
          <w:tcPr>
            <w:tcW w:w="2268" w:type="dxa"/>
            <w:vAlign w:val="center"/>
          </w:tcPr>
          <w:p w14:paraId="7FE3336A">
            <w:pPr>
              <w:pStyle w:val="12"/>
            </w:pPr>
            <w:r>
              <w:t>100%</w:t>
            </w:r>
          </w:p>
        </w:tc>
        <w:tc>
          <w:tcPr>
            <w:tcW w:w="1276" w:type="dxa"/>
            <w:vAlign w:val="center"/>
          </w:tcPr>
          <w:p w14:paraId="121E16AE">
            <w:pPr>
              <w:pStyle w:val="12"/>
            </w:pPr>
            <w:r>
              <w:t>项目规划</w:t>
            </w:r>
          </w:p>
        </w:tc>
      </w:tr>
      <w:tr w14:paraId="199A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5BD7"/>
        </w:tc>
        <w:tc>
          <w:tcPr>
            <w:tcW w:w="2268" w:type="dxa"/>
            <w:vAlign w:val="center"/>
          </w:tcPr>
          <w:p w14:paraId="50BDCB91">
            <w:pPr>
              <w:pStyle w:val="12"/>
            </w:pPr>
            <w:r>
              <w:t>成本指标</w:t>
            </w:r>
          </w:p>
        </w:tc>
        <w:tc>
          <w:tcPr>
            <w:tcW w:w="2835" w:type="dxa"/>
            <w:vAlign w:val="center"/>
          </w:tcPr>
          <w:p w14:paraId="12142735">
            <w:pPr>
              <w:pStyle w:val="12"/>
            </w:pPr>
            <w:r>
              <w:t>系统安装成本</w:t>
            </w:r>
          </w:p>
        </w:tc>
        <w:tc>
          <w:tcPr>
            <w:tcW w:w="5386" w:type="dxa"/>
            <w:vAlign w:val="center"/>
          </w:tcPr>
          <w:p w14:paraId="5E937C34">
            <w:pPr>
              <w:pStyle w:val="12"/>
            </w:pPr>
            <w:r>
              <w:t>专用设备购置安装成本</w:t>
            </w:r>
          </w:p>
        </w:tc>
        <w:tc>
          <w:tcPr>
            <w:tcW w:w="2268" w:type="dxa"/>
            <w:vAlign w:val="center"/>
          </w:tcPr>
          <w:p w14:paraId="06D655B3">
            <w:pPr>
              <w:pStyle w:val="12"/>
            </w:pPr>
            <w:r>
              <w:t>9.8万元</w:t>
            </w:r>
          </w:p>
        </w:tc>
        <w:tc>
          <w:tcPr>
            <w:tcW w:w="1276" w:type="dxa"/>
            <w:vAlign w:val="center"/>
          </w:tcPr>
          <w:p w14:paraId="5BCB9C9A">
            <w:pPr>
              <w:pStyle w:val="12"/>
            </w:pPr>
            <w:r>
              <w:t>项目规划</w:t>
            </w:r>
          </w:p>
        </w:tc>
      </w:tr>
      <w:tr w14:paraId="36FD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90C40">
            <w:pPr>
              <w:pStyle w:val="13"/>
            </w:pPr>
            <w:r>
              <w:t>效益指标</w:t>
            </w:r>
          </w:p>
        </w:tc>
        <w:tc>
          <w:tcPr>
            <w:tcW w:w="2268" w:type="dxa"/>
            <w:vAlign w:val="center"/>
          </w:tcPr>
          <w:p w14:paraId="6AD31AAF">
            <w:pPr>
              <w:pStyle w:val="12"/>
            </w:pPr>
            <w:r>
              <w:t>社会效益指标</w:t>
            </w:r>
          </w:p>
        </w:tc>
        <w:tc>
          <w:tcPr>
            <w:tcW w:w="2835" w:type="dxa"/>
            <w:vAlign w:val="center"/>
          </w:tcPr>
          <w:p w14:paraId="2F6301A4">
            <w:pPr>
              <w:pStyle w:val="12"/>
            </w:pPr>
            <w:r>
              <w:t>学校运转得到提升</w:t>
            </w:r>
          </w:p>
        </w:tc>
        <w:tc>
          <w:tcPr>
            <w:tcW w:w="5386" w:type="dxa"/>
            <w:vAlign w:val="center"/>
          </w:tcPr>
          <w:p w14:paraId="48678E41">
            <w:pPr>
              <w:pStyle w:val="12"/>
            </w:pPr>
            <w:r>
              <w:t>幼儿受教育年限</w:t>
            </w:r>
          </w:p>
        </w:tc>
        <w:tc>
          <w:tcPr>
            <w:tcW w:w="2268" w:type="dxa"/>
            <w:vAlign w:val="center"/>
          </w:tcPr>
          <w:p w14:paraId="203160AC">
            <w:pPr>
              <w:pStyle w:val="12"/>
            </w:pPr>
            <w:r>
              <w:t>3年</w:t>
            </w:r>
          </w:p>
        </w:tc>
        <w:tc>
          <w:tcPr>
            <w:tcW w:w="1276" w:type="dxa"/>
            <w:vAlign w:val="center"/>
          </w:tcPr>
          <w:p w14:paraId="29A8AAA5">
            <w:pPr>
              <w:pStyle w:val="12"/>
            </w:pPr>
            <w:r>
              <w:t>项目规划</w:t>
            </w:r>
          </w:p>
        </w:tc>
      </w:tr>
      <w:tr w14:paraId="19D6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5A7AF">
            <w:pPr>
              <w:pStyle w:val="13"/>
            </w:pPr>
            <w:r>
              <w:t>满意度指标</w:t>
            </w:r>
          </w:p>
        </w:tc>
        <w:tc>
          <w:tcPr>
            <w:tcW w:w="2268" w:type="dxa"/>
            <w:vAlign w:val="center"/>
          </w:tcPr>
          <w:p w14:paraId="4B1EE3A2">
            <w:pPr>
              <w:pStyle w:val="12"/>
            </w:pPr>
            <w:r>
              <w:t>服务对象满意度指标</w:t>
            </w:r>
          </w:p>
        </w:tc>
        <w:tc>
          <w:tcPr>
            <w:tcW w:w="2835" w:type="dxa"/>
            <w:vAlign w:val="center"/>
          </w:tcPr>
          <w:p w14:paraId="710EB3F1">
            <w:pPr>
              <w:pStyle w:val="12"/>
            </w:pPr>
            <w:r>
              <w:t>家长和学生满意度</w:t>
            </w:r>
          </w:p>
        </w:tc>
        <w:tc>
          <w:tcPr>
            <w:tcW w:w="5386" w:type="dxa"/>
            <w:vAlign w:val="center"/>
          </w:tcPr>
          <w:p w14:paraId="79C19BDE">
            <w:pPr>
              <w:pStyle w:val="12"/>
            </w:pPr>
            <w:r>
              <w:t>家长和学生满意度</w:t>
            </w:r>
          </w:p>
        </w:tc>
        <w:tc>
          <w:tcPr>
            <w:tcW w:w="2268" w:type="dxa"/>
            <w:vAlign w:val="center"/>
          </w:tcPr>
          <w:p w14:paraId="64411E16">
            <w:pPr>
              <w:pStyle w:val="12"/>
            </w:pPr>
            <w:r>
              <w:t>≥95%</w:t>
            </w:r>
          </w:p>
        </w:tc>
        <w:tc>
          <w:tcPr>
            <w:tcW w:w="1276" w:type="dxa"/>
            <w:vAlign w:val="center"/>
          </w:tcPr>
          <w:p w14:paraId="02A9EAE4">
            <w:pPr>
              <w:pStyle w:val="12"/>
            </w:pPr>
            <w:r>
              <w:t>问卷调查</w:t>
            </w:r>
          </w:p>
        </w:tc>
      </w:tr>
    </w:tbl>
    <w:p w14:paraId="0F4C1E74">
      <w:pPr>
        <w:sectPr>
          <w:pgSz w:w="16840" w:h="11900" w:orient="landscape"/>
          <w:pgMar w:top="1361" w:right="1020" w:bottom="1134" w:left="1020" w:header="720" w:footer="720" w:gutter="0"/>
          <w:cols w:space="720" w:num="1"/>
        </w:sectPr>
      </w:pPr>
    </w:p>
    <w:p w14:paraId="4367BBDF">
      <w:pPr>
        <w:spacing w:before="0" w:after="0"/>
        <w:ind w:firstLine="560"/>
        <w:jc w:val="left"/>
        <w:outlineLvl w:val="9"/>
      </w:pPr>
      <w:r>
        <w:rPr>
          <w:rFonts w:ascii="方正仿宋_GBK" w:hAnsi="方正仿宋_GBK" w:eastAsia="方正仿宋_GBK" w:cs="方正仿宋_GBK"/>
          <w:b/>
          <w:color w:val="000000"/>
          <w:sz w:val="28"/>
        </w:rPr>
        <w:t>12、冀财教[2025]147号/省级/2026年义教补助经费/牛家桥校区北吴疃小学公用经费绩效目标表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90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EA93D">
            <w:pPr>
              <w:pStyle w:val="11"/>
            </w:pPr>
            <w:r>
              <w:t>单位：万元</w:t>
            </w:r>
          </w:p>
        </w:tc>
      </w:tr>
      <w:tr w14:paraId="4BEDD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14C44">
            <w:pPr>
              <w:pStyle w:val="10"/>
            </w:pPr>
            <w:r>
              <w:t>项目编码</w:t>
            </w:r>
          </w:p>
        </w:tc>
        <w:tc>
          <w:tcPr>
            <w:tcW w:w="5103" w:type="dxa"/>
            <w:gridSpan w:val="2"/>
            <w:vAlign w:val="center"/>
          </w:tcPr>
          <w:p w14:paraId="0600A588">
            <w:pPr>
              <w:pStyle w:val="12"/>
            </w:pPr>
            <w:r>
              <w:t>13052526P000004103930</w:t>
            </w:r>
          </w:p>
        </w:tc>
        <w:tc>
          <w:tcPr>
            <w:tcW w:w="2835" w:type="dxa"/>
            <w:vAlign w:val="center"/>
          </w:tcPr>
          <w:p w14:paraId="58D4A56E">
            <w:pPr>
              <w:pStyle w:val="10"/>
            </w:pPr>
            <w:r>
              <w:t>项目名称</w:t>
            </w:r>
          </w:p>
        </w:tc>
        <w:tc>
          <w:tcPr>
            <w:tcW w:w="6095" w:type="dxa"/>
            <w:gridSpan w:val="3"/>
            <w:vAlign w:val="center"/>
          </w:tcPr>
          <w:p w14:paraId="68103D05">
            <w:pPr>
              <w:pStyle w:val="12"/>
            </w:pPr>
            <w:r>
              <w:t>冀财教[2025]147号/省级/2026年义教补助经费/牛家桥校区北吴疃小学公用经费</w:t>
            </w:r>
          </w:p>
        </w:tc>
      </w:tr>
      <w:tr w14:paraId="5EC77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54687">
            <w:pPr>
              <w:pStyle w:val="10"/>
            </w:pPr>
            <w:r>
              <w:t>预算规模及资金用途</w:t>
            </w:r>
          </w:p>
        </w:tc>
        <w:tc>
          <w:tcPr>
            <w:tcW w:w="2268" w:type="dxa"/>
            <w:vAlign w:val="center"/>
          </w:tcPr>
          <w:p w14:paraId="6345559F">
            <w:pPr>
              <w:pStyle w:val="10"/>
            </w:pPr>
            <w:r>
              <w:t>预算数</w:t>
            </w:r>
          </w:p>
        </w:tc>
        <w:tc>
          <w:tcPr>
            <w:tcW w:w="2835" w:type="dxa"/>
            <w:vAlign w:val="center"/>
          </w:tcPr>
          <w:p w14:paraId="3DA580E2">
            <w:pPr>
              <w:pStyle w:val="12"/>
            </w:pPr>
            <w:r>
              <w:t>3.14</w:t>
            </w:r>
          </w:p>
        </w:tc>
        <w:tc>
          <w:tcPr>
            <w:tcW w:w="2835" w:type="dxa"/>
            <w:vAlign w:val="center"/>
          </w:tcPr>
          <w:p w14:paraId="51A80C08">
            <w:pPr>
              <w:pStyle w:val="10"/>
            </w:pPr>
            <w:r>
              <w:t>其中：财政    资金</w:t>
            </w:r>
          </w:p>
        </w:tc>
        <w:tc>
          <w:tcPr>
            <w:tcW w:w="2551" w:type="dxa"/>
            <w:vAlign w:val="center"/>
          </w:tcPr>
          <w:p w14:paraId="7F51558E">
            <w:pPr>
              <w:pStyle w:val="12"/>
            </w:pPr>
            <w:r>
              <w:t>3.14</w:t>
            </w:r>
          </w:p>
        </w:tc>
        <w:tc>
          <w:tcPr>
            <w:tcW w:w="2268" w:type="dxa"/>
            <w:vAlign w:val="center"/>
          </w:tcPr>
          <w:p w14:paraId="62839DC5">
            <w:pPr>
              <w:pStyle w:val="10"/>
            </w:pPr>
            <w:r>
              <w:t>其他资金</w:t>
            </w:r>
          </w:p>
        </w:tc>
        <w:tc>
          <w:tcPr>
            <w:tcW w:w="1276" w:type="dxa"/>
            <w:vAlign w:val="center"/>
          </w:tcPr>
          <w:p w14:paraId="19D75C77">
            <w:pPr>
              <w:pStyle w:val="12"/>
            </w:pPr>
            <w:r>
              <w:t xml:space="preserve"> </w:t>
            </w:r>
          </w:p>
        </w:tc>
      </w:tr>
      <w:tr w14:paraId="305CA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58630"/>
        </w:tc>
        <w:tc>
          <w:tcPr>
            <w:tcW w:w="14033" w:type="dxa"/>
            <w:gridSpan w:val="6"/>
            <w:vAlign w:val="center"/>
          </w:tcPr>
          <w:p w14:paraId="5020430F">
            <w:pPr>
              <w:pStyle w:val="12"/>
            </w:pPr>
            <w:r>
              <w:t>有效完成学校教学安全秩序，保障学校教学任务有效开展，满足学校正常教学需要。</w:t>
            </w:r>
          </w:p>
        </w:tc>
      </w:tr>
      <w:tr w14:paraId="271A4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A583B">
            <w:pPr>
              <w:pStyle w:val="10"/>
            </w:pPr>
            <w:r>
              <w:t>资金支出计划（%）</w:t>
            </w:r>
          </w:p>
        </w:tc>
        <w:tc>
          <w:tcPr>
            <w:tcW w:w="5103" w:type="dxa"/>
            <w:gridSpan w:val="2"/>
            <w:vAlign w:val="center"/>
          </w:tcPr>
          <w:p w14:paraId="677751E1">
            <w:pPr>
              <w:pStyle w:val="10"/>
            </w:pPr>
            <w:r>
              <w:t>3月底</w:t>
            </w:r>
          </w:p>
        </w:tc>
        <w:tc>
          <w:tcPr>
            <w:tcW w:w="2835" w:type="dxa"/>
            <w:vAlign w:val="center"/>
          </w:tcPr>
          <w:p w14:paraId="2EEE51D9">
            <w:pPr>
              <w:pStyle w:val="10"/>
            </w:pPr>
            <w:r>
              <w:t>6月底</w:t>
            </w:r>
          </w:p>
        </w:tc>
        <w:tc>
          <w:tcPr>
            <w:tcW w:w="2551" w:type="dxa"/>
            <w:vAlign w:val="center"/>
          </w:tcPr>
          <w:p w14:paraId="6A5FC806">
            <w:pPr>
              <w:pStyle w:val="10"/>
            </w:pPr>
            <w:r>
              <w:t>10月底</w:t>
            </w:r>
          </w:p>
        </w:tc>
        <w:tc>
          <w:tcPr>
            <w:tcW w:w="3544" w:type="dxa"/>
            <w:gridSpan w:val="2"/>
            <w:vAlign w:val="center"/>
          </w:tcPr>
          <w:p w14:paraId="2F0643F0">
            <w:pPr>
              <w:pStyle w:val="10"/>
            </w:pPr>
            <w:r>
              <w:t>12月底</w:t>
            </w:r>
          </w:p>
        </w:tc>
      </w:tr>
      <w:tr w14:paraId="2A034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E8E31"/>
        </w:tc>
        <w:tc>
          <w:tcPr>
            <w:tcW w:w="5103" w:type="dxa"/>
            <w:gridSpan w:val="2"/>
            <w:vAlign w:val="center"/>
          </w:tcPr>
          <w:p w14:paraId="4441390C">
            <w:pPr>
              <w:pStyle w:val="13"/>
            </w:pPr>
            <w:r>
              <w:t>25%</w:t>
            </w:r>
          </w:p>
        </w:tc>
        <w:tc>
          <w:tcPr>
            <w:tcW w:w="2835" w:type="dxa"/>
            <w:vAlign w:val="center"/>
          </w:tcPr>
          <w:p w14:paraId="6D53F6E1">
            <w:pPr>
              <w:pStyle w:val="13"/>
            </w:pPr>
            <w:r>
              <w:t>50%</w:t>
            </w:r>
          </w:p>
        </w:tc>
        <w:tc>
          <w:tcPr>
            <w:tcW w:w="2551" w:type="dxa"/>
            <w:vAlign w:val="center"/>
          </w:tcPr>
          <w:p w14:paraId="1FDACD98">
            <w:pPr>
              <w:pStyle w:val="13"/>
            </w:pPr>
            <w:r>
              <w:t>75%</w:t>
            </w:r>
          </w:p>
        </w:tc>
        <w:tc>
          <w:tcPr>
            <w:tcW w:w="3544" w:type="dxa"/>
            <w:gridSpan w:val="2"/>
            <w:vAlign w:val="center"/>
          </w:tcPr>
          <w:p w14:paraId="4FB8B682">
            <w:pPr>
              <w:pStyle w:val="13"/>
            </w:pPr>
            <w:r>
              <w:t>100%</w:t>
            </w:r>
          </w:p>
        </w:tc>
      </w:tr>
      <w:tr w14:paraId="64F90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3BE42">
            <w:pPr>
              <w:pStyle w:val="10"/>
            </w:pPr>
            <w:r>
              <w:t>绩效目标</w:t>
            </w:r>
          </w:p>
        </w:tc>
        <w:tc>
          <w:tcPr>
            <w:tcW w:w="14033" w:type="dxa"/>
            <w:gridSpan w:val="6"/>
            <w:vAlign w:val="center"/>
          </w:tcPr>
          <w:p w14:paraId="6CD046E5">
            <w:pPr>
              <w:pStyle w:val="12"/>
            </w:pPr>
            <w:r>
              <w:t>1.有效完成学校教学安全秩序，保障学校教学任务有效开展，满足学校正常教学需要。</w:t>
            </w:r>
          </w:p>
          <w:p w14:paraId="6D587541">
            <w:pPr>
              <w:pStyle w:val="12"/>
            </w:pPr>
            <w:r>
              <w:t>2.按规定拨付公用经费资金，预算执行率≥98%。</w:t>
            </w:r>
          </w:p>
        </w:tc>
      </w:tr>
    </w:tbl>
    <w:p w14:paraId="1A1E5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D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7D35A">
            <w:pPr>
              <w:pStyle w:val="10"/>
            </w:pPr>
            <w:r>
              <w:t>一级指标</w:t>
            </w:r>
          </w:p>
        </w:tc>
        <w:tc>
          <w:tcPr>
            <w:tcW w:w="2268" w:type="dxa"/>
            <w:vAlign w:val="center"/>
          </w:tcPr>
          <w:p w14:paraId="1CD563AF">
            <w:pPr>
              <w:pStyle w:val="10"/>
            </w:pPr>
            <w:r>
              <w:t>二级指标</w:t>
            </w:r>
          </w:p>
        </w:tc>
        <w:tc>
          <w:tcPr>
            <w:tcW w:w="2835" w:type="dxa"/>
            <w:vAlign w:val="center"/>
          </w:tcPr>
          <w:p w14:paraId="0ECCA6FB">
            <w:pPr>
              <w:pStyle w:val="10"/>
            </w:pPr>
            <w:r>
              <w:t>三级指标</w:t>
            </w:r>
          </w:p>
        </w:tc>
        <w:tc>
          <w:tcPr>
            <w:tcW w:w="5386" w:type="dxa"/>
            <w:vAlign w:val="center"/>
          </w:tcPr>
          <w:p w14:paraId="1201F956">
            <w:pPr>
              <w:pStyle w:val="10"/>
            </w:pPr>
            <w:r>
              <w:t>绩效指标描述</w:t>
            </w:r>
          </w:p>
        </w:tc>
        <w:tc>
          <w:tcPr>
            <w:tcW w:w="2268" w:type="dxa"/>
            <w:vAlign w:val="center"/>
          </w:tcPr>
          <w:p w14:paraId="69911DD3">
            <w:pPr>
              <w:pStyle w:val="10"/>
            </w:pPr>
            <w:r>
              <w:t>指标值</w:t>
            </w:r>
          </w:p>
        </w:tc>
        <w:tc>
          <w:tcPr>
            <w:tcW w:w="1276" w:type="dxa"/>
            <w:vAlign w:val="center"/>
          </w:tcPr>
          <w:p w14:paraId="2BBAA9A7">
            <w:pPr>
              <w:pStyle w:val="10"/>
            </w:pPr>
            <w:r>
              <w:t>指标值确定依据</w:t>
            </w:r>
          </w:p>
        </w:tc>
      </w:tr>
      <w:tr w14:paraId="640C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0E1D8">
            <w:pPr>
              <w:pStyle w:val="13"/>
            </w:pPr>
            <w:r>
              <w:t>产出指标</w:t>
            </w:r>
          </w:p>
        </w:tc>
        <w:tc>
          <w:tcPr>
            <w:tcW w:w="2268" w:type="dxa"/>
            <w:vAlign w:val="center"/>
          </w:tcPr>
          <w:p w14:paraId="100357DD">
            <w:pPr>
              <w:pStyle w:val="12"/>
            </w:pPr>
            <w:r>
              <w:t>成本指标</w:t>
            </w:r>
          </w:p>
        </w:tc>
        <w:tc>
          <w:tcPr>
            <w:tcW w:w="2835" w:type="dxa"/>
            <w:vAlign w:val="center"/>
          </w:tcPr>
          <w:p w14:paraId="323BB4A5">
            <w:pPr>
              <w:pStyle w:val="12"/>
            </w:pPr>
            <w:r>
              <w:t>生均拨款标准</w:t>
            </w:r>
          </w:p>
        </w:tc>
        <w:tc>
          <w:tcPr>
            <w:tcW w:w="5386" w:type="dxa"/>
            <w:vAlign w:val="center"/>
          </w:tcPr>
          <w:p w14:paraId="330CE266">
            <w:pPr>
              <w:pStyle w:val="12"/>
            </w:pPr>
            <w:r>
              <w:t>小学生公用经费生均小学720元。取暖费120元/生/年，随班就读学生补助7000元/生</w:t>
            </w:r>
          </w:p>
        </w:tc>
        <w:tc>
          <w:tcPr>
            <w:tcW w:w="2268" w:type="dxa"/>
            <w:vAlign w:val="center"/>
          </w:tcPr>
          <w:p w14:paraId="24486287">
            <w:pPr>
              <w:pStyle w:val="12"/>
            </w:pPr>
            <w:r>
              <w:t>840元</w:t>
            </w:r>
          </w:p>
        </w:tc>
        <w:tc>
          <w:tcPr>
            <w:tcW w:w="1276" w:type="dxa"/>
            <w:vAlign w:val="center"/>
          </w:tcPr>
          <w:p w14:paraId="5466EB40">
            <w:pPr>
              <w:pStyle w:val="12"/>
            </w:pPr>
            <w:r>
              <w:t>城乡义务教育公用经费管理办法</w:t>
            </w:r>
          </w:p>
        </w:tc>
      </w:tr>
      <w:tr w14:paraId="26754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282E6"/>
        </w:tc>
        <w:tc>
          <w:tcPr>
            <w:tcW w:w="2268" w:type="dxa"/>
            <w:vAlign w:val="center"/>
          </w:tcPr>
          <w:p w14:paraId="3FDC63D8">
            <w:pPr>
              <w:pStyle w:val="12"/>
            </w:pPr>
            <w:r>
              <w:t>数量指标</w:t>
            </w:r>
          </w:p>
        </w:tc>
        <w:tc>
          <w:tcPr>
            <w:tcW w:w="2835" w:type="dxa"/>
            <w:vAlign w:val="center"/>
          </w:tcPr>
          <w:p w14:paraId="18FC01F7">
            <w:pPr>
              <w:pStyle w:val="12"/>
            </w:pPr>
            <w:r>
              <w:t>就读学生数</w:t>
            </w:r>
          </w:p>
        </w:tc>
        <w:tc>
          <w:tcPr>
            <w:tcW w:w="5386" w:type="dxa"/>
            <w:vAlign w:val="center"/>
          </w:tcPr>
          <w:p w14:paraId="07E5FC7D">
            <w:pPr>
              <w:pStyle w:val="12"/>
            </w:pPr>
            <w:r>
              <w:t>辐射区域内适龄学生人数</w:t>
            </w:r>
          </w:p>
        </w:tc>
        <w:tc>
          <w:tcPr>
            <w:tcW w:w="2268" w:type="dxa"/>
            <w:vAlign w:val="center"/>
          </w:tcPr>
          <w:p w14:paraId="5856F8BE">
            <w:pPr>
              <w:pStyle w:val="12"/>
            </w:pPr>
            <w:r>
              <w:t>113人</w:t>
            </w:r>
          </w:p>
        </w:tc>
        <w:tc>
          <w:tcPr>
            <w:tcW w:w="1276" w:type="dxa"/>
            <w:vAlign w:val="center"/>
          </w:tcPr>
          <w:p w14:paraId="5E737272">
            <w:pPr>
              <w:pStyle w:val="12"/>
            </w:pPr>
            <w:r>
              <w:t>城乡义务教育公用经费管理办法</w:t>
            </w:r>
          </w:p>
        </w:tc>
      </w:tr>
      <w:tr w14:paraId="4014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48D64"/>
        </w:tc>
        <w:tc>
          <w:tcPr>
            <w:tcW w:w="2268" w:type="dxa"/>
            <w:vAlign w:val="center"/>
          </w:tcPr>
          <w:p w14:paraId="3638DB7F">
            <w:pPr>
              <w:pStyle w:val="12"/>
            </w:pPr>
            <w:r>
              <w:t>质量指标</w:t>
            </w:r>
          </w:p>
        </w:tc>
        <w:tc>
          <w:tcPr>
            <w:tcW w:w="2835" w:type="dxa"/>
            <w:vAlign w:val="center"/>
          </w:tcPr>
          <w:p w14:paraId="765ABFB6">
            <w:pPr>
              <w:pStyle w:val="12"/>
            </w:pPr>
            <w:r>
              <w:t>预算执行率</w:t>
            </w:r>
          </w:p>
        </w:tc>
        <w:tc>
          <w:tcPr>
            <w:tcW w:w="5386" w:type="dxa"/>
            <w:vAlign w:val="center"/>
          </w:tcPr>
          <w:p w14:paraId="5EB9E82F">
            <w:pPr>
              <w:pStyle w:val="12"/>
            </w:pPr>
            <w:r>
              <w:t>预算执行率≥98%</w:t>
            </w:r>
          </w:p>
        </w:tc>
        <w:tc>
          <w:tcPr>
            <w:tcW w:w="2268" w:type="dxa"/>
            <w:vAlign w:val="center"/>
          </w:tcPr>
          <w:p w14:paraId="53D58A69">
            <w:pPr>
              <w:pStyle w:val="12"/>
            </w:pPr>
            <w:r>
              <w:t>98%</w:t>
            </w:r>
          </w:p>
        </w:tc>
        <w:tc>
          <w:tcPr>
            <w:tcW w:w="1276" w:type="dxa"/>
            <w:vAlign w:val="center"/>
          </w:tcPr>
          <w:p w14:paraId="41663D9B">
            <w:pPr>
              <w:pStyle w:val="12"/>
            </w:pPr>
            <w:r>
              <w:t>城乡义务教育公用经费管理办法</w:t>
            </w:r>
          </w:p>
        </w:tc>
      </w:tr>
      <w:tr w14:paraId="2DC5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FEFB0"/>
        </w:tc>
        <w:tc>
          <w:tcPr>
            <w:tcW w:w="2268" w:type="dxa"/>
            <w:vAlign w:val="center"/>
          </w:tcPr>
          <w:p w14:paraId="495C66E0">
            <w:pPr>
              <w:pStyle w:val="12"/>
            </w:pPr>
            <w:r>
              <w:t>时效指标</w:t>
            </w:r>
          </w:p>
        </w:tc>
        <w:tc>
          <w:tcPr>
            <w:tcW w:w="2835" w:type="dxa"/>
            <w:vAlign w:val="center"/>
          </w:tcPr>
          <w:p w14:paraId="468D63AB">
            <w:pPr>
              <w:pStyle w:val="12"/>
            </w:pPr>
            <w:r>
              <w:t>义教经费支付完成率</w:t>
            </w:r>
          </w:p>
        </w:tc>
        <w:tc>
          <w:tcPr>
            <w:tcW w:w="5386" w:type="dxa"/>
            <w:vAlign w:val="center"/>
          </w:tcPr>
          <w:p w14:paraId="6BF9F977">
            <w:pPr>
              <w:pStyle w:val="12"/>
            </w:pPr>
            <w:r>
              <w:t>按照序时进度完成资金支付</w:t>
            </w:r>
          </w:p>
        </w:tc>
        <w:tc>
          <w:tcPr>
            <w:tcW w:w="2268" w:type="dxa"/>
            <w:vAlign w:val="center"/>
          </w:tcPr>
          <w:p w14:paraId="2F36A81E">
            <w:pPr>
              <w:pStyle w:val="12"/>
            </w:pPr>
            <w:r>
              <w:t>100%</w:t>
            </w:r>
          </w:p>
        </w:tc>
        <w:tc>
          <w:tcPr>
            <w:tcW w:w="1276" w:type="dxa"/>
            <w:vAlign w:val="center"/>
          </w:tcPr>
          <w:p w14:paraId="70B2FCCE">
            <w:pPr>
              <w:pStyle w:val="12"/>
            </w:pPr>
            <w:r>
              <w:t>城乡义务教育公用经费管理办法</w:t>
            </w:r>
          </w:p>
        </w:tc>
      </w:tr>
      <w:tr w14:paraId="1EC7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7AAF0">
            <w:pPr>
              <w:pStyle w:val="13"/>
            </w:pPr>
            <w:r>
              <w:t>效益指标</w:t>
            </w:r>
          </w:p>
        </w:tc>
        <w:tc>
          <w:tcPr>
            <w:tcW w:w="2268" w:type="dxa"/>
            <w:vAlign w:val="center"/>
          </w:tcPr>
          <w:p w14:paraId="761F131B">
            <w:pPr>
              <w:pStyle w:val="12"/>
            </w:pPr>
            <w:r>
              <w:t>社会效益指标</w:t>
            </w:r>
          </w:p>
        </w:tc>
        <w:tc>
          <w:tcPr>
            <w:tcW w:w="2835" w:type="dxa"/>
            <w:vAlign w:val="center"/>
          </w:tcPr>
          <w:p w14:paraId="1A1A140B">
            <w:pPr>
              <w:pStyle w:val="12"/>
            </w:pPr>
            <w:r>
              <w:t>学校运转得到提高</w:t>
            </w:r>
          </w:p>
        </w:tc>
        <w:tc>
          <w:tcPr>
            <w:tcW w:w="5386" w:type="dxa"/>
            <w:vAlign w:val="center"/>
          </w:tcPr>
          <w:p w14:paraId="66127B0A">
            <w:pPr>
              <w:pStyle w:val="12"/>
            </w:pPr>
            <w:r>
              <w:t>学生受教育年限</w:t>
            </w:r>
          </w:p>
        </w:tc>
        <w:tc>
          <w:tcPr>
            <w:tcW w:w="2268" w:type="dxa"/>
            <w:vAlign w:val="center"/>
          </w:tcPr>
          <w:p w14:paraId="3A6C48C6">
            <w:pPr>
              <w:pStyle w:val="12"/>
            </w:pPr>
            <w:r>
              <w:t>6年</w:t>
            </w:r>
          </w:p>
        </w:tc>
        <w:tc>
          <w:tcPr>
            <w:tcW w:w="1276" w:type="dxa"/>
            <w:vAlign w:val="center"/>
          </w:tcPr>
          <w:p w14:paraId="708C453A">
            <w:pPr>
              <w:pStyle w:val="12"/>
            </w:pPr>
            <w:r>
              <w:t>城乡义务教育公用经费管理办法</w:t>
            </w:r>
          </w:p>
        </w:tc>
      </w:tr>
      <w:tr w14:paraId="0705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C8091">
            <w:pPr>
              <w:pStyle w:val="13"/>
            </w:pPr>
            <w:r>
              <w:t>满意度指标</w:t>
            </w:r>
          </w:p>
        </w:tc>
        <w:tc>
          <w:tcPr>
            <w:tcW w:w="2268" w:type="dxa"/>
            <w:vAlign w:val="center"/>
          </w:tcPr>
          <w:p w14:paraId="6F79B948">
            <w:pPr>
              <w:pStyle w:val="12"/>
            </w:pPr>
            <w:r>
              <w:t>服务对象满意度指标</w:t>
            </w:r>
          </w:p>
        </w:tc>
        <w:tc>
          <w:tcPr>
            <w:tcW w:w="2835" w:type="dxa"/>
            <w:vAlign w:val="center"/>
          </w:tcPr>
          <w:p w14:paraId="7264CF80">
            <w:pPr>
              <w:pStyle w:val="12"/>
            </w:pPr>
            <w:r>
              <w:t>服务对象满意度</w:t>
            </w:r>
          </w:p>
        </w:tc>
        <w:tc>
          <w:tcPr>
            <w:tcW w:w="5386" w:type="dxa"/>
            <w:vAlign w:val="center"/>
          </w:tcPr>
          <w:p w14:paraId="4BAD8534">
            <w:pPr>
              <w:pStyle w:val="12"/>
            </w:pPr>
            <w:r>
              <w:t>学校老师和学生满意度</w:t>
            </w:r>
          </w:p>
        </w:tc>
        <w:tc>
          <w:tcPr>
            <w:tcW w:w="2268" w:type="dxa"/>
            <w:vAlign w:val="center"/>
          </w:tcPr>
          <w:p w14:paraId="1B06A475">
            <w:pPr>
              <w:pStyle w:val="12"/>
            </w:pPr>
            <w:r>
              <w:t>≥95%</w:t>
            </w:r>
          </w:p>
        </w:tc>
        <w:tc>
          <w:tcPr>
            <w:tcW w:w="1276" w:type="dxa"/>
            <w:vAlign w:val="center"/>
          </w:tcPr>
          <w:p w14:paraId="3CA1868F">
            <w:pPr>
              <w:pStyle w:val="12"/>
            </w:pPr>
            <w:r>
              <w:t>问卷调查</w:t>
            </w:r>
          </w:p>
        </w:tc>
      </w:tr>
    </w:tbl>
    <w:p w14:paraId="587C74E4">
      <w:pPr>
        <w:sectPr>
          <w:pgSz w:w="16840" w:h="11900" w:orient="landscape"/>
          <w:pgMar w:top="1361" w:right="1020" w:bottom="1134" w:left="1020" w:header="720" w:footer="720" w:gutter="0"/>
          <w:cols w:space="720" w:num="1"/>
        </w:sectPr>
      </w:pPr>
    </w:p>
    <w:p w14:paraId="5A4B58E3">
      <w:pPr>
        <w:spacing w:before="0" w:after="0"/>
        <w:ind w:firstLine="560"/>
        <w:jc w:val="left"/>
        <w:outlineLvl w:val="9"/>
      </w:pPr>
      <w:r>
        <w:rPr>
          <w:rFonts w:ascii="方正仿宋_GBK" w:hAnsi="方正仿宋_GBK" w:eastAsia="方正仿宋_GBK" w:cs="方正仿宋_GBK"/>
          <w:b/>
          <w:color w:val="000000"/>
          <w:sz w:val="28"/>
        </w:rPr>
        <w:t>13、冀财教[2025]147号/省级/2026年义教补助经费/牛家桥校区旧城小学公用经费绩效目标表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50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9CEAA">
            <w:pPr>
              <w:pStyle w:val="11"/>
            </w:pPr>
            <w:r>
              <w:t>单位：万元</w:t>
            </w:r>
          </w:p>
        </w:tc>
      </w:tr>
      <w:tr w14:paraId="4A5C3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FBA99">
            <w:pPr>
              <w:pStyle w:val="10"/>
            </w:pPr>
            <w:r>
              <w:t>项目编码</w:t>
            </w:r>
          </w:p>
        </w:tc>
        <w:tc>
          <w:tcPr>
            <w:tcW w:w="5103" w:type="dxa"/>
            <w:gridSpan w:val="2"/>
            <w:vAlign w:val="center"/>
          </w:tcPr>
          <w:p w14:paraId="3D48F075">
            <w:pPr>
              <w:pStyle w:val="12"/>
            </w:pPr>
            <w:r>
              <w:t>13052526P00000410392C</w:t>
            </w:r>
          </w:p>
        </w:tc>
        <w:tc>
          <w:tcPr>
            <w:tcW w:w="2835" w:type="dxa"/>
            <w:vAlign w:val="center"/>
          </w:tcPr>
          <w:p w14:paraId="16F7A801">
            <w:pPr>
              <w:pStyle w:val="10"/>
            </w:pPr>
            <w:r>
              <w:t>项目名称</w:t>
            </w:r>
          </w:p>
        </w:tc>
        <w:tc>
          <w:tcPr>
            <w:tcW w:w="6095" w:type="dxa"/>
            <w:gridSpan w:val="3"/>
            <w:vAlign w:val="center"/>
          </w:tcPr>
          <w:p w14:paraId="397FF0FE">
            <w:pPr>
              <w:pStyle w:val="12"/>
            </w:pPr>
            <w:r>
              <w:t>冀财教[2025]147号/省级/2026年义教补助经费/牛家桥校区旧城小学公用经费</w:t>
            </w:r>
          </w:p>
        </w:tc>
      </w:tr>
      <w:tr w14:paraId="4CD25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51E32">
            <w:pPr>
              <w:pStyle w:val="10"/>
            </w:pPr>
            <w:r>
              <w:t>预算规模及资金用途</w:t>
            </w:r>
          </w:p>
        </w:tc>
        <w:tc>
          <w:tcPr>
            <w:tcW w:w="2268" w:type="dxa"/>
            <w:vAlign w:val="center"/>
          </w:tcPr>
          <w:p w14:paraId="0DC0AB11">
            <w:pPr>
              <w:pStyle w:val="10"/>
            </w:pPr>
            <w:r>
              <w:t>预算数</w:t>
            </w:r>
          </w:p>
        </w:tc>
        <w:tc>
          <w:tcPr>
            <w:tcW w:w="2835" w:type="dxa"/>
            <w:vAlign w:val="center"/>
          </w:tcPr>
          <w:p w14:paraId="6EA20A06">
            <w:pPr>
              <w:pStyle w:val="12"/>
            </w:pPr>
            <w:r>
              <w:t>18.99</w:t>
            </w:r>
          </w:p>
        </w:tc>
        <w:tc>
          <w:tcPr>
            <w:tcW w:w="2835" w:type="dxa"/>
            <w:vAlign w:val="center"/>
          </w:tcPr>
          <w:p w14:paraId="42229AC8">
            <w:pPr>
              <w:pStyle w:val="10"/>
            </w:pPr>
            <w:r>
              <w:t>其中：财政    资金</w:t>
            </w:r>
          </w:p>
        </w:tc>
        <w:tc>
          <w:tcPr>
            <w:tcW w:w="2551" w:type="dxa"/>
            <w:vAlign w:val="center"/>
          </w:tcPr>
          <w:p w14:paraId="4139F23F">
            <w:pPr>
              <w:pStyle w:val="12"/>
            </w:pPr>
            <w:r>
              <w:t>18.99</w:t>
            </w:r>
          </w:p>
        </w:tc>
        <w:tc>
          <w:tcPr>
            <w:tcW w:w="2268" w:type="dxa"/>
            <w:vAlign w:val="center"/>
          </w:tcPr>
          <w:p w14:paraId="1C0C3BEF">
            <w:pPr>
              <w:pStyle w:val="10"/>
            </w:pPr>
            <w:r>
              <w:t>其他资金</w:t>
            </w:r>
          </w:p>
        </w:tc>
        <w:tc>
          <w:tcPr>
            <w:tcW w:w="1276" w:type="dxa"/>
            <w:vAlign w:val="center"/>
          </w:tcPr>
          <w:p w14:paraId="5B766505">
            <w:pPr>
              <w:pStyle w:val="12"/>
            </w:pPr>
            <w:r>
              <w:t xml:space="preserve"> </w:t>
            </w:r>
          </w:p>
        </w:tc>
      </w:tr>
      <w:tr w14:paraId="43CBE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41280"/>
        </w:tc>
        <w:tc>
          <w:tcPr>
            <w:tcW w:w="14033" w:type="dxa"/>
            <w:gridSpan w:val="6"/>
            <w:vAlign w:val="center"/>
          </w:tcPr>
          <w:p w14:paraId="37B9F192">
            <w:pPr>
              <w:pStyle w:val="12"/>
            </w:pPr>
            <w:r>
              <w:t>有效完成学校教学安全秩序，保障学校教学任务有效开展，满足学校正常教学需要。</w:t>
            </w:r>
          </w:p>
        </w:tc>
      </w:tr>
      <w:tr w14:paraId="0DA0D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4EA30">
            <w:pPr>
              <w:pStyle w:val="10"/>
            </w:pPr>
            <w:r>
              <w:t>资金支出计划（%）</w:t>
            </w:r>
          </w:p>
        </w:tc>
        <w:tc>
          <w:tcPr>
            <w:tcW w:w="5103" w:type="dxa"/>
            <w:gridSpan w:val="2"/>
            <w:vAlign w:val="center"/>
          </w:tcPr>
          <w:p w14:paraId="32C10EC9">
            <w:pPr>
              <w:pStyle w:val="10"/>
            </w:pPr>
            <w:r>
              <w:t>3月底</w:t>
            </w:r>
          </w:p>
        </w:tc>
        <w:tc>
          <w:tcPr>
            <w:tcW w:w="2835" w:type="dxa"/>
            <w:vAlign w:val="center"/>
          </w:tcPr>
          <w:p w14:paraId="3CC2F227">
            <w:pPr>
              <w:pStyle w:val="10"/>
            </w:pPr>
            <w:r>
              <w:t>6月底</w:t>
            </w:r>
          </w:p>
        </w:tc>
        <w:tc>
          <w:tcPr>
            <w:tcW w:w="2551" w:type="dxa"/>
            <w:vAlign w:val="center"/>
          </w:tcPr>
          <w:p w14:paraId="22CF3E5A">
            <w:pPr>
              <w:pStyle w:val="10"/>
            </w:pPr>
            <w:r>
              <w:t>10月底</w:t>
            </w:r>
          </w:p>
        </w:tc>
        <w:tc>
          <w:tcPr>
            <w:tcW w:w="3544" w:type="dxa"/>
            <w:gridSpan w:val="2"/>
            <w:vAlign w:val="center"/>
          </w:tcPr>
          <w:p w14:paraId="50354973">
            <w:pPr>
              <w:pStyle w:val="10"/>
            </w:pPr>
            <w:r>
              <w:t>12月底</w:t>
            </w:r>
          </w:p>
        </w:tc>
      </w:tr>
      <w:tr w14:paraId="165A5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719F3"/>
        </w:tc>
        <w:tc>
          <w:tcPr>
            <w:tcW w:w="5103" w:type="dxa"/>
            <w:gridSpan w:val="2"/>
            <w:vAlign w:val="center"/>
          </w:tcPr>
          <w:p w14:paraId="7F3EA161">
            <w:pPr>
              <w:pStyle w:val="13"/>
            </w:pPr>
            <w:r>
              <w:t>25%</w:t>
            </w:r>
          </w:p>
        </w:tc>
        <w:tc>
          <w:tcPr>
            <w:tcW w:w="2835" w:type="dxa"/>
            <w:vAlign w:val="center"/>
          </w:tcPr>
          <w:p w14:paraId="4F7A12FB">
            <w:pPr>
              <w:pStyle w:val="13"/>
            </w:pPr>
            <w:r>
              <w:t>50%</w:t>
            </w:r>
          </w:p>
        </w:tc>
        <w:tc>
          <w:tcPr>
            <w:tcW w:w="2551" w:type="dxa"/>
            <w:vAlign w:val="center"/>
          </w:tcPr>
          <w:p w14:paraId="7DAFD995">
            <w:pPr>
              <w:pStyle w:val="13"/>
            </w:pPr>
            <w:r>
              <w:t>75%</w:t>
            </w:r>
          </w:p>
        </w:tc>
        <w:tc>
          <w:tcPr>
            <w:tcW w:w="3544" w:type="dxa"/>
            <w:gridSpan w:val="2"/>
            <w:vAlign w:val="center"/>
          </w:tcPr>
          <w:p w14:paraId="62FEAE5F">
            <w:pPr>
              <w:pStyle w:val="13"/>
            </w:pPr>
            <w:r>
              <w:t>100%</w:t>
            </w:r>
          </w:p>
        </w:tc>
      </w:tr>
      <w:tr w14:paraId="75EBB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C14DA">
            <w:pPr>
              <w:pStyle w:val="10"/>
            </w:pPr>
            <w:r>
              <w:t>绩效目标</w:t>
            </w:r>
          </w:p>
        </w:tc>
        <w:tc>
          <w:tcPr>
            <w:tcW w:w="14033" w:type="dxa"/>
            <w:gridSpan w:val="6"/>
            <w:vAlign w:val="center"/>
          </w:tcPr>
          <w:p w14:paraId="4DAA7D9F">
            <w:pPr>
              <w:pStyle w:val="12"/>
            </w:pPr>
            <w:r>
              <w:t>1.有效完成学校教学安全秩序，保障学校教学任务有效开展，满足学校正常教学需要。</w:t>
            </w:r>
          </w:p>
          <w:p w14:paraId="047653C3">
            <w:pPr>
              <w:pStyle w:val="12"/>
            </w:pPr>
            <w:r>
              <w:t>2.按规定拨付公用经费资金，预算执行率≥98%。</w:t>
            </w:r>
          </w:p>
        </w:tc>
      </w:tr>
    </w:tbl>
    <w:p w14:paraId="69A81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A7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5D31B">
            <w:pPr>
              <w:pStyle w:val="10"/>
            </w:pPr>
            <w:r>
              <w:t>一级指标</w:t>
            </w:r>
          </w:p>
        </w:tc>
        <w:tc>
          <w:tcPr>
            <w:tcW w:w="2268" w:type="dxa"/>
            <w:vAlign w:val="center"/>
          </w:tcPr>
          <w:p w14:paraId="452FAAE6">
            <w:pPr>
              <w:pStyle w:val="10"/>
            </w:pPr>
            <w:r>
              <w:t>二级指标</w:t>
            </w:r>
          </w:p>
        </w:tc>
        <w:tc>
          <w:tcPr>
            <w:tcW w:w="2835" w:type="dxa"/>
            <w:vAlign w:val="center"/>
          </w:tcPr>
          <w:p w14:paraId="5B6E85DB">
            <w:pPr>
              <w:pStyle w:val="10"/>
            </w:pPr>
            <w:r>
              <w:t>三级指标</w:t>
            </w:r>
          </w:p>
        </w:tc>
        <w:tc>
          <w:tcPr>
            <w:tcW w:w="5386" w:type="dxa"/>
            <w:vAlign w:val="center"/>
          </w:tcPr>
          <w:p w14:paraId="7FF781BC">
            <w:pPr>
              <w:pStyle w:val="10"/>
            </w:pPr>
            <w:r>
              <w:t>绩效指标描述</w:t>
            </w:r>
          </w:p>
        </w:tc>
        <w:tc>
          <w:tcPr>
            <w:tcW w:w="2268" w:type="dxa"/>
            <w:vAlign w:val="center"/>
          </w:tcPr>
          <w:p w14:paraId="045BA1F3">
            <w:pPr>
              <w:pStyle w:val="10"/>
            </w:pPr>
            <w:r>
              <w:t>指标值</w:t>
            </w:r>
          </w:p>
        </w:tc>
        <w:tc>
          <w:tcPr>
            <w:tcW w:w="1276" w:type="dxa"/>
            <w:vAlign w:val="center"/>
          </w:tcPr>
          <w:p w14:paraId="720551FD">
            <w:pPr>
              <w:pStyle w:val="10"/>
            </w:pPr>
            <w:r>
              <w:t>指标值确定依据</w:t>
            </w:r>
          </w:p>
        </w:tc>
      </w:tr>
      <w:tr w14:paraId="5A553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ADD06">
            <w:pPr>
              <w:pStyle w:val="13"/>
            </w:pPr>
            <w:r>
              <w:t>产出指标</w:t>
            </w:r>
          </w:p>
        </w:tc>
        <w:tc>
          <w:tcPr>
            <w:tcW w:w="2268" w:type="dxa"/>
            <w:vAlign w:val="center"/>
          </w:tcPr>
          <w:p w14:paraId="2C6A741D">
            <w:pPr>
              <w:pStyle w:val="12"/>
            </w:pPr>
            <w:r>
              <w:t>成本指标</w:t>
            </w:r>
          </w:p>
        </w:tc>
        <w:tc>
          <w:tcPr>
            <w:tcW w:w="2835" w:type="dxa"/>
            <w:vAlign w:val="center"/>
          </w:tcPr>
          <w:p w14:paraId="15E626EC">
            <w:pPr>
              <w:pStyle w:val="12"/>
            </w:pPr>
            <w:r>
              <w:t>生均拨款标准</w:t>
            </w:r>
          </w:p>
        </w:tc>
        <w:tc>
          <w:tcPr>
            <w:tcW w:w="5386" w:type="dxa"/>
            <w:vAlign w:val="center"/>
          </w:tcPr>
          <w:p w14:paraId="266413B5">
            <w:pPr>
              <w:pStyle w:val="12"/>
            </w:pPr>
            <w:r>
              <w:t>小学生公用经费生均小学720元。取暖费120元/生/年，随班就读学生补助7000元/生</w:t>
            </w:r>
          </w:p>
        </w:tc>
        <w:tc>
          <w:tcPr>
            <w:tcW w:w="2268" w:type="dxa"/>
            <w:vAlign w:val="center"/>
          </w:tcPr>
          <w:p w14:paraId="33959A7C">
            <w:pPr>
              <w:pStyle w:val="12"/>
            </w:pPr>
            <w:r>
              <w:t>840元</w:t>
            </w:r>
          </w:p>
        </w:tc>
        <w:tc>
          <w:tcPr>
            <w:tcW w:w="1276" w:type="dxa"/>
            <w:vAlign w:val="center"/>
          </w:tcPr>
          <w:p w14:paraId="4E91CFF3">
            <w:pPr>
              <w:pStyle w:val="12"/>
            </w:pPr>
            <w:r>
              <w:t>城乡义务教育公用经费管理办法</w:t>
            </w:r>
          </w:p>
        </w:tc>
      </w:tr>
      <w:tr w14:paraId="2A7A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1A51"/>
        </w:tc>
        <w:tc>
          <w:tcPr>
            <w:tcW w:w="2268" w:type="dxa"/>
            <w:vAlign w:val="center"/>
          </w:tcPr>
          <w:p w14:paraId="29BEF961">
            <w:pPr>
              <w:pStyle w:val="12"/>
            </w:pPr>
            <w:r>
              <w:t>数量指标</w:t>
            </w:r>
          </w:p>
        </w:tc>
        <w:tc>
          <w:tcPr>
            <w:tcW w:w="2835" w:type="dxa"/>
            <w:vAlign w:val="center"/>
          </w:tcPr>
          <w:p w14:paraId="29A647DD">
            <w:pPr>
              <w:pStyle w:val="12"/>
            </w:pPr>
            <w:r>
              <w:t>就读学生数</w:t>
            </w:r>
          </w:p>
        </w:tc>
        <w:tc>
          <w:tcPr>
            <w:tcW w:w="5386" w:type="dxa"/>
            <w:vAlign w:val="center"/>
          </w:tcPr>
          <w:p w14:paraId="0C0A3341">
            <w:pPr>
              <w:pStyle w:val="12"/>
            </w:pPr>
            <w:r>
              <w:t>辐射区域内适龄学生人数</w:t>
            </w:r>
          </w:p>
        </w:tc>
        <w:tc>
          <w:tcPr>
            <w:tcW w:w="2268" w:type="dxa"/>
            <w:vAlign w:val="center"/>
          </w:tcPr>
          <w:p w14:paraId="03A28F16">
            <w:pPr>
              <w:pStyle w:val="12"/>
            </w:pPr>
            <w:r>
              <w:t>560人</w:t>
            </w:r>
          </w:p>
        </w:tc>
        <w:tc>
          <w:tcPr>
            <w:tcW w:w="1276" w:type="dxa"/>
            <w:vAlign w:val="center"/>
          </w:tcPr>
          <w:p w14:paraId="5410AB50">
            <w:pPr>
              <w:pStyle w:val="12"/>
            </w:pPr>
            <w:r>
              <w:t>城乡义务教育公用经费管理办法</w:t>
            </w:r>
          </w:p>
        </w:tc>
      </w:tr>
      <w:tr w14:paraId="25F3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D412E"/>
        </w:tc>
        <w:tc>
          <w:tcPr>
            <w:tcW w:w="2268" w:type="dxa"/>
            <w:vAlign w:val="center"/>
          </w:tcPr>
          <w:p w14:paraId="1103F80A">
            <w:pPr>
              <w:pStyle w:val="12"/>
            </w:pPr>
            <w:r>
              <w:t>质量指标</w:t>
            </w:r>
          </w:p>
        </w:tc>
        <w:tc>
          <w:tcPr>
            <w:tcW w:w="2835" w:type="dxa"/>
            <w:vAlign w:val="center"/>
          </w:tcPr>
          <w:p w14:paraId="608A9B04">
            <w:pPr>
              <w:pStyle w:val="12"/>
            </w:pPr>
            <w:r>
              <w:t>预算执行率</w:t>
            </w:r>
          </w:p>
        </w:tc>
        <w:tc>
          <w:tcPr>
            <w:tcW w:w="5386" w:type="dxa"/>
            <w:vAlign w:val="center"/>
          </w:tcPr>
          <w:p w14:paraId="04FB496C">
            <w:pPr>
              <w:pStyle w:val="12"/>
            </w:pPr>
            <w:r>
              <w:t>预算执行率≥98%</w:t>
            </w:r>
          </w:p>
        </w:tc>
        <w:tc>
          <w:tcPr>
            <w:tcW w:w="2268" w:type="dxa"/>
            <w:vAlign w:val="center"/>
          </w:tcPr>
          <w:p w14:paraId="32237118">
            <w:pPr>
              <w:pStyle w:val="12"/>
            </w:pPr>
            <w:r>
              <w:t>98%</w:t>
            </w:r>
          </w:p>
        </w:tc>
        <w:tc>
          <w:tcPr>
            <w:tcW w:w="1276" w:type="dxa"/>
            <w:vAlign w:val="center"/>
          </w:tcPr>
          <w:p w14:paraId="21FE8DAA">
            <w:pPr>
              <w:pStyle w:val="12"/>
            </w:pPr>
            <w:r>
              <w:t>城乡义务教育公用经费管理办法</w:t>
            </w:r>
          </w:p>
        </w:tc>
      </w:tr>
      <w:tr w14:paraId="642B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70DD"/>
        </w:tc>
        <w:tc>
          <w:tcPr>
            <w:tcW w:w="2268" w:type="dxa"/>
            <w:vAlign w:val="center"/>
          </w:tcPr>
          <w:p w14:paraId="1C572FDF">
            <w:pPr>
              <w:pStyle w:val="12"/>
            </w:pPr>
            <w:r>
              <w:t>时效指标</w:t>
            </w:r>
          </w:p>
        </w:tc>
        <w:tc>
          <w:tcPr>
            <w:tcW w:w="2835" w:type="dxa"/>
            <w:vAlign w:val="center"/>
          </w:tcPr>
          <w:p w14:paraId="3FCC6A82">
            <w:pPr>
              <w:pStyle w:val="12"/>
            </w:pPr>
            <w:r>
              <w:t>义教经费支付完成率</w:t>
            </w:r>
          </w:p>
        </w:tc>
        <w:tc>
          <w:tcPr>
            <w:tcW w:w="5386" w:type="dxa"/>
            <w:vAlign w:val="center"/>
          </w:tcPr>
          <w:p w14:paraId="32BEF3C8">
            <w:pPr>
              <w:pStyle w:val="12"/>
            </w:pPr>
            <w:r>
              <w:t>按照序时进度完成资金支付</w:t>
            </w:r>
          </w:p>
        </w:tc>
        <w:tc>
          <w:tcPr>
            <w:tcW w:w="2268" w:type="dxa"/>
            <w:vAlign w:val="center"/>
          </w:tcPr>
          <w:p w14:paraId="1CF3E9DD">
            <w:pPr>
              <w:pStyle w:val="12"/>
            </w:pPr>
            <w:r>
              <w:t>100%</w:t>
            </w:r>
          </w:p>
        </w:tc>
        <w:tc>
          <w:tcPr>
            <w:tcW w:w="1276" w:type="dxa"/>
            <w:vAlign w:val="center"/>
          </w:tcPr>
          <w:p w14:paraId="0F17CB6A">
            <w:pPr>
              <w:pStyle w:val="12"/>
            </w:pPr>
            <w:r>
              <w:t>城乡义务教育公用经费管理办法</w:t>
            </w:r>
          </w:p>
        </w:tc>
      </w:tr>
      <w:tr w14:paraId="1C8A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58272">
            <w:pPr>
              <w:pStyle w:val="13"/>
            </w:pPr>
            <w:r>
              <w:t>效益指标</w:t>
            </w:r>
          </w:p>
        </w:tc>
        <w:tc>
          <w:tcPr>
            <w:tcW w:w="2268" w:type="dxa"/>
            <w:vAlign w:val="center"/>
          </w:tcPr>
          <w:p w14:paraId="7F23A0C1">
            <w:pPr>
              <w:pStyle w:val="12"/>
            </w:pPr>
            <w:r>
              <w:t>社会效益指标</w:t>
            </w:r>
          </w:p>
        </w:tc>
        <w:tc>
          <w:tcPr>
            <w:tcW w:w="2835" w:type="dxa"/>
            <w:vAlign w:val="center"/>
          </w:tcPr>
          <w:p w14:paraId="6D153D6C">
            <w:pPr>
              <w:pStyle w:val="12"/>
            </w:pPr>
            <w:r>
              <w:t>学校运转得到提高</w:t>
            </w:r>
          </w:p>
        </w:tc>
        <w:tc>
          <w:tcPr>
            <w:tcW w:w="5386" w:type="dxa"/>
            <w:vAlign w:val="center"/>
          </w:tcPr>
          <w:p w14:paraId="585DA27F">
            <w:pPr>
              <w:pStyle w:val="12"/>
            </w:pPr>
            <w:r>
              <w:t>学生受教育年限</w:t>
            </w:r>
          </w:p>
        </w:tc>
        <w:tc>
          <w:tcPr>
            <w:tcW w:w="2268" w:type="dxa"/>
            <w:vAlign w:val="center"/>
          </w:tcPr>
          <w:p w14:paraId="2E57C85F">
            <w:pPr>
              <w:pStyle w:val="12"/>
            </w:pPr>
            <w:r>
              <w:t>6年</w:t>
            </w:r>
          </w:p>
        </w:tc>
        <w:tc>
          <w:tcPr>
            <w:tcW w:w="1276" w:type="dxa"/>
            <w:vAlign w:val="center"/>
          </w:tcPr>
          <w:p w14:paraId="2A3E9B98">
            <w:pPr>
              <w:pStyle w:val="12"/>
            </w:pPr>
            <w:r>
              <w:t>城乡义务教育公用经费管理办法</w:t>
            </w:r>
          </w:p>
        </w:tc>
      </w:tr>
      <w:tr w14:paraId="3442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EE5F0">
            <w:pPr>
              <w:pStyle w:val="13"/>
            </w:pPr>
            <w:r>
              <w:t>满意度指标</w:t>
            </w:r>
          </w:p>
        </w:tc>
        <w:tc>
          <w:tcPr>
            <w:tcW w:w="2268" w:type="dxa"/>
            <w:vAlign w:val="center"/>
          </w:tcPr>
          <w:p w14:paraId="6A0CDD7D">
            <w:pPr>
              <w:pStyle w:val="12"/>
            </w:pPr>
            <w:r>
              <w:t>服务对象满意度指标</w:t>
            </w:r>
          </w:p>
        </w:tc>
        <w:tc>
          <w:tcPr>
            <w:tcW w:w="2835" w:type="dxa"/>
            <w:vAlign w:val="center"/>
          </w:tcPr>
          <w:p w14:paraId="072F0836">
            <w:pPr>
              <w:pStyle w:val="12"/>
            </w:pPr>
            <w:r>
              <w:t>服务对象满意度</w:t>
            </w:r>
          </w:p>
        </w:tc>
        <w:tc>
          <w:tcPr>
            <w:tcW w:w="5386" w:type="dxa"/>
            <w:vAlign w:val="center"/>
          </w:tcPr>
          <w:p w14:paraId="28972BE5">
            <w:pPr>
              <w:pStyle w:val="12"/>
            </w:pPr>
            <w:r>
              <w:t>学校老师和学生满意度</w:t>
            </w:r>
          </w:p>
        </w:tc>
        <w:tc>
          <w:tcPr>
            <w:tcW w:w="2268" w:type="dxa"/>
            <w:vAlign w:val="center"/>
          </w:tcPr>
          <w:p w14:paraId="30F8BEA3">
            <w:pPr>
              <w:pStyle w:val="12"/>
            </w:pPr>
            <w:r>
              <w:t>≥95%</w:t>
            </w:r>
          </w:p>
        </w:tc>
        <w:tc>
          <w:tcPr>
            <w:tcW w:w="1276" w:type="dxa"/>
            <w:vAlign w:val="center"/>
          </w:tcPr>
          <w:p w14:paraId="1A23D16F">
            <w:pPr>
              <w:pStyle w:val="12"/>
            </w:pPr>
            <w:r>
              <w:t>问卷调查</w:t>
            </w:r>
          </w:p>
        </w:tc>
      </w:tr>
    </w:tbl>
    <w:p w14:paraId="7665EEAA">
      <w:pPr>
        <w:sectPr>
          <w:pgSz w:w="16840" w:h="11900" w:orient="landscape"/>
          <w:pgMar w:top="1361" w:right="1020" w:bottom="1134" w:left="1020" w:header="720" w:footer="720" w:gutter="0"/>
          <w:cols w:space="720" w:num="1"/>
        </w:sectPr>
      </w:pPr>
    </w:p>
    <w:p w14:paraId="330F8C84">
      <w:pPr>
        <w:spacing w:before="0" w:after="0"/>
        <w:ind w:firstLine="560"/>
        <w:jc w:val="left"/>
        <w:outlineLvl w:val="9"/>
      </w:pPr>
      <w:r>
        <w:rPr>
          <w:rFonts w:ascii="方正仿宋_GBK" w:hAnsi="方正仿宋_GBK" w:eastAsia="方正仿宋_GBK" w:cs="方正仿宋_GBK"/>
          <w:b/>
          <w:color w:val="000000"/>
          <w:sz w:val="28"/>
        </w:rPr>
        <w:t>14、冀财教[2025]147号/省级/2026年义教补助经费/牛家桥校区开河小学公用经费绩效目标表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4E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CCEFC">
            <w:pPr>
              <w:pStyle w:val="11"/>
            </w:pPr>
            <w:r>
              <w:t>单位：万元</w:t>
            </w:r>
          </w:p>
        </w:tc>
      </w:tr>
      <w:tr w14:paraId="7661F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4FA7D">
            <w:pPr>
              <w:pStyle w:val="10"/>
            </w:pPr>
            <w:r>
              <w:t>项目编码</w:t>
            </w:r>
          </w:p>
        </w:tc>
        <w:tc>
          <w:tcPr>
            <w:tcW w:w="5103" w:type="dxa"/>
            <w:gridSpan w:val="2"/>
            <w:vAlign w:val="center"/>
          </w:tcPr>
          <w:p w14:paraId="7B96D34A">
            <w:pPr>
              <w:pStyle w:val="12"/>
            </w:pPr>
            <w:r>
              <w:t>13052526P00000410396T</w:t>
            </w:r>
          </w:p>
        </w:tc>
        <w:tc>
          <w:tcPr>
            <w:tcW w:w="2835" w:type="dxa"/>
            <w:vAlign w:val="center"/>
          </w:tcPr>
          <w:p w14:paraId="0D5DAF0B">
            <w:pPr>
              <w:pStyle w:val="10"/>
            </w:pPr>
            <w:r>
              <w:t>项目名称</w:t>
            </w:r>
          </w:p>
        </w:tc>
        <w:tc>
          <w:tcPr>
            <w:tcW w:w="6095" w:type="dxa"/>
            <w:gridSpan w:val="3"/>
            <w:vAlign w:val="center"/>
          </w:tcPr>
          <w:p w14:paraId="52920A77">
            <w:pPr>
              <w:pStyle w:val="12"/>
            </w:pPr>
            <w:r>
              <w:t>冀财教[2025]147号/省级/2026年义教补助经费/牛家桥校区开河小学公用经费</w:t>
            </w:r>
          </w:p>
        </w:tc>
      </w:tr>
      <w:tr w14:paraId="13A4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DFC20">
            <w:pPr>
              <w:pStyle w:val="10"/>
            </w:pPr>
            <w:r>
              <w:t>预算规模及资金用途</w:t>
            </w:r>
          </w:p>
        </w:tc>
        <w:tc>
          <w:tcPr>
            <w:tcW w:w="2268" w:type="dxa"/>
            <w:vAlign w:val="center"/>
          </w:tcPr>
          <w:p w14:paraId="192CBD4B">
            <w:pPr>
              <w:pStyle w:val="10"/>
            </w:pPr>
            <w:r>
              <w:t>预算数</w:t>
            </w:r>
          </w:p>
        </w:tc>
        <w:tc>
          <w:tcPr>
            <w:tcW w:w="2835" w:type="dxa"/>
            <w:vAlign w:val="center"/>
          </w:tcPr>
          <w:p w14:paraId="5735454B">
            <w:pPr>
              <w:pStyle w:val="12"/>
            </w:pPr>
            <w:r>
              <w:t>21.92</w:t>
            </w:r>
          </w:p>
        </w:tc>
        <w:tc>
          <w:tcPr>
            <w:tcW w:w="2835" w:type="dxa"/>
            <w:vAlign w:val="center"/>
          </w:tcPr>
          <w:p w14:paraId="53EECDB1">
            <w:pPr>
              <w:pStyle w:val="10"/>
            </w:pPr>
            <w:r>
              <w:t>其中：财政    资金</w:t>
            </w:r>
          </w:p>
        </w:tc>
        <w:tc>
          <w:tcPr>
            <w:tcW w:w="2551" w:type="dxa"/>
            <w:vAlign w:val="center"/>
          </w:tcPr>
          <w:p w14:paraId="3CCD6C58">
            <w:pPr>
              <w:pStyle w:val="12"/>
            </w:pPr>
            <w:r>
              <w:t>21.92</w:t>
            </w:r>
          </w:p>
        </w:tc>
        <w:tc>
          <w:tcPr>
            <w:tcW w:w="2268" w:type="dxa"/>
            <w:vAlign w:val="center"/>
          </w:tcPr>
          <w:p w14:paraId="3B8C4E97">
            <w:pPr>
              <w:pStyle w:val="10"/>
            </w:pPr>
            <w:r>
              <w:t>其他资金</w:t>
            </w:r>
          </w:p>
        </w:tc>
        <w:tc>
          <w:tcPr>
            <w:tcW w:w="1276" w:type="dxa"/>
            <w:vAlign w:val="center"/>
          </w:tcPr>
          <w:p w14:paraId="2C9D6D6B">
            <w:pPr>
              <w:pStyle w:val="12"/>
            </w:pPr>
            <w:r>
              <w:t xml:space="preserve"> </w:t>
            </w:r>
          </w:p>
        </w:tc>
      </w:tr>
      <w:tr w14:paraId="02EA2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30921"/>
        </w:tc>
        <w:tc>
          <w:tcPr>
            <w:tcW w:w="14033" w:type="dxa"/>
            <w:gridSpan w:val="6"/>
            <w:vAlign w:val="center"/>
          </w:tcPr>
          <w:p w14:paraId="3D2FC764">
            <w:pPr>
              <w:pStyle w:val="12"/>
            </w:pPr>
            <w:r>
              <w:t>有效完成学校教学安全秩序，保障学校教学任务有效开展，满足学校正常教学需要。</w:t>
            </w:r>
          </w:p>
        </w:tc>
      </w:tr>
      <w:tr w14:paraId="611AA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21F0F">
            <w:pPr>
              <w:pStyle w:val="10"/>
            </w:pPr>
            <w:r>
              <w:t>资金支出计划（%）</w:t>
            </w:r>
          </w:p>
        </w:tc>
        <w:tc>
          <w:tcPr>
            <w:tcW w:w="5103" w:type="dxa"/>
            <w:gridSpan w:val="2"/>
            <w:vAlign w:val="center"/>
          </w:tcPr>
          <w:p w14:paraId="26FD5092">
            <w:pPr>
              <w:pStyle w:val="10"/>
            </w:pPr>
            <w:r>
              <w:t>3月底</w:t>
            </w:r>
          </w:p>
        </w:tc>
        <w:tc>
          <w:tcPr>
            <w:tcW w:w="2835" w:type="dxa"/>
            <w:vAlign w:val="center"/>
          </w:tcPr>
          <w:p w14:paraId="2E0E0E17">
            <w:pPr>
              <w:pStyle w:val="10"/>
            </w:pPr>
            <w:r>
              <w:t>6月底</w:t>
            </w:r>
          </w:p>
        </w:tc>
        <w:tc>
          <w:tcPr>
            <w:tcW w:w="2551" w:type="dxa"/>
            <w:vAlign w:val="center"/>
          </w:tcPr>
          <w:p w14:paraId="44140071">
            <w:pPr>
              <w:pStyle w:val="10"/>
            </w:pPr>
            <w:r>
              <w:t>10月底</w:t>
            </w:r>
          </w:p>
        </w:tc>
        <w:tc>
          <w:tcPr>
            <w:tcW w:w="3544" w:type="dxa"/>
            <w:gridSpan w:val="2"/>
            <w:vAlign w:val="center"/>
          </w:tcPr>
          <w:p w14:paraId="695E9CC6">
            <w:pPr>
              <w:pStyle w:val="10"/>
            </w:pPr>
            <w:r>
              <w:t>12月底</w:t>
            </w:r>
          </w:p>
        </w:tc>
      </w:tr>
      <w:tr w14:paraId="0B6CD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EF7BF"/>
        </w:tc>
        <w:tc>
          <w:tcPr>
            <w:tcW w:w="5103" w:type="dxa"/>
            <w:gridSpan w:val="2"/>
            <w:vAlign w:val="center"/>
          </w:tcPr>
          <w:p w14:paraId="77AC3355">
            <w:pPr>
              <w:pStyle w:val="13"/>
            </w:pPr>
            <w:r>
              <w:t>25%</w:t>
            </w:r>
          </w:p>
        </w:tc>
        <w:tc>
          <w:tcPr>
            <w:tcW w:w="2835" w:type="dxa"/>
            <w:vAlign w:val="center"/>
          </w:tcPr>
          <w:p w14:paraId="36DD31C1">
            <w:pPr>
              <w:pStyle w:val="13"/>
            </w:pPr>
            <w:r>
              <w:t>50%</w:t>
            </w:r>
          </w:p>
        </w:tc>
        <w:tc>
          <w:tcPr>
            <w:tcW w:w="2551" w:type="dxa"/>
            <w:vAlign w:val="center"/>
          </w:tcPr>
          <w:p w14:paraId="21CA36C8">
            <w:pPr>
              <w:pStyle w:val="13"/>
            </w:pPr>
            <w:r>
              <w:t>75%</w:t>
            </w:r>
          </w:p>
        </w:tc>
        <w:tc>
          <w:tcPr>
            <w:tcW w:w="3544" w:type="dxa"/>
            <w:gridSpan w:val="2"/>
            <w:vAlign w:val="center"/>
          </w:tcPr>
          <w:p w14:paraId="33984365">
            <w:pPr>
              <w:pStyle w:val="13"/>
            </w:pPr>
            <w:r>
              <w:t>100%</w:t>
            </w:r>
          </w:p>
        </w:tc>
      </w:tr>
      <w:tr w14:paraId="7C191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FC2B1">
            <w:pPr>
              <w:pStyle w:val="10"/>
            </w:pPr>
            <w:r>
              <w:t>绩效目标</w:t>
            </w:r>
          </w:p>
        </w:tc>
        <w:tc>
          <w:tcPr>
            <w:tcW w:w="14033" w:type="dxa"/>
            <w:gridSpan w:val="6"/>
            <w:vAlign w:val="center"/>
          </w:tcPr>
          <w:p w14:paraId="28DB0CE3">
            <w:pPr>
              <w:pStyle w:val="12"/>
            </w:pPr>
            <w:r>
              <w:t>1.有效完成学校教学安全秩序，保障学校教学任务有效开展，满足学校正常教学需要。</w:t>
            </w:r>
          </w:p>
          <w:p w14:paraId="05171E77">
            <w:pPr>
              <w:pStyle w:val="12"/>
            </w:pPr>
            <w:r>
              <w:t>2.按规定拨付公用经费资金，预算执行率≥98%。</w:t>
            </w:r>
          </w:p>
        </w:tc>
      </w:tr>
    </w:tbl>
    <w:p w14:paraId="7A994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2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51174">
            <w:pPr>
              <w:pStyle w:val="10"/>
            </w:pPr>
            <w:r>
              <w:t>一级指标</w:t>
            </w:r>
          </w:p>
        </w:tc>
        <w:tc>
          <w:tcPr>
            <w:tcW w:w="2268" w:type="dxa"/>
            <w:vAlign w:val="center"/>
          </w:tcPr>
          <w:p w14:paraId="7B5C6549">
            <w:pPr>
              <w:pStyle w:val="10"/>
            </w:pPr>
            <w:r>
              <w:t>二级指标</w:t>
            </w:r>
          </w:p>
        </w:tc>
        <w:tc>
          <w:tcPr>
            <w:tcW w:w="2835" w:type="dxa"/>
            <w:vAlign w:val="center"/>
          </w:tcPr>
          <w:p w14:paraId="1836D4BF">
            <w:pPr>
              <w:pStyle w:val="10"/>
            </w:pPr>
            <w:r>
              <w:t>三级指标</w:t>
            </w:r>
          </w:p>
        </w:tc>
        <w:tc>
          <w:tcPr>
            <w:tcW w:w="5386" w:type="dxa"/>
            <w:vAlign w:val="center"/>
          </w:tcPr>
          <w:p w14:paraId="5A21F2B8">
            <w:pPr>
              <w:pStyle w:val="10"/>
            </w:pPr>
            <w:r>
              <w:t>绩效指标描述</w:t>
            </w:r>
          </w:p>
        </w:tc>
        <w:tc>
          <w:tcPr>
            <w:tcW w:w="2268" w:type="dxa"/>
            <w:vAlign w:val="center"/>
          </w:tcPr>
          <w:p w14:paraId="21155913">
            <w:pPr>
              <w:pStyle w:val="10"/>
            </w:pPr>
            <w:r>
              <w:t>指标值</w:t>
            </w:r>
          </w:p>
        </w:tc>
        <w:tc>
          <w:tcPr>
            <w:tcW w:w="1276" w:type="dxa"/>
            <w:vAlign w:val="center"/>
          </w:tcPr>
          <w:p w14:paraId="48564BED">
            <w:pPr>
              <w:pStyle w:val="10"/>
            </w:pPr>
            <w:r>
              <w:t>指标值确定依据</w:t>
            </w:r>
          </w:p>
        </w:tc>
      </w:tr>
      <w:tr w14:paraId="65A0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D5D41">
            <w:pPr>
              <w:pStyle w:val="13"/>
            </w:pPr>
            <w:r>
              <w:t>产出指标</w:t>
            </w:r>
          </w:p>
        </w:tc>
        <w:tc>
          <w:tcPr>
            <w:tcW w:w="2268" w:type="dxa"/>
            <w:vAlign w:val="center"/>
          </w:tcPr>
          <w:p w14:paraId="63642D2A">
            <w:pPr>
              <w:pStyle w:val="12"/>
            </w:pPr>
            <w:r>
              <w:t>成本指标</w:t>
            </w:r>
          </w:p>
        </w:tc>
        <w:tc>
          <w:tcPr>
            <w:tcW w:w="2835" w:type="dxa"/>
            <w:vAlign w:val="center"/>
          </w:tcPr>
          <w:p w14:paraId="156BBE81">
            <w:pPr>
              <w:pStyle w:val="12"/>
            </w:pPr>
            <w:r>
              <w:t>生均拨款标准</w:t>
            </w:r>
          </w:p>
        </w:tc>
        <w:tc>
          <w:tcPr>
            <w:tcW w:w="5386" w:type="dxa"/>
            <w:vAlign w:val="center"/>
          </w:tcPr>
          <w:p w14:paraId="1A318271">
            <w:pPr>
              <w:pStyle w:val="12"/>
            </w:pPr>
            <w:r>
              <w:t>小学生公用经费生均小学720元。取暖费120元/生/年，随班就读学生补助7000元/生</w:t>
            </w:r>
          </w:p>
        </w:tc>
        <w:tc>
          <w:tcPr>
            <w:tcW w:w="2268" w:type="dxa"/>
            <w:vAlign w:val="center"/>
          </w:tcPr>
          <w:p w14:paraId="3268E73F">
            <w:pPr>
              <w:pStyle w:val="12"/>
            </w:pPr>
            <w:r>
              <w:t>840元</w:t>
            </w:r>
          </w:p>
        </w:tc>
        <w:tc>
          <w:tcPr>
            <w:tcW w:w="1276" w:type="dxa"/>
            <w:vAlign w:val="center"/>
          </w:tcPr>
          <w:p w14:paraId="337F1499">
            <w:pPr>
              <w:pStyle w:val="12"/>
            </w:pPr>
            <w:r>
              <w:t>城乡义务教育公用经费管理办法</w:t>
            </w:r>
          </w:p>
        </w:tc>
      </w:tr>
      <w:tr w14:paraId="1823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2CE14"/>
        </w:tc>
        <w:tc>
          <w:tcPr>
            <w:tcW w:w="2268" w:type="dxa"/>
            <w:vAlign w:val="center"/>
          </w:tcPr>
          <w:p w14:paraId="522D96F2">
            <w:pPr>
              <w:pStyle w:val="12"/>
            </w:pPr>
            <w:r>
              <w:t>数量指标</w:t>
            </w:r>
          </w:p>
        </w:tc>
        <w:tc>
          <w:tcPr>
            <w:tcW w:w="2835" w:type="dxa"/>
            <w:vAlign w:val="center"/>
          </w:tcPr>
          <w:p w14:paraId="695208D8">
            <w:pPr>
              <w:pStyle w:val="12"/>
            </w:pPr>
            <w:r>
              <w:t>就读学生数</w:t>
            </w:r>
          </w:p>
        </w:tc>
        <w:tc>
          <w:tcPr>
            <w:tcW w:w="5386" w:type="dxa"/>
            <w:vAlign w:val="center"/>
          </w:tcPr>
          <w:p w14:paraId="6258D7E7">
            <w:pPr>
              <w:pStyle w:val="12"/>
            </w:pPr>
            <w:r>
              <w:t>辐射区域内适龄学生人数</w:t>
            </w:r>
          </w:p>
        </w:tc>
        <w:tc>
          <w:tcPr>
            <w:tcW w:w="2268" w:type="dxa"/>
            <w:vAlign w:val="center"/>
          </w:tcPr>
          <w:p w14:paraId="276E3F6B">
            <w:pPr>
              <w:pStyle w:val="12"/>
            </w:pPr>
            <w:r>
              <w:t>653人</w:t>
            </w:r>
          </w:p>
        </w:tc>
        <w:tc>
          <w:tcPr>
            <w:tcW w:w="1276" w:type="dxa"/>
            <w:vAlign w:val="center"/>
          </w:tcPr>
          <w:p w14:paraId="0743043E">
            <w:pPr>
              <w:pStyle w:val="12"/>
            </w:pPr>
            <w:r>
              <w:t>城乡义务教育公用经费管理办法</w:t>
            </w:r>
          </w:p>
        </w:tc>
      </w:tr>
      <w:tr w14:paraId="4AE9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97E35"/>
        </w:tc>
        <w:tc>
          <w:tcPr>
            <w:tcW w:w="2268" w:type="dxa"/>
            <w:vAlign w:val="center"/>
          </w:tcPr>
          <w:p w14:paraId="7A8D99E6">
            <w:pPr>
              <w:pStyle w:val="12"/>
            </w:pPr>
            <w:r>
              <w:t>质量指标</w:t>
            </w:r>
          </w:p>
        </w:tc>
        <w:tc>
          <w:tcPr>
            <w:tcW w:w="2835" w:type="dxa"/>
            <w:vAlign w:val="center"/>
          </w:tcPr>
          <w:p w14:paraId="0C47D033">
            <w:pPr>
              <w:pStyle w:val="12"/>
            </w:pPr>
            <w:r>
              <w:t>预算执行率</w:t>
            </w:r>
          </w:p>
        </w:tc>
        <w:tc>
          <w:tcPr>
            <w:tcW w:w="5386" w:type="dxa"/>
            <w:vAlign w:val="center"/>
          </w:tcPr>
          <w:p w14:paraId="560430B5">
            <w:pPr>
              <w:pStyle w:val="12"/>
            </w:pPr>
            <w:r>
              <w:t>预算执行率≥98%</w:t>
            </w:r>
          </w:p>
        </w:tc>
        <w:tc>
          <w:tcPr>
            <w:tcW w:w="2268" w:type="dxa"/>
            <w:vAlign w:val="center"/>
          </w:tcPr>
          <w:p w14:paraId="0BAFB94B">
            <w:pPr>
              <w:pStyle w:val="12"/>
            </w:pPr>
            <w:r>
              <w:t>98%</w:t>
            </w:r>
          </w:p>
        </w:tc>
        <w:tc>
          <w:tcPr>
            <w:tcW w:w="1276" w:type="dxa"/>
            <w:vAlign w:val="center"/>
          </w:tcPr>
          <w:p w14:paraId="146EF9D3">
            <w:pPr>
              <w:pStyle w:val="12"/>
            </w:pPr>
            <w:r>
              <w:t>城乡义务教育公用经费管理办法</w:t>
            </w:r>
          </w:p>
        </w:tc>
      </w:tr>
      <w:tr w14:paraId="7552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A6766"/>
        </w:tc>
        <w:tc>
          <w:tcPr>
            <w:tcW w:w="2268" w:type="dxa"/>
            <w:vAlign w:val="center"/>
          </w:tcPr>
          <w:p w14:paraId="5FE325CE">
            <w:pPr>
              <w:pStyle w:val="12"/>
            </w:pPr>
            <w:r>
              <w:t>时效指标</w:t>
            </w:r>
          </w:p>
        </w:tc>
        <w:tc>
          <w:tcPr>
            <w:tcW w:w="2835" w:type="dxa"/>
            <w:vAlign w:val="center"/>
          </w:tcPr>
          <w:p w14:paraId="4D0E750D">
            <w:pPr>
              <w:pStyle w:val="12"/>
            </w:pPr>
            <w:r>
              <w:t>义教经费支付完成率</w:t>
            </w:r>
          </w:p>
        </w:tc>
        <w:tc>
          <w:tcPr>
            <w:tcW w:w="5386" w:type="dxa"/>
            <w:vAlign w:val="center"/>
          </w:tcPr>
          <w:p w14:paraId="014CC8CF">
            <w:pPr>
              <w:pStyle w:val="12"/>
            </w:pPr>
            <w:r>
              <w:t>按照序时进度完成资金支付</w:t>
            </w:r>
          </w:p>
        </w:tc>
        <w:tc>
          <w:tcPr>
            <w:tcW w:w="2268" w:type="dxa"/>
            <w:vAlign w:val="center"/>
          </w:tcPr>
          <w:p w14:paraId="333EB1BC">
            <w:pPr>
              <w:pStyle w:val="12"/>
            </w:pPr>
            <w:r>
              <w:t>100%</w:t>
            </w:r>
          </w:p>
        </w:tc>
        <w:tc>
          <w:tcPr>
            <w:tcW w:w="1276" w:type="dxa"/>
            <w:vAlign w:val="center"/>
          </w:tcPr>
          <w:p w14:paraId="75CD640D">
            <w:pPr>
              <w:pStyle w:val="12"/>
            </w:pPr>
            <w:r>
              <w:t>城乡义务教育公用经费管理办法</w:t>
            </w:r>
          </w:p>
        </w:tc>
      </w:tr>
      <w:tr w14:paraId="7849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1B478">
            <w:pPr>
              <w:pStyle w:val="13"/>
            </w:pPr>
            <w:r>
              <w:t>效益指标</w:t>
            </w:r>
          </w:p>
        </w:tc>
        <w:tc>
          <w:tcPr>
            <w:tcW w:w="2268" w:type="dxa"/>
            <w:vAlign w:val="center"/>
          </w:tcPr>
          <w:p w14:paraId="71E451CF">
            <w:pPr>
              <w:pStyle w:val="12"/>
            </w:pPr>
            <w:r>
              <w:t>社会效益指标</w:t>
            </w:r>
          </w:p>
        </w:tc>
        <w:tc>
          <w:tcPr>
            <w:tcW w:w="2835" w:type="dxa"/>
            <w:vAlign w:val="center"/>
          </w:tcPr>
          <w:p w14:paraId="1C95B80F">
            <w:pPr>
              <w:pStyle w:val="12"/>
            </w:pPr>
            <w:r>
              <w:t>学校运转得到提高</w:t>
            </w:r>
          </w:p>
        </w:tc>
        <w:tc>
          <w:tcPr>
            <w:tcW w:w="5386" w:type="dxa"/>
            <w:vAlign w:val="center"/>
          </w:tcPr>
          <w:p w14:paraId="7D425620">
            <w:pPr>
              <w:pStyle w:val="12"/>
            </w:pPr>
            <w:r>
              <w:t>学生受教育年限</w:t>
            </w:r>
          </w:p>
        </w:tc>
        <w:tc>
          <w:tcPr>
            <w:tcW w:w="2268" w:type="dxa"/>
            <w:vAlign w:val="center"/>
          </w:tcPr>
          <w:p w14:paraId="0D5C864D">
            <w:pPr>
              <w:pStyle w:val="12"/>
            </w:pPr>
            <w:r>
              <w:t>6年</w:t>
            </w:r>
          </w:p>
        </w:tc>
        <w:tc>
          <w:tcPr>
            <w:tcW w:w="1276" w:type="dxa"/>
            <w:vAlign w:val="center"/>
          </w:tcPr>
          <w:p w14:paraId="02E4BB11">
            <w:pPr>
              <w:pStyle w:val="12"/>
            </w:pPr>
            <w:r>
              <w:t>城乡义务教育公用经费管理办法</w:t>
            </w:r>
          </w:p>
        </w:tc>
      </w:tr>
      <w:tr w14:paraId="03A9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BB7DE">
            <w:pPr>
              <w:pStyle w:val="13"/>
            </w:pPr>
            <w:r>
              <w:t>满意度指标</w:t>
            </w:r>
          </w:p>
        </w:tc>
        <w:tc>
          <w:tcPr>
            <w:tcW w:w="2268" w:type="dxa"/>
            <w:vAlign w:val="center"/>
          </w:tcPr>
          <w:p w14:paraId="4051EF14">
            <w:pPr>
              <w:pStyle w:val="12"/>
            </w:pPr>
            <w:r>
              <w:t>服务对象满意度指标</w:t>
            </w:r>
          </w:p>
        </w:tc>
        <w:tc>
          <w:tcPr>
            <w:tcW w:w="2835" w:type="dxa"/>
            <w:vAlign w:val="center"/>
          </w:tcPr>
          <w:p w14:paraId="73E5BCDF">
            <w:pPr>
              <w:pStyle w:val="12"/>
            </w:pPr>
            <w:r>
              <w:t>服务对象满意度</w:t>
            </w:r>
          </w:p>
        </w:tc>
        <w:tc>
          <w:tcPr>
            <w:tcW w:w="5386" w:type="dxa"/>
            <w:vAlign w:val="center"/>
          </w:tcPr>
          <w:p w14:paraId="390FDE6E">
            <w:pPr>
              <w:pStyle w:val="12"/>
            </w:pPr>
            <w:r>
              <w:t>学校老师和学生满意度</w:t>
            </w:r>
          </w:p>
        </w:tc>
        <w:tc>
          <w:tcPr>
            <w:tcW w:w="2268" w:type="dxa"/>
            <w:vAlign w:val="center"/>
          </w:tcPr>
          <w:p w14:paraId="6F4F8227">
            <w:pPr>
              <w:pStyle w:val="12"/>
            </w:pPr>
            <w:r>
              <w:t>≥95%</w:t>
            </w:r>
          </w:p>
        </w:tc>
        <w:tc>
          <w:tcPr>
            <w:tcW w:w="1276" w:type="dxa"/>
            <w:vAlign w:val="center"/>
          </w:tcPr>
          <w:p w14:paraId="33BBA6A6">
            <w:pPr>
              <w:pStyle w:val="12"/>
            </w:pPr>
            <w:r>
              <w:t>问卷调查</w:t>
            </w:r>
          </w:p>
        </w:tc>
      </w:tr>
    </w:tbl>
    <w:p w14:paraId="074AE208">
      <w:pPr>
        <w:sectPr>
          <w:pgSz w:w="16840" w:h="11900" w:orient="landscape"/>
          <w:pgMar w:top="1361" w:right="1020" w:bottom="1134" w:left="1020" w:header="720" w:footer="720" w:gutter="0"/>
          <w:cols w:space="720" w:num="1"/>
        </w:sectPr>
      </w:pPr>
    </w:p>
    <w:p w14:paraId="595F1DC3">
      <w:pPr>
        <w:spacing w:before="0" w:after="0"/>
        <w:ind w:firstLine="560"/>
        <w:jc w:val="left"/>
        <w:outlineLvl w:val="9"/>
      </w:pPr>
      <w:r>
        <w:rPr>
          <w:rFonts w:ascii="方正仿宋_GBK" w:hAnsi="方正仿宋_GBK" w:eastAsia="方正仿宋_GBK" w:cs="方正仿宋_GBK"/>
          <w:b/>
          <w:color w:val="000000"/>
          <w:sz w:val="28"/>
        </w:rPr>
        <w:t>15、冀财教[2025]147号/省级/2026年义教补助经费/牛家桥校区梅庄小学公用经费绩效目标表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60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B0829">
            <w:pPr>
              <w:pStyle w:val="11"/>
            </w:pPr>
            <w:r>
              <w:t>单位：万元</w:t>
            </w:r>
          </w:p>
        </w:tc>
      </w:tr>
      <w:tr w14:paraId="171D8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95C7B">
            <w:pPr>
              <w:pStyle w:val="10"/>
            </w:pPr>
            <w:r>
              <w:t>项目编码</w:t>
            </w:r>
          </w:p>
        </w:tc>
        <w:tc>
          <w:tcPr>
            <w:tcW w:w="5103" w:type="dxa"/>
            <w:gridSpan w:val="2"/>
            <w:vAlign w:val="center"/>
          </w:tcPr>
          <w:p w14:paraId="3F85D668">
            <w:pPr>
              <w:pStyle w:val="12"/>
            </w:pPr>
            <w:r>
              <w:t>13052526P000004103957</w:t>
            </w:r>
          </w:p>
        </w:tc>
        <w:tc>
          <w:tcPr>
            <w:tcW w:w="2835" w:type="dxa"/>
            <w:vAlign w:val="center"/>
          </w:tcPr>
          <w:p w14:paraId="36F3812B">
            <w:pPr>
              <w:pStyle w:val="10"/>
            </w:pPr>
            <w:r>
              <w:t>项目名称</w:t>
            </w:r>
          </w:p>
        </w:tc>
        <w:tc>
          <w:tcPr>
            <w:tcW w:w="6095" w:type="dxa"/>
            <w:gridSpan w:val="3"/>
            <w:vAlign w:val="center"/>
          </w:tcPr>
          <w:p w14:paraId="28E24E94">
            <w:pPr>
              <w:pStyle w:val="12"/>
            </w:pPr>
            <w:r>
              <w:t>冀财教[2025]147号/省级/2026年义教补助经费/牛家桥校区梅庄小学公用经费</w:t>
            </w:r>
          </w:p>
        </w:tc>
      </w:tr>
      <w:tr w14:paraId="6E3EB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3C7A1">
            <w:pPr>
              <w:pStyle w:val="10"/>
            </w:pPr>
            <w:r>
              <w:t>预算规模及资金用途</w:t>
            </w:r>
          </w:p>
        </w:tc>
        <w:tc>
          <w:tcPr>
            <w:tcW w:w="2268" w:type="dxa"/>
            <w:vAlign w:val="center"/>
          </w:tcPr>
          <w:p w14:paraId="74B60152">
            <w:pPr>
              <w:pStyle w:val="10"/>
            </w:pPr>
            <w:r>
              <w:t>预算数</w:t>
            </w:r>
          </w:p>
        </w:tc>
        <w:tc>
          <w:tcPr>
            <w:tcW w:w="2835" w:type="dxa"/>
            <w:vAlign w:val="center"/>
          </w:tcPr>
          <w:p w14:paraId="77FE4799">
            <w:pPr>
              <w:pStyle w:val="12"/>
            </w:pPr>
            <w:r>
              <w:t>2.61</w:t>
            </w:r>
          </w:p>
        </w:tc>
        <w:tc>
          <w:tcPr>
            <w:tcW w:w="2835" w:type="dxa"/>
            <w:vAlign w:val="center"/>
          </w:tcPr>
          <w:p w14:paraId="19CC33E0">
            <w:pPr>
              <w:pStyle w:val="10"/>
            </w:pPr>
            <w:r>
              <w:t>其中：财政    资金</w:t>
            </w:r>
          </w:p>
        </w:tc>
        <w:tc>
          <w:tcPr>
            <w:tcW w:w="2551" w:type="dxa"/>
            <w:vAlign w:val="center"/>
          </w:tcPr>
          <w:p w14:paraId="48C4900E">
            <w:pPr>
              <w:pStyle w:val="12"/>
            </w:pPr>
            <w:r>
              <w:t>2.61</w:t>
            </w:r>
          </w:p>
        </w:tc>
        <w:tc>
          <w:tcPr>
            <w:tcW w:w="2268" w:type="dxa"/>
            <w:vAlign w:val="center"/>
          </w:tcPr>
          <w:p w14:paraId="300E8FB2">
            <w:pPr>
              <w:pStyle w:val="10"/>
            </w:pPr>
            <w:r>
              <w:t>其他资金</w:t>
            </w:r>
          </w:p>
        </w:tc>
        <w:tc>
          <w:tcPr>
            <w:tcW w:w="1276" w:type="dxa"/>
            <w:vAlign w:val="center"/>
          </w:tcPr>
          <w:p w14:paraId="1BC2133A">
            <w:pPr>
              <w:pStyle w:val="12"/>
            </w:pPr>
            <w:r>
              <w:t xml:space="preserve"> </w:t>
            </w:r>
          </w:p>
        </w:tc>
      </w:tr>
      <w:tr w14:paraId="11239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6BC00"/>
        </w:tc>
        <w:tc>
          <w:tcPr>
            <w:tcW w:w="14033" w:type="dxa"/>
            <w:gridSpan w:val="6"/>
            <w:vAlign w:val="center"/>
          </w:tcPr>
          <w:p w14:paraId="7539A14E">
            <w:pPr>
              <w:pStyle w:val="12"/>
            </w:pPr>
            <w:r>
              <w:t>有效完成学校教学安全秩序，保障学校教学任务有效开展，满足学校正常教学需要。</w:t>
            </w:r>
          </w:p>
        </w:tc>
      </w:tr>
      <w:tr w14:paraId="75B32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8803D">
            <w:pPr>
              <w:pStyle w:val="10"/>
            </w:pPr>
            <w:r>
              <w:t>资金支出计划（%）</w:t>
            </w:r>
          </w:p>
        </w:tc>
        <w:tc>
          <w:tcPr>
            <w:tcW w:w="5103" w:type="dxa"/>
            <w:gridSpan w:val="2"/>
            <w:vAlign w:val="center"/>
          </w:tcPr>
          <w:p w14:paraId="11A56861">
            <w:pPr>
              <w:pStyle w:val="10"/>
            </w:pPr>
            <w:r>
              <w:t>3月底</w:t>
            </w:r>
          </w:p>
        </w:tc>
        <w:tc>
          <w:tcPr>
            <w:tcW w:w="2835" w:type="dxa"/>
            <w:vAlign w:val="center"/>
          </w:tcPr>
          <w:p w14:paraId="0C201166">
            <w:pPr>
              <w:pStyle w:val="10"/>
            </w:pPr>
            <w:r>
              <w:t>6月底</w:t>
            </w:r>
          </w:p>
        </w:tc>
        <w:tc>
          <w:tcPr>
            <w:tcW w:w="2551" w:type="dxa"/>
            <w:vAlign w:val="center"/>
          </w:tcPr>
          <w:p w14:paraId="594F1E67">
            <w:pPr>
              <w:pStyle w:val="10"/>
            </w:pPr>
            <w:r>
              <w:t>10月底</w:t>
            </w:r>
          </w:p>
        </w:tc>
        <w:tc>
          <w:tcPr>
            <w:tcW w:w="3544" w:type="dxa"/>
            <w:gridSpan w:val="2"/>
            <w:vAlign w:val="center"/>
          </w:tcPr>
          <w:p w14:paraId="25B14A44">
            <w:pPr>
              <w:pStyle w:val="10"/>
            </w:pPr>
            <w:r>
              <w:t>12月底</w:t>
            </w:r>
          </w:p>
        </w:tc>
      </w:tr>
      <w:tr w14:paraId="36E8D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2352E"/>
        </w:tc>
        <w:tc>
          <w:tcPr>
            <w:tcW w:w="5103" w:type="dxa"/>
            <w:gridSpan w:val="2"/>
            <w:vAlign w:val="center"/>
          </w:tcPr>
          <w:p w14:paraId="09FFCD40">
            <w:pPr>
              <w:pStyle w:val="13"/>
            </w:pPr>
            <w:r>
              <w:t>25%</w:t>
            </w:r>
          </w:p>
        </w:tc>
        <w:tc>
          <w:tcPr>
            <w:tcW w:w="2835" w:type="dxa"/>
            <w:vAlign w:val="center"/>
          </w:tcPr>
          <w:p w14:paraId="0E142013">
            <w:pPr>
              <w:pStyle w:val="13"/>
            </w:pPr>
            <w:r>
              <w:t>50%</w:t>
            </w:r>
          </w:p>
        </w:tc>
        <w:tc>
          <w:tcPr>
            <w:tcW w:w="2551" w:type="dxa"/>
            <w:vAlign w:val="center"/>
          </w:tcPr>
          <w:p w14:paraId="7F49FD96">
            <w:pPr>
              <w:pStyle w:val="13"/>
            </w:pPr>
            <w:r>
              <w:t>75%</w:t>
            </w:r>
          </w:p>
        </w:tc>
        <w:tc>
          <w:tcPr>
            <w:tcW w:w="3544" w:type="dxa"/>
            <w:gridSpan w:val="2"/>
            <w:vAlign w:val="center"/>
          </w:tcPr>
          <w:p w14:paraId="4871204F">
            <w:pPr>
              <w:pStyle w:val="13"/>
            </w:pPr>
            <w:r>
              <w:t>100%</w:t>
            </w:r>
          </w:p>
        </w:tc>
      </w:tr>
      <w:tr w14:paraId="0DC3D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56904">
            <w:pPr>
              <w:pStyle w:val="10"/>
            </w:pPr>
            <w:r>
              <w:t>绩效目标</w:t>
            </w:r>
          </w:p>
        </w:tc>
        <w:tc>
          <w:tcPr>
            <w:tcW w:w="14033" w:type="dxa"/>
            <w:gridSpan w:val="6"/>
            <w:vAlign w:val="center"/>
          </w:tcPr>
          <w:p w14:paraId="3B222BCB">
            <w:pPr>
              <w:pStyle w:val="12"/>
            </w:pPr>
            <w:r>
              <w:t>1.有效完成学校教学安全秩序，保障学校教学任务有效开展，满足学校正常教学需要。</w:t>
            </w:r>
          </w:p>
          <w:p w14:paraId="413E5601">
            <w:pPr>
              <w:pStyle w:val="12"/>
            </w:pPr>
            <w:r>
              <w:t>2.按规定拨付公用经费资金，预算执行率≥98%。</w:t>
            </w:r>
          </w:p>
        </w:tc>
      </w:tr>
    </w:tbl>
    <w:p w14:paraId="620689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3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36D30">
            <w:pPr>
              <w:pStyle w:val="10"/>
            </w:pPr>
            <w:r>
              <w:t>一级指标</w:t>
            </w:r>
          </w:p>
        </w:tc>
        <w:tc>
          <w:tcPr>
            <w:tcW w:w="2268" w:type="dxa"/>
            <w:vAlign w:val="center"/>
          </w:tcPr>
          <w:p w14:paraId="5F57517A">
            <w:pPr>
              <w:pStyle w:val="10"/>
            </w:pPr>
            <w:r>
              <w:t>二级指标</w:t>
            </w:r>
          </w:p>
        </w:tc>
        <w:tc>
          <w:tcPr>
            <w:tcW w:w="2835" w:type="dxa"/>
            <w:vAlign w:val="center"/>
          </w:tcPr>
          <w:p w14:paraId="3AB4225F">
            <w:pPr>
              <w:pStyle w:val="10"/>
            </w:pPr>
            <w:r>
              <w:t>三级指标</w:t>
            </w:r>
          </w:p>
        </w:tc>
        <w:tc>
          <w:tcPr>
            <w:tcW w:w="5386" w:type="dxa"/>
            <w:vAlign w:val="center"/>
          </w:tcPr>
          <w:p w14:paraId="1C090645">
            <w:pPr>
              <w:pStyle w:val="10"/>
            </w:pPr>
            <w:r>
              <w:t>绩效指标描述</w:t>
            </w:r>
          </w:p>
        </w:tc>
        <w:tc>
          <w:tcPr>
            <w:tcW w:w="2268" w:type="dxa"/>
            <w:vAlign w:val="center"/>
          </w:tcPr>
          <w:p w14:paraId="3BEB1C53">
            <w:pPr>
              <w:pStyle w:val="10"/>
            </w:pPr>
            <w:r>
              <w:t>指标值</w:t>
            </w:r>
          </w:p>
        </w:tc>
        <w:tc>
          <w:tcPr>
            <w:tcW w:w="1276" w:type="dxa"/>
            <w:vAlign w:val="center"/>
          </w:tcPr>
          <w:p w14:paraId="479A5D58">
            <w:pPr>
              <w:pStyle w:val="10"/>
            </w:pPr>
            <w:r>
              <w:t>指标值确定依据</w:t>
            </w:r>
          </w:p>
        </w:tc>
      </w:tr>
      <w:tr w14:paraId="6B02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9E41E">
            <w:pPr>
              <w:pStyle w:val="13"/>
            </w:pPr>
            <w:r>
              <w:t>产出指标</w:t>
            </w:r>
          </w:p>
        </w:tc>
        <w:tc>
          <w:tcPr>
            <w:tcW w:w="2268" w:type="dxa"/>
            <w:vAlign w:val="center"/>
          </w:tcPr>
          <w:p w14:paraId="65A8F534">
            <w:pPr>
              <w:pStyle w:val="12"/>
            </w:pPr>
            <w:r>
              <w:t>成本指标</w:t>
            </w:r>
          </w:p>
        </w:tc>
        <w:tc>
          <w:tcPr>
            <w:tcW w:w="2835" w:type="dxa"/>
            <w:vAlign w:val="center"/>
          </w:tcPr>
          <w:p w14:paraId="31BB3080">
            <w:pPr>
              <w:pStyle w:val="12"/>
            </w:pPr>
            <w:r>
              <w:t>生均拨款标准</w:t>
            </w:r>
          </w:p>
        </w:tc>
        <w:tc>
          <w:tcPr>
            <w:tcW w:w="5386" w:type="dxa"/>
            <w:vAlign w:val="center"/>
          </w:tcPr>
          <w:p w14:paraId="45B75ED3">
            <w:pPr>
              <w:pStyle w:val="12"/>
            </w:pPr>
            <w:r>
              <w:t>小学生公用经费生均小学720元。取暖费120元/生/年，随班就读学生补助7000元/生</w:t>
            </w:r>
          </w:p>
        </w:tc>
        <w:tc>
          <w:tcPr>
            <w:tcW w:w="2268" w:type="dxa"/>
            <w:vAlign w:val="center"/>
          </w:tcPr>
          <w:p w14:paraId="1C299FF8">
            <w:pPr>
              <w:pStyle w:val="12"/>
            </w:pPr>
            <w:r>
              <w:t>840元</w:t>
            </w:r>
          </w:p>
        </w:tc>
        <w:tc>
          <w:tcPr>
            <w:tcW w:w="1276" w:type="dxa"/>
            <w:vAlign w:val="center"/>
          </w:tcPr>
          <w:p w14:paraId="64ABDB7A">
            <w:pPr>
              <w:pStyle w:val="12"/>
            </w:pPr>
            <w:r>
              <w:t>城乡义务教育公用经费管理办法</w:t>
            </w:r>
          </w:p>
        </w:tc>
      </w:tr>
      <w:tr w14:paraId="465E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B88CE"/>
        </w:tc>
        <w:tc>
          <w:tcPr>
            <w:tcW w:w="2268" w:type="dxa"/>
            <w:vAlign w:val="center"/>
          </w:tcPr>
          <w:p w14:paraId="318711D7">
            <w:pPr>
              <w:pStyle w:val="12"/>
            </w:pPr>
            <w:r>
              <w:t>数量指标</w:t>
            </w:r>
          </w:p>
        </w:tc>
        <w:tc>
          <w:tcPr>
            <w:tcW w:w="2835" w:type="dxa"/>
            <w:vAlign w:val="center"/>
          </w:tcPr>
          <w:p w14:paraId="75CC2407">
            <w:pPr>
              <w:pStyle w:val="12"/>
            </w:pPr>
            <w:r>
              <w:t>就读学生数</w:t>
            </w:r>
          </w:p>
        </w:tc>
        <w:tc>
          <w:tcPr>
            <w:tcW w:w="5386" w:type="dxa"/>
            <w:vAlign w:val="center"/>
          </w:tcPr>
          <w:p w14:paraId="66321D0D">
            <w:pPr>
              <w:pStyle w:val="12"/>
            </w:pPr>
            <w:r>
              <w:t>辐射区域内适龄学生人数</w:t>
            </w:r>
          </w:p>
        </w:tc>
        <w:tc>
          <w:tcPr>
            <w:tcW w:w="2268" w:type="dxa"/>
            <w:vAlign w:val="center"/>
          </w:tcPr>
          <w:p w14:paraId="35190EF1">
            <w:pPr>
              <w:pStyle w:val="12"/>
            </w:pPr>
            <w:r>
              <w:t>100人</w:t>
            </w:r>
          </w:p>
        </w:tc>
        <w:tc>
          <w:tcPr>
            <w:tcW w:w="1276" w:type="dxa"/>
            <w:vAlign w:val="center"/>
          </w:tcPr>
          <w:p w14:paraId="1F0B0356">
            <w:pPr>
              <w:pStyle w:val="12"/>
            </w:pPr>
            <w:r>
              <w:t>城乡义务教育公用经费管理办法</w:t>
            </w:r>
          </w:p>
        </w:tc>
      </w:tr>
      <w:tr w14:paraId="0A86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869DB"/>
        </w:tc>
        <w:tc>
          <w:tcPr>
            <w:tcW w:w="2268" w:type="dxa"/>
            <w:vAlign w:val="center"/>
          </w:tcPr>
          <w:p w14:paraId="0C90C128">
            <w:pPr>
              <w:pStyle w:val="12"/>
            </w:pPr>
            <w:r>
              <w:t>质量指标</w:t>
            </w:r>
          </w:p>
        </w:tc>
        <w:tc>
          <w:tcPr>
            <w:tcW w:w="2835" w:type="dxa"/>
            <w:vAlign w:val="center"/>
          </w:tcPr>
          <w:p w14:paraId="4C1F0227">
            <w:pPr>
              <w:pStyle w:val="12"/>
            </w:pPr>
            <w:r>
              <w:t>预算执行率</w:t>
            </w:r>
          </w:p>
        </w:tc>
        <w:tc>
          <w:tcPr>
            <w:tcW w:w="5386" w:type="dxa"/>
            <w:vAlign w:val="center"/>
          </w:tcPr>
          <w:p w14:paraId="33B28D17">
            <w:pPr>
              <w:pStyle w:val="12"/>
            </w:pPr>
            <w:r>
              <w:t>预算执行率≥98%</w:t>
            </w:r>
          </w:p>
        </w:tc>
        <w:tc>
          <w:tcPr>
            <w:tcW w:w="2268" w:type="dxa"/>
            <w:vAlign w:val="center"/>
          </w:tcPr>
          <w:p w14:paraId="1C7C9745">
            <w:pPr>
              <w:pStyle w:val="12"/>
            </w:pPr>
            <w:r>
              <w:t>98%</w:t>
            </w:r>
          </w:p>
        </w:tc>
        <w:tc>
          <w:tcPr>
            <w:tcW w:w="1276" w:type="dxa"/>
            <w:vAlign w:val="center"/>
          </w:tcPr>
          <w:p w14:paraId="172127A0">
            <w:pPr>
              <w:pStyle w:val="12"/>
            </w:pPr>
            <w:r>
              <w:t>城乡义务教育公用经费管理办法</w:t>
            </w:r>
          </w:p>
        </w:tc>
      </w:tr>
      <w:tr w14:paraId="7B09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47F3"/>
        </w:tc>
        <w:tc>
          <w:tcPr>
            <w:tcW w:w="2268" w:type="dxa"/>
            <w:vAlign w:val="center"/>
          </w:tcPr>
          <w:p w14:paraId="7E3113A9">
            <w:pPr>
              <w:pStyle w:val="12"/>
            </w:pPr>
            <w:r>
              <w:t>时效指标</w:t>
            </w:r>
          </w:p>
        </w:tc>
        <w:tc>
          <w:tcPr>
            <w:tcW w:w="2835" w:type="dxa"/>
            <w:vAlign w:val="center"/>
          </w:tcPr>
          <w:p w14:paraId="3FEB68B7">
            <w:pPr>
              <w:pStyle w:val="12"/>
            </w:pPr>
            <w:r>
              <w:t>义教经费支付完成率</w:t>
            </w:r>
          </w:p>
        </w:tc>
        <w:tc>
          <w:tcPr>
            <w:tcW w:w="5386" w:type="dxa"/>
            <w:vAlign w:val="center"/>
          </w:tcPr>
          <w:p w14:paraId="12C1DA7A">
            <w:pPr>
              <w:pStyle w:val="12"/>
            </w:pPr>
            <w:r>
              <w:t>按照序时进度完成资金支付</w:t>
            </w:r>
          </w:p>
        </w:tc>
        <w:tc>
          <w:tcPr>
            <w:tcW w:w="2268" w:type="dxa"/>
            <w:vAlign w:val="center"/>
          </w:tcPr>
          <w:p w14:paraId="19122368">
            <w:pPr>
              <w:pStyle w:val="12"/>
            </w:pPr>
            <w:r>
              <w:t>100%</w:t>
            </w:r>
          </w:p>
        </w:tc>
        <w:tc>
          <w:tcPr>
            <w:tcW w:w="1276" w:type="dxa"/>
            <w:vAlign w:val="center"/>
          </w:tcPr>
          <w:p w14:paraId="6C853939">
            <w:pPr>
              <w:pStyle w:val="12"/>
            </w:pPr>
            <w:r>
              <w:t>城乡义务教育公用经费管理办法</w:t>
            </w:r>
          </w:p>
        </w:tc>
      </w:tr>
      <w:tr w14:paraId="4BF0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505B6">
            <w:pPr>
              <w:pStyle w:val="13"/>
            </w:pPr>
            <w:r>
              <w:t>效益指标</w:t>
            </w:r>
          </w:p>
        </w:tc>
        <w:tc>
          <w:tcPr>
            <w:tcW w:w="2268" w:type="dxa"/>
            <w:vAlign w:val="center"/>
          </w:tcPr>
          <w:p w14:paraId="37C05BD5">
            <w:pPr>
              <w:pStyle w:val="12"/>
            </w:pPr>
            <w:r>
              <w:t>社会效益指标</w:t>
            </w:r>
          </w:p>
        </w:tc>
        <w:tc>
          <w:tcPr>
            <w:tcW w:w="2835" w:type="dxa"/>
            <w:vAlign w:val="center"/>
          </w:tcPr>
          <w:p w14:paraId="5F2E7529">
            <w:pPr>
              <w:pStyle w:val="12"/>
            </w:pPr>
            <w:r>
              <w:t>学校运转得到提高</w:t>
            </w:r>
          </w:p>
        </w:tc>
        <w:tc>
          <w:tcPr>
            <w:tcW w:w="5386" w:type="dxa"/>
            <w:vAlign w:val="center"/>
          </w:tcPr>
          <w:p w14:paraId="3EFF410A">
            <w:pPr>
              <w:pStyle w:val="12"/>
            </w:pPr>
            <w:r>
              <w:t>学生受教育年限</w:t>
            </w:r>
          </w:p>
        </w:tc>
        <w:tc>
          <w:tcPr>
            <w:tcW w:w="2268" w:type="dxa"/>
            <w:vAlign w:val="center"/>
          </w:tcPr>
          <w:p w14:paraId="12A79B35">
            <w:pPr>
              <w:pStyle w:val="12"/>
            </w:pPr>
            <w:r>
              <w:t>6年</w:t>
            </w:r>
          </w:p>
        </w:tc>
        <w:tc>
          <w:tcPr>
            <w:tcW w:w="1276" w:type="dxa"/>
            <w:vAlign w:val="center"/>
          </w:tcPr>
          <w:p w14:paraId="32ADFB2C">
            <w:pPr>
              <w:pStyle w:val="12"/>
            </w:pPr>
            <w:r>
              <w:t>城乡义务教育公用经费管理办法</w:t>
            </w:r>
          </w:p>
        </w:tc>
      </w:tr>
      <w:tr w14:paraId="6C7D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0046F">
            <w:pPr>
              <w:pStyle w:val="13"/>
            </w:pPr>
            <w:r>
              <w:t>满意度指标</w:t>
            </w:r>
          </w:p>
        </w:tc>
        <w:tc>
          <w:tcPr>
            <w:tcW w:w="2268" w:type="dxa"/>
            <w:vAlign w:val="center"/>
          </w:tcPr>
          <w:p w14:paraId="43C85343">
            <w:pPr>
              <w:pStyle w:val="12"/>
            </w:pPr>
            <w:r>
              <w:t>服务对象满意度指标</w:t>
            </w:r>
          </w:p>
        </w:tc>
        <w:tc>
          <w:tcPr>
            <w:tcW w:w="2835" w:type="dxa"/>
            <w:vAlign w:val="center"/>
          </w:tcPr>
          <w:p w14:paraId="055D9E11">
            <w:pPr>
              <w:pStyle w:val="12"/>
            </w:pPr>
            <w:r>
              <w:t>服务对象满意度</w:t>
            </w:r>
          </w:p>
        </w:tc>
        <w:tc>
          <w:tcPr>
            <w:tcW w:w="5386" w:type="dxa"/>
            <w:vAlign w:val="center"/>
          </w:tcPr>
          <w:p w14:paraId="676B3BDA">
            <w:pPr>
              <w:pStyle w:val="12"/>
            </w:pPr>
            <w:r>
              <w:t>学校老师和学生满意度</w:t>
            </w:r>
          </w:p>
        </w:tc>
        <w:tc>
          <w:tcPr>
            <w:tcW w:w="2268" w:type="dxa"/>
            <w:vAlign w:val="center"/>
          </w:tcPr>
          <w:p w14:paraId="06FE4A79">
            <w:pPr>
              <w:pStyle w:val="12"/>
            </w:pPr>
            <w:r>
              <w:t>≥95%</w:t>
            </w:r>
          </w:p>
        </w:tc>
        <w:tc>
          <w:tcPr>
            <w:tcW w:w="1276" w:type="dxa"/>
            <w:vAlign w:val="center"/>
          </w:tcPr>
          <w:p w14:paraId="5716E470">
            <w:pPr>
              <w:pStyle w:val="12"/>
            </w:pPr>
            <w:r>
              <w:t>问卷调查</w:t>
            </w:r>
          </w:p>
        </w:tc>
      </w:tr>
    </w:tbl>
    <w:p w14:paraId="140D9563">
      <w:pPr>
        <w:sectPr>
          <w:pgSz w:w="16840" w:h="11900" w:orient="landscape"/>
          <w:pgMar w:top="1361" w:right="1020" w:bottom="1134" w:left="1020" w:header="720" w:footer="720" w:gutter="0"/>
          <w:cols w:space="720" w:num="1"/>
        </w:sectPr>
      </w:pPr>
    </w:p>
    <w:p w14:paraId="1D761833">
      <w:pPr>
        <w:spacing w:before="0" w:after="0"/>
        <w:ind w:firstLine="560"/>
        <w:jc w:val="left"/>
        <w:outlineLvl w:val="9"/>
      </w:pPr>
      <w:r>
        <w:rPr>
          <w:rFonts w:ascii="方正仿宋_GBK" w:hAnsi="方正仿宋_GBK" w:eastAsia="方正仿宋_GBK" w:cs="方正仿宋_GBK"/>
          <w:b/>
          <w:color w:val="000000"/>
          <w:sz w:val="28"/>
        </w:rPr>
        <w:t>16、冀财教[2025]147号/省级/2026年义教补助经费/牛家桥校区南杨楼小学公用经费绩效目标表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8A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691BC">
            <w:pPr>
              <w:pStyle w:val="11"/>
            </w:pPr>
            <w:r>
              <w:t>单位：万元</w:t>
            </w:r>
          </w:p>
        </w:tc>
      </w:tr>
      <w:tr w14:paraId="46264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6EB1F">
            <w:pPr>
              <w:pStyle w:val="10"/>
            </w:pPr>
            <w:r>
              <w:t>项目编码</w:t>
            </w:r>
          </w:p>
        </w:tc>
        <w:tc>
          <w:tcPr>
            <w:tcW w:w="5103" w:type="dxa"/>
            <w:gridSpan w:val="2"/>
            <w:vAlign w:val="center"/>
          </w:tcPr>
          <w:p w14:paraId="6AF0E831">
            <w:pPr>
              <w:pStyle w:val="12"/>
            </w:pPr>
            <w:r>
              <w:t>13052526P00000410397E</w:t>
            </w:r>
          </w:p>
        </w:tc>
        <w:tc>
          <w:tcPr>
            <w:tcW w:w="2835" w:type="dxa"/>
            <w:vAlign w:val="center"/>
          </w:tcPr>
          <w:p w14:paraId="3A39BAD2">
            <w:pPr>
              <w:pStyle w:val="10"/>
            </w:pPr>
            <w:r>
              <w:t>项目名称</w:t>
            </w:r>
          </w:p>
        </w:tc>
        <w:tc>
          <w:tcPr>
            <w:tcW w:w="6095" w:type="dxa"/>
            <w:gridSpan w:val="3"/>
            <w:vAlign w:val="center"/>
          </w:tcPr>
          <w:p w14:paraId="0E811065">
            <w:pPr>
              <w:pStyle w:val="12"/>
            </w:pPr>
            <w:r>
              <w:t>冀财教[2025]147号/省级/2026年义教补助经费/牛家桥校区南杨楼小学公用经费</w:t>
            </w:r>
          </w:p>
        </w:tc>
      </w:tr>
      <w:tr w14:paraId="2A73A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1CDF7">
            <w:pPr>
              <w:pStyle w:val="10"/>
            </w:pPr>
            <w:r>
              <w:t>预算规模及资金用途</w:t>
            </w:r>
          </w:p>
        </w:tc>
        <w:tc>
          <w:tcPr>
            <w:tcW w:w="2268" w:type="dxa"/>
            <w:vAlign w:val="center"/>
          </w:tcPr>
          <w:p w14:paraId="3D330459">
            <w:pPr>
              <w:pStyle w:val="10"/>
            </w:pPr>
            <w:r>
              <w:t>预算数</w:t>
            </w:r>
          </w:p>
        </w:tc>
        <w:tc>
          <w:tcPr>
            <w:tcW w:w="2835" w:type="dxa"/>
            <w:vAlign w:val="center"/>
          </w:tcPr>
          <w:p w14:paraId="202B2CB7">
            <w:pPr>
              <w:pStyle w:val="12"/>
            </w:pPr>
            <w:r>
              <w:t>2.61</w:t>
            </w:r>
          </w:p>
        </w:tc>
        <w:tc>
          <w:tcPr>
            <w:tcW w:w="2835" w:type="dxa"/>
            <w:vAlign w:val="center"/>
          </w:tcPr>
          <w:p w14:paraId="67CCA90E">
            <w:pPr>
              <w:pStyle w:val="10"/>
            </w:pPr>
            <w:r>
              <w:t>其中：财政    资金</w:t>
            </w:r>
          </w:p>
        </w:tc>
        <w:tc>
          <w:tcPr>
            <w:tcW w:w="2551" w:type="dxa"/>
            <w:vAlign w:val="center"/>
          </w:tcPr>
          <w:p w14:paraId="31F5D909">
            <w:pPr>
              <w:pStyle w:val="12"/>
            </w:pPr>
            <w:r>
              <w:t>2.61</w:t>
            </w:r>
          </w:p>
        </w:tc>
        <w:tc>
          <w:tcPr>
            <w:tcW w:w="2268" w:type="dxa"/>
            <w:vAlign w:val="center"/>
          </w:tcPr>
          <w:p w14:paraId="057CCEB5">
            <w:pPr>
              <w:pStyle w:val="10"/>
            </w:pPr>
            <w:r>
              <w:t>其他资金</w:t>
            </w:r>
          </w:p>
        </w:tc>
        <w:tc>
          <w:tcPr>
            <w:tcW w:w="1276" w:type="dxa"/>
            <w:vAlign w:val="center"/>
          </w:tcPr>
          <w:p w14:paraId="4CDC70E0">
            <w:pPr>
              <w:pStyle w:val="12"/>
            </w:pPr>
            <w:r>
              <w:t xml:space="preserve"> </w:t>
            </w:r>
          </w:p>
        </w:tc>
      </w:tr>
      <w:tr w14:paraId="5DF93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C9B29"/>
        </w:tc>
        <w:tc>
          <w:tcPr>
            <w:tcW w:w="14033" w:type="dxa"/>
            <w:gridSpan w:val="6"/>
            <w:vAlign w:val="center"/>
          </w:tcPr>
          <w:p w14:paraId="0A511E83">
            <w:pPr>
              <w:pStyle w:val="12"/>
            </w:pPr>
            <w:r>
              <w:t>有效完成学校教学安全秩序，保障学校教学任务有效开展，满足学校正常教学需要。</w:t>
            </w:r>
          </w:p>
        </w:tc>
      </w:tr>
      <w:tr w14:paraId="59C6D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E9894">
            <w:pPr>
              <w:pStyle w:val="10"/>
            </w:pPr>
            <w:r>
              <w:t>资金支出计划（%）</w:t>
            </w:r>
          </w:p>
        </w:tc>
        <w:tc>
          <w:tcPr>
            <w:tcW w:w="5103" w:type="dxa"/>
            <w:gridSpan w:val="2"/>
            <w:vAlign w:val="center"/>
          </w:tcPr>
          <w:p w14:paraId="4C93F984">
            <w:pPr>
              <w:pStyle w:val="10"/>
            </w:pPr>
            <w:r>
              <w:t>3月底</w:t>
            </w:r>
          </w:p>
        </w:tc>
        <w:tc>
          <w:tcPr>
            <w:tcW w:w="2835" w:type="dxa"/>
            <w:vAlign w:val="center"/>
          </w:tcPr>
          <w:p w14:paraId="2E046EFB">
            <w:pPr>
              <w:pStyle w:val="10"/>
            </w:pPr>
            <w:r>
              <w:t>6月底</w:t>
            </w:r>
          </w:p>
        </w:tc>
        <w:tc>
          <w:tcPr>
            <w:tcW w:w="2551" w:type="dxa"/>
            <w:vAlign w:val="center"/>
          </w:tcPr>
          <w:p w14:paraId="365B782A">
            <w:pPr>
              <w:pStyle w:val="10"/>
            </w:pPr>
            <w:r>
              <w:t>10月底</w:t>
            </w:r>
          </w:p>
        </w:tc>
        <w:tc>
          <w:tcPr>
            <w:tcW w:w="3544" w:type="dxa"/>
            <w:gridSpan w:val="2"/>
            <w:vAlign w:val="center"/>
          </w:tcPr>
          <w:p w14:paraId="0FA09FD5">
            <w:pPr>
              <w:pStyle w:val="10"/>
            </w:pPr>
            <w:r>
              <w:t>12月底</w:t>
            </w:r>
          </w:p>
        </w:tc>
      </w:tr>
      <w:tr w14:paraId="0B048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9E666"/>
        </w:tc>
        <w:tc>
          <w:tcPr>
            <w:tcW w:w="5103" w:type="dxa"/>
            <w:gridSpan w:val="2"/>
            <w:vAlign w:val="center"/>
          </w:tcPr>
          <w:p w14:paraId="69087AB7">
            <w:pPr>
              <w:pStyle w:val="13"/>
            </w:pPr>
            <w:r>
              <w:t>25%</w:t>
            </w:r>
          </w:p>
        </w:tc>
        <w:tc>
          <w:tcPr>
            <w:tcW w:w="2835" w:type="dxa"/>
            <w:vAlign w:val="center"/>
          </w:tcPr>
          <w:p w14:paraId="3F4D6A66">
            <w:pPr>
              <w:pStyle w:val="13"/>
            </w:pPr>
            <w:r>
              <w:t>50%</w:t>
            </w:r>
          </w:p>
        </w:tc>
        <w:tc>
          <w:tcPr>
            <w:tcW w:w="2551" w:type="dxa"/>
            <w:vAlign w:val="center"/>
          </w:tcPr>
          <w:p w14:paraId="037819E2">
            <w:pPr>
              <w:pStyle w:val="13"/>
            </w:pPr>
            <w:r>
              <w:t>75%</w:t>
            </w:r>
          </w:p>
        </w:tc>
        <w:tc>
          <w:tcPr>
            <w:tcW w:w="3544" w:type="dxa"/>
            <w:gridSpan w:val="2"/>
            <w:vAlign w:val="center"/>
          </w:tcPr>
          <w:p w14:paraId="2CD6BB90">
            <w:pPr>
              <w:pStyle w:val="13"/>
            </w:pPr>
            <w:r>
              <w:t>100%</w:t>
            </w:r>
          </w:p>
        </w:tc>
      </w:tr>
      <w:tr w14:paraId="037B5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1D168">
            <w:pPr>
              <w:pStyle w:val="10"/>
            </w:pPr>
            <w:r>
              <w:t>绩效目标</w:t>
            </w:r>
          </w:p>
        </w:tc>
        <w:tc>
          <w:tcPr>
            <w:tcW w:w="14033" w:type="dxa"/>
            <w:gridSpan w:val="6"/>
            <w:vAlign w:val="center"/>
          </w:tcPr>
          <w:p w14:paraId="65CBDED3">
            <w:pPr>
              <w:pStyle w:val="12"/>
            </w:pPr>
            <w:r>
              <w:t>1.有效完成学校教学安全秩序，保障学校教学任务有效开展，满足学校正常教学需要。</w:t>
            </w:r>
          </w:p>
          <w:p w14:paraId="06959FFA">
            <w:pPr>
              <w:pStyle w:val="12"/>
            </w:pPr>
            <w:r>
              <w:t>2.按规定拨付公用经费资金，预算执行率≥98%。</w:t>
            </w:r>
          </w:p>
        </w:tc>
      </w:tr>
    </w:tbl>
    <w:p w14:paraId="69A0A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A7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391F6">
            <w:pPr>
              <w:pStyle w:val="10"/>
            </w:pPr>
            <w:r>
              <w:t>一级指标</w:t>
            </w:r>
          </w:p>
        </w:tc>
        <w:tc>
          <w:tcPr>
            <w:tcW w:w="2268" w:type="dxa"/>
            <w:vAlign w:val="center"/>
          </w:tcPr>
          <w:p w14:paraId="3F4EB2C4">
            <w:pPr>
              <w:pStyle w:val="10"/>
            </w:pPr>
            <w:r>
              <w:t>二级指标</w:t>
            </w:r>
          </w:p>
        </w:tc>
        <w:tc>
          <w:tcPr>
            <w:tcW w:w="2835" w:type="dxa"/>
            <w:vAlign w:val="center"/>
          </w:tcPr>
          <w:p w14:paraId="2CF98F47">
            <w:pPr>
              <w:pStyle w:val="10"/>
            </w:pPr>
            <w:r>
              <w:t>三级指标</w:t>
            </w:r>
          </w:p>
        </w:tc>
        <w:tc>
          <w:tcPr>
            <w:tcW w:w="5386" w:type="dxa"/>
            <w:vAlign w:val="center"/>
          </w:tcPr>
          <w:p w14:paraId="60145DB9">
            <w:pPr>
              <w:pStyle w:val="10"/>
            </w:pPr>
            <w:r>
              <w:t>绩效指标描述</w:t>
            </w:r>
          </w:p>
        </w:tc>
        <w:tc>
          <w:tcPr>
            <w:tcW w:w="2268" w:type="dxa"/>
            <w:vAlign w:val="center"/>
          </w:tcPr>
          <w:p w14:paraId="68DF9C82">
            <w:pPr>
              <w:pStyle w:val="10"/>
            </w:pPr>
            <w:r>
              <w:t>指标值</w:t>
            </w:r>
          </w:p>
        </w:tc>
        <w:tc>
          <w:tcPr>
            <w:tcW w:w="1276" w:type="dxa"/>
            <w:vAlign w:val="center"/>
          </w:tcPr>
          <w:p w14:paraId="0C577AE6">
            <w:pPr>
              <w:pStyle w:val="10"/>
            </w:pPr>
            <w:r>
              <w:t>指标值确定依据</w:t>
            </w:r>
          </w:p>
        </w:tc>
      </w:tr>
      <w:tr w14:paraId="3A95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CBABD">
            <w:pPr>
              <w:pStyle w:val="13"/>
            </w:pPr>
            <w:r>
              <w:t>产出指标</w:t>
            </w:r>
          </w:p>
        </w:tc>
        <w:tc>
          <w:tcPr>
            <w:tcW w:w="2268" w:type="dxa"/>
            <w:vAlign w:val="center"/>
          </w:tcPr>
          <w:p w14:paraId="44B4D9DF">
            <w:pPr>
              <w:pStyle w:val="12"/>
            </w:pPr>
            <w:r>
              <w:t>成本指标</w:t>
            </w:r>
          </w:p>
        </w:tc>
        <w:tc>
          <w:tcPr>
            <w:tcW w:w="2835" w:type="dxa"/>
            <w:vAlign w:val="center"/>
          </w:tcPr>
          <w:p w14:paraId="6AC76DAB">
            <w:pPr>
              <w:pStyle w:val="12"/>
            </w:pPr>
            <w:r>
              <w:t>生均拨款标准</w:t>
            </w:r>
          </w:p>
        </w:tc>
        <w:tc>
          <w:tcPr>
            <w:tcW w:w="5386" w:type="dxa"/>
            <w:vAlign w:val="center"/>
          </w:tcPr>
          <w:p w14:paraId="153487F9">
            <w:pPr>
              <w:pStyle w:val="12"/>
            </w:pPr>
            <w:r>
              <w:t>小学生公用经费生均小学720元。取暖费120元/生/年，随班就读学生补助7000元/生</w:t>
            </w:r>
          </w:p>
        </w:tc>
        <w:tc>
          <w:tcPr>
            <w:tcW w:w="2268" w:type="dxa"/>
            <w:vAlign w:val="center"/>
          </w:tcPr>
          <w:p w14:paraId="12F3BCBC">
            <w:pPr>
              <w:pStyle w:val="12"/>
            </w:pPr>
            <w:r>
              <w:t>840元</w:t>
            </w:r>
          </w:p>
        </w:tc>
        <w:tc>
          <w:tcPr>
            <w:tcW w:w="1276" w:type="dxa"/>
            <w:vAlign w:val="center"/>
          </w:tcPr>
          <w:p w14:paraId="70CF1144">
            <w:pPr>
              <w:pStyle w:val="12"/>
            </w:pPr>
            <w:r>
              <w:t>城乡义务教育公用经费管理办法</w:t>
            </w:r>
          </w:p>
        </w:tc>
      </w:tr>
      <w:tr w14:paraId="5542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15976"/>
        </w:tc>
        <w:tc>
          <w:tcPr>
            <w:tcW w:w="2268" w:type="dxa"/>
            <w:vAlign w:val="center"/>
          </w:tcPr>
          <w:p w14:paraId="45EBB6C7">
            <w:pPr>
              <w:pStyle w:val="12"/>
            </w:pPr>
            <w:r>
              <w:t>数量指标</w:t>
            </w:r>
          </w:p>
        </w:tc>
        <w:tc>
          <w:tcPr>
            <w:tcW w:w="2835" w:type="dxa"/>
            <w:vAlign w:val="center"/>
          </w:tcPr>
          <w:p w14:paraId="2C222666">
            <w:pPr>
              <w:pStyle w:val="12"/>
            </w:pPr>
            <w:r>
              <w:t>就读学生数</w:t>
            </w:r>
          </w:p>
        </w:tc>
        <w:tc>
          <w:tcPr>
            <w:tcW w:w="5386" w:type="dxa"/>
            <w:vAlign w:val="center"/>
          </w:tcPr>
          <w:p w14:paraId="46474AAE">
            <w:pPr>
              <w:pStyle w:val="12"/>
            </w:pPr>
            <w:r>
              <w:t>辐射区域内适龄学生人数</w:t>
            </w:r>
          </w:p>
        </w:tc>
        <w:tc>
          <w:tcPr>
            <w:tcW w:w="2268" w:type="dxa"/>
            <w:vAlign w:val="center"/>
          </w:tcPr>
          <w:p w14:paraId="73F979B6">
            <w:pPr>
              <w:pStyle w:val="12"/>
            </w:pPr>
            <w:r>
              <w:t>100人</w:t>
            </w:r>
          </w:p>
        </w:tc>
        <w:tc>
          <w:tcPr>
            <w:tcW w:w="1276" w:type="dxa"/>
            <w:vAlign w:val="center"/>
          </w:tcPr>
          <w:p w14:paraId="4B33C383">
            <w:pPr>
              <w:pStyle w:val="12"/>
            </w:pPr>
            <w:r>
              <w:t>城乡义务教育公用经费管理办法</w:t>
            </w:r>
          </w:p>
        </w:tc>
      </w:tr>
      <w:tr w14:paraId="15D61C70">
        <w:tblPrEx>
          <w:tblCellMar>
            <w:top w:w="0" w:type="dxa"/>
            <w:left w:w="108" w:type="dxa"/>
            <w:bottom w:w="0" w:type="dxa"/>
            <w:right w:w="108" w:type="dxa"/>
          </w:tblCellMar>
        </w:tblPrEx>
        <w:trPr>
          <w:trHeight w:val="397" w:hRule="atLeast"/>
          <w:jc w:val="center"/>
        </w:trPr>
        <w:tc>
          <w:tcPr>
            <w:tcW w:w="1276" w:type="dxa"/>
            <w:vMerge w:val="continue"/>
            <w:vAlign w:val="center"/>
          </w:tcPr>
          <w:p w14:paraId="62C0B63B"/>
        </w:tc>
        <w:tc>
          <w:tcPr>
            <w:tcW w:w="2268" w:type="dxa"/>
            <w:vAlign w:val="center"/>
          </w:tcPr>
          <w:p w14:paraId="22341E18">
            <w:pPr>
              <w:pStyle w:val="12"/>
            </w:pPr>
            <w:r>
              <w:t>质量指标</w:t>
            </w:r>
          </w:p>
        </w:tc>
        <w:tc>
          <w:tcPr>
            <w:tcW w:w="2835" w:type="dxa"/>
            <w:vAlign w:val="center"/>
          </w:tcPr>
          <w:p w14:paraId="02F26B78">
            <w:pPr>
              <w:pStyle w:val="12"/>
            </w:pPr>
            <w:r>
              <w:t>预算执行率</w:t>
            </w:r>
          </w:p>
        </w:tc>
        <w:tc>
          <w:tcPr>
            <w:tcW w:w="5386" w:type="dxa"/>
            <w:vAlign w:val="center"/>
          </w:tcPr>
          <w:p w14:paraId="79014478">
            <w:pPr>
              <w:pStyle w:val="12"/>
            </w:pPr>
            <w:r>
              <w:t>预算执行率≥98%</w:t>
            </w:r>
          </w:p>
        </w:tc>
        <w:tc>
          <w:tcPr>
            <w:tcW w:w="2268" w:type="dxa"/>
            <w:vAlign w:val="center"/>
          </w:tcPr>
          <w:p w14:paraId="60310808">
            <w:pPr>
              <w:pStyle w:val="12"/>
            </w:pPr>
            <w:r>
              <w:t>98%</w:t>
            </w:r>
          </w:p>
        </w:tc>
        <w:tc>
          <w:tcPr>
            <w:tcW w:w="1276" w:type="dxa"/>
            <w:vAlign w:val="center"/>
          </w:tcPr>
          <w:p w14:paraId="6EED9B2F">
            <w:pPr>
              <w:pStyle w:val="12"/>
            </w:pPr>
            <w:r>
              <w:t>城乡义务教育公用经费管理办法</w:t>
            </w:r>
          </w:p>
        </w:tc>
      </w:tr>
      <w:tr w14:paraId="31CD15FA">
        <w:tblPrEx>
          <w:tblCellMar>
            <w:top w:w="0" w:type="dxa"/>
            <w:left w:w="108" w:type="dxa"/>
            <w:bottom w:w="0" w:type="dxa"/>
            <w:right w:w="108" w:type="dxa"/>
          </w:tblCellMar>
        </w:tblPrEx>
        <w:trPr>
          <w:trHeight w:val="397" w:hRule="atLeast"/>
          <w:jc w:val="center"/>
        </w:trPr>
        <w:tc>
          <w:tcPr>
            <w:tcW w:w="1276" w:type="dxa"/>
            <w:vMerge w:val="continue"/>
            <w:vAlign w:val="center"/>
          </w:tcPr>
          <w:p w14:paraId="0BA28EFA"/>
        </w:tc>
        <w:tc>
          <w:tcPr>
            <w:tcW w:w="2268" w:type="dxa"/>
            <w:vAlign w:val="center"/>
          </w:tcPr>
          <w:p w14:paraId="7097A255">
            <w:pPr>
              <w:pStyle w:val="12"/>
            </w:pPr>
            <w:r>
              <w:t>时效指标</w:t>
            </w:r>
          </w:p>
        </w:tc>
        <w:tc>
          <w:tcPr>
            <w:tcW w:w="2835" w:type="dxa"/>
            <w:vAlign w:val="center"/>
          </w:tcPr>
          <w:p w14:paraId="11DB3ADA">
            <w:pPr>
              <w:pStyle w:val="12"/>
            </w:pPr>
            <w:r>
              <w:t>义教经费支付完成率</w:t>
            </w:r>
          </w:p>
        </w:tc>
        <w:tc>
          <w:tcPr>
            <w:tcW w:w="5386" w:type="dxa"/>
            <w:vAlign w:val="center"/>
          </w:tcPr>
          <w:p w14:paraId="28CA5DC8">
            <w:pPr>
              <w:pStyle w:val="12"/>
            </w:pPr>
            <w:r>
              <w:t>按照序时进度完成资金支付</w:t>
            </w:r>
          </w:p>
        </w:tc>
        <w:tc>
          <w:tcPr>
            <w:tcW w:w="2268" w:type="dxa"/>
            <w:vAlign w:val="center"/>
          </w:tcPr>
          <w:p w14:paraId="3EF9F33E">
            <w:pPr>
              <w:pStyle w:val="12"/>
            </w:pPr>
            <w:r>
              <w:t>100%</w:t>
            </w:r>
          </w:p>
        </w:tc>
        <w:tc>
          <w:tcPr>
            <w:tcW w:w="1276" w:type="dxa"/>
            <w:vAlign w:val="center"/>
          </w:tcPr>
          <w:p w14:paraId="11E8E67F">
            <w:pPr>
              <w:pStyle w:val="12"/>
            </w:pPr>
            <w:r>
              <w:t>城乡义务教育公用经费管理办法</w:t>
            </w:r>
          </w:p>
        </w:tc>
      </w:tr>
      <w:tr w14:paraId="5540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C85AA">
            <w:pPr>
              <w:pStyle w:val="13"/>
            </w:pPr>
            <w:r>
              <w:t>效益指标</w:t>
            </w:r>
          </w:p>
        </w:tc>
        <w:tc>
          <w:tcPr>
            <w:tcW w:w="2268" w:type="dxa"/>
            <w:vAlign w:val="center"/>
          </w:tcPr>
          <w:p w14:paraId="2DD721EB">
            <w:pPr>
              <w:pStyle w:val="12"/>
            </w:pPr>
            <w:r>
              <w:t>社会效益指标</w:t>
            </w:r>
          </w:p>
        </w:tc>
        <w:tc>
          <w:tcPr>
            <w:tcW w:w="2835" w:type="dxa"/>
            <w:vAlign w:val="center"/>
          </w:tcPr>
          <w:p w14:paraId="531FC899">
            <w:pPr>
              <w:pStyle w:val="12"/>
            </w:pPr>
            <w:r>
              <w:t>学校运转得到提高</w:t>
            </w:r>
          </w:p>
        </w:tc>
        <w:tc>
          <w:tcPr>
            <w:tcW w:w="5386" w:type="dxa"/>
            <w:vAlign w:val="center"/>
          </w:tcPr>
          <w:p w14:paraId="61961DE6">
            <w:pPr>
              <w:pStyle w:val="12"/>
            </w:pPr>
            <w:r>
              <w:t>学生受教育年限</w:t>
            </w:r>
          </w:p>
        </w:tc>
        <w:tc>
          <w:tcPr>
            <w:tcW w:w="2268" w:type="dxa"/>
            <w:vAlign w:val="center"/>
          </w:tcPr>
          <w:p w14:paraId="65397600">
            <w:pPr>
              <w:pStyle w:val="12"/>
            </w:pPr>
            <w:r>
              <w:t>6年</w:t>
            </w:r>
          </w:p>
        </w:tc>
        <w:tc>
          <w:tcPr>
            <w:tcW w:w="1276" w:type="dxa"/>
            <w:vAlign w:val="center"/>
          </w:tcPr>
          <w:p w14:paraId="342B0CD6">
            <w:pPr>
              <w:pStyle w:val="12"/>
            </w:pPr>
            <w:r>
              <w:t>城乡义务教育公用经费管理办法</w:t>
            </w:r>
          </w:p>
        </w:tc>
      </w:tr>
      <w:tr w14:paraId="2F83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10BE4">
            <w:pPr>
              <w:pStyle w:val="13"/>
            </w:pPr>
            <w:r>
              <w:t>满意度指标</w:t>
            </w:r>
          </w:p>
        </w:tc>
        <w:tc>
          <w:tcPr>
            <w:tcW w:w="2268" w:type="dxa"/>
            <w:vAlign w:val="center"/>
          </w:tcPr>
          <w:p w14:paraId="2EE3A32F">
            <w:pPr>
              <w:pStyle w:val="12"/>
            </w:pPr>
            <w:r>
              <w:t>服务对象满意度指标</w:t>
            </w:r>
          </w:p>
        </w:tc>
        <w:tc>
          <w:tcPr>
            <w:tcW w:w="2835" w:type="dxa"/>
            <w:vAlign w:val="center"/>
          </w:tcPr>
          <w:p w14:paraId="6215DA6A">
            <w:pPr>
              <w:pStyle w:val="12"/>
            </w:pPr>
            <w:r>
              <w:t>服务对象满意度</w:t>
            </w:r>
          </w:p>
        </w:tc>
        <w:tc>
          <w:tcPr>
            <w:tcW w:w="5386" w:type="dxa"/>
            <w:vAlign w:val="center"/>
          </w:tcPr>
          <w:p w14:paraId="2C83FB00">
            <w:pPr>
              <w:pStyle w:val="12"/>
            </w:pPr>
            <w:r>
              <w:t>学校老师和学生满意度</w:t>
            </w:r>
          </w:p>
        </w:tc>
        <w:tc>
          <w:tcPr>
            <w:tcW w:w="2268" w:type="dxa"/>
            <w:vAlign w:val="center"/>
          </w:tcPr>
          <w:p w14:paraId="6370434E">
            <w:pPr>
              <w:pStyle w:val="12"/>
            </w:pPr>
            <w:r>
              <w:t>≥95%</w:t>
            </w:r>
          </w:p>
        </w:tc>
        <w:tc>
          <w:tcPr>
            <w:tcW w:w="1276" w:type="dxa"/>
            <w:vAlign w:val="center"/>
          </w:tcPr>
          <w:p w14:paraId="44B76BF9">
            <w:pPr>
              <w:pStyle w:val="12"/>
            </w:pPr>
            <w:r>
              <w:t>问卷调查</w:t>
            </w:r>
          </w:p>
        </w:tc>
      </w:tr>
    </w:tbl>
    <w:p w14:paraId="7C1BE982">
      <w:pPr>
        <w:sectPr>
          <w:pgSz w:w="16840" w:h="11900" w:orient="landscape"/>
          <w:pgMar w:top="1361" w:right="1020" w:bottom="1134" w:left="1020" w:header="720" w:footer="720" w:gutter="0"/>
          <w:cols w:space="720" w:num="1"/>
        </w:sectPr>
      </w:pPr>
    </w:p>
    <w:p w14:paraId="440FC631">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17、冀财教[2025]147号/省级/2026年义教补助经费/牛家桥校区牛家桥小学公用经费绩效目标表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8A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6BD6F">
            <w:pPr>
              <w:pStyle w:val="11"/>
            </w:pPr>
            <w:r>
              <w:t>单位：万元</w:t>
            </w:r>
          </w:p>
        </w:tc>
      </w:tr>
      <w:tr w14:paraId="242E2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C1E05">
            <w:pPr>
              <w:pStyle w:val="10"/>
            </w:pPr>
            <w:r>
              <w:t>项目编码</w:t>
            </w:r>
          </w:p>
        </w:tc>
        <w:tc>
          <w:tcPr>
            <w:tcW w:w="5103" w:type="dxa"/>
            <w:gridSpan w:val="2"/>
            <w:vAlign w:val="center"/>
          </w:tcPr>
          <w:p w14:paraId="551B0755">
            <w:pPr>
              <w:pStyle w:val="12"/>
            </w:pPr>
            <w:r>
              <w:t>13052526P00000410394K</w:t>
            </w:r>
          </w:p>
        </w:tc>
        <w:tc>
          <w:tcPr>
            <w:tcW w:w="2835" w:type="dxa"/>
            <w:vAlign w:val="center"/>
          </w:tcPr>
          <w:p w14:paraId="4C1D2A86">
            <w:pPr>
              <w:pStyle w:val="10"/>
            </w:pPr>
            <w:r>
              <w:t>项目名称</w:t>
            </w:r>
          </w:p>
        </w:tc>
        <w:tc>
          <w:tcPr>
            <w:tcW w:w="6095" w:type="dxa"/>
            <w:gridSpan w:val="3"/>
            <w:vAlign w:val="center"/>
          </w:tcPr>
          <w:p w14:paraId="603EA2C0">
            <w:pPr>
              <w:pStyle w:val="12"/>
            </w:pPr>
            <w:r>
              <w:t>冀财教[2025]147号/省级/2026年义教补助经费/牛家桥校区牛家桥小学公用经费</w:t>
            </w:r>
          </w:p>
        </w:tc>
      </w:tr>
      <w:tr w14:paraId="63A0E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CCE53">
            <w:pPr>
              <w:pStyle w:val="10"/>
            </w:pPr>
            <w:r>
              <w:t>预算规模及资金用途</w:t>
            </w:r>
          </w:p>
        </w:tc>
        <w:tc>
          <w:tcPr>
            <w:tcW w:w="2268" w:type="dxa"/>
            <w:vAlign w:val="center"/>
          </w:tcPr>
          <w:p w14:paraId="2A2058FB">
            <w:pPr>
              <w:pStyle w:val="10"/>
            </w:pPr>
            <w:r>
              <w:t>预算数</w:t>
            </w:r>
          </w:p>
        </w:tc>
        <w:tc>
          <w:tcPr>
            <w:tcW w:w="2835" w:type="dxa"/>
            <w:vAlign w:val="center"/>
          </w:tcPr>
          <w:p w14:paraId="415F5E7B">
            <w:pPr>
              <w:pStyle w:val="12"/>
            </w:pPr>
            <w:r>
              <w:t>22.79</w:t>
            </w:r>
          </w:p>
        </w:tc>
        <w:tc>
          <w:tcPr>
            <w:tcW w:w="2835" w:type="dxa"/>
            <w:vAlign w:val="center"/>
          </w:tcPr>
          <w:p w14:paraId="68201176">
            <w:pPr>
              <w:pStyle w:val="10"/>
            </w:pPr>
            <w:r>
              <w:t>其中：财政    资金</w:t>
            </w:r>
          </w:p>
        </w:tc>
        <w:tc>
          <w:tcPr>
            <w:tcW w:w="2551" w:type="dxa"/>
            <w:vAlign w:val="center"/>
          </w:tcPr>
          <w:p w14:paraId="7D7065EA">
            <w:pPr>
              <w:pStyle w:val="12"/>
            </w:pPr>
            <w:r>
              <w:t>22.79</w:t>
            </w:r>
          </w:p>
        </w:tc>
        <w:tc>
          <w:tcPr>
            <w:tcW w:w="2268" w:type="dxa"/>
            <w:vAlign w:val="center"/>
          </w:tcPr>
          <w:p w14:paraId="0D5505CD">
            <w:pPr>
              <w:pStyle w:val="10"/>
            </w:pPr>
            <w:r>
              <w:t>其他资金</w:t>
            </w:r>
          </w:p>
        </w:tc>
        <w:tc>
          <w:tcPr>
            <w:tcW w:w="1276" w:type="dxa"/>
            <w:vAlign w:val="center"/>
          </w:tcPr>
          <w:p w14:paraId="6AED75C8">
            <w:pPr>
              <w:pStyle w:val="12"/>
            </w:pPr>
            <w:r>
              <w:t xml:space="preserve"> </w:t>
            </w:r>
          </w:p>
        </w:tc>
      </w:tr>
      <w:tr w14:paraId="07154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C573F"/>
        </w:tc>
        <w:tc>
          <w:tcPr>
            <w:tcW w:w="14033" w:type="dxa"/>
            <w:gridSpan w:val="6"/>
            <w:vAlign w:val="center"/>
          </w:tcPr>
          <w:p w14:paraId="15926194">
            <w:pPr>
              <w:pStyle w:val="12"/>
            </w:pPr>
            <w:r>
              <w:t>有效完成学校教学安全秩序，保障学校教学任务有效开展，满足学校正常教学需要。</w:t>
            </w:r>
          </w:p>
        </w:tc>
      </w:tr>
      <w:tr w14:paraId="2A26A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09AFE">
            <w:pPr>
              <w:pStyle w:val="10"/>
            </w:pPr>
            <w:r>
              <w:t>资金支出计划（%）</w:t>
            </w:r>
          </w:p>
        </w:tc>
        <w:tc>
          <w:tcPr>
            <w:tcW w:w="5103" w:type="dxa"/>
            <w:gridSpan w:val="2"/>
            <w:vAlign w:val="center"/>
          </w:tcPr>
          <w:p w14:paraId="10AA80AE">
            <w:pPr>
              <w:pStyle w:val="10"/>
            </w:pPr>
            <w:r>
              <w:t>3月底</w:t>
            </w:r>
          </w:p>
        </w:tc>
        <w:tc>
          <w:tcPr>
            <w:tcW w:w="2835" w:type="dxa"/>
            <w:vAlign w:val="center"/>
          </w:tcPr>
          <w:p w14:paraId="7693F2CE">
            <w:pPr>
              <w:pStyle w:val="10"/>
            </w:pPr>
            <w:r>
              <w:t>6月底</w:t>
            </w:r>
          </w:p>
        </w:tc>
        <w:tc>
          <w:tcPr>
            <w:tcW w:w="2551" w:type="dxa"/>
            <w:vAlign w:val="center"/>
          </w:tcPr>
          <w:p w14:paraId="530309DF">
            <w:pPr>
              <w:pStyle w:val="10"/>
            </w:pPr>
            <w:r>
              <w:t>10月底</w:t>
            </w:r>
          </w:p>
        </w:tc>
        <w:tc>
          <w:tcPr>
            <w:tcW w:w="3544" w:type="dxa"/>
            <w:gridSpan w:val="2"/>
            <w:vAlign w:val="center"/>
          </w:tcPr>
          <w:p w14:paraId="22DDAD75">
            <w:pPr>
              <w:pStyle w:val="10"/>
            </w:pPr>
            <w:r>
              <w:t>12月底</w:t>
            </w:r>
          </w:p>
        </w:tc>
      </w:tr>
      <w:tr w14:paraId="4EEAA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4D9F5"/>
        </w:tc>
        <w:tc>
          <w:tcPr>
            <w:tcW w:w="5103" w:type="dxa"/>
            <w:gridSpan w:val="2"/>
            <w:vAlign w:val="center"/>
          </w:tcPr>
          <w:p w14:paraId="7C6BC907">
            <w:pPr>
              <w:pStyle w:val="13"/>
            </w:pPr>
            <w:r>
              <w:t>25%</w:t>
            </w:r>
          </w:p>
        </w:tc>
        <w:tc>
          <w:tcPr>
            <w:tcW w:w="2835" w:type="dxa"/>
            <w:vAlign w:val="center"/>
          </w:tcPr>
          <w:p w14:paraId="54AD3A4C">
            <w:pPr>
              <w:pStyle w:val="13"/>
            </w:pPr>
            <w:r>
              <w:t>50%</w:t>
            </w:r>
          </w:p>
        </w:tc>
        <w:tc>
          <w:tcPr>
            <w:tcW w:w="2551" w:type="dxa"/>
            <w:vAlign w:val="center"/>
          </w:tcPr>
          <w:p w14:paraId="49A724C0">
            <w:pPr>
              <w:pStyle w:val="13"/>
            </w:pPr>
            <w:r>
              <w:t>75%</w:t>
            </w:r>
          </w:p>
        </w:tc>
        <w:tc>
          <w:tcPr>
            <w:tcW w:w="3544" w:type="dxa"/>
            <w:gridSpan w:val="2"/>
            <w:vAlign w:val="center"/>
          </w:tcPr>
          <w:p w14:paraId="2B0B8DDE">
            <w:pPr>
              <w:pStyle w:val="13"/>
            </w:pPr>
            <w:r>
              <w:t>100%</w:t>
            </w:r>
          </w:p>
        </w:tc>
      </w:tr>
      <w:tr w14:paraId="5713B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F7CB6">
            <w:pPr>
              <w:pStyle w:val="10"/>
            </w:pPr>
            <w:r>
              <w:t>绩效目标</w:t>
            </w:r>
          </w:p>
        </w:tc>
        <w:tc>
          <w:tcPr>
            <w:tcW w:w="14033" w:type="dxa"/>
            <w:gridSpan w:val="6"/>
            <w:vAlign w:val="center"/>
          </w:tcPr>
          <w:p w14:paraId="6416FDE9">
            <w:pPr>
              <w:pStyle w:val="12"/>
            </w:pPr>
            <w:r>
              <w:t>1.有效完成学校教学安全秩序，保障学校教学任务有效开展，满足学校正常教学需要。</w:t>
            </w:r>
          </w:p>
          <w:p w14:paraId="72BEE83F">
            <w:pPr>
              <w:pStyle w:val="12"/>
            </w:pPr>
            <w:r>
              <w:t>2.按规定拨付公用经费资金，预算执行率≥98%。</w:t>
            </w:r>
          </w:p>
        </w:tc>
      </w:tr>
    </w:tbl>
    <w:p w14:paraId="5C205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51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25D24">
            <w:pPr>
              <w:pStyle w:val="10"/>
            </w:pPr>
            <w:r>
              <w:t>一级指标</w:t>
            </w:r>
          </w:p>
        </w:tc>
        <w:tc>
          <w:tcPr>
            <w:tcW w:w="2268" w:type="dxa"/>
            <w:vAlign w:val="center"/>
          </w:tcPr>
          <w:p w14:paraId="645C4565">
            <w:pPr>
              <w:pStyle w:val="10"/>
            </w:pPr>
            <w:r>
              <w:t>二级指标</w:t>
            </w:r>
          </w:p>
        </w:tc>
        <w:tc>
          <w:tcPr>
            <w:tcW w:w="2835" w:type="dxa"/>
            <w:vAlign w:val="center"/>
          </w:tcPr>
          <w:p w14:paraId="4EBEA4E0">
            <w:pPr>
              <w:pStyle w:val="10"/>
            </w:pPr>
            <w:r>
              <w:t>三级指标</w:t>
            </w:r>
          </w:p>
        </w:tc>
        <w:tc>
          <w:tcPr>
            <w:tcW w:w="5386" w:type="dxa"/>
            <w:vAlign w:val="center"/>
          </w:tcPr>
          <w:p w14:paraId="7BD7E710">
            <w:pPr>
              <w:pStyle w:val="10"/>
            </w:pPr>
            <w:r>
              <w:t>绩效指标描述</w:t>
            </w:r>
          </w:p>
        </w:tc>
        <w:tc>
          <w:tcPr>
            <w:tcW w:w="2268" w:type="dxa"/>
            <w:vAlign w:val="center"/>
          </w:tcPr>
          <w:p w14:paraId="52B30993">
            <w:pPr>
              <w:pStyle w:val="10"/>
            </w:pPr>
            <w:r>
              <w:t>指标值</w:t>
            </w:r>
          </w:p>
        </w:tc>
        <w:tc>
          <w:tcPr>
            <w:tcW w:w="1276" w:type="dxa"/>
            <w:vAlign w:val="center"/>
          </w:tcPr>
          <w:p w14:paraId="1953E41B">
            <w:pPr>
              <w:pStyle w:val="10"/>
            </w:pPr>
            <w:r>
              <w:t>指标值确定依据</w:t>
            </w:r>
          </w:p>
        </w:tc>
      </w:tr>
      <w:tr w14:paraId="4A8F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2BE23">
            <w:pPr>
              <w:pStyle w:val="13"/>
            </w:pPr>
            <w:r>
              <w:t>产出指标</w:t>
            </w:r>
          </w:p>
        </w:tc>
        <w:tc>
          <w:tcPr>
            <w:tcW w:w="2268" w:type="dxa"/>
            <w:vAlign w:val="center"/>
          </w:tcPr>
          <w:p w14:paraId="4EE50E21">
            <w:pPr>
              <w:pStyle w:val="12"/>
            </w:pPr>
            <w:r>
              <w:t>成本指标</w:t>
            </w:r>
          </w:p>
        </w:tc>
        <w:tc>
          <w:tcPr>
            <w:tcW w:w="2835" w:type="dxa"/>
            <w:vAlign w:val="center"/>
          </w:tcPr>
          <w:p w14:paraId="66AA5A8E">
            <w:pPr>
              <w:pStyle w:val="12"/>
            </w:pPr>
            <w:r>
              <w:t>生均拨款标准</w:t>
            </w:r>
          </w:p>
        </w:tc>
        <w:tc>
          <w:tcPr>
            <w:tcW w:w="5386" w:type="dxa"/>
            <w:vAlign w:val="center"/>
          </w:tcPr>
          <w:p w14:paraId="13FF4C18">
            <w:pPr>
              <w:pStyle w:val="12"/>
            </w:pPr>
            <w:r>
              <w:t>小学生公用经费生均小学720元。取暖费120元/生/年，随班就读学生补助7000元/生</w:t>
            </w:r>
          </w:p>
        </w:tc>
        <w:tc>
          <w:tcPr>
            <w:tcW w:w="2268" w:type="dxa"/>
            <w:vAlign w:val="center"/>
          </w:tcPr>
          <w:p w14:paraId="172EBE16">
            <w:pPr>
              <w:pStyle w:val="12"/>
            </w:pPr>
            <w:r>
              <w:t>840元</w:t>
            </w:r>
          </w:p>
        </w:tc>
        <w:tc>
          <w:tcPr>
            <w:tcW w:w="1276" w:type="dxa"/>
            <w:vAlign w:val="center"/>
          </w:tcPr>
          <w:p w14:paraId="6DF260AF">
            <w:pPr>
              <w:pStyle w:val="12"/>
            </w:pPr>
            <w:r>
              <w:t>城乡义务教育公用经费管理办法</w:t>
            </w:r>
          </w:p>
        </w:tc>
      </w:tr>
      <w:tr w14:paraId="75EF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BAB0F"/>
        </w:tc>
        <w:tc>
          <w:tcPr>
            <w:tcW w:w="2268" w:type="dxa"/>
            <w:vAlign w:val="center"/>
          </w:tcPr>
          <w:p w14:paraId="0A821ECB">
            <w:pPr>
              <w:pStyle w:val="12"/>
            </w:pPr>
            <w:r>
              <w:t>数量指标</w:t>
            </w:r>
          </w:p>
        </w:tc>
        <w:tc>
          <w:tcPr>
            <w:tcW w:w="2835" w:type="dxa"/>
            <w:vAlign w:val="center"/>
          </w:tcPr>
          <w:p w14:paraId="553096FB">
            <w:pPr>
              <w:pStyle w:val="12"/>
            </w:pPr>
            <w:r>
              <w:t>就读学生数</w:t>
            </w:r>
          </w:p>
        </w:tc>
        <w:tc>
          <w:tcPr>
            <w:tcW w:w="5386" w:type="dxa"/>
            <w:vAlign w:val="center"/>
          </w:tcPr>
          <w:p w14:paraId="32891488">
            <w:pPr>
              <w:pStyle w:val="12"/>
            </w:pPr>
            <w:r>
              <w:t>辐射区域内适龄学生人数</w:t>
            </w:r>
          </w:p>
        </w:tc>
        <w:tc>
          <w:tcPr>
            <w:tcW w:w="2268" w:type="dxa"/>
            <w:vAlign w:val="center"/>
          </w:tcPr>
          <w:p w14:paraId="7AB5DD4D">
            <w:pPr>
              <w:pStyle w:val="12"/>
            </w:pPr>
            <w:r>
              <w:t>677人</w:t>
            </w:r>
          </w:p>
        </w:tc>
        <w:tc>
          <w:tcPr>
            <w:tcW w:w="1276" w:type="dxa"/>
            <w:vAlign w:val="center"/>
          </w:tcPr>
          <w:p w14:paraId="2C9B3286">
            <w:pPr>
              <w:pStyle w:val="12"/>
            </w:pPr>
            <w:r>
              <w:t>城乡义务教育公用经费管理办法</w:t>
            </w:r>
          </w:p>
        </w:tc>
      </w:tr>
      <w:tr w14:paraId="6C0E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EBE1E"/>
        </w:tc>
        <w:tc>
          <w:tcPr>
            <w:tcW w:w="2268" w:type="dxa"/>
            <w:vAlign w:val="center"/>
          </w:tcPr>
          <w:p w14:paraId="4F43802A">
            <w:pPr>
              <w:pStyle w:val="12"/>
            </w:pPr>
            <w:r>
              <w:t>质量指标</w:t>
            </w:r>
          </w:p>
        </w:tc>
        <w:tc>
          <w:tcPr>
            <w:tcW w:w="2835" w:type="dxa"/>
            <w:vAlign w:val="center"/>
          </w:tcPr>
          <w:p w14:paraId="643E85C2">
            <w:pPr>
              <w:pStyle w:val="12"/>
            </w:pPr>
            <w:r>
              <w:t>预算执行率</w:t>
            </w:r>
          </w:p>
        </w:tc>
        <w:tc>
          <w:tcPr>
            <w:tcW w:w="5386" w:type="dxa"/>
            <w:vAlign w:val="center"/>
          </w:tcPr>
          <w:p w14:paraId="0FC3F72E">
            <w:pPr>
              <w:pStyle w:val="12"/>
            </w:pPr>
            <w:r>
              <w:t>预算执行率≥98%</w:t>
            </w:r>
          </w:p>
        </w:tc>
        <w:tc>
          <w:tcPr>
            <w:tcW w:w="2268" w:type="dxa"/>
            <w:vAlign w:val="center"/>
          </w:tcPr>
          <w:p w14:paraId="747E77C5">
            <w:pPr>
              <w:pStyle w:val="12"/>
            </w:pPr>
            <w:r>
              <w:t>98%</w:t>
            </w:r>
          </w:p>
        </w:tc>
        <w:tc>
          <w:tcPr>
            <w:tcW w:w="1276" w:type="dxa"/>
            <w:vAlign w:val="center"/>
          </w:tcPr>
          <w:p w14:paraId="66E6479D">
            <w:pPr>
              <w:pStyle w:val="12"/>
            </w:pPr>
            <w:r>
              <w:t>城乡义务教育公用经费管理办法</w:t>
            </w:r>
          </w:p>
        </w:tc>
      </w:tr>
      <w:tr w14:paraId="53B9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5E472"/>
        </w:tc>
        <w:tc>
          <w:tcPr>
            <w:tcW w:w="2268" w:type="dxa"/>
            <w:vAlign w:val="center"/>
          </w:tcPr>
          <w:p w14:paraId="75BE463F">
            <w:pPr>
              <w:pStyle w:val="12"/>
            </w:pPr>
            <w:r>
              <w:t>时效指标</w:t>
            </w:r>
          </w:p>
        </w:tc>
        <w:tc>
          <w:tcPr>
            <w:tcW w:w="2835" w:type="dxa"/>
            <w:vAlign w:val="center"/>
          </w:tcPr>
          <w:p w14:paraId="10812DAF">
            <w:pPr>
              <w:pStyle w:val="12"/>
            </w:pPr>
            <w:r>
              <w:t>义教经费支付完成率</w:t>
            </w:r>
          </w:p>
        </w:tc>
        <w:tc>
          <w:tcPr>
            <w:tcW w:w="5386" w:type="dxa"/>
            <w:vAlign w:val="center"/>
          </w:tcPr>
          <w:p w14:paraId="747C59E8">
            <w:pPr>
              <w:pStyle w:val="12"/>
            </w:pPr>
            <w:r>
              <w:t>按照序时进度完成资金支付</w:t>
            </w:r>
          </w:p>
        </w:tc>
        <w:tc>
          <w:tcPr>
            <w:tcW w:w="2268" w:type="dxa"/>
            <w:vAlign w:val="center"/>
          </w:tcPr>
          <w:p w14:paraId="2614EFC0">
            <w:pPr>
              <w:pStyle w:val="12"/>
            </w:pPr>
            <w:r>
              <w:t>100%</w:t>
            </w:r>
          </w:p>
        </w:tc>
        <w:tc>
          <w:tcPr>
            <w:tcW w:w="1276" w:type="dxa"/>
            <w:vAlign w:val="center"/>
          </w:tcPr>
          <w:p w14:paraId="3B6C38F8">
            <w:pPr>
              <w:pStyle w:val="12"/>
            </w:pPr>
            <w:r>
              <w:t>城乡义务教育公用经费管理办法</w:t>
            </w:r>
          </w:p>
        </w:tc>
      </w:tr>
      <w:tr w14:paraId="6CBC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89F3E">
            <w:pPr>
              <w:pStyle w:val="13"/>
            </w:pPr>
            <w:r>
              <w:t>效益指标</w:t>
            </w:r>
          </w:p>
        </w:tc>
        <w:tc>
          <w:tcPr>
            <w:tcW w:w="2268" w:type="dxa"/>
            <w:vAlign w:val="center"/>
          </w:tcPr>
          <w:p w14:paraId="079AC7EA">
            <w:pPr>
              <w:pStyle w:val="12"/>
            </w:pPr>
            <w:r>
              <w:t>社会效益指标</w:t>
            </w:r>
          </w:p>
        </w:tc>
        <w:tc>
          <w:tcPr>
            <w:tcW w:w="2835" w:type="dxa"/>
            <w:vAlign w:val="center"/>
          </w:tcPr>
          <w:p w14:paraId="65827CE1">
            <w:pPr>
              <w:pStyle w:val="12"/>
            </w:pPr>
            <w:r>
              <w:t>学校运转得到提高</w:t>
            </w:r>
          </w:p>
        </w:tc>
        <w:tc>
          <w:tcPr>
            <w:tcW w:w="5386" w:type="dxa"/>
            <w:vAlign w:val="center"/>
          </w:tcPr>
          <w:p w14:paraId="470009C2">
            <w:pPr>
              <w:pStyle w:val="12"/>
            </w:pPr>
            <w:r>
              <w:t>学生受教育年限</w:t>
            </w:r>
          </w:p>
        </w:tc>
        <w:tc>
          <w:tcPr>
            <w:tcW w:w="2268" w:type="dxa"/>
            <w:vAlign w:val="center"/>
          </w:tcPr>
          <w:p w14:paraId="2D1E2B48">
            <w:pPr>
              <w:pStyle w:val="12"/>
            </w:pPr>
            <w:r>
              <w:t>6年</w:t>
            </w:r>
          </w:p>
        </w:tc>
        <w:tc>
          <w:tcPr>
            <w:tcW w:w="1276" w:type="dxa"/>
            <w:vAlign w:val="center"/>
          </w:tcPr>
          <w:p w14:paraId="65DBAC1C">
            <w:pPr>
              <w:pStyle w:val="12"/>
            </w:pPr>
            <w:r>
              <w:t>城乡义务教育公用经费管理办法</w:t>
            </w:r>
          </w:p>
        </w:tc>
      </w:tr>
      <w:tr w14:paraId="5773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7DAEC">
            <w:pPr>
              <w:pStyle w:val="13"/>
            </w:pPr>
            <w:r>
              <w:t>满意度指标</w:t>
            </w:r>
          </w:p>
        </w:tc>
        <w:tc>
          <w:tcPr>
            <w:tcW w:w="2268" w:type="dxa"/>
            <w:vAlign w:val="center"/>
          </w:tcPr>
          <w:p w14:paraId="4D9D746A">
            <w:pPr>
              <w:pStyle w:val="12"/>
            </w:pPr>
            <w:r>
              <w:t>服务对象满意度指标</w:t>
            </w:r>
          </w:p>
        </w:tc>
        <w:tc>
          <w:tcPr>
            <w:tcW w:w="2835" w:type="dxa"/>
            <w:vAlign w:val="center"/>
          </w:tcPr>
          <w:p w14:paraId="6A161659">
            <w:pPr>
              <w:pStyle w:val="12"/>
            </w:pPr>
            <w:r>
              <w:t>服务对象满意度</w:t>
            </w:r>
          </w:p>
        </w:tc>
        <w:tc>
          <w:tcPr>
            <w:tcW w:w="5386" w:type="dxa"/>
            <w:vAlign w:val="center"/>
          </w:tcPr>
          <w:p w14:paraId="09889ED1">
            <w:pPr>
              <w:pStyle w:val="12"/>
            </w:pPr>
            <w:r>
              <w:t>学校老师和学生满意度</w:t>
            </w:r>
          </w:p>
        </w:tc>
        <w:tc>
          <w:tcPr>
            <w:tcW w:w="2268" w:type="dxa"/>
            <w:vAlign w:val="center"/>
          </w:tcPr>
          <w:p w14:paraId="308F8AE3">
            <w:pPr>
              <w:pStyle w:val="12"/>
            </w:pPr>
            <w:r>
              <w:t>≥95%</w:t>
            </w:r>
          </w:p>
        </w:tc>
        <w:tc>
          <w:tcPr>
            <w:tcW w:w="1276" w:type="dxa"/>
            <w:vAlign w:val="center"/>
          </w:tcPr>
          <w:p w14:paraId="15E91722">
            <w:pPr>
              <w:pStyle w:val="12"/>
            </w:pPr>
            <w:r>
              <w:t>问卷调查</w:t>
            </w:r>
          </w:p>
        </w:tc>
      </w:tr>
    </w:tbl>
    <w:p w14:paraId="524BC5F4">
      <w:pPr>
        <w:sectPr>
          <w:pgSz w:w="16840" w:h="11900" w:orient="landscape"/>
          <w:pgMar w:top="1361" w:right="1020" w:bottom="1134" w:left="1020" w:header="720" w:footer="720" w:gutter="0"/>
          <w:cols w:space="720" w:num="1"/>
        </w:sectPr>
      </w:pPr>
    </w:p>
    <w:p w14:paraId="7CF6CFD4">
      <w:pPr>
        <w:spacing w:before="0" w:after="0"/>
        <w:ind w:firstLine="560"/>
        <w:jc w:val="left"/>
        <w:outlineLvl w:val="9"/>
      </w:pPr>
      <w:r>
        <w:rPr>
          <w:rFonts w:ascii="方正仿宋_GBK" w:hAnsi="方正仿宋_GBK" w:eastAsia="方正仿宋_GBK" w:cs="方正仿宋_GBK"/>
          <w:b/>
          <w:color w:val="000000"/>
          <w:sz w:val="28"/>
        </w:rPr>
        <w:t>18、冀财教[2025]147号/省级/义教/2026年校舍安全/旧城小学校舍维修改造绩效目标表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ED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0A63F">
            <w:pPr>
              <w:pStyle w:val="11"/>
            </w:pPr>
            <w:r>
              <w:t>单位：万元</w:t>
            </w:r>
          </w:p>
        </w:tc>
      </w:tr>
      <w:tr w14:paraId="3A7FE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BFDED">
            <w:pPr>
              <w:pStyle w:val="10"/>
            </w:pPr>
            <w:r>
              <w:t>项目编码</w:t>
            </w:r>
          </w:p>
        </w:tc>
        <w:tc>
          <w:tcPr>
            <w:tcW w:w="5103" w:type="dxa"/>
            <w:gridSpan w:val="2"/>
            <w:vAlign w:val="center"/>
          </w:tcPr>
          <w:p w14:paraId="7669BACB">
            <w:pPr>
              <w:pStyle w:val="12"/>
            </w:pPr>
            <w:r>
              <w:t>13052526P008762101093</w:t>
            </w:r>
          </w:p>
        </w:tc>
        <w:tc>
          <w:tcPr>
            <w:tcW w:w="2835" w:type="dxa"/>
            <w:vAlign w:val="center"/>
          </w:tcPr>
          <w:p w14:paraId="499EABEE">
            <w:pPr>
              <w:pStyle w:val="10"/>
            </w:pPr>
            <w:r>
              <w:t>项目名称</w:t>
            </w:r>
          </w:p>
        </w:tc>
        <w:tc>
          <w:tcPr>
            <w:tcW w:w="6095" w:type="dxa"/>
            <w:gridSpan w:val="3"/>
            <w:vAlign w:val="center"/>
          </w:tcPr>
          <w:p w14:paraId="21CB6980">
            <w:pPr>
              <w:pStyle w:val="12"/>
            </w:pPr>
            <w:r>
              <w:t>冀财教[2025]147号/省级/义教/2026年校舍安全/旧城小学校舍维修改造</w:t>
            </w:r>
          </w:p>
        </w:tc>
      </w:tr>
      <w:tr w14:paraId="215D7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F79C0">
            <w:pPr>
              <w:pStyle w:val="10"/>
            </w:pPr>
            <w:r>
              <w:t>预算规模及资金用途</w:t>
            </w:r>
          </w:p>
        </w:tc>
        <w:tc>
          <w:tcPr>
            <w:tcW w:w="2268" w:type="dxa"/>
            <w:vAlign w:val="center"/>
          </w:tcPr>
          <w:p w14:paraId="6290155A">
            <w:pPr>
              <w:pStyle w:val="10"/>
            </w:pPr>
            <w:r>
              <w:t>预算数</w:t>
            </w:r>
          </w:p>
        </w:tc>
        <w:tc>
          <w:tcPr>
            <w:tcW w:w="2835" w:type="dxa"/>
            <w:vAlign w:val="center"/>
          </w:tcPr>
          <w:p w14:paraId="0F2AB208">
            <w:pPr>
              <w:pStyle w:val="12"/>
            </w:pPr>
            <w:r>
              <w:t>34.40</w:t>
            </w:r>
          </w:p>
        </w:tc>
        <w:tc>
          <w:tcPr>
            <w:tcW w:w="2835" w:type="dxa"/>
            <w:vAlign w:val="center"/>
          </w:tcPr>
          <w:p w14:paraId="741FDC44">
            <w:pPr>
              <w:pStyle w:val="10"/>
            </w:pPr>
            <w:r>
              <w:t>其中：财政    资金</w:t>
            </w:r>
          </w:p>
        </w:tc>
        <w:tc>
          <w:tcPr>
            <w:tcW w:w="2551" w:type="dxa"/>
            <w:vAlign w:val="center"/>
          </w:tcPr>
          <w:p w14:paraId="5733232C">
            <w:pPr>
              <w:pStyle w:val="12"/>
            </w:pPr>
            <w:r>
              <w:t>34.40</w:t>
            </w:r>
          </w:p>
        </w:tc>
        <w:tc>
          <w:tcPr>
            <w:tcW w:w="2268" w:type="dxa"/>
            <w:vAlign w:val="center"/>
          </w:tcPr>
          <w:p w14:paraId="22282DDF">
            <w:pPr>
              <w:pStyle w:val="10"/>
            </w:pPr>
            <w:r>
              <w:t>其他资金</w:t>
            </w:r>
          </w:p>
        </w:tc>
        <w:tc>
          <w:tcPr>
            <w:tcW w:w="1276" w:type="dxa"/>
            <w:vAlign w:val="center"/>
          </w:tcPr>
          <w:p w14:paraId="4C765D89">
            <w:pPr>
              <w:pStyle w:val="12"/>
            </w:pPr>
            <w:r>
              <w:t xml:space="preserve"> </w:t>
            </w:r>
          </w:p>
        </w:tc>
      </w:tr>
      <w:tr w14:paraId="1E1A4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DBA8D"/>
        </w:tc>
        <w:tc>
          <w:tcPr>
            <w:tcW w:w="14033" w:type="dxa"/>
            <w:gridSpan w:val="6"/>
            <w:vAlign w:val="center"/>
          </w:tcPr>
          <w:p w14:paraId="234D3776">
            <w:pPr>
              <w:pStyle w:val="12"/>
            </w:pPr>
            <w:r>
              <w:t>改善就学条件，提升学校形象，保障义务教育阶段教学安全，创造良好的校园环境。</w:t>
            </w:r>
          </w:p>
        </w:tc>
      </w:tr>
      <w:tr w14:paraId="68EE6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E4857">
            <w:pPr>
              <w:pStyle w:val="10"/>
            </w:pPr>
            <w:r>
              <w:t>资金支出计划（%）</w:t>
            </w:r>
          </w:p>
        </w:tc>
        <w:tc>
          <w:tcPr>
            <w:tcW w:w="5103" w:type="dxa"/>
            <w:gridSpan w:val="2"/>
            <w:vAlign w:val="center"/>
          </w:tcPr>
          <w:p w14:paraId="647FA549">
            <w:pPr>
              <w:pStyle w:val="10"/>
            </w:pPr>
            <w:r>
              <w:t>3月底</w:t>
            </w:r>
          </w:p>
        </w:tc>
        <w:tc>
          <w:tcPr>
            <w:tcW w:w="2835" w:type="dxa"/>
            <w:vAlign w:val="center"/>
          </w:tcPr>
          <w:p w14:paraId="590494F5">
            <w:pPr>
              <w:pStyle w:val="10"/>
            </w:pPr>
            <w:r>
              <w:t>6月底</w:t>
            </w:r>
          </w:p>
        </w:tc>
        <w:tc>
          <w:tcPr>
            <w:tcW w:w="2551" w:type="dxa"/>
            <w:vAlign w:val="center"/>
          </w:tcPr>
          <w:p w14:paraId="2C9EF4B8">
            <w:pPr>
              <w:pStyle w:val="10"/>
            </w:pPr>
            <w:r>
              <w:t>10月底</w:t>
            </w:r>
          </w:p>
        </w:tc>
        <w:tc>
          <w:tcPr>
            <w:tcW w:w="3544" w:type="dxa"/>
            <w:gridSpan w:val="2"/>
            <w:vAlign w:val="center"/>
          </w:tcPr>
          <w:p w14:paraId="591948F0">
            <w:pPr>
              <w:pStyle w:val="10"/>
            </w:pPr>
            <w:r>
              <w:t>12月底</w:t>
            </w:r>
          </w:p>
        </w:tc>
      </w:tr>
      <w:tr w14:paraId="6B985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D5A6D"/>
        </w:tc>
        <w:tc>
          <w:tcPr>
            <w:tcW w:w="5103" w:type="dxa"/>
            <w:gridSpan w:val="2"/>
            <w:vAlign w:val="center"/>
          </w:tcPr>
          <w:p w14:paraId="1CC64A36">
            <w:pPr>
              <w:pStyle w:val="13"/>
            </w:pPr>
            <w:r>
              <w:t xml:space="preserve"> </w:t>
            </w:r>
          </w:p>
        </w:tc>
        <w:tc>
          <w:tcPr>
            <w:tcW w:w="2835" w:type="dxa"/>
            <w:vAlign w:val="center"/>
          </w:tcPr>
          <w:p w14:paraId="67DA54C9">
            <w:pPr>
              <w:pStyle w:val="13"/>
            </w:pPr>
            <w:r>
              <w:t xml:space="preserve"> </w:t>
            </w:r>
          </w:p>
        </w:tc>
        <w:tc>
          <w:tcPr>
            <w:tcW w:w="2551" w:type="dxa"/>
            <w:vAlign w:val="center"/>
          </w:tcPr>
          <w:p w14:paraId="180CF0D1">
            <w:pPr>
              <w:pStyle w:val="13"/>
            </w:pPr>
            <w:r>
              <w:t>100%</w:t>
            </w:r>
          </w:p>
        </w:tc>
        <w:tc>
          <w:tcPr>
            <w:tcW w:w="3544" w:type="dxa"/>
            <w:gridSpan w:val="2"/>
            <w:vAlign w:val="center"/>
          </w:tcPr>
          <w:p w14:paraId="094AA10A">
            <w:pPr>
              <w:pStyle w:val="13"/>
            </w:pPr>
            <w:r>
              <w:t>100%</w:t>
            </w:r>
          </w:p>
        </w:tc>
      </w:tr>
      <w:tr w14:paraId="15AD7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A944A">
            <w:pPr>
              <w:pStyle w:val="10"/>
            </w:pPr>
            <w:r>
              <w:t>绩效目标</w:t>
            </w:r>
          </w:p>
        </w:tc>
        <w:tc>
          <w:tcPr>
            <w:tcW w:w="14033" w:type="dxa"/>
            <w:gridSpan w:val="6"/>
            <w:vAlign w:val="center"/>
          </w:tcPr>
          <w:p w14:paraId="343738D9">
            <w:pPr>
              <w:pStyle w:val="12"/>
            </w:pPr>
            <w:r>
              <w:t>1.改善就学条件，提升学校形象，保障义务教育阶段教学安全，创造良好的校园环境。</w:t>
            </w:r>
          </w:p>
          <w:p w14:paraId="574C441E">
            <w:pPr>
              <w:pStyle w:val="12"/>
            </w:pPr>
            <w:r>
              <w:t>2.项目需资金34.4万元，资金拨付率达到100%。</w:t>
            </w:r>
          </w:p>
        </w:tc>
      </w:tr>
    </w:tbl>
    <w:p w14:paraId="1FE70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76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16BED">
            <w:pPr>
              <w:pStyle w:val="10"/>
            </w:pPr>
            <w:r>
              <w:t>一级指标</w:t>
            </w:r>
          </w:p>
        </w:tc>
        <w:tc>
          <w:tcPr>
            <w:tcW w:w="2268" w:type="dxa"/>
            <w:vAlign w:val="center"/>
          </w:tcPr>
          <w:p w14:paraId="7BBF261B">
            <w:pPr>
              <w:pStyle w:val="10"/>
            </w:pPr>
            <w:r>
              <w:t>二级指标</w:t>
            </w:r>
          </w:p>
        </w:tc>
        <w:tc>
          <w:tcPr>
            <w:tcW w:w="2835" w:type="dxa"/>
            <w:vAlign w:val="center"/>
          </w:tcPr>
          <w:p w14:paraId="436E3803">
            <w:pPr>
              <w:pStyle w:val="10"/>
            </w:pPr>
            <w:r>
              <w:t>三级指标</w:t>
            </w:r>
          </w:p>
        </w:tc>
        <w:tc>
          <w:tcPr>
            <w:tcW w:w="5386" w:type="dxa"/>
            <w:vAlign w:val="center"/>
          </w:tcPr>
          <w:p w14:paraId="13E95D24">
            <w:pPr>
              <w:pStyle w:val="10"/>
            </w:pPr>
            <w:r>
              <w:t>绩效指标描述</w:t>
            </w:r>
          </w:p>
        </w:tc>
        <w:tc>
          <w:tcPr>
            <w:tcW w:w="2268" w:type="dxa"/>
            <w:vAlign w:val="center"/>
          </w:tcPr>
          <w:p w14:paraId="2BABA54B">
            <w:pPr>
              <w:pStyle w:val="10"/>
            </w:pPr>
            <w:r>
              <w:t>指标值</w:t>
            </w:r>
          </w:p>
        </w:tc>
        <w:tc>
          <w:tcPr>
            <w:tcW w:w="1276" w:type="dxa"/>
            <w:vAlign w:val="center"/>
          </w:tcPr>
          <w:p w14:paraId="79AD6E78">
            <w:pPr>
              <w:pStyle w:val="10"/>
            </w:pPr>
            <w:r>
              <w:t>指标值确定依据</w:t>
            </w:r>
          </w:p>
        </w:tc>
      </w:tr>
      <w:tr w14:paraId="088F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5F434">
            <w:pPr>
              <w:pStyle w:val="13"/>
            </w:pPr>
            <w:r>
              <w:t>产出指标</w:t>
            </w:r>
          </w:p>
        </w:tc>
        <w:tc>
          <w:tcPr>
            <w:tcW w:w="2268" w:type="dxa"/>
            <w:vAlign w:val="center"/>
          </w:tcPr>
          <w:p w14:paraId="0012AAEE">
            <w:pPr>
              <w:pStyle w:val="12"/>
            </w:pPr>
            <w:r>
              <w:t>数量指标</w:t>
            </w:r>
          </w:p>
        </w:tc>
        <w:tc>
          <w:tcPr>
            <w:tcW w:w="2835" w:type="dxa"/>
            <w:vAlign w:val="center"/>
          </w:tcPr>
          <w:p w14:paraId="79E00A72">
            <w:pPr>
              <w:pStyle w:val="12"/>
            </w:pPr>
            <w:r>
              <w:t>旧城小学校舍维修改造</w:t>
            </w:r>
          </w:p>
        </w:tc>
        <w:tc>
          <w:tcPr>
            <w:tcW w:w="5386" w:type="dxa"/>
            <w:vAlign w:val="center"/>
          </w:tcPr>
          <w:p w14:paraId="34A64BBA">
            <w:pPr>
              <w:pStyle w:val="12"/>
            </w:pPr>
            <w:r>
              <w:t>外墙修补、地面塌陷处理、门口沥青路面、餐厅外墙保温层等</w:t>
            </w:r>
          </w:p>
        </w:tc>
        <w:tc>
          <w:tcPr>
            <w:tcW w:w="2268" w:type="dxa"/>
            <w:vAlign w:val="center"/>
          </w:tcPr>
          <w:p w14:paraId="74EB3CDD">
            <w:pPr>
              <w:pStyle w:val="12"/>
            </w:pPr>
            <w:r>
              <w:t>1项</w:t>
            </w:r>
          </w:p>
        </w:tc>
        <w:tc>
          <w:tcPr>
            <w:tcW w:w="1276" w:type="dxa"/>
            <w:vAlign w:val="center"/>
          </w:tcPr>
          <w:p w14:paraId="4C6E8B5F">
            <w:pPr>
              <w:pStyle w:val="12"/>
            </w:pPr>
            <w:r>
              <w:t>项目规划</w:t>
            </w:r>
          </w:p>
        </w:tc>
      </w:tr>
      <w:tr w14:paraId="785FB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71095"/>
        </w:tc>
        <w:tc>
          <w:tcPr>
            <w:tcW w:w="2268" w:type="dxa"/>
            <w:vAlign w:val="center"/>
          </w:tcPr>
          <w:p w14:paraId="53C7864D">
            <w:pPr>
              <w:pStyle w:val="12"/>
            </w:pPr>
            <w:r>
              <w:t>质量指标</w:t>
            </w:r>
          </w:p>
        </w:tc>
        <w:tc>
          <w:tcPr>
            <w:tcW w:w="2835" w:type="dxa"/>
            <w:vAlign w:val="center"/>
          </w:tcPr>
          <w:p w14:paraId="3BB043B1">
            <w:pPr>
              <w:pStyle w:val="12"/>
            </w:pPr>
            <w:r>
              <w:t>工程实施验收合格率</w:t>
            </w:r>
          </w:p>
        </w:tc>
        <w:tc>
          <w:tcPr>
            <w:tcW w:w="5386" w:type="dxa"/>
            <w:vAlign w:val="center"/>
          </w:tcPr>
          <w:p w14:paraId="4CE9FC22">
            <w:pPr>
              <w:pStyle w:val="12"/>
            </w:pPr>
            <w:r>
              <w:t>申报程序的合规，项目实施及资金使用符合项目规划</w:t>
            </w:r>
          </w:p>
        </w:tc>
        <w:tc>
          <w:tcPr>
            <w:tcW w:w="2268" w:type="dxa"/>
            <w:vAlign w:val="center"/>
          </w:tcPr>
          <w:p w14:paraId="2BEC66C3">
            <w:pPr>
              <w:pStyle w:val="12"/>
            </w:pPr>
            <w:r>
              <w:t>100%</w:t>
            </w:r>
          </w:p>
        </w:tc>
        <w:tc>
          <w:tcPr>
            <w:tcW w:w="1276" w:type="dxa"/>
            <w:vAlign w:val="center"/>
          </w:tcPr>
          <w:p w14:paraId="17A2F729">
            <w:pPr>
              <w:pStyle w:val="12"/>
            </w:pPr>
            <w:r>
              <w:t>项目规划</w:t>
            </w:r>
          </w:p>
        </w:tc>
      </w:tr>
      <w:tr w14:paraId="027B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8862F"/>
        </w:tc>
        <w:tc>
          <w:tcPr>
            <w:tcW w:w="2268" w:type="dxa"/>
            <w:vAlign w:val="center"/>
          </w:tcPr>
          <w:p w14:paraId="0A3EC85C">
            <w:pPr>
              <w:pStyle w:val="12"/>
            </w:pPr>
            <w:r>
              <w:t>时效指标</w:t>
            </w:r>
          </w:p>
        </w:tc>
        <w:tc>
          <w:tcPr>
            <w:tcW w:w="2835" w:type="dxa"/>
            <w:vAlign w:val="center"/>
          </w:tcPr>
          <w:p w14:paraId="3A3CE54F">
            <w:pPr>
              <w:pStyle w:val="12"/>
            </w:pPr>
            <w:r>
              <w:t>资金支付率</w:t>
            </w:r>
          </w:p>
        </w:tc>
        <w:tc>
          <w:tcPr>
            <w:tcW w:w="5386" w:type="dxa"/>
            <w:vAlign w:val="center"/>
          </w:tcPr>
          <w:p w14:paraId="5BBA6B4C">
            <w:pPr>
              <w:pStyle w:val="12"/>
            </w:pPr>
            <w:r>
              <w:t>按照序时进度完成资金支付</w:t>
            </w:r>
          </w:p>
        </w:tc>
        <w:tc>
          <w:tcPr>
            <w:tcW w:w="2268" w:type="dxa"/>
            <w:vAlign w:val="center"/>
          </w:tcPr>
          <w:p w14:paraId="62921428">
            <w:pPr>
              <w:pStyle w:val="12"/>
            </w:pPr>
            <w:r>
              <w:t>100%</w:t>
            </w:r>
          </w:p>
        </w:tc>
        <w:tc>
          <w:tcPr>
            <w:tcW w:w="1276" w:type="dxa"/>
            <w:vAlign w:val="center"/>
          </w:tcPr>
          <w:p w14:paraId="0D875403">
            <w:pPr>
              <w:pStyle w:val="12"/>
            </w:pPr>
            <w:r>
              <w:t>项目规划</w:t>
            </w:r>
          </w:p>
        </w:tc>
      </w:tr>
      <w:tr w14:paraId="0618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A1F28"/>
        </w:tc>
        <w:tc>
          <w:tcPr>
            <w:tcW w:w="2268" w:type="dxa"/>
            <w:vAlign w:val="center"/>
          </w:tcPr>
          <w:p w14:paraId="18CED559">
            <w:pPr>
              <w:pStyle w:val="12"/>
            </w:pPr>
            <w:r>
              <w:t>成本指标</w:t>
            </w:r>
          </w:p>
        </w:tc>
        <w:tc>
          <w:tcPr>
            <w:tcW w:w="2835" w:type="dxa"/>
            <w:vAlign w:val="center"/>
          </w:tcPr>
          <w:p w14:paraId="7CB35337">
            <w:pPr>
              <w:pStyle w:val="12"/>
            </w:pPr>
            <w:r>
              <w:t>项目成本控制情况</w:t>
            </w:r>
          </w:p>
        </w:tc>
        <w:tc>
          <w:tcPr>
            <w:tcW w:w="5386" w:type="dxa"/>
            <w:vAlign w:val="center"/>
          </w:tcPr>
          <w:p w14:paraId="25BBAAD9">
            <w:pPr>
              <w:pStyle w:val="12"/>
            </w:pPr>
            <w:r>
              <w:t>严格按照招标价格及审计额进行</w:t>
            </w:r>
          </w:p>
        </w:tc>
        <w:tc>
          <w:tcPr>
            <w:tcW w:w="2268" w:type="dxa"/>
            <w:vAlign w:val="center"/>
          </w:tcPr>
          <w:p w14:paraId="059B09D0">
            <w:pPr>
              <w:pStyle w:val="12"/>
            </w:pPr>
            <w:r>
              <w:t>34.4万元</w:t>
            </w:r>
          </w:p>
        </w:tc>
        <w:tc>
          <w:tcPr>
            <w:tcW w:w="1276" w:type="dxa"/>
            <w:vAlign w:val="center"/>
          </w:tcPr>
          <w:p w14:paraId="76323D63">
            <w:pPr>
              <w:pStyle w:val="12"/>
            </w:pPr>
            <w:r>
              <w:t>项目规划</w:t>
            </w:r>
          </w:p>
        </w:tc>
      </w:tr>
      <w:tr w14:paraId="7AA0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A6F8C">
            <w:pPr>
              <w:pStyle w:val="13"/>
            </w:pPr>
            <w:r>
              <w:t>效益指标</w:t>
            </w:r>
          </w:p>
        </w:tc>
        <w:tc>
          <w:tcPr>
            <w:tcW w:w="2268" w:type="dxa"/>
            <w:vAlign w:val="center"/>
          </w:tcPr>
          <w:p w14:paraId="3542EDC2">
            <w:pPr>
              <w:pStyle w:val="12"/>
            </w:pPr>
            <w:r>
              <w:t>社会效益指标</w:t>
            </w:r>
          </w:p>
        </w:tc>
        <w:tc>
          <w:tcPr>
            <w:tcW w:w="2835" w:type="dxa"/>
            <w:vAlign w:val="center"/>
          </w:tcPr>
          <w:p w14:paraId="7C7C1221">
            <w:pPr>
              <w:pStyle w:val="12"/>
            </w:pPr>
            <w:r>
              <w:t>学校办学环境提升</w:t>
            </w:r>
          </w:p>
        </w:tc>
        <w:tc>
          <w:tcPr>
            <w:tcW w:w="5386" w:type="dxa"/>
            <w:vAlign w:val="center"/>
          </w:tcPr>
          <w:p w14:paraId="1016F6CB">
            <w:pPr>
              <w:pStyle w:val="12"/>
            </w:pPr>
            <w:r>
              <w:t>学校教学环境提升优化率</w:t>
            </w:r>
          </w:p>
        </w:tc>
        <w:tc>
          <w:tcPr>
            <w:tcW w:w="2268" w:type="dxa"/>
            <w:vAlign w:val="center"/>
          </w:tcPr>
          <w:p w14:paraId="1761A4D4">
            <w:pPr>
              <w:pStyle w:val="12"/>
            </w:pPr>
            <w:r>
              <w:t>≥98%</w:t>
            </w:r>
          </w:p>
        </w:tc>
        <w:tc>
          <w:tcPr>
            <w:tcW w:w="1276" w:type="dxa"/>
            <w:vAlign w:val="center"/>
          </w:tcPr>
          <w:p w14:paraId="28BD4D41">
            <w:pPr>
              <w:pStyle w:val="12"/>
            </w:pPr>
            <w:r>
              <w:t>项目规划</w:t>
            </w:r>
          </w:p>
        </w:tc>
      </w:tr>
      <w:tr w14:paraId="0357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15A36">
            <w:pPr>
              <w:pStyle w:val="13"/>
            </w:pPr>
            <w:r>
              <w:t>满意度指标</w:t>
            </w:r>
          </w:p>
        </w:tc>
        <w:tc>
          <w:tcPr>
            <w:tcW w:w="2268" w:type="dxa"/>
            <w:vAlign w:val="center"/>
          </w:tcPr>
          <w:p w14:paraId="38338E2D">
            <w:pPr>
              <w:pStyle w:val="12"/>
            </w:pPr>
            <w:r>
              <w:t>服务对象满意度指标</w:t>
            </w:r>
          </w:p>
        </w:tc>
        <w:tc>
          <w:tcPr>
            <w:tcW w:w="2835" w:type="dxa"/>
            <w:vAlign w:val="center"/>
          </w:tcPr>
          <w:p w14:paraId="5512A7FF">
            <w:pPr>
              <w:pStyle w:val="12"/>
            </w:pPr>
            <w:r>
              <w:t>受益学生家长及调查满意度</w:t>
            </w:r>
          </w:p>
        </w:tc>
        <w:tc>
          <w:tcPr>
            <w:tcW w:w="5386" w:type="dxa"/>
            <w:vAlign w:val="center"/>
          </w:tcPr>
          <w:p w14:paraId="3725817D">
            <w:pPr>
              <w:pStyle w:val="12"/>
            </w:pPr>
            <w:r>
              <w:t>学生、教师及家长对学校教学环境满意度情况</w:t>
            </w:r>
          </w:p>
        </w:tc>
        <w:tc>
          <w:tcPr>
            <w:tcW w:w="2268" w:type="dxa"/>
            <w:vAlign w:val="center"/>
          </w:tcPr>
          <w:p w14:paraId="2F388999">
            <w:pPr>
              <w:pStyle w:val="12"/>
            </w:pPr>
            <w:r>
              <w:t>≥95%</w:t>
            </w:r>
          </w:p>
        </w:tc>
        <w:tc>
          <w:tcPr>
            <w:tcW w:w="1276" w:type="dxa"/>
            <w:vAlign w:val="center"/>
          </w:tcPr>
          <w:p w14:paraId="7C080161">
            <w:pPr>
              <w:pStyle w:val="12"/>
            </w:pPr>
            <w:r>
              <w:t>问卷调查</w:t>
            </w:r>
          </w:p>
        </w:tc>
      </w:tr>
    </w:tbl>
    <w:p w14:paraId="07D3FBB5">
      <w:pPr>
        <w:sectPr>
          <w:pgSz w:w="16840" w:h="11900" w:orient="landscape"/>
          <w:pgMar w:top="1361" w:right="1020" w:bottom="1134" w:left="1020" w:header="720" w:footer="720" w:gutter="0"/>
          <w:cols w:space="720" w:num="1"/>
        </w:sectPr>
      </w:pPr>
    </w:p>
    <w:p w14:paraId="4B6E2704">
      <w:pPr>
        <w:spacing w:before="0" w:after="0"/>
        <w:ind w:firstLine="560"/>
        <w:jc w:val="left"/>
        <w:outlineLvl w:val="9"/>
      </w:pPr>
      <w:r>
        <w:rPr>
          <w:rFonts w:ascii="方正仿宋_GBK" w:hAnsi="方正仿宋_GBK" w:eastAsia="方正仿宋_GBK" w:cs="方正仿宋_GBK"/>
          <w:b/>
          <w:color w:val="000000"/>
          <w:sz w:val="28"/>
        </w:rPr>
        <w:t>19、冀财教[2025]147号/省级/义教/2026年校舍安全/开河小学校舍维修改造绩效目标表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2A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3200A">
            <w:pPr>
              <w:pStyle w:val="11"/>
            </w:pPr>
            <w:r>
              <w:t>单位：万元</w:t>
            </w:r>
          </w:p>
        </w:tc>
      </w:tr>
      <w:tr w14:paraId="55F07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D1CBC">
            <w:pPr>
              <w:pStyle w:val="10"/>
            </w:pPr>
            <w:r>
              <w:t>项目编码</w:t>
            </w:r>
          </w:p>
        </w:tc>
        <w:tc>
          <w:tcPr>
            <w:tcW w:w="5103" w:type="dxa"/>
            <w:gridSpan w:val="2"/>
            <w:vAlign w:val="center"/>
          </w:tcPr>
          <w:p w14:paraId="6C952C7D">
            <w:pPr>
              <w:pStyle w:val="12"/>
            </w:pPr>
            <w:r>
              <w:t>13052526P00876210110E</w:t>
            </w:r>
          </w:p>
        </w:tc>
        <w:tc>
          <w:tcPr>
            <w:tcW w:w="2835" w:type="dxa"/>
            <w:vAlign w:val="center"/>
          </w:tcPr>
          <w:p w14:paraId="660F4873">
            <w:pPr>
              <w:pStyle w:val="10"/>
            </w:pPr>
            <w:r>
              <w:t>项目名称</w:t>
            </w:r>
          </w:p>
        </w:tc>
        <w:tc>
          <w:tcPr>
            <w:tcW w:w="6095" w:type="dxa"/>
            <w:gridSpan w:val="3"/>
            <w:vAlign w:val="center"/>
          </w:tcPr>
          <w:p w14:paraId="15B2F82D">
            <w:pPr>
              <w:pStyle w:val="12"/>
            </w:pPr>
            <w:r>
              <w:t>冀财教[2025]147号/省级/义教/2026年校舍安全/开河小学校舍维修改造</w:t>
            </w:r>
          </w:p>
        </w:tc>
      </w:tr>
      <w:tr w14:paraId="72A11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86F71">
            <w:pPr>
              <w:pStyle w:val="10"/>
            </w:pPr>
            <w:r>
              <w:t>预算规模及资金用途</w:t>
            </w:r>
          </w:p>
        </w:tc>
        <w:tc>
          <w:tcPr>
            <w:tcW w:w="2268" w:type="dxa"/>
            <w:vAlign w:val="center"/>
          </w:tcPr>
          <w:p w14:paraId="37B8E214">
            <w:pPr>
              <w:pStyle w:val="10"/>
            </w:pPr>
            <w:r>
              <w:t>预算数</w:t>
            </w:r>
          </w:p>
        </w:tc>
        <w:tc>
          <w:tcPr>
            <w:tcW w:w="2835" w:type="dxa"/>
            <w:vAlign w:val="center"/>
          </w:tcPr>
          <w:p w14:paraId="4AD167EA">
            <w:pPr>
              <w:pStyle w:val="12"/>
            </w:pPr>
            <w:r>
              <w:t>22.00</w:t>
            </w:r>
          </w:p>
        </w:tc>
        <w:tc>
          <w:tcPr>
            <w:tcW w:w="2835" w:type="dxa"/>
            <w:vAlign w:val="center"/>
          </w:tcPr>
          <w:p w14:paraId="12424F48">
            <w:pPr>
              <w:pStyle w:val="10"/>
            </w:pPr>
            <w:r>
              <w:t>其中：财政    资金</w:t>
            </w:r>
          </w:p>
        </w:tc>
        <w:tc>
          <w:tcPr>
            <w:tcW w:w="2551" w:type="dxa"/>
            <w:vAlign w:val="center"/>
          </w:tcPr>
          <w:p w14:paraId="1431A2B8">
            <w:pPr>
              <w:pStyle w:val="12"/>
            </w:pPr>
            <w:r>
              <w:t>22.00</w:t>
            </w:r>
          </w:p>
        </w:tc>
        <w:tc>
          <w:tcPr>
            <w:tcW w:w="2268" w:type="dxa"/>
            <w:vAlign w:val="center"/>
          </w:tcPr>
          <w:p w14:paraId="535297AC">
            <w:pPr>
              <w:pStyle w:val="10"/>
            </w:pPr>
            <w:r>
              <w:t>其他资金</w:t>
            </w:r>
          </w:p>
        </w:tc>
        <w:tc>
          <w:tcPr>
            <w:tcW w:w="1276" w:type="dxa"/>
            <w:vAlign w:val="center"/>
          </w:tcPr>
          <w:p w14:paraId="5B598511">
            <w:pPr>
              <w:pStyle w:val="12"/>
            </w:pPr>
            <w:r>
              <w:t xml:space="preserve"> </w:t>
            </w:r>
          </w:p>
        </w:tc>
      </w:tr>
      <w:tr w14:paraId="54855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3DF2F"/>
        </w:tc>
        <w:tc>
          <w:tcPr>
            <w:tcW w:w="14033" w:type="dxa"/>
            <w:gridSpan w:val="6"/>
            <w:vAlign w:val="center"/>
          </w:tcPr>
          <w:p w14:paraId="19420397">
            <w:pPr>
              <w:pStyle w:val="12"/>
            </w:pPr>
            <w:r>
              <w:t>改善就学条件，提升学校形象，保障义务教育阶段教学安全，创造良好的校园环境。</w:t>
            </w:r>
          </w:p>
        </w:tc>
      </w:tr>
      <w:tr w14:paraId="69228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81C5A">
            <w:pPr>
              <w:pStyle w:val="10"/>
            </w:pPr>
            <w:r>
              <w:t>资金支出计划（%）</w:t>
            </w:r>
          </w:p>
        </w:tc>
        <w:tc>
          <w:tcPr>
            <w:tcW w:w="5103" w:type="dxa"/>
            <w:gridSpan w:val="2"/>
            <w:vAlign w:val="center"/>
          </w:tcPr>
          <w:p w14:paraId="28767F04">
            <w:pPr>
              <w:pStyle w:val="10"/>
            </w:pPr>
            <w:r>
              <w:t>3月底</w:t>
            </w:r>
          </w:p>
        </w:tc>
        <w:tc>
          <w:tcPr>
            <w:tcW w:w="2835" w:type="dxa"/>
            <w:vAlign w:val="center"/>
          </w:tcPr>
          <w:p w14:paraId="54580383">
            <w:pPr>
              <w:pStyle w:val="10"/>
            </w:pPr>
            <w:r>
              <w:t>6月底</w:t>
            </w:r>
          </w:p>
        </w:tc>
        <w:tc>
          <w:tcPr>
            <w:tcW w:w="2551" w:type="dxa"/>
            <w:vAlign w:val="center"/>
          </w:tcPr>
          <w:p w14:paraId="532256BB">
            <w:pPr>
              <w:pStyle w:val="10"/>
            </w:pPr>
            <w:r>
              <w:t>10月底</w:t>
            </w:r>
          </w:p>
        </w:tc>
        <w:tc>
          <w:tcPr>
            <w:tcW w:w="3544" w:type="dxa"/>
            <w:gridSpan w:val="2"/>
            <w:vAlign w:val="center"/>
          </w:tcPr>
          <w:p w14:paraId="27CCE390">
            <w:pPr>
              <w:pStyle w:val="10"/>
            </w:pPr>
            <w:r>
              <w:t>12月底</w:t>
            </w:r>
          </w:p>
        </w:tc>
      </w:tr>
      <w:tr w14:paraId="7E3CE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5F7DA"/>
        </w:tc>
        <w:tc>
          <w:tcPr>
            <w:tcW w:w="5103" w:type="dxa"/>
            <w:gridSpan w:val="2"/>
            <w:vAlign w:val="center"/>
          </w:tcPr>
          <w:p w14:paraId="4CE6CC86">
            <w:pPr>
              <w:pStyle w:val="13"/>
            </w:pPr>
            <w:r>
              <w:t xml:space="preserve"> </w:t>
            </w:r>
          </w:p>
        </w:tc>
        <w:tc>
          <w:tcPr>
            <w:tcW w:w="2835" w:type="dxa"/>
            <w:vAlign w:val="center"/>
          </w:tcPr>
          <w:p w14:paraId="21DD57BE">
            <w:pPr>
              <w:pStyle w:val="13"/>
            </w:pPr>
            <w:r>
              <w:t xml:space="preserve"> </w:t>
            </w:r>
          </w:p>
        </w:tc>
        <w:tc>
          <w:tcPr>
            <w:tcW w:w="2551" w:type="dxa"/>
            <w:vAlign w:val="center"/>
          </w:tcPr>
          <w:p w14:paraId="0BE54F9C">
            <w:pPr>
              <w:pStyle w:val="13"/>
            </w:pPr>
            <w:r>
              <w:t>100%</w:t>
            </w:r>
          </w:p>
        </w:tc>
        <w:tc>
          <w:tcPr>
            <w:tcW w:w="3544" w:type="dxa"/>
            <w:gridSpan w:val="2"/>
            <w:vAlign w:val="center"/>
          </w:tcPr>
          <w:p w14:paraId="4BF2FC6B">
            <w:pPr>
              <w:pStyle w:val="13"/>
            </w:pPr>
            <w:r>
              <w:t>100%</w:t>
            </w:r>
          </w:p>
        </w:tc>
      </w:tr>
      <w:tr w14:paraId="21AD7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B23CB">
            <w:pPr>
              <w:pStyle w:val="10"/>
            </w:pPr>
            <w:r>
              <w:t>绩效目标</w:t>
            </w:r>
          </w:p>
        </w:tc>
        <w:tc>
          <w:tcPr>
            <w:tcW w:w="14033" w:type="dxa"/>
            <w:gridSpan w:val="6"/>
            <w:vAlign w:val="center"/>
          </w:tcPr>
          <w:p w14:paraId="029CB783">
            <w:pPr>
              <w:pStyle w:val="12"/>
            </w:pPr>
            <w:r>
              <w:t>1.项目需资金22万元，资金拨付率达到100%</w:t>
            </w:r>
          </w:p>
          <w:p w14:paraId="654A4A40">
            <w:pPr>
              <w:pStyle w:val="12"/>
            </w:pPr>
            <w:r>
              <w:t>2.改善就学条件，提升学校形象，保障义务教育阶段教学安全，创造良好的校园环境。</w:t>
            </w:r>
          </w:p>
        </w:tc>
      </w:tr>
    </w:tbl>
    <w:p w14:paraId="3865BB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7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77411">
            <w:pPr>
              <w:pStyle w:val="10"/>
            </w:pPr>
            <w:r>
              <w:t>一级指标</w:t>
            </w:r>
          </w:p>
        </w:tc>
        <w:tc>
          <w:tcPr>
            <w:tcW w:w="2268" w:type="dxa"/>
            <w:vAlign w:val="center"/>
          </w:tcPr>
          <w:p w14:paraId="667CFC82">
            <w:pPr>
              <w:pStyle w:val="10"/>
            </w:pPr>
            <w:r>
              <w:t>二级指标</w:t>
            </w:r>
          </w:p>
        </w:tc>
        <w:tc>
          <w:tcPr>
            <w:tcW w:w="2835" w:type="dxa"/>
            <w:vAlign w:val="center"/>
          </w:tcPr>
          <w:p w14:paraId="5D02E9EA">
            <w:pPr>
              <w:pStyle w:val="10"/>
            </w:pPr>
            <w:r>
              <w:t>三级指标</w:t>
            </w:r>
          </w:p>
        </w:tc>
        <w:tc>
          <w:tcPr>
            <w:tcW w:w="5386" w:type="dxa"/>
            <w:vAlign w:val="center"/>
          </w:tcPr>
          <w:p w14:paraId="1332BB57">
            <w:pPr>
              <w:pStyle w:val="10"/>
            </w:pPr>
            <w:r>
              <w:t>绩效指标描述</w:t>
            </w:r>
          </w:p>
        </w:tc>
        <w:tc>
          <w:tcPr>
            <w:tcW w:w="2268" w:type="dxa"/>
            <w:vAlign w:val="center"/>
          </w:tcPr>
          <w:p w14:paraId="4BA8BA09">
            <w:pPr>
              <w:pStyle w:val="10"/>
            </w:pPr>
            <w:r>
              <w:t>指标值</w:t>
            </w:r>
          </w:p>
        </w:tc>
        <w:tc>
          <w:tcPr>
            <w:tcW w:w="1276" w:type="dxa"/>
            <w:vAlign w:val="center"/>
          </w:tcPr>
          <w:p w14:paraId="59A95238">
            <w:pPr>
              <w:pStyle w:val="10"/>
            </w:pPr>
            <w:r>
              <w:t>指标值确定依据</w:t>
            </w:r>
          </w:p>
        </w:tc>
      </w:tr>
      <w:tr w14:paraId="733F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1B48F">
            <w:pPr>
              <w:pStyle w:val="13"/>
            </w:pPr>
            <w:r>
              <w:t>产出指标</w:t>
            </w:r>
          </w:p>
        </w:tc>
        <w:tc>
          <w:tcPr>
            <w:tcW w:w="2268" w:type="dxa"/>
            <w:vAlign w:val="center"/>
          </w:tcPr>
          <w:p w14:paraId="04350CD5">
            <w:pPr>
              <w:pStyle w:val="12"/>
            </w:pPr>
            <w:r>
              <w:t>数量指标</w:t>
            </w:r>
          </w:p>
        </w:tc>
        <w:tc>
          <w:tcPr>
            <w:tcW w:w="2835" w:type="dxa"/>
            <w:vAlign w:val="center"/>
          </w:tcPr>
          <w:p w14:paraId="0E34F788">
            <w:pPr>
              <w:pStyle w:val="12"/>
            </w:pPr>
            <w:r>
              <w:t xml:space="preserve"> 开河小学校舍维修改造</w:t>
            </w:r>
          </w:p>
        </w:tc>
        <w:tc>
          <w:tcPr>
            <w:tcW w:w="5386" w:type="dxa"/>
            <w:vAlign w:val="center"/>
          </w:tcPr>
          <w:p w14:paraId="0A515AED">
            <w:pPr>
              <w:pStyle w:val="12"/>
            </w:pPr>
            <w:r>
              <w:t xml:space="preserve"> 地面修补等</w:t>
            </w:r>
          </w:p>
        </w:tc>
        <w:tc>
          <w:tcPr>
            <w:tcW w:w="2268" w:type="dxa"/>
            <w:vAlign w:val="center"/>
          </w:tcPr>
          <w:p w14:paraId="58146403">
            <w:pPr>
              <w:pStyle w:val="12"/>
            </w:pPr>
            <w:r>
              <w:t>1项</w:t>
            </w:r>
          </w:p>
        </w:tc>
        <w:tc>
          <w:tcPr>
            <w:tcW w:w="1276" w:type="dxa"/>
            <w:vAlign w:val="center"/>
          </w:tcPr>
          <w:p w14:paraId="10501F5F">
            <w:pPr>
              <w:pStyle w:val="12"/>
            </w:pPr>
            <w:r>
              <w:t>项目规划</w:t>
            </w:r>
          </w:p>
        </w:tc>
      </w:tr>
      <w:tr w14:paraId="777F6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1E6C2"/>
        </w:tc>
        <w:tc>
          <w:tcPr>
            <w:tcW w:w="2268" w:type="dxa"/>
            <w:vAlign w:val="center"/>
          </w:tcPr>
          <w:p w14:paraId="09BE880E">
            <w:pPr>
              <w:pStyle w:val="12"/>
            </w:pPr>
            <w:r>
              <w:t>质量指标</w:t>
            </w:r>
          </w:p>
        </w:tc>
        <w:tc>
          <w:tcPr>
            <w:tcW w:w="2835" w:type="dxa"/>
            <w:vAlign w:val="center"/>
          </w:tcPr>
          <w:p w14:paraId="6112268F">
            <w:pPr>
              <w:pStyle w:val="12"/>
            </w:pPr>
            <w:r>
              <w:t>工程实施验收合格率</w:t>
            </w:r>
          </w:p>
        </w:tc>
        <w:tc>
          <w:tcPr>
            <w:tcW w:w="5386" w:type="dxa"/>
            <w:vAlign w:val="center"/>
          </w:tcPr>
          <w:p w14:paraId="43953BD5">
            <w:pPr>
              <w:pStyle w:val="12"/>
            </w:pPr>
            <w:r>
              <w:t>申报程序的合规，项目实施及资金使用符合项目规划</w:t>
            </w:r>
          </w:p>
        </w:tc>
        <w:tc>
          <w:tcPr>
            <w:tcW w:w="2268" w:type="dxa"/>
            <w:vAlign w:val="center"/>
          </w:tcPr>
          <w:p w14:paraId="594DD7F6">
            <w:pPr>
              <w:pStyle w:val="12"/>
            </w:pPr>
            <w:r>
              <w:t>100%</w:t>
            </w:r>
          </w:p>
        </w:tc>
        <w:tc>
          <w:tcPr>
            <w:tcW w:w="1276" w:type="dxa"/>
            <w:vAlign w:val="center"/>
          </w:tcPr>
          <w:p w14:paraId="1F7BC47D">
            <w:pPr>
              <w:pStyle w:val="12"/>
            </w:pPr>
            <w:r>
              <w:t>项目规划</w:t>
            </w:r>
          </w:p>
        </w:tc>
      </w:tr>
      <w:tr w14:paraId="02C9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E782E"/>
        </w:tc>
        <w:tc>
          <w:tcPr>
            <w:tcW w:w="2268" w:type="dxa"/>
            <w:vAlign w:val="center"/>
          </w:tcPr>
          <w:p w14:paraId="1ECCD05E">
            <w:pPr>
              <w:pStyle w:val="12"/>
            </w:pPr>
            <w:r>
              <w:t>时效指标</w:t>
            </w:r>
          </w:p>
        </w:tc>
        <w:tc>
          <w:tcPr>
            <w:tcW w:w="2835" w:type="dxa"/>
            <w:vAlign w:val="center"/>
          </w:tcPr>
          <w:p w14:paraId="4E92BFB7">
            <w:pPr>
              <w:pStyle w:val="12"/>
            </w:pPr>
            <w:r>
              <w:t>资金支付率</w:t>
            </w:r>
          </w:p>
        </w:tc>
        <w:tc>
          <w:tcPr>
            <w:tcW w:w="5386" w:type="dxa"/>
            <w:vAlign w:val="center"/>
          </w:tcPr>
          <w:p w14:paraId="30E224D3">
            <w:pPr>
              <w:pStyle w:val="12"/>
            </w:pPr>
            <w:r>
              <w:t>按照序时进度完成资金支付</w:t>
            </w:r>
          </w:p>
        </w:tc>
        <w:tc>
          <w:tcPr>
            <w:tcW w:w="2268" w:type="dxa"/>
            <w:vAlign w:val="center"/>
          </w:tcPr>
          <w:p w14:paraId="1B59700A">
            <w:pPr>
              <w:pStyle w:val="12"/>
            </w:pPr>
            <w:r>
              <w:t>100%</w:t>
            </w:r>
          </w:p>
        </w:tc>
        <w:tc>
          <w:tcPr>
            <w:tcW w:w="1276" w:type="dxa"/>
            <w:vAlign w:val="center"/>
          </w:tcPr>
          <w:p w14:paraId="207C04A4">
            <w:pPr>
              <w:pStyle w:val="12"/>
            </w:pPr>
            <w:r>
              <w:t>项目规划</w:t>
            </w:r>
          </w:p>
        </w:tc>
      </w:tr>
      <w:tr w14:paraId="5655E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9E84C"/>
        </w:tc>
        <w:tc>
          <w:tcPr>
            <w:tcW w:w="2268" w:type="dxa"/>
            <w:vAlign w:val="center"/>
          </w:tcPr>
          <w:p w14:paraId="6AA7DF62">
            <w:pPr>
              <w:pStyle w:val="12"/>
            </w:pPr>
            <w:r>
              <w:t>成本指标</w:t>
            </w:r>
          </w:p>
        </w:tc>
        <w:tc>
          <w:tcPr>
            <w:tcW w:w="2835" w:type="dxa"/>
            <w:vAlign w:val="center"/>
          </w:tcPr>
          <w:p w14:paraId="75CE0B70">
            <w:pPr>
              <w:pStyle w:val="12"/>
            </w:pPr>
            <w:r>
              <w:t>项目成本控制情况</w:t>
            </w:r>
          </w:p>
        </w:tc>
        <w:tc>
          <w:tcPr>
            <w:tcW w:w="5386" w:type="dxa"/>
            <w:vAlign w:val="center"/>
          </w:tcPr>
          <w:p w14:paraId="3586013E">
            <w:pPr>
              <w:pStyle w:val="12"/>
            </w:pPr>
            <w:r>
              <w:t>严格按照招标价格及审计额进行</w:t>
            </w:r>
          </w:p>
        </w:tc>
        <w:tc>
          <w:tcPr>
            <w:tcW w:w="2268" w:type="dxa"/>
            <w:vAlign w:val="center"/>
          </w:tcPr>
          <w:p w14:paraId="28390A8E">
            <w:pPr>
              <w:pStyle w:val="12"/>
            </w:pPr>
            <w:r>
              <w:t>22万元</w:t>
            </w:r>
          </w:p>
        </w:tc>
        <w:tc>
          <w:tcPr>
            <w:tcW w:w="1276" w:type="dxa"/>
            <w:vAlign w:val="center"/>
          </w:tcPr>
          <w:p w14:paraId="724F82CC">
            <w:pPr>
              <w:pStyle w:val="12"/>
            </w:pPr>
            <w:r>
              <w:t>项目规划</w:t>
            </w:r>
          </w:p>
        </w:tc>
      </w:tr>
      <w:tr w14:paraId="40C9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F608A">
            <w:pPr>
              <w:pStyle w:val="13"/>
            </w:pPr>
            <w:r>
              <w:t>效益指标</w:t>
            </w:r>
          </w:p>
        </w:tc>
        <w:tc>
          <w:tcPr>
            <w:tcW w:w="2268" w:type="dxa"/>
            <w:vAlign w:val="center"/>
          </w:tcPr>
          <w:p w14:paraId="64E5C936">
            <w:pPr>
              <w:pStyle w:val="12"/>
            </w:pPr>
            <w:r>
              <w:t>社会效益指标</w:t>
            </w:r>
          </w:p>
        </w:tc>
        <w:tc>
          <w:tcPr>
            <w:tcW w:w="2835" w:type="dxa"/>
            <w:vAlign w:val="center"/>
          </w:tcPr>
          <w:p w14:paraId="7D2199BE">
            <w:pPr>
              <w:pStyle w:val="12"/>
            </w:pPr>
            <w:r>
              <w:t>学校办学环境提升</w:t>
            </w:r>
          </w:p>
        </w:tc>
        <w:tc>
          <w:tcPr>
            <w:tcW w:w="5386" w:type="dxa"/>
            <w:vAlign w:val="center"/>
          </w:tcPr>
          <w:p w14:paraId="6FCAD4AF">
            <w:pPr>
              <w:pStyle w:val="12"/>
            </w:pPr>
            <w:r>
              <w:t>学校教学环境提升优化率</w:t>
            </w:r>
          </w:p>
        </w:tc>
        <w:tc>
          <w:tcPr>
            <w:tcW w:w="2268" w:type="dxa"/>
            <w:vAlign w:val="center"/>
          </w:tcPr>
          <w:p w14:paraId="03E38E02">
            <w:pPr>
              <w:pStyle w:val="12"/>
            </w:pPr>
            <w:r>
              <w:t>≥98%</w:t>
            </w:r>
          </w:p>
        </w:tc>
        <w:tc>
          <w:tcPr>
            <w:tcW w:w="1276" w:type="dxa"/>
            <w:vAlign w:val="center"/>
          </w:tcPr>
          <w:p w14:paraId="20724E13">
            <w:pPr>
              <w:pStyle w:val="12"/>
            </w:pPr>
            <w:r>
              <w:t>项目规划</w:t>
            </w:r>
          </w:p>
        </w:tc>
      </w:tr>
      <w:tr w14:paraId="36CD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60E51">
            <w:pPr>
              <w:pStyle w:val="13"/>
            </w:pPr>
            <w:r>
              <w:t>满意度指标</w:t>
            </w:r>
          </w:p>
        </w:tc>
        <w:tc>
          <w:tcPr>
            <w:tcW w:w="2268" w:type="dxa"/>
            <w:vAlign w:val="center"/>
          </w:tcPr>
          <w:p w14:paraId="30270BD4">
            <w:pPr>
              <w:pStyle w:val="12"/>
            </w:pPr>
            <w:r>
              <w:t>服务对象满意度指标</w:t>
            </w:r>
          </w:p>
        </w:tc>
        <w:tc>
          <w:tcPr>
            <w:tcW w:w="2835" w:type="dxa"/>
            <w:vAlign w:val="center"/>
          </w:tcPr>
          <w:p w14:paraId="159C2D3D">
            <w:pPr>
              <w:pStyle w:val="12"/>
            </w:pPr>
            <w:r>
              <w:t>受益学生家长及调查满意度</w:t>
            </w:r>
          </w:p>
        </w:tc>
        <w:tc>
          <w:tcPr>
            <w:tcW w:w="5386" w:type="dxa"/>
            <w:vAlign w:val="center"/>
          </w:tcPr>
          <w:p w14:paraId="5A3DFCB3">
            <w:pPr>
              <w:pStyle w:val="12"/>
            </w:pPr>
            <w:r>
              <w:t>学生、教师及家长对学校教学环境满意度情况</w:t>
            </w:r>
          </w:p>
        </w:tc>
        <w:tc>
          <w:tcPr>
            <w:tcW w:w="2268" w:type="dxa"/>
            <w:vAlign w:val="center"/>
          </w:tcPr>
          <w:p w14:paraId="058A1C12">
            <w:pPr>
              <w:pStyle w:val="12"/>
            </w:pPr>
            <w:r>
              <w:t>≥95%</w:t>
            </w:r>
          </w:p>
        </w:tc>
        <w:tc>
          <w:tcPr>
            <w:tcW w:w="1276" w:type="dxa"/>
            <w:vAlign w:val="center"/>
          </w:tcPr>
          <w:p w14:paraId="3EE05150">
            <w:pPr>
              <w:pStyle w:val="12"/>
            </w:pPr>
            <w:r>
              <w:t>问卷调查</w:t>
            </w:r>
          </w:p>
        </w:tc>
      </w:tr>
    </w:tbl>
    <w:p w14:paraId="327390D0">
      <w:pPr>
        <w:sectPr>
          <w:pgSz w:w="16840" w:h="11900" w:orient="landscape"/>
          <w:pgMar w:top="1361" w:right="1020" w:bottom="1134" w:left="1020" w:header="720" w:footer="720" w:gutter="0"/>
          <w:cols w:space="720" w:num="1"/>
        </w:sectPr>
      </w:pPr>
    </w:p>
    <w:p w14:paraId="5DFA85D9">
      <w:pPr>
        <w:spacing w:before="0" w:after="0"/>
        <w:ind w:firstLine="560"/>
        <w:jc w:val="left"/>
        <w:outlineLvl w:val="9"/>
      </w:pPr>
      <w:r>
        <w:rPr>
          <w:rFonts w:ascii="方正仿宋_GBK" w:hAnsi="方正仿宋_GBK" w:eastAsia="方正仿宋_GBK" w:cs="方正仿宋_GBK"/>
          <w:b/>
          <w:color w:val="000000"/>
          <w:sz w:val="28"/>
        </w:rPr>
        <w:t>20、冀财教[2025]148号/支持义务教育发展/牛家桥校区旧城小学公用经费绩效目标表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59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98E5C">
            <w:pPr>
              <w:pStyle w:val="11"/>
            </w:pPr>
            <w:r>
              <w:t>单位：万元</w:t>
            </w:r>
          </w:p>
        </w:tc>
      </w:tr>
      <w:tr w14:paraId="622A8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0808A">
            <w:pPr>
              <w:pStyle w:val="10"/>
            </w:pPr>
            <w:r>
              <w:t>项目编码</w:t>
            </w:r>
          </w:p>
        </w:tc>
        <w:tc>
          <w:tcPr>
            <w:tcW w:w="5103" w:type="dxa"/>
            <w:gridSpan w:val="2"/>
            <w:vAlign w:val="center"/>
          </w:tcPr>
          <w:p w14:paraId="245639E4">
            <w:pPr>
              <w:pStyle w:val="12"/>
            </w:pPr>
            <w:r>
              <w:t>13052526P00000210139G</w:t>
            </w:r>
          </w:p>
        </w:tc>
        <w:tc>
          <w:tcPr>
            <w:tcW w:w="2835" w:type="dxa"/>
            <w:vAlign w:val="center"/>
          </w:tcPr>
          <w:p w14:paraId="4E5A3D76">
            <w:pPr>
              <w:pStyle w:val="10"/>
            </w:pPr>
            <w:r>
              <w:t>项目名称</w:t>
            </w:r>
          </w:p>
        </w:tc>
        <w:tc>
          <w:tcPr>
            <w:tcW w:w="6095" w:type="dxa"/>
            <w:gridSpan w:val="3"/>
            <w:vAlign w:val="center"/>
          </w:tcPr>
          <w:p w14:paraId="048A9918">
            <w:pPr>
              <w:pStyle w:val="12"/>
            </w:pPr>
            <w:r>
              <w:t>冀财教[2025]148号/支持义务教育发展/牛家桥校区旧城小学公用经费</w:t>
            </w:r>
          </w:p>
        </w:tc>
      </w:tr>
      <w:tr w14:paraId="43DD0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716EE">
            <w:pPr>
              <w:pStyle w:val="10"/>
            </w:pPr>
            <w:r>
              <w:t>预算规模及资金用途</w:t>
            </w:r>
          </w:p>
        </w:tc>
        <w:tc>
          <w:tcPr>
            <w:tcW w:w="2268" w:type="dxa"/>
            <w:vAlign w:val="center"/>
          </w:tcPr>
          <w:p w14:paraId="0004CD9F">
            <w:pPr>
              <w:pStyle w:val="10"/>
            </w:pPr>
            <w:r>
              <w:t>预算数</w:t>
            </w:r>
          </w:p>
        </w:tc>
        <w:tc>
          <w:tcPr>
            <w:tcW w:w="2835" w:type="dxa"/>
            <w:vAlign w:val="center"/>
          </w:tcPr>
          <w:p w14:paraId="632175AE">
            <w:pPr>
              <w:pStyle w:val="12"/>
            </w:pPr>
            <w:r>
              <w:t>6.00</w:t>
            </w:r>
          </w:p>
        </w:tc>
        <w:tc>
          <w:tcPr>
            <w:tcW w:w="2835" w:type="dxa"/>
            <w:vAlign w:val="center"/>
          </w:tcPr>
          <w:p w14:paraId="1C84DE02">
            <w:pPr>
              <w:pStyle w:val="10"/>
            </w:pPr>
            <w:r>
              <w:t>其中：财政    资金</w:t>
            </w:r>
          </w:p>
        </w:tc>
        <w:tc>
          <w:tcPr>
            <w:tcW w:w="2551" w:type="dxa"/>
            <w:vAlign w:val="center"/>
          </w:tcPr>
          <w:p w14:paraId="4DDB77C9">
            <w:pPr>
              <w:pStyle w:val="12"/>
            </w:pPr>
            <w:r>
              <w:t>6.00</w:t>
            </w:r>
          </w:p>
        </w:tc>
        <w:tc>
          <w:tcPr>
            <w:tcW w:w="2268" w:type="dxa"/>
            <w:vAlign w:val="center"/>
          </w:tcPr>
          <w:p w14:paraId="083E7388">
            <w:pPr>
              <w:pStyle w:val="10"/>
            </w:pPr>
            <w:r>
              <w:t>其他资金</w:t>
            </w:r>
          </w:p>
        </w:tc>
        <w:tc>
          <w:tcPr>
            <w:tcW w:w="1276" w:type="dxa"/>
            <w:vAlign w:val="center"/>
          </w:tcPr>
          <w:p w14:paraId="18602632">
            <w:pPr>
              <w:pStyle w:val="12"/>
            </w:pPr>
            <w:r>
              <w:t xml:space="preserve"> </w:t>
            </w:r>
          </w:p>
        </w:tc>
      </w:tr>
      <w:tr w14:paraId="0C338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03357"/>
        </w:tc>
        <w:tc>
          <w:tcPr>
            <w:tcW w:w="14033" w:type="dxa"/>
            <w:gridSpan w:val="6"/>
            <w:vAlign w:val="center"/>
          </w:tcPr>
          <w:p w14:paraId="6C579BBA">
            <w:pPr>
              <w:pStyle w:val="12"/>
            </w:pPr>
            <w:r>
              <w:t>改善就学条件，提升学校形象，创造良好的校园环境。</w:t>
            </w:r>
          </w:p>
        </w:tc>
      </w:tr>
      <w:tr w14:paraId="2597F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1F75B">
            <w:pPr>
              <w:pStyle w:val="10"/>
            </w:pPr>
            <w:r>
              <w:t>资金支出计划（%）</w:t>
            </w:r>
          </w:p>
        </w:tc>
        <w:tc>
          <w:tcPr>
            <w:tcW w:w="5103" w:type="dxa"/>
            <w:gridSpan w:val="2"/>
            <w:vAlign w:val="center"/>
          </w:tcPr>
          <w:p w14:paraId="3B78202D">
            <w:pPr>
              <w:pStyle w:val="10"/>
            </w:pPr>
            <w:r>
              <w:t>3月底</w:t>
            </w:r>
          </w:p>
        </w:tc>
        <w:tc>
          <w:tcPr>
            <w:tcW w:w="2835" w:type="dxa"/>
            <w:vAlign w:val="center"/>
          </w:tcPr>
          <w:p w14:paraId="04B0EC0B">
            <w:pPr>
              <w:pStyle w:val="10"/>
            </w:pPr>
            <w:r>
              <w:t>6月底</w:t>
            </w:r>
          </w:p>
        </w:tc>
        <w:tc>
          <w:tcPr>
            <w:tcW w:w="2551" w:type="dxa"/>
            <w:vAlign w:val="center"/>
          </w:tcPr>
          <w:p w14:paraId="6A136999">
            <w:pPr>
              <w:pStyle w:val="10"/>
            </w:pPr>
            <w:r>
              <w:t>10月底</w:t>
            </w:r>
          </w:p>
        </w:tc>
        <w:tc>
          <w:tcPr>
            <w:tcW w:w="3544" w:type="dxa"/>
            <w:gridSpan w:val="2"/>
            <w:vAlign w:val="center"/>
          </w:tcPr>
          <w:p w14:paraId="4CAE02F9">
            <w:pPr>
              <w:pStyle w:val="10"/>
            </w:pPr>
            <w:r>
              <w:t>12月底</w:t>
            </w:r>
          </w:p>
        </w:tc>
      </w:tr>
      <w:tr w14:paraId="48447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C6CC5"/>
        </w:tc>
        <w:tc>
          <w:tcPr>
            <w:tcW w:w="5103" w:type="dxa"/>
            <w:gridSpan w:val="2"/>
            <w:vAlign w:val="center"/>
          </w:tcPr>
          <w:p w14:paraId="4E942FD0">
            <w:pPr>
              <w:pStyle w:val="13"/>
            </w:pPr>
            <w:r>
              <w:t xml:space="preserve"> </w:t>
            </w:r>
          </w:p>
        </w:tc>
        <w:tc>
          <w:tcPr>
            <w:tcW w:w="2835" w:type="dxa"/>
            <w:vAlign w:val="center"/>
          </w:tcPr>
          <w:p w14:paraId="515782E7">
            <w:pPr>
              <w:pStyle w:val="13"/>
            </w:pPr>
            <w:r>
              <w:t xml:space="preserve"> </w:t>
            </w:r>
          </w:p>
        </w:tc>
        <w:tc>
          <w:tcPr>
            <w:tcW w:w="2551" w:type="dxa"/>
            <w:vAlign w:val="center"/>
          </w:tcPr>
          <w:p w14:paraId="66F5C478">
            <w:pPr>
              <w:pStyle w:val="13"/>
            </w:pPr>
            <w:r>
              <w:t>100%</w:t>
            </w:r>
          </w:p>
        </w:tc>
        <w:tc>
          <w:tcPr>
            <w:tcW w:w="3544" w:type="dxa"/>
            <w:gridSpan w:val="2"/>
            <w:vAlign w:val="center"/>
          </w:tcPr>
          <w:p w14:paraId="464299BF">
            <w:pPr>
              <w:pStyle w:val="13"/>
            </w:pPr>
            <w:r>
              <w:t>100%</w:t>
            </w:r>
          </w:p>
        </w:tc>
      </w:tr>
      <w:tr w14:paraId="28BFE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5AC1F">
            <w:pPr>
              <w:pStyle w:val="10"/>
            </w:pPr>
            <w:r>
              <w:t>绩效目标</w:t>
            </w:r>
          </w:p>
        </w:tc>
        <w:tc>
          <w:tcPr>
            <w:tcW w:w="14033" w:type="dxa"/>
            <w:gridSpan w:val="6"/>
            <w:vAlign w:val="center"/>
          </w:tcPr>
          <w:p w14:paraId="5E3F5E71">
            <w:pPr>
              <w:pStyle w:val="12"/>
            </w:pPr>
            <w:r>
              <w:t>1.项目需资金6万元，资金拨付率达到100%。</w:t>
            </w:r>
          </w:p>
          <w:p w14:paraId="2C6E36D9">
            <w:pPr>
              <w:pStyle w:val="12"/>
            </w:pPr>
            <w:r>
              <w:t>2.改善就学条件，提升学校形象，创造良好的校园环境。</w:t>
            </w:r>
          </w:p>
        </w:tc>
      </w:tr>
    </w:tbl>
    <w:p w14:paraId="6CB38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8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11281">
            <w:pPr>
              <w:pStyle w:val="10"/>
            </w:pPr>
            <w:r>
              <w:t>一级指标</w:t>
            </w:r>
          </w:p>
        </w:tc>
        <w:tc>
          <w:tcPr>
            <w:tcW w:w="2268" w:type="dxa"/>
            <w:vAlign w:val="center"/>
          </w:tcPr>
          <w:p w14:paraId="20F029C8">
            <w:pPr>
              <w:pStyle w:val="10"/>
            </w:pPr>
            <w:r>
              <w:t>二级指标</w:t>
            </w:r>
          </w:p>
        </w:tc>
        <w:tc>
          <w:tcPr>
            <w:tcW w:w="2835" w:type="dxa"/>
            <w:vAlign w:val="center"/>
          </w:tcPr>
          <w:p w14:paraId="1D86F550">
            <w:pPr>
              <w:pStyle w:val="10"/>
            </w:pPr>
            <w:r>
              <w:t>三级指标</w:t>
            </w:r>
          </w:p>
        </w:tc>
        <w:tc>
          <w:tcPr>
            <w:tcW w:w="5386" w:type="dxa"/>
            <w:vAlign w:val="center"/>
          </w:tcPr>
          <w:p w14:paraId="06D72CEB">
            <w:pPr>
              <w:pStyle w:val="10"/>
            </w:pPr>
            <w:r>
              <w:t>绩效指标描述</w:t>
            </w:r>
          </w:p>
        </w:tc>
        <w:tc>
          <w:tcPr>
            <w:tcW w:w="2268" w:type="dxa"/>
            <w:vAlign w:val="center"/>
          </w:tcPr>
          <w:p w14:paraId="26C17D3A">
            <w:pPr>
              <w:pStyle w:val="10"/>
            </w:pPr>
            <w:r>
              <w:t>指标值</w:t>
            </w:r>
          </w:p>
        </w:tc>
        <w:tc>
          <w:tcPr>
            <w:tcW w:w="1276" w:type="dxa"/>
            <w:vAlign w:val="center"/>
          </w:tcPr>
          <w:p w14:paraId="65B1BF29">
            <w:pPr>
              <w:pStyle w:val="10"/>
            </w:pPr>
            <w:r>
              <w:t>指标值确定依据</w:t>
            </w:r>
          </w:p>
        </w:tc>
      </w:tr>
      <w:tr w14:paraId="0E37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B02FA">
            <w:pPr>
              <w:pStyle w:val="13"/>
            </w:pPr>
            <w:r>
              <w:t>产出指标</w:t>
            </w:r>
          </w:p>
        </w:tc>
        <w:tc>
          <w:tcPr>
            <w:tcW w:w="2268" w:type="dxa"/>
            <w:vAlign w:val="center"/>
          </w:tcPr>
          <w:p w14:paraId="66FF0564">
            <w:pPr>
              <w:pStyle w:val="12"/>
            </w:pPr>
            <w:r>
              <w:t>数量指标</w:t>
            </w:r>
          </w:p>
        </w:tc>
        <w:tc>
          <w:tcPr>
            <w:tcW w:w="2835" w:type="dxa"/>
            <w:vAlign w:val="center"/>
          </w:tcPr>
          <w:p w14:paraId="4618605A">
            <w:pPr>
              <w:pStyle w:val="12"/>
            </w:pPr>
            <w:r>
              <w:t>教学设备</w:t>
            </w:r>
          </w:p>
        </w:tc>
        <w:tc>
          <w:tcPr>
            <w:tcW w:w="5386" w:type="dxa"/>
            <w:vAlign w:val="center"/>
          </w:tcPr>
          <w:p w14:paraId="37A3396C">
            <w:pPr>
              <w:pStyle w:val="12"/>
            </w:pPr>
            <w:r>
              <w:t>智慧黑板购置</w:t>
            </w:r>
          </w:p>
        </w:tc>
        <w:tc>
          <w:tcPr>
            <w:tcW w:w="2268" w:type="dxa"/>
            <w:vAlign w:val="center"/>
          </w:tcPr>
          <w:p w14:paraId="550F2713">
            <w:pPr>
              <w:pStyle w:val="12"/>
            </w:pPr>
            <w:r>
              <w:t>1项</w:t>
            </w:r>
          </w:p>
        </w:tc>
        <w:tc>
          <w:tcPr>
            <w:tcW w:w="1276" w:type="dxa"/>
            <w:vAlign w:val="center"/>
          </w:tcPr>
          <w:p w14:paraId="62DD7D50">
            <w:pPr>
              <w:pStyle w:val="12"/>
            </w:pPr>
            <w:r>
              <w:t>项目规划</w:t>
            </w:r>
          </w:p>
        </w:tc>
      </w:tr>
      <w:tr w14:paraId="1996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694CF"/>
        </w:tc>
        <w:tc>
          <w:tcPr>
            <w:tcW w:w="2268" w:type="dxa"/>
            <w:vAlign w:val="center"/>
          </w:tcPr>
          <w:p w14:paraId="408AC1A3">
            <w:pPr>
              <w:pStyle w:val="12"/>
            </w:pPr>
            <w:r>
              <w:t>质量指标</w:t>
            </w:r>
          </w:p>
        </w:tc>
        <w:tc>
          <w:tcPr>
            <w:tcW w:w="2835" w:type="dxa"/>
            <w:vAlign w:val="center"/>
          </w:tcPr>
          <w:p w14:paraId="1CF26D0A">
            <w:pPr>
              <w:pStyle w:val="12"/>
            </w:pPr>
            <w:r>
              <w:t>工程实施验收合格率</w:t>
            </w:r>
          </w:p>
        </w:tc>
        <w:tc>
          <w:tcPr>
            <w:tcW w:w="5386" w:type="dxa"/>
            <w:vAlign w:val="center"/>
          </w:tcPr>
          <w:p w14:paraId="4DD14D36">
            <w:pPr>
              <w:pStyle w:val="12"/>
            </w:pPr>
            <w:r>
              <w:t>申报程序的合规，项目实施及资金使用符合项目规划</w:t>
            </w:r>
          </w:p>
        </w:tc>
        <w:tc>
          <w:tcPr>
            <w:tcW w:w="2268" w:type="dxa"/>
            <w:vAlign w:val="center"/>
          </w:tcPr>
          <w:p w14:paraId="1D65D1D8">
            <w:pPr>
              <w:pStyle w:val="12"/>
            </w:pPr>
            <w:r>
              <w:t>100%</w:t>
            </w:r>
          </w:p>
        </w:tc>
        <w:tc>
          <w:tcPr>
            <w:tcW w:w="1276" w:type="dxa"/>
            <w:vAlign w:val="center"/>
          </w:tcPr>
          <w:p w14:paraId="68535993">
            <w:pPr>
              <w:pStyle w:val="12"/>
            </w:pPr>
            <w:r>
              <w:t>项目规划</w:t>
            </w:r>
          </w:p>
        </w:tc>
      </w:tr>
      <w:tr w14:paraId="551B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2E4C6"/>
        </w:tc>
        <w:tc>
          <w:tcPr>
            <w:tcW w:w="2268" w:type="dxa"/>
            <w:vAlign w:val="center"/>
          </w:tcPr>
          <w:p w14:paraId="45815559">
            <w:pPr>
              <w:pStyle w:val="12"/>
            </w:pPr>
            <w:r>
              <w:t>时效指标</w:t>
            </w:r>
          </w:p>
        </w:tc>
        <w:tc>
          <w:tcPr>
            <w:tcW w:w="2835" w:type="dxa"/>
            <w:vAlign w:val="center"/>
          </w:tcPr>
          <w:p w14:paraId="1A60BCE5">
            <w:pPr>
              <w:pStyle w:val="12"/>
            </w:pPr>
            <w:r>
              <w:t>资金支付率</w:t>
            </w:r>
          </w:p>
        </w:tc>
        <w:tc>
          <w:tcPr>
            <w:tcW w:w="5386" w:type="dxa"/>
            <w:vAlign w:val="center"/>
          </w:tcPr>
          <w:p w14:paraId="69A5D7CB">
            <w:pPr>
              <w:pStyle w:val="12"/>
            </w:pPr>
            <w:r>
              <w:t>按照序时进度完成资金支付</w:t>
            </w:r>
          </w:p>
        </w:tc>
        <w:tc>
          <w:tcPr>
            <w:tcW w:w="2268" w:type="dxa"/>
            <w:vAlign w:val="center"/>
          </w:tcPr>
          <w:p w14:paraId="1813FF2C">
            <w:pPr>
              <w:pStyle w:val="12"/>
            </w:pPr>
            <w:r>
              <w:t>100%</w:t>
            </w:r>
          </w:p>
        </w:tc>
        <w:tc>
          <w:tcPr>
            <w:tcW w:w="1276" w:type="dxa"/>
            <w:vAlign w:val="center"/>
          </w:tcPr>
          <w:p w14:paraId="07B0523C">
            <w:pPr>
              <w:pStyle w:val="12"/>
            </w:pPr>
            <w:r>
              <w:t>项目规划</w:t>
            </w:r>
          </w:p>
        </w:tc>
      </w:tr>
      <w:tr w14:paraId="0CA4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578B5"/>
        </w:tc>
        <w:tc>
          <w:tcPr>
            <w:tcW w:w="2268" w:type="dxa"/>
            <w:vAlign w:val="center"/>
          </w:tcPr>
          <w:p w14:paraId="7783AB21">
            <w:pPr>
              <w:pStyle w:val="12"/>
            </w:pPr>
            <w:r>
              <w:t>成本指标</w:t>
            </w:r>
          </w:p>
        </w:tc>
        <w:tc>
          <w:tcPr>
            <w:tcW w:w="2835" w:type="dxa"/>
            <w:vAlign w:val="center"/>
          </w:tcPr>
          <w:p w14:paraId="59EEF74B">
            <w:pPr>
              <w:pStyle w:val="12"/>
            </w:pPr>
            <w:r>
              <w:t>项目成本控制情况</w:t>
            </w:r>
          </w:p>
        </w:tc>
        <w:tc>
          <w:tcPr>
            <w:tcW w:w="5386" w:type="dxa"/>
            <w:vAlign w:val="center"/>
          </w:tcPr>
          <w:p w14:paraId="7430CB65">
            <w:pPr>
              <w:pStyle w:val="12"/>
            </w:pPr>
            <w:r>
              <w:t>严格按照招标价格及审计额进行</w:t>
            </w:r>
          </w:p>
        </w:tc>
        <w:tc>
          <w:tcPr>
            <w:tcW w:w="2268" w:type="dxa"/>
            <w:vAlign w:val="center"/>
          </w:tcPr>
          <w:p w14:paraId="51D6FA56">
            <w:pPr>
              <w:pStyle w:val="12"/>
            </w:pPr>
            <w:r>
              <w:t>6万元</w:t>
            </w:r>
          </w:p>
        </w:tc>
        <w:tc>
          <w:tcPr>
            <w:tcW w:w="1276" w:type="dxa"/>
            <w:vAlign w:val="center"/>
          </w:tcPr>
          <w:p w14:paraId="366C6686">
            <w:pPr>
              <w:pStyle w:val="12"/>
            </w:pPr>
            <w:r>
              <w:t>项目规划</w:t>
            </w:r>
          </w:p>
        </w:tc>
      </w:tr>
      <w:tr w14:paraId="68B2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BEFDC">
            <w:pPr>
              <w:pStyle w:val="13"/>
            </w:pPr>
            <w:r>
              <w:t>效益指标</w:t>
            </w:r>
          </w:p>
        </w:tc>
        <w:tc>
          <w:tcPr>
            <w:tcW w:w="2268" w:type="dxa"/>
            <w:vAlign w:val="center"/>
          </w:tcPr>
          <w:p w14:paraId="701444CC">
            <w:pPr>
              <w:pStyle w:val="12"/>
            </w:pPr>
            <w:r>
              <w:t>社会效益指标</w:t>
            </w:r>
          </w:p>
        </w:tc>
        <w:tc>
          <w:tcPr>
            <w:tcW w:w="2835" w:type="dxa"/>
            <w:vAlign w:val="center"/>
          </w:tcPr>
          <w:p w14:paraId="4008548F">
            <w:pPr>
              <w:pStyle w:val="12"/>
            </w:pPr>
            <w:r>
              <w:t>学校办学环境提升</w:t>
            </w:r>
          </w:p>
        </w:tc>
        <w:tc>
          <w:tcPr>
            <w:tcW w:w="5386" w:type="dxa"/>
            <w:vAlign w:val="center"/>
          </w:tcPr>
          <w:p w14:paraId="248DF313">
            <w:pPr>
              <w:pStyle w:val="12"/>
            </w:pPr>
            <w:r>
              <w:t>学校教学环境提升优化率</w:t>
            </w:r>
          </w:p>
        </w:tc>
        <w:tc>
          <w:tcPr>
            <w:tcW w:w="2268" w:type="dxa"/>
            <w:vAlign w:val="center"/>
          </w:tcPr>
          <w:p w14:paraId="7CDDAA12">
            <w:pPr>
              <w:pStyle w:val="12"/>
            </w:pPr>
            <w:r>
              <w:t>≥98%</w:t>
            </w:r>
          </w:p>
        </w:tc>
        <w:tc>
          <w:tcPr>
            <w:tcW w:w="1276" w:type="dxa"/>
            <w:vAlign w:val="center"/>
          </w:tcPr>
          <w:p w14:paraId="33955791">
            <w:pPr>
              <w:pStyle w:val="12"/>
            </w:pPr>
            <w:r>
              <w:t>项目规划</w:t>
            </w:r>
          </w:p>
        </w:tc>
      </w:tr>
      <w:tr w14:paraId="21E3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36263">
            <w:pPr>
              <w:pStyle w:val="13"/>
            </w:pPr>
            <w:r>
              <w:t>满意度指标</w:t>
            </w:r>
          </w:p>
        </w:tc>
        <w:tc>
          <w:tcPr>
            <w:tcW w:w="2268" w:type="dxa"/>
            <w:vAlign w:val="center"/>
          </w:tcPr>
          <w:p w14:paraId="7B05E25A">
            <w:pPr>
              <w:pStyle w:val="12"/>
            </w:pPr>
            <w:r>
              <w:t>服务对象满意度指标</w:t>
            </w:r>
          </w:p>
        </w:tc>
        <w:tc>
          <w:tcPr>
            <w:tcW w:w="2835" w:type="dxa"/>
            <w:vAlign w:val="center"/>
          </w:tcPr>
          <w:p w14:paraId="6CA79051">
            <w:pPr>
              <w:pStyle w:val="12"/>
            </w:pPr>
            <w:r>
              <w:t>受益学生家长及调查满意度</w:t>
            </w:r>
          </w:p>
        </w:tc>
        <w:tc>
          <w:tcPr>
            <w:tcW w:w="5386" w:type="dxa"/>
            <w:vAlign w:val="center"/>
          </w:tcPr>
          <w:p w14:paraId="6FFDC3EC">
            <w:pPr>
              <w:pStyle w:val="12"/>
            </w:pPr>
            <w:r>
              <w:t>学生、教师及家长对学校教学环境满意度情况</w:t>
            </w:r>
          </w:p>
        </w:tc>
        <w:tc>
          <w:tcPr>
            <w:tcW w:w="2268" w:type="dxa"/>
            <w:vAlign w:val="center"/>
          </w:tcPr>
          <w:p w14:paraId="332C337D">
            <w:pPr>
              <w:pStyle w:val="12"/>
            </w:pPr>
            <w:r>
              <w:t>≥95%</w:t>
            </w:r>
          </w:p>
        </w:tc>
        <w:tc>
          <w:tcPr>
            <w:tcW w:w="1276" w:type="dxa"/>
            <w:vAlign w:val="center"/>
          </w:tcPr>
          <w:p w14:paraId="30F7B74F">
            <w:pPr>
              <w:pStyle w:val="12"/>
            </w:pPr>
            <w:r>
              <w:t>项目规划</w:t>
            </w:r>
          </w:p>
        </w:tc>
      </w:tr>
    </w:tbl>
    <w:p w14:paraId="6C751BA1">
      <w:pPr>
        <w:sectPr>
          <w:pgSz w:w="16840" w:h="11900" w:orient="landscape"/>
          <w:pgMar w:top="1361" w:right="1020" w:bottom="1134" w:left="1020" w:header="720" w:footer="720" w:gutter="0"/>
          <w:cols w:space="720" w:num="1"/>
        </w:sectPr>
      </w:pPr>
    </w:p>
    <w:p w14:paraId="4FA54818">
      <w:pPr>
        <w:spacing w:before="0" w:after="0"/>
        <w:ind w:firstLine="560"/>
        <w:jc w:val="left"/>
        <w:outlineLvl w:val="9"/>
      </w:pPr>
      <w:r>
        <w:rPr>
          <w:rFonts w:ascii="方正仿宋_GBK" w:hAnsi="方正仿宋_GBK" w:eastAsia="方正仿宋_GBK" w:cs="方正仿宋_GBK"/>
          <w:b/>
          <w:color w:val="000000"/>
          <w:sz w:val="28"/>
        </w:rPr>
        <w:t>21、冀财教[2025]148号/支持义务教育发展/牛家桥校区开河小学空调购置绩效目标表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EB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6F336">
            <w:pPr>
              <w:pStyle w:val="11"/>
            </w:pPr>
            <w:r>
              <w:t>单位：万元</w:t>
            </w:r>
          </w:p>
        </w:tc>
      </w:tr>
      <w:tr w14:paraId="1244F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AE064">
            <w:pPr>
              <w:pStyle w:val="10"/>
            </w:pPr>
            <w:r>
              <w:t>项目编码</w:t>
            </w:r>
          </w:p>
        </w:tc>
        <w:tc>
          <w:tcPr>
            <w:tcW w:w="5103" w:type="dxa"/>
            <w:gridSpan w:val="2"/>
            <w:vAlign w:val="center"/>
          </w:tcPr>
          <w:p w14:paraId="16858E30">
            <w:pPr>
              <w:pStyle w:val="12"/>
            </w:pPr>
            <w:r>
              <w:t>13052526P00000210138W</w:t>
            </w:r>
          </w:p>
        </w:tc>
        <w:tc>
          <w:tcPr>
            <w:tcW w:w="2835" w:type="dxa"/>
            <w:vAlign w:val="center"/>
          </w:tcPr>
          <w:p w14:paraId="19A29B61">
            <w:pPr>
              <w:pStyle w:val="10"/>
            </w:pPr>
            <w:r>
              <w:t>项目名称</w:t>
            </w:r>
          </w:p>
        </w:tc>
        <w:tc>
          <w:tcPr>
            <w:tcW w:w="6095" w:type="dxa"/>
            <w:gridSpan w:val="3"/>
            <w:vAlign w:val="center"/>
          </w:tcPr>
          <w:p w14:paraId="5DB7EDB7">
            <w:pPr>
              <w:pStyle w:val="12"/>
            </w:pPr>
            <w:r>
              <w:t>冀财教[2025]148号/支持义务教育发展/牛家桥校区开河小学空调购置</w:t>
            </w:r>
          </w:p>
        </w:tc>
      </w:tr>
      <w:tr w14:paraId="72320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895D0">
            <w:pPr>
              <w:pStyle w:val="10"/>
            </w:pPr>
            <w:r>
              <w:t>预算规模及资金用途</w:t>
            </w:r>
          </w:p>
        </w:tc>
        <w:tc>
          <w:tcPr>
            <w:tcW w:w="2268" w:type="dxa"/>
            <w:vAlign w:val="center"/>
          </w:tcPr>
          <w:p w14:paraId="44D2DD37">
            <w:pPr>
              <w:pStyle w:val="10"/>
            </w:pPr>
            <w:r>
              <w:t>预算数</w:t>
            </w:r>
          </w:p>
        </w:tc>
        <w:tc>
          <w:tcPr>
            <w:tcW w:w="2835" w:type="dxa"/>
            <w:vAlign w:val="center"/>
          </w:tcPr>
          <w:p w14:paraId="0C7E321A">
            <w:pPr>
              <w:pStyle w:val="12"/>
            </w:pPr>
            <w:r>
              <w:t>11.79</w:t>
            </w:r>
          </w:p>
        </w:tc>
        <w:tc>
          <w:tcPr>
            <w:tcW w:w="2835" w:type="dxa"/>
            <w:vAlign w:val="center"/>
          </w:tcPr>
          <w:p w14:paraId="709B1DCC">
            <w:pPr>
              <w:pStyle w:val="10"/>
            </w:pPr>
            <w:r>
              <w:t>其中：财政    资金</w:t>
            </w:r>
          </w:p>
        </w:tc>
        <w:tc>
          <w:tcPr>
            <w:tcW w:w="2551" w:type="dxa"/>
            <w:vAlign w:val="center"/>
          </w:tcPr>
          <w:p w14:paraId="037833DD">
            <w:pPr>
              <w:pStyle w:val="12"/>
            </w:pPr>
            <w:r>
              <w:t>11.79</w:t>
            </w:r>
          </w:p>
        </w:tc>
        <w:tc>
          <w:tcPr>
            <w:tcW w:w="2268" w:type="dxa"/>
            <w:vAlign w:val="center"/>
          </w:tcPr>
          <w:p w14:paraId="7397A7BD">
            <w:pPr>
              <w:pStyle w:val="10"/>
            </w:pPr>
            <w:r>
              <w:t>其他资金</w:t>
            </w:r>
          </w:p>
        </w:tc>
        <w:tc>
          <w:tcPr>
            <w:tcW w:w="1276" w:type="dxa"/>
            <w:vAlign w:val="center"/>
          </w:tcPr>
          <w:p w14:paraId="6A65C742">
            <w:pPr>
              <w:pStyle w:val="12"/>
            </w:pPr>
            <w:r>
              <w:t xml:space="preserve"> </w:t>
            </w:r>
          </w:p>
        </w:tc>
      </w:tr>
      <w:tr w14:paraId="54B67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ECC40"/>
        </w:tc>
        <w:tc>
          <w:tcPr>
            <w:tcW w:w="14033" w:type="dxa"/>
            <w:gridSpan w:val="6"/>
            <w:vAlign w:val="center"/>
          </w:tcPr>
          <w:p w14:paraId="187AACE3">
            <w:pPr>
              <w:pStyle w:val="12"/>
            </w:pPr>
            <w:r>
              <w:t>改善就学条件，提升学校形象，创造良好的校园环境。</w:t>
            </w:r>
          </w:p>
        </w:tc>
      </w:tr>
      <w:tr w14:paraId="1A3A5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914BD">
            <w:pPr>
              <w:pStyle w:val="10"/>
            </w:pPr>
            <w:r>
              <w:t>资金支出计划（%）</w:t>
            </w:r>
          </w:p>
        </w:tc>
        <w:tc>
          <w:tcPr>
            <w:tcW w:w="5103" w:type="dxa"/>
            <w:gridSpan w:val="2"/>
            <w:vAlign w:val="center"/>
          </w:tcPr>
          <w:p w14:paraId="0566AD84">
            <w:pPr>
              <w:pStyle w:val="10"/>
            </w:pPr>
            <w:r>
              <w:t>3月底</w:t>
            </w:r>
          </w:p>
        </w:tc>
        <w:tc>
          <w:tcPr>
            <w:tcW w:w="2835" w:type="dxa"/>
            <w:vAlign w:val="center"/>
          </w:tcPr>
          <w:p w14:paraId="667C84B0">
            <w:pPr>
              <w:pStyle w:val="10"/>
            </w:pPr>
            <w:r>
              <w:t>6月底</w:t>
            </w:r>
          </w:p>
        </w:tc>
        <w:tc>
          <w:tcPr>
            <w:tcW w:w="2551" w:type="dxa"/>
            <w:vAlign w:val="center"/>
          </w:tcPr>
          <w:p w14:paraId="02B3AA51">
            <w:pPr>
              <w:pStyle w:val="10"/>
            </w:pPr>
            <w:r>
              <w:t>10月底</w:t>
            </w:r>
          </w:p>
        </w:tc>
        <w:tc>
          <w:tcPr>
            <w:tcW w:w="3544" w:type="dxa"/>
            <w:gridSpan w:val="2"/>
            <w:vAlign w:val="center"/>
          </w:tcPr>
          <w:p w14:paraId="6505EE80">
            <w:pPr>
              <w:pStyle w:val="10"/>
            </w:pPr>
            <w:r>
              <w:t>12月底</w:t>
            </w:r>
          </w:p>
        </w:tc>
      </w:tr>
      <w:tr w14:paraId="7C883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79CF2"/>
        </w:tc>
        <w:tc>
          <w:tcPr>
            <w:tcW w:w="5103" w:type="dxa"/>
            <w:gridSpan w:val="2"/>
            <w:vAlign w:val="center"/>
          </w:tcPr>
          <w:p w14:paraId="6DFD545D">
            <w:pPr>
              <w:pStyle w:val="13"/>
            </w:pPr>
            <w:r>
              <w:t xml:space="preserve"> </w:t>
            </w:r>
          </w:p>
        </w:tc>
        <w:tc>
          <w:tcPr>
            <w:tcW w:w="2835" w:type="dxa"/>
            <w:vAlign w:val="center"/>
          </w:tcPr>
          <w:p w14:paraId="2C398403">
            <w:pPr>
              <w:pStyle w:val="13"/>
            </w:pPr>
            <w:r>
              <w:t xml:space="preserve"> </w:t>
            </w:r>
          </w:p>
        </w:tc>
        <w:tc>
          <w:tcPr>
            <w:tcW w:w="2551" w:type="dxa"/>
            <w:vAlign w:val="center"/>
          </w:tcPr>
          <w:p w14:paraId="3D5421A8">
            <w:pPr>
              <w:pStyle w:val="13"/>
            </w:pPr>
            <w:r>
              <w:t>100%</w:t>
            </w:r>
          </w:p>
        </w:tc>
        <w:tc>
          <w:tcPr>
            <w:tcW w:w="3544" w:type="dxa"/>
            <w:gridSpan w:val="2"/>
            <w:vAlign w:val="center"/>
          </w:tcPr>
          <w:p w14:paraId="1337E652">
            <w:pPr>
              <w:pStyle w:val="13"/>
            </w:pPr>
            <w:r>
              <w:t>100%</w:t>
            </w:r>
          </w:p>
        </w:tc>
      </w:tr>
      <w:tr w14:paraId="2CB98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2967C">
            <w:pPr>
              <w:pStyle w:val="10"/>
            </w:pPr>
            <w:r>
              <w:t>绩效目标</w:t>
            </w:r>
          </w:p>
        </w:tc>
        <w:tc>
          <w:tcPr>
            <w:tcW w:w="14033" w:type="dxa"/>
            <w:gridSpan w:val="6"/>
            <w:vAlign w:val="center"/>
          </w:tcPr>
          <w:p w14:paraId="14EFA893">
            <w:pPr>
              <w:pStyle w:val="12"/>
            </w:pPr>
            <w:r>
              <w:t>1.项目需资金11.79万元，资金拨付率达到100%。</w:t>
            </w:r>
          </w:p>
          <w:p w14:paraId="7321AB26">
            <w:pPr>
              <w:pStyle w:val="12"/>
            </w:pPr>
            <w:r>
              <w:t>2.改善就学条件，提升学校形象，创造良好的校园环境。</w:t>
            </w:r>
          </w:p>
        </w:tc>
      </w:tr>
    </w:tbl>
    <w:p w14:paraId="2E861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1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0D44A">
            <w:pPr>
              <w:pStyle w:val="10"/>
            </w:pPr>
            <w:r>
              <w:t>一级指标</w:t>
            </w:r>
          </w:p>
        </w:tc>
        <w:tc>
          <w:tcPr>
            <w:tcW w:w="2268" w:type="dxa"/>
            <w:vAlign w:val="center"/>
          </w:tcPr>
          <w:p w14:paraId="426F41B2">
            <w:pPr>
              <w:pStyle w:val="10"/>
            </w:pPr>
            <w:r>
              <w:t>二级指标</w:t>
            </w:r>
          </w:p>
        </w:tc>
        <w:tc>
          <w:tcPr>
            <w:tcW w:w="2835" w:type="dxa"/>
            <w:vAlign w:val="center"/>
          </w:tcPr>
          <w:p w14:paraId="18F9594D">
            <w:pPr>
              <w:pStyle w:val="10"/>
            </w:pPr>
            <w:r>
              <w:t>三级指标</w:t>
            </w:r>
          </w:p>
        </w:tc>
        <w:tc>
          <w:tcPr>
            <w:tcW w:w="5386" w:type="dxa"/>
            <w:vAlign w:val="center"/>
          </w:tcPr>
          <w:p w14:paraId="4E672B08">
            <w:pPr>
              <w:pStyle w:val="10"/>
            </w:pPr>
            <w:r>
              <w:t>绩效指标描述</w:t>
            </w:r>
          </w:p>
        </w:tc>
        <w:tc>
          <w:tcPr>
            <w:tcW w:w="2268" w:type="dxa"/>
            <w:vAlign w:val="center"/>
          </w:tcPr>
          <w:p w14:paraId="5F870B88">
            <w:pPr>
              <w:pStyle w:val="10"/>
            </w:pPr>
            <w:r>
              <w:t>指标值</w:t>
            </w:r>
          </w:p>
        </w:tc>
        <w:tc>
          <w:tcPr>
            <w:tcW w:w="1276" w:type="dxa"/>
            <w:vAlign w:val="center"/>
          </w:tcPr>
          <w:p w14:paraId="57DB1A3C">
            <w:pPr>
              <w:pStyle w:val="10"/>
            </w:pPr>
            <w:r>
              <w:t>指标值确定依据</w:t>
            </w:r>
          </w:p>
        </w:tc>
      </w:tr>
      <w:tr w14:paraId="508F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80FDA">
            <w:pPr>
              <w:pStyle w:val="13"/>
            </w:pPr>
            <w:r>
              <w:t>产出指标</w:t>
            </w:r>
          </w:p>
        </w:tc>
        <w:tc>
          <w:tcPr>
            <w:tcW w:w="2268" w:type="dxa"/>
            <w:vAlign w:val="center"/>
          </w:tcPr>
          <w:p w14:paraId="14C52607">
            <w:pPr>
              <w:pStyle w:val="12"/>
            </w:pPr>
            <w:r>
              <w:t>数量指标</w:t>
            </w:r>
          </w:p>
        </w:tc>
        <w:tc>
          <w:tcPr>
            <w:tcW w:w="2835" w:type="dxa"/>
            <w:vAlign w:val="center"/>
          </w:tcPr>
          <w:p w14:paraId="7F0C0D7C">
            <w:pPr>
              <w:pStyle w:val="12"/>
            </w:pPr>
            <w:r>
              <w:t>教学设备</w:t>
            </w:r>
          </w:p>
        </w:tc>
        <w:tc>
          <w:tcPr>
            <w:tcW w:w="5386" w:type="dxa"/>
            <w:vAlign w:val="center"/>
          </w:tcPr>
          <w:p w14:paraId="1BBB0E73">
            <w:pPr>
              <w:pStyle w:val="12"/>
            </w:pPr>
            <w:r>
              <w:t>空调购置</w:t>
            </w:r>
          </w:p>
        </w:tc>
        <w:tc>
          <w:tcPr>
            <w:tcW w:w="2268" w:type="dxa"/>
            <w:vAlign w:val="center"/>
          </w:tcPr>
          <w:p w14:paraId="3BC9B393">
            <w:pPr>
              <w:pStyle w:val="12"/>
            </w:pPr>
            <w:r>
              <w:t>1项</w:t>
            </w:r>
          </w:p>
        </w:tc>
        <w:tc>
          <w:tcPr>
            <w:tcW w:w="1276" w:type="dxa"/>
            <w:vAlign w:val="center"/>
          </w:tcPr>
          <w:p w14:paraId="60FCEE34">
            <w:pPr>
              <w:pStyle w:val="12"/>
            </w:pPr>
            <w:r>
              <w:t>项目规划</w:t>
            </w:r>
          </w:p>
        </w:tc>
      </w:tr>
      <w:tr w14:paraId="07E7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5CF17"/>
        </w:tc>
        <w:tc>
          <w:tcPr>
            <w:tcW w:w="2268" w:type="dxa"/>
            <w:vAlign w:val="center"/>
          </w:tcPr>
          <w:p w14:paraId="0C518948">
            <w:pPr>
              <w:pStyle w:val="12"/>
            </w:pPr>
            <w:r>
              <w:t>质量指标</w:t>
            </w:r>
          </w:p>
        </w:tc>
        <w:tc>
          <w:tcPr>
            <w:tcW w:w="2835" w:type="dxa"/>
            <w:vAlign w:val="center"/>
          </w:tcPr>
          <w:p w14:paraId="6BC8042A">
            <w:pPr>
              <w:pStyle w:val="12"/>
            </w:pPr>
            <w:r>
              <w:t>工程实施验收合格率</w:t>
            </w:r>
          </w:p>
        </w:tc>
        <w:tc>
          <w:tcPr>
            <w:tcW w:w="5386" w:type="dxa"/>
            <w:vAlign w:val="center"/>
          </w:tcPr>
          <w:p w14:paraId="2C296BDD">
            <w:pPr>
              <w:pStyle w:val="12"/>
            </w:pPr>
            <w:r>
              <w:t>申报程序的合规，项目实施及资金使用符合项目规划</w:t>
            </w:r>
          </w:p>
        </w:tc>
        <w:tc>
          <w:tcPr>
            <w:tcW w:w="2268" w:type="dxa"/>
            <w:vAlign w:val="center"/>
          </w:tcPr>
          <w:p w14:paraId="49ECC8B2">
            <w:pPr>
              <w:pStyle w:val="12"/>
            </w:pPr>
            <w:r>
              <w:t>100%</w:t>
            </w:r>
          </w:p>
        </w:tc>
        <w:tc>
          <w:tcPr>
            <w:tcW w:w="1276" w:type="dxa"/>
            <w:vAlign w:val="center"/>
          </w:tcPr>
          <w:p w14:paraId="7D462C75">
            <w:pPr>
              <w:pStyle w:val="12"/>
            </w:pPr>
            <w:r>
              <w:t>项目规划</w:t>
            </w:r>
          </w:p>
        </w:tc>
      </w:tr>
      <w:tr w14:paraId="6894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2F319"/>
        </w:tc>
        <w:tc>
          <w:tcPr>
            <w:tcW w:w="2268" w:type="dxa"/>
            <w:vAlign w:val="center"/>
          </w:tcPr>
          <w:p w14:paraId="4D9ADCD3">
            <w:pPr>
              <w:pStyle w:val="12"/>
            </w:pPr>
            <w:r>
              <w:t>时效指标</w:t>
            </w:r>
          </w:p>
        </w:tc>
        <w:tc>
          <w:tcPr>
            <w:tcW w:w="2835" w:type="dxa"/>
            <w:vAlign w:val="center"/>
          </w:tcPr>
          <w:p w14:paraId="574127E6">
            <w:pPr>
              <w:pStyle w:val="12"/>
            </w:pPr>
            <w:r>
              <w:t>资金支付率</w:t>
            </w:r>
          </w:p>
        </w:tc>
        <w:tc>
          <w:tcPr>
            <w:tcW w:w="5386" w:type="dxa"/>
            <w:vAlign w:val="center"/>
          </w:tcPr>
          <w:p w14:paraId="0F01B9F5">
            <w:pPr>
              <w:pStyle w:val="12"/>
            </w:pPr>
            <w:r>
              <w:t>按照序时进度完成资金支付</w:t>
            </w:r>
          </w:p>
        </w:tc>
        <w:tc>
          <w:tcPr>
            <w:tcW w:w="2268" w:type="dxa"/>
            <w:vAlign w:val="center"/>
          </w:tcPr>
          <w:p w14:paraId="129B6FE6">
            <w:pPr>
              <w:pStyle w:val="12"/>
            </w:pPr>
            <w:r>
              <w:t>100%</w:t>
            </w:r>
          </w:p>
        </w:tc>
        <w:tc>
          <w:tcPr>
            <w:tcW w:w="1276" w:type="dxa"/>
            <w:vAlign w:val="center"/>
          </w:tcPr>
          <w:p w14:paraId="3820BB6F">
            <w:pPr>
              <w:pStyle w:val="12"/>
            </w:pPr>
            <w:r>
              <w:t>项目规划</w:t>
            </w:r>
          </w:p>
        </w:tc>
      </w:tr>
      <w:tr w14:paraId="6B9D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5DE5F"/>
        </w:tc>
        <w:tc>
          <w:tcPr>
            <w:tcW w:w="2268" w:type="dxa"/>
            <w:vAlign w:val="center"/>
          </w:tcPr>
          <w:p w14:paraId="573E5817">
            <w:pPr>
              <w:pStyle w:val="12"/>
            </w:pPr>
            <w:r>
              <w:t>成本指标</w:t>
            </w:r>
          </w:p>
        </w:tc>
        <w:tc>
          <w:tcPr>
            <w:tcW w:w="2835" w:type="dxa"/>
            <w:vAlign w:val="center"/>
          </w:tcPr>
          <w:p w14:paraId="47B3CD32">
            <w:pPr>
              <w:pStyle w:val="12"/>
            </w:pPr>
            <w:r>
              <w:t>项目成本控制情况</w:t>
            </w:r>
          </w:p>
        </w:tc>
        <w:tc>
          <w:tcPr>
            <w:tcW w:w="5386" w:type="dxa"/>
            <w:vAlign w:val="center"/>
          </w:tcPr>
          <w:p w14:paraId="759BC7AB">
            <w:pPr>
              <w:pStyle w:val="12"/>
            </w:pPr>
            <w:r>
              <w:t>严格按照招标价格及审计额进行</w:t>
            </w:r>
          </w:p>
        </w:tc>
        <w:tc>
          <w:tcPr>
            <w:tcW w:w="2268" w:type="dxa"/>
            <w:vAlign w:val="center"/>
          </w:tcPr>
          <w:p w14:paraId="1E53C8AB">
            <w:pPr>
              <w:pStyle w:val="12"/>
            </w:pPr>
            <w:r>
              <w:t>11.79万元</w:t>
            </w:r>
          </w:p>
        </w:tc>
        <w:tc>
          <w:tcPr>
            <w:tcW w:w="1276" w:type="dxa"/>
            <w:vAlign w:val="center"/>
          </w:tcPr>
          <w:p w14:paraId="3987F7CB">
            <w:pPr>
              <w:pStyle w:val="12"/>
            </w:pPr>
            <w:r>
              <w:t>项目规划</w:t>
            </w:r>
          </w:p>
        </w:tc>
      </w:tr>
      <w:tr w14:paraId="1BE5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7389F">
            <w:pPr>
              <w:pStyle w:val="13"/>
            </w:pPr>
            <w:r>
              <w:t>效益指标</w:t>
            </w:r>
          </w:p>
        </w:tc>
        <w:tc>
          <w:tcPr>
            <w:tcW w:w="2268" w:type="dxa"/>
            <w:vAlign w:val="center"/>
          </w:tcPr>
          <w:p w14:paraId="27B7EEC4">
            <w:pPr>
              <w:pStyle w:val="12"/>
            </w:pPr>
            <w:r>
              <w:t>社会效益指标</w:t>
            </w:r>
          </w:p>
        </w:tc>
        <w:tc>
          <w:tcPr>
            <w:tcW w:w="2835" w:type="dxa"/>
            <w:vAlign w:val="center"/>
          </w:tcPr>
          <w:p w14:paraId="3366CFAE">
            <w:pPr>
              <w:pStyle w:val="12"/>
            </w:pPr>
            <w:r>
              <w:t>学校办学环境提升</w:t>
            </w:r>
          </w:p>
        </w:tc>
        <w:tc>
          <w:tcPr>
            <w:tcW w:w="5386" w:type="dxa"/>
            <w:vAlign w:val="center"/>
          </w:tcPr>
          <w:p w14:paraId="60DDC542">
            <w:pPr>
              <w:pStyle w:val="12"/>
            </w:pPr>
            <w:r>
              <w:t>学校教学环境提升优化率</w:t>
            </w:r>
          </w:p>
        </w:tc>
        <w:tc>
          <w:tcPr>
            <w:tcW w:w="2268" w:type="dxa"/>
            <w:vAlign w:val="center"/>
          </w:tcPr>
          <w:p w14:paraId="55D2D26C">
            <w:pPr>
              <w:pStyle w:val="12"/>
            </w:pPr>
            <w:r>
              <w:t>≥98%</w:t>
            </w:r>
          </w:p>
        </w:tc>
        <w:tc>
          <w:tcPr>
            <w:tcW w:w="1276" w:type="dxa"/>
            <w:vAlign w:val="center"/>
          </w:tcPr>
          <w:p w14:paraId="08D98A5B">
            <w:pPr>
              <w:pStyle w:val="12"/>
            </w:pPr>
            <w:r>
              <w:t>项目规划</w:t>
            </w:r>
          </w:p>
        </w:tc>
      </w:tr>
      <w:tr w14:paraId="65B0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75BC7">
            <w:pPr>
              <w:pStyle w:val="13"/>
            </w:pPr>
            <w:r>
              <w:t>满意度指标</w:t>
            </w:r>
          </w:p>
        </w:tc>
        <w:tc>
          <w:tcPr>
            <w:tcW w:w="2268" w:type="dxa"/>
            <w:vAlign w:val="center"/>
          </w:tcPr>
          <w:p w14:paraId="1B7F6270">
            <w:pPr>
              <w:pStyle w:val="12"/>
            </w:pPr>
            <w:r>
              <w:t>服务对象满意度指标</w:t>
            </w:r>
          </w:p>
        </w:tc>
        <w:tc>
          <w:tcPr>
            <w:tcW w:w="2835" w:type="dxa"/>
            <w:vAlign w:val="center"/>
          </w:tcPr>
          <w:p w14:paraId="395CA254">
            <w:pPr>
              <w:pStyle w:val="12"/>
            </w:pPr>
            <w:r>
              <w:t>受益学生家长及调查满意度</w:t>
            </w:r>
          </w:p>
        </w:tc>
        <w:tc>
          <w:tcPr>
            <w:tcW w:w="5386" w:type="dxa"/>
            <w:vAlign w:val="center"/>
          </w:tcPr>
          <w:p w14:paraId="0A3A4B6A">
            <w:pPr>
              <w:pStyle w:val="12"/>
            </w:pPr>
            <w:r>
              <w:t>学生、教师及家长对学校教学环境满意度情况</w:t>
            </w:r>
          </w:p>
        </w:tc>
        <w:tc>
          <w:tcPr>
            <w:tcW w:w="2268" w:type="dxa"/>
            <w:vAlign w:val="center"/>
          </w:tcPr>
          <w:p w14:paraId="4BC21A80">
            <w:pPr>
              <w:pStyle w:val="12"/>
            </w:pPr>
            <w:r>
              <w:t>≥95%</w:t>
            </w:r>
          </w:p>
        </w:tc>
        <w:tc>
          <w:tcPr>
            <w:tcW w:w="1276" w:type="dxa"/>
            <w:vAlign w:val="center"/>
          </w:tcPr>
          <w:p w14:paraId="5084F6A0">
            <w:pPr>
              <w:pStyle w:val="12"/>
            </w:pPr>
            <w:r>
              <w:t>项目规划</w:t>
            </w:r>
          </w:p>
        </w:tc>
      </w:tr>
    </w:tbl>
    <w:p w14:paraId="1AF87696">
      <w:pPr>
        <w:sectPr>
          <w:pgSz w:w="16840" w:h="11900" w:orient="landscape"/>
          <w:pgMar w:top="1361" w:right="1020" w:bottom="1134" w:left="1020" w:header="720" w:footer="720" w:gutter="0"/>
          <w:cols w:space="720" w:num="1"/>
        </w:sectPr>
      </w:pPr>
    </w:p>
    <w:p w14:paraId="1146EE1A">
      <w:pPr>
        <w:spacing w:before="0" w:after="0"/>
        <w:ind w:firstLine="560"/>
        <w:jc w:val="left"/>
        <w:outlineLvl w:val="9"/>
      </w:pPr>
      <w:r>
        <w:rPr>
          <w:rFonts w:ascii="方正仿宋_GBK" w:hAnsi="方正仿宋_GBK" w:eastAsia="方正仿宋_GBK" w:cs="方正仿宋_GBK"/>
          <w:b/>
          <w:color w:val="000000"/>
          <w:sz w:val="28"/>
        </w:rPr>
        <w:t>22、冀财教[2025]148号/支持义务教育发展/牛家桥校区牛家桥小学空调购置绩效目标表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93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A89C8">
            <w:pPr>
              <w:pStyle w:val="11"/>
            </w:pPr>
            <w:r>
              <w:t>单位：万元</w:t>
            </w:r>
          </w:p>
        </w:tc>
      </w:tr>
      <w:tr w14:paraId="41107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9A62C">
            <w:pPr>
              <w:pStyle w:val="10"/>
            </w:pPr>
            <w:r>
              <w:t>项目编码</w:t>
            </w:r>
          </w:p>
        </w:tc>
        <w:tc>
          <w:tcPr>
            <w:tcW w:w="5103" w:type="dxa"/>
            <w:gridSpan w:val="2"/>
            <w:vAlign w:val="center"/>
          </w:tcPr>
          <w:p w14:paraId="30A1C71B">
            <w:pPr>
              <w:pStyle w:val="12"/>
            </w:pPr>
            <w:r>
              <w:t>13052526P000002101379</w:t>
            </w:r>
          </w:p>
        </w:tc>
        <w:tc>
          <w:tcPr>
            <w:tcW w:w="2835" w:type="dxa"/>
            <w:vAlign w:val="center"/>
          </w:tcPr>
          <w:p w14:paraId="7D58289A">
            <w:pPr>
              <w:pStyle w:val="10"/>
            </w:pPr>
            <w:r>
              <w:t>项目名称</w:t>
            </w:r>
          </w:p>
        </w:tc>
        <w:tc>
          <w:tcPr>
            <w:tcW w:w="6095" w:type="dxa"/>
            <w:gridSpan w:val="3"/>
            <w:vAlign w:val="center"/>
          </w:tcPr>
          <w:p w14:paraId="18029221">
            <w:pPr>
              <w:pStyle w:val="12"/>
            </w:pPr>
            <w:r>
              <w:t>冀财教[2025]148号/支持义务教育发展/牛家桥校区牛家桥小学空调购置</w:t>
            </w:r>
          </w:p>
        </w:tc>
      </w:tr>
      <w:tr w14:paraId="6C843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78AFF">
            <w:pPr>
              <w:pStyle w:val="10"/>
            </w:pPr>
            <w:r>
              <w:t>预算规模及资金用途</w:t>
            </w:r>
          </w:p>
        </w:tc>
        <w:tc>
          <w:tcPr>
            <w:tcW w:w="2268" w:type="dxa"/>
            <w:vAlign w:val="center"/>
          </w:tcPr>
          <w:p w14:paraId="325189DF">
            <w:pPr>
              <w:pStyle w:val="10"/>
            </w:pPr>
            <w:r>
              <w:t>预算数</w:t>
            </w:r>
          </w:p>
        </w:tc>
        <w:tc>
          <w:tcPr>
            <w:tcW w:w="2835" w:type="dxa"/>
            <w:vAlign w:val="center"/>
          </w:tcPr>
          <w:p w14:paraId="06829529">
            <w:pPr>
              <w:pStyle w:val="12"/>
            </w:pPr>
            <w:r>
              <w:t>18.22</w:t>
            </w:r>
          </w:p>
        </w:tc>
        <w:tc>
          <w:tcPr>
            <w:tcW w:w="2835" w:type="dxa"/>
            <w:vAlign w:val="center"/>
          </w:tcPr>
          <w:p w14:paraId="5F6C9B9B">
            <w:pPr>
              <w:pStyle w:val="10"/>
            </w:pPr>
            <w:r>
              <w:t>其中：财政    资金</w:t>
            </w:r>
          </w:p>
        </w:tc>
        <w:tc>
          <w:tcPr>
            <w:tcW w:w="2551" w:type="dxa"/>
            <w:vAlign w:val="center"/>
          </w:tcPr>
          <w:p w14:paraId="4148A15A">
            <w:pPr>
              <w:pStyle w:val="12"/>
            </w:pPr>
            <w:r>
              <w:t>18.22</w:t>
            </w:r>
          </w:p>
        </w:tc>
        <w:tc>
          <w:tcPr>
            <w:tcW w:w="2268" w:type="dxa"/>
            <w:vAlign w:val="center"/>
          </w:tcPr>
          <w:p w14:paraId="4423AE10">
            <w:pPr>
              <w:pStyle w:val="10"/>
            </w:pPr>
            <w:r>
              <w:t>其他资金</w:t>
            </w:r>
          </w:p>
        </w:tc>
        <w:tc>
          <w:tcPr>
            <w:tcW w:w="1276" w:type="dxa"/>
            <w:vAlign w:val="center"/>
          </w:tcPr>
          <w:p w14:paraId="660C1DB9">
            <w:pPr>
              <w:pStyle w:val="12"/>
            </w:pPr>
            <w:r>
              <w:t xml:space="preserve"> </w:t>
            </w:r>
          </w:p>
        </w:tc>
      </w:tr>
      <w:tr w14:paraId="0B79D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6E9F3"/>
        </w:tc>
        <w:tc>
          <w:tcPr>
            <w:tcW w:w="14033" w:type="dxa"/>
            <w:gridSpan w:val="6"/>
            <w:vAlign w:val="center"/>
          </w:tcPr>
          <w:p w14:paraId="08CA0954">
            <w:pPr>
              <w:pStyle w:val="12"/>
            </w:pPr>
            <w:r>
              <w:t>改善就学条件，提升学校形象，创造良好的校园环境。</w:t>
            </w:r>
          </w:p>
        </w:tc>
      </w:tr>
      <w:tr w14:paraId="2A52A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6A446">
            <w:pPr>
              <w:pStyle w:val="10"/>
            </w:pPr>
            <w:r>
              <w:t>资金支出计划（%）</w:t>
            </w:r>
          </w:p>
        </w:tc>
        <w:tc>
          <w:tcPr>
            <w:tcW w:w="5103" w:type="dxa"/>
            <w:gridSpan w:val="2"/>
            <w:vAlign w:val="center"/>
          </w:tcPr>
          <w:p w14:paraId="0B177F51">
            <w:pPr>
              <w:pStyle w:val="10"/>
            </w:pPr>
            <w:r>
              <w:t>3月底</w:t>
            </w:r>
          </w:p>
        </w:tc>
        <w:tc>
          <w:tcPr>
            <w:tcW w:w="2835" w:type="dxa"/>
            <w:vAlign w:val="center"/>
          </w:tcPr>
          <w:p w14:paraId="543257F6">
            <w:pPr>
              <w:pStyle w:val="10"/>
            </w:pPr>
            <w:r>
              <w:t>6月底</w:t>
            </w:r>
          </w:p>
        </w:tc>
        <w:tc>
          <w:tcPr>
            <w:tcW w:w="2551" w:type="dxa"/>
            <w:vAlign w:val="center"/>
          </w:tcPr>
          <w:p w14:paraId="5A970B98">
            <w:pPr>
              <w:pStyle w:val="10"/>
            </w:pPr>
            <w:r>
              <w:t>10月底</w:t>
            </w:r>
          </w:p>
        </w:tc>
        <w:tc>
          <w:tcPr>
            <w:tcW w:w="3544" w:type="dxa"/>
            <w:gridSpan w:val="2"/>
            <w:vAlign w:val="center"/>
          </w:tcPr>
          <w:p w14:paraId="718DD67B">
            <w:pPr>
              <w:pStyle w:val="10"/>
            </w:pPr>
            <w:r>
              <w:t>12月底</w:t>
            </w:r>
          </w:p>
        </w:tc>
      </w:tr>
      <w:tr w14:paraId="4B17D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360EE"/>
        </w:tc>
        <w:tc>
          <w:tcPr>
            <w:tcW w:w="5103" w:type="dxa"/>
            <w:gridSpan w:val="2"/>
            <w:vAlign w:val="center"/>
          </w:tcPr>
          <w:p w14:paraId="15743C0E">
            <w:pPr>
              <w:pStyle w:val="13"/>
            </w:pPr>
            <w:r>
              <w:t xml:space="preserve"> </w:t>
            </w:r>
          </w:p>
        </w:tc>
        <w:tc>
          <w:tcPr>
            <w:tcW w:w="2835" w:type="dxa"/>
            <w:vAlign w:val="center"/>
          </w:tcPr>
          <w:p w14:paraId="4C1E9605">
            <w:pPr>
              <w:pStyle w:val="13"/>
            </w:pPr>
            <w:r>
              <w:t xml:space="preserve"> </w:t>
            </w:r>
          </w:p>
        </w:tc>
        <w:tc>
          <w:tcPr>
            <w:tcW w:w="2551" w:type="dxa"/>
            <w:vAlign w:val="center"/>
          </w:tcPr>
          <w:p w14:paraId="6F543D28">
            <w:pPr>
              <w:pStyle w:val="13"/>
            </w:pPr>
            <w:r>
              <w:t>100%</w:t>
            </w:r>
          </w:p>
        </w:tc>
        <w:tc>
          <w:tcPr>
            <w:tcW w:w="3544" w:type="dxa"/>
            <w:gridSpan w:val="2"/>
            <w:vAlign w:val="center"/>
          </w:tcPr>
          <w:p w14:paraId="3B965FE7">
            <w:pPr>
              <w:pStyle w:val="13"/>
            </w:pPr>
            <w:r>
              <w:t>100%</w:t>
            </w:r>
          </w:p>
        </w:tc>
      </w:tr>
      <w:tr w14:paraId="08A03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11C12">
            <w:pPr>
              <w:pStyle w:val="10"/>
            </w:pPr>
            <w:r>
              <w:t>绩效目标</w:t>
            </w:r>
          </w:p>
        </w:tc>
        <w:tc>
          <w:tcPr>
            <w:tcW w:w="14033" w:type="dxa"/>
            <w:gridSpan w:val="6"/>
            <w:vAlign w:val="center"/>
          </w:tcPr>
          <w:p w14:paraId="43A763EA">
            <w:pPr>
              <w:pStyle w:val="12"/>
            </w:pPr>
            <w:r>
              <w:t>1.项目需资金18.22万元，资金拨付率达到100%。</w:t>
            </w:r>
          </w:p>
          <w:p w14:paraId="5F23DA91">
            <w:pPr>
              <w:pStyle w:val="12"/>
            </w:pPr>
            <w:r>
              <w:t>2.改善就学条件，提升学校形象，创造良好的校园环境。</w:t>
            </w:r>
          </w:p>
        </w:tc>
      </w:tr>
    </w:tbl>
    <w:p w14:paraId="5E06E7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A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72ACB">
            <w:pPr>
              <w:pStyle w:val="10"/>
            </w:pPr>
            <w:r>
              <w:t>一级指标</w:t>
            </w:r>
          </w:p>
        </w:tc>
        <w:tc>
          <w:tcPr>
            <w:tcW w:w="2268" w:type="dxa"/>
            <w:vAlign w:val="center"/>
          </w:tcPr>
          <w:p w14:paraId="30C95C27">
            <w:pPr>
              <w:pStyle w:val="10"/>
            </w:pPr>
            <w:r>
              <w:t>二级指标</w:t>
            </w:r>
          </w:p>
        </w:tc>
        <w:tc>
          <w:tcPr>
            <w:tcW w:w="2835" w:type="dxa"/>
            <w:vAlign w:val="center"/>
          </w:tcPr>
          <w:p w14:paraId="7A131AEB">
            <w:pPr>
              <w:pStyle w:val="10"/>
            </w:pPr>
            <w:r>
              <w:t>三级指标</w:t>
            </w:r>
          </w:p>
        </w:tc>
        <w:tc>
          <w:tcPr>
            <w:tcW w:w="5386" w:type="dxa"/>
            <w:vAlign w:val="center"/>
          </w:tcPr>
          <w:p w14:paraId="79F23790">
            <w:pPr>
              <w:pStyle w:val="10"/>
            </w:pPr>
            <w:r>
              <w:t>绩效指标描述</w:t>
            </w:r>
          </w:p>
        </w:tc>
        <w:tc>
          <w:tcPr>
            <w:tcW w:w="2268" w:type="dxa"/>
            <w:vAlign w:val="center"/>
          </w:tcPr>
          <w:p w14:paraId="74840C3E">
            <w:pPr>
              <w:pStyle w:val="10"/>
            </w:pPr>
            <w:r>
              <w:t>指标值</w:t>
            </w:r>
          </w:p>
        </w:tc>
        <w:tc>
          <w:tcPr>
            <w:tcW w:w="1276" w:type="dxa"/>
            <w:vAlign w:val="center"/>
          </w:tcPr>
          <w:p w14:paraId="390434E8">
            <w:pPr>
              <w:pStyle w:val="10"/>
            </w:pPr>
            <w:r>
              <w:t>指标值确定依据</w:t>
            </w:r>
          </w:p>
        </w:tc>
      </w:tr>
      <w:tr w14:paraId="4C17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CE201">
            <w:pPr>
              <w:pStyle w:val="13"/>
            </w:pPr>
            <w:r>
              <w:t>产出指标</w:t>
            </w:r>
          </w:p>
        </w:tc>
        <w:tc>
          <w:tcPr>
            <w:tcW w:w="2268" w:type="dxa"/>
            <w:vAlign w:val="center"/>
          </w:tcPr>
          <w:p w14:paraId="63E8ABAB">
            <w:pPr>
              <w:pStyle w:val="12"/>
            </w:pPr>
            <w:r>
              <w:t>数量指标</w:t>
            </w:r>
          </w:p>
        </w:tc>
        <w:tc>
          <w:tcPr>
            <w:tcW w:w="2835" w:type="dxa"/>
            <w:vAlign w:val="center"/>
          </w:tcPr>
          <w:p w14:paraId="5B208A8E">
            <w:pPr>
              <w:pStyle w:val="12"/>
            </w:pPr>
            <w:r>
              <w:t>教学设备</w:t>
            </w:r>
          </w:p>
        </w:tc>
        <w:tc>
          <w:tcPr>
            <w:tcW w:w="5386" w:type="dxa"/>
            <w:vAlign w:val="center"/>
          </w:tcPr>
          <w:p w14:paraId="66AF47B3">
            <w:pPr>
              <w:pStyle w:val="12"/>
            </w:pPr>
            <w:r>
              <w:t>空调购置</w:t>
            </w:r>
          </w:p>
        </w:tc>
        <w:tc>
          <w:tcPr>
            <w:tcW w:w="2268" w:type="dxa"/>
            <w:vAlign w:val="center"/>
          </w:tcPr>
          <w:p w14:paraId="581E638D">
            <w:pPr>
              <w:pStyle w:val="12"/>
            </w:pPr>
            <w:r>
              <w:t>1项</w:t>
            </w:r>
          </w:p>
        </w:tc>
        <w:tc>
          <w:tcPr>
            <w:tcW w:w="1276" w:type="dxa"/>
            <w:vAlign w:val="center"/>
          </w:tcPr>
          <w:p w14:paraId="2991FE6E">
            <w:pPr>
              <w:pStyle w:val="12"/>
            </w:pPr>
            <w:r>
              <w:t>项目规划</w:t>
            </w:r>
          </w:p>
        </w:tc>
      </w:tr>
      <w:tr w14:paraId="3F3C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23ACE"/>
        </w:tc>
        <w:tc>
          <w:tcPr>
            <w:tcW w:w="2268" w:type="dxa"/>
            <w:vAlign w:val="center"/>
          </w:tcPr>
          <w:p w14:paraId="13D66322">
            <w:pPr>
              <w:pStyle w:val="12"/>
            </w:pPr>
            <w:r>
              <w:t>质量指标</w:t>
            </w:r>
          </w:p>
        </w:tc>
        <w:tc>
          <w:tcPr>
            <w:tcW w:w="2835" w:type="dxa"/>
            <w:vAlign w:val="center"/>
          </w:tcPr>
          <w:p w14:paraId="493D8116">
            <w:pPr>
              <w:pStyle w:val="12"/>
            </w:pPr>
            <w:r>
              <w:t>工程实施验收合格率</w:t>
            </w:r>
          </w:p>
        </w:tc>
        <w:tc>
          <w:tcPr>
            <w:tcW w:w="5386" w:type="dxa"/>
            <w:vAlign w:val="center"/>
          </w:tcPr>
          <w:p w14:paraId="74C9FE39">
            <w:pPr>
              <w:pStyle w:val="12"/>
            </w:pPr>
            <w:r>
              <w:t>申报程序的合规，项目实施及资金使用符合项目规划</w:t>
            </w:r>
          </w:p>
        </w:tc>
        <w:tc>
          <w:tcPr>
            <w:tcW w:w="2268" w:type="dxa"/>
            <w:vAlign w:val="center"/>
          </w:tcPr>
          <w:p w14:paraId="5F150CAA">
            <w:pPr>
              <w:pStyle w:val="12"/>
            </w:pPr>
            <w:r>
              <w:t>100%</w:t>
            </w:r>
          </w:p>
        </w:tc>
        <w:tc>
          <w:tcPr>
            <w:tcW w:w="1276" w:type="dxa"/>
            <w:vAlign w:val="center"/>
          </w:tcPr>
          <w:p w14:paraId="3BD46678">
            <w:pPr>
              <w:pStyle w:val="12"/>
            </w:pPr>
            <w:r>
              <w:t>项目规划</w:t>
            </w:r>
          </w:p>
        </w:tc>
      </w:tr>
      <w:tr w14:paraId="4144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A9F87"/>
        </w:tc>
        <w:tc>
          <w:tcPr>
            <w:tcW w:w="2268" w:type="dxa"/>
            <w:vAlign w:val="center"/>
          </w:tcPr>
          <w:p w14:paraId="077166BB">
            <w:pPr>
              <w:pStyle w:val="12"/>
            </w:pPr>
            <w:r>
              <w:t>时效指标</w:t>
            </w:r>
          </w:p>
        </w:tc>
        <w:tc>
          <w:tcPr>
            <w:tcW w:w="2835" w:type="dxa"/>
            <w:vAlign w:val="center"/>
          </w:tcPr>
          <w:p w14:paraId="62C2361F">
            <w:pPr>
              <w:pStyle w:val="12"/>
            </w:pPr>
            <w:r>
              <w:t>资金支付率</w:t>
            </w:r>
          </w:p>
        </w:tc>
        <w:tc>
          <w:tcPr>
            <w:tcW w:w="5386" w:type="dxa"/>
            <w:vAlign w:val="center"/>
          </w:tcPr>
          <w:p w14:paraId="2AB1A987">
            <w:pPr>
              <w:pStyle w:val="12"/>
            </w:pPr>
            <w:r>
              <w:t>按照序时进度完成资金支付</w:t>
            </w:r>
          </w:p>
        </w:tc>
        <w:tc>
          <w:tcPr>
            <w:tcW w:w="2268" w:type="dxa"/>
            <w:vAlign w:val="center"/>
          </w:tcPr>
          <w:p w14:paraId="3411DDED">
            <w:pPr>
              <w:pStyle w:val="12"/>
            </w:pPr>
            <w:r>
              <w:t>100%</w:t>
            </w:r>
          </w:p>
        </w:tc>
        <w:tc>
          <w:tcPr>
            <w:tcW w:w="1276" w:type="dxa"/>
            <w:vAlign w:val="center"/>
          </w:tcPr>
          <w:p w14:paraId="09FE68FE">
            <w:pPr>
              <w:pStyle w:val="12"/>
            </w:pPr>
            <w:r>
              <w:t>项目规划</w:t>
            </w:r>
          </w:p>
        </w:tc>
      </w:tr>
      <w:tr w14:paraId="56EE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60680"/>
        </w:tc>
        <w:tc>
          <w:tcPr>
            <w:tcW w:w="2268" w:type="dxa"/>
            <w:vAlign w:val="center"/>
          </w:tcPr>
          <w:p w14:paraId="524F0C63">
            <w:pPr>
              <w:pStyle w:val="12"/>
            </w:pPr>
            <w:r>
              <w:t>成本指标</w:t>
            </w:r>
          </w:p>
        </w:tc>
        <w:tc>
          <w:tcPr>
            <w:tcW w:w="2835" w:type="dxa"/>
            <w:vAlign w:val="center"/>
          </w:tcPr>
          <w:p w14:paraId="78EE90C6">
            <w:pPr>
              <w:pStyle w:val="12"/>
            </w:pPr>
            <w:r>
              <w:t>项目成本控制情况</w:t>
            </w:r>
          </w:p>
        </w:tc>
        <w:tc>
          <w:tcPr>
            <w:tcW w:w="5386" w:type="dxa"/>
            <w:vAlign w:val="center"/>
          </w:tcPr>
          <w:p w14:paraId="10F9372A">
            <w:pPr>
              <w:pStyle w:val="12"/>
            </w:pPr>
            <w:r>
              <w:t>严格按照招标价格及审计额进行</w:t>
            </w:r>
          </w:p>
        </w:tc>
        <w:tc>
          <w:tcPr>
            <w:tcW w:w="2268" w:type="dxa"/>
            <w:vAlign w:val="center"/>
          </w:tcPr>
          <w:p w14:paraId="03267AA0">
            <w:pPr>
              <w:pStyle w:val="12"/>
            </w:pPr>
            <w:r>
              <w:t>18.22万元</w:t>
            </w:r>
          </w:p>
        </w:tc>
        <w:tc>
          <w:tcPr>
            <w:tcW w:w="1276" w:type="dxa"/>
            <w:vAlign w:val="center"/>
          </w:tcPr>
          <w:p w14:paraId="34F15618">
            <w:pPr>
              <w:pStyle w:val="12"/>
            </w:pPr>
            <w:r>
              <w:t>项目规划</w:t>
            </w:r>
          </w:p>
        </w:tc>
      </w:tr>
      <w:tr w14:paraId="3D95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7FF5F">
            <w:pPr>
              <w:pStyle w:val="13"/>
            </w:pPr>
            <w:r>
              <w:t>效益指标</w:t>
            </w:r>
          </w:p>
        </w:tc>
        <w:tc>
          <w:tcPr>
            <w:tcW w:w="2268" w:type="dxa"/>
            <w:vAlign w:val="center"/>
          </w:tcPr>
          <w:p w14:paraId="6F9C919F">
            <w:pPr>
              <w:pStyle w:val="12"/>
            </w:pPr>
            <w:r>
              <w:t>生态效益指标</w:t>
            </w:r>
          </w:p>
        </w:tc>
        <w:tc>
          <w:tcPr>
            <w:tcW w:w="2835" w:type="dxa"/>
            <w:vAlign w:val="center"/>
          </w:tcPr>
          <w:p w14:paraId="2347B079">
            <w:pPr>
              <w:pStyle w:val="12"/>
            </w:pPr>
            <w:r>
              <w:t>学校办学环境提升</w:t>
            </w:r>
          </w:p>
        </w:tc>
        <w:tc>
          <w:tcPr>
            <w:tcW w:w="5386" w:type="dxa"/>
            <w:vAlign w:val="center"/>
          </w:tcPr>
          <w:p w14:paraId="57C11FFE">
            <w:pPr>
              <w:pStyle w:val="12"/>
            </w:pPr>
            <w:r>
              <w:t>学校教学环境提升优化率</w:t>
            </w:r>
          </w:p>
        </w:tc>
        <w:tc>
          <w:tcPr>
            <w:tcW w:w="2268" w:type="dxa"/>
            <w:vAlign w:val="center"/>
          </w:tcPr>
          <w:p w14:paraId="1DC14D3F">
            <w:pPr>
              <w:pStyle w:val="12"/>
            </w:pPr>
            <w:r>
              <w:t>≥98%</w:t>
            </w:r>
          </w:p>
        </w:tc>
        <w:tc>
          <w:tcPr>
            <w:tcW w:w="1276" w:type="dxa"/>
            <w:vAlign w:val="center"/>
          </w:tcPr>
          <w:p w14:paraId="66C7FB38">
            <w:pPr>
              <w:pStyle w:val="12"/>
            </w:pPr>
            <w:r>
              <w:t>项目规划</w:t>
            </w:r>
          </w:p>
        </w:tc>
      </w:tr>
      <w:tr w14:paraId="7C74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0435E">
            <w:pPr>
              <w:pStyle w:val="13"/>
            </w:pPr>
            <w:r>
              <w:t>满意度指标</w:t>
            </w:r>
          </w:p>
        </w:tc>
        <w:tc>
          <w:tcPr>
            <w:tcW w:w="2268" w:type="dxa"/>
            <w:vAlign w:val="center"/>
          </w:tcPr>
          <w:p w14:paraId="7FE1DBC0">
            <w:pPr>
              <w:pStyle w:val="12"/>
            </w:pPr>
            <w:r>
              <w:t>服务对象满意度指标</w:t>
            </w:r>
          </w:p>
        </w:tc>
        <w:tc>
          <w:tcPr>
            <w:tcW w:w="2835" w:type="dxa"/>
            <w:vAlign w:val="center"/>
          </w:tcPr>
          <w:p w14:paraId="0117AF3D">
            <w:pPr>
              <w:pStyle w:val="12"/>
            </w:pPr>
            <w:r>
              <w:t>受益学生家长及调查满意度</w:t>
            </w:r>
          </w:p>
        </w:tc>
        <w:tc>
          <w:tcPr>
            <w:tcW w:w="5386" w:type="dxa"/>
            <w:vAlign w:val="center"/>
          </w:tcPr>
          <w:p w14:paraId="0EC8D060">
            <w:pPr>
              <w:pStyle w:val="12"/>
            </w:pPr>
            <w:r>
              <w:t>学生、教师及家长对学校教学环境满意度情况</w:t>
            </w:r>
          </w:p>
        </w:tc>
        <w:tc>
          <w:tcPr>
            <w:tcW w:w="2268" w:type="dxa"/>
            <w:vAlign w:val="center"/>
          </w:tcPr>
          <w:p w14:paraId="5FB30CC2">
            <w:pPr>
              <w:pStyle w:val="12"/>
            </w:pPr>
            <w:r>
              <w:t>≥95%</w:t>
            </w:r>
          </w:p>
        </w:tc>
        <w:tc>
          <w:tcPr>
            <w:tcW w:w="1276" w:type="dxa"/>
            <w:vAlign w:val="center"/>
          </w:tcPr>
          <w:p w14:paraId="4E3DFBEE">
            <w:pPr>
              <w:pStyle w:val="12"/>
            </w:pPr>
            <w:r>
              <w:t>项目规划</w:t>
            </w:r>
          </w:p>
        </w:tc>
      </w:tr>
    </w:tbl>
    <w:p w14:paraId="4F999480">
      <w:pPr>
        <w:sectPr>
          <w:pgSz w:w="16840" w:h="11900" w:orient="landscape"/>
          <w:pgMar w:top="1361" w:right="1020" w:bottom="1134" w:left="1020" w:header="720" w:footer="720" w:gutter="0"/>
          <w:cols w:space="720" w:num="1"/>
        </w:sectPr>
      </w:pPr>
    </w:p>
    <w:p w14:paraId="089ADB11">
      <w:pPr>
        <w:spacing w:before="0" w:after="0"/>
        <w:ind w:firstLine="560"/>
        <w:jc w:val="left"/>
        <w:outlineLvl w:val="9"/>
      </w:pPr>
      <w:r>
        <w:rPr>
          <w:rFonts w:ascii="方正仿宋_GBK" w:hAnsi="方正仿宋_GBK" w:eastAsia="方正仿宋_GBK" w:cs="方正仿宋_GBK"/>
          <w:b/>
          <w:color w:val="000000"/>
          <w:sz w:val="28"/>
        </w:rPr>
        <w:t>23、冀财教[2025]149号/省级/2026年学前发展资金/牛家桥校区学前教育公用经费绩效目标表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D2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4DF25">
            <w:pPr>
              <w:pStyle w:val="11"/>
            </w:pPr>
            <w:r>
              <w:t>单位：万元</w:t>
            </w:r>
          </w:p>
        </w:tc>
      </w:tr>
      <w:tr w14:paraId="060CD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0201C">
            <w:pPr>
              <w:pStyle w:val="10"/>
            </w:pPr>
            <w:r>
              <w:t>项目编码</w:t>
            </w:r>
          </w:p>
        </w:tc>
        <w:tc>
          <w:tcPr>
            <w:tcW w:w="5103" w:type="dxa"/>
            <w:gridSpan w:val="2"/>
            <w:vAlign w:val="center"/>
          </w:tcPr>
          <w:p w14:paraId="663A3FA4">
            <w:pPr>
              <w:pStyle w:val="12"/>
            </w:pPr>
            <w:r>
              <w:t>13052526P00875710113E</w:t>
            </w:r>
          </w:p>
        </w:tc>
        <w:tc>
          <w:tcPr>
            <w:tcW w:w="2835" w:type="dxa"/>
            <w:vAlign w:val="center"/>
          </w:tcPr>
          <w:p w14:paraId="0C583F05">
            <w:pPr>
              <w:pStyle w:val="10"/>
            </w:pPr>
            <w:r>
              <w:t>项目名称</w:t>
            </w:r>
          </w:p>
        </w:tc>
        <w:tc>
          <w:tcPr>
            <w:tcW w:w="6095" w:type="dxa"/>
            <w:gridSpan w:val="3"/>
            <w:vAlign w:val="center"/>
          </w:tcPr>
          <w:p w14:paraId="2C4DDA13">
            <w:pPr>
              <w:pStyle w:val="12"/>
            </w:pPr>
            <w:r>
              <w:t>冀财教[2025]149号/省级/2026年学前发展资金/牛家桥校区学前教育公用经费</w:t>
            </w:r>
          </w:p>
        </w:tc>
      </w:tr>
      <w:tr w14:paraId="39462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25BB3">
            <w:pPr>
              <w:pStyle w:val="10"/>
            </w:pPr>
            <w:r>
              <w:t>预算规模及资金用途</w:t>
            </w:r>
          </w:p>
        </w:tc>
        <w:tc>
          <w:tcPr>
            <w:tcW w:w="2268" w:type="dxa"/>
            <w:vAlign w:val="center"/>
          </w:tcPr>
          <w:p w14:paraId="68FFEB27">
            <w:pPr>
              <w:pStyle w:val="10"/>
            </w:pPr>
            <w:r>
              <w:t>预算数</w:t>
            </w:r>
          </w:p>
        </w:tc>
        <w:tc>
          <w:tcPr>
            <w:tcW w:w="2835" w:type="dxa"/>
            <w:vAlign w:val="center"/>
          </w:tcPr>
          <w:p w14:paraId="06313C76">
            <w:pPr>
              <w:pStyle w:val="12"/>
            </w:pPr>
            <w:r>
              <w:t>5.19</w:t>
            </w:r>
          </w:p>
        </w:tc>
        <w:tc>
          <w:tcPr>
            <w:tcW w:w="2835" w:type="dxa"/>
            <w:vAlign w:val="center"/>
          </w:tcPr>
          <w:p w14:paraId="3A7145B7">
            <w:pPr>
              <w:pStyle w:val="10"/>
            </w:pPr>
            <w:r>
              <w:t>其中：财政    资金</w:t>
            </w:r>
          </w:p>
        </w:tc>
        <w:tc>
          <w:tcPr>
            <w:tcW w:w="2551" w:type="dxa"/>
            <w:vAlign w:val="center"/>
          </w:tcPr>
          <w:p w14:paraId="540A52A8">
            <w:pPr>
              <w:pStyle w:val="12"/>
            </w:pPr>
            <w:r>
              <w:t>5.19</w:t>
            </w:r>
          </w:p>
        </w:tc>
        <w:tc>
          <w:tcPr>
            <w:tcW w:w="2268" w:type="dxa"/>
            <w:vAlign w:val="center"/>
          </w:tcPr>
          <w:p w14:paraId="1DD75F4B">
            <w:pPr>
              <w:pStyle w:val="10"/>
            </w:pPr>
            <w:r>
              <w:t>其他资金</w:t>
            </w:r>
          </w:p>
        </w:tc>
        <w:tc>
          <w:tcPr>
            <w:tcW w:w="1276" w:type="dxa"/>
            <w:vAlign w:val="center"/>
          </w:tcPr>
          <w:p w14:paraId="214DBC4A">
            <w:pPr>
              <w:pStyle w:val="12"/>
            </w:pPr>
            <w:r>
              <w:t xml:space="preserve"> </w:t>
            </w:r>
          </w:p>
        </w:tc>
      </w:tr>
      <w:tr w14:paraId="2FD73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07300"/>
        </w:tc>
        <w:tc>
          <w:tcPr>
            <w:tcW w:w="14033" w:type="dxa"/>
            <w:gridSpan w:val="6"/>
            <w:vAlign w:val="center"/>
          </w:tcPr>
          <w:p w14:paraId="7AF8C931">
            <w:pPr>
              <w:pStyle w:val="12"/>
            </w:pPr>
            <w:r>
              <w:t xml:space="preserve"> 保障幼儿园正常运转，完成教育教学活动和其他日常工作任务等方面的费用支出。</w:t>
            </w:r>
          </w:p>
        </w:tc>
      </w:tr>
      <w:tr w14:paraId="3278A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F6DA2">
            <w:pPr>
              <w:pStyle w:val="10"/>
            </w:pPr>
            <w:r>
              <w:t>资金支出计划（%）</w:t>
            </w:r>
          </w:p>
        </w:tc>
        <w:tc>
          <w:tcPr>
            <w:tcW w:w="5103" w:type="dxa"/>
            <w:gridSpan w:val="2"/>
            <w:vAlign w:val="center"/>
          </w:tcPr>
          <w:p w14:paraId="455E706C">
            <w:pPr>
              <w:pStyle w:val="10"/>
            </w:pPr>
            <w:r>
              <w:t>3月底</w:t>
            </w:r>
          </w:p>
        </w:tc>
        <w:tc>
          <w:tcPr>
            <w:tcW w:w="2835" w:type="dxa"/>
            <w:vAlign w:val="center"/>
          </w:tcPr>
          <w:p w14:paraId="420BD7BA">
            <w:pPr>
              <w:pStyle w:val="10"/>
            </w:pPr>
            <w:r>
              <w:t>6月底</w:t>
            </w:r>
          </w:p>
        </w:tc>
        <w:tc>
          <w:tcPr>
            <w:tcW w:w="2551" w:type="dxa"/>
            <w:vAlign w:val="center"/>
          </w:tcPr>
          <w:p w14:paraId="0854EDB9">
            <w:pPr>
              <w:pStyle w:val="10"/>
            </w:pPr>
            <w:r>
              <w:t>10月底</w:t>
            </w:r>
          </w:p>
        </w:tc>
        <w:tc>
          <w:tcPr>
            <w:tcW w:w="3544" w:type="dxa"/>
            <w:gridSpan w:val="2"/>
            <w:vAlign w:val="center"/>
          </w:tcPr>
          <w:p w14:paraId="2FCC97BF">
            <w:pPr>
              <w:pStyle w:val="10"/>
            </w:pPr>
            <w:r>
              <w:t>12月底</w:t>
            </w:r>
          </w:p>
        </w:tc>
      </w:tr>
      <w:tr w14:paraId="61E62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DBC83"/>
        </w:tc>
        <w:tc>
          <w:tcPr>
            <w:tcW w:w="5103" w:type="dxa"/>
            <w:gridSpan w:val="2"/>
            <w:vAlign w:val="center"/>
          </w:tcPr>
          <w:p w14:paraId="5C13FE13">
            <w:pPr>
              <w:pStyle w:val="13"/>
            </w:pPr>
            <w:r>
              <w:t>25%</w:t>
            </w:r>
          </w:p>
        </w:tc>
        <w:tc>
          <w:tcPr>
            <w:tcW w:w="2835" w:type="dxa"/>
            <w:vAlign w:val="center"/>
          </w:tcPr>
          <w:p w14:paraId="7F4315DE">
            <w:pPr>
              <w:pStyle w:val="13"/>
            </w:pPr>
            <w:r>
              <w:t>50%</w:t>
            </w:r>
          </w:p>
        </w:tc>
        <w:tc>
          <w:tcPr>
            <w:tcW w:w="2551" w:type="dxa"/>
            <w:vAlign w:val="center"/>
          </w:tcPr>
          <w:p w14:paraId="0228C610">
            <w:pPr>
              <w:pStyle w:val="13"/>
            </w:pPr>
            <w:r>
              <w:t>75%</w:t>
            </w:r>
          </w:p>
        </w:tc>
        <w:tc>
          <w:tcPr>
            <w:tcW w:w="3544" w:type="dxa"/>
            <w:gridSpan w:val="2"/>
            <w:vAlign w:val="center"/>
          </w:tcPr>
          <w:p w14:paraId="177EB20E">
            <w:pPr>
              <w:pStyle w:val="13"/>
            </w:pPr>
            <w:r>
              <w:t>100%</w:t>
            </w:r>
          </w:p>
        </w:tc>
      </w:tr>
      <w:tr w14:paraId="3D6B2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709BC">
            <w:pPr>
              <w:pStyle w:val="10"/>
            </w:pPr>
            <w:r>
              <w:t>绩效目标</w:t>
            </w:r>
          </w:p>
        </w:tc>
        <w:tc>
          <w:tcPr>
            <w:tcW w:w="14033" w:type="dxa"/>
            <w:gridSpan w:val="6"/>
            <w:vAlign w:val="center"/>
          </w:tcPr>
          <w:p w14:paraId="1102F8CB">
            <w:pPr>
              <w:pStyle w:val="12"/>
            </w:pPr>
            <w:r>
              <w:t>1. 保障幼儿园正常运转，完成教育教学活动和其他日常工作任务等方面的费用支出。</w:t>
            </w:r>
          </w:p>
          <w:p w14:paraId="4FF951A4">
            <w:pPr>
              <w:pStyle w:val="12"/>
            </w:pPr>
            <w:r>
              <w:t>2.按季度分批次拨付公用经费资金，资金拨付率达到100%。</w:t>
            </w:r>
          </w:p>
        </w:tc>
      </w:tr>
    </w:tbl>
    <w:p w14:paraId="39AFC7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2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FFF3E">
            <w:pPr>
              <w:pStyle w:val="10"/>
            </w:pPr>
            <w:r>
              <w:t>一级指标</w:t>
            </w:r>
          </w:p>
        </w:tc>
        <w:tc>
          <w:tcPr>
            <w:tcW w:w="2268" w:type="dxa"/>
            <w:vAlign w:val="center"/>
          </w:tcPr>
          <w:p w14:paraId="349F6CAA">
            <w:pPr>
              <w:pStyle w:val="10"/>
            </w:pPr>
            <w:r>
              <w:t>二级指标</w:t>
            </w:r>
          </w:p>
        </w:tc>
        <w:tc>
          <w:tcPr>
            <w:tcW w:w="2835" w:type="dxa"/>
            <w:vAlign w:val="center"/>
          </w:tcPr>
          <w:p w14:paraId="53E25B04">
            <w:pPr>
              <w:pStyle w:val="10"/>
            </w:pPr>
            <w:r>
              <w:t>三级指标</w:t>
            </w:r>
          </w:p>
        </w:tc>
        <w:tc>
          <w:tcPr>
            <w:tcW w:w="5386" w:type="dxa"/>
            <w:vAlign w:val="center"/>
          </w:tcPr>
          <w:p w14:paraId="40A51D3D">
            <w:pPr>
              <w:pStyle w:val="10"/>
            </w:pPr>
            <w:r>
              <w:t>绩效指标描述</w:t>
            </w:r>
          </w:p>
        </w:tc>
        <w:tc>
          <w:tcPr>
            <w:tcW w:w="2268" w:type="dxa"/>
            <w:vAlign w:val="center"/>
          </w:tcPr>
          <w:p w14:paraId="62B0A97B">
            <w:pPr>
              <w:pStyle w:val="10"/>
            </w:pPr>
            <w:r>
              <w:t>指标值</w:t>
            </w:r>
          </w:p>
        </w:tc>
        <w:tc>
          <w:tcPr>
            <w:tcW w:w="1276" w:type="dxa"/>
            <w:vAlign w:val="center"/>
          </w:tcPr>
          <w:p w14:paraId="4C545170">
            <w:pPr>
              <w:pStyle w:val="10"/>
            </w:pPr>
            <w:r>
              <w:t>指标值确定依据</w:t>
            </w:r>
          </w:p>
        </w:tc>
      </w:tr>
      <w:tr w14:paraId="334F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5CBEF">
            <w:pPr>
              <w:pStyle w:val="13"/>
            </w:pPr>
            <w:r>
              <w:t>产出指标</w:t>
            </w:r>
          </w:p>
        </w:tc>
        <w:tc>
          <w:tcPr>
            <w:tcW w:w="2268" w:type="dxa"/>
            <w:vAlign w:val="center"/>
          </w:tcPr>
          <w:p w14:paraId="36334112">
            <w:pPr>
              <w:pStyle w:val="12"/>
            </w:pPr>
            <w:r>
              <w:t>数量指标</w:t>
            </w:r>
          </w:p>
        </w:tc>
        <w:tc>
          <w:tcPr>
            <w:tcW w:w="2835" w:type="dxa"/>
            <w:vAlign w:val="center"/>
          </w:tcPr>
          <w:p w14:paraId="6C47DBC1">
            <w:pPr>
              <w:pStyle w:val="12"/>
            </w:pPr>
            <w:r>
              <w:t>适龄在园生</w:t>
            </w:r>
          </w:p>
        </w:tc>
        <w:tc>
          <w:tcPr>
            <w:tcW w:w="5386" w:type="dxa"/>
            <w:vAlign w:val="center"/>
          </w:tcPr>
          <w:p w14:paraId="10B278BF">
            <w:pPr>
              <w:pStyle w:val="12"/>
            </w:pPr>
            <w:r>
              <w:t>适龄在园学生人数</w:t>
            </w:r>
          </w:p>
        </w:tc>
        <w:tc>
          <w:tcPr>
            <w:tcW w:w="2268" w:type="dxa"/>
            <w:vAlign w:val="center"/>
          </w:tcPr>
          <w:p w14:paraId="04DCB1B8">
            <w:pPr>
              <w:pStyle w:val="12"/>
            </w:pPr>
            <w:r>
              <w:t>346人</w:t>
            </w:r>
          </w:p>
        </w:tc>
        <w:tc>
          <w:tcPr>
            <w:tcW w:w="1276" w:type="dxa"/>
            <w:vAlign w:val="center"/>
          </w:tcPr>
          <w:p w14:paraId="6BC15C08">
            <w:pPr>
              <w:pStyle w:val="12"/>
            </w:pPr>
            <w:r>
              <w:t>学前公用经费管理办法</w:t>
            </w:r>
          </w:p>
        </w:tc>
      </w:tr>
      <w:tr w14:paraId="4948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EC81A"/>
        </w:tc>
        <w:tc>
          <w:tcPr>
            <w:tcW w:w="2268" w:type="dxa"/>
            <w:vAlign w:val="center"/>
          </w:tcPr>
          <w:p w14:paraId="6F72195E">
            <w:pPr>
              <w:pStyle w:val="12"/>
            </w:pPr>
            <w:r>
              <w:t>质量指标</w:t>
            </w:r>
          </w:p>
        </w:tc>
        <w:tc>
          <w:tcPr>
            <w:tcW w:w="2835" w:type="dxa"/>
            <w:vAlign w:val="center"/>
          </w:tcPr>
          <w:p w14:paraId="13E14129">
            <w:pPr>
              <w:pStyle w:val="12"/>
            </w:pPr>
            <w:r>
              <w:t>预算控制率</w:t>
            </w:r>
          </w:p>
        </w:tc>
        <w:tc>
          <w:tcPr>
            <w:tcW w:w="5386" w:type="dxa"/>
            <w:vAlign w:val="center"/>
          </w:tcPr>
          <w:p w14:paraId="41541B89">
            <w:pPr>
              <w:pStyle w:val="12"/>
            </w:pPr>
            <w:r>
              <w:t>预算执行</w:t>
            </w:r>
          </w:p>
        </w:tc>
        <w:tc>
          <w:tcPr>
            <w:tcW w:w="2268" w:type="dxa"/>
            <w:vAlign w:val="center"/>
          </w:tcPr>
          <w:p w14:paraId="3A9CABB5">
            <w:pPr>
              <w:pStyle w:val="12"/>
            </w:pPr>
            <w:r>
              <w:t>≥95%</w:t>
            </w:r>
          </w:p>
        </w:tc>
        <w:tc>
          <w:tcPr>
            <w:tcW w:w="1276" w:type="dxa"/>
            <w:vAlign w:val="center"/>
          </w:tcPr>
          <w:p w14:paraId="6AE86926">
            <w:pPr>
              <w:pStyle w:val="12"/>
            </w:pPr>
            <w:r>
              <w:t>学前公用经费管理办法</w:t>
            </w:r>
          </w:p>
        </w:tc>
      </w:tr>
      <w:tr w14:paraId="02998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3872C"/>
        </w:tc>
        <w:tc>
          <w:tcPr>
            <w:tcW w:w="2268" w:type="dxa"/>
            <w:vAlign w:val="center"/>
          </w:tcPr>
          <w:p w14:paraId="546D5A13">
            <w:pPr>
              <w:pStyle w:val="12"/>
            </w:pPr>
            <w:r>
              <w:t>时效指标</w:t>
            </w:r>
          </w:p>
        </w:tc>
        <w:tc>
          <w:tcPr>
            <w:tcW w:w="2835" w:type="dxa"/>
            <w:vAlign w:val="center"/>
          </w:tcPr>
          <w:p w14:paraId="1CEE4B66">
            <w:pPr>
              <w:pStyle w:val="12"/>
            </w:pPr>
            <w:r>
              <w:t>资金支付率</w:t>
            </w:r>
          </w:p>
        </w:tc>
        <w:tc>
          <w:tcPr>
            <w:tcW w:w="5386" w:type="dxa"/>
            <w:vAlign w:val="center"/>
          </w:tcPr>
          <w:p w14:paraId="46A14E75">
            <w:pPr>
              <w:pStyle w:val="12"/>
            </w:pPr>
            <w:r>
              <w:t>按照序时进度完成资金支付</w:t>
            </w:r>
          </w:p>
        </w:tc>
        <w:tc>
          <w:tcPr>
            <w:tcW w:w="2268" w:type="dxa"/>
            <w:vAlign w:val="center"/>
          </w:tcPr>
          <w:p w14:paraId="3FE8E52F">
            <w:pPr>
              <w:pStyle w:val="12"/>
            </w:pPr>
            <w:r>
              <w:t>100%</w:t>
            </w:r>
          </w:p>
        </w:tc>
        <w:tc>
          <w:tcPr>
            <w:tcW w:w="1276" w:type="dxa"/>
            <w:vAlign w:val="center"/>
          </w:tcPr>
          <w:p w14:paraId="5E2CE870">
            <w:pPr>
              <w:pStyle w:val="12"/>
            </w:pPr>
            <w:r>
              <w:t>学前公用经费管理办法</w:t>
            </w:r>
          </w:p>
        </w:tc>
      </w:tr>
      <w:tr w14:paraId="624C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9BE6B"/>
        </w:tc>
        <w:tc>
          <w:tcPr>
            <w:tcW w:w="2268" w:type="dxa"/>
            <w:vAlign w:val="center"/>
          </w:tcPr>
          <w:p w14:paraId="7BE9C5F8">
            <w:pPr>
              <w:pStyle w:val="12"/>
            </w:pPr>
            <w:r>
              <w:t>成本指标</w:t>
            </w:r>
          </w:p>
        </w:tc>
        <w:tc>
          <w:tcPr>
            <w:tcW w:w="2835" w:type="dxa"/>
            <w:vAlign w:val="center"/>
          </w:tcPr>
          <w:p w14:paraId="225B741A">
            <w:pPr>
              <w:pStyle w:val="12"/>
            </w:pPr>
            <w:r>
              <w:t>生均拨款标准</w:t>
            </w:r>
          </w:p>
        </w:tc>
        <w:tc>
          <w:tcPr>
            <w:tcW w:w="5386" w:type="dxa"/>
            <w:vAlign w:val="center"/>
          </w:tcPr>
          <w:p w14:paraId="1E2B19E5">
            <w:pPr>
              <w:pStyle w:val="12"/>
            </w:pPr>
            <w:r>
              <w:t>学前：（基本标准600元/生/学年）</w:t>
            </w:r>
          </w:p>
        </w:tc>
        <w:tc>
          <w:tcPr>
            <w:tcW w:w="2268" w:type="dxa"/>
            <w:vAlign w:val="center"/>
          </w:tcPr>
          <w:p w14:paraId="2FC31ADC">
            <w:pPr>
              <w:pStyle w:val="12"/>
            </w:pPr>
            <w:r>
              <w:t>600元</w:t>
            </w:r>
          </w:p>
        </w:tc>
        <w:tc>
          <w:tcPr>
            <w:tcW w:w="1276" w:type="dxa"/>
            <w:vAlign w:val="center"/>
          </w:tcPr>
          <w:p w14:paraId="052B6A63">
            <w:pPr>
              <w:pStyle w:val="12"/>
            </w:pPr>
            <w:r>
              <w:t>学前公用经费管理办法</w:t>
            </w:r>
          </w:p>
        </w:tc>
      </w:tr>
      <w:tr w14:paraId="3455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BD175">
            <w:pPr>
              <w:pStyle w:val="13"/>
            </w:pPr>
            <w:r>
              <w:t>效益指标</w:t>
            </w:r>
          </w:p>
        </w:tc>
        <w:tc>
          <w:tcPr>
            <w:tcW w:w="2268" w:type="dxa"/>
            <w:vAlign w:val="center"/>
          </w:tcPr>
          <w:p w14:paraId="5557F22C">
            <w:pPr>
              <w:pStyle w:val="12"/>
            </w:pPr>
            <w:r>
              <w:t>生态效益指标</w:t>
            </w:r>
          </w:p>
        </w:tc>
        <w:tc>
          <w:tcPr>
            <w:tcW w:w="2835" w:type="dxa"/>
            <w:vAlign w:val="center"/>
          </w:tcPr>
          <w:p w14:paraId="7018E2BE">
            <w:pPr>
              <w:pStyle w:val="12"/>
            </w:pPr>
            <w:r>
              <w:t>学校运转得到提升</w:t>
            </w:r>
          </w:p>
        </w:tc>
        <w:tc>
          <w:tcPr>
            <w:tcW w:w="5386" w:type="dxa"/>
            <w:vAlign w:val="center"/>
          </w:tcPr>
          <w:p w14:paraId="6F99D8D1">
            <w:pPr>
              <w:pStyle w:val="12"/>
            </w:pPr>
            <w:r>
              <w:t>幼儿受教育年限</w:t>
            </w:r>
          </w:p>
        </w:tc>
        <w:tc>
          <w:tcPr>
            <w:tcW w:w="2268" w:type="dxa"/>
            <w:vAlign w:val="center"/>
          </w:tcPr>
          <w:p w14:paraId="37D8B8B8">
            <w:pPr>
              <w:pStyle w:val="12"/>
            </w:pPr>
            <w:r>
              <w:t>3年</w:t>
            </w:r>
          </w:p>
        </w:tc>
        <w:tc>
          <w:tcPr>
            <w:tcW w:w="1276" w:type="dxa"/>
            <w:vAlign w:val="center"/>
          </w:tcPr>
          <w:p w14:paraId="02F6EF09">
            <w:pPr>
              <w:pStyle w:val="12"/>
            </w:pPr>
            <w:r>
              <w:t>学前公用经费管理办法</w:t>
            </w:r>
          </w:p>
        </w:tc>
      </w:tr>
      <w:tr w14:paraId="7E21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60AB1">
            <w:pPr>
              <w:pStyle w:val="13"/>
            </w:pPr>
            <w:r>
              <w:t>满意度指标</w:t>
            </w:r>
          </w:p>
        </w:tc>
        <w:tc>
          <w:tcPr>
            <w:tcW w:w="2268" w:type="dxa"/>
            <w:vAlign w:val="center"/>
          </w:tcPr>
          <w:p w14:paraId="45DD710C">
            <w:pPr>
              <w:pStyle w:val="12"/>
            </w:pPr>
            <w:r>
              <w:t>服务对象满意度指标</w:t>
            </w:r>
          </w:p>
        </w:tc>
        <w:tc>
          <w:tcPr>
            <w:tcW w:w="2835" w:type="dxa"/>
            <w:vAlign w:val="center"/>
          </w:tcPr>
          <w:p w14:paraId="37A732ED">
            <w:pPr>
              <w:pStyle w:val="12"/>
            </w:pPr>
            <w:r>
              <w:t>受益学生家长及调查满意度</w:t>
            </w:r>
          </w:p>
        </w:tc>
        <w:tc>
          <w:tcPr>
            <w:tcW w:w="5386" w:type="dxa"/>
            <w:vAlign w:val="center"/>
          </w:tcPr>
          <w:p w14:paraId="0B8A2FAC">
            <w:pPr>
              <w:pStyle w:val="12"/>
            </w:pPr>
            <w:r>
              <w:t>学生、教师及家长对学校保教保育工作满意度情况</w:t>
            </w:r>
          </w:p>
        </w:tc>
        <w:tc>
          <w:tcPr>
            <w:tcW w:w="2268" w:type="dxa"/>
            <w:vAlign w:val="center"/>
          </w:tcPr>
          <w:p w14:paraId="4471D062">
            <w:pPr>
              <w:pStyle w:val="12"/>
            </w:pPr>
            <w:r>
              <w:t>≥95%</w:t>
            </w:r>
          </w:p>
        </w:tc>
        <w:tc>
          <w:tcPr>
            <w:tcW w:w="1276" w:type="dxa"/>
            <w:vAlign w:val="center"/>
          </w:tcPr>
          <w:p w14:paraId="0F588DC6">
            <w:pPr>
              <w:pStyle w:val="12"/>
            </w:pPr>
            <w:r>
              <w:t>群众测评</w:t>
            </w:r>
          </w:p>
        </w:tc>
      </w:tr>
    </w:tbl>
    <w:p w14:paraId="7B436F8E">
      <w:pPr>
        <w:sectPr>
          <w:pgSz w:w="16840" w:h="11900" w:orient="landscape"/>
          <w:pgMar w:top="1361" w:right="1020" w:bottom="1134" w:left="1020" w:header="720" w:footer="720" w:gutter="0"/>
          <w:cols w:space="720" w:num="1"/>
        </w:sectPr>
      </w:pPr>
    </w:p>
    <w:p w14:paraId="3CF22C29">
      <w:pPr>
        <w:spacing w:before="0" w:after="0"/>
        <w:ind w:firstLine="560"/>
        <w:jc w:val="left"/>
        <w:outlineLvl w:val="9"/>
      </w:pPr>
      <w:r>
        <w:rPr>
          <w:rFonts w:ascii="方正仿宋_GBK" w:hAnsi="方正仿宋_GBK" w:eastAsia="方正仿宋_GBK" w:cs="方正仿宋_GBK"/>
          <w:b/>
          <w:color w:val="000000"/>
          <w:sz w:val="28"/>
        </w:rPr>
        <w:t>24、冀财教[2025]149号/省级/2026年学前发展资金/牛家桥校区学前教育幼儿资助绩效目标表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75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38B0A">
            <w:pPr>
              <w:pStyle w:val="11"/>
            </w:pPr>
            <w:r>
              <w:t>单位：万元</w:t>
            </w:r>
          </w:p>
        </w:tc>
      </w:tr>
      <w:tr w14:paraId="5516E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4BC53">
            <w:pPr>
              <w:pStyle w:val="10"/>
            </w:pPr>
            <w:r>
              <w:t>项目编码</w:t>
            </w:r>
          </w:p>
        </w:tc>
        <w:tc>
          <w:tcPr>
            <w:tcW w:w="5103" w:type="dxa"/>
            <w:gridSpan w:val="2"/>
            <w:vAlign w:val="center"/>
          </w:tcPr>
          <w:p w14:paraId="6C2519A6">
            <w:pPr>
              <w:pStyle w:val="12"/>
            </w:pPr>
            <w:r>
              <w:t>13052526P00000210076U</w:t>
            </w:r>
          </w:p>
        </w:tc>
        <w:tc>
          <w:tcPr>
            <w:tcW w:w="2835" w:type="dxa"/>
            <w:vAlign w:val="center"/>
          </w:tcPr>
          <w:p w14:paraId="1E8A9A8E">
            <w:pPr>
              <w:pStyle w:val="10"/>
            </w:pPr>
            <w:r>
              <w:t>项目名称</w:t>
            </w:r>
          </w:p>
        </w:tc>
        <w:tc>
          <w:tcPr>
            <w:tcW w:w="6095" w:type="dxa"/>
            <w:gridSpan w:val="3"/>
            <w:vAlign w:val="center"/>
          </w:tcPr>
          <w:p w14:paraId="379FFAE0">
            <w:pPr>
              <w:pStyle w:val="12"/>
            </w:pPr>
            <w:r>
              <w:t>冀财教[2025]149号/省级/2026年学前发展资金/牛家桥校区学前教育幼儿资助</w:t>
            </w:r>
          </w:p>
        </w:tc>
      </w:tr>
      <w:tr w14:paraId="0C060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1376A">
            <w:pPr>
              <w:pStyle w:val="10"/>
            </w:pPr>
            <w:r>
              <w:t>预算规模及资金用途</w:t>
            </w:r>
          </w:p>
        </w:tc>
        <w:tc>
          <w:tcPr>
            <w:tcW w:w="2268" w:type="dxa"/>
            <w:vAlign w:val="center"/>
          </w:tcPr>
          <w:p w14:paraId="562E5906">
            <w:pPr>
              <w:pStyle w:val="10"/>
            </w:pPr>
            <w:r>
              <w:t>预算数</w:t>
            </w:r>
          </w:p>
        </w:tc>
        <w:tc>
          <w:tcPr>
            <w:tcW w:w="2835" w:type="dxa"/>
            <w:vAlign w:val="center"/>
          </w:tcPr>
          <w:p w14:paraId="3A67286E">
            <w:pPr>
              <w:pStyle w:val="12"/>
            </w:pPr>
            <w:r>
              <w:t>0.50</w:t>
            </w:r>
          </w:p>
        </w:tc>
        <w:tc>
          <w:tcPr>
            <w:tcW w:w="2835" w:type="dxa"/>
            <w:vAlign w:val="center"/>
          </w:tcPr>
          <w:p w14:paraId="2CB8789E">
            <w:pPr>
              <w:pStyle w:val="10"/>
            </w:pPr>
            <w:r>
              <w:t>其中：财政    资金</w:t>
            </w:r>
          </w:p>
        </w:tc>
        <w:tc>
          <w:tcPr>
            <w:tcW w:w="2551" w:type="dxa"/>
            <w:vAlign w:val="center"/>
          </w:tcPr>
          <w:p w14:paraId="39BEB4AC">
            <w:pPr>
              <w:pStyle w:val="12"/>
            </w:pPr>
            <w:r>
              <w:t>0.50</w:t>
            </w:r>
          </w:p>
        </w:tc>
        <w:tc>
          <w:tcPr>
            <w:tcW w:w="2268" w:type="dxa"/>
            <w:vAlign w:val="center"/>
          </w:tcPr>
          <w:p w14:paraId="32B5F5EC">
            <w:pPr>
              <w:pStyle w:val="10"/>
            </w:pPr>
            <w:r>
              <w:t>其他资金</w:t>
            </w:r>
          </w:p>
        </w:tc>
        <w:tc>
          <w:tcPr>
            <w:tcW w:w="1276" w:type="dxa"/>
            <w:vAlign w:val="center"/>
          </w:tcPr>
          <w:p w14:paraId="2D2B1CB5">
            <w:pPr>
              <w:pStyle w:val="12"/>
            </w:pPr>
            <w:r>
              <w:t xml:space="preserve"> </w:t>
            </w:r>
          </w:p>
        </w:tc>
      </w:tr>
      <w:tr w14:paraId="5B52F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90114"/>
        </w:tc>
        <w:tc>
          <w:tcPr>
            <w:tcW w:w="14033" w:type="dxa"/>
            <w:gridSpan w:val="6"/>
            <w:vAlign w:val="center"/>
          </w:tcPr>
          <w:p w14:paraId="2A9A7948">
            <w:pPr>
              <w:pStyle w:val="12"/>
            </w:pPr>
            <w:r>
              <w:t>保证本年度资助经费足额落实到位，符合享受资助条件的学生应助尽助。</w:t>
            </w:r>
          </w:p>
        </w:tc>
      </w:tr>
      <w:tr w14:paraId="6F962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465D3">
            <w:pPr>
              <w:pStyle w:val="10"/>
            </w:pPr>
            <w:r>
              <w:t>资金支出计划（%）</w:t>
            </w:r>
          </w:p>
        </w:tc>
        <w:tc>
          <w:tcPr>
            <w:tcW w:w="5103" w:type="dxa"/>
            <w:gridSpan w:val="2"/>
            <w:vAlign w:val="center"/>
          </w:tcPr>
          <w:p w14:paraId="254EBD37">
            <w:pPr>
              <w:pStyle w:val="10"/>
            </w:pPr>
            <w:r>
              <w:t>3月底</w:t>
            </w:r>
          </w:p>
        </w:tc>
        <w:tc>
          <w:tcPr>
            <w:tcW w:w="2835" w:type="dxa"/>
            <w:vAlign w:val="center"/>
          </w:tcPr>
          <w:p w14:paraId="1FBF02F8">
            <w:pPr>
              <w:pStyle w:val="10"/>
            </w:pPr>
            <w:r>
              <w:t>6月底</w:t>
            </w:r>
          </w:p>
        </w:tc>
        <w:tc>
          <w:tcPr>
            <w:tcW w:w="2551" w:type="dxa"/>
            <w:vAlign w:val="center"/>
          </w:tcPr>
          <w:p w14:paraId="71593647">
            <w:pPr>
              <w:pStyle w:val="10"/>
            </w:pPr>
            <w:r>
              <w:t>10月底</w:t>
            </w:r>
          </w:p>
        </w:tc>
        <w:tc>
          <w:tcPr>
            <w:tcW w:w="3544" w:type="dxa"/>
            <w:gridSpan w:val="2"/>
            <w:vAlign w:val="center"/>
          </w:tcPr>
          <w:p w14:paraId="6BF98EF4">
            <w:pPr>
              <w:pStyle w:val="10"/>
            </w:pPr>
            <w:r>
              <w:t>12月底</w:t>
            </w:r>
          </w:p>
        </w:tc>
      </w:tr>
      <w:tr w14:paraId="326F1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AABB8"/>
        </w:tc>
        <w:tc>
          <w:tcPr>
            <w:tcW w:w="5103" w:type="dxa"/>
            <w:gridSpan w:val="2"/>
            <w:vAlign w:val="center"/>
          </w:tcPr>
          <w:p w14:paraId="22E9B79C">
            <w:pPr>
              <w:pStyle w:val="13"/>
            </w:pPr>
            <w:r>
              <w:t xml:space="preserve"> </w:t>
            </w:r>
          </w:p>
        </w:tc>
        <w:tc>
          <w:tcPr>
            <w:tcW w:w="2835" w:type="dxa"/>
            <w:vAlign w:val="center"/>
          </w:tcPr>
          <w:p w14:paraId="20565163">
            <w:pPr>
              <w:pStyle w:val="13"/>
            </w:pPr>
            <w:r>
              <w:t>50%</w:t>
            </w:r>
          </w:p>
        </w:tc>
        <w:tc>
          <w:tcPr>
            <w:tcW w:w="2551" w:type="dxa"/>
            <w:vAlign w:val="center"/>
          </w:tcPr>
          <w:p w14:paraId="6B60F273">
            <w:pPr>
              <w:pStyle w:val="13"/>
            </w:pPr>
            <w:r>
              <w:t>50%</w:t>
            </w:r>
          </w:p>
        </w:tc>
        <w:tc>
          <w:tcPr>
            <w:tcW w:w="3544" w:type="dxa"/>
            <w:gridSpan w:val="2"/>
            <w:vAlign w:val="center"/>
          </w:tcPr>
          <w:p w14:paraId="13295769">
            <w:pPr>
              <w:pStyle w:val="13"/>
            </w:pPr>
            <w:r>
              <w:t>100%</w:t>
            </w:r>
          </w:p>
        </w:tc>
      </w:tr>
      <w:tr w14:paraId="0E739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772A4">
            <w:pPr>
              <w:pStyle w:val="10"/>
            </w:pPr>
            <w:r>
              <w:t>绩效目标</w:t>
            </w:r>
          </w:p>
        </w:tc>
        <w:tc>
          <w:tcPr>
            <w:tcW w:w="14033" w:type="dxa"/>
            <w:gridSpan w:val="6"/>
            <w:vAlign w:val="center"/>
          </w:tcPr>
          <w:p w14:paraId="3F07EF07">
            <w:pPr>
              <w:pStyle w:val="12"/>
            </w:pPr>
            <w:r>
              <w:t>1.保证本年度资助经费足额落实到位，符合享受资助条件的学生应助尽助。</w:t>
            </w:r>
          </w:p>
        </w:tc>
      </w:tr>
    </w:tbl>
    <w:p w14:paraId="55992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4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0E173">
            <w:pPr>
              <w:pStyle w:val="10"/>
            </w:pPr>
            <w:r>
              <w:t>一级指标</w:t>
            </w:r>
          </w:p>
        </w:tc>
        <w:tc>
          <w:tcPr>
            <w:tcW w:w="2268" w:type="dxa"/>
            <w:vAlign w:val="center"/>
          </w:tcPr>
          <w:p w14:paraId="44E6AA49">
            <w:pPr>
              <w:pStyle w:val="10"/>
            </w:pPr>
            <w:r>
              <w:t>二级指标</w:t>
            </w:r>
          </w:p>
        </w:tc>
        <w:tc>
          <w:tcPr>
            <w:tcW w:w="2835" w:type="dxa"/>
            <w:vAlign w:val="center"/>
          </w:tcPr>
          <w:p w14:paraId="25175041">
            <w:pPr>
              <w:pStyle w:val="10"/>
            </w:pPr>
            <w:r>
              <w:t>三级指标</w:t>
            </w:r>
          </w:p>
        </w:tc>
        <w:tc>
          <w:tcPr>
            <w:tcW w:w="5386" w:type="dxa"/>
            <w:vAlign w:val="center"/>
          </w:tcPr>
          <w:p w14:paraId="6DD79736">
            <w:pPr>
              <w:pStyle w:val="10"/>
            </w:pPr>
            <w:r>
              <w:t>绩效指标描述</w:t>
            </w:r>
          </w:p>
        </w:tc>
        <w:tc>
          <w:tcPr>
            <w:tcW w:w="2268" w:type="dxa"/>
            <w:vAlign w:val="center"/>
          </w:tcPr>
          <w:p w14:paraId="54B7EE95">
            <w:pPr>
              <w:pStyle w:val="10"/>
            </w:pPr>
            <w:r>
              <w:t>指标值</w:t>
            </w:r>
          </w:p>
        </w:tc>
        <w:tc>
          <w:tcPr>
            <w:tcW w:w="1276" w:type="dxa"/>
            <w:vAlign w:val="center"/>
          </w:tcPr>
          <w:p w14:paraId="67450D64">
            <w:pPr>
              <w:pStyle w:val="10"/>
            </w:pPr>
            <w:r>
              <w:t>指标值确定依据</w:t>
            </w:r>
          </w:p>
        </w:tc>
      </w:tr>
      <w:tr w14:paraId="40315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EFB73">
            <w:pPr>
              <w:pStyle w:val="13"/>
            </w:pPr>
            <w:r>
              <w:t>产出指标</w:t>
            </w:r>
          </w:p>
        </w:tc>
        <w:tc>
          <w:tcPr>
            <w:tcW w:w="2268" w:type="dxa"/>
            <w:vAlign w:val="center"/>
          </w:tcPr>
          <w:p w14:paraId="2B67E5B7">
            <w:pPr>
              <w:pStyle w:val="12"/>
            </w:pPr>
            <w:r>
              <w:t>数量指标</w:t>
            </w:r>
          </w:p>
        </w:tc>
        <w:tc>
          <w:tcPr>
            <w:tcW w:w="2835" w:type="dxa"/>
            <w:vAlign w:val="center"/>
          </w:tcPr>
          <w:p w14:paraId="5B296360">
            <w:pPr>
              <w:pStyle w:val="12"/>
            </w:pPr>
            <w:r>
              <w:t xml:space="preserve"> 幼儿资助人数</w:t>
            </w:r>
          </w:p>
        </w:tc>
        <w:tc>
          <w:tcPr>
            <w:tcW w:w="5386" w:type="dxa"/>
            <w:vAlign w:val="center"/>
          </w:tcPr>
          <w:p w14:paraId="62D49063">
            <w:pPr>
              <w:pStyle w:val="12"/>
            </w:pPr>
            <w:r>
              <w:t xml:space="preserve"> 幼儿资助人数</w:t>
            </w:r>
          </w:p>
        </w:tc>
        <w:tc>
          <w:tcPr>
            <w:tcW w:w="2268" w:type="dxa"/>
            <w:vAlign w:val="center"/>
          </w:tcPr>
          <w:p w14:paraId="4160F018">
            <w:pPr>
              <w:pStyle w:val="12"/>
            </w:pPr>
            <w:r>
              <w:t>25 人</w:t>
            </w:r>
          </w:p>
        </w:tc>
        <w:tc>
          <w:tcPr>
            <w:tcW w:w="1276" w:type="dxa"/>
            <w:vAlign w:val="center"/>
          </w:tcPr>
          <w:p w14:paraId="03E61D03">
            <w:pPr>
              <w:pStyle w:val="12"/>
            </w:pPr>
            <w:r>
              <w:t>幼儿资助经费管理办法</w:t>
            </w:r>
          </w:p>
        </w:tc>
      </w:tr>
      <w:tr w14:paraId="64B1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B3F63"/>
        </w:tc>
        <w:tc>
          <w:tcPr>
            <w:tcW w:w="2268" w:type="dxa"/>
            <w:vAlign w:val="center"/>
          </w:tcPr>
          <w:p w14:paraId="40883E5C">
            <w:pPr>
              <w:pStyle w:val="12"/>
            </w:pPr>
            <w:r>
              <w:t>质量指标</w:t>
            </w:r>
          </w:p>
        </w:tc>
        <w:tc>
          <w:tcPr>
            <w:tcW w:w="2835" w:type="dxa"/>
            <w:vAlign w:val="center"/>
          </w:tcPr>
          <w:p w14:paraId="346018B8">
            <w:pPr>
              <w:pStyle w:val="12"/>
            </w:pPr>
            <w:r>
              <w:t>资助资金使用率</w:t>
            </w:r>
          </w:p>
        </w:tc>
        <w:tc>
          <w:tcPr>
            <w:tcW w:w="5386" w:type="dxa"/>
            <w:vAlign w:val="center"/>
          </w:tcPr>
          <w:p w14:paraId="56A5A0E7">
            <w:pPr>
              <w:pStyle w:val="12"/>
            </w:pPr>
            <w:r>
              <w:t>符合享受资助条件的学生应助尽助</w:t>
            </w:r>
          </w:p>
        </w:tc>
        <w:tc>
          <w:tcPr>
            <w:tcW w:w="2268" w:type="dxa"/>
            <w:vAlign w:val="center"/>
          </w:tcPr>
          <w:p w14:paraId="07FD4FEB">
            <w:pPr>
              <w:pStyle w:val="12"/>
            </w:pPr>
            <w:r>
              <w:t>100%</w:t>
            </w:r>
          </w:p>
        </w:tc>
        <w:tc>
          <w:tcPr>
            <w:tcW w:w="1276" w:type="dxa"/>
            <w:vAlign w:val="center"/>
          </w:tcPr>
          <w:p w14:paraId="74743582">
            <w:pPr>
              <w:pStyle w:val="12"/>
            </w:pPr>
            <w:r>
              <w:t>幼儿资助经费管理办法</w:t>
            </w:r>
          </w:p>
        </w:tc>
      </w:tr>
      <w:tr w14:paraId="1202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271D7"/>
        </w:tc>
        <w:tc>
          <w:tcPr>
            <w:tcW w:w="2268" w:type="dxa"/>
            <w:vAlign w:val="center"/>
          </w:tcPr>
          <w:p w14:paraId="39E01EB2">
            <w:pPr>
              <w:pStyle w:val="12"/>
            </w:pPr>
            <w:r>
              <w:t>时效指标</w:t>
            </w:r>
          </w:p>
        </w:tc>
        <w:tc>
          <w:tcPr>
            <w:tcW w:w="2835" w:type="dxa"/>
            <w:vAlign w:val="center"/>
          </w:tcPr>
          <w:p w14:paraId="58A42F54">
            <w:pPr>
              <w:pStyle w:val="12"/>
            </w:pPr>
            <w:r>
              <w:t>资金拨付率</w:t>
            </w:r>
          </w:p>
        </w:tc>
        <w:tc>
          <w:tcPr>
            <w:tcW w:w="5386" w:type="dxa"/>
            <w:vAlign w:val="center"/>
          </w:tcPr>
          <w:p w14:paraId="074F0EF5">
            <w:pPr>
              <w:pStyle w:val="12"/>
            </w:pPr>
            <w:r>
              <w:t>所有项目资金支付进度</w:t>
            </w:r>
          </w:p>
        </w:tc>
        <w:tc>
          <w:tcPr>
            <w:tcW w:w="2268" w:type="dxa"/>
            <w:vAlign w:val="center"/>
          </w:tcPr>
          <w:p w14:paraId="572686AC">
            <w:pPr>
              <w:pStyle w:val="12"/>
            </w:pPr>
            <w:r>
              <w:t>100%</w:t>
            </w:r>
          </w:p>
        </w:tc>
        <w:tc>
          <w:tcPr>
            <w:tcW w:w="1276" w:type="dxa"/>
            <w:vAlign w:val="center"/>
          </w:tcPr>
          <w:p w14:paraId="4090564D">
            <w:pPr>
              <w:pStyle w:val="12"/>
            </w:pPr>
            <w:r>
              <w:t>幼儿资助经费管理办法</w:t>
            </w:r>
          </w:p>
        </w:tc>
      </w:tr>
      <w:tr w14:paraId="010E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59535"/>
        </w:tc>
        <w:tc>
          <w:tcPr>
            <w:tcW w:w="2268" w:type="dxa"/>
            <w:vAlign w:val="center"/>
          </w:tcPr>
          <w:p w14:paraId="22736ED3">
            <w:pPr>
              <w:pStyle w:val="12"/>
            </w:pPr>
            <w:r>
              <w:t>成本指标</w:t>
            </w:r>
          </w:p>
        </w:tc>
        <w:tc>
          <w:tcPr>
            <w:tcW w:w="2835" w:type="dxa"/>
            <w:vAlign w:val="center"/>
          </w:tcPr>
          <w:p w14:paraId="2F1B6D80">
            <w:pPr>
              <w:pStyle w:val="12"/>
            </w:pPr>
            <w:r>
              <w:t>幼儿园生均成本</w:t>
            </w:r>
          </w:p>
        </w:tc>
        <w:tc>
          <w:tcPr>
            <w:tcW w:w="5386" w:type="dxa"/>
            <w:vAlign w:val="center"/>
          </w:tcPr>
          <w:p w14:paraId="05BD0553">
            <w:pPr>
              <w:pStyle w:val="12"/>
            </w:pPr>
            <w:r>
              <w:t>按照幼儿园资助标准1000元/生/年</w:t>
            </w:r>
          </w:p>
        </w:tc>
        <w:tc>
          <w:tcPr>
            <w:tcW w:w="2268" w:type="dxa"/>
            <w:vAlign w:val="center"/>
          </w:tcPr>
          <w:p w14:paraId="0CF6F5DA">
            <w:pPr>
              <w:pStyle w:val="12"/>
            </w:pPr>
            <w:r>
              <w:t>1000元</w:t>
            </w:r>
          </w:p>
        </w:tc>
        <w:tc>
          <w:tcPr>
            <w:tcW w:w="1276" w:type="dxa"/>
            <w:vAlign w:val="center"/>
          </w:tcPr>
          <w:p w14:paraId="22B55D2C">
            <w:pPr>
              <w:pStyle w:val="12"/>
            </w:pPr>
            <w:r>
              <w:t>幼儿资助经费管理办法</w:t>
            </w:r>
          </w:p>
        </w:tc>
      </w:tr>
      <w:tr w14:paraId="2C61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E1C4A">
            <w:pPr>
              <w:pStyle w:val="13"/>
            </w:pPr>
            <w:r>
              <w:t>效益指标</w:t>
            </w:r>
          </w:p>
        </w:tc>
        <w:tc>
          <w:tcPr>
            <w:tcW w:w="2268" w:type="dxa"/>
            <w:vAlign w:val="center"/>
          </w:tcPr>
          <w:p w14:paraId="515DDC9F">
            <w:pPr>
              <w:pStyle w:val="12"/>
            </w:pPr>
            <w:r>
              <w:t>可持续影响指标</w:t>
            </w:r>
          </w:p>
        </w:tc>
        <w:tc>
          <w:tcPr>
            <w:tcW w:w="2835" w:type="dxa"/>
            <w:vAlign w:val="center"/>
          </w:tcPr>
          <w:p w14:paraId="2CDEB229">
            <w:pPr>
              <w:pStyle w:val="12"/>
            </w:pPr>
            <w:r>
              <w:t>幼儿园正常运转</w:t>
            </w:r>
          </w:p>
        </w:tc>
        <w:tc>
          <w:tcPr>
            <w:tcW w:w="5386" w:type="dxa"/>
            <w:vAlign w:val="center"/>
          </w:tcPr>
          <w:p w14:paraId="1C1D5071">
            <w:pPr>
              <w:pStyle w:val="12"/>
            </w:pPr>
            <w:r>
              <w:t>幼儿受教育年限</w:t>
            </w:r>
          </w:p>
        </w:tc>
        <w:tc>
          <w:tcPr>
            <w:tcW w:w="2268" w:type="dxa"/>
            <w:vAlign w:val="center"/>
          </w:tcPr>
          <w:p w14:paraId="78D1E0CD">
            <w:pPr>
              <w:pStyle w:val="12"/>
            </w:pPr>
            <w:r>
              <w:t>3年</w:t>
            </w:r>
          </w:p>
        </w:tc>
        <w:tc>
          <w:tcPr>
            <w:tcW w:w="1276" w:type="dxa"/>
            <w:vAlign w:val="center"/>
          </w:tcPr>
          <w:p w14:paraId="5ACE7D55">
            <w:pPr>
              <w:pStyle w:val="12"/>
            </w:pPr>
            <w:r>
              <w:t>幼儿资助经费管理办法</w:t>
            </w:r>
          </w:p>
        </w:tc>
      </w:tr>
      <w:tr w14:paraId="2AEE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B42AF">
            <w:pPr>
              <w:pStyle w:val="13"/>
            </w:pPr>
            <w:r>
              <w:t>满意度指标</w:t>
            </w:r>
          </w:p>
        </w:tc>
        <w:tc>
          <w:tcPr>
            <w:tcW w:w="2268" w:type="dxa"/>
            <w:vAlign w:val="center"/>
          </w:tcPr>
          <w:p w14:paraId="3E446E73">
            <w:pPr>
              <w:pStyle w:val="12"/>
            </w:pPr>
            <w:r>
              <w:t>服务对象满意度指标</w:t>
            </w:r>
          </w:p>
        </w:tc>
        <w:tc>
          <w:tcPr>
            <w:tcW w:w="2835" w:type="dxa"/>
            <w:vAlign w:val="center"/>
          </w:tcPr>
          <w:p w14:paraId="739003EE">
            <w:pPr>
              <w:pStyle w:val="12"/>
            </w:pPr>
            <w:r>
              <w:t>受益幼儿家长及调查满意度</w:t>
            </w:r>
          </w:p>
        </w:tc>
        <w:tc>
          <w:tcPr>
            <w:tcW w:w="5386" w:type="dxa"/>
            <w:vAlign w:val="center"/>
          </w:tcPr>
          <w:p w14:paraId="416244E7">
            <w:pPr>
              <w:pStyle w:val="12"/>
            </w:pPr>
            <w:r>
              <w:t>学生、教师及家长对学校保教保育工作满意度情况</w:t>
            </w:r>
          </w:p>
        </w:tc>
        <w:tc>
          <w:tcPr>
            <w:tcW w:w="2268" w:type="dxa"/>
            <w:vAlign w:val="center"/>
          </w:tcPr>
          <w:p w14:paraId="5172F7AF">
            <w:pPr>
              <w:pStyle w:val="12"/>
            </w:pPr>
            <w:r>
              <w:t>≥95%</w:t>
            </w:r>
          </w:p>
        </w:tc>
        <w:tc>
          <w:tcPr>
            <w:tcW w:w="1276" w:type="dxa"/>
            <w:vAlign w:val="center"/>
          </w:tcPr>
          <w:p w14:paraId="695D2B68">
            <w:pPr>
              <w:pStyle w:val="12"/>
            </w:pPr>
            <w:r>
              <w:t>幼儿资助经费管理办法</w:t>
            </w:r>
          </w:p>
        </w:tc>
      </w:tr>
    </w:tbl>
    <w:p w14:paraId="5FF926A1">
      <w:pPr>
        <w:sectPr>
          <w:pgSz w:w="16840" w:h="11900" w:orient="landscape"/>
          <w:pgMar w:top="1361" w:right="1020" w:bottom="1134" w:left="1020" w:header="720" w:footer="720" w:gutter="0"/>
          <w:cols w:space="720" w:num="1"/>
        </w:sectPr>
      </w:pPr>
    </w:p>
    <w:p w14:paraId="4BC1AB4A">
      <w:pPr>
        <w:spacing w:before="0" w:after="0"/>
        <w:ind w:firstLine="560"/>
        <w:jc w:val="left"/>
        <w:outlineLvl w:val="9"/>
      </w:pPr>
      <w:r>
        <w:rPr>
          <w:rFonts w:ascii="方正仿宋_GBK" w:hAnsi="方正仿宋_GBK" w:eastAsia="方正仿宋_GBK" w:cs="方正仿宋_GBK"/>
          <w:b/>
          <w:color w:val="000000"/>
          <w:sz w:val="28"/>
        </w:rPr>
        <w:t>25、冀财教[2025]149号/省级/2026年学前发展资金/牛家桥校区幼儿园免保育教育费补助绩效目标表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3B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7350E">
            <w:pPr>
              <w:pStyle w:val="11"/>
            </w:pPr>
            <w:r>
              <w:t>单位：万元</w:t>
            </w:r>
          </w:p>
        </w:tc>
      </w:tr>
      <w:tr w14:paraId="18381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F2B30">
            <w:pPr>
              <w:pStyle w:val="10"/>
            </w:pPr>
            <w:r>
              <w:t>项目编码</w:t>
            </w:r>
          </w:p>
        </w:tc>
        <w:tc>
          <w:tcPr>
            <w:tcW w:w="5103" w:type="dxa"/>
            <w:gridSpan w:val="2"/>
            <w:vAlign w:val="center"/>
          </w:tcPr>
          <w:p w14:paraId="6295BB3E">
            <w:pPr>
              <w:pStyle w:val="12"/>
            </w:pPr>
            <w:r>
              <w:t>13052526P008769101596</w:t>
            </w:r>
          </w:p>
        </w:tc>
        <w:tc>
          <w:tcPr>
            <w:tcW w:w="2835" w:type="dxa"/>
            <w:vAlign w:val="center"/>
          </w:tcPr>
          <w:p w14:paraId="71E6BFC6">
            <w:pPr>
              <w:pStyle w:val="10"/>
            </w:pPr>
            <w:r>
              <w:t>项目名称</w:t>
            </w:r>
          </w:p>
        </w:tc>
        <w:tc>
          <w:tcPr>
            <w:tcW w:w="6095" w:type="dxa"/>
            <w:gridSpan w:val="3"/>
            <w:vAlign w:val="center"/>
          </w:tcPr>
          <w:p w14:paraId="1D3384A5">
            <w:pPr>
              <w:pStyle w:val="12"/>
            </w:pPr>
            <w:r>
              <w:t>冀财教[2025]149号/省级/2026年学前发展资金/牛家桥校区幼儿园免保育教育费补助</w:t>
            </w:r>
          </w:p>
        </w:tc>
      </w:tr>
      <w:tr w14:paraId="6656C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37B58">
            <w:pPr>
              <w:pStyle w:val="10"/>
            </w:pPr>
            <w:r>
              <w:t>预算规模及资金用途</w:t>
            </w:r>
          </w:p>
        </w:tc>
        <w:tc>
          <w:tcPr>
            <w:tcW w:w="2268" w:type="dxa"/>
            <w:vAlign w:val="center"/>
          </w:tcPr>
          <w:p w14:paraId="7FFB7EE6">
            <w:pPr>
              <w:pStyle w:val="10"/>
            </w:pPr>
            <w:r>
              <w:t>预算数</w:t>
            </w:r>
          </w:p>
        </w:tc>
        <w:tc>
          <w:tcPr>
            <w:tcW w:w="2835" w:type="dxa"/>
            <w:vAlign w:val="center"/>
          </w:tcPr>
          <w:p w14:paraId="3C0A93CB">
            <w:pPr>
              <w:pStyle w:val="12"/>
            </w:pPr>
            <w:r>
              <w:t>6.41</w:t>
            </w:r>
          </w:p>
        </w:tc>
        <w:tc>
          <w:tcPr>
            <w:tcW w:w="2835" w:type="dxa"/>
            <w:vAlign w:val="center"/>
          </w:tcPr>
          <w:p w14:paraId="7F8EE3ED">
            <w:pPr>
              <w:pStyle w:val="10"/>
            </w:pPr>
            <w:r>
              <w:t>其中：财政    资金</w:t>
            </w:r>
          </w:p>
        </w:tc>
        <w:tc>
          <w:tcPr>
            <w:tcW w:w="2551" w:type="dxa"/>
            <w:vAlign w:val="center"/>
          </w:tcPr>
          <w:p w14:paraId="1D53D0A0">
            <w:pPr>
              <w:pStyle w:val="12"/>
            </w:pPr>
            <w:r>
              <w:t>6.41</w:t>
            </w:r>
          </w:p>
        </w:tc>
        <w:tc>
          <w:tcPr>
            <w:tcW w:w="2268" w:type="dxa"/>
            <w:vAlign w:val="center"/>
          </w:tcPr>
          <w:p w14:paraId="3999200B">
            <w:pPr>
              <w:pStyle w:val="10"/>
            </w:pPr>
            <w:r>
              <w:t>其他资金</w:t>
            </w:r>
          </w:p>
        </w:tc>
        <w:tc>
          <w:tcPr>
            <w:tcW w:w="1276" w:type="dxa"/>
            <w:vAlign w:val="center"/>
          </w:tcPr>
          <w:p w14:paraId="3B82BA5E">
            <w:pPr>
              <w:pStyle w:val="12"/>
            </w:pPr>
            <w:r>
              <w:t xml:space="preserve"> </w:t>
            </w:r>
          </w:p>
        </w:tc>
      </w:tr>
      <w:tr w14:paraId="229E0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E3361"/>
        </w:tc>
        <w:tc>
          <w:tcPr>
            <w:tcW w:w="14033" w:type="dxa"/>
            <w:gridSpan w:val="6"/>
            <w:vAlign w:val="center"/>
          </w:tcPr>
          <w:p w14:paraId="54E6EBFE">
            <w:pPr>
              <w:pStyle w:val="12"/>
            </w:pPr>
            <w:r>
              <w:t xml:space="preserve"> 保障幼儿园正常运转，完成教育教学活动和其他日常工作任务等方面的费用支出。</w:t>
            </w:r>
          </w:p>
        </w:tc>
      </w:tr>
      <w:tr w14:paraId="779A6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7823C">
            <w:pPr>
              <w:pStyle w:val="10"/>
            </w:pPr>
            <w:r>
              <w:t>资金支出计划（%）</w:t>
            </w:r>
          </w:p>
        </w:tc>
        <w:tc>
          <w:tcPr>
            <w:tcW w:w="5103" w:type="dxa"/>
            <w:gridSpan w:val="2"/>
            <w:vAlign w:val="center"/>
          </w:tcPr>
          <w:p w14:paraId="1453F9AC">
            <w:pPr>
              <w:pStyle w:val="10"/>
            </w:pPr>
            <w:r>
              <w:t>3月底</w:t>
            </w:r>
          </w:p>
        </w:tc>
        <w:tc>
          <w:tcPr>
            <w:tcW w:w="2835" w:type="dxa"/>
            <w:vAlign w:val="center"/>
          </w:tcPr>
          <w:p w14:paraId="0B75E29D">
            <w:pPr>
              <w:pStyle w:val="10"/>
            </w:pPr>
            <w:r>
              <w:t>6月底</w:t>
            </w:r>
          </w:p>
        </w:tc>
        <w:tc>
          <w:tcPr>
            <w:tcW w:w="2551" w:type="dxa"/>
            <w:vAlign w:val="center"/>
          </w:tcPr>
          <w:p w14:paraId="04CBAE95">
            <w:pPr>
              <w:pStyle w:val="10"/>
            </w:pPr>
            <w:r>
              <w:t>10月底</w:t>
            </w:r>
          </w:p>
        </w:tc>
        <w:tc>
          <w:tcPr>
            <w:tcW w:w="3544" w:type="dxa"/>
            <w:gridSpan w:val="2"/>
            <w:vAlign w:val="center"/>
          </w:tcPr>
          <w:p w14:paraId="426B5330">
            <w:pPr>
              <w:pStyle w:val="10"/>
            </w:pPr>
            <w:r>
              <w:t>12月底</w:t>
            </w:r>
          </w:p>
        </w:tc>
      </w:tr>
      <w:tr w14:paraId="7A84F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E2315"/>
        </w:tc>
        <w:tc>
          <w:tcPr>
            <w:tcW w:w="5103" w:type="dxa"/>
            <w:gridSpan w:val="2"/>
            <w:vAlign w:val="center"/>
          </w:tcPr>
          <w:p w14:paraId="6E720D84">
            <w:pPr>
              <w:pStyle w:val="13"/>
            </w:pPr>
            <w:r>
              <w:t>25%</w:t>
            </w:r>
          </w:p>
        </w:tc>
        <w:tc>
          <w:tcPr>
            <w:tcW w:w="2835" w:type="dxa"/>
            <w:vAlign w:val="center"/>
          </w:tcPr>
          <w:p w14:paraId="588D4468">
            <w:pPr>
              <w:pStyle w:val="13"/>
            </w:pPr>
            <w:r>
              <w:t>50%</w:t>
            </w:r>
          </w:p>
        </w:tc>
        <w:tc>
          <w:tcPr>
            <w:tcW w:w="2551" w:type="dxa"/>
            <w:vAlign w:val="center"/>
          </w:tcPr>
          <w:p w14:paraId="411B4150">
            <w:pPr>
              <w:pStyle w:val="13"/>
            </w:pPr>
            <w:r>
              <w:t>75%</w:t>
            </w:r>
          </w:p>
        </w:tc>
        <w:tc>
          <w:tcPr>
            <w:tcW w:w="3544" w:type="dxa"/>
            <w:gridSpan w:val="2"/>
            <w:vAlign w:val="center"/>
          </w:tcPr>
          <w:p w14:paraId="4C7571B8">
            <w:pPr>
              <w:pStyle w:val="13"/>
            </w:pPr>
            <w:r>
              <w:t>100%</w:t>
            </w:r>
          </w:p>
        </w:tc>
      </w:tr>
      <w:tr w14:paraId="61139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47402">
            <w:pPr>
              <w:pStyle w:val="10"/>
            </w:pPr>
            <w:r>
              <w:t>绩效目标</w:t>
            </w:r>
          </w:p>
        </w:tc>
        <w:tc>
          <w:tcPr>
            <w:tcW w:w="14033" w:type="dxa"/>
            <w:gridSpan w:val="6"/>
            <w:vAlign w:val="center"/>
          </w:tcPr>
          <w:p w14:paraId="54728AA9">
            <w:pPr>
              <w:pStyle w:val="12"/>
            </w:pPr>
            <w:r>
              <w:t>1. 保障幼儿园正常运转，完成教育教学活动和其他日常工作任务等方面的费用支出。</w:t>
            </w:r>
          </w:p>
        </w:tc>
      </w:tr>
    </w:tbl>
    <w:p w14:paraId="0742A5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A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1FBE7">
            <w:pPr>
              <w:pStyle w:val="10"/>
            </w:pPr>
            <w:r>
              <w:t>一级指标</w:t>
            </w:r>
          </w:p>
        </w:tc>
        <w:tc>
          <w:tcPr>
            <w:tcW w:w="2268" w:type="dxa"/>
            <w:vAlign w:val="center"/>
          </w:tcPr>
          <w:p w14:paraId="4DE9F7A3">
            <w:pPr>
              <w:pStyle w:val="10"/>
            </w:pPr>
            <w:r>
              <w:t>二级指标</w:t>
            </w:r>
          </w:p>
        </w:tc>
        <w:tc>
          <w:tcPr>
            <w:tcW w:w="2835" w:type="dxa"/>
            <w:vAlign w:val="center"/>
          </w:tcPr>
          <w:p w14:paraId="2A7C990B">
            <w:pPr>
              <w:pStyle w:val="10"/>
            </w:pPr>
            <w:r>
              <w:t>三级指标</w:t>
            </w:r>
          </w:p>
        </w:tc>
        <w:tc>
          <w:tcPr>
            <w:tcW w:w="5386" w:type="dxa"/>
            <w:vAlign w:val="center"/>
          </w:tcPr>
          <w:p w14:paraId="549E5D40">
            <w:pPr>
              <w:pStyle w:val="10"/>
            </w:pPr>
            <w:r>
              <w:t>绩效指标描述</w:t>
            </w:r>
          </w:p>
        </w:tc>
        <w:tc>
          <w:tcPr>
            <w:tcW w:w="2268" w:type="dxa"/>
            <w:vAlign w:val="center"/>
          </w:tcPr>
          <w:p w14:paraId="5CFA3C21">
            <w:pPr>
              <w:pStyle w:val="10"/>
            </w:pPr>
            <w:r>
              <w:t>指标值</w:t>
            </w:r>
          </w:p>
        </w:tc>
        <w:tc>
          <w:tcPr>
            <w:tcW w:w="1276" w:type="dxa"/>
            <w:vAlign w:val="center"/>
          </w:tcPr>
          <w:p w14:paraId="0BF4A0AD">
            <w:pPr>
              <w:pStyle w:val="10"/>
            </w:pPr>
            <w:r>
              <w:t>指标值确定依据</w:t>
            </w:r>
          </w:p>
        </w:tc>
      </w:tr>
      <w:tr w14:paraId="5C06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4DEE8">
            <w:pPr>
              <w:pStyle w:val="13"/>
            </w:pPr>
            <w:r>
              <w:t>产出指标</w:t>
            </w:r>
          </w:p>
        </w:tc>
        <w:tc>
          <w:tcPr>
            <w:tcW w:w="2268" w:type="dxa"/>
            <w:vAlign w:val="center"/>
          </w:tcPr>
          <w:p w14:paraId="221C7874">
            <w:pPr>
              <w:pStyle w:val="12"/>
            </w:pPr>
            <w:r>
              <w:t>数量指标</w:t>
            </w:r>
          </w:p>
        </w:tc>
        <w:tc>
          <w:tcPr>
            <w:tcW w:w="2835" w:type="dxa"/>
            <w:vAlign w:val="center"/>
          </w:tcPr>
          <w:p w14:paraId="16D87CE4">
            <w:pPr>
              <w:pStyle w:val="12"/>
            </w:pPr>
            <w:r>
              <w:t>适龄在园生</w:t>
            </w:r>
          </w:p>
        </w:tc>
        <w:tc>
          <w:tcPr>
            <w:tcW w:w="5386" w:type="dxa"/>
            <w:vAlign w:val="center"/>
          </w:tcPr>
          <w:p w14:paraId="1D690095">
            <w:pPr>
              <w:pStyle w:val="12"/>
            </w:pPr>
            <w:r>
              <w:t>适龄在园学生人数</w:t>
            </w:r>
          </w:p>
        </w:tc>
        <w:tc>
          <w:tcPr>
            <w:tcW w:w="2268" w:type="dxa"/>
            <w:vAlign w:val="center"/>
          </w:tcPr>
          <w:p w14:paraId="212AA1E3">
            <w:pPr>
              <w:pStyle w:val="12"/>
            </w:pPr>
            <w:r>
              <w:t>100%</w:t>
            </w:r>
          </w:p>
        </w:tc>
        <w:tc>
          <w:tcPr>
            <w:tcW w:w="1276" w:type="dxa"/>
            <w:vAlign w:val="center"/>
          </w:tcPr>
          <w:p w14:paraId="568B7F5B">
            <w:pPr>
              <w:pStyle w:val="12"/>
            </w:pPr>
            <w:r>
              <w:t>支持学前教育发展资金管理方法</w:t>
            </w:r>
          </w:p>
        </w:tc>
      </w:tr>
      <w:tr w14:paraId="597B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48006"/>
        </w:tc>
        <w:tc>
          <w:tcPr>
            <w:tcW w:w="2268" w:type="dxa"/>
            <w:vAlign w:val="center"/>
          </w:tcPr>
          <w:p w14:paraId="206366F1">
            <w:pPr>
              <w:pStyle w:val="12"/>
            </w:pPr>
            <w:r>
              <w:t>质量指标</w:t>
            </w:r>
          </w:p>
        </w:tc>
        <w:tc>
          <w:tcPr>
            <w:tcW w:w="2835" w:type="dxa"/>
            <w:vAlign w:val="center"/>
          </w:tcPr>
          <w:p w14:paraId="111C39D4">
            <w:pPr>
              <w:pStyle w:val="12"/>
            </w:pPr>
            <w:r>
              <w:t>公用经费使用率</w:t>
            </w:r>
          </w:p>
        </w:tc>
        <w:tc>
          <w:tcPr>
            <w:tcW w:w="5386" w:type="dxa"/>
            <w:vAlign w:val="center"/>
          </w:tcPr>
          <w:p w14:paraId="248A09F3">
            <w:pPr>
              <w:pStyle w:val="12"/>
            </w:pPr>
            <w:r>
              <w:t>用于弥补经费不足，改善办学条件</w:t>
            </w:r>
          </w:p>
        </w:tc>
        <w:tc>
          <w:tcPr>
            <w:tcW w:w="2268" w:type="dxa"/>
            <w:vAlign w:val="center"/>
          </w:tcPr>
          <w:p w14:paraId="78D6CE7A">
            <w:pPr>
              <w:pStyle w:val="12"/>
            </w:pPr>
            <w:r>
              <w:t>100%</w:t>
            </w:r>
          </w:p>
        </w:tc>
        <w:tc>
          <w:tcPr>
            <w:tcW w:w="1276" w:type="dxa"/>
            <w:vAlign w:val="center"/>
          </w:tcPr>
          <w:p w14:paraId="62651A1C">
            <w:pPr>
              <w:pStyle w:val="12"/>
            </w:pPr>
            <w:r>
              <w:t>支持学前教育发展资金管理方法</w:t>
            </w:r>
          </w:p>
        </w:tc>
      </w:tr>
      <w:tr w14:paraId="1682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04DAE"/>
        </w:tc>
        <w:tc>
          <w:tcPr>
            <w:tcW w:w="2268" w:type="dxa"/>
            <w:vAlign w:val="center"/>
          </w:tcPr>
          <w:p w14:paraId="4FC178F6">
            <w:pPr>
              <w:pStyle w:val="12"/>
            </w:pPr>
            <w:r>
              <w:t>时效指标</w:t>
            </w:r>
          </w:p>
        </w:tc>
        <w:tc>
          <w:tcPr>
            <w:tcW w:w="2835" w:type="dxa"/>
            <w:vAlign w:val="center"/>
          </w:tcPr>
          <w:p w14:paraId="3BB96FA7">
            <w:pPr>
              <w:pStyle w:val="12"/>
            </w:pPr>
            <w:r>
              <w:t>资金支付率</w:t>
            </w:r>
          </w:p>
        </w:tc>
        <w:tc>
          <w:tcPr>
            <w:tcW w:w="5386" w:type="dxa"/>
            <w:vAlign w:val="center"/>
          </w:tcPr>
          <w:p w14:paraId="222C6ABF">
            <w:pPr>
              <w:pStyle w:val="12"/>
            </w:pPr>
            <w:r>
              <w:t>按照序时进度完成资金支付</w:t>
            </w:r>
          </w:p>
        </w:tc>
        <w:tc>
          <w:tcPr>
            <w:tcW w:w="2268" w:type="dxa"/>
            <w:vAlign w:val="center"/>
          </w:tcPr>
          <w:p w14:paraId="59B95231">
            <w:pPr>
              <w:pStyle w:val="12"/>
            </w:pPr>
            <w:r>
              <w:t>100%</w:t>
            </w:r>
          </w:p>
        </w:tc>
        <w:tc>
          <w:tcPr>
            <w:tcW w:w="1276" w:type="dxa"/>
            <w:vAlign w:val="center"/>
          </w:tcPr>
          <w:p w14:paraId="6AD9865F">
            <w:pPr>
              <w:pStyle w:val="12"/>
            </w:pPr>
            <w:r>
              <w:t>支持学前教育发展资金管理方法</w:t>
            </w:r>
          </w:p>
        </w:tc>
      </w:tr>
      <w:tr w14:paraId="77F2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B72F3"/>
        </w:tc>
        <w:tc>
          <w:tcPr>
            <w:tcW w:w="2268" w:type="dxa"/>
            <w:vAlign w:val="center"/>
          </w:tcPr>
          <w:p w14:paraId="0169B2DC">
            <w:pPr>
              <w:pStyle w:val="12"/>
            </w:pPr>
            <w:r>
              <w:t>成本指标</w:t>
            </w:r>
          </w:p>
        </w:tc>
        <w:tc>
          <w:tcPr>
            <w:tcW w:w="2835" w:type="dxa"/>
            <w:vAlign w:val="center"/>
          </w:tcPr>
          <w:p w14:paraId="044C2B3D">
            <w:pPr>
              <w:pStyle w:val="12"/>
            </w:pPr>
            <w:r>
              <w:t>生均拨款标准</w:t>
            </w:r>
          </w:p>
        </w:tc>
        <w:tc>
          <w:tcPr>
            <w:tcW w:w="5386" w:type="dxa"/>
            <w:vAlign w:val="center"/>
          </w:tcPr>
          <w:p w14:paraId="787C8FC2">
            <w:pPr>
              <w:pStyle w:val="12"/>
            </w:pPr>
            <w:r>
              <w:t>根据各学校学前保育费标准进行补助</w:t>
            </w:r>
          </w:p>
        </w:tc>
        <w:tc>
          <w:tcPr>
            <w:tcW w:w="2268" w:type="dxa"/>
            <w:vAlign w:val="center"/>
          </w:tcPr>
          <w:p w14:paraId="4CEBC6DE">
            <w:pPr>
              <w:pStyle w:val="12"/>
            </w:pPr>
            <w:r>
              <w:t>64070元</w:t>
            </w:r>
          </w:p>
        </w:tc>
        <w:tc>
          <w:tcPr>
            <w:tcW w:w="1276" w:type="dxa"/>
            <w:vAlign w:val="center"/>
          </w:tcPr>
          <w:p w14:paraId="31CF1618">
            <w:pPr>
              <w:pStyle w:val="12"/>
            </w:pPr>
            <w:r>
              <w:t>支持学前教育发展资金管理方法</w:t>
            </w:r>
          </w:p>
        </w:tc>
      </w:tr>
      <w:tr w14:paraId="27BA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1F37B">
            <w:pPr>
              <w:pStyle w:val="13"/>
            </w:pPr>
            <w:r>
              <w:t>效益指标</w:t>
            </w:r>
          </w:p>
        </w:tc>
        <w:tc>
          <w:tcPr>
            <w:tcW w:w="2268" w:type="dxa"/>
            <w:vAlign w:val="center"/>
          </w:tcPr>
          <w:p w14:paraId="6D9479EE">
            <w:pPr>
              <w:pStyle w:val="12"/>
            </w:pPr>
            <w:r>
              <w:t>可持续影响指标</w:t>
            </w:r>
          </w:p>
        </w:tc>
        <w:tc>
          <w:tcPr>
            <w:tcW w:w="2835" w:type="dxa"/>
            <w:vAlign w:val="center"/>
          </w:tcPr>
          <w:p w14:paraId="4602B15E">
            <w:pPr>
              <w:pStyle w:val="12"/>
            </w:pPr>
            <w:r>
              <w:t>学校运转得到提高</w:t>
            </w:r>
          </w:p>
        </w:tc>
        <w:tc>
          <w:tcPr>
            <w:tcW w:w="5386" w:type="dxa"/>
            <w:vAlign w:val="center"/>
          </w:tcPr>
          <w:p w14:paraId="56145A6D">
            <w:pPr>
              <w:pStyle w:val="12"/>
            </w:pPr>
            <w:r>
              <w:t>学生受教育年限</w:t>
            </w:r>
          </w:p>
        </w:tc>
        <w:tc>
          <w:tcPr>
            <w:tcW w:w="2268" w:type="dxa"/>
            <w:vAlign w:val="center"/>
          </w:tcPr>
          <w:p w14:paraId="024E5EA7">
            <w:pPr>
              <w:pStyle w:val="12"/>
            </w:pPr>
            <w:r>
              <w:t>3年</w:t>
            </w:r>
          </w:p>
        </w:tc>
        <w:tc>
          <w:tcPr>
            <w:tcW w:w="1276" w:type="dxa"/>
            <w:vAlign w:val="center"/>
          </w:tcPr>
          <w:p w14:paraId="368C1365">
            <w:pPr>
              <w:pStyle w:val="12"/>
            </w:pPr>
            <w:r>
              <w:t>支持学前教育发展资金管理方法</w:t>
            </w:r>
          </w:p>
        </w:tc>
      </w:tr>
      <w:tr w14:paraId="1C87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B9E4D">
            <w:pPr>
              <w:pStyle w:val="13"/>
            </w:pPr>
            <w:r>
              <w:t>满意度指标</w:t>
            </w:r>
          </w:p>
        </w:tc>
        <w:tc>
          <w:tcPr>
            <w:tcW w:w="2268" w:type="dxa"/>
            <w:vAlign w:val="center"/>
          </w:tcPr>
          <w:p w14:paraId="3AE37AF4">
            <w:pPr>
              <w:pStyle w:val="12"/>
            </w:pPr>
            <w:r>
              <w:t>服务对象满意度指标</w:t>
            </w:r>
          </w:p>
        </w:tc>
        <w:tc>
          <w:tcPr>
            <w:tcW w:w="2835" w:type="dxa"/>
            <w:vAlign w:val="center"/>
          </w:tcPr>
          <w:p w14:paraId="196E8569">
            <w:pPr>
              <w:pStyle w:val="12"/>
            </w:pPr>
            <w:r>
              <w:t>受益学生家长及调查满意度</w:t>
            </w:r>
          </w:p>
        </w:tc>
        <w:tc>
          <w:tcPr>
            <w:tcW w:w="5386" w:type="dxa"/>
            <w:vAlign w:val="center"/>
          </w:tcPr>
          <w:p w14:paraId="307385E6">
            <w:pPr>
              <w:pStyle w:val="12"/>
            </w:pPr>
            <w:r>
              <w:t>学生、教师及家长对学校保教保育工作满意度情况</w:t>
            </w:r>
          </w:p>
        </w:tc>
        <w:tc>
          <w:tcPr>
            <w:tcW w:w="2268" w:type="dxa"/>
            <w:vAlign w:val="center"/>
          </w:tcPr>
          <w:p w14:paraId="0235F429">
            <w:pPr>
              <w:pStyle w:val="12"/>
            </w:pPr>
            <w:r>
              <w:t>≥95%</w:t>
            </w:r>
          </w:p>
        </w:tc>
        <w:tc>
          <w:tcPr>
            <w:tcW w:w="1276" w:type="dxa"/>
            <w:vAlign w:val="center"/>
          </w:tcPr>
          <w:p w14:paraId="5B903CF8">
            <w:pPr>
              <w:pStyle w:val="12"/>
            </w:pPr>
            <w:r>
              <w:t>支持学前教育发展资金管理方法</w:t>
            </w:r>
          </w:p>
        </w:tc>
      </w:tr>
    </w:tbl>
    <w:p w14:paraId="07BAD7A6">
      <w:pPr>
        <w:sectPr>
          <w:pgSz w:w="16840" w:h="11900" w:orient="landscape"/>
          <w:pgMar w:top="1361" w:right="1020" w:bottom="1134" w:left="1020" w:header="720" w:footer="720" w:gutter="0"/>
          <w:cols w:space="720" w:num="1"/>
        </w:sectPr>
      </w:pPr>
    </w:p>
    <w:p w14:paraId="38992B8A">
      <w:pPr>
        <w:spacing w:before="0" w:after="0"/>
        <w:ind w:firstLine="560"/>
        <w:jc w:val="left"/>
        <w:outlineLvl w:val="9"/>
      </w:pPr>
      <w:r>
        <w:rPr>
          <w:rFonts w:ascii="方正仿宋_GBK" w:hAnsi="方正仿宋_GBK" w:eastAsia="方正仿宋_GBK" w:cs="方正仿宋_GBK"/>
          <w:b/>
          <w:color w:val="000000"/>
          <w:sz w:val="28"/>
        </w:rPr>
        <w:t>26、县级配套/2026年/牛家桥校区幼儿园免保育教育费补助绩效目标表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3D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493EA">
            <w:pPr>
              <w:pStyle w:val="11"/>
            </w:pPr>
            <w:r>
              <w:t>单位：万元</w:t>
            </w:r>
          </w:p>
        </w:tc>
      </w:tr>
      <w:tr w14:paraId="251E2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15A6B">
            <w:pPr>
              <w:pStyle w:val="10"/>
            </w:pPr>
            <w:r>
              <w:t>项目编码</w:t>
            </w:r>
          </w:p>
        </w:tc>
        <w:tc>
          <w:tcPr>
            <w:tcW w:w="5103" w:type="dxa"/>
            <w:gridSpan w:val="2"/>
            <w:vAlign w:val="center"/>
          </w:tcPr>
          <w:p w14:paraId="1A5D3F81">
            <w:pPr>
              <w:pStyle w:val="12"/>
            </w:pPr>
            <w:r>
              <w:t>13052526P00876910174U</w:t>
            </w:r>
          </w:p>
        </w:tc>
        <w:tc>
          <w:tcPr>
            <w:tcW w:w="2835" w:type="dxa"/>
            <w:vAlign w:val="center"/>
          </w:tcPr>
          <w:p w14:paraId="091F71EA">
            <w:pPr>
              <w:pStyle w:val="10"/>
            </w:pPr>
            <w:r>
              <w:t>项目名称</w:t>
            </w:r>
          </w:p>
        </w:tc>
        <w:tc>
          <w:tcPr>
            <w:tcW w:w="6095" w:type="dxa"/>
            <w:gridSpan w:val="3"/>
            <w:vAlign w:val="center"/>
          </w:tcPr>
          <w:p w14:paraId="39C6CA21">
            <w:pPr>
              <w:pStyle w:val="12"/>
            </w:pPr>
            <w:r>
              <w:t>县级配套/2026年/牛家桥校区幼儿园免保育教育费补助</w:t>
            </w:r>
          </w:p>
        </w:tc>
      </w:tr>
      <w:tr w14:paraId="74222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D5777">
            <w:pPr>
              <w:pStyle w:val="10"/>
            </w:pPr>
            <w:r>
              <w:t>预算规模及资金用途</w:t>
            </w:r>
          </w:p>
        </w:tc>
        <w:tc>
          <w:tcPr>
            <w:tcW w:w="2268" w:type="dxa"/>
            <w:vAlign w:val="center"/>
          </w:tcPr>
          <w:p w14:paraId="24AE758C">
            <w:pPr>
              <w:pStyle w:val="10"/>
            </w:pPr>
            <w:r>
              <w:t>预算数</w:t>
            </w:r>
          </w:p>
        </w:tc>
        <w:tc>
          <w:tcPr>
            <w:tcW w:w="2835" w:type="dxa"/>
            <w:vAlign w:val="center"/>
          </w:tcPr>
          <w:p w14:paraId="2B8C0AFF">
            <w:pPr>
              <w:pStyle w:val="12"/>
            </w:pPr>
            <w:r>
              <w:t>2.32</w:t>
            </w:r>
          </w:p>
        </w:tc>
        <w:tc>
          <w:tcPr>
            <w:tcW w:w="2835" w:type="dxa"/>
            <w:vAlign w:val="center"/>
          </w:tcPr>
          <w:p w14:paraId="6EBF31DD">
            <w:pPr>
              <w:pStyle w:val="10"/>
            </w:pPr>
            <w:r>
              <w:t>其中：财政    资金</w:t>
            </w:r>
          </w:p>
        </w:tc>
        <w:tc>
          <w:tcPr>
            <w:tcW w:w="2551" w:type="dxa"/>
            <w:vAlign w:val="center"/>
          </w:tcPr>
          <w:p w14:paraId="313CBFF1">
            <w:pPr>
              <w:pStyle w:val="12"/>
            </w:pPr>
            <w:r>
              <w:t>2.32</w:t>
            </w:r>
          </w:p>
        </w:tc>
        <w:tc>
          <w:tcPr>
            <w:tcW w:w="2268" w:type="dxa"/>
            <w:vAlign w:val="center"/>
          </w:tcPr>
          <w:p w14:paraId="63707A62">
            <w:pPr>
              <w:pStyle w:val="10"/>
            </w:pPr>
            <w:r>
              <w:t>其他资金</w:t>
            </w:r>
          </w:p>
        </w:tc>
        <w:tc>
          <w:tcPr>
            <w:tcW w:w="1276" w:type="dxa"/>
            <w:vAlign w:val="center"/>
          </w:tcPr>
          <w:p w14:paraId="7443D112">
            <w:pPr>
              <w:pStyle w:val="12"/>
            </w:pPr>
            <w:r>
              <w:t xml:space="preserve"> </w:t>
            </w:r>
          </w:p>
        </w:tc>
      </w:tr>
      <w:tr w14:paraId="24594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269F9"/>
        </w:tc>
        <w:tc>
          <w:tcPr>
            <w:tcW w:w="14033" w:type="dxa"/>
            <w:gridSpan w:val="6"/>
            <w:vAlign w:val="center"/>
          </w:tcPr>
          <w:p w14:paraId="4DB93485">
            <w:pPr>
              <w:pStyle w:val="12"/>
            </w:pPr>
            <w:r>
              <w:t xml:space="preserve"> 保障幼儿园正常运转，完成教育教学活动和其他日常工作任务等方面的费用支出。</w:t>
            </w:r>
          </w:p>
        </w:tc>
      </w:tr>
      <w:tr w14:paraId="0F972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45C97">
            <w:pPr>
              <w:pStyle w:val="10"/>
            </w:pPr>
            <w:r>
              <w:t>资金支出计划（%）</w:t>
            </w:r>
          </w:p>
        </w:tc>
        <w:tc>
          <w:tcPr>
            <w:tcW w:w="5103" w:type="dxa"/>
            <w:gridSpan w:val="2"/>
            <w:vAlign w:val="center"/>
          </w:tcPr>
          <w:p w14:paraId="3E055599">
            <w:pPr>
              <w:pStyle w:val="10"/>
            </w:pPr>
            <w:r>
              <w:t>3月底</w:t>
            </w:r>
          </w:p>
        </w:tc>
        <w:tc>
          <w:tcPr>
            <w:tcW w:w="2835" w:type="dxa"/>
            <w:vAlign w:val="center"/>
          </w:tcPr>
          <w:p w14:paraId="2175D183">
            <w:pPr>
              <w:pStyle w:val="10"/>
            </w:pPr>
            <w:r>
              <w:t>6月底</w:t>
            </w:r>
          </w:p>
        </w:tc>
        <w:tc>
          <w:tcPr>
            <w:tcW w:w="2551" w:type="dxa"/>
            <w:vAlign w:val="center"/>
          </w:tcPr>
          <w:p w14:paraId="37757FE5">
            <w:pPr>
              <w:pStyle w:val="10"/>
            </w:pPr>
            <w:r>
              <w:t>10月底</w:t>
            </w:r>
          </w:p>
        </w:tc>
        <w:tc>
          <w:tcPr>
            <w:tcW w:w="3544" w:type="dxa"/>
            <w:gridSpan w:val="2"/>
            <w:vAlign w:val="center"/>
          </w:tcPr>
          <w:p w14:paraId="2667DFF1">
            <w:pPr>
              <w:pStyle w:val="10"/>
            </w:pPr>
            <w:r>
              <w:t>12月底</w:t>
            </w:r>
          </w:p>
        </w:tc>
      </w:tr>
      <w:tr w14:paraId="604FC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7DA05"/>
        </w:tc>
        <w:tc>
          <w:tcPr>
            <w:tcW w:w="5103" w:type="dxa"/>
            <w:gridSpan w:val="2"/>
            <w:vAlign w:val="center"/>
          </w:tcPr>
          <w:p w14:paraId="321EFD24">
            <w:pPr>
              <w:pStyle w:val="13"/>
            </w:pPr>
            <w:r>
              <w:t>25%</w:t>
            </w:r>
          </w:p>
        </w:tc>
        <w:tc>
          <w:tcPr>
            <w:tcW w:w="2835" w:type="dxa"/>
            <w:vAlign w:val="center"/>
          </w:tcPr>
          <w:p w14:paraId="66390A1E">
            <w:pPr>
              <w:pStyle w:val="13"/>
            </w:pPr>
            <w:r>
              <w:t>50%</w:t>
            </w:r>
          </w:p>
        </w:tc>
        <w:tc>
          <w:tcPr>
            <w:tcW w:w="2551" w:type="dxa"/>
            <w:vAlign w:val="center"/>
          </w:tcPr>
          <w:p w14:paraId="74C52B8C">
            <w:pPr>
              <w:pStyle w:val="13"/>
            </w:pPr>
            <w:r>
              <w:t>75%</w:t>
            </w:r>
          </w:p>
        </w:tc>
        <w:tc>
          <w:tcPr>
            <w:tcW w:w="3544" w:type="dxa"/>
            <w:gridSpan w:val="2"/>
            <w:vAlign w:val="center"/>
          </w:tcPr>
          <w:p w14:paraId="5AA00D4C">
            <w:pPr>
              <w:pStyle w:val="13"/>
            </w:pPr>
            <w:r>
              <w:t>100%</w:t>
            </w:r>
          </w:p>
        </w:tc>
      </w:tr>
      <w:tr w14:paraId="056CC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C0A20">
            <w:pPr>
              <w:pStyle w:val="10"/>
            </w:pPr>
            <w:r>
              <w:t>绩效目标</w:t>
            </w:r>
          </w:p>
        </w:tc>
        <w:tc>
          <w:tcPr>
            <w:tcW w:w="14033" w:type="dxa"/>
            <w:gridSpan w:val="6"/>
            <w:vAlign w:val="center"/>
          </w:tcPr>
          <w:p w14:paraId="15E09F10">
            <w:pPr>
              <w:pStyle w:val="12"/>
            </w:pPr>
            <w:r>
              <w:t>1. 保障幼儿园正常运转，完成教育教学活动和其他日常工作任务等方面的费用支出。</w:t>
            </w:r>
          </w:p>
        </w:tc>
      </w:tr>
    </w:tbl>
    <w:p w14:paraId="08061A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1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52FCA">
            <w:pPr>
              <w:pStyle w:val="10"/>
            </w:pPr>
            <w:r>
              <w:t>一级指标</w:t>
            </w:r>
          </w:p>
        </w:tc>
        <w:tc>
          <w:tcPr>
            <w:tcW w:w="2268" w:type="dxa"/>
            <w:vAlign w:val="center"/>
          </w:tcPr>
          <w:p w14:paraId="0EA7B654">
            <w:pPr>
              <w:pStyle w:val="10"/>
            </w:pPr>
            <w:r>
              <w:t>二级指标</w:t>
            </w:r>
          </w:p>
        </w:tc>
        <w:tc>
          <w:tcPr>
            <w:tcW w:w="2835" w:type="dxa"/>
            <w:vAlign w:val="center"/>
          </w:tcPr>
          <w:p w14:paraId="3334695E">
            <w:pPr>
              <w:pStyle w:val="10"/>
            </w:pPr>
            <w:r>
              <w:t>三级指标</w:t>
            </w:r>
          </w:p>
        </w:tc>
        <w:tc>
          <w:tcPr>
            <w:tcW w:w="5386" w:type="dxa"/>
            <w:vAlign w:val="center"/>
          </w:tcPr>
          <w:p w14:paraId="1B2AA527">
            <w:pPr>
              <w:pStyle w:val="10"/>
            </w:pPr>
            <w:r>
              <w:t>绩效指标描述</w:t>
            </w:r>
          </w:p>
        </w:tc>
        <w:tc>
          <w:tcPr>
            <w:tcW w:w="2268" w:type="dxa"/>
            <w:vAlign w:val="center"/>
          </w:tcPr>
          <w:p w14:paraId="08CD4E89">
            <w:pPr>
              <w:pStyle w:val="10"/>
            </w:pPr>
            <w:r>
              <w:t>指标值</w:t>
            </w:r>
          </w:p>
        </w:tc>
        <w:tc>
          <w:tcPr>
            <w:tcW w:w="1276" w:type="dxa"/>
            <w:vAlign w:val="center"/>
          </w:tcPr>
          <w:p w14:paraId="6AF17347">
            <w:pPr>
              <w:pStyle w:val="10"/>
            </w:pPr>
            <w:r>
              <w:t>指标值确定依据</w:t>
            </w:r>
          </w:p>
        </w:tc>
      </w:tr>
      <w:tr w14:paraId="6E5A1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18E15">
            <w:pPr>
              <w:pStyle w:val="13"/>
            </w:pPr>
            <w:r>
              <w:t>产出指标</w:t>
            </w:r>
          </w:p>
        </w:tc>
        <w:tc>
          <w:tcPr>
            <w:tcW w:w="2268" w:type="dxa"/>
            <w:vAlign w:val="center"/>
          </w:tcPr>
          <w:p w14:paraId="1C27F791">
            <w:pPr>
              <w:pStyle w:val="12"/>
            </w:pPr>
            <w:r>
              <w:t>数量指标</w:t>
            </w:r>
          </w:p>
        </w:tc>
        <w:tc>
          <w:tcPr>
            <w:tcW w:w="2835" w:type="dxa"/>
            <w:vAlign w:val="center"/>
          </w:tcPr>
          <w:p w14:paraId="1C8E9CA5">
            <w:pPr>
              <w:pStyle w:val="12"/>
            </w:pPr>
            <w:r>
              <w:t>适龄在园生</w:t>
            </w:r>
          </w:p>
        </w:tc>
        <w:tc>
          <w:tcPr>
            <w:tcW w:w="5386" w:type="dxa"/>
            <w:vAlign w:val="center"/>
          </w:tcPr>
          <w:p w14:paraId="5A39B1B3">
            <w:pPr>
              <w:pStyle w:val="12"/>
            </w:pPr>
            <w:r>
              <w:t>适龄在园学生人数</w:t>
            </w:r>
          </w:p>
        </w:tc>
        <w:tc>
          <w:tcPr>
            <w:tcW w:w="2268" w:type="dxa"/>
            <w:vAlign w:val="center"/>
          </w:tcPr>
          <w:p w14:paraId="532768CA">
            <w:pPr>
              <w:pStyle w:val="12"/>
            </w:pPr>
            <w:r>
              <w:t>100%</w:t>
            </w:r>
          </w:p>
        </w:tc>
        <w:tc>
          <w:tcPr>
            <w:tcW w:w="1276" w:type="dxa"/>
            <w:vAlign w:val="center"/>
          </w:tcPr>
          <w:p w14:paraId="16F3A5AC">
            <w:pPr>
              <w:pStyle w:val="12"/>
            </w:pPr>
            <w:r>
              <w:t>支持学前教育发展资金管理方法</w:t>
            </w:r>
          </w:p>
        </w:tc>
      </w:tr>
      <w:tr w14:paraId="09DE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AA3D0"/>
        </w:tc>
        <w:tc>
          <w:tcPr>
            <w:tcW w:w="2268" w:type="dxa"/>
            <w:vAlign w:val="center"/>
          </w:tcPr>
          <w:p w14:paraId="3F9B079D">
            <w:pPr>
              <w:pStyle w:val="12"/>
            </w:pPr>
            <w:r>
              <w:t>质量指标</w:t>
            </w:r>
          </w:p>
        </w:tc>
        <w:tc>
          <w:tcPr>
            <w:tcW w:w="2835" w:type="dxa"/>
            <w:vAlign w:val="center"/>
          </w:tcPr>
          <w:p w14:paraId="6F34AD89">
            <w:pPr>
              <w:pStyle w:val="12"/>
            </w:pPr>
            <w:r>
              <w:t>公用经费使用率</w:t>
            </w:r>
          </w:p>
        </w:tc>
        <w:tc>
          <w:tcPr>
            <w:tcW w:w="5386" w:type="dxa"/>
            <w:vAlign w:val="center"/>
          </w:tcPr>
          <w:p w14:paraId="22B7992F">
            <w:pPr>
              <w:pStyle w:val="12"/>
            </w:pPr>
            <w:r>
              <w:t>用于弥补经费不足，改善办学条件</w:t>
            </w:r>
          </w:p>
        </w:tc>
        <w:tc>
          <w:tcPr>
            <w:tcW w:w="2268" w:type="dxa"/>
            <w:vAlign w:val="center"/>
          </w:tcPr>
          <w:p w14:paraId="5F9FF8C5">
            <w:pPr>
              <w:pStyle w:val="12"/>
            </w:pPr>
            <w:r>
              <w:t>100%</w:t>
            </w:r>
          </w:p>
        </w:tc>
        <w:tc>
          <w:tcPr>
            <w:tcW w:w="1276" w:type="dxa"/>
            <w:vAlign w:val="center"/>
          </w:tcPr>
          <w:p w14:paraId="4B84F164">
            <w:pPr>
              <w:pStyle w:val="12"/>
            </w:pPr>
            <w:r>
              <w:t>支持学前教育发展资金管理方法</w:t>
            </w:r>
          </w:p>
        </w:tc>
      </w:tr>
      <w:tr w14:paraId="51E8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1D9C8"/>
        </w:tc>
        <w:tc>
          <w:tcPr>
            <w:tcW w:w="2268" w:type="dxa"/>
            <w:vAlign w:val="center"/>
          </w:tcPr>
          <w:p w14:paraId="2331A1E8">
            <w:pPr>
              <w:pStyle w:val="12"/>
            </w:pPr>
            <w:r>
              <w:t>时效指标</w:t>
            </w:r>
          </w:p>
        </w:tc>
        <w:tc>
          <w:tcPr>
            <w:tcW w:w="2835" w:type="dxa"/>
            <w:vAlign w:val="center"/>
          </w:tcPr>
          <w:p w14:paraId="15925B10">
            <w:pPr>
              <w:pStyle w:val="12"/>
            </w:pPr>
            <w:r>
              <w:t>资金支付率</w:t>
            </w:r>
          </w:p>
        </w:tc>
        <w:tc>
          <w:tcPr>
            <w:tcW w:w="5386" w:type="dxa"/>
            <w:vAlign w:val="center"/>
          </w:tcPr>
          <w:p w14:paraId="17E69A34">
            <w:pPr>
              <w:pStyle w:val="12"/>
            </w:pPr>
            <w:r>
              <w:t>按照序时进度完成资金支付</w:t>
            </w:r>
          </w:p>
        </w:tc>
        <w:tc>
          <w:tcPr>
            <w:tcW w:w="2268" w:type="dxa"/>
            <w:vAlign w:val="center"/>
          </w:tcPr>
          <w:p w14:paraId="3412D81B">
            <w:pPr>
              <w:pStyle w:val="12"/>
            </w:pPr>
            <w:r>
              <w:t>100%</w:t>
            </w:r>
          </w:p>
        </w:tc>
        <w:tc>
          <w:tcPr>
            <w:tcW w:w="1276" w:type="dxa"/>
            <w:vAlign w:val="center"/>
          </w:tcPr>
          <w:p w14:paraId="7C95DF19">
            <w:pPr>
              <w:pStyle w:val="12"/>
            </w:pPr>
            <w:r>
              <w:t>支持学前教育发展资金管理方法</w:t>
            </w:r>
          </w:p>
        </w:tc>
      </w:tr>
      <w:tr w14:paraId="546E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2AB15"/>
        </w:tc>
        <w:tc>
          <w:tcPr>
            <w:tcW w:w="2268" w:type="dxa"/>
            <w:vAlign w:val="center"/>
          </w:tcPr>
          <w:p w14:paraId="1482D914">
            <w:pPr>
              <w:pStyle w:val="12"/>
            </w:pPr>
            <w:r>
              <w:t>成本指标</w:t>
            </w:r>
          </w:p>
        </w:tc>
        <w:tc>
          <w:tcPr>
            <w:tcW w:w="2835" w:type="dxa"/>
            <w:vAlign w:val="center"/>
          </w:tcPr>
          <w:p w14:paraId="348CE708">
            <w:pPr>
              <w:pStyle w:val="12"/>
            </w:pPr>
            <w:r>
              <w:t>生均拨款标准</w:t>
            </w:r>
          </w:p>
        </w:tc>
        <w:tc>
          <w:tcPr>
            <w:tcW w:w="5386" w:type="dxa"/>
            <w:vAlign w:val="center"/>
          </w:tcPr>
          <w:p w14:paraId="01063000">
            <w:pPr>
              <w:pStyle w:val="12"/>
            </w:pPr>
            <w:r>
              <w:t>根据各学校学前保育费标准进行补助</w:t>
            </w:r>
          </w:p>
        </w:tc>
        <w:tc>
          <w:tcPr>
            <w:tcW w:w="2268" w:type="dxa"/>
            <w:vAlign w:val="center"/>
          </w:tcPr>
          <w:p w14:paraId="259D19FA">
            <w:pPr>
              <w:pStyle w:val="12"/>
            </w:pPr>
            <w:r>
              <w:t>23249元</w:t>
            </w:r>
          </w:p>
        </w:tc>
        <w:tc>
          <w:tcPr>
            <w:tcW w:w="1276" w:type="dxa"/>
            <w:vAlign w:val="center"/>
          </w:tcPr>
          <w:p w14:paraId="158CE2EE">
            <w:pPr>
              <w:pStyle w:val="12"/>
            </w:pPr>
            <w:r>
              <w:t>支持学前教育发展资金管理方法</w:t>
            </w:r>
          </w:p>
        </w:tc>
      </w:tr>
      <w:tr w14:paraId="6C37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055C5">
            <w:pPr>
              <w:pStyle w:val="13"/>
            </w:pPr>
            <w:r>
              <w:t>效益指标</w:t>
            </w:r>
          </w:p>
        </w:tc>
        <w:tc>
          <w:tcPr>
            <w:tcW w:w="2268" w:type="dxa"/>
            <w:vAlign w:val="center"/>
          </w:tcPr>
          <w:p w14:paraId="63D9641E">
            <w:pPr>
              <w:pStyle w:val="12"/>
            </w:pPr>
            <w:r>
              <w:t>可持续影响指标</w:t>
            </w:r>
          </w:p>
        </w:tc>
        <w:tc>
          <w:tcPr>
            <w:tcW w:w="2835" w:type="dxa"/>
            <w:vAlign w:val="center"/>
          </w:tcPr>
          <w:p w14:paraId="7C7DE19D">
            <w:pPr>
              <w:pStyle w:val="12"/>
            </w:pPr>
            <w:r>
              <w:t>学校运转得到提高</w:t>
            </w:r>
          </w:p>
        </w:tc>
        <w:tc>
          <w:tcPr>
            <w:tcW w:w="5386" w:type="dxa"/>
            <w:vAlign w:val="center"/>
          </w:tcPr>
          <w:p w14:paraId="4251B8DF">
            <w:pPr>
              <w:pStyle w:val="12"/>
            </w:pPr>
            <w:r>
              <w:t>学生受教育年限</w:t>
            </w:r>
          </w:p>
        </w:tc>
        <w:tc>
          <w:tcPr>
            <w:tcW w:w="2268" w:type="dxa"/>
            <w:vAlign w:val="center"/>
          </w:tcPr>
          <w:p w14:paraId="2BD26121">
            <w:pPr>
              <w:pStyle w:val="12"/>
            </w:pPr>
            <w:r>
              <w:t>3年</w:t>
            </w:r>
          </w:p>
        </w:tc>
        <w:tc>
          <w:tcPr>
            <w:tcW w:w="1276" w:type="dxa"/>
            <w:vAlign w:val="center"/>
          </w:tcPr>
          <w:p w14:paraId="5F4CC1B0">
            <w:pPr>
              <w:pStyle w:val="12"/>
            </w:pPr>
            <w:r>
              <w:t>支持学前教育发展资金管理方法</w:t>
            </w:r>
          </w:p>
        </w:tc>
      </w:tr>
      <w:tr w14:paraId="510F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2F374">
            <w:pPr>
              <w:pStyle w:val="13"/>
            </w:pPr>
            <w:r>
              <w:t>满意度指标</w:t>
            </w:r>
          </w:p>
        </w:tc>
        <w:tc>
          <w:tcPr>
            <w:tcW w:w="2268" w:type="dxa"/>
            <w:vAlign w:val="center"/>
          </w:tcPr>
          <w:p w14:paraId="5589D5C0">
            <w:pPr>
              <w:pStyle w:val="12"/>
            </w:pPr>
            <w:r>
              <w:t>服务对象满意度指标</w:t>
            </w:r>
          </w:p>
        </w:tc>
        <w:tc>
          <w:tcPr>
            <w:tcW w:w="2835" w:type="dxa"/>
            <w:vAlign w:val="center"/>
          </w:tcPr>
          <w:p w14:paraId="62819FA1">
            <w:pPr>
              <w:pStyle w:val="12"/>
            </w:pPr>
            <w:r>
              <w:t>受益学生家长及调查满意度</w:t>
            </w:r>
          </w:p>
        </w:tc>
        <w:tc>
          <w:tcPr>
            <w:tcW w:w="5386" w:type="dxa"/>
            <w:vAlign w:val="center"/>
          </w:tcPr>
          <w:p w14:paraId="3302DBE1">
            <w:pPr>
              <w:pStyle w:val="12"/>
            </w:pPr>
            <w:r>
              <w:t>学生、教师及家长对学校保教保育工作满意度情况</w:t>
            </w:r>
          </w:p>
        </w:tc>
        <w:tc>
          <w:tcPr>
            <w:tcW w:w="2268" w:type="dxa"/>
            <w:vAlign w:val="center"/>
          </w:tcPr>
          <w:p w14:paraId="7E3CD28B">
            <w:pPr>
              <w:pStyle w:val="12"/>
            </w:pPr>
            <w:r>
              <w:t>≥95%</w:t>
            </w:r>
          </w:p>
        </w:tc>
        <w:tc>
          <w:tcPr>
            <w:tcW w:w="1276" w:type="dxa"/>
            <w:vAlign w:val="center"/>
          </w:tcPr>
          <w:p w14:paraId="08A12E38">
            <w:pPr>
              <w:pStyle w:val="12"/>
            </w:pPr>
            <w:r>
              <w:t>支持学前教育发展资金管理方法</w:t>
            </w:r>
          </w:p>
        </w:tc>
      </w:tr>
    </w:tbl>
    <w:p w14:paraId="77C040EA">
      <w:pPr>
        <w:sectPr>
          <w:pgSz w:w="16840" w:h="11900" w:orient="landscape"/>
          <w:pgMar w:top="1361" w:right="1020" w:bottom="1134" w:left="1020" w:header="720" w:footer="720" w:gutter="0"/>
          <w:cols w:space="720" w:num="1"/>
        </w:sectPr>
      </w:pPr>
    </w:p>
    <w:p w14:paraId="214F185A">
      <w:pPr>
        <w:spacing w:before="0" w:after="0"/>
        <w:ind w:firstLine="560"/>
        <w:jc w:val="left"/>
        <w:outlineLvl w:val="9"/>
      </w:pPr>
      <w:r>
        <w:rPr>
          <w:rFonts w:ascii="方正仿宋_GBK" w:hAnsi="方正仿宋_GBK" w:eastAsia="方正仿宋_GBK" w:cs="方正仿宋_GBK"/>
          <w:b/>
          <w:color w:val="000000"/>
          <w:sz w:val="28"/>
        </w:rPr>
        <w:t>27、县级配套/牛家桥校区北吴疃小学公用经费绩效目标表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C6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CF66A">
            <w:pPr>
              <w:pStyle w:val="11"/>
            </w:pPr>
            <w:r>
              <w:t>单位：万元</w:t>
            </w:r>
          </w:p>
        </w:tc>
      </w:tr>
      <w:tr w14:paraId="1E448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62A3D">
            <w:pPr>
              <w:pStyle w:val="10"/>
            </w:pPr>
            <w:r>
              <w:t>项目编码</w:t>
            </w:r>
          </w:p>
        </w:tc>
        <w:tc>
          <w:tcPr>
            <w:tcW w:w="5103" w:type="dxa"/>
            <w:gridSpan w:val="2"/>
            <w:vAlign w:val="center"/>
          </w:tcPr>
          <w:p w14:paraId="2DCD14F3">
            <w:pPr>
              <w:pStyle w:val="12"/>
            </w:pPr>
            <w:r>
              <w:t>13052526P00000410473H</w:t>
            </w:r>
          </w:p>
        </w:tc>
        <w:tc>
          <w:tcPr>
            <w:tcW w:w="2835" w:type="dxa"/>
            <w:vAlign w:val="center"/>
          </w:tcPr>
          <w:p w14:paraId="32CFC5C0">
            <w:pPr>
              <w:pStyle w:val="10"/>
            </w:pPr>
            <w:r>
              <w:t>项目名称</w:t>
            </w:r>
          </w:p>
        </w:tc>
        <w:tc>
          <w:tcPr>
            <w:tcW w:w="6095" w:type="dxa"/>
            <w:gridSpan w:val="3"/>
            <w:vAlign w:val="center"/>
          </w:tcPr>
          <w:p w14:paraId="3198F39B">
            <w:pPr>
              <w:pStyle w:val="12"/>
            </w:pPr>
            <w:r>
              <w:t>县级配套/牛家桥校区北吴疃小学公用经费</w:t>
            </w:r>
          </w:p>
        </w:tc>
      </w:tr>
      <w:tr w14:paraId="1C984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442AD">
            <w:pPr>
              <w:pStyle w:val="10"/>
            </w:pPr>
            <w:r>
              <w:t>预算规模及资金用途</w:t>
            </w:r>
          </w:p>
        </w:tc>
        <w:tc>
          <w:tcPr>
            <w:tcW w:w="2268" w:type="dxa"/>
            <w:vAlign w:val="center"/>
          </w:tcPr>
          <w:p w14:paraId="73C72E55">
            <w:pPr>
              <w:pStyle w:val="10"/>
            </w:pPr>
            <w:r>
              <w:t>预算数</w:t>
            </w:r>
          </w:p>
        </w:tc>
        <w:tc>
          <w:tcPr>
            <w:tcW w:w="2835" w:type="dxa"/>
            <w:vAlign w:val="center"/>
          </w:tcPr>
          <w:p w14:paraId="32A66AA5">
            <w:pPr>
              <w:pStyle w:val="12"/>
            </w:pPr>
            <w:r>
              <w:t>1.00</w:t>
            </w:r>
          </w:p>
        </w:tc>
        <w:tc>
          <w:tcPr>
            <w:tcW w:w="2835" w:type="dxa"/>
            <w:vAlign w:val="center"/>
          </w:tcPr>
          <w:p w14:paraId="6C572B00">
            <w:pPr>
              <w:pStyle w:val="10"/>
            </w:pPr>
            <w:r>
              <w:t>其中：财政    资金</w:t>
            </w:r>
          </w:p>
        </w:tc>
        <w:tc>
          <w:tcPr>
            <w:tcW w:w="2551" w:type="dxa"/>
            <w:vAlign w:val="center"/>
          </w:tcPr>
          <w:p w14:paraId="2F43CF2D">
            <w:pPr>
              <w:pStyle w:val="12"/>
            </w:pPr>
            <w:r>
              <w:t>1.00</w:t>
            </w:r>
          </w:p>
        </w:tc>
        <w:tc>
          <w:tcPr>
            <w:tcW w:w="2268" w:type="dxa"/>
            <w:vAlign w:val="center"/>
          </w:tcPr>
          <w:p w14:paraId="5D745B36">
            <w:pPr>
              <w:pStyle w:val="10"/>
            </w:pPr>
            <w:r>
              <w:t>其他资金</w:t>
            </w:r>
          </w:p>
        </w:tc>
        <w:tc>
          <w:tcPr>
            <w:tcW w:w="1276" w:type="dxa"/>
            <w:vAlign w:val="center"/>
          </w:tcPr>
          <w:p w14:paraId="48F4C155">
            <w:pPr>
              <w:pStyle w:val="12"/>
            </w:pPr>
            <w:r>
              <w:t xml:space="preserve"> </w:t>
            </w:r>
          </w:p>
        </w:tc>
      </w:tr>
      <w:tr w14:paraId="0FF86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DB0CA"/>
        </w:tc>
        <w:tc>
          <w:tcPr>
            <w:tcW w:w="14033" w:type="dxa"/>
            <w:gridSpan w:val="6"/>
            <w:vAlign w:val="center"/>
          </w:tcPr>
          <w:p w14:paraId="7547C4CD">
            <w:pPr>
              <w:pStyle w:val="12"/>
            </w:pPr>
            <w:r>
              <w:t>有效完成学校教学安全秩序，保障学校教学任务有效开展，满足学校正常教学需要。</w:t>
            </w:r>
          </w:p>
        </w:tc>
      </w:tr>
      <w:tr w14:paraId="49980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0F553">
            <w:pPr>
              <w:pStyle w:val="10"/>
            </w:pPr>
            <w:r>
              <w:t>资金支出计划（%）</w:t>
            </w:r>
          </w:p>
        </w:tc>
        <w:tc>
          <w:tcPr>
            <w:tcW w:w="5103" w:type="dxa"/>
            <w:gridSpan w:val="2"/>
            <w:vAlign w:val="center"/>
          </w:tcPr>
          <w:p w14:paraId="7CF07C60">
            <w:pPr>
              <w:pStyle w:val="10"/>
            </w:pPr>
            <w:r>
              <w:t>3月底</w:t>
            </w:r>
          </w:p>
        </w:tc>
        <w:tc>
          <w:tcPr>
            <w:tcW w:w="2835" w:type="dxa"/>
            <w:vAlign w:val="center"/>
          </w:tcPr>
          <w:p w14:paraId="7196F9E0">
            <w:pPr>
              <w:pStyle w:val="10"/>
            </w:pPr>
            <w:r>
              <w:t>6月底</w:t>
            </w:r>
          </w:p>
        </w:tc>
        <w:tc>
          <w:tcPr>
            <w:tcW w:w="2551" w:type="dxa"/>
            <w:vAlign w:val="center"/>
          </w:tcPr>
          <w:p w14:paraId="4CBCEC06">
            <w:pPr>
              <w:pStyle w:val="10"/>
            </w:pPr>
            <w:r>
              <w:t>10月底</w:t>
            </w:r>
          </w:p>
        </w:tc>
        <w:tc>
          <w:tcPr>
            <w:tcW w:w="3544" w:type="dxa"/>
            <w:gridSpan w:val="2"/>
            <w:vAlign w:val="center"/>
          </w:tcPr>
          <w:p w14:paraId="3AB99D8F">
            <w:pPr>
              <w:pStyle w:val="10"/>
            </w:pPr>
            <w:r>
              <w:t>12月底</w:t>
            </w:r>
          </w:p>
        </w:tc>
      </w:tr>
      <w:tr w14:paraId="6B258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A7A75"/>
        </w:tc>
        <w:tc>
          <w:tcPr>
            <w:tcW w:w="5103" w:type="dxa"/>
            <w:gridSpan w:val="2"/>
            <w:vAlign w:val="center"/>
          </w:tcPr>
          <w:p w14:paraId="0F4E81A8">
            <w:pPr>
              <w:pStyle w:val="13"/>
            </w:pPr>
            <w:r>
              <w:t>25%</w:t>
            </w:r>
          </w:p>
        </w:tc>
        <w:tc>
          <w:tcPr>
            <w:tcW w:w="2835" w:type="dxa"/>
            <w:vAlign w:val="center"/>
          </w:tcPr>
          <w:p w14:paraId="5E263C42">
            <w:pPr>
              <w:pStyle w:val="13"/>
            </w:pPr>
            <w:r>
              <w:t>50%</w:t>
            </w:r>
          </w:p>
        </w:tc>
        <w:tc>
          <w:tcPr>
            <w:tcW w:w="2551" w:type="dxa"/>
            <w:vAlign w:val="center"/>
          </w:tcPr>
          <w:p w14:paraId="7A74E239">
            <w:pPr>
              <w:pStyle w:val="13"/>
            </w:pPr>
            <w:r>
              <w:t>75%</w:t>
            </w:r>
          </w:p>
        </w:tc>
        <w:tc>
          <w:tcPr>
            <w:tcW w:w="3544" w:type="dxa"/>
            <w:gridSpan w:val="2"/>
            <w:vAlign w:val="center"/>
          </w:tcPr>
          <w:p w14:paraId="48A2D15E">
            <w:pPr>
              <w:pStyle w:val="13"/>
            </w:pPr>
            <w:r>
              <w:t>100%</w:t>
            </w:r>
          </w:p>
        </w:tc>
      </w:tr>
      <w:tr w14:paraId="79272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9B7A4">
            <w:pPr>
              <w:pStyle w:val="10"/>
            </w:pPr>
            <w:r>
              <w:t>绩效目标</w:t>
            </w:r>
          </w:p>
        </w:tc>
        <w:tc>
          <w:tcPr>
            <w:tcW w:w="14033" w:type="dxa"/>
            <w:gridSpan w:val="6"/>
            <w:vAlign w:val="center"/>
          </w:tcPr>
          <w:p w14:paraId="4A956CCC">
            <w:pPr>
              <w:pStyle w:val="12"/>
            </w:pPr>
            <w:r>
              <w:t>1.有效完成学校教学安全秩序，保障学校教学任务有效开展，满足学校正常教学需要。</w:t>
            </w:r>
          </w:p>
          <w:p w14:paraId="6E3EEE5E">
            <w:pPr>
              <w:pStyle w:val="12"/>
            </w:pPr>
            <w:r>
              <w:t>2.按规定拨付公用经费资金，预算执行率≥98%。</w:t>
            </w:r>
          </w:p>
        </w:tc>
      </w:tr>
    </w:tbl>
    <w:p w14:paraId="7F6A2F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9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18770">
            <w:pPr>
              <w:pStyle w:val="10"/>
            </w:pPr>
            <w:r>
              <w:t>一级指标</w:t>
            </w:r>
          </w:p>
        </w:tc>
        <w:tc>
          <w:tcPr>
            <w:tcW w:w="2268" w:type="dxa"/>
            <w:vAlign w:val="center"/>
          </w:tcPr>
          <w:p w14:paraId="3D941BFC">
            <w:pPr>
              <w:pStyle w:val="10"/>
            </w:pPr>
            <w:r>
              <w:t>二级指标</w:t>
            </w:r>
          </w:p>
        </w:tc>
        <w:tc>
          <w:tcPr>
            <w:tcW w:w="2835" w:type="dxa"/>
            <w:vAlign w:val="center"/>
          </w:tcPr>
          <w:p w14:paraId="2982FFAF">
            <w:pPr>
              <w:pStyle w:val="10"/>
            </w:pPr>
            <w:r>
              <w:t>三级指标</w:t>
            </w:r>
          </w:p>
        </w:tc>
        <w:tc>
          <w:tcPr>
            <w:tcW w:w="5386" w:type="dxa"/>
            <w:vAlign w:val="center"/>
          </w:tcPr>
          <w:p w14:paraId="3BE34199">
            <w:pPr>
              <w:pStyle w:val="10"/>
            </w:pPr>
            <w:r>
              <w:t>绩效指标描述</w:t>
            </w:r>
          </w:p>
        </w:tc>
        <w:tc>
          <w:tcPr>
            <w:tcW w:w="2268" w:type="dxa"/>
            <w:vAlign w:val="center"/>
          </w:tcPr>
          <w:p w14:paraId="0A072091">
            <w:pPr>
              <w:pStyle w:val="10"/>
            </w:pPr>
            <w:r>
              <w:t>指标值</w:t>
            </w:r>
          </w:p>
        </w:tc>
        <w:tc>
          <w:tcPr>
            <w:tcW w:w="1276" w:type="dxa"/>
            <w:vAlign w:val="center"/>
          </w:tcPr>
          <w:p w14:paraId="32B3EFBA">
            <w:pPr>
              <w:pStyle w:val="10"/>
            </w:pPr>
            <w:r>
              <w:t>指标值确定依据</w:t>
            </w:r>
          </w:p>
        </w:tc>
      </w:tr>
      <w:tr w14:paraId="1F4B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4F27B">
            <w:pPr>
              <w:pStyle w:val="13"/>
            </w:pPr>
            <w:r>
              <w:t>产出指标</w:t>
            </w:r>
          </w:p>
        </w:tc>
        <w:tc>
          <w:tcPr>
            <w:tcW w:w="2268" w:type="dxa"/>
            <w:vAlign w:val="center"/>
          </w:tcPr>
          <w:p w14:paraId="5735168C">
            <w:pPr>
              <w:pStyle w:val="12"/>
            </w:pPr>
            <w:r>
              <w:t>成本指标</w:t>
            </w:r>
          </w:p>
        </w:tc>
        <w:tc>
          <w:tcPr>
            <w:tcW w:w="2835" w:type="dxa"/>
            <w:vAlign w:val="center"/>
          </w:tcPr>
          <w:p w14:paraId="5400A2C9">
            <w:pPr>
              <w:pStyle w:val="12"/>
            </w:pPr>
            <w:r>
              <w:t>生均拨款标准</w:t>
            </w:r>
          </w:p>
        </w:tc>
        <w:tc>
          <w:tcPr>
            <w:tcW w:w="5386" w:type="dxa"/>
            <w:vAlign w:val="center"/>
          </w:tcPr>
          <w:p w14:paraId="785A1F8A">
            <w:pPr>
              <w:pStyle w:val="12"/>
            </w:pPr>
            <w:r>
              <w:t>小学生公用经费生均小学720元。取暖费120元/生/年，随班就读学生补助7000元/生</w:t>
            </w:r>
          </w:p>
        </w:tc>
        <w:tc>
          <w:tcPr>
            <w:tcW w:w="2268" w:type="dxa"/>
            <w:vAlign w:val="center"/>
          </w:tcPr>
          <w:p w14:paraId="1A7D411D">
            <w:pPr>
              <w:pStyle w:val="12"/>
            </w:pPr>
            <w:r>
              <w:t>840元</w:t>
            </w:r>
          </w:p>
        </w:tc>
        <w:tc>
          <w:tcPr>
            <w:tcW w:w="1276" w:type="dxa"/>
            <w:vAlign w:val="center"/>
          </w:tcPr>
          <w:p w14:paraId="502C2077">
            <w:pPr>
              <w:pStyle w:val="12"/>
            </w:pPr>
            <w:r>
              <w:t>城乡义务教育公用经费管理办法</w:t>
            </w:r>
          </w:p>
        </w:tc>
      </w:tr>
      <w:tr w14:paraId="7753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1B04"/>
        </w:tc>
        <w:tc>
          <w:tcPr>
            <w:tcW w:w="2268" w:type="dxa"/>
            <w:vAlign w:val="center"/>
          </w:tcPr>
          <w:p w14:paraId="014E6241">
            <w:pPr>
              <w:pStyle w:val="12"/>
            </w:pPr>
            <w:r>
              <w:t>数量指标</w:t>
            </w:r>
          </w:p>
        </w:tc>
        <w:tc>
          <w:tcPr>
            <w:tcW w:w="2835" w:type="dxa"/>
            <w:vAlign w:val="center"/>
          </w:tcPr>
          <w:p w14:paraId="0FBC81FB">
            <w:pPr>
              <w:pStyle w:val="12"/>
            </w:pPr>
            <w:r>
              <w:t>就读学生数</w:t>
            </w:r>
          </w:p>
        </w:tc>
        <w:tc>
          <w:tcPr>
            <w:tcW w:w="5386" w:type="dxa"/>
            <w:vAlign w:val="center"/>
          </w:tcPr>
          <w:p w14:paraId="19ED564C">
            <w:pPr>
              <w:pStyle w:val="12"/>
            </w:pPr>
            <w:r>
              <w:t>辐射区域内适龄学生人数</w:t>
            </w:r>
          </w:p>
        </w:tc>
        <w:tc>
          <w:tcPr>
            <w:tcW w:w="2268" w:type="dxa"/>
            <w:vAlign w:val="center"/>
          </w:tcPr>
          <w:p w14:paraId="2447F7AE">
            <w:pPr>
              <w:pStyle w:val="12"/>
            </w:pPr>
            <w:r>
              <w:t>113人</w:t>
            </w:r>
          </w:p>
        </w:tc>
        <w:tc>
          <w:tcPr>
            <w:tcW w:w="1276" w:type="dxa"/>
            <w:vAlign w:val="center"/>
          </w:tcPr>
          <w:p w14:paraId="676D1EC1">
            <w:pPr>
              <w:pStyle w:val="12"/>
            </w:pPr>
            <w:r>
              <w:t>城乡义务教育公用经费管理办法</w:t>
            </w:r>
          </w:p>
        </w:tc>
      </w:tr>
      <w:tr w14:paraId="3D01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EEBE"/>
        </w:tc>
        <w:tc>
          <w:tcPr>
            <w:tcW w:w="2268" w:type="dxa"/>
            <w:vAlign w:val="center"/>
          </w:tcPr>
          <w:p w14:paraId="4A14BDB4">
            <w:pPr>
              <w:pStyle w:val="12"/>
            </w:pPr>
            <w:r>
              <w:t>质量指标</w:t>
            </w:r>
          </w:p>
        </w:tc>
        <w:tc>
          <w:tcPr>
            <w:tcW w:w="2835" w:type="dxa"/>
            <w:vAlign w:val="center"/>
          </w:tcPr>
          <w:p w14:paraId="5BFA9A43">
            <w:pPr>
              <w:pStyle w:val="12"/>
            </w:pPr>
            <w:r>
              <w:t>预算执行率</w:t>
            </w:r>
          </w:p>
        </w:tc>
        <w:tc>
          <w:tcPr>
            <w:tcW w:w="5386" w:type="dxa"/>
            <w:vAlign w:val="center"/>
          </w:tcPr>
          <w:p w14:paraId="395E7613">
            <w:pPr>
              <w:pStyle w:val="12"/>
            </w:pPr>
            <w:r>
              <w:t>预算执行率≥98%</w:t>
            </w:r>
          </w:p>
        </w:tc>
        <w:tc>
          <w:tcPr>
            <w:tcW w:w="2268" w:type="dxa"/>
            <w:vAlign w:val="center"/>
          </w:tcPr>
          <w:p w14:paraId="6696562A">
            <w:pPr>
              <w:pStyle w:val="12"/>
            </w:pPr>
            <w:r>
              <w:t>98%</w:t>
            </w:r>
          </w:p>
        </w:tc>
        <w:tc>
          <w:tcPr>
            <w:tcW w:w="1276" w:type="dxa"/>
            <w:vAlign w:val="center"/>
          </w:tcPr>
          <w:p w14:paraId="1000CD65">
            <w:pPr>
              <w:pStyle w:val="12"/>
            </w:pPr>
            <w:r>
              <w:t>城乡义务教育公用经费管理办法</w:t>
            </w:r>
          </w:p>
        </w:tc>
      </w:tr>
      <w:tr w14:paraId="5B96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21356"/>
        </w:tc>
        <w:tc>
          <w:tcPr>
            <w:tcW w:w="2268" w:type="dxa"/>
            <w:vAlign w:val="center"/>
          </w:tcPr>
          <w:p w14:paraId="0549E4BE">
            <w:pPr>
              <w:pStyle w:val="12"/>
            </w:pPr>
            <w:r>
              <w:t>时效指标</w:t>
            </w:r>
          </w:p>
        </w:tc>
        <w:tc>
          <w:tcPr>
            <w:tcW w:w="2835" w:type="dxa"/>
            <w:vAlign w:val="center"/>
          </w:tcPr>
          <w:p w14:paraId="704055D5">
            <w:pPr>
              <w:pStyle w:val="12"/>
            </w:pPr>
            <w:r>
              <w:t>义教经费支付完成率</w:t>
            </w:r>
          </w:p>
        </w:tc>
        <w:tc>
          <w:tcPr>
            <w:tcW w:w="5386" w:type="dxa"/>
            <w:vAlign w:val="center"/>
          </w:tcPr>
          <w:p w14:paraId="4CF4A8F2">
            <w:pPr>
              <w:pStyle w:val="12"/>
            </w:pPr>
            <w:r>
              <w:t>按照序时进度完成资金支付</w:t>
            </w:r>
          </w:p>
        </w:tc>
        <w:tc>
          <w:tcPr>
            <w:tcW w:w="2268" w:type="dxa"/>
            <w:vAlign w:val="center"/>
          </w:tcPr>
          <w:p w14:paraId="2D1BE421">
            <w:pPr>
              <w:pStyle w:val="12"/>
            </w:pPr>
            <w:r>
              <w:t>100%</w:t>
            </w:r>
          </w:p>
        </w:tc>
        <w:tc>
          <w:tcPr>
            <w:tcW w:w="1276" w:type="dxa"/>
            <w:vAlign w:val="center"/>
          </w:tcPr>
          <w:p w14:paraId="38250FFB">
            <w:pPr>
              <w:pStyle w:val="12"/>
            </w:pPr>
            <w:r>
              <w:t>城乡义务教育公用经费管理办法</w:t>
            </w:r>
          </w:p>
        </w:tc>
      </w:tr>
      <w:tr w14:paraId="2473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8688B">
            <w:pPr>
              <w:pStyle w:val="13"/>
            </w:pPr>
            <w:r>
              <w:t>效益指标</w:t>
            </w:r>
          </w:p>
        </w:tc>
        <w:tc>
          <w:tcPr>
            <w:tcW w:w="2268" w:type="dxa"/>
            <w:vAlign w:val="center"/>
          </w:tcPr>
          <w:p w14:paraId="4720E294">
            <w:pPr>
              <w:pStyle w:val="12"/>
            </w:pPr>
            <w:r>
              <w:t>社会效益指标</w:t>
            </w:r>
          </w:p>
        </w:tc>
        <w:tc>
          <w:tcPr>
            <w:tcW w:w="2835" w:type="dxa"/>
            <w:vAlign w:val="center"/>
          </w:tcPr>
          <w:p w14:paraId="3D3A7CC3">
            <w:pPr>
              <w:pStyle w:val="12"/>
            </w:pPr>
            <w:r>
              <w:t>学校运转得到提高</w:t>
            </w:r>
          </w:p>
        </w:tc>
        <w:tc>
          <w:tcPr>
            <w:tcW w:w="5386" w:type="dxa"/>
            <w:vAlign w:val="center"/>
          </w:tcPr>
          <w:p w14:paraId="0D4BD345">
            <w:pPr>
              <w:pStyle w:val="12"/>
            </w:pPr>
            <w:r>
              <w:t>学生受教育年限</w:t>
            </w:r>
          </w:p>
        </w:tc>
        <w:tc>
          <w:tcPr>
            <w:tcW w:w="2268" w:type="dxa"/>
            <w:vAlign w:val="center"/>
          </w:tcPr>
          <w:p w14:paraId="69A47C7D">
            <w:pPr>
              <w:pStyle w:val="12"/>
            </w:pPr>
            <w:r>
              <w:t>6年</w:t>
            </w:r>
          </w:p>
        </w:tc>
        <w:tc>
          <w:tcPr>
            <w:tcW w:w="1276" w:type="dxa"/>
            <w:vAlign w:val="center"/>
          </w:tcPr>
          <w:p w14:paraId="5F922A91">
            <w:pPr>
              <w:pStyle w:val="12"/>
            </w:pPr>
            <w:r>
              <w:t>城乡义务教育公用经费管理办法</w:t>
            </w:r>
          </w:p>
        </w:tc>
      </w:tr>
      <w:tr w14:paraId="0B7E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2E394">
            <w:pPr>
              <w:pStyle w:val="13"/>
            </w:pPr>
            <w:r>
              <w:t>满意度指标</w:t>
            </w:r>
          </w:p>
        </w:tc>
        <w:tc>
          <w:tcPr>
            <w:tcW w:w="2268" w:type="dxa"/>
            <w:vAlign w:val="center"/>
          </w:tcPr>
          <w:p w14:paraId="4A0EE18F">
            <w:pPr>
              <w:pStyle w:val="12"/>
            </w:pPr>
            <w:r>
              <w:t>服务对象满意度指标</w:t>
            </w:r>
          </w:p>
        </w:tc>
        <w:tc>
          <w:tcPr>
            <w:tcW w:w="2835" w:type="dxa"/>
            <w:vAlign w:val="center"/>
          </w:tcPr>
          <w:p w14:paraId="50A71346">
            <w:pPr>
              <w:pStyle w:val="12"/>
            </w:pPr>
            <w:r>
              <w:t>服务对象满意度</w:t>
            </w:r>
          </w:p>
        </w:tc>
        <w:tc>
          <w:tcPr>
            <w:tcW w:w="5386" w:type="dxa"/>
            <w:vAlign w:val="center"/>
          </w:tcPr>
          <w:p w14:paraId="556D569D">
            <w:pPr>
              <w:pStyle w:val="12"/>
            </w:pPr>
            <w:r>
              <w:t>学校老师和学生满意度</w:t>
            </w:r>
          </w:p>
        </w:tc>
        <w:tc>
          <w:tcPr>
            <w:tcW w:w="2268" w:type="dxa"/>
            <w:vAlign w:val="center"/>
          </w:tcPr>
          <w:p w14:paraId="0592F68D">
            <w:pPr>
              <w:pStyle w:val="12"/>
            </w:pPr>
            <w:r>
              <w:t>≥95%</w:t>
            </w:r>
          </w:p>
        </w:tc>
        <w:tc>
          <w:tcPr>
            <w:tcW w:w="1276" w:type="dxa"/>
            <w:vAlign w:val="center"/>
          </w:tcPr>
          <w:p w14:paraId="6B3EE827">
            <w:pPr>
              <w:pStyle w:val="12"/>
            </w:pPr>
            <w:r>
              <w:t>问卷调查</w:t>
            </w:r>
          </w:p>
        </w:tc>
      </w:tr>
    </w:tbl>
    <w:p w14:paraId="2BFECBF1">
      <w:pPr>
        <w:sectPr>
          <w:pgSz w:w="16840" w:h="11900" w:orient="landscape"/>
          <w:pgMar w:top="1361" w:right="1020" w:bottom="1134" w:left="1020" w:header="720" w:footer="720" w:gutter="0"/>
          <w:cols w:space="720" w:num="1"/>
        </w:sectPr>
      </w:pPr>
    </w:p>
    <w:p w14:paraId="7DBDB2A9">
      <w:pPr>
        <w:spacing w:before="0" w:after="0"/>
        <w:ind w:firstLine="560"/>
        <w:jc w:val="left"/>
        <w:outlineLvl w:val="9"/>
      </w:pPr>
      <w:r>
        <w:rPr>
          <w:rFonts w:ascii="方正仿宋_GBK" w:hAnsi="方正仿宋_GBK" w:eastAsia="方正仿宋_GBK" w:cs="方正仿宋_GBK"/>
          <w:b/>
          <w:color w:val="000000"/>
          <w:sz w:val="28"/>
        </w:rPr>
        <w:t>28、县级配套/牛家桥校区旧城小学公用经费绩效目标表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82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2C052">
            <w:pPr>
              <w:pStyle w:val="11"/>
            </w:pPr>
            <w:r>
              <w:t>单位：万元</w:t>
            </w:r>
          </w:p>
        </w:tc>
      </w:tr>
      <w:tr w14:paraId="06FFC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A40D8">
            <w:pPr>
              <w:pStyle w:val="10"/>
            </w:pPr>
            <w:r>
              <w:t>项目编码</w:t>
            </w:r>
          </w:p>
        </w:tc>
        <w:tc>
          <w:tcPr>
            <w:tcW w:w="5103" w:type="dxa"/>
            <w:gridSpan w:val="2"/>
            <w:vAlign w:val="center"/>
          </w:tcPr>
          <w:p w14:paraId="3857DB71">
            <w:pPr>
              <w:pStyle w:val="12"/>
            </w:pPr>
            <w:r>
              <w:t>13052526P00000410472X</w:t>
            </w:r>
          </w:p>
        </w:tc>
        <w:tc>
          <w:tcPr>
            <w:tcW w:w="2835" w:type="dxa"/>
            <w:vAlign w:val="center"/>
          </w:tcPr>
          <w:p w14:paraId="72778393">
            <w:pPr>
              <w:pStyle w:val="10"/>
            </w:pPr>
            <w:r>
              <w:t>项目名称</w:t>
            </w:r>
          </w:p>
        </w:tc>
        <w:tc>
          <w:tcPr>
            <w:tcW w:w="6095" w:type="dxa"/>
            <w:gridSpan w:val="3"/>
            <w:vAlign w:val="center"/>
          </w:tcPr>
          <w:p w14:paraId="7E5FA14A">
            <w:pPr>
              <w:pStyle w:val="12"/>
            </w:pPr>
            <w:r>
              <w:t>县级配套/牛家桥校区旧城小学公用经费</w:t>
            </w:r>
          </w:p>
        </w:tc>
      </w:tr>
      <w:tr w14:paraId="2664C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6E60E">
            <w:pPr>
              <w:pStyle w:val="10"/>
            </w:pPr>
            <w:r>
              <w:t>预算规模及资金用途</w:t>
            </w:r>
          </w:p>
        </w:tc>
        <w:tc>
          <w:tcPr>
            <w:tcW w:w="2268" w:type="dxa"/>
            <w:vAlign w:val="center"/>
          </w:tcPr>
          <w:p w14:paraId="322EE74D">
            <w:pPr>
              <w:pStyle w:val="10"/>
            </w:pPr>
            <w:r>
              <w:t>预算数</w:t>
            </w:r>
          </w:p>
        </w:tc>
        <w:tc>
          <w:tcPr>
            <w:tcW w:w="2835" w:type="dxa"/>
            <w:vAlign w:val="center"/>
          </w:tcPr>
          <w:p w14:paraId="4FD0969C">
            <w:pPr>
              <w:pStyle w:val="12"/>
            </w:pPr>
            <w:r>
              <w:t>6.02</w:t>
            </w:r>
          </w:p>
        </w:tc>
        <w:tc>
          <w:tcPr>
            <w:tcW w:w="2835" w:type="dxa"/>
            <w:vAlign w:val="center"/>
          </w:tcPr>
          <w:p w14:paraId="7639CA94">
            <w:pPr>
              <w:pStyle w:val="10"/>
            </w:pPr>
            <w:r>
              <w:t>其中：财政    资金</w:t>
            </w:r>
          </w:p>
        </w:tc>
        <w:tc>
          <w:tcPr>
            <w:tcW w:w="2551" w:type="dxa"/>
            <w:vAlign w:val="center"/>
          </w:tcPr>
          <w:p w14:paraId="3C09962A">
            <w:pPr>
              <w:pStyle w:val="12"/>
            </w:pPr>
            <w:r>
              <w:t>6.02</w:t>
            </w:r>
          </w:p>
        </w:tc>
        <w:tc>
          <w:tcPr>
            <w:tcW w:w="2268" w:type="dxa"/>
            <w:vAlign w:val="center"/>
          </w:tcPr>
          <w:p w14:paraId="4A2E21C1">
            <w:pPr>
              <w:pStyle w:val="10"/>
            </w:pPr>
            <w:r>
              <w:t>其他资金</w:t>
            </w:r>
          </w:p>
        </w:tc>
        <w:tc>
          <w:tcPr>
            <w:tcW w:w="1276" w:type="dxa"/>
            <w:vAlign w:val="center"/>
          </w:tcPr>
          <w:p w14:paraId="3CA05D76">
            <w:pPr>
              <w:pStyle w:val="12"/>
            </w:pPr>
            <w:r>
              <w:t xml:space="preserve"> </w:t>
            </w:r>
          </w:p>
        </w:tc>
      </w:tr>
      <w:tr w14:paraId="3D320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F1A2B"/>
        </w:tc>
        <w:tc>
          <w:tcPr>
            <w:tcW w:w="14033" w:type="dxa"/>
            <w:gridSpan w:val="6"/>
            <w:vAlign w:val="center"/>
          </w:tcPr>
          <w:p w14:paraId="78F152DB">
            <w:pPr>
              <w:pStyle w:val="12"/>
            </w:pPr>
            <w:r>
              <w:t>有效完成学校教学安全秩序，保障学校教学任务有效开展，满足学校正常教学需要。</w:t>
            </w:r>
          </w:p>
        </w:tc>
      </w:tr>
      <w:tr w14:paraId="4783D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93210">
            <w:pPr>
              <w:pStyle w:val="10"/>
            </w:pPr>
            <w:r>
              <w:t>资金支出计划（%）</w:t>
            </w:r>
          </w:p>
        </w:tc>
        <w:tc>
          <w:tcPr>
            <w:tcW w:w="5103" w:type="dxa"/>
            <w:gridSpan w:val="2"/>
            <w:vAlign w:val="center"/>
          </w:tcPr>
          <w:p w14:paraId="5BE8ACC7">
            <w:pPr>
              <w:pStyle w:val="10"/>
            </w:pPr>
            <w:r>
              <w:t>3月底</w:t>
            </w:r>
          </w:p>
        </w:tc>
        <w:tc>
          <w:tcPr>
            <w:tcW w:w="2835" w:type="dxa"/>
            <w:vAlign w:val="center"/>
          </w:tcPr>
          <w:p w14:paraId="2381DC5F">
            <w:pPr>
              <w:pStyle w:val="10"/>
            </w:pPr>
            <w:r>
              <w:t>6月底</w:t>
            </w:r>
          </w:p>
        </w:tc>
        <w:tc>
          <w:tcPr>
            <w:tcW w:w="2551" w:type="dxa"/>
            <w:vAlign w:val="center"/>
          </w:tcPr>
          <w:p w14:paraId="36B23FC8">
            <w:pPr>
              <w:pStyle w:val="10"/>
            </w:pPr>
            <w:r>
              <w:t>10月底</w:t>
            </w:r>
          </w:p>
        </w:tc>
        <w:tc>
          <w:tcPr>
            <w:tcW w:w="3544" w:type="dxa"/>
            <w:gridSpan w:val="2"/>
            <w:vAlign w:val="center"/>
          </w:tcPr>
          <w:p w14:paraId="5DDEBF6A">
            <w:pPr>
              <w:pStyle w:val="10"/>
            </w:pPr>
            <w:r>
              <w:t>12月底</w:t>
            </w:r>
          </w:p>
        </w:tc>
      </w:tr>
      <w:tr w14:paraId="1D06E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E1955"/>
        </w:tc>
        <w:tc>
          <w:tcPr>
            <w:tcW w:w="5103" w:type="dxa"/>
            <w:gridSpan w:val="2"/>
            <w:vAlign w:val="center"/>
          </w:tcPr>
          <w:p w14:paraId="75D0B276">
            <w:pPr>
              <w:pStyle w:val="13"/>
            </w:pPr>
            <w:r>
              <w:t>25%</w:t>
            </w:r>
          </w:p>
        </w:tc>
        <w:tc>
          <w:tcPr>
            <w:tcW w:w="2835" w:type="dxa"/>
            <w:vAlign w:val="center"/>
          </w:tcPr>
          <w:p w14:paraId="69171F61">
            <w:pPr>
              <w:pStyle w:val="13"/>
            </w:pPr>
            <w:r>
              <w:t>50%</w:t>
            </w:r>
          </w:p>
        </w:tc>
        <w:tc>
          <w:tcPr>
            <w:tcW w:w="2551" w:type="dxa"/>
            <w:vAlign w:val="center"/>
          </w:tcPr>
          <w:p w14:paraId="441970EC">
            <w:pPr>
              <w:pStyle w:val="13"/>
            </w:pPr>
            <w:r>
              <w:t>75%</w:t>
            </w:r>
          </w:p>
        </w:tc>
        <w:tc>
          <w:tcPr>
            <w:tcW w:w="3544" w:type="dxa"/>
            <w:gridSpan w:val="2"/>
            <w:vAlign w:val="center"/>
          </w:tcPr>
          <w:p w14:paraId="6E8331C2">
            <w:pPr>
              <w:pStyle w:val="13"/>
            </w:pPr>
            <w:r>
              <w:t>100%</w:t>
            </w:r>
          </w:p>
        </w:tc>
      </w:tr>
      <w:tr w14:paraId="3CF5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D59AA">
            <w:pPr>
              <w:pStyle w:val="10"/>
            </w:pPr>
            <w:r>
              <w:t>绩效目标</w:t>
            </w:r>
          </w:p>
        </w:tc>
        <w:tc>
          <w:tcPr>
            <w:tcW w:w="14033" w:type="dxa"/>
            <w:gridSpan w:val="6"/>
            <w:vAlign w:val="center"/>
          </w:tcPr>
          <w:p w14:paraId="0074810D">
            <w:pPr>
              <w:pStyle w:val="12"/>
            </w:pPr>
            <w:r>
              <w:t>1.有效完成学校教学安全秩序，保障学校教学任务有效开展，满足学校正常教学需要。</w:t>
            </w:r>
          </w:p>
          <w:p w14:paraId="25C6FC8C">
            <w:pPr>
              <w:pStyle w:val="12"/>
            </w:pPr>
            <w:r>
              <w:t>2.按规定拨付公用经费资金，预算执行率≥98%。</w:t>
            </w:r>
          </w:p>
        </w:tc>
      </w:tr>
    </w:tbl>
    <w:p w14:paraId="6EF0E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6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AE64A69">
            <w:pPr>
              <w:pStyle w:val="10"/>
            </w:pPr>
            <w:r>
              <w:t>一级指标</w:t>
            </w:r>
          </w:p>
        </w:tc>
        <w:tc>
          <w:tcPr>
            <w:tcW w:w="2268" w:type="dxa"/>
            <w:vAlign w:val="center"/>
          </w:tcPr>
          <w:p w14:paraId="407DDE5C">
            <w:pPr>
              <w:pStyle w:val="10"/>
            </w:pPr>
            <w:r>
              <w:t>二级指标</w:t>
            </w:r>
          </w:p>
        </w:tc>
        <w:tc>
          <w:tcPr>
            <w:tcW w:w="2835" w:type="dxa"/>
            <w:vAlign w:val="center"/>
          </w:tcPr>
          <w:p w14:paraId="06C7517B">
            <w:pPr>
              <w:pStyle w:val="10"/>
            </w:pPr>
            <w:r>
              <w:t>三级指标</w:t>
            </w:r>
          </w:p>
        </w:tc>
        <w:tc>
          <w:tcPr>
            <w:tcW w:w="5386" w:type="dxa"/>
            <w:vAlign w:val="center"/>
          </w:tcPr>
          <w:p w14:paraId="390F87A7">
            <w:pPr>
              <w:pStyle w:val="10"/>
            </w:pPr>
            <w:r>
              <w:t>绩效指标描述</w:t>
            </w:r>
          </w:p>
        </w:tc>
        <w:tc>
          <w:tcPr>
            <w:tcW w:w="2268" w:type="dxa"/>
            <w:vAlign w:val="center"/>
          </w:tcPr>
          <w:p w14:paraId="1B8DB416">
            <w:pPr>
              <w:pStyle w:val="10"/>
            </w:pPr>
            <w:r>
              <w:t>指标值</w:t>
            </w:r>
          </w:p>
        </w:tc>
        <w:tc>
          <w:tcPr>
            <w:tcW w:w="1276" w:type="dxa"/>
            <w:vAlign w:val="center"/>
          </w:tcPr>
          <w:p w14:paraId="6B0FB941">
            <w:pPr>
              <w:pStyle w:val="10"/>
            </w:pPr>
            <w:r>
              <w:t>指标值确定依据</w:t>
            </w:r>
          </w:p>
        </w:tc>
      </w:tr>
      <w:tr w14:paraId="199D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74975">
            <w:pPr>
              <w:pStyle w:val="13"/>
            </w:pPr>
            <w:r>
              <w:t>产出指标</w:t>
            </w:r>
          </w:p>
        </w:tc>
        <w:tc>
          <w:tcPr>
            <w:tcW w:w="2268" w:type="dxa"/>
            <w:vAlign w:val="center"/>
          </w:tcPr>
          <w:p w14:paraId="24CBB877">
            <w:pPr>
              <w:pStyle w:val="12"/>
            </w:pPr>
            <w:r>
              <w:t>成本指标</w:t>
            </w:r>
          </w:p>
        </w:tc>
        <w:tc>
          <w:tcPr>
            <w:tcW w:w="2835" w:type="dxa"/>
            <w:vAlign w:val="center"/>
          </w:tcPr>
          <w:p w14:paraId="497CE1BD">
            <w:pPr>
              <w:pStyle w:val="12"/>
            </w:pPr>
            <w:r>
              <w:t>生均拨款标准</w:t>
            </w:r>
          </w:p>
        </w:tc>
        <w:tc>
          <w:tcPr>
            <w:tcW w:w="5386" w:type="dxa"/>
            <w:vAlign w:val="center"/>
          </w:tcPr>
          <w:p w14:paraId="552B8F8C">
            <w:pPr>
              <w:pStyle w:val="12"/>
            </w:pPr>
            <w:r>
              <w:t>小学生公用经费生均小学720元。取暖费120元/生/年，随班就读学生补助7000元/生</w:t>
            </w:r>
          </w:p>
        </w:tc>
        <w:tc>
          <w:tcPr>
            <w:tcW w:w="2268" w:type="dxa"/>
            <w:vAlign w:val="center"/>
          </w:tcPr>
          <w:p w14:paraId="42FF3F2A">
            <w:pPr>
              <w:pStyle w:val="12"/>
            </w:pPr>
            <w:r>
              <w:t>840元</w:t>
            </w:r>
          </w:p>
        </w:tc>
        <w:tc>
          <w:tcPr>
            <w:tcW w:w="1276" w:type="dxa"/>
            <w:vAlign w:val="center"/>
          </w:tcPr>
          <w:p w14:paraId="5A85F949">
            <w:pPr>
              <w:pStyle w:val="12"/>
            </w:pPr>
            <w:r>
              <w:t>城乡义务教育公用经费管理办法</w:t>
            </w:r>
          </w:p>
        </w:tc>
      </w:tr>
      <w:tr w14:paraId="70D2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1CFA3"/>
        </w:tc>
        <w:tc>
          <w:tcPr>
            <w:tcW w:w="2268" w:type="dxa"/>
            <w:vAlign w:val="center"/>
          </w:tcPr>
          <w:p w14:paraId="618A41F2">
            <w:pPr>
              <w:pStyle w:val="12"/>
            </w:pPr>
            <w:r>
              <w:t>数量指标</w:t>
            </w:r>
          </w:p>
        </w:tc>
        <w:tc>
          <w:tcPr>
            <w:tcW w:w="2835" w:type="dxa"/>
            <w:vAlign w:val="center"/>
          </w:tcPr>
          <w:p w14:paraId="4900ADA2">
            <w:pPr>
              <w:pStyle w:val="12"/>
            </w:pPr>
            <w:r>
              <w:t>就读学生数</w:t>
            </w:r>
          </w:p>
        </w:tc>
        <w:tc>
          <w:tcPr>
            <w:tcW w:w="5386" w:type="dxa"/>
            <w:vAlign w:val="center"/>
          </w:tcPr>
          <w:p w14:paraId="74157EC6">
            <w:pPr>
              <w:pStyle w:val="12"/>
            </w:pPr>
            <w:r>
              <w:t>辐射区域内适龄学生人数</w:t>
            </w:r>
          </w:p>
        </w:tc>
        <w:tc>
          <w:tcPr>
            <w:tcW w:w="2268" w:type="dxa"/>
            <w:vAlign w:val="center"/>
          </w:tcPr>
          <w:p w14:paraId="69237EDF">
            <w:pPr>
              <w:pStyle w:val="12"/>
            </w:pPr>
            <w:r>
              <w:t>560人</w:t>
            </w:r>
          </w:p>
        </w:tc>
        <w:tc>
          <w:tcPr>
            <w:tcW w:w="1276" w:type="dxa"/>
            <w:vAlign w:val="center"/>
          </w:tcPr>
          <w:p w14:paraId="600781F3">
            <w:pPr>
              <w:pStyle w:val="12"/>
            </w:pPr>
            <w:r>
              <w:t>城乡义务教育公用经费管理办法</w:t>
            </w:r>
          </w:p>
        </w:tc>
      </w:tr>
      <w:tr w14:paraId="0E53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E3B25"/>
        </w:tc>
        <w:tc>
          <w:tcPr>
            <w:tcW w:w="2268" w:type="dxa"/>
            <w:vAlign w:val="center"/>
          </w:tcPr>
          <w:p w14:paraId="442BFEE4">
            <w:pPr>
              <w:pStyle w:val="12"/>
            </w:pPr>
            <w:r>
              <w:t>质量指标</w:t>
            </w:r>
          </w:p>
        </w:tc>
        <w:tc>
          <w:tcPr>
            <w:tcW w:w="2835" w:type="dxa"/>
            <w:vAlign w:val="center"/>
          </w:tcPr>
          <w:p w14:paraId="76EC9287">
            <w:pPr>
              <w:pStyle w:val="12"/>
            </w:pPr>
            <w:r>
              <w:t>预算执行率</w:t>
            </w:r>
          </w:p>
        </w:tc>
        <w:tc>
          <w:tcPr>
            <w:tcW w:w="5386" w:type="dxa"/>
            <w:vAlign w:val="center"/>
          </w:tcPr>
          <w:p w14:paraId="539ECA61">
            <w:pPr>
              <w:pStyle w:val="12"/>
            </w:pPr>
            <w:r>
              <w:t>预算执行率≥98%</w:t>
            </w:r>
          </w:p>
        </w:tc>
        <w:tc>
          <w:tcPr>
            <w:tcW w:w="2268" w:type="dxa"/>
            <w:vAlign w:val="center"/>
          </w:tcPr>
          <w:p w14:paraId="09A0D0C2">
            <w:pPr>
              <w:pStyle w:val="12"/>
            </w:pPr>
            <w:r>
              <w:t>98%</w:t>
            </w:r>
          </w:p>
        </w:tc>
        <w:tc>
          <w:tcPr>
            <w:tcW w:w="1276" w:type="dxa"/>
            <w:vAlign w:val="center"/>
          </w:tcPr>
          <w:p w14:paraId="53CB18B8">
            <w:pPr>
              <w:pStyle w:val="12"/>
            </w:pPr>
            <w:r>
              <w:t>城乡义务教育公用经费管理办法</w:t>
            </w:r>
          </w:p>
        </w:tc>
      </w:tr>
      <w:tr w14:paraId="65D6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92640"/>
        </w:tc>
        <w:tc>
          <w:tcPr>
            <w:tcW w:w="2268" w:type="dxa"/>
            <w:vAlign w:val="center"/>
          </w:tcPr>
          <w:p w14:paraId="0CFFA669">
            <w:pPr>
              <w:pStyle w:val="12"/>
            </w:pPr>
            <w:r>
              <w:t>时效指标</w:t>
            </w:r>
          </w:p>
        </w:tc>
        <w:tc>
          <w:tcPr>
            <w:tcW w:w="2835" w:type="dxa"/>
            <w:vAlign w:val="center"/>
          </w:tcPr>
          <w:p w14:paraId="73F99C60">
            <w:pPr>
              <w:pStyle w:val="12"/>
            </w:pPr>
            <w:r>
              <w:t>义教经费支付完成率</w:t>
            </w:r>
          </w:p>
        </w:tc>
        <w:tc>
          <w:tcPr>
            <w:tcW w:w="5386" w:type="dxa"/>
            <w:vAlign w:val="center"/>
          </w:tcPr>
          <w:p w14:paraId="490F5404">
            <w:pPr>
              <w:pStyle w:val="12"/>
            </w:pPr>
            <w:r>
              <w:t>按照序时进度完成资金支付</w:t>
            </w:r>
          </w:p>
        </w:tc>
        <w:tc>
          <w:tcPr>
            <w:tcW w:w="2268" w:type="dxa"/>
            <w:vAlign w:val="center"/>
          </w:tcPr>
          <w:p w14:paraId="758521BB">
            <w:pPr>
              <w:pStyle w:val="12"/>
            </w:pPr>
            <w:r>
              <w:t>100%</w:t>
            </w:r>
          </w:p>
        </w:tc>
        <w:tc>
          <w:tcPr>
            <w:tcW w:w="1276" w:type="dxa"/>
            <w:vAlign w:val="center"/>
          </w:tcPr>
          <w:p w14:paraId="5416FFBB">
            <w:pPr>
              <w:pStyle w:val="12"/>
            </w:pPr>
            <w:r>
              <w:t>城乡义务教育公用经费管理办法</w:t>
            </w:r>
          </w:p>
        </w:tc>
      </w:tr>
      <w:tr w14:paraId="7748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AF3E2">
            <w:pPr>
              <w:pStyle w:val="13"/>
            </w:pPr>
            <w:r>
              <w:t>效益指标</w:t>
            </w:r>
          </w:p>
        </w:tc>
        <w:tc>
          <w:tcPr>
            <w:tcW w:w="2268" w:type="dxa"/>
            <w:vAlign w:val="center"/>
          </w:tcPr>
          <w:p w14:paraId="20110362">
            <w:pPr>
              <w:pStyle w:val="12"/>
            </w:pPr>
            <w:r>
              <w:t>社会效益指标</w:t>
            </w:r>
          </w:p>
        </w:tc>
        <w:tc>
          <w:tcPr>
            <w:tcW w:w="2835" w:type="dxa"/>
            <w:vAlign w:val="center"/>
          </w:tcPr>
          <w:p w14:paraId="1D738ABC">
            <w:pPr>
              <w:pStyle w:val="12"/>
            </w:pPr>
            <w:r>
              <w:t>学校运转得到提高</w:t>
            </w:r>
          </w:p>
        </w:tc>
        <w:tc>
          <w:tcPr>
            <w:tcW w:w="5386" w:type="dxa"/>
            <w:vAlign w:val="center"/>
          </w:tcPr>
          <w:p w14:paraId="76F3B359">
            <w:pPr>
              <w:pStyle w:val="12"/>
            </w:pPr>
            <w:r>
              <w:t>学生受教育年限</w:t>
            </w:r>
          </w:p>
        </w:tc>
        <w:tc>
          <w:tcPr>
            <w:tcW w:w="2268" w:type="dxa"/>
            <w:vAlign w:val="center"/>
          </w:tcPr>
          <w:p w14:paraId="7CBC559C">
            <w:pPr>
              <w:pStyle w:val="12"/>
            </w:pPr>
            <w:r>
              <w:t>6年</w:t>
            </w:r>
          </w:p>
        </w:tc>
        <w:tc>
          <w:tcPr>
            <w:tcW w:w="1276" w:type="dxa"/>
            <w:vAlign w:val="center"/>
          </w:tcPr>
          <w:p w14:paraId="62D270F8">
            <w:pPr>
              <w:pStyle w:val="12"/>
            </w:pPr>
            <w:r>
              <w:t>城乡义务教育公用经费管理办法</w:t>
            </w:r>
          </w:p>
        </w:tc>
      </w:tr>
      <w:tr w14:paraId="5835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743CA">
            <w:pPr>
              <w:pStyle w:val="13"/>
            </w:pPr>
            <w:r>
              <w:t>满意度指标</w:t>
            </w:r>
          </w:p>
        </w:tc>
        <w:tc>
          <w:tcPr>
            <w:tcW w:w="2268" w:type="dxa"/>
            <w:vAlign w:val="center"/>
          </w:tcPr>
          <w:p w14:paraId="6ADB8D2D">
            <w:pPr>
              <w:pStyle w:val="12"/>
            </w:pPr>
            <w:r>
              <w:t>服务对象满意度指标</w:t>
            </w:r>
          </w:p>
        </w:tc>
        <w:tc>
          <w:tcPr>
            <w:tcW w:w="2835" w:type="dxa"/>
            <w:vAlign w:val="center"/>
          </w:tcPr>
          <w:p w14:paraId="1B30792B">
            <w:pPr>
              <w:pStyle w:val="12"/>
            </w:pPr>
            <w:r>
              <w:t>服务对象满意度</w:t>
            </w:r>
          </w:p>
        </w:tc>
        <w:tc>
          <w:tcPr>
            <w:tcW w:w="5386" w:type="dxa"/>
            <w:vAlign w:val="center"/>
          </w:tcPr>
          <w:p w14:paraId="4CAE0E55">
            <w:pPr>
              <w:pStyle w:val="12"/>
            </w:pPr>
            <w:r>
              <w:t>学校老师和学生满意度</w:t>
            </w:r>
          </w:p>
        </w:tc>
        <w:tc>
          <w:tcPr>
            <w:tcW w:w="2268" w:type="dxa"/>
            <w:vAlign w:val="center"/>
          </w:tcPr>
          <w:p w14:paraId="21DD2109">
            <w:pPr>
              <w:pStyle w:val="12"/>
            </w:pPr>
            <w:r>
              <w:t>≥95%</w:t>
            </w:r>
          </w:p>
        </w:tc>
        <w:tc>
          <w:tcPr>
            <w:tcW w:w="1276" w:type="dxa"/>
            <w:vAlign w:val="center"/>
          </w:tcPr>
          <w:p w14:paraId="2BB7A7DA">
            <w:pPr>
              <w:pStyle w:val="12"/>
            </w:pPr>
            <w:r>
              <w:t>问卷调查</w:t>
            </w:r>
          </w:p>
        </w:tc>
      </w:tr>
    </w:tbl>
    <w:p w14:paraId="7C192B25">
      <w:pPr>
        <w:sectPr>
          <w:pgSz w:w="16840" w:h="11900" w:orient="landscape"/>
          <w:pgMar w:top="1361" w:right="1020" w:bottom="1134" w:left="1020" w:header="720" w:footer="720" w:gutter="0"/>
          <w:cols w:space="720" w:num="1"/>
        </w:sectPr>
      </w:pPr>
    </w:p>
    <w:p w14:paraId="0EC29F34">
      <w:pPr>
        <w:spacing w:before="0" w:after="0"/>
        <w:ind w:firstLine="560"/>
        <w:jc w:val="left"/>
        <w:outlineLvl w:val="9"/>
      </w:pPr>
      <w:r>
        <w:rPr>
          <w:rFonts w:ascii="方正仿宋_GBK" w:hAnsi="方正仿宋_GBK" w:eastAsia="方正仿宋_GBK" w:cs="方正仿宋_GBK"/>
          <w:b/>
          <w:color w:val="000000"/>
          <w:sz w:val="28"/>
        </w:rPr>
        <w:t>29、县级配套/牛家桥校区开河小学公用经费绩效目标表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D7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C8C61A">
            <w:pPr>
              <w:pStyle w:val="11"/>
            </w:pPr>
            <w:r>
              <w:t>单位：万元</w:t>
            </w:r>
          </w:p>
        </w:tc>
      </w:tr>
      <w:tr w14:paraId="092E3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6920E">
            <w:pPr>
              <w:pStyle w:val="10"/>
            </w:pPr>
            <w:r>
              <w:t>项目编码</w:t>
            </w:r>
          </w:p>
        </w:tc>
        <w:tc>
          <w:tcPr>
            <w:tcW w:w="5103" w:type="dxa"/>
            <w:gridSpan w:val="2"/>
            <w:vAlign w:val="center"/>
          </w:tcPr>
          <w:p w14:paraId="33385713">
            <w:pPr>
              <w:pStyle w:val="12"/>
            </w:pPr>
            <w:r>
              <w:t>13052526P00000410476C</w:t>
            </w:r>
          </w:p>
        </w:tc>
        <w:tc>
          <w:tcPr>
            <w:tcW w:w="2835" w:type="dxa"/>
            <w:vAlign w:val="center"/>
          </w:tcPr>
          <w:p w14:paraId="66965EB0">
            <w:pPr>
              <w:pStyle w:val="10"/>
            </w:pPr>
            <w:r>
              <w:t>项目名称</w:t>
            </w:r>
          </w:p>
        </w:tc>
        <w:tc>
          <w:tcPr>
            <w:tcW w:w="6095" w:type="dxa"/>
            <w:gridSpan w:val="3"/>
            <w:vAlign w:val="center"/>
          </w:tcPr>
          <w:p w14:paraId="6E282AF1">
            <w:pPr>
              <w:pStyle w:val="12"/>
            </w:pPr>
            <w:r>
              <w:t>县级配套/牛家桥校区开河小学公用经费</w:t>
            </w:r>
          </w:p>
        </w:tc>
      </w:tr>
      <w:tr w14:paraId="47430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39760">
            <w:pPr>
              <w:pStyle w:val="10"/>
            </w:pPr>
            <w:r>
              <w:t>预算规模及资金用途</w:t>
            </w:r>
          </w:p>
        </w:tc>
        <w:tc>
          <w:tcPr>
            <w:tcW w:w="2268" w:type="dxa"/>
            <w:vAlign w:val="center"/>
          </w:tcPr>
          <w:p w14:paraId="21CDF156">
            <w:pPr>
              <w:pStyle w:val="10"/>
            </w:pPr>
            <w:r>
              <w:t>预算数</w:t>
            </w:r>
          </w:p>
        </w:tc>
        <w:tc>
          <w:tcPr>
            <w:tcW w:w="2835" w:type="dxa"/>
            <w:vAlign w:val="center"/>
          </w:tcPr>
          <w:p w14:paraId="69522410">
            <w:pPr>
              <w:pStyle w:val="12"/>
            </w:pPr>
            <w:r>
              <w:t>6.94</w:t>
            </w:r>
          </w:p>
        </w:tc>
        <w:tc>
          <w:tcPr>
            <w:tcW w:w="2835" w:type="dxa"/>
            <w:vAlign w:val="center"/>
          </w:tcPr>
          <w:p w14:paraId="62B0B0C6">
            <w:pPr>
              <w:pStyle w:val="10"/>
            </w:pPr>
            <w:r>
              <w:t>其中：财政    资金</w:t>
            </w:r>
          </w:p>
        </w:tc>
        <w:tc>
          <w:tcPr>
            <w:tcW w:w="2551" w:type="dxa"/>
            <w:vAlign w:val="center"/>
          </w:tcPr>
          <w:p w14:paraId="784857D9">
            <w:pPr>
              <w:pStyle w:val="12"/>
            </w:pPr>
            <w:r>
              <w:t>6.94</w:t>
            </w:r>
          </w:p>
        </w:tc>
        <w:tc>
          <w:tcPr>
            <w:tcW w:w="2268" w:type="dxa"/>
            <w:vAlign w:val="center"/>
          </w:tcPr>
          <w:p w14:paraId="1F22AE21">
            <w:pPr>
              <w:pStyle w:val="10"/>
            </w:pPr>
            <w:r>
              <w:t>其他资金</w:t>
            </w:r>
          </w:p>
        </w:tc>
        <w:tc>
          <w:tcPr>
            <w:tcW w:w="1276" w:type="dxa"/>
            <w:vAlign w:val="center"/>
          </w:tcPr>
          <w:p w14:paraId="6BD159B7">
            <w:pPr>
              <w:pStyle w:val="12"/>
            </w:pPr>
            <w:r>
              <w:t xml:space="preserve"> </w:t>
            </w:r>
          </w:p>
        </w:tc>
      </w:tr>
      <w:tr w14:paraId="7FB22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4046A"/>
        </w:tc>
        <w:tc>
          <w:tcPr>
            <w:tcW w:w="14033" w:type="dxa"/>
            <w:gridSpan w:val="6"/>
            <w:vAlign w:val="center"/>
          </w:tcPr>
          <w:p w14:paraId="483C597C">
            <w:pPr>
              <w:pStyle w:val="12"/>
            </w:pPr>
            <w:r>
              <w:t>有效完成学校教学安全秩序，保障学校教学任务有效开展，满足学校正常教学需要。</w:t>
            </w:r>
          </w:p>
        </w:tc>
      </w:tr>
      <w:tr w14:paraId="1CC30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EBAE7">
            <w:pPr>
              <w:pStyle w:val="10"/>
            </w:pPr>
            <w:r>
              <w:t>资金支出计划（%）</w:t>
            </w:r>
          </w:p>
        </w:tc>
        <w:tc>
          <w:tcPr>
            <w:tcW w:w="5103" w:type="dxa"/>
            <w:gridSpan w:val="2"/>
            <w:vAlign w:val="center"/>
          </w:tcPr>
          <w:p w14:paraId="4AB45796">
            <w:pPr>
              <w:pStyle w:val="10"/>
            </w:pPr>
            <w:r>
              <w:t>3月底</w:t>
            </w:r>
          </w:p>
        </w:tc>
        <w:tc>
          <w:tcPr>
            <w:tcW w:w="2835" w:type="dxa"/>
            <w:vAlign w:val="center"/>
          </w:tcPr>
          <w:p w14:paraId="5551E835">
            <w:pPr>
              <w:pStyle w:val="10"/>
            </w:pPr>
            <w:r>
              <w:t>6月底</w:t>
            </w:r>
          </w:p>
        </w:tc>
        <w:tc>
          <w:tcPr>
            <w:tcW w:w="2551" w:type="dxa"/>
            <w:vAlign w:val="center"/>
          </w:tcPr>
          <w:p w14:paraId="2E1AF508">
            <w:pPr>
              <w:pStyle w:val="10"/>
            </w:pPr>
            <w:r>
              <w:t>10月底</w:t>
            </w:r>
          </w:p>
        </w:tc>
        <w:tc>
          <w:tcPr>
            <w:tcW w:w="3544" w:type="dxa"/>
            <w:gridSpan w:val="2"/>
            <w:vAlign w:val="center"/>
          </w:tcPr>
          <w:p w14:paraId="398929E3">
            <w:pPr>
              <w:pStyle w:val="10"/>
            </w:pPr>
            <w:r>
              <w:t>12月底</w:t>
            </w:r>
          </w:p>
        </w:tc>
      </w:tr>
      <w:tr w14:paraId="2F390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A7ABB"/>
        </w:tc>
        <w:tc>
          <w:tcPr>
            <w:tcW w:w="5103" w:type="dxa"/>
            <w:gridSpan w:val="2"/>
            <w:vAlign w:val="center"/>
          </w:tcPr>
          <w:p w14:paraId="1C59689F">
            <w:pPr>
              <w:pStyle w:val="13"/>
            </w:pPr>
            <w:r>
              <w:t>25%</w:t>
            </w:r>
          </w:p>
        </w:tc>
        <w:tc>
          <w:tcPr>
            <w:tcW w:w="2835" w:type="dxa"/>
            <w:vAlign w:val="center"/>
          </w:tcPr>
          <w:p w14:paraId="3E75B626">
            <w:pPr>
              <w:pStyle w:val="13"/>
            </w:pPr>
            <w:r>
              <w:t>50%</w:t>
            </w:r>
          </w:p>
        </w:tc>
        <w:tc>
          <w:tcPr>
            <w:tcW w:w="2551" w:type="dxa"/>
            <w:vAlign w:val="center"/>
          </w:tcPr>
          <w:p w14:paraId="5AA3A58D">
            <w:pPr>
              <w:pStyle w:val="13"/>
            </w:pPr>
            <w:r>
              <w:t>75%</w:t>
            </w:r>
          </w:p>
        </w:tc>
        <w:tc>
          <w:tcPr>
            <w:tcW w:w="3544" w:type="dxa"/>
            <w:gridSpan w:val="2"/>
            <w:vAlign w:val="center"/>
          </w:tcPr>
          <w:p w14:paraId="6B578D4A">
            <w:pPr>
              <w:pStyle w:val="13"/>
            </w:pPr>
            <w:r>
              <w:t>100%</w:t>
            </w:r>
          </w:p>
        </w:tc>
      </w:tr>
      <w:tr w14:paraId="196CA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EDAF5">
            <w:pPr>
              <w:pStyle w:val="10"/>
            </w:pPr>
            <w:r>
              <w:t>绩效目标</w:t>
            </w:r>
          </w:p>
        </w:tc>
        <w:tc>
          <w:tcPr>
            <w:tcW w:w="14033" w:type="dxa"/>
            <w:gridSpan w:val="6"/>
            <w:vAlign w:val="center"/>
          </w:tcPr>
          <w:p w14:paraId="5F627964">
            <w:pPr>
              <w:pStyle w:val="12"/>
            </w:pPr>
            <w:r>
              <w:t>1.有效完成学校教学安全秩序，保障学校教学任务有效开展，满足学校正常教学需要。</w:t>
            </w:r>
          </w:p>
          <w:p w14:paraId="6BE124CC">
            <w:pPr>
              <w:pStyle w:val="12"/>
            </w:pPr>
            <w:r>
              <w:t>2.按规定拨付公用经费资金，预算执行率≥98%。</w:t>
            </w:r>
          </w:p>
        </w:tc>
      </w:tr>
    </w:tbl>
    <w:p w14:paraId="761DD9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6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5024F">
            <w:pPr>
              <w:pStyle w:val="10"/>
            </w:pPr>
            <w:r>
              <w:t>一级指标</w:t>
            </w:r>
          </w:p>
        </w:tc>
        <w:tc>
          <w:tcPr>
            <w:tcW w:w="2268" w:type="dxa"/>
            <w:vAlign w:val="center"/>
          </w:tcPr>
          <w:p w14:paraId="71E4DC45">
            <w:pPr>
              <w:pStyle w:val="10"/>
            </w:pPr>
            <w:r>
              <w:t>二级指标</w:t>
            </w:r>
          </w:p>
        </w:tc>
        <w:tc>
          <w:tcPr>
            <w:tcW w:w="2835" w:type="dxa"/>
            <w:vAlign w:val="center"/>
          </w:tcPr>
          <w:p w14:paraId="07378AB4">
            <w:pPr>
              <w:pStyle w:val="10"/>
            </w:pPr>
            <w:r>
              <w:t>三级指标</w:t>
            </w:r>
          </w:p>
        </w:tc>
        <w:tc>
          <w:tcPr>
            <w:tcW w:w="5386" w:type="dxa"/>
            <w:vAlign w:val="center"/>
          </w:tcPr>
          <w:p w14:paraId="5D2C5F2D">
            <w:pPr>
              <w:pStyle w:val="10"/>
            </w:pPr>
            <w:r>
              <w:t>绩效指标描述</w:t>
            </w:r>
          </w:p>
        </w:tc>
        <w:tc>
          <w:tcPr>
            <w:tcW w:w="2268" w:type="dxa"/>
            <w:vAlign w:val="center"/>
          </w:tcPr>
          <w:p w14:paraId="1DABAD24">
            <w:pPr>
              <w:pStyle w:val="10"/>
            </w:pPr>
            <w:r>
              <w:t>指标值</w:t>
            </w:r>
          </w:p>
        </w:tc>
        <w:tc>
          <w:tcPr>
            <w:tcW w:w="1276" w:type="dxa"/>
            <w:vAlign w:val="center"/>
          </w:tcPr>
          <w:p w14:paraId="0845261E">
            <w:pPr>
              <w:pStyle w:val="10"/>
            </w:pPr>
            <w:r>
              <w:t>指标值确定依据</w:t>
            </w:r>
          </w:p>
        </w:tc>
      </w:tr>
      <w:tr w14:paraId="2A96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FB38D">
            <w:pPr>
              <w:pStyle w:val="13"/>
            </w:pPr>
            <w:r>
              <w:t>产出指标</w:t>
            </w:r>
          </w:p>
        </w:tc>
        <w:tc>
          <w:tcPr>
            <w:tcW w:w="2268" w:type="dxa"/>
            <w:vAlign w:val="center"/>
          </w:tcPr>
          <w:p w14:paraId="0BD79553">
            <w:pPr>
              <w:pStyle w:val="12"/>
            </w:pPr>
            <w:r>
              <w:t>成本指标</w:t>
            </w:r>
          </w:p>
        </w:tc>
        <w:tc>
          <w:tcPr>
            <w:tcW w:w="2835" w:type="dxa"/>
            <w:vAlign w:val="center"/>
          </w:tcPr>
          <w:p w14:paraId="19289E64">
            <w:pPr>
              <w:pStyle w:val="12"/>
            </w:pPr>
            <w:r>
              <w:t>生均拨款标准</w:t>
            </w:r>
          </w:p>
        </w:tc>
        <w:tc>
          <w:tcPr>
            <w:tcW w:w="5386" w:type="dxa"/>
            <w:vAlign w:val="center"/>
          </w:tcPr>
          <w:p w14:paraId="7F229FEF">
            <w:pPr>
              <w:pStyle w:val="12"/>
            </w:pPr>
            <w:r>
              <w:t>小学生公用经费生均小学720元。取暖费120元/生/年，随班就读学生补助7000元/生</w:t>
            </w:r>
          </w:p>
        </w:tc>
        <w:tc>
          <w:tcPr>
            <w:tcW w:w="2268" w:type="dxa"/>
            <w:vAlign w:val="center"/>
          </w:tcPr>
          <w:p w14:paraId="5D6FCC6C">
            <w:pPr>
              <w:pStyle w:val="12"/>
            </w:pPr>
            <w:r>
              <w:t>840元</w:t>
            </w:r>
          </w:p>
        </w:tc>
        <w:tc>
          <w:tcPr>
            <w:tcW w:w="1276" w:type="dxa"/>
            <w:vAlign w:val="center"/>
          </w:tcPr>
          <w:p w14:paraId="0EA81464">
            <w:pPr>
              <w:pStyle w:val="12"/>
            </w:pPr>
            <w:r>
              <w:t>城乡义务教育公用经费管理办法</w:t>
            </w:r>
          </w:p>
        </w:tc>
      </w:tr>
      <w:tr w14:paraId="61EC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8E12"/>
        </w:tc>
        <w:tc>
          <w:tcPr>
            <w:tcW w:w="2268" w:type="dxa"/>
            <w:vAlign w:val="center"/>
          </w:tcPr>
          <w:p w14:paraId="0940D51C">
            <w:pPr>
              <w:pStyle w:val="12"/>
            </w:pPr>
            <w:r>
              <w:t>数量指标</w:t>
            </w:r>
          </w:p>
        </w:tc>
        <w:tc>
          <w:tcPr>
            <w:tcW w:w="2835" w:type="dxa"/>
            <w:vAlign w:val="center"/>
          </w:tcPr>
          <w:p w14:paraId="5C1A7C2E">
            <w:pPr>
              <w:pStyle w:val="12"/>
            </w:pPr>
            <w:r>
              <w:t>就读学生数</w:t>
            </w:r>
          </w:p>
        </w:tc>
        <w:tc>
          <w:tcPr>
            <w:tcW w:w="5386" w:type="dxa"/>
            <w:vAlign w:val="center"/>
          </w:tcPr>
          <w:p w14:paraId="5F34F8A0">
            <w:pPr>
              <w:pStyle w:val="12"/>
            </w:pPr>
            <w:r>
              <w:t>辐射区域内适龄学生人数</w:t>
            </w:r>
          </w:p>
        </w:tc>
        <w:tc>
          <w:tcPr>
            <w:tcW w:w="2268" w:type="dxa"/>
            <w:vAlign w:val="center"/>
          </w:tcPr>
          <w:p w14:paraId="0CCE50D4">
            <w:pPr>
              <w:pStyle w:val="12"/>
            </w:pPr>
            <w:r>
              <w:t>653人</w:t>
            </w:r>
          </w:p>
        </w:tc>
        <w:tc>
          <w:tcPr>
            <w:tcW w:w="1276" w:type="dxa"/>
            <w:vAlign w:val="center"/>
          </w:tcPr>
          <w:p w14:paraId="66AAC252">
            <w:pPr>
              <w:pStyle w:val="12"/>
            </w:pPr>
            <w:r>
              <w:t>城乡义务教育公用经费管理办法</w:t>
            </w:r>
          </w:p>
        </w:tc>
      </w:tr>
      <w:tr w14:paraId="6913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23936"/>
        </w:tc>
        <w:tc>
          <w:tcPr>
            <w:tcW w:w="2268" w:type="dxa"/>
            <w:vAlign w:val="center"/>
          </w:tcPr>
          <w:p w14:paraId="337E06F5">
            <w:pPr>
              <w:pStyle w:val="12"/>
            </w:pPr>
            <w:r>
              <w:t>质量指标</w:t>
            </w:r>
          </w:p>
        </w:tc>
        <w:tc>
          <w:tcPr>
            <w:tcW w:w="2835" w:type="dxa"/>
            <w:vAlign w:val="center"/>
          </w:tcPr>
          <w:p w14:paraId="4764A266">
            <w:pPr>
              <w:pStyle w:val="12"/>
            </w:pPr>
            <w:r>
              <w:t>预算执行率</w:t>
            </w:r>
          </w:p>
        </w:tc>
        <w:tc>
          <w:tcPr>
            <w:tcW w:w="5386" w:type="dxa"/>
            <w:vAlign w:val="center"/>
          </w:tcPr>
          <w:p w14:paraId="7B335E41">
            <w:pPr>
              <w:pStyle w:val="12"/>
            </w:pPr>
            <w:r>
              <w:t>预算执行率≥98%</w:t>
            </w:r>
          </w:p>
        </w:tc>
        <w:tc>
          <w:tcPr>
            <w:tcW w:w="2268" w:type="dxa"/>
            <w:vAlign w:val="center"/>
          </w:tcPr>
          <w:p w14:paraId="34422415">
            <w:pPr>
              <w:pStyle w:val="12"/>
            </w:pPr>
            <w:r>
              <w:t>98%</w:t>
            </w:r>
          </w:p>
        </w:tc>
        <w:tc>
          <w:tcPr>
            <w:tcW w:w="1276" w:type="dxa"/>
            <w:vAlign w:val="center"/>
          </w:tcPr>
          <w:p w14:paraId="4DA3C0AA">
            <w:pPr>
              <w:pStyle w:val="12"/>
            </w:pPr>
            <w:r>
              <w:t>城乡义务教育公用经费管理办法</w:t>
            </w:r>
          </w:p>
        </w:tc>
      </w:tr>
      <w:tr w14:paraId="76BA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D3169"/>
        </w:tc>
        <w:tc>
          <w:tcPr>
            <w:tcW w:w="2268" w:type="dxa"/>
            <w:vAlign w:val="center"/>
          </w:tcPr>
          <w:p w14:paraId="098987D6">
            <w:pPr>
              <w:pStyle w:val="12"/>
            </w:pPr>
            <w:r>
              <w:t>时效指标</w:t>
            </w:r>
          </w:p>
        </w:tc>
        <w:tc>
          <w:tcPr>
            <w:tcW w:w="2835" w:type="dxa"/>
            <w:vAlign w:val="center"/>
          </w:tcPr>
          <w:p w14:paraId="1E5A440B">
            <w:pPr>
              <w:pStyle w:val="12"/>
            </w:pPr>
            <w:r>
              <w:t>义教经费支付完成率</w:t>
            </w:r>
          </w:p>
        </w:tc>
        <w:tc>
          <w:tcPr>
            <w:tcW w:w="5386" w:type="dxa"/>
            <w:vAlign w:val="center"/>
          </w:tcPr>
          <w:p w14:paraId="69332F0A">
            <w:pPr>
              <w:pStyle w:val="12"/>
            </w:pPr>
            <w:r>
              <w:t>按照序时进度完成资金支付</w:t>
            </w:r>
          </w:p>
        </w:tc>
        <w:tc>
          <w:tcPr>
            <w:tcW w:w="2268" w:type="dxa"/>
            <w:vAlign w:val="center"/>
          </w:tcPr>
          <w:p w14:paraId="15CFF747">
            <w:pPr>
              <w:pStyle w:val="12"/>
            </w:pPr>
            <w:r>
              <w:t>100%</w:t>
            </w:r>
          </w:p>
        </w:tc>
        <w:tc>
          <w:tcPr>
            <w:tcW w:w="1276" w:type="dxa"/>
            <w:vAlign w:val="center"/>
          </w:tcPr>
          <w:p w14:paraId="0706E4B0">
            <w:pPr>
              <w:pStyle w:val="12"/>
            </w:pPr>
            <w:r>
              <w:t>城乡义务教育公用经费管理办法</w:t>
            </w:r>
          </w:p>
        </w:tc>
      </w:tr>
      <w:tr w14:paraId="6A2F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90E70">
            <w:pPr>
              <w:pStyle w:val="13"/>
            </w:pPr>
            <w:r>
              <w:t>效益指标</w:t>
            </w:r>
          </w:p>
        </w:tc>
        <w:tc>
          <w:tcPr>
            <w:tcW w:w="2268" w:type="dxa"/>
            <w:vAlign w:val="center"/>
          </w:tcPr>
          <w:p w14:paraId="79D28467">
            <w:pPr>
              <w:pStyle w:val="12"/>
            </w:pPr>
            <w:r>
              <w:t>社会效益指标</w:t>
            </w:r>
          </w:p>
        </w:tc>
        <w:tc>
          <w:tcPr>
            <w:tcW w:w="2835" w:type="dxa"/>
            <w:vAlign w:val="center"/>
          </w:tcPr>
          <w:p w14:paraId="0ABBAAD8">
            <w:pPr>
              <w:pStyle w:val="12"/>
            </w:pPr>
            <w:r>
              <w:t>学校运转得到提高</w:t>
            </w:r>
          </w:p>
        </w:tc>
        <w:tc>
          <w:tcPr>
            <w:tcW w:w="5386" w:type="dxa"/>
            <w:vAlign w:val="center"/>
          </w:tcPr>
          <w:p w14:paraId="176667DC">
            <w:pPr>
              <w:pStyle w:val="12"/>
            </w:pPr>
            <w:r>
              <w:t>学生受教育年限</w:t>
            </w:r>
          </w:p>
        </w:tc>
        <w:tc>
          <w:tcPr>
            <w:tcW w:w="2268" w:type="dxa"/>
            <w:vAlign w:val="center"/>
          </w:tcPr>
          <w:p w14:paraId="0D96AA0F">
            <w:pPr>
              <w:pStyle w:val="12"/>
            </w:pPr>
            <w:r>
              <w:t>6年</w:t>
            </w:r>
          </w:p>
        </w:tc>
        <w:tc>
          <w:tcPr>
            <w:tcW w:w="1276" w:type="dxa"/>
            <w:vAlign w:val="center"/>
          </w:tcPr>
          <w:p w14:paraId="2A6AF79C">
            <w:pPr>
              <w:pStyle w:val="12"/>
            </w:pPr>
            <w:r>
              <w:t>城乡义务教育公用经费管理办法</w:t>
            </w:r>
          </w:p>
        </w:tc>
      </w:tr>
      <w:tr w14:paraId="6997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9DE6B">
            <w:pPr>
              <w:pStyle w:val="13"/>
            </w:pPr>
            <w:r>
              <w:t>满意度指标</w:t>
            </w:r>
          </w:p>
        </w:tc>
        <w:tc>
          <w:tcPr>
            <w:tcW w:w="2268" w:type="dxa"/>
            <w:vAlign w:val="center"/>
          </w:tcPr>
          <w:p w14:paraId="177F16F0">
            <w:pPr>
              <w:pStyle w:val="12"/>
            </w:pPr>
            <w:r>
              <w:t>服务对象满意度指标</w:t>
            </w:r>
          </w:p>
        </w:tc>
        <w:tc>
          <w:tcPr>
            <w:tcW w:w="2835" w:type="dxa"/>
            <w:vAlign w:val="center"/>
          </w:tcPr>
          <w:p w14:paraId="2C65761B">
            <w:pPr>
              <w:pStyle w:val="12"/>
            </w:pPr>
            <w:r>
              <w:t>服务对象满意度</w:t>
            </w:r>
          </w:p>
        </w:tc>
        <w:tc>
          <w:tcPr>
            <w:tcW w:w="5386" w:type="dxa"/>
            <w:vAlign w:val="center"/>
          </w:tcPr>
          <w:p w14:paraId="285AB7FF">
            <w:pPr>
              <w:pStyle w:val="12"/>
            </w:pPr>
            <w:r>
              <w:t>学校老师和学生满意度</w:t>
            </w:r>
          </w:p>
        </w:tc>
        <w:tc>
          <w:tcPr>
            <w:tcW w:w="2268" w:type="dxa"/>
            <w:vAlign w:val="center"/>
          </w:tcPr>
          <w:p w14:paraId="0B2858F2">
            <w:pPr>
              <w:pStyle w:val="12"/>
            </w:pPr>
            <w:r>
              <w:t>≥95%</w:t>
            </w:r>
          </w:p>
        </w:tc>
        <w:tc>
          <w:tcPr>
            <w:tcW w:w="1276" w:type="dxa"/>
            <w:vAlign w:val="center"/>
          </w:tcPr>
          <w:p w14:paraId="38ACA5CB">
            <w:pPr>
              <w:pStyle w:val="12"/>
            </w:pPr>
            <w:r>
              <w:t>问卷调查</w:t>
            </w:r>
          </w:p>
        </w:tc>
      </w:tr>
    </w:tbl>
    <w:p w14:paraId="5AA5CDEF">
      <w:pPr>
        <w:sectPr>
          <w:pgSz w:w="16840" w:h="11900" w:orient="landscape"/>
          <w:pgMar w:top="1361" w:right="1020" w:bottom="1134" w:left="1020" w:header="720" w:footer="720" w:gutter="0"/>
          <w:cols w:space="720" w:num="1"/>
        </w:sectPr>
      </w:pPr>
    </w:p>
    <w:p w14:paraId="185CDA67">
      <w:pPr>
        <w:spacing w:before="0" w:after="0"/>
        <w:ind w:firstLine="560"/>
        <w:jc w:val="left"/>
        <w:outlineLvl w:val="9"/>
      </w:pPr>
      <w:r>
        <w:rPr>
          <w:rFonts w:ascii="方正仿宋_GBK" w:hAnsi="方正仿宋_GBK" w:eastAsia="方正仿宋_GBK" w:cs="方正仿宋_GBK"/>
          <w:b/>
          <w:color w:val="000000"/>
          <w:sz w:val="28"/>
        </w:rPr>
        <w:t>30、县级配套/牛家桥校区梅庄小学公用经费绩效目标表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47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FDF59">
            <w:pPr>
              <w:pStyle w:val="11"/>
            </w:pPr>
            <w:r>
              <w:t>单位：万元</w:t>
            </w:r>
          </w:p>
        </w:tc>
      </w:tr>
      <w:tr w14:paraId="44E03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6D60F">
            <w:pPr>
              <w:pStyle w:val="10"/>
            </w:pPr>
            <w:r>
              <w:t>项目编码</w:t>
            </w:r>
          </w:p>
        </w:tc>
        <w:tc>
          <w:tcPr>
            <w:tcW w:w="5103" w:type="dxa"/>
            <w:gridSpan w:val="2"/>
            <w:vAlign w:val="center"/>
          </w:tcPr>
          <w:p w14:paraId="6BD1E451">
            <w:pPr>
              <w:pStyle w:val="12"/>
            </w:pPr>
            <w:r>
              <w:t>13052526P00000410475Q</w:t>
            </w:r>
          </w:p>
        </w:tc>
        <w:tc>
          <w:tcPr>
            <w:tcW w:w="2835" w:type="dxa"/>
            <w:vAlign w:val="center"/>
          </w:tcPr>
          <w:p w14:paraId="6D9A336E">
            <w:pPr>
              <w:pStyle w:val="10"/>
            </w:pPr>
            <w:r>
              <w:t>项目名称</w:t>
            </w:r>
          </w:p>
        </w:tc>
        <w:tc>
          <w:tcPr>
            <w:tcW w:w="6095" w:type="dxa"/>
            <w:gridSpan w:val="3"/>
            <w:vAlign w:val="center"/>
          </w:tcPr>
          <w:p w14:paraId="00BBAEE4">
            <w:pPr>
              <w:pStyle w:val="12"/>
            </w:pPr>
            <w:r>
              <w:t>县级配套/牛家桥校区梅庄小学公用经费</w:t>
            </w:r>
          </w:p>
        </w:tc>
      </w:tr>
      <w:tr w14:paraId="3A0C6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E0E6F">
            <w:pPr>
              <w:pStyle w:val="10"/>
            </w:pPr>
            <w:r>
              <w:t>预算规模及资金用途</w:t>
            </w:r>
          </w:p>
        </w:tc>
        <w:tc>
          <w:tcPr>
            <w:tcW w:w="2268" w:type="dxa"/>
            <w:vAlign w:val="center"/>
          </w:tcPr>
          <w:p w14:paraId="65FE9FB4">
            <w:pPr>
              <w:pStyle w:val="10"/>
            </w:pPr>
            <w:r>
              <w:t>预算数</w:t>
            </w:r>
          </w:p>
        </w:tc>
        <w:tc>
          <w:tcPr>
            <w:tcW w:w="2835" w:type="dxa"/>
            <w:vAlign w:val="center"/>
          </w:tcPr>
          <w:p w14:paraId="63C2357A">
            <w:pPr>
              <w:pStyle w:val="12"/>
            </w:pPr>
            <w:r>
              <w:t>0.83</w:t>
            </w:r>
          </w:p>
        </w:tc>
        <w:tc>
          <w:tcPr>
            <w:tcW w:w="2835" w:type="dxa"/>
            <w:vAlign w:val="center"/>
          </w:tcPr>
          <w:p w14:paraId="0BE1B584">
            <w:pPr>
              <w:pStyle w:val="10"/>
            </w:pPr>
            <w:r>
              <w:t>其中：财政    资金</w:t>
            </w:r>
          </w:p>
        </w:tc>
        <w:tc>
          <w:tcPr>
            <w:tcW w:w="2551" w:type="dxa"/>
            <w:vAlign w:val="center"/>
          </w:tcPr>
          <w:p w14:paraId="03915036">
            <w:pPr>
              <w:pStyle w:val="12"/>
            </w:pPr>
            <w:r>
              <w:t>0.83</w:t>
            </w:r>
          </w:p>
        </w:tc>
        <w:tc>
          <w:tcPr>
            <w:tcW w:w="2268" w:type="dxa"/>
            <w:vAlign w:val="center"/>
          </w:tcPr>
          <w:p w14:paraId="17BC8737">
            <w:pPr>
              <w:pStyle w:val="10"/>
            </w:pPr>
            <w:r>
              <w:t>其他资金</w:t>
            </w:r>
          </w:p>
        </w:tc>
        <w:tc>
          <w:tcPr>
            <w:tcW w:w="1276" w:type="dxa"/>
            <w:vAlign w:val="center"/>
          </w:tcPr>
          <w:p w14:paraId="77E05386">
            <w:pPr>
              <w:pStyle w:val="12"/>
            </w:pPr>
            <w:r>
              <w:t xml:space="preserve"> </w:t>
            </w:r>
          </w:p>
        </w:tc>
      </w:tr>
      <w:tr w14:paraId="240B8BB4">
        <w:tblPrEx>
          <w:tblCellMar>
            <w:top w:w="0" w:type="dxa"/>
            <w:left w:w="108" w:type="dxa"/>
            <w:bottom w:w="0" w:type="dxa"/>
            <w:right w:w="108" w:type="dxa"/>
          </w:tblCellMar>
        </w:tblPrEx>
        <w:trPr>
          <w:trHeight w:val="369" w:hRule="atLeast"/>
          <w:jc w:val="center"/>
        </w:trPr>
        <w:tc>
          <w:tcPr>
            <w:tcW w:w="1276" w:type="dxa"/>
            <w:vMerge w:val="continue"/>
          </w:tcPr>
          <w:p w14:paraId="05EC5D52"/>
        </w:tc>
        <w:tc>
          <w:tcPr>
            <w:tcW w:w="14033" w:type="dxa"/>
            <w:gridSpan w:val="6"/>
            <w:vAlign w:val="center"/>
          </w:tcPr>
          <w:p w14:paraId="4EE844C7">
            <w:pPr>
              <w:pStyle w:val="12"/>
            </w:pPr>
            <w:r>
              <w:t>有效完成学校教学安全秩序，保障学校教学任务有效开展，满足学校正常教学需要。</w:t>
            </w:r>
          </w:p>
        </w:tc>
      </w:tr>
      <w:tr w14:paraId="5C920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6C684">
            <w:pPr>
              <w:pStyle w:val="10"/>
            </w:pPr>
            <w:r>
              <w:t>资金支出计划（%）</w:t>
            </w:r>
          </w:p>
        </w:tc>
        <w:tc>
          <w:tcPr>
            <w:tcW w:w="5103" w:type="dxa"/>
            <w:gridSpan w:val="2"/>
            <w:vAlign w:val="center"/>
          </w:tcPr>
          <w:p w14:paraId="6870375A">
            <w:pPr>
              <w:pStyle w:val="10"/>
            </w:pPr>
            <w:r>
              <w:t>3月底</w:t>
            </w:r>
          </w:p>
        </w:tc>
        <w:tc>
          <w:tcPr>
            <w:tcW w:w="2835" w:type="dxa"/>
            <w:vAlign w:val="center"/>
          </w:tcPr>
          <w:p w14:paraId="48A162E5">
            <w:pPr>
              <w:pStyle w:val="10"/>
            </w:pPr>
            <w:r>
              <w:t>6月底</w:t>
            </w:r>
          </w:p>
        </w:tc>
        <w:tc>
          <w:tcPr>
            <w:tcW w:w="2551" w:type="dxa"/>
            <w:vAlign w:val="center"/>
          </w:tcPr>
          <w:p w14:paraId="287D8242">
            <w:pPr>
              <w:pStyle w:val="10"/>
            </w:pPr>
            <w:r>
              <w:t>10月底</w:t>
            </w:r>
          </w:p>
        </w:tc>
        <w:tc>
          <w:tcPr>
            <w:tcW w:w="3544" w:type="dxa"/>
            <w:gridSpan w:val="2"/>
            <w:vAlign w:val="center"/>
          </w:tcPr>
          <w:p w14:paraId="2C386AC5">
            <w:pPr>
              <w:pStyle w:val="10"/>
            </w:pPr>
            <w:r>
              <w:t>12月底</w:t>
            </w:r>
          </w:p>
        </w:tc>
      </w:tr>
      <w:tr w14:paraId="14839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6AB6F"/>
        </w:tc>
        <w:tc>
          <w:tcPr>
            <w:tcW w:w="5103" w:type="dxa"/>
            <w:gridSpan w:val="2"/>
            <w:vAlign w:val="center"/>
          </w:tcPr>
          <w:p w14:paraId="719EC623">
            <w:pPr>
              <w:pStyle w:val="13"/>
            </w:pPr>
            <w:r>
              <w:t>25%</w:t>
            </w:r>
          </w:p>
        </w:tc>
        <w:tc>
          <w:tcPr>
            <w:tcW w:w="2835" w:type="dxa"/>
            <w:vAlign w:val="center"/>
          </w:tcPr>
          <w:p w14:paraId="28EC4EBD">
            <w:pPr>
              <w:pStyle w:val="13"/>
            </w:pPr>
            <w:r>
              <w:t>50%</w:t>
            </w:r>
          </w:p>
        </w:tc>
        <w:tc>
          <w:tcPr>
            <w:tcW w:w="2551" w:type="dxa"/>
            <w:vAlign w:val="center"/>
          </w:tcPr>
          <w:p w14:paraId="59C5BE1D">
            <w:pPr>
              <w:pStyle w:val="13"/>
            </w:pPr>
            <w:r>
              <w:t>75%</w:t>
            </w:r>
          </w:p>
        </w:tc>
        <w:tc>
          <w:tcPr>
            <w:tcW w:w="3544" w:type="dxa"/>
            <w:gridSpan w:val="2"/>
            <w:vAlign w:val="center"/>
          </w:tcPr>
          <w:p w14:paraId="0479E6BC">
            <w:pPr>
              <w:pStyle w:val="13"/>
            </w:pPr>
            <w:r>
              <w:t>100%</w:t>
            </w:r>
          </w:p>
        </w:tc>
      </w:tr>
      <w:tr w14:paraId="1FE85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97038">
            <w:pPr>
              <w:pStyle w:val="10"/>
            </w:pPr>
            <w:r>
              <w:t>绩效目标</w:t>
            </w:r>
          </w:p>
        </w:tc>
        <w:tc>
          <w:tcPr>
            <w:tcW w:w="14033" w:type="dxa"/>
            <w:gridSpan w:val="6"/>
            <w:vAlign w:val="center"/>
          </w:tcPr>
          <w:p w14:paraId="0ED84833">
            <w:pPr>
              <w:pStyle w:val="12"/>
            </w:pPr>
            <w:r>
              <w:t>1.有效完成学校教学安全秩序，保障学校教学任务有效开展，满足学校正常教学需要。</w:t>
            </w:r>
          </w:p>
          <w:p w14:paraId="782654F3">
            <w:pPr>
              <w:pStyle w:val="12"/>
            </w:pPr>
            <w:r>
              <w:t>2.按规定拨付公用经费资金，预算执行率≥98%。</w:t>
            </w:r>
          </w:p>
        </w:tc>
      </w:tr>
    </w:tbl>
    <w:p w14:paraId="5DF2B8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7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06A03">
            <w:pPr>
              <w:pStyle w:val="10"/>
            </w:pPr>
            <w:r>
              <w:t>一级指标</w:t>
            </w:r>
          </w:p>
        </w:tc>
        <w:tc>
          <w:tcPr>
            <w:tcW w:w="2268" w:type="dxa"/>
            <w:vAlign w:val="center"/>
          </w:tcPr>
          <w:p w14:paraId="267F70CD">
            <w:pPr>
              <w:pStyle w:val="10"/>
            </w:pPr>
            <w:r>
              <w:t>二级指标</w:t>
            </w:r>
          </w:p>
        </w:tc>
        <w:tc>
          <w:tcPr>
            <w:tcW w:w="2835" w:type="dxa"/>
            <w:vAlign w:val="center"/>
          </w:tcPr>
          <w:p w14:paraId="7EE46A41">
            <w:pPr>
              <w:pStyle w:val="10"/>
            </w:pPr>
            <w:r>
              <w:t>三级指标</w:t>
            </w:r>
          </w:p>
        </w:tc>
        <w:tc>
          <w:tcPr>
            <w:tcW w:w="5386" w:type="dxa"/>
            <w:vAlign w:val="center"/>
          </w:tcPr>
          <w:p w14:paraId="7FF6BD80">
            <w:pPr>
              <w:pStyle w:val="10"/>
            </w:pPr>
            <w:r>
              <w:t>绩效指标描述</w:t>
            </w:r>
          </w:p>
        </w:tc>
        <w:tc>
          <w:tcPr>
            <w:tcW w:w="2268" w:type="dxa"/>
            <w:vAlign w:val="center"/>
          </w:tcPr>
          <w:p w14:paraId="18C6D397">
            <w:pPr>
              <w:pStyle w:val="10"/>
            </w:pPr>
            <w:r>
              <w:t>指标值</w:t>
            </w:r>
          </w:p>
        </w:tc>
        <w:tc>
          <w:tcPr>
            <w:tcW w:w="1276" w:type="dxa"/>
            <w:vAlign w:val="center"/>
          </w:tcPr>
          <w:p w14:paraId="186D0FC5">
            <w:pPr>
              <w:pStyle w:val="10"/>
            </w:pPr>
            <w:r>
              <w:t>指标值确定依据</w:t>
            </w:r>
          </w:p>
        </w:tc>
      </w:tr>
      <w:tr w14:paraId="5D3A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92D0A">
            <w:pPr>
              <w:pStyle w:val="13"/>
            </w:pPr>
            <w:r>
              <w:t>产出指标</w:t>
            </w:r>
          </w:p>
        </w:tc>
        <w:tc>
          <w:tcPr>
            <w:tcW w:w="2268" w:type="dxa"/>
            <w:vAlign w:val="center"/>
          </w:tcPr>
          <w:p w14:paraId="05CC9207">
            <w:pPr>
              <w:pStyle w:val="12"/>
            </w:pPr>
            <w:r>
              <w:t>成本指标</w:t>
            </w:r>
          </w:p>
        </w:tc>
        <w:tc>
          <w:tcPr>
            <w:tcW w:w="2835" w:type="dxa"/>
            <w:vAlign w:val="center"/>
          </w:tcPr>
          <w:p w14:paraId="55D2186D">
            <w:pPr>
              <w:pStyle w:val="12"/>
            </w:pPr>
            <w:r>
              <w:t>生均拨款标准</w:t>
            </w:r>
          </w:p>
        </w:tc>
        <w:tc>
          <w:tcPr>
            <w:tcW w:w="5386" w:type="dxa"/>
            <w:vAlign w:val="center"/>
          </w:tcPr>
          <w:p w14:paraId="6CC8B423">
            <w:pPr>
              <w:pStyle w:val="12"/>
            </w:pPr>
            <w:r>
              <w:t>小学生公用经费生均小学720元。取暖费120元/生/年，随班就读学生补助7000元/生</w:t>
            </w:r>
          </w:p>
        </w:tc>
        <w:tc>
          <w:tcPr>
            <w:tcW w:w="2268" w:type="dxa"/>
            <w:vAlign w:val="center"/>
          </w:tcPr>
          <w:p w14:paraId="7572C077">
            <w:pPr>
              <w:pStyle w:val="12"/>
            </w:pPr>
            <w:r>
              <w:t>840元</w:t>
            </w:r>
          </w:p>
        </w:tc>
        <w:tc>
          <w:tcPr>
            <w:tcW w:w="1276" w:type="dxa"/>
            <w:vAlign w:val="center"/>
          </w:tcPr>
          <w:p w14:paraId="4AC3CB47">
            <w:pPr>
              <w:pStyle w:val="12"/>
            </w:pPr>
            <w:r>
              <w:t>城乡义务教育公用经费管理办法</w:t>
            </w:r>
          </w:p>
        </w:tc>
      </w:tr>
      <w:tr w14:paraId="1441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D8B17"/>
        </w:tc>
        <w:tc>
          <w:tcPr>
            <w:tcW w:w="2268" w:type="dxa"/>
            <w:vAlign w:val="center"/>
          </w:tcPr>
          <w:p w14:paraId="48251031">
            <w:pPr>
              <w:pStyle w:val="12"/>
            </w:pPr>
            <w:r>
              <w:t>数量指标</w:t>
            </w:r>
          </w:p>
        </w:tc>
        <w:tc>
          <w:tcPr>
            <w:tcW w:w="2835" w:type="dxa"/>
            <w:vAlign w:val="center"/>
          </w:tcPr>
          <w:p w14:paraId="4D20EA73">
            <w:pPr>
              <w:pStyle w:val="12"/>
            </w:pPr>
            <w:r>
              <w:t>就读学生数</w:t>
            </w:r>
          </w:p>
        </w:tc>
        <w:tc>
          <w:tcPr>
            <w:tcW w:w="5386" w:type="dxa"/>
            <w:vAlign w:val="center"/>
          </w:tcPr>
          <w:p w14:paraId="29BD4DFE">
            <w:pPr>
              <w:pStyle w:val="12"/>
            </w:pPr>
            <w:r>
              <w:t>辐射区域内适龄学生人数</w:t>
            </w:r>
          </w:p>
        </w:tc>
        <w:tc>
          <w:tcPr>
            <w:tcW w:w="2268" w:type="dxa"/>
            <w:vAlign w:val="center"/>
          </w:tcPr>
          <w:p w14:paraId="152CE539">
            <w:pPr>
              <w:pStyle w:val="12"/>
            </w:pPr>
            <w:r>
              <w:t>100人</w:t>
            </w:r>
          </w:p>
        </w:tc>
        <w:tc>
          <w:tcPr>
            <w:tcW w:w="1276" w:type="dxa"/>
            <w:vAlign w:val="center"/>
          </w:tcPr>
          <w:p w14:paraId="19D6D804">
            <w:pPr>
              <w:pStyle w:val="12"/>
            </w:pPr>
            <w:r>
              <w:t>城乡义务教育公用经费管理办法</w:t>
            </w:r>
          </w:p>
        </w:tc>
      </w:tr>
      <w:tr w14:paraId="1638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8C82"/>
        </w:tc>
        <w:tc>
          <w:tcPr>
            <w:tcW w:w="2268" w:type="dxa"/>
            <w:vAlign w:val="center"/>
          </w:tcPr>
          <w:p w14:paraId="775374A2">
            <w:pPr>
              <w:pStyle w:val="12"/>
            </w:pPr>
            <w:r>
              <w:t>质量指标</w:t>
            </w:r>
          </w:p>
        </w:tc>
        <w:tc>
          <w:tcPr>
            <w:tcW w:w="2835" w:type="dxa"/>
            <w:vAlign w:val="center"/>
          </w:tcPr>
          <w:p w14:paraId="6CAB370E">
            <w:pPr>
              <w:pStyle w:val="12"/>
            </w:pPr>
            <w:r>
              <w:t>预算执行率</w:t>
            </w:r>
          </w:p>
        </w:tc>
        <w:tc>
          <w:tcPr>
            <w:tcW w:w="5386" w:type="dxa"/>
            <w:vAlign w:val="center"/>
          </w:tcPr>
          <w:p w14:paraId="3D220321">
            <w:pPr>
              <w:pStyle w:val="12"/>
            </w:pPr>
            <w:r>
              <w:t>预算执行率≥98%</w:t>
            </w:r>
          </w:p>
        </w:tc>
        <w:tc>
          <w:tcPr>
            <w:tcW w:w="2268" w:type="dxa"/>
            <w:vAlign w:val="center"/>
          </w:tcPr>
          <w:p w14:paraId="2027DC86">
            <w:pPr>
              <w:pStyle w:val="12"/>
            </w:pPr>
            <w:r>
              <w:t>98%</w:t>
            </w:r>
          </w:p>
        </w:tc>
        <w:tc>
          <w:tcPr>
            <w:tcW w:w="1276" w:type="dxa"/>
            <w:vAlign w:val="center"/>
          </w:tcPr>
          <w:p w14:paraId="31F7AC4C">
            <w:pPr>
              <w:pStyle w:val="12"/>
            </w:pPr>
            <w:r>
              <w:t>城乡义务教育公用经费管理办法</w:t>
            </w:r>
          </w:p>
        </w:tc>
      </w:tr>
      <w:tr w14:paraId="7FA0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F1AAB"/>
        </w:tc>
        <w:tc>
          <w:tcPr>
            <w:tcW w:w="2268" w:type="dxa"/>
            <w:vAlign w:val="center"/>
          </w:tcPr>
          <w:p w14:paraId="1E6BBD70">
            <w:pPr>
              <w:pStyle w:val="12"/>
            </w:pPr>
            <w:r>
              <w:t>时效指标</w:t>
            </w:r>
          </w:p>
        </w:tc>
        <w:tc>
          <w:tcPr>
            <w:tcW w:w="2835" w:type="dxa"/>
            <w:vAlign w:val="center"/>
          </w:tcPr>
          <w:p w14:paraId="0FC4CFE1">
            <w:pPr>
              <w:pStyle w:val="12"/>
            </w:pPr>
            <w:r>
              <w:t>义教经费支付完成率</w:t>
            </w:r>
          </w:p>
        </w:tc>
        <w:tc>
          <w:tcPr>
            <w:tcW w:w="5386" w:type="dxa"/>
            <w:vAlign w:val="center"/>
          </w:tcPr>
          <w:p w14:paraId="20321F5B">
            <w:pPr>
              <w:pStyle w:val="12"/>
            </w:pPr>
            <w:r>
              <w:t>按照序时进度完成资金支付</w:t>
            </w:r>
          </w:p>
        </w:tc>
        <w:tc>
          <w:tcPr>
            <w:tcW w:w="2268" w:type="dxa"/>
            <w:vAlign w:val="center"/>
          </w:tcPr>
          <w:p w14:paraId="2D7BCDE4">
            <w:pPr>
              <w:pStyle w:val="12"/>
            </w:pPr>
            <w:r>
              <w:t>100%</w:t>
            </w:r>
          </w:p>
        </w:tc>
        <w:tc>
          <w:tcPr>
            <w:tcW w:w="1276" w:type="dxa"/>
            <w:vAlign w:val="center"/>
          </w:tcPr>
          <w:p w14:paraId="26C8DC5B">
            <w:pPr>
              <w:pStyle w:val="12"/>
            </w:pPr>
            <w:r>
              <w:t>城乡义务教育公用经费管理办法</w:t>
            </w:r>
          </w:p>
        </w:tc>
      </w:tr>
      <w:tr w14:paraId="7D10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24DC8">
            <w:pPr>
              <w:pStyle w:val="13"/>
            </w:pPr>
            <w:r>
              <w:t>效益指标</w:t>
            </w:r>
          </w:p>
        </w:tc>
        <w:tc>
          <w:tcPr>
            <w:tcW w:w="2268" w:type="dxa"/>
            <w:vAlign w:val="center"/>
          </w:tcPr>
          <w:p w14:paraId="5F170D29">
            <w:pPr>
              <w:pStyle w:val="12"/>
            </w:pPr>
            <w:r>
              <w:t>社会效益指标</w:t>
            </w:r>
          </w:p>
        </w:tc>
        <w:tc>
          <w:tcPr>
            <w:tcW w:w="2835" w:type="dxa"/>
            <w:vAlign w:val="center"/>
          </w:tcPr>
          <w:p w14:paraId="0D0FB4A2">
            <w:pPr>
              <w:pStyle w:val="12"/>
            </w:pPr>
            <w:r>
              <w:t>学校运转得到提高</w:t>
            </w:r>
          </w:p>
        </w:tc>
        <w:tc>
          <w:tcPr>
            <w:tcW w:w="5386" w:type="dxa"/>
            <w:vAlign w:val="center"/>
          </w:tcPr>
          <w:p w14:paraId="7C51D805">
            <w:pPr>
              <w:pStyle w:val="12"/>
            </w:pPr>
            <w:r>
              <w:t>学生受教育年限</w:t>
            </w:r>
          </w:p>
        </w:tc>
        <w:tc>
          <w:tcPr>
            <w:tcW w:w="2268" w:type="dxa"/>
            <w:vAlign w:val="center"/>
          </w:tcPr>
          <w:p w14:paraId="2BDED20C">
            <w:pPr>
              <w:pStyle w:val="12"/>
            </w:pPr>
            <w:r>
              <w:t>6年</w:t>
            </w:r>
          </w:p>
        </w:tc>
        <w:tc>
          <w:tcPr>
            <w:tcW w:w="1276" w:type="dxa"/>
            <w:vAlign w:val="center"/>
          </w:tcPr>
          <w:p w14:paraId="6C9AFAB5">
            <w:pPr>
              <w:pStyle w:val="12"/>
            </w:pPr>
            <w:r>
              <w:t>城乡义务教育公用经费管理办法</w:t>
            </w:r>
          </w:p>
        </w:tc>
      </w:tr>
      <w:tr w14:paraId="231B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F9670">
            <w:pPr>
              <w:pStyle w:val="13"/>
            </w:pPr>
            <w:r>
              <w:t>满意度指标</w:t>
            </w:r>
          </w:p>
        </w:tc>
        <w:tc>
          <w:tcPr>
            <w:tcW w:w="2268" w:type="dxa"/>
            <w:vAlign w:val="center"/>
          </w:tcPr>
          <w:p w14:paraId="10FB0982">
            <w:pPr>
              <w:pStyle w:val="12"/>
            </w:pPr>
            <w:r>
              <w:t>服务对象满意度指标</w:t>
            </w:r>
          </w:p>
        </w:tc>
        <w:tc>
          <w:tcPr>
            <w:tcW w:w="2835" w:type="dxa"/>
            <w:vAlign w:val="center"/>
          </w:tcPr>
          <w:p w14:paraId="7DFE5A4A">
            <w:pPr>
              <w:pStyle w:val="12"/>
            </w:pPr>
            <w:r>
              <w:t>服务对象满意度</w:t>
            </w:r>
          </w:p>
        </w:tc>
        <w:tc>
          <w:tcPr>
            <w:tcW w:w="5386" w:type="dxa"/>
            <w:vAlign w:val="center"/>
          </w:tcPr>
          <w:p w14:paraId="7F33577B">
            <w:pPr>
              <w:pStyle w:val="12"/>
            </w:pPr>
            <w:r>
              <w:t>学校老师和学生满意度</w:t>
            </w:r>
          </w:p>
        </w:tc>
        <w:tc>
          <w:tcPr>
            <w:tcW w:w="2268" w:type="dxa"/>
            <w:vAlign w:val="center"/>
          </w:tcPr>
          <w:p w14:paraId="6F1BD7FF">
            <w:pPr>
              <w:pStyle w:val="12"/>
            </w:pPr>
            <w:r>
              <w:t>≥95%</w:t>
            </w:r>
          </w:p>
        </w:tc>
        <w:tc>
          <w:tcPr>
            <w:tcW w:w="1276" w:type="dxa"/>
            <w:vAlign w:val="center"/>
          </w:tcPr>
          <w:p w14:paraId="672C6A87">
            <w:pPr>
              <w:pStyle w:val="12"/>
            </w:pPr>
            <w:r>
              <w:t>问卷调查</w:t>
            </w:r>
          </w:p>
        </w:tc>
      </w:tr>
    </w:tbl>
    <w:p w14:paraId="04EC7C27">
      <w:pPr>
        <w:sectPr>
          <w:pgSz w:w="16840" w:h="11900" w:orient="landscape"/>
          <w:pgMar w:top="1361" w:right="1020" w:bottom="1134" w:left="1020" w:header="720" w:footer="720" w:gutter="0"/>
          <w:cols w:space="720" w:num="1"/>
        </w:sectPr>
      </w:pPr>
    </w:p>
    <w:p w14:paraId="444C0290">
      <w:pPr>
        <w:spacing w:before="0" w:after="0"/>
        <w:ind w:firstLine="560"/>
        <w:jc w:val="left"/>
        <w:outlineLvl w:val="9"/>
      </w:pPr>
      <w:r>
        <w:rPr>
          <w:rFonts w:ascii="方正仿宋_GBK" w:hAnsi="方正仿宋_GBK" w:eastAsia="方正仿宋_GBK" w:cs="方正仿宋_GBK"/>
          <w:b/>
          <w:color w:val="000000"/>
          <w:sz w:val="28"/>
        </w:rPr>
        <w:t>31、县级配套/牛家桥校区南杨楼小学公用经费绩效目标表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7A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BD1AE">
            <w:pPr>
              <w:pStyle w:val="11"/>
            </w:pPr>
            <w:r>
              <w:t>单位：万元</w:t>
            </w:r>
          </w:p>
        </w:tc>
      </w:tr>
      <w:tr w14:paraId="21933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A53F6">
            <w:pPr>
              <w:pStyle w:val="10"/>
            </w:pPr>
            <w:r>
              <w:t>项目编码</w:t>
            </w:r>
          </w:p>
        </w:tc>
        <w:tc>
          <w:tcPr>
            <w:tcW w:w="5103" w:type="dxa"/>
            <w:gridSpan w:val="2"/>
            <w:vAlign w:val="center"/>
          </w:tcPr>
          <w:p w14:paraId="486E6D99">
            <w:pPr>
              <w:pStyle w:val="12"/>
            </w:pPr>
            <w:r>
              <w:t>13052526P000004104770</w:t>
            </w:r>
          </w:p>
        </w:tc>
        <w:tc>
          <w:tcPr>
            <w:tcW w:w="2835" w:type="dxa"/>
            <w:vAlign w:val="center"/>
          </w:tcPr>
          <w:p w14:paraId="07879CC0">
            <w:pPr>
              <w:pStyle w:val="10"/>
            </w:pPr>
            <w:r>
              <w:t>项目名称</w:t>
            </w:r>
          </w:p>
        </w:tc>
        <w:tc>
          <w:tcPr>
            <w:tcW w:w="6095" w:type="dxa"/>
            <w:gridSpan w:val="3"/>
            <w:vAlign w:val="center"/>
          </w:tcPr>
          <w:p w14:paraId="08D52E3A">
            <w:pPr>
              <w:pStyle w:val="12"/>
            </w:pPr>
            <w:r>
              <w:t>县级配套/牛家桥校区南杨楼小学公用经费</w:t>
            </w:r>
          </w:p>
        </w:tc>
      </w:tr>
      <w:tr w14:paraId="6097D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30430">
            <w:pPr>
              <w:pStyle w:val="10"/>
            </w:pPr>
            <w:r>
              <w:t>预算规模及资金用途</w:t>
            </w:r>
          </w:p>
        </w:tc>
        <w:tc>
          <w:tcPr>
            <w:tcW w:w="2268" w:type="dxa"/>
            <w:vAlign w:val="center"/>
          </w:tcPr>
          <w:p w14:paraId="2AB29524">
            <w:pPr>
              <w:pStyle w:val="10"/>
            </w:pPr>
            <w:r>
              <w:t>预算数</w:t>
            </w:r>
          </w:p>
        </w:tc>
        <w:tc>
          <w:tcPr>
            <w:tcW w:w="2835" w:type="dxa"/>
            <w:vAlign w:val="center"/>
          </w:tcPr>
          <w:p w14:paraId="7DEFF35E">
            <w:pPr>
              <w:pStyle w:val="12"/>
            </w:pPr>
            <w:r>
              <w:t>0.83</w:t>
            </w:r>
          </w:p>
        </w:tc>
        <w:tc>
          <w:tcPr>
            <w:tcW w:w="2835" w:type="dxa"/>
            <w:vAlign w:val="center"/>
          </w:tcPr>
          <w:p w14:paraId="5F90312A">
            <w:pPr>
              <w:pStyle w:val="10"/>
            </w:pPr>
            <w:r>
              <w:t>其中：财政    资金</w:t>
            </w:r>
          </w:p>
        </w:tc>
        <w:tc>
          <w:tcPr>
            <w:tcW w:w="2551" w:type="dxa"/>
            <w:vAlign w:val="center"/>
          </w:tcPr>
          <w:p w14:paraId="71984431">
            <w:pPr>
              <w:pStyle w:val="12"/>
            </w:pPr>
            <w:r>
              <w:t>0.83</w:t>
            </w:r>
          </w:p>
        </w:tc>
        <w:tc>
          <w:tcPr>
            <w:tcW w:w="2268" w:type="dxa"/>
            <w:vAlign w:val="center"/>
          </w:tcPr>
          <w:p w14:paraId="320D72B0">
            <w:pPr>
              <w:pStyle w:val="10"/>
            </w:pPr>
            <w:r>
              <w:t>其他资金</w:t>
            </w:r>
          </w:p>
        </w:tc>
        <w:tc>
          <w:tcPr>
            <w:tcW w:w="1276" w:type="dxa"/>
            <w:vAlign w:val="center"/>
          </w:tcPr>
          <w:p w14:paraId="3ADBCAF1">
            <w:pPr>
              <w:pStyle w:val="12"/>
            </w:pPr>
            <w:r>
              <w:t xml:space="preserve"> </w:t>
            </w:r>
          </w:p>
        </w:tc>
      </w:tr>
      <w:tr w14:paraId="783E0992">
        <w:tblPrEx>
          <w:tblCellMar>
            <w:top w:w="0" w:type="dxa"/>
            <w:left w:w="108" w:type="dxa"/>
            <w:bottom w:w="0" w:type="dxa"/>
            <w:right w:w="108" w:type="dxa"/>
          </w:tblCellMar>
        </w:tblPrEx>
        <w:trPr>
          <w:trHeight w:val="369" w:hRule="atLeast"/>
          <w:jc w:val="center"/>
        </w:trPr>
        <w:tc>
          <w:tcPr>
            <w:tcW w:w="1276" w:type="dxa"/>
            <w:vMerge w:val="continue"/>
          </w:tcPr>
          <w:p w14:paraId="3CB3F992"/>
        </w:tc>
        <w:tc>
          <w:tcPr>
            <w:tcW w:w="14033" w:type="dxa"/>
            <w:gridSpan w:val="6"/>
            <w:vAlign w:val="center"/>
          </w:tcPr>
          <w:p w14:paraId="471206FD">
            <w:pPr>
              <w:pStyle w:val="12"/>
            </w:pPr>
            <w:r>
              <w:t>有效完成学校教学安全秩序，保障学校教学任务有效开展，满足学校正常教学需要。</w:t>
            </w:r>
          </w:p>
        </w:tc>
      </w:tr>
      <w:tr w14:paraId="2A0E7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CCD90">
            <w:pPr>
              <w:pStyle w:val="10"/>
            </w:pPr>
            <w:r>
              <w:t>资金支出计划（%）</w:t>
            </w:r>
          </w:p>
        </w:tc>
        <w:tc>
          <w:tcPr>
            <w:tcW w:w="5103" w:type="dxa"/>
            <w:gridSpan w:val="2"/>
            <w:vAlign w:val="center"/>
          </w:tcPr>
          <w:p w14:paraId="3EF3B4BF">
            <w:pPr>
              <w:pStyle w:val="10"/>
            </w:pPr>
            <w:r>
              <w:t>3月底</w:t>
            </w:r>
          </w:p>
        </w:tc>
        <w:tc>
          <w:tcPr>
            <w:tcW w:w="2835" w:type="dxa"/>
            <w:vAlign w:val="center"/>
          </w:tcPr>
          <w:p w14:paraId="10856F0F">
            <w:pPr>
              <w:pStyle w:val="10"/>
            </w:pPr>
            <w:r>
              <w:t>6月底</w:t>
            </w:r>
          </w:p>
        </w:tc>
        <w:tc>
          <w:tcPr>
            <w:tcW w:w="2551" w:type="dxa"/>
            <w:vAlign w:val="center"/>
          </w:tcPr>
          <w:p w14:paraId="5343C5D1">
            <w:pPr>
              <w:pStyle w:val="10"/>
            </w:pPr>
            <w:r>
              <w:t>10月底</w:t>
            </w:r>
          </w:p>
        </w:tc>
        <w:tc>
          <w:tcPr>
            <w:tcW w:w="3544" w:type="dxa"/>
            <w:gridSpan w:val="2"/>
            <w:vAlign w:val="center"/>
          </w:tcPr>
          <w:p w14:paraId="33051E54">
            <w:pPr>
              <w:pStyle w:val="10"/>
            </w:pPr>
            <w:r>
              <w:t>12月底</w:t>
            </w:r>
          </w:p>
        </w:tc>
      </w:tr>
      <w:tr w14:paraId="7D86D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00101"/>
        </w:tc>
        <w:tc>
          <w:tcPr>
            <w:tcW w:w="5103" w:type="dxa"/>
            <w:gridSpan w:val="2"/>
            <w:vAlign w:val="center"/>
          </w:tcPr>
          <w:p w14:paraId="342BC8D2">
            <w:pPr>
              <w:pStyle w:val="13"/>
            </w:pPr>
            <w:r>
              <w:t>25%</w:t>
            </w:r>
          </w:p>
        </w:tc>
        <w:tc>
          <w:tcPr>
            <w:tcW w:w="2835" w:type="dxa"/>
            <w:vAlign w:val="center"/>
          </w:tcPr>
          <w:p w14:paraId="0F565EFC">
            <w:pPr>
              <w:pStyle w:val="13"/>
            </w:pPr>
            <w:r>
              <w:t>50%</w:t>
            </w:r>
          </w:p>
        </w:tc>
        <w:tc>
          <w:tcPr>
            <w:tcW w:w="2551" w:type="dxa"/>
            <w:vAlign w:val="center"/>
          </w:tcPr>
          <w:p w14:paraId="7AB21FEA">
            <w:pPr>
              <w:pStyle w:val="13"/>
            </w:pPr>
            <w:r>
              <w:t>75%</w:t>
            </w:r>
          </w:p>
        </w:tc>
        <w:tc>
          <w:tcPr>
            <w:tcW w:w="3544" w:type="dxa"/>
            <w:gridSpan w:val="2"/>
            <w:vAlign w:val="center"/>
          </w:tcPr>
          <w:p w14:paraId="65721458">
            <w:pPr>
              <w:pStyle w:val="13"/>
            </w:pPr>
            <w:r>
              <w:t>100%</w:t>
            </w:r>
          </w:p>
        </w:tc>
      </w:tr>
      <w:tr w14:paraId="37C79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A0B69">
            <w:pPr>
              <w:pStyle w:val="10"/>
            </w:pPr>
            <w:r>
              <w:t>绩效目标</w:t>
            </w:r>
          </w:p>
        </w:tc>
        <w:tc>
          <w:tcPr>
            <w:tcW w:w="14033" w:type="dxa"/>
            <w:gridSpan w:val="6"/>
            <w:vAlign w:val="center"/>
          </w:tcPr>
          <w:p w14:paraId="060B3B25">
            <w:pPr>
              <w:pStyle w:val="12"/>
            </w:pPr>
            <w:r>
              <w:t>1.有效完成学校教学安全秩序，保障学校教学任务有效开展，满足学校正常教学需要。</w:t>
            </w:r>
          </w:p>
          <w:p w14:paraId="0A756213">
            <w:pPr>
              <w:pStyle w:val="12"/>
            </w:pPr>
            <w:r>
              <w:t>2.按规定拨付公用经费资金，预算执行率≥98%。</w:t>
            </w:r>
          </w:p>
        </w:tc>
      </w:tr>
    </w:tbl>
    <w:p w14:paraId="2A8F7E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B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6F405">
            <w:pPr>
              <w:pStyle w:val="10"/>
            </w:pPr>
            <w:r>
              <w:t>一级指标</w:t>
            </w:r>
          </w:p>
        </w:tc>
        <w:tc>
          <w:tcPr>
            <w:tcW w:w="2268" w:type="dxa"/>
            <w:vAlign w:val="center"/>
          </w:tcPr>
          <w:p w14:paraId="54EA9D3A">
            <w:pPr>
              <w:pStyle w:val="10"/>
            </w:pPr>
            <w:r>
              <w:t>二级指标</w:t>
            </w:r>
          </w:p>
        </w:tc>
        <w:tc>
          <w:tcPr>
            <w:tcW w:w="2835" w:type="dxa"/>
            <w:vAlign w:val="center"/>
          </w:tcPr>
          <w:p w14:paraId="5469422A">
            <w:pPr>
              <w:pStyle w:val="10"/>
            </w:pPr>
            <w:r>
              <w:t>三级指标</w:t>
            </w:r>
          </w:p>
        </w:tc>
        <w:tc>
          <w:tcPr>
            <w:tcW w:w="5386" w:type="dxa"/>
            <w:vAlign w:val="center"/>
          </w:tcPr>
          <w:p w14:paraId="25164DEA">
            <w:pPr>
              <w:pStyle w:val="10"/>
            </w:pPr>
            <w:r>
              <w:t>绩效指标描述</w:t>
            </w:r>
          </w:p>
        </w:tc>
        <w:tc>
          <w:tcPr>
            <w:tcW w:w="2268" w:type="dxa"/>
            <w:vAlign w:val="center"/>
          </w:tcPr>
          <w:p w14:paraId="4E6E9CEF">
            <w:pPr>
              <w:pStyle w:val="10"/>
            </w:pPr>
            <w:r>
              <w:t>指标值</w:t>
            </w:r>
          </w:p>
        </w:tc>
        <w:tc>
          <w:tcPr>
            <w:tcW w:w="1276" w:type="dxa"/>
            <w:vAlign w:val="center"/>
          </w:tcPr>
          <w:p w14:paraId="17E9F08A">
            <w:pPr>
              <w:pStyle w:val="10"/>
            </w:pPr>
            <w:r>
              <w:t>指标值确定依据</w:t>
            </w:r>
          </w:p>
        </w:tc>
      </w:tr>
      <w:tr w14:paraId="11E4A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A31B8">
            <w:pPr>
              <w:pStyle w:val="13"/>
            </w:pPr>
            <w:r>
              <w:t>产出指标</w:t>
            </w:r>
          </w:p>
        </w:tc>
        <w:tc>
          <w:tcPr>
            <w:tcW w:w="2268" w:type="dxa"/>
            <w:vAlign w:val="center"/>
          </w:tcPr>
          <w:p w14:paraId="25C19778">
            <w:pPr>
              <w:pStyle w:val="12"/>
            </w:pPr>
            <w:r>
              <w:t>成本指标</w:t>
            </w:r>
          </w:p>
        </w:tc>
        <w:tc>
          <w:tcPr>
            <w:tcW w:w="2835" w:type="dxa"/>
            <w:vAlign w:val="center"/>
          </w:tcPr>
          <w:p w14:paraId="59D0E6E6">
            <w:pPr>
              <w:pStyle w:val="12"/>
            </w:pPr>
            <w:r>
              <w:t>生均拨款标准</w:t>
            </w:r>
          </w:p>
        </w:tc>
        <w:tc>
          <w:tcPr>
            <w:tcW w:w="5386" w:type="dxa"/>
            <w:vAlign w:val="center"/>
          </w:tcPr>
          <w:p w14:paraId="26E44BF4">
            <w:pPr>
              <w:pStyle w:val="12"/>
            </w:pPr>
            <w:r>
              <w:t>小学生公用经费生均小学720元。取暖费120元/生/年，随班就读学生补助7000元/生</w:t>
            </w:r>
          </w:p>
        </w:tc>
        <w:tc>
          <w:tcPr>
            <w:tcW w:w="2268" w:type="dxa"/>
            <w:vAlign w:val="center"/>
          </w:tcPr>
          <w:p w14:paraId="196921C5">
            <w:pPr>
              <w:pStyle w:val="12"/>
            </w:pPr>
            <w:r>
              <w:t>840元</w:t>
            </w:r>
          </w:p>
        </w:tc>
        <w:tc>
          <w:tcPr>
            <w:tcW w:w="1276" w:type="dxa"/>
            <w:vAlign w:val="center"/>
          </w:tcPr>
          <w:p w14:paraId="40D595FE">
            <w:pPr>
              <w:pStyle w:val="12"/>
            </w:pPr>
            <w:r>
              <w:t>城乡义务教育公用经费管理办法</w:t>
            </w:r>
          </w:p>
        </w:tc>
      </w:tr>
      <w:tr w14:paraId="5D3E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EB44A"/>
        </w:tc>
        <w:tc>
          <w:tcPr>
            <w:tcW w:w="2268" w:type="dxa"/>
            <w:vAlign w:val="center"/>
          </w:tcPr>
          <w:p w14:paraId="190009B7">
            <w:pPr>
              <w:pStyle w:val="12"/>
            </w:pPr>
            <w:r>
              <w:t>数量指标</w:t>
            </w:r>
          </w:p>
        </w:tc>
        <w:tc>
          <w:tcPr>
            <w:tcW w:w="2835" w:type="dxa"/>
            <w:vAlign w:val="center"/>
          </w:tcPr>
          <w:p w14:paraId="6932AF4F">
            <w:pPr>
              <w:pStyle w:val="12"/>
            </w:pPr>
            <w:r>
              <w:t>就读学生数</w:t>
            </w:r>
          </w:p>
        </w:tc>
        <w:tc>
          <w:tcPr>
            <w:tcW w:w="5386" w:type="dxa"/>
            <w:vAlign w:val="center"/>
          </w:tcPr>
          <w:p w14:paraId="17C3296B">
            <w:pPr>
              <w:pStyle w:val="12"/>
            </w:pPr>
            <w:r>
              <w:t>辐射区域内适龄学生人数</w:t>
            </w:r>
          </w:p>
        </w:tc>
        <w:tc>
          <w:tcPr>
            <w:tcW w:w="2268" w:type="dxa"/>
            <w:vAlign w:val="center"/>
          </w:tcPr>
          <w:p w14:paraId="66DDDC73">
            <w:pPr>
              <w:pStyle w:val="12"/>
            </w:pPr>
            <w:r>
              <w:t>100人</w:t>
            </w:r>
          </w:p>
        </w:tc>
        <w:tc>
          <w:tcPr>
            <w:tcW w:w="1276" w:type="dxa"/>
            <w:vAlign w:val="center"/>
          </w:tcPr>
          <w:p w14:paraId="1DE9F69E">
            <w:pPr>
              <w:pStyle w:val="12"/>
            </w:pPr>
            <w:r>
              <w:t>城乡义务教育公用经费管理办法</w:t>
            </w:r>
          </w:p>
        </w:tc>
      </w:tr>
      <w:tr w14:paraId="4D08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32C3A"/>
        </w:tc>
        <w:tc>
          <w:tcPr>
            <w:tcW w:w="2268" w:type="dxa"/>
            <w:vAlign w:val="center"/>
          </w:tcPr>
          <w:p w14:paraId="0618D146">
            <w:pPr>
              <w:pStyle w:val="12"/>
            </w:pPr>
            <w:r>
              <w:t>质量指标</w:t>
            </w:r>
          </w:p>
        </w:tc>
        <w:tc>
          <w:tcPr>
            <w:tcW w:w="2835" w:type="dxa"/>
            <w:vAlign w:val="center"/>
          </w:tcPr>
          <w:p w14:paraId="639DA041">
            <w:pPr>
              <w:pStyle w:val="12"/>
            </w:pPr>
            <w:r>
              <w:t>预算执行率</w:t>
            </w:r>
          </w:p>
        </w:tc>
        <w:tc>
          <w:tcPr>
            <w:tcW w:w="5386" w:type="dxa"/>
            <w:vAlign w:val="center"/>
          </w:tcPr>
          <w:p w14:paraId="53F37BC5">
            <w:pPr>
              <w:pStyle w:val="12"/>
            </w:pPr>
            <w:r>
              <w:t>预算执行率≥98%</w:t>
            </w:r>
          </w:p>
        </w:tc>
        <w:tc>
          <w:tcPr>
            <w:tcW w:w="2268" w:type="dxa"/>
            <w:vAlign w:val="center"/>
          </w:tcPr>
          <w:p w14:paraId="3A1489BB">
            <w:pPr>
              <w:pStyle w:val="12"/>
            </w:pPr>
            <w:r>
              <w:t>98%</w:t>
            </w:r>
          </w:p>
        </w:tc>
        <w:tc>
          <w:tcPr>
            <w:tcW w:w="1276" w:type="dxa"/>
            <w:vAlign w:val="center"/>
          </w:tcPr>
          <w:p w14:paraId="7286386B">
            <w:pPr>
              <w:pStyle w:val="12"/>
            </w:pPr>
            <w:r>
              <w:t>城乡义务教育公用经费管理办法</w:t>
            </w:r>
          </w:p>
        </w:tc>
      </w:tr>
      <w:tr w14:paraId="0377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46A52"/>
        </w:tc>
        <w:tc>
          <w:tcPr>
            <w:tcW w:w="2268" w:type="dxa"/>
            <w:vAlign w:val="center"/>
          </w:tcPr>
          <w:p w14:paraId="164E5509">
            <w:pPr>
              <w:pStyle w:val="12"/>
            </w:pPr>
            <w:r>
              <w:t>时效指标</w:t>
            </w:r>
          </w:p>
        </w:tc>
        <w:tc>
          <w:tcPr>
            <w:tcW w:w="2835" w:type="dxa"/>
            <w:vAlign w:val="center"/>
          </w:tcPr>
          <w:p w14:paraId="67F8610E">
            <w:pPr>
              <w:pStyle w:val="12"/>
            </w:pPr>
            <w:r>
              <w:t>义教经费支付完成率</w:t>
            </w:r>
          </w:p>
        </w:tc>
        <w:tc>
          <w:tcPr>
            <w:tcW w:w="5386" w:type="dxa"/>
            <w:vAlign w:val="center"/>
          </w:tcPr>
          <w:p w14:paraId="062EC451">
            <w:pPr>
              <w:pStyle w:val="12"/>
            </w:pPr>
            <w:r>
              <w:t>按照序时进度完成资金支付</w:t>
            </w:r>
          </w:p>
        </w:tc>
        <w:tc>
          <w:tcPr>
            <w:tcW w:w="2268" w:type="dxa"/>
            <w:vAlign w:val="center"/>
          </w:tcPr>
          <w:p w14:paraId="73652AC6">
            <w:pPr>
              <w:pStyle w:val="12"/>
            </w:pPr>
            <w:r>
              <w:t>100%</w:t>
            </w:r>
          </w:p>
        </w:tc>
        <w:tc>
          <w:tcPr>
            <w:tcW w:w="1276" w:type="dxa"/>
            <w:vAlign w:val="center"/>
          </w:tcPr>
          <w:p w14:paraId="24BA1E83">
            <w:pPr>
              <w:pStyle w:val="12"/>
            </w:pPr>
            <w:r>
              <w:t>城乡义务教育公用经费管理办法</w:t>
            </w:r>
          </w:p>
        </w:tc>
      </w:tr>
      <w:tr w14:paraId="12AE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D2E3A">
            <w:pPr>
              <w:pStyle w:val="13"/>
            </w:pPr>
            <w:r>
              <w:t>效益指标</w:t>
            </w:r>
          </w:p>
        </w:tc>
        <w:tc>
          <w:tcPr>
            <w:tcW w:w="2268" w:type="dxa"/>
            <w:vAlign w:val="center"/>
          </w:tcPr>
          <w:p w14:paraId="5351D325">
            <w:pPr>
              <w:pStyle w:val="12"/>
            </w:pPr>
            <w:r>
              <w:t>社会效益指标</w:t>
            </w:r>
          </w:p>
        </w:tc>
        <w:tc>
          <w:tcPr>
            <w:tcW w:w="2835" w:type="dxa"/>
            <w:vAlign w:val="center"/>
          </w:tcPr>
          <w:p w14:paraId="21049524">
            <w:pPr>
              <w:pStyle w:val="12"/>
            </w:pPr>
            <w:r>
              <w:t>学校运转得到提高</w:t>
            </w:r>
          </w:p>
        </w:tc>
        <w:tc>
          <w:tcPr>
            <w:tcW w:w="5386" w:type="dxa"/>
            <w:vAlign w:val="center"/>
          </w:tcPr>
          <w:p w14:paraId="673B349A">
            <w:pPr>
              <w:pStyle w:val="12"/>
            </w:pPr>
            <w:r>
              <w:t>学生受教育年限</w:t>
            </w:r>
          </w:p>
        </w:tc>
        <w:tc>
          <w:tcPr>
            <w:tcW w:w="2268" w:type="dxa"/>
            <w:vAlign w:val="center"/>
          </w:tcPr>
          <w:p w14:paraId="5A8B00E1">
            <w:pPr>
              <w:pStyle w:val="12"/>
            </w:pPr>
            <w:r>
              <w:t>6年</w:t>
            </w:r>
          </w:p>
        </w:tc>
        <w:tc>
          <w:tcPr>
            <w:tcW w:w="1276" w:type="dxa"/>
            <w:vAlign w:val="center"/>
          </w:tcPr>
          <w:p w14:paraId="6FD2EFF1">
            <w:pPr>
              <w:pStyle w:val="12"/>
            </w:pPr>
            <w:r>
              <w:t>城乡义务教育公用经费管理办法</w:t>
            </w:r>
          </w:p>
        </w:tc>
      </w:tr>
      <w:tr w14:paraId="4C49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88C63">
            <w:pPr>
              <w:pStyle w:val="13"/>
            </w:pPr>
            <w:r>
              <w:t>满意度指标</w:t>
            </w:r>
          </w:p>
        </w:tc>
        <w:tc>
          <w:tcPr>
            <w:tcW w:w="2268" w:type="dxa"/>
            <w:vAlign w:val="center"/>
          </w:tcPr>
          <w:p w14:paraId="41D71936">
            <w:pPr>
              <w:pStyle w:val="12"/>
            </w:pPr>
            <w:r>
              <w:t>服务对象满意度指标</w:t>
            </w:r>
          </w:p>
        </w:tc>
        <w:tc>
          <w:tcPr>
            <w:tcW w:w="2835" w:type="dxa"/>
            <w:vAlign w:val="center"/>
          </w:tcPr>
          <w:p w14:paraId="038A162C">
            <w:pPr>
              <w:pStyle w:val="12"/>
            </w:pPr>
            <w:r>
              <w:t>服务对象满意度</w:t>
            </w:r>
          </w:p>
        </w:tc>
        <w:tc>
          <w:tcPr>
            <w:tcW w:w="5386" w:type="dxa"/>
            <w:vAlign w:val="center"/>
          </w:tcPr>
          <w:p w14:paraId="7D6A5C53">
            <w:pPr>
              <w:pStyle w:val="12"/>
            </w:pPr>
            <w:r>
              <w:t>学校老师和学生满意度</w:t>
            </w:r>
          </w:p>
        </w:tc>
        <w:tc>
          <w:tcPr>
            <w:tcW w:w="2268" w:type="dxa"/>
            <w:vAlign w:val="center"/>
          </w:tcPr>
          <w:p w14:paraId="08117D59">
            <w:pPr>
              <w:pStyle w:val="12"/>
            </w:pPr>
            <w:r>
              <w:t>≥95%</w:t>
            </w:r>
          </w:p>
        </w:tc>
        <w:tc>
          <w:tcPr>
            <w:tcW w:w="1276" w:type="dxa"/>
            <w:vAlign w:val="center"/>
          </w:tcPr>
          <w:p w14:paraId="331D50AB">
            <w:pPr>
              <w:pStyle w:val="12"/>
            </w:pPr>
            <w:r>
              <w:t>问卷调查</w:t>
            </w:r>
          </w:p>
        </w:tc>
      </w:tr>
    </w:tbl>
    <w:p w14:paraId="7D2E971E">
      <w:pPr>
        <w:sectPr>
          <w:pgSz w:w="16840" w:h="11900" w:orient="landscape"/>
          <w:pgMar w:top="1361" w:right="1020" w:bottom="1134" w:left="1020" w:header="720" w:footer="720" w:gutter="0"/>
          <w:cols w:space="720" w:num="1"/>
        </w:sectPr>
      </w:pPr>
    </w:p>
    <w:p w14:paraId="6A768110">
      <w:pPr>
        <w:spacing w:before="0" w:after="0"/>
        <w:ind w:firstLine="560"/>
        <w:jc w:val="left"/>
        <w:outlineLvl w:val="9"/>
      </w:pPr>
      <w:r>
        <w:rPr>
          <w:rFonts w:ascii="方正仿宋_GBK" w:hAnsi="方正仿宋_GBK" w:eastAsia="方正仿宋_GBK" w:cs="方正仿宋_GBK"/>
          <w:b/>
          <w:color w:val="000000"/>
          <w:sz w:val="28"/>
        </w:rPr>
        <w:t>32、县级配套/牛家桥校区牛家桥小学公用经费绩效目标表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65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2820D">
            <w:pPr>
              <w:pStyle w:val="11"/>
            </w:pPr>
            <w:r>
              <w:t>单位：万元</w:t>
            </w:r>
          </w:p>
        </w:tc>
      </w:tr>
      <w:tr w14:paraId="1674C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6BF66">
            <w:pPr>
              <w:pStyle w:val="10"/>
            </w:pPr>
            <w:r>
              <w:t>项目编码</w:t>
            </w:r>
          </w:p>
        </w:tc>
        <w:tc>
          <w:tcPr>
            <w:tcW w:w="5103" w:type="dxa"/>
            <w:gridSpan w:val="2"/>
            <w:vAlign w:val="center"/>
          </w:tcPr>
          <w:p w14:paraId="147CC0DB">
            <w:pPr>
              <w:pStyle w:val="12"/>
            </w:pPr>
            <w:r>
              <w:t>13052526P000004104745</w:t>
            </w:r>
          </w:p>
        </w:tc>
        <w:tc>
          <w:tcPr>
            <w:tcW w:w="2835" w:type="dxa"/>
            <w:vAlign w:val="center"/>
          </w:tcPr>
          <w:p w14:paraId="0AC2E4BC">
            <w:pPr>
              <w:pStyle w:val="10"/>
            </w:pPr>
            <w:r>
              <w:t>项目名称</w:t>
            </w:r>
          </w:p>
        </w:tc>
        <w:tc>
          <w:tcPr>
            <w:tcW w:w="6095" w:type="dxa"/>
            <w:gridSpan w:val="3"/>
            <w:vAlign w:val="center"/>
          </w:tcPr>
          <w:p w14:paraId="1B108383">
            <w:pPr>
              <w:pStyle w:val="12"/>
            </w:pPr>
            <w:r>
              <w:t>县级配套/牛家桥校区牛家桥小学公用经费</w:t>
            </w:r>
          </w:p>
        </w:tc>
      </w:tr>
      <w:tr w14:paraId="4534C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456D7">
            <w:pPr>
              <w:pStyle w:val="10"/>
            </w:pPr>
            <w:r>
              <w:t>预算规模及资金用途</w:t>
            </w:r>
          </w:p>
        </w:tc>
        <w:tc>
          <w:tcPr>
            <w:tcW w:w="2268" w:type="dxa"/>
            <w:vAlign w:val="center"/>
          </w:tcPr>
          <w:p w14:paraId="09CDB9C8">
            <w:pPr>
              <w:pStyle w:val="10"/>
            </w:pPr>
            <w:r>
              <w:t>预算数</w:t>
            </w:r>
          </w:p>
        </w:tc>
        <w:tc>
          <w:tcPr>
            <w:tcW w:w="2835" w:type="dxa"/>
            <w:vAlign w:val="center"/>
          </w:tcPr>
          <w:p w14:paraId="78844015">
            <w:pPr>
              <w:pStyle w:val="12"/>
            </w:pPr>
            <w:r>
              <w:t>7.22</w:t>
            </w:r>
          </w:p>
        </w:tc>
        <w:tc>
          <w:tcPr>
            <w:tcW w:w="2835" w:type="dxa"/>
            <w:vAlign w:val="center"/>
          </w:tcPr>
          <w:p w14:paraId="76F01285">
            <w:pPr>
              <w:pStyle w:val="10"/>
            </w:pPr>
            <w:r>
              <w:t>其中：财政    资金</w:t>
            </w:r>
          </w:p>
        </w:tc>
        <w:tc>
          <w:tcPr>
            <w:tcW w:w="2551" w:type="dxa"/>
            <w:vAlign w:val="center"/>
          </w:tcPr>
          <w:p w14:paraId="66179CB7">
            <w:pPr>
              <w:pStyle w:val="12"/>
            </w:pPr>
            <w:r>
              <w:t>7.22</w:t>
            </w:r>
          </w:p>
        </w:tc>
        <w:tc>
          <w:tcPr>
            <w:tcW w:w="2268" w:type="dxa"/>
            <w:vAlign w:val="center"/>
          </w:tcPr>
          <w:p w14:paraId="685B2BFB">
            <w:pPr>
              <w:pStyle w:val="10"/>
            </w:pPr>
            <w:r>
              <w:t>其他资金</w:t>
            </w:r>
          </w:p>
        </w:tc>
        <w:tc>
          <w:tcPr>
            <w:tcW w:w="1276" w:type="dxa"/>
            <w:vAlign w:val="center"/>
          </w:tcPr>
          <w:p w14:paraId="26053064">
            <w:pPr>
              <w:pStyle w:val="12"/>
            </w:pPr>
            <w:r>
              <w:t xml:space="preserve"> </w:t>
            </w:r>
          </w:p>
        </w:tc>
      </w:tr>
      <w:tr w14:paraId="4A7A4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596BE"/>
        </w:tc>
        <w:tc>
          <w:tcPr>
            <w:tcW w:w="14033" w:type="dxa"/>
            <w:gridSpan w:val="6"/>
            <w:vAlign w:val="center"/>
          </w:tcPr>
          <w:p w14:paraId="29FAD0B1">
            <w:pPr>
              <w:pStyle w:val="12"/>
            </w:pPr>
            <w:r>
              <w:t>有效完成学校教学安全秩序，保障学校教学任务有效开展，满足学校正常教学需要。</w:t>
            </w:r>
          </w:p>
        </w:tc>
      </w:tr>
      <w:tr w14:paraId="31D55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7B852">
            <w:pPr>
              <w:pStyle w:val="10"/>
            </w:pPr>
            <w:r>
              <w:t>资金支出计划（%）</w:t>
            </w:r>
          </w:p>
        </w:tc>
        <w:tc>
          <w:tcPr>
            <w:tcW w:w="5103" w:type="dxa"/>
            <w:gridSpan w:val="2"/>
            <w:vAlign w:val="center"/>
          </w:tcPr>
          <w:p w14:paraId="77244CB1">
            <w:pPr>
              <w:pStyle w:val="10"/>
            </w:pPr>
            <w:r>
              <w:t>3月底</w:t>
            </w:r>
          </w:p>
        </w:tc>
        <w:tc>
          <w:tcPr>
            <w:tcW w:w="2835" w:type="dxa"/>
            <w:vAlign w:val="center"/>
          </w:tcPr>
          <w:p w14:paraId="0E180161">
            <w:pPr>
              <w:pStyle w:val="10"/>
            </w:pPr>
            <w:r>
              <w:t>6月底</w:t>
            </w:r>
          </w:p>
        </w:tc>
        <w:tc>
          <w:tcPr>
            <w:tcW w:w="2551" w:type="dxa"/>
            <w:vAlign w:val="center"/>
          </w:tcPr>
          <w:p w14:paraId="6B906EEC">
            <w:pPr>
              <w:pStyle w:val="10"/>
            </w:pPr>
            <w:r>
              <w:t>10月底</w:t>
            </w:r>
          </w:p>
        </w:tc>
        <w:tc>
          <w:tcPr>
            <w:tcW w:w="3544" w:type="dxa"/>
            <w:gridSpan w:val="2"/>
            <w:vAlign w:val="center"/>
          </w:tcPr>
          <w:p w14:paraId="1F71CC75">
            <w:pPr>
              <w:pStyle w:val="10"/>
            </w:pPr>
            <w:r>
              <w:t>12月底</w:t>
            </w:r>
          </w:p>
        </w:tc>
      </w:tr>
      <w:tr w14:paraId="0B147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4666D"/>
        </w:tc>
        <w:tc>
          <w:tcPr>
            <w:tcW w:w="5103" w:type="dxa"/>
            <w:gridSpan w:val="2"/>
            <w:vAlign w:val="center"/>
          </w:tcPr>
          <w:p w14:paraId="0DFD8481">
            <w:pPr>
              <w:pStyle w:val="13"/>
            </w:pPr>
            <w:r>
              <w:t>25%</w:t>
            </w:r>
          </w:p>
        </w:tc>
        <w:tc>
          <w:tcPr>
            <w:tcW w:w="2835" w:type="dxa"/>
            <w:vAlign w:val="center"/>
          </w:tcPr>
          <w:p w14:paraId="059B0BEE">
            <w:pPr>
              <w:pStyle w:val="13"/>
            </w:pPr>
            <w:r>
              <w:t>50%</w:t>
            </w:r>
          </w:p>
        </w:tc>
        <w:tc>
          <w:tcPr>
            <w:tcW w:w="2551" w:type="dxa"/>
            <w:vAlign w:val="center"/>
          </w:tcPr>
          <w:p w14:paraId="73B70EA2">
            <w:pPr>
              <w:pStyle w:val="13"/>
            </w:pPr>
            <w:r>
              <w:t>75%</w:t>
            </w:r>
          </w:p>
        </w:tc>
        <w:tc>
          <w:tcPr>
            <w:tcW w:w="3544" w:type="dxa"/>
            <w:gridSpan w:val="2"/>
            <w:vAlign w:val="center"/>
          </w:tcPr>
          <w:p w14:paraId="7657969D">
            <w:pPr>
              <w:pStyle w:val="13"/>
            </w:pPr>
            <w:r>
              <w:t>100%</w:t>
            </w:r>
          </w:p>
        </w:tc>
      </w:tr>
      <w:tr w14:paraId="466FF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3BB73">
            <w:pPr>
              <w:pStyle w:val="10"/>
            </w:pPr>
            <w:r>
              <w:t>绩效目标</w:t>
            </w:r>
          </w:p>
        </w:tc>
        <w:tc>
          <w:tcPr>
            <w:tcW w:w="14033" w:type="dxa"/>
            <w:gridSpan w:val="6"/>
            <w:vAlign w:val="center"/>
          </w:tcPr>
          <w:p w14:paraId="4B0DCD38">
            <w:pPr>
              <w:pStyle w:val="12"/>
            </w:pPr>
            <w:r>
              <w:t>1.有效完成学校教学安全秩序，保障学校教学任务有效开展，满足学校正常教学需要。</w:t>
            </w:r>
          </w:p>
          <w:p w14:paraId="3DED0D3B">
            <w:pPr>
              <w:pStyle w:val="12"/>
            </w:pPr>
            <w:r>
              <w:t>2.按规定拨付公用经费资金，预算执行率≥98%。</w:t>
            </w:r>
          </w:p>
        </w:tc>
      </w:tr>
    </w:tbl>
    <w:p w14:paraId="1FB4E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8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86FF48">
            <w:pPr>
              <w:pStyle w:val="10"/>
            </w:pPr>
            <w:r>
              <w:t>一级指标</w:t>
            </w:r>
          </w:p>
        </w:tc>
        <w:tc>
          <w:tcPr>
            <w:tcW w:w="2268" w:type="dxa"/>
            <w:vAlign w:val="center"/>
          </w:tcPr>
          <w:p w14:paraId="31690D17">
            <w:pPr>
              <w:pStyle w:val="10"/>
            </w:pPr>
            <w:r>
              <w:t>二级指标</w:t>
            </w:r>
          </w:p>
        </w:tc>
        <w:tc>
          <w:tcPr>
            <w:tcW w:w="2835" w:type="dxa"/>
            <w:vAlign w:val="center"/>
          </w:tcPr>
          <w:p w14:paraId="6485E593">
            <w:pPr>
              <w:pStyle w:val="10"/>
            </w:pPr>
            <w:r>
              <w:t>三级指标</w:t>
            </w:r>
          </w:p>
        </w:tc>
        <w:tc>
          <w:tcPr>
            <w:tcW w:w="5386" w:type="dxa"/>
            <w:vAlign w:val="center"/>
          </w:tcPr>
          <w:p w14:paraId="794CD093">
            <w:pPr>
              <w:pStyle w:val="10"/>
            </w:pPr>
            <w:r>
              <w:t>绩效指标描述</w:t>
            </w:r>
          </w:p>
        </w:tc>
        <w:tc>
          <w:tcPr>
            <w:tcW w:w="2268" w:type="dxa"/>
            <w:vAlign w:val="center"/>
          </w:tcPr>
          <w:p w14:paraId="07B8E243">
            <w:pPr>
              <w:pStyle w:val="10"/>
            </w:pPr>
            <w:r>
              <w:t>指标值</w:t>
            </w:r>
          </w:p>
        </w:tc>
        <w:tc>
          <w:tcPr>
            <w:tcW w:w="1276" w:type="dxa"/>
            <w:vAlign w:val="center"/>
          </w:tcPr>
          <w:p w14:paraId="5D8B4A48">
            <w:pPr>
              <w:pStyle w:val="10"/>
            </w:pPr>
            <w:r>
              <w:t>指标值确定依据</w:t>
            </w:r>
          </w:p>
        </w:tc>
      </w:tr>
      <w:tr w14:paraId="38F0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1BB27">
            <w:pPr>
              <w:pStyle w:val="13"/>
            </w:pPr>
            <w:r>
              <w:t>产出指标</w:t>
            </w:r>
          </w:p>
        </w:tc>
        <w:tc>
          <w:tcPr>
            <w:tcW w:w="2268" w:type="dxa"/>
            <w:vAlign w:val="center"/>
          </w:tcPr>
          <w:p w14:paraId="52E2907D">
            <w:pPr>
              <w:pStyle w:val="12"/>
            </w:pPr>
            <w:r>
              <w:t>成本指标</w:t>
            </w:r>
          </w:p>
        </w:tc>
        <w:tc>
          <w:tcPr>
            <w:tcW w:w="2835" w:type="dxa"/>
            <w:vAlign w:val="center"/>
          </w:tcPr>
          <w:p w14:paraId="6DBB7E48">
            <w:pPr>
              <w:pStyle w:val="12"/>
            </w:pPr>
            <w:r>
              <w:t>生均拨款标准</w:t>
            </w:r>
          </w:p>
        </w:tc>
        <w:tc>
          <w:tcPr>
            <w:tcW w:w="5386" w:type="dxa"/>
            <w:vAlign w:val="center"/>
          </w:tcPr>
          <w:p w14:paraId="308E153F">
            <w:pPr>
              <w:pStyle w:val="12"/>
            </w:pPr>
            <w:r>
              <w:t>小学生公用经费生均小学720元。取暖费120元/生/年，随班就读学生补助7000元/生</w:t>
            </w:r>
          </w:p>
        </w:tc>
        <w:tc>
          <w:tcPr>
            <w:tcW w:w="2268" w:type="dxa"/>
            <w:vAlign w:val="center"/>
          </w:tcPr>
          <w:p w14:paraId="32193906">
            <w:pPr>
              <w:pStyle w:val="12"/>
            </w:pPr>
            <w:r>
              <w:t>840元</w:t>
            </w:r>
          </w:p>
        </w:tc>
        <w:tc>
          <w:tcPr>
            <w:tcW w:w="1276" w:type="dxa"/>
            <w:vAlign w:val="center"/>
          </w:tcPr>
          <w:p w14:paraId="3F617C74">
            <w:pPr>
              <w:pStyle w:val="12"/>
            </w:pPr>
            <w:r>
              <w:t>城乡义务教育公用经费管理办法</w:t>
            </w:r>
          </w:p>
        </w:tc>
      </w:tr>
      <w:tr w14:paraId="2EDD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21C3C"/>
        </w:tc>
        <w:tc>
          <w:tcPr>
            <w:tcW w:w="2268" w:type="dxa"/>
            <w:vAlign w:val="center"/>
          </w:tcPr>
          <w:p w14:paraId="2E65FC33">
            <w:pPr>
              <w:pStyle w:val="12"/>
            </w:pPr>
            <w:r>
              <w:t>数量指标</w:t>
            </w:r>
          </w:p>
        </w:tc>
        <w:tc>
          <w:tcPr>
            <w:tcW w:w="2835" w:type="dxa"/>
            <w:vAlign w:val="center"/>
          </w:tcPr>
          <w:p w14:paraId="57848728">
            <w:pPr>
              <w:pStyle w:val="12"/>
            </w:pPr>
            <w:r>
              <w:t>就读学生数</w:t>
            </w:r>
          </w:p>
        </w:tc>
        <w:tc>
          <w:tcPr>
            <w:tcW w:w="5386" w:type="dxa"/>
            <w:vAlign w:val="center"/>
          </w:tcPr>
          <w:p w14:paraId="34E72031">
            <w:pPr>
              <w:pStyle w:val="12"/>
            </w:pPr>
            <w:r>
              <w:t>辐射区域内适龄学生人数</w:t>
            </w:r>
          </w:p>
        </w:tc>
        <w:tc>
          <w:tcPr>
            <w:tcW w:w="2268" w:type="dxa"/>
            <w:vAlign w:val="center"/>
          </w:tcPr>
          <w:p w14:paraId="2B249847">
            <w:pPr>
              <w:pStyle w:val="12"/>
            </w:pPr>
            <w:r>
              <w:t>677人</w:t>
            </w:r>
          </w:p>
        </w:tc>
        <w:tc>
          <w:tcPr>
            <w:tcW w:w="1276" w:type="dxa"/>
            <w:vAlign w:val="center"/>
          </w:tcPr>
          <w:p w14:paraId="4B55777F">
            <w:pPr>
              <w:pStyle w:val="12"/>
            </w:pPr>
            <w:r>
              <w:t>城乡义务教育公用经费管理办法</w:t>
            </w:r>
          </w:p>
        </w:tc>
      </w:tr>
      <w:tr w14:paraId="2987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751A9"/>
        </w:tc>
        <w:tc>
          <w:tcPr>
            <w:tcW w:w="2268" w:type="dxa"/>
            <w:vAlign w:val="center"/>
          </w:tcPr>
          <w:p w14:paraId="3CE80892">
            <w:pPr>
              <w:pStyle w:val="12"/>
            </w:pPr>
            <w:r>
              <w:t>质量指标</w:t>
            </w:r>
          </w:p>
        </w:tc>
        <w:tc>
          <w:tcPr>
            <w:tcW w:w="2835" w:type="dxa"/>
            <w:vAlign w:val="center"/>
          </w:tcPr>
          <w:p w14:paraId="5677936B">
            <w:pPr>
              <w:pStyle w:val="12"/>
            </w:pPr>
            <w:r>
              <w:t>预算执行率</w:t>
            </w:r>
          </w:p>
        </w:tc>
        <w:tc>
          <w:tcPr>
            <w:tcW w:w="5386" w:type="dxa"/>
            <w:vAlign w:val="center"/>
          </w:tcPr>
          <w:p w14:paraId="716694B4">
            <w:pPr>
              <w:pStyle w:val="12"/>
            </w:pPr>
            <w:r>
              <w:t>预算执行率≥98%</w:t>
            </w:r>
          </w:p>
        </w:tc>
        <w:tc>
          <w:tcPr>
            <w:tcW w:w="2268" w:type="dxa"/>
            <w:vAlign w:val="center"/>
          </w:tcPr>
          <w:p w14:paraId="218DC997">
            <w:pPr>
              <w:pStyle w:val="12"/>
            </w:pPr>
            <w:r>
              <w:t>98%</w:t>
            </w:r>
          </w:p>
        </w:tc>
        <w:tc>
          <w:tcPr>
            <w:tcW w:w="1276" w:type="dxa"/>
            <w:vAlign w:val="center"/>
          </w:tcPr>
          <w:p w14:paraId="76D883DC">
            <w:pPr>
              <w:pStyle w:val="12"/>
            </w:pPr>
            <w:r>
              <w:t>城乡义务教育公用经费管理办法</w:t>
            </w:r>
          </w:p>
        </w:tc>
      </w:tr>
      <w:tr w14:paraId="70C7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B8057"/>
        </w:tc>
        <w:tc>
          <w:tcPr>
            <w:tcW w:w="2268" w:type="dxa"/>
            <w:vAlign w:val="center"/>
          </w:tcPr>
          <w:p w14:paraId="550BE8DC">
            <w:pPr>
              <w:pStyle w:val="12"/>
            </w:pPr>
            <w:r>
              <w:t>时效指标</w:t>
            </w:r>
          </w:p>
        </w:tc>
        <w:tc>
          <w:tcPr>
            <w:tcW w:w="2835" w:type="dxa"/>
            <w:vAlign w:val="center"/>
          </w:tcPr>
          <w:p w14:paraId="357F2E9D">
            <w:pPr>
              <w:pStyle w:val="12"/>
            </w:pPr>
            <w:r>
              <w:t>义教经费支付完成率</w:t>
            </w:r>
          </w:p>
        </w:tc>
        <w:tc>
          <w:tcPr>
            <w:tcW w:w="5386" w:type="dxa"/>
            <w:vAlign w:val="center"/>
          </w:tcPr>
          <w:p w14:paraId="7A9660BE">
            <w:pPr>
              <w:pStyle w:val="12"/>
            </w:pPr>
            <w:r>
              <w:t>按照序时进度完成资金支付</w:t>
            </w:r>
          </w:p>
        </w:tc>
        <w:tc>
          <w:tcPr>
            <w:tcW w:w="2268" w:type="dxa"/>
            <w:vAlign w:val="center"/>
          </w:tcPr>
          <w:p w14:paraId="25E5C257">
            <w:pPr>
              <w:pStyle w:val="12"/>
            </w:pPr>
            <w:r>
              <w:t>100%</w:t>
            </w:r>
          </w:p>
        </w:tc>
        <w:tc>
          <w:tcPr>
            <w:tcW w:w="1276" w:type="dxa"/>
            <w:vAlign w:val="center"/>
          </w:tcPr>
          <w:p w14:paraId="12E6351B">
            <w:pPr>
              <w:pStyle w:val="12"/>
            </w:pPr>
            <w:r>
              <w:t>城乡义务教育公用经费管理办法</w:t>
            </w:r>
          </w:p>
        </w:tc>
      </w:tr>
      <w:tr w14:paraId="6A84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EE8BD">
            <w:pPr>
              <w:pStyle w:val="13"/>
            </w:pPr>
            <w:r>
              <w:t>效益指标</w:t>
            </w:r>
          </w:p>
        </w:tc>
        <w:tc>
          <w:tcPr>
            <w:tcW w:w="2268" w:type="dxa"/>
            <w:vAlign w:val="center"/>
          </w:tcPr>
          <w:p w14:paraId="73D8F80D">
            <w:pPr>
              <w:pStyle w:val="12"/>
            </w:pPr>
            <w:r>
              <w:t>社会效益指标</w:t>
            </w:r>
          </w:p>
        </w:tc>
        <w:tc>
          <w:tcPr>
            <w:tcW w:w="2835" w:type="dxa"/>
            <w:vAlign w:val="center"/>
          </w:tcPr>
          <w:p w14:paraId="4A6B9AAE">
            <w:pPr>
              <w:pStyle w:val="12"/>
            </w:pPr>
            <w:r>
              <w:t>学校运转得到提高</w:t>
            </w:r>
          </w:p>
        </w:tc>
        <w:tc>
          <w:tcPr>
            <w:tcW w:w="5386" w:type="dxa"/>
            <w:vAlign w:val="center"/>
          </w:tcPr>
          <w:p w14:paraId="52FB5447">
            <w:pPr>
              <w:pStyle w:val="12"/>
            </w:pPr>
            <w:r>
              <w:t>学生受教育年限</w:t>
            </w:r>
          </w:p>
        </w:tc>
        <w:tc>
          <w:tcPr>
            <w:tcW w:w="2268" w:type="dxa"/>
            <w:vAlign w:val="center"/>
          </w:tcPr>
          <w:p w14:paraId="6B72C380">
            <w:pPr>
              <w:pStyle w:val="12"/>
            </w:pPr>
            <w:r>
              <w:t>6年</w:t>
            </w:r>
          </w:p>
        </w:tc>
        <w:tc>
          <w:tcPr>
            <w:tcW w:w="1276" w:type="dxa"/>
            <w:vAlign w:val="center"/>
          </w:tcPr>
          <w:p w14:paraId="64166A3D">
            <w:pPr>
              <w:pStyle w:val="12"/>
            </w:pPr>
            <w:r>
              <w:t>城乡义务教育公用经费管理办法</w:t>
            </w:r>
          </w:p>
        </w:tc>
      </w:tr>
      <w:tr w14:paraId="1165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55CD2">
            <w:pPr>
              <w:pStyle w:val="13"/>
            </w:pPr>
            <w:r>
              <w:t>满意度指标</w:t>
            </w:r>
          </w:p>
        </w:tc>
        <w:tc>
          <w:tcPr>
            <w:tcW w:w="2268" w:type="dxa"/>
            <w:vAlign w:val="center"/>
          </w:tcPr>
          <w:p w14:paraId="6B1F9AF7">
            <w:pPr>
              <w:pStyle w:val="12"/>
            </w:pPr>
            <w:r>
              <w:t>服务对象满意度指标</w:t>
            </w:r>
          </w:p>
        </w:tc>
        <w:tc>
          <w:tcPr>
            <w:tcW w:w="2835" w:type="dxa"/>
            <w:vAlign w:val="center"/>
          </w:tcPr>
          <w:p w14:paraId="5E035A8A">
            <w:pPr>
              <w:pStyle w:val="12"/>
            </w:pPr>
            <w:r>
              <w:t>服务对象满意度</w:t>
            </w:r>
          </w:p>
        </w:tc>
        <w:tc>
          <w:tcPr>
            <w:tcW w:w="5386" w:type="dxa"/>
            <w:vAlign w:val="center"/>
          </w:tcPr>
          <w:p w14:paraId="4885ED24">
            <w:pPr>
              <w:pStyle w:val="12"/>
            </w:pPr>
            <w:r>
              <w:t>学校老师和学生满意度</w:t>
            </w:r>
          </w:p>
        </w:tc>
        <w:tc>
          <w:tcPr>
            <w:tcW w:w="2268" w:type="dxa"/>
            <w:vAlign w:val="center"/>
          </w:tcPr>
          <w:p w14:paraId="50DE595F">
            <w:pPr>
              <w:pStyle w:val="12"/>
            </w:pPr>
            <w:r>
              <w:t>≥95%</w:t>
            </w:r>
          </w:p>
        </w:tc>
        <w:tc>
          <w:tcPr>
            <w:tcW w:w="1276" w:type="dxa"/>
            <w:vAlign w:val="center"/>
          </w:tcPr>
          <w:p w14:paraId="1FC2FC50">
            <w:pPr>
              <w:pStyle w:val="12"/>
            </w:pPr>
            <w:r>
              <w:t>问卷调查</w:t>
            </w:r>
          </w:p>
        </w:tc>
      </w:tr>
    </w:tbl>
    <w:p w14:paraId="6F3E22B1">
      <w:pPr>
        <w:sectPr>
          <w:pgSz w:w="16840" w:h="11900" w:orient="landscape"/>
          <w:pgMar w:top="1361" w:right="1020" w:bottom="1134" w:left="1020" w:header="720" w:footer="720" w:gutter="0"/>
          <w:cols w:space="720" w:num="1"/>
        </w:sectPr>
      </w:pPr>
    </w:p>
    <w:p w14:paraId="151109A9">
      <w:pPr>
        <w:spacing w:before="0" w:after="0"/>
        <w:ind w:firstLine="560"/>
        <w:jc w:val="left"/>
        <w:outlineLvl w:val="9"/>
      </w:pPr>
      <w:r>
        <w:rPr>
          <w:rFonts w:ascii="方正仿宋_GBK" w:hAnsi="方正仿宋_GBK" w:eastAsia="方正仿宋_GBK" w:cs="方正仿宋_GBK"/>
          <w:b/>
          <w:color w:val="000000"/>
          <w:sz w:val="28"/>
        </w:rPr>
        <w:t>33、县级配套/牛家桥校区学前教育幼儿资助绩效目标表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47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51657">
            <w:pPr>
              <w:pStyle w:val="11"/>
            </w:pPr>
            <w:r>
              <w:t>单位：万元</w:t>
            </w:r>
          </w:p>
        </w:tc>
      </w:tr>
      <w:tr w14:paraId="19868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BDE49">
            <w:pPr>
              <w:pStyle w:val="10"/>
            </w:pPr>
            <w:r>
              <w:t>项目编码</w:t>
            </w:r>
          </w:p>
        </w:tc>
        <w:tc>
          <w:tcPr>
            <w:tcW w:w="5103" w:type="dxa"/>
            <w:gridSpan w:val="2"/>
            <w:vAlign w:val="center"/>
          </w:tcPr>
          <w:p w14:paraId="68BE6E59">
            <w:pPr>
              <w:pStyle w:val="12"/>
            </w:pPr>
            <w:r>
              <w:t>13052526P00000210090X</w:t>
            </w:r>
          </w:p>
        </w:tc>
        <w:tc>
          <w:tcPr>
            <w:tcW w:w="2835" w:type="dxa"/>
            <w:vAlign w:val="center"/>
          </w:tcPr>
          <w:p w14:paraId="7759EE48">
            <w:pPr>
              <w:pStyle w:val="10"/>
            </w:pPr>
            <w:r>
              <w:t>项目名称</w:t>
            </w:r>
          </w:p>
        </w:tc>
        <w:tc>
          <w:tcPr>
            <w:tcW w:w="6095" w:type="dxa"/>
            <w:gridSpan w:val="3"/>
            <w:vAlign w:val="center"/>
          </w:tcPr>
          <w:p w14:paraId="7E67BFED">
            <w:pPr>
              <w:pStyle w:val="12"/>
            </w:pPr>
            <w:r>
              <w:t>县级配套/牛家桥校区学前教育幼儿资助</w:t>
            </w:r>
          </w:p>
        </w:tc>
      </w:tr>
      <w:tr w14:paraId="555AE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E3378">
            <w:pPr>
              <w:pStyle w:val="10"/>
            </w:pPr>
            <w:r>
              <w:t>预算规模及资金用途</w:t>
            </w:r>
          </w:p>
        </w:tc>
        <w:tc>
          <w:tcPr>
            <w:tcW w:w="2268" w:type="dxa"/>
            <w:vAlign w:val="center"/>
          </w:tcPr>
          <w:p w14:paraId="44F02B2C">
            <w:pPr>
              <w:pStyle w:val="10"/>
            </w:pPr>
            <w:r>
              <w:t>预算数</w:t>
            </w:r>
          </w:p>
        </w:tc>
        <w:tc>
          <w:tcPr>
            <w:tcW w:w="2835" w:type="dxa"/>
            <w:vAlign w:val="center"/>
          </w:tcPr>
          <w:p w14:paraId="1E5B68A1">
            <w:pPr>
              <w:pStyle w:val="12"/>
            </w:pPr>
            <w:r>
              <w:t>0.50</w:t>
            </w:r>
          </w:p>
        </w:tc>
        <w:tc>
          <w:tcPr>
            <w:tcW w:w="2835" w:type="dxa"/>
            <w:vAlign w:val="center"/>
          </w:tcPr>
          <w:p w14:paraId="75EADFBE">
            <w:pPr>
              <w:pStyle w:val="10"/>
            </w:pPr>
            <w:r>
              <w:t>其中：财政    资金</w:t>
            </w:r>
          </w:p>
        </w:tc>
        <w:tc>
          <w:tcPr>
            <w:tcW w:w="2551" w:type="dxa"/>
            <w:vAlign w:val="center"/>
          </w:tcPr>
          <w:p w14:paraId="4DEC67F4">
            <w:pPr>
              <w:pStyle w:val="12"/>
            </w:pPr>
            <w:r>
              <w:t>0.50</w:t>
            </w:r>
          </w:p>
        </w:tc>
        <w:tc>
          <w:tcPr>
            <w:tcW w:w="2268" w:type="dxa"/>
            <w:vAlign w:val="center"/>
          </w:tcPr>
          <w:p w14:paraId="79296992">
            <w:pPr>
              <w:pStyle w:val="10"/>
            </w:pPr>
            <w:r>
              <w:t>其他资金</w:t>
            </w:r>
          </w:p>
        </w:tc>
        <w:tc>
          <w:tcPr>
            <w:tcW w:w="1276" w:type="dxa"/>
            <w:vAlign w:val="center"/>
          </w:tcPr>
          <w:p w14:paraId="761C88C1">
            <w:pPr>
              <w:pStyle w:val="12"/>
            </w:pPr>
            <w:r>
              <w:t xml:space="preserve"> </w:t>
            </w:r>
          </w:p>
        </w:tc>
      </w:tr>
      <w:tr w14:paraId="4D110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E4858"/>
        </w:tc>
        <w:tc>
          <w:tcPr>
            <w:tcW w:w="14033" w:type="dxa"/>
            <w:gridSpan w:val="6"/>
            <w:vAlign w:val="center"/>
          </w:tcPr>
          <w:p w14:paraId="537C5A3D">
            <w:pPr>
              <w:pStyle w:val="12"/>
            </w:pPr>
            <w:r>
              <w:t>保证本年度资助经费足额落实到位，符合享受资助条件的学生应助尽助。</w:t>
            </w:r>
          </w:p>
        </w:tc>
      </w:tr>
      <w:tr w14:paraId="14167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BCCB2">
            <w:pPr>
              <w:pStyle w:val="10"/>
            </w:pPr>
            <w:r>
              <w:t>资金支出计划（%）</w:t>
            </w:r>
          </w:p>
        </w:tc>
        <w:tc>
          <w:tcPr>
            <w:tcW w:w="5103" w:type="dxa"/>
            <w:gridSpan w:val="2"/>
            <w:vAlign w:val="center"/>
          </w:tcPr>
          <w:p w14:paraId="605D2284">
            <w:pPr>
              <w:pStyle w:val="10"/>
            </w:pPr>
            <w:r>
              <w:t>3月底</w:t>
            </w:r>
          </w:p>
        </w:tc>
        <w:tc>
          <w:tcPr>
            <w:tcW w:w="2835" w:type="dxa"/>
            <w:vAlign w:val="center"/>
          </w:tcPr>
          <w:p w14:paraId="47DB5660">
            <w:pPr>
              <w:pStyle w:val="10"/>
            </w:pPr>
            <w:r>
              <w:t>6月底</w:t>
            </w:r>
          </w:p>
        </w:tc>
        <w:tc>
          <w:tcPr>
            <w:tcW w:w="2551" w:type="dxa"/>
            <w:vAlign w:val="center"/>
          </w:tcPr>
          <w:p w14:paraId="7F45D1C3">
            <w:pPr>
              <w:pStyle w:val="10"/>
            </w:pPr>
            <w:r>
              <w:t>10月底</w:t>
            </w:r>
          </w:p>
        </w:tc>
        <w:tc>
          <w:tcPr>
            <w:tcW w:w="3544" w:type="dxa"/>
            <w:gridSpan w:val="2"/>
            <w:vAlign w:val="center"/>
          </w:tcPr>
          <w:p w14:paraId="305C0139">
            <w:pPr>
              <w:pStyle w:val="10"/>
            </w:pPr>
            <w:r>
              <w:t>12月底</w:t>
            </w:r>
          </w:p>
        </w:tc>
      </w:tr>
      <w:tr w14:paraId="4C58A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8D20A"/>
        </w:tc>
        <w:tc>
          <w:tcPr>
            <w:tcW w:w="5103" w:type="dxa"/>
            <w:gridSpan w:val="2"/>
            <w:vAlign w:val="center"/>
          </w:tcPr>
          <w:p w14:paraId="5C6D589B">
            <w:pPr>
              <w:pStyle w:val="13"/>
            </w:pPr>
            <w:r>
              <w:t xml:space="preserve"> </w:t>
            </w:r>
          </w:p>
        </w:tc>
        <w:tc>
          <w:tcPr>
            <w:tcW w:w="2835" w:type="dxa"/>
            <w:vAlign w:val="center"/>
          </w:tcPr>
          <w:p w14:paraId="47F1B7FB">
            <w:pPr>
              <w:pStyle w:val="13"/>
            </w:pPr>
            <w:r>
              <w:t>50%</w:t>
            </w:r>
          </w:p>
        </w:tc>
        <w:tc>
          <w:tcPr>
            <w:tcW w:w="2551" w:type="dxa"/>
            <w:vAlign w:val="center"/>
          </w:tcPr>
          <w:p w14:paraId="39FDE161">
            <w:pPr>
              <w:pStyle w:val="13"/>
            </w:pPr>
            <w:r>
              <w:t>50%</w:t>
            </w:r>
          </w:p>
        </w:tc>
        <w:tc>
          <w:tcPr>
            <w:tcW w:w="3544" w:type="dxa"/>
            <w:gridSpan w:val="2"/>
            <w:vAlign w:val="center"/>
          </w:tcPr>
          <w:p w14:paraId="5CDC2F69">
            <w:pPr>
              <w:pStyle w:val="13"/>
            </w:pPr>
            <w:r>
              <w:t>100%</w:t>
            </w:r>
          </w:p>
        </w:tc>
      </w:tr>
      <w:tr w14:paraId="47E56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BED9F">
            <w:pPr>
              <w:pStyle w:val="10"/>
            </w:pPr>
            <w:r>
              <w:t>绩效目标</w:t>
            </w:r>
          </w:p>
        </w:tc>
        <w:tc>
          <w:tcPr>
            <w:tcW w:w="14033" w:type="dxa"/>
            <w:gridSpan w:val="6"/>
            <w:vAlign w:val="center"/>
          </w:tcPr>
          <w:p w14:paraId="41709EF5">
            <w:pPr>
              <w:pStyle w:val="12"/>
            </w:pPr>
            <w:r>
              <w:t>1.保证本年度资助经费足额落实到位，符合享受资助条件的学生应助尽助。</w:t>
            </w:r>
          </w:p>
        </w:tc>
      </w:tr>
    </w:tbl>
    <w:p w14:paraId="4242CC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4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2D378">
            <w:pPr>
              <w:pStyle w:val="10"/>
            </w:pPr>
            <w:r>
              <w:t>一级指标</w:t>
            </w:r>
          </w:p>
        </w:tc>
        <w:tc>
          <w:tcPr>
            <w:tcW w:w="2268" w:type="dxa"/>
            <w:vAlign w:val="center"/>
          </w:tcPr>
          <w:p w14:paraId="077F326D">
            <w:pPr>
              <w:pStyle w:val="10"/>
            </w:pPr>
            <w:r>
              <w:t>二级指标</w:t>
            </w:r>
          </w:p>
        </w:tc>
        <w:tc>
          <w:tcPr>
            <w:tcW w:w="2835" w:type="dxa"/>
            <w:vAlign w:val="center"/>
          </w:tcPr>
          <w:p w14:paraId="08C75E16">
            <w:pPr>
              <w:pStyle w:val="10"/>
            </w:pPr>
            <w:r>
              <w:t>三级指标</w:t>
            </w:r>
          </w:p>
        </w:tc>
        <w:tc>
          <w:tcPr>
            <w:tcW w:w="5386" w:type="dxa"/>
            <w:vAlign w:val="center"/>
          </w:tcPr>
          <w:p w14:paraId="3C1217FD">
            <w:pPr>
              <w:pStyle w:val="10"/>
            </w:pPr>
            <w:r>
              <w:t>绩效指标描述</w:t>
            </w:r>
          </w:p>
        </w:tc>
        <w:tc>
          <w:tcPr>
            <w:tcW w:w="2268" w:type="dxa"/>
            <w:vAlign w:val="center"/>
          </w:tcPr>
          <w:p w14:paraId="7CEB32D7">
            <w:pPr>
              <w:pStyle w:val="10"/>
            </w:pPr>
            <w:r>
              <w:t>指标值</w:t>
            </w:r>
          </w:p>
        </w:tc>
        <w:tc>
          <w:tcPr>
            <w:tcW w:w="1276" w:type="dxa"/>
            <w:vAlign w:val="center"/>
          </w:tcPr>
          <w:p w14:paraId="201441D4">
            <w:pPr>
              <w:pStyle w:val="10"/>
            </w:pPr>
            <w:r>
              <w:t>指标值确定依据</w:t>
            </w:r>
          </w:p>
        </w:tc>
      </w:tr>
      <w:tr w14:paraId="1685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DF792">
            <w:pPr>
              <w:pStyle w:val="13"/>
            </w:pPr>
            <w:r>
              <w:t>产出指标</w:t>
            </w:r>
          </w:p>
        </w:tc>
        <w:tc>
          <w:tcPr>
            <w:tcW w:w="2268" w:type="dxa"/>
            <w:vAlign w:val="center"/>
          </w:tcPr>
          <w:p w14:paraId="560E5D55">
            <w:pPr>
              <w:pStyle w:val="12"/>
            </w:pPr>
            <w:r>
              <w:t>数量指标</w:t>
            </w:r>
          </w:p>
        </w:tc>
        <w:tc>
          <w:tcPr>
            <w:tcW w:w="2835" w:type="dxa"/>
            <w:vAlign w:val="center"/>
          </w:tcPr>
          <w:p w14:paraId="624A6F78">
            <w:pPr>
              <w:pStyle w:val="12"/>
            </w:pPr>
            <w:r>
              <w:t xml:space="preserve"> 幼儿资助人数</w:t>
            </w:r>
          </w:p>
        </w:tc>
        <w:tc>
          <w:tcPr>
            <w:tcW w:w="5386" w:type="dxa"/>
            <w:vAlign w:val="center"/>
          </w:tcPr>
          <w:p w14:paraId="6FBBDCCD">
            <w:pPr>
              <w:pStyle w:val="12"/>
            </w:pPr>
            <w:r>
              <w:t xml:space="preserve"> 幼儿资助人数</w:t>
            </w:r>
          </w:p>
        </w:tc>
        <w:tc>
          <w:tcPr>
            <w:tcW w:w="2268" w:type="dxa"/>
            <w:vAlign w:val="center"/>
          </w:tcPr>
          <w:p w14:paraId="0DC6F786">
            <w:pPr>
              <w:pStyle w:val="12"/>
            </w:pPr>
            <w:r>
              <w:t>25 人</w:t>
            </w:r>
          </w:p>
        </w:tc>
        <w:tc>
          <w:tcPr>
            <w:tcW w:w="1276" w:type="dxa"/>
            <w:vAlign w:val="center"/>
          </w:tcPr>
          <w:p w14:paraId="30C734FE">
            <w:pPr>
              <w:pStyle w:val="12"/>
            </w:pPr>
            <w:r>
              <w:t>幼儿资助经费管理办法</w:t>
            </w:r>
          </w:p>
        </w:tc>
      </w:tr>
      <w:tr w14:paraId="479A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D870C"/>
        </w:tc>
        <w:tc>
          <w:tcPr>
            <w:tcW w:w="2268" w:type="dxa"/>
            <w:vAlign w:val="center"/>
          </w:tcPr>
          <w:p w14:paraId="55505233">
            <w:pPr>
              <w:pStyle w:val="12"/>
            </w:pPr>
            <w:r>
              <w:t>质量指标</w:t>
            </w:r>
          </w:p>
        </w:tc>
        <w:tc>
          <w:tcPr>
            <w:tcW w:w="2835" w:type="dxa"/>
            <w:vAlign w:val="center"/>
          </w:tcPr>
          <w:p w14:paraId="566A1487">
            <w:pPr>
              <w:pStyle w:val="12"/>
            </w:pPr>
            <w:r>
              <w:t>资助资金使用率</w:t>
            </w:r>
          </w:p>
        </w:tc>
        <w:tc>
          <w:tcPr>
            <w:tcW w:w="5386" w:type="dxa"/>
            <w:vAlign w:val="center"/>
          </w:tcPr>
          <w:p w14:paraId="27776A7E">
            <w:pPr>
              <w:pStyle w:val="12"/>
            </w:pPr>
            <w:r>
              <w:t>符合享受资助条件的学生应助尽助</w:t>
            </w:r>
          </w:p>
        </w:tc>
        <w:tc>
          <w:tcPr>
            <w:tcW w:w="2268" w:type="dxa"/>
            <w:vAlign w:val="center"/>
          </w:tcPr>
          <w:p w14:paraId="18AD645A">
            <w:pPr>
              <w:pStyle w:val="12"/>
            </w:pPr>
            <w:r>
              <w:t>100%</w:t>
            </w:r>
          </w:p>
        </w:tc>
        <w:tc>
          <w:tcPr>
            <w:tcW w:w="1276" w:type="dxa"/>
            <w:vAlign w:val="center"/>
          </w:tcPr>
          <w:p w14:paraId="05F6B2F1">
            <w:pPr>
              <w:pStyle w:val="12"/>
            </w:pPr>
            <w:r>
              <w:t>幼儿资助经费管理办法</w:t>
            </w:r>
          </w:p>
        </w:tc>
      </w:tr>
      <w:tr w14:paraId="5AA5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C9A6D"/>
        </w:tc>
        <w:tc>
          <w:tcPr>
            <w:tcW w:w="2268" w:type="dxa"/>
            <w:vAlign w:val="center"/>
          </w:tcPr>
          <w:p w14:paraId="37F60FA3">
            <w:pPr>
              <w:pStyle w:val="12"/>
            </w:pPr>
            <w:r>
              <w:t>时效指标</w:t>
            </w:r>
          </w:p>
        </w:tc>
        <w:tc>
          <w:tcPr>
            <w:tcW w:w="2835" w:type="dxa"/>
            <w:vAlign w:val="center"/>
          </w:tcPr>
          <w:p w14:paraId="78F8C701">
            <w:pPr>
              <w:pStyle w:val="12"/>
            </w:pPr>
            <w:r>
              <w:t>资金拨付率</w:t>
            </w:r>
          </w:p>
        </w:tc>
        <w:tc>
          <w:tcPr>
            <w:tcW w:w="5386" w:type="dxa"/>
            <w:vAlign w:val="center"/>
          </w:tcPr>
          <w:p w14:paraId="0D5C7031">
            <w:pPr>
              <w:pStyle w:val="12"/>
            </w:pPr>
            <w:r>
              <w:t>所有项目资金支付进度</w:t>
            </w:r>
          </w:p>
        </w:tc>
        <w:tc>
          <w:tcPr>
            <w:tcW w:w="2268" w:type="dxa"/>
            <w:vAlign w:val="center"/>
          </w:tcPr>
          <w:p w14:paraId="5478EB4D">
            <w:pPr>
              <w:pStyle w:val="12"/>
            </w:pPr>
            <w:r>
              <w:t>100%</w:t>
            </w:r>
          </w:p>
        </w:tc>
        <w:tc>
          <w:tcPr>
            <w:tcW w:w="1276" w:type="dxa"/>
            <w:vAlign w:val="center"/>
          </w:tcPr>
          <w:p w14:paraId="012557B5">
            <w:pPr>
              <w:pStyle w:val="12"/>
            </w:pPr>
            <w:r>
              <w:t>幼儿资助经费管理办法</w:t>
            </w:r>
          </w:p>
        </w:tc>
      </w:tr>
      <w:tr w14:paraId="7AC9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91F0C"/>
        </w:tc>
        <w:tc>
          <w:tcPr>
            <w:tcW w:w="2268" w:type="dxa"/>
            <w:vAlign w:val="center"/>
          </w:tcPr>
          <w:p w14:paraId="0E9D9EB8">
            <w:pPr>
              <w:pStyle w:val="12"/>
            </w:pPr>
            <w:r>
              <w:t>成本指标</w:t>
            </w:r>
          </w:p>
        </w:tc>
        <w:tc>
          <w:tcPr>
            <w:tcW w:w="2835" w:type="dxa"/>
            <w:vAlign w:val="center"/>
          </w:tcPr>
          <w:p w14:paraId="610E5811">
            <w:pPr>
              <w:pStyle w:val="12"/>
            </w:pPr>
            <w:r>
              <w:t>幼儿园生均成本</w:t>
            </w:r>
          </w:p>
        </w:tc>
        <w:tc>
          <w:tcPr>
            <w:tcW w:w="5386" w:type="dxa"/>
            <w:vAlign w:val="center"/>
          </w:tcPr>
          <w:p w14:paraId="02734A5F">
            <w:pPr>
              <w:pStyle w:val="12"/>
            </w:pPr>
            <w:r>
              <w:t>按照幼儿园资助标准1000元/生/年</w:t>
            </w:r>
          </w:p>
        </w:tc>
        <w:tc>
          <w:tcPr>
            <w:tcW w:w="2268" w:type="dxa"/>
            <w:vAlign w:val="center"/>
          </w:tcPr>
          <w:p w14:paraId="315D0672">
            <w:pPr>
              <w:pStyle w:val="12"/>
            </w:pPr>
            <w:r>
              <w:t>1000元</w:t>
            </w:r>
          </w:p>
        </w:tc>
        <w:tc>
          <w:tcPr>
            <w:tcW w:w="1276" w:type="dxa"/>
            <w:vAlign w:val="center"/>
          </w:tcPr>
          <w:p w14:paraId="6A7FC52A">
            <w:pPr>
              <w:pStyle w:val="12"/>
            </w:pPr>
            <w:r>
              <w:t>幼儿资助经费管理办法</w:t>
            </w:r>
          </w:p>
        </w:tc>
      </w:tr>
      <w:tr w14:paraId="6493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63C82">
            <w:pPr>
              <w:pStyle w:val="13"/>
            </w:pPr>
            <w:r>
              <w:t>效益指标</w:t>
            </w:r>
          </w:p>
        </w:tc>
        <w:tc>
          <w:tcPr>
            <w:tcW w:w="2268" w:type="dxa"/>
            <w:vAlign w:val="center"/>
          </w:tcPr>
          <w:p w14:paraId="5EEC853D">
            <w:pPr>
              <w:pStyle w:val="12"/>
            </w:pPr>
            <w:r>
              <w:t>可持续影响指标</w:t>
            </w:r>
          </w:p>
        </w:tc>
        <w:tc>
          <w:tcPr>
            <w:tcW w:w="2835" w:type="dxa"/>
            <w:vAlign w:val="center"/>
          </w:tcPr>
          <w:p w14:paraId="7668910B">
            <w:pPr>
              <w:pStyle w:val="12"/>
            </w:pPr>
            <w:r>
              <w:t>幼儿园正常运转</w:t>
            </w:r>
          </w:p>
        </w:tc>
        <w:tc>
          <w:tcPr>
            <w:tcW w:w="5386" w:type="dxa"/>
            <w:vAlign w:val="center"/>
          </w:tcPr>
          <w:p w14:paraId="52043ACC">
            <w:pPr>
              <w:pStyle w:val="12"/>
            </w:pPr>
            <w:r>
              <w:t>幼儿受教育年限</w:t>
            </w:r>
          </w:p>
        </w:tc>
        <w:tc>
          <w:tcPr>
            <w:tcW w:w="2268" w:type="dxa"/>
            <w:vAlign w:val="center"/>
          </w:tcPr>
          <w:p w14:paraId="7CDD6927">
            <w:pPr>
              <w:pStyle w:val="12"/>
            </w:pPr>
            <w:r>
              <w:t>3年</w:t>
            </w:r>
          </w:p>
        </w:tc>
        <w:tc>
          <w:tcPr>
            <w:tcW w:w="1276" w:type="dxa"/>
            <w:vAlign w:val="center"/>
          </w:tcPr>
          <w:p w14:paraId="15536329">
            <w:pPr>
              <w:pStyle w:val="12"/>
            </w:pPr>
            <w:r>
              <w:t>幼儿资助经费管理办法</w:t>
            </w:r>
          </w:p>
        </w:tc>
      </w:tr>
      <w:tr w14:paraId="4BDA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00951">
            <w:pPr>
              <w:pStyle w:val="13"/>
            </w:pPr>
            <w:r>
              <w:t>满意度指标</w:t>
            </w:r>
          </w:p>
        </w:tc>
        <w:tc>
          <w:tcPr>
            <w:tcW w:w="2268" w:type="dxa"/>
            <w:vAlign w:val="center"/>
          </w:tcPr>
          <w:p w14:paraId="7ED59205">
            <w:pPr>
              <w:pStyle w:val="12"/>
            </w:pPr>
            <w:r>
              <w:t>服务对象满意度指标</w:t>
            </w:r>
          </w:p>
        </w:tc>
        <w:tc>
          <w:tcPr>
            <w:tcW w:w="2835" w:type="dxa"/>
            <w:vAlign w:val="center"/>
          </w:tcPr>
          <w:p w14:paraId="29ADC950">
            <w:pPr>
              <w:pStyle w:val="12"/>
            </w:pPr>
            <w:r>
              <w:t>受益幼儿家长及调查满意度</w:t>
            </w:r>
          </w:p>
        </w:tc>
        <w:tc>
          <w:tcPr>
            <w:tcW w:w="5386" w:type="dxa"/>
            <w:vAlign w:val="center"/>
          </w:tcPr>
          <w:p w14:paraId="2B74BD6E">
            <w:pPr>
              <w:pStyle w:val="12"/>
            </w:pPr>
            <w:r>
              <w:t>学生、教师及家长对学校保教保育工作满意度情况</w:t>
            </w:r>
          </w:p>
        </w:tc>
        <w:tc>
          <w:tcPr>
            <w:tcW w:w="2268" w:type="dxa"/>
            <w:vAlign w:val="center"/>
          </w:tcPr>
          <w:p w14:paraId="064EECC8">
            <w:pPr>
              <w:pStyle w:val="12"/>
            </w:pPr>
            <w:r>
              <w:t>≥95%</w:t>
            </w:r>
          </w:p>
        </w:tc>
        <w:tc>
          <w:tcPr>
            <w:tcW w:w="1276" w:type="dxa"/>
            <w:vAlign w:val="center"/>
          </w:tcPr>
          <w:p w14:paraId="2A369278">
            <w:pPr>
              <w:pStyle w:val="12"/>
            </w:pPr>
            <w:r>
              <w:t>幼儿资助经费管理办法</w:t>
            </w:r>
          </w:p>
        </w:tc>
      </w:tr>
    </w:tbl>
    <w:p w14:paraId="102E9A77">
      <w:pPr>
        <w:sectPr>
          <w:pgSz w:w="16840" w:h="11900" w:orient="landscape"/>
          <w:pgMar w:top="1361" w:right="1020" w:bottom="1134" w:left="1020" w:header="720" w:footer="720" w:gutter="0"/>
          <w:cols w:space="720" w:num="1"/>
        </w:sectPr>
      </w:pPr>
    </w:p>
    <w:p w14:paraId="13E69E55">
      <w:pPr>
        <w:spacing w:before="0" w:after="0"/>
        <w:ind w:firstLine="560"/>
        <w:jc w:val="left"/>
        <w:outlineLvl w:val="9"/>
      </w:pPr>
      <w:r>
        <w:rPr>
          <w:rFonts w:ascii="方正仿宋_GBK" w:hAnsi="方正仿宋_GBK" w:eastAsia="方正仿宋_GBK" w:cs="方正仿宋_GBK"/>
          <w:b/>
          <w:color w:val="000000"/>
          <w:sz w:val="28"/>
        </w:rPr>
        <w:t>34、县级资金/2024年牛家桥校区学前教育公用经费绩效目标表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A7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375DD">
            <w:pPr>
              <w:pStyle w:val="11"/>
            </w:pPr>
            <w:r>
              <w:t>单位：万元</w:t>
            </w:r>
          </w:p>
        </w:tc>
      </w:tr>
      <w:tr w14:paraId="182CD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18618">
            <w:pPr>
              <w:pStyle w:val="10"/>
            </w:pPr>
            <w:r>
              <w:t>项目编码</w:t>
            </w:r>
          </w:p>
        </w:tc>
        <w:tc>
          <w:tcPr>
            <w:tcW w:w="5103" w:type="dxa"/>
            <w:gridSpan w:val="2"/>
            <w:vAlign w:val="center"/>
          </w:tcPr>
          <w:p w14:paraId="4CFA958C">
            <w:pPr>
              <w:pStyle w:val="12"/>
            </w:pPr>
            <w:r>
              <w:t>13052526P00875710141T</w:t>
            </w:r>
          </w:p>
        </w:tc>
        <w:tc>
          <w:tcPr>
            <w:tcW w:w="2835" w:type="dxa"/>
            <w:vAlign w:val="center"/>
          </w:tcPr>
          <w:p w14:paraId="75037FA0">
            <w:pPr>
              <w:pStyle w:val="10"/>
            </w:pPr>
            <w:r>
              <w:t>项目名称</w:t>
            </w:r>
          </w:p>
        </w:tc>
        <w:tc>
          <w:tcPr>
            <w:tcW w:w="6095" w:type="dxa"/>
            <w:gridSpan w:val="3"/>
            <w:vAlign w:val="center"/>
          </w:tcPr>
          <w:p w14:paraId="0B3D79F1">
            <w:pPr>
              <w:pStyle w:val="12"/>
            </w:pPr>
            <w:r>
              <w:t>县级资金/2024年牛家桥校区学前教育公用经费</w:t>
            </w:r>
          </w:p>
        </w:tc>
      </w:tr>
      <w:tr w14:paraId="5DB15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736D6">
            <w:pPr>
              <w:pStyle w:val="10"/>
            </w:pPr>
            <w:r>
              <w:t>预算规模及资金用途</w:t>
            </w:r>
          </w:p>
        </w:tc>
        <w:tc>
          <w:tcPr>
            <w:tcW w:w="2268" w:type="dxa"/>
            <w:vAlign w:val="center"/>
          </w:tcPr>
          <w:p w14:paraId="17472CEB">
            <w:pPr>
              <w:pStyle w:val="10"/>
            </w:pPr>
            <w:r>
              <w:t>预算数</w:t>
            </w:r>
          </w:p>
        </w:tc>
        <w:tc>
          <w:tcPr>
            <w:tcW w:w="2835" w:type="dxa"/>
            <w:vAlign w:val="center"/>
          </w:tcPr>
          <w:p w14:paraId="18080EDA">
            <w:pPr>
              <w:pStyle w:val="12"/>
            </w:pPr>
            <w:r>
              <w:t>23.63</w:t>
            </w:r>
          </w:p>
        </w:tc>
        <w:tc>
          <w:tcPr>
            <w:tcW w:w="2835" w:type="dxa"/>
            <w:vAlign w:val="center"/>
          </w:tcPr>
          <w:p w14:paraId="3B9F6145">
            <w:pPr>
              <w:pStyle w:val="10"/>
            </w:pPr>
            <w:r>
              <w:t>其中：财政    资金</w:t>
            </w:r>
          </w:p>
        </w:tc>
        <w:tc>
          <w:tcPr>
            <w:tcW w:w="2551" w:type="dxa"/>
            <w:vAlign w:val="center"/>
          </w:tcPr>
          <w:p w14:paraId="62DCA5AF">
            <w:pPr>
              <w:pStyle w:val="12"/>
            </w:pPr>
            <w:r>
              <w:t>23.63</w:t>
            </w:r>
          </w:p>
        </w:tc>
        <w:tc>
          <w:tcPr>
            <w:tcW w:w="2268" w:type="dxa"/>
            <w:vAlign w:val="center"/>
          </w:tcPr>
          <w:p w14:paraId="0BDD2490">
            <w:pPr>
              <w:pStyle w:val="10"/>
            </w:pPr>
            <w:r>
              <w:t>其他资金</w:t>
            </w:r>
          </w:p>
        </w:tc>
        <w:tc>
          <w:tcPr>
            <w:tcW w:w="1276" w:type="dxa"/>
            <w:vAlign w:val="center"/>
          </w:tcPr>
          <w:p w14:paraId="027184FF">
            <w:pPr>
              <w:pStyle w:val="12"/>
            </w:pPr>
            <w:r>
              <w:t xml:space="preserve"> </w:t>
            </w:r>
          </w:p>
        </w:tc>
      </w:tr>
      <w:tr w14:paraId="390F7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87D0D"/>
        </w:tc>
        <w:tc>
          <w:tcPr>
            <w:tcW w:w="14033" w:type="dxa"/>
            <w:gridSpan w:val="6"/>
            <w:vAlign w:val="center"/>
          </w:tcPr>
          <w:p w14:paraId="004F16F0">
            <w:pPr>
              <w:pStyle w:val="12"/>
            </w:pPr>
            <w:r>
              <w:t>保障幼儿园正常运转，完成教育教学活动和其他日常工作任务等方面的费用支出。</w:t>
            </w:r>
          </w:p>
        </w:tc>
      </w:tr>
      <w:tr w14:paraId="33C1C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A5EAE">
            <w:pPr>
              <w:pStyle w:val="10"/>
            </w:pPr>
            <w:r>
              <w:t>资金支出计划（%）</w:t>
            </w:r>
          </w:p>
        </w:tc>
        <w:tc>
          <w:tcPr>
            <w:tcW w:w="5103" w:type="dxa"/>
            <w:gridSpan w:val="2"/>
            <w:vAlign w:val="center"/>
          </w:tcPr>
          <w:p w14:paraId="3F4ECD2A">
            <w:pPr>
              <w:pStyle w:val="10"/>
            </w:pPr>
            <w:r>
              <w:t>3月底</w:t>
            </w:r>
          </w:p>
        </w:tc>
        <w:tc>
          <w:tcPr>
            <w:tcW w:w="2835" w:type="dxa"/>
            <w:vAlign w:val="center"/>
          </w:tcPr>
          <w:p w14:paraId="052E4C72">
            <w:pPr>
              <w:pStyle w:val="10"/>
            </w:pPr>
            <w:r>
              <w:t>6月底</w:t>
            </w:r>
          </w:p>
        </w:tc>
        <w:tc>
          <w:tcPr>
            <w:tcW w:w="2551" w:type="dxa"/>
            <w:vAlign w:val="center"/>
          </w:tcPr>
          <w:p w14:paraId="0B2D5340">
            <w:pPr>
              <w:pStyle w:val="10"/>
            </w:pPr>
            <w:r>
              <w:t>10月底</w:t>
            </w:r>
          </w:p>
        </w:tc>
        <w:tc>
          <w:tcPr>
            <w:tcW w:w="3544" w:type="dxa"/>
            <w:gridSpan w:val="2"/>
            <w:vAlign w:val="center"/>
          </w:tcPr>
          <w:p w14:paraId="757D0921">
            <w:pPr>
              <w:pStyle w:val="10"/>
            </w:pPr>
            <w:r>
              <w:t>12月底</w:t>
            </w:r>
          </w:p>
        </w:tc>
      </w:tr>
      <w:tr w14:paraId="55D08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F22A8"/>
        </w:tc>
        <w:tc>
          <w:tcPr>
            <w:tcW w:w="5103" w:type="dxa"/>
            <w:gridSpan w:val="2"/>
            <w:vAlign w:val="center"/>
          </w:tcPr>
          <w:p w14:paraId="596E2CBE">
            <w:pPr>
              <w:pStyle w:val="13"/>
            </w:pPr>
            <w:r>
              <w:t>25%</w:t>
            </w:r>
          </w:p>
        </w:tc>
        <w:tc>
          <w:tcPr>
            <w:tcW w:w="2835" w:type="dxa"/>
            <w:vAlign w:val="center"/>
          </w:tcPr>
          <w:p w14:paraId="6F0884B7">
            <w:pPr>
              <w:pStyle w:val="13"/>
            </w:pPr>
            <w:r>
              <w:t>50%</w:t>
            </w:r>
          </w:p>
        </w:tc>
        <w:tc>
          <w:tcPr>
            <w:tcW w:w="2551" w:type="dxa"/>
            <w:vAlign w:val="center"/>
          </w:tcPr>
          <w:p w14:paraId="6EB2CD04">
            <w:pPr>
              <w:pStyle w:val="13"/>
            </w:pPr>
            <w:r>
              <w:t>75%</w:t>
            </w:r>
          </w:p>
        </w:tc>
        <w:tc>
          <w:tcPr>
            <w:tcW w:w="3544" w:type="dxa"/>
            <w:gridSpan w:val="2"/>
            <w:vAlign w:val="center"/>
          </w:tcPr>
          <w:p w14:paraId="04C53276">
            <w:pPr>
              <w:pStyle w:val="13"/>
            </w:pPr>
            <w:r>
              <w:t>100%</w:t>
            </w:r>
          </w:p>
        </w:tc>
      </w:tr>
      <w:tr w14:paraId="45194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88BB5">
            <w:pPr>
              <w:pStyle w:val="10"/>
            </w:pPr>
            <w:r>
              <w:t>绩效目标</w:t>
            </w:r>
          </w:p>
        </w:tc>
        <w:tc>
          <w:tcPr>
            <w:tcW w:w="14033" w:type="dxa"/>
            <w:gridSpan w:val="6"/>
            <w:vAlign w:val="center"/>
          </w:tcPr>
          <w:p w14:paraId="34119F6A">
            <w:pPr>
              <w:pStyle w:val="12"/>
            </w:pPr>
            <w:r>
              <w:t>1.保障幼儿园正常运转，完成教育教学活动和其他日常工作任务等方面的费用支出。</w:t>
            </w:r>
          </w:p>
        </w:tc>
      </w:tr>
    </w:tbl>
    <w:p w14:paraId="6A9978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A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65215">
            <w:pPr>
              <w:pStyle w:val="10"/>
            </w:pPr>
            <w:r>
              <w:t>一级指标</w:t>
            </w:r>
          </w:p>
        </w:tc>
        <w:tc>
          <w:tcPr>
            <w:tcW w:w="2268" w:type="dxa"/>
            <w:vAlign w:val="center"/>
          </w:tcPr>
          <w:p w14:paraId="032F733D">
            <w:pPr>
              <w:pStyle w:val="10"/>
            </w:pPr>
            <w:r>
              <w:t>二级指标</w:t>
            </w:r>
          </w:p>
        </w:tc>
        <w:tc>
          <w:tcPr>
            <w:tcW w:w="2835" w:type="dxa"/>
            <w:vAlign w:val="center"/>
          </w:tcPr>
          <w:p w14:paraId="33F850D1">
            <w:pPr>
              <w:pStyle w:val="10"/>
            </w:pPr>
            <w:r>
              <w:t>三级指标</w:t>
            </w:r>
          </w:p>
        </w:tc>
        <w:tc>
          <w:tcPr>
            <w:tcW w:w="5386" w:type="dxa"/>
            <w:vAlign w:val="center"/>
          </w:tcPr>
          <w:p w14:paraId="34EEA686">
            <w:pPr>
              <w:pStyle w:val="10"/>
            </w:pPr>
            <w:r>
              <w:t>绩效指标描述</w:t>
            </w:r>
          </w:p>
        </w:tc>
        <w:tc>
          <w:tcPr>
            <w:tcW w:w="2268" w:type="dxa"/>
            <w:vAlign w:val="center"/>
          </w:tcPr>
          <w:p w14:paraId="51170213">
            <w:pPr>
              <w:pStyle w:val="10"/>
            </w:pPr>
            <w:r>
              <w:t>指标值</w:t>
            </w:r>
          </w:p>
        </w:tc>
        <w:tc>
          <w:tcPr>
            <w:tcW w:w="1276" w:type="dxa"/>
            <w:vAlign w:val="center"/>
          </w:tcPr>
          <w:p w14:paraId="2E3803ED">
            <w:pPr>
              <w:pStyle w:val="10"/>
            </w:pPr>
            <w:r>
              <w:t>指标值确定依据</w:t>
            </w:r>
          </w:p>
        </w:tc>
      </w:tr>
      <w:tr w14:paraId="0EEB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DE2A5">
            <w:pPr>
              <w:pStyle w:val="13"/>
            </w:pPr>
            <w:r>
              <w:t>产出指标</w:t>
            </w:r>
          </w:p>
        </w:tc>
        <w:tc>
          <w:tcPr>
            <w:tcW w:w="2268" w:type="dxa"/>
            <w:vAlign w:val="center"/>
          </w:tcPr>
          <w:p w14:paraId="2E52E954">
            <w:pPr>
              <w:pStyle w:val="12"/>
            </w:pPr>
            <w:r>
              <w:t>数量指标</w:t>
            </w:r>
          </w:p>
        </w:tc>
        <w:tc>
          <w:tcPr>
            <w:tcW w:w="2835" w:type="dxa"/>
            <w:vAlign w:val="center"/>
          </w:tcPr>
          <w:p w14:paraId="5865E912">
            <w:pPr>
              <w:pStyle w:val="12"/>
            </w:pPr>
            <w:r>
              <w:t xml:space="preserve"> 适龄在园生</w:t>
            </w:r>
          </w:p>
        </w:tc>
        <w:tc>
          <w:tcPr>
            <w:tcW w:w="5386" w:type="dxa"/>
            <w:vAlign w:val="center"/>
          </w:tcPr>
          <w:p w14:paraId="37B5BC4F">
            <w:pPr>
              <w:pStyle w:val="12"/>
            </w:pPr>
            <w:r>
              <w:t>适龄在园学生数</w:t>
            </w:r>
          </w:p>
        </w:tc>
        <w:tc>
          <w:tcPr>
            <w:tcW w:w="2268" w:type="dxa"/>
            <w:vAlign w:val="center"/>
          </w:tcPr>
          <w:p w14:paraId="0943D1CF">
            <w:pPr>
              <w:pStyle w:val="12"/>
            </w:pPr>
            <w:r>
              <w:t>364人</w:t>
            </w:r>
          </w:p>
        </w:tc>
        <w:tc>
          <w:tcPr>
            <w:tcW w:w="1276" w:type="dxa"/>
            <w:vAlign w:val="center"/>
          </w:tcPr>
          <w:p w14:paraId="7A29094C">
            <w:pPr>
              <w:pStyle w:val="12"/>
            </w:pPr>
            <w:r>
              <w:t>支持学前教育发展县级资金管理方法</w:t>
            </w:r>
          </w:p>
        </w:tc>
      </w:tr>
      <w:tr w14:paraId="7EDB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1A4DA"/>
        </w:tc>
        <w:tc>
          <w:tcPr>
            <w:tcW w:w="2268" w:type="dxa"/>
            <w:vAlign w:val="center"/>
          </w:tcPr>
          <w:p w14:paraId="3F703E46">
            <w:pPr>
              <w:pStyle w:val="12"/>
            </w:pPr>
            <w:r>
              <w:t>质量指标</w:t>
            </w:r>
          </w:p>
        </w:tc>
        <w:tc>
          <w:tcPr>
            <w:tcW w:w="2835" w:type="dxa"/>
            <w:vAlign w:val="center"/>
          </w:tcPr>
          <w:p w14:paraId="6D8D071D">
            <w:pPr>
              <w:pStyle w:val="12"/>
            </w:pPr>
            <w:r>
              <w:t>预算控制率</w:t>
            </w:r>
          </w:p>
        </w:tc>
        <w:tc>
          <w:tcPr>
            <w:tcW w:w="5386" w:type="dxa"/>
            <w:vAlign w:val="center"/>
          </w:tcPr>
          <w:p w14:paraId="54A5A7F2">
            <w:pPr>
              <w:pStyle w:val="12"/>
            </w:pPr>
            <w:r>
              <w:t>预算执行</w:t>
            </w:r>
          </w:p>
        </w:tc>
        <w:tc>
          <w:tcPr>
            <w:tcW w:w="2268" w:type="dxa"/>
            <w:vAlign w:val="center"/>
          </w:tcPr>
          <w:p w14:paraId="0435D9C9">
            <w:pPr>
              <w:pStyle w:val="12"/>
            </w:pPr>
            <w:r>
              <w:t>100%</w:t>
            </w:r>
          </w:p>
        </w:tc>
        <w:tc>
          <w:tcPr>
            <w:tcW w:w="1276" w:type="dxa"/>
            <w:vAlign w:val="center"/>
          </w:tcPr>
          <w:p w14:paraId="522B03C5">
            <w:pPr>
              <w:pStyle w:val="12"/>
            </w:pPr>
            <w:r>
              <w:t>支持学前教育发展县级资金管理方法</w:t>
            </w:r>
          </w:p>
        </w:tc>
      </w:tr>
      <w:tr w14:paraId="0D34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0B465"/>
        </w:tc>
        <w:tc>
          <w:tcPr>
            <w:tcW w:w="2268" w:type="dxa"/>
            <w:vAlign w:val="center"/>
          </w:tcPr>
          <w:p w14:paraId="39F31B6B">
            <w:pPr>
              <w:pStyle w:val="12"/>
            </w:pPr>
            <w:r>
              <w:t>时效指标</w:t>
            </w:r>
          </w:p>
        </w:tc>
        <w:tc>
          <w:tcPr>
            <w:tcW w:w="2835" w:type="dxa"/>
            <w:vAlign w:val="center"/>
          </w:tcPr>
          <w:p w14:paraId="7C5538C6">
            <w:pPr>
              <w:pStyle w:val="12"/>
            </w:pPr>
            <w:r>
              <w:t>资金支付率</w:t>
            </w:r>
          </w:p>
        </w:tc>
        <w:tc>
          <w:tcPr>
            <w:tcW w:w="5386" w:type="dxa"/>
            <w:vAlign w:val="center"/>
          </w:tcPr>
          <w:p w14:paraId="0A5A02C7">
            <w:pPr>
              <w:pStyle w:val="12"/>
            </w:pPr>
            <w:r>
              <w:t>按照序时进度完成资金支付</w:t>
            </w:r>
          </w:p>
        </w:tc>
        <w:tc>
          <w:tcPr>
            <w:tcW w:w="2268" w:type="dxa"/>
            <w:vAlign w:val="center"/>
          </w:tcPr>
          <w:p w14:paraId="358E1646">
            <w:pPr>
              <w:pStyle w:val="12"/>
            </w:pPr>
            <w:r>
              <w:t>100%</w:t>
            </w:r>
          </w:p>
        </w:tc>
        <w:tc>
          <w:tcPr>
            <w:tcW w:w="1276" w:type="dxa"/>
            <w:vAlign w:val="center"/>
          </w:tcPr>
          <w:p w14:paraId="14E2DEB9">
            <w:pPr>
              <w:pStyle w:val="12"/>
            </w:pPr>
            <w:r>
              <w:t>支持学前教育发展县级资金管理方法</w:t>
            </w:r>
          </w:p>
        </w:tc>
      </w:tr>
      <w:tr w14:paraId="39CB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D5B24"/>
        </w:tc>
        <w:tc>
          <w:tcPr>
            <w:tcW w:w="2268" w:type="dxa"/>
            <w:vAlign w:val="center"/>
          </w:tcPr>
          <w:p w14:paraId="52A22E29">
            <w:pPr>
              <w:pStyle w:val="12"/>
            </w:pPr>
            <w:r>
              <w:t>成本指标</w:t>
            </w:r>
          </w:p>
        </w:tc>
        <w:tc>
          <w:tcPr>
            <w:tcW w:w="2835" w:type="dxa"/>
            <w:vAlign w:val="center"/>
          </w:tcPr>
          <w:p w14:paraId="43AC0EA2">
            <w:pPr>
              <w:pStyle w:val="12"/>
            </w:pPr>
            <w:r>
              <w:t>生均拨款标准</w:t>
            </w:r>
          </w:p>
        </w:tc>
        <w:tc>
          <w:tcPr>
            <w:tcW w:w="5386" w:type="dxa"/>
            <w:vAlign w:val="center"/>
          </w:tcPr>
          <w:p w14:paraId="7393F164">
            <w:pPr>
              <w:pStyle w:val="12"/>
            </w:pPr>
            <w:r>
              <w:t>学前：（基本标准600/生/学年）</w:t>
            </w:r>
          </w:p>
        </w:tc>
        <w:tc>
          <w:tcPr>
            <w:tcW w:w="2268" w:type="dxa"/>
            <w:vAlign w:val="center"/>
          </w:tcPr>
          <w:p w14:paraId="561529C0">
            <w:pPr>
              <w:pStyle w:val="12"/>
            </w:pPr>
            <w:r>
              <w:t>600元</w:t>
            </w:r>
          </w:p>
        </w:tc>
        <w:tc>
          <w:tcPr>
            <w:tcW w:w="1276" w:type="dxa"/>
            <w:vAlign w:val="center"/>
          </w:tcPr>
          <w:p w14:paraId="369C24DA">
            <w:pPr>
              <w:pStyle w:val="12"/>
            </w:pPr>
            <w:r>
              <w:t>支持学前教育发展县级资金管理方法</w:t>
            </w:r>
          </w:p>
        </w:tc>
      </w:tr>
      <w:tr w14:paraId="3724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0E2C3">
            <w:pPr>
              <w:pStyle w:val="13"/>
            </w:pPr>
            <w:r>
              <w:t>效益指标</w:t>
            </w:r>
          </w:p>
        </w:tc>
        <w:tc>
          <w:tcPr>
            <w:tcW w:w="2268" w:type="dxa"/>
            <w:vAlign w:val="center"/>
          </w:tcPr>
          <w:p w14:paraId="1CECDE95">
            <w:pPr>
              <w:pStyle w:val="12"/>
            </w:pPr>
            <w:r>
              <w:t>社会效益指标</w:t>
            </w:r>
          </w:p>
        </w:tc>
        <w:tc>
          <w:tcPr>
            <w:tcW w:w="2835" w:type="dxa"/>
            <w:vAlign w:val="center"/>
          </w:tcPr>
          <w:p w14:paraId="68B8A300">
            <w:pPr>
              <w:pStyle w:val="12"/>
            </w:pPr>
            <w:r>
              <w:t>学校运转得到提升</w:t>
            </w:r>
          </w:p>
        </w:tc>
        <w:tc>
          <w:tcPr>
            <w:tcW w:w="5386" w:type="dxa"/>
            <w:vAlign w:val="center"/>
          </w:tcPr>
          <w:p w14:paraId="40DABB6D">
            <w:pPr>
              <w:pStyle w:val="12"/>
            </w:pPr>
            <w:r>
              <w:t>幼儿受教育年限</w:t>
            </w:r>
          </w:p>
        </w:tc>
        <w:tc>
          <w:tcPr>
            <w:tcW w:w="2268" w:type="dxa"/>
            <w:vAlign w:val="center"/>
          </w:tcPr>
          <w:p w14:paraId="7FEAC9C2">
            <w:pPr>
              <w:pStyle w:val="12"/>
            </w:pPr>
            <w:r>
              <w:t>3年</w:t>
            </w:r>
          </w:p>
        </w:tc>
        <w:tc>
          <w:tcPr>
            <w:tcW w:w="1276" w:type="dxa"/>
            <w:vAlign w:val="center"/>
          </w:tcPr>
          <w:p w14:paraId="36EE2FD3">
            <w:pPr>
              <w:pStyle w:val="12"/>
            </w:pPr>
            <w:r>
              <w:t>支持学前教育发展县级资金管理方法</w:t>
            </w:r>
          </w:p>
        </w:tc>
      </w:tr>
      <w:tr w14:paraId="052E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30805">
            <w:pPr>
              <w:pStyle w:val="13"/>
            </w:pPr>
            <w:r>
              <w:t>满意度指标</w:t>
            </w:r>
          </w:p>
        </w:tc>
        <w:tc>
          <w:tcPr>
            <w:tcW w:w="2268" w:type="dxa"/>
            <w:vAlign w:val="center"/>
          </w:tcPr>
          <w:p w14:paraId="2543FF28">
            <w:pPr>
              <w:pStyle w:val="12"/>
            </w:pPr>
            <w:r>
              <w:t>服务对象满意度指标</w:t>
            </w:r>
          </w:p>
        </w:tc>
        <w:tc>
          <w:tcPr>
            <w:tcW w:w="2835" w:type="dxa"/>
            <w:vAlign w:val="center"/>
          </w:tcPr>
          <w:p w14:paraId="27A7A9C7">
            <w:pPr>
              <w:pStyle w:val="12"/>
            </w:pPr>
            <w:r>
              <w:t>受益学生家长及调查满意度</w:t>
            </w:r>
          </w:p>
        </w:tc>
        <w:tc>
          <w:tcPr>
            <w:tcW w:w="5386" w:type="dxa"/>
            <w:vAlign w:val="center"/>
          </w:tcPr>
          <w:p w14:paraId="3A9408A4">
            <w:pPr>
              <w:pStyle w:val="12"/>
            </w:pPr>
            <w:r>
              <w:t>学生、教师及家长对学校保教保育工作满意度情况</w:t>
            </w:r>
          </w:p>
        </w:tc>
        <w:tc>
          <w:tcPr>
            <w:tcW w:w="2268" w:type="dxa"/>
            <w:vAlign w:val="center"/>
          </w:tcPr>
          <w:p w14:paraId="1455C1A8">
            <w:pPr>
              <w:pStyle w:val="12"/>
            </w:pPr>
            <w:r>
              <w:t>≥95%</w:t>
            </w:r>
          </w:p>
        </w:tc>
        <w:tc>
          <w:tcPr>
            <w:tcW w:w="1276" w:type="dxa"/>
            <w:vAlign w:val="center"/>
          </w:tcPr>
          <w:p w14:paraId="27E5C34D">
            <w:pPr>
              <w:pStyle w:val="12"/>
            </w:pPr>
            <w:r>
              <w:t>问卷调查</w:t>
            </w:r>
          </w:p>
        </w:tc>
      </w:tr>
    </w:tbl>
    <w:p w14:paraId="386CCE88">
      <w:pPr>
        <w:sectPr>
          <w:pgSz w:w="16840" w:h="11900" w:orient="landscape"/>
          <w:pgMar w:top="1361" w:right="1020" w:bottom="1134" w:left="1020" w:header="720" w:footer="720" w:gutter="0"/>
          <w:cols w:space="720" w:num="1"/>
        </w:sectPr>
      </w:pPr>
    </w:p>
    <w:p w14:paraId="53F028A4">
      <w:pPr>
        <w:spacing w:before="0" w:after="0"/>
        <w:ind w:firstLine="560"/>
        <w:jc w:val="left"/>
        <w:outlineLvl w:val="9"/>
      </w:pPr>
      <w:r>
        <w:rPr>
          <w:rFonts w:ascii="方正仿宋_GBK" w:hAnsi="方正仿宋_GBK" w:eastAsia="方正仿宋_GBK" w:cs="方正仿宋_GBK"/>
          <w:b/>
          <w:color w:val="000000"/>
          <w:sz w:val="28"/>
        </w:rPr>
        <w:t>35、县级资金/2026年牛家桥校区学前教育公用经费绩效目标表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33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2965A">
            <w:pPr>
              <w:pStyle w:val="11"/>
            </w:pPr>
            <w:r>
              <w:t>单位：万元</w:t>
            </w:r>
          </w:p>
        </w:tc>
      </w:tr>
      <w:tr w14:paraId="390CF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CF3BE">
            <w:pPr>
              <w:pStyle w:val="10"/>
            </w:pPr>
            <w:r>
              <w:t>项目编码</w:t>
            </w:r>
          </w:p>
        </w:tc>
        <w:tc>
          <w:tcPr>
            <w:tcW w:w="5103" w:type="dxa"/>
            <w:gridSpan w:val="2"/>
            <w:vAlign w:val="center"/>
          </w:tcPr>
          <w:p w14:paraId="311A8664">
            <w:pPr>
              <w:pStyle w:val="12"/>
            </w:pPr>
            <w:r>
              <w:t>13052526P00875710127Q</w:t>
            </w:r>
          </w:p>
        </w:tc>
        <w:tc>
          <w:tcPr>
            <w:tcW w:w="2835" w:type="dxa"/>
            <w:vAlign w:val="center"/>
          </w:tcPr>
          <w:p w14:paraId="46BFDC84">
            <w:pPr>
              <w:pStyle w:val="10"/>
            </w:pPr>
            <w:r>
              <w:t>项目名称</w:t>
            </w:r>
          </w:p>
        </w:tc>
        <w:tc>
          <w:tcPr>
            <w:tcW w:w="6095" w:type="dxa"/>
            <w:gridSpan w:val="3"/>
            <w:vAlign w:val="center"/>
          </w:tcPr>
          <w:p w14:paraId="7EE9CEA1">
            <w:pPr>
              <w:pStyle w:val="12"/>
            </w:pPr>
            <w:r>
              <w:t>县级资金/2026年牛家桥校区学前教育公用经费</w:t>
            </w:r>
          </w:p>
        </w:tc>
      </w:tr>
      <w:tr w14:paraId="74926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94543">
            <w:pPr>
              <w:pStyle w:val="10"/>
            </w:pPr>
            <w:r>
              <w:t>预算规模及资金用途</w:t>
            </w:r>
          </w:p>
        </w:tc>
        <w:tc>
          <w:tcPr>
            <w:tcW w:w="2268" w:type="dxa"/>
            <w:vAlign w:val="center"/>
          </w:tcPr>
          <w:p w14:paraId="25A090CD">
            <w:pPr>
              <w:pStyle w:val="10"/>
            </w:pPr>
            <w:r>
              <w:t>预算数</w:t>
            </w:r>
          </w:p>
        </w:tc>
        <w:tc>
          <w:tcPr>
            <w:tcW w:w="2835" w:type="dxa"/>
            <w:vAlign w:val="center"/>
          </w:tcPr>
          <w:p w14:paraId="633BCE94">
            <w:pPr>
              <w:pStyle w:val="12"/>
            </w:pPr>
            <w:r>
              <w:t>9.85</w:t>
            </w:r>
          </w:p>
        </w:tc>
        <w:tc>
          <w:tcPr>
            <w:tcW w:w="2835" w:type="dxa"/>
            <w:vAlign w:val="center"/>
          </w:tcPr>
          <w:p w14:paraId="085A8A24">
            <w:pPr>
              <w:pStyle w:val="10"/>
            </w:pPr>
            <w:r>
              <w:t>其中：财政    资金</w:t>
            </w:r>
          </w:p>
        </w:tc>
        <w:tc>
          <w:tcPr>
            <w:tcW w:w="2551" w:type="dxa"/>
            <w:vAlign w:val="center"/>
          </w:tcPr>
          <w:p w14:paraId="5817AFA7">
            <w:pPr>
              <w:pStyle w:val="12"/>
            </w:pPr>
            <w:r>
              <w:t>9.85</w:t>
            </w:r>
          </w:p>
        </w:tc>
        <w:tc>
          <w:tcPr>
            <w:tcW w:w="2268" w:type="dxa"/>
            <w:vAlign w:val="center"/>
          </w:tcPr>
          <w:p w14:paraId="15416518">
            <w:pPr>
              <w:pStyle w:val="10"/>
            </w:pPr>
            <w:r>
              <w:t>其他资金</w:t>
            </w:r>
          </w:p>
        </w:tc>
        <w:tc>
          <w:tcPr>
            <w:tcW w:w="1276" w:type="dxa"/>
            <w:vAlign w:val="center"/>
          </w:tcPr>
          <w:p w14:paraId="72F76B17">
            <w:pPr>
              <w:pStyle w:val="12"/>
            </w:pPr>
            <w:r>
              <w:t xml:space="preserve"> </w:t>
            </w:r>
          </w:p>
        </w:tc>
      </w:tr>
      <w:tr w14:paraId="31738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9C047"/>
        </w:tc>
        <w:tc>
          <w:tcPr>
            <w:tcW w:w="14033" w:type="dxa"/>
            <w:gridSpan w:val="6"/>
            <w:vAlign w:val="center"/>
          </w:tcPr>
          <w:p w14:paraId="601A990C">
            <w:pPr>
              <w:pStyle w:val="12"/>
            </w:pPr>
            <w:r>
              <w:t xml:space="preserve"> 保障幼儿园正常运转，完成教育教学活动和其他日常工作任务等方面的费用支出。</w:t>
            </w:r>
          </w:p>
        </w:tc>
      </w:tr>
      <w:tr w14:paraId="43C50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AFAE7">
            <w:pPr>
              <w:pStyle w:val="10"/>
            </w:pPr>
            <w:r>
              <w:t>资金支出计划（%）</w:t>
            </w:r>
          </w:p>
        </w:tc>
        <w:tc>
          <w:tcPr>
            <w:tcW w:w="5103" w:type="dxa"/>
            <w:gridSpan w:val="2"/>
            <w:vAlign w:val="center"/>
          </w:tcPr>
          <w:p w14:paraId="683C9EB1">
            <w:pPr>
              <w:pStyle w:val="10"/>
            </w:pPr>
            <w:r>
              <w:t>3月底</w:t>
            </w:r>
          </w:p>
        </w:tc>
        <w:tc>
          <w:tcPr>
            <w:tcW w:w="2835" w:type="dxa"/>
            <w:vAlign w:val="center"/>
          </w:tcPr>
          <w:p w14:paraId="403554F8">
            <w:pPr>
              <w:pStyle w:val="10"/>
            </w:pPr>
            <w:r>
              <w:t>6月底</w:t>
            </w:r>
          </w:p>
        </w:tc>
        <w:tc>
          <w:tcPr>
            <w:tcW w:w="2551" w:type="dxa"/>
            <w:vAlign w:val="center"/>
          </w:tcPr>
          <w:p w14:paraId="4D2BB3BD">
            <w:pPr>
              <w:pStyle w:val="10"/>
            </w:pPr>
            <w:r>
              <w:t>10月底</w:t>
            </w:r>
          </w:p>
        </w:tc>
        <w:tc>
          <w:tcPr>
            <w:tcW w:w="3544" w:type="dxa"/>
            <w:gridSpan w:val="2"/>
            <w:vAlign w:val="center"/>
          </w:tcPr>
          <w:p w14:paraId="1A22297A">
            <w:pPr>
              <w:pStyle w:val="10"/>
            </w:pPr>
            <w:r>
              <w:t>12月底</w:t>
            </w:r>
          </w:p>
        </w:tc>
      </w:tr>
      <w:tr w14:paraId="3A335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8747D"/>
        </w:tc>
        <w:tc>
          <w:tcPr>
            <w:tcW w:w="5103" w:type="dxa"/>
            <w:gridSpan w:val="2"/>
            <w:vAlign w:val="center"/>
          </w:tcPr>
          <w:p w14:paraId="2259250A">
            <w:pPr>
              <w:pStyle w:val="13"/>
            </w:pPr>
            <w:r>
              <w:t>25%</w:t>
            </w:r>
          </w:p>
        </w:tc>
        <w:tc>
          <w:tcPr>
            <w:tcW w:w="2835" w:type="dxa"/>
            <w:vAlign w:val="center"/>
          </w:tcPr>
          <w:p w14:paraId="63669296">
            <w:pPr>
              <w:pStyle w:val="13"/>
            </w:pPr>
            <w:r>
              <w:t>50%</w:t>
            </w:r>
          </w:p>
        </w:tc>
        <w:tc>
          <w:tcPr>
            <w:tcW w:w="2551" w:type="dxa"/>
            <w:vAlign w:val="center"/>
          </w:tcPr>
          <w:p w14:paraId="19EF69E9">
            <w:pPr>
              <w:pStyle w:val="13"/>
            </w:pPr>
            <w:r>
              <w:t>75%</w:t>
            </w:r>
          </w:p>
        </w:tc>
        <w:tc>
          <w:tcPr>
            <w:tcW w:w="3544" w:type="dxa"/>
            <w:gridSpan w:val="2"/>
            <w:vAlign w:val="center"/>
          </w:tcPr>
          <w:p w14:paraId="2ED6D082">
            <w:pPr>
              <w:pStyle w:val="13"/>
            </w:pPr>
            <w:r>
              <w:t>100%</w:t>
            </w:r>
          </w:p>
        </w:tc>
      </w:tr>
      <w:tr w14:paraId="40FDC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706C6">
            <w:pPr>
              <w:pStyle w:val="10"/>
            </w:pPr>
            <w:r>
              <w:t>绩效目标</w:t>
            </w:r>
          </w:p>
        </w:tc>
        <w:tc>
          <w:tcPr>
            <w:tcW w:w="14033" w:type="dxa"/>
            <w:gridSpan w:val="6"/>
            <w:vAlign w:val="center"/>
          </w:tcPr>
          <w:p w14:paraId="4F5CC4BF">
            <w:pPr>
              <w:pStyle w:val="12"/>
            </w:pPr>
            <w:r>
              <w:t>1.按季度分批次拨付公用经费资金，资金拨付率达到100%。</w:t>
            </w:r>
          </w:p>
          <w:p w14:paraId="0E1F0077">
            <w:pPr>
              <w:pStyle w:val="12"/>
            </w:pPr>
            <w:r>
              <w:t>2. 保障幼儿园正常运转，完成教育教学活动和其他日常工作任务等方面的费用支出。</w:t>
            </w:r>
          </w:p>
        </w:tc>
      </w:tr>
    </w:tbl>
    <w:p w14:paraId="092A2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9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82795">
            <w:pPr>
              <w:pStyle w:val="10"/>
            </w:pPr>
            <w:r>
              <w:t>一级指标</w:t>
            </w:r>
          </w:p>
        </w:tc>
        <w:tc>
          <w:tcPr>
            <w:tcW w:w="2268" w:type="dxa"/>
            <w:vAlign w:val="center"/>
          </w:tcPr>
          <w:p w14:paraId="21389A4E">
            <w:pPr>
              <w:pStyle w:val="10"/>
            </w:pPr>
            <w:r>
              <w:t>二级指标</w:t>
            </w:r>
          </w:p>
        </w:tc>
        <w:tc>
          <w:tcPr>
            <w:tcW w:w="2835" w:type="dxa"/>
            <w:vAlign w:val="center"/>
          </w:tcPr>
          <w:p w14:paraId="29FDAC59">
            <w:pPr>
              <w:pStyle w:val="10"/>
            </w:pPr>
            <w:r>
              <w:t>三级指标</w:t>
            </w:r>
          </w:p>
        </w:tc>
        <w:tc>
          <w:tcPr>
            <w:tcW w:w="5386" w:type="dxa"/>
            <w:vAlign w:val="center"/>
          </w:tcPr>
          <w:p w14:paraId="10FC026A">
            <w:pPr>
              <w:pStyle w:val="10"/>
            </w:pPr>
            <w:r>
              <w:t>绩效指标描述</w:t>
            </w:r>
          </w:p>
        </w:tc>
        <w:tc>
          <w:tcPr>
            <w:tcW w:w="2268" w:type="dxa"/>
            <w:vAlign w:val="center"/>
          </w:tcPr>
          <w:p w14:paraId="2120E631">
            <w:pPr>
              <w:pStyle w:val="10"/>
            </w:pPr>
            <w:r>
              <w:t>指标值</w:t>
            </w:r>
          </w:p>
        </w:tc>
        <w:tc>
          <w:tcPr>
            <w:tcW w:w="1276" w:type="dxa"/>
            <w:vAlign w:val="center"/>
          </w:tcPr>
          <w:p w14:paraId="23DE4E9F">
            <w:pPr>
              <w:pStyle w:val="10"/>
            </w:pPr>
            <w:r>
              <w:t>指标值确定依据</w:t>
            </w:r>
          </w:p>
        </w:tc>
      </w:tr>
      <w:tr w14:paraId="4E55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23411">
            <w:pPr>
              <w:pStyle w:val="13"/>
            </w:pPr>
            <w:r>
              <w:t>产出指标</w:t>
            </w:r>
          </w:p>
        </w:tc>
        <w:tc>
          <w:tcPr>
            <w:tcW w:w="2268" w:type="dxa"/>
            <w:vAlign w:val="center"/>
          </w:tcPr>
          <w:p w14:paraId="55FA7669">
            <w:pPr>
              <w:pStyle w:val="12"/>
            </w:pPr>
            <w:r>
              <w:t>数量指标</w:t>
            </w:r>
          </w:p>
        </w:tc>
        <w:tc>
          <w:tcPr>
            <w:tcW w:w="2835" w:type="dxa"/>
            <w:vAlign w:val="center"/>
          </w:tcPr>
          <w:p w14:paraId="1D7BA856">
            <w:pPr>
              <w:pStyle w:val="12"/>
            </w:pPr>
            <w:r>
              <w:t>适龄在园生</w:t>
            </w:r>
          </w:p>
        </w:tc>
        <w:tc>
          <w:tcPr>
            <w:tcW w:w="5386" w:type="dxa"/>
            <w:vAlign w:val="center"/>
          </w:tcPr>
          <w:p w14:paraId="5A69E5AC">
            <w:pPr>
              <w:pStyle w:val="12"/>
            </w:pPr>
            <w:r>
              <w:t>适龄在园学生人数</w:t>
            </w:r>
          </w:p>
        </w:tc>
        <w:tc>
          <w:tcPr>
            <w:tcW w:w="2268" w:type="dxa"/>
            <w:vAlign w:val="center"/>
          </w:tcPr>
          <w:p w14:paraId="37479099">
            <w:pPr>
              <w:pStyle w:val="12"/>
            </w:pPr>
            <w:r>
              <w:t>346人</w:t>
            </w:r>
          </w:p>
        </w:tc>
        <w:tc>
          <w:tcPr>
            <w:tcW w:w="1276" w:type="dxa"/>
            <w:vAlign w:val="center"/>
          </w:tcPr>
          <w:p w14:paraId="348835DE">
            <w:pPr>
              <w:pStyle w:val="12"/>
            </w:pPr>
            <w:r>
              <w:t>学前公用经费管理办法</w:t>
            </w:r>
          </w:p>
        </w:tc>
      </w:tr>
      <w:tr w14:paraId="6C40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4EDD6"/>
        </w:tc>
        <w:tc>
          <w:tcPr>
            <w:tcW w:w="2268" w:type="dxa"/>
            <w:vAlign w:val="center"/>
          </w:tcPr>
          <w:p w14:paraId="19A24C81">
            <w:pPr>
              <w:pStyle w:val="12"/>
            </w:pPr>
            <w:r>
              <w:t>质量指标</w:t>
            </w:r>
          </w:p>
        </w:tc>
        <w:tc>
          <w:tcPr>
            <w:tcW w:w="2835" w:type="dxa"/>
            <w:vAlign w:val="center"/>
          </w:tcPr>
          <w:p w14:paraId="1939C28D">
            <w:pPr>
              <w:pStyle w:val="12"/>
            </w:pPr>
            <w:r>
              <w:t>预算控制率</w:t>
            </w:r>
          </w:p>
        </w:tc>
        <w:tc>
          <w:tcPr>
            <w:tcW w:w="5386" w:type="dxa"/>
            <w:vAlign w:val="center"/>
          </w:tcPr>
          <w:p w14:paraId="177E9924">
            <w:pPr>
              <w:pStyle w:val="12"/>
            </w:pPr>
            <w:r>
              <w:t>预算执行</w:t>
            </w:r>
          </w:p>
        </w:tc>
        <w:tc>
          <w:tcPr>
            <w:tcW w:w="2268" w:type="dxa"/>
            <w:vAlign w:val="center"/>
          </w:tcPr>
          <w:p w14:paraId="1553FBCC">
            <w:pPr>
              <w:pStyle w:val="12"/>
            </w:pPr>
            <w:r>
              <w:t>≥95%</w:t>
            </w:r>
          </w:p>
        </w:tc>
        <w:tc>
          <w:tcPr>
            <w:tcW w:w="1276" w:type="dxa"/>
            <w:vAlign w:val="center"/>
          </w:tcPr>
          <w:p w14:paraId="5CA82BBC">
            <w:pPr>
              <w:pStyle w:val="12"/>
            </w:pPr>
            <w:r>
              <w:t>学前公用经费管理办法</w:t>
            </w:r>
          </w:p>
        </w:tc>
      </w:tr>
      <w:tr w14:paraId="132FF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7F1C7"/>
        </w:tc>
        <w:tc>
          <w:tcPr>
            <w:tcW w:w="2268" w:type="dxa"/>
            <w:vAlign w:val="center"/>
          </w:tcPr>
          <w:p w14:paraId="4DCFCC60">
            <w:pPr>
              <w:pStyle w:val="12"/>
            </w:pPr>
            <w:r>
              <w:t>时效指标</w:t>
            </w:r>
          </w:p>
        </w:tc>
        <w:tc>
          <w:tcPr>
            <w:tcW w:w="2835" w:type="dxa"/>
            <w:vAlign w:val="center"/>
          </w:tcPr>
          <w:p w14:paraId="2042132D">
            <w:pPr>
              <w:pStyle w:val="12"/>
            </w:pPr>
            <w:r>
              <w:t>资金支付率</w:t>
            </w:r>
          </w:p>
        </w:tc>
        <w:tc>
          <w:tcPr>
            <w:tcW w:w="5386" w:type="dxa"/>
            <w:vAlign w:val="center"/>
          </w:tcPr>
          <w:p w14:paraId="30CF43EF">
            <w:pPr>
              <w:pStyle w:val="12"/>
            </w:pPr>
            <w:r>
              <w:t>按照序时进度完成资金支付</w:t>
            </w:r>
          </w:p>
        </w:tc>
        <w:tc>
          <w:tcPr>
            <w:tcW w:w="2268" w:type="dxa"/>
            <w:vAlign w:val="center"/>
          </w:tcPr>
          <w:p w14:paraId="7718B208">
            <w:pPr>
              <w:pStyle w:val="12"/>
            </w:pPr>
            <w:r>
              <w:t>100%</w:t>
            </w:r>
          </w:p>
        </w:tc>
        <w:tc>
          <w:tcPr>
            <w:tcW w:w="1276" w:type="dxa"/>
            <w:vAlign w:val="center"/>
          </w:tcPr>
          <w:p w14:paraId="781B3BBD">
            <w:pPr>
              <w:pStyle w:val="12"/>
            </w:pPr>
            <w:r>
              <w:t>学前公用经费管理办法</w:t>
            </w:r>
          </w:p>
        </w:tc>
      </w:tr>
      <w:tr w14:paraId="406A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11381"/>
        </w:tc>
        <w:tc>
          <w:tcPr>
            <w:tcW w:w="2268" w:type="dxa"/>
            <w:vAlign w:val="center"/>
          </w:tcPr>
          <w:p w14:paraId="55335B38">
            <w:pPr>
              <w:pStyle w:val="12"/>
            </w:pPr>
            <w:r>
              <w:t>成本指标</w:t>
            </w:r>
          </w:p>
        </w:tc>
        <w:tc>
          <w:tcPr>
            <w:tcW w:w="2835" w:type="dxa"/>
            <w:vAlign w:val="center"/>
          </w:tcPr>
          <w:p w14:paraId="56107319">
            <w:pPr>
              <w:pStyle w:val="12"/>
            </w:pPr>
            <w:r>
              <w:t>生均拨款标准</w:t>
            </w:r>
          </w:p>
        </w:tc>
        <w:tc>
          <w:tcPr>
            <w:tcW w:w="5386" w:type="dxa"/>
            <w:vAlign w:val="center"/>
          </w:tcPr>
          <w:p w14:paraId="480B658C">
            <w:pPr>
              <w:pStyle w:val="12"/>
            </w:pPr>
            <w:r>
              <w:t>学前：（基本标准600元/生/学年）</w:t>
            </w:r>
          </w:p>
        </w:tc>
        <w:tc>
          <w:tcPr>
            <w:tcW w:w="2268" w:type="dxa"/>
            <w:vAlign w:val="center"/>
          </w:tcPr>
          <w:p w14:paraId="357F6368">
            <w:pPr>
              <w:pStyle w:val="12"/>
            </w:pPr>
            <w:r>
              <w:t>600元</w:t>
            </w:r>
          </w:p>
        </w:tc>
        <w:tc>
          <w:tcPr>
            <w:tcW w:w="1276" w:type="dxa"/>
            <w:vAlign w:val="center"/>
          </w:tcPr>
          <w:p w14:paraId="5D9F9256">
            <w:pPr>
              <w:pStyle w:val="12"/>
            </w:pPr>
            <w:r>
              <w:t>学前公用经费管理办法</w:t>
            </w:r>
          </w:p>
        </w:tc>
      </w:tr>
      <w:tr w14:paraId="39E6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520E1">
            <w:pPr>
              <w:pStyle w:val="13"/>
            </w:pPr>
            <w:r>
              <w:t>效益指标</w:t>
            </w:r>
          </w:p>
        </w:tc>
        <w:tc>
          <w:tcPr>
            <w:tcW w:w="2268" w:type="dxa"/>
            <w:vAlign w:val="center"/>
          </w:tcPr>
          <w:p w14:paraId="1E24A35D">
            <w:pPr>
              <w:pStyle w:val="12"/>
            </w:pPr>
            <w:r>
              <w:t>可持续影响指标</w:t>
            </w:r>
          </w:p>
        </w:tc>
        <w:tc>
          <w:tcPr>
            <w:tcW w:w="2835" w:type="dxa"/>
            <w:vAlign w:val="center"/>
          </w:tcPr>
          <w:p w14:paraId="29D9F7C5">
            <w:pPr>
              <w:pStyle w:val="12"/>
            </w:pPr>
            <w:r>
              <w:t>学校运转得到提升</w:t>
            </w:r>
          </w:p>
        </w:tc>
        <w:tc>
          <w:tcPr>
            <w:tcW w:w="5386" w:type="dxa"/>
            <w:vAlign w:val="center"/>
          </w:tcPr>
          <w:p w14:paraId="302D1341">
            <w:pPr>
              <w:pStyle w:val="12"/>
            </w:pPr>
            <w:r>
              <w:t>幼儿受教育年限</w:t>
            </w:r>
          </w:p>
        </w:tc>
        <w:tc>
          <w:tcPr>
            <w:tcW w:w="2268" w:type="dxa"/>
            <w:vAlign w:val="center"/>
          </w:tcPr>
          <w:p w14:paraId="2FE6D843">
            <w:pPr>
              <w:pStyle w:val="12"/>
            </w:pPr>
            <w:r>
              <w:t>3年</w:t>
            </w:r>
          </w:p>
        </w:tc>
        <w:tc>
          <w:tcPr>
            <w:tcW w:w="1276" w:type="dxa"/>
            <w:vAlign w:val="center"/>
          </w:tcPr>
          <w:p w14:paraId="6CEF9B26">
            <w:pPr>
              <w:pStyle w:val="12"/>
            </w:pPr>
            <w:r>
              <w:t>学前公用经费管理办法</w:t>
            </w:r>
          </w:p>
        </w:tc>
      </w:tr>
      <w:tr w14:paraId="2CA7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4B0F1">
            <w:pPr>
              <w:pStyle w:val="13"/>
            </w:pPr>
            <w:r>
              <w:t>满意度指标</w:t>
            </w:r>
          </w:p>
        </w:tc>
        <w:tc>
          <w:tcPr>
            <w:tcW w:w="2268" w:type="dxa"/>
            <w:vAlign w:val="center"/>
          </w:tcPr>
          <w:p w14:paraId="43C90FE4">
            <w:pPr>
              <w:pStyle w:val="12"/>
            </w:pPr>
            <w:r>
              <w:t>服务对象满意度指标</w:t>
            </w:r>
          </w:p>
        </w:tc>
        <w:tc>
          <w:tcPr>
            <w:tcW w:w="2835" w:type="dxa"/>
            <w:vAlign w:val="center"/>
          </w:tcPr>
          <w:p w14:paraId="6264DF0A">
            <w:pPr>
              <w:pStyle w:val="12"/>
            </w:pPr>
            <w:r>
              <w:t>受益学生家长及调查满意度</w:t>
            </w:r>
          </w:p>
        </w:tc>
        <w:tc>
          <w:tcPr>
            <w:tcW w:w="5386" w:type="dxa"/>
            <w:vAlign w:val="center"/>
          </w:tcPr>
          <w:p w14:paraId="123D3A09">
            <w:pPr>
              <w:pStyle w:val="12"/>
            </w:pPr>
            <w:r>
              <w:t>学生、教师及家长对学校保教保育工作满意度情况</w:t>
            </w:r>
          </w:p>
        </w:tc>
        <w:tc>
          <w:tcPr>
            <w:tcW w:w="2268" w:type="dxa"/>
            <w:vAlign w:val="center"/>
          </w:tcPr>
          <w:p w14:paraId="1AA55201">
            <w:pPr>
              <w:pStyle w:val="12"/>
            </w:pPr>
            <w:r>
              <w:t>≥95%</w:t>
            </w:r>
          </w:p>
        </w:tc>
        <w:tc>
          <w:tcPr>
            <w:tcW w:w="1276" w:type="dxa"/>
            <w:vAlign w:val="center"/>
          </w:tcPr>
          <w:p w14:paraId="30DCEE64">
            <w:pPr>
              <w:pStyle w:val="12"/>
            </w:pPr>
            <w:r>
              <w:t>群众测评</w:t>
            </w:r>
          </w:p>
        </w:tc>
      </w:tr>
    </w:tbl>
    <w:p w14:paraId="69B4DED3">
      <w:pPr>
        <w:sectPr>
          <w:pgSz w:w="16840" w:h="11900" w:orient="landscape"/>
          <w:pgMar w:top="1361" w:right="1020" w:bottom="1134" w:left="1020" w:header="720" w:footer="720" w:gutter="0"/>
          <w:cols w:space="720" w:num="1"/>
        </w:sectPr>
      </w:pPr>
    </w:p>
    <w:p w14:paraId="5C03C341">
      <w:pPr>
        <w:spacing w:before="0" w:after="0"/>
        <w:ind w:firstLine="560"/>
        <w:jc w:val="left"/>
        <w:outlineLvl w:val="9"/>
      </w:pPr>
      <w:r>
        <w:rPr>
          <w:rFonts w:ascii="方正仿宋_GBK" w:hAnsi="方正仿宋_GBK" w:eastAsia="方正仿宋_GBK" w:cs="方正仿宋_GBK"/>
          <w:b/>
          <w:color w:val="000000"/>
          <w:sz w:val="28"/>
        </w:rPr>
        <w:t>36、学前专项经费/牛家桥校区绩效目标表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4D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AE0A7">
            <w:pPr>
              <w:pStyle w:val="11"/>
            </w:pPr>
            <w:r>
              <w:t>单位：万元</w:t>
            </w:r>
          </w:p>
        </w:tc>
      </w:tr>
      <w:tr w14:paraId="48B77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7088C">
            <w:pPr>
              <w:pStyle w:val="10"/>
            </w:pPr>
            <w:r>
              <w:t>项目编码</w:t>
            </w:r>
          </w:p>
        </w:tc>
        <w:tc>
          <w:tcPr>
            <w:tcW w:w="5103" w:type="dxa"/>
            <w:gridSpan w:val="2"/>
            <w:vAlign w:val="center"/>
          </w:tcPr>
          <w:p w14:paraId="644A5551">
            <w:pPr>
              <w:pStyle w:val="12"/>
            </w:pPr>
            <w:r>
              <w:t>13052526P00000210102K</w:t>
            </w:r>
          </w:p>
        </w:tc>
        <w:tc>
          <w:tcPr>
            <w:tcW w:w="2835" w:type="dxa"/>
            <w:vAlign w:val="center"/>
          </w:tcPr>
          <w:p w14:paraId="5D3C24AB">
            <w:pPr>
              <w:pStyle w:val="10"/>
            </w:pPr>
            <w:r>
              <w:t>项目名称</w:t>
            </w:r>
          </w:p>
        </w:tc>
        <w:tc>
          <w:tcPr>
            <w:tcW w:w="6095" w:type="dxa"/>
            <w:gridSpan w:val="3"/>
            <w:vAlign w:val="center"/>
          </w:tcPr>
          <w:p w14:paraId="5F9C86DF">
            <w:pPr>
              <w:pStyle w:val="12"/>
            </w:pPr>
            <w:r>
              <w:t>学前专项经费/牛家桥校区</w:t>
            </w:r>
          </w:p>
        </w:tc>
      </w:tr>
      <w:tr w14:paraId="78832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8CBE6">
            <w:pPr>
              <w:pStyle w:val="10"/>
            </w:pPr>
            <w:r>
              <w:t>预算规模及资金用途</w:t>
            </w:r>
          </w:p>
        </w:tc>
        <w:tc>
          <w:tcPr>
            <w:tcW w:w="2268" w:type="dxa"/>
            <w:vAlign w:val="center"/>
          </w:tcPr>
          <w:p w14:paraId="3DEDA405">
            <w:pPr>
              <w:pStyle w:val="10"/>
            </w:pPr>
            <w:r>
              <w:t>预算数</w:t>
            </w:r>
          </w:p>
        </w:tc>
        <w:tc>
          <w:tcPr>
            <w:tcW w:w="2835" w:type="dxa"/>
            <w:vAlign w:val="center"/>
          </w:tcPr>
          <w:p w14:paraId="592E7CE7">
            <w:pPr>
              <w:pStyle w:val="12"/>
            </w:pPr>
            <w:r>
              <w:t>14.32</w:t>
            </w:r>
          </w:p>
        </w:tc>
        <w:tc>
          <w:tcPr>
            <w:tcW w:w="2835" w:type="dxa"/>
            <w:vAlign w:val="center"/>
          </w:tcPr>
          <w:p w14:paraId="76154EA6">
            <w:pPr>
              <w:pStyle w:val="10"/>
            </w:pPr>
            <w:r>
              <w:t>其中：财政    资金</w:t>
            </w:r>
          </w:p>
        </w:tc>
        <w:tc>
          <w:tcPr>
            <w:tcW w:w="2551" w:type="dxa"/>
            <w:vAlign w:val="center"/>
          </w:tcPr>
          <w:p w14:paraId="32B505D8">
            <w:pPr>
              <w:pStyle w:val="12"/>
            </w:pPr>
            <w:r>
              <w:t>14.32</w:t>
            </w:r>
          </w:p>
        </w:tc>
        <w:tc>
          <w:tcPr>
            <w:tcW w:w="2268" w:type="dxa"/>
            <w:vAlign w:val="center"/>
          </w:tcPr>
          <w:p w14:paraId="5BD7BFE1">
            <w:pPr>
              <w:pStyle w:val="10"/>
            </w:pPr>
            <w:r>
              <w:t>其他资金</w:t>
            </w:r>
          </w:p>
        </w:tc>
        <w:tc>
          <w:tcPr>
            <w:tcW w:w="1276" w:type="dxa"/>
            <w:vAlign w:val="center"/>
          </w:tcPr>
          <w:p w14:paraId="328F2B49">
            <w:pPr>
              <w:pStyle w:val="12"/>
            </w:pPr>
            <w:r>
              <w:t xml:space="preserve"> </w:t>
            </w:r>
          </w:p>
        </w:tc>
      </w:tr>
      <w:tr w14:paraId="5F98D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471FB"/>
        </w:tc>
        <w:tc>
          <w:tcPr>
            <w:tcW w:w="14033" w:type="dxa"/>
            <w:gridSpan w:val="6"/>
            <w:vAlign w:val="center"/>
          </w:tcPr>
          <w:p w14:paraId="2195E679">
            <w:pPr>
              <w:pStyle w:val="12"/>
            </w:pPr>
            <w:r>
              <w:t>按上缴财政序时进度完成公立幼儿园保育费支出。</w:t>
            </w:r>
          </w:p>
        </w:tc>
      </w:tr>
      <w:tr w14:paraId="55112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E42D7">
            <w:pPr>
              <w:pStyle w:val="10"/>
            </w:pPr>
            <w:r>
              <w:t>资金支出计划（%）</w:t>
            </w:r>
          </w:p>
        </w:tc>
        <w:tc>
          <w:tcPr>
            <w:tcW w:w="5103" w:type="dxa"/>
            <w:gridSpan w:val="2"/>
            <w:vAlign w:val="center"/>
          </w:tcPr>
          <w:p w14:paraId="1DB3C6AF">
            <w:pPr>
              <w:pStyle w:val="10"/>
            </w:pPr>
            <w:r>
              <w:t>3月底</w:t>
            </w:r>
          </w:p>
        </w:tc>
        <w:tc>
          <w:tcPr>
            <w:tcW w:w="2835" w:type="dxa"/>
            <w:vAlign w:val="center"/>
          </w:tcPr>
          <w:p w14:paraId="4B02B112">
            <w:pPr>
              <w:pStyle w:val="10"/>
            </w:pPr>
            <w:r>
              <w:t>6月底</w:t>
            </w:r>
          </w:p>
        </w:tc>
        <w:tc>
          <w:tcPr>
            <w:tcW w:w="2551" w:type="dxa"/>
            <w:vAlign w:val="center"/>
          </w:tcPr>
          <w:p w14:paraId="12EE8762">
            <w:pPr>
              <w:pStyle w:val="10"/>
            </w:pPr>
            <w:r>
              <w:t>10月底</w:t>
            </w:r>
          </w:p>
        </w:tc>
        <w:tc>
          <w:tcPr>
            <w:tcW w:w="3544" w:type="dxa"/>
            <w:gridSpan w:val="2"/>
            <w:vAlign w:val="center"/>
          </w:tcPr>
          <w:p w14:paraId="6A72BAA8">
            <w:pPr>
              <w:pStyle w:val="10"/>
            </w:pPr>
            <w:r>
              <w:t>12月底</w:t>
            </w:r>
          </w:p>
        </w:tc>
      </w:tr>
      <w:tr w14:paraId="5359E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F0600"/>
        </w:tc>
        <w:tc>
          <w:tcPr>
            <w:tcW w:w="5103" w:type="dxa"/>
            <w:gridSpan w:val="2"/>
            <w:vAlign w:val="center"/>
          </w:tcPr>
          <w:p w14:paraId="1F7762FD">
            <w:pPr>
              <w:pStyle w:val="13"/>
            </w:pPr>
            <w:r>
              <w:t>25%</w:t>
            </w:r>
          </w:p>
        </w:tc>
        <w:tc>
          <w:tcPr>
            <w:tcW w:w="2835" w:type="dxa"/>
            <w:vAlign w:val="center"/>
          </w:tcPr>
          <w:p w14:paraId="793DBE0F">
            <w:pPr>
              <w:pStyle w:val="13"/>
            </w:pPr>
            <w:r>
              <w:t>50%</w:t>
            </w:r>
          </w:p>
        </w:tc>
        <w:tc>
          <w:tcPr>
            <w:tcW w:w="2551" w:type="dxa"/>
            <w:vAlign w:val="center"/>
          </w:tcPr>
          <w:p w14:paraId="286503D4">
            <w:pPr>
              <w:pStyle w:val="13"/>
            </w:pPr>
            <w:r>
              <w:t>75%</w:t>
            </w:r>
          </w:p>
        </w:tc>
        <w:tc>
          <w:tcPr>
            <w:tcW w:w="3544" w:type="dxa"/>
            <w:gridSpan w:val="2"/>
            <w:vAlign w:val="center"/>
          </w:tcPr>
          <w:p w14:paraId="0CE02E8D">
            <w:pPr>
              <w:pStyle w:val="13"/>
            </w:pPr>
            <w:r>
              <w:t>100%</w:t>
            </w:r>
          </w:p>
        </w:tc>
      </w:tr>
      <w:tr w14:paraId="390AC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5185C">
            <w:pPr>
              <w:pStyle w:val="10"/>
            </w:pPr>
            <w:r>
              <w:t>绩效目标</w:t>
            </w:r>
          </w:p>
        </w:tc>
        <w:tc>
          <w:tcPr>
            <w:tcW w:w="14033" w:type="dxa"/>
            <w:gridSpan w:val="6"/>
            <w:vAlign w:val="center"/>
          </w:tcPr>
          <w:p w14:paraId="279E47AB">
            <w:pPr>
              <w:pStyle w:val="12"/>
            </w:pPr>
            <w:r>
              <w:t>1.按要求完成公立幼儿园保育费按月/季度上缴财政。</w:t>
            </w:r>
          </w:p>
          <w:p w14:paraId="1654D941">
            <w:pPr>
              <w:pStyle w:val="12"/>
            </w:pPr>
            <w:r>
              <w:t>2.按上缴财政序时进度完成公立幼儿园保育费支出。</w:t>
            </w:r>
          </w:p>
          <w:p w14:paraId="03E82F3D">
            <w:pPr>
              <w:pStyle w:val="12"/>
            </w:pPr>
            <w:r>
              <w:t>3.按预算要求完成2026年度学前教学任务提升及教学质量提高。</w:t>
            </w:r>
          </w:p>
        </w:tc>
      </w:tr>
    </w:tbl>
    <w:p w14:paraId="3E202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6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F31B8">
            <w:pPr>
              <w:pStyle w:val="10"/>
            </w:pPr>
            <w:r>
              <w:t>一级指标</w:t>
            </w:r>
          </w:p>
        </w:tc>
        <w:tc>
          <w:tcPr>
            <w:tcW w:w="2268" w:type="dxa"/>
            <w:vAlign w:val="center"/>
          </w:tcPr>
          <w:p w14:paraId="093BF7EA">
            <w:pPr>
              <w:pStyle w:val="10"/>
            </w:pPr>
            <w:r>
              <w:t>二级指标</w:t>
            </w:r>
          </w:p>
        </w:tc>
        <w:tc>
          <w:tcPr>
            <w:tcW w:w="2835" w:type="dxa"/>
            <w:vAlign w:val="center"/>
          </w:tcPr>
          <w:p w14:paraId="5478F989">
            <w:pPr>
              <w:pStyle w:val="10"/>
            </w:pPr>
            <w:r>
              <w:t>三级指标</w:t>
            </w:r>
          </w:p>
        </w:tc>
        <w:tc>
          <w:tcPr>
            <w:tcW w:w="5386" w:type="dxa"/>
            <w:vAlign w:val="center"/>
          </w:tcPr>
          <w:p w14:paraId="518B8F83">
            <w:pPr>
              <w:pStyle w:val="10"/>
            </w:pPr>
            <w:r>
              <w:t>绩效指标描述</w:t>
            </w:r>
          </w:p>
        </w:tc>
        <w:tc>
          <w:tcPr>
            <w:tcW w:w="2268" w:type="dxa"/>
            <w:vAlign w:val="center"/>
          </w:tcPr>
          <w:p w14:paraId="1993A40A">
            <w:pPr>
              <w:pStyle w:val="10"/>
            </w:pPr>
            <w:r>
              <w:t>指标值</w:t>
            </w:r>
          </w:p>
        </w:tc>
        <w:tc>
          <w:tcPr>
            <w:tcW w:w="1276" w:type="dxa"/>
            <w:vAlign w:val="center"/>
          </w:tcPr>
          <w:p w14:paraId="234B5148">
            <w:pPr>
              <w:pStyle w:val="10"/>
            </w:pPr>
            <w:r>
              <w:t>指标值确定依据</w:t>
            </w:r>
          </w:p>
        </w:tc>
      </w:tr>
      <w:tr w14:paraId="0769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FEC6A">
            <w:pPr>
              <w:pStyle w:val="13"/>
            </w:pPr>
            <w:r>
              <w:t>产出指标</w:t>
            </w:r>
          </w:p>
        </w:tc>
        <w:tc>
          <w:tcPr>
            <w:tcW w:w="2268" w:type="dxa"/>
            <w:vAlign w:val="center"/>
          </w:tcPr>
          <w:p w14:paraId="1DD5B7B4">
            <w:pPr>
              <w:pStyle w:val="12"/>
            </w:pPr>
            <w:r>
              <w:t>数量指标</w:t>
            </w:r>
          </w:p>
        </w:tc>
        <w:tc>
          <w:tcPr>
            <w:tcW w:w="2835" w:type="dxa"/>
            <w:vAlign w:val="center"/>
          </w:tcPr>
          <w:p w14:paraId="64126B0D">
            <w:pPr>
              <w:pStyle w:val="12"/>
            </w:pPr>
            <w:r>
              <w:t>适龄在园生</w:t>
            </w:r>
          </w:p>
        </w:tc>
        <w:tc>
          <w:tcPr>
            <w:tcW w:w="5386" w:type="dxa"/>
            <w:vAlign w:val="center"/>
          </w:tcPr>
          <w:p w14:paraId="7CA6E542">
            <w:pPr>
              <w:pStyle w:val="12"/>
            </w:pPr>
            <w:r>
              <w:t>适龄在园学生人数</w:t>
            </w:r>
          </w:p>
        </w:tc>
        <w:tc>
          <w:tcPr>
            <w:tcW w:w="2268" w:type="dxa"/>
            <w:vAlign w:val="center"/>
          </w:tcPr>
          <w:p w14:paraId="05A09822">
            <w:pPr>
              <w:pStyle w:val="12"/>
            </w:pPr>
            <w:r>
              <w:t>91 人</w:t>
            </w:r>
          </w:p>
        </w:tc>
        <w:tc>
          <w:tcPr>
            <w:tcW w:w="1276" w:type="dxa"/>
            <w:vAlign w:val="center"/>
          </w:tcPr>
          <w:p w14:paraId="7CD17DD4">
            <w:pPr>
              <w:pStyle w:val="12"/>
            </w:pPr>
            <w:r>
              <w:t>年度工作计划</w:t>
            </w:r>
          </w:p>
        </w:tc>
      </w:tr>
      <w:tr w14:paraId="77DA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0A347"/>
        </w:tc>
        <w:tc>
          <w:tcPr>
            <w:tcW w:w="2268" w:type="dxa"/>
            <w:vAlign w:val="center"/>
          </w:tcPr>
          <w:p w14:paraId="1BF016AB">
            <w:pPr>
              <w:pStyle w:val="12"/>
            </w:pPr>
            <w:r>
              <w:t>质量指标</w:t>
            </w:r>
          </w:p>
        </w:tc>
        <w:tc>
          <w:tcPr>
            <w:tcW w:w="2835" w:type="dxa"/>
            <w:vAlign w:val="center"/>
          </w:tcPr>
          <w:p w14:paraId="7ED14D0F">
            <w:pPr>
              <w:pStyle w:val="12"/>
            </w:pPr>
            <w:r>
              <w:t>按月上缴财政完成率</w:t>
            </w:r>
          </w:p>
        </w:tc>
        <w:tc>
          <w:tcPr>
            <w:tcW w:w="5386" w:type="dxa"/>
            <w:vAlign w:val="center"/>
          </w:tcPr>
          <w:p w14:paraId="65CBABB7">
            <w:pPr>
              <w:pStyle w:val="12"/>
            </w:pPr>
            <w:r>
              <w:t>按月完成公立幼儿园保育费上缴财政</w:t>
            </w:r>
          </w:p>
        </w:tc>
        <w:tc>
          <w:tcPr>
            <w:tcW w:w="2268" w:type="dxa"/>
            <w:vAlign w:val="center"/>
          </w:tcPr>
          <w:p w14:paraId="1378953B">
            <w:pPr>
              <w:pStyle w:val="12"/>
            </w:pPr>
            <w:r>
              <w:t>100%</w:t>
            </w:r>
          </w:p>
        </w:tc>
        <w:tc>
          <w:tcPr>
            <w:tcW w:w="1276" w:type="dxa"/>
            <w:vAlign w:val="center"/>
          </w:tcPr>
          <w:p w14:paraId="282C290D">
            <w:pPr>
              <w:pStyle w:val="12"/>
            </w:pPr>
            <w:r>
              <w:t>年度工作计划</w:t>
            </w:r>
          </w:p>
        </w:tc>
      </w:tr>
      <w:tr w14:paraId="72AD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90F72"/>
        </w:tc>
        <w:tc>
          <w:tcPr>
            <w:tcW w:w="2268" w:type="dxa"/>
            <w:vAlign w:val="center"/>
          </w:tcPr>
          <w:p w14:paraId="5489B675">
            <w:pPr>
              <w:pStyle w:val="12"/>
            </w:pPr>
            <w:r>
              <w:t>时效指标</w:t>
            </w:r>
          </w:p>
        </w:tc>
        <w:tc>
          <w:tcPr>
            <w:tcW w:w="2835" w:type="dxa"/>
            <w:vAlign w:val="center"/>
          </w:tcPr>
          <w:p w14:paraId="14E8F222">
            <w:pPr>
              <w:pStyle w:val="12"/>
            </w:pPr>
            <w:r>
              <w:t>资金支付率</w:t>
            </w:r>
          </w:p>
        </w:tc>
        <w:tc>
          <w:tcPr>
            <w:tcW w:w="5386" w:type="dxa"/>
            <w:vAlign w:val="center"/>
          </w:tcPr>
          <w:p w14:paraId="2D142E3B">
            <w:pPr>
              <w:pStyle w:val="12"/>
            </w:pPr>
            <w:r>
              <w:t>按照上缴财政进度完成公立幼儿园保育费支付</w:t>
            </w:r>
          </w:p>
        </w:tc>
        <w:tc>
          <w:tcPr>
            <w:tcW w:w="2268" w:type="dxa"/>
            <w:vAlign w:val="center"/>
          </w:tcPr>
          <w:p w14:paraId="68EC473D">
            <w:pPr>
              <w:pStyle w:val="12"/>
            </w:pPr>
            <w:r>
              <w:t>100%</w:t>
            </w:r>
          </w:p>
        </w:tc>
        <w:tc>
          <w:tcPr>
            <w:tcW w:w="1276" w:type="dxa"/>
            <w:vAlign w:val="center"/>
          </w:tcPr>
          <w:p w14:paraId="6369375E">
            <w:pPr>
              <w:pStyle w:val="12"/>
            </w:pPr>
            <w:r>
              <w:t>年度工作计划</w:t>
            </w:r>
          </w:p>
        </w:tc>
      </w:tr>
      <w:tr w14:paraId="54A2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B570D"/>
        </w:tc>
        <w:tc>
          <w:tcPr>
            <w:tcW w:w="2268" w:type="dxa"/>
            <w:vAlign w:val="center"/>
          </w:tcPr>
          <w:p w14:paraId="04370B60">
            <w:pPr>
              <w:pStyle w:val="12"/>
            </w:pPr>
            <w:r>
              <w:t>成本指标</w:t>
            </w:r>
          </w:p>
        </w:tc>
        <w:tc>
          <w:tcPr>
            <w:tcW w:w="2835" w:type="dxa"/>
            <w:vAlign w:val="center"/>
          </w:tcPr>
          <w:p w14:paraId="1FE53409">
            <w:pPr>
              <w:pStyle w:val="12"/>
            </w:pPr>
            <w:r>
              <w:t>公办幼儿园保育费收费标准</w:t>
            </w:r>
          </w:p>
        </w:tc>
        <w:tc>
          <w:tcPr>
            <w:tcW w:w="5386" w:type="dxa"/>
            <w:vAlign w:val="center"/>
          </w:tcPr>
          <w:p w14:paraId="08FAE2B6">
            <w:pPr>
              <w:pStyle w:val="12"/>
            </w:pPr>
            <w:r>
              <w:t>农村二类园130元/月/生</w:t>
            </w:r>
          </w:p>
        </w:tc>
        <w:tc>
          <w:tcPr>
            <w:tcW w:w="2268" w:type="dxa"/>
            <w:vAlign w:val="center"/>
          </w:tcPr>
          <w:p w14:paraId="032F9911">
            <w:pPr>
              <w:pStyle w:val="12"/>
            </w:pPr>
            <w:r>
              <w:t>130元</w:t>
            </w:r>
          </w:p>
        </w:tc>
        <w:tc>
          <w:tcPr>
            <w:tcW w:w="1276" w:type="dxa"/>
            <w:vAlign w:val="center"/>
          </w:tcPr>
          <w:p w14:paraId="11891172">
            <w:pPr>
              <w:pStyle w:val="12"/>
            </w:pPr>
            <w:r>
              <w:t>年度工作计划</w:t>
            </w:r>
          </w:p>
        </w:tc>
      </w:tr>
      <w:tr w14:paraId="6A59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01029"/>
        </w:tc>
        <w:tc>
          <w:tcPr>
            <w:tcW w:w="2268" w:type="dxa"/>
            <w:vAlign w:val="center"/>
          </w:tcPr>
          <w:p w14:paraId="1E6E0431">
            <w:pPr>
              <w:pStyle w:val="12"/>
            </w:pPr>
            <w:r>
              <w:t>成本指标</w:t>
            </w:r>
          </w:p>
        </w:tc>
        <w:tc>
          <w:tcPr>
            <w:tcW w:w="2835" w:type="dxa"/>
            <w:vAlign w:val="center"/>
          </w:tcPr>
          <w:p w14:paraId="42F12E9B">
            <w:pPr>
              <w:pStyle w:val="12"/>
            </w:pPr>
            <w:r>
              <w:t>公办幼儿园保育费收费标准</w:t>
            </w:r>
          </w:p>
        </w:tc>
        <w:tc>
          <w:tcPr>
            <w:tcW w:w="5386" w:type="dxa"/>
            <w:vAlign w:val="center"/>
          </w:tcPr>
          <w:p w14:paraId="605E3BE7">
            <w:pPr>
              <w:pStyle w:val="12"/>
            </w:pPr>
            <w:r>
              <w:t>农村一类园150元/月/生</w:t>
            </w:r>
          </w:p>
        </w:tc>
        <w:tc>
          <w:tcPr>
            <w:tcW w:w="2268" w:type="dxa"/>
            <w:vAlign w:val="center"/>
          </w:tcPr>
          <w:p w14:paraId="2E27FFE6">
            <w:pPr>
              <w:pStyle w:val="12"/>
            </w:pPr>
            <w:r>
              <w:t>150元</w:t>
            </w:r>
          </w:p>
        </w:tc>
        <w:tc>
          <w:tcPr>
            <w:tcW w:w="1276" w:type="dxa"/>
            <w:vAlign w:val="center"/>
          </w:tcPr>
          <w:p w14:paraId="0E951C5E">
            <w:pPr>
              <w:pStyle w:val="12"/>
            </w:pPr>
            <w:r>
              <w:t>年度工作计划</w:t>
            </w:r>
          </w:p>
        </w:tc>
      </w:tr>
      <w:tr w14:paraId="3C7E9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63D62"/>
        </w:tc>
        <w:tc>
          <w:tcPr>
            <w:tcW w:w="2268" w:type="dxa"/>
            <w:vAlign w:val="center"/>
          </w:tcPr>
          <w:p w14:paraId="152562D1">
            <w:pPr>
              <w:pStyle w:val="12"/>
            </w:pPr>
            <w:r>
              <w:t>成本指标</w:t>
            </w:r>
          </w:p>
        </w:tc>
        <w:tc>
          <w:tcPr>
            <w:tcW w:w="2835" w:type="dxa"/>
            <w:vAlign w:val="center"/>
          </w:tcPr>
          <w:p w14:paraId="1795F0BF">
            <w:pPr>
              <w:pStyle w:val="12"/>
            </w:pPr>
            <w:r>
              <w:t>公办幼儿园保育费收费标准</w:t>
            </w:r>
          </w:p>
        </w:tc>
        <w:tc>
          <w:tcPr>
            <w:tcW w:w="5386" w:type="dxa"/>
            <w:vAlign w:val="center"/>
          </w:tcPr>
          <w:p w14:paraId="41175721">
            <w:pPr>
              <w:pStyle w:val="12"/>
            </w:pPr>
            <w:r>
              <w:t>农村示范园170元/月/生</w:t>
            </w:r>
          </w:p>
        </w:tc>
        <w:tc>
          <w:tcPr>
            <w:tcW w:w="2268" w:type="dxa"/>
            <w:vAlign w:val="center"/>
          </w:tcPr>
          <w:p w14:paraId="413CC771">
            <w:pPr>
              <w:pStyle w:val="12"/>
            </w:pPr>
            <w:r>
              <w:t>170元</w:t>
            </w:r>
          </w:p>
        </w:tc>
        <w:tc>
          <w:tcPr>
            <w:tcW w:w="1276" w:type="dxa"/>
            <w:vAlign w:val="center"/>
          </w:tcPr>
          <w:p w14:paraId="3FB4DA2C">
            <w:pPr>
              <w:pStyle w:val="12"/>
            </w:pPr>
            <w:r>
              <w:t>年度工作计划</w:t>
            </w:r>
          </w:p>
        </w:tc>
      </w:tr>
      <w:tr w14:paraId="2F96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98E1C">
            <w:pPr>
              <w:pStyle w:val="13"/>
            </w:pPr>
            <w:r>
              <w:t>效益指标</w:t>
            </w:r>
          </w:p>
        </w:tc>
        <w:tc>
          <w:tcPr>
            <w:tcW w:w="2268" w:type="dxa"/>
            <w:vAlign w:val="center"/>
          </w:tcPr>
          <w:p w14:paraId="2829B89F">
            <w:pPr>
              <w:pStyle w:val="12"/>
            </w:pPr>
            <w:r>
              <w:t>可持续影响指标</w:t>
            </w:r>
          </w:p>
        </w:tc>
        <w:tc>
          <w:tcPr>
            <w:tcW w:w="2835" w:type="dxa"/>
            <w:vAlign w:val="center"/>
          </w:tcPr>
          <w:p w14:paraId="27C0D9DB">
            <w:pPr>
              <w:pStyle w:val="12"/>
            </w:pPr>
            <w:r>
              <w:t>学校运转得到提高</w:t>
            </w:r>
          </w:p>
        </w:tc>
        <w:tc>
          <w:tcPr>
            <w:tcW w:w="5386" w:type="dxa"/>
            <w:vAlign w:val="center"/>
          </w:tcPr>
          <w:p w14:paraId="7CEFAB44">
            <w:pPr>
              <w:pStyle w:val="12"/>
            </w:pPr>
            <w:r>
              <w:t>幼儿受教育年限</w:t>
            </w:r>
          </w:p>
        </w:tc>
        <w:tc>
          <w:tcPr>
            <w:tcW w:w="2268" w:type="dxa"/>
            <w:vAlign w:val="center"/>
          </w:tcPr>
          <w:p w14:paraId="2659E4E4">
            <w:pPr>
              <w:pStyle w:val="12"/>
            </w:pPr>
            <w:r>
              <w:t>3年</w:t>
            </w:r>
          </w:p>
        </w:tc>
        <w:tc>
          <w:tcPr>
            <w:tcW w:w="1276" w:type="dxa"/>
            <w:vAlign w:val="center"/>
          </w:tcPr>
          <w:p w14:paraId="53A3A89E">
            <w:pPr>
              <w:pStyle w:val="12"/>
            </w:pPr>
            <w:r>
              <w:t>年度工作计划</w:t>
            </w:r>
          </w:p>
        </w:tc>
      </w:tr>
      <w:tr w14:paraId="095A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4EDC5">
            <w:pPr>
              <w:pStyle w:val="13"/>
            </w:pPr>
            <w:r>
              <w:t>满意度指标</w:t>
            </w:r>
          </w:p>
        </w:tc>
        <w:tc>
          <w:tcPr>
            <w:tcW w:w="2268" w:type="dxa"/>
            <w:vAlign w:val="center"/>
          </w:tcPr>
          <w:p w14:paraId="738AB95B">
            <w:pPr>
              <w:pStyle w:val="12"/>
            </w:pPr>
            <w:r>
              <w:t>服务对象满意度指标</w:t>
            </w:r>
          </w:p>
        </w:tc>
        <w:tc>
          <w:tcPr>
            <w:tcW w:w="2835" w:type="dxa"/>
            <w:vAlign w:val="center"/>
          </w:tcPr>
          <w:p w14:paraId="7C49BA8C">
            <w:pPr>
              <w:pStyle w:val="12"/>
            </w:pPr>
            <w:r>
              <w:t>受益学生家长及调查满意度</w:t>
            </w:r>
          </w:p>
        </w:tc>
        <w:tc>
          <w:tcPr>
            <w:tcW w:w="5386" w:type="dxa"/>
            <w:vAlign w:val="center"/>
          </w:tcPr>
          <w:p w14:paraId="3BFBABFC">
            <w:pPr>
              <w:pStyle w:val="12"/>
            </w:pPr>
            <w:r>
              <w:t>幼儿、教师及家长对学校保教保育工作满意度情况</w:t>
            </w:r>
          </w:p>
        </w:tc>
        <w:tc>
          <w:tcPr>
            <w:tcW w:w="2268" w:type="dxa"/>
            <w:vAlign w:val="center"/>
          </w:tcPr>
          <w:p w14:paraId="6BD2619D">
            <w:pPr>
              <w:pStyle w:val="12"/>
            </w:pPr>
            <w:r>
              <w:t>≥95%</w:t>
            </w:r>
          </w:p>
        </w:tc>
        <w:tc>
          <w:tcPr>
            <w:tcW w:w="1276" w:type="dxa"/>
            <w:vAlign w:val="center"/>
          </w:tcPr>
          <w:p w14:paraId="17E5221C">
            <w:pPr>
              <w:pStyle w:val="12"/>
            </w:pPr>
            <w:r>
              <w:t>年度工作计划</w:t>
            </w:r>
          </w:p>
        </w:tc>
      </w:tr>
    </w:tbl>
    <w:p w14:paraId="098FD6FF">
      <w:pPr>
        <w:sectPr>
          <w:pgSz w:w="16840" w:h="11900" w:orient="landscape"/>
          <w:pgMar w:top="1361" w:right="1020" w:bottom="1134" w:left="1020" w:header="720" w:footer="720" w:gutter="0"/>
          <w:cols w:space="720" w:num="1"/>
        </w:sectPr>
      </w:pPr>
    </w:p>
    <w:p w14:paraId="7D26DBA6">
      <w:pPr>
        <w:spacing w:before="10" w:after="10" w:line="240" w:lineRule="auto"/>
        <w:ind w:firstLine="640"/>
        <w:jc w:val="left"/>
        <w:outlineLvl w:val="5"/>
      </w:pPr>
      <w:r>
        <w:rPr>
          <w:rFonts w:ascii="黑体" w:hAnsi="黑体" w:eastAsia="黑体" w:cs="黑体"/>
          <w:color w:val="000000"/>
          <w:sz w:val="32"/>
        </w:rPr>
        <w:t>六、政府采购预算情况</w:t>
      </w:r>
    </w:p>
    <w:p w14:paraId="7326D3D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A1D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E636AD">
            <w:pPr>
              <w:pStyle w:val="9"/>
            </w:pPr>
            <w:r>
              <w:t>360026隆尧县牛家桥校区</w:t>
            </w:r>
          </w:p>
        </w:tc>
        <w:tc>
          <w:tcPr>
            <w:tcW w:w="8676" w:type="dxa"/>
            <w:gridSpan w:val="9"/>
            <w:tcBorders>
              <w:top w:val="single" w:color="FFFFFF" w:sz="6" w:space="0"/>
              <w:left w:val="single" w:color="FFFFFF" w:sz="6" w:space="0"/>
              <w:right w:val="single" w:color="FFFFFF" w:sz="6" w:space="0"/>
            </w:tcBorders>
            <w:vAlign w:val="center"/>
          </w:tcPr>
          <w:p w14:paraId="69A1D87F">
            <w:pPr>
              <w:pStyle w:val="21"/>
            </w:pPr>
            <w:r>
              <w:t>单位：万元</w:t>
            </w:r>
          </w:p>
        </w:tc>
      </w:tr>
      <w:tr w14:paraId="3E01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8BEC9C">
            <w:pPr>
              <w:pStyle w:val="10"/>
            </w:pPr>
            <w:r>
              <w:t>政府采购项目来源</w:t>
            </w:r>
          </w:p>
        </w:tc>
        <w:tc>
          <w:tcPr>
            <w:tcW w:w="1134" w:type="dxa"/>
            <w:vMerge w:val="restart"/>
            <w:vAlign w:val="center"/>
          </w:tcPr>
          <w:p w14:paraId="1820A670">
            <w:pPr>
              <w:pStyle w:val="10"/>
            </w:pPr>
            <w:r>
              <w:t>采购物品名称</w:t>
            </w:r>
          </w:p>
        </w:tc>
        <w:tc>
          <w:tcPr>
            <w:tcW w:w="1134" w:type="dxa"/>
            <w:vMerge w:val="restart"/>
            <w:vAlign w:val="center"/>
          </w:tcPr>
          <w:p w14:paraId="5794D709">
            <w:pPr>
              <w:pStyle w:val="10"/>
            </w:pPr>
            <w:r>
              <w:t>政府采购目录序号</w:t>
            </w:r>
          </w:p>
        </w:tc>
        <w:tc>
          <w:tcPr>
            <w:tcW w:w="709" w:type="dxa"/>
            <w:vMerge w:val="restart"/>
            <w:vAlign w:val="center"/>
          </w:tcPr>
          <w:p w14:paraId="0149B122">
            <w:pPr>
              <w:pStyle w:val="10"/>
            </w:pPr>
            <w:r>
              <w:t>计量  单位</w:t>
            </w:r>
          </w:p>
        </w:tc>
        <w:tc>
          <w:tcPr>
            <w:tcW w:w="850" w:type="dxa"/>
            <w:vMerge w:val="restart"/>
            <w:vAlign w:val="center"/>
          </w:tcPr>
          <w:p w14:paraId="420B6A7A">
            <w:pPr>
              <w:pStyle w:val="10"/>
            </w:pPr>
            <w:r>
              <w:t>数量</w:t>
            </w:r>
          </w:p>
        </w:tc>
        <w:tc>
          <w:tcPr>
            <w:tcW w:w="850" w:type="dxa"/>
            <w:vMerge w:val="restart"/>
            <w:vAlign w:val="center"/>
          </w:tcPr>
          <w:p w14:paraId="6CD646E8">
            <w:pPr>
              <w:pStyle w:val="10"/>
            </w:pPr>
            <w:r>
              <w:t>单价</w:t>
            </w:r>
          </w:p>
        </w:tc>
        <w:tc>
          <w:tcPr>
            <w:tcW w:w="7712" w:type="dxa"/>
            <w:gridSpan w:val="8"/>
            <w:vAlign w:val="center"/>
          </w:tcPr>
          <w:p w14:paraId="240D0FAA">
            <w:pPr>
              <w:pStyle w:val="10"/>
            </w:pPr>
            <w:r>
              <w:t>政府采购金额（当年部门预算安排资金）</w:t>
            </w:r>
          </w:p>
        </w:tc>
        <w:tc>
          <w:tcPr>
            <w:tcW w:w="964" w:type="dxa"/>
            <w:vMerge w:val="restart"/>
            <w:vAlign w:val="center"/>
          </w:tcPr>
          <w:p w14:paraId="318D7CC8">
            <w:pPr>
              <w:pStyle w:val="10"/>
            </w:pPr>
            <w:r>
              <w:t>2026年  预留中  小微企  业份额</w:t>
            </w:r>
          </w:p>
        </w:tc>
      </w:tr>
      <w:tr w14:paraId="11916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1E989F">
            <w:pPr>
              <w:pStyle w:val="10"/>
            </w:pPr>
            <w:r>
              <w:t>项目名称</w:t>
            </w:r>
          </w:p>
        </w:tc>
        <w:tc>
          <w:tcPr>
            <w:tcW w:w="964" w:type="dxa"/>
            <w:vAlign w:val="center"/>
          </w:tcPr>
          <w:p w14:paraId="4888EBD4">
            <w:pPr>
              <w:pStyle w:val="10"/>
            </w:pPr>
            <w:r>
              <w:t>预算    资金</w:t>
            </w:r>
          </w:p>
        </w:tc>
        <w:tc>
          <w:tcPr>
            <w:tcW w:w="1134" w:type="dxa"/>
            <w:vMerge w:val="continue"/>
          </w:tcPr>
          <w:p w14:paraId="16D7D492"/>
        </w:tc>
        <w:tc>
          <w:tcPr>
            <w:tcW w:w="1134" w:type="dxa"/>
            <w:vMerge w:val="continue"/>
          </w:tcPr>
          <w:p w14:paraId="3FE952B5"/>
        </w:tc>
        <w:tc>
          <w:tcPr>
            <w:tcW w:w="709" w:type="dxa"/>
            <w:vMerge w:val="continue"/>
          </w:tcPr>
          <w:p w14:paraId="2C5BA286"/>
        </w:tc>
        <w:tc>
          <w:tcPr>
            <w:tcW w:w="850" w:type="dxa"/>
            <w:vMerge w:val="continue"/>
          </w:tcPr>
          <w:p w14:paraId="5206C3E6"/>
        </w:tc>
        <w:tc>
          <w:tcPr>
            <w:tcW w:w="850" w:type="dxa"/>
            <w:vMerge w:val="continue"/>
          </w:tcPr>
          <w:p w14:paraId="6403E73F"/>
        </w:tc>
        <w:tc>
          <w:tcPr>
            <w:tcW w:w="964" w:type="dxa"/>
            <w:vAlign w:val="center"/>
          </w:tcPr>
          <w:p w14:paraId="7DBE0B91">
            <w:pPr>
              <w:pStyle w:val="10"/>
            </w:pPr>
            <w:r>
              <w:t>合计</w:t>
            </w:r>
          </w:p>
        </w:tc>
        <w:tc>
          <w:tcPr>
            <w:tcW w:w="964" w:type="dxa"/>
            <w:vAlign w:val="center"/>
          </w:tcPr>
          <w:p w14:paraId="7D0BF555">
            <w:pPr>
              <w:pStyle w:val="10"/>
            </w:pPr>
            <w:r>
              <w:t>一般公共预算拨款</w:t>
            </w:r>
          </w:p>
        </w:tc>
        <w:tc>
          <w:tcPr>
            <w:tcW w:w="964" w:type="dxa"/>
            <w:vAlign w:val="center"/>
          </w:tcPr>
          <w:p w14:paraId="2A2E7C10">
            <w:pPr>
              <w:pStyle w:val="10"/>
            </w:pPr>
            <w:r>
              <w:t>基金预算拨款</w:t>
            </w:r>
          </w:p>
        </w:tc>
        <w:tc>
          <w:tcPr>
            <w:tcW w:w="964" w:type="dxa"/>
            <w:vAlign w:val="center"/>
          </w:tcPr>
          <w:p w14:paraId="5530C689">
            <w:pPr>
              <w:pStyle w:val="10"/>
            </w:pPr>
            <w:r>
              <w:t>国有资本经营预算拨款</w:t>
            </w:r>
          </w:p>
        </w:tc>
        <w:tc>
          <w:tcPr>
            <w:tcW w:w="964" w:type="dxa"/>
            <w:vAlign w:val="center"/>
          </w:tcPr>
          <w:p w14:paraId="734F903A">
            <w:pPr>
              <w:pStyle w:val="10"/>
            </w:pPr>
            <w:r>
              <w:t>财政专户核拨</w:t>
            </w:r>
          </w:p>
        </w:tc>
        <w:tc>
          <w:tcPr>
            <w:tcW w:w="964" w:type="dxa"/>
            <w:vAlign w:val="center"/>
          </w:tcPr>
          <w:p w14:paraId="3D68D7DB">
            <w:pPr>
              <w:pStyle w:val="10"/>
            </w:pPr>
            <w:r>
              <w:t>单位    资金</w:t>
            </w:r>
          </w:p>
        </w:tc>
        <w:tc>
          <w:tcPr>
            <w:tcW w:w="964" w:type="dxa"/>
            <w:vAlign w:val="center"/>
          </w:tcPr>
          <w:p w14:paraId="14D252E5">
            <w:pPr>
              <w:pStyle w:val="10"/>
            </w:pPr>
            <w:r>
              <w:t>财政拨款结转</w:t>
            </w:r>
          </w:p>
        </w:tc>
        <w:tc>
          <w:tcPr>
            <w:tcW w:w="964" w:type="dxa"/>
            <w:vAlign w:val="center"/>
          </w:tcPr>
          <w:p w14:paraId="76B40518">
            <w:pPr>
              <w:pStyle w:val="10"/>
            </w:pPr>
            <w:r>
              <w:t>非财政拨款结余</w:t>
            </w:r>
          </w:p>
        </w:tc>
        <w:tc>
          <w:tcPr>
            <w:tcW w:w="964" w:type="dxa"/>
            <w:vMerge w:val="continue"/>
          </w:tcPr>
          <w:p w14:paraId="74DA0D97"/>
        </w:tc>
      </w:tr>
      <w:tr w14:paraId="2B45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7A66F1">
            <w:pPr>
              <w:pStyle w:val="14"/>
            </w:pPr>
            <w:r>
              <w:t>合  计</w:t>
            </w:r>
          </w:p>
        </w:tc>
        <w:tc>
          <w:tcPr>
            <w:tcW w:w="964" w:type="dxa"/>
            <w:vAlign w:val="center"/>
          </w:tcPr>
          <w:p w14:paraId="1BECFFBA">
            <w:pPr>
              <w:pStyle w:val="15"/>
            </w:pPr>
          </w:p>
        </w:tc>
        <w:tc>
          <w:tcPr>
            <w:tcW w:w="1134" w:type="dxa"/>
            <w:vAlign w:val="center"/>
          </w:tcPr>
          <w:p w14:paraId="51A8871E">
            <w:pPr>
              <w:pStyle w:val="16"/>
            </w:pPr>
          </w:p>
        </w:tc>
        <w:tc>
          <w:tcPr>
            <w:tcW w:w="1134" w:type="dxa"/>
            <w:vAlign w:val="center"/>
          </w:tcPr>
          <w:p w14:paraId="45965E54">
            <w:pPr>
              <w:pStyle w:val="16"/>
            </w:pPr>
          </w:p>
        </w:tc>
        <w:tc>
          <w:tcPr>
            <w:tcW w:w="709" w:type="dxa"/>
            <w:vAlign w:val="center"/>
          </w:tcPr>
          <w:p w14:paraId="539FA6B0">
            <w:pPr>
              <w:pStyle w:val="14"/>
            </w:pPr>
          </w:p>
        </w:tc>
        <w:tc>
          <w:tcPr>
            <w:tcW w:w="850" w:type="dxa"/>
            <w:vAlign w:val="center"/>
          </w:tcPr>
          <w:p w14:paraId="49AFF272">
            <w:pPr>
              <w:pStyle w:val="15"/>
            </w:pPr>
          </w:p>
        </w:tc>
        <w:tc>
          <w:tcPr>
            <w:tcW w:w="850" w:type="dxa"/>
            <w:vAlign w:val="center"/>
          </w:tcPr>
          <w:p w14:paraId="23B14375">
            <w:pPr>
              <w:pStyle w:val="15"/>
            </w:pPr>
          </w:p>
        </w:tc>
        <w:tc>
          <w:tcPr>
            <w:tcW w:w="964" w:type="dxa"/>
            <w:vAlign w:val="center"/>
          </w:tcPr>
          <w:p w14:paraId="2107EBB1">
            <w:pPr>
              <w:pStyle w:val="15"/>
            </w:pPr>
            <w:r>
              <w:t>43.65</w:t>
            </w:r>
          </w:p>
        </w:tc>
        <w:tc>
          <w:tcPr>
            <w:tcW w:w="964" w:type="dxa"/>
            <w:vAlign w:val="center"/>
          </w:tcPr>
          <w:p w14:paraId="69A3E162">
            <w:pPr>
              <w:pStyle w:val="15"/>
            </w:pPr>
            <w:r>
              <w:t>43.65</w:t>
            </w:r>
          </w:p>
        </w:tc>
        <w:tc>
          <w:tcPr>
            <w:tcW w:w="964" w:type="dxa"/>
            <w:vAlign w:val="center"/>
          </w:tcPr>
          <w:p w14:paraId="4DA28ECD">
            <w:pPr>
              <w:pStyle w:val="15"/>
            </w:pPr>
          </w:p>
        </w:tc>
        <w:tc>
          <w:tcPr>
            <w:tcW w:w="964" w:type="dxa"/>
            <w:vAlign w:val="center"/>
          </w:tcPr>
          <w:p w14:paraId="21CE1AB9">
            <w:pPr>
              <w:pStyle w:val="15"/>
            </w:pPr>
          </w:p>
        </w:tc>
        <w:tc>
          <w:tcPr>
            <w:tcW w:w="964" w:type="dxa"/>
            <w:vAlign w:val="center"/>
          </w:tcPr>
          <w:p w14:paraId="70C3F780">
            <w:pPr>
              <w:pStyle w:val="15"/>
            </w:pPr>
          </w:p>
        </w:tc>
        <w:tc>
          <w:tcPr>
            <w:tcW w:w="964" w:type="dxa"/>
            <w:vAlign w:val="center"/>
          </w:tcPr>
          <w:p w14:paraId="0C1FD45F">
            <w:pPr>
              <w:pStyle w:val="15"/>
            </w:pPr>
          </w:p>
        </w:tc>
        <w:tc>
          <w:tcPr>
            <w:tcW w:w="964" w:type="dxa"/>
            <w:vAlign w:val="center"/>
          </w:tcPr>
          <w:p w14:paraId="29A43FC0">
            <w:pPr>
              <w:pStyle w:val="15"/>
            </w:pPr>
          </w:p>
        </w:tc>
        <w:tc>
          <w:tcPr>
            <w:tcW w:w="964" w:type="dxa"/>
            <w:vAlign w:val="center"/>
          </w:tcPr>
          <w:p w14:paraId="7355346C">
            <w:pPr>
              <w:pStyle w:val="15"/>
            </w:pPr>
          </w:p>
        </w:tc>
        <w:tc>
          <w:tcPr>
            <w:tcW w:w="964" w:type="dxa"/>
            <w:vAlign w:val="center"/>
          </w:tcPr>
          <w:p w14:paraId="4CECD87E">
            <w:pPr>
              <w:pStyle w:val="15"/>
            </w:pPr>
            <w:r>
              <w:t>43.65</w:t>
            </w:r>
          </w:p>
        </w:tc>
      </w:tr>
      <w:tr w14:paraId="1934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EA5300">
            <w:pPr>
              <w:pStyle w:val="14"/>
            </w:pPr>
            <w:r>
              <w:t>隆尧县牛家桥校区小计</w:t>
            </w:r>
          </w:p>
        </w:tc>
        <w:tc>
          <w:tcPr>
            <w:tcW w:w="964" w:type="dxa"/>
            <w:vAlign w:val="center"/>
          </w:tcPr>
          <w:p w14:paraId="0542C64C">
            <w:pPr>
              <w:pStyle w:val="15"/>
            </w:pPr>
          </w:p>
        </w:tc>
        <w:tc>
          <w:tcPr>
            <w:tcW w:w="1134" w:type="dxa"/>
            <w:vAlign w:val="center"/>
          </w:tcPr>
          <w:p w14:paraId="1F34DD54">
            <w:pPr>
              <w:pStyle w:val="16"/>
            </w:pPr>
          </w:p>
        </w:tc>
        <w:tc>
          <w:tcPr>
            <w:tcW w:w="1134" w:type="dxa"/>
            <w:vAlign w:val="center"/>
          </w:tcPr>
          <w:p w14:paraId="4D869A09">
            <w:pPr>
              <w:pStyle w:val="16"/>
            </w:pPr>
          </w:p>
        </w:tc>
        <w:tc>
          <w:tcPr>
            <w:tcW w:w="709" w:type="dxa"/>
            <w:vAlign w:val="center"/>
          </w:tcPr>
          <w:p w14:paraId="6EA18891">
            <w:pPr>
              <w:pStyle w:val="14"/>
            </w:pPr>
          </w:p>
        </w:tc>
        <w:tc>
          <w:tcPr>
            <w:tcW w:w="850" w:type="dxa"/>
            <w:vAlign w:val="center"/>
          </w:tcPr>
          <w:p w14:paraId="5B40A775">
            <w:pPr>
              <w:pStyle w:val="15"/>
            </w:pPr>
          </w:p>
        </w:tc>
        <w:tc>
          <w:tcPr>
            <w:tcW w:w="850" w:type="dxa"/>
            <w:vAlign w:val="center"/>
          </w:tcPr>
          <w:p w14:paraId="4B285539">
            <w:pPr>
              <w:pStyle w:val="15"/>
            </w:pPr>
          </w:p>
        </w:tc>
        <w:tc>
          <w:tcPr>
            <w:tcW w:w="964" w:type="dxa"/>
            <w:vAlign w:val="center"/>
          </w:tcPr>
          <w:p w14:paraId="1204E8FF">
            <w:pPr>
              <w:pStyle w:val="15"/>
            </w:pPr>
            <w:r>
              <w:t>43.65</w:t>
            </w:r>
          </w:p>
        </w:tc>
        <w:tc>
          <w:tcPr>
            <w:tcW w:w="964" w:type="dxa"/>
            <w:vAlign w:val="center"/>
          </w:tcPr>
          <w:p w14:paraId="3AE277C8">
            <w:pPr>
              <w:pStyle w:val="15"/>
            </w:pPr>
            <w:r>
              <w:t>43.65</w:t>
            </w:r>
          </w:p>
        </w:tc>
        <w:tc>
          <w:tcPr>
            <w:tcW w:w="964" w:type="dxa"/>
            <w:vAlign w:val="center"/>
          </w:tcPr>
          <w:p w14:paraId="25FB5572">
            <w:pPr>
              <w:pStyle w:val="15"/>
            </w:pPr>
          </w:p>
        </w:tc>
        <w:tc>
          <w:tcPr>
            <w:tcW w:w="964" w:type="dxa"/>
            <w:vAlign w:val="center"/>
          </w:tcPr>
          <w:p w14:paraId="3622D01E">
            <w:pPr>
              <w:pStyle w:val="15"/>
            </w:pPr>
          </w:p>
        </w:tc>
        <w:tc>
          <w:tcPr>
            <w:tcW w:w="964" w:type="dxa"/>
            <w:vAlign w:val="center"/>
          </w:tcPr>
          <w:p w14:paraId="68CF4819">
            <w:pPr>
              <w:pStyle w:val="15"/>
            </w:pPr>
          </w:p>
        </w:tc>
        <w:tc>
          <w:tcPr>
            <w:tcW w:w="964" w:type="dxa"/>
            <w:vAlign w:val="center"/>
          </w:tcPr>
          <w:p w14:paraId="1439CD80">
            <w:pPr>
              <w:pStyle w:val="15"/>
            </w:pPr>
          </w:p>
        </w:tc>
        <w:tc>
          <w:tcPr>
            <w:tcW w:w="964" w:type="dxa"/>
            <w:vAlign w:val="center"/>
          </w:tcPr>
          <w:p w14:paraId="0B4DB544">
            <w:pPr>
              <w:pStyle w:val="15"/>
            </w:pPr>
          </w:p>
        </w:tc>
        <w:tc>
          <w:tcPr>
            <w:tcW w:w="964" w:type="dxa"/>
            <w:vAlign w:val="center"/>
          </w:tcPr>
          <w:p w14:paraId="4343F315">
            <w:pPr>
              <w:pStyle w:val="15"/>
            </w:pPr>
          </w:p>
        </w:tc>
        <w:tc>
          <w:tcPr>
            <w:tcW w:w="964" w:type="dxa"/>
            <w:vAlign w:val="center"/>
          </w:tcPr>
          <w:p w14:paraId="042568E0">
            <w:pPr>
              <w:pStyle w:val="15"/>
            </w:pPr>
            <w:r>
              <w:t>43.65</w:t>
            </w:r>
          </w:p>
        </w:tc>
      </w:tr>
      <w:tr w14:paraId="155B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89039B">
            <w:pPr>
              <w:pStyle w:val="12"/>
            </w:pPr>
            <w:r>
              <w:t>冀财教[2025]121号/中央/2026年义教补助经费/牛家桥校区旧城小学公用经费</w:t>
            </w:r>
          </w:p>
        </w:tc>
        <w:tc>
          <w:tcPr>
            <w:tcW w:w="964" w:type="dxa"/>
            <w:vAlign w:val="center"/>
          </w:tcPr>
          <w:p w14:paraId="6B3353C8">
            <w:pPr>
              <w:pStyle w:val="11"/>
            </w:pPr>
            <w:r>
              <w:t>36.13</w:t>
            </w:r>
          </w:p>
        </w:tc>
        <w:tc>
          <w:tcPr>
            <w:tcW w:w="1134" w:type="dxa"/>
            <w:vAlign w:val="center"/>
          </w:tcPr>
          <w:p w14:paraId="06905292">
            <w:pPr>
              <w:pStyle w:val="12"/>
            </w:pPr>
            <w:r>
              <w:t>台式计算机</w:t>
            </w:r>
          </w:p>
        </w:tc>
        <w:tc>
          <w:tcPr>
            <w:tcW w:w="1134" w:type="dxa"/>
            <w:vAlign w:val="center"/>
          </w:tcPr>
          <w:p w14:paraId="6928F99A">
            <w:pPr>
              <w:pStyle w:val="12"/>
            </w:pPr>
            <w:r>
              <w:t>A02010105</w:t>
            </w:r>
          </w:p>
        </w:tc>
        <w:tc>
          <w:tcPr>
            <w:tcW w:w="709" w:type="dxa"/>
            <w:vAlign w:val="center"/>
          </w:tcPr>
          <w:p w14:paraId="6147274D">
            <w:pPr>
              <w:pStyle w:val="13"/>
            </w:pPr>
            <w:r>
              <w:t>台</w:t>
            </w:r>
          </w:p>
        </w:tc>
        <w:tc>
          <w:tcPr>
            <w:tcW w:w="850" w:type="dxa"/>
            <w:vAlign w:val="center"/>
          </w:tcPr>
          <w:p w14:paraId="0D3FC854">
            <w:pPr>
              <w:pStyle w:val="11"/>
            </w:pPr>
            <w:r>
              <w:t>1</w:t>
            </w:r>
          </w:p>
        </w:tc>
        <w:tc>
          <w:tcPr>
            <w:tcW w:w="850" w:type="dxa"/>
            <w:vAlign w:val="center"/>
          </w:tcPr>
          <w:p w14:paraId="64D78BD0">
            <w:pPr>
              <w:pStyle w:val="11"/>
            </w:pPr>
            <w:r>
              <w:t>0.35</w:t>
            </w:r>
          </w:p>
        </w:tc>
        <w:tc>
          <w:tcPr>
            <w:tcW w:w="964" w:type="dxa"/>
            <w:vAlign w:val="center"/>
          </w:tcPr>
          <w:p w14:paraId="77D5E71E">
            <w:pPr>
              <w:pStyle w:val="11"/>
            </w:pPr>
            <w:r>
              <w:t>0.35</w:t>
            </w:r>
          </w:p>
        </w:tc>
        <w:tc>
          <w:tcPr>
            <w:tcW w:w="964" w:type="dxa"/>
            <w:vAlign w:val="center"/>
          </w:tcPr>
          <w:p w14:paraId="49DD479D">
            <w:pPr>
              <w:pStyle w:val="11"/>
            </w:pPr>
            <w:r>
              <w:t>0.35</w:t>
            </w:r>
          </w:p>
        </w:tc>
        <w:tc>
          <w:tcPr>
            <w:tcW w:w="964" w:type="dxa"/>
            <w:vAlign w:val="center"/>
          </w:tcPr>
          <w:p w14:paraId="3CA22FEE">
            <w:pPr>
              <w:pStyle w:val="11"/>
            </w:pPr>
          </w:p>
        </w:tc>
        <w:tc>
          <w:tcPr>
            <w:tcW w:w="964" w:type="dxa"/>
            <w:vAlign w:val="center"/>
          </w:tcPr>
          <w:p w14:paraId="1E89A0D7">
            <w:pPr>
              <w:pStyle w:val="11"/>
            </w:pPr>
          </w:p>
        </w:tc>
        <w:tc>
          <w:tcPr>
            <w:tcW w:w="964" w:type="dxa"/>
            <w:vAlign w:val="center"/>
          </w:tcPr>
          <w:p w14:paraId="5930F60C">
            <w:pPr>
              <w:pStyle w:val="11"/>
            </w:pPr>
          </w:p>
        </w:tc>
        <w:tc>
          <w:tcPr>
            <w:tcW w:w="964" w:type="dxa"/>
            <w:vAlign w:val="center"/>
          </w:tcPr>
          <w:p w14:paraId="5EAB9761">
            <w:pPr>
              <w:pStyle w:val="11"/>
            </w:pPr>
          </w:p>
        </w:tc>
        <w:tc>
          <w:tcPr>
            <w:tcW w:w="964" w:type="dxa"/>
            <w:vAlign w:val="center"/>
          </w:tcPr>
          <w:p w14:paraId="2DD20695">
            <w:pPr>
              <w:pStyle w:val="11"/>
            </w:pPr>
          </w:p>
        </w:tc>
        <w:tc>
          <w:tcPr>
            <w:tcW w:w="964" w:type="dxa"/>
            <w:vAlign w:val="center"/>
          </w:tcPr>
          <w:p w14:paraId="5C0868AE">
            <w:pPr>
              <w:pStyle w:val="11"/>
            </w:pPr>
          </w:p>
        </w:tc>
        <w:tc>
          <w:tcPr>
            <w:tcW w:w="964" w:type="dxa"/>
            <w:vAlign w:val="center"/>
          </w:tcPr>
          <w:p w14:paraId="3405C9DA">
            <w:pPr>
              <w:pStyle w:val="11"/>
            </w:pPr>
            <w:r>
              <w:t>0.35</w:t>
            </w:r>
          </w:p>
        </w:tc>
      </w:tr>
      <w:tr w14:paraId="5639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BB2B16">
            <w:pPr>
              <w:pStyle w:val="12"/>
            </w:pPr>
            <w:r>
              <w:t>冀财教[2025]121号/中央/2026年义教补助经费/牛家桥校区旧城小学公用经费</w:t>
            </w:r>
          </w:p>
        </w:tc>
        <w:tc>
          <w:tcPr>
            <w:tcW w:w="964" w:type="dxa"/>
            <w:vAlign w:val="center"/>
          </w:tcPr>
          <w:p w14:paraId="64DC94CF">
            <w:pPr>
              <w:pStyle w:val="11"/>
            </w:pPr>
            <w:r>
              <w:t>36.13</w:t>
            </w:r>
          </w:p>
        </w:tc>
        <w:tc>
          <w:tcPr>
            <w:tcW w:w="1134" w:type="dxa"/>
            <w:vAlign w:val="center"/>
          </w:tcPr>
          <w:p w14:paraId="59A9D032">
            <w:pPr>
              <w:pStyle w:val="12"/>
            </w:pPr>
            <w:r>
              <w:t>复印机</w:t>
            </w:r>
          </w:p>
        </w:tc>
        <w:tc>
          <w:tcPr>
            <w:tcW w:w="1134" w:type="dxa"/>
            <w:vAlign w:val="center"/>
          </w:tcPr>
          <w:p w14:paraId="31CBE124">
            <w:pPr>
              <w:pStyle w:val="12"/>
            </w:pPr>
            <w:r>
              <w:t>A02020100</w:t>
            </w:r>
          </w:p>
        </w:tc>
        <w:tc>
          <w:tcPr>
            <w:tcW w:w="709" w:type="dxa"/>
            <w:vAlign w:val="center"/>
          </w:tcPr>
          <w:p w14:paraId="7F1DB4A9">
            <w:pPr>
              <w:pStyle w:val="13"/>
            </w:pPr>
            <w:r>
              <w:t>台</w:t>
            </w:r>
          </w:p>
        </w:tc>
        <w:tc>
          <w:tcPr>
            <w:tcW w:w="850" w:type="dxa"/>
            <w:vAlign w:val="center"/>
          </w:tcPr>
          <w:p w14:paraId="39A3C764">
            <w:pPr>
              <w:pStyle w:val="11"/>
            </w:pPr>
            <w:r>
              <w:t>1</w:t>
            </w:r>
          </w:p>
        </w:tc>
        <w:tc>
          <w:tcPr>
            <w:tcW w:w="850" w:type="dxa"/>
            <w:vAlign w:val="center"/>
          </w:tcPr>
          <w:p w14:paraId="5272E3CC">
            <w:pPr>
              <w:pStyle w:val="11"/>
            </w:pPr>
            <w:r>
              <w:t>0.45</w:t>
            </w:r>
          </w:p>
        </w:tc>
        <w:tc>
          <w:tcPr>
            <w:tcW w:w="964" w:type="dxa"/>
            <w:vAlign w:val="center"/>
          </w:tcPr>
          <w:p w14:paraId="3EF24184">
            <w:pPr>
              <w:pStyle w:val="11"/>
            </w:pPr>
            <w:r>
              <w:t>0.45</w:t>
            </w:r>
          </w:p>
        </w:tc>
        <w:tc>
          <w:tcPr>
            <w:tcW w:w="964" w:type="dxa"/>
            <w:vAlign w:val="center"/>
          </w:tcPr>
          <w:p w14:paraId="7DC86D8D">
            <w:pPr>
              <w:pStyle w:val="11"/>
            </w:pPr>
            <w:r>
              <w:t>0.45</w:t>
            </w:r>
          </w:p>
        </w:tc>
        <w:tc>
          <w:tcPr>
            <w:tcW w:w="964" w:type="dxa"/>
            <w:vAlign w:val="center"/>
          </w:tcPr>
          <w:p w14:paraId="544C3AF4">
            <w:pPr>
              <w:pStyle w:val="11"/>
            </w:pPr>
          </w:p>
        </w:tc>
        <w:tc>
          <w:tcPr>
            <w:tcW w:w="964" w:type="dxa"/>
            <w:vAlign w:val="center"/>
          </w:tcPr>
          <w:p w14:paraId="706FDE0B">
            <w:pPr>
              <w:pStyle w:val="11"/>
            </w:pPr>
          </w:p>
        </w:tc>
        <w:tc>
          <w:tcPr>
            <w:tcW w:w="964" w:type="dxa"/>
            <w:vAlign w:val="center"/>
          </w:tcPr>
          <w:p w14:paraId="50243612">
            <w:pPr>
              <w:pStyle w:val="11"/>
            </w:pPr>
          </w:p>
        </w:tc>
        <w:tc>
          <w:tcPr>
            <w:tcW w:w="964" w:type="dxa"/>
            <w:vAlign w:val="center"/>
          </w:tcPr>
          <w:p w14:paraId="2F977288">
            <w:pPr>
              <w:pStyle w:val="11"/>
            </w:pPr>
          </w:p>
        </w:tc>
        <w:tc>
          <w:tcPr>
            <w:tcW w:w="964" w:type="dxa"/>
            <w:vAlign w:val="center"/>
          </w:tcPr>
          <w:p w14:paraId="3733AF50">
            <w:pPr>
              <w:pStyle w:val="11"/>
            </w:pPr>
          </w:p>
        </w:tc>
        <w:tc>
          <w:tcPr>
            <w:tcW w:w="964" w:type="dxa"/>
            <w:vAlign w:val="center"/>
          </w:tcPr>
          <w:p w14:paraId="149D29A2">
            <w:pPr>
              <w:pStyle w:val="11"/>
            </w:pPr>
          </w:p>
        </w:tc>
        <w:tc>
          <w:tcPr>
            <w:tcW w:w="964" w:type="dxa"/>
            <w:vAlign w:val="center"/>
          </w:tcPr>
          <w:p w14:paraId="47E8EC71">
            <w:pPr>
              <w:pStyle w:val="11"/>
            </w:pPr>
            <w:r>
              <w:t>0.45</w:t>
            </w:r>
          </w:p>
        </w:tc>
      </w:tr>
      <w:tr w14:paraId="3BAB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4D463E">
            <w:pPr>
              <w:pStyle w:val="12"/>
            </w:pPr>
            <w:r>
              <w:t>冀财教[2025]121号/中央/2026年义教补助经费/牛家桥校区开河小学公用经费</w:t>
            </w:r>
          </w:p>
        </w:tc>
        <w:tc>
          <w:tcPr>
            <w:tcW w:w="964" w:type="dxa"/>
            <w:vAlign w:val="center"/>
          </w:tcPr>
          <w:p w14:paraId="54E38E9A">
            <w:pPr>
              <w:pStyle w:val="11"/>
            </w:pPr>
            <w:r>
              <w:t>41.70</w:t>
            </w:r>
          </w:p>
        </w:tc>
        <w:tc>
          <w:tcPr>
            <w:tcW w:w="1134" w:type="dxa"/>
            <w:vAlign w:val="center"/>
          </w:tcPr>
          <w:p w14:paraId="3E58A1C0">
            <w:pPr>
              <w:pStyle w:val="12"/>
            </w:pPr>
            <w:r>
              <w:t>台式计算机</w:t>
            </w:r>
          </w:p>
        </w:tc>
        <w:tc>
          <w:tcPr>
            <w:tcW w:w="1134" w:type="dxa"/>
            <w:vAlign w:val="center"/>
          </w:tcPr>
          <w:p w14:paraId="67EBB771">
            <w:pPr>
              <w:pStyle w:val="12"/>
            </w:pPr>
            <w:r>
              <w:t>A02010105</w:t>
            </w:r>
          </w:p>
        </w:tc>
        <w:tc>
          <w:tcPr>
            <w:tcW w:w="709" w:type="dxa"/>
            <w:vAlign w:val="center"/>
          </w:tcPr>
          <w:p w14:paraId="70313EB7">
            <w:pPr>
              <w:pStyle w:val="13"/>
            </w:pPr>
            <w:r>
              <w:t>台</w:t>
            </w:r>
          </w:p>
        </w:tc>
        <w:tc>
          <w:tcPr>
            <w:tcW w:w="850" w:type="dxa"/>
            <w:vAlign w:val="center"/>
          </w:tcPr>
          <w:p w14:paraId="6852759C">
            <w:pPr>
              <w:pStyle w:val="11"/>
            </w:pPr>
            <w:r>
              <w:t>1</w:t>
            </w:r>
          </w:p>
        </w:tc>
        <w:tc>
          <w:tcPr>
            <w:tcW w:w="850" w:type="dxa"/>
            <w:vAlign w:val="center"/>
          </w:tcPr>
          <w:p w14:paraId="24CD16B6">
            <w:pPr>
              <w:pStyle w:val="11"/>
            </w:pPr>
            <w:r>
              <w:t>0.35</w:t>
            </w:r>
          </w:p>
        </w:tc>
        <w:tc>
          <w:tcPr>
            <w:tcW w:w="964" w:type="dxa"/>
            <w:vAlign w:val="center"/>
          </w:tcPr>
          <w:p w14:paraId="499E666E">
            <w:pPr>
              <w:pStyle w:val="11"/>
            </w:pPr>
            <w:r>
              <w:t>0.35</w:t>
            </w:r>
          </w:p>
        </w:tc>
        <w:tc>
          <w:tcPr>
            <w:tcW w:w="964" w:type="dxa"/>
            <w:vAlign w:val="center"/>
          </w:tcPr>
          <w:p w14:paraId="631452A9">
            <w:pPr>
              <w:pStyle w:val="11"/>
            </w:pPr>
            <w:r>
              <w:t>0.35</w:t>
            </w:r>
          </w:p>
        </w:tc>
        <w:tc>
          <w:tcPr>
            <w:tcW w:w="964" w:type="dxa"/>
            <w:vAlign w:val="center"/>
          </w:tcPr>
          <w:p w14:paraId="0F331A30">
            <w:pPr>
              <w:pStyle w:val="11"/>
            </w:pPr>
          </w:p>
        </w:tc>
        <w:tc>
          <w:tcPr>
            <w:tcW w:w="964" w:type="dxa"/>
            <w:vAlign w:val="center"/>
          </w:tcPr>
          <w:p w14:paraId="7E8DCBAD">
            <w:pPr>
              <w:pStyle w:val="11"/>
            </w:pPr>
          </w:p>
        </w:tc>
        <w:tc>
          <w:tcPr>
            <w:tcW w:w="964" w:type="dxa"/>
            <w:vAlign w:val="center"/>
          </w:tcPr>
          <w:p w14:paraId="1C812BBF">
            <w:pPr>
              <w:pStyle w:val="11"/>
            </w:pPr>
          </w:p>
        </w:tc>
        <w:tc>
          <w:tcPr>
            <w:tcW w:w="964" w:type="dxa"/>
            <w:vAlign w:val="center"/>
          </w:tcPr>
          <w:p w14:paraId="68BAFA5B">
            <w:pPr>
              <w:pStyle w:val="11"/>
            </w:pPr>
          </w:p>
        </w:tc>
        <w:tc>
          <w:tcPr>
            <w:tcW w:w="964" w:type="dxa"/>
            <w:vAlign w:val="center"/>
          </w:tcPr>
          <w:p w14:paraId="0745B98E">
            <w:pPr>
              <w:pStyle w:val="11"/>
            </w:pPr>
          </w:p>
        </w:tc>
        <w:tc>
          <w:tcPr>
            <w:tcW w:w="964" w:type="dxa"/>
            <w:vAlign w:val="center"/>
          </w:tcPr>
          <w:p w14:paraId="236BA036">
            <w:pPr>
              <w:pStyle w:val="11"/>
            </w:pPr>
          </w:p>
        </w:tc>
        <w:tc>
          <w:tcPr>
            <w:tcW w:w="964" w:type="dxa"/>
            <w:vAlign w:val="center"/>
          </w:tcPr>
          <w:p w14:paraId="7B5BF44C">
            <w:pPr>
              <w:pStyle w:val="11"/>
            </w:pPr>
            <w:r>
              <w:t>0.35</w:t>
            </w:r>
          </w:p>
        </w:tc>
      </w:tr>
      <w:tr w14:paraId="249C0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A16A27">
            <w:pPr>
              <w:pStyle w:val="12"/>
            </w:pPr>
            <w:r>
              <w:t>冀财教[2025]121号/中央/2026年义教补助经费/牛家桥校区开河小学公用经费</w:t>
            </w:r>
          </w:p>
        </w:tc>
        <w:tc>
          <w:tcPr>
            <w:tcW w:w="964" w:type="dxa"/>
            <w:vAlign w:val="center"/>
          </w:tcPr>
          <w:p w14:paraId="30E8E277">
            <w:pPr>
              <w:pStyle w:val="11"/>
            </w:pPr>
            <w:r>
              <w:t>41.70</w:t>
            </w:r>
          </w:p>
        </w:tc>
        <w:tc>
          <w:tcPr>
            <w:tcW w:w="1134" w:type="dxa"/>
            <w:vAlign w:val="center"/>
          </w:tcPr>
          <w:p w14:paraId="48A80E0B">
            <w:pPr>
              <w:pStyle w:val="12"/>
            </w:pPr>
            <w:r>
              <w:t>复印机</w:t>
            </w:r>
          </w:p>
        </w:tc>
        <w:tc>
          <w:tcPr>
            <w:tcW w:w="1134" w:type="dxa"/>
            <w:vAlign w:val="center"/>
          </w:tcPr>
          <w:p w14:paraId="2E0BABDB">
            <w:pPr>
              <w:pStyle w:val="12"/>
            </w:pPr>
            <w:r>
              <w:t>A02020100</w:t>
            </w:r>
          </w:p>
        </w:tc>
        <w:tc>
          <w:tcPr>
            <w:tcW w:w="709" w:type="dxa"/>
            <w:vAlign w:val="center"/>
          </w:tcPr>
          <w:p w14:paraId="52CCCCED">
            <w:pPr>
              <w:pStyle w:val="13"/>
            </w:pPr>
            <w:r>
              <w:t>台</w:t>
            </w:r>
          </w:p>
        </w:tc>
        <w:tc>
          <w:tcPr>
            <w:tcW w:w="850" w:type="dxa"/>
            <w:vAlign w:val="center"/>
          </w:tcPr>
          <w:p w14:paraId="0D3D2C1D">
            <w:pPr>
              <w:pStyle w:val="11"/>
            </w:pPr>
            <w:r>
              <w:t>1</w:t>
            </w:r>
          </w:p>
        </w:tc>
        <w:tc>
          <w:tcPr>
            <w:tcW w:w="850" w:type="dxa"/>
            <w:vAlign w:val="center"/>
          </w:tcPr>
          <w:p w14:paraId="7F35021C">
            <w:pPr>
              <w:pStyle w:val="11"/>
            </w:pPr>
            <w:r>
              <w:t>1.60</w:t>
            </w:r>
          </w:p>
        </w:tc>
        <w:tc>
          <w:tcPr>
            <w:tcW w:w="964" w:type="dxa"/>
            <w:vAlign w:val="center"/>
          </w:tcPr>
          <w:p w14:paraId="05FA38B3">
            <w:pPr>
              <w:pStyle w:val="11"/>
            </w:pPr>
            <w:r>
              <w:t>1.60</w:t>
            </w:r>
          </w:p>
        </w:tc>
        <w:tc>
          <w:tcPr>
            <w:tcW w:w="964" w:type="dxa"/>
            <w:vAlign w:val="center"/>
          </w:tcPr>
          <w:p w14:paraId="299FB657">
            <w:pPr>
              <w:pStyle w:val="11"/>
            </w:pPr>
            <w:r>
              <w:t>1.60</w:t>
            </w:r>
          </w:p>
        </w:tc>
        <w:tc>
          <w:tcPr>
            <w:tcW w:w="964" w:type="dxa"/>
            <w:vAlign w:val="center"/>
          </w:tcPr>
          <w:p w14:paraId="4DF956AF">
            <w:pPr>
              <w:pStyle w:val="11"/>
            </w:pPr>
          </w:p>
        </w:tc>
        <w:tc>
          <w:tcPr>
            <w:tcW w:w="964" w:type="dxa"/>
            <w:vAlign w:val="center"/>
          </w:tcPr>
          <w:p w14:paraId="74243C33">
            <w:pPr>
              <w:pStyle w:val="11"/>
            </w:pPr>
          </w:p>
        </w:tc>
        <w:tc>
          <w:tcPr>
            <w:tcW w:w="964" w:type="dxa"/>
            <w:vAlign w:val="center"/>
          </w:tcPr>
          <w:p w14:paraId="0F3C8F89">
            <w:pPr>
              <w:pStyle w:val="11"/>
            </w:pPr>
          </w:p>
        </w:tc>
        <w:tc>
          <w:tcPr>
            <w:tcW w:w="964" w:type="dxa"/>
            <w:vAlign w:val="center"/>
          </w:tcPr>
          <w:p w14:paraId="20D10C85">
            <w:pPr>
              <w:pStyle w:val="11"/>
            </w:pPr>
          </w:p>
        </w:tc>
        <w:tc>
          <w:tcPr>
            <w:tcW w:w="964" w:type="dxa"/>
            <w:vAlign w:val="center"/>
          </w:tcPr>
          <w:p w14:paraId="26C4801E">
            <w:pPr>
              <w:pStyle w:val="11"/>
            </w:pPr>
          </w:p>
        </w:tc>
        <w:tc>
          <w:tcPr>
            <w:tcW w:w="964" w:type="dxa"/>
            <w:vAlign w:val="center"/>
          </w:tcPr>
          <w:p w14:paraId="7A18B33E">
            <w:pPr>
              <w:pStyle w:val="11"/>
            </w:pPr>
          </w:p>
        </w:tc>
        <w:tc>
          <w:tcPr>
            <w:tcW w:w="964" w:type="dxa"/>
            <w:vAlign w:val="center"/>
          </w:tcPr>
          <w:p w14:paraId="6D11F8AA">
            <w:pPr>
              <w:pStyle w:val="11"/>
            </w:pPr>
            <w:r>
              <w:t>1.60</w:t>
            </w:r>
          </w:p>
        </w:tc>
      </w:tr>
      <w:tr w14:paraId="0777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78F81A">
            <w:pPr>
              <w:pStyle w:val="12"/>
            </w:pPr>
            <w:r>
              <w:t>冀财教[2025]121号/中央/2026年义教补助经费/牛家桥校区牛家桥小学公用经费</w:t>
            </w:r>
          </w:p>
        </w:tc>
        <w:tc>
          <w:tcPr>
            <w:tcW w:w="964" w:type="dxa"/>
            <w:vAlign w:val="center"/>
          </w:tcPr>
          <w:p w14:paraId="7543B5EC">
            <w:pPr>
              <w:pStyle w:val="11"/>
            </w:pPr>
            <w:r>
              <w:t>43.36</w:t>
            </w:r>
          </w:p>
        </w:tc>
        <w:tc>
          <w:tcPr>
            <w:tcW w:w="1134" w:type="dxa"/>
            <w:vAlign w:val="center"/>
          </w:tcPr>
          <w:p w14:paraId="5BD55D0D">
            <w:pPr>
              <w:pStyle w:val="12"/>
            </w:pPr>
            <w:r>
              <w:t>台式计算机</w:t>
            </w:r>
          </w:p>
        </w:tc>
        <w:tc>
          <w:tcPr>
            <w:tcW w:w="1134" w:type="dxa"/>
            <w:vAlign w:val="center"/>
          </w:tcPr>
          <w:p w14:paraId="75352193">
            <w:pPr>
              <w:pStyle w:val="12"/>
            </w:pPr>
            <w:r>
              <w:t>A02010105</w:t>
            </w:r>
          </w:p>
        </w:tc>
        <w:tc>
          <w:tcPr>
            <w:tcW w:w="709" w:type="dxa"/>
            <w:vAlign w:val="center"/>
          </w:tcPr>
          <w:p w14:paraId="4290DED2">
            <w:pPr>
              <w:pStyle w:val="13"/>
            </w:pPr>
            <w:r>
              <w:t>台</w:t>
            </w:r>
          </w:p>
        </w:tc>
        <w:tc>
          <w:tcPr>
            <w:tcW w:w="850" w:type="dxa"/>
            <w:vAlign w:val="center"/>
          </w:tcPr>
          <w:p w14:paraId="6B79D330">
            <w:pPr>
              <w:pStyle w:val="11"/>
            </w:pPr>
            <w:r>
              <w:t>1</w:t>
            </w:r>
          </w:p>
        </w:tc>
        <w:tc>
          <w:tcPr>
            <w:tcW w:w="850" w:type="dxa"/>
            <w:vAlign w:val="center"/>
          </w:tcPr>
          <w:p w14:paraId="5540496D">
            <w:pPr>
              <w:pStyle w:val="11"/>
            </w:pPr>
            <w:r>
              <w:t>0.35</w:t>
            </w:r>
          </w:p>
        </w:tc>
        <w:tc>
          <w:tcPr>
            <w:tcW w:w="964" w:type="dxa"/>
            <w:vAlign w:val="center"/>
          </w:tcPr>
          <w:p w14:paraId="5A41FE86">
            <w:pPr>
              <w:pStyle w:val="11"/>
            </w:pPr>
            <w:r>
              <w:t>0.35</w:t>
            </w:r>
          </w:p>
        </w:tc>
        <w:tc>
          <w:tcPr>
            <w:tcW w:w="964" w:type="dxa"/>
            <w:vAlign w:val="center"/>
          </w:tcPr>
          <w:p w14:paraId="5F369538">
            <w:pPr>
              <w:pStyle w:val="11"/>
            </w:pPr>
            <w:r>
              <w:t>0.35</w:t>
            </w:r>
          </w:p>
        </w:tc>
        <w:tc>
          <w:tcPr>
            <w:tcW w:w="964" w:type="dxa"/>
            <w:vAlign w:val="center"/>
          </w:tcPr>
          <w:p w14:paraId="53695A02">
            <w:pPr>
              <w:pStyle w:val="11"/>
            </w:pPr>
          </w:p>
        </w:tc>
        <w:tc>
          <w:tcPr>
            <w:tcW w:w="964" w:type="dxa"/>
            <w:vAlign w:val="center"/>
          </w:tcPr>
          <w:p w14:paraId="418E0732">
            <w:pPr>
              <w:pStyle w:val="11"/>
            </w:pPr>
          </w:p>
        </w:tc>
        <w:tc>
          <w:tcPr>
            <w:tcW w:w="964" w:type="dxa"/>
            <w:vAlign w:val="center"/>
          </w:tcPr>
          <w:p w14:paraId="33C0DA10">
            <w:pPr>
              <w:pStyle w:val="11"/>
            </w:pPr>
          </w:p>
        </w:tc>
        <w:tc>
          <w:tcPr>
            <w:tcW w:w="964" w:type="dxa"/>
            <w:vAlign w:val="center"/>
          </w:tcPr>
          <w:p w14:paraId="5A7F7AF1">
            <w:pPr>
              <w:pStyle w:val="11"/>
            </w:pPr>
          </w:p>
        </w:tc>
        <w:tc>
          <w:tcPr>
            <w:tcW w:w="964" w:type="dxa"/>
            <w:vAlign w:val="center"/>
          </w:tcPr>
          <w:p w14:paraId="3828F72E">
            <w:pPr>
              <w:pStyle w:val="11"/>
            </w:pPr>
          </w:p>
        </w:tc>
        <w:tc>
          <w:tcPr>
            <w:tcW w:w="964" w:type="dxa"/>
            <w:vAlign w:val="center"/>
          </w:tcPr>
          <w:p w14:paraId="0A26DA41">
            <w:pPr>
              <w:pStyle w:val="11"/>
            </w:pPr>
          </w:p>
        </w:tc>
        <w:tc>
          <w:tcPr>
            <w:tcW w:w="964" w:type="dxa"/>
            <w:vAlign w:val="center"/>
          </w:tcPr>
          <w:p w14:paraId="72FB022D">
            <w:pPr>
              <w:pStyle w:val="11"/>
            </w:pPr>
            <w:r>
              <w:t>0.35</w:t>
            </w:r>
          </w:p>
        </w:tc>
      </w:tr>
      <w:tr w14:paraId="77886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2D346">
            <w:pPr>
              <w:pStyle w:val="12"/>
            </w:pPr>
            <w:r>
              <w:t>冀财教[2025]121号/中央/2026年义教补助经费/牛家桥校区牛家桥小学公用经费</w:t>
            </w:r>
          </w:p>
        </w:tc>
        <w:tc>
          <w:tcPr>
            <w:tcW w:w="964" w:type="dxa"/>
            <w:vAlign w:val="center"/>
          </w:tcPr>
          <w:p w14:paraId="67AC9FB7">
            <w:pPr>
              <w:pStyle w:val="11"/>
            </w:pPr>
            <w:r>
              <w:t>43.36</w:t>
            </w:r>
          </w:p>
        </w:tc>
        <w:tc>
          <w:tcPr>
            <w:tcW w:w="1134" w:type="dxa"/>
            <w:vAlign w:val="center"/>
          </w:tcPr>
          <w:p w14:paraId="56DE922D">
            <w:pPr>
              <w:pStyle w:val="12"/>
            </w:pPr>
            <w:r>
              <w:t>多功能一体机</w:t>
            </w:r>
          </w:p>
        </w:tc>
        <w:tc>
          <w:tcPr>
            <w:tcW w:w="1134" w:type="dxa"/>
            <w:vAlign w:val="center"/>
          </w:tcPr>
          <w:p w14:paraId="73737687">
            <w:pPr>
              <w:pStyle w:val="12"/>
            </w:pPr>
            <w:r>
              <w:t>A02020400</w:t>
            </w:r>
          </w:p>
        </w:tc>
        <w:tc>
          <w:tcPr>
            <w:tcW w:w="709" w:type="dxa"/>
            <w:vAlign w:val="center"/>
          </w:tcPr>
          <w:p w14:paraId="4E10B839">
            <w:pPr>
              <w:pStyle w:val="13"/>
            </w:pPr>
            <w:r>
              <w:t>台</w:t>
            </w:r>
          </w:p>
        </w:tc>
        <w:tc>
          <w:tcPr>
            <w:tcW w:w="850" w:type="dxa"/>
            <w:vAlign w:val="center"/>
          </w:tcPr>
          <w:p w14:paraId="6BCEFBF4">
            <w:pPr>
              <w:pStyle w:val="11"/>
            </w:pPr>
            <w:r>
              <w:t>1</w:t>
            </w:r>
          </w:p>
        </w:tc>
        <w:tc>
          <w:tcPr>
            <w:tcW w:w="850" w:type="dxa"/>
            <w:vAlign w:val="center"/>
          </w:tcPr>
          <w:p w14:paraId="17247250">
            <w:pPr>
              <w:pStyle w:val="11"/>
            </w:pPr>
            <w:r>
              <w:t>1.80</w:t>
            </w:r>
          </w:p>
        </w:tc>
        <w:tc>
          <w:tcPr>
            <w:tcW w:w="964" w:type="dxa"/>
            <w:vAlign w:val="center"/>
          </w:tcPr>
          <w:p w14:paraId="39F5254C">
            <w:pPr>
              <w:pStyle w:val="11"/>
            </w:pPr>
            <w:r>
              <w:t>1.80</w:t>
            </w:r>
          </w:p>
        </w:tc>
        <w:tc>
          <w:tcPr>
            <w:tcW w:w="964" w:type="dxa"/>
            <w:vAlign w:val="center"/>
          </w:tcPr>
          <w:p w14:paraId="686D18AD">
            <w:pPr>
              <w:pStyle w:val="11"/>
            </w:pPr>
            <w:r>
              <w:t>1.80</w:t>
            </w:r>
          </w:p>
        </w:tc>
        <w:tc>
          <w:tcPr>
            <w:tcW w:w="964" w:type="dxa"/>
            <w:vAlign w:val="center"/>
          </w:tcPr>
          <w:p w14:paraId="577E4A61">
            <w:pPr>
              <w:pStyle w:val="11"/>
            </w:pPr>
          </w:p>
        </w:tc>
        <w:tc>
          <w:tcPr>
            <w:tcW w:w="964" w:type="dxa"/>
            <w:vAlign w:val="center"/>
          </w:tcPr>
          <w:p w14:paraId="69B325B6">
            <w:pPr>
              <w:pStyle w:val="11"/>
            </w:pPr>
          </w:p>
        </w:tc>
        <w:tc>
          <w:tcPr>
            <w:tcW w:w="964" w:type="dxa"/>
            <w:vAlign w:val="center"/>
          </w:tcPr>
          <w:p w14:paraId="6873E93D">
            <w:pPr>
              <w:pStyle w:val="11"/>
            </w:pPr>
          </w:p>
        </w:tc>
        <w:tc>
          <w:tcPr>
            <w:tcW w:w="964" w:type="dxa"/>
            <w:vAlign w:val="center"/>
          </w:tcPr>
          <w:p w14:paraId="5F3B4C77">
            <w:pPr>
              <w:pStyle w:val="11"/>
            </w:pPr>
          </w:p>
        </w:tc>
        <w:tc>
          <w:tcPr>
            <w:tcW w:w="964" w:type="dxa"/>
            <w:vAlign w:val="center"/>
          </w:tcPr>
          <w:p w14:paraId="39C25788">
            <w:pPr>
              <w:pStyle w:val="11"/>
            </w:pPr>
          </w:p>
        </w:tc>
        <w:tc>
          <w:tcPr>
            <w:tcW w:w="964" w:type="dxa"/>
            <w:vAlign w:val="center"/>
          </w:tcPr>
          <w:p w14:paraId="4FC1F515">
            <w:pPr>
              <w:pStyle w:val="11"/>
            </w:pPr>
          </w:p>
        </w:tc>
        <w:tc>
          <w:tcPr>
            <w:tcW w:w="964" w:type="dxa"/>
            <w:vAlign w:val="center"/>
          </w:tcPr>
          <w:p w14:paraId="1D0DC1ED">
            <w:pPr>
              <w:pStyle w:val="11"/>
            </w:pPr>
            <w:r>
              <w:t>1.80</w:t>
            </w:r>
          </w:p>
        </w:tc>
      </w:tr>
      <w:tr w14:paraId="4B99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37B7DA">
            <w:pPr>
              <w:pStyle w:val="12"/>
            </w:pPr>
            <w:r>
              <w:t>冀财教[2025]121号/中央/2026年义教补助经费/牛家桥校区牛家桥小学公用经费</w:t>
            </w:r>
          </w:p>
        </w:tc>
        <w:tc>
          <w:tcPr>
            <w:tcW w:w="964" w:type="dxa"/>
            <w:vAlign w:val="center"/>
          </w:tcPr>
          <w:p w14:paraId="04B9077B">
            <w:pPr>
              <w:pStyle w:val="11"/>
            </w:pPr>
            <w:r>
              <w:t>43.36</w:t>
            </w:r>
          </w:p>
        </w:tc>
        <w:tc>
          <w:tcPr>
            <w:tcW w:w="1134" w:type="dxa"/>
            <w:vAlign w:val="center"/>
          </w:tcPr>
          <w:p w14:paraId="7FF217FA">
            <w:pPr>
              <w:pStyle w:val="12"/>
            </w:pPr>
            <w:r>
              <w:t>文件柜</w:t>
            </w:r>
          </w:p>
        </w:tc>
        <w:tc>
          <w:tcPr>
            <w:tcW w:w="1134" w:type="dxa"/>
            <w:vAlign w:val="center"/>
          </w:tcPr>
          <w:p w14:paraId="26776DEF">
            <w:pPr>
              <w:pStyle w:val="12"/>
            </w:pPr>
            <w:r>
              <w:t>A05010502</w:t>
            </w:r>
          </w:p>
        </w:tc>
        <w:tc>
          <w:tcPr>
            <w:tcW w:w="709" w:type="dxa"/>
            <w:vAlign w:val="center"/>
          </w:tcPr>
          <w:p w14:paraId="30EE9EC6">
            <w:pPr>
              <w:pStyle w:val="13"/>
            </w:pPr>
            <w:r>
              <w:t>节</w:t>
            </w:r>
          </w:p>
        </w:tc>
        <w:tc>
          <w:tcPr>
            <w:tcW w:w="850" w:type="dxa"/>
            <w:vAlign w:val="center"/>
          </w:tcPr>
          <w:p w14:paraId="1708861A">
            <w:pPr>
              <w:pStyle w:val="11"/>
            </w:pPr>
            <w:r>
              <w:t>23</w:t>
            </w:r>
          </w:p>
        </w:tc>
        <w:tc>
          <w:tcPr>
            <w:tcW w:w="850" w:type="dxa"/>
            <w:vAlign w:val="center"/>
          </w:tcPr>
          <w:p w14:paraId="6090B10B">
            <w:pPr>
              <w:pStyle w:val="11"/>
            </w:pPr>
            <w:r>
              <w:t>0.01</w:t>
            </w:r>
          </w:p>
        </w:tc>
        <w:tc>
          <w:tcPr>
            <w:tcW w:w="964" w:type="dxa"/>
            <w:vAlign w:val="center"/>
          </w:tcPr>
          <w:p w14:paraId="5E3D344E">
            <w:pPr>
              <w:pStyle w:val="11"/>
            </w:pPr>
            <w:r>
              <w:t>0.28</w:t>
            </w:r>
          </w:p>
        </w:tc>
        <w:tc>
          <w:tcPr>
            <w:tcW w:w="964" w:type="dxa"/>
            <w:vAlign w:val="center"/>
          </w:tcPr>
          <w:p w14:paraId="45E3A0E9">
            <w:pPr>
              <w:pStyle w:val="11"/>
            </w:pPr>
            <w:r>
              <w:t>0.28</w:t>
            </w:r>
          </w:p>
        </w:tc>
        <w:tc>
          <w:tcPr>
            <w:tcW w:w="964" w:type="dxa"/>
            <w:vAlign w:val="center"/>
          </w:tcPr>
          <w:p w14:paraId="2F113E62">
            <w:pPr>
              <w:pStyle w:val="11"/>
            </w:pPr>
          </w:p>
        </w:tc>
        <w:tc>
          <w:tcPr>
            <w:tcW w:w="964" w:type="dxa"/>
            <w:vAlign w:val="center"/>
          </w:tcPr>
          <w:p w14:paraId="1A81FD06">
            <w:pPr>
              <w:pStyle w:val="11"/>
            </w:pPr>
          </w:p>
        </w:tc>
        <w:tc>
          <w:tcPr>
            <w:tcW w:w="964" w:type="dxa"/>
            <w:vAlign w:val="center"/>
          </w:tcPr>
          <w:p w14:paraId="379D92F4">
            <w:pPr>
              <w:pStyle w:val="11"/>
            </w:pPr>
          </w:p>
        </w:tc>
        <w:tc>
          <w:tcPr>
            <w:tcW w:w="964" w:type="dxa"/>
            <w:vAlign w:val="center"/>
          </w:tcPr>
          <w:p w14:paraId="7A5ABF53">
            <w:pPr>
              <w:pStyle w:val="11"/>
            </w:pPr>
          </w:p>
        </w:tc>
        <w:tc>
          <w:tcPr>
            <w:tcW w:w="964" w:type="dxa"/>
            <w:vAlign w:val="center"/>
          </w:tcPr>
          <w:p w14:paraId="2F74B479">
            <w:pPr>
              <w:pStyle w:val="11"/>
            </w:pPr>
          </w:p>
        </w:tc>
        <w:tc>
          <w:tcPr>
            <w:tcW w:w="964" w:type="dxa"/>
            <w:vAlign w:val="center"/>
          </w:tcPr>
          <w:p w14:paraId="65FE627B">
            <w:pPr>
              <w:pStyle w:val="11"/>
            </w:pPr>
          </w:p>
        </w:tc>
        <w:tc>
          <w:tcPr>
            <w:tcW w:w="964" w:type="dxa"/>
            <w:vAlign w:val="center"/>
          </w:tcPr>
          <w:p w14:paraId="09AF936F">
            <w:pPr>
              <w:pStyle w:val="11"/>
            </w:pPr>
            <w:r>
              <w:t>0.28</w:t>
            </w:r>
          </w:p>
        </w:tc>
      </w:tr>
      <w:tr w14:paraId="466A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1136CD">
            <w:pPr>
              <w:pStyle w:val="12"/>
            </w:pPr>
            <w:r>
              <w:t>冀财教[2025]122号/中央/支持学前教育发展/牛家桥校区幼儿园设备购置</w:t>
            </w:r>
          </w:p>
        </w:tc>
        <w:tc>
          <w:tcPr>
            <w:tcW w:w="964" w:type="dxa"/>
            <w:vAlign w:val="center"/>
          </w:tcPr>
          <w:p w14:paraId="19B1F4B3">
            <w:pPr>
              <w:pStyle w:val="11"/>
            </w:pPr>
            <w:r>
              <w:t>9.80</w:t>
            </w:r>
          </w:p>
        </w:tc>
        <w:tc>
          <w:tcPr>
            <w:tcW w:w="1134" w:type="dxa"/>
            <w:vAlign w:val="center"/>
          </w:tcPr>
          <w:p w14:paraId="1392F001">
            <w:pPr>
              <w:pStyle w:val="12"/>
            </w:pPr>
            <w:r>
              <w:t>A4 彩色打印机</w:t>
            </w:r>
          </w:p>
        </w:tc>
        <w:tc>
          <w:tcPr>
            <w:tcW w:w="1134" w:type="dxa"/>
            <w:vAlign w:val="center"/>
          </w:tcPr>
          <w:p w14:paraId="48C64D93">
            <w:pPr>
              <w:pStyle w:val="12"/>
            </w:pPr>
            <w:r>
              <w:t>A02021004</w:t>
            </w:r>
          </w:p>
        </w:tc>
        <w:tc>
          <w:tcPr>
            <w:tcW w:w="709" w:type="dxa"/>
            <w:vAlign w:val="center"/>
          </w:tcPr>
          <w:p w14:paraId="010787E2">
            <w:pPr>
              <w:pStyle w:val="13"/>
            </w:pPr>
            <w:r>
              <w:t>台</w:t>
            </w:r>
          </w:p>
        </w:tc>
        <w:tc>
          <w:tcPr>
            <w:tcW w:w="850" w:type="dxa"/>
            <w:vAlign w:val="center"/>
          </w:tcPr>
          <w:p w14:paraId="51B6816B">
            <w:pPr>
              <w:pStyle w:val="11"/>
            </w:pPr>
            <w:r>
              <w:t>3</w:t>
            </w:r>
          </w:p>
        </w:tc>
        <w:tc>
          <w:tcPr>
            <w:tcW w:w="850" w:type="dxa"/>
            <w:vAlign w:val="center"/>
          </w:tcPr>
          <w:p w14:paraId="74B3DA00">
            <w:pPr>
              <w:pStyle w:val="11"/>
            </w:pPr>
            <w:r>
              <w:t>0.20</w:t>
            </w:r>
          </w:p>
        </w:tc>
        <w:tc>
          <w:tcPr>
            <w:tcW w:w="964" w:type="dxa"/>
            <w:vAlign w:val="center"/>
          </w:tcPr>
          <w:p w14:paraId="4D83BDC1">
            <w:pPr>
              <w:pStyle w:val="11"/>
            </w:pPr>
            <w:r>
              <w:t>0.60</w:t>
            </w:r>
          </w:p>
        </w:tc>
        <w:tc>
          <w:tcPr>
            <w:tcW w:w="964" w:type="dxa"/>
            <w:vAlign w:val="center"/>
          </w:tcPr>
          <w:p w14:paraId="3702389E">
            <w:pPr>
              <w:pStyle w:val="11"/>
            </w:pPr>
            <w:r>
              <w:t>0.60</w:t>
            </w:r>
          </w:p>
        </w:tc>
        <w:tc>
          <w:tcPr>
            <w:tcW w:w="964" w:type="dxa"/>
            <w:vAlign w:val="center"/>
          </w:tcPr>
          <w:p w14:paraId="42FBD0EC">
            <w:pPr>
              <w:pStyle w:val="11"/>
            </w:pPr>
          </w:p>
        </w:tc>
        <w:tc>
          <w:tcPr>
            <w:tcW w:w="964" w:type="dxa"/>
            <w:vAlign w:val="center"/>
          </w:tcPr>
          <w:p w14:paraId="0ACF3125">
            <w:pPr>
              <w:pStyle w:val="11"/>
            </w:pPr>
          </w:p>
        </w:tc>
        <w:tc>
          <w:tcPr>
            <w:tcW w:w="964" w:type="dxa"/>
            <w:vAlign w:val="center"/>
          </w:tcPr>
          <w:p w14:paraId="0BDAA507">
            <w:pPr>
              <w:pStyle w:val="11"/>
            </w:pPr>
          </w:p>
        </w:tc>
        <w:tc>
          <w:tcPr>
            <w:tcW w:w="964" w:type="dxa"/>
            <w:vAlign w:val="center"/>
          </w:tcPr>
          <w:p w14:paraId="448A9173">
            <w:pPr>
              <w:pStyle w:val="11"/>
            </w:pPr>
          </w:p>
        </w:tc>
        <w:tc>
          <w:tcPr>
            <w:tcW w:w="964" w:type="dxa"/>
            <w:vAlign w:val="center"/>
          </w:tcPr>
          <w:p w14:paraId="3FA92855">
            <w:pPr>
              <w:pStyle w:val="11"/>
            </w:pPr>
          </w:p>
        </w:tc>
        <w:tc>
          <w:tcPr>
            <w:tcW w:w="964" w:type="dxa"/>
            <w:vAlign w:val="center"/>
          </w:tcPr>
          <w:p w14:paraId="4C8D1BBD">
            <w:pPr>
              <w:pStyle w:val="11"/>
            </w:pPr>
          </w:p>
        </w:tc>
        <w:tc>
          <w:tcPr>
            <w:tcW w:w="964" w:type="dxa"/>
            <w:vAlign w:val="center"/>
          </w:tcPr>
          <w:p w14:paraId="1B1B0ACE">
            <w:pPr>
              <w:pStyle w:val="11"/>
            </w:pPr>
            <w:r>
              <w:t>0.60</w:t>
            </w:r>
          </w:p>
        </w:tc>
      </w:tr>
      <w:tr w14:paraId="72B1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79815B">
            <w:pPr>
              <w:pStyle w:val="12"/>
            </w:pPr>
            <w:r>
              <w:t>冀财教[2025]148号/支持义务教育发展/牛家桥校区旧城小学公用经费</w:t>
            </w:r>
          </w:p>
        </w:tc>
        <w:tc>
          <w:tcPr>
            <w:tcW w:w="964" w:type="dxa"/>
            <w:vAlign w:val="center"/>
          </w:tcPr>
          <w:p w14:paraId="71E50AA8">
            <w:pPr>
              <w:pStyle w:val="11"/>
            </w:pPr>
            <w:r>
              <w:t>6.00</w:t>
            </w:r>
          </w:p>
        </w:tc>
        <w:tc>
          <w:tcPr>
            <w:tcW w:w="1134" w:type="dxa"/>
            <w:vAlign w:val="center"/>
          </w:tcPr>
          <w:p w14:paraId="0F8691B9">
            <w:pPr>
              <w:pStyle w:val="12"/>
            </w:pPr>
            <w:r>
              <w:t>触控一体机</w:t>
            </w:r>
          </w:p>
        </w:tc>
        <w:tc>
          <w:tcPr>
            <w:tcW w:w="1134" w:type="dxa"/>
            <w:vAlign w:val="center"/>
          </w:tcPr>
          <w:p w14:paraId="78E47B3A">
            <w:pPr>
              <w:pStyle w:val="12"/>
            </w:pPr>
            <w:r>
              <w:t>A02020800</w:t>
            </w:r>
          </w:p>
        </w:tc>
        <w:tc>
          <w:tcPr>
            <w:tcW w:w="709" w:type="dxa"/>
            <w:vAlign w:val="center"/>
          </w:tcPr>
          <w:p w14:paraId="70044E9D">
            <w:pPr>
              <w:pStyle w:val="13"/>
            </w:pPr>
            <w:r>
              <w:t>台</w:t>
            </w:r>
          </w:p>
        </w:tc>
        <w:tc>
          <w:tcPr>
            <w:tcW w:w="850" w:type="dxa"/>
            <w:vAlign w:val="center"/>
          </w:tcPr>
          <w:p w14:paraId="75C27DA1">
            <w:pPr>
              <w:pStyle w:val="11"/>
            </w:pPr>
            <w:r>
              <w:t>3</w:t>
            </w:r>
          </w:p>
        </w:tc>
        <w:tc>
          <w:tcPr>
            <w:tcW w:w="850" w:type="dxa"/>
            <w:vAlign w:val="center"/>
          </w:tcPr>
          <w:p w14:paraId="7CE79047">
            <w:pPr>
              <w:pStyle w:val="11"/>
            </w:pPr>
            <w:r>
              <w:t>2.00</w:t>
            </w:r>
          </w:p>
        </w:tc>
        <w:tc>
          <w:tcPr>
            <w:tcW w:w="964" w:type="dxa"/>
            <w:vAlign w:val="center"/>
          </w:tcPr>
          <w:p w14:paraId="06650EF7">
            <w:pPr>
              <w:pStyle w:val="11"/>
            </w:pPr>
            <w:r>
              <w:t>6.00</w:t>
            </w:r>
          </w:p>
        </w:tc>
        <w:tc>
          <w:tcPr>
            <w:tcW w:w="964" w:type="dxa"/>
            <w:vAlign w:val="center"/>
          </w:tcPr>
          <w:p w14:paraId="1DAA2E36">
            <w:pPr>
              <w:pStyle w:val="11"/>
            </w:pPr>
            <w:r>
              <w:t>6.00</w:t>
            </w:r>
          </w:p>
        </w:tc>
        <w:tc>
          <w:tcPr>
            <w:tcW w:w="964" w:type="dxa"/>
            <w:vAlign w:val="center"/>
          </w:tcPr>
          <w:p w14:paraId="51AFA6F1">
            <w:pPr>
              <w:pStyle w:val="11"/>
            </w:pPr>
          </w:p>
        </w:tc>
        <w:tc>
          <w:tcPr>
            <w:tcW w:w="964" w:type="dxa"/>
            <w:vAlign w:val="center"/>
          </w:tcPr>
          <w:p w14:paraId="27C99C3B">
            <w:pPr>
              <w:pStyle w:val="11"/>
            </w:pPr>
          </w:p>
        </w:tc>
        <w:tc>
          <w:tcPr>
            <w:tcW w:w="964" w:type="dxa"/>
            <w:vAlign w:val="center"/>
          </w:tcPr>
          <w:p w14:paraId="64503455">
            <w:pPr>
              <w:pStyle w:val="11"/>
            </w:pPr>
          </w:p>
        </w:tc>
        <w:tc>
          <w:tcPr>
            <w:tcW w:w="964" w:type="dxa"/>
            <w:vAlign w:val="center"/>
          </w:tcPr>
          <w:p w14:paraId="707CF37A">
            <w:pPr>
              <w:pStyle w:val="11"/>
            </w:pPr>
          </w:p>
        </w:tc>
        <w:tc>
          <w:tcPr>
            <w:tcW w:w="964" w:type="dxa"/>
            <w:vAlign w:val="center"/>
          </w:tcPr>
          <w:p w14:paraId="5A587C8D">
            <w:pPr>
              <w:pStyle w:val="11"/>
            </w:pPr>
          </w:p>
        </w:tc>
        <w:tc>
          <w:tcPr>
            <w:tcW w:w="964" w:type="dxa"/>
            <w:vAlign w:val="center"/>
          </w:tcPr>
          <w:p w14:paraId="7FCEE966">
            <w:pPr>
              <w:pStyle w:val="11"/>
            </w:pPr>
          </w:p>
        </w:tc>
        <w:tc>
          <w:tcPr>
            <w:tcW w:w="964" w:type="dxa"/>
            <w:vAlign w:val="center"/>
          </w:tcPr>
          <w:p w14:paraId="100008A4">
            <w:pPr>
              <w:pStyle w:val="11"/>
            </w:pPr>
            <w:r>
              <w:t>6.00</w:t>
            </w:r>
          </w:p>
        </w:tc>
      </w:tr>
      <w:tr w14:paraId="0532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36E2A0">
            <w:pPr>
              <w:pStyle w:val="12"/>
            </w:pPr>
            <w:r>
              <w:t>冀财教[2025]148号/支持义务教育发展/牛家桥校区开河小学空调购置</w:t>
            </w:r>
          </w:p>
        </w:tc>
        <w:tc>
          <w:tcPr>
            <w:tcW w:w="964" w:type="dxa"/>
            <w:vAlign w:val="center"/>
          </w:tcPr>
          <w:p w14:paraId="39B69061">
            <w:pPr>
              <w:pStyle w:val="11"/>
            </w:pPr>
            <w:r>
              <w:t>11.79</w:t>
            </w:r>
          </w:p>
        </w:tc>
        <w:tc>
          <w:tcPr>
            <w:tcW w:w="1134" w:type="dxa"/>
            <w:vAlign w:val="center"/>
          </w:tcPr>
          <w:p w14:paraId="6C1C883A">
            <w:pPr>
              <w:pStyle w:val="12"/>
            </w:pPr>
            <w:r>
              <w:t>空调机</w:t>
            </w:r>
          </w:p>
        </w:tc>
        <w:tc>
          <w:tcPr>
            <w:tcW w:w="1134" w:type="dxa"/>
            <w:vAlign w:val="center"/>
          </w:tcPr>
          <w:p w14:paraId="617D1960">
            <w:pPr>
              <w:pStyle w:val="12"/>
            </w:pPr>
            <w:r>
              <w:t>A02061804</w:t>
            </w:r>
          </w:p>
        </w:tc>
        <w:tc>
          <w:tcPr>
            <w:tcW w:w="709" w:type="dxa"/>
            <w:vAlign w:val="center"/>
          </w:tcPr>
          <w:p w14:paraId="6EBE4BC2">
            <w:pPr>
              <w:pStyle w:val="13"/>
            </w:pPr>
            <w:r>
              <w:t>台</w:t>
            </w:r>
          </w:p>
        </w:tc>
        <w:tc>
          <w:tcPr>
            <w:tcW w:w="850" w:type="dxa"/>
            <w:vAlign w:val="center"/>
          </w:tcPr>
          <w:p w14:paraId="5C0A9F56">
            <w:pPr>
              <w:pStyle w:val="11"/>
            </w:pPr>
            <w:r>
              <w:t>11</w:t>
            </w:r>
          </w:p>
        </w:tc>
        <w:tc>
          <w:tcPr>
            <w:tcW w:w="850" w:type="dxa"/>
            <w:vAlign w:val="center"/>
          </w:tcPr>
          <w:p w14:paraId="325EA253">
            <w:pPr>
              <w:pStyle w:val="11"/>
            </w:pPr>
            <w:r>
              <w:t>0.27</w:t>
            </w:r>
          </w:p>
        </w:tc>
        <w:tc>
          <w:tcPr>
            <w:tcW w:w="964" w:type="dxa"/>
            <w:vAlign w:val="center"/>
          </w:tcPr>
          <w:p w14:paraId="04BA3456">
            <w:pPr>
              <w:pStyle w:val="11"/>
            </w:pPr>
            <w:r>
              <w:t>2.92</w:t>
            </w:r>
          </w:p>
        </w:tc>
        <w:tc>
          <w:tcPr>
            <w:tcW w:w="964" w:type="dxa"/>
            <w:vAlign w:val="center"/>
          </w:tcPr>
          <w:p w14:paraId="76118AC1">
            <w:pPr>
              <w:pStyle w:val="11"/>
            </w:pPr>
            <w:r>
              <w:t>2.92</w:t>
            </w:r>
          </w:p>
        </w:tc>
        <w:tc>
          <w:tcPr>
            <w:tcW w:w="964" w:type="dxa"/>
            <w:vAlign w:val="center"/>
          </w:tcPr>
          <w:p w14:paraId="256439DB">
            <w:pPr>
              <w:pStyle w:val="11"/>
            </w:pPr>
          </w:p>
        </w:tc>
        <w:tc>
          <w:tcPr>
            <w:tcW w:w="964" w:type="dxa"/>
            <w:vAlign w:val="center"/>
          </w:tcPr>
          <w:p w14:paraId="474AC15B">
            <w:pPr>
              <w:pStyle w:val="11"/>
            </w:pPr>
          </w:p>
        </w:tc>
        <w:tc>
          <w:tcPr>
            <w:tcW w:w="964" w:type="dxa"/>
            <w:vAlign w:val="center"/>
          </w:tcPr>
          <w:p w14:paraId="44F9F85E">
            <w:pPr>
              <w:pStyle w:val="11"/>
            </w:pPr>
          </w:p>
        </w:tc>
        <w:tc>
          <w:tcPr>
            <w:tcW w:w="964" w:type="dxa"/>
            <w:vAlign w:val="center"/>
          </w:tcPr>
          <w:p w14:paraId="56565915">
            <w:pPr>
              <w:pStyle w:val="11"/>
            </w:pPr>
          </w:p>
        </w:tc>
        <w:tc>
          <w:tcPr>
            <w:tcW w:w="964" w:type="dxa"/>
            <w:vAlign w:val="center"/>
          </w:tcPr>
          <w:p w14:paraId="77319B9F">
            <w:pPr>
              <w:pStyle w:val="11"/>
            </w:pPr>
          </w:p>
        </w:tc>
        <w:tc>
          <w:tcPr>
            <w:tcW w:w="964" w:type="dxa"/>
            <w:vAlign w:val="center"/>
          </w:tcPr>
          <w:p w14:paraId="415C12F8">
            <w:pPr>
              <w:pStyle w:val="11"/>
            </w:pPr>
          </w:p>
        </w:tc>
        <w:tc>
          <w:tcPr>
            <w:tcW w:w="964" w:type="dxa"/>
            <w:vAlign w:val="center"/>
          </w:tcPr>
          <w:p w14:paraId="1CED9696">
            <w:pPr>
              <w:pStyle w:val="11"/>
            </w:pPr>
            <w:r>
              <w:t>2.92</w:t>
            </w:r>
          </w:p>
        </w:tc>
      </w:tr>
      <w:tr w14:paraId="308A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A3F763">
            <w:pPr>
              <w:pStyle w:val="12"/>
            </w:pPr>
            <w:r>
              <w:t>冀财教[2025]148号/支持义务教育发展/牛家桥校区开河小学空调购置</w:t>
            </w:r>
          </w:p>
        </w:tc>
        <w:tc>
          <w:tcPr>
            <w:tcW w:w="964" w:type="dxa"/>
            <w:vAlign w:val="center"/>
          </w:tcPr>
          <w:p w14:paraId="5E219597">
            <w:pPr>
              <w:pStyle w:val="11"/>
            </w:pPr>
            <w:r>
              <w:t>11.79</w:t>
            </w:r>
          </w:p>
        </w:tc>
        <w:tc>
          <w:tcPr>
            <w:tcW w:w="1134" w:type="dxa"/>
            <w:vAlign w:val="center"/>
          </w:tcPr>
          <w:p w14:paraId="206C4D7B">
            <w:pPr>
              <w:pStyle w:val="12"/>
            </w:pPr>
            <w:r>
              <w:t>空调机</w:t>
            </w:r>
          </w:p>
        </w:tc>
        <w:tc>
          <w:tcPr>
            <w:tcW w:w="1134" w:type="dxa"/>
            <w:vAlign w:val="center"/>
          </w:tcPr>
          <w:p w14:paraId="607BCE58">
            <w:pPr>
              <w:pStyle w:val="12"/>
            </w:pPr>
            <w:r>
              <w:t>A02061804</w:t>
            </w:r>
          </w:p>
        </w:tc>
        <w:tc>
          <w:tcPr>
            <w:tcW w:w="709" w:type="dxa"/>
            <w:vAlign w:val="center"/>
          </w:tcPr>
          <w:p w14:paraId="2FC73946">
            <w:pPr>
              <w:pStyle w:val="13"/>
            </w:pPr>
            <w:r>
              <w:t>台</w:t>
            </w:r>
          </w:p>
        </w:tc>
        <w:tc>
          <w:tcPr>
            <w:tcW w:w="850" w:type="dxa"/>
            <w:vAlign w:val="center"/>
          </w:tcPr>
          <w:p w14:paraId="04F4D193">
            <w:pPr>
              <w:pStyle w:val="11"/>
            </w:pPr>
            <w:r>
              <w:t>3</w:t>
            </w:r>
          </w:p>
        </w:tc>
        <w:tc>
          <w:tcPr>
            <w:tcW w:w="850" w:type="dxa"/>
            <w:vAlign w:val="center"/>
          </w:tcPr>
          <w:p w14:paraId="189B37D7">
            <w:pPr>
              <w:pStyle w:val="11"/>
            </w:pPr>
            <w:r>
              <w:t>0.32</w:t>
            </w:r>
          </w:p>
        </w:tc>
        <w:tc>
          <w:tcPr>
            <w:tcW w:w="964" w:type="dxa"/>
            <w:vAlign w:val="center"/>
          </w:tcPr>
          <w:p w14:paraId="6FF0E374">
            <w:pPr>
              <w:pStyle w:val="11"/>
            </w:pPr>
            <w:r>
              <w:t>0.95</w:t>
            </w:r>
          </w:p>
        </w:tc>
        <w:tc>
          <w:tcPr>
            <w:tcW w:w="964" w:type="dxa"/>
            <w:vAlign w:val="center"/>
          </w:tcPr>
          <w:p w14:paraId="67AD9776">
            <w:pPr>
              <w:pStyle w:val="11"/>
            </w:pPr>
            <w:r>
              <w:t>0.95</w:t>
            </w:r>
          </w:p>
        </w:tc>
        <w:tc>
          <w:tcPr>
            <w:tcW w:w="964" w:type="dxa"/>
            <w:vAlign w:val="center"/>
          </w:tcPr>
          <w:p w14:paraId="416FCD37">
            <w:pPr>
              <w:pStyle w:val="11"/>
            </w:pPr>
          </w:p>
        </w:tc>
        <w:tc>
          <w:tcPr>
            <w:tcW w:w="964" w:type="dxa"/>
            <w:vAlign w:val="center"/>
          </w:tcPr>
          <w:p w14:paraId="4CA95B23">
            <w:pPr>
              <w:pStyle w:val="11"/>
            </w:pPr>
          </w:p>
        </w:tc>
        <w:tc>
          <w:tcPr>
            <w:tcW w:w="964" w:type="dxa"/>
            <w:vAlign w:val="center"/>
          </w:tcPr>
          <w:p w14:paraId="605CA50F">
            <w:pPr>
              <w:pStyle w:val="11"/>
            </w:pPr>
          </w:p>
        </w:tc>
        <w:tc>
          <w:tcPr>
            <w:tcW w:w="964" w:type="dxa"/>
            <w:vAlign w:val="center"/>
          </w:tcPr>
          <w:p w14:paraId="71DC166C">
            <w:pPr>
              <w:pStyle w:val="11"/>
            </w:pPr>
          </w:p>
        </w:tc>
        <w:tc>
          <w:tcPr>
            <w:tcW w:w="964" w:type="dxa"/>
            <w:vAlign w:val="center"/>
          </w:tcPr>
          <w:p w14:paraId="60421AF5">
            <w:pPr>
              <w:pStyle w:val="11"/>
            </w:pPr>
          </w:p>
        </w:tc>
        <w:tc>
          <w:tcPr>
            <w:tcW w:w="964" w:type="dxa"/>
            <w:vAlign w:val="center"/>
          </w:tcPr>
          <w:p w14:paraId="1321ABF7">
            <w:pPr>
              <w:pStyle w:val="11"/>
            </w:pPr>
          </w:p>
        </w:tc>
        <w:tc>
          <w:tcPr>
            <w:tcW w:w="964" w:type="dxa"/>
            <w:vAlign w:val="center"/>
          </w:tcPr>
          <w:p w14:paraId="334E5391">
            <w:pPr>
              <w:pStyle w:val="11"/>
            </w:pPr>
            <w:r>
              <w:t>0.95</w:t>
            </w:r>
          </w:p>
        </w:tc>
      </w:tr>
      <w:tr w14:paraId="69B8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AC7E6E">
            <w:pPr>
              <w:pStyle w:val="12"/>
            </w:pPr>
            <w:r>
              <w:t>冀财教[2025]148号/支持义务教育发展/牛家桥校区开河小学空调购置</w:t>
            </w:r>
          </w:p>
        </w:tc>
        <w:tc>
          <w:tcPr>
            <w:tcW w:w="964" w:type="dxa"/>
            <w:vAlign w:val="center"/>
          </w:tcPr>
          <w:p w14:paraId="27B28B76">
            <w:pPr>
              <w:pStyle w:val="11"/>
            </w:pPr>
            <w:r>
              <w:t>11.79</w:t>
            </w:r>
          </w:p>
        </w:tc>
        <w:tc>
          <w:tcPr>
            <w:tcW w:w="1134" w:type="dxa"/>
            <w:vAlign w:val="center"/>
          </w:tcPr>
          <w:p w14:paraId="17B36707">
            <w:pPr>
              <w:pStyle w:val="12"/>
            </w:pPr>
            <w:r>
              <w:t>空调机</w:t>
            </w:r>
          </w:p>
        </w:tc>
        <w:tc>
          <w:tcPr>
            <w:tcW w:w="1134" w:type="dxa"/>
            <w:vAlign w:val="center"/>
          </w:tcPr>
          <w:p w14:paraId="655B886A">
            <w:pPr>
              <w:pStyle w:val="12"/>
            </w:pPr>
            <w:r>
              <w:t>A02061804</w:t>
            </w:r>
          </w:p>
        </w:tc>
        <w:tc>
          <w:tcPr>
            <w:tcW w:w="709" w:type="dxa"/>
            <w:vAlign w:val="center"/>
          </w:tcPr>
          <w:p w14:paraId="6449C86E">
            <w:pPr>
              <w:pStyle w:val="13"/>
            </w:pPr>
            <w:r>
              <w:t>台</w:t>
            </w:r>
          </w:p>
        </w:tc>
        <w:tc>
          <w:tcPr>
            <w:tcW w:w="850" w:type="dxa"/>
            <w:vAlign w:val="center"/>
          </w:tcPr>
          <w:p w14:paraId="7BDD1104">
            <w:pPr>
              <w:pStyle w:val="11"/>
            </w:pPr>
            <w:r>
              <w:t>13</w:t>
            </w:r>
          </w:p>
        </w:tc>
        <w:tc>
          <w:tcPr>
            <w:tcW w:w="850" w:type="dxa"/>
            <w:vAlign w:val="center"/>
          </w:tcPr>
          <w:p w14:paraId="6F449E6D">
            <w:pPr>
              <w:pStyle w:val="11"/>
            </w:pPr>
            <w:r>
              <w:t>0.61</w:t>
            </w:r>
          </w:p>
        </w:tc>
        <w:tc>
          <w:tcPr>
            <w:tcW w:w="964" w:type="dxa"/>
            <w:vAlign w:val="center"/>
          </w:tcPr>
          <w:p w14:paraId="0F17B009">
            <w:pPr>
              <w:pStyle w:val="11"/>
            </w:pPr>
            <w:r>
              <w:t>7.93</w:t>
            </w:r>
          </w:p>
        </w:tc>
        <w:tc>
          <w:tcPr>
            <w:tcW w:w="964" w:type="dxa"/>
            <w:vAlign w:val="center"/>
          </w:tcPr>
          <w:p w14:paraId="7564F183">
            <w:pPr>
              <w:pStyle w:val="11"/>
            </w:pPr>
            <w:r>
              <w:t>7.93</w:t>
            </w:r>
          </w:p>
        </w:tc>
        <w:tc>
          <w:tcPr>
            <w:tcW w:w="964" w:type="dxa"/>
            <w:vAlign w:val="center"/>
          </w:tcPr>
          <w:p w14:paraId="3456A3C1">
            <w:pPr>
              <w:pStyle w:val="11"/>
            </w:pPr>
          </w:p>
        </w:tc>
        <w:tc>
          <w:tcPr>
            <w:tcW w:w="964" w:type="dxa"/>
            <w:vAlign w:val="center"/>
          </w:tcPr>
          <w:p w14:paraId="619B71E6">
            <w:pPr>
              <w:pStyle w:val="11"/>
            </w:pPr>
          </w:p>
        </w:tc>
        <w:tc>
          <w:tcPr>
            <w:tcW w:w="964" w:type="dxa"/>
            <w:vAlign w:val="center"/>
          </w:tcPr>
          <w:p w14:paraId="267AB6B5">
            <w:pPr>
              <w:pStyle w:val="11"/>
            </w:pPr>
          </w:p>
        </w:tc>
        <w:tc>
          <w:tcPr>
            <w:tcW w:w="964" w:type="dxa"/>
            <w:vAlign w:val="center"/>
          </w:tcPr>
          <w:p w14:paraId="3E892BC9">
            <w:pPr>
              <w:pStyle w:val="11"/>
            </w:pPr>
          </w:p>
        </w:tc>
        <w:tc>
          <w:tcPr>
            <w:tcW w:w="964" w:type="dxa"/>
            <w:vAlign w:val="center"/>
          </w:tcPr>
          <w:p w14:paraId="3BE21B55">
            <w:pPr>
              <w:pStyle w:val="11"/>
            </w:pPr>
          </w:p>
        </w:tc>
        <w:tc>
          <w:tcPr>
            <w:tcW w:w="964" w:type="dxa"/>
            <w:vAlign w:val="center"/>
          </w:tcPr>
          <w:p w14:paraId="0523C30A">
            <w:pPr>
              <w:pStyle w:val="11"/>
            </w:pPr>
          </w:p>
        </w:tc>
        <w:tc>
          <w:tcPr>
            <w:tcW w:w="964" w:type="dxa"/>
            <w:vAlign w:val="center"/>
          </w:tcPr>
          <w:p w14:paraId="16D48CA1">
            <w:pPr>
              <w:pStyle w:val="11"/>
            </w:pPr>
            <w:r>
              <w:t>7.93</w:t>
            </w:r>
          </w:p>
        </w:tc>
      </w:tr>
      <w:tr w14:paraId="5887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052F44">
            <w:pPr>
              <w:pStyle w:val="12"/>
            </w:pPr>
            <w:r>
              <w:t>冀财教[2025]148号/支持义务教育发展/牛家桥校区牛家桥小学空调购置</w:t>
            </w:r>
          </w:p>
        </w:tc>
        <w:tc>
          <w:tcPr>
            <w:tcW w:w="964" w:type="dxa"/>
            <w:vAlign w:val="center"/>
          </w:tcPr>
          <w:p w14:paraId="2D00AEF8">
            <w:pPr>
              <w:pStyle w:val="11"/>
            </w:pPr>
            <w:r>
              <w:t>18.22</w:t>
            </w:r>
          </w:p>
        </w:tc>
        <w:tc>
          <w:tcPr>
            <w:tcW w:w="1134" w:type="dxa"/>
            <w:vAlign w:val="center"/>
          </w:tcPr>
          <w:p w14:paraId="75B18E42">
            <w:pPr>
              <w:pStyle w:val="12"/>
            </w:pPr>
            <w:r>
              <w:t>空调机</w:t>
            </w:r>
          </w:p>
        </w:tc>
        <w:tc>
          <w:tcPr>
            <w:tcW w:w="1134" w:type="dxa"/>
            <w:vAlign w:val="center"/>
          </w:tcPr>
          <w:p w14:paraId="2CFF2827">
            <w:pPr>
              <w:pStyle w:val="12"/>
            </w:pPr>
            <w:r>
              <w:t>A02061804</w:t>
            </w:r>
          </w:p>
        </w:tc>
        <w:tc>
          <w:tcPr>
            <w:tcW w:w="709" w:type="dxa"/>
            <w:vAlign w:val="center"/>
          </w:tcPr>
          <w:p w14:paraId="4FCF665E">
            <w:pPr>
              <w:pStyle w:val="13"/>
            </w:pPr>
            <w:r>
              <w:t>台</w:t>
            </w:r>
          </w:p>
        </w:tc>
        <w:tc>
          <w:tcPr>
            <w:tcW w:w="850" w:type="dxa"/>
            <w:vAlign w:val="center"/>
          </w:tcPr>
          <w:p w14:paraId="3C999CF1">
            <w:pPr>
              <w:pStyle w:val="11"/>
            </w:pPr>
            <w:r>
              <w:t>48</w:t>
            </w:r>
          </w:p>
        </w:tc>
        <w:tc>
          <w:tcPr>
            <w:tcW w:w="850" w:type="dxa"/>
            <w:vAlign w:val="center"/>
          </w:tcPr>
          <w:p w14:paraId="0D20E4FD">
            <w:pPr>
              <w:pStyle w:val="11"/>
            </w:pPr>
            <w:r>
              <w:t>0.32</w:t>
            </w:r>
          </w:p>
        </w:tc>
        <w:tc>
          <w:tcPr>
            <w:tcW w:w="964" w:type="dxa"/>
            <w:vAlign w:val="center"/>
          </w:tcPr>
          <w:p w14:paraId="7C82D172">
            <w:pPr>
              <w:pStyle w:val="11"/>
            </w:pPr>
            <w:r>
              <w:t>15.12</w:t>
            </w:r>
          </w:p>
        </w:tc>
        <w:tc>
          <w:tcPr>
            <w:tcW w:w="964" w:type="dxa"/>
            <w:vAlign w:val="center"/>
          </w:tcPr>
          <w:p w14:paraId="5F9A4696">
            <w:pPr>
              <w:pStyle w:val="11"/>
            </w:pPr>
            <w:r>
              <w:t>15.12</w:t>
            </w:r>
          </w:p>
        </w:tc>
        <w:tc>
          <w:tcPr>
            <w:tcW w:w="964" w:type="dxa"/>
            <w:vAlign w:val="center"/>
          </w:tcPr>
          <w:p w14:paraId="060EB001">
            <w:pPr>
              <w:pStyle w:val="11"/>
            </w:pPr>
          </w:p>
        </w:tc>
        <w:tc>
          <w:tcPr>
            <w:tcW w:w="964" w:type="dxa"/>
            <w:vAlign w:val="center"/>
          </w:tcPr>
          <w:p w14:paraId="20428C47">
            <w:pPr>
              <w:pStyle w:val="11"/>
            </w:pPr>
          </w:p>
        </w:tc>
        <w:tc>
          <w:tcPr>
            <w:tcW w:w="964" w:type="dxa"/>
            <w:vAlign w:val="center"/>
          </w:tcPr>
          <w:p w14:paraId="6AAA449A">
            <w:pPr>
              <w:pStyle w:val="11"/>
            </w:pPr>
          </w:p>
        </w:tc>
        <w:tc>
          <w:tcPr>
            <w:tcW w:w="964" w:type="dxa"/>
            <w:vAlign w:val="center"/>
          </w:tcPr>
          <w:p w14:paraId="65E8118E">
            <w:pPr>
              <w:pStyle w:val="11"/>
            </w:pPr>
          </w:p>
        </w:tc>
        <w:tc>
          <w:tcPr>
            <w:tcW w:w="964" w:type="dxa"/>
            <w:vAlign w:val="center"/>
          </w:tcPr>
          <w:p w14:paraId="06955BF5">
            <w:pPr>
              <w:pStyle w:val="11"/>
            </w:pPr>
          </w:p>
        </w:tc>
        <w:tc>
          <w:tcPr>
            <w:tcW w:w="964" w:type="dxa"/>
            <w:vAlign w:val="center"/>
          </w:tcPr>
          <w:p w14:paraId="1F0CBBF3">
            <w:pPr>
              <w:pStyle w:val="11"/>
            </w:pPr>
          </w:p>
        </w:tc>
        <w:tc>
          <w:tcPr>
            <w:tcW w:w="964" w:type="dxa"/>
            <w:vAlign w:val="center"/>
          </w:tcPr>
          <w:p w14:paraId="14976498">
            <w:pPr>
              <w:pStyle w:val="11"/>
            </w:pPr>
            <w:r>
              <w:t>15.12</w:t>
            </w:r>
          </w:p>
        </w:tc>
      </w:tr>
      <w:tr w14:paraId="786C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F95AE1">
            <w:pPr>
              <w:pStyle w:val="12"/>
            </w:pPr>
            <w:r>
              <w:t>冀财教[2025]148号/支持义务教育发展/牛家桥校区牛家桥小学空调购置</w:t>
            </w:r>
          </w:p>
        </w:tc>
        <w:tc>
          <w:tcPr>
            <w:tcW w:w="964" w:type="dxa"/>
            <w:vAlign w:val="center"/>
          </w:tcPr>
          <w:p w14:paraId="5A09B175">
            <w:pPr>
              <w:pStyle w:val="11"/>
            </w:pPr>
            <w:r>
              <w:t>18.22</w:t>
            </w:r>
          </w:p>
        </w:tc>
        <w:tc>
          <w:tcPr>
            <w:tcW w:w="1134" w:type="dxa"/>
            <w:vAlign w:val="center"/>
          </w:tcPr>
          <w:p w14:paraId="3DE19074">
            <w:pPr>
              <w:pStyle w:val="12"/>
            </w:pPr>
            <w:r>
              <w:t>空调机</w:t>
            </w:r>
          </w:p>
        </w:tc>
        <w:tc>
          <w:tcPr>
            <w:tcW w:w="1134" w:type="dxa"/>
            <w:vAlign w:val="center"/>
          </w:tcPr>
          <w:p w14:paraId="05BB1B4D">
            <w:pPr>
              <w:pStyle w:val="12"/>
            </w:pPr>
            <w:r>
              <w:t>A02061804</w:t>
            </w:r>
          </w:p>
        </w:tc>
        <w:tc>
          <w:tcPr>
            <w:tcW w:w="709" w:type="dxa"/>
            <w:vAlign w:val="center"/>
          </w:tcPr>
          <w:p w14:paraId="0B5352F2">
            <w:pPr>
              <w:pStyle w:val="13"/>
            </w:pPr>
            <w:r>
              <w:t>台</w:t>
            </w:r>
          </w:p>
        </w:tc>
        <w:tc>
          <w:tcPr>
            <w:tcW w:w="850" w:type="dxa"/>
            <w:vAlign w:val="center"/>
          </w:tcPr>
          <w:p w14:paraId="391CBA56">
            <w:pPr>
              <w:pStyle w:val="11"/>
            </w:pPr>
            <w:r>
              <w:t>5</w:t>
            </w:r>
          </w:p>
        </w:tc>
        <w:tc>
          <w:tcPr>
            <w:tcW w:w="850" w:type="dxa"/>
            <w:vAlign w:val="center"/>
          </w:tcPr>
          <w:p w14:paraId="3C2553A2">
            <w:pPr>
              <w:pStyle w:val="11"/>
            </w:pPr>
            <w:r>
              <w:t>0.62</w:t>
            </w:r>
          </w:p>
        </w:tc>
        <w:tc>
          <w:tcPr>
            <w:tcW w:w="964" w:type="dxa"/>
            <w:vAlign w:val="center"/>
          </w:tcPr>
          <w:p w14:paraId="6C64A0B0">
            <w:pPr>
              <w:pStyle w:val="11"/>
            </w:pPr>
            <w:r>
              <w:t>3.10</w:t>
            </w:r>
          </w:p>
        </w:tc>
        <w:tc>
          <w:tcPr>
            <w:tcW w:w="964" w:type="dxa"/>
            <w:vAlign w:val="center"/>
          </w:tcPr>
          <w:p w14:paraId="2F6EA8FB">
            <w:pPr>
              <w:pStyle w:val="11"/>
            </w:pPr>
            <w:r>
              <w:t>3.10</w:t>
            </w:r>
          </w:p>
        </w:tc>
        <w:tc>
          <w:tcPr>
            <w:tcW w:w="964" w:type="dxa"/>
            <w:vAlign w:val="center"/>
          </w:tcPr>
          <w:p w14:paraId="651F9013">
            <w:pPr>
              <w:pStyle w:val="11"/>
            </w:pPr>
          </w:p>
        </w:tc>
        <w:tc>
          <w:tcPr>
            <w:tcW w:w="964" w:type="dxa"/>
            <w:vAlign w:val="center"/>
          </w:tcPr>
          <w:p w14:paraId="608B6CA9">
            <w:pPr>
              <w:pStyle w:val="11"/>
            </w:pPr>
          </w:p>
        </w:tc>
        <w:tc>
          <w:tcPr>
            <w:tcW w:w="964" w:type="dxa"/>
            <w:vAlign w:val="center"/>
          </w:tcPr>
          <w:p w14:paraId="3A327640">
            <w:pPr>
              <w:pStyle w:val="11"/>
            </w:pPr>
          </w:p>
        </w:tc>
        <w:tc>
          <w:tcPr>
            <w:tcW w:w="964" w:type="dxa"/>
            <w:vAlign w:val="center"/>
          </w:tcPr>
          <w:p w14:paraId="26123F8A">
            <w:pPr>
              <w:pStyle w:val="11"/>
            </w:pPr>
          </w:p>
        </w:tc>
        <w:tc>
          <w:tcPr>
            <w:tcW w:w="964" w:type="dxa"/>
            <w:vAlign w:val="center"/>
          </w:tcPr>
          <w:p w14:paraId="10ADB3EE">
            <w:pPr>
              <w:pStyle w:val="11"/>
            </w:pPr>
          </w:p>
        </w:tc>
        <w:tc>
          <w:tcPr>
            <w:tcW w:w="964" w:type="dxa"/>
            <w:vAlign w:val="center"/>
          </w:tcPr>
          <w:p w14:paraId="77C1A1F1">
            <w:pPr>
              <w:pStyle w:val="11"/>
            </w:pPr>
          </w:p>
        </w:tc>
        <w:tc>
          <w:tcPr>
            <w:tcW w:w="964" w:type="dxa"/>
            <w:vAlign w:val="center"/>
          </w:tcPr>
          <w:p w14:paraId="7850DC3E">
            <w:pPr>
              <w:pStyle w:val="11"/>
            </w:pPr>
            <w:r>
              <w:t>3.10</w:t>
            </w:r>
          </w:p>
        </w:tc>
      </w:tr>
      <w:tr w14:paraId="7513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D98956">
            <w:pPr>
              <w:pStyle w:val="12"/>
            </w:pPr>
            <w:r>
              <w:t>县级资金/2024年牛家桥校区学前教育公用经费</w:t>
            </w:r>
          </w:p>
        </w:tc>
        <w:tc>
          <w:tcPr>
            <w:tcW w:w="964" w:type="dxa"/>
            <w:vAlign w:val="center"/>
          </w:tcPr>
          <w:p w14:paraId="05FBB89E">
            <w:pPr>
              <w:pStyle w:val="11"/>
            </w:pPr>
            <w:r>
              <w:t>23.63</w:t>
            </w:r>
          </w:p>
        </w:tc>
        <w:tc>
          <w:tcPr>
            <w:tcW w:w="1134" w:type="dxa"/>
            <w:vAlign w:val="center"/>
          </w:tcPr>
          <w:p w14:paraId="044627BD">
            <w:pPr>
              <w:pStyle w:val="12"/>
            </w:pPr>
            <w:r>
              <w:t>台式计算机</w:t>
            </w:r>
          </w:p>
        </w:tc>
        <w:tc>
          <w:tcPr>
            <w:tcW w:w="1134" w:type="dxa"/>
            <w:vAlign w:val="center"/>
          </w:tcPr>
          <w:p w14:paraId="5F0312E2">
            <w:pPr>
              <w:pStyle w:val="12"/>
            </w:pPr>
            <w:r>
              <w:t>A02010105</w:t>
            </w:r>
          </w:p>
        </w:tc>
        <w:tc>
          <w:tcPr>
            <w:tcW w:w="709" w:type="dxa"/>
            <w:vAlign w:val="center"/>
          </w:tcPr>
          <w:p w14:paraId="4B962EE8">
            <w:pPr>
              <w:pStyle w:val="13"/>
            </w:pPr>
            <w:r>
              <w:t>台</w:t>
            </w:r>
          </w:p>
        </w:tc>
        <w:tc>
          <w:tcPr>
            <w:tcW w:w="850" w:type="dxa"/>
            <w:vAlign w:val="center"/>
          </w:tcPr>
          <w:p w14:paraId="03294204">
            <w:pPr>
              <w:pStyle w:val="11"/>
            </w:pPr>
            <w:r>
              <w:t>5</w:t>
            </w:r>
          </w:p>
        </w:tc>
        <w:tc>
          <w:tcPr>
            <w:tcW w:w="850" w:type="dxa"/>
            <w:vAlign w:val="center"/>
          </w:tcPr>
          <w:p w14:paraId="391E8C95">
            <w:pPr>
              <w:pStyle w:val="11"/>
            </w:pPr>
            <w:r>
              <w:t>0.35</w:t>
            </w:r>
          </w:p>
        </w:tc>
        <w:tc>
          <w:tcPr>
            <w:tcW w:w="964" w:type="dxa"/>
            <w:vAlign w:val="center"/>
          </w:tcPr>
          <w:p w14:paraId="7F0A8BBA">
            <w:pPr>
              <w:pStyle w:val="11"/>
            </w:pPr>
            <w:r>
              <w:t>1.75</w:t>
            </w:r>
          </w:p>
        </w:tc>
        <w:tc>
          <w:tcPr>
            <w:tcW w:w="964" w:type="dxa"/>
            <w:vAlign w:val="center"/>
          </w:tcPr>
          <w:p w14:paraId="51E84A20">
            <w:pPr>
              <w:pStyle w:val="11"/>
            </w:pPr>
            <w:r>
              <w:t>1.75</w:t>
            </w:r>
          </w:p>
        </w:tc>
        <w:tc>
          <w:tcPr>
            <w:tcW w:w="964" w:type="dxa"/>
            <w:vAlign w:val="center"/>
          </w:tcPr>
          <w:p w14:paraId="24E9DA25">
            <w:pPr>
              <w:pStyle w:val="11"/>
            </w:pPr>
          </w:p>
        </w:tc>
        <w:tc>
          <w:tcPr>
            <w:tcW w:w="964" w:type="dxa"/>
            <w:vAlign w:val="center"/>
          </w:tcPr>
          <w:p w14:paraId="2CDE3611">
            <w:pPr>
              <w:pStyle w:val="11"/>
            </w:pPr>
          </w:p>
        </w:tc>
        <w:tc>
          <w:tcPr>
            <w:tcW w:w="964" w:type="dxa"/>
            <w:vAlign w:val="center"/>
          </w:tcPr>
          <w:p w14:paraId="30164549">
            <w:pPr>
              <w:pStyle w:val="11"/>
            </w:pPr>
          </w:p>
        </w:tc>
        <w:tc>
          <w:tcPr>
            <w:tcW w:w="964" w:type="dxa"/>
            <w:vAlign w:val="center"/>
          </w:tcPr>
          <w:p w14:paraId="1808C4B9">
            <w:pPr>
              <w:pStyle w:val="11"/>
            </w:pPr>
          </w:p>
        </w:tc>
        <w:tc>
          <w:tcPr>
            <w:tcW w:w="964" w:type="dxa"/>
            <w:vAlign w:val="center"/>
          </w:tcPr>
          <w:p w14:paraId="303D1AB6">
            <w:pPr>
              <w:pStyle w:val="11"/>
            </w:pPr>
          </w:p>
        </w:tc>
        <w:tc>
          <w:tcPr>
            <w:tcW w:w="964" w:type="dxa"/>
            <w:vAlign w:val="center"/>
          </w:tcPr>
          <w:p w14:paraId="6B1E5C93">
            <w:pPr>
              <w:pStyle w:val="11"/>
            </w:pPr>
          </w:p>
        </w:tc>
        <w:tc>
          <w:tcPr>
            <w:tcW w:w="964" w:type="dxa"/>
            <w:vAlign w:val="center"/>
          </w:tcPr>
          <w:p w14:paraId="4398D2B2">
            <w:pPr>
              <w:pStyle w:val="11"/>
            </w:pPr>
            <w:r>
              <w:t>1.75</w:t>
            </w:r>
          </w:p>
        </w:tc>
      </w:tr>
      <w:tr w14:paraId="71E0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D961DE">
            <w:pPr>
              <w:pStyle w:val="12"/>
            </w:pPr>
            <w:r>
              <w:t>县级资金/2024年牛家桥校区学前教育公用经费</w:t>
            </w:r>
          </w:p>
        </w:tc>
        <w:tc>
          <w:tcPr>
            <w:tcW w:w="964" w:type="dxa"/>
            <w:vAlign w:val="center"/>
          </w:tcPr>
          <w:p w14:paraId="6C60CCF1">
            <w:pPr>
              <w:pStyle w:val="11"/>
            </w:pPr>
            <w:r>
              <w:t>23.63</w:t>
            </w:r>
          </w:p>
        </w:tc>
        <w:tc>
          <w:tcPr>
            <w:tcW w:w="1134" w:type="dxa"/>
            <w:vAlign w:val="center"/>
          </w:tcPr>
          <w:p w14:paraId="04EFD78C">
            <w:pPr>
              <w:pStyle w:val="12"/>
            </w:pPr>
            <w:r>
              <w:t>书柜</w:t>
            </w:r>
          </w:p>
        </w:tc>
        <w:tc>
          <w:tcPr>
            <w:tcW w:w="1134" w:type="dxa"/>
            <w:vAlign w:val="center"/>
          </w:tcPr>
          <w:p w14:paraId="65170A16">
            <w:pPr>
              <w:pStyle w:val="12"/>
            </w:pPr>
            <w:r>
              <w:t>A05010501</w:t>
            </w:r>
          </w:p>
        </w:tc>
        <w:tc>
          <w:tcPr>
            <w:tcW w:w="709" w:type="dxa"/>
            <w:vAlign w:val="center"/>
          </w:tcPr>
          <w:p w14:paraId="3B9C5282">
            <w:pPr>
              <w:pStyle w:val="13"/>
            </w:pPr>
            <w:r>
              <w:t>个</w:t>
            </w:r>
          </w:p>
        </w:tc>
        <w:tc>
          <w:tcPr>
            <w:tcW w:w="850" w:type="dxa"/>
            <w:vAlign w:val="center"/>
          </w:tcPr>
          <w:p w14:paraId="502EF455">
            <w:pPr>
              <w:pStyle w:val="11"/>
            </w:pPr>
            <w:r>
              <w:t>4</w:t>
            </w:r>
          </w:p>
        </w:tc>
        <w:tc>
          <w:tcPr>
            <w:tcW w:w="850" w:type="dxa"/>
            <w:vAlign w:val="center"/>
          </w:tcPr>
          <w:p w14:paraId="33B39557">
            <w:pPr>
              <w:pStyle w:val="11"/>
            </w:pPr>
            <w:r>
              <w:t>0.03</w:t>
            </w:r>
          </w:p>
        </w:tc>
        <w:tc>
          <w:tcPr>
            <w:tcW w:w="964" w:type="dxa"/>
            <w:vAlign w:val="center"/>
          </w:tcPr>
          <w:p w14:paraId="1213A986">
            <w:pPr>
              <w:pStyle w:val="11"/>
            </w:pPr>
            <w:r>
              <w:t>0.11</w:t>
            </w:r>
          </w:p>
        </w:tc>
        <w:tc>
          <w:tcPr>
            <w:tcW w:w="964" w:type="dxa"/>
            <w:vAlign w:val="center"/>
          </w:tcPr>
          <w:p w14:paraId="6D33CD71">
            <w:pPr>
              <w:pStyle w:val="11"/>
            </w:pPr>
            <w:r>
              <w:t>0.11</w:t>
            </w:r>
          </w:p>
        </w:tc>
        <w:tc>
          <w:tcPr>
            <w:tcW w:w="964" w:type="dxa"/>
            <w:vAlign w:val="center"/>
          </w:tcPr>
          <w:p w14:paraId="132548A8">
            <w:pPr>
              <w:pStyle w:val="11"/>
            </w:pPr>
          </w:p>
        </w:tc>
        <w:tc>
          <w:tcPr>
            <w:tcW w:w="964" w:type="dxa"/>
            <w:vAlign w:val="center"/>
          </w:tcPr>
          <w:p w14:paraId="29372BDE">
            <w:pPr>
              <w:pStyle w:val="11"/>
            </w:pPr>
          </w:p>
        </w:tc>
        <w:tc>
          <w:tcPr>
            <w:tcW w:w="964" w:type="dxa"/>
            <w:vAlign w:val="center"/>
          </w:tcPr>
          <w:p w14:paraId="11513480">
            <w:pPr>
              <w:pStyle w:val="11"/>
            </w:pPr>
          </w:p>
        </w:tc>
        <w:tc>
          <w:tcPr>
            <w:tcW w:w="964" w:type="dxa"/>
            <w:vAlign w:val="center"/>
          </w:tcPr>
          <w:p w14:paraId="40C19AD3">
            <w:pPr>
              <w:pStyle w:val="11"/>
            </w:pPr>
          </w:p>
        </w:tc>
        <w:tc>
          <w:tcPr>
            <w:tcW w:w="964" w:type="dxa"/>
            <w:vAlign w:val="center"/>
          </w:tcPr>
          <w:p w14:paraId="30933646">
            <w:pPr>
              <w:pStyle w:val="11"/>
            </w:pPr>
          </w:p>
        </w:tc>
        <w:tc>
          <w:tcPr>
            <w:tcW w:w="964" w:type="dxa"/>
            <w:vAlign w:val="center"/>
          </w:tcPr>
          <w:p w14:paraId="2E644590">
            <w:pPr>
              <w:pStyle w:val="11"/>
            </w:pPr>
          </w:p>
        </w:tc>
        <w:tc>
          <w:tcPr>
            <w:tcW w:w="964" w:type="dxa"/>
            <w:vAlign w:val="center"/>
          </w:tcPr>
          <w:p w14:paraId="6B9C2037">
            <w:pPr>
              <w:pStyle w:val="11"/>
            </w:pPr>
            <w:r>
              <w:t>0.11</w:t>
            </w:r>
          </w:p>
        </w:tc>
      </w:tr>
    </w:tbl>
    <w:p w14:paraId="66F919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CFFF4C">
      <w:pPr>
        <w:spacing w:before="0" w:after="0"/>
        <w:ind w:firstLine="640"/>
        <w:jc w:val="left"/>
        <w:outlineLvl w:val="9"/>
      </w:pPr>
      <w:r>
        <w:rPr>
          <w:rFonts w:ascii="Times New Roman" w:hAnsi="Times New Roman" w:eastAsia="方正仿宋_GBK" w:cs="Times New Roman"/>
          <w:color w:val="000000"/>
          <w:sz w:val="32"/>
        </w:rPr>
        <w:t xml:space="preserve"> </w:t>
      </w:r>
    </w:p>
    <w:p w14:paraId="62C1CB6E">
      <w:pPr>
        <w:spacing w:before="10" w:after="10" w:line="240" w:lineRule="auto"/>
        <w:ind w:firstLine="640"/>
        <w:jc w:val="left"/>
        <w:outlineLvl w:val="5"/>
      </w:pPr>
      <w:r>
        <w:rPr>
          <w:rFonts w:ascii="黑体" w:hAnsi="黑体" w:eastAsia="黑体" w:cs="黑体"/>
          <w:color w:val="000000"/>
          <w:sz w:val="32"/>
        </w:rPr>
        <w:t>七、国有资产信息</w:t>
      </w:r>
    </w:p>
    <w:p w14:paraId="3F916FFC">
      <w:pPr>
        <w:spacing w:before="0" w:after="0" w:line="500" w:lineRule="exact"/>
        <w:ind w:firstLine="560"/>
        <w:jc w:val="left"/>
        <w:outlineLvl w:val="9"/>
      </w:pPr>
      <w:r>
        <w:rPr>
          <w:rFonts w:ascii="Times New Roman" w:hAnsi="Times New Roman" w:eastAsia="方正仿宋_GBK" w:cs="Times New Roman"/>
          <w:b w:val="0"/>
          <w:color w:val="000000"/>
          <w:sz w:val="28"/>
        </w:rPr>
        <w:t>隆尧县牛家桥校区上年末固定资产金额为2394.37万元（详见下表）。本年度拟购置固定资产总额为62.04万元，已按要求列入政府采购预算，详见政府采购预算表。</w:t>
      </w:r>
    </w:p>
    <w:p w14:paraId="5DBD22F4">
      <w:pPr>
        <w:spacing w:before="0" w:after="0" w:line="240" w:lineRule="auto"/>
        <w:ind w:firstLine="0"/>
        <w:jc w:val="center"/>
        <w:outlineLvl w:val="9"/>
        <w:rPr>
          <w:rFonts w:ascii="方正小标宋_GBK" w:hAnsi="方正小标宋_GBK" w:eastAsia="方正小标宋_GBK" w:cs="方正小标宋_GBK"/>
          <w:color w:val="000000"/>
          <w:sz w:val="36"/>
        </w:rPr>
      </w:pPr>
    </w:p>
    <w:p w14:paraId="0A2948AC">
      <w:pPr>
        <w:spacing w:before="0" w:after="0" w:line="240" w:lineRule="auto"/>
        <w:ind w:firstLine="0"/>
        <w:jc w:val="center"/>
        <w:outlineLvl w:val="9"/>
        <w:rPr>
          <w:rFonts w:ascii="方正小标宋_GBK" w:hAnsi="方正小标宋_GBK" w:eastAsia="方正小标宋_GBK" w:cs="方正小标宋_GBK"/>
          <w:color w:val="000000"/>
          <w:sz w:val="36"/>
        </w:rPr>
      </w:pPr>
    </w:p>
    <w:p w14:paraId="3E748AB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4D1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FCA66D">
            <w:pPr>
              <w:pStyle w:val="9"/>
            </w:pPr>
            <w:r>
              <w:t>360026隆尧县牛家桥校区</w:t>
            </w:r>
          </w:p>
        </w:tc>
        <w:tc>
          <w:tcPr>
            <w:tcW w:w="5670" w:type="dxa"/>
            <w:gridSpan w:val="2"/>
            <w:tcBorders>
              <w:top w:val="single" w:color="FFFFFF" w:sz="6" w:space="0"/>
              <w:left w:val="single" w:color="FFFFFF" w:sz="6" w:space="0"/>
              <w:right w:val="single" w:color="FFFFFF" w:sz="6" w:space="0"/>
            </w:tcBorders>
            <w:vAlign w:val="center"/>
          </w:tcPr>
          <w:p w14:paraId="402DF7C9">
            <w:pPr>
              <w:pStyle w:val="7"/>
            </w:pPr>
            <w:r>
              <w:t>截止时间：2025-12-31</w:t>
            </w:r>
          </w:p>
        </w:tc>
      </w:tr>
      <w:tr w14:paraId="661A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7ECB11">
            <w:pPr>
              <w:pStyle w:val="10"/>
            </w:pPr>
            <w:r>
              <w:t>项   目</w:t>
            </w:r>
          </w:p>
        </w:tc>
        <w:tc>
          <w:tcPr>
            <w:tcW w:w="2835" w:type="dxa"/>
            <w:vAlign w:val="center"/>
          </w:tcPr>
          <w:p w14:paraId="6348359F">
            <w:pPr>
              <w:pStyle w:val="10"/>
            </w:pPr>
            <w:r>
              <w:t>数量</w:t>
            </w:r>
          </w:p>
        </w:tc>
        <w:tc>
          <w:tcPr>
            <w:tcW w:w="2835" w:type="dxa"/>
            <w:vAlign w:val="center"/>
          </w:tcPr>
          <w:p w14:paraId="2D685112">
            <w:pPr>
              <w:pStyle w:val="10"/>
            </w:pPr>
            <w:r>
              <w:t>价值（金额单位：万元）</w:t>
            </w:r>
          </w:p>
        </w:tc>
      </w:tr>
      <w:tr w14:paraId="6BA4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E407A6">
            <w:pPr>
              <w:pStyle w:val="12"/>
            </w:pPr>
            <w:r>
              <w:t>资产总额</w:t>
            </w:r>
          </w:p>
        </w:tc>
        <w:tc>
          <w:tcPr>
            <w:tcW w:w="2835" w:type="dxa"/>
            <w:vAlign w:val="center"/>
          </w:tcPr>
          <w:p w14:paraId="06070C3D">
            <w:pPr>
              <w:pStyle w:val="13"/>
            </w:pPr>
          </w:p>
        </w:tc>
        <w:tc>
          <w:tcPr>
            <w:tcW w:w="2835" w:type="dxa"/>
            <w:vAlign w:val="center"/>
          </w:tcPr>
          <w:p w14:paraId="65BF9694">
            <w:pPr>
              <w:pStyle w:val="11"/>
            </w:pPr>
            <w:r>
              <w:t>2394.37</w:t>
            </w:r>
          </w:p>
        </w:tc>
      </w:tr>
      <w:tr w14:paraId="4684F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9F2769">
            <w:pPr>
              <w:pStyle w:val="12"/>
            </w:pPr>
            <w:r>
              <w:t>1、房屋（平方米）</w:t>
            </w:r>
          </w:p>
        </w:tc>
        <w:tc>
          <w:tcPr>
            <w:tcW w:w="2835" w:type="dxa"/>
            <w:vAlign w:val="center"/>
          </w:tcPr>
          <w:p w14:paraId="146AFEC3">
            <w:pPr>
              <w:pStyle w:val="13"/>
            </w:pPr>
            <w:r>
              <w:t>12970.10</w:t>
            </w:r>
          </w:p>
        </w:tc>
        <w:tc>
          <w:tcPr>
            <w:tcW w:w="2835" w:type="dxa"/>
            <w:vAlign w:val="center"/>
          </w:tcPr>
          <w:p w14:paraId="658076C1">
            <w:pPr>
              <w:pStyle w:val="11"/>
            </w:pPr>
            <w:r>
              <w:t>1534.00</w:t>
            </w:r>
          </w:p>
        </w:tc>
      </w:tr>
      <w:tr w14:paraId="1179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85B679">
            <w:pPr>
              <w:pStyle w:val="12"/>
            </w:pPr>
            <w:r>
              <w:t>　　其中：办公用房（平方米）</w:t>
            </w:r>
          </w:p>
        </w:tc>
        <w:tc>
          <w:tcPr>
            <w:tcW w:w="2835" w:type="dxa"/>
            <w:vAlign w:val="center"/>
          </w:tcPr>
          <w:p w14:paraId="74149124">
            <w:pPr>
              <w:pStyle w:val="13"/>
            </w:pPr>
            <w:r>
              <w:t>11521.10</w:t>
            </w:r>
          </w:p>
        </w:tc>
        <w:tc>
          <w:tcPr>
            <w:tcW w:w="2835" w:type="dxa"/>
            <w:vAlign w:val="center"/>
          </w:tcPr>
          <w:p w14:paraId="22D6AEBA">
            <w:pPr>
              <w:pStyle w:val="11"/>
            </w:pPr>
            <w:r>
              <w:t>1477.17</w:t>
            </w:r>
          </w:p>
        </w:tc>
      </w:tr>
      <w:tr w14:paraId="6DD8C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FED90F">
            <w:pPr>
              <w:pStyle w:val="12"/>
            </w:pPr>
            <w:r>
              <w:t>2、车辆（台、辆）</w:t>
            </w:r>
          </w:p>
        </w:tc>
        <w:tc>
          <w:tcPr>
            <w:tcW w:w="2835" w:type="dxa"/>
            <w:vAlign w:val="center"/>
          </w:tcPr>
          <w:p w14:paraId="4212ECC5">
            <w:pPr>
              <w:pStyle w:val="13"/>
            </w:pPr>
          </w:p>
        </w:tc>
        <w:tc>
          <w:tcPr>
            <w:tcW w:w="2835" w:type="dxa"/>
            <w:vAlign w:val="center"/>
          </w:tcPr>
          <w:p w14:paraId="23E36027">
            <w:pPr>
              <w:pStyle w:val="11"/>
            </w:pPr>
          </w:p>
        </w:tc>
      </w:tr>
      <w:tr w14:paraId="112C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E2BAE">
            <w:pPr>
              <w:pStyle w:val="12"/>
            </w:pPr>
            <w:r>
              <w:t>3、单价在20万元以上的设备</w:t>
            </w:r>
          </w:p>
        </w:tc>
        <w:tc>
          <w:tcPr>
            <w:tcW w:w="2835" w:type="dxa"/>
            <w:vAlign w:val="center"/>
          </w:tcPr>
          <w:p w14:paraId="4696A00C">
            <w:pPr>
              <w:pStyle w:val="13"/>
            </w:pPr>
            <w:r>
              <w:t>1</w:t>
            </w:r>
          </w:p>
        </w:tc>
        <w:tc>
          <w:tcPr>
            <w:tcW w:w="2835" w:type="dxa"/>
            <w:vAlign w:val="center"/>
          </w:tcPr>
          <w:p w14:paraId="1EC21F19">
            <w:pPr>
              <w:pStyle w:val="11"/>
            </w:pPr>
            <w:r>
              <w:t>26.28</w:t>
            </w:r>
          </w:p>
        </w:tc>
      </w:tr>
      <w:tr w14:paraId="678D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2BE195">
            <w:pPr>
              <w:pStyle w:val="12"/>
            </w:pPr>
            <w:r>
              <w:t>4、其他固定资产</w:t>
            </w:r>
          </w:p>
        </w:tc>
        <w:tc>
          <w:tcPr>
            <w:tcW w:w="2835" w:type="dxa"/>
            <w:vAlign w:val="center"/>
          </w:tcPr>
          <w:p w14:paraId="6B4F4F54">
            <w:pPr>
              <w:pStyle w:val="13"/>
            </w:pPr>
            <w:r>
              <w:t>41971</w:t>
            </w:r>
          </w:p>
        </w:tc>
        <w:tc>
          <w:tcPr>
            <w:tcW w:w="2835" w:type="dxa"/>
            <w:vAlign w:val="center"/>
          </w:tcPr>
          <w:p w14:paraId="1693146E">
            <w:pPr>
              <w:pStyle w:val="11"/>
            </w:pPr>
            <w:r>
              <w:t>834.08</w:t>
            </w:r>
          </w:p>
        </w:tc>
      </w:tr>
    </w:tbl>
    <w:p w14:paraId="6C845F91">
      <w:pPr>
        <w:spacing w:before="0" w:after="0"/>
        <w:ind w:firstLine="640"/>
        <w:jc w:val="left"/>
        <w:outlineLvl w:val="9"/>
      </w:pPr>
      <w:r>
        <w:rPr>
          <w:rFonts w:ascii="Times New Roman" w:hAnsi="Times New Roman" w:eastAsia="方正仿宋_GBK" w:cs="Times New Roman"/>
          <w:color w:val="000000"/>
          <w:sz w:val="32"/>
        </w:rPr>
        <w:t xml:space="preserve"> </w:t>
      </w:r>
    </w:p>
    <w:p w14:paraId="542A60B7">
      <w:pPr>
        <w:spacing w:before="10" w:after="10" w:line="240" w:lineRule="auto"/>
        <w:ind w:firstLine="640"/>
        <w:jc w:val="left"/>
        <w:outlineLvl w:val="5"/>
      </w:pPr>
      <w:r>
        <w:rPr>
          <w:rFonts w:ascii="黑体" w:hAnsi="黑体" w:eastAsia="黑体" w:cs="黑体"/>
          <w:color w:val="000000"/>
          <w:sz w:val="32"/>
        </w:rPr>
        <w:t>八、名词解释</w:t>
      </w:r>
    </w:p>
    <w:p w14:paraId="2B1C56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C6EF3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AB5F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2034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2C04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4B12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1DDC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868B8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9A9F3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54B2E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3C29E1">
      <w:pPr>
        <w:spacing w:before="10" w:after="10" w:line="240" w:lineRule="auto"/>
        <w:ind w:firstLine="640"/>
        <w:jc w:val="left"/>
        <w:outlineLvl w:val="5"/>
      </w:pPr>
      <w:r>
        <w:rPr>
          <w:rFonts w:ascii="黑体" w:hAnsi="黑体" w:eastAsia="黑体" w:cs="黑体"/>
          <w:color w:val="000000"/>
          <w:sz w:val="32"/>
        </w:rPr>
        <w:t>九、其他需要说明的事项</w:t>
      </w:r>
    </w:p>
    <w:p w14:paraId="530B792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80451FA">
      <w:pPr>
        <w:spacing w:before="0" w:after="0"/>
        <w:ind w:firstLine="0"/>
        <w:jc w:val="center"/>
        <w:outlineLvl w:val="3"/>
      </w:pPr>
      <w:bookmarkStart w:id="25" w:name="_Toc_4_4_0000000026"/>
      <w:r>
        <w:rPr>
          <w:rFonts w:ascii="方正小标宋_GBK" w:hAnsi="方正小标宋_GBK" w:eastAsia="方正小标宋_GBK" w:cs="方正小标宋_GBK"/>
          <w:b w:val="0"/>
          <w:color w:val="000000"/>
          <w:sz w:val="44"/>
        </w:rPr>
        <w:t>二十六、隆尧县莲子镇校区收支预算</w:t>
      </w:r>
      <w:bookmarkEnd w:id="25"/>
    </w:p>
    <w:p w14:paraId="132BAB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E4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308E1C">
            <w:pPr>
              <w:pStyle w:val="9"/>
            </w:pPr>
            <w:r>
              <w:t>360027隆尧县莲子镇校区</w:t>
            </w:r>
          </w:p>
        </w:tc>
        <w:tc>
          <w:tcPr>
            <w:tcW w:w="2126" w:type="dxa"/>
            <w:tcBorders>
              <w:top w:val="single" w:color="FFFFFF" w:sz="6" w:space="0"/>
              <w:left w:val="single" w:color="FFFFFF" w:sz="6" w:space="0"/>
              <w:right w:val="single" w:color="FFFFFF" w:sz="6" w:space="0"/>
            </w:tcBorders>
            <w:vAlign w:val="center"/>
          </w:tcPr>
          <w:p w14:paraId="6DC1D9D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A551208">
            <w:pPr>
              <w:pStyle w:val="7"/>
            </w:pPr>
            <w:r>
              <w:t>单位：万元</w:t>
            </w:r>
          </w:p>
        </w:tc>
      </w:tr>
      <w:tr w14:paraId="6057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5A8C40">
            <w:pPr>
              <w:pStyle w:val="10"/>
            </w:pPr>
            <w:r>
              <w:t>序号</w:t>
            </w:r>
          </w:p>
        </w:tc>
        <w:tc>
          <w:tcPr>
            <w:tcW w:w="6661" w:type="dxa"/>
            <w:gridSpan w:val="2"/>
            <w:vAlign w:val="center"/>
          </w:tcPr>
          <w:p w14:paraId="73E6ED3B">
            <w:pPr>
              <w:pStyle w:val="10"/>
            </w:pPr>
            <w:r>
              <w:t>收入</w:t>
            </w:r>
          </w:p>
        </w:tc>
        <w:tc>
          <w:tcPr>
            <w:tcW w:w="6661" w:type="dxa"/>
            <w:gridSpan w:val="2"/>
            <w:vAlign w:val="center"/>
          </w:tcPr>
          <w:p w14:paraId="047846DE">
            <w:pPr>
              <w:pStyle w:val="10"/>
            </w:pPr>
            <w:r>
              <w:t>支出</w:t>
            </w:r>
          </w:p>
        </w:tc>
      </w:tr>
      <w:tr w14:paraId="725C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EEFDF"/>
        </w:tc>
        <w:tc>
          <w:tcPr>
            <w:tcW w:w="4535" w:type="dxa"/>
            <w:vAlign w:val="center"/>
          </w:tcPr>
          <w:p w14:paraId="61059516">
            <w:pPr>
              <w:pStyle w:val="10"/>
            </w:pPr>
            <w:r>
              <w:t>项  目</w:t>
            </w:r>
          </w:p>
        </w:tc>
        <w:tc>
          <w:tcPr>
            <w:tcW w:w="2126" w:type="dxa"/>
            <w:vAlign w:val="center"/>
          </w:tcPr>
          <w:p w14:paraId="103EC5BF">
            <w:pPr>
              <w:pStyle w:val="10"/>
            </w:pPr>
            <w:r>
              <w:t>预算数</w:t>
            </w:r>
          </w:p>
        </w:tc>
        <w:tc>
          <w:tcPr>
            <w:tcW w:w="4535" w:type="dxa"/>
            <w:vAlign w:val="center"/>
          </w:tcPr>
          <w:p w14:paraId="5F93FF6B">
            <w:pPr>
              <w:pStyle w:val="10"/>
            </w:pPr>
            <w:r>
              <w:t>项  目</w:t>
            </w:r>
          </w:p>
        </w:tc>
        <w:tc>
          <w:tcPr>
            <w:tcW w:w="2126" w:type="dxa"/>
            <w:vAlign w:val="center"/>
          </w:tcPr>
          <w:p w14:paraId="20BEB4E9">
            <w:pPr>
              <w:pStyle w:val="10"/>
            </w:pPr>
            <w:r>
              <w:t>预算数</w:t>
            </w:r>
          </w:p>
        </w:tc>
      </w:tr>
      <w:tr w14:paraId="5483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C99C2">
            <w:pPr>
              <w:pStyle w:val="10"/>
            </w:pPr>
            <w:r>
              <w:t>栏次</w:t>
            </w:r>
          </w:p>
        </w:tc>
        <w:tc>
          <w:tcPr>
            <w:tcW w:w="4535" w:type="dxa"/>
            <w:vAlign w:val="center"/>
          </w:tcPr>
          <w:p w14:paraId="609C506C">
            <w:pPr>
              <w:pStyle w:val="10"/>
            </w:pPr>
            <w:r>
              <w:t>1</w:t>
            </w:r>
          </w:p>
        </w:tc>
        <w:tc>
          <w:tcPr>
            <w:tcW w:w="2126" w:type="dxa"/>
            <w:vAlign w:val="center"/>
          </w:tcPr>
          <w:p w14:paraId="19572916">
            <w:pPr>
              <w:pStyle w:val="10"/>
            </w:pPr>
            <w:r>
              <w:t>2</w:t>
            </w:r>
          </w:p>
        </w:tc>
        <w:tc>
          <w:tcPr>
            <w:tcW w:w="4535" w:type="dxa"/>
            <w:vAlign w:val="center"/>
          </w:tcPr>
          <w:p w14:paraId="7610466A">
            <w:pPr>
              <w:pStyle w:val="10"/>
            </w:pPr>
            <w:r>
              <w:t>3</w:t>
            </w:r>
          </w:p>
        </w:tc>
        <w:tc>
          <w:tcPr>
            <w:tcW w:w="2126" w:type="dxa"/>
            <w:vAlign w:val="center"/>
          </w:tcPr>
          <w:p w14:paraId="12AF252A">
            <w:pPr>
              <w:pStyle w:val="10"/>
            </w:pPr>
            <w:r>
              <w:t>4</w:t>
            </w:r>
          </w:p>
        </w:tc>
      </w:tr>
      <w:tr w14:paraId="45B3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B3E9">
            <w:pPr>
              <w:pStyle w:val="13"/>
            </w:pPr>
            <w:r>
              <w:t>1</w:t>
            </w:r>
          </w:p>
        </w:tc>
        <w:tc>
          <w:tcPr>
            <w:tcW w:w="4535" w:type="dxa"/>
            <w:vAlign w:val="center"/>
          </w:tcPr>
          <w:p w14:paraId="7A060E74">
            <w:pPr>
              <w:pStyle w:val="12"/>
            </w:pPr>
            <w:r>
              <w:t>一、一般公共预算拨款收入</w:t>
            </w:r>
          </w:p>
        </w:tc>
        <w:tc>
          <w:tcPr>
            <w:tcW w:w="2126" w:type="dxa"/>
            <w:vAlign w:val="center"/>
          </w:tcPr>
          <w:p w14:paraId="793F9FD6">
            <w:pPr>
              <w:pStyle w:val="11"/>
            </w:pPr>
            <w:r>
              <w:t>2725.47</w:t>
            </w:r>
          </w:p>
        </w:tc>
        <w:tc>
          <w:tcPr>
            <w:tcW w:w="4535" w:type="dxa"/>
            <w:vAlign w:val="center"/>
          </w:tcPr>
          <w:p w14:paraId="0B94C73A">
            <w:pPr>
              <w:pStyle w:val="12"/>
            </w:pPr>
            <w:r>
              <w:t>一、一般公共服务支出</w:t>
            </w:r>
          </w:p>
        </w:tc>
        <w:tc>
          <w:tcPr>
            <w:tcW w:w="2126" w:type="dxa"/>
            <w:vAlign w:val="center"/>
          </w:tcPr>
          <w:p w14:paraId="74C3B482">
            <w:pPr>
              <w:pStyle w:val="11"/>
            </w:pPr>
          </w:p>
        </w:tc>
      </w:tr>
      <w:tr w14:paraId="64E4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4945">
            <w:pPr>
              <w:pStyle w:val="13"/>
            </w:pPr>
            <w:r>
              <w:t>2</w:t>
            </w:r>
          </w:p>
        </w:tc>
        <w:tc>
          <w:tcPr>
            <w:tcW w:w="4535" w:type="dxa"/>
            <w:vAlign w:val="center"/>
          </w:tcPr>
          <w:p w14:paraId="07641BA2">
            <w:pPr>
              <w:pStyle w:val="12"/>
            </w:pPr>
            <w:r>
              <w:t>二、政府性基金预算拨款收入</w:t>
            </w:r>
          </w:p>
        </w:tc>
        <w:tc>
          <w:tcPr>
            <w:tcW w:w="2126" w:type="dxa"/>
            <w:vAlign w:val="center"/>
          </w:tcPr>
          <w:p w14:paraId="16288E7A">
            <w:pPr>
              <w:pStyle w:val="11"/>
            </w:pPr>
          </w:p>
        </w:tc>
        <w:tc>
          <w:tcPr>
            <w:tcW w:w="4535" w:type="dxa"/>
            <w:vAlign w:val="center"/>
          </w:tcPr>
          <w:p w14:paraId="3757A209">
            <w:pPr>
              <w:pStyle w:val="12"/>
            </w:pPr>
            <w:r>
              <w:t>二、外交支出</w:t>
            </w:r>
          </w:p>
        </w:tc>
        <w:tc>
          <w:tcPr>
            <w:tcW w:w="2126" w:type="dxa"/>
            <w:vAlign w:val="center"/>
          </w:tcPr>
          <w:p w14:paraId="302ECBE4">
            <w:pPr>
              <w:pStyle w:val="11"/>
            </w:pPr>
          </w:p>
        </w:tc>
      </w:tr>
      <w:tr w14:paraId="5E4B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3573">
            <w:pPr>
              <w:pStyle w:val="13"/>
            </w:pPr>
            <w:r>
              <w:t>3</w:t>
            </w:r>
          </w:p>
        </w:tc>
        <w:tc>
          <w:tcPr>
            <w:tcW w:w="4535" w:type="dxa"/>
            <w:vAlign w:val="center"/>
          </w:tcPr>
          <w:p w14:paraId="5AFD6F46">
            <w:pPr>
              <w:pStyle w:val="12"/>
            </w:pPr>
            <w:r>
              <w:t>三、国有资本经营预算拨款收入</w:t>
            </w:r>
          </w:p>
        </w:tc>
        <w:tc>
          <w:tcPr>
            <w:tcW w:w="2126" w:type="dxa"/>
            <w:vAlign w:val="center"/>
          </w:tcPr>
          <w:p w14:paraId="5ACAE19A">
            <w:pPr>
              <w:pStyle w:val="11"/>
            </w:pPr>
          </w:p>
        </w:tc>
        <w:tc>
          <w:tcPr>
            <w:tcW w:w="4535" w:type="dxa"/>
            <w:vAlign w:val="center"/>
          </w:tcPr>
          <w:p w14:paraId="0C55402E">
            <w:pPr>
              <w:pStyle w:val="12"/>
            </w:pPr>
            <w:r>
              <w:t>三、国防支出</w:t>
            </w:r>
          </w:p>
        </w:tc>
        <w:tc>
          <w:tcPr>
            <w:tcW w:w="2126" w:type="dxa"/>
            <w:vAlign w:val="center"/>
          </w:tcPr>
          <w:p w14:paraId="62050CBB">
            <w:pPr>
              <w:pStyle w:val="11"/>
            </w:pPr>
          </w:p>
        </w:tc>
      </w:tr>
      <w:tr w14:paraId="781F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DABC1">
            <w:pPr>
              <w:pStyle w:val="13"/>
            </w:pPr>
            <w:r>
              <w:t>4</w:t>
            </w:r>
          </w:p>
        </w:tc>
        <w:tc>
          <w:tcPr>
            <w:tcW w:w="4535" w:type="dxa"/>
            <w:vAlign w:val="center"/>
          </w:tcPr>
          <w:p w14:paraId="15706493">
            <w:pPr>
              <w:pStyle w:val="12"/>
            </w:pPr>
            <w:r>
              <w:t>四、财政专户管理资金收入</w:t>
            </w:r>
          </w:p>
        </w:tc>
        <w:tc>
          <w:tcPr>
            <w:tcW w:w="2126" w:type="dxa"/>
            <w:vAlign w:val="center"/>
          </w:tcPr>
          <w:p w14:paraId="3110D09C">
            <w:pPr>
              <w:pStyle w:val="11"/>
            </w:pPr>
          </w:p>
        </w:tc>
        <w:tc>
          <w:tcPr>
            <w:tcW w:w="4535" w:type="dxa"/>
            <w:vAlign w:val="center"/>
          </w:tcPr>
          <w:p w14:paraId="413BCA31">
            <w:pPr>
              <w:pStyle w:val="12"/>
            </w:pPr>
            <w:r>
              <w:t>四、公共安全支出</w:t>
            </w:r>
          </w:p>
        </w:tc>
        <w:tc>
          <w:tcPr>
            <w:tcW w:w="2126" w:type="dxa"/>
            <w:vAlign w:val="center"/>
          </w:tcPr>
          <w:p w14:paraId="0CE0713D">
            <w:pPr>
              <w:pStyle w:val="11"/>
            </w:pPr>
          </w:p>
        </w:tc>
      </w:tr>
      <w:tr w14:paraId="6698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B79B">
            <w:pPr>
              <w:pStyle w:val="13"/>
            </w:pPr>
            <w:r>
              <w:t>5</w:t>
            </w:r>
          </w:p>
        </w:tc>
        <w:tc>
          <w:tcPr>
            <w:tcW w:w="4535" w:type="dxa"/>
            <w:vAlign w:val="center"/>
          </w:tcPr>
          <w:p w14:paraId="51F422DC">
            <w:pPr>
              <w:pStyle w:val="12"/>
            </w:pPr>
            <w:r>
              <w:t>五、单位资金</w:t>
            </w:r>
          </w:p>
        </w:tc>
        <w:tc>
          <w:tcPr>
            <w:tcW w:w="2126" w:type="dxa"/>
            <w:vAlign w:val="center"/>
          </w:tcPr>
          <w:p w14:paraId="7BDDBB21">
            <w:pPr>
              <w:pStyle w:val="11"/>
            </w:pPr>
          </w:p>
        </w:tc>
        <w:tc>
          <w:tcPr>
            <w:tcW w:w="4535" w:type="dxa"/>
            <w:vAlign w:val="center"/>
          </w:tcPr>
          <w:p w14:paraId="7077D31D">
            <w:pPr>
              <w:pStyle w:val="12"/>
            </w:pPr>
            <w:r>
              <w:t>五、教育支出</w:t>
            </w:r>
          </w:p>
        </w:tc>
        <w:tc>
          <w:tcPr>
            <w:tcW w:w="2126" w:type="dxa"/>
            <w:vAlign w:val="center"/>
          </w:tcPr>
          <w:p w14:paraId="304716DC">
            <w:pPr>
              <w:pStyle w:val="11"/>
            </w:pPr>
            <w:r>
              <w:t>2725.47</w:t>
            </w:r>
          </w:p>
        </w:tc>
      </w:tr>
      <w:tr w14:paraId="1DA5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3A6C9">
            <w:pPr>
              <w:pStyle w:val="13"/>
            </w:pPr>
            <w:r>
              <w:t>6</w:t>
            </w:r>
          </w:p>
        </w:tc>
        <w:tc>
          <w:tcPr>
            <w:tcW w:w="4535" w:type="dxa"/>
            <w:vAlign w:val="center"/>
          </w:tcPr>
          <w:p w14:paraId="417FA588">
            <w:pPr>
              <w:pStyle w:val="12"/>
            </w:pPr>
          </w:p>
        </w:tc>
        <w:tc>
          <w:tcPr>
            <w:tcW w:w="2126" w:type="dxa"/>
            <w:vAlign w:val="center"/>
          </w:tcPr>
          <w:p w14:paraId="00F82E90">
            <w:pPr>
              <w:pStyle w:val="11"/>
            </w:pPr>
          </w:p>
        </w:tc>
        <w:tc>
          <w:tcPr>
            <w:tcW w:w="4535" w:type="dxa"/>
            <w:vAlign w:val="center"/>
          </w:tcPr>
          <w:p w14:paraId="4EE04068">
            <w:pPr>
              <w:pStyle w:val="12"/>
            </w:pPr>
            <w:r>
              <w:t>六、科学技术支出</w:t>
            </w:r>
          </w:p>
        </w:tc>
        <w:tc>
          <w:tcPr>
            <w:tcW w:w="2126" w:type="dxa"/>
            <w:vAlign w:val="center"/>
          </w:tcPr>
          <w:p w14:paraId="30727F1C">
            <w:pPr>
              <w:pStyle w:val="11"/>
            </w:pPr>
          </w:p>
        </w:tc>
      </w:tr>
      <w:tr w14:paraId="1BBB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71BD">
            <w:pPr>
              <w:pStyle w:val="13"/>
            </w:pPr>
            <w:r>
              <w:t>7</w:t>
            </w:r>
          </w:p>
        </w:tc>
        <w:tc>
          <w:tcPr>
            <w:tcW w:w="4535" w:type="dxa"/>
            <w:vAlign w:val="center"/>
          </w:tcPr>
          <w:p w14:paraId="1325E421">
            <w:pPr>
              <w:pStyle w:val="12"/>
            </w:pPr>
          </w:p>
        </w:tc>
        <w:tc>
          <w:tcPr>
            <w:tcW w:w="2126" w:type="dxa"/>
            <w:vAlign w:val="center"/>
          </w:tcPr>
          <w:p w14:paraId="77C94D88">
            <w:pPr>
              <w:pStyle w:val="11"/>
            </w:pPr>
          </w:p>
        </w:tc>
        <w:tc>
          <w:tcPr>
            <w:tcW w:w="4535" w:type="dxa"/>
            <w:vAlign w:val="center"/>
          </w:tcPr>
          <w:p w14:paraId="11AF0F21">
            <w:pPr>
              <w:pStyle w:val="12"/>
            </w:pPr>
            <w:r>
              <w:t>七、文化旅游体育与传媒支出</w:t>
            </w:r>
          </w:p>
        </w:tc>
        <w:tc>
          <w:tcPr>
            <w:tcW w:w="2126" w:type="dxa"/>
            <w:vAlign w:val="center"/>
          </w:tcPr>
          <w:p w14:paraId="72D8AF23">
            <w:pPr>
              <w:pStyle w:val="11"/>
            </w:pPr>
          </w:p>
        </w:tc>
      </w:tr>
      <w:tr w14:paraId="3534D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2B55">
            <w:pPr>
              <w:pStyle w:val="13"/>
            </w:pPr>
            <w:r>
              <w:t>8</w:t>
            </w:r>
          </w:p>
        </w:tc>
        <w:tc>
          <w:tcPr>
            <w:tcW w:w="4535" w:type="dxa"/>
            <w:vAlign w:val="center"/>
          </w:tcPr>
          <w:p w14:paraId="759E9E40">
            <w:pPr>
              <w:pStyle w:val="12"/>
            </w:pPr>
          </w:p>
        </w:tc>
        <w:tc>
          <w:tcPr>
            <w:tcW w:w="2126" w:type="dxa"/>
            <w:vAlign w:val="center"/>
          </w:tcPr>
          <w:p w14:paraId="7526630D">
            <w:pPr>
              <w:pStyle w:val="11"/>
            </w:pPr>
          </w:p>
        </w:tc>
        <w:tc>
          <w:tcPr>
            <w:tcW w:w="4535" w:type="dxa"/>
            <w:vAlign w:val="center"/>
          </w:tcPr>
          <w:p w14:paraId="59C1861D">
            <w:pPr>
              <w:pStyle w:val="12"/>
            </w:pPr>
            <w:r>
              <w:t>八、社会保障和就业支出</w:t>
            </w:r>
          </w:p>
        </w:tc>
        <w:tc>
          <w:tcPr>
            <w:tcW w:w="2126" w:type="dxa"/>
            <w:vAlign w:val="center"/>
          </w:tcPr>
          <w:p w14:paraId="7D149D8D">
            <w:pPr>
              <w:pStyle w:val="11"/>
            </w:pPr>
          </w:p>
        </w:tc>
      </w:tr>
      <w:tr w14:paraId="6523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30B91">
            <w:pPr>
              <w:pStyle w:val="13"/>
            </w:pPr>
            <w:r>
              <w:t>9</w:t>
            </w:r>
          </w:p>
        </w:tc>
        <w:tc>
          <w:tcPr>
            <w:tcW w:w="4535" w:type="dxa"/>
            <w:vAlign w:val="center"/>
          </w:tcPr>
          <w:p w14:paraId="3E7AB1A5">
            <w:pPr>
              <w:pStyle w:val="12"/>
            </w:pPr>
          </w:p>
        </w:tc>
        <w:tc>
          <w:tcPr>
            <w:tcW w:w="2126" w:type="dxa"/>
            <w:vAlign w:val="center"/>
          </w:tcPr>
          <w:p w14:paraId="19AC3C10">
            <w:pPr>
              <w:pStyle w:val="11"/>
            </w:pPr>
          </w:p>
        </w:tc>
        <w:tc>
          <w:tcPr>
            <w:tcW w:w="4535" w:type="dxa"/>
            <w:vAlign w:val="center"/>
          </w:tcPr>
          <w:p w14:paraId="66D34076">
            <w:pPr>
              <w:pStyle w:val="12"/>
            </w:pPr>
            <w:r>
              <w:t>九、社会保险基金支出</w:t>
            </w:r>
          </w:p>
        </w:tc>
        <w:tc>
          <w:tcPr>
            <w:tcW w:w="2126" w:type="dxa"/>
            <w:vAlign w:val="center"/>
          </w:tcPr>
          <w:p w14:paraId="3474C07C">
            <w:pPr>
              <w:pStyle w:val="11"/>
            </w:pPr>
          </w:p>
        </w:tc>
      </w:tr>
      <w:tr w14:paraId="4538D770">
        <w:tblPrEx>
          <w:tblCellMar>
            <w:top w:w="0" w:type="dxa"/>
            <w:left w:w="108" w:type="dxa"/>
            <w:bottom w:w="0" w:type="dxa"/>
            <w:right w:w="108" w:type="dxa"/>
          </w:tblCellMar>
        </w:tblPrEx>
        <w:trPr>
          <w:trHeight w:val="369" w:hRule="atLeast"/>
          <w:jc w:val="center"/>
        </w:trPr>
        <w:tc>
          <w:tcPr>
            <w:tcW w:w="850" w:type="dxa"/>
            <w:vAlign w:val="center"/>
          </w:tcPr>
          <w:p w14:paraId="7DCAD635">
            <w:pPr>
              <w:pStyle w:val="13"/>
            </w:pPr>
            <w:r>
              <w:t>10</w:t>
            </w:r>
          </w:p>
        </w:tc>
        <w:tc>
          <w:tcPr>
            <w:tcW w:w="4535" w:type="dxa"/>
            <w:vAlign w:val="center"/>
          </w:tcPr>
          <w:p w14:paraId="6F3E1105">
            <w:pPr>
              <w:pStyle w:val="12"/>
            </w:pPr>
          </w:p>
        </w:tc>
        <w:tc>
          <w:tcPr>
            <w:tcW w:w="2126" w:type="dxa"/>
            <w:vAlign w:val="center"/>
          </w:tcPr>
          <w:p w14:paraId="67D9315A">
            <w:pPr>
              <w:pStyle w:val="11"/>
            </w:pPr>
          </w:p>
        </w:tc>
        <w:tc>
          <w:tcPr>
            <w:tcW w:w="4535" w:type="dxa"/>
            <w:vAlign w:val="center"/>
          </w:tcPr>
          <w:p w14:paraId="125CB153">
            <w:pPr>
              <w:pStyle w:val="12"/>
            </w:pPr>
            <w:r>
              <w:t>十、卫生健康支出</w:t>
            </w:r>
          </w:p>
        </w:tc>
        <w:tc>
          <w:tcPr>
            <w:tcW w:w="2126" w:type="dxa"/>
            <w:vAlign w:val="center"/>
          </w:tcPr>
          <w:p w14:paraId="61005C33">
            <w:pPr>
              <w:pStyle w:val="11"/>
            </w:pPr>
          </w:p>
        </w:tc>
      </w:tr>
      <w:tr w14:paraId="1C2B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1112">
            <w:pPr>
              <w:pStyle w:val="13"/>
            </w:pPr>
            <w:r>
              <w:t>11</w:t>
            </w:r>
          </w:p>
        </w:tc>
        <w:tc>
          <w:tcPr>
            <w:tcW w:w="4535" w:type="dxa"/>
            <w:vAlign w:val="center"/>
          </w:tcPr>
          <w:p w14:paraId="4DB67917">
            <w:pPr>
              <w:pStyle w:val="12"/>
            </w:pPr>
          </w:p>
        </w:tc>
        <w:tc>
          <w:tcPr>
            <w:tcW w:w="2126" w:type="dxa"/>
            <w:vAlign w:val="center"/>
          </w:tcPr>
          <w:p w14:paraId="1132D408">
            <w:pPr>
              <w:pStyle w:val="11"/>
            </w:pPr>
          </w:p>
        </w:tc>
        <w:tc>
          <w:tcPr>
            <w:tcW w:w="4535" w:type="dxa"/>
            <w:vAlign w:val="center"/>
          </w:tcPr>
          <w:p w14:paraId="7D4830FE">
            <w:pPr>
              <w:pStyle w:val="12"/>
            </w:pPr>
            <w:r>
              <w:t>十一、节能环保支出</w:t>
            </w:r>
          </w:p>
        </w:tc>
        <w:tc>
          <w:tcPr>
            <w:tcW w:w="2126" w:type="dxa"/>
            <w:vAlign w:val="center"/>
          </w:tcPr>
          <w:p w14:paraId="78F3A88A">
            <w:pPr>
              <w:pStyle w:val="11"/>
            </w:pPr>
          </w:p>
        </w:tc>
      </w:tr>
      <w:tr w14:paraId="774C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D328">
            <w:pPr>
              <w:pStyle w:val="13"/>
            </w:pPr>
            <w:r>
              <w:t>12</w:t>
            </w:r>
          </w:p>
        </w:tc>
        <w:tc>
          <w:tcPr>
            <w:tcW w:w="4535" w:type="dxa"/>
            <w:vAlign w:val="center"/>
          </w:tcPr>
          <w:p w14:paraId="4DC8E6D1">
            <w:pPr>
              <w:pStyle w:val="12"/>
            </w:pPr>
          </w:p>
        </w:tc>
        <w:tc>
          <w:tcPr>
            <w:tcW w:w="2126" w:type="dxa"/>
            <w:vAlign w:val="center"/>
          </w:tcPr>
          <w:p w14:paraId="5287C69F">
            <w:pPr>
              <w:pStyle w:val="11"/>
            </w:pPr>
          </w:p>
        </w:tc>
        <w:tc>
          <w:tcPr>
            <w:tcW w:w="4535" w:type="dxa"/>
            <w:vAlign w:val="center"/>
          </w:tcPr>
          <w:p w14:paraId="2180CE8D">
            <w:pPr>
              <w:pStyle w:val="12"/>
            </w:pPr>
            <w:r>
              <w:t>十二、城乡社区支出</w:t>
            </w:r>
          </w:p>
        </w:tc>
        <w:tc>
          <w:tcPr>
            <w:tcW w:w="2126" w:type="dxa"/>
            <w:vAlign w:val="center"/>
          </w:tcPr>
          <w:p w14:paraId="1204D065">
            <w:pPr>
              <w:pStyle w:val="11"/>
            </w:pPr>
          </w:p>
        </w:tc>
      </w:tr>
      <w:tr w14:paraId="1FE6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90514">
            <w:pPr>
              <w:pStyle w:val="13"/>
            </w:pPr>
            <w:r>
              <w:t>13</w:t>
            </w:r>
          </w:p>
        </w:tc>
        <w:tc>
          <w:tcPr>
            <w:tcW w:w="4535" w:type="dxa"/>
            <w:vAlign w:val="center"/>
          </w:tcPr>
          <w:p w14:paraId="6A9B5B4B">
            <w:pPr>
              <w:pStyle w:val="12"/>
            </w:pPr>
          </w:p>
        </w:tc>
        <w:tc>
          <w:tcPr>
            <w:tcW w:w="2126" w:type="dxa"/>
            <w:vAlign w:val="center"/>
          </w:tcPr>
          <w:p w14:paraId="19D41DF5">
            <w:pPr>
              <w:pStyle w:val="11"/>
            </w:pPr>
          </w:p>
        </w:tc>
        <w:tc>
          <w:tcPr>
            <w:tcW w:w="4535" w:type="dxa"/>
            <w:vAlign w:val="center"/>
          </w:tcPr>
          <w:p w14:paraId="2C35D6CA">
            <w:pPr>
              <w:pStyle w:val="12"/>
            </w:pPr>
            <w:r>
              <w:t>十三、农林水支出</w:t>
            </w:r>
          </w:p>
        </w:tc>
        <w:tc>
          <w:tcPr>
            <w:tcW w:w="2126" w:type="dxa"/>
            <w:vAlign w:val="center"/>
          </w:tcPr>
          <w:p w14:paraId="546BC754">
            <w:pPr>
              <w:pStyle w:val="11"/>
            </w:pPr>
          </w:p>
        </w:tc>
      </w:tr>
      <w:tr w14:paraId="3989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02B4F">
            <w:pPr>
              <w:pStyle w:val="13"/>
            </w:pPr>
            <w:r>
              <w:t>14</w:t>
            </w:r>
          </w:p>
        </w:tc>
        <w:tc>
          <w:tcPr>
            <w:tcW w:w="4535" w:type="dxa"/>
            <w:vAlign w:val="center"/>
          </w:tcPr>
          <w:p w14:paraId="5FB998AE">
            <w:pPr>
              <w:pStyle w:val="12"/>
            </w:pPr>
          </w:p>
        </w:tc>
        <w:tc>
          <w:tcPr>
            <w:tcW w:w="2126" w:type="dxa"/>
            <w:vAlign w:val="center"/>
          </w:tcPr>
          <w:p w14:paraId="5825BACD">
            <w:pPr>
              <w:pStyle w:val="11"/>
            </w:pPr>
          </w:p>
        </w:tc>
        <w:tc>
          <w:tcPr>
            <w:tcW w:w="4535" w:type="dxa"/>
            <w:vAlign w:val="center"/>
          </w:tcPr>
          <w:p w14:paraId="7224F248">
            <w:pPr>
              <w:pStyle w:val="12"/>
            </w:pPr>
            <w:r>
              <w:t>十四、交通运输支出</w:t>
            </w:r>
          </w:p>
        </w:tc>
        <w:tc>
          <w:tcPr>
            <w:tcW w:w="2126" w:type="dxa"/>
            <w:vAlign w:val="center"/>
          </w:tcPr>
          <w:p w14:paraId="18E8B04B">
            <w:pPr>
              <w:pStyle w:val="11"/>
            </w:pPr>
          </w:p>
        </w:tc>
      </w:tr>
      <w:tr w14:paraId="58AE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C9299">
            <w:pPr>
              <w:pStyle w:val="13"/>
            </w:pPr>
            <w:r>
              <w:t>15</w:t>
            </w:r>
          </w:p>
        </w:tc>
        <w:tc>
          <w:tcPr>
            <w:tcW w:w="4535" w:type="dxa"/>
            <w:vAlign w:val="center"/>
          </w:tcPr>
          <w:p w14:paraId="7B6ED3EC">
            <w:pPr>
              <w:pStyle w:val="12"/>
            </w:pPr>
          </w:p>
        </w:tc>
        <w:tc>
          <w:tcPr>
            <w:tcW w:w="2126" w:type="dxa"/>
            <w:vAlign w:val="center"/>
          </w:tcPr>
          <w:p w14:paraId="075E3D04">
            <w:pPr>
              <w:pStyle w:val="11"/>
            </w:pPr>
          </w:p>
        </w:tc>
        <w:tc>
          <w:tcPr>
            <w:tcW w:w="4535" w:type="dxa"/>
            <w:vAlign w:val="center"/>
          </w:tcPr>
          <w:p w14:paraId="5A9C0164">
            <w:pPr>
              <w:pStyle w:val="12"/>
            </w:pPr>
            <w:r>
              <w:t>十五、资源勘探工业信息等支出</w:t>
            </w:r>
          </w:p>
        </w:tc>
        <w:tc>
          <w:tcPr>
            <w:tcW w:w="2126" w:type="dxa"/>
            <w:vAlign w:val="center"/>
          </w:tcPr>
          <w:p w14:paraId="0828BF9E">
            <w:pPr>
              <w:pStyle w:val="11"/>
            </w:pPr>
          </w:p>
        </w:tc>
      </w:tr>
      <w:tr w14:paraId="7F69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D4687">
            <w:pPr>
              <w:pStyle w:val="13"/>
            </w:pPr>
            <w:r>
              <w:t>16</w:t>
            </w:r>
          </w:p>
        </w:tc>
        <w:tc>
          <w:tcPr>
            <w:tcW w:w="4535" w:type="dxa"/>
            <w:vAlign w:val="center"/>
          </w:tcPr>
          <w:p w14:paraId="1153E170">
            <w:pPr>
              <w:pStyle w:val="12"/>
            </w:pPr>
          </w:p>
        </w:tc>
        <w:tc>
          <w:tcPr>
            <w:tcW w:w="2126" w:type="dxa"/>
            <w:vAlign w:val="center"/>
          </w:tcPr>
          <w:p w14:paraId="606B7DE4">
            <w:pPr>
              <w:pStyle w:val="11"/>
            </w:pPr>
          </w:p>
        </w:tc>
        <w:tc>
          <w:tcPr>
            <w:tcW w:w="4535" w:type="dxa"/>
            <w:vAlign w:val="center"/>
          </w:tcPr>
          <w:p w14:paraId="78B987F6">
            <w:pPr>
              <w:pStyle w:val="12"/>
            </w:pPr>
            <w:r>
              <w:t>十六、商业服务业等支出</w:t>
            </w:r>
          </w:p>
        </w:tc>
        <w:tc>
          <w:tcPr>
            <w:tcW w:w="2126" w:type="dxa"/>
            <w:vAlign w:val="center"/>
          </w:tcPr>
          <w:p w14:paraId="0FB3AF2D">
            <w:pPr>
              <w:pStyle w:val="11"/>
            </w:pPr>
          </w:p>
        </w:tc>
      </w:tr>
      <w:tr w14:paraId="0956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9FAB">
            <w:pPr>
              <w:pStyle w:val="13"/>
            </w:pPr>
            <w:r>
              <w:t>17</w:t>
            </w:r>
          </w:p>
        </w:tc>
        <w:tc>
          <w:tcPr>
            <w:tcW w:w="4535" w:type="dxa"/>
            <w:vAlign w:val="center"/>
          </w:tcPr>
          <w:p w14:paraId="72A58808">
            <w:pPr>
              <w:pStyle w:val="12"/>
            </w:pPr>
          </w:p>
        </w:tc>
        <w:tc>
          <w:tcPr>
            <w:tcW w:w="2126" w:type="dxa"/>
            <w:vAlign w:val="center"/>
          </w:tcPr>
          <w:p w14:paraId="6EB18756">
            <w:pPr>
              <w:pStyle w:val="11"/>
            </w:pPr>
          </w:p>
        </w:tc>
        <w:tc>
          <w:tcPr>
            <w:tcW w:w="4535" w:type="dxa"/>
            <w:vAlign w:val="center"/>
          </w:tcPr>
          <w:p w14:paraId="3E325758">
            <w:pPr>
              <w:pStyle w:val="12"/>
            </w:pPr>
            <w:r>
              <w:t>十七、金融支出</w:t>
            </w:r>
          </w:p>
        </w:tc>
        <w:tc>
          <w:tcPr>
            <w:tcW w:w="2126" w:type="dxa"/>
            <w:vAlign w:val="center"/>
          </w:tcPr>
          <w:p w14:paraId="0FDB31C3">
            <w:pPr>
              <w:pStyle w:val="11"/>
            </w:pPr>
          </w:p>
        </w:tc>
      </w:tr>
      <w:tr w14:paraId="59E8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91F6E">
            <w:pPr>
              <w:pStyle w:val="13"/>
            </w:pPr>
            <w:r>
              <w:t>18</w:t>
            </w:r>
          </w:p>
        </w:tc>
        <w:tc>
          <w:tcPr>
            <w:tcW w:w="4535" w:type="dxa"/>
            <w:vAlign w:val="center"/>
          </w:tcPr>
          <w:p w14:paraId="4E6C26AA">
            <w:pPr>
              <w:pStyle w:val="12"/>
            </w:pPr>
          </w:p>
        </w:tc>
        <w:tc>
          <w:tcPr>
            <w:tcW w:w="2126" w:type="dxa"/>
            <w:vAlign w:val="center"/>
          </w:tcPr>
          <w:p w14:paraId="6D211E21">
            <w:pPr>
              <w:pStyle w:val="11"/>
            </w:pPr>
          </w:p>
        </w:tc>
        <w:tc>
          <w:tcPr>
            <w:tcW w:w="4535" w:type="dxa"/>
            <w:vAlign w:val="center"/>
          </w:tcPr>
          <w:p w14:paraId="0B913D0A">
            <w:pPr>
              <w:pStyle w:val="12"/>
            </w:pPr>
            <w:r>
              <w:t>十八、援助其他地区支出</w:t>
            </w:r>
          </w:p>
        </w:tc>
        <w:tc>
          <w:tcPr>
            <w:tcW w:w="2126" w:type="dxa"/>
            <w:vAlign w:val="center"/>
          </w:tcPr>
          <w:p w14:paraId="0A007F69">
            <w:pPr>
              <w:pStyle w:val="11"/>
            </w:pPr>
          </w:p>
        </w:tc>
      </w:tr>
      <w:tr w14:paraId="242A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E6B3">
            <w:pPr>
              <w:pStyle w:val="13"/>
            </w:pPr>
            <w:r>
              <w:t>19</w:t>
            </w:r>
          </w:p>
        </w:tc>
        <w:tc>
          <w:tcPr>
            <w:tcW w:w="4535" w:type="dxa"/>
            <w:vAlign w:val="center"/>
          </w:tcPr>
          <w:p w14:paraId="1F2E7EAB">
            <w:pPr>
              <w:pStyle w:val="12"/>
            </w:pPr>
          </w:p>
        </w:tc>
        <w:tc>
          <w:tcPr>
            <w:tcW w:w="2126" w:type="dxa"/>
            <w:vAlign w:val="center"/>
          </w:tcPr>
          <w:p w14:paraId="00316EF8">
            <w:pPr>
              <w:pStyle w:val="11"/>
            </w:pPr>
          </w:p>
        </w:tc>
        <w:tc>
          <w:tcPr>
            <w:tcW w:w="4535" w:type="dxa"/>
            <w:vAlign w:val="center"/>
          </w:tcPr>
          <w:p w14:paraId="7C457E29">
            <w:pPr>
              <w:pStyle w:val="12"/>
            </w:pPr>
            <w:r>
              <w:t>十九、自然资源海洋气象等支出</w:t>
            </w:r>
          </w:p>
        </w:tc>
        <w:tc>
          <w:tcPr>
            <w:tcW w:w="2126" w:type="dxa"/>
            <w:vAlign w:val="center"/>
          </w:tcPr>
          <w:p w14:paraId="673FCB7E">
            <w:pPr>
              <w:pStyle w:val="11"/>
            </w:pPr>
          </w:p>
        </w:tc>
      </w:tr>
      <w:tr w14:paraId="5CCE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84F1">
            <w:pPr>
              <w:pStyle w:val="13"/>
            </w:pPr>
            <w:r>
              <w:t>20</w:t>
            </w:r>
          </w:p>
        </w:tc>
        <w:tc>
          <w:tcPr>
            <w:tcW w:w="4535" w:type="dxa"/>
            <w:vAlign w:val="center"/>
          </w:tcPr>
          <w:p w14:paraId="62716E52">
            <w:pPr>
              <w:pStyle w:val="12"/>
            </w:pPr>
          </w:p>
        </w:tc>
        <w:tc>
          <w:tcPr>
            <w:tcW w:w="2126" w:type="dxa"/>
            <w:vAlign w:val="center"/>
          </w:tcPr>
          <w:p w14:paraId="46592D22">
            <w:pPr>
              <w:pStyle w:val="11"/>
            </w:pPr>
          </w:p>
        </w:tc>
        <w:tc>
          <w:tcPr>
            <w:tcW w:w="4535" w:type="dxa"/>
            <w:vAlign w:val="center"/>
          </w:tcPr>
          <w:p w14:paraId="6C9B80A5">
            <w:pPr>
              <w:pStyle w:val="12"/>
            </w:pPr>
            <w:r>
              <w:t>二十、住房保障支出</w:t>
            </w:r>
          </w:p>
        </w:tc>
        <w:tc>
          <w:tcPr>
            <w:tcW w:w="2126" w:type="dxa"/>
            <w:vAlign w:val="center"/>
          </w:tcPr>
          <w:p w14:paraId="6CE48CF8">
            <w:pPr>
              <w:pStyle w:val="11"/>
            </w:pPr>
          </w:p>
        </w:tc>
      </w:tr>
      <w:tr w14:paraId="0964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397E">
            <w:pPr>
              <w:pStyle w:val="13"/>
            </w:pPr>
            <w:r>
              <w:t>21</w:t>
            </w:r>
          </w:p>
        </w:tc>
        <w:tc>
          <w:tcPr>
            <w:tcW w:w="4535" w:type="dxa"/>
            <w:vAlign w:val="center"/>
          </w:tcPr>
          <w:p w14:paraId="220293D9">
            <w:pPr>
              <w:pStyle w:val="12"/>
            </w:pPr>
          </w:p>
        </w:tc>
        <w:tc>
          <w:tcPr>
            <w:tcW w:w="2126" w:type="dxa"/>
            <w:vAlign w:val="center"/>
          </w:tcPr>
          <w:p w14:paraId="2151D226">
            <w:pPr>
              <w:pStyle w:val="11"/>
            </w:pPr>
          </w:p>
        </w:tc>
        <w:tc>
          <w:tcPr>
            <w:tcW w:w="4535" w:type="dxa"/>
            <w:vAlign w:val="center"/>
          </w:tcPr>
          <w:p w14:paraId="597E9FEB">
            <w:pPr>
              <w:pStyle w:val="12"/>
            </w:pPr>
            <w:r>
              <w:t>二十一、粮油物资储备支出</w:t>
            </w:r>
          </w:p>
        </w:tc>
        <w:tc>
          <w:tcPr>
            <w:tcW w:w="2126" w:type="dxa"/>
            <w:vAlign w:val="center"/>
          </w:tcPr>
          <w:p w14:paraId="3A04B007">
            <w:pPr>
              <w:pStyle w:val="11"/>
            </w:pPr>
          </w:p>
        </w:tc>
      </w:tr>
      <w:tr w14:paraId="30F1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FA33C">
            <w:pPr>
              <w:pStyle w:val="13"/>
            </w:pPr>
            <w:r>
              <w:t>22</w:t>
            </w:r>
          </w:p>
        </w:tc>
        <w:tc>
          <w:tcPr>
            <w:tcW w:w="4535" w:type="dxa"/>
            <w:vAlign w:val="center"/>
          </w:tcPr>
          <w:p w14:paraId="1E8833CC">
            <w:pPr>
              <w:pStyle w:val="12"/>
            </w:pPr>
          </w:p>
        </w:tc>
        <w:tc>
          <w:tcPr>
            <w:tcW w:w="2126" w:type="dxa"/>
            <w:vAlign w:val="center"/>
          </w:tcPr>
          <w:p w14:paraId="510108F8">
            <w:pPr>
              <w:pStyle w:val="11"/>
            </w:pPr>
          </w:p>
        </w:tc>
        <w:tc>
          <w:tcPr>
            <w:tcW w:w="4535" w:type="dxa"/>
            <w:vAlign w:val="center"/>
          </w:tcPr>
          <w:p w14:paraId="17D6712A">
            <w:pPr>
              <w:pStyle w:val="12"/>
            </w:pPr>
            <w:r>
              <w:t>二十二、国有资本经营预算支出</w:t>
            </w:r>
          </w:p>
        </w:tc>
        <w:tc>
          <w:tcPr>
            <w:tcW w:w="2126" w:type="dxa"/>
            <w:vAlign w:val="center"/>
          </w:tcPr>
          <w:p w14:paraId="2EBFB8DB">
            <w:pPr>
              <w:pStyle w:val="11"/>
            </w:pPr>
          </w:p>
        </w:tc>
      </w:tr>
      <w:tr w14:paraId="49FC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F8AC">
            <w:pPr>
              <w:pStyle w:val="13"/>
            </w:pPr>
            <w:r>
              <w:t>23</w:t>
            </w:r>
          </w:p>
        </w:tc>
        <w:tc>
          <w:tcPr>
            <w:tcW w:w="4535" w:type="dxa"/>
            <w:vAlign w:val="center"/>
          </w:tcPr>
          <w:p w14:paraId="35B61D9B">
            <w:pPr>
              <w:pStyle w:val="12"/>
            </w:pPr>
          </w:p>
        </w:tc>
        <w:tc>
          <w:tcPr>
            <w:tcW w:w="2126" w:type="dxa"/>
            <w:vAlign w:val="center"/>
          </w:tcPr>
          <w:p w14:paraId="0E8719CB">
            <w:pPr>
              <w:pStyle w:val="11"/>
            </w:pPr>
          </w:p>
        </w:tc>
        <w:tc>
          <w:tcPr>
            <w:tcW w:w="4535" w:type="dxa"/>
            <w:vAlign w:val="center"/>
          </w:tcPr>
          <w:p w14:paraId="31A35223">
            <w:pPr>
              <w:pStyle w:val="12"/>
            </w:pPr>
            <w:r>
              <w:t>二十三、灾害防治及应急管理支出</w:t>
            </w:r>
          </w:p>
        </w:tc>
        <w:tc>
          <w:tcPr>
            <w:tcW w:w="2126" w:type="dxa"/>
            <w:vAlign w:val="center"/>
          </w:tcPr>
          <w:p w14:paraId="42EF3525">
            <w:pPr>
              <w:pStyle w:val="11"/>
            </w:pPr>
          </w:p>
        </w:tc>
      </w:tr>
      <w:tr w14:paraId="572CE180">
        <w:tblPrEx>
          <w:tblCellMar>
            <w:top w:w="0" w:type="dxa"/>
            <w:left w:w="108" w:type="dxa"/>
            <w:bottom w:w="0" w:type="dxa"/>
            <w:right w:w="108" w:type="dxa"/>
          </w:tblCellMar>
        </w:tblPrEx>
        <w:trPr>
          <w:trHeight w:val="369" w:hRule="atLeast"/>
          <w:jc w:val="center"/>
        </w:trPr>
        <w:tc>
          <w:tcPr>
            <w:tcW w:w="850" w:type="dxa"/>
            <w:vAlign w:val="center"/>
          </w:tcPr>
          <w:p w14:paraId="1A9072D3">
            <w:pPr>
              <w:pStyle w:val="13"/>
            </w:pPr>
            <w:r>
              <w:t>24</w:t>
            </w:r>
          </w:p>
        </w:tc>
        <w:tc>
          <w:tcPr>
            <w:tcW w:w="4535" w:type="dxa"/>
            <w:vAlign w:val="center"/>
          </w:tcPr>
          <w:p w14:paraId="1597FE73">
            <w:pPr>
              <w:pStyle w:val="12"/>
            </w:pPr>
          </w:p>
        </w:tc>
        <w:tc>
          <w:tcPr>
            <w:tcW w:w="2126" w:type="dxa"/>
            <w:vAlign w:val="center"/>
          </w:tcPr>
          <w:p w14:paraId="5BFE8614">
            <w:pPr>
              <w:pStyle w:val="11"/>
            </w:pPr>
          </w:p>
        </w:tc>
        <w:tc>
          <w:tcPr>
            <w:tcW w:w="4535" w:type="dxa"/>
            <w:vAlign w:val="center"/>
          </w:tcPr>
          <w:p w14:paraId="57968088">
            <w:pPr>
              <w:pStyle w:val="12"/>
            </w:pPr>
            <w:r>
              <w:t>二十四、预备费</w:t>
            </w:r>
          </w:p>
        </w:tc>
        <w:tc>
          <w:tcPr>
            <w:tcW w:w="2126" w:type="dxa"/>
            <w:vAlign w:val="center"/>
          </w:tcPr>
          <w:p w14:paraId="1E8C6F74">
            <w:pPr>
              <w:pStyle w:val="11"/>
            </w:pPr>
          </w:p>
        </w:tc>
      </w:tr>
      <w:tr w14:paraId="7FEEA0E9">
        <w:tblPrEx>
          <w:tblCellMar>
            <w:top w:w="0" w:type="dxa"/>
            <w:left w:w="108" w:type="dxa"/>
            <w:bottom w:w="0" w:type="dxa"/>
            <w:right w:w="108" w:type="dxa"/>
          </w:tblCellMar>
        </w:tblPrEx>
        <w:trPr>
          <w:trHeight w:val="369" w:hRule="atLeast"/>
          <w:jc w:val="center"/>
        </w:trPr>
        <w:tc>
          <w:tcPr>
            <w:tcW w:w="850" w:type="dxa"/>
            <w:vAlign w:val="center"/>
          </w:tcPr>
          <w:p w14:paraId="1BF9A3CB">
            <w:pPr>
              <w:pStyle w:val="13"/>
            </w:pPr>
            <w:r>
              <w:t>25</w:t>
            </w:r>
          </w:p>
        </w:tc>
        <w:tc>
          <w:tcPr>
            <w:tcW w:w="4535" w:type="dxa"/>
            <w:vAlign w:val="center"/>
          </w:tcPr>
          <w:p w14:paraId="4238ED27">
            <w:pPr>
              <w:pStyle w:val="12"/>
            </w:pPr>
          </w:p>
        </w:tc>
        <w:tc>
          <w:tcPr>
            <w:tcW w:w="2126" w:type="dxa"/>
            <w:vAlign w:val="center"/>
          </w:tcPr>
          <w:p w14:paraId="2478C2D3">
            <w:pPr>
              <w:pStyle w:val="11"/>
            </w:pPr>
          </w:p>
        </w:tc>
        <w:tc>
          <w:tcPr>
            <w:tcW w:w="4535" w:type="dxa"/>
            <w:vAlign w:val="center"/>
          </w:tcPr>
          <w:p w14:paraId="11C8A750">
            <w:pPr>
              <w:pStyle w:val="12"/>
            </w:pPr>
            <w:r>
              <w:t>二十五、其他支出</w:t>
            </w:r>
          </w:p>
        </w:tc>
        <w:tc>
          <w:tcPr>
            <w:tcW w:w="2126" w:type="dxa"/>
            <w:vAlign w:val="center"/>
          </w:tcPr>
          <w:p w14:paraId="325591FB">
            <w:pPr>
              <w:pStyle w:val="11"/>
            </w:pPr>
          </w:p>
        </w:tc>
      </w:tr>
      <w:tr w14:paraId="7B89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B6F34">
            <w:pPr>
              <w:pStyle w:val="13"/>
            </w:pPr>
            <w:r>
              <w:t>26</w:t>
            </w:r>
          </w:p>
        </w:tc>
        <w:tc>
          <w:tcPr>
            <w:tcW w:w="4535" w:type="dxa"/>
            <w:vAlign w:val="center"/>
          </w:tcPr>
          <w:p w14:paraId="7E091EBF">
            <w:pPr>
              <w:pStyle w:val="12"/>
            </w:pPr>
          </w:p>
        </w:tc>
        <w:tc>
          <w:tcPr>
            <w:tcW w:w="2126" w:type="dxa"/>
            <w:vAlign w:val="center"/>
          </w:tcPr>
          <w:p w14:paraId="0251D94B">
            <w:pPr>
              <w:pStyle w:val="11"/>
            </w:pPr>
          </w:p>
        </w:tc>
        <w:tc>
          <w:tcPr>
            <w:tcW w:w="4535" w:type="dxa"/>
            <w:vAlign w:val="center"/>
          </w:tcPr>
          <w:p w14:paraId="5C9B55C3">
            <w:pPr>
              <w:pStyle w:val="12"/>
            </w:pPr>
            <w:r>
              <w:t>二十六、转移性支出</w:t>
            </w:r>
          </w:p>
        </w:tc>
        <w:tc>
          <w:tcPr>
            <w:tcW w:w="2126" w:type="dxa"/>
            <w:vAlign w:val="center"/>
          </w:tcPr>
          <w:p w14:paraId="0D7A2A78">
            <w:pPr>
              <w:pStyle w:val="11"/>
            </w:pPr>
          </w:p>
        </w:tc>
      </w:tr>
      <w:tr w14:paraId="7543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61BE">
            <w:pPr>
              <w:pStyle w:val="13"/>
            </w:pPr>
            <w:r>
              <w:t>27</w:t>
            </w:r>
          </w:p>
        </w:tc>
        <w:tc>
          <w:tcPr>
            <w:tcW w:w="4535" w:type="dxa"/>
            <w:vAlign w:val="center"/>
          </w:tcPr>
          <w:p w14:paraId="261DE1A8">
            <w:pPr>
              <w:pStyle w:val="12"/>
            </w:pPr>
          </w:p>
        </w:tc>
        <w:tc>
          <w:tcPr>
            <w:tcW w:w="2126" w:type="dxa"/>
            <w:vAlign w:val="center"/>
          </w:tcPr>
          <w:p w14:paraId="510368A5">
            <w:pPr>
              <w:pStyle w:val="11"/>
            </w:pPr>
          </w:p>
        </w:tc>
        <w:tc>
          <w:tcPr>
            <w:tcW w:w="4535" w:type="dxa"/>
            <w:vAlign w:val="center"/>
          </w:tcPr>
          <w:p w14:paraId="30E54E06">
            <w:pPr>
              <w:pStyle w:val="12"/>
            </w:pPr>
            <w:r>
              <w:t>二十七、债务还本支出</w:t>
            </w:r>
          </w:p>
        </w:tc>
        <w:tc>
          <w:tcPr>
            <w:tcW w:w="2126" w:type="dxa"/>
            <w:vAlign w:val="center"/>
          </w:tcPr>
          <w:p w14:paraId="13DF3F62">
            <w:pPr>
              <w:pStyle w:val="11"/>
            </w:pPr>
          </w:p>
        </w:tc>
      </w:tr>
      <w:tr w14:paraId="28F5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AFB34">
            <w:pPr>
              <w:pStyle w:val="13"/>
            </w:pPr>
            <w:r>
              <w:t>28</w:t>
            </w:r>
          </w:p>
        </w:tc>
        <w:tc>
          <w:tcPr>
            <w:tcW w:w="4535" w:type="dxa"/>
            <w:vAlign w:val="center"/>
          </w:tcPr>
          <w:p w14:paraId="278103FE">
            <w:pPr>
              <w:pStyle w:val="12"/>
            </w:pPr>
          </w:p>
        </w:tc>
        <w:tc>
          <w:tcPr>
            <w:tcW w:w="2126" w:type="dxa"/>
            <w:vAlign w:val="center"/>
          </w:tcPr>
          <w:p w14:paraId="4FB14E2F">
            <w:pPr>
              <w:pStyle w:val="11"/>
            </w:pPr>
          </w:p>
        </w:tc>
        <w:tc>
          <w:tcPr>
            <w:tcW w:w="4535" w:type="dxa"/>
            <w:vAlign w:val="center"/>
          </w:tcPr>
          <w:p w14:paraId="6B51389E">
            <w:pPr>
              <w:pStyle w:val="12"/>
            </w:pPr>
            <w:r>
              <w:t>二十八、债务付息支出</w:t>
            </w:r>
          </w:p>
        </w:tc>
        <w:tc>
          <w:tcPr>
            <w:tcW w:w="2126" w:type="dxa"/>
            <w:vAlign w:val="center"/>
          </w:tcPr>
          <w:p w14:paraId="185DD44A">
            <w:pPr>
              <w:pStyle w:val="11"/>
            </w:pPr>
          </w:p>
        </w:tc>
      </w:tr>
      <w:tr w14:paraId="28AA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CDAA9">
            <w:pPr>
              <w:pStyle w:val="13"/>
            </w:pPr>
            <w:r>
              <w:t>29</w:t>
            </w:r>
          </w:p>
        </w:tc>
        <w:tc>
          <w:tcPr>
            <w:tcW w:w="4535" w:type="dxa"/>
            <w:vAlign w:val="center"/>
          </w:tcPr>
          <w:p w14:paraId="24B88C8E">
            <w:pPr>
              <w:pStyle w:val="12"/>
            </w:pPr>
          </w:p>
        </w:tc>
        <w:tc>
          <w:tcPr>
            <w:tcW w:w="2126" w:type="dxa"/>
            <w:vAlign w:val="center"/>
          </w:tcPr>
          <w:p w14:paraId="41422A3A">
            <w:pPr>
              <w:pStyle w:val="11"/>
            </w:pPr>
          </w:p>
        </w:tc>
        <w:tc>
          <w:tcPr>
            <w:tcW w:w="4535" w:type="dxa"/>
            <w:vAlign w:val="center"/>
          </w:tcPr>
          <w:p w14:paraId="0A5CAE45">
            <w:pPr>
              <w:pStyle w:val="12"/>
            </w:pPr>
            <w:r>
              <w:t>二十九、债务发行费用支出</w:t>
            </w:r>
          </w:p>
        </w:tc>
        <w:tc>
          <w:tcPr>
            <w:tcW w:w="2126" w:type="dxa"/>
            <w:vAlign w:val="center"/>
          </w:tcPr>
          <w:p w14:paraId="716E9C87">
            <w:pPr>
              <w:pStyle w:val="11"/>
            </w:pPr>
          </w:p>
        </w:tc>
      </w:tr>
      <w:tr w14:paraId="796AD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1717C">
            <w:pPr>
              <w:pStyle w:val="13"/>
            </w:pPr>
            <w:r>
              <w:t>30</w:t>
            </w:r>
          </w:p>
        </w:tc>
        <w:tc>
          <w:tcPr>
            <w:tcW w:w="4535" w:type="dxa"/>
            <w:vAlign w:val="center"/>
          </w:tcPr>
          <w:p w14:paraId="4290CA3B">
            <w:pPr>
              <w:pStyle w:val="12"/>
            </w:pPr>
          </w:p>
        </w:tc>
        <w:tc>
          <w:tcPr>
            <w:tcW w:w="2126" w:type="dxa"/>
            <w:vAlign w:val="center"/>
          </w:tcPr>
          <w:p w14:paraId="58621624">
            <w:pPr>
              <w:pStyle w:val="11"/>
            </w:pPr>
          </w:p>
        </w:tc>
        <w:tc>
          <w:tcPr>
            <w:tcW w:w="4535" w:type="dxa"/>
            <w:vAlign w:val="center"/>
          </w:tcPr>
          <w:p w14:paraId="786E7923">
            <w:pPr>
              <w:pStyle w:val="12"/>
            </w:pPr>
            <w:r>
              <w:t>三十、抗疫特别国债安排的支出</w:t>
            </w:r>
          </w:p>
        </w:tc>
        <w:tc>
          <w:tcPr>
            <w:tcW w:w="2126" w:type="dxa"/>
            <w:vAlign w:val="center"/>
          </w:tcPr>
          <w:p w14:paraId="571A9D5F">
            <w:pPr>
              <w:pStyle w:val="11"/>
            </w:pPr>
          </w:p>
        </w:tc>
      </w:tr>
      <w:tr w14:paraId="29BF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44887">
            <w:pPr>
              <w:pStyle w:val="13"/>
            </w:pPr>
            <w:r>
              <w:t>31</w:t>
            </w:r>
          </w:p>
        </w:tc>
        <w:tc>
          <w:tcPr>
            <w:tcW w:w="4535" w:type="dxa"/>
            <w:vAlign w:val="center"/>
          </w:tcPr>
          <w:p w14:paraId="5455992E">
            <w:pPr>
              <w:pStyle w:val="14"/>
            </w:pPr>
            <w:r>
              <w:t>本年收入合计</w:t>
            </w:r>
          </w:p>
        </w:tc>
        <w:tc>
          <w:tcPr>
            <w:tcW w:w="2126" w:type="dxa"/>
            <w:vAlign w:val="center"/>
          </w:tcPr>
          <w:p w14:paraId="3724B83C">
            <w:pPr>
              <w:pStyle w:val="15"/>
            </w:pPr>
            <w:r>
              <w:t>2725.47</w:t>
            </w:r>
          </w:p>
        </w:tc>
        <w:tc>
          <w:tcPr>
            <w:tcW w:w="4535" w:type="dxa"/>
            <w:vAlign w:val="center"/>
          </w:tcPr>
          <w:p w14:paraId="63F8EF28">
            <w:pPr>
              <w:pStyle w:val="14"/>
            </w:pPr>
            <w:r>
              <w:t>本年支出合计</w:t>
            </w:r>
          </w:p>
        </w:tc>
        <w:tc>
          <w:tcPr>
            <w:tcW w:w="2126" w:type="dxa"/>
            <w:vAlign w:val="center"/>
          </w:tcPr>
          <w:p w14:paraId="7240B1AB">
            <w:pPr>
              <w:pStyle w:val="15"/>
            </w:pPr>
            <w:r>
              <w:t>2725.47</w:t>
            </w:r>
          </w:p>
        </w:tc>
      </w:tr>
      <w:tr w14:paraId="3A6D0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E769">
            <w:pPr>
              <w:pStyle w:val="13"/>
            </w:pPr>
            <w:r>
              <w:t>32</w:t>
            </w:r>
          </w:p>
        </w:tc>
        <w:tc>
          <w:tcPr>
            <w:tcW w:w="4535" w:type="dxa"/>
            <w:vAlign w:val="center"/>
          </w:tcPr>
          <w:p w14:paraId="1FA878CF">
            <w:pPr>
              <w:pStyle w:val="12"/>
            </w:pPr>
            <w:r>
              <w:t>上年结转结余</w:t>
            </w:r>
          </w:p>
        </w:tc>
        <w:tc>
          <w:tcPr>
            <w:tcW w:w="2126" w:type="dxa"/>
            <w:vAlign w:val="center"/>
          </w:tcPr>
          <w:p w14:paraId="76AD8099">
            <w:pPr>
              <w:pStyle w:val="11"/>
            </w:pPr>
          </w:p>
        </w:tc>
        <w:tc>
          <w:tcPr>
            <w:tcW w:w="4535" w:type="dxa"/>
            <w:vAlign w:val="center"/>
          </w:tcPr>
          <w:p w14:paraId="5B6C802B">
            <w:pPr>
              <w:pStyle w:val="12"/>
            </w:pPr>
            <w:r>
              <w:t>年终结转结余</w:t>
            </w:r>
          </w:p>
        </w:tc>
        <w:tc>
          <w:tcPr>
            <w:tcW w:w="2126" w:type="dxa"/>
            <w:vAlign w:val="center"/>
          </w:tcPr>
          <w:p w14:paraId="588237B9">
            <w:pPr>
              <w:pStyle w:val="11"/>
            </w:pPr>
          </w:p>
        </w:tc>
      </w:tr>
      <w:tr w14:paraId="640A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2C1BF">
            <w:pPr>
              <w:pStyle w:val="13"/>
            </w:pPr>
            <w:r>
              <w:t>33</w:t>
            </w:r>
          </w:p>
        </w:tc>
        <w:tc>
          <w:tcPr>
            <w:tcW w:w="4535" w:type="dxa"/>
            <w:vAlign w:val="center"/>
          </w:tcPr>
          <w:p w14:paraId="6E8E40A8">
            <w:pPr>
              <w:pStyle w:val="14"/>
            </w:pPr>
            <w:r>
              <w:t>收入总计</w:t>
            </w:r>
          </w:p>
        </w:tc>
        <w:tc>
          <w:tcPr>
            <w:tcW w:w="2126" w:type="dxa"/>
            <w:vAlign w:val="center"/>
          </w:tcPr>
          <w:p w14:paraId="4D249F3C">
            <w:pPr>
              <w:pStyle w:val="15"/>
            </w:pPr>
            <w:r>
              <w:t>2725.47</w:t>
            </w:r>
          </w:p>
        </w:tc>
        <w:tc>
          <w:tcPr>
            <w:tcW w:w="4535" w:type="dxa"/>
            <w:vAlign w:val="center"/>
          </w:tcPr>
          <w:p w14:paraId="5BE87C11">
            <w:pPr>
              <w:pStyle w:val="14"/>
            </w:pPr>
            <w:r>
              <w:t>支出总计</w:t>
            </w:r>
          </w:p>
        </w:tc>
        <w:tc>
          <w:tcPr>
            <w:tcW w:w="2126" w:type="dxa"/>
            <w:vAlign w:val="center"/>
          </w:tcPr>
          <w:p w14:paraId="059CD805">
            <w:pPr>
              <w:pStyle w:val="15"/>
            </w:pPr>
            <w:r>
              <w:t>2725.47</w:t>
            </w:r>
          </w:p>
        </w:tc>
      </w:tr>
    </w:tbl>
    <w:p w14:paraId="2DDA4717">
      <w:pPr>
        <w:sectPr>
          <w:pgSz w:w="16840" w:h="11900" w:orient="landscape"/>
          <w:pgMar w:top="1361" w:right="1020" w:bottom="1134" w:left="1020" w:header="720" w:footer="720" w:gutter="0"/>
          <w:cols w:space="720" w:num="1"/>
        </w:sectPr>
      </w:pPr>
    </w:p>
    <w:p w14:paraId="435A22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27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DD8333">
            <w:pPr>
              <w:pStyle w:val="9"/>
            </w:pPr>
            <w:r>
              <w:t>360027隆尧县莲子镇校区</w:t>
            </w:r>
          </w:p>
        </w:tc>
        <w:tc>
          <w:tcPr>
            <w:tcW w:w="3402" w:type="dxa"/>
            <w:gridSpan w:val="3"/>
            <w:tcBorders>
              <w:top w:val="single" w:color="FFFFFF" w:sz="6" w:space="0"/>
              <w:left w:val="single" w:color="FFFFFF" w:sz="6" w:space="0"/>
              <w:right w:val="single" w:color="FFFFFF" w:sz="6" w:space="0"/>
            </w:tcBorders>
            <w:vAlign w:val="center"/>
          </w:tcPr>
          <w:p w14:paraId="53CBD8A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546D765">
            <w:pPr>
              <w:pStyle w:val="7"/>
            </w:pPr>
            <w:r>
              <w:t>单位：万元</w:t>
            </w:r>
          </w:p>
        </w:tc>
      </w:tr>
      <w:tr w14:paraId="5880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79FDF8">
            <w:pPr>
              <w:pStyle w:val="10"/>
            </w:pPr>
            <w:r>
              <w:t>序号</w:t>
            </w:r>
          </w:p>
        </w:tc>
        <w:tc>
          <w:tcPr>
            <w:tcW w:w="2551" w:type="dxa"/>
            <w:gridSpan w:val="2"/>
            <w:vAlign w:val="center"/>
          </w:tcPr>
          <w:p w14:paraId="217E649C">
            <w:pPr>
              <w:pStyle w:val="10"/>
            </w:pPr>
            <w:r>
              <w:t>功能分类科目</w:t>
            </w:r>
          </w:p>
        </w:tc>
        <w:tc>
          <w:tcPr>
            <w:tcW w:w="1134" w:type="dxa"/>
            <w:vMerge w:val="restart"/>
            <w:vAlign w:val="center"/>
          </w:tcPr>
          <w:p w14:paraId="6C81F80E">
            <w:pPr>
              <w:pStyle w:val="10"/>
            </w:pPr>
            <w:r>
              <w:t>合计</w:t>
            </w:r>
          </w:p>
        </w:tc>
        <w:tc>
          <w:tcPr>
            <w:tcW w:w="9072" w:type="dxa"/>
            <w:gridSpan w:val="8"/>
            <w:vAlign w:val="center"/>
          </w:tcPr>
          <w:p w14:paraId="23268C76">
            <w:pPr>
              <w:pStyle w:val="10"/>
            </w:pPr>
            <w:r>
              <w:t>本年收入</w:t>
            </w:r>
          </w:p>
        </w:tc>
        <w:tc>
          <w:tcPr>
            <w:tcW w:w="1134" w:type="dxa"/>
            <w:vMerge w:val="restart"/>
            <w:vAlign w:val="center"/>
          </w:tcPr>
          <w:p w14:paraId="3128F479">
            <w:pPr>
              <w:pStyle w:val="10"/>
            </w:pPr>
            <w:r>
              <w:t>上年结转</w:t>
            </w:r>
          </w:p>
        </w:tc>
      </w:tr>
      <w:tr w14:paraId="574A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A155C2"/>
        </w:tc>
        <w:tc>
          <w:tcPr>
            <w:tcW w:w="992" w:type="dxa"/>
            <w:vAlign w:val="center"/>
          </w:tcPr>
          <w:p w14:paraId="14E586B4">
            <w:pPr>
              <w:pStyle w:val="10"/>
            </w:pPr>
            <w:r>
              <w:t>科目    编码</w:t>
            </w:r>
          </w:p>
        </w:tc>
        <w:tc>
          <w:tcPr>
            <w:tcW w:w="1559" w:type="dxa"/>
            <w:vAlign w:val="center"/>
          </w:tcPr>
          <w:p w14:paraId="4D8A1D93">
            <w:pPr>
              <w:pStyle w:val="10"/>
            </w:pPr>
            <w:r>
              <w:t>科目名称</w:t>
            </w:r>
          </w:p>
        </w:tc>
        <w:tc>
          <w:tcPr>
            <w:tcW w:w="1134" w:type="dxa"/>
            <w:vMerge w:val="continue"/>
          </w:tcPr>
          <w:p w14:paraId="448720BC"/>
        </w:tc>
        <w:tc>
          <w:tcPr>
            <w:tcW w:w="1134" w:type="dxa"/>
            <w:vAlign w:val="center"/>
          </w:tcPr>
          <w:p w14:paraId="198208B8">
            <w:pPr>
              <w:pStyle w:val="10"/>
            </w:pPr>
            <w:r>
              <w:t>小计</w:t>
            </w:r>
          </w:p>
        </w:tc>
        <w:tc>
          <w:tcPr>
            <w:tcW w:w="1134" w:type="dxa"/>
            <w:vAlign w:val="center"/>
          </w:tcPr>
          <w:p w14:paraId="35389769">
            <w:pPr>
              <w:pStyle w:val="10"/>
            </w:pPr>
            <w:r>
              <w:t>财政拨款 收入</w:t>
            </w:r>
          </w:p>
        </w:tc>
        <w:tc>
          <w:tcPr>
            <w:tcW w:w="1134" w:type="dxa"/>
            <w:vAlign w:val="center"/>
          </w:tcPr>
          <w:p w14:paraId="03CE3A42">
            <w:pPr>
              <w:pStyle w:val="10"/>
            </w:pPr>
            <w:r>
              <w:t>财政专户 收入</w:t>
            </w:r>
          </w:p>
        </w:tc>
        <w:tc>
          <w:tcPr>
            <w:tcW w:w="1134" w:type="dxa"/>
            <w:vAlign w:val="center"/>
          </w:tcPr>
          <w:p w14:paraId="54AE51AB">
            <w:pPr>
              <w:pStyle w:val="10"/>
            </w:pPr>
            <w:r>
              <w:t>事业收入</w:t>
            </w:r>
          </w:p>
        </w:tc>
        <w:tc>
          <w:tcPr>
            <w:tcW w:w="1134" w:type="dxa"/>
            <w:vAlign w:val="center"/>
          </w:tcPr>
          <w:p w14:paraId="3CA5237C">
            <w:pPr>
              <w:pStyle w:val="10"/>
            </w:pPr>
            <w:r>
              <w:t>经营收入</w:t>
            </w:r>
          </w:p>
        </w:tc>
        <w:tc>
          <w:tcPr>
            <w:tcW w:w="1134" w:type="dxa"/>
            <w:vAlign w:val="center"/>
          </w:tcPr>
          <w:p w14:paraId="1E762D3A">
            <w:pPr>
              <w:pStyle w:val="10"/>
            </w:pPr>
            <w:r>
              <w:t>上级补助收入</w:t>
            </w:r>
          </w:p>
        </w:tc>
        <w:tc>
          <w:tcPr>
            <w:tcW w:w="1134" w:type="dxa"/>
            <w:vAlign w:val="center"/>
          </w:tcPr>
          <w:p w14:paraId="2AD663C9">
            <w:pPr>
              <w:pStyle w:val="10"/>
            </w:pPr>
            <w:r>
              <w:t>附属单位上缴收入</w:t>
            </w:r>
          </w:p>
        </w:tc>
        <w:tc>
          <w:tcPr>
            <w:tcW w:w="1134" w:type="dxa"/>
            <w:vAlign w:val="center"/>
          </w:tcPr>
          <w:p w14:paraId="096963C0">
            <w:pPr>
              <w:pStyle w:val="10"/>
            </w:pPr>
            <w:r>
              <w:t>其他收入</w:t>
            </w:r>
          </w:p>
        </w:tc>
        <w:tc>
          <w:tcPr>
            <w:tcW w:w="1134" w:type="dxa"/>
            <w:vMerge w:val="continue"/>
          </w:tcPr>
          <w:p w14:paraId="7D401C74"/>
        </w:tc>
      </w:tr>
      <w:tr w14:paraId="1772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E7EDF4">
            <w:pPr>
              <w:pStyle w:val="10"/>
            </w:pPr>
            <w:r>
              <w:t>栏次</w:t>
            </w:r>
          </w:p>
        </w:tc>
        <w:tc>
          <w:tcPr>
            <w:tcW w:w="992" w:type="dxa"/>
            <w:vAlign w:val="center"/>
          </w:tcPr>
          <w:p w14:paraId="051C255A">
            <w:pPr>
              <w:pStyle w:val="10"/>
            </w:pPr>
            <w:r>
              <w:t>1</w:t>
            </w:r>
          </w:p>
        </w:tc>
        <w:tc>
          <w:tcPr>
            <w:tcW w:w="1559" w:type="dxa"/>
            <w:vAlign w:val="center"/>
          </w:tcPr>
          <w:p w14:paraId="77F019A2">
            <w:pPr>
              <w:pStyle w:val="10"/>
            </w:pPr>
            <w:r>
              <w:t>2</w:t>
            </w:r>
          </w:p>
        </w:tc>
        <w:tc>
          <w:tcPr>
            <w:tcW w:w="1134" w:type="dxa"/>
            <w:vAlign w:val="center"/>
          </w:tcPr>
          <w:p w14:paraId="73545E16">
            <w:pPr>
              <w:pStyle w:val="10"/>
            </w:pPr>
            <w:r>
              <w:t>3</w:t>
            </w:r>
          </w:p>
        </w:tc>
        <w:tc>
          <w:tcPr>
            <w:tcW w:w="1134" w:type="dxa"/>
            <w:vAlign w:val="center"/>
          </w:tcPr>
          <w:p w14:paraId="390649C2">
            <w:pPr>
              <w:pStyle w:val="10"/>
            </w:pPr>
            <w:r>
              <w:t>4</w:t>
            </w:r>
          </w:p>
        </w:tc>
        <w:tc>
          <w:tcPr>
            <w:tcW w:w="1134" w:type="dxa"/>
            <w:vAlign w:val="center"/>
          </w:tcPr>
          <w:p w14:paraId="79167CE2">
            <w:pPr>
              <w:pStyle w:val="10"/>
            </w:pPr>
            <w:r>
              <w:t>5</w:t>
            </w:r>
          </w:p>
        </w:tc>
        <w:tc>
          <w:tcPr>
            <w:tcW w:w="1134" w:type="dxa"/>
            <w:vAlign w:val="center"/>
          </w:tcPr>
          <w:p w14:paraId="5FBBACED">
            <w:pPr>
              <w:pStyle w:val="10"/>
            </w:pPr>
            <w:r>
              <w:t>6</w:t>
            </w:r>
          </w:p>
        </w:tc>
        <w:tc>
          <w:tcPr>
            <w:tcW w:w="1134" w:type="dxa"/>
            <w:vAlign w:val="center"/>
          </w:tcPr>
          <w:p w14:paraId="644595DB">
            <w:pPr>
              <w:pStyle w:val="10"/>
            </w:pPr>
            <w:r>
              <w:t>7</w:t>
            </w:r>
          </w:p>
        </w:tc>
        <w:tc>
          <w:tcPr>
            <w:tcW w:w="1134" w:type="dxa"/>
            <w:vAlign w:val="center"/>
          </w:tcPr>
          <w:p w14:paraId="0A1BF95F">
            <w:pPr>
              <w:pStyle w:val="10"/>
            </w:pPr>
            <w:r>
              <w:t>8</w:t>
            </w:r>
          </w:p>
        </w:tc>
        <w:tc>
          <w:tcPr>
            <w:tcW w:w="1134" w:type="dxa"/>
            <w:vAlign w:val="center"/>
          </w:tcPr>
          <w:p w14:paraId="01D9209B">
            <w:pPr>
              <w:pStyle w:val="10"/>
            </w:pPr>
            <w:r>
              <w:t>9</w:t>
            </w:r>
          </w:p>
        </w:tc>
        <w:tc>
          <w:tcPr>
            <w:tcW w:w="1134" w:type="dxa"/>
            <w:vAlign w:val="center"/>
          </w:tcPr>
          <w:p w14:paraId="7F1ADAE8">
            <w:pPr>
              <w:pStyle w:val="10"/>
            </w:pPr>
            <w:r>
              <w:t>10</w:t>
            </w:r>
          </w:p>
        </w:tc>
        <w:tc>
          <w:tcPr>
            <w:tcW w:w="1134" w:type="dxa"/>
            <w:vAlign w:val="center"/>
          </w:tcPr>
          <w:p w14:paraId="1B155F39">
            <w:pPr>
              <w:pStyle w:val="10"/>
            </w:pPr>
            <w:r>
              <w:t>11</w:t>
            </w:r>
          </w:p>
        </w:tc>
        <w:tc>
          <w:tcPr>
            <w:tcW w:w="1134" w:type="dxa"/>
            <w:vAlign w:val="center"/>
          </w:tcPr>
          <w:p w14:paraId="5EA803EF">
            <w:pPr>
              <w:pStyle w:val="10"/>
            </w:pPr>
            <w:r>
              <w:t>12</w:t>
            </w:r>
          </w:p>
        </w:tc>
      </w:tr>
      <w:tr w14:paraId="6010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B026F">
            <w:pPr>
              <w:pStyle w:val="13"/>
            </w:pPr>
            <w:r>
              <w:t>1</w:t>
            </w:r>
          </w:p>
        </w:tc>
        <w:tc>
          <w:tcPr>
            <w:tcW w:w="992" w:type="dxa"/>
            <w:vAlign w:val="center"/>
          </w:tcPr>
          <w:p w14:paraId="47041E0A">
            <w:pPr>
              <w:pStyle w:val="16"/>
            </w:pPr>
          </w:p>
        </w:tc>
        <w:tc>
          <w:tcPr>
            <w:tcW w:w="1559" w:type="dxa"/>
            <w:vAlign w:val="center"/>
          </w:tcPr>
          <w:p w14:paraId="57350FFA">
            <w:pPr>
              <w:pStyle w:val="14"/>
            </w:pPr>
            <w:r>
              <w:t>合计</w:t>
            </w:r>
          </w:p>
        </w:tc>
        <w:tc>
          <w:tcPr>
            <w:tcW w:w="1134" w:type="dxa"/>
            <w:vAlign w:val="center"/>
          </w:tcPr>
          <w:p w14:paraId="10099EA0">
            <w:pPr>
              <w:pStyle w:val="15"/>
            </w:pPr>
            <w:r>
              <w:t>2725.47</w:t>
            </w:r>
          </w:p>
        </w:tc>
        <w:tc>
          <w:tcPr>
            <w:tcW w:w="1134" w:type="dxa"/>
            <w:vAlign w:val="center"/>
          </w:tcPr>
          <w:p w14:paraId="7F5F6375">
            <w:pPr>
              <w:pStyle w:val="15"/>
            </w:pPr>
            <w:r>
              <w:t>2725.47</w:t>
            </w:r>
          </w:p>
        </w:tc>
        <w:tc>
          <w:tcPr>
            <w:tcW w:w="1134" w:type="dxa"/>
            <w:vAlign w:val="center"/>
          </w:tcPr>
          <w:p w14:paraId="5536760A">
            <w:pPr>
              <w:pStyle w:val="15"/>
            </w:pPr>
            <w:r>
              <w:t>2725.47</w:t>
            </w:r>
          </w:p>
        </w:tc>
        <w:tc>
          <w:tcPr>
            <w:tcW w:w="1134" w:type="dxa"/>
            <w:vAlign w:val="center"/>
          </w:tcPr>
          <w:p w14:paraId="0A73C7F6">
            <w:pPr>
              <w:pStyle w:val="15"/>
            </w:pPr>
          </w:p>
        </w:tc>
        <w:tc>
          <w:tcPr>
            <w:tcW w:w="1134" w:type="dxa"/>
            <w:vAlign w:val="center"/>
          </w:tcPr>
          <w:p w14:paraId="66829CFB">
            <w:pPr>
              <w:pStyle w:val="15"/>
            </w:pPr>
          </w:p>
        </w:tc>
        <w:tc>
          <w:tcPr>
            <w:tcW w:w="1134" w:type="dxa"/>
            <w:vAlign w:val="center"/>
          </w:tcPr>
          <w:p w14:paraId="7537C66D">
            <w:pPr>
              <w:pStyle w:val="15"/>
            </w:pPr>
          </w:p>
        </w:tc>
        <w:tc>
          <w:tcPr>
            <w:tcW w:w="1134" w:type="dxa"/>
            <w:vAlign w:val="center"/>
          </w:tcPr>
          <w:p w14:paraId="0543D735">
            <w:pPr>
              <w:pStyle w:val="15"/>
            </w:pPr>
          </w:p>
        </w:tc>
        <w:tc>
          <w:tcPr>
            <w:tcW w:w="1134" w:type="dxa"/>
            <w:vAlign w:val="center"/>
          </w:tcPr>
          <w:p w14:paraId="46380D2C">
            <w:pPr>
              <w:pStyle w:val="15"/>
            </w:pPr>
          </w:p>
        </w:tc>
        <w:tc>
          <w:tcPr>
            <w:tcW w:w="1134" w:type="dxa"/>
            <w:vAlign w:val="center"/>
          </w:tcPr>
          <w:p w14:paraId="76BB7AA8">
            <w:pPr>
              <w:pStyle w:val="15"/>
            </w:pPr>
          </w:p>
        </w:tc>
        <w:tc>
          <w:tcPr>
            <w:tcW w:w="1134" w:type="dxa"/>
            <w:vAlign w:val="center"/>
          </w:tcPr>
          <w:p w14:paraId="35A3797F">
            <w:pPr>
              <w:pStyle w:val="15"/>
            </w:pPr>
          </w:p>
        </w:tc>
      </w:tr>
      <w:tr w14:paraId="2F298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1D424">
            <w:pPr>
              <w:pStyle w:val="13"/>
            </w:pPr>
            <w:r>
              <w:t>2</w:t>
            </w:r>
          </w:p>
        </w:tc>
        <w:tc>
          <w:tcPr>
            <w:tcW w:w="992" w:type="dxa"/>
            <w:vAlign w:val="center"/>
          </w:tcPr>
          <w:p w14:paraId="2813F760">
            <w:pPr>
              <w:pStyle w:val="12"/>
            </w:pPr>
            <w:r>
              <w:t>205</w:t>
            </w:r>
          </w:p>
        </w:tc>
        <w:tc>
          <w:tcPr>
            <w:tcW w:w="1559" w:type="dxa"/>
            <w:vAlign w:val="center"/>
          </w:tcPr>
          <w:p w14:paraId="0085ED85">
            <w:pPr>
              <w:pStyle w:val="12"/>
            </w:pPr>
            <w:r>
              <w:t>教育支出</w:t>
            </w:r>
          </w:p>
        </w:tc>
        <w:tc>
          <w:tcPr>
            <w:tcW w:w="1134" w:type="dxa"/>
            <w:vAlign w:val="center"/>
          </w:tcPr>
          <w:p w14:paraId="5FC21C20">
            <w:pPr>
              <w:pStyle w:val="11"/>
            </w:pPr>
            <w:r>
              <w:t>2725.47</w:t>
            </w:r>
          </w:p>
        </w:tc>
        <w:tc>
          <w:tcPr>
            <w:tcW w:w="1134" w:type="dxa"/>
            <w:vAlign w:val="center"/>
          </w:tcPr>
          <w:p w14:paraId="01A42B3D">
            <w:pPr>
              <w:pStyle w:val="11"/>
            </w:pPr>
            <w:r>
              <w:t>2725.47</w:t>
            </w:r>
          </w:p>
        </w:tc>
        <w:tc>
          <w:tcPr>
            <w:tcW w:w="1134" w:type="dxa"/>
            <w:vAlign w:val="center"/>
          </w:tcPr>
          <w:p w14:paraId="31D01BDF">
            <w:pPr>
              <w:pStyle w:val="11"/>
            </w:pPr>
            <w:r>
              <w:t>2725.47</w:t>
            </w:r>
          </w:p>
        </w:tc>
        <w:tc>
          <w:tcPr>
            <w:tcW w:w="1134" w:type="dxa"/>
            <w:vAlign w:val="center"/>
          </w:tcPr>
          <w:p w14:paraId="571B192C">
            <w:pPr>
              <w:pStyle w:val="11"/>
            </w:pPr>
          </w:p>
        </w:tc>
        <w:tc>
          <w:tcPr>
            <w:tcW w:w="1134" w:type="dxa"/>
            <w:vAlign w:val="center"/>
          </w:tcPr>
          <w:p w14:paraId="3F9EE008">
            <w:pPr>
              <w:pStyle w:val="11"/>
            </w:pPr>
          </w:p>
        </w:tc>
        <w:tc>
          <w:tcPr>
            <w:tcW w:w="1134" w:type="dxa"/>
            <w:vAlign w:val="center"/>
          </w:tcPr>
          <w:p w14:paraId="7E335107">
            <w:pPr>
              <w:pStyle w:val="11"/>
            </w:pPr>
          </w:p>
        </w:tc>
        <w:tc>
          <w:tcPr>
            <w:tcW w:w="1134" w:type="dxa"/>
            <w:vAlign w:val="center"/>
          </w:tcPr>
          <w:p w14:paraId="665A8289">
            <w:pPr>
              <w:pStyle w:val="11"/>
            </w:pPr>
          </w:p>
        </w:tc>
        <w:tc>
          <w:tcPr>
            <w:tcW w:w="1134" w:type="dxa"/>
            <w:vAlign w:val="center"/>
          </w:tcPr>
          <w:p w14:paraId="4E0E9A48">
            <w:pPr>
              <w:pStyle w:val="11"/>
            </w:pPr>
          </w:p>
        </w:tc>
        <w:tc>
          <w:tcPr>
            <w:tcW w:w="1134" w:type="dxa"/>
            <w:vAlign w:val="center"/>
          </w:tcPr>
          <w:p w14:paraId="71ABF4D4">
            <w:pPr>
              <w:pStyle w:val="11"/>
            </w:pPr>
          </w:p>
        </w:tc>
        <w:tc>
          <w:tcPr>
            <w:tcW w:w="1134" w:type="dxa"/>
            <w:vAlign w:val="center"/>
          </w:tcPr>
          <w:p w14:paraId="1CBC2DBF">
            <w:pPr>
              <w:pStyle w:val="11"/>
            </w:pPr>
          </w:p>
        </w:tc>
      </w:tr>
      <w:tr w14:paraId="5873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CF7BE">
            <w:pPr>
              <w:pStyle w:val="13"/>
            </w:pPr>
            <w:r>
              <w:t>3</w:t>
            </w:r>
          </w:p>
        </w:tc>
        <w:tc>
          <w:tcPr>
            <w:tcW w:w="992" w:type="dxa"/>
            <w:vAlign w:val="center"/>
          </w:tcPr>
          <w:p w14:paraId="7314F160">
            <w:pPr>
              <w:pStyle w:val="12"/>
            </w:pPr>
            <w:r>
              <w:t>20502</w:t>
            </w:r>
          </w:p>
        </w:tc>
        <w:tc>
          <w:tcPr>
            <w:tcW w:w="1559" w:type="dxa"/>
            <w:vAlign w:val="center"/>
          </w:tcPr>
          <w:p w14:paraId="20F82931">
            <w:pPr>
              <w:pStyle w:val="12"/>
            </w:pPr>
            <w:r>
              <w:t>普通教育</w:t>
            </w:r>
          </w:p>
        </w:tc>
        <w:tc>
          <w:tcPr>
            <w:tcW w:w="1134" w:type="dxa"/>
            <w:vAlign w:val="center"/>
          </w:tcPr>
          <w:p w14:paraId="63D395D3">
            <w:pPr>
              <w:pStyle w:val="11"/>
            </w:pPr>
            <w:r>
              <w:t>2725.47</w:t>
            </w:r>
          </w:p>
        </w:tc>
        <w:tc>
          <w:tcPr>
            <w:tcW w:w="1134" w:type="dxa"/>
            <w:vAlign w:val="center"/>
          </w:tcPr>
          <w:p w14:paraId="14E97743">
            <w:pPr>
              <w:pStyle w:val="11"/>
            </w:pPr>
            <w:r>
              <w:t>2725.47</w:t>
            </w:r>
          </w:p>
        </w:tc>
        <w:tc>
          <w:tcPr>
            <w:tcW w:w="1134" w:type="dxa"/>
            <w:vAlign w:val="center"/>
          </w:tcPr>
          <w:p w14:paraId="095EFFB9">
            <w:pPr>
              <w:pStyle w:val="11"/>
            </w:pPr>
            <w:r>
              <w:t>2725.47</w:t>
            </w:r>
          </w:p>
        </w:tc>
        <w:tc>
          <w:tcPr>
            <w:tcW w:w="1134" w:type="dxa"/>
            <w:vAlign w:val="center"/>
          </w:tcPr>
          <w:p w14:paraId="5495BEF0">
            <w:pPr>
              <w:pStyle w:val="11"/>
            </w:pPr>
          </w:p>
        </w:tc>
        <w:tc>
          <w:tcPr>
            <w:tcW w:w="1134" w:type="dxa"/>
            <w:vAlign w:val="center"/>
          </w:tcPr>
          <w:p w14:paraId="2DE3A8BD">
            <w:pPr>
              <w:pStyle w:val="11"/>
            </w:pPr>
          </w:p>
        </w:tc>
        <w:tc>
          <w:tcPr>
            <w:tcW w:w="1134" w:type="dxa"/>
            <w:vAlign w:val="center"/>
          </w:tcPr>
          <w:p w14:paraId="45959415">
            <w:pPr>
              <w:pStyle w:val="11"/>
            </w:pPr>
          </w:p>
        </w:tc>
        <w:tc>
          <w:tcPr>
            <w:tcW w:w="1134" w:type="dxa"/>
            <w:vAlign w:val="center"/>
          </w:tcPr>
          <w:p w14:paraId="2E1474CE">
            <w:pPr>
              <w:pStyle w:val="11"/>
            </w:pPr>
          </w:p>
        </w:tc>
        <w:tc>
          <w:tcPr>
            <w:tcW w:w="1134" w:type="dxa"/>
            <w:vAlign w:val="center"/>
          </w:tcPr>
          <w:p w14:paraId="54497CD6">
            <w:pPr>
              <w:pStyle w:val="11"/>
            </w:pPr>
          </w:p>
        </w:tc>
        <w:tc>
          <w:tcPr>
            <w:tcW w:w="1134" w:type="dxa"/>
            <w:vAlign w:val="center"/>
          </w:tcPr>
          <w:p w14:paraId="192C2345">
            <w:pPr>
              <w:pStyle w:val="11"/>
            </w:pPr>
          </w:p>
        </w:tc>
        <w:tc>
          <w:tcPr>
            <w:tcW w:w="1134" w:type="dxa"/>
            <w:vAlign w:val="center"/>
          </w:tcPr>
          <w:p w14:paraId="0C97268A">
            <w:pPr>
              <w:pStyle w:val="11"/>
            </w:pPr>
          </w:p>
        </w:tc>
      </w:tr>
      <w:tr w14:paraId="0B17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D3C70">
            <w:pPr>
              <w:pStyle w:val="13"/>
            </w:pPr>
            <w:r>
              <w:t>4</w:t>
            </w:r>
          </w:p>
        </w:tc>
        <w:tc>
          <w:tcPr>
            <w:tcW w:w="992" w:type="dxa"/>
            <w:vAlign w:val="center"/>
          </w:tcPr>
          <w:p w14:paraId="227E6046">
            <w:pPr>
              <w:pStyle w:val="12"/>
            </w:pPr>
            <w:r>
              <w:t>2050201</w:t>
            </w:r>
          </w:p>
        </w:tc>
        <w:tc>
          <w:tcPr>
            <w:tcW w:w="1559" w:type="dxa"/>
            <w:vAlign w:val="center"/>
          </w:tcPr>
          <w:p w14:paraId="67AC6B7A">
            <w:pPr>
              <w:pStyle w:val="12"/>
            </w:pPr>
            <w:r>
              <w:t>学前教育</w:t>
            </w:r>
          </w:p>
        </w:tc>
        <w:tc>
          <w:tcPr>
            <w:tcW w:w="1134" w:type="dxa"/>
            <w:vAlign w:val="center"/>
          </w:tcPr>
          <w:p w14:paraId="41581487">
            <w:pPr>
              <w:pStyle w:val="11"/>
            </w:pPr>
            <w:r>
              <w:t>351.25</w:t>
            </w:r>
          </w:p>
        </w:tc>
        <w:tc>
          <w:tcPr>
            <w:tcW w:w="1134" w:type="dxa"/>
            <w:vAlign w:val="center"/>
          </w:tcPr>
          <w:p w14:paraId="3C7DA551">
            <w:pPr>
              <w:pStyle w:val="11"/>
            </w:pPr>
            <w:r>
              <w:t>351.25</w:t>
            </w:r>
          </w:p>
        </w:tc>
        <w:tc>
          <w:tcPr>
            <w:tcW w:w="1134" w:type="dxa"/>
            <w:vAlign w:val="center"/>
          </w:tcPr>
          <w:p w14:paraId="6B0CE38A">
            <w:pPr>
              <w:pStyle w:val="11"/>
            </w:pPr>
            <w:r>
              <w:t>351.25</w:t>
            </w:r>
          </w:p>
        </w:tc>
        <w:tc>
          <w:tcPr>
            <w:tcW w:w="1134" w:type="dxa"/>
            <w:vAlign w:val="center"/>
          </w:tcPr>
          <w:p w14:paraId="24EC1DAA">
            <w:pPr>
              <w:pStyle w:val="11"/>
            </w:pPr>
          </w:p>
        </w:tc>
        <w:tc>
          <w:tcPr>
            <w:tcW w:w="1134" w:type="dxa"/>
            <w:vAlign w:val="center"/>
          </w:tcPr>
          <w:p w14:paraId="7FCC307D">
            <w:pPr>
              <w:pStyle w:val="11"/>
            </w:pPr>
          </w:p>
        </w:tc>
        <w:tc>
          <w:tcPr>
            <w:tcW w:w="1134" w:type="dxa"/>
            <w:vAlign w:val="center"/>
          </w:tcPr>
          <w:p w14:paraId="21A723C7">
            <w:pPr>
              <w:pStyle w:val="11"/>
            </w:pPr>
          </w:p>
        </w:tc>
        <w:tc>
          <w:tcPr>
            <w:tcW w:w="1134" w:type="dxa"/>
            <w:vAlign w:val="center"/>
          </w:tcPr>
          <w:p w14:paraId="5E1E5E45">
            <w:pPr>
              <w:pStyle w:val="11"/>
            </w:pPr>
          </w:p>
        </w:tc>
        <w:tc>
          <w:tcPr>
            <w:tcW w:w="1134" w:type="dxa"/>
            <w:vAlign w:val="center"/>
          </w:tcPr>
          <w:p w14:paraId="42EF5032">
            <w:pPr>
              <w:pStyle w:val="11"/>
            </w:pPr>
          </w:p>
        </w:tc>
        <w:tc>
          <w:tcPr>
            <w:tcW w:w="1134" w:type="dxa"/>
            <w:vAlign w:val="center"/>
          </w:tcPr>
          <w:p w14:paraId="1028EC75">
            <w:pPr>
              <w:pStyle w:val="11"/>
            </w:pPr>
          </w:p>
        </w:tc>
        <w:tc>
          <w:tcPr>
            <w:tcW w:w="1134" w:type="dxa"/>
            <w:vAlign w:val="center"/>
          </w:tcPr>
          <w:p w14:paraId="66E54E02">
            <w:pPr>
              <w:pStyle w:val="11"/>
            </w:pPr>
          </w:p>
        </w:tc>
      </w:tr>
      <w:tr w14:paraId="1AFAC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F7491">
            <w:pPr>
              <w:pStyle w:val="13"/>
            </w:pPr>
            <w:r>
              <w:t>5</w:t>
            </w:r>
          </w:p>
        </w:tc>
        <w:tc>
          <w:tcPr>
            <w:tcW w:w="992" w:type="dxa"/>
            <w:vAlign w:val="center"/>
          </w:tcPr>
          <w:p w14:paraId="4EE66540">
            <w:pPr>
              <w:pStyle w:val="12"/>
            </w:pPr>
            <w:r>
              <w:t>2050202</w:t>
            </w:r>
          </w:p>
        </w:tc>
        <w:tc>
          <w:tcPr>
            <w:tcW w:w="1559" w:type="dxa"/>
            <w:vAlign w:val="center"/>
          </w:tcPr>
          <w:p w14:paraId="50ABF3BE">
            <w:pPr>
              <w:pStyle w:val="12"/>
            </w:pPr>
            <w:r>
              <w:t>小学教育</w:t>
            </w:r>
          </w:p>
        </w:tc>
        <w:tc>
          <w:tcPr>
            <w:tcW w:w="1134" w:type="dxa"/>
            <w:vAlign w:val="center"/>
          </w:tcPr>
          <w:p w14:paraId="18CA8B53">
            <w:pPr>
              <w:pStyle w:val="11"/>
            </w:pPr>
            <w:r>
              <w:t>2374.22</w:t>
            </w:r>
          </w:p>
        </w:tc>
        <w:tc>
          <w:tcPr>
            <w:tcW w:w="1134" w:type="dxa"/>
            <w:vAlign w:val="center"/>
          </w:tcPr>
          <w:p w14:paraId="67E3BD9A">
            <w:pPr>
              <w:pStyle w:val="11"/>
            </w:pPr>
            <w:r>
              <w:t>2374.22</w:t>
            </w:r>
          </w:p>
        </w:tc>
        <w:tc>
          <w:tcPr>
            <w:tcW w:w="1134" w:type="dxa"/>
            <w:vAlign w:val="center"/>
          </w:tcPr>
          <w:p w14:paraId="133BB954">
            <w:pPr>
              <w:pStyle w:val="11"/>
            </w:pPr>
            <w:r>
              <w:t>2374.22</w:t>
            </w:r>
          </w:p>
        </w:tc>
        <w:tc>
          <w:tcPr>
            <w:tcW w:w="1134" w:type="dxa"/>
            <w:vAlign w:val="center"/>
          </w:tcPr>
          <w:p w14:paraId="6A51DC6E">
            <w:pPr>
              <w:pStyle w:val="11"/>
            </w:pPr>
          </w:p>
        </w:tc>
        <w:tc>
          <w:tcPr>
            <w:tcW w:w="1134" w:type="dxa"/>
            <w:vAlign w:val="center"/>
          </w:tcPr>
          <w:p w14:paraId="1492E1BD">
            <w:pPr>
              <w:pStyle w:val="11"/>
            </w:pPr>
          </w:p>
        </w:tc>
        <w:tc>
          <w:tcPr>
            <w:tcW w:w="1134" w:type="dxa"/>
            <w:vAlign w:val="center"/>
          </w:tcPr>
          <w:p w14:paraId="63613CC4">
            <w:pPr>
              <w:pStyle w:val="11"/>
            </w:pPr>
          </w:p>
        </w:tc>
        <w:tc>
          <w:tcPr>
            <w:tcW w:w="1134" w:type="dxa"/>
            <w:vAlign w:val="center"/>
          </w:tcPr>
          <w:p w14:paraId="189FE72B">
            <w:pPr>
              <w:pStyle w:val="11"/>
            </w:pPr>
          </w:p>
        </w:tc>
        <w:tc>
          <w:tcPr>
            <w:tcW w:w="1134" w:type="dxa"/>
            <w:vAlign w:val="center"/>
          </w:tcPr>
          <w:p w14:paraId="6066CE02">
            <w:pPr>
              <w:pStyle w:val="11"/>
            </w:pPr>
          </w:p>
        </w:tc>
        <w:tc>
          <w:tcPr>
            <w:tcW w:w="1134" w:type="dxa"/>
            <w:vAlign w:val="center"/>
          </w:tcPr>
          <w:p w14:paraId="78D17CE1">
            <w:pPr>
              <w:pStyle w:val="11"/>
            </w:pPr>
          </w:p>
        </w:tc>
        <w:tc>
          <w:tcPr>
            <w:tcW w:w="1134" w:type="dxa"/>
            <w:vAlign w:val="center"/>
          </w:tcPr>
          <w:p w14:paraId="7E55941F">
            <w:pPr>
              <w:pStyle w:val="11"/>
            </w:pPr>
          </w:p>
        </w:tc>
      </w:tr>
    </w:tbl>
    <w:p w14:paraId="4D2B8F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75F5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722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885391">
            <w:pPr>
              <w:pStyle w:val="9"/>
            </w:pPr>
            <w:r>
              <w:t>360027隆尧县莲子镇校区</w:t>
            </w:r>
          </w:p>
        </w:tc>
        <w:tc>
          <w:tcPr>
            <w:tcW w:w="2722" w:type="dxa"/>
            <w:gridSpan w:val="2"/>
            <w:tcBorders>
              <w:top w:val="single" w:color="FFFFFF" w:sz="6" w:space="0"/>
              <w:left w:val="single" w:color="FFFFFF" w:sz="6" w:space="0"/>
              <w:right w:val="single" w:color="FFFFFF" w:sz="6" w:space="0"/>
            </w:tcBorders>
            <w:vAlign w:val="center"/>
          </w:tcPr>
          <w:p w14:paraId="44675A3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2AC2323">
            <w:pPr>
              <w:pStyle w:val="7"/>
            </w:pPr>
            <w:r>
              <w:t>单位：万元</w:t>
            </w:r>
          </w:p>
        </w:tc>
      </w:tr>
      <w:tr w14:paraId="2E8E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6CAEA">
            <w:pPr>
              <w:pStyle w:val="10"/>
            </w:pPr>
            <w:r>
              <w:t>序号</w:t>
            </w:r>
          </w:p>
        </w:tc>
        <w:tc>
          <w:tcPr>
            <w:tcW w:w="5527" w:type="dxa"/>
            <w:gridSpan w:val="2"/>
            <w:vAlign w:val="center"/>
          </w:tcPr>
          <w:p w14:paraId="7B3A5A2F">
            <w:pPr>
              <w:pStyle w:val="10"/>
            </w:pPr>
            <w:r>
              <w:t>功能分类科目</w:t>
            </w:r>
          </w:p>
        </w:tc>
        <w:tc>
          <w:tcPr>
            <w:tcW w:w="1361" w:type="dxa"/>
            <w:vMerge w:val="restart"/>
            <w:vAlign w:val="center"/>
          </w:tcPr>
          <w:p w14:paraId="5F72ED8E">
            <w:pPr>
              <w:pStyle w:val="10"/>
            </w:pPr>
            <w:r>
              <w:t>合计</w:t>
            </w:r>
          </w:p>
        </w:tc>
        <w:tc>
          <w:tcPr>
            <w:tcW w:w="1361" w:type="dxa"/>
            <w:vMerge w:val="restart"/>
            <w:vAlign w:val="center"/>
          </w:tcPr>
          <w:p w14:paraId="18DC0C9A">
            <w:pPr>
              <w:pStyle w:val="10"/>
            </w:pPr>
            <w:r>
              <w:t>基本支出</w:t>
            </w:r>
          </w:p>
        </w:tc>
        <w:tc>
          <w:tcPr>
            <w:tcW w:w="1361" w:type="dxa"/>
            <w:vMerge w:val="restart"/>
            <w:vAlign w:val="center"/>
          </w:tcPr>
          <w:p w14:paraId="7F09438F">
            <w:pPr>
              <w:pStyle w:val="10"/>
            </w:pPr>
            <w:r>
              <w:t>项目支出</w:t>
            </w:r>
          </w:p>
        </w:tc>
        <w:tc>
          <w:tcPr>
            <w:tcW w:w="1361" w:type="dxa"/>
            <w:vMerge w:val="restart"/>
            <w:vAlign w:val="center"/>
          </w:tcPr>
          <w:p w14:paraId="0DFA6672">
            <w:pPr>
              <w:pStyle w:val="10"/>
            </w:pPr>
            <w:r>
              <w:t>经营支出</w:t>
            </w:r>
          </w:p>
        </w:tc>
        <w:tc>
          <w:tcPr>
            <w:tcW w:w="1361" w:type="dxa"/>
            <w:vMerge w:val="restart"/>
            <w:vAlign w:val="center"/>
          </w:tcPr>
          <w:p w14:paraId="7474FBA5">
            <w:pPr>
              <w:pStyle w:val="10"/>
            </w:pPr>
            <w:r>
              <w:t>上解上级     支出</w:t>
            </w:r>
          </w:p>
        </w:tc>
        <w:tc>
          <w:tcPr>
            <w:tcW w:w="1361" w:type="dxa"/>
            <w:vMerge w:val="restart"/>
            <w:vAlign w:val="center"/>
          </w:tcPr>
          <w:p w14:paraId="522462A6">
            <w:pPr>
              <w:pStyle w:val="10"/>
            </w:pPr>
            <w:r>
              <w:t>对附属单位补助支出</w:t>
            </w:r>
          </w:p>
        </w:tc>
      </w:tr>
      <w:tr w14:paraId="7A4D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112B64"/>
        </w:tc>
        <w:tc>
          <w:tcPr>
            <w:tcW w:w="992" w:type="dxa"/>
            <w:vAlign w:val="center"/>
          </w:tcPr>
          <w:p w14:paraId="00D24B3C">
            <w:pPr>
              <w:pStyle w:val="10"/>
            </w:pPr>
            <w:r>
              <w:t>科目    编码</w:t>
            </w:r>
          </w:p>
        </w:tc>
        <w:tc>
          <w:tcPr>
            <w:tcW w:w="4535" w:type="dxa"/>
            <w:vAlign w:val="center"/>
          </w:tcPr>
          <w:p w14:paraId="17D60F8F">
            <w:pPr>
              <w:pStyle w:val="10"/>
            </w:pPr>
            <w:r>
              <w:t>科目名称</w:t>
            </w:r>
          </w:p>
        </w:tc>
        <w:tc>
          <w:tcPr>
            <w:tcW w:w="1361" w:type="dxa"/>
            <w:vMerge w:val="continue"/>
          </w:tcPr>
          <w:p w14:paraId="0AAEBAF4"/>
        </w:tc>
        <w:tc>
          <w:tcPr>
            <w:tcW w:w="1361" w:type="dxa"/>
            <w:vMerge w:val="continue"/>
          </w:tcPr>
          <w:p w14:paraId="6D8C8216"/>
        </w:tc>
        <w:tc>
          <w:tcPr>
            <w:tcW w:w="1361" w:type="dxa"/>
            <w:vMerge w:val="continue"/>
          </w:tcPr>
          <w:p w14:paraId="1B10A1AF"/>
        </w:tc>
        <w:tc>
          <w:tcPr>
            <w:tcW w:w="1361" w:type="dxa"/>
            <w:vMerge w:val="continue"/>
          </w:tcPr>
          <w:p w14:paraId="5E8BC76D"/>
        </w:tc>
        <w:tc>
          <w:tcPr>
            <w:tcW w:w="1361" w:type="dxa"/>
            <w:vMerge w:val="continue"/>
          </w:tcPr>
          <w:p w14:paraId="4A61EAFC"/>
        </w:tc>
        <w:tc>
          <w:tcPr>
            <w:tcW w:w="1361" w:type="dxa"/>
            <w:vMerge w:val="continue"/>
          </w:tcPr>
          <w:p w14:paraId="28C2E0E8"/>
        </w:tc>
      </w:tr>
      <w:tr w14:paraId="2555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74C79">
            <w:pPr>
              <w:pStyle w:val="10"/>
            </w:pPr>
            <w:r>
              <w:t>栏次</w:t>
            </w:r>
          </w:p>
        </w:tc>
        <w:tc>
          <w:tcPr>
            <w:tcW w:w="992" w:type="dxa"/>
            <w:vAlign w:val="center"/>
          </w:tcPr>
          <w:p w14:paraId="69699641">
            <w:pPr>
              <w:pStyle w:val="10"/>
            </w:pPr>
            <w:r>
              <w:t>1</w:t>
            </w:r>
          </w:p>
        </w:tc>
        <w:tc>
          <w:tcPr>
            <w:tcW w:w="4535" w:type="dxa"/>
            <w:vAlign w:val="center"/>
          </w:tcPr>
          <w:p w14:paraId="00256D52">
            <w:pPr>
              <w:pStyle w:val="10"/>
            </w:pPr>
            <w:r>
              <w:t>2</w:t>
            </w:r>
          </w:p>
        </w:tc>
        <w:tc>
          <w:tcPr>
            <w:tcW w:w="1361" w:type="dxa"/>
            <w:vAlign w:val="center"/>
          </w:tcPr>
          <w:p w14:paraId="583EB1DB">
            <w:pPr>
              <w:pStyle w:val="10"/>
            </w:pPr>
            <w:r>
              <w:t>3</w:t>
            </w:r>
          </w:p>
        </w:tc>
        <w:tc>
          <w:tcPr>
            <w:tcW w:w="1361" w:type="dxa"/>
            <w:vAlign w:val="center"/>
          </w:tcPr>
          <w:p w14:paraId="70CEF633">
            <w:pPr>
              <w:pStyle w:val="10"/>
            </w:pPr>
            <w:r>
              <w:t>4</w:t>
            </w:r>
          </w:p>
        </w:tc>
        <w:tc>
          <w:tcPr>
            <w:tcW w:w="1361" w:type="dxa"/>
            <w:vAlign w:val="center"/>
          </w:tcPr>
          <w:p w14:paraId="2532D43D">
            <w:pPr>
              <w:pStyle w:val="10"/>
            </w:pPr>
            <w:r>
              <w:t>5</w:t>
            </w:r>
          </w:p>
        </w:tc>
        <w:tc>
          <w:tcPr>
            <w:tcW w:w="1361" w:type="dxa"/>
            <w:vAlign w:val="center"/>
          </w:tcPr>
          <w:p w14:paraId="43EE6376">
            <w:pPr>
              <w:pStyle w:val="10"/>
            </w:pPr>
            <w:r>
              <w:t>6</w:t>
            </w:r>
          </w:p>
        </w:tc>
        <w:tc>
          <w:tcPr>
            <w:tcW w:w="1361" w:type="dxa"/>
            <w:vAlign w:val="center"/>
          </w:tcPr>
          <w:p w14:paraId="357EE22A">
            <w:pPr>
              <w:pStyle w:val="10"/>
            </w:pPr>
            <w:r>
              <w:t>7</w:t>
            </w:r>
          </w:p>
        </w:tc>
        <w:tc>
          <w:tcPr>
            <w:tcW w:w="1361" w:type="dxa"/>
            <w:vAlign w:val="center"/>
          </w:tcPr>
          <w:p w14:paraId="2CA65D40">
            <w:pPr>
              <w:pStyle w:val="10"/>
            </w:pPr>
            <w:r>
              <w:t>8</w:t>
            </w:r>
          </w:p>
        </w:tc>
      </w:tr>
      <w:tr w14:paraId="760F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2E982">
            <w:pPr>
              <w:pStyle w:val="13"/>
            </w:pPr>
            <w:r>
              <w:t>1</w:t>
            </w:r>
          </w:p>
        </w:tc>
        <w:tc>
          <w:tcPr>
            <w:tcW w:w="992" w:type="dxa"/>
            <w:vAlign w:val="center"/>
          </w:tcPr>
          <w:p w14:paraId="30272D90">
            <w:pPr>
              <w:pStyle w:val="16"/>
            </w:pPr>
          </w:p>
        </w:tc>
        <w:tc>
          <w:tcPr>
            <w:tcW w:w="4535" w:type="dxa"/>
            <w:vAlign w:val="center"/>
          </w:tcPr>
          <w:p w14:paraId="3584300C">
            <w:pPr>
              <w:pStyle w:val="14"/>
            </w:pPr>
            <w:r>
              <w:t>合计</w:t>
            </w:r>
          </w:p>
        </w:tc>
        <w:tc>
          <w:tcPr>
            <w:tcW w:w="1361" w:type="dxa"/>
            <w:vAlign w:val="center"/>
          </w:tcPr>
          <w:p w14:paraId="171BA60D">
            <w:pPr>
              <w:pStyle w:val="15"/>
            </w:pPr>
            <w:r>
              <w:t>2725.47</w:t>
            </w:r>
          </w:p>
        </w:tc>
        <w:tc>
          <w:tcPr>
            <w:tcW w:w="1361" w:type="dxa"/>
            <w:vAlign w:val="center"/>
          </w:tcPr>
          <w:p w14:paraId="66C6747B">
            <w:pPr>
              <w:pStyle w:val="15"/>
            </w:pPr>
            <w:r>
              <w:t>2162.20</w:t>
            </w:r>
          </w:p>
        </w:tc>
        <w:tc>
          <w:tcPr>
            <w:tcW w:w="1361" w:type="dxa"/>
            <w:vAlign w:val="center"/>
          </w:tcPr>
          <w:p w14:paraId="3CD21B50">
            <w:pPr>
              <w:pStyle w:val="15"/>
            </w:pPr>
            <w:r>
              <w:t>563.27</w:t>
            </w:r>
          </w:p>
        </w:tc>
        <w:tc>
          <w:tcPr>
            <w:tcW w:w="1361" w:type="dxa"/>
            <w:vAlign w:val="center"/>
          </w:tcPr>
          <w:p w14:paraId="3101DF4D">
            <w:pPr>
              <w:pStyle w:val="15"/>
            </w:pPr>
          </w:p>
        </w:tc>
        <w:tc>
          <w:tcPr>
            <w:tcW w:w="1361" w:type="dxa"/>
            <w:vAlign w:val="center"/>
          </w:tcPr>
          <w:p w14:paraId="2236BC15">
            <w:pPr>
              <w:pStyle w:val="15"/>
            </w:pPr>
          </w:p>
        </w:tc>
        <w:tc>
          <w:tcPr>
            <w:tcW w:w="1361" w:type="dxa"/>
            <w:vAlign w:val="center"/>
          </w:tcPr>
          <w:p w14:paraId="32A278F9">
            <w:pPr>
              <w:pStyle w:val="15"/>
            </w:pPr>
          </w:p>
        </w:tc>
      </w:tr>
      <w:tr w14:paraId="7047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656E3">
            <w:pPr>
              <w:pStyle w:val="13"/>
            </w:pPr>
            <w:r>
              <w:t>2</w:t>
            </w:r>
          </w:p>
        </w:tc>
        <w:tc>
          <w:tcPr>
            <w:tcW w:w="992" w:type="dxa"/>
            <w:vAlign w:val="center"/>
          </w:tcPr>
          <w:p w14:paraId="38DC0A71">
            <w:pPr>
              <w:pStyle w:val="12"/>
            </w:pPr>
            <w:r>
              <w:t>205</w:t>
            </w:r>
          </w:p>
        </w:tc>
        <w:tc>
          <w:tcPr>
            <w:tcW w:w="4535" w:type="dxa"/>
            <w:vAlign w:val="center"/>
          </w:tcPr>
          <w:p w14:paraId="0A61E6AB">
            <w:pPr>
              <w:pStyle w:val="12"/>
            </w:pPr>
            <w:r>
              <w:t>教育支出</w:t>
            </w:r>
          </w:p>
        </w:tc>
        <w:tc>
          <w:tcPr>
            <w:tcW w:w="1361" w:type="dxa"/>
            <w:vAlign w:val="center"/>
          </w:tcPr>
          <w:p w14:paraId="1E4B3B87">
            <w:pPr>
              <w:pStyle w:val="11"/>
            </w:pPr>
            <w:r>
              <w:t>2725.47</w:t>
            </w:r>
          </w:p>
        </w:tc>
        <w:tc>
          <w:tcPr>
            <w:tcW w:w="1361" w:type="dxa"/>
            <w:vAlign w:val="center"/>
          </w:tcPr>
          <w:p w14:paraId="4C5A010F">
            <w:pPr>
              <w:pStyle w:val="11"/>
            </w:pPr>
            <w:r>
              <w:t>2162.20</w:t>
            </w:r>
          </w:p>
        </w:tc>
        <w:tc>
          <w:tcPr>
            <w:tcW w:w="1361" w:type="dxa"/>
            <w:vAlign w:val="center"/>
          </w:tcPr>
          <w:p w14:paraId="1E51EF48">
            <w:pPr>
              <w:pStyle w:val="11"/>
            </w:pPr>
            <w:r>
              <w:t>563.27</w:t>
            </w:r>
          </w:p>
        </w:tc>
        <w:tc>
          <w:tcPr>
            <w:tcW w:w="1361" w:type="dxa"/>
            <w:vAlign w:val="center"/>
          </w:tcPr>
          <w:p w14:paraId="0D515AE8">
            <w:pPr>
              <w:pStyle w:val="11"/>
            </w:pPr>
          </w:p>
        </w:tc>
        <w:tc>
          <w:tcPr>
            <w:tcW w:w="1361" w:type="dxa"/>
            <w:vAlign w:val="center"/>
          </w:tcPr>
          <w:p w14:paraId="60870DFC">
            <w:pPr>
              <w:pStyle w:val="11"/>
            </w:pPr>
          </w:p>
        </w:tc>
        <w:tc>
          <w:tcPr>
            <w:tcW w:w="1361" w:type="dxa"/>
            <w:vAlign w:val="center"/>
          </w:tcPr>
          <w:p w14:paraId="7FFCC014">
            <w:pPr>
              <w:pStyle w:val="11"/>
            </w:pPr>
          </w:p>
        </w:tc>
      </w:tr>
      <w:tr w14:paraId="301E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176FE">
            <w:pPr>
              <w:pStyle w:val="13"/>
            </w:pPr>
            <w:r>
              <w:t>3</w:t>
            </w:r>
          </w:p>
        </w:tc>
        <w:tc>
          <w:tcPr>
            <w:tcW w:w="992" w:type="dxa"/>
            <w:vAlign w:val="center"/>
          </w:tcPr>
          <w:p w14:paraId="3204114F">
            <w:pPr>
              <w:pStyle w:val="12"/>
            </w:pPr>
            <w:r>
              <w:t>20502</w:t>
            </w:r>
          </w:p>
        </w:tc>
        <w:tc>
          <w:tcPr>
            <w:tcW w:w="4535" w:type="dxa"/>
            <w:vAlign w:val="center"/>
          </w:tcPr>
          <w:p w14:paraId="6600B9C5">
            <w:pPr>
              <w:pStyle w:val="12"/>
            </w:pPr>
            <w:r>
              <w:t>普通教育</w:t>
            </w:r>
          </w:p>
        </w:tc>
        <w:tc>
          <w:tcPr>
            <w:tcW w:w="1361" w:type="dxa"/>
            <w:vAlign w:val="center"/>
          </w:tcPr>
          <w:p w14:paraId="452ED679">
            <w:pPr>
              <w:pStyle w:val="11"/>
            </w:pPr>
            <w:r>
              <w:t>2725.47</w:t>
            </w:r>
          </w:p>
        </w:tc>
        <w:tc>
          <w:tcPr>
            <w:tcW w:w="1361" w:type="dxa"/>
            <w:vAlign w:val="center"/>
          </w:tcPr>
          <w:p w14:paraId="4F61276B">
            <w:pPr>
              <w:pStyle w:val="11"/>
            </w:pPr>
            <w:r>
              <w:t>2162.20</w:t>
            </w:r>
          </w:p>
        </w:tc>
        <w:tc>
          <w:tcPr>
            <w:tcW w:w="1361" w:type="dxa"/>
            <w:vAlign w:val="center"/>
          </w:tcPr>
          <w:p w14:paraId="680AA7C2">
            <w:pPr>
              <w:pStyle w:val="11"/>
            </w:pPr>
            <w:r>
              <w:t>563.27</w:t>
            </w:r>
          </w:p>
        </w:tc>
        <w:tc>
          <w:tcPr>
            <w:tcW w:w="1361" w:type="dxa"/>
            <w:vAlign w:val="center"/>
          </w:tcPr>
          <w:p w14:paraId="5734DF56">
            <w:pPr>
              <w:pStyle w:val="11"/>
            </w:pPr>
          </w:p>
        </w:tc>
        <w:tc>
          <w:tcPr>
            <w:tcW w:w="1361" w:type="dxa"/>
            <w:vAlign w:val="center"/>
          </w:tcPr>
          <w:p w14:paraId="0589F2DC">
            <w:pPr>
              <w:pStyle w:val="11"/>
            </w:pPr>
          </w:p>
        </w:tc>
        <w:tc>
          <w:tcPr>
            <w:tcW w:w="1361" w:type="dxa"/>
            <w:vAlign w:val="center"/>
          </w:tcPr>
          <w:p w14:paraId="69021922">
            <w:pPr>
              <w:pStyle w:val="11"/>
            </w:pPr>
          </w:p>
        </w:tc>
      </w:tr>
      <w:tr w14:paraId="019B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95A3D">
            <w:pPr>
              <w:pStyle w:val="13"/>
            </w:pPr>
            <w:r>
              <w:t>4</w:t>
            </w:r>
          </w:p>
        </w:tc>
        <w:tc>
          <w:tcPr>
            <w:tcW w:w="992" w:type="dxa"/>
            <w:vAlign w:val="center"/>
          </w:tcPr>
          <w:p w14:paraId="68DD7535">
            <w:pPr>
              <w:pStyle w:val="12"/>
            </w:pPr>
            <w:r>
              <w:t>2050201</w:t>
            </w:r>
          </w:p>
        </w:tc>
        <w:tc>
          <w:tcPr>
            <w:tcW w:w="4535" w:type="dxa"/>
            <w:vAlign w:val="center"/>
          </w:tcPr>
          <w:p w14:paraId="7304B11B">
            <w:pPr>
              <w:pStyle w:val="12"/>
            </w:pPr>
            <w:r>
              <w:t>学前教育</w:t>
            </w:r>
          </w:p>
        </w:tc>
        <w:tc>
          <w:tcPr>
            <w:tcW w:w="1361" w:type="dxa"/>
            <w:vAlign w:val="center"/>
          </w:tcPr>
          <w:p w14:paraId="1B0C4B59">
            <w:pPr>
              <w:pStyle w:val="11"/>
            </w:pPr>
            <w:r>
              <w:t>351.25</w:t>
            </w:r>
          </w:p>
        </w:tc>
        <w:tc>
          <w:tcPr>
            <w:tcW w:w="1361" w:type="dxa"/>
            <w:vAlign w:val="center"/>
          </w:tcPr>
          <w:p w14:paraId="62051CCB">
            <w:pPr>
              <w:pStyle w:val="11"/>
            </w:pPr>
          </w:p>
        </w:tc>
        <w:tc>
          <w:tcPr>
            <w:tcW w:w="1361" w:type="dxa"/>
            <w:vAlign w:val="center"/>
          </w:tcPr>
          <w:p w14:paraId="6683934E">
            <w:pPr>
              <w:pStyle w:val="11"/>
            </w:pPr>
            <w:r>
              <w:t>351.25</w:t>
            </w:r>
          </w:p>
        </w:tc>
        <w:tc>
          <w:tcPr>
            <w:tcW w:w="1361" w:type="dxa"/>
            <w:vAlign w:val="center"/>
          </w:tcPr>
          <w:p w14:paraId="67FB3462">
            <w:pPr>
              <w:pStyle w:val="11"/>
            </w:pPr>
          </w:p>
        </w:tc>
        <w:tc>
          <w:tcPr>
            <w:tcW w:w="1361" w:type="dxa"/>
            <w:vAlign w:val="center"/>
          </w:tcPr>
          <w:p w14:paraId="4051CDC1">
            <w:pPr>
              <w:pStyle w:val="11"/>
            </w:pPr>
          </w:p>
        </w:tc>
        <w:tc>
          <w:tcPr>
            <w:tcW w:w="1361" w:type="dxa"/>
            <w:vAlign w:val="center"/>
          </w:tcPr>
          <w:p w14:paraId="3C99348A">
            <w:pPr>
              <w:pStyle w:val="11"/>
            </w:pPr>
          </w:p>
        </w:tc>
      </w:tr>
      <w:tr w14:paraId="1438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CE63">
            <w:pPr>
              <w:pStyle w:val="13"/>
            </w:pPr>
            <w:r>
              <w:t>5</w:t>
            </w:r>
          </w:p>
        </w:tc>
        <w:tc>
          <w:tcPr>
            <w:tcW w:w="992" w:type="dxa"/>
            <w:vAlign w:val="center"/>
          </w:tcPr>
          <w:p w14:paraId="59560E86">
            <w:pPr>
              <w:pStyle w:val="12"/>
            </w:pPr>
            <w:r>
              <w:t>2050202</w:t>
            </w:r>
          </w:p>
        </w:tc>
        <w:tc>
          <w:tcPr>
            <w:tcW w:w="4535" w:type="dxa"/>
            <w:vAlign w:val="center"/>
          </w:tcPr>
          <w:p w14:paraId="0143B97F">
            <w:pPr>
              <w:pStyle w:val="12"/>
            </w:pPr>
            <w:r>
              <w:t>小学教育</w:t>
            </w:r>
          </w:p>
        </w:tc>
        <w:tc>
          <w:tcPr>
            <w:tcW w:w="1361" w:type="dxa"/>
            <w:vAlign w:val="center"/>
          </w:tcPr>
          <w:p w14:paraId="344DA11B">
            <w:pPr>
              <w:pStyle w:val="11"/>
            </w:pPr>
            <w:r>
              <w:t>2374.22</w:t>
            </w:r>
          </w:p>
        </w:tc>
        <w:tc>
          <w:tcPr>
            <w:tcW w:w="1361" w:type="dxa"/>
            <w:vAlign w:val="center"/>
          </w:tcPr>
          <w:p w14:paraId="4FBD7E21">
            <w:pPr>
              <w:pStyle w:val="11"/>
            </w:pPr>
            <w:r>
              <w:t>2162.20</w:t>
            </w:r>
          </w:p>
        </w:tc>
        <w:tc>
          <w:tcPr>
            <w:tcW w:w="1361" w:type="dxa"/>
            <w:vAlign w:val="center"/>
          </w:tcPr>
          <w:p w14:paraId="59F33F80">
            <w:pPr>
              <w:pStyle w:val="11"/>
            </w:pPr>
            <w:r>
              <w:t>212.02</w:t>
            </w:r>
          </w:p>
        </w:tc>
        <w:tc>
          <w:tcPr>
            <w:tcW w:w="1361" w:type="dxa"/>
            <w:vAlign w:val="center"/>
          </w:tcPr>
          <w:p w14:paraId="108D567E">
            <w:pPr>
              <w:pStyle w:val="11"/>
            </w:pPr>
          </w:p>
        </w:tc>
        <w:tc>
          <w:tcPr>
            <w:tcW w:w="1361" w:type="dxa"/>
            <w:vAlign w:val="center"/>
          </w:tcPr>
          <w:p w14:paraId="323B2D75">
            <w:pPr>
              <w:pStyle w:val="11"/>
            </w:pPr>
          </w:p>
        </w:tc>
        <w:tc>
          <w:tcPr>
            <w:tcW w:w="1361" w:type="dxa"/>
            <w:vAlign w:val="center"/>
          </w:tcPr>
          <w:p w14:paraId="33214772">
            <w:pPr>
              <w:pStyle w:val="11"/>
            </w:pPr>
          </w:p>
        </w:tc>
      </w:tr>
    </w:tbl>
    <w:p w14:paraId="75F510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61FF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BB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9F472E">
            <w:pPr>
              <w:pStyle w:val="9"/>
            </w:pPr>
            <w:r>
              <w:t>360027隆尧县莲子镇校区</w:t>
            </w:r>
          </w:p>
        </w:tc>
        <w:tc>
          <w:tcPr>
            <w:tcW w:w="3402" w:type="dxa"/>
            <w:tcBorders>
              <w:top w:val="single" w:color="FFFFFF" w:sz="6" w:space="0"/>
              <w:left w:val="single" w:color="FFFFFF" w:sz="6" w:space="0"/>
              <w:right w:val="single" w:color="FFFFFF" w:sz="6" w:space="0"/>
            </w:tcBorders>
            <w:vAlign w:val="center"/>
          </w:tcPr>
          <w:p w14:paraId="48F2D6E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9FB603C">
            <w:pPr>
              <w:pStyle w:val="7"/>
            </w:pPr>
            <w:r>
              <w:t>单位：万元</w:t>
            </w:r>
          </w:p>
        </w:tc>
      </w:tr>
      <w:tr w14:paraId="21EF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584BB">
            <w:pPr>
              <w:pStyle w:val="10"/>
            </w:pPr>
            <w:r>
              <w:t>序号</w:t>
            </w:r>
          </w:p>
        </w:tc>
        <w:tc>
          <w:tcPr>
            <w:tcW w:w="4876" w:type="dxa"/>
            <w:gridSpan w:val="2"/>
            <w:vAlign w:val="center"/>
          </w:tcPr>
          <w:p w14:paraId="2E02CA9C">
            <w:pPr>
              <w:pStyle w:val="10"/>
            </w:pPr>
            <w:r>
              <w:t>收入</w:t>
            </w:r>
          </w:p>
        </w:tc>
        <w:tc>
          <w:tcPr>
            <w:tcW w:w="9298" w:type="dxa"/>
            <w:gridSpan w:val="5"/>
            <w:vAlign w:val="center"/>
          </w:tcPr>
          <w:p w14:paraId="3A768402">
            <w:pPr>
              <w:pStyle w:val="10"/>
            </w:pPr>
            <w:r>
              <w:t>支出</w:t>
            </w:r>
          </w:p>
        </w:tc>
      </w:tr>
      <w:tr w14:paraId="1066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9A90F8"/>
        </w:tc>
        <w:tc>
          <w:tcPr>
            <w:tcW w:w="3402" w:type="dxa"/>
            <w:vAlign w:val="center"/>
          </w:tcPr>
          <w:p w14:paraId="38211989">
            <w:pPr>
              <w:pStyle w:val="10"/>
            </w:pPr>
            <w:r>
              <w:t>项  目</w:t>
            </w:r>
          </w:p>
        </w:tc>
        <w:tc>
          <w:tcPr>
            <w:tcW w:w="1474" w:type="dxa"/>
            <w:vAlign w:val="center"/>
          </w:tcPr>
          <w:p w14:paraId="0023B170">
            <w:pPr>
              <w:pStyle w:val="10"/>
            </w:pPr>
            <w:r>
              <w:t>金额</w:t>
            </w:r>
          </w:p>
        </w:tc>
        <w:tc>
          <w:tcPr>
            <w:tcW w:w="3402" w:type="dxa"/>
            <w:vAlign w:val="center"/>
          </w:tcPr>
          <w:p w14:paraId="2E3E64E5">
            <w:pPr>
              <w:pStyle w:val="10"/>
            </w:pPr>
            <w:r>
              <w:t>项  目</w:t>
            </w:r>
          </w:p>
        </w:tc>
        <w:tc>
          <w:tcPr>
            <w:tcW w:w="1474" w:type="dxa"/>
            <w:vAlign w:val="center"/>
          </w:tcPr>
          <w:p w14:paraId="32EA8F1A">
            <w:pPr>
              <w:pStyle w:val="10"/>
            </w:pPr>
            <w:r>
              <w:t>合计</w:t>
            </w:r>
          </w:p>
        </w:tc>
        <w:tc>
          <w:tcPr>
            <w:tcW w:w="1474" w:type="dxa"/>
            <w:vAlign w:val="center"/>
          </w:tcPr>
          <w:p w14:paraId="7FD0DE58">
            <w:pPr>
              <w:pStyle w:val="10"/>
            </w:pPr>
            <w:r>
              <w:t>一般公共预算财政拨款</w:t>
            </w:r>
          </w:p>
        </w:tc>
        <w:tc>
          <w:tcPr>
            <w:tcW w:w="1474" w:type="dxa"/>
            <w:vAlign w:val="center"/>
          </w:tcPr>
          <w:p w14:paraId="67EF617B">
            <w:pPr>
              <w:pStyle w:val="10"/>
            </w:pPr>
            <w:r>
              <w:t>政府性基金预算财政    拨款</w:t>
            </w:r>
          </w:p>
        </w:tc>
        <w:tc>
          <w:tcPr>
            <w:tcW w:w="1474" w:type="dxa"/>
            <w:vAlign w:val="center"/>
          </w:tcPr>
          <w:p w14:paraId="10788003">
            <w:pPr>
              <w:pStyle w:val="10"/>
            </w:pPr>
            <w:r>
              <w:t>国有资本经营预算财政拨款</w:t>
            </w:r>
          </w:p>
        </w:tc>
      </w:tr>
      <w:tr w14:paraId="418B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5FB6C">
            <w:pPr>
              <w:pStyle w:val="10"/>
            </w:pPr>
            <w:r>
              <w:t>栏次</w:t>
            </w:r>
          </w:p>
        </w:tc>
        <w:tc>
          <w:tcPr>
            <w:tcW w:w="3402" w:type="dxa"/>
            <w:vAlign w:val="center"/>
          </w:tcPr>
          <w:p w14:paraId="445686DA">
            <w:pPr>
              <w:pStyle w:val="10"/>
            </w:pPr>
            <w:r>
              <w:t>1</w:t>
            </w:r>
          </w:p>
        </w:tc>
        <w:tc>
          <w:tcPr>
            <w:tcW w:w="1474" w:type="dxa"/>
            <w:vAlign w:val="center"/>
          </w:tcPr>
          <w:p w14:paraId="4A9ADAE9">
            <w:pPr>
              <w:pStyle w:val="10"/>
            </w:pPr>
            <w:r>
              <w:t>2</w:t>
            </w:r>
          </w:p>
        </w:tc>
        <w:tc>
          <w:tcPr>
            <w:tcW w:w="3402" w:type="dxa"/>
            <w:vAlign w:val="center"/>
          </w:tcPr>
          <w:p w14:paraId="49477C44">
            <w:pPr>
              <w:pStyle w:val="10"/>
            </w:pPr>
            <w:r>
              <w:t>3</w:t>
            </w:r>
          </w:p>
        </w:tc>
        <w:tc>
          <w:tcPr>
            <w:tcW w:w="1474" w:type="dxa"/>
            <w:vAlign w:val="center"/>
          </w:tcPr>
          <w:p w14:paraId="102D64C4">
            <w:pPr>
              <w:pStyle w:val="10"/>
            </w:pPr>
            <w:r>
              <w:t>4</w:t>
            </w:r>
          </w:p>
        </w:tc>
        <w:tc>
          <w:tcPr>
            <w:tcW w:w="1474" w:type="dxa"/>
            <w:vAlign w:val="center"/>
          </w:tcPr>
          <w:p w14:paraId="7F254767">
            <w:pPr>
              <w:pStyle w:val="10"/>
            </w:pPr>
            <w:r>
              <w:t>5</w:t>
            </w:r>
          </w:p>
        </w:tc>
        <w:tc>
          <w:tcPr>
            <w:tcW w:w="1474" w:type="dxa"/>
            <w:vAlign w:val="center"/>
          </w:tcPr>
          <w:p w14:paraId="6CA04D23">
            <w:pPr>
              <w:pStyle w:val="10"/>
            </w:pPr>
            <w:r>
              <w:t>6</w:t>
            </w:r>
          </w:p>
        </w:tc>
        <w:tc>
          <w:tcPr>
            <w:tcW w:w="1474" w:type="dxa"/>
            <w:vAlign w:val="center"/>
          </w:tcPr>
          <w:p w14:paraId="52BD1342">
            <w:pPr>
              <w:pStyle w:val="10"/>
            </w:pPr>
            <w:r>
              <w:t>7</w:t>
            </w:r>
          </w:p>
        </w:tc>
      </w:tr>
      <w:tr w14:paraId="3C37E47A">
        <w:tblPrEx>
          <w:tblCellMar>
            <w:top w:w="0" w:type="dxa"/>
            <w:left w:w="108" w:type="dxa"/>
            <w:bottom w:w="0" w:type="dxa"/>
            <w:right w:w="108" w:type="dxa"/>
          </w:tblCellMar>
        </w:tblPrEx>
        <w:trPr>
          <w:trHeight w:val="369" w:hRule="atLeast"/>
          <w:jc w:val="center"/>
        </w:trPr>
        <w:tc>
          <w:tcPr>
            <w:tcW w:w="850" w:type="dxa"/>
            <w:vAlign w:val="center"/>
          </w:tcPr>
          <w:p w14:paraId="555050C4">
            <w:pPr>
              <w:pStyle w:val="13"/>
            </w:pPr>
            <w:r>
              <w:t>1</w:t>
            </w:r>
          </w:p>
        </w:tc>
        <w:tc>
          <w:tcPr>
            <w:tcW w:w="3402" w:type="dxa"/>
            <w:vAlign w:val="center"/>
          </w:tcPr>
          <w:p w14:paraId="6E11A509">
            <w:pPr>
              <w:pStyle w:val="12"/>
            </w:pPr>
            <w:r>
              <w:t>一、一般公共预算拨款</w:t>
            </w:r>
          </w:p>
        </w:tc>
        <w:tc>
          <w:tcPr>
            <w:tcW w:w="1474" w:type="dxa"/>
            <w:vAlign w:val="center"/>
          </w:tcPr>
          <w:p w14:paraId="5721CF3B">
            <w:pPr>
              <w:pStyle w:val="11"/>
            </w:pPr>
            <w:r>
              <w:t>2725.47</w:t>
            </w:r>
          </w:p>
        </w:tc>
        <w:tc>
          <w:tcPr>
            <w:tcW w:w="3402" w:type="dxa"/>
            <w:vAlign w:val="center"/>
          </w:tcPr>
          <w:p w14:paraId="6FD65935">
            <w:pPr>
              <w:pStyle w:val="12"/>
            </w:pPr>
            <w:r>
              <w:t>一、一般公共服务支出</w:t>
            </w:r>
          </w:p>
        </w:tc>
        <w:tc>
          <w:tcPr>
            <w:tcW w:w="1474" w:type="dxa"/>
            <w:vAlign w:val="center"/>
          </w:tcPr>
          <w:p w14:paraId="35CC943D">
            <w:pPr>
              <w:pStyle w:val="11"/>
            </w:pPr>
          </w:p>
        </w:tc>
        <w:tc>
          <w:tcPr>
            <w:tcW w:w="1474" w:type="dxa"/>
            <w:vAlign w:val="center"/>
          </w:tcPr>
          <w:p w14:paraId="130652B3">
            <w:pPr>
              <w:pStyle w:val="11"/>
            </w:pPr>
          </w:p>
        </w:tc>
        <w:tc>
          <w:tcPr>
            <w:tcW w:w="1474" w:type="dxa"/>
            <w:vAlign w:val="center"/>
          </w:tcPr>
          <w:p w14:paraId="4E6BDFA3">
            <w:pPr>
              <w:pStyle w:val="11"/>
            </w:pPr>
          </w:p>
        </w:tc>
        <w:tc>
          <w:tcPr>
            <w:tcW w:w="1474" w:type="dxa"/>
            <w:vAlign w:val="center"/>
          </w:tcPr>
          <w:p w14:paraId="450304AD">
            <w:pPr>
              <w:pStyle w:val="11"/>
            </w:pPr>
          </w:p>
        </w:tc>
      </w:tr>
      <w:tr w14:paraId="763C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02D84">
            <w:pPr>
              <w:pStyle w:val="13"/>
            </w:pPr>
            <w:r>
              <w:t>2</w:t>
            </w:r>
          </w:p>
        </w:tc>
        <w:tc>
          <w:tcPr>
            <w:tcW w:w="3402" w:type="dxa"/>
            <w:vAlign w:val="center"/>
          </w:tcPr>
          <w:p w14:paraId="2A7E34A0">
            <w:pPr>
              <w:pStyle w:val="12"/>
            </w:pPr>
            <w:r>
              <w:t>二、政府性基金预算拨款</w:t>
            </w:r>
          </w:p>
        </w:tc>
        <w:tc>
          <w:tcPr>
            <w:tcW w:w="1474" w:type="dxa"/>
            <w:vAlign w:val="center"/>
          </w:tcPr>
          <w:p w14:paraId="155D4DDD">
            <w:pPr>
              <w:pStyle w:val="11"/>
            </w:pPr>
          </w:p>
        </w:tc>
        <w:tc>
          <w:tcPr>
            <w:tcW w:w="3402" w:type="dxa"/>
            <w:vAlign w:val="center"/>
          </w:tcPr>
          <w:p w14:paraId="5C5FE6CA">
            <w:pPr>
              <w:pStyle w:val="12"/>
            </w:pPr>
            <w:r>
              <w:t>二、外交支出</w:t>
            </w:r>
          </w:p>
        </w:tc>
        <w:tc>
          <w:tcPr>
            <w:tcW w:w="1474" w:type="dxa"/>
            <w:vAlign w:val="center"/>
          </w:tcPr>
          <w:p w14:paraId="4929B439">
            <w:pPr>
              <w:pStyle w:val="11"/>
            </w:pPr>
          </w:p>
        </w:tc>
        <w:tc>
          <w:tcPr>
            <w:tcW w:w="1474" w:type="dxa"/>
            <w:vAlign w:val="center"/>
          </w:tcPr>
          <w:p w14:paraId="69B56B46">
            <w:pPr>
              <w:pStyle w:val="11"/>
            </w:pPr>
          </w:p>
        </w:tc>
        <w:tc>
          <w:tcPr>
            <w:tcW w:w="1474" w:type="dxa"/>
            <w:vAlign w:val="center"/>
          </w:tcPr>
          <w:p w14:paraId="3AA9E9FC">
            <w:pPr>
              <w:pStyle w:val="11"/>
            </w:pPr>
          </w:p>
        </w:tc>
        <w:tc>
          <w:tcPr>
            <w:tcW w:w="1474" w:type="dxa"/>
            <w:vAlign w:val="center"/>
          </w:tcPr>
          <w:p w14:paraId="7C674341">
            <w:pPr>
              <w:pStyle w:val="11"/>
            </w:pPr>
          </w:p>
        </w:tc>
      </w:tr>
      <w:tr w14:paraId="0C4A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588A1">
            <w:pPr>
              <w:pStyle w:val="13"/>
            </w:pPr>
            <w:r>
              <w:t>3</w:t>
            </w:r>
          </w:p>
        </w:tc>
        <w:tc>
          <w:tcPr>
            <w:tcW w:w="3402" w:type="dxa"/>
            <w:vAlign w:val="center"/>
          </w:tcPr>
          <w:p w14:paraId="61D0DE09">
            <w:pPr>
              <w:pStyle w:val="12"/>
            </w:pPr>
            <w:r>
              <w:t>三、国有资本经营预算拨款</w:t>
            </w:r>
          </w:p>
        </w:tc>
        <w:tc>
          <w:tcPr>
            <w:tcW w:w="1474" w:type="dxa"/>
            <w:vAlign w:val="center"/>
          </w:tcPr>
          <w:p w14:paraId="34C23245">
            <w:pPr>
              <w:pStyle w:val="11"/>
            </w:pPr>
          </w:p>
        </w:tc>
        <w:tc>
          <w:tcPr>
            <w:tcW w:w="3402" w:type="dxa"/>
            <w:vAlign w:val="center"/>
          </w:tcPr>
          <w:p w14:paraId="6168985B">
            <w:pPr>
              <w:pStyle w:val="12"/>
            </w:pPr>
            <w:r>
              <w:t>三、国防支出</w:t>
            </w:r>
          </w:p>
        </w:tc>
        <w:tc>
          <w:tcPr>
            <w:tcW w:w="1474" w:type="dxa"/>
            <w:vAlign w:val="center"/>
          </w:tcPr>
          <w:p w14:paraId="3BBCC670">
            <w:pPr>
              <w:pStyle w:val="11"/>
            </w:pPr>
          </w:p>
        </w:tc>
        <w:tc>
          <w:tcPr>
            <w:tcW w:w="1474" w:type="dxa"/>
            <w:vAlign w:val="center"/>
          </w:tcPr>
          <w:p w14:paraId="5F4E4F28">
            <w:pPr>
              <w:pStyle w:val="11"/>
            </w:pPr>
          </w:p>
        </w:tc>
        <w:tc>
          <w:tcPr>
            <w:tcW w:w="1474" w:type="dxa"/>
            <w:vAlign w:val="center"/>
          </w:tcPr>
          <w:p w14:paraId="2F9E91F2">
            <w:pPr>
              <w:pStyle w:val="11"/>
            </w:pPr>
          </w:p>
        </w:tc>
        <w:tc>
          <w:tcPr>
            <w:tcW w:w="1474" w:type="dxa"/>
            <w:vAlign w:val="center"/>
          </w:tcPr>
          <w:p w14:paraId="5950151B">
            <w:pPr>
              <w:pStyle w:val="11"/>
            </w:pPr>
          </w:p>
        </w:tc>
      </w:tr>
      <w:tr w14:paraId="6E8D6B47">
        <w:tblPrEx>
          <w:tblCellMar>
            <w:top w:w="0" w:type="dxa"/>
            <w:left w:w="108" w:type="dxa"/>
            <w:bottom w:w="0" w:type="dxa"/>
            <w:right w:w="108" w:type="dxa"/>
          </w:tblCellMar>
        </w:tblPrEx>
        <w:trPr>
          <w:trHeight w:val="369" w:hRule="atLeast"/>
          <w:jc w:val="center"/>
        </w:trPr>
        <w:tc>
          <w:tcPr>
            <w:tcW w:w="850" w:type="dxa"/>
            <w:vAlign w:val="center"/>
          </w:tcPr>
          <w:p w14:paraId="2C084E6B">
            <w:pPr>
              <w:pStyle w:val="13"/>
            </w:pPr>
            <w:r>
              <w:t>4</w:t>
            </w:r>
          </w:p>
        </w:tc>
        <w:tc>
          <w:tcPr>
            <w:tcW w:w="3402" w:type="dxa"/>
            <w:vAlign w:val="center"/>
          </w:tcPr>
          <w:p w14:paraId="7B80A933">
            <w:pPr>
              <w:pStyle w:val="12"/>
            </w:pPr>
          </w:p>
        </w:tc>
        <w:tc>
          <w:tcPr>
            <w:tcW w:w="1474" w:type="dxa"/>
            <w:vAlign w:val="center"/>
          </w:tcPr>
          <w:p w14:paraId="7A5AECB9">
            <w:pPr>
              <w:pStyle w:val="11"/>
            </w:pPr>
          </w:p>
        </w:tc>
        <w:tc>
          <w:tcPr>
            <w:tcW w:w="3402" w:type="dxa"/>
            <w:vAlign w:val="center"/>
          </w:tcPr>
          <w:p w14:paraId="7C51AB41">
            <w:pPr>
              <w:pStyle w:val="12"/>
            </w:pPr>
            <w:r>
              <w:t>四、公共安全支出</w:t>
            </w:r>
          </w:p>
        </w:tc>
        <w:tc>
          <w:tcPr>
            <w:tcW w:w="1474" w:type="dxa"/>
            <w:vAlign w:val="center"/>
          </w:tcPr>
          <w:p w14:paraId="516B113C">
            <w:pPr>
              <w:pStyle w:val="11"/>
            </w:pPr>
          </w:p>
        </w:tc>
        <w:tc>
          <w:tcPr>
            <w:tcW w:w="1474" w:type="dxa"/>
            <w:vAlign w:val="center"/>
          </w:tcPr>
          <w:p w14:paraId="5D09B3E3">
            <w:pPr>
              <w:pStyle w:val="11"/>
            </w:pPr>
          </w:p>
        </w:tc>
        <w:tc>
          <w:tcPr>
            <w:tcW w:w="1474" w:type="dxa"/>
            <w:vAlign w:val="center"/>
          </w:tcPr>
          <w:p w14:paraId="785416A2">
            <w:pPr>
              <w:pStyle w:val="11"/>
            </w:pPr>
          </w:p>
        </w:tc>
        <w:tc>
          <w:tcPr>
            <w:tcW w:w="1474" w:type="dxa"/>
            <w:vAlign w:val="center"/>
          </w:tcPr>
          <w:p w14:paraId="01E4D0E4">
            <w:pPr>
              <w:pStyle w:val="11"/>
            </w:pPr>
          </w:p>
        </w:tc>
      </w:tr>
      <w:tr w14:paraId="621B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B63C">
            <w:pPr>
              <w:pStyle w:val="13"/>
            </w:pPr>
            <w:r>
              <w:t>5</w:t>
            </w:r>
          </w:p>
        </w:tc>
        <w:tc>
          <w:tcPr>
            <w:tcW w:w="3402" w:type="dxa"/>
            <w:vAlign w:val="center"/>
          </w:tcPr>
          <w:p w14:paraId="639B9D4A">
            <w:pPr>
              <w:pStyle w:val="12"/>
            </w:pPr>
          </w:p>
        </w:tc>
        <w:tc>
          <w:tcPr>
            <w:tcW w:w="1474" w:type="dxa"/>
            <w:vAlign w:val="center"/>
          </w:tcPr>
          <w:p w14:paraId="29884578">
            <w:pPr>
              <w:pStyle w:val="11"/>
            </w:pPr>
          </w:p>
        </w:tc>
        <w:tc>
          <w:tcPr>
            <w:tcW w:w="3402" w:type="dxa"/>
            <w:vAlign w:val="center"/>
          </w:tcPr>
          <w:p w14:paraId="663F2359">
            <w:pPr>
              <w:pStyle w:val="12"/>
            </w:pPr>
            <w:r>
              <w:t>五、教育支出</w:t>
            </w:r>
          </w:p>
        </w:tc>
        <w:tc>
          <w:tcPr>
            <w:tcW w:w="1474" w:type="dxa"/>
            <w:vAlign w:val="center"/>
          </w:tcPr>
          <w:p w14:paraId="3518AE72">
            <w:pPr>
              <w:pStyle w:val="11"/>
            </w:pPr>
            <w:r>
              <w:t>2725.47</w:t>
            </w:r>
          </w:p>
        </w:tc>
        <w:tc>
          <w:tcPr>
            <w:tcW w:w="1474" w:type="dxa"/>
            <w:vAlign w:val="center"/>
          </w:tcPr>
          <w:p w14:paraId="63E8F77B">
            <w:pPr>
              <w:pStyle w:val="11"/>
            </w:pPr>
            <w:r>
              <w:t>2725.47</w:t>
            </w:r>
          </w:p>
        </w:tc>
        <w:tc>
          <w:tcPr>
            <w:tcW w:w="1474" w:type="dxa"/>
            <w:vAlign w:val="center"/>
          </w:tcPr>
          <w:p w14:paraId="6252FE16">
            <w:pPr>
              <w:pStyle w:val="11"/>
            </w:pPr>
          </w:p>
        </w:tc>
        <w:tc>
          <w:tcPr>
            <w:tcW w:w="1474" w:type="dxa"/>
            <w:vAlign w:val="center"/>
          </w:tcPr>
          <w:p w14:paraId="393C5F56">
            <w:pPr>
              <w:pStyle w:val="11"/>
            </w:pPr>
          </w:p>
        </w:tc>
      </w:tr>
      <w:tr w14:paraId="339A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738D">
            <w:pPr>
              <w:pStyle w:val="13"/>
            </w:pPr>
            <w:r>
              <w:t>6</w:t>
            </w:r>
          </w:p>
        </w:tc>
        <w:tc>
          <w:tcPr>
            <w:tcW w:w="3402" w:type="dxa"/>
            <w:vAlign w:val="center"/>
          </w:tcPr>
          <w:p w14:paraId="05625DF8">
            <w:pPr>
              <w:pStyle w:val="12"/>
            </w:pPr>
          </w:p>
        </w:tc>
        <w:tc>
          <w:tcPr>
            <w:tcW w:w="1474" w:type="dxa"/>
            <w:vAlign w:val="center"/>
          </w:tcPr>
          <w:p w14:paraId="5CCAF048">
            <w:pPr>
              <w:pStyle w:val="11"/>
            </w:pPr>
          </w:p>
        </w:tc>
        <w:tc>
          <w:tcPr>
            <w:tcW w:w="3402" w:type="dxa"/>
            <w:vAlign w:val="center"/>
          </w:tcPr>
          <w:p w14:paraId="0F9F93BC">
            <w:pPr>
              <w:pStyle w:val="12"/>
            </w:pPr>
            <w:r>
              <w:t>六、科学技术支出</w:t>
            </w:r>
          </w:p>
        </w:tc>
        <w:tc>
          <w:tcPr>
            <w:tcW w:w="1474" w:type="dxa"/>
            <w:vAlign w:val="center"/>
          </w:tcPr>
          <w:p w14:paraId="646FDA14">
            <w:pPr>
              <w:pStyle w:val="11"/>
            </w:pPr>
          </w:p>
        </w:tc>
        <w:tc>
          <w:tcPr>
            <w:tcW w:w="1474" w:type="dxa"/>
            <w:vAlign w:val="center"/>
          </w:tcPr>
          <w:p w14:paraId="4C3CD7AB">
            <w:pPr>
              <w:pStyle w:val="11"/>
            </w:pPr>
          </w:p>
        </w:tc>
        <w:tc>
          <w:tcPr>
            <w:tcW w:w="1474" w:type="dxa"/>
            <w:vAlign w:val="center"/>
          </w:tcPr>
          <w:p w14:paraId="678DD1AB">
            <w:pPr>
              <w:pStyle w:val="11"/>
            </w:pPr>
          </w:p>
        </w:tc>
        <w:tc>
          <w:tcPr>
            <w:tcW w:w="1474" w:type="dxa"/>
            <w:vAlign w:val="center"/>
          </w:tcPr>
          <w:p w14:paraId="4FAAE865">
            <w:pPr>
              <w:pStyle w:val="11"/>
            </w:pPr>
          </w:p>
        </w:tc>
      </w:tr>
      <w:tr w14:paraId="3E068C7A">
        <w:tblPrEx>
          <w:tblCellMar>
            <w:top w:w="0" w:type="dxa"/>
            <w:left w:w="108" w:type="dxa"/>
            <w:bottom w:w="0" w:type="dxa"/>
            <w:right w:w="108" w:type="dxa"/>
          </w:tblCellMar>
        </w:tblPrEx>
        <w:trPr>
          <w:trHeight w:val="369" w:hRule="atLeast"/>
          <w:jc w:val="center"/>
        </w:trPr>
        <w:tc>
          <w:tcPr>
            <w:tcW w:w="850" w:type="dxa"/>
            <w:vAlign w:val="center"/>
          </w:tcPr>
          <w:p w14:paraId="0F9CC263">
            <w:pPr>
              <w:pStyle w:val="13"/>
            </w:pPr>
            <w:r>
              <w:t>7</w:t>
            </w:r>
          </w:p>
        </w:tc>
        <w:tc>
          <w:tcPr>
            <w:tcW w:w="3402" w:type="dxa"/>
            <w:vAlign w:val="center"/>
          </w:tcPr>
          <w:p w14:paraId="2637A674">
            <w:pPr>
              <w:pStyle w:val="12"/>
            </w:pPr>
          </w:p>
        </w:tc>
        <w:tc>
          <w:tcPr>
            <w:tcW w:w="1474" w:type="dxa"/>
            <w:vAlign w:val="center"/>
          </w:tcPr>
          <w:p w14:paraId="273D5077">
            <w:pPr>
              <w:pStyle w:val="11"/>
            </w:pPr>
          </w:p>
        </w:tc>
        <w:tc>
          <w:tcPr>
            <w:tcW w:w="3402" w:type="dxa"/>
            <w:vAlign w:val="center"/>
          </w:tcPr>
          <w:p w14:paraId="577E3594">
            <w:pPr>
              <w:pStyle w:val="12"/>
            </w:pPr>
            <w:r>
              <w:t>七、文化旅游体育与传媒支出</w:t>
            </w:r>
          </w:p>
        </w:tc>
        <w:tc>
          <w:tcPr>
            <w:tcW w:w="1474" w:type="dxa"/>
            <w:vAlign w:val="center"/>
          </w:tcPr>
          <w:p w14:paraId="45F3545C">
            <w:pPr>
              <w:pStyle w:val="11"/>
            </w:pPr>
          </w:p>
        </w:tc>
        <w:tc>
          <w:tcPr>
            <w:tcW w:w="1474" w:type="dxa"/>
            <w:vAlign w:val="center"/>
          </w:tcPr>
          <w:p w14:paraId="713B1935">
            <w:pPr>
              <w:pStyle w:val="11"/>
            </w:pPr>
          </w:p>
        </w:tc>
        <w:tc>
          <w:tcPr>
            <w:tcW w:w="1474" w:type="dxa"/>
            <w:vAlign w:val="center"/>
          </w:tcPr>
          <w:p w14:paraId="4648EB3E">
            <w:pPr>
              <w:pStyle w:val="11"/>
            </w:pPr>
          </w:p>
        </w:tc>
        <w:tc>
          <w:tcPr>
            <w:tcW w:w="1474" w:type="dxa"/>
            <w:vAlign w:val="center"/>
          </w:tcPr>
          <w:p w14:paraId="51B92AB3">
            <w:pPr>
              <w:pStyle w:val="11"/>
            </w:pPr>
          </w:p>
        </w:tc>
      </w:tr>
      <w:tr w14:paraId="1765C639">
        <w:tblPrEx>
          <w:tblCellMar>
            <w:top w:w="0" w:type="dxa"/>
            <w:left w:w="108" w:type="dxa"/>
            <w:bottom w:w="0" w:type="dxa"/>
            <w:right w:w="108" w:type="dxa"/>
          </w:tblCellMar>
        </w:tblPrEx>
        <w:trPr>
          <w:trHeight w:val="369" w:hRule="atLeast"/>
          <w:jc w:val="center"/>
        </w:trPr>
        <w:tc>
          <w:tcPr>
            <w:tcW w:w="850" w:type="dxa"/>
            <w:vAlign w:val="center"/>
          </w:tcPr>
          <w:p w14:paraId="6C9111BD">
            <w:pPr>
              <w:pStyle w:val="13"/>
            </w:pPr>
            <w:r>
              <w:t>8</w:t>
            </w:r>
          </w:p>
        </w:tc>
        <w:tc>
          <w:tcPr>
            <w:tcW w:w="3402" w:type="dxa"/>
            <w:vAlign w:val="center"/>
          </w:tcPr>
          <w:p w14:paraId="323265F4">
            <w:pPr>
              <w:pStyle w:val="12"/>
            </w:pPr>
          </w:p>
        </w:tc>
        <w:tc>
          <w:tcPr>
            <w:tcW w:w="1474" w:type="dxa"/>
            <w:vAlign w:val="center"/>
          </w:tcPr>
          <w:p w14:paraId="7410F878">
            <w:pPr>
              <w:pStyle w:val="11"/>
            </w:pPr>
          </w:p>
        </w:tc>
        <w:tc>
          <w:tcPr>
            <w:tcW w:w="3402" w:type="dxa"/>
            <w:vAlign w:val="center"/>
          </w:tcPr>
          <w:p w14:paraId="16860A69">
            <w:pPr>
              <w:pStyle w:val="12"/>
            </w:pPr>
            <w:r>
              <w:t>八、社会保障和就业支出</w:t>
            </w:r>
          </w:p>
        </w:tc>
        <w:tc>
          <w:tcPr>
            <w:tcW w:w="1474" w:type="dxa"/>
            <w:vAlign w:val="center"/>
          </w:tcPr>
          <w:p w14:paraId="0BF35F64">
            <w:pPr>
              <w:pStyle w:val="11"/>
            </w:pPr>
          </w:p>
        </w:tc>
        <w:tc>
          <w:tcPr>
            <w:tcW w:w="1474" w:type="dxa"/>
            <w:vAlign w:val="center"/>
          </w:tcPr>
          <w:p w14:paraId="1B21146E">
            <w:pPr>
              <w:pStyle w:val="11"/>
            </w:pPr>
          </w:p>
        </w:tc>
        <w:tc>
          <w:tcPr>
            <w:tcW w:w="1474" w:type="dxa"/>
            <w:vAlign w:val="center"/>
          </w:tcPr>
          <w:p w14:paraId="34016D73">
            <w:pPr>
              <w:pStyle w:val="11"/>
            </w:pPr>
          </w:p>
        </w:tc>
        <w:tc>
          <w:tcPr>
            <w:tcW w:w="1474" w:type="dxa"/>
            <w:vAlign w:val="center"/>
          </w:tcPr>
          <w:p w14:paraId="1FDDDC79">
            <w:pPr>
              <w:pStyle w:val="11"/>
            </w:pPr>
          </w:p>
        </w:tc>
      </w:tr>
      <w:tr w14:paraId="550B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1509E">
            <w:pPr>
              <w:pStyle w:val="13"/>
            </w:pPr>
            <w:r>
              <w:t>9</w:t>
            </w:r>
          </w:p>
        </w:tc>
        <w:tc>
          <w:tcPr>
            <w:tcW w:w="3402" w:type="dxa"/>
            <w:vAlign w:val="center"/>
          </w:tcPr>
          <w:p w14:paraId="555677F5">
            <w:pPr>
              <w:pStyle w:val="12"/>
            </w:pPr>
          </w:p>
        </w:tc>
        <w:tc>
          <w:tcPr>
            <w:tcW w:w="1474" w:type="dxa"/>
            <w:vAlign w:val="center"/>
          </w:tcPr>
          <w:p w14:paraId="656709FA">
            <w:pPr>
              <w:pStyle w:val="11"/>
            </w:pPr>
          </w:p>
        </w:tc>
        <w:tc>
          <w:tcPr>
            <w:tcW w:w="3402" w:type="dxa"/>
            <w:vAlign w:val="center"/>
          </w:tcPr>
          <w:p w14:paraId="3A9AD214">
            <w:pPr>
              <w:pStyle w:val="12"/>
            </w:pPr>
            <w:r>
              <w:t>九、社会保险基金支出</w:t>
            </w:r>
          </w:p>
        </w:tc>
        <w:tc>
          <w:tcPr>
            <w:tcW w:w="1474" w:type="dxa"/>
            <w:vAlign w:val="center"/>
          </w:tcPr>
          <w:p w14:paraId="6A37A0A5">
            <w:pPr>
              <w:pStyle w:val="11"/>
            </w:pPr>
          </w:p>
        </w:tc>
        <w:tc>
          <w:tcPr>
            <w:tcW w:w="1474" w:type="dxa"/>
            <w:vAlign w:val="center"/>
          </w:tcPr>
          <w:p w14:paraId="2F5B6F6D">
            <w:pPr>
              <w:pStyle w:val="11"/>
            </w:pPr>
          </w:p>
        </w:tc>
        <w:tc>
          <w:tcPr>
            <w:tcW w:w="1474" w:type="dxa"/>
            <w:vAlign w:val="center"/>
          </w:tcPr>
          <w:p w14:paraId="7EC43726">
            <w:pPr>
              <w:pStyle w:val="11"/>
            </w:pPr>
          </w:p>
        </w:tc>
        <w:tc>
          <w:tcPr>
            <w:tcW w:w="1474" w:type="dxa"/>
            <w:vAlign w:val="center"/>
          </w:tcPr>
          <w:p w14:paraId="6C8CD7A6">
            <w:pPr>
              <w:pStyle w:val="11"/>
            </w:pPr>
          </w:p>
        </w:tc>
      </w:tr>
      <w:tr w14:paraId="3EE0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50330">
            <w:pPr>
              <w:pStyle w:val="13"/>
            </w:pPr>
            <w:r>
              <w:t>10</w:t>
            </w:r>
          </w:p>
        </w:tc>
        <w:tc>
          <w:tcPr>
            <w:tcW w:w="3402" w:type="dxa"/>
            <w:vAlign w:val="center"/>
          </w:tcPr>
          <w:p w14:paraId="6E63B00C">
            <w:pPr>
              <w:pStyle w:val="12"/>
            </w:pPr>
          </w:p>
        </w:tc>
        <w:tc>
          <w:tcPr>
            <w:tcW w:w="1474" w:type="dxa"/>
            <w:vAlign w:val="center"/>
          </w:tcPr>
          <w:p w14:paraId="08842365">
            <w:pPr>
              <w:pStyle w:val="11"/>
            </w:pPr>
          </w:p>
        </w:tc>
        <w:tc>
          <w:tcPr>
            <w:tcW w:w="3402" w:type="dxa"/>
            <w:vAlign w:val="center"/>
          </w:tcPr>
          <w:p w14:paraId="4455EC5A">
            <w:pPr>
              <w:pStyle w:val="12"/>
            </w:pPr>
            <w:r>
              <w:t>十、卫生健康支出</w:t>
            </w:r>
          </w:p>
        </w:tc>
        <w:tc>
          <w:tcPr>
            <w:tcW w:w="1474" w:type="dxa"/>
            <w:vAlign w:val="center"/>
          </w:tcPr>
          <w:p w14:paraId="408F0C00">
            <w:pPr>
              <w:pStyle w:val="11"/>
            </w:pPr>
          </w:p>
        </w:tc>
        <w:tc>
          <w:tcPr>
            <w:tcW w:w="1474" w:type="dxa"/>
            <w:vAlign w:val="center"/>
          </w:tcPr>
          <w:p w14:paraId="7FB5C670">
            <w:pPr>
              <w:pStyle w:val="11"/>
            </w:pPr>
          </w:p>
        </w:tc>
        <w:tc>
          <w:tcPr>
            <w:tcW w:w="1474" w:type="dxa"/>
            <w:vAlign w:val="center"/>
          </w:tcPr>
          <w:p w14:paraId="2237733D">
            <w:pPr>
              <w:pStyle w:val="11"/>
            </w:pPr>
          </w:p>
        </w:tc>
        <w:tc>
          <w:tcPr>
            <w:tcW w:w="1474" w:type="dxa"/>
            <w:vAlign w:val="center"/>
          </w:tcPr>
          <w:p w14:paraId="06E92FE4">
            <w:pPr>
              <w:pStyle w:val="11"/>
            </w:pPr>
          </w:p>
        </w:tc>
      </w:tr>
      <w:tr w14:paraId="15BD34D1">
        <w:tblPrEx>
          <w:tblCellMar>
            <w:top w:w="0" w:type="dxa"/>
            <w:left w:w="108" w:type="dxa"/>
            <w:bottom w:w="0" w:type="dxa"/>
            <w:right w:w="108" w:type="dxa"/>
          </w:tblCellMar>
        </w:tblPrEx>
        <w:trPr>
          <w:trHeight w:val="369" w:hRule="atLeast"/>
          <w:jc w:val="center"/>
        </w:trPr>
        <w:tc>
          <w:tcPr>
            <w:tcW w:w="850" w:type="dxa"/>
            <w:vAlign w:val="center"/>
          </w:tcPr>
          <w:p w14:paraId="42445D58">
            <w:pPr>
              <w:pStyle w:val="13"/>
            </w:pPr>
            <w:r>
              <w:t>11</w:t>
            </w:r>
          </w:p>
        </w:tc>
        <w:tc>
          <w:tcPr>
            <w:tcW w:w="3402" w:type="dxa"/>
            <w:vAlign w:val="center"/>
          </w:tcPr>
          <w:p w14:paraId="4F0E5886">
            <w:pPr>
              <w:pStyle w:val="12"/>
            </w:pPr>
          </w:p>
        </w:tc>
        <w:tc>
          <w:tcPr>
            <w:tcW w:w="1474" w:type="dxa"/>
            <w:vAlign w:val="center"/>
          </w:tcPr>
          <w:p w14:paraId="2818437E">
            <w:pPr>
              <w:pStyle w:val="11"/>
            </w:pPr>
          </w:p>
        </w:tc>
        <w:tc>
          <w:tcPr>
            <w:tcW w:w="3402" w:type="dxa"/>
            <w:vAlign w:val="center"/>
          </w:tcPr>
          <w:p w14:paraId="5488BFDC">
            <w:pPr>
              <w:pStyle w:val="12"/>
            </w:pPr>
            <w:r>
              <w:t>十一、节能环保支出</w:t>
            </w:r>
          </w:p>
        </w:tc>
        <w:tc>
          <w:tcPr>
            <w:tcW w:w="1474" w:type="dxa"/>
            <w:vAlign w:val="center"/>
          </w:tcPr>
          <w:p w14:paraId="6055A5ED">
            <w:pPr>
              <w:pStyle w:val="11"/>
            </w:pPr>
          </w:p>
        </w:tc>
        <w:tc>
          <w:tcPr>
            <w:tcW w:w="1474" w:type="dxa"/>
            <w:vAlign w:val="center"/>
          </w:tcPr>
          <w:p w14:paraId="4BDF90E6">
            <w:pPr>
              <w:pStyle w:val="11"/>
            </w:pPr>
          </w:p>
        </w:tc>
        <w:tc>
          <w:tcPr>
            <w:tcW w:w="1474" w:type="dxa"/>
            <w:vAlign w:val="center"/>
          </w:tcPr>
          <w:p w14:paraId="51D0C5CB">
            <w:pPr>
              <w:pStyle w:val="11"/>
            </w:pPr>
          </w:p>
        </w:tc>
        <w:tc>
          <w:tcPr>
            <w:tcW w:w="1474" w:type="dxa"/>
            <w:vAlign w:val="center"/>
          </w:tcPr>
          <w:p w14:paraId="630F7663">
            <w:pPr>
              <w:pStyle w:val="11"/>
            </w:pPr>
          </w:p>
        </w:tc>
      </w:tr>
      <w:tr w14:paraId="44C8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31759">
            <w:pPr>
              <w:pStyle w:val="13"/>
            </w:pPr>
            <w:r>
              <w:t>12</w:t>
            </w:r>
          </w:p>
        </w:tc>
        <w:tc>
          <w:tcPr>
            <w:tcW w:w="3402" w:type="dxa"/>
            <w:vAlign w:val="center"/>
          </w:tcPr>
          <w:p w14:paraId="559D27A3">
            <w:pPr>
              <w:pStyle w:val="12"/>
            </w:pPr>
          </w:p>
        </w:tc>
        <w:tc>
          <w:tcPr>
            <w:tcW w:w="1474" w:type="dxa"/>
            <w:vAlign w:val="center"/>
          </w:tcPr>
          <w:p w14:paraId="15DC7EA6">
            <w:pPr>
              <w:pStyle w:val="11"/>
            </w:pPr>
          </w:p>
        </w:tc>
        <w:tc>
          <w:tcPr>
            <w:tcW w:w="3402" w:type="dxa"/>
            <w:vAlign w:val="center"/>
          </w:tcPr>
          <w:p w14:paraId="3A8BC3DC">
            <w:pPr>
              <w:pStyle w:val="12"/>
            </w:pPr>
            <w:r>
              <w:t>十二、城乡社区支出</w:t>
            </w:r>
          </w:p>
        </w:tc>
        <w:tc>
          <w:tcPr>
            <w:tcW w:w="1474" w:type="dxa"/>
            <w:vAlign w:val="center"/>
          </w:tcPr>
          <w:p w14:paraId="6E01F0CC">
            <w:pPr>
              <w:pStyle w:val="11"/>
            </w:pPr>
          </w:p>
        </w:tc>
        <w:tc>
          <w:tcPr>
            <w:tcW w:w="1474" w:type="dxa"/>
            <w:vAlign w:val="center"/>
          </w:tcPr>
          <w:p w14:paraId="73D00906">
            <w:pPr>
              <w:pStyle w:val="11"/>
            </w:pPr>
          </w:p>
        </w:tc>
        <w:tc>
          <w:tcPr>
            <w:tcW w:w="1474" w:type="dxa"/>
            <w:vAlign w:val="center"/>
          </w:tcPr>
          <w:p w14:paraId="5A61AAF6">
            <w:pPr>
              <w:pStyle w:val="11"/>
            </w:pPr>
          </w:p>
        </w:tc>
        <w:tc>
          <w:tcPr>
            <w:tcW w:w="1474" w:type="dxa"/>
            <w:vAlign w:val="center"/>
          </w:tcPr>
          <w:p w14:paraId="178FCD9B">
            <w:pPr>
              <w:pStyle w:val="11"/>
            </w:pPr>
          </w:p>
        </w:tc>
      </w:tr>
      <w:tr w14:paraId="21E2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AAD72">
            <w:pPr>
              <w:pStyle w:val="13"/>
            </w:pPr>
            <w:r>
              <w:t>13</w:t>
            </w:r>
          </w:p>
        </w:tc>
        <w:tc>
          <w:tcPr>
            <w:tcW w:w="3402" w:type="dxa"/>
            <w:vAlign w:val="center"/>
          </w:tcPr>
          <w:p w14:paraId="7F27F5D9">
            <w:pPr>
              <w:pStyle w:val="12"/>
            </w:pPr>
          </w:p>
        </w:tc>
        <w:tc>
          <w:tcPr>
            <w:tcW w:w="1474" w:type="dxa"/>
            <w:vAlign w:val="center"/>
          </w:tcPr>
          <w:p w14:paraId="43B298CC">
            <w:pPr>
              <w:pStyle w:val="11"/>
            </w:pPr>
          </w:p>
        </w:tc>
        <w:tc>
          <w:tcPr>
            <w:tcW w:w="3402" w:type="dxa"/>
            <w:vAlign w:val="center"/>
          </w:tcPr>
          <w:p w14:paraId="0CC42121">
            <w:pPr>
              <w:pStyle w:val="12"/>
            </w:pPr>
            <w:r>
              <w:t>十三、农林水支出</w:t>
            </w:r>
          </w:p>
        </w:tc>
        <w:tc>
          <w:tcPr>
            <w:tcW w:w="1474" w:type="dxa"/>
            <w:vAlign w:val="center"/>
          </w:tcPr>
          <w:p w14:paraId="5585717D">
            <w:pPr>
              <w:pStyle w:val="11"/>
            </w:pPr>
          </w:p>
        </w:tc>
        <w:tc>
          <w:tcPr>
            <w:tcW w:w="1474" w:type="dxa"/>
            <w:vAlign w:val="center"/>
          </w:tcPr>
          <w:p w14:paraId="294615B9">
            <w:pPr>
              <w:pStyle w:val="11"/>
            </w:pPr>
          </w:p>
        </w:tc>
        <w:tc>
          <w:tcPr>
            <w:tcW w:w="1474" w:type="dxa"/>
            <w:vAlign w:val="center"/>
          </w:tcPr>
          <w:p w14:paraId="79762BB1">
            <w:pPr>
              <w:pStyle w:val="11"/>
            </w:pPr>
          </w:p>
        </w:tc>
        <w:tc>
          <w:tcPr>
            <w:tcW w:w="1474" w:type="dxa"/>
            <w:vAlign w:val="center"/>
          </w:tcPr>
          <w:p w14:paraId="0D8AE5FE">
            <w:pPr>
              <w:pStyle w:val="11"/>
            </w:pPr>
          </w:p>
        </w:tc>
      </w:tr>
      <w:tr w14:paraId="004E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EF3A3">
            <w:pPr>
              <w:pStyle w:val="13"/>
            </w:pPr>
            <w:r>
              <w:t>14</w:t>
            </w:r>
          </w:p>
        </w:tc>
        <w:tc>
          <w:tcPr>
            <w:tcW w:w="3402" w:type="dxa"/>
            <w:vAlign w:val="center"/>
          </w:tcPr>
          <w:p w14:paraId="7955948D">
            <w:pPr>
              <w:pStyle w:val="12"/>
            </w:pPr>
          </w:p>
        </w:tc>
        <w:tc>
          <w:tcPr>
            <w:tcW w:w="1474" w:type="dxa"/>
            <w:vAlign w:val="center"/>
          </w:tcPr>
          <w:p w14:paraId="79650AFA">
            <w:pPr>
              <w:pStyle w:val="11"/>
            </w:pPr>
          </w:p>
        </w:tc>
        <w:tc>
          <w:tcPr>
            <w:tcW w:w="3402" w:type="dxa"/>
            <w:vAlign w:val="center"/>
          </w:tcPr>
          <w:p w14:paraId="4F75E7E8">
            <w:pPr>
              <w:pStyle w:val="12"/>
            </w:pPr>
            <w:r>
              <w:t>十四、交通运输支出</w:t>
            </w:r>
          </w:p>
        </w:tc>
        <w:tc>
          <w:tcPr>
            <w:tcW w:w="1474" w:type="dxa"/>
            <w:vAlign w:val="center"/>
          </w:tcPr>
          <w:p w14:paraId="553B62EF">
            <w:pPr>
              <w:pStyle w:val="11"/>
            </w:pPr>
          </w:p>
        </w:tc>
        <w:tc>
          <w:tcPr>
            <w:tcW w:w="1474" w:type="dxa"/>
            <w:vAlign w:val="center"/>
          </w:tcPr>
          <w:p w14:paraId="1F2FE71C">
            <w:pPr>
              <w:pStyle w:val="11"/>
            </w:pPr>
          </w:p>
        </w:tc>
        <w:tc>
          <w:tcPr>
            <w:tcW w:w="1474" w:type="dxa"/>
            <w:vAlign w:val="center"/>
          </w:tcPr>
          <w:p w14:paraId="5F772BCB">
            <w:pPr>
              <w:pStyle w:val="11"/>
            </w:pPr>
          </w:p>
        </w:tc>
        <w:tc>
          <w:tcPr>
            <w:tcW w:w="1474" w:type="dxa"/>
            <w:vAlign w:val="center"/>
          </w:tcPr>
          <w:p w14:paraId="05641134">
            <w:pPr>
              <w:pStyle w:val="11"/>
            </w:pPr>
          </w:p>
        </w:tc>
      </w:tr>
      <w:tr w14:paraId="455B3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D63A">
            <w:pPr>
              <w:pStyle w:val="13"/>
            </w:pPr>
            <w:r>
              <w:t>15</w:t>
            </w:r>
          </w:p>
        </w:tc>
        <w:tc>
          <w:tcPr>
            <w:tcW w:w="3402" w:type="dxa"/>
            <w:vAlign w:val="center"/>
          </w:tcPr>
          <w:p w14:paraId="277EA224">
            <w:pPr>
              <w:pStyle w:val="12"/>
            </w:pPr>
          </w:p>
        </w:tc>
        <w:tc>
          <w:tcPr>
            <w:tcW w:w="1474" w:type="dxa"/>
            <w:vAlign w:val="center"/>
          </w:tcPr>
          <w:p w14:paraId="48795E82">
            <w:pPr>
              <w:pStyle w:val="11"/>
            </w:pPr>
          </w:p>
        </w:tc>
        <w:tc>
          <w:tcPr>
            <w:tcW w:w="3402" w:type="dxa"/>
            <w:vAlign w:val="center"/>
          </w:tcPr>
          <w:p w14:paraId="10816F9A">
            <w:pPr>
              <w:pStyle w:val="12"/>
            </w:pPr>
            <w:r>
              <w:t>十五、资源勘探工业信息等支出</w:t>
            </w:r>
          </w:p>
        </w:tc>
        <w:tc>
          <w:tcPr>
            <w:tcW w:w="1474" w:type="dxa"/>
            <w:vAlign w:val="center"/>
          </w:tcPr>
          <w:p w14:paraId="5BEE76F4">
            <w:pPr>
              <w:pStyle w:val="11"/>
            </w:pPr>
          </w:p>
        </w:tc>
        <w:tc>
          <w:tcPr>
            <w:tcW w:w="1474" w:type="dxa"/>
            <w:vAlign w:val="center"/>
          </w:tcPr>
          <w:p w14:paraId="0E07B0F7">
            <w:pPr>
              <w:pStyle w:val="11"/>
            </w:pPr>
          </w:p>
        </w:tc>
        <w:tc>
          <w:tcPr>
            <w:tcW w:w="1474" w:type="dxa"/>
            <w:vAlign w:val="center"/>
          </w:tcPr>
          <w:p w14:paraId="216F027E">
            <w:pPr>
              <w:pStyle w:val="11"/>
            </w:pPr>
          </w:p>
        </w:tc>
        <w:tc>
          <w:tcPr>
            <w:tcW w:w="1474" w:type="dxa"/>
            <w:vAlign w:val="center"/>
          </w:tcPr>
          <w:p w14:paraId="08FFADED">
            <w:pPr>
              <w:pStyle w:val="11"/>
            </w:pPr>
          </w:p>
        </w:tc>
      </w:tr>
      <w:tr w14:paraId="5F687336">
        <w:tblPrEx>
          <w:tblCellMar>
            <w:top w:w="0" w:type="dxa"/>
            <w:left w:w="108" w:type="dxa"/>
            <w:bottom w:w="0" w:type="dxa"/>
            <w:right w:w="108" w:type="dxa"/>
          </w:tblCellMar>
        </w:tblPrEx>
        <w:trPr>
          <w:trHeight w:val="369" w:hRule="atLeast"/>
          <w:jc w:val="center"/>
        </w:trPr>
        <w:tc>
          <w:tcPr>
            <w:tcW w:w="850" w:type="dxa"/>
            <w:vAlign w:val="center"/>
          </w:tcPr>
          <w:p w14:paraId="4C5493D6">
            <w:pPr>
              <w:pStyle w:val="13"/>
            </w:pPr>
            <w:r>
              <w:t>16</w:t>
            </w:r>
          </w:p>
        </w:tc>
        <w:tc>
          <w:tcPr>
            <w:tcW w:w="3402" w:type="dxa"/>
            <w:vAlign w:val="center"/>
          </w:tcPr>
          <w:p w14:paraId="05B5517F">
            <w:pPr>
              <w:pStyle w:val="12"/>
            </w:pPr>
          </w:p>
        </w:tc>
        <w:tc>
          <w:tcPr>
            <w:tcW w:w="1474" w:type="dxa"/>
            <w:vAlign w:val="center"/>
          </w:tcPr>
          <w:p w14:paraId="7E458627">
            <w:pPr>
              <w:pStyle w:val="11"/>
            </w:pPr>
          </w:p>
        </w:tc>
        <w:tc>
          <w:tcPr>
            <w:tcW w:w="3402" w:type="dxa"/>
            <w:vAlign w:val="center"/>
          </w:tcPr>
          <w:p w14:paraId="227E1F72">
            <w:pPr>
              <w:pStyle w:val="12"/>
            </w:pPr>
            <w:r>
              <w:t>十六、商业服务业等支出</w:t>
            </w:r>
          </w:p>
        </w:tc>
        <w:tc>
          <w:tcPr>
            <w:tcW w:w="1474" w:type="dxa"/>
            <w:vAlign w:val="center"/>
          </w:tcPr>
          <w:p w14:paraId="0CCD597F">
            <w:pPr>
              <w:pStyle w:val="11"/>
            </w:pPr>
          </w:p>
        </w:tc>
        <w:tc>
          <w:tcPr>
            <w:tcW w:w="1474" w:type="dxa"/>
            <w:vAlign w:val="center"/>
          </w:tcPr>
          <w:p w14:paraId="1C039CD7">
            <w:pPr>
              <w:pStyle w:val="11"/>
            </w:pPr>
          </w:p>
        </w:tc>
        <w:tc>
          <w:tcPr>
            <w:tcW w:w="1474" w:type="dxa"/>
            <w:vAlign w:val="center"/>
          </w:tcPr>
          <w:p w14:paraId="0EAAC5D6">
            <w:pPr>
              <w:pStyle w:val="11"/>
            </w:pPr>
          </w:p>
        </w:tc>
        <w:tc>
          <w:tcPr>
            <w:tcW w:w="1474" w:type="dxa"/>
            <w:vAlign w:val="center"/>
          </w:tcPr>
          <w:p w14:paraId="6904F866">
            <w:pPr>
              <w:pStyle w:val="11"/>
            </w:pPr>
          </w:p>
        </w:tc>
      </w:tr>
      <w:tr w14:paraId="7130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F98F0">
            <w:pPr>
              <w:pStyle w:val="13"/>
            </w:pPr>
            <w:r>
              <w:t>17</w:t>
            </w:r>
          </w:p>
        </w:tc>
        <w:tc>
          <w:tcPr>
            <w:tcW w:w="3402" w:type="dxa"/>
            <w:vAlign w:val="center"/>
          </w:tcPr>
          <w:p w14:paraId="3A0483AD">
            <w:pPr>
              <w:pStyle w:val="12"/>
            </w:pPr>
          </w:p>
        </w:tc>
        <w:tc>
          <w:tcPr>
            <w:tcW w:w="1474" w:type="dxa"/>
            <w:vAlign w:val="center"/>
          </w:tcPr>
          <w:p w14:paraId="0A1C0B50">
            <w:pPr>
              <w:pStyle w:val="11"/>
            </w:pPr>
          </w:p>
        </w:tc>
        <w:tc>
          <w:tcPr>
            <w:tcW w:w="3402" w:type="dxa"/>
            <w:vAlign w:val="center"/>
          </w:tcPr>
          <w:p w14:paraId="133007BC">
            <w:pPr>
              <w:pStyle w:val="12"/>
            </w:pPr>
            <w:r>
              <w:t>十七、金融支出</w:t>
            </w:r>
          </w:p>
        </w:tc>
        <w:tc>
          <w:tcPr>
            <w:tcW w:w="1474" w:type="dxa"/>
            <w:vAlign w:val="center"/>
          </w:tcPr>
          <w:p w14:paraId="47A0077F">
            <w:pPr>
              <w:pStyle w:val="11"/>
            </w:pPr>
          </w:p>
        </w:tc>
        <w:tc>
          <w:tcPr>
            <w:tcW w:w="1474" w:type="dxa"/>
            <w:vAlign w:val="center"/>
          </w:tcPr>
          <w:p w14:paraId="0A2D2A54">
            <w:pPr>
              <w:pStyle w:val="11"/>
            </w:pPr>
          </w:p>
        </w:tc>
        <w:tc>
          <w:tcPr>
            <w:tcW w:w="1474" w:type="dxa"/>
            <w:vAlign w:val="center"/>
          </w:tcPr>
          <w:p w14:paraId="3070563B">
            <w:pPr>
              <w:pStyle w:val="11"/>
            </w:pPr>
          </w:p>
        </w:tc>
        <w:tc>
          <w:tcPr>
            <w:tcW w:w="1474" w:type="dxa"/>
            <w:vAlign w:val="center"/>
          </w:tcPr>
          <w:p w14:paraId="33A3BB7F">
            <w:pPr>
              <w:pStyle w:val="11"/>
            </w:pPr>
          </w:p>
        </w:tc>
      </w:tr>
      <w:tr w14:paraId="2B49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6A321">
            <w:pPr>
              <w:pStyle w:val="13"/>
            </w:pPr>
            <w:r>
              <w:t>18</w:t>
            </w:r>
          </w:p>
        </w:tc>
        <w:tc>
          <w:tcPr>
            <w:tcW w:w="3402" w:type="dxa"/>
            <w:vAlign w:val="center"/>
          </w:tcPr>
          <w:p w14:paraId="306CCAE1">
            <w:pPr>
              <w:pStyle w:val="12"/>
            </w:pPr>
          </w:p>
        </w:tc>
        <w:tc>
          <w:tcPr>
            <w:tcW w:w="1474" w:type="dxa"/>
            <w:vAlign w:val="center"/>
          </w:tcPr>
          <w:p w14:paraId="2E6612D5">
            <w:pPr>
              <w:pStyle w:val="11"/>
            </w:pPr>
          </w:p>
        </w:tc>
        <w:tc>
          <w:tcPr>
            <w:tcW w:w="3402" w:type="dxa"/>
            <w:vAlign w:val="center"/>
          </w:tcPr>
          <w:p w14:paraId="651D5147">
            <w:pPr>
              <w:pStyle w:val="12"/>
            </w:pPr>
            <w:r>
              <w:t>十八、援助其他地区支出</w:t>
            </w:r>
          </w:p>
        </w:tc>
        <w:tc>
          <w:tcPr>
            <w:tcW w:w="1474" w:type="dxa"/>
            <w:vAlign w:val="center"/>
          </w:tcPr>
          <w:p w14:paraId="610E7BF9">
            <w:pPr>
              <w:pStyle w:val="11"/>
            </w:pPr>
          </w:p>
        </w:tc>
        <w:tc>
          <w:tcPr>
            <w:tcW w:w="1474" w:type="dxa"/>
            <w:vAlign w:val="center"/>
          </w:tcPr>
          <w:p w14:paraId="17481D57">
            <w:pPr>
              <w:pStyle w:val="11"/>
            </w:pPr>
          </w:p>
        </w:tc>
        <w:tc>
          <w:tcPr>
            <w:tcW w:w="1474" w:type="dxa"/>
            <w:vAlign w:val="center"/>
          </w:tcPr>
          <w:p w14:paraId="78673BEE">
            <w:pPr>
              <w:pStyle w:val="11"/>
            </w:pPr>
          </w:p>
        </w:tc>
        <w:tc>
          <w:tcPr>
            <w:tcW w:w="1474" w:type="dxa"/>
            <w:vAlign w:val="center"/>
          </w:tcPr>
          <w:p w14:paraId="2CCCBD90">
            <w:pPr>
              <w:pStyle w:val="11"/>
            </w:pPr>
          </w:p>
        </w:tc>
      </w:tr>
      <w:tr w14:paraId="32D0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2F52">
            <w:pPr>
              <w:pStyle w:val="13"/>
            </w:pPr>
            <w:r>
              <w:t>19</w:t>
            </w:r>
          </w:p>
        </w:tc>
        <w:tc>
          <w:tcPr>
            <w:tcW w:w="3402" w:type="dxa"/>
            <w:vAlign w:val="center"/>
          </w:tcPr>
          <w:p w14:paraId="31B0061E">
            <w:pPr>
              <w:pStyle w:val="12"/>
            </w:pPr>
          </w:p>
        </w:tc>
        <w:tc>
          <w:tcPr>
            <w:tcW w:w="1474" w:type="dxa"/>
            <w:vAlign w:val="center"/>
          </w:tcPr>
          <w:p w14:paraId="2A3B8267">
            <w:pPr>
              <w:pStyle w:val="11"/>
            </w:pPr>
          </w:p>
        </w:tc>
        <w:tc>
          <w:tcPr>
            <w:tcW w:w="3402" w:type="dxa"/>
            <w:vAlign w:val="center"/>
          </w:tcPr>
          <w:p w14:paraId="6D27A776">
            <w:pPr>
              <w:pStyle w:val="12"/>
            </w:pPr>
            <w:r>
              <w:t>十九、自然资源海洋气象等支出</w:t>
            </w:r>
          </w:p>
        </w:tc>
        <w:tc>
          <w:tcPr>
            <w:tcW w:w="1474" w:type="dxa"/>
            <w:vAlign w:val="center"/>
          </w:tcPr>
          <w:p w14:paraId="1BF69AA9">
            <w:pPr>
              <w:pStyle w:val="11"/>
            </w:pPr>
          </w:p>
        </w:tc>
        <w:tc>
          <w:tcPr>
            <w:tcW w:w="1474" w:type="dxa"/>
            <w:vAlign w:val="center"/>
          </w:tcPr>
          <w:p w14:paraId="4FF463FD">
            <w:pPr>
              <w:pStyle w:val="11"/>
            </w:pPr>
          </w:p>
        </w:tc>
        <w:tc>
          <w:tcPr>
            <w:tcW w:w="1474" w:type="dxa"/>
            <w:vAlign w:val="center"/>
          </w:tcPr>
          <w:p w14:paraId="5C1236F6">
            <w:pPr>
              <w:pStyle w:val="11"/>
            </w:pPr>
          </w:p>
        </w:tc>
        <w:tc>
          <w:tcPr>
            <w:tcW w:w="1474" w:type="dxa"/>
            <w:vAlign w:val="center"/>
          </w:tcPr>
          <w:p w14:paraId="49EFAA00">
            <w:pPr>
              <w:pStyle w:val="11"/>
            </w:pPr>
          </w:p>
        </w:tc>
      </w:tr>
      <w:tr w14:paraId="55039D84">
        <w:tblPrEx>
          <w:tblCellMar>
            <w:top w:w="0" w:type="dxa"/>
            <w:left w:w="108" w:type="dxa"/>
            <w:bottom w:w="0" w:type="dxa"/>
            <w:right w:w="108" w:type="dxa"/>
          </w:tblCellMar>
        </w:tblPrEx>
        <w:trPr>
          <w:trHeight w:val="369" w:hRule="atLeast"/>
          <w:jc w:val="center"/>
        </w:trPr>
        <w:tc>
          <w:tcPr>
            <w:tcW w:w="850" w:type="dxa"/>
            <w:vAlign w:val="center"/>
          </w:tcPr>
          <w:p w14:paraId="7FAC94F3">
            <w:pPr>
              <w:pStyle w:val="13"/>
            </w:pPr>
            <w:r>
              <w:t>20</w:t>
            </w:r>
          </w:p>
        </w:tc>
        <w:tc>
          <w:tcPr>
            <w:tcW w:w="3402" w:type="dxa"/>
            <w:vAlign w:val="center"/>
          </w:tcPr>
          <w:p w14:paraId="7C1B227E">
            <w:pPr>
              <w:pStyle w:val="12"/>
            </w:pPr>
          </w:p>
        </w:tc>
        <w:tc>
          <w:tcPr>
            <w:tcW w:w="1474" w:type="dxa"/>
            <w:vAlign w:val="center"/>
          </w:tcPr>
          <w:p w14:paraId="190F7D71">
            <w:pPr>
              <w:pStyle w:val="11"/>
            </w:pPr>
          </w:p>
        </w:tc>
        <w:tc>
          <w:tcPr>
            <w:tcW w:w="3402" w:type="dxa"/>
            <w:vAlign w:val="center"/>
          </w:tcPr>
          <w:p w14:paraId="3C650728">
            <w:pPr>
              <w:pStyle w:val="12"/>
            </w:pPr>
            <w:r>
              <w:t>二十、住房保障支出</w:t>
            </w:r>
          </w:p>
        </w:tc>
        <w:tc>
          <w:tcPr>
            <w:tcW w:w="1474" w:type="dxa"/>
            <w:vAlign w:val="center"/>
          </w:tcPr>
          <w:p w14:paraId="33C1EEFA">
            <w:pPr>
              <w:pStyle w:val="11"/>
            </w:pPr>
          </w:p>
        </w:tc>
        <w:tc>
          <w:tcPr>
            <w:tcW w:w="1474" w:type="dxa"/>
            <w:vAlign w:val="center"/>
          </w:tcPr>
          <w:p w14:paraId="706A0A98">
            <w:pPr>
              <w:pStyle w:val="11"/>
            </w:pPr>
          </w:p>
        </w:tc>
        <w:tc>
          <w:tcPr>
            <w:tcW w:w="1474" w:type="dxa"/>
            <w:vAlign w:val="center"/>
          </w:tcPr>
          <w:p w14:paraId="695AC0AB">
            <w:pPr>
              <w:pStyle w:val="11"/>
            </w:pPr>
          </w:p>
        </w:tc>
        <w:tc>
          <w:tcPr>
            <w:tcW w:w="1474" w:type="dxa"/>
            <w:vAlign w:val="center"/>
          </w:tcPr>
          <w:p w14:paraId="59ABF8E3">
            <w:pPr>
              <w:pStyle w:val="11"/>
            </w:pPr>
          </w:p>
        </w:tc>
      </w:tr>
      <w:tr w14:paraId="5694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7824C">
            <w:pPr>
              <w:pStyle w:val="13"/>
            </w:pPr>
            <w:r>
              <w:t>21</w:t>
            </w:r>
          </w:p>
        </w:tc>
        <w:tc>
          <w:tcPr>
            <w:tcW w:w="3402" w:type="dxa"/>
            <w:vAlign w:val="center"/>
          </w:tcPr>
          <w:p w14:paraId="7F3D5626">
            <w:pPr>
              <w:pStyle w:val="12"/>
            </w:pPr>
          </w:p>
        </w:tc>
        <w:tc>
          <w:tcPr>
            <w:tcW w:w="1474" w:type="dxa"/>
            <w:vAlign w:val="center"/>
          </w:tcPr>
          <w:p w14:paraId="27550784">
            <w:pPr>
              <w:pStyle w:val="11"/>
            </w:pPr>
          </w:p>
        </w:tc>
        <w:tc>
          <w:tcPr>
            <w:tcW w:w="3402" w:type="dxa"/>
            <w:vAlign w:val="center"/>
          </w:tcPr>
          <w:p w14:paraId="358A6ADA">
            <w:pPr>
              <w:pStyle w:val="12"/>
            </w:pPr>
            <w:r>
              <w:t>二十一、粮油物资储备支出</w:t>
            </w:r>
          </w:p>
        </w:tc>
        <w:tc>
          <w:tcPr>
            <w:tcW w:w="1474" w:type="dxa"/>
            <w:vAlign w:val="center"/>
          </w:tcPr>
          <w:p w14:paraId="4F61F24D">
            <w:pPr>
              <w:pStyle w:val="11"/>
            </w:pPr>
          </w:p>
        </w:tc>
        <w:tc>
          <w:tcPr>
            <w:tcW w:w="1474" w:type="dxa"/>
            <w:vAlign w:val="center"/>
          </w:tcPr>
          <w:p w14:paraId="2AB47479">
            <w:pPr>
              <w:pStyle w:val="11"/>
            </w:pPr>
          </w:p>
        </w:tc>
        <w:tc>
          <w:tcPr>
            <w:tcW w:w="1474" w:type="dxa"/>
            <w:vAlign w:val="center"/>
          </w:tcPr>
          <w:p w14:paraId="5023EBEB">
            <w:pPr>
              <w:pStyle w:val="11"/>
            </w:pPr>
          </w:p>
        </w:tc>
        <w:tc>
          <w:tcPr>
            <w:tcW w:w="1474" w:type="dxa"/>
            <w:vAlign w:val="center"/>
          </w:tcPr>
          <w:p w14:paraId="1B5EEE72">
            <w:pPr>
              <w:pStyle w:val="11"/>
            </w:pPr>
          </w:p>
        </w:tc>
      </w:tr>
      <w:tr w14:paraId="56A0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EAE6">
            <w:pPr>
              <w:pStyle w:val="13"/>
            </w:pPr>
            <w:r>
              <w:t>22</w:t>
            </w:r>
          </w:p>
        </w:tc>
        <w:tc>
          <w:tcPr>
            <w:tcW w:w="3402" w:type="dxa"/>
            <w:vAlign w:val="center"/>
          </w:tcPr>
          <w:p w14:paraId="6CBFD4C1">
            <w:pPr>
              <w:pStyle w:val="12"/>
            </w:pPr>
          </w:p>
        </w:tc>
        <w:tc>
          <w:tcPr>
            <w:tcW w:w="1474" w:type="dxa"/>
            <w:vAlign w:val="center"/>
          </w:tcPr>
          <w:p w14:paraId="2F30DD42">
            <w:pPr>
              <w:pStyle w:val="11"/>
            </w:pPr>
          </w:p>
        </w:tc>
        <w:tc>
          <w:tcPr>
            <w:tcW w:w="3402" w:type="dxa"/>
            <w:vAlign w:val="center"/>
          </w:tcPr>
          <w:p w14:paraId="204992BD">
            <w:pPr>
              <w:pStyle w:val="12"/>
            </w:pPr>
            <w:r>
              <w:t>二十二、国有资本经营预算支出</w:t>
            </w:r>
          </w:p>
        </w:tc>
        <w:tc>
          <w:tcPr>
            <w:tcW w:w="1474" w:type="dxa"/>
            <w:vAlign w:val="center"/>
          </w:tcPr>
          <w:p w14:paraId="4AD8409C">
            <w:pPr>
              <w:pStyle w:val="11"/>
            </w:pPr>
          </w:p>
        </w:tc>
        <w:tc>
          <w:tcPr>
            <w:tcW w:w="1474" w:type="dxa"/>
            <w:vAlign w:val="center"/>
          </w:tcPr>
          <w:p w14:paraId="1DFBBEA7">
            <w:pPr>
              <w:pStyle w:val="11"/>
            </w:pPr>
          </w:p>
        </w:tc>
        <w:tc>
          <w:tcPr>
            <w:tcW w:w="1474" w:type="dxa"/>
            <w:vAlign w:val="center"/>
          </w:tcPr>
          <w:p w14:paraId="090EA89A">
            <w:pPr>
              <w:pStyle w:val="11"/>
            </w:pPr>
          </w:p>
        </w:tc>
        <w:tc>
          <w:tcPr>
            <w:tcW w:w="1474" w:type="dxa"/>
            <w:vAlign w:val="center"/>
          </w:tcPr>
          <w:p w14:paraId="34BDD602">
            <w:pPr>
              <w:pStyle w:val="11"/>
            </w:pPr>
          </w:p>
        </w:tc>
      </w:tr>
      <w:tr w14:paraId="4694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19E52">
            <w:pPr>
              <w:pStyle w:val="13"/>
            </w:pPr>
            <w:r>
              <w:t>23</w:t>
            </w:r>
          </w:p>
        </w:tc>
        <w:tc>
          <w:tcPr>
            <w:tcW w:w="3402" w:type="dxa"/>
            <w:vAlign w:val="center"/>
          </w:tcPr>
          <w:p w14:paraId="18A24231">
            <w:pPr>
              <w:pStyle w:val="12"/>
            </w:pPr>
          </w:p>
        </w:tc>
        <w:tc>
          <w:tcPr>
            <w:tcW w:w="1474" w:type="dxa"/>
            <w:vAlign w:val="center"/>
          </w:tcPr>
          <w:p w14:paraId="7DA6FCFD">
            <w:pPr>
              <w:pStyle w:val="11"/>
            </w:pPr>
          </w:p>
        </w:tc>
        <w:tc>
          <w:tcPr>
            <w:tcW w:w="3402" w:type="dxa"/>
            <w:vAlign w:val="center"/>
          </w:tcPr>
          <w:p w14:paraId="2910046D">
            <w:pPr>
              <w:pStyle w:val="12"/>
            </w:pPr>
            <w:r>
              <w:t>二十三、灾害防治及应急管理支出</w:t>
            </w:r>
          </w:p>
        </w:tc>
        <w:tc>
          <w:tcPr>
            <w:tcW w:w="1474" w:type="dxa"/>
            <w:vAlign w:val="center"/>
          </w:tcPr>
          <w:p w14:paraId="2B70B7CC">
            <w:pPr>
              <w:pStyle w:val="11"/>
            </w:pPr>
          </w:p>
        </w:tc>
        <w:tc>
          <w:tcPr>
            <w:tcW w:w="1474" w:type="dxa"/>
            <w:vAlign w:val="center"/>
          </w:tcPr>
          <w:p w14:paraId="03E3592A">
            <w:pPr>
              <w:pStyle w:val="11"/>
            </w:pPr>
          </w:p>
        </w:tc>
        <w:tc>
          <w:tcPr>
            <w:tcW w:w="1474" w:type="dxa"/>
            <w:vAlign w:val="center"/>
          </w:tcPr>
          <w:p w14:paraId="19B0A970">
            <w:pPr>
              <w:pStyle w:val="11"/>
            </w:pPr>
          </w:p>
        </w:tc>
        <w:tc>
          <w:tcPr>
            <w:tcW w:w="1474" w:type="dxa"/>
            <w:vAlign w:val="center"/>
          </w:tcPr>
          <w:p w14:paraId="63A6ADA0">
            <w:pPr>
              <w:pStyle w:val="11"/>
            </w:pPr>
          </w:p>
        </w:tc>
      </w:tr>
      <w:tr w14:paraId="2201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45E1">
            <w:pPr>
              <w:pStyle w:val="13"/>
            </w:pPr>
            <w:r>
              <w:t>24</w:t>
            </w:r>
          </w:p>
        </w:tc>
        <w:tc>
          <w:tcPr>
            <w:tcW w:w="3402" w:type="dxa"/>
            <w:vAlign w:val="center"/>
          </w:tcPr>
          <w:p w14:paraId="0C4F5608">
            <w:pPr>
              <w:pStyle w:val="12"/>
            </w:pPr>
          </w:p>
        </w:tc>
        <w:tc>
          <w:tcPr>
            <w:tcW w:w="1474" w:type="dxa"/>
            <w:vAlign w:val="center"/>
          </w:tcPr>
          <w:p w14:paraId="5D4291CF">
            <w:pPr>
              <w:pStyle w:val="11"/>
            </w:pPr>
          </w:p>
        </w:tc>
        <w:tc>
          <w:tcPr>
            <w:tcW w:w="3402" w:type="dxa"/>
            <w:vAlign w:val="center"/>
          </w:tcPr>
          <w:p w14:paraId="4C835D0C">
            <w:pPr>
              <w:pStyle w:val="12"/>
            </w:pPr>
            <w:r>
              <w:t>二十四、预备费</w:t>
            </w:r>
          </w:p>
        </w:tc>
        <w:tc>
          <w:tcPr>
            <w:tcW w:w="1474" w:type="dxa"/>
            <w:vAlign w:val="center"/>
          </w:tcPr>
          <w:p w14:paraId="5787A8B2">
            <w:pPr>
              <w:pStyle w:val="11"/>
            </w:pPr>
          </w:p>
        </w:tc>
        <w:tc>
          <w:tcPr>
            <w:tcW w:w="1474" w:type="dxa"/>
            <w:vAlign w:val="center"/>
          </w:tcPr>
          <w:p w14:paraId="4E1A7B8F">
            <w:pPr>
              <w:pStyle w:val="11"/>
            </w:pPr>
          </w:p>
        </w:tc>
        <w:tc>
          <w:tcPr>
            <w:tcW w:w="1474" w:type="dxa"/>
            <w:vAlign w:val="center"/>
          </w:tcPr>
          <w:p w14:paraId="2DEE0502">
            <w:pPr>
              <w:pStyle w:val="11"/>
            </w:pPr>
          </w:p>
        </w:tc>
        <w:tc>
          <w:tcPr>
            <w:tcW w:w="1474" w:type="dxa"/>
            <w:vAlign w:val="center"/>
          </w:tcPr>
          <w:p w14:paraId="526B2A24">
            <w:pPr>
              <w:pStyle w:val="11"/>
            </w:pPr>
          </w:p>
        </w:tc>
      </w:tr>
      <w:tr w14:paraId="16F8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EFD82">
            <w:pPr>
              <w:pStyle w:val="13"/>
            </w:pPr>
            <w:r>
              <w:t>25</w:t>
            </w:r>
          </w:p>
        </w:tc>
        <w:tc>
          <w:tcPr>
            <w:tcW w:w="3402" w:type="dxa"/>
            <w:vAlign w:val="center"/>
          </w:tcPr>
          <w:p w14:paraId="27A3D1FD">
            <w:pPr>
              <w:pStyle w:val="12"/>
            </w:pPr>
          </w:p>
        </w:tc>
        <w:tc>
          <w:tcPr>
            <w:tcW w:w="1474" w:type="dxa"/>
            <w:vAlign w:val="center"/>
          </w:tcPr>
          <w:p w14:paraId="53E856D5">
            <w:pPr>
              <w:pStyle w:val="11"/>
            </w:pPr>
          </w:p>
        </w:tc>
        <w:tc>
          <w:tcPr>
            <w:tcW w:w="3402" w:type="dxa"/>
            <w:vAlign w:val="center"/>
          </w:tcPr>
          <w:p w14:paraId="198CB936">
            <w:pPr>
              <w:pStyle w:val="12"/>
            </w:pPr>
            <w:r>
              <w:t>二十五、其他支出</w:t>
            </w:r>
          </w:p>
        </w:tc>
        <w:tc>
          <w:tcPr>
            <w:tcW w:w="1474" w:type="dxa"/>
            <w:vAlign w:val="center"/>
          </w:tcPr>
          <w:p w14:paraId="48B1BDB9">
            <w:pPr>
              <w:pStyle w:val="11"/>
            </w:pPr>
          </w:p>
        </w:tc>
        <w:tc>
          <w:tcPr>
            <w:tcW w:w="1474" w:type="dxa"/>
            <w:vAlign w:val="center"/>
          </w:tcPr>
          <w:p w14:paraId="1002DB70">
            <w:pPr>
              <w:pStyle w:val="11"/>
            </w:pPr>
          </w:p>
        </w:tc>
        <w:tc>
          <w:tcPr>
            <w:tcW w:w="1474" w:type="dxa"/>
            <w:vAlign w:val="center"/>
          </w:tcPr>
          <w:p w14:paraId="41F4978F">
            <w:pPr>
              <w:pStyle w:val="11"/>
            </w:pPr>
          </w:p>
        </w:tc>
        <w:tc>
          <w:tcPr>
            <w:tcW w:w="1474" w:type="dxa"/>
            <w:vAlign w:val="center"/>
          </w:tcPr>
          <w:p w14:paraId="07E043B5">
            <w:pPr>
              <w:pStyle w:val="11"/>
            </w:pPr>
          </w:p>
        </w:tc>
      </w:tr>
      <w:tr w14:paraId="6B83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BD9E1">
            <w:pPr>
              <w:pStyle w:val="13"/>
            </w:pPr>
            <w:r>
              <w:t>26</w:t>
            </w:r>
          </w:p>
        </w:tc>
        <w:tc>
          <w:tcPr>
            <w:tcW w:w="3402" w:type="dxa"/>
            <w:vAlign w:val="center"/>
          </w:tcPr>
          <w:p w14:paraId="3DD2488F">
            <w:pPr>
              <w:pStyle w:val="12"/>
            </w:pPr>
          </w:p>
        </w:tc>
        <w:tc>
          <w:tcPr>
            <w:tcW w:w="1474" w:type="dxa"/>
            <w:vAlign w:val="center"/>
          </w:tcPr>
          <w:p w14:paraId="5342C800">
            <w:pPr>
              <w:pStyle w:val="11"/>
            </w:pPr>
          </w:p>
        </w:tc>
        <w:tc>
          <w:tcPr>
            <w:tcW w:w="3402" w:type="dxa"/>
            <w:vAlign w:val="center"/>
          </w:tcPr>
          <w:p w14:paraId="0E648571">
            <w:pPr>
              <w:pStyle w:val="12"/>
            </w:pPr>
            <w:r>
              <w:t>二十六、转移性支出</w:t>
            </w:r>
          </w:p>
        </w:tc>
        <w:tc>
          <w:tcPr>
            <w:tcW w:w="1474" w:type="dxa"/>
            <w:vAlign w:val="center"/>
          </w:tcPr>
          <w:p w14:paraId="26CD79D8">
            <w:pPr>
              <w:pStyle w:val="11"/>
            </w:pPr>
          </w:p>
        </w:tc>
        <w:tc>
          <w:tcPr>
            <w:tcW w:w="1474" w:type="dxa"/>
            <w:vAlign w:val="center"/>
          </w:tcPr>
          <w:p w14:paraId="055A258F">
            <w:pPr>
              <w:pStyle w:val="11"/>
            </w:pPr>
          </w:p>
        </w:tc>
        <w:tc>
          <w:tcPr>
            <w:tcW w:w="1474" w:type="dxa"/>
            <w:vAlign w:val="center"/>
          </w:tcPr>
          <w:p w14:paraId="71592167">
            <w:pPr>
              <w:pStyle w:val="11"/>
            </w:pPr>
          </w:p>
        </w:tc>
        <w:tc>
          <w:tcPr>
            <w:tcW w:w="1474" w:type="dxa"/>
            <w:vAlign w:val="center"/>
          </w:tcPr>
          <w:p w14:paraId="67F653FD">
            <w:pPr>
              <w:pStyle w:val="11"/>
            </w:pPr>
          </w:p>
        </w:tc>
      </w:tr>
      <w:tr w14:paraId="1F913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3F74E">
            <w:pPr>
              <w:pStyle w:val="13"/>
            </w:pPr>
            <w:r>
              <w:t>27</w:t>
            </w:r>
          </w:p>
        </w:tc>
        <w:tc>
          <w:tcPr>
            <w:tcW w:w="3402" w:type="dxa"/>
            <w:vAlign w:val="center"/>
          </w:tcPr>
          <w:p w14:paraId="488C78B7">
            <w:pPr>
              <w:pStyle w:val="12"/>
            </w:pPr>
          </w:p>
        </w:tc>
        <w:tc>
          <w:tcPr>
            <w:tcW w:w="1474" w:type="dxa"/>
            <w:vAlign w:val="center"/>
          </w:tcPr>
          <w:p w14:paraId="3E98662E">
            <w:pPr>
              <w:pStyle w:val="11"/>
            </w:pPr>
          </w:p>
        </w:tc>
        <w:tc>
          <w:tcPr>
            <w:tcW w:w="3402" w:type="dxa"/>
            <w:vAlign w:val="center"/>
          </w:tcPr>
          <w:p w14:paraId="0AF86EDA">
            <w:pPr>
              <w:pStyle w:val="12"/>
            </w:pPr>
            <w:r>
              <w:t>二十七、债务还本支出</w:t>
            </w:r>
          </w:p>
        </w:tc>
        <w:tc>
          <w:tcPr>
            <w:tcW w:w="1474" w:type="dxa"/>
            <w:vAlign w:val="center"/>
          </w:tcPr>
          <w:p w14:paraId="2BE2B172">
            <w:pPr>
              <w:pStyle w:val="11"/>
            </w:pPr>
          </w:p>
        </w:tc>
        <w:tc>
          <w:tcPr>
            <w:tcW w:w="1474" w:type="dxa"/>
            <w:vAlign w:val="center"/>
          </w:tcPr>
          <w:p w14:paraId="5089D72A">
            <w:pPr>
              <w:pStyle w:val="11"/>
            </w:pPr>
          </w:p>
        </w:tc>
        <w:tc>
          <w:tcPr>
            <w:tcW w:w="1474" w:type="dxa"/>
            <w:vAlign w:val="center"/>
          </w:tcPr>
          <w:p w14:paraId="75672E46">
            <w:pPr>
              <w:pStyle w:val="11"/>
            </w:pPr>
          </w:p>
        </w:tc>
        <w:tc>
          <w:tcPr>
            <w:tcW w:w="1474" w:type="dxa"/>
            <w:vAlign w:val="center"/>
          </w:tcPr>
          <w:p w14:paraId="3FA437AA">
            <w:pPr>
              <w:pStyle w:val="11"/>
            </w:pPr>
          </w:p>
        </w:tc>
      </w:tr>
      <w:tr w14:paraId="1B8F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CAF0">
            <w:pPr>
              <w:pStyle w:val="13"/>
            </w:pPr>
            <w:r>
              <w:t>28</w:t>
            </w:r>
          </w:p>
        </w:tc>
        <w:tc>
          <w:tcPr>
            <w:tcW w:w="3402" w:type="dxa"/>
            <w:vAlign w:val="center"/>
          </w:tcPr>
          <w:p w14:paraId="2399BC09">
            <w:pPr>
              <w:pStyle w:val="12"/>
            </w:pPr>
          </w:p>
        </w:tc>
        <w:tc>
          <w:tcPr>
            <w:tcW w:w="1474" w:type="dxa"/>
            <w:vAlign w:val="center"/>
          </w:tcPr>
          <w:p w14:paraId="31D26333">
            <w:pPr>
              <w:pStyle w:val="11"/>
            </w:pPr>
          </w:p>
        </w:tc>
        <w:tc>
          <w:tcPr>
            <w:tcW w:w="3402" w:type="dxa"/>
            <w:vAlign w:val="center"/>
          </w:tcPr>
          <w:p w14:paraId="1052FCDE">
            <w:pPr>
              <w:pStyle w:val="12"/>
            </w:pPr>
            <w:r>
              <w:t>二十八、债务付息支出</w:t>
            </w:r>
          </w:p>
        </w:tc>
        <w:tc>
          <w:tcPr>
            <w:tcW w:w="1474" w:type="dxa"/>
            <w:vAlign w:val="center"/>
          </w:tcPr>
          <w:p w14:paraId="3E9E7B9B">
            <w:pPr>
              <w:pStyle w:val="11"/>
            </w:pPr>
          </w:p>
        </w:tc>
        <w:tc>
          <w:tcPr>
            <w:tcW w:w="1474" w:type="dxa"/>
            <w:vAlign w:val="center"/>
          </w:tcPr>
          <w:p w14:paraId="23C9AD08">
            <w:pPr>
              <w:pStyle w:val="11"/>
            </w:pPr>
          </w:p>
        </w:tc>
        <w:tc>
          <w:tcPr>
            <w:tcW w:w="1474" w:type="dxa"/>
            <w:vAlign w:val="center"/>
          </w:tcPr>
          <w:p w14:paraId="28015ABA">
            <w:pPr>
              <w:pStyle w:val="11"/>
            </w:pPr>
          </w:p>
        </w:tc>
        <w:tc>
          <w:tcPr>
            <w:tcW w:w="1474" w:type="dxa"/>
            <w:vAlign w:val="center"/>
          </w:tcPr>
          <w:p w14:paraId="1F0C2B51">
            <w:pPr>
              <w:pStyle w:val="11"/>
            </w:pPr>
          </w:p>
        </w:tc>
      </w:tr>
      <w:tr w14:paraId="68D88E33">
        <w:tblPrEx>
          <w:tblCellMar>
            <w:top w:w="0" w:type="dxa"/>
            <w:left w:w="108" w:type="dxa"/>
            <w:bottom w:w="0" w:type="dxa"/>
            <w:right w:w="108" w:type="dxa"/>
          </w:tblCellMar>
        </w:tblPrEx>
        <w:trPr>
          <w:trHeight w:val="369" w:hRule="atLeast"/>
          <w:jc w:val="center"/>
        </w:trPr>
        <w:tc>
          <w:tcPr>
            <w:tcW w:w="850" w:type="dxa"/>
            <w:vAlign w:val="center"/>
          </w:tcPr>
          <w:p w14:paraId="5252A380">
            <w:pPr>
              <w:pStyle w:val="13"/>
            </w:pPr>
            <w:r>
              <w:t>29</w:t>
            </w:r>
          </w:p>
        </w:tc>
        <w:tc>
          <w:tcPr>
            <w:tcW w:w="3402" w:type="dxa"/>
            <w:vAlign w:val="center"/>
          </w:tcPr>
          <w:p w14:paraId="216C4018">
            <w:pPr>
              <w:pStyle w:val="12"/>
            </w:pPr>
          </w:p>
        </w:tc>
        <w:tc>
          <w:tcPr>
            <w:tcW w:w="1474" w:type="dxa"/>
            <w:vAlign w:val="center"/>
          </w:tcPr>
          <w:p w14:paraId="7FE40FF9">
            <w:pPr>
              <w:pStyle w:val="11"/>
            </w:pPr>
          </w:p>
        </w:tc>
        <w:tc>
          <w:tcPr>
            <w:tcW w:w="3402" w:type="dxa"/>
            <w:vAlign w:val="center"/>
          </w:tcPr>
          <w:p w14:paraId="5C5A3781">
            <w:pPr>
              <w:pStyle w:val="12"/>
            </w:pPr>
            <w:r>
              <w:t>二十九、债务发行费用支出</w:t>
            </w:r>
          </w:p>
        </w:tc>
        <w:tc>
          <w:tcPr>
            <w:tcW w:w="1474" w:type="dxa"/>
            <w:vAlign w:val="center"/>
          </w:tcPr>
          <w:p w14:paraId="50631834">
            <w:pPr>
              <w:pStyle w:val="11"/>
            </w:pPr>
          </w:p>
        </w:tc>
        <w:tc>
          <w:tcPr>
            <w:tcW w:w="1474" w:type="dxa"/>
            <w:vAlign w:val="center"/>
          </w:tcPr>
          <w:p w14:paraId="2336DA6C">
            <w:pPr>
              <w:pStyle w:val="11"/>
            </w:pPr>
          </w:p>
        </w:tc>
        <w:tc>
          <w:tcPr>
            <w:tcW w:w="1474" w:type="dxa"/>
            <w:vAlign w:val="center"/>
          </w:tcPr>
          <w:p w14:paraId="60044FC1">
            <w:pPr>
              <w:pStyle w:val="11"/>
            </w:pPr>
          </w:p>
        </w:tc>
        <w:tc>
          <w:tcPr>
            <w:tcW w:w="1474" w:type="dxa"/>
            <w:vAlign w:val="center"/>
          </w:tcPr>
          <w:p w14:paraId="070EBE5E">
            <w:pPr>
              <w:pStyle w:val="11"/>
            </w:pPr>
          </w:p>
        </w:tc>
      </w:tr>
      <w:tr w14:paraId="6C487723">
        <w:tblPrEx>
          <w:tblCellMar>
            <w:top w:w="0" w:type="dxa"/>
            <w:left w:w="108" w:type="dxa"/>
            <w:bottom w:w="0" w:type="dxa"/>
            <w:right w:w="108" w:type="dxa"/>
          </w:tblCellMar>
        </w:tblPrEx>
        <w:trPr>
          <w:trHeight w:val="369" w:hRule="atLeast"/>
          <w:jc w:val="center"/>
        </w:trPr>
        <w:tc>
          <w:tcPr>
            <w:tcW w:w="850" w:type="dxa"/>
            <w:vAlign w:val="center"/>
          </w:tcPr>
          <w:p w14:paraId="1DE1C896">
            <w:pPr>
              <w:pStyle w:val="13"/>
            </w:pPr>
            <w:r>
              <w:t>30</w:t>
            </w:r>
          </w:p>
        </w:tc>
        <w:tc>
          <w:tcPr>
            <w:tcW w:w="3402" w:type="dxa"/>
            <w:vAlign w:val="center"/>
          </w:tcPr>
          <w:p w14:paraId="7CC22D42">
            <w:pPr>
              <w:pStyle w:val="12"/>
            </w:pPr>
          </w:p>
        </w:tc>
        <w:tc>
          <w:tcPr>
            <w:tcW w:w="1474" w:type="dxa"/>
            <w:vAlign w:val="center"/>
          </w:tcPr>
          <w:p w14:paraId="0DF04C4A">
            <w:pPr>
              <w:pStyle w:val="11"/>
            </w:pPr>
          </w:p>
        </w:tc>
        <w:tc>
          <w:tcPr>
            <w:tcW w:w="3402" w:type="dxa"/>
            <w:vAlign w:val="center"/>
          </w:tcPr>
          <w:p w14:paraId="05FB0670">
            <w:pPr>
              <w:pStyle w:val="12"/>
            </w:pPr>
            <w:r>
              <w:t>三十、抗疫特别国债安排的支出</w:t>
            </w:r>
          </w:p>
        </w:tc>
        <w:tc>
          <w:tcPr>
            <w:tcW w:w="1474" w:type="dxa"/>
            <w:vAlign w:val="center"/>
          </w:tcPr>
          <w:p w14:paraId="0BF0A8FD">
            <w:pPr>
              <w:pStyle w:val="11"/>
            </w:pPr>
          </w:p>
        </w:tc>
        <w:tc>
          <w:tcPr>
            <w:tcW w:w="1474" w:type="dxa"/>
            <w:vAlign w:val="center"/>
          </w:tcPr>
          <w:p w14:paraId="1A6AAAE2">
            <w:pPr>
              <w:pStyle w:val="11"/>
            </w:pPr>
          </w:p>
        </w:tc>
        <w:tc>
          <w:tcPr>
            <w:tcW w:w="1474" w:type="dxa"/>
            <w:vAlign w:val="center"/>
          </w:tcPr>
          <w:p w14:paraId="3FB1C52E">
            <w:pPr>
              <w:pStyle w:val="11"/>
            </w:pPr>
          </w:p>
        </w:tc>
        <w:tc>
          <w:tcPr>
            <w:tcW w:w="1474" w:type="dxa"/>
            <w:vAlign w:val="center"/>
          </w:tcPr>
          <w:p w14:paraId="59712911">
            <w:pPr>
              <w:pStyle w:val="11"/>
            </w:pPr>
          </w:p>
        </w:tc>
      </w:tr>
      <w:tr w14:paraId="7CD7C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0E4E1">
            <w:pPr>
              <w:pStyle w:val="13"/>
            </w:pPr>
            <w:r>
              <w:t>31</w:t>
            </w:r>
          </w:p>
        </w:tc>
        <w:tc>
          <w:tcPr>
            <w:tcW w:w="3402" w:type="dxa"/>
            <w:vAlign w:val="center"/>
          </w:tcPr>
          <w:p w14:paraId="3CEAA46A">
            <w:pPr>
              <w:pStyle w:val="12"/>
            </w:pPr>
          </w:p>
        </w:tc>
        <w:tc>
          <w:tcPr>
            <w:tcW w:w="1474" w:type="dxa"/>
            <w:vAlign w:val="center"/>
          </w:tcPr>
          <w:p w14:paraId="6268D99F">
            <w:pPr>
              <w:pStyle w:val="11"/>
            </w:pPr>
          </w:p>
        </w:tc>
        <w:tc>
          <w:tcPr>
            <w:tcW w:w="3402" w:type="dxa"/>
            <w:vAlign w:val="center"/>
          </w:tcPr>
          <w:p w14:paraId="29107A50">
            <w:pPr>
              <w:pStyle w:val="12"/>
            </w:pPr>
            <w:r>
              <w:t>三十一、人行科目</w:t>
            </w:r>
          </w:p>
        </w:tc>
        <w:tc>
          <w:tcPr>
            <w:tcW w:w="1474" w:type="dxa"/>
            <w:vAlign w:val="center"/>
          </w:tcPr>
          <w:p w14:paraId="3F6A8DC1">
            <w:pPr>
              <w:pStyle w:val="11"/>
            </w:pPr>
          </w:p>
        </w:tc>
        <w:tc>
          <w:tcPr>
            <w:tcW w:w="1474" w:type="dxa"/>
            <w:vAlign w:val="center"/>
          </w:tcPr>
          <w:p w14:paraId="59CC234D">
            <w:pPr>
              <w:pStyle w:val="11"/>
            </w:pPr>
          </w:p>
        </w:tc>
        <w:tc>
          <w:tcPr>
            <w:tcW w:w="1474" w:type="dxa"/>
            <w:vAlign w:val="center"/>
          </w:tcPr>
          <w:p w14:paraId="44545F4C">
            <w:pPr>
              <w:pStyle w:val="11"/>
            </w:pPr>
          </w:p>
        </w:tc>
        <w:tc>
          <w:tcPr>
            <w:tcW w:w="1474" w:type="dxa"/>
            <w:vAlign w:val="center"/>
          </w:tcPr>
          <w:p w14:paraId="16EC317D">
            <w:pPr>
              <w:pStyle w:val="11"/>
            </w:pPr>
          </w:p>
        </w:tc>
      </w:tr>
      <w:tr w14:paraId="1696A610">
        <w:tblPrEx>
          <w:tblCellMar>
            <w:top w:w="0" w:type="dxa"/>
            <w:left w:w="108" w:type="dxa"/>
            <w:bottom w:w="0" w:type="dxa"/>
            <w:right w:w="108" w:type="dxa"/>
          </w:tblCellMar>
        </w:tblPrEx>
        <w:trPr>
          <w:trHeight w:val="369" w:hRule="atLeast"/>
          <w:jc w:val="center"/>
        </w:trPr>
        <w:tc>
          <w:tcPr>
            <w:tcW w:w="850" w:type="dxa"/>
            <w:vAlign w:val="center"/>
          </w:tcPr>
          <w:p w14:paraId="07A03183">
            <w:pPr>
              <w:pStyle w:val="13"/>
            </w:pPr>
            <w:r>
              <w:t>32</w:t>
            </w:r>
          </w:p>
        </w:tc>
        <w:tc>
          <w:tcPr>
            <w:tcW w:w="3402" w:type="dxa"/>
            <w:vAlign w:val="center"/>
          </w:tcPr>
          <w:p w14:paraId="4A7803D2">
            <w:pPr>
              <w:pStyle w:val="14"/>
            </w:pPr>
            <w:r>
              <w:t>本年收入合计</w:t>
            </w:r>
          </w:p>
        </w:tc>
        <w:tc>
          <w:tcPr>
            <w:tcW w:w="1474" w:type="dxa"/>
            <w:vAlign w:val="center"/>
          </w:tcPr>
          <w:p w14:paraId="523C75A8">
            <w:pPr>
              <w:pStyle w:val="15"/>
            </w:pPr>
            <w:r>
              <w:t>2725.47</w:t>
            </w:r>
          </w:p>
        </w:tc>
        <w:tc>
          <w:tcPr>
            <w:tcW w:w="3402" w:type="dxa"/>
            <w:vAlign w:val="center"/>
          </w:tcPr>
          <w:p w14:paraId="1E020E8B">
            <w:pPr>
              <w:pStyle w:val="14"/>
            </w:pPr>
            <w:r>
              <w:t>本年支出合计</w:t>
            </w:r>
          </w:p>
        </w:tc>
        <w:tc>
          <w:tcPr>
            <w:tcW w:w="1474" w:type="dxa"/>
            <w:vAlign w:val="center"/>
          </w:tcPr>
          <w:p w14:paraId="62B9AACE">
            <w:pPr>
              <w:pStyle w:val="15"/>
            </w:pPr>
            <w:r>
              <w:t>2725.47</w:t>
            </w:r>
          </w:p>
        </w:tc>
        <w:tc>
          <w:tcPr>
            <w:tcW w:w="1474" w:type="dxa"/>
            <w:vAlign w:val="center"/>
          </w:tcPr>
          <w:p w14:paraId="4EECF0E2">
            <w:pPr>
              <w:pStyle w:val="15"/>
            </w:pPr>
            <w:r>
              <w:t>2725.47</w:t>
            </w:r>
          </w:p>
        </w:tc>
        <w:tc>
          <w:tcPr>
            <w:tcW w:w="1474" w:type="dxa"/>
            <w:vAlign w:val="center"/>
          </w:tcPr>
          <w:p w14:paraId="7506352A">
            <w:pPr>
              <w:pStyle w:val="15"/>
            </w:pPr>
          </w:p>
        </w:tc>
        <w:tc>
          <w:tcPr>
            <w:tcW w:w="1474" w:type="dxa"/>
            <w:vAlign w:val="center"/>
          </w:tcPr>
          <w:p w14:paraId="15FB4028">
            <w:pPr>
              <w:pStyle w:val="15"/>
            </w:pPr>
          </w:p>
        </w:tc>
      </w:tr>
      <w:tr w14:paraId="58F7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95D5B">
            <w:pPr>
              <w:pStyle w:val="13"/>
            </w:pPr>
            <w:r>
              <w:t>33</w:t>
            </w:r>
          </w:p>
        </w:tc>
        <w:tc>
          <w:tcPr>
            <w:tcW w:w="3402" w:type="dxa"/>
            <w:vAlign w:val="center"/>
          </w:tcPr>
          <w:p w14:paraId="78A94071">
            <w:pPr>
              <w:pStyle w:val="12"/>
            </w:pPr>
            <w:r>
              <w:t>年初财政拨款结转和结余</w:t>
            </w:r>
          </w:p>
        </w:tc>
        <w:tc>
          <w:tcPr>
            <w:tcW w:w="1474" w:type="dxa"/>
            <w:vAlign w:val="center"/>
          </w:tcPr>
          <w:p w14:paraId="74E36E35">
            <w:pPr>
              <w:pStyle w:val="11"/>
            </w:pPr>
          </w:p>
        </w:tc>
        <w:tc>
          <w:tcPr>
            <w:tcW w:w="3402" w:type="dxa"/>
            <w:vAlign w:val="center"/>
          </w:tcPr>
          <w:p w14:paraId="7DAF5A7F">
            <w:pPr>
              <w:pStyle w:val="12"/>
            </w:pPr>
            <w:r>
              <w:t>年末财政拨款结转和结余</w:t>
            </w:r>
          </w:p>
        </w:tc>
        <w:tc>
          <w:tcPr>
            <w:tcW w:w="1474" w:type="dxa"/>
            <w:vAlign w:val="center"/>
          </w:tcPr>
          <w:p w14:paraId="6A299543">
            <w:pPr>
              <w:pStyle w:val="11"/>
            </w:pPr>
          </w:p>
        </w:tc>
        <w:tc>
          <w:tcPr>
            <w:tcW w:w="1474" w:type="dxa"/>
            <w:vAlign w:val="center"/>
          </w:tcPr>
          <w:p w14:paraId="3108F412">
            <w:pPr>
              <w:pStyle w:val="11"/>
            </w:pPr>
          </w:p>
        </w:tc>
        <w:tc>
          <w:tcPr>
            <w:tcW w:w="1474" w:type="dxa"/>
            <w:vAlign w:val="center"/>
          </w:tcPr>
          <w:p w14:paraId="46F40B11">
            <w:pPr>
              <w:pStyle w:val="11"/>
            </w:pPr>
          </w:p>
        </w:tc>
        <w:tc>
          <w:tcPr>
            <w:tcW w:w="1474" w:type="dxa"/>
            <w:vAlign w:val="center"/>
          </w:tcPr>
          <w:p w14:paraId="02763B20">
            <w:pPr>
              <w:pStyle w:val="11"/>
            </w:pPr>
          </w:p>
        </w:tc>
      </w:tr>
      <w:tr w14:paraId="718F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7734C">
            <w:pPr>
              <w:pStyle w:val="13"/>
            </w:pPr>
            <w:r>
              <w:t>34</w:t>
            </w:r>
          </w:p>
        </w:tc>
        <w:tc>
          <w:tcPr>
            <w:tcW w:w="3402" w:type="dxa"/>
            <w:vAlign w:val="center"/>
          </w:tcPr>
          <w:p w14:paraId="69D45D4F">
            <w:pPr>
              <w:pStyle w:val="12"/>
            </w:pPr>
            <w:r>
              <w:t>一、一般公共预算拨款</w:t>
            </w:r>
          </w:p>
        </w:tc>
        <w:tc>
          <w:tcPr>
            <w:tcW w:w="1474" w:type="dxa"/>
            <w:vAlign w:val="center"/>
          </w:tcPr>
          <w:p w14:paraId="74929F61">
            <w:pPr>
              <w:pStyle w:val="11"/>
            </w:pPr>
          </w:p>
        </w:tc>
        <w:tc>
          <w:tcPr>
            <w:tcW w:w="3402" w:type="dxa"/>
            <w:vAlign w:val="center"/>
          </w:tcPr>
          <w:p w14:paraId="3230C0F7">
            <w:pPr>
              <w:pStyle w:val="12"/>
            </w:pPr>
          </w:p>
        </w:tc>
        <w:tc>
          <w:tcPr>
            <w:tcW w:w="1474" w:type="dxa"/>
            <w:vAlign w:val="center"/>
          </w:tcPr>
          <w:p w14:paraId="1A0D408B">
            <w:pPr>
              <w:pStyle w:val="11"/>
            </w:pPr>
          </w:p>
        </w:tc>
        <w:tc>
          <w:tcPr>
            <w:tcW w:w="1474" w:type="dxa"/>
            <w:vAlign w:val="center"/>
          </w:tcPr>
          <w:p w14:paraId="628D46FE">
            <w:pPr>
              <w:pStyle w:val="11"/>
            </w:pPr>
          </w:p>
        </w:tc>
        <w:tc>
          <w:tcPr>
            <w:tcW w:w="1474" w:type="dxa"/>
            <w:vAlign w:val="center"/>
          </w:tcPr>
          <w:p w14:paraId="1487C259">
            <w:pPr>
              <w:pStyle w:val="11"/>
            </w:pPr>
          </w:p>
        </w:tc>
        <w:tc>
          <w:tcPr>
            <w:tcW w:w="1474" w:type="dxa"/>
            <w:vAlign w:val="center"/>
          </w:tcPr>
          <w:p w14:paraId="692B049B">
            <w:pPr>
              <w:pStyle w:val="11"/>
            </w:pPr>
          </w:p>
        </w:tc>
      </w:tr>
      <w:tr w14:paraId="3965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D33F3">
            <w:pPr>
              <w:pStyle w:val="13"/>
            </w:pPr>
            <w:r>
              <w:t>35</w:t>
            </w:r>
          </w:p>
        </w:tc>
        <w:tc>
          <w:tcPr>
            <w:tcW w:w="3402" w:type="dxa"/>
            <w:vAlign w:val="center"/>
          </w:tcPr>
          <w:p w14:paraId="4506BB02">
            <w:pPr>
              <w:pStyle w:val="12"/>
            </w:pPr>
            <w:r>
              <w:t>二、政府性基金预算拨款</w:t>
            </w:r>
          </w:p>
        </w:tc>
        <w:tc>
          <w:tcPr>
            <w:tcW w:w="1474" w:type="dxa"/>
            <w:vAlign w:val="center"/>
          </w:tcPr>
          <w:p w14:paraId="53ACE2BB">
            <w:pPr>
              <w:pStyle w:val="11"/>
            </w:pPr>
          </w:p>
        </w:tc>
        <w:tc>
          <w:tcPr>
            <w:tcW w:w="3402" w:type="dxa"/>
            <w:vAlign w:val="center"/>
          </w:tcPr>
          <w:p w14:paraId="7DCA494A">
            <w:pPr>
              <w:pStyle w:val="12"/>
            </w:pPr>
          </w:p>
        </w:tc>
        <w:tc>
          <w:tcPr>
            <w:tcW w:w="1474" w:type="dxa"/>
            <w:vAlign w:val="center"/>
          </w:tcPr>
          <w:p w14:paraId="2BCC430F">
            <w:pPr>
              <w:pStyle w:val="11"/>
            </w:pPr>
          </w:p>
        </w:tc>
        <w:tc>
          <w:tcPr>
            <w:tcW w:w="1474" w:type="dxa"/>
            <w:vAlign w:val="center"/>
          </w:tcPr>
          <w:p w14:paraId="46266D4C">
            <w:pPr>
              <w:pStyle w:val="11"/>
            </w:pPr>
          </w:p>
        </w:tc>
        <w:tc>
          <w:tcPr>
            <w:tcW w:w="1474" w:type="dxa"/>
            <w:vAlign w:val="center"/>
          </w:tcPr>
          <w:p w14:paraId="143497C0">
            <w:pPr>
              <w:pStyle w:val="11"/>
            </w:pPr>
          </w:p>
        </w:tc>
        <w:tc>
          <w:tcPr>
            <w:tcW w:w="1474" w:type="dxa"/>
            <w:vAlign w:val="center"/>
          </w:tcPr>
          <w:p w14:paraId="4AD3B2F6">
            <w:pPr>
              <w:pStyle w:val="11"/>
            </w:pPr>
          </w:p>
        </w:tc>
      </w:tr>
      <w:tr w14:paraId="6BCA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D74F">
            <w:pPr>
              <w:pStyle w:val="13"/>
            </w:pPr>
            <w:r>
              <w:t>36</w:t>
            </w:r>
          </w:p>
        </w:tc>
        <w:tc>
          <w:tcPr>
            <w:tcW w:w="3402" w:type="dxa"/>
            <w:vAlign w:val="center"/>
          </w:tcPr>
          <w:p w14:paraId="3BC3C48D">
            <w:pPr>
              <w:pStyle w:val="12"/>
            </w:pPr>
            <w:r>
              <w:t>三、国有资本经营预算拨款</w:t>
            </w:r>
          </w:p>
        </w:tc>
        <w:tc>
          <w:tcPr>
            <w:tcW w:w="1474" w:type="dxa"/>
            <w:vAlign w:val="center"/>
          </w:tcPr>
          <w:p w14:paraId="74AF2017">
            <w:pPr>
              <w:pStyle w:val="11"/>
            </w:pPr>
          </w:p>
        </w:tc>
        <w:tc>
          <w:tcPr>
            <w:tcW w:w="3402" w:type="dxa"/>
            <w:vAlign w:val="center"/>
          </w:tcPr>
          <w:p w14:paraId="789F7552">
            <w:pPr>
              <w:pStyle w:val="12"/>
            </w:pPr>
          </w:p>
        </w:tc>
        <w:tc>
          <w:tcPr>
            <w:tcW w:w="1474" w:type="dxa"/>
            <w:vAlign w:val="center"/>
          </w:tcPr>
          <w:p w14:paraId="2173BEF6">
            <w:pPr>
              <w:pStyle w:val="11"/>
            </w:pPr>
          </w:p>
        </w:tc>
        <w:tc>
          <w:tcPr>
            <w:tcW w:w="1474" w:type="dxa"/>
            <w:vAlign w:val="center"/>
          </w:tcPr>
          <w:p w14:paraId="0B634AEF">
            <w:pPr>
              <w:pStyle w:val="11"/>
            </w:pPr>
          </w:p>
        </w:tc>
        <w:tc>
          <w:tcPr>
            <w:tcW w:w="1474" w:type="dxa"/>
            <w:vAlign w:val="center"/>
          </w:tcPr>
          <w:p w14:paraId="12E5B103">
            <w:pPr>
              <w:pStyle w:val="11"/>
            </w:pPr>
          </w:p>
        </w:tc>
        <w:tc>
          <w:tcPr>
            <w:tcW w:w="1474" w:type="dxa"/>
            <w:vAlign w:val="center"/>
          </w:tcPr>
          <w:p w14:paraId="68B0379C">
            <w:pPr>
              <w:pStyle w:val="11"/>
            </w:pPr>
          </w:p>
        </w:tc>
      </w:tr>
      <w:tr w14:paraId="56D1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70D50">
            <w:pPr>
              <w:pStyle w:val="13"/>
            </w:pPr>
            <w:r>
              <w:t>37</w:t>
            </w:r>
          </w:p>
        </w:tc>
        <w:tc>
          <w:tcPr>
            <w:tcW w:w="3402" w:type="dxa"/>
            <w:vAlign w:val="center"/>
          </w:tcPr>
          <w:p w14:paraId="1C3AEAC1">
            <w:pPr>
              <w:pStyle w:val="14"/>
            </w:pPr>
            <w:r>
              <w:t>收入总计</w:t>
            </w:r>
          </w:p>
        </w:tc>
        <w:tc>
          <w:tcPr>
            <w:tcW w:w="1474" w:type="dxa"/>
            <w:vAlign w:val="center"/>
          </w:tcPr>
          <w:p w14:paraId="568BFC63">
            <w:pPr>
              <w:pStyle w:val="15"/>
            </w:pPr>
            <w:r>
              <w:t>2725.47</w:t>
            </w:r>
          </w:p>
        </w:tc>
        <w:tc>
          <w:tcPr>
            <w:tcW w:w="3402" w:type="dxa"/>
            <w:vAlign w:val="center"/>
          </w:tcPr>
          <w:p w14:paraId="38C53838">
            <w:pPr>
              <w:pStyle w:val="14"/>
            </w:pPr>
            <w:r>
              <w:t>支出总计</w:t>
            </w:r>
          </w:p>
        </w:tc>
        <w:tc>
          <w:tcPr>
            <w:tcW w:w="1474" w:type="dxa"/>
            <w:vAlign w:val="center"/>
          </w:tcPr>
          <w:p w14:paraId="36BBB4FF">
            <w:pPr>
              <w:pStyle w:val="15"/>
            </w:pPr>
            <w:r>
              <w:t>2725.47</w:t>
            </w:r>
          </w:p>
        </w:tc>
        <w:tc>
          <w:tcPr>
            <w:tcW w:w="1474" w:type="dxa"/>
            <w:vAlign w:val="center"/>
          </w:tcPr>
          <w:p w14:paraId="7D408119">
            <w:pPr>
              <w:pStyle w:val="15"/>
            </w:pPr>
            <w:r>
              <w:t>2725.47</w:t>
            </w:r>
          </w:p>
        </w:tc>
        <w:tc>
          <w:tcPr>
            <w:tcW w:w="1474" w:type="dxa"/>
            <w:vAlign w:val="center"/>
          </w:tcPr>
          <w:p w14:paraId="389A178D">
            <w:pPr>
              <w:pStyle w:val="15"/>
            </w:pPr>
          </w:p>
        </w:tc>
        <w:tc>
          <w:tcPr>
            <w:tcW w:w="1474" w:type="dxa"/>
            <w:vAlign w:val="center"/>
          </w:tcPr>
          <w:p w14:paraId="5B626370">
            <w:pPr>
              <w:pStyle w:val="15"/>
            </w:pPr>
          </w:p>
        </w:tc>
      </w:tr>
    </w:tbl>
    <w:p w14:paraId="055E5AE9">
      <w:pPr>
        <w:sectPr>
          <w:pgSz w:w="16840" w:h="11900" w:orient="landscape"/>
          <w:pgMar w:top="1361" w:right="1020" w:bottom="1134" w:left="1020" w:header="720" w:footer="720" w:gutter="0"/>
          <w:cols w:space="720" w:num="1"/>
        </w:sectPr>
      </w:pPr>
    </w:p>
    <w:p w14:paraId="45A5D0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4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916A5F">
            <w:pPr>
              <w:pStyle w:val="9"/>
            </w:pPr>
            <w:r>
              <w:t>360027隆尧县莲子镇校区</w:t>
            </w:r>
          </w:p>
        </w:tc>
        <w:tc>
          <w:tcPr>
            <w:tcW w:w="2551" w:type="dxa"/>
            <w:tcBorders>
              <w:top w:val="single" w:color="FFFFFF" w:sz="6" w:space="0"/>
              <w:left w:val="single" w:color="FFFFFF" w:sz="6" w:space="0"/>
              <w:right w:val="single" w:color="FFFFFF" w:sz="6" w:space="0"/>
            </w:tcBorders>
            <w:vAlign w:val="center"/>
          </w:tcPr>
          <w:p w14:paraId="5F50DD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0C8964">
            <w:pPr>
              <w:pStyle w:val="7"/>
            </w:pPr>
            <w:r>
              <w:t>单位：万元</w:t>
            </w:r>
          </w:p>
        </w:tc>
      </w:tr>
      <w:tr w14:paraId="1E10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A6E84">
            <w:pPr>
              <w:pStyle w:val="10"/>
            </w:pPr>
            <w:r>
              <w:t>序号</w:t>
            </w:r>
          </w:p>
        </w:tc>
        <w:tc>
          <w:tcPr>
            <w:tcW w:w="5726" w:type="dxa"/>
            <w:gridSpan w:val="2"/>
            <w:vAlign w:val="center"/>
          </w:tcPr>
          <w:p w14:paraId="703B2847">
            <w:pPr>
              <w:pStyle w:val="10"/>
            </w:pPr>
            <w:r>
              <w:t>功能分类科目</w:t>
            </w:r>
          </w:p>
        </w:tc>
        <w:tc>
          <w:tcPr>
            <w:tcW w:w="2551" w:type="dxa"/>
            <w:vMerge w:val="restart"/>
            <w:vAlign w:val="center"/>
          </w:tcPr>
          <w:p w14:paraId="09E8332F">
            <w:pPr>
              <w:pStyle w:val="10"/>
            </w:pPr>
            <w:r>
              <w:t>合计</w:t>
            </w:r>
          </w:p>
        </w:tc>
        <w:tc>
          <w:tcPr>
            <w:tcW w:w="2551" w:type="dxa"/>
            <w:vMerge w:val="restart"/>
            <w:vAlign w:val="center"/>
          </w:tcPr>
          <w:p w14:paraId="2B482AE4">
            <w:pPr>
              <w:pStyle w:val="10"/>
            </w:pPr>
            <w:r>
              <w:t>基本支出</w:t>
            </w:r>
          </w:p>
        </w:tc>
        <w:tc>
          <w:tcPr>
            <w:tcW w:w="2551" w:type="dxa"/>
            <w:vMerge w:val="restart"/>
            <w:vAlign w:val="center"/>
          </w:tcPr>
          <w:p w14:paraId="42E64920">
            <w:pPr>
              <w:pStyle w:val="10"/>
            </w:pPr>
            <w:r>
              <w:t>项目支出</w:t>
            </w:r>
          </w:p>
        </w:tc>
      </w:tr>
      <w:tr w14:paraId="7FDA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C20CA1"/>
        </w:tc>
        <w:tc>
          <w:tcPr>
            <w:tcW w:w="1191" w:type="dxa"/>
            <w:vAlign w:val="center"/>
          </w:tcPr>
          <w:p w14:paraId="416E39F3">
            <w:pPr>
              <w:pStyle w:val="10"/>
            </w:pPr>
            <w:r>
              <w:t>科目编码</w:t>
            </w:r>
          </w:p>
        </w:tc>
        <w:tc>
          <w:tcPr>
            <w:tcW w:w="4535" w:type="dxa"/>
            <w:vAlign w:val="center"/>
          </w:tcPr>
          <w:p w14:paraId="39A9736F">
            <w:pPr>
              <w:pStyle w:val="10"/>
            </w:pPr>
            <w:r>
              <w:t>科目名称</w:t>
            </w:r>
          </w:p>
        </w:tc>
        <w:tc>
          <w:tcPr>
            <w:tcW w:w="2551" w:type="dxa"/>
            <w:vMerge w:val="continue"/>
          </w:tcPr>
          <w:p w14:paraId="65A16FA6"/>
        </w:tc>
        <w:tc>
          <w:tcPr>
            <w:tcW w:w="2551" w:type="dxa"/>
            <w:vMerge w:val="continue"/>
          </w:tcPr>
          <w:p w14:paraId="040BA0F0"/>
        </w:tc>
        <w:tc>
          <w:tcPr>
            <w:tcW w:w="2551" w:type="dxa"/>
            <w:vMerge w:val="continue"/>
          </w:tcPr>
          <w:p w14:paraId="345C732A"/>
        </w:tc>
      </w:tr>
      <w:tr w14:paraId="49C9F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0594F">
            <w:pPr>
              <w:pStyle w:val="10"/>
            </w:pPr>
            <w:r>
              <w:t>栏次</w:t>
            </w:r>
          </w:p>
        </w:tc>
        <w:tc>
          <w:tcPr>
            <w:tcW w:w="1191" w:type="dxa"/>
            <w:vAlign w:val="center"/>
          </w:tcPr>
          <w:p w14:paraId="3F53C3A6">
            <w:pPr>
              <w:pStyle w:val="10"/>
            </w:pPr>
            <w:r>
              <w:t>1</w:t>
            </w:r>
          </w:p>
        </w:tc>
        <w:tc>
          <w:tcPr>
            <w:tcW w:w="4535" w:type="dxa"/>
            <w:vAlign w:val="center"/>
          </w:tcPr>
          <w:p w14:paraId="6E011A66">
            <w:pPr>
              <w:pStyle w:val="10"/>
            </w:pPr>
            <w:r>
              <w:t>2</w:t>
            </w:r>
          </w:p>
        </w:tc>
        <w:tc>
          <w:tcPr>
            <w:tcW w:w="2551" w:type="dxa"/>
            <w:vAlign w:val="center"/>
          </w:tcPr>
          <w:p w14:paraId="7889A858">
            <w:pPr>
              <w:pStyle w:val="10"/>
            </w:pPr>
            <w:r>
              <w:t>3</w:t>
            </w:r>
          </w:p>
        </w:tc>
        <w:tc>
          <w:tcPr>
            <w:tcW w:w="2551" w:type="dxa"/>
            <w:vAlign w:val="center"/>
          </w:tcPr>
          <w:p w14:paraId="2E389DE7">
            <w:pPr>
              <w:pStyle w:val="10"/>
            </w:pPr>
            <w:r>
              <w:t>4</w:t>
            </w:r>
          </w:p>
        </w:tc>
        <w:tc>
          <w:tcPr>
            <w:tcW w:w="2551" w:type="dxa"/>
            <w:vAlign w:val="center"/>
          </w:tcPr>
          <w:p w14:paraId="36984653">
            <w:pPr>
              <w:pStyle w:val="10"/>
            </w:pPr>
            <w:r>
              <w:t>5</w:t>
            </w:r>
          </w:p>
        </w:tc>
      </w:tr>
      <w:tr w14:paraId="6394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BF281">
            <w:pPr>
              <w:pStyle w:val="13"/>
            </w:pPr>
            <w:r>
              <w:t>1</w:t>
            </w:r>
          </w:p>
        </w:tc>
        <w:tc>
          <w:tcPr>
            <w:tcW w:w="1191" w:type="dxa"/>
            <w:vAlign w:val="center"/>
          </w:tcPr>
          <w:p w14:paraId="54D21620">
            <w:pPr>
              <w:pStyle w:val="16"/>
            </w:pPr>
          </w:p>
        </w:tc>
        <w:tc>
          <w:tcPr>
            <w:tcW w:w="4535" w:type="dxa"/>
            <w:vAlign w:val="center"/>
          </w:tcPr>
          <w:p w14:paraId="1E851DBC">
            <w:pPr>
              <w:pStyle w:val="14"/>
            </w:pPr>
            <w:r>
              <w:t>合计</w:t>
            </w:r>
          </w:p>
        </w:tc>
        <w:tc>
          <w:tcPr>
            <w:tcW w:w="2551" w:type="dxa"/>
            <w:vAlign w:val="center"/>
          </w:tcPr>
          <w:p w14:paraId="175DD70C">
            <w:pPr>
              <w:pStyle w:val="15"/>
            </w:pPr>
            <w:r>
              <w:t>2725.47</w:t>
            </w:r>
          </w:p>
        </w:tc>
        <w:tc>
          <w:tcPr>
            <w:tcW w:w="2551" w:type="dxa"/>
            <w:vAlign w:val="center"/>
          </w:tcPr>
          <w:p w14:paraId="79E1E562">
            <w:pPr>
              <w:pStyle w:val="15"/>
            </w:pPr>
            <w:r>
              <w:t>2162.20</w:t>
            </w:r>
          </w:p>
        </w:tc>
        <w:tc>
          <w:tcPr>
            <w:tcW w:w="2551" w:type="dxa"/>
            <w:vAlign w:val="center"/>
          </w:tcPr>
          <w:p w14:paraId="10FA0C0D">
            <w:pPr>
              <w:pStyle w:val="15"/>
            </w:pPr>
            <w:r>
              <w:t>563.27</w:t>
            </w:r>
          </w:p>
        </w:tc>
      </w:tr>
      <w:tr w14:paraId="6AB1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E95CB">
            <w:pPr>
              <w:pStyle w:val="13"/>
            </w:pPr>
            <w:r>
              <w:t>2</w:t>
            </w:r>
          </w:p>
        </w:tc>
        <w:tc>
          <w:tcPr>
            <w:tcW w:w="1191" w:type="dxa"/>
            <w:vAlign w:val="center"/>
          </w:tcPr>
          <w:p w14:paraId="596F4B2E">
            <w:pPr>
              <w:pStyle w:val="12"/>
            </w:pPr>
            <w:r>
              <w:t>205</w:t>
            </w:r>
          </w:p>
        </w:tc>
        <w:tc>
          <w:tcPr>
            <w:tcW w:w="4535" w:type="dxa"/>
            <w:vAlign w:val="center"/>
          </w:tcPr>
          <w:p w14:paraId="19CF27AB">
            <w:pPr>
              <w:pStyle w:val="12"/>
            </w:pPr>
            <w:r>
              <w:t>教育支出</w:t>
            </w:r>
          </w:p>
        </w:tc>
        <w:tc>
          <w:tcPr>
            <w:tcW w:w="2551" w:type="dxa"/>
            <w:vAlign w:val="center"/>
          </w:tcPr>
          <w:p w14:paraId="6F693F12">
            <w:pPr>
              <w:pStyle w:val="11"/>
            </w:pPr>
            <w:r>
              <w:t>2725.47</w:t>
            </w:r>
          </w:p>
        </w:tc>
        <w:tc>
          <w:tcPr>
            <w:tcW w:w="2551" w:type="dxa"/>
            <w:vAlign w:val="center"/>
          </w:tcPr>
          <w:p w14:paraId="60CF66EA">
            <w:pPr>
              <w:pStyle w:val="11"/>
            </w:pPr>
            <w:r>
              <w:t>2162.20</w:t>
            </w:r>
          </w:p>
        </w:tc>
        <w:tc>
          <w:tcPr>
            <w:tcW w:w="2551" w:type="dxa"/>
            <w:vAlign w:val="center"/>
          </w:tcPr>
          <w:p w14:paraId="33951FE9">
            <w:pPr>
              <w:pStyle w:val="11"/>
            </w:pPr>
            <w:r>
              <w:t>563.27</w:t>
            </w:r>
          </w:p>
        </w:tc>
      </w:tr>
      <w:tr w14:paraId="62A1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E227A">
            <w:pPr>
              <w:pStyle w:val="13"/>
            </w:pPr>
            <w:r>
              <w:t>3</w:t>
            </w:r>
          </w:p>
        </w:tc>
        <w:tc>
          <w:tcPr>
            <w:tcW w:w="1191" w:type="dxa"/>
            <w:vAlign w:val="center"/>
          </w:tcPr>
          <w:p w14:paraId="7FE1960C">
            <w:pPr>
              <w:pStyle w:val="12"/>
            </w:pPr>
            <w:r>
              <w:t>20502</w:t>
            </w:r>
          </w:p>
        </w:tc>
        <w:tc>
          <w:tcPr>
            <w:tcW w:w="4535" w:type="dxa"/>
            <w:vAlign w:val="center"/>
          </w:tcPr>
          <w:p w14:paraId="116215C1">
            <w:pPr>
              <w:pStyle w:val="12"/>
            </w:pPr>
            <w:r>
              <w:t>普通教育</w:t>
            </w:r>
          </w:p>
        </w:tc>
        <w:tc>
          <w:tcPr>
            <w:tcW w:w="2551" w:type="dxa"/>
            <w:vAlign w:val="center"/>
          </w:tcPr>
          <w:p w14:paraId="407E85AD">
            <w:pPr>
              <w:pStyle w:val="11"/>
            </w:pPr>
            <w:r>
              <w:t>2725.47</w:t>
            </w:r>
          </w:p>
        </w:tc>
        <w:tc>
          <w:tcPr>
            <w:tcW w:w="2551" w:type="dxa"/>
            <w:vAlign w:val="center"/>
          </w:tcPr>
          <w:p w14:paraId="14037FFB">
            <w:pPr>
              <w:pStyle w:val="11"/>
            </w:pPr>
            <w:r>
              <w:t>2162.20</w:t>
            </w:r>
          </w:p>
        </w:tc>
        <w:tc>
          <w:tcPr>
            <w:tcW w:w="2551" w:type="dxa"/>
            <w:vAlign w:val="center"/>
          </w:tcPr>
          <w:p w14:paraId="60D456F1">
            <w:pPr>
              <w:pStyle w:val="11"/>
            </w:pPr>
            <w:r>
              <w:t>563.27</w:t>
            </w:r>
          </w:p>
        </w:tc>
      </w:tr>
      <w:tr w14:paraId="0C13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DFF7">
            <w:pPr>
              <w:pStyle w:val="13"/>
            </w:pPr>
            <w:r>
              <w:t>4</w:t>
            </w:r>
          </w:p>
        </w:tc>
        <w:tc>
          <w:tcPr>
            <w:tcW w:w="1191" w:type="dxa"/>
            <w:vAlign w:val="center"/>
          </w:tcPr>
          <w:p w14:paraId="475C3177">
            <w:pPr>
              <w:pStyle w:val="12"/>
            </w:pPr>
            <w:r>
              <w:t>2050201</w:t>
            </w:r>
          </w:p>
        </w:tc>
        <w:tc>
          <w:tcPr>
            <w:tcW w:w="4535" w:type="dxa"/>
            <w:vAlign w:val="center"/>
          </w:tcPr>
          <w:p w14:paraId="5426E359">
            <w:pPr>
              <w:pStyle w:val="12"/>
            </w:pPr>
            <w:r>
              <w:t>学前教育</w:t>
            </w:r>
          </w:p>
        </w:tc>
        <w:tc>
          <w:tcPr>
            <w:tcW w:w="2551" w:type="dxa"/>
            <w:vAlign w:val="center"/>
          </w:tcPr>
          <w:p w14:paraId="0030EB38">
            <w:pPr>
              <w:pStyle w:val="11"/>
            </w:pPr>
            <w:r>
              <w:t>351.25</w:t>
            </w:r>
          </w:p>
        </w:tc>
        <w:tc>
          <w:tcPr>
            <w:tcW w:w="2551" w:type="dxa"/>
            <w:vAlign w:val="center"/>
          </w:tcPr>
          <w:p w14:paraId="64363FF3">
            <w:pPr>
              <w:pStyle w:val="11"/>
            </w:pPr>
          </w:p>
        </w:tc>
        <w:tc>
          <w:tcPr>
            <w:tcW w:w="2551" w:type="dxa"/>
            <w:vAlign w:val="center"/>
          </w:tcPr>
          <w:p w14:paraId="5964BE3F">
            <w:pPr>
              <w:pStyle w:val="11"/>
            </w:pPr>
            <w:r>
              <w:t>351.25</w:t>
            </w:r>
          </w:p>
        </w:tc>
      </w:tr>
      <w:tr w14:paraId="2DB7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D17DE">
            <w:pPr>
              <w:pStyle w:val="13"/>
            </w:pPr>
            <w:r>
              <w:t>5</w:t>
            </w:r>
          </w:p>
        </w:tc>
        <w:tc>
          <w:tcPr>
            <w:tcW w:w="1191" w:type="dxa"/>
            <w:vAlign w:val="center"/>
          </w:tcPr>
          <w:p w14:paraId="26490310">
            <w:pPr>
              <w:pStyle w:val="12"/>
            </w:pPr>
            <w:r>
              <w:t>2050202</w:t>
            </w:r>
          </w:p>
        </w:tc>
        <w:tc>
          <w:tcPr>
            <w:tcW w:w="4535" w:type="dxa"/>
            <w:vAlign w:val="center"/>
          </w:tcPr>
          <w:p w14:paraId="46A08BEF">
            <w:pPr>
              <w:pStyle w:val="12"/>
            </w:pPr>
            <w:r>
              <w:t>小学教育</w:t>
            </w:r>
          </w:p>
        </w:tc>
        <w:tc>
          <w:tcPr>
            <w:tcW w:w="2551" w:type="dxa"/>
            <w:vAlign w:val="center"/>
          </w:tcPr>
          <w:p w14:paraId="48534A32">
            <w:pPr>
              <w:pStyle w:val="11"/>
            </w:pPr>
            <w:r>
              <w:t>2374.22</w:t>
            </w:r>
          </w:p>
        </w:tc>
        <w:tc>
          <w:tcPr>
            <w:tcW w:w="2551" w:type="dxa"/>
            <w:vAlign w:val="center"/>
          </w:tcPr>
          <w:p w14:paraId="5B7D5E60">
            <w:pPr>
              <w:pStyle w:val="11"/>
            </w:pPr>
            <w:r>
              <w:t>2162.20</w:t>
            </w:r>
          </w:p>
        </w:tc>
        <w:tc>
          <w:tcPr>
            <w:tcW w:w="2551" w:type="dxa"/>
            <w:vAlign w:val="center"/>
          </w:tcPr>
          <w:p w14:paraId="3BAA8628">
            <w:pPr>
              <w:pStyle w:val="11"/>
            </w:pPr>
            <w:r>
              <w:t>212.02</w:t>
            </w:r>
          </w:p>
        </w:tc>
      </w:tr>
    </w:tbl>
    <w:p w14:paraId="60778781">
      <w:pPr>
        <w:sectPr>
          <w:pgSz w:w="16840" w:h="11900" w:orient="landscape"/>
          <w:pgMar w:top="1361" w:right="1020" w:bottom="1134" w:left="1020" w:header="720" w:footer="720" w:gutter="0"/>
          <w:cols w:space="720" w:num="1"/>
        </w:sectPr>
      </w:pPr>
    </w:p>
    <w:p w14:paraId="67F41A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E9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D5323F">
            <w:pPr>
              <w:pStyle w:val="9"/>
            </w:pPr>
            <w:r>
              <w:t>360027隆尧县莲子镇校区</w:t>
            </w:r>
          </w:p>
        </w:tc>
        <w:tc>
          <w:tcPr>
            <w:tcW w:w="2551" w:type="dxa"/>
            <w:tcBorders>
              <w:top w:val="single" w:color="FFFFFF" w:sz="6" w:space="0"/>
              <w:left w:val="single" w:color="FFFFFF" w:sz="6" w:space="0"/>
              <w:right w:val="single" w:color="FFFFFF" w:sz="6" w:space="0"/>
            </w:tcBorders>
            <w:vAlign w:val="center"/>
          </w:tcPr>
          <w:p w14:paraId="08F880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8BD7BD">
            <w:pPr>
              <w:pStyle w:val="7"/>
            </w:pPr>
            <w:r>
              <w:t>单位：万元</w:t>
            </w:r>
          </w:p>
        </w:tc>
      </w:tr>
      <w:tr w14:paraId="1A0A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904F4F">
            <w:pPr>
              <w:pStyle w:val="10"/>
            </w:pPr>
            <w:r>
              <w:t>序号</w:t>
            </w:r>
          </w:p>
        </w:tc>
        <w:tc>
          <w:tcPr>
            <w:tcW w:w="5726" w:type="dxa"/>
            <w:gridSpan w:val="2"/>
            <w:vAlign w:val="center"/>
          </w:tcPr>
          <w:p w14:paraId="18A5F2B5">
            <w:pPr>
              <w:pStyle w:val="10"/>
            </w:pPr>
            <w:r>
              <w:t>支出部门经济分类科目</w:t>
            </w:r>
          </w:p>
        </w:tc>
        <w:tc>
          <w:tcPr>
            <w:tcW w:w="7653" w:type="dxa"/>
            <w:gridSpan w:val="3"/>
            <w:vAlign w:val="center"/>
          </w:tcPr>
          <w:p w14:paraId="621D9474">
            <w:pPr>
              <w:pStyle w:val="10"/>
            </w:pPr>
            <w:r>
              <w:t>一般公共预算基本支出</w:t>
            </w:r>
          </w:p>
        </w:tc>
      </w:tr>
      <w:tr w14:paraId="4ACCF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9E181"/>
        </w:tc>
        <w:tc>
          <w:tcPr>
            <w:tcW w:w="1191" w:type="dxa"/>
            <w:vAlign w:val="center"/>
          </w:tcPr>
          <w:p w14:paraId="369D5A1C">
            <w:pPr>
              <w:pStyle w:val="10"/>
            </w:pPr>
            <w:r>
              <w:t>科目编码</w:t>
            </w:r>
          </w:p>
        </w:tc>
        <w:tc>
          <w:tcPr>
            <w:tcW w:w="4535" w:type="dxa"/>
            <w:vAlign w:val="center"/>
          </w:tcPr>
          <w:p w14:paraId="70F9E9C6">
            <w:pPr>
              <w:pStyle w:val="10"/>
            </w:pPr>
            <w:r>
              <w:t>科目名称</w:t>
            </w:r>
          </w:p>
        </w:tc>
        <w:tc>
          <w:tcPr>
            <w:tcW w:w="2551" w:type="dxa"/>
            <w:vAlign w:val="center"/>
          </w:tcPr>
          <w:p w14:paraId="21218C86">
            <w:pPr>
              <w:pStyle w:val="10"/>
            </w:pPr>
            <w:r>
              <w:t>合计</w:t>
            </w:r>
          </w:p>
        </w:tc>
        <w:tc>
          <w:tcPr>
            <w:tcW w:w="2551" w:type="dxa"/>
            <w:vAlign w:val="center"/>
          </w:tcPr>
          <w:p w14:paraId="5181540F">
            <w:pPr>
              <w:pStyle w:val="10"/>
            </w:pPr>
            <w:r>
              <w:t>人员经费</w:t>
            </w:r>
          </w:p>
        </w:tc>
        <w:tc>
          <w:tcPr>
            <w:tcW w:w="2551" w:type="dxa"/>
            <w:vAlign w:val="center"/>
          </w:tcPr>
          <w:p w14:paraId="38E8F413">
            <w:pPr>
              <w:pStyle w:val="10"/>
            </w:pPr>
            <w:r>
              <w:t>公用经费</w:t>
            </w:r>
          </w:p>
        </w:tc>
      </w:tr>
      <w:tr w14:paraId="6C9F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A7667D">
            <w:pPr>
              <w:pStyle w:val="10"/>
            </w:pPr>
            <w:r>
              <w:t>栏次</w:t>
            </w:r>
          </w:p>
        </w:tc>
        <w:tc>
          <w:tcPr>
            <w:tcW w:w="1191" w:type="dxa"/>
            <w:vAlign w:val="center"/>
          </w:tcPr>
          <w:p w14:paraId="5A6E64A0">
            <w:pPr>
              <w:pStyle w:val="10"/>
            </w:pPr>
            <w:r>
              <w:t>1</w:t>
            </w:r>
          </w:p>
        </w:tc>
        <w:tc>
          <w:tcPr>
            <w:tcW w:w="4535" w:type="dxa"/>
            <w:vAlign w:val="center"/>
          </w:tcPr>
          <w:p w14:paraId="13FA930C">
            <w:pPr>
              <w:pStyle w:val="10"/>
            </w:pPr>
            <w:r>
              <w:t>2</w:t>
            </w:r>
          </w:p>
        </w:tc>
        <w:tc>
          <w:tcPr>
            <w:tcW w:w="2551" w:type="dxa"/>
            <w:vAlign w:val="center"/>
          </w:tcPr>
          <w:p w14:paraId="2A3803E9">
            <w:pPr>
              <w:pStyle w:val="10"/>
            </w:pPr>
            <w:r>
              <w:t>3</w:t>
            </w:r>
          </w:p>
        </w:tc>
        <w:tc>
          <w:tcPr>
            <w:tcW w:w="2551" w:type="dxa"/>
            <w:vAlign w:val="center"/>
          </w:tcPr>
          <w:p w14:paraId="4965A0E8">
            <w:pPr>
              <w:pStyle w:val="10"/>
            </w:pPr>
            <w:r>
              <w:t>4</w:t>
            </w:r>
          </w:p>
        </w:tc>
        <w:tc>
          <w:tcPr>
            <w:tcW w:w="2551" w:type="dxa"/>
            <w:vAlign w:val="center"/>
          </w:tcPr>
          <w:p w14:paraId="180558F6">
            <w:pPr>
              <w:pStyle w:val="10"/>
            </w:pPr>
            <w:r>
              <w:t>5</w:t>
            </w:r>
          </w:p>
        </w:tc>
      </w:tr>
      <w:tr w14:paraId="364E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740D3">
            <w:pPr>
              <w:pStyle w:val="13"/>
            </w:pPr>
            <w:r>
              <w:t>1</w:t>
            </w:r>
          </w:p>
        </w:tc>
        <w:tc>
          <w:tcPr>
            <w:tcW w:w="1191" w:type="dxa"/>
            <w:vAlign w:val="center"/>
          </w:tcPr>
          <w:p w14:paraId="6039EF09">
            <w:pPr>
              <w:pStyle w:val="16"/>
            </w:pPr>
          </w:p>
        </w:tc>
        <w:tc>
          <w:tcPr>
            <w:tcW w:w="4535" w:type="dxa"/>
            <w:vAlign w:val="center"/>
          </w:tcPr>
          <w:p w14:paraId="50C74C49">
            <w:pPr>
              <w:pStyle w:val="14"/>
            </w:pPr>
            <w:r>
              <w:t>合计</w:t>
            </w:r>
          </w:p>
        </w:tc>
        <w:tc>
          <w:tcPr>
            <w:tcW w:w="2551" w:type="dxa"/>
            <w:vAlign w:val="center"/>
          </w:tcPr>
          <w:p w14:paraId="3E103137">
            <w:pPr>
              <w:pStyle w:val="15"/>
            </w:pPr>
            <w:r>
              <w:t>2162.20</w:t>
            </w:r>
          </w:p>
        </w:tc>
        <w:tc>
          <w:tcPr>
            <w:tcW w:w="2551" w:type="dxa"/>
            <w:vAlign w:val="center"/>
          </w:tcPr>
          <w:p w14:paraId="2273979F">
            <w:pPr>
              <w:pStyle w:val="15"/>
            </w:pPr>
            <w:r>
              <w:t>2162.20</w:t>
            </w:r>
          </w:p>
        </w:tc>
        <w:tc>
          <w:tcPr>
            <w:tcW w:w="2551" w:type="dxa"/>
            <w:vAlign w:val="center"/>
          </w:tcPr>
          <w:p w14:paraId="70BA0BD6">
            <w:pPr>
              <w:pStyle w:val="15"/>
            </w:pPr>
          </w:p>
        </w:tc>
      </w:tr>
      <w:tr w14:paraId="61B4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B503">
            <w:pPr>
              <w:pStyle w:val="13"/>
            </w:pPr>
            <w:r>
              <w:t>2</w:t>
            </w:r>
          </w:p>
        </w:tc>
        <w:tc>
          <w:tcPr>
            <w:tcW w:w="1191" w:type="dxa"/>
            <w:vAlign w:val="center"/>
          </w:tcPr>
          <w:p w14:paraId="4E41489B">
            <w:pPr>
              <w:pStyle w:val="12"/>
            </w:pPr>
            <w:r>
              <w:t>301</w:t>
            </w:r>
          </w:p>
        </w:tc>
        <w:tc>
          <w:tcPr>
            <w:tcW w:w="4535" w:type="dxa"/>
            <w:vAlign w:val="center"/>
          </w:tcPr>
          <w:p w14:paraId="2C060811">
            <w:pPr>
              <w:pStyle w:val="12"/>
            </w:pPr>
            <w:r>
              <w:t>工资福利支出</w:t>
            </w:r>
          </w:p>
        </w:tc>
        <w:tc>
          <w:tcPr>
            <w:tcW w:w="2551" w:type="dxa"/>
            <w:vAlign w:val="center"/>
          </w:tcPr>
          <w:p w14:paraId="16FAB295">
            <w:pPr>
              <w:pStyle w:val="11"/>
            </w:pPr>
            <w:r>
              <w:t>1999.27</w:t>
            </w:r>
          </w:p>
        </w:tc>
        <w:tc>
          <w:tcPr>
            <w:tcW w:w="2551" w:type="dxa"/>
            <w:vAlign w:val="center"/>
          </w:tcPr>
          <w:p w14:paraId="7A75A872">
            <w:pPr>
              <w:pStyle w:val="11"/>
            </w:pPr>
            <w:r>
              <w:t>1999.27</w:t>
            </w:r>
          </w:p>
        </w:tc>
        <w:tc>
          <w:tcPr>
            <w:tcW w:w="2551" w:type="dxa"/>
            <w:vAlign w:val="center"/>
          </w:tcPr>
          <w:p w14:paraId="24C8CEA4">
            <w:pPr>
              <w:pStyle w:val="11"/>
            </w:pPr>
          </w:p>
        </w:tc>
      </w:tr>
      <w:tr w14:paraId="2868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3EECA">
            <w:pPr>
              <w:pStyle w:val="13"/>
            </w:pPr>
            <w:r>
              <w:t>3</w:t>
            </w:r>
          </w:p>
        </w:tc>
        <w:tc>
          <w:tcPr>
            <w:tcW w:w="1191" w:type="dxa"/>
            <w:vAlign w:val="center"/>
          </w:tcPr>
          <w:p w14:paraId="6D33CEB9">
            <w:pPr>
              <w:pStyle w:val="12"/>
            </w:pPr>
            <w:r>
              <w:t>30101</w:t>
            </w:r>
          </w:p>
        </w:tc>
        <w:tc>
          <w:tcPr>
            <w:tcW w:w="4535" w:type="dxa"/>
            <w:vAlign w:val="center"/>
          </w:tcPr>
          <w:p w14:paraId="0395230F">
            <w:pPr>
              <w:pStyle w:val="12"/>
            </w:pPr>
            <w:r>
              <w:t>基本工资</w:t>
            </w:r>
          </w:p>
        </w:tc>
        <w:tc>
          <w:tcPr>
            <w:tcW w:w="2551" w:type="dxa"/>
            <w:vAlign w:val="center"/>
          </w:tcPr>
          <w:p w14:paraId="0EA912C1">
            <w:pPr>
              <w:pStyle w:val="11"/>
            </w:pPr>
            <w:r>
              <w:t>907.32</w:t>
            </w:r>
          </w:p>
        </w:tc>
        <w:tc>
          <w:tcPr>
            <w:tcW w:w="2551" w:type="dxa"/>
            <w:vAlign w:val="center"/>
          </w:tcPr>
          <w:p w14:paraId="2815E704">
            <w:pPr>
              <w:pStyle w:val="11"/>
            </w:pPr>
            <w:r>
              <w:t>907.32</w:t>
            </w:r>
          </w:p>
        </w:tc>
        <w:tc>
          <w:tcPr>
            <w:tcW w:w="2551" w:type="dxa"/>
            <w:vAlign w:val="center"/>
          </w:tcPr>
          <w:p w14:paraId="3CE9B7C0">
            <w:pPr>
              <w:pStyle w:val="11"/>
            </w:pPr>
          </w:p>
        </w:tc>
      </w:tr>
      <w:tr w14:paraId="18FB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5CB7">
            <w:pPr>
              <w:pStyle w:val="13"/>
            </w:pPr>
            <w:r>
              <w:t>4</w:t>
            </w:r>
          </w:p>
        </w:tc>
        <w:tc>
          <w:tcPr>
            <w:tcW w:w="1191" w:type="dxa"/>
            <w:vAlign w:val="center"/>
          </w:tcPr>
          <w:p w14:paraId="6438869C">
            <w:pPr>
              <w:pStyle w:val="12"/>
            </w:pPr>
            <w:r>
              <w:t>30102</w:t>
            </w:r>
          </w:p>
        </w:tc>
        <w:tc>
          <w:tcPr>
            <w:tcW w:w="4535" w:type="dxa"/>
            <w:vAlign w:val="center"/>
          </w:tcPr>
          <w:p w14:paraId="622DA6E8">
            <w:pPr>
              <w:pStyle w:val="12"/>
            </w:pPr>
            <w:r>
              <w:t>津贴补贴</w:t>
            </w:r>
          </w:p>
        </w:tc>
        <w:tc>
          <w:tcPr>
            <w:tcW w:w="2551" w:type="dxa"/>
            <w:vAlign w:val="center"/>
          </w:tcPr>
          <w:p w14:paraId="67E671E8">
            <w:pPr>
              <w:pStyle w:val="11"/>
            </w:pPr>
            <w:r>
              <w:t>93.79</w:t>
            </w:r>
          </w:p>
        </w:tc>
        <w:tc>
          <w:tcPr>
            <w:tcW w:w="2551" w:type="dxa"/>
            <w:vAlign w:val="center"/>
          </w:tcPr>
          <w:p w14:paraId="162356BF">
            <w:pPr>
              <w:pStyle w:val="11"/>
            </w:pPr>
            <w:r>
              <w:t>93.79</w:t>
            </w:r>
          </w:p>
        </w:tc>
        <w:tc>
          <w:tcPr>
            <w:tcW w:w="2551" w:type="dxa"/>
            <w:vAlign w:val="center"/>
          </w:tcPr>
          <w:p w14:paraId="0AB07480">
            <w:pPr>
              <w:pStyle w:val="11"/>
            </w:pPr>
          </w:p>
        </w:tc>
      </w:tr>
      <w:tr w14:paraId="1898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A4C7">
            <w:pPr>
              <w:pStyle w:val="13"/>
            </w:pPr>
            <w:r>
              <w:t>5</w:t>
            </w:r>
          </w:p>
        </w:tc>
        <w:tc>
          <w:tcPr>
            <w:tcW w:w="1191" w:type="dxa"/>
            <w:vAlign w:val="center"/>
          </w:tcPr>
          <w:p w14:paraId="1A7DEF98">
            <w:pPr>
              <w:pStyle w:val="12"/>
            </w:pPr>
            <w:r>
              <w:t>30107</w:t>
            </w:r>
          </w:p>
        </w:tc>
        <w:tc>
          <w:tcPr>
            <w:tcW w:w="4535" w:type="dxa"/>
            <w:vAlign w:val="center"/>
          </w:tcPr>
          <w:p w14:paraId="28EF5B49">
            <w:pPr>
              <w:pStyle w:val="12"/>
            </w:pPr>
            <w:r>
              <w:t>绩效工资</w:t>
            </w:r>
          </w:p>
        </w:tc>
        <w:tc>
          <w:tcPr>
            <w:tcW w:w="2551" w:type="dxa"/>
            <w:vAlign w:val="center"/>
          </w:tcPr>
          <w:p w14:paraId="3E25C6FE">
            <w:pPr>
              <w:pStyle w:val="11"/>
            </w:pPr>
            <w:r>
              <w:t>548.01</w:t>
            </w:r>
          </w:p>
        </w:tc>
        <w:tc>
          <w:tcPr>
            <w:tcW w:w="2551" w:type="dxa"/>
            <w:vAlign w:val="center"/>
          </w:tcPr>
          <w:p w14:paraId="0F8A87DC">
            <w:pPr>
              <w:pStyle w:val="11"/>
            </w:pPr>
            <w:r>
              <w:t>548.01</w:t>
            </w:r>
          </w:p>
        </w:tc>
        <w:tc>
          <w:tcPr>
            <w:tcW w:w="2551" w:type="dxa"/>
            <w:vAlign w:val="center"/>
          </w:tcPr>
          <w:p w14:paraId="2AD2F890">
            <w:pPr>
              <w:pStyle w:val="11"/>
            </w:pPr>
          </w:p>
        </w:tc>
      </w:tr>
      <w:tr w14:paraId="4360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58D7D">
            <w:pPr>
              <w:pStyle w:val="13"/>
            </w:pPr>
            <w:r>
              <w:t>6</w:t>
            </w:r>
          </w:p>
        </w:tc>
        <w:tc>
          <w:tcPr>
            <w:tcW w:w="1191" w:type="dxa"/>
            <w:vAlign w:val="center"/>
          </w:tcPr>
          <w:p w14:paraId="115D2E94">
            <w:pPr>
              <w:pStyle w:val="12"/>
            </w:pPr>
            <w:r>
              <w:t>30108</w:t>
            </w:r>
          </w:p>
        </w:tc>
        <w:tc>
          <w:tcPr>
            <w:tcW w:w="4535" w:type="dxa"/>
            <w:vAlign w:val="center"/>
          </w:tcPr>
          <w:p w14:paraId="1F1D053E">
            <w:pPr>
              <w:pStyle w:val="12"/>
            </w:pPr>
            <w:r>
              <w:t>机关事业单位基本养老保险缴费</w:t>
            </w:r>
          </w:p>
        </w:tc>
        <w:tc>
          <w:tcPr>
            <w:tcW w:w="2551" w:type="dxa"/>
            <w:vAlign w:val="center"/>
          </w:tcPr>
          <w:p w14:paraId="06AF7F9F">
            <w:pPr>
              <w:pStyle w:val="11"/>
            </w:pPr>
            <w:r>
              <w:t>201.05</w:t>
            </w:r>
          </w:p>
        </w:tc>
        <w:tc>
          <w:tcPr>
            <w:tcW w:w="2551" w:type="dxa"/>
            <w:vAlign w:val="center"/>
          </w:tcPr>
          <w:p w14:paraId="6A0848AE">
            <w:pPr>
              <w:pStyle w:val="11"/>
            </w:pPr>
            <w:r>
              <w:t>201.05</w:t>
            </w:r>
          </w:p>
        </w:tc>
        <w:tc>
          <w:tcPr>
            <w:tcW w:w="2551" w:type="dxa"/>
            <w:vAlign w:val="center"/>
          </w:tcPr>
          <w:p w14:paraId="6EAE8205">
            <w:pPr>
              <w:pStyle w:val="11"/>
            </w:pPr>
          </w:p>
        </w:tc>
      </w:tr>
      <w:tr w14:paraId="0791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EF9E">
            <w:pPr>
              <w:pStyle w:val="13"/>
            </w:pPr>
            <w:r>
              <w:t>7</w:t>
            </w:r>
          </w:p>
        </w:tc>
        <w:tc>
          <w:tcPr>
            <w:tcW w:w="1191" w:type="dxa"/>
            <w:vAlign w:val="center"/>
          </w:tcPr>
          <w:p w14:paraId="622F1C20">
            <w:pPr>
              <w:pStyle w:val="12"/>
            </w:pPr>
            <w:r>
              <w:t>30110</w:t>
            </w:r>
          </w:p>
        </w:tc>
        <w:tc>
          <w:tcPr>
            <w:tcW w:w="4535" w:type="dxa"/>
            <w:vAlign w:val="center"/>
          </w:tcPr>
          <w:p w14:paraId="69CEC304">
            <w:pPr>
              <w:pStyle w:val="12"/>
            </w:pPr>
            <w:r>
              <w:t>职工基本医疗保险缴费</w:t>
            </w:r>
          </w:p>
        </w:tc>
        <w:tc>
          <w:tcPr>
            <w:tcW w:w="2551" w:type="dxa"/>
            <w:vAlign w:val="center"/>
          </w:tcPr>
          <w:p w14:paraId="6F9D4362">
            <w:pPr>
              <w:pStyle w:val="11"/>
            </w:pPr>
            <w:r>
              <w:t>93.03</w:t>
            </w:r>
          </w:p>
        </w:tc>
        <w:tc>
          <w:tcPr>
            <w:tcW w:w="2551" w:type="dxa"/>
            <w:vAlign w:val="center"/>
          </w:tcPr>
          <w:p w14:paraId="230DBAE6">
            <w:pPr>
              <w:pStyle w:val="11"/>
            </w:pPr>
            <w:r>
              <w:t>93.03</w:t>
            </w:r>
          </w:p>
        </w:tc>
        <w:tc>
          <w:tcPr>
            <w:tcW w:w="2551" w:type="dxa"/>
            <w:vAlign w:val="center"/>
          </w:tcPr>
          <w:p w14:paraId="64C1F5EB">
            <w:pPr>
              <w:pStyle w:val="11"/>
            </w:pPr>
          </w:p>
        </w:tc>
      </w:tr>
      <w:tr w14:paraId="0E9F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F103">
            <w:pPr>
              <w:pStyle w:val="13"/>
            </w:pPr>
            <w:r>
              <w:t>8</w:t>
            </w:r>
          </w:p>
        </w:tc>
        <w:tc>
          <w:tcPr>
            <w:tcW w:w="1191" w:type="dxa"/>
            <w:vAlign w:val="center"/>
          </w:tcPr>
          <w:p w14:paraId="20CD71F2">
            <w:pPr>
              <w:pStyle w:val="12"/>
            </w:pPr>
            <w:r>
              <w:t>30112</w:t>
            </w:r>
          </w:p>
        </w:tc>
        <w:tc>
          <w:tcPr>
            <w:tcW w:w="4535" w:type="dxa"/>
            <w:vAlign w:val="center"/>
          </w:tcPr>
          <w:p w14:paraId="7B050FAB">
            <w:pPr>
              <w:pStyle w:val="12"/>
            </w:pPr>
            <w:r>
              <w:t>其他社会保障缴费</w:t>
            </w:r>
          </w:p>
        </w:tc>
        <w:tc>
          <w:tcPr>
            <w:tcW w:w="2551" w:type="dxa"/>
            <w:vAlign w:val="center"/>
          </w:tcPr>
          <w:p w14:paraId="6CCD426B">
            <w:pPr>
              <w:pStyle w:val="11"/>
            </w:pPr>
            <w:r>
              <w:t>6.03</w:t>
            </w:r>
          </w:p>
        </w:tc>
        <w:tc>
          <w:tcPr>
            <w:tcW w:w="2551" w:type="dxa"/>
            <w:vAlign w:val="center"/>
          </w:tcPr>
          <w:p w14:paraId="003043BC">
            <w:pPr>
              <w:pStyle w:val="11"/>
            </w:pPr>
            <w:r>
              <w:t>6.03</w:t>
            </w:r>
          </w:p>
        </w:tc>
        <w:tc>
          <w:tcPr>
            <w:tcW w:w="2551" w:type="dxa"/>
            <w:vAlign w:val="center"/>
          </w:tcPr>
          <w:p w14:paraId="0CAA9750">
            <w:pPr>
              <w:pStyle w:val="11"/>
            </w:pPr>
          </w:p>
        </w:tc>
      </w:tr>
      <w:tr w14:paraId="3A91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9EE6">
            <w:pPr>
              <w:pStyle w:val="13"/>
            </w:pPr>
            <w:r>
              <w:t>9</w:t>
            </w:r>
          </w:p>
        </w:tc>
        <w:tc>
          <w:tcPr>
            <w:tcW w:w="1191" w:type="dxa"/>
            <w:vAlign w:val="center"/>
          </w:tcPr>
          <w:p w14:paraId="203C51FB">
            <w:pPr>
              <w:pStyle w:val="12"/>
            </w:pPr>
            <w:r>
              <w:t>30113</w:t>
            </w:r>
          </w:p>
        </w:tc>
        <w:tc>
          <w:tcPr>
            <w:tcW w:w="4535" w:type="dxa"/>
            <w:vAlign w:val="center"/>
          </w:tcPr>
          <w:p w14:paraId="148010A7">
            <w:pPr>
              <w:pStyle w:val="12"/>
            </w:pPr>
            <w:r>
              <w:t>住房公积金</w:t>
            </w:r>
          </w:p>
        </w:tc>
        <w:tc>
          <w:tcPr>
            <w:tcW w:w="2551" w:type="dxa"/>
            <w:vAlign w:val="center"/>
          </w:tcPr>
          <w:p w14:paraId="4BFCEDC9">
            <w:pPr>
              <w:pStyle w:val="11"/>
            </w:pPr>
            <w:r>
              <w:t>150.04</w:t>
            </w:r>
          </w:p>
        </w:tc>
        <w:tc>
          <w:tcPr>
            <w:tcW w:w="2551" w:type="dxa"/>
            <w:vAlign w:val="center"/>
          </w:tcPr>
          <w:p w14:paraId="3D9BFA24">
            <w:pPr>
              <w:pStyle w:val="11"/>
            </w:pPr>
            <w:r>
              <w:t>150.04</w:t>
            </w:r>
          </w:p>
        </w:tc>
        <w:tc>
          <w:tcPr>
            <w:tcW w:w="2551" w:type="dxa"/>
            <w:vAlign w:val="center"/>
          </w:tcPr>
          <w:p w14:paraId="774C5E2A">
            <w:pPr>
              <w:pStyle w:val="11"/>
            </w:pPr>
          </w:p>
        </w:tc>
      </w:tr>
      <w:tr w14:paraId="5B42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6752C">
            <w:pPr>
              <w:pStyle w:val="13"/>
            </w:pPr>
            <w:r>
              <w:t>10</w:t>
            </w:r>
          </w:p>
        </w:tc>
        <w:tc>
          <w:tcPr>
            <w:tcW w:w="1191" w:type="dxa"/>
            <w:vAlign w:val="center"/>
          </w:tcPr>
          <w:p w14:paraId="295BE02E">
            <w:pPr>
              <w:pStyle w:val="12"/>
            </w:pPr>
            <w:r>
              <w:t>303</w:t>
            </w:r>
          </w:p>
        </w:tc>
        <w:tc>
          <w:tcPr>
            <w:tcW w:w="4535" w:type="dxa"/>
            <w:vAlign w:val="center"/>
          </w:tcPr>
          <w:p w14:paraId="116F4E0B">
            <w:pPr>
              <w:pStyle w:val="12"/>
            </w:pPr>
            <w:r>
              <w:t>对个人和家庭的补助</w:t>
            </w:r>
          </w:p>
        </w:tc>
        <w:tc>
          <w:tcPr>
            <w:tcW w:w="2551" w:type="dxa"/>
            <w:vAlign w:val="center"/>
          </w:tcPr>
          <w:p w14:paraId="5B2C60C7">
            <w:pPr>
              <w:pStyle w:val="11"/>
            </w:pPr>
            <w:r>
              <w:t>162.92</w:t>
            </w:r>
          </w:p>
        </w:tc>
        <w:tc>
          <w:tcPr>
            <w:tcW w:w="2551" w:type="dxa"/>
            <w:vAlign w:val="center"/>
          </w:tcPr>
          <w:p w14:paraId="514FE792">
            <w:pPr>
              <w:pStyle w:val="11"/>
            </w:pPr>
            <w:r>
              <w:t>162.92</w:t>
            </w:r>
          </w:p>
        </w:tc>
        <w:tc>
          <w:tcPr>
            <w:tcW w:w="2551" w:type="dxa"/>
            <w:vAlign w:val="center"/>
          </w:tcPr>
          <w:p w14:paraId="4CFBF1BF">
            <w:pPr>
              <w:pStyle w:val="11"/>
            </w:pPr>
          </w:p>
        </w:tc>
      </w:tr>
      <w:tr w14:paraId="145B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E950">
            <w:pPr>
              <w:pStyle w:val="13"/>
            </w:pPr>
            <w:r>
              <w:t>11</w:t>
            </w:r>
          </w:p>
        </w:tc>
        <w:tc>
          <w:tcPr>
            <w:tcW w:w="1191" w:type="dxa"/>
            <w:vAlign w:val="center"/>
          </w:tcPr>
          <w:p w14:paraId="6E6EF468">
            <w:pPr>
              <w:pStyle w:val="12"/>
            </w:pPr>
            <w:r>
              <w:t>30302</w:t>
            </w:r>
          </w:p>
        </w:tc>
        <w:tc>
          <w:tcPr>
            <w:tcW w:w="4535" w:type="dxa"/>
            <w:vAlign w:val="center"/>
          </w:tcPr>
          <w:p w14:paraId="621793B9">
            <w:pPr>
              <w:pStyle w:val="12"/>
            </w:pPr>
            <w:r>
              <w:t>退休费</w:t>
            </w:r>
          </w:p>
        </w:tc>
        <w:tc>
          <w:tcPr>
            <w:tcW w:w="2551" w:type="dxa"/>
            <w:vAlign w:val="center"/>
          </w:tcPr>
          <w:p w14:paraId="01C1B693">
            <w:pPr>
              <w:pStyle w:val="11"/>
            </w:pPr>
            <w:r>
              <w:t>152.84</w:t>
            </w:r>
          </w:p>
        </w:tc>
        <w:tc>
          <w:tcPr>
            <w:tcW w:w="2551" w:type="dxa"/>
            <w:vAlign w:val="center"/>
          </w:tcPr>
          <w:p w14:paraId="433729EA">
            <w:pPr>
              <w:pStyle w:val="11"/>
            </w:pPr>
            <w:r>
              <w:t>152.84</w:t>
            </w:r>
          </w:p>
        </w:tc>
        <w:tc>
          <w:tcPr>
            <w:tcW w:w="2551" w:type="dxa"/>
            <w:vAlign w:val="center"/>
          </w:tcPr>
          <w:p w14:paraId="645EAD4C">
            <w:pPr>
              <w:pStyle w:val="11"/>
            </w:pPr>
          </w:p>
        </w:tc>
      </w:tr>
      <w:tr w14:paraId="1140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FA7A1">
            <w:pPr>
              <w:pStyle w:val="13"/>
            </w:pPr>
            <w:r>
              <w:t>12</w:t>
            </w:r>
          </w:p>
        </w:tc>
        <w:tc>
          <w:tcPr>
            <w:tcW w:w="1191" w:type="dxa"/>
            <w:vAlign w:val="center"/>
          </w:tcPr>
          <w:p w14:paraId="78FCC703">
            <w:pPr>
              <w:pStyle w:val="12"/>
            </w:pPr>
            <w:r>
              <w:t>30305</w:t>
            </w:r>
          </w:p>
        </w:tc>
        <w:tc>
          <w:tcPr>
            <w:tcW w:w="4535" w:type="dxa"/>
            <w:vAlign w:val="center"/>
          </w:tcPr>
          <w:p w14:paraId="287133C0">
            <w:pPr>
              <w:pStyle w:val="12"/>
            </w:pPr>
            <w:r>
              <w:t>生活补助</w:t>
            </w:r>
          </w:p>
        </w:tc>
        <w:tc>
          <w:tcPr>
            <w:tcW w:w="2551" w:type="dxa"/>
            <w:vAlign w:val="center"/>
          </w:tcPr>
          <w:p w14:paraId="1C9B6E2E">
            <w:pPr>
              <w:pStyle w:val="11"/>
            </w:pPr>
            <w:r>
              <w:t>10.08</w:t>
            </w:r>
          </w:p>
        </w:tc>
        <w:tc>
          <w:tcPr>
            <w:tcW w:w="2551" w:type="dxa"/>
            <w:vAlign w:val="center"/>
          </w:tcPr>
          <w:p w14:paraId="010301A9">
            <w:pPr>
              <w:pStyle w:val="11"/>
            </w:pPr>
            <w:r>
              <w:t>10.08</w:t>
            </w:r>
          </w:p>
        </w:tc>
        <w:tc>
          <w:tcPr>
            <w:tcW w:w="2551" w:type="dxa"/>
            <w:vAlign w:val="center"/>
          </w:tcPr>
          <w:p w14:paraId="7E515FEC">
            <w:pPr>
              <w:pStyle w:val="11"/>
            </w:pPr>
          </w:p>
        </w:tc>
      </w:tr>
    </w:tbl>
    <w:p w14:paraId="7AFC07F9">
      <w:pPr>
        <w:sectPr>
          <w:pgSz w:w="16840" w:h="11900" w:orient="landscape"/>
          <w:pgMar w:top="1361" w:right="1020" w:bottom="1134" w:left="1020" w:header="720" w:footer="720" w:gutter="0"/>
          <w:cols w:space="720" w:num="1"/>
        </w:sectPr>
      </w:pPr>
    </w:p>
    <w:p w14:paraId="70EBE9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07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D7B3B1">
            <w:pPr>
              <w:pStyle w:val="9"/>
            </w:pPr>
            <w:r>
              <w:t>360027隆尧县莲子镇校区</w:t>
            </w:r>
          </w:p>
        </w:tc>
        <w:tc>
          <w:tcPr>
            <w:tcW w:w="2551" w:type="dxa"/>
            <w:tcBorders>
              <w:top w:val="single" w:color="FFFFFF" w:sz="6" w:space="0"/>
              <w:left w:val="single" w:color="FFFFFF" w:sz="6" w:space="0"/>
              <w:right w:val="single" w:color="FFFFFF" w:sz="6" w:space="0"/>
            </w:tcBorders>
            <w:vAlign w:val="center"/>
          </w:tcPr>
          <w:p w14:paraId="28B629B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D4A550">
            <w:pPr>
              <w:pStyle w:val="7"/>
            </w:pPr>
            <w:r>
              <w:t>单位：万元</w:t>
            </w:r>
          </w:p>
        </w:tc>
      </w:tr>
      <w:tr w14:paraId="46FF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1136AB">
            <w:pPr>
              <w:pStyle w:val="10"/>
            </w:pPr>
            <w:r>
              <w:t>序号</w:t>
            </w:r>
          </w:p>
        </w:tc>
        <w:tc>
          <w:tcPr>
            <w:tcW w:w="5726" w:type="dxa"/>
            <w:gridSpan w:val="2"/>
            <w:vAlign w:val="center"/>
          </w:tcPr>
          <w:p w14:paraId="5C064DB5">
            <w:pPr>
              <w:pStyle w:val="10"/>
            </w:pPr>
            <w:r>
              <w:t>功能分类科目</w:t>
            </w:r>
          </w:p>
        </w:tc>
        <w:tc>
          <w:tcPr>
            <w:tcW w:w="2551" w:type="dxa"/>
            <w:vMerge w:val="restart"/>
            <w:vAlign w:val="center"/>
          </w:tcPr>
          <w:p w14:paraId="1FF5F919">
            <w:pPr>
              <w:pStyle w:val="10"/>
            </w:pPr>
            <w:r>
              <w:t>合计</w:t>
            </w:r>
          </w:p>
        </w:tc>
        <w:tc>
          <w:tcPr>
            <w:tcW w:w="2551" w:type="dxa"/>
            <w:vMerge w:val="restart"/>
            <w:vAlign w:val="center"/>
          </w:tcPr>
          <w:p w14:paraId="058BAD57">
            <w:pPr>
              <w:pStyle w:val="10"/>
            </w:pPr>
            <w:r>
              <w:t>基本支出</w:t>
            </w:r>
          </w:p>
        </w:tc>
        <w:tc>
          <w:tcPr>
            <w:tcW w:w="2551" w:type="dxa"/>
            <w:vMerge w:val="restart"/>
            <w:vAlign w:val="center"/>
          </w:tcPr>
          <w:p w14:paraId="1CE2ECEB">
            <w:pPr>
              <w:pStyle w:val="10"/>
            </w:pPr>
            <w:r>
              <w:t>项目支出</w:t>
            </w:r>
          </w:p>
        </w:tc>
      </w:tr>
      <w:tr w14:paraId="7EBB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1D6013"/>
        </w:tc>
        <w:tc>
          <w:tcPr>
            <w:tcW w:w="1191" w:type="dxa"/>
            <w:vAlign w:val="center"/>
          </w:tcPr>
          <w:p w14:paraId="5DC3ABF5">
            <w:pPr>
              <w:pStyle w:val="10"/>
            </w:pPr>
            <w:r>
              <w:t>科目编码</w:t>
            </w:r>
          </w:p>
        </w:tc>
        <w:tc>
          <w:tcPr>
            <w:tcW w:w="4535" w:type="dxa"/>
            <w:vAlign w:val="center"/>
          </w:tcPr>
          <w:p w14:paraId="081F5CE2">
            <w:pPr>
              <w:pStyle w:val="10"/>
            </w:pPr>
            <w:r>
              <w:t>科目名称</w:t>
            </w:r>
          </w:p>
        </w:tc>
        <w:tc>
          <w:tcPr>
            <w:tcW w:w="2551" w:type="dxa"/>
            <w:vMerge w:val="continue"/>
          </w:tcPr>
          <w:p w14:paraId="79118698"/>
        </w:tc>
        <w:tc>
          <w:tcPr>
            <w:tcW w:w="2551" w:type="dxa"/>
            <w:vMerge w:val="continue"/>
          </w:tcPr>
          <w:p w14:paraId="62D945D9"/>
        </w:tc>
        <w:tc>
          <w:tcPr>
            <w:tcW w:w="2551" w:type="dxa"/>
            <w:vMerge w:val="continue"/>
          </w:tcPr>
          <w:p w14:paraId="002C763F"/>
        </w:tc>
      </w:tr>
      <w:tr w14:paraId="7384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17572D">
            <w:pPr>
              <w:pStyle w:val="10"/>
            </w:pPr>
            <w:r>
              <w:t>栏次</w:t>
            </w:r>
          </w:p>
        </w:tc>
        <w:tc>
          <w:tcPr>
            <w:tcW w:w="1191" w:type="dxa"/>
            <w:vAlign w:val="center"/>
          </w:tcPr>
          <w:p w14:paraId="4A0793CD">
            <w:pPr>
              <w:pStyle w:val="10"/>
            </w:pPr>
            <w:r>
              <w:t>1</w:t>
            </w:r>
          </w:p>
        </w:tc>
        <w:tc>
          <w:tcPr>
            <w:tcW w:w="4535" w:type="dxa"/>
            <w:vAlign w:val="center"/>
          </w:tcPr>
          <w:p w14:paraId="4AD93B4A">
            <w:pPr>
              <w:pStyle w:val="10"/>
            </w:pPr>
            <w:r>
              <w:t>2</w:t>
            </w:r>
          </w:p>
        </w:tc>
        <w:tc>
          <w:tcPr>
            <w:tcW w:w="2551" w:type="dxa"/>
            <w:vAlign w:val="center"/>
          </w:tcPr>
          <w:p w14:paraId="0CB2F3F6">
            <w:pPr>
              <w:pStyle w:val="10"/>
            </w:pPr>
            <w:r>
              <w:t>3</w:t>
            </w:r>
          </w:p>
        </w:tc>
        <w:tc>
          <w:tcPr>
            <w:tcW w:w="2551" w:type="dxa"/>
            <w:vAlign w:val="center"/>
          </w:tcPr>
          <w:p w14:paraId="338E02CA">
            <w:pPr>
              <w:pStyle w:val="10"/>
            </w:pPr>
            <w:r>
              <w:t>4</w:t>
            </w:r>
          </w:p>
        </w:tc>
        <w:tc>
          <w:tcPr>
            <w:tcW w:w="2551" w:type="dxa"/>
            <w:vAlign w:val="center"/>
          </w:tcPr>
          <w:p w14:paraId="2D3B93AC">
            <w:pPr>
              <w:pStyle w:val="10"/>
            </w:pPr>
            <w:r>
              <w:t>5</w:t>
            </w:r>
          </w:p>
        </w:tc>
      </w:tr>
      <w:tr w14:paraId="3917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26B3D">
            <w:pPr>
              <w:pStyle w:val="13"/>
            </w:pPr>
          </w:p>
        </w:tc>
        <w:tc>
          <w:tcPr>
            <w:tcW w:w="1191" w:type="dxa"/>
            <w:vAlign w:val="center"/>
          </w:tcPr>
          <w:p w14:paraId="67DF512A">
            <w:pPr>
              <w:pStyle w:val="12"/>
            </w:pPr>
          </w:p>
        </w:tc>
        <w:tc>
          <w:tcPr>
            <w:tcW w:w="4535" w:type="dxa"/>
            <w:vAlign w:val="center"/>
          </w:tcPr>
          <w:p w14:paraId="41F337D9">
            <w:pPr>
              <w:pStyle w:val="12"/>
            </w:pPr>
          </w:p>
        </w:tc>
        <w:tc>
          <w:tcPr>
            <w:tcW w:w="2551" w:type="dxa"/>
            <w:vAlign w:val="center"/>
          </w:tcPr>
          <w:p w14:paraId="722C0AEF">
            <w:pPr>
              <w:pStyle w:val="11"/>
            </w:pPr>
          </w:p>
        </w:tc>
        <w:tc>
          <w:tcPr>
            <w:tcW w:w="2551" w:type="dxa"/>
            <w:vAlign w:val="center"/>
          </w:tcPr>
          <w:p w14:paraId="2AAC7BD6">
            <w:pPr>
              <w:pStyle w:val="11"/>
            </w:pPr>
          </w:p>
        </w:tc>
        <w:tc>
          <w:tcPr>
            <w:tcW w:w="2551" w:type="dxa"/>
            <w:vAlign w:val="center"/>
          </w:tcPr>
          <w:p w14:paraId="7F986139">
            <w:pPr>
              <w:pStyle w:val="11"/>
            </w:pPr>
          </w:p>
        </w:tc>
      </w:tr>
    </w:tbl>
    <w:p w14:paraId="531E66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01FBC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E65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4D6198">
            <w:pPr>
              <w:pStyle w:val="9"/>
            </w:pPr>
            <w:r>
              <w:t>360027隆尧县莲子镇校区</w:t>
            </w:r>
          </w:p>
        </w:tc>
        <w:tc>
          <w:tcPr>
            <w:tcW w:w="2551" w:type="dxa"/>
            <w:tcBorders>
              <w:top w:val="single" w:color="FFFFFF" w:sz="6" w:space="0"/>
              <w:left w:val="single" w:color="FFFFFF" w:sz="6" w:space="0"/>
              <w:right w:val="single" w:color="FFFFFF" w:sz="6" w:space="0"/>
            </w:tcBorders>
            <w:vAlign w:val="center"/>
          </w:tcPr>
          <w:p w14:paraId="3ADE1D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44B1CF">
            <w:pPr>
              <w:pStyle w:val="7"/>
            </w:pPr>
            <w:r>
              <w:t>单位：万元</w:t>
            </w:r>
          </w:p>
        </w:tc>
      </w:tr>
      <w:tr w14:paraId="31EE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F0CE3D">
            <w:pPr>
              <w:pStyle w:val="10"/>
            </w:pPr>
            <w:r>
              <w:t>序号</w:t>
            </w:r>
          </w:p>
        </w:tc>
        <w:tc>
          <w:tcPr>
            <w:tcW w:w="5726" w:type="dxa"/>
            <w:gridSpan w:val="2"/>
            <w:vAlign w:val="center"/>
          </w:tcPr>
          <w:p w14:paraId="64363F9D">
            <w:pPr>
              <w:pStyle w:val="10"/>
            </w:pPr>
            <w:r>
              <w:t>功能分类科目</w:t>
            </w:r>
          </w:p>
        </w:tc>
        <w:tc>
          <w:tcPr>
            <w:tcW w:w="2551" w:type="dxa"/>
            <w:vMerge w:val="restart"/>
            <w:vAlign w:val="center"/>
          </w:tcPr>
          <w:p w14:paraId="224A3277">
            <w:pPr>
              <w:pStyle w:val="10"/>
            </w:pPr>
            <w:r>
              <w:t>合计</w:t>
            </w:r>
          </w:p>
        </w:tc>
        <w:tc>
          <w:tcPr>
            <w:tcW w:w="2551" w:type="dxa"/>
            <w:vMerge w:val="restart"/>
            <w:vAlign w:val="center"/>
          </w:tcPr>
          <w:p w14:paraId="5B60B1F4">
            <w:pPr>
              <w:pStyle w:val="10"/>
            </w:pPr>
            <w:r>
              <w:t>基本支出</w:t>
            </w:r>
          </w:p>
        </w:tc>
        <w:tc>
          <w:tcPr>
            <w:tcW w:w="2551" w:type="dxa"/>
            <w:vMerge w:val="restart"/>
            <w:vAlign w:val="center"/>
          </w:tcPr>
          <w:p w14:paraId="5DC87EF3">
            <w:pPr>
              <w:pStyle w:val="10"/>
            </w:pPr>
            <w:r>
              <w:t>项目支出</w:t>
            </w:r>
          </w:p>
        </w:tc>
      </w:tr>
      <w:tr w14:paraId="7D652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AFD81"/>
        </w:tc>
        <w:tc>
          <w:tcPr>
            <w:tcW w:w="1191" w:type="dxa"/>
            <w:vAlign w:val="center"/>
          </w:tcPr>
          <w:p w14:paraId="412B13B6">
            <w:pPr>
              <w:pStyle w:val="10"/>
            </w:pPr>
            <w:r>
              <w:t>科目编码</w:t>
            </w:r>
          </w:p>
        </w:tc>
        <w:tc>
          <w:tcPr>
            <w:tcW w:w="4535" w:type="dxa"/>
            <w:vAlign w:val="center"/>
          </w:tcPr>
          <w:p w14:paraId="724F92EC">
            <w:pPr>
              <w:pStyle w:val="10"/>
            </w:pPr>
            <w:r>
              <w:t>科目名称</w:t>
            </w:r>
          </w:p>
        </w:tc>
        <w:tc>
          <w:tcPr>
            <w:tcW w:w="2551" w:type="dxa"/>
            <w:vMerge w:val="continue"/>
          </w:tcPr>
          <w:p w14:paraId="2E04E855"/>
        </w:tc>
        <w:tc>
          <w:tcPr>
            <w:tcW w:w="2551" w:type="dxa"/>
            <w:vMerge w:val="continue"/>
          </w:tcPr>
          <w:p w14:paraId="06DA5DEE"/>
        </w:tc>
        <w:tc>
          <w:tcPr>
            <w:tcW w:w="2551" w:type="dxa"/>
            <w:vMerge w:val="continue"/>
          </w:tcPr>
          <w:p w14:paraId="45C20872"/>
        </w:tc>
      </w:tr>
      <w:tr w14:paraId="4B03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73142">
            <w:pPr>
              <w:pStyle w:val="10"/>
            </w:pPr>
            <w:r>
              <w:t>栏次</w:t>
            </w:r>
          </w:p>
        </w:tc>
        <w:tc>
          <w:tcPr>
            <w:tcW w:w="1191" w:type="dxa"/>
            <w:vAlign w:val="center"/>
          </w:tcPr>
          <w:p w14:paraId="6B984B58">
            <w:pPr>
              <w:pStyle w:val="10"/>
            </w:pPr>
            <w:r>
              <w:t>1</w:t>
            </w:r>
          </w:p>
        </w:tc>
        <w:tc>
          <w:tcPr>
            <w:tcW w:w="4535" w:type="dxa"/>
            <w:vAlign w:val="center"/>
          </w:tcPr>
          <w:p w14:paraId="3F7CD90A">
            <w:pPr>
              <w:pStyle w:val="10"/>
            </w:pPr>
            <w:r>
              <w:t>2</w:t>
            </w:r>
          </w:p>
        </w:tc>
        <w:tc>
          <w:tcPr>
            <w:tcW w:w="2551" w:type="dxa"/>
            <w:vAlign w:val="center"/>
          </w:tcPr>
          <w:p w14:paraId="2E2EC93D">
            <w:pPr>
              <w:pStyle w:val="10"/>
            </w:pPr>
            <w:r>
              <w:t>3</w:t>
            </w:r>
          </w:p>
        </w:tc>
        <w:tc>
          <w:tcPr>
            <w:tcW w:w="2551" w:type="dxa"/>
            <w:vAlign w:val="center"/>
          </w:tcPr>
          <w:p w14:paraId="66C9C746">
            <w:pPr>
              <w:pStyle w:val="10"/>
            </w:pPr>
            <w:r>
              <w:t>4</w:t>
            </w:r>
          </w:p>
        </w:tc>
        <w:tc>
          <w:tcPr>
            <w:tcW w:w="2551" w:type="dxa"/>
            <w:vAlign w:val="center"/>
          </w:tcPr>
          <w:p w14:paraId="378ED597">
            <w:pPr>
              <w:pStyle w:val="10"/>
            </w:pPr>
            <w:r>
              <w:t>5</w:t>
            </w:r>
          </w:p>
        </w:tc>
      </w:tr>
      <w:tr w14:paraId="52CD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F3061">
            <w:pPr>
              <w:pStyle w:val="13"/>
            </w:pPr>
          </w:p>
        </w:tc>
        <w:tc>
          <w:tcPr>
            <w:tcW w:w="1191" w:type="dxa"/>
            <w:vAlign w:val="center"/>
          </w:tcPr>
          <w:p w14:paraId="6FE46C70">
            <w:pPr>
              <w:pStyle w:val="12"/>
            </w:pPr>
          </w:p>
        </w:tc>
        <w:tc>
          <w:tcPr>
            <w:tcW w:w="4535" w:type="dxa"/>
            <w:vAlign w:val="center"/>
          </w:tcPr>
          <w:p w14:paraId="10C26812">
            <w:pPr>
              <w:pStyle w:val="12"/>
            </w:pPr>
          </w:p>
        </w:tc>
        <w:tc>
          <w:tcPr>
            <w:tcW w:w="2551" w:type="dxa"/>
            <w:vAlign w:val="center"/>
          </w:tcPr>
          <w:p w14:paraId="05050D6C">
            <w:pPr>
              <w:pStyle w:val="11"/>
            </w:pPr>
          </w:p>
        </w:tc>
        <w:tc>
          <w:tcPr>
            <w:tcW w:w="2551" w:type="dxa"/>
            <w:vAlign w:val="center"/>
          </w:tcPr>
          <w:p w14:paraId="493A225F">
            <w:pPr>
              <w:pStyle w:val="11"/>
            </w:pPr>
          </w:p>
        </w:tc>
        <w:tc>
          <w:tcPr>
            <w:tcW w:w="2551" w:type="dxa"/>
            <w:vAlign w:val="center"/>
          </w:tcPr>
          <w:p w14:paraId="76F45738">
            <w:pPr>
              <w:pStyle w:val="11"/>
            </w:pPr>
          </w:p>
        </w:tc>
      </w:tr>
    </w:tbl>
    <w:p w14:paraId="625F8E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505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D2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EBF8AE">
            <w:pPr>
              <w:pStyle w:val="9"/>
            </w:pPr>
            <w:r>
              <w:t>360027隆尧县莲子镇校区</w:t>
            </w:r>
          </w:p>
        </w:tc>
        <w:tc>
          <w:tcPr>
            <w:tcW w:w="2381" w:type="dxa"/>
            <w:tcBorders>
              <w:top w:val="single" w:color="FFFFFF" w:sz="6" w:space="0"/>
              <w:left w:val="single" w:color="FFFFFF" w:sz="6" w:space="0"/>
              <w:right w:val="single" w:color="FFFFFF" w:sz="6" w:space="0"/>
            </w:tcBorders>
            <w:vAlign w:val="center"/>
          </w:tcPr>
          <w:p w14:paraId="28C3685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407B66D">
            <w:pPr>
              <w:pStyle w:val="7"/>
            </w:pPr>
            <w:r>
              <w:t>单位：万元</w:t>
            </w:r>
          </w:p>
        </w:tc>
      </w:tr>
      <w:tr w14:paraId="5BE3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BA1FB">
            <w:pPr>
              <w:pStyle w:val="10"/>
            </w:pPr>
            <w:r>
              <w:t>序号</w:t>
            </w:r>
          </w:p>
        </w:tc>
        <w:tc>
          <w:tcPr>
            <w:tcW w:w="3798" w:type="dxa"/>
            <w:vMerge w:val="restart"/>
            <w:vAlign w:val="center"/>
          </w:tcPr>
          <w:p w14:paraId="35552966">
            <w:pPr>
              <w:pStyle w:val="10"/>
            </w:pPr>
            <w:r>
              <w:t>项  目</w:t>
            </w:r>
          </w:p>
        </w:tc>
        <w:tc>
          <w:tcPr>
            <w:tcW w:w="9524" w:type="dxa"/>
            <w:gridSpan w:val="4"/>
            <w:vAlign w:val="center"/>
          </w:tcPr>
          <w:p w14:paraId="6E9B71F0">
            <w:pPr>
              <w:pStyle w:val="10"/>
            </w:pPr>
            <w:r>
              <w:t>资 金 性 质</w:t>
            </w:r>
          </w:p>
        </w:tc>
      </w:tr>
      <w:tr w14:paraId="4CDE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A697A5"/>
        </w:tc>
        <w:tc>
          <w:tcPr>
            <w:tcW w:w="3798" w:type="dxa"/>
            <w:vMerge w:val="continue"/>
          </w:tcPr>
          <w:p w14:paraId="217EE80F"/>
        </w:tc>
        <w:tc>
          <w:tcPr>
            <w:tcW w:w="2381" w:type="dxa"/>
            <w:vAlign w:val="center"/>
          </w:tcPr>
          <w:p w14:paraId="0EADC3FF">
            <w:pPr>
              <w:pStyle w:val="10"/>
            </w:pPr>
            <w:r>
              <w:t>合计</w:t>
            </w:r>
          </w:p>
        </w:tc>
        <w:tc>
          <w:tcPr>
            <w:tcW w:w="2381" w:type="dxa"/>
            <w:vAlign w:val="center"/>
          </w:tcPr>
          <w:p w14:paraId="511CB7ED">
            <w:pPr>
              <w:pStyle w:val="10"/>
            </w:pPr>
            <w:r>
              <w:t>一般公共预算              财政拨款</w:t>
            </w:r>
          </w:p>
        </w:tc>
        <w:tc>
          <w:tcPr>
            <w:tcW w:w="2381" w:type="dxa"/>
            <w:vAlign w:val="center"/>
          </w:tcPr>
          <w:p w14:paraId="3B90CCA4">
            <w:pPr>
              <w:pStyle w:val="10"/>
            </w:pPr>
            <w:r>
              <w:t>政府性基金                  预算拨款</w:t>
            </w:r>
          </w:p>
        </w:tc>
        <w:tc>
          <w:tcPr>
            <w:tcW w:w="2381" w:type="dxa"/>
            <w:vAlign w:val="center"/>
          </w:tcPr>
          <w:p w14:paraId="0A3BAEF2">
            <w:pPr>
              <w:pStyle w:val="10"/>
            </w:pPr>
            <w:r>
              <w:t>国有资本经营              预算财政拨款</w:t>
            </w:r>
          </w:p>
        </w:tc>
      </w:tr>
      <w:tr w14:paraId="3477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19EC3D">
            <w:pPr>
              <w:pStyle w:val="10"/>
            </w:pPr>
            <w:r>
              <w:t>栏次</w:t>
            </w:r>
          </w:p>
        </w:tc>
        <w:tc>
          <w:tcPr>
            <w:tcW w:w="3798" w:type="dxa"/>
            <w:vAlign w:val="center"/>
          </w:tcPr>
          <w:p w14:paraId="48951D0E">
            <w:pPr>
              <w:pStyle w:val="10"/>
            </w:pPr>
            <w:r>
              <w:t>1</w:t>
            </w:r>
          </w:p>
        </w:tc>
        <w:tc>
          <w:tcPr>
            <w:tcW w:w="2381" w:type="dxa"/>
            <w:vAlign w:val="center"/>
          </w:tcPr>
          <w:p w14:paraId="3A91603E">
            <w:pPr>
              <w:pStyle w:val="10"/>
            </w:pPr>
            <w:r>
              <w:t>2</w:t>
            </w:r>
          </w:p>
        </w:tc>
        <w:tc>
          <w:tcPr>
            <w:tcW w:w="2381" w:type="dxa"/>
            <w:vAlign w:val="center"/>
          </w:tcPr>
          <w:p w14:paraId="57EE2DC2">
            <w:pPr>
              <w:pStyle w:val="10"/>
            </w:pPr>
            <w:r>
              <w:t>3</w:t>
            </w:r>
          </w:p>
        </w:tc>
        <w:tc>
          <w:tcPr>
            <w:tcW w:w="2381" w:type="dxa"/>
            <w:vAlign w:val="center"/>
          </w:tcPr>
          <w:p w14:paraId="231FD530">
            <w:pPr>
              <w:pStyle w:val="10"/>
            </w:pPr>
            <w:r>
              <w:t>4</w:t>
            </w:r>
          </w:p>
        </w:tc>
        <w:tc>
          <w:tcPr>
            <w:tcW w:w="2381" w:type="dxa"/>
            <w:vAlign w:val="center"/>
          </w:tcPr>
          <w:p w14:paraId="77BEC865">
            <w:pPr>
              <w:pStyle w:val="10"/>
            </w:pPr>
            <w:r>
              <w:t>5</w:t>
            </w:r>
          </w:p>
        </w:tc>
      </w:tr>
      <w:tr w14:paraId="77AF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5BCAB0">
            <w:pPr>
              <w:pStyle w:val="13"/>
            </w:pPr>
          </w:p>
        </w:tc>
        <w:tc>
          <w:tcPr>
            <w:tcW w:w="3798" w:type="dxa"/>
            <w:vAlign w:val="center"/>
          </w:tcPr>
          <w:p w14:paraId="776E0B72">
            <w:pPr>
              <w:pStyle w:val="12"/>
            </w:pPr>
          </w:p>
        </w:tc>
        <w:tc>
          <w:tcPr>
            <w:tcW w:w="2381" w:type="dxa"/>
            <w:vAlign w:val="center"/>
          </w:tcPr>
          <w:p w14:paraId="505E9C61">
            <w:pPr>
              <w:pStyle w:val="11"/>
            </w:pPr>
          </w:p>
        </w:tc>
        <w:tc>
          <w:tcPr>
            <w:tcW w:w="2381" w:type="dxa"/>
            <w:vAlign w:val="center"/>
          </w:tcPr>
          <w:p w14:paraId="4AD66CC4">
            <w:pPr>
              <w:pStyle w:val="11"/>
            </w:pPr>
          </w:p>
        </w:tc>
        <w:tc>
          <w:tcPr>
            <w:tcW w:w="2381" w:type="dxa"/>
            <w:vAlign w:val="center"/>
          </w:tcPr>
          <w:p w14:paraId="1B268397">
            <w:pPr>
              <w:pStyle w:val="11"/>
            </w:pPr>
          </w:p>
        </w:tc>
        <w:tc>
          <w:tcPr>
            <w:tcW w:w="2381" w:type="dxa"/>
            <w:vAlign w:val="center"/>
          </w:tcPr>
          <w:p w14:paraId="2E6151A2">
            <w:pPr>
              <w:pStyle w:val="11"/>
            </w:pPr>
          </w:p>
        </w:tc>
      </w:tr>
    </w:tbl>
    <w:p w14:paraId="5A95C6A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52FF73B">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隆尧县莲子镇校区2026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561E298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地方预决算公开操作规程》和《关于进一步推进预算公开工作的实施意见》规定，现将隆尧县莲子镇校区2026年单位预算公开如下：</w:t>
      </w:r>
    </w:p>
    <w:p w14:paraId="2AFFA715">
      <w:pPr>
        <w:spacing w:before="10" w:after="10" w:line="240" w:lineRule="auto"/>
        <w:ind w:firstLine="640"/>
        <w:jc w:val="left"/>
        <w:outlineLvl w:val="5"/>
      </w:pPr>
      <w:r>
        <w:rPr>
          <w:rFonts w:ascii="黑体" w:hAnsi="黑体" w:eastAsia="黑体" w:cs="黑体"/>
          <w:color w:val="000000"/>
          <w:sz w:val="32"/>
        </w:rPr>
        <w:t>一、单位职责及机构设置情况</w:t>
      </w:r>
    </w:p>
    <w:p w14:paraId="081347D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8D559A">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rPr>
        <w:t>贯彻落实基础教育的方针、政策，开展</w:t>
      </w:r>
      <w:r>
        <w:rPr>
          <w:rFonts w:hint="eastAsia" w:ascii="Times New Roman" w:hAnsi="Times New Roman" w:eastAsia="方正仿宋_GBK" w:cs="Times New Roman"/>
          <w:b w:val="0"/>
          <w:color w:val="000000"/>
          <w:sz w:val="28"/>
          <w:lang w:eastAsia="zh-CN"/>
        </w:rPr>
        <w:t>学前和小学</w:t>
      </w:r>
      <w:r>
        <w:rPr>
          <w:rFonts w:hint="eastAsia" w:ascii="Times New Roman" w:hAnsi="Times New Roman" w:eastAsia="方正仿宋_GBK" w:cs="Times New Roman"/>
          <w:b w:val="0"/>
          <w:color w:val="000000"/>
          <w:sz w:val="28"/>
        </w:rPr>
        <w:t>阶段教育教学工作，促进学生德、智、体、美、劳全面发展。负责学生安全教育和管理，确保学生身心健康。加强教师队伍建设和管理，为教育教学工作提供保障。</w:t>
      </w:r>
    </w:p>
    <w:p w14:paraId="6D038A08">
      <w:pPr>
        <w:spacing w:before="0" w:after="0" w:line="500" w:lineRule="exact"/>
        <w:ind w:firstLine="560"/>
        <w:jc w:val="left"/>
        <w:outlineLvl w:val="9"/>
      </w:pPr>
      <w:r>
        <w:rPr>
          <w:rFonts w:hint="eastAsia" w:ascii="Times New Roman" w:hAnsi="Times New Roman" w:eastAsia="方正仿宋_GBK" w:cs="Times New Roman"/>
          <w:b w:val="0"/>
          <w:color w:val="000000"/>
          <w:sz w:val="28"/>
          <w:lang w:eastAsia="zh-CN"/>
        </w:rPr>
        <w:t>隆尧县莲子镇校区</w:t>
      </w:r>
      <w:r>
        <w:rPr>
          <w:rFonts w:hint="eastAsia" w:ascii="Times New Roman" w:hAnsi="Times New Roman" w:eastAsia="方正仿宋_GBK" w:cs="Times New Roman"/>
          <w:b w:val="0"/>
          <w:color w:val="000000"/>
          <w:sz w:val="28"/>
          <w:lang w:val="en-US" w:eastAsia="zh-CN"/>
        </w:rPr>
        <w:t>事业编制156人，其中校长1名（正股级），副校长4名（副股级）经费保障形式财政性资金基本保证。</w:t>
      </w:r>
    </w:p>
    <w:p w14:paraId="42C3B3A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F0851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0F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37EEB9">
            <w:pPr>
              <w:pStyle w:val="10"/>
            </w:pPr>
            <w:r>
              <w:t>单位名称</w:t>
            </w:r>
          </w:p>
        </w:tc>
        <w:tc>
          <w:tcPr>
            <w:tcW w:w="1843" w:type="dxa"/>
            <w:vAlign w:val="center"/>
          </w:tcPr>
          <w:p w14:paraId="13B85F7F">
            <w:pPr>
              <w:pStyle w:val="10"/>
            </w:pPr>
            <w:r>
              <w:t>单位性质</w:t>
            </w:r>
          </w:p>
        </w:tc>
        <w:tc>
          <w:tcPr>
            <w:tcW w:w="2126" w:type="dxa"/>
            <w:vAlign w:val="center"/>
          </w:tcPr>
          <w:p w14:paraId="223C536D">
            <w:pPr>
              <w:pStyle w:val="10"/>
            </w:pPr>
            <w:r>
              <w:t>单位规格</w:t>
            </w:r>
          </w:p>
        </w:tc>
        <w:tc>
          <w:tcPr>
            <w:tcW w:w="3827" w:type="dxa"/>
            <w:vAlign w:val="center"/>
          </w:tcPr>
          <w:p w14:paraId="572D0074">
            <w:pPr>
              <w:pStyle w:val="10"/>
            </w:pPr>
            <w:r>
              <w:t>经费保障形式</w:t>
            </w:r>
          </w:p>
        </w:tc>
      </w:tr>
      <w:tr w14:paraId="5659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DDC549">
            <w:pPr>
              <w:pStyle w:val="12"/>
            </w:pPr>
            <w:r>
              <w:t>隆尧县莲子镇校区</w:t>
            </w:r>
          </w:p>
        </w:tc>
        <w:tc>
          <w:tcPr>
            <w:tcW w:w="1843" w:type="dxa"/>
            <w:vAlign w:val="center"/>
          </w:tcPr>
          <w:p w14:paraId="12ABD14F">
            <w:pPr>
              <w:pStyle w:val="13"/>
            </w:pPr>
            <w:r>
              <w:t>事业</w:t>
            </w:r>
          </w:p>
        </w:tc>
        <w:tc>
          <w:tcPr>
            <w:tcW w:w="2126" w:type="dxa"/>
            <w:vAlign w:val="center"/>
          </w:tcPr>
          <w:p w14:paraId="3A0BC328">
            <w:pPr>
              <w:pStyle w:val="13"/>
            </w:pPr>
            <w:r>
              <w:t>股级</w:t>
            </w:r>
          </w:p>
        </w:tc>
        <w:tc>
          <w:tcPr>
            <w:tcW w:w="3827" w:type="dxa"/>
            <w:vAlign w:val="center"/>
          </w:tcPr>
          <w:p w14:paraId="1133172F">
            <w:pPr>
              <w:pStyle w:val="13"/>
            </w:pPr>
            <w:r>
              <w:t>财政性资金基本保证</w:t>
            </w:r>
          </w:p>
        </w:tc>
      </w:tr>
    </w:tbl>
    <w:p w14:paraId="00CF17E8">
      <w:pPr>
        <w:spacing w:before="10" w:after="10" w:line="240" w:lineRule="auto"/>
        <w:ind w:firstLine="640"/>
        <w:jc w:val="left"/>
        <w:outlineLvl w:val="5"/>
      </w:pPr>
      <w:r>
        <w:rPr>
          <w:rFonts w:ascii="黑体" w:hAnsi="黑体" w:eastAsia="黑体" w:cs="黑体"/>
          <w:color w:val="000000"/>
          <w:sz w:val="32"/>
        </w:rPr>
        <w:t>二、单位预算安排的总体情况</w:t>
      </w:r>
    </w:p>
    <w:p w14:paraId="468DB428">
      <w:pPr>
        <w:pStyle w:val="18"/>
      </w:pPr>
      <w:r>
        <w:t>按照预算管理有关规定，目前我县部门预算的编制实行综合预算管理，即全部收入和支出都反映的预算中。隆尧县莲子镇校区的收支包含在部门预算中。</w:t>
      </w:r>
    </w:p>
    <w:p w14:paraId="4C6CDF63">
      <w:pPr>
        <w:pStyle w:val="18"/>
      </w:pPr>
      <w:r>
        <w:t>1、收入说明</w:t>
      </w:r>
    </w:p>
    <w:p w14:paraId="461C8E8F">
      <w:pPr>
        <w:pStyle w:val="18"/>
      </w:pPr>
      <w:r>
        <w:t>反映本单位当年全部收入。2026年预算收入2725.47万元，其中：一般公共预算收入2725.47万元，基金预算收入0万元，财政专户核拨收入0万元，其他来源收入（单位资金）0万元，上年结转0万元。</w:t>
      </w:r>
    </w:p>
    <w:p w14:paraId="4AA154A5">
      <w:pPr>
        <w:pStyle w:val="18"/>
      </w:pPr>
      <w:r>
        <w:t>2、支出说明</w:t>
      </w:r>
    </w:p>
    <w:p w14:paraId="17A303EF">
      <w:pPr>
        <w:pStyle w:val="18"/>
      </w:pPr>
      <w:r>
        <w:t>收支预算总表支出栏、基本支出表、项目支出表按经济分类和支出功能分类科目编制，反映隆尧县莲子镇校区年度单位预算中支出预算的总体情况。2026年支出预算2725.47万元，其中基本支出2162.20万元，项目支出563.27万元。主要为小学教育2374.22万元，学前教育351.25万元。</w:t>
      </w:r>
    </w:p>
    <w:p w14:paraId="210C6073">
      <w:pPr>
        <w:pStyle w:val="18"/>
      </w:pPr>
      <w:r>
        <w:t>3、比上年增减情况</w:t>
      </w:r>
    </w:p>
    <w:p w14:paraId="68710FD9">
      <w:pPr>
        <w:pStyle w:val="18"/>
      </w:pPr>
      <w:r>
        <w:t>2026年预算收支安排2725.47万元，2025年年初预算为2813.26万元，较2025年年初预算减少了87.79万元，其中：基本支出减少70.17万元，项目支出减少17.62万元。</w:t>
      </w:r>
    </w:p>
    <w:p w14:paraId="310C7171">
      <w:pPr>
        <w:spacing w:before="10" w:after="10" w:line="240" w:lineRule="auto"/>
        <w:ind w:firstLine="640"/>
        <w:jc w:val="left"/>
        <w:outlineLvl w:val="5"/>
      </w:pPr>
      <w:r>
        <w:rPr>
          <w:rFonts w:ascii="黑体" w:hAnsi="黑体" w:eastAsia="黑体" w:cs="黑体"/>
          <w:color w:val="000000"/>
          <w:sz w:val="32"/>
        </w:rPr>
        <w:t>三、机关运行经费安排情况</w:t>
      </w:r>
    </w:p>
    <w:p w14:paraId="6F2B580C">
      <w:pPr>
        <w:pStyle w:val="19"/>
      </w:pPr>
      <w:r>
        <w:t>我单位按学生安排公用经费，无机关运行经费。</w:t>
      </w:r>
    </w:p>
    <w:p w14:paraId="5D97F03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897C75">
      <w:pPr>
        <w:pStyle w:val="20"/>
      </w:pPr>
      <w:r>
        <w:t>我单位未安排</w:t>
      </w:r>
      <w:r>
        <w:rPr>
          <w:rFonts w:hint="eastAsia"/>
          <w:lang w:eastAsia="zh-CN"/>
        </w:rPr>
        <w:t>“三公”经费</w:t>
      </w:r>
      <w:r>
        <w:t>。</w:t>
      </w:r>
    </w:p>
    <w:p w14:paraId="6842E70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B9E3900">
      <w:pPr>
        <w:spacing w:before="0" w:after="0"/>
        <w:ind w:firstLine="560"/>
        <w:jc w:val="left"/>
        <w:outlineLvl w:val="9"/>
      </w:pPr>
      <w:r>
        <w:rPr>
          <w:rFonts w:ascii="方正仿宋_GBK" w:hAnsi="方正仿宋_GBK" w:eastAsia="方正仿宋_GBK" w:cs="方正仿宋_GBK"/>
          <w:b/>
          <w:color w:val="000000"/>
          <w:sz w:val="28"/>
        </w:rPr>
        <w:t>1、冀财教[2024]121号/中央/2025年学前教育发展/白家寨幼儿园新建保育房绩效目标表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4CFF9">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CF073">
            <w:pPr>
              <w:pStyle w:val="11"/>
            </w:pPr>
            <w:r>
              <w:t>单位：万元</w:t>
            </w:r>
          </w:p>
        </w:tc>
      </w:tr>
      <w:tr w14:paraId="4DF49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9C252">
            <w:pPr>
              <w:pStyle w:val="10"/>
            </w:pPr>
            <w:r>
              <w:t>项目编码</w:t>
            </w:r>
          </w:p>
        </w:tc>
        <w:tc>
          <w:tcPr>
            <w:tcW w:w="5103" w:type="dxa"/>
            <w:gridSpan w:val="2"/>
            <w:vAlign w:val="center"/>
          </w:tcPr>
          <w:p w14:paraId="51D06B13">
            <w:pPr>
              <w:pStyle w:val="12"/>
            </w:pPr>
            <w:r>
              <w:t>13052526P00876910214X</w:t>
            </w:r>
          </w:p>
        </w:tc>
        <w:tc>
          <w:tcPr>
            <w:tcW w:w="2835" w:type="dxa"/>
            <w:vAlign w:val="center"/>
          </w:tcPr>
          <w:p w14:paraId="4DDE072A">
            <w:pPr>
              <w:pStyle w:val="10"/>
            </w:pPr>
            <w:r>
              <w:t>项目名称</w:t>
            </w:r>
          </w:p>
        </w:tc>
        <w:tc>
          <w:tcPr>
            <w:tcW w:w="6095" w:type="dxa"/>
            <w:gridSpan w:val="3"/>
            <w:vAlign w:val="center"/>
          </w:tcPr>
          <w:p w14:paraId="30123BB1">
            <w:pPr>
              <w:pStyle w:val="12"/>
            </w:pPr>
            <w:r>
              <w:t>冀财教[2024]121号/中央/2025年学前教育发展/白家寨幼儿园新建保育房</w:t>
            </w:r>
          </w:p>
        </w:tc>
      </w:tr>
      <w:tr w14:paraId="150F1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C5B3C">
            <w:pPr>
              <w:pStyle w:val="10"/>
            </w:pPr>
            <w:r>
              <w:t>预算规模及资金用途</w:t>
            </w:r>
          </w:p>
        </w:tc>
        <w:tc>
          <w:tcPr>
            <w:tcW w:w="2268" w:type="dxa"/>
            <w:vAlign w:val="center"/>
          </w:tcPr>
          <w:p w14:paraId="2329CFEB">
            <w:pPr>
              <w:pStyle w:val="10"/>
            </w:pPr>
            <w:r>
              <w:t>预算数</w:t>
            </w:r>
          </w:p>
        </w:tc>
        <w:tc>
          <w:tcPr>
            <w:tcW w:w="2835" w:type="dxa"/>
            <w:vAlign w:val="center"/>
          </w:tcPr>
          <w:p w14:paraId="72401103">
            <w:pPr>
              <w:pStyle w:val="12"/>
            </w:pPr>
            <w:r>
              <w:t>24.06</w:t>
            </w:r>
          </w:p>
        </w:tc>
        <w:tc>
          <w:tcPr>
            <w:tcW w:w="2835" w:type="dxa"/>
            <w:vAlign w:val="center"/>
          </w:tcPr>
          <w:p w14:paraId="34F2C4F5">
            <w:pPr>
              <w:pStyle w:val="10"/>
            </w:pPr>
            <w:r>
              <w:t>其中：财政    资金</w:t>
            </w:r>
          </w:p>
        </w:tc>
        <w:tc>
          <w:tcPr>
            <w:tcW w:w="2551" w:type="dxa"/>
            <w:vAlign w:val="center"/>
          </w:tcPr>
          <w:p w14:paraId="3133B087">
            <w:pPr>
              <w:pStyle w:val="12"/>
            </w:pPr>
            <w:r>
              <w:t>24.06</w:t>
            </w:r>
          </w:p>
        </w:tc>
        <w:tc>
          <w:tcPr>
            <w:tcW w:w="2268" w:type="dxa"/>
            <w:vAlign w:val="center"/>
          </w:tcPr>
          <w:p w14:paraId="545AAB7A">
            <w:pPr>
              <w:pStyle w:val="10"/>
            </w:pPr>
            <w:r>
              <w:t>其他资金</w:t>
            </w:r>
          </w:p>
        </w:tc>
        <w:tc>
          <w:tcPr>
            <w:tcW w:w="1276" w:type="dxa"/>
            <w:vAlign w:val="center"/>
          </w:tcPr>
          <w:p w14:paraId="53464410">
            <w:pPr>
              <w:pStyle w:val="12"/>
            </w:pPr>
            <w:r>
              <w:t xml:space="preserve"> </w:t>
            </w:r>
          </w:p>
        </w:tc>
      </w:tr>
      <w:tr w14:paraId="5B4A4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E2E21"/>
        </w:tc>
        <w:tc>
          <w:tcPr>
            <w:tcW w:w="14033" w:type="dxa"/>
            <w:gridSpan w:val="6"/>
            <w:vAlign w:val="center"/>
          </w:tcPr>
          <w:p w14:paraId="7FA3287C">
            <w:pPr>
              <w:pStyle w:val="12"/>
            </w:pPr>
            <w:r>
              <w:t>为提升和改善隆尧县莲子镇校区白家寨幼儿园办园环境，保证辐射周边村所有幼儿入学率，提高幼儿园教学质量，</w:t>
            </w:r>
          </w:p>
        </w:tc>
      </w:tr>
      <w:tr w14:paraId="7C85E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20868">
            <w:pPr>
              <w:pStyle w:val="10"/>
            </w:pPr>
            <w:r>
              <w:t>资金支出计划（%）</w:t>
            </w:r>
          </w:p>
        </w:tc>
        <w:tc>
          <w:tcPr>
            <w:tcW w:w="5103" w:type="dxa"/>
            <w:gridSpan w:val="2"/>
            <w:vAlign w:val="center"/>
          </w:tcPr>
          <w:p w14:paraId="627E5F82">
            <w:pPr>
              <w:pStyle w:val="10"/>
            </w:pPr>
            <w:r>
              <w:t>3月底</w:t>
            </w:r>
          </w:p>
        </w:tc>
        <w:tc>
          <w:tcPr>
            <w:tcW w:w="2835" w:type="dxa"/>
            <w:vAlign w:val="center"/>
          </w:tcPr>
          <w:p w14:paraId="5FA3B3DD">
            <w:pPr>
              <w:pStyle w:val="10"/>
            </w:pPr>
            <w:r>
              <w:t>6月底</w:t>
            </w:r>
          </w:p>
        </w:tc>
        <w:tc>
          <w:tcPr>
            <w:tcW w:w="2551" w:type="dxa"/>
            <w:vAlign w:val="center"/>
          </w:tcPr>
          <w:p w14:paraId="2D738C85">
            <w:pPr>
              <w:pStyle w:val="10"/>
            </w:pPr>
            <w:r>
              <w:t>10月底</w:t>
            </w:r>
          </w:p>
        </w:tc>
        <w:tc>
          <w:tcPr>
            <w:tcW w:w="3544" w:type="dxa"/>
            <w:gridSpan w:val="2"/>
            <w:vAlign w:val="center"/>
          </w:tcPr>
          <w:p w14:paraId="340814EB">
            <w:pPr>
              <w:pStyle w:val="10"/>
            </w:pPr>
            <w:r>
              <w:t>12月底</w:t>
            </w:r>
          </w:p>
        </w:tc>
      </w:tr>
      <w:tr w14:paraId="74F7F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572D6"/>
        </w:tc>
        <w:tc>
          <w:tcPr>
            <w:tcW w:w="5103" w:type="dxa"/>
            <w:gridSpan w:val="2"/>
            <w:vAlign w:val="center"/>
          </w:tcPr>
          <w:p w14:paraId="548EF69A">
            <w:pPr>
              <w:pStyle w:val="13"/>
            </w:pPr>
            <w:r>
              <w:t xml:space="preserve"> </w:t>
            </w:r>
          </w:p>
        </w:tc>
        <w:tc>
          <w:tcPr>
            <w:tcW w:w="2835" w:type="dxa"/>
            <w:vAlign w:val="center"/>
          </w:tcPr>
          <w:p w14:paraId="2703C40F">
            <w:pPr>
              <w:pStyle w:val="13"/>
            </w:pPr>
            <w:r>
              <w:t>100%</w:t>
            </w:r>
          </w:p>
        </w:tc>
        <w:tc>
          <w:tcPr>
            <w:tcW w:w="2551" w:type="dxa"/>
            <w:vAlign w:val="center"/>
          </w:tcPr>
          <w:p w14:paraId="60C2D831">
            <w:pPr>
              <w:pStyle w:val="13"/>
            </w:pPr>
            <w:r>
              <w:t>100%</w:t>
            </w:r>
          </w:p>
        </w:tc>
        <w:tc>
          <w:tcPr>
            <w:tcW w:w="3544" w:type="dxa"/>
            <w:gridSpan w:val="2"/>
            <w:vAlign w:val="center"/>
          </w:tcPr>
          <w:p w14:paraId="339621DB">
            <w:pPr>
              <w:pStyle w:val="13"/>
            </w:pPr>
            <w:r>
              <w:t>100%</w:t>
            </w:r>
          </w:p>
        </w:tc>
      </w:tr>
      <w:tr w14:paraId="6A3A3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61457">
            <w:pPr>
              <w:pStyle w:val="10"/>
            </w:pPr>
            <w:r>
              <w:t>绩效目标</w:t>
            </w:r>
          </w:p>
        </w:tc>
        <w:tc>
          <w:tcPr>
            <w:tcW w:w="14033" w:type="dxa"/>
            <w:gridSpan w:val="6"/>
            <w:vAlign w:val="center"/>
          </w:tcPr>
          <w:p w14:paraId="70DB6B8C">
            <w:pPr>
              <w:pStyle w:val="12"/>
            </w:pPr>
            <w:r>
              <w:t>1.按规定拨付专项资金，资金支付率达到100%。</w:t>
            </w:r>
            <w:r>
              <w:tab/>
            </w:r>
            <w:r>
              <w:tab/>
            </w:r>
            <w:r>
              <w:tab/>
            </w:r>
            <w:r>
              <w:tab/>
            </w:r>
          </w:p>
          <w:p w14:paraId="6867C233">
            <w:pPr>
              <w:pStyle w:val="12"/>
            </w:pPr>
            <w:r>
              <w:t>2.为提升和改善隆尧县莲子镇校区白家寨幼儿园办园环境，保证辐射周边村所有幼儿入学率，提高幼儿园教学质量，</w:t>
            </w:r>
          </w:p>
        </w:tc>
      </w:tr>
    </w:tbl>
    <w:p w14:paraId="54F177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9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9D305">
            <w:pPr>
              <w:pStyle w:val="10"/>
            </w:pPr>
            <w:r>
              <w:t>一级指标</w:t>
            </w:r>
          </w:p>
        </w:tc>
        <w:tc>
          <w:tcPr>
            <w:tcW w:w="2268" w:type="dxa"/>
            <w:vAlign w:val="center"/>
          </w:tcPr>
          <w:p w14:paraId="2DEDB479">
            <w:pPr>
              <w:pStyle w:val="10"/>
            </w:pPr>
            <w:r>
              <w:t>二级指标</w:t>
            </w:r>
          </w:p>
        </w:tc>
        <w:tc>
          <w:tcPr>
            <w:tcW w:w="2835" w:type="dxa"/>
            <w:vAlign w:val="center"/>
          </w:tcPr>
          <w:p w14:paraId="6FF4378A">
            <w:pPr>
              <w:pStyle w:val="10"/>
            </w:pPr>
            <w:r>
              <w:t>三级指标</w:t>
            </w:r>
          </w:p>
        </w:tc>
        <w:tc>
          <w:tcPr>
            <w:tcW w:w="5386" w:type="dxa"/>
            <w:vAlign w:val="center"/>
          </w:tcPr>
          <w:p w14:paraId="4375CB21">
            <w:pPr>
              <w:pStyle w:val="10"/>
            </w:pPr>
            <w:r>
              <w:t>绩效指标描述</w:t>
            </w:r>
          </w:p>
        </w:tc>
        <w:tc>
          <w:tcPr>
            <w:tcW w:w="2268" w:type="dxa"/>
            <w:vAlign w:val="center"/>
          </w:tcPr>
          <w:p w14:paraId="360DAD28">
            <w:pPr>
              <w:pStyle w:val="10"/>
            </w:pPr>
            <w:r>
              <w:t>指标值</w:t>
            </w:r>
          </w:p>
        </w:tc>
        <w:tc>
          <w:tcPr>
            <w:tcW w:w="1276" w:type="dxa"/>
            <w:vAlign w:val="center"/>
          </w:tcPr>
          <w:p w14:paraId="054235CB">
            <w:pPr>
              <w:pStyle w:val="10"/>
            </w:pPr>
            <w:r>
              <w:t>指标值确定依据</w:t>
            </w:r>
          </w:p>
        </w:tc>
      </w:tr>
      <w:tr w14:paraId="3158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5F695">
            <w:pPr>
              <w:pStyle w:val="13"/>
            </w:pPr>
            <w:r>
              <w:t>产出指标</w:t>
            </w:r>
          </w:p>
        </w:tc>
        <w:tc>
          <w:tcPr>
            <w:tcW w:w="2268" w:type="dxa"/>
            <w:vAlign w:val="center"/>
          </w:tcPr>
          <w:p w14:paraId="4FB6D36F">
            <w:pPr>
              <w:pStyle w:val="12"/>
            </w:pPr>
            <w:r>
              <w:t>数量指标</w:t>
            </w:r>
          </w:p>
        </w:tc>
        <w:tc>
          <w:tcPr>
            <w:tcW w:w="2835" w:type="dxa"/>
            <w:vAlign w:val="center"/>
          </w:tcPr>
          <w:p w14:paraId="558FE74B">
            <w:pPr>
              <w:pStyle w:val="12"/>
            </w:pPr>
            <w:r>
              <w:t>白家寨幼儿园新建保育房项目</w:t>
            </w:r>
          </w:p>
        </w:tc>
        <w:tc>
          <w:tcPr>
            <w:tcW w:w="5386" w:type="dxa"/>
            <w:vAlign w:val="center"/>
          </w:tcPr>
          <w:p w14:paraId="49A87AD7">
            <w:pPr>
              <w:pStyle w:val="12"/>
            </w:pPr>
            <w:r>
              <w:t>新建保育房</w:t>
            </w:r>
          </w:p>
        </w:tc>
        <w:tc>
          <w:tcPr>
            <w:tcW w:w="2268" w:type="dxa"/>
            <w:vAlign w:val="center"/>
          </w:tcPr>
          <w:p w14:paraId="07482CA7">
            <w:pPr>
              <w:pStyle w:val="12"/>
            </w:pPr>
            <w:r>
              <w:t>1125平方米</w:t>
            </w:r>
          </w:p>
        </w:tc>
        <w:tc>
          <w:tcPr>
            <w:tcW w:w="1276" w:type="dxa"/>
            <w:vAlign w:val="center"/>
          </w:tcPr>
          <w:p w14:paraId="1E96EBCC">
            <w:pPr>
              <w:pStyle w:val="12"/>
            </w:pPr>
            <w:r>
              <w:t>项目规划</w:t>
            </w:r>
          </w:p>
        </w:tc>
      </w:tr>
      <w:tr w14:paraId="3877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157F3"/>
        </w:tc>
        <w:tc>
          <w:tcPr>
            <w:tcW w:w="2268" w:type="dxa"/>
            <w:vAlign w:val="center"/>
          </w:tcPr>
          <w:p w14:paraId="581A48D9">
            <w:pPr>
              <w:pStyle w:val="12"/>
            </w:pPr>
            <w:r>
              <w:t>质量指标</w:t>
            </w:r>
          </w:p>
        </w:tc>
        <w:tc>
          <w:tcPr>
            <w:tcW w:w="2835" w:type="dxa"/>
            <w:vAlign w:val="center"/>
          </w:tcPr>
          <w:p w14:paraId="6D44FF47">
            <w:pPr>
              <w:pStyle w:val="12"/>
            </w:pPr>
            <w:r>
              <w:t>项目竣工验收合格率</w:t>
            </w:r>
          </w:p>
        </w:tc>
        <w:tc>
          <w:tcPr>
            <w:tcW w:w="5386" w:type="dxa"/>
            <w:vAlign w:val="center"/>
          </w:tcPr>
          <w:p w14:paraId="19E2FD04">
            <w:pPr>
              <w:pStyle w:val="12"/>
            </w:pPr>
            <w:r>
              <w:t>项目改造质量达标率</w:t>
            </w:r>
          </w:p>
        </w:tc>
        <w:tc>
          <w:tcPr>
            <w:tcW w:w="2268" w:type="dxa"/>
            <w:vAlign w:val="center"/>
          </w:tcPr>
          <w:p w14:paraId="6188B966">
            <w:pPr>
              <w:pStyle w:val="12"/>
            </w:pPr>
            <w:r>
              <w:t>100%</w:t>
            </w:r>
          </w:p>
        </w:tc>
        <w:tc>
          <w:tcPr>
            <w:tcW w:w="1276" w:type="dxa"/>
            <w:vAlign w:val="center"/>
          </w:tcPr>
          <w:p w14:paraId="441F0211">
            <w:pPr>
              <w:pStyle w:val="12"/>
            </w:pPr>
            <w:r>
              <w:t>项目规划</w:t>
            </w:r>
          </w:p>
        </w:tc>
      </w:tr>
      <w:tr w14:paraId="7C84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D0F50"/>
        </w:tc>
        <w:tc>
          <w:tcPr>
            <w:tcW w:w="2268" w:type="dxa"/>
            <w:vAlign w:val="center"/>
          </w:tcPr>
          <w:p w14:paraId="177DFEAF">
            <w:pPr>
              <w:pStyle w:val="12"/>
            </w:pPr>
            <w:r>
              <w:t>时效指标</w:t>
            </w:r>
          </w:p>
        </w:tc>
        <w:tc>
          <w:tcPr>
            <w:tcW w:w="2835" w:type="dxa"/>
            <w:vAlign w:val="center"/>
          </w:tcPr>
          <w:p w14:paraId="7CCC8E3D">
            <w:pPr>
              <w:pStyle w:val="12"/>
            </w:pPr>
            <w:r>
              <w:t>项目实际成本</w:t>
            </w:r>
          </w:p>
        </w:tc>
        <w:tc>
          <w:tcPr>
            <w:tcW w:w="5386" w:type="dxa"/>
            <w:vAlign w:val="center"/>
          </w:tcPr>
          <w:p w14:paraId="6CC7CC52">
            <w:pPr>
              <w:pStyle w:val="12"/>
            </w:pPr>
            <w:r>
              <w:t>工程实际成本</w:t>
            </w:r>
          </w:p>
        </w:tc>
        <w:tc>
          <w:tcPr>
            <w:tcW w:w="2268" w:type="dxa"/>
            <w:vAlign w:val="center"/>
          </w:tcPr>
          <w:p w14:paraId="3FC413D3">
            <w:pPr>
              <w:pStyle w:val="12"/>
            </w:pPr>
            <w:r>
              <w:t>240586.4元</w:t>
            </w:r>
          </w:p>
        </w:tc>
        <w:tc>
          <w:tcPr>
            <w:tcW w:w="1276" w:type="dxa"/>
            <w:vAlign w:val="center"/>
          </w:tcPr>
          <w:p w14:paraId="6B49174B">
            <w:pPr>
              <w:pStyle w:val="12"/>
            </w:pPr>
            <w:r>
              <w:t>项目规划</w:t>
            </w:r>
          </w:p>
        </w:tc>
      </w:tr>
      <w:tr w14:paraId="5FF8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69335"/>
        </w:tc>
        <w:tc>
          <w:tcPr>
            <w:tcW w:w="2268" w:type="dxa"/>
            <w:vAlign w:val="center"/>
          </w:tcPr>
          <w:p w14:paraId="680999B5">
            <w:pPr>
              <w:pStyle w:val="12"/>
            </w:pPr>
            <w:r>
              <w:t>成本指标</w:t>
            </w:r>
          </w:p>
        </w:tc>
        <w:tc>
          <w:tcPr>
            <w:tcW w:w="2835" w:type="dxa"/>
            <w:vAlign w:val="center"/>
          </w:tcPr>
          <w:p w14:paraId="08C48D3A">
            <w:pPr>
              <w:pStyle w:val="12"/>
            </w:pPr>
            <w:r>
              <w:t>项目竣工验收合格率</w:t>
            </w:r>
          </w:p>
        </w:tc>
        <w:tc>
          <w:tcPr>
            <w:tcW w:w="5386" w:type="dxa"/>
            <w:vAlign w:val="center"/>
          </w:tcPr>
          <w:p w14:paraId="6869FCD6">
            <w:pPr>
              <w:pStyle w:val="12"/>
            </w:pPr>
            <w:r>
              <w:t>项目改造质量达标率</w:t>
            </w:r>
          </w:p>
        </w:tc>
        <w:tc>
          <w:tcPr>
            <w:tcW w:w="2268" w:type="dxa"/>
            <w:vAlign w:val="center"/>
          </w:tcPr>
          <w:p w14:paraId="4FBDB060">
            <w:pPr>
              <w:pStyle w:val="12"/>
            </w:pPr>
            <w:r>
              <w:t>100%</w:t>
            </w:r>
          </w:p>
        </w:tc>
        <w:tc>
          <w:tcPr>
            <w:tcW w:w="1276" w:type="dxa"/>
            <w:vAlign w:val="center"/>
          </w:tcPr>
          <w:p w14:paraId="0DA6A0E5">
            <w:pPr>
              <w:pStyle w:val="12"/>
            </w:pPr>
            <w:r>
              <w:t>项目规划</w:t>
            </w:r>
          </w:p>
        </w:tc>
      </w:tr>
      <w:tr w14:paraId="6B6E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BB930">
            <w:pPr>
              <w:pStyle w:val="13"/>
            </w:pPr>
            <w:r>
              <w:t>效益指标</w:t>
            </w:r>
          </w:p>
        </w:tc>
        <w:tc>
          <w:tcPr>
            <w:tcW w:w="2268" w:type="dxa"/>
            <w:vAlign w:val="center"/>
          </w:tcPr>
          <w:p w14:paraId="56EA039A">
            <w:pPr>
              <w:pStyle w:val="12"/>
            </w:pPr>
            <w:r>
              <w:t>可持续影响指标</w:t>
            </w:r>
          </w:p>
        </w:tc>
        <w:tc>
          <w:tcPr>
            <w:tcW w:w="2835" w:type="dxa"/>
            <w:vAlign w:val="center"/>
          </w:tcPr>
          <w:p w14:paraId="28E2693A">
            <w:pPr>
              <w:pStyle w:val="12"/>
            </w:pPr>
            <w:r>
              <w:t>工程使用年限</w:t>
            </w:r>
          </w:p>
        </w:tc>
        <w:tc>
          <w:tcPr>
            <w:tcW w:w="5386" w:type="dxa"/>
            <w:vAlign w:val="center"/>
          </w:tcPr>
          <w:p w14:paraId="142E6649">
            <w:pPr>
              <w:pStyle w:val="12"/>
            </w:pPr>
            <w:r>
              <w:t>项目实施，有效改善教学环境</w:t>
            </w:r>
          </w:p>
        </w:tc>
        <w:tc>
          <w:tcPr>
            <w:tcW w:w="2268" w:type="dxa"/>
            <w:vAlign w:val="center"/>
          </w:tcPr>
          <w:p w14:paraId="4C077017">
            <w:pPr>
              <w:pStyle w:val="12"/>
            </w:pPr>
            <w:r>
              <w:t>3年</w:t>
            </w:r>
          </w:p>
        </w:tc>
        <w:tc>
          <w:tcPr>
            <w:tcW w:w="1276" w:type="dxa"/>
            <w:vAlign w:val="center"/>
          </w:tcPr>
          <w:p w14:paraId="64D61B25">
            <w:pPr>
              <w:pStyle w:val="12"/>
            </w:pPr>
            <w:r>
              <w:t>项目规划</w:t>
            </w:r>
          </w:p>
        </w:tc>
      </w:tr>
      <w:tr w14:paraId="2C38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88259">
            <w:pPr>
              <w:pStyle w:val="13"/>
            </w:pPr>
            <w:r>
              <w:t>满意度指标</w:t>
            </w:r>
          </w:p>
        </w:tc>
        <w:tc>
          <w:tcPr>
            <w:tcW w:w="2268" w:type="dxa"/>
            <w:vAlign w:val="center"/>
          </w:tcPr>
          <w:p w14:paraId="404ACA0F">
            <w:pPr>
              <w:pStyle w:val="12"/>
            </w:pPr>
            <w:r>
              <w:t>服务对象满意度指标</w:t>
            </w:r>
          </w:p>
        </w:tc>
        <w:tc>
          <w:tcPr>
            <w:tcW w:w="2835" w:type="dxa"/>
            <w:vAlign w:val="center"/>
          </w:tcPr>
          <w:p w14:paraId="6D6A9E2F">
            <w:pPr>
              <w:pStyle w:val="12"/>
            </w:pPr>
            <w:r>
              <w:t>受益学生家长及调查满意度</w:t>
            </w:r>
          </w:p>
        </w:tc>
        <w:tc>
          <w:tcPr>
            <w:tcW w:w="5386" w:type="dxa"/>
            <w:vAlign w:val="center"/>
          </w:tcPr>
          <w:p w14:paraId="225A861D">
            <w:pPr>
              <w:pStyle w:val="12"/>
            </w:pPr>
            <w:r>
              <w:t>学生、教师及家长对学校工作满意度情况</w:t>
            </w:r>
          </w:p>
        </w:tc>
        <w:tc>
          <w:tcPr>
            <w:tcW w:w="2268" w:type="dxa"/>
            <w:vAlign w:val="center"/>
          </w:tcPr>
          <w:p w14:paraId="11560EF2">
            <w:pPr>
              <w:pStyle w:val="12"/>
            </w:pPr>
            <w:r>
              <w:t>≥95%</w:t>
            </w:r>
          </w:p>
        </w:tc>
        <w:tc>
          <w:tcPr>
            <w:tcW w:w="1276" w:type="dxa"/>
            <w:vAlign w:val="center"/>
          </w:tcPr>
          <w:p w14:paraId="00E5F305">
            <w:pPr>
              <w:pStyle w:val="12"/>
            </w:pPr>
            <w:r>
              <w:t>群众测评</w:t>
            </w:r>
          </w:p>
        </w:tc>
      </w:tr>
    </w:tbl>
    <w:p w14:paraId="5CD560DC">
      <w:pPr>
        <w:sectPr>
          <w:pgSz w:w="16840" w:h="11900" w:orient="landscape"/>
          <w:pgMar w:top="1361" w:right="1020" w:bottom="1134" w:left="1020" w:header="720" w:footer="720" w:gutter="0"/>
          <w:cols w:space="720" w:num="1"/>
        </w:sectPr>
      </w:pPr>
    </w:p>
    <w:p w14:paraId="10A0D5DE">
      <w:pPr>
        <w:spacing w:before="0" w:after="0"/>
        <w:ind w:firstLine="560"/>
        <w:jc w:val="left"/>
        <w:outlineLvl w:val="9"/>
      </w:pPr>
      <w:r>
        <w:rPr>
          <w:rFonts w:ascii="方正仿宋_GBK" w:hAnsi="方正仿宋_GBK" w:eastAsia="方正仿宋_GBK" w:cs="方正仿宋_GBK"/>
          <w:b/>
          <w:color w:val="000000"/>
          <w:sz w:val="28"/>
        </w:rPr>
        <w:t>2、冀财教[2025]119号/中央/2026年薄弱学校改造/西范小学体育场地改建绩效目标表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BE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B549E">
            <w:pPr>
              <w:pStyle w:val="11"/>
            </w:pPr>
            <w:r>
              <w:t>单位：万元</w:t>
            </w:r>
          </w:p>
        </w:tc>
      </w:tr>
      <w:tr w14:paraId="2068C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3E447">
            <w:pPr>
              <w:pStyle w:val="10"/>
            </w:pPr>
            <w:r>
              <w:t>项目编码</w:t>
            </w:r>
          </w:p>
        </w:tc>
        <w:tc>
          <w:tcPr>
            <w:tcW w:w="5103" w:type="dxa"/>
            <w:gridSpan w:val="2"/>
            <w:vAlign w:val="center"/>
          </w:tcPr>
          <w:p w14:paraId="4E217270">
            <w:pPr>
              <w:pStyle w:val="12"/>
            </w:pPr>
            <w:r>
              <w:t>13052526P00877010021G</w:t>
            </w:r>
          </w:p>
        </w:tc>
        <w:tc>
          <w:tcPr>
            <w:tcW w:w="2835" w:type="dxa"/>
            <w:vAlign w:val="center"/>
          </w:tcPr>
          <w:p w14:paraId="3B86B7E4">
            <w:pPr>
              <w:pStyle w:val="10"/>
            </w:pPr>
            <w:r>
              <w:t>项目名称</w:t>
            </w:r>
          </w:p>
        </w:tc>
        <w:tc>
          <w:tcPr>
            <w:tcW w:w="6095" w:type="dxa"/>
            <w:gridSpan w:val="3"/>
            <w:vAlign w:val="center"/>
          </w:tcPr>
          <w:p w14:paraId="0E60AF23">
            <w:pPr>
              <w:pStyle w:val="12"/>
            </w:pPr>
            <w:r>
              <w:t>冀财教[2025]119号/中央/2026年薄弱学校改造/西范小学体育场地改建</w:t>
            </w:r>
          </w:p>
        </w:tc>
      </w:tr>
      <w:tr w14:paraId="3258F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1984A">
            <w:pPr>
              <w:pStyle w:val="10"/>
            </w:pPr>
            <w:r>
              <w:t>预算规模及资金用途</w:t>
            </w:r>
          </w:p>
        </w:tc>
        <w:tc>
          <w:tcPr>
            <w:tcW w:w="2268" w:type="dxa"/>
            <w:vAlign w:val="center"/>
          </w:tcPr>
          <w:p w14:paraId="364CA877">
            <w:pPr>
              <w:pStyle w:val="10"/>
            </w:pPr>
            <w:r>
              <w:t>预算数</w:t>
            </w:r>
          </w:p>
        </w:tc>
        <w:tc>
          <w:tcPr>
            <w:tcW w:w="2835" w:type="dxa"/>
            <w:vAlign w:val="center"/>
          </w:tcPr>
          <w:p w14:paraId="30644462">
            <w:pPr>
              <w:pStyle w:val="12"/>
            </w:pPr>
            <w:r>
              <w:t>58.00</w:t>
            </w:r>
          </w:p>
        </w:tc>
        <w:tc>
          <w:tcPr>
            <w:tcW w:w="2835" w:type="dxa"/>
            <w:vAlign w:val="center"/>
          </w:tcPr>
          <w:p w14:paraId="1EF6F18C">
            <w:pPr>
              <w:pStyle w:val="10"/>
            </w:pPr>
            <w:r>
              <w:t>其中：财政    资金</w:t>
            </w:r>
          </w:p>
        </w:tc>
        <w:tc>
          <w:tcPr>
            <w:tcW w:w="2551" w:type="dxa"/>
            <w:vAlign w:val="center"/>
          </w:tcPr>
          <w:p w14:paraId="0F6C371E">
            <w:pPr>
              <w:pStyle w:val="12"/>
            </w:pPr>
            <w:r>
              <w:t>58.00</w:t>
            </w:r>
          </w:p>
        </w:tc>
        <w:tc>
          <w:tcPr>
            <w:tcW w:w="2268" w:type="dxa"/>
            <w:vAlign w:val="center"/>
          </w:tcPr>
          <w:p w14:paraId="6108A5CF">
            <w:pPr>
              <w:pStyle w:val="10"/>
            </w:pPr>
            <w:r>
              <w:t>其他资金</w:t>
            </w:r>
          </w:p>
        </w:tc>
        <w:tc>
          <w:tcPr>
            <w:tcW w:w="1276" w:type="dxa"/>
            <w:vAlign w:val="center"/>
          </w:tcPr>
          <w:p w14:paraId="1A1C49F2">
            <w:pPr>
              <w:pStyle w:val="12"/>
            </w:pPr>
            <w:r>
              <w:t xml:space="preserve"> </w:t>
            </w:r>
          </w:p>
        </w:tc>
      </w:tr>
      <w:tr w14:paraId="5A01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C2512"/>
        </w:tc>
        <w:tc>
          <w:tcPr>
            <w:tcW w:w="14033" w:type="dxa"/>
            <w:gridSpan w:val="6"/>
            <w:vAlign w:val="center"/>
          </w:tcPr>
          <w:p w14:paraId="437A35A9">
            <w:pPr>
              <w:pStyle w:val="12"/>
            </w:pPr>
            <w:r>
              <w:t>为改善学校办学条件，申请体育场地改建具体完成以下事项：透气性塑胶跑道铺设、免填充型草坪足球场铺设、CPU篮球场、下水道修建等</w:t>
            </w:r>
          </w:p>
        </w:tc>
      </w:tr>
      <w:tr w14:paraId="7AA3F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6D927">
            <w:pPr>
              <w:pStyle w:val="10"/>
            </w:pPr>
            <w:r>
              <w:t>资金支出计划（%）</w:t>
            </w:r>
          </w:p>
        </w:tc>
        <w:tc>
          <w:tcPr>
            <w:tcW w:w="5103" w:type="dxa"/>
            <w:gridSpan w:val="2"/>
            <w:vAlign w:val="center"/>
          </w:tcPr>
          <w:p w14:paraId="0E538B37">
            <w:pPr>
              <w:pStyle w:val="10"/>
            </w:pPr>
            <w:r>
              <w:t>3月底</w:t>
            </w:r>
          </w:p>
        </w:tc>
        <w:tc>
          <w:tcPr>
            <w:tcW w:w="2835" w:type="dxa"/>
            <w:vAlign w:val="center"/>
          </w:tcPr>
          <w:p w14:paraId="3850FA5C">
            <w:pPr>
              <w:pStyle w:val="10"/>
            </w:pPr>
            <w:r>
              <w:t>6月底</w:t>
            </w:r>
          </w:p>
        </w:tc>
        <w:tc>
          <w:tcPr>
            <w:tcW w:w="2551" w:type="dxa"/>
            <w:vAlign w:val="center"/>
          </w:tcPr>
          <w:p w14:paraId="4B08640D">
            <w:pPr>
              <w:pStyle w:val="10"/>
            </w:pPr>
            <w:r>
              <w:t>10月底</w:t>
            </w:r>
          </w:p>
        </w:tc>
        <w:tc>
          <w:tcPr>
            <w:tcW w:w="3544" w:type="dxa"/>
            <w:gridSpan w:val="2"/>
            <w:vAlign w:val="center"/>
          </w:tcPr>
          <w:p w14:paraId="763881C3">
            <w:pPr>
              <w:pStyle w:val="10"/>
            </w:pPr>
            <w:r>
              <w:t>12月底</w:t>
            </w:r>
          </w:p>
        </w:tc>
      </w:tr>
      <w:tr w14:paraId="24514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80F72"/>
        </w:tc>
        <w:tc>
          <w:tcPr>
            <w:tcW w:w="5103" w:type="dxa"/>
            <w:gridSpan w:val="2"/>
            <w:vAlign w:val="center"/>
          </w:tcPr>
          <w:p w14:paraId="11B17B89">
            <w:pPr>
              <w:pStyle w:val="13"/>
            </w:pPr>
            <w:r>
              <w:t xml:space="preserve"> </w:t>
            </w:r>
          </w:p>
        </w:tc>
        <w:tc>
          <w:tcPr>
            <w:tcW w:w="2835" w:type="dxa"/>
            <w:vAlign w:val="center"/>
          </w:tcPr>
          <w:p w14:paraId="485578FA">
            <w:pPr>
              <w:pStyle w:val="13"/>
            </w:pPr>
            <w:r>
              <w:t xml:space="preserve"> </w:t>
            </w:r>
          </w:p>
        </w:tc>
        <w:tc>
          <w:tcPr>
            <w:tcW w:w="2551" w:type="dxa"/>
            <w:vAlign w:val="center"/>
          </w:tcPr>
          <w:p w14:paraId="52CEB6D9">
            <w:pPr>
              <w:pStyle w:val="13"/>
            </w:pPr>
            <w:r>
              <w:t>100%</w:t>
            </w:r>
          </w:p>
        </w:tc>
        <w:tc>
          <w:tcPr>
            <w:tcW w:w="3544" w:type="dxa"/>
            <w:gridSpan w:val="2"/>
            <w:vAlign w:val="center"/>
          </w:tcPr>
          <w:p w14:paraId="11410924">
            <w:pPr>
              <w:pStyle w:val="13"/>
            </w:pPr>
            <w:r>
              <w:t>100%</w:t>
            </w:r>
          </w:p>
        </w:tc>
      </w:tr>
      <w:tr w14:paraId="2D690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67427">
            <w:pPr>
              <w:pStyle w:val="10"/>
            </w:pPr>
            <w:r>
              <w:t>绩效目标</w:t>
            </w:r>
          </w:p>
        </w:tc>
        <w:tc>
          <w:tcPr>
            <w:tcW w:w="14033" w:type="dxa"/>
            <w:gridSpan w:val="6"/>
            <w:vAlign w:val="center"/>
          </w:tcPr>
          <w:p w14:paraId="0CF38E7A">
            <w:pPr>
              <w:pStyle w:val="12"/>
            </w:pPr>
            <w:r>
              <w:t>1.拨付中央资金58</w:t>
            </w:r>
            <w:r>
              <w:rPr>
                <w:rFonts w:hint="eastAsia"/>
                <w:lang w:eastAsia="zh-CN"/>
              </w:rPr>
              <w:t>万元</w:t>
            </w:r>
            <w:r>
              <w:t>，按照序时进度完成拨付。</w:t>
            </w:r>
          </w:p>
          <w:p w14:paraId="03F15ADE">
            <w:pPr>
              <w:pStyle w:val="12"/>
            </w:pPr>
            <w:r>
              <w:t>2.为改善学校办学条件，申请体育场地改建具体完成以下事项：透气性塑胶跑道铺设、免填充型草坪足球场铺设、CPU篮球场、下水道修建等</w:t>
            </w:r>
          </w:p>
        </w:tc>
      </w:tr>
    </w:tbl>
    <w:p w14:paraId="4A28B6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0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B15FF1C">
            <w:pPr>
              <w:pStyle w:val="10"/>
            </w:pPr>
            <w:r>
              <w:t>一级指标</w:t>
            </w:r>
          </w:p>
        </w:tc>
        <w:tc>
          <w:tcPr>
            <w:tcW w:w="2268" w:type="dxa"/>
            <w:vAlign w:val="center"/>
          </w:tcPr>
          <w:p w14:paraId="111C168A">
            <w:pPr>
              <w:pStyle w:val="10"/>
            </w:pPr>
            <w:r>
              <w:t>二级指标</w:t>
            </w:r>
          </w:p>
        </w:tc>
        <w:tc>
          <w:tcPr>
            <w:tcW w:w="2835" w:type="dxa"/>
            <w:vAlign w:val="center"/>
          </w:tcPr>
          <w:p w14:paraId="1F12395A">
            <w:pPr>
              <w:pStyle w:val="10"/>
            </w:pPr>
            <w:r>
              <w:t>三级指标</w:t>
            </w:r>
          </w:p>
        </w:tc>
        <w:tc>
          <w:tcPr>
            <w:tcW w:w="5386" w:type="dxa"/>
            <w:vAlign w:val="center"/>
          </w:tcPr>
          <w:p w14:paraId="0162767A">
            <w:pPr>
              <w:pStyle w:val="10"/>
            </w:pPr>
            <w:r>
              <w:t>绩效指标描述</w:t>
            </w:r>
          </w:p>
        </w:tc>
        <w:tc>
          <w:tcPr>
            <w:tcW w:w="2268" w:type="dxa"/>
            <w:vAlign w:val="center"/>
          </w:tcPr>
          <w:p w14:paraId="27B4A4AE">
            <w:pPr>
              <w:pStyle w:val="10"/>
            </w:pPr>
            <w:r>
              <w:t>指标值</w:t>
            </w:r>
          </w:p>
        </w:tc>
        <w:tc>
          <w:tcPr>
            <w:tcW w:w="1276" w:type="dxa"/>
            <w:vAlign w:val="center"/>
          </w:tcPr>
          <w:p w14:paraId="194D12B8">
            <w:pPr>
              <w:pStyle w:val="10"/>
            </w:pPr>
            <w:r>
              <w:t>指标值确定依据</w:t>
            </w:r>
          </w:p>
        </w:tc>
      </w:tr>
      <w:tr w14:paraId="0BFF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C252D">
            <w:pPr>
              <w:pStyle w:val="13"/>
            </w:pPr>
            <w:r>
              <w:t>产出指标</w:t>
            </w:r>
          </w:p>
        </w:tc>
        <w:tc>
          <w:tcPr>
            <w:tcW w:w="2268" w:type="dxa"/>
            <w:vAlign w:val="center"/>
          </w:tcPr>
          <w:p w14:paraId="5F7FAAE8">
            <w:pPr>
              <w:pStyle w:val="12"/>
            </w:pPr>
            <w:r>
              <w:t>数量指标</w:t>
            </w:r>
          </w:p>
        </w:tc>
        <w:tc>
          <w:tcPr>
            <w:tcW w:w="2835" w:type="dxa"/>
            <w:vAlign w:val="center"/>
          </w:tcPr>
          <w:p w14:paraId="30370C76">
            <w:pPr>
              <w:pStyle w:val="12"/>
            </w:pPr>
            <w:r>
              <w:t>西范小学体育场地改建</w:t>
            </w:r>
          </w:p>
        </w:tc>
        <w:tc>
          <w:tcPr>
            <w:tcW w:w="5386" w:type="dxa"/>
            <w:vAlign w:val="center"/>
          </w:tcPr>
          <w:p w14:paraId="6E504F73">
            <w:pPr>
              <w:pStyle w:val="12"/>
            </w:pPr>
            <w:r>
              <w:t>透气性塑胶跑道、免填充型草坪足球场</w:t>
            </w:r>
          </w:p>
        </w:tc>
        <w:tc>
          <w:tcPr>
            <w:tcW w:w="2268" w:type="dxa"/>
            <w:vAlign w:val="center"/>
          </w:tcPr>
          <w:p w14:paraId="014BFC09">
            <w:pPr>
              <w:pStyle w:val="12"/>
            </w:pPr>
            <w:r>
              <w:t>3470平方米</w:t>
            </w:r>
          </w:p>
        </w:tc>
        <w:tc>
          <w:tcPr>
            <w:tcW w:w="1276" w:type="dxa"/>
            <w:vAlign w:val="center"/>
          </w:tcPr>
          <w:p w14:paraId="21195C2E">
            <w:pPr>
              <w:pStyle w:val="12"/>
            </w:pPr>
            <w:r>
              <w:t>项目规划</w:t>
            </w:r>
          </w:p>
        </w:tc>
      </w:tr>
      <w:tr w14:paraId="4E40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2E7C6"/>
        </w:tc>
        <w:tc>
          <w:tcPr>
            <w:tcW w:w="2268" w:type="dxa"/>
            <w:vAlign w:val="center"/>
          </w:tcPr>
          <w:p w14:paraId="0DE2618D">
            <w:pPr>
              <w:pStyle w:val="12"/>
            </w:pPr>
            <w:r>
              <w:t>质量指标</w:t>
            </w:r>
          </w:p>
        </w:tc>
        <w:tc>
          <w:tcPr>
            <w:tcW w:w="2835" w:type="dxa"/>
            <w:vAlign w:val="center"/>
          </w:tcPr>
          <w:p w14:paraId="0C45A5A0">
            <w:pPr>
              <w:pStyle w:val="12"/>
            </w:pPr>
            <w:r>
              <w:t>项目竣工验收合格率</w:t>
            </w:r>
          </w:p>
        </w:tc>
        <w:tc>
          <w:tcPr>
            <w:tcW w:w="5386" w:type="dxa"/>
            <w:vAlign w:val="center"/>
          </w:tcPr>
          <w:p w14:paraId="61173515">
            <w:pPr>
              <w:pStyle w:val="12"/>
            </w:pPr>
            <w:r>
              <w:t>项目改造质量达标率</w:t>
            </w:r>
          </w:p>
        </w:tc>
        <w:tc>
          <w:tcPr>
            <w:tcW w:w="2268" w:type="dxa"/>
            <w:vAlign w:val="center"/>
          </w:tcPr>
          <w:p w14:paraId="282144E9">
            <w:pPr>
              <w:pStyle w:val="12"/>
            </w:pPr>
            <w:r>
              <w:t>100%</w:t>
            </w:r>
          </w:p>
        </w:tc>
        <w:tc>
          <w:tcPr>
            <w:tcW w:w="1276" w:type="dxa"/>
            <w:vAlign w:val="center"/>
          </w:tcPr>
          <w:p w14:paraId="697A6DF9">
            <w:pPr>
              <w:pStyle w:val="12"/>
            </w:pPr>
            <w:r>
              <w:t>项目规划</w:t>
            </w:r>
          </w:p>
        </w:tc>
      </w:tr>
      <w:tr w14:paraId="2351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D5F8"/>
        </w:tc>
        <w:tc>
          <w:tcPr>
            <w:tcW w:w="2268" w:type="dxa"/>
            <w:vAlign w:val="center"/>
          </w:tcPr>
          <w:p w14:paraId="7A509E3B">
            <w:pPr>
              <w:pStyle w:val="12"/>
            </w:pPr>
            <w:r>
              <w:t>时效指标</w:t>
            </w:r>
          </w:p>
        </w:tc>
        <w:tc>
          <w:tcPr>
            <w:tcW w:w="2835" w:type="dxa"/>
            <w:vAlign w:val="center"/>
          </w:tcPr>
          <w:p w14:paraId="3F64D254">
            <w:pPr>
              <w:pStyle w:val="12"/>
            </w:pPr>
            <w:r>
              <w:t>项目实际成本</w:t>
            </w:r>
          </w:p>
        </w:tc>
        <w:tc>
          <w:tcPr>
            <w:tcW w:w="5386" w:type="dxa"/>
            <w:vAlign w:val="center"/>
          </w:tcPr>
          <w:p w14:paraId="452507FB">
            <w:pPr>
              <w:pStyle w:val="12"/>
            </w:pPr>
            <w:r>
              <w:t>工程实际成本</w:t>
            </w:r>
          </w:p>
        </w:tc>
        <w:tc>
          <w:tcPr>
            <w:tcW w:w="2268" w:type="dxa"/>
            <w:vAlign w:val="center"/>
          </w:tcPr>
          <w:p w14:paraId="4D676074">
            <w:pPr>
              <w:pStyle w:val="12"/>
            </w:pPr>
            <w:r>
              <w:t>58万元</w:t>
            </w:r>
          </w:p>
        </w:tc>
        <w:tc>
          <w:tcPr>
            <w:tcW w:w="1276" w:type="dxa"/>
            <w:vAlign w:val="center"/>
          </w:tcPr>
          <w:p w14:paraId="7DAC2704">
            <w:pPr>
              <w:pStyle w:val="12"/>
            </w:pPr>
            <w:r>
              <w:t>项目规划</w:t>
            </w:r>
          </w:p>
        </w:tc>
      </w:tr>
      <w:tr w14:paraId="2B8E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9E3C6"/>
        </w:tc>
        <w:tc>
          <w:tcPr>
            <w:tcW w:w="2268" w:type="dxa"/>
            <w:vAlign w:val="center"/>
          </w:tcPr>
          <w:p w14:paraId="6C19C706">
            <w:pPr>
              <w:pStyle w:val="12"/>
            </w:pPr>
            <w:r>
              <w:t>成本指标</w:t>
            </w:r>
          </w:p>
        </w:tc>
        <w:tc>
          <w:tcPr>
            <w:tcW w:w="2835" w:type="dxa"/>
            <w:vAlign w:val="center"/>
          </w:tcPr>
          <w:p w14:paraId="12202DCA">
            <w:pPr>
              <w:pStyle w:val="12"/>
            </w:pPr>
            <w:r>
              <w:t>预算执行率</w:t>
            </w:r>
          </w:p>
        </w:tc>
        <w:tc>
          <w:tcPr>
            <w:tcW w:w="5386" w:type="dxa"/>
            <w:vAlign w:val="center"/>
          </w:tcPr>
          <w:p w14:paraId="161AF69B">
            <w:pPr>
              <w:pStyle w:val="12"/>
            </w:pPr>
            <w:r>
              <w:t>按照工程时间进行资金支付</w:t>
            </w:r>
          </w:p>
        </w:tc>
        <w:tc>
          <w:tcPr>
            <w:tcW w:w="2268" w:type="dxa"/>
            <w:vAlign w:val="center"/>
          </w:tcPr>
          <w:p w14:paraId="63DA256C">
            <w:pPr>
              <w:pStyle w:val="12"/>
            </w:pPr>
            <w:r>
              <w:t>≥95%</w:t>
            </w:r>
          </w:p>
        </w:tc>
        <w:tc>
          <w:tcPr>
            <w:tcW w:w="1276" w:type="dxa"/>
            <w:vAlign w:val="center"/>
          </w:tcPr>
          <w:p w14:paraId="0A64D52A">
            <w:pPr>
              <w:pStyle w:val="12"/>
            </w:pPr>
            <w:r>
              <w:t>项目规划</w:t>
            </w:r>
          </w:p>
        </w:tc>
      </w:tr>
      <w:tr w14:paraId="5B44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1FCDF">
            <w:pPr>
              <w:pStyle w:val="13"/>
            </w:pPr>
            <w:r>
              <w:t>效益指标</w:t>
            </w:r>
          </w:p>
        </w:tc>
        <w:tc>
          <w:tcPr>
            <w:tcW w:w="2268" w:type="dxa"/>
            <w:vAlign w:val="center"/>
          </w:tcPr>
          <w:p w14:paraId="392A4097">
            <w:pPr>
              <w:pStyle w:val="12"/>
            </w:pPr>
            <w:r>
              <w:t>可持续影响指标</w:t>
            </w:r>
          </w:p>
        </w:tc>
        <w:tc>
          <w:tcPr>
            <w:tcW w:w="2835" w:type="dxa"/>
            <w:vAlign w:val="center"/>
          </w:tcPr>
          <w:p w14:paraId="05D7B4B7">
            <w:pPr>
              <w:pStyle w:val="12"/>
            </w:pPr>
            <w:r>
              <w:t>工程使用年限</w:t>
            </w:r>
          </w:p>
        </w:tc>
        <w:tc>
          <w:tcPr>
            <w:tcW w:w="5386" w:type="dxa"/>
            <w:vAlign w:val="center"/>
          </w:tcPr>
          <w:p w14:paraId="15973644">
            <w:pPr>
              <w:pStyle w:val="12"/>
            </w:pPr>
            <w:r>
              <w:t>项目实施，有效改善教学环境</w:t>
            </w:r>
          </w:p>
        </w:tc>
        <w:tc>
          <w:tcPr>
            <w:tcW w:w="2268" w:type="dxa"/>
            <w:vAlign w:val="center"/>
          </w:tcPr>
          <w:p w14:paraId="5F43DAA8">
            <w:pPr>
              <w:pStyle w:val="12"/>
            </w:pPr>
            <w:r>
              <w:t>6年</w:t>
            </w:r>
          </w:p>
        </w:tc>
        <w:tc>
          <w:tcPr>
            <w:tcW w:w="1276" w:type="dxa"/>
            <w:vAlign w:val="center"/>
          </w:tcPr>
          <w:p w14:paraId="5D58FF87">
            <w:pPr>
              <w:pStyle w:val="12"/>
            </w:pPr>
            <w:r>
              <w:t>项目规划</w:t>
            </w:r>
          </w:p>
        </w:tc>
      </w:tr>
      <w:tr w14:paraId="7C8C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5C86F">
            <w:pPr>
              <w:pStyle w:val="13"/>
            </w:pPr>
            <w:r>
              <w:t>满意度指标</w:t>
            </w:r>
          </w:p>
        </w:tc>
        <w:tc>
          <w:tcPr>
            <w:tcW w:w="2268" w:type="dxa"/>
            <w:vAlign w:val="center"/>
          </w:tcPr>
          <w:p w14:paraId="10C40B4F">
            <w:pPr>
              <w:pStyle w:val="12"/>
            </w:pPr>
            <w:r>
              <w:t>服务对象满意度指标</w:t>
            </w:r>
          </w:p>
        </w:tc>
        <w:tc>
          <w:tcPr>
            <w:tcW w:w="2835" w:type="dxa"/>
            <w:vAlign w:val="center"/>
          </w:tcPr>
          <w:p w14:paraId="393181B9">
            <w:pPr>
              <w:pStyle w:val="12"/>
            </w:pPr>
            <w:r>
              <w:t>受益学生家长及调查满意度</w:t>
            </w:r>
          </w:p>
        </w:tc>
        <w:tc>
          <w:tcPr>
            <w:tcW w:w="5386" w:type="dxa"/>
            <w:vAlign w:val="center"/>
          </w:tcPr>
          <w:p w14:paraId="63BFFA98">
            <w:pPr>
              <w:pStyle w:val="12"/>
            </w:pPr>
            <w:r>
              <w:t>学生、教师及家长对学校工作满意度情况</w:t>
            </w:r>
          </w:p>
        </w:tc>
        <w:tc>
          <w:tcPr>
            <w:tcW w:w="2268" w:type="dxa"/>
            <w:vAlign w:val="center"/>
          </w:tcPr>
          <w:p w14:paraId="0A165D2B">
            <w:pPr>
              <w:pStyle w:val="12"/>
            </w:pPr>
            <w:r>
              <w:t>≥95%</w:t>
            </w:r>
          </w:p>
        </w:tc>
        <w:tc>
          <w:tcPr>
            <w:tcW w:w="1276" w:type="dxa"/>
            <w:vAlign w:val="center"/>
          </w:tcPr>
          <w:p w14:paraId="05DB3FD6">
            <w:pPr>
              <w:pStyle w:val="12"/>
            </w:pPr>
            <w:r>
              <w:t>群众测评</w:t>
            </w:r>
          </w:p>
        </w:tc>
      </w:tr>
    </w:tbl>
    <w:p w14:paraId="04DE7A9C">
      <w:pPr>
        <w:sectPr>
          <w:pgSz w:w="16840" w:h="11900" w:orient="landscape"/>
          <w:pgMar w:top="1361" w:right="1020" w:bottom="1134" w:left="1020" w:header="720" w:footer="720" w:gutter="0"/>
          <w:cols w:space="720" w:num="1"/>
        </w:sectPr>
      </w:pPr>
    </w:p>
    <w:p w14:paraId="23244899">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3、冀财教[2025]121号/中央/2026年义教补助经费/莲子镇校区白家寨小学公用经费绩效目标表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49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33736">
            <w:pPr>
              <w:pStyle w:val="11"/>
            </w:pPr>
            <w:r>
              <w:t>单位：万元</w:t>
            </w:r>
          </w:p>
        </w:tc>
      </w:tr>
      <w:tr w14:paraId="5A2B0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F32F0">
            <w:pPr>
              <w:pStyle w:val="10"/>
            </w:pPr>
            <w:r>
              <w:t>项目编码</w:t>
            </w:r>
          </w:p>
        </w:tc>
        <w:tc>
          <w:tcPr>
            <w:tcW w:w="5103" w:type="dxa"/>
            <w:gridSpan w:val="2"/>
            <w:vAlign w:val="center"/>
          </w:tcPr>
          <w:p w14:paraId="06238D27">
            <w:pPr>
              <w:pStyle w:val="12"/>
            </w:pPr>
            <w:r>
              <w:t>13052526P00000410316U</w:t>
            </w:r>
          </w:p>
        </w:tc>
        <w:tc>
          <w:tcPr>
            <w:tcW w:w="2835" w:type="dxa"/>
            <w:vAlign w:val="center"/>
          </w:tcPr>
          <w:p w14:paraId="180739AA">
            <w:pPr>
              <w:pStyle w:val="10"/>
            </w:pPr>
            <w:r>
              <w:t>项目名称</w:t>
            </w:r>
          </w:p>
        </w:tc>
        <w:tc>
          <w:tcPr>
            <w:tcW w:w="6095" w:type="dxa"/>
            <w:gridSpan w:val="3"/>
            <w:vAlign w:val="center"/>
          </w:tcPr>
          <w:p w14:paraId="55E31E2E">
            <w:pPr>
              <w:pStyle w:val="12"/>
            </w:pPr>
            <w:r>
              <w:t>冀财教[2025]121号/中央/2026年义教补助经费/莲子镇校区白家寨小学公用经费</w:t>
            </w:r>
          </w:p>
        </w:tc>
      </w:tr>
      <w:tr w14:paraId="60050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0167C">
            <w:pPr>
              <w:pStyle w:val="10"/>
            </w:pPr>
            <w:r>
              <w:t>预算规模及资金用途</w:t>
            </w:r>
          </w:p>
        </w:tc>
        <w:tc>
          <w:tcPr>
            <w:tcW w:w="2268" w:type="dxa"/>
            <w:vAlign w:val="center"/>
          </w:tcPr>
          <w:p w14:paraId="292949D1">
            <w:pPr>
              <w:pStyle w:val="10"/>
            </w:pPr>
            <w:r>
              <w:t>预算数</w:t>
            </w:r>
          </w:p>
        </w:tc>
        <w:tc>
          <w:tcPr>
            <w:tcW w:w="2835" w:type="dxa"/>
            <w:vAlign w:val="center"/>
          </w:tcPr>
          <w:p w14:paraId="64EEA802">
            <w:pPr>
              <w:pStyle w:val="12"/>
            </w:pPr>
            <w:r>
              <w:t>17.46</w:t>
            </w:r>
          </w:p>
        </w:tc>
        <w:tc>
          <w:tcPr>
            <w:tcW w:w="2835" w:type="dxa"/>
            <w:vAlign w:val="center"/>
          </w:tcPr>
          <w:p w14:paraId="3C6D8800">
            <w:pPr>
              <w:pStyle w:val="10"/>
            </w:pPr>
            <w:r>
              <w:t>其中：财政    资金</w:t>
            </w:r>
          </w:p>
        </w:tc>
        <w:tc>
          <w:tcPr>
            <w:tcW w:w="2551" w:type="dxa"/>
            <w:vAlign w:val="center"/>
          </w:tcPr>
          <w:p w14:paraId="59F8016F">
            <w:pPr>
              <w:pStyle w:val="12"/>
            </w:pPr>
            <w:r>
              <w:t>17.46</w:t>
            </w:r>
          </w:p>
        </w:tc>
        <w:tc>
          <w:tcPr>
            <w:tcW w:w="2268" w:type="dxa"/>
            <w:vAlign w:val="center"/>
          </w:tcPr>
          <w:p w14:paraId="54948C0E">
            <w:pPr>
              <w:pStyle w:val="10"/>
            </w:pPr>
            <w:r>
              <w:t>其他资金</w:t>
            </w:r>
          </w:p>
        </w:tc>
        <w:tc>
          <w:tcPr>
            <w:tcW w:w="1276" w:type="dxa"/>
            <w:vAlign w:val="center"/>
          </w:tcPr>
          <w:p w14:paraId="1D44D829">
            <w:pPr>
              <w:pStyle w:val="12"/>
            </w:pPr>
            <w:r>
              <w:t xml:space="preserve"> </w:t>
            </w:r>
          </w:p>
        </w:tc>
      </w:tr>
      <w:tr w14:paraId="30A78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C8D27"/>
        </w:tc>
        <w:tc>
          <w:tcPr>
            <w:tcW w:w="14033" w:type="dxa"/>
            <w:gridSpan w:val="6"/>
            <w:vAlign w:val="center"/>
          </w:tcPr>
          <w:p w14:paraId="267CA9A4">
            <w:pPr>
              <w:pStyle w:val="12"/>
            </w:pPr>
            <w:r>
              <w:t>保障学校正常运转，完成各项教育教学活动和其他日常工作任务等方面的费用支出。</w:t>
            </w:r>
          </w:p>
        </w:tc>
      </w:tr>
      <w:tr w14:paraId="4B08C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FA42B">
            <w:pPr>
              <w:pStyle w:val="10"/>
            </w:pPr>
            <w:r>
              <w:t>资金支出计划（%）</w:t>
            </w:r>
          </w:p>
        </w:tc>
        <w:tc>
          <w:tcPr>
            <w:tcW w:w="5103" w:type="dxa"/>
            <w:gridSpan w:val="2"/>
            <w:vAlign w:val="center"/>
          </w:tcPr>
          <w:p w14:paraId="2AB2681A">
            <w:pPr>
              <w:pStyle w:val="10"/>
            </w:pPr>
            <w:r>
              <w:t>3月底</w:t>
            </w:r>
          </w:p>
        </w:tc>
        <w:tc>
          <w:tcPr>
            <w:tcW w:w="2835" w:type="dxa"/>
            <w:vAlign w:val="center"/>
          </w:tcPr>
          <w:p w14:paraId="55E77753">
            <w:pPr>
              <w:pStyle w:val="10"/>
            </w:pPr>
            <w:r>
              <w:t>6月底</w:t>
            </w:r>
          </w:p>
        </w:tc>
        <w:tc>
          <w:tcPr>
            <w:tcW w:w="2551" w:type="dxa"/>
            <w:vAlign w:val="center"/>
          </w:tcPr>
          <w:p w14:paraId="492A0A93">
            <w:pPr>
              <w:pStyle w:val="10"/>
            </w:pPr>
            <w:r>
              <w:t>10月底</w:t>
            </w:r>
          </w:p>
        </w:tc>
        <w:tc>
          <w:tcPr>
            <w:tcW w:w="3544" w:type="dxa"/>
            <w:gridSpan w:val="2"/>
            <w:vAlign w:val="center"/>
          </w:tcPr>
          <w:p w14:paraId="322793C3">
            <w:pPr>
              <w:pStyle w:val="10"/>
            </w:pPr>
            <w:r>
              <w:t>12月底</w:t>
            </w:r>
          </w:p>
        </w:tc>
      </w:tr>
      <w:tr w14:paraId="6AE1D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ED9E2"/>
        </w:tc>
        <w:tc>
          <w:tcPr>
            <w:tcW w:w="5103" w:type="dxa"/>
            <w:gridSpan w:val="2"/>
            <w:vAlign w:val="center"/>
          </w:tcPr>
          <w:p w14:paraId="475F958F">
            <w:pPr>
              <w:pStyle w:val="13"/>
            </w:pPr>
            <w:r>
              <w:t>25%</w:t>
            </w:r>
          </w:p>
        </w:tc>
        <w:tc>
          <w:tcPr>
            <w:tcW w:w="2835" w:type="dxa"/>
            <w:vAlign w:val="center"/>
          </w:tcPr>
          <w:p w14:paraId="0D7F8D59">
            <w:pPr>
              <w:pStyle w:val="13"/>
            </w:pPr>
            <w:r>
              <w:t>50%</w:t>
            </w:r>
          </w:p>
        </w:tc>
        <w:tc>
          <w:tcPr>
            <w:tcW w:w="2551" w:type="dxa"/>
            <w:vAlign w:val="center"/>
          </w:tcPr>
          <w:p w14:paraId="46B01B11">
            <w:pPr>
              <w:pStyle w:val="13"/>
            </w:pPr>
            <w:r>
              <w:t>75%</w:t>
            </w:r>
          </w:p>
        </w:tc>
        <w:tc>
          <w:tcPr>
            <w:tcW w:w="3544" w:type="dxa"/>
            <w:gridSpan w:val="2"/>
            <w:vAlign w:val="center"/>
          </w:tcPr>
          <w:p w14:paraId="312F880A">
            <w:pPr>
              <w:pStyle w:val="13"/>
            </w:pPr>
            <w:r>
              <w:t>100%</w:t>
            </w:r>
          </w:p>
        </w:tc>
      </w:tr>
      <w:tr w14:paraId="7D8FE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1E5EC">
            <w:pPr>
              <w:pStyle w:val="10"/>
            </w:pPr>
            <w:r>
              <w:t>绩效目标</w:t>
            </w:r>
          </w:p>
        </w:tc>
        <w:tc>
          <w:tcPr>
            <w:tcW w:w="14033" w:type="dxa"/>
            <w:gridSpan w:val="6"/>
            <w:vAlign w:val="center"/>
          </w:tcPr>
          <w:p w14:paraId="1CFD4C13">
            <w:pPr>
              <w:pStyle w:val="12"/>
            </w:pPr>
            <w:r>
              <w:t>1.按季度分批次拨付公用经费资金，资金拨付率达到100%。</w:t>
            </w:r>
          </w:p>
          <w:p w14:paraId="7B78B6F7">
            <w:pPr>
              <w:pStyle w:val="12"/>
            </w:pPr>
            <w:r>
              <w:t>2.保障学校正常运转，完成各项教育教学活动和其他日常工作任务等方面的费用支出。</w:t>
            </w:r>
          </w:p>
        </w:tc>
      </w:tr>
    </w:tbl>
    <w:p w14:paraId="3E3BF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8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55910">
            <w:pPr>
              <w:pStyle w:val="10"/>
            </w:pPr>
            <w:r>
              <w:t>一级指标</w:t>
            </w:r>
          </w:p>
        </w:tc>
        <w:tc>
          <w:tcPr>
            <w:tcW w:w="2268" w:type="dxa"/>
            <w:vAlign w:val="center"/>
          </w:tcPr>
          <w:p w14:paraId="3A7CD24D">
            <w:pPr>
              <w:pStyle w:val="10"/>
            </w:pPr>
            <w:r>
              <w:t>二级指标</w:t>
            </w:r>
          </w:p>
        </w:tc>
        <w:tc>
          <w:tcPr>
            <w:tcW w:w="2835" w:type="dxa"/>
            <w:vAlign w:val="center"/>
          </w:tcPr>
          <w:p w14:paraId="57CB207B">
            <w:pPr>
              <w:pStyle w:val="10"/>
            </w:pPr>
            <w:r>
              <w:t>三级指标</w:t>
            </w:r>
          </w:p>
        </w:tc>
        <w:tc>
          <w:tcPr>
            <w:tcW w:w="5386" w:type="dxa"/>
            <w:vAlign w:val="center"/>
          </w:tcPr>
          <w:p w14:paraId="1491DF2A">
            <w:pPr>
              <w:pStyle w:val="10"/>
            </w:pPr>
            <w:r>
              <w:t>绩效指标描述</w:t>
            </w:r>
          </w:p>
        </w:tc>
        <w:tc>
          <w:tcPr>
            <w:tcW w:w="2268" w:type="dxa"/>
            <w:vAlign w:val="center"/>
          </w:tcPr>
          <w:p w14:paraId="0F213B51">
            <w:pPr>
              <w:pStyle w:val="10"/>
            </w:pPr>
            <w:r>
              <w:t>指标值</w:t>
            </w:r>
          </w:p>
        </w:tc>
        <w:tc>
          <w:tcPr>
            <w:tcW w:w="1276" w:type="dxa"/>
            <w:vAlign w:val="center"/>
          </w:tcPr>
          <w:p w14:paraId="5CAE2B4B">
            <w:pPr>
              <w:pStyle w:val="10"/>
            </w:pPr>
            <w:r>
              <w:t>指标值确定依据</w:t>
            </w:r>
          </w:p>
        </w:tc>
      </w:tr>
      <w:tr w14:paraId="6DDDD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842E1">
            <w:pPr>
              <w:pStyle w:val="13"/>
            </w:pPr>
            <w:r>
              <w:t>产出指标</w:t>
            </w:r>
          </w:p>
        </w:tc>
        <w:tc>
          <w:tcPr>
            <w:tcW w:w="2268" w:type="dxa"/>
            <w:vAlign w:val="center"/>
          </w:tcPr>
          <w:p w14:paraId="5D86B5D3">
            <w:pPr>
              <w:pStyle w:val="12"/>
            </w:pPr>
            <w:r>
              <w:t>数量指标</w:t>
            </w:r>
          </w:p>
        </w:tc>
        <w:tc>
          <w:tcPr>
            <w:tcW w:w="2835" w:type="dxa"/>
            <w:vAlign w:val="center"/>
          </w:tcPr>
          <w:p w14:paraId="12520A3C">
            <w:pPr>
              <w:pStyle w:val="12"/>
            </w:pPr>
            <w:r>
              <w:t>就读学生数</w:t>
            </w:r>
          </w:p>
        </w:tc>
        <w:tc>
          <w:tcPr>
            <w:tcW w:w="5386" w:type="dxa"/>
            <w:vAlign w:val="center"/>
          </w:tcPr>
          <w:p w14:paraId="79779BAA">
            <w:pPr>
              <w:pStyle w:val="12"/>
            </w:pPr>
            <w:r>
              <w:t>辐射区域内适龄学生人数</w:t>
            </w:r>
          </w:p>
        </w:tc>
        <w:tc>
          <w:tcPr>
            <w:tcW w:w="2268" w:type="dxa"/>
            <w:vAlign w:val="center"/>
          </w:tcPr>
          <w:p w14:paraId="66EDE426">
            <w:pPr>
              <w:pStyle w:val="12"/>
            </w:pPr>
            <w:r>
              <w:t>317人</w:t>
            </w:r>
          </w:p>
        </w:tc>
        <w:tc>
          <w:tcPr>
            <w:tcW w:w="1276" w:type="dxa"/>
            <w:vAlign w:val="center"/>
          </w:tcPr>
          <w:p w14:paraId="1EEA82FD">
            <w:pPr>
              <w:pStyle w:val="12"/>
            </w:pPr>
            <w:r>
              <w:t>城乡义务教育公用经费管理办法</w:t>
            </w:r>
          </w:p>
        </w:tc>
      </w:tr>
      <w:tr w14:paraId="26D0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B7F88"/>
        </w:tc>
        <w:tc>
          <w:tcPr>
            <w:tcW w:w="2268" w:type="dxa"/>
            <w:vAlign w:val="center"/>
          </w:tcPr>
          <w:p w14:paraId="79D40C70">
            <w:pPr>
              <w:pStyle w:val="12"/>
            </w:pPr>
            <w:r>
              <w:t>质量指标</w:t>
            </w:r>
          </w:p>
        </w:tc>
        <w:tc>
          <w:tcPr>
            <w:tcW w:w="2835" w:type="dxa"/>
            <w:vAlign w:val="center"/>
          </w:tcPr>
          <w:p w14:paraId="48EFE648">
            <w:pPr>
              <w:pStyle w:val="12"/>
            </w:pPr>
            <w:r>
              <w:t>预算执行率</w:t>
            </w:r>
          </w:p>
        </w:tc>
        <w:tc>
          <w:tcPr>
            <w:tcW w:w="5386" w:type="dxa"/>
            <w:vAlign w:val="center"/>
          </w:tcPr>
          <w:p w14:paraId="7512C193">
            <w:pPr>
              <w:pStyle w:val="12"/>
            </w:pPr>
            <w:r>
              <w:t>预算执行率</w:t>
            </w:r>
          </w:p>
        </w:tc>
        <w:tc>
          <w:tcPr>
            <w:tcW w:w="2268" w:type="dxa"/>
            <w:vAlign w:val="center"/>
          </w:tcPr>
          <w:p w14:paraId="1646915A">
            <w:pPr>
              <w:pStyle w:val="12"/>
            </w:pPr>
            <w:r>
              <w:t>≥95%</w:t>
            </w:r>
          </w:p>
        </w:tc>
        <w:tc>
          <w:tcPr>
            <w:tcW w:w="1276" w:type="dxa"/>
            <w:vAlign w:val="center"/>
          </w:tcPr>
          <w:p w14:paraId="53AC10B9">
            <w:pPr>
              <w:pStyle w:val="12"/>
            </w:pPr>
            <w:r>
              <w:t>城乡义务教育公用经费管理办法</w:t>
            </w:r>
          </w:p>
        </w:tc>
      </w:tr>
      <w:tr w14:paraId="1A52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264BA"/>
        </w:tc>
        <w:tc>
          <w:tcPr>
            <w:tcW w:w="2268" w:type="dxa"/>
            <w:vAlign w:val="center"/>
          </w:tcPr>
          <w:p w14:paraId="2B774A83">
            <w:pPr>
              <w:pStyle w:val="12"/>
            </w:pPr>
            <w:r>
              <w:t>时效指标</w:t>
            </w:r>
          </w:p>
        </w:tc>
        <w:tc>
          <w:tcPr>
            <w:tcW w:w="2835" w:type="dxa"/>
            <w:vAlign w:val="center"/>
          </w:tcPr>
          <w:p w14:paraId="634BF3BF">
            <w:pPr>
              <w:pStyle w:val="12"/>
            </w:pPr>
            <w:r>
              <w:t>义教经费支付完成率</w:t>
            </w:r>
          </w:p>
        </w:tc>
        <w:tc>
          <w:tcPr>
            <w:tcW w:w="5386" w:type="dxa"/>
            <w:vAlign w:val="center"/>
          </w:tcPr>
          <w:p w14:paraId="5ED05935">
            <w:pPr>
              <w:pStyle w:val="12"/>
            </w:pPr>
            <w:r>
              <w:t>按照序时进度完成资金支付</w:t>
            </w:r>
          </w:p>
        </w:tc>
        <w:tc>
          <w:tcPr>
            <w:tcW w:w="2268" w:type="dxa"/>
            <w:vAlign w:val="center"/>
          </w:tcPr>
          <w:p w14:paraId="7E0B386B">
            <w:pPr>
              <w:pStyle w:val="12"/>
            </w:pPr>
            <w:r>
              <w:t>100%</w:t>
            </w:r>
          </w:p>
        </w:tc>
        <w:tc>
          <w:tcPr>
            <w:tcW w:w="1276" w:type="dxa"/>
            <w:vAlign w:val="center"/>
          </w:tcPr>
          <w:p w14:paraId="05E8EFEC">
            <w:pPr>
              <w:pStyle w:val="12"/>
            </w:pPr>
            <w:r>
              <w:t>城乡义务教育公用经费管理办法</w:t>
            </w:r>
          </w:p>
        </w:tc>
      </w:tr>
      <w:tr w14:paraId="21FF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EA74B"/>
        </w:tc>
        <w:tc>
          <w:tcPr>
            <w:tcW w:w="2268" w:type="dxa"/>
            <w:vAlign w:val="center"/>
          </w:tcPr>
          <w:p w14:paraId="6D154EC0">
            <w:pPr>
              <w:pStyle w:val="12"/>
            </w:pPr>
            <w:r>
              <w:t>成本指标</w:t>
            </w:r>
          </w:p>
        </w:tc>
        <w:tc>
          <w:tcPr>
            <w:tcW w:w="2835" w:type="dxa"/>
            <w:vAlign w:val="center"/>
          </w:tcPr>
          <w:p w14:paraId="51ACE952">
            <w:pPr>
              <w:pStyle w:val="12"/>
            </w:pPr>
            <w:r>
              <w:t>生均拨款标准</w:t>
            </w:r>
          </w:p>
        </w:tc>
        <w:tc>
          <w:tcPr>
            <w:tcW w:w="5386" w:type="dxa"/>
            <w:vAlign w:val="center"/>
          </w:tcPr>
          <w:p w14:paraId="175EE4F2">
            <w:pPr>
              <w:pStyle w:val="12"/>
            </w:pPr>
            <w:r>
              <w:t>小学生公用经费生均公用经费基准定额为720元/年/生，取暖费120元/年/生，住宿生补助300元/年/生的标准，随班就读学生补助7000元/生/年</w:t>
            </w:r>
          </w:p>
        </w:tc>
        <w:tc>
          <w:tcPr>
            <w:tcW w:w="2268" w:type="dxa"/>
            <w:vAlign w:val="center"/>
          </w:tcPr>
          <w:p w14:paraId="78CDC5C4">
            <w:pPr>
              <w:pStyle w:val="12"/>
            </w:pPr>
            <w:r>
              <w:t>840元</w:t>
            </w:r>
          </w:p>
        </w:tc>
        <w:tc>
          <w:tcPr>
            <w:tcW w:w="1276" w:type="dxa"/>
            <w:vAlign w:val="center"/>
          </w:tcPr>
          <w:p w14:paraId="6A5D3ABB">
            <w:pPr>
              <w:pStyle w:val="12"/>
            </w:pPr>
            <w:r>
              <w:t>城乡义务教育公用经费管理办法</w:t>
            </w:r>
          </w:p>
        </w:tc>
      </w:tr>
      <w:tr w14:paraId="67D18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78C07">
            <w:pPr>
              <w:pStyle w:val="13"/>
            </w:pPr>
            <w:r>
              <w:t>效益指标</w:t>
            </w:r>
          </w:p>
        </w:tc>
        <w:tc>
          <w:tcPr>
            <w:tcW w:w="2268" w:type="dxa"/>
            <w:vAlign w:val="center"/>
          </w:tcPr>
          <w:p w14:paraId="200CA0EF">
            <w:pPr>
              <w:pStyle w:val="12"/>
            </w:pPr>
            <w:r>
              <w:t>可持续影响指标</w:t>
            </w:r>
          </w:p>
        </w:tc>
        <w:tc>
          <w:tcPr>
            <w:tcW w:w="2835" w:type="dxa"/>
            <w:vAlign w:val="center"/>
          </w:tcPr>
          <w:p w14:paraId="52B4A06C">
            <w:pPr>
              <w:pStyle w:val="12"/>
            </w:pPr>
            <w:r>
              <w:t>学校运转得到提高</w:t>
            </w:r>
          </w:p>
        </w:tc>
        <w:tc>
          <w:tcPr>
            <w:tcW w:w="5386" w:type="dxa"/>
            <w:vAlign w:val="center"/>
          </w:tcPr>
          <w:p w14:paraId="1244DA6B">
            <w:pPr>
              <w:pStyle w:val="12"/>
            </w:pPr>
            <w:r>
              <w:t>学生受教育年限</w:t>
            </w:r>
          </w:p>
        </w:tc>
        <w:tc>
          <w:tcPr>
            <w:tcW w:w="2268" w:type="dxa"/>
            <w:vAlign w:val="center"/>
          </w:tcPr>
          <w:p w14:paraId="2351E585">
            <w:pPr>
              <w:pStyle w:val="12"/>
            </w:pPr>
            <w:r>
              <w:t>6年</w:t>
            </w:r>
          </w:p>
        </w:tc>
        <w:tc>
          <w:tcPr>
            <w:tcW w:w="1276" w:type="dxa"/>
            <w:vAlign w:val="center"/>
          </w:tcPr>
          <w:p w14:paraId="21E987EB">
            <w:pPr>
              <w:pStyle w:val="12"/>
            </w:pPr>
            <w:r>
              <w:t>城乡义务教育公用经费管理办法</w:t>
            </w:r>
          </w:p>
        </w:tc>
      </w:tr>
      <w:tr w14:paraId="0BDD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9A704">
            <w:pPr>
              <w:pStyle w:val="13"/>
            </w:pPr>
            <w:r>
              <w:t>满意度指标</w:t>
            </w:r>
          </w:p>
        </w:tc>
        <w:tc>
          <w:tcPr>
            <w:tcW w:w="2268" w:type="dxa"/>
            <w:vAlign w:val="center"/>
          </w:tcPr>
          <w:p w14:paraId="22799887">
            <w:pPr>
              <w:pStyle w:val="12"/>
            </w:pPr>
            <w:r>
              <w:t>服务对象满意度指标</w:t>
            </w:r>
          </w:p>
        </w:tc>
        <w:tc>
          <w:tcPr>
            <w:tcW w:w="2835" w:type="dxa"/>
            <w:vAlign w:val="center"/>
          </w:tcPr>
          <w:p w14:paraId="1C3F311C">
            <w:pPr>
              <w:pStyle w:val="12"/>
            </w:pPr>
            <w:r>
              <w:t>服务对象满意度</w:t>
            </w:r>
          </w:p>
        </w:tc>
        <w:tc>
          <w:tcPr>
            <w:tcW w:w="5386" w:type="dxa"/>
            <w:vAlign w:val="center"/>
          </w:tcPr>
          <w:p w14:paraId="057D7ABB">
            <w:pPr>
              <w:pStyle w:val="12"/>
            </w:pPr>
            <w:r>
              <w:t>学校老师和学生满意度</w:t>
            </w:r>
          </w:p>
        </w:tc>
        <w:tc>
          <w:tcPr>
            <w:tcW w:w="2268" w:type="dxa"/>
            <w:vAlign w:val="center"/>
          </w:tcPr>
          <w:p w14:paraId="0E4B94F6">
            <w:pPr>
              <w:pStyle w:val="12"/>
            </w:pPr>
            <w:r>
              <w:t>≥95%</w:t>
            </w:r>
          </w:p>
        </w:tc>
        <w:tc>
          <w:tcPr>
            <w:tcW w:w="1276" w:type="dxa"/>
            <w:vAlign w:val="center"/>
          </w:tcPr>
          <w:p w14:paraId="565D7677">
            <w:pPr>
              <w:pStyle w:val="12"/>
            </w:pPr>
            <w:r>
              <w:t>群众测评</w:t>
            </w:r>
          </w:p>
        </w:tc>
      </w:tr>
    </w:tbl>
    <w:p w14:paraId="694014B8">
      <w:pPr>
        <w:sectPr>
          <w:pgSz w:w="16840" w:h="11900" w:orient="landscape"/>
          <w:pgMar w:top="1361" w:right="1020" w:bottom="1134" w:left="1020" w:header="720" w:footer="720" w:gutter="0"/>
          <w:cols w:space="720" w:num="1"/>
        </w:sectPr>
      </w:pPr>
    </w:p>
    <w:p w14:paraId="41EB7201">
      <w:pPr>
        <w:spacing w:before="0" w:after="0"/>
        <w:ind w:firstLine="560"/>
        <w:jc w:val="left"/>
        <w:outlineLvl w:val="9"/>
      </w:pPr>
      <w:r>
        <w:rPr>
          <w:rFonts w:ascii="方正仿宋_GBK" w:hAnsi="方正仿宋_GBK" w:eastAsia="方正仿宋_GBK" w:cs="方正仿宋_GBK"/>
          <w:b/>
          <w:color w:val="000000"/>
          <w:sz w:val="28"/>
        </w:rPr>
        <w:t>4、冀财教[2025]121号/中央/2026年义教补助经费/莲子镇校区莲子镇小学公用经费绩效目标表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5D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69801">
            <w:pPr>
              <w:pStyle w:val="11"/>
            </w:pPr>
            <w:r>
              <w:t>单位：万元</w:t>
            </w:r>
          </w:p>
        </w:tc>
      </w:tr>
      <w:tr w14:paraId="75C0C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19374">
            <w:pPr>
              <w:pStyle w:val="10"/>
            </w:pPr>
            <w:r>
              <w:t>项目编码</w:t>
            </w:r>
          </w:p>
        </w:tc>
        <w:tc>
          <w:tcPr>
            <w:tcW w:w="5103" w:type="dxa"/>
            <w:gridSpan w:val="2"/>
            <w:vAlign w:val="center"/>
          </w:tcPr>
          <w:p w14:paraId="31B6201E">
            <w:pPr>
              <w:pStyle w:val="12"/>
            </w:pPr>
            <w:r>
              <w:t>13052526P000004103158</w:t>
            </w:r>
          </w:p>
        </w:tc>
        <w:tc>
          <w:tcPr>
            <w:tcW w:w="2835" w:type="dxa"/>
            <w:vAlign w:val="center"/>
          </w:tcPr>
          <w:p w14:paraId="149FA6AD">
            <w:pPr>
              <w:pStyle w:val="10"/>
            </w:pPr>
            <w:r>
              <w:t>项目名称</w:t>
            </w:r>
          </w:p>
        </w:tc>
        <w:tc>
          <w:tcPr>
            <w:tcW w:w="6095" w:type="dxa"/>
            <w:gridSpan w:val="3"/>
            <w:vAlign w:val="center"/>
          </w:tcPr>
          <w:p w14:paraId="579BCE52">
            <w:pPr>
              <w:pStyle w:val="12"/>
            </w:pPr>
            <w:r>
              <w:t>冀财教[2025]121号/中央/2026年义教补助经费/莲子镇校区莲子镇小学公用经费</w:t>
            </w:r>
          </w:p>
        </w:tc>
      </w:tr>
      <w:tr w14:paraId="36D9D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96CA5">
            <w:pPr>
              <w:pStyle w:val="10"/>
            </w:pPr>
            <w:r>
              <w:t>预算规模及资金用途</w:t>
            </w:r>
          </w:p>
        </w:tc>
        <w:tc>
          <w:tcPr>
            <w:tcW w:w="2268" w:type="dxa"/>
            <w:vAlign w:val="center"/>
          </w:tcPr>
          <w:p w14:paraId="33751D40">
            <w:pPr>
              <w:pStyle w:val="10"/>
            </w:pPr>
            <w:r>
              <w:t>预算数</w:t>
            </w:r>
          </w:p>
        </w:tc>
        <w:tc>
          <w:tcPr>
            <w:tcW w:w="2835" w:type="dxa"/>
            <w:vAlign w:val="center"/>
          </w:tcPr>
          <w:p w14:paraId="123182D9">
            <w:pPr>
              <w:pStyle w:val="12"/>
            </w:pPr>
            <w:r>
              <w:t>35.15</w:t>
            </w:r>
          </w:p>
        </w:tc>
        <w:tc>
          <w:tcPr>
            <w:tcW w:w="2835" w:type="dxa"/>
            <w:vAlign w:val="center"/>
          </w:tcPr>
          <w:p w14:paraId="50C9D053">
            <w:pPr>
              <w:pStyle w:val="10"/>
            </w:pPr>
            <w:r>
              <w:t>其中：财政    资金</w:t>
            </w:r>
          </w:p>
        </w:tc>
        <w:tc>
          <w:tcPr>
            <w:tcW w:w="2551" w:type="dxa"/>
            <w:vAlign w:val="center"/>
          </w:tcPr>
          <w:p w14:paraId="6AACA4B7">
            <w:pPr>
              <w:pStyle w:val="12"/>
            </w:pPr>
            <w:r>
              <w:t>35.15</w:t>
            </w:r>
          </w:p>
        </w:tc>
        <w:tc>
          <w:tcPr>
            <w:tcW w:w="2268" w:type="dxa"/>
            <w:vAlign w:val="center"/>
          </w:tcPr>
          <w:p w14:paraId="4C8D0147">
            <w:pPr>
              <w:pStyle w:val="10"/>
            </w:pPr>
            <w:r>
              <w:t>其他资金</w:t>
            </w:r>
          </w:p>
        </w:tc>
        <w:tc>
          <w:tcPr>
            <w:tcW w:w="1276" w:type="dxa"/>
            <w:vAlign w:val="center"/>
          </w:tcPr>
          <w:p w14:paraId="4A502D19">
            <w:pPr>
              <w:pStyle w:val="12"/>
            </w:pPr>
            <w:r>
              <w:t xml:space="preserve"> </w:t>
            </w:r>
          </w:p>
        </w:tc>
      </w:tr>
      <w:tr w14:paraId="6077D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0EF8F"/>
        </w:tc>
        <w:tc>
          <w:tcPr>
            <w:tcW w:w="14033" w:type="dxa"/>
            <w:gridSpan w:val="6"/>
            <w:vAlign w:val="center"/>
          </w:tcPr>
          <w:p w14:paraId="28D41DA8">
            <w:pPr>
              <w:pStyle w:val="12"/>
            </w:pPr>
            <w:r>
              <w:t>保障学校正常运转，完成各项教育教学活动和其他日常工作任务等方面的费用支出。</w:t>
            </w:r>
          </w:p>
        </w:tc>
      </w:tr>
      <w:tr w14:paraId="5673F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2D6CB">
            <w:pPr>
              <w:pStyle w:val="10"/>
            </w:pPr>
            <w:r>
              <w:t>资金支出计划（%）</w:t>
            </w:r>
          </w:p>
        </w:tc>
        <w:tc>
          <w:tcPr>
            <w:tcW w:w="5103" w:type="dxa"/>
            <w:gridSpan w:val="2"/>
            <w:vAlign w:val="center"/>
          </w:tcPr>
          <w:p w14:paraId="11F1C9CB">
            <w:pPr>
              <w:pStyle w:val="10"/>
            </w:pPr>
            <w:r>
              <w:t>3月底</w:t>
            </w:r>
          </w:p>
        </w:tc>
        <w:tc>
          <w:tcPr>
            <w:tcW w:w="2835" w:type="dxa"/>
            <w:vAlign w:val="center"/>
          </w:tcPr>
          <w:p w14:paraId="279D45A5">
            <w:pPr>
              <w:pStyle w:val="10"/>
            </w:pPr>
            <w:r>
              <w:t>6月底</w:t>
            </w:r>
          </w:p>
        </w:tc>
        <w:tc>
          <w:tcPr>
            <w:tcW w:w="2551" w:type="dxa"/>
            <w:vAlign w:val="center"/>
          </w:tcPr>
          <w:p w14:paraId="2C51C8A3">
            <w:pPr>
              <w:pStyle w:val="10"/>
            </w:pPr>
            <w:r>
              <w:t>10月底</w:t>
            </w:r>
          </w:p>
        </w:tc>
        <w:tc>
          <w:tcPr>
            <w:tcW w:w="3544" w:type="dxa"/>
            <w:gridSpan w:val="2"/>
            <w:vAlign w:val="center"/>
          </w:tcPr>
          <w:p w14:paraId="2AFAC220">
            <w:pPr>
              <w:pStyle w:val="10"/>
            </w:pPr>
            <w:r>
              <w:t>12月底</w:t>
            </w:r>
          </w:p>
        </w:tc>
      </w:tr>
      <w:tr w14:paraId="60158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2A5BB"/>
        </w:tc>
        <w:tc>
          <w:tcPr>
            <w:tcW w:w="5103" w:type="dxa"/>
            <w:gridSpan w:val="2"/>
            <w:vAlign w:val="center"/>
          </w:tcPr>
          <w:p w14:paraId="6663EFA3">
            <w:pPr>
              <w:pStyle w:val="13"/>
            </w:pPr>
            <w:r>
              <w:t>25%</w:t>
            </w:r>
          </w:p>
        </w:tc>
        <w:tc>
          <w:tcPr>
            <w:tcW w:w="2835" w:type="dxa"/>
            <w:vAlign w:val="center"/>
          </w:tcPr>
          <w:p w14:paraId="5E6E2B98">
            <w:pPr>
              <w:pStyle w:val="13"/>
            </w:pPr>
            <w:r>
              <w:t>50%</w:t>
            </w:r>
          </w:p>
        </w:tc>
        <w:tc>
          <w:tcPr>
            <w:tcW w:w="2551" w:type="dxa"/>
            <w:vAlign w:val="center"/>
          </w:tcPr>
          <w:p w14:paraId="2D23FAEF">
            <w:pPr>
              <w:pStyle w:val="13"/>
            </w:pPr>
            <w:r>
              <w:t>75%</w:t>
            </w:r>
          </w:p>
        </w:tc>
        <w:tc>
          <w:tcPr>
            <w:tcW w:w="3544" w:type="dxa"/>
            <w:gridSpan w:val="2"/>
            <w:vAlign w:val="center"/>
          </w:tcPr>
          <w:p w14:paraId="74C6BD45">
            <w:pPr>
              <w:pStyle w:val="13"/>
            </w:pPr>
            <w:r>
              <w:t>100%</w:t>
            </w:r>
          </w:p>
        </w:tc>
      </w:tr>
      <w:tr w14:paraId="360C9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6A54A">
            <w:pPr>
              <w:pStyle w:val="10"/>
            </w:pPr>
            <w:r>
              <w:t>绩效目标</w:t>
            </w:r>
          </w:p>
        </w:tc>
        <w:tc>
          <w:tcPr>
            <w:tcW w:w="14033" w:type="dxa"/>
            <w:gridSpan w:val="6"/>
            <w:vAlign w:val="center"/>
          </w:tcPr>
          <w:p w14:paraId="583C90E7">
            <w:pPr>
              <w:pStyle w:val="12"/>
            </w:pPr>
            <w:r>
              <w:t>1.按季度分批次拨付公用经费资金，资金拨付率达到100%。</w:t>
            </w:r>
          </w:p>
          <w:p w14:paraId="3496F741">
            <w:pPr>
              <w:pStyle w:val="12"/>
            </w:pPr>
            <w:r>
              <w:t>2.保障学校正常运转，完成各项教育教学活动和其他日常工作任务等方面的费用支出。</w:t>
            </w:r>
          </w:p>
        </w:tc>
      </w:tr>
    </w:tbl>
    <w:p w14:paraId="2FF4DC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A5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608C2">
            <w:pPr>
              <w:pStyle w:val="10"/>
            </w:pPr>
            <w:r>
              <w:t>一级指标</w:t>
            </w:r>
          </w:p>
        </w:tc>
        <w:tc>
          <w:tcPr>
            <w:tcW w:w="2268" w:type="dxa"/>
            <w:vAlign w:val="center"/>
          </w:tcPr>
          <w:p w14:paraId="1E3C5E56">
            <w:pPr>
              <w:pStyle w:val="10"/>
            </w:pPr>
            <w:r>
              <w:t>二级指标</w:t>
            </w:r>
          </w:p>
        </w:tc>
        <w:tc>
          <w:tcPr>
            <w:tcW w:w="2835" w:type="dxa"/>
            <w:vAlign w:val="center"/>
          </w:tcPr>
          <w:p w14:paraId="0730C91A">
            <w:pPr>
              <w:pStyle w:val="10"/>
            </w:pPr>
            <w:r>
              <w:t>三级指标</w:t>
            </w:r>
          </w:p>
        </w:tc>
        <w:tc>
          <w:tcPr>
            <w:tcW w:w="5386" w:type="dxa"/>
            <w:vAlign w:val="center"/>
          </w:tcPr>
          <w:p w14:paraId="64D4EFF4">
            <w:pPr>
              <w:pStyle w:val="10"/>
            </w:pPr>
            <w:r>
              <w:t>绩效指标描述</w:t>
            </w:r>
          </w:p>
        </w:tc>
        <w:tc>
          <w:tcPr>
            <w:tcW w:w="2268" w:type="dxa"/>
            <w:vAlign w:val="center"/>
          </w:tcPr>
          <w:p w14:paraId="23973C57">
            <w:pPr>
              <w:pStyle w:val="10"/>
            </w:pPr>
            <w:r>
              <w:t>指标值</w:t>
            </w:r>
          </w:p>
        </w:tc>
        <w:tc>
          <w:tcPr>
            <w:tcW w:w="1276" w:type="dxa"/>
            <w:vAlign w:val="center"/>
          </w:tcPr>
          <w:p w14:paraId="0BA734AE">
            <w:pPr>
              <w:pStyle w:val="10"/>
            </w:pPr>
            <w:r>
              <w:t>指标值确定依据</w:t>
            </w:r>
          </w:p>
        </w:tc>
      </w:tr>
      <w:tr w14:paraId="11AD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8E0F0">
            <w:pPr>
              <w:pStyle w:val="13"/>
            </w:pPr>
            <w:r>
              <w:t>产出指标</w:t>
            </w:r>
          </w:p>
        </w:tc>
        <w:tc>
          <w:tcPr>
            <w:tcW w:w="2268" w:type="dxa"/>
            <w:vAlign w:val="center"/>
          </w:tcPr>
          <w:p w14:paraId="4A408B97">
            <w:pPr>
              <w:pStyle w:val="12"/>
            </w:pPr>
            <w:r>
              <w:t>数量指标</w:t>
            </w:r>
          </w:p>
        </w:tc>
        <w:tc>
          <w:tcPr>
            <w:tcW w:w="2835" w:type="dxa"/>
            <w:vAlign w:val="center"/>
          </w:tcPr>
          <w:p w14:paraId="67B302B8">
            <w:pPr>
              <w:pStyle w:val="12"/>
            </w:pPr>
            <w:r>
              <w:t>就读学生数</w:t>
            </w:r>
          </w:p>
        </w:tc>
        <w:tc>
          <w:tcPr>
            <w:tcW w:w="5386" w:type="dxa"/>
            <w:vAlign w:val="center"/>
          </w:tcPr>
          <w:p w14:paraId="6A25FA09">
            <w:pPr>
              <w:pStyle w:val="12"/>
            </w:pPr>
            <w:r>
              <w:t>辐射区域内适龄学生人数</w:t>
            </w:r>
          </w:p>
        </w:tc>
        <w:tc>
          <w:tcPr>
            <w:tcW w:w="2268" w:type="dxa"/>
            <w:vAlign w:val="center"/>
          </w:tcPr>
          <w:p w14:paraId="1DD252A8">
            <w:pPr>
              <w:pStyle w:val="12"/>
            </w:pPr>
            <w:r>
              <w:t>708人</w:t>
            </w:r>
          </w:p>
        </w:tc>
        <w:tc>
          <w:tcPr>
            <w:tcW w:w="1276" w:type="dxa"/>
            <w:vAlign w:val="center"/>
          </w:tcPr>
          <w:p w14:paraId="37A2C2B0">
            <w:pPr>
              <w:pStyle w:val="12"/>
            </w:pPr>
            <w:r>
              <w:t>城乡义务教育公用经费管理办法</w:t>
            </w:r>
          </w:p>
        </w:tc>
      </w:tr>
      <w:tr w14:paraId="7745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C7A31"/>
        </w:tc>
        <w:tc>
          <w:tcPr>
            <w:tcW w:w="2268" w:type="dxa"/>
            <w:vAlign w:val="center"/>
          </w:tcPr>
          <w:p w14:paraId="2539BDFD">
            <w:pPr>
              <w:pStyle w:val="12"/>
            </w:pPr>
            <w:r>
              <w:t>质量指标</w:t>
            </w:r>
          </w:p>
        </w:tc>
        <w:tc>
          <w:tcPr>
            <w:tcW w:w="2835" w:type="dxa"/>
            <w:vAlign w:val="center"/>
          </w:tcPr>
          <w:p w14:paraId="25DC5881">
            <w:pPr>
              <w:pStyle w:val="12"/>
            </w:pPr>
            <w:r>
              <w:t>预算执行率</w:t>
            </w:r>
          </w:p>
        </w:tc>
        <w:tc>
          <w:tcPr>
            <w:tcW w:w="5386" w:type="dxa"/>
            <w:vAlign w:val="center"/>
          </w:tcPr>
          <w:p w14:paraId="6335B812">
            <w:pPr>
              <w:pStyle w:val="12"/>
            </w:pPr>
            <w:r>
              <w:t>预算执行率</w:t>
            </w:r>
          </w:p>
        </w:tc>
        <w:tc>
          <w:tcPr>
            <w:tcW w:w="2268" w:type="dxa"/>
            <w:vAlign w:val="center"/>
          </w:tcPr>
          <w:p w14:paraId="1602601A">
            <w:pPr>
              <w:pStyle w:val="12"/>
            </w:pPr>
            <w:r>
              <w:t>≥95%</w:t>
            </w:r>
          </w:p>
        </w:tc>
        <w:tc>
          <w:tcPr>
            <w:tcW w:w="1276" w:type="dxa"/>
            <w:vAlign w:val="center"/>
          </w:tcPr>
          <w:p w14:paraId="78508167">
            <w:pPr>
              <w:pStyle w:val="12"/>
            </w:pPr>
            <w:r>
              <w:t>城乡义务教育公用经费管理办法</w:t>
            </w:r>
          </w:p>
        </w:tc>
      </w:tr>
      <w:tr w14:paraId="6B5A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1B4AE"/>
        </w:tc>
        <w:tc>
          <w:tcPr>
            <w:tcW w:w="2268" w:type="dxa"/>
            <w:vAlign w:val="center"/>
          </w:tcPr>
          <w:p w14:paraId="7FD7D836">
            <w:pPr>
              <w:pStyle w:val="12"/>
            </w:pPr>
            <w:r>
              <w:t>时效指标</w:t>
            </w:r>
          </w:p>
        </w:tc>
        <w:tc>
          <w:tcPr>
            <w:tcW w:w="2835" w:type="dxa"/>
            <w:vAlign w:val="center"/>
          </w:tcPr>
          <w:p w14:paraId="0A09D728">
            <w:pPr>
              <w:pStyle w:val="12"/>
            </w:pPr>
            <w:r>
              <w:t>义教经费支付完成率</w:t>
            </w:r>
          </w:p>
        </w:tc>
        <w:tc>
          <w:tcPr>
            <w:tcW w:w="5386" w:type="dxa"/>
            <w:vAlign w:val="center"/>
          </w:tcPr>
          <w:p w14:paraId="388D0B6A">
            <w:pPr>
              <w:pStyle w:val="12"/>
            </w:pPr>
            <w:r>
              <w:t>按照序时进度完成资金支付</w:t>
            </w:r>
          </w:p>
        </w:tc>
        <w:tc>
          <w:tcPr>
            <w:tcW w:w="2268" w:type="dxa"/>
            <w:vAlign w:val="center"/>
          </w:tcPr>
          <w:p w14:paraId="51270231">
            <w:pPr>
              <w:pStyle w:val="12"/>
            </w:pPr>
            <w:r>
              <w:t>100%</w:t>
            </w:r>
          </w:p>
        </w:tc>
        <w:tc>
          <w:tcPr>
            <w:tcW w:w="1276" w:type="dxa"/>
            <w:vAlign w:val="center"/>
          </w:tcPr>
          <w:p w14:paraId="4A5496E9">
            <w:pPr>
              <w:pStyle w:val="12"/>
            </w:pPr>
            <w:r>
              <w:t>城乡义务教育公用经费管理办法</w:t>
            </w:r>
          </w:p>
        </w:tc>
      </w:tr>
      <w:tr w14:paraId="748B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30FF"/>
        </w:tc>
        <w:tc>
          <w:tcPr>
            <w:tcW w:w="2268" w:type="dxa"/>
            <w:vAlign w:val="center"/>
          </w:tcPr>
          <w:p w14:paraId="109147E6">
            <w:pPr>
              <w:pStyle w:val="12"/>
            </w:pPr>
            <w:r>
              <w:t>成本指标</w:t>
            </w:r>
          </w:p>
        </w:tc>
        <w:tc>
          <w:tcPr>
            <w:tcW w:w="2835" w:type="dxa"/>
            <w:vAlign w:val="center"/>
          </w:tcPr>
          <w:p w14:paraId="76B8005F">
            <w:pPr>
              <w:pStyle w:val="12"/>
            </w:pPr>
            <w:r>
              <w:t>生均拨款标准</w:t>
            </w:r>
          </w:p>
        </w:tc>
        <w:tc>
          <w:tcPr>
            <w:tcW w:w="5386" w:type="dxa"/>
            <w:vAlign w:val="center"/>
          </w:tcPr>
          <w:p w14:paraId="58F502A0">
            <w:pPr>
              <w:pStyle w:val="12"/>
            </w:pPr>
            <w:r>
              <w:t>小学生公用经费生均公用经费基准定额为720元/年/生，取暖费120元/年/生，住宿生补助300元/年/生的标准，随班就读学生补助7000元/生/年</w:t>
            </w:r>
          </w:p>
        </w:tc>
        <w:tc>
          <w:tcPr>
            <w:tcW w:w="2268" w:type="dxa"/>
            <w:vAlign w:val="center"/>
          </w:tcPr>
          <w:p w14:paraId="10BA1F4F">
            <w:pPr>
              <w:pStyle w:val="12"/>
            </w:pPr>
            <w:r>
              <w:t>840元</w:t>
            </w:r>
          </w:p>
        </w:tc>
        <w:tc>
          <w:tcPr>
            <w:tcW w:w="1276" w:type="dxa"/>
            <w:vAlign w:val="center"/>
          </w:tcPr>
          <w:p w14:paraId="1CDA5C04">
            <w:pPr>
              <w:pStyle w:val="12"/>
            </w:pPr>
            <w:r>
              <w:t>城乡义务教育公用经费管理办法</w:t>
            </w:r>
          </w:p>
        </w:tc>
      </w:tr>
      <w:tr w14:paraId="4D2D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50FFA">
            <w:pPr>
              <w:pStyle w:val="13"/>
            </w:pPr>
            <w:r>
              <w:t>效益指标</w:t>
            </w:r>
          </w:p>
        </w:tc>
        <w:tc>
          <w:tcPr>
            <w:tcW w:w="2268" w:type="dxa"/>
            <w:vAlign w:val="center"/>
          </w:tcPr>
          <w:p w14:paraId="2D2E5310">
            <w:pPr>
              <w:pStyle w:val="12"/>
            </w:pPr>
            <w:r>
              <w:t>可持续影响指标</w:t>
            </w:r>
          </w:p>
        </w:tc>
        <w:tc>
          <w:tcPr>
            <w:tcW w:w="2835" w:type="dxa"/>
            <w:vAlign w:val="center"/>
          </w:tcPr>
          <w:p w14:paraId="7C29B813">
            <w:pPr>
              <w:pStyle w:val="12"/>
            </w:pPr>
            <w:r>
              <w:t>学校运转得到提高</w:t>
            </w:r>
          </w:p>
        </w:tc>
        <w:tc>
          <w:tcPr>
            <w:tcW w:w="5386" w:type="dxa"/>
            <w:vAlign w:val="center"/>
          </w:tcPr>
          <w:p w14:paraId="0E290A09">
            <w:pPr>
              <w:pStyle w:val="12"/>
            </w:pPr>
            <w:r>
              <w:t>学生受教育年限</w:t>
            </w:r>
          </w:p>
        </w:tc>
        <w:tc>
          <w:tcPr>
            <w:tcW w:w="2268" w:type="dxa"/>
            <w:vAlign w:val="center"/>
          </w:tcPr>
          <w:p w14:paraId="46E0CB44">
            <w:pPr>
              <w:pStyle w:val="12"/>
            </w:pPr>
            <w:r>
              <w:t>6年</w:t>
            </w:r>
          </w:p>
        </w:tc>
        <w:tc>
          <w:tcPr>
            <w:tcW w:w="1276" w:type="dxa"/>
            <w:vAlign w:val="center"/>
          </w:tcPr>
          <w:p w14:paraId="158549DB">
            <w:pPr>
              <w:pStyle w:val="12"/>
            </w:pPr>
            <w:r>
              <w:t>城乡义务教育公用经费管理办法</w:t>
            </w:r>
          </w:p>
        </w:tc>
      </w:tr>
      <w:tr w14:paraId="160C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BDD12">
            <w:pPr>
              <w:pStyle w:val="13"/>
            </w:pPr>
            <w:r>
              <w:t>满意度指标</w:t>
            </w:r>
          </w:p>
        </w:tc>
        <w:tc>
          <w:tcPr>
            <w:tcW w:w="2268" w:type="dxa"/>
            <w:vAlign w:val="center"/>
          </w:tcPr>
          <w:p w14:paraId="71A33888">
            <w:pPr>
              <w:pStyle w:val="12"/>
            </w:pPr>
            <w:r>
              <w:t>服务对象满意度指标</w:t>
            </w:r>
          </w:p>
        </w:tc>
        <w:tc>
          <w:tcPr>
            <w:tcW w:w="2835" w:type="dxa"/>
            <w:vAlign w:val="center"/>
          </w:tcPr>
          <w:p w14:paraId="35C9EF7E">
            <w:pPr>
              <w:pStyle w:val="12"/>
            </w:pPr>
            <w:r>
              <w:t>服务对象满意度</w:t>
            </w:r>
          </w:p>
        </w:tc>
        <w:tc>
          <w:tcPr>
            <w:tcW w:w="5386" w:type="dxa"/>
            <w:vAlign w:val="center"/>
          </w:tcPr>
          <w:p w14:paraId="33BEAA2C">
            <w:pPr>
              <w:pStyle w:val="12"/>
            </w:pPr>
            <w:r>
              <w:t>学校老师和学生满意度</w:t>
            </w:r>
          </w:p>
        </w:tc>
        <w:tc>
          <w:tcPr>
            <w:tcW w:w="2268" w:type="dxa"/>
            <w:vAlign w:val="center"/>
          </w:tcPr>
          <w:p w14:paraId="24EF37FE">
            <w:pPr>
              <w:pStyle w:val="12"/>
            </w:pPr>
            <w:r>
              <w:t>≥95%</w:t>
            </w:r>
          </w:p>
        </w:tc>
        <w:tc>
          <w:tcPr>
            <w:tcW w:w="1276" w:type="dxa"/>
            <w:vAlign w:val="center"/>
          </w:tcPr>
          <w:p w14:paraId="6C16F383">
            <w:pPr>
              <w:pStyle w:val="12"/>
            </w:pPr>
            <w:r>
              <w:t>群众测评</w:t>
            </w:r>
          </w:p>
        </w:tc>
      </w:tr>
    </w:tbl>
    <w:p w14:paraId="4CE0B22F">
      <w:pPr>
        <w:sectPr>
          <w:pgSz w:w="16840" w:h="11900" w:orient="landscape"/>
          <w:pgMar w:top="1361" w:right="1020" w:bottom="1134" w:left="1020" w:header="720" w:footer="720" w:gutter="0"/>
          <w:cols w:space="720" w:num="1"/>
        </w:sectPr>
      </w:pPr>
    </w:p>
    <w:p w14:paraId="69263EE0">
      <w:pPr>
        <w:spacing w:before="0" w:after="0"/>
        <w:ind w:firstLine="560"/>
        <w:jc w:val="left"/>
        <w:outlineLvl w:val="9"/>
      </w:pPr>
      <w:r>
        <w:rPr>
          <w:rFonts w:ascii="方正仿宋_GBK" w:hAnsi="方正仿宋_GBK" w:eastAsia="方正仿宋_GBK" w:cs="方正仿宋_GBK"/>
          <w:b/>
          <w:color w:val="000000"/>
          <w:sz w:val="28"/>
        </w:rPr>
        <w:t>5、冀财教[2025]121号/中央/2026年义教补助经费/莲子镇校区南吴疃小学公用经费绩效目标表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AD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78081">
            <w:pPr>
              <w:pStyle w:val="11"/>
            </w:pPr>
            <w:r>
              <w:t>单位：万元</w:t>
            </w:r>
          </w:p>
        </w:tc>
      </w:tr>
      <w:tr w14:paraId="16FF3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4011E">
            <w:pPr>
              <w:pStyle w:val="10"/>
            </w:pPr>
            <w:r>
              <w:t>项目编码</w:t>
            </w:r>
          </w:p>
        </w:tc>
        <w:tc>
          <w:tcPr>
            <w:tcW w:w="5103" w:type="dxa"/>
            <w:gridSpan w:val="2"/>
            <w:vAlign w:val="center"/>
          </w:tcPr>
          <w:p w14:paraId="10EBAAEB">
            <w:pPr>
              <w:pStyle w:val="12"/>
            </w:pPr>
            <w:r>
              <w:t>13052526P000004103131</w:t>
            </w:r>
          </w:p>
        </w:tc>
        <w:tc>
          <w:tcPr>
            <w:tcW w:w="2835" w:type="dxa"/>
            <w:vAlign w:val="center"/>
          </w:tcPr>
          <w:p w14:paraId="11915430">
            <w:pPr>
              <w:pStyle w:val="10"/>
            </w:pPr>
            <w:r>
              <w:t>项目名称</w:t>
            </w:r>
          </w:p>
        </w:tc>
        <w:tc>
          <w:tcPr>
            <w:tcW w:w="6095" w:type="dxa"/>
            <w:gridSpan w:val="3"/>
            <w:vAlign w:val="center"/>
          </w:tcPr>
          <w:p w14:paraId="3BB40A54">
            <w:pPr>
              <w:pStyle w:val="12"/>
            </w:pPr>
            <w:r>
              <w:t>冀财教[2025]121号/中央/2026年义教补助经费/莲子镇校区南吴疃小学公用经费</w:t>
            </w:r>
          </w:p>
        </w:tc>
      </w:tr>
      <w:tr w14:paraId="2656B156">
        <w:tblPrEx>
          <w:tblCellMar>
            <w:top w:w="0" w:type="dxa"/>
            <w:left w:w="108" w:type="dxa"/>
            <w:bottom w:w="0" w:type="dxa"/>
            <w:right w:w="108" w:type="dxa"/>
          </w:tblCellMar>
        </w:tblPrEx>
        <w:trPr>
          <w:trHeight w:val="369" w:hRule="atLeast"/>
          <w:jc w:val="center"/>
        </w:trPr>
        <w:tc>
          <w:tcPr>
            <w:tcW w:w="1276" w:type="dxa"/>
            <w:vMerge w:val="restart"/>
            <w:vAlign w:val="center"/>
          </w:tcPr>
          <w:p w14:paraId="3927B894">
            <w:pPr>
              <w:pStyle w:val="10"/>
            </w:pPr>
            <w:r>
              <w:t>预算规模及资金用途</w:t>
            </w:r>
          </w:p>
        </w:tc>
        <w:tc>
          <w:tcPr>
            <w:tcW w:w="2268" w:type="dxa"/>
            <w:vAlign w:val="center"/>
          </w:tcPr>
          <w:p w14:paraId="3521717B">
            <w:pPr>
              <w:pStyle w:val="10"/>
            </w:pPr>
            <w:r>
              <w:t>预算数</w:t>
            </w:r>
          </w:p>
        </w:tc>
        <w:tc>
          <w:tcPr>
            <w:tcW w:w="2835" w:type="dxa"/>
            <w:vAlign w:val="center"/>
          </w:tcPr>
          <w:p w14:paraId="79DF9502">
            <w:pPr>
              <w:pStyle w:val="12"/>
            </w:pPr>
            <w:r>
              <w:t>4.96</w:t>
            </w:r>
          </w:p>
        </w:tc>
        <w:tc>
          <w:tcPr>
            <w:tcW w:w="2835" w:type="dxa"/>
            <w:vAlign w:val="center"/>
          </w:tcPr>
          <w:p w14:paraId="03348361">
            <w:pPr>
              <w:pStyle w:val="10"/>
            </w:pPr>
            <w:r>
              <w:t>其中：财政    资金</w:t>
            </w:r>
          </w:p>
        </w:tc>
        <w:tc>
          <w:tcPr>
            <w:tcW w:w="2551" w:type="dxa"/>
            <w:vAlign w:val="center"/>
          </w:tcPr>
          <w:p w14:paraId="1926C9ED">
            <w:pPr>
              <w:pStyle w:val="12"/>
            </w:pPr>
            <w:r>
              <w:t>4.96</w:t>
            </w:r>
          </w:p>
        </w:tc>
        <w:tc>
          <w:tcPr>
            <w:tcW w:w="2268" w:type="dxa"/>
            <w:vAlign w:val="center"/>
          </w:tcPr>
          <w:p w14:paraId="41B3AA3B">
            <w:pPr>
              <w:pStyle w:val="10"/>
            </w:pPr>
            <w:r>
              <w:t>其他资金</w:t>
            </w:r>
          </w:p>
        </w:tc>
        <w:tc>
          <w:tcPr>
            <w:tcW w:w="1276" w:type="dxa"/>
            <w:vAlign w:val="center"/>
          </w:tcPr>
          <w:p w14:paraId="3AA6BB36">
            <w:pPr>
              <w:pStyle w:val="12"/>
            </w:pPr>
            <w:r>
              <w:t xml:space="preserve"> </w:t>
            </w:r>
          </w:p>
        </w:tc>
      </w:tr>
      <w:tr w14:paraId="6A777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AAB09"/>
        </w:tc>
        <w:tc>
          <w:tcPr>
            <w:tcW w:w="14033" w:type="dxa"/>
            <w:gridSpan w:val="6"/>
            <w:vAlign w:val="center"/>
          </w:tcPr>
          <w:p w14:paraId="04281B90">
            <w:pPr>
              <w:pStyle w:val="12"/>
            </w:pPr>
            <w:r>
              <w:t>保障学校正常运转，完成各项教育教学活动和其他日常工作任务等方面的费用支出。</w:t>
            </w:r>
          </w:p>
        </w:tc>
      </w:tr>
      <w:tr w14:paraId="5C914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35F77">
            <w:pPr>
              <w:pStyle w:val="10"/>
            </w:pPr>
            <w:r>
              <w:t>资金支出计划（%）</w:t>
            </w:r>
          </w:p>
        </w:tc>
        <w:tc>
          <w:tcPr>
            <w:tcW w:w="5103" w:type="dxa"/>
            <w:gridSpan w:val="2"/>
            <w:vAlign w:val="center"/>
          </w:tcPr>
          <w:p w14:paraId="03A7830F">
            <w:pPr>
              <w:pStyle w:val="10"/>
            </w:pPr>
            <w:r>
              <w:t>3月底</w:t>
            </w:r>
          </w:p>
        </w:tc>
        <w:tc>
          <w:tcPr>
            <w:tcW w:w="2835" w:type="dxa"/>
            <w:vAlign w:val="center"/>
          </w:tcPr>
          <w:p w14:paraId="4D712780">
            <w:pPr>
              <w:pStyle w:val="10"/>
            </w:pPr>
            <w:r>
              <w:t>6月底</w:t>
            </w:r>
          </w:p>
        </w:tc>
        <w:tc>
          <w:tcPr>
            <w:tcW w:w="2551" w:type="dxa"/>
            <w:vAlign w:val="center"/>
          </w:tcPr>
          <w:p w14:paraId="2C671918">
            <w:pPr>
              <w:pStyle w:val="10"/>
            </w:pPr>
            <w:r>
              <w:t>10月底</w:t>
            </w:r>
          </w:p>
        </w:tc>
        <w:tc>
          <w:tcPr>
            <w:tcW w:w="3544" w:type="dxa"/>
            <w:gridSpan w:val="2"/>
            <w:vAlign w:val="center"/>
          </w:tcPr>
          <w:p w14:paraId="6A825833">
            <w:pPr>
              <w:pStyle w:val="10"/>
            </w:pPr>
            <w:r>
              <w:t>12月底</w:t>
            </w:r>
          </w:p>
        </w:tc>
      </w:tr>
      <w:tr w14:paraId="5CB93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3A65F"/>
        </w:tc>
        <w:tc>
          <w:tcPr>
            <w:tcW w:w="5103" w:type="dxa"/>
            <w:gridSpan w:val="2"/>
            <w:vAlign w:val="center"/>
          </w:tcPr>
          <w:p w14:paraId="4A8DEE5B">
            <w:pPr>
              <w:pStyle w:val="13"/>
            </w:pPr>
            <w:r>
              <w:t>25%</w:t>
            </w:r>
          </w:p>
        </w:tc>
        <w:tc>
          <w:tcPr>
            <w:tcW w:w="2835" w:type="dxa"/>
            <w:vAlign w:val="center"/>
          </w:tcPr>
          <w:p w14:paraId="1BC2DBC7">
            <w:pPr>
              <w:pStyle w:val="13"/>
            </w:pPr>
            <w:r>
              <w:t>50%</w:t>
            </w:r>
          </w:p>
        </w:tc>
        <w:tc>
          <w:tcPr>
            <w:tcW w:w="2551" w:type="dxa"/>
            <w:vAlign w:val="center"/>
          </w:tcPr>
          <w:p w14:paraId="783BCE24">
            <w:pPr>
              <w:pStyle w:val="13"/>
            </w:pPr>
            <w:r>
              <w:t>75%</w:t>
            </w:r>
          </w:p>
        </w:tc>
        <w:tc>
          <w:tcPr>
            <w:tcW w:w="3544" w:type="dxa"/>
            <w:gridSpan w:val="2"/>
            <w:vAlign w:val="center"/>
          </w:tcPr>
          <w:p w14:paraId="7758D285">
            <w:pPr>
              <w:pStyle w:val="13"/>
            </w:pPr>
            <w:r>
              <w:t>100%</w:t>
            </w:r>
          </w:p>
        </w:tc>
      </w:tr>
      <w:tr w14:paraId="7A192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4BA95">
            <w:pPr>
              <w:pStyle w:val="10"/>
            </w:pPr>
            <w:r>
              <w:t>绩效目标</w:t>
            </w:r>
          </w:p>
        </w:tc>
        <w:tc>
          <w:tcPr>
            <w:tcW w:w="14033" w:type="dxa"/>
            <w:gridSpan w:val="6"/>
            <w:vAlign w:val="center"/>
          </w:tcPr>
          <w:p w14:paraId="43AB9042">
            <w:pPr>
              <w:pStyle w:val="12"/>
            </w:pPr>
            <w:r>
              <w:t>1.按季度分批次拨付公用经费资金，资金拨付率达到100%。</w:t>
            </w:r>
          </w:p>
          <w:p w14:paraId="0B36B4C7">
            <w:pPr>
              <w:pStyle w:val="12"/>
            </w:pPr>
            <w:r>
              <w:t>2.保障学校正常运转，完成各项教育教学活动和其他日常工作任务等方面的费用支出。</w:t>
            </w:r>
          </w:p>
        </w:tc>
      </w:tr>
    </w:tbl>
    <w:p w14:paraId="71F81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1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95B47">
            <w:pPr>
              <w:pStyle w:val="10"/>
            </w:pPr>
            <w:r>
              <w:t>一级指标</w:t>
            </w:r>
          </w:p>
        </w:tc>
        <w:tc>
          <w:tcPr>
            <w:tcW w:w="2268" w:type="dxa"/>
            <w:vAlign w:val="center"/>
          </w:tcPr>
          <w:p w14:paraId="27A01AF2">
            <w:pPr>
              <w:pStyle w:val="10"/>
            </w:pPr>
            <w:r>
              <w:t>二级指标</w:t>
            </w:r>
          </w:p>
        </w:tc>
        <w:tc>
          <w:tcPr>
            <w:tcW w:w="2835" w:type="dxa"/>
            <w:vAlign w:val="center"/>
          </w:tcPr>
          <w:p w14:paraId="5183AE84">
            <w:pPr>
              <w:pStyle w:val="10"/>
            </w:pPr>
            <w:r>
              <w:t>三级指标</w:t>
            </w:r>
          </w:p>
        </w:tc>
        <w:tc>
          <w:tcPr>
            <w:tcW w:w="5386" w:type="dxa"/>
            <w:vAlign w:val="center"/>
          </w:tcPr>
          <w:p w14:paraId="709C7D51">
            <w:pPr>
              <w:pStyle w:val="10"/>
            </w:pPr>
            <w:r>
              <w:t>绩效指标描述</w:t>
            </w:r>
          </w:p>
        </w:tc>
        <w:tc>
          <w:tcPr>
            <w:tcW w:w="2268" w:type="dxa"/>
            <w:vAlign w:val="center"/>
          </w:tcPr>
          <w:p w14:paraId="428ECABA">
            <w:pPr>
              <w:pStyle w:val="10"/>
            </w:pPr>
            <w:r>
              <w:t>指标值</w:t>
            </w:r>
          </w:p>
        </w:tc>
        <w:tc>
          <w:tcPr>
            <w:tcW w:w="1276" w:type="dxa"/>
            <w:vAlign w:val="center"/>
          </w:tcPr>
          <w:p w14:paraId="7CDF8728">
            <w:pPr>
              <w:pStyle w:val="10"/>
            </w:pPr>
            <w:r>
              <w:t>指标值确定依据</w:t>
            </w:r>
          </w:p>
        </w:tc>
      </w:tr>
      <w:tr w14:paraId="08C49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5B69B">
            <w:pPr>
              <w:pStyle w:val="13"/>
            </w:pPr>
            <w:r>
              <w:t>产出指标</w:t>
            </w:r>
          </w:p>
        </w:tc>
        <w:tc>
          <w:tcPr>
            <w:tcW w:w="2268" w:type="dxa"/>
            <w:vAlign w:val="center"/>
          </w:tcPr>
          <w:p w14:paraId="0C1B9190">
            <w:pPr>
              <w:pStyle w:val="12"/>
            </w:pPr>
            <w:r>
              <w:t>数量指标</w:t>
            </w:r>
          </w:p>
        </w:tc>
        <w:tc>
          <w:tcPr>
            <w:tcW w:w="2835" w:type="dxa"/>
            <w:vAlign w:val="center"/>
          </w:tcPr>
          <w:p w14:paraId="0D2FEE10">
            <w:pPr>
              <w:pStyle w:val="12"/>
            </w:pPr>
            <w:r>
              <w:t>就读学生数</w:t>
            </w:r>
          </w:p>
        </w:tc>
        <w:tc>
          <w:tcPr>
            <w:tcW w:w="5386" w:type="dxa"/>
            <w:vAlign w:val="center"/>
          </w:tcPr>
          <w:p w14:paraId="087C5238">
            <w:pPr>
              <w:pStyle w:val="12"/>
            </w:pPr>
            <w:r>
              <w:t>辐射区域内适龄学生人数</w:t>
            </w:r>
          </w:p>
        </w:tc>
        <w:tc>
          <w:tcPr>
            <w:tcW w:w="2268" w:type="dxa"/>
            <w:vAlign w:val="center"/>
          </w:tcPr>
          <w:p w14:paraId="2773BF3F">
            <w:pPr>
              <w:pStyle w:val="12"/>
            </w:pPr>
            <w:r>
              <w:t>100人</w:t>
            </w:r>
          </w:p>
        </w:tc>
        <w:tc>
          <w:tcPr>
            <w:tcW w:w="1276" w:type="dxa"/>
            <w:vAlign w:val="center"/>
          </w:tcPr>
          <w:p w14:paraId="358FAEC2">
            <w:pPr>
              <w:pStyle w:val="12"/>
            </w:pPr>
            <w:r>
              <w:t>城乡义务教育公用经费管理办法</w:t>
            </w:r>
          </w:p>
        </w:tc>
      </w:tr>
      <w:tr w14:paraId="6656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A812F"/>
        </w:tc>
        <w:tc>
          <w:tcPr>
            <w:tcW w:w="2268" w:type="dxa"/>
            <w:vAlign w:val="center"/>
          </w:tcPr>
          <w:p w14:paraId="6D5BF122">
            <w:pPr>
              <w:pStyle w:val="12"/>
            </w:pPr>
            <w:r>
              <w:t>质量指标</w:t>
            </w:r>
          </w:p>
        </w:tc>
        <w:tc>
          <w:tcPr>
            <w:tcW w:w="2835" w:type="dxa"/>
            <w:vAlign w:val="center"/>
          </w:tcPr>
          <w:p w14:paraId="2E165B4B">
            <w:pPr>
              <w:pStyle w:val="12"/>
            </w:pPr>
            <w:r>
              <w:t>预算执行率</w:t>
            </w:r>
          </w:p>
        </w:tc>
        <w:tc>
          <w:tcPr>
            <w:tcW w:w="5386" w:type="dxa"/>
            <w:vAlign w:val="center"/>
          </w:tcPr>
          <w:p w14:paraId="654EE55F">
            <w:pPr>
              <w:pStyle w:val="12"/>
            </w:pPr>
            <w:r>
              <w:t>预算执行率</w:t>
            </w:r>
          </w:p>
        </w:tc>
        <w:tc>
          <w:tcPr>
            <w:tcW w:w="2268" w:type="dxa"/>
            <w:vAlign w:val="center"/>
          </w:tcPr>
          <w:p w14:paraId="31A3EB69">
            <w:pPr>
              <w:pStyle w:val="12"/>
            </w:pPr>
            <w:r>
              <w:t>≥95%</w:t>
            </w:r>
          </w:p>
        </w:tc>
        <w:tc>
          <w:tcPr>
            <w:tcW w:w="1276" w:type="dxa"/>
            <w:vAlign w:val="center"/>
          </w:tcPr>
          <w:p w14:paraId="496CE852">
            <w:pPr>
              <w:pStyle w:val="12"/>
            </w:pPr>
            <w:r>
              <w:t>城乡义务教育公用经费管理办法</w:t>
            </w:r>
          </w:p>
        </w:tc>
      </w:tr>
      <w:tr w14:paraId="65DB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A4BC"/>
        </w:tc>
        <w:tc>
          <w:tcPr>
            <w:tcW w:w="2268" w:type="dxa"/>
            <w:vAlign w:val="center"/>
          </w:tcPr>
          <w:p w14:paraId="5CBEA80A">
            <w:pPr>
              <w:pStyle w:val="12"/>
            </w:pPr>
            <w:r>
              <w:t>时效指标</w:t>
            </w:r>
          </w:p>
        </w:tc>
        <w:tc>
          <w:tcPr>
            <w:tcW w:w="2835" w:type="dxa"/>
            <w:vAlign w:val="center"/>
          </w:tcPr>
          <w:p w14:paraId="6BCAEEE5">
            <w:pPr>
              <w:pStyle w:val="12"/>
            </w:pPr>
            <w:r>
              <w:t>义教经费支付完成率</w:t>
            </w:r>
          </w:p>
        </w:tc>
        <w:tc>
          <w:tcPr>
            <w:tcW w:w="5386" w:type="dxa"/>
            <w:vAlign w:val="center"/>
          </w:tcPr>
          <w:p w14:paraId="6463269B">
            <w:pPr>
              <w:pStyle w:val="12"/>
            </w:pPr>
            <w:r>
              <w:t>按照序时进度完成资金支付</w:t>
            </w:r>
          </w:p>
        </w:tc>
        <w:tc>
          <w:tcPr>
            <w:tcW w:w="2268" w:type="dxa"/>
            <w:vAlign w:val="center"/>
          </w:tcPr>
          <w:p w14:paraId="1F95E2C6">
            <w:pPr>
              <w:pStyle w:val="12"/>
            </w:pPr>
            <w:r>
              <w:t>100%</w:t>
            </w:r>
          </w:p>
        </w:tc>
        <w:tc>
          <w:tcPr>
            <w:tcW w:w="1276" w:type="dxa"/>
            <w:vAlign w:val="center"/>
          </w:tcPr>
          <w:p w14:paraId="4470A5CB">
            <w:pPr>
              <w:pStyle w:val="12"/>
            </w:pPr>
            <w:r>
              <w:t>城乡义务教育公用经费管理办法</w:t>
            </w:r>
          </w:p>
        </w:tc>
      </w:tr>
      <w:tr w14:paraId="3616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67A37"/>
        </w:tc>
        <w:tc>
          <w:tcPr>
            <w:tcW w:w="2268" w:type="dxa"/>
            <w:vAlign w:val="center"/>
          </w:tcPr>
          <w:p w14:paraId="7B2D59C9">
            <w:pPr>
              <w:pStyle w:val="12"/>
            </w:pPr>
            <w:r>
              <w:t>成本指标</w:t>
            </w:r>
          </w:p>
        </w:tc>
        <w:tc>
          <w:tcPr>
            <w:tcW w:w="2835" w:type="dxa"/>
            <w:vAlign w:val="center"/>
          </w:tcPr>
          <w:p w14:paraId="47135644">
            <w:pPr>
              <w:pStyle w:val="12"/>
            </w:pPr>
            <w:r>
              <w:t>生均拨款标准</w:t>
            </w:r>
          </w:p>
        </w:tc>
        <w:tc>
          <w:tcPr>
            <w:tcW w:w="5386" w:type="dxa"/>
            <w:vAlign w:val="center"/>
          </w:tcPr>
          <w:p w14:paraId="176DAB09">
            <w:pPr>
              <w:pStyle w:val="12"/>
            </w:pPr>
            <w:r>
              <w:t>小学生生均公用经费基准定额为720元/年/生，取暖费120元/年/生，住宿生补助300元/年/生的标准，随班就读学生补助7000元/生/年</w:t>
            </w:r>
          </w:p>
        </w:tc>
        <w:tc>
          <w:tcPr>
            <w:tcW w:w="2268" w:type="dxa"/>
            <w:vAlign w:val="center"/>
          </w:tcPr>
          <w:p w14:paraId="55991C58">
            <w:pPr>
              <w:pStyle w:val="12"/>
            </w:pPr>
            <w:r>
              <w:t>840元</w:t>
            </w:r>
          </w:p>
        </w:tc>
        <w:tc>
          <w:tcPr>
            <w:tcW w:w="1276" w:type="dxa"/>
            <w:vAlign w:val="center"/>
          </w:tcPr>
          <w:p w14:paraId="42CE08DE">
            <w:pPr>
              <w:pStyle w:val="12"/>
            </w:pPr>
            <w:r>
              <w:t>城乡义务教育公用经费管理办法</w:t>
            </w:r>
          </w:p>
        </w:tc>
      </w:tr>
      <w:tr w14:paraId="3161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7192B">
            <w:pPr>
              <w:pStyle w:val="13"/>
            </w:pPr>
            <w:r>
              <w:t>效益指标</w:t>
            </w:r>
          </w:p>
        </w:tc>
        <w:tc>
          <w:tcPr>
            <w:tcW w:w="2268" w:type="dxa"/>
            <w:vAlign w:val="center"/>
          </w:tcPr>
          <w:p w14:paraId="02464684">
            <w:pPr>
              <w:pStyle w:val="12"/>
            </w:pPr>
            <w:r>
              <w:t>可持续影响指标</w:t>
            </w:r>
          </w:p>
        </w:tc>
        <w:tc>
          <w:tcPr>
            <w:tcW w:w="2835" w:type="dxa"/>
            <w:vAlign w:val="center"/>
          </w:tcPr>
          <w:p w14:paraId="4FEC9153">
            <w:pPr>
              <w:pStyle w:val="12"/>
            </w:pPr>
            <w:r>
              <w:t>学校运转得到提高</w:t>
            </w:r>
          </w:p>
        </w:tc>
        <w:tc>
          <w:tcPr>
            <w:tcW w:w="5386" w:type="dxa"/>
            <w:vAlign w:val="center"/>
          </w:tcPr>
          <w:p w14:paraId="07A9F8B6">
            <w:pPr>
              <w:pStyle w:val="12"/>
            </w:pPr>
            <w:r>
              <w:t>学生受教育年限</w:t>
            </w:r>
          </w:p>
        </w:tc>
        <w:tc>
          <w:tcPr>
            <w:tcW w:w="2268" w:type="dxa"/>
            <w:vAlign w:val="center"/>
          </w:tcPr>
          <w:p w14:paraId="2464A039">
            <w:pPr>
              <w:pStyle w:val="12"/>
            </w:pPr>
            <w:r>
              <w:t>6年</w:t>
            </w:r>
          </w:p>
        </w:tc>
        <w:tc>
          <w:tcPr>
            <w:tcW w:w="1276" w:type="dxa"/>
            <w:vAlign w:val="center"/>
          </w:tcPr>
          <w:p w14:paraId="1729226F">
            <w:pPr>
              <w:pStyle w:val="12"/>
            </w:pPr>
            <w:r>
              <w:t>城乡义务教育公用经费管理办法</w:t>
            </w:r>
          </w:p>
        </w:tc>
      </w:tr>
      <w:tr w14:paraId="29182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C0336">
            <w:pPr>
              <w:pStyle w:val="13"/>
            </w:pPr>
            <w:r>
              <w:t>满意度指标</w:t>
            </w:r>
          </w:p>
        </w:tc>
        <w:tc>
          <w:tcPr>
            <w:tcW w:w="2268" w:type="dxa"/>
            <w:vAlign w:val="center"/>
          </w:tcPr>
          <w:p w14:paraId="77397DC7">
            <w:pPr>
              <w:pStyle w:val="12"/>
            </w:pPr>
            <w:r>
              <w:t>服务对象满意度指标</w:t>
            </w:r>
          </w:p>
        </w:tc>
        <w:tc>
          <w:tcPr>
            <w:tcW w:w="2835" w:type="dxa"/>
            <w:vAlign w:val="center"/>
          </w:tcPr>
          <w:p w14:paraId="4889AE85">
            <w:pPr>
              <w:pStyle w:val="12"/>
            </w:pPr>
            <w:r>
              <w:t>服务对象满意度</w:t>
            </w:r>
          </w:p>
        </w:tc>
        <w:tc>
          <w:tcPr>
            <w:tcW w:w="5386" w:type="dxa"/>
            <w:vAlign w:val="center"/>
          </w:tcPr>
          <w:p w14:paraId="7D629640">
            <w:pPr>
              <w:pStyle w:val="12"/>
            </w:pPr>
            <w:r>
              <w:t>学校老师和学生满意度</w:t>
            </w:r>
          </w:p>
        </w:tc>
        <w:tc>
          <w:tcPr>
            <w:tcW w:w="2268" w:type="dxa"/>
            <w:vAlign w:val="center"/>
          </w:tcPr>
          <w:p w14:paraId="2E087866">
            <w:pPr>
              <w:pStyle w:val="12"/>
            </w:pPr>
            <w:r>
              <w:t>≥95%</w:t>
            </w:r>
          </w:p>
        </w:tc>
        <w:tc>
          <w:tcPr>
            <w:tcW w:w="1276" w:type="dxa"/>
            <w:vAlign w:val="center"/>
          </w:tcPr>
          <w:p w14:paraId="2E3E729C">
            <w:pPr>
              <w:pStyle w:val="12"/>
            </w:pPr>
            <w:r>
              <w:t>群众测评</w:t>
            </w:r>
          </w:p>
        </w:tc>
      </w:tr>
    </w:tbl>
    <w:p w14:paraId="1B9DBDAF">
      <w:pPr>
        <w:sectPr>
          <w:pgSz w:w="16840" w:h="11900" w:orient="landscape"/>
          <w:pgMar w:top="1361" w:right="1020" w:bottom="1134" w:left="1020" w:header="720" w:footer="720" w:gutter="0"/>
          <w:cols w:space="720" w:num="1"/>
        </w:sectPr>
      </w:pPr>
    </w:p>
    <w:p w14:paraId="63102B85">
      <w:pPr>
        <w:spacing w:before="0" w:after="0"/>
        <w:ind w:firstLine="560"/>
        <w:jc w:val="left"/>
        <w:outlineLvl w:val="9"/>
      </w:pPr>
      <w:r>
        <w:rPr>
          <w:rFonts w:ascii="方正仿宋_GBK" w:hAnsi="方正仿宋_GBK" w:eastAsia="方正仿宋_GBK" w:cs="方正仿宋_GBK"/>
          <w:b/>
          <w:color w:val="000000"/>
          <w:sz w:val="28"/>
        </w:rPr>
        <w:t>6、冀财教[2025]121号/中央/2026年义教补助经费/莲子镇校区任村小学公用经费绩效目标表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0E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EE838">
            <w:pPr>
              <w:pStyle w:val="11"/>
            </w:pPr>
            <w:r>
              <w:t>单位：万元</w:t>
            </w:r>
          </w:p>
        </w:tc>
      </w:tr>
      <w:tr w14:paraId="4E3C0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4BE1C">
            <w:pPr>
              <w:pStyle w:val="10"/>
            </w:pPr>
            <w:r>
              <w:t>项目编码</w:t>
            </w:r>
          </w:p>
        </w:tc>
        <w:tc>
          <w:tcPr>
            <w:tcW w:w="5103" w:type="dxa"/>
            <w:gridSpan w:val="2"/>
            <w:vAlign w:val="center"/>
          </w:tcPr>
          <w:p w14:paraId="0CC81232">
            <w:pPr>
              <w:pStyle w:val="12"/>
            </w:pPr>
            <w:r>
              <w:t>13052526P000004103183</w:t>
            </w:r>
          </w:p>
        </w:tc>
        <w:tc>
          <w:tcPr>
            <w:tcW w:w="2835" w:type="dxa"/>
            <w:vAlign w:val="center"/>
          </w:tcPr>
          <w:p w14:paraId="545A4037">
            <w:pPr>
              <w:pStyle w:val="10"/>
            </w:pPr>
            <w:r>
              <w:t>项目名称</w:t>
            </w:r>
          </w:p>
        </w:tc>
        <w:tc>
          <w:tcPr>
            <w:tcW w:w="6095" w:type="dxa"/>
            <w:gridSpan w:val="3"/>
            <w:vAlign w:val="center"/>
          </w:tcPr>
          <w:p w14:paraId="76F76EA1">
            <w:pPr>
              <w:pStyle w:val="12"/>
            </w:pPr>
            <w:r>
              <w:t>冀财教[2025]121号/中央/2026年义教补助经费/莲子镇校区任村小学公用经费</w:t>
            </w:r>
          </w:p>
        </w:tc>
      </w:tr>
      <w:tr w14:paraId="5C598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0EE90">
            <w:pPr>
              <w:pStyle w:val="10"/>
            </w:pPr>
            <w:r>
              <w:t>预算规模及资金用途</w:t>
            </w:r>
          </w:p>
        </w:tc>
        <w:tc>
          <w:tcPr>
            <w:tcW w:w="2268" w:type="dxa"/>
            <w:vAlign w:val="center"/>
          </w:tcPr>
          <w:p w14:paraId="05D1A86F">
            <w:pPr>
              <w:pStyle w:val="10"/>
            </w:pPr>
            <w:r>
              <w:t>预算数</w:t>
            </w:r>
          </w:p>
        </w:tc>
        <w:tc>
          <w:tcPr>
            <w:tcW w:w="2835" w:type="dxa"/>
            <w:vAlign w:val="center"/>
          </w:tcPr>
          <w:p w14:paraId="72B91959">
            <w:pPr>
              <w:pStyle w:val="12"/>
            </w:pPr>
            <w:r>
              <w:t>4.96</w:t>
            </w:r>
          </w:p>
        </w:tc>
        <w:tc>
          <w:tcPr>
            <w:tcW w:w="2835" w:type="dxa"/>
            <w:vAlign w:val="center"/>
          </w:tcPr>
          <w:p w14:paraId="227F058D">
            <w:pPr>
              <w:pStyle w:val="10"/>
            </w:pPr>
            <w:r>
              <w:t>其中：财政    资金</w:t>
            </w:r>
          </w:p>
        </w:tc>
        <w:tc>
          <w:tcPr>
            <w:tcW w:w="2551" w:type="dxa"/>
            <w:vAlign w:val="center"/>
          </w:tcPr>
          <w:p w14:paraId="63292983">
            <w:pPr>
              <w:pStyle w:val="12"/>
            </w:pPr>
            <w:r>
              <w:t>4.96</w:t>
            </w:r>
          </w:p>
        </w:tc>
        <w:tc>
          <w:tcPr>
            <w:tcW w:w="2268" w:type="dxa"/>
            <w:vAlign w:val="center"/>
          </w:tcPr>
          <w:p w14:paraId="0D1DF7A4">
            <w:pPr>
              <w:pStyle w:val="10"/>
            </w:pPr>
            <w:r>
              <w:t>其他资金</w:t>
            </w:r>
          </w:p>
        </w:tc>
        <w:tc>
          <w:tcPr>
            <w:tcW w:w="1276" w:type="dxa"/>
            <w:vAlign w:val="center"/>
          </w:tcPr>
          <w:p w14:paraId="5A2CD81E">
            <w:pPr>
              <w:pStyle w:val="12"/>
            </w:pPr>
            <w:r>
              <w:t xml:space="preserve"> </w:t>
            </w:r>
          </w:p>
        </w:tc>
      </w:tr>
      <w:tr w14:paraId="1F698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0CAD4"/>
        </w:tc>
        <w:tc>
          <w:tcPr>
            <w:tcW w:w="14033" w:type="dxa"/>
            <w:gridSpan w:val="6"/>
            <w:vAlign w:val="center"/>
          </w:tcPr>
          <w:p w14:paraId="6CC6ACD4">
            <w:pPr>
              <w:pStyle w:val="12"/>
            </w:pPr>
            <w:r>
              <w:t>保障学校正常运转，完成各项教育教学活动和其他日常工作任务等方面的费用支出。</w:t>
            </w:r>
          </w:p>
        </w:tc>
      </w:tr>
      <w:tr w14:paraId="34CAA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AFD9C">
            <w:pPr>
              <w:pStyle w:val="10"/>
            </w:pPr>
            <w:r>
              <w:t>资金支出计划（%）</w:t>
            </w:r>
          </w:p>
        </w:tc>
        <w:tc>
          <w:tcPr>
            <w:tcW w:w="5103" w:type="dxa"/>
            <w:gridSpan w:val="2"/>
            <w:vAlign w:val="center"/>
          </w:tcPr>
          <w:p w14:paraId="02043F18">
            <w:pPr>
              <w:pStyle w:val="10"/>
            </w:pPr>
            <w:r>
              <w:t>3月底</w:t>
            </w:r>
          </w:p>
        </w:tc>
        <w:tc>
          <w:tcPr>
            <w:tcW w:w="2835" w:type="dxa"/>
            <w:vAlign w:val="center"/>
          </w:tcPr>
          <w:p w14:paraId="3C3E8704">
            <w:pPr>
              <w:pStyle w:val="10"/>
            </w:pPr>
            <w:r>
              <w:t>6月底</w:t>
            </w:r>
          </w:p>
        </w:tc>
        <w:tc>
          <w:tcPr>
            <w:tcW w:w="2551" w:type="dxa"/>
            <w:vAlign w:val="center"/>
          </w:tcPr>
          <w:p w14:paraId="65983750">
            <w:pPr>
              <w:pStyle w:val="10"/>
            </w:pPr>
            <w:r>
              <w:t>10月底</w:t>
            </w:r>
          </w:p>
        </w:tc>
        <w:tc>
          <w:tcPr>
            <w:tcW w:w="3544" w:type="dxa"/>
            <w:gridSpan w:val="2"/>
            <w:vAlign w:val="center"/>
          </w:tcPr>
          <w:p w14:paraId="6DEB2314">
            <w:pPr>
              <w:pStyle w:val="10"/>
            </w:pPr>
            <w:r>
              <w:t>12月底</w:t>
            </w:r>
          </w:p>
        </w:tc>
      </w:tr>
      <w:tr w14:paraId="18D0D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6D0D9"/>
        </w:tc>
        <w:tc>
          <w:tcPr>
            <w:tcW w:w="5103" w:type="dxa"/>
            <w:gridSpan w:val="2"/>
            <w:vAlign w:val="center"/>
          </w:tcPr>
          <w:p w14:paraId="4679E289">
            <w:pPr>
              <w:pStyle w:val="13"/>
            </w:pPr>
            <w:r>
              <w:t>25%</w:t>
            </w:r>
          </w:p>
        </w:tc>
        <w:tc>
          <w:tcPr>
            <w:tcW w:w="2835" w:type="dxa"/>
            <w:vAlign w:val="center"/>
          </w:tcPr>
          <w:p w14:paraId="76CD4250">
            <w:pPr>
              <w:pStyle w:val="13"/>
            </w:pPr>
            <w:r>
              <w:t>50%</w:t>
            </w:r>
          </w:p>
        </w:tc>
        <w:tc>
          <w:tcPr>
            <w:tcW w:w="2551" w:type="dxa"/>
            <w:vAlign w:val="center"/>
          </w:tcPr>
          <w:p w14:paraId="1EA6D116">
            <w:pPr>
              <w:pStyle w:val="13"/>
            </w:pPr>
            <w:r>
              <w:t>75%</w:t>
            </w:r>
          </w:p>
        </w:tc>
        <w:tc>
          <w:tcPr>
            <w:tcW w:w="3544" w:type="dxa"/>
            <w:gridSpan w:val="2"/>
            <w:vAlign w:val="center"/>
          </w:tcPr>
          <w:p w14:paraId="46FA799D">
            <w:pPr>
              <w:pStyle w:val="13"/>
            </w:pPr>
            <w:r>
              <w:t>100%</w:t>
            </w:r>
          </w:p>
        </w:tc>
      </w:tr>
      <w:tr w14:paraId="6E182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D433D">
            <w:pPr>
              <w:pStyle w:val="10"/>
            </w:pPr>
            <w:r>
              <w:t>绩效目标</w:t>
            </w:r>
          </w:p>
        </w:tc>
        <w:tc>
          <w:tcPr>
            <w:tcW w:w="14033" w:type="dxa"/>
            <w:gridSpan w:val="6"/>
            <w:vAlign w:val="center"/>
          </w:tcPr>
          <w:p w14:paraId="79B9546A">
            <w:pPr>
              <w:pStyle w:val="12"/>
            </w:pPr>
            <w:r>
              <w:t>1.按季度分批次拨付公用经费资金，资金拨付率达到100%。</w:t>
            </w:r>
          </w:p>
          <w:p w14:paraId="5B96B13D">
            <w:pPr>
              <w:pStyle w:val="12"/>
            </w:pPr>
            <w:r>
              <w:t>2.保障学校正常运转，完成各项教育教学活动和其他日常工作任务等方面的费用支出。</w:t>
            </w:r>
          </w:p>
        </w:tc>
      </w:tr>
    </w:tbl>
    <w:p w14:paraId="5EE1F5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4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58F0D">
            <w:pPr>
              <w:pStyle w:val="10"/>
            </w:pPr>
            <w:r>
              <w:t>一级指标</w:t>
            </w:r>
          </w:p>
        </w:tc>
        <w:tc>
          <w:tcPr>
            <w:tcW w:w="2268" w:type="dxa"/>
            <w:vAlign w:val="center"/>
          </w:tcPr>
          <w:p w14:paraId="10257F81">
            <w:pPr>
              <w:pStyle w:val="10"/>
            </w:pPr>
            <w:r>
              <w:t>二级指标</w:t>
            </w:r>
          </w:p>
        </w:tc>
        <w:tc>
          <w:tcPr>
            <w:tcW w:w="2835" w:type="dxa"/>
            <w:vAlign w:val="center"/>
          </w:tcPr>
          <w:p w14:paraId="7E0C3AB6">
            <w:pPr>
              <w:pStyle w:val="10"/>
            </w:pPr>
            <w:r>
              <w:t>三级指标</w:t>
            </w:r>
          </w:p>
        </w:tc>
        <w:tc>
          <w:tcPr>
            <w:tcW w:w="5386" w:type="dxa"/>
            <w:vAlign w:val="center"/>
          </w:tcPr>
          <w:p w14:paraId="2D7814F6">
            <w:pPr>
              <w:pStyle w:val="10"/>
            </w:pPr>
            <w:r>
              <w:t>绩效指标描述</w:t>
            </w:r>
          </w:p>
        </w:tc>
        <w:tc>
          <w:tcPr>
            <w:tcW w:w="2268" w:type="dxa"/>
            <w:vAlign w:val="center"/>
          </w:tcPr>
          <w:p w14:paraId="281254C7">
            <w:pPr>
              <w:pStyle w:val="10"/>
            </w:pPr>
            <w:r>
              <w:t>指标值</w:t>
            </w:r>
          </w:p>
        </w:tc>
        <w:tc>
          <w:tcPr>
            <w:tcW w:w="1276" w:type="dxa"/>
            <w:vAlign w:val="center"/>
          </w:tcPr>
          <w:p w14:paraId="18EE33DB">
            <w:pPr>
              <w:pStyle w:val="10"/>
            </w:pPr>
            <w:r>
              <w:t>指标值确定依据</w:t>
            </w:r>
          </w:p>
        </w:tc>
      </w:tr>
      <w:tr w14:paraId="111D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64472">
            <w:pPr>
              <w:pStyle w:val="13"/>
            </w:pPr>
            <w:r>
              <w:t>产出指标</w:t>
            </w:r>
          </w:p>
        </w:tc>
        <w:tc>
          <w:tcPr>
            <w:tcW w:w="2268" w:type="dxa"/>
            <w:vAlign w:val="center"/>
          </w:tcPr>
          <w:p w14:paraId="1C92131E">
            <w:pPr>
              <w:pStyle w:val="12"/>
            </w:pPr>
            <w:r>
              <w:t>数量指标</w:t>
            </w:r>
          </w:p>
        </w:tc>
        <w:tc>
          <w:tcPr>
            <w:tcW w:w="2835" w:type="dxa"/>
            <w:vAlign w:val="center"/>
          </w:tcPr>
          <w:p w14:paraId="4786C284">
            <w:pPr>
              <w:pStyle w:val="12"/>
            </w:pPr>
            <w:r>
              <w:t>就读学生数</w:t>
            </w:r>
          </w:p>
        </w:tc>
        <w:tc>
          <w:tcPr>
            <w:tcW w:w="5386" w:type="dxa"/>
            <w:vAlign w:val="center"/>
          </w:tcPr>
          <w:p w14:paraId="03805927">
            <w:pPr>
              <w:pStyle w:val="12"/>
            </w:pPr>
            <w:r>
              <w:t>辐射区域内适龄学生人数</w:t>
            </w:r>
          </w:p>
        </w:tc>
        <w:tc>
          <w:tcPr>
            <w:tcW w:w="2268" w:type="dxa"/>
            <w:vAlign w:val="center"/>
          </w:tcPr>
          <w:p w14:paraId="00EB6A08">
            <w:pPr>
              <w:pStyle w:val="12"/>
            </w:pPr>
            <w:r>
              <w:t>100人</w:t>
            </w:r>
          </w:p>
        </w:tc>
        <w:tc>
          <w:tcPr>
            <w:tcW w:w="1276" w:type="dxa"/>
            <w:vAlign w:val="center"/>
          </w:tcPr>
          <w:p w14:paraId="4764DDC3">
            <w:pPr>
              <w:pStyle w:val="12"/>
            </w:pPr>
            <w:r>
              <w:t>城乡义务教育公用经费管理办法</w:t>
            </w:r>
          </w:p>
        </w:tc>
      </w:tr>
      <w:tr w14:paraId="270D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B97C4"/>
        </w:tc>
        <w:tc>
          <w:tcPr>
            <w:tcW w:w="2268" w:type="dxa"/>
            <w:vAlign w:val="center"/>
          </w:tcPr>
          <w:p w14:paraId="624EE8C8">
            <w:pPr>
              <w:pStyle w:val="12"/>
            </w:pPr>
            <w:r>
              <w:t>质量指标</w:t>
            </w:r>
          </w:p>
        </w:tc>
        <w:tc>
          <w:tcPr>
            <w:tcW w:w="2835" w:type="dxa"/>
            <w:vAlign w:val="center"/>
          </w:tcPr>
          <w:p w14:paraId="760262EC">
            <w:pPr>
              <w:pStyle w:val="12"/>
            </w:pPr>
            <w:r>
              <w:t>预算执行率</w:t>
            </w:r>
          </w:p>
        </w:tc>
        <w:tc>
          <w:tcPr>
            <w:tcW w:w="5386" w:type="dxa"/>
            <w:vAlign w:val="center"/>
          </w:tcPr>
          <w:p w14:paraId="63758EDA">
            <w:pPr>
              <w:pStyle w:val="12"/>
            </w:pPr>
            <w:r>
              <w:t>预算执行率</w:t>
            </w:r>
          </w:p>
        </w:tc>
        <w:tc>
          <w:tcPr>
            <w:tcW w:w="2268" w:type="dxa"/>
            <w:vAlign w:val="center"/>
          </w:tcPr>
          <w:p w14:paraId="0B2E2440">
            <w:pPr>
              <w:pStyle w:val="12"/>
            </w:pPr>
            <w:r>
              <w:t>≥95%</w:t>
            </w:r>
          </w:p>
        </w:tc>
        <w:tc>
          <w:tcPr>
            <w:tcW w:w="1276" w:type="dxa"/>
            <w:vAlign w:val="center"/>
          </w:tcPr>
          <w:p w14:paraId="2ED78CB2">
            <w:pPr>
              <w:pStyle w:val="12"/>
            </w:pPr>
            <w:r>
              <w:t>城乡义务教育公用经费管理办法</w:t>
            </w:r>
          </w:p>
        </w:tc>
      </w:tr>
      <w:tr w14:paraId="03BF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F91D4"/>
        </w:tc>
        <w:tc>
          <w:tcPr>
            <w:tcW w:w="2268" w:type="dxa"/>
            <w:vAlign w:val="center"/>
          </w:tcPr>
          <w:p w14:paraId="67863808">
            <w:pPr>
              <w:pStyle w:val="12"/>
            </w:pPr>
            <w:r>
              <w:t>时效指标</w:t>
            </w:r>
          </w:p>
        </w:tc>
        <w:tc>
          <w:tcPr>
            <w:tcW w:w="2835" w:type="dxa"/>
            <w:vAlign w:val="center"/>
          </w:tcPr>
          <w:p w14:paraId="17ED7391">
            <w:pPr>
              <w:pStyle w:val="12"/>
            </w:pPr>
            <w:r>
              <w:t>义教经费支付完成率</w:t>
            </w:r>
          </w:p>
        </w:tc>
        <w:tc>
          <w:tcPr>
            <w:tcW w:w="5386" w:type="dxa"/>
            <w:vAlign w:val="center"/>
          </w:tcPr>
          <w:p w14:paraId="57F5607D">
            <w:pPr>
              <w:pStyle w:val="12"/>
            </w:pPr>
            <w:r>
              <w:t>按照序时进度完成资金支付</w:t>
            </w:r>
          </w:p>
        </w:tc>
        <w:tc>
          <w:tcPr>
            <w:tcW w:w="2268" w:type="dxa"/>
            <w:vAlign w:val="center"/>
          </w:tcPr>
          <w:p w14:paraId="3D94CB0B">
            <w:pPr>
              <w:pStyle w:val="12"/>
            </w:pPr>
            <w:r>
              <w:t>100%</w:t>
            </w:r>
          </w:p>
        </w:tc>
        <w:tc>
          <w:tcPr>
            <w:tcW w:w="1276" w:type="dxa"/>
            <w:vAlign w:val="center"/>
          </w:tcPr>
          <w:p w14:paraId="58007B92">
            <w:pPr>
              <w:pStyle w:val="12"/>
            </w:pPr>
            <w:r>
              <w:t>城乡义务教育公用经费管理办法</w:t>
            </w:r>
          </w:p>
        </w:tc>
      </w:tr>
      <w:tr w14:paraId="1B78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E087D"/>
        </w:tc>
        <w:tc>
          <w:tcPr>
            <w:tcW w:w="2268" w:type="dxa"/>
            <w:vAlign w:val="center"/>
          </w:tcPr>
          <w:p w14:paraId="56300032">
            <w:pPr>
              <w:pStyle w:val="12"/>
            </w:pPr>
            <w:r>
              <w:t>成本指标</w:t>
            </w:r>
          </w:p>
        </w:tc>
        <w:tc>
          <w:tcPr>
            <w:tcW w:w="2835" w:type="dxa"/>
            <w:vAlign w:val="center"/>
          </w:tcPr>
          <w:p w14:paraId="32C5A17F">
            <w:pPr>
              <w:pStyle w:val="12"/>
            </w:pPr>
            <w:r>
              <w:t>生均拨款标准</w:t>
            </w:r>
          </w:p>
        </w:tc>
        <w:tc>
          <w:tcPr>
            <w:tcW w:w="5386" w:type="dxa"/>
            <w:vAlign w:val="center"/>
          </w:tcPr>
          <w:p w14:paraId="2BA057E1">
            <w:pPr>
              <w:pStyle w:val="12"/>
            </w:pPr>
            <w:r>
              <w:t>小学生公用经费生均公用经费基准定额为720元/年/生，取暖费120元/年/生，住宿生补助300元/年/生的标准，随班就读学生补助7000元/生/年</w:t>
            </w:r>
          </w:p>
        </w:tc>
        <w:tc>
          <w:tcPr>
            <w:tcW w:w="2268" w:type="dxa"/>
            <w:vAlign w:val="center"/>
          </w:tcPr>
          <w:p w14:paraId="4BFE2583">
            <w:pPr>
              <w:pStyle w:val="12"/>
            </w:pPr>
            <w:r>
              <w:t>840元</w:t>
            </w:r>
          </w:p>
        </w:tc>
        <w:tc>
          <w:tcPr>
            <w:tcW w:w="1276" w:type="dxa"/>
            <w:vAlign w:val="center"/>
          </w:tcPr>
          <w:p w14:paraId="26ACDBE1">
            <w:pPr>
              <w:pStyle w:val="12"/>
            </w:pPr>
            <w:r>
              <w:t>城乡义务教育公用经费管理办法</w:t>
            </w:r>
          </w:p>
        </w:tc>
      </w:tr>
      <w:tr w14:paraId="0034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D6496">
            <w:pPr>
              <w:pStyle w:val="13"/>
            </w:pPr>
            <w:r>
              <w:t>效益指标</w:t>
            </w:r>
          </w:p>
        </w:tc>
        <w:tc>
          <w:tcPr>
            <w:tcW w:w="2268" w:type="dxa"/>
            <w:vAlign w:val="center"/>
          </w:tcPr>
          <w:p w14:paraId="05FF8C39">
            <w:pPr>
              <w:pStyle w:val="12"/>
            </w:pPr>
            <w:r>
              <w:t>可持续影响指标</w:t>
            </w:r>
          </w:p>
        </w:tc>
        <w:tc>
          <w:tcPr>
            <w:tcW w:w="2835" w:type="dxa"/>
            <w:vAlign w:val="center"/>
          </w:tcPr>
          <w:p w14:paraId="4D359144">
            <w:pPr>
              <w:pStyle w:val="12"/>
            </w:pPr>
            <w:r>
              <w:t>学校运转得到提高</w:t>
            </w:r>
          </w:p>
        </w:tc>
        <w:tc>
          <w:tcPr>
            <w:tcW w:w="5386" w:type="dxa"/>
            <w:vAlign w:val="center"/>
          </w:tcPr>
          <w:p w14:paraId="6B2334B3">
            <w:pPr>
              <w:pStyle w:val="12"/>
            </w:pPr>
            <w:r>
              <w:t>学生受教育年限</w:t>
            </w:r>
          </w:p>
        </w:tc>
        <w:tc>
          <w:tcPr>
            <w:tcW w:w="2268" w:type="dxa"/>
            <w:vAlign w:val="center"/>
          </w:tcPr>
          <w:p w14:paraId="2D57FC3C">
            <w:pPr>
              <w:pStyle w:val="12"/>
            </w:pPr>
            <w:r>
              <w:t>6年</w:t>
            </w:r>
          </w:p>
        </w:tc>
        <w:tc>
          <w:tcPr>
            <w:tcW w:w="1276" w:type="dxa"/>
            <w:vAlign w:val="center"/>
          </w:tcPr>
          <w:p w14:paraId="2733D614">
            <w:pPr>
              <w:pStyle w:val="12"/>
            </w:pPr>
            <w:r>
              <w:t>城乡义务教育公用经费管理办法</w:t>
            </w:r>
          </w:p>
        </w:tc>
      </w:tr>
      <w:tr w14:paraId="2164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0E956">
            <w:pPr>
              <w:pStyle w:val="13"/>
            </w:pPr>
            <w:r>
              <w:t>满意度指标</w:t>
            </w:r>
          </w:p>
        </w:tc>
        <w:tc>
          <w:tcPr>
            <w:tcW w:w="2268" w:type="dxa"/>
            <w:vAlign w:val="center"/>
          </w:tcPr>
          <w:p w14:paraId="41A87B0A">
            <w:pPr>
              <w:pStyle w:val="12"/>
            </w:pPr>
            <w:r>
              <w:t>服务对象满意度指标</w:t>
            </w:r>
          </w:p>
        </w:tc>
        <w:tc>
          <w:tcPr>
            <w:tcW w:w="2835" w:type="dxa"/>
            <w:vAlign w:val="center"/>
          </w:tcPr>
          <w:p w14:paraId="42CC6526">
            <w:pPr>
              <w:pStyle w:val="12"/>
            </w:pPr>
            <w:r>
              <w:t>服务对象满意度</w:t>
            </w:r>
          </w:p>
        </w:tc>
        <w:tc>
          <w:tcPr>
            <w:tcW w:w="5386" w:type="dxa"/>
            <w:vAlign w:val="center"/>
          </w:tcPr>
          <w:p w14:paraId="5D0D2885">
            <w:pPr>
              <w:pStyle w:val="12"/>
            </w:pPr>
            <w:r>
              <w:t>学校老师和学生满意度</w:t>
            </w:r>
          </w:p>
        </w:tc>
        <w:tc>
          <w:tcPr>
            <w:tcW w:w="2268" w:type="dxa"/>
            <w:vAlign w:val="center"/>
          </w:tcPr>
          <w:p w14:paraId="5EBE8FEB">
            <w:pPr>
              <w:pStyle w:val="12"/>
            </w:pPr>
            <w:r>
              <w:t>≥95%</w:t>
            </w:r>
          </w:p>
        </w:tc>
        <w:tc>
          <w:tcPr>
            <w:tcW w:w="1276" w:type="dxa"/>
            <w:vAlign w:val="center"/>
          </w:tcPr>
          <w:p w14:paraId="5B3ECAA5">
            <w:pPr>
              <w:pStyle w:val="12"/>
            </w:pPr>
            <w:r>
              <w:t>群众测评</w:t>
            </w:r>
          </w:p>
        </w:tc>
      </w:tr>
    </w:tbl>
    <w:p w14:paraId="4C52FF87">
      <w:pPr>
        <w:sectPr>
          <w:pgSz w:w="16840" w:h="11900" w:orient="landscape"/>
          <w:pgMar w:top="1361" w:right="1020" w:bottom="1134" w:left="1020" w:header="720" w:footer="720" w:gutter="0"/>
          <w:cols w:space="720" w:num="1"/>
        </w:sectPr>
      </w:pPr>
    </w:p>
    <w:p w14:paraId="369273C2">
      <w:pPr>
        <w:spacing w:before="0" w:after="0"/>
        <w:ind w:firstLine="560"/>
        <w:jc w:val="left"/>
        <w:outlineLvl w:val="9"/>
      </w:pPr>
      <w:r>
        <w:rPr>
          <w:rFonts w:ascii="方正仿宋_GBK" w:hAnsi="方正仿宋_GBK" w:eastAsia="方正仿宋_GBK" w:cs="方正仿宋_GBK"/>
          <w:b/>
          <w:color w:val="000000"/>
          <w:sz w:val="28"/>
        </w:rPr>
        <w:t>7、冀财教[2025]121号/中央/2026年义教补助经费/莲子镇校区西店子小学公用经费绩效目标表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0C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FB104">
            <w:pPr>
              <w:pStyle w:val="11"/>
            </w:pPr>
            <w:r>
              <w:t>单位：万元</w:t>
            </w:r>
          </w:p>
        </w:tc>
      </w:tr>
      <w:tr w14:paraId="3CBF6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930A8">
            <w:pPr>
              <w:pStyle w:val="10"/>
            </w:pPr>
            <w:r>
              <w:t>项目编码</w:t>
            </w:r>
          </w:p>
        </w:tc>
        <w:tc>
          <w:tcPr>
            <w:tcW w:w="5103" w:type="dxa"/>
            <w:gridSpan w:val="2"/>
            <w:vAlign w:val="center"/>
          </w:tcPr>
          <w:p w14:paraId="667FE226">
            <w:pPr>
              <w:pStyle w:val="12"/>
            </w:pPr>
            <w:r>
              <w:t>13052526P00000410314L</w:t>
            </w:r>
          </w:p>
        </w:tc>
        <w:tc>
          <w:tcPr>
            <w:tcW w:w="2835" w:type="dxa"/>
            <w:vAlign w:val="center"/>
          </w:tcPr>
          <w:p w14:paraId="2B77F658">
            <w:pPr>
              <w:pStyle w:val="10"/>
            </w:pPr>
            <w:r>
              <w:t>项目名称</w:t>
            </w:r>
          </w:p>
        </w:tc>
        <w:tc>
          <w:tcPr>
            <w:tcW w:w="6095" w:type="dxa"/>
            <w:gridSpan w:val="3"/>
            <w:vAlign w:val="center"/>
          </w:tcPr>
          <w:p w14:paraId="3DCC2A4F">
            <w:pPr>
              <w:pStyle w:val="12"/>
            </w:pPr>
            <w:r>
              <w:t>冀财教[2025]121号/中央/2026年义教补助经费/莲子镇校区西店子小学公用经费</w:t>
            </w:r>
          </w:p>
        </w:tc>
      </w:tr>
      <w:tr w14:paraId="0D1B1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85714">
            <w:pPr>
              <w:pStyle w:val="10"/>
            </w:pPr>
            <w:r>
              <w:t>预算规模及资金用途</w:t>
            </w:r>
          </w:p>
        </w:tc>
        <w:tc>
          <w:tcPr>
            <w:tcW w:w="2268" w:type="dxa"/>
            <w:vAlign w:val="center"/>
          </w:tcPr>
          <w:p w14:paraId="6B213B28">
            <w:pPr>
              <w:pStyle w:val="10"/>
            </w:pPr>
            <w:r>
              <w:t>预算数</w:t>
            </w:r>
          </w:p>
        </w:tc>
        <w:tc>
          <w:tcPr>
            <w:tcW w:w="2835" w:type="dxa"/>
            <w:vAlign w:val="center"/>
          </w:tcPr>
          <w:p w14:paraId="4B22E5F0">
            <w:pPr>
              <w:pStyle w:val="12"/>
            </w:pPr>
            <w:r>
              <w:t>8.75</w:t>
            </w:r>
          </w:p>
        </w:tc>
        <w:tc>
          <w:tcPr>
            <w:tcW w:w="2835" w:type="dxa"/>
            <w:vAlign w:val="center"/>
          </w:tcPr>
          <w:p w14:paraId="3F1FAE87">
            <w:pPr>
              <w:pStyle w:val="10"/>
            </w:pPr>
            <w:r>
              <w:t>其中：财政    资金</w:t>
            </w:r>
          </w:p>
        </w:tc>
        <w:tc>
          <w:tcPr>
            <w:tcW w:w="2551" w:type="dxa"/>
            <w:vAlign w:val="center"/>
          </w:tcPr>
          <w:p w14:paraId="2AD16CD3">
            <w:pPr>
              <w:pStyle w:val="12"/>
            </w:pPr>
            <w:r>
              <w:t>8.75</w:t>
            </w:r>
          </w:p>
        </w:tc>
        <w:tc>
          <w:tcPr>
            <w:tcW w:w="2268" w:type="dxa"/>
            <w:vAlign w:val="center"/>
          </w:tcPr>
          <w:p w14:paraId="3C513906">
            <w:pPr>
              <w:pStyle w:val="10"/>
            </w:pPr>
            <w:r>
              <w:t>其他资金</w:t>
            </w:r>
          </w:p>
        </w:tc>
        <w:tc>
          <w:tcPr>
            <w:tcW w:w="1276" w:type="dxa"/>
            <w:vAlign w:val="center"/>
          </w:tcPr>
          <w:p w14:paraId="105A2F8C">
            <w:pPr>
              <w:pStyle w:val="12"/>
            </w:pPr>
            <w:r>
              <w:t xml:space="preserve"> </w:t>
            </w:r>
          </w:p>
        </w:tc>
      </w:tr>
      <w:tr w14:paraId="7938F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B582E"/>
        </w:tc>
        <w:tc>
          <w:tcPr>
            <w:tcW w:w="14033" w:type="dxa"/>
            <w:gridSpan w:val="6"/>
            <w:vAlign w:val="center"/>
          </w:tcPr>
          <w:p w14:paraId="728C605D">
            <w:pPr>
              <w:pStyle w:val="12"/>
            </w:pPr>
            <w:r>
              <w:t>保障学校正常运转，完成各项教育教学活动和其他日常工作任务等方面的费用支出。</w:t>
            </w:r>
          </w:p>
        </w:tc>
      </w:tr>
      <w:tr w14:paraId="4E172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1EDDF">
            <w:pPr>
              <w:pStyle w:val="10"/>
            </w:pPr>
            <w:r>
              <w:t>资金支出计划（%）</w:t>
            </w:r>
          </w:p>
        </w:tc>
        <w:tc>
          <w:tcPr>
            <w:tcW w:w="5103" w:type="dxa"/>
            <w:gridSpan w:val="2"/>
            <w:vAlign w:val="center"/>
          </w:tcPr>
          <w:p w14:paraId="7F089ACF">
            <w:pPr>
              <w:pStyle w:val="10"/>
            </w:pPr>
            <w:r>
              <w:t>3月底</w:t>
            </w:r>
          </w:p>
        </w:tc>
        <w:tc>
          <w:tcPr>
            <w:tcW w:w="2835" w:type="dxa"/>
            <w:vAlign w:val="center"/>
          </w:tcPr>
          <w:p w14:paraId="683F277A">
            <w:pPr>
              <w:pStyle w:val="10"/>
            </w:pPr>
            <w:r>
              <w:t>6月底</w:t>
            </w:r>
          </w:p>
        </w:tc>
        <w:tc>
          <w:tcPr>
            <w:tcW w:w="2551" w:type="dxa"/>
            <w:vAlign w:val="center"/>
          </w:tcPr>
          <w:p w14:paraId="6AE3601A">
            <w:pPr>
              <w:pStyle w:val="10"/>
            </w:pPr>
            <w:r>
              <w:t>10月底</w:t>
            </w:r>
          </w:p>
        </w:tc>
        <w:tc>
          <w:tcPr>
            <w:tcW w:w="3544" w:type="dxa"/>
            <w:gridSpan w:val="2"/>
            <w:vAlign w:val="center"/>
          </w:tcPr>
          <w:p w14:paraId="30B0AB38">
            <w:pPr>
              <w:pStyle w:val="10"/>
            </w:pPr>
            <w:r>
              <w:t>12月底</w:t>
            </w:r>
          </w:p>
        </w:tc>
      </w:tr>
      <w:tr w14:paraId="31D44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2D17B"/>
        </w:tc>
        <w:tc>
          <w:tcPr>
            <w:tcW w:w="5103" w:type="dxa"/>
            <w:gridSpan w:val="2"/>
            <w:vAlign w:val="center"/>
          </w:tcPr>
          <w:p w14:paraId="555C37F4">
            <w:pPr>
              <w:pStyle w:val="13"/>
            </w:pPr>
            <w:r>
              <w:t>25%</w:t>
            </w:r>
          </w:p>
        </w:tc>
        <w:tc>
          <w:tcPr>
            <w:tcW w:w="2835" w:type="dxa"/>
            <w:vAlign w:val="center"/>
          </w:tcPr>
          <w:p w14:paraId="24F241FB">
            <w:pPr>
              <w:pStyle w:val="13"/>
            </w:pPr>
            <w:r>
              <w:t>50%</w:t>
            </w:r>
          </w:p>
        </w:tc>
        <w:tc>
          <w:tcPr>
            <w:tcW w:w="2551" w:type="dxa"/>
            <w:vAlign w:val="center"/>
          </w:tcPr>
          <w:p w14:paraId="3C2573CE">
            <w:pPr>
              <w:pStyle w:val="13"/>
            </w:pPr>
            <w:r>
              <w:t>75%</w:t>
            </w:r>
          </w:p>
        </w:tc>
        <w:tc>
          <w:tcPr>
            <w:tcW w:w="3544" w:type="dxa"/>
            <w:gridSpan w:val="2"/>
            <w:vAlign w:val="center"/>
          </w:tcPr>
          <w:p w14:paraId="312DF2E3">
            <w:pPr>
              <w:pStyle w:val="13"/>
            </w:pPr>
            <w:r>
              <w:t>100%</w:t>
            </w:r>
          </w:p>
        </w:tc>
      </w:tr>
      <w:tr w14:paraId="760A8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6FB97">
            <w:pPr>
              <w:pStyle w:val="10"/>
            </w:pPr>
            <w:r>
              <w:t>绩效目标</w:t>
            </w:r>
          </w:p>
        </w:tc>
        <w:tc>
          <w:tcPr>
            <w:tcW w:w="14033" w:type="dxa"/>
            <w:gridSpan w:val="6"/>
            <w:vAlign w:val="center"/>
          </w:tcPr>
          <w:p w14:paraId="67E6E8EF">
            <w:pPr>
              <w:pStyle w:val="12"/>
            </w:pPr>
            <w:r>
              <w:t>1.按季度分批次拨付公用经费资金，资金拨付率达到100%。</w:t>
            </w:r>
          </w:p>
          <w:p w14:paraId="5408B1A5">
            <w:pPr>
              <w:pStyle w:val="12"/>
            </w:pPr>
            <w:r>
              <w:t>2.保障学校正常运转，完成各项教育教学活动和其他日常工作任务等方面的费用支出。</w:t>
            </w:r>
          </w:p>
        </w:tc>
      </w:tr>
    </w:tbl>
    <w:p w14:paraId="6900A5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E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7DA1D">
            <w:pPr>
              <w:pStyle w:val="10"/>
            </w:pPr>
            <w:r>
              <w:t>一级指标</w:t>
            </w:r>
          </w:p>
        </w:tc>
        <w:tc>
          <w:tcPr>
            <w:tcW w:w="2268" w:type="dxa"/>
            <w:vAlign w:val="center"/>
          </w:tcPr>
          <w:p w14:paraId="75EBB3DB">
            <w:pPr>
              <w:pStyle w:val="10"/>
            </w:pPr>
            <w:r>
              <w:t>二级指标</w:t>
            </w:r>
          </w:p>
        </w:tc>
        <w:tc>
          <w:tcPr>
            <w:tcW w:w="2835" w:type="dxa"/>
            <w:vAlign w:val="center"/>
          </w:tcPr>
          <w:p w14:paraId="675254E1">
            <w:pPr>
              <w:pStyle w:val="10"/>
            </w:pPr>
            <w:r>
              <w:t>三级指标</w:t>
            </w:r>
          </w:p>
        </w:tc>
        <w:tc>
          <w:tcPr>
            <w:tcW w:w="5386" w:type="dxa"/>
            <w:vAlign w:val="center"/>
          </w:tcPr>
          <w:p w14:paraId="0DA2400B">
            <w:pPr>
              <w:pStyle w:val="10"/>
            </w:pPr>
            <w:r>
              <w:t>绩效指标描述</w:t>
            </w:r>
          </w:p>
        </w:tc>
        <w:tc>
          <w:tcPr>
            <w:tcW w:w="2268" w:type="dxa"/>
            <w:vAlign w:val="center"/>
          </w:tcPr>
          <w:p w14:paraId="69BC9BCC">
            <w:pPr>
              <w:pStyle w:val="10"/>
            </w:pPr>
            <w:r>
              <w:t>指标值</w:t>
            </w:r>
          </w:p>
        </w:tc>
        <w:tc>
          <w:tcPr>
            <w:tcW w:w="1276" w:type="dxa"/>
            <w:vAlign w:val="center"/>
          </w:tcPr>
          <w:p w14:paraId="151C990F">
            <w:pPr>
              <w:pStyle w:val="10"/>
            </w:pPr>
            <w:r>
              <w:t>指标值确定依据</w:t>
            </w:r>
          </w:p>
        </w:tc>
      </w:tr>
      <w:tr w14:paraId="62FE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6037E">
            <w:pPr>
              <w:pStyle w:val="13"/>
            </w:pPr>
            <w:r>
              <w:t>产出指标</w:t>
            </w:r>
          </w:p>
        </w:tc>
        <w:tc>
          <w:tcPr>
            <w:tcW w:w="2268" w:type="dxa"/>
            <w:vAlign w:val="center"/>
          </w:tcPr>
          <w:p w14:paraId="7C25C19F">
            <w:pPr>
              <w:pStyle w:val="12"/>
            </w:pPr>
            <w:r>
              <w:t>数量指标</w:t>
            </w:r>
          </w:p>
        </w:tc>
        <w:tc>
          <w:tcPr>
            <w:tcW w:w="2835" w:type="dxa"/>
            <w:vAlign w:val="center"/>
          </w:tcPr>
          <w:p w14:paraId="4590A746">
            <w:pPr>
              <w:pStyle w:val="12"/>
            </w:pPr>
            <w:r>
              <w:t>就读学生数</w:t>
            </w:r>
          </w:p>
        </w:tc>
        <w:tc>
          <w:tcPr>
            <w:tcW w:w="5386" w:type="dxa"/>
            <w:vAlign w:val="center"/>
          </w:tcPr>
          <w:p w14:paraId="2E13216F">
            <w:pPr>
              <w:pStyle w:val="12"/>
            </w:pPr>
            <w:r>
              <w:t>辐射区域内适龄学生人数</w:t>
            </w:r>
          </w:p>
        </w:tc>
        <w:tc>
          <w:tcPr>
            <w:tcW w:w="2268" w:type="dxa"/>
            <w:vAlign w:val="center"/>
          </w:tcPr>
          <w:p w14:paraId="747FE250">
            <w:pPr>
              <w:pStyle w:val="12"/>
            </w:pPr>
            <w:r>
              <w:t>168人</w:t>
            </w:r>
          </w:p>
        </w:tc>
        <w:tc>
          <w:tcPr>
            <w:tcW w:w="1276" w:type="dxa"/>
            <w:vAlign w:val="center"/>
          </w:tcPr>
          <w:p w14:paraId="402F509B">
            <w:pPr>
              <w:pStyle w:val="12"/>
            </w:pPr>
            <w:r>
              <w:t>城乡义务教育公用经费管理办法</w:t>
            </w:r>
          </w:p>
        </w:tc>
      </w:tr>
      <w:tr w14:paraId="70B1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266FC"/>
        </w:tc>
        <w:tc>
          <w:tcPr>
            <w:tcW w:w="2268" w:type="dxa"/>
            <w:vAlign w:val="center"/>
          </w:tcPr>
          <w:p w14:paraId="36FC45DA">
            <w:pPr>
              <w:pStyle w:val="12"/>
            </w:pPr>
            <w:r>
              <w:t>质量指标</w:t>
            </w:r>
          </w:p>
        </w:tc>
        <w:tc>
          <w:tcPr>
            <w:tcW w:w="2835" w:type="dxa"/>
            <w:vAlign w:val="center"/>
          </w:tcPr>
          <w:p w14:paraId="3E3CB45A">
            <w:pPr>
              <w:pStyle w:val="12"/>
            </w:pPr>
            <w:r>
              <w:t>预算执行率</w:t>
            </w:r>
          </w:p>
        </w:tc>
        <w:tc>
          <w:tcPr>
            <w:tcW w:w="5386" w:type="dxa"/>
            <w:vAlign w:val="center"/>
          </w:tcPr>
          <w:p w14:paraId="01AE6CE6">
            <w:pPr>
              <w:pStyle w:val="12"/>
            </w:pPr>
            <w:r>
              <w:t>预算执行率</w:t>
            </w:r>
          </w:p>
        </w:tc>
        <w:tc>
          <w:tcPr>
            <w:tcW w:w="2268" w:type="dxa"/>
            <w:vAlign w:val="center"/>
          </w:tcPr>
          <w:p w14:paraId="4CECCC12">
            <w:pPr>
              <w:pStyle w:val="12"/>
            </w:pPr>
            <w:r>
              <w:t>≥95%</w:t>
            </w:r>
          </w:p>
        </w:tc>
        <w:tc>
          <w:tcPr>
            <w:tcW w:w="1276" w:type="dxa"/>
            <w:vAlign w:val="center"/>
          </w:tcPr>
          <w:p w14:paraId="156F6832">
            <w:pPr>
              <w:pStyle w:val="12"/>
            </w:pPr>
            <w:r>
              <w:t>城乡义务教育公用经费管理办法</w:t>
            </w:r>
          </w:p>
        </w:tc>
      </w:tr>
      <w:tr w14:paraId="64F8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18C49"/>
        </w:tc>
        <w:tc>
          <w:tcPr>
            <w:tcW w:w="2268" w:type="dxa"/>
            <w:vAlign w:val="center"/>
          </w:tcPr>
          <w:p w14:paraId="7A27CF35">
            <w:pPr>
              <w:pStyle w:val="12"/>
            </w:pPr>
            <w:r>
              <w:t>时效指标</w:t>
            </w:r>
          </w:p>
        </w:tc>
        <w:tc>
          <w:tcPr>
            <w:tcW w:w="2835" w:type="dxa"/>
            <w:vAlign w:val="center"/>
          </w:tcPr>
          <w:p w14:paraId="2FF123AA">
            <w:pPr>
              <w:pStyle w:val="12"/>
            </w:pPr>
            <w:r>
              <w:t>义教经费支付完成率</w:t>
            </w:r>
          </w:p>
        </w:tc>
        <w:tc>
          <w:tcPr>
            <w:tcW w:w="5386" w:type="dxa"/>
            <w:vAlign w:val="center"/>
          </w:tcPr>
          <w:p w14:paraId="023000D6">
            <w:pPr>
              <w:pStyle w:val="12"/>
            </w:pPr>
            <w:r>
              <w:t>按照序时进度完成资金支付</w:t>
            </w:r>
          </w:p>
        </w:tc>
        <w:tc>
          <w:tcPr>
            <w:tcW w:w="2268" w:type="dxa"/>
            <w:vAlign w:val="center"/>
          </w:tcPr>
          <w:p w14:paraId="66DBDCDE">
            <w:pPr>
              <w:pStyle w:val="12"/>
            </w:pPr>
            <w:r>
              <w:t>100%</w:t>
            </w:r>
          </w:p>
        </w:tc>
        <w:tc>
          <w:tcPr>
            <w:tcW w:w="1276" w:type="dxa"/>
            <w:vAlign w:val="center"/>
          </w:tcPr>
          <w:p w14:paraId="523BD137">
            <w:pPr>
              <w:pStyle w:val="12"/>
            </w:pPr>
            <w:r>
              <w:t>城乡义务教育公用经费管理办法</w:t>
            </w:r>
          </w:p>
        </w:tc>
      </w:tr>
      <w:tr w14:paraId="7EC8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B1F53"/>
        </w:tc>
        <w:tc>
          <w:tcPr>
            <w:tcW w:w="2268" w:type="dxa"/>
            <w:vAlign w:val="center"/>
          </w:tcPr>
          <w:p w14:paraId="397C8BAB">
            <w:pPr>
              <w:pStyle w:val="12"/>
            </w:pPr>
            <w:r>
              <w:t>成本指标</w:t>
            </w:r>
          </w:p>
        </w:tc>
        <w:tc>
          <w:tcPr>
            <w:tcW w:w="2835" w:type="dxa"/>
            <w:vAlign w:val="center"/>
          </w:tcPr>
          <w:p w14:paraId="5A4321E0">
            <w:pPr>
              <w:pStyle w:val="12"/>
            </w:pPr>
            <w:r>
              <w:t>生均拨款标准</w:t>
            </w:r>
          </w:p>
        </w:tc>
        <w:tc>
          <w:tcPr>
            <w:tcW w:w="5386" w:type="dxa"/>
            <w:vAlign w:val="center"/>
          </w:tcPr>
          <w:p w14:paraId="458B0FB4">
            <w:pPr>
              <w:pStyle w:val="12"/>
            </w:pPr>
            <w:r>
              <w:t>小学生生均公用经费基准定额为720元/年/生，取暖费120元/年/生，住宿生补助300元/年/生的标准，随班就读学生补助7000元/生/年</w:t>
            </w:r>
          </w:p>
        </w:tc>
        <w:tc>
          <w:tcPr>
            <w:tcW w:w="2268" w:type="dxa"/>
            <w:vAlign w:val="center"/>
          </w:tcPr>
          <w:p w14:paraId="7EBA01F2">
            <w:pPr>
              <w:pStyle w:val="12"/>
            </w:pPr>
            <w:r>
              <w:t>840元</w:t>
            </w:r>
          </w:p>
        </w:tc>
        <w:tc>
          <w:tcPr>
            <w:tcW w:w="1276" w:type="dxa"/>
            <w:vAlign w:val="center"/>
          </w:tcPr>
          <w:p w14:paraId="14E9C046">
            <w:pPr>
              <w:pStyle w:val="12"/>
            </w:pPr>
            <w:r>
              <w:t>城乡义务教育公用经费管理办法</w:t>
            </w:r>
          </w:p>
        </w:tc>
      </w:tr>
      <w:tr w14:paraId="6755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6CFF2">
            <w:pPr>
              <w:pStyle w:val="13"/>
            </w:pPr>
            <w:r>
              <w:t>效益指标</w:t>
            </w:r>
          </w:p>
        </w:tc>
        <w:tc>
          <w:tcPr>
            <w:tcW w:w="2268" w:type="dxa"/>
            <w:vAlign w:val="center"/>
          </w:tcPr>
          <w:p w14:paraId="0BE39176">
            <w:pPr>
              <w:pStyle w:val="12"/>
            </w:pPr>
            <w:r>
              <w:t>可持续影响指标</w:t>
            </w:r>
          </w:p>
        </w:tc>
        <w:tc>
          <w:tcPr>
            <w:tcW w:w="2835" w:type="dxa"/>
            <w:vAlign w:val="center"/>
          </w:tcPr>
          <w:p w14:paraId="0CAC1F89">
            <w:pPr>
              <w:pStyle w:val="12"/>
            </w:pPr>
            <w:r>
              <w:t>学校运转得到提高</w:t>
            </w:r>
          </w:p>
        </w:tc>
        <w:tc>
          <w:tcPr>
            <w:tcW w:w="5386" w:type="dxa"/>
            <w:vAlign w:val="center"/>
          </w:tcPr>
          <w:p w14:paraId="61342AFE">
            <w:pPr>
              <w:pStyle w:val="12"/>
            </w:pPr>
            <w:r>
              <w:t>学生受教育年限</w:t>
            </w:r>
          </w:p>
        </w:tc>
        <w:tc>
          <w:tcPr>
            <w:tcW w:w="2268" w:type="dxa"/>
            <w:vAlign w:val="center"/>
          </w:tcPr>
          <w:p w14:paraId="1F75CFBE">
            <w:pPr>
              <w:pStyle w:val="12"/>
            </w:pPr>
            <w:r>
              <w:t>6年</w:t>
            </w:r>
          </w:p>
        </w:tc>
        <w:tc>
          <w:tcPr>
            <w:tcW w:w="1276" w:type="dxa"/>
            <w:vAlign w:val="center"/>
          </w:tcPr>
          <w:p w14:paraId="3F164BC8">
            <w:pPr>
              <w:pStyle w:val="12"/>
            </w:pPr>
            <w:r>
              <w:t>城乡义务教育公用经费管理办法</w:t>
            </w:r>
          </w:p>
        </w:tc>
      </w:tr>
      <w:tr w14:paraId="4D26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D4C7E">
            <w:pPr>
              <w:pStyle w:val="13"/>
            </w:pPr>
            <w:r>
              <w:t>满意度指标</w:t>
            </w:r>
          </w:p>
        </w:tc>
        <w:tc>
          <w:tcPr>
            <w:tcW w:w="2268" w:type="dxa"/>
            <w:vAlign w:val="center"/>
          </w:tcPr>
          <w:p w14:paraId="00869A0C">
            <w:pPr>
              <w:pStyle w:val="12"/>
            </w:pPr>
            <w:r>
              <w:t>服务对象满意度指标</w:t>
            </w:r>
          </w:p>
        </w:tc>
        <w:tc>
          <w:tcPr>
            <w:tcW w:w="2835" w:type="dxa"/>
            <w:vAlign w:val="center"/>
          </w:tcPr>
          <w:p w14:paraId="1450B949">
            <w:pPr>
              <w:pStyle w:val="12"/>
            </w:pPr>
            <w:r>
              <w:t>服务对象满意度</w:t>
            </w:r>
          </w:p>
        </w:tc>
        <w:tc>
          <w:tcPr>
            <w:tcW w:w="5386" w:type="dxa"/>
            <w:vAlign w:val="center"/>
          </w:tcPr>
          <w:p w14:paraId="4FC5B36D">
            <w:pPr>
              <w:pStyle w:val="12"/>
            </w:pPr>
            <w:r>
              <w:t>学校老师和学生满意度</w:t>
            </w:r>
          </w:p>
        </w:tc>
        <w:tc>
          <w:tcPr>
            <w:tcW w:w="2268" w:type="dxa"/>
            <w:vAlign w:val="center"/>
          </w:tcPr>
          <w:p w14:paraId="1805FD5C">
            <w:pPr>
              <w:pStyle w:val="12"/>
            </w:pPr>
            <w:r>
              <w:t>≥95%</w:t>
            </w:r>
          </w:p>
        </w:tc>
        <w:tc>
          <w:tcPr>
            <w:tcW w:w="1276" w:type="dxa"/>
            <w:vAlign w:val="center"/>
          </w:tcPr>
          <w:p w14:paraId="2A3160AF">
            <w:pPr>
              <w:pStyle w:val="12"/>
            </w:pPr>
            <w:r>
              <w:t>群众测评</w:t>
            </w:r>
          </w:p>
        </w:tc>
      </w:tr>
    </w:tbl>
    <w:p w14:paraId="1187FD61">
      <w:pPr>
        <w:sectPr>
          <w:pgSz w:w="16840" w:h="11900" w:orient="landscape"/>
          <w:pgMar w:top="1361" w:right="1020" w:bottom="1134" w:left="1020" w:header="720" w:footer="720" w:gutter="0"/>
          <w:cols w:space="720" w:num="1"/>
        </w:sectPr>
      </w:pPr>
    </w:p>
    <w:p w14:paraId="5233A2B3">
      <w:pPr>
        <w:spacing w:before="0" w:after="0"/>
        <w:ind w:firstLine="560"/>
        <w:jc w:val="left"/>
        <w:outlineLvl w:val="9"/>
      </w:pPr>
      <w:r>
        <w:rPr>
          <w:rFonts w:ascii="方正仿宋_GBK" w:hAnsi="方正仿宋_GBK" w:eastAsia="方正仿宋_GBK" w:cs="方正仿宋_GBK"/>
          <w:b/>
          <w:color w:val="000000"/>
          <w:sz w:val="28"/>
        </w:rPr>
        <w:t>8、冀财教[2025]121号/中央/2026年义教补助经费/莲子镇校区西范小学公用经费绩效目标表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90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F67D4">
            <w:pPr>
              <w:pStyle w:val="11"/>
            </w:pPr>
            <w:r>
              <w:t>单位：万元</w:t>
            </w:r>
          </w:p>
        </w:tc>
      </w:tr>
      <w:tr w14:paraId="1353D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68DFF">
            <w:pPr>
              <w:pStyle w:val="10"/>
            </w:pPr>
            <w:r>
              <w:t>项目编码</w:t>
            </w:r>
          </w:p>
        </w:tc>
        <w:tc>
          <w:tcPr>
            <w:tcW w:w="5103" w:type="dxa"/>
            <w:gridSpan w:val="2"/>
            <w:vAlign w:val="center"/>
          </w:tcPr>
          <w:p w14:paraId="5AEFA2C7">
            <w:pPr>
              <w:pStyle w:val="12"/>
            </w:pPr>
            <w:r>
              <w:t>13052526P00000410317F</w:t>
            </w:r>
          </w:p>
        </w:tc>
        <w:tc>
          <w:tcPr>
            <w:tcW w:w="2835" w:type="dxa"/>
            <w:vAlign w:val="center"/>
          </w:tcPr>
          <w:p w14:paraId="16475AB5">
            <w:pPr>
              <w:pStyle w:val="10"/>
            </w:pPr>
            <w:r>
              <w:t>项目名称</w:t>
            </w:r>
          </w:p>
        </w:tc>
        <w:tc>
          <w:tcPr>
            <w:tcW w:w="6095" w:type="dxa"/>
            <w:gridSpan w:val="3"/>
            <w:vAlign w:val="center"/>
          </w:tcPr>
          <w:p w14:paraId="1A7690C0">
            <w:pPr>
              <w:pStyle w:val="12"/>
            </w:pPr>
            <w:r>
              <w:t>冀财教[2025]121号/中央/2026年义教补助经费/莲子镇校区西范小学公用经费</w:t>
            </w:r>
          </w:p>
        </w:tc>
      </w:tr>
      <w:tr w14:paraId="26E5F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78790">
            <w:pPr>
              <w:pStyle w:val="10"/>
            </w:pPr>
            <w:r>
              <w:t>预算规模及资金用途</w:t>
            </w:r>
          </w:p>
        </w:tc>
        <w:tc>
          <w:tcPr>
            <w:tcW w:w="2268" w:type="dxa"/>
            <w:vAlign w:val="center"/>
          </w:tcPr>
          <w:p w14:paraId="2A4F61CB">
            <w:pPr>
              <w:pStyle w:val="10"/>
            </w:pPr>
            <w:r>
              <w:t>预算数</w:t>
            </w:r>
          </w:p>
        </w:tc>
        <w:tc>
          <w:tcPr>
            <w:tcW w:w="2835" w:type="dxa"/>
            <w:vAlign w:val="center"/>
          </w:tcPr>
          <w:p w14:paraId="5483559A">
            <w:pPr>
              <w:pStyle w:val="12"/>
            </w:pPr>
            <w:r>
              <w:t>16.78</w:t>
            </w:r>
          </w:p>
        </w:tc>
        <w:tc>
          <w:tcPr>
            <w:tcW w:w="2835" w:type="dxa"/>
            <w:vAlign w:val="center"/>
          </w:tcPr>
          <w:p w14:paraId="04D27B6F">
            <w:pPr>
              <w:pStyle w:val="10"/>
            </w:pPr>
            <w:r>
              <w:t>其中：财政    资金</w:t>
            </w:r>
          </w:p>
        </w:tc>
        <w:tc>
          <w:tcPr>
            <w:tcW w:w="2551" w:type="dxa"/>
            <w:vAlign w:val="center"/>
          </w:tcPr>
          <w:p w14:paraId="613544B8">
            <w:pPr>
              <w:pStyle w:val="12"/>
            </w:pPr>
            <w:r>
              <w:t>16.78</w:t>
            </w:r>
          </w:p>
        </w:tc>
        <w:tc>
          <w:tcPr>
            <w:tcW w:w="2268" w:type="dxa"/>
            <w:vAlign w:val="center"/>
          </w:tcPr>
          <w:p w14:paraId="086BB7B2">
            <w:pPr>
              <w:pStyle w:val="10"/>
            </w:pPr>
            <w:r>
              <w:t>其他资金</w:t>
            </w:r>
          </w:p>
        </w:tc>
        <w:tc>
          <w:tcPr>
            <w:tcW w:w="1276" w:type="dxa"/>
            <w:vAlign w:val="center"/>
          </w:tcPr>
          <w:p w14:paraId="4C9697C9">
            <w:pPr>
              <w:pStyle w:val="12"/>
            </w:pPr>
            <w:r>
              <w:t xml:space="preserve"> </w:t>
            </w:r>
          </w:p>
        </w:tc>
      </w:tr>
      <w:tr w14:paraId="24E79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1D052"/>
        </w:tc>
        <w:tc>
          <w:tcPr>
            <w:tcW w:w="14033" w:type="dxa"/>
            <w:gridSpan w:val="6"/>
            <w:vAlign w:val="center"/>
          </w:tcPr>
          <w:p w14:paraId="7797A222">
            <w:pPr>
              <w:pStyle w:val="12"/>
            </w:pPr>
            <w:r>
              <w:t>保障学校正常运转，完成各项教育教学活动和其他日常工作任务等方面的费用支出。</w:t>
            </w:r>
          </w:p>
        </w:tc>
      </w:tr>
      <w:tr w14:paraId="2FB52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95F49">
            <w:pPr>
              <w:pStyle w:val="10"/>
            </w:pPr>
            <w:r>
              <w:t>资金支出计划（%）</w:t>
            </w:r>
          </w:p>
        </w:tc>
        <w:tc>
          <w:tcPr>
            <w:tcW w:w="5103" w:type="dxa"/>
            <w:gridSpan w:val="2"/>
            <w:vAlign w:val="center"/>
          </w:tcPr>
          <w:p w14:paraId="5E59F867">
            <w:pPr>
              <w:pStyle w:val="10"/>
            </w:pPr>
            <w:r>
              <w:t>3月底</w:t>
            </w:r>
          </w:p>
        </w:tc>
        <w:tc>
          <w:tcPr>
            <w:tcW w:w="2835" w:type="dxa"/>
            <w:vAlign w:val="center"/>
          </w:tcPr>
          <w:p w14:paraId="4DF4A4B7">
            <w:pPr>
              <w:pStyle w:val="10"/>
            </w:pPr>
            <w:r>
              <w:t>6月底</w:t>
            </w:r>
          </w:p>
        </w:tc>
        <w:tc>
          <w:tcPr>
            <w:tcW w:w="2551" w:type="dxa"/>
            <w:vAlign w:val="center"/>
          </w:tcPr>
          <w:p w14:paraId="3D212EFB">
            <w:pPr>
              <w:pStyle w:val="10"/>
            </w:pPr>
            <w:r>
              <w:t>10月底</w:t>
            </w:r>
          </w:p>
        </w:tc>
        <w:tc>
          <w:tcPr>
            <w:tcW w:w="3544" w:type="dxa"/>
            <w:gridSpan w:val="2"/>
            <w:vAlign w:val="center"/>
          </w:tcPr>
          <w:p w14:paraId="42423688">
            <w:pPr>
              <w:pStyle w:val="10"/>
            </w:pPr>
            <w:r>
              <w:t>12月底</w:t>
            </w:r>
          </w:p>
        </w:tc>
      </w:tr>
      <w:tr w14:paraId="65AD5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1874C"/>
        </w:tc>
        <w:tc>
          <w:tcPr>
            <w:tcW w:w="5103" w:type="dxa"/>
            <w:gridSpan w:val="2"/>
            <w:vAlign w:val="center"/>
          </w:tcPr>
          <w:p w14:paraId="286FFFA0">
            <w:pPr>
              <w:pStyle w:val="13"/>
            </w:pPr>
            <w:r>
              <w:t>25%</w:t>
            </w:r>
          </w:p>
        </w:tc>
        <w:tc>
          <w:tcPr>
            <w:tcW w:w="2835" w:type="dxa"/>
            <w:vAlign w:val="center"/>
          </w:tcPr>
          <w:p w14:paraId="044E0D49">
            <w:pPr>
              <w:pStyle w:val="13"/>
            </w:pPr>
            <w:r>
              <w:t>50%</w:t>
            </w:r>
          </w:p>
        </w:tc>
        <w:tc>
          <w:tcPr>
            <w:tcW w:w="2551" w:type="dxa"/>
            <w:vAlign w:val="center"/>
          </w:tcPr>
          <w:p w14:paraId="40600B7B">
            <w:pPr>
              <w:pStyle w:val="13"/>
            </w:pPr>
            <w:r>
              <w:t>75%</w:t>
            </w:r>
          </w:p>
        </w:tc>
        <w:tc>
          <w:tcPr>
            <w:tcW w:w="3544" w:type="dxa"/>
            <w:gridSpan w:val="2"/>
            <w:vAlign w:val="center"/>
          </w:tcPr>
          <w:p w14:paraId="411887CA">
            <w:pPr>
              <w:pStyle w:val="13"/>
            </w:pPr>
            <w:r>
              <w:t>100%</w:t>
            </w:r>
          </w:p>
        </w:tc>
      </w:tr>
      <w:tr w14:paraId="6BC99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29C20">
            <w:pPr>
              <w:pStyle w:val="10"/>
            </w:pPr>
            <w:r>
              <w:t>绩效目标</w:t>
            </w:r>
          </w:p>
        </w:tc>
        <w:tc>
          <w:tcPr>
            <w:tcW w:w="14033" w:type="dxa"/>
            <w:gridSpan w:val="6"/>
            <w:vAlign w:val="center"/>
          </w:tcPr>
          <w:p w14:paraId="0193BEC7">
            <w:pPr>
              <w:pStyle w:val="12"/>
            </w:pPr>
            <w:r>
              <w:t>1.按季度分批次拨付公用经费资金，资金拨付率达到100%。</w:t>
            </w:r>
          </w:p>
          <w:p w14:paraId="402723EC">
            <w:pPr>
              <w:pStyle w:val="12"/>
            </w:pPr>
            <w:r>
              <w:t>2.保障学校正常运转，完成各项教育教学活动和其他日常工作任务等方面的费用支出。</w:t>
            </w:r>
          </w:p>
        </w:tc>
      </w:tr>
    </w:tbl>
    <w:p w14:paraId="707A7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D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CADE8">
            <w:pPr>
              <w:pStyle w:val="10"/>
            </w:pPr>
            <w:r>
              <w:t>一级指标</w:t>
            </w:r>
          </w:p>
        </w:tc>
        <w:tc>
          <w:tcPr>
            <w:tcW w:w="2268" w:type="dxa"/>
            <w:vAlign w:val="center"/>
          </w:tcPr>
          <w:p w14:paraId="3C991094">
            <w:pPr>
              <w:pStyle w:val="10"/>
            </w:pPr>
            <w:r>
              <w:t>二级指标</w:t>
            </w:r>
          </w:p>
        </w:tc>
        <w:tc>
          <w:tcPr>
            <w:tcW w:w="2835" w:type="dxa"/>
            <w:vAlign w:val="center"/>
          </w:tcPr>
          <w:p w14:paraId="6C33D7E8">
            <w:pPr>
              <w:pStyle w:val="10"/>
            </w:pPr>
            <w:r>
              <w:t>三级指标</w:t>
            </w:r>
          </w:p>
        </w:tc>
        <w:tc>
          <w:tcPr>
            <w:tcW w:w="5386" w:type="dxa"/>
            <w:vAlign w:val="center"/>
          </w:tcPr>
          <w:p w14:paraId="1B36B700">
            <w:pPr>
              <w:pStyle w:val="10"/>
            </w:pPr>
            <w:r>
              <w:t>绩效指标描述</w:t>
            </w:r>
          </w:p>
        </w:tc>
        <w:tc>
          <w:tcPr>
            <w:tcW w:w="2268" w:type="dxa"/>
            <w:vAlign w:val="center"/>
          </w:tcPr>
          <w:p w14:paraId="59FB3558">
            <w:pPr>
              <w:pStyle w:val="10"/>
            </w:pPr>
            <w:r>
              <w:t>指标值</w:t>
            </w:r>
          </w:p>
        </w:tc>
        <w:tc>
          <w:tcPr>
            <w:tcW w:w="1276" w:type="dxa"/>
            <w:vAlign w:val="center"/>
          </w:tcPr>
          <w:p w14:paraId="58CF2842">
            <w:pPr>
              <w:pStyle w:val="10"/>
            </w:pPr>
            <w:r>
              <w:t>指标值确定依据</w:t>
            </w:r>
          </w:p>
        </w:tc>
      </w:tr>
      <w:tr w14:paraId="34CF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52030">
            <w:pPr>
              <w:pStyle w:val="13"/>
            </w:pPr>
            <w:r>
              <w:t>产出指标</w:t>
            </w:r>
          </w:p>
        </w:tc>
        <w:tc>
          <w:tcPr>
            <w:tcW w:w="2268" w:type="dxa"/>
            <w:vAlign w:val="center"/>
          </w:tcPr>
          <w:p w14:paraId="5F92BD70">
            <w:pPr>
              <w:pStyle w:val="12"/>
            </w:pPr>
            <w:r>
              <w:t>数量指标</w:t>
            </w:r>
          </w:p>
        </w:tc>
        <w:tc>
          <w:tcPr>
            <w:tcW w:w="2835" w:type="dxa"/>
            <w:vAlign w:val="center"/>
          </w:tcPr>
          <w:p w14:paraId="10BE8CB0">
            <w:pPr>
              <w:pStyle w:val="12"/>
            </w:pPr>
            <w:r>
              <w:t>就读学生数</w:t>
            </w:r>
          </w:p>
        </w:tc>
        <w:tc>
          <w:tcPr>
            <w:tcW w:w="5386" w:type="dxa"/>
            <w:vAlign w:val="center"/>
          </w:tcPr>
          <w:p w14:paraId="44FE05E9">
            <w:pPr>
              <w:pStyle w:val="12"/>
            </w:pPr>
            <w:r>
              <w:t>辐射区域内适龄学生人数</w:t>
            </w:r>
          </w:p>
        </w:tc>
        <w:tc>
          <w:tcPr>
            <w:tcW w:w="2268" w:type="dxa"/>
            <w:vAlign w:val="center"/>
          </w:tcPr>
          <w:p w14:paraId="1E8E388F">
            <w:pPr>
              <w:pStyle w:val="12"/>
            </w:pPr>
            <w:r>
              <w:t>338人</w:t>
            </w:r>
          </w:p>
        </w:tc>
        <w:tc>
          <w:tcPr>
            <w:tcW w:w="1276" w:type="dxa"/>
            <w:vAlign w:val="center"/>
          </w:tcPr>
          <w:p w14:paraId="7D651B27">
            <w:pPr>
              <w:pStyle w:val="12"/>
            </w:pPr>
            <w:r>
              <w:t>城乡义务教育公用经费管理办法</w:t>
            </w:r>
          </w:p>
        </w:tc>
      </w:tr>
      <w:tr w14:paraId="4D594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63D68"/>
        </w:tc>
        <w:tc>
          <w:tcPr>
            <w:tcW w:w="2268" w:type="dxa"/>
            <w:vAlign w:val="center"/>
          </w:tcPr>
          <w:p w14:paraId="71728DBE">
            <w:pPr>
              <w:pStyle w:val="12"/>
            </w:pPr>
            <w:r>
              <w:t>质量指标</w:t>
            </w:r>
          </w:p>
        </w:tc>
        <w:tc>
          <w:tcPr>
            <w:tcW w:w="2835" w:type="dxa"/>
            <w:vAlign w:val="center"/>
          </w:tcPr>
          <w:p w14:paraId="7B4D1290">
            <w:pPr>
              <w:pStyle w:val="12"/>
            </w:pPr>
            <w:r>
              <w:t>预算执行率</w:t>
            </w:r>
          </w:p>
        </w:tc>
        <w:tc>
          <w:tcPr>
            <w:tcW w:w="5386" w:type="dxa"/>
            <w:vAlign w:val="center"/>
          </w:tcPr>
          <w:p w14:paraId="4C40EC60">
            <w:pPr>
              <w:pStyle w:val="12"/>
            </w:pPr>
            <w:r>
              <w:t>预算执行率</w:t>
            </w:r>
          </w:p>
        </w:tc>
        <w:tc>
          <w:tcPr>
            <w:tcW w:w="2268" w:type="dxa"/>
            <w:vAlign w:val="center"/>
          </w:tcPr>
          <w:p w14:paraId="7007BBF3">
            <w:pPr>
              <w:pStyle w:val="12"/>
            </w:pPr>
            <w:r>
              <w:t>≥95%</w:t>
            </w:r>
          </w:p>
        </w:tc>
        <w:tc>
          <w:tcPr>
            <w:tcW w:w="1276" w:type="dxa"/>
            <w:vAlign w:val="center"/>
          </w:tcPr>
          <w:p w14:paraId="78D3054D">
            <w:pPr>
              <w:pStyle w:val="12"/>
            </w:pPr>
            <w:r>
              <w:t>城乡义务教育公用经费管理办法</w:t>
            </w:r>
          </w:p>
        </w:tc>
      </w:tr>
      <w:tr w14:paraId="10D0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734D0"/>
        </w:tc>
        <w:tc>
          <w:tcPr>
            <w:tcW w:w="2268" w:type="dxa"/>
            <w:vAlign w:val="center"/>
          </w:tcPr>
          <w:p w14:paraId="4BF302F8">
            <w:pPr>
              <w:pStyle w:val="12"/>
            </w:pPr>
            <w:r>
              <w:t>时效指标</w:t>
            </w:r>
          </w:p>
        </w:tc>
        <w:tc>
          <w:tcPr>
            <w:tcW w:w="2835" w:type="dxa"/>
            <w:vAlign w:val="center"/>
          </w:tcPr>
          <w:p w14:paraId="060F0853">
            <w:pPr>
              <w:pStyle w:val="12"/>
            </w:pPr>
            <w:r>
              <w:t>义教经费支付完成率</w:t>
            </w:r>
          </w:p>
        </w:tc>
        <w:tc>
          <w:tcPr>
            <w:tcW w:w="5386" w:type="dxa"/>
            <w:vAlign w:val="center"/>
          </w:tcPr>
          <w:p w14:paraId="5D5392D0">
            <w:pPr>
              <w:pStyle w:val="12"/>
            </w:pPr>
            <w:r>
              <w:t>按照序时进度完成资金支付</w:t>
            </w:r>
          </w:p>
        </w:tc>
        <w:tc>
          <w:tcPr>
            <w:tcW w:w="2268" w:type="dxa"/>
            <w:vAlign w:val="center"/>
          </w:tcPr>
          <w:p w14:paraId="55FDEEA1">
            <w:pPr>
              <w:pStyle w:val="12"/>
            </w:pPr>
            <w:r>
              <w:t>100%</w:t>
            </w:r>
          </w:p>
        </w:tc>
        <w:tc>
          <w:tcPr>
            <w:tcW w:w="1276" w:type="dxa"/>
            <w:vAlign w:val="center"/>
          </w:tcPr>
          <w:p w14:paraId="652A30A8">
            <w:pPr>
              <w:pStyle w:val="12"/>
            </w:pPr>
            <w:r>
              <w:t>城乡义务教育公用经费管理办法</w:t>
            </w:r>
          </w:p>
        </w:tc>
      </w:tr>
      <w:tr w14:paraId="2193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12DC3"/>
        </w:tc>
        <w:tc>
          <w:tcPr>
            <w:tcW w:w="2268" w:type="dxa"/>
            <w:vAlign w:val="center"/>
          </w:tcPr>
          <w:p w14:paraId="64E07607">
            <w:pPr>
              <w:pStyle w:val="12"/>
            </w:pPr>
            <w:r>
              <w:t>成本指标</w:t>
            </w:r>
          </w:p>
        </w:tc>
        <w:tc>
          <w:tcPr>
            <w:tcW w:w="2835" w:type="dxa"/>
            <w:vAlign w:val="center"/>
          </w:tcPr>
          <w:p w14:paraId="2E9B2C3C">
            <w:pPr>
              <w:pStyle w:val="12"/>
            </w:pPr>
            <w:r>
              <w:t>生均拨款标准</w:t>
            </w:r>
          </w:p>
        </w:tc>
        <w:tc>
          <w:tcPr>
            <w:tcW w:w="5386" w:type="dxa"/>
            <w:vAlign w:val="center"/>
          </w:tcPr>
          <w:p w14:paraId="47598125">
            <w:pPr>
              <w:pStyle w:val="12"/>
            </w:pPr>
            <w:r>
              <w:t>小学生公用经费生均公用经费基准定额为720元/年/生，取暖费120元/年/生，住宿生补助300元/年/生的标准，随班就读学生补助7000元/生/年</w:t>
            </w:r>
          </w:p>
        </w:tc>
        <w:tc>
          <w:tcPr>
            <w:tcW w:w="2268" w:type="dxa"/>
            <w:vAlign w:val="center"/>
          </w:tcPr>
          <w:p w14:paraId="0DD6F24C">
            <w:pPr>
              <w:pStyle w:val="12"/>
            </w:pPr>
            <w:r>
              <w:t>840元</w:t>
            </w:r>
          </w:p>
        </w:tc>
        <w:tc>
          <w:tcPr>
            <w:tcW w:w="1276" w:type="dxa"/>
            <w:vAlign w:val="center"/>
          </w:tcPr>
          <w:p w14:paraId="558F2AE7">
            <w:pPr>
              <w:pStyle w:val="12"/>
            </w:pPr>
            <w:r>
              <w:t>城乡义务教育公用经费管理办法</w:t>
            </w:r>
          </w:p>
        </w:tc>
      </w:tr>
      <w:tr w14:paraId="4CB8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7AF16">
            <w:pPr>
              <w:pStyle w:val="13"/>
            </w:pPr>
            <w:r>
              <w:t>效益指标</w:t>
            </w:r>
          </w:p>
        </w:tc>
        <w:tc>
          <w:tcPr>
            <w:tcW w:w="2268" w:type="dxa"/>
            <w:vAlign w:val="center"/>
          </w:tcPr>
          <w:p w14:paraId="054FE7F3">
            <w:pPr>
              <w:pStyle w:val="12"/>
            </w:pPr>
            <w:r>
              <w:t>可持续影响指标</w:t>
            </w:r>
          </w:p>
        </w:tc>
        <w:tc>
          <w:tcPr>
            <w:tcW w:w="2835" w:type="dxa"/>
            <w:vAlign w:val="center"/>
          </w:tcPr>
          <w:p w14:paraId="2B7017F1">
            <w:pPr>
              <w:pStyle w:val="12"/>
            </w:pPr>
            <w:r>
              <w:t>学校运转得到提高</w:t>
            </w:r>
          </w:p>
        </w:tc>
        <w:tc>
          <w:tcPr>
            <w:tcW w:w="5386" w:type="dxa"/>
            <w:vAlign w:val="center"/>
          </w:tcPr>
          <w:p w14:paraId="1E2C9406">
            <w:pPr>
              <w:pStyle w:val="12"/>
            </w:pPr>
            <w:r>
              <w:t>学生受教育年限</w:t>
            </w:r>
          </w:p>
        </w:tc>
        <w:tc>
          <w:tcPr>
            <w:tcW w:w="2268" w:type="dxa"/>
            <w:vAlign w:val="center"/>
          </w:tcPr>
          <w:p w14:paraId="6C212DA1">
            <w:pPr>
              <w:pStyle w:val="12"/>
            </w:pPr>
            <w:r>
              <w:t>6年</w:t>
            </w:r>
          </w:p>
        </w:tc>
        <w:tc>
          <w:tcPr>
            <w:tcW w:w="1276" w:type="dxa"/>
            <w:vAlign w:val="center"/>
          </w:tcPr>
          <w:p w14:paraId="4A461EA7">
            <w:pPr>
              <w:pStyle w:val="12"/>
            </w:pPr>
            <w:r>
              <w:t>城乡义务教育公用经费管理办法</w:t>
            </w:r>
          </w:p>
        </w:tc>
      </w:tr>
      <w:tr w14:paraId="381C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814E5">
            <w:pPr>
              <w:pStyle w:val="13"/>
            </w:pPr>
            <w:r>
              <w:t>满意度指标</w:t>
            </w:r>
          </w:p>
        </w:tc>
        <w:tc>
          <w:tcPr>
            <w:tcW w:w="2268" w:type="dxa"/>
            <w:vAlign w:val="center"/>
          </w:tcPr>
          <w:p w14:paraId="52B3F301">
            <w:pPr>
              <w:pStyle w:val="12"/>
            </w:pPr>
            <w:r>
              <w:t>服务对象满意度指标</w:t>
            </w:r>
          </w:p>
        </w:tc>
        <w:tc>
          <w:tcPr>
            <w:tcW w:w="2835" w:type="dxa"/>
            <w:vAlign w:val="center"/>
          </w:tcPr>
          <w:p w14:paraId="21597299">
            <w:pPr>
              <w:pStyle w:val="12"/>
            </w:pPr>
            <w:r>
              <w:t>服务对象满意度</w:t>
            </w:r>
          </w:p>
        </w:tc>
        <w:tc>
          <w:tcPr>
            <w:tcW w:w="5386" w:type="dxa"/>
            <w:vAlign w:val="center"/>
          </w:tcPr>
          <w:p w14:paraId="349700AC">
            <w:pPr>
              <w:pStyle w:val="12"/>
            </w:pPr>
            <w:r>
              <w:t>学校老师和学生满意度</w:t>
            </w:r>
          </w:p>
        </w:tc>
        <w:tc>
          <w:tcPr>
            <w:tcW w:w="2268" w:type="dxa"/>
            <w:vAlign w:val="center"/>
          </w:tcPr>
          <w:p w14:paraId="41C21B19">
            <w:pPr>
              <w:pStyle w:val="12"/>
            </w:pPr>
            <w:r>
              <w:t>≥95%</w:t>
            </w:r>
          </w:p>
        </w:tc>
        <w:tc>
          <w:tcPr>
            <w:tcW w:w="1276" w:type="dxa"/>
            <w:vAlign w:val="center"/>
          </w:tcPr>
          <w:p w14:paraId="1405742F">
            <w:pPr>
              <w:pStyle w:val="12"/>
            </w:pPr>
            <w:r>
              <w:t>群众测评</w:t>
            </w:r>
          </w:p>
        </w:tc>
      </w:tr>
    </w:tbl>
    <w:p w14:paraId="0BFE4C66">
      <w:pPr>
        <w:sectPr>
          <w:pgSz w:w="16840" w:h="11900" w:orient="landscape"/>
          <w:pgMar w:top="1361" w:right="1020" w:bottom="1134" w:left="1020" w:header="720" w:footer="720" w:gutter="0"/>
          <w:cols w:space="720" w:num="1"/>
        </w:sectPr>
      </w:pPr>
    </w:p>
    <w:p w14:paraId="7AD6102C">
      <w:pPr>
        <w:spacing w:before="0" w:after="0"/>
        <w:ind w:firstLine="560"/>
        <w:jc w:val="left"/>
        <w:outlineLvl w:val="9"/>
      </w:pPr>
      <w:r>
        <w:rPr>
          <w:rFonts w:ascii="方正仿宋_GBK" w:hAnsi="方正仿宋_GBK" w:eastAsia="方正仿宋_GBK" w:cs="方正仿宋_GBK"/>
          <w:b/>
          <w:color w:val="000000"/>
          <w:sz w:val="28"/>
        </w:rPr>
        <w:t>9、冀财教[2025]122号/中央/2026年学前发展资金/莲子镇校区学前教育幼儿资助绩效目标表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0B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9496C">
            <w:pPr>
              <w:pStyle w:val="11"/>
            </w:pPr>
            <w:r>
              <w:t>单位：万元</w:t>
            </w:r>
          </w:p>
        </w:tc>
      </w:tr>
      <w:tr w14:paraId="28A91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5D2AE">
            <w:pPr>
              <w:pStyle w:val="10"/>
            </w:pPr>
            <w:r>
              <w:t>项目编码</w:t>
            </w:r>
          </w:p>
        </w:tc>
        <w:tc>
          <w:tcPr>
            <w:tcW w:w="5103" w:type="dxa"/>
            <w:gridSpan w:val="2"/>
            <w:vAlign w:val="center"/>
          </w:tcPr>
          <w:p w14:paraId="46923A7D">
            <w:pPr>
              <w:pStyle w:val="12"/>
            </w:pPr>
            <w:r>
              <w:t>13052526P00000210062H</w:t>
            </w:r>
          </w:p>
        </w:tc>
        <w:tc>
          <w:tcPr>
            <w:tcW w:w="2835" w:type="dxa"/>
            <w:vAlign w:val="center"/>
          </w:tcPr>
          <w:p w14:paraId="69041F9E">
            <w:pPr>
              <w:pStyle w:val="10"/>
            </w:pPr>
            <w:r>
              <w:t>项目名称</w:t>
            </w:r>
          </w:p>
        </w:tc>
        <w:tc>
          <w:tcPr>
            <w:tcW w:w="6095" w:type="dxa"/>
            <w:gridSpan w:val="3"/>
            <w:vAlign w:val="center"/>
          </w:tcPr>
          <w:p w14:paraId="1D3250B6">
            <w:pPr>
              <w:pStyle w:val="12"/>
            </w:pPr>
            <w:r>
              <w:t>冀财教[2025]122号/中央/2026年学前发展资金/莲子镇校区学前教育幼儿资助</w:t>
            </w:r>
          </w:p>
        </w:tc>
      </w:tr>
      <w:tr w14:paraId="468D8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7461F">
            <w:pPr>
              <w:pStyle w:val="10"/>
            </w:pPr>
            <w:r>
              <w:t>预算规模及资金用途</w:t>
            </w:r>
          </w:p>
        </w:tc>
        <w:tc>
          <w:tcPr>
            <w:tcW w:w="2268" w:type="dxa"/>
            <w:vAlign w:val="center"/>
          </w:tcPr>
          <w:p w14:paraId="2A679104">
            <w:pPr>
              <w:pStyle w:val="10"/>
            </w:pPr>
            <w:r>
              <w:t>预算数</w:t>
            </w:r>
          </w:p>
        </w:tc>
        <w:tc>
          <w:tcPr>
            <w:tcW w:w="2835" w:type="dxa"/>
            <w:vAlign w:val="center"/>
          </w:tcPr>
          <w:p w14:paraId="11B520EE">
            <w:pPr>
              <w:pStyle w:val="12"/>
            </w:pPr>
            <w:r>
              <w:t>3.96</w:t>
            </w:r>
          </w:p>
        </w:tc>
        <w:tc>
          <w:tcPr>
            <w:tcW w:w="2835" w:type="dxa"/>
            <w:vAlign w:val="center"/>
          </w:tcPr>
          <w:p w14:paraId="43746E31">
            <w:pPr>
              <w:pStyle w:val="10"/>
            </w:pPr>
            <w:r>
              <w:t>其中：财政    资金</w:t>
            </w:r>
          </w:p>
        </w:tc>
        <w:tc>
          <w:tcPr>
            <w:tcW w:w="2551" w:type="dxa"/>
            <w:vAlign w:val="center"/>
          </w:tcPr>
          <w:p w14:paraId="15008B20">
            <w:pPr>
              <w:pStyle w:val="12"/>
            </w:pPr>
            <w:r>
              <w:t>3.96</w:t>
            </w:r>
          </w:p>
        </w:tc>
        <w:tc>
          <w:tcPr>
            <w:tcW w:w="2268" w:type="dxa"/>
            <w:vAlign w:val="center"/>
          </w:tcPr>
          <w:p w14:paraId="743E3AA2">
            <w:pPr>
              <w:pStyle w:val="10"/>
            </w:pPr>
            <w:r>
              <w:t>其他资金</w:t>
            </w:r>
          </w:p>
        </w:tc>
        <w:tc>
          <w:tcPr>
            <w:tcW w:w="1276" w:type="dxa"/>
            <w:vAlign w:val="center"/>
          </w:tcPr>
          <w:p w14:paraId="2551A439">
            <w:pPr>
              <w:pStyle w:val="12"/>
            </w:pPr>
            <w:r>
              <w:t xml:space="preserve"> </w:t>
            </w:r>
          </w:p>
        </w:tc>
      </w:tr>
      <w:tr w14:paraId="0E8E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3F3D1"/>
        </w:tc>
        <w:tc>
          <w:tcPr>
            <w:tcW w:w="14033" w:type="dxa"/>
            <w:gridSpan w:val="6"/>
            <w:vAlign w:val="center"/>
          </w:tcPr>
          <w:p w14:paraId="5D577F5C">
            <w:pPr>
              <w:pStyle w:val="12"/>
            </w:pPr>
            <w:r>
              <w:t>保证本年度资助经费足额落实到位，符合享受资助条件的学生应助尽助。</w:t>
            </w:r>
          </w:p>
        </w:tc>
      </w:tr>
      <w:tr w14:paraId="231F7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A48EA">
            <w:pPr>
              <w:pStyle w:val="10"/>
            </w:pPr>
            <w:r>
              <w:t>资金支出计划（%）</w:t>
            </w:r>
          </w:p>
        </w:tc>
        <w:tc>
          <w:tcPr>
            <w:tcW w:w="5103" w:type="dxa"/>
            <w:gridSpan w:val="2"/>
            <w:vAlign w:val="center"/>
          </w:tcPr>
          <w:p w14:paraId="5F9E6D07">
            <w:pPr>
              <w:pStyle w:val="10"/>
            </w:pPr>
            <w:r>
              <w:t>3月底</w:t>
            </w:r>
          </w:p>
        </w:tc>
        <w:tc>
          <w:tcPr>
            <w:tcW w:w="2835" w:type="dxa"/>
            <w:vAlign w:val="center"/>
          </w:tcPr>
          <w:p w14:paraId="5C06043B">
            <w:pPr>
              <w:pStyle w:val="10"/>
            </w:pPr>
            <w:r>
              <w:t>6月底</w:t>
            </w:r>
          </w:p>
        </w:tc>
        <w:tc>
          <w:tcPr>
            <w:tcW w:w="2551" w:type="dxa"/>
            <w:vAlign w:val="center"/>
          </w:tcPr>
          <w:p w14:paraId="0B63E009">
            <w:pPr>
              <w:pStyle w:val="10"/>
            </w:pPr>
            <w:r>
              <w:t>10月底</w:t>
            </w:r>
          </w:p>
        </w:tc>
        <w:tc>
          <w:tcPr>
            <w:tcW w:w="3544" w:type="dxa"/>
            <w:gridSpan w:val="2"/>
            <w:vAlign w:val="center"/>
          </w:tcPr>
          <w:p w14:paraId="3EEEC5B0">
            <w:pPr>
              <w:pStyle w:val="10"/>
            </w:pPr>
            <w:r>
              <w:t>12月底</w:t>
            </w:r>
          </w:p>
        </w:tc>
      </w:tr>
      <w:tr w14:paraId="0416F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CCB5E"/>
        </w:tc>
        <w:tc>
          <w:tcPr>
            <w:tcW w:w="5103" w:type="dxa"/>
            <w:gridSpan w:val="2"/>
            <w:vAlign w:val="center"/>
          </w:tcPr>
          <w:p w14:paraId="2358DAA6">
            <w:pPr>
              <w:pStyle w:val="13"/>
            </w:pPr>
            <w:r>
              <w:t>25%</w:t>
            </w:r>
          </w:p>
        </w:tc>
        <w:tc>
          <w:tcPr>
            <w:tcW w:w="2835" w:type="dxa"/>
            <w:vAlign w:val="center"/>
          </w:tcPr>
          <w:p w14:paraId="0D258FD8">
            <w:pPr>
              <w:pStyle w:val="13"/>
            </w:pPr>
            <w:r>
              <w:t>50%</w:t>
            </w:r>
          </w:p>
        </w:tc>
        <w:tc>
          <w:tcPr>
            <w:tcW w:w="2551" w:type="dxa"/>
            <w:vAlign w:val="center"/>
          </w:tcPr>
          <w:p w14:paraId="758B1758">
            <w:pPr>
              <w:pStyle w:val="13"/>
            </w:pPr>
            <w:r>
              <w:t>75%</w:t>
            </w:r>
          </w:p>
        </w:tc>
        <w:tc>
          <w:tcPr>
            <w:tcW w:w="3544" w:type="dxa"/>
            <w:gridSpan w:val="2"/>
            <w:vAlign w:val="center"/>
          </w:tcPr>
          <w:p w14:paraId="48341C4F">
            <w:pPr>
              <w:pStyle w:val="13"/>
            </w:pPr>
            <w:r>
              <w:t>100%</w:t>
            </w:r>
          </w:p>
        </w:tc>
      </w:tr>
      <w:tr w14:paraId="6CD3A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9B138">
            <w:pPr>
              <w:pStyle w:val="10"/>
            </w:pPr>
            <w:r>
              <w:t>绩效目标</w:t>
            </w:r>
          </w:p>
        </w:tc>
        <w:tc>
          <w:tcPr>
            <w:tcW w:w="14033" w:type="dxa"/>
            <w:gridSpan w:val="6"/>
            <w:vAlign w:val="center"/>
          </w:tcPr>
          <w:p w14:paraId="7D8EF014">
            <w:pPr>
              <w:pStyle w:val="12"/>
            </w:pPr>
            <w:r>
              <w:t>1.保障落实建档立卡及家庭经济困难儿童资助所需资金，确保建档立卡等家庭经济困难幼儿优先获得资助</w:t>
            </w:r>
            <w:r>
              <w:rPr>
                <w:rFonts w:hint="eastAsia"/>
                <w:lang w:eastAsia="zh-CN"/>
              </w:rPr>
              <w:t>。</w:t>
            </w:r>
          </w:p>
          <w:p w14:paraId="6EC335EB">
            <w:pPr>
              <w:pStyle w:val="12"/>
            </w:pPr>
            <w:r>
              <w:t>2.保证本年度资助经费足额落实到位，符合享受资助条件的学生应助尽助。</w:t>
            </w:r>
          </w:p>
        </w:tc>
      </w:tr>
    </w:tbl>
    <w:p w14:paraId="150CB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6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C5FB5">
            <w:pPr>
              <w:pStyle w:val="10"/>
            </w:pPr>
            <w:r>
              <w:t>一级指标</w:t>
            </w:r>
          </w:p>
        </w:tc>
        <w:tc>
          <w:tcPr>
            <w:tcW w:w="2268" w:type="dxa"/>
            <w:vAlign w:val="center"/>
          </w:tcPr>
          <w:p w14:paraId="53C88127">
            <w:pPr>
              <w:pStyle w:val="10"/>
            </w:pPr>
            <w:r>
              <w:t>二级指标</w:t>
            </w:r>
          </w:p>
        </w:tc>
        <w:tc>
          <w:tcPr>
            <w:tcW w:w="2835" w:type="dxa"/>
            <w:vAlign w:val="center"/>
          </w:tcPr>
          <w:p w14:paraId="15602DAC">
            <w:pPr>
              <w:pStyle w:val="10"/>
            </w:pPr>
            <w:r>
              <w:t>三级指标</w:t>
            </w:r>
          </w:p>
        </w:tc>
        <w:tc>
          <w:tcPr>
            <w:tcW w:w="5386" w:type="dxa"/>
            <w:vAlign w:val="center"/>
          </w:tcPr>
          <w:p w14:paraId="250F2D8B">
            <w:pPr>
              <w:pStyle w:val="10"/>
            </w:pPr>
            <w:r>
              <w:t>绩效指标描述</w:t>
            </w:r>
          </w:p>
        </w:tc>
        <w:tc>
          <w:tcPr>
            <w:tcW w:w="2268" w:type="dxa"/>
            <w:vAlign w:val="center"/>
          </w:tcPr>
          <w:p w14:paraId="72FDA3E1">
            <w:pPr>
              <w:pStyle w:val="10"/>
            </w:pPr>
            <w:r>
              <w:t>指标值</w:t>
            </w:r>
          </w:p>
        </w:tc>
        <w:tc>
          <w:tcPr>
            <w:tcW w:w="1276" w:type="dxa"/>
            <w:vAlign w:val="center"/>
          </w:tcPr>
          <w:p w14:paraId="46059E4D">
            <w:pPr>
              <w:pStyle w:val="10"/>
            </w:pPr>
            <w:r>
              <w:t>指标值确定依据</w:t>
            </w:r>
          </w:p>
        </w:tc>
      </w:tr>
      <w:tr w14:paraId="3B77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88B6F">
            <w:pPr>
              <w:pStyle w:val="13"/>
            </w:pPr>
            <w:r>
              <w:t>产出指标</w:t>
            </w:r>
          </w:p>
        </w:tc>
        <w:tc>
          <w:tcPr>
            <w:tcW w:w="2268" w:type="dxa"/>
            <w:vAlign w:val="center"/>
          </w:tcPr>
          <w:p w14:paraId="16BCE6CE">
            <w:pPr>
              <w:pStyle w:val="12"/>
            </w:pPr>
            <w:r>
              <w:t>数量指标</w:t>
            </w:r>
          </w:p>
        </w:tc>
        <w:tc>
          <w:tcPr>
            <w:tcW w:w="2835" w:type="dxa"/>
            <w:vAlign w:val="center"/>
          </w:tcPr>
          <w:p w14:paraId="2C3CC3D9">
            <w:pPr>
              <w:pStyle w:val="12"/>
            </w:pPr>
            <w:r>
              <w:t>幼儿资助比例</w:t>
            </w:r>
          </w:p>
        </w:tc>
        <w:tc>
          <w:tcPr>
            <w:tcW w:w="5386" w:type="dxa"/>
            <w:vAlign w:val="center"/>
          </w:tcPr>
          <w:p w14:paraId="25F77D4A">
            <w:pPr>
              <w:pStyle w:val="12"/>
            </w:pPr>
            <w:r>
              <w:t>按学前适龄在园儿童10%测算</w:t>
            </w:r>
          </w:p>
        </w:tc>
        <w:tc>
          <w:tcPr>
            <w:tcW w:w="2268" w:type="dxa"/>
            <w:vAlign w:val="center"/>
          </w:tcPr>
          <w:p w14:paraId="479171C8">
            <w:pPr>
              <w:pStyle w:val="12"/>
            </w:pPr>
            <w:r>
              <w:t>66人</w:t>
            </w:r>
          </w:p>
        </w:tc>
        <w:tc>
          <w:tcPr>
            <w:tcW w:w="1276" w:type="dxa"/>
            <w:vAlign w:val="center"/>
          </w:tcPr>
          <w:p w14:paraId="6C872D09">
            <w:pPr>
              <w:pStyle w:val="12"/>
            </w:pPr>
            <w:r>
              <w:t>幼儿资助经费管理办法</w:t>
            </w:r>
          </w:p>
        </w:tc>
      </w:tr>
      <w:tr w14:paraId="52CB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9010E"/>
        </w:tc>
        <w:tc>
          <w:tcPr>
            <w:tcW w:w="2268" w:type="dxa"/>
            <w:vAlign w:val="center"/>
          </w:tcPr>
          <w:p w14:paraId="5645123F">
            <w:pPr>
              <w:pStyle w:val="12"/>
            </w:pPr>
            <w:r>
              <w:t>质量指标</w:t>
            </w:r>
          </w:p>
        </w:tc>
        <w:tc>
          <w:tcPr>
            <w:tcW w:w="2835" w:type="dxa"/>
            <w:vAlign w:val="center"/>
          </w:tcPr>
          <w:p w14:paraId="0D9C97BA">
            <w:pPr>
              <w:pStyle w:val="12"/>
            </w:pPr>
            <w:r>
              <w:t>学前教育资助制度落实情况</w:t>
            </w:r>
          </w:p>
        </w:tc>
        <w:tc>
          <w:tcPr>
            <w:tcW w:w="5386" w:type="dxa"/>
            <w:vAlign w:val="center"/>
          </w:tcPr>
          <w:p w14:paraId="67F5F488">
            <w:pPr>
              <w:pStyle w:val="12"/>
            </w:pPr>
            <w:r>
              <w:t>符合享受资助条件的学生应助尽助</w:t>
            </w:r>
          </w:p>
        </w:tc>
        <w:tc>
          <w:tcPr>
            <w:tcW w:w="2268" w:type="dxa"/>
            <w:vAlign w:val="center"/>
          </w:tcPr>
          <w:p w14:paraId="23DF1FD0">
            <w:pPr>
              <w:pStyle w:val="12"/>
            </w:pPr>
            <w:r>
              <w:t>100%</w:t>
            </w:r>
          </w:p>
        </w:tc>
        <w:tc>
          <w:tcPr>
            <w:tcW w:w="1276" w:type="dxa"/>
            <w:vAlign w:val="center"/>
          </w:tcPr>
          <w:p w14:paraId="61293D7C">
            <w:pPr>
              <w:pStyle w:val="12"/>
            </w:pPr>
            <w:r>
              <w:t>幼儿资助经费管理办法</w:t>
            </w:r>
          </w:p>
        </w:tc>
      </w:tr>
      <w:tr w14:paraId="768F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81B5E"/>
        </w:tc>
        <w:tc>
          <w:tcPr>
            <w:tcW w:w="2268" w:type="dxa"/>
            <w:vAlign w:val="center"/>
          </w:tcPr>
          <w:p w14:paraId="54D18FB7">
            <w:pPr>
              <w:pStyle w:val="12"/>
            </w:pPr>
            <w:r>
              <w:t>时效指标</w:t>
            </w:r>
          </w:p>
        </w:tc>
        <w:tc>
          <w:tcPr>
            <w:tcW w:w="2835" w:type="dxa"/>
            <w:vAlign w:val="center"/>
          </w:tcPr>
          <w:p w14:paraId="307561D7">
            <w:pPr>
              <w:pStyle w:val="12"/>
            </w:pPr>
            <w:r>
              <w:t>资金拨付率</w:t>
            </w:r>
          </w:p>
        </w:tc>
        <w:tc>
          <w:tcPr>
            <w:tcW w:w="5386" w:type="dxa"/>
            <w:vAlign w:val="center"/>
          </w:tcPr>
          <w:p w14:paraId="00E31E08">
            <w:pPr>
              <w:pStyle w:val="12"/>
            </w:pPr>
            <w:r>
              <w:t>所有项目资金支付进度</w:t>
            </w:r>
          </w:p>
        </w:tc>
        <w:tc>
          <w:tcPr>
            <w:tcW w:w="2268" w:type="dxa"/>
            <w:vAlign w:val="center"/>
          </w:tcPr>
          <w:p w14:paraId="1504E37F">
            <w:pPr>
              <w:pStyle w:val="12"/>
            </w:pPr>
            <w:r>
              <w:t>100%</w:t>
            </w:r>
          </w:p>
        </w:tc>
        <w:tc>
          <w:tcPr>
            <w:tcW w:w="1276" w:type="dxa"/>
            <w:vAlign w:val="center"/>
          </w:tcPr>
          <w:p w14:paraId="6B842616">
            <w:pPr>
              <w:pStyle w:val="12"/>
            </w:pPr>
            <w:r>
              <w:t>幼儿资助经费管理办法</w:t>
            </w:r>
          </w:p>
        </w:tc>
      </w:tr>
      <w:tr w14:paraId="79F2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F963D"/>
        </w:tc>
        <w:tc>
          <w:tcPr>
            <w:tcW w:w="2268" w:type="dxa"/>
            <w:vAlign w:val="center"/>
          </w:tcPr>
          <w:p w14:paraId="28587C50">
            <w:pPr>
              <w:pStyle w:val="12"/>
            </w:pPr>
            <w:r>
              <w:t>成本指标</w:t>
            </w:r>
          </w:p>
        </w:tc>
        <w:tc>
          <w:tcPr>
            <w:tcW w:w="2835" w:type="dxa"/>
            <w:vAlign w:val="center"/>
          </w:tcPr>
          <w:p w14:paraId="00830196">
            <w:pPr>
              <w:pStyle w:val="12"/>
            </w:pPr>
            <w:r>
              <w:t>幼儿园资助标准</w:t>
            </w:r>
          </w:p>
        </w:tc>
        <w:tc>
          <w:tcPr>
            <w:tcW w:w="5386" w:type="dxa"/>
            <w:vAlign w:val="center"/>
          </w:tcPr>
          <w:p w14:paraId="269310BA">
            <w:pPr>
              <w:pStyle w:val="12"/>
            </w:pPr>
            <w:r>
              <w:t>按照幼儿园资助标准1000元/生/年</w:t>
            </w:r>
          </w:p>
        </w:tc>
        <w:tc>
          <w:tcPr>
            <w:tcW w:w="2268" w:type="dxa"/>
            <w:vAlign w:val="center"/>
          </w:tcPr>
          <w:p w14:paraId="2856F536">
            <w:pPr>
              <w:pStyle w:val="12"/>
            </w:pPr>
            <w:r>
              <w:t>1000元/生/年</w:t>
            </w:r>
          </w:p>
        </w:tc>
        <w:tc>
          <w:tcPr>
            <w:tcW w:w="1276" w:type="dxa"/>
            <w:vAlign w:val="center"/>
          </w:tcPr>
          <w:p w14:paraId="141A6653">
            <w:pPr>
              <w:pStyle w:val="12"/>
            </w:pPr>
            <w:r>
              <w:t>幼儿资助经费管理办法</w:t>
            </w:r>
          </w:p>
        </w:tc>
      </w:tr>
      <w:tr w14:paraId="0340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FD4DD">
            <w:pPr>
              <w:pStyle w:val="13"/>
            </w:pPr>
            <w:r>
              <w:t>效益指标</w:t>
            </w:r>
          </w:p>
        </w:tc>
        <w:tc>
          <w:tcPr>
            <w:tcW w:w="2268" w:type="dxa"/>
            <w:vAlign w:val="center"/>
          </w:tcPr>
          <w:p w14:paraId="0BCB0F4A">
            <w:pPr>
              <w:pStyle w:val="12"/>
            </w:pPr>
            <w:r>
              <w:t>可持续影响指标</w:t>
            </w:r>
          </w:p>
        </w:tc>
        <w:tc>
          <w:tcPr>
            <w:tcW w:w="2835" w:type="dxa"/>
            <w:vAlign w:val="center"/>
          </w:tcPr>
          <w:p w14:paraId="4E125891">
            <w:pPr>
              <w:pStyle w:val="12"/>
            </w:pPr>
            <w:r>
              <w:t>幼儿园运转</w:t>
            </w:r>
          </w:p>
        </w:tc>
        <w:tc>
          <w:tcPr>
            <w:tcW w:w="5386" w:type="dxa"/>
            <w:vAlign w:val="center"/>
          </w:tcPr>
          <w:p w14:paraId="2BFFA2E6">
            <w:pPr>
              <w:pStyle w:val="12"/>
            </w:pPr>
            <w:r>
              <w:t>幼儿受教育年限</w:t>
            </w:r>
          </w:p>
        </w:tc>
        <w:tc>
          <w:tcPr>
            <w:tcW w:w="2268" w:type="dxa"/>
            <w:vAlign w:val="center"/>
          </w:tcPr>
          <w:p w14:paraId="420ECCBC">
            <w:pPr>
              <w:pStyle w:val="12"/>
            </w:pPr>
            <w:r>
              <w:t>3年</w:t>
            </w:r>
          </w:p>
        </w:tc>
        <w:tc>
          <w:tcPr>
            <w:tcW w:w="1276" w:type="dxa"/>
            <w:vAlign w:val="center"/>
          </w:tcPr>
          <w:p w14:paraId="466BEF30">
            <w:pPr>
              <w:pStyle w:val="12"/>
            </w:pPr>
            <w:r>
              <w:t>幼儿资助经费管理办法</w:t>
            </w:r>
          </w:p>
        </w:tc>
      </w:tr>
      <w:tr w14:paraId="16FC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297AC">
            <w:pPr>
              <w:pStyle w:val="13"/>
            </w:pPr>
            <w:r>
              <w:t>满意度指标</w:t>
            </w:r>
          </w:p>
        </w:tc>
        <w:tc>
          <w:tcPr>
            <w:tcW w:w="2268" w:type="dxa"/>
            <w:vAlign w:val="center"/>
          </w:tcPr>
          <w:p w14:paraId="6A1CA7A0">
            <w:pPr>
              <w:pStyle w:val="12"/>
            </w:pPr>
            <w:r>
              <w:t>服务对象满意度指标</w:t>
            </w:r>
          </w:p>
        </w:tc>
        <w:tc>
          <w:tcPr>
            <w:tcW w:w="2835" w:type="dxa"/>
            <w:vAlign w:val="center"/>
          </w:tcPr>
          <w:p w14:paraId="49A38AF3">
            <w:pPr>
              <w:pStyle w:val="12"/>
            </w:pPr>
            <w:r>
              <w:t>受益幼儿家长及调查满意度</w:t>
            </w:r>
          </w:p>
        </w:tc>
        <w:tc>
          <w:tcPr>
            <w:tcW w:w="5386" w:type="dxa"/>
            <w:vAlign w:val="center"/>
          </w:tcPr>
          <w:p w14:paraId="59C83E74">
            <w:pPr>
              <w:pStyle w:val="12"/>
            </w:pPr>
            <w:r>
              <w:t>学生、教师及家长对学校保教保育工作满意度情况</w:t>
            </w:r>
          </w:p>
        </w:tc>
        <w:tc>
          <w:tcPr>
            <w:tcW w:w="2268" w:type="dxa"/>
            <w:vAlign w:val="center"/>
          </w:tcPr>
          <w:p w14:paraId="3D0B0205">
            <w:pPr>
              <w:pStyle w:val="12"/>
            </w:pPr>
            <w:r>
              <w:t>≥95%</w:t>
            </w:r>
          </w:p>
        </w:tc>
        <w:tc>
          <w:tcPr>
            <w:tcW w:w="1276" w:type="dxa"/>
            <w:vAlign w:val="center"/>
          </w:tcPr>
          <w:p w14:paraId="15FB061E">
            <w:pPr>
              <w:pStyle w:val="12"/>
            </w:pPr>
            <w:r>
              <w:t>群众测评</w:t>
            </w:r>
          </w:p>
        </w:tc>
      </w:tr>
    </w:tbl>
    <w:p w14:paraId="5E3C4E76">
      <w:pPr>
        <w:sectPr>
          <w:pgSz w:w="16840" w:h="11900" w:orient="landscape"/>
          <w:pgMar w:top="1361" w:right="1020" w:bottom="1134" w:left="1020" w:header="720" w:footer="720" w:gutter="0"/>
          <w:cols w:space="720" w:num="1"/>
        </w:sectPr>
      </w:pPr>
    </w:p>
    <w:p w14:paraId="41A49BFF">
      <w:pPr>
        <w:spacing w:before="0" w:after="0"/>
        <w:ind w:firstLine="560"/>
        <w:jc w:val="left"/>
        <w:outlineLvl w:val="9"/>
      </w:pPr>
      <w:r>
        <w:rPr>
          <w:rFonts w:ascii="方正仿宋_GBK" w:hAnsi="方正仿宋_GBK" w:eastAsia="方正仿宋_GBK" w:cs="方正仿宋_GBK"/>
          <w:b/>
          <w:color w:val="000000"/>
          <w:sz w:val="28"/>
        </w:rPr>
        <w:t>10、冀财教[2025]122号/中央/2026年学前发展资金/莲子镇校区幼儿园免保育教育费补助绩效目标表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32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081E6">
            <w:pPr>
              <w:pStyle w:val="11"/>
            </w:pPr>
            <w:r>
              <w:t>单位：万元</w:t>
            </w:r>
          </w:p>
        </w:tc>
      </w:tr>
      <w:tr w14:paraId="7996C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14B47">
            <w:pPr>
              <w:pStyle w:val="10"/>
            </w:pPr>
            <w:r>
              <w:t>项目编码</w:t>
            </w:r>
          </w:p>
        </w:tc>
        <w:tc>
          <w:tcPr>
            <w:tcW w:w="5103" w:type="dxa"/>
            <w:gridSpan w:val="2"/>
            <w:vAlign w:val="center"/>
          </w:tcPr>
          <w:p w14:paraId="6A9E81BC">
            <w:pPr>
              <w:pStyle w:val="12"/>
            </w:pPr>
            <w:r>
              <w:t>13052526P00876910145U</w:t>
            </w:r>
          </w:p>
        </w:tc>
        <w:tc>
          <w:tcPr>
            <w:tcW w:w="2835" w:type="dxa"/>
            <w:vAlign w:val="center"/>
          </w:tcPr>
          <w:p w14:paraId="7B6D2C2D">
            <w:pPr>
              <w:pStyle w:val="10"/>
            </w:pPr>
            <w:r>
              <w:t>项目名称</w:t>
            </w:r>
          </w:p>
        </w:tc>
        <w:tc>
          <w:tcPr>
            <w:tcW w:w="6095" w:type="dxa"/>
            <w:gridSpan w:val="3"/>
            <w:vAlign w:val="center"/>
          </w:tcPr>
          <w:p w14:paraId="1B0650BB">
            <w:pPr>
              <w:pStyle w:val="12"/>
            </w:pPr>
            <w:r>
              <w:t>冀财教[2025]122号/中央/2026年学前发展资金/莲子镇校区幼儿园免保育教育费补助</w:t>
            </w:r>
          </w:p>
        </w:tc>
      </w:tr>
      <w:tr w14:paraId="2B991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079A0">
            <w:pPr>
              <w:pStyle w:val="10"/>
            </w:pPr>
            <w:r>
              <w:t>预算规模及资金用途</w:t>
            </w:r>
          </w:p>
        </w:tc>
        <w:tc>
          <w:tcPr>
            <w:tcW w:w="2268" w:type="dxa"/>
            <w:vAlign w:val="center"/>
          </w:tcPr>
          <w:p w14:paraId="53734397">
            <w:pPr>
              <w:pStyle w:val="10"/>
            </w:pPr>
            <w:r>
              <w:t>预算数</w:t>
            </w:r>
          </w:p>
        </w:tc>
        <w:tc>
          <w:tcPr>
            <w:tcW w:w="2835" w:type="dxa"/>
            <w:vAlign w:val="center"/>
          </w:tcPr>
          <w:p w14:paraId="0BFB35EC">
            <w:pPr>
              <w:pStyle w:val="12"/>
            </w:pPr>
            <w:r>
              <w:t>8.15</w:t>
            </w:r>
          </w:p>
        </w:tc>
        <w:tc>
          <w:tcPr>
            <w:tcW w:w="2835" w:type="dxa"/>
            <w:vAlign w:val="center"/>
          </w:tcPr>
          <w:p w14:paraId="0DBF6D7B">
            <w:pPr>
              <w:pStyle w:val="10"/>
            </w:pPr>
            <w:r>
              <w:t>其中：财政    资金</w:t>
            </w:r>
          </w:p>
        </w:tc>
        <w:tc>
          <w:tcPr>
            <w:tcW w:w="2551" w:type="dxa"/>
            <w:vAlign w:val="center"/>
          </w:tcPr>
          <w:p w14:paraId="36071EFB">
            <w:pPr>
              <w:pStyle w:val="12"/>
            </w:pPr>
            <w:r>
              <w:t>8.15</w:t>
            </w:r>
          </w:p>
        </w:tc>
        <w:tc>
          <w:tcPr>
            <w:tcW w:w="2268" w:type="dxa"/>
            <w:vAlign w:val="center"/>
          </w:tcPr>
          <w:p w14:paraId="4B161556">
            <w:pPr>
              <w:pStyle w:val="10"/>
            </w:pPr>
            <w:r>
              <w:t>其他资金</w:t>
            </w:r>
          </w:p>
        </w:tc>
        <w:tc>
          <w:tcPr>
            <w:tcW w:w="1276" w:type="dxa"/>
            <w:vAlign w:val="center"/>
          </w:tcPr>
          <w:p w14:paraId="7111EDA2">
            <w:pPr>
              <w:pStyle w:val="12"/>
            </w:pPr>
            <w:r>
              <w:t xml:space="preserve"> </w:t>
            </w:r>
          </w:p>
        </w:tc>
      </w:tr>
      <w:tr w14:paraId="125FE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08016"/>
        </w:tc>
        <w:tc>
          <w:tcPr>
            <w:tcW w:w="14033" w:type="dxa"/>
            <w:gridSpan w:val="6"/>
            <w:vAlign w:val="center"/>
          </w:tcPr>
          <w:p w14:paraId="398D2D8E">
            <w:pPr>
              <w:pStyle w:val="12"/>
            </w:pPr>
            <w:r>
              <w:t>落实中央免保教费政策，做到大班幼儿应免尽免，保障幼儿园正常运转。</w:t>
            </w:r>
          </w:p>
        </w:tc>
      </w:tr>
      <w:tr w14:paraId="2A154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9FF0A">
            <w:pPr>
              <w:pStyle w:val="10"/>
            </w:pPr>
            <w:r>
              <w:t>资金支出计划（%）</w:t>
            </w:r>
          </w:p>
        </w:tc>
        <w:tc>
          <w:tcPr>
            <w:tcW w:w="5103" w:type="dxa"/>
            <w:gridSpan w:val="2"/>
            <w:vAlign w:val="center"/>
          </w:tcPr>
          <w:p w14:paraId="055A7DF8">
            <w:pPr>
              <w:pStyle w:val="10"/>
            </w:pPr>
            <w:r>
              <w:t>3月底</w:t>
            </w:r>
          </w:p>
        </w:tc>
        <w:tc>
          <w:tcPr>
            <w:tcW w:w="2835" w:type="dxa"/>
            <w:vAlign w:val="center"/>
          </w:tcPr>
          <w:p w14:paraId="0835D282">
            <w:pPr>
              <w:pStyle w:val="10"/>
            </w:pPr>
            <w:r>
              <w:t>6月底</w:t>
            </w:r>
          </w:p>
        </w:tc>
        <w:tc>
          <w:tcPr>
            <w:tcW w:w="2551" w:type="dxa"/>
            <w:vAlign w:val="center"/>
          </w:tcPr>
          <w:p w14:paraId="25087260">
            <w:pPr>
              <w:pStyle w:val="10"/>
            </w:pPr>
            <w:r>
              <w:t>10月底</w:t>
            </w:r>
          </w:p>
        </w:tc>
        <w:tc>
          <w:tcPr>
            <w:tcW w:w="3544" w:type="dxa"/>
            <w:gridSpan w:val="2"/>
            <w:vAlign w:val="center"/>
          </w:tcPr>
          <w:p w14:paraId="69A43252">
            <w:pPr>
              <w:pStyle w:val="10"/>
            </w:pPr>
            <w:r>
              <w:t>12月底</w:t>
            </w:r>
          </w:p>
        </w:tc>
      </w:tr>
      <w:tr w14:paraId="03B9E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1CFEF"/>
        </w:tc>
        <w:tc>
          <w:tcPr>
            <w:tcW w:w="5103" w:type="dxa"/>
            <w:gridSpan w:val="2"/>
            <w:vAlign w:val="center"/>
          </w:tcPr>
          <w:p w14:paraId="15F02DE8">
            <w:pPr>
              <w:pStyle w:val="13"/>
            </w:pPr>
            <w:r>
              <w:t>25%</w:t>
            </w:r>
          </w:p>
        </w:tc>
        <w:tc>
          <w:tcPr>
            <w:tcW w:w="2835" w:type="dxa"/>
            <w:vAlign w:val="center"/>
          </w:tcPr>
          <w:p w14:paraId="28BACEA5">
            <w:pPr>
              <w:pStyle w:val="13"/>
            </w:pPr>
            <w:r>
              <w:t>50%</w:t>
            </w:r>
          </w:p>
        </w:tc>
        <w:tc>
          <w:tcPr>
            <w:tcW w:w="2551" w:type="dxa"/>
            <w:vAlign w:val="center"/>
          </w:tcPr>
          <w:p w14:paraId="2044354A">
            <w:pPr>
              <w:pStyle w:val="13"/>
            </w:pPr>
            <w:r>
              <w:t>75%</w:t>
            </w:r>
          </w:p>
        </w:tc>
        <w:tc>
          <w:tcPr>
            <w:tcW w:w="3544" w:type="dxa"/>
            <w:gridSpan w:val="2"/>
            <w:vAlign w:val="center"/>
          </w:tcPr>
          <w:p w14:paraId="5324F3A2">
            <w:pPr>
              <w:pStyle w:val="13"/>
            </w:pPr>
            <w:r>
              <w:t>100%</w:t>
            </w:r>
          </w:p>
        </w:tc>
      </w:tr>
      <w:tr w14:paraId="22A1D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68A6B">
            <w:pPr>
              <w:pStyle w:val="10"/>
            </w:pPr>
            <w:r>
              <w:t>绩效目标</w:t>
            </w:r>
          </w:p>
        </w:tc>
        <w:tc>
          <w:tcPr>
            <w:tcW w:w="14033" w:type="dxa"/>
            <w:gridSpan w:val="6"/>
            <w:vAlign w:val="center"/>
          </w:tcPr>
          <w:p w14:paraId="60B7404D">
            <w:pPr>
              <w:pStyle w:val="12"/>
            </w:pPr>
            <w:r>
              <w:t>1.按照绩效及时拨付保教免费资金，支付率100%，</w:t>
            </w:r>
          </w:p>
          <w:p w14:paraId="53CAE2B5">
            <w:pPr>
              <w:pStyle w:val="12"/>
            </w:pPr>
            <w:r>
              <w:t>2.落实中央免保教费政策，做到大班幼儿应免尽免，保障幼儿园正常运转。</w:t>
            </w:r>
          </w:p>
        </w:tc>
      </w:tr>
    </w:tbl>
    <w:p w14:paraId="1D74E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9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E6A68">
            <w:pPr>
              <w:pStyle w:val="10"/>
            </w:pPr>
            <w:r>
              <w:t>一级指标</w:t>
            </w:r>
          </w:p>
        </w:tc>
        <w:tc>
          <w:tcPr>
            <w:tcW w:w="2268" w:type="dxa"/>
            <w:vAlign w:val="center"/>
          </w:tcPr>
          <w:p w14:paraId="221EF86C">
            <w:pPr>
              <w:pStyle w:val="10"/>
            </w:pPr>
            <w:r>
              <w:t>二级指标</w:t>
            </w:r>
          </w:p>
        </w:tc>
        <w:tc>
          <w:tcPr>
            <w:tcW w:w="2835" w:type="dxa"/>
            <w:vAlign w:val="center"/>
          </w:tcPr>
          <w:p w14:paraId="75F8449E">
            <w:pPr>
              <w:pStyle w:val="10"/>
            </w:pPr>
            <w:r>
              <w:t>三级指标</w:t>
            </w:r>
          </w:p>
        </w:tc>
        <w:tc>
          <w:tcPr>
            <w:tcW w:w="5386" w:type="dxa"/>
            <w:vAlign w:val="center"/>
          </w:tcPr>
          <w:p w14:paraId="44EFD629">
            <w:pPr>
              <w:pStyle w:val="10"/>
            </w:pPr>
            <w:r>
              <w:t>绩效指标描述</w:t>
            </w:r>
          </w:p>
        </w:tc>
        <w:tc>
          <w:tcPr>
            <w:tcW w:w="2268" w:type="dxa"/>
            <w:vAlign w:val="center"/>
          </w:tcPr>
          <w:p w14:paraId="2400A5B3">
            <w:pPr>
              <w:pStyle w:val="10"/>
            </w:pPr>
            <w:r>
              <w:t>指标值</w:t>
            </w:r>
          </w:p>
        </w:tc>
        <w:tc>
          <w:tcPr>
            <w:tcW w:w="1276" w:type="dxa"/>
            <w:vAlign w:val="center"/>
          </w:tcPr>
          <w:p w14:paraId="54342717">
            <w:pPr>
              <w:pStyle w:val="10"/>
            </w:pPr>
            <w:r>
              <w:t>指标值确定依据</w:t>
            </w:r>
          </w:p>
        </w:tc>
      </w:tr>
      <w:tr w14:paraId="1138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A42F3">
            <w:pPr>
              <w:pStyle w:val="13"/>
            </w:pPr>
            <w:r>
              <w:t>产出指标</w:t>
            </w:r>
          </w:p>
        </w:tc>
        <w:tc>
          <w:tcPr>
            <w:tcW w:w="2268" w:type="dxa"/>
            <w:vAlign w:val="center"/>
          </w:tcPr>
          <w:p w14:paraId="11535D68">
            <w:pPr>
              <w:pStyle w:val="12"/>
            </w:pPr>
            <w:r>
              <w:t>数量指标</w:t>
            </w:r>
          </w:p>
        </w:tc>
        <w:tc>
          <w:tcPr>
            <w:tcW w:w="2835" w:type="dxa"/>
            <w:vAlign w:val="center"/>
          </w:tcPr>
          <w:p w14:paraId="3D247BEB">
            <w:pPr>
              <w:pStyle w:val="12"/>
            </w:pPr>
            <w:r>
              <w:t>适龄在园生</w:t>
            </w:r>
          </w:p>
        </w:tc>
        <w:tc>
          <w:tcPr>
            <w:tcW w:w="5386" w:type="dxa"/>
            <w:vAlign w:val="center"/>
          </w:tcPr>
          <w:p w14:paraId="235798AF">
            <w:pPr>
              <w:pStyle w:val="12"/>
            </w:pPr>
            <w:r>
              <w:t>适龄在园学生人数</w:t>
            </w:r>
          </w:p>
        </w:tc>
        <w:tc>
          <w:tcPr>
            <w:tcW w:w="2268" w:type="dxa"/>
            <w:vAlign w:val="center"/>
          </w:tcPr>
          <w:p w14:paraId="2A578B57">
            <w:pPr>
              <w:pStyle w:val="12"/>
            </w:pPr>
            <w:r>
              <w:t>364人</w:t>
            </w:r>
          </w:p>
        </w:tc>
        <w:tc>
          <w:tcPr>
            <w:tcW w:w="1276" w:type="dxa"/>
            <w:vAlign w:val="center"/>
          </w:tcPr>
          <w:p w14:paraId="5F2DCA79">
            <w:pPr>
              <w:pStyle w:val="12"/>
            </w:pPr>
            <w:r>
              <w:t>学前发展资金管理方法</w:t>
            </w:r>
          </w:p>
        </w:tc>
      </w:tr>
      <w:tr w14:paraId="5C75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06FB0"/>
        </w:tc>
        <w:tc>
          <w:tcPr>
            <w:tcW w:w="2268" w:type="dxa"/>
            <w:vAlign w:val="center"/>
          </w:tcPr>
          <w:p w14:paraId="73A738FF">
            <w:pPr>
              <w:pStyle w:val="12"/>
            </w:pPr>
            <w:r>
              <w:t>质量指标</w:t>
            </w:r>
          </w:p>
        </w:tc>
        <w:tc>
          <w:tcPr>
            <w:tcW w:w="2835" w:type="dxa"/>
            <w:vAlign w:val="center"/>
          </w:tcPr>
          <w:p w14:paraId="08173833">
            <w:pPr>
              <w:pStyle w:val="12"/>
            </w:pPr>
            <w:r>
              <w:t>预算控制率</w:t>
            </w:r>
          </w:p>
        </w:tc>
        <w:tc>
          <w:tcPr>
            <w:tcW w:w="5386" w:type="dxa"/>
            <w:vAlign w:val="center"/>
          </w:tcPr>
          <w:p w14:paraId="3AD09029">
            <w:pPr>
              <w:pStyle w:val="12"/>
            </w:pPr>
            <w:r>
              <w:t>预算执行</w:t>
            </w:r>
          </w:p>
        </w:tc>
        <w:tc>
          <w:tcPr>
            <w:tcW w:w="2268" w:type="dxa"/>
            <w:vAlign w:val="center"/>
          </w:tcPr>
          <w:p w14:paraId="25B9B212">
            <w:pPr>
              <w:pStyle w:val="12"/>
            </w:pPr>
            <w:r>
              <w:t>≥95%</w:t>
            </w:r>
          </w:p>
        </w:tc>
        <w:tc>
          <w:tcPr>
            <w:tcW w:w="1276" w:type="dxa"/>
            <w:vAlign w:val="center"/>
          </w:tcPr>
          <w:p w14:paraId="298120A3">
            <w:pPr>
              <w:pStyle w:val="12"/>
            </w:pPr>
            <w:r>
              <w:t>学前发展资金管理方法</w:t>
            </w:r>
          </w:p>
        </w:tc>
      </w:tr>
      <w:tr w14:paraId="5A4C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A7C05"/>
        </w:tc>
        <w:tc>
          <w:tcPr>
            <w:tcW w:w="2268" w:type="dxa"/>
            <w:vAlign w:val="center"/>
          </w:tcPr>
          <w:p w14:paraId="27486342">
            <w:pPr>
              <w:pStyle w:val="12"/>
            </w:pPr>
            <w:r>
              <w:t>时效指标</w:t>
            </w:r>
          </w:p>
        </w:tc>
        <w:tc>
          <w:tcPr>
            <w:tcW w:w="2835" w:type="dxa"/>
            <w:vAlign w:val="center"/>
          </w:tcPr>
          <w:p w14:paraId="770AF86D">
            <w:pPr>
              <w:pStyle w:val="12"/>
            </w:pPr>
            <w:r>
              <w:t>资金支付率</w:t>
            </w:r>
          </w:p>
        </w:tc>
        <w:tc>
          <w:tcPr>
            <w:tcW w:w="5386" w:type="dxa"/>
            <w:vAlign w:val="center"/>
          </w:tcPr>
          <w:p w14:paraId="1E4738E7">
            <w:pPr>
              <w:pStyle w:val="12"/>
            </w:pPr>
            <w:r>
              <w:t>按照序时进度完成资金支付</w:t>
            </w:r>
          </w:p>
        </w:tc>
        <w:tc>
          <w:tcPr>
            <w:tcW w:w="2268" w:type="dxa"/>
            <w:vAlign w:val="center"/>
          </w:tcPr>
          <w:p w14:paraId="05383783">
            <w:pPr>
              <w:pStyle w:val="12"/>
            </w:pPr>
            <w:r>
              <w:t>100%</w:t>
            </w:r>
          </w:p>
        </w:tc>
        <w:tc>
          <w:tcPr>
            <w:tcW w:w="1276" w:type="dxa"/>
            <w:vAlign w:val="center"/>
          </w:tcPr>
          <w:p w14:paraId="2E94103E">
            <w:pPr>
              <w:pStyle w:val="12"/>
            </w:pPr>
            <w:r>
              <w:t>学前发展资金管理方法</w:t>
            </w:r>
          </w:p>
        </w:tc>
      </w:tr>
      <w:tr w14:paraId="18EF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7E1B"/>
        </w:tc>
        <w:tc>
          <w:tcPr>
            <w:tcW w:w="2268" w:type="dxa"/>
            <w:vAlign w:val="center"/>
          </w:tcPr>
          <w:p w14:paraId="5DBB84CC">
            <w:pPr>
              <w:pStyle w:val="12"/>
            </w:pPr>
            <w:r>
              <w:t>成本指标</w:t>
            </w:r>
          </w:p>
        </w:tc>
        <w:tc>
          <w:tcPr>
            <w:tcW w:w="2835" w:type="dxa"/>
            <w:vAlign w:val="center"/>
          </w:tcPr>
          <w:p w14:paraId="0A91DDB1">
            <w:pPr>
              <w:pStyle w:val="12"/>
            </w:pPr>
            <w:r>
              <w:t>生均拨款标准</w:t>
            </w:r>
          </w:p>
        </w:tc>
        <w:tc>
          <w:tcPr>
            <w:tcW w:w="5386" w:type="dxa"/>
            <w:vAlign w:val="center"/>
          </w:tcPr>
          <w:p w14:paraId="03700746">
            <w:pPr>
              <w:pStyle w:val="12"/>
            </w:pPr>
            <w:r>
              <w:t>根据邢发改服务价格【2020】191号调整幼儿园保教费通知要求：农村示范园170元/月/生，农村一类园150元/月/生，农村二类园130元/月/生，农村三类园100元/月/生</w:t>
            </w:r>
          </w:p>
        </w:tc>
        <w:tc>
          <w:tcPr>
            <w:tcW w:w="2268" w:type="dxa"/>
            <w:vAlign w:val="center"/>
          </w:tcPr>
          <w:p w14:paraId="6791A055">
            <w:pPr>
              <w:pStyle w:val="12"/>
            </w:pPr>
            <w:r>
              <w:t>81467元</w:t>
            </w:r>
          </w:p>
        </w:tc>
        <w:tc>
          <w:tcPr>
            <w:tcW w:w="1276" w:type="dxa"/>
            <w:vAlign w:val="center"/>
          </w:tcPr>
          <w:p w14:paraId="2528D282">
            <w:pPr>
              <w:pStyle w:val="12"/>
            </w:pPr>
            <w:r>
              <w:t>学前发展资金管理方法</w:t>
            </w:r>
          </w:p>
        </w:tc>
      </w:tr>
      <w:tr w14:paraId="5324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ED69D">
            <w:pPr>
              <w:pStyle w:val="13"/>
            </w:pPr>
            <w:r>
              <w:t>效益指标</w:t>
            </w:r>
          </w:p>
        </w:tc>
        <w:tc>
          <w:tcPr>
            <w:tcW w:w="2268" w:type="dxa"/>
            <w:vAlign w:val="center"/>
          </w:tcPr>
          <w:p w14:paraId="7F1CC0DC">
            <w:pPr>
              <w:pStyle w:val="12"/>
            </w:pPr>
            <w:r>
              <w:t>可持续影响指标</w:t>
            </w:r>
          </w:p>
        </w:tc>
        <w:tc>
          <w:tcPr>
            <w:tcW w:w="2835" w:type="dxa"/>
            <w:vAlign w:val="center"/>
          </w:tcPr>
          <w:p w14:paraId="4607D277">
            <w:pPr>
              <w:pStyle w:val="12"/>
            </w:pPr>
            <w:r>
              <w:t>学校运转得到提升</w:t>
            </w:r>
          </w:p>
        </w:tc>
        <w:tc>
          <w:tcPr>
            <w:tcW w:w="5386" w:type="dxa"/>
            <w:vAlign w:val="center"/>
          </w:tcPr>
          <w:p w14:paraId="7889C3FF">
            <w:pPr>
              <w:pStyle w:val="12"/>
            </w:pPr>
            <w:r>
              <w:t>幼儿受教育年限</w:t>
            </w:r>
          </w:p>
        </w:tc>
        <w:tc>
          <w:tcPr>
            <w:tcW w:w="2268" w:type="dxa"/>
            <w:vAlign w:val="center"/>
          </w:tcPr>
          <w:p w14:paraId="0441F16B">
            <w:pPr>
              <w:pStyle w:val="12"/>
            </w:pPr>
            <w:r>
              <w:t>3年</w:t>
            </w:r>
          </w:p>
        </w:tc>
        <w:tc>
          <w:tcPr>
            <w:tcW w:w="1276" w:type="dxa"/>
            <w:vAlign w:val="center"/>
          </w:tcPr>
          <w:p w14:paraId="518425FF">
            <w:pPr>
              <w:pStyle w:val="12"/>
            </w:pPr>
            <w:r>
              <w:t>学前发展资金管理方法</w:t>
            </w:r>
          </w:p>
        </w:tc>
      </w:tr>
      <w:tr w14:paraId="4A34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5F68D">
            <w:pPr>
              <w:pStyle w:val="13"/>
            </w:pPr>
            <w:r>
              <w:t>满意度指标</w:t>
            </w:r>
          </w:p>
        </w:tc>
        <w:tc>
          <w:tcPr>
            <w:tcW w:w="2268" w:type="dxa"/>
            <w:vAlign w:val="center"/>
          </w:tcPr>
          <w:p w14:paraId="46DF47D0">
            <w:pPr>
              <w:pStyle w:val="12"/>
            </w:pPr>
            <w:r>
              <w:t>服务对象满意度指标</w:t>
            </w:r>
          </w:p>
        </w:tc>
        <w:tc>
          <w:tcPr>
            <w:tcW w:w="2835" w:type="dxa"/>
            <w:vAlign w:val="center"/>
          </w:tcPr>
          <w:p w14:paraId="5C921B27">
            <w:pPr>
              <w:pStyle w:val="12"/>
            </w:pPr>
            <w:r>
              <w:t>受益学生家长及调查满意度</w:t>
            </w:r>
          </w:p>
        </w:tc>
        <w:tc>
          <w:tcPr>
            <w:tcW w:w="5386" w:type="dxa"/>
            <w:vAlign w:val="center"/>
          </w:tcPr>
          <w:p w14:paraId="7766C980">
            <w:pPr>
              <w:pStyle w:val="12"/>
            </w:pPr>
            <w:r>
              <w:t>学生、教师及家长对学校保教保育工作满意度情况</w:t>
            </w:r>
          </w:p>
        </w:tc>
        <w:tc>
          <w:tcPr>
            <w:tcW w:w="2268" w:type="dxa"/>
            <w:vAlign w:val="center"/>
          </w:tcPr>
          <w:p w14:paraId="3F89D20F">
            <w:pPr>
              <w:pStyle w:val="12"/>
            </w:pPr>
            <w:r>
              <w:t>≥95%</w:t>
            </w:r>
          </w:p>
        </w:tc>
        <w:tc>
          <w:tcPr>
            <w:tcW w:w="1276" w:type="dxa"/>
            <w:vAlign w:val="center"/>
          </w:tcPr>
          <w:p w14:paraId="7523BB9F">
            <w:pPr>
              <w:pStyle w:val="12"/>
            </w:pPr>
            <w:r>
              <w:t>学前发展资金管理方法</w:t>
            </w:r>
          </w:p>
        </w:tc>
      </w:tr>
    </w:tbl>
    <w:p w14:paraId="577097C0">
      <w:pPr>
        <w:sectPr>
          <w:pgSz w:w="16840" w:h="11900" w:orient="landscape"/>
          <w:pgMar w:top="1361" w:right="1020" w:bottom="1134" w:left="1020" w:header="720" w:footer="720" w:gutter="0"/>
          <w:cols w:space="720" w:num="1"/>
        </w:sectPr>
      </w:pPr>
    </w:p>
    <w:p w14:paraId="2F32E1B5">
      <w:pPr>
        <w:spacing w:before="0" w:after="0"/>
        <w:ind w:firstLine="560"/>
        <w:jc w:val="left"/>
        <w:outlineLvl w:val="9"/>
      </w:pPr>
      <w:r>
        <w:rPr>
          <w:rFonts w:ascii="方正仿宋_GBK" w:hAnsi="方正仿宋_GBK" w:eastAsia="方正仿宋_GBK" w:cs="方正仿宋_GBK"/>
          <w:b/>
          <w:color w:val="000000"/>
          <w:sz w:val="28"/>
        </w:rPr>
        <w:t>11、冀财教[2025]122号/中央/支持学前教育发展/白家寨幼儿园附属配套设施建设绩效目标表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9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C964A">
            <w:pPr>
              <w:pStyle w:val="11"/>
            </w:pPr>
            <w:r>
              <w:t>单位：万元</w:t>
            </w:r>
          </w:p>
        </w:tc>
      </w:tr>
      <w:tr w14:paraId="4E13E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50677">
            <w:pPr>
              <w:pStyle w:val="10"/>
            </w:pPr>
            <w:r>
              <w:t>项目编码</w:t>
            </w:r>
          </w:p>
        </w:tc>
        <w:tc>
          <w:tcPr>
            <w:tcW w:w="5103" w:type="dxa"/>
            <w:gridSpan w:val="2"/>
            <w:vAlign w:val="center"/>
          </w:tcPr>
          <w:p w14:paraId="6A3B2731">
            <w:pPr>
              <w:pStyle w:val="12"/>
            </w:pPr>
            <w:r>
              <w:t>13052526P008769102042</w:t>
            </w:r>
          </w:p>
        </w:tc>
        <w:tc>
          <w:tcPr>
            <w:tcW w:w="2835" w:type="dxa"/>
            <w:vAlign w:val="center"/>
          </w:tcPr>
          <w:p w14:paraId="147DD1C9">
            <w:pPr>
              <w:pStyle w:val="10"/>
            </w:pPr>
            <w:r>
              <w:t>项目名称</w:t>
            </w:r>
          </w:p>
        </w:tc>
        <w:tc>
          <w:tcPr>
            <w:tcW w:w="6095" w:type="dxa"/>
            <w:gridSpan w:val="3"/>
            <w:vAlign w:val="center"/>
          </w:tcPr>
          <w:p w14:paraId="7B82E2F8">
            <w:pPr>
              <w:pStyle w:val="12"/>
            </w:pPr>
            <w:r>
              <w:t>冀财教[2025]122号/中央/支持学前教育发展/白家寨幼儿园附属配套设施建设</w:t>
            </w:r>
          </w:p>
        </w:tc>
      </w:tr>
      <w:tr w14:paraId="4ECE6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40BA6">
            <w:pPr>
              <w:pStyle w:val="10"/>
            </w:pPr>
            <w:r>
              <w:t>预算规模及资金用途</w:t>
            </w:r>
          </w:p>
        </w:tc>
        <w:tc>
          <w:tcPr>
            <w:tcW w:w="2268" w:type="dxa"/>
            <w:vAlign w:val="center"/>
          </w:tcPr>
          <w:p w14:paraId="774DCED7">
            <w:pPr>
              <w:pStyle w:val="10"/>
            </w:pPr>
            <w:r>
              <w:t>预算数</w:t>
            </w:r>
          </w:p>
        </w:tc>
        <w:tc>
          <w:tcPr>
            <w:tcW w:w="2835" w:type="dxa"/>
            <w:vAlign w:val="center"/>
          </w:tcPr>
          <w:p w14:paraId="09FCDB7D">
            <w:pPr>
              <w:pStyle w:val="12"/>
            </w:pPr>
            <w:r>
              <w:t>27.80</w:t>
            </w:r>
          </w:p>
        </w:tc>
        <w:tc>
          <w:tcPr>
            <w:tcW w:w="2835" w:type="dxa"/>
            <w:vAlign w:val="center"/>
          </w:tcPr>
          <w:p w14:paraId="7532AEE4">
            <w:pPr>
              <w:pStyle w:val="10"/>
            </w:pPr>
            <w:r>
              <w:t>其中：财政    资金</w:t>
            </w:r>
          </w:p>
        </w:tc>
        <w:tc>
          <w:tcPr>
            <w:tcW w:w="2551" w:type="dxa"/>
            <w:vAlign w:val="center"/>
          </w:tcPr>
          <w:p w14:paraId="253D69B4">
            <w:pPr>
              <w:pStyle w:val="12"/>
            </w:pPr>
            <w:r>
              <w:t>27.80</w:t>
            </w:r>
          </w:p>
        </w:tc>
        <w:tc>
          <w:tcPr>
            <w:tcW w:w="2268" w:type="dxa"/>
            <w:vAlign w:val="center"/>
          </w:tcPr>
          <w:p w14:paraId="7F60D561">
            <w:pPr>
              <w:pStyle w:val="10"/>
            </w:pPr>
            <w:r>
              <w:t>其他资金</w:t>
            </w:r>
          </w:p>
        </w:tc>
        <w:tc>
          <w:tcPr>
            <w:tcW w:w="1276" w:type="dxa"/>
            <w:vAlign w:val="center"/>
          </w:tcPr>
          <w:p w14:paraId="2C6E1FF7">
            <w:pPr>
              <w:pStyle w:val="12"/>
            </w:pPr>
            <w:r>
              <w:t xml:space="preserve"> </w:t>
            </w:r>
          </w:p>
        </w:tc>
      </w:tr>
      <w:tr w14:paraId="42EB4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CB3BF"/>
        </w:tc>
        <w:tc>
          <w:tcPr>
            <w:tcW w:w="14033" w:type="dxa"/>
            <w:gridSpan w:val="6"/>
            <w:vAlign w:val="center"/>
          </w:tcPr>
          <w:p w14:paraId="01C32950">
            <w:pPr>
              <w:pStyle w:val="12"/>
            </w:pPr>
            <w:r>
              <w:t>为提升幼儿园办园条件，改善办园环境，提高办学标准，打造群众满意学前教育。</w:t>
            </w:r>
          </w:p>
        </w:tc>
      </w:tr>
      <w:tr w14:paraId="6B6FF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485CA">
            <w:pPr>
              <w:pStyle w:val="10"/>
            </w:pPr>
            <w:r>
              <w:t>资金支出计划（%）</w:t>
            </w:r>
          </w:p>
        </w:tc>
        <w:tc>
          <w:tcPr>
            <w:tcW w:w="5103" w:type="dxa"/>
            <w:gridSpan w:val="2"/>
            <w:vAlign w:val="center"/>
          </w:tcPr>
          <w:p w14:paraId="761FCD5D">
            <w:pPr>
              <w:pStyle w:val="10"/>
            </w:pPr>
            <w:r>
              <w:t>3月底</w:t>
            </w:r>
          </w:p>
        </w:tc>
        <w:tc>
          <w:tcPr>
            <w:tcW w:w="2835" w:type="dxa"/>
            <w:vAlign w:val="center"/>
          </w:tcPr>
          <w:p w14:paraId="585E812A">
            <w:pPr>
              <w:pStyle w:val="10"/>
            </w:pPr>
            <w:r>
              <w:t>6月底</w:t>
            </w:r>
          </w:p>
        </w:tc>
        <w:tc>
          <w:tcPr>
            <w:tcW w:w="2551" w:type="dxa"/>
            <w:vAlign w:val="center"/>
          </w:tcPr>
          <w:p w14:paraId="0FD9A283">
            <w:pPr>
              <w:pStyle w:val="10"/>
            </w:pPr>
            <w:r>
              <w:t>10月底</w:t>
            </w:r>
          </w:p>
        </w:tc>
        <w:tc>
          <w:tcPr>
            <w:tcW w:w="3544" w:type="dxa"/>
            <w:gridSpan w:val="2"/>
            <w:vAlign w:val="center"/>
          </w:tcPr>
          <w:p w14:paraId="20D781AD">
            <w:pPr>
              <w:pStyle w:val="10"/>
            </w:pPr>
            <w:r>
              <w:t>12月底</w:t>
            </w:r>
          </w:p>
        </w:tc>
      </w:tr>
      <w:tr w14:paraId="24D1B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73826"/>
        </w:tc>
        <w:tc>
          <w:tcPr>
            <w:tcW w:w="5103" w:type="dxa"/>
            <w:gridSpan w:val="2"/>
            <w:vAlign w:val="center"/>
          </w:tcPr>
          <w:p w14:paraId="307319FC">
            <w:pPr>
              <w:pStyle w:val="13"/>
            </w:pPr>
            <w:r>
              <w:t xml:space="preserve"> </w:t>
            </w:r>
          </w:p>
        </w:tc>
        <w:tc>
          <w:tcPr>
            <w:tcW w:w="2835" w:type="dxa"/>
            <w:vAlign w:val="center"/>
          </w:tcPr>
          <w:p w14:paraId="62F34469">
            <w:pPr>
              <w:pStyle w:val="13"/>
            </w:pPr>
            <w:r>
              <w:t xml:space="preserve"> </w:t>
            </w:r>
          </w:p>
        </w:tc>
        <w:tc>
          <w:tcPr>
            <w:tcW w:w="2551" w:type="dxa"/>
            <w:vAlign w:val="center"/>
          </w:tcPr>
          <w:p w14:paraId="11A68F90">
            <w:pPr>
              <w:pStyle w:val="13"/>
            </w:pPr>
            <w:r>
              <w:t>100%</w:t>
            </w:r>
          </w:p>
        </w:tc>
        <w:tc>
          <w:tcPr>
            <w:tcW w:w="3544" w:type="dxa"/>
            <w:gridSpan w:val="2"/>
            <w:vAlign w:val="center"/>
          </w:tcPr>
          <w:p w14:paraId="415D248F">
            <w:pPr>
              <w:pStyle w:val="13"/>
            </w:pPr>
            <w:r>
              <w:t>100%</w:t>
            </w:r>
          </w:p>
        </w:tc>
      </w:tr>
      <w:tr w14:paraId="2EB60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EAE70">
            <w:pPr>
              <w:pStyle w:val="10"/>
            </w:pPr>
            <w:r>
              <w:t>绩效目标</w:t>
            </w:r>
          </w:p>
        </w:tc>
        <w:tc>
          <w:tcPr>
            <w:tcW w:w="14033" w:type="dxa"/>
            <w:gridSpan w:val="6"/>
            <w:vAlign w:val="center"/>
          </w:tcPr>
          <w:p w14:paraId="7C8850E5">
            <w:pPr>
              <w:pStyle w:val="12"/>
            </w:pPr>
            <w:r>
              <w:t xml:space="preserve">1.按规定拨付专项资金，资金支付率达到100%。    </w:t>
            </w:r>
          </w:p>
          <w:p w14:paraId="2D3CC5FA">
            <w:pPr>
              <w:pStyle w:val="12"/>
            </w:pPr>
            <w:r>
              <w:t>2.为提升幼儿园办园条件，改善办园环境，提高办学标准，打造群众满意学前教育。</w:t>
            </w:r>
          </w:p>
        </w:tc>
      </w:tr>
    </w:tbl>
    <w:p w14:paraId="05DE9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9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6053B">
            <w:pPr>
              <w:pStyle w:val="10"/>
            </w:pPr>
            <w:r>
              <w:t>一级指标</w:t>
            </w:r>
          </w:p>
        </w:tc>
        <w:tc>
          <w:tcPr>
            <w:tcW w:w="2268" w:type="dxa"/>
            <w:vAlign w:val="center"/>
          </w:tcPr>
          <w:p w14:paraId="254A0A38">
            <w:pPr>
              <w:pStyle w:val="10"/>
            </w:pPr>
            <w:r>
              <w:t>二级指标</w:t>
            </w:r>
          </w:p>
        </w:tc>
        <w:tc>
          <w:tcPr>
            <w:tcW w:w="2835" w:type="dxa"/>
            <w:vAlign w:val="center"/>
          </w:tcPr>
          <w:p w14:paraId="48E40A95">
            <w:pPr>
              <w:pStyle w:val="10"/>
            </w:pPr>
            <w:r>
              <w:t>三级指标</w:t>
            </w:r>
          </w:p>
        </w:tc>
        <w:tc>
          <w:tcPr>
            <w:tcW w:w="5386" w:type="dxa"/>
            <w:vAlign w:val="center"/>
          </w:tcPr>
          <w:p w14:paraId="3F01DDF3">
            <w:pPr>
              <w:pStyle w:val="10"/>
            </w:pPr>
            <w:r>
              <w:t>绩效指标描述</w:t>
            </w:r>
          </w:p>
        </w:tc>
        <w:tc>
          <w:tcPr>
            <w:tcW w:w="2268" w:type="dxa"/>
            <w:vAlign w:val="center"/>
          </w:tcPr>
          <w:p w14:paraId="6C3B5FFA">
            <w:pPr>
              <w:pStyle w:val="10"/>
            </w:pPr>
            <w:r>
              <w:t>指标值</w:t>
            </w:r>
          </w:p>
        </w:tc>
        <w:tc>
          <w:tcPr>
            <w:tcW w:w="1276" w:type="dxa"/>
            <w:vAlign w:val="center"/>
          </w:tcPr>
          <w:p w14:paraId="2346FCBE">
            <w:pPr>
              <w:pStyle w:val="10"/>
            </w:pPr>
            <w:r>
              <w:t>指标值确定依据</w:t>
            </w:r>
          </w:p>
        </w:tc>
      </w:tr>
      <w:tr w14:paraId="51F8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2D5CD">
            <w:pPr>
              <w:pStyle w:val="13"/>
            </w:pPr>
            <w:r>
              <w:t>产出指标</w:t>
            </w:r>
          </w:p>
        </w:tc>
        <w:tc>
          <w:tcPr>
            <w:tcW w:w="2268" w:type="dxa"/>
            <w:vAlign w:val="center"/>
          </w:tcPr>
          <w:p w14:paraId="44762846">
            <w:pPr>
              <w:pStyle w:val="12"/>
            </w:pPr>
            <w:r>
              <w:t>数量指标</w:t>
            </w:r>
          </w:p>
        </w:tc>
        <w:tc>
          <w:tcPr>
            <w:tcW w:w="2835" w:type="dxa"/>
            <w:vAlign w:val="center"/>
          </w:tcPr>
          <w:p w14:paraId="4532C187">
            <w:pPr>
              <w:pStyle w:val="12"/>
            </w:pPr>
            <w:r>
              <w:t>白家寨幼儿园附属配套设施建设</w:t>
            </w:r>
          </w:p>
        </w:tc>
        <w:tc>
          <w:tcPr>
            <w:tcW w:w="5386" w:type="dxa"/>
            <w:vAlign w:val="center"/>
          </w:tcPr>
          <w:p w14:paraId="36FCE99B">
            <w:pPr>
              <w:pStyle w:val="12"/>
            </w:pPr>
            <w:r>
              <w:t>修缮幼儿园大门口、门卫室、不锈钢伸缩大门、甬路及地面硬化（含垫土）、外部粉刷、绘图美化、建花池、铁艺门、铺设悬浮地板等维修</w:t>
            </w:r>
          </w:p>
        </w:tc>
        <w:tc>
          <w:tcPr>
            <w:tcW w:w="2268" w:type="dxa"/>
            <w:vAlign w:val="center"/>
          </w:tcPr>
          <w:p w14:paraId="4C8CD040">
            <w:pPr>
              <w:pStyle w:val="12"/>
            </w:pPr>
            <w:r>
              <w:t>1项</w:t>
            </w:r>
          </w:p>
        </w:tc>
        <w:tc>
          <w:tcPr>
            <w:tcW w:w="1276" w:type="dxa"/>
            <w:vAlign w:val="center"/>
          </w:tcPr>
          <w:p w14:paraId="13105052">
            <w:pPr>
              <w:pStyle w:val="12"/>
            </w:pPr>
            <w:r>
              <w:t>项目规划</w:t>
            </w:r>
          </w:p>
        </w:tc>
      </w:tr>
      <w:tr w14:paraId="1D59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4AAA4"/>
        </w:tc>
        <w:tc>
          <w:tcPr>
            <w:tcW w:w="2268" w:type="dxa"/>
            <w:vAlign w:val="center"/>
          </w:tcPr>
          <w:p w14:paraId="62F03F2A">
            <w:pPr>
              <w:pStyle w:val="12"/>
            </w:pPr>
            <w:r>
              <w:t>质量指标</w:t>
            </w:r>
          </w:p>
        </w:tc>
        <w:tc>
          <w:tcPr>
            <w:tcW w:w="2835" w:type="dxa"/>
            <w:vAlign w:val="center"/>
          </w:tcPr>
          <w:p w14:paraId="7EA9AC62">
            <w:pPr>
              <w:pStyle w:val="12"/>
            </w:pPr>
            <w:r>
              <w:t>项目竣工验收合格率</w:t>
            </w:r>
          </w:p>
        </w:tc>
        <w:tc>
          <w:tcPr>
            <w:tcW w:w="5386" w:type="dxa"/>
            <w:vAlign w:val="center"/>
          </w:tcPr>
          <w:p w14:paraId="3F5E3D42">
            <w:pPr>
              <w:pStyle w:val="12"/>
            </w:pPr>
            <w:r>
              <w:t>项目改造质量达标率</w:t>
            </w:r>
          </w:p>
        </w:tc>
        <w:tc>
          <w:tcPr>
            <w:tcW w:w="2268" w:type="dxa"/>
            <w:vAlign w:val="center"/>
          </w:tcPr>
          <w:p w14:paraId="768A0AE5">
            <w:pPr>
              <w:pStyle w:val="12"/>
            </w:pPr>
            <w:r>
              <w:t>100%</w:t>
            </w:r>
          </w:p>
        </w:tc>
        <w:tc>
          <w:tcPr>
            <w:tcW w:w="1276" w:type="dxa"/>
            <w:vAlign w:val="center"/>
          </w:tcPr>
          <w:p w14:paraId="2F022D72">
            <w:pPr>
              <w:pStyle w:val="12"/>
            </w:pPr>
            <w:r>
              <w:t>项目规划</w:t>
            </w:r>
          </w:p>
        </w:tc>
      </w:tr>
      <w:tr w14:paraId="5A3E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6D4DD"/>
        </w:tc>
        <w:tc>
          <w:tcPr>
            <w:tcW w:w="2268" w:type="dxa"/>
            <w:vAlign w:val="center"/>
          </w:tcPr>
          <w:p w14:paraId="563367FF">
            <w:pPr>
              <w:pStyle w:val="12"/>
            </w:pPr>
            <w:r>
              <w:t>时效指标</w:t>
            </w:r>
          </w:p>
        </w:tc>
        <w:tc>
          <w:tcPr>
            <w:tcW w:w="2835" w:type="dxa"/>
            <w:vAlign w:val="center"/>
          </w:tcPr>
          <w:p w14:paraId="673D4D93">
            <w:pPr>
              <w:pStyle w:val="12"/>
            </w:pPr>
            <w:r>
              <w:t>项目实际成本</w:t>
            </w:r>
          </w:p>
        </w:tc>
        <w:tc>
          <w:tcPr>
            <w:tcW w:w="5386" w:type="dxa"/>
            <w:vAlign w:val="center"/>
          </w:tcPr>
          <w:p w14:paraId="6CBCAD1E">
            <w:pPr>
              <w:pStyle w:val="12"/>
            </w:pPr>
            <w:r>
              <w:t>工程实际成本</w:t>
            </w:r>
          </w:p>
        </w:tc>
        <w:tc>
          <w:tcPr>
            <w:tcW w:w="2268" w:type="dxa"/>
            <w:vAlign w:val="center"/>
          </w:tcPr>
          <w:p w14:paraId="381DBDB9">
            <w:pPr>
              <w:pStyle w:val="12"/>
            </w:pPr>
            <w:r>
              <w:t>278000元</w:t>
            </w:r>
          </w:p>
        </w:tc>
        <w:tc>
          <w:tcPr>
            <w:tcW w:w="1276" w:type="dxa"/>
            <w:vAlign w:val="center"/>
          </w:tcPr>
          <w:p w14:paraId="00C5B0E6">
            <w:pPr>
              <w:pStyle w:val="12"/>
            </w:pPr>
            <w:r>
              <w:t>项目规划</w:t>
            </w:r>
          </w:p>
        </w:tc>
      </w:tr>
      <w:tr w14:paraId="75785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D72E"/>
        </w:tc>
        <w:tc>
          <w:tcPr>
            <w:tcW w:w="2268" w:type="dxa"/>
            <w:vAlign w:val="center"/>
          </w:tcPr>
          <w:p w14:paraId="421FB37A">
            <w:pPr>
              <w:pStyle w:val="12"/>
            </w:pPr>
            <w:r>
              <w:t>成本指标</w:t>
            </w:r>
          </w:p>
        </w:tc>
        <w:tc>
          <w:tcPr>
            <w:tcW w:w="2835" w:type="dxa"/>
            <w:vAlign w:val="center"/>
          </w:tcPr>
          <w:p w14:paraId="5B1CCD25">
            <w:pPr>
              <w:pStyle w:val="12"/>
            </w:pPr>
            <w:r>
              <w:t>项目竣工验收合格率</w:t>
            </w:r>
          </w:p>
        </w:tc>
        <w:tc>
          <w:tcPr>
            <w:tcW w:w="5386" w:type="dxa"/>
            <w:vAlign w:val="center"/>
          </w:tcPr>
          <w:p w14:paraId="471FB595">
            <w:pPr>
              <w:pStyle w:val="12"/>
            </w:pPr>
            <w:r>
              <w:t>项目改造质量达标率</w:t>
            </w:r>
          </w:p>
        </w:tc>
        <w:tc>
          <w:tcPr>
            <w:tcW w:w="2268" w:type="dxa"/>
            <w:vAlign w:val="center"/>
          </w:tcPr>
          <w:p w14:paraId="4F6ABA76">
            <w:pPr>
              <w:pStyle w:val="12"/>
            </w:pPr>
            <w:r>
              <w:t>100%</w:t>
            </w:r>
          </w:p>
        </w:tc>
        <w:tc>
          <w:tcPr>
            <w:tcW w:w="1276" w:type="dxa"/>
            <w:vAlign w:val="center"/>
          </w:tcPr>
          <w:p w14:paraId="462247C2">
            <w:pPr>
              <w:pStyle w:val="12"/>
            </w:pPr>
            <w:r>
              <w:t>项目规划</w:t>
            </w:r>
          </w:p>
        </w:tc>
      </w:tr>
      <w:tr w14:paraId="6F13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B558B">
            <w:pPr>
              <w:pStyle w:val="13"/>
            </w:pPr>
            <w:r>
              <w:t>效益指标</w:t>
            </w:r>
          </w:p>
        </w:tc>
        <w:tc>
          <w:tcPr>
            <w:tcW w:w="2268" w:type="dxa"/>
            <w:vAlign w:val="center"/>
          </w:tcPr>
          <w:p w14:paraId="2BEFB0B1">
            <w:pPr>
              <w:pStyle w:val="12"/>
            </w:pPr>
            <w:r>
              <w:t>可持续影响指标</w:t>
            </w:r>
          </w:p>
        </w:tc>
        <w:tc>
          <w:tcPr>
            <w:tcW w:w="2835" w:type="dxa"/>
            <w:vAlign w:val="center"/>
          </w:tcPr>
          <w:p w14:paraId="7F1F6A70">
            <w:pPr>
              <w:pStyle w:val="12"/>
            </w:pPr>
            <w:r>
              <w:t>工程使用年限</w:t>
            </w:r>
          </w:p>
        </w:tc>
        <w:tc>
          <w:tcPr>
            <w:tcW w:w="5386" w:type="dxa"/>
            <w:vAlign w:val="center"/>
          </w:tcPr>
          <w:p w14:paraId="12449631">
            <w:pPr>
              <w:pStyle w:val="12"/>
            </w:pPr>
            <w:r>
              <w:t>项目实施，有效改善教学环境</w:t>
            </w:r>
          </w:p>
        </w:tc>
        <w:tc>
          <w:tcPr>
            <w:tcW w:w="2268" w:type="dxa"/>
            <w:vAlign w:val="center"/>
          </w:tcPr>
          <w:p w14:paraId="53F6C78F">
            <w:pPr>
              <w:pStyle w:val="12"/>
            </w:pPr>
            <w:r>
              <w:t>3年</w:t>
            </w:r>
          </w:p>
        </w:tc>
        <w:tc>
          <w:tcPr>
            <w:tcW w:w="1276" w:type="dxa"/>
            <w:vAlign w:val="center"/>
          </w:tcPr>
          <w:p w14:paraId="6BFC6EC6">
            <w:pPr>
              <w:pStyle w:val="12"/>
            </w:pPr>
            <w:r>
              <w:t>项目规划</w:t>
            </w:r>
          </w:p>
        </w:tc>
      </w:tr>
      <w:tr w14:paraId="4128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AA61C">
            <w:pPr>
              <w:pStyle w:val="13"/>
            </w:pPr>
            <w:r>
              <w:t>满意度指标</w:t>
            </w:r>
          </w:p>
        </w:tc>
        <w:tc>
          <w:tcPr>
            <w:tcW w:w="2268" w:type="dxa"/>
            <w:vAlign w:val="center"/>
          </w:tcPr>
          <w:p w14:paraId="2C3565E9">
            <w:pPr>
              <w:pStyle w:val="12"/>
            </w:pPr>
            <w:r>
              <w:t>服务对象满意度指标</w:t>
            </w:r>
          </w:p>
        </w:tc>
        <w:tc>
          <w:tcPr>
            <w:tcW w:w="2835" w:type="dxa"/>
            <w:vAlign w:val="center"/>
          </w:tcPr>
          <w:p w14:paraId="3ABD3265">
            <w:pPr>
              <w:pStyle w:val="12"/>
            </w:pPr>
            <w:r>
              <w:t>受益学生家长及调查满意度</w:t>
            </w:r>
          </w:p>
        </w:tc>
        <w:tc>
          <w:tcPr>
            <w:tcW w:w="5386" w:type="dxa"/>
            <w:vAlign w:val="center"/>
          </w:tcPr>
          <w:p w14:paraId="28036FD5">
            <w:pPr>
              <w:pStyle w:val="12"/>
            </w:pPr>
            <w:r>
              <w:t>学生、教师及家长对学校工作满意度情况</w:t>
            </w:r>
          </w:p>
        </w:tc>
        <w:tc>
          <w:tcPr>
            <w:tcW w:w="2268" w:type="dxa"/>
            <w:vAlign w:val="center"/>
          </w:tcPr>
          <w:p w14:paraId="5371F260">
            <w:pPr>
              <w:pStyle w:val="12"/>
            </w:pPr>
            <w:r>
              <w:t>≥95%</w:t>
            </w:r>
          </w:p>
        </w:tc>
        <w:tc>
          <w:tcPr>
            <w:tcW w:w="1276" w:type="dxa"/>
            <w:vAlign w:val="center"/>
          </w:tcPr>
          <w:p w14:paraId="7789CC1E">
            <w:pPr>
              <w:pStyle w:val="12"/>
            </w:pPr>
            <w:r>
              <w:t>调查问卷</w:t>
            </w:r>
          </w:p>
        </w:tc>
      </w:tr>
    </w:tbl>
    <w:p w14:paraId="15CCC2CD">
      <w:pPr>
        <w:sectPr>
          <w:pgSz w:w="16840" w:h="11900" w:orient="landscape"/>
          <w:pgMar w:top="1361" w:right="1020" w:bottom="1134" w:left="1020" w:header="720" w:footer="720" w:gutter="0"/>
          <w:cols w:space="720" w:num="1"/>
        </w:sectPr>
      </w:pPr>
    </w:p>
    <w:p w14:paraId="44910AE3">
      <w:pPr>
        <w:spacing w:before="0" w:after="0"/>
        <w:ind w:firstLine="560"/>
        <w:jc w:val="left"/>
        <w:outlineLvl w:val="9"/>
      </w:pPr>
      <w:r>
        <w:rPr>
          <w:rFonts w:ascii="方正仿宋_GBK" w:hAnsi="方正仿宋_GBK" w:eastAsia="方正仿宋_GBK" w:cs="方正仿宋_GBK"/>
          <w:b/>
          <w:color w:val="000000"/>
          <w:sz w:val="28"/>
        </w:rPr>
        <w:t>12、冀财教[2025]122号/中央/支持学前教育发展/莲子镇校区幼儿园设备购置绩效目标表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33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5E2D6">
            <w:pPr>
              <w:pStyle w:val="11"/>
            </w:pPr>
            <w:r>
              <w:t>单位：万元</w:t>
            </w:r>
          </w:p>
        </w:tc>
      </w:tr>
      <w:tr w14:paraId="126F4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E1154">
            <w:pPr>
              <w:pStyle w:val="10"/>
            </w:pPr>
            <w:r>
              <w:t>项目编码</w:t>
            </w:r>
          </w:p>
        </w:tc>
        <w:tc>
          <w:tcPr>
            <w:tcW w:w="5103" w:type="dxa"/>
            <w:gridSpan w:val="2"/>
            <w:vAlign w:val="center"/>
          </w:tcPr>
          <w:p w14:paraId="7C591296">
            <w:pPr>
              <w:pStyle w:val="12"/>
            </w:pPr>
            <w:r>
              <w:t>13052526P00876910187J</w:t>
            </w:r>
          </w:p>
        </w:tc>
        <w:tc>
          <w:tcPr>
            <w:tcW w:w="2835" w:type="dxa"/>
            <w:vAlign w:val="center"/>
          </w:tcPr>
          <w:p w14:paraId="4A8DDADA">
            <w:pPr>
              <w:pStyle w:val="10"/>
            </w:pPr>
            <w:r>
              <w:t>项目名称</w:t>
            </w:r>
          </w:p>
        </w:tc>
        <w:tc>
          <w:tcPr>
            <w:tcW w:w="6095" w:type="dxa"/>
            <w:gridSpan w:val="3"/>
            <w:vAlign w:val="center"/>
          </w:tcPr>
          <w:p w14:paraId="022BD78B">
            <w:pPr>
              <w:pStyle w:val="12"/>
            </w:pPr>
            <w:r>
              <w:t>冀财教[2025]122号/中央/支持学前教育发展/莲子镇校区幼儿园设备购置</w:t>
            </w:r>
          </w:p>
        </w:tc>
      </w:tr>
      <w:tr w14:paraId="2B28E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A1A57">
            <w:pPr>
              <w:pStyle w:val="10"/>
            </w:pPr>
            <w:r>
              <w:t>预算规模及资金用途</w:t>
            </w:r>
          </w:p>
        </w:tc>
        <w:tc>
          <w:tcPr>
            <w:tcW w:w="2268" w:type="dxa"/>
            <w:vAlign w:val="center"/>
          </w:tcPr>
          <w:p w14:paraId="1BEDDB7D">
            <w:pPr>
              <w:pStyle w:val="10"/>
            </w:pPr>
            <w:r>
              <w:t>预算数</w:t>
            </w:r>
          </w:p>
        </w:tc>
        <w:tc>
          <w:tcPr>
            <w:tcW w:w="2835" w:type="dxa"/>
            <w:vAlign w:val="center"/>
          </w:tcPr>
          <w:p w14:paraId="28ADBF2F">
            <w:pPr>
              <w:pStyle w:val="12"/>
            </w:pPr>
            <w:r>
              <w:t>63.78</w:t>
            </w:r>
          </w:p>
        </w:tc>
        <w:tc>
          <w:tcPr>
            <w:tcW w:w="2835" w:type="dxa"/>
            <w:vAlign w:val="center"/>
          </w:tcPr>
          <w:p w14:paraId="03C70F65">
            <w:pPr>
              <w:pStyle w:val="10"/>
            </w:pPr>
            <w:r>
              <w:t>其中：财政    资金</w:t>
            </w:r>
          </w:p>
        </w:tc>
        <w:tc>
          <w:tcPr>
            <w:tcW w:w="2551" w:type="dxa"/>
            <w:vAlign w:val="center"/>
          </w:tcPr>
          <w:p w14:paraId="40BB100C">
            <w:pPr>
              <w:pStyle w:val="12"/>
            </w:pPr>
            <w:r>
              <w:t>63.78</w:t>
            </w:r>
          </w:p>
        </w:tc>
        <w:tc>
          <w:tcPr>
            <w:tcW w:w="2268" w:type="dxa"/>
            <w:vAlign w:val="center"/>
          </w:tcPr>
          <w:p w14:paraId="13AA4805">
            <w:pPr>
              <w:pStyle w:val="10"/>
            </w:pPr>
            <w:r>
              <w:t>其他资金</w:t>
            </w:r>
          </w:p>
        </w:tc>
        <w:tc>
          <w:tcPr>
            <w:tcW w:w="1276" w:type="dxa"/>
            <w:vAlign w:val="center"/>
          </w:tcPr>
          <w:p w14:paraId="2C5DCED5">
            <w:pPr>
              <w:pStyle w:val="12"/>
            </w:pPr>
            <w:r>
              <w:t xml:space="preserve"> </w:t>
            </w:r>
          </w:p>
        </w:tc>
      </w:tr>
      <w:tr w14:paraId="41889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86645"/>
        </w:tc>
        <w:tc>
          <w:tcPr>
            <w:tcW w:w="14033" w:type="dxa"/>
            <w:gridSpan w:val="6"/>
            <w:vAlign w:val="center"/>
          </w:tcPr>
          <w:p w14:paraId="5248DF83">
            <w:pPr>
              <w:pStyle w:val="12"/>
            </w:pPr>
            <w:r>
              <w:t>为提升幼儿园办园条件，改善办园环境，提高办学标准，打造群众满意学前教育。</w:t>
            </w:r>
          </w:p>
        </w:tc>
      </w:tr>
      <w:tr w14:paraId="3763F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7F6A9">
            <w:pPr>
              <w:pStyle w:val="10"/>
            </w:pPr>
            <w:r>
              <w:t>资金支出计划（%）</w:t>
            </w:r>
          </w:p>
        </w:tc>
        <w:tc>
          <w:tcPr>
            <w:tcW w:w="5103" w:type="dxa"/>
            <w:gridSpan w:val="2"/>
            <w:vAlign w:val="center"/>
          </w:tcPr>
          <w:p w14:paraId="2A6BA689">
            <w:pPr>
              <w:pStyle w:val="10"/>
            </w:pPr>
            <w:r>
              <w:t>3月底</w:t>
            </w:r>
          </w:p>
        </w:tc>
        <w:tc>
          <w:tcPr>
            <w:tcW w:w="2835" w:type="dxa"/>
            <w:vAlign w:val="center"/>
          </w:tcPr>
          <w:p w14:paraId="6EBE3687">
            <w:pPr>
              <w:pStyle w:val="10"/>
            </w:pPr>
            <w:r>
              <w:t>6月底</w:t>
            </w:r>
          </w:p>
        </w:tc>
        <w:tc>
          <w:tcPr>
            <w:tcW w:w="2551" w:type="dxa"/>
            <w:vAlign w:val="center"/>
          </w:tcPr>
          <w:p w14:paraId="03245895">
            <w:pPr>
              <w:pStyle w:val="10"/>
            </w:pPr>
            <w:r>
              <w:t>10月底</w:t>
            </w:r>
          </w:p>
        </w:tc>
        <w:tc>
          <w:tcPr>
            <w:tcW w:w="3544" w:type="dxa"/>
            <w:gridSpan w:val="2"/>
            <w:vAlign w:val="center"/>
          </w:tcPr>
          <w:p w14:paraId="35AC8126">
            <w:pPr>
              <w:pStyle w:val="10"/>
            </w:pPr>
            <w:r>
              <w:t>12月底</w:t>
            </w:r>
          </w:p>
        </w:tc>
      </w:tr>
      <w:tr w14:paraId="135A9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337D0"/>
        </w:tc>
        <w:tc>
          <w:tcPr>
            <w:tcW w:w="5103" w:type="dxa"/>
            <w:gridSpan w:val="2"/>
            <w:vAlign w:val="center"/>
          </w:tcPr>
          <w:p w14:paraId="351AD4E7">
            <w:pPr>
              <w:pStyle w:val="13"/>
            </w:pPr>
            <w:r>
              <w:t xml:space="preserve"> </w:t>
            </w:r>
          </w:p>
        </w:tc>
        <w:tc>
          <w:tcPr>
            <w:tcW w:w="2835" w:type="dxa"/>
            <w:vAlign w:val="center"/>
          </w:tcPr>
          <w:p w14:paraId="7B510F83">
            <w:pPr>
              <w:pStyle w:val="13"/>
            </w:pPr>
            <w:r>
              <w:t>100%</w:t>
            </w:r>
          </w:p>
        </w:tc>
        <w:tc>
          <w:tcPr>
            <w:tcW w:w="2551" w:type="dxa"/>
            <w:vAlign w:val="center"/>
          </w:tcPr>
          <w:p w14:paraId="57C031CF">
            <w:pPr>
              <w:pStyle w:val="13"/>
            </w:pPr>
            <w:r>
              <w:t>100%</w:t>
            </w:r>
          </w:p>
        </w:tc>
        <w:tc>
          <w:tcPr>
            <w:tcW w:w="3544" w:type="dxa"/>
            <w:gridSpan w:val="2"/>
            <w:vAlign w:val="center"/>
          </w:tcPr>
          <w:p w14:paraId="43083EE4">
            <w:pPr>
              <w:pStyle w:val="13"/>
            </w:pPr>
            <w:r>
              <w:t>100%</w:t>
            </w:r>
          </w:p>
        </w:tc>
      </w:tr>
      <w:tr w14:paraId="54DA6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975AA">
            <w:pPr>
              <w:pStyle w:val="10"/>
            </w:pPr>
            <w:r>
              <w:t>绩效目标</w:t>
            </w:r>
          </w:p>
        </w:tc>
        <w:tc>
          <w:tcPr>
            <w:tcW w:w="14033" w:type="dxa"/>
            <w:gridSpan w:val="6"/>
            <w:vAlign w:val="center"/>
          </w:tcPr>
          <w:p w14:paraId="49E3E454">
            <w:pPr>
              <w:pStyle w:val="12"/>
            </w:pPr>
            <w:r>
              <w:t xml:space="preserve">1.按规定拨付专项资金，资金支付率达到100%。    </w:t>
            </w:r>
          </w:p>
          <w:p w14:paraId="75F9E805">
            <w:pPr>
              <w:pStyle w:val="12"/>
            </w:pPr>
            <w:r>
              <w:t>2.为提升幼儿园办园条件，改善办园环境，提高办学标准，打造群众满意学前教育。</w:t>
            </w:r>
          </w:p>
        </w:tc>
      </w:tr>
    </w:tbl>
    <w:p w14:paraId="3B752C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68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BC2D1">
            <w:pPr>
              <w:pStyle w:val="10"/>
            </w:pPr>
            <w:r>
              <w:t>一级指标</w:t>
            </w:r>
          </w:p>
        </w:tc>
        <w:tc>
          <w:tcPr>
            <w:tcW w:w="2268" w:type="dxa"/>
            <w:vAlign w:val="center"/>
          </w:tcPr>
          <w:p w14:paraId="3434E3D2">
            <w:pPr>
              <w:pStyle w:val="10"/>
            </w:pPr>
            <w:r>
              <w:t>二级指标</w:t>
            </w:r>
          </w:p>
        </w:tc>
        <w:tc>
          <w:tcPr>
            <w:tcW w:w="2835" w:type="dxa"/>
            <w:vAlign w:val="center"/>
          </w:tcPr>
          <w:p w14:paraId="0CA58F39">
            <w:pPr>
              <w:pStyle w:val="10"/>
            </w:pPr>
            <w:r>
              <w:t>三级指标</w:t>
            </w:r>
          </w:p>
        </w:tc>
        <w:tc>
          <w:tcPr>
            <w:tcW w:w="5386" w:type="dxa"/>
            <w:vAlign w:val="center"/>
          </w:tcPr>
          <w:p w14:paraId="740EFED7">
            <w:pPr>
              <w:pStyle w:val="10"/>
            </w:pPr>
            <w:r>
              <w:t>绩效指标描述</w:t>
            </w:r>
          </w:p>
        </w:tc>
        <w:tc>
          <w:tcPr>
            <w:tcW w:w="2268" w:type="dxa"/>
            <w:vAlign w:val="center"/>
          </w:tcPr>
          <w:p w14:paraId="33662BE9">
            <w:pPr>
              <w:pStyle w:val="10"/>
            </w:pPr>
            <w:r>
              <w:t>指标值</w:t>
            </w:r>
          </w:p>
        </w:tc>
        <w:tc>
          <w:tcPr>
            <w:tcW w:w="1276" w:type="dxa"/>
            <w:vAlign w:val="center"/>
          </w:tcPr>
          <w:p w14:paraId="63C2984D">
            <w:pPr>
              <w:pStyle w:val="10"/>
            </w:pPr>
            <w:r>
              <w:t>指标值确定依据</w:t>
            </w:r>
          </w:p>
        </w:tc>
      </w:tr>
      <w:tr w14:paraId="1D19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4AA50">
            <w:pPr>
              <w:pStyle w:val="13"/>
            </w:pPr>
            <w:r>
              <w:t>产出指标</w:t>
            </w:r>
          </w:p>
        </w:tc>
        <w:tc>
          <w:tcPr>
            <w:tcW w:w="2268" w:type="dxa"/>
            <w:vAlign w:val="center"/>
          </w:tcPr>
          <w:p w14:paraId="6B9818CD">
            <w:pPr>
              <w:pStyle w:val="12"/>
            </w:pPr>
            <w:r>
              <w:t>数量指标</w:t>
            </w:r>
          </w:p>
        </w:tc>
        <w:tc>
          <w:tcPr>
            <w:tcW w:w="2835" w:type="dxa"/>
            <w:vAlign w:val="center"/>
          </w:tcPr>
          <w:p w14:paraId="417B1F7A">
            <w:pPr>
              <w:pStyle w:val="12"/>
            </w:pPr>
            <w:r>
              <w:t>莲子镇校区幼儿园设备购置</w:t>
            </w:r>
          </w:p>
        </w:tc>
        <w:tc>
          <w:tcPr>
            <w:tcW w:w="5386" w:type="dxa"/>
            <w:vAlign w:val="center"/>
          </w:tcPr>
          <w:p w14:paraId="596670F9">
            <w:pPr>
              <w:pStyle w:val="12"/>
            </w:pPr>
            <w:r>
              <w:t>白家寨幼儿园、西范幼儿园、滏河湾幼儿园购置一体机等一批</w:t>
            </w:r>
          </w:p>
        </w:tc>
        <w:tc>
          <w:tcPr>
            <w:tcW w:w="2268" w:type="dxa"/>
            <w:vAlign w:val="center"/>
          </w:tcPr>
          <w:p w14:paraId="108D3DD7">
            <w:pPr>
              <w:pStyle w:val="12"/>
            </w:pPr>
            <w:r>
              <w:t>1批</w:t>
            </w:r>
          </w:p>
        </w:tc>
        <w:tc>
          <w:tcPr>
            <w:tcW w:w="1276" w:type="dxa"/>
            <w:vAlign w:val="center"/>
          </w:tcPr>
          <w:p w14:paraId="341F9490">
            <w:pPr>
              <w:pStyle w:val="12"/>
            </w:pPr>
            <w:r>
              <w:t>项目规划</w:t>
            </w:r>
          </w:p>
        </w:tc>
      </w:tr>
      <w:tr w14:paraId="61C1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AD02E"/>
        </w:tc>
        <w:tc>
          <w:tcPr>
            <w:tcW w:w="2268" w:type="dxa"/>
            <w:vAlign w:val="center"/>
          </w:tcPr>
          <w:p w14:paraId="207FE0BB">
            <w:pPr>
              <w:pStyle w:val="12"/>
            </w:pPr>
            <w:r>
              <w:t>质量指标</w:t>
            </w:r>
          </w:p>
        </w:tc>
        <w:tc>
          <w:tcPr>
            <w:tcW w:w="2835" w:type="dxa"/>
            <w:vAlign w:val="center"/>
          </w:tcPr>
          <w:p w14:paraId="68688260">
            <w:pPr>
              <w:pStyle w:val="12"/>
            </w:pPr>
            <w:r>
              <w:t>项目竣工验收合格率</w:t>
            </w:r>
          </w:p>
        </w:tc>
        <w:tc>
          <w:tcPr>
            <w:tcW w:w="5386" w:type="dxa"/>
            <w:vAlign w:val="center"/>
          </w:tcPr>
          <w:p w14:paraId="566F7223">
            <w:pPr>
              <w:pStyle w:val="12"/>
            </w:pPr>
            <w:r>
              <w:t>项目改造质量达标率</w:t>
            </w:r>
          </w:p>
        </w:tc>
        <w:tc>
          <w:tcPr>
            <w:tcW w:w="2268" w:type="dxa"/>
            <w:vAlign w:val="center"/>
          </w:tcPr>
          <w:p w14:paraId="0A3F76DB">
            <w:pPr>
              <w:pStyle w:val="12"/>
            </w:pPr>
            <w:r>
              <w:t>100%</w:t>
            </w:r>
          </w:p>
        </w:tc>
        <w:tc>
          <w:tcPr>
            <w:tcW w:w="1276" w:type="dxa"/>
            <w:vAlign w:val="center"/>
          </w:tcPr>
          <w:p w14:paraId="75B571DA">
            <w:pPr>
              <w:pStyle w:val="12"/>
            </w:pPr>
            <w:r>
              <w:t>项目规划</w:t>
            </w:r>
          </w:p>
        </w:tc>
      </w:tr>
      <w:tr w14:paraId="0F92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4F01C"/>
        </w:tc>
        <w:tc>
          <w:tcPr>
            <w:tcW w:w="2268" w:type="dxa"/>
            <w:vAlign w:val="center"/>
          </w:tcPr>
          <w:p w14:paraId="35AE8BDF">
            <w:pPr>
              <w:pStyle w:val="12"/>
            </w:pPr>
            <w:r>
              <w:t>时效指标</w:t>
            </w:r>
          </w:p>
        </w:tc>
        <w:tc>
          <w:tcPr>
            <w:tcW w:w="2835" w:type="dxa"/>
            <w:vAlign w:val="center"/>
          </w:tcPr>
          <w:p w14:paraId="206AA180">
            <w:pPr>
              <w:pStyle w:val="12"/>
            </w:pPr>
            <w:r>
              <w:t>项目实际成本</w:t>
            </w:r>
          </w:p>
        </w:tc>
        <w:tc>
          <w:tcPr>
            <w:tcW w:w="5386" w:type="dxa"/>
            <w:vAlign w:val="center"/>
          </w:tcPr>
          <w:p w14:paraId="53D99615">
            <w:pPr>
              <w:pStyle w:val="12"/>
            </w:pPr>
            <w:r>
              <w:t>购置实际成本</w:t>
            </w:r>
          </w:p>
        </w:tc>
        <w:tc>
          <w:tcPr>
            <w:tcW w:w="2268" w:type="dxa"/>
            <w:vAlign w:val="center"/>
          </w:tcPr>
          <w:p w14:paraId="3F58E152">
            <w:pPr>
              <w:pStyle w:val="12"/>
            </w:pPr>
            <w:r>
              <w:t>637800元</w:t>
            </w:r>
          </w:p>
        </w:tc>
        <w:tc>
          <w:tcPr>
            <w:tcW w:w="1276" w:type="dxa"/>
            <w:vAlign w:val="center"/>
          </w:tcPr>
          <w:p w14:paraId="426D2FEE">
            <w:pPr>
              <w:pStyle w:val="12"/>
            </w:pPr>
            <w:r>
              <w:t>项目规划</w:t>
            </w:r>
          </w:p>
        </w:tc>
      </w:tr>
      <w:tr w14:paraId="280F7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91654"/>
        </w:tc>
        <w:tc>
          <w:tcPr>
            <w:tcW w:w="2268" w:type="dxa"/>
            <w:vAlign w:val="center"/>
          </w:tcPr>
          <w:p w14:paraId="667A2E61">
            <w:pPr>
              <w:pStyle w:val="12"/>
            </w:pPr>
            <w:r>
              <w:t>成本指标</w:t>
            </w:r>
          </w:p>
        </w:tc>
        <w:tc>
          <w:tcPr>
            <w:tcW w:w="2835" w:type="dxa"/>
            <w:vAlign w:val="center"/>
          </w:tcPr>
          <w:p w14:paraId="60A38D38">
            <w:pPr>
              <w:pStyle w:val="12"/>
            </w:pPr>
            <w:r>
              <w:t>项目竣工验收合格率</w:t>
            </w:r>
          </w:p>
        </w:tc>
        <w:tc>
          <w:tcPr>
            <w:tcW w:w="5386" w:type="dxa"/>
            <w:vAlign w:val="center"/>
          </w:tcPr>
          <w:p w14:paraId="1BF62CDC">
            <w:pPr>
              <w:pStyle w:val="12"/>
            </w:pPr>
            <w:r>
              <w:t>项目竣工后质量达标率</w:t>
            </w:r>
          </w:p>
        </w:tc>
        <w:tc>
          <w:tcPr>
            <w:tcW w:w="2268" w:type="dxa"/>
            <w:vAlign w:val="center"/>
          </w:tcPr>
          <w:p w14:paraId="7D86907C">
            <w:pPr>
              <w:pStyle w:val="12"/>
            </w:pPr>
            <w:r>
              <w:t>100%</w:t>
            </w:r>
          </w:p>
        </w:tc>
        <w:tc>
          <w:tcPr>
            <w:tcW w:w="1276" w:type="dxa"/>
            <w:vAlign w:val="center"/>
          </w:tcPr>
          <w:p w14:paraId="5A62F585">
            <w:pPr>
              <w:pStyle w:val="12"/>
            </w:pPr>
            <w:r>
              <w:t>项目规划</w:t>
            </w:r>
          </w:p>
        </w:tc>
      </w:tr>
      <w:tr w14:paraId="2E8D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DA496">
            <w:pPr>
              <w:pStyle w:val="13"/>
            </w:pPr>
            <w:r>
              <w:t>效益指标</w:t>
            </w:r>
          </w:p>
        </w:tc>
        <w:tc>
          <w:tcPr>
            <w:tcW w:w="2268" w:type="dxa"/>
            <w:vAlign w:val="center"/>
          </w:tcPr>
          <w:p w14:paraId="6B70B8FF">
            <w:pPr>
              <w:pStyle w:val="12"/>
            </w:pPr>
            <w:r>
              <w:t>可持续影响指标</w:t>
            </w:r>
          </w:p>
        </w:tc>
        <w:tc>
          <w:tcPr>
            <w:tcW w:w="2835" w:type="dxa"/>
            <w:vAlign w:val="center"/>
          </w:tcPr>
          <w:p w14:paraId="2E7B5752">
            <w:pPr>
              <w:pStyle w:val="12"/>
            </w:pPr>
            <w:r>
              <w:t>工程使用年限</w:t>
            </w:r>
          </w:p>
        </w:tc>
        <w:tc>
          <w:tcPr>
            <w:tcW w:w="5386" w:type="dxa"/>
            <w:vAlign w:val="center"/>
          </w:tcPr>
          <w:p w14:paraId="2FF92FFF">
            <w:pPr>
              <w:pStyle w:val="12"/>
            </w:pPr>
            <w:r>
              <w:t>项目实施，有效提高办园条件</w:t>
            </w:r>
          </w:p>
        </w:tc>
        <w:tc>
          <w:tcPr>
            <w:tcW w:w="2268" w:type="dxa"/>
            <w:vAlign w:val="center"/>
          </w:tcPr>
          <w:p w14:paraId="6C433588">
            <w:pPr>
              <w:pStyle w:val="12"/>
            </w:pPr>
            <w:r>
              <w:t>6年</w:t>
            </w:r>
          </w:p>
        </w:tc>
        <w:tc>
          <w:tcPr>
            <w:tcW w:w="1276" w:type="dxa"/>
            <w:vAlign w:val="center"/>
          </w:tcPr>
          <w:p w14:paraId="5A9E1FA6">
            <w:pPr>
              <w:pStyle w:val="12"/>
            </w:pPr>
            <w:r>
              <w:t>项目规划</w:t>
            </w:r>
          </w:p>
        </w:tc>
      </w:tr>
      <w:tr w14:paraId="15BD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7065D">
            <w:pPr>
              <w:pStyle w:val="13"/>
            </w:pPr>
            <w:r>
              <w:t>满意度指标</w:t>
            </w:r>
          </w:p>
        </w:tc>
        <w:tc>
          <w:tcPr>
            <w:tcW w:w="2268" w:type="dxa"/>
            <w:vAlign w:val="center"/>
          </w:tcPr>
          <w:p w14:paraId="57A21B34">
            <w:pPr>
              <w:pStyle w:val="12"/>
            </w:pPr>
            <w:r>
              <w:t>服务对象满意度指标</w:t>
            </w:r>
          </w:p>
        </w:tc>
        <w:tc>
          <w:tcPr>
            <w:tcW w:w="2835" w:type="dxa"/>
            <w:vAlign w:val="center"/>
          </w:tcPr>
          <w:p w14:paraId="36743F22">
            <w:pPr>
              <w:pStyle w:val="12"/>
            </w:pPr>
            <w:r>
              <w:t>受益学生家长及调查满意度</w:t>
            </w:r>
          </w:p>
        </w:tc>
        <w:tc>
          <w:tcPr>
            <w:tcW w:w="5386" w:type="dxa"/>
            <w:vAlign w:val="center"/>
          </w:tcPr>
          <w:p w14:paraId="5278F831">
            <w:pPr>
              <w:pStyle w:val="12"/>
            </w:pPr>
            <w:r>
              <w:t>学生、教师及家长对学校工作满意度情况</w:t>
            </w:r>
          </w:p>
        </w:tc>
        <w:tc>
          <w:tcPr>
            <w:tcW w:w="2268" w:type="dxa"/>
            <w:vAlign w:val="center"/>
          </w:tcPr>
          <w:p w14:paraId="35078CF9">
            <w:pPr>
              <w:pStyle w:val="12"/>
            </w:pPr>
            <w:r>
              <w:t>≥95%</w:t>
            </w:r>
          </w:p>
        </w:tc>
        <w:tc>
          <w:tcPr>
            <w:tcW w:w="1276" w:type="dxa"/>
            <w:vAlign w:val="center"/>
          </w:tcPr>
          <w:p w14:paraId="2DBE7686">
            <w:pPr>
              <w:pStyle w:val="12"/>
            </w:pPr>
            <w:r>
              <w:t>群众测评</w:t>
            </w:r>
          </w:p>
        </w:tc>
      </w:tr>
    </w:tbl>
    <w:p w14:paraId="57A2FD1E">
      <w:pPr>
        <w:sectPr>
          <w:pgSz w:w="16840" w:h="11900" w:orient="landscape"/>
          <w:pgMar w:top="1361" w:right="1020" w:bottom="1134" w:left="1020" w:header="720" w:footer="720" w:gutter="0"/>
          <w:cols w:space="720" w:num="1"/>
        </w:sectPr>
      </w:pPr>
    </w:p>
    <w:p w14:paraId="4BA24780">
      <w:pPr>
        <w:spacing w:before="0" w:after="0"/>
        <w:ind w:firstLine="560"/>
        <w:jc w:val="left"/>
        <w:outlineLvl w:val="9"/>
      </w:pPr>
      <w:r>
        <w:rPr>
          <w:rFonts w:ascii="方正仿宋_GBK" w:hAnsi="方正仿宋_GBK" w:eastAsia="方正仿宋_GBK" w:cs="方正仿宋_GBK"/>
          <w:b/>
          <w:color w:val="000000"/>
          <w:sz w:val="28"/>
        </w:rPr>
        <w:t>13、冀财教[2025]122号/中央/支持学前教育发展/西范幼儿园楼顶防水等维修改造绩效目标表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08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B8FAB">
            <w:pPr>
              <w:pStyle w:val="11"/>
            </w:pPr>
            <w:r>
              <w:t>单位：万元</w:t>
            </w:r>
          </w:p>
        </w:tc>
      </w:tr>
      <w:tr w14:paraId="6016A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23DCB">
            <w:pPr>
              <w:pStyle w:val="10"/>
            </w:pPr>
            <w:r>
              <w:t>项目编码</w:t>
            </w:r>
          </w:p>
        </w:tc>
        <w:tc>
          <w:tcPr>
            <w:tcW w:w="5103" w:type="dxa"/>
            <w:gridSpan w:val="2"/>
            <w:vAlign w:val="center"/>
          </w:tcPr>
          <w:p w14:paraId="1ADF3B60">
            <w:pPr>
              <w:pStyle w:val="12"/>
            </w:pPr>
            <w:r>
              <w:t>13052526P00876910202T</w:t>
            </w:r>
          </w:p>
        </w:tc>
        <w:tc>
          <w:tcPr>
            <w:tcW w:w="2835" w:type="dxa"/>
            <w:vAlign w:val="center"/>
          </w:tcPr>
          <w:p w14:paraId="1C65B1FC">
            <w:pPr>
              <w:pStyle w:val="10"/>
            </w:pPr>
            <w:r>
              <w:t>项目名称</w:t>
            </w:r>
          </w:p>
        </w:tc>
        <w:tc>
          <w:tcPr>
            <w:tcW w:w="6095" w:type="dxa"/>
            <w:gridSpan w:val="3"/>
            <w:vAlign w:val="center"/>
          </w:tcPr>
          <w:p w14:paraId="2A2B737E">
            <w:pPr>
              <w:pStyle w:val="12"/>
            </w:pPr>
            <w:r>
              <w:t>冀财教[2025]122号/中央/支持学前教育发展/西范幼儿园楼顶防水等维修改造</w:t>
            </w:r>
          </w:p>
        </w:tc>
      </w:tr>
      <w:tr w14:paraId="709ED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12170">
            <w:pPr>
              <w:pStyle w:val="10"/>
            </w:pPr>
            <w:r>
              <w:t>预算规模及资金用途</w:t>
            </w:r>
          </w:p>
        </w:tc>
        <w:tc>
          <w:tcPr>
            <w:tcW w:w="2268" w:type="dxa"/>
            <w:vAlign w:val="center"/>
          </w:tcPr>
          <w:p w14:paraId="6B12DFD7">
            <w:pPr>
              <w:pStyle w:val="10"/>
            </w:pPr>
            <w:r>
              <w:t>预算数</w:t>
            </w:r>
          </w:p>
        </w:tc>
        <w:tc>
          <w:tcPr>
            <w:tcW w:w="2835" w:type="dxa"/>
            <w:vAlign w:val="center"/>
          </w:tcPr>
          <w:p w14:paraId="712FAFF8">
            <w:pPr>
              <w:pStyle w:val="12"/>
            </w:pPr>
            <w:r>
              <w:t>20.63</w:t>
            </w:r>
          </w:p>
        </w:tc>
        <w:tc>
          <w:tcPr>
            <w:tcW w:w="2835" w:type="dxa"/>
            <w:vAlign w:val="center"/>
          </w:tcPr>
          <w:p w14:paraId="1FF5479A">
            <w:pPr>
              <w:pStyle w:val="10"/>
            </w:pPr>
            <w:r>
              <w:t>其中：财政    资金</w:t>
            </w:r>
          </w:p>
        </w:tc>
        <w:tc>
          <w:tcPr>
            <w:tcW w:w="2551" w:type="dxa"/>
            <w:vAlign w:val="center"/>
          </w:tcPr>
          <w:p w14:paraId="0DDB362B">
            <w:pPr>
              <w:pStyle w:val="12"/>
            </w:pPr>
            <w:r>
              <w:t>20.63</w:t>
            </w:r>
          </w:p>
        </w:tc>
        <w:tc>
          <w:tcPr>
            <w:tcW w:w="2268" w:type="dxa"/>
            <w:vAlign w:val="center"/>
          </w:tcPr>
          <w:p w14:paraId="25C77860">
            <w:pPr>
              <w:pStyle w:val="10"/>
            </w:pPr>
            <w:r>
              <w:t>其他资金</w:t>
            </w:r>
          </w:p>
        </w:tc>
        <w:tc>
          <w:tcPr>
            <w:tcW w:w="1276" w:type="dxa"/>
            <w:vAlign w:val="center"/>
          </w:tcPr>
          <w:p w14:paraId="1ADCAED6">
            <w:pPr>
              <w:pStyle w:val="12"/>
            </w:pPr>
            <w:r>
              <w:t xml:space="preserve"> </w:t>
            </w:r>
          </w:p>
        </w:tc>
      </w:tr>
      <w:tr w14:paraId="66B28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2F9AD"/>
        </w:tc>
        <w:tc>
          <w:tcPr>
            <w:tcW w:w="14033" w:type="dxa"/>
            <w:gridSpan w:val="6"/>
            <w:vAlign w:val="center"/>
          </w:tcPr>
          <w:p w14:paraId="45325A6C">
            <w:pPr>
              <w:pStyle w:val="12"/>
            </w:pPr>
            <w:r>
              <w:t>为提升幼儿园办园条件，改善办园环境，提高办学标准，打造群众满意学前教育。</w:t>
            </w:r>
          </w:p>
        </w:tc>
      </w:tr>
      <w:tr w14:paraId="6E09C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9E175">
            <w:pPr>
              <w:pStyle w:val="10"/>
            </w:pPr>
            <w:r>
              <w:t>资金支出计划（%）</w:t>
            </w:r>
          </w:p>
        </w:tc>
        <w:tc>
          <w:tcPr>
            <w:tcW w:w="5103" w:type="dxa"/>
            <w:gridSpan w:val="2"/>
            <w:vAlign w:val="center"/>
          </w:tcPr>
          <w:p w14:paraId="220B3AC2">
            <w:pPr>
              <w:pStyle w:val="10"/>
            </w:pPr>
            <w:r>
              <w:t>3月底</w:t>
            </w:r>
          </w:p>
        </w:tc>
        <w:tc>
          <w:tcPr>
            <w:tcW w:w="2835" w:type="dxa"/>
            <w:vAlign w:val="center"/>
          </w:tcPr>
          <w:p w14:paraId="752FF2FD">
            <w:pPr>
              <w:pStyle w:val="10"/>
            </w:pPr>
            <w:r>
              <w:t>6月底</w:t>
            </w:r>
          </w:p>
        </w:tc>
        <w:tc>
          <w:tcPr>
            <w:tcW w:w="2551" w:type="dxa"/>
            <w:vAlign w:val="center"/>
          </w:tcPr>
          <w:p w14:paraId="511E2D81">
            <w:pPr>
              <w:pStyle w:val="10"/>
            </w:pPr>
            <w:r>
              <w:t>10月底</w:t>
            </w:r>
          </w:p>
        </w:tc>
        <w:tc>
          <w:tcPr>
            <w:tcW w:w="3544" w:type="dxa"/>
            <w:gridSpan w:val="2"/>
            <w:vAlign w:val="center"/>
          </w:tcPr>
          <w:p w14:paraId="2764EA78">
            <w:pPr>
              <w:pStyle w:val="10"/>
            </w:pPr>
            <w:r>
              <w:t>12月底</w:t>
            </w:r>
          </w:p>
        </w:tc>
      </w:tr>
      <w:tr w14:paraId="6780C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F1078"/>
        </w:tc>
        <w:tc>
          <w:tcPr>
            <w:tcW w:w="5103" w:type="dxa"/>
            <w:gridSpan w:val="2"/>
            <w:vAlign w:val="center"/>
          </w:tcPr>
          <w:p w14:paraId="2FB84610">
            <w:pPr>
              <w:pStyle w:val="13"/>
            </w:pPr>
            <w:r>
              <w:t xml:space="preserve"> </w:t>
            </w:r>
          </w:p>
        </w:tc>
        <w:tc>
          <w:tcPr>
            <w:tcW w:w="2835" w:type="dxa"/>
            <w:vAlign w:val="center"/>
          </w:tcPr>
          <w:p w14:paraId="20C0F968">
            <w:pPr>
              <w:pStyle w:val="13"/>
            </w:pPr>
            <w:r>
              <w:t>100%</w:t>
            </w:r>
          </w:p>
        </w:tc>
        <w:tc>
          <w:tcPr>
            <w:tcW w:w="2551" w:type="dxa"/>
            <w:vAlign w:val="center"/>
          </w:tcPr>
          <w:p w14:paraId="35378183">
            <w:pPr>
              <w:pStyle w:val="13"/>
            </w:pPr>
            <w:r>
              <w:t>100%</w:t>
            </w:r>
          </w:p>
        </w:tc>
        <w:tc>
          <w:tcPr>
            <w:tcW w:w="3544" w:type="dxa"/>
            <w:gridSpan w:val="2"/>
            <w:vAlign w:val="center"/>
          </w:tcPr>
          <w:p w14:paraId="1AF83A3E">
            <w:pPr>
              <w:pStyle w:val="13"/>
            </w:pPr>
            <w:r>
              <w:t>100%</w:t>
            </w:r>
          </w:p>
        </w:tc>
      </w:tr>
      <w:tr w14:paraId="2EF51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B336B">
            <w:pPr>
              <w:pStyle w:val="10"/>
            </w:pPr>
            <w:r>
              <w:t>绩效目标</w:t>
            </w:r>
          </w:p>
        </w:tc>
        <w:tc>
          <w:tcPr>
            <w:tcW w:w="14033" w:type="dxa"/>
            <w:gridSpan w:val="6"/>
            <w:vAlign w:val="center"/>
          </w:tcPr>
          <w:p w14:paraId="52F034B5">
            <w:pPr>
              <w:pStyle w:val="12"/>
            </w:pPr>
            <w:r>
              <w:t>1.按规定拨付专项资金，资金支付率达到100%。</w:t>
            </w:r>
          </w:p>
          <w:p w14:paraId="6414CD6A">
            <w:pPr>
              <w:pStyle w:val="12"/>
            </w:pPr>
            <w:r>
              <w:t>2.为提升幼儿园办园条件，改善办园环境，提高办学标准，打造群众满意学前教育。</w:t>
            </w:r>
          </w:p>
        </w:tc>
      </w:tr>
    </w:tbl>
    <w:p w14:paraId="10A43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9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A6014">
            <w:pPr>
              <w:pStyle w:val="10"/>
            </w:pPr>
            <w:r>
              <w:t>一级指标</w:t>
            </w:r>
          </w:p>
        </w:tc>
        <w:tc>
          <w:tcPr>
            <w:tcW w:w="2268" w:type="dxa"/>
            <w:vAlign w:val="center"/>
          </w:tcPr>
          <w:p w14:paraId="5E3A39F3">
            <w:pPr>
              <w:pStyle w:val="10"/>
            </w:pPr>
            <w:r>
              <w:t>二级指标</w:t>
            </w:r>
          </w:p>
        </w:tc>
        <w:tc>
          <w:tcPr>
            <w:tcW w:w="2835" w:type="dxa"/>
            <w:vAlign w:val="center"/>
          </w:tcPr>
          <w:p w14:paraId="15AF3F77">
            <w:pPr>
              <w:pStyle w:val="10"/>
            </w:pPr>
            <w:r>
              <w:t>三级指标</w:t>
            </w:r>
          </w:p>
        </w:tc>
        <w:tc>
          <w:tcPr>
            <w:tcW w:w="5386" w:type="dxa"/>
            <w:vAlign w:val="center"/>
          </w:tcPr>
          <w:p w14:paraId="6823217E">
            <w:pPr>
              <w:pStyle w:val="10"/>
            </w:pPr>
            <w:r>
              <w:t>绩效指标描述</w:t>
            </w:r>
          </w:p>
        </w:tc>
        <w:tc>
          <w:tcPr>
            <w:tcW w:w="2268" w:type="dxa"/>
            <w:vAlign w:val="center"/>
          </w:tcPr>
          <w:p w14:paraId="4254E76B">
            <w:pPr>
              <w:pStyle w:val="10"/>
            </w:pPr>
            <w:r>
              <w:t>指标值</w:t>
            </w:r>
          </w:p>
        </w:tc>
        <w:tc>
          <w:tcPr>
            <w:tcW w:w="1276" w:type="dxa"/>
            <w:vAlign w:val="center"/>
          </w:tcPr>
          <w:p w14:paraId="61025AFB">
            <w:pPr>
              <w:pStyle w:val="10"/>
            </w:pPr>
            <w:r>
              <w:t>指标值确定依据</w:t>
            </w:r>
          </w:p>
        </w:tc>
      </w:tr>
      <w:tr w14:paraId="5428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A18BD">
            <w:pPr>
              <w:pStyle w:val="13"/>
            </w:pPr>
            <w:r>
              <w:t>产出指标</w:t>
            </w:r>
          </w:p>
        </w:tc>
        <w:tc>
          <w:tcPr>
            <w:tcW w:w="2268" w:type="dxa"/>
            <w:vAlign w:val="center"/>
          </w:tcPr>
          <w:p w14:paraId="235E0C81">
            <w:pPr>
              <w:pStyle w:val="12"/>
            </w:pPr>
            <w:r>
              <w:t>数量指标</w:t>
            </w:r>
          </w:p>
        </w:tc>
        <w:tc>
          <w:tcPr>
            <w:tcW w:w="2835" w:type="dxa"/>
            <w:vAlign w:val="center"/>
          </w:tcPr>
          <w:p w14:paraId="7B7DAB60">
            <w:pPr>
              <w:pStyle w:val="12"/>
            </w:pPr>
            <w:r>
              <w:t>西范幼儿园楼顶防水等维修改造项目</w:t>
            </w:r>
          </w:p>
        </w:tc>
        <w:tc>
          <w:tcPr>
            <w:tcW w:w="5386" w:type="dxa"/>
            <w:vAlign w:val="center"/>
          </w:tcPr>
          <w:p w14:paraId="21A93789">
            <w:pPr>
              <w:pStyle w:val="12"/>
            </w:pPr>
            <w:r>
              <w:t>加盖水泥大瓦、修补粉刷美化、教室、专室铺地板革等维修</w:t>
            </w:r>
          </w:p>
        </w:tc>
        <w:tc>
          <w:tcPr>
            <w:tcW w:w="2268" w:type="dxa"/>
            <w:vAlign w:val="center"/>
          </w:tcPr>
          <w:p w14:paraId="59355A9A">
            <w:pPr>
              <w:pStyle w:val="12"/>
            </w:pPr>
            <w:r>
              <w:t>1项</w:t>
            </w:r>
          </w:p>
        </w:tc>
        <w:tc>
          <w:tcPr>
            <w:tcW w:w="1276" w:type="dxa"/>
            <w:vAlign w:val="center"/>
          </w:tcPr>
          <w:p w14:paraId="0C954AEF">
            <w:pPr>
              <w:pStyle w:val="12"/>
            </w:pPr>
            <w:r>
              <w:t>项目规划</w:t>
            </w:r>
          </w:p>
        </w:tc>
      </w:tr>
      <w:tr w14:paraId="0FDA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6A1B0"/>
        </w:tc>
        <w:tc>
          <w:tcPr>
            <w:tcW w:w="2268" w:type="dxa"/>
            <w:vAlign w:val="center"/>
          </w:tcPr>
          <w:p w14:paraId="7999213C">
            <w:pPr>
              <w:pStyle w:val="12"/>
            </w:pPr>
            <w:r>
              <w:t>质量指标</w:t>
            </w:r>
          </w:p>
        </w:tc>
        <w:tc>
          <w:tcPr>
            <w:tcW w:w="2835" w:type="dxa"/>
            <w:vAlign w:val="center"/>
          </w:tcPr>
          <w:p w14:paraId="1C470626">
            <w:pPr>
              <w:pStyle w:val="12"/>
            </w:pPr>
            <w:r>
              <w:t>项目竣工验收合格率</w:t>
            </w:r>
          </w:p>
        </w:tc>
        <w:tc>
          <w:tcPr>
            <w:tcW w:w="5386" w:type="dxa"/>
            <w:vAlign w:val="center"/>
          </w:tcPr>
          <w:p w14:paraId="7018654D">
            <w:pPr>
              <w:pStyle w:val="12"/>
            </w:pPr>
            <w:r>
              <w:t>项目改造质量达标率</w:t>
            </w:r>
          </w:p>
        </w:tc>
        <w:tc>
          <w:tcPr>
            <w:tcW w:w="2268" w:type="dxa"/>
            <w:vAlign w:val="center"/>
          </w:tcPr>
          <w:p w14:paraId="4167AE0C">
            <w:pPr>
              <w:pStyle w:val="12"/>
            </w:pPr>
            <w:r>
              <w:t>100%</w:t>
            </w:r>
          </w:p>
        </w:tc>
        <w:tc>
          <w:tcPr>
            <w:tcW w:w="1276" w:type="dxa"/>
            <w:vAlign w:val="center"/>
          </w:tcPr>
          <w:p w14:paraId="68B450C4">
            <w:pPr>
              <w:pStyle w:val="12"/>
            </w:pPr>
            <w:r>
              <w:t>项目规划</w:t>
            </w:r>
          </w:p>
        </w:tc>
      </w:tr>
      <w:tr w14:paraId="3B18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95718"/>
        </w:tc>
        <w:tc>
          <w:tcPr>
            <w:tcW w:w="2268" w:type="dxa"/>
            <w:vAlign w:val="center"/>
          </w:tcPr>
          <w:p w14:paraId="473F65CA">
            <w:pPr>
              <w:pStyle w:val="12"/>
            </w:pPr>
            <w:r>
              <w:t>时效指标</w:t>
            </w:r>
          </w:p>
        </w:tc>
        <w:tc>
          <w:tcPr>
            <w:tcW w:w="2835" w:type="dxa"/>
            <w:vAlign w:val="center"/>
          </w:tcPr>
          <w:p w14:paraId="3363750D">
            <w:pPr>
              <w:pStyle w:val="12"/>
            </w:pPr>
            <w:r>
              <w:t>项目实际成本</w:t>
            </w:r>
          </w:p>
        </w:tc>
        <w:tc>
          <w:tcPr>
            <w:tcW w:w="5386" w:type="dxa"/>
            <w:vAlign w:val="center"/>
          </w:tcPr>
          <w:p w14:paraId="3A32426E">
            <w:pPr>
              <w:pStyle w:val="12"/>
            </w:pPr>
            <w:r>
              <w:t>工程实际成本</w:t>
            </w:r>
          </w:p>
        </w:tc>
        <w:tc>
          <w:tcPr>
            <w:tcW w:w="2268" w:type="dxa"/>
            <w:vAlign w:val="center"/>
          </w:tcPr>
          <w:p w14:paraId="6127BD59">
            <w:pPr>
              <w:pStyle w:val="12"/>
            </w:pPr>
            <w:r>
              <w:t>206300元</w:t>
            </w:r>
          </w:p>
        </w:tc>
        <w:tc>
          <w:tcPr>
            <w:tcW w:w="1276" w:type="dxa"/>
            <w:vAlign w:val="center"/>
          </w:tcPr>
          <w:p w14:paraId="0DEA69EB">
            <w:pPr>
              <w:pStyle w:val="12"/>
            </w:pPr>
            <w:r>
              <w:t>项目规划</w:t>
            </w:r>
          </w:p>
        </w:tc>
      </w:tr>
      <w:tr w14:paraId="230C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4D22"/>
        </w:tc>
        <w:tc>
          <w:tcPr>
            <w:tcW w:w="2268" w:type="dxa"/>
            <w:vAlign w:val="center"/>
          </w:tcPr>
          <w:p w14:paraId="5380620E">
            <w:pPr>
              <w:pStyle w:val="12"/>
            </w:pPr>
            <w:r>
              <w:t>成本指标</w:t>
            </w:r>
          </w:p>
        </w:tc>
        <w:tc>
          <w:tcPr>
            <w:tcW w:w="2835" w:type="dxa"/>
            <w:vAlign w:val="center"/>
          </w:tcPr>
          <w:p w14:paraId="2EF8EC93">
            <w:pPr>
              <w:pStyle w:val="12"/>
            </w:pPr>
            <w:r>
              <w:t>项目竣工验收合格率</w:t>
            </w:r>
          </w:p>
        </w:tc>
        <w:tc>
          <w:tcPr>
            <w:tcW w:w="5386" w:type="dxa"/>
            <w:vAlign w:val="center"/>
          </w:tcPr>
          <w:p w14:paraId="71691466">
            <w:pPr>
              <w:pStyle w:val="12"/>
            </w:pPr>
            <w:r>
              <w:t>项目改造质量达标率</w:t>
            </w:r>
          </w:p>
        </w:tc>
        <w:tc>
          <w:tcPr>
            <w:tcW w:w="2268" w:type="dxa"/>
            <w:vAlign w:val="center"/>
          </w:tcPr>
          <w:p w14:paraId="316637B4">
            <w:pPr>
              <w:pStyle w:val="12"/>
            </w:pPr>
            <w:r>
              <w:t>100%</w:t>
            </w:r>
          </w:p>
        </w:tc>
        <w:tc>
          <w:tcPr>
            <w:tcW w:w="1276" w:type="dxa"/>
            <w:vAlign w:val="center"/>
          </w:tcPr>
          <w:p w14:paraId="0705CAEE">
            <w:pPr>
              <w:pStyle w:val="12"/>
            </w:pPr>
            <w:r>
              <w:t>项目规划</w:t>
            </w:r>
          </w:p>
        </w:tc>
      </w:tr>
      <w:tr w14:paraId="6727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D40D2">
            <w:pPr>
              <w:pStyle w:val="13"/>
            </w:pPr>
            <w:r>
              <w:t>效益指标</w:t>
            </w:r>
          </w:p>
        </w:tc>
        <w:tc>
          <w:tcPr>
            <w:tcW w:w="2268" w:type="dxa"/>
            <w:vAlign w:val="center"/>
          </w:tcPr>
          <w:p w14:paraId="3AF3F138">
            <w:pPr>
              <w:pStyle w:val="12"/>
            </w:pPr>
            <w:r>
              <w:t>可持续影响指标</w:t>
            </w:r>
          </w:p>
        </w:tc>
        <w:tc>
          <w:tcPr>
            <w:tcW w:w="2835" w:type="dxa"/>
            <w:vAlign w:val="center"/>
          </w:tcPr>
          <w:p w14:paraId="3D96B1A7">
            <w:pPr>
              <w:pStyle w:val="12"/>
            </w:pPr>
            <w:r>
              <w:t>工程使用年限</w:t>
            </w:r>
          </w:p>
        </w:tc>
        <w:tc>
          <w:tcPr>
            <w:tcW w:w="5386" w:type="dxa"/>
            <w:vAlign w:val="center"/>
          </w:tcPr>
          <w:p w14:paraId="4088F8A9">
            <w:pPr>
              <w:pStyle w:val="12"/>
            </w:pPr>
            <w:r>
              <w:t>项目实施，有效改善教学环境</w:t>
            </w:r>
          </w:p>
        </w:tc>
        <w:tc>
          <w:tcPr>
            <w:tcW w:w="2268" w:type="dxa"/>
            <w:vAlign w:val="center"/>
          </w:tcPr>
          <w:p w14:paraId="50689373">
            <w:pPr>
              <w:pStyle w:val="12"/>
            </w:pPr>
            <w:r>
              <w:t>6年</w:t>
            </w:r>
          </w:p>
        </w:tc>
        <w:tc>
          <w:tcPr>
            <w:tcW w:w="1276" w:type="dxa"/>
            <w:vAlign w:val="center"/>
          </w:tcPr>
          <w:p w14:paraId="0F4787C6">
            <w:pPr>
              <w:pStyle w:val="12"/>
            </w:pPr>
            <w:r>
              <w:t>项目规划</w:t>
            </w:r>
          </w:p>
        </w:tc>
      </w:tr>
      <w:tr w14:paraId="4D360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1A042">
            <w:pPr>
              <w:pStyle w:val="13"/>
            </w:pPr>
            <w:r>
              <w:t>满意度指标</w:t>
            </w:r>
          </w:p>
        </w:tc>
        <w:tc>
          <w:tcPr>
            <w:tcW w:w="2268" w:type="dxa"/>
            <w:vAlign w:val="center"/>
          </w:tcPr>
          <w:p w14:paraId="433BDD65">
            <w:pPr>
              <w:pStyle w:val="12"/>
            </w:pPr>
            <w:r>
              <w:t>服务对象满意度指标</w:t>
            </w:r>
          </w:p>
        </w:tc>
        <w:tc>
          <w:tcPr>
            <w:tcW w:w="2835" w:type="dxa"/>
            <w:vAlign w:val="center"/>
          </w:tcPr>
          <w:p w14:paraId="49C8C389">
            <w:pPr>
              <w:pStyle w:val="12"/>
            </w:pPr>
            <w:r>
              <w:t>受益学生家长及调查满意度</w:t>
            </w:r>
          </w:p>
        </w:tc>
        <w:tc>
          <w:tcPr>
            <w:tcW w:w="5386" w:type="dxa"/>
            <w:vAlign w:val="center"/>
          </w:tcPr>
          <w:p w14:paraId="79E2B529">
            <w:pPr>
              <w:pStyle w:val="12"/>
            </w:pPr>
            <w:r>
              <w:t>学生、教师及家长对学校工作满意度情况</w:t>
            </w:r>
          </w:p>
        </w:tc>
        <w:tc>
          <w:tcPr>
            <w:tcW w:w="2268" w:type="dxa"/>
            <w:vAlign w:val="center"/>
          </w:tcPr>
          <w:p w14:paraId="26A462AE">
            <w:pPr>
              <w:pStyle w:val="12"/>
            </w:pPr>
            <w:r>
              <w:t>≥95%</w:t>
            </w:r>
          </w:p>
        </w:tc>
        <w:tc>
          <w:tcPr>
            <w:tcW w:w="1276" w:type="dxa"/>
            <w:vAlign w:val="center"/>
          </w:tcPr>
          <w:p w14:paraId="285B5DF7">
            <w:pPr>
              <w:pStyle w:val="12"/>
            </w:pPr>
            <w:r>
              <w:t>群众测评</w:t>
            </w:r>
          </w:p>
        </w:tc>
      </w:tr>
    </w:tbl>
    <w:p w14:paraId="7E58C7BD">
      <w:pPr>
        <w:sectPr>
          <w:pgSz w:w="16840" w:h="11900" w:orient="landscape"/>
          <w:pgMar w:top="1361" w:right="1020" w:bottom="1134" w:left="1020" w:header="720" w:footer="720" w:gutter="0"/>
          <w:cols w:space="720" w:num="1"/>
        </w:sectPr>
      </w:pPr>
    </w:p>
    <w:p w14:paraId="292934F7">
      <w:pPr>
        <w:spacing w:before="0" w:after="0"/>
        <w:ind w:firstLine="560"/>
        <w:jc w:val="left"/>
        <w:outlineLvl w:val="9"/>
      </w:pPr>
      <w:r>
        <w:rPr>
          <w:rFonts w:ascii="方正仿宋_GBK" w:hAnsi="方正仿宋_GBK" w:eastAsia="方正仿宋_GBK" w:cs="方正仿宋_GBK"/>
          <w:b/>
          <w:color w:val="000000"/>
          <w:sz w:val="28"/>
        </w:rPr>
        <w:t>14、冀财教[2025]122号/中央/支持学前教育发展/滏河湾幼儿园厕所改造等维修项目绩效目标表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D9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3DF70">
            <w:pPr>
              <w:pStyle w:val="11"/>
            </w:pPr>
            <w:r>
              <w:t>单位：万元</w:t>
            </w:r>
          </w:p>
        </w:tc>
      </w:tr>
      <w:tr w14:paraId="472BC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FF756">
            <w:pPr>
              <w:pStyle w:val="10"/>
            </w:pPr>
            <w:r>
              <w:t>项目编码</w:t>
            </w:r>
          </w:p>
        </w:tc>
        <w:tc>
          <w:tcPr>
            <w:tcW w:w="5103" w:type="dxa"/>
            <w:gridSpan w:val="2"/>
            <w:vAlign w:val="center"/>
          </w:tcPr>
          <w:p w14:paraId="5E3F6CA7">
            <w:pPr>
              <w:pStyle w:val="12"/>
            </w:pPr>
            <w:r>
              <w:t>13052526P00876910203E</w:t>
            </w:r>
          </w:p>
        </w:tc>
        <w:tc>
          <w:tcPr>
            <w:tcW w:w="2835" w:type="dxa"/>
            <w:vAlign w:val="center"/>
          </w:tcPr>
          <w:p w14:paraId="7A38585E">
            <w:pPr>
              <w:pStyle w:val="10"/>
            </w:pPr>
            <w:r>
              <w:t>项目名称</w:t>
            </w:r>
          </w:p>
        </w:tc>
        <w:tc>
          <w:tcPr>
            <w:tcW w:w="6095" w:type="dxa"/>
            <w:gridSpan w:val="3"/>
            <w:vAlign w:val="center"/>
          </w:tcPr>
          <w:p w14:paraId="7C72E916">
            <w:pPr>
              <w:pStyle w:val="12"/>
            </w:pPr>
            <w:r>
              <w:t>冀财教[2025]122号/中央/支持学前教育发展/滏河湾幼儿园厕所改造等维修项目</w:t>
            </w:r>
          </w:p>
        </w:tc>
      </w:tr>
      <w:tr w14:paraId="3AABA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887CF">
            <w:pPr>
              <w:pStyle w:val="10"/>
            </w:pPr>
            <w:r>
              <w:t>预算规模及资金用途</w:t>
            </w:r>
          </w:p>
        </w:tc>
        <w:tc>
          <w:tcPr>
            <w:tcW w:w="2268" w:type="dxa"/>
            <w:vAlign w:val="center"/>
          </w:tcPr>
          <w:p w14:paraId="5DEEF7FC">
            <w:pPr>
              <w:pStyle w:val="10"/>
            </w:pPr>
            <w:r>
              <w:t>预算数</w:t>
            </w:r>
          </w:p>
        </w:tc>
        <w:tc>
          <w:tcPr>
            <w:tcW w:w="2835" w:type="dxa"/>
            <w:vAlign w:val="center"/>
          </w:tcPr>
          <w:p w14:paraId="14EAB888">
            <w:pPr>
              <w:pStyle w:val="12"/>
            </w:pPr>
            <w:r>
              <w:t>8.30</w:t>
            </w:r>
          </w:p>
        </w:tc>
        <w:tc>
          <w:tcPr>
            <w:tcW w:w="2835" w:type="dxa"/>
            <w:vAlign w:val="center"/>
          </w:tcPr>
          <w:p w14:paraId="51A299F8">
            <w:pPr>
              <w:pStyle w:val="10"/>
            </w:pPr>
            <w:r>
              <w:t>其中：财政    资金</w:t>
            </w:r>
          </w:p>
        </w:tc>
        <w:tc>
          <w:tcPr>
            <w:tcW w:w="2551" w:type="dxa"/>
            <w:vAlign w:val="center"/>
          </w:tcPr>
          <w:p w14:paraId="2604511B">
            <w:pPr>
              <w:pStyle w:val="12"/>
            </w:pPr>
            <w:r>
              <w:t>8.30</w:t>
            </w:r>
          </w:p>
        </w:tc>
        <w:tc>
          <w:tcPr>
            <w:tcW w:w="2268" w:type="dxa"/>
            <w:vAlign w:val="center"/>
          </w:tcPr>
          <w:p w14:paraId="475B192C">
            <w:pPr>
              <w:pStyle w:val="10"/>
            </w:pPr>
            <w:r>
              <w:t>其他资金</w:t>
            </w:r>
          </w:p>
        </w:tc>
        <w:tc>
          <w:tcPr>
            <w:tcW w:w="1276" w:type="dxa"/>
            <w:vAlign w:val="center"/>
          </w:tcPr>
          <w:p w14:paraId="761EAEF4">
            <w:pPr>
              <w:pStyle w:val="12"/>
            </w:pPr>
            <w:r>
              <w:t xml:space="preserve"> </w:t>
            </w:r>
          </w:p>
        </w:tc>
      </w:tr>
      <w:tr w14:paraId="70769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FDDC2"/>
        </w:tc>
        <w:tc>
          <w:tcPr>
            <w:tcW w:w="14033" w:type="dxa"/>
            <w:gridSpan w:val="6"/>
            <w:vAlign w:val="center"/>
          </w:tcPr>
          <w:p w14:paraId="385D1601">
            <w:pPr>
              <w:pStyle w:val="12"/>
            </w:pPr>
            <w:r>
              <w:t>为提升幼儿园办园条件，改善办园环境，提高办学标准，打造群众满意学前教育。</w:t>
            </w:r>
          </w:p>
        </w:tc>
      </w:tr>
      <w:tr w14:paraId="6ABA4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6EC8C">
            <w:pPr>
              <w:pStyle w:val="10"/>
            </w:pPr>
            <w:r>
              <w:t>资金支出计划（%）</w:t>
            </w:r>
          </w:p>
        </w:tc>
        <w:tc>
          <w:tcPr>
            <w:tcW w:w="5103" w:type="dxa"/>
            <w:gridSpan w:val="2"/>
            <w:vAlign w:val="center"/>
          </w:tcPr>
          <w:p w14:paraId="0294A6BC">
            <w:pPr>
              <w:pStyle w:val="10"/>
            </w:pPr>
            <w:r>
              <w:t>3月底</w:t>
            </w:r>
          </w:p>
        </w:tc>
        <w:tc>
          <w:tcPr>
            <w:tcW w:w="2835" w:type="dxa"/>
            <w:vAlign w:val="center"/>
          </w:tcPr>
          <w:p w14:paraId="5C47C319">
            <w:pPr>
              <w:pStyle w:val="10"/>
            </w:pPr>
            <w:r>
              <w:t>6月底</w:t>
            </w:r>
          </w:p>
        </w:tc>
        <w:tc>
          <w:tcPr>
            <w:tcW w:w="2551" w:type="dxa"/>
            <w:vAlign w:val="center"/>
          </w:tcPr>
          <w:p w14:paraId="33A4C01E">
            <w:pPr>
              <w:pStyle w:val="10"/>
            </w:pPr>
            <w:r>
              <w:t>10月底</w:t>
            </w:r>
          </w:p>
        </w:tc>
        <w:tc>
          <w:tcPr>
            <w:tcW w:w="3544" w:type="dxa"/>
            <w:gridSpan w:val="2"/>
            <w:vAlign w:val="center"/>
          </w:tcPr>
          <w:p w14:paraId="78E0D77F">
            <w:pPr>
              <w:pStyle w:val="10"/>
            </w:pPr>
            <w:r>
              <w:t>12月底</w:t>
            </w:r>
          </w:p>
        </w:tc>
      </w:tr>
      <w:tr w14:paraId="4A911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3612B"/>
        </w:tc>
        <w:tc>
          <w:tcPr>
            <w:tcW w:w="5103" w:type="dxa"/>
            <w:gridSpan w:val="2"/>
            <w:vAlign w:val="center"/>
          </w:tcPr>
          <w:p w14:paraId="4B118BD6">
            <w:pPr>
              <w:pStyle w:val="13"/>
            </w:pPr>
            <w:r>
              <w:t xml:space="preserve"> </w:t>
            </w:r>
          </w:p>
        </w:tc>
        <w:tc>
          <w:tcPr>
            <w:tcW w:w="2835" w:type="dxa"/>
            <w:vAlign w:val="center"/>
          </w:tcPr>
          <w:p w14:paraId="0E1E137F">
            <w:pPr>
              <w:pStyle w:val="13"/>
            </w:pPr>
            <w:r>
              <w:t>100%</w:t>
            </w:r>
          </w:p>
        </w:tc>
        <w:tc>
          <w:tcPr>
            <w:tcW w:w="2551" w:type="dxa"/>
            <w:vAlign w:val="center"/>
          </w:tcPr>
          <w:p w14:paraId="47A6F3D3">
            <w:pPr>
              <w:pStyle w:val="13"/>
            </w:pPr>
            <w:r>
              <w:t>100%</w:t>
            </w:r>
          </w:p>
        </w:tc>
        <w:tc>
          <w:tcPr>
            <w:tcW w:w="3544" w:type="dxa"/>
            <w:gridSpan w:val="2"/>
            <w:vAlign w:val="center"/>
          </w:tcPr>
          <w:p w14:paraId="33E9D517">
            <w:pPr>
              <w:pStyle w:val="13"/>
            </w:pPr>
            <w:r>
              <w:t>100%</w:t>
            </w:r>
          </w:p>
        </w:tc>
      </w:tr>
      <w:tr w14:paraId="5FDA0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5663A">
            <w:pPr>
              <w:pStyle w:val="10"/>
            </w:pPr>
            <w:r>
              <w:t>绩效目标</w:t>
            </w:r>
          </w:p>
        </w:tc>
        <w:tc>
          <w:tcPr>
            <w:tcW w:w="14033" w:type="dxa"/>
            <w:gridSpan w:val="6"/>
            <w:vAlign w:val="center"/>
          </w:tcPr>
          <w:p w14:paraId="49F94330">
            <w:pPr>
              <w:pStyle w:val="12"/>
            </w:pPr>
            <w:r>
              <w:t xml:space="preserve">1.按规定拨付专项资金，资金支付率达到100%。    </w:t>
            </w:r>
          </w:p>
          <w:p w14:paraId="59BC3173">
            <w:pPr>
              <w:pStyle w:val="12"/>
            </w:pPr>
            <w:r>
              <w:t>2.为提升幼儿园办园条件，改善办园环境，提高办学标准，打造群众满意学前教育。</w:t>
            </w:r>
          </w:p>
        </w:tc>
      </w:tr>
    </w:tbl>
    <w:p w14:paraId="35538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6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6FE93">
            <w:pPr>
              <w:pStyle w:val="10"/>
            </w:pPr>
            <w:r>
              <w:t>一级指标</w:t>
            </w:r>
          </w:p>
        </w:tc>
        <w:tc>
          <w:tcPr>
            <w:tcW w:w="2268" w:type="dxa"/>
            <w:vAlign w:val="center"/>
          </w:tcPr>
          <w:p w14:paraId="1F7CE502">
            <w:pPr>
              <w:pStyle w:val="10"/>
            </w:pPr>
            <w:r>
              <w:t>二级指标</w:t>
            </w:r>
          </w:p>
        </w:tc>
        <w:tc>
          <w:tcPr>
            <w:tcW w:w="2835" w:type="dxa"/>
            <w:vAlign w:val="center"/>
          </w:tcPr>
          <w:p w14:paraId="11B21DA1">
            <w:pPr>
              <w:pStyle w:val="10"/>
            </w:pPr>
            <w:r>
              <w:t>三级指标</w:t>
            </w:r>
          </w:p>
        </w:tc>
        <w:tc>
          <w:tcPr>
            <w:tcW w:w="5386" w:type="dxa"/>
            <w:vAlign w:val="center"/>
          </w:tcPr>
          <w:p w14:paraId="6287D01D">
            <w:pPr>
              <w:pStyle w:val="10"/>
            </w:pPr>
            <w:r>
              <w:t>绩效指标描述</w:t>
            </w:r>
          </w:p>
        </w:tc>
        <w:tc>
          <w:tcPr>
            <w:tcW w:w="2268" w:type="dxa"/>
            <w:vAlign w:val="center"/>
          </w:tcPr>
          <w:p w14:paraId="530F236C">
            <w:pPr>
              <w:pStyle w:val="10"/>
            </w:pPr>
            <w:r>
              <w:t>指标值</w:t>
            </w:r>
          </w:p>
        </w:tc>
        <w:tc>
          <w:tcPr>
            <w:tcW w:w="1276" w:type="dxa"/>
            <w:vAlign w:val="center"/>
          </w:tcPr>
          <w:p w14:paraId="62363E41">
            <w:pPr>
              <w:pStyle w:val="10"/>
            </w:pPr>
            <w:r>
              <w:t>指标值确定依据</w:t>
            </w:r>
          </w:p>
        </w:tc>
      </w:tr>
      <w:tr w14:paraId="5558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7C6E3">
            <w:pPr>
              <w:pStyle w:val="13"/>
            </w:pPr>
            <w:r>
              <w:t>产出指标</w:t>
            </w:r>
          </w:p>
        </w:tc>
        <w:tc>
          <w:tcPr>
            <w:tcW w:w="2268" w:type="dxa"/>
            <w:vAlign w:val="center"/>
          </w:tcPr>
          <w:p w14:paraId="1B43309D">
            <w:pPr>
              <w:pStyle w:val="12"/>
            </w:pPr>
            <w:r>
              <w:t>数量指标</w:t>
            </w:r>
          </w:p>
        </w:tc>
        <w:tc>
          <w:tcPr>
            <w:tcW w:w="2835" w:type="dxa"/>
            <w:vAlign w:val="center"/>
          </w:tcPr>
          <w:p w14:paraId="5A8CE3FD">
            <w:pPr>
              <w:pStyle w:val="12"/>
            </w:pPr>
            <w:r>
              <w:t>滏河湾幼儿园厕所改造等维修项目</w:t>
            </w:r>
          </w:p>
        </w:tc>
        <w:tc>
          <w:tcPr>
            <w:tcW w:w="5386" w:type="dxa"/>
            <w:vAlign w:val="center"/>
          </w:tcPr>
          <w:p w14:paraId="7384BACB">
            <w:pPr>
              <w:pStyle w:val="12"/>
            </w:pPr>
            <w:r>
              <w:t>厕所改造、新建围墙、花池、道闸、食堂及专室线路整改、排水沟安装不锈钢箅子等维修</w:t>
            </w:r>
          </w:p>
        </w:tc>
        <w:tc>
          <w:tcPr>
            <w:tcW w:w="2268" w:type="dxa"/>
            <w:vAlign w:val="center"/>
          </w:tcPr>
          <w:p w14:paraId="006C4A4D">
            <w:pPr>
              <w:pStyle w:val="12"/>
            </w:pPr>
            <w:r>
              <w:t>1项</w:t>
            </w:r>
          </w:p>
        </w:tc>
        <w:tc>
          <w:tcPr>
            <w:tcW w:w="1276" w:type="dxa"/>
            <w:vAlign w:val="center"/>
          </w:tcPr>
          <w:p w14:paraId="05EE7E5D">
            <w:pPr>
              <w:pStyle w:val="12"/>
            </w:pPr>
            <w:r>
              <w:t>项目规划</w:t>
            </w:r>
          </w:p>
        </w:tc>
      </w:tr>
      <w:tr w14:paraId="4FB0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3B0D9"/>
        </w:tc>
        <w:tc>
          <w:tcPr>
            <w:tcW w:w="2268" w:type="dxa"/>
            <w:vAlign w:val="center"/>
          </w:tcPr>
          <w:p w14:paraId="45F0FB25">
            <w:pPr>
              <w:pStyle w:val="12"/>
            </w:pPr>
            <w:r>
              <w:t>质量指标</w:t>
            </w:r>
          </w:p>
        </w:tc>
        <w:tc>
          <w:tcPr>
            <w:tcW w:w="2835" w:type="dxa"/>
            <w:vAlign w:val="center"/>
          </w:tcPr>
          <w:p w14:paraId="5DACBEC8">
            <w:pPr>
              <w:pStyle w:val="12"/>
            </w:pPr>
            <w:r>
              <w:t>项目竣工验收合格率</w:t>
            </w:r>
          </w:p>
        </w:tc>
        <w:tc>
          <w:tcPr>
            <w:tcW w:w="5386" w:type="dxa"/>
            <w:vAlign w:val="center"/>
          </w:tcPr>
          <w:p w14:paraId="6612AA60">
            <w:pPr>
              <w:pStyle w:val="12"/>
            </w:pPr>
            <w:r>
              <w:t>项目改造质量达标率</w:t>
            </w:r>
          </w:p>
        </w:tc>
        <w:tc>
          <w:tcPr>
            <w:tcW w:w="2268" w:type="dxa"/>
            <w:vAlign w:val="center"/>
          </w:tcPr>
          <w:p w14:paraId="0ED882DF">
            <w:pPr>
              <w:pStyle w:val="12"/>
            </w:pPr>
            <w:r>
              <w:t>100%</w:t>
            </w:r>
          </w:p>
        </w:tc>
        <w:tc>
          <w:tcPr>
            <w:tcW w:w="1276" w:type="dxa"/>
            <w:vAlign w:val="center"/>
          </w:tcPr>
          <w:p w14:paraId="6B6DB033">
            <w:pPr>
              <w:pStyle w:val="12"/>
            </w:pPr>
            <w:r>
              <w:t>项目规划</w:t>
            </w:r>
          </w:p>
        </w:tc>
      </w:tr>
      <w:tr w14:paraId="195F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9396C"/>
        </w:tc>
        <w:tc>
          <w:tcPr>
            <w:tcW w:w="2268" w:type="dxa"/>
            <w:vAlign w:val="center"/>
          </w:tcPr>
          <w:p w14:paraId="413851F1">
            <w:pPr>
              <w:pStyle w:val="12"/>
            </w:pPr>
            <w:r>
              <w:t>时效指标</w:t>
            </w:r>
          </w:p>
        </w:tc>
        <w:tc>
          <w:tcPr>
            <w:tcW w:w="2835" w:type="dxa"/>
            <w:vAlign w:val="center"/>
          </w:tcPr>
          <w:p w14:paraId="245B2348">
            <w:pPr>
              <w:pStyle w:val="12"/>
            </w:pPr>
            <w:r>
              <w:t>项目实际成本</w:t>
            </w:r>
          </w:p>
        </w:tc>
        <w:tc>
          <w:tcPr>
            <w:tcW w:w="5386" w:type="dxa"/>
            <w:vAlign w:val="center"/>
          </w:tcPr>
          <w:p w14:paraId="7DEC92DE">
            <w:pPr>
              <w:pStyle w:val="12"/>
            </w:pPr>
            <w:r>
              <w:t>工程实际成本</w:t>
            </w:r>
          </w:p>
        </w:tc>
        <w:tc>
          <w:tcPr>
            <w:tcW w:w="2268" w:type="dxa"/>
            <w:vAlign w:val="center"/>
          </w:tcPr>
          <w:p w14:paraId="653737A8">
            <w:pPr>
              <w:pStyle w:val="12"/>
            </w:pPr>
            <w:r>
              <w:t>83000元</w:t>
            </w:r>
          </w:p>
        </w:tc>
        <w:tc>
          <w:tcPr>
            <w:tcW w:w="1276" w:type="dxa"/>
            <w:vAlign w:val="center"/>
          </w:tcPr>
          <w:p w14:paraId="7DB83B38">
            <w:pPr>
              <w:pStyle w:val="12"/>
            </w:pPr>
            <w:r>
              <w:t>项目规划</w:t>
            </w:r>
          </w:p>
        </w:tc>
      </w:tr>
      <w:tr w14:paraId="170A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2686"/>
        </w:tc>
        <w:tc>
          <w:tcPr>
            <w:tcW w:w="2268" w:type="dxa"/>
            <w:vAlign w:val="center"/>
          </w:tcPr>
          <w:p w14:paraId="33C13886">
            <w:pPr>
              <w:pStyle w:val="12"/>
            </w:pPr>
            <w:r>
              <w:t>成本指标</w:t>
            </w:r>
          </w:p>
        </w:tc>
        <w:tc>
          <w:tcPr>
            <w:tcW w:w="2835" w:type="dxa"/>
            <w:vAlign w:val="center"/>
          </w:tcPr>
          <w:p w14:paraId="4E5745AC">
            <w:pPr>
              <w:pStyle w:val="12"/>
            </w:pPr>
            <w:r>
              <w:t>项目竣工验收合格率</w:t>
            </w:r>
          </w:p>
        </w:tc>
        <w:tc>
          <w:tcPr>
            <w:tcW w:w="5386" w:type="dxa"/>
            <w:vAlign w:val="center"/>
          </w:tcPr>
          <w:p w14:paraId="45D1787E">
            <w:pPr>
              <w:pStyle w:val="12"/>
            </w:pPr>
            <w:r>
              <w:t>项目改造质量达标率</w:t>
            </w:r>
          </w:p>
        </w:tc>
        <w:tc>
          <w:tcPr>
            <w:tcW w:w="2268" w:type="dxa"/>
            <w:vAlign w:val="center"/>
          </w:tcPr>
          <w:p w14:paraId="3F443C7A">
            <w:pPr>
              <w:pStyle w:val="12"/>
            </w:pPr>
            <w:r>
              <w:t>100%</w:t>
            </w:r>
          </w:p>
        </w:tc>
        <w:tc>
          <w:tcPr>
            <w:tcW w:w="1276" w:type="dxa"/>
            <w:vAlign w:val="center"/>
          </w:tcPr>
          <w:p w14:paraId="38B5B7D4">
            <w:pPr>
              <w:pStyle w:val="12"/>
            </w:pPr>
            <w:r>
              <w:t>项目规划</w:t>
            </w:r>
          </w:p>
        </w:tc>
      </w:tr>
      <w:tr w14:paraId="0961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D7242">
            <w:pPr>
              <w:pStyle w:val="13"/>
            </w:pPr>
            <w:r>
              <w:t>效益指标</w:t>
            </w:r>
          </w:p>
        </w:tc>
        <w:tc>
          <w:tcPr>
            <w:tcW w:w="2268" w:type="dxa"/>
            <w:vAlign w:val="center"/>
          </w:tcPr>
          <w:p w14:paraId="45ACE5D1">
            <w:pPr>
              <w:pStyle w:val="12"/>
            </w:pPr>
            <w:r>
              <w:t>可持续影响指标</w:t>
            </w:r>
          </w:p>
        </w:tc>
        <w:tc>
          <w:tcPr>
            <w:tcW w:w="2835" w:type="dxa"/>
            <w:vAlign w:val="center"/>
          </w:tcPr>
          <w:p w14:paraId="662515FF">
            <w:pPr>
              <w:pStyle w:val="12"/>
            </w:pPr>
            <w:r>
              <w:t>工程使用年限</w:t>
            </w:r>
          </w:p>
        </w:tc>
        <w:tc>
          <w:tcPr>
            <w:tcW w:w="5386" w:type="dxa"/>
            <w:vAlign w:val="center"/>
          </w:tcPr>
          <w:p w14:paraId="6D3FE8BC">
            <w:pPr>
              <w:pStyle w:val="12"/>
            </w:pPr>
            <w:r>
              <w:t>项目实施，有效改善教学环境</w:t>
            </w:r>
          </w:p>
        </w:tc>
        <w:tc>
          <w:tcPr>
            <w:tcW w:w="2268" w:type="dxa"/>
            <w:vAlign w:val="center"/>
          </w:tcPr>
          <w:p w14:paraId="4D8BF00D">
            <w:pPr>
              <w:pStyle w:val="12"/>
            </w:pPr>
            <w:r>
              <w:t>6年</w:t>
            </w:r>
          </w:p>
        </w:tc>
        <w:tc>
          <w:tcPr>
            <w:tcW w:w="1276" w:type="dxa"/>
            <w:vAlign w:val="center"/>
          </w:tcPr>
          <w:p w14:paraId="358C4D8E">
            <w:pPr>
              <w:pStyle w:val="12"/>
            </w:pPr>
            <w:r>
              <w:t>项目规划</w:t>
            </w:r>
          </w:p>
        </w:tc>
      </w:tr>
      <w:tr w14:paraId="6BA7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E217F">
            <w:pPr>
              <w:pStyle w:val="13"/>
            </w:pPr>
            <w:r>
              <w:t>满意度指标</w:t>
            </w:r>
          </w:p>
        </w:tc>
        <w:tc>
          <w:tcPr>
            <w:tcW w:w="2268" w:type="dxa"/>
            <w:vAlign w:val="center"/>
          </w:tcPr>
          <w:p w14:paraId="2F0B5061">
            <w:pPr>
              <w:pStyle w:val="12"/>
            </w:pPr>
            <w:r>
              <w:t>服务对象满意度指标</w:t>
            </w:r>
          </w:p>
        </w:tc>
        <w:tc>
          <w:tcPr>
            <w:tcW w:w="2835" w:type="dxa"/>
            <w:vAlign w:val="center"/>
          </w:tcPr>
          <w:p w14:paraId="42E6933D">
            <w:pPr>
              <w:pStyle w:val="12"/>
            </w:pPr>
            <w:r>
              <w:t>受益学生家长及调查满意度</w:t>
            </w:r>
          </w:p>
        </w:tc>
        <w:tc>
          <w:tcPr>
            <w:tcW w:w="5386" w:type="dxa"/>
            <w:vAlign w:val="center"/>
          </w:tcPr>
          <w:p w14:paraId="73C6ED4D">
            <w:pPr>
              <w:pStyle w:val="12"/>
            </w:pPr>
            <w:r>
              <w:t>学生、教师及家长对学校工作满意度情况</w:t>
            </w:r>
          </w:p>
        </w:tc>
        <w:tc>
          <w:tcPr>
            <w:tcW w:w="2268" w:type="dxa"/>
            <w:vAlign w:val="center"/>
          </w:tcPr>
          <w:p w14:paraId="787C4494">
            <w:pPr>
              <w:pStyle w:val="12"/>
            </w:pPr>
            <w:r>
              <w:t>≥95%</w:t>
            </w:r>
          </w:p>
        </w:tc>
        <w:tc>
          <w:tcPr>
            <w:tcW w:w="1276" w:type="dxa"/>
            <w:vAlign w:val="center"/>
          </w:tcPr>
          <w:p w14:paraId="314DE647">
            <w:pPr>
              <w:pStyle w:val="12"/>
            </w:pPr>
            <w:r>
              <w:t>群众测评</w:t>
            </w:r>
          </w:p>
        </w:tc>
      </w:tr>
    </w:tbl>
    <w:p w14:paraId="0E0B29AB">
      <w:pPr>
        <w:sectPr>
          <w:pgSz w:w="16840" w:h="11900" w:orient="landscape"/>
          <w:pgMar w:top="1361" w:right="1020" w:bottom="1134" w:left="1020" w:header="720" w:footer="720" w:gutter="0"/>
          <w:cols w:space="720" w:num="1"/>
        </w:sectPr>
      </w:pPr>
    </w:p>
    <w:p w14:paraId="056ED74E">
      <w:pPr>
        <w:spacing w:before="0" w:after="0"/>
        <w:ind w:firstLine="560"/>
        <w:jc w:val="left"/>
        <w:outlineLvl w:val="9"/>
      </w:pPr>
      <w:r>
        <w:rPr>
          <w:rFonts w:ascii="方正仿宋_GBK" w:hAnsi="方正仿宋_GBK" w:eastAsia="方正仿宋_GBK" w:cs="方正仿宋_GBK"/>
          <w:b/>
          <w:color w:val="000000"/>
          <w:sz w:val="28"/>
        </w:rPr>
        <w:t>15、冀财教[2025]147号/省级/2026年义教补助经费/莲子镇校区白家寨小学公用经费绩效目标表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B29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7373F">
            <w:pPr>
              <w:pStyle w:val="11"/>
            </w:pPr>
            <w:r>
              <w:t>单位：万元</w:t>
            </w:r>
          </w:p>
        </w:tc>
      </w:tr>
      <w:tr w14:paraId="2CC9C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B572B">
            <w:pPr>
              <w:pStyle w:val="10"/>
            </w:pPr>
            <w:r>
              <w:t>项目编码</w:t>
            </w:r>
          </w:p>
        </w:tc>
        <w:tc>
          <w:tcPr>
            <w:tcW w:w="5103" w:type="dxa"/>
            <w:gridSpan w:val="2"/>
            <w:vAlign w:val="center"/>
          </w:tcPr>
          <w:p w14:paraId="0474E7C1">
            <w:pPr>
              <w:pStyle w:val="12"/>
            </w:pPr>
            <w:r>
              <w:t>13052526P000004104017</w:t>
            </w:r>
          </w:p>
        </w:tc>
        <w:tc>
          <w:tcPr>
            <w:tcW w:w="2835" w:type="dxa"/>
            <w:vAlign w:val="center"/>
          </w:tcPr>
          <w:p w14:paraId="54F11651">
            <w:pPr>
              <w:pStyle w:val="10"/>
            </w:pPr>
            <w:r>
              <w:t>项目名称</w:t>
            </w:r>
          </w:p>
        </w:tc>
        <w:tc>
          <w:tcPr>
            <w:tcW w:w="6095" w:type="dxa"/>
            <w:gridSpan w:val="3"/>
            <w:vAlign w:val="center"/>
          </w:tcPr>
          <w:p w14:paraId="29537420">
            <w:pPr>
              <w:pStyle w:val="12"/>
            </w:pPr>
            <w:r>
              <w:t>冀财教[2025]147号/省级/2026年义教补助经费/莲子镇校区白家寨小学公用经费</w:t>
            </w:r>
          </w:p>
        </w:tc>
      </w:tr>
      <w:tr w14:paraId="5D3C9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3910F">
            <w:pPr>
              <w:pStyle w:val="10"/>
            </w:pPr>
            <w:r>
              <w:t>预算规模及资金用途</w:t>
            </w:r>
          </w:p>
        </w:tc>
        <w:tc>
          <w:tcPr>
            <w:tcW w:w="2268" w:type="dxa"/>
            <w:vAlign w:val="center"/>
          </w:tcPr>
          <w:p w14:paraId="4C09B401">
            <w:pPr>
              <w:pStyle w:val="10"/>
            </w:pPr>
            <w:r>
              <w:t>预算数</w:t>
            </w:r>
          </w:p>
        </w:tc>
        <w:tc>
          <w:tcPr>
            <w:tcW w:w="2835" w:type="dxa"/>
            <w:vAlign w:val="center"/>
          </w:tcPr>
          <w:p w14:paraId="237D7E53">
            <w:pPr>
              <w:pStyle w:val="12"/>
            </w:pPr>
            <w:r>
              <w:t>9.18</w:t>
            </w:r>
          </w:p>
        </w:tc>
        <w:tc>
          <w:tcPr>
            <w:tcW w:w="2835" w:type="dxa"/>
            <w:vAlign w:val="center"/>
          </w:tcPr>
          <w:p w14:paraId="35DD840F">
            <w:pPr>
              <w:pStyle w:val="10"/>
            </w:pPr>
            <w:r>
              <w:t>其中：财政    资金</w:t>
            </w:r>
          </w:p>
        </w:tc>
        <w:tc>
          <w:tcPr>
            <w:tcW w:w="2551" w:type="dxa"/>
            <w:vAlign w:val="center"/>
          </w:tcPr>
          <w:p w14:paraId="28CE5741">
            <w:pPr>
              <w:pStyle w:val="12"/>
            </w:pPr>
            <w:r>
              <w:t>9.18</w:t>
            </w:r>
          </w:p>
        </w:tc>
        <w:tc>
          <w:tcPr>
            <w:tcW w:w="2268" w:type="dxa"/>
            <w:vAlign w:val="center"/>
          </w:tcPr>
          <w:p w14:paraId="5F9BA00F">
            <w:pPr>
              <w:pStyle w:val="10"/>
            </w:pPr>
            <w:r>
              <w:t>其他资金</w:t>
            </w:r>
          </w:p>
        </w:tc>
        <w:tc>
          <w:tcPr>
            <w:tcW w:w="1276" w:type="dxa"/>
            <w:vAlign w:val="center"/>
          </w:tcPr>
          <w:p w14:paraId="3F85888A">
            <w:pPr>
              <w:pStyle w:val="12"/>
            </w:pPr>
            <w:r>
              <w:t xml:space="preserve"> </w:t>
            </w:r>
          </w:p>
        </w:tc>
      </w:tr>
      <w:tr w14:paraId="6F884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63314"/>
        </w:tc>
        <w:tc>
          <w:tcPr>
            <w:tcW w:w="14033" w:type="dxa"/>
            <w:gridSpan w:val="6"/>
            <w:vAlign w:val="center"/>
          </w:tcPr>
          <w:p w14:paraId="6CB6BF01">
            <w:pPr>
              <w:pStyle w:val="12"/>
            </w:pPr>
            <w:r>
              <w:t>保障学校正常运转，完成各项教育教学活动和其他日常工作任务等方面的费用支出。</w:t>
            </w:r>
          </w:p>
        </w:tc>
      </w:tr>
      <w:tr w14:paraId="2E4A9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CE88D">
            <w:pPr>
              <w:pStyle w:val="10"/>
            </w:pPr>
            <w:r>
              <w:t>资金支出计划（%）</w:t>
            </w:r>
          </w:p>
        </w:tc>
        <w:tc>
          <w:tcPr>
            <w:tcW w:w="5103" w:type="dxa"/>
            <w:gridSpan w:val="2"/>
            <w:vAlign w:val="center"/>
          </w:tcPr>
          <w:p w14:paraId="3CCC73E7">
            <w:pPr>
              <w:pStyle w:val="10"/>
            </w:pPr>
            <w:r>
              <w:t>3月底</w:t>
            </w:r>
          </w:p>
        </w:tc>
        <w:tc>
          <w:tcPr>
            <w:tcW w:w="2835" w:type="dxa"/>
            <w:vAlign w:val="center"/>
          </w:tcPr>
          <w:p w14:paraId="33A6A953">
            <w:pPr>
              <w:pStyle w:val="10"/>
            </w:pPr>
            <w:r>
              <w:t>6月底</w:t>
            </w:r>
          </w:p>
        </w:tc>
        <w:tc>
          <w:tcPr>
            <w:tcW w:w="2551" w:type="dxa"/>
            <w:vAlign w:val="center"/>
          </w:tcPr>
          <w:p w14:paraId="726E786D">
            <w:pPr>
              <w:pStyle w:val="10"/>
            </w:pPr>
            <w:r>
              <w:t>10月底</w:t>
            </w:r>
          </w:p>
        </w:tc>
        <w:tc>
          <w:tcPr>
            <w:tcW w:w="3544" w:type="dxa"/>
            <w:gridSpan w:val="2"/>
            <w:vAlign w:val="center"/>
          </w:tcPr>
          <w:p w14:paraId="5578F887">
            <w:pPr>
              <w:pStyle w:val="10"/>
            </w:pPr>
            <w:r>
              <w:t>12月底</w:t>
            </w:r>
          </w:p>
        </w:tc>
      </w:tr>
      <w:tr w14:paraId="2E3A4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2D68E"/>
        </w:tc>
        <w:tc>
          <w:tcPr>
            <w:tcW w:w="5103" w:type="dxa"/>
            <w:gridSpan w:val="2"/>
            <w:vAlign w:val="center"/>
          </w:tcPr>
          <w:p w14:paraId="4B1E4FD0">
            <w:pPr>
              <w:pStyle w:val="13"/>
            </w:pPr>
            <w:r>
              <w:t>25%</w:t>
            </w:r>
          </w:p>
        </w:tc>
        <w:tc>
          <w:tcPr>
            <w:tcW w:w="2835" w:type="dxa"/>
            <w:vAlign w:val="center"/>
          </w:tcPr>
          <w:p w14:paraId="34ADBD5C">
            <w:pPr>
              <w:pStyle w:val="13"/>
            </w:pPr>
            <w:r>
              <w:t>50%</w:t>
            </w:r>
          </w:p>
        </w:tc>
        <w:tc>
          <w:tcPr>
            <w:tcW w:w="2551" w:type="dxa"/>
            <w:vAlign w:val="center"/>
          </w:tcPr>
          <w:p w14:paraId="3149FCDC">
            <w:pPr>
              <w:pStyle w:val="13"/>
            </w:pPr>
            <w:r>
              <w:t>75%</w:t>
            </w:r>
          </w:p>
        </w:tc>
        <w:tc>
          <w:tcPr>
            <w:tcW w:w="3544" w:type="dxa"/>
            <w:gridSpan w:val="2"/>
            <w:vAlign w:val="center"/>
          </w:tcPr>
          <w:p w14:paraId="2EB014B4">
            <w:pPr>
              <w:pStyle w:val="13"/>
            </w:pPr>
            <w:r>
              <w:t>100%</w:t>
            </w:r>
          </w:p>
        </w:tc>
      </w:tr>
      <w:tr w14:paraId="1BEF5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FE9BB">
            <w:pPr>
              <w:pStyle w:val="10"/>
            </w:pPr>
            <w:r>
              <w:t>绩效目标</w:t>
            </w:r>
          </w:p>
        </w:tc>
        <w:tc>
          <w:tcPr>
            <w:tcW w:w="14033" w:type="dxa"/>
            <w:gridSpan w:val="6"/>
            <w:vAlign w:val="center"/>
          </w:tcPr>
          <w:p w14:paraId="46ECF879">
            <w:pPr>
              <w:pStyle w:val="12"/>
            </w:pPr>
            <w:r>
              <w:t>1.按季度分批次拨付公用经费资金，资金拨付率达到100%。</w:t>
            </w:r>
          </w:p>
          <w:p w14:paraId="78AD91C1">
            <w:pPr>
              <w:pStyle w:val="12"/>
            </w:pPr>
            <w:r>
              <w:t>2.保障学校正常运转，完成各项教育教学活动和其他日常工作任务等方面的费用支出。</w:t>
            </w:r>
          </w:p>
        </w:tc>
      </w:tr>
    </w:tbl>
    <w:p w14:paraId="2475D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C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4972E">
            <w:pPr>
              <w:pStyle w:val="10"/>
            </w:pPr>
            <w:r>
              <w:t>一级指标</w:t>
            </w:r>
          </w:p>
        </w:tc>
        <w:tc>
          <w:tcPr>
            <w:tcW w:w="2268" w:type="dxa"/>
            <w:vAlign w:val="center"/>
          </w:tcPr>
          <w:p w14:paraId="4CEEB739">
            <w:pPr>
              <w:pStyle w:val="10"/>
            </w:pPr>
            <w:r>
              <w:t>二级指标</w:t>
            </w:r>
          </w:p>
        </w:tc>
        <w:tc>
          <w:tcPr>
            <w:tcW w:w="2835" w:type="dxa"/>
            <w:vAlign w:val="center"/>
          </w:tcPr>
          <w:p w14:paraId="3996B7FF">
            <w:pPr>
              <w:pStyle w:val="10"/>
            </w:pPr>
            <w:r>
              <w:t>三级指标</w:t>
            </w:r>
          </w:p>
        </w:tc>
        <w:tc>
          <w:tcPr>
            <w:tcW w:w="5386" w:type="dxa"/>
            <w:vAlign w:val="center"/>
          </w:tcPr>
          <w:p w14:paraId="4432E829">
            <w:pPr>
              <w:pStyle w:val="10"/>
            </w:pPr>
            <w:r>
              <w:t>绩效指标描述</w:t>
            </w:r>
          </w:p>
        </w:tc>
        <w:tc>
          <w:tcPr>
            <w:tcW w:w="2268" w:type="dxa"/>
            <w:vAlign w:val="center"/>
          </w:tcPr>
          <w:p w14:paraId="70278CB5">
            <w:pPr>
              <w:pStyle w:val="10"/>
            </w:pPr>
            <w:r>
              <w:t>指标值</w:t>
            </w:r>
          </w:p>
        </w:tc>
        <w:tc>
          <w:tcPr>
            <w:tcW w:w="1276" w:type="dxa"/>
            <w:vAlign w:val="center"/>
          </w:tcPr>
          <w:p w14:paraId="753912C6">
            <w:pPr>
              <w:pStyle w:val="10"/>
            </w:pPr>
            <w:r>
              <w:t>指标值确定依据</w:t>
            </w:r>
          </w:p>
        </w:tc>
      </w:tr>
      <w:tr w14:paraId="751C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DE072">
            <w:pPr>
              <w:pStyle w:val="13"/>
            </w:pPr>
            <w:r>
              <w:t>产出指标</w:t>
            </w:r>
          </w:p>
        </w:tc>
        <w:tc>
          <w:tcPr>
            <w:tcW w:w="2268" w:type="dxa"/>
            <w:vAlign w:val="center"/>
          </w:tcPr>
          <w:p w14:paraId="347594ED">
            <w:pPr>
              <w:pStyle w:val="12"/>
            </w:pPr>
            <w:r>
              <w:t>数量指标</w:t>
            </w:r>
          </w:p>
        </w:tc>
        <w:tc>
          <w:tcPr>
            <w:tcW w:w="2835" w:type="dxa"/>
            <w:vAlign w:val="center"/>
          </w:tcPr>
          <w:p w14:paraId="18D90FAA">
            <w:pPr>
              <w:pStyle w:val="12"/>
            </w:pPr>
            <w:r>
              <w:t>就读学生数</w:t>
            </w:r>
          </w:p>
        </w:tc>
        <w:tc>
          <w:tcPr>
            <w:tcW w:w="5386" w:type="dxa"/>
            <w:vAlign w:val="center"/>
          </w:tcPr>
          <w:p w14:paraId="5F139390">
            <w:pPr>
              <w:pStyle w:val="12"/>
            </w:pPr>
            <w:r>
              <w:t>辐射区域内适龄学生人数</w:t>
            </w:r>
          </w:p>
        </w:tc>
        <w:tc>
          <w:tcPr>
            <w:tcW w:w="2268" w:type="dxa"/>
            <w:vAlign w:val="center"/>
          </w:tcPr>
          <w:p w14:paraId="46460FD3">
            <w:pPr>
              <w:pStyle w:val="12"/>
            </w:pPr>
            <w:r>
              <w:t>317人</w:t>
            </w:r>
          </w:p>
        </w:tc>
        <w:tc>
          <w:tcPr>
            <w:tcW w:w="1276" w:type="dxa"/>
            <w:vAlign w:val="center"/>
          </w:tcPr>
          <w:p w14:paraId="3D2D8412">
            <w:pPr>
              <w:pStyle w:val="12"/>
            </w:pPr>
            <w:r>
              <w:t>城乡义务教育公用经费管理办法</w:t>
            </w:r>
          </w:p>
        </w:tc>
      </w:tr>
      <w:tr w14:paraId="2904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43816"/>
        </w:tc>
        <w:tc>
          <w:tcPr>
            <w:tcW w:w="2268" w:type="dxa"/>
            <w:vAlign w:val="center"/>
          </w:tcPr>
          <w:p w14:paraId="618F6BAB">
            <w:pPr>
              <w:pStyle w:val="12"/>
            </w:pPr>
            <w:r>
              <w:t>质量指标</w:t>
            </w:r>
          </w:p>
        </w:tc>
        <w:tc>
          <w:tcPr>
            <w:tcW w:w="2835" w:type="dxa"/>
            <w:vAlign w:val="center"/>
          </w:tcPr>
          <w:p w14:paraId="61C5214D">
            <w:pPr>
              <w:pStyle w:val="12"/>
            </w:pPr>
            <w:r>
              <w:t>预算执行率</w:t>
            </w:r>
          </w:p>
        </w:tc>
        <w:tc>
          <w:tcPr>
            <w:tcW w:w="5386" w:type="dxa"/>
            <w:vAlign w:val="center"/>
          </w:tcPr>
          <w:p w14:paraId="76D17F13">
            <w:pPr>
              <w:pStyle w:val="12"/>
            </w:pPr>
            <w:r>
              <w:t>预算执行率</w:t>
            </w:r>
          </w:p>
        </w:tc>
        <w:tc>
          <w:tcPr>
            <w:tcW w:w="2268" w:type="dxa"/>
            <w:vAlign w:val="center"/>
          </w:tcPr>
          <w:p w14:paraId="1F53923A">
            <w:pPr>
              <w:pStyle w:val="12"/>
            </w:pPr>
            <w:r>
              <w:t>≥95%</w:t>
            </w:r>
          </w:p>
        </w:tc>
        <w:tc>
          <w:tcPr>
            <w:tcW w:w="1276" w:type="dxa"/>
            <w:vAlign w:val="center"/>
          </w:tcPr>
          <w:p w14:paraId="5688E843">
            <w:pPr>
              <w:pStyle w:val="12"/>
            </w:pPr>
            <w:r>
              <w:t>城乡义务教育公用经费管理办法</w:t>
            </w:r>
          </w:p>
        </w:tc>
      </w:tr>
      <w:tr w14:paraId="71F6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2ADF2"/>
        </w:tc>
        <w:tc>
          <w:tcPr>
            <w:tcW w:w="2268" w:type="dxa"/>
            <w:vAlign w:val="center"/>
          </w:tcPr>
          <w:p w14:paraId="716F809D">
            <w:pPr>
              <w:pStyle w:val="12"/>
            </w:pPr>
            <w:r>
              <w:t>时效指标</w:t>
            </w:r>
          </w:p>
        </w:tc>
        <w:tc>
          <w:tcPr>
            <w:tcW w:w="2835" w:type="dxa"/>
            <w:vAlign w:val="center"/>
          </w:tcPr>
          <w:p w14:paraId="3F209105">
            <w:pPr>
              <w:pStyle w:val="12"/>
            </w:pPr>
            <w:r>
              <w:t>义教经费支付完成率</w:t>
            </w:r>
          </w:p>
        </w:tc>
        <w:tc>
          <w:tcPr>
            <w:tcW w:w="5386" w:type="dxa"/>
            <w:vAlign w:val="center"/>
          </w:tcPr>
          <w:p w14:paraId="56BFD1A6">
            <w:pPr>
              <w:pStyle w:val="12"/>
            </w:pPr>
            <w:r>
              <w:t>按照序时进度完成资金支付</w:t>
            </w:r>
          </w:p>
        </w:tc>
        <w:tc>
          <w:tcPr>
            <w:tcW w:w="2268" w:type="dxa"/>
            <w:vAlign w:val="center"/>
          </w:tcPr>
          <w:p w14:paraId="5F306027">
            <w:pPr>
              <w:pStyle w:val="12"/>
            </w:pPr>
            <w:r>
              <w:t>100%</w:t>
            </w:r>
          </w:p>
        </w:tc>
        <w:tc>
          <w:tcPr>
            <w:tcW w:w="1276" w:type="dxa"/>
            <w:vAlign w:val="center"/>
          </w:tcPr>
          <w:p w14:paraId="14D61A41">
            <w:pPr>
              <w:pStyle w:val="12"/>
            </w:pPr>
            <w:r>
              <w:t>城乡义务教育公用经费管理办法</w:t>
            </w:r>
          </w:p>
        </w:tc>
      </w:tr>
      <w:tr w14:paraId="70110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A4C86"/>
        </w:tc>
        <w:tc>
          <w:tcPr>
            <w:tcW w:w="2268" w:type="dxa"/>
            <w:vAlign w:val="center"/>
          </w:tcPr>
          <w:p w14:paraId="522789D4">
            <w:pPr>
              <w:pStyle w:val="12"/>
            </w:pPr>
            <w:r>
              <w:t>成本指标</w:t>
            </w:r>
          </w:p>
        </w:tc>
        <w:tc>
          <w:tcPr>
            <w:tcW w:w="2835" w:type="dxa"/>
            <w:vAlign w:val="center"/>
          </w:tcPr>
          <w:p w14:paraId="0FDD4876">
            <w:pPr>
              <w:pStyle w:val="12"/>
            </w:pPr>
            <w:r>
              <w:t>生均拨款标准</w:t>
            </w:r>
          </w:p>
        </w:tc>
        <w:tc>
          <w:tcPr>
            <w:tcW w:w="5386" w:type="dxa"/>
            <w:vAlign w:val="center"/>
          </w:tcPr>
          <w:p w14:paraId="3441F5A1">
            <w:pPr>
              <w:pStyle w:val="12"/>
            </w:pPr>
            <w:r>
              <w:t>小学生公用经费生均公用经费基准定额为720元/年/生，取暖费120元/年/生，住宿生补助300元/年/生的标准，随班就读学生补助7000元/生/年</w:t>
            </w:r>
          </w:p>
        </w:tc>
        <w:tc>
          <w:tcPr>
            <w:tcW w:w="2268" w:type="dxa"/>
            <w:vAlign w:val="center"/>
          </w:tcPr>
          <w:p w14:paraId="087BDE5E">
            <w:pPr>
              <w:pStyle w:val="12"/>
            </w:pPr>
            <w:r>
              <w:t>840元</w:t>
            </w:r>
          </w:p>
        </w:tc>
        <w:tc>
          <w:tcPr>
            <w:tcW w:w="1276" w:type="dxa"/>
            <w:vAlign w:val="center"/>
          </w:tcPr>
          <w:p w14:paraId="0527C850">
            <w:pPr>
              <w:pStyle w:val="12"/>
            </w:pPr>
            <w:r>
              <w:t>城乡义务教育公用经费管理办法</w:t>
            </w:r>
          </w:p>
        </w:tc>
      </w:tr>
      <w:tr w14:paraId="4469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A2386">
            <w:pPr>
              <w:pStyle w:val="13"/>
            </w:pPr>
            <w:r>
              <w:t>效益指标</w:t>
            </w:r>
          </w:p>
        </w:tc>
        <w:tc>
          <w:tcPr>
            <w:tcW w:w="2268" w:type="dxa"/>
            <w:vAlign w:val="center"/>
          </w:tcPr>
          <w:p w14:paraId="073BFDFA">
            <w:pPr>
              <w:pStyle w:val="12"/>
            </w:pPr>
            <w:r>
              <w:t>可持续影响指标</w:t>
            </w:r>
          </w:p>
        </w:tc>
        <w:tc>
          <w:tcPr>
            <w:tcW w:w="2835" w:type="dxa"/>
            <w:vAlign w:val="center"/>
          </w:tcPr>
          <w:p w14:paraId="6B3A0D61">
            <w:pPr>
              <w:pStyle w:val="12"/>
            </w:pPr>
            <w:r>
              <w:t>学校运转得到提高</w:t>
            </w:r>
          </w:p>
        </w:tc>
        <w:tc>
          <w:tcPr>
            <w:tcW w:w="5386" w:type="dxa"/>
            <w:vAlign w:val="center"/>
          </w:tcPr>
          <w:p w14:paraId="4F3EF86B">
            <w:pPr>
              <w:pStyle w:val="12"/>
            </w:pPr>
            <w:r>
              <w:t>学生受教育年限</w:t>
            </w:r>
          </w:p>
        </w:tc>
        <w:tc>
          <w:tcPr>
            <w:tcW w:w="2268" w:type="dxa"/>
            <w:vAlign w:val="center"/>
          </w:tcPr>
          <w:p w14:paraId="1E95176D">
            <w:pPr>
              <w:pStyle w:val="12"/>
            </w:pPr>
            <w:r>
              <w:t>6年</w:t>
            </w:r>
          </w:p>
        </w:tc>
        <w:tc>
          <w:tcPr>
            <w:tcW w:w="1276" w:type="dxa"/>
            <w:vAlign w:val="center"/>
          </w:tcPr>
          <w:p w14:paraId="2E1A6ED5">
            <w:pPr>
              <w:pStyle w:val="12"/>
            </w:pPr>
            <w:r>
              <w:t>城乡义务教育公用经费管理办法</w:t>
            </w:r>
          </w:p>
        </w:tc>
      </w:tr>
      <w:tr w14:paraId="0DC4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3B07A">
            <w:pPr>
              <w:pStyle w:val="13"/>
            </w:pPr>
            <w:r>
              <w:t>满意度指标</w:t>
            </w:r>
          </w:p>
        </w:tc>
        <w:tc>
          <w:tcPr>
            <w:tcW w:w="2268" w:type="dxa"/>
            <w:vAlign w:val="center"/>
          </w:tcPr>
          <w:p w14:paraId="227ED207">
            <w:pPr>
              <w:pStyle w:val="12"/>
            </w:pPr>
            <w:r>
              <w:t>服务对象满意度指标</w:t>
            </w:r>
          </w:p>
        </w:tc>
        <w:tc>
          <w:tcPr>
            <w:tcW w:w="2835" w:type="dxa"/>
            <w:vAlign w:val="center"/>
          </w:tcPr>
          <w:p w14:paraId="69E25A98">
            <w:pPr>
              <w:pStyle w:val="12"/>
            </w:pPr>
            <w:r>
              <w:t>服务对象满意度</w:t>
            </w:r>
          </w:p>
        </w:tc>
        <w:tc>
          <w:tcPr>
            <w:tcW w:w="5386" w:type="dxa"/>
            <w:vAlign w:val="center"/>
          </w:tcPr>
          <w:p w14:paraId="72F2DADF">
            <w:pPr>
              <w:pStyle w:val="12"/>
            </w:pPr>
            <w:r>
              <w:t>学校老师和学生满意度</w:t>
            </w:r>
          </w:p>
        </w:tc>
        <w:tc>
          <w:tcPr>
            <w:tcW w:w="2268" w:type="dxa"/>
            <w:vAlign w:val="center"/>
          </w:tcPr>
          <w:p w14:paraId="19054D84">
            <w:pPr>
              <w:pStyle w:val="12"/>
            </w:pPr>
            <w:r>
              <w:t>≥95%</w:t>
            </w:r>
          </w:p>
        </w:tc>
        <w:tc>
          <w:tcPr>
            <w:tcW w:w="1276" w:type="dxa"/>
            <w:vAlign w:val="center"/>
          </w:tcPr>
          <w:p w14:paraId="6B75A9E8">
            <w:pPr>
              <w:pStyle w:val="12"/>
            </w:pPr>
            <w:r>
              <w:t>群众测评</w:t>
            </w:r>
          </w:p>
        </w:tc>
      </w:tr>
    </w:tbl>
    <w:p w14:paraId="620549FB">
      <w:pPr>
        <w:sectPr>
          <w:pgSz w:w="16840" w:h="11900" w:orient="landscape"/>
          <w:pgMar w:top="1361" w:right="1020" w:bottom="1134" w:left="1020" w:header="720" w:footer="720" w:gutter="0"/>
          <w:cols w:space="720" w:num="1"/>
        </w:sectPr>
      </w:pPr>
    </w:p>
    <w:p w14:paraId="02076700">
      <w:pPr>
        <w:spacing w:before="0" w:after="0"/>
        <w:ind w:firstLine="560"/>
        <w:jc w:val="left"/>
        <w:outlineLvl w:val="9"/>
      </w:pPr>
      <w:r>
        <w:rPr>
          <w:rFonts w:ascii="方正仿宋_GBK" w:hAnsi="方正仿宋_GBK" w:eastAsia="方正仿宋_GBK" w:cs="方正仿宋_GBK"/>
          <w:b/>
          <w:color w:val="000000"/>
          <w:sz w:val="28"/>
        </w:rPr>
        <w:t>16、冀财教[2025]147号/省级/2026年义教补助经费/莲子镇校区莲子镇小学公用经费绩效目标表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40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365E0">
            <w:pPr>
              <w:pStyle w:val="11"/>
            </w:pPr>
            <w:r>
              <w:t>单位：万元</w:t>
            </w:r>
          </w:p>
        </w:tc>
      </w:tr>
      <w:tr w14:paraId="32F33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3FDE2">
            <w:pPr>
              <w:pStyle w:val="10"/>
            </w:pPr>
            <w:r>
              <w:t>项目编码</w:t>
            </w:r>
          </w:p>
        </w:tc>
        <w:tc>
          <w:tcPr>
            <w:tcW w:w="5103" w:type="dxa"/>
            <w:gridSpan w:val="2"/>
            <w:vAlign w:val="center"/>
          </w:tcPr>
          <w:p w14:paraId="665E51B3">
            <w:pPr>
              <w:pStyle w:val="12"/>
            </w:pPr>
            <w:r>
              <w:t>13052526P00000410400K</w:t>
            </w:r>
          </w:p>
        </w:tc>
        <w:tc>
          <w:tcPr>
            <w:tcW w:w="2835" w:type="dxa"/>
            <w:vAlign w:val="center"/>
          </w:tcPr>
          <w:p w14:paraId="227D382D">
            <w:pPr>
              <w:pStyle w:val="10"/>
            </w:pPr>
            <w:r>
              <w:t>项目名称</w:t>
            </w:r>
          </w:p>
        </w:tc>
        <w:tc>
          <w:tcPr>
            <w:tcW w:w="6095" w:type="dxa"/>
            <w:gridSpan w:val="3"/>
            <w:vAlign w:val="center"/>
          </w:tcPr>
          <w:p w14:paraId="6AA4CD53">
            <w:pPr>
              <w:pStyle w:val="12"/>
            </w:pPr>
            <w:r>
              <w:t>冀财教[2025]147号/省级/2026年义教补助经费/莲子镇校区莲子镇小学公用经费</w:t>
            </w:r>
          </w:p>
        </w:tc>
      </w:tr>
      <w:tr w14:paraId="424BA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6C358">
            <w:pPr>
              <w:pStyle w:val="10"/>
            </w:pPr>
            <w:r>
              <w:t>预算规模及资金用途</w:t>
            </w:r>
          </w:p>
        </w:tc>
        <w:tc>
          <w:tcPr>
            <w:tcW w:w="2268" w:type="dxa"/>
            <w:vAlign w:val="center"/>
          </w:tcPr>
          <w:p w14:paraId="7336995B">
            <w:pPr>
              <w:pStyle w:val="10"/>
            </w:pPr>
            <w:r>
              <w:t>预算数</w:t>
            </w:r>
          </w:p>
        </w:tc>
        <w:tc>
          <w:tcPr>
            <w:tcW w:w="2835" w:type="dxa"/>
            <w:vAlign w:val="center"/>
          </w:tcPr>
          <w:p w14:paraId="33F00151">
            <w:pPr>
              <w:pStyle w:val="12"/>
            </w:pPr>
            <w:r>
              <w:t>18.47</w:t>
            </w:r>
          </w:p>
        </w:tc>
        <w:tc>
          <w:tcPr>
            <w:tcW w:w="2835" w:type="dxa"/>
            <w:vAlign w:val="center"/>
          </w:tcPr>
          <w:p w14:paraId="4A1F5CD1">
            <w:pPr>
              <w:pStyle w:val="10"/>
            </w:pPr>
            <w:r>
              <w:t>其中：财政    资金</w:t>
            </w:r>
          </w:p>
        </w:tc>
        <w:tc>
          <w:tcPr>
            <w:tcW w:w="2551" w:type="dxa"/>
            <w:vAlign w:val="center"/>
          </w:tcPr>
          <w:p w14:paraId="62B396FA">
            <w:pPr>
              <w:pStyle w:val="12"/>
            </w:pPr>
            <w:r>
              <w:t>18.47</w:t>
            </w:r>
          </w:p>
        </w:tc>
        <w:tc>
          <w:tcPr>
            <w:tcW w:w="2268" w:type="dxa"/>
            <w:vAlign w:val="center"/>
          </w:tcPr>
          <w:p w14:paraId="7E31AAD6">
            <w:pPr>
              <w:pStyle w:val="10"/>
            </w:pPr>
            <w:r>
              <w:t>其他资金</w:t>
            </w:r>
          </w:p>
        </w:tc>
        <w:tc>
          <w:tcPr>
            <w:tcW w:w="1276" w:type="dxa"/>
            <w:vAlign w:val="center"/>
          </w:tcPr>
          <w:p w14:paraId="4DFCA27F">
            <w:pPr>
              <w:pStyle w:val="12"/>
            </w:pPr>
            <w:r>
              <w:t xml:space="preserve"> </w:t>
            </w:r>
          </w:p>
        </w:tc>
      </w:tr>
      <w:tr w14:paraId="6B0E2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5107A"/>
        </w:tc>
        <w:tc>
          <w:tcPr>
            <w:tcW w:w="14033" w:type="dxa"/>
            <w:gridSpan w:val="6"/>
            <w:vAlign w:val="center"/>
          </w:tcPr>
          <w:p w14:paraId="52406831">
            <w:pPr>
              <w:pStyle w:val="12"/>
            </w:pPr>
            <w:r>
              <w:t>保障学校正常运转，完成各项教育教学活动和其他日常工作任务等方面的费用支出。</w:t>
            </w:r>
          </w:p>
        </w:tc>
      </w:tr>
      <w:tr w14:paraId="79CB5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615D4">
            <w:pPr>
              <w:pStyle w:val="10"/>
            </w:pPr>
            <w:r>
              <w:t>资金支出计划（%）</w:t>
            </w:r>
          </w:p>
        </w:tc>
        <w:tc>
          <w:tcPr>
            <w:tcW w:w="5103" w:type="dxa"/>
            <w:gridSpan w:val="2"/>
            <w:vAlign w:val="center"/>
          </w:tcPr>
          <w:p w14:paraId="5E700C82">
            <w:pPr>
              <w:pStyle w:val="10"/>
            </w:pPr>
            <w:r>
              <w:t>3月底</w:t>
            </w:r>
          </w:p>
        </w:tc>
        <w:tc>
          <w:tcPr>
            <w:tcW w:w="2835" w:type="dxa"/>
            <w:vAlign w:val="center"/>
          </w:tcPr>
          <w:p w14:paraId="20FBEAE9">
            <w:pPr>
              <w:pStyle w:val="10"/>
            </w:pPr>
            <w:r>
              <w:t>6月底</w:t>
            </w:r>
          </w:p>
        </w:tc>
        <w:tc>
          <w:tcPr>
            <w:tcW w:w="2551" w:type="dxa"/>
            <w:vAlign w:val="center"/>
          </w:tcPr>
          <w:p w14:paraId="55735528">
            <w:pPr>
              <w:pStyle w:val="10"/>
            </w:pPr>
            <w:r>
              <w:t>10月底</w:t>
            </w:r>
          </w:p>
        </w:tc>
        <w:tc>
          <w:tcPr>
            <w:tcW w:w="3544" w:type="dxa"/>
            <w:gridSpan w:val="2"/>
            <w:vAlign w:val="center"/>
          </w:tcPr>
          <w:p w14:paraId="181FB39A">
            <w:pPr>
              <w:pStyle w:val="10"/>
            </w:pPr>
            <w:r>
              <w:t>12月底</w:t>
            </w:r>
          </w:p>
        </w:tc>
      </w:tr>
      <w:tr w14:paraId="7C6E6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18F62"/>
        </w:tc>
        <w:tc>
          <w:tcPr>
            <w:tcW w:w="5103" w:type="dxa"/>
            <w:gridSpan w:val="2"/>
            <w:vAlign w:val="center"/>
          </w:tcPr>
          <w:p w14:paraId="2058AA40">
            <w:pPr>
              <w:pStyle w:val="13"/>
            </w:pPr>
            <w:r>
              <w:t>25%</w:t>
            </w:r>
          </w:p>
        </w:tc>
        <w:tc>
          <w:tcPr>
            <w:tcW w:w="2835" w:type="dxa"/>
            <w:vAlign w:val="center"/>
          </w:tcPr>
          <w:p w14:paraId="025C48AA">
            <w:pPr>
              <w:pStyle w:val="13"/>
            </w:pPr>
            <w:r>
              <w:t>50%</w:t>
            </w:r>
          </w:p>
        </w:tc>
        <w:tc>
          <w:tcPr>
            <w:tcW w:w="2551" w:type="dxa"/>
            <w:vAlign w:val="center"/>
          </w:tcPr>
          <w:p w14:paraId="3347BCCF">
            <w:pPr>
              <w:pStyle w:val="13"/>
            </w:pPr>
            <w:r>
              <w:t>75%</w:t>
            </w:r>
          </w:p>
        </w:tc>
        <w:tc>
          <w:tcPr>
            <w:tcW w:w="3544" w:type="dxa"/>
            <w:gridSpan w:val="2"/>
            <w:vAlign w:val="center"/>
          </w:tcPr>
          <w:p w14:paraId="4707BE35">
            <w:pPr>
              <w:pStyle w:val="13"/>
            </w:pPr>
            <w:r>
              <w:t>100%</w:t>
            </w:r>
          </w:p>
        </w:tc>
      </w:tr>
      <w:tr w14:paraId="2D9AA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98F42">
            <w:pPr>
              <w:pStyle w:val="10"/>
            </w:pPr>
            <w:r>
              <w:t>绩效目标</w:t>
            </w:r>
          </w:p>
        </w:tc>
        <w:tc>
          <w:tcPr>
            <w:tcW w:w="14033" w:type="dxa"/>
            <w:gridSpan w:val="6"/>
            <w:vAlign w:val="center"/>
          </w:tcPr>
          <w:p w14:paraId="3AA7F83D">
            <w:pPr>
              <w:pStyle w:val="12"/>
            </w:pPr>
            <w:r>
              <w:t>1.按季度分批次拨付公用经费资金，资金拨付率达到100%。</w:t>
            </w:r>
          </w:p>
          <w:p w14:paraId="6AE08C6D">
            <w:pPr>
              <w:pStyle w:val="12"/>
            </w:pPr>
            <w:r>
              <w:t>2.保障学校正常运转，完成各项教育教学活动和其他日常工作任务等方面的费用支出。</w:t>
            </w:r>
          </w:p>
        </w:tc>
      </w:tr>
    </w:tbl>
    <w:p w14:paraId="5C0C8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3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E8422A">
            <w:pPr>
              <w:pStyle w:val="10"/>
            </w:pPr>
            <w:r>
              <w:t>一级指标</w:t>
            </w:r>
          </w:p>
        </w:tc>
        <w:tc>
          <w:tcPr>
            <w:tcW w:w="2268" w:type="dxa"/>
            <w:vAlign w:val="center"/>
          </w:tcPr>
          <w:p w14:paraId="259F3F38">
            <w:pPr>
              <w:pStyle w:val="10"/>
            </w:pPr>
            <w:r>
              <w:t>二级指标</w:t>
            </w:r>
          </w:p>
        </w:tc>
        <w:tc>
          <w:tcPr>
            <w:tcW w:w="2835" w:type="dxa"/>
            <w:vAlign w:val="center"/>
          </w:tcPr>
          <w:p w14:paraId="39CC04E4">
            <w:pPr>
              <w:pStyle w:val="10"/>
            </w:pPr>
            <w:r>
              <w:t>三级指标</w:t>
            </w:r>
          </w:p>
        </w:tc>
        <w:tc>
          <w:tcPr>
            <w:tcW w:w="5386" w:type="dxa"/>
            <w:vAlign w:val="center"/>
          </w:tcPr>
          <w:p w14:paraId="5E32D37D">
            <w:pPr>
              <w:pStyle w:val="10"/>
            </w:pPr>
            <w:r>
              <w:t>绩效指标描述</w:t>
            </w:r>
          </w:p>
        </w:tc>
        <w:tc>
          <w:tcPr>
            <w:tcW w:w="2268" w:type="dxa"/>
            <w:vAlign w:val="center"/>
          </w:tcPr>
          <w:p w14:paraId="3F81DB5E">
            <w:pPr>
              <w:pStyle w:val="10"/>
            </w:pPr>
            <w:r>
              <w:t>指标值</w:t>
            </w:r>
          </w:p>
        </w:tc>
        <w:tc>
          <w:tcPr>
            <w:tcW w:w="1276" w:type="dxa"/>
            <w:vAlign w:val="center"/>
          </w:tcPr>
          <w:p w14:paraId="3C6B7D2E">
            <w:pPr>
              <w:pStyle w:val="10"/>
            </w:pPr>
            <w:r>
              <w:t>指标值确定依据</w:t>
            </w:r>
          </w:p>
        </w:tc>
      </w:tr>
      <w:tr w14:paraId="7750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6C6AE">
            <w:pPr>
              <w:pStyle w:val="13"/>
            </w:pPr>
            <w:r>
              <w:t>产出指标</w:t>
            </w:r>
          </w:p>
        </w:tc>
        <w:tc>
          <w:tcPr>
            <w:tcW w:w="2268" w:type="dxa"/>
            <w:vAlign w:val="center"/>
          </w:tcPr>
          <w:p w14:paraId="7B76ACFB">
            <w:pPr>
              <w:pStyle w:val="12"/>
            </w:pPr>
            <w:r>
              <w:t>数量指标</w:t>
            </w:r>
          </w:p>
        </w:tc>
        <w:tc>
          <w:tcPr>
            <w:tcW w:w="2835" w:type="dxa"/>
            <w:vAlign w:val="center"/>
          </w:tcPr>
          <w:p w14:paraId="6687774E">
            <w:pPr>
              <w:pStyle w:val="12"/>
            </w:pPr>
            <w:r>
              <w:t>就读学生数</w:t>
            </w:r>
          </w:p>
        </w:tc>
        <w:tc>
          <w:tcPr>
            <w:tcW w:w="5386" w:type="dxa"/>
            <w:vAlign w:val="center"/>
          </w:tcPr>
          <w:p w14:paraId="7654FC77">
            <w:pPr>
              <w:pStyle w:val="12"/>
            </w:pPr>
            <w:r>
              <w:t>辐射区域内适龄学生人数</w:t>
            </w:r>
          </w:p>
        </w:tc>
        <w:tc>
          <w:tcPr>
            <w:tcW w:w="2268" w:type="dxa"/>
            <w:vAlign w:val="center"/>
          </w:tcPr>
          <w:p w14:paraId="0900DDD8">
            <w:pPr>
              <w:pStyle w:val="12"/>
            </w:pPr>
            <w:r>
              <w:t>708人</w:t>
            </w:r>
          </w:p>
        </w:tc>
        <w:tc>
          <w:tcPr>
            <w:tcW w:w="1276" w:type="dxa"/>
            <w:vAlign w:val="center"/>
          </w:tcPr>
          <w:p w14:paraId="17C321A3">
            <w:pPr>
              <w:pStyle w:val="12"/>
            </w:pPr>
            <w:r>
              <w:t>城乡义务教育公用经费管理办法</w:t>
            </w:r>
          </w:p>
        </w:tc>
      </w:tr>
      <w:tr w14:paraId="031B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8DB28"/>
        </w:tc>
        <w:tc>
          <w:tcPr>
            <w:tcW w:w="2268" w:type="dxa"/>
            <w:vAlign w:val="center"/>
          </w:tcPr>
          <w:p w14:paraId="4201875B">
            <w:pPr>
              <w:pStyle w:val="12"/>
            </w:pPr>
            <w:r>
              <w:t>质量指标</w:t>
            </w:r>
          </w:p>
        </w:tc>
        <w:tc>
          <w:tcPr>
            <w:tcW w:w="2835" w:type="dxa"/>
            <w:vAlign w:val="center"/>
          </w:tcPr>
          <w:p w14:paraId="6394A4C9">
            <w:pPr>
              <w:pStyle w:val="12"/>
            </w:pPr>
            <w:r>
              <w:t>预算执行率</w:t>
            </w:r>
          </w:p>
        </w:tc>
        <w:tc>
          <w:tcPr>
            <w:tcW w:w="5386" w:type="dxa"/>
            <w:vAlign w:val="center"/>
          </w:tcPr>
          <w:p w14:paraId="400CE185">
            <w:pPr>
              <w:pStyle w:val="12"/>
            </w:pPr>
            <w:r>
              <w:t>预算执行率</w:t>
            </w:r>
          </w:p>
        </w:tc>
        <w:tc>
          <w:tcPr>
            <w:tcW w:w="2268" w:type="dxa"/>
            <w:vAlign w:val="center"/>
          </w:tcPr>
          <w:p w14:paraId="6DB8A51D">
            <w:pPr>
              <w:pStyle w:val="12"/>
            </w:pPr>
            <w:r>
              <w:t>≥95%</w:t>
            </w:r>
          </w:p>
        </w:tc>
        <w:tc>
          <w:tcPr>
            <w:tcW w:w="1276" w:type="dxa"/>
            <w:vAlign w:val="center"/>
          </w:tcPr>
          <w:p w14:paraId="78FA1C3B">
            <w:pPr>
              <w:pStyle w:val="12"/>
            </w:pPr>
            <w:r>
              <w:t>城乡义务教育公用经费管理办法</w:t>
            </w:r>
          </w:p>
        </w:tc>
      </w:tr>
      <w:tr w14:paraId="7E02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5D90A"/>
        </w:tc>
        <w:tc>
          <w:tcPr>
            <w:tcW w:w="2268" w:type="dxa"/>
            <w:vAlign w:val="center"/>
          </w:tcPr>
          <w:p w14:paraId="48C18C11">
            <w:pPr>
              <w:pStyle w:val="12"/>
            </w:pPr>
            <w:r>
              <w:t>时效指标</w:t>
            </w:r>
          </w:p>
        </w:tc>
        <w:tc>
          <w:tcPr>
            <w:tcW w:w="2835" w:type="dxa"/>
            <w:vAlign w:val="center"/>
          </w:tcPr>
          <w:p w14:paraId="29BFAFEE">
            <w:pPr>
              <w:pStyle w:val="12"/>
            </w:pPr>
            <w:r>
              <w:t>义教经费支付完成率</w:t>
            </w:r>
          </w:p>
        </w:tc>
        <w:tc>
          <w:tcPr>
            <w:tcW w:w="5386" w:type="dxa"/>
            <w:vAlign w:val="center"/>
          </w:tcPr>
          <w:p w14:paraId="761C26E8">
            <w:pPr>
              <w:pStyle w:val="12"/>
            </w:pPr>
            <w:r>
              <w:t>按照序时进度完成资金支付</w:t>
            </w:r>
          </w:p>
        </w:tc>
        <w:tc>
          <w:tcPr>
            <w:tcW w:w="2268" w:type="dxa"/>
            <w:vAlign w:val="center"/>
          </w:tcPr>
          <w:p w14:paraId="33C9D646">
            <w:pPr>
              <w:pStyle w:val="12"/>
            </w:pPr>
            <w:r>
              <w:t>100%</w:t>
            </w:r>
          </w:p>
        </w:tc>
        <w:tc>
          <w:tcPr>
            <w:tcW w:w="1276" w:type="dxa"/>
            <w:vAlign w:val="center"/>
          </w:tcPr>
          <w:p w14:paraId="14F28F43">
            <w:pPr>
              <w:pStyle w:val="12"/>
            </w:pPr>
            <w:r>
              <w:t>城乡义务教育公用经费管理办法</w:t>
            </w:r>
          </w:p>
        </w:tc>
      </w:tr>
      <w:tr w14:paraId="5DDD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27857"/>
        </w:tc>
        <w:tc>
          <w:tcPr>
            <w:tcW w:w="2268" w:type="dxa"/>
            <w:vAlign w:val="center"/>
          </w:tcPr>
          <w:p w14:paraId="1393F1B5">
            <w:pPr>
              <w:pStyle w:val="12"/>
            </w:pPr>
            <w:r>
              <w:t>成本指标</w:t>
            </w:r>
          </w:p>
        </w:tc>
        <w:tc>
          <w:tcPr>
            <w:tcW w:w="2835" w:type="dxa"/>
            <w:vAlign w:val="center"/>
          </w:tcPr>
          <w:p w14:paraId="7B46934F">
            <w:pPr>
              <w:pStyle w:val="12"/>
            </w:pPr>
            <w:r>
              <w:t>生均拨款标准</w:t>
            </w:r>
          </w:p>
        </w:tc>
        <w:tc>
          <w:tcPr>
            <w:tcW w:w="5386" w:type="dxa"/>
            <w:vAlign w:val="center"/>
          </w:tcPr>
          <w:p w14:paraId="1A2DD1CA">
            <w:pPr>
              <w:pStyle w:val="12"/>
            </w:pPr>
            <w:r>
              <w:t>小学生公用经费生均公用经费基准定额为720元/年/生，取暖费120元/年/生，住宿生补助300元/年/生的标准，随班就读学生补助7000元/生/年</w:t>
            </w:r>
          </w:p>
        </w:tc>
        <w:tc>
          <w:tcPr>
            <w:tcW w:w="2268" w:type="dxa"/>
            <w:vAlign w:val="center"/>
          </w:tcPr>
          <w:p w14:paraId="345B4587">
            <w:pPr>
              <w:pStyle w:val="12"/>
            </w:pPr>
            <w:r>
              <w:t>≥840元</w:t>
            </w:r>
          </w:p>
        </w:tc>
        <w:tc>
          <w:tcPr>
            <w:tcW w:w="1276" w:type="dxa"/>
            <w:vAlign w:val="center"/>
          </w:tcPr>
          <w:p w14:paraId="3A2B86C8">
            <w:pPr>
              <w:pStyle w:val="12"/>
            </w:pPr>
            <w:r>
              <w:t>城乡义务教育公用经费管理办法</w:t>
            </w:r>
          </w:p>
        </w:tc>
      </w:tr>
      <w:tr w14:paraId="56CBA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B05DD">
            <w:pPr>
              <w:pStyle w:val="13"/>
            </w:pPr>
            <w:r>
              <w:t>效益指标</w:t>
            </w:r>
          </w:p>
        </w:tc>
        <w:tc>
          <w:tcPr>
            <w:tcW w:w="2268" w:type="dxa"/>
            <w:vAlign w:val="center"/>
          </w:tcPr>
          <w:p w14:paraId="5FA766A2">
            <w:pPr>
              <w:pStyle w:val="12"/>
            </w:pPr>
            <w:r>
              <w:t>可持续影响指标</w:t>
            </w:r>
          </w:p>
        </w:tc>
        <w:tc>
          <w:tcPr>
            <w:tcW w:w="2835" w:type="dxa"/>
            <w:vAlign w:val="center"/>
          </w:tcPr>
          <w:p w14:paraId="0E8F2306">
            <w:pPr>
              <w:pStyle w:val="12"/>
            </w:pPr>
            <w:r>
              <w:t>学校运转得到提高</w:t>
            </w:r>
          </w:p>
        </w:tc>
        <w:tc>
          <w:tcPr>
            <w:tcW w:w="5386" w:type="dxa"/>
            <w:vAlign w:val="center"/>
          </w:tcPr>
          <w:p w14:paraId="273D83C2">
            <w:pPr>
              <w:pStyle w:val="12"/>
            </w:pPr>
            <w:r>
              <w:t>学生受教育年限</w:t>
            </w:r>
          </w:p>
        </w:tc>
        <w:tc>
          <w:tcPr>
            <w:tcW w:w="2268" w:type="dxa"/>
            <w:vAlign w:val="center"/>
          </w:tcPr>
          <w:p w14:paraId="1FD01C8C">
            <w:pPr>
              <w:pStyle w:val="12"/>
            </w:pPr>
            <w:r>
              <w:t>6年</w:t>
            </w:r>
          </w:p>
        </w:tc>
        <w:tc>
          <w:tcPr>
            <w:tcW w:w="1276" w:type="dxa"/>
            <w:vAlign w:val="center"/>
          </w:tcPr>
          <w:p w14:paraId="0C9771EA">
            <w:pPr>
              <w:pStyle w:val="12"/>
            </w:pPr>
            <w:r>
              <w:t>城乡义务教育公用经费管理办法</w:t>
            </w:r>
          </w:p>
        </w:tc>
      </w:tr>
      <w:tr w14:paraId="3A90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FA04A">
            <w:pPr>
              <w:pStyle w:val="13"/>
            </w:pPr>
            <w:r>
              <w:t>满意度指标</w:t>
            </w:r>
          </w:p>
        </w:tc>
        <w:tc>
          <w:tcPr>
            <w:tcW w:w="2268" w:type="dxa"/>
            <w:vAlign w:val="center"/>
          </w:tcPr>
          <w:p w14:paraId="64753C5A">
            <w:pPr>
              <w:pStyle w:val="12"/>
            </w:pPr>
            <w:r>
              <w:t>服务对象满意度指标</w:t>
            </w:r>
          </w:p>
        </w:tc>
        <w:tc>
          <w:tcPr>
            <w:tcW w:w="2835" w:type="dxa"/>
            <w:vAlign w:val="center"/>
          </w:tcPr>
          <w:p w14:paraId="0893100E">
            <w:pPr>
              <w:pStyle w:val="12"/>
            </w:pPr>
            <w:r>
              <w:t>服务对象满意度</w:t>
            </w:r>
          </w:p>
        </w:tc>
        <w:tc>
          <w:tcPr>
            <w:tcW w:w="5386" w:type="dxa"/>
            <w:vAlign w:val="center"/>
          </w:tcPr>
          <w:p w14:paraId="5054D166">
            <w:pPr>
              <w:pStyle w:val="12"/>
            </w:pPr>
            <w:r>
              <w:t>学校老师和学生满意度</w:t>
            </w:r>
          </w:p>
        </w:tc>
        <w:tc>
          <w:tcPr>
            <w:tcW w:w="2268" w:type="dxa"/>
            <w:vAlign w:val="center"/>
          </w:tcPr>
          <w:p w14:paraId="670EB0FA">
            <w:pPr>
              <w:pStyle w:val="12"/>
            </w:pPr>
            <w:r>
              <w:t>≥95%</w:t>
            </w:r>
          </w:p>
        </w:tc>
        <w:tc>
          <w:tcPr>
            <w:tcW w:w="1276" w:type="dxa"/>
            <w:vAlign w:val="center"/>
          </w:tcPr>
          <w:p w14:paraId="18F1FE5E">
            <w:pPr>
              <w:pStyle w:val="12"/>
            </w:pPr>
            <w:r>
              <w:t>群众测评</w:t>
            </w:r>
          </w:p>
        </w:tc>
      </w:tr>
    </w:tbl>
    <w:p w14:paraId="6C4E222A">
      <w:pPr>
        <w:sectPr>
          <w:pgSz w:w="16840" w:h="11900" w:orient="landscape"/>
          <w:pgMar w:top="1361" w:right="1020" w:bottom="1134" w:left="1020" w:header="720" w:footer="720" w:gutter="0"/>
          <w:cols w:space="720" w:num="1"/>
        </w:sectPr>
      </w:pPr>
    </w:p>
    <w:p w14:paraId="6048F768">
      <w:pPr>
        <w:spacing w:before="0" w:after="0"/>
        <w:ind w:firstLine="560"/>
        <w:jc w:val="left"/>
        <w:outlineLvl w:val="9"/>
      </w:pPr>
      <w:r>
        <w:rPr>
          <w:rFonts w:ascii="方正仿宋_GBK" w:hAnsi="方正仿宋_GBK" w:eastAsia="方正仿宋_GBK" w:cs="方正仿宋_GBK"/>
          <w:b/>
          <w:color w:val="000000"/>
          <w:sz w:val="28"/>
        </w:rPr>
        <w:t>17、冀财教[2025]147号/省级/2026年义教补助经费/莲子镇校区南吴疃小学公用经费绩效目标表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35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0D8B5">
            <w:pPr>
              <w:pStyle w:val="11"/>
            </w:pPr>
            <w:r>
              <w:t>单位：万元</w:t>
            </w:r>
          </w:p>
        </w:tc>
      </w:tr>
      <w:tr w14:paraId="55748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412EF">
            <w:pPr>
              <w:pStyle w:val="10"/>
            </w:pPr>
            <w:r>
              <w:t>项目编码</w:t>
            </w:r>
          </w:p>
        </w:tc>
        <w:tc>
          <w:tcPr>
            <w:tcW w:w="5103" w:type="dxa"/>
            <w:gridSpan w:val="2"/>
            <w:vAlign w:val="center"/>
          </w:tcPr>
          <w:p w14:paraId="0B6220AA">
            <w:pPr>
              <w:pStyle w:val="12"/>
            </w:pPr>
            <w:r>
              <w:t>13052526P000004103982</w:t>
            </w:r>
          </w:p>
        </w:tc>
        <w:tc>
          <w:tcPr>
            <w:tcW w:w="2835" w:type="dxa"/>
            <w:vAlign w:val="center"/>
          </w:tcPr>
          <w:p w14:paraId="166B2982">
            <w:pPr>
              <w:pStyle w:val="10"/>
            </w:pPr>
            <w:r>
              <w:t>项目名称</w:t>
            </w:r>
          </w:p>
        </w:tc>
        <w:tc>
          <w:tcPr>
            <w:tcW w:w="6095" w:type="dxa"/>
            <w:gridSpan w:val="3"/>
            <w:vAlign w:val="center"/>
          </w:tcPr>
          <w:p w14:paraId="3085636E">
            <w:pPr>
              <w:pStyle w:val="12"/>
            </w:pPr>
            <w:r>
              <w:t>冀财教[2025]147号/省级/2026年义教补助经费/莲子镇校区南吴疃小学公用经费</w:t>
            </w:r>
          </w:p>
        </w:tc>
      </w:tr>
      <w:tr w14:paraId="5917E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20077">
            <w:pPr>
              <w:pStyle w:val="10"/>
            </w:pPr>
            <w:r>
              <w:t>预算规模及资金用途</w:t>
            </w:r>
          </w:p>
        </w:tc>
        <w:tc>
          <w:tcPr>
            <w:tcW w:w="2268" w:type="dxa"/>
            <w:vAlign w:val="center"/>
          </w:tcPr>
          <w:p w14:paraId="21DEA4FD">
            <w:pPr>
              <w:pStyle w:val="10"/>
            </w:pPr>
            <w:r>
              <w:t>预算数</w:t>
            </w:r>
          </w:p>
        </w:tc>
        <w:tc>
          <w:tcPr>
            <w:tcW w:w="2835" w:type="dxa"/>
            <w:vAlign w:val="center"/>
          </w:tcPr>
          <w:p w14:paraId="307256F0">
            <w:pPr>
              <w:pStyle w:val="12"/>
            </w:pPr>
            <w:r>
              <w:t>2.61</w:t>
            </w:r>
          </w:p>
        </w:tc>
        <w:tc>
          <w:tcPr>
            <w:tcW w:w="2835" w:type="dxa"/>
            <w:vAlign w:val="center"/>
          </w:tcPr>
          <w:p w14:paraId="23714244">
            <w:pPr>
              <w:pStyle w:val="10"/>
            </w:pPr>
            <w:r>
              <w:t>其中：财政    资金</w:t>
            </w:r>
          </w:p>
        </w:tc>
        <w:tc>
          <w:tcPr>
            <w:tcW w:w="2551" w:type="dxa"/>
            <w:vAlign w:val="center"/>
          </w:tcPr>
          <w:p w14:paraId="133AB1F4">
            <w:pPr>
              <w:pStyle w:val="12"/>
            </w:pPr>
            <w:r>
              <w:t>2.61</w:t>
            </w:r>
          </w:p>
        </w:tc>
        <w:tc>
          <w:tcPr>
            <w:tcW w:w="2268" w:type="dxa"/>
            <w:vAlign w:val="center"/>
          </w:tcPr>
          <w:p w14:paraId="0EBD85C4">
            <w:pPr>
              <w:pStyle w:val="10"/>
            </w:pPr>
            <w:r>
              <w:t>其他资金</w:t>
            </w:r>
          </w:p>
        </w:tc>
        <w:tc>
          <w:tcPr>
            <w:tcW w:w="1276" w:type="dxa"/>
            <w:vAlign w:val="center"/>
          </w:tcPr>
          <w:p w14:paraId="291EC2F2">
            <w:pPr>
              <w:pStyle w:val="12"/>
            </w:pPr>
            <w:r>
              <w:t xml:space="preserve"> </w:t>
            </w:r>
          </w:p>
        </w:tc>
      </w:tr>
      <w:tr w14:paraId="1993F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DCDE5"/>
        </w:tc>
        <w:tc>
          <w:tcPr>
            <w:tcW w:w="14033" w:type="dxa"/>
            <w:gridSpan w:val="6"/>
            <w:vAlign w:val="center"/>
          </w:tcPr>
          <w:p w14:paraId="2F03C27B">
            <w:pPr>
              <w:pStyle w:val="12"/>
            </w:pPr>
            <w:r>
              <w:t>保障学校正常运转，完成各项教育教学活动和其他日常工作任务等方面的费用支出。</w:t>
            </w:r>
          </w:p>
        </w:tc>
      </w:tr>
      <w:tr w14:paraId="200A9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0A96A">
            <w:pPr>
              <w:pStyle w:val="10"/>
            </w:pPr>
            <w:r>
              <w:t>资金支出计划（%）</w:t>
            </w:r>
          </w:p>
        </w:tc>
        <w:tc>
          <w:tcPr>
            <w:tcW w:w="5103" w:type="dxa"/>
            <w:gridSpan w:val="2"/>
            <w:vAlign w:val="center"/>
          </w:tcPr>
          <w:p w14:paraId="7D146B20">
            <w:pPr>
              <w:pStyle w:val="10"/>
            </w:pPr>
            <w:r>
              <w:t>3月底</w:t>
            </w:r>
          </w:p>
        </w:tc>
        <w:tc>
          <w:tcPr>
            <w:tcW w:w="2835" w:type="dxa"/>
            <w:vAlign w:val="center"/>
          </w:tcPr>
          <w:p w14:paraId="63530A07">
            <w:pPr>
              <w:pStyle w:val="10"/>
            </w:pPr>
            <w:r>
              <w:t>6月底</w:t>
            </w:r>
          </w:p>
        </w:tc>
        <w:tc>
          <w:tcPr>
            <w:tcW w:w="2551" w:type="dxa"/>
            <w:vAlign w:val="center"/>
          </w:tcPr>
          <w:p w14:paraId="2E71828C">
            <w:pPr>
              <w:pStyle w:val="10"/>
            </w:pPr>
            <w:r>
              <w:t>10月底</w:t>
            </w:r>
          </w:p>
        </w:tc>
        <w:tc>
          <w:tcPr>
            <w:tcW w:w="3544" w:type="dxa"/>
            <w:gridSpan w:val="2"/>
            <w:vAlign w:val="center"/>
          </w:tcPr>
          <w:p w14:paraId="670355DA">
            <w:pPr>
              <w:pStyle w:val="10"/>
            </w:pPr>
            <w:r>
              <w:t>12月底</w:t>
            </w:r>
          </w:p>
        </w:tc>
      </w:tr>
      <w:tr w14:paraId="683A5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39072"/>
        </w:tc>
        <w:tc>
          <w:tcPr>
            <w:tcW w:w="5103" w:type="dxa"/>
            <w:gridSpan w:val="2"/>
            <w:vAlign w:val="center"/>
          </w:tcPr>
          <w:p w14:paraId="09C16878">
            <w:pPr>
              <w:pStyle w:val="13"/>
            </w:pPr>
            <w:r>
              <w:t>25%</w:t>
            </w:r>
          </w:p>
        </w:tc>
        <w:tc>
          <w:tcPr>
            <w:tcW w:w="2835" w:type="dxa"/>
            <w:vAlign w:val="center"/>
          </w:tcPr>
          <w:p w14:paraId="352B0167">
            <w:pPr>
              <w:pStyle w:val="13"/>
            </w:pPr>
            <w:r>
              <w:t>50%</w:t>
            </w:r>
          </w:p>
        </w:tc>
        <w:tc>
          <w:tcPr>
            <w:tcW w:w="2551" w:type="dxa"/>
            <w:vAlign w:val="center"/>
          </w:tcPr>
          <w:p w14:paraId="4B7A3114">
            <w:pPr>
              <w:pStyle w:val="13"/>
            </w:pPr>
            <w:r>
              <w:t>75%</w:t>
            </w:r>
          </w:p>
        </w:tc>
        <w:tc>
          <w:tcPr>
            <w:tcW w:w="3544" w:type="dxa"/>
            <w:gridSpan w:val="2"/>
            <w:vAlign w:val="center"/>
          </w:tcPr>
          <w:p w14:paraId="2F6E2209">
            <w:pPr>
              <w:pStyle w:val="13"/>
            </w:pPr>
            <w:r>
              <w:t>100%</w:t>
            </w:r>
          </w:p>
        </w:tc>
      </w:tr>
      <w:tr w14:paraId="66EFC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3462E">
            <w:pPr>
              <w:pStyle w:val="10"/>
            </w:pPr>
            <w:r>
              <w:t>绩效目标</w:t>
            </w:r>
          </w:p>
        </w:tc>
        <w:tc>
          <w:tcPr>
            <w:tcW w:w="14033" w:type="dxa"/>
            <w:gridSpan w:val="6"/>
            <w:vAlign w:val="center"/>
          </w:tcPr>
          <w:p w14:paraId="69B0E19F">
            <w:pPr>
              <w:pStyle w:val="12"/>
            </w:pPr>
            <w:r>
              <w:t>1.按季度分批次拨付公用经费资金，资金拨付率达到100%。</w:t>
            </w:r>
          </w:p>
          <w:p w14:paraId="64587562">
            <w:pPr>
              <w:pStyle w:val="12"/>
            </w:pPr>
            <w:r>
              <w:t>2.保障学校正常运转，完成各项教育教学活动和其他日常工作任务等方面的费用支出。</w:t>
            </w:r>
          </w:p>
        </w:tc>
      </w:tr>
    </w:tbl>
    <w:p w14:paraId="51B63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F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873F6">
            <w:pPr>
              <w:pStyle w:val="10"/>
            </w:pPr>
            <w:r>
              <w:t>一级指标</w:t>
            </w:r>
          </w:p>
        </w:tc>
        <w:tc>
          <w:tcPr>
            <w:tcW w:w="2268" w:type="dxa"/>
            <w:vAlign w:val="center"/>
          </w:tcPr>
          <w:p w14:paraId="08830849">
            <w:pPr>
              <w:pStyle w:val="10"/>
            </w:pPr>
            <w:r>
              <w:t>二级指标</w:t>
            </w:r>
          </w:p>
        </w:tc>
        <w:tc>
          <w:tcPr>
            <w:tcW w:w="2835" w:type="dxa"/>
            <w:vAlign w:val="center"/>
          </w:tcPr>
          <w:p w14:paraId="00BDC0EC">
            <w:pPr>
              <w:pStyle w:val="10"/>
            </w:pPr>
            <w:r>
              <w:t>三级指标</w:t>
            </w:r>
          </w:p>
        </w:tc>
        <w:tc>
          <w:tcPr>
            <w:tcW w:w="5386" w:type="dxa"/>
            <w:vAlign w:val="center"/>
          </w:tcPr>
          <w:p w14:paraId="7DD15A39">
            <w:pPr>
              <w:pStyle w:val="10"/>
            </w:pPr>
            <w:r>
              <w:t>绩效指标描述</w:t>
            </w:r>
          </w:p>
        </w:tc>
        <w:tc>
          <w:tcPr>
            <w:tcW w:w="2268" w:type="dxa"/>
            <w:vAlign w:val="center"/>
          </w:tcPr>
          <w:p w14:paraId="18CB0DD5">
            <w:pPr>
              <w:pStyle w:val="10"/>
            </w:pPr>
            <w:r>
              <w:t>指标值</w:t>
            </w:r>
          </w:p>
        </w:tc>
        <w:tc>
          <w:tcPr>
            <w:tcW w:w="1276" w:type="dxa"/>
            <w:vAlign w:val="center"/>
          </w:tcPr>
          <w:p w14:paraId="24F2AD53">
            <w:pPr>
              <w:pStyle w:val="10"/>
            </w:pPr>
            <w:r>
              <w:t>指标值确定依据</w:t>
            </w:r>
          </w:p>
        </w:tc>
      </w:tr>
      <w:tr w14:paraId="26A0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9C227">
            <w:pPr>
              <w:pStyle w:val="13"/>
            </w:pPr>
            <w:r>
              <w:t>产出指标</w:t>
            </w:r>
          </w:p>
        </w:tc>
        <w:tc>
          <w:tcPr>
            <w:tcW w:w="2268" w:type="dxa"/>
            <w:vAlign w:val="center"/>
          </w:tcPr>
          <w:p w14:paraId="279BFBAD">
            <w:pPr>
              <w:pStyle w:val="12"/>
            </w:pPr>
            <w:r>
              <w:t>数量指标</w:t>
            </w:r>
          </w:p>
        </w:tc>
        <w:tc>
          <w:tcPr>
            <w:tcW w:w="2835" w:type="dxa"/>
            <w:vAlign w:val="center"/>
          </w:tcPr>
          <w:p w14:paraId="09D3772F">
            <w:pPr>
              <w:pStyle w:val="12"/>
            </w:pPr>
            <w:r>
              <w:t>就读学生数</w:t>
            </w:r>
          </w:p>
        </w:tc>
        <w:tc>
          <w:tcPr>
            <w:tcW w:w="5386" w:type="dxa"/>
            <w:vAlign w:val="center"/>
          </w:tcPr>
          <w:p w14:paraId="4D49737D">
            <w:pPr>
              <w:pStyle w:val="12"/>
            </w:pPr>
            <w:r>
              <w:t>辐射区域内适龄学生人数</w:t>
            </w:r>
          </w:p>
        </w:tc>
        <w:tc>
          <w:tcPr>
            <w:tcW w:w="2268" w:type="dxa"/>
            <w:vAlign w:val="center"/>
          </w:tcPr>
          <w:p w14:paraId="73288369">
            <w:pPr>
              <w:pStyle w:val="12"/>
            </w:pPr>
            <w:r>
              <w:t>100人</w:t>
            </w:r>
          </w:p>
        </w:tc>
        <w:tc>
          <w:tcPr>
            <w:tcW w:w="1276" w:type="dxa"/>
            <w:vAlign w:val="center"/>
          </w:tcPr>
          <w:p w14:paraId="1DFD4D29">
            <w:pPr>
              <w:pStyle w:val="12"/>
            </w:pPr>
            <w:r>
              <w:t>城乡义务教育公用经费管理办法</w:t>
            </w:r>
          </w:p>
        </w:tc>
      </w:tr>
      <w:tr w14:paraId="584D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459C6"/>
        </w:tc>
        <w:tc>
          <w:tcPr>
            <w:tcW w:w="2268" w:type="dxa"/>
            <w:vAlign w:val="center"/>
          </w:tcPr>
          <w:p w14:paraId="01B3EBDF">
            <w:pPr>
              <w:pStyle w:val="12"/>
            </w:pPr>
            <w:r>
              <w:t>质量指标</w:t>
            </w:r>
          </w:p>
        </w:tc>
        <w:tc>
          <w:tcPr>
            <w:tcW w:w="2835" w:type="dxa"/>
            <w:vAlign w:val="center"/>
          </w:tcPr>
          <w:p w14:paraId="4C0208CB">
            <w:pPr>
              <w:pStyle w:val="12"/>
            </w:pPr>
            <w:r>
              <w:t>预算执行率</w:t>
            </w:r>
          </w:p>
        </w:tc>
        <w:tc>
          <w:tcPr>
            <w:tcW w:w="5386" w:type="dxa"/>
            <w:vAlign w:val="center"/>
          </w:tcPr>
          <w:p w14:paraId="677C5BA7">
            <w:pPr>
              <w:pStyle w:val="12"/>
            </w:pPr>
            <w:r>
              <w:t>预算执行率</w:t>
            </w:r>
          </w:p>
        </w:tc>
        <w:tc>
          <w:tcPr>
            <w:tcW w:w="2268" w:type="dxa"/>
            <w:vAlign w:val="center"/>
          </w:tcPr>
          <w:p w14:paraId="29A02171">
            <w:pPr>
              <w:pStyle w:val="12"/>
            </w:pPr>
            <w:r>
              <w:t>≥95%</w:t>
            </w:r>
          </w:p>
        </w:tc>
        <w:tc>
          <w:tcPr>
            <w:tcW w:w="1276" w:type="dxa"/>
            <w:vAlign w:val="center"/>
          </w:tcPr>
          <w:p w14:paraId="719EA403">
            <w:pPr>
              <w:pStyle w:val="12"/>
            </w:pPr>
            <w:r>
              <w:t>城乡义务教育公用经费管理办法</w:t>
            </w:r>
          </w:p>
        </w:tc>
      </w:tr>
      <w:tr w14:paraId="54F03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9416F"/>
        </w:tc>
        <w:tc>
          <w:tcPr>
            <w:tcW w:w="2268" w:type="dxa"/>
            <w:vAlign w:val="center"/>
          </w:tcPr>
          <w:p w14:paraId="2D1EF1AF">
            <w:pPr>
              <w:pStyle w:val="12"/>
            </w:pPr>
            <w:r>
              <w:t>时效指标</w:t>
            </w:r>
          </w:p>
        </w:tc>
        <w:tc>
          <w:tcPr>
            <w:tcW w:w="2835" w:type="dxa"/>
            <w:vAlign w:val="center"/>
          </w:tcPr>
          <w:p w14:paraId="32961359">
            <w:pPr>
              <w:pStyle w:val="12"/>
            </w:pPr>
            <w:r>
              <w:t>义教经费支付完成率</w:t>
            </w:r>
          </w:p>
        </w:tc>
        <w:tc>
          <w:tcPr>
            <w:tcW w:w="5386" w:type="dxa"/>
            <w:vAlign w:val="center"/>
          </w:tcPr>
          <w:p w14:paraId="6BA29E20">
            <w:pPr>
              <w:pStyle w:val="12"/>
            </w:pPr>
            <w:r>
              <w:t>按照序时进度完成资金支付</w:t>
            </w:r>
          </w:p>
        </w:tc>
        <w:tc>
          <w:tcPr>
            <w:tcW w:w="2268" w:type="dxa"/>
            <w:vAlign w:val="center"/>
          </w:tcPr>
          <w:p w14:paraId="1A5308A8">
            <w:pPr>
              <w:pStyle w:val="12"/>
            </w:pPr>
            <w:r>
              <w:t>100%</w:t>
            </w:r>
          </w:p>
        </w:tc>
        <w:tc>
          <w:tcPr>
            <w:tcW w:w="1276" w:type="dxa"/>
            <w:vAlign w:val="center"/>
          </w:tcPr>
          <w:p w14:paraId="1CC0FB42">
            <w:pPr>
              <w:pStyle w:val="12"/>
            </w:pPr>
            <w:r>
              <w:t>城乡义务教育公用经费管理办法</w:t>
            </w:r>
          </w:p>
        </w:tc>
      </w:tr>
      <w:tr w14:paraId="65AA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C21BD"/>
        </w:tc>
        <w:tc>
          <w:tcPr>
            <w:tcW w:w="2268" w:type="dxa"/>
            <w:vAlign w:val="center"/>
          </w:tcPr>
          <w:p w14:paraId="3D4CE792">
            <w:pPr>
              <w:pStyle w:val="12"/>
            </w:pPr>
            <w:r>
              <w:t>成本指标</w:t>
            </w:r>
          </w:p>
        </w:tc>
        <w:tc>
          <w:tcPr>
            <w:tcW w:w="2835" w:type="dxa"/>
            <w:vAlign w:val="center"/>
          </w:tcPr>
          <w:p w14:paraId="007D8991">
            <w:pPr>
              <w:pStyle w:val="12"/>
            </w:pPr>
            <w:r>
              <w:t>生均拨款标准</w:t>
            </w:r>
          </w:p>
        </w:tc>
        <w:tc>
          <w:tcPr>
            <w:tcW w:w="5386" w:type="dxa"/>
            <w:vAlign w:val="center"/>
          </w:tcPr>
          <w:p w14:paraId="3B80B4F0">
            <w:pPr>
              <w:pStyle w:val="12"/>
            </w:pPr>
            <w:r>
              <w:t>小学生生均公用经费基准定额为720元/年/生，取暖费120元/年/生，住宿生补助300元/年/生的标准，随班就读学生补助7000元/生/年</w:t>
            </w:r>
          </w:p>
        </w:tc>
        <w:tc>
          <w:tcPr>
            <w:tcW w:w="2268" w:type="dxa"/>
            <w:vAlign w:val="center"/>
          </w:tcPr>
          <w:p w14:paraId="14F8FADF">
            <w:pPr>
              <w:pStyle w:val="12"/>
            </w:pPr>
            <w:r>
              <w:t>840元</w:t>
            </w:r>
          </w:p>
        </w:tc>
        <w:tc>
          <w:tcPr>
            <w:tcW w:w="1276" w:type="dxa"/>
            <w:vAlign w:val="center"/>
          </w:tcPr>
          <w:p w14:paraId="52FFDC48">
            <w:pPr>
              <w:pStyle w:val="12"/>
            </w:pPr>
            <w:r>
              <w:t>城乡义务教育公用经费管理办法</w:t>
            </w:r>
          </w:p>
        </w:tc>
      </w:tr>
      <w:tr w14:paraId="6D44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403F4">
            <w:pPr>
              <w:pStyle w:val="13"/>
            </w:pPr>
            <w:r>
              <w:t>效益指标</w:t>
            </w:r>
          </w:p>
        </w:tc>
        <w:tc>
          <w:tcPr>
            <w:tcW w:w="2268" w:type="dxa"/>
            <w:vAlign w:val="center"/>
          </w:tcPr>
          <w:p w14:paraId="4827AE2C">
            <w:pPr>
              <w:pStyle w:val="12"/>
            </w:pPr>
            <w:r>
              <w:t>可持续影响指标</w:t>
            </w:r>
          </w:p>
        </w:tc>
        <w:tc>
          <w:tcPr>
            <w:tcW w:w="2835" w:type="dxa"/>
            <w:vAlign w:val="center"/>
          </w:tcPr>
          <w:p w14:paraId="17565FA4">
            <w:pPr>
              <w:pStyle w:val="12"/>
            </w:pPr>
            <w:r>
              <w:t>学校运转得到提高</w:t>
            </w:r>
          </w:p>
        </w:tc>
        <w:tc>
          <w:tcPr>
            <w:tcW w:w="5386" w:type="dxa"/>
            <w:vAlign w:val="center"/>
          </w:tcPr>
          <w:p w14:paraId="7FBE1354">
            <w:pPr>
              <w:pStyle w:val="12"/>
            </w:pPr>
            <w:r>
              <w:t>学生受教育年限</w:t>
            </w:r>
          </w:p>
        </w:tc>
        <w:tc>
          <w:tcPr>
            <w:tcW w:w="2268" w:type="dxa"/>
            <w:vAlign w:val="center"/>
          </w:tcPr>
          <w:p w14:paraId="4EA63352">
            <w:pPr>
              <w:pStyle w:val="12"/>
            </w:pPr>
            <w:r>
              <w:t>6年</w:t>
            </w:r>
          </w:p>
        </w:tc>
        <w:tc>
          <w:tcPr>
            <w:tcW w:w="1276" w:type="dxa"/>
            <w:vAlign w:val="center"/>
          </w:tcPr>
          <w:p w14:paraId="7BEF3621">
            <w:pPr>
              <w:pStyle w:val="12"/>
            </w:pPr>
            <w:r>
              <w:t>城乡义务教育公用经费管理办法</w:t>
            </w:r>
          </w:p>
        </w:tc>
      </w:tr>
      <w:tr w14:paraId="7F4B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E1D28">
            <w:pPr>
              <w:pStyle w:val="13"/>
            </w:pPr>
            <w:r>
              <w:t>满意度指标</w:t>
            </w:r>
          </w:p>
        </w:tc>
        <w:tc>
          <w:tcPr>
            <w:tcW w:w="2268" w:type="dxa"/>
            <w:vAlign w:val="center"/>
          </w:tcPr>
          <w:p w14:paraId="079BAE7A">
            <w:pPr>
              <w:pStyle w:val="12"/>
            </w:pPr>
            <w:r>
              <w:t>服务对象满意度指标</w:t>
            </w:r>
          </w:p>
        </w:tc>
        <w:tc>
          <w:tcPr>
            <w:tcW w:w="2835" w:type="dxa"/>
            <w:vAlign w:val="center"/>
          </w:tcPr>
          <w:p w14:paraId="772EBCE4">
            <w:pPr>
              <w:pStyle w:val="12"/>
            </w:pPr>
            <w:r>
              <w:t>服务对象满意度</w:t>
            </w:r>
          </w:p>
        </w:tc>
        <w:tc>
          <w:tcPr>
            <w:tcW w:w="5386" w:type="dxa"/>
            <w:vAlign w:val="center"/>
          </w:tcPr>
          <w:p w14:paraId="7DFE0A51">
            <w:pPr>
              <w:pStyle w:val="12"/>
            </w:pPr>
            <w:r>
              <w:t>学校老师和学生满意度</w:t>
            </w:r>
          </w:p>
        </w:tc>
        <w:tc>
          <w:tcPr>
            <w:tcW w:w="2268" w:type="dxa"/>
            <w:vAlign w:val="center"/>
          </w:tcPr>
          <w:p w14:paraId="64B8E684">
            <w:pPr>
              <w:pStyle w:val="12"/>
            </w:pPr>
            <w:r>
              <w:t>≥95%</w:t>
            </w:r>
          </w:p>
        </w:tc>
        <w:tc>
          <w:tcPr>
            <w:tcW w:w="1276" w:type="dxa"/>
            <w:vAlign w:val="center"/>
          </w:tcPr>
          <w:p w14:paraId="777B48BD">
            <w:pPr>
              <w:pStyle w:val="12"/>
            </w:pPr>
            <w:r>
              <w:t>群众测评</w:t>
            </w:r>
          </w:p>
        </w:tc>
      </w:tr>
    </w:tbl>
    <w:p w14:paraId="08F3A923">
      <w:pPr>
        <w:sectPr>
          <w:pgSz w:w="16840" w:h="11900" w:orient="landscape"/>
          <w:pgMar w:top="1361" w:right="1020" w:bottom="1134" w:left="1020" w:header="720" w:footer="720" w:gutter="0"/>
          <w:cols w:space="720" w:num="1"/>
        </w:sectPr>
      </w:pPr>
    </w:p>
    <w:p w14:paraId="5DAB5E1E">
      <w:pPr>
        <w:spacing w:before="0" w:after="0"/>
        <w:ind w:firstLine="560"/>
        <w:jc w:val="left"/>
        <w:outlineLvl w:val="9"/>
      </w:pPr>
      <w:r>
        <w:rPr>
          <w:rFonts w:ascii="方正仿宋_GBK" w:hAnsi="方正仿宋_GBK" w:eastAsia="方正仿宋_GBK" w:cs="方正仿宋_GBK"/>
          <w:b/>
          <w:color w:val="000000"/>
          <w:sz w:val="28"/>
        </w:rPr>
        <w:t>18、冀财教[2025]147号/省级/2026年义教补助经费/莲子镇校区任村小学公用经费绩效目标表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AA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E01C1">
            <w:pPr>
              <w:pStyle w:val="11"/>
            </w:pPr>
            <w:r>
              <w:t>单位：万元</w:t>
            </w:r>
          </w:p>
        </w:tc>
      </w:tr>
      <w:tr w14:paraId="32D7C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49424">
            <w:pPr>
              <w:pStyle w:val="10"/>
            </w:pPr>
            <w:r>
              <w:t>项目编码</w:t>
            </w:r>
          </w:p>
        </w:tc>
        <w:tc>
          <w:tcPr>
            <w:tcW w:w="5103" w:type="dxa"/>
            <w:gridSpan w:val="2"/>
            <w:vAlign w:val="center"/>
          </w:tcPr>
          <w:p w14:paraId="6DCF9DC2">
            <w:pPr>
              <w:pStyle w:val="12"/>
            </w:pPr>
            <w:r>
              <w:t>13052526P00000410403E</w:t>
            </w:r>
          </w:p>
        </w:tc>
        <w:tc>
          <w:tcPr>
            <w:tcW w:w="2835" w:type="dxa"/>
            <w:vAlign w:val="center"/>
          </w:tcPr>
          <w:p w14:paraId="57D49C66">
            <w:pPr>
              <w:pStyle w:val="10"/>
            </w:pPr>
            <w:r>
              <w:t>项目名称</w:t>
            </w:r>
          </w:p>
        </w:tc>
        <w:tc>
          <w:tcPr>
            <w:tcW w:w="6095" w:type="dxa"/>
            <w:gridSpan w:val="3"/>
            <w:vAlign w:val="center"/>
          </w:tcPr>
          <w:p w14:paraId="6CEA496E">
            <w:pPr>
              <w:pStyle w:val="12"/>
            </w:pPr>
            <w:r>
              <w:t>冀财教[2025]147号/省级/2026年义教补助经费/莲子镇校区任村小学公用经费</w:t>
            </w:r>
          </w:p>
        </w:tc>
      </w:tr>
      <w:tr w14:paraId="6000B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8280B">
            <w:pPr>
              <w:pStyle w:val="10"/>
            </w:pPr>
            <w:r>
              <w:t>预算规模及资金用途</w:t>
            </w:r>
          </w:p>
        </w:tc>
        <w:tc>
          <w:tcPr>
            <w:tcW w:w="2268" w:type="dxa"/>
            <w:vAlign w:val="center"/>
          </w:tcPr>
          <w:p w14:paraId="488870B0">
            <w:pPr>
              <w:pStyle w:val="10"/>
            </w:pPr>
            <w:r>
              <w:t>预算数</w:t>
            </w:r>
          </w:p>
        </w:tc>
        <w:tc>
          <w:tcPr>
            <w:tcW w:w="2835" w:type="dxa"/>
            <w:vAlign w:val="center"/>
          </w:tcPr>
          <w:p w14:paraId="366FF4AC">
            <w:pPr>
              <w:pStyle w:val="12"/>
            </w:pPr>
            <w:r>
              <w:t>2.61</w:t>
            </w:r>
          </w:p>
        </w:tc>
        <w:tc>
          <w:tcPr>
            <w:tcW w:w="2835" w:type="dxa"/>
            <w:vAlign w:val="center"/>
          </w:tcPr>
          <w:p w14:paraId="6D342F85">
            <w:pPr>
              <w:pStyle w:val="10"/>
            </w:pPr>
            <w:r>
              <w:t>其中：财政    资金</w:t>
            </w:r>
          </w:p>
        </w:tc>
        <w:tc>
          <w:tcPr>
            <w:tcW w:w="2551" w:type="dxa"/>
            <w:vAlign w:val="center"/>
          </w:tcPr>
          <w:p w14:paraId="5C24231D">
            <w:pPr>
              <w:pStyle w:val="12"/>
            </w:pPr>
            <w:r>
              <w:t>2.61</w:t>
            </w:r>
          </w:p>
        </w:tc>
        <w:tc>
          <w:tcPr>
            <w:tcW w:w="2268" w:type="dxa"/>
            <w:vAlign w:val="center"/>
          </w:tcPr>
          <w:p w14:paraId="7A09C355">
            <w:pPr>
              <w:pStyle w:val="10"/>
            </w:pPr>
            <w:r>
              <w:t>其他资金</w:t>
            </w:r>
          </w:p>
        </w:tc>
        <w:tc>
          <w:tcPr>
            <w:tcW w:w="1276" w:type="dxa"/>
            <w:vAlign w:val="center"/>
          </w:tcPr>
          <w:p w14:paraId="1A2E1B8B">
            <w:pPr>
              <w:pStyle w:val="12"/>
            </w:pPr>
            <w:r>
              <w:t xml:space="preserve"> </w:t>
            </w:r>
          </w:p>
        </w:tc>
      </w:tr>
      <w:tr w14:paraId="04783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5A2B7"/>
        </w:tc>
        <w:tc>
          <w:tcPr>
            <w:tcW w:w="14033" w:type="dxa"/>
            <w:gridSpan w:val="6"/>
            <w:vAlign w:val="center"/>
          </w:tcPr>
          <w:p w14:paraId="1CC7C879">
            <w:pPr>
              <w:pStyle w:val="12"/>
            </w:pPr>
            <w:r>
              <w:t>保障学校正常运转，完成各项教育教学活动和其他日常工作任务等方面的费用支出。</w:t>
            </w:r>
          </w:p>
        </w:tc>
      </w:tr>
      <w:tr w14:paraId="504EE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6924B">
            <w:pPr>
              <w:pStyle w:val="10"/>
            </w:pPr>
            <w:r>
              <w:t>资金支出计划（%）</w:t>
            </w:r>
          </w:p>
        </w:tc>
        <w:tc>
          <w:tcPr>
            <w:tcW w:w="5103" w:type="dxa"/>
            <w:gridSpan w:val="2"/>
            <w:vAlign w:val="center"/>
          </w:tcPr>
          <w:p w14:paraId="5B7736D0">
            <w:pPr>
              <w:pStyle w:val="10"/>
            </w:pPr>
            <w:r>
              <w:t>3月底</w:t>
            </w:r>
          </w:p>
        </w:tc>
        <w:tc>
          <w:tcPr>
            <w:tcW w:w="2835" w:type="dxa"/>
            <w:vAlign w:val="center"/>
          </w:tcPr>
          <w:p w14:paraId="2AC777B0">
            <w:pPr>
              <w:pStyle w:val="10"/>
            </w:pPr>
            <w:r>
              <w:t>6月底</w:t>
            </w:r>
          </w:p>
        </w:tc>
        <w:tc>
          <w:tcPr>
            <w:tcW w:w="2551" w:type="dxa"/>
            <w:vAlign w:val="center"/>
          </w:tcPr>
          <w:p w14:paraId="31C6E066">
            <w:pPr>
              <w:pStyle w:val="10"/>
            </w:pPr>
            <w:r>
              <w:t>10月底</w:t>
            </w:r>
          </w:p>
        </w:tc>
        <w:tc>
          <w:tcPr>
            <w:tcW w:w="3544" w:type="dxa"/>
            <w:gridSpan w:val="2"/>
            <w:vAlign w:val="center"/>
          </w:tcPr>
          <w:p w14:paraId="396CA339">
            <w:pPr>
              <w:pStyle w:val="10"/>
            </w:pPr>
            <w:r>
              <w:t>12月底</w:t>
            </w:r>
          </w:p>
        </w:tc>
      </w:tr>
      <w:tr w14:paraId="12068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22ACF"/>
        </w:tc>
        <w:tc>
          <w:tcPr>
            <w:tcW w:w="5103" w:type="dxa"/>
            <w:gridSpan w:val="2"/>
            <w:vAlign w:val="center"/>
          </w:tcPr>
          <w:p w14:paraId="7C81735E">
            <w:pPr>
              <w:pStyle w:val="13"/>
            </w:pPr>
            <w:r>
              <w:t>25%</w:t>
            </w:r>
          </w:p>
        </w:tc>
        <w:tc>
          <w:tcPr>
            <w:tcW w:w="2835" w:type="dxa"/>
            <w:vAlign w:val="center"/>
          </w:tcPr>
          <w:p w14:paraId="40069196">
            <w:pPr>
              <w:pStyle w:val="13"/>
            </w:pPr>
            <w:r>
              <w:t>50%</w:t>
            </w:r>
          </w:p>
        </w:tc>
        <w:tc>
          <w:tcPr>
            <w:tcW w:w="2551" w:type="dxa"/>
            <w:vAlign w:val="center"/>
          </w:tcPr>
          <w:p w14:paraId="04FDDA6F">
            <w:pPr>
              <w:pStyle w:val="13"/>
            </w:pPr>
            <w:r>
              <w:t>75%</w:t>
            </w:r>
          </w:p>
        </w:tc>
        <w:tc>
          <w:tcPr>
            <w:tcW w:w="3544" w:type="dxa"/>
            <w:gridSpan w:val="2"/>
            <w:vAlign w:val="center"/>
          </w:tcPr>
          <w:p w14:paraId="4E1DF179">
            <w:pPr>
              <w:pStyle w:val="13"/>
            </w:pPr>
            <w:r>
              <w:t>100%</w:t>
            </w:r>
          </w:p>
        </w:tc>
      </w:tr>
      <w:tr w14:paraId="793F5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CC971">
            <w:pPr>
              <w:pStyle w:val="10"/>
            </w:pPr>
            <w:r>
              <w:t>绩效目标</w:t>
            </w:r>
          </w:p>
        </w:tc>
        <w:tc>
          <w:tcPr>
            <w:tcW w:w="14033" w:type="dxa"/>
            <w:gridSpan w:val="6"/>
            <w:vAlign w:val="center"/>
          </w:tcPr>
          <w:p w14:paraId="0CED4B03">
            <w:pPr>
              <w:pStyle w:val="12"/>
            </w:pPr>
            <w:r>
              <w:t>1.按季度分批次拨付公用经费资金，资金拨付率达到100%。</w:t>
            </w:r>
          </w:p>
          <w:p w14:paraId="18106458">
            <w:pPr>
              <w:pStyle w:val="12"/>
            </w:pPr>
            <w:r>
              <w:t>2.保障学校正常运转，完成各项教育教学活动和其他日常工作任务等方面的费用支出。</w:t>
            </w:r>
          </w:p>
        </w:tc>
      </w:tr>
    </w:tbl>
    <w:p w14:paraId="1FE403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D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B39FE">
            <w:pPr>
              <w:pStyle w:val="10"/>
            </w:pPr>
            <w:r>
              <w:t>一级指标</w:t>
            </w:r>
          </w:p>
        </w:tc>
        <w:tc>
          <w:tcPr>
            <w:tcW w:w="2268" w:type="dxa"/>
            <w:vAlign w:val="center"/>
          </w:tcPr>
          <w:p w14:paraId="0F2F17C0">
            <w:pPr>
              <w:pStyle w:val="10"/>
            </w:pPr>
            <w:r>
              <w:t>二级指标</w:t>
            </w:r>
          </w:p>
        </w:tc>
        <w:tc>
          <w:tcPr>
            <w:tcW w:w="2835" w:type="dxa"/>
            <w:vAlign w:val="center"/>
          </w:tcPr>
          <w:p w14:paraId="27AC0B8B">
            <w:pPr>
              <w:pStyle w:val="10"/>
            </w:pPr>
            <w:r>
              <w:t>三级指标</w:t>
            </w:r>
          </w:p>
        </w:tc>
        <w:tc>
          <w:tcPr>
            <w:tcW w:w="5386" w:type="dxa"/>
            <w:vAlign w:val="center"/>
          </w:tcPr>
          <w:p w14:paraId="1412D91E">
            <w:pPr>
              <w:pStyle w:val="10"/>
            </w:pPr>
            <w:r>
              <w:t>绩效指标描述</w:t>
            </w:r>
          </w:p>
        </w:tc>
        <w:tc>
          <w:tcPr>
            <w:tcW w:w="2268" w:type="dxa"/>
            <w:vAlign w:val="center"/>
          </w:tcPr>
          <w:p w14:paraId="728A0478">
            <w:pPr>
              <w:pStyle w:val="10"/>
            </w:pPr>
            <w:r>
              <w:t>指标值</w:t>
            </w:r>
          </w:p>
        </w:tc>
        <w:tc>
          <w:tcPr>
            <w:tcW w:w="1276" w:type="dxa"/>
            <w:vAlign w:val="center"/>
          </w:tcPr>
          <w:p w14:paraId="04DDD541">
            <w:pPr>
              <w:pStyle w:val="10"/>
            </w:pPr>
            <w:r>
              <w:t>指标值确定依据</w:t>
            </w:r>
          </w:p>
        </w:tc>
      </w:tr>
      <w:tr w14:paraId="0199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6DB48">
            <w:pPr>
              <w:pStyle w:val="13"/>
            </w:pPr>
            <w:r>
              <w:t>产出指标</w:t>
            </w:r>
          </w:p>
        </w:tc>
        <w:tc>
          <w:tcPr>
            <w:tcW w:w="2268" w:type="dxa"/>
            <w:vAlign w:val="center"/>
          </w:tcPr>
          <w:p w14:paraId="1CB1F61A">
            <w:pPr>
              <w:pStyle w:val="12"/>
            </w:pPr>
            <w:r>
              <w:t>数量指标</w:t>
            </w:r>
          </w:p>
        </w:tc>
        <w:tc>
          <w:tcPr>
            <w:tcW w:w="2835" w:type="dxa"/>
            <w:vAlign w:val="center"/>
          </w:tcPr>
          <w:p w14:paraId="753DF292">
            <w:pPr>
              <w:pStyle w:val="12"/>
            </w:pPr>
            <w:r>
              <w:t>就读学生数</w:t>
            </w:r>
          </w:p>
        </w:tc>
        <w:tc>
          <w:tcPr>
            <w:tcW w:w="5386" w:type="dxa"/>
            <w:vAlign w:val="center"/>
          </w:tcPr>
          <w:p w14:paraId="2447D393">
            <w:pPr>
              <w:pStyle w:val="12"/>
            </w:pPr>
            <w:r>
              <w:t>辐射区域内适龄学生人数</w:t>
            </w:r>
          </w:p>
        </w:tc>
        <w:tc>
          <w:tcPr>
            <w:tcW w:w="2268" w:type="dxa"/>
            <w:vAlign w:val="center"/>
          </w:tcPr>
          <w:p w14:paraId="329506C1">
            <w:pPr>
              <w:pStyle w:val="12"/>
            </w:pPr>
            <w:r>
              <w:t>100人</w:t>
            </w:r>
          </w:p>
        </w:tc>
        <w:tc>
          <w:tcPr>
            <w:tcW w:w="1276" w:type="dxa"/>
            <w:vAlign w:val="center"/>
          </w:tcPr>
          <w:p w14:paraId="7B052AF5">
            <w:pPr>
              <w:pStyle w:val="12"/>
            </w:pPr>
            <w:r>
              <w:t>城乡义务教育公用经费管理办法</w:t>
            </w:r>
          </w:p>
        </w:tc>
      </w:tr>
      <w:tr w14:paraId="3F5A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C9E82"/>
        </w:tc>
        <w:tc>
          <w:tcPr>
            <w:tcW w:w="2268" w:type="dxa"/>
            <w:vAlign w:val="center"/>
          </w:tcPr>
          <w:p w14:paraId="1054A82C">
            <w:pPr>
              <w:pStyle w:val="12"/>
            </w:pPr>
            <w:r>
              <w:t>质量指标</w:t>
            </w:r>
          </w:p>
        </w:tc>
        <w:tc>
          <w:tcPr>
            <w:tcW w:w="2835" w:type="dxa"/>
            <w:vAlign w:val="center"/>
          </w:tcPr>
          <w:p w14:paraId="50704B37">
            <w:pPr>
              <w:pStyle w:val="12"/>
            </w:pPr>
            <w:r>
              <w:t>预算执行率</w:t>
            </w:r>
          </w:p>
        </w:tc>
        <w:tc>
          <w:tcPr>
            <w:tcW w:w="5386" w:type="dxa"/>
            <w:vAlign w:val="center"/>
          </w:tcPr>
          <w:p w14:paraId="02294A62">
            <w:pPr>
              <w:pStyle w:val="12"/>
            </w:pPr>
            <w:r>
              <w:t>预算执行率</w:t>
            </w:r>
          </w:p>
        </w:tc>
        <w:tc>
          <w:tcPr>
            <w:tcW w:w="2268" w:type="dxa"/>
            <w:vAlign w:val="center"/>
          </w:tcPr>
          <w:p w14:paraId="6AAF85D0">
            <w:pPr>
              <w:pStyle w:val="12"/>
            </w:pPr>
            <w:r>
              <w:t>≥95%</w:t>
            </w:r>
          </w:p>
        </w:tc>
        <w:tc>
          <w:tcPr>
            <w:tcW w:w="1276" w:type="dxa"/>
            <w:vAlign w:val="center"/>
          </w:tcPr>
          <w:p w14:paraId="0959DB7E">
            <w:pPr>
              <w:pStyle w:val="12"/>
            </w:pPr>
            <w:r>
              <w:t>城乡义务教育公用经费管理办法</w:t>
            </w:r>
          </w:p>
        </w:tc>
      </w:tr>
      <w:tr w14:paraId="152D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E9C8A"/>
        </w:tc>
        <w:tc>
          <w:tcPr>
            <w:tcW w:w="2268" w:type="dxa"/>
            <w:vAlign w:val="center"/>
          </w:tcPr>
          <w:p w14:paraId="4EFED0B0">
            <w:pPr>
              <w:pStyle w:val="12"/>
            </w:pPr>
            <w:r>
              <w:t>时效指标</w:t>
            </w:r>
          </w:p>
        </w:tc>
        <w:tc>
          <w:tcPr>
            <w:tcW w:w="2835" w:type="dxa"/>
            <w:vAlign w:val="center"/>
          </w:tcPr>
          <w:p w14:paraId="1168780B">
            <w:pPr>
              <w:pStyle w:val="12"/>
            </w:pPr>
            <w:r>
              <w:t>义教经费支付完成率</w:t>
            </w:r>
          </w:p>
        </w:tc>
        <w:tc>
          <w:tcPr>
            <w:tcW w:w="5386" w:type="dxa"/>
            <w:vAlign w:val="center"/>
          </w:tcPr>
          <w:p w14:paraId="30528C22">
            <w:pPr>
              <w:pStyle w:val="12"/>
            </w:pPr>
            <w:r>
              <w:t>按照序时进度完成资金支付</w:t>
            </w:r>
          </w:p>
        </w:tc>
        <w:tc>
          <w:tcPr>
            <w:tcW w:w="2268" w:type="dxa"/>
            <w:vAlign w:val="center"/>
          </w:tcPr>
          <w:p w14:paraId="205E3C5E">
            <w:pPr>
              <w:pStyle w:val="12"/>
            </w:pPr>
            <w:r>
              <w:t>100%</w:t>
            </w:r>
          </w:p>
        </w:tc>
        <w:tc>
          <w:tcPr>
            <w:tcW w:w="1276" w:type="dxa"/>
            <w:vAlign w:val="center"/>
          </w:tcPr>
          <w:p w14:paraId="4C9AEF49">
            <w:pPr>
              <w:pStyle w:val="12"/>
            </w:pPr>
            <w:r>
              <w:t>城乡义务教育公用经费管理办法</w:t>
            </w:r>
          </w:p>
        </w:tc>
      </w:tr>
      <w:tr w14:paraId="4CA3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1F9AA"/>
        </w:tc>
        <w:tc>
          <w:tcPr>
            <w:tcW w:w="2268" w:type="dxa"/>
            <w:vAlign w:val="center"/>
          </w:tcPr>
          <w:p w14:paraId="4D7227ED">
            <w:pPr>
              <w:pStyle w:val="12"/>
            </w:pPr>
            <w:r>
              <w:t>成本指标</w:t>
            </w:r>
          </w:p>
        </w:tc>
        <w:tc>
          <w:tcPr>
            <w:tcW w:w="2835" w:type="dxa"/>
            <w:vAlign w:val="center"/>
          </w:tcPr>
          <w:p w14:paraId="04B33F8E">
            <w:pPr>
              <w:pStyle w:val="12"/>
            </w:pPr>
            <w:r>
              <w:t>生均拨款标准</w:t>
            </w:r>
          </w:p>
        </w:tc>
        <w:tc>
          <w:tcPr>
            <w:tcW w:w="5386" w:type="dxa"/>
            <w:vAlign w:val="center"/>
          </w:tcPr>
          <w:p w14:paraId="78B1FCDA">
            <w:pPr>
              <w:pStyle w:val="12"/>
            </w:pPr>
            <w:r>
              <w:t>小学生公用经费生均公用经费基准定额为720元/年/生，取暖费120元/年/生，住宿生补助300元/年/生的标准，随班就读学生补助7000元/生/年</w:t>
            </w:r>
          </w:p>
        </w:tc>
        <w:tc>
          <w:tcPr>
            <w:tcW w:w="2268" w:type="dxa"/>
            <w:vAlign w:val="center"/>
          </w:tcPr>
          <w:p w14:paraId="2D7C88A5">
            <w:pPr>
              <w:pStyle w:val="12"/>
            </w:pPr>
            <w:r>
              <w:t>840元</w:t>
            </w:r>
          </w:p>
        </w:tc>
        <w:tc>
          <w:tcPr>
            <w:tcW w:w="1276" w:type="dxa"/>
            <w:vAlign w:val="center"/>
          </w:tcPr>
          <w:p w14:paraId="016EECE5">
            <w:pPr>
              <w:pStyle w:val="12"/>
            </w:pPr>
            <w:r>
              <w:t>城乡义务教育公用经费管理办法</w:t>
            </w:r>
          </w:p>
        </w:tc>
      </w:tr>
      <w:tr w14:paraId="551C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885FB">
            <w:pPr>
              <w:pStyle w:val="13"/>
            </w:pPr>
            <w:r>
              <w:t>效益指标</w:t>
            </w:r>
          </w:p>
        </w:tc>
        <w:tc>
          <w:tcPr>
            <w:tcW w:w="2268" w:type="dxa"/>
            <w:vAlign w:val="center"/>
          </w:tcPr>
          <w:p w14:paraId="5EBD6A86">
            <w:pPr>
              <w:pStyle w:val="12"/>
            </w:pPr>
            <w:r>
              <w:t>可持续影响指标</w:t>
            </w:r>
          </w:p>
        </w:tc>
        <w:tc>
          <w:tcPr>
            <w:tcW w:w="2835" w:type="dxa"/>
            <w:vAlign w:val="center"/>
          </w:tcPr>
          <w:p w14:paraId="49EB949B">
            <w:pPr>
              <w:pStyle w:val="12"/>
            </w:pPr>
            <w:r>
              <w:t>学校运转得到提高</w:t>
            </w:r>
          </w:p>
        </w:tc>
        <w:tc>
          <w:tcPr>
            <w:tcW w:w="5386" w:type="dxa"/>
            <w:vAlign w:val="center"/>
          </w:tcPr>
          <w:p w14:paraId="371CE7B3">
            <w:pPr>
              <w:pStyle w:val="12"/>
            </w:pPr>
            <w:r>
              <w:t>学生受教育年限</w:t>
            </w:r>
          </w:p>
        </w:tc>
        <w:tc>
          <w:tcPr>
            <w:tcW w:w="2268" w:type="dxa"/>
            <w:vAlign w:val="center"/>
          </w:tcPr>
          <w:p w14:paraId="719FA31C">
            <w:pPr>
              <w:pStyle w:val="12"/>
            </w:pPr>
            <w:r>
              <w:t>6年</w:t>
            </w:r>
          </w:p>
        </w:tc>
        <w:tc>
          <w:tcPr>
            <w:tcW w:w="1276" w:type="dxa"/>
            <w:vAlign w:val="center"/>
          </w:tcPr>
          <w:p w14:paraId="68C600C8">
            <w:pPr>
              <w:pStyle w:val="12"/>
            </w:pPr>
            <w:r>
              <w:t>城乡义务教育公用经费管理办法</w:t>
            </w:r>
          </w:p>
        </w:tc>
      </w:tr>
      <w:tr w14:paraId="71F7A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9DAED">
            <w:pPr>
              <w:pStyle w:val="13"/>
            </w:pPr>
            <w:r>
              <w:t>满意度指标</w:t>
            </w:r>
          </w:p>
        </w:tc>
        <w:tc>
          <w:tcPr>
            <w:tcW w:w="2268" w:type="dxa"/>
            <w:vAlign w:val="center"/>
          </w:tcPr>
          <w:p w14:paraId="7318FE52">
            <w:pPr>
              <w:pStyle w:val="12"/>
            </w:pPr>
            <w:r>
              <w:t>服务对象满意度指标</w:t>
            </w:r>
          </w:p>
        </w:tc>
        <w:tc>
          <w:tcPr>
            <w:tcW w:w="2835" w:type="dxa"/>
            <w:vAlign w:val="center"/>
          </w:tcPr>
          <w:p w14:paraId="79D281C4">
            <w:pPr>
              <w:pStyle w:val="12"/>
            </w:pPr>
            <w:r>
              <w:t>服务对象满意度</w:t>
            </w:r>
          </w:p>
        </w:tc>
        <w:tc>
          <w:tcPr>
            <w:tcW w:w="5386" w:type="dxa"/>
            <w:vAlign w:val="center"/>
          </w:tcPr>
          <w:p w14:paraId="2CE7F6E0">
            <w:pPr>
              <w:pStyle w:val="12"/>
            </w:pPr>
            <w:r>
              <w:t>学校老师和学生满意度</w:t>
            </w:r>
          </w:p>
        </w:tc>
        <w:tc>
          <w:tcPr>
            <w:tcW w:w="2268" w:type="dxa"/>
            <w:vAlign w:val="center"/>
          </w:tcPr>
          <w:p w14:paraId="1CB9475A">
            <w:pPr>
              <w:pStyle w:val="12"/>
            </w:pPr>
            <w:r>
              <w:t>≥95%</w:t>
            </w:r>
          </w:p>
        </w:tc>
        <w:tc>
          <w:tcPr>
            <w:tcW w:w="1276" w:type="dxa"/>
            <w:vAlign w:val="center"/>
          </w:tcPr>
          <w:p w14:paraId="139AFFEB">
            <w:pPr>
              <w:pStyle w:val="12"/>
            </w:pPr>
            <w:r>
              <w:t>群众测评</w:t>
            </w:r>
          </w:p>
        </w:tc>
      </w:tr>
    </w:tbl>
    <w:p w14:paraId="5E68F3BF">
      <w:pPr>
        <w:sectPr>
          <w:pgSz w:w="16840" w:h="11900" w:orient="landscape"/>
          <w:pgMar w:top="1361" w:right="1020" w:bottom="1134" w:left="1020" w:header="720" w:footer="720" w:gutter="0"/>
          <w:cols w:space="720" w:num="1"/>
        </w:sectPr>
      </w:pPr>
    </w:p>
    <w:p w14:paraId="3D3B4874">
      <w:pPr>
        <w:spacing w:before="0" w:after="0"/>
        <w:ind w:firstLine="560"/>
        <w:jc w:val="left"/>
        <w:outlineLvl w:val="9"/>
      </w:pPr>
      <w:r>
        <w:rPr>
          <w:rFonts w:ascii="方正仿宋_GBK" w:hAnsi="方正仿宋_GBK" w:eastAsia="方正仿宋_GBK" w:cs="方正仿宋_GBK"/>
          <w:b/>
          <w:color w:val="000000"/>
          <w:sz w:val="28"/>
        </w:rPr>
        <w:t>19、冀财教[2025]147号/省级/2026年义教补助经费/莲子镇校区西店子小学公用经费绩效目标表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20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3CCB8">
            <w:pPr>
              <w:pStyle w:val="11"/>
            </w:pPr>
            <w:r>
              <w:t>单位：万元</w:t>
            </w:r>
          </w:p>
        </w:tc>
      </w:tr>
      <w:tr w14:paraId="2D65D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56F95">
            <w:pPr>
              <w:pStyle w:val="10"/>
            </w:pPr>
            <w:r>
              <w:t>项目编码</w:t>
            </w:r>
          </w:p>
        </w:tc>
        <w:tc>
          <w:tcPr>
            <w:tcW w:w="5103" w:type="dxa"/>
            <w:gridSpan w:val="2"/>
            <w:vAlign w:val="center"/>
          </w:tcPr>
          <w:p w14:paraId="49C33252">
            <w:pPr>
              <w:pStyle w:val="12"/>
            </w:pPr>
            <w:r>
              <w:t>13052526P00000410399M</w:t>
            </w:r>
          </w:p>
        </w:tc>
        <w:tc>
          <w:tcPr>
            <w:tcW w:w="2835" w:type="dxa"/>
            <w:vAlign w:val="center"/>
          </w:tcPr>
          <w:p w14:paraId="2537C5A6">
            <w:pPr>
              <w:pStyle w:val="10"/>
            </w:pPr>
            <w:r>
              <w:t>项目名称</w:t>
            </w:r>
          </w:p>
        </w:tc>
        <w:tc>
          <w:tcPr>
            <w:tcW w:w="6095" w:type="dxa"/>
            <w:gridSpan w:val="3"/>
            <w:vAlign w:val="center"/>
          </w:tcPr>
          <w:p w14:paraId="0ABB7DD9">
            <w:pPr>
              <w:pStyle w:val="12"/>
            </w:pPr>
            <w:r>
              <w:t>冀财教[2025]147号/省级/2026年义教补助经费/莲子镇校区西店子小学公用经费</w:t>
            </w:r>
          </w:p>
        </w:tc>
      </w:tr>
      <w:tr w14:paraId="67939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F3BC6">
            <w:pPr>
              <w:pStyle w:val="10"/>
            </w:pPr>
            <w:r>
              <w:t>预算规模及资金用途</w:t>
            </w:r>
          </w:p>
        </w:tc>
        <w:tc>
          <w:tcPr>
            <w:tcW w:w="2268" w:type="dxa"/>
            <w:vAlign w:val="center"/>
          </w:tcPr>
          <w:p w14:paraId="0951B727">
            <w:pPr>
              <w:pStyle w:val="10"/>
            </w:pPr>
            <w:r>
              <w:t>预算数</w:t>
            </w:r>
          </w:p>
        </w:tc>
        <w:tc>
          <w:tcPr>
            <w:tcW w:w="2835" w:type="dxa"/>
            <w:vAlign w:val="center"/>
          </w:tcPr>
          <w:p w14:paraId="7308E686">
            <w:pPr>
              <w:pStyle w:val="12"/>
            </w:pPr>
            <w:r>
              <w:t>4.60</w:t>
            </w:r>
          </w:p>
        </w:tc>
        <w:tc>
          <w:tcPr>
            <w:tcW w:w="2835" w:type="dxa"/>
            <w:vAlign w:val="center"/>
          </w:tcPr>
          <w:p w14:paraId="7EFFDFDA">
            <w:pPr>
              <w:pStyle w:val="10"/>
            </w:pPr>
            <w:r>
              <w:t>其中：财政    资金</w:t>
            </w:r>
          </w:p>
        </w:tc>
        <w:tc>
          <w:tcPr>
            <w:tcW w:w="2551" w:type="dxa"/>
            <w:vAlign w:val="center"/>
          </w:tcPr>
          <w:p w14:paraId="0E0FC166">
            <w:pPr>
              <w:pStyle w:val="12"/>
            </w:pPr>
            <w:r>
              <w:t>4.60</w:t>
            </w:r>
          </w:p>
        </w:tc>
        <w:tc>
          <w:tcPr>
            <w:tcW w:w="2268" w:type="dxa"/>
            <w:vAlign w:val="center"/>
          </w:tcPr>
          <w:p w14:paraId="59FA16C1">
            <w:pPr>
              <w:pStyle w:val="10"/>
            </w:pPr>
            <w:r>
              <w:t>其他资金</w:t>
            </w:r>
          </w:p>
        </w:tc>
        <w:tc>
          <w:tcPr>
            <w:tcW w:w="1276" w:type="dxa"/>
            <w:vAlign w:val="center"/>
          </w:tcPr>
          <w:p w14:paraId="44CD1193">
            <w:pPr>
              <w:pStyle w:val="12"/>
            </w:pPr>
            <w:r>
              <w:t xml:space="preserve"> </w:t>
            </w:r>
          </w:p>
        </w:tc>
      </w:tr>
      <w:tr w14:paraId="1C3B6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BF2F5"/>
        </w:tc>
        <w:tc>
          <w:tcPr>
            <w:tcW w:w="14033" w:type="dxa"/>
            <w:gridSpan w:val="6"/>
            <w:vAlign w:val="center"/>
          </w:tcPr>
          <w:p w14:paraId="34D2E73F">
            <w:pPr>
              <w:pStyle w:val="12"/>
            </w:pPr>
            <w:r>
              <w:t>保障学校正常运转，完成各项教育教学活动和其他日常工作任务等方面的费用支出。</w:t>
            </w:r>
          </w:p>
        </w:tc>
      </w:tr>
      <w:tr w14:paraId="3619F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A917A">
            <w:pPr>
              <w:pStyle w:val="10"/>
            </w:pPr>
            <w:r>
              <w:t>资金支出计划（%）</w:t>
            </w:r>
          </w:p>
        </w:tc>
        <w:tc>
          <w:tcPr>
            <w:tcW w:w="5103" w:type="dxa"/>
            <w:gridSpan w:val="2"/>
            <w:vAlign w:val="center"/>
          </w:tcPr>
          <w:p w14:paraId="4FCA3A0D">
            <w:pPr>
              <w:pStyle w:val="10"/>
            </w:pPr>
            <w:r>
              <w:t>3月底</w:t>
            </w:r>
          </w:p>
        </w:tc>
        <w:tc>
          <w:tcPr>
            <w:tcW w:w="2835" w:type="dxa"/>
            <w:vAlign w:val="center"/>
          </w:tcPr>
          <w:p w14:paraId="4C944728">
            <w:pPr>
              <w:pStyle w:val="10"/>
            </w:pPr>
            <w:r>
              <w:t>6月底</w:t>
            </w:r>
          </w:p>
        </w:tc>
        <w:tc>
          <w:tcPr>
            <w:tcW w:w="2551" w:type="dxa"/>
            <w:vAlign w:val="center"/>
          </w:tcPr>
          <w:p w14:paraId="23062C3A">
            <w:pPr>
              <w:pStyle w:val="10"/>
            </w:pPr>
            <w:r>
              <w:t>10月底</w:t>
            </w:r>
          </w:p>
        </w:tc>
        <w:tc>
          <w:tcPr>
            <w:tcW w:w="3544" w:type="dxa"/>
            <w:gridSpan w:val="2"/>
            <w:vAlign w:val="center"/>
          </w:tcPr>
          <w:p w14:paraId="13A2CF5B">
            <w:pPr>
              <w:pStyle w:val="10"/>
            </w:pPr>
            <w:r>
              <w:t>12月底</w:t>
            </w:r>
          </w:p>
        </w:tc>
      </w:tr>
      <w:tr w14:paraId="32634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7EF9F"/>
        </w:tc>
        <w:tc>
          <w:tcPr>
            <w:tcW w:w="5103" w:type="dxa"/>
            <w:gridSpan w:val="2"/>
            <w:vAlign w:val="center"/>
          </w:tcPr>
          <w:p w14:paraId="299DE2B3">
            <w:pPr>
              <w:pStyle w:val="13"/>
            </w:pPr>
            <w:r>
              <w:t>25%</w:t>
            </w:r>
          </w:p>
        </w:tc>
        <w:tc>
          <w:tcPr>
            <w:tcW w:w="2835" w:type="dxa"/>
            <w:vAlign w:val="center"/>
          </w:tcPr>
          <w:p w14:paraId="54A74FC3">
            <w:pPr>
              <w:pStyle w:val="13"/>
            </w:pPr>
            <w:r>
              <w:t>50%</w:t>
            </w:r>
          </w:p>
        </w:tc>
        <w:tc>
          <w:tcPr>
            <w:tcW w:w="2551" w:type="dxa"/>
            <w:vAlign w:val="center"/>
          </w:tcPr>
          <w:p w14:paraId="7DBCEFBF">
            <w:pPr>
              <w:pStyle w:val="13"/>
            </w:pPr>
            <w:r>
              <w:t>75%</w:t>
            </w:r>
          </w:p>
        </w:tc>
        <w:tc>
          <w:tcPr>
            <w:tcW w:w="3544" w:type="dxa"/>
            <w:gridSpan w:val="2"/>
            <w:vAlign w:val="center"/>
          </w:tcPr>
          <w:p w14:paraId="5259CA73">
            <w:pPr>
              <w:pStyle w:val="13"/>
            </w:pPr>
            <w:r>
              <w:t>100%</w:t>
            </w:r>
          </w:p>
        </w:tc>
      </w:tr>
      <w:tr w14:paraId="4F001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BA4D1">
            <w:pPr>
              <w:pStyle w:val="10"/>
            </w:pPr>
            <w:r>
              <w:t>绩效目标</w:t>
            </w:r>
          </w:p>
        </w:tc>
        <w:tc>
          <w:tcPr>
            <w:tcW w:w="14033" w:type="dxa"/>
            <w:gridSpan w:val="6"/>
            <w:vAlign w:val="center"/>
          </w:tcPr>
          <w:p w14:paraId="6E52227B">
            <w:pPr>
              <w:pStyle w:val="12"/>
            </w:pPr>
            <w:r>
              <w:t>1.按季度分批次拨付公用经费资金，资金拨付率达到100%。</w:t>
            </w:r>
          </w:p>
          <w:p w14:paraId="6FFB4746">
            <w:pPr>
              <w:pStyle w:val="12"/>
            </w:pPr>
            <w:r>
              <w:t>2.保障学校正常运转，完成各项教育教学活动和其他日常工作任务等方面的费用支出。</w:t>
            </w:r>
          </w:p>
        </w:tc>
      </w:tr>
    </w:tbl>
    <w:p w14:paraId="6F381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90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66387">
            <w:pPr>
              <w:pStyle w:val="10"/>
            </w:pPr>
            <w:r>
              <w:t>一级指标</w:t>
            </w:r>
          </w:p>
        </w:tc>
        <w:tc>
          <w:tcPr>
            <w:tcW w:w="2268" w:type="dxa"/>
            <w:vAlign w:val="center"/>
          </w:tcPr>
          <w:p w14:paraId="0932049E">
            <w:pPr>
              <w:pStyle w:val="10"/>
            </w:pPr>
            <w:r>
              <w:t>二级指标</w:t>
            </w:r>
          </w:p>
        </w:tc>
        <w:tc>
          <w:tcPr>
            <w:tcW w:w="2835" w:type="dxa"/>
            <w:vAlign w:val="center"/>
          </w:tcPr>
          <w:p w14:paraId="34279721">
            <w:pPr>
              <w:pStyle w:val="10"/>
            </w:pPr>
            <w:r>
              <w:t>三级指标</w:t>
            </w:r>
          </w:p>
        </w:tc>
        <w:tc>
          <w:tcPr>
            <w:tcW w:w="5386" w:type="dxa"/>
            <w:vAlign w:val="center"/>
          </w:tcPr>
          <w:p w14:paraId="46653381">
            <w:pPr>
              <w:pStyle w:val="10"/>
            </w:pPr>
            <w:r>
              <w:t>绩效指标描述</w:t>
            </w:r>
          </w:p>
        </w:tc>
        <w:tc>
          <w:tcPr>
            <w:tcW w:w="2268" w:type="dxa"/>
            <w:vAlign w:val="center"/>
          </w:tcPr>
          <w:p w14:paraId="0DA7DB14">
            <w:pPr>
              <w:pStyle w:val="10"/>
            </w:pPr>
            <w:r>
              <w:t>指标值</w:t>
            </w:r>
          </w:p>
        </w:tc>
        <w:tc>
          <w:tcPr>
            <w:tcW w:w="1276" w:type="dxa"/>
            <w:vAlign w:val="center"/>
          </w:tcPr>
          <w:p w14:paraId="4F402886">
            <w:pPr>
              <w:pStyle w:val="10"/>
            </w:pPr>
            <w:r>
              <w:t>指标值确定依据</w:t>
            </w:r>
          </w:p>
        </w:tc>
      </w:tr>
      <w:tr w14:paraId="28DA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32F6F">
            <w:pPr>
              <w:pStyle w:val="13"/>
            </w:pPr>
            <w:r>
              <w:t>产出指标</w:t>
            </w:r>
          </w:p>
        </w:tc>
        <w:tc>
          <w:tcPr>
            <w:tcW w:w="2268" w:type="dxa"/>
            <w:vAlign w:val="center"/>
          </w:tcPr>
          <w:p w14:paraId="6C0D67B8">
            <w:pPr>
              <w:pStyle w:val="12"/>
            </w:pPr>
            <w:r>
              <w:t>数量指标</w:t>
            </w:r>
          </w:p>
        </w:tc>
        <w:tc>
          <w:tcPr>
            <w:tcW w:w="2835" w:type="dxa"/>
            <w:vAlign w:val="center"/>
          </w:tcPr>
          <w:p w14:paraId="1772BEA1">
            <w:pPr>
              <w:pStyle w:val="12"/>
            </w:pPr>
            <w:r>
              <w:t>就读学生数</w:t>
            </w:r>
          </w:p>
        </w:tc>
        <w:tc>
          <w:tcPr>
            <w:tcW w:w="5386" w:type="dxa"/>
            <w:vAlign w:val="center"/>
          </w:tcPr>
          <w:p w14:paraId="3421D553">
            <w:pPr>
              <w:pStyle w:val="12"/>
            </w:pPr>
            <w:r>
              <w:t>辐射区域内适龄学生人数</w:t>
            </w:r>
          </w:p>
        </w:tc>
        <w:tc>
          <w:tcPr>
            <w:tcW w:w="2268" w:type="dxa"/>
            <w:vAlign w:val="center"/>
          </w:tcPr>
          <w:p w14:paraId="7F699553">
            <w:pPr>
              <w:pStyle w:val="12"/>
            </w:pPr>
            <w:r>
              <w:t>168人</w:t>
            </w:r>
          </w:p>
        </w:tc>
        <w:tc>
          <w:tcPr>
            <w:tcW w:w="1276" w:type="dxa"/>
            <w:vAlign w:val="center"/>
          </w:tcPr>
          <w:p w14:paraId="430F5598">
            <w:pPr>
              <w:pStyle w:val="12"/>
            </w:pPr>
            <w:r>
              <w:t>城乡义务教育公用经费管理办法</w:t>
            </w:r>
          </w:p>
        </w:tc>
      </w:tr>
      <w:tr w14:paraId="06D30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B45C1"/>
        </w:tc>
        <w:tc>
          <w:tcPr>
            <w:tcW w:w="2268" w:type="dxa"/>
            <w:vAlign w:val="center"/>
          </w:tcPr>
          <w:p w14:paraId="01C6BC43">
            <w:pPr>
              <w:pStyle w:val="12"/>
            </w:pPr>
            <w:r>
              <w:t>质量指标</w:t>
            </w:r>
          </w:p>
        </w:tc>
        <w:tc>
          <w:tcPr>
            <w:tcW w:w="2835" w:type="dxa"/>
            <w:vAlign w:val="center"/>
          </w:tcPr>
          <w:p w14:paraId="4DD26CB4">
            <w:pPr>
              <w:pStyle w:val="12"/>
            </w:pPr>
            <w:r>
              <w:t>预算执行率</w:t>
            </w:r>
          </w:p>
        </w:tc>
        <w:tc>
          <w:tcPr>
            <w:tcW w:w="5386" w:type="dxa"/>
            <w:vAlign w:val="center"/>
          </w:tcPr>
          <w:p w14:paraId="66E5C64F">
            <w:pPr>
              <w:pStyle w:val="12"/>
            </w:pPr>
            <w:r>
              <w:t>预算执行率</w:t>
            </w:r>
          </w:p>
        </w:tc>
        <w:tc>
          <w:tcPr>
            <w:tcW w:w="2268" w:type="dxa"/>
            <w:vAlign w:val="center"/>
          </w:tcPr>
          <w:p w14:paraId="5DA64898">
            <w:pPr>
              <w:pStyle w:val="12"/>
            </w:pPr>
            <w:r>
              <w:t>≥95%</w:t>
            </w:r>
          </w:p>
        </w:tc>
        <w:tc>
          <w:tcPr>
            <w:tcW w:w="1276" w:type="dxa"/>
            <w:vAlign w:val="center"/>
          </w:tcPr>
          <w:p w14:paraId="0278CDD5">
            <w:pPr>
              <w:pStyle w:val="12"/>
            </w:pPr>
            <w:r>
              <w:t>城乡义务教育公用经费管理办法</w:t>
            </w:r>
          </w:p>
        </w:tc>
      </w:tr>
      <w:tr w14:paraId="50A2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988CE"/>
        </w:tc>
        <w:tc>
          <w:tcPr>
            <w:tcW w:w="2268" w:type="dxa"/>
            <w:vAlign w:val="center"/>
          </w:tcPr>
          <w:p w14:paraId="0137B75D">
            <w:pPr>
              <w:pStyle w:val="12"/>
            </w:pPr>
            <w:r>
              <w:t>时效指标</w:t>
            </w:r>
          </w:p>
        </w:tc>
        <w:tc>
          <w:tcPr>
            <w:tcW w:w="2835" w:type="dxa"/>
            <w:vAlign w:val="center"/>
          </w:tcPr>
          <w:p w14:paraId="4FEEE36D">
            <w:pPr>
              <w:pStyle w:val="12"/>
            </w:pPr>
            <w:r>
              <w:t>义教经费支付完成率</w:t>
            </w:r>
          </w:p>
        </w:tc>
        <w:tc>
          <w:tcPr>
            <w:tcW w:w="5386" w:type="dxa"/>
            <w:vAlign w:val="center"/>
          </w:tcPr>
          <w:p w14:paraId="094978AE">
            <w:pPr>
              <w:pStyle w:val="12"/>
            </w:pPr>
            <w:r>
              <w:t>按照序时进度完成资金支付</w:t>
            </w:r>
          </w:p>
        </w:tc>
        <w:tc>
          <w:tcPr>
            <w:tcW w:w="2268" w:type="dxa"/>
            <w:vAlign w:val="center"/>
          </w:tcPr>
          <w:p w14:paraId="372E5568">
            <w:pPr>
              <w:pStyle w:val="12"/>
            </w:pPr>
            <w:r>
              <w:t>100%</w:t>
            </w:r>
          </w:p>
        </w:tc>
        <w:tc>
          <w:tcPr>
            <w:tcW w:w="1276" w:type="dxa"/>
            <w:vAlign w:val="center"/>
          </w:tcPr>
          <w:p w14:paraId="72EEB37F">
            <w:pPr>
              <w:pStyle w:val="12"/>
            </w:pPr>
            <w:r>
              <w:t>城乡义务教育公用经费管理办法</w:t>
            </w:r>
          </w:p>
        </w:tc>
      </w:tr>
      <w:tr w14:paraId="0EBB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2EAB2"/>
        </w:tc>
        <w:tc>
          <w:tcPr>
            <w:tcW w:w="2268" w:type="dxa"/>
            <w:vAlign w:val="center"/>
          </w:tcPr>
          <w:p w14:paraId="59D21E88">
            <w:pPr>
              <w:pStyle w:val="12"/>
            </w:pPr>
            <w:r>
              <w:t>成本指标</w:t>
            </w:r>
          </w:p>
        </w:tc>
        <w:tc>
          <w:tcPr>
            <w:tcW w:w="2835" w:type="dxa"/>
            <w:vAlign w:val="center"/>
          </w:tcPr>
          <w:p w14:paraId="1D08CB81">
            <w:pPr>
              <w:pStyle w:val="12"/>
            </w:pPr>
            <w:r>
              <w:t>生均拨款标准</w:t>
            </w:r>
          </w:p>
        </w:tc>
        <w:tc>
          <w:tcPr>
            <w:tcW w:w="5386" w:type="dxa"/>
            <w:vAlign w:val="center"/>
          </w:tcPr>
          <w:p w14:paraId="34680BEF">
            <w:pPr>
              <w:pStyle w:val="12"/>
            </w:pPr>
            <w:r>
              <w:t>小学生生均公用经费基准定额为720元/年/生，取暖费120元/年/生，住宿生补助300元/年/生的标准，随班就读学生补助7000元/生/年</w:t>
            </w:r>
          </w:p>
        </w:tc>
        <w:tc>
          <w:tcPr>
            <w:tcW w:w="2268" w:type="dxa"/>
            <w:vAlign w:val="center"/>
          </w:tcPr>
          <w:p w14:paraId="0F44F8B6">
            <w:pPr>
              <w:pStyle w:val="12"/>
            </w:pPr>
            <w:r>
              <w:t>840元</w:t>
            </w:r>
          </w:p>
        </w:tc>
        <w:tc>
          <w:tcPr>
            <w:tcW w:w="1276" w:type="dxa"/>
            <w:vAlign w:val="center"/>
          </w:tcPr>
          <w:p w14:paraId="459BFDDA">
            <w:pPr>
              <w:pStyle w:val="12"/>
            </w:pPr>
            <w:r>
              <w:t>城乡义务教育公用经费管理办法</w:t>
            </w:r>
          </w:p>
        </w:tc>
      </w:tr>
      <w:tr w14:paraId="341A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A6B31">
            <w:pPr>
              <w:pStyle w:val="13"/>
            </w:pPr>
            <w:r>
              <w:t>效益指标</w:t>
            </w:r>
          </w:p>
        </w:tc>
        <w:tc>
          <w:tcPr>
            <w:tcW w:w="2268" w:type="dxa"/>
            <w:vAlign w:val="center"/>
          </w:tcPr>
          <w:p w14:paraId="0DFC8A68">
            <w:pPr>
              <w:pStyle w:val="12"/>
            </w:pPr>
            <w:r>
              <w:t>可持续影响指标</w:t>
            </w:r>
          </w:p>
        </w:tc>
        <w:tc>
          <w:tcPr>
            <w:tcW w:w="2835" w:type="dxa"/>
            <w:vAlign w:val="center"/>
          </w:tcPr>
          <w:p w14:paraId="4A4D7AD1">
            <w:pPr>
              <w:pStyle w:val="12"/>
            </w:pPr>
            <w:r>
              <w:t>学校运转得到提高</w:t>
            </w:r>
          </w:p>
        </w:tc>
        <w:tc>
          <w:tcPr>
            <w:tcW w:w="5386" w:type="dxa"/>
            <w:vAlign w:val="center"/>
          </w:tcPr>
          <w:p w14:paraId="0100B45E">
            <w:pPr>
              <w:pStyle w:val="12"/>
            </w:pPr>
            <w:r>
              <w:t>学生受教育年限</w:t>
            </w:r>
          </w:p>
        </w:tc>
        <w:tc>
          <w:tcPr>
            <w:tcW w:w="2268" w:type="dxa"/>
            <w:vAlign w:val="center"/>
          </w:tcPr>
          <w:p w14:paraId="5965D913">
            <w:pPr>
              <w:pStyle w:val="12"/>
            </w:pPr>
            <w:r>
              <w:t>6年</w:t>
            </w:r>
          </w:p>
        </w:tc>
        <w:tc>
          <w:tcPr>
            <w:tcW w:w="1276" w:type="dxa"/>
            <w:vAlign w:val="center"/>
          </w:tcPr>
          <w:p w14:paraId="7FA608F2">
            <w:pPr>
              <w:pStyle w:val="12"/>
            </w:pPr>
            <w:r>
              <w:t>城乡义务教育公用经费管理办法</w:t>
            </w:r>
          </w:p>
        </w:tc>
      </w:tr>
      <w:tr w14:paraId="31FF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11BD3">
            <w:pPr>
              <w:pStyle w:val="13"/>
            </w:pPr>
            <w:r>
              <w:t>满意度指标</w:t>
            </w:r>
          </w:p>
        </w:tc>
        <w:tc>
          <w:tcPr>
            <w:tcW w:w="2268" w:type="dxa"/>
            <w:vAlign w:val="center"/>
          </w:tcPr>
          <w:p w14:paraId="795F419E">
            <w:pPr>
              <w:pStyle w:val="12"/>
            </w:pPr>
            <w:r>
              <w:t>服务对象满意度指标</w:t>
            </w:r>
          </w:p>
        </w:tc>
        <w:tc>
          <w:tcPr>
            <w:tcW w:w="2835" w:type="dxa"/>
            <w:vAlign w:val="center"/>
          </w:tcPr>
          <w:p w14:paraId="5E1C72CD">
            <w:pPr>
              <w:pStyle w:val="12"/>
            </w:pPr>
            <w:r>
              <w:t>服务对象满意度</w:t>
            </w:r>
          </w:p>
        </w:tc>
        <w:tc>
          <w:tcPr>
            <w:tcW w:w="5386" w:type="dxa"/>
            <w:vAlign w:val="center"/>
          </w:tcPr>
          <w:p w14:paraId="799F21D1">
            <w:pPr>
              <w:pStyle w:val="12"/>
            </w:pPr>
            <w:r>
              <w:t>学校老师和学生满意度</w:t>
            </w:r>
          </w:p>
        </w:tc>
        <w:tc>
          <w:tcPr>
            <w:tcW w:w="2268" w:type="dxa"/>
            <w:vAlign w:val="center"/>
          </w:tcPr>
          <w:p w14:paraId="0CE929DC">
            <w:pPr>
              <w:pStyle w:val="12"/>
            </w:pPr>
            <w:r>
              <w:t>≥95%</w:t>
            </w:r>
          </w:p>
        </w:tc>
        <w:tc>
          <w:tcPr>
            <w:tcW w:w="1276" w:type="dxa"/>
            <w:vAlign w:val="center"/>
          </w:tcPr>
          <w:p w14:paraId="729EC89B">
            <w:pPr>
              <w:pStyle w:val="12"/>
            </w:pPr>
            <w:r>
              <w:t>群众测评</w:t>
            </w:r>
          </w:p>
        </w:tc>
      </w:tr>
    </w:tbl>
    <w:p w14:paraId="35A20D95">
      <w:pPr>
        <w:sectPr>
          <w:pgSz w:w="16840" w:h="11900" w:orient="landscape"/>
          <w:pgMar w:top="1361" w:right="1020" w:bottom="1134" w:left="1020" w:header="720" w:footer="720" w:gutter="0"/>
          <w:cols w:space="720" w:num="1"/>
        </w:sectPr>
      </w:pPr>
    </w:p>
    <w:p w14:paraId="66D02EEE">
      <w:pPr>
        <w:spacing w:before="0" w:after="0"/>
        <w:ind w:firstLine="560"/>
        <w:jc w:val="left"/>
        <w:outlineLvl w:val="9"/>
      </w:pPr>
      <w:r>
        <w:rPr>
          <w:rFonts w:ascii="方正仿宋_GBK" w:hAnsi="方正仿宋_GBK" w:eastAsia="方正仿宋_GBK" w:cs="方正仿宋_GBK"/>
          <w:b/>
          <w:color w:val="000000"/>
          <w:sz w:val="28"/>
        </w:rPr>
        <w:t>20、冀财教[2025]147号/省级/2026年义教补助经费/莲子镇校区西范小学公用经费绩效目标表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CF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EE23E">
            <w:pPr>
              <w:pStyle w:val="11"/>
            </w:pPr>
            <w:r>
              <w:t>单位：万元</w:t>
            </w:r>
          </w:p>
        </w:tc>
      </w:tr>
      <w:tr w14:paraId="6DF8C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EBD9C">
            <w:pPr>
              <w:pStyle w:val="10"/>
            </w:pPr>
            <w:r>
              <w:t>项目编码</w:t>
            </w:r>
          </w:p>
        </w:tc>
        <w:tc>
          <w:tcPr>
            <w:tcW w:w="5103" w:type="dxa"/>
            <w:gridSpan w:val="2"/>
            <w:vAlign w:val="center"/>
          </w:tcPr>
          <w:p w14:paraId="1A795541">
            <w:pPr>
              <w:pStyle w:val="12"/>
            </w:pPr>
            <w:r>
              <w:t>13052526P00000410402T</w:t>
            </w:r>
          </w:p>
        </w:tc>
        <w:tc>
          <w:tcPr>
            <w:tcW w:w="2835" w:type="dxa"/>
            <w:vAlign w:val="center"/>
          </w:tcPr>
          <w:p w14:paraId="04615D35">
            <w:pPr>
              <w:pStyle w:val="10"/>
            </w:pPr>
            <w:r>
              <w:t>项目名称</w:t>
            </w:r>
          </w:p>
        </w:tc>
        <w:tc>
          <w:tcPr>
            <w:tcW w:w="6095" w:type="dxa"/>
            <w:gridSpan w:val="3"/>
            <w:vAlign w:val="center"/>
          </w:tcPr>
          <w:p w14:paraId="79EEA69F">
            <w:pPr>
              <w:pStyle w:val="12"/>
            </w:pPr>
            <w:r>
              <w:t>冀财教[2025]147号/省级/2026年义教补助经费/莲子镇校区西范小学公用经费</w:t>
            </w:r>
          </w:p>
        </w:tc>
      </w:tr>
      <w:tr w14:paraId="68724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1D91A">
            <w:pPr>
              <w:pStyle w:val="10"/>
            </w:pPr>
            <w:r>
              <w:t>预算规模及资金用途</w:t>
            </w:r>
          </w:p>
        </w:tc>
        <w:tc>
          <w:tcPr>
            <w:tcW w:w="2268" w:type="dxa"/>
            <w:vAlign w:val="center"/>
          </w:tcPr>
          <w:p w14:paraId="585AAF14">
            <w:pPr>
              <w:pStyle w:val="10"/>
            </w:pPr>
            <w:r>
              <w:t>预算数</w:t>
            </w:r>
          </w:p>
        </w:tc>
        <w:tc>
          <w:tcPr>
            <w:tcW w:w="2835" w:type="dxa"/>
            <w:vAlign w:val="center"/>
          </w:tcPr>
          <w:p w14:paraId="658EAB9D">
            <w:pPr>
              <w:pStyle w:val="12"/>
            </w:pPr>
            <w:r>
              <w:t>8.82</w:t>
            </w:r>
          </w:p>
        </w:tc>
        <w:tc>
          <w:tcPr>
            <w:tcW w:w="2835" w:type="dxa"/>
            <w:vAlign w:val="center"/>
          </w:tcPr>
          <w:p w14:paraId="56C2F6FE">
            <w:pPr>
              <w:pStyle w:val="10"/>
            </w:pPr>
            <w:r>
              <w:t>其中：财政    资金</w:t>
            </w:r>
          </w:p>
        </w:tc>
        <w:tc>
          <w:tcPr>
            <w:tcW w:w="2551" w:type="dxa"/>
            <w:vAlign w:val="center"/>
          </w:tcPr>
          <w:p w14:paraId="1B21C178">
            <w:pPr>
              <w:pStyle w:val="12"/>
            </w:pPr>
            <w:r>
              <w:t>8.82</w:t>
            </w:r>
          </w:p>
        </w:tc>
        <w:tc>
          <w:tcPr>
            <w:tcW w:w="2268" w:type="dxa"/>
            <w:vAlign w:val="center"/>
          </w:tcPr>
          <w:p w14:paraId="77FD921A">
            <w:pPr>
              <w:pStyle w:val="10"/>
            </w:pPr>
            <w:r>
              <w:t>其他资金</w:t>
            </w:r>
          </w:p>
        </w:tc>
        <w:tc>
          <w:tcPr>
            <w:tcW w:w="1276" w:type="dxa"/>
            <w:vAlign w:val="center"/>
          </w:tcPr>
          <w:p w14:paraId="3A5DC0F2">
            <w:pPr>
              <w:pStyle w:val="12"/>
            </w:pPr>
            <w:r>
              <w:t xml:space="preserve"> </w:t>
            </w:r>
          </w:p>
        </w:tc>
      </w:tr>
      <w:tr w14:paraId="38E41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0FA2B"/>
        </w:tc>
        <w:tc>
          <w:tcPr>
            <w:tcW w:w="14033" w:type="dxa"/>
            <w:gridSpan w:val="6"/>
            <w:vAlign w:val="center"/>
          </w:tcPr>
          <w:p w14:paraId="7E6DEA15">
            <w:pPr>
              <w:pStyle w:val="12"/>
            </w:pPr>
            <w:r>
              <w:t>保障学校正常运转，完成各项教育教学活动和其他日常工作任务等方面的费用支出。</w:t>
            </w:r>
          </w:p>
        </w:tc>
      </w:tr>
      <w:tr w14:paraId="596C3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1183E">
            <w:pPr>
              <w:pStyle w:val="10"/>
            </w:pPr>
            <w:r>
              <w:t>资金支出计划（%）</w:t>
            </w:r>
          </w:p>
        </w:tc>
        <w:tc>
          <w:tcPr>
            <w:tcW w:w="5103" w:type="dxa"/>
            <w:gridSpan w:val="2"/>
            <w:vAlign w:val="center"/>
          </w:tcPr>
          <w:p w14:paraId="18066801">
            <w:pPr>
              <w:pStyle w:val="10"/>
            </w:pPr>
            <w:r>
              <w:t>3月底</w:t>
            </w:r>
          </w:p>
        </w:tc>
        <w:tc>
          <w:tcPr>
            <w:tcW w:w="2835" w:type="dxa"/>
            <w:vAlign w:val="center"/>
          </w:tcPr>
          <w:p w14:paraId="1FE0F1D0">
            <w:pPr>
              <w:pStyle w:val="10"/>
            </w:pPr>
            <w:r>
              <w:t>6月底</w:t>
            </w:r>
          </w:p>
        </w:tc>
        <w:tc>
          <w:tcPr>
            <w:tcW w:w="2551" w:type="dxa"/>
            <w:vAlign w:val="center"/>
          </w:tcPr>
          <w:p w14:paraId="08CAEBA7">
            <w:pPr>
              <w:pStyle w:val="10"/>
            </w:pPr>
            <w:r>
              <w:t>10月底</w:t>
            </w:r>
          </w:p>
        </w:tc>
        <w:tc>
          <w:tcPr>
            <w:tcW w:w="3544" w:type="dxa"/>
            <w:gridSpan w:val="2"/>
            <w:vAlign w:val="center"/>
          </w:tcPr>
          <w:p w14:paraId="12FDED67">
            <w:pPr>
              <w:pStyle w:val="10"/>
            </w:pPr>
            <w:r>
              <w:t>12月底</w:t>
            </w:r>
          </w:p>
        </w:tc>
      </w:tr>
      <w:tr w14:paraId="2D7D1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ACBE1"/>
        </w:tc>
        <w:tc>
          <w:tcPr>
            <w:tcW w:w="5103" w:type="dxa"/>
            <w:gridSpan w:val="2"/>
            <w:vAlign w:val="center"/>
          </w:tcPr>
          <w:p w14:paraId="6DD40173">
            <w:pPr>
              <w:pStyle w:val="13"/>
            </w:pPr>
            <w:r>
              <w:t>25%</w:t>
            </w:r>
          </w:p>
        </w:tc>
        <w:tc>
          <w:tcPr>
            <w:tcW w:w="2835" w:type="dxa"/>
            <w:vAlign w:val="center"/>
          </w:tcPr>
          <w:p w14:paraId="1590C0C5">
            <w:pPr>
              <w:pStyle w:val="13"/>
            </w:pPr>
            <w:r>
              <w:t>50%</w:t>
            </w:r>
          </w:p>
        </w:tc>
        <w:tc>
          <w:tcPr>
            <w:tcW w:w="2551" w:type="dxa"/>
            <w:vAlign w:val="center"/>
          </w:tcPr>
          <w:p w14:paraId="411E73EC">
            <w:pPr>
              <w:pStyle w:val="13"/>
            </w:pPr>
            <w:r>
              <w:t>75%</w:t>
            </w:r>
          </w:p>
        </w:tc>
        <w:tc>
          <w:tcPr>
            <w:tcW w:w="3544" w:type="dxa"/>
            <w:gridSpan w:val="2"/>
            <w:vAlign w:val="center"/>
          </w:tcPr>
          <w:p w14:paraId="77943546">
            <w:pPr>
              <w:pStyle w:val="13"/>
            </w:pPr>
            <w:r>
              <w:t>100%</w:t>
            </w:r>
          </w:p>
        </w:tc>
      </w:tr>
      <w:tr w14:paraId="11F56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B322F">
            <w:pPr>
              <w:pStyle w:val="10"/>
            </w:pPr>
            <w:r>
              <w:t>绩效目标</w:t>
            </w:r>
          </w:p>
        </w:tc>
        <w:tc>
          <w:tcPr>
            <w:tcW w:w="14033" w:type="dxa"/>
            <w:gridSpan w:val="6"/>
            <w:vAlign w:val="center"/>
          </w:tcPr>
          <w:p w14:paraId="4E1F83C0">
            <w:pPr>
              <w:pStyle w:val="12"/>
            </w:pPr>
            <w:r>
              <w:t>1.按季度分批次拨付公用经费资金，资金拨付率达到100%。</w:t>
            </w:r>
          </w:p>
          <w:p w14:paraId="01D7CF13">
            <w:pPr>
              <w:pStyle w:val="12"/>
            </w:pPr>
            <w:r>
              <w:t>2.保障学校正常运转，完成各项教育教学活动和其他日常工作任务等方面的费用支出。</w:t>
            </w:r>
          </w:p>
        </w:tc>
      </w:tr>
    </w:tbl>
    <w:p w14:paraId="3B2F04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3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8738C">
            <w:pPr>
              <w:pStyle w:val="10"/>
            </w:pPr>
            <w:r>
              <w:t>一级指标</w:t>
            </w:r>
          </w:p>
        </w:tc>
        <w:tc>
          <w:tcPr>
            <w:tcW w:w="2268" w:type="dxa"/>
            <w:vAlign w:val="center"/>
          </w:tcPr>
          <w:p w14:paraId="6C60CF28">
            <w:pPr>
              <w:pStyle w:val="10"/>
            </w:pPr>
            <w:r>
              <w:t>二级指标</w:t>
            </w:r>
          </w:p>
        </w:tc>
        <w:tc>
          <w:tcPr>
            <w:tcW w:w="2835" w:type="dxa"/>
            <w:vAlign w:val="center"/>
          </w:tcPr>
          <w:p w14:paraId="5114DF20">
            <w:pPr>
              <w:pStyle w:val="10"/>
            </w:pPr>
            <w:r>
              <w:t>三级指标</w:t>
            </w:r>
          </w:p>
        </w:tc>
        <w:tc>
          <w:tcPr>
            <w:tcW w:w="5386" w:type="dxa"/>
            <w:vAlign w:val="center"/>
          </w:tcPr>
          <w:p w14:paraId="2EA9C49E">
            <w:pPr>
              <w:pStyle w:val="10"/>
            </w:pPr>
            <w:r>
              <w:t>绩效指标描述</w:t>
            </w:r>
          </w:p>
        </w:tc>
        <w:tc>
          <w:tcPr>
            <w:tcW w:w="2268" w:type="dxa"/>
            <w:vAlign w:val="center"/>
          </w:tcPr>
          <w:p w14:paraId="26D53BE9">
            <w:pPr>
              <w:pStyle w:val="10"/>
            </w:pPr>
            <w:r>
              <w:t>指标值</w:t>
            </w:r>
          </w:p>
        </w:tc>
        <w:tc>
          <w:tcPr>
            <w:tcW w:w="1276" w:type="dxa"/>
            <w:vAlign w:val="center"/>
          </w:tcPr>
          <w:p w14:paraId="5D5C7E52">
            <w:pPr>
              <w:pStyle w:val="10"/>
            </w:pPr>
            <w:r>
              <w:t>指标值确定依据</w:t>
            </w:r>
          </w:p>
        </w:tc>
      </w:tr>
      <w:tr w14:paraId="74EB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AB7E5">
            <w:pPr>
              <w:pStyle w:val="13"/>
            </w:pPr>
            <w:r>
              <w:t>产出指标</w:t>
            </w:r>
          </w:p>
        </w:tc>
        <w:tc>
          <w:tcPr>
            <w:tcW w:w="2268" w:type="dxa"/>
            <w:vAlign w:val="center"/>
          </w:tcPr>
          <w:p w14:paraId="711E004B">
            <w:pPr>
              <w:pStyle w:val="12"/>
            </w:pPr>
            <w:r>
              <w:t>数量指标</w:t>
            </w:r>
          </w:p>
        </w:tc>
        <w:tc>
          <w:tcPr>
            <w:tcW w:w="2835" w:type="dxa"/>
            <w:vAlign w:val="center"/>
          </w:tcPr>
          <w:p w14:paraId="73DBF8E8">
            <w:pPr>
              <w:pStyle w:val="12"/>
            </w:pPr>
            <w:r>
              <w:t>就读学生数</w:t>
            </w:r>
          </w:p>
        </w:tc>
        <w:tc>
          <w:tcPr>
            <w:tcW w:w="5386" w:type="dxa"/>
            <w:vAlign w:val="center"/>
          </w:tcPr>
          <w:p w14:paraId="27A07F85">
            <w:pPr>
              <w:pStyle w:val="12"/>
            </w:pPr>
            <w:r>
              <w:t>辐射区域内适龄学生人数</w:t>
            </w:r>
          </w:p>
        </w:tc>
        <w:tc>
          <w:tcPr>
            <w:tcW w:w="2268" w:type="dxa"/>
            <w:vAlign w:val="center"/>
          </w:tcPr>
          <w:p w14:paraId="6161AD4C">
            <w:pPr>
              <w:pStyle w:val="12"/>
            </w:pPr>
            <w:r>
              <w:t>338人</w:t>
            </w:r>
          </w:p>
        </w:tc>
        <w:tc>
          <w:tcPr>
            <w:tcW w:w="1276" w:type="dxa"/>
            <w:vAlign w:val="center"/>
          </w:tcPr>
          <w:p w14:paraId="3741BFB5">
            <w:pPr>
              <w:pStyle w:val="12"/>
            </w:pPr>
            <w:r>
              <w:t>城乡义务教育公用经费管理办法</w:t>
            </w:r>
          </w:p>
        </w:tc>
      </w:tr>
      <w:tr w14:paraId="4671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BCA57"/>
        </w:tc>
        <w:tc>
          <w:tcPr>
            <w:tcW w:w="2268" w:type="dxa"/>
            <w:vAlign w:val="center"/>
          </w:tcPr>
          <w:p w14:paraId="0B95360E">
            <w:pPr>
              <w:pStyle w:val="12"/>
            </w:pPr>
            <w:r>
              <w:t>质量指标</w:t>
            </w:r>
          </w:p>
        </w:tc>
        <w:tc>
          <w:tcPr>
            <w:tcW w:w="2835" w:type="dxa"/>
            <w:vAlign w:val="center"/>
          </w:tcPr>
          <w:p w14:paraId="17ABABA7">
            <w:pPr>
              <w:pStyle w:val="12"/>
            </w:pPr>
            <w:r>
              <w:t>预算执行率</w:t>
            </w:r>
          </w:p>
        </w:tc>
        <w:tc>
          <w:tcPr>
            <w:tcW w:w="5386" w:type="dxa"/>
            <w:vAlign w:val="center"/>
          </w:tcPr>
          <w:p w14:paraId="34E111AA">
            <w:pPr>
              <w:pStyle w:val="12"/>
            </w:pPr>
            <w:r>
              <w:t>预算执行率</w:t>
            </w:r>
          </w:p>
        </w:tc>
        <w:tc>
          <w:tcPr>
            <w:tcW w:w="2268" w:type="dxa"/>
            <w:vAlign w:val="center"/>
          </w:tcPr>
          <w:p w14:paraId="30FCAB0D">
            <w:pPr>
              <w:pStyle w:val="12"/>
            </w:pPr>
            <w:r>
              <w:t>≥95%</w:t>
            </w:r>
          </w:p>
        </w:tc>
        <w:tc>
          <w:tcPr>
            <w:tcW w:w="1276" w:type="dxa"/>
            <w:vAlign w:val="center"/>
          </w:tcPr>
          <w:p w14:paraId="3F9BF78B">
            <w:pPr>
              <w:pStyle w:val="12"/>
            </w:pPr>
            <w:r>
              <w:t>城乡义务教育公用经费管理办法</w:t>
            </w:r>
          </w:p>
        </w:tc>
      </w:tr>
      <w:tr w14:paraId="04C0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85B82"/>
        </w:tc>
        <w:tc>
          <w:tcPr>
            <w:tcW w:w="2268" w:type="dxa"/>
            <w:vAlign w:val="center"/>
          </w:tcPr>
          <w:p w14:paraId="46909179">
            <w:pPr>
              <w:pStyle w:val="12"/>
            </w:pPr>
            <w:r>
              <w:t>时效指标</w:t>
            </w:r>
          </w:p>
        </w:tc>
        <w:tc>
          <w:tcPr>
            <w:tcW w:w="2835" w:type="dxa"/>
            <w:vAlign w:val="center"/>
          </w:tcPr>
          <w:p w14:paraId="5080AAAF">
            <w:pPr>
              <w:pStyle w:val="12"/>
            </w:pPr>
            <w:r>
              <w:t>义教经费支付完成率</w:t>
            </w:r>
          </w:p>
        </w:tc>
        <w:tc>
          <w:tcPr>
            <w:tcW w:w="5386" w:type="dxa"/>
            <w:vAlign w:val="center"/>
          </w:tcPr>
          <w:p w14:paraId="01FE810E">
            <w:pPr>
              <w:pStyle w:val="12"/>
            </w:pPr>
            <w:r>
              <w:t>按照序时进度完成资金支付</w:t>
            </w:r>
          </w:p>
        </w:tc>
        <w:tc>
          <w:tcPr>
            <w:tcW w:w="2268" w:type="dxa"/>
            <w:vAlign w:val="center"/>
          </w:tcPr>
          <w:p w14:paraId="28124828">
            <w:pPr>
              <w:pStyle w:val="12"/>
            </w:pPr>
            <w:r>
              <w:t>100%</w:t>
            </w:r>
          </w:p>
        </w:tc>
        <w:tc>
          <w:tcPr>
            <w:tcW w:w="1276" w:type="dxa"/>
            <w:vAlign w:val="center"/>
          </w:tcPr>
          <w:p w14:paraId="0A085F2F">
            <w:pPr>
              <w:pStyle w:val="12"/>
            </w:pPr>
            <w:r>
              <w:t>城乡义务教育公用经费管理办法</w:t>
            </w:r>
          </w:p>
        </w:tc>
      </w:tr>
      <w:tr w14:paraId="183A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EBA0E"/>
        </w:tc>
        <w:tc>
          <w:tcPr>
            <w:tcW w:w="2268" w:type="dxa"/>
            <w:vAlign w:val="center"/>
          </w:tcPr>
          <w:p w14:paraId="6E205A2E">
            <w:pPr>
              <w:pStyle w:val="12"/>
            </w:pPr>
            <w:r>
              <w:t>成本指标</w:t>
            </w:r>
          </w:p>
        </w:tc>
        <w:tc>
          <w:tcPr>
            <w:tcW w:w="2835" w:type="dxa"/>
            <w:vAlign w:val="center"/>
          </w:tcPr>
          <w:p w14:paraId="3B14BABD">
            <w:pPr>
              <w:pStyle w:val="12"/>
            </w:pPr>
            <w:r>
              <w:t>生均拨款标准</w:t>
            </w:r>
          </w:p>
        </w:tc>
        <w:tc>
          <w:tcPr>
            <w:tcW w:w="5386" w:type="dxa"/>
            <w:vAlign w:val="center"/>
          </w:tcPr>
          <w:p w14:paraId="0D6B4686">
            <w:pPr>
              <w:pStyle w:val="12"/>
            </w:pPr>
            <w:r>
              <w:t>小学生公用经费生均公用经费基准定额为720元/年/生，取暖费120元/年/生，住宿生补助300元/年/生的标准，随班就读学生补助7000元/生/年</w:t>
            </w:r>
          </w:p>
        </w:tc>
        <w:tc>
          <w:tcPr>
            <w:tcW w:w="2268" w:type="dxa"/>
            <w:vAlign w:val="center"/>
          </w:tcPr>
          <w:p w14:paraId="7393C1DC">
            <w:pPr>
              <w:pStyle w:val="12"/>
            </w:pPr>
            <w:r>
              <w:t>840元</w:t>
            </w:r>
          </w:p>
        </w:tc>
        <w:tc>
          <w:tcPr>
            <w:tcW w:w="1276" w:type="dxa"/>
            <w:vAlign w:val="center"/>
          </w:tcPr>
          <w:p w14:paraId="6DCC7B35">
            <w:pPr>
              <w:pStyle w:val="12"/>
            </w:pPr>
            <w:r>
              <w:t>城乡义务教育公用经费管理办法</w:t>
            </w:r>
          </w:p>
        </w:tc>
      </w:tr>
      <w:tr w14:paraId="18E3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923BC">
            <w:pPr>
              <w:pStyle w:val="13"/>
            </w:pPr>
            <w:r>
              <w:t>效益指标</w:t>
            </w:r>
          </w:p>
        </w:tc>
        <w:tc>
          <w:tcPr>
            <w:tcW w:w="2268" w:type="dxa"/>
            <w:vAlign w:val="center"/>
          </w:tcPr>
          <w:p w14:paraId="2309B413">
            <w:pPr>
              <w:pStyle w:val="12"/>
            </w:pPr>
            <w:r>
              <w:t>可持续影响指标</w:t>
            </w:r>
          </w:p>
        </w:tc>
        <w:tc>
          <w:tcPr>
            <w:tcW w:w="2835" w:type="dxa"/>
            <w:vAlign w:val="center"/>
          </w:tcPr>
          <w:p w14:paraId="1D775D21">
            <w:pPr>
              <w:pStyle w:val="12"/>
            </w:pPr>
            <w:r>
              <w:t>学校运转得到提高</w:t>
            </w:r>
          </w:p>
        </w:tc>
        <w:tc>
          <w:tcPr>
            <w:tcW w:w="5386" w:type="dxa"/>
            <w:vAlign w:val="center"/>
          </w:tcPr>
          <w:p w14:paraId="2605582A">
            <w:pPr>
              <w:pStyle w:val="12"/>
            </w:pPr>
            <w:r>
              <w:t>学生受教育年限</w:t>
            </w:r>
          </w:p>
        </w:tc>
        <w:tc>
          <w:tcPr>
            <w:tcW w:w="2268" w:type="dxa"/>
            <w:vAlign w:val="center"/>
          </w:tcPr>
          <w:p w14:paraId="650F089C">
            <w:pPr>
              <w:pStyle w:val="12"/>
            </w:pPr>
            <w:r>
              <w:t>6年</w:t>
            </w:r>
          </w:p>
        </w:tc>
        <w:tc>
          <w:tcPr>
            <w:tcW w:w="1276" w:type="dxa"/>
            <w:vAlign w:val="center"/>
          </w:tcPr>
          <w:p w14:paraId="7A68571F">
            <w:pPr>
              <w:pStyle w:val="12"/>
            </w:pPr>
            <w:r>
              <w:t>城乡义务教育公用经费管理办法</w:t>
            </w:r>
          </w:p>
        </w:tc>
      </w:tr>
      <w:tr w14:paraId="62C0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A063A">
            <w:pPr>
              <w:pStyle w:val="13"/>
            </w:pPr>
            <w:r>
              <w:t>满意度指标</w:t>
            </w:r>
          </w:p>
        </w:tc>
        <w:tc>
          <w:tcPr>
            <w:tcW w:w="2268" w:type="dxa"/>
            <w:vAlign w:val="center"/>
          </w:tcPr>
          <w:p w14:paraId="08ECC59B">
            <w:pPr>
              <w:pStyle w:val="12"/>
            </w:pPr>
            <w:r>
              <w:t>服务对象满意度指标</w:t>
            </w:r>
          </w:p>
        </w:tc>
        <w:tc>
          <w:tcPr>
            <w:tcW w:w="2835" w:type="dxa"/>
            <w:vAlign w:val="center"/>
          </w:tcPr>
          <w:p w14:paraId="33F3F786">
            <w:pPr>
              <w:pStyle w:val="12"/>
            </w:pPr>
            <w:r>
              <w:t>服务对象满意度</w:t>
            </w:r>
          </w:p>
        </w:tc>
        <w:tc>
          <w:tcPr>
            <w:tcW w:w="5386" w:type="dxa"/>
            <w:vAlign w:val="center"/>
          </w:tcPr>
          <w:p w14:paraId="6FB3FA4F">
            <w:pPr>
              <w:pStyle w:val="12"/>
            </w:pPr>
            <w:r>
              <w:t>学校老师和学生满意度</w:t>
            </w:r>
          </w:p>
        </w:tc>
        <w:tc>
          <w:tcPr>
            <w:tcW w:w="2268" w:type="dxa"/>
            <w:vAlign w:val="center"/>
          </w:tcPr>
          <w:p w14:paraId="74EE1BB0">
            <w:pPr>
              <w:pStyle w:val="12"/>
            </w:pPr>
            <w:r>
              <w:t>≥95%</w:t>
            </w:r>
          </w:p>
        </w:tc>
        <w:tc>
          <w:tcPr>
            <w:tcW w:w="1276" w:type="dxa"/>
            <w:vAlign w:val="center"/>
          </w:tcPr>
          <w:p w14:paraId="5855DE65">
            <w:pPr>
              <w:pStyle w:val="12"/>
            </w:pPr>
            <w:r>
              <w:t>群众测评</w:t>
            </w:r>
          </w:p>
        </w:tc>
      </w:tr>
    </w:tbl>
    <w:p w14:paraId="43EA9B8F">
      <w:pPr>
        <w:sectPr>
          <w:pgSz w:w="16840" w:h="11900" w:orient="landscape"/>
          <w:pgMar w:top="1361" w:right="1020" w:bottom="1134" w:left="1020" w:header="720" w:footer="720" w:gutter="0"/>
          <w:cols w:space="720" w:num="1"/>
        </w:sectPr>
      </w:pPr>
    </w:p>
    <w:p w14:paraId="769F8D50">
      <w:pPr>
        <w:spacing w:before="0" w:after="0"/>
        <w:ind w:firstLine="560"/>
        <w:jc w:val="left"/>
        <w:outlineLvl w:val="9"/>
      </w:pPr>
      <w:r>
        <w:rPr>
          <w:rFonts w:ascii="方正仿宋_GBK" w:hAnsi="方正仿宋_GBK" w:eastAsia="方正仿宋_GBK" w:cs="方正仿宋_GBK"/>
          <w:b/>
          <w:color w:val="000000"/>
          <w:sz w:val="28"/>
        </w:rPr>
        <w:t>21、冀财教[2025]148号/支持义务教育发展/莲子镇校区白家寨小学公用经费绩效目标表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28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E4CF3">
            <w:pPr>
              <w:pStyle w:val="11"/>
            </w:pPr>
            <w:r>
              <w:t>单位：万元</w:t>
            </w:r>
          </w:p>
        </w:tc>
      </w:tr>
      <w:tr w14:paraId="12B9C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C66B3">
            <w:pPr>
              <w:pStyle w:val="10"/>
            </w:pPr>
            <w:r>
              <w:t>项目编码</w:t>
            </w:r>
          </w:p>
        </w:tc>
        <w:tc>
          <w:tcPr>
            <w:tcW w:w="5103" w:type="dxa"/>
            <w:gridSpan w:val="2"/>
            <w:vAlign w:val="center"/>
          </w:tcPr>
          <w:p w14:paraId="572AFEF2">
            <w:pPr>
              <w:pStyle w:val="12"/>
            </w:pPr>
            <w:r>
              <w:t>13052526P00000210140U</w:t>
            </w:r>
          </w:p>
        </w:tc>
        <w:tc>
          <w:tcPr>
            <w:tcW w:w="2835" w:type="dxa"/>
            <w:vAlign w:val="center"/>
          </w:tcPr>
          <w:p w14:paraId="6F70E13B">
            <w:pPr>
              <w:pStyle w:val="10"/>
            </w:pPr>
            <w:r>
              <w:t>项目名称</w:t>
            </w:r>
          </w:p>
        </w:tc>
        <w:tc>
          <w:tcPr>
            <w:tcW w:w="6095" w:type="dxa"/>
            <w:gridSpan w:val="3"/>
            <w:vAlign w:val="center"/>
          </w:tcPr>
          <w:p w14:paraId="237108D4">
            <w:pPr>
              <w:pStyle w:val="12"/>
            </w:pPr>
            <w:r>
              <w:t>冀财教[2025]148号/支持义务教育发展/莲子镇校区白家寨小学公用经费</w:t>
            </w:r>
          </w:p>
        </w:tc>
      </w:tr>
      <w:tr w14:paraId="0C715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F328D">
            <w:pPr>
              <w:pStyle w:val="10"/>
            </w:pPr>
            <w:r>
              <w:t>预算规模及资金用途</w:t>
            </w:r>
          </w:p>
        </w:tc>
        <w:tc>
          <w:tcPr>
            <w:tcW w:w="2268" w:type="dxa"/>
            <w:vAlign w:val="center"/>
          </w:tcPr>
          <w:p w14:paraId="4CF24727">
            <w:pPr>
              <w:pStyle w:val="10"/>
            </w:pPr>
            <w:r>
              <w:t>预算数</w:t>
            </w:r>
          </w:p>
        </w:tc>
        <w:tc>
          <w:tcPr>
            <w:tcW w:w="2835" w:type="dxa"/>
            <w:vAlign w:val="center"/>
          </w:tcPr>
          <w:p w14:paraId="17AB9F3B">
            <w:pPr>
              <w:pStyle w:val="12"/>
            </w:pPr>
            <w:r>
              <w:t>5.00</w:t>
            </w:r>
          </w:p>
        </w:tc>
        <w:tc>
          <w:tcPr>
            <w:tcW w:w="2835" w:type="dxa"/>
            <w:vAlign w:val="center"/>
          </w:tcPr>
          <w:p w14:paraId="15E8734A">
            <w:pPr>
              <w:pStyle w:val="10"/>
            </w:pPr>
            <w:r>
              <w:t>其中：财政    资金</w:t>
            </w:r>
          </w:p>
        </w:tc>
        <w:tc>
          <w:tcPr>
            <w:tcW w:w="2551" w:type="dxa"/>
            <w:vAlign w:val="center"/>
          </w:tcPr>
          <w:p w14:paraId="2B606ABA">
            <w:pPr>
              <w:pStyle w:val="12"/>
            </w:pPr>
            <w:r>
              <w:t>5.00</w:t>
            </w:r>
          </w:p>
        </w:tc>
        <w:tc>
          <w:tcPr>
            <w:tcW w:w="2268" w:type="dxa"/>
            <w:vAlign w:val="center"/>
          </w:tcPr>
          <w:p w14:paraId="01C5C999">
            <w:pPr>
              <w:pStyle w:val="10"/>
            </w:pPr>
            <w:r>
              <w:t>其他资金</w:t>
            </w:r>
          </w:p>
        </w:tc>
        <w:tc>
          <w:tcPr>
            <w:tcW w:w="1276" w:type="dxa"/>
            <w:vAlign w:val="center"/>
          </w:tcPr>
          <w:p w14:paraId="252D471E">
            <w:pPr>
              <w:pStyle w:val="12"/>
            </w:pPr>
            <w:r>
              <w:t xml:space="preserve"> </w:t>
            </w:r>
          </w:p>
        </w:tc>
      </w:tr>
      <w:tr w14:paraId="10D4D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399C0"/>
        </w:tc>
        <w:tc>
          <w:tcPr>
            <w:tcW w:w="14033" w:type="dxa"/>
            <w:gridSpan w:val="6"/>
            <w:vAlign w:val="center"/>
          </w:tcPr>
          <w:p w14:paraId="69A03E42">
            <w:pPr>
              <w:pStyle w:val="12"/>
            </w:pPr>
            <w:r>
              <w:t>为提升和改善隆尧县莲子镇校区白家寨小学办学条件需建学校围墙、修建铁艺围栏、抹墙、校园展板维修、挖修排水沟等修缮</w:t>
            </w:r>
          </w:p>
        </w:tc>
      </w:tr>
      <w:tr w14:paraId="5F248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875B7">
            <w:pPr>
              <w:pStyle w:val="10"/>
            </w:pPr>
            <w:r>
              <w:t>资金支出计划（%）</w:t>
            </w:r>
          </w:p>
        </w:tc>
        <w:tc>
          <w:tcPr>
            <w:tcW w:w="5103" w:type="dxa"/>
            <w:gridSpan w:val="2"/>
            <w:vAlign w:val="center"/>
          </w:tcPr>
          <w:p w14:paraId="7F79686A">
            <w:pPr>
              <w:pStyle w:val="10"/>
            </w:pPr>
            <w:r>
              <w:t>3月底</w:t>
            </w:r>
          </w:p>
        </w:tc>
        <w:tc>
          <w:tcPr>
            <w:tcW w:w="2835" w:type="dxa"/>
            <w:vAlign w:val="center"/>
          </w:tcPr>
          <w:p w14:paraId="66C18930">
            <w:pPr>
              <w:pStyle w:val="10"/>
            </w:pPr>
            <w:r>
              <w:t>6月底</w:t>
            </w:r>
          </w:p>
        </w:tc>
        <w:tc>
          <w:tcPr>
            <w:tcW w:w="2551" w:type="dxa"/>
            <w:vAlign w:val="center"/>
          </w:tcPr>
          <w:p w14:paraId="51DC66B2">
            <w:pPr>
              <w:pStyle w:val="10"/>
            </w:pPr>
            <w:r>
              <w:t>10月底</w:t>
            </w:r>
          </w:p>
        </w:tc>
        <w:tc>
          <w:tcPr>
            <w:tcW w:w="3544" w:type="dxa"/>
            <w:gridSpan w:val="2"/>
            <w:vAlign w:val="center"/>
          </w:tcPr>
          <w:p w14:paraId="04DCCD62">
            <w:pPr>
              <w:pStyle w:val="10"/>
            </w:pPr>
            <w:r>
              <w:t>12月底</w:t>
            </w:r>
          </w:p>
        </w:tc>
      </w:tr>
      <w:tr w14:paraId="21EB6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845B1"/>
        </w:tc>
        <w:tc>
          <w:tcPr>
            <w:tcW w:w="5103" w:type="dxa"/>
            <w:gridSpan w:val="2"/>
            <w:vAlign w:val="center"/>
          </w:tcPr>
          <w:p w14:paraId="6F92160E">
            <w:pPr>
              <w:pStyle w:val="13"/>
            </w:pPr>
            <w:r>
              <w:t xml:space="preserve"> </w:t>
            </w:r>
          </w:p>
        </w:tc>
        <w:tc>
          <w:tcPr>
            <w:tcW w:w="2835" w:type="dxa"/>
            <w:vAlign w:val="center"/>
          </w:tcPr>
          <w:p w14:paraId="0239DFBA">
            <w:pPr>
              <w:pStyle w:val="13"/>
            </w:pPr>
            <w:r>
              <w:t>100%</w:t>
            </w:r>
          </w:p>
        </w:tc>
        <w:tc>
          <w:tcPr>
            <w:tcW w:w="2551" w:type="dxa"/>
            <w:vAlign w:val="center"/>
          </w:tcPr>
          <w:p w14:paraId="3A1BAC30">
            <w:pPr>
              <w:pStyle w:val="13"/>
            </w:pPr>
            <w:r>
              <w:t>100%</w:t>
            </w:r>
          </w:p>
        </w:tc>
        <w:tc>
          <w:tcPr>
            <w:tcW w:w="3544" w:type="dxa"/>
            <w:gridSpan w:val="2"/>
            <w:vAlign w:val="center"/>
          </w:tcPr>
          <w:p w14:paraId="5BDFA7C0">
            <w:pPr>
              <w:pStyle w:val="13"/>
            </w:pPr>
            <w:r>
              <w:t>100%</w:t>
            </w:r>
          </w:p>
        </w:tc>
      </w:tr>
      <w:tr w14:paraId="74DAB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61D52">
            <w:pPr>
              <w:pStyle w:val="10"/>
            </w:pPr>
            <w:r>
              <w:t>绩效目标</w:t>
            </w:r>
          </w:p>
        </w:tc>
        <w:tc>
          <w:tcPr>
            <w:tcW w:w="14033" w:type="dxa"/>
            <w:gridSpan w:val="6"/>
            <w:vAlign w:val="center"/>
          </w:tcPr>
          <w:p w14:paraId="31B29ECE">
            <w:pPr>
              <w:pStyle w:val="12"/>
            </w:pPr>
            <w:r>
              <w:t>1.按规定拨付专项资金，资金支付率达到100%。</w:t>
            </w:r>
          </w:p>
          <w:p w14:paraId="6DF7991D">
            <w:pPr>
              <w:pStyle w:val="12"/>
            </w:pPr>
            <w:r>
              <w:t>2.为提升和改善隆尧县莲子镇校区白家寨小学办学条件需建学校围墙、修建铁艺围栏、抹墙、校园展板维修、挖修排水沟等修缮</w:t>
            </w:r>
          </w:p>
        </w:tc>
      </w:tr>
    </w:tbl>
    <w:p w14:paraId="22E33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7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84958">
            <w:pPr>
              <w:pStyle w:val="10"/>
            </w:pPr>
            <w:r>
              <w:t>一级指标</w:t>
            </w:r>
          </w:p>
        </w:tc>
        <w:tc>
          <w:tcPr>
            <w:tcW w:w="2268" w:type="dxa"/>
            <w:vAlign w:val="center"/>
          </w:tcPr>
          <w:p w14:paraId="0943EF57">
            <w:pPr>
              <w:pStyle w:val="10"/>
            </w:pPr>
            <w:r>
              <w:t>二级指标</w:t>
            </w:r>
          </w:p>
        </w:tc>
        <w:tc>
          <w:tcPr>
            <w:tcW w:w="2835" w:type="dxa"/>
            <w:vAlign w:val="center"/>
          </w:tcPr>
          <w:p w14:paraId="77BEFD89">
            <w:pPr>
              <w:pStyle w:val="10"/>
            </w:pPr>
            <w:r>
              <w:t>三级指标</w:t>
            </w:r>
          </w:p>
        </w:tc>
        <w:tc>
          <w:tcPr>
            <w:tcW w:w="5386" w:type="dxa"/>
            <w:vAlign w:val="center"/>
          </w:tcPr>
          <w:p w14:paraId="6B82D912">
            <w:pPr>
              <w:pStyle w:val="10"/>
            </w:pPr>
            <w:r>
              <w:t>绩效指标描述</w:t>
            </w:r>
          </w:p>
        </w:tc>
        <w:tc>
          <w:tcPr>
            <w:tcW w:w="2268" w:type="dxa"/>
            <w:vAlign w:val="center"/>
          </w:tcPr>
          <w:p w14:paraId="79C9BA4F">
            <w:pPr>
              <w:pStyle w:val="10"/>
            </w:pPr>
            <w:r>
              <w:t>指标值</w:t>
            </w:r>
          </w:p>
        </w:tc>
        <w:tc>
          <w:tcPr>
            <w:tcW w:w="1276" w:type="dxa"/>
            <w:vAlign w:val="center"/>
          </w:tcPr>
          <w:p w14:paraId="68FF98B2">
            <w:pPr>
              <w:pStyle w:val="10"/>
            </w:pPr>
            <w:r>
              <w:t>指标值确定依据</w:t>
            </w:r>
          </w:p>
        </w:tc>
      </w:tr>
      <w:tr w14:paraId="4609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55C92">
            <w:pPr>
              <w:pStyle w:val="13"/>
            </w:pPr>
            <w:r>
              <w:t>产出指标</w:t>
            </w:r>
          </w:p>
        </w:tc>
        <w:tc>
          <w:tcPr>
            <w:tcW w:w="2268" w:type="dxa"/>
            <w:vAlign w:val="center"/>
          </w:tcPr>
          <w:p w14:paraId="006C2BD5">
            <w:pPr>
              <w:pStyle w:val="12"/>
            </w:pPr>
            <w:r>
              <w:t>数量指标</w:t>
            </w:r>
          </w:p>
        </w:tc>
        <w:tc>
          <w:tcPr>
            <w:tcW w:w="2835" w:type="dxa"/>
            <w:vAlign w:val="center"/>
          </w:tcPr>
          <w:p w14:paraId="7D3D4FFD">
            <w:pPr>
              <w:pStyle w:val="12"/>
            </w:pPr>
            <w:r>
              <w:t>改善白家寨小学办公条件</w:t>
            </w:r>
          </w:p>
        </w:tc>
        <w:tc>
          <w:tcPr>
            <w:tcW w:w="5386" w:type="dxa"/>
            <w:vAlign w:val="center"/>
          </w:tcPr>
          <w:p w14:paraId="5FB1F674">
            <w:pPr>
              <w:pStyle w:val="12"/>
            </w:pPr>
            <w:r>
              <w:t>需建学校围墙、修建铁艺围栏、抹墙、校园展板维修、挖修排水沟等修缮</w:t>
            </w:r>
          </w:p>
        </w:tc>
        <w:tc>
          <w:tcPr>
            <w:tcW w:w="2268" w:type="dxa"/>
            <w:vAlign w:val="center"/>
          </w:tcPr>
          <w:p w14:paraId="28098778">
            <w:pPr>
              <w:pStyle w:val="12"/>
            </w:pPr>
            <w:r>
              <w:t>1项</w:t>
            </w:r>
          </w:p>
        </w:tc>
        <w:tc>
          <w:tcPr>
            <w:tcW w:w="1276" w:type="dxa"/>
            <w:vAlign w:val="center"/>
          </w:tcPr>
          <w:p w14:paraId="35BE8B96">
            <w:pPr>
              <w:pStyle w:val="12"/>
            </w:pPr>
            <w:r>
              <w:t>项目规划</w:t>
            </w:r>
          </w:p>
        </w:tc>
      </w:tr>
      <w:tr w14:paraId="261F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62CBE"/>
        </w:tc>
        <w:tc>
          <w:tcPr>
            <w:tcW w:w="2268" w:type="dxa"/>
            <w:vAlign w:val="center"/>
          </w:tcPr>
          <w:p w14:paraId="044E7133">
            <w:pPr>
              <w:pStyle w:val="12"/>
            </w:pPr>
            <w:r>
              <w:t>质量指标</w:t>
            </w:r>
          </w:p>
        </w:tc>
        <w:tc>
          <w:tcPr>
            <w:tcW w:w="2835" w:type="dxa"/>
            <w:vAlign w:val="center"/>
          </w:tcPr>
          <w:p w14:paraId="4DAA899D">
            <w:pPr>
              <w:pStyle w:val="12"/>
            </w:pPr>
            <w:r>
              <w:t>项目竣工验收合格率</w:t>
            </w:r>
          </w:p>
        </w:tc>
        <w:tc>
          <w:tcPr>
            <w:tcW w:w="5386" w:type="dxa"/>
            <w:vAlign w:val="center"/>
          </w:tcPr>
          <w:p w14:paraId="7CEB0F58">
            <w:pPr>
              <w:pStyle w:val="12"/>
            </w:pPr>
            <w:r>
              <w:t>项目改造质量达标率</w:t>
            </w:r>
          </w:p>
        </w:tc>
        <w:tc>
          <w:tcPr>
            <w:tcW w:w="2268" w:type="dxa"/>
            <w:vAlign w:val="center"/>
          </w:tcPr>
          <w:p w14:paraId="4D54DF07">
            <w:pPr>
              <w:pStyle w:val="12"/>
            </w:pPr>
            <w:r>
              <w:t>100%</w:t>
            </w:r>
          </w:p>
        </w:tc>
        <w:tc>
          <w:tcPr>
            <w:tcW w:w="1276" w:type="dxa"/>
            <w:vAlign w:val="center"/>
          </w:tcPr>
          <w:p w14:paraId="5ACF7E24">
            <w:pPr>
              <w:pStyle w:val="12"/>
            </w:pPr>
            <w:r>
              <w:t>项目规划</w:t>
            </w:r>
          </w:p>
        </w:tc>
      </w:tr>
      <w:tr w14:paraId="51C9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350B5"/>
        </w:tc>
        <w:tc>
          <w:tcPr>
            <w:tcW w:w="2268" w:type="dxa"/>
            <w:vAlign w:val="center"/>
          </w:tcPr>
          <w:p w14:paraId="667CE6CA">
            <w:pPr>
              <w:pStyle w:val="12"/>
            </w:pPr>
            <w:r>
              <w:t>时效指标</w:t>
            </w:r>
          </w:p>
        </w:tc>
        <w:tc>
          <w:tcPr>
            <w:tcW w:w="2835" w:type="dxa"/>
            <w:vAlign w:val="center"/>
          </w:tcPr>
          <w:p w14:paraId="1BBE5694">
            <w:pPr>
              <w:pStyle w:val="12"/>
            </w:pPr>
            <w:r>
              <w:t>项目实际成本</w:t>
            </w:r>
          </w:p>
        </w:tc>
        <w:tc>
          <w:tcPr>
            <w:tcW w:w="5386" w:type="dxa"/>
            <w:vAlign w:val="center"/>
          </w:tcPr>
          <w:p w14:paraId="5A52E6C6">
            <w:pPr>
              <w:pStyle w:val="12"/>
            </w:pPr>
            <w:r>
              <w:t>工程实际成本</w:t>
            </w:r>
          </w:p>
        </w:tc>
        <w:tc>
          <w:tcPr>
            <w:tcW w:w="2268" w:type="dxa"/>
            <w:vAlign w:val="center"/>
          </w:tcPr>
          <w:p w14:paraId="56F15EE9">
            <w:pPr>
              <w:pStyle w:val="12"/>
            </w:pPr>
            <w:r>
              <w:t>50000元</w:t>
            </w:r>
          </w:p>
        </w:tc>
        <w:tc>
          <w:tcPr>
            <w:tcW w:w="1276" w:type="dxa"/>
            <w:vAlign w:val="center"/>
          </w:tcPr>
          <w:p w14:paraId="323F0005">
            <w:pPr>
              <w:pStyle w:val="12"/>
            </w:pPr>
            <w:r>
              <w:t>项目规划</w:t>
            </w:r>
          </w:p>
        </w:tc>
      </w:tr>
      <w:tr w14:paraId="72F5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A44A0"/>
        </w:tc>
        <w:tc>
          <w:tcPr>
            <w:tcW w:w="2268" w:type="dxa"/>
            <w:vAlign w:val="center"/>
          </w:tcPr>
          <w:p w14:paraId="0C16E7DC">
            <w:pPr>
              <w:pStyle w:val="12"/>
            </w:pPr>
            <w:r>
              <w:t>成本指标</w:t>
            </w:r>
          </w:p>
        </w:tc>
        <w:tc>
          <w:tcPr>
            <w:tcW w:w="2835" w:type="dxa"/>
            <w:vAlign w:val="center"/>
          </w:tcPr>
          <w:p w14:paraId="79AD2168">
            <w:pPr>
              <w:pStyle w:val="12"/>
            </w:pPr>
            <w:r>
              <w:t>项目竣工验收合格率</w:t>
            </w:r>
          </w:p>
        </w:tc>
        <w:tc>
          <w:tcPr>
            <w:tcW w:w="5386" w:type="dxa"/>
            <w:vAlign w:val="center"/>
          </w:tcPr>
          <w:p w14:paraId="13CCD3A5">
            <w:pPr>
              <w:pStyle w:val="12"/>
            </w:pPr>
            <w:r>
              <w:t>项目改造质量达标率</w:t>
            </w:r>
          </w:p>
        </w:tc>
        <w:tc>
          <w:tcPr>
            <w:tcW w:w="2268" w:type="dxa"/>
            <w:vAlign w:val="center"/>
          </w:tcPr>
          <w:p w14:paraId="298917E8">
            <w:pPr>
              <w:pStyle w:val="12"/>
            </w:pPr>
            <w:r>
              <w:t>100%</w:t>
            </w:r>
          </w:p>
        </w:tc>
        <w:tc>
          <w:tcPr>
            <w:tcW w:w="1276" w:type="dxa"/>
            <w:vAlign w:val="center"/>
          </w:tcPr>
          <w:p w14:paraId="3A9757F3">
            <w:pPr>
              <w:pStyle w:val="12"/>
            </w:pPr>
            <w:r>
              <w:t>项目规划</w:t>
            </w:r>
          </w:p>
        </w:tc>
      </w:tr>
      <w:tr w14:paraId="7EA7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38E15">
            <w:pPr>
              <w:pStyle w:val="13"/>
            </w:pPr>
            <w:r>
              <w:t>效益指标</w:t>
            </w:r>
          </w:p>
        </w:tc>
        <w:tc>
          <w:tcPr>
            <w:tcW w:w="2268" w:type="dxa"/>
            <w:vAlign w:val="center"/>
          </w:tcPr>
          <w:p w14:paraId="5F01E166">
            <w:pPr>
              <w:pStyle w:val="12"/>
            </w:pPr>
            <w:r>
              <w:t>可持续影响指标</w:t>
            </w:r>
          </w:p>
        </w:tc>
        <w:tc>
          <w:tcPr>
            <w:tcW w:w="2835" w:type="dxa"/>
            <w:vAlign w:val="center"/>
          </w:tcPr>
          <w:p w14:paraId="28FE0BA1">
            <w:pPr>
              <w:pStyle w:val="12"/>
            </w:pPr>
            <w:r>
              <w:t>工程使用年限</w:t>
            </w:r>
          </w:p>
        </w:tc>
        <w:tc>
          <w:tcPr>
            <w:tcW w:w="5386" w:type="dxa"/>
            <w:vAlign w:val="center"/>
          </w:tcPr>
          <w:p w14:paraId="5C1FAFF9">
            <w:pPr>
              <w:pStyle w:val="12"/>
            </w:pPr>
            <w:r>
              <w:t>项目实施，有效改善教学环境</w:t>
            </w:r>
          </w:p>
        </w:tc>
        <w:tc>
          <w:tcPr>
            <w:tcW w:w="2268" w:type="dxa"/>
            <w:vAlign w:val="center"/>
          </w:tcPr>
          <w:p w14:paraId="7E260AAD">
            <w:pPr>
              <w:pStyle w:val="12"/>
            </w:pPr>
            <w:r>
              <w:t>6年</w:t>
            </w:r>
          </w:p>
        </w:tc>
        <w:tc>
          <w:tcPr>
            <w:tcW w:w="1276" w:type="dxa"/>
            <w:vAlign w:val="center"/>
          </w:tcPr>
          <w:p w14:paraId="1A2BC2E2">
            <w:pPr>
              <w:pStyle w:val="12"/>
            </w:pPr>
            <w:r>
              <w:t>项目规划</w:t>
            </w:r>
          </w:p>
        </w:tc>
      </w:tr>
      <w:tr w14:paraId="5D2B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21225">
            <w:pPr>
              <w:pStyle w:val="13"/>
            </w:pPr>
            <w:r>
              <w:t>满意度指标</w:t>
            </w:r>
          </w:p>
        </w:tc>
        <w:tc>
          <w:tcPr>
            <w:tcW w:w="2268" w:type="dxa"/>
            <w:vAlign w:val="center"/>
          </w:tcPr>
          <w:p w14:paraId="50950088">
            <w:pPr>
              <w:pStyle w:val="12"/>
            </w:pPr>
            <w:r>
              <w:t>服务对象满意度指标</w:t>
            </w:r>
          </w:p>
        </w:tc>
        <w:tc>
          <w:tcPr>
            <w:tcW w:w="2835" w:type="dxa"/>
            <w:vAlign w:val="center"/>
          </w:tcPr>
          <w:p w14:paraId="02A2D65D">
            <w:pPr>
              <w:pStyle w:val="12"/>
            </w:pPr>
            <w:r>
              <w:t>受益学生家长及调查满意度</w:t>
            </w:r>
          </w:p>
        </w:tc>
        <w:tc>
          <w:tcPr>
            <w:tcW w:w="5386" w:type="dxa"/>
            <w:vAlign w:val="center"/>
          </w:tcPr>
          <w:p w14:paraId="074FC9B8">
            <w:pPr>
              <w:pStyle w:val="12"/>
            </w:pPr>
            <w:r>
              <w:t>学生、教师及家长对学校工作满意度情况</w:t>
            </w:r>
          </w:p>
        </w:tc>
        <w:tc>
          <w:tcPr>
            <w:tcW w:w="2268" w:type="dxa"/>
            <w:vAlign w:val="center"/>
          </w:tcPr>
          <w:p w14:paraId="524CFC15">
            <w:pPr>
              <w:pStyle w:val="12"/>
            </w:pPr>
            <w:r>
              <w:t>≥95%</w:t>
            </w:r>
          </w:p>
        </w:tc>
        <w:tc>
          <w:tcPr>
            <w:tcW w:w="1276" w:type="dxa"/>
            <w:vAlign w:val="center"/>
          </w:tcPr>
          <w:p w14:paraId="3B1041CB">
            <w:pPr>
              <w:pStyle w:val="12"/>
            </w:pPr>
            <w:r>
              <w:t>群众测评</w:t>
            </w:r>
          </w:p>
        </w:tc>
      </w:tr>
    </w:tbl>
    <w:p w14:paraId="7EA782C8">
      <w:pPr>
        <w:sectPr>
          <w:pgSz w:w="16840" w:h="11900" w:orient="landscape"/>
          <w:pgMar w:top="1361" w:right="1020" w:bottom="1134" w:left="1020" w:header="720" w:footer="720" w:gutter="0"/>
          <w:cols w:space="720" w:num="1"/>
        </w:sectPr>
      </w:pPr>
    </w:p>
    <w:p w14:paraId="4C9FD879">
      <w:pPr>
        <w:spacing w:before="0" w:after="0"/>
        <w:ind w:firstLine="560"/>
        <w:jc w:val="left"/>
        <w:outlineLvl w:val="9"/>
      </w:pPr>
      <w:r>
        <w:rPr>
          <w:rFonts w:ascii="方正仿宋_GBK" w:hAnsi="方正仿宋_GBK" w:eastAsia="方正仿宋_GBK" w:cs="方正仿宋_GBK"/>
          <w:b/>
          <w:color w:val="000000"/>
          <w:sz w:val="28"/>
        </w:rPr>
        <w:t>22、冀财教[2025]149号/省级/2026年学前发展资金/莲子镇校区学前教育公用经费绩效目标表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1C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5BACF">
            <w:pPr>
              <w:pStyle w:val="11"/>
            </w:pPr>
            <w:r>
              <w:t>单位：万元</w:t>
            </w:r>
          </w:p>
        </w:tc>
      </w:tr>
      <w:tr w14:paraId="326E8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9FD08">
            <w:pPr>
              <w:pStyle w:val="10"/>
            </w:pPr>
            <w:r>
              <w:t>项目编码</w:t>
            </w:r>
          </w:p>
        </w:tc>
        <w:tc>
          <w:tcPr>
            <w:tcW w:w="5103" w:type="dxa"/>
            <w:gridSpan w:val="2"/>
            <w:vAlign w:val="center"/>
          </w:tcPr>
          <w:p w14:paraId="6E477651">
            <w:pPr>
              <w:pStyle w:val="12"/>
            </w:pPr>
            <w:r>
              <w:t>13052526P008757101142</w:t>
            </w:r>
          </w:p>
        </w:tc>
        <w:tc>
          <w:tcPr>
            <w:tcW w:w="2835" w:type="dxa"/>
            <w:vAlign w:val="center"/>
          </w:tcPr>
          <w:p w14:paraId="653695BA">
            <w:pPr>
              <w:pStyle w:val="10"/>
            </w:pPr>
            <w:r>
              <w:t>项目名称</w:t>
            </w:r>
          </w:p>
        </w:tc>
        <w:tc>
          <w:tcPr>
            <w:tcW w:w="6095" w:type="dxa"/>
            <w:gridSpan w:val="3"/>
            <w:vAlign w:val="center"/>
          </w:tcPr>
          <w:p w14:paraId="583C79D7">
            <w:pPr>
              <w:pStyle w:val="12"/>
            </w:pPr>
            <w:r>
              <w:t>冀财教[2025]149号/省级/2026年学前发展资金/莲子镇校区学前教育公用经费</w:t>
            </w:r>
          </w:p>
        </w:tc>
      </w:tr>
      <w:tr w14:paraId="661AC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DA5A9">
            <w:pPr>
              <w:pStyle w:val="10"/>
            </w:pPr>
            <w:r>
              <w:t>预算规模及资金用途</w:t>
            </w:r>
          </w:p>
        </w:tc>
        <w:tc>
          <w:tcPr>
            <w:tcW w:w="2268" w:type="dxa"/>
            <w:vAlign w:val="center"/>
          </w:tcPr>
          <w:p w14:paraId="7543C324">
            <w:pPr>
              <w:pStyle w:val="10"/>
            </w:pPr>
            <w:r>
              <w:t>预算数</w:t>
            </w:r>
          </w:p>
        </w:tc>
        <w:tc>
          <w:tcPr>
            <w:tcW w:w="2835" w:type="dxa"/>
            <w:vAlign w:val="center"/>
          </w:tcPr>
          <w:p w14:paraId="748EFCE5">
            <w:pPr>
              <w:pStyle w:val="12"/>
            </w:pPr>
            <w:r>
              <w:t>22.41</w:t>
            </w:r>
          </w:p>
        </w:tc>
        <w:tc>
          <w:tcPr>
            <w:tcW w:w="2835" w:type="dxa"/>
            <w:vAlign w:val="center"/>
          </w:tcPr>
          <w:p w14:paraId="754CCE50">
            <w:pPr>
              <w:pStyle w:val="10"/>
            </w:pPr>
            <w:r>
              <w:t>其中：财政    资金</w:t>
            </w:r>
          </w:p>
        </w:tc>
        <w:tc>
          <w:tcPr>
            <w:tcW w:w="2551" w:type="dxa"/>
            <w:vAlign w:val="center"/>
          </w:tcPr>
          <w:p w14:paraId="3D0F72AC">
            <w:pPr>
              <w:pStyle w:val="12"/>
            </w:pPr>
            <w:r>
              <w:t>22.41</w:t>
            </w:r>
          </w:p>
        </w:tc>
        <w:tc>
          <w:tcPr>
            <w:tcW w:w="2268" w:type="dxa"/>
            <w:vAlign w:val="center"/>
          </w:tcPr>
          <w:p w14:paraId="4FB15CAD">
            <w:pPr>
              <w:pStyle w:val="10"/>
            </w:pPr>
            <w:r>
              <w:t>其他资金</w:t>
            </w:r>
          </w:p>
        </w:tc>
        <w:tc>
          <w:tcPr>
            <w:tcW w:w="1276" w:type="dxa"/>
            <w:vAlign w:val="center"/>
          </w:tcPr>
          <w:p w14:paraId="5964903A">
            <w:pPr>
              <w:pStyle w:val="12"/>
            </w:pPr>
            <w:r>
              <w:t xml:space="preserve"> </w:t>
            </w:r>
          </w:p>
        </w:tc>
      </w:tr>
      <w:tr w14:paraId="332AC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02560"/>
        </w:tc>
        <w:tc>
          <w:tcPr>
            <w:tcW w:w="14033" w:type="dxa"/>
            <w:gridSpan w:val="6"/>
            <w:vAlign w:val="center"/>
          </w:tcPr>
          <w:p w14:paraId="68E97060">
            <w:pPr>
              <w:pStyle w:val="12"/>
            </w:pPr>
            <w:r>
              <w:t>保障幼儿园正常运转，完成教育教学活动和其他日常工作任务等方面的费用支出。</w:t>
            </w:r>
            <w:r>
              <w:tab/>
            </w:r>
          </w:p>
        </w:tc>
      </w:tr>
      <w:tr w14:paraId="6CAA84A7">
        <w:tblPrEx>
          <w:tblCellMar>
            <w:top w:w="0" w:type="dxa"/>
            <w:left w:w="108" w:type="dxa"/>
            <w:bottom w:w="0" w:type="dxa"/>
            <w:right w:w="108" w:type="dxa"/>
          </w:tblCellMar>
        </w:tblPrEx>
        <w:trPr>
          <w:trHeight w:val="369" w:hRule="atLeast"/>
          <w:jc w:val="center"/>
        </w:trPr>
        <w:tc>
          <w:tcPr>
            <w:tcW w:w="1276" w:type="dxa"/>
            <w:vMerge w:val="restart"/>
            <w:vAlign w:val="center"/>
          </w:tcPr>
          <w:p w14:paraId="10A8399D">
            <w:pPr>
              <w:pStyle w:val="10"/>
            </w:pPr>
            <w:r>
              <w:t>资金支出计划（%）</w:t>
            </w:r>
          </w:p>
        </w:tc>
        <w:tc>
          <w:tcPr>
            <w:tcW w:w="5103" w:type="dxa"/>
            <w:gridSpan w:val="2"/>
            <w:vAlign w:val="center"/>
          </w:tcPr>
          <w:p w14:paraId="4E2C45B7">
            <w:pPr>
              <w:pStyle w:val="10"/>
            </w:pPr>
            <w:r>
              <w:t>3月底</w:t>
            </w:r>
          </w:p>
        </w:tc>
        <w:tc>
          <w:tcPr>
            <w:tcW w:w="2835" w:type="dxa"/>
            <w:vAlign w:val="center"/>
          </w:tcPr>
          <w:p w14:paraId="461B0631">
            <w:pPr>
              <w:pStyle w:val="10"/>
            </w:pPr>
            <w:r>
              <w:t>6月底</w:t>
            </w:r>
          </w:p>
        </w:tc>
        <w:tc>
          <w:tcPr>
            <w:tcW w:w="2551" w:type="dxa"/>
            <w:vAlign w:val="center"/>
          </w:tcPr>
          <w:p w14:paraId="061C4710">
            <w:pPr>
              <w:pStyle w:val="10"/>
            </w:pPr>
            <w:r>
              <w:t>10月底</w:t>
            </w:r>
          </w:p>
        </w:tc>
        <w:tc>
          <w:tcPr>
            <w:tcW w:w="3544" w:type="dxa"/>
            <w:gridSpan w:val="2"/>
            <w:vAlign w:val="center"/>
          </w:tcPr>
          <w:p w14:paraId="21AEF043">
            <w:pPr>
              <w:pStyle w:val="10"/>
            </w:pPr>
            <w:r>
              <w:t>12月底</w:t>
            </w:r>
          </w:p>
        </w:tc>
      </w:tr>
      <w:tr w14:paraId="471F4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C0CAF"/>
        </w:tc>
        <w:tc>
          <w:tcPr>
            <w:tcW w:w="5103" w:type="dxa"/>
            <w:gridSpan w:val="2"/>
            <w:vAlign w:val="center"/>
          </w:tcPr>
          <w:p w14:paraId="48C82B5A">
            <w:pPr>
              <w:pStyle w:val="13"/>
            </w:pPr>
            <w:r>
              <w:t>25%</w:t>
            </w:r>
          </w:p>
        </w:tc>
        <w:tc>
          <w:tcPr>
            <w:tcW w:w="2835" w:type="dxa"/>
            <w:vAlign w:val="center"/>
          </w:tcPr>
          <w:p w14:paraId="6EC6BB88">
            <w:pPr>
              <w:pStyle w:val="13"/>
            </w:pPr>
            <w:r>
              <w:t>50%</w:t>
            </w:r>
          </w:p>
        </w:tc>
        <w:tc>
          <w:tcPr>
            <w:tcW w:w="2551" w:type="dxa"/>
            <w:vAlign w:val="center"/>
          </w:tcPr>
          <w:p w14:paraId="0424A793">
            <w:pPr>
              <w:pStyle w:val="13"/>
            </w:pPr>
            <w:r>
              <w:t>75%</w:t>
            </w:r>
          </w:p>
        </w:tc>
        <w:tc>
          <w:tcPr>
            <w:tcW w:w="3544" w:type="dxa"/>
            <w:gridSpan w:val="2"/>
            <w:vAlign w:val="center"/>
          </w:tcPr>
          <w:p w14:paraId="53EF4803">
            <w:pPr>
              <w:pStyle w:val="13"/>
            </w:pPr>
            <w:r>
              <w:t>100%</w:t>
            </w:r>
          </w:p>
        </w:tc>
      </w:tr>
      <w:tr w14:paraId="4A73E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751EC">
            <w:pPr>
              <w:pStyle w:val="10"/>
            </w:pPr>
            <w:r>
              <w:t>绩效目标</w:t>
            </w:r>
          </w:p>
        </w:tc>
        <w:tc>
          <w:tcPr>
            <w:tcW w:w="14033" w:type="dxa"/>
            <w:gridSpan w:val="6"/>
            <w:vAlign w:val="center"/>
          </w:tcPr>
          <w:p w14:paraId="34243BE5">
            <w:pPr>
              <w:pStyle w:val="12"/>
            </w:pPr>
            <w:r>
              <w:t>1.按季度分批次拨付公用经费资金，资金拨付率达到100%。</w:t>
            </w:r>
            <w:r>
              <w:tab/>
            </w:r>
            <w:r>
              <w:tab/>
            </w:r>
            <w:r>
              <w:tab/>
            </w:r>
            <w:r>
              <w:tab/>
            </w:r>
            <w:r>
              <w:tab/>
            </w:r>
            <w:r>
              <w:tab/>
            </w:r>
          </w:p>
          <w:p w14:paraId="1FA1D1EC">
            <w:pPr>
              <w:pStyle w:val="12"/>
            </w:pPr>
          </w:p>
          <w:p w14:paraId="70D6B21D">
            <w:pPr>
              <w:pStyle w:val="12"/>
            </w:pPr>
            <w:r>
              <w:t>2.保障幼儿园正常运转，完成教育教学活动和其他日常工作任务等方面的费用支出。</w:t>
            </w:r>
            <w:r>
              <w:tab/>
            </w:r>
            <w:r>
              <w:tab/>
            </w:r>
            <w:r>
              <w:tab/>
            </w:r>
            <w:r>
              <w:tab/>
            </w:r>
            <w:r>
              <w:tab/>
            </w:r>
            <w:r>
              <w:tab/>
            </w:r>
          </w:p>
          <w:p w14:paraId="6C5C4999">
            <w:pPr>
              <w:pStyle w:val="12"/>
            </w:pPr>
          </w:p>
        </w:tc>
      </w:tr>
    </w:tbl>
    <w:p w14:paraId="106627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5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01BF9">
            <w:pPr>
              <w:pStyle w:val="10"/>
            </w:pPr>
            <w:r>
              <w:t>一级指标</w:t>
            </w:r>
          </w:p>
        </w:tc>
        <w:tc>
          <w:tcPr>
            <w:tcW w:w="2268" w:type="dxa"/>
            <w:vAlign w:val="center"/>
          </w:tcPr>
          <w:p w14:paraId="45A91468">
            <w:pPr>
              <w:pStyle w:val="10"/>
            </w:pPr>
            <w:r>
              <w:t>二级指标</w:t>
            </w:r>
          </w:p>
        </w:tc>
        <w:tc>
          <w:tcPr>
            <w:tcW w:w="2835" w:type="dxa"/>
            <w:vAlign w:val="center"/>
          </w:tcPr>
          <w:p w14:paraId="354D429C">
            <w:pPr>
              <w:pStyle w:val="10"/>
            </w:pPr>
            <w:r>
              <w:t>三级指标</w:t>
            </w:r>
          </w:p>
        </w:tc>
        <w:tc>
          <w:tcPr>
            <w:tcW w:w="5386" w:type="dxa"/>
            <w:vAlign w:val="center"/>
          </w:tcPr>
          <w:p w14:paraId="13E053F6">
            <w:pPr>
              <w:pStyle w:val="10"/>
            </w:pPr>
            <w:r>
              <w:t>绩效指标描述</w:t>
            </w:r>
          </w:p>
        </w:tc>
        <w:tc>
          <w:tcPr>
            <w:tcW w:w="2268" w:type="dxa"/>
            <w:vAlign w:val="center"/>
          </w:tcPr>
          <w:p w14:paraId="1CB4A519">
            <w:pPr>
              <w:pStyle w:val="10"/>
            </w:pPr>
            <w:r>
              <w:t>指标值</w:t>
            </w:r>
          </w:p>
        </w:tc>
        <w:tc>
          <w:tcPr>
            <w:tcW w:w="1276" w:type="dxa"/>
            <w:vAlign w:val="center"/>
          </w:tcPr>
          <w:p w14:paraId="6F8AA834">
            <w:pPr>
              <w:pStyle w:val="10"/>
            </w:pPr>
            <w:r>
              <w:t>指标值确定依据</w:t>
            </w:r>
          </w:p>
        </w:tc>
      </w:tr>
      <w:tr w14:paraId="148F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22E3C">
            <w:pPr>
              <w:pStyle w:val="13"/>
            </w:pPr>
            <w:r>
              <w:t>产出指标</w:t>
            </w:r>
          </w:p>
        </w:tc>
        <w:tc>
          <w:tcPr>
            <w:tcW w:w="2268" w:type="dxa"/>
            <w:vAlign w:val="center"/>
          </w:tcPr>
          <w:p w14:paraId="321305EC">
            <w:pPr>
              <w:pStyle w:val="12"/>
            </w:pPr>
            <w:r>
              <w:t>数量指标</w:t>
            </w:r>
          </w:p>
        </w:tc>
        <w:tc>
          <w:tcPr>
            <w:tcW w:w="2835" w:type="dxa"/>
            <w:vAlign w:val="center"/>
          </w:tcPr>
          <w:p w14:paraId="120B0E85">
            <w:pPr>
              <w:pStyle w:val="12"/>
            </w:pPr>
            <w:r>
              <w:t>适龄在园生</w:t>
            </w:r>
          </w:p>
        </w:tc>
        <w:tc>
          <w:tcPr>
            <w:tcW w:w="5386" w:type="dxa"/>
            <w:vAlign w:val="center"/>
          </w:tcPr>
          <w:p w14:paraId="74CC9D80">
            <w:pPr>
              <w:pStyle w:val="12"/>
            </w:pPr>
            <w:r>
              <w:t>适龄在园学生人数</w:t>
            </w:r>
          </w:p>
        </w:tc>
        <w:tc>
          <w:tcPr>
            <w:tcW w:w="2268" w:type="dxa"/>
            <w:vAlign w:val="center"/>
          </w:tcPr>
          <w:p w14:paraId="1AF33E0F">
            <w:pPr>
              <w:pStyle w:val="12"/>
            </w:pPr>
            <w:r>
              <w:t>907人</w:t>
            </w:r>
          </w:p>
        </w:tc>
        <w:tc>
          <w:tcPr>
            <w:tcW w:w="1276" w:type="dxa"/>
            <w:vAlign w:val="center"/>
          </w:tcPr>
          <w:p w14:paraId="74508247">
            <w:pPr>
              <w:pStyle w:val="12"/>
            </w:pPr>
            <w:r>
              <w:t>学前发展资金管理方法</w:t>
            </w:r>
          </w:p>
        </w:tc>
      </w:tr>
      <w:tr w14:paraId="661C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388F1"/>
        </w:tc>
        <w:tc>
          <w:tcPr>
            <w:tcW w:w="2268" w:type="dxa"/>
            <w:vAlign w:val="center"/>
          </w:tcPr>
          <w:p w14:paraId="4A4FD459">
            <w:pPr>
              <w:pStyle w:val="12"/>
            </w:pPr>
            <w:r>
              <w:t>质量指标</w:t>
            </w:r>
          </w:p>
        </w:tc>
        <w:tc>
          <w:tcPr>
            <w:tcW w:w="2835" w:type="dxa"/>
            <w:vAlign w:val="center"/>
          </w:tcPr>
          <w:p w14:paraId="60BB3139">
            <w:pPr>
              <w:pStyle w:val="12"/>
            </w:pPr>
            <w:r>
              <w:t>预算控制率</w:t>
            </w:r>
          </w:p>
        </w:tc>
        <w:tc>
          <w:tcPr>
            <w:tcW w:w="5386" w:type="dxa"/>
            <w:vAlign w:val="center"/>
          </w:tcPr>
          <w:p w14:paraId="5B34D9C4">
            <w:pPr>
              <w:pStyle w:val="12"/>
            </w:pPr>
            <w:r>
              <w:t>预算执行</w:t>
            </w:r>
          </w:p>
        </w:tc>
        <w:tc>
          <w:tcPr>
            <w:tcW w:w="2268" w:type="dxa"/>
            <w:vAlign w:val="center"/>
          </w:tcPr>
          <w:p w14:paraId="65DC2038">
            <w:pPr>
              <w:pStyle w:val="12"/>
            </w:pPr>
            <w:r>
              <w:t>≥95%</w:t>
            </w:r>
          </w:p>
        </w:tc>
        <w:tc>
          <w:tcPr>
            <w:tcW w:w="1276" w:type="dxa"/>
            <w:vAlign w:val="center"/>
          </w:tcPr>
          <w:p w14:paraId="72FA0FDE">
            <w:pPr>
              <w:pStyle w:val="12"/>
            </w:pPr>
            <w:r>
              <w:t>学前发展资金管理方法</w:t>
            </w:r>
          </w:p>
        </w:tc>
      </w:tr>
      <w:tr w14:paraId="7DEE6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FE798"/>
        </w:tc>
        <w:tc>
          <w:tcPr>
            <w:tcW w:w="2268" w:type="dxa"/>
            <w:vAlign w:val="center"/>
          </w:tcPr>
          <w:p w14:paraId="6B565522">
            <w:pPr>
              <w:pStyle w:val="12"/>
            </w:pPr>
            <w:r>
              <w:t>时效指标</w:t>
            </w:r>
          </w:p>
        </w:tc>
        <w:tc>
          <w:tcPr>
            <w:tcW w:w="2835" w:type="dxa"/>
            <w:vAlign w:val="center"/>
          </w:tcPr>
          <w:p w14:paraId="5A35EE9C">
            <w:pPr>
              <w:pStyle w:val="12"/>
            </w:pPr>
            <w:r>
              <w:t>资金支付率</w:t>
            </w:r>
          </w:p>
        </w:tc>
        <w:tc>
          <w:tcPr>
            <w:tcW w:w="5386" w:type="dxa"/>
            <w:vAlign w:val="center"/>
          </w:tcPr>
          <w:p w14:paraId="7FB384DA">
            <w:pPr>
              <w:pStyle w:val="12"/>
            </w:pPr>
            <w:r>
              <w:t>按照序时进度完成资金支付</w:t>
            </w:r>
          </w:p>
        </w:tc>
        <w:tc>
          <w:tcPr>
            <w:tcW w:w="2268" w:type="dxa"/>
            <w:vAlign w:val="center"/>
          </w:tcPr>
          <w:p w14:paraId="0065675A">
            <w:pPr>
              <w:pStyle w:val="12"/>
            </w:pPr>
            <w:r>
              <w:t>100%</w:t>
            </w:r>
          </w:p>
        </w:tc>
        <w:tc>
          <w:tcPr>
            <w:tcW w:w="1276" w:type="dxa"/>
            <w:vAlign w:val="center"/>
          </w:tcPr>
          <w:p w14:paraId="6FB709AB">
            <w:pPr>
              <w:pStyle w:val="12"/>
            </w:pPr>
            <w:r>
              <w:t>学前发展资金管理方法</w:t>
            </w:r>
          </w:p>
        </w:tc>
      </w:tr>
      <w:tr w14:paraId="134C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2CDD9"/>
        </w:tc>
        <w:tc>
          <w:tcPr>
            <w:tcW w:w="2268" w:type="dxa"/>
            <w:vAlign w:val="center"/>
          </w:tcPr>
          <w:p w14:paraId="0E02E39B">
            <w:pPr>
              <w:pStyle w:val="12"/>
            </w:pPr>
            <w:r>
              <w:t>成本指标</w:t>
            </w:r>
          </w:p>
        </w:tc>
        <w:tc>
          <w:tcPr>
            <w:tcW w:w="2835" w:type="dxa"/>
            <w:vAlign w:val="center"/>
          </w:tcPr>
          <w:p w14:paraId="06868407">
            <w:pPr>
              <w:pStyle w:val="12"/>
            </w:pPr>
            <w:r>
              <w:t>生均拨款标准</w:t>
            </w:r>
          </w:p>
        </w:tc>
        <w:tc>
          <w:tcPr>
            <w:tcW w:w="5386" w:type="dxa"/>
            <w:vAlign w:val="center"/>
          </w:tcPr>
          <w:p w14:paraId="1C39EB3B">
            <w:pPr>
              <w:pStyle w:val="12"/>
            </w:pPr>
            <w:r>
              <w:t>学前：（基本标准600元/生/学年）</w:t>
            </w:r>
          </w:p>
        </w:tc>
        <w:tc>
          <w:tcPr>
            <w:tcW w:w="2268" w:type="dxa"/>
            <w:vAlign w:val="center"/>
          </w:tcPr>
          <w:p w14:paraId="46527A45">
            <w:pPr>
              <w:pStyle w:val="12"/>
            </w:pPr>
            <w:r>
              <w:t>600元</w:t>
            </w:r>
          </w:p>
        </w:tc>
        <w:tc>
          <w:tcPr>
            <w:tcW w:w="1276" w:type="dxa"/>
            <w:vAlign w:val="center"/>
          </w:tcPr>
          <w:p w14:paraId="13AA2B73">
            <w:pPr>
              <w:pStyle w:val="12"/>
            </w:pPr>
            <w:r>
              <w:t>学前发展资金管理方法</w:t>
            </w:r>
          </w:p>
        </w:tc>
      </w:tr>
      <w:tr w14:paraId="3498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5EB7C">
            <w:pPr>
              <w:pStyle w:val="13"/>
            </w:pPr>
            <w:r>
              <w:t>效益指标</w:t>
            </w:r>
          </w:p>
        </w:tc>
        <w:tc>
          <w:tcPr>
            <w:tcW w:w="2268" w:type="dxa"/>
            <w:vAlign w:val="center"/>
          </w:tcPr>
          <w:p w14:paraId="5036C165">
            <w:pPr>
              <w:pStyle w:val="12"/>
            </w:pPr>
            <w:r>
              <w:t>可持续影响指标</w:t>
            </w:r>
          </w:p>
        </w:tc>
        <w:tc>
          <w:tcPr>
            <w:tcW w:w="2835" w:type="dxa"/>
            <w:vAlign w:val="center"/>
          </w:tcPr>
          <w:p w14:paraId="1B97628C">
            <w:pPr>
              <w:pStyle w:val="12"/>
            </w:pPr>
            <w:r>
              <w:t>学校运转得到提升</w:t>
            </w:r>
          </w:p>
        </w:tc>
        <w:tc>
          <w:tcPr>
            <w:tcW w:w="5386" w:type="dxa"/>
            <w:vAlign w:val="center"/>
          </w:tcPr>
          <w:p w14:paraId="6CCBCC01">
            <w:pPr>
              <w:pStyle w:val="12"/>
            </w:pPr>
            <w:r>
              <w:t>幼儿受教育年限</w:t>
            </w:r>
          </w:p>
        </w:tc>
        <w:tc>
          <w:tcPr>
            <w:tcW w:w="2268" w:type="dxa"/>
            <w:vAlign w:val="center"/>
          </w:tcPr>
          <w:p w14:paraId="03B21B8B">
            <w:pPr>
              <w:pStyle w:val="12"/>
            </w:pPr>
            <w:r>
              <w:t>3年</w:t>
            </w:r>
          </w:p>
        </w:tc>
        <w:tc>
          <w:tcPr>
            <w:tcW w:w="1276" w:type="dxa"/>
            <w:vAlign w:val="center"/>
          </w:tcPr>
          <w:p w14:paraId="12351EEE">
            <w:pPr>
              <w:pStyle w:val="12"/>
            </w:pPr>
            <w:r>
              <w:t>学前发展资金管理方法</w:t>
            </w:r>
          </w:p>
        </w:tc>
      </w:tr>
      <w:tr w14:paraId="14A7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33352">
            <w:pPr>
              <w:pStyle w:val="13"/>
            </w:pPr>
            <w:r>
              <w:t>满意度指标</w:t>
            </w:r>
          </w:p>
        </w:tc>
        <w:tc>
          <w:tcPr>
            <w:tcW w:w="2268" w:type="dxa"/>
            <w:vAlign w:val="center"/>
          </w:tcPr>
          <w:p w14:paraId="4C85C8A4">
            <w:pPr>
              <w:pStyle w:val="12"/>
            </w:pPr>
            <w:r>
              <w:t>服务对象满意度指标</w:t>
            </w:r>
          </w:p>
        </w:tc>
        <w:tc>
          <w:tcPr>
            <w:tcW w:w="2835" w:type="dxa"/>
            <w:vAlign w:val="center"/>
          </w:tcPr>
          <w:p w14:paraId="3723D0E5">
            <w:pPr>
              <w:pStyle w:val="12"/>
            </w:pPr>
            <w:r>
              <w:t>受益学生家长及调查满意度</w:t>
            </w:r>
          </w:p>
        </w:tc>
        <w:tc>
          <w:tcPr>
            <w:tcW w:w="5386" w:type="dxa"/>
            <w:vAlign w:val="center"/>
          </w:tcPr>
          <w:p w14:paraId="095F46ED">
            <w:pPr>
              <w:pStyle w:val="12"/>
            </w:pPr>
            <w:r>
              <w:t>学生、教师及家长对学校保教保育工作满意度情况</w:t>
            </w:r>
          </w:p>
        </w:tc>
        <w:tc>
          <w:tcPr>
            <w:tcW w:w="2268" w:type="dxa"/>
            <w:vAlign w:val="center"/>
          </w:tcPr>
          <w:p w14:paraId="1E3DCB86">
            <w:pPr>
              <w:pStyle w:val="12"/>
            </w:pPr>
            <w:r>
              <w:t>≥95%</w:t>
            </w:r>
          </w:p>
        </w:tc>
        <w:tc>
          <w:tcPr>
            <w:tcW w:w="1276" w:type="dxa"/>
            <w:vAlign w:val="center"/>
          </w:tcPr>
          <w:p w14:paraId="5086BDE0">
            <w:pPr>
              <w:pStyle w:val="12"/>
            </w:pPr>
            <w:r>
              <w:t>群众测评</w:t>
            </w:r>
          </w:p>
        </w:tc>
      </w:tr>
    </w:tbl>
    <w:p w14:paraId="75966E7B">
      <w:pPr>
        <w:sectPr>
          <w:pgSz w:w="16840" w:h="11900" w:orient="landscape"/>
          <w:pgMar w:top="1361" w:right="1020" w:bottom="1134" w:left="1020" w:header="720" w:footer="720" w:gutter="0"/>
          <w:cols w:space="720" w:num="1"/>
        </w:sectPr>
      </w:pPr>
    </w:p>
    <w:p w14:paraId="7AE09023">
      <w:pPr>
        <w:spacing w:before="0" w:after="0"/>
        <w:ind w:firstLine="560"/>
        <w:jc w:val="left"/>
        <w:outlineLvl w:val="9"/>
      </w:pPr>
      <w:r>
        <w:rPr>
          <w:rFonts w:ascii="方正仿宋_GBK" w:hAnsi="方正仿宋_GBK" w:eastAsia="方正仿宋_GBK" w:cs="方正仿宋_GBK"/>
          <w:b/>
          <w:color w:val="000000"/>
          <w:sz w:val="28"/>
        </w:rPr>
        <w:t>23、冀财教[2025]149号/省级/2026年学前发展资金/莲子镇校区学前教育幼儿资助绩效目标表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8F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70A80">
            <w:pPr>
              <w:pStyle w:val="11"/>
            </w:pPr>
            <w:r>
              <w:t>单位：万元</w:t>
            </w:r>
          </w:p>
        </w:tc>
      </w:tr>
      <w:tr w14:paraId="5009C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169D2">
            <w:pPr>
              <w:pStyle w:val="10"/>
            </w:pPr>
            <w:r>
              <w:t>项目编码</w:t>
            </w:r>
          </w:p>
        </w:tc>
        <w:tc>
          <w:tcPr>
            <w:tcW w:w="5103" w:type="dxa"/>
            <w:gridSpan w:val="2"/>
            <w:vAlign w:val="center"/>
          </w:tcPr>
          <w:p w14:paraId="07697562">
            <w:pPr>
              <w:pStyle w:val="12"/>
            </w:pPr>
            <w:r>
              <w:t>13052526P00000210077F</w:t>
            </w:r>
          </w:p>
        </w:tc>
        <w:tc>
          <w:tcPr>
            <w:tcW w:w="2835" w:type="dxa"/>
            <w:vAlign w:val="center"/>
          </w:tcPr>
          <w:p w14:paraId="59EAE366">
            <w:pPr>
              <w:pStyle w:val="10"/>
            </w:pPr>
            <w:r>
              <w:t>项目名称</w:t>
            </w:r>
          </w:p>
        </w:tc>
        <w:tc>
          <w:tcPr>
            <w:tcW w:w="6095" w:type="dxa"/>
            <w:gridSpan w:val="3"/>
            <w:vAlign w:val="center"/>
          </w:tcPr>
          <w:p w14:paraId="7D162AD8">
            <w:pPr>
              <w:pStyle w:val="12"/>
            </w:pPr>
            <w:r>
              <w:t>冀财教[2025]149号/省级/2026年学前发展资金/莲子镇校区学前教育幼儿资助</w:t>
            </w:r>
          </w:p>
        </w:tc>
      </w:tr>
      <w:tr w14:paraId="6D57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ED45B">
            <w:pPr>
              <w:pStyle w:val="10"/>
            </w:pPr>
            <w:r>
              <w:t>预算规模及资金用途</w:t>
            </w:r>
          </w:p>
        </w:tc>
        <w:tc>
          <w:tcPr>
            <w:tcW w:w="2268" w:type="dxa"/>
            <w:vAlign w:val="center"/>
          </w:tcPr>
          <w:p w14:paraId="3764F468">
            <w:pPr>
              <w:pStyle w:val="10"/>
            </w:pPr>
            <w:r>
              <w:t>预算数</w:t>
            </w:r>
          </w:p>
        </w:tc>
        <w:tc>
          <w:tcPr>
            <w:tcW w:w="2835" w:type="dxa"/>
            <w:vAlign w:val="center"/>
          </w:tcPr>
          <w:p w14:paraId="6A220C7E">
            <w:pPr>
              <w:pStyle w:val="12"/>
            </w:pPr>
            <w:r>
              <w:t>1.32</w:t>
            </w:r>
          </w:p>
        </w:tc>
        <w:tc>
          <w:tcPr>
            <w:tcW w:w="2835" w:type="dxa"/>
            <w:vAlign w:val="center"/>
          </w:tcPr>
          <w:p w14:paraId="49C04489">
            <w:pPr>
              <w:pStyle w:val="10"/>
            </w:pPr>
            <w:r>
              <w:t>其中：财政    资金</w:t>
            </w:r>
          </w:p>
        </w:tc>
        <w:tc>
          <w:tcPr>
            <w:tcW w:w="2551" w:type="dxa"/>
            <w:vAlign w:val="center"/>
          </w:tcPr>
          <w:p w14:paraId="64CD2BF1">
            <w:pPr>
              <w:pStyle w:val="12"/>
            </w:pPr>
            <w:r>
              <w:t>1.32</w:t>
            </w:r>
          </w:p>
        </w:tc>
        <w:tc>
          <w:tcPr>
            <w:tcW w:w="2268" w:type="dxa"/>
            <w:vAlign w:val="center"/>
          </w:tcPr>
          <w:p w14:paraId="6515AE37">
            <w:pPr>
              <w:pStyle w:val="10"/>
            </w:pPr>
            <w:r>
              <w:t>其他资金</w:t>
            </w:r>
          </w:p>
        </w:tc>
        <w:tc>
          <w:tcPr>
            <w:tcW w:w="1276" w:type="dxa"/>
            <w:vAlign w:val="center"/>
          </w:tcPr>
          <w:p w14:paraId="0666B1A2">
            <w:pPr>
              <w:pStyle w:val="12"/>
            </w:pPr>
            <w:r>
              <w:t xml:space="preserve"> </w:t>
            </w:r>
          </w:p>
        </w:tc>
      </w:tr>
      <w:tr w14:paraId="5D63F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4C5A5"/>
        </w:tc>
        <w:tc>
          <w:tcPr>
            <w:tcW w:w="14033" w:type="dxa"/>
            <w:gridSpan w:val="6"/>
            <w:vAlign w:val="center"/>
          </w:tcPr>
          <w:p w14:paraId="74F66DBA">
            <w:pPr>
              <w:pStyle w:val="12"/>
            </w:pPr>
            <w:r>
              <w:t>保证本年度资助经费足额落实到位，符合享受资助条件的学生应助尽助。</w:t>
            </w:r>
          </w:p>
        </w:tc>
      </w:tr>
      <w:tr w14:paraId="2E5AB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3E93B">
            <w:pPr>
              <w:pStyle w:val="10"/>
            </w:pPr>
            <w:r>
              <w:t>资金支出计划（%）</w:t>
            </w:r>
          </w:p>
        </w:tc>
        <w:tc>
          <w:tcPr>
            <w:tcW w:w="5103" w:type="dxa"/>
            <w:gridSpan w:val="2"/>
            <w:vAlign w:val="center"/>
          </w:tcPr>
          <w:p w14:paraId="01831483">
            <w:pPr>
              <w:pStyle w:val="10"/>
            </w:pPr>
            <w:r>
              <w:t>3月底</w:t>
            </w:r>
          </w:p>
        </w:tc>
        <w:tc>
          <w:tcPr>
            <w:tcW w:w="2835" w:type="dxa"/>
            <w:vAlign w:val="center"/>
          </w:tcPr>
          <w:p w14:paraId="3804EB8A">
            <w:pPr>
              <w:pStyle w:val="10"/>
            </w:pPr>
            <w:r>
              <w:t>6月底</w:t>
            </w:r>
          </w:p>
        </w:tc>
        <w:tc>
          <w:tcPr>
            <w:tcW w:w="2551" w:type="dxa"/>
            <w:vAlign w:val="center"/>
          </w:tcPr>
          <w:p w14:paraId="2C259149">
            <w:pPr>
              <w:pStyle w:val="10"/>
            </w:pPr>
            <w:r>
              <w:t>10月底</w:t>
            </w:r>
          </w:p>
        </w:tc>
        <w:tc>
          <w:tcPr>
            <w:tcW w:w="3544" w:type="dxa"/>
            <w:gridSpan w:val="2"/>
            <w:vAlign w:val="center"/>
          </w:tcPr>
          <w:p w14:paraId="0749B0AD">
            <w:pPr>
              <w:pStyle w:val="10"/>
            </w:pPr>
            <w:r>
              <w:t>12月底</w:t>
            </w:r>
          </w:p>
        </w:tc>
      </w:tr>
      <w:tr w14:paraId="0C16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50745"/>
        </w:tc>
        <w:tc>
          <w:tcPr>
            <w:tcW w:w="5103" w:type="dxa"/>
            <w:gridSpan w:val="2"/>
            <w:vAlign w:val="center"/>
          </w:tcPr>
          <w:p w14:paraId="6D2C3E36">
            <w:pPr>
              <w:pStyle w:val="13"/>
            </w:pPr>
            <w:r>
              <w:t>25%</w:t>
            </w:r>
          </w:p>
        </w:tc>
        <w:tc>
          <w:tcPr>
            <w:tcW w:w="2835" w:type="dxa"/>
            <w:vAlign w:val="center"/>
          </w:tcPr>
          <w:p w14:paraId="6B0C94AE">
            <w:pPr>
              <w:pStyle w:val="13"/>
            </w:pPr>
            <w:r>
              <w:t>50%</w:t>
            </w:r>
          </w:p>
        </w:tc>
        <w:tc>
          <w:tcPr>
            <w:tcW w:w="2551" w:type="dxa"/>
            <w:vAlign w:val="center"/>
          </w:tcPr>
          <w:p w14:paraId="7C09BEB7">
            <w:pPr>
              <w:pStyle w:val="13"/>
            </w:pPr>
            <w:r>
              <w:t>75%</w:t>
            </w:r>
          </w:p>
        </w:tc>
        <w:tc>
          <w:tcPr>
            <w:tcW w:w="3544" w:type="dxa"/>
            <w:gridSpan w:val="2"/>
            <w:vAlign w:val="center"/>
          </w:tcPr>
          <w:p w14:paraId="3AEC9FA4">
            <w:pPr>
              <w:pStyle w:val="13"/>
            </w:pPr>
            <w:r>
              <w:t>100%</w:t>
            </w:r>
          </w:p>
        </w:tc>
      </w:tr>
      <w:tr w14:paraId="04742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2FBDB">
            <w:pPr>
              <w:pStyle w:val="10"/>
            </w:pPr>
            <w:r>
              <w:t>绩效目标</w:t>
            </w:r>
          </w:p>
        </w:tc>
        <w:tc>
          <w:tcPr>
            <w:tcW w:w="14033" w:type="dxa"/>
            <w:gridSpan w:val="6"/>
            <w:vAlign w:val="center"/>
          </w:tcPr>
          <w:p w14:paraId="35843C92">
            <w:pPr>
              <w:pStyle w:val="12"/>
            </w:pPr>
            <w:r>
              <w:t>1.保障落实建档立卡及家庭经济困难儿童资助所需资金，确保建档立卡等家庭经济困难幼儿优先获得资助。</w:t>
            </w:r>
          </w:p>
          <w:p w14:paraId="5FB56AE0">
            <w:pPr>
              <w:pStyle w:val="12"/>
            </w:pPr>
            <w:r>
              <w:t>2.保证本年度资助经费足额落实到位，符合享受资助条件的学生应助尽助。</w:t>
            </w:r>
          </w:p>
        </w:tc>
      </w:tr>
    </w:tbl>
    <w:p w14:paraId="5BD6D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A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C4D95">
            <w:pPr>
              <w:pStyle w:val="10"/>
            </w:pPr>
            <w:r>
              <w:t>一级指标</w:t>
            </w:r>
          </w:p>
        </w:tc>
        <w:tc>
          <w:tcPr>
            <w:tcW w:w="2268" w:type="dxa"/>
            <w:vAlign w:val="center"/>
          </w:tcPr>
          <w:p w14:paraId="0A1941EC">
            <w:pPr>
              <w:pStyle w:val="10"/>
            </w:pPr>
            <w:r>
              <w:t>二级指标</w:t>
            </w:r>
          </w:p>
        </w:tc>
        <w:tc>
          <w:tcPr>
            <w:tcW w:w="2835" w:type="dxa"/>
            <w:vAlign w:val="center"/>
          </w:tcPr>
          <w:p w14:paraId="25F997E4">
            <w:pPr>
              <w:pStyle w:val="10"/>
            </w:pPr>
            <w:r>
              <w:t>三级指标</w:t>
            </w:r>
          </w:p>
        </w:tc>
        <w:tc>
          <w:tcPr>
            <w:tcW w:w="5386" w:type="dxa"/>
            <w:vAlign w:val="center"/>
          </w:tcPr>
          <w:p w14:paraId="5AD2EFFE">
            <w:pPr>
              <w:pStyle w:val="10"/>
            </w:pPr>
            <w:r>
              <w:t>绩效指标描述</w:t>
            </w:r>
          </w:p>
        </w:tc>
        <w:tc>
          <w:tcPr>
            <w:tcW w:w="2268" w:type="dxa"/>
            <w:vAlign w:val="center"/>
          </w:tcPr>
          <w:p w14:paraId="6918C9E8">
            <w:pPr>
              <w:pStyle w:val="10"/>
            </w:pPr>
            <w:r>
              <w:t>指标值</w:t>
            </w:r>
          </w:p>
        </w:tc>
        <w:tc>
          <w:tcPr>
            <w:tcW w:w="1276" w:type="dxa"/>
            <w:vAlign w:val="center"/>
          </w:tcPr>
          <w:p w14:paraId="5446328E">
            <w:pPr>
              <w:pStyle w:val="10"/>
            </w:pPr>
            <w:r>
              <w:t>指标值确定依据</w:t>
            </w:r>
          </w:p>
        </w:tc>
      </w:tr>
      <w:tr w14:paraId="73F6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83665">
            <w:pPr>
              <w:pStyle w:val="13"/>
            </w:pPr>
            <w:r>
              <w:t>产出指标</w:t>
            </w:r>
          </w:p>
        </w:tc>
        <w:tc>
          <w:tcPr>
            <w:tcW w:w="2268" w:type="dxa"/>
            <w:vAlign w:val="center"/>
          </w:tcPr>
          <w:p w14:paraId="157279C6">
            <w:pPr>
              <w:pStyle w:val="12"/>
            </w:pPr>
            <w:r>
              <w:t>数量指标</w:t>
            </w:r>
          </w:p>
        </w:tc>
        <w:tc>
          <w:tcPr>
            <w:tcW w:w="2835" w:type="dxa"/>
            <w:vAlign w:val="center"/>
          </w:tcPr>
          <w:p w14:paraId="372C28EA">
            <w:pPr>
              <w:pStyle w:val="12"/>
            </w:pPr>
            <w:r>
              <w:t>幼儿资助比例</w:t>
            </w:r>
          </w:p>
        </w:tc>
        <w:tc>
          <w:tcPr>
            <w:tcW w:w="5386" w:type="dxa"/>
            <w:vAlign w:val="center"/>
          </w:tcPr>
          <w:p w14:paraId="1D8FD5A6">
            <w:pPr>
              <w:pStyle w:val="12"/>
            </w:pPr>
            <w:r>
              <w:t>按学前适龄在园儿童10%测算</w:t>
            </w:r>
          </w:p>
        </w:tc>
        <w:tc>
          <w:tcPr>
            <w:tcW w:w="2268" w:type="dxa"/>
            <w:vAlign w:val="center"/>
          </w:tcPr>
          <w:p w14:paraId="2CF0691D">
            <w:pPr>
              <w:pStyle w:val="12"/>
            </w:pPr>
            <w:r>
              <w:t>66人</w:t>
            </w:r>
          </w:p>
        </w:tc>
        <w:tc>
          <w:tcPr>
            <w:tcW w:w="1276" w:type="dxa"/>
            <w:vAlign w:val="center"/>
          </w:tcPr>
          <w:p w14:paraId="4C00EDB2">
            <w:pPr>
              <w:pStyle w:val="12"/>
            </w:pPr>
            <w:r>
              <w:t>幼儿资助经费管理办法</w:t>
            </w:r>
          </w:p>
        </w:tc>
      </w:tr>
      <w:tr w14:paraId="337D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AFB09"/>
        </w:tc>
        <w:tc>
          <w:tcPr>
            <w:tcW w:w="2268" w:type="dxa"/>
            <w:vAlign w:val="center"/>
          </w:tcPr>
          <w:p w14:paraId="008E5E6B">
            <w:pPr>
              <w:pStyle w:val="12"/>
            </w:pPr>
            <w:r>
              <w:t>质量指标</w:t>
            </w:r>
          </w:p>
        </w:tc>
        <w:tc>
          <w:tcPr>
            <w:tcW w:w="2835" w:type="dxa"/>
            <w:vAlign w:val="center"/>
          </w:tcPr>
          <w:p w14:paraId="5E1CF4FD">
            <w:pPr>
              <w:pStyle w:val="12"/>
            </w:pPr>
            <w:r>
              <w:t>学前教育资助制度落实情况</w:t>
            </w:r>
          </w:p>
        </w:tc>
        <w:tc>
          <w:tcPr>
            <w:tcW w:w="5386" w:type="dxa"/>
            <w:vAlign w:val="center"/>
          </w:tcPr>
          <w:p w14:paraId="790EA7F8">
            <w:pPr>
              <w:pStyle w:val="12"/>
            </w:pPr>
            <w:r>
              <w:t>符合享受资助条件的学生应助尽助</w:t>
            </w:r>
          </w:p>
        </w:tc>
        <w:tc>
          <w:tcPr>
            <w:tcW w:w="2268" w:type="dxa"/>
            <w:vAlign w:val="center"/>
          </w:tcPr>
          <w:p w14:paraId="4DB10020">
            <w:pPr>
              <w:pStyle w:val="12"/>
            </w:pPr>
            <w:r>
              <w:t>100%</w:t>
            </w:r>
          </w:p>
        </w:tc>
        <w:tc>
          <w:tcPr>
            <w:tcW w:w="1276" w:type="dxa"/>
            <w:vAlign w:val="center"/>
          </w:tcPr>
          <w:p w14:paraId="0E8BF737">
            <w:pPr>
              <w:pStyle w:val="12"/>
            </w:pPr>
            <w:r>
              <w:t>幼儿资助经费管理办法</w:t>
            </w:r>
          </w:p>
        </w:tc>
      </w:tr>
      <w:tr w14:paraId="0546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C0FAC"/>
        </w:tc>
        <w:tc>
          <w:tcPr>
            <w:tcW w:w="2268" w:type="dxa"/>
            <w:vAlign w:val="center"/>
          </w:tcPr>
          <w:p w14:paraId="39C9B062">
            <w:pPr>
              <w:pStyle w:val="12"/>
            </w:pPr>
            <w:r>
              <w:t>时效指标</w:t>
            </w:r>
          </w:p>
        </w:tc>
        <w:tc>
          <w:tcPr>
            <w:tcW w:w="2835" w:type="dxa"/>
            <w:vAlign w:val="center"/>
          </w:tcPr>
          <w:p w14:paraId="3B909C03">
            <w:pPr>
              <w:pStyle w:val="12"/>
            </w:pPr>
            <w:r>
              <w:t>资金拨付率</w:t>
            </w:r>
          </w:p>
        </w:tc>
        <w:tc>
          <w:tcPr>
            <w:tcW w:w="5386" w:type="dxa"/>
            <w:vAlign w:val="center"/>
          </w:tcPr>
          <w:p w14:paraId="611F2FC2">
            <w:pPr>
              <w:pStyle w:val="12"/>
            </w:pPr>
            <w:r>
              <w:t>所有项目资金支付进度</w:t>
            </w:r>
          </w:p>
        </w:tc>
        <w:tc>
          <w:tcPr>
            <w:tcW w:w="2268" w:type="dxa"/>
            <w:vAlign w:val="center"/>
          </w:tcPr>
          <w:p w14:paraId="1549FC3A">
            <w:pPr>
              <w:pStyle w:val="12"/>
            </w:pPr>
            <w:r>
              <w:t>100%</w:t>
            </w:r>
          </w:p>
        </w:tc>
        <w:tc>
          <w:tcPr>
            <w:tcW w:w="1276" w:type="dxa"/>
            <w:vAlign w:val="center"/>
          </w:tcPr>
          <w:p w14:paraId="0DBAD45D">
            <w:pPr>
              <w:pStyle w:val="12"/>
            </w:pPr>
            <w:r>
              <w:t>幼儿资助经费管理办法</w:t>
            </w:r>
          </w:p>
        </w:tc>
      </w:tr>
      <w:tr w14:paraId="121F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C8F6C"/>
        </w:tc>
        <w:tc>
          <w:tcPr>
            <w:tcW w:w="2268" w:type="dxa"/>
            <w:vAlign w:val="center"/>
          </w:tcPr>
          <w:p w14:paraId="65978C44">
            <w:pPr>
              <w:pStyle w:val="12"/>
            </w:pPr>
            <w:r>
              <w:t>成本指标</w:t>
            </w:r>
          </w:p>
        </w:tc>
        <w:tc>
          <w:tcPr>
            <w:tcW w:w="2835" w:type="dxa"/>
            <w:vAlign w:val="center"/>
          </w:tcPr>
          <w:p w14:paraId="0829C45C">
            <w:pPr>
              <w:pStyle w:val="12"/>
            </w:pPr>
            <w:r>
              <w:t>幼儿园资助标准</w:t>
            </w:r>
          </w:p>
        </w:tc>
        <w:tc>
          <w:tcPr>
            <w:tcW w:w="5386" w:type="dxa"/>
            <w:vAlign w:val="center"/>
          </w:tcPr>
          <w:p w14:paraId="48436CBE">
            <w:pPr>
              <w:pStyle w:val="12"/>
            </w:pPr>
            <w:r>
              <w:t>按照幼儿园资助标准1000元/生/年</w:t>
            </w:r>
          </w:p>
        </w:tc>
        <w:tc>
          <w:tcPr>
            <w:tcW w:w="2268" w:type="dxa"/>
            <w:vAlign w:val="center"/>
          </w:tcPr>
          <w:p w14:paraId="197259BE">
            <w:pPr>
              <w:pStyle w:val="12"/>
            </w:pPr>
            <w:r>
              <w:t>1000元/生/年</w:t>
            </w:r>
          </w:p>
        </w:tc>
        <w:tc>
          <w:tcPr>
            <w:tcW w:w="1276" w:type="dxa"/>
            <w:vAlign w:val="center"/>
          </w:tcPr>
          <w:p w14:paraId="17AC4CAC">
            <w:pPr>
              <w:pStyle w:val="12"/>
            </w:pPr>
            <w:r>
              <w:t>幼儿资助经费管理办法</w:t>
            </w:r>
          </w:p>
        </w:tc>
      </w:tr>
      <w:tr w14:paraId="1E9F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445A7">
            <w:pPr>
              <w:pStyle w:val="13"/>
            </w:pPr>
            <w:r>
              <w:t>效益指标</w:t>
            </w:r>
          </w:p>
        </w:tc>
        <w:tc>
          <w:tcPr>
            <w:tcW w:w="2268" w:type="dxa"/>
            <w:vAlign w:val="center"/>
          </w:tcPr>
          <w:p w14:paraId="60B18117">
            <w:pPr>
              <w:pStyle w:val="12"/>
            </w:pPr>
            <w:r>
              <w:t>可持续影响指标</w:t>
            </w:r>
          </w:p>
        </w:tc>
        <w:tc>
          <w:tcPr>
            <w:tcW w:w="2835" w:type="dxa"/>
            <w:vAlign w:val="center"/>
          </w:tcPr>
          <w:p w14:paraId="76D0A5EC">
            <w:pPr>
              <w:pStyle w:val="12"/>
            </w:pPr>
            <w:r>
              <w:t>幼儿园运转</w:t>
            </w:r>
          </w:p>
        </w:tc>
        <w:tc>
          <w:tcPr>
            <w:tcW w:w="5386" w:type="dxa"/>
            <w:vAlign w:val="center"/>
          </w:tcPr>
          <w:p w14:paraId="4FCFE247">
            <w:pPr>
              <w:pStyle w:val="12"/>
            </w:pPr>
            <w:r>
              <w:t>幼儿受教育年限</w:t>
            </w:r>
          </w:p>
        </w:tc>
        <w:tc>
          <w:tcPr>
            <w:tcW w:w="2268" w:type="dxa"/>
            <w:vAlign w:val="center"/>
          </w:tcPr>
          <w:p w14:paraId="6D4E041B">
            <w:pPr>
              <w:pStyle w:val="12"/>
            </w:pPr>
            <w:r>
              <w:t>3年</w:t>
            </w:r>
          </w:p>
        </w:tc>
        <w:tc>
          <w:tcPr>
            <w:tcW w:w="1276" w:type="dxa"/>
            <w:vAlign w:val="center"/>
          </w:tcPr>
          <w:p w14:paraId="4B6D630E">
            <w:pPr>
              <w:pStyle w:val="12"/>
            </w:pPr>
            <w:r>
              <w:t>幼儿资助经费管理办法</w:t>
            </w:r>
          </w:p>
        </w:tc>
      </w:tr>
      <w:tr w14:paraId="523C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F5D62">
            <w:pPr>
              <w:pStyle w:val="13"/>
            </w:pPr>
            <w:r>
              <w:t>满意度指标</w:t>
            </w:r>
          </w:p>
        </w:tc>
        <w:tc>
          <w:tcPr>
            <w:tcW w:w="2268" w:type="dxa"/>
            <w:vAlign w:val="center"/>
          </w:tcPr>
          <w:p w14:paraId="39A2B5FC">
            <w:pPr>
              <w:pStyle w:val="12"/>
            </w:pPr>
            <w:r>
              <w:t>服务对象满意度指标</w:t>
            </w:r>
          </w:p>
        </w:tc>
        <w:tc>
          <w:tcPr>
            <w:tcW w:w="2835" w:type="dxa"/>
            <w:vAlign w:val="center"/>
          </w:tcPr>
          <w:p w14:paraId="355A0447">
            <w:pPr>
              <w:pStyle w:val="12"/>
            </w:pPr>
            <w:r>
              <w:t>受益幼儿家长及调查满意度</w:t>
            </w:r>
          </w:p>
        </w:tc>
        <w:tc>
          <w:tcPr>
            <w:tcW w:w="5386" w:type="dxa"/>
            <w:vAlign w:val="center"/>
          </w:tcPr>
          <w:p w14:paraId="520BC28B">
            <w:pPr>
              <w:pStyle w:val="12"/>
            </w:pPr>
            <w:r>
              <w:t>学生、教师及家长对学校保教保育工作满意度情况</w:t>
            </w:r>
          </w:p>
        </w:tc>
        <w:tc>
          <w:tcPr>
            <w:tcW w:w="2268" w:type="dxa"/>
            <w:vAlign w:val="center"/>
          </w:tcPr>
          <w:p w14:paraId="3CF7F519">
            <w:pPr>
              <w:pStyle w:val="12"/>
            </w:pPr>
            <w:r>
              <w:t>≥95%</w:t>
            </w:r>
          </w:p>
        </w:tc>
        <w:tc>
          <w:tcPr>
            <w:tcW w:w="1276" w:type="dxa"/>
            <w:vAlign w:val="center"/>
          </w:tcPr>
          <w:p w14:paraId="31DDB519">
            <w:pPr>
              <w:pStyle w:val="12"/>
            </w:pPr>
            <w:r>
              <w:t>群众测评</w:t>
            </w:r>
          </w:p>
        </w:tc>
      </w:tr>
    </w:tbl>
    <w:p w14:paraId="0DC0226D">
      <w:pPr>
        <w:sectPr>
          <w:pgSz w:w="16840" w:h="11900" w:orient="landscape"/>
          <w:pgMar w:top="1361" w:right="1020" w:bottom="1134" w:left="1020" w:header="720" w:footer="720" w:gutter="0"/>
          <w:cols w:space="720" w:num="1"/>
        </w:sectPr>
      </w:pPr>
    </w:p>
    <w:p w14:paraId="45168501">
      <w:pPr>
        <w:spacing w:before="0" w:after="0"/>
        <w:ind w:firstLine="560"/>
        <w:jc w:val="left"/>
        <w:outlineLvl w:val="9"/>
      </w:pPr>
      <w:r>
        <w:rPr>
          <w:rFonts w:ascii="方正仿宋_GBK" w:hAnsi="方正仿宋_GBK" w:eastAsia="方正仿宋_GBK" w:cs="方正仿宋_GBK"/>
          <w:b/>
          <w:color w:val="000000"/>
          <w:sz w:val="28"/>
        </w:rPr>
        <w:t>24、冀财教[2025]149号/省级/2026年学前发展资金/莲子镇校区幼儿园免保育教育费补助绩效目标表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52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8033F">
            <w:pPr>
              <w:pStyle w:val="11"/>
            </w:pPr>
            <w:r>
              <w:t>单位：万元</w:t>
            </w:r>
          </w:p>
        </w:tc>
      </w:tr>
      <w:tr w14:paraId="4A885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6095E">
            <w:pPr>
              <w:pStyle w:val="10"/>
            </w:pPr>
            <w:r>
              <w:t>项目编码</w:t>
            </w:r>
          </w:p>
        </w:tc>
        <w:tc>
          <w:tcPr>
            <w:tcW w:w="5103" w:type="dxa"/>
            <w:gridSpan w:val="2"/>
            <w:vAlign w:val="center"/>
          </w:tcPr>
          <w:p w14:paraId="63C26330">
            <w:pPr>
              <w:pStyle w:val="12"/>
            </w:pPr>
            <w:r>
              <w:t>13052526P00876910160H</w:t>
            </w:r>
          </w:p>
        </w:tc>
        <w:tc>
          <w:tcPr>
            <w:tcW w:w="2835" w:type="dxa"/>
            <w:vAlign w:val="center"/>
          </w:tcPr>
          <w:p w14:paraId="66BCC0D6">
            <w:pPr>
              <w:pStyle w:val="10"/>
            </w:pPr>
            <w:r>
              <w:t>项目名称</w:t>
            </w:r>
          </w:p>
        </w:tc>
        <w:tc>
          <w:tcPr>
            <w:tcW w:w="6095" w:type="dxa"/>
            <w:gridSpan w:val="3"/>
            <w:vAlign w:val="center"/>
          </w:tcPr>
          <w:p w14:paraId="53636317">
            <w:pPr>
              <w:pStyle w:val="12"/>
            </w:pPr>
            <w:r>
              <w:t>冀财教[2025]149号/省级/2026年学前发展资金/莲子镇校区幼儿园免保育教育费补助</w:t>
            </w:r>
          </w:p>
        </w:tc>
      </w:tr>
      <w:tr w14:paraId="6A833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5372A">
            <w:pPr>
              <w:pStyle w:val="10"/>
            </w:pPr>
            <w:r>
              <w:t>预算规模及资金用途</w:t>
            </w:r>
          </w:p>
        </w:tc>
        <w:tc>
          <w:tcPr>
            <w:tcW w:w="2268" w:type="dxa"/>
            <w:vAlign w:val="center"/>
          </w:tcPr>
          <w:p w14:paraId="28F5FB5E">
            <w:pPr>
              <w:pStyle w:val="10"/>
            </w:pPr>
            <w:r>
              <w:t>预算数</w:t>
            </w:r>
          </w:p>
        </w:tc>
        <w:tc>
          <w:tcPr>
            <w:tcW w:w="2835" w:type="dxa"/>
            <w:vAlign w:val="center"/>
          </w:tcPr>
          <w:p w14:paraId="013BA2E8">
            <w:pPr>
              <w:pStyle w:val="12"/>
            </w:pPr>
            <w:r>
              <w:t>14.95</w:t>
            </w:r>
          </w:p>
        </w:tc>
        <w:tc>
          <w:tcPr>
            <w:tcW w:w="2835" w:type="dxa"/>
            <w:vAlign w:val="center"/>
          </w:tcPr>
          <w:p w14:paraId="65C8A918">
            <w:pPr>
              <w:pStyle w:val="10"/>
            </w:pPr>
            <w:r>
              <w:t>其中：财政    资金</w:t>
            </w:r>
          </w:p>
        </w:tc>
        <w:tc>
          <w:tcPr>
            <w:tcW w:w="2551" w:type="dxa"/>
            <w:vAlign w:val="center"/>
          </w:tcPr>
          <w:p w14:paraId="41BD8092">
            <w:pPr>
              <w:pStyle w:val="12"/>
            </w:pPr>
            <w:r>
              <w:t>14.95</w:t>
            </w:r>
          </w:p>
        </w:tc>
        <w:tc>
          <w:tcPr>
            <w:tcW w:w="2268" w:type="dxa"/>
            <w:vAlign w:val="center"/>
          </w:tcPr>
          <w:p w14:paraId="12CE7422">
            <w:pPr>
              <w:pStyle w:val="10"/>
            </w:pPr>
            <w:r>
              <w:t>其他资金</w:t>
            </w:r>
          </w:p>
        </w:tc>
        <w:tc>
          <w:tcPr>
            <w:tcW w:w="1276" w:type="dxa"/>
            <w:vAlign w:val="center"/>
          </w:tcPr>
          <w:p w14:paraId="7A92159E">
            <w:pPr>
              <w:pStyle w:val="12"/>
            </w:pPr>
            <w:r>
              <w:t xml:space="preserve"> </w:t>
            </w:r>
          </w:p>
        </w:tc>
      </w:tr>
      <w:tr w14:paraId="3A1CA18C">
        <w:tblPrEx>
          <w:tblCellMar>
            <w:top w:w="0" w:type="dxa"/>
            <w:left w:w="108" w:type="dxa"/>
            <w:bottom w:w="0" w:type="dxa"/>
            <w:right w:w="108" w:type="dxa"/>
          </w:tblCellMar>
        </w:tblPrEx>
        <w:trPr>
          <w:trHeight w:val="369" w:hRule="atLeast"/>
          <w:jc w:val="center"/>
        </w:trPr>
        <w:tc>
          <w:tcPr>
            <w:tcW w:w="1276" w:type="dxa"/>
            <w:vMerge w:val="continue"/>
          </w:tcPr>
          <w:p w14:paraId="717D147B"/>
        </w:tc>
        <w:tc>
          <w:tcPr>
            <w:tcW w:w="14033" w:type="dxa"/>
            <w:gridSpan w:val="6"/>
            <w:vAlign w:val="center"/>
          </w:tcPr>
          <w:p w14:paraId="1AF3F06B">
            <w:pPr>
              <w:pStyle w:val="12"/>
            </w:pPr>
            <w:r>
              <w:t>落实国家免保教费政策，做到大班幼儿应免尽免，保障幼儿园正常运转。</w:t>
            </w:r>
          </w:p>
        </w:tc>
      </w:tr>
      <w:tr w14:paraId="56041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E9400">
            <w:pPr>
              <w:pStyle w:val="10"/>
            </w:pPr>
            <w:r>
              <w:t>资金支出计划（%）</w:t>
            </w:r>
          </w:p>
        </w:tc>
        <w:tc>
          <w:tcPr>
            <w:tcW w:w="5103" w:type="dxa"/>
            <w:gridSpan w:val="2"/>
            <w:vAlign w:val="center"/>
          </w:tcPr>
          <w:p w14:paraId="4E3D5D71">
            <w:pPr>
              <w:pStyle w:val="10"/>
            </w:pPr>
            <w:r>
              <w:t>3月底</w:t>
            </w:r>
          </w:p>
        </w:tc>
        <w:tc>
          <w:tcPr>
            <w:tcW w:w="2835" w:type="dxa"/>
            <w:vAlign w:val="center"/>
          </w:tcPr>
          <w:p w14:paraId="029FDA63">
            <w:pPr>
              <w:pStyle w:val="10"/>
            </w:pPr>
            <w:r>
              <w:t>6月底</w:t>
            </w:r>
          </w:p>
        </w:tc>
        <w:tc>
          <w:tcPr>
            <w:tcW w:w="2551" w:type="dxa"/>
            <w:vAlign w:val="center"/>
          </w:tcPr>
          <w:p w14:paraId="7D8FB3CC">
            <w:pPr>
              <w:pStyle w:val="10"/>
            </w:pPr>
            <w:r>
              <w:t>10月底</w:t>
            </w:r>
          </w:p>
        </w:tc>
        <w:tc>
          <w:tcPr>
            <w:tcW w:w="3544" w:type="dxa"/>
            <w:gridSpan w:val="2"/>
            <w:vAlign w:val="center"/>
          </w:tcPr>
          <w:p w14:paraId="601F4FF8">
            <w:pPr>
              <w:pStyle w:val="10"/>
            </w:pPr>
            <w:r>
              <w:t>12月底</w:t>
            </w:r>
          </w:p>
        </w:tc>
      </w:tr>
      <w:tr w14:paraId="44DAB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7777C"/>
        </w:tc>
        <w:tc>
          <w:tcPr>
            <w:tcW w:w="5103" w:type="dxa"/>
            <w:gridSpan w:val="2"/>
            <w:vAlign w:val="center"/>
          </w:tcPr>
          <w:p w14:paraId="0FFC873B">
            <w:pPr>
              <w:pStyle w:val="13"/>
            </w:pPr>
            <w:r>
              <w:t>25%</w:t>
            </w:r>
          </w:p>
        </w:tc>
        <w:tc>
          <w:tcPr>
            <w:tcW w:w="2835" w:type="dxa"/>
            <w:vAlign w:val="center"/>
          </w:tcPr>
          <w:p w14:paraId="1DDF479F">
            <w:pPr>
              <w:pStyle w:val="13"/>
            </w:pPr>
            <w:r>
              <w:t>50%</w:t>
            </w:r>
          </w:p>
        </w:tc>
        <w:tc>
          <w:tcPr>
            <w:tcW w:w="2551" w:type="dxa"/>
            <w:vAlign w:val="center"/>
          </w:tcPr>
          <w:p w14:paraId="03D3B61F">
            <w:pPr>
              <w:pStyle w:val="13"/>
            </w:pPr>
            <w:r>
              <w:t>75%</w:t>
            </w:r>
          </w:p>
        </w:tc>
        <w:tc>
          <w:tcPr>
            <w:tcW w:w="3544" w:type="dxa"/>
            <w:gridSpan w:val="2"/>
            <w:vAlign w:val="center"/>
          </w:tcPr>
          <w:p w14:paraId="4D921C98">
            <w:pPr>
              <w:pStyle w:val="13"/>
            </w:pPr>
            <w:r>
              <w:t>100%</w:t>
            </w:r>
          </w:p>
        </w:tc>
      </w:tr>
      <w:tr w14:paraId="2D313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E359B">
            <w:pPr>
              <w:pStyle w:val="10"/>
            </w:pPr>
            <w:r>
              <w:t>绩效目标</w:t>
            </w:r>
          </w:p>
        </w:tc>
        <w:tc>
          <w:tcPr>
            <w:tcW w:w="14033" w:type="dxa"/>
            <w:gridSpan w:val="6"/>
            <w:vAlign w:val="center"/>
          </w:tcPr>
          <w:p w14:paraId="7F673473">
            <w:pPr>
              <w:pStyle w:val="12"/>
            </w:pPr>
            <w:r>
              <w:t>1.按照绩效及时拨付保教免费资金，支付率100%，</w:t>
            </w:r>
          </w:p>
          <w:p w14:paraId="5435DE9E">
            <w:pPr>
              <w:pStyle w:val="12"/>
            </w:pPr>
            <w:r>
              <w:t>2.落实国家免保教费政策，做到大班幼儿应免尽免，保障幼儿园正常运转。</w:t>
            </w:r>
          </w:p>
        </w:tc>
      </w:tr>
    </w:tbl>
    <w:p w14:paraId="1795C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9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EC77A">
            <w:pPr>
              <w:pStyle w:val="10"/>
            </w:pPr>
            <w:r>
              <w:t>一级指标</w:t>
            </w:r>
          </w:p>
        </w:tc>
        <w:tc>
          <w:tcPr>
            <w:tcW w:w="2268" w:type="dxa"/>
            <w:vAlign w:val="center"/>
          </w:tcPr>
          <w:p w14:paraId="11686FA4">
            <w:pPr>
              <w:pStyle w:val="10"/>
            </w:pPr>
            <w:r>
              <w:t>二级指标</w:t>
            </w:r>
          </w:p>
        </w:tc>
        <w:tc>
          <w:tcPr>
            <w:tcW w:w="2835" w:type="dxa"/>
            <w:vAlign w:val="center"/>
          </w:tcPr>
          <w:p w14:paraId="5E4A42F3">
            <w:pPr>
              <w:pStyle w:val="10"/>
            </w:pPr>
            <w:r>
              <w:t>三级指标</w:t>
            </w:r>
          </w:p>
        </w:tc>
        <w:tc>
          <w:tcPr>
            <w:tcW w:w="5386" w:type="dxa"/>
            <w:vAlign w:val="center"/>
          </w:tcPr>
          <w:p w14:paraId="3CF0446B">
            <w:pPr>
              <w:pStyle w:val="10"/>
            </w:pPr>
            <w:r>
              <w:t>绩效指标描述</w:t>
            </w:r>
          </w:p>
        </w:tc>
        <w:tc>
          <w:tcPr>
            <w:tcW w:w="2268" w:type="dxa"/>
            <w:vAlign w:val="center"/>
          </w:tcPr>
          <w:p w14:paraId="3FC594CA">
            <w:pPr>
              <w:pStyle w:val="10"/>
            </w:pPr>
            <w:r>
              <w:t>指标值</w:t>
            </w:r>
          </w:p>
        </w:tc>
        <w:tc>
          <w:tcPr>
            <w:tcW w:w="1276" w:type="dxa"/>
            <w:vAlign w:val="center"/>
          </w:tcPr>
          <w:p w14:paraId="671A1F81">
            <w:pPr>
              <w:pStyle w:val="10"/>
            </w:pPr>
            <w:r>
              <w:t>指标值确定依据</w:t>
            </w:r>
          </w:p>
        </w:tc>
      </w:tr>
      <w:tr w14:paraId="0E8B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C9085">
            <w:pPr>
              <w:pStyle w:val="13"/>
            </w:pPr>
            <w:r>
              <w:t>产出指标</w:t>
            </w:r>
          </w:p>
        </w:tc>
        <w:tc>
          <w:tcPr>
            <w:tcW w:w="2268" w:type="dxa"/>
            <w:vAlign w:val="center"/>
          </w:tcPr>
          <w:p w14:paraId="4AAD8F69">
            <w:pPr>
              <w:pStyle w:val="12"/>
            </w:pPr>
            <w:r>
              <w:t>数量指标</w:t>
            </w:r>
          </w:p>
        </w:tc>
        <w:tc>
          <w:tcPr>
            <w:tcW w:w="2835" w:type="dxa"/>
            <w:vAlign w:val="center"/>
          </w:tcPr>
          <w:p w14:paraId="3F0F0EB7">
            <w:pPr>
              <w:pStyle w:val="12"/>
            </w:pPr>
            <w:r>
              <w:t>适龄在园生</w:t>
            </w:r>
          </w:p>
        </w:tc>
        <w:tc>
          <w:tcPr>
            <w:tcW w:w="5386" w:type="dxa"/>
            <w:vAlign w:val="center"/>
          </w:tcPr>
          <w:p w14:paraId="2B2C2596">
            <w:pPr>
              <w:pStyle w:val="12"/>
            </w:pPr>
            <w:r>
              <w:t>适龄在园学生人数</w:t>
            </w:r>
          </w:p>
        </w:tc>
        <w:tc>
          <w:tcPr>
            <w:tcW w:w="2268" w:type="dxa"/>
            <w:vAlign w:val="center"/>
          </w:tcPr>
          <w:p w14:paraId="7F90B6C0">
            <w:pPr>
              <w:pStyle w:val="12"/>
            </w:pPr>
            <w:r>
              <w:t>364人</w:t>
            </w:r>
          </w:p>
        </w:tc>
        <w:tc>
          <w:tcPr>
            <w:tcW w:w="1276" w:type="dxa"/>
            <w:vAlign w:val="center"/>
          </w:tcPr>
          <w:p w14:paraId="75BE459D">
            <w:pPr>
              <w:pStyle w:val="12"/>
            </w:pPr>
            <w:r>
              <w:t>学前发展资金管理方法</w:t>
            </w:r>
          </w:p>
        </w:tc>
      </w:tr>
      <w:tr w14:paraId="4FA1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928AD"/>
        </w:tc>
        <w:tc>
          <w:tcPr>
            <w:tcW w:w="2268" w:type="dxa"/>
            <w:vAlign w:val="center"/>
          </w:tcPr>
          <w:p w14:paraId="6EE2F574">
            <w:pPr>
              <w:pStyle w:val="12"/>
            </w:pPr>
            <w:r>
              <w:t>质量指标</w:t>
            </w:r>
          </w:p>
        </w:tc>
        <w:tc>
          <w:tcPr>
            <w:tcW w:w="2835" w:type="dxa"/>
            <w:vAlign w:val="center"/>
          </w:tcPr>
          <w:p w14:paraId="24532D81">
            <w:pPr>
              <w:pStyle w:val="12"/>
            </w:pPr>
            <w:r>
              <w:t>预算控制率</w:t>
            </w:r>
          </w:p>
        </w:tc>
        <w:tc>
          <w:tcPr>
            <w:tcW w:w="5386" w:type="dxa"/>
            <w:vAlign w:val="center"/>
          </w:tcPr>
          <w:p w14:paraId="7279E871">
            <w:pPr>
              <w:pStyle w:val="12"/>
            </w:pPr>
            <w:r>
              <w:t>预算执行</w:t>
            </w:r>
          </w:p>
        </w:tc>
        <w:tc>
          <w:tcPr>
            <w:tcW w:w="2268" w:type="dxa"/>
            <w:vAlign w:val="center"/>
          </w:tcPr>
          <w:p w14:paraId="4AFC2711">
            <w:pPr>
              <w:pStyle w:val="12"/>
            </w:pPr>
            <w:r>
              <w:t>≥95%</w:t>
            </w:r>
          </w:p>
        </w:tc>
        <w:tc>
          <w:tcPr>
            <w:tcW w:w="1276" w:type="dxa"/>
            <w:vAlign w:val="center"/>
          </w:tcPr>
          <w:p w14:paraId="49B99818">
            <w:pPr>
              <w:pStyle w:val="12"/>
            </w:pPr>
            <w:r>
              <w:t>学前发展资金管理方法</w:t>
            </w:r>
          </w:p>
        </w:tc>
      </w:tr>
      <w:tr w14:paraId="6934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2DC64"/>
        </w:tc>
        <w:tc>
          <w:tcPr>
            <w:tcW w:w="2268" w:type="dxa"/>
            <w:vAlign w:val="center"/>
          </w:tcPr>
          <w:p w14:paraId="3AB48FE8">
            <w:pPr>
              <w:pStyle w:val="12"/>
            </w:pPr>
            <w:r>
              <w:t>时效指标</w:t>
            </w:r>
          </w:p>
        </w:tc>
        <w:tc>
          <w:tcPr>
            <w:tcW w:w="2835" w:type="dxa"/>
            <w:vAlign w:val="center"/>
          </w:tcPr>
          <w:p w14:paraId="002C0EFA">
            <w:pPr>
              <w:pStyle w:val="12"/>
            </w:pPr>
            <w:r>
              <w:t>资金支付率</w:t>
            </w:r>
          </w:p>
        </w:tc>
        <w:tc>
          <w:tcPr>
            <w:tcW w:w="5386" w:type="dxa"/>
            <w:vAlign w:val="center"/>
          </w:tcPr>
          <w:p w14:paraId="7B6D1181">
            <w:pPr>
              <w:pStyle w:val="12"/>
            </w:pPr>
            <w:r>
              <w:t>按照序时进度完成资金支付</w:t>
            </w:r>
          </w:p>
        </w:tc>
        <w:tc>
          <w:tcPr>
            <w:tcW w:w="2268" w:type="dxa"/>
            <w:vAlign w:val="center"/>
          </w:tcPr>
          <w:p w14:paraId="048FF087">
            <w:pPr>
              <w:pStyle w:val="12"/>
            </w:pPr>
            <w:r>
              <w:t>100%</w:t>
            </w:r>
          </w:p>
        </w:tc>
        <w:tc>
          <w:tcPr>
            <w:tcW w:w="1276" w:type="dxa"/>
            <w:vAlign w:val="center"/>
          </w:tcPr>
          <w:p w14:paraId="69B4B50C">
            <w:pPr>
              <w:pStyle w:val="12"/>
            </w:pPr>
            <w:r>
              <w:t>学前发展资金管理方法</w:t>
            </w:r>
          </w:p>
        </w:tc>
      </w:tr>
      <w:tr w14:paraId="0CB3D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D6FED"/>
        </w:tc>
        <w:tc>
          <w:tcPr>
            <w:tcW w:w="2268" w:type="dxa"/>
            <w:vAlign w:val="center"/>
          </w:tcPr>
          <w:p w14:paraId="047EEC96">
            <w:pPr>
              <w:pStyle w:val="12"/>
            </w:pPr>
            <w:r>
              <w:t>成本指标</w:t>
            </w:r>
          </w:p>
        </w:tc>
        <w:tc>
          <w:tcPr>
            <w:tcW w:w="2835" w:type="dxa"/>
            <w:vAlign w:val="center"/>
          </w:tcPr>
          <w:p w14:paraId="3E98396B">
            <w:pPr>
              <w:pStyle w:val="12"/>
            </w:pPr>
            <w:r>
              <w:t>生均拨款标准</w:t>
            </w:r>
          </w:p>
        </w:tc>
        <w:tc>
          <w:tcPr>
            <w:tcW w:w="5386" w:type="dxa"/>
            <w:vAlign w:val="center"/>
          </w:tcPr>
          <w:p w14:paraId="5DCDFFEB">
            <w:pPr>
              <w:pStyle w:val="12"/>
            </w:pPr>
            <w:r>
              <w:t>根据邢发改服务价格【2020】191号调整幼儿园保教费通知要求：农村示范园170元/月/生，农村一类园150元/月/生，农村二类园130元/月/生，农村三类园100元/月/生</w:t>
            </w:r>
          </w:p>
        </w:tc>
        <w:tc>
          <w:tcPr>
            <w:tcW w:w="2268" w:type="dxa"/>
            <w:vAlign w:val="center"/>
          </w:tcPr>
          <w:p w14:paraId="67B02625">
            <w:pPr>
              <w:pStyle w:val="12"/>
            </w:pPr>
            <w:r>
              <w:t>149497元</w:t>
            </w:r>
          </w:p>
        </w:tc>
        <w:tc>
          <w:tcPr>
            <w:tcW w:w="1276" w:type="dxa"/>
            <w:vAlign w:val="center"/>
          </w:tcPr>
          <w:p w14:paraId="52655ADF">
            <w:pPr>
              <w:pStyle w:val="12"/>
            </w:pPr>
            <w:r>
              <w:t>学前发展资金管理方法</w:t>
            </w:r>
          </w:p>
        </w:tc>
      </w:tr>
      <w:tr w14:paraId="73ED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AE16E">
            <w:pPr>
              <w:pStyle w:val="13"/>
            </w:pPr>
            <w:r>
              <w:t>效益指标</w:t>
            </w:r>
          </w:p>
        </w:tc>
        <w:tc>
          <w:tcPr>
            <w:tcW w:w="2268" w:type="dxa"/>
            <w:vAlign w:val="center"/>
          </w:tcPr>
          <w:p w14:paraId="4583250E">
            <w:pPr>
              <w:pStyle w:val="12"/>
            </w:pPr>
            <w:r>
              <w:t>可持续影响指标</w:t>
            </w:r>
          </w:p>
        </w:tc>
        <w:tc>
          <w:tcPr>
            <w:tcW w:w="2835" w:type="dxa"/>
            <w:vAlign w:val="center"/>
          </w:tcPr>
          <w:p w14:paraId="5F838BCA">
            <w:pPr>
              <w:pStyle w:val="12"/>
            </w:pPr>
            <w:r>
              <w:t>学校运转得到提升</w:t>
            </w:r>
          </w:p>
        </w:tc>
        <w:tc>
          <w:tcPr>
            <w:tcW w:w="5386" w:type="dxa"/>
            <w:vAlign w:val="center"/>
          </w:tcPr>
          <w:p w14:paraId="2E8BFC55">
            <w:pPr>
              <w:pStyle w:val="12"/>
            </w:pPr>
            <w:r>
              <w:t>幼儿受教育年限</w:t>
            </w:r>
          </w:p>
        </w:tc>
        <w:tc>
          <w:tcPr>
            <w:tcW w:w="2268" w:type="dxa"/>
            <w:vAlign w:val="center"/>
          </w:tcPr>
          <w:p w14:paraId="5DD00F33">
            <w:pPr>
              <w:pStyle w:val="12"/>
            </w:pPr>
            <w:r>
              <w:t>3年</w:t>
            </w:r>
          </w:p>
        </w:tc>
        <w:tc>
          <w:tcPr>
            <w:tcW w:w="1276" w:type="dxa"/>
            <w:vAlign w:val="center"/>
          </w:tcPr>
          <w:p w14:paraId="792A4FCE">
            <w:pPr>
              <w:pStyle w:val="12"/>
            </w:pPr>
            <w:r>
              <w:t>学前发展资金管理方法</w:t>
            </w:r>
          </w:p>
        </w:tc>
      </w:tr>
      <w:tr w14:paraId="5F52B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7825C">
            <w:pPr>
              <w:pStyle w:val="13"/>
            </w:pPr>
            <w:r>
              <w:t>满意度指标</w:t>
            </w:r>
          </w:p>
        </w:tc>
        <w:tc>
          <w:tcPr>
            <w:tcW w:w="2268" w:type="dxa"/>
            <w:vAlign w:val="center"/>
          </w:tcPr>
          <w:p w14:paraId="0D83C3CC">
            <w:pPr>
              <w:pStyle w:val="12"/>
            </w:pPr>
            <w:r>
              <w:t>服务对象满意度指标</w:t>
            </w:r>
          </w:p>
        </w:tc>
        <w:tc>
          <w:tcPr>
            <w:tcW w:w="2835" w:type="dxa"/>
            <w:vAlign w:val="center"/>
          </w:tcPr>
          <w:p w14:paraId="1549D937">
            <w:pPr>
              <w:pStyle w:val="12"/>
            </w:pPr>
            <w:r>
              <w:t>受益学生家长及调查满意度</w:t>
            </w:r>
          </w:p>
        </w:tc>
        <w:tc>
          <w:tcPr>
            <w:tcW w:w="5386" w:type="dxa"/>
            <w:vAlign w:val="center"/>
          </w:tcPr>
          <w:p w14:paraId="18A49005">
            <w:pPr>
              <w:pStyle w:val="12"/>
            </w:pPr>
            <w:r>
              <w:t>学生、教师及家长对学校保教保育工作满意度情况</w:t>
            </w:r>
          </w:p>
        </w:tc>
        <w:tc>
          <w:tcPr>
            <w:tcW w:w="2268" w:type="dxa"/>
            <w:vAlign w:val="center"/>
          </w:tcPr>
          <w:p w14:paraId="60E5BBA6">
            <w:pPr>
              <w:pStyle w:val="12"/>
            </w:pPr>
            <w:r>
              <w:t>≥95%</w:t>
            </w:r>
          </w:p>
        </w:tc>
        <w:tc>
          <w:tcPr>
            <w:tcW w:w="1276" w:type="dxa"/>
            <w:vAlign w:val="center"/>
          </w:tcPr>
          <w:p w14:paraId="4FB3F8AE">
            <w:pPr>
              <w:pStyle w:val="12"/>
            </w:pPr>
            <w:r>
              <w:t>群众测评</w:t>
            </w:r>
          </w:p>
        </w:tc>
      </w:tr>
    </w:tbl>
    <w:p w14:paraId="2DA1A3EB">
      <w:pPr>
        <w:sectPr>
          <w:pgSz w:w="16840" w:h="11900" w:orient="landscape"/>
          <w:pgMar w:top="1361" w:right="1020" w:bottom="1134" w:left="1020" w:header="720" w:footer="720" w:gutter="0"/>
          <w:cols w:space="720" w:num="1"/>
        </w:sectPr>
      </w:pPr>
    </w:p>
    <w:p w14:paraId="483AB63D">
      <w:pPr>
        <w:spacing w:before="0" w:after="0"/>
        <w:ind w:firstLine="560"/>
        <w:jc w:val="left"/>
        <w:outlineLvl w:val="9"/>
      </w:pPr>
      <w:r>
        <w:rPr>
          <w:rFonts w:ascii="方正仿宋_GBK" w:hAnsi="方正仿宋_GBK" w:eastAsia="方正仿宋_GBK" w:cs="方正仿宋_GBK"/>
          <w:b/>
          <w:color w:val="000000"/>
          <w:sz w:val="28"/>
        </w:rPr>
        <w:t>25、冀财教[2025]149号/省级/支持学前教育发展/白家寨幼儿园新建保育房绩效目标表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CB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5867E">
            <w:pPr>
              <w:pStyle w:val="11"/>
            </w:pPr>
            <w:r>
              <w:t>单位：万元</w:t>
            </w:r>
          </w:p>
        </w:tc>
      </w:tr>
      <w:tr w14:paraId="6D5FE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4BADA">
            <w:pPr>
              <w:pStyle w:val="10"/>
            </w:pPr>
            <w:r>
              <w:t>项目编码</w:t>
            </w:r>
          </w:p>
        </w:tc>
        <w:tc>
          <w:tcPr>
            <w:tcW w:w="5103" w:type="dxa"/>
            <w:gridSpan w:val="2"/>
            <w:vAlign w:val="center"/>
          </w:tcPr>
          <w:p w14:paraId="614369D8">
            <w:pPr>
              <w:pStyle w:val="12"/>
            </w:pPr>
            <w:r>
              <w:t>13052526P00876910208G</w:t>
            </w:r>
          </w:p>
        </w:tc>
        <w:tc>
          <w:tcPr>
            <w:tcW w:w="2835" w:type="dxa"/>
            <w:vAlign w:val="center"/>
          </w:tcPr>
          <w:p w14:paraId="68F02546">
            <w:pPr>
              <w:pStyle w:val="10"/>
            </w:pPr>
            <w:r>
              <w:t>项目名称</w:t>
            </w:r>
          </w:p>
        </w:tc>
        <w:tc>
          <w:tcPr>
            <w:tcW w:w="6095" w:type="dxa"/>
            <w:gridSpan w:val="3"/>
            <w:vAlign w:val="center"/>
          </w:tcPr>
          <w:p w14:paraId="4CDB1FD0">
            <w:pPr>
              <w:pStyle w:val="12"/>
            </w:pPr>
            <w:r>
              <w:t>冀财教[2025]149号/省级/支持学前教育发展/白家寨幼儿园新建保育房</w:t>
            </w:r>
          </w:p>
        </w:tc>
      </w:tr>
      <w:tr w14:paraId="2A155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FE625">
            <w:pPr>
              <w:pStyle w:val="10"/>
            </w:pPr>
            <w:r>
              <w:t>预算规模及资金用途</w:t>
            </w:r>
          </w:p>
        </w:tc>
        <w:tc>
          <w:tcPr>
            <w:tcW w:w="2268" w:type="dxa"/>
            <w:vAlign w:val="center"/>
          </w:tcPr>
          <w:p w14:paraId="54B8D872">
            <w:pPr>
              <w:pStyle w:val="10"/>
            </w:pPr>
            <w:r>
              <w:t>预算数</w:t>
            </w:r>
          </w:p>
        </w:tc>
        <w:tc>
          <w:tcPr>
            <w:tcW w:w="2835" w:type="dxa"/>
            <w:vAlign w:val="center"/>
          </w:tcPr>
          <w:p w14:paraId="0EBF7F1F">
            <w:pPr>
              <w:pStyle w:val="12"/>
            </w:pPr>
            <w:r>
              <w:t>15.45</w:t>
            </w:r>
          </w:p>
        </w:tc>
        <w:tc>
          <w:tcPr>
            <w:tcW w:w="2835" w:type="dxa"/>
            <w:vAlign w:val="center"/>
          </w:tcPr>
          <w:p w14:paraId="4F6E379F">
            <w:pPr>
              <w:pStyle w:val="10"/>
            </w:pPr>
            <w:r>
              <w:t>其中：财政    资金</w:t>
            </w:r>
          </w:p>
        </w:tc>
        <w:tc>
          <w:tcPr>
            <w:tcW w:w="2551" w:type="dxa"/>
            <w:vAlign w:val="center"/>
          </w:tcPr>
          <w:p w14:paraId="4C06CA97">
            <w:pPr>
              <w:pStyle w:val="12"/>
            </w:pPr>
            <w:r>
              <w:t>15.45</w:t>
            </w:r>
          </w:p>
        </w:tc>
        <w:tc>
          <w:tcPr>
            <w:tcW w:w="2268" w:type="dxa"/>
            <w:vAlign w:val="center"/>
          </w:tcPr>
          <w:p w14:paraId="2EE37707">
            <w:pPr>
              <w:pStyle w:val="10"/>
            </w:pPr>
            <w:r>
              <w:t>其他资金</w:t>
            </w:r>
          </w:p>
        </w:tc>
        <w:tc>
          <w:tcPr>
            <w:tcW w:w="1276" w:type="dxa"/>
            <w:vAlign w:val="center"/>
          </w:tcPr>
          <w:p w14:paraId="544870A7">
            <w:pPr>
              <w:pStyle w:val="12"/>
            </w:pPr>
            <w:r>
              <w:t xml:space="preserve"> </w:t>
            </w:r>
          </w:p>
        </w:tc>
      </w:tr>
      <w:tr w14:paraId="2FA7F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FF0E8"/>
        </w:tc>
        <w:tc>
          <w:tcPr>
            <w:tcW w:w="14033" w:type="dxa"/>
            <w:gridSpan w:val="6"/>
            <w:vAlign w:val="center"/>
          </w:tcPr>
          <w:p w14:paraId="77466258">
            <w:pPr>
              <w:pStyle w:val="12"/>
            </w:pPr>
            <w:r>
              <w:t>为提升和改善隆尧县莲子镇校区白家寨幼儿园办园环境，保证辐射周边村所有幼儿入学率，提高幼儿园教学质量</w:t>
            </w:r>
          </w:p>
        </w:tc>
      </w:tr>
      <w:tr w14:paraId="7A8BA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E76E2">
            <w:pPr>
              <w:pStyle w:val="10"/>
            </w:pPr>
            <w:r>
              <w:t>资金支出计划（%）</w:t>
            </w:r>
          </w:p>
        </w:tc>
        <w:tc>
          <w:tcPr>
            <w:tcW w:w="5103" w:type="dxa"/>
            <w:gridSpan w:val="2"/>
            <w:vAlign w:val="center"/>
          </w:tcPr>
          <w:p w14:paraId="63902AB7">
            <w:pPr>
              <w:pStyle w:val="10"/>
            </w:pPr>
            <w:r>
              <w:t>3月底</w:t>
            </w:r>
          </w:p>
        </w:tc>
        <w:tc>
          <w:tcPr>
            <w:tcW w:w="2835" w:type="dxa"/>
            <w:vAlign w:val="center"/>
          </w:tcPr>
          <w:p w14:paraId="7EA1D6E3">
            <w:pPr>
              <w:pStyle w:val="10"/>
            </w:pPr>
            <w:r>
              <w:t>6月底</w:t>
            </w:r>
          </w:p>
        </w:tc>
        <w:tc>
          <w:tcPr>
            <w:tcW w:w="2551" w:type="dxa"/>
            <w:vAlign w:val="center"/>
          </w:tcPr>
          <w:p w14:paraId="18F5F495">
            <w:pPr>
              <w:pStyle w:val="10"/>
            </w:pPr>
            <w:r>
              <w:t>10月底</w:t>
            </w:r>
          </w:p>
        </w:tc>
        <w:tc>
          <w:tcPr>
            <w:tcW w:w="3544" w:type="dxa"/>
            <w:gridSpan w:val="2"/>
            <w:vAlign w:val="center"/>
          </w:tcPr>
          <w:p w14:paraId="1B876228">
            <w:pPr>
              <w:pStyle w:val="10"/>
            </w:pPr>
            <w:r>
              <w:t>12月底</w:t>
            </w:r>
          </w:p>
        </w:tc>
      </w:tr>
      <w:tr w14:paraId="2B49C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82BA8"/>
        </w:tc>
        <w:tc>
          <w:tcPr>
            <w:tcW w:w="5103" w:type="dxa"/>
            <w:gridSpan w:val="2"/>
            <w:vAlign w:val="center"/>
          </w:tcPr>
          <w:p w14:paraId="14B79B81">
            <w:pPr>
              <w:pStyle w:val="13"/>
            </w:pPr>
            <w:r>
              <w:t xml:space="preserve"> </w:t>
            </w:r>
          </w:p>
        </w:tc>
        <w:tc>
          <w:tcPr>
            <w:tcW w:w="2835" w:type="dxa"/>
            <w:vAlign w:val="center"/>
          </w:tcPr>
          <w:p w14:paraId="62BE6E48">
            <w:pPr>
              <w:pStyle w:val="13"/>
            </w:pPr>
            <w:r>
              <w:t>100%</w:t>
            </w:r>
          </w:p>
        </w:tc>
        <w:tc>
          <w:tcPr>
            <w:tcW w:w="2551" w:type="dxa"/>
            <w:vAlign w:val="center"/>
          </w:tcPr>
          <w:p w14:paraId="1574C971">
            <w:pPr>
              <w:pStyle w:val="13"/>
            </w:pPr>
            <w:r>
              <w:t>100%</w:t>
            </w:r>
          </w:p>
        </w:tc>
        <w:tc>
          <w:tcPr>
            <w:tcW w:w="3544" w:type="dxa"/>
            <w:gridSpan w:val="2"/>
            <w:vAlign w:val="center"/>
          </w:tcPr>
          <w:p w14:paraId="7B1A1837">
            <w:pPr>
              <w:pStyle w:val="13"/>
            </w:pPr>
            <w:r>
              <w:t>100%</w:t>
            </w:r>
          </w:p>
        </w:tc>
      </w:tr>
      <w:tr w14:paraId="5EC0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3717A">
            <w:pPr>
              <w:pStyle w:val="10"/>
            </w:pPr>
            <w:r>
              <w:t>绩效目标</w:t>
            </w:r>
          </w:p>
        </w:tc>
        <w:tc>
          <w:tcPr>
            <w:tcW w:w="14033" w:type="dxa"/>
            <w:gridSpan w:val="6"/>
            <w:vAlign w:val="center"/>
          </w:tcPr>
          <w:p w14:paraId="6D1EE4B1">
            <w:pPr>
              <w:pStyle w:val="12"/>
            </w:pPr>
            <w:r>
              <w:t>1.按规定拨付专项资金，资金支付率达到100%。</w:t>
            </w:r>
            <w:r>
              <w:tab/>
            </w:r>
            <w:r>
              <w:tab/>
            </w:r>
            <w:r>
              <w:tab/>
            </w:r>
            <w:r>
              <w:tab/>
            </w:r>
          </w:p>
          <w:p w14:paraId="0348CB4C">
            <w:pPr>
              <w:pStyle w:val="12"/>
            </w:pPr>
            <w:r>
              <w:t>2.为提升和改善隆尧县莲子镇校区白家寨幼儿园办园环境，保证辐射周边村所有幼儿入学率，提高幼儿园教学质量</w:t>
            </w:r>
          </w:p>
        </w:tc>
      </w:tr>
    </w:tbl>
    <w:p w14:paraId="343D3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C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AB4F8">
            <w:pPr>
              <w:pStyle w:val="10"/>
            </w:pPr>
            <w:r>
              <w:t>一级指标</w:t>
            </w:r>
          </w:p>
        </w:tc>
        <w:tc>
          <w:tcPr>
            <w:tcW w:w="2268" w:type="dxa"/>
            <w:vAlign w:val="center"/>
          </w:tcPr>
          <w:p w14:paraId="7A82587E">
            <w:pPr>
              <w:pStyle w:val="10"/>
            </w:pPr>
            <w:r>
              <w:t>二级指标</w:t>
            </w:r>
          </w:p>
        </w:tc>
        <w:tc>
          <w:tcPr>
            <w:tcW w:w="2835" w:type="dxa"/>
            <w:vAlign w:val="center"/>
          </w:tcPr>
          <w:p w14:paraId="36D70843">
            <w:pPr>
              <w:pStyle w:val="10"/>
            </w:pPr>
            <w:r>
              <w:t>三级指标</w:t>
            </w:r>
          </w:p>
        </w:tc>
        <w:tc>
          <w:tcPr>
            <w:tcW w:w="5386" w:type="dxa"/>
            <w:vAlign w:val="center"/>
          </w:tcPr>
          <w:p w14:paraId="409B5403">
            <w:pPr>
              <w:pStyle w:val="10"/>
            </w:pPr>
            <w:r>
              <w:t>绩效指标描述</w:t>
            </w:r>
          </w:p>
        </w:tc>
        <w:tc>
          <w:tcPr>
            <w:tcW w:w="2268" w:type="dxa"/>
            <w:vAlign w:val="center"/>
          </w:tcPr>
          <w:p w14:paraId="1C7AFF0D">
            <w:pPr>
              <w:pStyle w:val="10"/>
            </w:pPr>
            <w:r>
              <w:t>指标值</w:t>
            </w:r>
          </w:p>
        </w:tc>
        <w:tc>
          <w:tcPr>
            <w:tcW w:w="1276" w:type="dxa"/>
            <w:vAlign w:val="center"/>
          </w:tcPr>
          <w:p w14:paraId="17C66263">
            <w:pPr>
              <w:pStyle w:val="10"/>
            </w:pPr>
            <w:r>
              <w:t>指标值确定依据</w:t>
            </w:r>
          </w:p>
        </w:tc>
      </w:tr>
      <w:tr w14:paraId="08D2191E">
        <w:tblPrEx>
          <w:tblCellMar>
            <w:top w:w="0" w:type="dxa"/>
            <w:left w:w="108" w:type="dxa"/>
            <w:bottom w:w="0" w:type="dxa"/>
            <w:right w:w="108" w:type="dxa"/>
          </w:tblCellMar>
        </w:tblPrEx>
        <w:trPr>
          <w:trHeight w:val="397" w:hRule="atLeast"/>
          <w:jc w:val="center"/>
        </w:trPr>
        <w:tc>
          <w:tcPr>
            <w:tcW w:w="1276" w:type="dxa"/>
            <w:vMerge w:val="restart"/>
            <w:vAlign w:val="center"/>
          </w:tcPr>
          <w:p w14:paraId="5A81B9D6">
            <w:pPr>
              <w:pStyle w:val="13"/>
            </w:pPr>
            <w:r>
              <w:t>产出指标</w:t>
            </w:r>
          </w:p>
        </w:tc>
        <w:tc>
          <w:tcPr>
            <w:tcW w:w="2268" w:type="dxa"/>
            <w:vAlign w:val="center"/>
          </w:tcPr>
          <w:p w14:paraId="5E550203">
            <w:pPr>
              <w:pStyle w:val="12"/>
            </w:pPr>
            <w:r>
              <w:t>数量指标</w:t>
            </w:r>
          </w:p>
        </w:tc>
        <w:tc>
          <w:tcPr>
            <w:tcW w:w="2835" w:type="dxa"/>
            <w:vAlign w:val="center"/>
          </w:tcPr>
          <w:p w14:paraId="05B89B87">
            <w:pPr>
              <w:pStyle w:val="12"/>
            </w:pPr>
            <w:r>
              <w:t>白家寨幼儿园新建保育房项目</w:t>
            </w:r>
          </w:p>
        </w:tc>
        <w:tc>
          <w:tcPr>
            <w:tcW w:w="5386" w:type="dxa"/>
            <w:vAlign w:val="center"/>
          </w:tcPr>
          <w:p w14:paraId="5EFFDBD8">
            <w:pPr>
              <w:pStyle w:val="12"/>
            </w:pPr>
            <w:r>
              <w:t>新建保育房</w:t>
            </w:r>
          </w:p>
        </w:tc>
        <w:tc>
          <w:tcPr>
            <w:tcW w:w="2268" w:type="dxa"/>
            <w:vAlign w:val="center"/>
          </w:tcPr>
          <w:p w14:paraId="0651478A">
            <w:pPr>
              <w:pStyle w:val="12"/>
            </w:pPr>
            <w:r>
              <w:t>1125平方米</w:t>
            </w:r>
          </w:p>
        </w:tc>
        <w:tc>
          <w:tcPr>
            <w:tcW w:w="1276" w:type="dxa"/>
            <w:vAlign w:val="center"/>
          </w:tcPr>
          <w:p w14:paraId="78349470">
            <w:pPr>
              <w:pStyle w:val="12"/>
            </w:pPr>
            <w:r>
              <w:t>项目规划</w:t>
            </w:r>
          </w:p>
        </w:tc>
      </w:tr>
      <w:tr w14:paraId="0CA5B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09C2C"/>
        </w:tc>
        <w:tc>
          <w:tcPr>
            <w:tcW w:w="2268" w:type="dxa"/>
            <w:vAlign w:val="center"/>
          </w:tcPr>
          <w:p w14:paraId="420B00BF">
            <w:pPr>
              <w:pStyle w:val="12"/>
            </w:pPr>
            <w:r>
              <w:t>质量指标</w:t>
            </w:r>
          </w:p>
        </w:tc>
        <w:tc>
          <w:tcPr>
            <w:tcW w:w="2835" w:type="dxa"/>
            <w:vAlign w:val="center"/>
          </w:tcPr>
          <w:p w14:paraId="702DCB7D">
            <w:pPr>
              <w:pStyle w:val="12"/>
            </w:pPr>
            <w:r>
              <w:t>项目竣工验收合格率</w:t>
            </w:r>
          </w:p>
        </w:tc>
        <w:tc>
          <w:tcPr>
            <w:tcW w:w="5386" w:type="dxa"/>
            <w:vAlign w:val="center"/>
          </w:tcPr>
          <w:p w14:paraId="00CB40E7">
            <w:pPr>
              <w:pStyle w:val="12"/>
            </w:pPr>
            <w:r>
              <w:t>项目改造质量达标率</w:t>
            </w:r>
          </w:p>
        </w:tc>
        <w:tc>
          <w:tcPr>
            <w:tcW w:w="2268" w:type="dxa"/>
            <w:vAlign w:val="center"/>
          </w:tcPr>
          <w:p w14:paraId="2E5D00EA">
            <w:pPr>
              <w:pStyle w:val="12"/>
            </w:pPr>
            <w:r>
              <w:t>100%</w:t>
            </w:r>
          </w:p>
        </w:tc>
        <w:tc>
          <w:tcPr>
            <w:tcW w:w="1276" w:type="dxa"/>
            <w:vAlign w:val="center"/>
          </w:tcPr>
          <w:p w14:paraId="6E18F7B5">
            <w:pPr>
              <w:pStyle w:val="12"/>
            </w:pPr>
            <w:r>
              <w:t>项目规划</w:t>
            </w:r>
          </w:p>
        </w:tc>
      </w:tr>
      <w:tr w14:paraId="467F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541ED"/>
        </w:tc>
        <w:tc>
          <w:tcPr>
            <w:tcW w:w="2268" w:type="dxa"/>
            <w:vAlign w:val="center"/>
          </w:tcPr>
          <w:p w14:paraId="575B4475">
            <w:pPr>
              <w:pStyle w:val="12"/>
            </w:pPr>
            <w:r>
              <w:t>时效指标</w:t>
            </w:r>
          </w:p>
        </w:tc>
        <w:tc>
          <w:tcPr>
            <w:tcW w:w="2835" w:type="dxa"/>
            <w:vAlign w:val="center"/>
          </w:tcPr>
          <w:p w14:paraId="0796D8A1">
            <w:pPr>
              <w:pStyle w:val="12"/>
            </w:pPr>
            <w:r>
              <w:t>项目实际成本</w:t>
            </w:r>
          </w:p>
        </w:tc>
        <w:tc>
          <w:tcPr>
            <w:tcW w:w="5386" w:type="dxa"/>
            <w:vAlign w:val="center"/>
          </w:tcPr>
          <w:p w14:paraId="6EAC0543">
            <w:pPr>
              <w:pStyle w:val="12"/>
            </w:pPr>
            <w:r>
              <w:t>工程实际成本</w:t>
            </w:r>
          </w:p>
        </w:tc>
        <w:tc>
          <w:tcPr>
            <w:tcW w:w="2268" w:type="dxa"/>
            <w:vAlign w:val="center"/>
          </w:tcPr>
          <w:p w14:paraId="5B630DDF">
            <w:pPr>
              <w:pStyle w:val="12"/>
            </w:pPr>
            <w:r>
              <w:t>154500元</w:t>
            </w:r>
          </w:p>
        </w:tc>
        <w:tc>
          <w:tcPr>
            <w:tcW w:w="1276" w:type="dxa"/>
            <w:vAlign w:val="center"/>
          </w:tcPr>
          <w:p w14:paraId="06766513">
            <w:pPr>
              <w:pStyle w:val="12"/>
            </w:pPr>
            <w:r>
              <w:t>项目规划</w:t>
            </w:r>
          </w:p>
        </w:tc>
      </w:tr>
      <w:tr w14:paraId="141D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A1A4F"/>
        </w:tc>
        <w:tc>
          <w:tcPr>
            <w:tcW w:w="2268" w:type="dxa"/>
            <w:vAlign w:val="center"/>
          </w:tcPr>
          <w:p w14:paraId="1D420A62">
            <w:pPr>
              <w:pStyle w:val="12"/>
            </w:pPr>
            <w:r>
              <w:t>成本指标</w:t>
            </w:r>
          </w:p>
        </w:tc>
        <w:tc>
          <w:tcPr>
            <w:tcW w:w="2835" w:type="dxa"/>
            <w:vAlign w:val="center"/>
          </w:tcPr>
          <w:p w14:paraId="7062D2F0">
            <w:pPr>
              <w:pStyle w:val="12"/>
            </w:pPr>
            <w:r>
              <w:t>项目竣工验收合格率</w:t>
            </w:r>
          </w:p>
        </w:tc>
        <w:tc>
          <w:tcPr>
            <w:tcW w:w="5386" w:type="dxa"/>
            <w:vAlign w:val="center"/>
          </w:tcPr>
          <w:p w14:paraId="6EC8BF59">
            <w:pPr>
              <w:pStyle w:val="12"/>
            </w:pPr>
            <w:r>
              <w:t>项目改造质量达标率</w:t>
            </w:r>
          </w:p>
        </w:tc>
        <w:tc>
          <w:tcPr>
            <w:tcW w:w="2268" w:type="dxa"/>
            <w:vAlign w:val="center"/>
          </w:tcPr>
          <w:p w14:paraId="57FB5EDA">
            <w:pPr>
              <w:pStyle w:val="12"/>
            </w:pPr>
            <w:r>
              <w:t>100%</w:t>
            </w:r>
          </w:p>
        </w:tc>
        <w:tc>
          <w:tcPr>
            <w:tcW w:w="1276" w:type="dxa"/>
            <w:vAlign w:val="center"/>
          </w:tcPr>
          <w:p w14:paraId="0BF36C5A">
            <w:pPr>
              <w:pStyle w:val="12"/>
            </w:pPr>
            <w:r>
              <w:t>项目规划</w:t>
            </w:r>
          </w:p>
        </w:tc>
      </w:tr>
      <w:tr w14:paraId="59F7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588A6">
            <w:pPr>
              <w:pStyle w:val="13"/>
            </w:pPr>
            <w:r>
              <w:t>效益指标</w:t>
            </w:r>
          </w:p>
        </w:tc>
        <w:tc>
          <w:tcPr>
            <w:tcW w:w="2268" w:type="dxa"/>
            <w:vAlign w:val="center"/>
          </w:tcPr>
          <w:p w14:paraId="3D36421C">
            <w:pPr>
              <w:pStyle w:val="12"/>
            </w:pPr>
            <w:r>
              <w:t>可持续影响指标</w:t>
            </w:r>
          </w:p>
        </w:tc>
        <w:tc>
          <w:tcPr>
            <w:tcW w:w="2835" w:type="dxa"/>
            <w:vAlign w:val="center"/>
          </w:tcPr>
          <w:p w14:paraId="6F5AE18C">
            <w:pPr>
              <w:pStyle w:val="12"/>
            </w:pPr>
            <w:r>
              <w:t>工程使用年限</w:t>
            </w:r>
          </w:p>
        </w:tc>
        <w:tc>
          <w:tcPr>
            <w:tcW w:w="5386" w:type="dxa"/>
            <w:vAlign w:val="center"/>
          </w:tcPr>
          <w:p w14:paraId="2256019D">
            <w:pPr>
              <w:pStyle w:val="12"/>
            </w:pPr>
            <w:r>
              <w:t>项目实施，有效改善教学环境</w:t>
            </w:r>
          </w:p>
        </w:tc>
        <w:tc>
          <w:tcPr>
            <w:tcW w:w="2268" w:type="dxa"/>
            <w:vAlign w:val="center"/>
          </w:tcPr>
          <w:p w14:paraId="2634F300">
            <w:pPr>
              <w:pStyle w:val="12"/>
            </w:pPr>
            <w:r>
              <w:t>6年</w:t>
            </w:r>
          </w:p>
        </w:tc>
        <w:tc>
          <w:tcPr>
            <w:tcW w:w="1276" w:type="dxa"/>
            <w:vAlign w:val="center"/>
          </w:tcPr>
          <w:p w14:paraId="329891CC">
            <w:pPr>
              <w:pStyle w:val="12"/>
            </w:pPr>
            <w:r>
              <w:t>项目规划</w:t>
            </w:r>
          </w:p>
        </w:tc>
      </w:tr>
      <w:tr w14:paraId="707A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64178">
            <w:pPr>
              <w:pStyle w:val="13"/>
            </w:pPr>
            <w:r>
              <w:t>满意度指标</w:t>
            </w:r>
          </w:p>
        </w:tc>
        <w:tc>
          <w:tcPr>
            <w:tcW w:w="2268" w:type="dxa"/>
            <w:vAlign w:val="center"/>
          </w:tcPr>
          <w:p w14:paraId="693A1A80">
            <w:pPr>
              <w:pStyle w:val="12"/>
            </w:pPr>
            <w:r>
              <w:t>服务对象满意度指标</w:t>
            </w:r>
          </w:p>
        </w:tc>
        <w:tc>
          <w:tcPr>
            <w:tcW w:w="2835" w:type="dxa"/>
            <w:vAlign w:val="center"/>
          </w:tcPr>
          <w:p w14:paraId="50DE7E30">
            <w:pPr>
              <w:pStyle w:val="12"/>
            </w:pPr>
            <w:r>
              <w:t>受益学生家长及调查满意度</w:t>
            </w:r>
          </w:p>
        </w:tc>
        <w:tc>
          <w:tcPr>
            <w:tcW w:w="5386" w:type="dxa"/>
            <w:vAlign w:val="center"/>
          </w:tcPr>
          <w:p w14:paraId="258DAA91">
            <w:pPr>
              <w:pStyle w:val="12"/>
            </w:pPr>
            <w:r>
              <w:t>学生、教师及家长对学校工作满意度情况</w:t>
            </w:r>
          </w:p>
        </w:tc>
        <w:tc>
          <w:tcPr>
            <w:tcW w:w="2268" w:type="dxa"/>
            <w:vAlign w:val="center"/>
          </w:tcPr>
          <w:p w14:paraId="1CA12024">
            <w:pPr>
              <w:pStyle w:val="12"/>
            </w:pPr>
            <w:r>
              <w:t>≥95%</w:t>
            </w:r>
          </w:p>
        </w:tc>
        <w:tc>
          <w:tcPr>
            <w:tcW w:w="1276" w:type="dxa"/>
            <w:vAlign w:val="center"/>
          </w:tcPr>
          <w:p w14:paraId="33FBA5F1">
            <w:pPr>
              <w:pStyle w:val="12"/>
            </w:pPr>
            <w:r>
              <w:t>群众测评</w:t>
            </w:r>
          </w:p>
        </w:tc>
      </w:tr>
    </w:tbl>
    <w:p w14:paraId="2799215C">
      <w:pPr>
        <w:sectPr>
          <w:pgSz w:w="16840" w:h="11900" w:orient="landscape"/>
          <w:pgMar w:top="1361" w:right="1020" w:bottom="1134" w:left="1020" w:header="720" w:footer="720" w:gutter="0"/>
          <w:cols w:space="720" w:num="1"/>
        </w:sectPr>
      </w:pPr>
    </w:p>
    <w:p w14:paraId="6BD51362">
      <w:pPr>
        <w:spacing w:before="0" w:after="0"/>
        <w:ind w:firstLine="560"/>
        <w:jc w:val="left"/>
        <w:outlineLvl w:val="9"/>
      </w:pPr>
      <w:r>
        <w:rPr>
          <w:rFonts w:ascii="方正仿宋_GBK" w:hAnsi="方正仿宋_GBK" w:eastAsia="方正仿宋_GBK" w:cs="方正仿宋_GBK"/>
          <w:b/>
          <w:color w:val="000000"/>
          <w:sz w:val="28"/>
        </w:rPr>
        <w:t>26、县级配套/2026年/莲子镇校区幼儿园免保育教育费补助绩效目标表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A2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0AAB0">
            <w:pPr>
              <w:pStyle w:val="11"/>
            </w:pPr>
            <w:r>
              <w:t>单位：万元</w:t>
            </w:r>
          </w:p>
        </w:tc>
      </w:tr>
      <w:tr w14:paraId="0A469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EAD72">
            <w:pPr>
              <w:pStyle w:val="10"/>
            </w:pPr>
            <w:r>
              <w:t>项目编码</w:t>
            </w:r>
          </w:p>
        </w:tc>
        <w:tc>
          <w:tcPr>
            <w:tcW w:w="5103" w:type="dxa"/>
            <w:gridSpan w:val="2"/>
            <w:vAlign w:val="center"/>
          </w:tcPr>
          <w:p w14:paraId="24B5E2F2">
            <w:pPr>
              <w:pStyle w:val="12"/>
            </w:pPr>
            <w:r>
              <w:t>13052526P00876910175F</w:t>
            </w:r>
          </w:p>
        </w:tc>
        <w:tc>
          <w:tcPr>
            <w:tcW w:w="2835" w:type="dxa"/>
            <w:vAlign w:val="center"/>
          </w:tcPr>
          <w:p w14:paraId="3C99A522">
            <w:pPr>
              <w:pStyle w:val="10"/>
            </w:pPr>
            <w:r>
              <w:t>项目名称</w:t>
            </w:r>
          </w:p>
        </w:tc>
        <w:tc>
          <w:tcPr>
            <w:tcW w:w="6095" w:type="dxa"/>
            <w:gridSpan w:val="3"/>
            <w:vAlign w:val="center"/>
          </w:tcPr>
          <w:p w14:paraId="4E253C24">
            <w:pPr>
              <w:pStyle w:val="12"/>
            </w:pPr>
            <w:r>
              <w:t>县级配套/2026年/莲子镇校区幼儿园免保育教育费补助</w:t>
            </w:r>
          </w:p>
        </w:tc>
      </w:tr>
      <w:tr w14:paraId="2AE46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6FEEA">
            <w:pPr>
              <w:pStyle w:val="10"/>
            </w:pPr>
            <w:r>
              <w:t>预算规模及资金用途</w:t>
            </w:r>
          </w:p>
        </w:tc>
        <w:tc>
          <w:tcPr>
            <w:tcW w:w="2268" w:type="dxa"/>
            <w:vAlign w:val="center"/>
          </w:tcPr>
          <w:p w14:paraId="4AF823E9">
            <w:pPr>
              <w:pStyle w:val="10"/>
            </w:pPr>
            <w:r>
              <w:t>预算数</w:t>
            </w:r>
          </w:p>
        </w:tc>
        <w:tc>
          <w:tcPr>
            <w:tcW w:w="2835" w:type="dxa"/>
            <w:vAlign w:val="center"/>
          </w:tcPr>
          <w:p w14:paraId="77432DBA">
            <w:pPr>
              <w:pStyle w:val="12"/>
            </w:pPr>
            <w:r>
              <w:t>5.42</w:t>
            </w:r>
          </w:p>
        </w:tc>
        <w:tc>
          <w:tcPr>
            <w:tcW w:w="2835" w:type="dxa"/>
            <w:vAlign w:val="center"/>
          </w:tcPr>
          <w:p w14:paraId="2751F7C7">
            <w:pPr>
              <w:pStyle w:val="10"/>
            </w:pPr>
            <w:r>
              <w:t>其中：财政    资金</w:t>
            </w:r>
          </w:p>
        </w:tc>
        <w:tc>
          <w:tcPr>
            <w:tcW w:w="2551" w:type="dxa"/>
            <w:vAlign w:val="center"/>
          </w:tcPr>
          <w:p w14:paraId="561BB6DF">
            <w:pPr>
              <w:pStyle w:val="12"/>
            </w:pPr>
            <w:r>
              <w:t>5.42</w:t>
            </w:r>
          </w:p>
        </w:tc>
        <w:tc>
          <w:tcPr>
            <w:tcW w:w="2268" w:type="dxa"/>
            <w:vAlign w:val="center"/>
          </w:tcPr>
          <w:p w14:paraId="0EB2B683">
            <w:pPr>
              <w:pStyle w:val="10"/>
            </w:pPr>
            <w:r>
              <w:t>其他资金</w:t>
            </w:r>
          </w:p>
        </w:tc>
        <w:tc>
          <w:tcPr>
            <w:tcW w:w="1276" w:type="dxa"/>
            <w:vAlign w:val="center"/>
          </w:tcPr>
          <w:p w14:paraId="72CD51D4">
            <w:pPr>
              <w:pStyle w:val="12"/>
            </w:pPr>
            <w:r>
              <w:t xml:space="preserve"> </w:t>
            </w:r>
          </w:p>
        </w:tc>
      </w:tr>
      <w:tr w14:paraId="2304A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99D14"/>
        </w:tc>
        <w:tc>
          <w:tcPr>
            <w:tcW w:w="14033" w:type="dxa"/>
            <w:gridSpan w:val="6"/>
            <w:vAlign w:val="center"/>
          </w:tcPr>
          <w:p w14:paraId="69E1270C">
            <w:pPr>
              <w:pStyle w:val="12"/>
            </w:pPr>
            <w:r>
              <w:t>落实中央免保教费政策，做到大班幼儿应免尽免，保障幼儿园正常运转。</w:t>
            </w:r>
          </w:p>
        </w:tc>
      </w:tr>
      <w:tr w14:paraId="1F60C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E3F85">
            <w:pPr>
              <w:pStyle w:val="10"/>
            </w:pPr>
            <w:r>
              <w:t>资金支出计划（%）</w:t>
            </w:r>
          </w:p>
        </w:tc>
        <w:tc>
          <w:tcPr>
            <w:tcW w:w="5103" w:type="dxa"/>
            <w:gridSpan w:val="2"/>
            <w:vAlign w:val="center"/>
          </w:tcPr>
          <w:p w14:paraId="3CD8B335">
            <w:pPr>
              <w:pStyle w:val="10"/>
            </w:pPr>
            <w:r>
              <w:t>3月底</w:t>
            </w:r>
          </w:p>
        </w:tc>
        <w:tc>
          <w:tcPr>
            <w:tcW w:w="2835" w:type="dxa"/>
            <w:vAlign w:val="center"/>
          </w:tcPr>
          <w:p w14:paraId="75EA9B22">
            <w:pPr>
              <w:pStyle w:val="10"/>
            </w:pPr>
            <w:r>
              <w:t>6月底</w:t>
            </w:r>
          </w:p>
        </w:tc>
        <w:tc>
          <w:tcPr>
            <w:tcW w:w="2551" w:type="dxa"/>
            <w:vAlign w:val="center"/>
          </w:tcPr>
          <w:p w14:paraId="2DF06888">
            <w:pPr>
              <w:pStyle w:val="10"/>
            </w:pPr>
            <w:r>
              <w:t>10月底</w:t>
            </w:r>
          </w:p>
        </w:tc>
        <w:tc>
          <w:tcPr>
            <w:tcW w:w="3544" w:type="dxa"/>
            <w:gridSpan w:val="2"/>
            <w:vAlign w:val="center"/>
          </w:tcPr>
          <w:p w14:paraId="74D3E5BA">
            <w:pPr>
              <w:pStyle w:val="10"/>
            </w:pPr>
            <w:r>
              <w:t>12月底</w:t>
            </w:r>
          </w:p>
        </w:tc>
      </w:tr>
      <w:tr w14:paraId="49E57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12803"/>
        </w:tc>
        <w:tc>
          <w:tcPr>
            <w:tcW w:w="5103" w:type="dxa"/>
            <w:gridSpan w:val="2"/>
            <w:vAlign w:val="center"/>
          </w:tcPr>
          <w:p w14:paraId="667447FC">
            <w:pPr>
              <w:pStyle w:val="13"/>
            </w:pPr>
            <w:r>
              <w:t>25%</w:t>
            </w:r>
          </w:p>
        </w:tc>
        <w:tc>
          <w:tcPr>
            <w:tcW w:w="2835" w:type="dxa"/>
            <w:vAlign w:val="center"/>
          </w:tcPr>
          <w:p w14:paraId="523DFC00">
            <w:pPr>
              <w:pStyle w:val="13"/>
            </w:pPr>
            <w:r>
              <w:t>50%</w:t>
            </w:r>
          </w:p>
        </w:tc>
        <w:tc>
          <w:tcPr>
            <w:tcW w:w="2551" w:type="dxa"/>
            <w:vAlign w:val="center"/>
          </w:tcPr>
          <w:p w14:paraId="1543DB8C">
            <w:pPr>
              <w:pStyle w:val="13"/>
            </w:pPr>
            <w:r>
              <w:t>75%</w:t>
            </w:r>
          </w:p>
        </w:tc>
        <w:tc>
          <w:tcPr>
            <w:tcW w:w="3544" w:type="dxa"/>
            <w:gridSpan w:val="2"/>
            <w:vAlign w:val="center"/>
          </w:tcPr>
          <w:p w14:paraId="770F4D65">
            <w:pPr>
              <w:pStyle w:val="13"/>
            </w:pPr>
            <w:r>
              <w:t>100%</w:t>
            </w:r>
          </w:p>
        </w:tc>
      </w:tr>
      <w:tr w14:paraId="60057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B29C0">
            <w:pPr>
              <w:pStyle w:val="10"/>
            </w:pPr>
            <w:r>
              <w:t>绩效目标</w:t>
            </w:r>
          </w:p>
        </w:tc>
        <w:tc>
          <w:tcPr>
            <w:tcW w:w="14033" w:type="dxa"/>
            <w:gridSpan w:val="6"/>
            <w:vAlign w:val="center"/>
          </w:tcPr>
          <w:p w14:paraId="7BA0F997">
            <w:pPr>
              <w:pStyle w:val="12"/>
            </w:pPr>
            <w:r>
              <w:t>1.按照绩效及时拨付保教免费资金，支付率100%。</w:t>
            </w:r>
          </w:p>
          <w:p w14:paraId="329D123B">
            <w:pPr>
              <w:pStyle w:val="12"/>
            </w:pPr>
            <w:r>
              <w:t>2.落实中央免保教费政策，做到大班幼儿应免尽免，保障幼儿园正常运转。</w:t>
            </w:r>
          </w:p>
        </w:tc>
      </w:tr>
    </w:tbl>
    <w:p w14:paraId="7FEA1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3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1A317">
            <w:pPr>
              <w:pStyle w:val="10"/>
            </w:pPr>
            <w:r>
              <w:t>一级指标</w:t>
            </w:r>
          </w:p>
        </w:tc>
        <w:tc>
          <w:tcPr>
            <w:tcW w:w="2268" w:type="dxa"/>
            <w:vAlign w:val="center"/>
          </w:tcPr>
          <w:p w14:paraId="41E88A31">
            <w:pPr>
              <w:pStyle w:val="10"/>
            </w:pPr>
            <w:r>
              <w:t>二级指标</w:t>
            </w:r>
          </w:p>
        </w:tc>
        <w:tc>
          <w:tcPr>
            <w:tcW w:w="2835" w:type="dxa"/>
            <w:vAlign w:val="center"/>
          </w:tcPr>
          <w:p w14:paraId="63577C15">
            <w:pPr>
              <w:pStyle w:val="10"/>
            </w:pPr>
            <w:r>
              <w:t>三级指标</w:t>
            </w:r>
          </w:p>
        </w:tc>
        <w:tc>
          <w:tcPr>
            <w:tcW w:w="5386" w:type="dxa"/>
            <w:vAlign w:val="center"/>
          </w:tcPr>
          <w:p w14:paraId="75AA2958">
            <w:pPr>
              <w:pStyle w:val="10"/>
            </w:pPr>
            <w:r>
              <w:t>绩效指标描述</w:t>
            </w:r>
          </w:p>
        </w:tc>
        <w:tc>
          <w:tcPr>
            <w:tcW w:w="2268" w:type="dxa"/>
            <w:vAlign w:val="center"/>
          </w:tcPr>
          <w:p w14:paraId="20A461C5">
            <w:pPr>
              <w:pStyle w:val="10"/>
            </w:pPr>
            <w:r>
              <w:t>指标值</w:t>
            </w:r>
          </w:p>
        </w:tc>
        <w:tc>
          <w:tcPr>
            <w:tcW w:w="1276" w:type="dxa"/>
            <w:vAlign w:val="center"/>
          </w:tcPr>
          <w:p w14:paraId="3962850A">
            <w:pPr>
              <w:pStyle w:val="10"/>
            </w:pPr>
            <w:r>
              <w:t>指标值确定依据</w:t>
            </w:r>
          </w:p>
        </w:tc>
      </w:tr>
      <w:tr w14:paraId="46B9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1DB3B">
            <w:pPr>
              <w:pStyle w:val="13"/>
            </w:pPr>
            <w:r>
              <w:t>产出指标</w:t>
            </w:r>
          </w:p>
        </w:tc>
        <w:tc>
          <w:tcPr>
            <w:tcW w:w="2268" w:type="dxa"/>
            <w:vAlign w:val="center"/>
          </w:tcPr>
          <w:p w14:paraId="5C6A4EBA">
            <w:pPr>
              <w:pStyle w:val="12"/>
            </w:pPr>
            <w:r>
              <w:t>数量指标</w:t>
            </w:r>
          </w:p>
        </w:tc>
        <w:tc>
          <w:tcPr>
            <w:tcW w:w="2835" w:type="dxa"/>
            <w:vAlign w:val="center"/>
          </w:tcPr>
          <w:p w14:paraId="4A66FD84">
            <w:pPr>
              <w:pStyle w:val="12"/>
            </w:pPr>
            <w:r>
              <w:t>适龄在园生</w:t>
            </w:r>
          </w:p>
        </w:tc>
        <w:tc>
          <w:tcPr>
            <w:tcW w:w="5386" w:type="dxa"/>
            <w:vAlign w:val="center"/>
          </w:tcPr>
          <w:p w14:paraId="60E1C75E">
            <w:pPr>
              <w:pStyle w:val="12"/>
            </w:pPr>
            <w:r>
              <w:t>适龄在园学生人数</w:t>
            </w:r>
          </w:p>
        </w:tc>
        <w:tc>
          <w:tcPr>
            <w:tcW w:w="2268" w:type="dxa"/>
            <w:vAlign w:val="center"/>
          </w:tcPr>
          <w:p w14:paraId="2A51BFCB">
            <w:pPr>
              <w:pStyle w:val="12"/>
            </w:pPr>
            <w:r>
              <w:t>364人</w:t>
            </w:r>
          </w:p>
        </w:tc>
        <w:tc>
          <w:tcPr>
            <w:tcW w:w="1276" w:type="dxa"/>
            <w:vAlign w:val="center"/>
          </w:tcPr>
          <w:p w14:paraId="79904BAC">
            <w:pPr>
              <w:pStyle w:val="12"/>
            </w:pPr>
            <w:r>
              <w:t>学前发展资金管理方法</w:t>
            </w:r>
          </w:p>
        </w:tc>
      </w:tr>
      <w:tr w14:paraId="2694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CAEBC"/>
        </w:tc>
        <w:tc>
          <w:tcPr>
            <w:tcW w:w="2268" w:type="dxa"/>
            <w:vAlign w:val="center"/>
          </w:tcPr>
          <w:p w14:paraId="1DF92CA4">
            <w:pPr>
              <w:pStyle w:val="12"/>
            </w:pPr>
            <w:r>
              <w:t>质量指标</w:t>
            </w:r>
          </w:p>
        </w:tc>
        <w:tc>
          <w:tcPr>
            <w:tcW w:w="2835" w:type="dxa"/>
            <w:vAlign w:val="center"/>
          </w:tcPr>
          <w:p w14:paraId="7AE4443B">
            <w:pPr>
              <w:pStyle w:val="12"/>
            </w:pPr>
            <w:r>
              <w:t>预算控制率</w:t>
            </w:r>
          </w:p>
        </w:tc>
        <w:tc>
          <w:tcPr>
            <w:tcW w:w="5386" w:type="dxa"/>
            <w:vAlign w:val="center"/>
          </w:tcPr>
          <w:p w14:paraId="242E9F57">
            <w:pPr>
              <w:pStyle w:val="12"/>
            </w:pPr>
            <w:r>
              <w:t>预算执行</w:t>
            </w:r>
          </w:p>
        </w:tc>
        <w:tc>
          <w:tcPr>
            <w:tcW w:w="2268" w:type="dxa"/>
            <w:vAlign w:val="center"/>
          </w:tcPr>
          <w:p w14:paraId="497387B1">
            <w:pPr>
              <w:pStyle w:val="12"/>
            </w:pPr>
            <w:r>
              <w:t>≥95%</w:t>
            </w:r>
          </w:p>
        </w:tc>
        <w:tc>
          <w:tcPr>
            <w:tcW w:w="1276" w:type="dxa"/>
            <w:vAlign w:val="center"/>
          </w:tcPr>
          <w:p w14:paraId="29E1CE8D">
            <w:pPr>
              <w:pStyle w:val="12"/>
            </w:pPr>
            <w:r>
              <w:t>学前发展资金管理方法</w:t>
            </w:r>
          </w:p>
        </w:tc>
      </w:tr>
      <w:tr w14:paraId="33CA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A3005"/>
        </w:tc>
        <w:tc>
          <w:tcPr>
            <w:tcW w:w="2268" w:type="dxa"/>
            <w:vAlign w:val="center"/>
          </w:tcPr>
          <w:p w14:paraId="2AD71F91">
            <w:pPr>
              <w:pStyle w:val="12"/>
            </w:pPr>
            <w:r>
              <w:t>时效指标</w:t>
            </w:r>
          </w:p>
        </w:tc>
        <w:tc>
          <w:tcPr>
            <w:tcW w:w="2835" w:type="dxa"/>
            <w:vAlign w:val="center"/>
          </w:tcPr>
          <w:p w14:paraId="6CEFEB38">
            <w:pPr>
              <w:pStyle w:val="12"/>
            </w:pPr>
            <w:r>
              <w:t>资金支付率</w:t>
            </w:r>
          </w:p>
        </w:tc>
        <w:tc>
          <w:tcPr>
            <w:tcW w:w="5386" w:type="dxa"/>
            <w:vAlign w:val="center"/>
          </w:tcPr>
          <w:p w14:paraId="0E3C2F58">
            <w:pPr>
              <w:pStyle w:val="12"/>
            </w:pPr>
            <w:r>
              <w:t>按照序时进度完成资金支付</w:t>
            </w:r>
          </w:p>
        </w:tc>
        <w:tc>
          <w:tcPr>
            <w:tcW w:w="2268" w:type="dxa"/>
            <w:vAlign w:val="center"/>
          </w:tcPr>
          <w:p w14:paraId="26D16022">
            <w:pPr>
              <w:pStyle w:val="12"/>
            </w:pPr>
            <w:r>
              <w:t>100%</w:t>
            </w:r>
          </w:p>
        </w:tc>
        <w:tc>
          <w:tcPr>
            <w:tcW w:w="1276" w:type="dxa"/>
            <w:vAlign w:val="center"/>
          </w:tcPr>
          <w:p w14:paraId="52DBA2CE">
            <w:pPr>
              <w:pStyle w:val="12"/>
            </w:pPr>
            <w:r>
              <w:t>学前发展资金管理方法</w:t>
            </w:r>
          </w:p>
        </w:tc>
      </w:tr>
      <w:tr w14:paraId="6BA4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F2D1E"/>
        </w:tc>
        <w:tc>
          <w:tcPr>
            <w:tcW w:w="2268" w:type="dxa"/>
            <w:vAlign w:val="center"/>
          </w:tcPr>
          <w:p w14:paraId="1AC47AC0">
            <w:pPr>
              <w:pStyle w:val="12"/>
            </w:pPr>
            <w:r>
              <w:t>成本指标</w:t>
            </w:r>
          </w:p>
        </w:tc>
        <w:tc>
          <w:tcPr>
            <w:tcW w:w="2835" w:type="dxa"/>
            <w:vAlign w:val="center"/>
          </w:tcPr>
          <w:p w14:paraId="718A7448">
            <w:pPr>
              <w:pStyle w:val="12"/>
            </w:pPr>
            <w:r>
              <w:t>生均拨款标准</w:t>
            </w:r>
          </w:p>
        </w:tc>
        <w:tc>
          <w:tcPr>
            <w:tcW w:w="5386" w:type="dxa"/>
            <w:vAlign w:val="center"/>
          </w:tcPr>
          <w:p w14:paraId="18AE280F">
            <w:pPr>
              <w:pStyle w:val="12"/>
            </w:pPr>
            <w:r>
              <w:t>根据邢发改服务价格【2020】191号调整幼儿园保教费通知要求：农村示范园170元/月/生，农村一类园150元/月/生，农村二类园130元/月/生，农村三类园100元/月/生</w:t>
            </w:r>
          </w:p>
        </w:tc>
        <w:tc>
          <w:tcPr>
            <w:tcW w:w="2268" w:type="dxa"/>
            <w:vAlign w:val="center"/>
          </w:tcPr>
          <w:p w14:paraId="080BAB1D">
            <w:pPr>
              <w:pStyle w:val="12"/>
            </w:pPr>
            <w:r>
              <w:t>54248元</w:t>
            </w:r>
          </w:p>
        </w:tc>
        <w:tc>
          <w:tcPr>
            <w:tcW w:w="1276" w:type="dxa"/>
            <w:vAlign w:val="center"/>
          </w:tcPr>
          <w:p w14:paraId="0DC029CC">
            <w:pPr>
              <w:pStyle w:val="12"/>
            </w:pPr>
            <w:r>
              <w:t>学前发展资金管理方法</w:t>
            </w:r>
          </w:p>
        </w:tc>
      </w:tr>
      <w:tr w14:paraId="5927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C912F">
            <w:pPr>
              <w:pStyle w:val="13"/>
            </w:pPr>
            <w:r>
              <w:t>效益指标</w:t>
            </w:r>
          </w:p>
        </w:tc>
        <w:tc>
          <w:tcPr>
            <w:tcW w:w="2268" w:type="dxa"/>
            <w:vAlign w:val="center"/>
          </w:tcPr>
          <w:p w14:paraId="4CD77FF7">
            <w:pPr>
              <w:pStyle w:val="12"/>
            </w:pPr>
            <w:r>
              <w:t>可持续影响指标</w:t>
            </w:r>
          </w:p>
        </w:tc>
        <w:tc>
          <w:tcPr>
            <w:tcW w:w="2835" w:type="dxa"/>
            <w:vAlign w:val="center"/>
          </w:tcPr>
          <w:p w14:paraId="5051EE11">
            <w:pPr>
              <w:pStyle w:val="12"/>
            </w:pPr>
            <w:r>
              <w:t>学校运转得到提升</w:t>
            </w:r>
          </w:p>
        </w:tc>
        <w:tc>
          <w:tcPr>
            <w:tcW w:w="5386" w:type="dxa"/>
            <w:vAlign w:val="center"/>
          </w:tcPr>
          <w:p w14:paraId="65D635CF">
            <w:pPr>
              <w:pStyle w:val="12"/>
            </w:pPr>
            <w:r>
              <w:t>幼儿受教育年限</w:t>
            </w:r>
          </w:p>
        </w:tc>
        <w:tc>
          <w:tcPr>
            <w:tcW w:w="2268" w:type="dxa"/>
            <w:vAlign w:val="center"/>
          </w:tcPr>
          <w:p w14:paraId="524BDEF2">
            <w:pPr>
              <w:pStyle w:val="12"/>
            </w:pPr>
            <w:r>
              <w:t>3年</w:t>
            </w:r>
          </w:p>
        </w:tc>
        <w:tc>
          <w:tcPr>
            <w:tcW w:w="1276" w:type="dxa"/>
            <w:vAlign w:val="center"/>
          </w:tcPr>
          <w:p w14:paraId="6E9D731F">
            <w:pPr>
              <w:pStyle w:val="12"/>
            </w:pPr>
            <w:r>
              <w:t>学前发展资金管理方法</w:t>
            </w:r>
          </w:p>
        </w:tc>
      </w:tr>
      <w:tr w14:paraId="2116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9A152">
            <w:pPr>
              <w:pStyle w:val="13"/>
            </w:pPr>
            <w:r>
              <w:t>满意度指标</w:t>
            </w:r>
          </w:p>
        </w:tc>
        <w:tc>
          <w:tcPr>
            <w:tcW w:w="2268" w:type="dxa"/>
            <w:vAlign w:val="center"/>
          </w:tcPr>
          <w:p w14:paraId="5D11A608">
            <w:pPr>
              <w:pStyle w:val="12"/>
            </w:pPr>
            <w:r>
              <w:t>服务对象满意度指标</w:t>
            </w:r>
          </w:p>
        </w:tc>
        <w:tc>
          <w:tcPr>
            <w:tcW w:w="2835" w:type="dxa"/>
            <w:vAlign w:val="center"/>
          </w:tcPr>
          <w:p w14:paraId="3FF15734">
            <w:pPr>
              <w:pStyle w:val="12"/>
            </w:pPr>
            <w:r>
              <w:t>受益学生家长及调查满意度</w:t>
            </w:r>
          </w:p>
        </w:tc>
        <w:tc>
          <w:tcPr>
            <w:tcW w:w="5386" w:type="dxa"/>
            <w:vAlign w:val="center"/>
          </w:tcPr>
          <w:p w14:paraId="5F2E3003">
            <w:pPr>
              <w:pStyle w:val="12"/>
            </w:pPr>
            <w:r>
              <w:t>学生、教师及家长对学校保教保育工作满意度情况</w:t>
            </w:r>
          </w:p>
        </w:tc>
        <w:tc>
          <w:tcPr>
            <w:tcW w:w="2268" w:type="dxa"/>
            <w:vAlign w:val="center"/>
          </w:tcPr>
          <w:p w14:paraId="624C0128">
            <w:pPr>
              <w:pStyle w:val="12"/>
            </w:pPr>
            <w:r>
              <w:t>≥95%</w:t>
            </w:r>
          </w:p>
        </w:tc>
        <w:tc>
          <w:tcPr>
            <w:tcW w:w="1276" w:type="dxa"/>
            <w:vAlign w:val="center"/>
          </w:tcPr>
          <w:p w14:paraId="61DC9F70">
            <w:pPr>
              <w:pStyle w:val="12"/>
            </w:pPr>
            <w:r>
              <w:t>群众测评</w:t>
            </w:r>
          </w:p>
        </w:tc>
      </w:tr>
    </w:tbl>
    <w:p w14:paraId="106BEC06">
      <w:pPr>
        <w:sectPr>
          <w:pgSz w:w="16840" w:h="11900" w:orient="landscape"/>
          <w:pgMar w:top="1361" w:right="1020" w:bottom="1134" w:left="1020" w:header="720" w:footer="720" w:gutter="0"/>
          <w:cols w:space="720" w:num="1"/>
        </w:sectPr>
      </w:pPr>
    </w:p>
    <w:p w14:paraId="61444E7F">
      <w:pPr>
        <w:spacing w:before="0" w:after="0"/>
        <w:ind w:firstLine="560"/>
        <w:jc w:val="left"/>
        <w:outlineLvl w:val="9"/>
      </w:pPr>
      <w:r>
        <w:rPr>
          <w:rFonts w:ascii="方正仿宋_GBK" w:hAnsi="方正仿宋_GBK" w:eastAsia="方正仿宋_GBK" w:cs="方正仿宋_GBK"/>
          <w:b/>
          <w:color w:val="000000"/>
          <w:sz w:val="28"/>
        </w:rPr>
        <w:t>27、县级配套/莲子镇校区白家寨小学公用经费绩效目标表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86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3E00F">
            <w:pPr>
              <w:pStyle w:val="11"/>
            </w:pPr>
            <w:r>
              <w:t>单位：万元</w:t>
            </w:r>
          </w:p>
        </w:tc>
      </w:tr>
      <w:tr w14:paraId="5D9EC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5AE02">
            <w:pPr>
              <w:pStyle w:val="10"/>
            </w:pPr>
            <w:r>
              <w:t>项目编码</w:t>
            </w:r>
          </w:p>
        </w:tc>
        <w:tc>
          <w:tcPr>
            <w:tcW w:w="5103" w:type="dxa"/>
            <w:gridSpan w:val="2"/>
            <w:vAlign w:val="center"/>
          </w:tcPr>
          <w:p w14:paraId="6C116CA9">
            <w:pPr>
              <w:pStyle w:val="12"/>
            </w:pPr>
            <w:r>
              <w:t>13052526P000004104816</w:t>
            </w:r>
          </w:p>
        </w:tc>
        <w:tc>
          <w:tcPr>
            <w:tcW w:w="2835" w:type="dxa"/>
            <w:vAlign w:val="center"/>
          </w:tcPr>
          <w:p w14:paraId="069050C2">
            <w:pPr>
              <w:pStyle w:val="10"/>
            </w:pPr>
            <w:r>
              <w:t>项目名称</w:t>
            </w:r>
          </w:p>
        </w:tc>
        <w:tc>
          <w:tcPr>
            <w:tcW w:w="6095" w:type="dxa"/>
            <w:gridSpan w:val="3"/>
            <w:vAlign w:val="center"/>
          </w:tcPr>
          <w:p w14:paraId="7162487C">
            <w:pPr>
              <w:pStyle w:val="12"/>
            </w:pPr>
            <w:r>
              <w:t>县级配套/莲子镇校区白家寨小学公用经费</w:t>
            </w:r>
          </w:p>
        </w:tc>
      </w:tr>
      <w:tr w14:paraId="4B0FD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AFE6A">
            <w:pPr>
              <w:pStyle w:val="10"/>
            </w:pPr>
            <w:r>
              <w:t>预算规模及资金用途</w:t>
            </w:r>
          </w:p>
        </w:tc>
        <w:tc>
          <w:tcPr>
            <w:tcW w:w="2268" w:type="dxa"/>
            <w:vAlign w:val="center"/>
          </w:tcPr>
          <w:p w14:paraId="4BD860C5">
            <w:pPr>
              <w:pStyle w:val="10"/>
            </w:pPr>
            <w:r>
              <w:t>预算数</w:t>
            </w:r>
          </w:p>
        </w:tc>
        <w:tc>
          <w:tcPr>
            <w:tcW w:w="2835" w:type="dxa"/>
            <w:vAlign w:val="center"/>
          </w:tcPr>
          <w:p w14:paraId="0B3C2DA7">
            <w:pPr>
              <w:pStyle w:val="12"/>
            </w:pPr>
            <w:r>
              <w:t>2.91</w:t>
            </w:r>
          </w:p>
        </w:tc>
        <w:tc>
          <w:tcPr>
            <w:tcW w:w="2835" w:type="dxa"/>
            <w:vAlign w:val="center"/>
          </w:tcPr>
          <w:p w14:paraId="3C744873">
            <w:pPr>
              <w:pStyle w:val="10"/>
            </w:pPr>
            <w:r>
              <w:t>其中：财政    资金</w:t>
            </w:r>
          </w:p>
        </w:tc>
        <w:tc>
          <w:tcPr>
            <w:tcW w:w="2551" w:type="dxa"/>
            <w:vAlign w:val="center"/>
          </w:tcPr>
          <w:p w14:paraId="191C5C95">
            <w:pPr>
              <w:pStyle w:val="12"/>
            </w:pPr>
            <w:r>
              <w:t>2.91</w:t>
            </w:r>
          </w:p>
        </w:tc>
        <w:tc>
          <w:tcPr>
            <w:tcW w:w="2268" w:type="dxa"/>
            <w:vAlign w:val="center"/>
          </w:tcPr>
          <w:p w14:paraId="441923CA">
            <w:pPr>
              <w:pStyle w:val="10"/>
            </w:pPr>
            <w:r>
              <w:t>其他资金</w:t>
            </w:r>
          </w:p>
        </w:tc>
        <w:tc>
          <w:tcPr>
            <w:tcW w:w="1276" w:type="dxa"/>
            <w:vAlign w:val="center"/>
          </w:tcPr>
          <w:p w14:paraId="0E190722">
            <w:pPr>
              <w:pStyle w:val="12"/>
            </w:pPr>
            <w:r>
              <w:t xml:space="preserve"> </w:t>
            </w:r>
          </w:p>
        </w:tc>
      </w:tr>
      <w:tr w14:paraId="434A4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ABA1B"/>
        </w:tc>
        <w:tc>
          <w:tcPr>
            <w:tcW w:w="14033" w:type="dxa"/>
            <w:gridSpan w:val="6"/>
            <w:vAlign w:val="center"/>
          </w:tcPr>
          <w:p w14:paraId="36345301">
            <w:pPr>
              <w:pStyle w:val="12"/>
            </w:pPr>
            <w:r>
              <w:t>保障学校正常运转，完成各项教育教学活动和其他日常工作任务等方面的费用支出。</w:t>
            </w:r>
          </w:p>
        </w:tc>
      </w:tr>
      <w:tr w14:paraId="02B65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949F7">
            <w:pPr>
              <w:pStyle w:val="10"/>
            </w:pPr>
            <w:r>
              <w:t>资金支出计划（%）</w:t>
            </w:r>
          </w:p>
        </w:tc>
        <w:tc>
          <w:tcPr>
            <w:tcW w:w="5103" w:type="dxa"/>
            <w:gridSpan w:val="2"/>
            <w:vAlign w:val="center"/>
          </w:tcPr>
          <w:p w14:paraId="5C294BE5">
            <w:pPr>
              <w:pStyle w:val="10"/>
            </w:pPr>
            <w:r>
              <w:t>3月底</w:t>
            </w:r>
          </w:p>
        </w:tc>
        <w:tc>
          <w:tcPr>
            <w:tcW w:w="2835" w:type="dxa"/>
            <w:vAlign w:val="center"/>
          </w:tcPr>
          <w:p w14:paraId="45B78CF0">
            <w:pPr>
              <w:pStyle w:val="10"/>
            </w:pPr>
            <w:r>
              <w:t>6月底</w:t>
            </w:r>
          </w:p>
        </w:tc>
        <w:tc>
          <w:tcPr>
            <w:tcW w:w="2551" w:type="dxa"/>
            <w:vAlign w:val="center"/>
          </w:tcPr>
          <w:p w14:paraId="212780D2">
            <w:pPr>
              <w:pStyle w:val="10"/>
            </w:pPr>
            <w:r>
              <w:t>10月底</w:t>
            </w:r>
          </w:p>
        </w:tc>
        <w:tc>
          <w:tcPr>
            <w:tcW w:w="3544" w:type="dxa"/>
            <w:gridSpan w:val="2"/>
            <w:vAlign w:val="center"/>
          </w:tcPr>
          <w:p w14:paraId="52347805">
            <w:pPr>
              <w:pStyle w:val="10"/>
            </w:pPr>
            <w:r>
              <w:t>12月底</w:t>
            </w:r>
          </w:p>
        </w:tc>
      </w:tr>
      <w:tr w14:paraId="13B4E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F7FC0"/>
        </w:tc>
        <w:tc>
          <w:tcPr>
            <w:tcW w:w="5103" w:type="dxa"/>
            <w:gridSpan w:val="2"/>
            <w:vAlign w:val="center"/>
          </w:tcPr>
          <w:p w14:paraId="22E03340">
            <w:pPr>
              <w:pStyle w:val="13"/>
            </w:pPr>
            <w:r>
              <w:t>25%</w:t>
            </w:r>
          </w:p>
        </w:tc>
        <w:tc>
          <w:tcPr>
            <w:tcW w:w="2835" w:type="dxa"/>
            <w:vAlign w:val="center"/>
          </w:tcPr>
          <w:p w14:paraId="08A7D859">
            <w:pPr>
              <w:pStyle w:val="13"/>
            </w:pPr>
            <w:r>
              <w:t>50%</w:t>
            </w:r>
          </w:p>
        </w:tc>
        <w:tc>
          <w:tcPr>
            <w:tcW w:w="2551" w:type="dxa"/>
            <w:vAlign w:val="center"/>
          </w:tcPr>
          <w:p w14:paraId="16B0C1DC">
            <w:pPr>
              <w:pStyle w:val="13"/>
            </w:pPr>
            <w:r>
              <w:t>75%</w:t>
            </w:r>
          </w:p>
        </w:tc>
        <w:tc>
          <w:tcPr>
            <w:tcW w:w="3544" w:type="dxa"/>
            <w:gridSpan w:val="2"/>
            <w:vAlign w:val="center"/>
          </w:tcPr>
          <w:p w14:paraId="2F4F923C">
            <w:pPr>
              <w:pStyle w:val="13"/>
            </w:pPr>
            <w:r>
              <w:t>100%</w:t>
            </w:r>
          </w:p>
        </w:tc>
      </w:tr>
      <w:tr w14:paraId="11975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A79D8">
            <w:pPr>
              <w:pStyle w:val="10"/>
            </w:pPr>
            <w:r>
              <w:t>绩效目标</w:t>
            </w:r>
          </w:p>
        </w:tc>
        <w:tc>
          <w:tcPr>
            <w:tcW w:w="14033" w:type="dxa"/>
            <w:gridSpan w:val="6"/>
            <w:vAlign w:val="center"/>
          </w:tcPr>
          <w:p w14:paraId="0FFB7A55">
            <w:pPr>
              <w:pStyle w:val="12"/>
            </w:pPr>
            <w:r>
              <w:t>1.按季度分批次拨付公用经费资金，资金拨付率达到100%。</w:t>
            </w:r>
          </w:p>
          <w:p w14:paraId="16EF2A08">
            <w:pPr>
              <w:pStyle w:val="12"/>
            </w:pPr>
            <w:r>
              <w:t>2.保障学校正常运转，完成各项教育教学活动和其他日常工作任务等方面的费用支出。</w:t>
            </w:r>
          </w:p>
        </w:tc>
      </w:tr>
    </w:tbl>
    <w:p w14:paraId="64B9E2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E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63F58">
            <w:pPr>
              <w:pStyle w:val="10"/>
            </w:pPr>
            <w:r>
              <w:t>一级指标</w:t>
            </w:r>
          </w:p>
        </w:tc>
        <w:tc>
          <w:tcPr>
            <w:tcW w:w="2268" w:type="dxa"/>
            <w:vAlign w:val="center"/>
          </w:tcPr>
          <w:p w14:paraId="2FFC237A">
            <w:pPr>
              <w:pStyle w:val="10"/>
            </w:pPr>
            <w:r>
              <w:t>二级指标</w:t>
            </w:r>
          </w:p>
        </w:tc>
        <w:tc>
          <w:tcPr>
            <w:tcW w:w="2835" w:type="dxa"/>
            <w:vAlign w:val="center"/>
          </w:tcPr>
          <w:p w14:paraId="02AC9017">
            <w:pPr>
              <w:pStyle w:val="10"/>
            </w:pPr>
            <w:r>
              <w:t>三级指标</w:t>
            </w:r>
          </w:p>
        </w:tc>
        <w:tc>
          <w:tcPr>
            <w:tcW w:w="5386" w:type="dxa"/>
            <w:vAlign w:val="center"/>
          </w:tcPr>
          <w:p w14:paraId="284D9518">
            <w:pPr>
              <w:pStyle w:val="10"/>
            </w:pPr>
            <w:r>
              <w:t>绩效指标描述</w:t>
            </w:r>
          </w:p>
        </w:tc>
        <w:tc>
          <w:tcPr>
            <w:tcW w:w="2268" w:type="dxa"/>
            <w:vAlign w:val="center"/>
          </w:tcPr>
          <w:p w14:paraId="26F3920D">
            <w:pPr>
              <w:pStyle w:val="10"/>
            </w:pPr>
            <w:r>
              <w:t>指标值</w:t>
            </w:r>
          </w:p>
        </w:tc>
        <w:tc>
          <w:tcPr>
            <w:tcW w:w="1276" w:type="dxa"/>
            <w:vAlign w:val="center"/>
          </w:tcPr>
          <w:p w14:paraId="5D1F84E8">
            <w:pPr>
              <w:pStyle w:val="10"/>
            </w:pPr>
            <w:r>
              <w:t>指标值确定依据</w:t>
            </w:r>
          </w:p>
        </w:tc>
      </w:tr>
      <w:tr w14:paraId="16E7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39654">
            <w:pPr>
              <w:pStyle w:val="13"/>
            </w:pPr>
            <w:r>
              <w:t>产出指标</w:t>
            </w:r>
          </w:p>
        </w:tc>
        <w:tc>
          <w:tcPr>
            <w:tcW w:w="2268" w:type="dxa"/>
            <w:vAlign w:val="center"/>
          </w:tcPr>
          <w:p w14:paraId="7FFCA1E8">
            <w:pPr>
              <w:pStyle w:val="12"/>
            </w:pPr>
            <w:r>
              <w:t>数量指标</w:t>
            </w:r>
          </w:p>
        </w:tc>
        <w:tc>
          <w:tcPr>
            <w:tcW w:w="2835" w:type="dxa"/>
            <w:vAlign w:val="center"/>
          </w:tcPr>
          <w:p w14:paraId="788B7A5C">
            <w:pPr>
              <w:pStyle w:val="12"/>
            </w:pPr>
            <w:r>
              <w:t>就读学生数</w:t>
            </w:r>
          </w:p>
        </w:tc>
        <w:tc>
          <w:tcPr>
            <w:tcW w:w="5386" w:type="dxa"/>
            <w:vAlign w:val="center"/>
          </w:tcPr>
          <w:p w14:paraId="4C3F1489">
            <w:pPr>
              <w:pStyle w:val="12"/>
            </w:pPr>
            <w:r>
              <w:t>辐射区域内适龄学生人数</w:t>
            </w:r>
          </w:p>
        </w:tc>
        <w:tc>
          <w:tcPr>
            <w:tcW w:w="2268" w:type="dxa"/>
            <w:vAlign w:val="center"/>
          </w:tcPr>
          <w:p w14:paraId="0E57A5C1">
            <w:pPr>
              <w:pStyle w:val="12"/>
            </w:pPr>
            <w:r>
              <w:t>317人</w:t>
            </w:r>
          </w:p>
        </w:tc>
        <w:tc>
          <w:tcPr>
            <w:tcW w:w="1276" w:type="dxa"/>
            <w:vAlign w:val="center"/>
          </w:tcPr>
          <w:p w14:paraId="3751F874">
            <w:pPr>
              <w:pStyle w:val="12"/>
            </w:pPr>
            <w:r>
              <w:t>城乡义务教育公用经费管理办法</w:t>
            </w:r>
          </w:p>
        </w:tc>
      </w:tr>
      <w:tr w14:paraId="0F4B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D6905"/>
        </w:tc>
        <w:tc>
          <w:tcPr>
            <w:tcW w:w="2268" w:type="dxa"/>
            <w:vAlign w:val="center"/>
          </w:tcPr>
          <w:p w14:paraId="5D6F30C1">
            <w:pPr>
              <w:pStyle w:val="12"/>
            </w:pPr>
            <w:r>
              <w:t>质量指标</w:t>
            </w:r>
          </w:p>
        </w:tc>
        <w:tc>
          <w:tcPr>
            <w:tcW w:w="2835" w:type="dxa"/>
            <w:vAlign w:val="center"/>
          </w:tcPr>
          <w:p w14:paraId="2A7B3147">
            <w:pPr>
              <w:pStyle w:val="12"/>
            </w:pPr>
            <w:r>
              <w:t>预算执行率</w:t>
            </w:r>
          </w:p>
        </w:tc>
        <w:tc>
          <w:tcPr>
            <w:tcW w:w="5386" w:type="dxa"/>
            <w:vAlign w:val="center"/>
          </w:tcPr>
          <w:p w14:paraId="7471E745">
            <w:pPr>
              <w:pStyle w:val="12"/>
            </w:pPr>
            <w:r>
              <w:t>预算执行率</w:t>
            </w:r>
          </w:p>
        </w:tc>
        <w:tc>
          <w:tcPr>
            <w:tcW w:w="2268" w:type="dxa"/>
            <w:vAlign w:val="center"/>
          </w:tcPr>
          <w:p w14:paraId="584CC5EA">
            <w:pPr>
              <w:pStyle w:val="12"/>
            </w:pPr>
            <w:r>
              <w:t>≥95%</w:t>
            </w:r>
          </w:p>
        </w:tc>
        <w:tc>
          <w:tcPr>
            <w:tcW w:w="1276" w:type="dxa"/>
            <w:vAlign w:val="center"/>
          </w:tcPr>
          <w:p w14:paraId="340F7F6B">
            <w:pPr>
              <w:pStyle w:val="12"/>
            </w:pPr>
            <w:r>
              <w:t>城乡义务教育公用经费管理办法</w:t>
            </w:r>
          </w:p>
        </w:tc>
      </w:tr>
      <w:tr w14:paraId="5EDC2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360D7"/>
        </w:tc>
        <w:tc>
          <w:tcPr>
            <w:tcW w:w="2268" w:type="dxa"/>
            <w:vAlign w:val="center"/>
          </w:tcPr>
          <w:p w14:paraId="0224C345">
            <w:pPr>
              <w:pStyle w:val="12"/>
            </w:pPr>
            <w:r>
              <w:t>时效指标</w:t>
            </w:r>
          </w:p>
        </w:tc>
        <w:tc>
          <w:tcPr>
            <w:tcW w:w="2835" w:type="dxa"/>
            <w:vAlign w:val="center"/>
          </w:tcPr>
          <w:p w14:paraId="7246744A">
            <w:pPr>
              <w:pStyle w:val="12"/>
            </w:pPr>
            <w:r>
              <w:t>义教经费支付完成率</w:t>
            </w:r>
          </w:p>
        </w:tc>
        <w:tc>
          <w:tcPr>
            <w:tcW w:w="5386" w:type="dxa"/>
            <w:vAlign w:val="center"/>
          </w:tcPr>
          <w:p w14:paraId="24415D24">
            <w:pPr>
              <w:pStyle w:val="12"/>
            </w:pPr>
            <w:r>
              <w:t>按照序时进度完成资金支付</w:t>
            </w:r>
          </w:p>
        </w:tc>
        <w:tc>
          <w:tcPr>
            <w:tcW w:w="2268" w:type="dxa"/>
            <w:vAlign w:val="center"/>
          </w:tcPr>
          <w:p w14:paraId="675D310C">
            <w:pPr>
              <w:pStyle w:val="12"/>
            </w:pPr>
            <w:r>
              <w:t>100%</w:t>
            </w:r>
          </w:p>
        </w:tc>
        <w:tc>
          <w:tcPr>
            <w:tcW w:w="1276" w:type="dxa"/>
            <w:vAlign w:val="center"/>
          </w:tcPr>
          <w:p w14:paraId="72E9AE77">
            <w:pPr>
              <w:pStyle w:val="12"/>
            </w:pPr>
            <w:r>
              <w:t>城乡义务教育公用经费管理办法</w:t>
            </w:r>
          </w:p>
        </w:tc>
      </w:tr>
      <w:tr w14:paraId="638D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2216A"/>
        </w:tc>
        <w:tc>
          <w:tcPr>
            <w:tcW w:w="2268" w:type="dxa"/>
            <w:vAlign w:val="center"/>
          </w:tcPr>
          <w:p w14:paraId="21C2D70A">
            <w:pPr>
              <w:pStyle w:val="12"/>
            </w:pPr>
            <w:r>
              <w:t>成本指标</w:t>
            </w:r>
          </w:p>
        </w:tc>
        <w:tc>
          <w:tcPr>
            <w:tcW w:w="2835" w:type="dxa"/>
            <w:vAlign w:val="center"/>
          </w:tcPr>
          <w:p w14:paraId="4DA71E23">
            <w:pPr>
              <w:pStyle w:val="12"/>
            </w:pPr>
            <w:r>
              <w:t>生均拨款标准</w:t>
            </w:r>
          </w:p>
        </w:tc>
        <w:tc>
          <w:tcPr>
            <w:tcW w:w="5386" w:type="dxa"/>
            <w:vAlign w:val="center"/>
          </w:tcPr>
          <w:p w14:paraId="44B96EAD">
            <w:pPr>
              <w:pStyle w:val="12"/>
            </w:pPr>
            <w:r>
              <w:t>小学生公用经费生均公用经费基准定额为720元/年/生，取暖费120元/年/生，住宿生补助300元/年/生的标准，随班就读学生补助7000元/生/年</w:t>
            </w:r>
          </w:p>
        </w:tc>
        <w:tc>
          <w:tcPr>
            <w:tcW w:w="2268" w:type="dxa"/>
            <w:vAlign w:val="center"/>
          </w:tcPr>
          <w:p w14:paraId="5651249F">
            <w:pPr>
              <w:pStyle w:val="12"/>
            </w:pPr>
            <w:r>
              <w:t>840元</w:t>
            </w:r>
          </w:p>
        </w:tc>
        <w:tc>
          <w:tcPr>
            <w:tcW w:w="1276" w:type="dxa"/>
            <w:vAlign w:val="center"/>
          </w:tcPr>
          <w:p w14:paraId="28BB52C3">
            <w:pPr>
              <w:pStyle w:val="12"/>
            </w:pPr>
            <w:r>
              <w:t>城乡义务教育公用经费管理办法</w:t>
            </w:r>
          </w:p>
        </w:tc>
      </w:tr>
      <w:tr w14:paraId="1BD4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BC704">
            <w:pPr>
              <w:pStyle w:val="13"/>
            </w:pPr>
            <w:r>
              <w:t>效益指标</w:t>
            </w:r>
          </w:p>
        </w:tc>
        <w:tc>
          <w:tcPr>
            <w:tcW w:w="2268" w:type="dxa"/>
            <w:vAlign w:val="center"/>
          </w:tcPr>
          <w:p w14:paraId="15A9B188">
            <w:pPr>
              <w:pStyle w:val="12"/>
            </w:pPr>
            <w:r>
              <w:t>可持续影响指标</w:t>
            </w:r>
          </w:p>
        </w:tc>
        <w:tc>
          <w:tcPr>
            <w:tcW w:w="2835" w:type="dxa"/>
            <w:vAlign w:val="center"/>
          </w:tcPr>
          <w:p w14:paraId="7D3B279F">
            <w:pPr>
              <w:pStyle w:val="12"/>
            </w:pPr>
            <w:r>
              <w:t>学校运转得到提高</w:t>
            </w:r>
          </w:p>
        </w:tc>
        <w:tc>
          <w:tcPr>
            <w:tcW w:w="5386" w:type="dxa"/>
            <w:vAlign w:val="center"/>
          </w:tcPr>
          <w:p w14:paraId="3C509D71">
            <w:pPr>
              <w:pStyle w:val="12"/>
            </w:pPr>
            <w:r>
              <w:t>学生受教育年限</w:t>
            </w:r>
          </w:p>
        </w:tc>
        <w:tc>
          <w:tcPr>
            <w:tcW w:w="2268" w:type="dxa"/>
            <w:vAlign w:val="center"/>
          </w:tcPr>
          <w:p w14:paraId="3B37E38E">
            <w:pPr>
              <w:pStyle w:val="12"/>
            </w:pPr>
            <w:r>
              <w:t>6年</w:t>
            </w:r>
          </w:p>
        </w:tc>
        <w:tc>
          <w:tcPr>
            <w:tcW w:w="1276" w:type="dxa"/>
            <w:vAlign w:val="center"/>
          </w:tcPr>
          <w:p w14:paraId="32CFD76F">
            <w:pPr>
              <w:pStyle w:val="12"/>
            </w:pPr>
            <w:r>
              <w:t>城乡义务教育公用经费管理办法</w:t>
            </w:r>
          </w:p>
        </w:tc>
      </w:tr>
      <w:tr w14:paraId="6A1A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0125C">
            <w:pPr>
              <w:pStyle w:val="13"/>
            </w:pPr>
            <w:r>
              <w:t>满意度指标</w:t>
            </w:r>
          </w:p>
        </w:tc>
        <w:tc>
          <w:tcPr>
            <w:tcW w:w="2268" w:type="dxa"/>
            <w:vAlign w:val="center"/>
          </w:tcPr>
          <w:p w14:paraId="3C2CF5CB">
            <w:pPr>
              <w:pStyle w:val="12"/>
            </w:pPr>
            <w:r>
              <w:t>服务对象满意度指标</w:t>
            </w:r>
          </w:p>
        </w:tc>
        <w:tc>
          <w:tcPr>
            <w:tcW w:w="2835" w:type="dxa"/>
            <w:vAlign w:val="center"/>
          </w:tcPr>
          <w:p w14:paraId="4FCC57F8">
            <w:pPr>
              <w:pStyle w:val="12"/>
            </w:pPr>
            <w:r>
              <w:t>服务对象满意度</w:t>
            </w:r>
          </w:p>
        </w:tc>
        <w:tc>
          <w:tcPr>
            <w:tcW w:w="5386" w:type="dxa"/>
            <w:vAlign w:val="center"/>
          </w:tcPr>
          <w:p w14:paraId="699C3281">
            <w:pPr>
              <w:pStyle w:val="12"/>
            </w:pPr>
            <w:r>
              <w:t>学校老师和学生满意度</w:t>
            </w:r>
          </w:p>
        </w:tc>
        <w:tc>
          <w:tcPr>
            <w:tcW w:w="2268" w:type="dxa"/>
            <w:vAlign w:val="center"/>
          </w:tcPr>
          <w:p w14:paraId="74A728CD">
            <w:pPr>
              <w:pStyle w:val="12"/>
            </w:pPr>
            <w:r>
              <w:t>≥95%</w:t>
            </w:r>
          </w:p>
        </w:tc>
        <w:tc>
          <w:tcPr>
            <w:tcW w:w="1276" w:type="dxa"/>
            <w:vAlign w:val="center"/>
          </w:tcPr>
          <w:p w14:paraId="365642B6">
            <w:pPr>
              <w:pStyle w:val="12"/>
            </w:pPr>
            <w:r>
              <w:t>群众测评</w:t>
            </w:r>
          </w:p>
        </w:tc>
      </w:tr>
    </w:tbl>
    <w:p w14:paraId="77EE5CC2">
      <w:pPr>
        <w:sectPr>
          <w:pgSz w:w="16840" w:h="11900" w:orient="landscape"/>
          <w:pgMar w:top="1361" w:right="1020" w:bottom="1134" w:left="1020" w:header="720" w:footer="720" w:gutter="0"/>
          <w:cols w:space="720" w:num="1"/>
        </w:sectPr>
      </w:pPr>
    </w:p>
    <w:p w14:paraId="74453063">
      <w:pPr>
        <w:spacing w:before="0" w:after="0"/>
        <w:ind w:firstLine="560"/>
        <w:jc w:val="left"/>
        <w:outlineLvl w:val="9"/>
      </w:pPr>
      <w:r>
        <w:rPr>
          <w:rFonts w:ascii="方正仿宋_GBK" w:hAnsi="方正仿宋_GBK" w:eastAsia="方正仿宋_GBK" w:cs="方正仿宋_GBK"/>
          <w:b/>
          <w:color w:val="000000"/>
          <w:sz w:val="28"/>
        </w:rPr>
        <w:t>28、县级配套/莲子镇校区莲子镇小学公用经费绩效目标表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3A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F86DB">
            <w:pPr>
              <w:pStyle w:val="11"/>
            </w:pPr>
            <w:r>
              <w:t>单位：万元</w:t>
            </w:r>
          </w:p>
        </w:tc>
      </w:tr>
      <w:tr w14:paraId="19E27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8BF1B">
            <w:pPr>
              <w:pStyle w:val="10"/>
            </w:pPr>
            <w:r>
              <w:t>项目编码</w:t>
            </w:r>
          </w:p>
        </w:tc>
        <w:tc>
          <w:tcPr>
            <w:tcW w:w="5103" w:type="dxa"/>
            <w:gridSpan w:val="2"/>
            <w:vAlign w:val="center"/>
          </w:tcPr>
          <w:p w14:paraId="4C56C594">
            <w:pPr>
              <w:pStyle w:val="12"/>
            </w:pPr>
            <w:r>
              <w:t>13052526P00000410480J</w:t>
            </w:r>
          </w:p>
        </w:tc>
        <w:tc>
          <w:tcPr>
            <w:tcW w:w="2835" w:type="dxa"/>
            <w:vAlign w:val="center"/>
          </w:tcPr>
          <w:p w14:paraId="2E42614A">
            <w:pPr>
              <w:pStyle w:val="10"/>
            </w:pPr>
            <w:r>
              <w:t>项目名称</w:t>
            </w:r>
          </w:p>
        </w:tc>
        <w:tc>
          <w:tcPr>
            <w:tcW w:w="6095" w:type="dxa"/>
            <w:gridSpan w:val="3"/>
            <w:vAlign w:val="center"/>
          </w:tcPr>
          <w:p w14:paraId="2D271681">
            <w:pPr>
              <w:pStyle w:val="12"/>
            </w:pPr>
            <w:r>
              <w:t>县级配套/莲子镇校区莲子镇小学公用经费</w:t>
            </w:r>
          </w:p>
        </w:tc>
      </w:tr>
      <w:tr w14:paraId="6B6EC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DFDB0">
            <w:pPr>
              <w:pStyle w:val="10"/>
            </w:pPr>
            <w:r>
              <w:t>预算规模及资金用途</w:t>
            </w:r>
          </w:p>
        </w:tc>
        <w:tc>
          <w:tcPr>
            <w:tcW w:w="2268" w:type="dxa"/>
            <w:vAlign w:val="center"/>
          </w:tcPr>
          <w:p w14:paraId="577C263A">
            <w:pPr>
              <w:pStyle w:val="10"/>
            </w:pPr>
            <w:r>
              <w:t>预算数</w:t>
            </w:r>
          </w:p>
        </w:tc>
        <w:tc>
          <w:tcPr>
            <w:tcW w:w="2835" w:type="dxa"/>
            <w:vAlign w:val="center"/>
          </w:tcPr>
          <w:p w14:paraId="35009C99">
            <w:pPr>
              <w:pStyle w:val="12"/>
            </w:pPr>
            <w:r>
              <w:t>5.85</w:t>
            </w:r>
          </w:p>
        </w:tc>
        <w:tc>
          <w:tcPr>
            <w:tcW w:w="2835" w:type="dxa"/>
            <w:vAlign w:val="center"/>
          </w:tcPr>
          <w:p w14:paraId="451A7B95">
            <w:pPr>
              <w:pStyle w:val="10"/>
            </w:pPr>
            <w:r>
              <w:t>其中：财政    资金</w:t>
            </w:r>
          </w:p>
        </w:tc>
        <w:tc>
          <w:tcPr>
            <w:tcW w:w="2551" w:type="dxa"/>
            <w:vAlign w:val="center"/>
          </w:tcPr>
          <w:p w14:paraId="68FE2ABF">
            <w:pPr>
              <w:pStyle w:val="12"/>
            </w:pPr>
            <w:r>
              <w:t>5.85</w:t>
            </w:r>
          </w:p>
        </w:tc>
        <w:tc>
          <w:tcPr>
            <w:tcW w:w="2268" w:type="dxa"/>
            <w:vAlign w:val="center"/>
          </w:tcPr>
          <w:p w14:paraId="47EDB47C">
            <w:pPr>
              <w:pStyle w:val="10"/>
            </w:pPr>
            <w:r>
              <w:t>其他资金</w:t>
            </w:r>
          </w:p>
        </w:tc>
        <w:tc>
          <w:tcPr>
            <w:tcW w:w="1276" w:type="dxa"/>
            <w:vAlign w:val="center"/>
          </w:tcPr>
          <w:p w14:paraId="0C45E773">
            <w:pPr>
              <w:pStyle w:val="12"/>
            </w:pPr>
            <w:r>
              <w:t xml:space="preserve"> </w:t>
            </w:r>
          </w:p>
        </w:tc>
      </w:tr>
      <w:tr w14:paraId="7E9C1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26924"/>
        </w:tc>
        <w:tc>
          <w:tcPr>
            <w:tcW w:w="14033" w:type="dxa"/>
            <w:gridSpan w:val="6"/>
            <w:vAlign w:val="center"/>
          </w:tcPr>
          <w:p w14:paraId="4C61FDF3">
            <w:pPr>
              <w:pStyle w:val="12"/>
            </w:pPr>
            <w:r>
              <w:t>保障学校正常运转，完成各项教育教学活动和其他日常工作任务等方面的费用支出。</w:t>
            </w:r>
          </w:p>
        </w:tc>
      </w:tr>
      <w:tr w14:paraId="4C33D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52023">
            <w:pPr>
              <w:pStyle w:val="10"/>
            </w:pPr>
            <w:r>
              <w:t>资金支出计划（%）</w:t>
            </w:r>
          </w:p>
        </w:tc>
        <w:tc>
          <w:tcPr>
            <w:tcW w:w="5103" w:type="dxa"/>
            <w:gridSpan w:val="2"/>
            <w:vAlign w:val="center"/>
          </w:tcPr>
          <w:p w14:paraId="296CBED1">
            <w:pPr>
              <w:pStyle w:val="10"/>
            </w:pPr>
            <w:r>
              <w:t>3月底</w:t>
            </w:r>
          </w:p>
        </w:tc>
        <w:tc>
          <w:tcPr>
            <w:tcW w:w="2835" w:type="dxa"/>
            <w:vAlign w:val="center"/>
          </w:tcPr>
          <w:p w14:paraId="5C48073C">
            <w:pPr>
              <w:pStyle w:val="10"/>
            </w:pPr>
            <w:r>
              <w:t>6月底</w:t>
            </w:r>
          </w:p>
        </w:tc>
        <w:tc>
          <w:tcPr>
            <w:tcW w:w="2551" w:type="dxa"/>
            <w:vAlign w:val="center"/>
          </w:tcPr>
          <w:p w14:paraId="599A3119">
            <w:pPr>
              <w:pStyle w:val="10"/>
            </w:pPr>
            <w:r>
              <w:t>10月底</w:t>
            </w:r>
          </w:p>
        </w:tc>
        <w:tc>
          <w:tcPr>
            <w:tcW w:w="3544" w:type="dxa"/>
            <w:gridSpan w:val="2"/>
            <w:vAlign w:val="center"/>
          </w:tcPr>
          <w:p w14:paraId="44F7A26C">
            <w:pPr>
              <w:pStyle w:val="10"/>
            </w:pPr>
            <w:r>
              <w:t>12月底</w:t>
            </w:r>
          </w:p>
        </w:tc>
      </w:tr>
      <w:tr w14:paraId="118E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EA677"/>
        </w:tc>
        <w:tc>
          <w:tcPr>
            <w:tcW w:w="5103" w:type="dxa"/>
            <w:gridSpan w:val="2"/>
            <w:vAlign w:val="center"/>
          </w:tcPr>
          <w:p w14:paraId="13B798C9">
            <w:pPr>
              <w:pStyle w:val="13"/>
            </w:pPr>
            <w:r>
              <w:t>25%</w:t>
            </w:r>
          </w:p>
        </w:tc>
        <w:tc>
          <w:tcPr>
            <w:tcW w:w="2835" w:type="dxa"/>
            <w:vAlign w:val="center"/>
          </w:tcPr>
          <w:p w14:paraId="7D988EB2">
            <w:pPr>
              <w:pStyle w:val="13"/>
            </w:pPr>
            <w:r>
              <w:t>50%</w:t>
            </w:r>
          </w:p>
        </w:tc>
        <w:tc>
          <w:tcPr>
            <w:tcW w:w="2551" w:type="dxa"/>
            <w:vAlign w:val="center"/>
          </w:tcPr>
          <w:p w14:paraId="66351584">
            <w:pPr>
              <w:pStyle w:val="13"/>
            </w:pPr>
            <w:r>
              <w:t>75%</w:t>
            </w:r>
          </w:p>
        </w:tc>
        <w:tc>
          <w:tcPr>
            <w:tcW w:w="3544" w:type="dxa"/>
            <w:gridSpan w:val="2"/>
            <w:vAlign w:val="center"/>
          </w:tcPr>
          <w:p w14:paraId="5D55D42E">
            <w:pPr>
              <w:pStyle w:val="13"/>
            </w:pPr>
            <w:r>
              <w:t>100%</w:t>
            </w:r>
          </w:p>
        </w:tc>
      </w:tr>
      <w:tr w14:paraId="5E486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C0830">
            <w:pPr>
              <w:pStyle w:val="10"/>
            </w:pPr>
            <w:r>
              <w:t>绩效目标</w:t>
            </w:r>
          </w:p>
        </w:tc>
        <w:tc>
          <w:tcPr>
            <w:tcW w:w="14033" w:type="dxa"/>
            <w:gridSpan w:val="6"/>
            <w:vAlign w:val="center"/>
          </w:tcPr>
          <w:p w14:paraId="5F0DEBF2">
            <w:pPr>
              <w:pStyle w:val="12"/>
            </w:pPr>
            <w:r>
              <w:t>1.按季度分批次拨付公用经费资金，资金拨付率达到100%。</w:t>
            </w:r>
          </w:p>
          <w:p w14:paraId="0DBCA4C6">
            <w:pPr>
              <w:pStyle w:val="12"/>
            </w:pPr>
            <w:r>
              <w:t>2.保障学校正常运转，完成各项教育教学活动和其他日常工作任务等方面的费用支出。</w:t>
            </w:r>
          </w:p>
        </w:tc>
      </w:tr>
    </w:tbl>
    <w:p w14:paraId="2D11EE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8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5090B">
            <w:pPr>
              <w:pStyle w:val="10"/>
            </w:pPr>
            <w:r>
              <w:t>一级指标</w:t>
            </w:r>
          </w:p>
        </w:tc>
        <w:tc>
          <w:tcPr>
            <w:tcW w:w="2268" w:type="dxa"/>
            <w:vAlign w:val="center"/>
          </w:tcPr>
          <w:p w14:paraId="2D13C117">
            <w:pPr>
              <w:pStyle w:val="10"/>
            </w:pPr>
            <w:r>
              <w:t>二级指标</w:t>
            </w:r>
          </w:p>
        </w:tc>
        <w:tc>
          <w:tcPr>
            <w:tcW w:w="2835" w:type="dxa"/>
            <w:vAlign w:val="center"/>
          </w:tcPr>
          <w:p w14:paraId="077B9C43">
            <w:pPr>
              <w:pStyle w:val="10"/>
            </w:pPr>
            <w:r>
              <w:t>三级指标</w:t>
            </w:r>
          </w:p>
        </w:tc>
        <w:tc>
          <w:tcPr>
            <w:tcW w:w="5386" w:type="dxa"/>
            <w:vAlign w:val="center"/>
          </w:tcPr>
          <w:p w14:paraId="3E6D7E2E">
            <w:pPr>
              <w:pStyle w:val="10"/>
            </w:pPr>
            <w:r>
              <w:t>绩效指标描述</w:t>
            </w:r>
          </w:p>
        </w:tc>
        <w:tc>
          <w:tcPr>
            <w:tcW w:w="2268" w:type="dxa"/>
            <w:vAlign w:val="center"/>
          </w:tcPr>
          <w:p w14:paraId="7099B359">
            <w:pPr>
              <w:pStyle w:val="10"/>
            </w:pPr>
            <w:r>
              <w:t>指标值</w:t>
            </w:r>
          </w:p>
        </w:tc>
        <w:tc>
          <w:tcPr>
            <w:tcW w:w="1276" w:type="dxa"/>
            <w:vAlign w:val="center"/>
          </w:tcPr>
          <w:p w14:paraId="2420AE62">
            <w:pPr>
              <w:pStyle w:val="10"/>
            </w:pPr>
            <w:r>
              <w:t>指标值确定依据</w:t>
            </w:r>
          </w:p>
        </w:tc>
      </w:tr>
      <w:tr w14:paraId="3D51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C50A6">
            <w:pPr>
              <w:pStyle w:val="13"/>
            </w:pPr>
            <w:r>
              <w:t>产出指标</w:t>
            </w:r>
          </w:p>
        </w:tc>
        <w:tc>
          <w:tcPr>
            <w:tcW w:w="2268" w:type="dxa"/>
            <w:vAlign w:val="center"/>
          </w:tcPr>
          <w:p w14:paraId="6DC54AF3">
            <w:pPr>
              <w:pStyle w:val="12"/>
            </w:pPr>
            <w:r>
              <w:t>数量指标</w:t>
            </w:r>
          </w:p>
        </w:tc>
        <w:tc>
          <w:tcPr>
            <w:tcW w:w="2835" w:type="dxa"/>
            <w:vAlign w:val="center"/>
          </w:tcPr>
          <w:p w14:paraId="014657A4">
            <w:pPr>
              <w:pStyle w:val="12"/>
            </w:pPr>
            <w:r>
              <w:t>就读学生数</w:t>
            </w:r>
          </w:p>
        </w:tc>
        <w:tc>
          <w:tcPr>
            <w:tcW w:w="5386" w:type="dxa"/>
            <w:vAlign w:val="center"/>
          </w:tcPr>
          <w:p w14:paraId="3A922ABD">
            <w:pPr>
              <w:pStyle w:val="12"/>
            </w:pPr>
            <w:r>
              <w:t>辐射区域内适龄学生人数</w:t>
            </w:r>
          </w:p>
        </w:tc>
        <w:tc>
          <w:tcPr>
            <w:tcW w:w="2268" w:type="dxa"/>
            <w:vAlign w:val="center"/>
          </w:tcPr>
          <w:p w14:paraId="43DE0B78">
            <w:pPr>
              <w:pStyle w:val="12"/>
            </w:pPr>
            <w:r>
              <w:t>708人</w:t>
            </w:r>
          </w:p>
        </w:tc>
        <w:tc>
          <w:tcPr>
            <w:tcW w:w="1276" w:type="dxa"/>
            <w:vAlign w:val="center"/>
          </w:tcPr>
          <w:p w14:paraId="715564D1">
            <w:pPr>
              <w:pStyle w:val="12"/>
            </w:pPr>
            <w:r>
              <w:t>城乡义务教育公用经费管理办法</w:t>
            </w:r>
          </w:p>
        </w:tc>
      </w:tr>
      <w:tr w14:paraId="5B0E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48748"/>
        </w:tc>
        <w:tc>
          <w:tcPr>
            <w:tcW w:w="2268" w:type="dxa"/>
            <w:vAlign w:val="center"/>
          </w:tcPr>
          <w:p w14:paraId="639E537F">
            <w:pPr>
              <w:pStyle w:val="12"/>
            </w:pPr>
            <w:r>
              <w:t>质量指标</w:t>
            </w:r>
          </w:p>
        </w:tc>
        <w:tc>
          <w:tcPr>
            <w:tcW w:w="2835" w:type="dxa"/>
            <w:vAlign w:val="center"/>
          </w:tcPr>
          <w:p w14:paraId="05E24467">
            <w:pPr>
              <w:pStyle w:val="12"/>
            </w:pPr>
            <w:r>
              <w:t>预算执行率</w:t>
            </w:r>
          </w:p>
        </w:tc>
        <w:tc>
          <w:tcPr>
            <w:tcW w:w="5386" w:type="dxa"/>
            <w:vAlign w:val="center"/>
          </w:tcPr>
          <w:p w14:paraId="3118D999">
            <w:pPr>
              <w:pStyle w:val="12"/>
            </w:pPr>
            <w:r>
              <w:t>预算执行率</w:t>
            </w:r>
          </w:p>
        </w:tc>
        <w:tc>
          <w:tcPr>
            <w:tcW w:w="2268" w:type="dxa"/>
            <w:vAlign w:val="center"/>
          </w:tcPr>
          <w:p w14:paraId="6D2DF07C">
            <w:pPr>
              <w:pStyle w:val="12"/>
            </w:pPr>
            <w:r>
              <w:t>≥95%</w:t>
            </w:r>
          </w:p>
        </w:tc>
        <w:tc>
          <w:tcPr>
            <w:tcW w:w="1276" w:type="dxa"/>
            <w:vAlign w:val="center"/>
          </w:tcPr>
          <w:p w14:paraId="6A8B4DB2">
            <w:pPr>
              <w:pStyle w:val="12"/>
            </w:pPr>
            <w:r>
              <w:t>城乡义务教育公用经费管理办法</w:t>
            </w:r>
          </w:p>
        </w:tc>
      </w:tr>
      <w:tr w14:paraId="1219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956A3"/>
        </w:tc>
        <w:tc>
          <w:tcPr>
            <w:tcW w:w="2268" w:type="dxa"/>
            <w:vAlign w:val="center"/>
          </w:tcPr>
          <w:p w14:paraId="5A847CE3">
            <w:pPr>
              <w:pStyle w:val="12"/>
            </w:pPr>
            <w:r>
              <w:t>时效指标</w:t>
            </w:r>
          </w:p>
        </w:tc>
        <w:tc>
          <w:tcPr>
            <w:tcW w:w="2835" w:type="dxa"/>
            <w:vAlign w:val="center"/>
          </w:tcPr>
          <w:p w14:paraId="7589755E">
            <w:pPr>
              <w:pStyle w:val="12"/>
            </w:pPr>
            <w:r>
              <w:t>义教经费支付完成率</w:t>
            </w:r>
          </w:p>
        </w:tc>
        <w:tc>
          <w:tcPr>
            <w:tcW w:w="5386" w:type="dxa"/>
            <w:vAlign w:val="center"/>
          </w:tcPr>
          <w:p w14:paraId="1BAABD68">
            <w:pPr>
              <w:pStyle w:val="12"/>
            </w:pPr>
            <w:r>
              <w:t>按照序时进度完成资金支付</w:t>
            </w:r>
          </w:p>
        </w:tc>
        <w:tc>
          <w:tcPr>
            <w:tcW w:w="2268" w:type="dxa"/>
            <w:vAlign w:val="center"/>
          </w:tcPr>
          <w:p w14:paraId="35F3120D">
            <w:pPr>
              <w:pStyle w:val="12"/>
            </w:pPr>
            <w:r>
              <w:t>100%</w:t>
            </w:r>
          </w:p>
        </w:tc>
        <w:tc>
          <w:tcPr>
            <w:tcW w:w="1276" w:type="dxa"/>
            <w:vAlign w:val="center"/>
          </w:tcPr>
          <w:p w14:paraId="4D31722F">
            <w:pPr>
              <w:pStyle w:val="12"/>
            </w:pPr>
            <w:r>
              <w:t>城乡义务教育公用经费管理办法</w:t>
            </w:r>
          </w:p>
        </w:tc>
      </w:tr>
      <w:tr w14:paraId="209A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EDDFE"/>
        </w:tc>
        <w:tc>
          <w:tcPr>
            <w:tcW w:w="2268" w:type="dxa"/>
            <w:vAlign w:val="center"/>
          </w:tcPr>
          <w:p w14:paraId="05CB8021">
            <w:pPr>
              <w:pStyle w:val="12"/>
            </w:pPr>
            <w:r>
              <w:t>成本指标</w:t>
            </w:r>
          </w:p>
        </w:tc>
        <w:tc>
          <w:tcPr>
            <w:tcW w:w="2835" w:type="dxa"/>
            <w:vAlign w:val="center"/>
          </w:tcPr>
          <w:p w14:paraId="16D48D8A">
            <w:pPr>
              <w:pStyle w:val="12"/>
            </w:pPr>
            <w:r>
              <w:t>生均拨款标准</w:t>
            </w:r>
          </w:p>
        </w:tc>
        <w:tc>
          <w:tcPr>
            <w:tcW w:w="5386" w:type="dxa"/>
            <w:vAlign w:val="center"/>
          </w:tcPr>
          <w:p w14:paraId="0409706A">
            <w:pPr>
              <w:pStyle w:val="12"/>
            </w:pPr>
            <w:r>
              <w:t>小学生公用经费生均公用经费基准定额为720元/年/生，取暖费120元/年/生，住宿生补助300元/年/生的标准，随班就读学生补助7000元/生/年</w:t>
            </w:r>
          </w:p>
        </w:tc>
        <w:tc>
          <w:tcPr>
            <w:tcW w:w="2268" w:type="dxa"/>
            <w:vAlign w:val="center"/>
          </w:tcPr>
          <w:p w14:paraId="4DB70D70">
            <w:pPr>
              <w:pStyle w:val="12"/>
            </w:pPr>
            <w:r>
              <w:t>840元</w:t>
            </w:r>
          </w:p>
        </w:tc>
        <w:tc>
          <w:tcPr>
            <w:tcW w:w="1276" w:type="dxa"/>
            <w:vAlign w:val="center"/>
          </w:tcPr>
          <w:p w14:paraId="60CEB184">
            <w:pPr>
              <w:pStyle w:val="12"/>
            </w:pPr>
            <w:r>
              <w:t>城乡义务教育公用经费管理办法</w:t>
            </w:r>
          </w:p>
        </w:tc>
      </w:tr>
      <w:tr w14:paraId="19B3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6FC10">
            <w:pPr>
              <w:pStyle w:val="13"/>
            </w:pPr>
            <w:r>
              <w:t>效益指标</w:t>
            </w:r>
          </w:p>
        </w:tc>
        <w:tc>
          <w:tcPr>
            <w:tcW w:w="2268" w:type="dxa"/>
            <w:vAlign w:val="center"/>
          </w:tcPr>
          <w:p w14:paraId="1C1E5C36">
            <w:pPr>
              <w:pStyle w:val="12"/>
            </w:pPr>
            <w:r>
              <w:t>可持续影响指标</w:t>
            </w:r>
          </w:p>
        </w:tc>
        <w:tc>
          <w:tcPr>
            <w:tcW w:w="2835" w:type="dxa"/>
            <w:vAlign w:val="center"/>
          </w:tcPr>
          <w:p w14:paraId="5572C2A6">
            <w:pPr>
              <w:pStyle w:val="12"/>
            </w:pPr>
            <w:r>
              <w:t>学校运转得到提高</w:t>
            </w:r>
          </w:p>
        </w:tc>
        <w:tc>
          <w:tcPr>
            <w:tcW w:w="5386" w:type="dxa"/>
            <w:vAlign w:val="center"/>
          </w:tcPr>
          <w:p w14:paraId="045BBF38">
            <w:pPr>
              <w:pStyle w:val="12"/>
            </w:pPr>
            <w:r>
              <w:t>学生受教育年限</w:t>
            </w:r>
          </w:p>
        </w:tc>
        <w:tc>
          <w:tcPr>
            <w:tcW w:w="2268" w:type="dxa"/>
            <w:vAlign w:val="center"/>
          </w:tcPr>
          <w:p w14:paraId="712B34A6">
            <w:pPr>
              <w:pStyle w:val="12"/>
            </w:pPr>
            <w:r>
              <w:t>6年</w:t>
            </w:r>
          </w:p>
        </w:tc>
        <w:tc>
          <w:tcPr>
            <w:tcW w:w="1276" w:type="dxa"/>
            <w:vAlign w:val="center"/>
          </w:tcPr>
          <w:p w14:paraId="6938BDF3">
            <w:pPr>
              <w:pStyle w:val="12"/>
            </w:pPr>
            <w:r>
              <w:t>城乡义务教育公用经费管理办法</w:t>
            </w:r>
          </w:p>
        </w:tc>
      </w:tr>
      <w:tr w14:paraId="496A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27FF8">
            <w:pPr>
              <w:pStyle w:val="13"/>
            </w:pPr>
            <w:r>
              <w:t>满意度指标</w:t>
            </w:r>
          </w:p>
        </w:tc>
        <w:tc>
          <w:tcPr>
            <w:tcW w:w="2268" w:type="dxa"/>
            <w:vAlign w:val="center"/>
          </w:tcPr>
          <w:p w14:paraId="18B30EF9">
            <w:pPr>
              <w:pStyle w:val="12"/>
            </w:pPr>
            <w:r>
              <w:t>服务对象满意度指标</w:t>
            </w:r>
          </w:p>
        </w:tc>
        <w:tc>
          <w:tcPr>
            <w:tcW w:w="2835" w:type="dxa"/>
            <w:vAlign w:val="center"/>
          </w:tcPr>
          <w:p w14:paraId="5CF0255D">
            <w:pPr>
              <w:pStyle w:val="12"/>
            </w:pPr>
            <w:r>
              <w:t>服务对象满意度</w:t>
            </w:r>
          </w:p>
        </w:tc>
        <w:tc>
          <w:tcPr>
            <w:tcW w:w="5386" w:type="dxa"/>
            <w:vAlign w:val="center"/>
          </w:tcPr>
          <w:p w14:paraId="1B487898">
            <w:pPr>
              <w:pStyle w:val="12"/>
            </w:pPr>
            <w:r>
              <w:t>学校老师和学生满意度</w:t>
            </w:r>
          </w:p>
        </w:tc>
        <w:tc>
          <w:tcPr>
            <w:tcW w:w="2268" w:type="dxa"/>
            <w:vAlign w:val="center"/>
          </w:tcPr>
          <w:p w14:paraId="1C395942">
            <w:pPr>
              <w:pStyle w:val="12"/>
            </w:pPr>
            <w:r>
              <w:t>≥95%</w:t>
            </w:r>
          </w:p>
        </w:tc>
        <w:tc>
          <w:tcPr>
            <w:tcW w:w="1276" w:type="dxa"/>
            <w:vAlign w:val="center"/>
          </w:tcPr>
          <w:p w14:paraId="49FBA7CA">
            <w:pPr>
              <w:pStyle w:val="12"/>
            </w:pPr>
            <w:r>
              <w:t>群众测评</w:t>
            </w:r>
          </w:p>
        </w:tc>
      </w:tr>
    </w:tbl>
    <w:p w14:paraId="3D5E8248">
      <w:pPr>
        <w:sectPr>
          <w:pgSz w:w="16840" w:h="11900" w:orient="landscape"/>
          <w:pgMar w:top="1361" w:right="1020" w:bottom="1134" w:left="1020" w:header="720" w:footer="720" w:gutter="0"/>
          <w:cols w:space="720" w:num="1"/>
        </w:sectPr>
      </w:pPr>
    </w:p>
    <w:p w14:paraId="76178078">
      <w:pPr>
        <w:spacing w:before="0" w:after="0"/>
        <w:ind w:firstLine="560"/>
        <w:jc w:val="left"/>
        <w:outlineLvl w:val="9"/>
      </w:pPr>
      <w:r>
        <w:rPr>
          <w:rFonts w:ascii="方正仿宋_GBK" w:hAnsi="方正仿宋_GBK" w:eastAsia="方正仿宋_GBK" w:cs="方正仿宋_GBK"/>
          <w:b/>
          <w:color w:val="000000"/>
          <w:sz w:val="28"/>
        </w:rPr>
        <w:t>29、县级配套/莲子镇校区南吴疃小学公用经费绩效目标表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64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54A9C">
            <w:pPr>
              <w:pStyle w:val="11"/>
            </w:pPr>
            <w:r>
              <w:t>单位：万元</w:t>
            </w:r>
          </w:p>
        </w:tc>
      </w:tr>
      <w:tr w14:paraId="7DE3C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A7977">
            <w:pPr>
              <w:pStyle w:val="10"/>
            </w:pPr>
            <w:r>
              <w:t>项目编码</w:t>
            </w:r>
          </w:p>
        </w:tc>
        <w:tc>
          <w:tcPr>
            <w:tcW w:w="5103" w:type="dxa"/>
            <w:gridSpan w:val="2"/>
            <w:vAlign w:val="center"/>
          </w:tcPr>
          <w:p w14:paraId="427486E3">
            <w:pPr>
              <w:pStyle w:val="12"/>
            </w:pPr>
            <w:r>
              <w:t>13052526P00000410478K</w:t>
            </w:r>
          </w:p>
        </w:tc>
        <w:tc>
          <w:tcPr>
            <w:tcW w:w="2835" w:type="dxa"/>
            <w:vAlign w:val="center"/>
          </w:tcPr>
          <w:p w14:paraId="1EB68E9A">
            <w:pPr>
              <w:pStyle w:val="10"/>
            </w:pPr>
            <w:r>
              <w:t>项目名称</w:t>
            </w:r>
          </w:p>
        </w:tc>
        <w:tc>
          <w:tcPr>
            <w:tcW w:w="6095" w:type="dxa"/>
            <w:gridSpan w:val="3"/>
            <w:vAlign w:val="center"/>
          </w:tcPr>
          <w:p w14:paraId="70394CAC">
            <w:pPr>
              <w:pStyle w:val="12"/>
            </w:pPr>
            <w:r>
              <w:t>县级配套/莲子镇校区南吴疃小学公用经费</w:t>
            </w:r>
          </w:p>
        </w:tc>
      </w:tr>
      <w:tr w14:paraId="2FC25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634AA">
            <w:pPr>
              <w:pStyle w:val="10"/>
            </w:pPr>
            <w:r>
              <w:t>预算规模及资金用途</w:t>
            </w:r>
          </w:p>
        </w:tc>
        <w:tc>
          <w:tcPr>
            <w:tcW w:w="2268" w:type="dxa"/>
            <w:vAlign w:val="center"/>
          </w:tcPr>
          <w:p w14:paraId="053CEF50">
            <w:pPr>
              <w:pStyle w:val="10"/>
            </w:pPr>
            <w:r>
              <w:t>预算数</w:t>
            </w:r>
          </w:p>
        </w:tc>
        <w:tc>
          <w:tcPr>
            <w:tcW w:w="2835" w:type="dxa"/>
            <w:vAlign w:val="center"/>
          </w:tcPr>
          <w:p w14:paraId="358B5430">
            <w:pPr>
              <w:pStyle w:val="12"/>
            </w:pPr>
            <w:r>
              <w:t>0.83</w:t>
            </w:r>
          </w:p>
        </w:tc>
        <w:tc>
          <w:tcPr>
            <w:tcW w:w="2835" w:type="dxa"/>
            <w:vAlign w:val="center"/>
          </w:tcPr>
          <w:p w14:paraId="3FEAF618">
            <w:pPr>
              <w:pStyle w:val="10"/>
            </w:pPr>
            <w:r>
              <w:t>其中：财政    资金</w:t>
            </w:r>
          </w:p>
        </w:tc>
        <w:tc>
          <w:tcPr>
            <w:tcW w:w="2551" w:type="dxa"/>
            <w:vAlign w:val="center"/>
          </w:tcPr>
          <w:p w14:paraId="1AFFD525">
            <w:pPr>
              <w:pStyle w:val="12"/>
            </w:pPr>
            <w:r>
              <w:t>0.83</w:t>
            </w:r>
          </w:p>
        </w:tc>
        <w:tc>
          <w:tcPr>
            <w:tcW w:w="2268" w:type="dxa"/>
            <w:vAlign w:val="center"/>
          </w:tcPr>
          <w:p w14:paraId="1D850E86">
            <w:pPr>
              <w:pStyle w:val="10"/>
            </w:pPr>
            <w:r>
              <w:t>其他资金</w:t>
            </w:r>
          </w:p>
        </w:tc>
        <w:tc>
          <w:tcPr>
            <w:tcW w:w="1276" w:type="dxa"/>
            <w:vAlign w:val="center"/>
          </w:tcPr>
          <w:p w14:paraId="6CC56191">
            <w:pPr>
              <w:pStyle w:val="12"/>
            </w:pPr>
            <w:r>
              <w:t xml:space="preserve"> </w:t>
            </w:r>
          </w:p>
        </w:tc>
      </w:tr>
      <w:tr w14:paraId="7C2C7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31A9F"/>
        </w:tc>
        <w:tc>
          <w:tcPr>
            <w:tcW w:w="14033" w:type="dxa"/>
            <w:gridSpan w:val="6"/>
            <w:vAlign w:val="center"/>
          </w:tcPr>
          <w:p w14:paraId="54915189">
            <w:pPr>
              <w:pStyle w:val="12"/>
            </w:pPr>
            <w:r>
              <w:t>保障学校正常运转，完成各项教育教学活动和其他日常工作任务等方面的费用支出。</w:t>
            </w:r>
          </w:p>
        </w:tc>
      </w:tr>
      <w:tr w14:paraId="72116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9207E">
            <w:pPr>
              <w:pStyle w:val="10"/>
            </w:pPr>
            <w:r>
              <w:t>资金支出计划（%）</w:t>
            </w:r>
          </w:p>
        </w:tc>
        <w:tc>
          <w:tcPr>
            <w:tcW w:w="5103" w:type="dxa"/>
            <w:gridSpan w:val="2"/>
            <w:vAlign w:val="center"/>
          </w:tcPr>
          <w:p w14:paraId="2697A7CF">
            <w:pPr>
              <w:pStyle w:val="10"/>
            </w:pPr>
            <w:r>
              <w:t>3月底</w:t>
            </w:r>
          </w:p>
        </w:tc>
        <w:tc>
          <w:tcPr>
            <w:tcW w:w="2835" w:type="dxa"/>
            <w:vAlign w:val="center"/>
          </w:tcPr>
          <w:p w14:paraId="6F0330CC">
            <w:pPr>
              <w:pStyle w:val="10"/>
            </w:pPr>
            <w:r>
              <w:t>6月底</w:t>
            </w:r>
          </w:p>
        </w:tc>
        <w:tc>
          <w:tcPr>
            <w:tcW w:w="2551" w:type="dxa"/>
            <w:vAlign w:val="center"/>
          </w:tcPr>
          <w:p w14:paraId="6049C44F">
            <w:pPr>
              <w:pStyle w:val="10"/>
            </w:pPr>
            <w:r>
              <w:t>10月底</w:t>
            </w:r>
          </w:p>
        </w:tc>
        <w:tc>
          <w:tcPr>
            <w:tcW w:w="3544" w:type="dxa"/>
            <w:gridSpan w:val="2"/>
            <w:vAlign w:val="center"/>
          </w:tcPr>
          <w:p w14:paraId="52FC620A">
            <w:pPr>
              <w:pStyle w:val="10"/>
            </w:pPr>
            <w:r>
              <w:t>12月底</w:t>
            </w:r>
          </w:p>
        </w:tc>
      </w:tr>
      <w:tr w14:paraId="12F9D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93ACF"/>
        </w:tc>
        <w:tc>
          <w:tcPr>
            <w:tcW w:w="5103" w:type="dxa"/>
            <w:gridSpan w:val="2"/>
            <w:vAlign w:val="center"/>
          </w:tcPr>
          <w:p w14:paraId="27C62537">
            <w:pPr>
              <w:pStyle w:val="13"/>
            </w:pPr>
            <w:r>
              <w:t>25%</w:t>
            </w:r>
          </w:p>
        </w:tc>
        <w:tc>
          <w:tcPr>
            <w:tcW w:w="2835" w:type="dxa"/>
            <w:vAlign w:val="center"/>
          </w:tcPr>
          <w:p w14:paraId="0D84C990">
            <w:pPr>
              <w:pStyle w:val="13"/>
            </w:pPr>
            <w:r>
              <w:t>50%</w:t>
            </w:r>
          </w:p>
        </w:tc>
        <w:tc>
          <w:tcPr>
            <w:tcW w:w="2551" w:type="dxa"/>
            <w:vAlign w:val="center"/>
          </w:tcPr>
          <w:p w14:paraId="160C9F5A">
            <w:pPr>
              <w:pStyle w:val="13"/>
            </w:pPr>
            <w:r>
              <w:t>75%</w:t>
            </w:r>
          </w:p>
        </w:tc>
        <w:tc>
          <w:tcPr>
            <w:tcW w:w="3544" w:type="dxa"/>
            <w:gridSpan w:val="2"/>
            <w:vAlign w:val="center"/>
          </w:tcPr>
          <w:p w14:paraId="0E880A57">
            <w:pPr>
              <w:pStyle w:val="13"/>
            </w:pPr>
            <w:r>
              <w:t>100%</w:t>
            </w:r>
          </w:p>
        </w:tc>
      </w:tr>
      <w:tr w14:paraId="017B3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62F0A">
            <w:pPr>
              <w:pStyle w:val="10"/>
            </w:pPr>
            <w:r>
              <w:t>绩效目标</w:t>
            </w:r>
          </w:p>
        </w:tc>
        <w:tc>
          <w:tcPr>
            <w:tcW w:w="14033" w:type="dxa"/>
            <w:gridSpan w:val="6"/>
            <w:vAlign w:val="center"/>
          </w:tcPr>
          <w:p w14:paraId="1EE6E962">
            <w:pPr>
              <w:pStyle w:val="12"/>
            </w:pPr>
            <w:r>
              <w:t>1.按季度分批次拨付公用经费资金，资金拨付率达到100%。</w:t>
            </w:r>
          </w:p>
          <w:p w14:paraId="10343F53">
            <w:pPr>
              <w:pStyle w:val="12"/>
            </w:pPr>
            <w:r>
              <w:t>2.保障学校正常运转，完成各项教育教学活动和其他日常工作任务等方面的费用支出。</w:t>
            </w:r>
          </w:p>
        </w:tc>
      </w:tr>
    </w:tbl>
    <w:p w14:paraId="3F0432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0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01DBA">
            <w:pPr>
              <w:pStyle w:val="10"/>
            </w:pPr>
            <w:r>
              <w:t>一级指标</w:t>
            </w:r>
          </w:p>
        </w:tc>
        <w:tc>
          <w:tcPr>
            <w:tcW w:w="2268" w:type="dxa"/>
            <w:vAlign w:val="center"/>
          </w:tcPr>
          <w:p w14:paraId="32B5CEA2">
            <w:pPr>
              <w:pStyle w:val="10"/>
            </w:pPr>
            <w:r>
              <w:t>二级指标</w:t>
            </w:r>
          </w:p>
        </w:tc>
        <w:tc>
          <w:tcPr>
            <w:tcW w:w="2835" w:type="dxa"/>
            <w:vAlign w:val="center"/>
          </w:tcPr>
          <w:p w14:paraId="3FD9665E">
            <w:pPr>
              <w:pStyle w:val="10"/>
            </w:pPr>
            <w:r>
              <w:t>三级指标</w:t>
            </w:r>
          </w:p>
        </w:tc>
        <w:tc>
          <w:tcPr>
            <w:tcW w:w="5386" w:type="dxa"/>
            <w:vAlign w:val="center"/>
          </w:tcPr>
          <w:p w14:paraId="7FE998E8">
            <w:pPr>
              <w:pStyle w:val="10"/>
            </w:pPr>
            <w:r>
              <w:t>绩效指标描述</w:t>
            </w:r>
          </w:p>
        </w:tc>
        <w:tc>
          <w:tcPr>
            <w:tcW w:w="2268" w:type="dxa"/>
            <w:vAlign w:val="center"/>
          </w:tcPr>
          <w:p w14:paraId="7EFBC521">
            <w:pPr>
              <w:pStyle w:val="10"/>
            </w:pPr>
            <w:r>
              <w:t>指标值</w:t>
            </w:r>
          </w:p>
        </w:tc>
        <w:tc>
          <w:tcPr>
            <w:tcW w:w="1276" w:type="dxa"/>
            <w:vAlign w:val="center"/>
          </w:tcPr>
          <w:p w14:paraId="7C23582A">
            <w:pPr>
              <w:pStyle w:val="10"/>
            </w:pPr>
            <w:r>
              <w:t>指标值确定依据</w:t>
            </w:r>
          </w:p>
        </w:tc>
      </w:tr>
      <w:tr w14:paraId="1A18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41C08">
            <w:pPr>
              <w:pStyle w:val="13"/>
            </w:pPr>
            <w:r>
              <w:t>产出指标</w:t>
            </w:r>
          </w:p>
        </w:tc>
        <w:tc>
          <w:tcPr>
            <w:tcW w:w="2268" w:type="dxa"/>
            <w:vAlign w:val="center"/>
          </w:tcPr>
          <w:p w14:paraId="0CC30159">
            <w:pPr>
              <w:pStyle w:val="12"/>
            </w:pPr>
            <w:r>
              <w:t>数量指标</w:t>
            </w:r>
          </w:p>
        </w:tc>
        <w:tc>
          <w:tcPr>
            <w:tcW w:w="2835" w:type="dxa"/>
            <w:vAlign w:val="center"/>
          </w:tcPr>
          <w:p w14:paraId="096AFF03">
            <w:pPr>
              <w:pStyle w:val="12"/>
            </w:pPr>
            <w:r>
              <w:t>就读学生数</w:t>
            </w:r>
          </w:p>
        </w:tc>
        <w:tc>
          <w:tcPr>
            <w:tcW w:w="5386" w:type="dxa"/>
            <w:vAlign w:val="center"/>
          </w:tcPr>
          <w:p w14:paraId="658EAAA3">
            <w:pPr>
              <w:pStyle w:val="12"/>
            </w:pPr>
            <w:r>
              <w:t>辐射区域内适龄学生人数</w:t>
            </w:r>
          </w:p>
        </w:tc>
        <w:tc>
          <w:tcPr>
            <w:tcW w:w="2268" w:type="dxa"/>
            <w:vAlign w:val="center"/>
          </w:tcPr>
          <w:p w14:paraId="58E17379">
            <w:pPr>
              <w:pStyle w:val="12"/>
            </w:pPr>
            <w:r>
              <w:t>100人</w:t>
            </w:r>
          </w:p>
        </w:tc>
        <w:tc>
          <w:tcPr>
            <w:tcW w:w="1276" w:type="dxa"/>
            <w:vAlign w:val="center"/>
          </w:tcPr>
          <w:p w14:paraId="3DBAD5FA">
            <w:pPr>
              <w:pStyle w:val="12"/>
            </w:pPr>
            <w:r>
              <w:t>城乡义务教育公用经费管理办法</w:t>
            </w:r>
          </w:p>
        </w:tc>
      </w:tr>
      <w:tr w14:paraId="3942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1DB77"/>
        </w:tc>
        <w:tc>
          <w:tcPr>
            <w:tcW w:w="2268" w:type="dxa"/>
            <w:vAlign w:val="center"/>
          </w:tcPr>
          <w:p w14:paraId="0CEECC1A">
            <w:pPr>
              <w:pStyle w:val="12"/>
            </w:pPr>
            <w:r>
              <w:t>质量指标</w:t>
            </w:r>
          </w:p>
        </w:tc>
        <w:tc>
          <w:tcPr>
            <w:tcW w:w="2835" w:type="dxa"/>
            <w:vAlign w:val="center"/>
          </w:tcPr>
          <w:p w14:paraId="64681009">
            <w:pPr>
              <w:pStyle w:val="12"/>
            </w:pPr>
            <w:r>
              <w:t>预算执行率</w:t>
            </w:r>
          </w:p>
        </w:tc>
        <w:tc>
          <w:tcPr>
            <w:tcW w:w="5386" w:type="dxa"/>
            <w:vAlign w:val="center"/>
          </w:tcPr>
          <w:p w14:paraId="202C79AF">
            <w:pPr>
              <w:pStyle w:val="12"/>
            </w:pPr>
            <w:r>
              <w:t>预算执行率</w:t>
            </w:r>
          </w:p>
        </w:tc>
        <w:tc>
          <w:tcPr>
            <w:tcW w:w="2268" w:type="dxa"/>
            <w:vAlign w:val="center"/>
          </w:tcPr>
          <w:p w14:paraId="1B74F1F5">
            <w:pPr>
              <w:pStyle w:val="12"/>
            </w:pPr>
            <w:r>
              <w:t>≥95%</w:t>
            </w:r>
          </w:p>
        </w:tc>
        <w:tc>
          <w:tcPr>
            <w:tcW w:w="1276" w:type="dxa"/>
            <w:vAlign w:val="center"/>
          </w:tcPr>
          <w:p w14:paraId="14E24D25">
            <w:pPr>
              <w:pStyle w:val="12"/>
            </w:pPr>
            <w:r>
              <w:t>城乡义务教育公用经费管理办法</w:t>
            </w:r>
          </w:p>
        </w:tc>
      </w:tr>
      <w:tr w14:paraId="6924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748A4"/>
        </w:tc>
        <w:tc>
          <w:tcPr>
            <w:tcW w:w="2268" w:type="dxa"/>
            <w:vAlign w:val="center"/>
          </w:tcPr>
          <w:p w14:paraId="2F6D1C7A">
            <w:pPr>
              <w:pStyle w:val="12"/>
            </w:pPr>
            <w:r>
              <w:t>时效指标</w:t>
            </w:r>
          </w:p>
        </w:tc>
        <w:tc>
          <w:tcPr>
            <w:tcW w:w="2835" w:type="dxa"/>
            <w:vAlign w:val="center"/>
          </w:tcPr>
          <w:p w14:paraId="203C4D40">
            <w:pPr>
              <w:pStyle w:val="12"/>
            </w:pPr>
            <w:r>
              <w:t>义教经费支付完成率</w:t>
            </w:r>
          </w:p>
        </w:tc>
        <w:tc>
          <w:tcPr>
            <w:tcW w:w="5386" w:type="dxa"/>
            <w:vAlign w:val="center"/>
          </w:tcPr>
          <w:p w14:paraId="79116F30">
            <w:pPr>
              <w:pStyle w:val="12"/>
            </w:pPr>
            <w:r>
              <w:t>按照序时进度完成资金支付</w:t>
            </w:r>
          </w:p>
        </w:tc>
        <w:tc>
          <w:tcPr>
            <w:tcW w:w="2268" w:type="dxa"/>
            <w:vAlign w:val="center"/>
          </w:tcPr>
          <w:p w14:paraId="19CD6538">
            <w:pPr>
              <w:pStyle w:val="12"/>
            </w:pPr>
            <w:r>
              <w:t>100%</w:t>
            </w:r>
          </w:p>
        </w:tc>
        <w:tc>
          <w:tcPr>
            <w:tcW w:w="1276" w:type="dxa"/>
            <w:vAlign w:val="center"/>
          </w:tcPr>
          <w:p w14:paraId="3001552B">
            <w:pPr>
              <w:pStyle w:val="12"/>
            </w:pPr>
            <w:r>
              <w:t>城乡义务教育公用经费管理办法</w:t>
            </w:r>
          </w:p>
        </w:tc>
      </w:tr>
      <w:tr w14:paraId="2E9A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39051"/>
        </w:tc>
        <w:tc>
          <w:tcPr>
            <w:tcW w:w="2268" w:type="dxa"/>
            <w:vAlign w:val="center"/>
          </w:tcPr>
          <w:p w14:paraId="7C80386E">
            <w:pPr>
              <w:pStyle w:val="12"/>
            </w:pPr>
            <w:r>
              <w:t>成本指标</w:t>
            </w:r>
          </w:p>
        </w:tc>
        <w:tc>
          <w:tcPr>
            <w:tcW w:w="2835" w:type="dxa"/>
            <w:vAlign w:val="center"/>
          </w:tcPr>
          <w:p w14:paraId="546F39DE">
            <w:pPr>
              <w:pStyle w:val="12"/>
            </w:pPr>
            <w:r>
              <w:t>生均拨款标准</w:t>
            </w:r>
          </w:p>
        </w:tc>
        <w:tc>
          <w:tcPr>
            <w:tcW w:w="5386" w:type="dxa"/>
            <w:vAlign w:val="center"/>
          </w:tcPr>
          <w:p w14:paraId="0C19603A">
            <w:pPr>
              <w:pStyle w:val="12"/>
            </w:pPr>
            <w:r>
              <w:t>小学生生均公用经费基准定额为720元/年/生，取暖费120元/年/生，住宿生补助300元/年/生的标准，随班就读学生补助7000元/生/年</w:t>
            </w:r>
          </w:p>
        </w:tc>
        <w:tc>
          <w:tcPr>
            <w:tcW w:w="2268" w:type="dxa"/>
            <w:vAlign w:val="center"/>
          </w:tcPr>
          <w:p w14:paraId="338338B5">
            <w:pPr>
              <w:pStyle w:val="12"/>
            </w:pPr>
            <w:r>
              <w:t>840元</w:t>
            </w:r>
          </w:p>
        </w:tc>
        <w:tc>
          <w:tcPr>
            <w:tcW w:w="1276" w:type="dxa"/>
            <w:vAlign w:val="center"/>
          </w:tcPr>
          <w:p w14:paraId="187183FE">
            <w:pPr>
              <w:pStyle w:val="12"/>
            </w:pPr>
            <w:r>
              <w:t>城乡义务教育公用经费管理办法</w:t>
            </w:r>
          </w:p>
        </w:tc>
      </w:tr>
      <w:tr w14:paraId="6AAE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17A62">
            <w:pPr>
              <w:pStyle w:val="13"/>
            </w:pPr>
            <w:r>
              <w:t>效益指标</w:t>
            </w:r>
          </w:p>
        </w:tc>
        <w:tc>
          <w:tcPr>
            <w:tcW w:w="2268" w:type="dxa"/>
            <w:vAlign w:val="center"/>
          </w:tcPr>
          <w:p w14:paraId="20B333E6">
            <w:pPr>
              <w:pStyle w:val="12"/>
            </w:pPr>
            <w:r>
              <w:t>可持续影响指标</w:t>
            </w:r>
          </w:p>
        </w:tc>
        <w:tc>
          <w:tcPr>
            <w:tcW w:w="2835" w:type="dxa"/>
            <w:vAlign w:val="center"/>
          </w:tcPr>
          <w:p w14:paraId="337E7A0B">
            <w:pPr>
              <w:pStyle w:val="12"/>
            </w:pPr>
            <w:r>
              <w:t>学校运转得到提高</w:t>
            </w:r>
          </w:p>
        </w:tc>
        <w:tc>
          <w:tcPr>
            <w:tcW w:w="5386" w:type="dxa"/>
            <w:vAlign w:val="center"/>
          </w:tcPr>
          <w:p w14:paraId="4C8865FB">
            <w:pPr>
              <w:pStyle w:val="12"/>
            </w:pPr>
            <w:r>
              <w:t>学生受教育年限</w:t>
            </w:r>
          </w:p>
        </w:tc>
        <w:tc>
          <w:tcPr>
            <w:tcW w:w="2268" w:type="dxa"/>
            <w:vAlign w:val="center"/>
          </w:tcPr>
          <w:p w14:paraId="45B7BF68">
            <w:pPr>
              <w:pStyle w:val="12"/>
            </w:pPr>
            <w:r>
              <w:t>6年</w:t>
            </w:r>
          </w:p>
        </w:tc>
        <w:tc>
          <w:tcPr>
            <w:tcW w:w="1276" w:type="dxa"/>
            <w:vAlign w:val="center"/>
          </w:tcPr>
          <w:p w14:paraId="5D12CFBF">
            <w:pPr>
              <w:pStyle w:val="12"/>
            </w:pPr>
            <w:r>
              <w:t>城乡义务教育公用经费管理办法</w:t>
            </w:r>
          </w:p>
        </w:tc>
      </w:tr>
      <w:tr w14:paraId="01CA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1593B">
            <w:pPr>
              <w:pStyle w:val="13"/>
            </w:pPr>
            <w:r>
              <w:t>满意度指标</w:t>
            </w:r>
          </w:p>
        </w:tc>
        <w:tc>
          <w:tcPr>
            <w:tcW w:w="2268" w:type="dxa"/>
            <w:vAlign w:val="center"/>
          </w:tcPr>
          <w:p w14:paraId="31A3AEAB">
            <w:pPr>
              <w:pStyle w:val="12"/>
            </w:pPr>
            <w:r>
              <w:t>服务对象满意度指标</w:t>
            </w:r>
          </w:p>
        </w:tc>
        <w:tc>
          <w:tcPr>
            <w:tcW w:w="2835" w:type="dxa"/>
            <w:vAlign w:val="center"/>
          </w:tcPr>
          <w:p w14:paraId="35B96B8B">
            <w:pPr>
              <w:pStyle w:val="12"/>
            </w:pPr>
            <w:r>
              <w:t>服务对象满意度</w:t>
            </w:r>
          </w:p>
        </w:tc>
        <w:tc>
          <w:tcPr>
            <w:tcW w:w="5386" w:type="dxa"/>
            <w:vAlign w:val="center"/>
          </w:tcPr>
          <w:p w14:paraId="2AF4BEC4">
            <w:pPr>
              <w:pStyle w:val="12"/>
            </w:pPr>
            <w:r>
              <w:t>学校老师和学生满意度</w:t>
            </w:r>
          </w:p>
        </w:tc>
        <w:tc>
          <w:tcPr>
            <w:tcW w:w="2268" w:type="dxa"/>
            <w:vAlign w:val="center"/>
          </w:tcPr>
          <w:p w14:paraId="70A9FC23">
            <w:pPr>
              <w:pStyle w:val="12"/>
            </w:pPr>
            <w:r>
              <w:t>≥95%</w:t>
            </w:r>
          </w:p>
        </w:tc>
        <w:tc>
          <w:tcPr>
            <w:tcW w:w="1276" w:type="dxa"/>
            <w:vAlign w:val="center"/>
          </w:tcPr>
          <w:p w14:paraId="07B20C00">
            <w:pPr>
              <w:pStyle w:val="12"/>
            </w:pPr>
            <w:r>
              <w:t>群众测评</w:t>
            </w:r>
          </w:p>
        </w:tc>
      </w:tr>
    </w:tbl>
    <w:p w14:paraId="74D94AA0">
      <w:pPr>
        <w:sectPr>
          <w:pgSz w:w="16840" w:h="11900" w:orient="landscape"/>
          <w:pgMar w:top="1361" w:right="1020" w:bottom="1134" w:left="1020" w:header="720" w:footer="720" w:gutter="0"/>
          <w:cols w:space="720" w:num="1"/>
        </w:sectPr>
      </w:pPr>
    </w:p>
    <w:p w14:paraId="193C08EC">
      <w:pPr>
        <w:spacing w:before="0" w:after="0"/>
        <w:ind w:firstLine="560"/>
        <w:jc w:val="left"/>
        <w:outlineLvl w:val="9"/>
      </w:pPr>
      <w:r>
        <w:rPr>
          <w:rFonts w:ascii="方正仿宋_GBK" w:hAnsi="方正仿宋_GBK" w:eastAsia="方正仿宋_GBK" w:cs="方正仿宋_GBK"/>
          <w:b/>
          <w:color w:val="000000"/>
          <w:sz w:val="28"/>
        </w:rPr>
        <w:t>30、县级配套/莲子镇校区任村小学公用经费绩效目标表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7B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37FF4">
            <w:pPr>
              <w:pStyle w:val="11"/>
            </w:pPr>
            <w:r>
              <w:t>单位：万元</w:t>
            </w:r>
          </w:p>
        </w:tc>
      </w:tr>
      <w:tr w14:paraId="7909C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C0B0A">
            <w:pPr>
              <w:pStyle w:val="10"/>
            </w:pPr>
            <w:r>
              <w:t>项目编码</w:t>
            </w:r>
          </w:p>
        </w:tc>
        <w:tc>
          <w:tcPr>
            <w:tcW w:w="5103" w:type="dxa"/>
            <w:gridSpan w:val="2"/>
            <w:vAlign w:val="center"/>
          </w:tcPr>
          <w:p w14:paraId="55E7D299">
            <w:pPr>
              <w:pStyle w:val="12"/>
            </w:pPr>
            <w:r>
              <w:t>13052526P00000410483D</w:t>
            </w:r>
          </w:p>
        </w:tc>
        <w:tc>
          <w:tcPr>
            <w:tcW w:w="2835" w:type="dxa"/>
            <w:vAlign w:val="center"/>
          </w:tcPr>
          <w:p w14:paraId="090DE30C">
            <w:pPr>
              <w:pStyle w:val="10"/>
            </w:pPr>
            <w:r>
              <w:t>项目名称</w:t>
            </w:r>
          </w:p>
        </w:tc>
        <w:tc>
          <w:tcPr>
            <w:tcW w:w="6095" w:type="dxa"/>
            <w:gridSpan w:val="3"/>
            <w:vAlign w:val="center"/>
          </w:tcPr>
          <w:p w14:paraId="0DFD36AA">
            <w:pPr>
              <w:pStyle w:val="12"/>
            </w:pPr>
            <w:r>
              <w:t>县级配套/莲子镇校区任村小学公用经费</w:t>
            </w:r>
          </w:p>
        </w:tc>
      </w:tr>
      <w:tr w14:paraId="6B8F5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544D7">
            <w:pPr>
              <w:pStyle w:val="10"/>
            </w:pPr>
            <w:r>
              <w:t>预算规模及资金用途</w:t>
            </w:r>
          </w:p>
        </w:tc>
        <w:tc>
          <w:tcPr>
            <w:tcW w:w="2268" w:type="dxa"/>
            <w:vAlign w:val="center"/>
          </w:tcPr>
          <w:p w14:paraId="5CBF0092">
            <w:pPr>
              <w:pStyle w:val="10"/>
            </w:pPr>
            <w:r>
              <w:t>预算数</w:t>
            </w:r>
          </w:p>
        </w:tc>
        <w:tc>
          <w:tcPr>
            <w:tcW w:w="2835" w:type="dxa"/>
            <w:vAlign w:val="center"/>
          </w:tcPr>
          <w:p w14:paraId="54959094">
            <w:pPr>
              <w:pStyle w:val="12"/>
            </w:pPr>
            <w:r>
              <w:t>0.83</w:t>
            </w:r>
          </w:p>
        </w:tc>
        <w:tc>
          <w:tcPr>
            <w:tcW w:w="2835" w:type="dxa"/>
            <w:vAlign w:val="center"/>
          </w:tcPr>
          <w:p w14:paraId="090E9399">
            <w:pPr>
              <w:pStyle w:val="10"/>
            </w:pPr>
            <w:r>
              <w:t>其中：财政    资金</w:t>
            </w:r>
          </w:p>
        </w:tc>
        <w:tc>
          <w:tcPr>
            <w:tcW w:w="2551" w:type="dxa"/>
            <w:vAlign w:val="center"/>
          </w:tcPr>
          <w:p w14:paraId="7956728F">
            <w:pPr>
              <w:pStyle w:val="12"/>
            </w:pPr>
            <w:r>
              <w:t>0.83</w:t>
            </w:r>
          </w:p>
        </w:tc>
        <w:tc>
          <w:tcPr>
            <w:tcW w:w="2268" w:type="dxa"/>
            <w:vAlign w:val="center"/>
          </w:tcPr>
          <w:p w14:paraId="4C74A6F9">
            <w:pPr>
              <w:pStyle w:val="10"/>
            </w:pPr>
            <w:r>
              <w:t>其他资金</w:t>
            </w:r>
          </w:p>
        </w:tc>
        <w:tc>
          <w:tcPr>
            <w:tcW w:w="1276" w:type="dxa"/>
            <w:vAlign w:val="center"/>
          </w:tcPr>
          <w:p w14:paraId="36F8A6B7">
            <w:pPr>
              <w:pStyle w:val="12"/>
            </w:pPr>
            <w:r>
              <w:t xml:space="preserve"> </w:t>
            </w:r>
          </w:p>
        </w:tc>
      </w:tr>
      <w:tr w14:paraId="37150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8C287"/>
        </w:tc>
        <w:tc>
          <w:tcPr>
            <w:tcW w:w="14033" w:type="dxa"/>
            <w:gridSpan w:val="6"/>
            <w:vAlign w:val="center"/>
          </w:tcPr>
          <w:p w14:paraId="2C439C7D">
            <w:pPr>
              <w:pStyle w:val="12"/>
            </w:pPr>
            <w:r>
              <w:t>保障学校正常运转，完成各项教育教学活动和其他日常工作任务等方面的费用支出。</w:t>
            </w:r>
          </w:p>
        </w:tc>
      </w:tr>
      <w:tr w14:paraId="4CABD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40B6D">
            <w:pPr>
              <w:pStyle w:val="10"/>
            </w:pPr>
            <w:r>
              <w:t>资金支出计划（%）</w:t>
            </w:r>
          </w:p>
        </w:tc>
        <w:tc>
          <w:tcPr>
            <w:tcW w:w="5103" w:type="dxa"/>
            <w:gridSpan w:val="2"/>
            <w:vAlign w:val="center"/>
          </w:tcPr>
          <w:p w14:paraId="3EA300DB">
            <w:pPr>
              <w:pStyle w:val="10"/>
            </w:pPr>
            <w:r>
              <w:t>3月底</w:t>
            </w:r>
          </w:p>
        </w:tc>
        <w:tc>
          <w:tcPr>
            <w:tcW w:w="2835" w:type="dxa"/>
            <w:vAlign w:val="center"/>
          </w:tcPr>
          <w:p w14:paraId="19D02270">
            <w:pPr>
              <w:pStyle w:val="10"/>
            </w:pPr>
            <w:r>
              <w:t>6月底</w:t>
            </w:r>
          </w:p>
        </w:tc>
        <w:tc>
          <w:tcPr>
            <w:tcW w:w="2551" w:type="dxa"/>
            <w:vAlign w:val="center"/>
          </w:tcPr>
          <w:p w14:paraId="09594606">
            <w:pPr>
              <w:pStyle w:val="10"/>
            </w:pPr>
            <w:r>
              <w:t>10月底</w:t>
            </w:r>
          </w:p>
        </w:tc>
        <w:tc>
          <w:tcPr>
            <w:tcW w:w="3544" w:type="dxa"/>
            <w:gridSpan w:val="2"/>
            <w:vAlign w:val="center"/>
          </w:tcPr>
          <w:p w14:paraId="3F123C38">
            <w:pPr>
              <w:pStyle w:val="10"/>
            </w:pPr>
            <w:r>
              <w:t>12月底</w:t>
            </w:r>
          </w:p>
        </w:tc>
      </w:tr>
      <w:tr w14:paraId="3B55E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0E7AB"/>
        </w:tc>
        <w:tc>
          <w:tcPr>
            <w:tcW w:w="5103" w:type="dxa"/>
            <w:gridSpan w:val="2"/>
            <w:vAlign w:val="center"/>
          </w:tcPr>
          <w:p w14:paraId="7AC241D3">
            <w:pPr>
              <w:pStyle w:val="13"/>
            </w:pPr>
            <w:r>
              <w:t>25%</w:t>
            </w:r>
          </w:p>
        </w:tc>
        <w:tc>
          <w:tcPr>
            <w:tcW w:w="2835" w:type="dxa"/>
            <w:vAlign w:val="center"/>
          </w:tcPr>
          <w:p w14:paraId="405DA3C3">
            <w:pPr>
              <w:pStyle w:val="13"/>
            </w:pPr>
            <w:r>
              <w:t>50%</w:t>
            </w:r>
          </w:p>
        </w:tc>
        <w:tc>
          <w:tcPr>
            <w:tcW w:w="2551" w:type="dxa"/>
            <w:vAlign w:val="center"/>
          </w:tcPr>
          <w:p w14:paraId="2ACD03C1">
            <w:pPr>
              <w:pStyle w:val="13"/>
            </w:pPr>
            <w:r>
              <w:t>75%</w:t>
            </w:r>
          </w:p>
        </w:tc>
        <w:tc>
          <w:tcPr>
            <w:tcW w:w="3544" w:type="dxa"/>
            <w:gridSpan w:val="2"/>
            <w:vAlign w:val="center"/>
          </w:tcPr>
          <w:p w14:paraId="450D0312">
            <w:pPr>
              <w:pStyle w:val="13"/>
            </w:pPr>
            <w:r>
              <w:t>100%</w:t>
            </w:r>
          </w:p>
        </w:tc>
      </w:tr>
      <w:tr w14:paraId="633A4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90F52">
            <w:pPr>
              <w:pStyle w:val="10"/>
            </w:pPr>
            <w:r>
              <w:t>绩效目标</w:t>
            </w:r>
          </w:p>
        </w:tc>
        <w:tc>
          <w:tcPr>
            <w:tcW w:w="14033" w:type="dxa"/>
            <w:gridSpan w:val="6"/>
            <w:vAlign w:val="center"/>
          </w:tcPr>
          <w:p w14:paraId="3C2953E2">
            <w:pPr>
              <w:pStyle w:val="12"/>
            </w:pPr>
            <w:r>
              <w:t>1.按季度分批次拨付公用经费资金，资金拨付率达到100%。</w:t>
            </w:r>
          </w:p>
          <w:p w14:paraId="56ED4550">
            <w:pPr>
              <w:pStyle w:val="12"/>
            </w:pPr>
            <w:r>
              <w:t>2.保障学校正常运转，完成各项教育教学活动和其他日常工作任务等方面的费用支出。</w:t>
            </w:r>
          </w:p>
        </w:tc>
      </w:tr>
    </w:tbl>
    <w:p w14:paraId="166EF1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5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5401C">
            <w:pPr>
              <w:pStyle w:val="10"/>
            </w:pPr>
            <w:r>
              <w:t>一级指标</w:t>
            </w:r>
          </w:p>
        </w:tc>
        <w:tc>
          <w:tcPr>
            <w:tcW w:w="2268" w:type="dxa"/>
            <w:vAlign w:val="center"/>
          </w:tcPr>
          <w:p w14:paraId="2446C11C">
            <w:pPr>
              <w:pStyle w:val="10"/>
            </w:pPr>
            <w:r>
              <w:t>二级指标</w:t>
            </w:r>
          </w:p>
        </w:tc>
        <w:tc>
          <w:tcPr>
            <w:tcW w:w="2835" w:type="dxa"/>
            <w:vAlign w:val="center"/>
          </w:tcPr>
          <w:p w14:paraId="507DA727">
            <w:pPr>
              <w:pStyle w:val="10"/>
            </w:pPr>
            <w:r>
              <w:t>三级指标</w:t>
            </w:r>
          </w:p>
        </w:tc>
        <w:tc>
          <w:tcPr>
            <w:tcW w:w="5386" w:type="dxa"/>
            <w:vAlign w:val="center"/>
          </w:tcPr>
          <w:p w14:paraId="3C5845EF">
            <w:pPr>
              <w:pStyle w:val="10"/>
            </w:pPr>
            <w:r>
              <w:t>绩效指标描述</w:t>
            </w:r>
          </w:p>
        </w:tc>
        <w:tc>
          <w:tcPr>
            <w:tcW w:w="2268" w:type="dxa"/>
            <w:vAlign w:val="center"/>
          </w:tcPr>
          <w:p w14:paraId="19C2A356">
            <w:pPr>
              <w:pStyle w:val="10"/>
            </w:pPr>
            <w:r>
              <w:t>指标值</w:t>
            </w:r>
          </w:p>
        </w:tc>
        <w:tc>
          <w:tcPr>
            <w:tcW w:w="1276" w:type="dxa"/>
            <w:vAlign w:val="center"/>
          </w:tcPr>
          <w:p w14:paraId="262B31DC">
            <w:pPr>
              <w:pStyle w:val="10"/>
            </w:pPr>
            <w:r>
              <w:t>指标值确定依据</w:t>
            </w:r>
          </w:p>
        </w:tc>
      </w:tr>
      <w:tr w14:paraId="44AB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7F331">
            <w:pPr>
              <w:pStyle w:val="13"/>
            </w:pPr>
            <w:r>
              <w:t>产出指标</w:t>
            </w:r>
          </w:p>
        </w:tc>
        <w:tc>
          <w:tcPr>
            <w:tcW w:w="2268" w:type="dxa"/>
            <w:vAlign w:val="center"/>
          </w:tcPr>
          <w:p w14:paraId="67A24C39">
            <w:pPr>
              <w:pStyle w:val="12"/>
            </w:pPr>
            <w:r>
              <w:t>数量指标</w:t>
            </w:r>
          </w:p>
        </w:tc>
        <w:tc>
          <w:tcPr>
            <w:tcW w:w="2835" w:type="dxa"/>
            <w:vAlign w:val="center"/>
          </w:tcPr>
          <w:p w14:paraId="0FF2E5D9">
            <w:pPr>
              <w:pStyle w:val="12"/>
            </w:pPr>
            <w:r>
              <w:t>就读学生数</w:t>
            </w:r>
          </w:p>
        </w:tc>
        <w:tc>
          <w:tcPr>
            <w:tcW w:w="5386" w:type="dxa"/>
            <w:vAlign w:val="center"/>
          </w:tcPr>
          <w:p w14:paraId="0C8F5F82">
            <w:pPr>
              <w:pStyle w:val="12"/>
            </w:pPr>
            <w:r>
              <w:t>辐射区域内适龄学生人数</w:t>
            </w:r>
          </w:p>
        </w:tc>
        <w:tc>
          <w:tcPr>
            <w:tcW w:w="2268" w:type="dxa"/>
            <w:vAlign w:val="center"/>
          </w:tcPr>
          <w:p w14:paraId="3822C8B3">
            <w:pPr>
              <w:pStyle w:val="12"/>
            </w:pPr>
            <w:r>
              <w:t>100人</w:t>
            </w:r>
          </w:p>
        </w:tc>
        <w:tc>
          <w:tcPr>
            <w:tcW w:w="1276" w:type="dxa"/>
            <w:vAlign w:val="center"/>
          </w:tcPr>
          <w:p w14:paraId="1D1A4788">
            <w:pPr>
              <w:pStyle w:val="12"/>
            </w:pPr>
            <w:r>
              <w:t>城乡义务教育公用经费管理办法</w:t>
            </w:r>
          </w:p>
        </w:tc>
      </w:tr>
      <w:tr w14:paraId="1262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904A"/>
        </w:tc>
        <w:tc>
          <w:tcPr>
            <w:tcW w:w="2268" w:type="dxa"/>
            <w:vAlign w:val="center"/>
          </w:tcPr>
          <w:p w14:paraId="26985107">
            <w:pPr>
              <w:pStyle w:val="12"/>
            </w:pPr>
            <w:r>
              <w:t>质量指标</w:t>
            </w:r>
          </w:p>
        </w:tc>
        <w:tc>
          <w:tcPr>
            <w:tcW w:w="2835" w:type="dxa"/>
            <w:vAlign w:val="center"/>
          </w:tcPr>
          <w:p w14:paraId="450E1571">
            <w:pPr>
              <w:pStyle w:val="12"/>
            </w:pPr>
            <w:r>
              <w:t>预算执行率</w:t>
            </w:r>
          </w:p>
        </w:tc>
        <w:tc>
          <w:tcPr>
            <w:tcW w:w="5386" w:type="dxa"/>
            <w:vAlign w:val="center"/>
          </w:tcPr>
          <w:p w14:paraId="21ED4EC0">
            <w:pPr>
              <w:pStyle w:val="12"/>
            </w:pPr>
            <w:r>
              <w:t>预算执行率</w:t>
            </w:r>
          </w:p>
        </w:tc>
        <w:tc>
          <w:tcPr>
            <w:tcW w:w="2268" w:type="dxa"/>
            <w:vAlign w:val="center"/>
          </w:tcPr>
          <w:p w14:paraId="6B622805">
            <w:pPr>
              <w:pStyle w:val="12"/>
            </w:pPr>
            <w:r>
              <w:t>≥95%</w:t>
            </w:r>
          </w:p>
        </w:tc>
        <w:tc>
          <w:tcPr>
            <w:tcW w:w="1276" w:type="dxa"/>
            <w:vAlign w:val="center"/>
          </w:tcPr>
          <w:p w14:paraId="63AEE451">
            <w:pPr>
              <w:pStyle w:val="12"/>
            </w:pPr>
            <w:r>
              <w:t>城乡义务教育公用经费管理办法</w:t>
            </w:r>
          </w:p>
        </w:tc>
      </w:tr>
      <w:tr w14:paraId="1265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B3606"/>
        </w:tc>
        <w:tc>
          <w:tcPr>
            <w:tcW w:w="2268" w:type="dxa"/>
            <w:vAlign w:val="center"/>
          </w:tcPr>
          <w:p w14:paraId="170838E0">
            <w:pPr>
              <w:pStyle w:val="12"/>
            </w:pPr>
            <w:r>
              <w:t>时效指标</w:t>
            </w:r>
          </w:p>
        </w:tc>
        <w:tc>
          <w:tcPr>
            <w:tcW w:w="2835" w:type="dxa"/>
            <w:vAlign w:val="center"/>
          </w:tcPr>
          <w:p w14:paraId="743576C3">
            <w:pPr>
              <w:pStyle w:val="12"/>
            </w:pPr>
            <w:r>
              <w:t>义教经费支付完成率</w:t>
            </w:r>
          </w:p>
        </w:tc>
        <w:tc>
          <w:tcPr>
            <w:tcW w:w="5386" w:type="dxa"/>
            <w:vAlign w:val="center"/>
          </w:tcPr>
          <w:p w14:paraId="495525BF">
            <w:pPr>
              <w:pStyle w:val="12"/>
            </w:pPr>
            <w:r>
              <w:t>按照序时进度完成资金支付</w:t>
            </w:r>
          </w:p>
        </w:tc>
        <w:tc>
          <w:tcPr>
            <w:tcW w:w="2268" w:type="dxa"/>
            <w:vAlign w:val="center"/>
          </w:tcPr>
          <w:p w14:paraId="399125A4">
            <w:pPr>
              <w:pStyle w:val="12"/>
            </w:pPr>
            <w:r>
              <w:t>100%</w:t>
            </w:r>
          </w:p>
        </w:tc>
        <w:tc>
          <w:tcPr>
            <w:tcW w:w="1276" w:type="dxa"/>
            <w:vAlign w:val="center"/>
          </w:tcPr>
          <w:p w14:paraId="0F5884B7">
            <w:pPr>
              <w:pStyle w:val="12"/>
            </w:pPr>
            <w:r>
              <w:t>城乡义务教育公用经费管理办法</w:t>
            </w:r>
          </w:p>
        </w:tc>
      </w:tr>
      <w:tr w14:paraId="230A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78BF4"/>
        </w:tc>
        <w:tc>
          <w:tcPr>
            <w:tcW w:w="2268" w:type="dxa"/>
            <w:vAlign w:val="center"/>
          </w:tcPr>
          <w:p w14:paraId="66BB3AD4">
            <w:pPr>
              <w:pStyle w:val="12"/>
            </w:pPr>
            <w:r>
              <w:t>成本指标</w:t>
            </w:r>
          </w:p>
        </w:tc>
        <w:tc>
          <w:tcPr>
            <w:tcW w:w="2835" w:type="dxa"/>
            <w:vAlign w:val="center"/>
          </w:tcPr>
          <w:p w14:paraId="0C115560">
            <w:pPr>
              <w:pStyle w:val="12"/>
            </w:pPr>
            <w:r>
              <w:t>生均拨款标准</w:t>
            </w:r>
          </w:p>
        </w:tc>
        <w:tc>
          <w:tcPr>
            <w:tcW w:w="5386" w:type="dxa"/>
            <w:vAlign w:val="center"/>
          </w:tcPr>
          <w:p w14:paraId="25FF3C8F">
            <w:pPr>
              <w:pStyle w:val="12"/>
            </w:pPr>
            <w:r>
              <w:t>小学生公用经费生均公用经费基准定额为720元/年/生，取暖费120元/年/生，住宿生补助300元/年/生的标准，随班就读学生补助7000元/生/年</w:t>
            </w:r>
          </w:p>
        </w:tc>
        <w:tc>
          <w:tcPr>
            <w:tcW w:w="2268" w:type="dxa"/>
            <w:vAlign w:val="center"/>
          </w:tcPr>
          <w:p w14:paraId="4DA51359">
            <w:pPr>
              <w:pStyle w:val="12"/>
            </w:pPr>
            <w:r>
              <w:t>840元</w:t>
            </w:r>
          </w:p>
        </w:tc>
        <w:tc>
          <w:tcPr>
            <w:tcW w:w="1276" w:type="dxa"/>
            <w:vAlign w:val="center"/>
          </w:tcPr>
          <w:p w14:paraId="5EBE6FEE">
            <w:pPr>
              <w:pStyle w:val="12"/>
            </w:pPr>
            <w:r>
              <w:t>城乡义务教育公用经费管理办法</w:t>
            </w:r>
          </w:p>
        </w:tc>
      </w:tr>
      <w:tr w14:paraId="083D6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A2CEF">
            <w:pPr>
              <w:pStyle w:val="13"/>
            </w:pPr>
            <w:r>
              <w:t>效益指标</w:t>
            </w:r>
          </w:p>
        </w:tc>
        <w:tc>
          <w:tcPr>
            <w:tcW w:w="2268" w:type="dxa"/>
            <w:vAlign w:val="center"/>
          </w:tcPr>
          <w:p w14:paraId="53599D60">
            <w:pPr>
              <w:pStyle w:val="12"/>
            </w:pPr>
            <w:r>
              <w:t>可持续影响指标</w:t>
            </w:r>
          </w:p>
        </w:tc>
        <w:tc>
          <w:tcPr>
            <w:tcW w:w="2835" w:type="dxa"/>
            <w:vAlign w:val="center"/>
          </w:tcPr>
          <w:p w14:paraId="7D7ECEF7">
            <w:pPr>
              <w:pStyle w:val="12"/>
            </w:pPr>
            <w:r>
              <w:t>学校运转得到提高</w:t>
            </w:r>
          </w:p>
        </w:tc>
        <w:tc>
          <w:tcPr>
            <w:tcW w:w="5386" w:type="dxa"/>
            <w:vAlign w:val="center"/>
          </w:tcPr>
          <w:p w14:paraId="5DD0EBE8">
            <w:pPr>
              <w:pStyle w:val="12"/>
            </w:pPr>
            <w:r>
              <w:t>学生受教育年限</w:t>
            </w:r>
          </w:p>
        </w:tc>
        <w:tc>
          <w:tcPr>
            <w:tcW w:w="2268" w:type="dxa"/>
            <w:vAlign w:val="center"/>
          </w:tcPr>
          <w:p w14:paraId="119B29DC">
            <w:pPr>
              <w:pStyle w:val="12"/>
            </w:pPr>
            <w:r>
              <w:t>6年</w:t>
            </w:r>
          </w:p>
        </w:tc>
        <w:tc>
          <w:tcPr>
            <w:tcW w:w="1276" w:type="dxa"/>
            <w:vAlign w:val="center"/>
          </w:tcPr>
          <w:p w14:paraId="0C69389E">
            <w:pPr>
              <w:pStyle w:val="12"/>
            </w:pPr>
            <w:r>
              <w:t>城乡义务教育公用经费管理办法</w:t>
            </w:r>
          </w:p>
        </w:tc>
      </w:tr>
      <w:tr w14:paraId="28DE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1CDCF">
            <w:pPr>
              <w:pStyle w:val="13"/>
            </w:pPr>
            <w:r>
              <w:t>满意度指标</w:t>
            </w:r>
          </w:p>
        </w:tc>
        <w:tc>
          <w:tcPr>
            <w:tcW w:w="2268" w:type="dxa"/>
            <w:vAlign w:val="center"/>
          </w:tcPr>
          <w:p w14:paraId="5A565407">
            <w:pPr>
              <w:pStyle w:val="12"/>
            </w:pPr>
            <w:r>
              <w:t>服务对象满意度指标</w:t>
            </w:r>
          </w:p>
        </w:tc>
        <w:tc>
          <w:tcPr>
            <w:tcW w:w="2835" w:type="dxa"/>
            <w:vAlign w:val="center"/>
          </w:tcPr>
          <w:p w14:paraId="5187300F">
            <w:pPr>
              <w:pStyle w:val="12"/>
            </w:pPr>
            <w:r>
              <w:t>服务对象满意度</w:t>
            </w:r>
          </w:p>
        </w:tc>
        <w:tc>
          <w:tcPr>
            <w:tcW w:w="5386" w:type="dxa"/>
            <w:vAlign w:val="center"/>
          </w:tcPr>
          <w:p w14:paraId="50330D80">
            <w:pPr>
              <w:pStyle w:val="12"/>
            </w:pPr>
            <w:r>
              <w:t>学校老师和学生满意度</w:t>
            </w:r>
          </w:p>
        </w:tc>
        <w:tc>
          <w:tcPr>
            <w:tcW w:w="2268" w:type="dxa"/>
            <w:vAlign w:val="center"/>
          </w:tcPr>
          <w:p w14:paraId="3EBAA8E3">
            <w:pPr>
              <w:pStyle w:val="12"/>
            </w:pPr>
            <w:r>
              <w:t>≥95%</w:t>
            </w:r>
          </w:p>
        </w:tc>
        <w:tc>
          <w:tcPr>
            <w:tcW w:w="1276" w:type="dxa"/>
            <w:vAlign w:val="center"/>
          </w:tcPr>
          <w:p w14:paraId="66455FD5">
            <w:pPr>
              <w:pStyle w:val="12"/>
            </w:pPr>
            <w:r>
              <w:t>群众测评</w:t>
            </w:r>
          </w:p>
        </w:tc>
      </w:tr>
    </w:tbl>
    <w:p w14:paraId="6F6AE101">
      <w:pPr>
        <w:sectPr>
          <w:pgSz w:w="16840" w:h="11900" w:orient="landscape"/>
          <w:pgMar w:top="1361" w:right="1020" w:bottom="1134" w:left="1020" w:header="720" w:footer="720" w:gutter="0"/>
          <w:cols w:space="720" w:num="1"/>
        </w:sectPr>
      </w:pPr>
    </w:p>
    <w:p w14:paraId="12651067">
      <w:pPr>
        <w:spacing w:before="0" w:after="0"/>
        <w:ind w:firstLine="560"/>
        <w:jc w:val="left"/>
        <w:outlineLvl w:val="9"/>
      </w:pPr>
      <w:r>
        <w:rPr>
          <w:rFonts w:ascii="方正仿宋_GBK" w:hAnsi="方正仿宋_GBK" w:eastAsia="方正仿宋_GBK" w:cs="方正仿宋_GBK"/>
          <w:b/>
          <w:color w:val="000000"/>
          <w:sz w:val="28"/>
        </w:rPr>
        <w:t>31、县级配套/莲子镇校区西店子小学公用经费绩效目标表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3F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80888">
            <w:pPr>
              <w:pStyle w:val="11"/>
            </w:pPr>
            <w:r>
              <w:t>单位：万元</w:t>
            </w:r>
          </w:p>
        </w:tc>
      </w:tr>
      <w:tr w14:paraId="6EAFD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F36FF">
            <w:pPr>
              <w:pStyle w:val="10"/>
            </w:pPr>
            <w:r>
              <w:t>项目编码</w:t>
            </w:r>
          </w:p>
        </w:tc>
        <w:tc>
          <w:tcPr>
            <w:tcW w:w="5103" w:type="dxa"/>
            <w:gridSpan w:val="2"/>
            <w:vAlign w:val="center"/>
          </w:tcPr>
          <w:p w14:paraId="533D4BC5">
            <w:pPr>
              <w:pStyle w:val="12"/>
            </w:pPr>
            <w:r>
              <w:t>13052526P000004104797</w:t>
            </w:r>
          </w:p>
        </w:tc>
        <w:tc>
          <w:tcPr>
            <w:tcW w:w="2835" w:type="dxa"/>
            <w:vAlign w:val="center"/>
          </w:tcPr>
          <w:p w14:paraId="0AF64A3C">
            <w:pPr>
              <w:pStyle w:val="10"/>
            </w:pPr>
            <w:r>
              <w:t>项目名称</w:t>
            </w:r>
          </w:p>
        </w:tc>
        <w:tc>
          <w:tcPr>
            <w:tcW w:w="6095" w:type="dxa"/>
            <w:gridSpan w:val="3"/>
            <w:vAlign w:val="center"/>
          </w:tcPr>
          <w:p w14:paraId="611F0BCF">
            <w:pPr>
              <w:pStyle w:val="12"/>
            </w:pPr>
            <w:r>
              <w:t>县级配套/莲子镇校区西店子小学公用经费</w:t>
            </w:r>
          </w:p>
        </w:tc>
      </w:tr>
      <w:tr w14:paraId="68BF2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A7F18">
            <w:pPr>
              <w:pStyle w:val="10"/>
            </w:pPr>
            <w:r>
              <w:t>预算规模及资金用途</w:t>
            </w:r>
          </w:p>
        </w:tc>
        <w:tc>
          <w:tcPr>
            <w:tcW w:w="2268" w:type="dxa"/>
            <w:vAlign w:val="center"/>
          </w:tcPr>
          <w:p w14:paraId="79E66A27">
            <w:pPr>
              <w:pStyle w:val="10"/>
            </w:pPr>
            <w:r>
              <w:t>预算数</w:t>
            </w:r>
          </w:p>
        </w:tc>
        <w:tc>
          <w:tcPr>
            <w:tcW w:w="2835" w:type="dxa"/>
            <w:vAlign w:val="center"/>
          </w:tcPr>
          <w:p w14:paraId="26C82E9D">
            <w:pPr>
              <w:pStyle w:val="12"/>
            </w:pPr>
            <w:r>
              <w:t>1.46</w:t>
            </w:r>
          </w:p>
        </w:tc>
        <w:tc>
          <w:tcPr>
            <w:tcW w:w="2835" w:type="dxa"/>
            <w:vAlign w:val="center"/>
          </w:tcPr>
          <w:p w14:paraId="3492326B">
            <w:pPr>
              <w:pStyle w:val="10"/>
            </w:pPr>
            <w:r>
              <w:t>其中：财政    资金</w:t>
            </w:r>
          </w:p>
        </w:tc>
        <w:tc>
          <w:tcPr>
            <w:tcW w:w="2551" w:type="dxa"/>
            <w:vAlign w:val="center"/>
          </w:tcPr>
          <w:p w14:paraId="36C45740">
            <w:pPr>
              <w:pStyle w:val="12"/>
            </w:pPr>
            <w:r>
              <w:t>1.46</w:t>
            </w:r>
          </w:p>
        </w:tc>
        <w:tc>
          <w:tcPr>
            <w:tcW w:w="2268" w:type="dxa"/>
            <w:vAlign w:val="center"/>
          </w:tcPr>
          <w:p w14:paraId="62289B7F">
            <w:pPr>
              <w:pStyle w:val="10"/>
            </w:pPr>
            <w:r>
              <w:t>其他资金</w:t>
            </w:r>
          </w:p>
        </w:tc>
        <w:tc>
          <w:tcPr>
            <w:tcW w:w="1276" w:type="dxa"/>
            <w:vAlign w:val="center"/>
          </w:tcPr>
          <w:p w14:paraId="409601C9">
            <w:pPr>
              <w:pStyle w:val="12"/>
            </w:pPr>
            <w:r>
              <w:t xml:space="preserve"> </w:t>
            </w:r>
          </w:p>
        </w:tc>
      </w:tr>
      <w:tr w14:paraId="321A6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0AA46"/>
        </w:tc>
        <w:tc>
          <w:tcPr>
            <w:tcW w:w="14033" w:type="dxa"/>
            <w:gridSpan w:val="6"/>
            <w:vAlign w:val="center"/>
          </w:tcPr>
          <w:p w14:paraId="6520ECCF">
            <w:pPr>
              <w:pStyle w:val="12"/>
            </w:pPr>
            <w:r>
              <w:t>保障学校正常运转，完成各项教育教学活动和其他日常工作任务等方面的费用支出。</w:t>
            </w:r>
          </w:p>
        </w:tc>
      </w:tr>
      <w:tr w14:paraId="76E4E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AE6A9">
            <w:pPr>
              <w:pStyle w:val="10"/>
            </w:pPr>
            <w:r>
              <w:t>资金支出计划（%）</w:t>
            </w:r>
          </w:p>
        </w:tc>
        <w:tc>
          <w:tcPr>
            <w:tcW w:w="5103" w:type="dxa"/>
            <w:gridSpan w:val="2"/>
            <w:vAlign w:val="center"/>
          </w:tcPr>
          <w:p w14:paraId="747591C4">
            <w:pPr>
              <w:pStyle w:val="10"/>
            </w:pPr>
            <w:r>
              <w:t>3月底</w:t>
            </w:r>
          </w:p>
        </w:tc>
        <w:tc>
          <w:tcPr>
            <w:tcW w:w="2835" w:type="dxa"/>
            <w:vAlign w:val="center"/>
          </w:tcPr>
          <w:p w14:paraId="0F195B03">
            <w:pPr>
              <w:pStyle w:val="10"/>
            </w:pPr>
            <w:r>
              <w:t>6月底</w:t>
            </w:r>
          </w:p>
        </w:tc>
        <w:tc>
          <w:tcPr>
            <w:tcW w:w="2551" w:type="dxa"/>
            <w:vAlign w:val="center"/>
          </w:tcPr>
          <w:p w14:paraId="5E7F2B30">
            <w:pPr>
              <w:pStyle w:val="10"/>
            </w:pPr>
            <w:r>
              <w:t>10月底</w:t>
            </w:r>
          </w:p>
        </w:tc>
        <w:tc>
          <w:tcPr>
            <w:tcW w:w="3544" w:type="dxa"/>
            <w:gridSpan w:val="2"/>
            <w:vAlign w:val="center"/>
          </w:tcPr>
          <w:p w14:paraId="034750AC">
            <w:pPr>
              <w:pStyle w:val="10"/>
            </w:pPr>
            <w:r>
              <w:t>12月底</w:t>
            </w:r>
          </w:p>
        </w:tc>
      </w:tr>
      <w:tr w14:paraId="6BCD1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07EF8"/>
        </w:tc>
        <w:tc>
          <w:tcPr>
            <w:tcW w:w="5103" w:type="dxa"/>
            <w:gridSpan w:val="2"/>
            <w:vAlign w:val="center"/>
          </w:tcPr>
          <w:p w14:paraId="2E7B442B">
            <w:pPr>
              <w:pStyle w:val="13"/>
            </w:pPr>
            <w:r>
              <w:t>25%</w:t>
            </w:r>
          </w:p>
        </w:tc>
        <w:tc>
          <w:tcPr>
            <w:tcW w:w="2835" w:type="dxa"/>
            <w:vAlign w:val="center"/>
          </w:tcPr>
          <w:p w14:paraId="29B52708">
            <w:pPr>
              <w:pStyle w:val="13"/>
            </w:pPr>
            <w:r>
              <w:t>50%</w:t>
            </w:r>
          </w:p>
        </w:tc>
        <w:tc>
          <w:tcPr>
            <w:tcW w:w="2551" w:type="dxa"/>
            <w:vAlign w:val="center"/>
          </w:tcPr>
          <w:p w14:paraId="33B3AA6C">
            <w:pPr>
              <w:pStyle w:val="13"/>
            </w:pPr>
            <w:r>
              <w:t>75%</w:t>
            </w:r>
          </w:p>
        </w:tc>
        <w:tc>
          <w:tcPr>
            <w:tcW w:w="3544" w:type="dxa"/>
            <w:gridSpan w:val="2"/>
            <w:vAlign w:val="center"/>
          </w:tcPr>
          <w:p w14:paraId="461BBAF0">
            <w:pPr>
              <w:pStyle w:val="13"/>
            </w:pPr>
            <w:r>
              <w:t>100%</w:t>
            </w:r>
          </w:p>
        </w:tc>
      </w:tr>
      <w:tr w14:paraId="6B204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12215">
            <w:pPr>
              <w:pStyle w:val="10"/>
            </w:pPr>
            <w:r>
              <w:t>绩效目标</w:t>
            </w:r>
          </w:p>
        </w:tc>
        <w:tc>
          <w:tcPr>
            <w:tcW w:w="14033" w:type="dxa"/>
            <w:gridSpan w:val="6"/>
            <w:vAlign w:val="center"/>
          </w:tcPr>
          <w:p w14:paraId="432CAAD2">
            <w:pPr>
              <w:pStyle w:val="12"/>
            </w:pPr>
            <w:r>
              <w:t>1.按季度分批次拨付公用经费资金，资金拨付率达到100%。</w:t>
            </w:r>
          </w:p>
          <w:p w14:paraId="2AEA6727">
            <w:pPr>
              <w:pStyle w:val="12"/>
            </w:pPr>
            <w:r>
              <w:t>2.保障学校正常运转，完成各项教育教学活动和其他日常工作任务等方面的费用支出。</w:t>
            </w:r>
          </w:p>
        </w:tc>
      </w:tr>
    </w:tbl>
    <w:p w14:paraId="32C15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9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C7782">
            <w:pPr>
              <w:pStyle w:val="10"/>
            </w:pPr>
            <w:r>
              <w:t>一级指标</w:t>
            </w:r>
          </w:p>
        </w:tc>
        <w:tc>
          <w:tcPr>
            <w:tcW w:w="2268" w:type="dxa"/>
            <w:vAlign w:val="center"/>
          </w:tcPr>
          <w:p w14:paraId="052F3AC1">
            <w:pPr>
              <w:pStyle w:val="10"/>
            </w:pPr>
            <w:r>
              <w:t>二级指标</w:t>
            </w:r>
          </w:p>
        </w:tc>
        <w:tc>
          <w:tcPr>
            <w:tcW w:w="2835" w:type="dxa"/>
            <w:vAlign w:val="center"/>
          </w:tcPr>
          <w:p w14:paraId="3F17A1F7">
            <w:pPr>
              <w:pStyle w:val="10"/>
            </w:pPr>
            <w:r>
              <w:t>三级指标</w:t>
            </w:r>
          </w:p>
        </w:tc>
        <w:tc>
          <w:tcPr>
            <w:tcW w:w="5386" w:type="dxa"/>
            <w:vAlign w:val="center"/>
          </w:tcPr>
          <w:p w14:paraId="1CE3E201">
            <w:pPr>
              <w:pStyle w:val="10"/>
            </w:pPr>
            <w:r>
              <w:t>绩效指标描述</w:t>
            </w:r>
          </w:p>
        </w:tc>
        <w:tc>
          <w:tcPr>
            <w:tcW w:w="2268" w:type="dxa"/>
            <w:vAlign w:val="center"/>
          </w:tcPr>
          <w:p w14:paraId="37549E01">
            <w:pPr>
              <w:pStyle w:val="10"/>
            </w:pPr>
            <w:r>
              <w:t>指标值</w:t>
            </w:r>
          </w:p>
        </w:tc>
        <w:tc>
          <w:tcPr>
            <w:tcW w:w="1276" w:type="dxa"/>
            <w:vAlign w:val="center"/>
          </w:tcPr>
          <w:p w14:paraId="7BA47B1A">
            <w:pPr>
              <w:pStyle w:val="10"/>
            </w:pPr>
            <w:r>
              <w:t>指标值确定依据</w:t>
            </w:r>
          </w:p>
        </w:tc>
      </w:tr>
      <w:tr w14:paraId="16BD1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C825B">
            <w:pPr>
              <w:pStyle w:val="13"/>
            </w:pPr>
            <w:r>
              <w:t>产出指标</w:t>
            </w:r>
          </w:p>
        </w:tc>
        <w:tc>
          <w:tcPr>
            <w:tcW w:w="2268" w:type="dxa"/>
            <w:vAlign w:val="center"/>
          </w:tcPr>
          <w:p w14:paraId="5620201F">
            <w:pPr>
              <w:pStyle w:val="12"/>
            </w:pPr>
            <w:r>
              <w:t>数量指标</w:t>
            </w:r>
          </w:p>
        </w:tc>
        <w:tc>
          <w:tcPr>
            <w:tcW w:w="2835" w:type="dxa"/>
            <w:vAlign w:val="center"/>
          </w:tcPr>
          <w:p w14:paraId="1E3B930F">
            <w:pPr>
              <w:pStyle w:val="12"/>
            </w:pPr>
            <w:r>
              <w:t>就读学生数</w:t>
            </w:r>
          </w:p>
        </w:tc>
        <w:tc>
          <w:tcPr>
            <w:tcW w:w="5386" w:type="dxa"/>
            <w:vAlign w:val="center"/>
          </w:tcPr>
          <w:p w14:paraId="2AA0C727">
            <w:pPr>
              <w:pStyle w:val="12"/>
            </w:pPr>
            <w:r>
              <w:t>辐射区域内适龄学生人数</w:t>
            </w:r>
          </w:p>
        </w:tc>
        <w:tc>
          <w:tcPr>
            <w:tcW w:w="2268" w:type="dxa"/>
            <w:vAlign w:val="center"/>
          </w:tcPr>
          <w:p w14:paraId="12407020">
            <w:pPr>
              <w:pStyle w:val="12"/>
            </w:pPr>
            <w:r>
              <w:t>168人</w:t>
            </w:r>
          </w:p>
        </w:tc>
        <w:tc>
          <w:tcPr>
            <w:tcW w:w="1276" w:type="dxa"/>
            <w:vAlign w:val="center"/>
          </w:tcPr>
          <w:p w14:paraId="7E80EB6E">
            <w:pPr>
              <w:pStyle w:val="12"/>
            </w:pPr>
            <w:r>
              <w:t>城乡义务教育公用经费管理办法</w:t>
            </w:r>
          </w:p>
        </w:tc>
      </w:tr>
      <w:tr w14:paraId="3E20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B4AE8"/>
        </w:tc>
        <w:tc>
          <w:tcPr>
            <w:tcW w:w="2268" w:type="dxa"/>
            <w:vAlign w:val="center"/>
          </w:tcPr>
          <w:p w14:paraId="6C6564E8">
            <w:pPr>
              <w:pStyle w:val="12"/>
            </w:pPr>
            <w:r>
              <w:t>质量指标</w:t>
            </w:r>
          </w:p>
        </w:tc>
        <w:tc>
          <w:tcPr>
            <w:tcW w:w="2835" w:type="dxa"/>
            <w:vAlign w:val="center"/>
          </w:tcPr>
          <w:p w14:paraId="5020529F">
            <w:pPr>
              <w:pStyle w:val="12"/>
            </w:pPr>
            <w:r>
              <w:t>预算执行率</w:t>
            </w:r>
          </w:p>
        </w:tc>
        <w:tc>
          <w:tcPr>
            <w:tcW w:w="5386" w:type="dxa"/>
            <w:vAlign w:val="center"/>
          </w:tcPr>
          <w:p w14:paraId="082F7AE6">
            <w:pPr>
              <w:pStyle w:val="12"/>
            </w:pPr>
            <w:r>
              <w:t>预算执行率</w:t>
            </w:r>
          </w:p>
        </w:tc>
        <w:tc>
          <w:tcPr>
            <w:tcW w:w="2268" w:type="dxa"/>
            <w:vAlign w:val="center"/>
          </w:tcPr>
          <w:p w14:paraId="7FCBA3F3">
            <w:pPr>
              <w:pStyle w:val="12"/>
            </w:pPr>
            <w:r>
              <w:t>≥95%</w:t>
            </w:r>
          </w:p>
        </w:tc>
        <w:tc>
          <w:tcPr>
            <w:tcW w:w="1276" w:type="dxa"/>
            <w:vAlign w:val="center"/>
          </w:tcPr>
          <w:p w14:paraId="107018B5">
            <w:pPr>
              <w:pStyle w:val="12"/>
            </w:pPr>
            <w:r>
              <w:t>城乡义务教育公用经费管理办法</w:t>
            </w:r>
          </w:p>
        </w:tc>
      </w:tr>
      <w:tr w14:paraId="49A8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9C0C8"/>
        </w:tc>
        <w:tc>
          <w:tcPr>
            <w:tcW w:w="2268" w:type="dxa"/>
            <w:vAlign w:val="center"/>
          </w:tcPr>
          <w:p w14:paraId="08FB3EE0">
            <w:pPr>
              <w:pStyle w:val="12"/>
            </w:pPr>
            <w:r>
              <w:t>时效指标</w:t>
            </w:r>
          </w:p>
        </w:tc>
        <w:tc>
          <w:tcPr>
            <w:tcW w:w="2835" w:type="dxa"/>
            <w:vAlign w:val="center"/>
          </w:tcPr>
          <w:p w14:paraId="05949BE8">
            <w:pPr>
              <w:pStyle w:val="12"/>
            </w:pPr>
            <w:r>
              <w:t>义教经费支付完成率</w:t>
            </w:r>
          </w:p>
        </w:tc>
        <w:tc>
          <w:tcPr>
            <w:tcW w:w="5386" w:type="dxa"/>
            <w:vAlign w:val="center"/>
          </w:tcPr>
          <w:p w14:paraId="72FA75AB">
            <w:pPr>
              <w:pStyle w:val="12"/>
            </w:pPr>
            <w:r>
              <w:t>按照序时进度完成资金支付</w:t>
            </w:r>
          </w:p>
        </w:tc>
        <w:tc>
          <w:tcPr>
            <w:tcW w:w="2268" w:type="dxa"/>
            <w:vAlign w:val="center"/>
          </w:tcPr>
          <w:p w14:paraId="130CBC59">
            <w:pPr>
              <w:pStyle w:val="12"/>
            </w:pPr>
            <w:r>
              <w:t>100%</w:t>
            </w:r>
          </w:p>
        </w:tc>
        <w:tc>
          <w:tcPr>
            <w:tcW w:w="1276" w:type="dxa"/>
            <w:vAlign w:val="center"/>
          </w:tcPr>
          <w:p w14:paraId="74C12927">
            <w:pPr>
              <w:pStyle w:val="12"/>
            </w:pPr>
            <w:r>
              <w:t>城乡义务教育公用经费管理办法</w:t>
            </w:r>
          </w:p>
        </w:tc>
      </w:tr>
      <w:tr w14:paraId="1AF3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2FBA6"/>
        </w:tc>
        <w:tc>
          <w:tcPr>
            <w:tcW w:w="2268" w:type="dxa"/>
            <w:vAlign w:val="center"/>
          </w:tcPr>
          <w:p w14:paraId="71C2D090">
            <w:pPr>
              <w:pStyle w:val="12"/>
            </w:pPr>
            <w:r>
              <w:t>成本指标</w:t>
            </w:r>
          </w:p>
        </w:tc>
        <w:tc>
          <w:tcPr>
            <w:tcW w:w="2835" w:type="dxa"/>
            <w:vAlign w:val="center"/>
          </w:tcPr>
          <w:p w14:paraId="3D328F31">
            <w:pPr>
              <w:pStyle w:val="12"/>
            </w:pPr>
            <w:r>
              <w:t>生均拨款标准</w:t>
            </w:r>
          </w:p>
        </w:tc>
        <w:tc>
          <w:tcPr>
            <w:tcW w:w="5386" w:type="dxa"/>
            <w:vAlign w:val="center"/>
          </w:tcPr>
          <w:p w14:paraId="2A245019">
            <w:pPr>
              <w:pStyle w:val="12"/>
            </w:pPr>
            <w:r>
              <w:t>小学生公用经费生均公用经费基准定额为720元/年/生，取暖费120元/年/生，住宿生补助300元/年/生的标准，随班就读学生补助7000元/生/年</w:t>
            </w:r>
          </w:p>
        </w:tc>
        <w:tc>
          <w:tcPr>
            <w:tcW w:w="2268" w:type="dxa"/>
            <w:vAlign w:val="center"/>
          </w:tcPr>
          <w:p w14:paraId="7009427C">
            <w:pPr>
              <w:pStyle w:val="12"/>
            </w:pPr>
            <w:r>
              <w:t>840元</w:t>
            </w:r>
          </w:p>
        </w:tc>
        <w:tc>
          <w:tcPr>
            <w:tcW w:w="1276" w:type="dxa"/>
            <w:vAlign w:val="center"/>
          </w:tcPr>
          <w:p w14:paraId="65E43D0A">
            <w:pPr>
              <w:pStyle w:val="12"/>
            </w:pPr>
            <w:r>
              <w:t>城乡义务教育公用经费管理办法</w:t>
            </w:r>
          </w:p>
        </w:tc>
      </w:tr>
      <w:tr w14:paraId="160C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4D872">
            <w:pPr>
              <w:pStyle w:val="13"/>
            </w:pPr>
            <w:r>
              <w:t>效益指标</w:t>
            </w:r>
          </w:p>
        </w:tc>
        <w:tc>
          <w:tcPr>
            <w:tcW w:w="2268" w:type="dxa"/>
            <w:vAlign w:val="center"/>
          </w:tcPr>
          <w:p w14:paraId="5EAE225B">
            <w:pPr>
              <w:pStyle w:val="12"/>
            </w:pPr>
            <w:r>
              <w:t>可持续影响指标</w:t>
            </w:r>
          </w:p>
        </w:tc>
        <w:tc>
          <w:tcPr>
            <w:tcW w:w="2835" w:type="dxa"/>
            <w:vAlign w:val="center"/>
          </w:tcPr>
          <w:p w14:paraId="0E80159C">
            <w:pPr>
              <w:pStyle w:val="12"/>
            </w:pPr>
            <w:r>
              <w:t>学校运转得到提高</w:t>
            </w:r>
          </w:p>
        </w:tc>
        <w:tc>
          <w:tcPr>
            <w:tcW w:w="5386" w:type="dxa"/>
            <w:vAlign w:val="center"/>
          </w:tcPr>
          <w:p w14:paraId="5489F42C">
            <w:pPr>
              <w:pStyle w:val="12"/>
            </w:pPr>
            <w:r>
              <w:t>学生受教育年限</w:t>
            </w:r>
          </w:p>
        </w:tc>
        <w:tc>
          <w:tcPr>
            <w:tcW w:w="2268" w:type="dxa"/>
            <w:vAlign w:val="center"/>
          </w:tcPr>
          <w:p w14:paraId="4EA44DF7">
            <w:pPr>
              <w:pStyle w:val="12"/>
            </w:pPr>
            <w:r>
              <w:t>6年</w:t>
            </w:r>
          </w:p>
        </w:tc>
        <w:tc>
          <w:tcPr>
            <w:tcW w:w="1276" w:type="dxa"/>
            <w:vAlign w:val="center"/>
          </w:tcPr>
          <w:p w14:paraId="38FF7248">
            <w:pPr>
              <w:pStyle w:val="12"/>
            </w:pPr>
            <w:r>
              <w:t>城乡义务教育公用经费管理办法</w:t>
            </w:r>
          </w:p>
        </w:tc>
      </w:tr>
      <w:tr w14:paraId="4BEC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C0CEB">
            <w:pPr>
              <w:pStyle w:val="13"/>
            </w:pPr>
            <w:r>
              <w:t>满意度指标</w:t>
            </w:r>
          </w:p>
        </w:tc>
        <w:tc>
          <w:tcPr>
            <w:tcW w:w="2268" w:type="dxa"/>
            <w:vAlign w:val="center"/>
          </w:tcPr>
          <w:p w14:paraId="39D143F5">
            <w:pPr>
              <w:pStyle w:val="12"/>
            </w:pPr>
            <w:r>
              <w:t>服务对象满意度指标</w:t>
            </w:r>
          </w:p>
        </w:tc>
        <w:tc>
          <w:tcPr>
            <w:tcW w:w="2835" w:type="dxa"/>
            <w:vAlign w:val="center"/>
          </w:tcPr>
          <w:p w14:paraId="6CB219F5">
            <w:pPr>
              <w:pStyle w:val="12"/>
            </w:pPr>
            <w:r>
              <w:t>服务对象满意度</w:t>
            </w:r>
          </w:p>
        </w:tc>
        <w:tc>
          <w:tcPr>
            <w:tcW w:w="5386" w:type="dxa"/>
            <w:vAlign w:val="center"/>
          </w:tcPr>
          <w:p w14:paraId="512CA05B">
            <w:pPr>
              <w:pStyle w:val="12"/>
            </w:pPr>
            <w:r>
              <w:t>学校老师和学生满意度</w:t>
            </w:r>
          </w:p>
        </w:tc>
        <w:tc>
          <w:tcPr>
            <w:tcW w:w="2268" w:type="dxa"/>
            <w:vAlign w:val="center"/>
          </w:tcPr>
          <w:p w14:paraId="4E5AB394">
            <w:pPr>
              <w:pStyle w:val="12"/>
            </w:pPr>
            <w:r>
              <w:t>≥95%</w:t>
            </w:r>
          </w:p>
        </w:tc>
        <w:tc>
          <w:tcPr>
            <w:tcW w:w="1276" w:type="dxa"/>
            <w:vAlign w:val="center"/>
          </w:tcPr>
          <w:p w14:paraId="72BD6822">
            <w:pPr>
              <w:pStyle w:val="12"/>
            </w:pPr>
            <w:r>
              <w:t>群众测评</w:t>
            </w:r>
          </w:p>
        </w:tc>
      </w:tr>
    </w:tbl>
    <w:p w14:paraId="112771CB">
      <w:pPr>
        <w:sectPr>
          <w:pgSz w:w="16840" w:h="11900" w:orient="landscape"/>
          <w:pgMar w:top="1361" w:right="1020" w:bottom="1134" w:left="1020" w:header="720" w:footer="720" w:gutter="0"/>
          <w:cols w:space="720" w:num="1"/>
        </w:sectPr>
      </w:pPr>
    </w:p>
    <w:p w14:paraId="6D8BFC18">
      <w:pPr>
        <w:spacing w:before="0" w:after="0"/>
        <w:ind w:firstLine="560"/>
        <w:jc w:val="left"/>
        <w:outlineLvl w:val="9"/>
      </w:pPr>
      <w:r>
        <w:rPr>
          <w:rFonts w:ascii="方正仿宋_GBK" w:hAnsi="方正仿宋_GBK" w:eastAsia="方正仿宋_GBK" w:cs="方正仿宋_GBK"/>
          <w:b/>
          <w:color w:val="000000"/>
          <w:sz w:val="28"/>
        </w:rPr>
        <w:t>32、县级配套/莲子镇校区西范小学公用经费绩效目标表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6F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9E9E8">
            <w:pPr>
              <w:pStyle w:val="11"/>
            </w:pPr>
            <w:r>
              <w:t>单位：万元</w:t>
            </w:r>
          </w:p>
        </w:tc>
      </w:tr>
      <w:tr w14:paraId="72118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98BE3">
            <w:pPr>
              <w:pStyle w:val="10"/>
            </w:pPr>
            <w:r>
              <w:t>项目编码</w:t>
            </w:r>
          </w:p>
        </w:tc>
        <w:tc>
          <w:tcPr>
            <w:tcW w:w="5103" w:type="dxa"/>
            <w:gridSpan w:val="2"/>
            <w:vAlign w:val="center"/>
          </w:tcPr>
          <w:p w14:paraId="2023016A">
            <w:pPr>
              <w:pStyle w:val="12"/>
            </w:pPr>
            <w:r>
              <w:t>13052526P00000410482R</w:t>
            </w:r>
          </w:p>
        </w:tc>
        <w:tc>
          <w:tcPr>
            <w:tcW w:w="2835" w:type="dxa"/>
            <w:vAlign w:val="center"/>
          </w:tcPr>
          <w:p w14:paraId="0B10EE88">
            <w:pPr>
              <w:pStyle w:val="10"/>
            </w:pPr>
            <w:r>
              <w:t>项目名称</w:t>
            </w:r>
          </w:p>
        </w:tc>
        <w:tc>
          <w:tcPr>
            <w:tcW w:w="6095" w:type="dxa"/>
            <w:gridSpan w:val="3"/>
            <w:vAlign w:val="center"/>
          </w:tcPr>
          <w:p w14:paraId="587C7C1D">
            <w:pPr>
              <w:pStyle w:val="12"/>
            </w:pPr>
            <w:r>
              <w:t>县级配套/莲子镇校区西范小学公用经费</w:t>
            </w:r>
          </w:p>
        </w:tc>
      </w:tr>
      <w:tr w14:paraId="27488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C9355">
            <w:pPr>
              <w:pStyle w:val="10"/>
            </w:pPr>
            <w:r>
              <w:t>预算规模及资金用途</w:t>
            </w:r>
          </w:p>
        </w:tc>
        <w:tc>
          <w:tcPr>
            <w:tcW w:w="2268" w:type="dxa"/>
            <w:vAlign w:val="center"/>
          </w:tcPr>
          <w:p w14:paraId="5D23A6FB">
            <w:pPr>
              <w:pStyle w:val="10"/>
            </w:pPr>
            <w:r>
              <w:t>预算数</w:t>
            </w:r>
          </w:p>
        </w:tc>
        <w:tc>
          <w:tcPr>
            <w:tcW w:w="2835" w:type="dxa"/>
            <w:vAlign w:val="center"/>
          </w:tcPr>
          <w:p w14:paraId="1EE26DFC">
            <w:pPr>
              <w:pStyle w:val="12"/>
            </w:pPr>
            <w:r>
              <w:t>2.79</w:t>
            </w:r>
          </w:p>
        </w:tc>
        <w:tc>
          <w:tcPr>
            <w:tcW w:w="2835" w:type="dxa"/>
            <w:vAlign w:val="center"/>
          </w:tcPr>
          <w:p w14:paraId="5BE2C92B">
            <w:pPr>
              <w:pStyle w:val="10"/>
            </w:pPr>
            <w:r>
              <w:t>其中：财政    资金</w:t>
            </w:r>
          </w:p>
        </w:tc>
        <w:tc>
          <w:tcPr>
            <w:tcW w:w="2551" w:type="dxa"/>
            <w:vAlign w:val="center"/>
          </w:tcPr>
          <w:p w14:paraId="31AA77A0">
            <w:pPr>
              <w:pStyle w:val="12"/>
            </w:pPr>
            <w:r>
              <w:t>2.79</w:t>
            </w:r>
          </w:p>
        </w:tc>
        <w:tc>
          <w:tcPr>
            <w:tcW w:w="2268" w:type="dxa"/>
            <w:vAlign w:val="center"/>
          </w:tcPr>
          <w:p w14:paraId="0549C8CE">
            <w:pPr>
              <w:pStyle w:val="10"/>
            </w:pPr>
            <w:r>
              <w:t>其他资金</w:t>
            </w:r>
          </w:p>
        </w:tc>
        <w:tc>
          <w:tcPr>
            <w:tcW w:w="1276" w:type="dxa"/>
            <w:vAlign w:val="center"/>
          </w:tcPr>
          <w:p w14:paraId="187C083D">
            <w:pPr>
              <w:pStyle w:val="12"/>
            </w:pPr>
            <w:r>
              <w:t xml:space="preserve"> </w:t>
            </w:r>
          </w:p>
        </w:tc>
      </w:tr>
      <w:tr w14:paraId="09D5A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199D8"/>
        </w:tc>
        <w:tc>
          <w:tcPr>
            <w:tcW w:w="14033" w:type="dxa"/>
            <w:gridSpan w:val="6"/>
            <w:vAlign w:val="center"/>
          </w:tcPr>
          <w:p w14:paraId="330C4CA4">
            <w:pPr>
              <w:pStyle w:val="12"/>
            </w:pPr>
            <w:r>
              <w:t>保障学校正常运转，完成各项教育教学活动和其他日常工作任务等方面的费用支出。</w:t>
            </w:r>
          </w:p>
        </w:tc>
      </w:tr>
      <w:tr w14:paraId="77F47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B801A">
            <w:pPr>
              <w:pStyle w:val="10"/>
            </w:pPr>
            <w:r>
              <w:t>资金支出计划（%）</w:t>
            </w:r>
          </w:p>
        </w:tc>
        <w:tc>
          <w:tcPr>
            <w:tcW w:w="5103" w:type="dxa"/>
            <w:gridSpan w:val="2"/>
            <w:vAlign w:val="center"/>
          </w:tcPr>
          <w:p w14:paraId="45E8B08E">
            <w:pPr>
              <w:pStyle w:val="10"/>
            </w:pPr>
            <w:r>
              <w:t>3月底</w:t>
            </w:r>
          </w:p>
        </w:tc>
        <w:tc>
          <w:tcPr>
            <w:tcW w:w="2835" w:type="dxa"/>
            <w:vAlign w:val="center"/>
          </w:tcPr>
          <w:p w14:paraId="29D5FD20">
            <w:pPr>
              <w:pStyle w:val="10"/>
            </w:pPr>
            <w:r>
              <w:t>6月底</w:t>
            </w:r>
          </w:p>
        </w:tc>
        <w:tc>
          <w:tcPr>
            <w:tcW w:w="2551" w:type="dxa"/>
            <w:vAlign w:val="center"/>
          </w:tcPr>
          <w:p w14:paraId="65C91691">
            <w:pPr>
              <w:pStyle w:val="10"/>
            </w:pPr>
            <w:r>
              <w:t>10月底</w:t>
            </w:r>
          </w:p>
        </w:tc>
        <w:tc>
          <w:tcPr>
            <w:tcW w:w="3544" w:type="dxa"/>
            <w:gridSpan w:val="2"/>
            <w:vAlign w:val="center"/>
          </w:tcPr>
          <w:p w14:paraId="778D4BAD">
            <w:pPr>
              <w:pStyle w:val="10"/>
            </w:pPr>
            <w:r>
              <w:t>12月底</w:t>
            </w:r>
          </w:p>
        </w:tc>
      </w:tr>
      <w:tr w14:paraId="0EE3C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79B66"/>
        </w:tc>
        <w:tc>
          <w:tcPr>
            <w:tcW w:w="5103" w:type="dxa"/>
            <w:gridSpan w:val="2"/>
            <w:vAlign w:val="center"/>
          </w:tcPr>
          <w:p w14:paraId="4A6213D1">
            <w:pPr>
              <w:pStyle w:val="13"/>
            </w:pPr>
            <w:r>
              <w:t>25%</w:t>
            </w:r>
          </w:p>
        </w:tc>
        <w:tc>
          <w:tcPr>
            <w:tcW w:w="2835" w:type="dxa"/>
            <w:vAlign w:val="center"/>
          </w:tcPr>
          <w:p w14:paraId="7ED0F79B">
            <w:pPr>
              <w:pStyle w:val="13"/>
            </w:pPr>
            <w:r>
              <w:t>50%</w:t>
            </w:r>
          </w:p>
        </w:tc>
        <w:tc>
          <w:tcPr>
            <w:tcW w:w="2551" w:type="dxa"/>
            <w:vAlign w:val="center"/>
          </w:tcPr>
          <w:p w14:paraId="49A298F3">
            <w:pPr>
              <w:pStyle w:val="13"/>
            </w:pPr>
            <w:r>
              <w:t>75%</w:t>
            </w:r>
          </w:p>
        </w:tc>
        <w:tc>
          <w:tcPr>
            <w:tcW w:w="3544" w:type="dxa"/>
            <w:gridSpan w:val="2"/>
            <w:vAlign w:val="center"/>
          </w:tcPr>
          <w:p w14:paraId="35A72FD4">
            <w:pPr>
              <w:pStyle w:val="13"/>
            </w:pPr>
            <w:r>
              <w:t>100%</w:t>
            </w:r>
          </w:p>
        </w:tc>
      </w:tr>
      <w:tr w14:paraId="524EF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BABF2">
            <w:pPr>
              <w:pStyle w:val="10"/>
            </w:pPr>
            <w:r>
              <w:t>绩效目标</w:t>
            </w:r>
          </w:p>
        </w:tc>
        <w:tc>
          <w:tcPr>
            <w:tcW w:w="14033" w:type="dxa"/>
            <w:gridSpan w:val="6"/>
            <w:vAlign w:val="center"/>
          </w:tcPr>
          <w:p w14:paraId="014A0848">
            <w:pPr>
              <w:pStyle w:val="12"/>
            </w:pPr>
            <w:r>
              <w:t>1.按季度分批次拨付公用经费资金，资金拨付率达到100%。</w:t>
            </w:r>
          </w:p>
          <w:p w14:paraId="4CEAE435">
            <w:pPr>
              <w:pStyle w:val="12"/>
            </w:pPr>
            <w:r>
              <w:t>2.保障学校正常运转，完成各项教育教学活动和其他日常工作任务等方面的费用支出。</w:t>
            </w:r>
          </w:p>
        </w:tc>
      </w:tr>
    </w:tbl>
    <w:p w14:paraId="6CBDA7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D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4E281">
            <w:pPr>
              <w:pStyle w:val="10"/>
            </w:pPr>
            <w:r>
              <w:t>一级指标</w:t>
            </w:r>
          </w:p>
        </w:tc>
        <w:tc>
          <w:tcPr>
            <w:tcW w:w="2268" w:type="dxa"/>
            <w:vAlign w:val="center"/>
          </w:tcPr>
          <w:p w14:paraId="3693AD55">
            <w:pPr>
              <w:pStyle w:val="10"/>
            </w:pPr>
            <w:r>
              <w:t>二级指标</w:t>
            </w:r>
          </w:p>
        </w:tc>
        <w:tc>
          <w:tcPr>
            <w:tcW w:w="2835" w:type="dxa"/>
            <w:vAlign w:val="center"/>
          </w:tcPr>
          <w:p w14:paraId="55A2DA71">
            <w:pPr>
              <w:pStyle w:val="10"/>
            </w:pPr>
            <w:r>
              <w:t>三级指标</w:t>
            </w:r>
          </w:p>
        </w:tc>
        <w:tc>
          <w:tcPr>
            <w:tcW w:w="5386" w:type="dxa"/>
            <w:vAlign w:val="center"/>
          </w:tcPr>
          <w:p w14:paraId="2B52162D">
            <w:pPr>
              <w:pStyle w:val="10"/>
            </w:pPr>
            <w:r>
              <w:t>绩效指标描述</w:t>
            </w:r>
          </w:p>
        </w:tc>
        <w:tc>
          <w:tcPr>
            <w:tcW w:w="2268" w:type="dxa"/>
            <w:vAlign w:val="center"/>
          </w:tcPr>
          <w:p w14:paraId="4CFCE7DB">
            <w:pPr>
              <w:pStyle w:val="10"/>
            </w:pPr>
            <w:r>
              <w:t>指标值</w:t>
            </w:r>
          </w:p>
        </w:tc>
        <w:tc>
          <w:tcPr>
            <w:tcW w:w="1276" w:type="dxa"/>
            <w:vAlign w:val="center"/>
          </w:tcPr>
          <w:p w14:paraId="6D2F3733">
            <w:pPr>
              <w:pStyle w:val="10"/>
            </w:pPr>
            <w:r>
              <w:t>指标值确定依据</w:t>
            </w:r>
          </w:p>
        </w:tc>
      </w:tr>
      <w:tr w14:paraId="1C610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10ED1">
            <w:pPr>
              <w:pStyle w:val="13"/>
            </w:pPr>
            <w:r>
              <w:t>产出指标</w:t>
            </w:r>
          </w:p>
        </w:tc>
        <w:tc>
          <w:tcPr>
            <w:tcW w:w="2268" w:type="dxa"/>
            <w:vAlign w:val="center"/>
          </w:tcPr>
          <w:p w14:paraId="4B51625E">
            <w:pPr>
              <w:pStyle w:val="12"/>
            </w:pPr>
            <w:r>
              <w:t>数量指标</w:t>
            </w:r>
          </w:p>
        </w:tc>
        <w:tc>
          <w:tcPr>
            <w:tcW w:w="2835" w:type="dxa"/>
            <w:vAlign w:val="center"/>
          </w:tcPr>
          <w:p w14:paraId="360D3BAF">
            <w:pPr>
              <w:pStyle w:val="12"/>
            </w:pPr>
            <w:r>
              <w:t>就读学生数</w:t>
            </w:r>
          </w:p>
        </w:tc>
        <w:tc>
          <w:tcPr>
            <w:tcW w:w="5386" w:type="dxa"/>
            <w:vAlign w:val="center"/>
          </w:tcPr>
          <w:p w14:paraId="6BC0D097">
            <w:pPr>
              <w:pStyle w:val="12"/>
            </w:pPr>
            <w:r>
              <w:t>辐射区域内适龄学生人数</w:t>
            </w:r>
          </w:p>
        </w:tc>
        <w:tc>
          <w:tcPr>
            <w:tcW w:w="2268" w:type="dxa"/>
            <w:vAlign w:val="center"/>
          </w:tcPr>
          <w:p w14:paraId="33AB95A7">
            <w:pPr>
              <w:pStyle w:val="12"/>
            </w:pPr>
            <w:r>
              <w:t>338人</w:t>
            </w:r>
          </w:p>
        </w:tc>
        <w:tc>
          <w:tcPr>
            <w:tcW w:w="1276" w:type="dxa"/>
            <w:vAlign w:val="center"/>
          </w:tcPr>
          <w:p w14:paraId="1F668008">
            <w:pPr>
              <w:pStyle w:val="12"/>
            </w:pPr>
            <w:r>
              <w:t>城乡义务教育公用经费管理办法</w:t>
            </w:r>
          </w:p>
        </w:tc>
      </w:tr>
      <w:tr w14:paraId="39D9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333AA"/>
        </w:tc>
        <w:tc>
          <w:tcPr>
            <w:tcW w:w="2268" w:type="dxa"/>
            <w:vAlign w:val="center"/>
          </w:tcPr>
          <w:p w14:paraId="04710827">
            <w:pPr>
              <w:pStyle w:val="12"/>
            </w:pPr>
            <w:r>
              <w:t>质量指标</w:t>
            </w:r>
          </w:p>
        </w:tc>
        <w:tc>
          <w:tcPr>
            <w:tcW w:w="2835" w:type="dxa"/>
            <w:vAlign w:val="center"/>
          </w:tcPr>
          <w:p w14:paraId="62F17C79">
            <w:pPr>
              <w:pStyle w:val="12"/>
            </w:pPr>
            <w:r>
              <w:t>预算执行率</w:t>
            </w:r>
          </w:p>
        </w:tc>
        <w:tc>
          <w:tcPr>
            <w:tcW w:w="5386" w:type="dxa"/>
            <w:vAlign w:val="center"/>
          </w:tcPr>
          <w:p w14:paraId="547101D3">
            <w:pPr>
              <w:pStyle w:val="12"/>
            </w:pPr>
            <w:r>
              <w:t>预算执行率</w:t>
            </w:r>
          </w:p>
        </w:tc>
        <w:tc>
          <w:tcPr>
            <w:tcW w:w="2268" w:type="dxa"/>
            <w:vAlign w:val="center"/>
          </w:tcPr>
          <w:p w14:paraId="73165181">
            <w:pPr>
              <w:pStyle w:val="12"/>
            </w:pPr>
            <w:r>
              <w:t>≥95%</w:t>
            </w:r>
          </w:p>
        </w:tc>
        <w:tc>
          <w:tcPr>
            <w:tcW w:w="1276" w:type="dxa"/>
            <w:vAlign w:val="center"/>
          </w:tcPr>
          <w:p w14:paraId="1206CBB9">
            <w:pPr>
              <w:pStyle w:val="12"/>
            </w:pPr>
            <w:r>
              <w:t>城乡义务教育公用经费管理办法</w:t>
            </w:r>
          </w:p>
        </w:tc>
      </w:tr>
      <w:tr w14:paraId="5AAB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16BF0"/>
        </w:tc>
        <w:tc>
          <w:tcPr>
            <w:tcW w:w="2268" w:type="dxa"/>
            <w:vAlign w:val="center"/>
          </w:tcPr>
          <w:p w14:paraId="4643C587">
            <w:pPr>
              <w:pStyle w:val="12"/>
            </w:pPr>
            <w:r>
              <w:t>时效指标</w:t>
            </w:r>
          </w:p>
        </w:tc>
        <w:tc>
          <w:tcPr>
            <w:tcW w:w="2835" w:type="dxa"/>
            <w:vAlign w:val="center"/>
          </w:tcPr>
          <w:p w14:paraId="1792E60F">
            <w:pPr>
              <w:pStyle w:val="12"/>
            </w:pPr>
            <w:r>
              <w:t>义教经费支付完成率</w:t>
            </w:r>
          </w:p>
        </w:tc>
        <w:tc>
          <w:tcPr>
            <w:tcW w:w="5386" w:type="dxa"/>
            <w:vAlign w:val="center"/>
          </w:tcPr>
          <w:p w14:paraId="5B7FA6E8">
            <w:pPr>
              <w:pStyle w:val="12"/>
            </w:pPr>
            <w:r>
              <w:t>按照序时进度完成资金支付</w:t>
            </w:r>
          </w:p>
        </w:tc>
        <w:tc>
          <w:tcPr>
            <w:tcW w:w="2268" w:type="dxa"/>
            <w:vAlign w:val="center"/>
          </w:tcPr>
          <w:p w14:paraId="4ED81350">
            <w:pPr>
              <w:pStyle w:val="12"/>
            </w:pPr>
            <w:r>
              <w:t>100%</w:t>
            </w:r>
          </w:p>
        </w:tc>
        <w:tc>
          <w:tcPr>
            <w:tcW w:w="1276" w:type="dxa"/>
            <w:vAlign w:val="center"/>
          </w:tcPr>
          <w:p w14:paraId="6F2B2EBE">
            <w:pPr>
              <w:pStyle w:val="12"/>
            </w:pPr>
            <w:r>
              <w:t>城乡义务教育公用经费管理办法</w:t>
            </w:r>
          </w:p>
        </w:tc>
      </w:tr>
      <w:tr w14:paraId="249C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17C3A"/>
        </w:tc>
        <w:tc>
          <w:tcPr>
            <w:tcW w:w="2268" w:type="dxa"/>
            <w:vAlign w:val="center"/>
          </w:tcPr>
          <w:p w14:paraId="4906146B">
            <w:pPr>
              <w:pStyle w:val="12"/>
            </w:pPr>
            <w:r>
              <w:t>成本指标</w:t>
            </w:r>
          </w:p>
        </w:tc>
        <w:tc>
          <w:tcPr>
            <w:tcW w:w="2835" w:type="dxa"/>
            <w:vAlign w:val="center"/>
          </w:tcPr>
          <w:p w14:paraId="1DB93335">
            <w:pPr>
              <w:pStyle w:val="12"/>
            </w:pPr>
            <w:r>
              <w:t>生均拨款标准</w:t>
            </w:r>
          </w:p>
        </w:tc>
        <w:tc>
          <w:tcPr>
            <w:tcW w:w="5386" w:type="dxa"/>
            <w:vAlign w:val="center"/>
          </w:tcPr>
          <w:p w14:paraId="028ACE07">
            <w:pPr>
              <w:pStyle w:val="12"/>
            </w:pPr>
            <w:r>
              <w:t>小学生公用经费生均公用经费基准定额为720元/年/生，取暖费120元/年/生，住宿生补助300元/年/生的标准，随班就读学生补助7000元/生/年</w:t>
            </w:r>
          </w:p>
        </w:tc>
        <w:tc>
          <w:tcPr>
            <w:tcW w:w="2268" w:type="dxa"/>
            <w:vAlign w:val="center"/>
          </w:tcPr>
          <w:p w14:paraId="0C15B6E6">
            <w:pPr>
              <w:pStyle w:val="12"/>
            </w:pPr>
            <w:r>
              <w:t>840元</w:t>
            </w:r>
          </w:p>
        </w:tc>
        <w:tc>
          <w:tcPr>
            <w:tcW w:w="1276" w:type="dxa"/>
            <w:vAlign w:val="center"/>
          </w:tcPr>
          <w:p w14:paraId="58FF7852">
            <w:pPr>
              <w:pStyle w:val="12"/>
            </w:pPr>
            <w:r>
              <w:t>城乡义务教育公用经费管理办法</w:t>
            </w:r>
          </w:p>
        </w:tc>
      </w:tr>
      <w:tr w14:paraId="2714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98462">
            <w:pPr>
              <w:pStyle w:val="13"/>
            </w:pPr>
            <w:r>
              <w:t>效益指标</w:t>
            </w:r>
          </w:p>
        </w:tc>
        <w:tc>
          <w:tcPr>
            <w:tcW w:w="2268" w:type="dxa"/>
            <w:vAlign w:val="center"/>
          </w:tcPr>
          <w:p w14:paraId="2B715D36">
            <w:pPr>
              <w:pStyle w:val="12"/>
            </w:pPr>
            <w:r>
              <w:t>可持续影响指标</w:t>
            </w:r>
          </w:p>
        </w:tc>
        <w:tc>
          <w:tcPr>
            <w:tcW w:w="2835" w:type="dxa"/>
            <w:vAlign w:val="center"/>
          </w:tcPr>
          <w:p w14:paraId="7EEC6D33">
            <w:pPr>
              <w:pStyle w:val="12"/>
            </w:pPr>
            <w:r>
              <w:t>学校运转得到提高</w:t>
            </w:r>
          </w:p>
        </w:tc>
        <w:tc>
          <w:tcPr>
            <w:tcW w:w="5386" w:type="dxa"/>
            <w:vAlign w:val="center"/>
          </w:tcPr>
          <w:p w14:paraId="63AA670A">
            <w:pPr>
              <w:pStyle w:val="12"/>
            </w:pPr>
            <w:r>
              <w:t>学生受教育年限</w:t>
            </w:r>
          </w:p>
        </w:tc>
        <w:tc>
          <w:tcPr>
            <w:tcW w:w="2268" w:type="dxa"/>
            <w:vAlign w:val="center"/>
          </w:tcPr>
          <w:p w14:paraId="7C09FD08">
            <w:pPr>
              <w:pStyle w:val="12"/>
            </w:pPr>
            <w:r>
              <w:t>6年</w:t>
            </w:r>
          </w:p>
        </w:tc>
        <w:tc>
          <w:tcPr>
            <w:tcW w:w="1276" w:type="dxa"/>
            <w:vAlign w:val="center"/>
          </w:tcPr>
          <w:p w14:paraId="718A3394">
            <w:pPr>
              <w:pStyle w:val="12"/>
            </w:pPr>
            <w:r>
              <w:t>城乡义务教育公用经费管理办法</w:t>
            </w:r>
          </w:p>
        </w:tc>
      </w:tr>
      <w:tr w14:paraId="4A8C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DCC96">
            <w:pPr>
              <w:pStyle w:val="13"/>
            </w:pPr>
            <w:r>
              <w:t>满意度指标</w:t>
            </w:r>
          </w:p>
        </w:tc>
        <w:tc>
          <w:tcPr>
            <w:tcW w:w="2268" w:type="dxa"/>
            <w:vAlign w:val="center"/>
          </w:tcPr>
          <w:p w14:paraId="42356770">
            <w:pPr>
              <w:pStyle w:val="12"/>
            </w:pPr>
            <w:r>
              <w:t>服务对象满意度指标</w:t>
            </w:r>
          </w:p>
        </w:tc>
        <w:tc>
          <w:tcPr>
            <w:tcW w:w="2835" w:type="dxa"/>
            <w:vAlign w:val="center"/>
          </w:tcPr>
          <w:p w14:paraId="687C1386">
            <w:pPr>
              <w:pStyle w:val="12"/>
            </w:pPr>
            <w:r>
              <w:t>服务对象满意度</w:t>
            </w:r>
          </w:p>
        </w:tc>
        <w:tc>
          <w:tcPr>
            <w:tcW w:w="5386" w:type="dxa"/>
            <w:vAlign w:val="center"/>
          </w:tcPr>
          <w:p w14:paraId="553EFD56">
            <w:pPr>
              <w:pStyle w:val="12"/>
            </w:pPr>
            <w:r>
              <w:t>学校老师和学生满意度</w:t>
            </w:r>
          </w:p>
        </w:tc>
        <w:tc>
          <w:tcPr>
            <w:tcW w:w="2268" w:type="dxa"/>
            <w:vAlign w:val="center"/>
          </w:tcPr>
          <w:p w14:paraId="4E508878">
            <w:pPr>
              <w:pStyle w:val="12"/>
            </w:pPr>
            <w:r>
              <w:t>≥95%</w:t>
            </w:r>
          </w:p>
        </w:tc>
        <w:tc>
          <w:tcPr>
            <w:tcW w:w="1276" w:type="dxa"/>
            <w:vAlign w:val="center"/>
          </w:tcPr>
          <w:p w14:paraId="4443F163">
            <w:pPr>
              <w:pStyle w:val="12"/>
            </w:pPr>
            <w:r>
              <w:t>群众测评</w:t>
            </w:r>
          </w:p>
        </w:tc>
      </w:tr>
    </w:tbl>
    <w:p w14:paraId="4F763945">
      <w:pPr>
        <w:sectPr>
          <w:pgSz w:w="16840" w:h="11900" w:orient="landscape"/>
          <w:pgMar w:top="1361" w:right="1020" w:bottom="1134" w:left="1020" w:header="720" w:footer="720" w:gutter="0"/>
          <w:cols w:space="720" w:num="1"/>
        </w:sectPr>
      </w:pPr>
    </w:p>
    <w:p w14:paraId="05478DD1">
      <w:pPr>
        <w:spacing w:before="0" w:after="0"/>
        <w:ind w:firstLine="560"/>
        <w:jc w:val="left"/>
        <w:outlineLvl w:val="9"/>
      </w:pPr>
      <w:r>
        <w:rPr>
          <w:rFonts w:ascii="方正仿宋_GBK" w:hAnsi="方正仿宋_GBK" w:eastAsia="方正仿宋_GBK" w:cs="方正仿宋_GBK"/>
          <w:b/>
          <w:color w:val="000000"/>
          <w:sz w:val="28"/>
        </w:rPr>
        <w:t>33、县级配套/莲子镇校区学前教育幼儿资助绩效目标表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F8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A54D3">
            <w:pPr>
              <w:pStyle w:val="11"/>
            </w:pPr>
            <w:r>
              <w:t>单位：万元</w:t>
            </w:r>
          </w:p>
        </w:tc>
      </w:tr>
      <w:tr w14:paraId="0AB10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7182A">
            <w:pPr>
              <w:pStyle w:val="10"/>
            </w:pPr>
            <w:r>
              <w:t>项目编码</w:t>
            </w:r>
          </w:p>
        </w:tc>
        <w:tc>
          <w:tcPr>
            <w:tcW w:w="5103" w:type="dxa"/>
            <w:gridSpan w:val="2"/>
            <w:vAlign w:val="center"/>
          </w:tcPr>
          <w:p w14:paraId="74ED8D32">
            <w:pPr>
              <w:pStyle w:val="12"/>
            </w:pPr>
            <w:r>
              <w:t>13052526P00000210091H</w:t>
            </w:r>
          </w:p>
        </w:tc>
        <w:tc>
          <w:tcPr>
            <w:tcW w:w="2835" w:type="dxa"/>
            <w:vAlign w:val="center"/>
          </w:tcPr>
          <w:p w14:paraId="1B1BB240">
            <w:pPr>
              <w:pStyle w:val="10"/>
            </w:pPr>
            <w:r>
              <w:t>项目名称</w:t>
            </w:r>
          </w:p>
        </w:tc>
        <w:tc>
          <w:tcPr>
            <w:tcW w:w="6095" w:type="dxa"/>
            <w:gridSpan w:val="3"/>
            <w:vAlign w:val="center"/>
          </w:tcPr>
          <w:p w14:paraId="0B100271">
            <w:pPr>
              <w:pStyle w:val="12"/>
            </w:pPr>
            <w:r>
              <w:t>县级配套/莲子镇校区学前教育幼儿资助</w:t>
            </w:r>
          </w:p>
        </w:tc>
      </w:tr>
      <w:tr w14:paraId="1CC63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A7411">
            <w:pPr>
              <w:pStyle w:val="10"/>
            </w:pPr>
            <w:r>
              <w:t>预算规模及资金用途</w:t>
            </w:r>
          </w:p>
        </w:tc>
        <w:tc>
          <w:tcPr>
            <w:tcW w:w="2268" w:type="dxa"/>
            <w:vAlign w:val="center"/>
          </w:tcPr>
          <w:p w14:paraId="6DE7FECC">
            <w:pPr>
              <w:pStyle w:val="10"/>
            </w:pPr>
            <w:r>
              <w:t>预算数</w:t>
            </w:r>
          </w:p>
        </w:tc>
        <w:tc>
          <w:tcPr>
            <w:tcW w:w="2835" w:type="dxa"/>
            <w:vAlign w:val="center"/>
          </w:tcPr>
          <w:p w14:paraId="1327E73B">
            <w:pPr>
              <w:pStyle w:val="12"/>
            </w:pPr>
            <w:r>
              <w:t>1.32</w:t>
            </w:r>
          </w:p>
        </w:tc>
        <w:tc>
          <w:tcPr>
            <w:tcW w:w="2835" w:type="dxa"/>
            <w:vAlign w:val="center"/>
          </w:tcPr>
          <w:p w14:paraId="5ADF8E96">
            <w:pPr>
              <w:pStyle w:val="10"/>
            </w:pPr>
            <w:r>
              <w:t>其中：财政    资金</w:t>
            </w:r>
          </w:p>
        </w:tc>
        <w:tc>
          <w:tcPr>
            <w:tcW w:w="2551" w:type="dxa"/>
            <w:vAlign w:val="center"/>
          </w:tcPr>
          <w:p w14:paraId="16C7A674">
            <w:pPr>
              <w:pStyle w:val="12"/>
            </w:pPr>
            <w:r>
              <w:t>1.32</w:t>
            </w:r>
          </w:p>
        </w:tc>
        <w:tc>
          <w:tcPr>
            <w:tcW w:w="2268" w:type="dxa"/>
            <w:vAlign w:val="center"/>
          </w:tcPr>
          <w:p w14:paraId="507B2EDB">
            <w:pPr>
              <w:pStyle w:val="10"/>
            </w:pPr>
            <w:r>
              <w:t>其他资金</w:t>
            </w:r>
          </w:p>
        </w:tc>
        <w:tc>
          <w:tcPr>
            <w:tcW w:w="1276" w:type="dxa"/>
            <w:vAlign w:val="center"/>
          </w:tcPr>
          <w:p w14:paraId="2907D8EC">
            <w:pPr>
              <w:pStyle w:val="12"/>
            </w:pPr>
            <w:r>
              <w:t xml:space="preserve"> </w:t>
            </w:r>
          </w:p>
        </w:tc>
      </w:tr>
      <w:tr w14:paraId="43744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4FD24"/>
        </w:tc>
        <w:tc>
          <w:tcPr>
            <w:tcW w:w="14033" w:type="dxa"/>
            <w:gridSpan w:val="6"/>
            <w:vAlign w:val="center"/>
          </w:tcPr>
          <w:p w14:paraId="0C3B01D8">
            <w:pPr>
              <w:pStyle w:val="12"/>
            </w:pPr>
            <w:r>
              <w:t>保证本年度资助经费足额落实到位，符合享受资助条件的学生应助尽助。</w:t>
            </w:r>
          </w:p>
        </w:tc>
      </w:tr>
      <w:tr w14:paraId="595B8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5326B">
            <w:pPr>
              <w:pStyle w:val="10"/>
            </w:pPr>
            <w:r>
              <w:t>资金支出计划（%）</w:t>
            </w:r>
          </w:p>
        </w:tc>
        <w:tc>
          <w:tcPr>
            <w:tcW w:w="5103" w:type="dxa"/>
            <w:gridSpan w:val="2"/>
            <w:vAlign w:val="center"/>
          </w:tcPr>
          <w:p w14:paraId="77523D3F">
            <w:pPr>
              <w:pStyle w:val="10"/>
            </w:pPr>
            <w:r>
              <w:t>3月底</w:t>
            </w:r>
          </w:p>
        </w:tc>
        <w:tc>
          <w:tcPr>
            <w:tcW w:w="2835" w:type="dxa"/>
            <w:vAlign w:val="center"/>
          </w:tcPr>
          <w:p w14:paraId="6E641B32">
            <w:pPr>
              <w:pStyle w:val="10"/>
            </w:pPr>
            <w:r>
              <w:t>6月底</w:t>
            </w:r>
          </w:p>
        </w:tc>
        <w:tc>
          <w:tcPr>
            <w:tcW w:w="2551" w:type="dxa"/>
            <w:vAlign w:val="center"/>
          </w:tcPr>
          <w:p w14:paraId="53DB3076">
            <w:pPr>
              <w:pStyle w:val="10"/>
            </w:pPr>
            <w:r>
              <w:t>10月底</w:t>
            </w:r>
          </w:p>
        </w:tc>
        <w:tc>
          <w:tcPr>
            <w:tcW w:w="3544" w:type="dxa"/>
            <w:gridSpan w:val="2"/>
            <w:vAlign w:val="center"/>
          </w:tcPr>
          <w:p w14:paraId="27113C6B">
            <w:pPr>
              <w:pStyle w:val="10"/>
            </w:pPr>
            <w:r>
              <w:t>12月底</w:t>
            </w:r>
          </w:p>
        </w:tc>
      </w:tr>
      <w:tr w14:paraId="6D5C1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F00AD"/>
        </w:tc>
        <w:tc>
          <w:tcPr>
            <w:tcW w:w="5103" w:type="dxa"/>
            <w:gridSpan w:val="2"/>
            <w:vAlign w:val="center"/>
          </w:tcPr>
          <w:p w14:paraId="13546C01">
            <w:pPr>
              <w:pStyle w:val="13"/>
            </w:pPr>
            <w:r>
              <w:t>25%</w:t>
            </w:r>
          </w:p>
        </w:tc>
        <w:tc>
          <w:tcPr>
            <w:tcW w:w="2835" w:type="dxa"/>
            <w:vAlign w:val="center"/>
          </w:tcPr>
          <w:p w14:paraId="1D24351A">
            <w:pPr>
              <w:pStyle w:val="13"/>
            </w:pPr>
            <w:r>
              <w:t>50%</w:t>
            </w:r>
          </w:p>
        </w:tc>
        <w:tc>
          <w:tcPr>
            <w:tcW w:w="2551" w:type="dxa"/>
            <w:vAlign w:val="center"/>
          </w:tcPr>
          <w:p w14:paraId="7AD07338">
            <w:pPr>
              <w:pStyle w:val="13"/>
            </w:pPr>
            <w:r>
              <w:t>75%</w:t>
            </w:r>
          </w:p>
        </w:tc>
        <w:tc>
          <w:tcPr>
            <w:tcW w:w="3544" w:type="dxa"/>
            <w:gridSpan w:val="2"/>
            <w:vAlign w:val="center"/>
          </w:tcPr>
          <w:p w14:paraId="7724D9EA">
            <w:pPr>
              <w:pStyle w:val="13"/>
            </w:pPr>
            <w:r>
              <w:t>100%</w:t>
            </w:r>
          </w:p>
        </w:tc>
      </w:tr>
      <w:tr w14:paraId="79771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398A7">
            <w:pPr>
              <w:pStyle w:val="10"/>
            </w:pPr>
            <w:r>
              <w:t>绩效目标</w:t>
            </w:r>
          </w:p>
        </w:tc>
        <w:tc>
          <w:tcPr>
            <w:tcW w:w="14033" w:type="dxa"/>
            <w:gridSpan w:val="6"/>
            <w:vAlign w:val="center"/>
          </w:tcPr>
          <w:p w14:paraId="1A446DAD">
            <w:pPr>
              <w:pStyle w:val="12"/>
            </w:pPr>
            <w:r>
              <w:t>1.保障落实建档立卡及家庭经济困难儿童资助所需资金，确保建档立卡等家庭经济困难幼儿优先获得资助。</w:t>
            </w:r>
          </w:p>
          <w:p w14:paraId="2B702FFD">
            <w:pPr>
              <w:pStyle w:val="12"/>
            </w:pPr>
            <w:r>
              <w:t>2.保证本年度资助经费足额落实到位，符合享受资助条件的学生应助尽助。</w:t>
            </w:r>
          </w:p>
        </w:tc>
      </w:tr>
    </w:tbl>
    <w:p w14:paraId="304772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8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8E7A5">
            <w:pPr>
              <w:pStyle w:val="10"/>
            </w:pPr>
            <w:r>
              <w:t>一级指标</w:t>
            </w:r>
          </w:p>
        </w:tc>
        <w:tc>
          <w:tcPr>
            <w:tcW w:w="2268" w:type="dxa"/>
            <w:vAlign w:val="center"/>
          </w:tcPr>
          <w:p w14:paraId="4ADD64DB">
            <w:pPr>
              <w:pStyle w:val="10"/>
            </w:pPr>
            <w:r>
              <w:t>二级指标</w:t>
            </w:r>
          </w:p>
        </w:tc>
        <w:tc>
          <w:tcPr>
            <w:tcW w:w="2835" w:type="dxa"/>
            <w:vAlign w:val="center"/>
          </w:tcPr>
          <w:p w14:paraId="73A5655C">
            <w:pPr>
              <w:pStyle w:val="10"/>
            </w:pPr>
            <w:r>
              <w:t>三级指标</w:t>
            </w:r>
          </w:p>
        </w:tc>
        <w:tc>
          <w:tcPr>
            <w:tcW w:w="5386" w:type="dxa"/>
            <w:vAlign w:val="center"/>
          </w:tcPr>
          <w:p w14:paraId="6129114A">
            <w:pPr>
              <w:pStyle w:val="10"/>
            </w:pPr>
            <w:r>
              <w:t>绩效指标描述</w:t>
            </w:r>
          </w:p>
        </w:tc>
        <w:tc>
          <w:tcPr>
            <w:tcW w:w="2268" w:type="dxa"/>
            <w:vAlign w:val="center"/>
          </w:tcPr>
          <w:p w14:paraId="6AF1FD33">
            <w:pPr>
              <w:pStyle w:val="10"/>
            </w:pPr>
            <w:r>
              <w:t>指标值</w:t>
            </w:r>
          </w:p>
        </w:tc>
        <w:tc>
          <w:tcPr>
            <w:tcW w:w="1276" w:type="dxa"/>
            <w:vAlign w:val="center"/>
          </w:tcPr>
          <w:p w14:paraId="0BF0223F">
            <w:pPr>
              <w:pStyle w:val="10"/>
            </w:pPr>
            <w:r>
              <w:t>指标值确定依据</w:t>
            </w:r>
          </w:p>
        </w:tc>
      </w:tr>
      <w:tr w14:paraId="0DA7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F193C">
            <w:pPr>
              <w:pStyle w:val="13"/>
            </w:pPr>
            <w:r>
              <w:t>产出指标</w:t>
            </w:r>
          </w:p>
        </w:tc>
        <w:tc>
          <w:tcPr>
            <w:tcW w:w="2268" w:type="dxa"/>
            <w:vAlign w:val="center"/>
          </w:tcPr>
          <w:p w14:paraId="21DB542F">
            <w:pPr>
              <w:pStyle w:val="12"/>
            </w:pPr>
            <w:r>
              <w:t>数量指标</w:t>
            </w:r>
          </w:p>
        </w:tc>
        <w:tc>
          <w:tcPr>
            <w:tcW w:w="2835" w:type="dxa"/>
            <w:vAlign w:val="center"/>
          </w:tcPr>
          <w:p w14:paraId="3CBC6983">
            <w:pPr>
              <w:pStyle w:val="12"/>
            </w:pPr>
            <w:r>
              <w:t>幼儿资助比例</w:t>
            </w:r>
          </w:p>
        </w:tc>
        <w:tc>
          <w:tcPr>
            <w:tcW w:w="5386" w:type="dxa"/>
            <w:vAlign w:val="center"/>
          </w:tcPr>
          <w:p w14:paraId="642BFD3D">
            <w:pPr>
              <w:pStyle w:val="12"/>
            </w:pPr>
            <w:r>
              <w:t>按学前适龄在园儿童10%测算</w:t>
            </w:r>
          </w:p>
        </w:tc>
        <w:tc>
          <w:tcPr>
            <w:tcW w:w="2268" w:type="dxa"/>
            <w:vAlign w:val="center"/>
          </w:tcPr>
          <w:p w14:paraId="6F6163A7">
            <w:pPr>
              <w:pStyle w:val="12"/>
            </w:pPr>
            <w:r>
              <w:t>66人</w:t>
            </w:r>
          </w:p>
        </w:tc>
        <w:tc>
          <w:tcPr>
            <w:tcW w:w="1276" w:type="dxa"/>
            <w:vAlign w:val="center"/>
          </w:tcPr>
          <w:p w14:paraId="54597B23">
            <w:pPr>
              <w:pStyle w:val="12"/>
            </w:pPr>
            <w:r>
              <w:t>幼儿资助经费管理办法</w:t>
            </w:r>
          </w:p>
        </w:tc>
      </w:tr>
      <w:tr w14:paraId="2286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719AA"/>
        </w:tc>
        <w:tc>
          <w:tcPr>
            <w:tcW w:w="2268" w:type="dxa"/>
            <w:vAlign w:val="center"/>
          </w:tcPr>
          <w:p w14:paraId="62D2ED4A">
            <w:pPr>
              <w:pStyle w:val="12"/>
            </w:pPr>
            <w:r>
              <w:t>质量指标</w:t>
            </w:r>
          </w:p>
        </w:tc>
        <w:tc>
          <w:tcPr>
            <w:tcW w:w="2835" w:type="dxa"/>
            <w:vAlign w:val="center"/>
          </w:tcPr>
          <w:p w14:paraId="7E5015F2">
            <w:pPr>
              <w:pStyle w:val="12"/>
            </w:pPr>
            <w:r>
              <w:t>学前教育资助制度落实情况</w:t>
            </w:r>
          </w:p>
        </w:tc>
        <w:tc>
          <w:tcPr>
            <w:tcW w:w="5386" w:type="dxa"/>
            <w:vAlign w:val="center"/>
          </w:tcPr>
          <w:p w14:paraId="1F26A382">
            <w:pPr>
              <w:pStyle w:val="12"/>
            </w:pPr>
            <w:r>
              <w:t>符合享受资助条件的学生应助尽助</w:t>
            </w:r>
          </w:p>
        </w:tc>
        <w:tc>
          <w:tcPr>
            <w:tcW w:w="2268" w:type="dxa"/>
            <w:vAlign w:val="center"/>
          </w:tcPr>
          <w:p w14:paraId="3FDE2FBF">
            <w:pPr>
              <w:pStyle w:val="12"/>
            </w:pPr>
            <w:r>
              <w:t>100%</w:t>
            </w:r>
          </w:p>
        </w:tc>
        <w:tc>
          <w:tcPr>
            <w:tcW w:w="1276" w:type="dxa"/>
            <w:vAlign w:val="center"/>
          </w:tcPr>
          <w:p w14:paraId="05811E54">
            <w:pPr>
              <w:pStyle w:val="12"/>
            </w:pPr>
            <w:r>
              <w:t>幼儿资助经费管理办法</w:t>
            </w:r>
          </w:p>
        </w:tc>
      </w:tr>
      <w:tr w14:paraId="2ABF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8E13B"/>
        </w:tc>
        <w:tc>
          <w:tcPr>
            <w:tcW w:w="2268" w:type="dxa"/>
            <w:vAlign w:val="center"/>
          </w:tcPr>
          <w:p w14:paraId="13DD24A0">
            <w:pPr>
              <w:pStyle w:val="12"/>
            </w:pPr>
            <w:r>
              <w:t>时效指标</w:t>
            </w:r>
          </w:p>
        </w:tc>
        <w:tc>
          <w:tcPr>
            <w:tcW w:w="2835" w:type="dxa"/>
            <w:vAlign w:val="center"/>
          </w:tcPr>
          <w:p w14:paraId="291EB326">
            <w:pPr>
              <w:pStyle w:val="12"/>
            </w:pPr>
            <w:r>
              <w:t>资金拨付率</w:t>
            </w:r>
          </w:p>
        </w:tc>
        <w:tc>
          <w:tcPr>
            <w:tcW w:w="5386" w:type="dxa"/>
            <w:vAlign w:val="center"/>
          </w:tcPr>
          <w:p w14:paraId="43D1AEDC">
            <w:pPr>
              <w:pStyle w:val="12"/>
            </w:pPr>
            <w:r>
              <w:t>所有项目资金支付进度</w:t>
            </w:r>
          </w:p>
        </w:tc>
        <w:tc>
          <w:tcPr>
            <w:tcW w:w="2268" w:type="dxa"/>
            <w:vAlign w:val="center"/>
          </w:tcPr>
          <w:p w14:paraId="1A7D6284">
            <w:pPr>
              <w:pStyle w:val="12"/>
            </w:pPr>
            <w:r>
              <w:t>100%</w:t>
            </w:r>
          </w:p>
        </w:tc>
        <w:tc>
          <w:tcPr>
            <w:tcW w:w="1276" w:type="dxa"/>
            <w:vAlign w:val="center"/>
          </w:tcPr>
          <w:p w14:paraId="7B5888B9">
            <w:pPr>
              <w:pStyle w:val="12"/>
            </w:pPr>
            <w:r>
              <w:t>幼儿资助经费管理办法</w:t>
            </w:r>
          </w:p>
        </w:tc>
      </w:tr>
      <w:tr w14:paraId="39D9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0CB6D"/>
        </w:tc>
        <w:tc>
          <w:tcPr>
            <w:tcW w:w="2268" w:type="dxa"/>
            <w:vAlign w:val="center"/>
          </w:tcPr>
          <w:p w14:paraId="00258F30">
            <w:pPr>
              <w:pStyle w:val="12"/>
            </w:pPr>
            <w:r>
              <w:t>成本指标</w:t>
            </w:r>
          </w:p>
        </w:tc>
        <w:tc>
          <w:tcPr>
            <w:tcW w:w="2835" w:type="dxa"/>
            <w:vAlign w:val="center"/>
          </w:tcPr>
          <w:p w14:paraId="7AC69772">
            <w:pPr>
              <w:pStyle w:val="12"/>
            </w:pPr>
            <w:r>
              <w:t>幼儿园资助标准</w:t>
            </w:r>
          </w:p>
        </w:tc>
        <w:tc>
          <w:tcPr>
            <w:tcW w:w="5386" w:type="dxa"/>
            <w:vAlign w:val="center"/>
          </w:tcPr>
          <w:p w14:paraId="4ABC3212">
            <w:pPr>
              <w:pStyle w:val="12"/>
            </w:pPr>
            <w:r>
              <w:t>按照幼儿园资助标准1000元/生/年</w:t>
            </w:r>
          </w:p>
        </w:tc>
        <w:tc>
          <w:tcPr>
            <w:tcW w:w="2268" w:type="dxa"/>
            <w:vAlign w:val="center"/>
          </w:tcPr>
          <w:p w14:paraId="22A425F6">
            <w:pPr>
              <w:pStyle w:val="12"/>
            </w:pPr>
            <w:r>
              <w:t>1000元/生/年</w:t>
            </w:r>
          </w:p>
        </w:tc>
        <w:tc>
          <w:tcPr>
            <w:tcW w:w="1276" w:type="dxa"/>
            <w:vAlign w:val="center"/>
          </w:tcPr>
          <w:p w14:paraId="52F06B3E">
            <w:pPr>
              <w:pStyle w:val="12"/>
            </w:pPr>
            <w:r>
              <w:t>幼儿资助经费管理办法</w:t>
            </w:r>
          </w:p>
        </w:tc>
      </w:tr>
      <w:tr w14:paraId="396B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A300D">
            <w:pPr>
              <w:pStyle w:val="13"/>
            </w:pPr>
            <w:r>
              <w:t>效益指标</w:t>
            </w:r>
          </w:p>
        </w:tc>
        <w:tc>
          <w:tcPr>
            <w:tcW w:w="2268" w:type="dxa"/>
            <w:vAlign w:val="center"/>
          </w:tcPr>
          <w:p w14:paraId="19915826">
            <w:pPr>
              <w:pStyle w:val="12"/>
            </w:pPr>
            <w:r>
              <w:t>可持续影响指标</w:t>
            </w:r>
          </w:p>
        </w:tc>
        <w:tc>
          <w:tcPr>
            <w:tcW w:w="2835" w:type="dxa"/>
            <w:vAlign w:val="center"/>
          </w:tcPr>
          <w:p w14:paraId="18106D4B">
            <w:pPr>
              <w:pStyle w:val="12"/>
            </w:pPr>
            <w:r>
              <w:t>幼儿园运转</w:t>
            </w:r>
          </w:p>
        </w:tc>
        <w:tc>
          <w:tcPr>
            <w:tcW w:w="5386" w:type="dxa"/>
            <w:vAlign w:val="center"/>
          </w:tcPr>
          <w:p w14:paraId="24694588">
            <w:pPr>
              <w:pStyle w:val="12"/>
            </w:pPr>
            <w:r>
              <w:t>幼儿受教育年限</w:t>
            </w:r>
          </w:p>
        </w:tc>
        <w:tc>
          <w:tcPr>
            <w:tcW w:w="2268" w:type="dxa"/>
            <w:vAlign w:val="center"/>
          </w:tcPr>
          <w:p w14:paraId="4C411C8F">
            <w:pPr>
              <w:pStyle w:val="12"/>
            </w:pPr>
            <w:r>
              <w:t>3年</w:t>
            </w:r>
          </w:p>
        </w:tc>
        <w:tc>
          <w:tcPr>
            <w:tcW w:w="1276" w:type="dxa"/>
            <w:vAlign w:val="center"/>
          </w:tcPr>
          <w:p w14:paraId="1F5F789F">
            <w:pPr>
              <w:pStyle w:val="12"/>
            </w:pPr>
            <w:r>
              <w:t>幼儿资助经费管理办法</w:t>
            </w:r>
          </w:p>
        </w:tc>
      </w:tr>
      <w:tr w14:paraId="2DB1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F5ED7">
            <w:pPr>
              <w:pStyle w:val="13"/>
            </w:pPr>
            <w:r>
              <w:t>满意度指标</w:t>
            </w:r>
          </w:p>
        </w:tc>
        <w:tc>
          <w:tcPr>
            <w:tcW w:w="2268" w:type="dxa"/>
            <w:vAlign w:val="center"/>
          </w:tcPr>
          <w:p w14:paraId="7E61F3E8">
            <w:pPr>
              <w:pStyle w:val="12"/>
            </w:pPr>
            <w:r>
              <w:t>服务对象满意度指标</w:t>
            </w:r>
          </w:p>
        </w:tc>
        <w:tc>
          <w:tcPr>
            <w:tcW w:w="2835" w:type="dxa"/>
            <w:vAlign w:val="center"/>
          </w:tcPr>
          <w:p w14:paraId="3FEFEBEE">
            <w:pPr>
              <w:pStyle w:val="12"/>
            </w:pPr>
            <w:r>
              <w:t>受益幼儿家长及调查满意度</w:t>
            </w:r>
          </w:p>
        </w:tc>
        <w:tc>
          <w:tcPr>
            <w:tcW w:w="5386" w:type="dxa"/>
            <w:vAlign w:val="center"/>
          </w:tcPr>
          <w:p w14:paraId="6526C757">
            <w:pPr>
              <w:pStyle w:val="12"/>
            </w:pPr>
            <w:r>
              <w:t>学生、教师及家长对学校保教保育工作满意度情况</w:t>
            </w:r>
          </w:p>
        </w:tc>
        <w:tc>
          <w:tcPr>
            <w:tcW w:w="2268" w:type="dxa"/>
            <w:vAlign w:val="center"/>
          </w:tcPr>
          <w:p w14:paraId="4BA4BEE7">
            <w:pPr>
              <w:pStyle w:val="12"/>
            </w:pPr>
            <w:r>
              <w:t>≥95%</w:t>
            </w:r>
          </w:p>
        </w:tc>
        <w:tc>
          <w:tcPr>
            <w:tcW w:w="1276" w:type="dxa"/>
            <w:vAlign w:val="center"/>
          </w:tcPr>
          <w:p w14:paraId="5DB1813E">
            <w:pPr>
              <w:pStyle w:val="12"/>
            </w:pPr>
            <w:r>
              <w:t>群众测评</w:t>
            </w:r>
          </w:p>
        </w:tc>
      </w:tr>
    </w:tbl>
    <w:p w14:paraId="5A73507D">
      <w:pPr>
        <w:sectPr>
          <w:pgSz w:w="16840" w:h="11900" w:orient="landscape"/>
          <w:pgMar w:top="1361" w:right="1020" w:bottom="1134" w:left="1020" w:header="720" w:footer="720" w:gutter="0"/>
          <w:cols w:space="720" w:num="1"/>
        </w:sectPr>
      </w:pPr>
    </w:p>
    <w:p w14:paraId="43D859BC">
      <w:pPr>
        <w:spacing w:before="0" w:after="0"/>
        <w:ind w:firstLine="560"/>
        <w:jc w:val="left"/>
        <w:outlineLvl w:val="9"/>
      </w:pPr>
      <w:r>
        <w:rPr>
          <w:rFonts w:ascii="方正仿宋_GBK" w:hAnsi="方正仿宋_GBK" w:eastAsia="方正仿宋_GBK" w:cs="方正仿宋_GBK"/>
          <w:b/>
          <w:color w:val="000000"/>
          <w:sz w:val="28"/>
        </w:rPr>
        <w:t>34、县级资金/2024年莲子镇校区学前教育公用经费绩效目标表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66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1F62E">
            <w:pPr>
              <w:pStyle w:val="11"/>
            </w:pPr>
            <w:r>
              <w:t>单位：万元</w:t>
            </w:r>
          </w:p>
        </w:tc>
      </w:tr>
      <w:tr w14:paraId="6CB57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E175C">
            <w:pPr>
              <w:pStyle w:val="10"/>
            </w:pPr>
            <w:r>
              <w:t>项目编码</w:t>
            </w:r>
          </w:p>
        </w:tc>
        <w:tc>
          <w:tcPr>
            <w:tcW w:w="5103" w:type="dxa"/>
            <w:gridSpan w:val="2"/>
            <w:vAlign w:val="center"/>
          </w:tcPr>
          <w:p w14:paraId="04C9821B">
            <w:pPr>
              <w:pStyle w:val="12"/>
            </w:pPr>
            <w:r>
              <w:t>13052526P00875710142E</w:t>
            </w:r>
          </w:p>
        </w:tc>
        <w:tc>
          <w:tcPr>
            <w:tcW w:w="2835" w:type="dxa"/>
            <w:vAlign w:val="center"/>
          </w:tcPr>
          <w:p w14:paraId="18C0DAF2">
            <w:pPr>
              <w:pStyle w:val="10"/>
            </w:pPr>
            <w:r>
              <w:t>项目名称</w:t>
            </w:r>
          </w:p>
        </w:tc>
        <w:tc>
          <w:tcPr>
            <w:tcW w:w="6095" w:type="dxa"/>
            <w:gridSpan w:val="3"/>
            <w:vAlign w:val="center"/>
          </w:tcPr>
          <w:p w14:paraId="37FC2C9B">
            <w:pPr>
              <w:pStyle w:val="12"/>
            </w:pPr>
            <w:r>
              <w:t>县级资金/2024年莲子镇校区学前教育公用经费</w:t>
            </w:r>
          </w:p>
        </w:tc>
      </w:tr>
      <w:tr w14:paraId="33800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D8B5F">
            <w:pPr>
              <w:pStyle w:val="10"/>
            </w:pPr>
            <w:r>
              <w:t>预算规模及资金用途</w:t>
            </w:r>
          </w:p>
        </w:tc>
        <w:tc>
          <w:tcPr>
            <w:tcW w:w="2268" w:type="dxa"/>
            <w:vAlign w:val="center"/>
          </w:tcPr>
          <w:p w14:paraId="2499C4B4">
            <w:pPr>
              <w:pStyle w:val="10"/>
            </w:pPr>
            <w:r>
              <w:t>预算数</w:t>
            </w:r>
          </w:p>
        </w:tc>
        <w:tc>
          <w:tcPr>
            <w:tcW w:w="2835" w:type="dxa"/>
            <w:vAlign w:val="center"/>
          </w:tcPr>
          <w:p w14:paraId="5F087EE9">
            <w:pPr>
              <w:pStyle w:val="12"/>
            </w:pPr>
            <w:r>
              <w:t>48.78</w:t>
            </w:r>
          </w:p>
        </w:tc>
        <w:tc>
          <w:tcPr>
            <w:tcW w:w="2835" w:type="dxa"/>
            <w:vAlign w:val="center"/>
          </w:tcPr>
          <w:p w14:paraId="1E113F0D">
            <w:pPr>
              <w:pStyle w:val="10"/>
            </w:pPr>
            <w:r>
              <w:t>其中：财政    资金</w:t>
            </w:r>
          </w:p>
        </w:tc>
        <w:tc>
          <w:tcPr>
            <w:tcW w:w="2551" w:type="dxa"/>
            <w:vAlign w:val="center"/>
          </w:tcPr>
          <w:p w14:paraId="104FAD14">
            <w:pPr>
              <w:pStyle w:val="12"/>
            </w:pPr>
            <w:r>
              <w:t>48.78</w:t>
            </w:r>
          </w:p>
        </w:tc>
        <w:tc>
          <w:tcPr>
            <w:tcW w:w="2268" w:type="dxa"/>
            <w:vAlign w:val="center"/>
          </w:tcPr>
          <w:p w14:paraId="7004D2FE">
            <w:pPr>
              <w:pStyle w:val="10"/>
            </w:pPr>
            <w:r>
              <w:t>其他资金</w:t>
            </w:r>
          </w:p>
        </w:tc>
        <w:tc>
          <w:tcPr>
            <w:tcW w:w="1276" w:type="dxa"/>
            <w:vAlign w:val="center"/>
          </w:tcPr>
          <w:p w14:paraId="25B9D03B">
            <w:pPr>
              <w:pStyle w:val="12"/>
            </w:pPr>
            <w:r>
              <w:t xml:space="preserve"> </w:t>
            </w:r>
          </w:p>
        </w:tc>
      </w:tr>
      <w:tr w14:paraId="296A3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5BFDB"/>
        </w:tc>
        <w:tc>
          <w:tcPr>
            <w:tcW w:w="14033" w:type="dxa"/>
            <w:gridSpan w:val="6"/>
            <w:vAlign w:val="center"/>
          </w:tcPr>
          <w:p w14:paraId="3102A37F">
            <w:pPr>
              <w:pStyle w:val="12"/>
            </w:pPr>
            <w:r>
              <w:t xml:space="preserve"> 保障幼儿园正常运转，完成教育教学活动和其他日常工作任务等方面的费用支出。</w:t>
            </w:r>
            <w:r>
              <w:tab/>
            </w:r>
          </w:p>
        </w:tc>
      </w:tr>
      <w:tr w14:paraId="2114E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0CDC9">
            <w:pPr>
              <w:pStyle w:val="10"/>
            </w:pPr>
            <w:r>
              <w:t>资金支出计划（%）</w:t>
            </w:r>
          </w:p>
        </w:tc>
        <w:tc>
          <w:tcPr>
            <w:tcW w:w="5103" w:type="dxa"/>
            <w:gridSpan w:val="2"/>
            <w:vAlign w:val="center"/>
          </w:tcPr>
          <w:p w14:paraId="4C374234">
            <w:pPr>
              <w:pStyle w:val="10"/>
            </w:pPr>
            <w:r>
              <w:t>3月底</w:t>
            </w:r>
          </w:p>
        </w:tc>
        <w:tc>
          <w:tcPr>
            <w:tcW w:w="2835" w:type="dxa"/>
            <w:vAlign w:val="center"/>
          </w:tcPr>
          <w:p w14:paraId="00116DF7">
            <w:pPr>
              <w:pStyle w:val="10"/>
            </w:pPr>
            <w:r>
              <w:t>6月底</w:t>
            </w:r>
          </w:p>
        </w:tc>
        <w:tc>
          <w:tcPr>
            <w:tcW w:w="2551" w:type="dxa"/>
            <w:vAlign w:val="center"/>
          </w:tcPr>
          <w:p w14:paraId="77F419E1">
            <w:pPr>
              <w:pStyle w:val="10"/>
            </w:pPr>
            <w:r>
              <w:t>10月底</w:t>
            </w:r>
          </w:p>
        </w:tc>
        <w:tc>
          <w:tcPr>
            <w:tcW w:w="3544" w:type="dxa"/>
            <w:gridSpan w:val="2"/>
            <w:vAlign w:val="center"/>
          </w:tcPr>
          <w:p w14:paraId="21667446">
            <w:pPr>
              <w:pStyle w:val="10"/>
            </w:pPr>
            <w:r>
              <w:t>12月底</w:t>
            </w:r>
          </w:p>
        </w:tc>
      </w:tr>
      <w:tr w14:paraId="542F2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8FED0"/>
        </w:tc>
        <w:tc>
          <w:tcPr>
            <w:tcW w:w="5103" w:type="dxa"/>
            <w:gridSpan w:val="2"/>
            <w:vAlign w:val="center"/>
          </w:tcPr>
          <w:p w14:paraId="6CE1CA71">
            <w:pPr>
              <w:pStyle w:val="13"/>
            </w:pPr>
            <w:r>
              <w:t>25%</w:t>
            </w:r>
          </w:p>
        </w:tc>
        <w:tc>
          <w:tcPr>
            <w:tcW w:w="2835" w:type="dxa"/>
            <w:vAlign w:val="center"/>
          </w:tcPr>
          <w:p w14:paraId="4FDF6FF2">
            <w:pPr>
              <w:pStyle w:val="13"/>
            </w:pPr>
            <w:r>
              <w:t>50%</w:t>
            </w:r>
          </w:p>
        </w:tc>
        <w:tc>
          <w:tcPr>
            <w:tcW w:w="2551" w:type="dxa"/>
            <w:vAlign w:val="center"/>
          </w:tcPr>
          <w:p w14:paraId="1D9C2091">
            <w:pPr>
              <w:pStyle w:val="13"/>
            </w:pPr>
            <w:r>
              <w:t>75%</w:t>
            </w:r>
          </w:p>
        </w:tc>
        <w:tc>
          <w:tcPr>
            <w:tcW w:w="3544" w:type="dxa"/>
            <w:gridSpan w:val="2"/>
            <w:vAlign w:val="center"/>
          </w:tcPr>
          <w:p w14:paraId="4CFF61C3">
            <w:pPr>
              <w:pStyle w:val="13"/>
            </w:pPr>
            <w:r>
              <w:t>100%</w:t>
            </w:r>
          </w:p>
        </w:tc>
      </w:tr>
      <w:tr w14:paraId="1046E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F876E">
            <w:pPr>
              <w:pStyle w:val="10"/>
            </w:pPr>
            <w:r>
              <w:t>绩效目标</w:t>
            </w:r>
          </w:p>
        </w:tc>
        <w:tc>
          <w:tcPr>
            <w:tcW w:w="14033" w:type="dxa"/>
            <w:gridSpan w:val="6"/>
            <w:vAlign w:val="center"/>
          </w:tcPr>
          <w:p w14:paraId="3E37412B">
            <w:pPr>
              <w:pStyle w:val="12"/>
            </w:pPr>
            <w:r>
              <w:t>1.按季度分批次拨付公用经费资金，资金拨付率达到100%。</w:t>
            </w:r>
            <w:r>
              <w:tab/>
            </w:r>
            <w:r>
              <w:tab/>
            </w:r>
            <w:r>
              <w:tab/>
            </w:r>
            <w:r>
              <w:tab/>
            </w:r>
            <w:r>
              <w:tab/>
            </w:r>
            <w:r>
              <w:tab/>
            </w:r>
          </w:p>
          <w:p w14:paraId="7FF89185">
            <w:pPr>
              <w:pStyle w:val="12"/>
            </w:pPr>
            <w:r>
              <w:t>2. 保障幼儿园正常运转，完成教育教学活动和其他日常工作任务等方面的费用支出。</w:t>
            </w:r>
            <w:r>
              <w:tab/>
            </w:r>
            <w:r>
              <w:tab/>
            </w:r>
            <w:r>
              <w:tab/>
            </w:r>
            <w:r>
              <w:tab/>
            </w:r>
            <w:r>
              <w:tab/>
            </w:r>
            <w:r>
              <w:tab/>
            </w:r>
          </w:p>
        </w:tc>
      </w:tr>
    </w:tbl>
    <w:p w14:paraId="6A662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C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9F083">
            <w:pPr>
              <w:pStyle w:val="10"/>
            </w:pPr>
            <w:r>
              <w:t>一级指标</w:t>
            </w:r>
          </w:p>
        </w:tc>
        <w:tc>
          <w:tcPr>
            <w:tcW w:w="2268" w:type="dxa"/>
            <w:vAlign w:val="center"/>
          </w:tcPr>
          <w:p w14:paraId="48785268">
            <w:pPr>
              <w:pStyle w:val="10"/>
            </w:pPr>
            <w:r>
              <w:t>二级指标</w:t>
            </w:r>
          </w:p>
        </w:tc>
        <w:tc>
          <w:tcPr>
            <w:tcW w:w="2835" w:type="dxa"/>
            <w:vAlign w:val="center"/>
          </w:tcPr>
          <w:p w14:paraId="08F18197">
            <w:pPr>
              <w:pStyle w:val="10"/>
            </w:pPr>
            <w:r>
              <w:t>三级指标</w:t>
            </w:r>
          </w:p>
        </w:tc>
        <w:tc>
          <w:tcPr>
            <w:tcW w:w="5386" w:type="dxa"/>
            <w:vAlign w:val="center"/>
          </w:tcPr>
          <w:p w14:paraId="728E93AB">
            <w:pPr>
              <w:pStyle w:val="10"/>
            </w:pPr>
            <w:r>
              <w:t>绩效指标描述</w:t>
            </w:r>
          </w:p>
        </w:tc>
        <w:tc>
          <w:tcPr>
            <w:tcW w:w="2268" w:type="dxa"/>
            <w:vAlign w:val="center"/>
          </w:tcPr>
          <w:p w14:paraId="0929F72A">
            <w:pPr>
              <w:pStyle w:val="10"/>
            </w:pPr>
            <w:r>
              <w:t>指标值</w:t>
            </w:r>
          </w:p>
        </w:tc>
        <w:tc>
          <w:tcPr>
            <w:tcW w:w="1276" w:type="dxa"/>
            <w:vAlign w:val="center"/>
          </w:tcPr>
          <w:p w14:paraId="3D0D1B8A">
            <w:pPr>
              <w:pStyle w:val="10"/>
            </w:pPr>
            <w:r>
              <w:t>指标值确定依据</w:t>
            </w:r>
          </w:p>
        </w:tc>
      </w:tr>
      <w:tr w14:paraId="09C9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863D2">
            <w:pPr>
              <w:pStyle w:val="13"/>
            </w:pPr>
            <w:r>
              <w:t>产出指标</w:t>
            </w:r>
          </w:p>
        </w:tc>
        <w:tc>
          <w:tcPr>
            <w:tcW w:w="2268" w:type="dxa"/>
            <w:vAlign w:val="center"/>
          </w:tcPr>
          <w:p w14:paraId="04D96C99">
            <w:pPr>
              <w:pStyle w:val="12"/>
            </w:pPr>
            <w:r>
              <w:t>数量指标</w:t>
            </w:r>
          </w:p>
        </w:tc>
        <w:tc>
          <w:tcPr>
            <w:tcW w:w="2835" w:type="dxa"/>
            <w:vAlign w:val="center"/>
          </w:tcPr>
          <w:p w14:paraId="210BD419">
            <w:pPr>
              <w:pStyle w:val="12"/>
            </w:pPr>
            <w:r>
              <w:t>适龄在园生</w:t>
            </w:r>
          </w:p>
        </w:tc>
        <w:tc>
          <w:tcPr>
            <w:tcW w:w="5386" w:type="dxa"/>
            <w:vAlign w:val="center"/>
          </w:tcPr>
          <w:p w14:paraId="13CC2706">
            <w:pPr>
              <w:pStyle w:val="12"/>
            </w:pPr>
            <w:r>
              <w:t>适龄在园学生人数</w:t>
            </w:r>
          </w:p>
        </w:tc>
        <w:tc>
          <w:tcPr>
            <w:tcW w:w="2268" w:type="dxa"/>
            <w:vAlign w:val="center"/>
          </w:tcPr>
          <w:p w14:paraId="70F79C64">
            <w:pPr>
              <w:pStyle w:val="12"/>
            </w:pPr>
            <w:r>
              <w:t>1084人</w:t>
            </w:r>
          </w:p>
        </w:tc>
        <w:tc>
          <w:tcPr>
            <w:tcW w:w="1276" w:type="dxa"/>
            <w:vAlign w:val="center"/>
          </w:tcPr>
          <w:p w14:paraId="67C7A63A">
            <w:pPr>
              <w:pStyle w:val="12"/>
            </w:pPr>
            <w:r>
              <w:t>学前公用经费管理办法</w:t>
            </w:r>
          </w:p>
        </w:tc>
      </w:tr>
      <w:tr w14:paraId="4BABB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490B9"/>
        </w:tc>
        <w:tc>
          <w:tcPr>
            <w:tcW w:w="2268" w:type="dxa"/>
            <w:vAlign w:val="center"/>
          </w:tcPr>
          <w:p w14:paraId="733422AE">
            <w:pPr>
              <w:pStyle w:val="12"/>
            </w:pPr>
            <w:r>
              <w:t>质量指标</w:t>
            </w:r>
          </w:p>
        </w:tc>
        <w:tc>
          <w:tcPr>
            <w:tcW w:w="2835" w:type="dxa"/>
            <w:vAlign w:val="center"/>
          </w:tcPr>
          <w:p w14:paraId="4885502E">
            <w:pPr>
              <w:pStyle w:val="12"/>
            </w:pPr>
            <w:r>
              <w:t>预算控制率</w:t>
            </w:r>
          </w:p>
        </w:tc>
        <w:tc>
          <w:tcPr>
            <w:tcW w:w="5386" w:type="dxa"/>
            <w:vAlign w:val="center"/>
          </w:tcPr>
          <w:p w14:paraId="39443DF7">
            <w:pPr>
              <w:pStyle w:val="12"/>
            </w:pPr>
            <w:r>
              <w:t>预算执行</w:t>
            </w:r>
          </w:p>
        </w:tc>
        <w:tc>
          <w:tcPr>
            <w:tcW w:w="2268" w:type="dxa"/>
            <w:vAlign w:val="center"/>
          </w:tcPr>
          <w:p w14:paraId="296995A7">
            <w:pPr>
              <w:pStyle w:val="12"/>
            </w:pPr>
            <w:r>
              <w:t>≥95%</w:t>
            </w:r>
          </w:p>
        </w:tc>
        <w:tc>
          <w:tcPr>
            <w:tcW w:w="1276" w:type="dxa"/>
            <w:vAlign w:val="center"/>
          </w:tcPr>
          <w:p w14:paraId="4CF28E84">
            <w:pPr>
              <w:pStyle w:val="12"/>
            </w:pPr>
            <w:r>
              <w:t>学前公用经费管理办法</w:t>
            </w:r>
          </w:p>
        </w:tc>
      </w:tr>
      <w:tr w14:paraId="7B05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90782"/>
        </w:tc>
        <w:tc>
          <w:tcPr>
            <w:tcW w:w="2268" w:type="dxa"/>
            <w:vAlign w:val="center"/>
          </w:tcPr>
          <w:p w14:paraId="56DC4C1C">
            <w:pPr>
              <w:pStyle w:val="12"/>
            </w:pPr>
            <w:r>
              <w:t>时效指标</w:t>
            </w:r>
          </w:p>
        </w:tc>
        <w:tc>
          <w:tcPr>
            <w:tcW w:w="2835" w:type="dxa"/>
            <w:vAlign w:val="center"/>
          </w:tcPr>
          <w:p w14:paraId="22809619">
            <w:pPr>
              <w:pStyle w:val="12"/>
            </w:pPr>
            <w:r>
              <w:t>资金支付率</w:t>
            </w:r>
          </w:p>
        </w:tc>
        <w:tc>
          <w:tcPr>
            <w:tcW w:w="5386" w:type="dxa"/>
            <w:vAlign w:val="center"/>
          </w:tcPr>
          <w:p w14:paraId="5A0A1D83">
            <w:pPr>
              <w:pStyle w:val="12"/>
            </w:pPr>
            <w:r>
              <w:t>按照序时进度完成资金支付</w:t>
            </w:r>
          </w:p>
        </w:tc>
        <w:tc>
          <w:tcPr>
            <w:tcW w:w="2268" w:type="dxa"/>
            <w:vAlign w:val="center"/>
          </w:tcPr>
          <w:p w14:paraId="139F8935">
            <w:pPr>
              <w:pStyle w:val="12"/>
            </w:pPr>
            <w:r>
              <w:t>100%</w:t>
            </w:r>
          </w:p>
        </w:tc>
        <w:tc>
          <w:tcPr>
            <w:tcW w:w="1276" w:type="dxa"/>
            <w:vAlign w:val="center"/>
          </w:tcPr>
          <w:p w14:paraId="1073130C">
            <w:pPr>
              <w:pStyle w:val="12"/>
            </w:pPr>
            <w:r>
              <w:t>学前公用经费管理办法</w:t>
            </w:r>
          </w:p>
        </w:tc>
      </w:tr>
      <w:tr w14:paraId="3897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E181F"/>
        </w:tc>
        <w:tc>
          <w:tcPr>
            <w:tcW w:w="2268" w:type="dxa"/>
            <w:vAlign w:val="center"/>
          </w:tcPr>
          <w:p w14:paraId="372F6D66">
            <w:pPr>
              <w:pStyle w:val="12"/>
            </w:pPr>
            <w:r>
              <w:t>成本指标</w:t>
            </w:r>
          </w:p>
        </w:tc>
        <w:tc>
          <w:tcPr>
            <w:tcW w:w="2835" w:type="dxa"/>
            <w:vAlign w:val="center"/>
          </w:tcPr>
          <w:p w14:paraId="7EB7AF08">
            <w:pPr>
              <w:pStyle w:val="12"/>
            </w:pPr>
            <w:r>
              <w:t>生均拨款标准</w:t>
            </w:r>
          </w:p>
        </w:tc>
        <w:tc>
          <w:tcPr>
            <w:tcW w:w="5386" w:type="dxa"/>
            <w:vAlign w:val="center"/>
          </w:tcPr>
          <w:p w14:paraId="3892BEC4">
            <w:pPr>
              <w:pStyle w:val="12"/>
            </w:pPr>
            <w:r>
              <w:t>学前：（基本标准600元/生/学年）</w:t>
            </w:r>
          </w:p>
        </w:tc>
        <w:tc>
          <w:tcPr>
            <w:tcW w:w="2268" w:type="dxa"/>
            <w:vAlign w:val="center"/>
          </w:tcPr>
          <w:p w14:paraId="02693508">
            <w:pPr>
              <w:pStyle w:val="12"/>
            </w:pPr>
            <w:r>
              <w:t>600元</w:t>
            </w:r>
          </w:p>
        </w:tc>
        <w:tc>
          <w:tcPr>
            <w:tcW w:w="1276" w:type="dxa"/>
            <w:vAlign w:val="center"/>
          </w:tcPr>
          <w:p w14:paraId="1B0A5C08">
            <w:pPr>
              <w:pStyle w:val="12"/>
            </w:pPr>
            <w:r>
              <w:t>学前公用经费管理办法</w:t>
            </w:r>
          </w:p>
        </w:tc>
      </w:tr>
      <w:tr w14:paraId="63ACF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CD2ED">
            <w:pPr>
              <w:pStyle w:val="13"/>
            </w:pPr>
            <w:r>
              <w:t>效益指标</w:t>
            </w:r>
          </w:p>
        </w:tc>
        <w:tc>
          <w:tcPr>
            <w:tcW w:w="2268" w:type="dxa"/>
            <w:vAlign w:val="center"/>
          </w:tcPr>
          <w:p w14:paraId="31414174">
            <w:pPr>
              <w:pStyle w:val="12"/>
            </w:pPr>
            <w:r>
              <w:t>可持续影响指标</w:t>
            </w:r>
          </w:p>
        </w:tc>
        <w:tc>
          <w:tcPr>
            <w:tcW w:w="2835" w:type="dxa"/>
            <w:vAlign w:val="center"/>
          </w:tcPr>
          <w:p w14:paraId="66DB1840">
            <w:pPr>
              <w:pStyle w:val="12"/>
            </w:pPr>
            <w:r>
              <w:t>学校运转得到提升</w:t>
            </w:r>
          </w:p>
        </w:tc>
        <w:tc>
          <w:tcPr>
            <w:tcW w:w="5386" w:type="dxa"/>
            <w:vAlign w:val="center"/>
          </w:tcPr>
          <w:p w14:paraId="042BB6DF">
            <w:pPr>
              <w:pStyle w:val="12"/>
            </w:pPr>
            <w:r>
              <w:t>幼儿受教育年限</w:t>
            </w:r>
          </w:p>
        </w:tc>
        <w:tc>
          <w:tcPr>
            <w:tcW w:w="2268" w:type="dxa"/>
            <w:vAlign w:val="center"/>
          </w:tcPr>
          <w:p w14:paraId="08EDB709">
            <w:pPr>
              <w:pStyle w:val="12"/>
            </w:pPr>
            <w:r>
              <w:t>3年</w:t>
            </w:r>
          </w:p>
        </w:tc>
        <w:tc>
          <w:tcPr>
            <w:tcW w:w="1276" w:type="dxa"/>
            <w:vAlign w:val="center"/>
          </w:tcPr>
          <w:p w14:paraId="26068A5D">
            <w:pPr>
              <w:pStyle w:val="12"/>
            </w:pPr>
            <w:r>
              <w:t>学前公用经费管理办法</w:t>
            </w:r>
          </w:p>
        </w:tc>
      </w:tr>
      <w:tr w14:paraId="225C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62D04">
            <w:pPr>
              <w:pStyle w:val="13"/>
            </w:pPr>
            <w:r>
              <w:t>满意度指标</w:t>
            </w:r>
          </w:p>
        </w:tc>
        <w:tc>
          <w:tcPr>
            <w:tcW w:w="2268" w:type="dxa"/>
            <w:vAlign w:val="center"/>
          </w:tcPr>
          <w:p w14:paraId="37F58818">
            <w:pPr>
              <w:pStyle w:val="12"/>
            </w:pPr>
            <w:r>
              <w:t>服务对象满意度指标</w:t>
            </w:r>
          </w:p>
        </w:tc>
        <w:tc>
          <w:tcPr>
            <w:tcW w:w="2835" w:type="dxa"/>
            <w:vAlign w:val="center"/>
          </w:tcPr>
          <w:p w14:paraId="7452CD05">
            <w:pPr>
              <w:pStyle w:val="12"/>
            </w:pPr>
            <w:r>
              <w:t>受益学生家长及调查满意度</w:t>
            </w:r>
          </w:p>
        </w:tc>
        <w:tc>
          <w:tcPr>
            <w:tcW w:w="5386" w:type="dxa"/>
            <w:vAlign w:val="center"/>
          </w:tcPr>
          <w:p w14:paraId="6FB5FAFE">
            <w:pPr>
              <w:pStyle w:val="12"/>
            </w:pPr>
            <w:r>
              <w:t>学生、教师及家长对学校保教保育工作满意度情况</w:t>
            </w:r>
          </w:p>
        </w:tc>
        <w:tc>
          <w:tcPr>
            <w:tcW w:w="2268" w:type="dxa"/>
            <w:vAlign w:val="center"/>
          </w:tcPr>
          <w:p w14:paraId="69ADA693">
            <w:pPr>
              <w:pStyle w:val="12"/>
            </w:pPr>
            <w:r>
              <w:t>≥95%</w:t>
            </w:r>
          </w:p>
        </w:tc>
        <w:tc>
          <w:tcPr>
            <w:tcW w:w="1276" w:type="dxa"/>
            <w:vAlign w:val="center"/>
          </w:tcPr>
          <w:p w14:paraId="3B39497C">
            <w:pPr>
              <w:pStyle w:val="12"/>
            </w:pPr>
            <w:r>
              <w:t>群众测评</w:t>
            </w:r>
          </w:p>
        </w:tc>
      </w:tr>
    </w:tbl>
    <w:p w14:paraId="18FC2C4D">
      <w:pPr>
        <w:sectPr>
          <w:pgSz w:w="16840" w:h="11900" w:orient="landscape"/>
          <w:pgMar w:top="1361" w:right="1020" w:bottom="1134" w:left="1020" w:header="720" w:footer="720" w:gutter="0"/>
          <w:cols w:space="720" w:num="1"/>
        </w:sectPr>
      </w:pPr>
    </w:p>
    <w:p w14:paraId="3839D63B">
      <w:pPr>
        <w:spacing w:before="0" w:after="0"/>
        <w:ind w:firstLine="560"/>
        <w:jc w:val="left"/>
        <w:outlineLvl w:val="9"/>
      </w:pPr>
      <w:r>
        <w:rPr>
          <w:rFonts w:ascii="方正仿宋_GBK" w:hAnsi="方正仿宋_GBK" w:eastAsia="方正仿宋_GBK" w:cs="方正仿宋_GBK"/>
          <w:b/>
          <w:color w:val="000000"/>
          <w:sz w:val="28"/>
        </w:rPr>
        <w:t>35、县级资金/2026年莲子镇校区学前教育公用经费绩效目标表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F0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62109">
            <w:pPr>
              <w:pStyle w:val="11"/>
            </w:pPr>
            <w:r>
              <w:t>单位：万元</w:t>
            </w:r>
          </w:p>
        </w:tc>
      </w:tr>
      <w:tr w14:paraId="14CAE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52847">
            <w:pPr>
              <w:pStyle w:val="10"/>
            </w:pPr>
            <w:r>
              <w:t>项目编码</w:t>
            </w:r>
          </w:p>
        </w:tc>
        <w:tc>
          <w:tcPr>
            <w:tcW w:w="5103" w:type="dxa"/>
            <w:gridSpan w:val="2"/>
            <w:vAlign w:val="center"/>
          </w:tcPr>
          <w:p w14:paraId="57E20450">
            <w:pPr>
              <w:pStyle w:val="12"/>
            </w:pPr>
            <w:r>
              <w:t>13052526P00875710128C</w:t>
            </w:r>
          </w:p>
        </w:tc>
        <w:tc>
          <w:tcPr>
            <w:tcW w:w="2835" w:type="dxa"/>
            <w:vAlign w:val="center"/>
          </w:tcPr>
          <w:p w14:paraId="14328A75">
            <w:pPr>
              <w:pStyle w:val="10"/>
            </w:pPr>
            <w:r>
              <w:t>项目名称</w:t>
            </w:r>
          </w:p>
        </w:tc>
        <w:tc>
          <w:tcPr>
            <w:tcW w:w="6095" w:type="dxa"/>
            <w:gridSpan w:val="3"/>
            <w:vAlign w:val="center"/>
          </w:tcPr>
          <w:p w14:paraId="79497EA2">
            <w:pPr>
              <w:pStyle w:val="12"/>
            </w:pPr>
            <w:r>
              <w:t>县级资金/2026年莲子镇校区学前教育公用经费</w:t>
            </w:r>
          </w:p>
        </w:tc>
      </w:tr>
      <w:tr w14:paraId="6F3AA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B41AF">
            <w:pPr>
              <w:pStyle w:val="10"/>
            </w:pPr>
            <w:r>
              <w:t>预算规模及资金用途</w:t>
            </w:r>
          </w:p>
        </w:tc>
        <w:tc>
          <w:tcPr>
            <w:tcW w:w="2268" w:type="dxa"/>
            <w:vAlign w:val="center"/>
          </w:tcPr>
          <w:p w14:paraId="3704E000">
            <w:pPr>
              <w:pStyle w:val="10"/>
            </w:pPr>
            <w:r>
              <w:t>预算数</w:t>
            </w:r>
          </w:p>
        </w:tc>
        <w:tc>
          <w:tcPr>
            <w:tcW w:w="2835" w:type="dxa"/>
            <w:vAlign w:val="center"/>
          </w:tcPr>
          <w:p w14:paraId="6897C5FD">
            <w:pPr>
              <w:pStyle w:val="12"/>
            </w:pPr>
            <w:r>
              <w:t>25.83</w:t>
            </w:r>
          </w:p>
        </w:tc>
        <w:tc>
          <w:tcPr>
            <w:tcW w:w="2835" w:type="dxa"/>
            <w:vAlign w:val="center"/>
          </w:tcPr>
          <w:p w14:paraId="21E20526">
            <w:pPr>
              <w:pStyle w:val="10"/>
            </w:pPr>
            <w:r>
              <w:t>其中：财政    资金</w:t>
            </w:r>
          </w:p>
        </w:tc>
        <w:tc>
          <w:tcPr>
            <w:tcW w:w="2551" w:type="dxa"/>
            <w:vAlign w:val="center"/>
          </w:tcPr>
          <w:p w14:paraId="61FFDF6C">
            <w:pPr>
              <w:pStyle w:val="12"/>
            </w:pPr>
            <w:r>
              <w:t>25.83</w:t>
            </w:r>
          </w:p>
        </w:tc>
        <w:tc>
          <w:tcPr>
            <w:tcW w:w="2268" w:type="dxa"/>
            <w:vAlign w:val="center"/>
          </w:tcPr>
          <w:p w14:paraId="338C2433">
            <w:pPr>
              <w:pStyle w:val="10"/>
            </w:pPr>
            <w:r>
              <w:t>其他资金</w:t>
            </w:r>
          </w:p>
        </w:tc>
        <w:tc>
          <w:tcPr>
            <w:tcW w:w="1276" w:type="dxa"/>
            <w:vAlign w:val="center"/>
          </w:tcPr>
          <w:p w14:paraId="0F5F9247">
            <w:pPr>
              <w:pStyle w:val="12"/>
            </w:pPr>
            <w:r>
              <w:t xml:space="preserve"> </w:t>
            </w:r>
          </w:p>
        </w:tc>
      </w:tr>
      <w:tr w14:paraId="2424A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EE61B"/>
        </w:tc>
        <w:tc>
          <w:tcPr>
            <w:tcW w:w="14033" w:type="dxa"/>
            <w:gridSpan w:val="6"/>
            <w:vAlign w:val="center"/>
          </w:tcPr>
          <w:p w14:paraId="456D81C9">
            <w:pPr>
              <w:pStyle w:val="12"/>
            </w:pPr>
            <w:r>
              <w:t>保障幼儿园正常运转，完成教育教学活动和其他日常工作任务等方面的费用支出。</w:t>
            </w:r>
            <w:r>
              <w:tab/>
            </w:r>
          </w:p>
        </w:tc>
      </w:tr>
      <w:tr w14:paraId="3D1C8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26A50">
            <w:pPr>
              <w:pStyle w:val="10"/>
            </w:pPr>
            <w:r>
              <w:t>资金支出计划（%）</w:t>
            </w:r>
          </w:p>
        </w:tc>
        <w:tc>
          <w:tcPr>
            <w:tcW w:w="5103" w:type="dxa"/>
            <w:gridSpan w:val="2"/>
            <w:vAlign w:val="center"/>
          </w:tcPr>
          <w:p w14:paraId="16C01633">
            <w:pPr>
              <w:pStyle w:val="10"/>
            </w:pPr>
            <w:r>
              <w:t>3月底</w:t>
            </w:r>
          </w:p>
        </w:tc>
        <w:tc>
          <w:tcPr>
            <w:tcW w:w="2835" w:type="dxa"/>
            <w:vAlign w:val="center"/>
          </w:tcPr>
          <w:p w14:paraId="675948DC">
            <w:pPr>
              <w:pStyle w:val="10"/>
            </w:pPr>
            <w:r>
              <w:t>6月底</w:t>
            </w:r>
          </w:p>
        </w:tc>
        <w:tc>
          <w:tcPr>
            <w:tcW w:w="2551" w:type="dxa"/>
            <w:vAlign w:val="center"/>
          </w:tcPr>
          <w:p w14:paraId="10853564">
            <w:pPr>
              <w:pStyle w:val="10"/>
            </w:pPr>
            <w:r>
              <w:t>10月底</w:t>
            </w:r>
          </w:p>
        </w:tc>
        <w:tc>
          <w:tcPr>
            <w:tcW w:w="3544" w:type="dxa"/>
            <w:gridSpan w:val="2"/>
            <w:vAlign w:val="center"/>
          </w:tcPr>
          <w:p w14:paraId="3F22A219">
            <w:pPr>
              <w:pStyle w:val="10"/>
            </w:pPr>
            <w:r>
              <w:t>12月底</w:t>
            </w:r>
          </w:p>
        </w:tc>
      </w:tr>
      <w:tr w14:paraId="31371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816A3"/>
        </w:tc>
        <w:tc>
          <w:tcPr>
            <w:tcW w:w="5103" w:type="dxa"/>
            <w:gridSpan w:val="2"/>
            <w:vAlign w:val="center"/>
          </w:tcPr>
          <w:p w14:paraId="4843CA4C">
            <w:pPr>
              <w:pStyle w:val="13"/>
            </w:pPr>
            <w:r>
              <w:t>25%</w:t>
            </w:r>
          </w:p>
        </w:tc>
        <w:tc>
          <w:tcPr>
            <w:tcW w:w="2835" w:type="dxa"/>
            <w:vAlign w:val="center"/>
          </w:tcPr>
          <w:p w14:paraId="54C5503B">
            <w:pPr>
              <w:pStyle w:val="13"/>
            </w:pPr>
            <w:r>
              <w:t>50%</w:t>
            </w:r>
          </w:p>
        </w:tc>
        <w:tc>
          <w:tcPr>
            <w:tcW w:w="2551" w:type="dxa"/>
            <w:vAlign w:val="center"/>
          </w:tcPr>
          <w:p w14:paraId="56AD9A02">
            <w:pPr>
              <w:pStyle w:val="13"/>
            </w:pPr>
            <w:r>
              <w:t>75%</w:t>
            </w:r>
          </w:p>
        </w:tc>
        <w:tc>
          <w:tcPr>
            <w:tcW w:w="3544" w:type="dxa"/>
            <w:gridSpan w:val="2"/>
            <w:vAlign w:val="center"/>
          </w:tcPr>
          <w:p w14:paraId="38F72BFA">
            <w:pPr>
              <w:pStyle w:val="13"/>
            </w:pPr>
            <w:r>
              <w:t>100%</w:t>
            </w:r>
          </w:p>
        </w:tc>
      </w:tr>
      <w:tr w14:paraId="05ABC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421B2">
            <w:pPr>
              <w:pStyle w:val="10"/>
            </w:pPr>
            <w:r>
              <w:t>绩效目标</w:t>
            </w:r>
          </w:p>
        </w:tc>
        <w:tc>
          <w:tcPr>
            <w:tcW w:w="14033" w:type="dxa"/>
            <w:gridSpan w:val="6"/>
            <w:vAlign w:val="center"/>
          </w:tcPr>
          <w:p w14:paraId="6E7B305D">
            <w:pPr>
              <w:pStyle w:val="12"/>
            </w:pPr>
            <w:r>
              <w:t>1.按季度分批次拨付公用经费资金，资金拨付率达到100%。</w:t>
            </w:r>
            <w:r>
              <w:tab/>
            </w:r>
            <w:r>
              <w:tab/>
            </w:r>
            <w:r>
              <w:tab/>
            </w:r>
            <w:r>
              <w:tab/>
            </w:r>
            <w:r>
              <w:tab/>
            </w:r>
            <w:r>
              <w:tab/>
            </w:r>
          </w:p>
          <w:p w14:paraId="37460A19">
            <w:pPr>
              <w:pStyle w:val="12"/>
            </w:pPr>
          </w:p>
          <w:p w14:paraId="6F0DACEA">
            <w:pPr>
              <w:pStyle w:val="12"/>
            </w:pPr>
            <w:r>
              <w:t>2.保障幼儿园正常运转，完成教育教学活动和其他日常工作任务等方面的费用支出。</w:t>
            </w:r>
            <w:r>
              <w:tab/>
            </w:r>
            <w:r>
              <w:tab/>
            </w:r>
            <w:r>
              <w:tab/>
            </w:r>
            <w:r>
              <w:tab/>
            </w:r>
            <w:r>
              <w:tab/>
            </w:r>
            <w:r>
              <w:tab/>
            </w:r>
          </w:p>
        </w:tc>
      </w:tr>
    </w:tbl>
    <w:p w14:paraId="7D1D6B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B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F1BD3">
            <w:pPr>
              <w:pStyle w:val="10"/>
            </w:pPr>
            <w:r>
              <w:t>一级指标</w:t>
            </w:r>
          </w:p>
        </w:tc>
        <w:tc>
          <w:tcPr>
            <w:tcW w:w="2268" w:type="dxa"/>
            <w:vAlign w:val="center"/>
          </w:tcPr>
          <w:p w14:paraId="2AB4C983">
            <w:pPr>
              <w:pStyle w:val="10"/>
            </w:pPr>
            <w:r>
              <w:t>二级指标</w:t>
            </w:r>
          </w:p>
        </w:tc>
        <w:tc>
          <w:tcPr>
            <w:tcW w:w="2835" w:type="dxa"/>
            <w:vAlign w:val="center"/>
          </w:tcPr>
          <w:p w14:paraId="7DCA6547">
            <w:pPr>
              <w:pStyle w:val="10"/>
            </w:pPr>
            <w:r>
              <w:t>三级指标</w:t>
            </w:r>
          </w:p>
        </w:tc>
        <w:tc>
          <w:tcPr>
            <w:tcW w:w="5386" w:type="dxa"/>
            <w:vAlign w:val="center"/>
          </w:tcPr>
          <w:p w14:paraId="126CFE87">
            <w:pPr>
              <w:pStyle w:val="10"/>
            </w:pPr>
            <w:r>
              <w:t>绩效指标描述</w:t>
            </w:r>
          </w:p>
        </w:tc>
        <w:tc>
          <w:tcPr>
            <w:tcW w:w="2268" w:type="dxa"/>
            <w:vAlign w:val="center"/>
          </w:tcPr>
          <w:p w14:paraId="50E14391">
            <w:pPr>
              <w:pStyle w:val="10"/>
            </w:pPr>
            <w:r>
              <w:t>指标值</w:t>
            </w:r>
          </w:p>
        </w:tc>
        <w:tc>
          <w:tcPr>
            <w:tcW w:w="1276" w:type="dxa"/>
            <w:vAlign w:val="center"/>
          </w:tcPr>
          <w:p w14:paraId="443D3C37">
            <w:pPr>
              <w:pStyle w:val="10"/>
            </w:pPr>
            <w:r>
              <w:t>指标值确定依据</w:t>
            </w:r>
          </w:p>
        </w:tc>
      </w:tr>
      <w:tr w14:paraId="6152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81D94">
            <w:pPr>
              <w:pStyle w:val="13"/>
            </w:pPr>
            <w:r>
              <w:t>产出指标</w:t>
            </w:r>
          </w:p>
        </w:tc>
        <w:tc>
          <w:tcPr>
            <w:tcW w:w="2268" w:type="dxa"/>
            <w:vAlign w:val="center"/>
          </w:tcPr>
          <w:p w14:paraId="7FCEB2A7">
            <w:pPr>
              <w:pStyle w:val="12"/>
            </w:pPr>
            <w:r>
              <w:t>数量指标</w:t>
            </w:r>
          </w:p>
        </w:tc>
        <w:tc>
          <w:tcPr>
            <w:tcW w:w="2835" w:type="dxa"/>
            <w:vAlign w:val="center"/>
          </w:tcPr>
          <w:p w14:paraId="7616191F">
            <w:pPr>
              <w:pStyle w:val="12"/>
            </w:pPr>
            <w:r>
              <w:t>适龄在园生</w:t>
            </w:r>
          </w:p>
        </w:tc>
        <w:tc>
          <w:tcPr>
            <w:tcW w:w="5386" w:type="dxa"/>
            <w:vAlign w:val="center"/>
          </w:tcPr>
          <w:p w14:paraId="5C6EE0B2">
            <w:pPr>
              <w:pStyle w:val="12"/>
            </w:pPr>
            <w:r>
              <w:t>适龄在园学生人数</w:t>
            </w:r>
          </w:p>
        </w:tc>
        <w:tc>
          <w:tcPr>
            <w:tcW w:w="2268" w:type="dxa"/>
            <w:vAlign w:val="center"/>
          </w:tcPr>
          <w:p w14:paraId="55D3DA3E">
            <w:pPr>
              <w:pStyle w:val="12"/>
            </w:pPr>
            <w:r>
              <w:t>907人</w:t>
            </w:r>
          </w:p>
        </w:tc>
        <w:tc>
          <w:tcPr>
            <w:tcW w:w="1276" w:type="dxa"/>
            <w:vAlign w:val="center"/>
          </w:tcPr>
          <w:p w14:paraId="661881EE">
            <w:pPr>
              <w:pStyle w:val="12"/>
            </w:pPr>
            <w:r>
              <w:t>学前发展资金管理方法</w:t>
            </w:r>
          </w:p>
        </w:tc>
      </w:tr>
      <w:tr w14:paraId="2EA7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7FD0B"/>
        </w:tc>
        <w:tc>
          <w:tcPr>
            <w:tcW w:w="2268" w:type="dxa"/>
            <w:vAlign w:val="center"/>
          </w:tcPr>
          <w:p w14:paraId="5BABE49C">
            <w:pPr>
              <w:pStyle w:val="12"/>
            </w:pPr>
            <w:r>
              <w:t>质量指标</w:t>
            </w:r>
          </w:p>
        </w:tc>
        <w:tc>
          <w:tcPr>
            <w:tcW w:w="2835" w:type="dxa"/>
            <w:vAlign w:val="center"/>
          </w:tcPr>
          <w:p w14:paraId="609E3BE2">
            <w:pPr>
              <w:pStyle w:val="12"/>
            </w:pPr>
            <w:r>
              <w:t>预算控制率</w:t>
            </w:r>
          </w:p>
        </w:tc>
        <w:tc>
          <w:tcPr>
            <w:tcW w:w="5386" w:type="dxa"/>
            <w:vAlign w:val="center"/>
          </w:tcPr>
          <w:p w14:paraId="7DEBC11C">
            <w:pPr>
              <w:pStyle w:val="12"/>
            </w:pPr>
            <w:r>
              <w:t>预算执行</w:t>
            </w:r>
          </w:p>
        </w:tc>
        <w:tc>
          <w:tcPr>
            <w:tcW w:w="2268" w:type="dxa"/>
            <w:vAlign w:val="center"/>
          </w:tcPr>
          <w:p w14:paraId="6161B70B">
            <w:pPr>
              <w:pStyle w:val="12"/>
            </w:pPr>
            <w:r>
              <w:t>≥95%</w:t>
            </w:r>
          </w:p>
        </w:tc>
        <w:tc>
          <w:tcPr>
            <w:tcW w:w="1276" w:type="dxa"/>
            <w:vAlign w:val="center"/>
          </w:tcPr>
          <w:p w14:paraId="0DBD5A65">
            <w:pPr>
              <w:pStyle w:val="12"/>
            </w:pPr>
            <w:r>
              <w:t>学前发展资金管理方法</w:t>
            </w:r>
          </w:p>
        </w:tc>
      </w:tr>
      <w:tr w14:paraId="1DB6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3AFA4"/>
        </w:tc>
        <w:tc>
          <w:tcPr>
            <w:tcW w:w="2268" w:type="dxa"/>
            <w:vAlign w:val="center"/>
          </w:tcPr>
          <w:p w14:paraId="5590BB40">
            <w:pPr>
              <w:pStyle w:val="12"/>
            </w:pPr>
            <w:r>
              <w:t>时效指标</w:t>
            </w:r>
          </w:p>
        </w:tc>
        <w:tc>
          <w:tcPr>
            <w:tcW w:w="2835" w:type="dxa"/>
            <w:vAlign w:val="center"/>
          </w:tcPr>
          <w:p w14:paraId="4C8A3843">
            <w:pPr>
              <w:pStyle w:val="12"/>
            </w:pPr>
            <w:r>
              <w:t>资金支付率</w:t>
            </w:r>
          </w:p>
        </w:tc>
        <w:tc>
          <w:tcPr>
            <w:tcW w:w="5386" w:type="dxa"/>
            <w:vAlign w:val="center"/>
          </w:tcPr>
          <w:p w14:paraId="2AC4AF9B">
            <w:pPr>
              <w:pStyle w:val="12"/>
            </w:pPr>
            <w:r>
              <w:t>按照序时进度完成资金支付</w:t>
            </w:r>
          </w:p>
        </w:tc>
        <w:tc>
          <w:tcPr>
            <w:tcW w:w="2268" w:type="dxa"/>
            <w:vAlign w:val="center"/>
          </w:tcPr>
          <w:p w14:paraId="77B6B530">
            <w:pPr>
              <w:pStyle w:val="12"/>
            </w:pPr>
            <w:r>
              <w:t>100%</w:t>
            </w:r>
          </w:p>
        </w:tc>
        <w:tc>
          <w:tcPr>
            <w:tcW w:w="1276" w:type="dxa"/>
            <w:vAlign w:val="center"/>
          </w:tcPr>
          <w:p w14:paraId="70BEAB15">
            <w:pPr>
              <w:pStyle w:val="12"/>
            </w:pPr>
            <w:r>
              <w:t>学前发展资金管理方法</w:t>
            </w:r>
          </w:p>
        </w:tc>
      </w:tr>
      <w:tr w14:paraId="6ABE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14D80"/>
        </w:tc>
        <w:tc>
          <w:tcPr>
            <w:tcW w:w="2268" w:type="dxa"/>
            <w:vAlign w:val="center"/>
          </w:tcPr>
          <w:p w14:paraId="54AA229A">
            <w:pPr>
              <w:pStyle w:val="12"/>
            </w:pPr>
            <w:r>
              <w:t>成本指标</w:t>
            </w:r>
          </w:p>
        </w:tc>
        <w:tc>
          <w:tcPr>
            <w:tcW w:w="2835" w:type="dxa"/>
            <w:vAlign w:val="center"/>
          </w:tcPr>
          <w:p w14:paraId="7C3EBA73">
            <w:pPr>
              <w:pStyle w:val="12"/>
            </w:pPr>
            <w:r>
              <w:t>生均拨款标准</w:t>
            </w:r>
          </w:p>
        </w:tc>
        <w:tc>
          <w:tcPr>
            <w:tcW w:w="5386" w:type="dxa"/>
            <w:vAlign w:val="center"/>
          </w:tcPr>
          <w:p w14:paraId="208A271E">
            <w:pPr>
              <w:pStyle w:val="12"/>
            </w:pPr>
            <w:r>
              <w:t>学前：（基本标准600元/生/学年）</w:t>
            </w:r>
          </w:p>
        </w:tc>
        <w:tc>
          <w:tcPr>
            <w:tcW w:w="2268" w:type="dxa"/>
            <w:vAlign w:val="center"/>
          </w:tcPr>
          <w:p w14:paraId="50E531EE">
            <w:pPr>
              <w:pStyle w:val="12"/>
            </w:pPr>
            <w:r>
              <w:t>600元</w:t>
            </w:r>
          </w:p>
        </w:tc>
        <w:tc>
          <w:tcPr>
            <w:tcW w:w="1276" w:type="dxa"/>
            <w:vAlign w:val="center"/>
          </w:tcPr>
          <w:p w14:paraId="6DE8F263">
            <w:pPr>
              <w:pStyle w:val="12"/>
            </w:pPr>
            <w:r>
              <w:t>学前发展资金管理方法</w:t>
            </w:r>
          </w:p>
        </w:tc>
      </w:tr>
      <w:tr w14:paraId="76C8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1B5FF">
            <w:pPr>
              <w:pStyle w:val="13"/>
            </w:pPr>
            <w:r>
              <w:t>效益指标</w:t>
            </w:r>
          </w:p>
        </w:tc>
        <w:tc>
          <w:tcPr>
            <w:tcW w:w="2268" w:type="dxa"/>
            <w:vAlign w:val="center"/>
          </w:tcPr>
          <w:p w14:paraId="4B5AA3C9">
            <w:pPr>
              <w:pStyle w:val="12"/>
            </w:pPr>
            <w:r>
              <w:t>可持续影响指标</w:t>
            </w:r>
          </w:p>
        </w:tc>
        <w:tc>
          <w:tcPr>
            <w:tcW w:w="2835" w:type="dxa"/>
            <w:vAlign w:val="center"/>
          </w:tcPr>
          <w:p w14:paraId="6FDB4E7C">
            <w:pPr>
              <w:pStyle w:val="12"/>
            </w:pPr>
            <w:r>
              <w:t>学校运转得到提升</w:t>
            </w:r>
          </w:p>
        </w:tc>
        <w:tc>
          <w:tcPr>
            <w:tcW w:w="5386" w:type="dxa"/>
            <w:vAlign w:val="center"/>
          </w:tcPr>
          <w:p w14:paraId="0C0E52FF">
            <w:pPr>
              <w:pStyle w:val="12"/>
            </w:pPr>
            <w:r>
              <w:t>幼儿受教育年限</w:t>
            </w:r>
          </w:p>
        </w:tc>
        <w:tc>
          <w:tcPr>
            <w:tcW w:w="2268" w:type="dxa"/>
            <w:vAlign w:val="center"/>
          </w:tcPr>
          <w:p w14:paraId="44447AF2">
            <w:pPr>
              <w:pStyle w:val="12"/>
            </w:pPr>
            <w:r>
              <w:t>3年</w:t>
            </w:r>
          </w:p>
        </w:tc>
        <w:tc>
          <w:tcPr>
            <w:tcW w:w="1276" w:type="dxa"/>
            <w:vAlign w:val="center"/>
          </w:tcPr>
          <w:p w14:paraId="32966F1C">
            <w:pPr>
              <w:pStyle w:val="12"/>
            </w:pPr>
            <w:r>
              <w:t>学前发展资金管理方法</w:t>
            </w:r>
          </w:p>
        </w:tc>
      </w:tr>
      <w:tr w14:paraId="1B1C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C2370">
            <w:pPr>
              <w:pStyle w:val="13"/>
            </w:pPr>
            <w:r>
              <w:t>满意度指标</w:t>
            </w:r>
          </w:p>
        </w:tc>
        <w:tc>
          <w:tcPr>
            <w:tcW w:w="2268" w:type="dxa"/>
            <w:vAlign w:val="center"/>
          </w:tcPr>
          <w:p w14:paraId="35AF1B9A">
            <w:pPr>
              <w:pStyle w:val="12"/>
            </w:pPr>
            <w:r>
              <w:t>服务对象满意度指标</w:t>
            </w:r>
          </w:p>
        </w:tc>
        <w:tc>
          <w:tcPr>
            <w:tcW w:w="2835" w:type="dxa"/>
            <w:vAlign w:val="center"/>
          </w:tcPr>
          <w:p w14:paraId="66DEFE02">
            <w:pPr>
              <w:pStyle w:val="12"/>
            </w:pPr>
            <w:r>
              <w:t>受益学生家长及调查满意度</w:t>
            </w:r>
          </w:p>
        </w:tc>
        <w:tc>
          <w:tcPr>
            <w:tcW w:w="5386" w:type="dxa"/>
            <w:vAlign w:val="center"/>
          </w:tcPr>
          <w:p w14:paraId="477D6D00">
            <w:pPr>
              <w:pStyle w:val="12"/>
            </w:pPr>
            <w:r>
              <w:t>学生、教师及家长对学校保教保育工作满意度情况</w:t>
            </w:r>
          </w:p>
        </w:tc>
        <w:tc>
          <w:tcPr>
            <w:tcW w:w="2268" w:type="dxa"/>
            <w:vAlign w:val="center"/>
          </w:tcPr>
          <w:p w14:paraId="769711B2">
            <w:pPr>
              <w:pStyle w:val="12"/>
            </w:pPr>
            <w:r>
              <w:t>≥95%</w:t>
            </w:r>
          </w:p>
        </w:tc>
        <w:tc>
          <w:tcPr>
            <w:tcW w:w="1276" w:type="dxa"/>
            <w:vAlign w:val="center"/>
          </w:tcPr>
          <w:p w14:paraId="1D6838BC">
            <w:pPr>
              <w:pStyle w:val="12"/>
            </w:pPr>
            <w:r>
              <w:t>群众测评</w:t>
            </w:r>
          </w:p>
        </w:tc>
      </w:tr>
    </w:tbl>
    <w:p w14:paraId="6A59823B">
      <w:pPr>
        <w:sectPr>
          <w:pgSz w:w="16840" w:h="11900" w:orient="landscape"/>
          <w:pgMar w:top="1361" w:right="1020" w:bottom="1134" w:left="1020" w:header="720" w:footer="720" w:gutter="0"/>
          <w:cols w:space="720" w:num="1"/>
        </w:sectPr>
      </w:pPr>
    </w:p>
    <w:p w14:paraId="5531DB30">
      <w:pPr>
        <w:spacing w:before="0" w:after="0"/>
        <w:ind w:firstLine="560"/>
        <w:jc w:val="left"/>
        <w:outlineLvl w:val="9"/>
      </w:pPr>
      <w:r>
        <w:rPr>
          <w:rFonts w:ascii="方正仿宋_GBK" w:hAnsi="方正仿宋_GBK" w:eastAsia="方正仿宋_GBK" w:cs="方正仿宋_GBK"/>
          <w:b/>
          <w:color w:val="000000"/>
          <w:sz w:val="28"/>
        </w:rPr>
        <w:t>36、学前专项经费/莲子镇校区绩效目标表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0F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C8147">
            <w:pPr>
              <w:pStyle w:val="11"/>
            </w:pPr>
            <w:r>
              <w:t>单位：万元</w:t>
            </w:r>
          </w:p>
        </w:tc>
      </w:tr>
      <w:tr w14:paraId="6D464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CF2A1">
            <w:pPr>
              <w:pStyle w:val="10"/>
            </w:pPr>
            <w:r>
              <w:t>项目编码</w:t>
            </w:r>
          </w:p>
        </w:tc>
        <w:tc>
          <w:tcPr>
            <w:tcW w:w="5103" w:type="dxa"/>
            <w:gridSpan w:val="2"/>
            <w:vAlign w:val="center"/>
          </w:tcPr>
          <w:p w14:paraId="6E48BCCD">
            <w:pPr>
              <w:pStyle w:val="12"/>
            </w:pPr>
            <w:r>
              <w:t>13052526P000002101037</w:t>
            </w:r>
          </w:p>
        </w:tc>
        <w:tc>
          <w:tcPr>
            <w:tcW w:w="2835" w:type="dxa"/>
            <w:vAlign w:val="center"/>
          </w:tcPr>
          <w:p w14:paraId="76687F16">
            <w:pPr>
              <w:pStyle w:val="10"/>
            </w:pPr>
            <w:r>
              <w:t>项目名称</w:t>
            </w:r>
          </w:p>
        </w:tc>
        <w:tc>
          <w:tcPr>
            <w:tcW w:w="6095" w:type="dxa"/>
            <w:gridSpan w:val="3"/>
            <w:vAlign w:val="center"/>
          </w:tcPr>
          <w:p w14:paraId="0E5E8033">
            <w:pPr>
              <w:pStyle w:val="12"/>
            </w:pPr>
            <w:r>
              <w:t>学前专项经费/莲子镇校区</w:t>
            </w:r>
          </w:p>
        </w:tc>
      </w:tr>
      <w:tr w14:paraId="053DB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5B8FB">
            <w:pPr>
              <w:pStyle w:val="10"/>
            </w:pPr>
            <w:r>
              <w:t>预算规模及资金用途</w:t>
            </w:r>
          </w:p>
        </w:tc>
        <w:tc>
          <w:tcPr>
            <w:tcW w:w="2268" w:type="dxa"/>
            <w:vAlign w:val="center"/>
          </w:tcPr>
          <w:p w14:paraId="6A128EDB">
            <w:pPr>
              <w:pStyle w:val="10"/>
            </w:pPr>
            <w:r>
              <w:t>预算数</w:t>
            </w:r>
          </w:p>
        </w:tc>
        <w:tc>
          <w:tcPr>
            <w:tcW w:w="2835" w:type="dxa"/>
            <w:vAlign w:val="center"/>
          </w:tcPr>
          <w:p w14:paraId="2658CF89">
            <w:pPr>
              <w:pStyle w:val="12"/>
            </w:pPr>
            <w:r>
              <w:t>59.10</w:t>
            </w:r>
          </w:p>
        </w:tc>
        <w:tc>
          <w:tcPr>
            <w:tcW w:w="2835" w:type="dxa"/>
            <w:vAlign w:val="center"/>
          </w:tcPr>
          <w:p w14:paraId="08980DA2">
            <w:pPr>
              <w:pStyle w:val="10"/>
            </w:pPr>
            <w:r>
              <w:t>其中：财政    资金</w:t>
            </w:r>
          </w:p>
        </w:tc>
        <w:tc>
          <w:tcPr>
            <w:tcW w:w="2551" w:type="dxa"/>
            <w:vAlign w:val="center"/>
          </w:tcPr>
          <w:p w14:paraId="4C9A4359">
            <w:pPr>
              <w:pStyle w:val="12"/>
            </w:pPr>
            <w:r>
              <w:t>59.10</w:t>
            </w:r>
          </w:p>
        </w:tc>
        <w:tc>
          <w:tcPr>
            <w:tcW w:w="2268" w:type="dxa"/>
            <w:vAlign w:val="center"/>
          </w:tcPr>
          <w:p w14:paraId="65727977">
            <w:pPr>
              <w:pStyle w:val="10"/>
            </w:pPr>
            <w:r>
              <w:t>其他资金</w:t>
            </w:r>
          </w:p>
        </w:tc>
        <w:tc>
          <w:tcPr>
            <w:tcW w:w="1276" w:type="dxa"/>
            <w:vAlign w:val="center"/>
          </w:tcPr>
          <w:p w14:paraId="6A63D8CF">
            <w:pPr>
              <w:pStyle w:val="12"/>
            </w:pPr>
            <w:r>
              <w:t xml:space="preserve"> </w:t>
            </w:r>
          </w:p>
        </w:tc>
      </w:tr>
      <w:tr w14:paraId="5E99C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88F11"/>
        </w:tc>
        <w:tc>
          <w:tcPr>
            <w:tcW w:w="14033" w:type="dxa"/>
            <w:gridSpan w:val="6"/>
            <w:vAlign w:val="center"/>
          </w:tcPr>
          <w:p w14:paraId="7E98ED4F">
            <w:pPr>
              <w:pStyle w:val="12"/>
            </w:pPr>
            <w:r>
              <w:t>保证公办幼儿园高质高效开展正常保教保育工作。</w:t>
            </w:r>
          </w:p>
        </w:tc>
      </w:tr>
      <w:tr w14:paraId="71893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00EDE">
            <w:pPr>
              <w:pStyle w:val="10"/>
            </w:pPr>
            <w:r>
              <w:t>资金支出计划（%）</w:t>
            </w:r>
          </w:p>
        </w:tc>
        <w:tc>
          <w:tcPr>
            <w:tcW w:w="5103" w:type="dxa"/>
            <w:gridSpan w:val="2"/>
            <w:vAlign w:val="center"/>
          </w:tcPr>
          <w:p w14:paraId="63A2935D">
            <w:pPr>
              <w:pStyle w:val="10"/>
            </w:pPr>
            <w:r>
              <w:t>3月底</w:t>
            </w:r>
          </w:p>
        </w:tc>
        <w:tc>
          <w:tcPr>
            <w:tcW w:w="2835" w:type="dxa"/>
            <w:vAlign w:val="center"/>
          </w:tcPr>
          <w:p w14:paraId="0D76578F">
            <w:pPr>
              <w:pStyle w:val="10"/>
            </w:pPr>
            <w:r>
              <w:t>6月底</w:t>
            </w:r>
          </w:p>
        </w:tc>
        <w:tc>
          <w:tcPr>
            <w:tcW w:w="2551" w:type="dxa"/>
            <w:vAlign w:val="center"/>
          </w:tcPr>
          <w:p w14:paraId="41352D03">
            <w:pPr>
              <w:pStyle w:val="10"/>
            </w:pPr>
            <w:r>
              <w:t>10月底</w:t>
            </w:r>
          </w:p>
        </w:tc>
        <w:tc>
          <w:tcPr>
            <w:tcW w:w="3544" w:type="dxa"/>
            <w:gridSpan w:val="2"/>
            <w:vAlign w:val="center"/>
          </w:tcPr>
          <w:p w14:paraId="2F8F4A0D">
            <w:pPr>
              <w:pStyle w:val="10"/>
            </w:pPr>
            <w:r>
              <w:t>12月底</w:t>
            </w:r>
          </w:p>
        </w:tc>
      </w:tr>
      <w:tr w14:paraId="74FD9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9ADB7"/>
        </w:tc>
        <w:tc>
          <w:tcPr>
            <w:tcW w:w="5103" w:type="dxa"/>
            <w:gridSpan w:val="2"/>
            <w:vAlign w:val="center"/>
          </w:tcPr>
          <w:p w14:paraId="73ECAF32">
            <w:pPr>
              <w:pStyle w:val="13"/>
            </w:pPr>
            <w:r>
              <w:t>25%</w:t>
            </w:r>
          </w:p>
        </w:tc>
        <w:tc>
          <w:tcPr>
            <w:tcW w:w="2835" w:type="dxa"/>
            <w:vAlign w:val="center"/>
          </w:tcPr>
          <w:p w14:paraId="0552719A">
            <w:pPr>
              <w:pStyle w:val="13"/>
            </w:pPr>
            <w:r>
              <w:t>50%</w:t>
            </w:r>
          </w:p>
        </w:tc>
        <w:tc>
          <w:tcPr>
            <w:tcW w:w="2551" w:type="dxa"/>
            <w:vAlign w:val="center"/>
          </w:tcPr>
          <w:p w14:paraId="0292EAFD">
            <w:pPr>
              <w:pStyle w:val="13"/>
            </w:pPr>
            <w:r>
              <w:t>75%</w:t>
            </w:r>
          </w:p>
        </w:tc>
        <w:tc>
          <w:tcPr>
            <w:tcW w:w="3544" w:type="dxa"/>
            <w:gridSpan w:val="2"/>
            <w:vAlign w:val="center"/>
          </w:tcPr>
          <w:p w14:paraId="41E6DB07">
            <w:pPr>
              <w:pStyle w:val="13"/>
            </w:pPr>
            <w:r>
              <w:t>100%</w:t>
            </w:r>
          </w:p>
        </w:tc>
      </w:tr>
      <w:tr w14:paraId="43398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8A56A">
            <w:pPr>
              <w:pStyle w:val="10"/>
            </w:pPr>
            <w:r>
              <w:t>绩效目标</w:t>
            </w:r>
          </w:p>
        </w:tc>
        <w:tc>
          <w:tcPr>
            <w:tcW w:w="14033" w:type="dxa"/>
            <w:gridSpan w:val="6"/>
            <w:vAlign w:val="center"/>
          </w:tcPr>
          <w:p w14:paraId="233D3D83">
            <w:pPr>
              <w:pStyle w:val="12"/>
            </w:pPr>
            <w:r>
              <w:t>1.按上缴财政序时进度完成公立幼儿园保育费支出</w:t>
            </w:r>
          </w:p>
          <w:p w14:paraId="435CC9B2">
            <w:pPr>
              <w:pStyle w:val="12"/>
            </w:pPr>
            <w:r>
              <w:t>2.保证公办幼儿园高质高效开展正常保教保育工作。</w:t>
            </w:r>
          </w:p>
        </w:tc>
      </w:tr>
    </w:tbl>
    <w:p w14:paraId="6CF4E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E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F890C">
            <w:pPr>
              <w:pStyle w:val="10"/>
            </w:pPr>
            <w:r>
              <w:t>一级指标</w:t>
            </w:r>
          </w:p>
        </w:tc>
        <w:tc>
          <w:tcPr>
            <w:tcW w:w="2268" w:type="dxa"/>
            <w:vAlign w:val="center"/>
          </w:tcPr>
          <w:p w14:paraId="2672F105">
            <w:pPr>
              <w:pStyle w:val="10"/>
            </w:pPr>
            <w:r>
              <w:t>二级指标</w:t>
            </w:r>
          </w:p>
        </w:tc>
        <w:tc>
          <w:tcPr>
            <w:tcW w:w="2835" w:type="dxa"/>
            <w:vAlign w:val="center"/>
          </w:tcPr>
          <w:p w14:paraId="68D21283">
            <w:pPr>
              <w:pStyle w:val="10"/>
            </w:pPr>
            <w:r>
              <w:t>三级指标</w:t>
            </w:r>
          </w:p>
        </w:tc>
        <w:tc>
          <w:tcPr>
            <w:tcW w:w="5386" w:type="dxa"/>
            <w:vAlign w:val="center"/>
          </w:tcPr>
          <w:p w14:paraId="4DC3D7FE">
            <w:pPr>
              <w:pStyle w:val="10"/>
            </w:pPr>
            <w:r>
              <w:t>绩效指标描述</w:t>
            </w:r>
          </w:p>
        </w:tc>
        <w:tc>
          <w:tcPr>
            <w:tcW w:w="2268" w:type="dxa"/>
            <w:vAlign w:val="center"/>
          </w:tcPr>
          <w:p w14:paraId="6963B47E">
            <w:pPr>
              <w:pStyle w:val="10"/>
            </w:pPr>
            <w:r>
              <w:t>指标值</w:t>
            </w:r>
          </w:p>
        </w:tc>
        <w:tc>
          <w:tcPr>
            <w:tcW w:w="1276" w:type="dxa"/>
            <w:vAlign w:val="center"/>
          </w:tcPr>
          <w:p w14:paraId="38972DFE">
            <w:pPr>
              <w:pStyle w:val="10"/>
            </w:pPr>
            <w:r>
              <w:t>指标值确定依据</w:t>
            </w:r>
          </w:p>
        </w:tc>
      </w:tr>
      <w:tr w14:paraId="0159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CD7E8">
            <w:pPr>
              <w:pStyle w:val="13"/>
            </w:pPr>
            <w:r>
              <w:t>产出指标</w:t>
            </w:r>
          </w:p>
        </w:tc>
        <w:tc>
          <w:tcPr>
            <w:tcW w:w="2268" w:type="dxa"/>
            <w:vAlign w:val="center"/>
          </w:tcPr>
          <w:p w14:paraId="74DBEFD9">
            <w:pPr>
              <w:pStyle w:val="12"/>
            </w:pPr>
            <w:r>
              <w:t>数量指标</w:t>
            </w:r>
          </w:p>
        </w:tc>
        <w:tc>
          <w:tcPr>
            <w:tcW w:w="2835" w:type="dxa"/>
            <w:vAlign w:val="center"/>
          </w:tcPr>
          <w:p w14:paraId="34827228">
            <w:pPr>
              <w:pStyle w:val="12"/>
            </w:pPr>
            <w:r>
              <w:t>适龄在园生</w:t>
            </w:r>
          </w:p>
        </w:tc>
        <w:tc>
          <w:tcPr>
            <w:tcW w:w="5386" w:type="dxa"/>
            <w:vAlign w:val="center"/>
          </w:tcPr>
          <w:p w14:paraId="7DE6FD37">
            <w:pPr>
              <w:pStyle w:val="12"/>
            </w:pPr>
            <w:r>
              <w:t>适龄在园学生人数</w:t>
            </w:r>
          </w:p>
        </w:tc>
        <w:tc>
          <w:tcPr>
            <w:tcW w:w="2268" w:type="dxa"/>
            <w:vAlign w:val="center"/>
          </w:tcPr>
          <w:p w14:paraId="334C2B0D">
            <w:pPr>
              <w:pStyle w:val="12"/>
            </w:pPr>
            <w:r>
              <w:t>397人</w:t>
            </w:r>
          </w:p>
        </w:tc>
        <w:tc>
          <w:tcPr>
            <w:tcW w:w="1276" w:type="dxa"/>
            <w:vAlign w:val="center"/>
          </w:tcPr>
          <w:p w14:paraId="47B17AA5">
            <w:pPr>
              <w:pStyle w:val="12"/>
            </w:pPr>
            <w:r>
              <w:t>学前专项经费管理办法</w:t>
            </w:r>
          </w:p>
        </w:tc>
      </w:tr>
      <w:tr w14:paraId="4A26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11988"/>
        </w:tc>
        <w:tc>
          <w:tcPr>
            <w:tcW w:w="2268" w:type="dxa"/>
            <w:vAlign w:val="center"/>
          </w:tcPr>
          <w:p w14:paraId="560FB6AB">
            <w:pPr>
              <w:pStyle w:val="12"/>
            </w:pPr>
            <w:r>
              <w:t>质量指标</w:t>
            </w:r>
          </w:p>
        </w:tc>
        <w:tc>
          <w:tcPr>
            <w:tcW w:w="2835" w:type="dxa"/>
            <w:vAlign w:val="center"/>
          </w:tcPr>
          <w:p w14:paraId="5270BF63">
            <w:pPr>
              <w:pStyle w:val="12"/>
            </w:pPr>
            <w:r>
              <w:t>按月上缴财政完成率</w:t>
            </w:r>
          </w:p>
        </w:tc>
        <w:tc>
          <w:tcPr>
            <w:tcW w:w="5386" w:type="dxa"/>
            <w:vAlign w:val="center"/>
          </w:tcPr>
          <w:p w14:paraId="078FE658">
            <w:pPr>
              <w:pStyle w:val="12"/>
            </w:pPr>
            <w:r>
              <w:t>按月完成公立幼儿园保育费上缴财政</w:t>
            </w:r>
          </w:p>
        </w:tc>
        <w:tc>
          <w:tcPr>
            <w:tcW w:w="2268" w:type="dxa"/>
            <w:vAlign w:val="center"/>
          </w:tcPr>
          <w:p w14:paraId="14D415B6">
            <w:pPr>
              <w:pStyle w:val="12"/>
            </w:pPr>
            <w:r>
              <w:t>100%</w:t>
            </w:r>
          </w:p>
        </w:tc>
        <w:tc>
          <w:tcPr>
            <w:tcW w:w="1276" w:type="dxa"/>
            <w:vAlign w:val="center"/>
          </w:tcPr>
          <w:p w14:paraId="7E82DDE2">
            <w:pPr>
              <w:pStyle w:val="12"/>
            </w:pPr>
            <w:r>
              <w:t>学前专项经费管理办法</w:t>
            </w:r>
          </w:p>
        </w:tc>
      </w:tr>
      <w:tr w14:paraId="4ED0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80501"/>
        </w:tc>
        <w:tc>
          <w:tcPr>
            <w:tcW w:w="2268" w:type="dxa"/>
            <w:vAlign w:val="center"/>
          </w:tcPr>
          <w:p w14:paraId="38E5257F">
            <w:pPr>
              <w:pStyle w:val="12"/>
            </w:pPr>
            <w:r>
              <w:t>时效指标</w:t>
            </w:r>
          </w:p>
        </w:tc>
        <w:tc>
          <w:tcPr>
            <w:tcW w:w="2835" w:type="dxa"/>
            <w:vAlign w:val="center"/>
          </w:tcPr>
          <w:p w14:paraId="1D2F0347">
            <w:pPr>
              <w:pStyle w:val="12"/>
            </w:pPr>
            <w:r>
              <w:t>资金支付率</w:t>
            </w:r>
          </w:p>
        </w:tc>
        <w:tc>
          <w:tcPr>
            <w:tcW w:w="5386" w:type="dxa"/>
            <w:vAlign w:val="center"/>
          </w:tcPr>
          <w:p w14:paraId="37DF3A48">
            <w:pPr>
              <w:pStyle w:val="12"/>
            </w:pPr>
            <w:r>
              <w:t>按照上缴财政进度完成公立幼儿园保育费支付</w:t>
            </w:r>
          </w:p>
        </w:tc>
        <w:tc>
          <w:tcPr>
            <w:tcW w:w="2268" w:type="dxa"/>
            <w:vAlign w:val="center"/>
          </w:tcPr>
          <w:p w14:paraId="0451A0A9">
            <w:pPr>
              <w:pStyle w:val="12"/>
            </w:pPr>
            <w:r>
              <w:t>100%</w:t>
            </w:r>
          </w:p>
        </w:tc>
        <w:tc>
          <w:tcPr>
            <w:tcW w:w="1276" w:type="dxa"/>
            <w:vAlign w:val="center"/>
          </w:tcPr>
          <w:p w14:paraId="56DE66F7">
            <w:pPr>
              <w:pStyle w:val="12"/>
            </w:pPr>
            <w:r>
              <w:t>学前专项经费管理办法</w:t>
            </w:r>
          </w:p>
        </w:tc>
      </w:tr>
      <w:tr w14:paraId="5DA4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E7017"/>
        </w:tc>
        <w:tc>
          <w:tcPr>
            <w:tcW w:w="2268" w:type="dxa"/>
            <w:vAlign w:val="center"/>
          </w:tcPr>
          <w:p w14:paraId="6E2C59A9">
            <w:pPr>
              <w:pStyle w:val="12"/>
            </w:pPr>
            <w:r>
              <w:t>成本指标</w:t>
            </w:r>
          </w:p>
        </w:tc>
        <w:tc>
          <w:tcPr>
            <w:tcW w:w="2835" w:type="dxa"/>
            <w:vAlign w:val="center"/>
          </w:tcPr>
          <w:p w14:paraId="08839FF9">
            <w:pPr>
              <w:pStyle w:val="12"/>
            </w:pPr>
            <w:r>
              <w:t>公办幼儿园保育费收费标准</w:t>
            </w:r>
          </w:p>
        </w:tc>
        <w:tc>
          <w:tcPr>
            <w:tcW w:w="5386" w:type="dxa"/>
            <w:vAlign w:val="center"/>
          </w:tcPr>
          <w:p w14:paraId="1A888FDE">
            <w:pPr>
              <w:pStyle w:val="12"/>
            </w:pPr>
            <w:r>
              <w:t>农村示范园170元/月/生、农村一类园150元/月/生、农村二类园130元/月/生</w:t>
            </w:r>
          </w:p>
        </w:tc>
        <w:tc>
          <w:tcPr>
            <w:tcW w:w="2268" w:type="dxa"/>
            <w:vAlign w:val="center"/>
          </w:tcPr>
          <w:p w14:paraId="199BD091">
            <w:pPr>
              <w:pStyle w:val="12"/>
            </w:pPr>
            <w:r>
              <w:t>100%</w:t>
            </w:r>
          </w:p>
        </w:tc>
        <w:tc>
          <w:tcPr>
            <w:tcW w:w="1276" w:type="dxa"/>
            <w:vAlign w:val="center"/>
          </w:tcPr>
          <w:p w14:paraId="50A5B399">
            <w:pPr>
              <w:pStyle w:val="12"/>
            </w:pPr>
            <w:r>
              <w:t>学前专项经费管理办法</w:t>
            </w:r>
          </w:p>
        </w:tc>
      </w:tr>
      <w:tr w14:paraId="4E0D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ACAF0">
            <w:pPr>
              <w:pStyle w:val="13"/>
            </w:pPr>
            <w:r>
              <w:t>效益指标</w:t>
            </w:r>
          </w:p>
        </w:tc>
        <w:tc>
          <w:tcPr>
            <w:tcW w:w="2268" w:type="dxa"/>
            <w:vAlign w:val="center"/>
          </w:tcPr>
          <w:p w14:paraId="0F53F3E9">
            <w:pPr>
              <w:pStyle w:val="12"/>
            </w:pPr>
            <w:r>
              <w:t>可持续影响指标</w:t>
            </w:r>
          </w:p>
        </w:tc>
        <w:tc>
          <w:tcPr>
            <w:tcW w:w="2835" w:type="dxa"/>
            <w:vAlign w:val="center"/>
          </w:tcPr>
          <w:p w14:paraId="40FADC20">
            <w:pPr>
              <w:pStyle w:val="12"/>
            </w:pPr>
            <w:r>
              <w:t>幼儿园办园能力提升</w:t>
            </w:r>
          </w:p>
        </w:tc>
        <w:tc>
          <w:tcPr>
            <w:tcW w:w="5386" w:type="dxa"/>
            <w:vAlign w:val="center"/>
          </w:tcPr>
          <w:p w14:paraId="40185F47">
            <w:pPr>
              <w:pStyle w:val="12"/>
            </w:pPr>
            <w:r>
              <w:t>幼儿园办园能力提升情况及教育教学工作等开展的情况</w:t>
            </w:r>
          </w:p>
        </w:tc>
        <w:tc>
          <w:tcPr>
            <w:tcW w:w="2268" w:type="dxa"/>
            <w:vAlign w:val="center"/>
          </w:tcPr>
          <w:p w14:paraId="3EBA729E">
            <w:pPr>
              <w:pStyle w:val="12"/>
            </w:pPr>
            <w:r>
              <w:t>3年</w:t>
            </w:r>
          </w:p>
        </w:tc>
        <w:tc>
          <w:tcPr>
            <w:tcW w:w="1276" w:type="dxa"/>
            <w:vAlign w:val="center"/>
          </w:tcPr>
          <w:p w14:paraId="31BBB9C5">
            <w:pPr>
              <w:pStyle w:val="12"/>
            </w:pPr>
            <w:r>
              <w:t>学前专项经费管理办法</w:t>
            </w:r>
          </w:p>
        </w:tc>
      </w:tr>
      <w:tr w14:paraId="0A00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FBCEB">
            <w:pPr>
              <w:pStyle w:val="13"/>
            </w:pPr>
            <w:r>
              <w:t>满意度指标</w:t>
            </w:r>
          </w:p>
        </w:tc>
        <w:tc>
          <w:tcPr>
            <w:tcW w:w="2268" w:type="dxa"/>
            <w:vAlign w:val="center"/>
          </w:tcPr>
          <w:p w14:paraId="09C3D53F">
            <w:pPr>
              <w:pStyle w:val="12"/>
            </w:pPr>
            <w:r>
              <w:t>服务对象满意度指标</w:t>
            </w:r>
          </w:p>
        </w:tc>
        <w:tc>
          <w:tcPr>
            <w:tcW w:w="2835" w:type="dxa"/>
            <w:vAlign w:val="center"/>
          </w:tcPr>
          <w:p w14:paraId="7030D6EF">
            <w:pPr>
              <w:pStyle w:val="12"/>
            </w:pPr>
            <w:r>
              <w:t>受益学生家长及调查满意度</w:t>
            </w:r>
          </w:p>
        </w:tc>
        <w:tc>
          <w:tcPr>
            <w:tcW w:w="5386" w:type="dxa"/>
            <w:vAlign w:val="center"/>
          </w:tcPr>
          <w:p w14:paraId="10FAD5AC">
            <w:pPr>
              <w:pStyle w:val="12"/>
            </w:pPr>
            <w:r>
              <w:t>幼儿、教师及家长对学校保教保育工作满意度情况</w:t>
            </w:r>
          </w:p>
        </w:tc>
        <w:tc>
          <w:tcPr>
            <w:tcW w:w="2268" w:type="dxa"/>
            <w:vAlign w:val="center"/>
          </w:tcPr>
          <w:p w14:paraId="62931733">
            <w:pPr>
              <w:pStyle w:val="12"/>
            </w:pPr>
            <w:r>
              <w:t>≥95%</w:t>
            </w:r>
          </w:p>
        </w:tc>
        <w:tc>
          <w:tcPr>
            <w:tcW w:w="1276" w:type="dxa"/>
            <w:vAlign w:val="center"/>
          </w:tcPr>
          <w:p w14:paraId="1AAD5D38">
            <w:pPr>
              <w:pStyle w:val="12"/>
            </w:pPr>
            <w:r>
              <w:t>群众测评</w:t>
            </w:r>
          </w:p>
        </w:tc>
      </w:tr>
    </w:tbl>
    <w:p w14:paraId="718D6EA5">
      <w:pPr>
        <w:sectPr>
          <w:pgSz w:w="16840" w:h="11900" w:orient="landscape"/>
          <w:pgMar w:top="1361" w:right="1020" w:bottom="1134" w:left="1020" w:header="720" w:footer="720" w:gutter="0"/>
          <w:cols w:space="720" w:num="1"/>
        </w:sectPr>
      </w:pPr>
    </w:p>
    <w:p w14:paraId="16021F92">
      <w:pPr>
        <w:spacing w:before="10" w:after="10" w:line="240" w:lineRule="auto"/>
        <w:ind w:firstLine="640"/>
        <w:jc w:val="left"/>
        <w:outlineLvl w:val="5"/>
      </w:pPr>
      <w:r>
        <w:rPr>
          <w:rFonts w:ascii="黑体" w:hAnsi="黑体" w:eastAsia="黑体" w:cs="黑体"/>
          <w:color w:val="000000"/>
          <w:sz w:val="32"/>
        </w:rPr>
        <w:t>六、政府采购预算情况</w:t>
      </w:r>
    </w:p>
    <w:p w14:paraId="40AF9B2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7E6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E0D2A4">
            <w:pPr>
              <w:pStyle w:val="9"/>
            </w:pPr>
            <w:r>
              <w:t>360027隆尧县莲子镇校区</w:t>
            </w:r>
          </w:p>
        </w:tc>
        <w:tc>
          <w:tcPr>
            <w:tcW w:w="8676" w:type="dxa"/>
            <w:gridSpan w:val="9"/>
            <w:tcBorders>
              <w:top w:val="single" w:color="FFFFFF" w:sz="6" w:space="0"/>
              <w:left w:val="single" w:color="FFFFFF" w:sz="6" w:space="0"/>
              <w:right w:val="single" w:color="FFFFFF" w:sz="6" w:space="0"/>
            </w:tcBorders>
            <w:vAlign w:val="center"/>
          </w:tcPr>
          <w:p w14:paraId="46E62D7B">
            <w:pPr>
              <w:pStyle w:val="21"/>
            </w:pPr>
            <w:r>
              <w:t>单位：万元</w:t>
            </w:r>
          </w:p>
        </w:tc>
      </w:tr>
      <w:tr w14:paraId="215C5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DFD86E7">
            <w:pPr>
              <w:pStyle w:val="10"/>
            </w:pPr>
            <w:r>
              <w:t>政府采购项目来源</w:t>
            </w:r>
          </w:p>
        </w:tc>
        <w:tc>
          <w:tcPr>
            <w:tcW w:w="1134" w:type="dxa"/>
            <w:vMerge w:val="restart"/>
            <w:vAlign w:val="center"/>
          </w:tcPr>
          <w:p w14:paraId="48CE387B">
            <w:pPr>
              <w:pStyle w:val="10"/>
            </w:pPr>
            <w:r>
              <w:t>采购物品名称</w:t>
            </w:r>
          </w:p>
        </w:tc>
        <w:tc>
          <w:tcPr>
            <w:tcW w:w="1134" w:type="dxa"/>
            <w:vMerge w:val="restart"/>
            <w:vAlign w:val="center"/>
          </w:tcPr>
          <w:p w14:paraId="4ABA930C">
            <w:pPr>
              <w:pStyle w:val="10"/>
            </w:pPr>
            <w:r>
              <w:t>政府采购目录序号</w:t>
            </w:r>
          </w:p>
        </w:tc>
        <w:tc>
          <w:tcPr>
            <w:tcW w:w="709" w:type="dxa"/>
            <w:vMerge w:val="restart"/>
            <w:vAlign w:val="center"/>
          </w:tcPr>
          <w:p w14:paraId="7450A550">
            <w:pPr>
              <w:pStyle w:val="10"/>
            </w:pPr>
            <w:r>
              <w:t>计量  单位</w:t>
            </w:r>
          </w:p>
        </w:tc>
        <w:tc>
          <w:tcPr>
            <w:tcW w:w="850" w:type="dxa"/>
            <w:vMerge w:val="restart"/>
            <w:vAlign w:val="center"/>
          </w:tcPr>
          <w:p w14:paraId="2BB151D8">
            <w:pPr>
              <w:pStyle w:val="10"/>
            </w:pPr>
            <w:r>
              <w:t>数量</w:t>
            </w:r>
          </w:p>
        </w:tc>
        <w:tc>
          <w:tcPr>
            <w:tcW w:w="850" w:type="dxa"/>
            <w:vMerge w:val="restart"/>
            <w:vAlign w:val="center"/>
          </w:tcPr>
          <w:p w14:paraId="4ADC0506">
            <w:pPr>
              <w:pStyle w:val="10"/>
            </w:pPr>
            <w:r>
              <w:t>单价</w:t>
            </w:r>
          </w:p>
        </w:tc>
        <w:tc>
          <w:tcPr>
            <w:tcW w:w="7712" w:type="dxa"/>
            <w:gridSpan w:val="8"/>
            <w:vAlign w:val="center"/>
          </w:tcPr>
          <w:p w14:paraId="174FF4A8">
            <w:pPr>
              <w:pStyle w:val="10"/>
            </w:pPr>
            <w:r>
              <w:t>政府采购金额（当年部门预算安排资金）</w:t>
            </w:r>
          </w:p>
        </w:tc>
        <w:tc>
          <w:tcPr>
            <w:tcW w:w="964" w:type="dxa"/>
            <w:vMerge w:val="restart"/>
            <w:vAlign w:val="center"/>
          </w:tcPr>
          <w:p w14:paraId="543AD0B3">
            <w:pPr>
              <w:pStyle w:val="10"/>
            </w:pPr>
            <w:r>
              <w:t>2026年  预留中  小微企  业份额</w:t>
            </w:r>
          </w:p>
        </w:tc>
      </w:tr>
      <w:tr w14:paraId="0E49A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95A975">
            <w:pPr>
              <w:pStyle w:val="10"/>
            </w:pPr>
            <w:r>
              <w:t>项目名称</w:t>
            </w:r>
          </w:p>
        </w:tc>
        <w:tc>
          <w:tcPr>
            <w:tcW w:w="964" w:type="dxa"/>
            <w:vAlign w:val="center"/>
          </w:tcPr>
          <w:p w14:paraId="0D1B9DB5">
            <w:pPr>
              <w:pStyle w:val="10"/>
            </w:pPr>
            <w:r>
              <w:t>预算    资金</w:t>
            </w:r>
          </w:p>
        </w:tc>
        <w:tc>
          <w:tcPr>
            <w:tcW w:w="1134" w:type="dxa"/>
            <w:vMerge w:val="continue"/>
          </w:tcPr>
          <w:p w14:paraId="7279ECE6"/>
        </w:tc>
        <w:tc>
          <w:tcPr>
            <w:tcW w:w="1134" w:type="dxa"/>
            <w:vMerge w:val="continue"/>
          </w:tcPr>
          <w:p w14:paraId="475A3085"/>
        </w:tc>
        <w:tc>
          <w:tcPr>
            <w:tcW w:w="709" w:type="dxa"/>
            <w:vMerge w:val="continue"/>
          </w:tcPr>
          <w:p w14:paraId="44A39269"/>
        </w:tc>
        <w:tc>
          <w:tcPr>
            <w:tcW w:w="850" w:type="dxa"/>
            <w:vMerge w:val="continue"/>
          </w:tcPr>
          <w:p w14:paraId="1BE01008"/>
        </w:tc>
        <w:tc>
          <w:tcPr>
            <w:tcW w:w="850" w:type="dxa"/>
            <w:vMerge w:val="continue"/>
          </w:tcPr>
          <w:p w14:paraId="579A3C03"/>
        </w:tc>
        <w:tc>
          <w:tcPr>
            <w:tcW w:w="964" w:type="dxa"/>
            <w:vAlign w:val="center"/>
          </w:tcPr>
          <w:p w14:paraId="299E982D">
            <w:pPr>
              <w:pStyle w:val="10"/>
            </w:pPr>
            <w:r>
              <w:t>合计</w:t>
            </w:r>
          </w:p>
        </w:tc>
        <w:tc>
          <w:tcPr>
            <w:tcW w:w="964" w:type="dxa"/>
            <w:vAlign w:val="center"/>
          </w:tcPr>
          <w:p w14:paraId="5D810B52">
            <w:pPr>
              <w:pStyle w:val="10"/>
            </w:pPr>
            <w:r>
              <w:t>一般公共预算拨款</w:t>
            </w:r>
          </w:p>
        </w:tc>
        <w:tc>
          <w:tcPr>
            <w:tcW w:w="964" w:type="dxa"/>
            <w:vAlign w:val="center"/>
          </w:tcPr>
          <w:p w14:paraId="1049113C">
            <w:pPr>
              <w:pStyle w:val="10"/>
            </w:pPr>
            <w:r>
              <w:t>基金预算拨款</w:t>
            </w:r>
          </w:p>
        </w:tc>
        <w:tc>
          <w:tcPr>
            <w:tcW w:w="964" w:type="dxa"/>
            <w:vAlign w:val="center"/>
          </w:tcPr>
          <w:p w14:paraId="626EAA66">
            <w:pPr>
              <w:pStyle w:val="10"/>
            </w:pPr>
            <w:r>
              <w:t>国有资本经营预算拨款</w:t>
            </w:r>
          </w:p>
        </w:tc>
        <w:tc>
          <w:tcPr>
            <w:tcW w:w="964" w:type="dxa"/>
            <w:vAlign w:val="center"/>
          </w:tcPr>
          <w:p w14:paraId="45C95D3D">
            <w:pPr>
              <w:pStyle w:val="10"/>
            </w:pPr>
            <w:r>
              <w:t>财政专户核拨</w:t>
            </w:r>
          </w:p>
        </w:tc>
        <w:tc>
          <w:tcPr>
            <w:tcW w:w="964" w:type="dxa"/>
            <w:vAlign w:val="center"/>
          </w:tcPr>
          <w:p w14:paraId="5A46F5E0">
            <w:pPr>
              <w:pStyle w:val="10"/>
            </w:pPr>
            <w:r>
              <w:t>单位    资金</w:t>
            </w:r>
          </w:p>
        </w:tc>
        <w:tc>
          <w:tcPr>
            <w:tcW w:w="964" w:type="dxa"/>
            <w:vAlign w:val="center"/>
          </w:tcPr>
          <w:p w14:paraId="74E5C599">
            <w:pPr>
              <w:pStyle w:val="10"/>
            </w:pPr>
            <w:r>
              <w:t>财政拨款结转</w:t>
            </w:r>
          </w:p>
        </w:tc>
        <w:tc>
          <w:tcPr>
            <w:tcW w:w="964" w:type="dxa"/>
            <w:vAlign w:val="center"/>
          </w:tcPr>
          <w:p w14:paraId="64DA193D">
            <w:pPr>
              <w:pStyle w:val="10"/>
            </w:pPr>
            <w:r>
              <w:t>非财政拨款结余</w:t>
            </w:r>
          </w:p>
        </w:tc>
        <w:tc>
          <w:tcPr>
            <w:tcW w:w="964" w:type="dxa"/>
            <w:vMerge w:val="continue"/>
          </w:tcPr>
          <w:p w14:paraId="731FBB6D"/>
        </w:tc>
      </w:tr>
      <w:tr w14:paraId="578B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7F96E1">
            <w:pPr>
              <w:pStyle w:val="14"/>
            </w:pPr>
            <w:r>
              <w:t>合  计</w:t>
            </w:r>
          </w:p>
        </w:tc>
        <w:tc>
          <w:tcPr>
            <w:tcW w:w="964" w:type="dxa"/>
            <w:vAlign w:val="center"/>
          </w:tcPr>
          <w:p w14:paraId="14F8697E">
            <w:pPr>
              <w:pStyle w:val="15"/>
            </w:pPr>
          </w:p>
        </w:tc>
        <w:tc>
          <w:tcPr>
            <w:tcW w:w="1134" w:type="dxa"/>
            <w:vAlign w:val="center"/>
          </w:tcPr>
          <w:p w14:paraId="55378718">
            <w:pPr>
              <w:pStyle w:val="16"/>
            </w:pPr>
          </w:p>
        </w:tc>
        <w:tc>
          <w:tcPr>
            <w:tcW w:w="1134" w:type="dxa"/>
            <w:vAlign w:val="center"/>
          </w:tcPr>
          <w:p w14:paraId="620C5227">
            <w:pPr>
              <w:pStyle w:val="16"/>
            </w:pPr>
          </w:p>
        </w:tc>
        <w:tc>
          <w:tcPr>
            <w:tcW w:w="709" w:type="dxa"/>
            <w:vAlign w:val="center"/>
          </w:tcPr>
          <w:p w14:paraId="53788604">
            <w:pPr>
              <w:pStyle w:val="14"/>
            </w:pPr>
          </w:p>
        </w:tc>
        <w:tc>
          <w:tcPr>
            <w:tcW w:w="850" w:type="dxa"/>
            <w:vAlign w:val="center"/>
          </w:tcPr>
          <w:p w14:paraId="091C48E0">
            <w:pPr>
              <w:pStyle w:val="15"/>
            </w:pPr>
          </w:p>
        </w:tc>
        <w:tc>
          <w:tcPr>
            <w:tcW w:w="850" w:type="dxa"/>
            <w:vAlign w:val="center"/>
          </w:tcPr>
          <w:p w14:paraId="1F9AFC4B">
            <w:pPr>
              <w:pStyle w:val="15"/>
            </w:pPr>
          </w:p>
        </w:tc>
        <w:tc>
          <w:tcPr>
            <w:tcW w:w="964" w:type="dxa"/>
            <w:vAlign w:val="center"/>
          </w:tcPr>
          <w:p w14:paraId="7BFEE1CB">
            <w:pPr>
              <w:pStyle w:val="15"/>
            </w:pPr>
            <w:r>
              <w:t>3.48</w:t>
            </w:r>
          </w:p>
        </w:tc>
        <w:tc>
          <w:tcPr>
            <w:tcW w:w="964" w:type="dxa"/>
            <w:vAlign w:val="center"/>
          </w:tcPr>
          <w:p w14:paraId="643DFB25">
            <w:pPr>
              <w:pStyle w:val="15"/>
            </w:pPr>
            <w:r>
              <w:t>3.48</w:t>
            </w:r>
          </w:p>
        </w:tc>
        <w:tc>
          <w:tcPr>
            <w:tcW w:w="964" w:type="dxa"/>
            <w:vAlign w:val="center"/>
          </w:tcPr>
          <w:p w14:paraId="69E634BA">
            <w:pPr>
              <w:pStyle w:val="15"/>
            </w:pPr>
          </w:p>
        </w:tc>
        <w:tc>
          <w:tcPr>
            <w:tcW w:w="964" w:type="dxa"/>
            <w:vAlign w:val="center"/>
          </w:tcPr>
          <w:p w14:paraId="7FC2B603">
            <w:pPr>
              <w:pStyle w:val="15"/>
            </w:pPr>
          </w:p>
        </w:tc>
        <w:tc>
          <w:tcPr>
            <w:tcW w:w="964" w:type="dxa"/>
            <w:vAlign w:val="center"/>
          </w:tcPr>
          <w:p w14:paraId="2606EA16">
            <w:pPr>
              <w:pStyle w:val="15"/>
            </w:pPr>
          </w:p>
        </w:tc>
        <w:tc>
          <w:tcPr>
            <w:tcW w:w="964" w:type="dxa"/>
            <w:vAlign w:val="center"/>
          </w:tcPr>
          <w:p w14:paraId="17700F47">
            <w:pPr>
              <w:pStyle w:val="15"/>
            </w:pPr>
          </w:p>
        </w:tc>
        <w:tc>
          <w:tcPr>
            <w:tcW w:w="964" w:type="dxa"/>
            <w:vAlign w:val="center"/>
          </w:tcPr>
          <w:p w14:paraId="424518B6">
            <w:pPr>
              <w:pStyle w:val="15"/>
            </w:pPr>
          </w:p>
        </w:tc>
        <w:tc>
          <w:tcPr>
            <w:tcW w:w="964" w:type="dxa"/>
            <w:vAlign w:val="center"/>
          </w:tcPr>
          <w:p w14:paraId="39B41022">
            <w:pPr>
              <w:pStyle w:val="15"/>
            </w:pPr>
          </w:p>
        </w:tc>
        <w:tc>
          <w:tcPr>
            <w:tcW w:w="964" w:type="dxa"/>
            <w:vAlign w:val="center"/>
          </w:tcPr>
          <w:p w14:paraId="3FE0317C">
            <w:pPr>
              <w:pStyle w:val="15"/>
            </w:pPr>
            <w:r>
              <w:t>3.48</w:t>
            </w:r>
          </w:p>
        </w:tc>
      </w:tr>
      <w:tr w14:paraId="16D5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C9C64C">
            <w:pPr>
              <w:pStyle w:val="14"/>
            </w:pPr>
            <w:r>
              <w:t>隆尧县莲子镇校区小计</w:t>
            </w:r>
          </w:p>
        </w:tc>
        <w:tc>
          <w:tcPr>
            <w:tcW w:w="964" w:type="dxa"/>
            <w:vAlign w:val="center"/>
          </w:tcPr>
          <w:p w14:paraId="2083F4FD">
            <w:pPr>
              <w:pStyle w:val="15"/>
            </w:pPr>
          </w:p>
        </w:tc>
        <w:tc>
          <w:tcPr>
            <w:tcW w:w="1134" w:type="dxa"/>
            <w:vAlign w:val="center"/>
          </w:tcPr>
          <w:p w14:paraId="1E1333C9">
            <w:pPr>
              <w:pStyle w:val="16"/>
            </w:pPr>
          </w:p>
        </w:tc>
        <w:tc>
          <w:tcPr>
            <w:tcW w:w="1134" w:type="dxa"/>
            <w:vAlign w:val="center"/>
          </w:tcPr>
          <w:p w14:paraId="3325DC49">
            <w:pPr>
              <w:pStyle w:val="16"/>
            </w:pPr>
          </w:p>
        </w:tc>
        <w:tc>
          <w:tcPr>
            <w:tcW w:w="709" w:type="dxa"/>
            <w:vAlign w:val="center"/>
          </w:tcPr>
          <w:p w14:paraId="0332EC76">
            <w:pPr>
              <w:pStyle w:val="14"/>
            </w:pPr>
          </w:p>
        </w:tc>
        <w:tc>
          <w:tcPr>
            <w:tcW w:w="850" w:type="dxa"/>
            <w:vAlign w:val="center"/>
          </w:tcPr>
          <w:p w14:paraId="1E6C472B">
            <w:pPr>
              <w:pStyle w:val="15"/>
            </w:pPr>
          </w:p>
        </w:tc>
        <w:tc>
          <w:tcPr>
            <w:tcW w:w="850" w:type="dxa"/>
            <w:vAlign w:val="center"/>
          </w:tcPr>
          <w:p w14:paraId="5205CEA8">
            <w:pPr>
              <w:pStyle w:val="15"/>
            </w:pPr>
          </w:p>
        </w:tc>
        <w:tc>
          <w:tcPr>
            <w:tcW w:w="964" w:type="dxa"/>
            <w:vAlign w:val="center"/>
          </w:tcPr>
          <w:p w14:paraId="1916ADE9">
            <w:pPr>
              <w:pStyle w:val="15"/>
            </w:pPr>
            <w:r>
              <w:t>3.48</w:t>
            </w:r>
          </w:p>
        </w:tc>
        <w:tc>
          <w:tcPr>
            <w:tcW w:w="964" w:type="dxa"/>
            <w:vAlign w:val="center"/>
          </w:tcPr>
          <w:p w14:paraId="37A355E4">
            <w:pPr>
              <w:pStyle w:val="15"/>
            </w:pPr>
            <w:r>
              <w:t>3.48</w:t>
            </w:r>
          </w:p>
        </w:tc>
        <w:tc>
          <w:tcPr>
            <w:tcW w:w="964" w:type="dxa"/>
            <w:vAlign w:val="center"/>
          </w:tcPr>
          <w:p w14:paraId="483A1407">
            <w:pPr>
              <w:pStyle w:val="15"/>
            </w:pPr>
          </w:p>
        </w:tc>
        <w:tc>
          <w:tcPr>
            <w:tcW w:w="964" w:type="dxa"/>
            <w:vAlign w:val="center"/>
          </w:tcPr>
          <w:p w14:paraId="0842C334">
            <w:pPr>
              <w:pStyle w:val="15"/>
            </w:pPr>
          </w:p>
        </w:tc>
        <w:tc>
          <w:tcPr>
            <w:tcW w:w="964" w:type="dxa"/>
            <w:vAlign w:val="center"/>
          </w:tcPr>
          <w:p w14:paraId="1577230A">
            <w:pPr>
              <w:pStyle w:val="15"/>
            </w:pPr>
          </w:p>
        </w:tc>
        <w:tc>
          <w:tcPr>
            <w:tcW w:w="964" w:type="dxa"/>
            <w:vAlign w:val="center"/>
          </w:tcPr>
          <w:p w14:paraId="00ED2AB1">
            <w:pPr>
              <w:pStyle w:val="15"/>
            </w:pPr>
          </w:p>
        </w:tc>
        <w:tc>
          <w:tcPr>
            <w:tcW w:w="964" w:type="dxa"/>
            <w:vAlign w:val="center"/>
          </w:tcPr>
          <w:p w14:paraId="67434F54">
            <w:pPr>
              <w:pStyle w:val="15"/>
            </w:pPr>
          </w:p>
        </w:tc>
        <w:tc>
          <w:tcPr>
            <w:tcW w:w="964" w:type="dxa"/>
            <w:vAlign w:val="center"/>
          </w:tcPr>
          <w:p w14:paraId="7EEF5011">
            <w:pPr>
              <w:pStyle w:val="15"/>
            </w:pPr>
          </w:p>
        </w:tc>
        <w:tc>
          <w:tcPr>
            <w:tcW w:w="964" w:type="dxa"/>
            <w:vAlign w:val="center"/>
          </w:tcPr>
          <w:p w14:paraId="72CF7D9C">
            <w:pPr>
              <w:pStyle w:val="15"/>
            </w:pPr>
            <w:r>
              <w:t>3.48</w:t>
            </w:r>
          </w:p>
        </w:tc>
      </w:tr>
      <w:tr w14:paraId="7DD9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AB34A1">
            <w:pPr>
              <w:pStyle w:val="12"/>
            </w:pPr>
            <w:r>
              <w:t>冀财教[2025]122号/中央/支持学前教育发展/莲子镇校区幼儿园设备购置</w:t>
            </w:r>
          </w:p>
        </w:tc>
        <w:tc>
          <w:tcPr>
            <w:tcW w:w="964" w:type="dxa"/>
            <w:vAlign w:val="center"/>
          </w:tcPr>
          <w:p w14:paraId="5079A803">
            <w:pPr>
              <w:pStyle w:val="11"/>
            </w:pPr>
            <w:r>
              <w:t>63.78</w:t>
            </w:r>
          </w:p>
        </w:tc>
        <w:tc>
          <w:tcPr>
            <w:tcW w:w="1134" w:type="dxa"/>
            <w:vAlign w:val="center"/>
          </w:tcPr>
          <w:p w14:paraId="048DA292">
            <w:pPr>
              <w:pStyle w:val="12"/>
            </w:pPr>
            <w:r>
              <w:t>台式计算机</w:t>
            </w:r>
          </w:p>
        </w:tc>
        <w:tc>
          <w:tcPr>
            <w:tcW w:w="1134" w:type="dxa"/>
            <w:vAlign w:val="center"/>
          </w:tcPr>
          <w:p w14:paraId="46BACA4F">
            <w:pPr>
              <w:pStyle w:val="12"/>
            </w:pPr>
            <w:r>
              <w:t>A02010105</w:t>
            </w:r>
          </w:p>
        </w:tc>
        <w:tc>
          <w:tcPr>
            <w:tcW w:w="709" w:type="dxa"/>
            <w:vAlign w:val="center"/>
          </w:tcPr>
          <w:p w14:paraId="26B52479">
            <w:pPr>
              <w:pStyle w:val="13"/>
            </w:pPr>
            <w:r>
              <w:t>台</w:t>
            </w:r>
          </w:p>
        </w:tc>
        <w:tc>
          <w:tcPr>
            <w:tcW w:w="850" w:type="dxa"/>
            <w:vAlign w:val="center"/>
          </w:tcPr>
          <w:p w14:paraId="3FE21E20">
            <w:pPr>
              <w:pStyle w:val="11"/>
            </w:pPr>
            <w:r>
              <w:t>2</w:t>
            </w:r>
          </w:p>
        </w:tc>
        <w:tc>
          <w:tcPr>
            <w:tcW w:w="850" w:type="dxa"/>
            <w:vAlign w:val="center"/>
          </w:tcPr>
          <w:p w14:paraId="077237EB">
            <w:pPr>
              <w:pStyle w:val="11"/>
            </w:pPr>
            <w:r>
              <w:t>0.40</w:t>
            </w:r>
          </w:p>
        </w:tc>
        <w:tc>
          <w:tcPr>
            <w:tcW w:w="964" w:type="dxa"/>
            <w:vAlign w:val="center"/>
          </w:tcPr>
          <w:p w14:paraId="5414A612">
            <w:pPr>
              <w:pStyle w:val="11"/>
            </w:pPr>
            <w:r>
              <w:t>0.80</w:t>
            </w:r>
          </w:p>
        </w:tc>
        <w:tc>
          <w:tcPr>
            <w:tcW w:w="964" w:type="dxa"/>
            <w:vAlign w:val="center"/>
          </w:tcPr>
          <w:p w14:paraId="73F5B994">
            <w:pPr>
              <w:pStyle w:val="11"/>
            </w:pPr>
            <w:r>
              <w:t>0.80</w:t>
            </w:r>
          </w:p>
        </w:tc>
        <w:tc>
          <w:tcPr>
            <w:tcW w:w="964" w:type="dxa"/>
            <w:vAlign w:val="center"/>
          </w:tcPr>
          <w:p w14:paraId="1F6A772B">
            <w:pPr>
              <w:pStyle w:val="11"/>
            </w:pPr>
          </w:p>
        </w:tc>
        <w:tc>
          <w:tcPr>
            <w:tcW w:w="964" w:type="dxa"/>
            <w:vAlign w:val="center"/>
          </w:tcPr>
          <w:p w14:paraId="1200878C">
            <w:pPr>
              <w:pStyle w:val="11"/>
            </w:pPr>
          </w:p>
        </w:tc>
        <w:tc>
          <w:tcPr>
            <w:tcW w:w="964" w:type="dxa"/>
            <w:vAlign w:val="center"/>
          </w:tcPr>
          <w:p w14:paraId="4846AB13">
            <w:pPr>
              <w:pStyle w:val="11"/>
            </w:pPr>
          </w:p>
        </w:tc>
        <w:tc>
          <w:tcPr>
            <w:tcW w:w="964" w:type="dxa"/>
            <w:vAlign w:val="center"/>
          </w:tcPr>
          <w:p w14:paraId="0C31D939">
            <w:pPr>
              <w:pStyle w:val="11"/>
            </w:pPr>
          </w:p>
        </w:tc>
        <w:tc>
          <w:tcPr>
            <w:tcW w:w="964" w:type="dxa"/>
            <w:vAlign w:val="center"/>
          </w:tcPr>
          <w:p w14:paraId="60FAD23A">
            <w:pPr>
              <w:pStyle w:val="11"/>
            </w:pPr>
          </w:p>
        </w:tc>
        <w:tc>
          <w:tcPr>
            <w:tcW w:w="964" w:type="dxa"/>
            <w:vAlign w:val="center"/>
          </w:tcPr>
          <w:p w14:paraId="17B0668D">
            <w:pPr>
              <w:pStyle w:val="11"/>
            </w:pPr>
          </w:p>
        </w:tc>
        <w:tc>
          <w:tcPr>
            <w:tcW w:w="964" w:type="dxa"/>
            <w:vAlign w:val="center"/>
          </w:tcPr>
          <w:p w14:paraId="0A19CC89">
            <w:pPr>
              <w:pStyle w:val="11"/>
            </w:pPr>
            <w:r>
              <w:t>0.80</w:t>
            </w:r>
          </w:p>
        </w:tc>
      </w:tr>
      <w:tr w14:paraId="0A9E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2D793E">
            <w:pPr>
              <w:pStyle w:val="12"/>
            </w:pPr>
            <w:r>
              <w:t>冀财教[2025]122号/中央/支持学前教育发展/莲子镇校区幼儿园设备购置</w:t>
            </w:r>
          </w:p>
        </w:tc>
        <w:tc>
          <w:tcPr>
            <w:tcW w:w="964" w:type="dxa"/>
            <w:vAlign w:val="center"/>
          </w:tcPr>
          <w:p w14:paraId="2DBB9170">
            <w:pPr>
              <w:pStyle w:val="11"/>
            </w:pPr>
            <w:r>
              <w:t>63.78</w:t>
            </w:r>
          </w:p>
        </w:tc>
        <w:tc>
          <w:tcPr>
            <w:tcW w:w="1134" w:type="dxa"/>
            <w:vAlign w:val="center"/>
          </w:tcPr>
          <w:p w14:paraId="5B3245C7">
            <w:pPr>
              <w:pStyle w:val="12"/>
            </w:pPr>
            <w:r>
              <w:t>A4 彩色打印机</w:t>
            </w:r>
          </w:p>
        </w:tc>
        <w:tc>
          <w:tcPr>
            <w:tcW w:w="1134" w:type="dxa"/>
            <w:vAlign w:val="center"/>
          </w:tcPr>
          <w:p w14:paraId="65D43D36">
            <w:pPr>
              <w:pStyle w:val="12"/>
            </w:pPr>
            <w:r>
              <w:t>A02021004</w:t>
            </w:r>
          </w:p>
        </w:tc>
        <w:tc>
          <w:tcPr>
            <w:tcW w:w="709" w:type="dxa"/>
            <w:vAlign w:val="center"/>
          </w:tcPr>
          <w:p w14:paraId="7F5114AB">
            <w:pPr>
              <w:pStyle w:val="13"/>
            </w:pPr>
            <w:r>
              <w:t>台</w:t>
            </w:r>
          </w:p>
        </w:tc>
        <w:tc>
          <w:tcPr>
            <w:tcW w:w="850" w:type="dxa"/>
            <w:vAlign w:val="center"/>
          </w:tcPr>
          <w:p w14:paraId="565E451D">
            <w:pPr>
              <w:pStyle w:val="11"/>
            </w:pPr>
            <w:r>
              <w:t>2</w:t>
            </w:r>
          </w:p>
        </w:tc>
        <w:tc>
          <w:tcPr>
            <w:tcW w:w="850" w:type="dxa"/>
            <w:vAlign w:val="center"/>
          </w:tcPr>
          <w:p w14:paraId="37D36139">
            <w:pPr>
              <w:pStyle w:val="11"/>
            </w:pPr>
            <w:r>
              <w:t>0.20</w:t>
            </w:r>
          </w:p>
        </w:tc>
        <w:tc>
          <w:tcPr>
            <w:tcW w:w="964" w:type="dxa"/>
            <w:vAlign w:val="center"/>
          </w:tcPr>
          <w:p w14:paraId="5A85A982">
            <w:pPr>
              <w:pStyle w:val="11"/>
            </w:pPr>
            <w:r>
              <w:t>0.40</w:t>
            </w:r>
          </w:p>
        </w:tc>
        <w:tc>
          <w:tcPr>
            <w:tcW w:w="964" w:type="dxa"/>
            <w:vAlign w:val="center"/>
          </w:tcPr>
          <w:p w14:paraId="01EF992C">
            <w:pPr>
              <w:pStyle w:val="11"/>
            </w:pPr>
            <w:r>
              <w:t>0.40</w:t>
            </w:r>
          </w:p>
        </w:tc>
        <w:tc>
          <w:tcPr>
            <w:tcW w:w="964" w:type="dxa"/>
            <w:vAlign w:val="center"/>
          </w:tcPr>
          <w:p w14:paraId="1D479117">
            <w:pPr>
              <w:pStyle w:val="11"/>
            </w:pPr>
          </w:p>
        </w:tc>
        <w:tc>
          <w:tcPr>
            <w:tcW w:w="964" w:type="dxa"/>
            <w:vAlign w:val="center"/>
          </w:tcPr>
          <w:p w14:paraId="5AF61539">
            <w:pPr>
              <w:pStyle w:val="11"/>
            </w:pPr>
          </w:p>
        </w:tc>
        <w:tc>
          <w:tcPr>
            <w:tcW w:w="964" w:type="dxa"/>
            <w:vAlign w:val="center"/>
          </w:tcPr>
          <w:p w14:paraId="31517FA2">
            <w:pPr>
              <w:pStyle w:val="11"/>
            </w:pPr>
          </w:p>
        </w:tc>
        <w:tc>
          <w:tcPr>
            <w:tcW w:w="964" w:type="dxa"/>
            <w:vAlign w:val="center"/>
          </w:tcPr>
          <w:p w14:paraId="365EC191">
            <w:pPr>
              <w:pStyle w:val="11"/>
            </w:pPr>
          </w:p>
        </w:tc>
        <w:tc>
          <w:tcPr>
            <w:tcW w:w="964" w:type="dxa"/>
            <w:vAlign w:val="center"/>
          </w:tcPr>
          <w:p w14:paraId="18224594">
            <w:pPr>
              <w:pStyle w:val="11"/>
            </w:pPr>
          </w:p>
        </w:tc>
        <w:tc>
          <w:tcPr>
            <w:tcW w:w="964" w:type="dxa"/>
            <w:vAlign w:val="center"/>
          </w:tcPr>
          <w:p w14:paraId="0BFE475A">
            <w:pPr>
              <w:pStyle w:val="11"/>
            </w:pPr>
          </w:p>
        </w:tc>
        <w:tc>
          <w:tcPr>
            <w:tcW w:w="964" w:type="dxa"/>
            <w:vAlign w:val="center"/>
          </w:tcPr>
          <w:p w14:paraId="13CB01D3">
            <w:pPr>
              <w:pStyle w:val="11"/>
            </w:pPr>
            <w:r>
              <w:t>0.40</w:t>
            </w:r>
          </w:p>
        </w:tc>
      </w:tr>
      <w:tr w14:paraId="5A61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FACB6E">
            <w:pPr>
              <w:pStyle w:val="12"/>
            </w:pPr>
            <w:r>
              <w:t>冀财教[2025]122号/中央/支持学前教育发展/莲子镇校区幼儿园设备购置</w:t>
            </w:r>
          </w:p>
        </w:tc>
        <w:tc>
          <w:tcPr>
            <w:tcW w:w="964" w:type="dxa"/>
            <w:vAlign w:val="center"/>
          </w:tcPr>
          <w:p w14:paraId="45849EF0">
            <w:pPr>
              <w:pStyle w:val="11"/>
            </w:pPr>
            <w:r>
              <w:t>63.78</w:t>
            </w:r>
          </w:p>
        </w:tc>
        <w:tc>
          <w:tcPr>
            <w:tcW w:w="1134" w:type="dxa"/>
            <w:vAlign w:val="center"/>
          </w:tcPr>
          <w:p w14:paraId="53E4A295">
            <w:pPr>
              <w:pStyle w:val="12"/>
            </w:pPr>
            <w:r>
              <w:t>办公桌</w:t>
            </w:r>
          </w:p>
        </w:tc>
        <w:tc>
          <w:tcPr>
            <w:tcW w:w="1134" w:type="dxa"/>
            <w:vAlign w:val="center"/>
          </w:tcPr>
          <w:p w14:paraId="29ED94B2">
            <w:pPr>
              <w:pStyle w:val="12"/>
            </w:pPr>
            <w:r>
              <w:t>A05010201</w:t>
            </w:r>
          </w:p>
        </w:tc>
        <w:tc>
          <w:tcPr>
            <w:tcW w:w="709" w:type="dxa"/>
            <w:vAlign w:val="center"/>
          </w:tcPr>
          <w:p w14:paraId="45849785">
            <w:pPr>
              <w:pStyle w:val="13"/>
            </w:pPr>
            <w:r>
              <w:t>套</w:t>
            </w:r>
          </w:p>
        </w:tc>
        <w:tc>
          <w:tcPr>
            <w:tcW w:w="850" w:type="dxa"/>
            <w:vAlign w:val="center"/>
          </w:tcPr>
          <w:p w14:paraId="5A894C23">
            <w:pPr>
              <w:pStyle w:val="11"/>
            </w:pPr>
            <w:r>
              <w:t>6</w:t>
            </w:r>
          </w:p>
        </w:tc>
        <w:tc>
          <w:tcPr>
            <w:tcW w:w="850" w:type="dxa"/>
            <w:vAlign w:val="center"/>
          </w:tcPr>
          <w:p w14:paraId="6609E9A0">
            <w:pPr>
              <w:pStyle w:val="11"/>
            </w:pPr>
            <w:r>
              <w:t>0.09</w:t>
            </w:r>
          </w:p>
        </w:tc>
        <w:tc>
          <w:tcPr>
            <w:tcW w:w="964" w:type="dxa"/>
            <w:vAlign w:val="center"/>
          </w:tcPr>
          <w:p w14:paraId="2CB93395">
            <w:pPr>
              <w:pStyle w:val="11"/>
            </w:pPr>
            <w:r>
              <w:t>0.51</w:t>
            </w:r>
          </w:p>
        </w:tc>
        <w:tc>
          <w:tcPr>
            <w:tcW w:w="964" w:type="dxa"/>
            <w:vAlign w:val="center"/>
          </w:tcPr>
          <w:p w14:paraId="07A4E40C">
            <w:pPr>
              <w:pStyle w:val="11"/>
            </w:pPr>
            <w:r>
              <w:t>0.51</w:t>
            </w:r>
          </w:p>
        </w:tc>
        <w:tc>
          <w:tcPr>
            <w:tcW w:w="964" w:type="dxa"/>
            <w:vAlign w:val="center"/>
          </w:tcPr>
          <w:p w14:paraId="3BC4A02B">
            <w:pPr>
              <w:pStyle w:val="11"/>
            </w:pPr>
          </w:p>
        </w:tc>
        <w:tc>
          <w:tcPr>
            <w:tcW w:w="964" w:type="dxa"/>
            <w:vAlign w:val="center"/>
          </w:tcPr>
          <w:p w14:paraId="198677FE">
            <w:pPr>
              <w:pStyle w:val="11"/>
            </w:pPr>
          </w:p>
        </w:tc>
        <w:tc>
          <w:tcPr>
            <w:tcW w:w="964" w:type="dxa"/>
            <w:vAlign w:val="center"/>
          </w:tcPr>
          <w:p w14:paraId="7E20E0F6">
            <w:pPr>
              <w:pStyle w:val="11"/>
            </w:pPr>
          </w:p>
        </w:tc>
        <w:tc>
          <w:tcPr>
            <w:tcW w:w="964" w:type="dxa"/>
            <w:vAlign w:val="center"/>
          </w:tcPr>
          <w:p w14:paraId="70F8EFBD">
            <w:pPr>
              <w:pStyle w:val="11"/>
            </w:pPr>
          </w:p>
        </w:tc>
        <w:tc>
          <w:tcPr>
            <w:tcW w:w="964" w:type="dxa"/>
            <w:vAlign w:val="center"/>
          </w:tcPr>
          <w:p w14:paraId="55ED64EB">
            <w:pPr>
              <w:pStyle w:val="11"/>
            </w:pPr>
          </w:p>
        </w:tc>
        <w:tc>
          <w:tcPr>
            <w:tcW w:w="964" w:type="dxa"/>
            <w:vAlign w:val="center"/>
          </w:tcPr>
          <w:p w14:paraId="462994FB">
            <w:pPr>
              <w:pStyle w:val="11"/>
            </w:pPr>
          </w:p>
        </w:tc>
        <w:tc>
          <w:tcPr>
            <w:tcW w:w="964" w:type="dxa"/>
            <w:vAlign w:val="center"/>
          </w:tcPr>
          <w:p w14:paraId="56E35FB1">
            <w:pPr>
              <w:pStyle w:val="11"/>
            </w:pPr>
            <w:r>
              <w:t>0.51</w:t>
            </w:r>
          </w:p>
        </w:tc>
      </w:tr>
      <w:tr w14:paraId="56ED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5505AB">
            <w:pPr>
              <w:pStyle w:val="12"/>
            </w:pPr>
            <w:r>
              <w:t>冀财教[2025]122号/中央/支持学前教育发展/莲子镇校区幼儿园设备购置</w:t>
            </w:r>
          </w:p>
        </w:tc>
        <w:tc>
          <w:tcPr>
            <w:tcW w:w="964" w:type="dxa"/>
            <w:vAlign w:val="center"/>
          </w:tcPr>
          <w:p w14:paraId="4700AC0F">
            <w:pPr>
              <w:pStyle w:val="11"/>
            </w:pPr>
            <w:r>
              <w:t>63.78</w:t>
            </w:r>
          </w:p>
        </w:tc>
        <w:tc>
          <w:tcPr>
            <w:tcW w:w="1134" w:type="dxa"/>
            <w:vAlign w:val="center"/>
          </w:tcPr>
          <w:p w14:paraId="11EC438A">
            <w:pPr>
              <w:pStyle w:val="12"/>
            </w:pPr>
            <w:r>
              <w:t>三人沙发</w:t>
            </w:r>
          </w:p>
        </w:tc>
        <w:tc>
          <w:tcPr>
            <w:tcW w:w="1134" w:type="dxa"/>
            <w:vAlign w:val="center"/>
          </w:tcPr>
          <w:p w14:paraId="4AA4815D">
            <w:pPr>
              <w:pStyle w:val="12"/>
            </w:pPr>
            <w:r>
              <w:t>A05010401</w:t>
            </w:r>
          </w:p>
        </w:tc>
        <w:tc>
          <w:tcPr>
            <w:tcW w:w="709" w:type="dxa"/>
            <w:vAlign w:val="center"/>
          </w:tcPr>
          <w:p w14:paraId="2AB56345">
            <w:pPr>
              <w:pStyle w:val="13"/>
            </w:pPr>
            <w:r>
              <w:t>组</w:t>
            </w:r>
          </w:p>
        </w:tc>
        <w:tc>
          <w:tcPr>
            <w:tcW w:w="850" w:type="dxa"/>
            <w:vAlign w:val="center"/>
          </w:tcPr>
          <w:p w14:paraId="4E175BFB">
            <w:pPr>
              <w:pStyle w:val="11"/>
            </w:pPr>
            <w:r>
              <w:t>2</w:t>
            </w:r>
          </w:p>
        </w:tc>
        <w:tc>
          <w:tcPr>
            <w:tcW w:w="850" w:type="dxa"/>
            <w:vAlign w:val="center"/>
          </w:tcPr>
          <w:p w14:paraId="56D315C8">
            <w:pPr>
              <w:pStyle w:val="11"/>
            </w:pPr>
            <w:r>
              <w:t>0.05</w:t>
            </w:r>
          </w:p>
        </w:tc>
        <w:tc>
          <w:tcPr>
            <w:tcW w:w="964" w:type="dxa"/>
            <w:vAlign w:val="center"/>
          </w:tcPr>
          <w:p w14:paraId="2B4D064A">
            <w:pPr>
              <w:pStyle w:val="11"/>
            </w:pPr>
            <w:r>
              <w:t>0.10</w:t>
            </w:r>
          </w:p>
        </w:tc>
        <w:tc>
          <w:tcPr>
            <w:tcW w:w="964" w:type="dxa"/>
            <w:vAlign w:val="center"/>
          </w:tcPr>
          <w:p w14:paraId="47F68C22">
            <w:pPr>
              <w:pStyle w:val="11"/>
            </w:pPr>
            <w:r>
              <w:t>0.10</w:t>
            </w:r>
          </w:p>
        </w:tc>
        <w:tc>
          <w:tcPr>
            <w:tcW w:w="964" w:type="dxa"/>
            <w:vAlign w:val="center"/>
          </w:tcPr>
          <w:p w14:paraId="13141C4D">
            <w:pPr>
              <w:pStyle w:val="11"/>
            </w:pPr>
          </w:p>
        </w:tc>
        <w:tc>
          <w:tcPr>
            <w:tcW w:w="964" w:type="dxa"/>
            <w:vAlign w:val="center"/>
          </w:tcPr>
          <w:p w14:paraId="5F78935C">
            <w:pPr>
              <w:pStyle w:val="11"/>
            </w:pPr>
          </w:p>
        </w:tc>
        <w:tc>
          <w:tcPr>
            <w:tcW w:w="964" w:type="dxa"/>
            <w:vAlign w:val="center"/>
          </w:tcPr>
          <w:p w14:paraId="57204931">
            <w:pPr>
              <w:pStyle w:val="11"/>
            </w:pPr>
          </w:p>
        </w:tc>
        <w:tc>
          <w:tcPr>
            <w:tcW w:w="964" w:type="dxa"/>
            <w:vAlign w:val="center"/>
          </w:tcPr>
          <w:p w14:paraId="6683F234">
            <w:pPr>
              <w:pStyle w:val="11"/>
            </w:pPr>
          </w:p>
        </w:tc>
        <w:tc>
          <w:tcPr>
            <w:tcW w:w="964" w:type="dxa"/>
            <w:vAlign w:val="center"/>
          </w:tcPr>
          <w:p w14:paraId="5E465B18">
            <w:pPr>
              <w:pStyle w:val="11"/>
            </w:pPr>
          </w:p>
        </w:tc>
        <w:tc>
          <w:tcPr>
            <w:tcW w:w="964" w:type="dxa"/>
            <w:vAlign w:val="center"/>
          </w:tcPr>
          <w:p w14:paraId="02505997">
            <w:pPr>
              <w:pStyle w:val="11"/>
            </w:pPr>
          </w:p>
        </w:tc>
        <w:tc>
          <w:tcPr>
            <w:tcW w:w="964" w:type="dxa"/>
            <w:vAlign w:val="center"/>
          </w:tcPr>
          <w:p w14:paraId="56D06037">
            <w:pPr>
              <w:pStyle w:val="11"/>
            </w:pPr>
            <w:r>
              <w:t>0.10</w:t>
            </w:r>
          </w:p>
        </w:tc>
      </w:tr>
      <w:tr w14:paraId="5BCF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69AE7B">
            <w:pPr>
              <w:pStyle w:val="12"/>
            </w:pPr>
            <w:r>
              <w:t>冀财教[2025]122号/中央/支持学前教育发展/莲子镇校区幼儿园设备购置</w:t>
            </w:r>
          </w:p>
        </w:tc>
        <w:tc>
          <w:tcPr>
            <w:tcW w:w="964" w:type="dxa"/>
            <w:vAlign w:val="center"/>
          </w:tcPr>
          <w:p w14:paraId="37070A68">
            <w:pPr>
              <w:pStyle w:val="11"/>
            </w:pPr>
            <w:r>
              <w:t>63.78</w:t>
            </w:r>
          </w:p>
        </w:tc>
        <w:tc>
          <w:tcPr>
            <w:tcW w:w="1134" w:type="dxa"/>
            <w:vAlign w:val="center"/>
          </w:tcPr>
          <w:p w14:paraId="4216FF1B">
            <w:pPr>
              <w:pStyle w:val="12"/>
            </w:pPr>
            <w:r>
              <w:t>单人沙发</w:t>
            </w:r>
          </w:p>
        </w:tc>
        <w:tc>
          <w:tcPr>
            <w:tcW w:w="1134" w:type="dxa"/>
            <w:vAlign w:val="center"/>
          </w:tcPr>
          <w:p w14:paraId="3867EF43">
            <w:pPr>
              <w:pStyle w:val="12"/>
            </w:pPr>
            <w:r>
              <w:t>A05010402</w:t>
            </w:r>
          </w:p>
        </w:tc>
        <w:tc>
          <w:tcPr>
            <w:tcW w:w="709" w:type="dxa"/>
            <w:vAlign w:val="center"/>
          </w:tcPr>
          <w:p w14:paraId="624E3210">
            <w:pPr>
              <w:pStyle w:val="13"/>
            </w:pPr>
            <w:r>
              <w:t>套</w:t>
            </w:r>
          </w:p>
        </w:tc>
        <w:tc>
          <w:tcPr>
            <w:tcW w:w="850" w:type="dxa"/>
            <w:vAlign w:val="center"/>
          </w:tcPr>
          <w:p w14:paraId="4C7B7E4C">
            <w:pPr>
              <w:pStyle w:val="11"/>
            </w:pPr>
            <w:r>
              <w:t>2</w:t>
            </w:r>
          </w:p>
        </w:tc>
        <w:tc>
          <w:tcPr>
            <w:tcW w:w="850" w:type="dxa"/>
            <w:vAlign w:val="center"/>
          </w:tcPr>
          <w:p w14:paraId="482E3774">
            <w:pPr>
              <w:pStyle w:val="11"/>
            </w:pPr>
            <w:r>
              <w:t>0.36</w:t>
            </w:r>
          </w:p>
        </w:tc>
        <w:tc>
          <w:tcPr>
            <w:tcW w:w="964" w:type="dxa"/>
            <w:vAlign w:val="center"/>
          </w:tcPr>
          <w:p w14:paraId="35493389">
            <w:pPr>
              <w:pStyle w:val="11"/>
            </w:pPr>
            <w:r>
              <w:t>0.72</w:t>
            </w:r>
          </w:p>
        </w:tc>
        <w:tc>
          <w:tcPr>
            <w:tcW w:w="964" w:type="dxa"/>
            <w:vAlign w:val="center"/>
          </w:tcPr>
          <w:p w14:paraId="4B45BBE7">
            <w:pPr>
              <w:pStyle w:val="11"/>
            </w:pPr>
            <w:r>
              <w:t>0.72</w:t>
            </w:r>
          </w:p>
        </w:tc>
        <w:tc>
          <w:tcPr>
            <w:tcW w:w="964" w:type="dxa"/>
            <w:vAlign w:val="center"/>
          </w:tcPr>
          <w:p w14:paraId="4E8994CF">
            <w:pPr>
              <w:pStyle w:val="11"/>
            </w:pPr>
          </w:p>
        </w:tc>
        <w:tc>
          <w:tcPr>
            <w:tcW w:w="964" w:type="dxa"/>
            <w:vAlign w:val="center"/>
          </w:tcPr>
          <w:p w14:paraId="6B5901BE">
            <w:pPr>
              <w:pStyle w:val="11"/>
            </w:pPr>
          </w:p>
        </w:tc>
        <w:tc>
          <w:tcPr>
            <w:tcW w:w="964" w:type="dxa"/>
            <w:vAlign w:val="center"/>
          </w:tcPr>
          <w:p w14:paraId="4C818F80">
            <w:pPr>
              <w:pStyle w:val="11"/>
            </w:pPr>
          </w:p>
        </w:tc>
        <w:tc>
          <w:tcPr>
            <w:tcW w:w="964" w:type="dxa"/>
            <w:vAlign w:val="center"/>
          </w:tcPr>
          <w:p w14:paraId="76B11690">
            <w:pPr>
              <w:pStyle w:val="11"/>
            </w:pPr>
          </w:p>
        </w:tc>
        <w:tc>
          <w:tcPr>
            <w:tcW w:w="964" w:type="dxa"/>
            <w:vAlign w:val="center"/>
          </w:tcPr>
          <w:p w14:paraId="5E522C70">
            <w:pPr>
              <w:pStyle w:val="11"/>
            </w:pPr>
          </w:p>
        </w:tc>
        <w:tc>
          <w:tcPr>
            <w:tcW w:w="964" w:type="dxa"/>
            <w:vAlign w:val="center"/>
          </w:tcPr>
          <w:p w14:paraId="5F7A8C05">
            <w:pPr>
              <w:pStyle w:val="11"/>
            </w:pPr>
          </w:p>
        </w:tc>
        <w:tc>
          <w:tcPr>
            <w:tcW w:w="964" w:type="dxa"/>
            <w:vAlign w:val="center"/>
          </w:tcPr>
          <w:p w14:paraId="04AC8969">
            <w:pPr>
              <w:pStyle w:val="11"/>
            </w:pPr>
            <w:r>
              <w:t>0.72</w:t>
            </w:r>
          </w:p>
        </w:tc>
      </w:tr>
      <w:tr w14:paraId="6E88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AA4AB4">
            <w:pPr>
              <w:pStyle w:val="12"/>
            </w:pPr>
            <w:r>
              <w:t>冀财教[2025]122号/中央/支持学前教育发展/莲子镇校区幼儿园设备购置</w:t>
            </w:r>
          </w:p>
        </w:tc>
        <w:tc>
          <w:tcPr>
            <w:tcW w:w="964" w:type="dxa"/>
            <w:vAlign w:val="center"/>
          </w:tcPr>
          <w:p w14:paraId="66236EF4">
            <w:pPr>
              <w:pStyle w:val="11"/>
            </w:pPr>
            <w:r>
              <w:t>63.78</w:t>
            </w:r>
          </w:p>
        </w:tc>
        <w:tc>
          <w:tcPr>
            <w:tcW w:w="1134" w:type="dxa"/>
            <w:vAlign w:val="center"/>
          </w:tcPr>
          <w:p w14:paraId="40949785">
            <w:pPr>
              <w:pStyle w:val="12"/>
            </w:pPr>
            <w:r>
              <w:t>书柜</w:t>
            </w:r>
          </w:p>
        </w:tc>
        <w:tc>
          <w:tcPr>
            <w:tcW w:w="1134" w:type="dxa"/>
            <w:vAlign w:val="center"/>
          </w:tcPr>
          <w:p w14:paraId="1F39B7D6">
            <w:pPr>
              <w:pStyle w:val="12"/>
            </w:pPr>
            <w:r>
              <w:t>A05010501</w:t>
            </w:r>
          </w:p>
        </w:tc>
        <w:tc>
          <w:tcPr>
            <w:tcW w:w="709" w:type="dxa"/>
            <w:vAlign w:val="center"/>
          </w:tcPr>
          <w:p w14:paraId="2DFE520B">
            <w:pPr>
              <w:pStyle w:val="13"/>
            </w:pPr>
            <w:r>
              <w:t>组</w:t>
            </w:r>
          </w:p>
        </w:tc>
        <w:tc>
          <w:tcPr>
            <w:tcW w:w="850" w:type="dxa"/>
            <w:vAlign w:val="center"/>
          </w:tcPr>
          <w:p w14:paraId="75D17106">
            <w:pPr>
              <w:pStyle w:val="11"/>
            </w:pPr>
            <w:r>
              <w:t>12</w:t>
            </w:r>
          </w:p>
        </w:tc>
        <w:tc>
          <w:tcPr>
            <w:tcW w:w="850" w:type="dxa"/>
            <w:vAlign w:val="center"/>
          </w:tcPr>
          <w:p w14:paraId="1C6FA941">
            <w:pPr>
              <w:pStyle w:val="11"/>
            </w:pPr>
            <w:r>
              <w:t>0.02</w:t>
            </w:r>
          </w:p>
        </w:tc>
        <w:tc>
          <w:tcPr>
            <w:tcW w:w="964" w:type="dxa"/>
            <w:vAlign w:val="center"/>
          </w:tcPr>
          <w:p w14:paraId="25012559">
            <w:pPr>
              <w:pStyle w:val="11"/>
            </w:pPr>
            <w:r>
              <w:t>0.18</w:t>
            </w:r>
          </w:p>
        </w:tc>
        <w:tc>
          <w:tcPr>
            <w:tcW w:w="964" w:type="dxa"/>
            <w:vAlign w:val="center"/>
          </w:tcPr>
          <w:p w14:paraId="651E20FA">
            <w:pPr>
              <w:pStyle w:val="11"/>
            </w:pPr>
            <w:r>
              <w:t>0.18</w:t>
            </w:r>
          </w:p>
        </w:tc>
        <w:tc>
          <w:tcPr>
            <w:tcW w:w="964" w:type="dxa"/>
            <w:vAlign w:val="center"/>
          </w:tcPr>
          <w:p w14:paraId="2D8EF23D">
            <w:pPr>
              <w:pStyle w:val="11"/>
            </w:pPr>
          </w:p>
        </w:tc>
        <w:tc>
          <w:tcPr>
            <w:tcW w:w="964" w:type="dxa"/>
            <w:vAlign w:val="center"/>
          </w:tcPr>
          <w:p w14:paraId="09E75A8C">
            <w:pPr>
              <w:pStyle w:val="11"/>
            </w:pPr>
          </w:p>
        </w:tc>
        <w:tc>
          <w:tcPr>
            <w:tcW w:w="964" w:type="dxa"/>
            <w:vAlign w:val="center"/>
          </w:tcPr>
          <w:p w14:paraId="4F0F03A4">
            <w:pPr>
              <w:pStyle w:val="11"/>
            </w:pPr>
          </w:p>
        </w:tc>
        <w:tc>
          <w:tcPr>
            <w:tcW w:w="964" w:type="dxa"/>
            <w:vAlign w:val="center"/>
          </w:tcPr>
          <w:p w14:paraId="5EEF6ED6">
            <w:pPr>
              <w:pStyle w:val="11"/>
            </w:pPr>
          </w:p>
        </w:tc>
        <w:tc>
          <w:tcPr>
            <w:tcW w:w="964" w:type="dxa"/>
            <w:vAlign w:val="center"/>
          </w:tcPr>
          <w:p w14:paraId="5083B987">
            <w:pPr>
              <w:pStyle w:val="11"/>
            </w:pPr>
          </w:p>
        </w:tc>
        <w:tc>
          <w:tcPr>
            <w:tcW w:w="964" w:type="dxa"/>
            <w:vAlign w:val="center"/>
          </w:tcPr>
          <w:p w14:paraId="3074193B">
            <w:pPr>
              <w:pStyle w:val="11"/>
            </w:pPr>
          </w:p>
        </w:tc>
        <w:tc>
          <w:tcPr>
            <w:tcW w:w="964" w:type="dxa"/>
            <w:vAlign w:val="center"/>
          </w:tcPr>
          <w:p w14:paraId="1F2B1B2B">
            <w:pPr>
              <w:pStyle w:val="11"/>
            </w:pPr>
            <w:r>
              <w:t>0.18</w:t>
            </w:r>
          </w:p>
        </w:tc>
      </w:tr>
      <w:tr w14:paraId="1E7C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C89535">
            <w:pPr>
              <w:pStyle w:val="12"/>
            </w:pPr>
            <w:r>
              <w:t>冀财教[2025]122号/中央/支持学前教育发展/莲子镇校区幼儿园设备购置</w:t>
            </w:r>
          </w:p>
        </w:tc>
        <w:tc>
          <w:tcPr>
            <w:tcW w:w="964" w:type="dxa"/>
            <w:vAlign w:val="center"/>
          </w:tcPr>
          <w:p w14:paraId="11635D45">
            <w:pPr>
              <w:pStyle w:val="11"/>
            </w:pPr>
            <w:r>
              <w:t>63.78</w:t>
            </w:r>
          </w:p>
        </w:tc>
        <w:tc>
          <w:tcPr>
            <w:tcW w:w="1134" w:type="dxa"/>
            <w:vAlign w:val="center"/>
          </w:tcPr>
          <w:p w14:paraId="0B0E6524">
            <w:pPr>
              <w:pStyle w:val="12"/>
            </w:pPr>
            <w:r>
              <w:t>文件柜</w:t>
            </w:r>
          </w:p>
        </w:tc>
        <w:tc>
          <w:tcPr>
            <w:tcW w:w="1134" w:type="dxa"/>
            <w:vAlign w:val="center"/>
          </w:tcPr>
          <w:p w14:paraId="2E89D064">
            <w:pPr>
              <w:pStyle w:val="12"/>
            </w:pPr>
            <w:r>
              <w:t>A05010502</w:t>
            </w:r>
          </w:p>
        </w:tc>
        <w:tc>
          <w:tcPr>
            <w:tcW w:w="709" w:type="dxa"/>
            <w:vAlign w:val="center"/>
          </w:tcPr>
          <w:p w14:paraId="6EC86CAD">
            <w:pPr>
              <w:pStyle w:val="13"/>
            </w:pPr>
            <w:r>
              <w:t>组</w:t>
            </w:r>
          </w:p>
        </w:tc>
        <w:tc>
          <w:tcPr>
            <w:tcW w:w="850" w:type="dxa"/>
            <w:vAlign w:val="center"/>
          </w:tcPr>
          <w:p w14:paraId="45AEEC1C">
            <w:pPr>
              <w:pStyle w:val="11"/>
            </w:pPr>
            <w:r>
              <w:t>11</w:t>
            </w:r>
          </w:p>
        </w:tc>
        <w:tc>
          <w:tcPr>
            <w:tcW w:w="850" w:type="dxa"/>
            <w:vAlign w:val="center"/>
          </w:tcPr>
          <w:p w14:paraId="2B7B9E90">
            <w:pPr>
              <w:pStyle w:val="11"/>
            </w:pPr>
            <w:r>
              <w:t>0.07</w:t>
            </w:r>
          </w:p>
        </w:tc>
        <w:tc>
          <w:tcPr>
            <w:tcW w:w="964" w:type="dxa"/>
            <w:vAlign w:val="center"/>
          </w:tcPr>
          <w:p w14:paraId="29564F5E">
            <w:pPr>
              <w:pStyle w:val="11"/>
            </w:pPr>
            <w:r>
              <w:t>0.77</w:t>
            </w:r>
          </w:p>
        </w:tc>
        <w:tc>
          <w:tcPr>
            <w:tcW w:w="964" w:type="dxa"/>
            <w:vAlign w:val="center"/>
          </w:tcPr>
          <w:p w14:paraId="3FB3BF26">
            <w:pPr>
              <w:pStyle w:val="11"/>
            </w:pPr>
            <w:r>
              <w:t>0.77</w:t>
            </w:r>
          </w:p>
        </w:tc>
        <w:tc>
          <w:tcPr>
            <w:tcW w:w="964" w:type="dxa"/>
            <w:vAlign w:val="center"/>
          </w:tcPr>
          <w:p w14:paraId="03CB874A">
            <w:pPr>
              <w:pStyle w:val="11"/>
            </w:pPr>
          </w:p>
        </w:tc>
        <w:tc>
          <w:tcPr>
            <w:tcW w:w="964" w:type="dxa"/>
            <w:vAlign w:val="center"/>
          </w:tcPr>
          <w:p w14:paraId="1B9E891A">
            <w:pPr>
              <w:pStyle w:val="11"/>
            </w:pPr>
          </w:p>
        </w:tc>
        <w:tc>
          <w:tcPr>
            <w:tcW w:w="964" w:type="dxa"/>
            <w:vAlign w:val="center"/>
          </w:tcPr>
          <w:p w14:paraId="64D8B28F">
            <w:pPr>
              <w:pStyle w:val="11"/>
            </w:pPr>
          </w:p>
        </w:tc>
        <w:tc>
          <w:tcPr>
            <w:tcW w:w="964" w:type="dxa"/>
            <w:vAlign w:val="center"/>
          </w:tcPr>
          <w:p w14:paraId="73AA169B">
            <w:pPr>
              <w:pStyle w:val="11"/>
            </w:pPr>
          </w:p>
        </w:tc>
        <w:tc>
          <w:tcPr>
            <w:tcW w:w="964" w:type="dxa"/>
            <w:vAlign w:val="center"/>
          </w:tcPr>
          <w:p w14:paraId="0DCE43FA">
            <w:pPr>
              <w:pStyle w:val="11"/>
            </w:pPr>
          </w:p>
        </w:tc>
        <w:tc>
          <w:tcPr>
            <w:tcW w:w="964" w:type="dxa"/>
            <w:vAlign w:val="center"/>
          </w:tcPr>
          <w:p w14:paraId="5D5C7B7B">
            <w:pPr>
              <w:pStyle w:val="11"/>
            </w:pPr>
          </w:p>
        </w:tc>
        <w:tc>
          <w:tcPr>
            <w:tcW w:w="964" w:type="dxa"/>
            <w:vAlign w:val="center"/>
          </w:tcPr>
          <w:p w14:paraId="402CBF19">
            <w:pPr>
              <w:pStyle w:val="11"/>
            </w:pPr>
            <w:r>
              <w:t>0.77</w:t>
            </w:r>
          </w:p>
        </w:tc>
      </w:tr>
    </w:tbl>
    <w:p w14:paraId="4DCC430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DA2A3D">
      <w:pPr>
        <w:spacing w:before="0" w:after="0"/>
        <w:ind w:firstLine="640"/>
        <w:jc w:val="left"/>
        <w:outlineLvl w:val="9"/>
      </w:pPr>
      <w:r>
        <w:rPr>
          <w:rFonts w:ascii="Times New Roman" w:hAnsi="Times New Roman" w:eastAsia="方正仿宋_GBK" w:cs="Times New Roman"/>
          <w:color w:val="000000"/>
          <w:sz w:val="32"/>
        </w:rPr>
        <w:t xml:space="preserve"> </w:t>
      </w:r>
    </w:p>
    <w:p w14:paraId="74C84A3C">
      <w:pPr>
        <w:spacing w:before="10" w:after="10" w:line="240" w:lineRule="auto"/>
        <w:ind w:firstLine="640"/>
        <w:jc w:val="left"/>
        <w:outlineLvl w:val="5"/>
        <w:rPr>
          <w:rFonts w:ascii="黑体" w:hAnsi="黑体" w:eastAsia="黑体" w:cs="黑体"/>
          <w:color w:val="000000"/>
          <w:sz w:val="32"/>
        </w:rPr>
      </w:pPr>
    </w:p>
    <w:p w14:paraId="0F80E8A5">
      <w:pPr>
        <w:spacing w:before="10" w:after="10" w:line="240" w:lineRule="auto"/>
        <w:ind w:firstLine="640"/>
        <w:jc w:val="left"/>
        <w:outlineLvl w:val="5"/>
        <w:rPr>
          <w:rFonts w:ascii="黑体" w:hAnsi="黑体" w:eastAsia="黑体" w:cs="黑体"/>
          <w:color w:val="000000"/>
          <w:sz w:val="32"/>
        </w:rPr>
      </w:pPr>
    </w:p>
    <w:p w14:paraId="6BED16EF">
      <w:pPr>
        <w:spacing w:before="10" w:after="10" w:line="240" w:lineRule="auto"/>
        <w:ind w:firstLine="640"/>
        <w:jc w:val="left"/>
        <w:outlineLvl w:val="5"/>
      </w:pPr>
      <w:r>
        <w:rPr>
          <w:rFonts w:ascii="黑体" w:hAnsi="黑体" w:eastAsia="黑体" w:cs="黑体"/>
          <w:color w:val="000000"/>
          <w:sz w:val="32"/>
        </w:rPr>
        <w:t>七、国有资产信息</w:t>
      </w:r>
    </w:p>
    <w:p w14:paraId="4C5265C4">
      <w:pPr>
        <w:spacing w:before="0" w:after="0" w:line="500" w:lineRule="exact"/>
        <w:ind w:firstLine="560"/>
        <w:jc w:val="left"/>
        <w:outlineLvl w:val="9"/>
      </w:pPr>
      <w:r>
        <w:rPr>
          <w:rFonts w:ascii="Times New Roman" w:hAnsi="Times New Roman" w:eastAsia="方正仿宋_GBK" w:cs="Times New Roman"/>
          <w:b w:val="0"/>
          <w:color w:val="000000"/>
          <w:sz w:val="28"/>
        </w:rPr>
        <w:t>隆尧县莲子镇校区上年末固定资产金额为2335.11万元（详见下表）。本年度拟购置固定资产总额为126.80万元，已按要求列入政府采购预算，详见政府采购预算表。</w:t>
      </w:r>
    </w:p>
    <w:p w14:paraId="13830B4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0C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EF91E2">
            <w:pPr>
              <w:pStyle w:val="9"/>
            </w:pPr>
            <w:r>
              <w:t>360027隆尧县莲子镇校区</w:t>
            </w:r>
          </w:p>
        </w:tc>
        <w:tc>
          <w:tcPr>
            <w:tcW w:w="5670" w:type="dxa"/>
            <w:gridSpan w:val="2"/>
            <w:tcBorders>
              <w:top w:val="single" w:color="FFFFFF" w:sz="6" w:space="0"/>
              <w:left w:val="single" w:color="FFFFFF" w:sz="6" w:space="0"/>
              <w:right w:val="single" w:color="FFFFFF" w:sz="6" w:space="0"/>
            </w:tcBorders>
            <w:vAlign w:val="center"/>
          </w:tcPr>
          <w:p w14:paraId="2744924A">
            <w:pPr>
              <w:pStyle w:val="7"/>
            </w:pPr>
            <w:r>
              <w:t>截止时间：2025-12-31</w:t>
            </w:r>
          </w:p>
        </w:tc>
      </w:tr>
      <w:tr w14:paraId="12CF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713A0C">
            <w:pPr>
              <w:pStyle w:val="10"/>
            </w:pPr>
            <w:r>
              <w:t>项   目</w:t>
            </w:r>
          </w:p>
        </w:tc>
        <w:tc>
          <w:tcPr>
            <w:tcW w:w="2835" w:type="dxa"/>
            <w:vAlign w:val="center"/>
          </w:tcPr>
          <w:p w14:paraId="51B03195">
            <w:pPr>
              <w:pStyle w:val="10"/>
            </w:pPr>
            <w:r>
              <w:t>数量</w:t>
            </w:r>
          </w:p>
        </w:tc>
        <w:tc>
          <w:tcPr>
            <w:tcW w:w="2835" w:type="dxa"/>
            <w:vAlign w:val="center"/>
          </w:tcPr>
          <w:p w14:paraId="07F2A521">
            <w:pPr>
              <w:pStyle w:val="10"/>
            </w:pPr>
            <w:r>
              <w:t>价值（金额单位：万元）</w:t>
            </w:r>
          </w:p>
        </w:tc>
      </w:tr>
      <w:tr w14:paraId="3109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D660B">
            <w:pPr>
              <w:pStyle w:val="12"/>
            </w:pPr>
            <w:r>
              <w:t>资产总额</w:t>
            </w:r>
          </w:p>
        </w:tc>
        <w:tc>
          <w:tcPr>
            <w:tcW w:w="2835" w:type="dxa"/>
            <w:vAlign w:val="center"/>
          </w:tcPr>
          <w:p w14:paraId="2C90A511">
            <w:pPr>
              <w:pStyle w:val="13"/>
            </w:pPr>
          </w:p>
        </w:tc>
        <w:tc>
          <w:tcPr>
            <w:tcW w:w="2835" w:type="dxa"/>
            <w:vAlign w:val="center"/>
          </w:tcPr>
          <w:p w14:paraId="6A18659E">
            <w:pPr>
              <w:pStyle w:val="11"/>
            </w:pPr>
            <w:r>
              <w:t>2335.11</w:t>
            </w:r>
          </w:p>
        </w:tc>
      </w:tr>
      <w:tr w14:paraId="176E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FEDF90">
            <w:pPr>
              <w:pStyle w:val="12"/>
            </w:pPr>
            <w:r>
              <w:t>1、房屋（平方米）</w:t>
            </w:r>
          </w:p>
        </w:tc>
        <w:tc>
          <w:tcPr>
            <w:tcW w:w="2835" w:type="dxa"/>
            <w:vAlign w:val="center"/>
          </w:tcPr>
          <w:p w14:paraId="667A23B8">
            <w:pPr>
              <w:pStyle w:val="13"/>
            </w:pPr>
            <w:r>
              <w:t>10304.14</w:t>
            </w:r>
          </w:p>
        </w:tc>
        <w:tc>
          <w:tcPr>
            <w:tcW w:w="2835" w:type="dxa"/>
            <w:vAlign w:val="center"/>
          </w:tcPr>
          <w:p w14:paraId="508666F2">
            <w:pPr>
              <w:pStyle w:val="11"/>
            </w:pPr>
            <w:r>
              <w:t>1007.24</w:t>
            </w:r>
          </w:p>
        </w:tc>
      </w:tr>
      <w:tr w14:paraId="65B4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9B9E1B">
            <w:pPr>
              <w:pStyle w:val="12"/>
            </w:pPr>
            <w:r>
              <w:t>　　其中：办公用房（平方米）</w:t>
            </w:r>
          </w:p>
        </w:tc>
        <w:tc>
          <w:tcPr>
            <w:tcW w:w="2835" w:type="dxa"/>
            <w:vAlign w:val="center"/>
          </w:tcPr>
          <w:p w14:paraId="48EDA0D5">
            <w:pPr>
              <w:pStyle w:val="13"/>
            </w:pPr>
            <w:r>
              <w:t>886.10</w:t>
            </w:r>
          </w:p>
        </w:tc>
        <w:tc>
          <w:tcPr>
            <w:tcW w:w="2835" w:type="dxa"/>
            <w:vAlign w:val="center"/>
          </w:tcPr>
          <w:p w14:paraId="08B9F5CC">
            <w:pPr>
              <w:pStyle w:val="11"/>
            </w:pPr>
            <w:r>
              <w:t>86.62</w:t>
            </w:r>
          </w:p>
        </w:tc>
      </w:tr>
      <w:tr w14:paraId="0262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57DFE8">
            <w:pPr>
              <w:pStyle w:val="12"/>
            </w:pPr>
            <w:r>
              <w:t>2、车辆（台、辆）</w:t>
            </w:r>
          </w:p>
        </w:tc>
        <w:tc>
          <w:tcPr>
            <w:tcW w:w="2835" w:type="dxa"/>
            <w:vAlign w:val="center"/>
          </w:tcPr>
          <w:p w14:paraId="55F71EC6">
            <w:pPr>
              <w:pStyle w:val="13"/>
            </w:pPr>
          </w:p>
        </w:tc>
        <w:tc>
          <w:tcPr>
            <w:tcW w:w="2835" w:type="dxa"/>
            <w:vAlign w:val="center"/>
          </w:tcPr>
          <w:p w14:paraId="6FEDA3B3">
            <w:pPr>
              <w:pStyle w:val="11"/>
            </w:pPr>
          </w:p>
        </w:tc>
      </w:tr>
      <w:tr w14:paraId="0518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2B26DF">
            <w:pPr>
              <w:pStyle w:val="12"/>
            </w:pPr>
            <w:r>
              <w:t>3、单价在20万元以上的设备</w:t>
            </w:r>
          </w:p>
        </w:tc>
        <w:tc>
          <w:tcPr>
            <w:tcW w:w="2835" w:type="dxa"/>
            <w:vAlign w:val="center"/>
          </w:tcPr>
          <w:p w14:paraId="1CAD2889">
            <w:pPr>
              <w:pStyle w:val="13"/>
            </w:pPr>
          </w:p>
        </w:tc>
        <w:tc>
          <w:tcPr>
            <w:tcW w:w="2835" w:type="dxa"/>
            <w:vAlign w:val="center"/>
          </w:tcPr>
          <w:p w14:paraId="055127E9">
            <w:pPr>
              <w:pStyle w:val="11"/>
            </w:pPr>
          </w:p>
        </w:tc>
      </w:tr>
      <w:tr w14:paraId="5BFE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10A8FE">
            <w:pPr>
              <w:pStyle w:val="12"/>
            </w:pPr>
            <w:r>
              <w:t>4、其他固定资产</w:t>
            </w:r>
          </w:p>
        </w:tc>
        <w:tc>
          <w:tcPr>
            <w:tcW w:w="2835" w:type="dxa"/>
            <w:vAlign w:val="center"/>
          </w:tcPr>
          <w:p w14:paraId="2509F46E">
            <w:pPr>
              <w:pStyle w:val="13"/>
            </w:pPr>
            <w:r>
              <w:t>93842</w:t>
            </w:r>
          </w:p>
        </w:tc>
        <w:tc>
          <w:tcPr>
            <w:tcW w:w="2835" w:type="dxa"/>
            <w:vAlign w:val="center"/>
          </w:tcPr>
          <w:p w14:paraId="2B83CF56">
            <w:pPr>
              <w:pStyle w:val="11"/>
            </w:pPr>
            <w:r>
              <w:t>1327.87</w:t>
            </w:r>
          </w:p>
        </w:tc>
      </w:tr>
    </w:tbl>
    <w:p w14:paraId="7BFF10A3">
      <w:pPr>
        <w:spacing w:before="0" w:after="0"/>
        <w:ind w:firstLine="640"/>
        <w:jc w:val="left"/>
        <w:outlineLvl w:val="9"/>
      </w:pPr>
      <w:r>
        <w:rPr>
          <w:rFonts w:ascii="Times New Roman" w:hAnsi="Times New Roman" w:eastAsia="方正仿宋_GBK" w:cs="Times New Roman"/>
          <w:color w:val="000000"/>
          <w:sz w:val="32"/>
        </w:rPr>
        <w:t xml:space="preserve"> </w:t>
      </w:r>
    </w:p>
    <w:p w14:paraId="04AE3DA6">
      <w:pPr>
        <w:spacing w:before="10" w:after="10" w:line="240" w:lineRule="auto"/>
        <w:ind w:firstLine="640"/>
        <w:jc w:val="left"/>
        <w:outlineLvl w:val="5"/>
      </w:pPr>
      <w:r>
        <w:rPr>
          <w:rFonts w:ascii="黑体" w:hAnsi="黑体" w:eastAsia="黑体" w:cs="黑体"/>
          <w:color w:val="000000"/>
          <w:sz w:val="32"/>
        </w:rPr>
        <w:t>八、名词解释</w:t>
      </w:r>
    </w:p>
    <w:p w14:paraId="63E0B86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28CF0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DB9D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B474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C688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B408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B052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7742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D6E69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FDD53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753D83">
      <w:pPr>
        <w:spacing w:before="10" w:after="10" w:line="240" w:lineRule="auto"/>
        <w:ind w:firstLine="640"/>
        <w:jc w:val="left"/>
        <w:outlineLvl w:val="5"/>
      </w:pPr>
      <w:r>
        <w:rPr>
          <w:rFonts w:ascii="黑体" w:hAnsi="黑体" w:eastAsia="黑体" w:cs="黑体"/>
          <w:color w:val="000000"/>
          <w:sz w:val="32"/>
        </w:rPr>
        <w:t>九、其他需要说明的事项</w:t>
      </w:r>
    </w:p>
    <w:p w14:paraId="5DF5C63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17DDB2B">
      <w:pPr>
        <w:spacing w:before="0" w:after="0"/>
        <w:ind w:firstLine="0"/>
        <w:jc w:val="center"/>
        <w:outlineLvl w:val="3"/>
      </w:pPr>
      <w:bookmarkStart w:id="26" w:name="_Toc_4_4_0000000027"/>
      <w:r>
        <w:rPr>
          <w:rFonts w:ascii="方正小标宋_GBK" w:hAnsi="方正小标宋_GBK" w:eastAsia="方正小标宋_GBK" w:cs="方正小标宋_GBK"/>
          <w:b w:val="0"/>
          <w:color w:val="000000"/>
          <w:sz w:val="44"/>
        </w:rPr>
        <w:t>二十七、隆尧县教师发展中心收支预算</w:t>
      </w:r>
      <w:bookmarkEnd w:id="26"/>
    </w:p>
    <w:p w14:paraId="46A8D9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FB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0C875D">
            <w:pPr>
              <w:pStyle w:val="9"/>
            </w:pPr>
            <w:r>
              <w:t>360028隆尧县教师发展中心</w:t>
            </w:r>
          </w:p>
        </w:tc>
        <w:tc>
          <w:tcPr>
            <w:tcW w:w="2126" w:type="dxa"/>
            <w:tcBorders>
              <w:top w:val="single" w:color="FFFFFF" w:sz="6" w:space="0"/>
              <w:left w:val="single" w:color="FFFFFF" w:sz="6" w:space="0"/>
              <w:right w:val="single" w:color="FFFFFF" w:sz="6" w:space="0"/>
            </w:tcBorders>
            <w:vAlign w:val="center"/>
          </w:tcPr>
          <w:p w14:paraId="5672EFA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60073D6">
            <w:pPr>
              <w:pStyle w:val="7"/>
            </w:pPr>
            <w:r>
              <w:t>单位：万元</w:t>
            </w:r>
          </w:p>
        </w:tc>
      </w:tr>
      <w:tr w14:paraId="065C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D07C9">
            <w:pPr>
              <w:pStyle w:val="10"/>
            </w:pPr>
            <w:r>
              <w:t>序号</w:t>
            </w:r>
          </w:p>
        </w:tc>
        <w:tc>
          <w:tcPr>
            <w:tcW w:w="6661" w:type="dxa"/>
            <w:gridSpan w:val="2"/>
            <w:vAlign w:val="center"/>
          </w:tcPr>
          <w:p w14:paraId="0BFED32C">
            <w:pPr>
              <w:pStyle w:val="10"/>
            </w:pPr>
            <w:r>
              <w:t>收入</w:t>
            </w:r>
          </w:p>
        </w:tc>
        <w:tc>
          <w:tcPr>
            <w:tcW w:w="6661" w:type="dxa"/>
            <w:gridSpan w:val="2"/>
            <w:vAlign w:val="center"/>
          </w:tcPr>
          <w:p w14:paraId="69742F78">
            <w:pPr>
              <w:pStyle w:val="10"/>
            </w:pPr>
            <w:r>
              <w:t>支出</w:t>
            </w:r>
          </w:p>
        </w:tc>
      </w:tr>
      <w:tr w14:paraId="453D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BDF382"/>
        </w:tc>
        <w:tc>
          <w:tcPr>
            <w:tcW w:w="4535" w:type="dxa"/>
            <w:vAlign w:val="center"/>
          </w:tcPr>
          <w:p w14:paraId="704CAD97">
            <w:pPr>
              <w:pStyle w:val="10"/>
            </w:pPr>
            <w:r>
              <w:t>项  目</w:t>
            </w:r>
          </w:p>
        </w:tc>
        <w:tc>
          <w:tcPr>
            <w:tcW w:w="2126" w:type="dxa"/>
            <w:vAlign w:val="center"/>
          </w:tcPr>
          <w:p w14:paraId="6C058432">
            <w:pPr>
              <w:pStyle w:val="10"/>
            </w:pPr>
            <w:r>
              <w:t>预算数</w:t>
            </w:r>
          </w:p>
        </w:tc>
        <w:tc>
          <w:tcPr>
            <w:tcW w:w="4535" w:type="dxa"/>
            <w:vAlign w:val="center"/>
          </w:tcPr>
          <w:p w14:paraId="4F7F41B9">
            <w:pPr>
              <w:pStyle w:val="10"/>
            </w:pPr>
            <w:r>
              <w:t>项  目</w:t>
            </w:r>
          </w:p>
        </w:tc>
        <w:tc>
          <w:tcPr>
            <w:tcW w:w="2126" w:type="dxa"/>
            <w:vAlign w:val="center"/>
          </w:tcPr>
          <w:p w14:paraId="49BF8F0F">
            <w:pPr>
              <w:pStyle w:val="10"/>
            </w:pPr>
            <w:r>
              <w:t>预算数</w:t>
            </w:r>
          </w:p>
        </w:tc>
      </w:tr>
      <w:tr w14:paraId="015BC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C8B65">
            <w:pPr>
              <w:pStyle w:val="10"/>
            </w:pPr>
            <w:r>
              <w:t>栏次</w:t>
            </w:r>
          </w:p>
        </w:tc>
        <w:tc>
          <w:tcPr>
            <w:tcW w:w="4535" w:type="dxa"/>
            <w:vAlign w:val="center"/>
          </w:tcPr>
          <w:p w14:paraId="0B331670">
            <w:pPr>
              <w:pStyle w:val="10"/>
            </w:pPr>
            <w:r>
              <w:t>1</w:t>
            </w:r>
          </w:p>
        </w:tc>
        <w:tc>
          <w:tcPr>
            <w:tcW w:w="2126" w:type="dxa"/>
            <w:vAlign w:val="center"/>
          </w:tcPr>
          <w:p w14:paraId="6B7D4A86">
            <w:pPr>
              <w:pStyle w:val="10"/>
            </w:pPr>
            <w:r>
              <w:t>2</w:t>
            </w:r>
          </w:p>
        </w:tc>
        <w:tc>
          <w:tcPr>
            <w:tcW w:w="4535" w:type="dxa"/>
            <w:vAlign w:val="center"/>
          </w:tcPr>
          <w:p w14:paraId="2ABA156A">
            <w:pPr>
              <w:pStyle w:val="10"/>
            </w:pPr>
            <w:r>
              <w:t>3</w:t>
            </w:r>
          </w:p>
        </w:tc>
        <w:tc>
          <w:tcPr>
            <w:tcW w:w="2126" w:type="dxa"/>
            <w:vAlign w:val="center"/>
          </w:tcPr>
          <w:p w14:paraId="25772786">
            <w:pPr>
              <w:pStyle w:val="10"/>
            </w:pPr>
            <w:r>
              <w:t>4</w:t>
            </w:r>
          </w:p>
        </w:tc>
      </w:tr>
      <w:tr w14:paraId="382A3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A7C2">
            <w:pPr>
              <w:pStyle w:val="13"/>
            </w:pPr>
            <w:r>
              <w:t>1</w:t>
            </w:r>
          </w:p>
        </w:tc>
        <w:tc>
          <w:tcPr>
            <w:tcW w:w="4535" w:type="dxa"/>
            <w:vAlign w:val="center"/>
          </w:tcPr>
          <w:p w14:paraId="7A804E9C">
            <w:pPr>
              <w:pStyle w:val="12"/>
            </w:pPr>
            <w:r>
              <w:t>一、一般公共预算拨款收入</w:t>
            </w:r>
          </w:p>
        </w:tc>
        <w:tc>
          <w:tcPr>
            <w:tcW w:w="2126" w:type="dxa"/>
            <w:vAlign w:val="center"/>
          </w:tcPr>
          <w:p w14:paraId="4C54C39F">
            <w:pPr>
              <w:pStyle w:val="11"/>
            </w:pPr>
            <w:r>
              <w:t>775.59</w:t>
            </w:r>
          </w:p>
        </w:tc>
        <w:tc>
          <w:tcPr>
            <w:tcW w:w="4535" w:type="dxa"/>
            <w:vAlign w:val="center"/>
          </w:tcPr>
          <w:p w14:paraId="64276EE8">
            <w:pPr>
              <w:pStyle w:val="12"/>
            </w:pPr>
            <w:r>
              <w:t>一、一般公共服务支出</w:t>
            </w:r>
          </w:p>
        </w:tc>
        <w:tc>
          <w:tcPr>
            <w:tcW w:w="2126" w:type="dxa"/>
            <w:vAlign w:val="center"/>
          </w:tcPr>
          <w:p w14:paraId="5CECF9CD">
            <w:pPr>
              <w:pStyle w:val="11"/>
            </w:pPr>
          </w:p>
        </w:tc>
      </w:tr>
      <w:tr w14:paraId="59E57767">
        <w:tblPrEx>
          <w:tblCellMar>
            <w:top w:w="0" w:type="dxa"/>
            <w:left w:w="108" w:type="dxa"/>
            <w:bottom w:w="0" w:type="dxa"/>
            <w:right w:w="108" w:type="dxa"/>
          </w:tblCellMar>
        </w:tblPrEx>
        <w:trPr>
          <w:trHeight w:val="369" w:hRule="atLeast"/>
          <w:jc w:val="center"/>
        </w:trPr>
        <w:tc>
          <w:tcPr>
            <w:tcW w:w="850" w:type="dxa"/>
            <w:vAlign w:val="center"/>
          </w:tcPr>
          <w:p w14:paraId="719DE963">
            <w:pPr>
              <w:pStyle w:val="13"/>
            </w:pPr>
            <w:r>
              <w:t>2</w:t>
            </w:r>
          </w:p>
        </w:tc>
        <w:tc>
          <w:tcPr>
            <w:tcW w:w="4535" w:type="dxa"/>
            <w:vAlign w:val="center"/>
          </w:tcPr>
          <w:p w14:paraId="7656817C">
            <w:pPr>
              <w:pStyle w:val="12"/>
            </w:pPr>
            <w:r>
              <w:t>二、政府性基金预算拨款收入</w:t>
            </w:r>
          </w:p>
        </w:tc>
        <w:tc>
          <w:tcPr>
            <w:tcW w:w="2126" w:type="dxa"/>
            <w:vAlign w:val="center"/>
          </w:tcPr>
          <w:p w14:paraId="3CDBE8E8">
            <w:pPr>
              <w:pStyle w:val="11"/>
            </w:pPr>
          </w:p>
        </w:tc>
        <w:tc>
          <w:tcPr>
            <w:tcW w:w="4535" w:type="dxa"/>
            <w:vAlign w:val="center"/>
          </w:tcPr>
          <w:p w14:paraId="23C07677">
            <w:pPr>
              <w:pStyle w:val="12"/>
            </w:pPr>
            <w:r>
              <w:t>二、外交支出</w:t>
            </w:r>
          </w:p>
        </w:tc>
        <w:tc>
          <w:tcPr>
            <w:tcW w:w="2126" w:type="dxa"/>
            <w:vAlign w:val="center"/>
          </w:tcPr>
          <w:p w14:paraId="38273DB3">
            <w:pPr>
              <w:pStyle w:val="11"/>
            </w:pPr>
          </w:p>
        </w:tc>
      </w:tr>
      <w:tr w14:paraId="0FDBAE92">
        <w:tblPrEx>
          <w:tblCellMar>
            <w:top w:w="0" w:type="dxa"/>
            <w:left w:w="108" w:type="dxa"/>
            <w:bottom w:w="0" w:type="dxa"/>
            <w:right w:w="108" w:type="dxa"/>
          </w:tblCellMar>
        </w:tblPrEx>
        <w:trPr>
          <w:trHeight w:val="369" w:hRule="atLeast"/>
          <w:jc w:val="center"/>
        </w:trPr>
        <w:tc>
          <w:tcPr>
            <w:tcW w:w="850" w:type="dxa"/>
            <w:vAlign w:val="center"/>
          </w:tcPr>
          <w:p w14:paraId="3B96C3B1">
            <w:pPr>
              <w:pStyle w:val="13"/>
            </w:pPr>
            <w:r>
              <w:t>3</w:t>
            </w:r>
          </w:p>
        </w:tc>
        <w:tc>
          <w:tcPr>
            <w:tcW w:w="4535" w:type="dxa"/>
            <w:vAlign w:val="center"/>
          </w:tcPr>
          <w:p w14:paraId="7F468E61">
            <w:pPr>
              <w:pStyle w:val="12"/>
            </w:pPr>
            <w:r>
              <w:t>三、国有资本经营预算拨款收入</w:t>
            </w:r>
          </w:p>
        </w:tc>
        <w:tc>
          <w:tcPr>
            <w:tcW w:w="2126" w:type="dxa"/>
            <w:vAlign w:val="center"/>
          </w:tcPr>
          <w:p w14:paraId="398298FF">
            <w:pPr>
              <w:pStyle w:val="11"/>
            </w:pPr>
          </w:p>
        </w:tc>
        <w:tc>
          <w:tcPr>
            <w:tcW w:w="4535" w:type="dxa"/>
            <w:vAlign w:val="center"/>
          </w:tcPr>
          <w:p w14:paraId="73D4E3C5">
            <w:pPr>
              <w:pStyle w:val="12"/>
            </w:pPr>
            <w:r>
              <w:t>三、国防支出</w:t>
            </w:r>
          </w:p>
        </w:tc>
        <w:tc>
          <w:tcPr>
            <w:tcW w:w="2126" w:type="dxa"/>
            <w:vAlign w:val="center"/>
          </w:tcPr>
          <w:p w14:paraId="63B1A151">
            <w:pPr>
              <w:pStyle w:val="11"/>
            </w:pPr>
          </w:p>
        </w:tc>
      </w:tr>
      <w:tr w14:paraId="78733B0F">
        <w:tblPrEx>
          <w:tblCellMar>
            <w:top w:w="0" w:type="dxa"/>
            <w:left w:w="108" w:type="dxa"/>
            <w:bottom w:w="0" w:type="dxa"/>
            <w:right w:w="108" w:type="dxa"/>
          </w:tblCellMar>
        </w:tblPrEx>
        <w:trPr>
          <w:trHeight w:val="369" w:hRule="atLeast"/>
          <w:jc w:val="center"/>
        </w:trPr>
        <w:tc>
          <w:tcPr>
            <w:tcW w:w="850" w:type="dxa"/>
            <w:vAlign w:val="center"/>
          </w:tcPr>
          <w:p w14:paraId="5CE05F11">
            <w:pPr>
              <w:pStyle w:val="13"/>
            </w:pPr>
            <w:r>
              <w:t>4</w:t>
            </w:r>
          </w:p>
        </w:tc>
        <w:tc>
          <w:tcPr>
            <w:tcW w:w="4535" w:type="dxa"/>
            <w:vAlign w:val="center"/>
          </w:tcPr>
          <w:p w14:paraId="51066930">
            <w:pPr>
              <w:pStyle w:val="12"/>
            </w:pPr>
            <w:r>
              <w:t>四、财政专户管理资金收入</w:t>
            </w:r>
          </w:p>
        </w:tc>
        <w:tc>
          <w:tcPr>
            <w:tcW w:w="2126" w:type="dxa"/>
            <w:vAlign w:val="center"/>
          </w:tcPr>
          <w:p w14:paraId="61749734">
            <w:pPr>
              <w:pStyle w:val="11"/>
            </w:pPr>
          </w:p>
        </w:tc>
        <w:tc>
          <w:tcPr>
            <w:tcW w:w="4535" w:type="dxa"/>
            <w:vAlign w:val="center"/>
          </w:tcPr>
          <w:p w14:paraId="049773C2">
            <w:pPr>
              <w:pStyle w:val="12"/>
            </w:pPr>
            <w:r>
              <w:t>四、公共安全支出</w:t>
            </w:r>
          </w:p>
        </w:tc>
        <w:tc>
          <w:tcPr>
            <w:tcW w:w="2126" w:type="dxa"/>
            <w:vAlign w:val="center"/>
          </w:tcPr>
          <w:p w14:paraId="3BD88F06">
            <w:pPr>
              <w:pStyle w:val="11"/>
            </w:pPr>
          </w:p>
        </w:tc>
      </w:tr>
      <w:tr w14:paraId="66F1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CE5BE">
            <w:pPr>
              <w:pStyle w:val="13"/>
            </w:pPr>
            <w:r>
              <w:t>5</w:t>
            </w:r>
          </w:p>
        </w:tc>
        <w:tc>
          <w:tcPr>
            <w:tcW w:w="4535" w:type="dxa"/>
            <w:vAlign w:val="center"/>
          </w:tcPr>
          <w:p w14:paraId="1B81D35D">
            <w:pPr>
              <w:pStyle w:val="12"/>
            </w:pPr>
            <w:r>
              <w:t>五、单位资金</w:t>
            </w:r>
          </w:p>
        </w:tc>
        <w:tc>
          <w:tcPr>
            <w:tcW w:w="2126" w:type="dxa"/>
            <w:vAlign w:val="center"/>
          </w:tcPr>
          <w:p w14:paraId="05CB3F6D">
            <w:pPr>
              <w:pStyle w:val="11"/>
            </w:pPr>
          </w:p>
        </w:tc>
        <w:tc>
          <w:tcPr>
            <w:tcW w:w="4535" w:type="dxa"/>
            <w:vAlign w:val="center"/>
          </w:tcPr>
          <w:p w14:paraId="3DA4C930">
            <w:pPr>
              <w:pStyle w:val="12"/>
            </w:pPr>
            <w:r>
              <w:t>五、教育支出</w:t>
            </w:r>
          </w:p>
        </w:tc>
        <w:tc>
          <w:tcPr>
            <w:tcW w:w="2126" w:type="dxa"/>
            <w:vAlign w:val="center"/>
          </w:tcPr>
          <w:p w14:paraId="25736242">
            <w:pPr>
              <w:pStyle w:val="11"/>
            </w:pPr>
            <w:r>
              <w:t>844.50</w:t>
            </w:r>
          </w:p>
        </w:tc>
      </w:tr>
      <w:tr w14:paraId="5F394B2B">
        <w:tblPrEx>
          <w:tblCellMar>
            <w:top w:w="0" w:type="dxa"/>
            <w:left w:w="108" w:type="dxa"/>
            <w:bottom w:w="0" w:type="dxa"/>
            <w:right w:w="108" w:type="dxa"/>
          </w:tblCellMar>
        </w:tblPrEx>
        <w:trPr>
          <w:trHeight w:val="369" w:hRule="atLeast"/>
          <w:jc w:val="center"/>
        </w:trPr>
        <w:tc>
          <w:tcPr>
            <w:tcW w:w="850" w:type="dxa"/>
            <w:vAlign w:val="center"/>
          </w:tcPr>
          <w:p w14:paraId="030730AA">
            <w:pPr>
              <w:pStyle w:val="13"/>
            </w:pPr>
            <w:r>
              <w:t>6</w:t>
            </w:r>
          </w:p>
        </w:tc>
        <w:tc>
          <w:tcPr>
            <w:tcW w:w="4535" w:type="dxa"/>
            <w:vAlign w:val="center"/>
          </w:tcPr>
          <w:p w14:paraId="0E03E09C">
            <w:pPr>
              <w:pStyle w:val="12"/>
            </w:pPr>
          </w:p>
        </w:tc>
        <w:tc>
          <w:tcPr>
            <w:tcW w:w="2126" w:type="dxa"/>
            <w:vAlign w:val="center"/>
          </w:tcPr>
          <w:p w14:paraId="69F5061C">
            <w:pPr>
              <w:pStyle w:val="11"/>
            </w:pPr>
          </w:p>
        </w:tc>
        <w:tc>
          <w:tcPr>
            <w:tcW w:w="4535" w:type="dxa"/>
            <w:vAlign w:val="center"/>
          </w:tcPr>
          <w:p w14:paraId="7699E767">
            <w:pPr>
              <w:pStyle w:val="12"/>
            </w:pPr>
            <w:r>
              <w:t>六、科学技术支出</w:t>
            </w:r>
          </w:p>
        </w:tc>
        <w:tc>
          <w:tcPr>
            <w:tcW w:w="2126" w:type="dxa"/>
            <w:vAlign w:val="center"/>
          </w:tcPr>
          <w:p w14:paraId="1E2C9B9E">
            <w:pPr>
              <w:pStyle w:val="11"/>
            </w:pPr>
          </w:p>
        </w:tc>
      </w:tr>
      <w:tr w14:paraId="6141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060F7">
            <w:pPr>
              <w:pStyle w:val="13"/>
            </w:pPr>
            <w:r>
              <w:t>7</w:t>
            </w:r>
          </w:p>
        </w:tc>
        <w:tc>
          <w:tcPr>
            <w:tcW w:w="4535" w:type="dxa"/>
            <w:vAlign w:val="center"/>
          </w:tcPr>
          <w:p w14:paraId="0E65CEEF">
            <w:pPr>
              <w:pStyle w:val="12"/>
            </w:pPr>
          </w:p>
        </w:tc>
        <w:tc>
          <w:tcPr>
            <w:tcW w:w="2126" w:type="dxa"/>
            <w:vAlign w:val="center"/>
          </w:tcPr>
          <w:p w14:paraId="21857F77">
            <w:pPr>
              <w:pStyle w:val="11"/>
            </w:pPr>
          </w:p>
        </w:tc>
        <w:tc>
          <w:tcPr>
            <w:tcW w:w="4535" w:type="dxa"/>
            <w:vAlign w:val="center"/>
          </w:tcPr>
          <w:p w14:paraId="2A6E35A9">
            <w:pPr>
              <w:pStyle w:val="12"/>
            </w:pPr>
            <w:r>
              <w:t>七、文化旅游体育与传媒支出</w:t>
            </w:r>
          </w:p>
        </w:tc>
        <w:tc>
          <w:tcPr>
            <w:tcW w:w="2126" w:type="dxa"/>
            <w:vAlign w:val="center"/>
          </w:tcPr>
          <w:p w14:paraId="25713253">
            <w:pPr>
              <w:pStyle w:val="11"/>
            </w:pPr>
          </w:p>
        </w:tc>
      </w:tr>
      <w:tr w14:paraId="16E5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3CC82">
            <w:pPr>
              <w:pStyle w:val="13"/>
            </w:pPr>
            <w:r>
              <w:t>8</w:t>
            </w:r>
          </w:p>
        </w:tc>
        <w:tc>
          <w:tcPr>
            <w:tcW w:w="4535" w:type="dxa"/>
            <w:vAlign w:val="center"/>
          </w:tcPr>
          <w:p w14:paraId="1677C70D">
            <w:pPr>
              <w:pStyle w:val="12"/>
            </w:pPr>
          </w:p>
        </w:tc>
        <w:tc>
          <w:tcPr>
            <w:tcW w:w="2126" w:type="dxa"/>
            <w:vAlign w:val="center"/>
          </w:tcPr>
          <w:p w14:paraId="5711798E">
            <w:pPr>
              <w:pStyle w:val="11"/>
            </w:pPr>
          </w:p>
        </w:tc>
        <w:tc>
          <w:tcPr>
            <w:tcW w:w="4535" w:type="dxa"/>
            <w:vAlign w:val="center"/>
          </w:tcPr>
          <w:p w14:paraId="3485CF2E">
            <w:pPr>
              <w:pStyle w:val="12"/>
            </w:pPr>
            <w:r>
              <w:t>八、社会保障和就业支出</w:t>
            </w:r>
          </w:p>
        </w:tc>
        <w:tc>
          <w:tcPr>
            <w:tcW w:w="2126" w:type="dxa"/>
            <w:vAlign w:val="center"/>
          </w:tcPr>
          <w:p w14:paraId="33A98CF0">
            <w:pPr>
              <w:pStyle w:val="11"/>
            </w:pPr>
            <w:r>
              <w:t>74.92</w:t>
            </w:r>
          </w:p>
        </w:tc>
      </w:tr>
      <w:tr w14:paraId="0892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7862">
            <w:pPr>
              <w:pStyle w:val="13"/>
            </w:pPr>
            <w:r>
              <w:t>9</w:t>
            </w:r>
          </w:p>
        </w:tc>
        <w:tc>
          <w:tcPr>
            <w:tcW w:w="4535" w:type="dxa"/>
            <w:vAlign w:val="center"/>
          </w:tcPr>
          <w:p w14:paraId="3A7A6B0C">
            <w:pPr>
              <w:pStyle w:val="12"/>
            </w:pPr>
          </w:p>
        </w:tc>
        <w:tc>
          <w:tcPr>
            <w:tcW w:w="2126" w:type="dxa"/>
            <w:vAlign w:val="center"/>
          </w:tcPr>
          <w:p w14:paraId="33AD43C2">
            <w:pPr>
              <w:pStyle w:val="11"/>
            </w:pPr>
          </w:p>
        </w:tc>
        <w:tc>
          <w:tcPr>
            <w:tcW w:w="4535" w:type="dxa"/>
            <w:vAlign w:val="center"/>
          </w:tcPr>
          <w:p w14:paraId="1D19392C">
            <w:pPr>
              <w:pStyle w:val="12"/>
            </w:pPr>
            <w:r>
              <w:t>九、社会保险基金支出</w:t>
            </w:r>
          </w:p>
        </w:tc>
        <w:tc>
          <w:tcPr>
            <w:tcW w:w="2126" w:type="dxa"/>
            <w:vAlign w:val="center"/>
          </w:tcPr>
          <w:p w14:paraId="795EFAC3">
            <w:pPr>
              <w:pStyle w:val="11"/>
            </w:pPr>
          </w:p>
        </w:tc>
      </w:tr>
      <w:tr w14:paraId="3E43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B85D6">
            <w:pPr>
              <w:pStyle w:val="13"/>
            </w:pPr>
            <w:r>
              <w:t>10</w:t>
            </w:r>
          </w:p>
        </w:tc>
        <w:tc>
          <w:tcPr>
            <w:tcW w:w="4535" w:type="dxa"/>
            <w:vAlign w:val="center"/>
          </w:tcPr>
          <w:p w14:paraId="5C9B41EB">
            <w:pPr>
              <w:pStyle w:val="12"/>
            </w:pPr>
          </w:p>
        </w:tc>
        <w:tc>
          <w:tcPr>
            <w:tcW w:w="2126" w:type="dxa"/>
            <w:vAlign w:val="center"/>
          </w:tcPr>
          <w:p w14:paraId="0E792D07">
            <w:pPr>
              <w:pStyle w:val="11"/>
            </w:pPr>
          </w:p>
        </w:tc>
        <w:tc>
          <w:tcPr>
            <w:tcW w:w="4535" w:type="dxa"/>
            <w:vAlign w:val="center"/>
          </w:tcPr>
          <w:p w14:paraId="76BEF800">
            <w:pPr>
              <w:pStyle w:val="12"/>
            </w:pPr>
            <w:r>
              <w:t>十、卫生健康支出</w:t>
            </w:r>
          </w:p>
        </w:tc>
        <w:tc>
          <w:tcPr>
            <w:tcW w:w="2126" w:type="dxa"/>
            <w:vAlign w:val="center"/>
          </w:tcPr>
          <w:p w14:paraId="229B8728">
            <w:pPr>
              <w:pStyle w:val="11"/>
            </w:pPr>
            <w:r>
              <w:t>33.71</w:t>
            </w:r>
          </w:p>
        </w:tc>
      </w:tr>
      <w:tr w14:paraId="472A4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D3B42">
            <w:pPr>
              <w:pStyle w:val="13"/>
            </w:pPr>
            <w:r>
              <w:t>11</w:t>
            </w:r>
          </w:p>
        </w:tc>
        <w:tc>
          <w:tcPr>
            <w:tcW w:w="4535" w:type="dxa"/>
            <w:vAlign w:val="center"/>
          </w:tcPr>
          <w:p w14:paraId="73E579EF">
            <w:pPr>
              <w:pStyle w:val="12"/>
            </w:pPr>
          </w:p>
        </w:tc>
        <w:tc>
          <w:tcPr>
            <w:tcW w:w="2126" w:type="dxa"/>
            <w:vAlign w:val="center"/>
          </w:tcPr>
          <w:p w14:paraId="36E3F3D5">
            <w:pPr>
              <w:pStyle w:val="11"/>
            </w:pPr>
          </w:p>
        </w:tc>
        <w:tc>
          <w:tcPr>
            <w:tcW w:w="4535" w:type="dxa"/>
            <w:vAlign w:val="center"/>
          </w:tcPr>
          <w:p w14:paraId="6A798E67">
            <w:pPr>
              <w:pStyle w:val="12"/>
            </w:pPr>
            <w:r>
              <w:t>十一、节能环保支出</w:t>
            </w:r>
          </w:p>
        </w:tc>
        <w:tc>
          <w:tcPr>
            <w:tcW w:w="2126" w:type="dxa"/>
            <w:vAlign w:val="center"/>
          </w:tcPr>
          <w:p w14:paraId="2199B94C">
            <w:pPr>
              <w:pStyle w:val="11"/>
            </w:pPr>
          </w:p>
        </w:tc>
      </w:tr>
      <w:tr w14:paraId="4EE8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7548">
            <w:pPr>
              <w:pStyle w:val="13"/>
            </w:pPr>
            <w:r>
              <w:t>12</w:t>
            </w:r>
          </w:p>
        </w:tc>
        <w:tc>
          <w:tcPr>
            <w:tcW w:w="4535" w:type="dxa"/>
            <w:vAlign w:val="center"/>
          </w:tcPr>
          <w:p w14:paraId="6F61E240">
            <w:pPr>
              <w:pStyle w:val="12"/>
            </w:pPr>
          </w:p>
        </w:tc>
        <w:tc>
          <w:tcPr>
            <w:tcW w:w="2126" w:type="dxa"/>
            <w:vAlign w:val="center"/>
          </w:tcPr>
          <w:p w14:paraId="1B4D838C">
            <w:pPr>
              <w:pStyle w:val="11"/>
            </w:pPr>
          </w:p>
        </w:tc>
        <w:tc>
          <w:tcPr>
            <w:tcW w:w="4535" w:type="dxa"/>
            <w:vAlign w:val="center"/>
          </w:tcPr>
          <w:p w14:paraId="3523FD5C">
            <w:pPr>
              <w:pStyle w:val="12"/>
            </w:pPr>
            <w:r>
              <w:t>十二、城乡社区支出</w:t>
            </w:r>
          </w:p>
        </w:tc>
        <w:tc>
          <w:tcPr>
            <w:tcW w:w="2126" w:type="dxa"/>
            <w:vAlign w:val="center"/>
          </w:tcPr>
          <w:p w14:paraId="14D9E527">
            <w:pPr>
              <w:pStyle w:val="11"/>
            </w:pPr>
          </w:p>
        </w:tc>
      </w:tr>
      <w:tr w14:paraId="103B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D2AF6">
            <w:pPr>
              <w:pStyle w:val="13"/>
            </w:pPr>
            <w:r>
              <w:t>13</w:t>
            </w:r>
          </w:p>
        </w:tc>
        <w:tc>
          <w:tcPr>
            <w:tcW w:w="4535" w:type="dxa"/>
            <w:vAlign w:val="center"/>
          </w:tcPr>
          <w:p w14:paraId="118B9765">
            <w:pPr>
              <w:pStyle w:val="12"/>
            </w:pPr>
          </w:p>
        </w:tc>
        <w:tc>
          <w:tcPr>
            <w:tcW w:w="2126" w:type="dxa"/>
            <w:vAlign w:val="center"/>
          </w:tcPr>
          <w:p w14:paraId="09855891">
            <w:pPr>
              <w:pStyle w:val="11"/>
            </w:pPr>
          </w:p>
        </w:tc>
        <w:tc>
          <w:tcPr>
            <w:tcW w:w="4535" w:type="dxa"/>
            <w:vAlign w:val="center"/>
          </w:tcPr>
          <w:p w14:paraId="524116B2">
            <w:pPr>
              <w:pStyle w:val="12"/>
            </w:pPr>
            <w:r>
              <w:t>十三、农林水支出</w:t>
            </w:r>
          </w:p>
        </w:tc>
        <w:tc>
          <w:tcPr>
            <w:tcW w:w="2126" w:type="dxa"/>
            <w:vAlign w:val="center"/>
          </w:tcPr>
          <w:p w14:paraId="26422C63">
            <w:pPr>
              <w:pStyle w:val="11"/>
            </w:pPr>
          </w:p>
        </w:tc>
      </w:tr>
      <w:tr w14:paraId="7744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DCEF8">
            <w:pPr>
              <w:pStyle w:val="13"/>
            </w:pPr>
            <w:r>
              <w:t>14</w:t>
            </w:r>
          </w:p>
        </w:tc>
        <w:tc>
          <w:tcPr>
            <w:tcW w:w="4535" w:type="dxa"/>
            <w:vAlign w:val="center"/>
          </w:tcPr>
          <w:p w14:paraId="32A8842F">
            <w:pPr>
              <w:pStyle w:val="12"/>
            </w:pPr>
          </w:p>
        </w:tc>
        <w:tc>
          <w:tcPr>
            <w:tcW w:w="2126" w:type="dxa"/>
            <w:vAlign w:val="center"/>
          </w:tcPr>
          <w:p w14:paraId="517DB77D">
            <w:pPr>
              <w:pStyle w:val="11"/>
            </w:pPr>
          </w:p>
        </w:tc>
        <w:tc>
          <w:tcPr>
            <w:tcW w:w="4535" w:type="dxa"/>
            <w:vAlign w:val="center"/>
          </w:tcPr>
          <w:p w14:paraId="7239F27C">
            <w:pPr>
              <w:pStyle w:val="12"/>
            </w:pPr>
            <w:r>
              <w:t>十四、交通运输支出</w:t>
            </w:r>
          </w:p>
        </w:tc>
        <w:tc>
          <w:tcPr>
            <w:tcW w:w="2126" w:type="dxa"/>
            <w:vAlign w:val="center"/>
          </w:tcPr>
          <w:p w14:paraId="1D195A29">
            <w:pPr>
              <w:pStyle w:val="11"/>
            </w:pPr>
          </w:p>
        </w:tc>
      </w:tr>
      <w:tr w14:paraId="49D0FF95">
        <w:tblPrEx>
          <w:tblCellMar>
            <w:top w:w="0" w:type="dxa"/>
            <w:left w:w="108" w:type="dxa"/>
            <w:bottom w:w="0" w:type="dxa"/>
            <w:right w:w="108" w:type="dxa"/>
          </w:tblCellMar>
        </w:tblPrEx>
        <w:trPr>
          <w:trHeight w:val="369" w:hRule="atLeast"/>
          <w:jc w:val="center"/>
        </w:trPr>
        <w:tc>
          <w:tcPr>
            <w:tcW w:w="850" w:type="dxa"/>
            <w:vAlign w:val="center"/>
          </w:tcPr>
          <w:p w14:paraId="17747E79">
            <w:pPr>
              <w:pStyle w:val="13"/>
            </w:pPr>
            <w:r>
              <w:t>15</w:t>
            </w:r>
          </w:p>
        </w:tc>
        <w:tc>
          <w:tcPr>
            <w:tcW w:w="4535" w:type="dxa"/>
            <w:vAlign w:val="center"/>
          </w:tcPr>
          <w:p w14:paraId="63CF654A">
            <w:pPr>
              <w:pStyle w:val="12"/>
            </w:pPr>
          </w:p>
        </w:tc>
        <w:tc>
          <w:tcPr>
            <w:tcW w:w="2126" w:type="dxa"/>
            <w:vAlign w:val="center"/>
          </w:tcPr>
          <w:p w14:paraId="0C0859AC">
            <w:pPr>
              <w:pStyle w:val="11"/>
            </w:pPr>
          </w:p>
        </w:tc>
        <w:tc>
          <w:tcPr>
            <w:tcW w:w="4535" w:type="dxa"/>
            <w:vAlign w:val="center"/>
          </w:tcPr>
          <w:p w14:paraId="505205D9">
            <w:pPr>
              <w:pStyle w:val="12"/>
            </w:pPr>
            <w:r>
              <w:t>十五、资源勘探工业信息等支出</w:t>
            </w:r>
          </w:p>
        </w:tc>
        <w:tc>
          <w:tcPr>
            <w:tcW w:w="2126" w:type="dxa"/>
            <w:vAlign w:val="center"/>
          </w:tcPr>
          <w:p w14:paraId="184FF849">
            <w:pPr>
              <w:pStyle w:val="11"/>
            </w:pPr>
          </w:p>
        </w:tc>
      </w:tr>
      <w:tr w14:paraId="6FCB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8AE8">
            <w:pPr>
              <w:pStyle w:val="13"/>
            </w:pPr>
            <w:r>
              <w:t>16</w:t>
            </w:r>
          </w:p>
        </w:tc>
        <w:tc>
          <w:tcPr>
            <w:tcW w:w="4535" w:type="dxa"/>
            <w:vAlign w:val="center"/>
          </w:tcPr>
          <w:p w14:paraId="2E78AD8D">
            <w:pPr>
              <w:pStyle w:val="12"/>
            </w:pPr>
          </w:p>
        </w:tc>
        <w:tc>
          <w:tcPr>
            <w:tcW w:w="2126" w:type="dxa"/>
            <w:vAlign w:val="center"/>
          </w:tcPr>
          <w:p w14:paraId="5FFAF3BD">
            <w:pPr>
              <w:pStyle w:val="11"/>
            </w:pPr>
          </w:p>
        </w:tc>
        <w:tc>
          <w:tcPr>
            <w:tcW w:w="4535" w:type="dxa"/>
            <w:vAlign w:val="center"/>
          </w:tcPr>
          <w:p w14:paraId="3B01576A">
            <w:pPr>
              <w:pStyle w:val="12"/>
            </w:pPr>
            <w:r>
              <w:t>十六、商业服务业等支出</w:t>
            </w:r>
          </w:p>
        </w:tc>
        <w:tc>
          <w:tcPr>
            <w:tcW w:w="2126" w:type="dxa"/>
            <w:vAlign w:val="center"/>
          </w:tcPr>
          <w:p w14:paraId="75657086">
            <w:pPr>
              <w:pStyle w:val="11"/>
            </w:pPr>
          </w:p>
        </w:tc>
      </w:tr>
      <w:tr w14:paraId="5291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7C795">
            <w:pPr>
              <w:pStyle w:val="13"/>
            </w:pPr>
            <w:r>
              <w:t>17</w:t>
            </w:r>
          </w:p>
        </w:tc>
        <w:tc>
          <w:tcPr>
            <w:tcW w:w="4535" w:type="dxa"/>
            <w:vAlign w:val="center"/>
          </w:tcPr>
          <w:p w14:paraId="669DAB9D">
            <w:pPr>
              <w:pStyle w:val="12"/>
            </w:pPr>
          </w:p>
        </w:tc>
        <w:tc>
          <w:tcPr>
            <w:tcW w:w="2126" w:type="dxa"/>
            <w:vAlign w:val="center"/>
          </w:tcPr>
          <w:p w14:paraId="2927B126">
            <w:pPr>
              <w:pStyle w:val="11"/>
            </w:pPr>
          </w:p>
        </w:tc>
        <w:tc>
          <w:tcPr>
            <w:tcW w:w="4535" w:type="dxa"/>
            <w:vAlign w:val="center"/>
          </w:tcPr>
          <w:p w14:paraId="6E0BA064">
            <w:pPr>
              <w:pStyle w:val="12"/>
            </w:pPr>
            <w:r>
              <w:t>十七、金融支出</w:t>
            </w:r>
          </w:p>
        </w:tc>
        <w:tc>
          <w:tcPr>
            <w:tcW w:w="2126" w:type="dxa"/>
            <w:vAlign w:val="center"/>
          </w:tcPr>
          <w:p w14:paraId="76796CA8">
            <w:pPr>
              <w:pStyle w:val="11"/>
            </w:pPr>
          </w:p>
        </w:tc>
      </w:tr>
      <w:tr w14:paraId="2063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3EEC">
            <w:pPr>
              <w:pStyle w:val="13"/>
            </w:pPr>
            <w:r>
              <w:t>18</w:t>
            </w:r>
          </w:p>
        </w:tc>
        <w:tc>
          <w:tcPr>
            <w:tcW w:w="4535" w:type="dxa"/>
            <w:vAlign w:val="center"/>
          </w:tcPr>
          <w:p w14:paraId="7C523022">
            <w:pPr>
              <w:pStyle w:val="12"/>
            </w:pPr>
          </w:p>
        </w:tc>
        <w:tc>
          <w:tcPr>
            <w:tcW w:w="2126" w:type="dxa"/>
            <w:vAlign w:val="center"/>
          </w:tcPr>
          <w:p w14:paraId="4D1E4941">
            <w:pPr>
              <w:pStyle w:val="11"/>
            </w:pPr>
          </w:p>
        </w:tc>
        <w:tc>
          <w:tcPr>
            <w:tcW w:w="4535" w:type="dxa"/>
            <w:vAlign w:val="center"/>
          </w:tcPr>
          <w:p w14:paraId="0BE20D38">
            <w:pPr>
              <w:pStyle w:val="12"/>
            </w:pPr>
            <w:r>
              <w:t>十八、援助其他地区支出</w:t>
            </w:r>
          </w:p>
        </w:tc>
        <w:tc>
          <w:tcPr>
            <w:tcW w:w="2126" w:type="dxa"/>
            <w:vAlign w:val="center"/>
          </w:tcPr>
          <w:p w14:paraId="5184B9AA">
            <w:pPr>
              <w:pStyle w:val="11"/>
            </w:pPr>
          </w:p>
        </w:tc>
      </w:tr>
      <w:tr w14:paraId="3963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D668">
            <w:pPr>
              <w:pStyle w:val="13"/>
            </w:pPr>
            <w:r>
              <w:t>19</w:t>
            </w:r>
          </w:p>
        </w:tc>
        <w:tc>
          <w:tcPr>
            <w:tcW w:w="4535" w:type="dxa"/>
            <w:vAlign w:val="center"/>
          </w:tcPr>
          <w:p w14:paraId="1F232E52">
            <w:pPr>
              <w:pStyle w:val="12"/>
            </w:pPr>
          </w:p>
        </w:tc>
        <w:tc>
          <w:tcPr>
            <w:tcW w:w="2126" w:type="dxa"/>
            <w:vAlign w:val="center"/>
          </w:tcPr>
          <w:p w14:paraId="7FD8C1EA">
            <w:pPr>
              <w:pStyle w:val="11"/>
            </w:pPr>
          </w:p>
        </w:tc>
        <w:tc>
          <w:tcPr>
            <w:tcW w:w="4535" w:type="dxa"/>
            <w:vAlign w:val="center"/>
          </w:tcPr>
          <w:p w14:paraId="0FE833C1">
            <w:pPr>
              <w:pStyle w:val="12"/>
            </w:pPr>
            <w:r>
              <w:t>十九、自然资源海洋气象等支出</w:t>
            </w:r>
          </w:p>
        </w:tc>
        <w:tc>
          <w:tcPr>
            <w:tcW w:w="2126" w:type="dxa"/>
            <w:vAlign w:val="center"/>
          </w:tcPr>
          <w:p w14:paraId="06B2E7E6">
            <w:pPr>
              <w:pStyle w:val="11"/>
            </w:pPr>
          </w:p>
        </w:tc>
      </w:tr>
      <w:tr w14:paraId="42E8C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6780F">
            <w:pPr>
              <w:pStyle w:val="13"/>
            </w:pPr>
            <w:r>
              <w:t>20</w:t>
            </w:r>
          </w:p>
        </w:tc>
        <w:tc>
          <w:tcPr>
            <w:tcW w:w="4535" w:type="dxa"/>
            <w:vAlign w:val="center"/>
          </w:tcPr>
          <w:p w14:paraId="6E06EE62">
            <w:pPr>
              <w:pStyle w:val="12"/>
            </w:pPr>
          </w:p>
        </w:tc>
        <w:tc>
          <w:tcPr>
            <w:tcW w:w="2126" w:type="dxa"/>
            <w:vAlign w:val="center"/>
          </w:tcPr>
          <w:p w14:paraId="36C1D369">
            <w:pPr>
              <w:pStyle w:val="11"/>
            </w:pPr>
          </w:p>
        </w:tc>
        <w:tc>
          <w:tcPr>
            <w:tcW w:w="4535" w:type="dxa"/>
            <w:vAlign w:val="center"/>
          </w:tcPr>
          <w:p w14:paraId="0AB6906E">
            <w:pPr>
              <w:pStyle w:val="12"/>
            </w:pPr>
            <w:r>
              <w:t>二十、住房保障支出</w:t>
            </w:r>
          </w:p>
        </w:tc>
        <w:tc>
          <w:tcPr>
            <w:tcW w:w="2126" w:type="dxa"/>
            <w:vAlign w:val="center"/>
          </w:tcPr>
          <w:p w14:paraId="7ED93F2C">
            <w:pPr>
              <w:pStyle w:val="11"/>
            </w:pPr>
          </w:p>
        </w:tc>
      </w:tr>
      <w:tr w14:paraId="4836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E310">
            <w:pPr>
              <w:pStyle w:val="13"/>
            </w:pPr>
            <w:r>
              <w:t>21</w:t>
            </w:r>
          </w:p>
        </w:tc>
        <w:tc>
          <w:tcPr>
            <w:tcW w:w="4535" w:type="dxa"/>
            <w:vAlign w:val="center"/>
          </w:tcPr>
          <w:p w14:paraId="440761EC">
            <w:pPr>
              <w:pStyle w:val="12"/>
            </w:pPr>
          </w:p>
        </w:tc>
        <w:tc>
          <w:tcPr>
            <w:tcW w:w="2126" w:type="dxa"/>
            <w:vAlign w:val="center"/>
          </w:tcPr>
          <w:p w14:paraId="748DC25D">
            <w:pPr>
              <w:pStyle w:val="11"/>
            </w:pPr>
          </w:p>
        </w:tc>
        <w:tc>
          <w:tcPr>
            <w:tcW w:w="4535" w:type="dxa"/>
            <w:vAlign w:val="center"/>
          </w:tcPr>
          <w:p w14:paraId="133E685D">
            <w:pPr>
              <w:pStyle w:val="12"/>
            </w:pPr>
            <w:r>
              <w:t>二十一、粮油物资储备支出</w:t>
            </w:r>
          </w:p>
        </w:tc>
        <w:tc>
          <w:tcPr>
            <w:tcW w:w="2126" w:type="dxa"/>
            <w:vAlign w:val="center"/>
          </w:tcPr>
          <w:p w14:paraId="73C5E9F9">
            <w:pPr>
              <w:pStyle w:val="11"/>
            </w:pPr>
          </w:p>
        </w:tc>
      </w:tr>
      <w:tr w14:paraId="01E8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C253">
            <w:pPr>
              <w:pStyle w:val="13"/>
            </w:pPr>
            <w:r>
              <w:t>22</w:t>
            </w:r>
          </w:p>
        </w:tc>
        <w:tc>
          <w:tcPr>
            <w:tcW w:w="4535" w:type="dxa"/>
            <w:vAlign w:val="center"/>
          </w:tcPr>
          <w:p w14:paraId="25D3997F">
            <w:pPr>
              <w:pStyle w:val="12"/>
            </w:pPr>
          </w:p>
        </w:tc>
        <w:tc>
          <w:tcPr>
            <w:tcW w:w="2126" w:type="dxa"/>
            <w:vAlign w:val="center"/>
          </w:tcPr>
          <w:p w14:paraId="1BC4DB75">
            <w:pPr>
              <w:pStyle w:val="11"/>
            </w:pPr>
          </w:p>
        </w:tc>
        <w:tc>
          <w:tcPr>
            <w:tcW w:w="4535" w:type="dxa"/>
            <w:vAlign w:val="center"/>
          </w:tcPr>
          <w:p w14:paraId="406E6DD8">
            <w:pPr>
              <w:pStyle w:val="12"/>
            </w:pPr>
            <w:r>
              <w:t>二十二、国有资本经营预算支出</w:t>
            </w:r>
          </w:p>
        </w:tc>
        <w:tc>
          <w:tcPr>
            <w:tcW w:w="2126" w:type="dxa"/>
            <w:vAlign w:val="center"/>
          </w:tcPr>
          <w:p w14:paraId="2CB29EA3">
            <w:pPr>
              <w:pStyle w:val="11"/>
            </w:pPr>
          </w:p>
        </w:tc>
      </w:tr>
      <w:tr w14:paraId="455B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38A3C">
            <w:pPr>
              <w:pStyle w:val="13"/>
            </w:pPr>
            <w:r>
              <w:t>23</w:t>
            </w:r>
          </w:p>
        </w:tc>
        <w:tc>
          <w:tcPr>
            <w:tcW w:w="4535" w:type="dxa"/>
            <w:vAlign w:val="center"/>
          </w:tcPr>
          <w:p w14:paraId="31AA98C5">
            <w:pPr>
              <w:pStyle w:val="12"/>
            </w:pPr>
          </w:p>
        </w:tc>
        <w:tc>
          <w:tcPr>
            <w:tcW w:w="2126" w:type="dxa"/>
            <w:vAlign w:val="center"/>
          </w:tcPr>
          <w:p w14:paraId="6F467B02">
            <w:pPr>
              <w:pStyle w:val="11"/>
            </w:pPr>
          </w:p>
        </w:tc>
        <w:tc>
          <w:tcPr>
            <w:tcW w:w="4535" w:type="dxa"/>
            <w:vAlign w:val="center"/>
          </w:tcPr>
          <w:p w14:paraId="44D3855A">
            <w:pPr>
              <w:pStyle w:val="12"/>
            </w:pPr>
            <w:r>
              <w:t>二十三、灾害防治及应急管理支出</w:t>
            </w:r>
          </w:p>
        </w:tc>
        <w:tc>
          <w:tcPr>
            <w:tcW w:w="2126" w:type="dxa"/>
            <w:vAlign w:val="center"/>
          </w:tcPr>
          <w:p w14:paraId="4497AEBD">
            <w:pPr>
              <w:pStyle w:val="11"/>
            </w:pPr>
          </w:p>
        </w:tc>
      </w:tr>
      <w:tr w14:paraId="21E7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CCAB5">
            <w:pPr>
              <w:pStyle w:val="13"/>
            </w:pPr>
            <w:r>
              <w:t>24</w:t>
            </w:r>
          </w:p>
        </w:tc>
        <w:tc>
          <w:tcPr>
            <w:tcW w:w="4535" w:type="dxa"/>
            <w:vAlign w:val="center"/>
          </w:tcPr>
          <w:p w14:paraId="6482C203">
            <w:pPr>
              <w:pStyle w:val="12"/>
            </w:pPr>
          </w:p>
        </w:tc>
        <w:tc>
          <w:tcPr>
            <w:tcW w:w="2126" w:type="dxa"/>
            <w:vAlign w:val="center"/>
          </w:tcPr>
          <w:p w14:paraId="179F0445">
            <w:pPr>
              <w:pStyle w:val="11"/>
            </w:pPr>
          </w:p>
        </w:tc>
        <w:tc>
          <w:tcPr>
            <w:tcW w:w="4535" w:type="dxa"/>
            <w:vAlign w:val="center"/>
          </w:tcPr>
          <w:p w14:paraId="6D955E66">
            <w:pPr>
              <w:pStyle w:val="12"/>
            </w:pPr>
            <w:r>
              <w:t>二十四、预备费</w:t>
            </w:r>
          </w:p>
        </w:tc>
        <w:tc>
          <w:tcPr>
            <w:tcW w:w="2126" w:type="dxa"/>
            <w:vAlign w:val="center"/>
          </w:tcPr>
          <w:p w14:paraId="398E6BA1">
            <w:pPr>
              <w:pStyle w:val="11"/>
            </w:pPr>
          </w:p>
        </w:tc>
      </w:tr>
      <w:tr w14:paraId="2385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0D7A">
            <w:pPr>
              <w:pStyle w:val="13"/>
            </w:pPr>
            <w:r>
              <w:t>25</w:t>
            </w:r>
          </w:p>
        </w:tc>
        <w:tc>
          <w:tcPr>
            <w:tcW w:w="4535" w:type="dxa"/>
            <w:vAlign w:val="center"/>
          </w:tcPr>
          <w:p w14:paraId="2B8F811E">
            <w:pPr>
              <w:pStyle w:val="12"/>
            </w:pPr>
          </w:p>
        </w:tc>
        <w:tc>
          <w:tcPr>
            <w:tcW w:w="2126" w:type="dxa"/>
            <w:vAlign w:val="center"/>
          </w:tcPr>
          <w:p w14:paraId="747AFBB4">
            <w:pPr>
              <w:pStyle w:val="11"/>
            </w:pPr>
          </w:p>
        </w:tc>
        <w:tc>
          <w:tcPr>
            <w:tcW w:w="4535" w:type="dxa"/>
            <w:vAlign w:val="center"/>
          </w:tcPr>
          <w:p w14:paraId="3C117DFF">
            <w:pPr>
              <w:pStyle w:val="12"/>
            </w:pPr>
            <w:r>
              <w:t>二十五、其他支出</w:t>
            </w:r>
          </w:p>
        </w:tc>
        <w:tc>
          <w:tcPr>
            <w:tcW w:w="2126" w:type="dxa"/>
            <w:vAlign w:val="center"/>
          </w:tcPr>
          <w:p w14:paraId="0734F205">
            <w:pPr>
              <w:pStyle w:val="11"/>
            </w:pPr>
          </w:p>
        </w:tc>
      </w:tr>
      <w:tr w14:paraId="7C9F0248">
        <w:tblPrEx>
          <w:tblCellMar>
            <w:top w:w="0" w:type="dxa"/>
            <w:left w:w="108" w:type="dxa"/>
            <w:bottom w:w="0" w:type="dxa"/>
            <w:right w:w="108" w:type="dxa"/>
          </w:tblCellMar>
        </w:tblPrEx>
        <w:trPr>
          <w:trHeight w:val="369" w:hRule="atLeast"/>
          <w:jc w:val="center"/>
        </w:trPr>
        <w:tc>
          <w:tcPr>
            <w:tcW w:w="850" w:type="dxa"/>
            <w:vAlign w:val="center"/>
          </w:tcPr>
          <w:p w14:paraId="01FADD34">
            <w:pPr>
              <w:pStyle w:val="13"/>
            </w:pPr>
            <w:r>
              <w:t>26</w:t>
            </w:r>
          </w:p>
        </w:tc>
        <w:tc>
          <w:tcPr>
            <w:tcW w:w="4535" w:type="dxa"/>
            <w:vAlign w:val="center"/>
          </w:tcPr>
          <w:p w14:paraId="49BA10F5">
            <w:pPr>
              <w:pStyle w:val="12"/>
            </w:pPr>
          </w:p>
        </w:tc>
        <w:tc>
          <w:tcPr>
            <w:tcW w:w="2126" w:type="dxa"/>
            <w:vAlign w:val="center"/>
          </w:tcPr>
          <w:p w14:paraId="69B640BB">
            <w:pPr>
              <w:pStyle w:val="11"/>
            </w:pPr>
          </w:p>
        </w:tc>
        <w:tc>
          <w:tcPr>
            <w:tcW w:w="4535" w:type="dxa"/>
            <w:vAlign w:val="center"/>
          </w:tcPr>
          <w:p w14:paraId="18E94E96">
            <w:pPr>
              <w:pStyle w:val="12"/>
            </w:pPr>
            <w:r>
              <w:t>二十六、转移性支出</w:t>
            </w:r>
          </w:p>
        </w:tc>
        <w:tc>
          <w:tcPr>
            <w:tcW w:w="2126" w:type="dxa"/>
            <w:vAlign w:val="center"/>
          </w:tcPr>
          <w:p w14:paraId="2C788A3F">
            <w:pPr>
              <w:pStyle w:val="11"/>
            </w:pPr>
          </w:p>
        </w:tc>
      </w:tr>
      <w:tr w14:paraId="0D8A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0C269">
            <w:pPr>
              <w:pStyle w:val="13"/>
            </w:pPr>
            <w:r>
              <w:t>27</w:t>
            </w:r>
          </w:p>
        </w:tc>
        <w:tc>
          <w:tcPr>
            <w:tcW w:w="4535" w:type="dxa"/>
            <w:vAlign w:val="center"/>
          </w:tcPr>
          <w:p w14:paraId="4FA0E7A6">
            <w:pPr>
              <w:pStyle w:val="12"/>
            </w:pPr>
          </w:p>
        </w:tc>
        <w:tc>
          <w:tcPr>
            <w:tcW w:w="2126" w:type="dxa"/>
            <w:vAlign w:val="center"/>
          </w:tcPr>
          <w:p w14:paraId="40D44F23">
            <w:pPr>
              <w:pStyle w:val="11"/>
            </w:pPr>
          </w:p>
        </w:tc>
        <w:tc>
          <w:tcPr>
            <w:tcW w:w="4535" w:type="dxa"/>
            <w:vAlign w:val="center"/>
          </w:tcPr>
          <w:p w14:paraId="3E17CD98">
            <w:pPr>
              <w:pStyle w:val="12"/>
            </w:pPr>
            <w:r>
              <w:t>二十七、债务还本支出</w:t>
            </w:r>
          </w:p>
        </w:tc>
        <w:tc>
          <w:tcPr>
            <w:tcW w:w="2126" w:type="dxa"/>
            <w:vAlign w:val="center"/>
          </w:tcPr>
          <w:p w14:paraId="15D27165">
            <w:pPr>
              <w:pStyle w:val="11"/>
            </w:pPr>
          </w:p>
        </w:tc>
      </w:tr>
      <w:tr w14:paraId="54D4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30763">
            <w:pPr>
              <w:pStyle w:val="13"/>
            </w:pPr>
            <w:r>
              <w:t>28</w:t>
            </w:r>
          </w:p>
        </w:tc>
        <w:tc>
          <w:tcPr>
            <w:tcW w:w="4535" w:type="dxa"/>
            <w:vAlign w:val="center"/>
          </w:tcPr>
          <w:p w14:paraId="31FFD5E8">
            <w:pPr>
              <w:pStyle w:val="12"/>
            </w:pPr>
          </w:p>
        </w:tc>
        <w:tc>
          <w:tcPr>
            <w:tcW w:w="2126" w:type="dxa"/>
            <w:vAlign w:val="center"/>
          </w:tcPr>
          <w:p w14:paraId="60C54249">
            <w:pPr>
              <w:pStyle w:val="11"/>
            </w:pPr>
          </w:p>
        </w:tc>
        <w:tc>
          <w:tcPr>
            <w:tcW w:w="4535" w:type="dxa"/>
            <w:vAlign w:val="center"/>
          </w:tcPr>
          <w:p w14:paraId="27473C1B">
            <w:pPr>
              <w:pStyle w:val="12"/>
            </w:pPr>
            <w:r>
              <w:t>二十八、债务付息支出</w:t>
            </w:r>
          </w:p>
        </w:tc>
        <w:tc>
          <w:tcPr>
            <w:tcW w:w="2126" w:type="dxa"/>
            <w:vAlign w:val="center"/>
          </w:tcPr>
          <w:p w14:paraId="2CC7C332">
            <w:pPr>
              <w:pStyle w:val="11"/>
            </w:pPr>
          </w:p>
        </w:tc>
      </w:tr>
      <w:tr w14:paraId="1F23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6ED64">
            <w:pPr>
              <w:pStyle w:val="13"/>
            </w:pPr>
            <w:r>
              <w:t>29</w:t>
            </w:r>
          </w:p>
        </w:tc>
        <w:tc>
          <w:tcPr>
            <w:tcW w:w="4535" w:type="dxa"/>
            <w:vAlign w:val="center"/>
          </w:tcPr>
          <w:p w14:paraId="6682059A">
            <w:pPr>
              <w:pStyle w:val="12"/>
            </w:pPr>
          </w:p>
        </w:tc>
        <w:tc>
          <w:tcPr>
            <w:tcW w:w="2126" w:type="dxa"/>
            <w:vAlign w:val="center"/>
          </w:tcPr>
          <w:p w14:paraId="31E39400">
            <w:pPr>
              <w:pStyle w:val="11"/>
            </w:pPr>
          </w:p>
        </w:tc>
        <w:tc>
          <w:tcPr>
            <w:tcW w:w="4535" w:type="dxa"/>
            <w:vAlign w:val="center"/>
          </w:tcPr>
          <w:p w14:paraId="443AE1D1">
            <w:pPr>
              <w:pStyle w:val="12"/>
            </w:pPr>
            <w:r>
              <w:t>二十九、债务发行费用支出</w:t>
            </w:r>
          </w:p>
        </w:tc>
        <w:tc>
          <w:tcPr>
            <w:tcW w:w="2126" w:type="dxa"/>
            <w:vAlign w:val="center"/>
          </w:tcPr>
          <w:p w14:paraId="1AEAF59A">
            <w:pPr>
              <w:pStyle w:val="11"/>
            </w:pPr>
          </w:p>
        </w:tc>
      </w:tr>
      <w:tr w14:paraId="48AF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D212">
            <w:pPr>
              <w:pStyle w:val="13"/>
            </w:pPr>
            <w:r>
              <w:t>30</w:t>
            </w:r>
          </w:p>
        </w:tc>
        <w:tc>
          <w:tcPr>
            <w:tcW w:w="4535" w:type="dxa"/>
            <w:vAlign w:val="center"/>
          </w:tcPr>
          <w:p w14:paraId="72A8177C">
            <w:pPr>
              <w:pStyle w:val="12"/>
            </w:pPr>
          </w:p>
        </w:tc>
        <w:tc>
          <w:tcPr>
            <w:tcW w:w="2126" w:type="dxa"/>
            <w:vAlign w:val="center"/>
          </w:tcPr>
          <w:p w14:paraId="4D64BEDC">
            <w:pPr>
              <w:pStyle w:val="11"/>
            </w:pPr>
          </w:p>
        </w:tc>
        <w:tc>
          <w:tcPr>
            <w:tcW w:w="4535" w:type="dxa"/>
            <w:vAlign w:val="center"/>
          </w:tcPr>
          <w:p w14:paraId="059F39E3">
            <w:pPr>
              <w:pStyle w:val="12"/>
            </w:pPr>
            <w:r>
              <w:t>三十、抗疫特别国债安排的支出</w:t>
            </w:r>
          </w:p>
        </w:tc>
        <w:tc>
          <w:tcPr>
            <w:tcW w:w="2126" w:type="dxa"/>
            <w:vAlign w:val="center"/>
          </w:tcPr>
          <w:p w14:paraId="4553004B">
            <w:pPr>
              <w:pStyle w:val="11"/>
            </w:pPr>
          </w:p>
        </w:tc>
      </w:tr>
      <w:tr w14:paraId="5BB3D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D90F8">
            <w:pPr>
              <w:pStyle w:val="13"/>
            </w:pPr>
            <w:r>
              <w:t>31</w:t>
            </w:r>
          </w:p>
        </w:tc>
        <w:tc>
          <w:tcPr>
            <w:tcW w:w="4535" w:type="dxa"/>
            <w:vAlign w:val="center"/>
          </w:tcPr>
          <w:p w14:paraId="6EE84727">
            <w:pPr>
              <w:pStyle w:val="14"/>
            </w:pPr>
            <w:r>
              <w:t>本年收入合计</w:t>
            </w:r>
          </w:p>
        </w:tc>
        <w:tc>
          <w:tcPr>
            <w:tcW w:w="2126" w:type="dxa"/>
            <w:vAlign w:val="center"/>
          </w:tcPr>
          <w:p w14:paraId="7DD7B1C4">
            <w:pPr>
              <w:pStyle w:val="15"/>
            </w:pPr>
            <w:r>
              <w:t>775.59</w:t>
            </w:r>
          </w:p>
        </w:tc>
        <w:tc>
          <w:tcPr>
            <w:tcW w:w="4535" w:type="dxa"/>
            <w:vAlign w:val="center"/>
          </w:tcPr>
          <w:p w14:paraId="2968979F">
            <w:pPr>
              <w:pStyle w:val="14"/>
            </w:pPr>
            <w:r>
              <w:t>本年支出合计</w:t>
            </w:r>
          </w:p>
        </w:tc>
        <w:tc>
          <w:tcPr>
            <w:tcW w:w="2126" w:type="dxa"/>
            <w:vAlign w:val="center"/>
          </w:tcPr>
          <w:p w14:paraId="63EA8BC9">
            <w:pPr>
              <w:pStyle w:val="15"/>
            </w:pPr>
            <w:r>
              <w:t>953.13</w:t>
            </w:r>
          </w:p>
        </w:tc>
      </w:tr>
      <w:tr w14:paraId="588A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3FD64">
            <w:pPr>
              <w:pStyle w:val="13"/>
            </w:pPr>
            <w:r>
              <w:t>32</w:t>
            </w:r>
          </w:p>
        </w:tc>
        <w:tc>
          <w:tcPr>
            <w:tcW w:w="4535" w:type="dxa"/>
            <w:vAlign w:val="center"/>
          </w:tcPr>
          <w:p w14:paraId="2DA5D352">
            <w:pPr>
              <w:pStyle w:val="12"/>
            </w:pPr>
            <w:r>
              <w:t>上年结转结余</w:t>
            </w:r>
          </w:p>
        </w:tc>
        <w:tc>
          <w:tcPr>
            <w:tcW w:w="2126" w:type="dxa"/>
            <w:vAlign w:val="center"/>
          </w:tcPr>
          <w:p w14:paraId="31FE8E01">
            <w:pPr>
              <w:pStyle w:val="11"/>
            </w:pPr>
          </w:p>
        </w:tc>
        <w:tc>
          <w:tcPr>
            <w:tcW w:w="4535" w:type="dxa"/>
            <w:vAlign w:val="center"/>
          </w:tcPr>
          <w:p w14:paraId="126BBF00">
            <w:pPr>
              <w:pStyle w:val="12"/>
            </w:pPr>
            <w:r>
              <w:t>年终结转结余</w:t>
            </w:r>
          </w:p>
        </w:tc>
        <w:tc>
          <w:tcPr>
            <w:tcW w:w="2126" w:type="dxa"/>
            <w:vAlign w:val="center"/>
          </w:tcPr>
          <w:p w14:paraId="3C38A45F">
            <w:pPr>
              <w:pStyle w:val="11"/>
            </w:pPr>
            <w:r>
              <w:t>-177.55</w:t>
            </w:r>
          </w:p>
        </w:tc>
      </w:tr>
      <w:tr w14:paraId="29BA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84C4">
            <w:pPr>
              <w:pStyle w:val="13"/>
            </w:pPr>
            <w:r>
              <w:t>33</w:t>
            </w:r>
          </w:p>
        </w:tc>
        <w:tc>
          <w:tcPr>
            <w:tcW w:w="4535" w:type="dxa"/>
            <w:vAlign w:val="center"/>
          </w:tcPr>
          <w:p w14:paraId="16581FE0">
            <w:pPr>
              <w:pStyle w:val="14"/>
            </w:pPr>
            <w:r>
              <w:t>收入总计</w:t>
            </w:r>
          </w:p>
        </w:tc>
        <w:tc>
          <w:tcPr>
            <w:tcW w:w="2126" w:type="dxa"/>
            <w:vAlign w:val="center"/>
          </w:tcPr>
          <w:p w14:paraId="68E93F87">
            <w:pPr>
              <w:pStyle w:val="15"/>
            </w:pPr>
            <w:r>
              <w:t>775.59</w:t>
            </w:r>
          </w:p>
        </w:tc>
        <w:tc>
          <w:tcPr>
            <w:tcW w:w="4535" w:type="dxa"/>
            <w:vAlign w:val="center"/>
          </w:tcPr>
          <w:p w14:paraId="2E89371A">
            <w:pPr>
              <w:pStyle w:val="14"/>
            </w:pPr>
            <w:r>
              <w:t>支出总计</w:t>
            </w:r>
          </w:p>
        </w:tc>
        <w:tc>
          <w:tcPr>
            <w:tcW w:w="2126" w:type="dxa"/>
            <w:vAlign w:val="center"/>
          </w:tcPr>
          <w:p w14:paraId="51AF4F1C">
            <w:pPr>
              <w:pStyle w:val="15"/>
            </w:pPr>
            <w:r>
              <w:t>775.59</w:t>
            </w:r>
          </w:p>
        </w:tc>
      </w:tr>
    </w:tbl>
    <w:p w14:paraId="46058E63">
      <w:pPr>
        <w:sectPr>
          <w:pgSz w:w="16840" w:h="11900" w:orient="landscape"/>
          <w:pgMar w:top="1361" w:right="1020" w:bottom="1134" w:left="1020" w:header="720" w:footer="720" w:gutter="0"/>
          <w:cols w:space="720" w:num="1"/>
        </w:sectPr>
      </w:pPr>
    </w:p>
    <w:p w14:paraId="316CC4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61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B4A5A5">
            <w:pPr>
              <w:pStyle w:val="9"/>
            </w:pPr>
            <w:r>
              <w:t>360028隆尧县教师发展中心</w:t>
            </w:r>
          </w:p>
        </w:tc>
        <w:tc>
          <w:tcPr>
            <w:tcW w:w="3402" w:type="dxa"/>
            <w:gridSpan w:val="3"/>
            <w:tcBorders>
              <w:top w:val="single" w:color="FFFFFF" w:sz="6" w:space="0"/>
              <w:left w:val="single" w:color="FFFFFF" w:sz="6" w:space="0"/>
              <w:right w:val="single" w:color="FFFFFF" w:sz="6" w:space="0"/>
            </w:tcBorders>
            <w:vAlign w:val="center"/>
          </w:tcPr>
          <w:p w14:paraId="5BA169C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44D8207">
            <w:pPr>
              <w:pStyle w:val="7"/>
            </w:pPr>
            <w:r>
              <w:t>单位：万元</w:t>
            </w:r>
          </w:p>
        </w:tc>
      </w:tr>
      <w:tr w14:paraId="225F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56A42A">
            <w:pPr>
              <w:pStyle w:val="10"/>
            </w:pPr>
            <w:r>
              <w:t>序号</w:t>
            </w:r>
          </w:p>
        </w:tc>
        <w:tc>
          <w:tcPr>
            <w:tcW w:w="2551" w:type="dxa"/>
            <w:gridSpan w:val="2"/>
            <w:vAlign w:val="center"/>
          </w:tcPr>
          <w:p w14:paraId="21DFFF4F">
            <w:pPr>
              <w:pStyle w:val="10"/>
            </w:pPr>
            <w:r>
              <w:t>功能分类科目</w:t>
            </w:r>
          </w:p>
        </w:tc>
        <w:tc>
          <w:tcPr>
            <w:tcW w:w="1134" w:type="dxa"/>
            <w:vMerge w:val="restart"/>
            <w:vAlign w:val="center"/>
          </w:tcPr>
          <w:p w14:paraId="0C66EC84">
            <w:pPr>
              <w:pStyle w:val="10"/>
            </w:pPr>
            <w:r>
              <w:t>合计</w:t>
            </w:r>
          </w:p>
        </w:tc>
        <w:tc>
          <w:tcPr>
            <w:tcW w:w="9072" w:type="dxa"/>
            <w:gridSpan w:val="8"/>
            <w:vAlign w:val="center"/>
          </w:tcPr>
          <w:p w14:paraId="5D987D8E">
            <w:pPr>
              <w:pStyle w:val="10"/>
            </w:pPr>
            <w:r>
              <w:t>本年收入</w:t>
            </w:r>
          </w:p>
        </w:tc>
        <w:tc>
          <w:tcPr>
            <w:tcW w:w="1134" w:type="dxa"/>
            <w:vMerge w:val="restart"/>
            <w:vAlign w:val="center"/>
          </w:tcPr>
          <w:p w14:paraId="6A806733">
            <w:pPr>
              <w:pStyle w:val="10"/>
            </w:pPr>
            <w:r>
              <w:t>上年结转</w:t>
            </w:r>
          </w:p>
        </w:tc>
      </w:tr>
      <w:tr w14:paraId="4FB3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48D334"/>
        </w:tc>
        <w:tc>
          <w:tcPr>
            <w:tcW w:w="992" w:type="dxa"/>
            <w:vAlign w:val="center"/>
          </w:tcPr>
          <w:p w14:paraId="7A9C4396">
            <w:pPr>
              <w:pStyle w:val="10"/>
            </w:pPr>
            <w:r>
              <w:t>科目    编码</w:t>
            </w:r>
          </w:p>
        </w:tc>
        <w:tc>
          <w:tcPr>
            <w:tcW w:w="1559" w:type="dxa"/>
            <w:vAlign w:val="center"/>
          </w:tcPr>
          <w:p w14:paraId="70480179">
            <w:pPr>
              <w:pStyle w:val="10"/>
            </w:pPr>
            <w:r>
              <w:t>科目名称</w:t>
            </w:r>
          </w:p>
        </w:tc>
        <w:tc>
          <w:tcPr>
            <w:tcW w:w="1134" w:type="dxa"/>
            <w:vMerge w:val="continue"/>
          </w:tcPr>
          <w:p w14:paraId="54643C7A"/>
        </w:tc>
        <w:tc>
          <w:tcPr>
            <w:tcW w:w="1134" w:type="dxa"/>
            <w:vAlign w:val="center"/>
          </w:tcPr>
          <w:p w14:paraId="2F623BFC">
            <w:pPr>
              <w:pStyle w:val="10"/>
            </w:pPr>
            <w:r>
              <w:t>小计</w:t>
            </w:r>
          </w:p>
        </w:tc>
        <w:tc>
          <w:tcPr>
            <w:tcW w:w="1134" w:type="dxa"/>
            <w:vAlign w:val="center"/>
          </w:tcPr>
          <w:p w14:paraId="3D40698C">
            <w:pPr>
              <w:pStyle w:val="10"/>
            </w:pPr>
            <w:r>
              <w:t>财政拨款 收入</w:t>
            </w:r>
          </w:p>
        </w:tc>
        <w:tc>
          <w:tcPr>
            <w:tcW w:w="1134" w:type="dxa"/>
            <w:vAlign w:val="center"/>
          </w:tcPr>
          <w:p w14:paraId="5499BFC5">
            <w:pPr>
              <w:pStyle w:val="10"/>
            </w:pPr>
            <w:r>
              <w:t>财政专户 收入</w:t>
            </w:r>
          </w:p>
        </w:tc>
        <w:tc>
          <w:tcPr>
            <w:tcW w:w="1134" w:type="dxa"/>
            <w:vAlign w:val="center"/>
          </w:tcPr>
          <w:p w14:paraId="23D80E40">
            <w:pPr>
              <w:pStyle w:val="10"/>
            </w:pPr>
            <w:r>
              <w:t>事业收入</w:t>
            </w:r>
          </w:p>
        </w:tc>
        <w:tc>
          <w:tcPr>
            <w:tcW w:w="1134" w:type="dxa"/>
            <w:vAlign w:val="center"/>
          </w:tcPr>
          <w:p w14:paraId="323F753F">
            <w:pPr>
              <w:pStyle w:val="10"/>
            </w:pPr>
            <w:r>
              <w:t>经营收入</w:t>
            </w:r>
          </w:p>
        </w:tc>
        <w:tc>
          <w:tcPr>
            <w:tcW w:w="1134" w:type="dxa"/>
            <w:vAlign w:val="center"/>
          </w:tcPr>
          <w:p w14:paraId="38499688">
            <w:pPr>
              <w:pStyle w:val="10"/>
            </w:pPr>
            <w:r>
              <w:t>上级补助收入</w:t>
            </w:r>
          </w:p>
        </w:tc>
        <w:tc>
          <w:tcPr>
            <w:tcW w:w="1134" w:type="dxa"/>
            <w:vAlign w:val="center"/>
          </w:tcPr>
          <w:p w14:paraId="1410D54B">
            <w:pPr>
              <w:pStyle w:val="10"/>
            </w:pPr>
            <w:r>
              <w:t>附属单位上缴收入</w:t>
            </w:r>
          </w:p>
        </w:tc>
        <w:tc>
          <w:tcPr>
            <w:tcW w:w="1134" w:type="dxa"/>
            <w:vAlign w:val="center"/>
          </w:tcPr>
          <w:p w14:paraId="0A6E5ABA">
            <w:pPr>
              <w:pStyle w:val="10"/>
            </w:pPr>
            <w:r>
              <w:t>其他收入</w:t>
            </w:r>
          </w:p>
        </w:tc>
        <w:tc>
          <w:tcPr>
            <w:tcW w:w="1134" w:type="dxa"/>
            <w:vMerge w:val="continue"/>
          </w:tcPr>
          <w:p w14:paraId="63FAD064"/>
        </w:tc>
      </w:tr>
      <w:tr w14:paraId="066E3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CED7CE">
            <w:pPr>
              <w:pStyle w:val="10"/>
            </w:pPr>
            <w:r>
              <w:t>栏次</w:t>
            </w:r>
          </w:p>
        </w:tc>
        <w:tc>
          <w:tcPr>
            <w:tcW w:w="992" w:type="dxa"/>
            <w:vAlign w:val="center"/>
          </w:tcPr>
          <w:p w14:paraId="6DE07046">
            <w:pPr>
              <w:pStyle w:val="10"/>
            </w:pPr>
            <w:r>
              <w:t>1</w:t>
            </w:r>
          </w:p>
        </w:tc>
        <w:tc>
          <w:tcPr>
            <w:tcW w:w="1559" w:type="dxa"/>
            <w:vAlign w:val="center"/>
          </w:tcPr>
          <w:p w14:paraId="7728A4C2">
            <w:pPr>
              <w:pStyle w:val="10"/>
            </w:pPr>
            <w:r>
              <w:t>2</w:t>
            </w:r>
          </w:p>
        </w:tc>
        <w:tc>
          <w:tcPr>
            <w:tcW w:w="1134" w:type="dxa"/>
            <w:vAlign w:val="center"/>
          </w:tcPr>
          <w:p w14:paraId="5B095330">
            <w:pPr>
              <w:pStyle w:val="10"/>
            </w:pPr>
            <w:r>
              <w:t>3</w:t>
            </w:r>
          </w:p>
        </w:tc>
        <w:tc>
          <w:tcPr>
            <w:tcW w:w="1134" w:type="dxa"/>
            <w:vAlign w:val="center"/>
          </w:tcPr>
          <w:p w14:paraId="5C3082D6">
            <w:pPr>
              <w:pStyle w:val="10"/>
            </w:pPr>
            <w:r>
              <w:t>4</w:t>
            </w:r>
          </w:p>
        </w:tc>
        <w:tc>
          <w:tcPr>
            <w:tcW w:w="1134" w:type="dxa"/>
            <w:vAlign w:val="center"/>
          </w:tcPr>
          <w:p w14:paraId="33B05E19">
            <w:pPr>
              <w:pStyle w:val="10"/>
            </w:pPr>
            <w:r>
              <w:t>5</w:t>
            </w:r>
          </w:p>
        </w:tc>
        <w:tc>
          <w:tcPr>
            <w:tcW w:w="1134" w:type="dxa"/>
            <w:vAlign w:val="center"/>
          </w:tcPr>
          <w:p w14:paraId="29B1CE39">
            <w:pPr>
              <w:pStyle w:val="10"/>
            </w:pPr>
            <w:r>
              <w:t>6</w:t>
            </w:r>
          </w:p>
        </w:tc>
        <w:tc>
          <w:tcPr>
            <w:tcW w:w="1134" w:type="dxa"/>
            <w:vAlign w:val="center"/>
          </w:tcPr>
          <w:p w14:paraId="46676570">
            <w:pPr>
              <w:pStyle w:val="10"/>
            </w:pPr>
            <w:r>
              <w:t>7</w:t>
            </w:r>
          </w:p>
        </w:tc>
        <w:tc>
          <w:tcPr>
            <w:tcW w:w="1134" w:type="dxa"/>
            <w:vAlign w:val="center"/>
          </w:tcPr>
          <w:p w14:paraId="4A07C243">
            <w:pPr>
              <w:pStyle w:val="10"/>
            </w:pPr>
            <w:r>
              <w:t>8</w:t>
            </w:r>
          </w:p>
        </w:tc>
        <w:tc>
          <w:tcPr>
            <w:tcW w:w="1134" w:type="dxa"/>
            <w:vAlign w:val="center"/>
          </w:tcPr>
          <w:p w14:paraId="7DE2569E">
            <w:pPr>
              <w:pStyle w:val="10"/>
            </w:pPr>
            <w:r>
              <w:t>9</w:t>
            </w:r>
          </w:p>
        </w:tc>
        <w:tc>
          <w:tcPr>
            <w:tcW w:w="1134" w:type="dxa"/>
            <w:vAlign w:val="center"/>
          </w:tcPr>
          <w:p w14:paraId="67394944">
            <w:pPr>
              <w:pStyle w:val="10"/>
            </w:pPr>
            <w:r>
              <w:t>10</w:t>
            </w:r>
          </w:p>
        </w:tc>
        <w:tc>
          <w:tcPr>
            <w:tcW w:w="1134" w:type="dxa"/>
            <w:vAlign w:val="center"/>
          </w:tcPr>
          <w:p w14:paraId="70E6F99C">
            <w:pPr>
              <w:pStyle w:val="10"/>
            </w:pPr>
            <w:r>
              <w:t>11</w:t>
            </w:r>
          </w:p>
        </w:tc>
        <w:tc>
          <w:tcPr>
            <w:tcW w:w="1134" w:type="dxa"/>
            <w:vAlign w:val="center"/>
          </w:tcPr>
          <w:p w14:paraId="754D7509">
            <w:pPr>
              <w:pStyle w:val="10"/>
            </w:pPr>
            <w:r>
              <w:t>12</w:t>
            </w:r>
          </w:p>
        </w:tc>
      </w:tr>
      <w:tr w14:paraId="61C5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D38C1">
            <w:pPr>
              <w:pStyle w:val="13"/>
            </w:pPr>
            <w:r>
              <w:t>1</w:t>
            </w:r>
          </w:p>
        </w:tc>
        <w:tc>
          <w:tcPr>
            <w:tcW w:w="992" w:type="dxa"/>
            <w:vAlign w:val="center"/>
          </w:tcPr>
          <w:p w14:paraId="7D8766C1">
            <w:pPr>
              <w:pStyle w:val="16"/>
            </w:pPr>
          </w:p>
        </w:tc>
        <w:tc>
          <w:tcPr>
            <w:tcW w:w="1559" w:type="dxa"/>
            <w:vAlign w:val="center"/>
          </w:tcPr>
          <w:p w14:paraId="27A3E95B">
            <w:pPr>
              <w:pStyle w:val="14"/>
            </w:pPr>
            <w:r>
              <w:t>合计</w:t>
            </w:r>
          </w:p>
        </w:tc>
        <w:tc>
          <w:tcPr>
            <w:tcW w:w="1134" w:type="dxa"/>
            <w:vAlign w:val="center"/>
          </w:tcPr>
          <w:p w14:paraId="5F00E1A6">
            <w:pPr>
              <w:pStyle w:val="15"/>
            </w:pPr>
            <w:r>
              <w:t>953.13</w:t>
            </w:r>
          </w:p>
        </w:tc>
        <w:tc>
          <w:tcPr>
            <w:tcW w:w="1134" w:type="dxa"/>
            <w:vAlign w:val="center"/>
          </w:tcPr>
          <w:p w14:paraId="484E1062">
            <w:pPr>
              <w:pStyle w:val="15"/>
            </w:pPr>
            <w:r>
              <w:t>953.13</w:t>
            </w:r>
          </w:p>
        </w:tc>
        <w:tc>
          <w:tcPr>
            <w:tcW w:w="1134" w:type="dxa"/>
            <w:vAlign w:val="center"/>
          </w:tcPr>
          <w:p w14:paraId="617FA92A">
            <w:pPr>
              <w:pStyle w:val="15"/>
            </w:pPr>
            <w:r>
              <w:t>775.59</w:t>
            </w:r>
          </w:p>
        </w:tc>
        <w:tc>
          <w:tcPr>
            <w:tcW w:w="1134" w:type="dxa"/>
            <w:vAlign w:val="center"/>
          </w:tcPr>
          <w:p w14:paraId="35F14C55">
            <w:pPr>
              <w:pStyle w:val="15"/>
            </w:pPr>
            <w:r>
              <w:t>177.55</w:t>
            </w:r>
          </w:p>
        </w:tc>
        <w:tc>
          <w:tcPr>
            <w:tcW w:w="1134" w:type="dxa"/>
            <w:vAlign w:val="center"/>
          </w:tcPr>
          <w:p w14:paraId="152136AE">
            <w:pPr>
              <w:pStyle w:val="15"/>
            </w:pPr>
          </w:p>
        </w:tc>
        <w:tc>
          <w:tcPr>
            <w:tcW w:w="1134" w:type="dxa"/>
            <w:vAlign w:val="center"/>
          </w:tcPr>
          <w:p w14:paraId="459EE4B5">
            <w:pPr>
              <w:pStyle w:val="15"/>
            </w:pPr>
          </w:p>
        </w:tc>
        <w:tc>
          <w:tcPr>
            <w:tcW w:w="1134" w:type="dxa"/>
            <w:vAlign w:val="center"/>
          </w:tcPr>
          <w:p w14:paraId="1D57D538">
            <w:pPr>
              <w:pStyle w:val="15"/>
            </w:pPr>
          </w:p>
        </w:tc>
        <w:tc>
          <w:tcPr>
            <w:tcW w:w="1134" w:type="dxa"/>
            <w:vAlign w:val="center"/>
          </w:tcPr>
          <w:p w14:paraId="1B151AF3">
            <w:pPr>
              <w:pStyle w:val="15"/>
            </w:pPr>
          </w:p>
        </w:tc>
        <w:tc>
          <w:tcPr>
            <w:tcW w:w="1134" w:type="dxa"/>
            <w:vAlign w:val="center"/>
          </w:tcPr>
          <w:p w14:paraId="153080AA">
            <w:pPr>
              <w:pStyle w:val="15"/>
            </w:pPr>
          </w:p>
        </w:tc>
        <w:tc>
          <w:tcPr>
            <w:tcW w:w="1134" w:type="dxa"/>
            <w:vAlign w:val="center"/>
          </w:tcPr>
          <w:p w14:paraId="5A9679C9">
            <w:pPr>
              <w:pStyle w:val="15"/>
            </w:pPr>
          </w:p>
        </w:tc>
      </w:tr>
      <w:tr w14:paraId="4E67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AC002">
            <w:pPr>
              <w:pStyle w:val="13"/>
            </w:pPr>
            <w:r>
              <w:t>2</w:t>
            </w:r>
          </w:p>
        </w:tc>
        <w:tc>
          <w:tcPr>
            <w:tcW w:w="992" w:type="dxa"/>
            <w:vAlign w:val="center"/>
          </w:tcPr>
          <w:p w14:paraId="4B93BC79">
            <w:pPr>
              <w:pStyle w:val="12"/>
            </w:pPr>
            <w:r>
              <w:t>205</w:t>
            </w:r>
          </w:p>
        </w:tc>
        <w:tc>
          <w:tcPr>
            <w:tcW w:w="1559" w:type="dxa"/>
            <w:vAlign w:val="center"/>
          </w:tcPr>
          <w:p w14:paraId="1B928D96">
            <w:pPr>
              <w:pStyle w:val="12"/>
            </w:pPr>
            <w:r>
              <w:t>教育支出</w:t>
            </w:r>
          </w:p>
        </w:tc>
        <w:tc>
          <w:tcPr>
            <w:tcW w:w="1134" w:type="dxa"/>
            <w:vAlign w:val="center"/>
          </w:tcPr>
          <w:p w14:paraId="1B9C60F3">
            <w:pPr>
              <w:pStyle w:val="11"/>
            </w:pPr>
            <w:r>
              <w:t>844.50</w:t>
            </w:r>
          </w:p>
        </w:tc>
        <w:tc>
          <w:tcPr>
            <w:tcW w:w="1134" w:type="dxa"/>
            <w:vAlign w:val="center"/>
          </w:tcPr>
          <w:p w14:paraId="64C4F6B7">
            <w:pPr>
              <w:pStyle w:val="11"/>
            </w:pPr>
            <w:r>
              <w:t>844.50</w:t>
            </w:r>
          </w:p>
        </w:tc>
        <w:tc>
          <w:tcPr>
            <w:tcW w:w="1134" w:type="dxa"/>
            <w:vAlign w:val="center"/>
          </w:tcPr>
          <w:p w14:paraId="48DDBE78">
            <w:pPr>
              <w:pStyle w:val="11"/>
            </w:pPr>
            <w:r>
              <w:t>666.95</w:t>
            </w:r>
          </w:p>
        </w:tc>
        <w:tc>
          <w:tcPr>
            <w:tcW w:w="1134" w:type="dxa"/>
            <w:vAlign w:val="center"/>
          </w:tcPr>
          <w:p w14:paraId="5002A773">
            <w:pPr>
              <w:pStyle w:val="11"/>
            </w:pPr>
            <w:r>
              <w:t>177.55</w:t>
            </w:r>
          </w:p>
        </w:tc>
        <w:tc>
          <w:tcPr>
            <w:tcW w:w="1134" w:type="dxa"/>
            <w:vAlign w:val="center"/>
          </w:tcPr>
          <w:p w14:paraId="4631F89D">
            <w:pPr>
              <w:pStyle w:val="11"/>
            </w:pPr>
          </w:p>
        </w:tc>
        <w:tc>
          <w:tcPr>
            <w:tcW w:w="1134" w:type="dxa"/>
            <w:vAlign w:val="center"/>
          </w:tcPr>
          <w:p w14:paraId="57534A28">
            <w:pPr>
              <w:pStyle w:val="11"/>
            </w:pPr>
          </w:p>
        </w:tc>
        <w:tc>
          <w:tcPr>
            <w:tcW w:w="1134" w:type="dxa"/>
            <w:vAlign w:val="center"/>
          </w:tcPr>
          <w:p w14:paraId="1FE3DE36">
            <w:pPr>
              <w:pStyle w:val="11"/>
            </w:pPr>
          </w:p>
        </w:tc>
        <w:tc>
          <w:tcPr>
            <w:tcW w:w="1134" w:type="dxa"/>
            <w:vAlign w:val="center"/>
          </w:tcPr>
          <w:p w14:paraId="1BF4C410">
            <w:pPr>
              <w:pStyle w:val="11"/>
            </w:pPr>
          </w:p>
        </w:tc>
        <w:tc>
          <w:tcPr>
            <w:tcW w:w="1134" w:type="dxa"/>
            <w:vAlign w:val="center"/>
          </w:tcPr>
          <w:p w14:paraId="27BCADC4">
            <w:pPr>
              <w:pStyle w:val="11"/>
            </w:pPr>
          </w:p>
        </w:tc>
        <w:tc>
          <w:tcPr>
            <w:tcW w:w="1134" w:type="dxa"/>
            <w:vAlign w:val="center"/>
          </w:tcPr>
          <w:p w14:paraId="14A757B6">
            <w:pPr>
              <w:pStyle w:val="11"/>
            </w:pPr>
          </w:p>
        </w:tc>
      </w:tr>
      <w:tr w14:paraId="0B2E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6888E">
            <w:pPr>
              <w:pStyle w:val="13"/>
            </w:pPr>
            <w:r>
              <w:t>3</w:t>
            </w:r>
          </w:p>
        </w:tc>
        <w:tc>
          <w:tcPr>
            <w:tcW w:w="992" w:type="dxa"/>
            <w:vAlign w:val="center"/>
          </w:tcPr>
          <w:p w14:paraId="303CC1B3">
            <w:pPr>
              <w:pStyle w:val="12"/>
            </w:pPr>
            <w:r>
              <w:t>20502</w:t>
            </w:r>
          </w:p>
        </w:tc>
        <w:tc>
          <w:tcPr>
            <w:tcW w:w="1559" w:type="dxa"/>
            <w:vAlign w:val="center"/>
          </w:tcPr>
          <w:p w14:paraId="79A7CE28">
            <w:pPr>
              <w:pStyle w:val="12"/>
            </w:pPr>
            <w:r>
              <w:t>普通教育</w:t>
            </w:r>
          </w:p>
        </w:tc>
        <w:tc>
          <w:tcPr>
            <w:tcW w:w="1134" w:type="dxa"/>
            <w:vAlign w:val="center"/>
          </w:tcPr>
          <w:p w14:paraId="7046AA1C">
            <w:pPr>
              <w:pStyle w:val="11"/>
            </w:pPr>
            <w:r>
              <w:t>55.21</w:t>
            </w:r>
          </w:p>
        </w:tc>
        <w:tc>
          <w:tcPr>
            <w:tcW w:w="1134" w:type="dxa"/>
            <w:vAlign w:val="center"/>
          </w:tcPr>
          <w:p w14:paraId="04AC4D88">
            <w:pPr>
              <w:pStyle w:val="11"/>
            </w:pPr>
            <w:r>
              <w:t>55.21</w:t>
            </w:r>
          </w:p>
        </w:tc>
        <w:tc>
          <w:tcPr>
            <w:tcW w:w="1134" w:type="dxa"/>
            <w:vAlign w:val="center"/>
          </w:tcPr>
          <w:p w14:paraId="53916932">
            <w:pPr>
              <w:pStyle w:val="11"/>
            </w:pPr>
            <w:r>
              <w:t>55.21</w:t>
            </w:r>
          </w:p>
        </w:tc>
        <w:tc>
          <w:tcPr>
            <w:tcW w:w="1134" w:type="dxa"/>
            <w:vAlign w:val="center"/>
          </w:tcPr>
          <w:p w14:paraId="4BFBA1EB">
            <w:pPr>
              <w:pStyle w:val="11"/>
            </w:pPr>
          </w:p>
        </w:tc>
        <w:tc>
          <w:tcPr>
            <w:tcW w:w="1134" w:type="dxa"/>
            <w:vAlign w:val="center"/>
          </w:tcPr>
          <w:p w14:paraId="4E5200B8">
            <w:pPr>
              <w:pStyle w:val="11"/>
            </w:pPr>
          </w:p>
        </w:tc>
        <w:tc>
          <w:tcPr>
            <w:tcW w:w="1134" w:type="dxa"/>
            <w:vAlign w:val="center"/>
          </w:tcPr>
          <w:p w14:paraId="46597478">
            <w:pPr>
              <w:pStyle w:val="11"/>
            </w:pPr>
          </w:p>
        </w:tc>
        <w:tc>
          <w:tcPr>
            <w:tcW w:w="1134" w:type="dxa"/>
            <w:vAlign w:val="center"/>
          </w:tcPr>
          <w:p w14:paraId="29C8EF91">
            <w:pPr>
              <w:pStyle w:val="11"/>
            </w:pPr>
          </w:p>
        </w:tc>
        <w:tc>
          <w:tcPr>
            <w:tcW w:w="1134" w:type="dxa"/>
            <w:vAlign w:val="center"/>
          </w:tcPr>
          <w:p w14:paraId="2BF16A1C">
            <w:pPr>
              <w:pStyle w:val="11"/>
            </w:pPr>
          </w:p>
        </w:tc>
        <w:tc>
          <w:tcPr>
            <w:tcW w:w="1134" w:type="dxa"/>
            <w:vAlign w:val="center"/>
          </w:tcPr>
          <w:p w14:paraId="4841803D">
            <w:pPr>
              <w:pStyle w:val="11"/>
            </w:pPr>
          </w:p>
        </w:tc>
        <w:tc>
          <w:tcPr>
            <w:tcW w:w="1134" w:type="dxa"/>
            <w:vAlign w:val="center"/>
          </w:tcPr>
          <w:p w14:paraId="086B0524">
            <w:pPr>
              <w:pStyle w:val="11"/>
            </w:pPr>
          </w:p>
        </w:tc>
      </w:tr>
      <w:tr w14:paraId="62AA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1D1F8">
            <w:pPr>
              <w:pStyle w:val="13"/>
            </w:pPr>
            <w:r>
              <w:t>4</w:t>
            </w:r>
          </w:p>
        </w:tc>
        <w:tc>
          <w:tcPr>
            <w:tcW w:w="992" w:type="dxa"/>
            <w:vAlign w:val="center"/>
          </w:tcPr>
          <w:p w14:paraId="0C9B1A97">
            <w:pPr>
              <w:pStyle w:val="12"/>
            </w:pPr>
            <w:r>
              <w:t>2050202</w:t>
            </w:r>
          </w:p>
        </w:tc>
        <w:tc>
          <w:tcPr>
            <w:tcW w:w="1559" w:type="dxa"/>
            <w:vAlign w:val="center"/>
          </w:tcPr>
          <w:p w14:paraId="5A3DDE8D">
            <w:pPr>
              <w:pStyle w:val="12"/>
            </w:pPr>
            <w:r>
              <w:t>小学教育</w:t>
            </w:r>
          </w:p>
        </w:tc>
        <w:tc>
          <w:tcPr>
            <w:tcW w:w="1134" w:type="dxa"/>
            <w:vAlign w:val="center"/>
          </w:tcPr>
          <w:p w14:paraId="1478BB60">
            <w:pPr>
              <w:pStyle w:val="11"/>
            </w:pPr>
            <w:r>
              <w:t>55.21</w:t>
            </w:r>
          </w:p>
        </w:tc>
        <w:tc>
          <w:tcPr>
            <w:tcW w:w="1134" w:type="dxa"/>
            <w:vAlign w:val="center"/>
          </w:tcPr>
          <w:p w14:paraId="5CF2C9DD">
            <w:pPr>
              <w:pStyle w:val="11"/>
            </w:pPr>
            <w:r>
              <w:t>55.21</w:t>
            </w:r>
          </w:p>
        </w:tc>
        <w:tc>
          <w:tcPr>
            <w:tcW w:w="1134" w:type="dxa"/>
            <w:vAlign w:val="center"/>
          </w:tcPr>
          <w:p w14:paraId="095EB0D5">
            <w:pPr>
              <w:pStyle w:val="11"/>
            </w:pPr>
            <w:r>
              <w:t>55.21</w:t>
            </w:r>
          </w:p>
        </w:tc>
        <w:tc>
          <w:tcPr>
            <w:tcW w:w="1134" w:type="dxa"/>
            <w:vAlign w:val="center"/>
          </w:tcPr>
          <w:p w14:paraId="3E0B3F9E">
            <w:pPr>
              <w:pStyle w:val="11"/>
            </w:pPr>
          </w:p>
        </w:tc>
        <w:tc>
          <w:tcPr>
            <w:tcW w:w="1134" w:type="dxa"/>
            <w:vAlign w:val="center"/>
          </w:tcPr>
          <w:p w14:paraId="73DD8F82">
            <w:pPr>
              <w:pStyle w:val="11"/>
            </w:pPr>
          </w:p>
        </w:tc>
        <w:tc>
          <w:tcPr>
            <w:tcW w:w="1134" w:type="dxa"/>
            <w:vAlign w:val="center"/>
          </w:tcPr>
          <w:p w14:paraId="0F187DB3">
            <w:pPr>
              <w:pStyle w:val="11"/>
            </w:pPr>
          </w:p>
        </w:tc>
        <w:tc>
          <w:tcPr>
            <w:tcW w:w="1134" w:type="dxa"/>
            <w:vAlign w:val="center"/>
          </w:tcPr>
          <w:p w14:paraId="6E9F3067">
            <w:pPr>
              <w:pStyle w:val="11"/>
            </w:pPr>
          </w:p>
        </w:tc>
        <w:tc>
          <w:tcPr>
            <w:tcW w:w="1134" w:type="dxa"/>
            <w:vAlign w:val="center"/>
          </w:tcPr>
          <w:p w14:paraId="00AA40CF">
            <w:pPr>
              <w:pStyle w:val="11"/>
            </w:pPr>
          </w:p>
        </w:tc>
        <w:tc>
          <w:tcPr>
            <w:tcW w:w="1134" w:type="dxa"/>
            <w:vAlign w:val="center"/>
          </w:tcPr>
          <w:p w14:paraId="3B6475C2">
            <w:pPr>
              <w:pStyle w:val="11"/>
            </w:pPr>
          </w:p>
        </w:tc>
        <w:tc>
          <w:tcPr>
            <w:tcW w:w="1134" w:type="dxa"/>
            <w:vAlign w:val="center"/>
          </w:tcPr>
          <w:p w14:paraId="674DBBCE">
            <w:pPr>
              <w:pStyle w:val="11"/>
            </w:pPr>
          </w:p>
        </w:tc>
      </w:tr>
      <w:tr w14:paraId="5AAD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519A8">
            <w:pPr>
              <w:pStyle w:val="13"/>
            </w:pPr>
            <w:r>
              <w:t>5</w:t>
            </w:r>
          </w:p>
        </w:tc>
        <w:tc>
          <w:tcPr>
            <w:tcW w:w="992" w:type="dxa"/>
            <w:vAlign w:val="center"/>
          </w:tcPr>
          <w:p w14:paraId="36E4CC66">
            <w:pPr>
              <w:pStyle w:val="12"/>
            </w:pPr>
            <w:r>
              <w:t>20508</w:t>
            </w:r>
          </w:p>
        </w:tc>
        <w:tc>
          <w:tcPr>
            <w:tcW w:w="1559" w:type="dxa"/>
            <w:vAlign w:val="center"/>
          </w:tcPr>
          <w:p w14:paraId="6A617D01">
            <w:pPr>
              <w:pStyle w:val="12"/>
            </w:pPr>
            <w:r>
              <w:t>进修及培训</w:t>
            </w:r>
          </w:p>
        </w:tc>
        <w:tc>
          <w:tcPr>
            <w:tcW w:w="1134" w:type="dxa"/>
            <w:vAlign w:val="center"/>
          </w:tcPr>
          <w:p w14:paraId="48F014C4">
            <w:pPr>
              <w:pStyle w:val="11"/>
            </w:pPr>
            <w:r>
              <w:t>789.29</w:t>
            </w:r>
          </w:p>
        </w:tc>
        <w:tc>
          <w:tcPr>
            <w:tcW w:w="1134" w:type="dxa"/>
            <w:vAlign w:val="center"/>
          </w:tcPr>
          <w:p w14:paraId="5F22FE43">
            <w:pPr>
              <w:pStyle w:val="11"/>
            </w:pPr>
            <w:r>
              <w:t>789.29</w:t>
            </w:r>
          </w:p>
        </w:tc>
        <w:tc>
          <w:tcPr>
            <w:tcW w:w="1134" w:type="dxa"/>
            <w:vAlign w:val="center"/>
          </w:tcPr>
          <w:p w14:paraId="012B454C">
            <w:pPr>
              <w:pStyle w:val="11"/>
            </w:pPr>
            <w:r>
              <w:t>611.75</w:t>
            </w:r>
          </w:p>
        </w:tc>
        <w:tc>
          <w:tcPr>
            <w:tcW w:w="1134" w:type="dxa"/>
            <w:vAlign w:val="center"/>
          </w:tcPr>
          <w:p w14:paraId="313188BA">
            <w:pPr>
              <w:pStyle w:val="11"/>
            </w:pPr>
            <w:r>
              <w:t>177.55</w:t>
            </w:r>
          </w:p>
        </w:tc>
        <w:tc>
          <w:tcPr>
            <w:tcW w:w="1134" w:type="dxa"/>
            <w:vAlign w:val="center"/>
          </w:tcPr>
          <w:p w14:paraId="6CD5E0D3">
            <w:pPr>
              <w:pStyle w:val="11"/>
            </w:pPr>
          </w:p>
        </w:tc>
        <w:tc>
          <w:tcPr>
            <w:tcW w:w="1134" w:type="dxa"/>
            <w:vAlign w:val="center"/>
          </w:tcPr>
          <w:p w14:paraId="20ACB838">
            <w:pPr>
              <w:pStyle w:val="11"/>
            </w:pPr>
          </w:p>
        </w:tc>
        <w:tc>
          <w:tcPr>
            <w:tcW w:w="1134" w:type="dxa"/>
            <w:vAlign w:val="center"/>
          </w:tcPr>
          <w:p w14:paraId="0C3A1B4E">
            <w:pPr>
              <w:pStyle w:val="11"/>
            </w:pPr>
          </w:p>
        </w:tc>
        <w:tc>
          <w:tcPr>
            <w:tcW w:w="1134" w:type="dxa"/>
            <w:vAlign w:val="center"/>
          </w:tcPr>
          <w:p w14:paraId="4BA9D9B8">
            <w:pPr>
              <w:pStyle w:val="11"/>
            </w:pPr>
          </w:p>
        </w:tc>
        <w:tc>
          <w:tcPr>
            <w:tcW w:w="1134" w:type="dxa"/>
            <w:vAlign w:val="center"/>
          </w:tcPr>
          <w:p w14:paraId="31531DA8">
            <w:pPr>
              <w:pStyle w:val="11"/>
            </w:pPr>
          </w:p>
        </w:tc>
        <w:tc>
          <w:tcPr>
            <w:tcW w:w="1134" w:type="dxa"/>
            <w:vAlign w:val="center"/>
          </w:tcPr>
          <w:p w14:paraId="60D1CC22">
            <w:pPr>
              <w:pStyle w:val="11"/>
            </w:pPr>
          </w:p>
        </w:tc>
      </w:tr>
      <w:tr w14:paraId="351B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C2159">
            <w:pPr>
              <w:pStyle w:val="13"/>
            </w:pPr>
            <w:r>
              <w:t>6</w:t>
            </w:r>
          </w:p>
        </w:tc>
        <w:tc>
          <w:tcPr>
            <w:tcW w:w="992" w:type="dxa"/>
            <w:vAlign w:val="center"/>
          </w:tcPr>
          <w:p w14:paraId="6A623A9F">
            <w:pPr>
              <w:pStyle w:val="12"/>
            </w:pPr>
            <w:r>
              <w:t>2050801</w:t>
            </w:r>
          </w:p>
        </w:tc>
        <w:tc>
          <w:tcPr>
            <w:tcW w:w="1559" w:type="dxa"/>
            <w:vAlign w:val="center"/>
          </w:tcPr>
          <w:p w14:paraId="21A8ECB6">
            <w:pPr>
              <w:pStyle w:val="12"/>
            </w:pPr>
            <w:r>
              <w:t>教师进修</w:t>
            </w:r>
          </w:p>
        </w:tc>
        <w:tc>
          <w:tcPr>
            <w:tcW w:w="1134" w:type="dxa"/>
            <w:vAlign w:val="center"/>
          </w:tcPr>
          <w:p w14:paraId="2AD3FB8A">
            <w:pPr>
              <w:pStyle w:val="11"/>
            </w:pPr>
            <w:r>
              <w:t>789.29</w:t>
            </w:r>
          </w:p>
        </w:tc>
        <w:tc>
          <w:tcPr>
            <w:tcW w:w="1134" w:type="dxa"/>
            <w:vAlign w:val="center"/>
          </w:tcPr>
          <w:p w14:paraId="7E87A46D">
            <w:pPr>
              <w:pStyle w:val="11"/>
            </w:pPr>
            <w:r>
              <w:t>789.29</w:t>
            </w:r>
          </w:p>
        </w:tc>
        <w:tc>
          <w:tcPr>
            <w:tcW w:w="1134" w:type="dxa"/>
            <w:vAlign w:val="center"/>
          </w:tcPr>
          <w:p w14:paraId="54CE86ED">
            <w:pPr>
              <w:pStyle w:val="11"/>
            </w:pPr>
            <w:r>
              <w:t>611.75</w:t>
            </w:r>
          </w:p>
        </w:tc>
        <w:tc>
          <w:tcPr>
            <w:tcW w:w="1134" w:type="dxa"/>
            <w:vAlign w:val="center"/>
          </w:tcPr>
          <w:p w14:paraId="13BDEEFD">
            <w:pPr>
              <w:pStyle w:val="11"/>
            </w:pPr>
            <w:r>
              <w:t>177.55</w:t>
            </w:r>
          </w:p>
        </w:tc>
        <w:tc>
          <w:tcPr>
            <w:tcW w:w="1134" w:type="dxa"/>
            <w:vAlign w:val="center"/>
          </w:tcPr>
          <w:p w14:paraId="694BBE17">
            <w:pPr>
              <w:pStyle w:val="11"/>
            </w:pPr>
          </w:p>
        </w:tc>
        <w:tc>
          <w:tcPr>
            <w:tcW w:w="1134" w:type="dxa"/>
            <w:vAlign w:val="center"/>
          </w:tcPr>
          <w:p w14:paraId="4CD49532">
            <w:pPr>
              <w:pStyle w:val="11"/>
            </w:pPr>
          </w:p>
        </w:tc>
        <w:tc>
          <w:tcPr>
            <w:tcW w:w="1134" w:type="dxa"/>
            <w:vAlign w:val="center"/>
          </w:tcPr>
          <w:p w14:paraId="009063F3">
            <w:pPr>
              <w:pStyle w:val="11"/>
            </w:pPr>
          </w:p>
        </w:tc>
        <w:tc>
          <w:tcPr>
            <w:tcW w:w="1134" w:type="dxa"/>
            <w:vAlign w:val="center"/>
          </w:tcPr>
          <w:p w14:paraId="1DE30771">
            <w:pPr>
              <w:pStyle w:val="11"/>
            </w:pPr>
          </w:p>
        </w:tc>
        <w:tc>
          <w:tcPr>
            <w:tcW w:w="1134" w:type="dxa"/>
            <w:vAlign w:val="center"/>
          </w:tcPr>
          <w:p w14:paraId="19E91DB8">
            <w:pPr>
              <w:pStyle w:val="11"/>
            </w:pPr>
          </w:p>
        </w:tc>
        <w:tc>
          <w:tcPr>
            <w:tcW w:w="1134" w:type="dxa"/>
            <w:vAlign w:val="center"/>
          </w:tcPr>
          <w:p w14:paraId="74F142FF">
            <w:pPr>
              <w:pStyle w:val="11"/>
            </w:pPr>
          </w:p>
        </w:tc>
      </w:tr>
      <w:tr w14:paraId="3FC9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F90C2">
            <w:pPr>
              <w:pStyle w:val="13"/>
            </w:pPr>
            <w:r>
              <w:t>7</w:t>
            </w:r>
          </w:p>
        </w:tc>
        <w:tc>
          <w:tcPr>
            <w:tcW w:w="992" w:type="dxa"/>
            <w:vAlign w:val="center"/>
          </w:tcPr>
          <w:p w14:paraId="5A3731A1">
            <w:pPr>
              <w:pStyle w:val="12"/>
            </w:pPr>
            <w:r>
              <w:t>208</w:t>
            </w:r>
          </w:p>
        </w:tc>
        <w:tc>
          <w:tcPr>
            <w:tcW w:w="1559" w:type="dxa"/>
            <w:vAlign w:val="center"/>
          </w:tcPr>
          <w:p w14:paraId="312FC834">
            <w:pPr>
              <w:pStyle w:val="12"/>
            </w:pPr>
            <w:r>
              <w:t>社会保障和就业支出</w:t>
            </w:r>
          </w:p>
        </w:tc>
        <w:tc>
          <w:tcPr>
            <w:tcW w:w="1134" w:type="dxa"/>
            <w:vAlign w:val="center"/>
          </w:tcPr>
          <w:p w14:paraId="54709711">
            <w:pPr>
              <w:pStyle w:val="11"/>
            </w:pPr>
            <w:r>
              <w:t>74.92</w:t>
            </w:r>
          </w:p>
        </w:tc>
        <w:tc>
          <w:tcPr>
            <w:tcW w:w="1134" w:type="dxa"/>
            <w:vAlign w:val="center"/>
          </w:tcPr>
          <w:p w14:paraId="6EE009F1">
            <w:pPr>
              <w:pStyle w:val="11"/>
            </w:pPr>
            <w:r>
              <w:t>74.92</w:t>
            </w:r>
          </w:p>
        </w:tc>
        <w:tc>
          <w:tcPr>
            <w:tcW w:w="1134" w:type="dxa"/>
            <w:vAlign w:val="center"/>
          </w:tcPr>
          <w:p w14:paraId="477F556B">
            <w:pPr>
              <w:pStyle w:val="11"/>
            </w:pPr>
            <w:r>
              <w:t>74.92</w:t>
            </w:r>
          </w:p>
        </w:tc>
        <w:tc>
          <w:tcPr>
            <w:tcW w:w="1134" w:type="dxa"/>
            <w:vAlign w:val="center"/>
          </w:tcPr>
          <w:p w14:paraId="0515BA7E">
            <w:pPr>
              <w:pStyle w:val="11"/>
            </w:pPr>
          </w:p>
        </w:tc>
        <w:tc>
          <w:tcPr>
            <w:tcW w:w="1134" w:type="dxa"/>
            <w:vAlign w:val="center"/>
          </w:tcPr>
          <w:p w14:paraId="1DF18A74">
            <w:pPr>
              <w:pStyle w:val="11"/>
            </w:pPr>
          </w:p>
        </w:tc>
        <w:tc>
          <w:tcPr>
            <w:tcW w:w="1134" w:type="dxa"/>
            <w:vAlign w:val="center"/>
          </w:tcPr>
          <w:p w14:paraId="72F2E511">
            <w:pPr>
              <w:pStyle w:val="11"/>
            </w:pPr>
          </w:p>
        </w:tc>
        <w:tc>
          <w:tcPr>
            <w:tcW w:w="1134" w:type="dxa"/>
            <w:vAlign w:val="center"/>
          </w:tcPr>
          <w:p w14:paraId="67007BBE">
            <w:pPr>
              <w:pStyle w:val="11"/>
            </w:pPr>
          </w:p>
        </w:tc>
        <w:tc>
          <w:tcPr>
            <w:tcW w:w="1134" w:type="dxa"/>
            <w:vAlign w:val="center"/>
          </w:tcPr>
          <w:p w14:paraId="6C910D8A">
            <w:pPr>
              <w:pStyle w:val="11"/>
            </w:pPr>
          </w:p>
        </w:tc>
        <w:tc>
          <w:tcPr>
            <w:tcW w:w="1134" w:type="dxa"/>
            <w:vAlign w:val="center"/>
          </w:tcPr>
          <w:p w14:paraId="547C50F9">
            <w:pPr>
              <w:pStyle w:val="11"/>
            </w:pPr>
          </w:p>
        </w:tc>
        <w:tc>
          <w:tcPr>
            <w:tcW w:w="1134" w:type="dxa"/>
            <w:vAlign w:val="center"/>
          </w:tcPr>
          <w:p w14:paraId="0FB1DEBA">
            <w:pPr>
              <w:pStyle w:val="11"/>
            </w:pPr>
          </w:p>
        </w:tc>
      </w:tr>
      <w:tr w14:paraId="444E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0D57E">
            <w:pPr>
              <w:pStyle w:val="13"/>
            </w:pPr>
            <w:r>
              <w:t>8</w:t>
            </w:r>
          </w:p>
        </w:tc>
        <w:tc>
          <w:tcPr>
            <w:tcW w:w="992" w:type="dxa"/>
            <w:vAlign w:val="center"/>
          </w:tcPr>
          <w:p w14:paraId="0635F798">
            <w:pPr>
              <w:pStyle w:val="12"/>
            </w:pPr>
            <w:r>
              <w:t>20805</w:t>
            </w:r>
          </w:p>
        </w:tc>
        <w:tc>
          <w:tcPr>
            <w:tcW w:w="1559" w:type="dxa"/>
            <w:vAlign w:val="center"/>
          </w:tcPr>
          <w:p w14:paraId="514582F7">
            <w:pPr>
              <w:pStyle w:val="12"/>
            </w:pPr>
            <w:r>
              <w:t>行政事业单位养老支出</w:t>
            </w:r>
          </w:p>
        </w:tc>
        <w:tc>
          <w:tcPr>
            <w:tcW w:w="1134" w:type="dxa"/>
            <w:vAlign w:val="center"/>
          </w:tcPr>
          <w:p w14:paraId="4F0AB175">
            <w:pPr>
              <w:pStyle w:val="11"/>
            </w:pPr>
            <w:r>
              <w:t>74.92</w:t>
            </w:r>
          </w:p>
        </w:tc>
        <w:tc>
          <w:tcPr>
            <w:tcW w:w="1134" w:type="dxa"/>
            <w:vAlign w:val="center"/>
          </w:tcPr>
          <w:p w14:paraId="7036FD5F">
            <w:pPr>
              <w:pStyle w:val="11"/>
            </w:pPr>
            <w:r>
              <w:t>74.92</w:t>
            </w:r>
          </w:p>
        </w:tc>
        <w:tc>
          <w:tcPr>
            <w:tcW w:w="1134" w:type="dxa"/>
            <w:vAlign w:val="center"/>
          </w:tcPr>
          <w:p w14:paraId="22DF060F">
            <w:pPr>
              <w:pStyle w:val="11"/>
            </w:pPr>
            <w:r>
              <w:t>74.92</w:t>
            </w:r>
          </w:p>
        </w:tc>
        <w:tc>
          <w:tcPr>
            <w:tcW w:w="1134" w:type="dxa"/>
            <w:vAlign w:val="center"/>
          </w:tcPr>
          <w:p w14:paraId="44D58084">
            <w:pPr>
              <w:pStyle w:val="11"/>
            </w:pPr>
          </w:p>
        </w:tc>
        <w:tc>
          <w:tcPr>
            <w:tcW w:w="1134" w:type="dxa"/>
            <w:vAlign w:val="center"/>
          </w:tcPr>
          <w:p w14:paraId="3EA8C9B0">
            <w:pPr>
              <w:pStyle w:val="11"/>
            </w:pPr>
          </w:p>
        </w:tc>
        <w:tc>
          <w:tcPr>
            <w:tcW w:w="1134" w:type="dxa"/>
            <w:vAlign w:val="center"/>
          </w:tcPr>
          <w:p w14:paraId="21164EE1">
            <w:pPr>
              <w:pStyle w:val="11"/>
            </w:pPr>
          </w:p>
        </w:tc>
        <w:tc>
          <w:tcPr>
            <w:tcW w:w="1134" w:type="dxa"/>
            <w:vAlign w:val="center"/>
          </w:tcPr>
          <w:p w14:paraId="5B12E2D2">
            <w:pPr>
              <w:pStyle w:val="11"/>
            </w:pPr>
          </w:p>
        </w:tc>
        <w:tc>
          <w:tcPr>
            <w:tcW w:w="1134" w:type="dxa"/>
            <w:vAlign w:val="center"/>
          </w:tcPr>
          <w:p w14:paraId="0DF60C91">
            <w:pPr>
              <w:pStyle w:val="11"/>
            </w:pPr>
          </w:p>
        </w:tc>
        <w:tc>
          <w:tcPr>
            <w:tcW w:w="1134" w:type="dxa"/>
            <w:vAlign w:val="center"/>
          </w:tcPr>
          <w:p w14:paraId="6469A6F1">
            <w:pPr>
              <w:pStyle w:val="11"/>
            </w:pPr>
          </w:p>
        </w:tc>
        <w:tc>
          <w:tcPr>
            <w:tcW w:w="1134" w:type="dxa"/>
            <w:vAlign w:val="center"/>
          </w:tcPr>
          <w:p w14:paraId="478ABE81">
            <w:pPr>
              <w:pStyle w:val="11"/>
            </w:pPr>
          </w:p>
        </w:tc>
      </w:tr>
      <w:tr w14:paraId="4039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4DD6A">
            <w:pPr>
              <w:pStyle w:val="13"/>
            </w:pPr>
            <w:r>
              <w:t>9</w:t>
            </w:r>
          </w:p>
        </w:tc>
        <w:tc>
          <w:tcPr>
            <w:tcW w:w="992" w:type="dxa"/>
            <w:vAlign w:val="center"/>
          </w:tcPr>
          <w:p w14:paraId="38244AEA">
            <w:pPr>
              <w:pStyle w:val="12"/>
            </w:pPr>
            <w:r>
              <w:t>2080505</w:t>
            </w:r>
          </w:p>
        </w:tc>
        <w:tc>
          <w:tcPr>
            <w:tcW w:w="1559" w:type="dxa"/>
            <w:vAlign w:val="center"/>
          </w:tcPr>
          <w:p w14:paraId="2E80FB73">
            <w:pPr>
              <w:pStyle w:val="12"/>
            </w:pPr>
            <w:r>
              <w:t>机关事业单位基本养老保险缴费支出</w:t>
            </w:r>
          </w:p>
        </w:tc>
        <w:tc>
          <w:tcPr>
            <w:tcW w:w="1134" w:type="dxa"/>
            <w:vAlign w:val="center"/>
          </w:tcPr>
          <w:p w14:paraId="26EB5496">
            <w:pPr>
              <w:pStyle w:val="11"/>
            </w:pPr>
            <w:r>
              <w:t>74.92</w:t>
            </w:r>
          </w:p>
        </w:tc>
        <w:tc>
          <w:tcPr>
            <w:tcW w:w="1134" w:type="dxa"/>
            <w:vAlign w:val="center"/>
          </w:tcPr>
          <w:p w14:paraId="43700843">
            <w:pPr>
              <w:pStyle w:val="11"/>
            </w:pPr>
            <w:r>
              <w:t>74.92</w:t>
            </w:r>
          </w:p>
        </w:tc>
        <w:tc>
          <w:tcPr>
            <w:tcW w:w="1134" w:type="dxa"/>
            <w:vAlign w:val="center"/>
          </w:tcPr>
          <w:p w14:paraId="01C7930A">
            <w:pPr>
              <w:pStyle w:val="11"/>
            </w:pPr>
            <w:r>
              <w:t>74.92</w:t>
            </w:r>
          </w:p>
        </w:tc>
        <w:tc>
          <w:tcPr>
            <w:tcW w:w="1134" w:type="dxa"/>
            <w:vAlign w:val="center"/>
          </w:tcPr>
          <w:p w14:paraId="03096645">
            <w:pPr>
              <w:pStyle w:val="11"/>
            </w:pPr>
          </w:p>
        </w:tc>
        <w:tc>
          <w:tcPr>
            <w:tcW w:w="1134" w:type="dxa"/>
            <w:vAlign w:val="center"/>
          </w:tcPr>
          <w:p w14:paraId="4B61D0A3">
            <w:pPr>
              <w:pStyle w:val="11"/>
            </w:pPr>
          </w:p>
        </w:tc>
        <w:tc>
          <w:tcPr>
            <w:tcW w:w="1134" w:type="dxa"/>
            <w:vAlign w:val="center"/>
          </w:tcPr>
          <w:p w14:paraId="76C1740B">
            <w:pPr>
              <w:pStyle w:val="11"/>
            </w:pPr>
          </w:p>
        </w:tc>
        <w:tc>
          <w:tcPr>
            <w:tcW w:w="1134" w:type="dxa"/>
            <w:vAlign w:val="center"/>
          </w:tcPr>
          <w:p w14:paraId="2D3FC7DC">
            <w:pPr>
              <w:pStyle w:val="11"/>
            </w:pPr>
          </w:p>
        </w:tc>
        <w:tc>
          <w:tcPr>
            <w:tcW w:w="1134" w:type="dxa"/>
            <w:vAlign w:val="center"/>
          </w:tcPr>
          <w:p w14:paraId="0E5AE354">
            <w:pPr>
              <w:pStyle w:val="11"/>
            </w:pPr>
          </w:p>
        </w:tc>
        <w:tc>
          <w:tcPr>
            <w:tcW w:w="1134" w:type="dxa"/>
            <w:vAlign w:val="center"/>
          </w:tcPr>
          <w:p w14:paraId="3A197012">
            <w:pPr>
              <w:pStyle w:val="11"/>
            </w:pPr>
          </w:p>
        </w:tc>
        <w:tc>
          <w:tcPr>
            <w:tcW w:w="1134" w:type="dxa"/>
            <w:vAlign w:val="center"/>
          </w:tcPr>
          <w:p w14:paraId="72CE6C75">
            <w:pPr>
              <w:pStyle w:val="11"/>
            </w:pPr>
          </w:p>
        </w:tc>
      </w:tr>
      <w:tr w14:paraId="3DF8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30E3D">
            <w:pPr>
              <w:pStyle w:val="13"/>
            </w:pPr>
            <w:r>
              <w:t>10</w:t>
            </w:r>
          </w:p>
        </w:tc>
        <w:tc>
          <w:tcPr>
            <w:tcW w:w="992" w:type="dxa"/>
            <w:vAlign w:val="center"/>
          </w:tcPr>
          <w:p w14:paraId="1A6AF75B">
            <w:pPr>
              <w:pStyle w:val="12"/>
            </w:pPr>
            <w:r>
              <w:t>210</w:t>
            </w:r>
          </w:p>
        </w:tc>
        <w:tc>
          <w:tcPr>
            <w:tcW w:w="1559" w:type="dxa"/>
            <w:vAlign w:val="center"/>
          </w:tcPr>
          <w:p w14:paraId="536E6B16">
            <w:pPr>
              <w:pStyle w:val="12"/>
            </w:pPr>
            <w:r>
              <w:t>卫生健康支出</w:t>
            </w:r>
          </w:p>
        </w:tc>
        <w:tc>
          <w:tcPr>
            <w:tcW w:w="1134" w:type="dxa"/>
            <w:vAlign w:val="center"/>
          </w:tcPr>
          <w:p w14:paraId="2D9DD2A8">
            <w:pPr>
              <w:pStyle w:val="11"/>
            </w:pPr>
            <w:r>
              <w:t>33.71</w:t>
            </w:r>
          </w:p>
        </w:tc>
        <w:tc>
          <w:tcPr>
            <w:tcW w:w="1134" w:type="dxa"/>
            <w:vAlign w:val="center"/>
          </w:tcPr>
          <w:p w14:paraId="6520C8BB">
            <w:pPr>
              <w:pStyle w:val="11"/>
            </w:pPr>
            <w:r>
              <w:t>33.71</w:t>
            </w:r>
          </w:p>
        </w:tc>
        <w:tc>
          <w:tcPr>
            <w:tcW w:w="1134" w:type="dxa"/>
            <w:vAlign w:val="center"/>
          </w:tcPr>
          <w:p w14:paraId="3664EFA7">
            <w:pPr>
              <w:pStyle w:val="11"/>
            </w:pPr>
            <w:r>
              <w:t>33.71</w:t>
            </w:r>
          </w:p>
        </w:tc>
        <w:tc>
          <w:tcPr>
            <w:tcW w:w="1134" w:type="dxa"/>
            <w:vAlign w:val="center"/>
          </w:tcPr>
          <w:p w14:paraId="5DB82B3E">
            <w:pPr>
              <w:pStyle w:val="11"/>
            </w:pPr>
          </w:p>
        </w:tc>
        <w:tc>
          <w:tcPr>
            <w:tcW w:w="1134" w:type="dxa"/>
            <w:vAlign w:val="center"/>
          </w:tcPr>
          <w:p w14:paraId="44F68DC0">
            <w:pPr>
              <w:pStyle w:val="11"/>
            </w:pPr>
          </w:p>
        </w:tc>
        <w:tc>
          <w:tcPr>
            <w:tcW w:w="1134" w:type="dxa"/>
            <w:vAlign w:val="center"/>
          </w:tcPr>
          <w:p w14:paraId="4AB7DC39">
            <w:pPr>
              <w:pStyle w:val="11"/>
            </w:pPr>
          </w:p>
        </w:tc>
        <w:tc>
          <w:tcPr>
            <w:tcW w:w="1134" w:type="dxa"/>
            <w:vAlign w:val="center"/>
          </w:tcPr>
          <w:p w14:paraId="4201903F">
            <w:pPr>
              <w:pStyle w:val="11"/>
            </w:pPr>
          </w:p>
        </w:tc>
        <w:tc>
          <w:tcPr>
            <w:tcW w:w="1134" w:type="dxa"/>
            <w:vAlign w:val="center"/>
          </w:tcPr>
          <w:p w14:paraId="50EFAC9D">
            <w:pPr>
              <w:pStyle w:val="11"/>
            </w:pPr>
          </w:p>
        </w:tc>
        <w:tc>
          <w:tcPr>
            <w:tcW w:w="1134" w:type="dxa"/>
            <w:vAlign w:val="center"/>
          </w:tcPr>
          <w:p w14:paraId="12BEE4B9">
            <w:pPr>
              <w:pStyle w:val="11"/>
            </w:pPr>
          </w:p>
        </w:tc>
        <w:tc>
          <w:tcPr>
            <w:tcW w:w="1134" w:type="dxa"/>
            <w:vAlign w:val="center"/>
          </w:tcPr>
          <w:p w14:paraId="176AF6B2">
            <w:pPr>
              <w:pStyle w:val="11"/>
            </w:pPr>
          </w:p>
        </w:tc>
      </w:tr>
      <w:tr w14:paraId="5C724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7ACBB">
            <w:pPr>
              <w:pStyle w:val="13"/>
            </w:pPr>
            <w:r>
              <w:t>11</w:t>
            </w:r>
          </w:p>
        </w:tc>
        <w:tc>
          <w:tcPr>
            <w:tcW w:w="992" w:type="dxa"/>
            <w:vAlign w:val="center"/>
          </w:tcPr>
          <w:p w14:paraId="15C8F708">
            <w:pPr>
              <w:pStyle w:val="12"/>
            </w:pPr>
            <w:r>
              <w:t>21011</w:t>
            </w:r>
          </w:p>
        </w:tc>
        <w:tc>
          <w:tcPr>
            <w:tcW w:w="1559" w:type="dxa"/>
            <w:vAlign w:val="center"/>
          </w:tcPr>
          <w:p w14:paraId="46AF3FC2">
            <w:pPr>
              <w:pStyle w:val="12"/>
            </w:pPr>
            <w:r>
              <w:t>行政事业单位医疗</w:t>
            </w:r>
          </w:p>
        </w:tc>
        <w:tc>
          <w:tcPr>
            <w:tcW w:w="1134" w:type="dxa"/>
            <w:vAlign w:val="center"/>
          </w:tcPr>
          <w:p w14:paraId="19E54AFF">
            <w:pPr>
              <w:pStyle w:val="11"/>
            </w:pPr>
            <w:r>
              <w:t>33.71</w:t>
            </w:r>
          </w:p>
        </w:tc>
        <w:tc>
          <w:tcPr>
            <w:tcW w:w="1134" w:type="dxa"/>
            <w:vAlign w:val="center"/>
          </w:tcPr>
          <w:p w14:paraId="2186022F">
            <w:pPr>
              <w:pStyle w:val="11"/>
            </w:pPr>
            <w:r>
              <w:t>33.71</w:t>
            </w:r>
          </w:p>
        </w:tc>
        <w:tc>
          <w:tcPr>
            <w:tcW w:w="1134" w:type="dxa"/>
            <w:vAlign w:val="center"/>
          </w:tcPr>
          <w:p w14:paraId="0AC3974B">
            <w:pPr>
              <w:pStyle w:val="11"/>
            </w:pPr>
            <w:r>
              <w:t>33.71</w:t>
            </w:r>
          </w:p>
        </w:tc>
        <w:tc>
          <w:tcPr>
            <w:tcW w:w="1134" w:type="dxa"/>
            <w:vAlign w:val="center"/>
          </w:tcPr>
          <w:p w14:paraId="33B9A8A5">
            <w:pPr>
              <w:pStyle w:val="11"/>
            </w:pPr>
          </w:p>
        </w:tc>
        <w:tc>
          <w:tcPr>
            <w:tcW w:w="1134" w:type="dxa"/>
            <w:vAlign w:val="center"/>
          </w:tcPr>
          <w:p w14:paraId="5B919BEE">
            <w:pPr>
              <w:pStyle w:val="11"/>
            </w:pPr>
          </w:p>
        </w:tc>
        <w:tc>
          <w:tcPr>
            <w:tcW w:w="1134" w:type="dxa"/>
            <w:vAlign w:val="center"/>
          </w:tcPr>
          <w:p w14:paraId="36E36239">
            <w:pPr>
              <w:pStyle w:val="11"/>
            </w:pPr>
          </w:p>
        </w:tc>
        <w:tc>
          <w:tcPr>
            <w:tcW w:w="1134" w:type="dxa"/>
            <w:vAlign w:val="center"/>
          </w:tcPr>
          <w:p w14:paraId="592B5E1A">
            <w:pPr>
              <w:pStyle w:val="11"/>
            </w:pPr>
          </w:p>
        </w:tc>
        <w:tc>
          <w:tcPr>
            <w:tcW w:w="1134" w:type="dxa"/>
            <w:vAlign w:val="center"/>
          </w:tcPr>
          <w:p w14:paraId="5CCA9AB6">
            <w:pPr>
              <w:pStyle w:val="11"/>
            </w:pPr>
          </w:p>
        </w:tc>
        <w:tc>
          <w:tcPr>
            <w:tcW w:w="1134" w:type="dxa"/>
            <w:vAlign w:val="center"/>
          </w:tcPr>
          <w:p w14:paraId="44B3EA4F">
            <w:pPr>
              <w:pStyle w:val="11"/>
            </w:pPr>
          </w:p>
        </w:tc>
        <w:tc>
          <w:tcPr>
            <w:tcW w:w="1134" w:type="dxa"/>
            <w:vAlign w:val="center"/>
          </w:tcPr>
          <w:p w14:paraId="30E1CB6A">
            <w:pPr>
              <w:pStyle w:val="11"/>
            </w:pPr>
          </w:p>
        </w:tc>
      </w:tr>
      <w:tr w14:paraId="60EA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645C4">
            <w:pPr>
              <w:pStyle w:val="13"/>
            </w:pPr>
            <w:r>
              <w:t>12</w:t>
            </w:r>
          </w:p>
        </w:tc>
        <w:tc>
          <w:tcPr>
            <w:tcW w:w="992" w:type="dxa"/>
            <w:vAlign w:val="center"/>
          </w:tcPr>
          <w:p w14:paraId="0C786512">
            <w:pPr>
              <w:pStyle w:val="12"/>
            </w:pPr>
            <w:r>
              <w:t>2101102</w:t>
            </w:r>
          </w:p>
        </w:tc>
        <w:tc>
          <w:tcPr>
            <w:tcW w:w="1559" w:type="dxa"/>
            <w:vAlign w:val="center"/>
          </w:tcPr>
          <w:p w14:paraId="29A33808">
            <w:pPr>
              <w:pStyle w:val="12"/>
            </w:pPr>
            <w:r>
              <w:t>事业单位医疗</w:t>
            </w:r>
          </w:p>
        </w:tc>
        <w:tc>
          <w:tcPr>
            <w:tcW w:w="1134" w:type="dxa"/>
            <w:vAlign w:val="center"/>
          </w:tcPr>
          <w:p w14:paraId="79645A3B">
            <w:pPr>
              <w:pStyle w:val="11"/>
            </w:pPr>
            <w:r>
              <w:t>33.71</w:t>
            </w:r>
          </w:p>
        </w:tc>
        <w:tc>
          <w:tcPr>
            <w:tcW w:w="1134" w:type="dxa"/>
            <w:vAlign w:val="center"/>
          </w:tcPr>
          <w:p w14:paraId="41B70D1C">
            <w:pPr>
              <w:pStyle w:val="11"/>
            </w:pPr>
            <w:r>
              <w:t>33.71</w:t>
            </w:r>
          </w:p>
        </w:tc>
        <w:tc>
          <w:tcPr>
            <w:tcW w:w="1134" w:type="dxa"/>
            <w:vAlign w:val="center"/>
          </w:tcPr>
          <w:p w14:paraId="22EB97A7">
            <w:pPr>
              <w:pStyle w:val="11"/>
            </w:pPr>
            <w:r>
              <w:t>33.71</w:t>
            </w:r>
          </w:p>
        </w:tc>
        <w:tc>
          <w:tcPr>
            <w:tcW w:w="1134" w:type="dxa"/>
            <w:vAlign w:val="center"/>
          </w:tcPr>
          <w:p w14:paraId="21E3AD59">
            <w:pPr>
              <w:pStyle w:val="11"/>
            </w:pPr>
          </w:p>
        </w:tc>
        <w:tc>
          <w:tcPr>
            <w:tcW w:w="1134" w:type="dxa"/>
            <w:vAlign w:val="center"/>
          </w:tcPr>
          <w:p w14:paraId="4F249662">
            <w:pPr>
              <w:pStyle w:val="11"/>
            </w:pPr>
          </w:p>
        </w:tc>
        <w:tc>
          <w:tcPr>
            <w:tcW w:w="1134" w:type="dxa"/>
            <w:vAlign w:val="center"/>
          </w:tcPr>
          <w:p w14:paraId="3907A1A4">
            <w:pPr>
              <w:pStyle w:val="11"/>
            </w:pPr>
          </w:p>
        </w:tc>
        <w:tc>
          <w:tcPr>
            <w:tcW w:w="1134" w:type="dxa"/>
            <w:vAlign w:val="center"/>
          </w:tcPr>
          <w:p w14:paraId="2FADD749">
            <w:pPr>
              <w:pStyle w:val="11"/>
            </w:pPr>
          </w:p>
        </w:tc>
        <w:tc>
          <w:tcPr>
            <w:tcW w:w="1134" w:type="dxa"/>
            <w:vAlign w:val="center"/>
          </w:tcPr>
          <w:p w14:paraId="0DF74F51">
            <w:pPr>
              <w:pStyle w:val="11"/>
            </w:pPr>
          </w:p>
        </w:tc>
        <w:tc>
          <w:tcPr>
            <w:tcW w:w="1134" w:type="dxa"/>
            <w:vAlign w:val="center"/>
          </w:tcPr>
          <w:p w14:paraId="2ABBE825">
            <w:pPr>
              <w:pStyle w:val="11"/>
            </w:pPr>
          </w:p>
        </w:tc>
        <w:tc>
          <w:tcPr>
            <w:tcW w:w="1134" w:type="dxa"/>
            <w:vAlign w:val="center"/>
          </w:tcPr>
          <w:p w14:paraId="0E169EAD">
            <w:pPr>
              <w:pStyle w:val="11"/>
            </w:pPr>
          </w:p>
        </w:tc>
      </w:tr>
    </w:tbl>
    <w:p w14:paraId="5B3E79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C465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E8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03738A">
            <w:pPr>
              <w:pStyle w:val="9"/>
            </w:pPr>
            <w:r>
              <w:t>360028隆尧县教师发展中心</w:t>
            </w:r>
          </w:p>
        </w:tc>
        <w:tc>
          <w:tcPr>
            <w:tcW w:w="2722" w:type="dxa"/>
            <w:gridSpan w:val="2"/>
            <w:tcBorders>
              <w:top w:val="single" w:color="FFFFFF" w:sz="6" w:space="0"/>
              <w:left w:val="single" w:color="FFFFFF" w:sz="6" w:space="0"/>
              <w:right w:val="single" w:color="FFFFFF" w:sz="6" w:space="0"/>
            </w:tcBorders>
            <w:vAlign w:val="center"/>
          </w:tcPr>
          <w:p w14:paraId="31F1650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76EBF16">
            <w:pPr>
              <w:pStyle w:val="7"/>
            </w:pPr>
            <w:r>
              <w:t>单位：万元</w:t>
            </w:r>
          </w:p>
        </w:tc>
      </w:tr>
      <w:tr w14:paraId="0666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623CDB">
            <w:pPr>
              <w:pStyle w:val="10"/>
            </w:pPr>
            <w:r>
              <w:t>序号</w:t>
            </w:r>
          </w:p>
        </w:tc>
        <w:tc>
          <w:tcPr>
            <w:tcW w:w="5527" w:type="dxa"/>
            <w:gridSpan w:val="2"/>
            <w:vAlign w:val="center"/>
          </w:tcPr>
          <w:p w14:paraId="71C042EF">
            <w:pPr>
              <w:pStyle w:val="10"/>
            </w:pPr>
            <w:r>
              <w:t>功能分类科目</w:t>
            </w:r>
          </w:p>
        </w:tc>
        <w:tc>
          <w:tcPr>
            <w:tcW w:w="1361" w:type="dxa"/>
            <w:vMerge w:val="restart"/>
            <w:vAlign w:val="center"/>
          </w:tcPr>
          <w:p w14:paraId="1226C06D">
            <w:pPr>
              <w:pStyle w:val="10"/>
            </w:pPr>
            <w:r>
              <w:t>合计</w:t>
            </w:r>
          </w:p>
        </w:tc>
        <w:tc>
          <w:tcPr>
            <w:tcW w:w="1361" w:type="dxa"/>
            <w:vMerge w:val="restart"/>
            <w:vAlign w:val="center"/>
          </w:tcPr>
          <w:p w14:paraId="000D0B79">
            <w:pPr>
              <w:pStyle w:val="10"/>
            </w:pPr>
            <w:r>
              <w:t>基本支出</w:t>
            </w:r>
          </w:p>
        </w:tc>
        <w:tc>
          <w:tcPr>
            <w:tcW w:w="1361" w:type="dxa"/>
            <w:vMerge w:val="restart"/>
            <w:vAlign w:val="center"/>
          </w:tcPr>
          <w:p w14:paraId="3F4A417E">
            <w:pPr>
              <w:pStyle w:val="10"/>
            </w:pPr>
            <w:r>
              <w:t>项目支出</w:t>
            </w:r>
          </w:p>
        </w:tc>
        <w:tc>
          <w:tcPr>
            <w:tcW w:w="1361" w:type="dxa"/>
            <w:vMerge w:val="restart"/>
            <w:vAlign w:val="center"/>
          </w:tcPr>
          <w:p w14:paraId="5C98BA74">
            <w:pPr>
              <w:pStyle w:val="10"/>
            </w:pPr>
            <w:r>
              <w:t>经营支出</w:t>
            </w:r>
          </w:p>
        </w:tc>
        <w:tc>
          <w:tcPr>
            <w:tcW w:w="1361" w:type="dxa"/>
            <w:vMerge w:val="restart"/>
            <w:vAlign w:val="center"/>
          </w:tcPr>
          <w:p w14:paraId="72A28BE7">
            <w:pPr>
              <w:pStyle w:val="10"/>
            </w:pPr>
            <w:r>
              <w:t>上解上级     支出</w:t>
            </w:r>
          </w:p>
        </w:tc>
        <w:tc>
          <w:tcPr>
            <w:tcW w:w="1361" w:type="dxa"/>
            <w:vMerge w:val="restart"/>
            <w:vAlign w:val="center"/>
          </w:tcPr>
          <w:p w14:paraId="715776BB">
            <w:pPr>
              <w:pStyle w:val="10"/>
            </w:pPr>
            <w:r>
              <w:t>对附属单位补助支出</w:t>
            </w:r>
          </w:p>
        </w:tc>
      </w:tr>
      <w:tr w14:paraId="5639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AFD50"/>
        </w:tc>
        <w:tc>
          <w:tcPr>
            <w:tcW w:w="992" w:type="dxa"/>
            <w:vAlign w:val="center"/>
          </w:tcPr>
          <w:p w14:paraId="124B3921">
            <w:pPr>
              <w:pStyle w:val="10"/>
            </w:pPr>
            <w:r>
              <w:t>科目    编码</w:t>
            </w:r>
          </w:p>
        </w:tc>
        <w:tc>
          <w:tcPr>
            <w:tcW w:w="4535" w:type="dxa"/>
            <w:vAlign w:val="center"/>
          </w:tcPr>
          <w:p w14:paraId="29FA0C8E">
            <w:pPr>
              <w:pStyle w:val="10"/>
            </w:pPr>
            <w:r>
              <w:t>科目名称</w:t>
            </w:r>
          </w:p>
        </w:tc>
        <w:tc>
          <w:tcPr>
            <w:tcW w:w="1361" w:type="dxa"/>
            <w:vMerge w:val="continue"/>
          </w:tcPr>
          <w:p w14:paraId="0DCC5802"/>
        </w:tc>
        <w:tc>
          <w:tcPr>
            <w:tcW w:w="1361" w:type="dxa"/>
            <w:vMerge w:val="continue"/>
          </w:tcPr>
          <w:p w14:paraId="4A5880D8"/>
        </w:tc>
        <w:tc>
          <w:tcPr>
            <w:tcW w:w="1361" w:type="dxa"/>
            <w:vMerge w:val="continue"/>
          </w:tcPr>
          <w:p w14:paraId="3C0F229F"/>
        </w:tc>
        <w:tc>
          <w:tcPr>
            <w:tcW w:w="1361" w:type="dxa"/>
            <w:vMerge w:val="continue"/>
          </w:tcPr>
          <w:p w14:paraId="0E349DA2"/>
        </w:tc>
        <w:tc>
          <w:tcPr>
            <w:tcW w:w="1361" w:type="dxa"/>
            <w:vMerge w:val="continue"/>
          </w:tcPr>
          <w:p w14:paraId="604A2449"/>
        </w:tc>
        <w:tc>
          <w:tcPr>
            <w:tcW w:w="1361" w:type="dxa"/>
            <w:vMerge w:val="continue"/>
          </w:tcPr>
          <w:p w14:paraId="169721E9"/>
        </w:tc>
      </w:tr>
      <w:tr w14:paraId="1523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EC27F">
            <w:pPr>
              <w:pStyle w:val="10"/>
            </w:pPr>
            <w:r>
              <w:t>栏次</w:t>
            </w:r>
          </w:p>
        </w:tc>
        <w:tc>
          <w:tcPr>
            <w:tcW w:w="992" w:type="dxa"/>
            <w:vAlign w:val="center"/>
          </w:tcPr>
          <w:p w14:paraId="0CB503FB">
            <w:pPr>
              <w:pStyle w:val="10"/>
            </w:pPr>
            <w:r>
              <w:t>1</w:t>
            </w:r>
          </w:p>
        </w:tc>
        <w:tc>
          <w:tcPr>
            <w:tcW w:w="4535" w:type="dxa"/>
            <w:vAlign w:val="center"/>
          </w:tcPr>
          <w:p w14:paraId="6C96BD14">
            <w:pPr>
              <w:pStyle w:val="10"/>
            </w:pPr>
            <w:r>
              <w:t>2</w:t>
            </w:r>
          </w:p>
        </w:tc>
        <w:tc>
          <w:tcPr>
            <w:tcW w:w="1361" w:type="dxa"/>
            <w:vAlign w:val="center"/>
          </w:tcPr>
          <w:p w14:paraId="6050ABD2">
            <w:pPr>
              <w:pStyle w:val="10"/>
            </w:pPr>
            <w:r>
              <w:t>3</w:t>
            </w:r>
          </w:p>
        </w:tc>
        <w:tc>
          <w:tcPr>
            <w:tcW w:w="1361" w:type="dxa"/>
            <w:vAlign w:val="center"/>
          </w:tcPr>
          <w:p w14:paraId="073EA636">
            <w:pPr>
              <w:pStyle w:val="10"/>
            </w:pPr>
            <w:r>
              <w:t>4</w:t>
            </w:r>
          </w:p>
        </w:tc>
        <w:tc>
          <w:tcPr>
            <w:tcW w:w="1361" w:type="dxa"/>
            <w:vAlign w:val="center"/>
          </w:tcPr>
          <w:p w14:paraId="6A5000BB">
            <w:pPr>
              <w:pStyle w:val="10"/>
            </w:pPr>
            <w:r>
              <w:t>5</w:t>
            </w:r>
          </w:p>
        </w:tc>
        <w:tc>
          <w:tcPr>
            <w:tcW w:w="1361" w:type="dxa"/>
            <w:vAlign w:val="center"/>
          </w:tcPr>
          <w:p w14:paraId="70AE06BF">
            <w:pPr>
              <w:pStyle w:val="10"/>
            </w:pPr>
            <w:r>
              <w:t>6</w:t>
            </w:r>
          </w:p>
        </w:tc>
        <w:tc>
          <w:tcPr>
            <w:tcW w:w="1361" w:type="dxa"/>
            <w:vAlign w:val="center"/>
          </w:tcPr>
          <w:p w14:paraId="34ABAAAD">
            <w:pPr>
              <w:pStyle w:val="10"/>
            </w:pPr>
            <w:r>
              <w:t>7</w:t>
            </w:r>
          </w:p>
        </w:tc>
        <w:tc>
          <w:tcPr>
            <w:tcW w:w="1361" w:type="dxa"/>
            <w:vAlign w:val="center"/>
          </w:tcPr>
          <w:p w14:paraId="3876BA30">
            <w:pPr>
              <w:pStyle w:val="10"/>
            </w:pPr>
            <w:r>
              <w:t>8</w:t>
            </w:r>
          </w:p>
        </w:tc>
      </w:tr>
      <w:tr w14:paraId="60F5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AB59">
            <w:pPr>
              <w:pStyle w:val="13"/>
            </w:pPr>
            <w:r>
              <w:t>1</w:t>
            </w:r>
          </w:p>
        </w:tc>
        <w:tc>
          <w:tcPr>
            <w:tcW w:w="992" w:type="dxa"/>
            <w:vAlign w:val="center"/>
          </w:tcPr>
          <w:p w14:paraId="6CCDFD0A">
            <w:pPr>
              <w:pStyle w:val="16"/>
            </w:pPr>
          </w:p>
        </w:tc>
        <w:tc>
          <w:tcPr>
            <w:tcW w:w="4535" w:type="dxa"/>
            <w:vAlign w:val="center"/>
          </w:tcPr>
          <w:p w14:paraId="69E4B703">
            <w:pPr>
              <w:pStyle w:val="14"/>
            </w:pPr>
            <w:r>
              <w:t>合计</w:t>
            </w:r>
          </w:p>
        </w:tc>
        <w:tc>
          <w:tcPr>
            <w:tcW w:w="1361" w:type="dxa"/>
            <w:vAlign w:val="center"/>
          </w:tcPr>
          <w:p w14:paraId="2760CE80">
            <w:pPr>
              <w:pStyle w:val="15"/>
            </w:pPr>
            <w:r>
              <w:t>953.13</w:t>
            </w:r>
          </w:p>
        </w:tc>
        <w:tc>
          <w:tcPr>
            <w:tcW w:w="1361" w:type="dxa"/>
            <w:vAlign w:val="center"/>
          </w:tcPr>
          <w:p w14:paraId="20F1B5A8">
            <w:pPr>
              <w:pStyle w:val="15"/>
            </w:pPr>
            <w:r>
              <w:t>765.19</w:t>
            </w:r>
          </w:p>
        </w:tc>
        <w:tc>
          <w:tcPr>
            <w:tcW w:w="1361" w:type="dxa"/>
            <w:vAlign w:val="center"/>
          </w:tcPr>
          <w:p w14:paraId="2056E52D">
            <w:pPr>
              <w:pStyle w:val="15"/>
            </w:pPr>
            <w:r>
              <w:t>187.95</w:t>
            </w:r>
          </w:p>
        </w:tc>
        <w:tc>
          <w:tcPr>
            <w:tcW w:w="1361" w:type="dxa"/>
            <w:vAlign w:val="center"/>
          </w:tcPr>
          <w:p w14:paraId="3C45AE1E">
            <w:pPr>
              <w:pStyle w:val="15"/>
            </w:pPr>
          </w:p>
        </w:tc>
        <w:tc>
          <w:tcPr>
            <w:tcW w:w="1361" w:type="dxa"/>
            <w:vAlign w:val="center"/>
          </w:tcPr>
          <w:p w14:paraId="73BCCC2C">
            <w:pPr>
              <w:pStyle w:val="15"/>
            </w:pPr>
          </w:p>
        </w:tc>
        <w:tc>
          <w:tcPr>
            <w:tcW w:w="1361" w:type="dxa"/>
            <w:vAlign w:val="center"/>
          </w:tcPr>
          <w:p w14:paraId="300697BE">
            <w:pPr>
              <w:pStyle w:val="15"/>
            </w:pPr>
          </w:p>
        </w:tc>
      </w:tr>
      <w:tr w14:paraId="3464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AF5C">
            <w:pPr>
              <w:pStyle w:val="13"/>
            </w:pPr>
            <w:r>
              <w:t>2</w:t>
            </w:r>
          </w:p>
        </w:tc>
        <w:tc>
          <w:tcPr>
            <w:tcW w:w="992" w:type="dxa"/>
            <w:vAlign w:val="center"/>
          </w:tcPr>
          <w:p w14:paraId="7D9DDEB2">
            <w:pPr>
              <w:pStyle w:val="12"/>
            </w:pPr>
            <w:r>
              <w:t>205</w:t>
            </w:r>
          </w:p>
        </w:tc>
        <w:tc>
          <w:tcPr>
            <w:tcW w:w="4535" w:type="dxa"/>
            <w:vAlign w:val="center"/>
          </w:tcPr>
          <w:p w14:paraId="2EAB3302">
            <w:pPr>
              <w:pStyle w:val="12"/>
            </w:pPr>
            <w:r>
              <w:t>教育支出</w:t>
            </w:r>
          </w:p>
        </w:tc>
        <w:tc>
          <w:tcPr>
            <w:tcW w:w="1361" w:type="dxa"/>
            <w:vAlign w:val="center"/>
          </w:tcPr>
          <w:p w14:paraId="5F2C6220">
            <w:pPr>
              <w:pStyle w:val="11"/>
            </w:pPr>
            <w:r>
              <w:t>844.50</w:t>
            </w:r>
          </w:p>
        </w:tc>
        <w:tc>
          <w:tcPr>
            <w:tcW w:w="1361" w:type="dxa"/>
            <w:vAlign w:val="center"/>
          </w:tcPr>
          <w:p w14:paraId="3BB94626">
            <w:pPr>
              <w:pStyle w:val="11"/>
            </w:pPr>
            <w:r>
              <w:t>656.55</w:t>
            </w:r>
          </w:p>
        </w:tc>
        <w:tc>
          <w:tcPr>
            <w:tcW w:w="1361" w:type="dxa"/>
            <w:vAlign w:val="center"/>
          </w:tcPr>
          <w:p w14:paraId="476BE101">
            <w:pPr>
              <w:pStyle w:val="11"/>
            </w:pPr>
            <w:r>
              <w:t>187.95</w:t>
            </w:r>
          </w:p>
        </w:tc>
        <w:tc>
          <w:tcPr>
            <w:tcW w:w="1361" w:type="dxa"/>
            <w:vAlign w:val="center"/>
          </w:tcPr>
          <w:p w14:paraId="6FE17579">
            <w:pPr>
              <w:pStyle w:val="11"/>
            </w:pPr>
          </w:p>
        </w:tc>
        <w:tc>
          <w:tcPr>
            <w:tcW w:w="1361" w:type="dxa"/>
            <w:vAlign w:val="center"/>
          </w:tcPr>
          <w:p w14:paraId="79381556">
            <w:pPr>
              <w:pStyle w:val="11"/>
            </w:pPr>
          </w:p>
        </w:tc>
        <w:tc>
          <w:tcPr>
            <w:tcW w:w="1361" w:type="dxa"/>
            <w:vAlign w:val="center"/>
          </w:tcPr>
          <w:p w14:paraId="495B9A6B">
            <w:pPr>
              <w:pStyle w:val="11"/>
            </w:pPr>
          </w:p>
        </w:tc>
      </w:tr>
      <w:tr w14:paraId="225C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1B4A">
            <w:pPr>
              <w:pStyle w:val="13"/>
            </w:pPr>
            <w:r>
              <w:t>3</w:t>
            </w:r>
          </w:p>
        </w:tc>
        <w:tc>
          <w:tcPr>
            <w:tcW w:w="992" w:type="dxa"/>
            <w:vAlign w:val="center"/>
          </w:tcPr>
          <w:p w14:paraId="7E0DEA8C">
            <w:pPr>
              <w:pStyle w:val="12"/>
            </w:pPr>
            <w:r>
              <w:t>20502</w:t>
            </w:r>
          </w:p>
        </w:tc>
        <w:tc>
          <w:tcPr>
            <w:tcW w:w="4535" w:type="dxa"/>
            <w:vAlign w:val="center"/>
          </w:tcPr>
          <w:p w14:paraId="72540279">
            <w:pPr>
              <w:pStyle w:val="12"/>
            </w:pPr>
            <w:r>
              <w:t>普通教育</w:t>
            </w:r>
          </w:p>
        </w:tc>
        <w:tc>
          <w:tcPr>
            <w:tcW w:w="1361" w:type="dxa"/>
            <w:vAlign w:val="center"/>
          </w:tcPr>
          <w:p w14:paraId="58854D5D">
            <w:pPr>
              <w:pStyle w:val="11"/>
            </w:pPr>
            <w:r>
              <w:t>55.21</w:t>
            </w:r>
          </w:p>
        </w:tc>
        <w:tc>
          <w:tcPr>
            <w:tcW w:w="1361" w:type="dxa"/>
            <w:vAlign w:val="center"/>
          </w:tcPr>
          <w:p w14:paraId="07BFA47E">
            <w:pPr>
              <w:pStyle w:val="11"/>
            </w:pPr>
            <w:r>
              <w:t>55.21</w:t>
            </w:r>
          </w:p>
        </w:tc>
        <w:tc>
          <w:tcPr>
            <w:tcW w:w="1361" w:type="dxa"/>
            <w:vAlign w:val="center"/>
          </w:tcPr>
          <w:p w14:paraId="6D1405AC">
            <w:pPr>
              <w:pStyle w:val="11"/>
            </w:pPr>
          </w:p>
        </w:tc>
        <w:tc>
          <w:tcPr>
            <w:tcW w:w="1361" w:type="dxa"/>
            <w:vAlign w:val="center"/>
          </w:tcPr>
          <w:p w14:paraId="3F1F3AA7">
            <w:pPr>
              <w:pStyle w:val="11"/>
            </w:pPr>
          </w:p>
        </w:tc>
        <w:tc>
          <w:tcPr>
            <w:tcW w:w="1361" w:type="dxa"/>
            <w:vAlign w:val="center"/>
          </w:tcPr>
          <w:p w14:paraId="5EB46A36">
            <w:pPr>
              <w:pStyle w:val="11"/>
            </w:pPr>
          </w:p>
        </w:tc>
        <w:tc>
          <w:tcPr>
            <w:tcW w:w="1361" w:type="dxa"/>
            <w:vAlign w:val="center"/>
          </w:tcPr>
          <w:p w14:paraId="276CC389">
            <w:pPr>
              <w:pStyle w:val="11"/>
            </w:pPr>
          </w:p>
        </w:tc>
      </w:tr>
      <w:tr w14:paraId="0BEE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0B602">
            <w:pPr>
              <w:pStyle w:val="13"/>
            </w:pPr>
            <w:r>
              <w:t>4</w:t>
            </w:r>
          </w:p>
        </w:tc>
        <w:tc>
          <w:tcPr>
            <w:tcW w:w="992" w:type="dxa"/>
            <w:vAlign w:val="center"/>
          </w:tcPr>
          <w:p w14:paraId="397A85AC">
            <w:pPr>
              <w:pStyle w:val="12"/>
            </w:pPr>
            <w:r>
              <w:t>2050202</w:t>
            </w:r>
          </w:p>
        </w:tc>
        <w:tc>
          <w:tcPr>
            <w:tcW w:w="4535" w:type="dxa"/>
            <w:vAlign w:val="center"/>
          </w:tcPr>
          <w:p w14:paraId="6DB4E2F5">
            <w:pPr>
              <w:pStyle w:val="12"/>
            </w:pPr>
            <w:r>
              <w:t>小学教育</w:t>
            </w:r>
          </w:p>
        </w:tc>
        <w:tc>
          <w:tcPr>
            <w:tcW w:w="1361" w:type="dxa"/>
            <w:vAlign w:val="center"/>
          </w:tcPr>
          <w:p w14:paraId="2FA7F84E">
            <w:pPr>
              <w:pStyle w:val="11"/>
            </w:pPr>
            <w:r>
              <w:t>55.21</w:t>
            </w:r>
          </w:p>
        </w:tc>
        <w:tc>
          <w:tcPr>
            <w:tcW w:w="1361" w:type="dxa"/>
            <w:vAlign w:val="center"/>
          </w:tcPr>
          <w:p w14:paraId="78E545E6">
            <w:pPr>
              <w:pStyle w:val="11"/>
            </w:pPr>
            <w:r>
              <w:t>55.21</w:t>
            </w:r>
          </w:p>
        </w:tc>
        <w:tc>
          <w:tcPr>
            <w:tcW w:w="1361" w:type="dxa"/>
            <w:vAlign w:val="center"/>
          </w:tcPr>
          <w:p w14:paraId="7AF242E9">
            <w:pPr>
              <w:pStyle w:val="11"/>
            </w:pPr>
          </w:p>
        </w:tc>
        <w:tc>
          <w:tcPr>
            <w:tcW w:w="1361" w:type="dxa"/>
            <w:vAlign w:val="center"/>
          </w:tcPr>
          <w:p w14:paraId="0D168597">
            <w:pPr>
              <w:pStyle w:val="11"/>
            </w:pPr>
          </w:p>
        </w:tc>
        <w:tc>
          <w:tcPr>
            <w:tcW w:w="1361" w:type="dxa"/>
            <w:vAlign w:val="center"/>
          </w:tcPr>
          <w:p w14:paraId="3D7C9A4F">
            <w:pPr>
              <w:pStyle w:val="11"/>
            </w:pPr>
          </w:p>
        </w:tc>
        <w:tc>
          <w:tcPr>
            <w:tcW w:w="1361" w:type="dxa"/>
            <w:vAlign w:val="center"/>
          </w:tcPr>
          <w:p w14:paraId="776A40A6">
            <w:pPr>
              <w:pStyle w:val="11"/>
            </w:pPr>
          </w:p>
        </w:tc>
      </w:tr>
      <w:tr w14:paraId="050E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7A45">
            <w:pPr>
              <w:pStyle w:val="13"/>
            </w:pPr>
            <w:r>
              <w:t>5</w:t>
            </w:r>
          </w:p>
        </w:tc>
        <w:tc>
          <w:tcPr>
            <w:tcW w:w="992" w:type="dxa"/>
            <w:vAlign w:val="center"/>
          </w:tcPr>
          <w:p w14:paraId="166518DB">
            <w:pPr>
              <w:pStyle w:val="12"/>
            </w:pPr>
            <w:r>
              <w:t>20508</w:t>
            </w:r>
          </w:p>
        </w:tc>
        <w:tc>
          <w:tcPr>
            <w:tcW w:w="4535" w:type="dxa"/>
            <w:vAlign w:val="center"/>
          </w:tcPr>
          <w:p w14:paraId="4FD4F07A">
            <w:pPr>
              <w:pStyle w:val="12"/>
            </w:pPr>
            <w:r>
              <w:t>进修及培训</w:t>
            </w:r>
          </w:p>
        </w:tc>
        <w:tc>
          <w:tcPr>
            <w:tcW w:w="1361" w:type="dxa"/>
            <w:vAlign w:val="center"/>
          </w:tcPr>
          <w:p w14:paraId="366747E0">
            <w:pPr>
              <w:pStyle w:val="11"/>
            </w:pPr>
            <w:r>
              <w:t>789.29</w:t>
            </w:r>
          </w:p>
        </w:tc>
        <w:tc>
          <w:tcPr>
            <w:tcW w:w="1361" w:type="dxa"/>
            <w:vAlign w:val="center"/>
          </w:tcPr>
          <w:p w14:paraId="6E78CF57">
            <w:pPr>
              <w:pStyle w:val="11"/>
            </w:pPr>
            <w:r>
              <w:t>601.35</w:t>
            </w:r>
          </w:p>
        </w:tc>
        <w:tc>
          <w:tcPr>
            <w:tcW w:w="1361" w:type="dxa"/>
            <w:vAlign w:val="center"/>
          </w:tcPr>
          <w:p w14:paraId="7B660EA9">
            <w:pPr>
              <w:pStyle w:val="11"/>
            </w:pPr>
            <w:r>
              <w:t>187.95</w:t>
            </w:r>
          </w:p>
        </w:tc>
        <w:tc>
          <w:tcPr>
            <w:tcW w:w="1361" w:type="dxa"/>
            <w:vAlign w:val="center"/>
          </w:tcPr>
          <w:p w14:paraId="578E85E8">
            <w:pPr>
              <w:pStyle w:val="11"/>
            </w:pPr>
          </w:p>
        </w:tc>
        <w:tc>
          <w:tcPr>
            <w:tcW w:w="1361" w:type="dxa"/>
            <w:vAlign w:val="center"/>
          </w:tcPr>
          <w:p w14:paraId="1340246D">
            <w:pPr>
              <w:pStyle w:val="11"/>
            </w:pPr>
          </w:p>
        </w:tc>
        <w:tc>
          <w:tcPr>
            <w:tcW w:w="1361" w:type="dxa"/>
            <w:vAlign w:val="center"/>
          </w:tcPr>
          <w:p w14:paraId="4C52245F">
            <w:pPr>
              <w:pStyle w:val="11"/>
            </w:pPr>
          </w:p>
        </w:tc>
      </w:tr>
      <w:tr w14:paraId="29CF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9B121">
            <w:pPr>
              <w:pStyle w:val="13"/>
            </w:pPr>
            <w:r>
              <w:t>6</w:t>
            </w:r>
          </w:p>
        </w:tc>
        <w:tc>
          <w:tcPr>
            <w:tcW w:w="992" w:type="dxa"/>
            <w:vAlign w:val="center"/>
          </w:tcPr>
          <w:p w14:paraId="03955A11">
            <w:pPr>
              <w:pStyle w:val="12"/>
            </w:pPr>
            <w:r>
              <w:t>2050801</w:t>
            </w:r>
          </w:p>
        </w:tc>
        <w:tc>
          <w:tcPr>
            <w:tcW w:w="4535" w:type="dxa"/>
            <w:vAlign w:val="center"/>
          </w:tcPr>
          <w:p w14:paraId="29B72476">
            <w:pPr>
              <w:pStyle w:val="12"/>
            </w:pPr>
            <w:r>
              <w:t>教师进修</w:t>
            </w:r>
          </w:p>
        </w:tc>
        <w:tc>
          <w:tcPr>
            <w:tcW w:w="1361" w:type="dxa"/>
            <w:vAlign w:val="center"/>
          </w:tcPr>
          <w:p w14:paraId="62C7C562">
            <w:pPr>
              <w:pStyle w:val="11"/>
            </w:pPr>
            <w:r>
              <w:t>789.29</w:t>
            </w:r>
          </w:p>
        </w:tc>
        <w:tc>
          <w:tcPr>
            <w:tcW w:w="1361" w:type="dxa"/>
            <w:vAlign w:val="center"/>
          </w:tcPr>
          <w:p w14:paraId="2E21C53D">
            <w:pPr>
              <w:pStyle w:val="11"/>
            </w:pPr>
            <w:r>
              <w:t>601.35</w:t>
            </w:r>
          </w:p>
        </w:tc>
        <w:tc>
          <w:tcPr>
            <w:tcW w:w="1361" w:type="dxa"/>
            <w:vAlign w:val="center"/>
          </w:tcPr>
          <w:p w14:paraId="10161C1A">
            <w:pPr>
              <w:pStyle w:val="11"/>
            </w:pPr>
            <w:r>
              <w:t>187.95</w:t>
            </w:r>
          </w:p>
        </w:tc>
        <w:tc>
          <w:tcPr>
            <w:tcW w:w="1361" w:type="dxa"/>
            <w:vAlign w:val="center"/>
          </w:tcPr>
          <w:p w14:paraId="4430DA3A">
            <w:pPr>
              <w:pStyle w:val="11"/>
            </w:pPr>
          </w:p>
        </w:tc>
        <w:tc>
          <w:tcPr>
            <w:tcW w:w="1361" w:type="dxa"/>
            <w:vAlign w:val="center"/>
          </w:tcPr>
          <w:p w14:paraId="6DC32811">
            <w:pPr>
              <w:pStyle w:val="11"/>
            </w:pPr>
          </w:p>
        </w:tc>
        <w:tc>
          <w:tcPr>
            <w:tcW w:w="1361" w:type="dxa"/>
            <w:vAlign w:val="center"/>
          </w:tcPr>
          <w:p w14:paraId="37E3F8A2">
            <w:pPr>
              <w:pStyle w:val="11"/>
            </w:pPr>
          </w:p>
        </w:tc>
      </w:tr>
      <w:tr w14:paraId="1EBBD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A82BA">
            <w:pPr>
              <w:pStyle w:val="13"/>
            </w:pPr>
            <w:r>
              <w:t>7</w:t>
            </w:r>
          </w:p>
        </w:tc>
        <w:tc>
          <w:tcPr>
            <w:tcW w:w="992" w:type="dxa"/>
            <w:vAlign w:val="center"/>
          </w:tcPr>
          <w:p w14:paraId="5FD7A9EE">
            <w:pPr>
              <w:pStyle w:val="12"/>
            </w:pPr>
            <w:r>
              <w:t>208</w:t>
            </w:r>
          </w:p>
        </w:tc>
        <w:tc>
          <w:tcPr>
            <w:tcW w:w="4535" w:type="dxa"/>
            <w:vAlign w:val="center"/>
          </w:tcPr>
          <w:p w14:paraId="2D161341">
            <w:pPr>
              <w:pStyle w:val="12"/>
            </w:pPr>
            <w:r>
              <w:t>社会保障和就业支出</w:t>
            </w:r>
          </w:p>
        </w:tc>
        <w:tc>
          <w:tcPr>
            <w:tcW w:w="1361" w:type="dxa"/>
            <w:vAlign w:val="center"/>
          </w:tcPr>
          <w:p w14:paraId="4FEA88FE">
            <w:pPr>
              <w:pStyle w:val="11"/>
            </w:pPr>
            <w:r>
              <w:t>74.92</w:t>
            </w:r>
          </w:p>
        </w:tc>
        <w:tc>
          <w:tcPr>
            <w:tcW w:w="1361" w:type="dxa"/>
            <w:vAlign w:val="center"/>
          </w:tcPr>
          <w:p w14:paraId="426B734B">
            <w:pPr>
              <w:pStyle w:val="11"/>
            </w:pPr>
            <w:r>
              <w:t>74.92</w:t>
            </w:r>
          </w:p>
        </w:tc>
        <w:tc>
          <w:tcPr>
            <w:tcW w:w="1361" w:type="dxa"/>
            <w:vAlign w:val="center"/>
          </w:tcPr>
          <w:p w14:paraId="5111009D">
            <w:pPr>
              <w:pStyle w:val="11"/>
            </w:pPr>
          </w:p>
        </w:tc>
        <w:tc>
          <w:tcPr>
            <w:tcW w:w="1361" w:type="dxa"/>
            <w:vAlign w:val="center"/>
          </w:tcPr>
          <w:p w14:paraId="4D9133C4">
            <w:pPr>
              <w:pStyle w:val="11"/>
            </w:pPr>
          </w:p>
        </w:tc>
        <w:tc>
          <w:tcPr>
            <w:tcW w:w="1361" w:type="dxa"/>
            <w:vAlign w:val="center"/>
          </w:tcPr>
          <w:p w14:paraId="24C7AC2E">
            <w:pPr>
              <w:pStyle w:val="11"/>
            </w:pPr>
          </w:p>
        </w:tc>
        <w:tc>
          <w:tcPr>
            <w:tcW w:w="1361" w:type="dxa"/>
            <w:vAlign w:val="center"/>
          </w:tcPr>
          <w:p w14:paraId="1CC78043">
            <w:pPr>
              <w:pStyle w:val="11"/>
            </w:pPr>
          </w:p>
        </w:tc>
      </w:tr>
      <w:tr w14:paraId="403D4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BEFF">
            <w:pPr>
              <w:pStyle w:val="13"/>
            </w:pPr>
            <w:r>
              <w:t>8</w:t>
            </w:r>
          </w:p>
        </w:tc>
        <w:tc>
          <w:tcPr>
            <w:tcW w:w="992" w:type="dxa"/>
            <w:vAlign w:val="center"/>
          </w:tcPr>
          <w:p w14:paraId="66E0447B">
            <w:pPr>
              <w:pStyle w:val="12"/>
            </w:pPr>
            <w:r>
              <w:t>20805</w:t>
            </w:r>
          </w:p>
        </w:tc>
        <w:tc>
          <w:tcPr>
            <w:tcW w:w="4535" w:type="dxa"/>
            <w:vAlign w:val="center"/>
          </w:tcPr>
          <w:p w14:paraId="226F8FE1">
            <w:pPr>
              <w:pStyle w:val="12"/>
            </w:pPr>
            <w:r>
              <w:t>行政事业单位养老支出</w:t>
            </w:r>
          </w:p>
        </w:tc>
        <w:tc>
          <w:tcPr>
            <w:tcW w:w="1361" w:type="dxa"/>
            <w:vAlign w:val="center"/>
          </w:tcPr>
          <w:p w14:paraId="09AB4205">
            <w:pPr>
              <w:pStyle w:val="11"/>
            </w:pPr>
            <w:r>
              <w:t>74.92</w:t>
            </w:r>
          </w:p>
        </w:tc>
        <w:tc>
          <w:tcPr>
            <w:tcW w:w="1361" w:type="dxa"/>
            <w:vAlign w:val="center"/>
          </w:tcPr>
          <w:p w14:paraId="4102EF59">
            <w:pPr>
              <w:pStyle w:val="11"/>
            </w:pPr>
            <w:r>
              <w:t>74.92</w:t>
            </w:r>
          </w:p>
        </w:tc>
        <w:tc>
          <w:tcPr>
            <w:tcW w:w="1361" w:type="dxa"/>
            <w:vAlign w:val="center"/>
          </w:tcPr>
          <w:p w14:paraId="08109483">
            <w:pPr>
              <w:pStyle w:val="11"/>
            </w:pPr>
          </w:p>
        </w:tc>
        <w:tc>
          <w:tcPr>
            <w:tcW w:w="1361" w:type="dxa"/>
            <w:vAlign w:val="center"/>
          </w:tcPr>
          <w:p w14:paraId="1417B220">
            <w:pPr>
              <w:pStyle w:val="11"/>
            </w:pPr>
          </w:p>
        </w:tc>
        <w:tc>
          <w:tcPr>
            <w:tcW w:w="1361" w:type="dxa"/>
            <w:vAlign w:val="center"/>
          </w:tcPr>
          <w:p w14:paraId="02D04AB1">
            <w:pPr>
              <w:pStyle w:val="11"/>
            </w:pPr>
          </w:p>
        </w:tc>
        <w:tc>
          <w:tcPr>
            <w:tcW w:w="1361" w:type="dxa"/>
            <w:vAlign w:val="center"/>
          </w:tcPr>
          <w:p w14:paraId="307E707E">
            <w:pPr>
              <w:pStyle w:val="11"/>
            </w:pPr>
          </w:p>
        </w:tc>
      </w:tr>
      <w:tr w14:paraId="682F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9E33">
            <w:pPr>
              <w:pStyle w:val="13"/>
            </w:pPr>
            <w:r>
              <w:t>9</w:t>
            </w:r>
          </w:p>
        </w:tc>
        <w:tc>
          <w:tcPr>
            <w:tcW w:w="992" w:type="dxa"/>
            <w:vAlign w:val="center"/>
          </w:tcPr>
          <w:p w14:paraId="5099C96C">
            <w:pPr>
              <w:pStyle w:val="12"/>
            </w:pPr>
            <w:r>
              <w:t>2080505</w:t>
            </w:r>
          </w:p>
        </w:tc>
        <w:tc>
          <w:tcPr>
            <w:tcW w:w="4535" w:type="dxa"/>
            <w:vAlign w:val="center"/>
          </w:tcPr>
          <w:p w14:paraId="7D94D9A6">
            <w:pPr>
              <w:pStyle w:val="12"/>
            </w:pPr>
            <w:r>
              <w:t>机关事业单位基本养老保险缴费支出</w:t>
            </w:r>
          </w:p>
        </w:tc>
        <w:tc>
          <w:tcPr>
            <w:tcW w:w="1361" w:type="dxa"/>
            <w:vAlign w:val="center"/>
          </w:tcPr>
          <w:p w14:paraId="101398D4">
            <w:pPr>
              <w:pStyle w:val="11"/>
            </w:pPr>
            <w:r>
              <w:t>74.92</w:t>
            </w:r>
          </w:p>
        </w:tc>
        <w:tc>
          <w:tcPr>
            <w:tcW w:w="1361" w:type="dxa"/>
            <w:vAlign w:val="center"/>
          </w:tcPr>
          <w:p w14:paraId="2676A7A1">
            <w:pPr>
              <w:pStyle w:val="11"/>
            </w:pPr>
            <w:r>
              <w:t>74.92</w:t>
            </w:r>
          </w:p>
        </w:tc>
        <w:tc>
          <w:tcPr>
            <w:tcW w:w="1361" w:type="dxa"/>
            <w:vAlign w:val="center"/>
          </w:tcPr>
          <w:p w14:paraId="1B57E6BD">
            <w:pPr>
              <w:pStyle w:val="11"/>
            </w:pPr>
          </w:p>
        </w:tc>
        <w:tc>
          <w:tcPr>
            <w:tcW w:w="1361" w:type="dxa"/>
            <w:vAlign w:val="center"/>
          </w:tcPr>
          <w:p w14:paraId="36616127">
            <w:pPr>
              <w:pStyle w:val="11"/>
            </w:pPr>
          </w:p>
        </w:tc>
        <w:tc>
          <w:tcPr>
            <w:tcW w:w="1361" w:type="dxa"/>
            <w:vAlign w:val="center"/>
          </w:tcPr>
          <w:p w14:paraId="2959399E">
            <w:pPr>
              <w:pStyle w:val="11"/>
            </w:pPr>
          </w:p>
        </w:tc>
        <w:tc>
          <w:tcPr>
            <w:tcW w:w="1361" w:type="dxa"/>
            <w:vAlign w:val="center"/>
          </w:tcPr>
          <w:p w14:paraId="7E4CE74A">
            <w:pPr>
              <w:pStyle w:val="11"/>
            </w:pPr>
          </w:p>
        </w:tc>
      </w:tr>
      <w:tr w14:paraId="23E7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91D1">
            <w:pPr>
              <w:pStyle w:val="13"/>
            </w:pPr>
            <w:r>
              <w:t>10</w:t>
            </w:r>
          </w:p>
        </w:tc>
        <w:tc>
          <w:tcPr>
            <w:tcW w:w="992" w:type="dxa"/>
            <w:vAlign w:val="center"/>
          </w:tcPr>
          <w:p w14:paraId="21DC207B">
            <w:pPr>
              <w:pStyle w:val="12"/>
            </w:pPr>
            <w:r>
              <w:t>210</w:t>
            </w:r>
          </w:p>
        </w:tc>
        <w:tc>
          <w:tcPr>
            <w:tcW w:w="4535" w:type="dxa"/>
            <w:vAlign w:val="center"/>
          </w:tcPr>
          <w:p w14:paraId="0DD6ABF6">
            <w:pPr>
              <w:pStyle w:val="12"/>
            </w:pPr>
            <w:r>
              <w:t>卫生健康支出</w:t>
            </w:r>
          </w:p>
        </w:tc>
        <w:tc>
          <w:tcPr>
            <w:tcW w:w="1361" w:type="dxa"/>
            <w:vAlign w:val="center"/>
          </w:tcPr>
          <w:p w14:paraId="45D988C0">
            <w:pPr>
              <w:pStyle w:val="11"/>
            </w:pPr>
            <w:r>
              <w:t>33.71</w:t>
            </w:r>
          </w:p>
        </w:tc>
        <w:tc>
          <w:tcPr>
            <w:tcW w:w="1361" w:type="dxa"/>
            <w:vAlign w:val="center"/>
          </w:tcPr>
          <w:p w14:paraId="37E892BB">
            <w:pPr>
              <w:pStyle w:val="11"/>
            </w:pPr>
            <w:r>
              <w:t>33.71</w:t>
            </w:r>
          </w:p>
        </w:tc>
        <w:tc>
          <w:tcPr>
            <w:tcW w:w="1361" w:type="dxa"/>
            <w:vAlign w:val="center"/>
          </w:tcPr>
          <w:p w14:paraId="279B3C4E">
            <w:pPr>
              <w:pStyle w:val="11"/>
            </w:pPr>
          </w:p>
        </w:tc>
        <w:tc>
          <w:tcPr>
            <w:tcW w:w="1361" w:type="dxa"/>
            <w:vAlign w:val="center"/>
          </w:tcPr>
          <w:p w14:paraId="3DABAA23">
            <w:pPr>
              <w:pStyle w:val="11"/>
            </w:pPr>
          </w:p>
        </w:tc>
        <w:tc>
          <w:tcPr>
            <w:tcW w:w="1361" w:type="dxa"/>
            <w:vAlign w:val="center"/>
          </w:tcPr>
          <w:p w14:paraId="41C3CCBF">
            <w:pPr>
              <w:pStyle w:val="11"/>
            </w:pPr>
          </w:p>
        </w:tc>
        <w:tc>
          <w:tcPr>
            <w:tcW w:w="1361" w:type="dxa"/>
            <w:vAlign w:val="center"/>
          </w:tcPr>
          <w:p w14:paraId="2D02D569">
            <w:pPr>
              <w:pStyle w:val="11"/>
            </w:pPr>
          </w:p>
        </w:tc>
      </w:tr>
      <w:tr w14:paraId="627E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1164F">
            <w:pPr>
              <w:pStyle w:val="13"/>
            </w:pPr>
            <w:r>
              <w:t>11</w:t>
            </w:r>
          </w:p>
        </w:tc>
        <w:tc>
          <w:tcPr>
            <w:tcW w:w="992" w:type="dxa"/>
            <w:vAlign w:val="center"/>
          </w:tcPr>
          <w:p w14:paraId="3B5C1F7B">
            <w:pPr>
              <w:pStyle w:val="12"/>
            </w:pPr>
            <w:r>
              <w:t>21011</w:t>
            </w:r>
          </w:p>
        </w:tc>
        <w:tc>
          <w:tcPr>
            <w:tcW w:w="4535" w:type="dxa"/>
            <w:vAlign w:val="center"/>
          </w:tcPr>
          <w:p w14:paraId="0E0380A0">
            <w:pPr>
              <w:pStyle w:val="12"/>
            </w:pPr>
            <w:r>
              <w:t>行政事业单位医疗</w:t>
            </w:r>
          </w:p>
        </w:tc>
        <w:tc>
          <w:tcPr>
            <w:tcW w:w="1361" w:type="dxa"/>
            <w:vAlign w:val="center"/>
          </w:tcPr>
          <w:p w14:paraId="0D1EFF2D">
            <w:pPr>
              <w:pStyle w:val="11"/>
            </w:pPr>
            <w:r>
              <w:t>33.71</w:t>
            </w:r>
          </w:p>
        </w:tc>
        <w:tc>
          <w:tcPr>
            <w:tcW w:w="1361" w:type="dxa"/>
            <w:vAlign w:val="center"/>
          </w:tcPr>
          <w:p w14:paraId="2995FAFE">
            <w:pPr>
              <w:pStyle w:val="11"/>
            </w:pPr>
            <w:r>
              <w:t>33.71</w:t>
            </w:r>
          </w:p>
        </w:tc>
        <w:tc>
          <w:tcPr>
            <w:tcW w:w="1361" w:type="dxa"/>
            <w:vAlign w:val="center"/>
          </w:tcPr>
          <w:p w14:paraId="00B05B8E">
            <w:pPr>
              <w:pStyle w:val="11"/>
            </w:pPr>
          </w:p>
        </w:tc>
        <w:tc>
          <w:tcPr>
            <w:tcW w:w="1361" w:type="dxa"/>
            <w:vAlign w:val="center"/>
          </w:tcPr>
          <w:p w14:paraId="2904752C">
            <w:pPr>
              <w:pStyle w:val="11"/>
            </w:pPr>
          </w:p>
        </w:tc>
        <w:tc>
          <w:tcPr>
            <w:tcW w:w="1361" w:type="dxa"/>
            <w:vAlign w:val="center"/>
          </w:tcPr>
          <w:p w14:paraId="46A64436">
            <w:pPr>
              <w:pStyle w:val="11"/>
            </w:pPr>
          </w:p>
        </w:tc>
        <w:tc>
          <w:tcPr>
            <w:tcW w:w="1361" w:type="dxa"/>
            <w:vAlign w:val="center"/>
          </w:tcPr>
          <w:p w14:paraId="2EBC0087">
            <w:pPr>
              <w:pStyle w:val="11"/>
            </w:pPr>
          </w:p>
        </w:tc>
      </w:tr>
      <w:tr w14:paraId="5CF5C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77D3">
            <w:pPr>
              <w:pStyle w:val="13"/>
            </w:pPr>
            <w:r>
              <w:t>12</w:t>
            </w:r>
          </w:p>
        </w:tc>
        <w:tc>
          <w:tcPr>
            <w:tcW w:w="992" w:type="dxa"/>
            <w:vAlign w:val="center"/>
          </w:tcPr>
          <w:p w14:paraId="4A9BA806">
            <w:pPr>
              <w:pStyle w:val="12"/>
            </w:pPr>
            <w:r>
              <w:t>2101102</w:t>
            </w:r>
          </w:p>
        </w:tc>
        <w:tc>
          <w:tcPr>
            <w:tcW w:w="4535" w:type="dxa"/>
            <w:vAlign w:val="center"/>
          </w:tcPr>
          <w:p w14:paraId="5447053A">
            <w:pPr>
              <w:pStyle w:val="12"/>
            </w:pPr>
            <w:r>
              <w:t>事业单位医疗</w:t>
            </w:r>
          </w:p>
        </w:tc>
        <w:tc>
          <w:tcPr>
            <w:tcW w:w="1361" w:type="dxa"/>
            <w:vAlign w:val="center"/>
          </w:tcPr>
          <w:p w14:paraId="365152A7">
            <w:pPr>
              <w:pStyle w:val="11"/>
            </w:pPr>
            <w:r>
              <w:t>33.71</w:t>
            </w:r>
          </w:p>
        </w:tc>
        <w:tc>
          <w:tcPr>
            <w:tcW w:w="1361" w:type="dxa"/>
            <w:vAlign w:val="center"/>
          </w:tcPr>
          <w:p w14:paraId="137CAA3B">
            <w:pPr>
              <w:pStyle w:val="11"/>
            </w:pPr>
            <w:r>
              <w:t>33.71</w:t>
            </w:r>
          </w:p>
        </w:tc>
        <w:tc>
          <w:tcPr>
            <w:tcW w:w="1361" w:type="dxa"/>
            <w:vAlign w:val="center"/>
          </w:tcPr>
          <w:p w14:paraId="72F5C72E">
            <w:pPr>
              <w:pStyle w:val="11"/>
            </w:pPr>
          </w:p>
        </w:tc>
        <w:tc>
          <w:tcPr>
            <w:tcW w:w="1361" w:type="dxa"/>
            <w:vAlign w:val="center"/>
          </w:tcPr>
          <w:p w14:paraId="4F4B500B">
            <w:pPr>
              <w:pStyle w:val="11"/>
            </w:pPr>
          </w:p>
        </w:tc>
        <w:tc>
          <w:tcPr>
            <w:tcW w:w="1361" w:type="dxa"/>
            <w:vAlign w:val="center"/>
          </w:tcPr>
          <w:p w14:paraId="7FB88742">
            <w:pPr>
              <w:pStyle w:val="11"/>
            </w:pPr>
          </w:p>
        </w:tc>
        <w:tc>
          <w:tcPr>
            <w:tcW w:w="1361" w:type="dxa"/>
            <w:vAlign w:val="center"/>
          </w:tcPr>
          <w:p w14:paraId="7177132C">
            <w:pPr>
              <w:pStyle w:val="11"/>
            </w:pPr>
          </w:p>
        </w:tc>
      </w:tr>
    </w:tbl>
    <w:p w14:paraId="0FAB21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AB5F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8B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BF73C6">
            <w:pPr>
              <w:pStyle w:val="9"/>
            </w:pPr>
            <w:r>
              <w:t>360028隆尧县教师发展中心</w:t>
            </w:r>
          </w:p>
        </w:tc>
        <w:tc>
          <w:tcPr>
            <w:tcW w:w="3402" w:type="dxa"/>
            <w:tcBorders>
              <w:top w:val="single" w:color="FFFFFF" w:sz="6" w:space="0"/>
              <w:left w:val="single" w:color="FFFFFF" w:sz="6" w:space="0"/>
              <w:right w:val="single" w:color="FFFFFF" w:sz="6" w:space="0"/>
            </w:tcBorders>
            <w:vAlign w:val="center"/>
          </w:tcPr>
          <w:p w14:paraId="65E6B5D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D3DADFD">
            <w:pPr>
              <w:pStyle w:val="7"/>
            </w:pPr>
            <w:r>
              <w:t>单位：万元</w:t>
            </w:r>
          </w:p>
        </w:tc>
      </w:tr>
      <w:tr w14:paraId="72F3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91582">
            <w:pPr>
              <w:pStyle w:val="10"/>
            </w:pPr>
            <w:r>
              <w:t>序号</w:t>
            </w:r>
          </w:p>
        </w:tc>
        <w:tc>
          <w:tcPr>
            <w:tcW w:w="4876" w:type="dxa"/>
            <w:gridSpan w:val="2"/>
            <w:vAlign w:val="center"/>
          </w:tcPr>
          <w:p w14:paraId="5E4033A9">
            <w:pPr>
              <w:pStyle w:val="10"/>
            </w:pPr>
            <w:r>
              <w:t>收入</w:t>
            </w:r>
          </w:p>
        </w:tc>
        <w:tc>
          <w:tcPr>
            <w:tcW w:w="9298" w:type="dxa"/>
            <w:gridSpan w:val="5"/>
            <w:vAlign w:val="center"/>
          </w:tcPr>
          <w:p w14:paraId="770B6C7E">
            <w:pPr>
              <w:pStyle w:val="10"/>
            </w:pPr>
            <w:r>
              <w:t>支出</w:t>
            </w:r>
          </w:p>
        </w:tc>
      </w:tr>
      <w:tr w14:paraId="49D2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5D663E"/>
        </w:tc>
        <w:tc>
          <w:tcPr>
            <w:tcW w:w="3402" w:type="dxa"/>
            <w:vAlign w:val="center"/>
          </w:tcPr>
          <w:p w14:paraId="4DCDE24B">
            <w:pPr>
              <w:pStyle w:val="10"/>
            </w:pPr>
            <w:r>
              <w:t>项  目</w:t>
            </w:r>
          </w:p>
        </w:tc>
        <w:tc>
          <w:tcPr>
            <w:tcW w:w="1474" w:type="dxa"/>
            <w:vAlign w:val="center"/>
          </w:tcPr>
          <w:p w14:paraId="442A6B95">
            <w:pPr>
              <w:pStyle w:val="10"/>
            </w:pPr>
            <w:r>
              <w:t>金额</w:t>
            </w:r>
          </w:p>
        </w:tc>
        <w:tc>
          <w:tcPr>
            <w:tcW w:w="3402" w:type="dxa"/>
            <w:vAlign w:val="center"/>
          </w:tcPr>
          <w:p w14:paraId="66F118A6">
            <w:pPr>
              <w:pStyle w:val="10"/>
            </w:pPr>
            <w:r>
              <w:t>项  目</w:t>
            </w:r>
          </w:p>
        </w:tc>
        <w:tc>
          <w:tcPr>
            <w:tcW w:w="1474" w:type="dxa"/>
            <w:vAlign w:val="center"/>
          </w:tcPr>
          <w:p w14:paraId="43F88DD0">
            <w:pPr>
              <w:pStyle w:val="10"/>
            </w:pPr>
            <w:r>
              <w:t>合计</w:t>
            </w:r>
          </w:p>
        </w:tc>
        <w:tc>
          <w:tcPr>
            <w:tcW w:w="1474" w:type="dxa"/>
            <w:vAlign w:val="center"/>
          </w:tcPr>
          <w:p w14:paraId="6B0E46C0">
            <w:pPr>
              <w:pStyle w:val="10"/>
            </w:pPr>
            <w:r>
              <w:t>一般公共预算财政拨款</w:t>
            </w:r>
          </w:p>
        </w:tc>
        <w:tc>
          <w:tcPr>
            <w:tcW w:w="1474" w:type="dxa"/>
            <w:vAlign w:val="center"/>
          </w:tcPr>
          <w:p w14:paraId="40981774">
            <w:pPr>
              <w:pStyle w:val="10"/>
            </w:pPr>
            <w:r>
              <w:t>政府性基金预算财政    拨款</w:t>
            </w:r>
          </w:p>
        </w:tc>
        <w:tc>
          <w:tcPr>
            <w:tcW w:w="1474" w:type="dxa"/>
            <w:vAlign w:val="center"/>
          </w:tcPr>
          <w:p w14:paraId="6157B30E">
            <w:pPr>
              <w:pStyle w:val="10"/>
            </w:pPr>
            <w:r>
              <w:t>国有资本经营预算财政拨款</w:t>
            </w:r>
          </w:p>
        </w:tc>
      </w:tr>
      <w:tr w14:paraId="4706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E66ABF">
            <w:pPr>
              <w:pStyle w:val="10"/>
            </w:pPr>
            <w:r>
              <w:t>栏次</w:t>
            </w:r>
          </w:p>
        </w:tc>
        <w:tc>
          <w:tcPr>
            <w:tcW w:w="3402" w:type="dxa"/>
            <w:vAlign w:val="center"/>
          </w:tcPr>
          <w:p w14:paraId="2531C32C">
            <w:pPr>
              <w:pStyle w:val="10"/>
            </w:pPr>
            <w:r>
              <w:t>1</w:t>
            </w:r>
          </w:p>
        </w:tc>
        <w:tc>
          <w:tcPr>
            <w:tcW w:w="1474" w:type="dxa"/>
            <w:vAlign w:val="center"/>
          </w:tcPr>
          <w:p w14:paraId="506FF63F">
            <w:pPr>
              <w:pStyle w:val="10"/>
            </w:pPr>
            <w:r>
              <w:t>2</w:t>
            </w:r>
          </w:p>
        </w:tc>
        <w:tc>
          <w:tcPr>
            <w:tcW w:w="3402" w:type="dxa"/>
            <w:vAlign w:val="center"/>
          </w:tcPr>
          <w:p w14:paraId="2AF70DCD">
            <w:pPr>
              <w:pStyle w:val="10"/>
            </w:pPr>
            <w:r>
              <w:t>3</w:t>
            </w:r>
          </w:p>
        </w:tc>
        <w:tc>
          <w:tcPr>
            <w:tcW w:w="1474" w:type="dxa"/>
            <w:vAlign w:val="center"/>
          </w:tcPr>
          <w:p w14:paraId="25EAB37F">
            <w:pPr>
              <w:pStyle w:val="10"/>
            </w:pPr>
            <w:r>
              <w:t>4</w:t>
            </w:r>
          </w:p>
        </w:tc>
        <w:tc>
          <w:tcPr>
            <w:tcW w:w="1474" w:type="dxa"/>
            <w:vAlign w:val="center"/>
          </w:tcPr>
          <w:p w14:paraId="285F0E46">
            <w:pPr>
              <w:pStyle w:val="10"/>
            </w:pPr>
            <w:r>
              <w:t>5</w:t>
            </w:r>
          </w:p>
        </w:tc>
        <w:tc>
          <w:tcPr>
            <w:tcW w:w="1474" w:type="dxa"/>
            <w:vAlign w:val="center"/>
          </w:tcPr>
          <w:p w14:paraId="5F731658">
            <w:pPr>
              <w:pStyle w:val="10"/>
            </w:pPr>
            <w:r>
              <w:t>6</w:t>
            </w:r>
          </w:p>
        </w:tc>
        <w:tc>
          <w:tcPr>
            <w:tcW w:w="1474" w:type="dxa"/>
            <w:vAlign w:val="center"/>
          </w:tcPr>
          <w:p w14:paraId="4040686F">
            <w:pPr>
              <w:pStyle w:val="10"/>
            </w:pPr>
            <w:r>
              <w:t>7</w:t>
            </w:r>
          </w:p>
        </w:tc>
      </w:tr>
      <w:tr w14:paraId="300DE923">
        <w:tblPrEx>
          <w:tblCellMar>
            <w:top w:w="0" w:type="dxa"/>
            <w:left w:w="108" w:type="dxa"/>
            <w:bottom w:w="0" w:type="dxa"/>
            <w:right w:w="108" w:type="dxa"/>
          </w:tblCellMar>
        </w:tblPrEx>
        <w:trPr>
          <w:trHeight w:val="369" w:hRule="atLeast"/>
          <w:jc w:val="center"/>
        </w:trPr>
        <w:tc>
          <w:tcPr>
            <w:tcW w:w="850" w:type="dxa"/>
            <w:vAlign w:val="center"/>
          </w:tcPr>
          <w:p w14:paraId="06950B1A">
            <w:pPr>
              <w:pStyle w:val="13"/>
            </w:pPr>
            <w:r>
              <w:t>1</w:t>
            </w:r>
          </w:p>
        </w:tc>
        <w:tc>
          <w:tcPr>
            <w:tcW w:w="3402" w:type="dxa"/>
            <w:vAlign w:val="center"/>
          </w:tcPr>
          <w:p w14:paraId="4BCBB6A7">
            <w:pPr>
              <w:pStyle w:val="12"/>
            </w:pPr>
            <w:r>
              <w:t>一、一般公共预算拨款</w:t>
            </w:r>
          </w:p>
        </w:tc>
        <w:tc>
          <w:tcPr>
            <w:tcW w:w="1474" w:type="dxa"/>
            <w:vAlign w:val="center"/>
          </w:tcPr>
          <w:p w14:paraId="04578A2A">
            <w:pPr>
              <w:pStyle w:val="11"/>
            </w:pPr>
            <w:r>
              <w:t>775.59</w:t>
            </w:r>
          </w:p>
        </w:tc>
        <w:tc>
          <w:tcPr>
            <w:tcW w:w="3402" w:type="dxa"/>
            <w:vAlign w:val="center"/>
          </w:tcPr>
          <w:p w14:paraId="2ECAEB7D">
            <w:pPr>
              <w:pStyle w:val="12"/>
            </w:pPr>
            <w:r>
              <w:t>一、一般公共服务支出</w:t>
            </w:r>
          </w:p>
        </w:tc>
        <w:tc>
          <w:tcPr>
            <w:tcW w:w="1474" w:type="dxa"/>
            <w:vAlign w:val="center"/>
          </w:tcPr>
          <w:p w14:paraId="50BD74E5">
            <w:pPr>
              <w:pStyle w:val="11"/>
            </w:pPr>
          </w:p>
        </w:tc>
        <w:tc>
          <w:tcPr>
            <w:tcW w:w="1474" w:type="dxa"/>
            <w:vAlign w:val="center"/>
          </w:tcPr>
          <w:p w14:paraId="0B21AF71">
            <w:pPr>
              <w:pStyle w:val="11"/>
            </w:pPr>
          </w:p>
        </w:tc>
        <w:tc>
          <w:tcPr>
            <w:tcW w:w="1474" w:type="dxa"/>
            <w:vAlign w:val="center"/>
          </w:tcPr>
          <w:p w14:paraId="400D30CC">
            <w:pPr>
              <w:pStyle w:val="11"/>
            </w:pPr>
          </w:p>
        </w:tc>
        <w:tc>
          <w:tcPr>
            <w:tcW w:w="1474" w:type="dxa"/>
            <w:vAlign w:val="center"/>
          </w:tcPr>
          <w:p w14:paraId="42535BB2">
            <w:pPr>
              <w:pStyle w:val="11"/>
            </w:pPr>
          </w:p>
        </w:tc>
      </w:tr>
      <w:tr w14:paraId="30C6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20A9">
            <w:pPr>
              <w:pStyle w:val="13"/>
            </w:pPr>
            <w:r>
              <w:t>2</w:t>
            </w:r>
          </w:p>
        </w:tc>
        <w:tc>
          <w:tcPr>
            <w:tcW w:w="3402" w:type="dxa"/>
            <w:vAlign w:val="center"/>
          </w:tcPr>
          <w:p w14:paraId="1E712648">
            <w:pPr>
              <w:pStyle w:val="12"/>
            </w:pPr>
            <w:r>
              <w:t>二、政府性基金预算拨款</w:t>
            </w:r>
          </w:p>
        </w:tc>
        <w:tc>
          <w:tcPr>
            <w:tcW w:w="1474" w:type="dxa"/>
            <w:vAlign w:val="center"/>
          </w:tcPr>
          <w:p w14:paraId="5C2D9BD6">
            <w:pPr>
              <w:pStyle w:val="11"/>
            </w:pPr>
          </w:p>
        </w:tc>
        <w:tc>
          <w:tcPr>
            <w:tcW w:w="3402" w:type="dxa"/>
            <w:vAlign w:val="center"/>
          </w:tcPr>
          <w:p w14:paraId="4A6AFD4C">
            <w:pPr>
              <w:pStyle w:val="12"/>
            </w:pPr>
            <w:r>
              <w:t>二、外交支出</w:t>
            </w:r>
          </w:p>
        </w:tc>
        <w:tc>
          <w:tcPr>
            <w:tcW w:w="1474" w:type="dxa"/>
            <w:vAlign w:val="center"/>
          </w:tcPr>
          <w:p w14:paraId="1ECE121C">
            <w:pPr>
              <w:pStyle w:val="11"/>
            </w:pPr>
          </w:p>
        </w:tc>
        <w:tc>
          <w:tcPr>
            <w:tcW w:w="1474" w:type="dxa"/>
            <w:vAlign w:val="center"/>
          </w:tcPr>
          <w:p w14:paraId="71D1359E">
            <w:pPr>
              <w:pStyle w:val="11"/>
            </w:pPr>
          </w:p>
        </w:tc>
        <w:tc>
          <w:tcPr>
            <w:tcW w:w="1474" w:type="dxa"/>
            <w:vAlign w:val="center"/>
          </w:tcPr>
          <w:p w14:paraId="3A7FED15">
            <w:pPr>
              <w:pStyle w:val="11"/>
            </w:pPr>
          </w:p>
        </w:tc>
        <w:tc>
          <w:tcPr>
            <w:tcW w:w="1474" w:type="dxa"/>
            <w:vAlign w:val="center"/>
          </w:tcPr>
          <w:p w14:paraId="1D0D830E">
            <w:pPr>
              <w:pStyle w:val="11"/>
            </w:pPr>
          </w:p>
        </w:tc>
      </w:tr>
      <w:tr w14:paraId="0F7C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8F6E">
            <w:pPr>
              <w:pStyle w:val="13"/>
            </w:pPr>
            <w:r>
              <w:t>3</w:t>
            </w:r>
          </w:p>
        </w:tc>
        <w:tc>
          <w:tcPr>
            <w:tcW w:w="3402" w:type="dxa"/>
            <w:vAlign w:val="center"/>
          </w:tcPr>
          <w:p w14:paraId="78F31F19">
            <w:pPr>
              <w:pStyle w:val="12"/>
            </w:pPr>
            <w:r>
              <w:t>三、国有资本经营预算拨款</w:t>
            </w:r>
          </w:p>
        </w:tc>
        <w:tc>
          <w:tcPr>
            <w:tcW w:w="1474" w:type="dxa"/>
            <w:vAlign w:val="center"/>
          </w:tcPr>
          <w:p w14:paraId="678E48EB">
            <w:pPr>
              <w:pStyle w:val="11"/>
            </w:pPr>
          </w:p>
        </w:tc>
        <w:tc>
          <w:tcPr>
            <w:tcW w:w="3402" w:type="dxa"/>
            <w:vAlign w:val="center"/>
          </w:tcPr>
          <w:p w14:paraId="713EC642">
            <w:pPr>
              <w:pStyle w:val="12"/>
            </w:pPr>
            <w:r>
              <w:t>三、国防支出</w:t>
            </w:r>
          </w:p>
        </w:tc>
        <w:tc>
          <w:tcPr>
            <w:tcW w:w="1474" w:type="dxa"/>
            <w:vAlign w:val="center"/>
          </w:tcPr>
          <w:p w14:paraId="043B3A59">
            <w:pPr>
              <w:pStyle w:val="11"/>
            </w:pPr>
          </w:p>
        </w:tc>
        <w:tc>
          <w:tcPr>
            <w:tcW w:w="1474" w:type="dxa"/>
            <w:vAlign w:val="center"/>
          </w:tcPr>
          <w:p w14:paraId="1D0CBF56">
            <w:pPr>
              <w:pStyle w:val="11"/>
            </w:pPr>
          </w:p>
        </w:tc>
        <w:tc>
          <w:tcPr>
            <w:tcW w:w="1474" w:type="dxa"/>
            <w:vAlign w:val="center"/>
          </w:tcPr>
          <w:p w14:paraId="2312EA67">
            <w:pPr>
              <w:pStyle w:val="11"/>
            </w:pPr>
          </w:p>
        </w:tc>
        <w:tc>
          <w:tcPr>
            <w:tcW w:w="1474" w:type="dxa"/>
            <w:vAlign w:val="center"/>
          </w:tcPr>
          <w:p w14:paraId="109632F1">
            <w:pPr>
              <w:pStyle w:val="11"/>
            </w:pPr>
          </w:p>
        </w:tc>
      </w:tr>
      <w:tr w14:paraId="53279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763A7">
            <w:pPr>
              <w:pStyle w:val="13"/>
            </w:pPr>
            <w:r>
              <w:t>4</w:t>
            </w:r>
          </w:p>
        </w:tc>
        <w:tc>
          <w:tcPr>
            <w:tcW w:w="3402" w:type="dxa"/>
            <w:vAlign w:val="center"/>
          </w:tcPr>
          <w:p w14:paraId="75526695">
            <w:pPr>
              <w:pStyle w:val="12"/>
            </w:pPr>
          </w:p>
        </w:tc>
        <w:tc>
          <w:tcPr>
            <w:tcW w:w="1474" w:type="dxa"/>
            <w:vAlign w:val="center"/>
          </w:tcPr>
          <w:p w14:paraId="525DF1C6">
            <w:pPr>
              <w:pStyle w:val="11"/>
            </w:pPr>
          </w:p>
        </w:tc>
        <w:tc>
          <w:tcPr>
            <w:tcW w:w="3402" w:type="dxa"/>
            <w:vAlign w:val="center"/>
          </w:tcPr>
          <w:p w14:paraId="1116274C">
            <w:pPr>
              <w:pStyle w:val="12"/>
            </w:pPr>
            <w:r>
              <w:t>四、公共安全支出</w:t>
            </w:r>
          </w:p>
        </w:tc>
        <w:tc>
          <w:tcPr>
            <w:tcW w:w="1474" w:type="dxa"/>
            <w:vAlign w:val="center"/>
          </w:tcPr>
          <w:p w14:paraId="52E3DC92">
            <w:pPr>
              <w:pStyle w:val="11"/>
            </w:pPr>
          </w:p>
        </w:tc>
        <w:tc>
          <w:tcPr>
            <w:tcW w:w="1474" w:type="dxa"/>
            <w:vAlign w:val="center"/>
          </w:tcPr>
          <w:p w14:paraId="663CC913">
            <w:pPr>
              <w:pStyle w:val="11"/>
            </w:pPr>
          </w:p>
        </w:tc>
        <w:tc>
          <w:tcPr>
            <w:tcW w:w="1474" w:type="dxa"/>
            <w:vAlign w:val="center"/>
          </w:tcPr>
          <w:p w14:paraId="4605CF39">
            <w:pPr>
              <w:pStyle w:val="11"/>
            </w:pPr>
          </w:p>
        </w:tc>
        <w:tc>
          <w:tcPr>
            <w:tcW w:w="1474" w:type="dxa"/>
            <w:vAlign w:val="center"/>
          </w:tcPr>
          <w:p w14:paraId="05F8C4F5">
            <w:pPr>
              <w:pStyle w:val="11"/>
            </w:pPr>
          </w:p>
        </w:tc>
      </w:tr>
      <w:tr w14:paraId="6DF7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5CF33">
            <w:pPr>
              <w:pStyle w:val="13"/>
            </w:pPr>
            <w:r>
              <w:t>5</w:t>
            </w:r>
          </w:p>
        </w:tc>
        <w:tc>
          <w:tcPr>
            <w:tcW w:w="3402" w:type="dxa"/>
            <w:vAlign w:val="center"/>
          </w:tcPr>
          <w:p w14:paraId="6ABE8438">
            <w:pPr>
              <w:pStyle w:val="12"/>
            </w:pPr>
          </w:p>
        </w:tc>
        <w:tc>
          <w:tcPr>
            <w:tcW w:w="1474" w:type="dxa"/>
            <w:vAlign w:val="center"/>
          </w:tcPr>
          <w:p w14:paraId="767E518C">
            <w:pPr>
              <w:pStyle w:val="11"/>
            </w:pPr>
          </w:p>
        </w:tc>
        <w:tc>
          <w:tcPr>
            <w:tcW w:w="3402" w:type="dxa"/>
            <w:vAlign w:val="center"/>
          </w:tcPr>
          <w:p w14:paraId="56E5AF22">
            <w:pPr>
              <w:pStyle w:val="12"/>
            </w:pPr>
            <w:r>
              <w:t>五、教育支出</w:t>
            </w:r>
          </w:p>
        </w:tc>
        <w:tc>
          <w:tcPr>
            <w:tcW w:w="1474" w:type="dxa"/>
            <w:vAlign w:val="center"/>
          </w:tcPr>
          <w:p w14:paraId="51357A71">
            <w:pPr>
              <w:pStyle w:val="11"/>
            </w:pPr>
            <w:r>
              <w:t>666.95</w:t>
            </w:r>
          </w:p>
        </w:tc>
        <w:tc>
          <w:tcPr>
            <w:tcW w:w="1474" w:type="dxa"/>
            <w:vAlign w:val="center"/>
          </w:tcPr>
          <w:p w14:paraId="701DD46D">
            <w:pPr>
              <w:pStyle w:val="11"/>
            </w:pPr>
            <w:r>
              <w:t>666.95</w:t>
            </w:r>
          </w:p>
        </w:tc>
        <w:tc>
          <w:tcPr>
            <w:tcW w:w="1474" w:type="dxa"/>
            <w:vAlign w:val="center"/>
          </w:tcPr>
          <w:p w14:paraId="079005FB">
            <w:pPr>
              <w:pStyle w:val="11"/>
            </w:pPr>
          </w:p>
        </w:tc>
        <w:tc>
          <w:tcPr>
            <w:tcW w:w="1474" w:type="dxa"/>
            <w:vAlign w:val="center"/>
          </w:tcPr>
          <w:p w14:paraId="76F7899A">
            <w:pPr>
              <w:pStyle w:val="11"/>
            </w:pPr>
          </w:p>
        </w:tc>
      </w:tr>
      <w:tr w14:paraId="72F3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41DE2">
            <w:pPr>
              <w:pStyle w:val="13"/>
            </w:pPr>
            <w:r>
              <w:t>6</w:t>
            </w:r>
          </w:p>
        </w:tc>
        <w:tc>
          <w:tcPr>
            <w:tcW w:w="3402" w:type="dxa"/>
            <w:vAlign w:val="center"/>
          </w:tcPr>
          <w:p w14:paraId="3FFAA0A9">
            <w:pPr>
              <w:pStyle w:val="12"/>
            </w:pPr>
          </w:p>
        </w:tc>
        <w:tc>
          <w:tcPr>
            <w:tcW w:w="1474" w:type="dxa"/>
            <w:vAlign w:val="center"/>
          </w:tcPr>
          <w:p w14:paraId="25653BC9">
            <w:pPr>
              <w:pStyle w:val="11"/>
            </w:pPr>
          </w:p>
        </w:tc>
        <w:tc>
          <w:tcPr>
            <w:tcW w:w="3402" w:type="dxa"/>
            <w:vAlign w:val="center"/>
          </w:tcPr>
          <w:p w14:paraId="0159730E">
            <w:pPr>
              <w:pStyle w:val="12"/>
            </w:pPr>
            <w:r>
              <w:t>六、科学技术支出</w:t>
            </w:r>
          </w:p>
        </w:tc>
        <w:tc>
          <w:tcPr>
            <w:tcW w:w="1474" w:type="dxa"/>
            <w:vAlign w:val="center"/>
          </w:tcPr>
          <w:p w14:paraId="24637958">
            <w:pPr>
              <w:pStyle w:val="11"/>
            </w:pPr>
          </w:p>
        </w:tc>
        <w:tc>
          <w:tcPr>
            <w:tcW w:w="1474" w:type="dxa"/>
            <w:vAlign w:val="center"/>
          </w:tcPr>
          <w:p w14:paraId="16237330">
            <w:pPr>
              <w:pStyle w:val="11"/>
            </w:pPr>
          </w:p>
        </w:tc>
        <w:tc>
          <w:tcPr>
            <w:tcW w:w="1474" w:type="dxa"/>
            <w:vAlign w:val="center"/>
          </w:tcPr>
          <w:p w14:paraId="145DCCA6">
            <w:pPr>
              <w:pStyle w:val="11"/>
            </w:pPr>
          </w:p>
        </w:tc>
        <w:tc>
          <w:tcPr>
            <w:tcW w:w="1474" w:type="dxa"/>
            <w:vAlign w:val="center"/>
          </w:tcPr>
          <w:p w14:paraId="63E80FE4">
            <w:pPr>
              <w:pStyle w:val="11"/>
            </w:pPr>
          </w:p>
        </w:tc>
      </w:tr>
      <w:tr w14:paraId="7355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AB23">
            <w:pPr>
              <w:pStyle w:val="13"/>
            </w:pPr>
            <w:r>
              <w:t>7</w:t>
            </w:r>
          </w:p>
        </w:tc>
        <w:tc>
          <w:tcPr>
            <w:tcW w:w="3402" w:type="dxa"/>
            <w:vAlign w:val="center"/>
          </w:tcPr>
          <w:p w14:paraId="0CD50521">
            <w:pPr>
              <w:pStyle w:val="12"/>
            </w:pPr>
          </w:p>
        </w:tc>
        <w:tc>
          <w:tcPr>
            <w:tcW w:w="1474" w:type="dxa"/>
            <w:vAlign w:val="center"/>
          </w:tcPr>
          <w:p w14:paraId="2AFB93D5">
            <w:pPr>
              <w:pStyle w:val="11"/>
            </w:pPr>
          </w:p>
        </w:tc>
        <w:tc>
          <w:tcPr>
            <w:tcW w:w="3402" w:type="dxa"/>
            <w:vAlign w:val="center"/>
          </w:tcPr>
          <w:p w14:paraId="62AE992E">
            <w:pPr>
              <w:pStyle w:val="12"/>
            </w:pPr>
            <w:r>
              <w:t>七、文化旅游体育与传媒支出</w:t>
            </w:r>
          </w:p>
        </w:tc>
        <w:tc>
          <w:tcPr>
            <w:tcW w:w="1474" w:type="dxa"/>
            <w:vAlign w:val="center"/>
          </w:tcPr>
          <w:p w14:paraId="58722704">
            <w:pPr>
              <w:pStyle w:val="11"/>
            </w:pPr>
          </w:p>
        </w:tc>
        <w:tc>
          <w:tcPr>
            <w:tcW w:w="1474" w:type="dxa"/>
            <w:vAlign w:val="center"/>
          </w:tcPr>
          <w:p w14:paraId="21769C22">
            <w:pPr>
              <w:pStyle w:val="11"/>
            </w:pPr>
          </w:p>
        </w:tc>
        <w:tc>
          <w:tcPr>
            <w:tcW w:w="1474" w:type="dxa"/>
            <w:vAlign w:val="center"/>
          </w:tcPr>
          <w:p w14:paraId="02090C10">
            <w:pPr>
              <w:pStyle w:val="11"/>
            </w:pPr>
          </w:p>
        </w:tc>
        <w:tc>
          <w:tcPr>
            <w:tcW w:w="1474" w:type="dxa"/>
            <w:vAlign w:val="center"/>
          </w:tcPr>
          <w:p w14:paraId="6C539322">
            <w:pPr>
              <w:pStyle w:val="11"/>
            </w:pPr>
          </w:p>
        </w:tc>
      </w:tr>
      <w:tr w14:paraId="11FC5C69">
        <w:tblPrEx>
          <w:tblCellMar>
            <w:top w:w="0" w:type="dxa"/>
            <w:left w:w="108" w:type="dxa"/>
            <w:bottom w:w="0" w:type="dxa"/>
            <w:right w:w="108" w:type="dxa"/>
          </w:tblCellMar>
        </w:tblPrEx>
        <w:trPr>
          <w:trHeight w:val="369" w:hRule="atLeast"/>
          <w:jc w:val="center"/>
        </w:trPr>
        <w:tc>
          <w:tcPr>
            <w:tcW w:w="850" w:type="dxa"/>
            <w:vAlign w:val="center"/>
          </w:tcPr>
          <w:p w14:paraId="15D4E029">
            <w:pPr>
              <w:pStyle w:val="13"/>
            </w:pPr>
            <w:r>
              <w:t>8</w:t>
            </w:r>
          </w:p>
        </w:tc>
        <w:tc>
          <w:tcPr>
            <w:tcW w:w="3402" w:type="dxa"/>
            <w:vAlign w:val="center"/>
          </w:tcPr>
          <w:p w14:paraId="17778E5D">
            <w:pPr>
              <w:pStyle w:val="12"/>
            </w:pPr>
          </w:p>
        </w:tc>
        <w:tc>
          <w:tcPr>
            <w:tcW w:w="1474" w:type="dxa"/>
            <w:vAlign w:val="center"/>
          </w:tcPr>
          <w:p w14:paraId="485F29E4">
            <w:pPr>
              <w:pStyle w:val="11"/>
            </w:pPr>
          </w:p>
        </w:tc>
        <w:tc>
          <w:tcPr>
            <w:tcW w:w="3402" w:type="dxa"/>
            <w:vAlign w:val="center"/>
          </w:tcPr>
          <w:p w14:paraId="6353D37D">
            <w:pPr>
              <w:pStyle w:val="12"/>
            </w:pPr>
            <w:r>
              <w:t>八、社会保障和就业支出</w:t>
            </w:r>
          </w:p>
        </w:tc>
        <w:tc>
          <w:tcPr>
            <w:tcW w:w="1474" w:type="dxa"/>
            <w:vAlign w:val="center"/>
          </w:tcPr>
          <w:p w14:paraId="483424EE">
            <w:pPr>
              <w:pStyle w:val="11"/>
            </w:pPr>
            <w:r>
              <w:t>74.92</w:t>
            </w:r>
          </w:p>
        </w:tc>
        <w:tc>
          <w:tcPr>
            <w:tcW w:w="1474" w:type="dxa"/>
            <w:vAlign w:val="center"/>
          </w:tcPr>
          <w:p w14:paraId="2F1A2153">
            <w:pPr>
              <w:pStyle w:val="11"/>
            </w:pPr>
            <w:r>
              <w:t>74.92</w:t>
            </w:r>
          </w:p>
        </w:tc>
        <w:tc>
          <w:tcPr>
            <w:tcW w:w="1474" w:type="dxa"/>
            <w:vAlign w:val="center"/>
          </w:tcPr>
          <w:p w14:paraId="4EACB2BA">
            <w:pPr>
              <w:pStyle w:val="11"/>
            </w:pPr>
          </w:p>
        </w:tc>
        <w:tc>
          <w:tcPr>
            <w:tcW w:w="1474" w:type="dxa"/>
            <w:vAlign w:val="center"/>
          </w:tcPr>
          <w:p w14:paraId="4735A285">
            <w:pPr>
              <w:pStyle w:val="11"/>
            </w:pPr>
          </w:p>
        </w:tc>
      </w:tr>
      <w:tr w14:paraId="44F2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431CD">
            <w:pPr>
              <w:pStyle w:val="13"/>
            </w:pPr>
            <w:r>
              <w:t>9</w:t>
            </w:r>
          </w:p>
        </w:tc>
        <w:tc>
          <w:tcPr>
            <w:tcW w:w="3402" w:type="dxa"/>
            <w:vAlign w:val="center"/>
          </w:tcPr>
          <w:p w14:paraId="53AC4557">
            <w:pPr>
              <w:pStyle w:val="12"/>
            </w:pPr>
          </w:p>
        </w:tc>
        <w:tc>
          <w:tcPr>
            <w:tcW w:w="1474" w:type="dxa"/>
            <w:vAlign w:val="center"/>
          </w:tcPr>
          <w:p w14:paraId="1778C7D5">
            <w:pPr>
              <w:pStyle w:val="11"/>
            </w:pPr>
          </w:p>
        </w:tc>
        <w:tc>
          <w:tcPr>
            <w:tcW w:w="3402" w:type="dxa"/>
            <w:vAlign w:val="center"/>
          </w:tcPr>
          <w:p w14:paraId="09804383">
            <w:pPr>
              <w:pStyle w:val="12"/>
            </w:pPr>
            <w:r>
              <w:t>九、社会保险基金支出</w:t>
            </w:r>
          </w:p>
        </w:tc>
        <w:tc>
          <w:tcPr>
            <w:tcW w:w="1474" w:type="dxa"/>
            <w:vAlign w:val="center"/>
          </w:tcPr>
          <w:p w14:paraId="07D60C35">
            <w:pPr>
              <w:pStyle w:val="11"/>
            </w:pPr>
          </w:p>
        </w:tc>
        <w:tc>
          <w:tcPr>
            <w:tcW w:w="1474" w:type="dxa"/>
            <w:vAlign w:val="center"/>
          </w:tcPr>
          <w:p w14:paraId="34FD5841">
            <w:pPr>
              <w:pStyle w:val="11"/>
            </w:pPr>
          </w:p>
        </w:tc>
        <w:tc>
          <w:tcPr>
            <w:tcW w:w="1474" w:type="dxa"/>
            <w:vAlign w:val="center"/>
          </w:tcPr>
          <w:p w14:paraId="3488BB5D">
            <w:pPr>
              <w:pStyle w:val="11"/>
            </w:pPr>
          </w:p>
        </w:tc>
        <w:tc>
          <w:tcPr>
            <w:tcW w:w="1474" w:type="dxa"/>
            <w:vAlign w:val="center"/>
          </w:tcPr>
          <w:p w14:paraId="01D97992">
            <w:pPr>
              <w:pStyle w:val="11"/>
            </w:pPr>
          </w:p>
        </w:tc>
      </w:tr>
      <w:tr w14:paraId="3AD07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65FAA">
            <w:pPr>
              <w:pStyle w:val="13"/>
            </w:pPr>
            <w:r>
              <w:t>10</w:t>
            </w:r>
          </w:p>
        </w:tc>
        <w:tc>
          <w:tcPr>
            <w:tcW w:w="3402" w:type="dxa"/>
            <w:vAlign w:val="center"/>
          </w:tcPr>
          <w:p w14:paraId="1F93B217">
            <w:pPr>
              <w:pStyle w:val="12"/>
            </w:pPr>
          </w:p>
        </w:tc>
        <w:tc>
          <w:tcPr>
            <w:tcW w:w="1474" w:type="dxa"/>
            <w:vAlign w:val="center"/>
          </w:tcPr>
          <w:p w14:paraId="7B7E3D5E">
            <w:pPr>
              <w:pStyle w:val="11"/>
            </w:pPr>
          </w:p>
        </w:tc>
        <w:tc>
          <w:tcPr>
            <w:tcW w:w="3402" w:type="dxa"/>
            <w:vAlign w:val="center"/>
          </w:tcPr>
          <w:p w14:paraId="0EA548B4">
            <w:pPr>
              <w:pStyle w:val="12"/>
            </w:pPr>
            <w:r>
              <w:t>十、卫生健康支出</w:t>
            </w:r>
          </w:p>
        </w:tc>
        <w:tc>
          <w:tcPr>
            <w:tcW w:w="1474" w:type="dxa"/>
            <w:vAlign w:val="center"/>
          </w:tcPr>
          <w:p w14:paraId="6CB44E14">
            <w:pPr>
              <w:pStyle w:val="11"/>
            </w:pPr>
            <w:r>
              <w:t>33.71</w:t>
            </w:r>
          </w:p>
        </w:tc>
        <w:tc>
          <w:tcPr>
            <w:tcW w:w="1474" w:type="dxa"/>
            <w:vAlign w:val="center"/>
          </w:tcPr>
          <w:p w14:paraId="61349523">
            <w:pPr>
              <w:pStyle w:val="11"/>
            </w:pPr>
            <w:r>
              <w:t>33.71</w:t>
            </w:r>
          </w:p>
        </w:tc>
        <w:tc>
          <w:tcPr>
            <w:tcW w:w="1474" w:type="dxa"/>
            <w:vAlign w:val="center"/>
          </w:tcPr>
          <w:p w14:paraId="0C6D7DEB">
            <w:pPr>
              <w:pStyle w:val="11"/>
            </w:pPr>
          </w:p>
        </w:tc>
        <w:tc>
          <w:tcPr>
            <w:tcW w:w="1474" w:type="dxa"/>
            <w:vAlign w:val="center"/>
          </w:tcPr>
          <w:p w14:paraId="446B3F3C">
            <w:pPr>
              <w:pStyle w:val="11"/>
            </w:pPr>
          </w:p>
        </w:tc>
      </w:tr>
      <w:tr w14:paraId="1438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92EE">
            <w:pPr>
              <w:pStyle w:val="13"/>
            </w:pPr>
            <w:r>
              <w:t>11</w:t>
            </w:r>
          </w:p>
        </w:tc>
        <w:tc>
          <w:tcPr>
            <w:tcW w:w="3402" w:type="dxa"/>
            <w:vAlign w:val="center"/>
          </w:tcPr>
          <w:p w14:paraId="1065AF6D">
            <w:pPr>
              <w:pStyle w:val="12"/>
            </w:pPr>
          </w:p>
        </w:tc>
        <w:tc>
          <w:tcPr>
            <w:tcW w:w="1474" w:type="dxa"/>
            <w:vAlign w:val="center"/>
          </w:tcPr>
          <w:p w14:paraId="33953113">
            <w:pPr>
              <w:pStyle w:val="11"/>
            </w:pPr>
          </w:p>
        </w:tc>
        <w:tc>
          <w:tcPr>
            <w:tcW w:w="3402" w:type="dxa"/>
            <w:vAlign w:val="center"/>
          </w:tcPr>
          <w:p w14:paraId="486196AF">
            <w:pPr>
              <w:pStyle w:val="12"/>
            </w:pPr>
            <w:r>
              <w:t>十一、节能环保支出</w:t>
            </w:r>
          </w:p>
        </w:tc>
        <w:tc>
          <w:tcPr>
            <w:tcW w:w="1474" w:type="dxa"/>
            <w:vAlign w:val="center"/>
          </w:tcPr>
          <w:p w14:paraId="271068A4">
            <w:pPr>
              <w:pStyle w:val="11"/>
            </w:pPr>
          </w:p>
        </w:tc>
        <w:tc>
          <w:tcPr>
            <w:tcW w:w="1474" w:type="dxa"/>
            <w:vAlign w:val="center"/>
          </w:tcPr>
          <w:p w14:paraId="074A9775">
            <w:pPr>
              <w:pStyle w:val="11"/>
            </w:pPr>
          </w:p>
        </w:tc>
        <w:tc>
          <w:tcPr>
            <w:tcW w:w="1474" w:type="dxa"/>
            <w:vAlign w:val="center"/>
          </w:tcPr>
          <w:p w14:paraId="029F0015">
            <w:pPr>
              <w:pStyle w:val="11"/>
            </w:pPr>
          </w:p>
        </w:tc>
        <w:tc>
          <w:tcPr>
            <w:tcW w:w="1474" w:type="dxa"/>
            <w:vAlign w:val="center"/>
          </w:tcPr>
          <w:p w14:paraId="302FF276">
            <w:pPr>
              <w:pStyle w:val="11"/>
            </w:pPr>
          </w:p>
        </w:tc>
      </w:tr>
      <w:tr w14:paraId="1186E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854E3">
            <w:pPr>
              <w:pStyle w:val="13"/>
            </w:pPr>
            <w:r>
              <w:t>12</w:t>
            </w:r>
          </w:p>
        </w:tc>
        <w:tc>
          <w:tcPr>
            <w:tcW w:w="3402" w:type="dxa"/>
            <w:vAlign w:val="center"/>
          </w:tcPr>
          <w:p w14:paraId="1231707B">
            <w:pPr>
              <w:pStyle w:val="12"/>
            </w:pPr>
          </w:p>
        </w:tc>
        <w:tc>
          <w:tcPr>
            <w:tcW w:w="1474" w:type="dxa"/>
            <w:vAlign w:val="center"/>
          </w:tcPr>
          <w:p w14:paraId="0DB6D491">
            <w:pPr>
              <w:pStyle w:val="11"/>
            </w:pPr>
          </w:p>
        </w:tc>
        <w:tc>
          <w:tcPr>
            <w:tcW w:w="3402" w:type="dxa"/>
            <w:vAlign w:val="center"/>
          </w:tcPr>
          <w:p w14:paraId="4BE16E8A">
            <w:pPr>
              <w:pStyle w:val="12"/>
            </w:pPr>
            <w:r>
              <w:t>十二、城乡社区支出</w:t>
            </w:r>
          </w:p>
        </w:tc>
        <w:tc>
          <w:tcPr>
            <w:tcW w:w="1474" w:type="dxa"/>
            <w:vAlign w:val="center"/>
          </w:tcPr>
          <w:p w14:paraId="31D8F6D0">
            <w:pPr>
              <w:pStyle w:val="11"/>
            </w:pPr>
          </w:p>
        </w:tc>
        <w:tc>
          <w:tcPr>
            <w:tcW w:w="1474" w:type="dxa"/>
            <w:vAlign w:val="center"/>
          </w:tcPr>
          <w:p w14:paraId="753AACDF">
            <w:pPr>
              <w:pStyle w:val="11"/>
            </w:pPr>
          </w:p>
        </w:tc>
        <w:tc>
          <w:tcPr>
            <w:tcW w:w="1474" w:type="dxa"/>
            <w:vAlign w:val="center"/>
          </w:tcPr>
          <w:p w14:paraId="2A1CA560">
            <w:pPr>
              <w:pStyle w:val="11"/>
            </w:pPr>
          </w:p>
        </w:tc>
        <w:tc>
          <w:tcPr>
            <w:tcW w:w="1474" w:type="dxa"/>
            <w:vAlign w:val="center"/>
          </w:tcPr>
          <w:p w14:paraId="5CCFDF71">
            <w:pPr>
              <w:pStyle w:val="11"/>
            </w:pPr>
          </w:p>
        </w:tc>
      </w:tr>
      <w:tr w14:paraId="3E9F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500A">
            <w:pPr>
              <w:pStyle w:val="13"/>
            </w:pPr>
            <w:r>
              <w:t>13</w:t>
            </w:r>
          </w:p>
        </w:tc>
        <w:tc>
          <w:tcPr>
            <w:tcW w:w="3402" w:type="dxa"/>
            <w:vAlign w:val="center"/>
          </w:tcPr>
          <w:p w14:paraId="1F82BA6F">
            <w:pPr>
              <w:pStyle w:val="12"/>
            </w:pPr>
          </w:p>
        </w:tc>
        <w:tc>
          <w:tcPr>
            <w:tcW w:w="1474" w:type="dxa"/>
            <w:vAlign w:val="center"/>
          </w:tcPr>
          <w:p w14:paraId="477846D1">
            <w:pPr>
              <w:pStyle w:val="11"/>
            </w:pPr>
          </w:p>
        </w:tc>
        <w:tc>
          <w:tcPr>
            <w:tcW w:w="3402" w:type="dxa"/>
            <w:vAlign w:val="center"/>
          </w:tcPr>
          <w:p w14:paraId="67FCB876">
            <w:pPr>
              <w:pStyle w:val="12"/>
            </w:pPr>
            <w:r>
              <w:t>十三、农林水支出</w:t>
            </w:r>
          </w:p>
        </w:tc>
        <w:tc>
          <w:tcPr>
            <w:tcW w:w="1474" w:type="dxa"/>
            <w:vAlign w:val="center"/>
          </w:tcPr>
          <w:p w14:paraId="780BD523">
            <w:pPr>
              <w:pStyle w:val="11"/>
            </w:pPr>
          </w:p>
        </w:tc>
        <w:tc>
          <w:tcPr>
            <w:tcW w:w="1474" w:type="dxa"/>
            <w:vAlign w:val="center"/>
          </w:tcPr>
          <w:p w14:paraId="44A429E1">
            <w:pPr>
              <w:pStyle w:val="11"/>
            </w:pPr>
          </w:p>
        </w:tc>
        <w:tc>
          <w:tcPr>
            <w:tcW w:w="1474" w:type="dxa"/>
            <w:vAlign w:val="center"/>
          </w:tcPr>
          <w:p w14:paraId="27AC0529">
            <w:pPr>
              <w:pStyle w:val="11"/>
            </w:pPr>
          </w:p>
        </w:tc>
        <w:tc>
          <w:tcPr>
            <w:tcW w:w="1474" w:type="dxa"/>
            <w:vAlign w:val="center"/>
          </w:tcPr>
          <w:p w14:paraId="3BB03F78">
            <w:pPr>
              <w:pStyle w:val="11"/>
            </w:pPr>
          </w:p>
        </w:tc>
      </w:tr>
      <w:tr w14:paraId="5E70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A201">
            <w:pPr>
              <w:pStyle w:val="13"/>
            </w:pPr>
            <w:r>
              <w:t>14</w:t>
            </w:r>
          </w:p>
        </w:tc>
        <w:tc>
          <w:tcPr>
            <w:tcW w:w="3402" w:type="dxa"/>
            <w:vAlign w:val="center"/>
          </w:tcPr>
          <w:p w14:paraId="6D3C38A1">
            <w:pPr>
              <w:pStyle w:val="12"/>
            </w:pPr>
          </w:p>
        </w:tc>
        <w:tc>
          <w:tcPr>
            <w:tcW w:w="1474" w:type="dxa"/>
            <w:vAlign w:val="center"/>
          </w:tcPr>
          <w:p w14:paraId="1B5B6BB4">
            <w:pPr>
              <w:pStyle w:val="11"/>
            </w:pPr>
          </w:p>
        </w:tc>
        <w:tc>
          <w:tcPr>
            <w:tcW w:w="3402" w:type="dxa"/>
            <w:vAlign w:val="center"/>
          </w:tcPr>
          <w:p w14:paraId="1C26ACCD">
            <w:pPr>
              <w:pStyle w:val="12"/>
            </w:pPr>
            <w:r>
              <w:t>十四、交通运输支出</w:t>
            </w:r>
          </w:p>
        </w:tc>
        <w:tc>
          <w:tcPr>
            <w:tcW w:w="1474" w:type="dxa"/>
            <w:vAlign w:val="center"/>
          </w:tcPr>
          <w:p w14:paraId="46287919">
            <w:pPr>
              <w:pStyle w:val="11"/>
            </w:pPr>
          </w:p>
        </w:tc>
        <w:tc>
          <w:tcPr>
            <w:tcW w:w="1474" w:type="dxa"/>
            <w:vAlign w:val="center"/>
          </w:tcPr>
          <w:p w14:paraId="1F675CF3">
            <w:pPr>
              <w:pStyle w:val="11"/>
            </w:pPr>
          </w:p>
        </w:tc>
        <w:tc>
          <w:tcPr>
            <w:tcW w:w="1474" w:type="dxa"/>
            <w:vAlign w:val="center"/>
          </w:tcPr>
          <w:p w14:paraId="2DE8B46D">
            <w:pPr>
              <w:pStyle w:val="11"/>
            </w:pPr>
          </w:p>
        </w:tc>
        <w:tc>
          <w:tcPr>
            <w:tcW w:w="1474" w:type="dxa"/>
            <w:vAlign w:val="center"/>
          </w:tcPr>
          <w:p w14:paraId="4813EA09">
            <w:pPr>
              <w:pStyle w:val="11"/>
            </w:pPr>
          </w:p>
        </w:tc>
      </w:tr>
      <w:tr w14:paraId="5632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978D2">
            <w:pPr>
              <w:pStyle w:val="13"/>
            </w:pPr>
            <w:r>
              <w:t>15</w:t>
            </w:r>
          </w:p>
        </w:tc>
        <w:tc>
          <w:tcPr>
            <w:tcW w:w="3402" w:type="dxa"/>
            <w:vAlign w:val="center"/>
          </w:tcPr>
          <w:p w14:paraId="418B80D2">
            <w:pPr>
              <w:pStyle w:val="12"/>
            </w:pPr>
          </w:p>
        </w:tc>
        <w:tc>
          <w:tcPr>
            <w:tcW w:w="1474" w:type="dxa"/>
            <w:vAlign w:val="center"/>
          </w:tcPr>
          <w:p w14:paraId="34723371">
            <w:pPr>
              <w:pStyle w:val="11"/>
            </w:pPr>
          </w:p>
        </w:tc>
        <w:tc>
          <w:tcPr>
            <w:tcW w:w="3402" w:type="dxa"/>
            <w:vAlign w:val="center"/>
          </w:tcPr>
          <w:p w14:paraId="474AE42F">
            <w:pPr>
              <w:pStyle w:val="12"/>
            </w:pPr>
            <w:r>
              <w:t>十五、资源勘探工业信息等支出</w:t>
            </w:r>
          </w:p>
        </w:tc>
        <w:tc>
          <w:tcPr>
            <w:tcW w:w="1474" w:type="dxa"/>
            <w:vAlign w:val="center"/>
          </w:tcPr>
          <w:p w14:paraId="28C270BE">
            <w:pPr>
              <w:pStyle w:val="11"/>
            </w:pPr>
          </w:p>
        </w:tc>
        <w:tc>
          <w:tcPr>
            <w:tcW w:w="1474" w:type="dxa"/>
            <w:vAlign w:val="center"/>
          </w:tcPr>
          <w:p w14:paraId="6DBA3555">
            <w:pPr>
              <w:pStyle w:val="11"/>
            </w:pPr>
          </w:p>
        </w:tc>
        <w:tc>
          <w:tcPr>
            <w:tcW w:w="1474" w:type="dxa"/>
            <w:vAlign w:val="center"/>
          </w:tcPr>
          <w:p w14:paraId="2B4F4A24">
            <w:pPr>
              <w:pStyle w:val="11"/>
            </w:pPr>
          </w:p>
        </w:tc>
        <w:tc>
          <w:tcPr>
            <w:tcW w:w="1474" w:type="dxa"/>
            <w:vAlign w:val="center"/>
          </w:tcPr>
          <w:p w14:paraId="12A7AB05">
            <w:pPr>
              <w:pStyle w:val="11"/>
            </w:pPr>
          </w:p>
        </w:tc>
      </w:tr>
      <w:tr w14:paraId="06F74DC5">
        <w:tblPrEx>
          <w:tblCellMar>
            <w:top w:w="0" w:type="dxa"/>
            <w:left w:w="108" w:type="dxa"/>
            <w:bottom w:w="0" w:type="dxa"/>
            <w:right w:w="108" w:type="dxa"/>
          </w:tblCellMar>
        </w:tblPrEx>
        <w:trPr>
          <w:trHeight w:val="369" w:hRule="atLeast"/>
          <w:jc w:val="center"/>
        </w:trPr>
        <w:tc>
          <w:tcPr>
            <w:tcW w:w="850" w:type="dxa"/>
            <w:vAlign w:val="center"/>
          </w:tcPr>
          <w:p w14:paraId="17390ED8">
            <w:pPr>
              <w:pStyle w:val="13"/>
            </w:pPr>
            <w:r>
              <w:t>16</w:t>
            </w:r>
          </w:p>
        </w:tc>
        <w:tc>
          <w:tcPr>
            <w:tcW w:w="3402" w:type="dxa"/>
            <w:vAlign w:val="center"/>
          </w:tcPr>
          <w:p w14:paraId="1064E794">
            <w:pPr>
              <w:pStyle w:val="12"/>
            </w:pPr>
          </w:p>
        </w:tc>
        <w:tc>
          <w:tcPr>
            <w:tcW w:w="1474" w:type="dxa"/>
            <w:vAlign w:val="center"/>
          </w:tcPr>
          <w:p w14:paraId="7323000A">
            <w:pPr>
              <w:pStyle w:val="11"/>
            </w:pPr>
          </w:p>
        </w:tc>
        <w:tc>
          <w:tcPr>
            <w:tcW w:w="3402" w:type="dxa"/>
            <w:vAlign w:val="center"/>
          </w:tcPr>
          <w:p w14:paraId="47A9194A">
            <w:pPr>
              <w:pStyle w:val="12"/>
            </w:pPr>
            <w:r>
              <w:t>十六、商业服务业等支出</w:t>
            </w:r>
          </w:p>
        </w:tc>
        <w:tc>
          <w:tcPr>
            <w:tcW w:w="1474" w:type="dxa"/>
            <w:vAlign w:val="center"/>
          </w:tcPr>
          <w:p w14:paraId="5D486489">
            <w:pPr>
              <w:pStyle w:val="11"/>
            </w:pPr>
          </w:p>
        </w:tc>
        <w:tc>
          <w:tcPr>
            <w:tcW w:w="1474" w:type="dxa"/>
            <w:vAlign w:val="center"/>
          </w:tcPr>
          <w:p w14:paraId="7BF643C8">
            <w:pPr>
              <w:pStyle w:val="11"/>
            </w:pPr>
          </w:p>
        </w:tc>
        <w:tc>
          <w:tcPr>
            <w:tcW w:w="1474" w:type="dxa"/>
            <w:vAlign w:val="center"/>
          </w:tcPr>
          <w:p w14:paraId="209D0155">
            <w:pPr>
              <w:pStyle w:val="11"/>
            </w:pPr>
          </w:p>
        </w:tc>
        <w:tc>
          <w:tcPr>
            <w:tcW w:w="1474" w:type="dxa"/>
            <w:vAlign w:val="center"/>
          </w:tcPr>
          <w:p w14:paraId="57F33B08">
            <w:pPr>
              <w:pStyle w:val="11"/>
            </w:pPr>
          </w:p>
        </w:tc>
      </w:tr>
      <w:tr w14:paraId="5CA615F3">
        <w:tblPrEx>
          <w:tblCellMar>
            <w:top w:w="0" w:type="dxa"/>
            <w:left w:w="108" w:type="dxa"/>
            <w:bottom w:w="0" w:type="dxa"/>
            <w:right w:w="108" w:type="dxa"/>
          </w:tblCellMar>
        </w:tblPrEx>
        <w:trPr>
          <w:trHeight w:val="369" w:hRule="atLeast"/>
          <w:jc w:val="center"/>
        </w:trPr>
        <w:tc>
          <w:tcPr>
            <w:tcW w:w="850" w:type="dxa"/>
            <w:vAlign w:val="center"/>
          </w:tcPr>
          <w:p w14:paraId="01691912">
            <w:pPr>
              <w:pStyle w:val="13"/>
            </w:pPr>
            <w:r>
              <w:t>17</w:t>
            </w:r>
          </w:p>
        </w:tc>
        <w:tc>
          <w:tcPr>
            <w:tcW w:w="3402" w:type="dxa"/>
            <w:vAlign w:val="center"/>
          </w:tcPr>
          <w:p w14:paraId="49BB3D4C">
            <w:pPr>
              <w:pStyle w:val="12"/>
            </w:pPr>
          </w:p>
        </w:tc>
        <w:tc>
          <w:tcPr>
            <w:tcW w:w="1474" w:type="dxa"/>
            <w:vAlign w:val="center"/>
          </w:tcPr>
          <w:p w14:paraId="7557D051">
            <w:pPr>
              <w:pStyle w:val="11"/>
            </w:pPr>
          </w:p>
        </w:tc>
        <w:tc>
          <w:tcPr>
            <w:tcW w:w="3402" w:type="dxa"/>
            <w:vAlign w:val="center"/>
          </w:tcPr>
          <w:p w14:paraId="071626AE">
            <w:pPr>
              <w:pStyle w:val="12"/>
            </w:pPr>
            <w:r>
              <w:t>十七、金融支出</w:t>
            </w:r>
          </w:p>
        </w:tc>
        <w:tc>
          <w:tcPr>
            <w:tcW w:w="1474" w:type="dxa"/>
            <w:vAlign w:val="center"/>
          </w:tcPr>
          <w:p w14:paraId="1E82D6E3">
            <w:pPr>
              <w:pStyle w:val="11"/>
            </w:pPr>
          </w:p>
        </w:tc>
        <w:tc>
          <w:tcPr>
            <w:tcW w:w="1474" w:type="dxa"/>
            <w:vAlign w:val="center"/>
          </w:tcPr>
          <w:p w14:paraId="3FD75C26">
            <w:pPr>
              <w:pStyle w:val="11"/>
            </w:pPr>
          </w:p>
        </w:tc>
        <w:tc>
          <w:tcPr>
            <w:tcW w:w="1474" w:type="dxa"/>
            <w:vAlign w:val="center"/>
          </w:tcPr>
          <w:p w14:paraId="2A7F8438">
            <w:pPr>
              <w:pStyle w:val="11"/>
            </w:pPr>
          </w:p>
        </w:tc>
        <w:tc>
          <w:tcPr>
            <w:tcW w:w="1474" w:type="dxa"/>
            <w:vAlign w:val="center"/>
          </w:tcPr>
          <w:p w14:paraId="5FD76B9D">
            <w:pPr>
              <w:pStyle w:val="11"/>
            </w:pPr>
          </w:p>
        </w:tc>
      </w:tr>
      <w:tr w14:paraId="0D5E5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66B1">
            <w:pPr>
              <w:pStyle w:val="13"/>
            </w:pPr>
            <w:r>
              <w:t>18</w:t>
            </w:r>
          </w:p>
        </w:tc>
        <w:tc>
          <w:tcPr>
            <w:tcW w:w="3402" w:type="dxa"/>
            <w:vAlign w:val="center"/>
          </w:tcPr>
          <w:p w14:paraId="52DAD0D2">
            <w:pPr>
              <w:pStyle w:val="12"/>
            </w:pPr>
          </w:p>
        </w:tc>
        <w:tc>
          <w:tcPr>
            <w:tcW w:w="1474" w:type="dxa"/>
            <w:vAlign w:val="center"/>
          </w:tcPr>
          <w:p w14:paraId="427E3190">
            <w:pPr>
              <w:pStyle w:val="11"/>
            </w:pPr>
          </w:p>
        </w:tc>
        <w:tc>
          <w:tcPr>
            <w:tcW w:w="3402" w:type="dxa"/>
            <w:vAlign w:val="center"/>
          </w:tcPr>
          <w:p w14:paraId="2523EDDC">
            <w:pPr>
              <w:pStyle w:val="12"/>
            </w:pPr>
            <w:r>
              <w:t>十八、援助其他地区支出</w:t>
            </w:r>
          </w:p>
        </w:tc>
        <w:tc>
          <w:tcPr>
            <w:tcW w:w="1474" w:type="dxa"/>
            <w:vAlign w:val="center"/>
          </w:tcPr>
          <w:p w14:paraId="4B602DCA">
            <w:pPr>
              <w:pStyle w:val="11"/>
            </w:pPr>
          </w:p>
        </w:tc>
        <w:tc>
          <w:tcPr>
            <w:tcW w:w="1474" w:type="dxa"/>
            <w:vAlign w:val="center"/>
          </w:tcPr>
          <w:p w14:paraId="7A967EEF">
            <w:pPr>
              <w:pStyle w:val="11"/>
            </w:pPr>
          </w:p>
        </w:tc>
        <w:tc>
          <w:tcPr>
            <w:tcW w:w="1474" w:type="dxa"/>
            <w:vAlign w:val="center"/>
          </w:tcPr>
          <w:p w14:paraId="5FAB995B">
            <w:pPr>
              <w:pStyle w:val="11"/>
            </w:pPr>
          </w:p>
        </w:tc>
        <w:tc>
          <w:tcPr>
            <w:tcW w:w="1474" w:type="dxa"/>
            <w:vAlign w:val="center"/>
          </w:tcPr>
          <w:p w14:paraId="0FEC8014">
            <w:pPr>
              <w:pStyle w:val="11"/>
            </w:pPr>
          </w:p>
        </w:tc>
      </w:tr>
      <w:tr w14:paraId="2549AE7E">
        <w:tblPrEx>
          <w:tblCellMar>
            <w:top w:w="0" w:type="dxa"/>
            <w:left w:w="108" w:type="dxa"/>
            <w:bottom w:w="0" w:type="dxa"/>
            <w:right w:w="108" w:type="dxa"/>
          </w:tblCellMar>
        </w:tblPrEx>
        <w:trPr>
          <w:trHeight w:val="369" w:hRule="atLeast"/>
          <w:jc w:val="center"/>
        </w:trPr>
        <w:tc>
          <w:tcPr>
            <w:tcW w:w="850" w:type="dxa"/>
            <w:vAlign w:val="center"/>
          </w:tcPr>
          <w:p w14:paraId="1EDD5A3A">
            <w:pPr>
              <w:pStyle w:val="13"/>
            </w:pPr>
            <w:r>
              <w:t>19</w:t>
            </w:r>
          </w:p>
        </w:tc>
        <w:tc>
          <w:tcPr>
            <w:tcW w:w="3402" w:type="dxa"/>
            <w:vAlign w:val="center"/>
          </w:tcPr>
          <w:p w14:paraId="10C62AFE">
            <w:pPr>
              <w:pStyle w:val="12"/>
            </w:pPr>
          </w:p>
        </w:tc>
        <w:tc>
          <w:tcPr>
            <w:tcW w:w="1474" w:type="dxa"/>
            <w:vAlign w:val="center"/>
          </w:tcPr>
          <w:p w14:paraId="57248214">
            <w:pPr>
              <w:pStyle w:val="11"/>
            </w:pPr>
          </w:p>
        </w:tc>
        <w:tc>
          <w:tcPr>
            <w:tcW w:w="3402" w:type="dxa"/>
            <w:vAlign w:val="center"/>
          </w:tcPr>
          <w:p w14:paraId="67FEAE4B">
            <w:pPr>
              <w:pStyle w:val="12"/>
            </w:pPr>
            <w:r>
              <w:t>十九、自然资源海洋气象等支出</w:t>
            </w:r>
          </w:p>
        </w:tc>
        <w:tc>
          <w:tcPr>
            <w:tcW w:w="1474" w:type="dxa"/>
            <w:vAlign w:val="center"/>
          </w:tcPr>
          <w:p w14:paraId="04D91B67">
            <w:pPr>
              <w:pStyle w:val="11"/>
            </w:pPr>
          </w:p>
        </w:tc>
        <w:tc>
          <w:tcPr>
            <w:tcW w:w="1474" w:type="dxa"/>
            <w:vAlign w:val="center"/>
          </w:tcPr>
          <w:p w14:paraId="018C11D4">
            <w:pPr>
              <w:pStyle w:val="11"/>
            </w:pPr>
          </w:p>
        </w:tc>
        <w:tc>
          <w:tcPr>
            <w:tcW w:w="1474" w:type="dxa"/>
            <w:vAlign w:val="center"/>
          </w:tcPr>
          <w:p w14:paraId="1075B13F">
            <w:pPr>
              <w:pStyle w:val="11"/>
            </w:pPr>
          </w:p>
        </w:tc>
        <w:tc>
          <w:tcPr>
            <w:tcW w:w="1474" w:type="dxa"/>
            <w:vAlign w:val="center"/>
          </w:tcPr>
          <w:p w14:paraId="3FF1C4A4">
            <w:pPr>
              <w:pStyle w:val="11"/>
            </w:pPr>
          </w:p>
        </w:tc>
      </w:tr>
      <w:tr w14:paraId="52AA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3F7B">
            <w:pPr>
              <w:pStyle w:val="13"/>
            </w:pPr>
            <w:r>
              <w:t>20</w:t>
            </w:r>
          </w:p>
        </w:tc>
        <w:tc>
          <w:tcPr>
            <w:tcW w:w="3402" w:type="dxa"/>
            <w:vAlign w:val="center"/>
          </w:tcPr>
          <w:p w14:paraId="429D0D0B">
            <w:pPr>
              <w:pStyle w:val="12"/>
            </w:pPr>
          </w:p>
        </w:tc>
        <w:tc>
          <w:tcPr>
            <w:tcW w:w="1474" w:type="dxa"/>
            <w:vAlign w:val="center"/>
          </w:tcPr>
          <w:p w14:paraId="509DE469">
            <w:pPr>
              <w:pStyle w:val="11"/>
            </w:pPr>
          </w:p>
        </w:tc>
        <w:tc>
          <w:tcPr>
            <w:tcW w:w="3402" w:type="dxa"/>
            <w:vAlign w:val="center"/>
          </w:tcPr>
          <w:p w14:paraId="31877BBB">
            <w:pPr>
              <w:pStyle w:val="12"/>
            </w:pPr>
            <w:r>
              <w:t>二十、住房保障支出</w:t>
            </w:r>
          </w:p>
        </w:tc>
        <w:tc>
          <w:tcPr>
            <w:tcW w:w="1474" w:type="dxa"/>
            <w:vAlign w:val="center"/>
          </w:tcPr>
          <w:p w14:paraId="1BBAD7B7">
            <w:pPr>
              <w:pStyle w:val="11"/>
            </w:pPr>
          </w:p>
        </w:tc>
        <w:tc>
          <w:tcPr>
            <w:tcW w:w="1474" w:type="dxa"/>
            <w:vAlign w:val="center"/>
          </w:tcPr>
          <w:p w14:paraId="5E82BFD3">
            <w:pPr>
              <w:pStyle w:val="11"/>
            </w:pPr>
          </w:p>
        </w:tc>
        <w:tc>
          <w:tcPr>
            <w:tcW w:w="1474" w:type="dxa"/>
            <w:vAlign w:val="center"/>
          </w:tcPr>
          <w:p w14:paraId="47123EC2">
            <w:pPr>
              <w:pStyle w:val="11"/>
            </w:pPr>
          </w:p>
        </w:tc>
        <w:tc>
          <w:tcPr>
            <w:tcW w:w="1474" w:type="dxa"/>
            <w:vAlign w:val="center"/>
          </w:tcPr>
          <w:p w14:paraId="3EB5FC55">
            <w:pPr>
              <w:pStyle w:val="11"/>
            </w:pPr>
          </w:p>
        </w:tc>
      </w:tr>
      <w:tr w14:paraId="3D406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614F">
            <w:pPr>
              <w:pStyle w:val="13"/>
            </w:pPr>
            <w:r>
              <w:t>21</w:t>
            </w:r>
          </w:p>
        </w:tc>
        <w:tc>
          <w:tcPr>
            <w:tcW w:w="3402" w:type="dxa"/>
            <w:vAlign w:val="center"/>
          </w:tcPr>
          <w:p w14:paraId="680B059C">
            <w:pPr>
              <w:pStyle w:val="12"/>
            </w:pPr>
          </w:p>
        </w:tc>
        <w:tc>
          <w:tcPr>
            <w:tcW w:w="1474" w:type="dxa"/>
            <w:vAlign w:val="center"/>
          </w:tcPr>
          <w:p w14:paraId="57AFA51A">
            <w:pPr>
              <w:pStyle w:val="11"/>
            </w:pPr>
          </w:p>
        </w:tc>
        <w:tc>
          <w:tcPr>
            <w:tcW w:w="3402" w:type="dxa"/>
            <w:vAlign w:val="center"/>
          </w:tcPr>
          <w:p w14:paraId="2C7EC2A6">
            <w:pPr>
              <w:pStyle w:val="12"/>
            </w:pPr>
            <w:r>
              <w:t>二十一、粮油物资储备支出</w:t>
            </w:r>
          </w:p>
        </w:tc>
        <w:tc>
          <w:tcPr>
            <w:tcW w:w="1474" w:type="dxa"/>
            <w:vAlign w:val="center"/>
          </w:tcPr>
          <w:p w14:paraId="14436F8D">
            <w:pPr>
              <w:pStyle w:val="11"/>
            </w:pPr>
          </w:p>
        </w:tc>
        <w:tc>
          <w:tcPr>
            <w:tcW w:w="1474" w:type="dxa"/>
            <w:vAlign w:val="center"/>
          </w:tcPr>
          <w:p w14:paraId="36B42509">
            <w:pPr>
              <w:pStyle w:val="11"/>
            </w:pPr>
          </w:p>
        </w:tc>
        <w:tc>
          <w:tcPr>
            <w:tcW w:w="1474" w:type="dxa"/>
            <w:vAlign w:val="center"/>
          </w:tcPr>
          <w:p w14:paraId="6C77F9BE">
            <w:pPr>
              <w:pStyle w:val="11"/>
            </w:pPr>
          </w:p>
        </w:tc>
        <w:tc>
          <w:tcPr>
            <w:tcW w:w="1474" w:type="dxa"/>
            <w:vAlign w:val="center"/>
          </w:tcPr>
          <w:p w14:paraId="3968DE01">
            <w:pPr>
              <w:pStyle w:val="11"/>
            </w:pPr>
          </w:p>
        </w:tc>
      </w:tr>
      <w:tr w14:paraId="3AC2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9E80E">
            <w:pPr>
              <w:pStyle w:val="13"/>
            </w:pPr>
            <w:r>
              <w:t>22</w:t>
            </w:r>
          </w:p>
        </w:tc>
        <w:tc>
          <w:tcPr>
            <w:tcW w:w="3402" w:type="dxa"/>
            <w:vAlign w:val="center"/>
          </w:tcPr>
          <w:p w14:paraId="34747B1B">
            <w:pPr>
              <w:pStyle w:val="12"/>
            </w:pPr>
          </w:p>
        </w:tc>
        <w:tc>
          <w:tcPr>
            <w:tcW w:w="1474" w:type="dxa"/>
            <w:vAlign w:val="center"/>
          </w:tcPr>
          <w:p w14:paraId="07F1402E">
            <w:pPr>
              <w:pStyle w:val="11"/>
            </w:pPr>
          </w:p>
        </w:tc>
        <w:tc>
          <w:tcPr>
            <w:tcW w:w="3402" w:type="dxa"/>
            <w:vAlign w:val="center"/>
          </w:tcPr>
          <w:p w14:paraId="15A22420">
            <w:pPr>
              <w:pStyle w:val="12"/>
            </w:pPr>
            <w:r>
              <w:t>二十二、国有资本经营预算支出</w:t>
            </w:r>
          </w:p>
        </w:tc>
        <w:tc>
          <w:tcPr>
            <w:tcW w:w="1474" w:type="dxa"/>
            <w:vAlign w:val="center"/>
          </w:tcPr>
          <w:p w14:paraId="3633AEFF">
            <w:pPr>
              <w:pStyle w:val="11"/>
            </w:pPr>
          </w:p>
        </w:tc>
        <w:tc>
          <w:tcPr>
            <w:tcW w:w="1474" w:type="dxa"/>
            <w:vAlign w:val="center"/>
          </w:tcPr>
          <w:p w14:paraId="4CA1DC14">
            <w:pPr>
              <w:pStyle w:val="11"/>
            </w:pPr>
          </w:p>
        </w:tc>
        <w:tc>
          <w:tcPr>
            <w:tcW w:w="1474" w:type="dxa"/>
            <w:vAlign w:val="center"/>
          </w:tcPr>
          <w:p w14:paraId="5BFBCC0F">
            <w:pPr>
              <w:pStyle w:val="11"/>
            </w:pPr>
          </w:p>
        </w:tc>
        <w:tc>
          <w:tcPr>
            <w:tcW w:w="1474" w:type="dxa"/>
            <w:vAlign w:val="center"/>
          </w:tcPr>
          <w:p w14:paraId="15745A12">
            <w:pPr>
              <w:pStyle w:val="11"/>
            </w:pPr>
          </w:p>
        </w:tc>
      </w:tr>
      <w:tr w14:paraId="5945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14141">
            <w:pPr>
              <w:pStyle w:val="13"/>
            </w:pPr>
            <w:r>
              <w:t>23</w:t>
            </w:r>
          </w:p>
        </w:tc>
        <w:tc>
          <w:tcPr>
            <w:tcW w:w="3402" w:type="dxa"/>
            <w:vAlign w:val="center"/>
          </w:tcPr>
          <w:p w14:paraId="7DD259EF">
            <w:pPr>
              <w:pStyle w:val="12"/>
            </w:pPr>
          </w:p>
        </w:tc>
        <w:tc>
          <w:tcPr>
            <w:tcW w:w="1474" w:type="dxa"/>
            <w:vAlign w:val="center"/>
          </w:tcPr>
          <w:p w14:paraId="3EB3AA6B">
            <w:pPr>
              <w:pStyle w:val="11"/>
            </w:pPr>
          </w:p>
        </w:tc>
        <w:tc>
          <w:tcPr>
            <w:tcW w:w="3402" w:type="dxa"/>
            <w:vAlign w:val="center"/>
          </w:tcPr>
          <w:p w14:paraId="2FD827CC">
            <w:pPr>
              <w:pStyle w:val="12"/>
            </w:pPr>
            <w:r>
              <w:t>二十三、灾害防治及应急管理支出</w:t>
            </w:r>
          </w:p>
        </w:tc>
        <w:tc>
          <w:tcPr>
            <w:tcW w:w="1474" w:type="dxa"/>
            <w:vAlign w:val="center"/>
          </w:tcPr>
          <w:p w14:paraId="73359671">
            <w:pPr>
              <w:pStyle w:val="11"/>
            </w:pPr>
          </w:p>
        </w:tc>
        <w:tc>
          <w:tcPr>
            <w:tcW w:w="1474" w:type="dxa"/>
            <w:vAlign w:val="center"/>
          </w:tcPr>
          <w:p w14:paraId="46FAC808">
            <w:pPr>
              <w:pStyle w:val="11"/>
            </w:pPr>
          </w:p>
        </w:tc>
        <w:tc>
          <w:tcPr>
            <w:tcW w:w="1474" w:type="dxa"/>
            <w:vAlign w:val="center"/>
          </w:tcPr>
          <w:p w14:paraId="55C7EE8A">
            <w:pPr>
              <w:pStyle w:val="11"/>
            </w:pPr>
          </w:p>
        </w:tc>
        <w:tc>
          <w:tcPr>
            <w:tcW w:w="1474" w:type="dxa"/>
            <w:vAlign w:val="center"/>
          </w:tcPr>
          <w:p w14:paraId="4EB8927D">
            <w:pPr>
              <w:pStyle w:val="11"/>
            </w:pPr>
          </w:p>
        </w:tc>
      </w:tr>
      <w:tr w14:paraId="1117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EAF25">
            <w:pPr>
              <w:pStyle w:val="13"/>
            </w:pPr>
            <w:r>
              <w:t>24</w:t>
            </w:r>
          </w:p>
        </w:tc>
        <w:tc>
          <w:tcPr>
            <w:tcW w:w="3402" w:type="dxa"/>
            <w:vAlign w:val="center"/>
          </w:tcPr>
          <w:p w14:paraId="03006B28">
            <w:pPr>
              <w:pStyle w:val="12"/>
            </w:pPr>
          </w:p>
        </w:tc>
        <w:tc>
          <w:tcPr>
            <w:tcW w:w="1474" w:type="dxa"/>
            <w:vAlign w:val="center"/>
          </w:tcPr>
          <w:p w14:paraId="2D80FC56">
            <w:pPr>
              <w:pStyle w:val="11"/>
            </w:pPr>
          </w:p>
        </w:tc>
        <w:tc>
          <w:tcPr>
            <w:tcW w:w="3402" w:type="dxa"/>
            <w:vAlign w:val="center"/>
          </w:tcPr>
          <w:p w14:paraId="45F497C3">
            <w:pPr>
              <w:pStyle w:val="12"/>
            </w:pPr>
            <w:r>
              <w:t>二十四、预备费</w:t>
            </w:r>
          </w:p>
        </w:tc>
        <w:tc>
          <w:tcPr>
            <w:tcW w:w="1474" w:type="dxa"/>
            <w:vAlign w:val="center"/>
          </w:tcPr>
          <w:p w14:paraId="244F6F6F">
            <w:pPr>
              <w:pStyle w:val="11"/>
            </w:pPr>
          </w:p>
        </w:tc>
        <w:tc>
          <w:tcPr>
            <w:tcW w:w="1474" w:type="dxa"/>
            <w:vAlign w:val="center"/>
          </w:tcPr>
          <w:p w14:paraId="184369C9">
            <w:pPr>
              <w:pStyle w:val="11"/>
            </w:pPr>
          </w:p>
        </w:tc>
        <w:tc>
          <w:tcPr>
            <w:tcW w:w="1474" w:type="dxa"/>
            <w:vAlign w:val="center"/>
          </w:tcPr>
          <w:p w14:paraId="4C05192C">
            <w:pPr>
              <w:pStyle w:val="11"/>
            </w:pPr>
          </w:p>
        </w:tc>
        <w:tc>
          <w:tcPr>
            <w:tcW w:w="1474" w:type="dxa"/>
            <w:vAlign w:val="center"/>
          </w:tcPr>
          <w:p w14:paraId="51A1C5F4">
            <w:pPr>
              <w:pStyle w:val="11"/>
            </w:pPr>
          </w:p>
        </w:tc>
      </w:tr>
      <w:tr w14:paraId="2A01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EC6D7">
            <w:pPr>
              <w:pStyle w:val="13"/>
            </w:pPr>
            <w:r>
              <w:t>25</w:t>
            </w:r>
          </w:p>
        </w:tc>
        <w:tc>
          <w:tcPr>
            <w:tcW w:w="3402" w:type="dxa"/>
            <w:vAlign w:val="center"/>
          </w:tcPr>
          <w:p w14:paraId="612B3100">
            <w:pPr>
              <w:pStyle w:val="12"/>
            </w:pPr>
          </w:p>
        </w:tc>
        <w:tc>
          <w:tcPr>
            <w:tcW w:w="1474" w:type="dxa"/>
            <w:vAlign w:val="center"/>
          </w:tcPr>
          <w:p w14:paraId="5A2AC48F">
            <w:pPr>
              <w:pStyle w:val="11"/>
            </w:pPr>
          </w:p>
        </w:tc>
        <w:tc>
          <w:tcPr>
            <w:tcW w:w="3402" w:type="dxa"/>
            <w:vAlign w:val="center"/>
          </w:tcPr>
          <w:p w14:paraId="342799BF">
            <w:pPr>
              <w:pStyle w:val="12"/>
            </w:pPr>
            <w:r>
              <w:t>二十五、其他支出</w:t>
            </w:r>
          </w:p>
        </w:tc>
        <w:tc>
          <w:tcPr>
            <w:tcW w:w="1474" w:type="dxa"/>
            <w:vAlign w:val="center"/>
          </w:tcPr>
          <w:p w14:paraId="413B9FCF">
            <w:pPr>
              <w:pStyle w:val="11"/>
            </w:pPr>
          </w:p>
        </w:tc>
        <w:tc>
          <w:tcPr>
            <w:tcW w:w="1474" w:type="dxa"/>
            <w:vAlign w:val="center"/>
          </w:tcPr>
          <w:p w14:paraId="40F74D9F">
            <w:pPr>
              <w:pStyle w:val="11"/>
            </w:pPr>
          </w:p>
        </w:tc>
        <w:tc>
          <w:tcPr>
            <w:tcW w:w="1474" w:type="dxa"/>
            <w:vAlign w:val="center"/>
          </w:tcPr>
          <w:p w14:paraId="0D8FB5EB">
            <w:pPr>
              <w:pStyle w:val="11"/>
            </w:pPr>
          </w:p>
        </w:tc>
        <w:tc>
          <w:tcPr>
            <w:tcW w:w="1474" w:type="dxa"/>
            <w:vAlign w:val="center"/>
          </w:tcPr>
          <w:p w14:paraId="151247D7">
            <w:pPr>
              <w:pStyle w:val="11"/>
            </w:pPr>
          </w:p>
        </w:tc>
      </w:tr>
      <w:tr w14:paraId="06F6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BB8F9">
            <w:pPr>
              <w:pStyle w:val="13"/>
            </w:pPr>
            <w:r>
              <w:t>26</w:t>
            </w:r>
          </w:p>
        </w:tc>
        <w:tc>
          <w:tcPr>
            <w:tcW w:w="3402" w:type="dxa"/>
            <w:vAlign w:val="center"/>
          </w:tcPr>
          <w:p w14:paraId="2961EDD6">
            <w:pPr>
              <w:pStyle w:val="12"/>
            </w:pPr>
          </w:p>
        </w:tc>
        <w:tc>
          <w:tcPr>
            <w:tcW w:w="1474" w:type="dxa"/>
            <w:vAlign w:val="center"/>
          </w:tcPr>
          <w:p w14:paraId="309AE684">
            <w:pPr>
              <w:pStyle w:val="11"/>
            </w:pPr>
          </w:p>
        </w:tc>
        <w:tc>
          <w:tcPr>
            <w:tcW w:w="3402" w:type="dxa"/>
            <w:vAlign w:val="center"/>
          </w:tcPr>
          <w:p w14:paraId="2C839164">
            <w:pPr>
              <w:pStyle w:val="12"/>
            </w:pPr>
            <w:r>
              <w:t>二十六、转移性支出</w:t>
            </w:r>
          </w:p>
        </w:tc>
        <w:tc>
          <w:tcPr>
            <w:tcW w:w="1474" w:type="dxa"/>
            <w:vAlign w:val="center"/>
          </w:tcPr>
          <w:p w14:paraId="4D9819CB">
            <w:pPr>
              <w:pStyle w:val="11"/>
            </w:pPr>
          </w:p>
        </w:tc>
        <w:tc>
          <w:tcPr>
            <w:tcW w:w="1474" w:type="dxa"/>
            <w:vAlign w:val="center"/>
          </w:tcPr>
          <w:p w14:paraId="12A17335">
            <w:pPr>
              <w:pStyle w:val="11"/>
            </w:pPr>
          </w:p>
        </w:tc>
        <w:tc>
          <w:tcPr>
            <w:tcW w:w="1474" w:type="dxa"/>
            <w:vAlign w:val="center"/>
          </w:tcPr>
          <w:p w14:paraId="5AE1AB61">
            <w:pPr>
              <w:pStyle w:val="11"/>
            </w:pPr>
          </w:p>
        </w:tc>
        <w:tc>
          <w:tcPr>
            <w:tcW w:w="1474" w:type="dxa"/>
            <w:vAlign w:val="center"/>
          </w:tcPr>
          <w:p w14:paraId="4485C5DC">
            <w:pPr>
              <w:pStyle w:val="11"/>
            </w:pPr>
          </w:p>
        </w:tc>
      </w:tr>
      <w:tr w14:paraId="08C5AA66">
        <w:tblPrEx>
          <w:tblCellMar>
            <w:top w:w="0" w:type="dxa"/>
            <w:left w:w="108" w:type="dxa"/>
            <w:bottom w:w="0" w:type="dxa"/>
            <w:right w:w="108" w:type="dxa"/>
          </w:tblCellMar>
        </w:tblPrEx>
        <w:trPr>
          <w:trHeight w:val="369" w:hRule="atLeast"/>
          <w:jc w:val="center"/>
        </w:trPr>
        <w:tc>
          <w:tcPr>
            <w:tcW w:w="850" w:type="dxa"/>
            <w:vAlign w:val="center"/>
          </w:tcPr>
          <w:p w14:paraId="6062AF79">
            <w:pPr>
              <w:pStyle w:val="13"/>
            </w:pPr>
            <w:r>
              <w:t>27</w:t>
            </w:r>
          </w:p>
        </w:tc>
        <w:tc>
          <w:tcPr>
            <w:tcW w:w="3402" w:type="dxa"/>
            <w:vAlign w:val="center"/>
          </w:tcPr>
          <w:p w14:paraId="4594B729">
            <w:pPr>
              <w:pStyle w:val="12"/>
            </w:pPr>
          </w:p>
        </w:tc>
        <w:tc>
          <w:tcPr>
            <w:tcW w:w="1474" w:type="dxa"/>
            <w:vAlign w:val="center"/>
          </w:tcPr>
          <w:p w14:paraId="2ED24FCF">
            <w:pPr>
              <w:pStyle w:val="11"/>
            </w:pPr>
          </w:p>
        </w:tc>
        <w:tc>
          <w:tcPr>
            <w:tcW w:w="3402" w:type="dxa"/>
            <w:vAlign w:val="center"/>
          </w:tcPr>
          <w:p w14:paraId="063FC6D7">
            <w:pPr>
              <w:pStyle w:val="12"/>
            </w:pPr>
            <w:r>
              <w:t>二十七、债务还本支出</w:t>
            </w:r>
          </w:p>
        </w:tc>
        <w:tc>
          <w:tcPr>
            <w:tcW w:w="1474" w:type="dxa"/>
            <w:vAlign w:val="center"/>
          </w:tcPr>
          <w:p w14:paraId="2B63F8B1">
            <w:pPr>
              <w:pStyle w:val="11"/>
            </w:pPr>
          </w:p>
        </w:tc>
        <w:tc>
          <w:tcPr>
            <w:tcW w:w="1474" w:type="dxa"/>
            <w:vAlign w:val="center"/>
          </w:tcPr>
          <w:p w14:paraId="640E48BC">
            <w:pPr>
              <w:pStyle w:val="11"/>
            </w:pPr>
          </w:p>
        </w:tc>
        <w:tc>
          <w:tcPr>
            <w:tcW w:w="1474" w:type="dxa"/>
            <w:vAlign w:val="center"/>
          </w:tcPr>
          <w:p w14:paraId="76879149">
            <w:pPr>
              <w:pStyle w:val="11"/>
            </w:pPr>
          </w:p>
        </w:tc>
        <w:tc>
          <w:tcPr>
            <w:tcW w:w="1474" w:type="dxa"/>
            <w:vAlign w:val="center"/>
          </w:tcPr>
          <w:p w14:paraId="30A1B7D3">
            <w:pPr>
              <w:pStyle w:val="11"/>
            </w:pPr>
          </w:p>
        </w:tc>
      </w:tr>
      <w:tr w14:paraId="02C21CC3">
        <w:tblPrEx>
          <w:tblCellMar>
            <w:top w:w="0" w:type="dxa"/>
            <w:left w:w="108" w:type="dxa"/>
            <w:bottom w:w="0" w:type="dxa"/>
            <w:right w:w="108" w:type="dxa"/>
          </w:tblCellMar>
        </w:tblPrEx>
        <w:trPr>
          <w:trHeight w:val="369" w:hRule="atLeast"/>
          <w:jc w:val="center"/>
        </w:trPr>
        <w:tc>
          <w:tcPr>
            <w:tcW w:w="850" w:type="dxa"/>
            <w:vAlign w:val="center"/>
          </w:tcPr>
          <w:p w14:paraId="4C712CC6">
            <w:pPr>
              <w:pStyle w:val="13"/>
            </w:pPr>
            <w:r>
              <w:t>28</w:t>
            </w:r>
          </w:p>
        </w:tc>
        <w:tc>
          <w:tcPr>
            <w:tcW w:w="3402" w:type="dxa"/>
            <w:vAlign w:val="center"/>
          </w:tcPr>
          <w:p w14:paraId="15141219">
            <w:pPr>
              <w:pStyle w:val="12"/>
            </w:pPr>
          </w:p>
        </w:tc>
        <w:tc>
          <w:tcPr>
            <w:tcW w:w="1474" w:type="dxa"/>
            <w:vAlign w:val="center"/>
          </w:tcPr>
          <w:p w14:paraId="6F34BC7A">
            <w:pPr>
              <w:pStyle w:val="11"/>
            </w:pPr>
          </w:p>
        </w:tc>
        <w:tc>
          <w:tcPr>
            <w:tcW w:w="3402" w:type="dxa"/>
            <w:vAlign w:val="center"/>
          </w:tcPr>
          <w:p w14:paraId="1BD85EFE">
            <w:pPr>
              <w:pStyle w:val="12"/>
            </w:pPr>
            <w:r>
              <w:t>二十八、债务付息支出</w:t>
            </w:r>
          </w:p>
        </w:tc>
        <w:tc>
          <w:tcPr>
            <w:tcW w:w="1474" w:type="dxa"/>
            <w:vAlign w:val="center"/>
          </w:tcPr>
          <w:p w14:paraId="5B7A4D15">
            <w:pPr>
              <w:pStyle w:val="11"/>
            </w:pPr>
          </w:p>
        </w:tc>
        <w:tc>
          <w:tcPr>
            <w:tcW w:w="1474" w:type="dxa"/>
            <w:vAlign w:val="center"/>
          </w:tcPr>
          <w:p w14:paraId="323B24FA">
            <w:pPr>
              <w:pStyle w:val="11"/>
            </w:pPr>
          </w:p>
        </w:tc>
        <w:tc>
          <w:tcPr>
            <w:tcW w:w="1474" w:type="dxa"/>
            <w:vAlign w:val="center"/>
          </w:tcPr>
          <w:p w14:paraId="52210816">
            <w:pPr>
              <w:pStyle w:val="11"/>
            </w:pPr>
          </w:p>
        </w:tc>
        <w:tc>
          <w:tcPr>
            <w:tcW w:w="1474" w:type="dxa"/>
            <w:vAlign w:val="center"/>
          </w:tcPr>
          <w:p w14:paraId="5ADF4B11">
            <w:pPr>
              <w:pStyle w:val="11"/>
            </w:pPr>
          </w:p>
        </w:tc>
      </w:tr>
      <w:tr w14:paraId="5CAD4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77DB">
            <w:pPr>
              <w:pStyle w:val="13"/>
            </w:pPr>
            <w:r>
              <w:t>29</w:t>
            </w:r>
          </w:p>
        </w:tc>
        <w:tc>
          <w:tcPr>
            <w:tcW w:w="3402" w:type="dxa"/>
            <w:vAlign w:val="center"/>
          </w:tcPr>
          <w:p w14:paraId="00580DE2">
            <w:pPr>
              <w:pStyle w:val="12"/>
            </w:pPr>
          </w:p>
        </w:tc>
        <w:tc>
          <w:tcPr>
            <w:tcW w:w="1474" w:type="dxa"/>
            <w:vAlign w:val="center"/>
          </w:tcPr>
          <w:p w14:paraId="646AC27A">
            <w:pPr>
              <w:pStyle w:val="11"/>
            </w:pPr>
          </w:p>
        </w:tc>
        <w:tc>
          <w:tcPr>
            <w:tcW w:w="3402" w:type="dxa"/>
            <w:vAlign w:val="center"/>
          </w:tcPr>
          <w:p w14:paraId="43D6956D">
            <w:pPr>
              <w:pStyle w:val="12"/>
            </w:pPr>
            <w:r>
              <w:t>二十九、债务发行费用支出</w:t>
            </w:r>
          </w:p>
        </w:tc>
        <w:tc>
          <w:tcPr>
            <w:tcW w:w="1474" w:type="dxa"/>
            <w:vAlign w:val="center"/>
          </w:tcPr>
          <w:p w14:paraId="6227C0ED">
            <w:pPr>
              <w:pStyle w:val="11"/>
            </w:pPr>
          </w:p>
        </w:tc>
        <w:tc>
          <w:tcPr>
            <w:tcW w:w="1474" w:type="dxa"/>
            <w:vAlign w:val="center"/>
          </w:tcPr>
          <w:p w14:paraId="59209D2C">
            <w:pPr>
              <w:pStyle w:val="11"/>
            </w:pPr>
          </w:p>
        </w:tc>
        <w:tc>
          <w:tcPr>
            <w:tcW w:w="1474" w:type="dxa"/>
            <w:vAlign w:val="center"/>
          </w:tcPr>
          <w:p w14:paraId="69A41B5A">
            <w:pPr>
              <w:pStyle w:val="11"/>
            </w:pPr>
          </w:p>
        </w:tc>
        <w:tc>
          <w:tcPr>
            <w:tcW w:w="1474" w:type="dxa"/>
            <w:vAlign w:val="center"/>
          </w:tcPr>
          <w:p w14:paraId="77FEB226">
            <w:pPr>
              <w:pStyle w:val="11"/>
            </w:pPr>
          </w:p>
        </w:tc>
      </w:tr>
      <w:tr w14:paraId="2B8391B9">
        <w:tblPrEx>
          <w:tblCellMar>
            <w:top w:w="0" w:type="dxa"/>
            <w:left w:w="108" w:type="dxa"/>
            <w:bottom w:w="0" w:type="dxa"/>
            <w:right w:w="108" w:type="dxa"/>
          </w:tblCellMar>
        </w:tblPrEx>
        <w:trPr>
          <w:trHeight w:val="369" w:hRule="atLeast"/>
          <w:jc w:val="center"/>
        </w:trPr>
        <w:tc>
          <w:tcPr>
            <w:tcW w:w="850" w:type="dxa"/>
            <w:vAlign w:val="center"/>
          </w:tcPr>
          <w:p w14:paraId="37D10207">
            <w:pPr>
              <w:pStyle w:val="13"/>
            </w:pPr>
            <w:r>
              <w:t>30</w:t>
            </w:r>
          </w:p>
        </w:tc>
        <w:tc>
          <w:tcPr>
            <w:tcW w:w="3402" w:type="dxa"/>
            <w:vAlign w:val="center"/>
          </w:tcPr>
          <w:p w14:paraId="09B94890">
            <w:pPr>
              <w:pStyle w:val="12"/>
            </w:pPr>
          </w:p>
        </w:tc>
        <w:tc>
          <w:tcPr>
            <w:tcW w:w="1474" w:type="dxa"/>
            <w:vAlign w:val="center"/>
          </w:tcPr>
          <w:p w14:paraId="1AFA8149">
            <w:pPr>
              <w:pStyle w:val="11"/>
            </w:pPr>
          </w:p>
        </w:tc>
        <w:tc>
          <w:tcPr>
            <w:tcW w:w="3402" w:type="dxa"/>
            <w:vAlign w:val="center"/>
          </w:tcPr>
          <w:p w14:paraId="3CC13B32">
            <w:pPr>
              <w:pStyle w:val="12"/>
            </w:pPr>
            <w:r>
              <w:t>三十、抗疫特别国债安排的支出</w:t>
            </w:r>
          </w:p>
        </w:tc>
        <w:tc>
          <w:tcPr>
            <w:tcW w:w="1474" w:type="dxa"/>
            <w:vAlign w:val="center"/>
          </w:tcPr>
          <w:p w14:paraId="29FAD50F">
            <w:pPr>
              <w:pStyle w:val="11"/>
            </w:pPr>
          </w:p>
        </w:tc>
        <w:tc>
          <w:tcPr>
            <w:tcW w:w="1474" w:type="dxa"/>
            <w:vAlign w:val="center"/>
          </w:tcPr>
          <w:p w14:paraId="4DB7C5B5">
            <w:pPr>
              <w:pStyle w:val="11"/>
            </w:pPr>
          </w:p>
        </w:tc>
        <w:tc>
          <w:tcPr>
            <w:tcW w:w="1474" w:type="dxa"/>
            <w:vAlign w:val="center"/>
          </w:tcPr>
          <w:p w14:paraId="7524F123">
            <w:pPr>
              <w:pStyle w:val="11"/>
            </w:pPr>
          </w:p>
        </w:tc>
        <w:tc>
          <w:tcPr>
            <w:tcW w:w="1474" w:type="dxa"/>
            <w:vAlign w:val="center"/>
          </w:tcPr>
          <w:p w14:paraId="4A20E51F">
            <w:pPr>
              <w:pStyle w:val="11"/>
            </w:pPr>
          </w:p>
        </w:tc>
      </w:tr>
      <w:tr w14:paraId="22E7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6CA32">
            <w:pPr>
              <w:pStyle w:val="13"/>
            </w:pPr>
            <w:r>
              <w:t>31</w:t>
            </w:r>
          </w:p>
        </w:tc>
        <w:tc>
          <w:tcPr>
            <w:tcW w:w="3402" w:type="dxa"/>
            <w:vAlign w:val="center"/>
          </w:tcPr>
          <w:p w14:paraId="3BFFFF2C">
            <w:pPr>
              <w:pStyle w:val="12"/>
            </w:pPr>
          </w:p>
        </w:tc>
        <w:tc>
          <w:tcPr>
            <w:tcW w:w="1474" w:type="dxa"/>
            <w:vAlign w:val="center"/>
          </w:tcPr>
          <w:p w14:paraId="5FBBAB5F">
            <w:pPr>
              <w:pStyle w:val="11"/>
            </w:pPr>
          </w:p>
        </w:tc>
        <w:tc>
          <w:tcPr>
            <w:tcW w:w="3402" w:type="dxa"/>
            <w:vAlign w:val="center"/>
          </w:tcPr>
          <w:p w14:paraId="7505FD8D">
            <w:pPr>
              <w:pStyle w:val="12"/>
            </w:pPr>
            <w:r>
              <w:t>三十一、人行科目</w:t>
            </w:r>
          </w:p>
        </w:tc>
        <w:tc>
          <w:tcPr>
            <w:tcW w:w="1474" w:type="dxa"/>
            <w:vAlign w:val="center"/>
          </w:tcPr>
          <w:p w14:paraId="42740B57">
            <w:pPr>
              <w:pStyle w:val="11"/>
            </w:pPr>
          </w:p>
        </w:tc>
        <w:tc>
          <w:tcPr>
            <w:tcW w:w="1474" w:type="dxa"/>
            <w:vAlign w:val="center"/>
          </w:tcPr>
          <w:p w14:paraId="15500927">
            <w:pPr>
              <w:pStyle w:val="11"/>
            </w:pPr>
          </w:p>
        </w:tc>
        <w:tc>
          <w:tcPr>
            <w:tcW w:w="1474" w:type="dxa"/>
            <w:vAlign w:val="center"/>
          </w:tcPr>
          <w:p w14:paraId="5ABA9927">
            <w:pPr>
              <w:pStyle w:val="11"/>
            </w:pPr>
          </w:p>
        </w:tc>
        <w:tc>
          <w:tcPr>
            <w:tcW w:w="1474" w:type="dxa"/>
            <w:vAlign w:val="center"/>
          </w:tcPr>
          <w:p w14:paraId="32980E08">
            <w:pPr>
              <w:pStyle w:val="11"/>
            </w:pPr>
          </w:p>
        </w:tc>
      </w:tr>
      <w:tr w14:paraId="2857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3C526">
            <w:pPr>
              <w:pStyle w:val="13"/>
            </w:pPr>
            <w:r>
              <w:t>32</w:t>
            </w:r>
          </w:p>
        </w:tc>
        <w:tc>
          <w:tcPr>
            <w:tcW w:w="3402" w:type="dxa"/>
            <w:vAlign w:val="center"/>
          </w:tcPr>
          <w:p w14:paraId="6ECA5F1D">
            <w:pPr>
              <w:pStyle w:val="14"/>
            </w:pPr>
            <w:r>
              <w:t>本年收入合计</w:t>
            </w:r>
          </w:p>
        </w:tc>
        <w:tc>
          <w:tcPr>
            <w:tcW w:w="1474" w:type="dxa"/>
            <w:vAlign w:val="center"/>
          </w:tcPr>
          <w:p w14:paraId="3CBDBC8C">
            <w:pPr>
              <w:pStyle w:val="15"/>
            </w:pPr>
            <w:r>
              <w:t>775.59</w:t>
            </w:r>
          </w:p>
        </w:tc>
        <w:tc>
          <w:tcPr>
            <w:tcW w:w="3402" w:type="dxa"/>
            <w:vAlign w:val="center"/>
          </w:tcPr>
          <w:p w14:paraId="7BC0C945">
            <w:pPr>
              <w:pStyle w:val="14"/>
            </w:pPr>
            <w:r>
              <w:t>本年支出合计</w:t>
            </w:r>
          </w:p>
        </w:tc>
        <w:tc>
          <w:tcPr>
            <w:tcW w:w="1474" w:type="dxa"/>
            <w:vAlign w:val="center"/>
          </w:tcPr>
          <w:p w14:paraId="0DA89AB5">
            <w:pPr>
              <w:pStyle w:val="15"/>
            </w:pPr>
            <w:r>
              <w:t>775.59</w:t>
            </w:r>
          </w:p>
        </w:tc>
        <w:tc>
          <w:tcPr>
            <w:tcW w:w="1474" w:type="dxa"/>
            <w:vAlign w:val="center"/>
          </w:tcPr>
          <w:p w14:paraId="618A361B">
            <w:pPr>
              <w:pStyle w:val="15"/>
            </w:pPr>
            <w:r>
              <w:t>775.59</w:t>
            </w:r>
          </w:p>
        </w:tc>
        <w:tc>
          <w:tcPr>
            <w:tcW w:w="1474" w:type="dxa"/>
            <w:vAlign w:val="center"/>
          </w:tcPr>
          <w:p w14:paraId="1270F9E4">
            <w:pPr>
              <w:pStyle w:val="15"/>
            </w:pPr>
          </w:p>
        </w:tc>
        <w:tc>
          <w:tcPr>
            <w:tcW w:w="1474" w:type="dxa"/>
            <w:vAlign w:val="center"/>
          </w:tcPr>
          <w:p w14:paraId="014B2F19">
            <w:pPr>
              <w:pStyle w:val="15"/>
            </w:pPr>
          </w:p>
        </w:tc>
      </w:tr>
      <w:tr w14:paraId="759C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F1DE">
            <w:pPr>
              <w:pStyle w:val="13"/>
            </w:pPr>
            <w:r>
              <w:t>33</w:t>
            </w:r>
          </w:p>
        </w:tc>
        <w:tc>
          <w:tcPr>
            <w:tcW w:w="3402" w:type="dxa"/>
            <w:vAlign w:val="center"/>
          </w:tcPr>
          <w:p w14:paraId="1DA7CAC1">
            <w:pPr>
              <w:pStyle w:val="12"/>
            </w:pPr>
            <w:r>
              <w:t>年初财政拨款结转和结余</w:t>
            </w:r>
          </w:p>
        </w:tc>
        <w:tc>
          <w:tcPr>
            <w:tcW w:w="1474" w:type="dxa"/>
            <w:vAlign w:val="center"/>
          </w:tcPr>
          <w:p w14:paraId="31D46373">
            <w:pPr>
              <w:pStyle w:val="11"/>
            </w:pPr>
          </w:p>
        </w:tc>
        <w:tc>
          <w:tcPr>
            <w:tcW w:w="3402" w:type="dxa"/>
            <w:vAlign w:val="center"/>
          </w:tcPr>
          <w:p w14:paraId="46518660">
            <w:pPr>
              <w:pStyle w:val="12"/>
            </w:pPr>
            <w:r>
              <w:t>年末财政拨款结转和结余</w:t>
            </w:r>
          </w:p>
        </w:tc>
        <w:tc>
          <w:tcPr>
            <w:tcW w:w="1474" w:type="dxa"/>
            <w:vAlign w:val="center"/>
          </w:tcPr>
          <w:p w14:paraId="5AE81001">
            <w:pPr>
              <w:pStyle w:val="11"/>
            </w:pPr>
          </w:p>
        </w:tc>
        <w:tc>
          <w:tcPr>
            <w:tcW w:w="1474" w:type="dxa"/>
            <w:vAlign w:val="center"/>
          </w:tcPr>
          <w:p w14:paraId="16E4C852">
            <w:pPr>
              <w:pStyle w:val="11"/>
            </w:pPr>
          </w:p>
        </w:tc>
        <w:tc>
          <w:tcPr>
            <w:tcW w:w="1474" w:type="dxa"/>
            <w:vAlign w:val="center"/>
          </w:tcPr>
          <w:p w14:paraId="53A52881">
            <w:pPr>
              <w:pStyle w:val="11"/>
            </w:pPr>
          </w:p>
        </w:tc>
        <w:tc>
          <w:tcPr>
            <w:tcW w:w="1474" w:type="dxa"/>
            <w:vAlign w:val="center"/>
          </w:tcPr>
          <w:p w14:paraId="61013788">
            <w:pPr>
              <w:pStyle w:val="11"/>
            </w:pPr>
          </w:p>
        </w:tc>
      </w:tr>
      <w:tr w14:paraId="6B6A9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CF70C">
            <w:pPr>
              <w:pStyle w:val="13"/>
            </w:pPr>
            <w:r>
              <w:t>34</w:t>
            </w:r>
          </w:p>
        </w:tc>
        <w:tc>
          <w:tcPr>
            <w:tcW w:w="3402" w:type="dxa"/>
            <w:vAlign w:val="center"/>
          </w:tcPr>
          <w:p w14:paraId="582431CC">
            <w:pPr>
              <w:pStyle w:val="12"/>
            </w:pPr>
            <w:r>
              <w:t>一、一般公共预算拨款</w:t>
            </w:r>
          </w:p>
        </w:tc>
        <w:tc>
          <w:tcPr>
            <w:tcW w:w="1474" w:type="dxa"/>
            <w:vAlign w:val="center"/>
          </w:tcPr>
          <w:p w14:paraId="0A9DE5D3">
            <w:pPr>
              <w:pStyle w:val="11"/>
            </w:pPr>
          </w:p>
        </w:tc>
        <w:tc>
          <w:tcPr>
            <w:tcW w:w="3402" w:type="dxa"/>
            <w:vAlign w:val="center"/>
          </w:tcPr>
          <w:p w14:paraId="14D42C21">
            <w:pPr>
              <w:pStyle w:val="12"/>
            </w:pPr>
          </w:p>
        </w:tc>
        <w:tc>
          <w:tcPr>
            <w:tcW w:w="1474" w:type="dxa"/>
            <w:vAlign w:val="center"/>
          </w:tcPr>
          <w:p w14:paraId="4F199DC5">
            <w:pPr>
              <w:pStyle w:val="11"/>
            </w:pPr>
          </w:p>
        </w:tc>
        <w:tc>
          <w:tcPr>
            <w:tcW w:w="1474" w:type="dxa"/>
            <w:vAlign w:val="center"/>
          </w:tcPr>
          <w:p w14:paraId="1756255B">
            <w:pPr>
              <w:pStyle w:val="11"/>
            </w:pPr>
          </w:p>
        </w:tc>
        <w:tc>
          <w:tcPr>
            <w:tcW w:w="1474" w:type="dxa"/>
            <w:vAlign w:val="center"/>
          </w:tcPr>
          <w:p w14:paraId="30F6A757">
            <w:pPr>
              <w:pStyle w:val="11"/>
            </w:pPr>
          </w:p>
        </w:tc>
        <w:tc>
          <w:tcPr>
            <w:tcW w:w="1474" w:type="dxa"/>
            <w:vAlign w:val="center"/>
          </w:tcPr>
          <w:p w14:paraId="4DC046E8">
            <w:pPr>
              <w:pStyle w:val="11"/>
            </w:pPr>
          </w:p>
        </w:tc>
      </w:tr>
      <w:tr w14:paraId="12D8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E7868">
            <w:pPr>
              <w:pStyle w:val="13"/>
            </w:pPr>
            <w:r>
              <w:t>35</w:t>
            </w:r>
          </w:p>
        </w:tc>
        <w:tc>
          <w:tcPr>
            <w:tcW w:w="3402" w:type="dxa"/>
            <w:vAlign w:val="center"/>
          </w:tcPr>
          <w:p w14:paraId="23E4DF7F">
            <w:pPr>
              <w:pStyle w:val="12"/>
            </w:pPr>
            <w:r>
              <w:t>二、政府性基金预算拨款</w:t>
            </w:r>
          </w:p>
        </w:tc>
        <w:tc>
          <w:tcPr>
            <w:tcW w:w="1474" w:type="dxa"/>
            <w:vAlign w:val="center"/>
          </w:tcPr>
          <w:p w14:paraId="5B6CE1A9">
            <w:pPr>
              <w:pStyle w:val="11"/>
            </w:pPr>
          </w:p>
        </w:tc>
        <w:tc>
          <w:tcPr>
            <w:tcW w:w="3402" w:type="dxa"/>
            <w:vAlign w:val="center"/>
          </w:tcPr>
          <w:p w14:paraId="040F9F38">
            <w:pPr>
              <w:pStyle w:val="12"/>
            </w:pPr>
          </w:p>
        </w:tc>
        <w:tc>
          <w:tcPr>
            <w:tcW w:w="1474" w:type="dxa"/>
            <w:vAlign w:val="center"/>
          </w:tcPr>
          <w:p w14:paraId="3E79314E">
            <w:pPr>
              <w:pStyle w:val="11"/>
            </w:pPr>
          </w:p>
        </w:tc>
        <w:tc>
          <w:tcPr>
            <w:tcW w:w="1474" w:type="dxa"/>
            <w:vAlign w:val="center"/>
          </w:tcPr>
          <w:p w14:paraId="4FB8A6E5">
            <w:pPr>
              <w:pStyle w:val="11"/>
            </w:pPr>
          </w:p>
        </w:tc>
        <w:tc>
          <w:tcPr>
            <w:tcW w:w="1474" w:type="dxa"/>
            <w:vAlign w:val="center"/>
          </w:tcPr>
          <w:p w14:paraId="0848249C">
            <w:pPr>
              <w:pStyle w:val="11"/>
            </w:pPr>
          </w:p>
        </w:tc>
        <w:tc>
          <w:tcPr>
            <w:tcW w:w="1474" w:type="dxa"/>
            <w:vAlign w:val="center"/>
          </w:tcPr>
          <w:p w14:paraId="4B76A8E4">
            <w:pPr>
              <w:pStyle w:val="11"/>
            </w:pPr>
          </w:p>
        </w:tc>
      </w:tr>
      <w:tr w14:paraId="478B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51CC2">
            <w:pPr>
              <w:pStyle w:val="13"/>
            </w:pPr>
            <w:r>
              <w:t>36</w:t>
            </w:r>
          </w:p>
        </w:tc>
        <w:tc>
          <w:tcPr>
            <w:tcW w:w="3402" w:type="dxa"/>
            <w:vAlign w:val="center"/>
          </w:tcPr>
          <w:p w14:paraId="71F52D73">
            <w:pPr>
              <w:pStyle w:val="12"/>
            </w:pPr>
            <w:r>
              <w:t>三、国有资本经营预算拨款</w:t>
            </w:r>
          </w:p>
        </w:tc>
        <w:tc>
          <w:tcPr>
            <w:tcW w:w="1474" w:type="dxa"/>
            <w:vAlign w:val="center"/>
          </w:tcPr>
          <w:p w14:paraId="292B93CA">
            <w:pPr>
              <w:pStyle w:val="11"/>
            </w:pPr>
          </w:p>
        </w:tc>
        <w:tc>
          <w:tcPr>
            <w:tcW w:w="3402" w:type="dxa"/>
            <w:vAlign w:val="center"/>
          </w:tcPr>
          <w:p w14:paraId="1F292877">
            <w:pPr>
              <w:pStyle w:val="12"/>
            </w:pPr>
          </w:p>
        </w:tc>
        <w:tc>
          <w:tcPr>
            <w:tcW w:w="1474" w:type="dxa"/>
            <w:vAlign w:val="center"/>
          </w:tcPr>
          <w:p w14:paraId="473E4ECE">
            <w:pPr>
              <w:pStyle w:val="11"/>
            </w:pPr>
          </w:p>
        </w:tc>
        <w:tc>
          <w:tcPr>
            <w:tcW w:w="1474" w:type="dxa"/>
            <w:vAlign w:val="center"/>
          </w:tcPr>
          <w:p w14:paraId="0B28114B">
            <w:pPr>
              <w:pStyle w:val="11"/>
            </w:pPr>
          </w:p>
        </w:tc>
        <w:tc>
          <w:tcPr>
            <w:tcW w:w="1474" w:type="dxa"/>
            <w:vAlign w:val="center"/>
          </w:tcPr>
          <w:p w14:paraId="795BAD24">
            <w:pPr>
              <w:pStyle w:val="11"/>
            </w:pPr>
          </w:p>
        </w:tc>
        <w:tc>
          <w:tcPr>
            <w:tcW w:w="1474" w:type="dxa"/>
            <w:vAlign w:val="center"/>
          </w:tcPr>
          <w:p w14:paraId="40E92B76">
            <w:pPr>
              <w:pStyle w:val="11"/>
            </w:pPr>
          </w:p>
        </w:tc>
      </w:tr>
      <w:tr w14:paraId="4B0A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8CB5">
            <w:pPr>
              <w:pStyle w:val="13"/>
            </w:pPr>
            <w:r>
              <w:t>37</w:t>
            </w:r>
          </w:p>
        </w:tc>
        <w:tc>
          <w:tcPr>
            <w:tcW w:w="3402" w:type="dxa"/>
            <w:vAlign w:val="center"/>
          </w:tcPr>
          <w:p w14:paraId="66D303B3">
            <w:pPr>
              <w:pStyle w:val="14"/>
            </w:pPr>
            <w:r>
              <w:t>收入总计</w:t>
            </w:r>
          </w:p>
        </w:tc>
        <w:tc>
          <w:tcPr>
            <w:tcW w:w="1474" w:type="dxa"/>
            <w:vAlign w:val="center"/>
          </w:tcPr>
          <w:p w14:paraId="021093CB">
            <w:pPr>
              <w:pStyle w:val="15"/>
            </w:pPr>
            <w:r>
              <w:t>775.59</w:t>
            </w:r>
          </w:p>
        </w:tc>
        <w:tc>
          <w:tcPr>
            <w:tcW w:w="3402" w:type="dxa"/>
            <w:vAlign w:val="center"/>
          </w:tcPr>
          <w:p w14:paraId="6DE1F62F">
            <w:pPr>
              <w:pStyle w:val="14"/>
            </w:pPr>
            <w:r>
              <w:t>支出总计</w:t>
            </w:r>
          </w:p>
        </w:tc>
        <w:tc>
          <w:tcPr>
            <w:tcW w:w="1474" w:type="dxa"/>
            <w:vAlign w:val="center"/>
          </w:tcPr>
          <w:p w14:paraId="7FB69E8A">
            <w:pPr>
              <w:pStyle w:val="15"/>
            </w:pPr>
            <w:r>
              <w:t>775.59</w:t>
            </w:r>
          </w:p>
        </w:tc>
        <w:tc>
          <w:tcPr>
            <w:tcW w:w="1474" w:type="dxa"/>
            <w:vAlign w:val="center"/>
          </w:tcPr>
          <w:p w14:paraId="3003FCAF">
            <w:pPr>
              <w:pStyle w:val="15"/>
            </w:pPr>
            <w:r>
              <w:t>775.59</w:t>
            </w:r>
          </w:p>
        </w:tc>
        <w:tc>
          <w:tcPr>
            <w:tcW w:w="1474" w:type="dxa"/>
            <w:vAlign w:val="center"/>
          </w:tcPr>
          <w:p w14:paraId="168A2CDF">
            <w:pPr>
              <w:pStyle w:val="15"/>
            </w:pPr>
          </w:p>
        </w:tc>
        <w:tc>
          <w:tcPr>
            <w:tcW w:w="1474" w:type="dxa"/>
            <w:vAlign w:val="center"/>
          </w:tcPr>
          <w:p w14:paraId="02104D31">
            <w:pPr>
              <w:pStyle w:val="15"/>
            </w:pPr>
          </w:p>
        </w:tc>
      </w:tr>
    </w:tbl>
    <w:p w14:paraId="753A196E">
      <w:pPr>
        <w:sectPr>
          <w:pgSz w:w="16840" w:h="11900" w:orient="landscape"/>
          <w:pgMar w:top="1361" w:right="1020" w:bottom="1134" w:left="1020" w:header="720" w:footer="720" w:gutter="0"/>
          <w:cols w:space="720" w:num="1"/>
        </w:sectPr>
      </w:pPr>
    </w:p>
    <w:p w14:paraId="756756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65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585A70">
            <w:pPr>
              <w:pStyle w:val="9"/>
            </w:pPr>
            <w:r>
              <w:t>360028隆尧县教师发展中心</w:t>
            </w:r>
          </w:p>
        </w:tc>
        <w:tc>
          <w:tcPr>
            <w:tcW w:w="2551" w:type="dxa"/>
            <w:tcBorders>
              <w:top w:val="single" w:color="FFFFFF" w:sz="6" w:space="0"/>
              <w:left w:val="single" w:color="FFFFFF" w:sz="6" w:space="0"/>
              <w:right w:val="single" w:color="FFFFFF" w:sz="6" w:space="0"/>
            </w:tcBorders>
            <w:vAlign w:val="center"/>
          </w:tcPr>
          <w:p w14:paraId="6D673A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6DBA76">
            <w:pPr>
              <w:pStyle w:val="7"/>
            </w:pPr>
            <w:r>
              <w:t>单位：万元</w:t>
            </w:r>
          </w:p>
        </w:tc>
      </w:tr>
      <w:tr w14:paraId="7B0D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88AED4">
            <w:pPr>
              <w:pStyle w:val="10"/>
            </w:pPr>
            <w:r>
              <w:t>序号</w:t>
            </w:r>
          </w:p>
        </w:tc>
        <w:tc>
          <w:tcPr>
            <w:tcW w:w="5726" w:type="dxa"/>
            <w:gridSpan w:val="2"/>
            <w:vAlign w:val="center"/>
          </w:tcPr>
          <w:p w14:paraId="1E57124C">
            <w:pPr>
              <w:pStyle w:val="10"/>
            </w:pPr>
            <w:r>
              <w:t>功能分类科目</w:t>
            </w:r>
          </w:p>
        </w:tc>
        <w:tc>
          <w:tcPr>
            <w:tcW w:w="2551" w:type="dxa"/>
            <w:vMerge w:val="restart"/>
            <w:vAlign w:val="center"/>
          </w:tcPr>
          <w:p w14:paraId="1482E9F0">
            <w:pPr>
              <w:pStyle w:val="10"/>
            </w:pPr>
            <w:r>
              <w:t>合计</w:t>
            </w:r>
          </w:p>
        </w:tc>
        <w:tc>
          <w:tcPr>
            <w:tcW w:w="2551" w:type="dxa"/>
            <w:vMerge w:val="restart"/>
            <w:vAlign w:val="center"/>
          </w:tcPr>
          <w:p w14:paraId="07FB803B">
            <w:pPr>
              <w:pStyle w:val="10"/>
            </w:pPr>
            <w:r>
              <w:t>基本支出</w:t>
            </w:r>
          </w:p>
        </w:tc>
        <w:tc>
          <w:tcPr>
            <w:tcW w:w="2551" w:type="dxa"/>
            <w:vMerge w:val="restart"/>
            <w:vAlign w:val="center"/>
          </w:tcPr>
          <w:p w14:paraId="34DE10DC">
            <w:pPr>
              <w:pStyle w:val="10"/>
            </w:pPr>
            <w:r>
              <w:t>项目支出</w:t>
            </w:r>
          </w:p>
        </w:tc>
      </w:tr>
      <w:tr w14:paraId="2444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1FC471"/>
        </w:tc>
        <w:tc>
          <w:tcPr>
            <w:tcW w:w="1191" w:type="dxa"/>
            <w:vAlign w:val="center"/>
          </w:tcPr>
          <w:p w14:paraId="00B86C03">
            <w:pPr>
              <w:pStyle w:val="10"/>
            </w:pPr>
            <w:r>
              <w:t>科目编码</w:t>
            </w:r>
          </w:p>
        </w:tc>
        <w:tc>
          <w:tcPr>
            <w:tcW w:w="4535" w:type="dxa"/>
            <w:vAlign w:val="center"/>
          </w:tcPr>
          <w:p w14:paraId="778AD379">
            <w:pPr>
              <w:pStyle w:val="10"/>
            </w:pPr>
            <w:r>
              <w:t>科目名称</w:t>
            </w:r>
          </w:p>
        </w:tc>
        <w:tc>
          <w:tcPr>
            <w:tcW w:w="2551" w:type="dxa"/>
            <w:vMerge w:val="continue"/>
          </w:tcPr>
          <w:p w14:paraId="4F973B00"/>
        </w:tc>
        <w:tc>
          <w:tcPr>
            <w:tcW w:w="2551" w:type="dxa"/>
            <w:vMerge w:val="continue"/>
          </w:tcPr>
          <w:p w14:paraId="33C342B0"/>
        </w:tc>
        <w:tc>
          <w:tcPr>
            <w:tcW w:w="2551" w:type="dxa"/>
            <w:vMerge w:val="continue"/>
          </w:tcPr>
          <w:p w14:paraId="5B08D290"/>
        </w:tc>
      </w:tr>
      <w:tr w14:paraId="27A1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55D836">
            <w:pPr>
              <w:pStyle w:val="10"/>
            </w:pPr>
            <w:r>
              <w:t>栏次</w:t>
            </w:r>
          </w:p>
        </w:tc>
        <w:tc>
          <w:tcPr>
            <w:tcW w:w="1191" w:type="dxa"/>
            <w:vAlign w:val="center"/>
          </w:tcPr>
          <w:p w14:paraId="6B97D982">
            <w:pPr>
              <w:pStyle w:val="10"/>
            </w:pPr>
            <w:r>
              <w:t>1</w:t>
            </w:r>
          </w:p>
        </w:tc>
        <w:tc>
          <w:tcPr>
            <w:tcW w:w="4535" w:type="dxa"/>
            <w:vAlign w:val="center"/>
          </w:tcPr>
          <w:p w14:paraId="085B53A4">
            <w:pPr>
              <w:pStyle w:val="10"/>
            </w:pPr>
            <w:r>
              <w:t>2</w:t>
            </w:r>
          </w:p>
        </w:tc>
        <w:tc>
          <w:tcPr>
            <w:tcW w:w="2551" w:type="dxa"/>
            <w:vAlign w:val="center"/>
          </w:tcPr>
          <w:p w14:paraId="1BE0527D">
            <w:pPr>
              <w:pStyle w:val="10"/>
            </w:pPr>
            <w:r>
              <w:t>3</w:t>
            </w:r>
          </w:p>
        </w:tc>
        <w:tc>
          <w:tcPr>
            <w:tcW w:w="2551" w:type="dxa"/>
            <w:vAlign w:val="center"/>
          </w:tcPr>
          <w:p w14:paraId="7D9B39C9">
            <w:pPr>
              <w:pStyle w:val="10"/>
            </w:pPr>
            <w:r>
              <w:t>4</w:t>
            </w:r>
          </w:p>
        </w:tc>
        <w:tc>
          <w:tcPr>
            <w:tcW w:w="2551" w:type="dxa"/>
            <w:vAlign w:val="center"/>
          </w:tcPr>
          <w:p w14:paraId="31E19B65">
            <w:pPr>
              <w:pStyle w:val="10"/>
            </w:pPr>
            <w:r>
              <w:t>5</w:t>
            </w:r>
          </w:p>
        </w:tc>
      </w:tr>
      <w:tr w14:paraId="149C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5F01">
            <w:pPr>
              <w:pStyle w:val="13"/>
            </w:pPr>
            <w:r>
              <w:t>1</w:t>
            </w:r>
          </w:p>
        </w:tc>
        <w:tc>
          <w:tcPr>
            <w:tcW w:w="1191" w:type="dxa"/>
            <w:vAlign w:val="center"/>
          </w:tcPr>
          <w:p w14:paraId="44332EF4">
            <w:pPr>
              <w:pStyle w:val="16"/>
            </w:pPr>
          </w:p>
        </w:tc>
        <w:tc>
          <w:tcPr>
            <w:tcW w:w="4535" w:type="dxa"/>
            <w:vAlign w:val="center"/>
          </w:tcPr>
          <w:p w14:paraId="18F7171C">
            <w:pPr>
              <w:pStyle w:val="14"/>
            </w:pPr>
            <w:r>
              <w:t>合计</w:t>
            </w:r>
          </w:p>
        </w:tc>
        <w:tc>
          <w:tcPr>
            <w:tcW w:w="2551" w:type="dxa"/>
            <w:vAlign w:val="center"/>
          </w:tcPr>
          <w:p w14:paraId="7FB497E3">
            <w:pPr>
              <w:pStyle w:val="15"/>
            </w:pPr>
            <w:r>
              <w:t>775.59</w:t>
            </w:r>
          </w:p>
        </w:tc>
        <w:tc>
          <w:tcPr>
            <w:tcW w:w="2551" w:type="dxa"/>
            <w:vAlign w:val="center"/>
          </w:tcPr>
          <w:p w14:paraId="0A69E9D2">
            <w:pPr>
              <w:pStyle w:val="15"/>
            </w:pPr>
            <w:r>
              <w:t>765.19</w:t>
            </w:r>
          </w:p>
        </w:tc>
        <w:tc>
          <w:tcPr>
            <w:tcW w:w="2551" w:type="dxa"/>
            <w:vAlign w:val="center"/>
          </w:tcPr>
          <w:p w14:paraId="5D7C4D8A">
            <w:pPr>
              <w:pStyle w:val="15"/>
            </w:pPr>
            <w:r>
              <w:t>10.40</w:t>
            </w:r>
          </w:p>
        </w:tc>
      </w:tr>
      <w:tr w14:paraId="0943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9CF96">
            <w:pPr>
              <w:pStyle w:val="13"/>
            </w:pPr>
            <w:r>
              <w:t>2</w:t>
            </w:r>
          </w:p>
        </w:tc>
        <w:tc>
          <w:tcPr>
            <w:tcW w:w="1191" w:type="dxa"/>
            <w:vAlign w:val="center"/>
          </w:tcPr>
          <w:p w14:paraId="5ABDAE4C">
            <w:pPr>
              <w:pStyle w:val="12"/>
            </w:pPr>
            <w:r>
              <w:t>205</w:t>
            </w:r>
          </w:p>
        </w:tc>
        <w:tc>
          <w:tcPr>
            <w:tcW w:w="4535" w:type="dxa"/>
            <w:vAlign w:val="center"/>
          </w:tcPr>
          <w:p w14:paraId="5CC06972">
            <w:pPr>
              <w:pStyle w:val="12"/>
            </w:pPr>
            <w:r>
              <w:t>教育支出</w:t>
            </w:r>
          </w:p>
        </w:tc>
        <w:tc>
          <w:tcPr>
            <w:tcW w:w="2551" w:type="dxa"/>
            <w:vAlign w:val="center"/>
          </w:tcPr>
          <w:p w14:paraId="5FA8E272">
            <w:pPr>
              <w:pStyle w:val="11"/>
            </w:pPr>
            <w:r>
              <w:t>666.95</w:t>
            </w:r>
          </w:p>
        </w:tc>
        <w:tc>
          <w:tcPr>
            <w:tcW w:w="2551" w:type="dxa"/>
            <w:vAlign w:val="center"/>
          </w:tcPr>
          <w:p w14:paraId="5226905B">
            <w:pPr>
              <w:pStyle w:val="11"/>
            </w:pPr>
            <w:r>
              <w:t>656.55</w:t>
            </w:r>
          </w:p>
        </w:tc>
        <w:tc>
          <w:tcPr>
            <w:tcW w:w="2551" w:type="dxa"/>
            <w:vAlign w:val="center"/>
          </w:tcPr>
          <w:p w14:paraId="62C8BF49">
            <w:pPr>
              <w:pStyle w:val="11"/>
            </w:pPr>
            <w:r>
              <w:t>10.40</w:t>
            </w:r>
          </w:p>
        </w:tc>
      </w:tr>
      <w:tr w14:paraId="763A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6851A">
            <w:pPr>
              <w:pStyle w:val="13"/>
            </w:pPr>
            <w:r>
              <w:t>3</w:t>
            </w:r>
          </w:p>
        </w:tc>
        <w:tc>
          <w:tcPr>
            <w:tcW w:w="1191" w:type="dxa"/>
            <w:vAlign w:val="center"/>
          </w:tcPr>
          <w:p w14:paraId="3C905521">
            <w:pPr>
              <w:pStyle w:val="12"/>
            </w:pPr>
            <w:r>
              <w:t>20502</w:t>
            </w:r>
          </w:p>
        </w:tc>
        <w:tc>
          <w:tcPr>
            <w:tcW w:w="4535" w:type="dxa"/>
            <w:vAlign w:val="center"/>
          </w:tcPr>
          <w:p w14:paraId="7AF49C0E">
            <w:pPr>
              <w:pStyle w:val="12"/>
            </w:pPr>
            <w:r>
              <w:t>普通教育</w:t>
            </w:r>
          </w:p>
        </w:tc>
        <w:tc>
          <w:tcPr>
            <w:tcW w:w="2551" w:type="dxa"/>
            <w:vAlign w:val="center"/>
          </w:tcPr>
          <w:p w14:paraId="430B736C">
            <w:pPr>
              <w:pStyle w:val="11"/>
            </w:pPr>
            <w:r>
              <w:t>55.21</w:t>
            </w:r>
          </w:p>
        </w:tc>
        <w:tc>
          <w:tcPr>
            <w:tcW w:w="2551" w:type="dxa"/>
            <w:vAlign w:val="center"/>
          </w:tcPr>
          <w:p w14:paraId="24537F55">
            <w:pPr>
              <w:pStyle w:val="11"/>
            </w:pPr>
            <w:r>
              <w:t>55.21</w:t>
            </w:r>
          </w:p>
        </w:tc>
        <w:tc>
          <w:tcPr>
            <w:tcW w:w="2551" w:type="dxa"/>
            <w:vAlign w:val="center"/>
          </w:tcPr>
          <w:p w14:paraId="4D129AE9">
            <w:pPr>
              <w:pStyle w:val="11"/>
            </w:pPr>
          </w:p>
        </w:tc>
      </w:tr>
      <w:tr w14:paraId="5EA9C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64931">
            <w:pPr>
              <w:pStyle w:val="13"/>
            </w:pPr>
            <w:r>
              <w:t>4</w:t>
            </w:r>
          </w:p>
        </w:tc>
        <w:tc>
          <w:tcPr>
            <w:tcW w:w="1191" w:type="dxa"/>
            <w:vAlign w:val="center"/>
          </w:tcPr>
          <w:p w14:paraId="0F7868DB">
            <w:pPr>
              <w:pStyle w:val="12"/>
            </w:pPr>
            <w:r>
              <w:t>2050202</w:t>
            </w:r>
          </w:p>
        </w:tc>
        <w:tc>
          <w:tcPr>
            <w:tcW w:w="4535" w:type="dxa"/>
            <w:vAlign w:val="center"/>
          </w:tcPr>
          <w:p w14:paraId="1A8314DD">
            <w:pPr>
              <w:pStyle w:val="12"/>
            </w:pPr>
            <w:r>
              <w:t>小学教育</w:t>
            </w:r>
          </w:p>
        </w:tc>
        <w:tc>
          <w:tcPr>
            <w:tcW w:w="2551" w:type="dxa"/>
            <w:vAlign w:val="center"/>
          </w:tcPr>
          <w:p w14:paraId="48DE8D24">
            <w:pPr>
              <w:pStyle w:val="11"/>
            </w:pPr>
            <w:r>
              <w:t>55.21</w:t>
            </w:r>
          </w:p>
        </w:tc>
        <w:tc>
          <w:tcPr>
            <w:tcW w:w="2551" w:type="dxa"/>
            <w:vAlign w:val="center"/>
          </w:tcPr>
          <w:p w14:paraId="241C8454">
            <w:pPr>
              <w:pStyle w:val="11"/>
            </w:pPr>
            <w:r>
              <w:t>55.21</w:t>
            </w:r>
          </w:p>
        </w:tc>
        <w:tc>
          <w:tcPr>
            <w:tcW w:w="2551" w:type="dxa"/>
            <w:vAlign w:val="center"/>
          </w:tcPr>
          <w:p w14:paraId="3EA0E028">
            <w:pPr>
              <w:pStyle w:val="11"/>
            </w:pPr>
          </w:p>
        </w:tc>
      </w:tr>
      <w:tr w14:paraId="5C540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41AB5">
            <w:pPr>
              <w:pStyle w:val="13"/>
            </w:pPr>
            <w:r>
              <w:t>5</w:t>
            </w:r>
          </w:p>
        </w:tc>
        <w:tc>
          <w:tcPr>
            <w:tcW w:w="1191" w:type="dxa"/>
            <w:vAlign w:val="center"/>
          </w:tcPr>
          <w:p w14:paraId="5702CB42">
            <w:pPr>
              <w:pStyle w:val="12"/>
            </w:pPr>
            <w:r>
              <w:t>20508</w:t>
            </w:r>
          </w:p>
        </w:tc>
        <w:tc>
          <w:tcPr>
            <w:tcW w:w="4535" w:type="dxa"/>
            <w:vAlign w:val="center"/>
          </w:tcPr>
          <w:p w14:paraId="62855E71">
            <w:pPr>
              <w:pStyle w:val="12"/>
            </w:pPr>
            <w:r>
              <w:t>进修及培训</w:t>
            </w:r>
          </w:p>
        </w:tc>
        <w:tc>
          <w:tcPr>
            <w:tcW w:w="2551" w:type="dxa"/>
            <w:vAlign w:val="center"/>
          </w:tcPr>
          <w:p w14:paraId="66F74975">
            <w:pPr>
              <w:pStyle w:val="11"/>
            </w:pPr>
            <w:r>
              <w:t>611.75</w:t>
            </w:r>
          </w:p>
        </w:tc>
        <w:tc>
          <w:tcPr>
            <w:tcW w:w="2551" w:type="dxa"/>
            <w:vAlign w:val="center"/>
          </w:tcPr>
          <w:p w14:paraId="57B7A30E">
            <w:pPr>
              <w:pStyle w:val="11"/>
            </w:pPr>
            <w:r>
              <w:t>601.35</w:t>
            </w:r>
          </w:p>
        </w:tc>
        <w:tc>
          <w:tcPr>
            <w:tcW w:w="2551" w:type="dxa"/>
            <w:vAlign w:val="center"/>
          </w:tcPr>
          <w:p w14:paraId="52958277">
            <w:pPr>
              <w:pStyle w:val="11"/>
            </w:pPr>
            <w:r>
              <w:t>10.40</w:t>
            </w:r>
          </w:p>
        </w:tc>
      </w:tr>
      <w:tr w14:paraId="309B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A32F">
            <w:pPr>
              <w:pStyle w:val="13"/>
            </w:pPr>
            <w:r>
              <w:t>6</w:t>
            </w:r>
          </w:p>
        </w:tc>
        <w:tc>
          <w:tcPr>
            <w:tcW w:w="1191" w:type="dxa"/>
            <w:vAlign w:val="center"/>
          </w:tcPr>
          <w:p w14:paraId="441BC0FA">
            <w:pPr>
              <w:pStyle w:val="12"/>
            </w:pPr>
            <w:r>
              <w:t>2050801</w:t>
            </w:r>
          </w:p>
        </w:tc>
        <w:tc>
          <w:tcPr>
            <w:tcW w:w="4535" w:type="dxa"/>
            <w:vAlign w:val="center"/>
          </w:tcPr>
          <w:p w14:paraId="253711A6">
            <w:pPr>
              <w:pStyle w:val="12"/>
            </w:pPr>
            <w:r>
              <w:t>教师进修</w:t>
            </w:r>
          </w:p>
        </w:tc>
        <w:tc>
          <w:tcPr>
            <w:tcW w:w="2551" w:type="dxa"/>
            <w:vAlign w:val="center"/>
          </w:tcPr>
          <w:p w14:paraId="558E3C31">
            <w:pPr>
              <w:pStyle w:val="11"/>
            </w:pPr>
            <w:r>
              <w:t>611.75</w:t>
            </w:r>
          </w:p>
        </w:tc>
        <w:tc>
          <w:tcPr>
            <w:tcW w:w="2551" w:type="dxa"/>
            <w:vAlign w:val="center"/>
          </w:tcPr>
          <w:p w14:paraId="12929C33">
            <w:pPr>
              <w:pStyle w:val="11"/>
            </w:pPr>
            <w:r>
              <w:t>601.35</w:t>
            </w:r>
          </w:p>
        </w:tc>
        <w:tc>
          <w:tcPr>
            <w:tcW w:w="2551" w:type="dxa"/>
            <w:vAlign w:val="center"/>
          </w:tcPr>
          <w:p w14:paraId="290EFC84">
            <w:pPr>
              <w:pStyle w:val="11"/>
            </w:pPr>
            <w:r>
              <w:t>10.40</w:t>
            </w:r>
          </w:p>
        </w:tc>
      </w:tr>
      <w:tr w14:paraId="1AAB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3CE09">
            <w:pPr>
              <w:pStyle w:val="13"/>
            </w:pPr>
            <w:r>
              <w:t>7</w:t>
            </w:r>
          </w:p>
        </w:tc>
        <w:tc>
          <w:tcPr>
            <w:tcW w:w="1191" w:type="dxa"/>
            <w:vAlign w:val="center"/>
          </w:tcPr>
          <w:p w14:paraId="084578E1">
            <w:pPr>
              <w:pStyle w:val="12"/>
            </w:pPr>
            <w:r>
              <w:t>208</w:t>
            </w:r>
          </w:p>
        </w:tc>
        <w:tc>
          <w:tcPr>
            <w:tcW w:w="4535" w:type="dxa"/>
            <w:vAlign w:val="center"/>
          </w:tcPr>
          <w:p w14:paraId="05E2C4ED">
            <w:pPr>
              <w:pStyle w:val="12"/>
            </w:pPr>
            <w:r>
              <w:t>社会保障和就业支出</w:t>
            </w:r>
          </w:p>
        </w:tc>
        <w:tc>
          <w:tcPr>
            <w:tcW w:w="2551" w:type="dxa"/>
            <w:vAlign w:val="center"/>
          </w:tcPr>
          <w:p w14:paraId="69B32E85">
            <w:pPr>
              <w:pStyle w:val="11"/>
            </w:pPr>
            <w:r>
              <w:t>74.92</w:t>
            </w:r>
          </w:p>
        </w:tc>
        <w:tc>
          <w:tcPr>
            <w:tcW w:w="2551" w:type="dxa"/>
            <w:vAlign w:val="center"/>
          </w:tcPr>
          <w:p w14:paraId="5DC3BBBB">
            <w:pPr>
              <w:pStyle w:val="11"/>
            </w:pPr>
            <w:r>
              <w:t>74.92</w:t>
            </w:r>
          </w:p>
        </w:tc>
        <w:tc>
          <w:tcPr>
            <w:tcW w:w="2551" w:type="dxa"/>
            <w:vAlign w:val="center"/>
          </w:tcPr>
          <w:p w14:paraId="42AB8456">
            <w:pPr>
              <w:pStyle w:val="11"/>
            </w:pPr>
          </w:p>
        </w:tc>
      </w:tr>
      <w:tr w14:paraId="6D99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2141">
            <w:pPr>
              <w:pStyle w:val="13"/>
            </w:pPr>
            <w:r>
              <w:t>8</w:t>
            </w:r>
          </w:p>
        </w:tc>
        <w:tc>
          <w:tcPr>
            <w:tcW w:w="1191" w:type="dxa"/>
            <w:vAlign w:val="center"/>
          </w:tcPr>
          <w:p w14:paraId="47790BC3">
            <w:pPr>
              <w:pStyle w:val="12"/>
            </w:pPr>
            <w:r>
              <w:t>20805</w:t>
            </w:r>
          </w:p>
        </w:tc>
        <w:tc>
          <w:tcPr>
            <w:tcW w:w="4535" w:type="dxa"/>
            <w:vAlign w:val="center"/>
          </w:tcPr>
          <w:p w14:paraId="0E1DC007">
            <w:pPr>
              <w:pStyle w:val="12"/>
            </w:pPr>
            <w:r>
              <w:t>行政事业单位养老支出</w:t>
            </w:r>
          </w:p>
        </w:tc>
        <w:tc>
          <w:tcPr>
            <w:tcW w:w="2551" w:type="dxa"/>
            <w:vAlign w:val="center"/>
          </w:tcPr>
          <w:p w14:paraId="702D44A1">
            <w:pPr>
              <w:pStyle w:val="11"/>
            </w:pPr>
            <w:r>
              <w:t>74.92</w:t>
            </w:r>
          </w:p>
        </w:tc>
        <w:tc>
          <w:tcPr>
            <w:tcW w:w="2551" w:type="dxa"/>
            <w:vAlign w:val="center"/>
          </w:tcPr>
          <w:p w14:paraId="153E4C5B">
            <w:pPr>
              <w:pStyle w:val="11"/>
            </w:pPr>
            <w:r>
              <w:t>74.92</w:t>
            </w:r>
          </w:p>
        </w:tc>
        <w:tc>
          <w:tcPr>
            <w:tcW w:w="2551" w:type="dxa"/>
            <w:vAlign w:val="center"/>
          </w:tcPr>
          <w:p w14:paraId="1859A25E">
            <w:pPr>
              <w:pStyle w:val="11"/>
            </w:pPr>
          </w:p>
        </w:tc>
      </w:tr>
      <w:tr w14:paraId="0655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07EAE">
            <w:pPr>
              <w:pStyle w:val="13"/>
            </w:pPr>
            <w:r>
              <w:t>9</w:t>
            </w:r>
          </w:p>
        </w:tc>
        <w:tc>
          <w:tcPr>
            <w:tcW w:w="1191" w:type="dxa"/>
            <w:vAlign w:val="center"/>
          </w:tcPr>
          <w:p w14:paraId="12C4EBE7">
            <w:pPr>
              <w:pStyle w:val="12"/>
            </w:pPr>
            <w:r>
              <w:t>2080505</w:t>
            </w:r>
          </w:p>
        </w:tc>
        <w:tc>
          <w:tcPr>
            <w:tcW w:w="4535" w:type="dxa"/>
            <w:vAlign w:val="center"/>
          </w:tcPr>
          <w:p w14:paraId="5F65D95D">
            <w:pPr>
              <w:pStyle w:val="12"/>
            </w:pPr>
            <w:r>
              <w:t>机关事业单位基本养老保险缴费支出</w:t>
            </w:r>
          </w:p>
        </w:tc>
        <w:tc>
          <w:tcPr>
            <w:tcW w:w="2551" w:type="dxa"/>
            <w:vAlign w:val="center"/>
          </w:tcPr>
          <w:p w14:paraId="2F200D0F">
            <w:pPr>
              <w:pStyle w:val="11"/>
            </w:pPr>
            <w:r>
              <w:t>74.92</w:t>
            </w:r>
          </w:p>
        </w:tc>
        <w:tc>
          <w:tcPr>
            <w:tcW w:w="2551" w:type="dxa"/>
            <w:vAlign w:val="center"/>
          </w:tcPr>
          <w:p w14:paraId="6B538563">
            <w:pPr>
              <w:pStyle w:val="11"/>
            </w:pPr>
            <w:r>
              <w:t>74.92</w:t>
            </w:r>
          </w:p>
        </w:tc>
        <w:tc>
          <w:tcPr>
            <w:tcW w:w="2551" w:type="dxa"/>
            <w:vAlign w:val="center"/>
          </w:tcPr>
          <w:p w14:paraId="5A60111D">
            <w:pPr>
              <w:pStyle w:val="11"/>
            </w:pPr>
          </w:p>
        </w:tc>
      </w:tr>
      <w:tr w14:paraId="341D0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86329">
            <w:pPr>
              <w:pStyle w:val="13"/>
            </w:pPr>
            <w:r>
              <w:t>10</w:t>
            </w:r>
          </w:p>
        </w:tc>
        <w:tc>
          <w:tcPr>
            <w:tcW w:w="1191" w:type="dxa"/>
            <w:vAlign w:val="center"/>
          </w:tcPr>
          <w:p w14:paraId="34C5D86A">
            <w:pPr>
              <w:pStyle w:val="12"/>
            </w:pPr>
            <w:r>
              <w:t>210</w:t>
            </w:r>
          </w:p>
        </w:tc>
        <w:tc>
          <w:tcPr>
            <w:tcW w:w="4535" w:type="dxa"/>
            <w:vAlign w:val="center"/>
          </w:tcPr>
          <w:p w14:paraId="2584B4A4">
            <w:pPr>
              <w:pStyle w:val="12"/>
            </w:pPr>
            <w:r>
              <w:t>卫生健康支出</w:t>
            </w:r>
          </w:p>
        </w:tc>
        <w:tc>
          <w:tcPr>
            <w:tcW w:w="2551" w:type="dxa"/>
            <w:vAlign w:val="center"/>
          </w:tcPr>
          <w:p w14:paraId="55A67F61">
            <w:pPr>
              <w:pStyle w:val="11"/>
            </w:pPr>
            <w:r>
              <w:t>33.71</w:t>
            </w:r>
          </w:p>
        </w:tc>
        <w:tc>
          <w:tcPr>
            <w:tcW w:w="2551" w:type="dxa"/>
            <w:vAlign w:val="center"/>
          </w:tcPr>
          <w:p w14:paraId="6EC216D4">
            <w:pPr>
              <w:pStyle w:val="11"/>
            </w:pPr>
            <w:r>
              <w:t>33.71</w:t>
            </w:r>
          </w:p>
        </w:tc>
        <w:tc>
          <w:tcPr>
            <w:tcW w:w="2551" w:type="dxa"/>
            <w:vAlign w:val="center"/>
          </w:tcPr>
          <w:p w14:paraId="2A2EE424">
            <w:pPr>
              <w:pStyle w:val="11"/>
            </w:pPr>
          </w:p>
        </w:tc>
      </w:tr>
      <w:tr w14:paraId="1BE3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7142C">
            <w:pPr>
              <w:pStyle w:val="13"/>
            </w:pPr>
            <w:r>
              <w:t>11</w:t>
            </w:r>
          </w:p>
        </w:tc>
        <w:tc>
          <w:tcPr>
            <w:tcW w:w="1191" w:type="dxa"/>
            <w:vAlign w:val="center"/>
          </w:tcPr>
          <w:p w14:paraId="30025369">
            <w:pPr>
              <w:pStyle w:val="12"/>
            </w:pPr>
            <w:r>
              <w:t>21011</w:t>
            </w:r>
          </w:p>
        </w:tc>
        <w:tc>
          <w:tcPr>
            <w:tcW w:w="4535" w:type="dxa"/>
            <w:vAlign w:val="center"/>
          </w:tcPr>
          <w:p w14:paraId="7D1A8E9A">
            <w:pPr>
              <w:pStyle w:val="12"/>
            </w:pPr>
            <w:r>
              <w:t>行政事业单位医疗</w:t>
            </w:r>
          </w:p>
        </w:tc>
        <w:tc>
          <w:tcPr>
            <w:tcW w:w="2551" w:type="dxa"/>
            <w:vAlign w:val="center"/>
          </w:tcPr>
          <w:p w14:paraId="7759877F">
            <w:pPr>
              <w:pStyle w:val="11"/>
            </w:pPr>
            <w:r>
              <w:t>33.71</w:t>
            </w:r>
          </w:p>
        </w:tc>
        <w:tc>
          <w:tcPr>
            <w:tcW w:w="2551" w:type="dxa"/>
            <w:vAlign w:val="center"/>
          </w:tcPr>
          <w:p w14:paraId="171D15F3">
            <w:pPr>
              <w:pStyle w:val="11"/>
            </w:pPr>
            <w:r>
              <w:t>33.71</w:t>
            </w:r>
          </w:p>
        </w:tc>
        <w:tc>
          <w:tcPr>
            <w:tcW w:w="2551" w:type="dxa"/>
            <w:vAlign w:val="center"/>
          </w:tcPr>
          <w:p w14:paraId="51598458">
            <w:pPr>
              <w:pStyle w:val="11"/>
            </w:pPr>
          </w:p>
        </w:tc>
      </w:tr>
      <w:tr w14:paraId="3B5C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DAB3">
            <w:pPr>
              <w:pStyle w:val="13"/>
            </w:pPr>
            <w:r>
              <w:t>12</w:t>
            </w:r>
          </w:p>
        </w:tc>
        <w:tc>
          <w:tcPr>
            <w:tcW w:w="1191" w:type="dxa"/>
            <w:vAlign w:val="center"/>
          </w:tcPr>
          <w:p w14:paraId="4438A423">
            <w:pPr>
              <w:pStyle w:val="12"/>
            </w:pPr>
            <w:r>
              <w:t>2101102</w:t>
            </w:r>
          </w:p>
        </w:tc>
        <w:tc>
          <w:tcPr>
            <w:tcW w:w="4535" w:type="dxa"/>
            <w:vAlign w:val="center"/>
          </w:tcPr>
          <w:p w14:paraId="686D23CC">
            <w:pPr>
              <w:pStyle w:val="12"/>
            </w:pPr>
            <w:r>
              <w:t>事业单位医疗</w:t>
            </w:r>
          </w:p>
        </w:tc>
        <w:tc>
          <w:tcPr>
            <w:tcW w:w="2551" w:type="dxa"/>
            <w:vAlign w:val="center"/>
          </w:tcPr>
          <w:p w14:paraId="2FD41A18">
            <w:pPr>
              <w:pStyle w:val="11"/>
            </w:pPr>
            <w:r>
              <w:t>33.71</w:t>
            </w:r>
          </w:p>
        </w:tc>
        <w:tc>
          <w:tcPr>
            <w:tcW w:w="2551" w:type="dxa"/>
            <w:vAlign w:val="center"/>
          </w:tcPr>
          <w:p w14:paraId="05B861E5">
            <w:pPr>
              <w:pStyle w:val="11"/>
            </w:pPr>
            <w:r>
              <w:t>33.71</w:t>
            </w:r>
          </w:p>
        </w:tc>
        <w:tc>
          <w:tcPr>
            <w:tcW w:w="2551" w:type="dxa"/>
            <w:vAlign w:val="center"/>
          </w:tcPr>
          <w:p w14:paraId="5FCC75A6">
            <w:pPr>
              <w:pStyle w:val="11"/>
            </w:pPr>
          </w:p>
        </w:tc>
      </w:tr>
    </w:tbl>
    <w:p w14:paraId="6CF8DC45">
      <w:pPr>
        <w:sectPr>
          <w:pgSz w:w="16840" w:h="11900" w:orient="landscape"/>
          <w:pgMar w:top="1361" w:right="1020" w:bottom="1134" w:left="1020" w:header="720" w:footer="720" w:gutter="0"/>
          <w:cols w:space="720" w:num="1"/>
        </w:sectPr>
      </w:pPr>
    </w:p>
    <w:p w14:paraId="378562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59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F2F3EE">
            <w:pPr>
              <w:pStyle w:val="9"/>
            </w:pPr>
            <w:r>
              <w:t>360028隆尧县教师发展中心</w:t>
            </w:r>
          </w:p>
        </w:tc>
        <w:tc>
          <w:tcPr>
            <w:tcW w:w="2551" w:type="dxa"/>
            <w:tcBorders>
              <w:top w:val="single" w:color="FFFFFF" w:sz="6" w:space="0"/>
              <w:left w:val="single" w:color="FFFFFF" w:sz="6" w:space="0"/>
              <w:right w:val="single" w:color="FFFFFF" w:sz="6" w:space="0"/>
            </w:tcBorders>
            <w:vAlign w:val="center"/>
          </w:tcPr>
          <w:p w14:paraId="368F87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84154D">
            <w:pPr>
              <w:pStyle w:val="7"/>
            </w:pPr>
            <w:r>
              <w:t>单位：万元</w:t>
            </w:r>
          </w:p>
        </w:tc>
      </w:tr>
      <w:tr w14:paraId="0F166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1BC907">
            <w:pPr>
              <w:pStyle w:val="10"/>
            </w:pPr>
            <w:r>
              <w:t>序号</w:t>
            </w:r>
          </w:p>
        </w:tc>
        <w:tc>
          <w:tcPr>
            <w:tcW w:w="5726" w:type="dxa"/>
            <w:gridSpan w:val="2"/>
            <w:vAlign w:val="center"/>
          </w:tcPr>
          <w:p w14:paraId="67A2EB24">
            <w:pPr>
              <w:pStyle w:val="10"/>
            </w:pPr>
            <w:r>
              <w:t>支出部门经济分类科目</w:t>
            </w:r>
          </w:p>
        </w:tc>
        <w:tc>
          <w:tcPr>
            <w:tcW w:w="7653" w:type="dxa"/>
            <w:gridSpan w:val="3"/>
            <w:vAlign w:val="center"/>
          </w:tcPr>
          <w:p w14:paraId="4350E763">
            <w:pPr>
              <w:pStyle w:val="10"/>
            </w:pPr>
            <w:r>
              <w:t>一般公共预算基本支出</w:t>
            </w:r>
          </w:p>
        </w:tc>
      </w:tr>
      <w:tr w14:paraId="7E7A6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CFBC86"/>
        </w:tc>
        <w:tc>
          <w:tcPr>
            <w:tcW w:w="1191" w:type="dxa"/>
            <w:vAlign w:val="center"/>
          </w:tcPr>
          <w:p w14:paraId="7D928971">
            <w:pPr>
              <w:pStyle w:val="10"/>
            </w:pPr>
            <w:r>
              <w:t>科目编码</w:t>
            </w:r>
          </w:p>
        </w:tc>
        <w:tc>
          <w:tcPr>
            <w:tcW w:w="4535" w:type="dxa"/>
            <w:vAlign w:val="center"/>
          </w:tcPr>
          <w:p w14:paraId="0E643845">
            <w:pPr>
              <w:pStyle w:val="10"/>
            </w:pPr>
            <w:r>
              <w:t>科目名称</w:t>
            </w:r>
          </w:p>
        </w:tc>
        <w:tc>
          <w:tcPr>
            <w:tcW w:w="2551" w:type="dxa"/>
            <w:vAlign w:val="center"/>
          </w:tcPr>
          <w:p w14:paraId="6D82FA51">
            <w:pPr>
              <w:pStyle w:val="10"/>
            </w:pPr>
            <w:r>
              <w:t>合计</w:t>
            </w:r>
          </w:p>
        </w:tc>
        <w:tc>
          <w:tcPr>
            <w:tcW w:w="2551" w:type="dxa"/>
            <w:vAlign w:val="center"/>
          </w:tcPr>
          <w:p w14:paraId="44B85C55">
            <w:pPr>
              <w:pStyle w:val="10"/>
            </w:pPr>
            <w:r>
              <w:t>人员经费</w:t>
            </w:r>
          </w:p>
        </w:tc>
        <w:tc>
          <w:tcPr>
            <w:tcW w:w="2551" w:type="dxa"/>
            <w:vAlign w:val="center"/>
          </w:tcPr>
          <w:p w14:paraId="0C115DD6">
            <w:pPr>
              <w:pStyle w:val="10"/>
            </w:pPr>
            <w:r>
              <w:t>公用经费</w:t>
            </w:r>
          </w:p>
        </w:tc>
      </w:tr>
      <w:tr w14:paraId="566A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D1B39D">
            <w:pPr>
              <w:pStyle w:val="10"/>
            </w:pPr>
            <w:r>
              <w:t>栏次</w:t>
            </w:r>
          </w:p>
        </w:tc>
        <w:tc>
          <w:tcPr>
            <w:tcW w:w="1191" w:type="dxa"/>
            <w:vAlign w:val="center"/>
          </w:tcPr>
          <w:p w14:paraId="3B5F839D">
            <w:pPr>
              <w:pStyle w:val="10"/>
            </w:pPr>
            <w:r>
              <w:t>1</w:t>
            </w:r>
          </w:p>
        </w:tc>
        <w:tc>
          <w:tcPr>
            <w:tcW w:w="4535" w:type="dxa"/>
            <w:vAlign w:val="center"/>
          </w:tcPr>
          <w:p w14:paraId="2C39E98F">
            <w:pPr>
              <w:pStyle w:val="10"/>
            </w:pPr>
            <w:r>
              <w:t>2</w:t>
            </w:r>
          </w:p>
        </w:tc>
        <w:tc>
          <w:tcPr>
            <w:tcW w:w="2551" w:type="dxa"/>
            <w:vAlign w:val="center"/>
          </w:tcPr>
          <w:p w14:paraId="0D9B8ABD">
            <w:pPr>
              <w:pStyle w:val="10"/>
            </w:pPr>
            <w:r>
              <w:t>3</w:t>
            </w:r>
          </w:p>
        </w:tc>
        <w:tc>
          <w:tcPr>
            <w:tcW w:w="2551" w:type="dxa"/>
            <w:vAlign w:val="center"/>
          </w:tcPr>
          <w:p w14:paraId="2CDE7538">
            <w:pPr>
              <w:pStyle w:val="10"/>
            </w:pPr>
            <w:r>
              <w:t>4</w:t>
            </w:r>
          </w:p>
        </w:tc>
        <w:tc>
          <w:tcPr>
            <w:tcW w:w="2551" w:type="dxa"/>
            <w:vAlign w:val="center"/>
          </w:tcPr>
          <w:p w14:paraId="0B8C5A99">
            <w:pPr>
              <w:pStyle w:val="10"/>
            </w:pPr>
            <w:r>
              <w:t>5</w:t>
            </w:r>
          </w:p>
        </w:tc>
      </w:tr>
      <w:tr w14:paraId="1C760B7C">
        <w:tblPrEx>
          <w:tblCellMar>
            <w:top w:w="0" w:type="dxa"/>
            <w:left w:w="108" w:type="dxa"/>
            <w:bottom w:w="0" w:type="dxa"/>
            <w:right w:w="108" w:type="dxa"/>
          </w:tblCellMar>
        </w:tblPrEx>
        <w:trPr>
          <w:trHeight w:val="369" w:hRule="atLeast"/>
          <w:jc w:val="center"/>
        </w:trPr>
        <w:tc>
          <w:tcPr>
            <w:tcW w:w="850" w:type="dxa"/>
            <w:vAlign w:val="center"/>
          </w:tcPr>
          <w:p w14:paraId="4A26FD74">
            <w:pPr>
              <w:pStyle w:val="13"/>
            </w:pPr>
            <w:r>
              <w:t>1</w:t>
            </w:r>
          </w:p>
        </w:tc>
        <w:tc>
          <w:tcPr>
            <w:tcW w:w="1191" w:type="dxa"/>
            <w:vAlign w:val="center"/>
          </w:tcPr>
          <w:p w14:paraId="3FA090F7">
            <w:pPr>
              <w:pStyle w:val="16"/>
            </w:pPr>
          </w:p>
        </w:tc>
        <w:tc>
          <w:tcPr>
            <w:tcW w:w="4535" w:type="dxa"/>
            <w:vAlign w:val="center"/>
          </w:tcPr>
          <w:p w14:paraId="24AB8BEB">
            <w:pPr>
              <w:pStyle w:val="14"/>
            </w:pPr>
            <w:r>
              <w:t>合计</w:t>
            </w:r>
          </w:p>
        </w:tc>
        <w:tc>
          <w:tcPr>
            <w:tcW w:w="2551" w:type="dxa"/>
            <w:vAlign w:val="center"/>
          </w:tcPr>
          <w:p w14:paraId="09C67992">
            <w:pPr>
              <w:pStyle w:val="15"/>
            </w:pPr>
            <w:r>
              <w:t>765.19</w:t>
            </w:r>
          </w:p>
        </w:tc>
        <w:tc>
          <w:tcPr>
            <w:tcW w:w="2551" w:type="dxa"/>
            <w:vAlign w:val="center"/>
          </w:tcPr>
          <w:p w14:paraId="7F5D34F2">
            <w:pPr>
              <w:pStyle w:val="15"/>
            </w:pPr>
            <w:r>
              <w:t>751.19</w:t>
            </w:r>
          </w:p>
        </w:tc>
        <w:tc>
          <w:tcPr>
            <w:tcW w:w="2551" w:type="dxa"/>
            <w:vAlign w:val="center"/>
          </w:tcPr>
          <w:p w14:paraId="675052EE">
            <w:pPr>
              <w:pStyle w:val="15"/>
            </w:pPr>
            <w:r>
              <w:t>14.00</w:t>
            </w:r>
          </w:p>
        </w:tc>
      </w:tr>
      <w:tr w14:paraId="633C7019">
        <w:tblPrEx>
          <w:tblCellMar>
            <w:top w:w="0" w:type="dxa"/>
            <w:left w:w="108" w:type="dxa"/>
            <w:bottom w:w="0" w:type="dxa"/>
            <w:right w:w="108" w:type="dxa"/>
          </w:tblCellMar>
        </w:tblPrEx>
        <w:trPr>
          <w:trHeight w:val="369" w:hRule="atLeast"/>
          <w:jc w:val="center"/>
        </w:trPr>
        <w:tc>
          <w:tcPr>
            <w:tcW w:w="850" w:type="dxa"/>
            <w:vAlign w:val="center"/>
          </w:tcPr>
          <w:p w14:paraId="40262969">
            <w:pPr>
              <w:pStyle w:val="13"/>
            </w:pPr>
            <w:r>
              <w:t>2</w:t>
            </w:r>
          </w:p>
        </w:tc>
        <w:tc>
          <w:tcPr>
            <w:tcW w:w="1191" w:type="dxa"/>
            <w:vAlign w:val="center"/>
          </w:tcPr>
          <w:p w14:paraId="1E36AB43">
            <w:pPr>
              <w:pStyle w:val="12"/>
            </w:pPr>
            <w:r>
              <w:t>301</w:t>
            </w:r>
          </w:p>
        </w:tc>
        <w:tc>
          <w:tcPr>
            <w:tcW w:w="4535" w:type="dxa"/>
            <w:vAlign w:val="center"/>
          </w:tcPr>
          <w:p w14:paraId="4D9F5C0C">
            <w:pPr>
              <w:pStyle w:val="12"/>
            </w:pPr>
            <w:r>
              <w:t>工资福利支出</w:t>
            </w:r>
          </w:p>
        </w:tc>
        <w:tc>
          <w:tcPr>
            <w:tcW w:w="2551" w:type="dxa"/>
            <w:vAlign w:val="center"/>
          </w:tcPr>
          <w:p w14:paraId="276A3FC0">
            <w:pPr>
              <w:pStyle w:val="11"/>
            </w:pPr>
            <w:r>
              <w:t>705.42</w:t>
            </w:r>
          </w:p>
        </w:tc>
        <w:tc>
          <w:tcPr>
            <w:tcW w:w="2551" w:type="dxa"/>
            <w:vAlign w:val="center"/>
          </w:tcPr>
          <w:p w14:paraId="33507B9D">
            <w:pPr>
              <w:pStyle w:val="11"/>
            </w:pPr>
            <w:r>
              <w:t>705.42</w:t>
            </w:r>
          </w:p>
        </w:tc>
        <w:tc>
          <w:tcPr>
            <w:tcW w:w="2551" w:type="dxa"/>
            <w:vAlign w:val="center"/>
          </w:tcPr>
          <w:p w14:paraId="55770DDE">
            <w:pPr>
              <w:pStyle w:val="11"/>
            </w:pPr>
          </w:p>
        </w:tc>
      </w:tr>
      <w:tr w14:paraId="0F55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0D19">
            <w:pPr>
              <w:pStyle w:val="13"/>
            </w:pPr>
            <w:r>
              <w:t>3</w:t>
            </w:r>
          </w:p>
        </w:tc>
        <w:tc>
          <w:tcPr>
            <w:tcW w:w="1191" w:type="dxa"/>
            <w:vAlign w:val="center"/>
          </w:tcPr>
          <w:p w14:paraId="2DB7AE17">
            <w:pPr>
              <w:pStyle w:val="12"/>
            </w:pPr>
            <w:r>
              <w:t>30101</w:t>
            </w:r>
          </w:p>
        </w:tc>
        <w:tc>
          <w:tcPr>
            <w:tcW w:w="4535" w:type="dxa"/>
            <w:vAlign w:val="center"/>
          </w:tcPr>
          <w:p w14:paraId="79412DB4">
            <w:pPr>
              <w:pStyle w:val="12"/>
            </w:pPr>
            <w:r>
              <w:t>基本工资</w:t>
            </w:r>
          </w:p>
        </w:tc>
        <w:tc>
          <w:tcPr>
            <w:tcW w:w="2551" w:type="dxa"/>
            <w:vAlign w:val="center"/>
          </w:tcPr>
          <w:p w14:paraId="14CD6150">
            <w:pPr>
              <w:pStyle w:val="11"/>
            </w:pPr>
            <w:r>
              <w:t>351.52</w:t>
            </w:r>
          </w:p>
        </w:tc>
        <w:tc>
          <w:tcPr>
            <w:tcW w:w="2551" w:type="dxa"/>
            <w:vAlign w:val="center"/>
          </w:tcPr>
          <w:p w14:paraId="606ADEC7">
            <w:pPr>
              <w:pStyle w:val="11"/>
            </w:pPr>
            <w:r>
              <w:t>351.52</w:t>
            </w:r>
          </w:p>
        </w:tc>
        <w:tc>
          <w:tcPr>
            <w:tcW w:w="2551" w:type="dxa"/>
            <w:vAlign w:val="center"/>
          </w:tcPr>
          <w:p w14:paraId="0149A784">
            <w:pPr>
              <w:pStyle w:val="11"/>
            </w:pPr>
          </w:p>
        </w:tc>
      </w:tr>
      <w:tr w14:paraId="07D16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787A">
            <w:pPr>
              <w:pStyle w:val="13"/>
            </w:pPr>
            <w:r>
              <w:t>4</w:t>
            </w:r>
          </w:p>
        </w:tc>
        <w:tc>
          <w:tcPr>
            <w:tcW w:w="1191" w:type="dxa"/>
            <w:vAlign w:val="center"/>
          </w:tcPr>
          <w:p w14:paraId="17575A0A">
            <w:pPr>
              <w:pStyle w:val="12"/>
            </w:pPr>
            <w:r>
              <w:t>30102</w:t>
            </w:r>
          </w:p>
        </w:tc>
        <w:tc>
          <w:tcPr>
            <w:tcW w:w="4535" w:type="dxa"/>
            <w:vAlign w:val="center"/>
          </w:tcPr>
          <w:p w14:paraId="4F89FA98">
            <w:pPr>
              <w:pStyle w:val="12"/>
            </w:pPr>
            <w:r>
              <w:t>津贴补贴</w:t>
            </w:r>
          </w:p>
        </w:tc>
        <w:tc>
          <w:tcPr>
            <w:tcW w:w="2551" w:type="dxa"/>
            <w:vAlign w:val="center"/>
          </w:tcPr>
          <w:p w14:paraId="0958E80C">
            <w:pPr>
              <w:pStyle w:val="11"/>
            </w:pPr>
            <w:r>
              <w:t>8.61</w:t>
            </w:r>
          </w:p>
        </w:tc>
        <w:tc>
          <w:tcPr>
            <w:tcW w:w="2551" w:type="dxa"/>
            <w:vAlign w:val="center"/>
          </w:tcPr>
          <w:p w14:paraId="79826DC6">
            <w:pPr>
              <w:pStyle w:val="11"/>
            </w:pPr>
            <w:r>
              <w:t>8.61</w:t>
            </w:r>
          </w:p>
        </w:tc>
        <w:tc>
          <w:tcPr>
            <w:tcW w:w="2551" w:type="dxa"/>
            <w:vAlign w:val="center"/>
          </w:tcPr>
          <w:p w14:paraId="2C997FEE">
            <w:pPr>
              <w:pStyle w:val="11"/>
            </w:pPr>
          </w:p>
        </w:tc>
      </w:tr>
      <w:tr w14:paraId="3DF8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F4AF">
            <w:pPr>
              <w:pStyle w:val="13"/>
            </w:pPr>
            <w:r>
              <w:t>5</w:t>
            </w:r>
          </w:p>
        </w:tc>
        <w:tc>
          <w:tcPr>
            <w:tcW w:w="1191" w:type="dxa"/>
            <w:vAlign w:val="center"/>
          </w:tcPr>
          <w:p w14:paraId="76B53698">
            <w:pPr>
              <w:pStyle w:val="12"/>
            </w:pPr>
            <w:r>
              <w:t>30107</w:t>
            </w:r>
          </w:p>
        </w:tc>
        <w:tc>
          <w:tcPr>
            <w:tcW w:w="4535" w:type="dxa"/>
            <w:vAlign w:val="center"/>
          </w:tcPr>
          <w:p w14:paraId="67B2045C">
            <w:pPr>
              <w:pStyle w:val="12"/>
            </w:pPr>
            <w:r>
              <w:t>绩效工资</w:t>
            </w:r>
          </w:p>
        </w:tc>
        <w:tc>
          <w:tcPr>
            <w:tcW w:w="2551" w:type="dxa"/>
            <w:vAlign w:val="center"/>
          </w:tcPr>
          <w:p w14:paraId="726B3F76">
            <w:pPr>
              <w:pStyle w:val="11"/>
            </w:pPr>
            <w:r>
              <w:t>179.33</w:t>
            </w:r>
          </w:p>
        </w:tc>
        <w:tc>
          <w:tcPr>
            <w:tcW w:w="2551" w:type="dxa"/>
            <w:vAlign w:val="center"/>
          </w:tcPr>
          <w:p w14:paraId="43CCB301">
            <w:pPr>
              <w:pStyle w:val="11"/>
            </w:pPr>
            <w:r>
              <w:t>179.33</w:t>
            </w:r>
          </w:p>
        </w:tc>
        <w:tc>
          <w:tcPr>
            <w:tcW w:w="2551" w:type="dxa"/>
            <w:vAlign w:val="center"/>
          </w:tcPr>
          <w:p w14:paraId="3E7D5F77">
            <w:pPr>
              <w:pStyle w:val="11"/>
            </w:pPr>
          </w:p>
        </w:tc>
      </w:tr>
      <w:tr w14:paraId="0FC9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0C555">
            <w:pPr>
              <w:pStyle w:val="13"/>
            </w:pPr>
            <w:r>
              <w:t>6</w:t>
            </w:r>
          </w:p>
        </w:tc>
        <w:tc>
          <w:tcPr>
            <w:tcW w:w="1191" w:type="dxa"/>
            <w:vAlign w:val="center"/>
          </w:tcPr>
          <w:p w14:paraId="1E628E0A">
            <w:pPr>
              <w:pStyle w:val="12"/>
            </w:pPr>
            <w:r>
              <w:t>30108</w:t>
            </w:r>
          </w:p>
        </w:tc>
        <w:tc>
          <w:tcPr>
            <w:tcW w:w="4535" w:type="dxa"/>
            <w:vAlign w:val="center"/>
          </w:tcPr>
          <w:p w14:paraId="76D0B761">
            <w:pPr>
              <w:pStyle w:val="12"/>
            </w:pPr>
            <w:r>
              <w:t>机关事业单位基本养老保险缴费</w:t>
            </w:r>
          </w:p>
        </w:tc>
        <w:tc>
          <w:tcPr>
            <w:tcW w:w="2551" w:type="dxa"/>
            <w:vAlign w:val="center"/>
          </w:tcPr>
          <w:p w14:paraId="174047D8">
            <w:pPr>
              <w:pStyle w:val="11"/>
            </w:pPr>
            <w:r>
              <w:t>74.92</w:t>
            </w:r>
          </w:p>
        </w:tc>
        <w:tc>
          <w:tcPr>
            <w:tcW w:w="2551" w:type="dxa"/>
            <w:vAlign w:val="center"/>
          </w:tcPr>
          <w:p w14:paraId="5EF2F32F">
            <w:pPr>
              <w:pStyle w:val="11"/>
            </w:pPr>
            <w:r>
              <w:t>74.92</w:t>
            </w:r>
          </w:p>
        </w:tc>
        <w:tc>
          <w:tcPr>
            <w:tcW w:w="2551" w:type="dxa"/>
            <w:vAlign w:val="center"/>
          </w:tcPr>
          <w:p w14:paraId="700301E0">
            <w:pPr>
              <w:pStyle w:val="11"/>
            </w:pPr>
          </w:p>
        </w:tc>
      </w:tr>
      <w:tr w14:paraId="3306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B352A">
            <w:pPr>
              <w:pStyle w:val="13"/>
            </w:pPr>
            <w:r>
              <w:t>7</w:t>
            </w:r>
          </w:p>
        </w:tc>
        <w:tc>
          <w:tcPr>
            <w:tcW w:w="1191" w:type="dxa"/>
            <w:vAlign w:val="center"/>
          </w:tcPr>
          <w:p w14:paraId="4A9CE63B">
            <w:pPr>
              <w:pStyle w:val="12"/>
            </w:pPr>
            <w:r>
              <w:t>30110</w:t>
            </w:r>
          </w:p>
        </w:tc>
        <w:tc>
          <w:tcPr>
            <w:tcW w:w="4535" w:type="dxa"/>
            <w:vAlign w:val="center"/>
          </w:tcPr>
          <w:p w14:paraId="1027B3CA">
            <w:pPr>
              <w:pStyle w:val="12"/>
            </w:pPr>
            <w:r>
              <w:t>职工基本医疗保险缴费</w:t>
            </w:r>
          </w:p>
        </w:tc>
        <w:tc>
          <w:tcPr>
            <w:tcW w:w="2551" w:type="dxa"/>
            <w:vAlign w:val="center"/>
          </w:tcPr>
          <w:p w14:paraId="55B691CC">
            <w:pPr>
              <w:pStyle w:val="11"/>
            </w:pPr>
            <w:r>
              <w:t>33.71</w:t>
            </w:r>
          </w:p>
        </w:tc>
        <w:tc>
          <w:tcPr>
            <w:tcW w:w="2551" w:type="dxa"/>
            <w:vAlign w:val="center"/>
          </w:tcPr>
          <w:p w14:paraId="174B6120">
            <w:pPr>
              <w:pStyle w:val="11"/>
            </w:pPr>
            <w:r>
              <w:t>33.71</w:t>
            </w:r>
          </w:p>
        </w:tc>
        <w:tc>
          <w:tcPr>
            <w:tcW w:w="2551" w:type="dxa"/>
            <w:vAlign w:val="center"/>
          </w:tcPr>
          <w:p w14:paraId="2722DD2A">
            <w:pPr>
              <w:pStyle w:val="11"/>
            </w:pPr>
          </w:p>
        </w:tc>
      </w:tr>
      <w:tr w14:paraId="34A9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2D6C5">
            <w:pPr>
              <w:pStyle w:val="13"/>
            </w:pPr>
            <w:r>
              <w:t>8</w:t>
            </w:r>
          </w:p>
        </w:tc>
        <w:tc>
          <w:tcPr>
            <w:tcW w:w="1191" w:type="dxa"/>
            <w:vAlign w:val="center"/>
          </w:tcPr>
          <w:p w14:paraId="0E756BFB">
            <w:pPr>
              <w:pStyle w:val="12"/>
            </w:pPr>
            <w:r>
              <w:t>30112</w:t>
            </w:r>
          </w:p>
        </w:tc>
        <w:tc>
          <w:tcPr>
            <w:tcW w:w="4535" w:type="dxa"/>
            <w:vAlign w:val="center"/>
          </w:tcPr>
          <w:p w14:paraId="26D2A1B3">
            <w:pPr>
              <w:pStyle w:val="12"/>
            </w:pPr>
            <w:r>
              <w:t>其他社会保障缴费</w:t>
            </w:r>
          </w:p>
        </w:tc>
        <w:tc>
          <w:tcPr>
            <w:tcW w:w="2551" w:type="dxa"/>
            <w:vAlign w:val="center"/>
          </w:tcPr>
          <w:p w14:paraId="02D6BF86">
            <w:pPr>
              <w:pStyle w:val="11"/>
            </w:pPr>
            <w:r>
              <w:t>2.12</w:t>
            </w:r>
          </w:p>
        </w:tc>
        <w:tc>
          <w:tcPr>
            <w:tcW w:w="2551" w:type="dxa"/>
            <w:vAlign w:val="center"/>
          </w:tcPr>
          <w:p w14:paraId="44FC9177">
            <w:pPr>
              <w:pStyle w:val="11"/>
            </w:pPr>
            <w:r>
              <w:t>2.12</w:t>
            </w:r>
          </w:p>
        </w:tc>
        <w:tc>
          <w:tcPr>
            <w:tcW w:w="2551" w:type="dxa"/>
            <w:vAlign w:val="center"/>
          </w:tcPr>
          <w:p w14:paraId="04072931">
            <w:pPr>
              <w:pStyle w:val="11"/>
            </w:pPr>
          </w:p>
        </w:tc>
      </w:tr>
      <w:tr w14:paraId="1A3D5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16C0A">
            <w:pPr>
              <w:pStyle w:val="13"/>
            </w:pPr>
            <w:r>
              <w:t>9</w:t>
            </w:r>
          </w:p>
        </w:tc>
        <w:tc>
          <w:tcPr>
            <w:tcW w:w="1191" w:type="dxa"/>
            <w:vAlign w:val="center"/>
          </w:tcPr>
          <w:p w14:paraId="5F36142D">
            <w:pPr>
              <w:pStyle w:val="12"/>
            </w:pPr>
            <w:r>
              <w:t>30113</w:t>
            </w:r>
          </w:p>
        </w:tc>
        <w:tc>
          <w:tcPr>
            <w:tcW w:w="4535" w:type="dxa"/>
            <w:vAlign w:val="center"/>
          </w:tcPr>
          <w:p w14:paraId="6E8E619A">
            <w:pPr>
              <w:pStyle w:val="12"/>
            </w:pPr>
            <w:r>
              <w:t>住房公积金</w:t>
            </w:r>
          </w:p>
        </w:tc>
        <w:tc>
          <w:tcPr>
            <w:tcW w:w="2551" w:type="dxa"/>
            <w:vAlign w:val="center"/>
          </w:tcPr>
          <w:p w14:paraId="3929F25B">
            <w:pPr>
              <w:pStyle w:val="11"/>
            </w:pPr>
            <w:r>
              <w:t>55.21</w:t>
            </w:r>
          </w:p>
        </w:tc>
        <w:tc>
          <w:tcPr>
            <w:tcW w:w="2551" w:type="dxa"/>
            <w:vAlign w:val="center"/>
          </w:tcPr>
          <w:p w14:paraId="3381EC29">
            <w:pPr>
              <w:pStyle w:val="11"/>
            </w:pPr>
            <w:r>
              <w:t>55.21</w:t>
            </w:r>
          </w:p>
        </w:tc>
        <w:tc>
          <w:tcPr>
            <w:tcW w:w="2551" w:type="dxa"/>
            <w:vAlign w:val="center"/>
          </w:tcPr>
          <w:p w14:paraId="12B1F164">
            <w:pPr>
              <w:pStyle w:val="11"/>
            </w:pPr>
          </w:p>
        </w:tc>
      </w:tr>
      <w:tr w14:paraId="677E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D7FDE">
            <w:pPr>
              <w:pStyle w:val="13"/>
            </w:pPr>
            <w:r>
              <w:t>10</w:t>
            </w:r>
          </w:p>
        </w:tc>
        <w:tc>
          <w:tcPr>
            <w:tcW w:w="1191" w:type="dxa"/>
            <w:vAlign w:val="center"/>
          </w:tcPr>
          <w:p w14:paraId="324C2CFA">
            <w:pPr>
              <w:pStyle w:val="12"/>
            </w:pPr>
            <w:r>
              <w:t>302</w:t>
            </w:r>
          </w:p>
        </w:tc>
        <w:tc>
          <w:tcPr>
            <w:tcW w:w="4535" w:type="dxa"/>
            <w:vAlign w:val="center"/>
          </w:tcPr>
          <w:p w14:paraId="2604D65A">
            <w:pPr>
              <w:pStyle w:val="12"/>
            </w:pPr>
            <w:r>
              <w:t>商品和服务支出</w:t>
            </w:r>
          </w:p>
        </w:tc>
        <w:tc>
          <w:tcPr>
            <w:tcW w:w="2551" w:type="dxa"/>
            <w:vAlign w:val="center"/>
          </w:tcPr>
          <w:p w14:paraId="5DA6ED53">
            <w:pPr>
              <w:pStyle w:val="11"/>
            </w:pPr>
            <w:r>
              <w:t>14.00</w:t>
            </w:r>
          </w:p>
        </w:tc>
        <w:tc>
          <w:tcPr>
            <w:tcW w:w="2551" w:type="dxa"/>
            <w:vAlign w:val="center"/>
          </w:tcPr>
          <w:p w14:paraId="1448FB03">
            <w:pPr>
              <w:pStyle w:val="11"/>
            </w:pPr>
          </w:p>
        </w:tc>
        <w:tc>
          <w:tcPr>
            <w:tcW w:w="2551" w:type="dxa"/>
            <w:vAlign w:val="center"/>
          </w:tcPr>
          <w:p w14:paraId="4FAD3D7C">
            <w:pPr>
              <w:pStyle w:val="11"/>
            </w:pPr>
            <w:r>
              <w:t>14.00</w:t>
            </w:r>
          </w:p>
        </w:tc>
      </w:tr>
      <w:tr w14:paraId="7343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1D74">
            <w:pPr>
              <w:pStyle w:val="13"/>
            </w:pPr>
            <w:r>
              <w:t>11</w:t>
            </w:r>
          </w:p>
        </w:tc>
        <w:tc>
          <w:tcPr>
            <w:tcW w:w="1191" w:type="dxa"/>
            <w:vAlign w:val="center"/>
          </w:tcPr>
          <w:p w14:paraId="7441003F">
            <w:pPr>
              <w:pStyle w:val="12"/>
            </w:pPr>
            <w:r>
              <w:t>30201</w:t>
            </w:r>
          </w:p>
        </w:tc>
        <w:tc>
          <w:tcPr>
            <w:tcW w:w="4535" w:type="dxa"/>
            <w:vAlign w:val="center"/>
          </w:tcPr>
          <w:p w14:paraId="38EF4E81">
            <w:pPr>
              <w:pStyle w:val="12"/>
            </w:pPr>
            <w:r>
              <w:t>办公费</w:t>
            </w:r>
          </w:p>
        </w:tc>
        <w:tc>
          <w:tcPr>
            <w:tcW w:w="2551" w:type="dxa"/>
            <w:vAlign w:val="center"/>
          </w:tcPr>
          <w:p w14:paraId="033304DE">
            <w:pPr>
              <w:pStyle w:val="11"/>
            </w:pPr>
            <w:r>
              <w:t>2.13</w:t>
            </w:r>
          </w:p>
        </w:tc>
        <w:tc>
          <w:tcPr>
            <w:tcW w:w="2551" w:type="dxa"/>
            <w:vAlign w:val="center"/>
          </w:tcPr>
          <w:p w14:paraId="50D26464">
            <w:pPr>
              <w:pStyle w:val="11"/>
            </w:pPr>
          </w:p>
        </w:tc>
        <w:tc>
          <w:tcPr>
            <w:tcW w:w="2551" w:type="dxa"/>
            <w:vAlign w:val="center"/>
          </w:tcPr>
          <w:p w14:paraId="688F6E64">
            <w:pPr>
              <w:pStyle w:val="11"/>
            </w:pPr>
            <w:r>
              <w:t>2.13</w:t>
            </w:r>
          </w:p>
        </w:tc>
      </w:tr>
      <w:tr w14:paraId="7D561069">
        <w:tblPrEx>
          <w:tblCellMar>
            <w:top w:w="0" w:type="dxa"/>
            <w:left w:w="108" w:type="dxa"/>
            <w:bottom w:w="0" w:type="dxa"/>
            <w:right w:w="108" w:type="dxa"/>
          </w:tblCellMar>
        </w:tblPrEx>
        <w:trPr>
          <w:trHeight w:val="369" w:hRule="atLeast"/>
          <w:jc w:val="center"/>
        </w:trPr>
        <w:tc>
          <w:tcPr>
            <w:tcW w:w="850" w:type="dxa"/>
            <w:vAlign w:val="center"/>
          </w:tcPr>
          <w:p w14:paraId="50653DE8">
            <w:pPr>
              <w:pStyle w:val="13"/>
            </w:pPr>
            <w:r>
              <w:t>12</w:t>
            </w:r>
          </w:p>
        </w:tc>
        <w:tc>
          <w:tcPr>
            <w:tcW w:w="1191" w:type="dxa"/>
            <w:vAlign w:val="center"/>
          </w:tcPr>
          <w:p w14:paraId="33839FAD">
            <w:pPr>
              <w:pStyle w:val="12"/>
            </w:pPr>
            <w:r>
              <w:t>30206</w:t>
            </w:r>
          </w:p>
        </w:tc>
        <w:tc>
          <w:tcPr>
            <w:tcW w:w="4535" w:type="dxa"/>
            <w:vAlign w:val="center"/>
          </w:tcPr>
          <w:p w14:paraId="38D90F32">
            <w:pPr>
              <w:pStyle w:val="12"/>
            </w:pPr>
            <w:r>
              <w:t>电费</w:t>
            </w:r>
          </w:p>
        </w:tc>
        <w:tc>
          <w:tcPr>
            <w:tcW w:w="2551" w:type="dxa"/>
            <w:vAlign w:val="center"/>
          </w:tcPr>
          <w:p w14:paraId="37757566">
            <w:pPr>
              <w:pStyle w:val="11"/>
            </w:pPr>
            <w:r>
              <w:t>8.00</w:t>
            </w:r>
          </w:p>
        </w:tc>
        <w:tc>
          <w:tcPr>
            <w:tcW w:w="2551" w:type="dxa"/>
            <w:vAlign w:val="center"/>
          </w:tcPr>
          <w:p w14:paraId="3F54DEE5">
            <w:pPr>
              <w:pStyle w:val="11"/>
            </w:pPr>
          </w:p>
        </w:tc>
        <w:tc>
          <w:tcPr>
            <w:tcW w:w="2551" w:type="dxa"/>
            <w:vAlign w:val="center"/>
          </w:tcPr>
          <w:p w14:paraId="4B50190C">
            <w:pPr>
              <w:pStyle w:val="11"/>
            </w:pPr>
            <w:r>
              <w:t>8.00</w:t>
            </w:r>
          </w:p>
        </w:tc>
      </w:tr>
      <w:tr w14:paraId="2CB1F915">
        <w:tblPrEx>
          <w:tblCellMar>
            <w:top w:w="0" w:type="dxa"/>
            <w:left w:w="108" w:type="dxa"/>
            <w:bottom w:w="0" w:type="dxa"/>
            <w:right w:w="108" w:type="dxa"/>
          </w:tblCellMar>
        </w:tblPrEx>
        <w:trPr>
          <w:trHeight w:val="369" w:hRule="atLeast"/>
          <w:jc w:val="center"/>
        </w:trPr>
        <w:tc>
          <w:tcPr>
            <w:tcW w:w="850" w:type="dxa"/>
            <w:vAlign w:val="center"/>
          </w:tcPr>
          <w:p w14:paraId="78B7AA2D">
            <w:pPr>
              <w:pStyle w:val="13"/>
            </w:pPr>
            <w:r>
              <w:t>13</w:t>
            </w:r>
          </w:p>
        </w:tc>
        <w:tc>
          <w:tcPr>
            <w:tcW w:w="1191" w:type="dxa"/>
            <w:vAlign w:val="center"/>
          </w:tcPr>
          <w:p w14:paraId="798FCEB8">
            <w:pPr>
              <w:pStyle w:val="12"/>
            </w:pPr>
            <w:r>
              <w:t>30207</w:t>
            </w:r>
          </w:p>
        </w:tc>
        <w:tc>
          <w:tcPr>
            <w:tcW w:w="4535" w:type="dxa"/>
            <w:vAlign w:val="center"/>
          </w:tcPr>
          <w:p w14:paraId="7A9BF38F">
            <w:pPr>
              <w:pStyle w:val="12"/>
            </w:pPr>
            <w:r>
              <w:t>邮电费</w:t>
            </w:r>
          </w:p>
        </w:tc>
        <w:tc>
          <w:tcPr>
            <w:tcW w:w="2551" w:type="dxa"/>
            <w:vAlign w:val="center"/>
          </w:tcPr>
          <w:p w14:paraId="54ECEF81">
            <w:pPr>
              <w:pStyle w:val="11"/>
            </w:pPr>
            <w:r>
              <w:t>2.40</w:t>
            </w:r>
          </w:p>
        </w:tc>
        <w:tc>
          <w:tcPr>
            <w:tcW w:w="2551" w:type="dxa"/>
            <w:vAlign w:val="center"/>
          </w:tcPr>
          <w:p w14:paraId="48B8B72E">
            <w:pPr>
              <w:pStyle w:val="11"/>
            </w:pPr>
          </w:p>
        </w:tc>
        <w:tc>
          <w:tcPr>
            <w:tcW w:w="2551" w:type="dxa"/>
            <w:vAlign w:val="center"/>
          </w:tcPr>
          <w:p w14:paraId="65F02DC2">
            <w:pPr>
              <w:pStyle w:val="11"/>
            </w:pPr>
            <w:r>
              <w:t>2.40</w:t>
            </w:r>
          </w:p>
        </w:tc>
      </w:tr>
      <w:tr w14:paraId="1BA6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F688D">
            <w:pPr>
              <w:pStyle w:val="13"/>
            </w:pPr>
            <w:r>
              <w:t>14</w:t>
            </w:r>
          </w:p>
        </w:tc>
        <w:tc>
          <w:tcPr>
            <w:tcW w:w="1191" w:type="dxa"/>
            <w:vAlign w:val="center"/>
          </w:tcPr>
          <w:p w14:paraId="468DEE82">
            <w:pPr>
              <w:pStyle w:val="12"/>
            </w:pPr>
            <w:r>
              <w:t>30228</w:t>
            </w:r>
          </w:p>
        </w:tc>
        <w:tc>
          <w:tcPr>
            <w:tcW w:w="4535" w:type="dxa"/>
            <w:vAlign w:val="center"/>
          </w:tcPr>
          <w:p w14:paraId="3D83E71D">
            <w:pPr>
              <w:pStyle w:val="12"/>
            </w:pPr>
            <w:r>
              <w:t>工会经费</w:t>
            </w:r>
          </w:p>
        </w:tc>
        <w:tc>
          <w:tcPr>
            <w:tcW w:w="2551" w:type="dxa"/>
            <w:vAlign w:val="center"/>
          </w:tcPr>
          <w:p w14:paraId="5EB3EC26">
            <w:pPr>
              <w:pStyle w:val="11"/>
            </w:pPr>
            <w:r>
              <w:t>0.98</w:t>
            </w:r>
          </w:p>
        </w:tc>
        <w:tc>
          <w:tcPr>
            <w:tcW w:w="2551" w:type="dxa"/>
            <w:vAlign w:val="center"/>
          </w:tcPr>
          <w:p w14:paraId="77146B9C">
            <w:pPr>
              <w:pStyle w:val="11"/>
            </w:pPr>
          </w:p>
        </w:tc>
        <w:tc>
          <w:tcPr>
            <w:tcW w:w="2551" w:type="dxa"/>
            <w:vAlign w:val="center"/>
          </w:tcPr>
          <w:p w14:paraId="56B00A31">
            <w:pPr>
              <w:pStyle w:val="11"/>
            </w:pPr>
            <w:r>
              <w:t>0.98</w:t>
            </w:r>
          </w:p>
        </w:tc>
      </w:tr>
      <w:tr w14:paraId="36C3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89226">
            <w:pPr>
              <w:pStyle w:val="13"/>
            </w:pPr>
            <w:r>
              <w:t>15</w:t>
            </w:r>
          </w:p>
        </w:tc>
        <w:tc>
          <w:tcPr>
            <w:tcW w:w="1191" w:type="dxa"/>
            <w:vAlign w:val="center"/>
          </w:tcPr>
          <w:p w14:paraId="7ADBB128">
            <w:pPr>
              <w:pStyle w:val="12"/>
            </w:pPr>
            <w:r>
              <w:t>30299</w:t>
            </w:r>
          </w:p>
        </w:tc>
        <w:tc>
          <w:tcPr>
            <w:tcW w:w="4535" w:type="dxa"/>
            <w:vAlign w:val="center"/>
          </w:tcPr>
          <w:p w14:paraId="66316269">
            <w:pPr>
              <w:pStyle w:val="12"/>
            </w:pPr>
            <w:r>
              <w:t>其他商品和服务支出</w:t>
            </w:r>
          </w:p>
        </w:tc>
        <w:tc>
          <w:tcPr>
            <w:tcW w:w="2551" w:type="dxa"/>
            <w:vAlign w:val="center"/>
          </w:tcPr>
          <w:p w14:paraId="460787B1">
            <w:pPr>
              <w:pStyle w:val="11"/>
            </w:pPr>
            <w:r>
              <w:t>0.49</w:t>
            </w:r>
          </w:p>
        </w:tc>
        <w:tc>
          <w:tcPr>
            <w:tcW w:w="2551" w:type="dxa"/>
            <w:vAlign w:val="center"/>
          </w:tcPr>
          <w:p w14:paraId="3B8FC8EB">
            <w:pPr>
              <w:pStyle w:val="11"/>
            </w:pPr>
          </w:p>
        </w:tc>
        <w:tc>
          <w:tcPr>
            <w:tcW w:w="2551" w:type="dxa"/>
            <w:vAlign w:val="center"/>
          </w:tcPr>
          <w:p w14:paraId="3F533B4B">
            <w:pPr>
              <w:pStyle w:val="11"/>
            </w:pPr>
            <w:r>
              <w:t>0.49</w:t>
            </w:r>
          </w:p>
        </w:tc>
      </w:tr>
      <w:tr w14:paraId="5753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E26E7">
            <w:pPr>
              <w:pStyle w:val="13"/>
            </w:pPr>
            <w:r>
              <w:t>16</w:t>
            </w:r>
          </w:p>
        </w:tc>
        <w:tc>
          <w:tcPr>
            <w:tcW w:w="1191" w:type="dxa"/>
            <w:vAlign w:val="center"/>
          </w:tcPr>
          <w:p w14:paraId="5DD83381">
            <w:pPr>
              <w:pStyle w:val="12"/>
            </w:pPr>
            <w:r>
              <w:t>303</w:t>
            </w:r>
          </w:p>
        </w:tc>
        <w:tc>
          <w:tcPr>
            <w:tcW w:w="4535" w:type="dxa"/>
            <w:vAlign w:val="center"/>
          </w:tcPr>
          <w:p w14:paraId="6931D057">
            <w:pPr>
              <w:pStyle w:val="12"/>
            </w:pPr>
            <w:r>
              <w:t>对个人和家庭的补助</w:t>
            </w:r>
          </w:p>
        </w:tc>
        <w:tc>
          <w:tcPr>
            <w:tcW w:w="2551" w:type="dxa"/>
            <w:vAlign w:val="center"/>
          </w:tcPr>
          <w:p w14:paraId="0F8AC09D">
            <w:pPr>
              <w:pStyle w:val="11"/>
            </w:pPr>
            <w:r>
              <w:t>45.76</w:t>
            </w:r>
          </w:p>
        </w:tc>
        <w:tc>
          <w:tcPr>
            <w:tcW w:w="2551" w:type="dxa"/>
            <w:vAlign w:val="center"/>
          </w:tcPr>
          <w:p w14:paraId="170CE84D">
            <w:pPr>
              <w:pStyle w:val="11"/>
            </w:pPr>
            <w:r>
              <w:t>45.76</w:t>
            </w:r>
          </w:p>
        </w:tc>
        <w:tc>
          <w:tcPr>
            <w:tcW w:w="2551" w:type="dxa"/>
            <w:vAlign w:val="center"/>
          </w:tcPr>
          <w:p w14:paraId="117E1BA1">
            <w:pPr>
              <w:pStyle w:val="11"/>
            </w:pPr>
          </w:p>
        </w:tc>
      </w:tr>
      <w:tr w14:paraId="4DB2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153E9">
            <w:pPr>
              <w:pStyle w:val="13"/>
            </w:pPr>
            <w:r>
              <w:t>17</w:t>
            </w:r>
          </w:p>
        </w:tc>
        <w:tc>
          <w:tcPr>
            <w:tcW w:w="1191" w:type="dxa"/>
            <w:vAlign w:val="center"/>
          </w:tcPr>
          <w:p w14:paraId="42387E6F">
            <w:pPr>
              <w:pStyle w:val="12"/>
            </w:pPr>
            <w:r>
              <w:t>30302</w:t>
            </w:r>
          </w:p>
        </w:tc>
        <w:tc>
          <w:tcPr>
            <w:tcW w:w="4535" w:type="dxa"/>
            <w:vAlign w:val="center"/>
          </w:tcPr>
          <w:p w14:paraId="7F6CAF84">
            <w:pPr>
              <w:pStyle w:val="12"/>
            </w:pPr>
            <w:r>
              <w:t>退休费</w:t>
            </w:r>
          </w:p>
        </w:tc>
        <w:tc>
          <w:tcPr>
            <w:tcW w:w="2551" w:type="dxa"/>
            <w:vAlign w:val="center"/>
          </w:tcPr>
          <w:p w14:paraId="29D17FBA">
            <w:pPr>
              <w:pStyle w:val="11"/>
            </w:pPr>
            <w:r>
              <w:t>41.08</w:t>
            </w:r>
          </w:p>
        </w:tc>
        <w:tc>
          <w:tcPr>
            <w:tcW w:w="2551" w:type="dxa"/>
            <w:vAlign w:val="center"/>
          </w:tcPr>
          <w:p w14:paraId="731E0B15">
            <w:pPr>
              <w:pStyle w:val="11"/>
            </w:pPr>
            <w:r>
              <w:t>41.08</w:t>
            </w:r>
          </w:p>
        </w:tc>
        <w:tc>
          <w:tcPr>
            <w:tcW w:w="2551" w:type="dxa"/>
            <w:vAlign w:val="center"/>
          </w:tcPr>
          <w:p w14:paraId="5113C29A">
            <w:pPr>
              <w:pStyle w:val="11"/>
            </w:pPr>
          </w:p>
        </w:tc>
      </w:tr>
      <w:tr w14:paraId="15CC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5B39">
            <w:pPr>
              <w:pStyle w:val="13"/>
            </w:pPr>
            <w:r>
              <w:t>18</w:t>
            </w:r>
          </w:p>
        </w:tc>
        <w:tc>
          <w:tcPr>
            <w:tcW w:w="1191" w:type="dxa"/>
            <w:vAlign w:val="center"/>
          </w:tcPr>
          <w:p w14:paraId="2269838C">
            <w:pPr>
              <w:pStyle w:val="12"/>
            </w:pPr>
            <w:r>
              <w:t>30305</w:t>
            </w:r>
          </w:p>
        </w:tc>
        <w:tc>
          <w:tcPr>
            <w:tcW w:w="4535" w:type="dxa"/>
            <w:vAlign w:val="center"/>
          </w:tcPr>
          <w:p w14:paraId="26BC4CC3">
            <w:pPr>
              <w:pStyle w:val="12"/>
            </w:pPr>
            <w:r>
              <w:t>生活补助</w:t>
            </w:r>
          </w:p>
        </w:tc>
        <w:tc>
          <w:tcPr>
            <w:tcW w:w="2551" w:type="dxa"/>
            <w:vAlign w:val="center"/>
          </w:tcPr>
          <w:p w14:paraId="1AA03EF7">
            <w:pPr>
              <w:pStyle w:val="11"/>
            </w:pPr>
            <w:r>
              <w:t>4.68</w:t>
            </w:r>
          </w:p>
        </w:tc>
        <w:tc>
          <w:tcPr>
            <w:tcW w:w="2551" w:type="dxa"/>
            <w:vAlign w:val="center"/>
          </w:tcPr>
          <w:p w14:paraId="56EECBA3">
            <w:pPr>
              <w:pStyle w:val="11"/>
            </w:pPr>
            <w:r>
              <w:t>4.68</w:t>
            </w:r>
          </w:p>
        </w:tc>
        <w:tc>
          <w:tcPr>
            <w:tcW w:w="2551" w:type="dxa"/>
            <w:vAlign w:val="center"/>
          </w:tcPr>
          <w:p w14:paraId="0336864D">
            <w:pPr>
              <w:pStyle w:val="11"/>
            </w:pPr>
          </w:p>
        </w:tc>
      </w:tr>
    </w:tbl>
    <w:p w14:paraId="6DAD6420">
      <w:pPr>
        <w:sectPr>
          <w:pgSz w:w="16840" w:h="11900" w:orient="landscape"/>
          <w:pgMar w:top="1361" w:right="1020" w:bottom="1134" w:left="1020" w:header="720" w:footer="720" w:gutter="0"/>
          <w:cols w:space="720" w:num="1"/>
        </w:sectPr>
      </w:pPr>
    </w:p>
    <w:p w14:paraId="6C732D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F4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3391AC">
            <w:pPr>
              <w:pStyle w:val="9"/>
            </w:pPr>
            <w:r>
              <w:t>360028隆尧县教师发展中心</w:t>
            </w:r>
          </w:p>
        </w:tc>
        <w:tc>
          <w:tcPr>
            <w:tcW w:w="2551" w:type="dxa"/>
            <w:tcBorders>
              <w:top w:val="single" w:color="FFFFFF" w:sz="6" w:space="0"/>
              <w:left w:val="single" w:color="FFFFFF" w:sz="6" w:space="0"/>
              <w:right w:val="single" w:color="FFFFFF" w:sz="6" w:space="0"/>
            </w:tcBorders>
            <w:vAlign w:val="center"/>
          </w:tcPr>
          <w:p w14:paraId="5DFC7F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CF4480">
            <w:pPr>
              <w:pStyle w:val="7"/>
            </w:pPr>
            <w:r>
              <w:t>单位：万元</w:t>
            </w:r>
          </w:p>
        </w:tc>
      </w:tr>
      <w:tr w14:paraId="5B4A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3613C">
            <w:pPr>
              <w:pStyle w:val="10"/>
            </w:pPr>
            <w:r>
              <w:t>序号</w:t>
            </w:r>
          </w:p>
        </w:tc>
        <w:tc>
          <w:tcPr>
            <w:tcW w:w="5726" w:type="dxa"/>
            <w:gridSpan w:val="2"/>
            <w:vAlign w:val="center"/>
          </w:tcPr>
          <w:p w14:paraId="063F47A5">
            <w:pPr>
              <w:pStyle w:val="10"/>
            </w:pPr>
            <w:r>
              <w:t>功能分类科目</w:t>
            </w:r>
          </w:p>
        </w:tc>
        <w:tc>
          <w:tcPr>
            <w:tcW w:w="2551" w:type="dxa"/>
            <w:vMerge w:val="restart"/>
            <w:vAlign w:val="center"/>
          </w:tcPr>
          <w:p w14:paraId="529F528B">
            <w:pPr>
              <w:pStyle w:val="10"/>
            </w:pPr>
            <w:r>
              <w:t>合计</w:t>
            </w:r>
          </w:p>
        </w:tc>
        <w:tc>
          <w:tcPr>
            <w:tcW w:w="2551" w:type="dxa"/>
            <w:vMerge w:val="restart"/>
            <w:vAlign w:val="center"/>
          </w:tcPr>
          <w:p w14:paraId="2C1C6FF2">
            <w:pPr>
              <w:pStyle w:val="10"/>
            </w:pPr>
            <w:r>
              <w:t>基本支出</w:t>
            </w:r>
          </w:p>
        </w:tc>
        <w:tc>
          <w:tcPr>
            <w:tcW w:w="2551" w:type="dxa"/>
            <w:vMerge w:val="restart"/>
            <w:vAlign w:val="center"/>
          </w:tcPr>
          <w:p w14:paraId="7736473C">
            <w:pPr>
              <w:pStyle w:val="10"/>
            </w:pPr>
            <w:r>
              <w:t>项目支出</w:t>
            </w:r>
          </w:p>
        </w:tc>
      </w:tr>
      <w:tr w14:paraId="5C65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81C52"/>
        </w:tc>
        <w:tc>
          <w:tcPr>
            <w:tcW w:w="1191" w:type="dxa"/>
            <w:vAlign w:val="center"/>
          </w:tcPr>
          <w:p w14:paraId="707DAC91">
            <w:pPr>
              <w:pStyle w:val="10"/>
            </w:pPr>
            <w:r>
              <w:t>科目编码</w:t>
            </w:r>
          </w:p>
        </w:tc>
        <w:tc>
          <w:tcPr>
            <w:tcW w:w="4535" w:type="dxa"/>
            <w:vAlign w:val="center"/>
          </w:tcPr>
          <w:p w14:paraId="6809F413">
            <w:pPr>
              <w:pStyle w:val="10"/>
            </w:pPr>
            <w:r>
              <w:t>科目名称</w:t>
            </w:r>
          </w:p>
        </w:tc>
        <w:tc>
          <w:tcPr>
            <w:tcW w:w="2551" w:type="dxa"/>
            <w:vMerge w:val="continue"/>
          </w:tcPr>
          <w:p w14:paraId="4FF15C77"/>
        </w:tc>
        <w:tc>
          <w:tcPr>
            <w:tcW w:w="2551" w:type="dxa"/>
            <w:vMerge w:val="continue"/>
          </w:tcPr>
          <w:p w14:paraId="31004A7D"/>
        </w:tc>
        <w:tc>
          <w:tcPr>
            <w:tcW w:w="2551" w:type="dxa"/>
            <w:vMerge w:val="continue"/>
          </w:tcPr>
          <w:p w14:paraId="6A068DA5"/>
        </w:tc>
      </w:tr>
      <w:tr w14:paraId="4D77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6C6884">
            <w:pPr>
              <w:pStyle w:val="10"/>
            </w:pPr>
            <w:r>
              <w:t>栏次</w:t>
            </w:r>
          </w:p>
        </w:tc>
        <w:tc>
          <w:tcPr>
            <w:tcW w:w="1191" w:type="dxa"/>
            <w:vAlign w:val="center"/>
          </w:tcPr>
          <w:p w14:paraId="5DD742AC">
            <w:pPr>
              <w:pStyle w:val="10"/>
            </w:pPr>
            <w:r>
              <w:t>1</w:t>
            </w:r>
          </w:p>
        </w:tc>
        <w:tc>
          <w:tcPr>
            <w:tcW w:w="4535" w:type="dxa"/>
            <w:vAlign w:val="center"/>
          </w:tcPr>
          <w:p w14:paraId="04FADB24">
            <w:pPr>
              <w:pStyle w:val="10"/>
            </w:pPr>
            <w:r>
              <w:t>2</w:t>
            </w:r>
          </w:p>
        </w:tc>
        <w:tc>
          <w:tcPr>
            <w:tcW w:w="2551" w:type="dxa"/>
            <w:vAlign w:val="center"/>
          </w:tcPr>
          <w:p w14:paraId="3EC411A3">
            <w:pPr>
              <w:pStyle w:val="10"/>
            </w:pPr>
            <w:r>
              <w:t>3</w:t>
            </w:r>
          </w:p>
        </w:tc>
        <w:tc>
          <w:tcPr>
            <w:tcW w:w="2551" w:type="dxa"/>
            <w:vAlign w:val="center"/>
          </w:tcPr>
          <w:p w14:paraId="313FF304">
            <w:pPr>
              <w:pStyle w:val="10"/>
            </w:pPr>
            <w:r>
              <w:t>4</w:t>
            </w:r>
          </w:p>
        </w:tc>
        <w:tc>
          <w:tcPr>
            <w:tcW w:w="2551" w:type="dxa"/>
            <w:vAlign w:val="center"/>
          </w:tcPr>
          <w:p w14:paraId="48E6DBF3">
            <w:pPr>
              <w:pStyle w:val="10"/>
            </w:pPr>
            <w:r>
              <w:t>5</w:t>
            </w:r>
          </w:p>
        </w:tc>
      </w:tr>
      <w:tr w14:paraId="728A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033B5">
            <w:pPr>
              <w:pStyle w:val="13"/>
            </w:pPr>
          </w:p>
        </w:tc>
        <w:tc>
          <w:tcPr>
            <w:tcW w:w="1191" w:type="dxa"/>
            <w:vAlign w:val="center"/>
          </w:tcPr>
          <w:p w14:paraId="51C1AA91">
            <w:pPr>
              <w:pStyle w:val="12"/>
            </w:pPr>
          </w:p>
        </w:tc>
        <w:tc>
          <w:tcPr>
            <w:tcW w:w="4535" w:type="dxa"/>
            <w:vAlign w:val="center"/>
          </w:tcPr>
          <w:p w14:paraId="7722811C">
            <w:pPr>
              <w:pStyle w:val="12"/>
            </w:pPr>
          </w:p>
        </w:tc>
        <w:tc>
          <w:tcPr>
            <w:tcW w:w="2551" w:type="dxa"/>
            <w:vAlign w:val="center"/>
          </w:tcPr>
          <w:p w14:paraId="7FB5D2C1">
            <w:pPr>
              <w:pStyle w:val="11"/>
            </w:pPr>
          </w:p>
        </w:tc>
        <w:tc>
          <w:tcPr>
            <w:tcW w:w="2551" w:type="dxa"/>
            <w:vAlign w:val="center"/>
          </w:tcPr>
          <w:p w14:paraId="1DA68F6A">
            <w:pPr>
              <w:pStyle w:val="11"/>
            </w:pPr>
          </w:p>
        </w:tc>
        <w:tc>
          <w:tcPr>
            <w:tcW w:w="2551" w:type="dxa"/>
            <w:vAlign w:val="center"/>
          </w:tcPr>
          <w:p w14:paraId="785EE8A4">
            <w:pPr>
              <w:pStyle w:val="11"/>
            </w:pPr>
          </w:p>
        </w:tc>
      </w:tr>
    </w:tbl>
    <w:p w14:paraId="4D9763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5BAE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B24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F0EA3B">
            <w:pPr>
              <w:pStyle w:val="9"/>
            </w:pPr>
            <w:r>
              <w:t>360028隆尧县教师发展中心</w:t>
            </w:r>
          </w:p>
        </w:tc>
        <w:tc>
          <w:tcPr>
            <w:tcW w:w="2551" w:type="dxa"/>
            <w:tcBorders>
              <w:top w:val="single" w:color="FFFFFF" w:sz="6" w:space="0"/>
              <w:left w:val="single" w:color="FFFFFF" w:sz="6" w:space="0"/>
              <w:right w:val="single" w:color="FFFFFF" w:sz="6" w:space="0"/>
            </w:tcBorders>
            <w:vAlign w:val="center"/>
          </w:tcPr>
          <w:p w14:paraId="69E8511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2CC66D">
            <w:pPr>
              <w:pStyle w:val="7"/>
            </w:pPr>
            <w:r>
              <w:t>单位：万元</w:t>
            </w:r>
          </w:p>
        </w:tc>
      </w:tr>
      <w:tr w14:paraId="69CC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AE56AB">
            <w:pPr>
              <w:pStyle w:val="10"/>
            </w:pPr>
            <w:r>
              <w:t>序号</w:t>
            </w:r>
          </w:p>
        </w:tc>
        <w:tc>
          <w:tcPr>
            <w:tcW w:w="5726" w:type="dxa"/>
            <w:gridSpan w:val="2"/>
            <w:vAlign w:val="center"/>
          </w:tcPr>
          <w:p w14:paraId="35557D07">
            <w:pPr>
              <w:pStyle w:val="10"/>
            </w:pPr>
            <w:r>
              <w:t>功能分类科目</w:t>
            </w:r>
          </w:p>
        </w:tc>
        <w:tc>
          <w:tcPr>
            <w:tcW w:w="2551" w:type="dxa"/>
            <w:vMerge w:val="restart"/>
            <w:vAlign w:val="center"/>
          </w:tcPr>
          <w:p w14:paraId="1D014C4B">
            <w:pPr>
              <w:pStyle w:val="10"/>
            </w:pPr>
            <w:r>
              <w:t>合计</w:t>
            </w:r>
          </w:p>
        </w:tc>
        <w:tc>
          <w:tcPr>
            <w:tcW w:w="2551" w:type="dxa"/>
            <w:vMerge w:val="restart"/>
            <w:vAlign w:val="center"/>
          </w:tcPr>
          <w:p w14:paraId="67FF7A0C">
            <w:pPr>
              <w:pStyle w:val="10"/>
            </w:pPr>
            <w:r>
              <w:t>基本支出</w:t>
            </w:r>
          </w:p>
        </w:tc>
        <w:tc>
          <w:tcPr>
            <w:tcW w:w="2551" w:type="dxa"/>
            <w:vMerge w:val="restart"/>
            <w:vAlign w:val="center"/>
          </w:tcPr>
          <w:p w14:paraId="56D9F3E6">
            <w:pPr>
              <w:pStyle w:val="10"/>
            </w:pPr>
            <w:r>
              <w:t>项目支出</w:t>
            </w:r>
          </w:p>
        </w:tc>
      </w:tr>
      <w:tr w14:paraId="29AE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028B6"/>
        </w:tc>
        <w:tc>
          <w:tcPr>
            <w:tcW w:w="1191" w:type="dxa"/>
            <w:vAlign w:val="center"/>
          </w:tcPr>
          <w:p w14:paraId="7E218E85">
            <w:pPr>
              <w:pStyle w:val="10"/>
            </w:pPr>
            <w:r>
              <w:t>科目编码</w:t>
            </w:r>
          </w:p>
        </w:tc>
        <w:tc>
          <w:tcPr>
            <w:tcW w:w="4535" w:type="dxa"/>
            <w:vAlign w:val="center"/>
          </w:tcPr>
          <w:p w14:paraId="7D6D1F21">
            <w:pPr>
              <w:pStyle w:val="10"/>
            </w:pPr>
            <w:r>
              <w:t>科目名称</w:t>
            </w:r>
          </w:p>
        </w:tc>
        <w:tc>
          <w:tcPr>
            <w:tcW w:w="2551" w:type="dxa"/>
            <w:vMerge w:val="continue"/>
          </w:tcPr>
          <w:p w14:paraId="40A27D6E"/>
        </w:tc>
        <w:tc>
          <w:tcPr>
            <w:tcW w:w="2551" w:type="dxa"/>
            <w:vMerge w:val="continue"/>
          </w:tcPr>
          <w:p w14:paraId="7067E6A5"/>
        </w:tc>
        <w:tc>
          <w:tcPr>
            <w:tcW w:w="2551" w:type="dxa"/>
            <w:vMerge w:val="continue"/>
          </w:tcPr>
          <w:p w14:paraId="6AF2F3FB"/>
        </w:tc>
      </w:tr>
      <w:tr w14:paraId="2132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F3A91">
            <w:pPr>
              <w:pStyle w:val="10"/>
            </w:pPr>
            <w:r>
              <w:t>栏次</w:t>
            </w:r>
          </w:p>
        </w:tc>
        <w:tc>
          <w:tcPr>
            <w:tcW w:w="1191" w:type="dxa"/>
            <w:vAlign w:val="center"/>
          </w:tcPr>
          <w:p w14:paraId="153DCD6A">
            <w:pPr>
              <w:pStyle w:val="10"/>
            </w:pPr>
            <w:r>
              <w:t>1</w:t>
            </w:r>
          </w:p>
        </w:tc>
        <w:tc>
          <w:tcPr>
            <w:tcW w:w="4535" w:type="dxa"/>
            <w:vAlign w:val="center"/>
          </w:tcPr>
          <w:p w14:paraId="3D5C23FE">
            <w:pPr>
              <w:pStyle w:val="10"/>
            </w:pPr>
            <w:r>
              <w:t>2</w:t>
            </w:r>
          </w:p>
        </w:tc>
        <w:tc>
          <w:tcPr>
            <w:tcW w:w="2551" w:type="dxa"/>
            <w:vAlign w:val="center"/>
          </w:tcPr>
          <w:p w14:paraId="19895508">
            <w:pPr>
              <w:pStyle w:val="10"/>
            </w:pPr>
            <w:r>
              <w:t>3</w:t>
            </w:r>
          </w:p>
        </w:tc>
        <w:tc>
          <w:tcPr>
            <w:tcW w:w="2551" w:type="dxa"/>
            <w:vAlign w:val="center"/>
          </w:tcPr>
          <w:p w14:paraId="5588A59A">
            <w:pPr>
              <w:pStyle w:val="10"/>
            </w:pPr>
            <w:r>
              <w:t>4</w:t>
            </w:r>
          </w:p>
        </w:tc>
        <w:tc>
          <w:tcPr>
            <w:tcW w:w="2551" w:type="dxa"/>
            <w:vAlign w:val="center"/>
          </w:tcPr>
          <w:p w14:paraId="1A4E06F1">
            <w:pPr>
              <w:pStyle w:val="10"/>
            </w:pPr>
            <w:r>
              <w:t>5</w:t>
            </w:r>
          </w:p>
        </w:tc>
      </w:tr>
      <w:tr w14:paraId="56E5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4D5F">
            <w:pPr>
              <w:pStyle w:val="13"/>
            </w:pPr>
          </w:p>
        </w:tc>
        <w:tc>
          <w:tcPr>
            <w:tcW w:w="1191" w:type="dxa"/>
            <w:vAlign w:val="center"/>
          </w:tcPr>
          <w:p w14:paraId="1FF8FC51">
            <w:pPr>
              <w:pStyle w:val="12"/>
            </w:pPr>
          </w:p>
        </w:tc>
        <w:tc>
          <w:tcPr>
            <w:tcW w:w="4535" w:type="dxa"/>
            <w:vAlign w:val="center"/>
          </w:tcPr>
          <w:p w14:paraId="6AEA5661">
            <w:pPr>
              <w:pStyle w:val="12"/>
            </w:pPr>
          </w:p>
        </w:tc>
        <w:tc>
          <w:tcPr>
            <w:tcW w:w="2551" w:type="dxa"/>
            <w:vAlign w:val="center"/>
          </w:tcPr>
          <w:p w14:paraId="7E246934">
            <w:pPr>
              <w:pStyle w:val="11"/>
            </w:pPr>
          </w:p>
        </w:tc>
        <w:tc>
          <w:tcPr>
            <w:tcW w:w="2551" w:type="dxa"/>
            <w:vAlign w:val="center"/>
          </w:tcPr>
          <w:p w14:paraId="6F7AC531">
            <w:pPr>
              <w:pStyle w:val="11"/>
            </w:pPr>
          </w:p>
        </w:tc>
        <w:tc>
          <w:tcPr>
            <w:tcW w:w="2551" w:type="dxa"/>
            <w:vAlign w:val="center"/>
          </w:tcPr>
          <w:p w14:paraId="7F65629B">
            <w:pPr>
              <w:pStyle w:val="11"/>
            </w:pPr>
          </w:p>
        </w:tc>
      </w:tr>
    </w:tbl>
    <w:p w14:paraId="2D99A7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C864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78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6C296FC">
            <w:pPr>
              <w:pStyle w:val="9"/>
            </w:pPr>
            <w:r>
              <w:t>360028隆尧县教师发展中心</w:t>
            </w:r>
          </w:p>
        </w:tc>
        <w:tc>
          <w:tcPr>
            <w:tcW w:w="2381" w:type="dxa"/>
            <w:tcBorders>
              <w:top w:val="single" w:color="FFFFFF" w:sz="6" w:space="0"/>
              <w:left w:val="single" w:color="FFFFFF" w:sz="6" w:space="0"/>
              <w:right w:val="single" w:color="FFFFFF" w:sz="6" w:space="0"/>
            </w:tcBorders>
            <w:vAlign w:val="center"/>
          </w:tcPr>
          <w:p w14:paraId="7C5C1DE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21AC38A">
            <w:pPr>
              <w:pStyle w:val="7"/>
            </w:pPr>
            <w:r>
              <w:t>单位：万元</w:t>
            </w:r>
          </w:p>
        </w:tc>
      </w:tr>
      <w:tr w14:paraId="141B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37EAA4">
            <w:pPr>
              <w:pStyle w:val="10"/>
            </w:pPr>
            <w:r>
              <w:t>序号</w:t>
            </w:r>
          </w:p>
        </w:tc>
        <w:tc>
          <w:tcPr>
            <w:tcW w:w="3798" w:type="dxa"/>
            <w:vMerge w:val="restart"/>
            <w:vAlign w:val="center"/>
          </w:tcPr>
          <w:p w14:paraId="4624D3B2">
            <w:pPr>
              <w:pStyle w:val="10"/>
            </w:pPr>
            <w:r>
              <w:t>项  目</w:t>
            </w:r>
          </w:p>
        </w:tc>
        <w:tc>
          <w:tcPr>
            <w:tcW w:w="9524" w:type="dxa"/>
            <w:gridSpan w:val="4"/>
            <w:vAlign w:val="center"/>
          </w:tcPr>
          <w:p w14:paraId="0756881A">
            <w:pPr>
              <w:pStyle w:val="10"/>
            </w:pPr>
            <w:r>
              <w:t>资 金 性 质</w:t>
            </w:r>
          </w:p>
        </w:tc>
      </w:tr>
      <w:tr w14:paraId="2A85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1AFF16"/>
        </w:tc>
        <w:tc>
          <w:tcPr>
            <w:tcW w:w="3798" w:type="dxa"/>
            <w:vMerge w:val="continue"/>
          </w:tcPr>
          <w:p w14:paraId="6890E8E2"/>
        </w:tc>
        <w:tc>
          <w:tcPr>
            <w:tcW w:w="2381" w:type="dxa"/>
            <w:vAlign w:val="center"/>
          </w:tcPr>
          <w:p w14:paraId="258E55C0">
            <w:pPr>
              <w:pStyle w:val="10"/>
            </w:pPr>
            <w:r>
              <w:t>合计</w:t>
            </w:r>
          </w:p>
        </w:tc>
        <w:tc>
          <w:tcPr>
            <w:tcW w:w="2381" w:type="dxa"/>
            <w:vAlign w:val="center"/>
          </w:tcPr>
          <w:p w14:paraId="283375D0">
            <w:pPr>
              <w:pStyle w:val="10"/>
            </w:pPr>
            <w:r>
              <w:t>一般公共预算              财政拨款</w:t>
            </w:r>
          </w:p>
        </w:tc>
        <w:tc>
          <w:tcPr>
            <w:tcW w:w="2381" w:type="dxa"/>
            <w:vAlign w:val="center"/>
          </w:tcPr>
          <w:p w14:paraId="5E351B5D">
            <w:pPr>
              <w:pStyle w:val="10"/>
            </w:pPr>
            <w:r>
              <w:t>政府性基金                  预算拨款</w:t>
            </w:r>
          </w:p>
        </w:tc>
        <w:tc>
          <w:tcPr>
            <w:tcW w:w="2381" w:type="dxa"/>
            <w:vAlign w:val="center"/>
          </w:tcPr>
          <w:p w14:paraId="1254DD0F">
            <w:pPr>
              <w:pStyle w:val="10"/>
            </w:pPr>
            <w:r>
              <w:t>国有资本经营              预算财政拨款</w:t>
            </w:r>
          </w:p>
        </w:tc>
      </w:tr>
      <w:tr w14:paraId="56F0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D6EAB2">
            <w:pPr>
              <w:pStyle w:val="10"/>
            </w:pPr>
            <w:r>
              <w:t>栏次</w:t>
            </w:r>
          </w:p>
        </w:tc>
        <w:tc>
          <w:tcPr>
            <w:tcW w:w="3798" w:type="dxa"/>
            <w:vAlign w:val="center"/>
          </w:tcPr>
          <w:p w14:paraId="51ADD73F">
            <w:pPr>
              <w:pStyle w:val="10"/>
            </w:pPr>
            <w:r>
              <w:t>1</w:t>
            </w:r>
          </w:p>
        </w:tc>
        <w:tc>
          <w:tcPr>
            <w:tcW w:w="2381" w:type="dxa"/>
            <w:vAlign w:val="center"/>
          </w:tcPr>
          <w:p w14:paraId="368001B1">
            <w:pPr>
              <w:pStyle w:val="10"/>
            </w:pPr>
            <w:r>
              <w:t>2</w:t>
            </w:r>
          </w:p>
        </w:tc>
        <w:tc>
          <w:tcPr>
            <w:tcW w:w="2381" w:type="dxa"/>
            <w:vAlign w:val="center"/>
          </w:tcPr>
          <w:p w14:paraId="4FEC1859">
            <w:pPr>
              <w:pStyle w:val="10"/>
            </w:pPr>
            <w:r>
              <w:t>3</w:t>
            </w:r>
          </w:p>
        </w:tc>
        <w:tc>
          <w:tcPr>
            <w:tcW w:w="2381" w:type="dxa"/>
            <w:vAlign w:val="center"/>
          </w:tcPr>
          <w:p w14:paraId="3E0D1A82">
            <w:pPr>
              <w:pStyle w:val="10"/>
            </w:pPr>
            <w:r>
              <w:t>4</w:t>
            </w:r>
          </w:p>
        </w:tc>
        <w:tc>
          <w:tcPr>
            <w:tcW w:w="2381" w:type="dxa"/>
            <w:vAlign w:val="center"/>
          </w:tcPr>
          <w:p w14:paraId="04F662EE">
            <w:pPr>
              <w:pStyle w:val="10"/>
            </w:pPr>
            <w:r>
              <w:t>5</w:t>
            </w:r>
          </w:p>
        </w:tc>
      </w:tr>
      <w:tr w14:paraId="2886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209208">
            <w:pPr>
              <w:pStyle w:val="13"/>
            </w:pPr>
          </w:p>
        </w:tc>
        <w:tc>
          <w:tcPr>
            <w:tcW w:w="3798" w:type="dxa"/>
            <w:vAlign w:val="center"/>
          </w:tcPr>
          <w:p w14:paraId="511A84F2">
            <w:pPr>
              <w:pStyle w:val="12"/>
            </w:pPr>
          </w:p>
        </w:tc>
        <w:tc>
          <w:tcPr>
            <w:tcW w:w="2381" w:type="dxa"/>
            <w:vAlign w:val="center"/>
          </w:tcPr>
          <w:p w14:paraId="4DC9CE48">
            <w:pPr>
              <w:pStyle w:val="11"/>
            </w:pPr>
          </w:p>
        </w:tc>
        <w:tc>
          <w:tcPr>
            <w:tcW w:w="2381" w:type="dxa"/>
            <w:vAlign w:val="center"/>
          </w:tcPr>
          <w:p w14:paraId="15E5F945">
            <w:pPr>
              <w:pStyle w:val="11"/>
            </w:pPr>
          </w:p>
        </w:tc>
        <w:tc>
          <w:tcPr>
            <w:tcW w:w="2381" w:type="dxa"/>
            <w:vAlign w:val="center"/>
          </w:tcPr>
          <w:p w14:paraId="65933FE5">
            <w:pPr>
              <w:pStyle w:val="11"/>
            </w:pPr>
          </w:p>
        </w:tc>
        <w:tc>
          <w:tcPr>
            <w:tcW w:w="2381" w:type="dxa"/>
            <w:vAlign w:val="center"/>
          </w:tcPr>
          <w:p w14:paraId="561DF7F8">
            <w:pPr>
              <w:pStyle w:val="11"/>
            </w:pPr>
          </w:p>
        </w:tc>
      </w:tr>
    </w:tbl>
    <w:p w14:paraId="202CC3B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0BC965A">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隆尧县教师发展中心2026年单位预算信息公开情况说明</w:t>
      </w:r>
    </w:p>
    <w:p w14:paraId="5075AB3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地方预决算公开操作规程》和《关于进一步推进预算公开工作的实施意见》规定，现将隆尧县教师发展中心2026年单位预算公开如下：</w:t>
      </w:r>
    </w:p>
    <w:p w14:paraId="3B0BFBB1">
      <w:pPr>
        <w:spacing w:before="10" w:after="10" w:line="240" w:lineRule="auto"/>
        <w:ind w:firstLine="640"/>
        <w:jc w:val="left"/>
        <w:outlineLvl w:val="5"/>
      </w:pPr>
      <w:r>
        <w:rPr>
          <w:rFonts w:ascii="黑体" w:hAnsi="黑体" w:eastAsia="黑体" w:cs="黑体"/>
          <w:color w:val="000000"/>
          <w:sz w:val="32"/>
        </w:rPr>
        <w:t>一、单位职责及机构设置情况</w:t>
      </w:r>
    </w:p>
    <w:p w14:paraId="4CAE332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0A1B1F">
      <w:pPr>
        <w:pStyle w:val="17"/>
        <w:rPr>
          <w:rFonts w:hint="eastAsia"/>
        </w:rPr>
      </w:pPr>
      <w:r>
        <w:rPr>
          <w:rFonts w:hint="eastAsia"/>
        </w:rPr>
        <w:t>（一）在职教师培训、培养。组织实施中小学、幼儿园教师和校（园）长的继续教育；完成教育局安排的校（园）长培训：为中小学、幼儿园开展校本培训提供指导和服务。负责对中小学、幼儿园教师年度培训考核的组织管理。</w:t>
      </w:r>
    </w:p>
    <w:p w14:paraId="606920E5">
      <w:pPr>
        <w:pStyle w:val="17"/>
        <w:rPr>
          <w:rFonts w:hint="eastAsia"/>
        </w:rPr>
      </w:pPr>
      <w:r>
        <w:rPr>
          <w:rFonts w:hint="eastAsia"/>
        </w:rPr>
        <w:t>（二）教师资格定期注册，做好教师资格定期注册的组织、协调和服务</w:t>
      </w:r>
    </w:p>
    <w:p w14:paraId="6841E235">
      <w:pPr>
        <w:pStyle w:val="17"/>
        <w:rPr>
          <w:rFonts w:hint="eastAsia"/>
        </w:rPr>
      </w:pPr>
      <w:r>
        <w:rPr>
          <w:rFonts w:hint="eastAsia"/>
        </w:rPr>
        <w:t>（三）开展教育科学研究，开展教育科研、教学研究和教改实验。</w:t>
      </w:r>
    </w:p>
    <w:p w14:paraId="05431072">
      <w:pPr>
        <w:pStyle w:val="17"/>
        <w:rPr>
          <w:rFonts w:hint="eastAsia"/>
        </w:rPr>
      </w:pPr>
      <w:r>
        <w:rPr>
          <w:rFonts w:hint="eastAsia"/>
        </w:rPr>
        <w:t>（四）促进教师专业发展。发挥教师专业化发展学校总校的作用，实施好组织、协调、统筹工作；为构建终身教育体系提供必要的场所、设施、设备和资源。</w:t>
      </w:r>
    </w:p>
    <w:p w14:paraId="60E4286D">
      <w:pPr>
        <w:pStyle w:val="17"/>
        <w:rPr>
          <w:rFonts w:hint="eastAsia"/>
        </w:rPr>
      </w:pPr>
      <w:r>
        <w:rPr>
          <w:rFonts w:hint="eastAsia"/>
        </w:rPr>
        <w:t>（五）促进教师教育信息化建设。承担我县教师远程教育的规划、实施和管理，指导中小学、幼儿园教师开展现代信息技术在教学中的应用；做好教学仪器的装备、管理和使用。</w:t>
      </w:r>
    </w:p>
    <w:p w14:paraId="264AFD9F">
      <w:pPr>
        <w:pStyle w:val="17"/>
        <w:rPr>
          <w:rFonts w:hint="eastAsia"/>
        </w:rPr>
      </w:pPr>
      <w:r>
        <w:rPr>
          <w:rFonts w:hint="eastAsia"/>
        </w:rPr>
        <w:t>（六）为教师发展出谋划策。开展我县教育改革与发展重大课题研究和教师队伍建设研究，为教育局制定政策提供服务。</w:t>
      </w:r>
    </w:p>
    <w:p w14:paraId="5EC14927">
      <w:pPr>
        <w:pStyle w:val="17"/>
        <w:rPr>
          <w:rFonts w:hint="eastAsia"/>
        </w:rPr>
      </w:pPr>
      <w:r>
        <w:rPr>
          <w:rFonts w:hint="eastAsia"/>
        </w:rPr>
        <w:t>（七）开展在职学历教育，依托开放教育和奥鹏教育平台，做好在职人员学历教育的宣传、招生、管理等工作，为提高县域人口素质服务。</w:t>
      </w:r>
    </w:p>
    <w:p w14:paraId="1E23589E">
      <w:pPr>
        <w:pStyle w:val="17"/>
        <w:rPr>
          <w:rFonts w:hint="eastAsia"/>
        </w:rPr>
      </w:pPr>
      <w:r>
        <w:rPr>
          <w:rFonts w:hint="eastAsia"/>
        </w:rPr>
        <w:t>（八）教师发展中心属于中小学系列办学体制。</w:t>
      </w:r>
    </w:p>
    <w:p w14:paraId="23985329">
      <w:pPr>
        <w:pStyle w:val="17"/>
        <w:rPr>
          <w:rFonts w:hint="eastAsia"/>
        </w:rPr>
      </w:pPr>
      <w:r>
        <w:rPr>
          <w:rFonts w:hint="eastAsia"/>
        </w:rPr>
        <w:t>机构设置：根据上述职责，教师发展中心设7个内设机构：分别是办公室、总务处、教研部、教科研部、教育技术部、教师培训部，电大工作站。</w:t>
      </w:r>
    </w:p>
    <w:p w14:paraId="69BB08E3">
      <w:pPr>
        <w:pStyle w:val="17"/>
      </w:pPr>
      <w:r>
        <w:rPr>
          <w:rFonts w:hint="eastAsia"/>
        </w:rPr>
        <w:t>人员编制和领导职数：隆尧县教师发展中心事业编制84名。其中，主任1名</w:t>
      </w:r>
      <w:r>
        <w:rPr>
          <w:rFonts w:hint="eastAsia"/>
          <w:lang w:eastAsia="zh-CN"/>
        </w:rPr>
        <w:t>（</w:t>
      </w:r>
      <w:r>
        <w:rPr>
          <w:rFonts w:hint="eastAsia"/>
        </w:rPr>
        <w:t>正科级</w:t>
      </w:r>
      <w:r>
        <w:rPr>
          <w:rFonts w:hint="eastAsia"/>
          <w:lang w:eastAsia="zh-CN"/>
        </w:rPr>
        <w:t>）</w:t>
      </w:r>
      <w:r>
        <w:rPr>
          <w:rFonts w:hint="eastAsia"/>
        </w:rPr>
        <w:t>，副主任3名</w:t>
      </w:r>
      <w:r>
        <w:rPr>
          <w:rFonts w:hint="eastAsia"/>
          <w:lang w:eastAsia="zh-CN"/>
        </w:rPr>
        <w:t>（</w:t>
      </w:r>
      <w:r>
        <w:rPr>
          <w:rFonts w:hint="eastAsia"/>
        </w:rPr>
        <w:t>副科级</w:t>
      </w:r>
      <w:r>
        <w:rPr>
          <w:rFonts w:hint="eastAsia"/>
          <w:lang w:eastAsia="zh-CN"/>
        </w:rPr>
        <w:t>）</w:t>
      </w:r>
      <w:r>
        <w:rPr>
          <w:rFonts w:hint="eastAsia"/>
        </w:rPr>
        <w:t>，内设机构股级职数21名；经费形式为财政性资金基本保证。</w:t>
      </w:r>
    </w:p>
    <w:p w14:paraId="6622FA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AB4C2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95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8AD64B">
            <w:pPr>
              <w:pStyle w:val="10"/>
            </w:pPr>
            <w:r>
              <w:t>单位名称</w:t>
            </w:r>
          </w:p>
        </w:tc>
        <w:tc>
          <w:tcPr>
            <w:tcW w:w="1843" w:type="dxa"/>
            <w:vAlign w:val="center"/>
          </w:tcPr>
          <w:p w14:paraId="2B5B862E">
            <w:pPr>
              <w:pStyle w:val="10"/>
            </w:pPr>
            <w:r>
              <w:t>单位性质</w:t>
            </w:r>
          </w:p>
        </w:tc>
        <w:tc>
          <w:tcPr>
            <w:tcW w:w="2126" w:type="dxa"/>
            <w:vAlign w:val="center"/>
          </w:tcPr>
          <w:p w14:paraId="21D2DD20">
            <w:pPr>
              <w:pStyle w:val="10"/>
            </w:pPr>
            <w:r>
              <w:t>单位规格</w:t>
            </w:r>
          </w:p>
        </w:tc>
        <w:tc>
          <w:tcPr>
            <w:tcW w:w="3827" w:type="dxa"/>
            <w:vAlign w:val="center"/>
          </w:tcPr>
          <w:p w14:paraId="633B138F">
            <w:pPr>
              <w:pStyle w:val="10"/>
            </w:pPr>
            <w:r>
              <w:t>经费保障形式</w:t>
            </w:r>
          </w:p>
        </w:tc>
      </w:tr>
      <w:tr w14:paraId="7C2A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9ABD16">
            <w:pPr>
              <w:pStyle w:val="12"/>
            </w:pPr>
            <w:r>
              <w:t>隆尧县教师发展中心</w:t>
            </w:r>
          </w:p>
        </w:tc>
        <w:tc>
          <w:tcPr>
            <w:tcW w:w="1843" w:type="dxa"/>
            <w:vAlign w:val="center"/>
          </w:tcPr>
          <w:p w14:paraId="10498248">
            <w:pPr>
              <w:pStyle w:val="13"/>
            </w:pPr>
            <w:r>
              <w:t>事业</w:t>
            </w:r>
          </w:p>
        </w:tc>
        <w:tc>
          <w:tcPr>
            <w:tcW w:w="2126" w:type="dxa"/>
            <w:vAlign w:val="center"/>
          </w:tcPr>
          <w:p w14:paraId="3D954C2A">
            <w:pPr>
              <w:pStyle w:val="13"/>
            </w:pPr>
            <w:r>
              <w:t>正科级</w:t>
            </w:r>
          </w:p>
        </w:tc>
        <w:tc>
          <w:tcPr>
            <w:tcW w:w="3827" w:type="dxa"/>
            <w:vAlign w:val="center"/>
          </w:tcPr>
          <w:p w14:paraId="2D69A2BD">
            <w:pPr>
              <w:pStyle w:val="13"/>
            </w:pPr>
            <w:r>
              <w:t>财政性资金基本保证</w:t>
            </w:r>
          </w:p>
        </w:tc>
      </w:tr>
    </w:tbl>
    <w:p w14:paraId="3A0C6367">
      <w:pPr>
        <w:spacing w:before="10" w:after="10" w:line="240" w:lineRule="auto"/>
        <w:ind w:firstLine="640"/>
        <w:jc w:val="left"/>
        <w:outlineLvl w:val="5"/>
      </w:pPr>
      <w:r>
        <w:rPr>
          <w:rFonts w:ascii="黑体" w:hAnsi="黑体" w:eastAsia="黑体" w:cs="黑体"/>
          <w:color w:val="000000"/>
          <w:sz w:val="32"/>
        </w:rPr>
        <w:t>二、单位预算安排的总体情况</w:t>
      </w:r>
    </w:p>
    <w:p w14:paraId="2FF4CA5F">
      <w:pPr>
        <w:pStyle w:val="18"/>
      </w:pPr>
      <w:r>
        <w:t>按照预算管理有关规定，目前我省部门预算的编制实行综合预算管理，即全部收入和支出都反映的预算中。隆尧县教师发展中心的收支包含在部门预算中。</w:t>
      </w:r>
    </w:p>
    <w:p w14:paraId="2C7B1213">
      <w:pPr>
        <w:pStyle w:val="18"/>
      </w:pPr>
      <w:r>
        <w:t>1、收入说明</w:t>
      </w:r>
    </w:p>
    <w:p w14:paraId="7128CE5E">
      <w:pPr>
        <w:pStyle w:val="18"/>
      </w:pPr>
      <w:r>
        <w:t>反映本单位当年全部收入。2026年预算收入953.14万元，其中：一般公共预算收入775.59万元，基金预算收入0万元，财政专户核拨收入177.55万元，其他来源收入0万元。</w:t>
      </w:r>
    </w:p>
    <w:p w14:paraId="118E4A5B">
      <w:pPr>
        <w:pStyle w:val="18"/>
      </w:pPr>
      <w:r>
        <w:t>2、支出说明</w:t>
      </w:r>
    </w:p>
    <w:p w14:paraId="2342A491">
      <w:pPr>
        <w:pStyle w:val="18"/>
      </w:pPr>
      <w:r>
        <w:t>收支预算总表支出栏、基本支出表、项目支出表按经济分类和支出功能分类科目编制，反映隆尧县教师发展中心年度部门预算中支出预算的总体情况。2026年部门支出预算为953.14万元，其中基本支出765.19万元，包括人员经费751.19万元和日常公用经费14万元；项目支出187.95万元，主要为中小学继续教育专项经费60万元；电大培训费专项经费117.55万元；中小学继续教育教师培训费10.4万元。</w:t>
      </w:r>
    </w:p>
    <w:p w14:paraId="1F0C2BFD">
      <w:pPr>
        <w:pStyle w:val="18"/>
      </w:pPr>
      <w:r>
        <w:t>3、比上年增减情况</w:t>
      </w:r>
    </w:p>
    <w:p w14:paraId="37B38089">
      <w:pPr>
        <w:pStyle w:val="18"/>
      </w:pPr>
      <w:r>
        <w:t>2026年部门预算收支安排953.14万元，较2025年减少187.36万元，其中：基本支出减少187.69万元，主要是人员经费减少；项目支出增加0.33万元，主要为2026年度电大培训费专项经费增加。</w:t>
      </w:r>
    </w:p>
    <w:p w14:paraId="778AD007">
      <w:pPr>
        <w:pStyle w:val="18"/>
      </w:pPr>
      <w:r>
        <w:t>三、机关运行经费安排情况</w:t>
      </w:r>
    </w:p>
    <w:p w14:paraId="7CFB1759">
      <w:pPr>
        <w:pStyle w:val="18"/>
      </w:pPr>
      <w:r>
        <w:t>2026年，我部门机关运行经费共计安排14万元，主要用于保证单位正常运转的办公支出。</w:t>
      </w:r>
    </w:p>
    <w:p w14:paraId="0BBD1219">
      <w:pPr>
        <w:pStyle w:val="18"/>
      </w:pPr>
      <w:r>
        <w:t>四、财政拨款“三公”经费预算情况及增减变化原因</w:t>
      </w:r>
    </w:p>
    <w:p w14:paraId="12F5D571">
      <w:pPr>
        <w:pStyle w:val="18"/>
      </w:pPr>
      <w:r>
        <w:t>2025年，我部门财政拨款“三公”经费预算安排0万元，其中：因公出国（境）费0万元，与上年持平，无变化；公务用车购置及运维费0万元（其中：公务用车购置费0万元，公务用车运行维护费0万元</w:t>
      </w:r>
      <w:r>
        <w:rPr>
          <w:rFonts w:hint="eastAsia"/>
          <w:lang w:eastAsia="zh-CN"/>
        </w:rPr>
        <w:t>）</w:t>
      </w:r>
      <w:r>
        <w:t>，与上年持平，无变化；公务接待费0万元，与上年持平，无变化。</w:t>
      </w:r>
    </w:p>
    <w:p w14:paraId="232E574E">
      <w:pPr>
        <w:spacing w:before="10" w:after="10" w:line="240" w:lineRule="auto"/>
        <w:ind w:firstLine="640"/>
        <w:jc w:val="left"/>
        <w:outlineLvl w:val="5"/>
      </w:pPr>
      <w:r>
        <w:rPr>
          <w:rFonts w:ascii="黑体" w:hAnsi="黑体" w:eastAsia="黑体" w:cs="黑体"/>
          <w:color w:val="000000"/>
          <w:sz w:val="32"/>
        </w:rPr>
        <w:t>三、机关运行经费安排情况</w:t>
      </w:r>
    </w:p>
    <w:p w14:paraId="3C2184B5">
      <w:pPr>
        <w:pStyle w:val="19"/>
      </w:pPr>
      <w:r>
        <w:t>2026年，我单位机关运行经费共计安排14万元，主要用于保证单位正常运转的办公支出。</w:t>
      </w:r>
    </w:p>
    <w:p w14:paraId="5FF92AE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C74A3F">
      <w:pPr>
        <w:pStyle w:val="20"/>
      </w:pPr>
      <w:r>
        <w:t>2026年，我单位未安排</w:t>
      </w:r>
      <w:r>
        <w:rPr>
          <w:rFonts w:hint="eastAsia"/>
          <w:lang w:eastAsia="zh-CN"/>
        </w:rPr>
        <w:t>“三公”经费</w:t>
      </w:r>
      <w:r>
        <w:t>。</w:t>
      </w:r>
    </w:p>
    <w:p w14:paraId="4D3D06A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FDCC12">
      <w:pPr>
        <w:spacing w:before="0" w:after="0"/>
        <w:ind w:firstLine="560"/>
        <w:jc w:val="left"/>
        <w:outlineLvl w:val="9"/>
      </w:pPr>
      <w:r>
        <w:rPr>
          <w:rFonts w:ascii="方正仿宋_GBK" w:hAnsi="方正仿宋_GBK" w:eastAsia="方正仿宋_GBK" w:cs="方正仿宋_GBK"/>
          <w:b/>
          <w:color w:val="000000"/>
          <w:sz w:val="28"/>
        </w:rPr>
        <w:t>1、电大培训费专项经费/教师发展中心绩效目标表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B9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A1ECB">
            <w:pPr>
              <w:pStyle w:val="11"/>
            </w:pPr>
            <w:r>
              <w:t>单位：万元</w:t>
            </w:r>
          </w:p>
        </w:tc>
      </w:tr>
      <w:tr w14:paraId="18736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FCDD9">
            <w:pPr>
              <w:pStyle w:val="10"/>
            </w:pPr>
            <w:r>
              <w:t>项目编码</w:t>
            </w:r>
          </w:p>
        </w:tc>
        <w:tc>
          <w:tcPr>
            <w:tcW w:w="5103" w:type="dxa"/>
            <w:gridSpan w:val="2"/>
            <w:vAlign w:val="center"/>
          </w:tcPr>
          <w:p w14:paraId="0099377A">
            <w:pPr>
              <w:pStyle w:val="12"/>
            </w:pPr>
            <w:r>
              <w:t>13052526P00000210032X</w:t>
            </w:r>
          </w:p>
        </w:tc>
        <w:tc>
          <w:tcPr>
            <w:tcW w:w="2835" w:type="dxa"/>
            <w:vAlign w:val="center"/>
          </w:tcPr>
          <w:p w14:paraId="72236CE7">
            <w:pPr>
              <w:pStyle w:val="10"/>
            </w:pPr>
            <w:r>
              <w:t>项目名称</w:t>
            </w:r>
          </w:p>
        </w:tc>
        <w:tc>
          <w:tcPr>
            <w:tcW w:w="6095" w:type="dxa"/>
            <w:gridSpan w:val="3"/>
            <w:vAlign w:val="center"/>
          </w:tcPr>
          <w:p w14:paraId="3DA5CF26">
            <w:pPr>
              <w:pStyle w:val="12"/>
            </w:pPr>
            <w:r>
              <w:t>电大培训费专项经费/教师发展中心</w:t>
            </w:r>
          </w:p>
        </w:tc>
      </w:tr>
      <w:tr w14:paraId="0B325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639BF">
            <w:pPr>
              <w:pStyle w:val="10"/>
            </w:pPr>
            <w:r>
              <w:t>预算规模及资金用途</w:t>
            </w:r>
          </w:p>
        </w:tc>
        <w:tc>
          <w:tcPr>
            <w:tcW w:w="2268" w:type="dxa"/>
            <w:vAlign w:val="center"/>
          </w:tcPr>
          <w:p w14:paraId="0D420EEC">
            <w:pPr>
              <w:pStyle w:val="10"/>
            </w:pPr>
            <w:r>
              <w:t>预算数</w:t>
            </w:r>
          </w:p>
        </w:tc>
        <w:tc>
          <w:tcPr>
            <w:tcW w:w="2835" w:type="dxa"/>
            <w:vAlign w:val="center"/>
          </w:tcPr>
          <w:p w14:paraId="135B8F64">
            <w:pPr>
              <w:pStyle w:val="12"/>
            </w:pPr>
            <w:r>
              <w:t>117.55</w:t>
            </w:r>
          </w:p>
        </w:tc>
        <w:tc>
          <w:tcPr>
            <w:tcW w:w="2835" w:type="dxa"/>
            <w:vAlign w:val="center"/>
          </w:tcPr>
          <w:p w14:paraId="25870505">
            <w:pPr>
              <w:pStyle w:val="10"/>
            </w:pPr>
            <w:r>
              <w:t>其中：财政    资金</w:t>
            </w:r>
          </w:p>
        </w:tc>
        <w:tc>
          <w:tcPr>
            <w:tcW w:w="2551" w:type="dxa"/>
            <w:vAlign w:val="center"/>
          </w:tcPr>
          <w:p w14:paraId="2DDEC421">
            <w:pPr>
              <w:pStyle w:val="12"/>
            </w:pPr>
            <w:r>
              <w:t>117.55</w:t>
            </w:r>
          </w:p>
        </w:tc>
        <w:tc>
          <w:tcPr>
            <w:tcW w:w="2268" w:type="dxa"/>
            <w:vAlign w:val="center"/>
          </w:tcPr>
          <w:p w14:paraId="7D2C2D11">
            <w:pPr>
              <w:pStyle w:val="10"/>
            </w:pPr>
            <w:r>
              <w:t>其他资金</w:t>
            </w:r>
          </w:p>
        </w:tc>
        <w:tc>
          <w:tcPr>
            <w:tcW w:w="1276" w:type="dxa"/>
            <w:vAlign w:val="center"/>
          </w:tcPr>
          <w:p w14:paraId="21724EA6">
            <w:pPr>
              <w:pStyle w:val="12"/>
            </w:pPr>
            <w:r>
              <w:t xml:space="preserve"> </w:t>
            </w:r>
          </w:p>
        </w:tc>
      </w:tr>
      <w:tr w14:paraId="751C5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DE8A5"/>
        </w:tc>
        <w:tc>
          <w:tcPr>
            <w:tcW w:w="14033" w:type="dxa"/>
            <w:gridSpan w:val="6"/>
            <w:vAlign w:val="center"/>
          </w:tcPr>
          <w:p w14:paraId="3C8E6B65">
            <w:pPr>
              <w:pStyle w:val="12"/>
            </w:pPr>
            <w:r>
              <w:t>用于电大工作和培训。</w:t>
            </w:r>
          </w:p>
        </w:tc>
      </w:tr>
      <w:tr w14:paraId="076EA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11791">
            <w:pPr>
              <w:pStyle w:val="10"/>
            </w:pPr>
            <w:r>
              <w:t>资金支出计划（%）</w:t>
            </w:r>
          </w:p>
        </w:tc>
        <w:tc>
          <w:tcPr>
            <w:tcW w:w="5103" w:type="dxa"/>
            <w:gridSpan w:val="2"/>
            <w:vAlign w:val="center"/>
          </w:tcPr>
          <w:p w14:paraId="481F4F72">
            <w:pPr>
              <w:pStyle w:val="10"/>
            </w:pPr>
            <w:r>
              <w:t>3月底</w:t>
            </w:r>
          </w:p>
        </w:tc>
        <w:tc>
          <w:tcPr>
            <w:tcW w:w="2835" w:type="dxa"/>
            <w:vAlign w:val="center"/>
          </w:tcPr>
          <w:p w14:paraId="4BF92386">
            <w:pPr>
              <w:pStyle w:val="10"/>
            </w:pPr>
            <w:r>
              <w:t>6月底</w:t>
            </w:r>
          </w:p>
        </w:tc>
        <w:tc>
          <w:tcPr>
            <w:tcW w:w="2551" w:type="dxa"/>
            <w:vAlign w:val="center"/>
          </w:tcPr>
          <w:p w14:paraId="29E2FCAD">
            <w:pPr>
              <w:pStyle w:val="10"/>
            </w:pPr>
            <w:r>
              <w:t>10月底</w:t>
            </w:r>
          </w:p>
        </w:tc>
        <w:tc>
          <w:tcPr>
            <w:tcW w:w="3544" w:type="dxa"/>
            <w:gridSpan w:val="2"/>
            <w:vAlign w:val="center"/>
          </w:tcPr>
          <w:p w14:paraId="21C3D73A">
            <w:pPr>
              <w:pStyle w:val="10"/>
            </w:pPr>
            <w:r>
              <w:t>12月底</w:t>
            </w:r>
          </w:p>
        </w:tc>
      </w:tr>
      <w:tr w14:paraId="7927B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F14EE"/>
        </w:tc>
        <w:tc>
          <w:tcPr>
            <w:tcW w:w="5103" w:type="dxa"/>
            <w:gridSpan w:val="2"/>
            <w:vAlign w:val="center"/>
          </w:tcPr>
          <w:p w14:paraId="1FA6B598">
            <w:pPr>
              <w:pStyle w:val="13"/>
            </w:pPr>
            <w:r>
              <w:t xml:space="preserve"> </w:t>
            </w:r>
          </w:p>
        </w:tc>
        <w:tc>
          <w:tcPr>
            <w:tcW w:w="2835" w:type="dxa"/>
            <w:vAlign w:val="center"/>
          </w:tcPr>
          <w:p w14:paraId="6BD8D303">
            <w:pPr>
              <w:pStyle w:val="13"/>
            </w:pPr>
            <w:r>
              <w:t>50%</w:t>
            </w:r>
          </w:p>
        </w:tc>
        <w:tc>
          <w:tcPr>
            <w:tcW w:w="2551" w:type="dxa"/>
            <w:vAlign w:val="center"/>
          </w:tcPr>
          <w:p w14:paraId="73989744">
            <w:pPr>
              <w:pStyle w:val="13"/>
            </w:pPr>
            <w:r>
              <w:t>75%</w:t>
            </w:r>
          </w:p>
        </w:tc>
        <w:tc>
          <w:tcPr>
            <w:tcW w:w="3544" w:type="dxa"/>
            <w:gridSpan w:val="2"/>
            <w:vAlign w:val="center"/>
          </w:tcPr>
          <w:p w14:paraId="121DF332">
            <w:pPr>
              <w:pStyle w:val="13"/>
            </w:pPr>
            <w:r>
              <w:t>100%</w:t>
            </w:r>
          </w:p>
        </w:tc>
      </w:tr>
      <w:tr w14:paraId="1B756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9F187">
            <w:pPr>
              <w:pStyle w:val="10"/>
            </w:pPr>
            <w:r>
              <w:t>绩效目标</w:t>
            </w:r>
          </w:p>
        </w:tc>
        <w:tc>
          <w:tcPr>
            <w:tcW w:w="14033" w:type="dxa"/>
            <w:gridSpan w:val="6"/>
            <w:vAlign w:val="center"/>
          </w:tcPr>
          <w:p w14:paraId="4C479AF3">
            <w:pPr>
              <w:pStyle w:val="12"/>
            </w:pPr>
            <w:r>
              <w:t>1.上缴电大学费117.546万元，用于电大工作和培训。</w:t>
            </w:r>
          </w:p>
        </w:tc>
      </w:tr>
    </w:tbl>
    <w:p w14:paraId="4AA648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6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03931">
            <w:pPr>
              <w:pStyle w:val="10"/>
            </w:pPr>
            <w:r>
              <w:t>一级指标</w:t>
            </w:r>
          </w:p>
        </w:tc>
        <w:tc>
          <w:tcPr>
            <w:tcW w:w="2268" w:type="dxa"/>
            <w:vAlign w:val="center"/>
          </w:tcPr>
          <w:p w14:paraId="27A901DE">
            <w:pPr>
              <w:pStyle w:val="10"/>
            </w:pPr>
            <w:r>
              <w:t>二级指标</w:t>
            </w:r>
          </w:p>
        </w:tc>
        <w:tc>
          <w:tcPr>
            <w:tcW w:w="2835" w:type="dxa"/>
            <w:vAlign w:val="center"/>
          </w:tcPr>
          <w:p w14:paraId="1A53CA28">
            <w:pPr>
              <w:pStyle w:val="10"/>
            </w:pPr>
            <w:r>
              <w:t>三级指标</w:t>
            </w:r>
          </w:p>
        </w:tc>
        <w:tc>
          <w:tcPr>
            <w:tcW w:w="5386" w:type="dxa"/>
            <w:vAlign w:val="center"/>
          </w:tcPr>
          <w:p w14:paraId="183951CC">
            <w:pPr>
              <w:pStyle w:val="10"/>
            </w:pPr>
            <w:r>
              <w:t>绩效指标描述</w:t>
            </w:r>
          </w:p>
        </w:tc>
        <w:tc>
          <w:tcPr>
            <w:tcW w:w="2268" w:type="dxa"/>
            <w:vAlign w:val="center"/>
          </w:tcPr>
          <w:p w14:paraId="603C425E">
            <w:pPr>
              <w:pStyle w:val="10"/>
            </w:pPr>
            <w:r>
              <w:t>指标值</w:t>
            </w:r>
          </w:p>
        </w:tc>
        <w:tc>
          <w:tcPr>
            <w:tcW w:w="1276" w:type="dxa"/>
            <w:vAlign w:val="center"/>
          </w:tcPr>
          <w:p w14:paraId="31F61675">
            <w:pPr>
              <w:pStyle w:val="10"/>
            </w:pPr>
            <w:r>
              <w:t>指标值确定依据</w:t>
            </w:r>
          </w:p>
        </w:tc>
      </w:tr>
      <w:tr w14:paraId="5713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45A0C">
            <w:pPr>
              <w:pStyle w:val="13"/>
            </w:pPr>
            <w:r>
              <w:t>产出指标</w:t>
            </w:r>
          </w:p>
        </w:tc>
        <w:tc>
          <w:tcPr>
            <w:tcW w:w="2268" w:type="dxa"/>
            <w:vAlign w:val="center"/>
          </w:tcPr>
          <w:p w14:paraId="75CFDF53">
            <w:pPr>
              <w:pStyle w:val="12"/>
            </w:pPr>
            <w:r>
              <w:t>数量指标</w:t>
            </w:r>
          </w:p>
        </w:tc>
        <w:tc>
          <w:tcPr>
            <w:tcW w:w="2835" w:type="dxa"/>
            <w:vAlign w:val="center"/>
          </w:tcPr>
          <w:p w14:paraId="1F305D86">
            <w:pPr>
              <w:pStyle w:val="12"/>
            </w:pPr>
            <w:r>
              <w:t>电大招生人数</w:t>
            </w:r>
          </w:p>
        </w:tc>
        <w:tc>
          <w:tcPr>
            <w:tcW w:w="5386" w:type="dxa"/>
            <w:vAlign w:val="center"/>
          </w:tcPr>
          <w:p w14:paraId="273EF097">
            <w:pPr>
              <w:pStyle w:val="12"/>
            </w:pPr>
            <w:r>
              <w:t>电大招生人数</w:t>
            </w:r>
          </w:p>
        </w:tc>
        <w:tc>
          <w:tcPr>
            <w:tcW w:w="2268" w:type="dxa"/>
            <w:vAlign w:val="center"/>
          </w:tcPr>
          <w:p w14:paraId="390909D3">
            <w:pPr>
              <w:pStyle w:val="12"/>
            </w:pPr>
            <w:r>
              <w:t>≥200人</w:t>
            </w:r>
          </w:p>
        </w:tc>
        <w:tc>
          <w:tcPr>
            <w:tcW w:w="1276" w:type="dxa"/>
            <w:vAlign w:val="center"/>
          </w:tcPr>
          <w:p w14:paraId="4651DDFB">
            <w:pPr>
              <w:pStyle w:val="12"/>
            </w:pPr>
            <w:r>
              <w:t>年度工作计划</w:t>
            </w:r>
          </w:p>
        </w:tc>
      </w:tr>
      <w:tr w14:paraId="122D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63E61"/>
        </w:tc>
        <w:tc>
          <w:tcPr>
            <w:tcW w:w="2268" w:type="dxa"/>
            <w:vAlign w:val="center"/>
          </w:tcPr>
          <w:p w14:paraId="41FB4B72">
            <w:pPr>
              <w:pStyle w:val="12"/>
            </w:pPr>
            <w:r>
              <w:t>质量指标</w:t>
            </w:r>
          </w:p>
        </w:tc>
        <w:tc>
          <w:tcPr>
            <w:tcW w:w="2835" w:type="dxa"/>
            <w:vAlign w:val="center"/>
          </w:tcPr>
          <w:p w14:paraId="17A78750">
            <w:pPr>
              <w:pStyle w:val="12"/>
            </w:pPr>
            <w:r>
              <w:t>电大学员过关率</w:t>
            </w:r>
          </w:p>
        </w:tc>
        <w:tc>
          <w:tcPr>
            <w:tcW w:w="5386" w:type="dxa"/>
            <w:vAlign w:val="center"/>
          </w:tcPr>
          <w:p w14:paraId="60E14129">
            <w:pPr>
              <w:pStyle w:val="12"/>
            </w:pPr>
            <w:r>
              <w:t>电大学员过关率</w:t>
            </w:r>
          </w:p>
        </w:tc>
        <w:tc>
          <w:tcPr>
            <w:tcW w:w="2268" w:type="dxa"/>
            <w:vAlign w:val="center"/>
          </w:tcPr>
          <w:p w14:paraId="0E3CFCAE">
            <w:pPr>
              <w:pStyle w:val="12"/>
            </w:pPr>
            <w:r>
              <w:t>≥98%</w:t>
            </w:r>
          </w:p>
        </w:tc>
        <w:tc>
          <w:tcPr>
            <w:tcW w:w="1276" w:type="dxa"/>
            <w:vAlign w:val="center"/>
          </w:tcPr>
          <w:p w14:paraId="7B836358">
            <w:pPr>
              <w:pStyle w:val="12"/>
            </w:pPr>
            <w:r>
              <w:t>年度工作计划</w:t>
            </w:r>
          </w:p>
        </w:tc>
      </w:tr>
      <w:tr w14:paraId="1647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6AA7F"/>
        </w:tc>
        <w:tc>
          <w:tcPr>
            <w:tcW w:w="2268" w:type="dxa"/>
            <w:vAlign w:val="center"/>
          </w:tcPr>
          <w:p w14:paraId="7650AF95">
            <w:pPr>
              <w:pStyle w:val="12"/>
            </w:pPr>
            <w:r>
              <w:t>时效指标</w:t>
            </w:r>
          </w:p>
        </w:tc>
        <w:tc>
          <w:tcPr>
            <w:tcW w:w="2835" w:type="dxa"/>
            <w:vAlign w:val="center"/>
          </w:tcPr>
          <w:p w14:paraId="6C03C90A">
            <w:pPr>
              <w:pStyle w:val="12"/>
            </w:pPr>
            <w:r>
              <w:t>电大招生完成率</w:t>
            </w:r>
          </w:p>
        </w:tc>
        <w:tc>
          <w:tcPr>
            <w:tcW w:w="5386" w:type="dxa"/>
            <w:vAlign w:val="center"/>
          </w:tcPr>
          <w:p w14:paraId="79133286">
            <w:pPr>
              <w:pStyle w:val="12"/>
            </w:pPr>
            <w:r>
              <w:t>电大招生完成率</w:t>
            </w:r>
          </w:p>
        </w:tc>
        <w:tc>
          <w:tcPr>
            <w:tcW w:w="2268" w:type="dxa"/>
            <w:vAlign w:val="center"/>
          </w:tcPr>
          <w:p w14:paraId="633B651A">
            <w:pPr>
              <w:pStyle w:val="12"/>
            </w:pPr>
            <w:r>
              <w:t>100%</w:t>
            </w:r>
          </w:p>
        </w:tc>
        <w:tc>
          <w:tcPr>
            <w:tcW w:w="1276" w:type="dxa"/>
            <w:vAlign w:val="center"/>
          </w:tcPr>
          <w:p w14:paraId="5BFCD3F8">
            <w:pPr>
              <w:pStyle w:val="12"/>
            </w:pPr>
            <w:r>
              <w:t>年度工作计划</w:t>
            </w:r>
          </w:p>
        </w:tc>
      </w:tr>
      <w:tr w14:paraId="643B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CFF1B"/>
        </w:tc>
        <w:tc>
          <w:tcPr>
            <w:tcW w:w="2268" w:type="dxa"/>
            <w:vAlign w:val="center"/>
          </w:tcPr>
          <w:p w14:paraId="784D684D">
            <w:pPr>
              <w:pStyle w:val="12"/>
            </w:pPr>
            <w:r>
              <w:t>成本指标</w:t>
            </w:r>
          </w:p>
        </w:tc>
        <w:tc>
          <w:tcPr>
            <w:tcW w:w="2835" w:type="dxa"/>
            <w:vAlign w:val="center"/>
          </w:tcPr>
          <w:p w14:paraId="65F8A1D6">
            <w:pPr>
              <w:pStyle w:val="12"/>
            </w:pPr>
            <w:r>
              <w:t>学员人均费用</w:t>
            </w:r>
          </w:p>
        </w:tc>
        <w:tc>
          <w:tcPr>
            <w:tcW w:w="5386" w:type="dxa"/>
            <w:vAlign w:val="center"/>
          </w:tcPr>
          <w:p w14:paraId="40BBC80B">
            <w:pPr>
              <w:pStyle w:val="12"/>
            </w:pPr>
            <w:r>
              <w:t>学员人均费用</w:t>
            </w:r>
          </w:p>
        </w:tc>
        <w:tc>
          <w:tcPr>
            <w:tcW w:w="2268" w:type="dxa"/>
            <w:vAlign w:val="center"/>
          </w:tcPr>
          <w:p w14:paraId="52D49558">
            <w:pPr>
              <w:pStyle w:val="12"/>
            </w:pPr>
            <w:r>
              <w:t>≥2000元</w:t>
            </w:r>
          </w:p>
        </w:tc>
        <w:tc>
          <w:tcPr>
            <w:tcW w:w="1276" w:type="dxa"/>
            <w:vAlign w:val="center"/>
          </w:tcPr>
          <w:p w14:paraId="06A22D5D">
            <w:pPr>
              <w:pStyle w:val="12"/>
            </w:pPr>
            <w:r>
              <w:t>年度工作计划</w:t>
            </w:r>
          </w:p>
        </w:tc>
      </w:tr>
      <w:tr w14:paraId="51AD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73E1E">
            <w:pPr>
              <w:pStyle w:val="13"/>
            </w:pPr>
            <w:r>
              <w:t>效益指标</w:t>
            </w:r>
          </w:p>
        </w:tc>
        <w:tc>
          <w:tcPr>
            <w:tcW w:w="2268" w:type="dxa"/>
            <w:vAlign w:val="center"/>
          </w:tcPr>
          <w:p w14:paraId="167F13E6">
            <w:pPr>
              <w:pStyle w:val="12"/>
            </w:pPr>
            <w:r>
              <w:t>经济效益指标</w:t>
            </w:r>
          </w:p>
        </w:tc>
        <w:tc>
          <w:tcPr>
            <w:tcW w:w="2835" w:type="dxa"/>
            <w:vAlign w:val="center"/>
          </w:tcPr>
          <w:p w14:paraId="6D6D13BF">
            <w:pPr>
              <w:pStyle w:val="12"/>
            </w:pPr>
            <w:r>
              <w:t>培训工作经济效益提升</w:t>
            </w:r>
          </w:p>
        </w:tc>
        <w:tc>
          <w:tcPr>
            <w:tcW w:w="5386" w:type="dxa"/>
            <w:vAlign w:val="center"/>
          </w:tcPr>
          <w:p w14:paraId="045265CA">
            <w:pPr>
              <w:pStyle w:val="12"/>
            </w:pPr>
            <w:r>
              <w:t>培训工作经济效益提升</w:t>
            </w:r>
          </w:p>
        </w:tc>
        <w:tc>
          <w:tcPr>
            <w:tcW w:w="2268" w:type="dxa"/>
            <w:vAlign w:val="center"/>
          </w:tcPr>
          <w:p w14:paraId="090C8575">
            <w:pPr>
              <w:pStyle w:val="12"/>
            </w:pPr>
            <w:r>
              <w:t>≥98%</w:t>
            </w:r>
          </w:p>
        </w:tc>
        <w:tc>
          <w:tcPr>
            <w:tcW w:w="1276" w:type="dxa"/>
            <w:vAlign w:val="center"/>
          </w:tcPr>
          <w:p w14:paraId="2A7DDF9E">
            <w:pPr>
              <w:pStyle w:val="12"/>
            </w:pPr>
            <w:r>
              <w:t>年度工作计划</w:t>
            </w:r>
          </w:p>
        </w:tc>
      </w:tr>
      <w:tr w14:paraId="16B5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2F77"/>
        </w:tc>
        <w:tc>
          <w:tcPr>
            <w:tcW w:w="2268" w:type="dxa"/>
            <w:vAlign w:val="center"/>
          </w:tcPr>
          <w:p w14:paraId="39A9E5F4">
            <w:pPr>
              <w:pStyle w:val="12"/>
            </w:pPr>
            <w:r>
              <w:t>社会效益指标</w:t>
            </w:r>
          </w:p>
        </w:tc>
        <w:tc>
          <w:tcPr>
            <w:tcW w:w="2835" w:type="dxa"/>
            <w:vAlign w:val="center"/>
          </w:tcPr>
          <w:p w14:paraId="06CAB7C8">
            <w:pPr>
              <w:pStyle w:val="12"/>
            </w:pPr>
            <w:r>
              <w:t>提升干部职工学历</w:t>
            </w:r>
          </w:p>
        </w:tc>
        <w:tc>
          <w:tcPr>
            <w:tcW w:w="5386" w:type="dxa"/>
            <w:vAlign w:val="center"/>
          </w:tcPr>
          <w:p w14:paraId="37FADC17">
            <w:pPr>
              <w:pStyle w:val="12"/>
            </w:pPr>
            <w:r>
              <w:t>学历提升率</w:t>
            </w:r>
          </w:p>
        </w:tc>
        <w:tc>
          <w:tcPr>
            <w:tcW w:w="2268" w:type="dxa"/>
            <w:vAlign w:val="center"/>
          </w:tcPr>
          <w:p w14:paraId="04A600EB">
            <w:pPr>
              <w:pStyle w:val="12"/>
            </w:pPr>
            <w:r>
              <w:t>≥80%</w:t>
            </w:r>
          </w:p>
        </w:tc>
        <w:tc>
          <w:tcPr>
            <w:tcW w:w="1276" w:type="dxa"/>
            <w:vAlign w:val="center"/>
          </w:tcPr>
          <w:p w14:paraId="52DDD306">
            <w:pPr>
              <w:pStyle w:val="12"/>
            </w:pPr>
            <w:r>
              <w:t>年度工作计划</w:t>
            </w:r>
          </w:p>
        </w:tc>
      </w:tr>
      <w:tr w14:paraId="6308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D2014"/>
        </w:tc>
        <w:tc>
          <w:tcPr>
            <w:tcW w:w="2268" w:type="dxa"/>
            <w:vAlign w:val="center"/>
          </w:tcPr>
          <w:p w14:paraId="6F2E5F2F">
            <w:pPr>
              <w:pStyle w:val="12"/>
            </w:pPr>
            <w:r>
              <w:t>生态效益指标</w:t>
            </w:r>
          </w:p>
        </w:tc>
        <w:tc>
          <w:tcPr>
            <w:tcW w:w="2835" w:type="dxa"/>
            <w:vAlign w:val="center"/>
          </w:tcPr>
          <w:p w14:paraId="28CFAA84">
            <w:pPr>
              <w:pStyle w:val="12"/>
            </w:pPr>
            <w:r>
              <w:t>教育环境</w:t>
            </w:r>
          </w:p>
        </w:tc>
        <w:tc>
          <w:tcPr>
            <w:tcW w:w="5386" w:type="dxa"/>
            <w:vAlign w:val="center"/>
          </w:tcPr>
          <w:p w14:paraId="4B9E59C7">
            <w:pPr>
              <w:pStyle w:val="12"/>
            </w:pPr>
            <w:r>
              <w:t>改善我县教育师资环境</w:t>
            </w:r>
          </w:p>
        </w:tc>
        <w:tc>
          <w:tcPr>
            <w:tcW w:w="2268" w:type="dxa"/>
            <w:vAlign w:val="center"/>
          </w:tcPr>
          <w:p w14:paraId="7C12B438">
            <w:pPr>
              <w:pStyle w:val="12"/>
            </w:pPr>
            <w:r>
              <w:t>≥90%</w:t>
            </w:r>
          </w:p>
        </w:tc>
        <w:tc>
          <w:tcPr>
            <w:tcW w:w="1276" w:type="dxa"/>
            <w:vAlign w:val="center"/>
          </w:tcPr>
          <w:p w14:paraId="7D9B7BEA">
            <w:pPr>
              <w:pStyle w:val="12"/>
            </w:pPr>
            <w:r>
              <w:t>年度工作计划</w:t>
            </w:r>
          </w:p>
        </w:tc>
      </w:tr>
      <w:tr w14:paraId="5E5B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09186"/>
        </w:tc>
        <w:tc>
          <w:tcPr>
            <w:tcW w:w="2268" w:type="dxa"/>
            <w:vAlign w:val="center"/>
          </w:tcPr>
          <w:p w14:paraId="470DDE3A">
            <w:pPr>
              <w:pStyle w:val="12"/>
            </w:pPr>
            <w:r>
              <w:t>可持续影响指标</w:t>
            </w:r>
          </w:p>
        </w:tc>
        <w:tc>
          <w:tcPr>
            <w:tcW w:w="2835" w:type="dxa"/>
            <w:vAlign w:val="center"/>
          </w:tcPr>
          <w:p w14:paraId="3DB687BC">
            <w:pPr>
              <w:pStyle w:val="12"/>
            </w:pPr>
            <w:r>
              <w:t>培训效果影响程度</w:t>
            </w:r>
          </w:p>
        </w:tc>
        <w:tc>
          <w:tcPr>
            <w:tcW w:w="5386" w:type="dxa"/>
            <w:vAlign w:val="center"/>
          </w:tcPr>
          <w:p w14:paraId="6C4162EE">
            <w:pPr>
              <w:pStyle w:val="12"/>
            </w:pPr>
            <w:r>
              <w:t>培训效果影响率</w:t>
            </w:r>
          </w:p>
        </w:tc>
        <w:tc>
          <w:tcPr>
            <w:tcW w:w="2268" w:type="dxa"/>
            <w:vAlign w:val="center"/>
          </w:tcPr>
          <w:p w14:paraId="60ED0623">
            <w:pPr>
              <w:pStyle w:val="12"/>
            </w:pPr>
            <w:r>
              <w:t>≥80%</w:t>
            </w:r>
          </w:p>
        </w:tc>
        <w:tc>
          <w:tcPr>
            <w:tcW w:w="1276" w:type="dxa"/>
            <w:vAlign w:val="center"/>
          </w:tcPr>
          <w:p w14:paraId="5F43D451">
            <w:pPr>
              <w:pStyle w:val="12"/>
            </w:pPr>
            <w:r>
              <w:t>年度工作计划</w:t>
            </w:r>
          </w:p>
        </w:tc>
      </w:tr>
      <w:tr w14:paraId="4430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EC29F">
            <w:pPr>
              <w:pStyle w:val="13"/>
            </w:pPr>
            <w:r>
              <w:t>满意度指标</w:t>
            </w:r>
          </w:p>
        </w:tc>
        <w:tc>
          <w:tcPr>
            <w:tcW w:w="2268" w:type="dxa"/>
            <w:vAlign w:val="center"/>
          </w:tcPr>
          <w:p w14:paraId="5EAAE5E3">
            <w:pPr>
              <w:pStyle w:val="12"/>
            </w:pPr>
            <w:r>
              <w:t>服务对象满意度指标</w:t>
            </w:r>
          </w:p>
        </w:tc>
        <w:tc>
          <w:tcPr>
            <w:tcW w:w="2835" w:type="dxa"/>
            <w:vAlign w:val="center"/>
          </w:tcPr>
          <w:p w14:paraId="4BBADCA9">
            <w:pPr>
              <w:pStyle w:val="12"/>
            </w:pPr>
            <w:r>
              <w:t>学员满意度</w:t>
            </w:r>
          </w:p>
        </w:tc>
        <w:tc>
          <w:tcPr>
            <w:tcW w:w="5386" w:type="dxa"/>
            <w:vAlign w:val="center"/>
          </w:tcPr>
          <w:p w14:paraId="480030D4">
            <w:pPr>
              <w:pStyle w:val="12"/>
            </w:pPr>
            <w:r>
              <w:t>学员满意情况</w:t>
            </w:r>
          </w:p>
        </w:tc>
        <w:tc>
          <w:tcPr>
            <w:tcW w:w="2268" w:type="dxa"/>
            <w:vAlign w:val="center"/>
          </w:tcPr>
          <w:p w14:paraId="012D1C25">
            <w:pPr>
              <w:pStyle w:val="12"/>
            </w:pPr>
            <w:r>
              <w:t>≥98%</w:t>
            </w:r>
          </w:p>
        </w:tc>
        <w:tc>
          <w:tcPr>
            <w:tcW w:w="1276" w:type="dxa"/>
            <w:vAlign w:val="center"/>
          </w:tcPr>
          <w:p w14:paraId="46166A81">
            <w:pPr>
              <w:pStyle w:val="12"/>
            </w:pPr>
            <w:r>
              <w:t>问卷调查</w:t>
            </w:r>
          </w:p>
        </w:tc>
      </w:tr>
    </w:tbl>
    <w:p w14:paraId="08C47EA8">
      <w:pPr>
        <w:sectPr>
          <w:pgSz w:w="16840" w:h="11900" w:orient="landscape"/>
          <w:pgMar w:top="1361" w:right="1020" w:bottom="1134" w:left="1020" w:header="720" w:footer="720" w:gutter="0"/>
          <w:cols w:space="720" w:num="1"/>
        </w:sectPr>
      </w:pPr>
    </w:p>
    <w:p w14:paraId="389BBAF0">
      <w:pPr>
        <w:spacing w:before="0" w:after="0"/>
        <w:ind w:firstLine="560"/>
        <w:jc w:val="left"/>
        <w:outlineLvl w:val="9"/>
      </w:pPr>
      <w:r>
        <w:rPr>
          <w:rFonts w:ascii="方正仿宋_GBK" w:hAnsi="方正仿宋_GBK" w:eastAsia="方正仿宋_GBK" w:cs="方正仿宋_GBK"/>
          <w:b/>
          <w:color w:val="000000"/>
          <w:sz w:val="28"/>
        </w:rPr>
        <w:t>2、教师发展中心培训费绩效目标表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A7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FE539">
            <w:pPr>
              <w:pStyle w:val="11"/>
            </w:pPr>
            <w:r>
              <w:t>单位：万元</w:t>
            </w:r>
          </w:p>
        </w:tc>
      </w:tr>
      <w:tr w14:paraId="19CF8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9BBA3">
            <w:pPr>
              <w:pStyle w:val="10"/>
            </w:pPr>
            <w:r>
              <w:t>项目编码</w:t>
            </w:r>
          </w:p>
        </w:tc>
        <w:tc>
          <w:tcPr>
            <w:tcW w:w="5103" w:type="dxa"/>
            <w:gridSpan w:val="2"/>
            <w:vAlign w:val="center"/>
          </w:tcPr>
          <w:p w14:paraId="402949E8">
            <w:pPr>
              <w:pStyle w:val="12"/>
            </w:pPr>
            <w:r>
              <w:t>13052526P008765100035</w:t>
            </w:r>
          </w:p>
        </w:tc>
        <w:tc>
          <w:tcPr>
            <w:tcW w:w="2835" w:type="dxa"/>
            <w:vAlign w:val="center"/>
          </w:tcPr>
          <w:p w14:paraId="271CA092">
            <w:pPr>
              <w:pStyle w:val="10"/>
            </w:pPr>
            <w:r>
              <w:t>项目名称</w:t>
            </w:r>
          </w:p>
        </w:tc>
        <w:tc>
          <w:tcPr>
            <w:tcW w:w="6095" w:type="dxa"/>
            <w:gridSpan w:val="3"/>
            <w:vAlign w:val="center"/>
          </w:tcPr>
          <w:p w14:paraId="15A01819">
            <w:pPr>
              <w:pStyle w:val="12"/>
            </w:pPr>
            <w:r>
              <w:t>教师发展中心培训费</w:t>
            </w:r>
          </w:p>
        </w:tc>
      </w:tr>
      <w:tr w14:paraId="1C87B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35F4D">
            <w:pPr>
              <w:pStyle w:val="10"/>
            </w:pPr>
            <w:r>
              <w:t>预算规模及资金用途</w:t>
            </w:r>
          </w:p>
        </w:tc>
        <w:tc>
          <w:tcPr>
            <w:tcW w:w="2268" w:type="dxa"/>
            <w:vAlign w:val="center"/>
          </w:tcPr>
          <w:p w14:paraId="0B876B26">
            <w:pPr>
              <w:pStyle w:val="10"/>
            </w:pPr>
            <w:r>
              <w:t>预算数</w:t>
            </w:r>
          </w:p>
        </w:tc>
        <w:tc>
          <w:tcPr>
            <w:tcW w:w="2835" w:type="dxa"/>
            <w:vAlign w:val="center"/>
          </w:tcPr>
          <w:p w14:paraId="01A1F9B0">
            <w:pPr>
              <w:pStyle w:val="12"/>
            </w:pPr>
            <w:r>
              <w:t>10.40</w:t>
            </w:r>
          </w:p>
        </w:tc>
        <w:tc>
          <w:tcPr>
            <w:tcW w:w="2835" w:type="dxa"/>
            <w:vAlign w:val="center"/>
          </w:tcPr>
          <w:p w14:paraId="4D0E33B1">
            <w:pPr>
              <w:pStyle w:val="10"/>
            </w:pPr>
            <w:r>
              <w:t>其中：财政    资金</w:t>
            </w:r>
          </w:p>
        </w:tc>
        <w:tc>
          <w:tcPr>
            <w:tcW w:w="2551" w:type="dxa"/>
            <w:vAlign w:val="center"/>
          </w:tcPr>
          <w:p w14:paraId="7490E901">
            <w:pPr>
              <w:pStyle w:val="12"/>
            </w:pPr>
            <w:r>
              <w:t>10.40</w:t>
            </w:r>
          </w:p>
        </w:tc>
        <w:tc>
          <w:tcPr>
            <w:tcW w:w="2268" w:type="dxa"/>
            <w:vAlign w:val="center"/>
          </w:tcPr>
          <w:p w14:paraId="4EBCF790">
            <w:pPr>
              <w:pStyle w:val="10"/>
            </w:pPr>
            <w:r>
              <w:t>其他资金</w:t>
            </w:r>
          </w:p>
        </w:tc>
        <w:tc>
          <w:tcPr>
            <w:tcW w:w="1276" w:type="dxa"/>
            <w:vAlign w:val="center"/>
          </w:tcPr>
          <w:p w14:paraId="65E6A63F">
            <w:pPr>
              <w:pStyle w:val="12"/>
            </w:pPr>
            <w:r>
              <w:t xml:space="preserve"> </w:t>
            </w:r>
          </w:p>
        </w:tc>
      </w:tr>
      <w:tr w14:paraId="58087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26FCA"/>
        </w:tc>
        <w:tc>
          <w:tcPr>
            <w:tcW w:w="14033" w:type="dxa"/>
            <w:gridSpan w:val="6"/>
            <w:vAlign w:val="center"/>
          </w:tcPr>
          <w:p w14:paraId="61614DA3">
            <w:pPr>
              <w:pStyle w:val="12"/>
            </w:pPr>
            <w:r>
              <w:t>用于中小学教师培训。</w:t>
            </w:r>
          </w:p>
        </w:tc>
      </w:tr>
      <w:tr w14:paraId="010E2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08DA3">
            <w:pPr>
              <w:pStyle w:val="10"/>
            </w:pPr>
            <w:r>
              <w:t>资金支出计划（%）</w:t>
            </w:r>
          </w:p>
        </w:tc>
        <w:tc>
          <w:tcPr>
            <w:tcW w:w="5103" w:type="dxa"/>
            <w:gridSpan w:val="2"/>
            <w:vAlign w:val="center"/>
          </w:tcPr>
          <w:p w14:paraId="13BEF02A">
            <w:pPr>
              <w:pStyle w:val="10"/>
            </w:pPr>
            <w:r>
              <w:t>3月底</w:t>
            </w:r>
          </w:p>
        </w:tc>
        <w:tc>
          <w:tcPr>
            <w:tcW w:w="2835" w:type="dxa"/>
            <w:vAlign w:val="center"/>
          </w:tcPr>
          <w:p w14:paraId="7477AD0C">
            <w:pPr>
              <w:pStyle w:val="10"/>
            </w:pPr>
            <w:r>
              <w:t>6月底</w:t>
            </w:r>
          </w:p>
        </w:tc>
        <w:tc>
          <w:tcPr>
            <w:tcW w:w="2551" w:type="dxa"/>
            <w:vAlign w:val="center"/>
          </w:tcPr>
          <w:p w14:paraId="16D2CCBC">
            <w:pPr>
              <w:pStyle w:val="10"/>
            </w:pPr>
            <w:r>
              <w:t>10月底</w:t>
            </w:r>
          </w:p>
        </w:tc>
        <w:tc>
          <w:tcPr>
            <w:tcW w:w="3544" w:type="dxa"/>
            <w:gridSpan w:val="2"/>
            <w:vAlign w:val="center"/>
          </w:tcPr>
          <w:p w14:paraId="6BEDD886">
            <w:pPr>
              <w:pStyle w:val="10"/>
            </w:pPr>
            <w:r>
              <w:t>12月底</w:t>
            </w:r>
          </w:p>
        </w:tc>
      </w:tr>
      <w:tr w14:paraId="35154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59322"/>
        </w:tc>
        <w:tc>
          <w:tcPr>
            <w:tcW w:w="5103" w:type="dxa"/>
            <w:gridSpan w:val="2"/>
            <w:vAlign w:val="center"/>
          </w:tcPr>
          <w:p w14:paraId="6BDF64C2">
            <w:pPr>
              <w:pStyle w:val="13"/>
            </w:pPr>
            <w:r>
              <w:t xml:space="preserve"> </w:t>
            </w:r>
          </w:p>
        </w:tc>
        <w:tc>
          <w:tcPr>
            <w:tcW w:w="2835" w:type="dxa"/>
            <w:vAlign w:val="center"/>
          </w:tcPr>
          <w:p w14:paraId="6027747C">
            <w:pPr>
              <w:pStyle w:val="13"/>
            </w:pPr>
            <w:r>
              <w:t>25%</w:t>
            </w:r>
          </w:p>
        </w:tc>
        <w:tc>
          <w:tcPr>
            <w:tcW w:w="2551" w:type="dxa"/>
            <w:vAlign w:val="center"/>
          </w:tcPr>
          <w:p w14:paraId="6AD34B5D">
            <w:pPr>
              <w:pStyle w:val="13"/>
            </w:pPr>
            <w:r>
              <w:t>75%</w:t>
            </w:r>
          </w:p>
        </w:tc>
        <w:tc>
          <w:tcPr>
            <w:tcW w:w="3544" w:type="dxa"/>
            <w:gridSpan w:val="2"/>
            <w:vAlign w:val="center"/>
          </w:tcPr>
          <w:p w14:paraId="2851D330">
            <w:pPr>
              <w:pStyle w:val="13"/>
            </w:pPr>
            <w:r>
              <w:t>100%</w:t>
            </w:r>
          </w:p>
        </w:tc>
      </w:tr>
      <w:tr w14:paraId="7D6F6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7BAA5">
            <w:pPr>
              <w:pStyle w:val="10"/>
            </w:pPr>
            <w:r>
              <w:t>绩效目标</w:t>
            </w:r>
          </w:p>
        </w:tc>
        <w:tc>
          <w:tcPr>
            <w:tcW w:w="14033" w:type="dxa"/>
            <w:gridSpan w:val="6"/>
            <w:vAlign w:val="center"/>
          </w:tcPr>
          <w:p w14:paraId="47DCBF0F">
            <w:pPr>
              <w:pStyle w:val="12"/>
            </w:pPr>
            <w:r>
              <w:t xml:space="preserve">1.预算安排教师发展中心经费10.4万元，用于中小学教师培训。 </w:t>
            </w:r>
            <w:r>
              <w:tab/>
            </w:r>
            <w:r>
              <w:tab/>
            </w:r>
            <w:r>
              <w:tab/>
            </w:r>
            <w:r>
              <w:tab/>
            </w:r>
          </w:p>
        </w:tc>
      </w:tr>
    </w:tbl>
    <w:p w14:paraId="336038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B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DB3E0">
            <w:pPr>
              <w:pStyle w:val="10"/>
            </w:pPr>
            <w:r>
              <w:t>一级指标</w:t>
            </w:r>
          </w:p>
        </w:tc>
        <w:tc>
          <w:tcPr>
            <w:tcW w:w="2268" w:type="dxa"/>
            <w:vAlign w:val="center"/>
          </w:tcPr>
          <w:p w14:paraId="20B8AE8A">
            <w:pPr>
              <w:pStyle w:val="10"/>
            </w:pPr>
            <w:r>
              <w:t>二级指标</w:t>
            </w:r>
          </w:p>
        </w:tc>
        <w:tc>
          <w:tcPr>
            <w:tcW w:w="2835" w:type="dxa"/>
            <w:vAlign w:val="center"/>
          </w:tcPr>
          <w:p w14:paraId="6E3D478D">
            <w:pPr>
              <w:pStyle w:val="10"/>
            </w:pPr>
            <w:r>
              <w:t>三级指标</w:t>
            </w:r>
          </w:p>
        </w:tc>
        <w:tc>
          <w:tcPr>
            <w:tcW w:w="5386" w:type="dxa"/>
            <w:vAlign w:val="center"/>
          </w:tcPr>
          <w:p w14:paraId="4CE8CE84">
            <w:pPr>
              <w:pStyle w:val="10"/>
            </w:pPr>
            <w:r>
              <w:t>绩效指标描述</w:t>
            </w:r>
          </w:p>
        </w:tc>
        <w:tc>
          <w:tcPr>
            <w:tcW w:w="2268" w:type="dxa"/>
            <w:vAlign w:val="center"/>
          </w:tcPr>
          <w:p w14:paraId="1FD2E06D">
            <w:pPr>
              <w:pStyle w:val="10"/>
            </w:pPr>
            <w:r>
              <w:t>指标值</w:t>
            </w:r>
          </w:p>
        </w:tc>
        <w:tc>
          <w:tcPr>
            <w:tcW w:w="1276" w:type="dxa"/>
            <w:vAlign w:val="center"/>
          </w:tcPr>
          <w:p w14:paraId="04D99998">
            <w:pPr>
              <w:pStyle w:val="10"/>
            </w:pPr>
            <w:r>
              <w:t>指标值确定依据</w:t>
            </w:r>
          </w:p>
        </w:tc>
      </w:tr>
      <w:tr w14:paraId="3853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38C73">
            <w:pPr>
              <w:pStyle w:val="13"/>
            </w:pPr>
            <w:r>
              <w:t>产出指标</w:t>
            </w:r>
          </w:p>
        </w:tc>
        <w:tc>
          <w:tcPr>
            <w:tcW w:w="2268" w:type="dxa"/>
            <w:vAlign w:val="center"/>
          </w:tcPr>
          <w:p w14:paraId="6C59AEE2">
            <w:pPr>
              <w:pStyle w:val="12"/>
            </w:pPr>
            <w:r>
              <w:t>数量指标</w:t>
            </w:r>
          </w:p>
        </w:tc>
        <w:tc>
          <w:tcPr>
            <w:tcW w:w="2835" w:type="dxa"/>
            <w:vAlign w:val="center"/>
          </w:tcPr>
          <w:p w14:paraId="015B116F">
            <w:pPr>
              <w:pStyle w:val="12"/>
            </w:pPr>
            <w:r>
              <w:t>名师工作室</w:t>
            </w:r>
          </w:p>
        </w:tc>
        <w:tc>
          <w:tcPr>
            <w:tcW w:w="5386" w:type="dxa"/>
            <w:vAlign w:val="center"/>
          </w:tcPr>
          <w:p w14:paraId="3E18520F">
            <w:pPr>
              <w:pStyle w:val="12"/>
            </w:pPr>
            <w:r>
              <w:t>名师工作室人数</w:t>
            </w:r>
          </w:p>
        </w:tc>
        <w:tc>
          <w:tcPr>
            <w:tcW w:w="2268" w:type="dxa"/>
            <w:vAlign w:val="center"/>
          </w:tcPr>
          <w:p w14:paraId="0920E59F">
            <w:pPr>
              <w:pStyle w:val="12"/>
            </w:pPr>
            <w:r>
              <w:t>≥60人</w:t>
            </w:r>
          </w:p>
        </w:tc>
        <w:tc>
          <w:tcPr>
            <w:tcW w:w="1276" w:type="dxa"/>
            <w:vAlign w:val="center"/>
          </w:tcPr>
          <w:p w14:paraId="51479F58">
            <w:pPr>
              <w:pStyle w:val="12"/>
            </w:pPr>
            <w:r>
              <w:t>中小学教师培训管理办法</w:t>
            </w:r>
          </w:p>
        </w:tc>
      </w:tr>
      <w:tr w14:paraId="202A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277CF"/>
        </w:tc>
        <w:tc>
          <w:tcPr>
            <w:tcW w:w="2268" w:type="dxa"/>
            <w:vAlign w:val="center"/>
          </w:tcPr>
          <w:p w14:paraId="5341EC38">
            <w:pPr>
              <w:pStyle w:val="12"/>
            </w:pPr>
            <w:r>
              <w:t>质量指标</w:t>
            </w:r>
          </w:p>
        </w:tc>
        <w:tc>
          <w:tcPr>
            <w:tcW w:w="2835" w:type="dxa"/>
            <w:vAlign w:val="center"/>
          </w:tcPr>
          <w:p w14:paraId="24CFD5AD">
            <w:pPr>
              <w:pStyle w:val="12"/>
            </w:pPr>
            <w:r>
              <w:t>培训任务完成情况</w:t>
            </w:r>
          </w:p>
        </w:tc>
        <w:tc>
          <w:tcPr>
            <w:tcW w:w="5386" w:type="dxa"/>
            <w:vAlign w:val="center"/>
          </w:tcPr>
          <w:p w14:paraId="62307D68">
            <w:pPr>
              <w:pStyle w:val="12"/>
            </w:pPr>
            <w:r>
              <w:t>培训任务完成率</w:t>
            </w:r>
          </w:p>
        </w:tc>
        <w:tc>
          <w:tcPr>
            <w:tcW w:w="2268" w:type="dxa"/>
            <w:vAlign w:val="center"/>
          </w:tcPr>
          <w:p w14:paraId="67209001">
            <w:pPr>
              <w:pStyle w:val="12"/>
            </w:pPr>
            <w:r>
              <w:t>≥99%</w:t>
            </w:r>
          </w:p>
        </w:tc>
        <w:tc>
          <w:tcPr>
            <w:tcW w:w="1276" w:type="dxa"/>
            <w:vAlign w:val="center"/>
          </w:tcPr>
          <w:p w14:paraId="3A971A82">
            <w:pPr>
              <w:pStyle w:val="12"/>
            </w:pPr>
            <w:r>
              <w:t>中小学教师培训管理办法</w:t>
            </w:r>
          </w:p>
        </w:tc>
      </w:tr>
      <w:tr w14:paraId="03F8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35575"/>
        </w:tc>
        <w:tc>
          <w:tcPr>
            <w:tcW w:w="2268" w:type="dxa"/>
            <w:vAlign w:val="center"/>
          </w:tcPr>
          <w:p w14:paraId="4E6D9C55">
            <w:pPr>
              <w:pStyle w:val="12"/>
            </w:pPr>
            <w:r>
              <w:t>时效指标</w:t>
            </w:r>
          </w:p>
        </w:tc>
        <w:tc>
          <w:tcPr>
            <w:tcW w:w="2835" w:type="dxa"/>
            <w:vAlign w:val="center"/>
          </w:tcPr>
          <w:p w14:paraId="01A2C469">
            <w:pPr>
              <w:pStyle w:val="12"/>
            </w:pPr>
            <w:r>
              <w:t>培训计划按期完成率</w:t>
            </w:r>
          </w:p>
        </w:tc>
        <w:tc>
          <w:tcPr>
            <w:tcW w:w="5386" w:type="dxa"/>
            <w:vAlign w:val="center"/>
          </w:tcPr>
          <w:p w14:paraId="687AB1CD">
            <w:pPr>
              <w:pStyle w:val="12"/>
            </w:pPr>
            <w:r>
              <w:t>按期完成的培训计划占总培训计划的比率</w:t>
            </w:r>
          </w:p>
        </w:tc>
        <w:tc>
          <w:tcPr>
            <w:tcW w:w="2268" w:type="dxa"/>
            <w:vAlign w:val="center"/>
          </w:tcPr>
          <w:p w14:paraId="4012CD5D">
            <w:pPr>
              <w:pStyle w:val="12"/>
            </w:pPr>
            <w:r>
              <w:t>≥95%</w:t>
            </w:r>
          </w:p>
        </w:tc>
        <w:tc>
          <w:tcPr>
            <w:tcW w:w="1276" w:type="dxa"/>
            <w:vAlign w:val="center"/>
          </w:tcPr>
          <w:p w14:paraId="43343B32">
            <w:pPr>
              <w:pStyle w:val="12"/>
            </w:pPr>
            <w:r>
              <w:t>中小学教师培训管理办法</w:t>
            </w:r>
          </w:p>
        </w:tc>
      </w:tr>
      <w:tr w14:paraId="1303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6AB9"/>
        </w:tc>
        <w:tc>
          <w:tcPr>
            <w:tcW w:w="2268" w:type="dxa"/>
            <w:vAlign w:val="center"/>
          </w:tcPr>
          <w:p w14:paraId="4AF95AA1">
            <w:pPr>
              <w:pStyle w:val="12"/>
            </w:pPr>
            <w:r>
              <w:t>成本指标</w:t>
            </w:r>
          </w:p>
        </w:tc>
        <w:tc>
          <w:tcPr>
            <w:tcW w:w="2835" w:type="dxa"/>
            <w:vAlign w:val="center"/>
          </w:tcPr>
          <w:p w14:paraId="20A4AC78">
            <w:pPr>
              <w:pStyle w:val="12"/>
            </w:pPr>
            <w:r>
              <w:t>经费投入</w:t>
            </w:r>
          </w:p>
        </w:tc>
        <w:tc>
          <w:tcPr>
            <w:tcW w:w="5386" w:type="dxa"/>
            <w:vAlign w:val="center"/>
          </w:tcPr>
          <w:p w14:paraId="78033957">
            <w:pPr>
              <w:pStyle w:val="12"/>
            </w:pPr>
            <w:r>
              <w:t>中小学继续教育教师培训费经费</w:t>
            </w:r>
          </w:p>
        </w:tc>
        <w:tc>
          <w:tcPr>
            <w:tcW w:w="2268" w:type="dxa"/>
            <w:vAlign w:val="center"/>
          </w:tcPr>
          <w:p w14:paraId="306C6EF3">
            <w:pPr>
              <w:pStyle w:val="12"/>
            </w:pPr>
            <w:r>
              <w:t>≥10.4万元</w:t>
            </w:r>
          </w:p>
        </w:tc>
        <w:tc>
          <w:tcPr>
            <w:tcW w:w="1276" w:type="dxa"/>
            <w:vAlign w:val="center"/>
          </w:tcPr>
          <w:p w14:paraId="3399DC68">
            <w:pPr>
              <w:pStyle w:val="12"/>
            </w:pPr>
            <w:r>
              <w:t>中小学教师培训管理办法</w:t>
            </w:r>
          </w:p>
        </w:tc>
      </w:tr>
      <w:tr w14:paraId="1D53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C6C06">
            <w:pPr>
              <w:pStyle w:val="13"/>
            </w:pPr>
            <w:r>
              <w:t>效益指标</w:t>
            </w:r>
          </w:p>
        </w:tc>
        <w:tc>
          <w:tcPr>
            <w:tcW w:w="2268" w:type="dxa"/>
            <w:vAlign w:val="center"/>
          </w:tcPr>
          <w:p w14:paraId="13D01A60">
            <w:pPr>
              <w:pStyle w:val="12"/>
            </w:pPr>
            <w:r>
              <w:t>经济效益指标</w:t>
            </w:r>
          </w:p>
        </w:tc>
        <w:tc>
          <w:tcPr>
            <w:tcW w:w="2835" w:type="dxa"/>
            <w:vAlign w:val="center"/>
          </w:tcPr>
          <w:p w14:paraId="2EE093D7">
            <w:pPr>
              <w:pStyle w:val="12"/>
            </w:pPr>
            <w:r>
              <w:t>参训教师合格率达标</w:t>
            </w:r>
          </w:p>
        </w:tc>
        <w:tc>
          <w:tcPr>
            <w:tcW w:w="5386" w:type="dxa"/>
            <w:vAlign w:val="center"/>
          </w:tcPr>
          <w:p w14:paraId="3A21929E">
            <w:pPr>
              <w:pStyle w:val="12"/>
            </w:pPr>
            <w:r>
              <w:t>参训教师合格率达标</w:t>
            </w:r>
          </w:p>
        </w:tc>
        <w:tc>
          <w:tcPr>
            <w:tcW w:w="2268" w:type="dxa"/>
            <w:vAlign w:val="center"/>
          </w:tcPr>
          <w:p w14:paraId="52876AA3">
            <w:pPr>
              <w:pStyle w:val="12"/>
            </w:pPr>
            <w:r>
              <w:t>100%</w:t>
            </w:r>
          </w:p>
        </w:tc>
        <w:tc>
          <w:tcPr>
            <w:tcW w:w="1276" w:type="dxa"/>
            <w:vAlign w:val="center"/>
          </w:tcPr>
          <w:p w14:paraId="435B04F8">
            <w:pPr>
              <w:pStyle w:val="12"/>
            </w:pPr>
            <w:r>
              <w:t>中小学教师培训管理办法</w:t>
            </w:r>
          </w:p>
        </w:tc>
      </w:tr>
      <w:tr w14:paraId="4538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4FD36"/>
        </w:tc>
        <w:tc>
          <w:tcPr>
            <w:tcW w:w="2268" w:type="dxa"/>
            <w:vAlign w:val="center"/>
          </w:tcPr>
          <w:p w14:paraId="7F4460FC">
            <w:pPr>
              <w:pStyle w:val="12"/>
            </w:pPr>
            <w:r>
              <w:t>社会效益指标</w:t>
            </w:r>
          </w:p>
        </w:tc>
        <w:tc>
          <w:tcPr>
            <w:tcW w:w="2835" w:type="dxa"/>
            <w:vAlign w:val="center"/>
          </w:tcPr>
          <w:p w14:paraId="781C430A">
            <w:pPr>
              <w:pStyle w:val="12"/>
            </w:pPr>
            <w:r>
              <w:t>受训学员上岗率</w:t>
            </w:r>
          </w:p>
        </w:tc>
        <w:tc>
          <w:tcPr>
            <w:tcW w:w="5386" w:type="dxa"/>
            <w:vAlign w:val="center"/>
          </w:tcPr>
          <w:p w14:paraId="49DDABD4">
            <w:pPr>
              <w:pStyle w:val="12"/>
            </w:pPr>
            <w:r>
              <w:t>业务培训后学员数量占学员总数量的比率</w:t>
            </w:r>
          </w:p>
        </w:tc>
        <w:tc>
          <w:tcPr>
            <w:tcW w:w="2268" w:type="dxa"/>
            <w:vAlign w:val="center"/>
          </w:tcPr>
          <w:p w14:paraId="2C61C64D">
            <w:pPr>
              <w:pStyle w:val="12"/>
            </w:pPr>
            <w:r>
              <w:t>≥90%</w:t>
            </w:r>
          </w:p>
        </w:tc>
        <w:tc>
          <w:tcPr>
            <w:tcW w:w="1276" w:type="dxa"/>
            <w:vAlign w:val="center"/>
          </w:tcPr>
          <w:p w14:paraId="038BE126">
            <w:pPr>
              <w:pStyle w:val="12"/>
            </w:pPr>
            <w:r>
              <w:t>中小学教师培训管理办法</w:t>
            </w:r>
          </w:p>
        </w:tc>
      </w:tr>
      <w:tr w14:paraId="4518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E1B9B"/>
        </w:tc>
        <w:tc>
          <w:tcPr>
            <w:tcW w:w="2268" w:type="dxa"/>
            <w:vAlign w:val="center"/>
          </w:tcPr>
          <w:p w14:paraId="7FEF2D85">
            <w:pPr>
              <w:pStyle w:val="12"/>
            </w:pPr>
            <w:r>
              <w:t>生态效益指标</w:t>
            </w:r>
          </w:p>
        </w:tc>
        <w:tc>
          <w:tcPr>
            <w:tcW w:w="2835" w:type="dxa"/>
            <w:vAlign w:val="center"/>
          </w:tcPr>
          <w:p w14:paraId="1AC06CB8">
            <w:pPr>
              <w:pStyle w:val="12"/>
            </w:pPr>
            <w:r>
              <w:t>教育师资环境</w:t>
            </w:r>
          </w:p>
        </w:tc>
        <w:tc>
          <w:tcPr>
            <w:tcW w:w="5386" w:type="dxa"/>
            <w:vAlign w:val="center"/>
          </w:tcPr>
          <w:p w14:paraId="2660A8A5">
            <w:pPr>
              <w:pStyle w:val="12"/>
            </w:pPr>
            <w:r>
              <w:t>教育师资环境有所改善</w:t>
            </w:r>
          </w:p>
        </w:tc>
        <w:tc>
          <w:tcPr>
            <w:tcW w:w="2268" w:type="dxa"/>
            <w:vAlign w:val="center"/>
          </w:tcPr>
          <w:p w14:paraId="10377804">
            <w:pPr>
              <w:pStyle w:val="12"/>
            </w:pPr>
            <w:r>
              <w:t>≥95%</w:t>
            </w:r>
          </w:p>
        </w:tc>
        <w:tc>
          <w:tcPr>
            <w:tcW w:w="1276" w:type="dxa"/>
            <w:vAlign w:val="center"/>
          </w:tcPr>
          <w:p w14:paraId="0BFC0B47">
            <w:pPr>
              <w:pStyle w:val="12"/>
            </w:pPr>
            <w:r>
              <w:t>中小学教师培训管理办法</w:t>
            </w:r>
          </w:p>
        </w:tc>
      </w:tr>
      <w:tr w14:paraId="5744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CEDA2"/>
        </w:tc>
        <w:tc>
          <w:tcPr>
            <w:tcW w:w="2268" w:type="dxa"/>
            <w:vAlign w:val="center"/>
          </w:tcPr>
          <w:p w14:paraId="062CA80F">
            <w:pPr>
              <w:pStyle w:val="12"/>
            </w:pPr>
            <w:r>
              <w:t>可持续影响指标</w:t>
            </w:r>
          </w:p>
        </w:tc>
        <w:tc>
          <w:tcPr>
            <w:tcW w:w="2835" w:type="dxa"/>
            <w:vAlign w:val="center"/>
          </w:tcPr>
          <w:p w14:paraId="2757C692">
            <w:pPr>
              <w:pStyle w:val="12"/>
            </w:pPr>
            <w:r>
              <w:t>激励教师工作积极性</w:t>
            </w:r>
          </w:p>
        </w:tc>
        <w:tc>
          <w:tcPr>
            <w:tcW w:w="5386" w:type="dxa"/>
            <w:vAlign w:val="center"/>
          </w:tcPr>
          <w:p w14:paraId="188BF7A8">
            <w:pPr>
              <w:pStyle w:val="12"/>
            </w:pPr>
            <w:r>
              <w:t>提升教师在教育教学工作的积极性</w:t>
            </w:r>
          </w:p>
        </w:tc>
        <w:tc>
          <w:tcPr>
            <w:tcW w:w="2268" w:type="dxa"/>
            <w:vAlign w:val="center"/>
          </w:tcPr>
          <w:p w14:paraId="50D38658">
            <w:pPr>
              <w:pStyle w:val="12"/>
            </w:pPr>
            <w:r>
              <w:t>≥98%</w:t>
            </w:r>
          </w:p>
        </w:tc>
        <w:tc>
          <w:tcPr>
            <w:tcW w:w="1276" w:type="dxa"/>
            <w:vAlign w:val="center"/>
          </w:tcPr>
          <w:p w14:paraId="6FA3B740">
            <w:pPr>
              <w:pStyle w:val="12"/>
            </w:pPr>
            <w:r>
              <w:t>中小学教师培训管理办法</w:t>
            </w:r>
          </w:p>
        </w:tc>
      </w:tr>
      <w:tr w14:paraId="7E7A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5713B">
            <w:pPr>
              <w:pStyle w:val="13"/>
            </w:pPr>
            <w:r>
              <w:t>满意度指标</w:t>
            </w:r>
          </w:p>
        </w:tc>
        <w:tc>
          <w:tcPr>
            <w:tcW w:w="2268" w:type="dxa"/>
            <w:vAlign w:val="center"/>
          </w:tcPr>
          <w:p w14:paraId="461F8860">
            <w:pPr>
              <w:pStyle w:val="12"/>
            </w:pPr>
            <w:r>
              <w:t>服务对象满意度指标</w:t>
            </w:r>
          </w:p>
        </w:tc>
        <w:tc>
          <w:tcPr>
            <w:tcW w:w="2835" w:type="dxa"/>
            <w:vAlign w:val="center"/>
          </w:tcPr>
          <w:p w14:paraId="64C9E288">
            <w:pPr>
              <w:pStyle w:val="12"/>
            </w:pPr>
            <w:r>
              <w:t>培训教师满意度</w:t>
            </w:r>
          </w:p>
        </w:tc>
        <w:tc>
          <w:tcPr>
            <w:tcW w:w="5386" w:type="dxa"/>
            <w:vAlign w:val="center"/>
          </w:tcPr>
          <w:p w14:paraId="7C49B69C">
            <w:pPr>
              <w:pStyle w:val="12"/>
            </w:pPr>
            <w:r>
              <w:t>培训教师满意度</w:t>
            </w:r>
          </w:p>
        </w:tc>
        <w:tc>
          <w:tcPr>
            <w:tcW w:w="2268" w:type="dxa"/>
            <w:vAlign w:val="center"/>
          </w:tcPr>
          <w:p w14:paraId="49AD7B90">
            <w:pPr>
              <w:pStyle w:val="12"/>
            </w:pPr>
            <w:r>
              <w:t>≥98%</w:t>
            </w:r>
          </w:p>
        </w:tc>
        <w:tc>
          <w:tcPr>
            <w:tcW w:w="1276" w:type="dxa"/>
            <w:vAlign w:val="center"/>
          </w:tcPr>
          <w:p w14:paraId="4F3E4339">
            <w:pPr>
              <w:pStyle w:val="12"/>
            </w:pPr>
            <w:r>
              <w:t>问卷调查</w:t>
            </w:r>
          </w:p>
        </w:tc>
      </w:tr>
    </w:tbl>
    <w:p w14:paraId="0E75B29C">
      <w:pPr>
        <w:sectPr>
          <w:pgSz w:w="16840" w:h="11900" w:orient="landscape"/>
          <w:pgMar w:top="1361" w:right="1020" w:bottom="1134" w:left="1020" w:header="720" w:footer="720" w:gutter="0"/>
          <w:cols w:space="720" w:num="1"/>
        </w:sectPr>
      </w:pPr>
    </w:p>
    <w:p w14:paraId="40FAA6C3">
      <w:pPr>
        <w:spacing w:before="0" w:after="0"/>
        <w:ind w:firstLine="560"/>
        <w:jc w:val="left"/>
        <w:outlineLvl w:val="9"/>
      </w:pPr>
      <w:r>
        <w:rPr>
          <w:rFonts w:ascii="方正仿宋_GBK" w:hAnsi="方正仿宋_GBK" w:eastAsia="方正仿宋_GBK" w:cs="方正仿宋_GBK"/>
          <w:b/>
          <w:color w:val="000000"/>
          <w:sz w:val="28"/>
        </w:rPr>
        <w:t>3、中小学继续教育培训费/教师发展中心绩效目标表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F9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A9A4D">
            <w:pPr>
              <w:pStyle w:val="11"/>
            </w:pPr>
            <w:r>
              <w:t>单位：万元</w:t>
            </w:r>
          </w:p>
        </w:tc>
      </w:tr>
      <w:tr w14:paraId="0D53C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F03D3">
            <w:pPr>
              <w:pStyle w:val="10"/>
            </w:pPr>
            <w:r>
              <w:t>项目编码</w:t>
            </w:r>
          </w:p>
        </w:tc>
        <w:tc>
          <w:tcPr>
            <w:tcW w:w="5103" w:type="dxa"/>
            <w:gridSpan w:val="2"/>
            <w:vAlign w:val="center"/>
          </w:tcPr>
          <w:p w14:paraId="1F602CBB">
            <w:pPr>
              <w:pStyle w:val="12"/>
            </w:pPr>
            <w:r>
              <w:t>13052526P00000210048F</w:t>
            </w:r>
          </w:p>
        </w:tc>
        <w:tc>
          <w:tcPr>
            <w:tcW w:w="2835" w:type="dxa"/>
            <w:vAlign w:val="center"/>
          </w:tcPr>
          <w:p w14:paraId="739F152B">
            <w:pPr>
              <w:pStyle w:val="10"/>
            </w:pPr>
            <w:r>
              <w:t>项目名称</w:t>
            </w:r>
          </w:p>
        </w:tc>
        <w:tc>
          <w:tcPr>
            <w:tcW w:w="6095" w:type="dxa"/>
            <w:gridSpan w:val="3"/>
            <w:vAlign w:val="center"/>
          </w:tcPr>
          <w:p w14:paraId="43CD39E2">
            <w:pPr>
              <w:pStyle w:val="12"/>
            </w:pPr>
            <w:r>
              <w:t>中小学继续教育培训费/教师发展中心</w:t>
            </w:r>
          </w:p>
        </w:tc>
      </w:tr>
      <w:tr w14:paraId="04582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A9D72">
            <w:pPr>
              <w:pStyle w:val="10"/>
            </w:pPr>
            <w:r>
              <w:t>预算规模及资金用途</w:t>
            </w:r>
          </w:p>
        </w:tc>
        <w:tc>
          <w:tcPr>
            <w:tcW w:w="2268" w:type="dxa"/>
            <w:vAlign w:val="center"/>
          </w:tcPr>
          <w:p w14:paraId="00E0635E">
            <w:pPr>
              <w:pStyle w:val="10"/>
            </w:pPr>
            <w:r>
              <w:t>预算数</w:t>
            </w:r>
          </w:p>
        </w:tc>
        <w:tc>
          <w:tcPr>
            <w:tcW w:w="2835" w:type="dxa"/>
            <w:vAlign w:val="center"/>
          </w:tcPr>
          <w:p w14:paraId="4CBBA2FE">
            <w:pPr>
              <w:pStyle w:val="12"/>
            </w:pPr>
            <w:r>
              <w:t>60.00</w:t>
            </w:r>
          </w:p>
        </w:tc>
        <w:tc>
          <w:tcPr>
            <w:tcW w:w="2835" w:type="dxa"/>
            <w:vAlign w:val="center"/>
          </w:tcPr>
          <w:p w14:paraId="3A651895">
            <w:pPr>
              <w:pStyle w:val="10"/>
            </w:pPr>
            <w:r>
              <w:t>其中：财政    资金</w:t>
            </w:r>
          </w:p>
        </w:tc>
        <w:tc>
          <w:tcPr>
            <w:tcW w:w="2551" w:type="dxa"/>
            <w:vAlign w:val="center"/>
          </w:tcPr>
          <w:p w14:paraId="5732BB20">
            <w:pPr>
              <w:pStyle w:val="12"/>
            </w:pPr>
            <w:r>
              <w:t>60.00</w:t>
            </w:r>
          </w:p>
        </w:tc>
        <w:tc>
          <w:tcPr>
            <w:tcW w:w="2268" w:type="dxa"/>
            <w:vAlign w:val="center"/>
          </w:tcPr>
          <w:p w14:paraId="59A988BC">
            <w:pPr>
              <w:pStyle w:val="10"/>
            </w:pPr>
            <w:r>
              <w:t>其他资金</w:t>
            </w:r>
          </w:p>
        </w:tc>
        <w:tc>
          <w:tcPr>
            <w:tcW w:w="1276" w:type="dxa"/>
            <w:vAlign w:val="center"/>
          </w:tcPr>
          <w:p w14:paraId="5CB4B2FD">
            <w:pPr>
              <w:pStyle w:val="12"/>
            </w:pPr>
            <w:r>
              <w:t xml:space="preserve"> </w:t>
            </w:r>
          </w:p>
        </w:tc>
      </w:tr>
      <w:tr w14:paraId="4FE2AF2F">
        <w:tblPrEx>
          <w:tblCellMar>
            <w:top w:w="0" w:type="dxa"/>
            <w:left w:w="108" w:type="dxa"/>
            <w:bottom w:w="0" w:type="dxa"/>
            <w:right w:w="108" w:type="dxa"/>
          </w:tblCellMar>
        </w:tblPrEx>
        <w:trPr>
          <w:trHeight w:val="369" w:hRule="atLeast"/>
          <w:jc w:val="center"/>
        </w:trPr>
        <w:tc>
          <w:tcPr>
            <w:tcW w:w="1276" w:type="dxa"/>
            <w:vMerge w:val="continue"/>
          </w:tcPr>
          <w:p w14:paraId="1D4453B7"/>
        </w:tc>
        <w:tc>
          <w:tcPr>
            <w:tcW w:w="14033" w:type="dxa"/>
            <w:gridSpan w:val="6"/>
            <w:vAlign w:val="center"/>
          </w:tcPr>
          <w:p w14:paraId="6A7354E3">
            <w:pPr>
              <w:pStyle w:val="12"/>
            </w:pPr>
            <w:r>
              <w:t>用于教师培训。</w:t>
            </w:r>
          </w:p>
        </w:tc>
      </w:tr>
      <w:tr w14:paraId="09D40AB5">
        <w:tblPrEx>
          <w:tblCellMar>
            <w:top w:w="0" w:type="dxa"/>
            <w:left w:w="108" w:type="dxa"/>
            <w:bottom w:w="0" w:type="dxa"/>
            <w:right w:w="108" w:type="dxa"/>
          </w:tblCellMar>
        </w:tblPrEx>
        <w:trPr>
          <w:trHeight w:val="369" w:hRule="atLeast"/>
          <w:jc w:val="center"/>
        </w:trPr>
        <w:tc>
          <w:tcPr>
            <w:tcW w:w="1276" w:type="dxa"/>
            <w:vMerge w:val="restart"/>
            <w:vAlign w:val="center"/>
          </w:tcPr>
          <w:p w14:paraId="554EF2E4">
            <w:pPr>
              <w:pStyle w:val="10"/>
            </w:pPr>
            <w:r>
              <w:t>资金支出计划（%）</w:t>
            </w:r>
          </w:p>
        </w:tc>
        <w:tc>
          <w:tcPr>
            <w:tcW w:w="5103" w:type="dxa"/>
            <w:gridSpan w:val="2"/>
            <w:vAlign w:val="center"/>
          </w:tcPr>
          <w:p w14:paraId="30B3C76D">
            <w:pPr>
              <w:pStyle w:val="10"/>
            </w:pPr>
            <w:r>
              <w:t>3月底</w:t>
            </w:r>
          </w:p>
        </w:tc>
        <w:tc>
          <w:tcPr>
            <w:tcW w:w="2835" w:type="dxa"/>
            <w:vAlign w:val="center"/>
          </w:tcPr>
          <w:p w14:paraId="1475CCBD">
            <w:pPr>
              <w:pStyle w:val="10"/>
            </w:pPr>
            <w:r>
              <w:t>6月底</w:t>
            </w:r>
          </w:p>
        </w:tc>
        <w:tc>
          <w:tcPr>
            <w:tcW w:w="2551" w:type="dxa"/>
            <w:vAlign w:val="center"/>
          </w:tcPr>
          <w:p w14:paraId="4A051D8C">
            <w:pPr>
              <w:pStyle w:val="10"/>
            </w:pPr>
            <w:r>
              <w:t>10月底</w:t>
            </w:r>
          </w:p>
        </w:tc>
        <w:tc>
          <w:tcPr>
            <w:tcW w:w="3544" w:type="dxa"/>
            <w:gridSpan w:val="2"/>
            <w:vAlign w:val="center"/>
          </w:tcPr>
          <w:p w14:paraId="1F5F5BD4">
            <w:pPr>
              <w:pStyle w:val="10"/>
            </w:pPr>
            <w:r>
              <w:t>12月底</w:t>
            </w:r>
          </w:p>
        </w:tc>
      </w:tr>
      <w:tr w14:paraId="3A8E4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86F10"/>
        </w:tc>
        <w:tc>
          <w:tcPr>
            <w:tcW w:w="5103" w:type="dxa"/>
            <w:gridSpan w:val="2"/>
            <w:vAlign w:val="center"/>
          </w:tcPr>
          <w:p w14:paraId="737535E9">
            <w:pPr>
              <w:pStyle w:val="13"/>
            </w:pPr>
            <w:r>
              <w:t xml:space="preserve"> </w:t>
            </w:r>
          </w:p>
        </w:tc>
        <w:tc>
          <w:tcPr>
            <w:tcW w:w="2835" w:type="dxa"/>
            <w:vAlign w:val="center"/>
          </w:tcPr>
          <w:p w14:paraId="1FC8C86A">
            <w:pPr>
              <w:pStyle w:val="13"/>
            </w:pPr>
            <w:r>
              <w:t xml:space="preserve"> </w:t>
            </w:r>
          </w:p>
        </w:tc>
        <w:tc>
          <w:tcPr>
            <w:tcW w:w="2551" w:type="dxa"/>
            <w:vAlign w:val="center"/>
          </w:tcPr>
          <w:p w14:paraId="2E6FE9F8">
            <w:pPr>
              <w:pStyle w:val="13"/>
            </w:pPr>
            <w:r>
              <w:t>50%</w:t>
            </w:r>
          </w:p>
        </w:tc>
        <w:tc>
          <w:tcPr>
            <w:tcW w:w="3544" w:type="dxa"/>
            <w:gridSpan w:val="2"/>
            <w:vAlign w:val="center"/>
          </w:tcPr>
          <w:p w14:paraId="6242642C">
            <w:pPr>
              <w:pStyle w:val="13"/>
            </w:pPr>
            <w:r>
              <w:t>100%</w:t>
            </w:r>
          </w:p>
        </w:tc>
      </w:tr>
      <w:tr w14:paraId="054DF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7C07F">
            <w:pPr>
              <w:pStyle w:val="10"/>
            </w:pPr>
            <w:r>
              <w:t>绩效目标</w:t>
            </w:r>
          </w:p>
        </w:tc>
        <w:tc>
          <w:tcPr>
            <w:tcW w:w="14033" w:type="dxa"/>
            <w:gridSpan w:val="6"/>
            <w:vAlign w:val="center"/>
          </w:tcPr>
          <w:p w14:paraId="10960AFB">
            <w:pPr>
              <w:pStyle w:val="12"/>
            </w:pPr>
            <w:r>
              <w:t>1.预算安排中小学继续教育培训费60万元，用于教师培训。</w:t>
            </w:r>
          </w:p>
        </w:tc>
      </w:tr>
    </w:tbl>
    <w:p w14:paraId="3E3EBF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B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7892E">
            <w:pPr>
              <w:pStyle w:val="10"/>
            </w:pPr>
            <w:r>
              <w:t>一级指标</w:t>
            </w:r>
          </w:p>
        </w:tc>
        <w:tc>
          <w:tcPr>
            <w:tcW w:w="2268" w:type="dxa"/>
            <w:vAlign w:val="center"/>
          </w:tcPr>
          <w:p w14:paraId="6405B6F7">
            <w:pPr>
              <w:pStyle w:val="10"/>
            </w:pPr>
            <w:r>
              <w:t>二级指标</w:t>
            </w:r>
          </w:p>
        </w:tc>
        <w:tc>
          <w:tcPr>
            <w:tcW w:w="2835" w:type="dxa"/>
            <w:vAlign w:val="center"/>
          </w:tcPr>
          <w:p w14:paraId="4125BF79">
            <w:pPr>
              <w:pStyle w:val="10"/>
            </w:pPr>
            <w:r>
              <w:t>三级指标</w:t>
            </w:r>
          </w:p>
        </w:tc>
        <w:tc>
          <w:tcPr>
            <w:tcW w:w="5386" w:type="dxa"/>
            <w:vAlign w:val="center"/>
          </w:tcPr>
          <w:p w14:paraId="3562D2CF">
            <w:pPr>
              <w:pStyle w:val="10"/>
            </w:pPr>
            <w:r>
              <w:t>绩效指标描述</w:t>
            </w:r>
          </w:p>
        </w:tc>
        <w:tc>
          <w:tcPr>
            <w:tcW w:w="2268" w:type="dxa"/>
            <w:vAlign w:val="center"/>
          </w:tcPr>
          <w:p w14:paraId="36FA5633">
            <w:pPr>
              <w:pStyle w:val="10"/>
            </w:pPr>
            <w:r>
              <w:t>指标值</w:t>
            </w:r>
          </w:p>
        </w:tc>
        <w:tc>
          <w:tcPr>
            <w:tcW w:w="1276" w:type="dxa"/>
            <w:vAlign w:val="center"/>
          </w:tcPr>
          <w:p w14:paraId="5B1CEAB2">
            <w:pPr>
              <w:pStyle w:val="10"/>
            </w:pPr>
            <w:r>
              <w:t>指标值确定依据</w:t>
            </w:r>
          </w:p>
        </w:tc>
      </w:tr>
      <w:tr w14:paraId="55D17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ACC6D">
            <w:pPr>
              <w:pStyle w:val="13"/>
            </w:pPr>
            <w:r>
              <w:t>产出指标</w:t>
            </w:r>
          </w:p>
        </w:tc>
        <w:tc>
          <w:tcPr>
            <w:tcW w:w="2268" w:type="dxa"/>
            <w:vAlign w:val="center"/>
          </w:tcPr>
          <w:p w14:paraId="17CEDD1F">
            <w:pPr>
              <w:pStyle w:val="12"/>
            </w:pPr>
            <w:r>
              <w:t>数量指标</w:t>
            </w:r>
          </w:p>
        </w:tc>
        <w:tc>
          <w:tcPr>
            <w:tcW w:w="2835" w:type="dxa"/>
            <w:vAlign w:val="center"/>
          </w:tcPr>
          <w:p w14:paraId="58BAC110">
            <w:pPr>
              <w:pStyle w:val="12"/>
            </w:pPr>
            <w:r>
              <w:t>名师工作室</w:t>
            </w:r>
          </w:p>
        </w:tc>
        <w:tc>
          <w:tcPr>
            <w:tcW w:w="5386" w:type="dxa"/>
            <w:vAlign w:val="center"/>
          </w:tcPr>
          <w:p w14:paraId="58B8E582">
            <w:pPr>
              <w:pStyle w:val="12"/>
            </w:pPr>
            <w:r>
              <w:t>名师工作室人数</w:t>
            </w:r>
          </w:p>
        </w:tc>
        <w:tc>
          <w:tcPr>
            <w:tcW w:w="2268" w:type="dxa"/>
            <w:vAlign w:val="center"/>
          </w:tcPr>
          <w:p w14:paraId="7F9E16CD">
            <w:pPr>
              <w:pStyle w:val="12"/>
            </w:pPr>
            <w:r>
              <w:t>≥60人</w:t>
            </w:r>
          </w:p>
        </w:tc>
        <w:tc>
          <w:tcPr>
            <w:tcW w:w="1276" w:type="dxa"/>
            <w:vAlign w:val="center"/>
          </w:tcPr>
          <w:p w14:paraId="3AB32CF0">
            <w:pPr>
              <w:pStyle w:val="12"/>
            </w:pPr>
            <w:r>
              <w:t>中小学教师培训管理办法</w:t>
            </w:r>
          </w:p>
        </w:tc>
      </w:tr>
      <w:tr w14:paraId="4FF1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824F3"/>
        </w:tc>
        <w:tc>
          <w:tcPr>
            <w:tcW w:w="2268" w:type="dxa"/>
            <w:vAlign w:val="center"/>
          </w:tcPr>
          <w:p w14:paraId="344138BE">
            <w:pPr>
              <w:pStyle w:val="12"/>
            </w:pPr>
            <w:r>
              <w:t>质量指标</w:t>
            </w:r>
          </w:p>
        </w:tc>
        <w:tc>
          <w:tcPr>
            <w:tcW w:w="2835" w:type="dxa"/>
            <w:vAlign w:val="center"/>
          </w:tcPr>
          <w:p w14:paraId="2271F23A">
            <w:pPr>
              <w:pStyle w:val="12"/>
            </w:pPr>
            <w:r>
              <w:t>培训任务完成情况</w:t>
            </w:r>
          </w:p>
        </w:tc>
        <w:tc>
          <w:tcPr>
            <w:tcW w:w="5386" w:type="dxa"/>
            <w:vAlign w:val="center"/>
          </w:tcPr>
          <w:p w14:paraId="54FA5D0B">
            <w:pPr>
              <w:pStyle w:val="12"/>
            </w:pPr>
            <w:r>
              <w:t>培训任务完成率</w:t>
            </w:r>
          </w:p>
        </w:tc>
        <w:tc>
          <w:tcPr>
            <w:tcW w:w="2268" w:type="dxa"/>
            <w:vAlign w:val="center"/>
          </w:tcPr>
          <w:p w14:paraId="1DA3DEB2">
            <w:pPr>
              <w:pStyle w:val="12"/>
            </w:pPr>
            <w:r>
              <w:t>≥99%</w:t>
            </w:r>
          </w:p>
        </w:tc>
        <w:tc>
          <w:tcPr>
            <w:tcW w:w="1276" w:type="dxa"/>
            <w:vAlign w:val="center"/>
          </w:tcPr>
          <w:p w14:paraId="312B64B7">
            <w:pPr>
              <w:pStyle w:val="12"/>
            </w:pPr>
            <w:r>
              <w:t>中小学教师培训管理办法</w:t>
            </w:r>
          </w:p>
        </w:tc>
      </w:tr>
      <w:tr w14:paraId="578E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622B7"/>
        </w:tc>
        <w:tc>
          <w:tcPr>
            <w:tcW w:w="2268" w:type="dxa"/>
            <w:vAlign w:val="center"/>
          </w:tcPr>
          <w:p w14:paraId="687D3EBC">
            <w:pPr>
              <w:pStyle w:val="12"/>
            </w:pPr>
            <w:r>
              <w:t>时效指标</w:t>
            </w:r>
          </w:p>
        </w:tc>
        <w:tc>
          <w:tcPr>
            <w:tcW w:w="2835" w:type="dxa"/>
            <w:vAlign w:val="center"/>
          </w:tcPr>
          <w:p w14:paraId="50254F25">
            <w:pPr>
              <w:pStyle w:val="12"/>
            </w:pPr>
            <w:r>
              <w:t>培训计划按期完成率</w:t>
            </w:r>
          </w:p>
        </w:tc>
        <w:tc>
          <w:tcPr>
            <w:tcW w:w="5386" w:type="dxa"/>
            <w:vAlign w:val="center"/>
          </w:tcPr>
          <w:p w14:paraId="2BD001D2">
            <w:pPr>
              <w:pStyle w:val="12"/>
            </w:pPr>
            <w:r>
              <w:t>按期完成的培训计划占总培训计划的比率</w:t>
            </w:r>
          </w:p>
        </w:tc>
        <w:tc>
          <w:tcPr>
            <w:tcW w:w="2268" w:type="dxa"/>
            <w:vAlign w:val="center"/>
          </w:tcPr>
          <w:p w14:paraId="68545590">
            <w:pPr>
              <w:pStyle w:val="12"/>
            </w:pPr>
            <w:r>
              <w:t>≥95%</w:t>
            </w:r>
          </w:p>
        </w:tc>
        <w:tc>
          <w:tcPr>
            <w:tcW w:w="1276" w:type="dxa"/>
            <w:vAlign w:val="center"/>
          </w:tcPr>
          <w:p w14:paraId="1BF8497C">
            <w:pPr>
              <w:pStyle w:val="12"/>
            </w:pPr>
            <w:r>
              <w:t>中小学教师培训管理办法</w:t>
            </w:r>
          </w:p>
        </w:tc>
      </w:tr>
      <w:tr w14:paraId="2433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97A31"/>
        </w:tc>
        <w:tc>
          <w:tcPr>
            <w:tcW w:w="2268" w:type="dxa"/>
            <w:vAlign w:val="center"/>
          </w:tcPr>
          <w:p w14:paraId="13B84739">
            <w:pPr>
              <w:pStyle w:val="12"/>
            </w:pPr>
            <w:r>
              <w:t>成本指标</w:t>
            </w:r>
          </w:p>
        </w:tc>
        <w:tc>
          <w:tcPr>
            <w:tcW w:w="2835" w:type="dxa"/>
            <w:vAlign w:val="center"/>
          </w:tcPr>
          <w:p w14:paraId="530F21A0">
            <w:pPr>
              <w:pStyle w:val="12"/>
            </w:pPr>
            <w:r>
              <w:t>经费投入</w:t>
            </w:r>
          </w:p>
        </w:tc>
        <w:tc>
          <w:tcPr>
            <w:tcW w:w="5386" w:type="dxa"/>
            <w:vAlign w:val="center"/>
          </w:tcPr>
          <w:p w14:paraId="2DC25DD3">
            <w:pPr>
              <w:pStyle w:val="12"/>
            </w:pPr>
            <w:r>
              <w:t>中小学继续教育教师培训费经费</w:t>
            </w:r>
          </w:p>
        </w:tc>
        <w:tc>
          <w:tcPr>
            <w:tcW w:w="2268" w:type="dxa"/>
            <w:vAlign w:val="center"/>
          </w:tcPr>
          <w:p w14:paraId="6081FF4D">
            <w:pPr>
              <w:pStyle w:val="12"/>
            </w:pPr>
            <w:r>
              <w:t>≥60万元</w:t>
            </w:r>
          </w:p>
        </w:tc>
        <w:tc>
          <w:tcPr>
            <w:tcW w:w="1276" w:type="dxa"/>
            <w:vAlign w:val="center"/>
          </w:tcPr>
          <w:p w14:paraId="0C2649AB">
            <w:pPr>
              <w:pStyle w:val="12"/>
            </w:pPr>
            <w:r>
              <w:t>中小学教师培训管理办法</w:t>
            </w:r>
          </w:p>
        </w:tc>
      </w:tr>
      <w:tr w14:paraId="72937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DDEB0">
            <w:pPr>
              <w:pStyle w:val="13"/>
            </w:pPr>
            <w:r>
              <w:t>效益指标</w:t>
            </w:r>
          </w:p>
        </w:tc>
        <w:tc>
          <w:tcPr>
            <w:tcW w:w="2268" w:type="dxa"/>
            <w:vAlign w:val="center"/>
          </w:tcPr>
          <w:p w14:paraId="27917EE5">
            <w:pPr>
              <w:pStyle w:val="12"/>
            </w:pPr>
            <w:r>
              <w:t>经济效益指标</w:t>
            </w:r>
          </w:p>
        </w:tc>
        <w:tc>
          <w:tcPr>
            <w:tcW w:w="2835" w:type="dxa"/>
            <w:vAlign w:val="center"/>
          </w:tcPr>
          <w:p w14:paraId="74EE7D13">
            <w:pPr>
              <w:pStyle w:val="12"/>
            </w:pPr>
            <w:r>
              <w:t>参训教师合格率达标</w:t>
            </w:r>
          </w:p>
        </w:tc>
        <w:tc>
          <w:tcPr>
            <w:tcW w:w="5386" w:type="dxa"/>
            <w:vAlign w:val="center"/>
          </w:tcPr>
          <w:p w14:paraId="060AD33F">
            <w:pPr>
              <w:pStyle w:val="12"/>
            </w:pPr>
            <w:r>
              <w:t>参训教师合格率达标</w:t>
            </w:r>
          </w:p>
        </w:tc>
        <w:tc>
          <w:tcPr>
            <w:tcW w:w="2268" w:type="dxa"/>
            <w:vAlign w:val="center"/>
          </w:tcPr>
          <w:p w14:paraId="51D67526">
            <w:pPr>
              <w:pStyle w:val="12"/>
            </w:pPr>
            <w:r>
              <w:t>100%</w:t>
            </w:r>
          </w:p>
        </w:tc>
        <w:tc>
          <w:tcPr>
            <w:tcW w:w="1276" w:type="dxa"/>
            <w:vAlign w:val="center"/>
          </w:tcPr>
          <w:p w14:paraId="30334FF2">
            <w:pPr>
              <w:pStyle w:val="12"/>
            </w:pPr>
            <w:r>
              <w:t>中小学教师培训管理办法</w:t>
            </w:r>
          </w:p>
        </w:tc>
      </w:tr>
      <w:tr w14:paraId="00C6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B4BBB"/>
        </w:tc>
        <w:tc>
          <w:tcPr>
            <w:tcW w:w="2268" w:type="dxa"/>
            <w:vAlign w:val="center"/>
          </w:tcPr>
          <w:p w14:paraId="372B41F8">
            <w:pPr>
              <w:pStyle w:val="12"/>
            </w:pPr>
            <w:r>
              <w:t>社会效益指标</w:t>
            </w:r>
          </w:p>
        </w:tc>
        <w:tc>
          <w:tcPr>
            <w:tcW w:w="2835" w:type="dxa"/>
            <w:vAlign w:val="center"/>
          </w:tcPr>
          <w:p w14:paraId="659D4560">
            <w:pPr>
              <w:pStyle w:val="12"/>
            </w:pPr>
            <w:r>
              <w:t>受训学员上岗率</w:t>
            </w:r>
          </w:p>
        </w:tc>
        <w:tc>
          <w:tcPr>
            <w:tcW w:w="5386" w:type="dxa"/>
            <w:vAlign w:val="center"/>
          </w:tcPr>
          <w:p w14:paraId="178C0490">
            <w:pPr>
              <w:pStyle w:val="12"/>
            </w:pPr>
            <w:r>
              <w:t>业务培训后学员数量占学员总数量的比率</w:t>
            </w:r>
          </w:p>
        </w:tc>
        <w:tc>
          <w:tcPr>
            <w:tcW w:w="2268" w:type="dxa"/>
            <w:vAlign w:val="center"/>
          </w:tcPr>
          <w:p w14:paraId="2AD6A63F">
            <w:pPr>
              <w:pStyle w:val="12"/>
            </w:pPr>
            <w:r>
              <w:t>≥90%</w:t>
            </w:r>
          </w:p>
        </w:tc>
        <w:tc>
          <w:tcPr>
            <w:tcW w:w="1276" w:type="dxa"/>
            <w:vAlign w:val="center"/>
          </w:tcPr>
          <w:p w14:paraId="79C36A76">
            <w:pPr>
              <w:pStyle w:val="12"/>
            </w:pPr>
            <w:r>
              <w:t>中小学教师培训管理办法</w:t>
            </w:r>
          </w:p>
        </w:tc>
      </w:tr>
      <w:tr w14:paraId="128F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C45AD"/>
        </w:tc>
        <w:tc>
          <w:tcPr>
            <w:tcW w:w="2268" w:type="dxa"/>
            <w:vAlign w:val="center"/>
          </w:tcPr>
          <w:p w14:paraId="2E6D3B70">
            <w:pPr>
              <w:pStyle w:val="12"/>
            </w:pPr>
            <w:r>
              <w:t>生态效益指标</w:t>
            </w:r>
          </w:p>
        </w:tc>
        <w:tc>
          <w:tcPr>
            <w:tcW w:w="2835" w:type="dxa"/>
            <w:vAlign w:val="center"/>
          </w:tcPr>
          <w:p w14:paraId="681D0F92">
            <w:pPr>
              <w:pStyle w:val="12"/>
            </w:pPr>
            <w:r>
              <w:t>教育师资环境</w:t>
            </w:r>
          </w:p>
        </w:tc>
        <w:tc>
          <w:tcPr>
            <w:tcW w:w="5386" w:type="dxa"/>
            <w:vAlign w:val="center"/>
          </w:tcPr>
          <w:p w14:paraId="709E529E">
            <w:pPr>
              <w:pStyle w:val="12"/>
            </w:pPr>
            <w:r>
              <w:t>教育师资环境有所改善</w:t>
            </w:r>
          </w:p>
        </w:tc>
        <w:tc>
          <w:tcPr>
            <w:tcW w:w="2268" w:type="dxa"/>
            <w:vAlign w:val="center"/>
          </w:tcPr>
          <w:p w14:paraId="4A969696">
            <w:pPr>
              <w:pStyle w:val="12"/>
            </w:pPr>
            <w:r>
              <w:t>≥95%</w:t>
            </w:r>
          </w:p>
        </w:tc>
        <w:tc>
          <w:tcPr>
            <w:tcW w:w="1276" w:type="dxa"/>
            <w:vAlign w:val="center"/>
          </w:tcPr>
          <w:p w14:paraId="039E84A4">
            <w:pPr>
              <w:pStyle w:val="12"/>
            </w:pPr>
            <w:r>
              <w:t>中小学教师培训管理办法</w:t>
            </w:r>
          </w:p>
        </w:tc>
      </w:tr>
      <w:tr w14:paraId="2EC5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48E50"/>
        </w:tc>
        <w:tc>
          <w:tcPr>
            <w:tcW w:w="2268" w:type="dxa"/>
            <w:vAlign w:val="center"/>
          </w:tcPr>
          <w:p w14:paraId="1D8E9F2E">
            <w:pPr>
              <w:pStyle w:val="12"/>
            </w:pPr>
            <w:r>
              <w:t>可持续影响指标</w:t>
            </w:r>
          </w:p>
        </w:tc>
        <w:tc>
          <w:tcPr>
            <w:tcW w:w="2835" w:type="dxa"/>
            <w:vAlign w:val="center"/>
          </w:tcPr>
          <w:p w14:paraId="5C5498F7">
            <w:pPr>
              <w:pStyle w:val="12"/>
            </w:pPr>
            <w:r>
              <w:t>激励教师工作积极性</w:t>
            </w:r>
          </w:p>
        </w:tc>
        <w:tc>
          <w:tcPr>
            <w:tcW w:w="5386" w:type="dxa"/>
            <w:vAlign w:val="center"/>
          </w:tcPr>
          <w:p w14:paraId="04DB8E0E">
            <w:pPr>
              <w:pStyle w:val="12"/>
            </w:pPr>
            <w:r>
              <w:t>提升教师在教育教学工作的积极性</w:t>
            </w:r>
          </w:p>
        </w:tc>
        <w:tc>
          <w:tcPr>
            <w:tcW w:w="2268" w:type="dxa"/>
            <w:vAlign w:val="center"/>
          </w:tcPr>
          <w:p w14:paraId="4D3429E3">
            <w:pPr>
              <w:pStyle w:val="12"/>
            </w:pPr>
            <w:r>
              <w:t>≥98%</w:t>
            </w:r>
          </w:p>
        </w:tc>
        <w:tc>
          <w:tcPr>
            <w:tcW w:w="1276" w:type="dxa"/>
            <w:vAlign w:val="center"/>
          </w:tcPr>
          <w:p w14:paraId="5569C4F0">
            <w:pPr>
              <w:pStyle w:val="12"/>
            </w:pPr>
            <w:r>
              <w:t>中小学教师培训管理办法</w:t>
            </w:r>
          </w:p>
        </w:tc>
      </w:tr>
      <w:tr w14:paraId="15FB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1A5E5">
            <w:pPr>
              <w:pStyle w:val="13"/>
            </w:pPr>
            <w:r>
              <w:t>满意度指标</w:t>
            </w:r>
          </w:p>
        </w:tc>
        <w:tc>
          <w:tcPr>
            <w:tcW w:w="2268" w:type="dxa"/>
            <w:vAlign w:val="center"/>
          </w:tcPr>
          <w:p w14:paraId="45642430">
            <w:pPr>
              <w:pStyle w:val="12"/>
            </w:pPr>
            <w:r>
              <w:t>服务对象满意度指标</w:t>
            </w:r>
          </w:p>
        </w:tc>
        <w:tc>
          <w:tcPr>
            <w:tcW w:w="2835" w:type="dxa"/>
            <w:vAlign w:val="center"/>
          </w:tcPr>
          <w:p w14:paraId="2E072DE4">
            <w:pPr>
              <w:pStyle w:val="12"/>
            </w:pPr>
            <w:r>
              <w:t>培训教师满意度</w:t>
            </w:r>
          </w:p>
        </w:tc>
        <w:tc>
          <w:tcPr>
            <w:tcW w:w="5386" w:type="dxa"/>
            <w:vAlign w:val="center"/>
          </w:tcPr>
          <w:p w14:paraId="75B93A91">
            <w:pPr>
              <w:pStyle w:val="12"/>
            </w:pPr>
            <w:r>
              <w:t>培训教师满意度</w:t>
            </w:r>
          </w:p>
        </w:tc>
        <w:tc>
          <w:tcPr>
            <w:tcW w:w="2268" w:type="dxa"/>
            <w:vAlign w:val="center"/>
          </w:tcPr>
          <w:p w14:paraId="6670CA53">
            <w:pPr>
              <w:pStyle w:val="12"/>
            </w:pPr>
            <w:r>
              <w:t>≥98%</w:t>
            </w:r>
          </w:p>
        </w:tc>
        <w:tc>
          <w:tcPr>
            <w:tcW w:w="1276" w:type="dxa"/>
            <w:vAlign w:val="center"/>
          </w:tcPr>
          <w:p w14:paraId="335A1727">
            <w:pPr>
              <w:pStyle w:val="12"/>
            </w:pPr>
            <w:r>
              <w:t>问卷调查</w:t>
            </w:r>
          </w:p>
        </w:tc>
      </w:tr>
    </w:tbl>
    <w:p w14:paraId="4C153C8A">
      <w:pPr>
        <w:sectPr>
          <w:pgSz w:w="16840" w:h="11900" w:orient="landscape"/>
          <w:pgMar w:top="1361" w:right="1020" w:bottom="1134" w:left="1020" w:header="720" w:footer="720" w:gutter="0"/>
          <w:cols w:space="720" w:num="1"/>
        </w:sectPr>
      </w:pPr>
    </w:p>
    <w:p w14:paraId="0E76CC92">
      <w:pPr>
        <w:spacing w:before="10" w:after="10" w:line="240" w:lineRule="auto"/>
        <w:ind w:firstLine="640"/>
        <w:jc w:val="left"/>
        <w:outlineLvl w:val="5"/>
      </w:pPr>
      <w:r>
        <w:rPr>
          <w:rFonts w:ascii="黑体" w:hAnsi="黑体" w:eastAsia="黑体" w:cs="黑体"/>
          <w:color w:val="000000"/>
          <w:sz w:val="32"/>
        </w:rPr>
        <w:t>六、政府采购预算情况</w:t>
      </w:r>
    </w:p>
    <w:p w14:paraId="7CE728A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96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FFED05">
            <w:pPr>
              <w:pStyle w:val="9"/>
            </w:pPr>
            <w:r>
              <w:t>360028隆尧县教师发展中心</w:t>
            </w:r>
          </w:p>
        </w:tc>
        <w:tc>
          <w:tcPr>
            <w:tcW w:w="8676" w:type="dxa"/>
            <w:gridSpan w:val="9"/>
            <w:tcBorders>
              <w:top w:val="single" w:color="FFFFFF" w:sz="6" w:space="0"/>
              <w:left w:val="single" w:color="FFFFFF" w:sz="6" w:space="0"/>
              <w:right w:val="single" w:color="FFFFFF" w:sz="6" w:space="0"/>
            </w:tcBorders>
            <w:vAlign w:val="center"/>
          </w:tcPr>
          <w:p w14:paraId="161E8EF9">
            <w:pPr>
              <w:pStyle w:val="21"/>
            </w:pPr>
            <w:r>
              <w:t>单位：万元</w:t>
            </w:r>
          </w:p>
        </w:tc>
      </w:tr>
      <w:tr w14:paraId="73DA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B29358">
            <w:pPr>
              <w:pStyle w:val="10"/>
            </w:pPr>
            <w:r>
              <w:t>政府采购项目来源</w:t>
            </w:r>
          </w:p>
        </w:tc>
        <w:tc>
          <w:tcPr>
            <w:tcW w:w="1134" w:type="dxa"/>
            <w:vMerge w:val="restart"/>
            <w:vAlign w:val="center"/>
          </w:tcPr>
          <w:p w14:paraId="65969686">
            <w:pPr>
              <w:pStyle w:val="10"/>
            </w:pPr>
            <w:r>
              <w:t>采购物品名称</w:t>
            </w:r>
          </w:p>
        </w:tc>
        <w:tc>
          <w:tcPr>
            <w:tcW w:w="1134" w:type="dxa"/>
            <w:vMerge w:val="restart"/>
            <w:vAlign w:val="center"/>
          </w:tcPr>
          <w:p w14:paraId="7F51418E">
            <w:pPr>
              <w:pStyle w:val="10"/>
            </w:pPr>
            <w:r>
              <w:t>政府采购目录序号</w:t>
            </w:r>
          </w:p>
        </w:tc>
        <w:tc>
          <w:tcPr>
            <w:tcW w:w="709" w:type="dxa"/>
            <w:vMerge w:val="restart"/>
            <w:vAlign w:val="center"/>
          </w:tcPr>
          <w:p w14:paraId="7C9655DB">
            <w:pPr>
              <w:pStyle w:val="10"/>
            </w:pPr>
            <w:r>
              <w:t>计量  单位</w:t>
            </w:r>
          </w:p>
        </w:tc>
        <w:tc>
          <w:tcPr>
            <w:tcW w:w="850" w:type="dxa"/>
            <w:vMerge w:val="restart"/>
            <w:vAlign w:val="center"/>
          </w:tcPr>
          <w:p w14:paraId="1A53BAEA">
            <w:pPr>
              <w:pStyle w:val="10"/>
            </w:pPr>
            <w:r>
              <w:t>数量</w:t>
            </w:r>
          </w:p>
        </w:tc>
        <w:tc>
          <w:tcPr>
            <w:tcW w:w="850" w:type="dxa"/>
            <w:vMerge w:val="restart"/>
            <w:vAlign w:val="center"/>
          </w:tcPr>
          <w:p w14:paraId="60B368E8">
            <w:pPr>
              <w:pStyle w:val="10"/>
            </w:pPr>
            <w:r>
              <w:t>单价</w:t>
            </w:r>
          </w:p>
        </w:tc>
        <w:tc>
          <w:tcPr>
            <w:tcW w:w="7712" w:type="dxa"/>
            <w:gridSpan w:val="8"/>
            <w:vAlign w:val="center"/>
          </w:tcPr>
          <w:p w14:paraId="797C76B3">
            <w:pPr>
              <w:pStyle w:val="10"/>
            </w:pPr>
            <w:r>
              <w:t>政府采购金额（当年部门预算安排资金）</w:t>
            </w:r>
          </w:p>
        </w:tc>
        <w:tc>
          <w:tcPr>
            <w:tcW w:w="964" w:type="dxa"/>
            <w:vMerge w:val="restart"/>
            <w:vAlign w:val="center"/>
          </w:tcPr>
          <w:p w14:paraId="0DE8C624">
            <w:pPr>
              <w:pStyle w:val="10"/>
            </w:pPr>
            <w:r>
              <w:t>2026年  预留中  小微企  业份额</w:t>
            </w:r>
          </w:p>
        </w:tc>
      </w:tr>
      <w:tr w14:paraId="0366D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BD4430">
            <w:pPr>
              <w:pStyle w:val="10"/>
            </w:pPr>
            <w:r>
              <w:t>项目名称</w:t>
            </w:r>
          </w:p>
        </w:tc>
        <w:tc>
          <w:tcPr>
            <w:tcW w:w="964" w:type="dxa"/>
            <w:vAlign w:val="center"/>
          </w:tcPr>
          <w:p w14:paraId="6CA2F736">
            <w:pPr>
              <w:pStyle w:val="10"/>
            </w:pPr>
            <w:r>
              <w:t>预算    资金</w:t>
            </w:r>
          </w:p>
        </w:tc>
        <w:tc>
          <w:tcPr>
            <w:tcW w:w="1134" w:type="dxa"/>
            <w:vMerge w:val="continue"/>
          </w:tcPr>
          <w:p w14:paraId="4436E335"/>
        </w:tc>
        <w:tc>
          <w:tcPr>
            <w:tcW w:w="1134" w:type="dxa"/>
            <w:vMerge w:val="continue"/>
          </w:tcPr>
          <w:p w14:paraId="2CA91570"/>
        </w:tc>
        <w:tc>
          <w:tcPr>
            <w:tcW w:w="709" w:type="dxa"/>
            <w:vMerge w:val="continue"/>
          </w:tcPr>
          <w:p w14:paraId="120973FE"/>
        </w:tc>
        <w:tc>
          <w:tcPr>
            <w:tcW w:w="850" w:type="dxa"/>
            <w:vMerge w:val="continue"/>
          </w:tcPr>
          <w:p w14:paraId="20BA1FCF"/>
        </w:tc>
        <w:tc>
          <w:tcPr>
            <w:tcW w:w="850" w:type="dxa"/>
            <w:vMerge w:val="continue"/>
          </w:tcPr>
          <w:p w14:paraId="0726443A"/>
        </w:tc>
        <w:tc>
          <w:tcPr>
            <w:tcW w:w="964" w:type="dxa"/>
            <w:vAlign w:val="center"/>
          </w:tcPr>
          <w:p w14:paraId="311C3CBD">
            <w:pPr>
              <w:pStyle w:val="10"/>
            </w:pPr>
            <w:r>
              <w:t>合计</w:t>
            </w:r>
          </w:p>
        </w:tc>
        <w:tc>
          <w:tcPr>
            <w:tcW w:w="964" w:type="dxa"/>
            <w:vAlign w:val="center"/>
          </w:tcPr>
          <w:p w14:paraId="2A5DF4CA">
            <w:pPr>
              <w:pStyle w:val="10"/>
            </w:pPr>
            <w:r>
              <w:t>一般公共预算拨款</w:t>
            </w:r>
          </w:p>
        </w:tc>
        <w:tc>
          <w:tcPr>
            <w:tcW w:w="964" w:type="dxa"/>
            <w:vAlign w:val="center"/>
          </w:tcPr>
          <w:p w14:paraId="4A1FE557">
            <w:pPr>
              <w:pStyle w:val="10"/>
            </w:pPr>
            <w:r>
              <w:t>基金预算拨款</w:t>
            </w:r>
          </w:p>
        </w:tc>
        <w:tc>
          <w:tcPr>
            <w:tcW w:w="964" w:type="dxa"/>
            <w:vAlign w:val="center"/>
          </w:tcPr>
          <w:p w14:paraId="5B07D8BA">
            <w:pPr>
              <w:pStyle w:val="10"/>
            </w:pPr>
            <w:r>
              <w:t>国有资本经营预算拨款</w:t>
            </w:r>
          </w:p>
        </w:tc>
        <w:tc>
          <w:tcPr>
            <w:tcW w:w="964" w:type="dxa"/>
            <w:vAlign w:val="center"/>
          </w:tcPr>
          <w:p w14:paraId="62E2449A">
            <w:pPr>
              <w:pStyle w:val="10"/>
            </w:pPr>
            <w:r>
              <w:t>财政专户核拨</w:t>
            </w:r>
          </w:p>
        </w:tc>
        <w:tc>
          <w:tcPr>
            <w:tcW w:w="964" w:type="dxa"/>
            <w:vAlign w:val="center"/>
          </w:tcPr>
          <w:p w14:paraId="4B17E69C">
            <w:pPr>
              <w:pStyle w:val="10"/>
            </w:pPr>
            <w:r>
              <w:t>单位    资金</w:t>
            </w:r>
          </w:p>
        </w:tc>
        <w:tc>
          <w:tcPr>
            <w:tcW w:w="964" w:type="dxa"/>
            <w:vAlign w:val="center"/>
          </w:tcPr>
          <w:p w14:paraId="0A810FFD">
            <w:pPr>
              <w:pStyle w:val="10"/>
            </w:pPr>
            <w:r>
              <w:t>财政拨款结转</w:t>
            </w:r>
          </w:p>
        </w:tc>
        <w:tc>
          <w:tcPr>
            <w:tcW w:w="964" w:type="dxa"/>
            <w:vAlign w:val="center"/>
          </w:tcPr>
          <w:p w14:paraId="6A1174BA">
            <w:pPr>
              <w:pStyle w:val="10"/>
            </w:pPr>
            <w:r>
              <w:t>非财政拨款结余</w:t>
            </w:r>
          </w:p>
        </w:tc>
        <w:tc>
          <w:tcPr>
            <w:tcW w:w="964" w:type="dxa"/>
            <w:vMerge w:val="continue"/>
          </w:tcPr>
          <w:p w14:paraId="2923D2E1"/>
        </w:tc>
      </w:tr>
      <w:tr w14:paraId="06C7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9A6C0C">
            <w:pPr>
              <w:pStyle w:val="14"/>
            </w:pPr>
            <w:r>
              <w:t>合  计</w:t>
            </w:r>
          </w:p>
        </w:tc>
        <w:tc>
          <w:tcPr>
            <w:tcW w:w="964" w:type="dxa"/>
            <w:vAlign w:val="center"/>
          </w:tcPr>
          <w:p w14:paraId="54FFC56B">
            <w:pPr>
              <w:pStyle w:val="15"/>
            </w:pPr>
          </w:p>
        </w:tc>
        <w:tc>
          <w:tcPr>
            <w:tcW w:w="1134" w:type="dxa"/>
            <w:vAlign w:val="center"/>
          </w:tcPr>
          <w:p w14:paraId="662D0AED">
            <w:pPr>
              <w:pStyle w:val="16"/>
            </w:pPr>
          </w:p>
        </w:tc>
        <w:tc>
          <w:tcPr>
            <w:tcW w:w="1134" w:type="dxa"/>
            <w:vAlign w:val="center"/>
          </w:tcPr>
          <w:p w14:paraId="0B4E737C">
            <w:pPr>
              <w:pStyle w:val="16"/>
            </w:pPr>
          </w:p>
        </w:tc>
        <w:tc>
          <w:tcPr>
            <w:tcW w:w="709" w:type="dxa"/>
            <w:vAlign w:val="center"/>
          </w:tcPr>
          <w:p w14:paraId="16CB4F87">
            <w:pPr>
              <w:pStyle w:val="14"/>
            </w:pPr>
          </w:p>
        </w:tc>
        <w:tc>
          <w:tcPr>
            <w:tcW w:w="850" w:type="dxa"/>
            <w:vAlign w:val="center"/>
          </w:tcPr>
          <w:p w14:paraId="4143F894">
            <w:pPr>
              <w:pStyle w:val="15"/>
            </w:pPr>
          </w:p>
        </w:tc>
        <w:tc>
          <w:tcPr>
            <w:tcW w:w="850" w:type="dxa"/>
            <w:vAlign w:val="center"/>
          </w:tcPr>
          <w:p w14:paraId="3BFC0475">
            <w:pPr>
              <w:pStyle w:val="15"/>
            </w:pPr>
          </w:p>
        </w:tc>
        <w:tc>
          <w:tcPr>
            <w:tcW w:w="964" w:type="dxa"/>
            <w:vAlign w:val="center"/>
          </w:tcPr>
          <w:p w14:paraId="3AE5AAFF">
            <w:pPr>
              <w:pStyle w:val="15"/>
            </w:pPr>
            <w:r>
              <w:t>20.71</w:t>
            </w:r>
          </w:p>
        </w:tc>
        <w:tc>
          <w:tcPr>
            <w:tcW w:w="964" w:type="dxa"/>
            <w:vAlign w:val="center"/>
          </w:tcPr>
          <w:p w14:paraId="63FA85D1">
            <w:pPr>
              <w:pStyle w:val="15"/>
            </w:pPr>
          </w:p>
        </w:tc>
        <w:tc>
          <w:tcPr>
            <w:tcW w:w="964" w:type="dxa"/>
            <w:vAlign w:val="center"/>
          </w:tcPr>
          <w:p w14:paraId="5A24A91F">
            <w:pPr>
              <w:pStyle w:val="15"/>
            </w:pPr>
          </w:p>
        </w:tc>
        <w:tc>
          <w:tcPr>
            <w:tcW w:w="964" w:type="dxa"/>
            <w:vAlign w:val="center"/>
          </w:tcPr>
          <w:p w14:paraId="22DBCFF8">
            <w:pPr>
              <w:pStyle w:val="15"/>
            </w:pPr>
          </w:p>
        </w:tc>
        <w:tc>
          <w:tcPr>
            <w:tcW w:w="964" w:type="dxa"/>
            <w:vAlign w:val="center"/>
          </w:tcPr>
          <w:p w14:paraId="5D5FCF59">
            <w:pPr>
              <w:pStyle w:val="15"/>
            </w:pPr>
            <w:r>
              <w:t>20.71</w:t>
            </w:r>
          </w:p>
        </w:tc>
        <w:tc>
          <w:tcPr>
            <w:tcW w:w="964" w:type="dxa"/>
            <w:vAlign w:val="center"/>
          </w:tcPr>
          <w:p w14:paraId="72A832E1">
            <w:pPr>
              <w:pStyle w:val="15"/>
            </w:pPr>
          </w:p>
        </w:tc>
        <w:tc>
          <w:tcPr>
            <w:tcW w:w="964" w:type="dxa"/>
            <w:vAlign w:val="center"/>
          </w:tcPr>
          <w:p w14:paraId="0535238F">
            <w:pPr>
              <w:pStyle w:val="15"/>
            </w:pPr>
          </w:p>
        </w:tc>
        <w:tc>
          <w:tcPr>
            <w:tcW w:w="964" w:type="dxa"/>
            <w:vAlign w:val="center"/>
          </w:tcPr>
          <w:p w14:paraId="6FE0F398">
            <w:pPr>
              <w:pStyle w:val="15"/>
            </w:pPr>
          </w:p>
        </w:tc>
        <w:tc>
          <w:tcPr>
            <w:tcW w:w="964" w:type="dxa"/>
            <w:vAlign w:val="center"/>
          </w:tcPr>
          <w:p w14:paraId="5EB98E71">
            <w:pPr>
              <w:pStyle w:val="15"/>
            </w:pPr>
            <w:r>
              <w:t>20.71</w:t>
            </w:r>
          </w:p>
        </w:tc>
      </w:tr>
      <w:tr w14:paraId="48EA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15EBE0">
            <w:pPr>
              <w:pStyle w:val="14"/>
            </w:pPr>
            <w:r>
              <w:t>隆尧县教师发展中心小计</w:t>
            </w:r>
          </w:p>
        </w:tc>
        <w:tc>
          <w:tcPr>
            <w:tcW w:w="964" w:type="dxa"/>
            <w:vAlign w:val="center"/>
          </w:tcPr>
          <w:p w14:paraId="72E90EA7">
            <w:pPr>
              <w:pStyle w:val="15"/>
            </w:pPr>
          </w:p>
        </w:tc>
        <w:tc>
          <w:tcPr>
            <w:tcW w:w="1134" w:type="dxa"/>
            <w:vAlign w:val="center"/>
          </w:tcPr>
          <w:p w14:paraId="7D42FF44">
            <w:pPr>
              <w:pStyle w:val="16"/>
            </w:pPr>
          </w:p>
        </w:tc>
        <w:tc>
          <w:tcPr>
            <w:tcW w:w="1134" w:type="dxa"/>
            <w:vAlign w:val="center"/>
          </w:tcPr>
          <w:p w14:paraId="0573CF7B">
            <w:pPr>
              <w:pStyle w:val="16"/>
            </w:pPr>
          </w:p>
        </w:tc>
        <w:tc>
          <w:tcPr>
            <w:tcW w:w="709" w:type="dxa"/>
            <w:vAlign w:val="center"/>
          </w:tcPr>
          <w:p w14:paraId="164E6DC8">
            <w:pPr>
              <w:pStyle w:val="14"/>
            </w:pPr>
          </w:p>
        </w:tc>
        <w:tc>
          <w:tcPr>
            <w:tcW w:w="850" w:type="dxa"/>
            <w:vAlign w:val="center"/>
          </w:tcPr>
          <w:p w14:paraId="1FCB0CBF">
            <w:pPr>
              <w:pStyle w:val="15"/>
            </w:pPr>
          </w:p>
        </w:tc>
        <w:tc>
          <w:tcPr>
            <w:tcW w:w="850" w:type="dxa"/>
            <w:vAlign w:val="center"/>
          </w:tcPr>
          <w:p w14:paraId="777DCF7A">
            <w:pPr>
              <w:pStyle w:val="15"/>
            </w:pPr>
          </w:p>
        </w:tc>
        <w:tc>
          <w:tcPr>
            <w:tcW w:w="964" w:type="dxa"/>
            <w:vAlign w:val="center"/>
          </w:tcPr>
          <w:p w14:paraId="33A4EFBC">
            <w:pPr>
              <w:pStyle w:val="15"/>
            </w:pPr>
            <w:r>
              <w:t>20.71</w:t>
            </w:r>
          </w:p>
        </w:tc>
        <w:tc>
          <w:tcPr>
            <w:tcW w:w="964" w:type="dxa"/>
            <w:vAlign w:val="center"/>
          </w:tcPr>
          <w:p w14:paraId="2567CC45">
            <w:pPr>
              <w:pStyle w:val="15"/>
            </w:pPr>
          </w:p>
        </w:tc>
        <w:tc>
          <w:tcPr>
            <w:tcW w:w="964" w:type="dxa"/>
            <w:vAlign w:val="center"/>
          </w:tcPr>
          <w:p w14:paraId="4BD6C1C8">
            <w:pPr>
              <w:pStyle w:val="15"/>
            </w:pPr>
          </w:p>
        </w:tc>
        <w:tc>
          <w:tcPr>
            <w:tcW w:w="964" w:type="dxa"/>
            <w:vAlign w:val="center"/>
          </w:tcPr>
          <w:p w14:paraId="166EBEF9">
            <w:pPr>
              <w:pStyle w:val="15"/>
            </w:pPr>
          </w:p>
        </w:tc>
        <w:tc>
          <w:tcPr>
            <w:tcW w:w="964" w:type="dxa"/>
            <w:vAlign w:val="center"/>
          </w:tcPr>
          <w:p w14:paraId="28895D9F">
            <w:pPr>
              <w:pStyle w:val="15"/>
            </w:pPr>
            <w:r>
              <w:t>20.71</w:t>
            </w:r>
          </w:p>
        </w:tc>
        <w:tc>
          <w:tcPr>
            <w:tcW w:w="964" w:type="dxa"/>
            <w:vAlign w:val="center"/>
          </w:tcPr>
          <w:p w14:paraId="412626A7">
            <w:pPr>
              <w:pStyle w:val="15"/>
            </w:pPr>
          </w:p>
        </w:tc>
        <w:tc>
          <w:tcPr>
            <w:tcW w:w="964" w:type="dxa"/>
            <w:vAlign w:val="center"/>
          </w:tcPr>
          <w:p w14:paraId="6C2C1326">
            <w:pPr>
              <w:pStyle w:val="15"/>
            </w:pPr>
          </w:p>
        </w:tc>
        <w:tc>
          <w:tcPr>
            <w:tcW w:w="964" w:type="dxa"/>
            <w:vAlign w:val="center"/>
          </w:tcPr>
          <w:p w14:paraId="541989BF">
            <w:pPr>
              <w:pStyle w:val="15"/>
            </w:pPr>
          </w:p>
        </w:tc>
        <w:tc>
          <w:tcPr>
            <w:tcW w:w="964" w:type="dxa"/>
            <w:vAlign w:val="center"/>
          </w:tcPr>
          <w:p w14:paraId="1EBB314B">
            <w:pPr>
              <w:pStyle w:val="15"/>
            </w:pPr>
            <w:r>
              <w:t>20.71</w:t>
            </w:r>
          </w:p>
        </w:tc>
      </w:tr>
      <w:tr w14:paraId="7007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8D72BF">
            <w:pPr>
              <w:pStyle w:val="12"/>
            </w:pPr>
            <w:r>
              <w:t>电大培训费专项经费/教师发展中心</w:t>
            </w:r>
          </w:p>
        </w:tc>
        <w:tc>
          <w:tcPr>
            <w:tcW w:w="964" w:type="dxa"/>
            <w:vAlign w:val="center"/>
          </w:tcPr>
          <w:p w14:paraId="7D5811F5">
            <w:pPr>
              <w:pStyle w:val="11"/>
            </w:pPr>
            <w:r>
              <w:t>117.55</w:t>
            </w:r>
          </w:p>
        </w:tc>
        <w:tc>
          <w:tcPr>
            <w:tcW w:w="1134" w:type="dxa"/>
            <w:vAlign w:val="center"/>
          </w:tcPr>
          <w:p w14:paraId="32B37F41">
            <w:pPr>
              <w:pStyle w:val="12"/>
            </w:pPr>
            <w:r>
              <w:t>台式计算机</w:t>
            </w:r>
          </w:p>
        </w:tc>
        <w:tc>
          <w:tcPr>
            <w:tcW w:w="1134" w:type="dxa"/>
            <w:vAlign w:val="center"/>
          </w:tcPr>
          <w:p w14:paraId="6E1F7AD0">
            <w:pPr>
              <w:pStyle w:val="12"/>
            </w:pPr>
            <w:r>
              <w:t>A02010105</w:t>
            </w:r>
          </w:p>
        </w:tc>
        <w:tc>
          <w:tcPr>
            <w:tcW w:w="709" w:type="dxa"/>
            <w:vAlign w:val="center"/>
          </w:tcPr>
          <w:p w14:paraId="21118CDD">
            <w:pPr>
              <w:pStyle w:val="13"/>
            </w:pPr>
            <w:r>
              <w:t>台</w:t>
            </w:r>
          </w:p>
        </w:tc>
        <w:tc>
          <w:tcPr>
            <w:tcW w:w="850" w:type="dxa"/>
            <w:vAlign w:val="center"/>
          </w:tcPr>
          <w:p w14:paraId="3C98CD6D">
            <w:pPr>
              <w:pStyle w:val="11"/>
            </w:pPr>
            <w:r>
              <w:t>40</w:t>
            </w:r>
          </w:p>
        </w:tc>
        <w:tc>
          <w:tcPr>
            <w:tcW w:w="850" w:type="dxa"/>
            <w:vAlign w:val="center"/>
          </w:tcPr>
          <w:p w14:paraId="5770D4A0">
            <w:pPr>
              <w:pStyle w:val="11"/>
            </w:pPr>
            <w:r>
              <w:t>0.43</w:t>
            </w:r>
          </w:p>
        </w:tc>
        <w:tc>
          <w:tcPr>
            <w:tcW w:w="964" w:type="dxa"/>
            <w:vAlign w:val="center"/>
          </w:tcPr>
          <w:p w14:paraId="29443C90">
            <w:pPr>
              <w:pStyle w:val="11"/>
            </w:pPr>
            <w:r>
              <w:t>17.00</w:t>
            </w:r>
          </w:p>
        </w:tc>
        <w:tc>
          <w:tcPr>
            <w:tcW w:w="964" w:type="dxa"/>
            <w:vAlign w:val="center"/>
          </w:tcPr>
          <w:p w14:paraId="046F2014">
            <w:pPr>
              <w:pStyle w:val="11"/>
            </w:pPr>
          </w:p>
        </w:tc>
        <w:tc>
          <w:tcPr>
            <w:tcW w:w="964" w:type="dxa"/>
            <w:vAlign w:val="center"/>
          </w:tcPr>
          <w:p w14:paraId="29F95A25">
            <w:pPr>
              <w:pStyle w:val="11"/>
            </w:pPr>
          </w:p>
        </w:tc>
        <w:tc>
          <w:tcPr>
            <w:tcW w:w="964" w:type="dxa"/>
            <w:vAlign w:val="center"/>
          </w:tcPr>
          <w:p w14:paraId="61FEBF79">
            <w:pPr>
              <w:pStyle w:val="11"/>
            </w:pPr>
          </w:p>
        </w:tc>
        <w:tc>
          <w:tcPr>
            <w:tcW w:w="964" w:type="dxa"/>
            <w:vAlign w:val="center"/>
          </w:tcPr>
          <w:p w14:paraId="14E877E9">
            <w:pPr>
              <w:pStyle w:val="11"/>
            </w:pPr>
            <w:r>
              <w:t>17.00</w:t>
            </w:r>
          </w:p>
        </w:tc>
        <w:tc>
          <w:tcPr>
            <w:tcW w:w="964" w:type="dxa"/>
            <w:vAlign w:val="center"/>
          </w:tcPr>
          <w:p w14:paraId="5180E4B6">
            <w:pPr>
              <w:pStyle w:val="11"/>
            </w:pPr>
          </w:p>
        </w:tc>
        <w:tc>
          <w:tcPr>
            <w:tcW w:w="964" w:type="dxa"/>
            <w:vAlign w:val="center"/>
          </w:tcPr>
          <w:p w14:paraId="4A95E915">
            <w:pPr>
              <w:pStyle w:val="11"/>
            </w:pPr>
          </w:p>
        </w:tc>
        <w:tc>
          <w:tcPr>
            <w:tcW w:w="964" w:type="dxa"/>
            <w:vAlign w:val="center"/>
          </w:tcPr>
          <w:p w14:paraId="160CBDB4">
            <w:pPr>
              <w:pStyle w:val="11"/>
            </w:pPr>
          </w:p>
        </w:tc>
        <w:tc>
          <w:tcPr>
            <w:tcW w:w="964" w:type="dxa"/>
            <w:vAlign w:val="center"/>
          </w:tcPr>
          <w:p w14:paraId="308F6ABA">
            <w:pPr>
              <w:pStyle w:val="11"/>
            </w:pPr>
            <w:r>
              <w:t>17.00</w:t>
            </w:r>
          </w:p>
        </w:tc>
      </w:tr>
      <w:tr w14:paraId="1EC9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1BFA10">
            <w:pPr>
              <w:pStyle w:val="12"/>
            </w:pPr>
            <w:r>
              <w:t>电大培训费专项经费/教师发展中心</w:t>
            </w:r>
          </w:p>
        </w:tc>
        <w:tc>
          <w:tcPr>
            <w:tcW w:w="964" w:type="dxa"/>
            <w:vAlign w:val="center"/>
          </w:tcPr>
          <w:p w14:paraId="5C9077E3">
            <w:pPr>
              <w:pStyle w:val="11"/>
            </w:pPr>
            <w:r>
              <w:t>117.55</w:t>
            </w:r>
          </w:p>
        </w:tc>
        <w:tc>
          <w:tcPr>
            <w:tcW w:w="1134" w:type="dxa"/>
            <w:vAlign w:val="center"/>
          </w:tcPr>
          <w:p w14:paraId="7665881F">
            <w:pPr>
              <w:pStyle w:val="12"/>
            </w:pPr>
            <w:r>
              <w:t>台式计算机</w:t>
            </w:r>
          </w:p>
        </w:tc>
        <w:tc>
          <w:tcPr>
            <w:tcW w:w="1134" w:type="dxa"/>
            <w:vAlign w:val="center"/>
          </w:tcPr>
          <w:p w14:paraId="20752D68">
            <w:pPr>
              <w:pStyle w:val="12"/>
            </w:pPr>
            <w:r>
              <w:t>A02010105</w:t>
            </w:r>
          </w:p>
        </w:tc>
        <w:tc>
          <w:tcPr>
            <w:tcW w:w="709" w:type="dxa"/>
            <w:vAlign w:val="center"/>
          </w:tcPr>
          <w:p w14:paraId="4685A22E">
            <w:pPr>
              <w:pStyle w:val="13"/>
            </w:pPr>
            <w:r>
              <w:t>台</w:t>
            </w:r>
          </w:p>
        </w:tc>
        <w:tc>
          <w:tcPr>
            <w:tcW w:w="850" w:type="dxa"/>
            <w:vAlign w:val="center"/>
          </w:tcPr>
          <w:p w14:paraId="78670933">
            <w:pPr>
              <w:pStyle w:val="11"/>
            </w:pPr>
            <w:r>
              <w:t>5</w:t>
            </w:r>
          </w:p>
        </w:tc>
        <w:tc>
          <w:tcPr>
            <w:tcW w:w="850" w:type="dxa"/>
            <w:vAlign w:val="center"/>
          </w:tcPr>
          <w:p w14:paraId="1BF3479A">
            <w:pPr>
              <w:pStyle w:val="11"/>
            </w:pPr>
            <w:r>
              <w:t>0.45</w:t>
            </w:r>
          </w:p>
        </w:tc>
        <w:tc>
          <w:tcPr>
            <w:tcW w:w="964" w:type="dxa"/>
            <w:vAlign w:val="center"/>
          </w:tcPr>
          <w:p w14:paraId="63339663">
            <w:pPr>
              <w:pStyle w:val="11"/>
            </w:pPr>
            <w:r>
              <w:t>2.25</w:t>
            </w:r>
          </w:p>
        </w:tc>
        <w:tc>
          <w:tcPr>
            <w:tcW w:w="964" w:type="dxa"/>
            <w:vAlign w:val="center"/>
          </w:tcPr>
          <w:p w14:paraId="6048D954">
            <w:pPr>
              <w:pStyle w:val="11"/>
            </w:pPr>
          </w:p>
        </w:tc>
        <w:tc>
          <w:tcPr>
            <w:tcW w:w="964" w:type="dxa"/>
            <w:vAlign w:val="center"/>
          </w:tcPr>
          <w:p w14:paraId="141232CE">
            <w:pPr>
              <w:pStyle w:val="11"/>
            </w:pPr>
          </w:p>
        </w:tc>
        <w:tc>
          <w:tcPr>
            <w:tcW w:w="964" w:type="dxa"/>
            <w:vAlign w:val="center"/>
          </w:tcPr>
          <w:p w14:paraId="61DFD56B">
            <w:pPr>
              <w:pStyle w:val="11"/>
            </w:pPr>
          </w:p>
        </w:tc>
        <w:tc>
          <w:tcPr>
            <w:tcW w:w="964" w:type="dxa"/>
            <w:vAlign w:val="center"/>
          </w:tcPr>
          <w:p w14:paraId="3C8B80A6">
            <w:pPr>
              <w:pStyle w:val="11"/>
            </w:pPr>
            <w:r>
              <w:t>2.25</w:t>
            </w:r>
          </w:p>
        </w:tc>
        <w:tc>
          <w:tcPr>
            <w:tcW w:w="964" w:type="dxa"/>
            <w:vAlign w:val="center"/>
          </w:tcPr>
          <w:p w14:paraId="5E9B74B1">
            <w:pPr>
              <w:pStyle w:val="11"/>
            </w:pPr>
          </w:p>
        </w:tc>
        <w:tc>
          <w:tcPr>
            <w:tcW w:w="964" w:type="dxa"/>
            <w:vAlign w:val="center"/>
          </w:tcPr>
          <w:p w14:paraId="2007FD1F">
            <w:pPr>
              <w:pStyle w:val="11"/>
            </w:pPr>
          </w:p>
        </w:tc>
        <w:tc>
          <w:tcPr>
            <w:tcW w:w="964" w:type="dxa"/>
            <w:vAlign w:val="center"/>
          </w:tcPr>
          <w:p w14:paraId="603F59EF">
            <w:pPr>
              <w:pStyle w:val="11"/>
            </w:pPr>
          </w:p>
        </w:tc>
        <w:tc>
          <w:tcPr>
            <w:tcW w:w="964" w:type="dxa"/>
            <w:vAlign w:val="center"/>
          </w:tcPr>
          <w:p w14:paraId="61C50279">
            <w:pPr>
              <w:pStyle w:val="11"/>
            </w:pPr>
            <w:r>
              <w:t>2.25</w:t>
            </w:r>
          </w:p>
        </w:tc>
      </w:tr>
      <w:tr w14:paraId="537D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02902">
            <w:pPr>
              <w:pStyle w:val="12"/>
            </w:pPr>
            <w:r>
              <w:t>电大培训费专项经费/教师发展中心</w:t>
            </w:r>
          </w:p>
        </w:tc>
        <w:tc>
          <w:tcPr>
            <w:tcW w:w="964" w:type="dxa"/>
            <w:vAlign w:val="center"/>
          </w:tcPr>
          <w:p w14:paraId="13257619">
            <w:pPr>
              <w:pStyle w:val="11"/>
            </w:pPr>
            <w:r>
              <w:t>117.55</w:t>
            </w:r>
          </w:p>
        </w:tc>
        <w:tc>
          <w:tcPr>
            <w:tcW w:w="1134" w:type="dxa"/>
            <w:vAlign w:val="center"/>
          </w:tcPr>
          <w:p w14:paraId="0A91CB47">
            <w:pPr>
              <w:pStyle w:val="12"/>
            </w:pPr>
            <w:r>
              <w:t>便携式计算机</w:t>
            </w:r>
          </w:p>
        </w:tc>
        <w:tc>
          <w:tcPr>
            <w:tcW w:w="1134" w:type="dxa"/>
            <w:vAlign w:val="center"/>
          </w:tcPr>
          <w:p w14:paraId="1B4E2971">
            <w:pPr>
              <w:pStyle w:val="12"/>
            </w:pPr>
            <w:r>
              <w:t>A02010108</w:t>
            </w:r>
          </w:p>
        </w:tc>
        <w:tc>
          <w:tcPr>
            <w:tcW w:w="709" w:type="dxa"/>
            <w:vAlign w:val="center"/>
          </w:tcPr>
          <w:p w14:paraId="369F2D85">
            <w:pPr>
              <w:pStyle w:val="13"/>
            </w:pPr>
            <w:r>
              <w:t>台</w:t>
            </w:r>
          </w:p>
        </w:tc>
        <w:tc>
          <w:tcPr>
            <w:tcW w:w="850" w:type="dxa"/>
            <w:vAlign w:val="center"/>
          </w:tcPr>
          <w:p w14:paraId="2A384E63">
            <w:pPr>
              <w:pStyle w:val="11"/>
            </w:pPr>
            <w:r>
              <w:t>2</w:t>
            </w:r>
          </w:p>
        </w:tc>
        <w:tc>
          <w:tcPr>
            <w:tcW w:w="850" w:type="dxa"/>
            <w:vAlign w:val="center"/>
          </w:tcPr>
          <w:p w14:paraId="709216A8">
            <w:pPr>
              <w:pStyle w:val="11"/>
            </w:pPr>
            <w:r>
              <w:t>0.58</w:t>
            </w:r>
          </w:p>
        </w:tc>
        <w:tc>
          <w:tcPr>
            <w:tcW w:w="964" w:type="dxa"/>
            <w:vAlign w:val="center"/>
          </w:tcPr>
          <w:p w14:paraId="67DD98D5">
            <w:pPr>
              <w:pStyle w:val="11"/>
            </w:pPr>
            <w:r>
              <w:t>1.16</w:t>
            </w:r>
          </w:p>
        </w:tc>
        <w:tc>
          <w:tcPr>
            <w:tcW w:w="964" w:type="dxa"/>
            <w:vAlign w:val="center"/>
          </w:tcPr>
          <w:p w14:paraId="787705D3">
            <w:pPr>
              <w:pStyle w:val="11"/>
            </w:pPr>
          </w:p>
        </w:tc>
        <w:tc>
          <w:tcPr>
            <w:tcW w:w="964" w:type="dxa"/>
            <w:vAlign w:val="center"/>
          </w:tcPr>
          <w:p w14:paraId="7EE05FF6">
            <w:pPr>
              <w:pStyle w:val="11"/>
            </w:pPr>
          </w:p>
        </w:tc>
        <w:tc>
          <w:tcPr>
            <w:tcW w:w="964" w:type="dxa"/>
            <w:vAlign w:val="center"/>
          </w:tcPr>
          <w:p w14:paraId="3BEBDE73">
            <w:pPr>
              <w:pStyle w:val="11"/>
            </w:pPr>
          </w:p>
        </w:tc>
        <w:tc>
          <w:tcPr>
            <w:tcW w:w="964" w:type="dxa"/>
            <w:vAlign w:val="center"/>
          </w:tcPr>
          <w:p w14:paraId="3AB69B24">
            <w:pPr>
              <w:pStyle w:val="11"/>
            </w:pPr>
            <w:r>
              <w:t>1.16</w:t>
            </w:r>
          </w:p>
        </w:tc>
        <w:tc>
          <w:tcPr>
            <w:tcW w:w="964" w:type="dxa"/>
            <w:vAlign w:val="center"/>
          </w:tcPr>
          <w:p w14:paraId="4BC4BFC1">
            <w:pPr>
              <w:pStyle w:val="11"/>
            </w:pPr>
          </w:p>
        </w:tc>
        <w:tc>
          <w:tcPr>
            <w:tcW w:w="964" w:type="dxa"/>
            <w:vAlign w:val="center"/>
          </w:tcPr>
          <w:p w14:paraId="2B2C0EF4">
            <w:pPr>
              <w:pStyle w:val="11"/>
            </w:pPr>
          </w:p>
        </w:tc>
        <w:tc>
          <w:tcPr>
            <w:tcW w:w="964" w:type="dxa"/>
            <w:vAlign w:val="center"/>
          </w:tcPr>
          <w:p w14:paraId="0064D224">
            <w:pPr>
              <w:pStyle w:val="11"/>
            </w:pPr>
          </w:p>
        </w:tc>
        <w:tc>
          <w:tcPr>
            <w:tcW w:w="964" w:type="dxa"/>
            <w:vAlign w:val="center"/>
          </w:tcPr>
          <w:p w14:paraId="041AEF2B">
            <w:pPr>
              <w:pStyle w:val="11"/>
            </w:pPr>
            <w:r>
              <w:t>1.16</w:t>
            </w:r>
          </w:p>
        </w:tc>
      </w:tr>
      <w:tr w14:paraId="2CF7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D26B7D">
            <w:pPr>
              <w:pStyle w:val="12"/>
            </w:pPr>
            <w:r>
              <w:t>电大培训费专项经费/教师发展中心</w:t>
            </w:r>
          </w:p>
        </w:tc>
        <w:tc>
          <w:tcPr>
            <w:tcW w:w="964" w:type="dxa"/>
            <w:vAlign w:val="center"/>
          </w:tcPr>
          <w:p w14:paraId="427C751E">
            <w:pPr>
              <w:pStyle w:val="11"/>
            </w:pPr>
            <w:r>
              <w:t>117.55</w:t>
            </w:r>
          </w:p>
        </w:tc>
        <w:tc>
          <w:tcPr>
            <w:tcW w:w="1134" w:type="dxa"/>
            <w:vAlign w:val="center"/>
          </w:tcPr>
          <w:p w14:paraId="18DD6149">
            <w:pPr>
              <w:pStyle w:val="12"/>
            </w:pPr>
            <w:r>
              <w:t>多功能一体机</w:t>
            </w:r>
          </w:p>
        </w:tc>
        <w:tc>
          <w:tcPr>
            <w:tcW w:w="1134" w:type="dxa"/>
            <w:vAlign w:val="center"/>
          </w:tcPr>
          <w:p w14:paraId="61AFCFFA">
            <w:pPr>
              <w:pStyle w:val="12"/>
            </w:pPr>
            <w:r>
              <w:t>A02020400</w:t>
            </w:r>
          </w:p>
        </w:tc>
        <w:tc>
          <w:tcPr>
            <w:tcW w:w="709" w:type="dxa"/>
            <w:vAlign w:val="center"/>
          </w:tcPr>
          <w:p w14:paraId="74DC076F">
            <w:pPr>
              <w:pStyle w:val="13"/>
            </w:pPr>
            <w:r>
              <w:t>台</w:t>
            </w:r>
          </w:p>
        </w:tc>
        <w:tc>
          <w:tcPr>
            <w:tcW w:w="850" w:type="dxa"/>
            <w:vAlign w:val="center"/>
          </w:tcPr>
          <w:p w14:paraId="1CE5F625">
            <w:pPr>
              <w:pStyle w:val="11"/>
            </w:pPr>
            <w:r>
              <w:t>2</w:t>
            </w:r>
          </w:p>
        </w:tc>
        <w:tc>
          <w:tcPr>
            <w:tcW w:w="850" w:type="dxa"/>
            <w:vAlign w:val="center"/>
          </w:tcPr>
          <w:p w14:paraId="0D0276FB">
            <w:pPr>
              <w:pStyle w:val="11"/>
            </w:pPr>
            <w:r>
              <w:t>0.15</w:t>
            </w:r>
          </w:p>
        </w:tc>
        <w:tc>
          <w:tcPr>
            <w:tcW w:w="964" w:type="dxa"/>
            <w:vAlign w:val="center"/>
          </w:tcPr>
          <w:p w14:paraId="76B3E857">
            <w:pPr>
              <w:pStyle w:val="11"/>
            </w:pPr>
            <w:r>
              <w:t>0.30</w:t>
            </w:r>
          </w:p>
        </w:tc>
        <w:tc>
          <w:tcPr>
            <w:tcW w:w="964" w:type="dxa"/>
            <w:vAlign w:val="center"/>
          </w:tcPr>
          <w:p w14:paraId="66FBFFA7">
            <w:pPr>
              <w:pStyle w:val="11"/>
            </w:pPr>
          </w:p>
        </w:tc>
        <w:tc>
          <w:tcPr>
            <w:tcW w:w="964" w:type="dxa"/>
            <w:vAlign w:val="center"/>
          </w:tcPr>
          <w:p w14:paraId="67039098">
            <w:pPr>
              <w:pStyle w:val="11"/>
            </w:pPr>
          </w:p>
        </w:tc>
        <w:tc>
          <w:tcPr>
            <w:tcW w:w="964" w:type="dxa"/>
            <w:vAlign w:val="center"/>
          </w:tcPr>
          <w:p w14:paraId="7843EB5A">
            <w:pPr>
              <w:pStyle w:val="11"/>
            </w:pPr>
          </w:p>
        </w:tc>
        <w:tc>
          <w:tcPr>
            <w:tcW w:w="964" w:type="dxa"/>
            <w:vAlign w:val="center"/>
          </w:tcPr>
          <w:p w14:paraId="0E128CDE">
            <w:pPr>
              <w:pStyle w:val="11"/>
            </w:pPr>
            <w:r>
              <w:t>0.30</w:t>
            </w:r>
          </w:p>
        </w:tc>
        <w:tc>
          <w:tcPr>
            <w:tcW w:w="964" w:type="dxa"/>
            <w:vAlign w:val="center"/>
          </w:tcPr>
          <w:p w14:paraId="3F48589F">
            <w:pPr>
              <w:pStyle w:val="11"/>
            </w:pPr>
          </w:p>
        </w:tc>
        <w:tc>
          <w:tcPr>
            <w:tcW w:w="964" w:type="dxa"/>
            <w:vAlign w:val="center"/>
          </w:tcPr>
          <w:p w14:paraId="573459B0">
            <w:pPr>
              <w:pStyle w:val="11"/>
            </w:pPr>
          </w:p>
        </w:tc>
        <w:tc>
          <w:tcPr>
            <w:tcW w:w="964" w:type="dxa"/>
            <w:vAlign w:val="center"/>
          </w:tcPr>
          <w:p w14:paraId="254D3639">
            <w:pPr>
              <w:pStyle w:val="11"/>
            </w:pPr>
          </w:p>
        </w:tc>
        <w:tc>
          <w:tcPr>
            <w:tcW w:w="964" w:type="dxa"/>
            <w:vAlign w:val="center"/>
          </w:tcPr>
          <w:p w14:paraId="172EF46A">
            <w:pPr>
              <w:pStyle w:val="11"/>
            </w:pPr>
            <w:r>
              <w:t>0.30</w:t>
            </w:r>
          </w:p>
        </w:tc>
      </w:tr>
    </w:tbl>
    <w:p w14:paraId="00722C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881059">
      <w:pPr>
        <w:spacing w:before="0" w:after="0"/>
        <w:ind w:firstLine="640"/>
        <w:jc w:val="left"/>
        <w:outlineLvl w:val="9"/>
      </w:pPr>
      <w:r>
        <w:rPr>
          <w:rFonts w:ascii="Times New Roman" w:hAnsi="Times New Roman" w:eastAsia="方正仿宋_GBK" w:cs="Times New Roman"/>
          <w:color w:val="000000"/>
          <w:sz w:val="32"/>
        </w:rPr>
        <w:t xml:space="preserve"> </w:t>
      </w:r>
    </w:p>
    <w:p w14:paraId="08C21864">
      <w:pPr>
        <w:spacing w:before="10" w:after="10" w:line="240" w:lineRule="auto"/>
        <w:ind w:firstLine="640"/>
        <w:jc w:val="left"/>
        <w:outlineLvl w:val="5"/>
      </w:pPr>
      <w:r>
        <w:rPr>
          <w:rFonts w:ascii="黑体" w:hAnsi="黑体" w:eastAsia="黑体" w:cs="黑体"/>
          <w:color w:val="000000"/>
          <w:sz w:val="32"/>
        </w:rPr>
        <w:t>七、国有资产信息</w:t>
      </w:r>
    </w:p>
    <w:p w14:paraId="03F89A30">
      <w:pPr>
        <w:spacing w:before="0" w:after="0" w:line="500" w:lineRule="exact"/>
        <w:ind w:firstLine="560"/>
        <w:jc w:val="left"/>
        <w:outlineLvl w:val="9"/>
      </w:pPr>
      <w:r>
        <w:rPr>
          <w:rFonts w:ascii="Times New Roman" w:hAnsi="Times New Roman" w:eastAsia="方正仿宋_GBK" w:cs="Times New Roman"/>
          <w:b w:val="0"/>
          <w:color w:val="000000"/>
          <w:sz w:val="28"/>
        </w:rPr>
        <w:t>隆尧县教师发展中心上年末固定资产金额为201.46万元（详见下表）。本年度拟购置固定资产总额为20.71万元，已按要求列入政府采购预算，详见政府采购预算表。</w:t>
      </w:r>
    </w:p>
    <w:p w14:paraId="013F2A0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C3A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D4A1AC">
            <w:pPr>
              <w:pStyle w:val="9"/>
            </w:pPr>
            <w:r>
              <w:t>360028隆尧县教师发展中心</w:t>
            </w:r>
          </w:p>
        </w:tc>
        <w:tc>
          <w:tcPr>
            <w:tcW w:w="5670" w:type="dxa"/>
            <w:gridSpan w:val="2"/>
            <w:tcBorders>
              <w:top w:val="single" w:color="FFFFFF" w:sz="6" w:space="0"/>
              <w:left w:val="single" w:color="FFFFFF" w:sz="6" w:space="0"/>
              <w:right w:val="single" w:color="FFFFFF" w:sz="6" w:space="0"/>
            </w:tcBorders>
            <w:vAlign w:val="center"/>
          </w:tcPr>
          <w:p w14:paraId="4F5A3DDC">
            <w:pPr>
              <w:pStyle w:val="7"/>
            </w:pPr>
            <w:r>
              <w:t>截止时间：2025-12-31</w:t>
            </w:r>
          </w:p>
        </w:tc>
      </w:tr>
      <w:tr w14:paraId="7648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774C21">
            <w:pPr>
              <w:pStyle w:val="10"/>
            </w:pPr>
            <w:r>
              <w:t>项   目</w:t>
            </w:r>
          </w:p>
        </w:tc>
        <w:tc>
          <w:tcPr>
            <w:tcW w:w="2835" w:type="dxa"/>
            <w:vAlign w:val="center"/>
          </w:tcPr>
          <w:p w14:paraId="15549D35">
            <w:pPr>
              <w:pStyle w:val="10"/>
            </w:pPr>
            <w:r>
              <w:t>数量</w:t>
            </w:r>
          </w:p>
        </w:tc>
        <w:tc>
          <w:tcPr>
            <w:tcW w:w="2835" w:type="dxa"/>
            <w:vAlign w:val="center"/>
          </w:tcPr>
          <w:p w14:paraId="1F2EB634">
            <w:pPr>
              <w:pStyle w:val="10"/>
            </w:pPr>
            <w:r>
              <w:t>价值（金额单位：万元）</w:t>
            </w:r>
          </w:p>
        </w:tc>
      </w:tr>
      <w:tr w14:paraId="1271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EAFFA0">
            <w:pPr>
              <w:pStyle w:val="12"/>
            </w:pPr>
            <w:r>
              <w:t>资产总额</w:t>
            </w:r>
          </w:p>
        </w:tc>
        <w:tc>
          <w:tcPr>
            <w:tcW w:w="2835" w:type="dxa"/>
            <w:vAlign w:val="center"/>
          </w:tcPr>
          <w:p w14:paraId="4AD684E7">
            <w:pPr>
              <w:pStyle w:val="13"/>
            </w:pPr>
          </w:p>
        </w:tc>
        <w:tc>
          <w:tcPr>
            <w:tcW w:w="2835" w:type="dxa"/>
            <w:vAlign w:val="center"/>
          </w:tcPr>
          <w:p w14:paraId="635DDDB5">
            <w:pPr>
              <w:pStyle w:val="11"/>
            </w:pPr>
            <w:r>
              <w:t>201.46</w:t>
            </w:r>
          </w:p>
        </w:tc>
      </w:tr>
      <w:tr w14:paraId="0B62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A9CF35">
            <w:pPr>
              <w:pStyle w:val="12"/>
            </w:pPr>
            <w:r>
              <w:t>1、房屋（平方米）</w:t>
            </w:r>
          </w:p>
        </w:tc>
        <w:tc>
          <w:tcPr>
            <w:tcW w:w="2835" w:type="dxa"/>
            <w:vAlign w:val="center"/>
          </w:tcPr>
          <w:p w14:paraId="054202CE">
            <w:pPr>
              <w:pStyle w:val="13"/>
            </w:pPr>
          </w:p>
        </w:tc>
        <w:tc>
          <w:tcPr>
            <w:tcW w:w="2835" w:type="dxa"/>
            <w:vAlign w:val="center"/>
          </w:tcPr>
          <w:p w14:paraId="00EDB8EF">
            <w:pPr>
              <w:pStyle w:val="11"/>
            </w:pPr>
          </w:p>
        </w:tc>
      </w:tr>
      <w:tr w14:paraId="1F1E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3C22A2">
            <w:pPr>
              <w:pStyle w:val="12"/>
            </w:pPr>
            <w:r>
              <w:t>　　其中：办公用房（平方米）</w:t>
            </w:r>
          </w:p>
        </w:tc>
        <w:tc>
          <w:tcPr>
            <w:tcW w:w="2835" w:type="dxa"/>
            <w:vAlign w:val="center"/>
          </w:tcPr>
          <w:p w14:paraId="44BE3EBA">
            <w:pPr>
              <w:pStyle w:val="13"/>
            </w:pPr>
          </w:p>
        </w:tc>
        <w:tc>
          <w:tcPr>
            <w:tcW w:w="2835" w:type="dxa"/>
            <w:vAlign w:val="center"/>
          </w:tcPr>
          <w:p w14:paraId="7B92F3ED">
            <w:pPr>
              <w:pStyle w:val="11"/>
            </w:pPr>
          </w:p>
        </w:tc>
      </w:tr>
      <w:tr w14:paraId="27AA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0E821F">
            <w:pPr>
              <w:pStyle w:val="12"/>
            </w:pPr>
            <w:r>
              <w:t>2、车辆（台、辆）</w:t>
            </w:r>
          </w:p>
        </w:tc>
        <w:tc>
          <w:tcPr>
            <w:tcW w:w="2835" w:type="dxa"/>
            <w:vAlign w:val="center"/>
          </w:tcPr>
          <w:p w14:paraId="09CA053D">
            <w:pPr>
              <w:pStyle w:val="13"/>
            </w:pPr>
          </w:p>
        </w:tc>
        <w:tc>
          <w:tcPr>
            <w:tcW w:w="2835" w:type="dxa"/>
            <w:vAlign w:val="center"/>
          </w:tcPr>
          <w:p w14:paraId="2D1B35DA">
            <w:pPr>
              <w:pStyle w:val="11"/>
            </w:pPr>
          </w:p>
        </w:tc>
      </w:tr>
      <w:tr w14:paraId="2126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F667C8">
            <w:pPr>
              <w:pStyle w:val="12"/>
            </w:pPr>
            <w:r>
              <w:t>3、单价在20万元以上的设备</w:t>
            </w:r>
          </w:p>
        </w:tc>
        <w:tc>
          <w:tcPr>
            <w:tcW w:w="2835" w:type="dxa"/>
            <w:vAlign w:val="center"/>
          </w:tcPr>
          <w:p w14:paraId="6F9CA70B">
            <w:pPr>
              <w:pStyle w:val="13"/>
            </w:pPr>
          </w:p>
        </w:tc>
        <w:tc>
          <w:tcPr>
            <w:tcW w:w="2835" w:type="dxa"/>
            <w:vAlign w:val="center"/>
          </w:tcPr>
          <w:p w14:paraId="045BAE30">
            <w:pPr>
              <w:pStyle w:val="11"/>
            </w:pPr>
          </w:p>
        </w:tc>
      </w:tr>
      <w:tr w14:paraId="502F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081089">
            <w:pPr>
              <w:pStyle w:val="12"/>
            </w:pPr>
            <w:r>
              <w:t>4、其他固定资产</w:t>
            </w:r>
          </w:p>
        </w:tc>
        <w:tc>
          <w:tcPr>
            <w:tcW w:w="2835" w:type="dxa"/>
            <w:vAlign w:val="center"/>
          </w:tcPr>
          <w:p w14:paraId="7877294B">
            <w:pPr>
              <w:pStyle w:val="13"/>
            </w:pPr>
            <w:r>
              <w:t>879</w:t>
            </w:r>
          </w:p>
        </w:tc>
        <w:tc>
          <w:tcPr>
            <w:tcW w:w="2835" w:type="dxa"/>
            <w:vAlign w:val="center"/>
          </w:tcPr>
          <w:p w14:paraId="14EF2F4C">
            <w:pPr>
              <w:pStyle w:val="11"/>
            </w:pPr>
            <w:r>
              <w:t>201.46</w:t>
            </w:r>
          </w:p>
        </w:tc>
      </w:tr>
    </w:tbl>
    <w:p w14:paraId="1C0DCE2E">
      <w:pPr>
        <w:spacing w:before="0" w:after="0"/>
        <w:ind w:firstLine="640"/>
        <w:jc w:val="left"/>
        <w:outlineLvl w:val="9"/>
      </w:pPr>
      <w:r>
        <w:rPr>
          <w:rFonts w:ascii="Times New Roman" w:hAnsi="Times New Roman" w:eastAsia="方正仿宋_GBK" w:cs="Times New Roman"/>
          <w:color w:val="000000"/>
          <w:sz w:val="32"/>
        </w:rPr>
        <w:t xml:space="preserve"> </w:t>
      </w:r>
    </w:p>
    <w:p w14:paraId="029E23A4">
      <w:pPr>
        <w:spacing w:before="10" w:after="10" w:line="240" w:lineRule="auto"/>
        <w:ind w:firstLine="640"/>
        <w:jc w:val="left"/>
        <w:outlineLvl w:val="5"/>
      </w:pPr>
      <w:r>
        <w:rPr>
          <w:rFonts w:ascii="黑体" w:hAnsi="黑体" w:eastAsia="黑体" w:cs="黑体"/>
          <w:color w:val="000000"/>
          <w:sz w:val="32"/>
        </w:rPr>
        <w:t>八、名词解释</w:t>
      </w:r>
    </w:p>
    <w:p w14:paraId="21B3D8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FD3E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7391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330E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D8C82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E1276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6330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35496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12A05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C2855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B507B0">
      <w:pPr>
        <w:spacing w:before="10" w:after="10" w:line="240" w:lineRule="auto"/>
        <w:ind w:firstLine="640"/>
        <w:jc w:val="left"/>
        <w:outlineLvl w:val="5"/>
      </w:pPr>
      <w:r>
        <w:rPr>
          <w:rFonts w:ascii="黑体" w:hAnsi="黑体" w:eastAsia="黑体" w:cs="黑体"/>
          <w:color w:val="000000"/>
          <w:sz w:val="32"/>
        </w:rPr>
        <w:t>九、其他需要说明的事项</w:t>
      </w:r>
    </w:p>
    <w:p w14:paraId="2740DF2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0892AC8">
      <w:pPr>
        <w:spacing w:before="0" w:after="0"/>
        <w:ind w:firstLine="0"/>
        <w:jc w:val="center"/>
        <w:outlineLvl w:val="3"/>
      </w:pPr>
      <w:bookmarkStart w:id="27" w:name="_Toc_4_4_0000000028"/>
      <w:r>
        <w:rPr>
          <w:rFonts w:ascii="方正小标宋_GBK" w:hAnsi="方正小标宋_GBK" w:eastAsia="方正小标宋_GBK" w:cs="方正小标宋_GBK"/>
          <w:b w:val="0"/>
          <w:color w:val="000000"/>
          <w:sz w:val="44"/>
        </w:rPr>
        <w:t>二十八、隆尧县实验幼儿园收支预算</w:t>
      </w:r>
      <w:bookmarkEnd w:id="27"/>
    </w:p>
    <w:p w14:paraId="529E39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A4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23C82C">
            <w:pPr>
              <w:pStyle w:val="9"/>
            </w:pPr>
            <w:r>
              <w:t>360029隆尧县实验幼儿园</w:t>
            </w:r>
          </w:p>
        </w:tc>
        <w:tc>
          <w:tcPr>
            <w:tcW w:w="2126" w:type="dxa"/>
            <w:tcBorders>
              <w:top w:val="single" w:color="FFFFFF" w:sz="6" w:space="0"/>
              <w:left w:val="single" w:color="FFFFFF" w:sz="6" w:space="0"/>
              <w:right w:val="single" w:color="FFFFFF" w:sz="6" w:space="0"/>
            </w:tcBorders>
            <w:vAlign w:val="center"/>
          </w:tcPr>
          <w:p w14:paraId="40AAEB6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C123ED0">
            <w:pPr>
              <w:pStyle w:val="7"/>
            </w:pPr>
            <w:r>
              <w:t>单位：万元</w:t>
            </w:r>
          </w:p>
        </w:tc>
      </w:tr>
      <w:tr w14:paraId="4157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1C4C23">
            <w:pPr>
              <w:pStyle w:val="10"/>
            </w:pPr>
            <w:r>
              <w:t>序号</w:t>
            </w:r>
          </w:p>
        </w:tc>
        <w:tc>
          <w:tcPr>
            <w:tcW w:w="6661" w:type="dxa"/>
            <w:gridSpan w:val="2"/>
            <w:vAlign w:val="center"/>
          </w:tcPr>
          <w:p w14:paraId="4BF11B24">
            <w:pPr>
              <w:pStyle w:val="10"/>
            </w:pPr>
            <w:r>
              <w:t>收入</w:t>
            </w:r>
          </w:p>
        </w:tc>
        <w:tc>
          <w:tcPr>
            <w:tcW w:w="6661" w:type="dxa"/>
            <w:gridSpan w:val="2"/>
            <w:vAlign w:val="center"/>
          </w:tcPr>
          <w:p w14:paraId="35C65DEF">
            <w:pPr>
              <w:pStyle w:val="10"/>
            </w:pPr>
            <w:r>
              <w:t>支出</w:t>
            </w:r>
          </w:p>
        </w:tc>
      </w:tr>
      <w:tr w14:paraId="7386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8B701"/>
        </w:tc>
        <w:tc>
          <w:tcPr>
            <w:tcW w:w="4535" w:type="dxa"/>
            <w:vAlign w:val="center"/>
          </w:tcPr>
          <w:p w14:paraId="51FD3397">
            <w:pPr>
              <w:pStyle w:val="10"/>
            </w:pPr>
            <w:r>
              <w:t>项  目</w:t>
            </w:r>
          </w:p>
        </w:tc>
        <w:tc>
          <w:tcPr>
            <w:tcW w:w="2126" w:type="dxa"/>
            <w:vAlign w:val="center"/>
          </w:tcPr>
          <w:p w14:paraId="04C277CF">
            <w:pPr>
              <w:pStyle w:val="10"/>
            </w:pPr>
            <w:r>
              <w:t>预算数</w:t>
            </w:r>
          </w:p>
        </w:tc>
        <w:tc>
          <w:tcPr>
            <w:tcW w:w="4535" w:type="dxa"/>
            <w:vAlign w:val="center"/>
          </w:tcPr>
          <w:p w14:paraId="71B1ACDA">
            <w:pPr>
              <w:pStyle w:val="10"/>
            </w:pPr>
            <w:r>
              <w:t>项  目</w:t>
            </w:r>
          </w:p>
        </w:tc>
        <w:tc>
          <w:tcPr>
            <w:tcW w:w="2126" w:type="dxa"/>
            <w:vAlign w:val="center"/>
          </w:tcPr>
          <w:p w14:paraId="06E0DCCD">
            <w:pPr>
              <w:pStyle w:val="10"/>
            </w:pPr>
            <w:r>
              <w:t>预算数</w:t>
            </w:r>
          </w:p>
        </w:tc>
      </w:tr>
      <w:tr w14:paraId="2618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4FEB0D">
            <w:pPr>
              <w:pStyle w:val="10"/>
            </w:pPr>
            <w:r>
              <w:t>栏次</w:t>
            </w:r>
          </w:p>
        </w:tc>
        <w:tc>
          <w:tcPr>
            <w:tcW w:w="4535" w:type="dxa"/>
            <w:vAlign w:val="center"/>
          </w:tcPr>
          <w:p w14:paraId="6164F41C">
            <w:pPr>
              <w:pStyle w:val="10"/>
            </w:pPr>
            <w:r>
              <w:t>1</w:t>
            </w:r>
          </w:p>
        </w:tc>
        <w:tc>
          <w:tcPr>
            <w:tcW w:w="2126" w:type="dxa"/>
            <w:vAlign w:val="center"/>
          </w:tcPr>
          <w:p w14:paraId="791815FD">
            <w:pPr>
              <w:pStyle w:val="10"/>
            </w:pPr>
            <w:r>
              <w:t>2</w:t>
            </w:r>
          </w:p>
        </w:tc>
        <w:tc>
          <w:tcPr>
            <w:tcW w:w="4535" w:type="dxa"/>
            <w:vAlign w:val="center"/>
          </w:tcPr>
          <w:p w14:paraId="7A968315">
            <w:pPr>
              <w:pStyle w:val="10"/>
            </w:pPr>
            <w:r>
              <w:t>3</w:t>
            </w:r>
          </w:p>
        </w:tc>
        <w:tc>
          <w:tcPr>
            <w:tcW w:w="2126" w:type="dxa"/>
            <w:vAlign w:val="center"/>
          </w:tcPr>
          <w:p w14:paraId="693A9AA6">
            <w:pPr>
              <w:pStyle w:val="10"/>
            </w:pPr>
            <w:r>
              <w:t>4</w:t>
            </w:r>
          </w:p>
        </w:tc>
      </w:tr>
      <w:tr w14:paraId="3B11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E62A">
            <w:pPr>
              <w:pStyle w:val="13"/>
            </w:pPr>
            <w:r>
              <w:t>1</w:t>
            </w:r>
          </w:p>
        </w:tc>
        <w:tc>
          <w:tcPr>
            <w:tcW w:w="4535" w:type="dxa"/>
            <w:vAlign w:val="center"/>
          </w:tcPr>
          <w:p w14:paraId="55D20113">
            <w:pPr>
              <w:pStyle w:val="12"/>
            </w:pPr>
            <w:r>
              <w:t>一、一般公共预算拨款收入</w:t>
            </w:r>
          </w:p>
        </w:tc>
        <w:tc>
          <w:tcPr>
            <w:tcW w:w="2126" w:type="dxa"/>
            <w:vAlign w:val="center"/>
          </w:tcPr>
          <w:p w14:paraId="1AFEA1C7">
            <w:pPr>
              <w:pStyle w:val="11"/>
            </w:pPr>
            <w:r>
              <w:t>231.88</w:t>
            </w:r>
          </w:p>
        </w:tc>
        <w:tc>
          <w:tcPr>
            <w:tcW w:w="4535" w:type="dxa"/>
            <w:vAlign w:val="center"/>
          </w:tcPr>
          <w:p w14:paraId="449343DB">
            <w:pPr>
              <w:pStyle w:val="12"/>
            </w:pPr>
            <w:r>
              <w:t>一、一般公共服务支出</w:t>
            </w:r>
          </w:p>
        </w:tc>
        <w:tc>
          <w:tcPr>
            <w:tcW w:w="2126" w:type="dxa"/>
            <w:vAlign w:val="center"/>
          </w:tcPr>
          <w:p w14:paraId="4C3A2DDB">
            <w:pPr>
              <w:pStyle w:val="11"/>
            </w:pPr>
          </w:p>
        </w:tc>
      </w:tr>
      <w:tr w14:paraId="2A24B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323C0">
            <w:pPr>
              <w:pStyle w:val="13"/>
            </w:pPr>
            <w:r>
              <w:t>2</w:t>
            </w:r>
          </w:p>
        </w:tc>
        <w:tc>
          <w:tcPr>
            <w:tcW w:w="4535" w:type="dxa"/>
            <w:vAlign w:val="center"/>
          </w:tcPr>
          <w:p w14:paraId="3AE2E152">
            <w:pPr>
              <w:pStyle w:val="12"/>
            </w:pPr>
            <w:r>
              <w:t>二、政府性基金预算拨款收入</w:t>
            </w:r>
          </w:p>
        </w:tc>
        <w:tc>
          <w:tcPr>
            <w:tcW w:w="2126" w:type="dxa"/>
            <w:vAlign w:val="center"/>
          </w:tcPr>
          <w:p w14:paraId="73AB38DE">
            <w:pPr>
              <w:pStyle w:val="11"/>
            </w:pPr>
          </w:p>
        </w:tc>
        <w:tc>
          <w:tcPr>
            <w:tcW w:w="4535" w:type="dxa"/>
            <w:vAlign w:val="center"/>
          </w:tcPr>
          <w:p w14:paraId="4D6A8CC0">
            <w:pPr>
              <w:pStyle w:val="12"/>
            </w:pPr>
            <w:r>
              <w:t>二、外交支出</w:t>
            </w:r>
          </w:p>
        </w:tc>
        <w:tc>
          <w:tcPr>
            <w:tcW w:w="2126" w:type="dxa"/>
            <w:vAlign w:val="center"/>
          </w:tcPr>
          <w:p w14:paraId="5D31BCD9">
            <w:pPr>
              <w:pStyle w:val="11"/>
            </w:pPr>
          </w:p>
        </w:tc>
      </w:tr>
      <w:tr w14:paraId="2BB9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8F41B">
            <w:pPr>
              <w:pStyle w:val="13"/>
            </w:pPr>
            <w:r>
              <w:t>3</w:t>
            </w:r>
          </w:p>
        </w:tc>
        <w:tc>
          <w:tcPr>
            <w:tcW w:w="4535" w:type="dxa"/>
            <w:vAlign w:val="center"/>
          </w:tcPr>
          <w:p w14:paraId="17B14C68">
            <w:pPr>
              <w:pStyle w:val="12"/>
            </w:pPr>
            <w:r>
              <w:t>三、国有资本经营预算拨款收入</w:t>
            </w:r>
          </w:p>
        </w:tc>
        <w:tc>
          <w:tcPr>
            <w:tcW w:w="2126" w:type="dxa"/>
            <w:vAlign w:val="center"/>
          </w:tcPr>
          <w:p w14:paraId="1BE03851">
            <w:pPr>
              <w:pStyle w:val="11"/>
            </w:pPr>
          </w:p>
        </w:tc>
        <w:tc>
          <w:tcPr>
            <w:tcW w:w="4535" w:type="dxa"/>
            <w:vAlign w:val="center"/>
          </w:tcPr>
          <w:p w14:paraId="15DD6F12">
            <w:pPr>
              <w:pStyle w:val="12"/>
            </w:pPr>
            <w:r>
              <w:t>三、国防支出</w:t>
            </w:r>
          </w:p>
        </w:tc>
        <w:tc>
          <w:tcPr>
            <w:tcW w:w="2126" w:type="dxa"/>
            <w:vAlign w:val="center"/>
          </w:tcPr>
          <w:p w14:paraId="10189B84">
            <w:pPr>
              <w:pStyle w:val="11"/>
            </w:pPr>
          </w:p>
        </w:tc>
      </w:tr>
      <w:tr w14:paraId="45BD3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B2C6">
            <w:pPr>
              <w:pStyle w:val="13"/>
            </w:pPr>
            <w:r>
              <w:t>4</w:t>
            </w:r>
          </w:p>
        </w:tc>
        <w:tc>
          <w:tcPr>
            <w:tcW w:w="4535" w:type="dxa"/>
            <w:vAlign w:val="center"/>
          </w:tcPr>
          <w:p w14:paraId="4FB3579A">
            <w:pPr>
              <w:pStyle w:val="12"/>
            </w:pPr>
            <w:r>
              <w:t>四、财政专户管理资金收入</w:t>
            </w:r>
          </w:p>
        </w:tc>
        <w:tc>
          <w:tcPr>
            <w:tcW w:w="2126" w:type="dxa"/>
            <w:vAlign w:val="center"/>
          </w:tcPr>
          <w:p w14:paraId="68FC0007">
            <w:pPr>
              <w:pStyle w:val="11"/>
            </w:pPr>
          </w:p>
        </w:tc>
        <w:tc>
          <w:tcPr>
            <w:tcW w:w="4535" w:type="dxa"/>
            <w:vAlign w:val="center"/>
          </w:tcPr>
          <w:p w14:paraId="2FE8C073">
            <w:pPr>
              <w:pStyle w:val="12"/>
            </w:pPr>
            <w:r>
              <w:t>四、公共安全支出</w:t>
            </w:r>
          </w:p>
        </w:tc>
        <w:tc>
          <w:tcPr>
            <w:tcW w:w="2126" w:type="dxa"/>
            <w:vAlign w:val="center"/>
          </w:tcPr>
          <w:p w14:paraId="1E9CC110">
            <w:pPr>
              <w:pStyle w:val="11"/>
            </w:pPr>
          </w:p>
        </w:tc>
      </w:tr>
      <w:tr w14:paraId="6DE7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094B">
            <w:pPr>
              <w:pStyle w:val="13"/>
            </w:pPr>
            <w:r>
              <w:t>5</w:t>
            </w:r>
          </w:p>
        </w:tc>
        <w:tc>
          <w:tcPr>
            <w:tcW w:w="4535" w:type="dxa"/>
            <w:vAlign w:val="center"/>
          </w:tcPr>
          <w:p w14:paraId="6870D0C4">
            <w:pPr>
              <w:pStyle w:val="12"/>
            </w:pPr>
            <w:r>
              <w:t>五、单位资金</w:t>
            </w:r>
          </w:p>
        </w:tc>
        <w:tc>
          <w:tcPr>
            <w:tcW w:w="2126" w:type="dxa"/>
            <w:vAlign w:val="center"/>
          </w:tcPr>
          <w:p w14:paraId="57338E35">
            <w:pPr>
              <w:pStyle w:val="11"/>
            </w:pPr>
          </w:p>
        </w:tc>
        <w:tc>
          <w:tcPr>
            <w:tcW w:w="4535" w:type="dxa"/>
            <w:vAlign w:val="center"/>
          </w:tcPr>
          <w:p w14:paraId="481C80B0">
            <w:pPr>
              <w:pStyle w:val="12"/>
            </w:pPr>
            <w:r>
              <w:t>五、教育支出</w:t>
            </w:r>
          </w:p>
        </w:tc>
        <w:tc>
          <w:tcPr>
            <w:tcW w:w="2126" w:type="dxa"/>
            <w:vAlign w:val="center"/>
          </w:tcPr>
          <w:p w14:paraId="669772F4">
            <w:pPr>
              <w:pStyle w:val="11"/>
            </w:pPr>
            <w:r>
              <w:t>231.88</w:t>
            </w:r>
          </w:p>
        </w:tc>
      </w:tr>
      <w:tr w14:paraId="79EC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2EC0">
            <w:pPr>
              <w:pStyle w:val="13"/>
            </w:pPr>
            <w:r>
              <w:t>6</w:t>
            </w:r>
          </w:p>
        </w:tc>
        <w:tc>
          <w:tcPr>
            <w:tcW w:w="4535" w:type="dxa"/>
            <w:vAlign w:val="center"/>
          </w:tcPr>
          <w:p w14:paraId="7C18B833">
            <w:pPr>
              <w:pStyle w:val="12"/>
            </w:pPr>
          </w:p>
        </w:tc>
        <w:tc>
          <w:tcPr>
            <w:tcW w:w="2126" w:type="dxa"/>
            <w:vAlign w:val="center"/>
          </w:tcPr>
          <w:p w14:paraId="2A2EF2E8">
            <w:pPr>
              <w:pStyle w:val="11"/>
            </w:pPr>
          </w:p>
        </w:tc>
        <w:tc>
          <w:tcPr>
            <w:tcW w:w="4535" w:type="dxa"/>
            <w:vAlign w:val="center"/>
          </w:tcPr>
          <w:p w14:paraId="5FFA5AEA">
            <w:pPr>
              <w:pStyle w:val="12"/>
            </w:pPr>
            <w:r>
              <w:t>六、科学技术支出</w:t>
            </w:r>
          </w:p>
        </w:tc>
        <w:tc>
          <w:tcPr>
            <w:tcW w:w="2126" w:type="dxa"/>
            <w:vAlign w:val="center"/>
          </w:tcPr>
          <w:p w14:paraId="41C57A2E">
            <w:pPr>
              <w:pStyle w:val="11"/>
            </w:pPr>
          </w:p>
        </w:tc>
      </w:tr>
      <w:tr w14:paraId="10AC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B5BCA">
            <w:pPr>
              <w:pStyle w:val="13"/>
            </w:pPr>
            <w:r>
              <w:t>7</w:t>
            </w:r>
          </w:p>
        </w:tc>
        <w:tc>
          <w:tcPr>
            <w:tcW w:w="4535" w:type="dxa"/>
            <w:vAlign w:val="center"/>
          </w:tcPr>
          <w:p w14:paraId="4A0A94BE">
            <w:pPr>
              <w:pStyle w:val="12"/>
            </w:pPr>
          </w:p>
        </w:tc>
        <w:tc>
          <w:tcPr>
            <w:tcW w:w="2126" w:type="dxa"/>
            <w:vAlign w:val="center"/>
          </w:tcPr>
          <w:p w14:paraId="4F0C664C">
            <w:pPr>
              <w:pStyle w:val="11"/>
            </w:pPr>
          </w:p>
        </w:tc>
        <w:tc>
          <w:tcPr>
            <w:tcW w:w="4535" w:type="dxa"/>
            <w:vAlign w:val="center"/>
          </w:tcPr>
          <w:p w14:paraId="76BCB4F3">
            <w:pPr>
              <w:pStyle w:val="12"/>
            </w:pPr>
            <w:r>
              <w:t>七、文化旅游体育与传媒支出</w:t>
            </w:r>
          </w:p>
        </w:tc>
        <w:tc>
          <w:tcPr>
            <w:tcW w:w="2126" w:type="dxa"/>
            <w:vAlign w:val="center"/>
          </w:tcPr>
          <w:p w14:paraId="6E6675C4">
            <w:pPr>
              <w:pStyle w:val="11"/>
            </w:pPr>
          </w:p>
        </w:tc>
      </w:tr>
      <w:tr w14:paraId="4F5D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9724E">
            <w:pPr>
              <w:pStyle w:val="13"/>
            </w:pPr>
            <w:r>
              <w:t>8</w:t>
            </w:r>
          </w:p>
        </w:tc>
        <w:tc>
          <w:tcPr>
            <w:tcW w:w="4535" w:type="dxa"/>
            <w:vAlign w:val="center"/>
          </w:tcPr>
          <w:p w14:paraId="402151DA">
            <w:pPr>
              <w:pStyle w:val="12"/>
            </w:pPr>
          </w:p>
        </w:tc>
        <w:tc>
          <w:tcPr>
            <w:tcW w:w="2126" w:type="dxa"/>
            <w:vAlign w:val="center"/>
          </w:tcPr>
          <w:p w14:paraId="6E781BB2">
            <w:pPr>
              <w:pStyle w:val="11"/>
            </w:pPr>
          </w:p>
        </w:tc>
        <w:tc>
          <w:tcPr>
            <w:tcW w:w="4535" w:type="dxa"/>
            <w:vAlign w:val="center"/>
          </w:tcPr>
          <w:p w14:paraId="17357180">
            <w:pPr>
              <w:pStyle w:val="12"/>
            </w:pPr>
            <w:r>
              <w:t>八、社会保障和就业支出</w:t>
            </w:r>
          </w:p>
        </w:tc>
        <w:tc>
          <w:tcPr>
            <w:tcW w:w="2126" w:type="dxa"/>
            <w:vAlign w:val="center"/>
          </w:tcPr>
          <w:p w14:paraId="1A049683">
            <w:pPr>
              <w:pStyle w:val="11"/>
            </w:pPr>
          </w:p>
        </w:tc>
      </w:tr>
      <w:tr w14:paraId="4AEB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108B5">
            <w:pPr>
              <w:pStyle w:val="13"/>
            </w:pPr>
            <w:r>
              <w:t>9</w:t>
            </w:r>
          </w:p>
        </w:tc>
        <w:tc>
          <w:tcPr>
            <w:tcW w:w="4535" w:type="dxa"/>
            <w:vAlign w:val="center"/>
          </w:tcPr>
          <w:p w14:paraId="1CDA4F33">
            <w:pPr>
              <w:pStyle w:val="12"/>
            </w:pPr>
          </w:p>
        </w:tc>
        <w:tc>
          <w:tcPr>
            <w:tcW w:w="2126" w:type="dxa"/>
            <w:vAlign w:val="center"/>
          </w:tcPr>
          <w:p w14:paraId="4FB23889">
            <w:pPr>
              <w:pStyle w:val="11"/>
            </w:pPr>
          </w:p>
        </w:tc>
        <w:tc>
          <w:tcPr>
            <w:tcW w:w="4535" w:type="dxa"/>
            <w:vAlign w:val="center"/>
          </w:tcPr>
          <w:p w14:paraId="30DBFC65">
            <w:pPr>
              <w:pStyle w:val="12"/>
            </w:pPr>
            <w:r>
              <w:t>九、社会保险基金支出</w:t>
            </w:r>
          </w:p>
        </w:tc>
        <w:tc>
          <w:tcPr>
            <w:tcW w:w="2126" w:type="dxa"/>
            <w:vAlign w:val="center"/>
          </w:tcPr>
          <w:p w14:paraId="183EA036">
            <w:pPr>
              <w:pStyle w:val="11"/>
            </w:pPr>
          </w:p>
        </w:tc>
      </w:tr>
      <w:tr w14:paraId="7B9D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1B2A0">
            <w:pPr>
              <w:pStyle w:val="13"/>
            </w:pPr>
            <w:r>
              <w:t>10</w:t>
            </w:r>
          </w:p>
        </w:tc>
        <w:tc>
          <w:tcPr>
            <w:tcW w:w="4535" w:type="dxa"/>
            <w:vAlign w:val="center"/>
          </w:tcPr>
          <w:p w14:paraId="2B219C9E">
            <w:pPr>
              <w:pStyle w:val="12"/>
            </w:pPr>
          </w:p>
        </w:tc>
        <w:tc>
          <w:tcPr>
            <w:tcW w:w="2126" w:type="dxa"/>
            <w:vAlign w:val="center"/>
          </w:tcPr>
          <w:p w14:paraId="01F6474D">
            <w:pPr>
              <w:pStyle w:val="11"/>
            </w:pPr>
          </w:p>
        </w:tc>
        <w:tc>
          <w:tcPr>
            <w:tcW w:w="4535" w:type="dxa"/>
            <w:vAlign w:val="center"/>
          </w:tcPr>
          <w:p w14:paraId="3BBBE300">
            <w:pPr>
              <w:pStyle w:val="12"/>
            </w:pPr>
            <w:r>
              <w:t>十、卫生健康支出</w:t>
            </w:r>
          </w:p>
        </w:tc>
        <w:tc>
          <w:tcPr>
            <w:tcW w:w="2126" w:type="dxa"/>
            <w:vAlign w:val="center"/>
          </w:tcPr>
          <w:p w14:paraId="489A9174">
            <w:pPr>
              <w:pStyle w:val="11"/>
            </w:pPr>
          </w:p>
        </w:tc>
      </w:tr>
      <w:tr w14:paraId="3711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F2C7">
            <w:pPr>
              <w:pStyle w:val="13"/>
            </w:pPr>
            <w:r>
              <w:t>11</w:t>
            </w:r>
          </w:p>
        </w:tc>
        <w:tc>
          <w:tcPr>
            <w:tcW w:w="4535" w:type="dxa"/>
            <w:vAlign w:val="center"/>
          </w:tcPr>
          <w:p w14:paraId="2D7DBA22">
            <w:pPr>
              <w:pStyle w:val="12"/>
            </w:pPr>
          </w:p>
        </w:tc>
        <w:tc>
          <w:tcPr>
            <w:tcW w:w="2126" w:type="dxa"/>
            <w:vAlign w:val="center"/>
          </w:tcPr>
          <w:p w14:paraId="221FB647">
            <w:pPr>
              <w:pStyle w:val="11"/>
            </w:pPr>
          </w:p>
        </w:tc>
        <w:tc>
          <w:tcPr>
            <w:tcW w:w="4535" w:type="dxa"/>
            <w:vAlign w:val="center"/>
          </w:tcPr>
          <w:p w14:paraId="23FA2919">
            <w:pPr>
              <w:pStyle w:val="12"/>
            </w:pPr>
            <w:r>
              <w:t>十一、节能环保支出</w:t>
            </w:r>
          </w:p>
        </w:tc>
        <w:tc>
          <w:tcPr>
            <w:tcW w:w="2126" w:type="dxa"/>
            <w:vAlign w:val="center"/>
          </w:tcPr>
          <w:p w14:paraId="1F80EF8D">
            <w:pPr>
              <w:pStyle w:val="11"/>
            </w:pPr>
          </w:p>
        </w:tc>
      </w:tr>
      <w:tr w14:paraId="39D6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EFF61">
            <w:pPr>
              <w:pStyle w:val="13"/>
            </w:pPr>
            <w:r>
              <w:t>12</w:t>
            </w:r>
          </w:p>
        </w:tc>
        <w:tc>
          <w:tcPr>
            <w:tcW w:w="4535" w:type="dxa"/>
            <w:vAlign w:val="center"/>
          </w:tcPr>
          <w:p w14:paraId="6700B69D">
            <w:pPr>
              <w:pStyle w:val="12"/>
            </w:pPr>
          </w:p>
        </w:tc>
        <w:tc>
          <w:tcPr>
            <w:tcW w:w="2126" w:type="dxa"/>
            <w:vAlign w:val="center"/>
          </w:tcPr>
          <w:p w14:paraId="0CB9F6D5">
            <w:pPr>
              <w:pStyle w:val="11"/>
            </w:pPr>
          </w:p>
        </w:tc>
        <w:tc>
          <w:tcPr>
            <w:tcW w:w="4535" w:type="dxa"/>
            <w:vAlign w:val="center"/>
          </w:tcPr>
          <w:p w14:paraId="5AFC8E70">
            <w:pPr>
              <w:pStyle w:val="12"/>
            </w:pPr>
            <w:r>
              <w:t>十二、城乡社区支出</w:t>
            </w:r>
          </w:p>
        </w:tc>
        <w:tc>
          <w:tcPr>
            <w:tcW w:w="2126" w:type="dxa"/>
            <w:vAlign w:val="center"/>
          </w:tcPr>
          <w:p w14:paraId="29842EC4">
            <w:pPr>
              <w:pStyle w:val="11"/>
            </w:pPr>
          </w:p>
        </w:tc>
      </w:tr>
      <w:tr w14:paraId="4E4A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14812">
            <w:pPr>
              <w:pStyle w:val="13"/>
            </w:pPr>
            <w:r>
              <w:t>13</w:t>
            </w:r>
          </w:p>
        </w:tc>
        <w:tc>
          <w:tcPr>
            <w:tcW w:w="4535" w:type="dxa"/>
            <w:vAlign w:val="center"/>
          </w:tcPr>
          <w:p w14:paraId="08950EF5">
            <w:pPr>
              <w:pStyle w:val="12"/>
            </w:pPr>
          </w:p>
        </w:tc>
        <w:tc>
          <w:tcPr>
            <w:tcW w:w="2126" w:type="dxa"/>
            <w:vAlign w:val="center"/>
          </w:tcPr>
          <w:p w14:paraId="0F80FD5C">
            <w:pPr>
              <w:pStyle w:val="11"/>
            </w:pPr>
          </w:p>
        </w:tc>
        <w:tc>
          <w:tcPr>
            <w:tcW w:w="4535" w:type="dxa"/>
            <w:vAlign w:val="center"/>
          </w:tcPr>
          <w:p w14:paraId="28A2B99B">
            <w:pPr>
              <w:pStyle w:val="12"/>
            </w:pPr>
            <w:r>
              <w:t>十三、农林水支出</w:t>
            </w:r>
          </w:p>
        </w:tc>
        <w:tc>
          <w:tcPr>
            <w:tcW w:w="2126" w:type="dxa"/>
            <w:vAlign w:val="center"/>
          </w:tcPr>
          <w:p w14:paraId="4CFB436E">
            <w:pPr>
              <w:pStyle w:val="11"/>
            </w:pPr>
          </w:p>
        </w:tc>
      </w:tr>
      <w:tr w14:paraId="2AFA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3A978">
            <w:pPr>
              <w:pStyle w:val="13"/>
            </w:pPr>
            <w:r>
              <w:t>14</w:t>
            </w:r>
          </w:p>
        </w:tc>
        <w:tc>
          <w:tcPr>
            <w:tcW w:w="4535" w:type="dxa"/>
            <w:vAlign w:val="center"/>
          </w:tcPr>
          <w:p w14:paraId="23AC6361">
            <w:pPr>
              <w:pStyle w:val="12"/>
            </w:pPr>
          </w:p>
        </w:tc>
        <w:tc>
          <w:tcPr>
            <w:tcW w:w="2126" w:type="dxa"/>
            <w:vAlign w:val="center"/>
          </w:tcPr>
          <w:p w14:paraId="748CC1AF">
            <w:pPr>
              <w:pStyle w:val="11"/>
            </w:pPr>
          </w:p>
        </w:tc>
        <w:tc>
          <w:tcPr>
            <w:tcW w:w="4535" w:type="dxa"/>
            <w:vAlign w:val="center"/>
          </w:tcPr>
          <w:p w14:paraId="129D411B">
            <w:pPr>
              <w:pStyle w:val="12"/>
            </w:pPr>
            <w:r>
              <w:t>十四、交通运输支出</w:t>
            </w:r>
          </w:p>
        </w:tc>
        <w:tc>
          <w:tcPr>
            <w:tcW w:w="2126" w:type="dxa"/>
            <w:vAlign w:val="center"/>
          </w:tcPr>
          <w:p w14:paraId="1B526C14">
            <w:pPr>
              <w:pStyle w:val="11"/>
            </w:pPr>
          </w:p>
        </w:tc>
      </w:tr>
      <w:tr w14:paraId="13CC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8193B">
            <w:pPr>
              <w:pStyle w:val="13"/>
            </w:pPr>
            <w:r>
              <w:t>15</w:t>
            </w:r>
          </w:p>
        </w:tc>
        <w:tc>
          <w:tcPr>
            <w:tcW w:w="4535" w:type="dxa"/>
            <w:vAlign w:val="center"/>
          </w:tcPr>
          <w:p w14:paraId="3773A091">
            <w:pPr>
              <w:pStyle w:val="12"/>
            </w:pPr>
          </w:p>
        </w:tc>
        <w:tc>
          <w:tcPr>
            <w:tcW w:w="2126" w:type="dxa"/>
            <w:vAlign w:val="center"/>
          </w:tcPr>
          <w:p w14:paraId="7E4DBCF5">
            <w:pPr>
              <w:pStyle w:val="11"/>
            </w:pPr>
          </w:p>
        </w:tc>
        <w:tc>
          <w:tcPr>
            <w:tcW w:w="4535" w:type="dxa"/>
            <w:vAlign w:val="center"/>
          </w:tcPr>
          <w:p w14:paraId="14B43F74">
            <w:pPr>
              <w:pStyle w:val="12"/>
            </w:pPr>
            <w:r>
              <w:t>十五、资源勘探工业信息等支出</w:t>
            </w:r>
          </w:p>
        </w:tc>
        <w:tc>
          <w:tcPr>
            <w:tcW w:w="2126" w:type="dxa"/>
            <w:vAlign w:val="center"/>
          </w:tcPr>
          <w:p w14:paraId="3FE92143">
            <w:pPr>
              <w:pStyle w:val="11"/>
            </w:pPr>
          </w:p>
        </w:tc>
      </w:tr>
      <w:tr w14:paraId="7106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6FB4">
            <w:pPr>
              <w:pStyle w:val="13"/>
            </w:pPr>
            <w:r>
              <w:t>16</w:t>
            </w:r>
          </w:p>
        </w:tc>
        <w:tc>
          <w:tcPr>
            <w:tcW w:w="4535" w:type="dxa"/>
            <w:vAlign w:val="center"/>
          </w:tcPr>
          <w:p w14:paraId="58FEB64B">
            <w:pPr>
              <w:pStyle w:val="12"/>
            </w:pPr>
          </w:p>
        </w:tc>
        <w:tc>
          <w:tcPr>
            <w:tcW w:w="2126" w:type="dxa"/>
            <w:vAlign w:val="center"/>
          </w:tcPr>
          <w:p w14:paraId="31775A55">
            <w:pPr>
              <w:pStyle w:val="11"/>
            </w:pPr>
          </w:p>
        </w:tc>
        <w:tc>
          <w:tcPr>
            <w:tcW w:w="4535" w:type="dxa"/>
            <w:vAlign w:val="center"/>
          </w:tcPr>
          <w:p w14:paraId="15C670C4">
            <w:pPr>
              <w:pStyle w:val="12"/>
            </w:pPr>
            <w:r>
              <w:t>十六、商业服务业等支出</w:t>
            </w:r>
          </w:p>
        </w:tc>
        <w:tc>
          <w:tcPr>
            <w:tcW w:w="2126" w:type="dxa"/>
            <w:vAlign w:val="center"/>
          </w:tcPr>
          <w:p w14:paraId="73842A8E">
            <w:pPr>
              <w:pStyle w:val="11"/>
            </w:pPr>
          </w:p>
        </w:tc>
      </w:tr>
      <w:tr w14:paraId="7394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7AAE3">
            <w:pPr>
              <w:pStyle w:val="13"/>
            </w:pPr>
            <w:r>
              <w:t>17</w:t>
            </w:r>
          </w:p>
        </w:tc>
        <w:tc>
          <w:tcPr>
            <w:tcW w:w="4535" w:type="dxa"/>
            <w:vAlign w:val="center"/>
          </w:tcPr>
          <w:p w14:paraId="61DF1A10">
            <w:pPr>
              <w:pStyle w:val="12"/>
            </w:pPr>
          </w:p>
        </w:tc>
        <w:tc>
          <w:tcPr>
            <w:tcW w:w="2126" w:type="dxa"/>
            <w:vAlign w:val="center"/>
          </w:tcPr>
          <w:p w14:paraId="258A3B68">
            <w:pPr>
              <w:pStyle w:val="11"/>
            </w:pPr>
          </w:p>
        </w:tc>
        <w:tc>
          <w:tcPr>
            <w:tcW w:w="4535" w:type="dxa"/>
            <w:vAlign w:val="center"/>
          </w:tcPr>
          <w:p w14:paraId="7DA72AC4">
            <w:pPr>
              <w:pStyle w:val="12"/>
            </w:pPr>
            <w:r>
              <w:t>十七、金融支出</w:t>
            </w:r>
          </w:p>
        </w:tc>
        <w:tc>
          <w:tcPr>
            <w:tcW w:w="2126" w:type="dxa"/>
            <w:vAlign w:val="center"/>
          </w:tcPr>
          <w:p w14:paraId="64CE8A97">
            <w:pPr>
              <w:pStyle w:val="11"/>
            </w:pPr>
          </w:p>
        </w:tc>
      </w:tr>
      <w:tr w14:paraId="17AB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B0C5">
            <w:pPr>
              <w:pStyle w:val="13"/>
            </w:pPr>
            <w:r>
              <w:t>18</w:t>
            </w:r>
          </w:p>
        </w:tc>
        <w:tc>
          <w:tcPr>
            <w:tcW w:w="4535" w:type="dxa"/>
            <w:vAlign w:val="center"/>
          </w:tcPr>
          <w:p w14:paraId="59DC43F0">
            <w:pPr>
              <w:pStyle w:val="12"/>
            </w:pPr>
          </w:p>
        </w:tc>
        <w:tc>
          <w:tcPr>
            <w:tcW w:w="2126" w:type="dxa"/>
            <w:vAlign w:val="center"/>
          </w:tcPr>
          <w:p w14:paraId="298D99E8">
            <w:pPr>
              <w:pStyle w:val="11"/>
            </w:pPr>
          </w:p>
        </w:tc>
        <w:tc>
          <w:tcPr>
            <w:tcW w:w="4535" w:type="dxa"/>
            <w:vAlign w:val="center"/>
          </w:tcPr>
          <w:p w14:paraId="180C43D6">
            <w:pPr>
              <w:pStyle w:val="12"/>
            </w:pPr>
            <w:r>
              <w:t>十八、援助其他地区支出</w:t>
            </w:r>
          </w:p>
        </w:tc>
        <w:tc>
          <w:tcPr>
            <w:tcW w:w="2126" w:type="dxa"/>
            <w:vAlign w:val="center"/>
          </w:tcPr>
          <w:p w14:paraId="4DE47426">
            <w:pPr>
              <w:pStyle w:val="11"/>
            </w:pPr>
          </w:p>
        </w:tc>
      </w:tr>
      <w:tr w14:paraId="7EAB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0C0FD">
            <w:pPr>
              <w:pStyle w:val="13"/>
            </w:pPr>
            <w:r>
              <w:t>19</w:t>
            </w:r>
          </w:p>
        </w:tc>
        <w:tc>
          <w:tcPr>
            <w:tcW w:w="4535" w:type="dxa"/>
            <w:vAlign w:val="center"/>
          </w:tcPr>
          <w:p w14:paraId="69020E17">
            <w:pPr>
              <w:pStyle w:val="12"/>
            </w:pPr>
          </w:p>
        </w:tc>
        <w:tc>
          <w:tcPr>
            <w:tcW w:w="2126" w:type="dxa"/>
            <w:vAlign w:val="center"/>
          </w:tcPr>
          <w:p w14:paraId="5C60ABA1">
            <w:pPr>
              <w:pStyle w:val="11"/>
            </w:pPr>
          </w:p>
        </w:tc>
        <w:tc>
          <w:tcPr>
            <w:tcW w:w="4535" w:type="dxa"/>
            <w:vAlign w:val="center"/>
          </w:tcPr>
          <w:p w14:paraId="62E356B3">
            <w:pPr>
              <w:pStyle w:val="12"/>
            </w:pPr>
            <w:r>
              <w:t>十九、自然资源海洋气象等支出</w:t>
            </w:r>
          </w:p>
        </w:tc>
        <w:tc>
          <w:tcPr>
            <w:tcW w:w="2126" w:type="dxa"/>
            <w:vAlign w:val="center"/>
          </w:tcPr>
          <w:p w14:paraId="31C4C34C">
            <w:pPr>
              <w:pStyle w:val="11"/>
            </w:pPr>
          </w:p>
        </w:tc>
      </w:tr>
      <w:tr w14:paraId="703C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25FB7">
            <w:pPr>
              <w:pStyle w:val="13"/>
            </w:pPr>
            <w:r>
              <w:t>20</w:t>
            </w:r>
          </w:p>
        </w:tc>
        <w:tc>
          <w:tcPr>
            <w:tcW w:w="4535" w:type="dxa"/>
            <w:vAlign w:val="center"/>
          </w:tcPr>
          <w:p w14:paraId="3809A42E">
            <w:pPr>
              <w:pStyle w:val="12"/>
            </w:pPr>
          </w:p>
        </w:tc>
        <w:tc>
          <w:tcPr>
            <w:tcW w:w="2126" w:type="dxa"/>
            <w:vAlign w:val="center"/>
          </w:tcPr>
          <w:p w14:paraId="26E0E381">
            <w:pPr>
              <w:pStyle w:val="11"/>
            </w:pPr>
          </w:p>
        </w:tc>
        <w:tc>
          <w:tcPr>
            <w:tcW w:w="4535" w:type="dxa"/>
            <w:vAlign w:val="center"/>
          </w:tcPr>
          <w:p w14:paraId="1D3C2012">
            <w:pPr>
              <w:pStyle w:val="12"/>
            </w:pPr>
            <w:r>
              <w:t>二十、住房保障支出</w:t>
            </w:r>
          </w:p>
        </w:tc>
        <w:tc>
          <w:tcPr>
            <w:tcW w:w="2126" w:type="dxa"/>
            <w:vAlign w:val="center"/>
          </w:tcPr>
          <w:p w14:paraId="5EEAA422">
            <w:pPr>
              <w:pStyle w:val="11"/>
            </w:pPr>
          </w:p>
        </w:tc>
      </w:tr>
      <w:tr w14:paraId="2AA5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57482">
            <w:pPr>
              <w:pStyle w:val="13"/>
            </w:pPr>
            <w:r>
              <w:t>21</w:t>
            </w:r>
          </w:p>
        </w:tc>
        <w:tc>
          <w:tcPr>
            <w:tcW w:w="4535" w:type="dxa"/>
            <w:vAlign w:val="center"/>
          </w:tcPr>
          <w:p w14:paraId="6EDA98B4">
            <w:pPr>
              <w:pStyle w:val="12"/>
            </w:pPr>
          </w:p>
        </w:tc>
        <w:tc>
          <w:tcPr>
            <w:tcW w:w="2126" w:type="dxa"/>
            <w:vAlign w:val="center"/>
          </w:tcPr>
          <w:p w14:paraId="26306574">
            <w:pPr>
              <w:pStyle w:val="11"/>
            </w:pPr>
          </w:p>
        </w:tc>
        <w:tc>
          <w:tcPr>
            <w:tcW w:w="4535" w:type="dxa"/>
            <w:vAlign w:val="center"/>
          </w:tcPr>
          <w:p w14:paraId="3A10ADB9">
            <w:pPr>
              <w:pStyle w:val="12"/>
            </w:pPr>
            <w:r>
              <w:t>二十一、粮油物资储备支出</w:t>
            </w:r>
          </w:p>
        </w:tc>
        <w:tc>
          <w:tcPr>
            <w:tcW w:w="2126" w:type="dxa"/>
            <w:vAlign w:val="center"/>
          </w:tcPr>
          <w:p w14:paraId="16EF199D">
            <w:pPr>
              <w:pStyle w:val="11"/>
            </w:pPr>
          </w:p>
        </w:tc>
      </w:tr>
      <w:tr w14:paraId="25C8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988CE">
            <w:pPr>
              <w:pStyle w:val="13"/>
            </w:pPr>
            <w:r>
              <w:t>22</w:t>
            </w:r>
          </w:p>
        </w:tc>
        <w:tc>
          <w:tcPr>
            <w:tcW w:w="4535" w:type="dxa"/>
            <w:vAlign w:val="center"/>
          </w:tcPr>
          <w:p w14:paraId="71800026">
            <w:pPr>
              <w:pStyle w:val="12"/>
            </w:pPr>
          </w:p>
        </w:tc>
        <w:tc>
          <w:tcPr>
            <w:tcW w:w="2126" w:type="dxa"/>
            <w:vAlign w:val="center"/>
          </w:tcPr>
          <w:p w14:paraId="4BD56E28">
            <w:pPr>
              <w:pStyle w:val="11"/>
            </w:pPr>
          </w:p>
        </w:tc>
        <w:tc>
          <w:tcPr>
            <w:tcW w:w="4535" w:type="dxa"/>
            <w:vAlign w:val="center"/>
          </w:tcPr>
          <w:p w14:paraId="56BDC971">
            <w:pPr>
              <w:pStyle w:val="12"/>
            </w:pPr>
            <w:r>
              <w:t>二十二、国有资本经营预算支出</w:t>
            </w:r>
          </w:p>
        </w:tc>
        <w:tc>
          <w:tcPr>
            <w:tcW w:w="2126" w:type="dxa"/>
            <w:vAlign w:val="center"/>
          </w:tcPr>
          <w:p w14:paraId="2FBBA011">
            <w:pPr>
              <w:pStyle w:val="11"/>
            </w:pPr>
          </w:p>
        </w:tc>
      </w:tr>
      <w:tr w14:paraId="09AF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B001">
            <w:pPr>
              <w:pStyle w:val="13"/>
            </w:pPr>
            <w:r>
              <w:t>23</w:t>
            </w:r>
          </w:p>
        </w:tc>
        <w:tc>
          <w:tcPr>
            <w:tcW w:w="4535" w:type="dxa"/>
            <w:vAlign w:val="center"/>
          </w:tcPr>
          <w:p w14:paraId="44550386">
            <w:pPr>
              <w:pStyle w:val="12"/>
            </w:pPr>
          </w:p>
        </w:tc>
        <w:tc>
          <w:tcPr>
            <w:tcW w:w="2126" w:type="dxa"/>
            <w:vAlign w:val="center"/>
          </w:tcPr>
          <w:p w14:paraId="61FC1E8A">
            <w:pPr>
              <w:pStyle w:val="11"/>
            </w:pPr>
          </w:p>
        </w:tc>
        <w:tc>
          <w:tcPr>
            <w:tcW w:w="4535" w:type="dxa"/>
            <w:vAlign w:val="center"/>
          </w:tcPr>
          <w:p w14:paraId="4EEEC896">
            <w:pPr>
              <w:pStyle w:val="12"/>
            </w:pPr>
            <w:r>
              <w:t>二十三、灾害防治及应急管理支出</w:t>
            </w:r>
          </w:p>
        </w:tc>
        <w:tc>
          <w:tcPr>
            <w:tcW w:w="2126" w:type="dxa"/>
            <w:vAlign w:val="center"/>
          </w:tcPr>
          <w:p w14:paraId="4145EBC7">
            <w:pPr>
              <w:pStyle w:val="11"/>
            </w:pPr>
          </w:p>
        </w:tc>
      </w:tr>
      <w:tr w14:paraId="7E56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AB33">
            <w:pPr>
              <w:pStyle w:val="13"/>
            </w:pPr>
            <w:r>
              <w:t>24</w:t>
            </w:r>
          </w:p>
        </w:tc>
        <w:tc>
          <w:tcPr>
            <w:tcW w:w="4535" w:type="dxa"/>
            <w:vAlign w:val="center"/>
          </w:tcPr>
          <w:p w14:paraId="005B8F8E">
            <w:pPr>
              <w:pStyle w:val="12"/>
            </w:pPr>
          </w:p>
        </w:tc>
        <w:tc>
          <w:tcPr>
            <w:tcW w:w="2126" w:type="dxa"/>
            <w:vAlign w:val="center"/>
          </w:tcPr>
          <w:p w14:paraId="1BEA4B86">
            <w:pPr>
              <w:pStyle w:val="11"/>
            </w:pPr>
          </w:p>
        </w:tc>
        <w:tc>
          <w:tcPr>
            <w:tcW w:w="4535" w:type="dxa"/>
            <w:vAlign w:val="center"/>
          </w:tcPr>
          <w:p w14:paraId="46CFAC8C">
            <w:pPr>
              <w:pStyle w:val="12"/>
            </w:pPr>
            <w:r>
              <w:t>二十四、预备费</w:t>
            </w:r>
          </w:p>
        </w:tc>
        <w:tc>
          <w:tcPr>
            <w:tcW w:w="2126" w:type="dxa"/>
            <w:vAlign w:val="center"/>
          </w:tcPr>
          <w:p w14:paraId="42F7ED74">
            <w:pPr>
              <w:pStyle w:val="11"/>
            </w:pPr>
          </w:p>
        </w:tc>
      </w:tr>
      <w:tr w14:paraId="0C06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0C275">
            <w:pPr>
              <w:pStyle w:val="13"/>
            </w:pPr>
            <w:r>
              <w:t>25</w:t>
            </w:r>
          </w:p>
        </w:tc>
        <w:tc>
          <w:tcPr>
            <w:tcW w:w="4535" w:type="dxa"/>
            <w:vAlign w:val="center"/>
          </w:tcPr>
          <w:p w14:paraId="5BDCF615">
            <w:pPr>
              <w:pStyle w:val="12"/>
            </w:pPr>
          </w:p>
        </w:tc>
        <w:tc>
          <w:tcPr>
            <w:tcW w:w="2126" w:type="dxa"/>
            <w:vAlign w:val="center"/>
          </w:tcPr>
          <w:p w14:paraId="61D7869E">
            <w:pPr>
              <w:pStyle w:val="11"/>
            </w:pPr>
          </w:p>
        </w:tc>
        <w:tc>
          <w:tcPr>
            <w:tcW w:w="4535" w:type="dxa"/>
            <w:vAlign w:val="center"/>
          </w:tcPr>
          <w:p w14:paraId="5C66B383">
            <w:pPr>
              <w:pStyle w:val="12"/>
            </w:pPr>
            <w:r>
              <w:t>二十五、其他支出</w:t>
            </w:r>
          </w:p>
        </w:tc>
        <w:tc>
          <w:tcPr>
            <w:tcW w:w="2126" w:type="dxa"/>
            <w:vAlign w:val="center"/>
          </w:tcPr>
          <w:p w14:paraId="5C7FB7FE">
            <w:pPr>
              <w:pStyle w:val="11"/>
            </w:pPr>
          </w:p>
        </w:tc>
      </w:tr>
      <w:tr w14:paraId="258C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EDE75">
            <w:pPr>
              <w:pStyle w:val="13"/>
            </w:pPr>
            <w:r>
              <w:t>26</w:t>
            </w:r>
          </w:p>
        </w:tc>
        <w:tc>
          <w:tcPr>
            <w:tcW w:w="4535" w:type="dxa"/>
            <w:vAlign w:val="center"/>
          </w:tcPr>
          <w:p w14:paraId="01D90170">
            <w:pPr>
              <w:pStyle w:val="12"/>
            </w:pPr>
          </w:p>
        </w:tc>
        <w:tc>
          <w:tcPr>
            <w:tcW w:w="2126" w:type="dxa"/>
            <w:vAlign w:val="center"/>
          </w:tcPr>
          <w:p w14:paraId="42086A92">
            <w:pPr>
              <w:pStyle w:val="11"/>
            </w:pPr>
          </w:p>
        </w:tc>
        <w:tc>
          <w:tcPr>
            <w:tcW w:w="4535" w:type="dxa"/>
            <w:vAlign w:val="center"/>
          </w:tcPr>
          <w:p w14:paraId="5A324F4D">
            <w:pPr>
              <w:pStyle w:val="12"/>
            </w:pPr>
            <w:r>
              <w:t>二十六、转移性支出</w:t>
            </w:r>
          </w:p>
        </w:tc>
        <w:tc>
          <w:tcPr>
            <w:tcW w:w="2126" w:type="dxa"/>
            <w:vAlign w:val="center"/>
          </w:tcPr>
          <w:p w14:paraId="4E832FFD">
            <w:pPr>
              <w:pStyle w:val="11"/>
            </w:pPr>
          </w:p>
        </w:tc>
      </w:tr>
      <w:tr w14:paraId="5056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A5AB">
            <w:pPr>
              <w:pStyle w:val="13"/>
            </w:pPr>
            <w:r>
              <w:t>27</w:t>
            </w:r>
          </w:p>
        </w:tc>
        <w:tc>
          <w:tcPr>
            <w:tcW w:w="4535" w:type="dxa"/>
            <w:vAlign w:val="center"/>
          </w:tcPr>
          <w:p w14:paraId="6162A144">
            <w:pPr>
              <w:pStyle w:val="12"/>
            </w:pPr>
          </w:p>
        </w:tc>
        <w:tc>
          <w:tcPr>
            <w:tcW w:w="2126" w:type="dxa"/>
            <w:vAlign w:val="center"/>
          </w:tcPr>
          <w:p w14:paraId="74CF02FF">
            <w:pPr>
              <w:pStyle w:val="11"/>
            </w:pPr>
          </w:p>
        </w:tc>
        <w:tc>
          <w:tcPr>
            <w:tcW w:w="4535" w:type="dxa"/>
            <w:vAlign w:val="center"/>
          </w:tcPr>
          <w:p w14:paraId="50FBB2BF">
            <w:pPr>
              <w:pStyle w:val="12"/>
            </w:pPr>
            <w:r>
              <w:t>二十七、债务还本支出</w:t>
            </w:r>
          </w:p>
        </w:tc>
        <w:tc>
          <w:tcPr>
            <w:tcW w:w="2126" w:type="dxa"/>
            <w:vAlign w:val="center"/>
          </w:tcPr>
          <w:p w14:paraId="69D74A0F">
            <w:pPr>
              <w:pStyle w:val="11"/>
            </w:pPr>
          </w:p>
        </w:tc>
      </w:tr>
      <w:tr w14:paraId="45EA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ED8C">
            <w:pPr>
              <w:pStyle w:val="13"/>
            </w:pPr>
            <w:r>
              <w:t>28</w:t>
            </w:r>
          </w:p>
        </w:tc>
        <w:tc>
          <w:tcPr>
            <w:tcW w:w="4535" w:type="dxa"/>
            <w:vAlign w:val="center"/>
          </w:tcPr>
          <w:p w14:paraId="4EFD186D">
            <w:pPr>
              <w:pStyle w:val="12"/>
            </w:pPr>
          </w:p>
        </w:tc>
        <w:tc>
          <w:tcPr>
            <w:tcW w:w="2126" w:type="dxa"/>
            <w:vAlign w:val="center"/>
          </w:tcPr>
          <w:p w14:paraId="192C4B4E">
            <w:pPr>
              <w:pStyle w:val="11"/>
            </w:pPr>
          </w:p>
        </w:tc>
        <w:tc>
          <w:tcPr>
            <w:tcW w:w="4535" w:type="dxa"/>
            <w:vAlign w:val="center"/>
          </w:tcPr>
          <w:p w14:paraId="14126D38">
            <w:pPr>
              <w:pStyle w:val="12"/>
            </w:pPr>
            <w:r>
              <w:t>二十八、债务付息支出</w:t>
            </w:r>
          </w:p>
        </w:tc>
        <w:tc>
          <w:tcPr>
            <w:tcW w:w="2126" w:type="dxa"/>
            <w:vAlign w:val="center"/>
          </w:tcPr>
          <w:p w14:paraId="3132DBA4">
            <w:pPr>
              <w:pStyle w:val="11"/>
            </w:pPr>
          </w:p>
        </w:tc>
      </w:tr>
      <w:tr w14:paraId="5C0D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794D9">
            <w:pPr>
              <w:pStyle w:val="13"/>
            </w:pPr>
            <w:r>
              <w:t>29</w:t>
            </w:r>
          </w:p>
        </w:tc>
        <w:tc>
          <w:tcPr>
            <w:tcW w:w="4535" w:type="dxa"/>
            <w:vAlign w:val="center"/>
          </w:tcPr>
          <w:p w14:paraId="2CD17AD0">
            <w:pPr>
              <w:pStyle w:val="12"/>
            </w:pPr>
          </w:p>
        </w:tc>
        <w:tc>
          <w:tcPr>
            <w:tcW w:w="2126" w:type="dxa"/>
            <w:vAlign w:val="center"/>
          </w:tcPr>
          <w:p w14:paraId="3277C71E">
            <w:pPr>
              <w:pStyle w:val="11"/>
            </w:pPr>
          </w:p>
        </w:tc>
        <w:tc>
          <w:tcPr>
            <w:tcW w:w="4535" w:type="dxa"/>
            <w:vAlign w:val="center"/>
          </w:tcPr>
          <w:p w14:paraId="051BD192">
            <w:pPr>
              <w:pStyle w:val="12"/>
            </w:pPr>
            <w:r>
              <w:t>二十九、债务发行费用支出</w:t>
            </w:r>
          </w:p>
        </w:tc>
        <w:tc>
          <w:tcPr>
            <w:tcW w:w="2126" w:type="dxa"/>
            <w:vAlign w:val="center"/>
          </w:tcPr>
          <w:p w14:paraId="3BC36FF1">
            <w:pPr>
              <w:pStyle w:val="11"/>
            </w:pPr>
          </w:p>
        </w:tc>
      </w:tr>
      <w:tr w14:paraId="0CBC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0BAA">
            <w:pPr>
              <w:pStyle w:val="13"/>
            </w:pPr>
            <w:r>
              <w:t>30</w:t>
            </w:r>
          </w:p>
        </w:tc>
        <w:tc>
          <w:tcPr>
            <w:tcW w:w="4535" w:type="dxa"/>
            <w:vAlign w:val="center"/>
          </w:tcPr>
          <w:p w14:paraId="42BA2DE8">
            <w:pPr>
              <w:pStyle w:val="12"/>
            </w:pPr>
          </w:p>
        </w:tc>
        <w:tc>
          <w:tcPr>
            <w:tcW w:w="2126" w:type="dxa"/>
            <w:vAlign w:val="center"/>
          </w:tcPr>
          <w:p w14:paraId="1FA4DD94">
            <w:pPr>
              <w:pStyle w:val="11"/>
            </w:pPr>
          </w:p>
        </w:tc>
        <w:tc>
          <w:tcPr>
            <w:tcW w:w="4535" w:type="dxa"/>
            <w:vAlign w:val="center"/>
          </w:tcPr>
          <w:p w14:paraId="15927877">
            <w:pPr>
              <w:pStyle w:val="12"/>
            </w:pPr>
            <w:r>
              <w:t>三十、抗疫特别国债安排的支出</w:t>
            </w:r>
          </w:p>
        </w:tc>
        <w:tc>
          <w:tcPr>
            <w:tcW w:w="2126" w:type="dxa"/>
            <w:vAlign w:val="center"/>
          </w:tcPr>
          <w:p w14:paraId="03EC9620">
            <w:pPr>
              <w:pStyle w:val="11"/>
            </w:pPr>
          </w:p>
        </w:tc>
      </w:tr>
      <w:tr w14:paraId="6C2C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FCA0D">
            <w:pPr>
              <w:pStyle w:val="13"/>
            </w:pPr>
            <w:r>
              <w:t>31</w:t>
            </w:r>
          </w:p>
        </w:tc>
        <w:tc>
          <w:tcPr>
            <w:tcW w:w="4535" w:type="dxa"/>
            <w:vAlign w:val="center"/>
          </w:tcPr>
          <w:p w14:paraId="21B0ADFF">
            <w:pPr>
              <w:pStyle w:val="14"/>
            </w:pPr>
            <w:r>
              <w:t>本年收入合计</w:t>
            </w:r>
          </w:p>
        </w:tc>
        <w:tc>
          <w:tcPr>
            <w:tcW w:w="2126" w:type="dxa"/>
            <w:vAlign w:val="center"/>
          </w:tcPr>
          <w:p w14:paraId="2FE0EA23">
            <w:pPr>
              <w:pStyle w:val="15"/>
            </w:pPr>
            <w:r>
              <w:t>231.88</w:t>
            </w:r>
          </w:p>
        </w:tc>
        <w:tc>
          <w:tcPr>
            <w:tcW w:w="4535" w:type="dxa"/>
            <w:vAlign w:val="center"/>
          </w:tcPr>
          <w:p w14:paraId="6ECA7BC6">
            <w:pPr>
              <w:pStyle w:val="14"/>
            </w:pPr>
            <w:r>
              <w:t>本年支出合计</w:t>
            </w:r>
          </w:p>
        </w:tc>
        <w:tc>
          <w:tcPr>
            <w:tcW w:w="2126" w:type="dxa"/>
            <w:vAlign w:val="center"/>
          </w:tcPr>
          <w:p w14:paraId="3BEEF999">
            <w:pPr>
              <w:pStyle w:val="15"/>
            </w:pPr>
            <w:r>
              <w:t>231.88</w:t>
            </w:r>
          </w:p>
        </w:tc>
      </w:tr>
      <w:tr w14:paraId="6FA1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9E5C">
            <w:pPr>
              <w:pStyle w:val="13"/>
            </w:pPr>
            <w:r>
              <w:t>32</w:t>
            </w:r>
          </w:p>
        </w:tc>
        <w:tc>
          <w:tcPr>
            <w:tcW w:w="4535" w:type="dxa"/>
            <w:vAlign w:val="center"/>
          </w:tcPr>
          <w:p w14:paraId="6B050D27">
            <w:pPr>
              <w:pStyle w:val="12"/>
            </w:pPr>
            <w:r>
              <w:t>上年结转结余</w:t>
            </w:r>
          </w:p>
        </w:tc>
        <w:tc>
          <w:tcPr>
            <w:tcW w:w="2126" w:type="dxa"/>
            <w:vAlign w:val="center"/>
          </w:tcPr>
          <w:p w14:paraId="3D7D039A">
            <w:pPr>
              <w:pStyle w:val="11"/>
            </w:pPr>
          </w:p>
        </w:tc>
        <w:tc>
          <w:tcPr>
            <w:tcW w:w="4535" w:type="dxa"/>
            <w:vAlign w:val="center"/>
          </w:tcPr>
          <w:p w14:paraId="0BAF8B49">
            <w:pPr>
              <w:pStyle w:val="12"/>
            </w:pPr>
            <w:r>
              <w:t>年终结转结余</w:t>
            </w:r>
          </w:p>
        </w:tc>
        <w:tc>
          <w:tcPr>
            <w:tcW w:w="2126" w:type="dxa"/>
            <w:vAlign w:val="center"/>
          </w:tcPr>
          <w:p w14:paraId="322095AF">
            <w:pPr>
              <w:pStyle w:val="11"/>
            </w:pPr>
          </w:p>
        </w:tc>
      </w:tr>
      <w:tr w14:paraId="7892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6A7A4">
            <w:pPr>
              <w:pStyle w:val="13"/>
            </w:pPr>
            <w:r>
              <w:t>33</w:t>
            </w:r>
          </w:p>
        </w:tc>
        <w:tc>
          <w:tcPr>
            <w:tcW w:w="4535" w:type="dxa"/>
            <w:vAlign w:val="center"/>
          </w:tcPr>
          <w:p w14:paraId="34C54AF9">
            <w:pPr>
              <w:pStyle w:val="14"/>
            </w:pPr>
            <w:r>
              <w:t>收入总计</w:t>
            </w:r>
          </w:p>
        </w:tc>
        <w:tc>
          <w:tcPr>
            <w:tcW w:w="2126" w:type="dxa"/>
            <w:vAlign w:val="center"/>
          </w:tcPr>
          <w:p w14:paraId="4948CB07">
            <w:pPr>
              <w:pStyle w:val="15"/>
            </w:pPr>
            <w:r>
              <w:t>231.88</w:t>
            </w:r>
          </w:p>
        </w:tc>
        <w:tc>
          <w:tcPr>
            <w:tcW w:w="4535" w:type="dxa"/>
            <w:vAlign w:val="center"/>
          </w:tcPr>
          <w:p w14:paraId="06702247">
            <w:pPr>
              <w:pStyle w:val="14"/>
            </w:pPr>
            <w:r>
              <w:t>支出总计</w:t>
            </w:r>
          </w:p>
        </w:tc>
        <w:tc>
          <w:tcPr>
            <w:tcW w:w="2126" w:type="dxa"/>
            <w:vAlign w:val="center"/>
          </w:tcPr>
          <w:p w14:paraId="0C685759">
            <w:pPr>
              <w:pStyle w:val="15"/>
            </w:pPr>
            <w:r>
              <w:t>231.88</w:t>
            </w:r>
          </w:p>
        </w:tc>
      </w:tr>
    </w:tbl>
    <w:p w14:paraId="2035D835">
      <w:pPr>
        <w:sectPr>
          <w:pgSz w:w="16840" w:h="11900" w:orient="landscape"/>
          <w:pgMar w:top="1361" w:right="1020" w:bottom="1134" w:left="1020" w:header="720" w:footer="720" w:gutter="0"/>
          <w:cols w:space="720" w:num="1"/>
        </w:sectPr>
      </w:pPr>
    </w:p>
    <w:p w14:paraId="4EEB1B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8E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0A647A">
            <w:pPr>
              <w:pStyle w:val="9"/>
            </w:pPr>
            <w:r>
              <w:t>360029隆尧县实验幼儿园</w:t>
            </w:r>
          </w:p>
        </w:tc>
        <w:tc>
          <w:tcPr>
            <w:tcW w:w="3402" w:type="dxa"/>
            <w:gridSpan w:val="3"/>
            <w:tcBorders>
              <w:top w:val="single" w:color="FFFFFF" w:sz="6" w:space="0"/>
              <w:left w:val="single" w:color="FFFFFF" w:sz="6" w:space="0"/>
              <w:right w:val="single" w:color="FFFFFF" w:sz="6" w:space="0"/>
            </w:tcBorders>
            <w:vAlign w:val="center"/>
          </w:tcPr>
          <w:p w14:paraId="0B40F85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E4003ED">
            <w:pPr>
              <w:pStyle w:val="7"/>
            </w:pPr>
            <w:r>
              <w:t>单位：万元</w:t>
            </w:r>
          </w:p>
        </w:tc>
      </w:tr>
      <w:tr w14:paraId="39CA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3A7941">
            <w:pPr>
              <w:pStyle w:val="10"/>
            </w:pPr>
            <w:r>
              <w:t>序号</w:t>
            </w:r>
          </w:p>
        </w:tc>
        <w:tc>
          <w:tcPr>
            <w:tcW w:w="2551" w:type="dxa"/>
            <w:gridSpan w:val="2"/>
            <w:vAlign w:val="center"/>
          </w:tcPr>
          <w:p w14:paraId="52FABED3">
            <w:pPr>
              <w:pStyle w:val="10"/>
            </w:pPr>
            <w:r>
              <w:t>功能分类科目</w:t>
            </w:r>
          </w:p>
        </w:tc>
        <w:tc>
          <w:tcPr>
            <w:tcW w:w="1134" w:type="dxa"/>
            <w:vMerge w:val="restart"/>
            <w:vAlign w:val="center"/>
          </w:tcPr>
          <w:p w14:paraId="09FBBB43">
            <w:pPr>
              <w:pStyle w:val="10"/>
            </w:pPr>
            <w:r>
              <w:t>合计</w:t>
            </w:r>
          </w:p>
        </w:tc>
        <w:tc>
          <w:tcPr>
            <w:tcW w:w="9072" w:type="dxa"/>
            <w:gridSpan w:val="8"/>
            <w:vAlign w:val="center"/>
          </w:tcPr>
          <w:p w14:paraId="2DDF5E2B">
            <w:pPr>
              <w:pStyle w:val="10"/>
            </w:pPr>
            <w:r>
              <w:t>本年收入</w:t>
            </w:r>
          </w:p>
        </w:tc>
        <w:tc>
          <w:tcPr>
            <w:tcW w:w="1134" w:type="dxa"/>
            <w:vMerge w:val="restart"/>
            <w:vAlign w:val="center"/>
          </w:tcPr>
          <w:p w14:paraId="67231AE9">
            <w:pPr>
              <w:pStyle w:val="10"/>
            </w:pPr>
            <w:r>
              <w:t>上年结转</w:t>
            </w:r>
          </w:p>
        </w:tc>
      </w:tr>
      <w:tr w14:paraId="7BF3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9C033B"/>
        </w:tc>
        <w:tc>
          <w:tcPr>
            <w:tcW w:w="992" w:type="dxa"/>
            <w:vAlign w:val="center"/>
          </w:tcPr>
          <w:p w14:paraId="0C25B52F">
            <w:pPr>
              <w:pStyle w:val="10"/>
            </w:pPr>
            <w:r>
              <w:t>科目    编码</w:t>
            </w:r>
          </w:p>
        </w:tc>
        <w:tc>
          <w:tcPr>
            <w:tcW w:w="1559" w:type="dxa"/>
            <w:vAlign w:val="center"/>
          </w:tcPr>
          <w:p w14:paraId="0DDF2C2D">
            <w:pPr>
              <w:pStyle w:val="10"/>
            </w:pPr>
            <w:r>
              <w:t>科目名称</w:t>
            </w:r>
          </w:p>
        </w:tc>
        <w:tc>
          <w:tcPr>
            <w:tcW w:w="1134" w:type="dxa"/>
            <w:vMerge w:val="continue"/>
          </w:tcPr>
          <w:p w14:paraId="4A06B119"/>
        </w:tc>
        <w:tc>
          <w:tcPr>
            <w:tcW w:w="1134" w:type="dxa"/>
            <w:vAlign w:val="center"/>
          </w:tcPr>
          <w:p w14:paraId="63C971D9">
            <w:pPr>
              <w:pStyle w:val="10"/>
            </w:pPr>
            <w:r>
              <w:t>小计</w:t>
            </w:r>
          </w:p>
        </w:tc>
        <w:tc>
          <w:tcPr>
            <w:tcW w:w="1134" w:type="dxa"/>
            <w:vAlign w:val="center"/>
          </w:tcPr>
          <w:p w14:paraId="3557FEC1">
            <w:pPr>
              <w:pStyle w:val="10"/>
            </w:pPr>
            <w:r>
              <w:t>财政拨款 收入</w:t>
            </w:r>
          </w:p>
        </w:tc>
        <w:tc>
          <w:tcPr>
            <w:tcW w:w="1134" w:type="dxa"/>
            <w:vAlign w:val="center"/>
          </w:tcPr>
          <w:p w14:paraId="58B61746">
            <w:pPr>
              <w:pStyle w:val="10"/>
            </w:pPr>
            <w:r>
              <w:t>财政专户 收入</w:t>
            </w:r>
          </w:p>
        </w:tc>
        <w:tc>
          <w:tcPr>
            <w:tcW w:w="1134" w:type="dxa"/>
            <w:vAlign w:val="center"/>
          </w:tcPr>
          <w:p w14:paraId="78E99D52">
            <w:pPr>
              <w:pStyle w:val="10"/>
            </w:pPr>
            <w:r>
              <w:t>事业收入</w:t>
            </w:r>
          </w:p>
        </w:tc>
        <w:tc>
          <w:tcPr>
            <w:tcW w:w="1134" w:type="dxa"/>
            <w:vAlign w:val="center"/>
          </w:tcPr>
          <w:p w14:paraId="418D65AE">
            <w:pPr>
              <w:pStyle w:val="10"/>
            </w:pPr>
            <w:r>
              <w:t>经营收入</w:t>
            </w:r>
          </w:p>
        </w:tc>
        <w:tc>
          <w:tcPr>
            <w:tcW w:w="1134" w:type="dxa"/>
            <w:vAlign w:val="center"/>
          </w:tcPr>
          <w:p w14:paraId="00C3F281">
            <w:pPr>
              <w:pStyle w:val="10"/>
            </w:pPr>
            <w:r>
              <w:t>上级补助收入</w:t>
            </w:r>
          </w:p>
        </w:tc>
        <w:tc>
          <w:tcPr>
            <w:tcW w:w="1134" w:type="dxa"/>
            <w:vAlign w:val="center"/>
          </w:tcPr>
          <w:p w14:paraId="26D7740F">
            <w:pPr>
              <w:pStyle w:val="10"/>
            </w:pPr>
            <w:r>
              <w:t>附属单位上缴收入</w:t>
            </w:r>
          </w:p>
        </w:tc>
        <w:tc>
          <w:tcPr>
            <w:tcW w:w="1134" w:type="dxa"/>
            <w:vAlign w:val="center"/>
          </w:tcPr>
          <w:p w14:paraId="523B3166">
            <w:pPr>
              <w:pStyle w:val="10"/>
            </w:pPr>
            <w:r>
              <w:t>其他收入</w:t>
            </w:r>
          </w:p>
        </w:tc>
        <w:tc>
          <w:tcPr>
            <w:tcW w:w="1134" w:type="dxa"/>
            <w:vMerge w:val="continue"/>
          </w:tcPr>
          <w:p w14:paraId="56397117"/>
        </w:tc>
      </w:tr>
      <w:tr w14:paraId="1E31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5D093C">
            <w:pPr>
              <w:pStyle w:val="10"/>
            </w:pPr>
            <w:r>
              <w:t>栏次</w:t>
            </w:r>
          </w:p>
        </w:tc>
        <w:tc>
          <w:tcPr>
            <w:tcW w:w="992" w:type="dxa"/>
            <w:vAlign w:val="center"/>
          </w:tcPr>
          <w:p w14:paraId="417AAFA8">
            <w:pPr>
              <w:pStyle w:val="10"/>
            </w:pPr>
            <w:r>
              <w:t>1</w:t>
            </w:r>
          </w:p>
        </w:tc>
        <w:tc>
          <w:tcPr>
            <w:tcW w:w="1559" w:type="dxa"/>
            <w:vAlign w:val="center"/>
          </w:tcPr>
          <w:p w14:paraId="761349CC">
            <w:pPr>
              <w:pStyle w:val="10"/>
            </w:pPr>
            <w:r>
              <w:t>2</w:t>
            </w:r>
          </w:p>
        </w:tc>
        <w:tc>
          <w:tcPr>
            <w:tcW w:w="1134" w:type="dxa"/>
            <w:vAlign w:val="center"/>
          </w:tcPr>
          <w:p w14:paraId="726D51F3">
            <w:pPr>
              <w:pStyle w:val="10"/>
            </w:pPr>
            <w:r>
              <w:t>3</w:t>
            </w:r>
          </w:p>
        </w:tc>
        <w:tc>
          <w:tcPr>
            <w:tcW w:w="1134" w:type="dxa"/>
            <w:vAlign w:val="center"/>
          </w:tcPr>
          <w:p w14:paraId="2696CEB0">
            <w:pPr>
              <w:pStyle w:val="10"/>
            </w:pPr>
            <w:r>
              <w:t>4</w:t>
            </w:r>
          </w:p>
        </w:tc>
        <w:tc>
          <w:tcPr>
            <w:tcW w:w="1134" w:type="dxa"/>
            <w:vAlign w:val="center"/>
          </w:tcPr>
          <w:p w14:paraId="7AA66D7C">
            <w:pPr>
              <w:pStyle w:val="10"/>
            </w:pPr>
            <w:r>
              <w:t>5</w:t>
            </w:r>
          </w:p>
        </w:tc>
        <w:tc>
          <w:tcPr>
            <w:tcW w:w="1134" w:type="dxa"/>
            <w:vAlign w:val="center"/>
          </w:tcPr>
          <w:p w14:paraId="170DA073">
            <w:pPr>
              <w:pStyle w:val="10"/>
            </w:pPr>
            <w:r>
              <w:t>6</w:t>
            </w:r>
          </w:p>
        </w:tc>
        <w:tc>
          <w:tcPr>
            <w:tcW w:w="1134" w:type="dxa"/>
            <w:vAlign w:val="center"/>
          </w:tcPr>
          <w:p w14:paraId="6AC419CC">
            <w:pPr>
              <w:pStyle w:val="10"/>
            </w:pPr>
            <w:r>
              <w:t>7</w:t>
            </w:r>
          </w:p>
        </w:tc>
        <w:tc>
          <w:tcPr>
            <w:tcW w:w="1134" w:type="dxa"/>
            <w:vAlign w:val="center"/>
          </w:tcPr>
          <w:p w14:paraId="375DA914">
            <w:pPr>
              <w:pStyle w:val="10"/>
            </w:pPr>
            <w:r>
              <w:t>8</w:t>
            </w:r>
          </w:p>
        </w:tc>
        <w:tc>
          <w:tcPr>
            <w:tcW w:w="1134" w:type="dxa"/>
            <w:vAlign w:val="center"/>
          </w:tcPr>
          <w:p w14:paraId="0C5B64B0">
            <w:pPr>
              <w:pStyle w:val="10"/>
            </w:pPr>
            <w:r>
              <w:t>9</w:t>
            </w:r>
          </w:p>
        </w:tc>
        <w:tc>
          <w:tcPr>
            <w:tcW w:w="1134" w:type="dxa"/>
            <w:vAlign w:val="center"/>
          </w:tcPr>
          <w:p w14:paraId="5895F641">
            <w:pPr>
              <w:pStyle w:val="10"/>
            </w:pPr>
            <w:r>
              <w:t>10</w:t>
            </w:r>
          </w:p>
        </w:tc>
        <w:tc>
          <w:tcPr>
            <w:tcW w:w="1134" w:type="dxa"/>
            <w:vAlign w:val="center"/>
          </w:tcPr>
          <w:p w14:paraId="77023430">
            <w:pPr>
              <w:pStyle w:val="10"/>
            </w:pPr>
            <w:r>
              <w:t>11</w:t>
            </w:r>
          </w:p>
        </w:tc>
        <w:tc>
          <w:tcPr>
            <w:tcW w:w="1134" w:type="dxa"/>
            <w:vAlign w:val="center"/>
          </w:tcPr>
          <w:p w14:paraId="564D3744">
            <w:pPr>
              <w:pStyle w:val="10"/>
            </w:pPr>
            <w:r>
              <w:t>12</w:t>
            </w:r>
          </w:p>
        </w:tc>
      </w:tr>
      <w:tr w14:paraId="2C11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D3C79">
            <w:pPr>
              <w:pStyle w:val="13"/>
            </w:pPr>
            <w:r>
              <w:t>1</w:t>
            </w:r>
          </w:p>
        </w:tc>
        <w:tc>
          <w:tcPr>
            <w:tcW w:w="992" w:type="dxa"/>
            <w:vAlign w:val="center"/>
          </w:tcPr>
          <w:p w14:paraId="7F9194D1">
            <w:pPr>
              <w:pStyle w:val="16"/>
            </w:pPr>
          </w:p>
        </w:tc>
        <w:tc>
          <w:tcPr>
            <w:tcW w:w="1559" w:type="dxa"/>
            <w:vAlign w:val="center"/>
          </w:tcPr>
          <w:p w14:paraId="2BCEB2E7">
            <w:pPr>
              <w:pStyle w:val="14"/>
            </w:pPr>
            <w:r>
              <w:t>合计</w:t>
            </w:r>
          </w:p>
        </w:tc>
        <w:tc>
          <w:tcPr>
            <w:tcW w:w="1134" w:type="dxa"/>
            <w:vAlign w:val="center"/>
          </w:tcPr>
          <w:p w14:paraId="4D2D0342">
            <w:pPr>
              <w:pStyle w:val="15"/>
            </w:pPr>
            <w:r>
              <w:t>231.88</w:t>
            </w:r>
          </w:p>
        </w:tc>
        <w:tc>
          <w:tcPr>
            <w:tcW w:w="1134" w:type="dxa"/>
            <w:vAlign w:val="center"/>
          </w:tcPr>
          <w:p w14:paraId="2EBC57BD">
            <w:pPr>
              <w:pStyle w:val="15"/>
            </w:pPr>
            <w:r>
              <w:t>231.88</w:t>
            </w:r>
          </w:p>
        </w:tc>
        <w:tc>
          <w:tcPr>
            <w:tcW w:w="1134" w:type="dxa"/>
            <w:vAlign w:val="center"/>
          </w:tcPr>
          <w:p w14:paraId="56D19CD5">
            <w:pPr>
              <w:pStyle w:val="15"/>
            </w:pPr>
            <w:r>
              <w:t>231.88</w:t>
            </w:r>
          </w:p>
        </w:tc>
        <w:tc>
          <w:tcPr>
            <w:tcW w:w="1134" w:type="dxa"/>
            <w:vAlign w:val="center"/>
          </w:tcPr>
          <w:p w14:paraId="4DD11A20">
            <w:pPr>
              <w:pStyle w:val="15"/>
            </w:pPr>
          </w:p>
        </w:tc>
        <w:tc>
          <w:tcPr>
            <w:tcW w:w="1134" w:type="dxa"/>
            <w:vAlign w:val="center"/>
          </w:tcPr>
          <w:p w14:paraId="317FE4F8">
            <w:pPr>
              <w:pStyle w:val="15"/>
            </w:pPr>
          </w:p>
        </w:tc>
        <w:tc>
          <w:tcPr>
            <w:tcW w:w="1134" w:type="dxa"/>
            <w:vAlign w:val="center"/>
          </w:tcPr>
          <w:p w14:paraId="2D4A9F69">
            <w:pPr>
              <w:pStyle w:val="15"/>
            </w:pPr>
          </w:p>
        </w:tc>
        <w:tc>
          <w:tcPr>
            <w:tcW w:w="1134" w:type="dxa"/>
            <w:vAlign w:val="center"/>
          </w:tcPr>
          <w:p w14:paraId="698BE5AD">
            <w:pPr>
              <w:pStyle w:val="15"/>
            </w:pPr>
          </w:p>
        </w:tc>
        <w:tc>
          <w:tcPr>
            <w:tcW w:w="1134" w:type="dxa"/>
            <w:vAlign w:val="center"/>
          </w:tcPr>
          <w:p w14:paraId="6B5B3647">
            <w:pPr>
              <w:pStyle w:val="15"/>
            </w:pPr>
          </w:p>
        </w:tc>
        <w:tc>
          <w:tcPr>
            <w:tcW w:w="1134" w:type="dxa"/>
            <w:vAlign w:val="center"/>
          </w:tcPr>
          <w:p w14:paraId="46077390">
            <w:pPr>
              <w:pStyle w:val="15"/>
            </w:pPr>
          </w:p>
        </w:tc>
        <w:tc>
          <w:tcPr>
            <w:tcW w:w="1134" w:type="dxa"/>
            <w:vAlign w:val="center"/>
          </w:tcPr>
          <w:p w14:paraId="571E5531">
            <w:pPr>
              <w:pStyle w:val="15"/>
            </w:pPr>
          </w:p>
        </w:tc>
      </w:tr>
      <w:tr w14:paraId="26EA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70EC7">
            <w:pPr>
              <w:pStyle w:val="13"/>
            </w:pPr>
            <w:r>
              <w:t>2</w:t>
            </w:r>
          </w:p>
        </w:tc>
        <w:tc>
          <w:tcPr>
            <w:tcW w:w="992" w:type="dxa"/>
            <w:vAlign w:val="center"/>
          </w:tcPr>
          <w:p w14:paraId="3FC2AC1B">
            <w:pPr>
              <w:pStyle w:val="12"/>
            </w:pPr>
            <w:r>
              <w:t>205</w:t>
            </w:r>
          </w:p>
        </w:tc>
        <w:tc>
          <w:tcPr>
            <w:tcW w:w="1559" w:type="dxa"/>
            <w:vAlign w:val="center"/>
          </w:tcPr>
          <w:p w14:paraId="283D2052">
            <w:pPr>
              <w:pStyle w:val="12"/>
            </w:pPr>
            <w:r>
              <w:t>教育支出</w:t>
            </w:r>
          </w:p>
        </w:tc>
        <w:tc>
          <w:tcPr>
            <w:tcW w:w="1134" w:type="dxa"/>
            <w:vAlign w:val="center"/>
          </w:tcPr>
          <w:p w14:paraId="2BD180C1">
            <w:pPr>
              <w:pStyle w:val="11"/>
            </w:pPr>
            <w:r>
              <w:t>231.88</w:t>
            </w:r>
          </w:p>
        </w:tc>
        <w:tc>
          <w:tcPr>
            <w:tcW w:w="1134" w:type="dxa"/>
            <w:vAlign w:val="center"/>
          </w:tcPr>
          <w:p w14:paraId="694127FE">
            <w:pPr>
              <w:pStyle w:val="11"/>
            </w:pPr>
            <w:r>
              <w:t>231.88</w:t>
            </w:r>
          </w:p>
        </w:tc>
        <w:tc>
          <w:tcPr>
            <w:tcW w:w="1134" w:type="dxa"/>
            <w:vAlign w:val="center"/>
          </w:tcPr>
          <w:p w14:paraId="0616F0D7">
            <w:pPr>
              <w:pStyle w:val="11"/>
            </w:pPr>
            <w:r>
              <w:t>231.88</w:t>
            </w:r>
          </w:p>
        </w:tc>
        <w:tc>
          <w:tcPr>
            <w:tcW w:w="1134" w:type="dxa"/>
            <w:vAlign w:val="center"/>
          </w:tcPr>
          <w:p w14:paraId="19B59818">
            <w:pPr>
              <w:pStyle w:val="11"/>
            </w:pPr>
          </w:p>
        </w:tc>
        <w:tc>
          <w:tcPr>
            <w:tcW w:w="1134" w:type="dxa"/>
            <w:vAlign w:val="center"/>
          </w:tcPr>
          <w:p w14:paraId="3C7A141E">
            <w:pPr>
              <w:pStyle w:val="11"/>
            </w:pPr>
          </w:p>
        </w:tc>
        <w:tc>
          <w:tcPr>
            <w:tcW w:w="1134" w:type="dxa"/>
            <w:vAlign w:val="center"/>
          </w:tcPr>
          <w:p w14:paraId="6AAB2D5A">
            <w:pPr>
              <w:pStyle w:val="11"/>
            </w:pPr>
          </w:p>
        </w:tc>
        <w:tc>
          <w:tcPr>
            <w:tcW w:w="1134" w:type="dxa"/>
            <w:vAlign w:val="center"/>
          </w:tcPr>
          <w:p w14:paraId="0D69F813">
            <w:pPr>
              <w:pStyle w:val="11"/>
            </w:pPr>
          </w:p>
        </w:tc>
        <w:tc>
          <w:tcPr>
            <w:tcW w:w="1134" w:type="dxa"/>
            <w:vAlign w:val="center"/>
          </w:tcPr>
          <w:p w14:paraId="790BDFFE">
            <w:pPr>
              <w:pStyle w:val="11"/>
            </w:pPr>
          </w:p>
        </w:tc>
        <w:tc>
          <w:tcPr>
            <w:tcW w:w="1134" w:type="dxa"/>
            <w:vAlign w:val="center"/>
          </w:tcPr>
          <w:p w14:paraId="070D0FDD">
            <w:pPr>
              <w:pStyle w:val="11"/>
            </w:pPr>
          </w:p>
        </w:tc>
        <w:tc>
          <w:tcPr>
            <w:tcW w:w="1134" w:type="dxa"/>
            <w:vAlign w:val="center"/>
          </w:tcPr>
          <w:p w14:paraId="57616CCE">
            <w:pPr>
              <w:pStyle w:val="11"/>
            </w:pPr>
          </w:p>
        </w:tc>
      </w:tr>
      <w:tr w14:paraId="3EAD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7D16B">
            <w:pPr>
              <w:pStyle w:val="13"/>
            </w:pPr>
            <w:r>
              <w:t>3</w:t>
            </w:r>
          </w:p>
        </w:tc>
        <w:tc>
          <w:tcPr>
            <w:tcW w:w="992" w:type="dxa"/>
            <w:vAlign w:val="center"/>
          </w:tcPr>
          <w:p w14:paraId="481FA903">
            <w:pPr>
              <w:pStyle w:val="12"/>
            </w:pPr>
            <w:r>
              <w:t>20502</w:t>
            </w:r>
          </w:p>
        </w:tc>
        <w:tc>
          <w:tcPr>
            <w:tcW w:w="1559" w:type="dxa"/>
            <w:vAlign w:val="center"/>
          </w:tcPr>
          <w:p w14:paraId="4BD71AC8">
            <w:pPr>
              <w:pStyle w:val="12"/>
            </w:pPr>
            <w:r>
              <w:t>普通教育</w:t>
            </w:r>
          </w:p>
        </w:tc>
        <w:tc>
          <w:tcPr>
            <w:tcW w:w="1134" w:type="dxa"/>
            <w:vAlign w:val="center"/>
          </w:tcPr>
          <w:p w14:paraId="1FCFEFE1">
            <w:pPr>
              <w:pStyle w:val="11"/>
            </w:pPr>
            <w:r>
              <w:t>231.88</w:t>
            </w:r>
          </w:p>
        </w:tc>
        <w:tc>
          <w:tcPr>
            <w:tcW w:w="1134" w:type="dxa"/>
            <w:vAlign w:val="center"/>
          </w:tcPr>
          <w:p w14:paraId="1A204E72">
            <w:pPr>
              <w:pStyle w:val="11"/>
            </w:pPr>
            <w:r>
              <w:t>231.88</w:t>
            </w:r>
          </w:p>
        </w:tc>
        <w:tc>
          <w:tcPr>
            <w:tcW w:w="1134" w:type="dxa"/>
            <w:vAlign w:val="center"/>
          </w:tcPr>
          <w:p w14:paraId="2DAF8795">
            <w:pPr>
              <w:pStyle w:val="11"/>
            </w:pPr>
            <w:r>
              <w:t>231.88</w:t>
            </w:r>
          </w:p>
        </w:tc>
        <w:tc>
          <w:tcPr>
            <w:tcW w:w="1134" w:type="dxa"/>
            <w:vAlign w:val="center"/>
          </w:tcPr>
          <w:p w14:paraId="0B34222C">
            <w:pPr>
              <w:pStyle w:val="11"/>
            </w:pPr>
          </w:p>
        </w:tc>
        <w:tc>
          <w:tcPr>
            <w:tcW w:w="1134" w:type="dxa"/>
            <w:vAlign w:val="center"/>
          </w:tcPr>
          <w:p w14:paraId="3F7D03E9">
            <w:pPr>
              <w:pStyle w:val="11"/>
            </w:pPr>
          </w:p>
        </w:tc>
        <w:tc>
          <w:tcPr>
            <w:tcW w:w="1134" w:type="dxa"/>
            <w:vAlign w:val="center"/>
          </w:tcPr>
          <w:p w14:paraId="4626B55A">
            <w:pPr>
              <w:pStyle w:val="11"/>
            </w:pPr>
          </w:p>
        </w:tc>
        <w:tc>
          <w:tcPr>
            <w:tcW w:w="1134" w:type="dxa"/>
            <w:vAlign w:val="center"/>
          </w:tcPr>
          <w:p w14:paraId="6ADC98ED">
            <w:pPr>
              <w:pStyle w:val="11"/>
            </w:pPr>
          </w:p>
        </w:tc>
        <w:tc>
          <w:tcPr>
            <w:tcW w:w="1134" w:type="dxa"/>
            <w:vAlign w:val="center"/>
          </w:tcPr>
          <w:p w14:paraId="20B279FF">
            <w:pPr>
              <w:pStyle w:val="11"/>
            </w:pPr>
          </w:p>
        </w:tc>
        <w:tc>
          <w:tcPr>
            <w:tcW w:w="1134" w:type="dxa"/>
            <w:vAlign w:val="center"/>
          </w:tcPr>
          <w:p w14:paraId="6BC1461F">
            <w:pPr>
              <w:pStyle w:val="11"/>
            </w:pPr>
          </w:p>
        </w:tc>
        <w:tc>
          <w:tcPr>
            <w:tcW w:w="1134" w:type="dxa"/>
            <w:vAlign w:val="center"/>
          </w:tcPr>
          <w:p w14:paraId="0A87A43A">
            <w:pPr>
              <w:pStyle w:val="11"/>
            </w:pPr>
          </w:p>
        </w:tc>
      </w:tr>
      <w:tr w14:paraId="3B14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6901B">
            <w:pPr>
              <w:pStyle w:val="13"/>
            </w:pPr>
            <w:r>
              <w:t>4</w:t>
            </w:r>
          </w:p>
        </w:tc>
        <w:tc>
          <w:tcPr>
            <w:tcW w:w="992" w:type="dxa"/>
            <w:vAlign w:val="center"/>
          </w:tcPr>
          <w:p w14:paraId="046DCBD6">
            <w:pPr>
              <w:pStyle w:val="12"/>
            </w:pPr>
            <w:r>
              <w:t>2050201</w:t>
            </w:r>
          </w:p>
        </w:tc>
        <w:tc>
          <w:tcPr>
            <w:tcW w:w="1559" w:type="dxa"/>
            <w:vAlign w:val="center"/>
          </w:tcPr>
          <w:p w14:paraId="39A5B270">
            <w:pPr>
              <w:pStyle w:val="12"/>
            </w:pPr>
            <w:r>
              <w:t>学前教育</w:t>
            </w:r>
          </w:p>
        </w:tc>
        <w:tc>
          <w:tcPr>
            <w:tcW w:w="1134" w:type="dxa"/>
            <w:vAlign w:val="center"/>
          </w:tcPr>
          <w:p w14:paraId="4737F68F">
            <w:pPr>
              <w:pStyle w:val="11"/>
            </w:pPr>
            <w:r>
              <w:t>231.88</w:t>
            </w:r>
          </w:p>
        </w:tc>
        <w:tc>
          <w:tcPr>
            <w:tcW w:w="1134" w:type="dxa"/>
            <w:vAlign w:val="center"/>
          </w:tcPr>
          <w:p w14:paraId="63469145">
            <w:pPr>
              <w:pStyle w:val="11"/>
            </w:pPr>
            <w:r>
              <w:t>231.88</w:t>
            </w:r>
          </w:p>
        </w:tc>
        <w:tc>
          <w:tcPr>
            <w:tcW w:w="1134" w:type="dxa"/>
            <w:vAlign w:val="center"/>
          </w:tcPr>
          <w:p w14:paraId="76B721E7">
            <w:pPr>
              <w:pStyle w:val="11"/>
            </w:pPr>
            <w:r>
              <w:t>231.88</w:t>
            </w:r>
          </w:p>
        </w:tc>
        <w:tc>
          <w:tcPr>
            <w:tcW w:w="1134" w:type="dxa"/>
            <w:vAlign w:val="center"/>
          </w:tcPr>
          <w:p w14:paraId="5EE6E5BE">
            <w:pPr>
              <w:pStyle w:val="11"/>
            </w:pPr>
          </w:p>
        </w:tc>
        <w:tc>
          <w:tcPr>
            <w:tcW w:w="1134" w:type="dxa"/>
            <w:vAlign w:val="center"/>
          </w:tcPr>
          <w:p w14:paraId="15A5EE8E">
            <w:pPr>
              <w:pStyle w:val="11"/>
            </w:pPr>
          </w:p>
        </w:tc>
        <w:tc>
          <w:tcPr>
            <w:tcW w:w="1134" w:type="dxa"/>
            <w:vAlign w:val="center"/>
          </w:tcPr>
          <w:p w14:paraId="0FC59CED">
            <w:pPr>
              <w:pStyle w:val="11"/>
            </w:pPr>
          </w:p>
        </w:tc>
        <w:tc>
          <w:tcPr>
            <w:tcW w:w="1134" w:type="dxa"/>
            <w:vAlign w:val="center"/>
          </w:tcPr>
          <w:p w14:paraId="1DDF4C91">
            <w:pPr>
              <w:pStyle w:val="11"/>
            </w:pPr>
          </w:p>
        </w:tc>
        <w:tc>
          <w:tcPr>
            <w:tcW w:w="1134" w:type="dxa"/>
            <w:vAlign w:val="center"/>
          </w:tcPr>
          <w:p w14:paraId="4E34C077">
            <w:pPr>
              <w:pStyle w:val="11"/>
            </w:pPr>
          </w:p>
        </w:tc>
        <w:tc>
          <w:tcPr>
            <w:tcW w:w="1134" w:type="dxa"/>
            <w:vAlign w:val="center"/>
          </w:tcPr>
          <w:p w14:paraId="7BB3782F">
            <w:pPr>
              <w:pStyle w:val="11"/>
            </w:pPr>
          </w:p>
        </w:tc>
        <w:tc>
          <w:tcPr>
            <w:tcW w:w="1134" w:type="dxa"/>
            <w:vAlign w:val="center"/>
          </w:tcPr>
          <w:p w14:paraId="58C377DE">
            <w:pPr>
              <w:pStyle w:val="11"/>
            </w:pPr>
          </w:p>
        </w:tc>
      </w:tr>
    </w:tbl>
    <w:p w14:paraId="6E1D7F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F369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5D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3C82F9">
            <w:pPr>
              <w:pStyle w:val="9"/>
            </w:pPr>
            <w:r>
              <w:t>360029隆尧县实验幼儿园</w:t>
            </w:r>
          </w:p>
        </w:tc>
        <w:tc>
          <w:tcPr>
            <w:tcW w:w="2722" w:type="dxa"/>
            <w:gridSpan w:val="2"/>
            <w:tcBorders>
              <w:top w:val="single" w:color="FFFFFF" w:sz="6" w:space="0"/>
              <w:left w:val="single" w:color="FFFFFF" w:sz="6" w:space="0"/>
              <w:right w:val="single" w:color="FFFFFF" w:sz="6" w:space="0"/>
            </w:tcBorders>
            <w:vAlign w:val="center"/>
          </w:tcPr>
          <w:p w14:paraId="0578FAA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01C0D91">
            <w:pPr>
              <w:pStyle w:val="7"/>
            </w:pPr>
            <w:r>
              <w:t>单位：万元</w:t>
            </w:r>
          </w:p>
        </w:tc>
      </w:tr>
      <w:tr w14:paraId="6334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BE52D">
            <w:pPr>
              <w:pStyle w:val="10"/>
            </w:pPr>
            <w:r>
              <w:t>序号</w:t>
            </w:r>
          </w:p>
        </w:tc>
        <w:tc>
          <w:tcPr>
            <w:tcW w:w="5527" w:type="dxa"/>
            <w:gridSpan w:val="2"/>
            <w:vAlign w:val="center"/>
          </w:tcPr>
          <w:p w14:paraId="2CFEBCA7">
            <w:pPr>
              <w:pStyle w:val="10"/>
            </w:pPr>
            <w:r>
              <w:t>功能分类科目</w:t>
            </w:r>
          </w:p>
        </w:tc>
        <w:tc>
          <w:tcPr>
            <w:tcW w:w="1361" w:type="dxa"/>
            <w:vMerge w:val="restart"/>
            <w:vAlign w:val="center"/>
          </w:tcPr>
          <w:p w14:paraId="3E8BB3DC">
            <w:pPr>
              <w:pStyle w:val="10"/>
            </w:pPr>
            <w:r>
              <w:t>合计</w:t>
            </w:r>
          </w:p>
        </w:tc>
        <w:tc>
          <w:tcPr>
            <w:tcW w:w="1361" w:type="dxa"/>
            <w:vMerge w:val="restart"/>
            <w:vAlign w:val="center"/>
          </w:tcPr>
          <w:p w14:paraId="6E2F6461">
            <w:pPr>
              <w:pStyle w:val="10"/>
            </w:pPr>
            <w:r>
              <w:t>基本支出</w:t>
            </w:r>
          </w:p>
        </w:tc>
        <w:tc>
          <w:tcPr>
            <w:tcW w:w="1361" w:type="dxa"/>
            <w:vMerge w:val="restart"/>
            <w:vAlign w:val="center"/>
          </w:tcPr>
          <w:p w14:paraId="4047A4E4">
            <w:pPr>
              <w:pStyle w:val="10"/>
            </w:pPr>
            <w:r>
              <w:t>项目支出</w:t>
            </w:r>
          </w:p>
        </w:tc>
        <w:tc>
          <w:tcPr>
            <w:tcW w:w="1361" w:type="dxa"/>
            <w:vMerge w:val="restart"/>
            <w:vAlign w:val="center"/>
          </w:tcPr>
          <w:p w14:paraId="7B827ADE">
            <w:pPr>
              <w:pStyle w:val="10"/>
            </w:pPr>
            <w:r>
              <w:t>经营支出</w:t>
            </w:r>
          </w:p>
        </w:tc>
        <w:tc>
          <w:tcPr>
            <w:tcW w:w="1361" w:type="dxa"/>
            <w:vMerge w:val="restart"/>
            <w:vAlign w:val="center"/>
          </w:tcPr>
          <w:p w14:paraId="07FD7BEC">
            <w:pPr>
              <w:pStyle w:val="10"/>
            </w:pPr>
            <w:r>
              <w:t>上解上级     支出</w:t>
            </w:r>
          </w:p>
        </w:tc>
        <w:tc>
          <w:tcPr>
            <w:tcW w:w="1361" w:type="dxa"/>
            <w:vMerge w:val="restart"/>
            <w:vAlign w:val="center"/>
          </w:tcPr>
          <w:p w14:paraId="2FA773B8">
            <w:pPr>
              <w:pStyle w:val="10"/>
            </w:pPr>
            <w:r>
              <w:t>对附属单位补助支出</w:t>
            </w:r>
          </w:p>
        </w:tc>
      </w:tr>
      <w:tr w14:paraId="11D8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EECB59"/>
        </w:tc>
        <w:tc>
          <w:tcPr>
            <w:tcW w:w="992" w:type="dxa"/>
            <w:vAlign w:val="center"/>
          </w:tcPr>
          <w:p w14:paraId="0ADB7C29">
            <w:pPr>
              <w:pStyle w:val="10"/>
            </w:pPr>
            <w:r>
              <w:t>科目    编码</w:t>
            </w:r>
          </w:p>
        </w:tc>
        <w:tc>
          <w:tcPr>
            <w:tcW w:w="4535" w:type="dxa"/>
            <w:vAlign w:val="center"/>
          </w:tcPr>
          <w:p w14:paraId="671705B2">
            <w:pPr>
              <w:pStyle w:val="10"/>
            </w:pPr>
            <w:r>
              <w:t>科目名称</w:t>
            </w:r>
          </w:p>
        </w:tc>
        <w:tc>
          <w:tcPr>
            <w:tcW w:w="1361" w:type="dxa"/>
            <w:vMerge w:val="continue"/>
          </w:tcPr>
          <w:p w14:paraId="4E686C9B"/>
        </w:tc>
        <w:tc>
          <w:tcPr>
            <w:tcW w:w="1361" w:type="dxa"/>
            <w:vMerge w:val="continue"/>
          </w:tcPr>
          <w:p w14:paraId="560C6E12"/>
        </w:tc>
        <w:tc>
          <w:tcPr>
            <w:tcW w:w="1361" w:type="dxa"/>
            <w:vMerge w:val="continue"/>
          </w:tcPr>
          <w:p w14:paraId="01E0A4E4"/>
        </w:tc>
        <w:tc>
          <w:tcPr>
            <w:tcW w:w="1361" w:type="dxa"/>
            <w:vMerge w:val="continue"/>
          </w:tcPr>
          <w:p w14:paraId="0512602B"/>
        </w:tc>
        <w:tc>
          <w:tcPr>
            <w:tcW w:w="1361" w:type="dxa"/>
            <w:vMerge w:val="continue"/>
          </w:tcPr>
          <w:p w14:paraId="47AF9319"/>
        </w:tc>
        <w:tc>
          <w:tcPr>
            <w:tcW w:w="1361" w:type="dxa"/>
            <w:vMerge w:val="continue"/>
          </w:tcPr>
          <w:p w14:paraId="5546FDA5"/>
        </w:tc>
      </w:tr>
      <w:tr w14:paraId="4129E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40B91">
            <w:pPr>
              <w:pStyle w:val="10"/>
            </w:pPr>
            <w:r>
              <w:t>栏次</w:t>
            </w:r>
          </w:p>
        </w:tc>
        <w:tc>
          <w:tcPr>
            <w:tcW w:w="992" w:type="dxa"/>
            <w:vAlign w:val="center"/>
          </w:tcPr>
          <w:p w14:paraId="3F1275A6">
            <w:pPr>
              <w:pStyle w:val="10"/>
            </w:pPr>
            <w:r>
              <w:t>1</w:t>
            </w:r>
          </w:p>
        </w:tc>
        <w:tc>
          <w:tcPr>
            <w:tcW w:w="4535" w:type="dxa"/>
            <w:vAlign w:val="center"/>
          </w:tcPr>
          <w:p w14:paraId="2EF14C07">
            <w:pPr>
              <w:pStyle w:val="10"/>
            </w:pPr>
            <w:r>
              <w:t>2</w:t>
            </w:r>
          </w:p>
        </w:tc>
        <w:tc>
          <w:tcPr>
            <w:tcW w:w="1361" w:type="dxa"/>
            <w:vAlign w:val="center"/>
          </w:tcPr>
          <w:p w14:paraId="4CEDC478">
            <w:pPr>
              <w:pStyle w:val="10"/>
            </w:pPr>
            <w:r>
              <w:t>3</w:t>
            </w:r>
          </w:p>
        </w:tc>
        <w:tc>
          <w:tcPr>
            <w:tcW w:w="1361" w:type="dxa"/>
            <w:vAlign w:val="center"/>
          </w:tcPr>
          <w:p w14:paraId="5E052E11">
            <w:pPr>
              <w:pStyle w:val="10"/>
            </w:pPr>
            <w:r>
              <w:t>4</w:t>
            </w:r>
          </w:p>
        </w:tc>
        <w:tc>
          <w:tcPr>
            <w:tcW w:w="1361" w:type="dxa"/>
            <w:vAlign w:val="center"/>
          </w:tcPr>
          <w:p w14:paraId="17A04D04">
            <w:pPr>
              <w:pStyle w:val="10"/>
            </w:pPr>
            <w:r>
              <w:t>5</w:t>
            </w:r>
          </w:p>
        </w:tc>
        <w:tc>
          <w:tcPr>
            <w:tcW w:w="1361" w:type="dxa"/>
            <w:vAlign w:val="center"/>
          </w:tcPr>
          <w:p w14:paraId="1E27DC4F">
            <w:pPr>
              <w:pStyle w:val="10"/>
            </w:pPr>
            <w:r>
              <w:t>6</w:t>
            </w:r>
          </w:p>
        </w:tc>
        <w:tc>
          <w:tcPr>
            <w:tcW w:w="1361" w:type="dxa"/>
            <w:vAlign w:val="center"/>
          </w:tcPr>
          <w:p w14:paraId="36CE5D76">
            <w:pPr>
              <w:pStyle w:val="10"/>
            </w:pPr>
            <w:r>
              <w:t>7</w:t>
            </w:r>
          </w:p>
        </w:tc>
        <w:tc>
          <w:tcPr>
            <w:tcW w:w="1361" w:type="dxa"/>
            <w:vAlign w:val="center"/>
          </w:tcPr>
          <w:p w14:paraId="07D348D9">
            <w:pPr>
              <w:pStyle w:val="10"/>
            </w:pPr>
            <w:r>
              <w:t>8</w:t>
            </w:r>
          </w:p>
        </w:tc>
      </w:tr>
      <w:tr w14:paraId="4EBE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59E6C">
            <w:pPr>
              <w:pStyle w:val="13"/>
            </w:pPr>
            <w:r>
              <w:t>1</w:t>
            </w:r>
          </w:p>
        </w:tc>
        <w:tc>
          <w:tcPr>
            <w:tcW w:w="992" w:type="dxa"/>
            <w:vAlign w:val="center"/>
          </w:tcPr>
          <w:p w14:paraId="71E4CA6E">
            <w:pPr>
              <w:pStyle w:val="16"/>
            </w:pPr>
          </w:p>
        </w:tc>
        <w:tc>
          <w:tcPr>
            <w:tcW w:w="4535" w:type="dxa"/>
            <w:vAlign w:val="center"/>
          </w:tcPr>
          <w:p w14:paraId="758504A9">
            <w:pPr>
              <w:pStyle w:val="14"/>
            </w:pPr>
            <w:r>
              <w:t>合计</w:t>
            </w:r>
          </w:p>
        </w:tc>
        <w:tc>
          <w:tcPr>
            <w:tcW w:w="1361" w:type="dxa"/>
            <w:vAlign w:val="center"/>
          </w:tcPr>
          <w:p w14:paraId="19983A99">
            <w:pPr>
              <w:pStyle w:val="15"/>
            </w:pPr>
            <w:r>
              <w:t>231.88</w:t>
            </w:r>
          </w:p>
        </w:tc>
        <w:tc>
          <w:tcPr>
            <w:tcW w:w="1361" w:type="dxa"/>
            <w:vAlign w:val="center"/>
          </w:tcPr>
          <w:p w14:paraId="17B6A679">
            <w:pPr>
              <w:pStyle w:val="15"/>
            </w:pPr>
            <w:r>
              <w:t>224.44</w:t>
            </w:r>
          </w:p>
        </w:tc>
        <w:tc>
          <w:tcPr>
            <w:tcW w:w="1361" w:type="dxa"/>
            <w:vAlign w:val="center"/>
          </w:tcPr>
          <w:p w14:paraId="2AF88B2B">
            <w:pPr>
              <w:pStyle w:val="15"/>
            </w:pPr>
            <w:r>
              <w:t>7.44</w:t>
            </w:r>
          </w:p>
        </w:tc>
        <w:tc>
          <w:tcPr>
            <w:tcW w:w="1361" w:type="dxa"/>
            <w:vAlign w:val="center"/>
          </w:tcPr>
          <w:p w14:paraId="7018E2DE">
            <w:pPr>
              <w:pStyle w:val="15"/>
            </w:pPr>
          </w:p>
        </w:tc>
        <w:tc>
          <w:tcPr>
            <w:tcW w:w="1361" w:type="dxa"/>
            <w:vAlign w:val="center"/>
          </w:tcPr>
          <w:p w14:paraId="5B220345">
            <w:pPr>
              <w:pStyle w:val="15"/>
            </w:pPr>
          </w:p>
        </w:tc>
        <w:tc>
          <w:tcPr>
            <w:tcW w:w="1361" w:type="dxa"/>
            <w:vAlign w:val="center"/>
          </w:tcPr>
          <w:p w14:paraId="671E4CB7">
            <w:pPr>
              <w:pStyle w:val="15"/>
            </w:pPr>
          </w:p>
        </w:tc>
      </w:tr>
      <w:tr w14:paraId="3085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ADDBF">
            <w:pPr>
              <w:pStyle w:val="13"/>
            </w:pPr>
            <w:r>
              <w:t>2</w:t>
            </w:r>
          </w:p>
        </w:tc>
        <w:tc>
          <w:tcPr>
            <w:tcW w:w="992" w:type="dxa"/>
            <w:vAlign w:val="center"/>
          </w:tcPr>
          <w:p w14:paraId="23C61688">
            <w:pPr>
              <w:pStyle w:val="12"/>
            </w:pPr>
            <w:r>
              <w:t>205</w:t>
            </w:r>
          </w:p>
        </w:tc>
        <w:tc>
          <w:tcPr>
            <w:tcW w:w="4535" w:type="dxa"/>
            <w:vAlign w:val="center"/>
          </w:tcPr>
          <w:p w14:paraId="694B0D8A">
            <w:pPr>
              <w:pStyle w:val="12"/>
            </w:pPr>
            <w:r>
              <w:t>教育支出</w:t>
            </w:r>
          </w:p>
        </w:tc>
        <w:tc>
          <w:tcPr>
            <w:tcW w:w="1361" w:type="dxa"/>
            <w:vAlign w:val="center"/>
          </w:tcPr>
          <w:p w14:paraId="0AFD7404">
            <w:pPr>
              <w:pStyle w:val="11"/>
            </w:pPr>
            <w:r>
              <w:t>231.88</w:t>
            </w:r>
          </w:p>
        </w:tc>
        <w:tc>
          <w:tcPr>
            <w:tcW w:w="1361" w:type="dxa"/>
            <w:vAlign w:val="center"/>
          </w:tcPr>
          <w:p w14:paraId="4772A1E2">
            <w:pPr>
              <w:pStyle w:val="11"/>
            </w:pPr>
            <w:r>
              <w:t>224.44</w:t>
            </w:r>
          </w:p>
        </w:tc>
        <w:tc>
          <w:tcPr>
            <w:tcW w:w="1361" w:type="dxa"/>
            <w:vAlign w:val="center"/>
          </w:tcPr>
          <w:p w14:paraId="09E07A54">
            <w:pPr>
              <w:pStyle w:val="11"/>
            </w:pPr>
            <w:r>
              <w:t>7.44</w:t>
            </w:r>
          </w:p>
        </w:tc>
        <w:tc>
          <w:tcPr>
            <w:tcW w:w="1361" w:type="dxa"/>
            <w:vAlign w:val="center"/>
          </w:tcPr>
          <w:p w14:paraId="58776C17">
            <w:pPr>
              <w:pStyle w:val="11"/>
            </w:pPr>
          </w:p>
        </w:tc>
        <w:tc>
          <w:tcPr>
            <w:tcW w:w="1361" w:type="dxa"/>
            <w:vAlign w:val="center"/>
          </w:tcPr>
          <w:p w14:paraId="4E64C0C2">
            <w:pPr>
              <w:pStyle w:val="11"/>
            </w:pPr>
          </w:p>
        </w:tc>
        <w:tc>
          <w:tcPr>
            <w:tcW w:w="1361" w:type="dxa"/>
            <w:vAlign w:val="center"/>
          </w:tcPr>
          <w:p w14:paraId="3CAB8068">
            <w:pPr>
              <w:pStyle w:val="11"/>
            </w:pPr>
          </w:p>
        </w:tc>
      </w:tr>
      <w:tr w14:paraId="6ED8ABBD">
        <w:tblPrEx>
          <w:tblCellMar>
            <w:top w:w="0" w:type="dxa"/>
            <w:left w:w="108" w:type="dxa"/>
            <w:bottom w:w="0" w:type="dxa"/>
            <w:right w:w="108" w:type="dxa"/>
          </w:tblCellMar>
        </w:tblPrEx>
        <w:trPr>
          <w:trHeight w:val="369" w:hRule="atLeast"/>
          <w:jc w:val="center"/>
        </w:trPr>
        <w:tc>
          <w:tcPr>
            <w:tcW w:w="850" w:type="dxa"/>
            <w:vAlign w:val="center"/>
          </w:tcPr>
          <w:p w14:paraId="5089CFB3">
            <w:pPr>
              <w:pStyle w:val="13"/>
            </w:pPr>
            <w:r>
              <w:t>3</w:t>
            </w:r>
          </w:p>
        </w:tc>
        <w:tc>
          <w:tcPr>
            <w:tcW w:w="992" w:type="dxa"/>
            <w:vAlign w:val="center"/>
          </w:tcPr>
          <w:p w14:paraId="59D71032">
            <w:pPr>
              <w:pStyle w:val="12"/>
            </w:pPr>
            <w:r>
              <w:t>20502</w:t>
            </w:r>
          </w:p>
        </w:tc>
        <w:tc>
          <w:tcPr>
            <w:tcW w:w="4535" w:type="dxa"/>
            <w:vAlign w:val="center"/>
          </w:tcPr>
          <w:p w14:paraId="0EB5CA2A">
            <w:pPr>
              <w:pStyle w:val="12"/>
            </w:pPr>
            <w:r>
              <w:t>普通教育</w:t>
            </w:r>
          </w:p>
        </w:tc>
        <w:tc>
          <w:tcPr>
            <w:tcW w:w="1361" w:type="dxa"/>
            <w:vAlign w:val="center"/>
          </w:tcPr>
          <w:p w14:paraId="6DCC0A4B">
            <w:pPr>
              <w:pStyle w:val="11"/>
            </w:pPr>
            <w:r>
              <w:t>231.88</w:t>
            </w:r>
          </w:p>
        </w:tc>
        <w:tc>
          <w:tcPr>
            <w:tcW w:w="1361" w:type="dxa"/>
            <w:vAlign w:val="center"/>
          </w:tcPr>
          <w:p w14:paraId="1E6B2843">
            <w:pPr>
              <w:pStyle w:val="11"/>
            </w:pPr>
            <w:r>
              <w:t>224.44</w:t>
            </w:r>
          </w:p>
        </w:tc>
        <w:tc>
          <w:tcPr>
            <w:tcW w:w="1361" w:type="dxa"/>
            <w:vAlign w:val="center"/>
          </w:tcPr>
          <w:p w14:paraId="5DF6CE1F">
            <w:pPr>
              <w:pStyle w:val="11"/>
            </w:pPr>
            <w:r>
              <w:t>7.44</w:t>
            </w:r>
          </w:p>
        </w:tc>
        <w:tc>
          <w:tcPr>
            <w:tcW w:w="1361" w:type="dxa"/>
            <w:vAlign w:val="center"/>
          </w:tcPr>
          <w:p w14:paraId="7E34D3E6">
            <w:pPr>
              <w:pStyle w:val="11"/>
            </w:pPr>
          </w:p>
        </w:tc>
        <w:tc>
          <w:tcPr>
            <w:tcW w:w="1361" w:type="dxa"/>
            <w:vAlign w:val="center"/>
          </w:tcPr>
          <w:p w14:paraId="5D486434">
            <w:pPr>
              <w:pStyle w:val="11"/>
            </w:pPr>
          </w:p>
        </w:tc>
        <w:tc>
          <w:tcPr>
            <w:tcW w:w="1361" w:type="dxa"/>
            <w:vAlign w:val="center"/>
          </w:tcPr>
          <w:p w14:paraId="14B73681">
            <w:pPr>
              <w:pStyle w:val="11"/>
            </w:pPr>
          </w:p>
        </w:tc>
      </w:tr>
      <w:tr w14:paraId="178324ED">
        <w:tblPrEx>
          <w:tblCellMar>
            <w:top w:w="0" w:type="dxa"/>
            <w:left w:w="108" w:type="dxa"/>
            <w:bottom w:w="0" w:type="dxa"/>
            <w:right w:w="108" w:type="dxa"/>
          </w:tblCellMar>
        </w:tblPrEx>
        <w:trPr>
          <w:trHeight w:val="369" w:hRule="atLeast"/>
          <w:jc w:val="center"/>
        </w:trPr>
        <w:tc>
          <w:tcPr>
            <w:tcW w:w="850" w:type="dxa"/>
            <w:vAlign w:val="center"/>
          </w:tcPr>
          <w:p w14:paraId="6366DAEA">
            <w:pPr>
              <w:pStyle w:val="13"/>
            </w:pPr>
            <w:r>
              <w:t>4</w:t>
            </w:r>
          </w:p>
        </w:tc>
        <w:tc>
          <w:tcPr>
            <w:tcW w:w="992" w:type="dxa"/>
            <w:vAlign w:val="center"/>
          </w:tcPr>
          <w:p w14:paraId="347991D3">
            <w:pPr>
              <w:pStyle w:val="12"/>
            </w:pPr>
            <w:r>
              <w:t>2050201</w:t>
            </w:r>
          </w:p>
        </w:tc>
        <w:tc>
          <w:tcPr>
            <w:tcW w:w="4535" w:type="dxa"/>
            <w:vAlign w:val="center"/>
          </w:tcPr>
          <w:p w14:paraId="755AD05F">
            <w:pPr>
              <w:pStyle w:val="12"/>
            </w:pPr>
            <w:r>
              <w:t>学前教育</w:t>
            </w:r>
          </w:p>
        </w:tc>
        <w:tc>
          <w:tcPr>
            <w:tcW w:w="1361" w:type="dxa"/>
            <w:vAlign w:val="center"/>
          </w:tcPr>
          <w:p w14:paraId="6E8DE134">
            <w:pPr>
              <w:pStyle w:val="11"/>
            </w:pPr>
            <w:r>
              <w:t>231.88</w:t>
            </w:r>
          </w:p>
        </w:tc>
        <w:tc>
          <w:tcPr>
            <w:tcW w:w="1361" w:type="dxa"/>
            <w:vAlign w:val="center"/>
          </w:tcPr>
          <w:p w14:paraId="178A8813">
            <w:pPr>
              <w:pStyle w:val="11"/>
            </w:pPr>
            <w:r>
              <w:t>224.44</w:t>
            </w:r>
          </w:p>
        </w:tc>
        <w:tc>
          <w:tcPr>
            <w:tcW w:w="1361" w:type="dxa"/>
            <w:vAlign w:val="center"/>
          </w:tcPr>
          <w:p w14:paraId="750ACA72">
            <w:pPr>
              <w:pStyle w:val="11"/>
            </w:pPr>
            <w:r>
              <w:t>7.44</w:t>
            </w:r>
          </w:p>
        </w:tc>
        <w:tc>
          <w:tcPr>
            <w:tcW w:w="1361" w:type="dxa"/>
            <w:vAlign w:val="center"/>
          </w:tcPr>
          <w:p w14:paraId="2A7FA06D">
            <w:pPr>
              <w:pStyle w:val="11"/>
            </w:pPr>
          </w:p>
        </w:tc>
        <w:tc>
          <w:tcPr>
            <w:tcW w:w="1361" w:type="dxa"/>
            <w:vAlign w:val="center"/>
          </w:tcPr>
          <w:p w14:paraId="67744D2F">
            <w:pPr>
              <w:pStyle w:val="11"/>
            </w:pPr>
          </w:p>
        </w:tc>
        <w:tc>
          <w:tcPr>
            <w:tcW w:w="1361" w:type="dxa"/>
            <w:vAlign w:val="center"/>
          </w:tcPr>
          <w:p w14:paraId="5962D147">
            <w:pPr>
              <w:pStyle w:val="11"/>
            </w:pPr>
          </w:p>
        </w:tc>
      </w:tr>
    </w:tbl>
    <w:p w14:paraId="2BFE9E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A3C2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A1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D439B8">
            <w:pPr>
              <w:pStyle w:val="9"/>
            </w:pPr>
            <w:r>
              <w:t>360029隆尧县实验幼儿园</w:t>
            </w:r>
          </w:p>
        </w:tc>
        <w:tc>
          <w:tcPr>
            <w:tcW w:w="3402" w:type="dxa"/>
            <w:tcBorders>
              <w:top w:val="single" w:color="FFFFFF" w:sz="6" w:space="0"/>
              <w:left w:val="single" w:color="FFFFFF" w:sz="6" w:space="0"/>
              <w:right w:val="single" w:color="FFFFFF" w:sz="6" w:space="0"/>
            </w:tcBorders>
            <w:vAlign w:val="center"/>
          </w:tcPr>
          <w:p w14:paraId="57ED2B4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AAA5C2A">
            <w:pPr>
              <w:pStyle w:val="7"/>
            </w:pPr>
            <w:r>
              <w:t>单位：万元</w:t>
            </w:r>
          </w:p>
        </w:tc>
      </w:tr>
      <w:tr w14:paraId="77EF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7D099">
            <w:pPr>
              <w:pStyle w:val="10"/>
            </w:pPr>
            <w:r>
              <w:t>序号</w:t>
            </w:r>
          </w:p>
        </w:tc>
        <w:tc>
          <w:tcPr>
            <w:tcW w:w="4876" w:type="dxa"/>
            <w:gridSpan w:val="2"/>
            <w:vAlign w:val="center"/>
          </w:tcPr>
          <w:p w14:paraId="1730838C">
            <w:pPr>
              <w:pStyle w:val="10"/>
            </w:pPr>
            <w:r>
              <w:t>收入</w:t>
            </w:r>
          </w:p>
        </w:tc>
        <w:tc>
          <w:tcPr>
            <w:tcW w:w="9298" w:type="dxa"/>
            <w:gridSpan w:val="5"/>
            <w:vAlign w:val="center"/>
          </w:tcPr>
          <w:p w14:paraId="000BD2A4">
            <w:pPr>
              <w:pStyle w:val="10"/>
            </w:pPr>
            <w:r>
              <w:t>支出</w:t>
            </w:r>
          </w:p>
        </w:tc>
      </w:tr>
      <w:tr w14:paraId="310B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14136"/>
        </w:tc>
        <w:tc>
          <w:tcPr>
            <w:tcW w:w="3402" w:type="dxa"/>
            <w:vAlign w:val="center"/>
          </w:tcPr>
          <w:p w14:paraId="3D6F8185">
            <w:pPr>
              <w:pStyle w:val="10"/>
            </w:pPr>
            <w:r>
              <w:t>项  目</w:t>
            </w:r>
          </w:p>
        </w:tc>
        <w:tc>
          <w:tcPr>
            <w:tcW w:w="1474" w:type="dxa"/>
            <w:vAlign w:val="center"/>
          </w:tcPr>
          <w:p w14:paraId="4AB50C08">
            <w:pPr>
              <w:pStyle w:val="10"/>
            </w:pPr>
            <w:r>
              <w:t>金额</w:t>
            </w:r>
          </w:p>
        </w:tc>
        <w:tc>
          <w:tcPr>
            <w:tcW w:w="3402" w:type="dxa"/>
            <w:vAlign w:val="center"/>
          </w:tcPr>
          <w:p w14:paraId="78EF76E3">
            <w:pPr>
              <w:pStyle w:val="10"/>
            </w:pPr>
            <w:r>
              <w:t>项  目</w:t>
            </w:r>
          </w:p>
        </w:tc>
        <w:tc>
          <w:tcPr>
            <w:tcW w:w="1474" w:type="dxa"/>
            <w:vAlign w:val="center"/>
          </w:tcPr>
          <w:p w14:paraId="2A0AD486">
            <w:pPr>
              <w:pStyle w:val="10"/>
            </w:pPr>
            <w:r>
              <w:t>合计</w:t>
            </w:r>
          </w:p>
        </w:tc>
        <w:tc>
          <w:tcPr>
            <w:tcW w:w="1474" w:type="dxa"/>
            <w:vAlign w:val="center"/>
          </w:tcPr>
          <w:p w14:paraId="13E334F0">
            <w:pPr>
              <w:pStyle w:val="10"/>
            </w:pPr>
            <w:r>
              <w:t>一般公共预算财政拨款</w:t>
            </w:r>
          </w:p>
        </w:tc>
        <w:tc>
          <w:tcPr>
            <w:tcW w:w="1474" w:type="dxa"/>
            <w:vAlign w:val="center"/>
          </w:tcPr>
          <w:p w14:paraId="354EECC6">
            <w:pPr>
              <w:pStyle w:val="10"/>
            </w:pPr>
            <w:r>
              <w:t>政府性基金预算财政    拨款</w:t>
            </w:r>
          </w:p>
        </w:tc>
        <w:tc>
          <w:tcPr>
            <w:tcW w:w="1474" w:type="dxa"/>
            <w:vAlign w:val="center"/>
          </w:tcPr>
          <w:p w14:paraId="44709CC4">
            <w:pPr>
              <w:pStyle w:val="10"/>
            </w:pPr>
            <w:r>
              <w:t>国有资本经营预算财政拨款</w:t>
            </w:r>
          </w:p>
        </w:tc>
      </w:tr>
      <w:tr w14:paraId="61EF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B94CD">
            <w:pPr>
              <w:pStyle w:val="10"/>
            </w:pPr>
            <w:r>
              <w:t>栏次</w:t>
            </w:r>
          </w:p>
        </w:tc>
        <w:tc>
          <w:tcPr>
            <w:tcW w:w="3402" w:type="dxa"/>
            <w:vAlign w:val="center"/>
          </w:tcPr>
          <w:p w14:paraId="431EBB74">
            <w:pPr>
              <w:pStyle w:val="10"/>
            </w:pPr>
            <w:r>
              <w:t>1</w:t>
            </w:r>
          </w:p>
        </w:tc>
        <w:tc>
          <w:tcPr>
            <w:tcW w:w="1474" w:type="dxa"/>
            <w:vAlign w:val="center"/>
          </w:tcPr>
          <w:p w14:paraId="46DDD246">
            <w:pPr>
              <w:pStyle w:val="10"/>
            </w:pPr>
            <w:r>
              <w:t>2</w:t>
            </w:r>
          </w:p>
        </w:tc>
        <w:tc>
          <w:tcPr>
            <w:tcW w:w="3402" w:type="dxa"/>
            <w:vAlign w:val="center"/>
          </w:tcPr>
          <w:p w14:paraId="5BCA422B">
            <w:pPr>
              <w:pStyle w:val="10"/>
            </w:pPr>
            <w:r>
              <w:t>3</w:t>
            </w:r>
          </w:p>
        </w:tc>
        <w:tc>
          <w:tcPr>
            <w:tcW w:w="1474" w:type="dxa"/>
            <w:vAlign w:val="center"/>
          </w:tcPr>
          <w:p w14:paraId="17743645">
            <w:pPr>
              <w:pStyle w:val="10"/>
            </w:pPr>
            <w:r>
              <w:t>4</w:t>
            </w:r>
          </w:p>
        </w:tc>
        <w:tc>
          <w:tcPr>
            <w:tcW w:w="1474" w:type="dxa"/>
            <w:vAlign w:val="center"/>
          </w:tcPr>
          <w:p w14:paraId="661DD65E">
            <w:pPr>
              <w:pStyle w:val="10"/>
            </w:pPr>
            <w:r>
              <w:t>5</w:t>
            </w:r>
          </w:p>
        </w:tc>
        <w:tc>
          <w:tcPr>
            <w:tcW w:w="1474" w:type="dxa"/>
            <w:vAlign w:val="center"/>
          </w:tcPr>
          <w:p w14:paraId="5A51F61E">
            <w:pPr>
              <w:pStyle w:val="10"/>
            </w:pPr>
            <w:r>
              <w:t>6</w:t>
            </w:r>
          </w:p>
        </w:tc>
        <w:tc>
          <w:tcPr>
            <w:tcW w:w="1474" w:type="dxa"/>
            <w:vAlign w:val="center"/>
          </w:tcPr>
          <w:p w14:paraId="6E3233B2">
            <w:pPr>
              <w:pStyle w:val="10"/>
            </w:pPr>
            <w:r>
              <w:t>7</w:t>
            </w:r>
          </w:p>
        </w:tc>
      </w:tr>
      <w:tr w14:paraId="6400D1CF">
        <w:tblPrEx>
          <w:tblCellMar>
            <w:top w:w="0" w:type="dxa"/>
            <w:left w:w="108" w:type="dxa"/>
            <w:bottom w:w="0" w:type="dxa"/>
            <w:right w:w="108" w:type="dxa"/>
          </w:tblCellMar>
        </w:tblPrEx>
        <w:trPr>
          <w:trHeight w:val="369" w:hRule="atLeast"/>
          <w:jc w:val="center"/>
        </w:trPr>
        <w:tc>
          <w:tcPr>
            <w:tcW w:w="850" w:type="dxa"/>
            <w:vAlign w:val="center"/>
          </w:tcPr>
          <w:p w14:paraId="0134F900">
            <w:pPr>
              <w:pStyle w:val="13"/>
            </w:pPr>
            <w:r>
              <w:t>1</w:t>
            </w:r>
          </w:p>
        </w:tc>
        <w:tc>
          <w:tcPr>
            <w:tcW w:w="3402" w:type="dxa"/>
            <w:vAlign w:val="center"/>
          </w:tcPr>
          <w:p w14:paraId="619637A0">
            <w:pPr>
              <w:pStyle w:val="12"/>
            </w:pPr>
            <w:r>
              <w:t>一、一般公共预算拨款</w:t>
            </w:r>
          </w:p>
        </w:tc>
        <w:tc>
          <w:tcPr>
            <w:tcW w:w="1474" w:type="dxa"/>
            <w:vAlign w:val="center"/>
          </w:tcPr>
          <w:p w14:paraId="0C92FF10">
            <w:pPr>
              <w:pStyle w:val="11"/>
            </w:pPr>
            <w:r>
              <w:t>231.88</w:t>
            </w:r>
          </w:p>
        </w:tc>
        <w:tc>
          <w:tcPr>
            <w:tcW w:w="3402" w:type="dxa"/>
            <w:vAlign w:val="center"/>
          </w:tcPr>
          <w:p w14:paraId="21262BAF">
            <w:pPr>
              <w:pStyle w:val="12"/>
            </w:pPr>
            <w:r>
              <w:t>一、一般公共服务支出</w:t>
            </w:r>
          </w:p>
        </w:tc>
        <w:tc>
          <w:tcPr>
            <w:tcW w:w="1474" w:type="dxa"/>
            <w:vAlign w:val="center"/>
          </w:tcPr>
          <w:p w14:paraId="66D92497">
            <w:pPr>
              <w:pStyle w:val="11"/>
            </w:pPr>
          </w:p>
        </w:tc>
        <w:tc>
          <w:tcPr>
            <w:tcW w:w="1474" w:type="dxa"/>
            <w:vAlign w:val="center"/>
          </w:tcPr>
          <w:p w14:paraId="6A67118E">
            <w:pPr>
              <w:pStyle w:val="11"/>
            </w:pPr>
          </w:p>
        </w:tc>
        <w:tc>
          <w:tcPr>
            <w:tcW w:w="1474" w:type="dxa"/>
            <w:vAlign w:val="center"/>
          </w:tcPr>
          <w:p w14:paraId="1B9BF7E2">
            <w:pPr>
              <w:pStyle w:val="11"/>
            </w:pPr>
          </w:p>
        </w:tc>
        <w:tc>
          <w:tcPr>
            <w:tcW w:w="1474" w:type="dxa"/>
            <w:vAlign w:val="center"/>
          </w:tcPr>
          <w:p w14:paraId="38D73D6A">
            <w:pPr>
              <w:pStyle w:val="11"/>
            </w:pPr>
          </w:p>
        </w:tc>
      </w:tr>
      <w:tr w14:paraId="1072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6FB9">
            <w:pPr>
              <w:pStyle w:val="13"/>
            </w:pPr>
            <w:r>
              <w:t>2</w:t>
            </w:r>
          </w:p>
        </w:tc>
        <w:tc>
          <w:tcPr>
            <w:tcW w:w="3402" w:type="dxa"/>
            <w:vAlign w:val="center"/>
          </w:tcPr>
          <w:p w14:paraId="60AB5CE0">
            <w:pPr>
              <w:pStyle w:val="12"/>
            </w:pPr>
            <w:r>
              <w:t>二、政府性基金预算拨款</w:t>
            </w:r>
          </w:p>
        </w:tc>
        <w:tc>
          <w:tcPr>
            <w:tcW w:w="1474" w:type="dxa"/>
            <w:vAlign w:val="center"/>
          </w:tcPr>
          <w:p w14:paraId="0B9409CC">
            <w:pPr>
              <w:pStyle w:val="11"/>
            </w:pPr>
          </w:p>
        </w:tc>
        <w:tc>
          <w:tcPr>
            <w:tcW w:w="3402" w:type="dxa"/>
            <w:vAlign w:val="center"/>
          </w:tcPr>
          <w:p w14:paraId="26A5EEE2">
            <w:pPr>
              <w:pStyle w:val="12"/>
            </w:pPr>
            <w:r>
              <w:t>二、外交支出</w:t>
            </w:r>
          </w:p>
        </w:tc>
        <w:tc>
          <w:tcPr>
            <w:tcW w:w="1474" w:type="dxa"/>
            <w:vAlign w:val="center"/>
          </w:tcPr>
          <w:p w14:paraId="4D33B657">
            <w:pPr>
              <w:pStyle w:val="11"/>
            </w:pPr>
          </w:p>
        </w:tc>
        <w:tc>
          <w:tcPr>
            <w:tcW w:w="1474" w:type="dxa"/>
            <w:vAlign w:val="center"/>
          </w:tcPr>
          <w:p w14:paraId="492A5FE1">
            <w:pPr>
              <w:pStyle w:val="11"/>
            </w:pPr>
          </w:p>
        </w:tc>
        <w:tc>
          <w:tcPr>
            <w:tcW w:w="1474" w:type="dxa"/>
            <w:vAlign w:val="center"/>
          </w:tcPr>
          <w:p w14:paraId="7789695F">
            <w:pPr>
              <w:pStyle w:val="11"/>
            </w:pPr>
          </w:p>
        </w:tc>
        <w:tc>
          <w:tcPr>
            <w:tcW w:w="1474" w:type="dxa"/>
            <w:vAlign w:val="center"/>
          </w:tcPr>
          <w:p w14:paraId="4CC7D10E">
            <w:pPr>
              <w:pStyle w:val="11"/>
            </w:pPr>
          </w:p>
        </w:tc>
      </w:tr>
      <w:tr w14:paraId="55F7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0ED6">
            <w:pPr>
              <w:pStyle w:val="13"/>
            </w:pPr>
            <w:r>
              <w:t>3</w:t>
            </w:r>
          </w:p>
        </w:tc>
        <w:tc>
          <w:tcPr>
            <w:tcW w:w="3402" w:type="dxa"/>
            <w:vAlign w:val="center"/>
          </w:tcPr>
          <w:p w14:paraId="4ADBDF09">
            <w:pPr>
              <w:pStyle w:val="12"/>
            </w:pPr>
            <w:r>
              <w:t>三、国有资本经营预算拨款</w:t>
            </w:r>
          </w:p>
        </w:tc>
        <w:tc>
          <w:tcPr>
            <w:tcW w:w="1474" w:type="dxa"/>
            <w:vAlign w:val="center"/>
          </w:tcPr>
          <w:p w14:paraId="599D7A47">
            <w:pPr>
              <w:pStyle w:val="11"/>
            </w:pPr>
          </w:p>
        </w:tc>
        <w:tc>
          <w:tcPr>
            <w:tcW w:w="3402" w:type="dxa"/>
            <w:vAlign w:val="center"/>
          </w:tcPr>
          <w:p w14:paraId="74ABE574">
            <w:pPr>
              <w:pStyle w:val="12"/>
            </w:pPr>
            <w:r>
              <w:t>三、国防支出</w:t>
            </w:r>
          </w:p>
        </w:tc>
        <w:tc>
          <w:tcPr>
            <w:tcW w:w="1474" w:type="dxa"/>
            <w:vAlign w:val="center"/>
          </w:tcPr>
          <w:p w14:paraId="360A3982">
            <w:pPr>
              <w:pStyle w:val="11"/>
            </w:pPr>
          </w:p>
        </w:tc>
        <w:tc>
          <w:tcPr>
            <w:tcW w:w="1474" w:type="dxa"/>
            <w:vAlign w:val="center"/>
          </w:tcPr>
          <w:p w14:paraId="35ACF0B0">
            <w:pPr>
              <w:pStyle w:val="11"/>
            </w:pPr>
          </w:p>
        </w:tc>
        <w:tc>
          <w:tcPr>
            <w:tcW w:w="1474" w:type="dxa"/>
            <w:vAlign w:val="center"/>
          </w:tcPr>
          <w:p w14:paraId="225DB4C4">
            <w:pPr>
              <w:pStyle w:val="11"/>
            </w:pPr>
          </w:p>
        </w:tc>
        <w:tc>
          <w:tcPr>
            <w:tcW w:w="1474" w:type="dxa"/>
            <w:vAlign w:val="center"/>
          </w:tcPr>
          <w:p w14:paraId="5D5349EC">
            <w:pPr>
              <w:pStyle w:val="11"/>
            </w:pPr>
          </w:p>
        </w:tc>
      </w:tr>
      <w:tr w14:paraId="7710ABB4">
        <w:tblPrEx>
          <w:tblCellMar>
            <w:top w:w="0" w:type="dxa"/>
            <w:left w:w="108" w:type="dxa"/>
            <w:bottom w:w="0" w:type="dxa"/>
            <w:right w:w="108" w:type="dxa"/>
          </w:tblCellMar>
        </w:tblPrEx>
        <w:trPr>
          <w:trHeight w:val="369" w:hRule="atLeast"/>
          <w:jc w:val="center"/>
        </w:trPr>
        <w:tc>
          <w:tcPr>
            <w:tcW w:w="850" w:type="dxa"/>
            <w:vAlign w:val="center"/>
          </w:tcPr>
          <w:p w14:paraId="13B76D3F">
            <w:pPr>
              <w:pStyle w:val="13"/>
            </w:pPr>
            <w:r>
              <w:t>4</w:t>
            </w:r>
          </w:p>
        </w:tc>
        <w:tc>
          <w:tcPr>
            <w:tcW w:w="3402" w:type="dxa"/>
            <w:vAlign w:val="center"/>
          </w:tcPr>
          <w:p w14:paraId="653BEA1F">
            <w:pPr>
              <w:pStyle w:val="12"/>
            </w:pPr>
          </w:p>
        </w:tc>
        <w:tc>
          <w:tcPr>
            <w:tcW w:w="1474" w:type="dxa"/>
            <w:vAlign w:val="center"/>
          </w:tcPr>
          <w:p w14:paraId="4813BB6A">
            <w:pPr>
              <w:pStyle w:val="11"/>
            </w:pPr>
          </w:p>
        </w:tc>
        <w:tc>
          <w:tcPr>
            <w:tcW w:w="3402" w:type="dxa"/>
            <w:vAlign w:val="center"/>
          </w:tcPr>
          <w:p w14:paraId="44334008">
            <w:pPr>
              <w:pStyle w:val="12"/>
            </w:pPr>
            <w:r>
              <w:t>四、公共安全支出</w:t>
            </w:r>
          </w:p>
        </w:tc>
        <w:tc>
          <w:tcPr>
            <w:tcW w:w="1474" w:type="dxa"/>
            <w:vAlign w:val="center"/>
          </w:tcPr>
          <w:p w14:paraId="2236CCDA">
            <w:pPr>
              <w:pStyle w:val="11"/>
            </w:pPr>
          </w:p>
        </w:tc>
        <w:tc>
          <w:tcPr>
            <w:tcW w:w="1474" w:type="dxa"/>
            <w:vAlign w:val="center"/>
          </w:tcPr>
          <w:p w14:paraId="31BE5828">
            <w:pPr>
              <w:pStyle w:val="11"/>
            </w:pPr>
          </w:p>
        </w:tc>
        <w:tc>
          <w:tcPr>
            <w:tcW w:w="1474" w:type="dxa"/>
            <w:vAlign w:val="center"/>
          </w:tcPr>
          <w:p w14:paraId="01A00CB6">
            <w:pPr>
              <w:pStyle w:val="11"/>
            </w:pPr>
          </w:p>
        </w:tc>
        <w:tc>
          <w:tcPr>
            <w:tcW w:w="1474" w:type="dxa"/>
            <w:vAlign w:val="center"/>
          </w:tcPr>
          <w:p w14:paraId="15F33970">
            <w:pPr>
              <w:pStyle w:val="11"/>
            </w:pPr>
          </w:p>
        </w:tc>
      </w:tr>
      <w:tr w14:paraId="2034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30970">
            <w:pPr>
              <w:pStyle w:val="13"/>
            </w:pPr>
            <w:r>
              <w:t>5</w:t>
            </w:r>
          </w:p>
        </w:tc>
        <w:tc>
          <w:tcPr>
            <w:tcW w:w="3402" w:type="dxa"/>
            <w:vAlign w:val="center"/>
          </w:tcPr>
          <w:p w14:paraId="4B120763">
            <w:pPr>
              <w:pStyle w:val="12"/>
            </w:pPr>
          </w:p>
        </w:tc>
        <w:tc>
          <w:tcPr>
            <w:tcW w:w="1474" w:type="dxa"/>
            <w:vAlign w:val="center"/>
          </w:tcPr>
          <w:p w14:paraId="4ECC5909">
            <w:pPr>
              <w:pStyle w:val="11"/>
            </w:pPr>
          </w:p>
        </w:tc>
        <w:tc>
          <w:tcPr>
            <w:tcW w:w="3402" w:type="dxa"/>
            <w:vAlign w:val="center"/>
          </w:tcPr>
          <w:p w14:paraId="45499C3D">
            <w:pPr>
              <w:pStyle w:val="12"/>
            </w:pPr>
            <w:r>
              <w:t>五、教育支出</w:t>
            </w:r>
          </w:p>
        </w:tc>
        <w:tc>
          <w:tcPr>
            <w:tcW w:w="1474" w:type="dxa"/>
            <w:vAlign w:val="center"/>
          </w:tcPr>
          <w:p w14:paraId="75DB7A25">
            <w:pPr>
              <w:pStyle w:val="11"/>
            </w:pPr>
            <w:r>
              <w:t>231.88</w:t>
            </w:r>
          </w:p>
        </w:tc>
        <w:tc>
          <w:tcPr>
            <w:tcW w:w="1474" w:type="dxa"/>
            <w:vAlign w:val="center"/>
          </w:tcPr>
          <w:p w14:paraId="5522BE98">
            <w:pPr>
              <w:pStyle w:val="11"/>
            </w:pPr>
            <w:r>
              <w:t>231.88</w:t>
            </w:r>
          </w:p>
        </w:tc>
        <w:tc>
          <w:tcPr>
            <w:tcW w:w="1474" w:type="dxa"/>
            <w:vAlign w:val="center"/>
          </w:tcPr>
          <w:p w14:paraId="5D53428C">
            <w:pPr>
              <w:pStyle w:val="11"/>
            </w:pPr>
          </w:p>
        </w:tc>
        <w:tc>
          <w:tcPr>
            <w:tcW w:w="1474" w:type="dxa"/>
            <w:vAlign w:val="center"/>
          </w:tcPr>
          <w:p w14:paraId="56DB6625">
            <w:pPr>
              <w:pStyle w:val="11"/>
            </w:pPr>
          </w:p>
        </w:tc>
      </w:tr>
      <w:tr w14:paraId="542A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40E74">
            <w:pPr>
              <w:pStyle w:val="13"/>
            </w:pPr>
            <w:r>
              <w:t>6</w:t>
            </w:r>
          </w:p>
        </w:tc>
        <w:tc>
          <w:tcPr>
            <w:tcW w:w="3402" w:type="dxa"/>
            <w:vAlign w:val="center"/>
          </w:tcPr>
          <w:p w14:paraId="1261E87E">
            <w:pPr>
              <w:pStyle w:val="12"/>
            </w:pPr>
          </w:p>
        </w:tc>
        <w:tc>
          <w:tcPr>
            <w:tcW w:w="1474" w:type="dxa"/>
            <w:vAlign w:val="center"/>
          </w:tcPr>
          <w:p w14:paraId="7BE70AF2">
            <w:pPr>
              <w:pStyle w:val="11"/>
            </w:pPr>
          </w:p>
        </w:tc>
        <w:tc>
          <w:tcPr>
            <w:tcW w:w="3402" w:type="dxa"/>
            <w:vAlign w:val="center"/>
          </w:tcPr>
          <w:p w14:paraId="05AB693F">
            <w:pPr>
              <w:pStyle w:val="12"/>
            </w:pPr>
            <w:r>
              <w:t>六、科学技术支出</w:t>
            </w:r>
          </w:p>
        </w:tc>
        <w:tc>
          <w:tcPr>
            <w:tcW w:w="1474" w:type="dxa"/>
            <w:vAlign w:val="center"/>
          </w:tcPr>
          <w:p w14:paraId="1A5433FB">
            <w:pPr>
              <w:pStyle w:val="11"/>
            </w:pPr>
          </w:p>
        </w:tc>
        <w:tc>
          <w:tcPr>
            <w:tcW w:w="1474" w:type="dxa"/>
            <w:vAlign w:val="center"/>
          </w:tcPr>
          <w:p w14:paraId="0DA34F19">
            <w:pPr>
              <w:pStyle w:val="11"/>
            </w:pPr>
          </w:p>
        </w:tc>
        <w:tc>
          <w:tcPr>
            <w:tcW w:w="1474" w:type="dxa"/>
            <w:vAlign w:val="center"/>
          </w:tcPr>
          <w:p w14:paraId="42F29154">
            <w:pPr>
              <w:pStyle w:val="11"/>
            </w:pPr>
          </w:p>
        </w:tc>
        <w:tc>
          <w:tcPr>
            <w:tcW w:w="1474" w:type="dxa"/>
            <w:vAlign w:val="center"/>
          </w:tcPr>
          <w:p w14:paraId="23B73465">
            <w:pPr>
              <w:pStyle w:val="11"/>
            </w:pPr>
          </w:p>
        </w:tc>
      </w:tr>
      <w:tr w14:paraId="7695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CAEAD">
            <w:pPr>
              <w:pStyle w:val="13"/>
            </w:pPr>
            <w:r>
              <w:t>7</w:t>
            </w:r>
          </w:p>
        </w:tc>
        <w:tc>
          <w:tcPr>
            <w:tcW w:w="3402" w:type="dxa"/>
            <w:vAlign w:val="center"/>
          </w:tcPr>
          <w:p w14:paraId="590515CA">
            <w:pPr>
              <w:pStyle w:val="12"/>
            </w:pPr>
          </w:p>
        </w:tc>
        <w:tc>
          <w:tcPr>
            <w:tcW w:w="1474" w:type="dxa"/>
            <w:vAlign w:val="center"/>
          </w:tcPr>
          <w:p w14:paraId="1ECF09DC">
            <w:pPr>
              <w:pStyle w:val="11"/>
            </w:pPr>
          </w:p>
        </w:tc>
        <w:tc>
          <w:tcPr>
            <w:tcW w:w="3402" w:type="dxa"/>
            <w:vAlign w:val="center"/>
          </w:tcPr>
          <w:p w14:paraId="5B97C901">
            <w:pPr>
              <w:pStyle w:val="12"/>
            </w:pPr>
            <w:r>
              <w:t>七、文化旅游体育与传媒支出</w:t>
            </w:r>
          </w:p>
        </w:tc>
        <w:tc>
          <w:tcPr>
            <w:tcW w:w="1474" w:type="dxa"/>
            <w:vAlign w:val="center"/>
          </w:tcPr>
          <w:p w14:paraId="58F401D8">
            <w:pPr>
              <w:pStyle w:val="11"/>
            </w:pPr>
          </w:p>
        </w:tc>
        <w:tc>
          <w:tcPr>
            <w:tcW w:w="1474" w:type="dxa"/>
            <w:vAlign w:val="center"/>
          </w:tcPr>
          <w:p w14:paraId="00EA765C">
            <w:pPr>
              <w:pStyle w:val="11"/>
            </w:pPr>
          </w:p>
        </w:tc>
        <w:tc>
          <w:tcPr>
            <w:tcW w:w="1474" w:type="dxa"/>
            <w:vAlign w:val="center"/>
          </w:tcPr>
          <w:p w14:paraId="54917F98">
            <w:pPr>
              <w:pStyle w:val="11"/>
            </w:pPr>
          </w:p>
        </w:tc>
        <w:tc>
          <w:tcPr>
            <w:tcW w:w="1474" w:type="dxa"/>
            <w:vAlign w:val="center"/>
          </w:tcPr>
          <w:p w14:paraId="2824D973">
            <w:pPr>
              <w:pStyle w:val="11"/>
            </w:pPr>
          </w:p>
        </w:tc>
      </w:tr>
      <w:tr w14:paraId="2069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BB7AD">
            <w:pPr>
              <w:pStyle w:val="13"/>
            </w:pPr>
            <w:r>
              <w:t>8</w:t>
            </w:r>
          </w:p>
        </w:tc>
        <w:tc>
          <w:tcPr>
            <w:tcW w:w="3402" w:type="dxa"/>
            <w:vAlign w:val="center"/>
          </w:tcPr>
          <w:p w14:paraId="408CB401">
            <w:pPr>
              <w:pStyle w:val="12"/>
            </w:pPr>
          </w:p>
        </w:tc>
        <w:tc>
          <w:tcPr>
            <w:tcW w:w="1474" w:type="dxa"/>
            <w:vAlign w:val="center"/>
          </w:tcPr>
          <w:p w14:paraId="6B530DC4">
            <w:pPr>
              <w:pStyle w:val="11"/>
            </w:pPr>
          </w:p>
        </w:tc>
        <w:tc>
          <w:tcPr>
            <w:tcW w:w="3402" w:type="dxa"/>
            <w:vAlign w:val="center"/>
          </w:tcPr>
          <w:p w14:paraId="7AD4A895">
            <w:pPr>
              <w:pStyle w:val="12"/>
            </w:pPr>
            <w:r>
              <w:t>八、社会保障和就业支出</w:t>
            </w:r>
          </w:p>
        </w:tc>
        <w:tc>
          <w:tcPr>
            <w:tcW w:w="1474" w:type="dxa"/>
            <w:vAlign w:val="center"/>
          </w:tcPr>
          <w:p w14:paraId="42BE1926">
            <w:pPr>
              <w:pStyle w:val="11"/>
            </w:pPr>
          </w:p>
        </w:tc>
        <w:tc>
          <w:tcPr>
            <w:tcW w:w="1474" w:type="dxa"/>
            <w:vAlign w:val="center"/>
          </w:tcPr>
          <w:p w14:paraId="5DD8FBBC">
            <w:pPr>
              <w:pStyle w:val="11"/>
            </w:pPr>
          </w:p>
        </w:tc>
        <w:tc>
          <w:tcPr>
            <w:tcW w:w="1474" w:type="dxa"/>
            <w:vAlign w:val="center"/>
          </w:tcPr>
          <w:p w14:paraId="08F8D029">
            <w:pPr>
              <w:pStyle w:val="11"/>
            </w:pPr>
          </w:p>
        </w:tc>
        <w:tc>
          <w:tcPr>
            <w:tcW w:w="1474" w:type="dxa"/>
            <w:vAlign w:val="center"/>
          </w:tcPr>
          <w:p w14:paraId="6E2EF3E3">
            <w:pPr>
              <w:pStyle w:val="11"/>
            </w:pPr>
          </w:p>
        </w:tc>
      </w:tr>
      <w:tr w14:paraId="2FA8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A74D8">
            <w:pPr>
              <w:pStyle w:val="13"/>
            </w:pPr>
            <w:r>
              <w:t>9</w:t>
            </w:r>
          </w:p>
        </w:tc>
        <w:tc>
          <w:tcPr>
            <w:tcW w:w="3402" w:type="dxa"/>
            <w:vAlign w:val="center"/>
          </w:tcPr>
          <w:p w14:paraId="0DD25280">
            <w:pPr>
              <w:pStyle w:val="12"/>
            </w:pPr>
          </w:p>
        </w:tc>
        <w:tc>
          <w:tcPr>
            <w:tcW w:w="1474" w:type="dxa"/>
            <w:vAlign w:val="center"/>
          </w:tcPr>
          <w:p w14:paraId="20E6A1FE">
            <w:pPr>
              <w:pStyle w:val="11"/>
            </w:pPr>
          </w:p>
        </w:tc>
        <w:tc>
          <w:tcPr>
            <w:tcW w:w="3402" w:type="dxa"/>
            <w:vAlign w:val="center"/>
          </w:tcPr>
          <w:p w14:paraId="5BC94126">
            <w:pPr>
              <w:pStyle w:val="12"/>
            </w:pPr>
            <w:r>
              <w:t>九、社会保险基金支出</w:t>
            </w:r>
          </w:p>
        </w:tc>
        <w:tc>
          <w:tcPr>
            <w:tcW w:w="1474" w:type="dxa"/>
            <w:vAlign w:val="center"/>
          </w:tcPr>
          <w:p w14:paraId="4B8C8FFF">
            <w:pPr>
              <w:pStyle w:val="11"/>
            </w:pPr>
          </w:p>
        </w:tc>
        <w:tc>
          <w:tcPr>
            <w:tcW w:w="1474" w:type="dxa"/>
            <w:vAlign w:val="center"/>
          </w:tcPr>
          <w:p w14:paraId="6C216496">
            <w:pPr>
              <w:pStyle w:val="11"/>
            </w:pPr>
          </w:p>
        </w:tc>
        <w:tc>
          <w:tcPr>
            <w:tcW w:w="1474" w:type="dxa"/>
            <w:vAlign w:val="center"/>
          </w:tcPr>
          <w:p w14:paraId="5B171557">
            <w:pPr>
              <w:pStyle w:val="11"/>
            </w:pPr>
          </w:p>
        </w:tc>
        <w:tc>
          <w:tcPr>
            <w:tcW w:w="1474" w:type="dxa"/>
            <w:vAlign w:val="center"/>
          </w:tcPr>
          <w:p w14:paraId="33830593">
            <w:pPr>
              <w:pStyle w:val="11"/>
            </w:pPr>
          </w:p>
        </w:tc>
      </w:tr>
      <w:tr w14:paraId="39D14663">
        <w:tblPrEx>
          <w:tblCellMar>
            <w:top w:w="0" w:type="dxa"/>
            <w:left w:w="108" w:type="dxa"/>
            <w:bottom w:w="0" w:type="dxa"/>
            <w:right w:w="108" w:type="dxa"/>
          </w:tblCellMar>
        </w:tblPrEx>
        <w:trPr>
          <w:trHeight w:val="369" w:hRule="atLeast"/>
          <w:jc w:val="center"/>
        </w:trPr>
        <w:tc>
          <w:tcPr>
            <w:tcW w:w="850" w:type="dxa"/>
            <w:vAlign w:val="center"/>
          </w:tcPr>
          <w:p w14:paraId="05945347">
            <w:pPr>
              <w:pStyle w:val="13"/>
            </w:pPr>
            <w:r>
              <w:t>10</w:t>
            </w:r>
          </w:p>
        </w:tc>
        <w:tc>
          <w:tcPr>
            <w:tcW w:w="3402" w:type="dxa"/>
            <w:vAlign w:val="center"/>
          </w:tcPr>
          <w:p w14:paraId="7F8818E0">
            <w:pPr>
              <w:pStyle w:val="12"/>
            </w:pPr>
          </w:p>
        </w:tc>
        <w:tc>
          <w:tcPr>
            <w:tcW w:w="1474" w:type="dxa"/>
            <w:vAlign w:val="center"/>
          </w:tcPr>
          <w:p w14:paraId="7C8968A5">
            <w:pPr>
              <w:pStyle w:val="11"/>
            </w:pPr>
          </w:p>
        </w:tc>
        <w:tc>
          <w:tcPr>
            <w:tcW w:w="3402" w:type="dxa"/>
            <w:vAlign w:val="center"/>
          </w:tcPr>
          <w:p w14:paraId="31C1B230">
            <w:pPr>
              <w:pStyle w:val="12"/>
            </w:pPr>
            <w:r>
              <w:t>十、卫生健康支出</w:t>
            </w:r>
          </w:p>
        </w:tc>
        <w:tc>
          <w:tcPr>
            <w:tcW w:w="1474" w:type="dxa"/>
            <w:vAlign w:val="center"/>
          </w:tcPr>
          <w:p w14:paraId="5694236B">
            <w:pPr>
              <w:pStyle w:val="11"/>
            </w:pPr>
          </w:p>
        </w:tc>
        <w:tc>
          <w:tcPr>
            <w:tcW w:w="1474" w:type="dxa"/>
            <w:vAlign w:val="center"/>
          </w:tcPr>
          <w:p w14:paraId="416C2B59">
            <w:pPr>
              <w:pStyle w:val="11"/>
            </w:pPr>
          </w:p>
        </w:tc>
        <w:tc>
          <w:tcPr>
            <w:tcW w:w="1474" w:type="dxa"/>
            <w:vAlign w:val="center"/>
          </w:tcPr>
          <w:p w14:paraId="5C6C1A71">
            <w:pPr>
              <w:pStyle w:val="11"/>
            </w:pPr>
          </w:p>
        </w:tc>
        <w:tc>
          <w:tcPr>
            <w:tcW w:w="1474" w:type="dxa"/>
            <w:vAlign w:val="center"/>
          </w:tcPr>
          <w:p w14:paraId="7C101486">
            <w:pPr>
              <w:pStyle w:val="11"/>
            </w:pPr>
          </w:p>
        </w:tc>
      </w:tr>
      <w:tr w14:paraId="31D2DA73">
        <w:tblPrEx>
          <w:tblCellMar>
            <w:top w:w="0" w:type="dxa"/>
            <w:left w:w="108" w:type="dxa"/>
            <w:bottom w:w="0" w:type="dxa"/>
            <w:right w:w="108" w:type="dxa"/>
          </w:tblCellMar>
        </w:tblPrEx>
        <w:trPr>
          <w:trHeight w:val="369" w:hRule="atLeast"/>
          <w:jc w:val="center"/>
        </w:trPr>
        <w:tc>
          <w:tcPr>
            <w:tcW w:w="850" w:type="dxa"/>
            <w:vAlign w:val="center"/>
          </w:tcPr>
          <w:p w14:paraId="06F0C556">
            <w:pPr>
              <w:pStyle w:val="13"/>
            </w:pPr>
            <w:r>
              <w:t>11</w:t>
            </w:r>
          </w:p>
        </w:tc>
        <w:tc>
          <w:tcPr>
            <w:tcW w:w="3402" w:type="dxa"/>
            <w:vAlign w:val="center"/>
          </w:tcPr>
          <w:p w14:paraId="0EF0C15B">
            <w:pPr>
              <w:pStyle w:val="12"/>
            </w:pPr>
          </w:p>
        </w:tc>
        <w:tc>
          <w:tcPr>
            <w:tcW w:w="1474" w:type="dxa"/>
            <w:vAlign w:val="center"/>
          </w:tcPr>
          <w:p w14:paraId="37C28EC8">
            <w:pPr>
              <w:pStyle w:val="11"/>
            </w:pPr>
          </w:p>
        </w:tc>
        <w:tc>
          <w:tcPr>
            <w:tcW w:w="3402" w:type="dxa"/>
            <w:vAlign w:val="center"/>
          </w:tcPr>
          <w:p w14:paraId="714A0A2C">
            <w:pPr>
              <w:pStyle w:val="12"/>
            </w:pPr>
            <w:r>
              <w:t>十一、节能环保支出</w:t>
            </w:r>
          </w:p>
        </w:tc>
        <w:tc>
          <w:tcPr>
            <w:tcW w:w="1474" w:type="dxa"/>
            <w:vAlign w:val="center"/>
          </w:tcPr>
          <w:p w14:paraId="338071DF">
            <w:pPr>
              <w:pStyle w:val="11"/>
            </w:pPr>
          </w:p>
        </w:tc>
        <w:tc>
          <w:tcPr>
            <w:tcW w:w="1474" w:type="dxa"/>
            <w:vAlign w:val="center"/>
          </w:tcPr>
          <w:p w14:paraId="2BD0FED9">
            <w:pPr>
              <w:pStyle w:val="11"/>
            </w:pPr>
          </w:p>
        </w:tc>
        <w:tc>
          <w:tcPr>
            <w:tcW w:w="1474" w:type="dxa"/>
            <w:vAlign w:val="center"/>
          </w:tcPr>
          <w:p w14:paraId="03EB6F5C">
            <w:pPr>
              <w:pStyle w:val="11"/>
            </w:pPr>
          </w:p>
        </w:tc>
        <w:tc>
          <w:tcPr>
            <w:tcW w:w="1474" w:type="dxa"/>
            <w:vAlign w:val="center"/>
          </w:tcPr>
          <w:p w14:paraId="317966C7">
            <w:pPr>
              <w:pStyle w:val="11"/>
            </w:pPr>
          </w:p>
        </w:tc>
      </w:tr>
      <w:tr w14:paraId="5523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83050">
            <w:pPr>
              <w:pStyle w:val="13"/>
            </w:pPr>
            <w:r>
              <w:t>12</w:t>
            </w:r>
          </w:p>
        </w:tc>
        <w:tc>
          <w:tcPr>
            <w:tcW w:w="3402" w:type="dxa"/>
            <w:vAlign w:val="center"/>
          </w:tcPr>
          <w:p w14:paraId="496A6179">
            <w:pPr>
              <w:pStyle w:val="12"/>
            </w:pPr>
          </w:p>
        </w:tc>
        <w:tc>
          <w:tcPr>
            <w:tcW w:w="1474" w:type="dxa"/>
            <w:vAlign w:val="center"/>
          </w:tcPr>
          <w:p w14:paraId="34F8ABD2">
            <w:pPr>
              <w:pStyle w:val="11"/>
            </w:pPr>
          </w:p>
        </w:tc>
        <w:tc>
          <w:tcPr>
            <w:tcW w:w="3402" w:type="dxa"/>
            <w:vAlign w:val="center"/>
          </w:tcPr>
          <w:p w14:paraId="79443076">
            <w:pPr>
              <w:pStyle w:val="12"/>
            </w:pPr>
            <w:r>
              <w:t>十二、城乡社区支出</w:t>
            </w:r>
          </w:p>
        </w:tc>
        <w:tc>
          <w:tcPr>
            <w:tcW w:w="1474" w:type="dxa"/>
            <w:vAlign w:val="center"/>
          </w:tcPr>
          <w:p w14:paraId="702AB851">
            <w:pPr>
              <w:pStyle w:val="11"/>
            </w:pPr>
          </w:p>
        </w:tc>
        <w:tc>
          <w:tcPr>
            <w:tcW w:w="1474" w:type="dxa"/>
            <w:vAlign w:val="center"/>
          </w:tcPr>
          <w:p w14:paraId="63505D94">
            <w:pPr>
              <w:pStyle w:val="11"/>
            </w:pPr>
          </w:p>
        </w:tc>
        <w:tc>
          <w:tcPr>
            <w:tcW w:w="1474" w:type="dxa"/>
            <w:vAlign w:val="center"/>
          </w:tcPr>
          <w:p w14:paraId="6D007B82">
            <w:pPr>
              <w:pStyle w:val="11"/>
            </w:pPr>
          </w:p>
        </w:tc>
        <w:tc>
          <w:tcPr>
            <w:tcW w:w="1474" w:type="dxa"/>
            <w:vAlign w:val="center"/>
          </w:tcPr>
          <w:p w14:paraId="763F1FFE">
            <w:pPr>
              <w:pStyle w:val="11"/>
            </w:pPr>
          </w:p>
        </w:tc>
      </w:tr>
      <w:tr w14:paraId="42A13841">
        <w:tblPrEx>
          <w:tblCellMar>
            <w:top w:w="0" w:type="dxa"/>
            <w:left w:w="108" w:type="dxa"/>
            <w:bottom w:w="0" w:type="dxa"/>
            <w:right w:w="108" w:type="dxa"/>
          </w:tblCellMar>
        </w:tblPrEx>
        <w:trPr>
          <w:trHeight w:val="369" w:hRule="atLeast"/>
          <w:jc w:val="center"/>
        </w:trPr>
        <w:tc>
          <w:tcPr>
            <w:tcW w:w="850" w:type="dxa"/>
            <w:vAlign w:val="center"/>
          </w:tcPr>
          <w:p w14:paraId="56B2DDC7">
            <w:pPr>
              <w:pStyle w:val="13"/>
            </w:pPr>
            <w:r>
              <w:t>13</w:t>
            </w:r>
          </w:p>
        </w:tc>
        <w:tc>
          <w:tcPr>
            <w:tcW w:w="3402" w:type="dxa"/>
            <w:vAlign w:val="center"/>
          </w:tcPr>
          <w:p w14:paraId="49DEDB1F">
            <w:pPr>
              <w:pStyle w:val="12"/>
            </w:pPr>
          </w:p>
        </w:tc>
        <w:tc>
          <w:tcPr>
            <w:tcW w:w="1474" w:type="dxa"/>
            <w:vAlign w:val="center"/>
          </w:tcPr>
          <w:p w14:paraId="1DB274CC">
            <w:pPr>
              <w:pStyle w:val="11"/>
            </w:pPr>
          </w:p>
        </w:tc>
        <w:tc>
          <w:tcPr>
            <w:tcW w:w="3402" w:type="dxa"/>
            <w:vAlign w:val="center"/>
          </w:tcPr>
          <w:p w14:paraId="6C164153">
            <w:pPr>
              <w:pStyle w:val="12"/>
            </w:pPr>
            <w:r>
              <w:t>十三、农林水支出</w:t>
            </w:r>
          </w:p>
        </w:tc>
        <w:tc>
          <w:tcPr>
            <w:tcW w:w="1474" w:type="dxa"/>
            <w:vAlign w:val="center"/>
          </w:tcPr>
          <w:p w14:paraId="7B8B0824">
            <w:pPr>
              <w:pStyle w:val="11"/>
            </w:pPr>
          </w:p>
        </w:tc>
        <w:tc>
          <w:tcPr>
            <w:tcW w:w="1474" w:type="dxa"/>
            <w:vAlign w:val="center"/>
          </w:tcPr>
          <w:p w14:paraId="01A95426">
            <w:pPr>
              <w:pStyle w:val="11"/>
            </w:pPr>
          </w:p>
        </w:tc>
        <w:tc>
          <w:tcPr>
            <w:tcW w:w="1474" w:type="dxa"/>
            <w:vAlign w:val="center"/>
          </w:tcPr>
          <w:p w14:paraId="6F515B42">
            <w:pPr>
              <w:pStyle w:val="11"/>
            </w:pPr>
          </w:p>
        </w:tc>
        <w:tc>
          <w:tcPr>
            <w:tcW w:w="1474" w:type="dxa"/>
            <w:vAlign w:val="center"/>
          </w:tcPr>
          <w:p w14:paraId="00E9005C">
            <w:pPr>
              <w:pStyle w:val="11"/>
            </w:pPr>
          </w:p>
        </w:tc>
      </w:tr>
      <w:tr w14:paraId="4D95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55E58">
            <w:pPr>
              <w:pStyle w:val="13"/>
            </w:pPr>
            <w:r>
              <w:t>14</w:t>
            </w:r>
          </w:p>
        </w:tc>
        <w:tc>
          <w:tcPr>
            <w:tcW w:w="3402" w:type="dxa"/>
            <w:vAlign w:val="center"/>
          </w:tcPr>
          <w:p w14:paraId="58501EB6">
            <w:pPr>
              <w:pStyle w:val="12"/>
            </w:pPr>
          </w:p>
        </w:tc>
        <w:tc>
          <w:tcPr>
            <w:tcW w:w="1474" w:type="dxa"/>
            <w:vAlign w:val="center"/>
          </w:tcPr>
          <w:p w14:paraId="4FA88DC6">
            <w:pPr>
              <w:pStyle w:val="11"/>
            </w:pPr>
          </w:p>
        </w:tc>
        <w:tc>
          <w:tcPr>
            <w:tcW w:w="3402" w:type="dxa"/>
            <w:vAlign w:val="center"/>
          </w:tcPr>
          <w:p w14:paraId="5BD009C7">
            <w:pPr>
              <w:pStyle w:val="12"/>
            </w:pPr>
            <w:r>
              <w:t>十四、交通运输支出</w:t>
            </w:r>
          </w:p>
        </w:tc>
        <w:tc>
          <w:tcPr>
            <w:tcW w:w="1474" w:type="dxa"/>
            <w:vAlign w:val="center"/>
          </w:tcPr>
          <w:p w14:paraId="373B996B">
            <w:pPr>
              <w:pStyle w:val="11"/>
            </w:pPr>
          </w:p>
        </w:tc>
        <w:tc>
          <w:tcPr>
            <w:tcW w:w="1474" w:type="dxa"/>
            <w:vAlign w:val="center"/>
          </w:tcPr>
          <w:p w14:paraId="5B029E42">
            <w:pPr>
              <w:pStyle w:val="11"/>
            </w:pPr>
          </w:p>
        </w:tc>
        <w:tc>
          <w:tcPr>
            <w:tcW w:w="1474" w:type="dxa"/>
            <w:vAlign w:val="center"/>
          </w:tcPr>
          <w:p w14:paraId="62FEF18D">
            <w:pPr>
              <w:pStyle w:val="11"/>
            </w:pPr>
          </w:p>
        </w:tc>
        <w:tc>
          <w:tcPr>
            <w:tcW w:w="1474" w:type="dxa"/>
            <w:vAlign w:val="center"/>
          </w:tcPr>
          <w:p w14:paraId="5F4002E7">
            <w:pPr>
              <w:pStyle w:val="11"/>
            </w:pPr>
          </w:p>
        </w:tc>
      </w:tr>
      <w:tr w14:paraId="58A0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6D181">
            <w:pPr>
              <w:pStyle w:val="13"/>
            </w:pPr>
            <w:r>
              <w:t>15</w:t>
            </w:r>
          </w:p>
        </w:tc>
        <w:tc>
          <w:tcPr>
            <w:tcW w:w="3402" w:type="dxa"/>
            <w:vAlign w:val="center"/>
          </w:tcPr>
          <w:p w14:paraId="22F007FD">
            <w:pPr>
              <w:pStyle w:val="12"/>
            </w:pPr>
          </w:p>
        </w:tc>
        <w:tc>
          <w:tcPr>
            <w:tcW w:w="1474" w:type="dxa"/>
            <w:vAlign w:val="center"/>
          </w:tcPr>
          <w:p w14:paraId="2A04C39D">
            <w:pPr>
              <w:pStyle w:val="11"/>
            </w:pPr>
          </w:p>
        </w:tc>
        <w:tc>
          <w:tcPr>
            <w:tcW w:w="3402" w:type="dxa"/>
            <w:vAlign w:val="center"/>
          </w:tcPr>
          <w:p w14:paraId="7F195104">
            <w:pPr>
              <w:pStyle w:val="12"/>
            </w:pPr>
            <w:r>
              <w:t>十五、资源勘探工业信息等支出</w:t>
            </w:r>
          </w:p>
        </w:tc>
        <w:tc>
          <w:tcPr>
            <w:tcW w:w="1474" w:type="dxa"/>
            <w:vAlign w:val="center"/>
          </w:tcPr>
          <w:p w14:paraId="0E061B89">
            <w:pPr>
              <w:pStyle w:val="11"/>
            </w:pPr>
          </w:p>
        </w:tc>
        <w:tc>
          <w:tcPr>
            <w:tcW w:w="1474" w:type="dxa"/>
            <w:vAlign w:val="center"/>
          </w:tcPr>
          <w:p w14:paraId="43400E71">
            <w:pPr>
              <w:pStyle w:val="11"/>
            </w:pPr>
          </w:p>
        </w:tc>
        <w:tc>
          <w:tcPr>
            <w:tcW w:w="1474" w:type="dxa"/>
            <w:vAlign w:val="center"/>
          </w:tcPr>
          <w:p w14:paraId="0C0D34AA">
            <w:pPr>
              <w:pStyle w:val="11"/>
            </w:pPr>
          </w:p>
        </w:tc>
        <w:tc>
          <w:tcPr>
            <w:tcW w:w="1474" w:type="dxa"/>
            <w:vAlign w:val="center"/>
          </w:tcPr>
          <w:p w14:paraId="17896359">
            <w:pPr>
              <w:pStyle w:val="11"/>
            </w:pPr>
          </w:p>
        </w:tc>
      </w:tr>
      <w:tr w14:paraId="06250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9C7B1">
            <w:pPr>
              <w:pStyle w:val="13"/>
            </w:pPr>
            <w:r>
              <w:t>16</w:t>
            </w:r>
          </w:p>
        </w:tc>
        <w:tc>
          <w:tcPr>
            <w:tcW w:w="3402" w:type="dxa"/>
            <w:vAlign w:val="center"/>
          </w:tcPr>
          <w:p w14:paraId="4C4BEAA6">
            <w:pPr>
              <w:pStyle w:val="12"/>
            </w:pPr>
          </w:p>
        </w:tc>
        <w:tc>
          <w:tcPr>
            <w:tcW w:w="1474" w:type="dxa"/>
            <w:vAlign w:val="center"/>
          </w:tcPr>
          <w:p w14:paraId="3492F45E">
            <w:pPr>
              <w:pStyle w:val="11"/>
            </w:pPr>
          </w:p>
        </w:tc>
        <w:tc>
          <w:tcPr>
            <w:tcW w:w="3402" w:type="dxa"/>
            <w:vAlign w:val="center"/>
          </w:tcPr>
          <w:p w14:paraId="7884DC07">
            <w:pPr>
              <w:pStyle w:val="12"/>
            </w:pPr>
            <w:r>
              <w:t>十六、商业服务业等支出</w:t>
            </w:r>
          </w:p>
        </w:tc>
        <w:tc>
          <w:tcPr>
            <w:tcW w:w="1474" w:type="dxa"/>
            <w:vAlign w:val="center"/>
          </w:tcPr>
          <w:p w14:paraId="446D330D">
            <w:pPr>
              <w:pStyle w:val="11"/>
            </w:pPr>
          </w:p>
        </w:tc>
        <w:tc>
          <w:tcPr>
            <w:tcW w:w="1474" w:type="dxa"/>
            <w:vAlign w:val="center"/>
          </w:tcPr>
          <w:p w14:paraId="44D2F561">
            <w:pPr>
              <w:pStyle w:val="11"/>
            </w:pPr>
          </w:p>
        </w:tc>
        <w:tc>
          <w:tcPr>
            <w:tcW w:w="1474" w:type="dxa"/>
            <w:vAlign w:val="center"/>
          </w:tcPr>
          <w:p w14:paraId="0BD961F7">
            <w:pPr>
              <w:pStyle w:val="11"/>
            </w:pPr>
          </w:p>
        </w:tc>
        <w:tc>
          <w:tcPr>
            <w:tcW w:w="1474" w:type="dxa"/>
            <w:vAlign w:val="center"/>
          </w:tcPr>
          <w:p w14:paraId="04DD4234">
            <w:pPr>
              <w:pStyle w:val="11"/>
            </w:pPr>
          </w:p>
        </w:tc>
      </w:tr>
      <w:tr w14:paraId="2B0F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C8155">
            <w:pPr>
              <w:pStyle w:val="13"/>
            </w:pPr>
            <w:r>
              <w:t>17</w:t>
            </w:r>
          </w:p>
        </w:tc>
        <w:tc>
          <w:tcPr>
            <w:tcW w:w="3402" w:type="dxa"/>
            <w:vAlign w:val="center"/>
          </w:tcPr>
          <w:p w14:paraId="57161046">
            <w:pPr>
              <w:pStyle w:val="12"/>
            </w:pPr>
          </w:p>
        </w:tc>
        <w:tc>
          <w:tcPr>
            <w:tcW w:w="1474" w:type="dxa"/>
            <w:vAlign w:val="center"/>
          </w:tcPr>
          <w:p w14:paraId="4C5CB75A">
            <w:pPr>
              <w:pStyle w:val="11"/>
            </w:pPr>
          </w:p>
        </w:tc>
        <w:tc>
          <w:tcPr>
            <w:tcW w:w="3402" w:type="dxa"/>
            <w:vAlign w:val="center"/>
          </w:tcPr>
          <w:p w14:paraId="628BB665">
            <w:pPr>
              <w:pStyle w:val="12"/>
            </w:pPr>
            <w:r>
              <w:t>十七、金融支出</w:t>
            </w:r>
          </w:p>
        </w:tc>
        <w:tc>
          <w:tcPr>
            <w:tcW w:w="1474" w:type="dxa"/>
            <w:vAlign w:val="center"/>
          </w:tcPr>
          <w:p w14:paraId="49E4E37F">
            <w:pPr>
              <w:pStyle w:val="11"/>
            </w:pPr>
          </w:p>
        </w:tc>
        <w:tc>
          <w:tcPr>
            <w:tcW w:w="1474" w:type="dxa"/>
            <w:vAlign w:val="center"/>
          </w:tcPr>
          <w:p w14:paraId="7BD16275">
            <w:pPr>
              <w:pStyle w:val="11"/>
            </w:pPr>
          </w:p>
        </w:tc>
        <w:tc>
          <w:tcPr>
            <w:tcW w:w="1474" w:type="dxa"/>
            <w:vAlign w:val="center"/>
          </w:tcPr>
          <w:p w14:paraId="7A0CC5B0">
            <w:pPr>
              <w:pStyle w:val="11"/>
            </w:pPr>
          </w:p>
        </w:tc>
        <w:tc>
          <w:tcPr>
            <w:tcW w:w="1474" w:type="dxa"/>
            <w:vAlign w:val="center"/>
          </w:tcPr>
          <w:p w14:paraId="24292C68">
            <w:pPr>
              <w:pStyle w:val="11"/>
            </w:pPr>
          </w:p>
        </w:tc>
      </w:tr>
      <w:tr w14:paraId="7129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08B14">
            <w:pPr>
              <w:pStyle w:val="13"/>
            </w:pPr>
            <w:r>
              <w:t>18</w:t>
            </w:r>
          </w:p>
        </w:tc>
        <w:tc>
          <w:tcPr>
            <w:tcW w:w="3402" w:type="dxa"/>
            <w:vAlign w:val="center"/>
          </w:tcPr>
          <w:p w14:paraId="43D1C1F7">
            <w:pPr>
              <w:pStyle w:val="12"/>
            </w:pPr>
          </w:p>
        </w:tc>
        <w:tc>
          <w:tcPr>
            <w:tcW w:w="1474" w:type="dxa"/>
            <w:vAlign w:val="center"/>
          </w:tcPr>
          <w:p w14:paraId="431E55AC">
            <w:pPr>
              <w:pStyle w:val="11"/>
            </w:pPr>
          </w:p>
        </w:tc>
        <w:tc>
          <w:tcPr>
            <w:tcW w:w="3402" w:type="dxa"/>
            <w:vAlign w:val="center"/>
          </w:tcPr>
          <w:p w14:paraId="16C010FA">
            <w:pPr>
              <w:pStyle w:val="12"/>
            </w:pPr>
            <w:r>
              <w:t>十八、援助其他地区支出</w:t>
            </w:r>
          </w:p>
        </w:tc>
        <w:tc>
          <w:tcPr>
            <w:tcW w:w="1474" w:type="dxa"/>
            <w:vAlign w:val="center"/>
          </w:tcPr>
          <w:p w14:paraId="441FC480">
            <w:pPr>
              <w:pStyle w:val="11"/>
            </w:pPr>
          </w:p>
        </w:tc>
        <w:tc>
          <w:tcPr>
            <w:tcW w:w="1474" w:type="dxa"/>
            <w:vAlign w:val="center"/>
          </w:tcPr>
          <w:p w14:paraId="03C4A231">
            <w:pPr>
              <w:pStyle w:val="11"/>
            </w:pPr>
          </w:p>
        </w:tc>
        <w:tc>
          <w:tcPr>
            <w:tcW w:w="1474" w:type="dxa"/>
            <w:vAlign w:val="center"/>
          </w:tcPr>
          <w:p w14:paraId="31D0E828">
            <w:pPr>
              <w:pStyle w:val="11"/>
            </w:pPr>
          </w:p>
        </w:tc>
        <w:tc>
          <w:tcPr>
            <w:tcW w:w="1474" w:type="dxa"/>
            <w:vAlign w:val="center"/>
          </w:tcPr>
          <w:p w14:paraId="01FDF4F9">
            <w:pPr>
              <w:pStyle w:val="11"/>
            </w:pPr>
          </w:p>
        </w:tc>
      </w:tr>
      <w:tr w14:paraId="282C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57EB0">
            <w:pPr>
              <w:pStyle w:val="13"/>
            </w:pPr>
            <w:r>
              <w:t>19</w:t>
            </w:r>
          </w:p>
        </w:tc>
        <w:tc>
          <w:tcPr>
            <w:tcW w:w="3402" w:type="dxa"/>
            <w:vAlign w:val="center"/>
          </w:tcPr>
          <w:p w14:paraId="39DD9098">
            <w:pPr>
              <w:pStyle w:val="12"/>
            </w:pPr>
          </w:p>
        </w:tc>
        <w:tc>
          <w:tcPr>
            <w:tcW w:w="1474" w:type="dxa"/>
            <w:vAlign w:val="center"/>
          </w:tcPr>
          <w:p w14:paraId="66EE8EDE">
            <w:pPr>
              <w:pStyle w:val="11"/>
            </w:pPr>
          </w:p>
        </w:tc>
        <w:tc>
          <w:tcPr>
            <w:tcW w:w="3402" w:type="dxa"/>
            <w:vAlign w:val="center"/>
          </w:tcPr>
          <w:p w14:paraId="43B95F59">
            <w:pPr>
              <w:pStyle w:val="12"/>
            </w:pPr>
            <w:r>
              <w:t>十九、自然资源海洋气象等支出</w:t>
            </w:r>
          </w:p>
        </w:tc>
        <w:tc>
          <w:tcPr>
            <w:tcW w:w="1474" w:type="dxa"/>
            <w:vAlign w:val="center"/>
          </w:tcPr>
          <w:p w14:paraId="2718CD4C">
            <w:pPr>
              <w:pStyle w:val="11"/>
            </w:pPr>
          </w:p>
        </w:tc>
        <w:tc>
          <w:tcPr>
            <w:tcW w:w="1474" w:type="dxa"/>
            <w:vAlign w:val="center"/>
          </w:tcPr>
          <w:p w14:paraId="224CEE8E">
            <w:pPr>
              <w:pStyle w:val="11"/>
            </w:pPr>
          </w:p>
        </w:tc>
        <w:tc>
          <w:tcPr>
            <w:tcW w:w="1474" w:type="dxa"/>
            <w:vAlign w:val="center"/>
          </w:tcPr>
          <w:p w14:paraId="15D9B852">
            <w:pPr>
              <w:pStyle w:val="11"/>
            </w:pPr>
          </w:p>
        </w:tc>
        <w:tc>
          <w:tcPr>
            <w:tcW w:w="1474" w:type="dxa"/>
            <w:vAlign w:val="center"/>
          </w:tcPr>
          <w:p w14:paraId="3E3C0D0C">
            <w:pPr>
              <w:pStyle w:val="11"/>
            </w:pPr>
          </w:p>
        </w:tc>
      </w:tr>
      <w:tr w14:paraId="0F37C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8740">
            <w:pPr>
              <w:pStyle w:val="13"/>
            </w:pPr>
            <w:r>
              <w:t>20</w:t>
            </w:r>
          </w:p>
        </w:tc>
        <w:tc>
          <w:tcPr>
            <w:tcW w:w="3402" w:type="dxa"/>
            <w:vAlign w:val="center"/>
          </w:tcPr>
          <w:p w14:paraId="5D6763F6">
            <w:pPr>
              <w:pStyle w:val="12"/>
            </w:pPr>
          </w:p>
        </w:tc>
        <w:tc>
          <w:tcPr>
            <w:tcW w:w="1474" w:type="dxa"/>
            <w:vAlign w:val="center"/>
          </w:tcPr>
          <w:p w14:paraId="0FDD286D">
            <w:pPr>
              <w:pStyle w:val="11"/>
            </w:pPr>
          </w:p>
        </w:tc>
        <w:tc>
          <w:tcPr>
            <w:tcW w:w="3402" w:type="dxa"/>
            <w:vAlign w:val="center"/>
          </w:tcPr>
          <w:p w14:paraId="430EFAD1">
            <w:pPr>
              <w:pStyle w:val="12"/>
            </w:pPr>
            <w:r>
              <w:t>二十、住房保障支出</w:t>
            </w:r>
          </w:p>
        </w:tc>
        <w:tc>
          <w:tcPr>
            <w:tcW w:w="1474" w:type="dxa"/>
            <w:vAlign w:val="center"/>
          </w:tcPr>
          <w:p w14:paraId="6EFF7A86">
            <w:pPr>
              <w:pStyle w:val="11"/>
            </w:pPr>
          </w:p>
        </w:tc>
        <w:tc>
          <w:tcPr>
            <w:tcW w:w="1474" w:type="dxa"/>
            <w:vAlign w:val="center"/>
          </w:tcPr>
          <w:p w14:paraId="7D97E95E">
            <w:pPr>
              <w:pStyle w:val="11"/>
            </w:pPr>
          </w:p>
        </w:tc>
        <w:tc>
          <w:tcPr>
            <w:tcW w:w="1474" w:type="dxa"/>
            <w:vAlign w:val="center"/>
          </w:tcPr>
          <w:p w14:paraId="186C1AE1">
            <w:pPr>
              <w:pStyle w:val="11"/>
            </w:pPr>
          </w:p>
        </w:tc>
        <w:tc>
          <w:tcPr>
            <w:tcW w:w="1474" w:type="dxa"/>
            <w:vAlign w:val="center"/>
          </w:tcPr>
          <w:p w14:paraId="491CBAE7">
            <w:pPr>
              <w:pStyle w:val="11"/>
            </w:pPr>
          </w:p>
        </w:tc>
      </w:tr>
      <w:tr w14:paraId="5BD5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A6845">
            <w:pPr>
              <w:pStyle w:val="13"/>
            </w:pPr>
            <w:r>
              <w:t>21</w:t>
            </w:r>
          </w:p>
        </w:tc>
        <w:tc>
          <w:tcPr>
            <w:tcW w:w="3402" w:type="dxa"/>
            <w:vAlign w:val="center"/>
          </w:tcPr>
          <w:p w14:paraId="72B46F16">
            <w:pPr>
              <w:pStyle w:val="12"/>
            </w:pPr>
          </w:p>
        </w:tc>
        <w:tc>
          <w:tcPr>
            <w:tcW w:w="1474" w:type="dxa"/>
            <w:vAlign w:val="center"/>
          </w:tcPr>
          <w:p w14:paraId="09D1A0A1">
            <w:pPr>
              <w:pStyle w:val="11"/>
            </w:pPr>
          </w:p>
        </w:tc>
        <w:tc>
          <w:tcPr>
            <w:tcW w:w="3402" w:type="dxa"/>
            <w:vAlign w:val="center"/>
          </w:tcPr>
          <w:p w14:paraId="38CDCD10">
            <w:pPr>
              <w:pStyle w:val="12"/>
            </w:pPr>
            <w:r>
              <w:t>二十一、粮油物资储备支出</w:t>
            </w:r>
          </w:p>
        </w:tc>
        <w:tc>
          <w:tcPr>
            <w:tcW w:w="1474" w:type="dxa"/>
            <w:vAlign w:val="center"/>
          </w:tcPr>
          <w:p w14:paraId="3F851C76">
            <w:pPr>
              <w:pStyle w:val="11"/>
            </w:pPr>
          </w:p>
        </w:tc>
        <w:tc>
          <w:tcPr>
            <w:tcW w:w="1474" w:type="dxa"/>
            <w:vAlign w:val="center"/>
          </w:tcPr>
          <w:p w14:paraId="4A6E6B26">
            <w:pPr>
              <w:pStyle w:val="11"/>
            </w:pPr>
          </w:p>
        </w:tc>
        <w:tc>
          <w:tcPr>
            <w:tcW w:w="1474" w:type="dxa"/>
            <w:vAlign w:val="center"/>
          </w:tcPr>
          <w:p w14:paraId="69C6357B">
            <w:pPr>
              <w:pStyle w:val="11"/>
            </w:pPr>
          </w:p>
        </w:tc>
        <w:tc>
          <w:tcPr>
            <w:tcW w:w="1474" w:type="dxa"/>
            <w:vAlign w:val="center"/>
          </w:tcPr>
          <w:p w14:paraId="462FC77F">
            <w:pPr>
              <w:pStyle w:val="11"/>
            </w:pPr>
          </w:p>
        </w:tc>
      </w:tr>
      <w:tr w14:paraId="29D2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14C49">
            <w:pPr>
              <w:pStyle w:val="13"/>
            </w:pPr>
            <w:r>
              <w:t>22</w:t>
            </w:r>
          </w:p>
        </w:tc>
        <w:tc>
          <w:tcPr>
            <w:tcW w:w="3402" w:type="dxa"/>
            <w:vAlign w:val="center"/>
          </w:tcPr>
          <w:p w14:paraId="61E8CE5D">
            <w:pPr>
              <w:pStyle w:val="12"/>
            </w:pPr>
          </w:p>
        </w:tc>
        <w:tc>
          <w:tcPr>
            <w:tcW w:w="1474" w:type="dxa"/>
            <w:vAlign w:val="center"/>
          </w:tcPr>
          <w:p w14:paraId="43EACCDD">
            <w:pPr>
              <w:pStyle w:val="11"/>
            </w:pPr>
          </w:p>
        </w:tc>
        <w:tc>
          <w:tcPr>
            <w:tcW w:w="3402" w:type="dxa"/>
            <w:vAlign w:val="center"/>
          </w:tcPr>
          <w:p w14:paraId="1AFC9E9B">
            <w:pPr>
              <w:pStyle w:val="12"/>
            </w:pPr>
            <w:r>
              <w:t>二十二、国有资本经营预算支出</w:t>
            </w:r>
          </w:p>
        </w:tc>
        <w:tc>
          <w:tcPr>
            <w:tcW w:w="1474" w:type="dxa"/>
            <w:vAlign w:val="center"/>
          </w:tcPr>
          <w:p w14:paraId="5AD7F8CA">
            <w:pPr>
              <w:pStyle w:val="11"/>
            </w:pPr>
          </w:p>
        </w:tc>
        <w:tc>
          <w:tcPr>
            <w:tcW w:w="1474" w:type="dxa"/>
            <w:vAlign w:val="center"/>
          </w:tcPr>
          <w:p w14:paraId="643B33CD">
            <w:pPr>
              <w:pStyle w:val="11"/>
            </w:pPr>
          </w:p>
        </w:tc>
        <w:tc>
          <w:tcPr>
            <w:tcW w:w="1474" w:type="dxa"/>
            <w:vAlign w:val="center"/>
          </w:tcPr>
          <w:p w14:paraId="77DFFF46">
            <w:pPr>
              <w:pStyle w:val="11"/>
            </w:pPr>
          </w:p>
        </w:tc>
        <w:tc>
          <w:tcPr>
            <w:tcW w:w="1474" w:type="dxa"/>
            <w:vAlign w:val="center"/>
          </w:tcPr>
          <w:p w14:paraId="1CF4686D">
            <w:pPr>
              <w:pStyle w:val="11"/>
            </w:pPr>
          </w:p>
        </w:tc>
      </w:tr>
      <w:tr w14:paraId="71F9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03C28">
            <w:pPr>
              <w:pStyle w:val="13"/>
            </w:pPr>
            <w:r>
              <w:t>23</w:t>
            </w:r>
          </w:p>
        </w:tc>
        <w:tc>
          <w:tcPr>
            <w:tcW w:w="3402" w:type="dxa"/>
            <w:vAlign w:val="center"/>
          </w:tcPr>
          <w:p w14:paraId="761685FB">
            <w:pPr>
              <w:pStyle w:val="12"/>
            </w:pPr>
          </w:p>
        </w:tc>
        <w:tc>
          <w:tcPr>
            <w:tcW w:w="1474" w:type="dxa"/>
            <w:vAlign w:val="center"/>
          </w:tcPr>
          <w:p w14:paraId="17DB0B08">
            <w:pPr>
              <w:pStyle w:val="11"/>
            </w:pPr>
          </w:p>
        </w:tc>
        <w:tc>
          <w:tcPr>
            <w:tcW w:w="3402" w:type="dxa"/>
            <w:vAlign w:val="center"/>
          </w:tcPr>
          <w:p w14:paraId="61BA3A86">
            <w:pPr>
              <w:pStyle w:val="12"/>
            </w:pPr>
            <w:r>
              <w:t>二十三、灾害防治及应急管理支出</w:t>
            </w:r>
          </w:p>
        </w:tc>
        <w:tc>
          <w:tcPr>
            <w:tcW w:w="1474" w:type="dxa"/>
            <w:vAlign w:val="center"/>
          </w:tcPr>
          <w:p w14:paraId="7BDD1858">
            <w:pPr>
              <w:pStyle w:val="11"/>
            </w:pPr>
          </w:p>
        </w:tc>
        <w:tc>
          <w:tcPr>
            <w:tcW w:w="1474" w:type="dxa"/>
            <w:vAlign w:val="center"/>
          </w:tcPr>
          <w:p w14:paraId="6A0DE9CE">
            <w:pPr>
              <w:pStyle w:val="11"/>
            </w:pPr>
          </w:p>
        </w:tc>
        <w:tc>
          <w:tcPr>
            <w:tcW w:w="1474" w:type="dxa"/>
            <w:vAlign w:val="center"/>
          </w:tcPr>
          <w:p w14:paraId="11B2551D">
            <w:pPr>
              <w:pStyle w:val="11"/>
            </w:pPr>
          </w:p>
        </w:tc>
        <w:tc>
          <w:tcPr>
            <w:tcW w:w="1474" w:type="dxa"/>
            <w:vAlign w:val="center"/>
          </w:tcPr>
          <w:p w14:paraId="5BAB1A69">
            <w:pPr>
              <w:pStyle w:val="11"/>
            </w:pPr>
          </w:p>
        </w:tc>
      </w:tr>
      <w:tr w14:paraId="320F28DC">
        <w:tblPrEx>
          <w:tblCellMar>
            <w:top w:w="0" w:type="dxa"/>
            <w:left w:w="108" w:type="dxa"/>
            <w:bottom w:w="0" w:type="dxa"/>
            <w:right w:w="108" w:type="dxa"/>
          </w:tblCellMar>
        </w:tblPrEx>
        <w:trPr>
          <w:trHeight w:val="369" w:hRule="atLeast"/>
          <w:jc w:val="center"/>
        </w:trPr>
        <w:tc>
          <w:tcPr>
            <w:tcW w:w="850" w:type="dxa"/>
            <w:vAlign w:val="center"/>
          </w:tcPr>
          <w:p w14:paraId="3BCCB27F">
            <w:pPr>
              <w:pStyle w:val="13"/>
            </w:pPr>
            <w:r>
              <w:t>24</w:t>
            </w:r>
          </w:p>
        </w:tc>
        <w:tc>
          <w:tcPr>
            <w:tcW w:w="3402" w:type="dxa"/>
            <w:vAlign w:val="center"/>
          </w:tcPr>
          <w:p w14:paraId="5A1AE635">
            <w:pPr>
              <w:pStyle w:val="12"/>
            </w:pPr>
          </w:p>
        </w:tc>
        <w:tc>
          <w:tcPr>
            <w:tcW w:w="1474" w:type="dxa"/>
            <w:vAlign w:val="center"/>
          </w:tcPr>
          <w:p w14:paraId="60CE8D68">
            <w:pPr>
              <w:pStyle w:val="11"/>
            </w:pPr>
          </w:p>
        </w:tc>
        <w:tc>
          <w:tcPr>
            <w:tcW w:w="3402" w:type="dxa"/>
            <w:vAlign w:val="center"/>
          </w:tcPr>
          <w:p w14:paraId="32E9DBCE">
            <w:pPr>
              <w:pStyle w:val="12"/>
            </w:pPr>
            <w:r>
              <w:t>二十四、预备费</w:t>
            </w:r>
          </w:p>
        </w:tc>
        <w:tc>
          <w:tcPr>
            <w:tcW w:w="1474" w:type="dxa"/>
            <w:vAlign w:val="center"/>
          </w:tcPr>
          <w:p w14:paraId="5479BEEB">
            <w:pPr>
              <w:pStyle w:val="11"/>
            </w:pPr>
          </w:p>
        </w:tc>
        <w:tc>
          <w:tcPr>
            <w:tcW w:w="1474" w:type="dxa"/>
            <w:vAlign w:val="center"/>
          </w:tcPr>
          <w:p w14:paraId="679585AD">
            <w:pPr>
              <w:pStyle w:val="11"/>
            </w:pPr>
          </w:p>
        </w:tc>
        <w:tc>
          <w:tcPr>
            <w:tcW w:w="1474" w:type="dxa"/>
            <w:vAlign w:val="center"/>
          </w:tcPr>
          <w:p w14:paraId="6D9FC522">
            <w:pPr>
              <w:pStyle w:val="11"/>
            </w:pPr>
          </w:p>
        </w:tc>
        <w:tc>
          <w:tcPr>
            <w:tcW w:w="1474" w:type="dxa"/>
            <w:vAlign w:val="center"/>
          </w:tcPr>
          <w:p w14:paraId="22E51360">
            <w:pPr>
              <w:pStyle w:val="11"/>
            </w:pPr>
          </w:p>
        </w:tc>
      </w:tr>
      <w:tr w14:paraId="755DF82E">
        <w:tblPrEx>
          <w:tblCellMar>
            <w:top w:w="0" w:type="dxa"/>
            <w:left w:w="108" w:type="dxa"/>
            <w:bottom w:w="0" w:type="dxa"/>
            <w:right w:w="108" w:type="dxa"/>
          </w:tblCellMar>
        </w:tblPrEx>
        <w:trPr>
          <w:trHeight w:val="369" w:hRule="atLeast"/>
          <w:jc w:val="center"/>
        </w:trPr>
        <w:tc>
          <w:tcPr>
            <w:tcW w:w="850" w:type="dxa"/>
            <w:vAlign w:val="center"/>
          </w:tcPr>
          <w:p w14:paraId="295B44F1">
            <w:pPr>
              <w:pStyle w:val="13"/>
            </w:pPr>
            <w:r>
              <w:t>25</w:t>
            </w:r>
          </w:p>
        </w:tc>
        <w:tc>
          <w:tcPr>
            <w:tcW w:w="3402" w:type="dxa"/>
            <w:vAlign w:val="center"/>
          </w:tcPr>
          <w:p w14:paraId="51E2574D">
            <w:pPr>
              <w:pStyle w:val="12"/>
            </w:pPr>
          </w:p>
        </w:tc>
        <w:tc>
          <w:tcPr>
            <w:tcW w:w="1474" w:type="dxa"/>
            <w:vAlign w:val="center"/>
          </w:tcPr>
          <w:p w14:paraId="6A810B75">
            <w:pPr>
              <w:pStyle w:val="11"/>
            </w:pPr>
          </w:p>
        </w:tc>
        <w:tc>
          <w:tcPr>
            <w:tcW w:w="3402" w:type="dxa"/>
            <w:vAlign w:val="center"/>
          </w:tcPr>
          <w:p w14:paraId="6E830AB8">
            <w:pPr>
              <w:pStyle w:val="12"/>
            </w:pPr>
            <w:r>
              <w:t>二十五、其他支出</w:t>
            </w:r>
          </w:p>
        </w:tc>
        <w:tc>
          <w:tcPr>
            <w:tcW w:w="1474" w:type="dxa"/>
            <w:vAlign w:val="center"/>
          </w:tcPr>
          <w:p w14:paraId="0963EAEE">
            <w:pPr>
              <w:pStyle w:val="11"/>
            </w:pPr>
          </w:p>
        </w:tc>
        <w:tc>
          <w:tcPr>
            <w:tcW w:w="1474" w:type="dxa"/>
            <w:vAlign w:val="center"/>
          </w:tcPr>
          <w:p w14:paraId="30BDA3E2">
            <w:pPr>
              <w:pStyle w:val="11"/>
            </w:pPr>
          </w:p>
        </w:tc>
        <w:tc>
          <w:tcPr>
            <w:tcW w:w="1474" w:type="dxa"/>
            <w:vAlign w:val="center"/>
          </w:tcPr>
          <w:p w14:paraId="78F0BD06">
            <w:pPr>
              <w:pStyle w:val="11"/>
            </w:pPr>
          </w:p>
        </w:tc>
        <w:tc>
          <w:tcPr>
            <w:tcW w:w="1474" w:type="dxa"/>
            <w:vAlign w:val="center"/>
          </w:tcPr>
          <w:p w14:paraId="7237011B">
            <w:pPr>
              <w:pStyle w:val="11"/>
            </w:pPr>
          </w:p>
        </w:tc>
      </w:tr>
      <w:tr w14:paraId="5D33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9CDBC">
            <w:pPr>
              <w:pStyle w:val="13"/>
            </w:pPr>
            <w:r>
              <w:t>26</w:t>
            </w:r>
          </w:p>
        </w:tc>
        <w:tc>
          <w:tcPr>
            <w:tcW w:w="3402" w:type="dxa"/>
            <w:vAlign w:val="center"/>
          </w:tcPr>
          <w:p w14:paraId="4E8A78E7">
            <w:pPr>
              <w:pStyle w:val="12"/>
            </w:pPr>
          </w:p>
        </w:tc>
        <w:tc>
          <w:tcPr>
            <w:tcW w:w="1474" w:type="dxa"/>
            <w:vAlign w:val="center"/>
          </w:tcPr>
          <w:p w14:paraId="5F5E54F3">
            <w:pPr>
              <w:pStyle w:val="11"/>
            </w:pPr>
          </w:p>
        </w:tc>
        <w:tc>
          <w:tcPr>
            <w:tcW w:w="3402" w:type="dxa"/>
            <w:vAlign w:val="center"/>
          </w:tcPr>
          <w:p w14:paraId="2D0154AC">
            <w:pPr>
              <w:pStyle w:val="12"/>
            </w:pPr>
            <w:r>
              <w:t>二十六、转移性支出</w:t>
            </w:r>
          </w:p>
        </w:tc>
        <w:tc>
          <w:tcPr>
            <w:tcW w:w="1474" w:type="dxa"/>
            <w:vAlign w:val="center"/>
          </w:tcPr>
          <w:p w14:paraId="39CD8040">
            <w:pPr>
              <w:pStyle w:val="11"/>
            </w:pPr>
          </w:p>
        </w:tc>
        <w:tc>
          <w:tcPr>
            <w:tcW w:w="1474" w:type="dxa"/>
            <w:vAlign w:val="center"/>
          </w:tcPr>
          <w:p w14:paraId="2FE70F90">
            <w:pPr>
              <w:pStyle w:val="11"/>
            </w:pPr>
          </w:p>
        </w:tc>
        <w:tc>
          <w:tcPr>
            <w:tcW w:w="1474" w:type="dxa"/>
            <w:vAlign w:val="center"/>
          </w:tcPr>
          <w:p w14:paraId="39C74011">
            <w:pPr>
              <w:pStyle w:val="11"/>
            </w:pPr>
          </w:p>
        </w:tc>
        <w:tc>
          <w:tcPr>
            <w:tcW w:w="1474" w:type="dxa"/>
            <w:vAlign w:val="center"/>
          </w:tcPr>
          <w:p w14:paraId="20E01578">
            <w:pPr>
              <w:pStyle w:val="11"/>
            </w:pPr>
          </w:p>
        </w:tc>
      </w:tr>
      <w:tr w14:paraId="32F8E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A6D4A">
            <w:pPr>
              <w:pStyle w:val="13"/>
            </w:pPr>
            <w:r>
              <w:t>27</w:t>
            </w:r>
          </w:p>
        </w:tc>
        <w:tc>
          <w:tcPr>
            <w:tcW w:w="3402" w:type="dxa"/>
            <w:vAlign w:val="center"/>
          </w:tcPr>
          <w:p w14:paraId="1EC6D69A">
            <w:pPr>
              <w:pStyle w:val="12"/>
            </w:pPr>
          </w:p>
        </w:tc>
        <w:tc>
          <w:tcPr>
            <w:tcW w:w="1474" w:type="dxa"/>
            <w:vAlign w:val="center"/>
          </w:tcPr>
          <w:p w14:paraId="6CA194C9">
            <w:pPr>
              <w:pStyle w:val="11"/>
            </w:pPr>
          </w:p>
        </w:tc>
        <w:tc>
          <w:tcPr>
            <w:tcW w:w="3402" w:type="dxa"/>
            <w:vAlign w:val="center"/>
          </w:tcPr>
          <w:p w14:paraId="0F79315A">
            <w:pPr>
              <w:pStyle w:val="12"/>
            </w:pPr>
            <w:r>
              <w:t>二十七、债务还本支出</w:t>
            </w:r>
          </w:p>
        </w:tc>
        <w:tc>
          <w:tcPr>
            <w:tcW w:w="1474" w:type="dxa"/>
            <w:vAlign w:val="center"/>
          </w:tcPr>
          <w:p w14:paraId="5AD0AAD4">
            <w:pPr>
              <w:pStyle w:val="11"/>
            </w:pPr>
          </w:p>
        </w:tc>
        <w:tc>
          <w:tcPr>
            <w:tcW w:w="1474" w:type="dxa"/>
            <w:vAlign w:val="center"/>
          </w:tcPr>
          <w:p w14:paraId="6DA0EA43">
            <w:pPr>
              <w:pStyle w:val="11"/>
            </w:pPr>
          </w:p>
        </w:tc>
        <w:tc>
          <w:tcPr>
            <w:tcW w:w="1474" w:type="dxa"/>
            <w:vAlign w:val="center"/>
          </w:tcPr>
          <w:p w14:paraId="7E91890E">
            <w:pPr>
              <w:pStyle w:val="11"/>
            </w:pPr>
          </w:p>
        </w:tc>
        <w:tc>
          <w:tcPr>
            <w:tcW w:w="1474" w:type="dxa"/>
            <w:vAlign w:val="center"/>
          </w:tcPr>
          <w:p w14:paraId="4CB1E69D">
            <w:pPr>
              <w:pStyle w:val="11"/>
            </w:pPr>
          </w:p>
        </w:tc>
      </w:tr>
      <w:tr w14:paraId="306D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FA7D6">
            <w:pPr>
              <w:pStyle w:val="13"/>
            </w:pPr>
            <w:r>
              <w:t>28</w:t>
            </w:r>
          </w:p>
        </w:tc>
        <w:tc>
          <w:tcPr>
            <w:tcW w:w="3402" w:type="dxa"/>
            <w:vAlign w:val="center"/>
          </w:tcPr>
          <w:p w14:paraId="412C6887">
            <w:pPr>
              <w:pStyle w:val="12"/>
            </w:pPr>
          </w:p>
        </w:tc>
        <w:tc>
          <w:tcPr>
            <w:tcW w:w="1474" w:type="dxa"/>
            <w:vAlign w:val="center"/>
          </w:tcPr>
          <w:p w14:paraId="71424C52">
            <w:pPr>
              <w:pStyle w:val="11"/>
            </w:pPr>
          </w:p>
        </w:tc>
        <w:tc>
          <w:tcPr>
            <w:tcW w:w="3402" w:type="dxa"/>
            <w:vAlign w:val="center"/>
          </w:tcPr>
          <w:p w14:paraId="5BB04C9F">
            <w:pPr>
              <w:pStyle w:val="12"/>
            </w:pPr>
            <w:r>
              <w:t>二十八、债务付息支出</w:t>
            </w:r>
          </w:p>
        </w:tc>
        <w:tc>
          <w:tcPr>
            <w:tcW w:w="1474" w:type="dxa"/>
            <w:vAlign w:val="center"/>
          </w:tcPr>
          <w:p w14:paraId="121C03DC">
            <w:pPr>
              <w:pStyle w:val="11"/>
            </w:pPr>
          </w:p>
        </w:tc>
        <w:tc>
          <w:tcPr>
            <w:tcW w:w="1474" w:type="dxa"/>
            <w:vAlign w:val="center"/>
          </w:tcPr>
          <w:p w14:paraId="0DBE86FD">
            <w:pPr>
              <w:pStyle w:val="11"/>
            </w:pPr>
          </w:p>
        </w:tc>
        <w:tc>
          <w:tcPr>
            <w:tcW w:w="1474" w:type="dxa"/>
            <w:vAlign w:val="center"/>
          </w:tcPr>
          <w:p w14:paraId="2CC7C299">
            <w:pPr>
              <w:pStyle w:val="11"/>
            </w:pPr>
          </w:p>
        </w:tc>
        <w:tc>
          <w:tcPr>
            <w:tcW w:w="1474" w:type="dxa"/>
            <w:vAlign w:val="center"/>
          </w:tcPr>
          <w:p w14:paraId="667FEC32">
            <w:pPr>
              <w:pStyle w:val="11"/>
            </w:pPr>
          </w:p>
        </w:tc>
      </w:tr>
      <w:tr w14:paraId="57355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D835">
            <w:pPr>
              <w:pStyle w:val="13"/>
            </w:pPr>
            <w:r>
              <w:t>29</w:t>
            </w:r>
          </w:p>
        </w:tc>
        <w:tc>
          <w:tcPr>
            <w:tcW w:w="3402" w:type="dxa"/>
            <w:vAlign w:val="center"/>
          </w:tcPr>
          <w:p w14:paraId="5391A668">
            <w:pPr>
              <w:pStyle w:val="12"/>
            </w:pPr>
          </w:p>
        </w:tc>
        <w:tc>
          <w:tcPr>
            <w:tcW w:w="1474" w:type="dxa"/>
            <w:vAlign w:val="center"/>
          </w:tcPr>
          <w:p w14:paraId="5E2D5A50">
            <w:pPr>
              <w:pStyle w:val="11"/>
            </w:pPr>
          </w:p>
        </w:tc>
        <w:tc>
          <w:tcPr>
            <w:tcW w:w="3402" w:type="dxa"/>
            <w:vAlign w:val="center"/>
          </w:tcPr>
          <w:p w14:paraId="730F58FB">
            <w:pPr>
              <w:pStyle w:val="12"/>
            </w:pPr>
            <w:r>
              <w:t>二十九、债务发行费用支出</w:t>
            </w:r>
          </w:p>
        </w:tc>
        <w:tc>
          <w:tcPr>
            <w:tcW w:w="1474" w:type="dxa"/>
            <w:vAlign w:val="center"/>
          </w:tcPr>
          <w:p w14:paraId="24C15B07">
            <w:pPr>
              <w:pStyle w:val="11"/>
            </w:pPr>
          </w:p>
        </w:tc>
        <w:tc>
          <w:tcPr>
            <w:tcW w:w="1474" w:type="dxa"/>
            <w:vAlign w:val="center"/>
          </w:tcPr>
          <w:p w14:paraId="79A98212">
            <w:pPr>
              <w:pStyle w:val="11"/>
            </w:pPr>
          </w:p>
        </w:tc>
        <w:tc>
          <w:tcPr>
            <w:tcW w:w="1474" w:type="dxa"/>
            <w:vAlign w:val="center"/>
          </w:tcPr>
          <w:p w14:paraId="03C44C7F">
            <w:pPr>
              <w:pStyle w:val="11"/>
            </w:pPr>
          </w:p>
        </w:tc>
        <w:tc>
          <w:tcPr>
            <w:tcW w:w="1474" w:type="dxa"/>
            <w:vAlign w:val="center"/>
          </w:tcPr>
          <w:p w14:paraId="092A5E24">
            <w:pPr>
              <w:pStyle w:val="11"/>
            </w:pPr>
          </w:p>
        </w:tc>
      </w:tr>
      <w:tr w14:paraId="638F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BB0B">
            <w:pPr>
              <w:pStyle w:val="13"/>
            </w:pPr>
            <w:r>
              <w:t>30</w:t>
            </w:r>
          </w:p>
        </w:tc>
        <w:tc>
          <w:tcPr>
            <w:tcW w:w="3402" w:type="dxa"/>
            <w:vAlign w:val="center"/>
          </w:tcPr>
          <w:p w14:paraId="21E07645">
            <w:pPr>
              <w:pStyle w:val="12"/>
            </w:pPr>
          </w:p>
        </w:tc>
        <w:tc>
          <w:tcPr>
            <w:tcW w:w="1474" w:type="dxa"/>
            <w:vAlign w:val="center"/>
          </w:tcPr>
          <w:p w14:paraId="145A846C">
            <w:pPr>
              <w:pStyle w:val="11"/>
            </w:pPr>
          </w:p>
        </w:tc>
        <w:tc>
          <w:tcPr>
            <w:tcW w:w="3402" w:type="dxa"/>
            <w:vAlign w:val="center"/>
          </w:tcPr>
          <w:p w14:paraId="15D714B5">
            <w:pPr>
              <w:pStyle w:val="12"/>
            </w:pPr>
            <w:r>
              <w:t>三十、抗疫特别国债安排的支出</w:t>
            </w:r>
          </w:p>
        </w:tc>
        <w:tc>
          <w:tcPr>
            <w:tcW w:w="1474" w:type="dxa"/>
            <w:vAlign w:val="center"/>
          </w:tcPr>
          <w:p w14:paraId="098B2202">
            <w:pPr>
              <w:pStyle w:val="11"/>
            </w:pPr>
          </w:p>
        </w:tc>
        <w:tc>
          <w:tcPr>
            <w:tcW w:w="1474" w:type="dxa"/>
            <w:vAlign w:val="center"/>
          </w:tcPr>
          <w:p w14:paraId="4BF41F52">
            <w:pPr>
              <w:pStyle w:val="11"/>
            </w:pPr>
          </w:p>
        </w:tc>
        <w:tc>
          <w:tcPr>
            <w:tcW w:w="1474" w:type="dxa"/>
            <w:vAlign w:val="center"/>
          </w:tcPr>
          <w:p w14:paraId="4FFF9388">
            <w:pPr>
              <w:pStyle w:val="11"/>
            </w:pPr>
          </w:p>
        </w:tc>
        <w:tc>
          <w:tcPr>
            <w:tcW w:w="1474" w:type="dxa"/>
            <w:vAlign w:val="center"/>
          </w:tcPr>
          <w:p w14:paraId="7CBCBAE1">
            <w:pPr>
              <w:pStyle w:val="11"/>
            </w:pPr>
          </w:p>
        </w:tc>
      </w:tr>
      <w:tr w14:paraId="00A3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C1CC6">
            <w:pPr>
              <w:pStyle w:val="13"/>
            </w:pPr>
            <w:r>
              <w:t>31</w:t>
            </w:r>
          </w:p>
        </w:tc>
        <w:tc>
          <w:tcPr>
            <w:tcW w:w="3402" w:type="dxa"/>
            <w:vAlign w:val="center"/>
          </w:tcPr>
          <w:p w14:paraId="3E763B2F">
            <w:pPr>
              <w:pStyle w:val="12"/>
            </w:pPr>
          </w:p>
        </w:tc>
        <w:tc>
          <w:tcPr>
            <w:tcW w:w="1474" w:type="dxa"/>
            <w:vAlign w:val="center"/>
          </w:tcPr>
          <w:p w14:paraId="109EBAAB">
            <w:pPr>
              <w:pStyle w:val="11"/>
            </w:pPr>
          </w:p>
        </w:tc>
        <w:tc>
          <w:tcPr>
            <w:tcW w:w="3402" w:type="dxa"/>
            <w:vAlign w:val="center"/>
          </w:tcPr>
          <w:p w14:paraId="69B66345">
            <w:pPr>
              <w:pStyle w:val="12"/>
            </w:pPr>
            <w:r>
              <w:t>三十一、人行科目</w:t>
            </w:r>
          </w:p>
        </w:tc>
        <w:tc>
          <w:tcPr>
            <w:tcW w:w="1474" w:type="dxa"/>
            <w:vAlign w:val="center"/>
          </w:tcPr>
          <w:p w14:paraId="248B6B04">
            <w:pPr>
              <w:pStyle w:val="11"/>
            </w:pPr>
          </w:p>
        </w:tc>
        <w:tc>
          <w:tcPr>
            <w:tcW w:w="1474" w:type="dxa"/>
            <w:vAlign w:val="center"/>
          </w:tcPr>
          <w:p w14:paraId="6161BCE6">
            <w:pPr>
              <w:pStyle w:val="11"/>
            </w:pPr>
          </w:p>
        </w:tc>
        <w:tc>
          <w:tcPr>
            <w:tcW w:w="1474" w:type="dxa"/>
            <w:vAlign w:val="center"/>
          </w:tcPr>
          <w:p w14:paraId="7498B9F7">
            <w:pPr>
              <w:pStyle w:val="11"/>
            </w:pPr>
          </w:p>
        </w:tc>
        <w:tc>
          <w:tcPr>
            <w:tcW w:w="1474" w:type="dxa"/>
            <w:vAlign w:val="center"/>
          </w:tcPr>
          <w:p w14:paraId="71CA9BC3">
            <w:pPr>
              <w:pStyle w:val="11"/>
            </w:pPr>
          </w:p>
        </w:tc>
      </w:tr>
      <w:tr w14:paraId="63EA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0C1B">
            <w:pPr>
              <w:pStyle w:val="13"/>
            </w:pPr>
            <w:r>
              <w:t>32</w:t>
            </w:r>
          </w:p>
        </w:tc>
        <w:tc>
          <w:tcPr>
            <w:tcW w:w="3402" w:type="dxa"/>
            <w:vAlign w:val="center"/>
          </w:tcPr>
          <w:p w14:paraId="14BAD7B4">
            <w:pPr>
              <w:pStyle w:val="14"/>
            </w:pPr>
            <w:r>
              <w:t>本年收入合计</w:t>
            </w:r>
          </w:p>
        </w:tc>
        <w:tc>
          <w:tcPr>
            <w:tcW w:w="1474" w:type="dxa"/>
            <w:vAlign w:val="center"/>
          </w:tcPr>
          <w:p w14:paraId="27C98BC0">
            <w:pPr>
              <w:pStyle w:val="15"/>
            </w:pPr>
            <w:r>
              <w:t>231.88</w:t>
            </w:r>
          </w:p>
        </w:tc>
        <w:tc>
          <w:tcPr>
            <w:tcW w:w="3402" w:type="dxa"/>
            <w:vAlign w:val="center"/>
          </w:tcPr>
          <w:p w14:paraId="546E3225">
            <w:pPr>
              <w:pStyle w:val="14"/>
            </w:pPr>
            <w:r>
              <w:t>本年支出合计</w:t>
            </w:r>
          </w:p>
        </w:tc>
        <w:tc>
          <w:tcPr>
            <w:tcW w:w="1474" w:type="dxa"/>
            <w:vAlign w:val="center"/>
          </w:tcPr>
          <w:p w14:paraId="7230A5E7">
            <w:pPr>
              <w:pStyle w:val="15"/>
            </w:pPr>
            <w:r>
              <w:t>231.88</w:t>
            </w:r>
          </w:p>
        </w:tc>
        <w:tc>
          <w:tcPr>
            <w:tcW w:w="1474" w:type="dxa"/>
            <w:vAlign w:val="center"/>
          </w:tcPr>
          <w:p w14:paraId="57BCCB53">
            <w:pPr>
              <w:pStyle w:val="15"/>
            </w:pPr>
            <w:r>
              <w:t>231.88</w:t>
            </w:r>
          </w:p>
        </w:tc>
        <w:tc>
          <w:tcPr>
            <w:tcW w:w="1474" w:type="dxa"/>
            <w:vAlign w:val="center"/>
          </w:tcPr>
          <w:p w14:paraId="596789CE">
            <w:pPr>
              <w:pStyle w:val="15"/>
            </w:pPr>
          </w:p>
        </w:tc>
        <w:tc>
          <w:tcPr>
            <w:tcW w:w="1474" w:type="dxa"/>
            <w:vAlign w:val="center"/>
          </w:tcPr>
          <w:p w14:paraId="4FD56E00">
            <w:pPr>
              <w:pStyle w:val="15"/>
            </w:pPr>
          </w:p>
        </w:tc>
      </w:tr>
      <w:tr w14:paraId="2A45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20046">
            <w:pPr>
              <w:pStyle w:val="13"/>
            </w:pPr>
            <w:r>
              <w:t>33</w:t>
            </w:r>
          </w:p>
        </w:tc>
        <w:tc>
          <w:tcPr>
            <w:tcW w:w="3402" w:type="dxa"/>
            <w:vAlign w:val="center"/>
          </w:tcPr>
          <w:p w14:paraId="7C4142C2">
            <w:pPr>
              <w:pStyle w:val="12"/>
            </w:pPr>
            <w:r>
              <w:t>年初财政拨款结转和结余</w:t>
            </w:r>
          </w:p>
        </w:tc>
        <w:tc>
          <w:tcPr>
            <w:tcW w:w="1474" w:type="dxa"/>
            <w:vAlign w:val="center"/>
          </w:tcPr>
          <w:p w14:paraId="59F8C0BB">
            <w:pPr>
              <w:pStyle w:val="11"/>
            </w:pPr>
          </w:p>
        </w:tc>
        <w:tc>
          <w:tcPr>
            <w:tcW w:w="3402" w:type="dxa"/>
            <w:vAlign w:val="center"/>
          </w:tcPr>
          <w:p w14:paraId="7509ACF6">
            <w:pPr>
              <w:pStyle w:val="12"/>
            </w:pPr>
            <w:r>
              <w:t>年末财政拨款结转和结余</w:t>
            </w:r>
          </w:p>
        </w:tc>
        <w:tc>
          <w:tcPr>
            <w:tcW w:w="1474" w:type="dxa"/>
            <w:vAlign w:val="center"/>
          </w:tcPr>
          <w:p w14:paraId="169356F8">
            <w:pPr>
              <w:pStyle w:val="11"/>
            </w:pPr>
          </w:p>
        </w:tc>
        <w:tc>
          <w:tcPr>
            <w:tcW w:w="1474" w:type="dxa"/>
            <w:vAlign w:val="center"/>
          </w:tcPr>
          <w:p w14:paraId="341EECD9">
            <w:pPr>
              <w:pStyle w:val="11"/>
            </w:pPr>
          </w:p>
        </w:tc>
        <w:tc>
          <w:tcPr>
            <w:tcW w:w="1474" w:type="dxa"/>
            <w:vAlign w:val="center"/>
          </w:tcPr>
          <w:p w14:paraId="680FE357">
            <w:pPr>
              <w:pStyle w:val="11"/>
            </w:pPr>
          </w:p>
        </w:tc>
        <w:tc>
          <w:tcPr>
            <w:tcW w:w="1474" w:type="dxa"/>
            <w:vAlign w:val="center"/>
          </w:tcPr>
          <w:p w14:paraId="328E96D7">
            <w:pPr>
              <w:pStyle w:val="11"/>
            </w:pPr>
          </w:p>
        </w:tc>
      </w:tr>
      <w:tr w14:paraId="6E84CC8A">
        <w:tblPrEx>
          <w:tblCellMar>
            <w:top w:w="0" w:type="dxa"/>
            <w:left w:w="108" w:type="dxa"/>
            <w:bottom w:w="0" w:type="dxa"/>
            <w:right w:w="108" w:type="dxa"/>
          </w:tblCellMar>
        </w:tblPrEx>
        <w:trPr>
          <w:trHeight w:val="369" w:hRule="atLeast"/>
          <w:jc w:val="center"/>
        </w:trPr>
        <w:tc>
          <w:tcPr>
            <w:tcW w:w="850" w:type="dxa"/>
            <w:vAlign w:val="center"/>
          </w:tcPr>
          <w:p w14:paraId="6E565074">
            <w:pPr>
              <w:pStyle w:val="13"/>
            </w:pPr>
            <w:r>
              <w:t>34</w:t>
            </w:r>
          </w:p>
        </w:tc>
        <w:tc>
          <w:tcPr>
            <w:tcW w:w="3402" w:type="dxa"/>
            <w:vAlign w:val="center"/>
          </w:tcPr>
          <w:p w14:paraId="73BDD07B">
            <w:pPr>
              <w:pStyle w:val="12"/>
            </w:pPr>
            <w:r>
              <w:t>一、一般公共预算拨款</w:t>
            </w:r>
          </w:p>
        </w:tc>
        <w:tc>
          <w:tcPr>
            <w:tcW w:w="1474" w:type="dxa"/>
            <w:vAlign w:val="center"/>
          </w:tcPr>
          <w:p w14:paraId="6E9B9B1C">
            <w:pPr>
              <w:pStyle w:val="11"/>
            </w:pPr>
          </w:p>
        </w:tc>
        <w:tc>
          <w:tcPr>
            <w:tcW w:w="3402" w:type="dxa"/>
            <w:vAlign w:val="center"/>
          </w:tcPr>
          <w:p w14:paraId="44037080">
            <w:pPr>
              <w:pStyle w:val="12"/>
            </w:pPr>
          </w:p>
        </w:tc>
        <w:tc>
          <w:tcPr>
            <w:tcW w:w="1474" w:type="dxa"/>
            <w:vAlign w:val="center"/>
          </w:tcPr>
          <w:p w14:paraId="48C30A75">
            <w:pPr>
              <w:pStyle w:val="11"/>
            </w:pPr>
          </w:p>
        </w:tc>
        <w:tc>
          <w:tcPr>
            <w:tcW w:w="1474" w:type="dxa"/>
            <w:vAlign w:val="center"/>
          </w:tcPr>
          <w:p w14:paraId="76867AFB">
            <w:pPr>
              <w:pStyle w:val="11"/>
            </w:pPr>
          </w:p>
        </w:tc>
        <w:tc>
          <w:tcPr>
            <w:tcW w:w="1474" w:type="dxa"/>
            <w:vAlign w:val="center"/>
          </w:tcPr>
          <w:p w14:paraId="5070AFEE">
            <w:pPr>
              <w:pStyle w:val="11"/>
            </w:pPr>
          </w:p>
        </w:tc>
        <w:tc>
          <w:tcPr>
            <w:tcW w:w="1474" w:type="dxa"/>
            <w:vAlign w:val="center"/>
          </w:tcPr>
          <w:p w14:paraId="50A64F12">
            <w:pPr>
              <w:pStyle w:val="11"/>
            </w:pPr>
          </w:p>
        </w:tc>
      </w:tr>
      <w:tr w14:paraId="3979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D39F0">
            <w:pPr>
              <w:pStyle w:val="13"/>
            </w:pPr>
            <w:r>
              <w:t>35</w:t>
            </w:r>
          </w:p>
        </w:tc>
        <w:tc>
          <w:tcPr>
            <w:tcW w:w="3402" w:type="dxa"/>
            <w:vAlign w:val="center"/>
          </w:tcPr>
          <w:p w14:paraId="3DC4C78C">
            <w:pPr>
              <w:pStyle w:val="12"/>
            </w:pPr>
            <w:r>
              <w:t>二、政府性基金预算拨款</w:t>
            </w:r>
          </w:p>
        </w:tc>
        <w:tc>
          <w:tcPr>
            <w:tcW w:w="1474" w:type="dxa"/>
            <w:vAlign w:val="center"/>
          </w:tcPr>
          <w:p w14:paraId="779B98C6">
            <w:pPr>
              <w:pStyle w:val="11"/>
            </w:pPr>
          </w:p>
        </w:tc>
        <w:tc>
          <w:tcPr>
            <w:tcW w:w="3402" w:type="dxa"/>
            <w:vAlign w:val="center"/>
          </w:tcPr>
          <w:p w14:paraId="4FBF4EE6">
            <w:pPr>
              <w:pStyle w:val="12"/>
            </w:pPr>
          </w:p>
        </w:tc>
        <w:tc>
          <w:tcPr>
            <w:tcW w:w="1474" w:type="dxa"/>
            <w:vAlign w:val="center"/>
          </w:tcPr>
          <w:p w14:paraId="0733197F">
            <w:pPr>
              <w:pStyle w:val="11"/>
            </w:pPr>
          </w:p>
        </w:tc>
        <w:tc>
          <w:tcPr>
            <w:tcW w:w="1474" w:type="dxa"/>
            <w:vAlign w:val="center"/>
          </w:tcPr>
          <w:p w14:paraId="2261127C">
            <w:pPr>
              <w:pStyle w:val="11"/>
            </w:pPr>
          </w:p>
        </w:tc>
        <w:tc>
          <w:tcPr>
            <w:tcW w:w="1474" w:type="dxa"/>
            <w:vAlign w:val="center"/>
          </w:tcPr>
          <w:p w14:paraId="10D6BB00">
            <w:pPr>
              <w:pStyle w:val="11"/>
            </w:pPr>
          </w:p>
        </w:tc>
        <w:tc>
          <w:tcPr>
            <w:tcW w:w="1474" w:type="dxa"/>
            <w:vAlign w:val="center"/>
          </w:tcPr>
          <w:p w14:paraId="369AA39D">
            <w:pPr>
              <w:pStyle w:val="11"/>
            </w:pPr>
          </w:p>
        </w:tc>
      </w:tr>
      <w:tr w14:paraId="1A04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60BDB">
            <w:pPr>
              <w:pStyle w:val="13"/>
            </w:pPr>
            <w:r>
              <w:t>36</w:t>
            </w:r>
          </w:p>
        </w:tc>
        <w:tc>
          <w:tcPr>
            <w:tcW w:w="3402" w:type="dxa"/>
            <w:vAlign w:val="center"/>
          </w:tcPr>
          <w:p w14:paraId="552A73C9">
            <w:pPr>
              <w:pStyle w:val="12"/>
            </w:pPr>
            <w:r>
              <w:t>三、国有资本经营预算拨款</w:t>
            </w:r>
          </w:p>
        </w:tc>
        <w:tc>
          <w:tcPr>
            <w:tcW w:w="1474" w:type="dxa"/>
            <w:vAlign w:val="center"/>
          </w:tcPr>
          <w:p w14:paraId="2D2C7F52">
            <w:pPr>
              <w:pStyle w:val="11"/>
            </w:pPr>
          </w:p>
        </w:tc>
        <w:tc>
          <w:tcPr>
            <w:tcW w:w="3402" w:type="dxa"/>
            <w:vAlign w:val="center"/>
          </w:tcPr>
          <w:p w14:paraId="184F3802">
            <w:pPr>
              <w:pStyle w:val="12"/>
            </w:pPr>
          </w:p>
        </w:tc>
        <w:tc>
          <w:tcPr>
            <w:tcW w:w="1474" w:type="dxa"/>
            <w:vAlign w:val="center"/>
          </w:tcPr>
          <w:p w14:paraId="5C566CBA">
            <w:pPr>
              <w:pStyle w:val="11"/>
            </w:pPr>
          </w:p>
        </w:tc>
        <w:tc>
          <w:tcPr>
            <w:tcW w:w="1474" w:type="dxa"/>
            <w:vAlign w:val="center"/>
          </w:tcPr>
          <w:p w14:paraId="6B08AAFE">
            <w:pPr>
              <w:pStyle w:val="11"/>
            </w:pPr>
          </w:p>
        </w:tc>
        <w:tc>
          <w:tcPr>
            <w:tcW w:w="1474" w:type="dxa"/>
            <w:vAlign w:val="center"/>
          </w:tcPr>
          <w:p w14:paraId="499E5BE0">
            <w:pPr>
              <w:pStyle w:val="11"/>
            </w:pPr>
          </w:p>
        </w:tc>
        <w:tc>
          <w:tcPr>
            <w:tcW w:w="1474" w:type="dxa"/>
            <w:vAlign w:val="center"/>
          </w:tcPr>
          <w:p w14:paraId="11F833EA">
            <w:pPr>
              <w:pStyle w:val="11"/>
            </w:pPr>
          </w:p>
        </w:tc>
      </w:tr>
      <w:tr w14:paraId="205C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92B85">
            <w:pPr>
              <w:pStyle w:val="13"/>
            </w:pPr>
            <w:r>
              <w:t>37</w:t>
            </w:r>
          </w:p>
        </w:tc>
        <w:tc>
          <w:tcPr>
            <w:tcW w:w="3402" w:type="dxa"/>
            <w:vAlign w:val="center"/>
          </w:tcPr>
          <w:p w14:paraId="599C9984">
            <w:pPr>
              <w:pStyle w:val="14"/>
            </w:pPr>
            <w:r>
              <w:t>收入总计</w:t>
            </w:r>
          </w:p>
        </w:tc>
        <w:tc>
          <w:tcPr>
            <w:tcW w:w="1474" w:type="dxa"/>
            <w:vAlign w:val="center"/>
          </w:tcPr>
          <w:p w14:paraId="6902E4C3">
            <w:pPr>
              <w:pStyle w:val="15"/>
            </w:pPr>
            <w:r>
              <w:t>231.88</w:t>
            </w:r>
          </w:p>
        </w:tc>
        <w:tc>
          <w:tcPr>
            <w:tcW w:w="3402" w:type="dxa"/>
            <w:vAlign w:val="center"/>
          </w:tcPr>
          <w:p w14:paraId="4BB8D20A">
            <w:pPr>
              <w:pStyle w:val="14"/>
            </w:pPr>
            <w:r>
              <w:t>支出总计</w:t>
            </w:r>
          </w:p>
        </w:tc>
        <w:tc>
          <w:tcPr>
            <w:tcW w:w="1474" w:type="dxa"/>
            <w:vAlign w:val="center"/>
          </w:tcPr>
          <w:p w14:paraId="58A74182">
            <w:pPr>
              <w:pStyle w:val="15"/>
            </w:pPr>
            <w:r>
              <w:t>231.88</w:t>
            </w:r>
          </w:p>
        </w:tc>
        <w:tc>
          <w:tcPr>
            <w:tcW w:w="1474" w:type="dxa"/>
            <w:vAlign w:val="center"/>
          </w:tcPr>
          <w:p w14:paraId="7EB463E4">
            <w:pPr>
              <w:pStyle w:val="15"/>
            </w:pPr>
            <w:r>
              <w:t>231.88</w:t>
            </w:r>
          </w:p>
        </w:tc>
        <w:tc>
          <w:tcPr>
            <w:tcW w:w="1474" w:type="dxa"/>
            <w:vAlign w:val="center"/>
          </w:tcPr>
          <w:p w14:paraId="54F576AB">
            <w:pPr>
              <w:pStyle w:val="15"/>
            </w:pPr>
          </w:p>
        </w:tc>
        <w:tc>
          <w:tcPr>
            <w:tcW w:w="1474" w:type="dxa"/>
            <w:vAlign w:val="center"/>
          </w:tcPr>
          <w:p w14:paraId="5D4DAFBA">
            <w:pPr>
              <w:pStyle w:val="15"/>
            </w:pPr>
          </w:p>
        </w:tc>
      </w:tr>
    </w:tbl>
    <w:p w14:paraId="7635FC33">
      <w:pPr>
        <w:sectPr>
          <w:pgSz w:w="16840" w:h="11900" w:orient="landscape"/>
          <w:pgMar w:top="1361" w:right="1020" w:bottom="1134" w:left="1020" w:header="720" w:footer="720" w:gutter="0"/>
          <w:cols w:space="720" w:num="1"/>
        </w:sectPr>
      </w:pPr>
    </w:p>
    <w:p w14:paraId="309710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E4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AA3124">
            <w:pPr>
              <w:pStyle w:val="9"/>
            </w:pPr>
            <w:r>
              <w:t>360029隆尧县实验幼儿园</w:t>
            </w:r>
          </w:p>
        </w:tc>
        <w:tc>
          <w:tcPr>
            <w:tcW w:w="2551" w:type="dxa"/>
            <w:tcBorders>
              <w:top w:val="single" w:color="FFFFFF" w:sz="6" w:space="0"/>
              <w:left w:val="single" w:color="FFFFFF" w:sz="6" w:space="0"/>
              <w:right w:val="single" w:color="FFFFFF" w:sz="6" w:space="0"/>
            </w:tcBorders>
            <w:vAlign w:val="center"/>
          </w:tcPr>
          <w:p w14:paraId="4DB3DE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074609">
            <w:pPr>
              <w:pStyle w:val="7"/>
            </w:pPr>
            <w:r>
              <w:t>单位：万元</w:t>
            </w:r>
          </w:p>
        </w:tc>
      </w:tr>
      <w:tr w14:paraId="7A14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E02C9">
            <w:pPr>
              <w:pStyle w:val="10"/>
            </w:pPr>
            <w:r>
              <w:t>序号</w:t>
            </w:r>
          </w:p>
        </w:tc>
        <w:tc>
          <w:tcPr>
            <w:tcW w:w="5726" w:type="dxa"/>
            <w:gridSpan w:val="2"/>
            <w:vAlign w:val="center"/>
          </w:tcPr>
          <w:p w14:paraId="34341C3C">
            <w:pPr>
              <w:pStyle w:val="10"/>
            </w:pPr>
            <w:r>
              <w:t>功能分类科目</w:t>
            </w:r>
          </w:p>
        </w:tc>
        <w:tc>
          <w:tcPr>
            <w:tcW w:w="2551" w:type="dxa"/>
            <w:vMerge w:val="restart"/>
            <w:vAlign w:val="center"/>
          </w:tcPr>
          <w:p w14:paraId="626F3BA9">
            <w:pPr>
              <w:pStyle w:val="10"/>
            </w:pPr>
            <w:r>
              <w:t>合计</w:t>
            </w:r>
          </w:p>
        </w:tc>
        <w:tc>
          <w:tcPr>
            <w:tcW w:w="2551" w:type="dxa"/>
            <w:vMerge w:val="restart"/>
            <w:vAlign w:val="center"/>
          </w:tcPr>
          <w:p w14:paraId="61BCF77E">
            <w:pPr>
              <w:pStyle w:val="10"/>
            </w:pPr>
            <w:r>
              <w:t>基本支出</w:t>
            </w:r>
          </w:p>
        </w:tc>
        <w:tc>
          <w:tcPr>
            <w:tcW w:w="2551" w:type="dxa"/>
            <w:vMerge w:val="restart"/>
            <w:vAlign w:val="center"/>
          </w:tcPr>
          <w:p w14:paraId="494D3A40">
            <w:pPr>
              <w:pStyle w:val="10"/>
            </w:pPr>
            <w:r>
              <w:t>项目支出</w:t>
            </w:r>
          </w:p>
        </w:tc>
      </w:tr>
      <w:tr w14:paraId="7072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280301"/>
        </w:tc>
        <w:tc>
          <w:tcPr>
            <w:tcW w:w="1191" w:type="dxa"/>
            <w:vAlign w:val="center"/>
          </w:tcPr>
          <w:p w14:paraId="535EADB2">
            <w:pPr>
              <w:pStyle w:val="10"/>
            </w:pPr>
            <w:r>
              <w:t>科目编码</w:t>
            </w:r>
          </w:p>
        </w:tc>
        <w:tc>
          <w:tcPr>
            <w:tcW w:w="4535" w:type="dxa"/>
            <w:vAlign w:val="center"/>
          </w:tcPr>
          <w:p w14:paraId="5C16EB05">
            <w:pPr>
              <w:pStyle w:val="10"/>
            </w:pPr>
            <w:r>
              <w:t>科目名称</w:t>
            </w:r>
          </w:p>
        </w:tc>
        <w:tc>
          <w:tcPr>
            <w:tcW w:w="2551" w:type="dxa"/>
            <w:vMerge w:val="continue"/>
          </w:tcPr>
          <w:p w14:paraId="71C030B6"/>
        </w:tc>
        <w:tc>
          <w:tcPr>
            <w:tcW w:w="2551" w:type="dxa"/>
            <w:vMerge w:val="continue"/>
          </w:tcPr>
          <w:p w14:paraId="08FB8E25"/>
        </w:tc>
        <w:tc>
          <w:tcPr>
            <w:tcW w:w="2551" w:type="dxa"/>
            <w:vMerge w:val="continue"/>
          </w:tcPr>
          <w:p w14:paraId="3F8B95D6"/>
        </w:tc>
      </w:tr>
      <w:tr w14:paraId="2C157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15F3D">
            <w:pPr>
              <w:pStyle w:val="10"/>
            </w:pPr>
            <w:r>
              <w:t>栏次</w:t>
            </w:r>
          </w:p>
        </w:tc>
        <w:tc>
          <w:tcPr>
            <w:tcW w:w="1191" w:type="dxa"/>
            <w:vAlign w:val="center"/>
          </w:tcPr>
          <w:p w14:paraId="4ABE6EDB">
            <w:pPr>
              <w:pStyle w:val="10"/>
            </w:pPr>
            <w:r>
              <w:t>1</w:t>
            </w:r>
          </w:p>
        </w:tc>
        <w:tc>
          <w:tcPr>
            <w:tcW w:w="4535" w:type="dxa"/>
            <w:vAlign w:val="center"/>
          </w:tcPr>
          <w:p w14:paraId="5A25A7D6">
            <w:pPr>
              <w:pStyle w:val="10"/>
            </w:pPr>
            <w:r>
              <w:t>2</w:t>
            </w:r>
          </w:p>
        </w:tc>
        <w:tc>
          <w:tcPr>
            <w:tcW w:w="2551" w:type="dxa"/>
            <w:vAlign w:val="center"/>
          </w:tcPr>
          <w:p w14:paraId="6D03EE86">
            <w:pPr>
              <w:pStyle w:val="10"/>
            </w:pPr>
            <w:r>
              <w:t>3</w:t>
            </w:r>
          </w:p>
        </w:tc>
        <w:tc>
          <w:tcPr>
            <w:tcW w:w="2551" w:type="dxa"/>
            <w:vAlign w:val="center"/>
          </w:tcPr>
          <w:p w14:paraId="428595C8">
            <w:pPr>
              <w:pStyle w:val="10"/>
            </w:pPr>
            <w:r>
              <w:t>4</w:t>
            </w:r>
          </w:p>
        </w:tc>
        <w:tc>
          <w:tcPr>
            <w:tcW w:w="2551" w:type="dxa"/>
            <w:vAlign w:val="center"/>
          </w:tcPr>
          <w:p w14:paraId="2F25854A">
            <w:pPr>
              <w:pStyle w:val="10"/>
            </w:pPr>
            <w:r>
              <w:t>5</w:t>
            </w:r>
          </w:p>
        </w:tc>
      </w:tr>
      <w:tr w14:paraId="60F3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A96E9">
            <w:pPr>
              <w:pStyle w:val="13"/>
            </w:pPr>
            <w:r>
              <w:t>1</w:t>
            </w:r>
          </w:p>
        </w:tc>
        <w:tc>
          <w:tcPr>
            <w:tcW w:w="1191" w:type="dxa"/>
            <w:vAlign w:val="center"/>
          </w:tcPr>
          <w:p w14:paraId="1EFCDDAF">
            <w:pPr>
              <w:pStyle w:val="16"/>
            </w:pPr>
          </w:p>
        </w:tc>
        <w:tc>
          <w:tcPr>
            <w:tcW w:w="4535" w:type="dxa"/>
            <w:vAlign w:val="center"/>
          </w:tcPr>
          <w:p w14:paraId="0EDF8A60">
            <w:pPr>
              <w:pStyle w:val="14"/>
            </w:pPr>
            <w:r>
              <w:t>合计</w:t>
            </w:r>
          </w:p>
        </w:tc>
        <w:tc>
          <w:tcPr>
            <w:tcW w:w="2551" w:type="dxa"/>
            <w:vAlign w:val="center"/>
          </w:tcPr>
          <w:p w14:paraId="634D72EC">
            <w:pPr>
              <w:pStyle w:val="15"/>
            </w:pPr>
            <w:r>
              <w:t>231.88</w:t>
            </w:r>
          </w:p>
        </w:tc>
        <w:tc>
          <w:tcPr>
            <w:tcW w:w="2551" w:type="dxa"/>
            <w:vAlign w:val="center"/>
          </w:tcPr>
          <w:p w14:paraId="1A9FB0E2">
            <w:pPr>
              <w:pStyle w:val="15"/>
            </w:pPr>
            <w:r>
              <w:t>224.44</w:t>
            </w:r>
          </w:p>
        </w:tc>
        <w:tc>
          <w:tcPr>
            <w:tcW w:w="2551" w:type="dxa"/>
            <w:vAlign w:val="center"/>
          </w:tcPr>
          <w:p w14:paraId="31B9C544">
            <w:pPr>
              <w:pStyle w:val="15"/>
            </w:pPr>
            <w:r>
              <w:t>7.44</w:t>
            </w:r>
          </w:p>
        </w:tc>
      </w:tr>
      <w:tr w14:paraId="47D6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475AB">
            <w:pPr>
              <w:pStyle w:val="13"/>
            </w:pPr>
            <w:r>
              <w:t>2</w:t>
            </w:r>
          </w:p>
        </w:tc>
        <w:tc>
          <w:tcPr>
            <w:tcW w:w="1191" w:type="dxa"/>
            <w:vAlign w:val="center"/>
          </w:tcPr>
          <w:p w14:paraId="476B6330">
            <w:pPr>
              <w:pStyle w:val="12"/>
            </w:pPr>
            <w:r>
              <w:t>205</w:t>
            </w:r>
          </w:p>
        </w:tc>
        <w:tc>
          <w:tcPr>
            <w:tcW w:w="4535" w:type="dxa"/>
            <w:vAlign w:val="center"/>
          </w:tcPr>
          <w:p w14:paraId="63EC4CAD">
            <w:pPr>
              <w:pStyle w:val="12"/>
            </w:pPr>
            <w:r>
              <w:t>教育支出</w:t>
            </w:r>
          </w:p>
        </w:tc>
        <w:tc>
          <w:tcPr>
            <w:tcW w:w="2551" w:type="dxa"/>
            <w:vAlign w:val="center"/>
          </w:tcPr>
          <w:p w14:paraId="51E85A4E">
            <w:pPr>
              <w:pStyle w:val="11"/>
            </w:pPr>
            <w:r>
              <w:t>231.88</w:t>
            </w:r>
          </w:p>
        </w:tc>
        <w:tc>
          <w:tcPr>
            <w:tcW w:w="2551" w:type="dxa"/>
            <w:vAlign w:val="center"/>
          </w:tcPr>
          <w:p w14:paraId="61330E46">
            <w:pPr>
              <w:pStyle w:val="11"/>
            </w:pPr>
            <w:r>
              <w:t>224.44</w:t>
            </w:r>
          </w:p>
        </w:tc>
        <w:tc>
          <w:tcPr>
            <w:tcW w:w="2551" w:type="dxa"/>
            <w:vAlign w:val="center"/>
          </w:tcPr>
          <w:p w14:paraId="7DA4F587">
            <w:pPr>
              <w:pStyle w:val="11"/>
            </w:pPr>
            <w:r>
              <w:t>7.44</w:t>
            </w:r>
          </w:p>
        </w:tc>
      </w:tr>
      <w:tr w14:paraId="3761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AF92C">
            <w:pPr>
              <w:pStyle w:val="13"/>
            </w:pPr>
            <w:r>
              <w:t>3</w:t>
            </w:r>
          </w:p>
        </w:tc>
        <w:tc>
          <w:tcPr>
            <w:tcW w:w="1191" w:type="dxa"/>
            <w:vAlign w:val="center"/>
          </w:tcPr>
          <w:p w14:paraId="703ED457">
            <w:pPr>
              <w:pStyle w:val="12"/>
            </w:pPr>
            <w:r>
              <w:t>20502</w:t>
            </w:r>
          </w:p>
        </w:tc>
        <w:tc>
          <w:tcPr>
            <w:tcW w:w="4535" w:type="dxa"/>
            <w:vAlign w:val="center"/>
          </w:tcPr>
          <w:p w14:paraId="3186C672">
            <w:pPr>
              <w:pStyle w:val="12"/>
            </w:pPr>
            <w:r>
              <w:t>普通教育</w:t>
            </w:r>
          </w:p>
        </w:tc>
        <w:tc>
          <w:tcPr>
            <w:tcW w:w="2551" w:type="dxa"/>
            <w:vAlign w:val="center"/>
          </w:tcPr>
          <w:p w14:paraId="1FE13023">
            <w:pPr>
              <w:pStyle w:val="11"/>
            </w:pPr>
            <w:r>
              <w:t>231.88</w:t>
            </w:r>
          </w:p>
        </w:tc>
        <w:tc>
          <w:tcPr>
            <w:tcW w:w="2551" w:type="dxa"/>
            <w:vAlign w:val="center"/>
          </w:tcPr>
          <w:p w14:paraId="68CAE415">
            <w:pPr>
              <w:pStyle w:val="11"/>
            </w:pPr>
            <w:r>
              <w:t>224.44</w:t>
            </w:r>
          </w:p>
        </w:tc>
        <w:tc>
          <w:tcPr>
            <w:tcW w:w="2551" w:type="dxa"/>
            <w:vAlign w:val="center"/>
          </w:tcPr>
          <w:p w14:paraId="371D42C2">
            <w:pPr>
              <w:pStyle w:val="11"/>
            </w:pPr>
            <w:r>
              <w:t>7.44</w:t>
            </w:r>
          </w:p>
        </w:tc>
      </w:tr>
      <w:tr w14:paraId="09EA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C770A">
            <w:pPr>
              <w:pStyle w:val="13"/>
            </w:pPr>
            <w:r>
              <w:t>4</w:t>
            </w:r>
          </w:p>
        </w:tc>
        <w:tc>
          <w:tcPr>
            <w:tcW w:w="1191" w:type="dxa"/>
            <w:vAlign w:val="center"/>
          </w:tcPr>
          <w:p w14:paraId="67704AC8">
            <w:pPr>
              <w:pStyle w:val="12"/>
            </w:pPr>
            <w:r>
              <w:t>2050201</w:t>
            </w:r>
          </w:p>
        </w:tc>
        <w:tc>
          <w:tcPr>
            <w:tcW w:w="4535" w:type="dxa"/>
            <w:vAlign w:val="center"/>
          </w:tcPr>
          <w:p w14:paraId="731A2DEB">
            <w:pPr>
              <w:pStyle w:val="12"/>
            </w:pPr>
            <w:r>
              <w:t>学前教育</w:t>
            </w:r>
          </w:p>
        </w:tc>
        <w:tc>
          <w:tcPr>
            <w:tcW w:w="2551" w:type="dxa"/>
            <w:vAlign w:val="center"/>
          </w:tcPr>
          <w:p w14:paraId="4711005F">
            <w:pPr>
              <w:pStyle w:val="11"/>
            </w:pPr>
            <w:r>
              <w:t>231.88</w:t>
            </w:r>
          </w:p>
        </w:tc>
        <w:tc>
          <w:tcPr>
            <w:tcW w:w="2551" w:type="dxa"/>
            <w:vAlign w:val="center"/>
          </w:tcPr>
          <w:p w14:paraId="1C8F401B">
            <w:pPr>
              <w:pStyle w:val="11"/>
            </w:pPr>
            <w:r>
              <w:t>224.44</w:t>
            </w:r>
          </w:p>
        </w:tc>
        <w:tc>
          <w:tcPr>
            <w:tcW w:w="2551" w:type="dxa"/>
            <w:vAlign w:val="center"/>
          </w:tcPr>
          <w:p w14:paraId="238A3C21">
            <w:pPr>
              <w:pStyle w:val="11"/>
            </w:pPr>
            <w:r>
              <w:t>7.44</w:t>
            </w:r>
          </w:p>
        </w:tc>
      </w:tr>
    </w:tbl>
    <w:p w14:paraId="0C03018F">
      <w:pPr>
        <w:sectPr>
          <w:pgSz w:w="16840" w:h="11900" w:orient="landscape"/>
          <w:pgMar w:top="1361" w:right="1020" w:bottom="1134" w:left="1020" w:header="720" w:footer="720" w:gutter="0"/>
          <w:cols w:space="720" w:num="1"/>
        </w:sectPr>
      </w:pPr>
    </w:p>
    <w:p w14:paraId="7DFAF2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E3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9110CC">
            <w:pPr>
              <w:pStyle w:val="9"/>
            </w:pPr>
            <w:r>
              <w:t>360029隆尧县实验幼儿园</w:t>
            </w:r>
          </w:p>
        </w:tc>
        <w:tc>
          <w:tcPr>
            <w:tcW w:w="2551" w:type="dxa"/>
            <w:tcBorders>
              <w:top w:val="single" w:color="FFFFFF" w:sz="6" w:space="0"/>
              <w:left w:val="single" w:color="FFFFFF" w:sz="6" w:space="0"/>
              <w:right w:val="single" w:color="FFFFFF" w:sz="6" w:space="0"/>
            </w:tcBorders>
            <w:vAlign w:val="center"/>
          </w:tcPr>
          <w:p w14:paraId="1085AE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0592A1">
            <w:pPr>
              <w:pStyle w:val="7"/>
            </w:pPr>
            <w:r>
              <w:t>单位：万元</w:t>
            </w:r>
          </w:p>
        </w:tc>
      </w:tr>
      <w:tr w14:paraId="3046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9CD31B">
            <w:pPr>
              <w:pStyle w:val="10"/>
            </w:pPr>
            <w:r>
              <w:t>序号</w:t>
            </w:r>
          </w:p>
        </w:tc>
        <w:tc>
          <w:tcPr>
            <w:tcW w:w="5726" w:type="dxa"/>
            <w:gridSpan w:val="2"/>
            <w:vAlign w:val="center"/>
          </w:tcPr>
          <w:p w14:paraId="75E48FC2">
            <w:pPr>
              <w:pStyle w:val="10"/>
            </w:pPr>
            <w:r>
              <w:t>支出部门经济分类科目</w:t>
            </w:r>
          </w:p>
        </w:tc>
        <w:tc>
          <w:tcPr>
            <w:tcW w:w="7653" w:type="dxa"/>
            <w:gridSpan w:val="3"/>
            <w:vAlign w:val="center"/>
          </w:tcPr>
          <w:p w14:paraId="6E3DC28F">
            <w:pPr>
              <w:pStyle w:val="10"/>
            </w:pPr>
            <w:r>
              <w:t>一般公共预算基本支出</w:t>
            </w:r>
          </w:p>
        </w:tc>
      </w:tr>
      <w:tr w14:paraId="62BA3192">
        <w:tblPrEx>
          <w:tblCellMar>
            <w:top w:w="0" w:type="dxa"/>
            <w:left w:w="108" w:type="dxa"/>
            <w:bottom w:w="0" w:type="dxa"/>
            <w:right w:w="108" w:type="dxa"/>
          </w:tblCellMar>
        </w:tblPrEx>
        <w:trPr>
          <w:trHeight w:val="369" w:hRule="atLeast"/>
          <w:tblHeader/>
          <w:jc w:val="center"/>
        </w:trPr>
        <w:tc>
          <w:tcPr>
            <w:tcW w:w="850" w:type="dxa"/>
            <w:vMerge w:val="continue"/>
          </w:tcPr>
          <w:p w14:paraId="394C9882"/>
        </w:tc>
        <w:tc>
          <w:tcPr>
            <w:tcW w:w="1191" w:type="dxa"/>
            <w:vAlign w:val="center"/>
          </w:tcPr>
          <w:p w14:paraId="14D92E3A">
            <w:pPr>
              <w:pStyle w:val="10"/>
            </w:pPr>
            <w:r>
              <w:t>科目编码</w:t>
            </w:r>
          </w:p>
        </w:tc>
        <w:tc>
          <w:tcPr>
            <w:tcW w:w="4535" w:type="dxa"/>
            <w:vAlign w:val="center"/>
          </w:tcPr>
          <w:p w14:paraId="3BBDB048">
            <w:pPr>
              <w:pStyle w:val="10"/>
            </w:pPr>
            <w:r>
              <w:t>科目名称</w:t>
            </w:r>
          </w:p>
        </w:tc>
        <w:tc>
          <w:tcPr>
            <w:tcW w:w="2551" w:type="dxa"/>
            <w:vAlign w:val="center"/>
          </w:tcPr>
          <w:p w14:paraId="06AE57CA">
            <w:pPr>
              <w:pStyle w:val="10"/>
            </w:pPr>
            <w:r>
              <w:t>合计</w:t>
            </w:r>
          </w:p>
        </w:tc>
        <w:tc>
          <w:tcPr>
            <w:tcW w:w="2551" w:type="dxa"/>
            <w:vAlign w:val="center"/>
          </w:tcPr>
          <w:p w14:paraId="2DCAAFF9">
            <w:pPr>
              <w:pStyle w:val="10"/>
            </w:pPr>
            <w:r>
              <w:t>人员经费</w:t>
            </w:r>
          </w:p>
        </w:tc>
        <w:tc>
          <w:tcPr>
            <w:tcW w:w="2551" w:type="dxa"/>
            <w:vAlign w:val="center"/>
          </w:tcPr>
          <w:p w14:paraId="6940C406">
            <w:pPr>
              <w:pStyle w:val="10"/>
            </w:pPr>
            <w:r>
              <w:t>公用经费</w:t>
            </w:r>
          </w:p>
        </w:tc>
      </w:tr>
      <w:tr w14:paraId="46FA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56ABC">
            <w:pPr>
              <w:pStyle w:val="10"/>
            </w:pPr>
            <w:r>
              <w:t>栏次</w:t>
            </w:r>
          </w:p>
        </w:tc>
        <w:tc>
          <w:tcPr>
            <w:tcW w:w="1191" w:type="dxa"/>
            <w:vAlign w:val="center"/>
          </w:tcPr>
          <w:p w14:paraId="45CC3F04">
            <w:pPr>
              <w:pStyle w:val="10"/>
            </w:pPr>
            <w:r>
              <w:t>1</w:t>
            </w:r>
          </w:p>
        </w:tc>
        <w:tc>
          <w:tcPr>
            <w:tcW w:w="4535" w:type="dxa"/>
            <w:vAlign w:val="center"/>
          </w:tcPr>
          <w:p w14:paraId="669DE90F">
            <w:pPr>
              <w:pStyle w:val="10"/>
            </w:pPr>
            <w:r>
              <w:t>2</w:t>
            </w:r>
          </w:p>
        </w:tc>
        <w:tc>
          <w:tcPr>
            <w:tcW w:w="2551" w:type="dxa"/>
            <w:vAlign w:val="center"/>
          </w:tcPr>
          <w:p w14:paraId="1E5F2F86">
            <w:pPr>
              <w:pStyle w:val="10"/>
            </w:pPr>
            <w:r>
              <w:t>3</w:t>
            </w:r>
          </w:p>
        </w:tc>
        <w:tc>
          <w:tcPr>
            <w:tcW w:w="2551" w:type="dxa"/>
            <w:vAlign w:val="center"/>
          </w:tcPr>
          <w:p w14:paraId="0F2AB02A">
            <w:pPr>
              <w:pStyle w:val="10"/>
            </w:pPr>
            <w:r>
              <w:t>4</w:t>
            </w:r>
          </w:p>
        </w:tc>
        <w:tc>
          <w:tcPr>
            <w:tcW w:w="2551" w:type="dxa"/>
            <w:vAlign w:val="center"/>
          </w:tcPr>
          <w:p w14:paraId="0C48320C">
            <w:pPr>
              <w:pStyle w:val="10"/>
            </w:pPr>
            <w:r>
              <w:t>5</w:t>
            </w:r>
          </w:p>
        </w:tc>
      </w:tr>
      <w:tr w14:paraId="0BD60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157E">
            <w:pPr>
              <w:pStyle w:val="13"/>
            </w:pPr>
            <w:r>
              <w:t>1</w:t>
            </w:r>
          </w:p>
        </w:tc>
        <w:tc>
          <w:tcPr>
            <w:tcW w:w="1191" w:type="dxa"/>
            <w:vAlign w:val="center"/>
          </w:tcPr>
          <w:p w14:paraId="199540B3">
            <w:pPr>
              <w:pStyle w:val="16"/>
            </w:pPr>
          </w:p>
        </w:tc>
        <w:tc>
          <w:tcPr>
            <w:tcW w:w="4535" w:type="dxa"/>
            <w:vAlign w:val="center"/>
          </w:tcPr>
          <w:p w14:paraId="6D063B95">
            <w:pPr>
              <w:pStyle w:val="14"/>
            </w:pPr>
            <w:r>
              <w:t>合计</w:t>
            </w:r>
          </w:p>
        </w:tc>
        <w:tc>
          <w:tcPr>
            <w:tcW w:w="2551" w:type="dxa"/>
            <w:vAlign w:val="center"/>
          </w:tcPr>
          <w:p w14:paraId="4D2936C2">
            <w:pPr>
              <w:pStyle w:val="15"/>
            </w:pPr>
            <w:r>
              <w:t>224.44</w:t>
            </w:r>
          </w:p>
        </w:tc>
        <w:tc>
          <w:tcPr>
            <w:tcW w:w="2551" w:type="dxa"/>
            <w:vAlign w:val="center"/>
          </w:tcPr>
          <w:p w14:paraId="0F1FBC95">
            <w:pPr>
              <w:pStyle w:val="15"/>
            </w:pPr>
            <w:r>
              <w:t>224.44</w:t>
            </w:r>
          </w:p>
        </w:tc>
        <w:tc>
          <w:tcPr>
            <w:tcW w:w="2551" w:type="dxa"/>
            <w:vAlign w:val="center"/>
          </w:tcPr>
          <w:p w14:paraId="6819EF20">
            <w:pPr>
              <w:pStyle w:val="15"/>
            </w:pPr>
          </w:p>
        </w:tc>
      </w:tr>
      <w:tr w14:paraId="0F7E9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1B9A">
            <w:pPr>
              <w:pStyle w:val="13"/>
            </w:pPr>
            <w:r>
              <w:t>2</w:t>
            </w:r>
          </w:p>
        </w:tc>
        <w:tc>
          <w:tcPr>
            <w:tcW w:w="1191" w:type="dxa"/>
            <w:vAlign w:val="center"/>
          </w:tcPr>
          <w:p w14:paraId="79CB25E1">
            <w:pPr>
              <w:pStyle w:val="12"/>
            </w:pPr>
            <w:r>
              <w:t>301</w:t>
            </w:r>
          </w:p>
        </w:tc>
        <w:tc>
          <w:tcPr>
            <w:tcW w:w="4535" w:type="dxa"/>
            <w:vAlign w:val="center"/>
          </w:tcPr>
          <w:p w14:paraId="5E8295F1">
            <w:pPr>
              <w:pStyle w:val="12"/>
            </w:pPr>
            <w:r>
              <w:t>工资福利支出</w:t>
            </w:r>
          </w:p>
        </w:tc>
        <w:tc>
          <w:tcPr>
            <w:tcW w:w="2551" w:type="dxa"/>
            <w:vAlign w:val="center"/>
          </w:tcPr>
          <w:p w14:paraId="189C5599">
            <w:pPr>
              <w:pStyle w:val="11"/>
            </w:pPr>
            <w:r>
              <w:t>224.44</w:t>
            </w:r>
          </w:p>
        </w:tc>
        <w:tc>
          <w:tcPr>
            <w:tcW w:w="2551" w:type="dxa"/>
            <w:vAlign w:val="center"/>
          </w:tcPr>
          <w:p w14:paraId="4BAF5859">
            <w:pPr>
              <w:pStyle w:val="11"/>
            </w:pPr>
            <w:r>
              <w:t>224.44</w:t>
            </w:r>
          </w:p>
        </w:tc>
        <w:tc>
          <w:tcPr>
            <w:tcW w:w="2551" w:type="dxa"/>
            <w:vAlign w:val="center"/>
          </w:tcPr>
          <w:p w14:paraId="14696538">
            <w:pPr>
              <w:pStyle w:val="11"/>
            </w:pPr>
          </w:p>
        </w:tc>
      </w:tr>
      <w:tr w14:paraId="08EE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6474">
            <w:pPr>
              <w:pStyle w:val="13"/>
            </w:pPr>
            <w:r>
              <w:t>3</w:t>
            </w:r>
          </w:p>
        </w:tc>
        <w:tc>
          <w:tcPr>
            <w:tcW w:w="1191" w:type="dxa"/>
            <w:vAlign w:val="center"/>
          </w:tcPr>
          <w:p w14:paraId="77899002">
            <w:pPr>
              <w:pStyle w:val="12"/>
            </w:pPr>
            <w:r>
              <w:t>30101</w:t>
            </w:r>
          </w:p>
        </w:tc>
        <w:tc>
          <w:tcPr>
            <w:tcW w:w="4535" w:type="dxa"/>
            <w:vAlign w:val="center"/>
          </w:tcPr>
          <w:p w14:paraId="3A807CFB">
            <w:pPr>
              <w:pStyle w:val="12"/>
            </w:pPr>
            <w:r>
              <w:t>基本工资</w:t>
            </w:r>
          </w:p>
        </w:tc>
        <w:tc>
          <w:tcPr>
            <w:tcW w:w="2551" w:type="dxa"/>
            <w:vAlign w:val="center"/>
          </w:tcPr>
          <w:p w14:paraId="116A87DB">
            <w:pPr>
              <w:pStyle w:val="11"/>
            </w:pPr>
            <w:r>
              <w:t>98.90</w:t>
            </w:r>
          </w:p>
        </w:tc>
        <w:tc>
          <w:tcPr>
            <w:tcW w:w="2551" w:type="dxa"/>
            <w:vAlign w:val="center"/>
          </w:tcPr>
          <w:p w14:paraId="44AAA242">
            <w:pPr>
              <w:pStyle w:val="11"/>
            </w:pPr>
            <w:r>
              <w:t>98.90</w:t>
            </w:r>
          </w:p>
        </w:tc>
        <w:tc>
          <w:tcPr>
            <w:tcW w:w="2551" w:type="dxa"/>
            <w:vAlign w:val="center"/>
          </w:tcPr>
          <w:p w14:paraId="0A7BD203">
            <w:pPr>
              <w:pStyle w:val="11"/>
            </w:pPr>
          </w:p>
        </w:tc>
      </w:tr>
      <w:tr w14:paraId="2B97C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3887">
            <w:pPr>
              <w:pStyle w:val="13"/>
            </w:pPr>
            <w:r>
              <w:t>4</w:t>
            </w:r>
          </w:p>
        </w:tc>
        <w:tc>
          <w:tcPr>
            <w:tcW w:w="1191" w:type="dxa"/>
            <w:vAlign w:val="center"/>
          </w:tcPr>
          <w:p w14:paraId="18B897A4">
            <w:pPr>
              <w:pStyle w:val="12"/>
            </w:pPr>
            <w:r>
              <w:t>30102</w:t>
            </w:r>
          </w:p>
        </w:tc>
        <w:tc>
          <w:tcPr>
            <w:tcW w:w="4535" w:type="dxa"/>
            <w:vAlign w:val="center"/>
          </w:tcPr>
          <w:p w14:paraId="5CDFF55D">
            <w:pPr>
              <w:pStyle w:val="12"/>
            </w:pPr>
            <w:r>
              <w:t>津贴补贴</w:t>
            </w:r>
          </w:p>
        </w:tc>
        <w:tc>
          <w:tcPr>
            <w:tcW w:w="2551" w:type="dxa"/>
            <w:vAlign w:val="center"/>
          </w:tcPr>
          <w:p w14:paraId="71EE8D12">
            <w:pPr>
              <w:pStyle w:val="11"/>
            </w:pPr>
            <w:r>
              <w:t>4.16</w:t>
            </w:r>
          </w:p>
        </w:tc>
        <w:tc>
          <w:tcPr>
            <w:tcW w:w="2551" w:type="dxa"/>
            <w:vAlign w:val="center"/>
          </w:tcPr>
          <w:p w14:paraId="730F8AEC">
            <w:pPr>
              <w:pStyle w:val="11"/>
            </w:pPr>
            <w:r>
              <w:t>4.16</w:t>
            </w:r>
          </w:p>
        </w:tc>
        <w:tc>
          <w:tcPr>
            <w:tcW w:w="2551" w:type="dxa"/>
            <w:vAlign w:val="center"/>
          </w:tcPr>
          <w:p w14:paraId="1431311C">
            <w:pPr>
              <w:pStyle w:val="11"/>
            </w:pPr>
          </w:p>
        </w:tc>
      </w:tr>
      <w:tr w14:paraId="5334F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4E49">
            <w:pPr>
              <w:pStyle w:val="13"/>
            </w:pPr>
            <w:r>
              <w:t>5</w:t>
            </w:r>
          </w:p>
        </w:tc>
        <w:tc>
          <w:tcPr>
            <w:tcW w:w="1191" w:type="dxa"/>
            <w:vAlign w:val="center"/>
          </w:tcPr>
          <w:p w14:paraId="44E21751">
            <w:pPr>
              <w:pStyle w:val="12"/>
            </w:pPr>
            <w:r>
              <w:t>30107</w:t>
            </w:r>
          </w:p>
        </w:tc>
        <w:tc>
          <w:tcPr>
            <w:tcW w:w="4535" w:type="dxa"/>
            <w:vAlign w:val="center"/>
          </w:tcPr>
          <w:p w14:paraId="070D9081">
            <w:pPr>
              <w:pStyle w:val="12"/>
            </w:pPr>
            <w:r>
              <w:t>绩效工资</w:t>
            </w:r>
          </w:p>
        </w:tc>
        <w:tc>
          <w:tcPr>
            <w:tcW w:w="2551" w:type="dxa"/>
            <w:vAlign w:val="center"/>
          </w:tcPr>
          <w:p w14:paraId="37EA9159">
            <w:pPr>
              <w:pStyle w:val="11"/>
            </w:pPr>
            <w:r>
              <w:t>67.99</w:t>
            </w:r>
          </w:p>
        </w:tc>
        <w:tc>
          <w:tcPr>
            <w:tcW w:w="2551" w:type="dxa"/>
            <w:vAlign w:val="center"/>
          </w:tcPr>
          <w:p w14:paraId="4A510A7E">
            <w:pPr>
              <w:pStyle w:val="11"/>
            </w:pPr>
            <w:r>
              <w:t>67.99</w:t>
            </w:r>
          </w:p>
        </w:tc>
        <w:tc>
          <w:tcPr>
            <w:tcW w:w="2551" w:type="dxa"/>
            <w:vAlign w:val="center"/>
          </w:tcPr>
          <w:p w14:paraId="7FBFF05D">
            <w:pPr>
              <w:pStyle w:val="11"/>
            </w:pPr>
          </w:p>
        </w:tc>
      </w:tr>
      <w:tr w14:paraId="109F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C0B32">
            <w:pPr>
              <w:pStyle w:val="13"/>
            </w:pPr>
            <w:r>
              <w:t>6</w:t>
            </w:r>
          </w:p>
        </w:tc>
        <w:tc>
          <w:tcPr>
            <w:tcW w:w="1191" w:type="dxa"/>
            <w:vAlign w:val="center"/>
          </w:tcPr>
          <w:p w14:paraId="001E5848">
            <w:pPr>
              <w:pStyle w:val="12"/>
            </w:pPr>
            <w:r>
              <w:t>30108</w:t>
            </w:r>
          </w:p>
        </w:tc>
        <w:tc>
          <w:tcPr>
            <w:tcW w:w="4535" w:type="dxa"/>
            <w:vAlign w:val="center"/>
          </w:tcPr>
          <w:p w14:paraId="486A5A46">
            <w:pPr>
              <w:pStyle w:val="12"/>
            </w:pPr>
            <w:r>
              <w:t>机关事业单位基本养老保险缴费</w:t>
            </w:r>
          </w:p>
        </w:tc>
        <w:tc>
          <w:tcPr>
            <w:tcW w:w="2551" w:type="dxa"/>
            <w:vAlign w:val="center"/>
          </w:tcPr>
          <w:p w14:paraId="3740034E">
            <w:pPr>
              <w:pStyle w:val="11"/>
            </w:pPr>
            <w:r>
              <w:t>23.76</w:t>
            </w:r>
          </w:p>
        </w:tc>
        <w:tc>
          <w:tcPr>
            <w:tcW w:w="2551" w:type="dxa"/>
            <w:vAlign w:val="center"/>
          </w:tcPr>
          <w:p w14:paraId="155B3B28">
            <w:pPr>
              <w:pStyle w:val="11"/>
            </w:pPr>
            <w:r>
              <w:t>23.76</w:t>
            </w:r>
          </w:p>
        </w:tc>
        <w:tc>
          <w:tcPr>
            <w:tcW w:w="2551" w:type="dxa"/>
            <w:vAlign w:val="center"/>
          </w:tcPr>
          <w:p w14:paraId="3659DD2A">
            <w:pPr>
              <w:pStyle w:val="11"/>
            </w:pPr>
          </w:p>
        </w:tc>
      </w:tr>
      <w:tr w14:paraId="7746D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2AF7F">
            <w:pPr>
              <w:pStyle w:val="13"/>
            </w:pPr>
            <w:r>
              <w:t>7</w:t>
            </w:r>
          </w:p>
        </w:tc>
        <w:tc>
          <w:tcPr>
            <w:tcW w:w="1191" w:type="dxa"/>
            <w:vAlign w:val="center"/>
          </w:tcPr>
          <w:p w14:paraId="0644E35C">
            <w:pPr>
              <w:pStyle w:val="12"/>
            </w:pPr>
            <w:r>
              <w:t>30110</w:t>
            </w:r>
          </w:p>
        </w:tc>
        <w:tc>
          <w:tcPr>
            <w:tcW w:w="4535" w:type="dxa"/>
            <w:vAlign w:val="center"/>
          </w:tcPr>
          <w:p w14:paraId="7A4F42A0">
            <w:pPr>
              <w:pStyle w:val="12"/>
            </w:pPr>
            <w:r>
              <w:t>职工基本医疗保险缴费</w:t>
            </w:r>
          </w:p>
        </w:tc>
        <w:tc>
          <w:tcPr>
            <w:tcW w:w="2551" w:type="dxa"/>
            <w:vAlign w:val="center"/>
          </w:tcPr>
          <w:p w14:paraId="21D537E1">
            <w:pPr>
              <w:pStyle w:val="11"/>
            </w:pPr>
            <w:r>
              <w:t>11.09</w:t>
            </w:r>
          </w:p>
        </w:tc>
        <w:tc>
          <w:tcPr>
            <w:tcW w:w="2551" w:type="dxa"/>
            <w:vAlign w:val="center"/>
          </w:tcPr>
          <w:p w14:paraId="6431A612">
            <w:pPr>
              <w:pStyle w:val="11"/>
            </w:pPr>
            <w:r>
              <w:t>11.09</w:t>
            </w:r>
          </w:p>
        </w:tc>
        <w:tc>
          <w:tcPr>
            <w:tcW w:w="2551" w:type="dxa"/>
            <w:vAlign w:val="center"/>
          </w:tcPr>
          <w:p w14:paraId="26D8DFC1">
            <w:pPr>
              <w:pStyle w:val="11"/>
            </w:pPr>
          </w:p>
        </w:tc>
      </w:tr>
      <w:tr w14:paraId="4BF16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EA37E">
            <w:pPr>
              <w:pStyle w:val="13"/>
            </w:pPr>
            <w:r>
              <w:t>8</w:t>
            </w:r>
          </w:p>
        </w:tc>
        <w:tc>
          <w:tcPr>
            <w:tcW w:w="1191" w:type="dxa"/>
            <w:vAlign w:val="center"/>
          </w:tcPr>
          <w:p w14:paraId="1AF889F8">
            <w:pPr>
              <w:pStyle w:val="12"/>
            </w:pPr>
            <w:r>
              <w:t>30112</w:t>
            </w:r>
          </w:p>
        </w:tc>
        <w:tc>
          <w:tcPr>
            <w:tcW w:w="4535" w:type="dxa"/>
            <w:vAlign w:val="center"/>
          </w:tcPr>
          <w:p w14:paraId="3F758326">
            <w:pPr>
              <w:pStyle w:val="12"/>
            </w:pPr>
            <w:r>
              <w:t>其他社会保障缴费</w:t>
            </w:r>
          </w:p>
        </w:tc>
        <w:tc>
          <w:tcPr>
            <w:tcW w:w="2551" w:type="dxa"/>
            <w:vAlign w:val="center"/>
          </w:tcPr>
          <w:p w14:paraId="3434BE23">
            <w:pPr>
              <w:pStyle w:val="11"/>
            </w:pPr>
            <w:r>
              <w:t>0.69</w:t>
            </w:r>
          </w:p>
        </w:tc>
        <w:tc>
          <w:tcPr>
            <w:tcW w:w="2551" w:type="dxa"/>
            <w:vAlign w:val="center"/>
          </w:tcPr>
          <w:p w14:paraId="425131C6">
            <w:pPr>
              <w:pStyle w:val="11"/>
            </w:pPr>
            <w:r>
              <w:t>0.69</w:t>
            </w:r>
          </w:p>
        </w:tc>
        <w:tc>
          <w:tcPr>
            <w:tcW w:w="2551" w:type="dxa"/>
            <w:vAlign w:val="center"/>
          </w:tcPr>
          <w:p w14:paraId="000816BC">
            <w:pPr>
              <w:pStyle w:val="11"/>
            </w:pPr>
          </w:p>
        </w:tc>
      </w:tr>
      <w:tr w14:paraId="1349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BB862">
            <w:pPr>
              <w:pStyle w:val="13"/>
            </w:pPr>
            <w:r>
              <w:t>9</w:t>
            </w:r>
          </w:p>
        </w:tc>
        <w:tc>
          <w:tcPr>
            <w:tcW w:w="1191" w:type="dxa"/>
            <w:vAlign w:val="center"/>
          </w:tcPr>
          <w:p w14:paraId="24685714">
            <w:pPr>
              <w:pStyle w:val="12"/>
            </w:pPr>
            <w:r>
              <w:t>30113</w:t>
            </w:r>
          </w:p>
        </w:tc>
        <w:tc>
          <w:tcPr>
            <w:tcW w:w="4535" w:type="dxa"/>
            <w:vAlign w:val="center"/>
          </w:tcPr>
          <w:p w14:paraId="591633BC">
            <w:pPr>
              <w:pStyle w:val="12"/>
            </w:pPr>
            <w:r>
              <w:t>住房公积金</w:t>
            </w:r>
          </w:p>
        </w:tc>
        <w:tc>
          <w:tcPr>
            <w:tcW w:w="2551" w:type="dxa"/>
            <w:vAlign w:val="center"/>
          </w:tcPr>
          <w:p w14:paraId="28F00892">
            <w:pPr>
              <w:pStyle w:val="11"/>
            </w:pPr>
            <w:r>
              <w:t>17.83</w:t>
            </w:r>
          </w:p>
        </w:tc>
        <w:tc>
          <w:tcPr>
            <w:tcW w:w="2551" w:type="dxa"/>
            <w:vAlign w:val="center"/>
          </w:tcPr>
          <w:p w14:paraId="4A7FB6BC">
            <w:pPr>
              <w:pStyle w:val="11"/>
            </w:pPr>
            <w:r>
              <w:t>17.83</w:t>
            </w:r>
          </w:p>
        </w:tc>
        <w:tc>
          <w:tcPr>
            <w:tcW w:w="2551" w:type="dxa"/>
            <w:vAlign w:val="center"/>
          </w:tcPr>
          <w:p w14:paraId="64E082EA">
            <w:pPr>
              <w:pStyle w:val="11"/>
            </w:pPr>
          </w:p>
        </w:tc>
      </w:tr>
    </w:tbl>
    <w:p w14:paraId="6360FE18">
      <w:pPr>
        <w:sectPr>
          <w:pgSz w:w="16840" w:h="11900" w:orient="landscape"/>
          <w:pgMar w:top="1361" w:right="1020" w:bottom="1134" w:left="1020" w:header="720" w:footer="720" w:gutter="0"/>
          <w:cols w:space="720" w:num="1"/>
        </w:sectPr>
      </w:pPr>
    </w:p>
    <w:p w14:paraId="1675F7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98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B026F1">
            <w:pPr>
              <w:pStyle w:val="9"/>
            </w:pPr>
            <w:r>
              <w:t>360029隆尧县实验幼儿园</w:t>
            </w:r>
          </w:p>
        </w:tc>
        <w:tc>
          <w:tcPr>
            <w:tcW w:w="2551" w:type="dxa"/>
            <w:tcBorders>
              <w:top w:val="single" w:color="FFFFFF" w:sz="6" w:space="0"/>
              <w:left w:val="single" w:color="FFFFFF" w:sz="6" w:space="0"/>
              <w:right w:val="single" w:color="FFFFFF" w:sz="6" w:space="0"/>
            </w:tcBorders>
            <w:vAlign w:val="center"/>
          </w:tcPr>
          <w:p w14:paraId="36FCFC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2CDF37">
            <w:pPr>
              <w:pStyle w:val="7"/>
            </w:pPr>
            <w:r>
              <w:t>单位：万元</w:t>
            </w:r>
          </w:p>
        </w:tc>
      </w:tr>
      <w:tr w14:paraId="5476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A8DBD">
            <w:pPr>
              <w:pStyle w:val="10"/>
            </w:pPr>
            <w:r>
              <w:t>序号</w:t>
            </w:r>
          </w:p>
        </w:tc>
        <w:tc>
          <w:tcPr>
            <w:tcW w:w="5726" w:type="dxa"/>
            <w:gridSpan w:val="2"/>
            <w:vAlign w:val="center"/>
          </w:tcPr>
          <w:p w14:paraId="4389EADB">
            <w:pPr>
              <w:pStyle w:val="10"/>
            </w:pPr>
            <w:r>
              <w:t>功能分类科目</w:t>
            </w:r>
          </w:p>
        </w:tc>
        <w:tc>
          <w:tcPr>
            <w:tcW w:w="2551" w:type="dxa"/>
            <w:vMerge w:val="restart"/>
            <w:vAlign w:val="center"/>
          </w:tcPr>
          <w:p w14:paraId="74D488A9">
            <w:pPr>
              <w:pStyle w:val="10"/>
            </w:pPr>
            <w:r>
              <w:t>合计</w:t>
            </w:r>
          </w:p>
        </w:tc>
        <w:tc>
          <w:tcPr>
            <w:tcW w:w="2551" w:type="dxa"/>
            <w:vMerge w:val="restart"/>
            <w:vAlign w:val="center"/>
          </w:tcPr>
          <w:p w14:paraId="7CFA8F56">
            <w:pPr>
              <w:pStyle w:val="10"/>
            </w:pPr>
            <w:r>
              <w:t>基本支出</w:t>
            </w:r>
          </w:p>
        </w:tc>
        <w:tc>
          <w:tcPr>
            <w:tcW w:w="2551" w:type="dxa"/>
            <w:vMerge w:val="restart"/>
            <w:vAlign w:val="center"/>
          </w:tcPr>
          <w:p w14:paraId="0F842B7F">
            <w:pPr>
              <w:pStyle w:val="10"/>
            </w:pPr>
            <w:r>
              <w:t>项目支出</w:t>
            </w:r>
          </w:p>
        </w:tc>
      </w:tr>
      <w:tr w14:paraId="5F1A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042490"/>
        </w:tc>
        <w:tc>
          <w:tcPr>
            <w:tcW w:w="1191" w:type="dxa"/>
            <w:vAlign w:val="center"/>
          </w:tcPr>
          <w:p w14:paraId="3D12DC61">
            <w:pPr>
              <w:pStyle w:val="10"/>
            </w:pPr>
            <w:r>
              <w:t>科目编码</w:t>
            </w:r>
          </w:p>
        </w:tc>
        <w:tc>
          <w:tcPr>
            <w:tcW w:w="4535" w:type="dxa"/>
            <w:vAlign w:val="center"/>
          </w:tcPr>
          <w:p w14:paraId="7833C7FC">
            <w:pPr>
              <w:pStyle w:val="10"/>
            </w:pPr>
            <w:r>
              <w:t>科目名称</w:t>
            </w:r>
          </w:p>
        </w:tc>
        <w:tc>
          <w:tcPr>
            <w:tcW w:w="2551" w:type="dxa"/>
            <w:vMerge w:val="continue"/>
          </w:tcPr>
          <w:p w14:paraId="3DF53B1B"/>
        </w:tc>
        <w:tc>
          <w:tcPr>
            <w:tcW w:w="2551" w:type="dxa"/>
            <w:vMerge w:val="continue"/>
          </w:tcPr>
          <w:p w14:paraId="21F33936"/>
        </w:tc>
        <w:tc>
          <w:tcPr>
            <w:tcW w:w="2551" w:type="dxa"/>
            <w:vMerge w:val="continue"/>
          </w:tcPr>
          <w:p w14:paraId="5598C177"/>
        </w:tc>
      </w:tr>
      <w:tr w14:paraId="2F85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CF1E9">
            <w:pPr>
              <w:pStyle w:val="10"/>
            </w:pPr>
            <w:r>
              <w:t>栏次</w:t>
            </w:r>
          </w:p>
        </w:tc>
        <w:tc>
          <w:tcPr>
            <w:tcW w:w="1191" w:type="dxa"/>
            <w:vAlign w:val="center"/>
          </w:tcPr>
          <w:p w14:paraId="3CDEE729">
            <w:pPr>
              <w:pStyle w:val="10"/>
            </w:pPr>
            <w:r>
              <w:t>1</w:t>
            </w:r>
          </w:p>
        </w:tc>
        <w:tc>
          <w:tcPr>
            <w:tcW w:w="4535" w:type="dxa"/>
            <w:vAlign w:val="center"/>
          </w:tcPr>
          <w:p w14:paraId="6715FD2F">
            <w:pPr>
              <w:pStyle w:val="10"/>
            </w:pPr>
            <w:r>
              <w:t>2</w:t>
            </w:r>
          </w:p>
        </w:tc>
        <w:tc>
          <w:tcPr>
            <w:tcW w:w="2551" w:type="dxa"/>
            <w:vAlign w:val="center"/>
          </w:tcPr>
          <w:p w14:paraId="7152C402">
            <w:pPr>
              <w:pStyle w:val="10"/>
            </w:pPr>
            <w:r>
              <w:t>3</w:t>
            </w:r>
          </w:p>
        </w:tc>
        <w:tc>
          <w:tcPr>
            <w:tcW w:w="2551" w:type="dxa"/>
            <w:vAlign w:val="center"/>
          </w:tcPr>
          <w:p w14:paraId="3B0B93B5">
            <w:pPr>
              <w:pStyle w:val="10"/>
            </w:pPr>
            <w:r>
              <w:t>4</w:t>
            </w:r>
          </w:p>
        </w:tc>
        <w:tc>
          <w:tcPr>
            <w:tcW w:w="2551" w:type="dxa"/>
            <w:vAlign w:val="center"/>
          </w:tcPr>
          <w:p w14:paraId="2ED56663">
            <w:pPr>
              <w:pStyle w:val="10"/>
            </w:pPr>
            <w:r>
              <w:t>5</w:t>
            </w:r>
          </w:p>
        </w:tc>
      </w:tr>
      <w:tr w14:paraId="0E5C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406AF">
            <w:pPr>
              <w:pStyle w:val="13"/>
            </w:pPr>
          </w:p>
        </w:tc>
        <w:tc>
          <w:tcPr>
            <w:tcW w:w="1191" w:type="dxa"/>
            <w:vAlign w:val="center"/>
          </w:tcPr>
          <w:p w14:paraId="56EB7DC0">
            <w:pPr>
              <w:pStyle w:val="12"/>
            </w:pPr>
          </w:p>
        </w:tc>
        <w:tc>
          <w:tcPr>
            <w:tcW w:w="4535" w:type="dxa"/>
            <w:vAlign w:val="center"/>
          </w:tcPr>
          <w:p w14:paraId="4C8CE188">
            <w:pPr>
              <w:pStyle w:val="12"/>
            </w:pPr>
          </w:p>
        </w:tc>
        <w:tc>
          <w:tcPr>
            <w:tcW w:w="2551" w:type="dxa"/>
            <w:vAlign w:val="center"/>
          </w:tcPr>
          <w:p w14:paraId="13479920">
            <w:pPr>
              <w:pStyle w:val="11"/>
            </w:pPr>
          </w:p>
        </w:tc>
        <w:tc>
          <w:tcPr>
            <w:tcW w:w="2551" w:type="dxa"/>
            <w:vAlign w:val="center"/>
          </w:tcPr>
          <w:p w14:paraId="62528829">
            <w:pPr>
              <w:pStyle w:val="11"/>
            </w:pPr>
          </w:p>
        </w:tc>
        <w:tc>
          <w:tcPr>
            <w:tcW w:w="2551" w:type="dxa"/>
            <w:vAlign w:val="center"/>
          </w:tcPr>
          <w:p w14:paraId="41BF75F0">
            <w:pPr>
              <w:pStyle w:val="11"/>
            </w:pPr>
          </w:p>
        </w:tc>
      </w:tr>
    </w:tbl>
    <w:p w14:paraId="02804D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65C4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04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3D7D28">
            <w:pPr>
              <w:pStyle w:val="9"/>
            </w:pPr>
            <w:r>
              <w:t>360029隆尧县实验幼儿园</w:t>
            </w:r>
          </w:p>
        </w:tc>
        <w:tc>
          <w:tcPr>
            <w:tcW w:w="2551" w:type="dxa"/>
            <w:tcBorders>
              <w:top w:val="single" w:color="FFFFFF" w:sz="6" w:space="0"/>
              <w:left w:val="single" w:color="FFFFFF" w:sz="6" w:space="0"/>
              <w:right w:val="single" w:color="FFFFFF" w:sz="6" w:space="0"/>
            </w:tcBorders>
            <w:vAlign w:val="center"/>
          </w:tcPr>
          <w:p w14:paraId="0100CF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6BCD14">
            <w:pPr>
              <w:pStyle w:val="7"/>
            </w:pPr>
            <w:r>
              <w:t>单位：万元</w:t>
            </w:r>
          </w:p>
        </w:tc>
      </w:tr>
      <w:tr w14:paraId="1F3DF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7CF4A">
            <w:pPr>
              <w:pStyle w:val="10"/>
            </w:pPr>
            <w:r>
              <w:t>序号</w:t>
            </w:r>
          </w:p>
        </w:tc>
        <w:tc>
          <w:tcPr>
            <w:tcW w:w="5726" w:type="dxa"/>
            <w:gridSpan w:val="2"/>
            <w:vAlign w:val="center"/>
          </w:tcPr>
          <w:p w14:paraId="32D029B7">
            <w:pPr>
              <w:pStyle w:val="10"/>
            </w:pPr>
            <w:r>
              <w:t>功能分类科目</w:t>
            </w:r>
          </w:p>
        </w:tc>
        <w:tc>
          <w:tcPr>
            <w:tcW w:w="2551" w:type="dxa"/>
            <w:vMerge w:val="restart"/>
            <w:vAlign w:val="center"/>
          </w:tcPr>
          <w:p w14:paraId="654D2EFA">
            <w:pPr>
              <w:pStyle w:val="10"/>
            </w:pPr>
            <w:r>
              <w:t>合计</w:t>
            </w:r>
          </w:p>
        </w:tc>
        <w:tc>
          <w:tcPr>
            <w:tcW w:w="2551" w:type="dxa"/>
            <w:vMerge w:val="restart"/>
            <w:vAlign w:val="center"/>
          </w:tcPr>
          <w:p w14:paraId="5647E279">
            <w:pPr>
              <w:pStyle w:val="10"/>
            </w:pPr>
            <w:r>
              <w:t>基本支出</w:t>
            </w:r>
          </w:p>
        </w:tc>
        <w:tc>
          <w:tcPr>
            <w:tcW w:w="2551" w:type="dxa"/>
            <w:vMerge w:val="restart"/>
            <w:vAlign w:val="center"/>
          </w:tcPr>
          <w:p w14:paraId="4794404F">
            <w:pPr>
              <w:pStyle w:val="10"/>
            </w:pPr>
            <w:r>
              <w:t>项目支出</w:t>
            </w:r>
          </w:p>
        </w:tc>
      </w:tr>
      <w:tr w14:paraId="40B1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E7579"/>
        </w:tc>
        <w:tc>
          <w:tcPr>
            <w:tcW w:w="1191" w:type="dxa"/>
            <w:vAlign w:val="center"/>
          </w:tcPr>
          <w:p w14:paraId="1992FB5A">
            <w:pPr>
              <w:pStyle w:val="10"/>
            </w:pPr>
            <w:r>
              <w:t>科目编码</w:t>
            </w:r>
          </w:p>
        </w:tc>
        <w:tc>
          <w:tcPr>
            <w:tcW w:w="4535" w:type="dxa"/>
            <w:vAlign w:val="center"/>
          </w:tcPr>
          <w:p w14:paraId="293B0704">
            <w:pPr>
              <w:pStyle w:val="10"/>
            </w:pPr>
            <w:r>
              <w:t>科目名称</w:t>
            </w:r>
          </w:p>
        </w:tc>
        <w:tc>
          <w:tcPr>
            <w:tcW w:w="2551" w:type="dxa"/>
            <w:vMerge w:val="continue"/>
          </w:tcPr>
          <w:p w14:paraId="2F82A24D"/>
        </w:tc>
        <w:tc>
          <w:tcPr>
            <w:tcW w:w="2551" w:type="dxa"/>
            <w:vMerge w:val="continue"/>
          </w:tcPr>
          <w:p w14:paraId="70300870"/>
        </w:tc>
        <w:tc>
          <w:tcPr>
            <w:tcW w:w="2551" w:type="dxa"/>
            <w:vMerge w:val="continue"/>
          </w:tcPr>
          <w:p w14:paraId="629A135C"/>
        </w:tc>
      </w:tr>
      <w:tr w14:paraId="49B7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5FDD0F">
            <w:pPr>
              <w:pStyle w:val="10"/>
            </w:pPr>
            <w:r>
              <w:t>栏次</w:t>
            </w:r>
          </w:p>
        </w:tc>
        <w:tc>
          <w:tcPr>
            <w:tcW w:w="1191" w:type="dxa"/>
            <w:vAlign w:val="center"/>
          </w:tcPr>
          <w:p w14:paraId="77AE817A">
            <w:pPr>
              <w:pStyle w:val="10"/>
            </w:pPr>
            <w:r>
              <w:t>1</w:t>
            </w:r>
          </w:p>
        </w:tc>
        <w:tc>
          <w:tcPr>
            <w:tcW w:w="4535" w:type="dxa"/>
            <w:vAlign w:val="center"/>
          </w:tcPr>
          <w:p w14:paraId="568F9B1A">
            <w:pPr>
              <w:pStyle w:val="10"/>
            </w:pPr>
            <w:r>
              <w:t>2</w:t>
            </w:r>
          </w:p>
        </w:tc>
        <w:tc>
          <w:tcPr>
            <w:tcW w:w="2551" w:type="dxa"/>
            <w:vAlign w:val="center"/>
          </w:tcPr>
          <w:p w14:paraId="6D8ABB51">
            <w:pPr>
              <w:pStyle w:val="10"/>
            </w:pPr>
            <w:r>
              <w:t>3</w:t>
            </w:r>
          </w:p>
        </w:tc>
        <w:tc>
          <w:tcPr>
            <w:tcW w:w="2551" w:type="dxa"/>
            <w:vAlign w:val="center"/>
          </w:tcPr>
          <w:p w14:paraId="30D9E0B4">
            <w:pPr>
              <w:pStyle w:val="10"/>
            </w:pPr>
            <w:r>
              <w:t>4</w:t>
            </w:r>
          </w:p>
        </w:tc>
        <w:tc>
          <w:tcPr>
            <w:tcW w:w="2551" w:type="dxa"/>
            <w:vAlign w:val="center"/>
          </w:tcPr>
          <w:p w14:paraId="2B61A94F">
            <w:pPr>
              <w:pStyle w:val="10"/>
            </w:pPr>
            <w:r>
              <w:t>5</w:t>
            </w:r>
          </w:p>
        </w:tc>
      </w:tr>
      <w:tr w14:paraId="47EF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4060">
            <w:pPr>
              <w:pStyle w:val="13"/>
            </w:pPr>
          </w:p>
        </w:tc>
        <w:tc>
          <w:tcPr>
            <w:tcW w:w="1191" w:type="dxa"/>
            <w:vAlign w:val="center"/>
          </w:tcPr>
          <w:p w14:paraId="65BB6681">
            <w:pPr>
              <w:pStyle w:val="12"/>
            </w:pPr>
          </w:p>
        </w:tc>
        <w:tc>
          <w:tcPr>
            <w:tcW w:w="4535" w:type="dxa"/>
            <w:vAlign w:val="center"/>
          </w:tcPr>
          <w:p w14:paraId="23F6BBED">
            <w:pPr>
              <w:pStyle w:val="12"/>
            </w:pPr>
          </w:p>
        </w:tc>
        <w:tc>
          <w:tcPr>
            <w:tcW w:w="2551" w:type="dxa"/>
            <w:vAlign w:val="center"/>
          </w:tcPr>
          <w:p w14:paraId="33AF09A1">
            <w:pPr>
              <w:pStyle w:val="11"/>
            </w:pPr>
          </w:p>
        </w:tc>
        <w:tc>
          <w:tcPr>
            <w:tcW w:w="2551" w:type="dxa"/>
            <w:vAlign w:val="center"/>
          </w:tcPr>
          <w:p w14:paraId="615796AB">
            <w:pPr>
              <w:pStyle w:val="11"/>
            </w:pPr>
          </w:p>
        </w:tc>
        <w:tc>
          <w:tcPr>
            <w:tcW w:w="2551" w:type="dxa"/>
            <w:vAlign w:val="center"/>
          </w:tcPr>
          <w:p w14:paraId="6B59DDD2">
            <w:pPr>
              <w:pStyle w:val="11"/>
            </w:pPr>
          </w:p>
        </w:tc>
      </w:tr>
    </w:tbl>
    <w:p w14:paraId="039D20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F3A1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D4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60D1AB">
            <w:pPr>
              <w:pStyle w:val="9"/>
            </w:pPr>
            <w:r>
              <w:t>360029隆尧县实验幼儿园</w:t>
            </w:r>
          </w:p>
        </w:tc>
        <w:tc>
          <w:tcPr>
            <w:tcW w:w="2381" w:type="dxa"/>
            <w:tcBorders>
              <w:top w:val="single" w:color="FFFFFF" w:sz="6" w:space="0"/>
              <w:left w:val="single" w:color="FFFFFF" w:sz="6" w:space="0"/>
              <w:right w:val="single" w:color="FFFFFF" w:sz="6" w:space="0"/>
            </w:tcBorders>
            <w:vAlign w:val="center"/>
          </w:tcPr>
          <w:p w14:paraId="10ECE72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FB7D606">
            <w:pPr>
              <w:pStyle w:val="7"/>
            </w:pPr>
            <w:r>
              <w:t>单位：万元</w:t>
            </w:r>
          </w:p>
        </w:tc>
      </w:tr>
      <w:tr w14:paraId="0FE8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E8689">
            <w:pPr>
              <w:pStyle w:val="10"/>
            </w:pPr>
            <w:r>
              <w:t>序号</w:t>
            </w:r>
          </w:p>
        </w:tc>
        <w:tc>
          <w:tcPr>
            <w:tcW w:w="3798" w:type="dxa"/>
            <w:vMerge w:val="restart"/>
            <w:vAlign w:val="center"/>
          </w:tcPr>
          <w:p w14:paraId="121C4AA6">
            <w:pPr>
              <w:pStyle w:val="10"/>
            </w:pPr>
            <w:r>
              <w:t>项  目</w:t>
            </w:r>
          </w:p>
        </w:tc>
        <w:tc>
          <w:tcPr>
            <w:tcW w:w="9524" w:type="dxa"/>
            <w:gridSpan w:val="4"/>
            <w:vAlign w:val="center"/>
          </w:tcPr>
          <w:p w14:paraId="743FCE83">
            <w:pPr>
              <w:pStyle w:val="10"/>
            </w:pPr>
            <w:r>
              <w:t>资 金 性 质</w:t>
            </w:r>
          </w:p>
        </w:tc>
      </w:tr>
      <w:tr w14:paraId="45F9F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776080"/>
        </w:tc>
        <w:tc>
          <w:tcPr>
            <w:tcW w:w="3798" w:type="dxa"/>
            <w:vMerge w:val="continue"/>
          </w:tcPr>
          <w:p w14:paraId="41C2B465"/>
        </w:tc>
        <w:tc>
          <w:tcPr>
            <w:tcW w:w="2381" w:type="dxa"/>
            <w:vAlign w:val="center"/>
          </w:tcPr>
          <w:p w14:paraId="4FE69012">
            <w:pPr>
              <w:pStyle w:val="10"/>
            </w:pPr>
            <w:r>
              <w:t>合计</w:t>
            </w:r>
          </w:p>
        </w:tc>
        <w:tc>
          <w:tcPr>
            <w:tcW w:w="2381" w:type="dxa"/>
            <w:vAlign w:val="center"/>
          </w:tcPr>
          <w:p w14:paraId="0DB93CAB">
            <w:pPr>
              <w:pStyle w:val="10"/>
            </w:pPr>
            <w:r>
              <w:t>一般公共预算              财政拨款</w:t>
            </w:r>
          </w:p>
        </w:tc>
        <w:tc>
          <w:tcPr>
            <w:tcW w:w="2381" w:type="dxa"/>
            <w:vAlign w:val="center"/>
          </w:tcPr>
          <w:p w14:paraId="71F10982">
            <w:pPr>
              <w:pStyle w:val="10"/>
            </w:pPr>
            <w:r>
              <w:t>政府性基金                  预算拨款</w:t>
            </w:r>
          </w:p>
        </w:tc>
        <w:tc>
          <w:tcPr>
            <w:tcW w:w="2381" w:type="dxa"/>
            <w:vAlign w:val="center"/>
          </w:tcPr>
          <w:p w14:paraId="714FF693">
            <w:pPr>
              <w:pStyle w:val="10"/>
            </w:pPr>
            <w:r>
              <w:t>国有资本经营              预算财政拨款</w:t>
            </w:r>
          </w:p>
        </w:tc>
      </w:tr>
      <w:tr w14:paraId="3977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95DEDF">
            <w:pPr>
              <w:pStyle w:val="10"/>
            </w:pPr>
            <w:r>
              <w:t>栏次</w:t>
            </w:r>
          </w:p>
        </w:tc>
        <w:tc>
          <w:tcPr>
            <w:tcW w:w="3798" w:type="dxa"/>
            <w:vAlign w:val="center"/>
          </w:tcPr>
          <w:p w14:paraId="46B41007">
            <w:pPr>
              <w:pStyle w:val="10"/>
            </w:pPr>
            <w:r>
              <w:t>1</w:t>
            </w:r>
          </w:p>
        </w:tc>
        <w:tc>
          <w:tcPr>
            <w:tcW w:w="2381" w:type="dxa"/>
            <w:vAlign w:val="center"/>
          </w:tcPr>
          <w:p w14:paraId="711FC370">
            <w:pPr>
              <w:pStyle w:val="10"/>
            </w:pPr>
            <w:r>
              <w:t>2</w:t>
            </w:r>
          </w:p>
        </w:tc>
        <w:tc>
          <w:tcPr>
            <w:tcW w:w="2381" w:type="dxa"/>
            <w:vAlign w:val="center"/>
          </w:tcPr>
          <w:p w14:paraId="584F43FB">
            <w:pPr>
              <w:pStyle w:val="10"/>
            </w:pPr>
            <w:r>
              <w:t>3</w:t>
            </w:r>
          </w:p>
        </w:tc>
        <w:tc>
          <w:tcPr>
            <w:tcW w:w="2381" w:type="dxa"/>
            <w:vAlign w:val="center"/>
          </w:tcPr>
          <w:p w14:paraId="1F4FEB5C">
            <w:pPr>
              <w:pStyle w:val="10"/>
            </w:pPr>
            <w:r>
              <w:t>4</w:t>
            </w:r>
          </w:p>
        </w:tc>
        <w:tc>
          <w:tcPr>
            <w:tcW w:w="2381" w:type="dxa"/>
            <w:vAlign w:val="center"/>
          </w:tcPr>
          <w:p w14:paraId="60C8CBF6">
            <w:pPr>
              <w:pStyle w:val="10"/>
            </w:pPr>
            <w:r>
              <w:t>5</w:t>
            </w:r>
          </w:p>
        </w:tc>
      </w:tr>
      <w:tr w14:paraId="7BBE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B31EF1">
            <w:pPr>
              <w:pStyle w:val="13"/>
            </w:pPr>
          </w:p>
        </w:tc>
        <w:tc>
          <w:tcPr>
            <w:tcW w:w="3798" w:type="dxa"/>
            <w:vAlign w:val="center"/>
          </w:tcPr>
          <w:p w14:paraId="3FD730E8">
            <w:pPr>
              <w:pStyle w:val="12"/>
            </w:pPr>
          </w:p>
        </w:tc>
        <w:tc>
          <w:tcPr>
            <w:tcW w:w="2381" w:type="dxa"/>
            <w:vAlign w:val="center"/>
          </w:tcPr>
          <w:p w14:paraId="4649468F">
            <w:pPr>
              <w:pStyle w:val="11"/>
            </w:pPr>
          </w:p>
        </w:tc>
        <w:tc>
          <w:tcPr>
            <w:tcW w:w="2381" w:type="dxa"/>
            <w:vAlign w:val="center"/>
          </w:tcPr>
          <w:p w14:paraId="11D2E3F6">
            <w:pPr>
              <w:pStyle w:val="11"/>
            </w:pPr>
          </w:p>
        </w:tc>
        <w:tc>
          <w:tcPr>
            <w:tcW w:w="2381" w:type="dxa"/>
            <w:vAlign w:val="center"/>
          </w:tcPr>
          <w:p w14:paraId="3B64A414">
            <w:pPr>
              <w:pStyle w:val="11"/>
            </w:pPr>
          </w:p>
        </w:tc>
        <w:tc>
          <w:tcPr>
            <w:tcW w:w="2381" w:type="dxa"/>
            <w:vAlign w:val="center"/>
          </w:tcPr>
          <w:p w14:paraId="082D491E">
            <w:pPr>
              <w:pStyle w:val="11"/>
            </w:pPr>
          </w:p>
        </w:tc>
      </w:tr>
    </w:tbl>
    <w:p w14:paraId="430BED5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87C314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隆尧县实验幼儿园2026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562EC5B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地方预决算公开操作规程》和《关于进一步推进预算公开工作的实施意见》规定，现将隆尧县实验幼儿园2026年单位预算公开如下：</w:t>
      </w:r>
    </w:p>
    <w:p w14:paraId="0F49025E">
      <w:pPr>
        <w:spacing w:before="10" w:after="10" w:line="240" w:lineRule="auto"/>
        <w:ind w:firstLine="640"/>
        <w:jc w:val="left"/>
        <w:outlineLvl w:val="5"/>
      </w:pPr>
      <w:r>
        <w:rPr>
          <w:rFonts w:ascii="黑体" w:hAnsi="黑体" w:eastAsia="黑体" w:cs="黑体"/>
          <w:color w:val="000000"/>
          <w:sz w:val="32"/>
        </w:rPr>
        <w:t>一、单位职责及机构设置情况</w:t>
      </w:r>
    </w:p>
    <w:p w14:paraId="6FB26C5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32C4A78">
      <w:pPr>
        <w:pStyle w:val="17"/>
      </w:pPr>
      <w:r>
        <w:rPr>
          <w:rFonts w:hint="eastAsia"/>
        </w:rPr>
        <w:t>实行保育与教育相结合的原则，对幼儿实施体、智、德、美诸方面全面发展的教育，促进其身心和谐发展。隆尧县实验幼儿园事业编制14人，其中园长1人（正股级）；经费形式为财政性资金基本保证。</w:t>
      </w:r>
    </w:p>
    <w:p w14:paraId="0BB6DB4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BB6D1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45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CDA6C9">
            <w:pPr>
              <w:pStyle w:val="10"/>
            </w:pPr>
            <w:r>
              <w:t>单位名称</w:t>
            </w:r>
          </w:p>
        </w:tc>
        <w:tc>
          <w:tcPr>
            <w:tcW w:w="1843" w:type="dxa"/>
            <w:vAlign w:val="center"/>
          </w:tcPr>
          <w:p w14:paraId="4FC8AC51">
            <w:pPr>
              <w:pStyle w:val="10"/>
            </w:pPr>
            <w:r>
              <w:t>单位性质</w:t>
            </w:r>
          </w:p>
        </w:tc>
        <w:tc>
          <w:tcPr>
            <w:tcW w:w="2126" w:type="dxa"/>
            <w:vAlign w:val="center"/>
          </w:tcPr>
          <w:p w14:paraId="24F17EA6">
            <w:pPr>
              <w:pStyle w:val="10"/>
            </w:pPr>
            <w:r>
              <w:t>单位规格</w:t>
            </w:r>
          </w:p>
        </w:tc>
        <w:tc>
          <w:tcPr>
            <w:tcW w:w="3827" w:type="dxa"/>
            <w:vAlign w:val="center"/>
          </w:tcPr>
          <w:p w14:paraId="0655958C">
            <w:pPr>
              <w:pStyle w:val="10"/>
            </w:pPr>
            <w:r>
              <w:t>经费保障形式</w:t>
            </w:r>
          </w:p>
        </w:tc>
      </w:tr>
      <w:tr w14:paraId="03DB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DE1999">
            <w:pPr>
              <w:pStyle w:val="12"/>
            </w:pPr>
            <w:r>
              <w:t>隆尧县实验幼儿园</w:t>
            </w:r>
          </w:p>
        </w:tc>
        <w:tc>
          <w:tcPr>
            <w:tcW w:w="1843" w:type="dxa"/>
            <w:vAlign w:val="center"/>
          </w:tcPr>
          <w:p w14:paraId="61874F73">
            <w:pPr>
              <w:pStyle w:val="13"/>
            </w:pPr>
            <w:r>
              <w:t>事业</w:t>
            </w:r>
          </w:p>
        </w:tc>
        <w:tc>
          <w:tcPr>
            <w:tcW w:w="2126" w:type="dxa"/>
            <w:vAlign w:val="center"/>
          </w:tcPr>
          <w:p w14:paraId="58AC76E6">
            <w:pPr>
              <w:pStyle w:val="13"/>
            </w:pPr>
            <w:r>
              <w:t>股级</w:t>
            </w:r>
          </w:p>
        </w:tc>
        <w:tc>
          <w:tcPr>
            <w:tcW w:w="3827" w:type="dxa"/>
            <w:vAlign w:val="center"/>
          </w:tcPr>
          <w:p w14:paraId="6FB32328">
            <w:pPr>
              <w:pStyle w:val="13"/>
            </w:pPr>
            <w:r>
              <w:t>财政性资金基本保证</w:t>
            </w:r>
          </w:p>
        </w:tc>
      </w:tr>
    </w:tbl>
    <w:p w14:paraId="7EDE1512">
      <w:pPr>
        <w:spacing w:before="10" w:after="10" w:line="240" w:lineRule="auto"/>
        <w:ind w:firstLine="640"/>
        <w:jc w:val="left"/>
        <w:outlineLvl w:val="5"/>
      </w:pPr>
      <w:r>
        <w:rPr>
          <w:rFonts w:ascii="黑体" w:hAnsi="黑体" w:eastAsia="黑体" w:cs="黑体"/>
          <w:color w:val="000000"/>
          <w:sz w:val="32"/>
        </w:rPr>
        <w:t>二、单位预算安排的总体情况</w:t>
      </w:r>
    </w:p>
    <w:p w14:paraId="5A2A5576">
      <w:pPr>
        <w:pStyle w:val="18"/>
      </w:pPr>
      <w:r>
        <w:t>按照预算管理有关规定，目前我校单位预算的编制实行综合预算管理，即全部收入和支出都反映的预算中。隆尧县实验幼儿园的收支包含在单位预算中。</w:t>
      </w:r>
    </w:p>
    <w:p w14:paraId="4BAA0E7B">
      <w:pPr>
        <w:pStyle w:val="18"/>
      </w:pPr>
      <w:r>
        <w:t>1、收入说明</w:t>
      </w:r>
    </w:p>
    <w:p w14:paraId="6821D281">
      <w:pPr>
        <w:pStyle w:val="18"/>
      </w:pPr>
      <w:r>
        <w:t>反映本单位当年全部收入。2026年预算收入231.88万元，其中：一般公共预算收入231.88万元，基金预算收入0元，财政专户管理资金收入0元，其他来源收入0元。</w:t>
      </w:r>
    </w:p>
    <w:p w14:paraId="5685301D">
      <w:pPr>
        <w:pStyle w:val="18"/>
      </w:pPr>
      <w:r>
        <w:t>2、支出说明</w:t>
      </w:r>
    </w:p>
    <w:p w14:paraId="6FAC81EF">
      <w:pPr>
        <w:pStyle w:val="18"/>
      </w:pPr>
      <w:r>
        <w:t>收支预算总表支出栏、基本支出表、项目支出表按经济分类和支出功能分类科目编制，反映隆尧县实验幼儿园年度单位预算中支出预算的总体情况。2026年单位支出预算为231.88万元，其中基本支出231.88万元、项目支出0万元。</w:t>
      </w:r>
    </w:p>
    <w:p w14:paraId="2CCFCAD1">
      <w:pPr>
        <w:pStyle w:val="18"/>
      </w:pPr>
      <w:r>
        <w:t>3、比上年增减情况</w:t>
      </w:r>
    </w:p>
    <w:p w14:paraId="507F9F58">
      <w:pPr>
        <w:pStyle w:val="18"/>
      </w:pPr>
      <w:r>
        <w:t>2026年预算收支安排231.88万元，较2025年预算减少10.32万元，其中基本支出减少10.32万元。</w:t>
      </w:r>
    </w:p>
    <w:p w14:paraId="772BB0C4">
      <w:pPr>
        <w:spacing w:before="10" w:after="10" w:line="240" w:lineRule="auto"/>
        <w:ind w:firstLine="640"/>
        <w:jc w:val="left"/>
        <w:outlineLvl w:val="5"/>
      </w:pPr>
      <w:r>
        <w:rPr>
          <w:rFonts w:ascii="黑体" w:hAnsi="黑体" w:eastAsia="黑体" w:cs="黑体"/>
          <w:color w:val="000000"/>
          <w:sz w:val="32"/>
        </w:rPr>
        <w:t>三、机关运行经费安排情况</w:t>
      </w:r>
    </w:p>
    <w:p w14:paraId="0BCEFD03">
      <w:pPr>
        <w:pStyle w:val="19"/>
      </w:pPr>
      <w:r>
        <w:t>我单位按学生安排公用经费，无机关运行经费。</w:t>
      </w:r>
    </w:p>
    <w:p w14:paraId="47D687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305F66">
      <w:pPr>
        <w:pStyle w:val="20"/>
      </w:pPr>
      <w:r>
        <w:t>我单位未安排</w:t>
      </w:r>
      <w:r>
        <w:rPr>
          <w:rFonts w:hint="eastAsia"/>
          <w:lang w:eastAsia="zh-CN"/>
        </w:rPr>
        <w:t>“三公”经费</w:t>
      </w:r>
      <w:r>
        <w:t>。</w:t>
      </w:r>
    </w:p>
    <w:p w14:paraId="209A1C5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37E4F63">
      <w:pPr>
        <w:spacing w:before="0" w:after="0"/>
        <w:ind w:firstLine="560"/>
        <w:jc w:val="left"/>
        <w:outlineLvl w:val="9"/>
      </w:pPr>
      <w:r>
        <w:rPr>
          <w:rFonts w:ascii="方正仿宋_GBK" w:hAnsi="方正仿宋_GBK" w:eastAsia="方正仿宋_GBK" w:cs="方正仿宋_GBK"/>
          <w:b/>
          <w:color w:val="000000"/>
          <w:sz w:val="28"/>
        </w:rPr>
        <w:t>1、冀财教[2025]122号/中央/2026年学前发展资金/实验幼儿园免保育教育费补助绩效目标表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49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CE430">
            <w:pPr>
              <w:pStyle w:val="11"/>
            </w:pPr>
            <w:r>
              <w:t>单位：万元</w:t>
            </w:r>
          </w:p>
        </w:tc>
      </w:tr>
      <w:tr w14:paraId="1FE8B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9CE6C">
            <w:pPr>
              <w:pStyle w:val="10"/>
            </w:pPr>
            <w:r>
              <w:t>项目编码</w:t>
            </w:r>
          </w:p>
        </w:tc>
        <w:tc>
          <w:tcPr>
            <w:tcW w:w="5103" w:type="dxa"/>
            <w:gridSpan w:val="2"/>
            <w:vAlign w:val="center"/>
          </w:tcPr>
          <w:p w14:paraId="57A62A90">
            <w:pPr>
              <w:pStyle w:val="12"/>
            </w:pPr>
            <w:r>
              <w:t>13052526P00876910146F</w:t>
            </w:r>
          </w:p>
        </w:tc>
        <w:tc>
          <w:tcPr>
            <w:tcW w:w="2835" w:type="dxa"/>
            <w:vAlign w:val="center"/>
          </w:tcPr>
          <w:p w14:paraId="165DBBBD">
            <w:pPr>
              <w:pStyle w:val="10"/>
            </w:pPr>
            <w:r>
              <w:t>项目名称</w:t>
            </w:r>
          </w:p>
        </w:tc>
        <w:tc>
          <w:tcPr>
            <w:tcW w:w="6095" w:type="dxa"/>
            <w:gridSpan w:val="3"/>
            <w:vAlign w:val="center"/>
          </w:tcPr>
          <w:p w14:paraId="470344C8">
            <w:pPr>
              <w:pStyle w:val="12"/>
            </w:pPr>
            <w:r>
              <w:t>冀财教[2025]122号/中央/2026年学前发展资金/实验幼儿园免保育教育费补助</w:t>
            </w:r>
          </w:p>
        </w:tc>
      </w:tr>
      <w:tr w14:paraId="30DB3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7D7B2">
            <w:pPr>
              <w:pStyle w:val="10"/>
            </w:pPr>
            <w:r>
              <w:t>预算规模及资金用途</w:t>
            </w:r>
          </w:p>
        </w:tc>
        <w:tc>
          <w:tcPr>
            <w:tcW w:w="2268" w:type="dxa"/>
            <w:vAlign w:val="center"/>
          </w:tcPr>
          <w:p w14:paraId="4855F62C">
            <w:pPr>
              <w:pStyle w:val="10"/>
            </w:pPr>
            <w:r>
              <w:t>预算数</w:t>
            </w:r>
          </w:p>
        </w:tc>
        <w:tc>
          <w:tcPr>
            <w:tcW w:w="2835" w:type="dxa"/>
            <w:vAlign w:val="center"/>
          </w:tcPr>
          <w:p w14:paraId="00D4F3FC">
            <w:pPr>
              <w:pStyle w:val="12"/>
            </w:pPr>
            <w:r>
              <w:t>2.13</w:t>
            </w:r>
          </w:p>
        </w:tc>
        <w:tc>
          <w:tcPr>
            <w:tcW w:w="2835" w:type="dxa"/>
            <w:vAlign w:val="center"/>
          </w:tcPr>
          <w:p w14:paraId="6F4B4CC8">
            <w:pPr>
              <w:pStyle w:val="10"/>
            </w:pPr>
            <w:r>
              <w:t>其中：财政    资金</w:t>
            </w:r>
          </w:p>
        </w:tc>
        <w:tc>
          <w:tcPr>
            <w:tcW w:w="2551" w:type="dxa"/>
            <w:vAlign w:val="center"/>
          </w:tcPr>
          <w:p w14:paraId="525988B9">
            <w:pPr>
              <w:pStyle w:val="12"/>
            </w:pPr>
            <w:r>
              <w:t>2.13</w:t>
            </w:r>
          </w:p>
        </w:tc>
        <w:tc>
          <w:tcPr>
            <w:tcW w:w="2268" w:type="dxa"/>
            <w:vAlign w:val="center"/>
          </w:tcPr>
          <w:p w14:paraId="23E3CFA6">
            <w:pPr>
              <w:pStyle w:val="10"/>
            </w:pPr>
            <w:r>
              <w:t>其他资金</w:t>
            </w:r>
          </w:p>
        </w:tc>
        <w:tc>
          <w:tcPr>
            <w:tcW w:w="1276" w:type="dxa"/>
            <w:vAlign w:val="center"/>
          </w:tcPr>
          <w:p w14:paraId="426DA424">
            <w:pPr>
              <w:pStyle w:val="12"/>
            </w:pPr>
            <w:r>
              <w:t xml:space="preserve"> </w:t>
            </w:r>
          </w:p>
        </w:tc>
      </w:tr>
      <w:tr w14:paraId="53B24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14562"/>
        </w:tc>
        <w:tc>
          <w:tcPr>
            <w:tcW w:w="14033" w:type="dxa"/>
            <w:gridSpan w:val="6"/>
            <w:vAlign w:val="center"/>
          </w:tcPr>
          <w:p w14:paraId="2DAE60C1">
            <w:pPr>
              <w:pStyle w:val="12"/>
            </w:pPr>
            <w:r>
              <w:t>保障幼儿园正常运转，完成教育教学活动和其他日常工作任务等方面的费用支出。</w:t>
            </w:r>
            <w:r>
              <w:tab/>
            </w:r>
          </w:p>
        </w:tc>
      </w:tr>
      <w:tr w14:paraId="0667F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67DFB">
            <w:pPr>
              <w:pStyle w:val="10"/>
            </w:pPr>
            <w:r>
              <w:t>资金支出计划（%）</w:t>
            </w:r>
          </w:p>
        </w:tc>
        <w:tc>
          <w:tcPr>
            <w:tcW w:w="5103" w:type="dxa"/>
            <w:gridSpan w:val="2"/>
            <w:vAlign w:val="center"/>
          </w:tcPr>
          <w:p w14:paraId="0DEEB3E2">
            <w:pPr>
              <w:pStyle w:val="10"/>
            </w:pPr>
            <w:r>
              <w:t>3月底</w:t>
            </w:r>
          </w:p>
        </w:tc>
        <w:tc>
          <w:tcPr>
            <w:tcW w:w="2835" w:type="dxa"/>
            <w:vAlign w:val="center"/>
          </w:tcPr>
          <w:p w14:paraId="0F04229D">
            <w:pPr>
              <w:pStyle w:val="10"/>
            </w:pPr>
            <w:r>
              <w:t>6月底</w:t>
            </w:r>
          </w:p>
        </w:tc>
        <w:tc>
          <w:tcPr>
            <w:tcW w:w="2551" w:type="dxa"/>
            <w:vAlign w:val="center"/>
          </w:tcPr>
          <w:p w14:paraId="21FDCA4E">
            <w:pPr>
              <w:pStyle w:val="10"/>
            </w:pPr>
            <w:r>
              <w:t>10月底</w:t>
            </w:r>
          </w:p>
        </w:tc>
        <w:tc>
          <w:tcPr>
            <w:tcW w:w="3544" w:type="dxa"/>
            <w:gridSpan w:val="2"/>
            <w:vAlign w:val="center"/>
          </w:tcPr>
          <w:p w14:paraId="588B5880">
            <w:pPr>
              <w:pStyle w:val="10"/>
            </w:pPr>
            <w:r>
              <w:t>12月底</w:t>
            </w:r>
          </w:p>
        </w:tc>
      </w:tr>
      <w:tr w14:paraId="17B4A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4D3F7"/>
        </w:tc>
        <w:tc>
          <w:tcPr>
            <w:tcW w:w="5103" w:type="dxa"/>
            <w:gridSpan w:val="2"/>
            <w:vAlign w:val="center"/>
          </w:tcPr>
          <w:p w14:paraId="55612AC6">
            <w:pPr>
              <w:pStyle w:val="13"/>
            </w:pPr>
            <w:r>
              <w:t>25%</w:t>
            </w:r>
          </w:p>
        </w:tc>
        <w:tc>
          <w:tcPr>
            <w:tcW w:w="2835" w:type="dxa"/>
            <w:vAlign w:val="center"/>
          </w:tcPr>
          <w:p w14:paraId="44E636CF">
            <w:pPr>
              <w:pStyle w:val="13"/>
            </w:pPr>
            <w:r>
              <w:t>50%</w:t>
            </w:r>
          </w:p>
        </w:tc>
        <w:tc>
          <w:tcPr>
            <w:tcW w:w="2551" w:type="dxa"/>
            <w:vAlign w:val="center"/>
          </w:tcPr>
          <w:p w14:paraId="397AE701">
            <w:pPr>
              <w:pStyle w:val="13"/>
            </w:pPr>
            <w:r>
              <w:t>75%</w:t>
            </w:r>
          </w:p>
        </w:tc>
        <w:tc>
          <w:tcPr>
            <w:tcW w:w="3544" w:type="dxa"/>
            <w:gridSpan w:val="2"/>
            <w:vAlign w:val="center"/>
          </w:tcPr>
          <w:p w14:paraId="3F52E8A8">
            <w:pPr>
              <w:pStyle w:val="13"/>
            </w:pPr>
            <w:r>
              <w:t>100%</w:t>
            </w:r>
          </w:p>
        </w:tc>
      </w:tr>
      <w:tr w14:paraId="4203B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43DD4">
            <w:pPr>
              <w:pStyle w:val="10"/>
            </w:pPr>
            <w:r>
              <w:t>绩效目标</w:t>
            </w:r>
          </w:p>
        </w:tc>
        <w:tc>
          <w:tcPr>
            <w:tcW w:w="14033" w:type="dxa"/>
            <w:gridSpan w:val="6"/>
            <w:vAlign w:val="center"/>
          </w:tcPr>
          <w:p w14:paraId="53531C43">
            <w:pPr>
              <w:pStyle w:val="12"/>
            </w:pPr>
            <w:r>
              <w:t>1.保障幼儿园正常运转，完成教育教学活动和其他日常工作任务等方面的费用支出。</w:t>
            </w:r>
          </w:p>
        </w:tc>
      </w:tr>
    </w:tbl>
    <w:p w14:paraId="3BF7A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6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1E157">
            <w:pPr>
              <w:pStyle w:val="10"/>
            </w:pPr>
            <w:r>
              <w:t>一级指标</w:t>
            </w:r>
          </w:p>
        </w:tc>
        <w:tc>
          <w:tcPr>
            <w:tcW w:w="2268" w:type="dxa"/>
            <w:vAlign w:val="center"/>
          </w:tcPr>
          <w:p w14:paraId="0F579827">
            <w:pPr>
              <w:pStyle w:val="10"/>
            </w:pPr>
            <w:r>
              <w:t>二级指标</w:t>
            </w:r>
          </w:p>
        </w:tc>
        <w:tc>
          <w:tcPr>
            <w:tcW w:w="2835" w:type="dxa"/>
            <w:vAlign w:val="center"/>
          </w:tcPr>
          <w:p w14:paraId="00693A99">
            <w:pPr>
              <w:pStyle w:val="10"/>
            </w:pPr>
            <w:r>
              <w:t>三级指标</w:t>
            </w:r>
          </w:p>
        </w:tc>
        <w:tc>
          <w:tcPr>
            <w:tcW w:w="5386" w:type="dxa"/>
            <w:vAlign w:val="center"/>
          </w:tcPr>
          <w:p w14:paraId="6364C678">
            <w:pPr>
              <w:pStyle w:val="10"/>
            </w:pPr>
            <w:r>
              <w:t>绩效指标描述</w:t>
            </w:r>
          </w:p>
        </w:tc>
        <w:tc>
          <w:tcPr>
            <w:tcW w:w="2268" w:type="dxa"/>
            <w:vAlign w:val="center"/>
          </w:tcPr>
          <w:p w14:paraId="261BA208">
            <w:pPr>
              <w:pStyle w:val="10"/>
            </w:pPr>
            <w:r>
              <w:t>指标值</w:t>
            </w:r>
          </w:p>
        </w:tc>
        <w:tc>
          <w:tcPr>
            <w:tcW w:w="1276" w:type="dxa"/>
            <w:vAlign w:val="center"/>
          </w:tcPr>
          <w:p w14:paraId="2A19F92B">
            <w:pPr>
              <w:pStyle w:val="10"/>
            </w:pPr>
            <w:r>
              <w:t>指标值确定依据</w:t>
            </w:r>
          </w:p>
        </w:tc>
      </w:tr>
      <w:tr w14:paraId="2B9C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FD779">
            <w:pPr>
              <w:pStyle w:val="13"/>
            </w:pPr>
            <w:r>
              <w:t>产出指标</w:t>
            </w:r>
          </w:p>
        </w:tc>
        <w:tc>
          <w:tcPr>
            <w:tcW w:w="2268" w:type="dxa"/>
            <w:vAlign w:val="center"/>
          </w:tcPr>
          <w:p w14:paraId="469D0A00">
            <w:pPr>
              <w:pStyle w:val="12"/>
            </w:pPr>
            <w:r>
              <w:t>数量指标</w:t>
            </w:r>
          </w:p>
        </w:tc>
        <w:tc>
          <w:tcPr>
            <w:tcW w:w="2835" w:type="dxa"/>
            <w:vAlign w:val="center"/>
          </w:tcPr>
          <w:p w14:paraId="30BD6A61">
            <w:pPr>
              <w:pStyle w:val="12"/>
            </w:pPr>
            <w:r>
              <w:t>适龄在园生</w:t>
            </w:r>
          </w:p>
        </w:tc>
        <w:tc>
          <w:tcPr>
            <w:tcW w:w="5386" w:type="dxa"/>
            <w:vAlign w:val="center"/>
          </w:tcPr>
          <w:p w14:paraId="7E60A2C3">
            <w:pPr>
              <w:pStyle w:val="12"/>
            </w:pPr>
            <w:r>
              <w:t>适龄在园大班学生人数</w:t>
            </w:r>
          </w:p>
        </w:tc>
        <w:tc>
          <w:tcPr>
            <w:tcW w:w="2268" w:type="dxa"/>
            <w:vAlign w:val="center"/>
          </w:tcPr>
          <w:p w14:paraId="091B2328">
            <w:pPr>
              <w:pStyle w:val="12"/>
            </w:pPr>
            <w:r>
              <w:t>95人</w:t>
            </w:r>
          </w:p>
        </w:tc>
        <w:tc>
          <w:tcPr>
            <w:tcW w:w="1276" w:type="dxa"/>
            <w:vAlign w:val="center"/>
          </w:tcPr>
          <w:p w14:paraId="47AC88D5">
            <w:pPr>
              <w:pStyle w:val="12"/>
            </w:pPr>
            <w:r>
              <w:t>免保育教育费生均财政补助标准</w:t>
            </w:r>
          </w:p>
        </w:tc>
      </w:tr>
      <w:tr w14:paraId="342C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A6EFD"/>
        </w:tc>
        <w:tc>
          <w:tcPr>
            <w:tcW w:w="2268" w:type="dxa"/>
            <w:vAlign w:val="center"/>
          </w:tcPr>
          <w:p w14:paraId="415AB0ED">
            <w:pPr>
              <w:pStyle w:val="12"/>
            </w:pPr>
            <w:r>
              <w:t>质量指标</w:t>
            </w:r>
          </w:p>
        </w:tc>
        <w:tc>
          <w:tcPr>
            <w:tcW w:w="2835" w:type="dxa"/>
            <w:vAlign w:val="center"/>
          </w:tcPr>
          <w:p w14:paraId="45E541FC">
            <w:pPr>
              <w:pStyle w:val="12"/>
            </w:pPr>
            <w:r>
              <w:t>预算控制率</w:t>
            </w:r>
          </w:p>
        </w:tc>
        <w:tc>
          <w:tcPr>
            <w:tcW w:w="5386" w:type="dxa"/>
            <w:vAlign w:val="center"/>
          </w:tcPr>
          <w:p w14:paraId="6032F2C1">
            <w:pPr>
              <w:pStyle w:val="12"/>
            </w:pPr>
            <w:r>
              <w:t>预算执行</w:t>
            </w:r>
          </w:p>
        </w:tc>
        <w:tc>
          <w:tcPr>
            <w:tcW w:w="2268" w:type="dxa"/>
            <w:vAlign w:val="center"/>
          </w:tcPr>
          <w:p w14:paraId="6A7DF45A">
            <w:pPr>
              <w:pStyle w:val="12"/>
            </w:pPr>
            <w:r>
              <w:t>≥95%</w:t>
            </w:r>
          </w:p>
        </w:tc>
        <w:tc>
          <w:tcPr>
            <w:tcW w:w="1276" w:type="dxa"/>
            <w:vAlign w:val="center"/>
          </w:tcPr>
          <w:p w14:paraId="4507A092">
            <w:pPr>
              <w:pStyle w:val="12"/>
            </w:pPr>
            <w:r>
              <w:t>免保育教育费生均财政补助标准</w:t>
            </w:r>
          </w:p>
        </w:tc>
      </w:tr>
      <w:tr w14:paraId="74EC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DAF45"/>
        </w:tc>
        <w:tc>
          <w:tcPr>
            <w:tcW w:w="2268" w:type="dxa"/>
            <w:vAlign w:val="center"/>
          </w:tcPr>
          <w:p w14:paraId="333684BB">
            <w:pPr>
              <w:pStyle w:val="12"/>
            </w:pPr>
            <w:r>
              <w:t>时效指标</w:t>
            </w:r>
          </w:p>
        </w:tc>
        <w:tc>
          <w:tcPr>
            <w:tcW w:w="2835" w:type="dxa"/>
            <w:vAlign w:val="center"/>
          </w:tcPr>
          <w:p w14:paraId="42E27FBC">
            <w:pPr>
              <w:pStyle w:val="12"/>
            </w:pPr>
            <w:r>
              <w:t>资金支付率</w:t>
            </w:r>
          </w:p>
        </w:tc>
        <w:tc>
          <w:tcPr>
            <w:tcW w:w="5386" w:type="dxa"/>
            <w:vAlign w:val="center"/>
          </w:tcPr>
          <w:p w14:paraId="5EAEA5C8">
            <w:pPr>
              <w:pStyle w:val="12"/>
            </w:pPr>
            <w:r>
              <w:t>按照序时进度完成资金支付</w:t>
            </w:r>
          </w:p>
        </w:tc>
        <w:tc>
          <w:tcPr>
            <w:tcW w:w="2268" w:type="dxa"/>
            <w:vAlign w:val="center"/>
          </w:tcPr>
          <w:p w14:paraId="04DEA376">
            <w:pPr>
              <w:pStyle w:val="12"/>
            </w:pPr>
            <w:r>
              <w:t>100%</w:t>
            </w:r>
          </w:p>
        </w:tc>
        <w:tc>
          <w:tcPr>
            <w:tcW w:w="1276" w:type="dxa"/>
            <w:vAlign w:val="center"/>
          </w:tcPr>
          <w:p w14:paraId="2F85329D">
            <w:pPr>
              <w:pStyle w:val="12"/>
            </w:pPr>
            <w:r>
              <w:t>免保育教育费生均财政补助标准</w:t>
            </w:r>
          </w:p>
        </w:tc>
      </w:tr>
      <w:tr w14:paraId="03C5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E823F"/>
        </w:tc>
        <w:tc>
          <w:tcPr>
            <w:tcW w:w="2268" w:type="dxa"/>
            <w:vAlign w:val="center"/>
          </w:tcPr>
          <w:p w14:paraId="47016D2A">
            <w:pPr>
              <w:pStyle w:val="12"/>
            </w:pPr>
            <w:r>
              <w:t>成本指标</w:t>
            </w:r>
          </w:p>
        </w:tc>
        <w:tc>
          <w:tcPr>
            <w:tcW w:w="2835" w:type="dxa"/>
            <w:vAlign w:val="center"/>
          </w:tcPr>
          <w:p w14:paraId="7470CEF7">
            <w:pPr>
              <w:pStyle w:val="12"/>
            </w:pPr>
            <w:r>
              <w:t xml:space="preserve"> 免保育教育费补助</w:t>
            </w:r>
          </w:p>
        </w:tc>
        <w:tc>
          <w:tcPr>
            <w:tcW w:w="5386" w:type="dxa"/>
            <w:vAlign w:val="center"/>
          </w:tcPr>
          <w:p w14:paraId="24CA0C67">
            <w:pPr>
              <w:pStyle w:val="12"/>
            </w:pPr>
            <w:r>
              <w:t>免保育教育费补助</w:t>
            </w:r>
          </w:p>
        </w:tc>
        <w:tc>
          <w:tcPr>
            <w:tcW w:w="2268" w:type="dxa"/>
            <w:vAlign w:val="center"/>
          </w:tcPr>
          <w:p w14:paraId="2CF069C6">
            <w:pPr>
              <w:pStyle w:val="12"/>
            </w:pPr>
            <w:r>
              <w:t>21262元</w:t>
            </w:r>
          </w:p>
        </w:tc>
        <w:tc>
          <w:tcPr>
            <w:tcW w:w="1276" w:type="dxa"/>
            <w:vAlign w:val="center"/>
          </w:tcPr>
          <w:p w14:paraId="4FACC299">
            <w:pPr>
              <w:pStyle w:val="12"/>
            </w:pPr>
            <w:r>
              <w:t>免保育教育费生均财政补助标准</w:t>
            </w:r>
          </w:p>
        </w:tc>
      </w:tr>
      <w:tr w14:paraId="6F14D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4250D">
            <w:pPr>
              <w:pStyle w:val="13"/>
            </w:pPr>
            <w:r>
              <w:t>效益指标</w:t>
            </w:r>
          </w:p>
        </w:tc>
        <w:tc>
          <w:tcPr>
            <w:tcW w:w="2268" w:type="dxa"/>
            <w:vAlign w:val="center"/>
          </w:tcPr>
          <w:p w14:paraId="0BC447F0">
            <w:pPr>
              <w:pStyle w:val="12"/>
            </w:pPr>
            <w:r>
              <w:t>可持续影响指标</w:t>
            </w:r>
          </w:p>
        </w:tc>
        <w:tc>
          <w:tcPr>
            <w:tcW w:w="2835" w:type="dxa"/>
            <w:vAlign w:val="center"/>
          </w:tcPr>
          <w:p w14:paraId="16E2B2EC">
            <w:pPr>
              <w:pStyle w:val="12"/>
            </w:pPr>
            <w:r>
              <w:t>学校运转得到提升</w:t>
            </w:r>
          </w:p>
        </w:tc>
        <w:tc>
          <w:tcPr>
            <w:tcW w:w="5386" w:type="dxa"/>
            <w:vAlign w:val="center"/>
          </w:tcPr>
          <w:p w14:paraId="047E2587">
            <w:pPr>
              <w:pStyle w:val="12"/>
            </w:pPr>
            <w:r>
              <w:t>幼儿受教育年限</w:t>
            </w:r>
          </w:p>
        </w:tc>
        <w:tc>
          <w:tcPr>
            <w:tcW w:w="2268" w:type="dxa"/>
            <w:vAlign w:val="center"/>
          </w:tcPr>
          <w:p w14:paraId="69E441ED">
            <w:pPr>
              <w:pStyle w:val="12"/>
            </w:pPr>
            <w:r>
              <w:t>3年</w:t>
            </w:r>
          </w:p>
        </w:tc>
        <w:tc>
          <w:tcPr>
            <w:tcW w:w="1276" w:type="dxa"/>
            <w:vAlign w:val="center"/>
          </w:tcPr>
          <w:p w14:paraId="51520A8B">
            <w:pPr>
              <w:pStyle w:val="12"/>
            </w:pPr>
            <w:r>
              <w:t>免保育教育费生均财政补助标准</w:t>
            </w:r>
          </w:p>
        </w:tc>
      </w:tr>
      <w:tr w14:paraId="355F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31BFD">
            <w:pPr>
              <w:pStyle w:val="13"/>
            </w:pPr>
            <w:r>
              <w:t>满意度指标</w:t>
            </w:r>
          </w:p>
        </w:tc>
        <w:tc>
          <w:tcPr>
            <w:tcW w:w="2268" w:type="dxa"/>
            <w:vAlign w:val="center"/>
          </w:tcPr>
          <w:p w14:paraId="1F5E9D40">
            <w:pPr>
              <w:pStyle w:val="12"/>
            </w:pPr>
            <w:r>
              <w:t>服务对象满意度指标</w:t>
            </w:r>
          </w:p>
        </w:tc>
        <w:tc>
          <w:tcPr>
            <w:tcW w:w="2835" w:type="dxa"/>
            <w:vAlign w:val="center"/>
          </w:tcPr>
          <w:p w14:paraId="3D1F57B2">
            <w:pPr>
              <w:pStyle w:val="12"/>
            </w:pPr>
            <w:r>
              <w:t>受益学生家长及调查满意度</w:t>
            </w:r>
          </w:p>
        </w:tc>
        <w:tc>
          <w:tcPr>
            <w:tcW w:w="5386" w:type="dxa"/>
            <w:vAlign w:val="center"/>
          </w:tcPr>
          <w:p w14:paraId="74046C2E">
            <w:pPr>
              <w:pStyle w:val="12"/>
            </w:pPr>
            <w:r>
              <w:t>学生、教师及家长对学校保教保育工作满意度情况</w:t>
            </w:r>
          </w:p>
        </w:tc>
        <w:tc>
          <w:tcPr>
            <w:tcW w:w="2268" w:type="dxa"/>
            <w:vAlign w:val="center"/>
          </w:tcPr>
          <w:p w14:paraId="7A154BFC">
            <w:pPr>
              <w:pStyle w:val="12"/>
            </w:pPr>
            <w:r>
              <w:t>≥95%</w:t>
            </w:r>
          </w:p>
        </w:tc>
        <w:tc>
          <w:tcPr>
            <w:tcW w:w="1276" w:type="dxa"/>
            <w:vAlign w:val="center"/>
          </w:tcPr>
          <w:p w14:paraId="58678160">
            <w:pPr>
              <w:pStyle w:val="12"/>
            </w:pPr>
            <w:r>
              <w:t>免保育教育费生均财政补助标准</w:t>
            </w:r>
          </w:p>
        </w:tc>
      </w:tr>
    </w:tbl>
    <w:p w14:paraId="3109B63B">
      <w:pPr>
        <w:sectPr>
          <w:pgSz w:w="16840" w:h="11900" w:orient="landscape"/>
          <w:pgMar w:top="1361" w:right="1020" w:bottom="1134" w:left="1020" w:header="720" w:footer="720" w:gutter="0"/>
          <w:cols w:space="720" w:num="1"/>
        </w:sectPr>
      </w:pPr>
    </w:p>
    <w:p w14:paraId="2260B49E">
      <w:pPr>
        <w:spacing w:before="0" w:after="0"/>
        <w:ind w:firstLine="560"/>
        <w:jc w:val="left"/>
        <w:outlineLvl w:val="9"/>
      </w:pPr>
      <w:r>
        <w:rPr>
          <w:rFonts w:ascii="方正仿宋_GBK" w:hAnsi="方正仿宋_GBK" w:eastAsia="方正仿宋_GBK" w:cs="方正仿宋_GBK"/>
          <w:b/>
          <w:color w:val="000000"/>
          <w:sz w:val="28"/>
        </w:rPr>
        <w:t>2、冀财教[2025]149号/省级/2026年学前发展资金/实验幼儿园免保育教育费补助绩效目标表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16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F9E15">
            <w:pPr>
              <w:pStyle w:val="11"/>
            </w:pPr>
            <w:r>
              <w:t>单位：万元</w:t>
            </w:r>
          </w:p>
        </w:tc>
      </w:tr>
      <w:tr w14:paraId="39E4D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0C636">
            <w:pPr>
              <w:pStyle w:val="10"/>
            </w:pPr>
            <w:r>
              <w:t>项目编码</w:t>
            </w:r>
          </w:p>
        </w:tc>
        <w:tc>
          <w:tcPr>
            <w:tcW w:w="5103" w:type="dxa"/>
            <w:gridSpan w:val="2"/>
            <w:vAlign w:val="center"/>
          </w:tcPr>
          <w:p w14:paraId="42E66AAC">
            <w:pPr>
              <w:pStyle w:val="12"/>
            </w:pPr>
            <w:r>
              <w:t>13052526P008769101615</w:t>
            </w:r>
          </w:p>
        </w:tc>
        <w:tc>
          <w:tcPr>
            <w:tcW w:w="2835" w:type="dxa"/>
            <w:vAlign w:val="center"/>
          </w:tcPr>
          <w:p w14:paraId="79E55490">
            <w:pPr>
              <w:pStyle w:val="10"/>
            </w:pPr>
            <w:r>
              <w:t>项目名称</w:t>
            </w:r>
          </w:p>
        </w:tc>
        <w:tc>
          <w:tcPr>
            <w:tcW w:w="6095" w:type="dxa"/>
            <w:gridSpan w:val="3"/>
            <w:vAlign w:val="center"/>
          </w:tcPr>
          <w:p w14:paraId="14591742">
            <w:pPr>
              <w:pStyle w:val="12"/>
            </w:pPr>
            <w:r>
              <w:t>冀财教[2025]149号/省级/2026年学前发展资金/实验幼儿园免保育教育费补助</w:t>
            </w:r>
          </w:p>
        </w:tc>
      </w:tr>
      <w:tr w14:paraId="026E1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16342">
            <w:pPr>
              <w:pStyle w:val="10"/>
            </w:pPr>
            <w:r>
              <w:t>预算规模及资金用途</w:t>
            </w:r>
          </w:p>
        </w:tc>
        <w:tc>
          <w:tcPr>
            <w:tcW w:w="2268" w:type="dxa"/>
            <w:vAlign w:val="center"/>
          </w:tcPr>
          <w:p w14:paraId="75C22D3E">
            <w:pPr>
              <w:pStyle w:val="10"/>
            </w:pPr>
            <w:r>
              <w:t>预算数</w:t>
            </w:r>
          </w:p>
        </w:tc>
        <w:tc>
          <w:tcPr>
            <w:tcW w:w="2835" w:type="dxa"/>
            <w:vAlign w:val="center"/>
          </w:tcPr>
          <w:p w14:paraId="4BC4B7A6">
            <w:pPr>
              <w:pStyle w:val="12"/>
            </w:pPr>
            <w:r>
              <w:t>3.90</w:t>
            </w:r>
          </w:p>
        </w:tc>
        <w:tc>
          <w:tcPr>
            <w:tcW w:w="2835" w:type="dxa"/>
            <w:vAlign w:val="center"/>
          </w:tcPr>
          <w:p w14:paraId="24929E94">
            <w:pPr>
              <w:pStyle w:val="10"/>
            </w:pPr>
            <w:r>
              <w:t>其中：财政    资金</w:t>
            </w:r>
          </w:p>
        </w:tc>
        <w:tc>
          <w:tcPr>
            <w:tcW w:w="2551" w:type="dxa"/>
            <w:vAlign w:val="center"/>
          </w:tcPr>
          <w:p w14:paraId="51714328">
            <w:pPr>
              <w:pStyle w:val="12"/>
            </w:pPr>
            <w:r>
              <w:t>3.90</w:t>
            </w:r>
          </w:p>
        </w:tc>
        <w:tc>
          <w:tcPr>
            <w:tcW w:w="2268" w:type="dxa"/>
            <w:vAlign w:val="center"/>
          </w:tcPr>
          <w:p w14:paraId="113C9911">
            <w:pPr>
              <w:pStyle w:val="10"/>
            </w:pPr>
            <w:r>
              <w:t>其他资金</w:t>
            </w:r>
          </w:p>
        </w:tc>
        <w:tc>
          <w:tcPr>
            <w:tcW w:w="1276" w:type="dxa"/>
            <w:vAlign w:val="center"/>
          </w:tcPr>
          <w:p w14:paraId="5638C408">
            <w:pPr>
              <w:pStyle w:val="12"/>
            </w:pPr>
            <w:r>
              <w:t xml:space="preserve"> </w:t>
            </w:r>
          </w:p>
        </w:tc>
      </w:tr>
      <w:tr w14:paraId="0F21F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38C79"/>
        </w:tc>
        <w:tc>
          <w:tcPr>
            <w:tcW w:w="14033" w:type="dxa"/>
            <w:gridSpan w:val="6"/>
            <w:vAlign w:val="center"/>
          </w:tcPr>
          <w:p w14:paraId="1FE946B6">
            <w:pPr>
              <w:pStyle w:val="12"/>
            </w:pPr>
            <w:r>
              <w:t>保障幼儿园正常运转，完成教育教学活动和其他日常工作任务等方面的费用支出。</w:t>
            </w:r>
            <w:r>
              <w:tab/>
            </w:r>
          </w:p>
        </w:tc>
      </w:tr>
      <w:tr w14:paraId="4E90E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D87BF">
            <w:pPr>
              <w:pStyle w:val="10"/>
            </w:pPr>
            <w:r>
              <w:t>资金支出计划（%）</w:t>
            </w:r>
          </w:p>
        </w:tc>
        <w:tc>
          <w:tcPr>
            <w:tcW w:w="5103" w:type="dxa"/>
            <w:gridSpan w:val="2"/>
            <w:vAlign w:val="center"/>
          </w:tcPr>
          <w:p w14:paraId="5EEE0EC3">
            <w:pPr>
              <w:pStyle w:val="10"/>
            </w:pPr>
            <w:r>
              <w:t>3月底</w:t>
            </w:r>
          </w:p>
        </w:tc>
        <w:tc>
          <w:tcPr>
            <w:tcW w:w="2835" w:type="dxa"/>
            <w:vAlign w:val="center"/>
          </w:tcPr>
          <w:p w14:paraId="3FC821D0">
            <w:pPr>
              <w:pStyle w:val="10"/>
            </w:pPr>
            <w:r>
              <w:t>6月底</w:t>
            </w:r>
          </w:p>
        </w:tc>
        <w:tc>
          <w:tcPr>
            <w:tcW w:w="2551" w:type="dxa"/>
            <w:vAlign w:val="center"/>
          </w:tcPr>
          <w:p w14:paraId="0FA51196">
            <w:pPr>
              <w:pStyle w:val="10"/>
            </w:pPr>
            <w:r>
              <w:t>10月底</w:t>
            </w:r>
          </w:p>
        </w:tc>
        <w:tc>
          <w:tcPr>
            <w:tcW w:w="3544" w:type="dxa"/>
            <w:gridSpan w:val="2"/>
            <w:vAlign w:val="center"/>
          </w:tcPr>
          <w:p w14:paraId="20A37D0B">
            <w:pPr>
              <w:pStyle w:val="10"/>
            </w:pPr>
            <w:r>
              <w:t>12月底</w:t>
            </w:r>
          </w:p>
        </w:tc>
      </w:tr>
      <w:tr w14:paraId="34D2D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AA91A"/>
        </w:tc>
        <w:tc>
          <w:tcPr>
            <w:tcW w:w="5103" w:type="dxa"/>
            <w:gridSpan w:val="2"/>
            <w:vAlign w:val="center"/>
          </w:tcPr>
          <w:p w14:paraId="7251C7C8">
            <w:pPr>
              <w:pStyle w:val="13"/>
            </w:pPr>
            <w:r>
              <w:t>25%</w:t>
            </w:r>
          </w:p>
        </w:tc>
        <w:tc>
          <w:tcPr>
            <w:tcW w:w="2835" w:type="dxa"/>
            <w:vAlign w:val="center"/>
          </w:tcPr>
          <w:p w14:paraId="1B3DD87E">
            <w:pPr>
              <w:pStyle w:val="13"/>
            </w:pPr>
            <w:r>
              <w:t>50%</w:t>
            </w:r>
          </w:p>
        </w:tc>
        <w:tc>
          <w:tcPr>
            <w:tcW w:w="2551" w:type="dxa"/>
            <w:vAlign w:val="center"/>
          </w:tcPr>
          <w:p w14:paraId="309C37A7">
            <w:pPr>
              <w:pStyle w:val="13"/>
            </w:pPr>
            <w:r>
              <w:t>75%</w:t>
            </w:r>
          </w:p>
        </w:tc>
        <w:tc>
          <w:tcPr>
            <w:tcW w:w="3544" w:type="dxa"/>
            <w:gridSpan w:val="2"/>
            <w:vAlign w:val="center"/>
          </w:tcPr>
          <w:p w14:paraId="7D19DFDA">
            <w:pPr>
              <w:pStyle w:val="13"/>
            </w:pPr>
            <w:r>
              <w:t>100%</w:t>
            </w:r>
          </w:p>
        </w:tc>
      </w:tr>
      <w:tr w14:paraId="3767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29074">
            <w:pPr>
              <w:pStyle w:val="10"/>
            </w:pPr>
            <w:r>
              <w:t>绩效目标</w:t>
            </w:r>
          </w:p>
        </w:tc>
        <w:tc>
          <w:tcPr>
            <w:tcW w:w="14033" w:type="dxa"/>
            <w:gridSpan w:val="6"/>
            <w:vAlign w:val="center"/>
          </w:tcPr>
          <w:p w14:paraId="36C342A9">
            <w:pPr>
              <w:pStyle w:val="12"/>
            </w:pPr>
            <w:r>
              <w:t>1.保障幼儿园正常运转，完成教育教学活动和其他日常工作任务等方面的费用支出。</w:t>
            </w:r>
          </w:p>
        </w:tc>
      </w:tr>
    </w:tbl>
    <w:p w14:paraId="43FDFF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C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6F489">
            <w:pPr>
              <w:pStyle w:val="10"/>
            </w:pPr>
            <w:r>
              <w:t>一级指标</w:t>
            </w:r>
          </w:p>
        </w:tc>
        <w:tc>
          <w:tcPr>
            <w:tcW w:w="2268" w:type="dxa"/>
            <w:vAlign w:val="center"/>
          </w:tcPr>
          <w:p w14:paraId="2D6D2531">
            <w:pPr>
              <w:pStyle w:val="10"/>
            </w:pPr>
            <w:r>
              <w:t>二级指标</w:t>
            </w:r>
          </w:p>
        </w:tc>
        <w:tc>
          <w:tcPr>
            <w:tcW w:w="2835" w:type="dxa"/>
            <w:vAlign w:val="center"/>
          </w:tcPr>
          <w:p w14:paraId="2519F0E7">
            <w:pPr>
              <w:pStyle w:val="10"/>
            </w:pPr>
            <w:r>
              <w:t>三级指标</w:t>
            </w:r>
          </w:p>
        </w:tc>
        <w:tc>
          <w:tcPr>
            <w:tcW w:w="5386" w:type="dxa"/>
            <w:vAlign w:val="center"/>
          </w:tcPr>
          <w:p w14:paraId="69F8006A">
            <w:pPr>
              <w:pStyle w:val="10"/>
            </w:pPr>
            <w:r>
              <w:t>绩效指标描述</w:t>
            </w:r>
          </w:p>
        </w:tc>
        <w:tc>
          <w:tcPr>
            <w:tcW w:w="2268" w:type="dxa"/>
            <w:vAlign w:val="center"/>
          </w:tcPr>
          <w:p w14:paraId="724C3E52">
            <w:pPr>
              <w:pStyle w:val="10"/>
            </w:pPr>
            <w:r>
              <w:t>指标值</w:t>
            </w:r>
          </w:p>
        </w:tc>
        <w:tc>
          <w:tcPr>
            <w:tcW w:w="1276" w:type="dxa"/>
            <w:vAlign w:val="center"/>
          </w:tcPr>
          <w:p w14:paraId="6A0AFAA1">
            <w:pPr>
              <w:pStyle w:val="10"/>
            </w:pPr>
            <w:r>
              <w:t>指标值确定依据</w:t>
            </w:r>
          </w:p>
        </w:tc>
      </w:tr>
      <w:tr w14:paraId="2577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9026C">
            <w:pPr>
              <w:pStyle w:val="13"/>
            </w:pPr>
            <w:r>
              <w:t>产出指标</w:t>
            </w:r>
          </w:p>
        </w:tc>
        <w:tc>
          <w:tcPr>
            <w:tcW w:w="2268" w:type="dxa"/>
            <w:vAlign w:val="center"/>
          </w:tcPr>
          <w:p w14:paraId="0374D2FF">
            <w:pPr>
              <w:pStyle w:val="12"/>
            </w:pPr>
            <w:r>
              <w:t>数量指标</w:t>
            </w:r>
          </w:p>
        </w:tc>
        <w:tc>
          <w:tcPr>
            <w:tcW w:w="2835" w:type="dxa"/>
            <w:vAlign w:val="center"/>
          </w:tcPr>
          <w:p w14:paraId="73D5228A">
            <w:pPr>
              <w:pStyle w:val="12"/>
            </w:pPr>
            <w:r>
              <w:t>适龄在园生</w:t>
            </w:r>
          </w:p>
        </w:tc>
        <w:tc>
          <w:tcPr>
            <w:tcW w:w="5386" w:type="dxa"/>
            <w:vAlign w:val="center"/>
          </w:tcPr>
          <w:p w14:paraId="2AB92339">
            <w:pPr>
              <w:pStyle w:val="12"/>
            </w:pPr>
            <w:r>
              <w:t>适龄在园大班学生人数</w:t>
            </w:r>
          </w:p>
        </w:tc>
        <w:tc>
          <w:tcPr>
            <w:tcW w:w="2268" w:type="dxa"/>
            <w:vAlign w:val="center"/>
          </w:tcPr>
          <w:p w14:paraId="4BC4F929">
            <w:pPr>
              <w:pStyle w:val="12"/>
            </w:pPr>
            <w:r>
              <w:t>95人</w:t>
            </w:r>
          </w:p>
        </w:tc>
        <w:tc>
          <w:tcPr>
            <w:tcW w:w="1276" w:type="dxa"/>
            <w:vAlign w:val="center"/>
          </w:tcPr>
          <w:p w14:paraId="45DFB450">
            <w:pPr>
              <w:pStyle w:val="12"/>
            </w:pPr>
            <w:r>
              <w:t>支持学前教育发展管理方法</w:t>
            </w:r>
          </w:p>
        </w:tc>
      </w:tr>
      <w:tr w14:paraId="76709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4E562"/>
        </w:tc>
        <w:tc>
          <w:tcPr>
            <w:tcW w:w="2268" w:type="dxa"/>
            <w:vAlign w:val="center"/>
          </w:tcPr>
          <w:p w14:paraId="62560AAB">
            <w:pPr>
              <w:pStyle w:val="12"/>
            </w:pPr>
            <w:r>
              <w:t>质量指标</w:t>
            </w:r>
          </w:p>
        </w:tc>
        <w:tc>
          <w:tcPr>
            <w:tcW w:w="2835" w:type="dxa"/>
            <w:vAlign w:val="center"/>
          </w:tcPr>
          <w:p w14:paraId="428911F2">
            <w:pPr>
              <w:pStyle w:val="12"/>
            </w:pPr>
            <w:r>
              <w:t>预算控制率</w:t>
            </w:r>
          </w:p>
        </w:tc>
        <w:tc>
          <w:tcPr>
            <w:tcW w:w="5386" w:type="dxa"/>
            <w:vAlign w:val="center"/>
          </w:tcPr>
          <w:p w14:paraId="201E0D08">
            <w:pPr>
              <w:pStyle w:val="12"/>
            </w:pPr>
            <w:r>
              <w:t>预算执行</w:t>
            </w:r>
          </w:p>
        </w:tc>
        <w:tc>
          <w:tcPr>
            <w:tcW w:w="2268" w:type="dxa"/>
            <w:vAlign w:val="center"/>
          </w:tcPr>
          <w:p w14:paraId="3EE95D85">
            <w:pPr>
              <w:pStyle w:val="12"/>
            </w:pPr>
            <w:r>
              <w:t>≥95%</w:t>
            </w:r>
          </w:p>
        </w:tc>
        <w:tc>
          <w:tcPr>
            <w:tcW w:w="1276" w:type="dxa"/>
            <w:vAlign w:val="center"/>
          </w:tcPr>
          <w:p w14:paraId="5C4230FD">
            <w:pPr>
              <w:pStyle w:val="12"/>
            </w:pPr>
            <w:r>
              <w:t>支持学前教育发展管理方法</w:t>
            </w:r>
          </w:p>
        </w:tc>
      </w:tr>
      <w:tr w14:paraId="52A5E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E99D9"/>
        </w:tc>
        <w:tc>
          <w:tcPr>
            <w:tcW w:w="2268" w:type="dxa"/>
            <w:vAlign w:val="center"/>
          </w:tcPr>
          <w:p w14:paraId="2A7D6938">
            <w:pPr>
              <w:pStyle w:val="12"/>
            </w:pPr>
            <w:r>
              <w:t>时效指标</w:t>
            </w:r>
          </w:p>
        </w:tc>
        <w:tc>
          <w:tcPr>
            <w:tcW w:w="2835" w:type="dxa"/>
            <w:vAlign w:val="center"/>
          </w:tcPr>
          <w:p w14:paraId="32512EE4">
            <w:pPr>
              <w:pStyle w:val="12"/>
            </w:pPr>
            <w:r>
              <w:t>资金支付率</w:t>
            </w:r>
          </w:p>
        </w:tc>
        <w:tc>
          <w:tcPr>
            <w:tcW w:w="5386" w:type="dxa"/>
            <w:vAlign w:val="center"/>
          </w:tcPr>
          <w:p w14:paraId="0028434B">
            <w:pPr>
              <w:pStyle w:val="12"/>
            </w:pPr>
            <w:r>
              <w:t>按照序时进度完成资金支付</w:t>
            </w:r>
          </w:p>
        </w:tc>
        <w:tc>
          <w:tcPr>
            <w:tcW w:w="2268" w:type="dxa"/>
            <w:vAlign w:val="center"/>
          </w:tcPr>
          <w:p w14:paraId="5959CA6B">
            <w:pPr>
              <w:pStyle w:val="12"/>
            </w:pPr>
            <w:r>
              <w:t>100%</w:t>
            </w:r>
          </w:p>
        </w:tc>
        <w:tc>
          <w:tcPr>
            <w:tcW w:w="1276" w:type="dxa"/>
            <w:vAlign w:val="center"/>
          </w:tcPr>
          <w:p w14:paraId="492DF692">
            <w:pPr>
              <w:pStyle w:val="12"/>
            </w:pPr>
            <w:r>
              <w:t>支持学前教育发展管理方法</w:t>
            </w:r>
          </w:p>
        </w:tc>
      </w:tr>
      <w:tr w14:paraId="56FE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4CBFD"/>
        </w:tc>
        <w:tc>
          <w:tcPr>
            <w:tcW w:w="2268" w:type="dxa"/>
            <w:vAlign w:val="center"/>
          </w:tcPr>
          <w:p w14:paraId="71E1C128">
            <w:pPr>
              <w:pStyle w:val="12"/>
            </w:pPr>
            <w:r>
              <w:t>成本指标</w:t>
            </w:r>
          </w:p>
        </w:tc>
        <w:tc>
          <w:tcPr>
            <w:tcW w:w="2835" w:type="dxa"/>
            <w:vAlign w:val="center"/>
          </w:tcPr>
          <w:p w14:paraId="0B0FA0C1">
            <w:pPr>
              <w:pStyle w:val="12"/>
            </w:pPr>
            <w:r>
              <w:t xml:space="preserve"> 免保育教育费补助</w:t>
            </w:r>
          </w:p>
        </w:tc>
        <w:tc>
          <w:tcPr>
            <w:tcW w:w="5386" w:type="dxa"/>
            <w:vAlign w:val="center"/>
          </w:tcPr>
          <w:p w14:paraId="15FDE613">
            <w:pPr>
              <w:pStyle w:val="12"/>
            </w:pPr>
            <w:r>
              <w:t>免保育教育费补助</w:t>
            </w:r>
          </w:p>
        </w:tc>
        <w:tc>
          <w:tcPr>
            <w:tcW w:w="2268" w:type="dxa"/>
            <w:vAlign w:val="center"/>
          </w:tcPr>
          <w:p w14:paraId="70307DFC">
            <w:pPr>
              <w:pStyle w:val="12"/>
            </w:pPr>
            <w:r>
              <w:t>39017元</w:t>
            </w:r>
          </w:p>
        </w:tc>
        <w:tc>
          <w:tcPr>
            <w:tcW w:w="1276" w:type="dxa"/>
            <w:vAlign w:val="center"/>
          </w:tcPr>
          <w:p w14:paraId="02019B0E">
            <w:pPr>
              <w:pStyle w:val="12"/>
            </w:pPr>
            <w:r>
              <w:t>支持学前教育发展管理方法</w:t>
            </w:r>
          </w:p>
        </w:tc>
      </w:tr>
      <w:tr w14:paraId="67B6D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7B399">
            <w:pPr>
              <w:pStyle w:val="13"/>
            </w:pPr>
            <w:r>
              <w:t>效益指标</w:t>
            </w:r>
          </w:p>
        </w:tc>
        <w:tc>
          <w:tcPr>
            <w:tcW w:w="2268" w:type="dxa"/>
            <w:vAlign w:val="center"/>
          </w:tcPr>
          <w:p w14:paraId="6A0E6A50">
            <w:pPr>
              <w:pStyle w:val="12"/>
            </w:pPr>
            <w:r>
              <w:t>可持续影响指标</w:t>
            </w:r>
          </w:p>
        </w:tc>
        <w:tc>
          <w:tcPr>
            <w:tcW w:w="2835" w:type="dxa"/>
            <w:vAlign w:val="center"/>
          </w:tcPr>
          <w:p w14:paraId="4A015F30">
            <w:pPr>
              <w:pStyle w:val="12"/>
            </w:pPr>
            <w:r>
              <w:t>学校运转得到提升</w:t>
            </w:r>
          </w:p>
        </w:tc>
        <w:tc>
          <w:tcPr>
            <w:tcW w:w="5386" w:type="dxa"/>
            <w:vAlign w:val="center"/>
          </w:tcPr>
          <w:p w14:paraId="38D6D109">
            <w:pPr>
              <w:pStyle w:val="12"/>
            </w:pPr>
            <w:r>
              <w:t>幼儿受教育年限</w:t>
            </w:r>
          </w:p>
        </w:tc>
        <w:tc>
          <w:tcPr>
            <w:tcW w:w="2268" w:type="dxa"/>
            <w:vAlign w:val="center"/>
          </w:tcPr>
          <w:p w14:paraId="0ED59675">
            <w:pPr>
              <w:pStyle w:val="12"/>
            </w:pPr>
            <w:r>
              <w:t>3年</w:t>
            </w:r>
          </w:p>
        </w:tc>
        <w:tc>
          <w:tcPr>
            <w:tcW w:w="1276" w:type="dxa"/>
            <w:vAlign w:val="center"/>
          </w:tcPr>
          <w:p w14:paraId="7CD8E1B2">
            <w:pPr>
              <w:pStyle w:val="12"/>
            </w:pPr>
            <w:r>
              <w:t>支持学前教育发展管理方法</w:t>
            </w:r>
          </w:p>
        </w:tc>
      </w:tr>
      <w:tr w14:paraId="29F9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FAF5F">
            <w:pPr>
              <w:pStyle w:val="13"/>
            </w:pPr>
            <w:r>
              <w:t>满意度指标</w:t>
            </w:r>
          </w:p>
        </w:tc>
        <w:tc>
          <w:tcPr>
            <w:tcW w:w="2268" w:type="dxa"/>
            <w:vAlign w:val="center"/>
          </w:tcPr>
          <w:p w14:paraId="374A7914">
            <w:pPr>
              <w:pStyle w:val="12"/>
            </w:pPr>
            <w:r>
              <w:t>服务对象满意度指标</w:t>
            </w:r>
          </w:p>
        </w:tc>
        <w:tc>
          <w:tcPr>
            <w:tcW w:w="2835" w:type="dxa"/>
            <w:vAlign w:val="center"/>
          </w:tcPr>
          <w:p w14:paraId="355F531F">
            <w:pPr>
              <w:pStyle w:val="12"/>
            </w:pPr>
            <w:r>
              <w:t>受益学生家长及调查满意度</w:t>
            </w:r>
          </w:p>
        </w:tc>
        <w:tc>
          <w:tcPr>
            <w:tcW w:w="5386" w:type="dxa"/>
            <w:vAlign w:val="center"/>
          </w:tcPr>
          <w:p w14:paraId="296B873C">
            <w:pPr>
              <w:pStyle w:val="12"/>
            </w:pPr>
            <w:r>
              <w:t>学生、教师及家长对学校保教保育工作满意度情况</w:t>
            </w:r>
          </w:p>
        </w:tc>
        <w:tc>
          <w:tcPr>
            <w:tcW w:w="2268" w:type="dxa"/>
            <w:vAlign w:val="center"/>
          </w:tcPr>
          <w:p w14:paraId="5A309E92">
            <w:pPr>
              <w:pStyle w:val="12"/>
            </w:pPr>
            <w:r>
              <w:t>≥95%</w:t>
            </w:r>
          </w:p>
        </w:tc>
        <w:tc>
          <w:tcPr>
            <w:tcW w:w="1276" w:type="dxa"/>
            <w:vAlign w:val="center"/>
          </w:tcPr>
          <w:p w14:paraId="4885AD0E">
            <w:pPr>
              <w:pStyle w:val="12"/>
            </w:pPr>
            <w:r>
              <w:t>支持学前教育发展管理方法</w:t>
            </w:r>
          </w:p>
        </w:tc>
      </w:tr>
    </w:tbl>
    <w:p w14:paraId="71E69185">
      <w:pPr>
        <w:sectPr>
          <w:pgSz w:w="16840" w:h="11900" w:orient="landscape"/>
          <w:pgMar w:top="1361" w:right="1020" w:bottom="1134" w:left="1020" w:header="720" w:footer="720" w:gutter="0"/>
          <w:cols w:space="720" w:num="1"/>
        </w:sectPr>
      </w:pPr>
    </w:p>
    <w:p w14:paraId="4DEAEED6">
      <w:pPr>
        <w:spacing w:before="0" w:after="0"/>
        <w:ind w:firstLine="560"/>
        <w:jc w:val="left"/>
        <w:outlineLvl w:val="9"/>
      </w:pPr>
      <w:r>
        <w:rPr>
          <w:rFonts w:ascii="方正仿宋_GBK" w:hAnsi="方正仿宋_GBK" w:eastAsia="方正仿宋_GBK" w:cs="方正仿宋_GBK"/>
          <w:b/>
          <w:color w:val="000000"/>
          <w:sz w:val="28"/>
        </w:rPr>
        <w:t>3、县级配套/2026年/实验幼儿园免保育教育费补助绩效目标表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8B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6FAF5">
            <w:pPr>
              <w:pStyle w:val="11"/>
            </w:pPr>
            <w:r>
              <w:t>单位：万元</w:t>
            </w:r>
          </w:p>
        </w:tc>
      </w:tr>
      <w:tr w14:paraId="449B3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8FDA4">
            <w:pPr>
              <w:pStyle w:val="10"/>
            </w:pPr>
            <w:r>
              <w:t>项目编码</w:t>
            </w:r>
          </w:p>
        </w:tc>
        <w:tc>
          <w:tcPr>
            <w:tcW w:w="5103" w:type="dxa"/>
            <w:gridSpan w:val="2"/>
            <w:vAlign w:val="center"/>
          </w:tcPr>
          <w:p w14:paraId="79171EAE">
            <w:pPr>
              <w:pStyle w:val="12"/>
            </w:pPr>
            <w:r>
              <w:t>13052526P008769101763</w:t>
            </w:r>
          </w:p>
        </w:tc>
        <w:tc>
          <w:tcPr>
            <w:tcW w:w="2835" w:type="dxa"/>
            <w:vAlign w:val="center"/>
          </w:tcPr>
          <w:p w14:paraId="30998D7D">
            <w:pPr>
              <w:pStyle w:val="10"/>
            </w:pPr>
            <w:r>
              <w:t>项目名称</w:t>
            </w:r>
          </w:p>
        </w:tc>
        <w:tc>
          <w:tcPr>
            <w:tcW w:w="6095" w:type="dxa"/>
            <w:gridSpan w:val="3"/>
            <w:vAlign w:val="center"/>
          </w:tcPr>
          <w:p w14:paraId="33EDF81D">
            <w:pPr>
              <w:pStyle w:val="12"/>
            </w:pPr>
            <w:r>
              <w:t>县级配套/2026年/实验幼儿园免保育教育费补助</w:t>
            </w:r>
          </w:p>
        </w:tc>
      </w:tr>
      <w:tr w14:paraId="48215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80B3D">
            <w:pPr>
              <w:pStyle w:val="10"/>
            </w:pPr>
            <w:r>
              <w:t>预算规模及资金用途</w:t>
            </w:r>
          </w:p>
        </w:tc>
        <w:tc>
          <w:tcPr>
            <w:tcW w:w="2268" w:type="dxa"/>
            <w:vAlign w:val="center"/>
          </w:tcPr>
          <w:p w14:paraId="1303C6CD">
            <w:pPr>
              <w:pStyle w:val="10"/>
            </w:pPr>
            <w:r>
              <w:t>预算数</w:t>
            </w:r>
          </w:p>
        </w:tc>
        <w:tc>
          <w:tcPr>
            <w:tcW w:w="2835" w:type="dxa"/>
            <w:vAlign w:val="center"/>
          </w:tcPr>
          <w:p w14:paraId="789357F3">
            <w:pPr>
              <w:pStyle w:val="12"/>
            </w:pPr>
            <w:r>
              <w:t>1.42</w:t>
            </w:r>
          </w:p>
        </w:tc>
        <w:tc>
          <w:tcPr>
            <w:tcW w:w="2835" w:type="dxa"/>
            <w:vAlign w:val="center"/>
          </w:tcPr>
          <w:p w14:paraId="640B6FEA">
            <w:pPr>
              <w:pStyle w:val="10"/>
            </w:pPr>
            <w:r>
              <w:t>其中：财政    资金</w:t>
            </w:r>
          </w:p>
        </w:tc>
        <w:tc>
          <w:tcPr>
            <w:tcW w:w="2551" w:type="dxa"/>
            <w:vAlign w:val="center"/>
          </w:tcPr>
          <w:p w14:paraId="0961F8BD">
            <w:pPr>
              <w:pStyle w:val="12"/>
            </w:pPr>
            <w:r>
              <w:t>1.42</w:t>
            </w:r>
          </w:p>
        </w:tc>
        <w:tc>
          <w:tcPr>
            <w:tcW w:w="2268" w:type="dxa"/>
            <w:vAlign w:val="center"/>
          </w:tcPr>
          <w:p w14:paraId="054FFAE0">
            <w:pPr>
              <w:pStyle w:val="10"/>
            </w:pPr>
            <w:r>
              <w:t>其他资金</w:t>
            </w:r>
          </w:p>
        </w:tc>
        <w:tc>
          <w:tcPr>
            <w:tcW w:w="1276" w:type="dxa"/>
            <w:vAlign w:val="center"/>
          </w:tcPr>
          <w:p w14:paraId="072AF231">
            <w:pPr>
              <w:pStyle w:val="12"/>
            </w:pPr>
            <w:r>
              <w:t xml:space="preserve"> </w:t>
            </w:r>
          </w:p>
        </w:tc>
      </w:tr>
      <w:tr w14:paraId="5DE7F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BDD4A"/>
        </w:tc>
        <w:tc>
          <w:tcPr>
            <w:tcW w:w="14033" w:type="dxa"/>
            <w:gridSpan w:val="6"/>
            <w:vAlign w:val="center"/>
          </w:tcPr>
          <w:p w14:paraId="184DDA8C">
            <w:pPr>
              <w:pStyle w:val="12"/>
            </w:pPr>
            <w:r>
              <w:t>保障幼儿园正常运转，完成教育教学活动和其他日常工作任务等方面的费用支出。</w:t>
            </w:r>
            <w:r>
              <w:tab/>
            </w:r>
          </w:p>
        </w:tc>
      </w:tr>
      <w:tr w14:paraId="4C8EB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587CD">
            <w:pPr>
              <w:pStyle w:val="10"/>
            </w:pPr>
            <w:r>
              <w:t>资金支出计划（%）</w:t>
            </w:r>
          </w:p>
        </w:tc>
        <w:tc>
          <w:tcPr>
            <w:tcW w:w="5103" w:type="dxa"/>
            <w:gridSpan w:val="2"/>
            <w:vAlign w:val="center"/>
          </w:tcPr>
          <w:p w14:paraId="4FB45212">
            <w:pPr>
              <w:pStyle w:val="10"/>
            </w:pPr>
            <w:r>
              <w:t>3月底</w:t>
            </w:r>
          </w:p>
        </w:tc>
        <w:tc>
          <w:tcPr>
            <w:tcW w:w="2835" w:type="dxa"/>
            <w:vAlign w:val="center"/>
          </w:tcPr>
          <w:p w14:paraId="5BAA3804">
            <w:pPr>
              <w:pStyle w:val="10"/>
            </w:pPr>
            <w:r>
              <w:t>6月底</w:t>
            </w:r>
          </w:p>
        </w:tc>
        <w:tc>
          <w:tcPr>
            <w:tcW w:w="2551" w:type="dxa"/>
            <w:vAlign w:val="center"/>
          </w:tcPr>
          <w:p w14:paraId="51A357CA">
            <w:pPr>
              <w:pStyle w:val="10"/>
            </w:pPr>
            <w:r>
              <w:t>10月底</w:t>
            </w:r>
          </w:p>
        </w:tc>
        <w:tc>
          <w:tcPr>
            <w:tcW w:w="3544" w:type="dxa"/>
            <w:gridSpan w:val="2"/>
            <w:vAlign w:val="center"/>
          </w:tcPr>
          <w:p w14:paraId="715419D5">
            <w:pPr>
              <w:pStyle w:val="10"/>
            </w:pPr>
            <w:r>
              <w:t>12月底</w:t>
            </w:r>
          </w:p>
        </w:tc>
      </w:tr>
      <w:tr w14:paraId="04D61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83303"/>
        </w:tc>
        <w:tc>
          <w:tcPr>
            <w:tcW w:w="5103" w:type="dxa"/>
            <w:gridSpan w:val="2"/>
            <w:vAlign w:val="center"/>
          </w:tcPr>
          <w:p w14:paraId="3FAC17A5">
            <w:pPr>
              <w:pStyle w:val="13"/>
            </w:pPr>
            <w:r>
              <w:t>25%</w:t>
            </w:r>
          </w:p>
        </w:tc>
        <w:tc>
          <w:tcPr>
            <w:tcW w:w="2835" w:type="dxa"/>
            <w:vAlign w:val="center"/>
          </w:tcPr>
          <w:p w14:paraId="20ADF474">
            <w:pPr>
              <w:pStyle w:val="13"/>
            </w:pPr>
            <w:r>
              <w:t>50%</w:t>
            </w:r>
          </w:p>
        </w:tc>
        <w:tc>
          <w:tcPr>
            <w:tcW w:w="2551" w:type="dxa"/>
            <w:vAlign w:val="center"/>
          </w:tcPr>
          <w:p w14:paraId="1221141C">
            <w:pPr>
              <w:pStyle w:val="13"/>
            </w:pPr>
            <w:r>
              <w:t>75%</w:t>
            </w:r>
          </w:p>
        </w:tc>
        <w:tc>
          <w:tcPr>
            <w:tcW w:w="3544" w:type="dxa"/>
            <w:gridSpan w:val="2"/>
            <w:vAlign w:val="center"/>
          </w:tcPr>
          <w:p w14:paraId="099B782A">
            <w:pPr>
              <w:pStyle w:val="13"/>
            </w:pPr>
            <w:r>
              <w:t>100%</w:t>
            </w:r>
          </w:p>
        </w:tc>
      </w:tr>
      <w:tr w14:paraId="72D68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D295D">
            <w:pPr>
              <w:pStyle w:val="10"/>
            </w:pPr>
            <w:r>
              <w:t>绩效目标</w:t>
            </w:r>
          </w:p>
        </w:tc>
        <w:tc>
          <w:tcPr>
            <w:tcW w:w="14033" w:type="dxa"/>
            <w:gridSpan w:val="6"/>
            <w:vAlign w:val="center"/>
          </w:tcPr>
          <w:p w14:paraId="18194124">
            <w:pPr>
              <w:pStyle w:val="12"/>
            </w:pPr>
            <w:r>
              <w:t>1.保障幼儿园正常运转，完成教育教学活动和其他日常工作任务等方面的费用支出。</w:t>
            </w:r>
          </w:p>
        </w:tc>
      </w:tr>
    </w:tbl>
    <w:p w14:paraId="0F17C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8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D7F85">
            <w:pPr>
              <w:pStyle w:val="10"/>
            </w:pPr>
            <w:r>
              <w:t>一级指标</w:t>
            </w:r>
          </w:p>
        </w:tc>
        <w:tc>
          <w:tcPr>
            <w:tcW w:w="2268" w:type="dxa"/>
            <w:vAlign w:val="center"/>
          </w:tcPr>
          <w:p w14:paraId="2BA45CBE">
            <w:pPr>
              <w:pStyle w:val="10"/>
            </w:pPr>
            <w:r>
              <w:t>二级指标</w:t>
            </w:r>
          </w:p>
        </w:tc>
        <w:tc>
          <w:tcPr>
            <w:tcW w:w="2835" w:type="dxa"/>
            <w:vAlign w:val="center"/>
          </w:tcPr>
          <w:p w14:paraId="3DE1BFF9">
            <w:pPr>
              <w:pStyle w:val="10"/>
            </w:pPr>
            <w:r>
              <w:t>三级指标</w:t>
            </w:r>
          </w:p>
        </w:tc>
        <w:tc>
          <w:tcPr>
            <w:tcW w:w="5386" w:type="dxa"/>
            <w:vAlign w:val="center"/>
          </w:tcPr>
          <w:p w14:paraId="4C220E1F">
            <w:pPr>
              <w:pStyle w:val="10"/>
            </w:pPr>
            <w:r>
              <w:t>绩效指标描述</w:t>
            </w:r>
          </w:p>
        </w:tc>
        <w:tc>
          <w:tcPr>
            <w:tcW w:w="2268" w:type="dxa"/>
            <w:vAlign w:val="center"/>
          </w:tcPr>
          <w:p w14:paraId="60B3CE94">
            <w:pPr>
              <w:pStyle w:val="10"/>
            </w:pPr>
            <w:r>
              <w:t>指标值</w:t>
            </w:r>
          </w:p>
        </w:tc>
        <w:tc>
          <w:tcPr>
            <w:tcW w:w="1276" w:type="dxa"/>
            <w:vAlign w:val="center"/>
          </w:tcPr>
          <w:p w14:paraId="3892DE0C">
            <w:pPr>
              <w:pStyle w:val="10"/>
            </w:pPr>
            <w:r>
              <w:t>指标值确定依据</w:t>
            </w:r>
          </w:p>
        </w:tc>
      </w:tr>
      <w:tr w14:paraId="0926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3B588">
            <w:pPr>
              <w:pStyle w:val="13"/>
            </w:pPr>
            <w:r>
              <w:t>产出指标</w:t>
            </w:r>
          </w:p>
        </w:tc>
        <w:tc>
          <w:tcPr>
            <w:tcW w:w="2268" w:type="dxa"/>
            <w:vAlign w:val="center"/>
          </w:tcPr>
          <w:p w14:paraId="6E24A876">
            <w:pPr>
              <w:pStyle w:val="12"/>
            </w:pPr>
            <w:r>
              <w:t>数量指标</w:t>
            </w:r>
          </w:p>
        </w:tc>
        <w:tc>
          <w:tcPr>
            <w:tcW w:w="2835" w:type="dxa"/>
            <w:vAlign w:val="center"/>
          </w:tcPr>
          <w:p w14:paraId="2B36FA8A">
            <w:pPr>
              <w:pStyle w:val="12"/>
            </w:pPr>
            <w:r>
              <w:t>适龄在园生</w:t>
            </w:r>
          </w:p>
        </w:tc>
        <w:tc>
          <w:tcPr>
            <w:tcW w:w="5386" w:type="dxa"/>
            <w:vAlign w:val="center"/>
          </w:tcPr>
          <w:p w14:paraId="08C66D99">
            <w:pPr>
              <w:pStyle w:val="12"/>
            </w:pPr>
            <w:r>
              <w:t>适龄在园大班学生人数</w:t>
            </w:r>
          </w:p>
        </w:tc>
        <w:tc>
          <w:tcPr>
            <w:tcW w:w="2268" w:type="dxa"/>
            <w:vAlign w:val="center"/>
          </w:tcPr>
          <w:p w14:paraId="3BDDF845">
            <w:pPr>
              <w:pStyle w:val="12"/>
            </w:pPr>
            <w:r>
              <w:t>95人</w:t>
            </w:r>
          </w:p>
        </w:tc>
        <w:tc>
          <w:tcPr>
            <w:tcW w:w="1276" w:type="dxa"/>
            <w:vAlign w:val="center"/>
          </w:tcPr>
          <w:p w14:paraId="5704C8E0">
            <w:pPr>
              <w:pStyle w:val="12"/>
            </w:pPr>
            <w:r>
              <w:t>免保育教育费生均财政补助标准</w:t>
            </w:r>
          </w:p>
        </w:tc>
      </w:tr>
      <w:tr w14:paraId="67837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F5407"/>
        </w:tc>
        <w:tc>
          <w:tcPr>
            <w:tcW w:w="2268" w:type="dxa"/>
            <w:vAlign w:val="center"/>
          </w:tcPr>
          <w:p w14:paraId="562F7C7F">
            <w:pPr>
              <w:pStyle w:val="12"/>
            </w:pPr>
            <w:r>
              <w:t>质量指标</w:t>
            </w:r>
          </w:p>
        </w:tc>
        <w:tc>
          <w:tcPr>
            <w:tcW w:w="2835" w:type="dxa"/>
            <w:vAlign w:val="center"/>
          </w:tcPr>
          <w:p w14:paraId="1BFD7683">
            <w:pPr>
              <w:pStyle w:val="12"/>
            </w:pPr>
            <w:r>
              <w:t>预算控制率</w:t>
            </w:r>
          </w:p>
        </w:tc>
        <w:tc>
          <w:tcPr>
            <w:tcW w:w="5386" w:type="dxa"/>
            <w:vAlign w:val="center"/>
          </w:tcPr>
          <w:p w14:paraId="10753AE3">
            <w:pPr>
              <w:pStyle w:val="12"/>
            </w:pPr>
            <w:r>
              <w:t>预算执行</w:t>
            </w:r>
          </w:p>
        </w:tc>
        <w:tc>
          <w:tcPr>
            <w:tcW w:w="2268" w:type="dxa"/>
            <w:vAlign w:val="center"/>
          </w:tcPr>
          <w:p w14:paraId="6938A3CD">
            <w:pPr>
              <w:pStyle w:val="12"/>
            </w:pPr>
            <w:r>
              <w:t>≥95%</w:t>
            </w:r>
          </w:p>
        </w:tc>
        <w:tc>
          <w:tcPr>
            <w:tcW w:w="1276" w:type="dxa"/>
            <w:vAlign w:val="center"/>
          </w:tcPr>
          <w:p w14:paraId="42BC60E5">
            <w:pPr>
              <w:pStyle w:val="12"/>
            </w:pPr>
            <w:r>
              <w:t>免保育教育费生均财政补助标准</w:t>
            </w:r>
          </w:p>
        </w:tc>
      </w:tr>
      <w:tr w14:paraId="62E2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CBE60"/>
        </w:tc>
        <w:tc>
          <w:tcPr>
            <w:tcW w:w="2268" w:type="dxa"/>
            <w:vAlign w:val="center"/>
          </w:tcPr>
          <w:p w14:paraId="0ED1A55C">
            <w:pPr>
              <w:pStyle w:val="12"/>
            </w:pPr>
            <w:r>
              <w:t>时效指标</w:t>
            </w:r>
          </w:p>
        </w:tc>
        <w:tc>
          <w:tcPr>
            <w:tcW w:w="2835" w:type="dxa"/>
            <w:vAlign w:val="center"/>
          </w:tcPr>
          <w:p w14:paraId="53A7953B">
            <w:pPr>
              <w:pStyle w:val="12"/>
            </w:pPr>
            <w:r>
              <w:t>资金支付率</w:t>
            </w:r>
          </w:p>
        </w:tc>
        <w:tc>
          <w:tcPr>
            <w:tcW w:w="5386" w:type="dxa"/>
            <w:vAlign w:val="center"/>
          </w:tcPr>
          <w:p w14:paraId="287381AD">
            <w:pPr>
              <w:pStyle w:val="12"/>
            </w:pPr>
            <w:r>
              <w:t>按照序时进度完成资金支付</w:t>
            </w:r>
          </w:p>
        </w:tc>
        <w:tc>
          <w:tcPr>
            <w:tcW w:w="2268" w:type="dxa"/>
            <w:vAlign w:val="center"/>
          </w:tcPr>
          <w:p w14:paraId="63615823">
            <w:pPr>
              <w:pStyle w:val="12"/>
            </w:pPr>
            <w:r>
              <w:t>100%</w:t>
            </w:r>
          </w:p>
        </w:tc>
        <w:tc>
          <w:tcPr>
            <w:tcW w:w="1276" w:type="dxa"/>
            <w:vAlign w:val="center"/>
          </w:tcPr>
          <w:p w14:paraId="36A85749">
            <w:pPr>
              <w:pStyle w:val="12"/>
            </w:pPr>
            <w:r>
              <w:t>免保育教育费生均财政补助标准</w:t>
            </w:r>
          </w:p>
        </w:tc>
      </w:tr>
      <w:tr w14:paraId="25BD5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98C00"/>
        </w:tc>
        <w:tc>
          <w:tcPr>
            <w:tcW w:w="2268" w:type="dxa"/>
            <w:vAlign w:val="center"/>
          </w:tcPr>
          <w:p w14:paraId="0996AE43">
            <w:pPr>
              <w:pStyle w:val="12"/>
            </w:pPr>
            <w:r>
              <w:t>成本指标</w:t>
            </w:r>
          </w:p>
        </w:tc>
        <w:tc>
          <w:tcPr>
            <w:tcW w:w="2835" w:type="dxa"/>
            <w:vAlign w:val="center"/>
          </w:tcPr>
          <w:p w14:paraId="1FFC01D0">
            <w:pPr>
              <w:pStyle w:val="12"/>
            </w:pPr>
            <w:r>
              <w:t xml:space="preserve"> 免保育教育费补助</w:t>
            </w:r>
          </w:p>
        </w:tc>
        <w:tc>
          <w:tcPr>
            <w:tcW w:w="5386" w:type="dxa"/>
            <w:vAlign w:val="center"/>
          </w:tcPr>
          <w:p w14:paraId="623BA620">
            <w:pPr>
              <w:pStyle w:val="12"/>
            </w:pPr>
            <w:r>
              <w:t>免保育教育费补助</w:t>
            </w:r>
          </w:p>
        </w:tc>
        <w:tc>
          <w:tcPr>
            <w:tcW w:w="2268" w:type="dxa"/>
            <w:vAlign w:val="center"/>
          </w:tcPr>
          <w:p w14:paraId="7FC43643">
            <w:pPr>
              <w:pStyle w:val="12"/>
            </w:pPr>
            <w:r>
              <w:t>14158元</w:t>
            </w:r>
          </w:p>
        </w:tc>
        <w:tc>
          <w:tcPr>
            <w:tcW w:w="1276" w:type="dxa"/>
            <w:vAlign w:val="center"/>
          </w:tcPr>
          <w:p w14:paraId="4F348BB2">
            <w:pPr>
              <w:pStyle w:val="12"/>
            </w:pPr>
            <w:r>
              <w:t>免保育教育费生均财政补助标准</w:t>
            </w:r>
          </w:p>
        </w:tc>
      </w:tr>
      <w:tr w14:paraId="77F0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22A49">
            <w:pPr>
              <w:pStyle w:val="13"/>
            </w:pPr>
            <w:r>
              <w:t>效益指标</w:t>
            </w:r>
          </w:p>
        </w:tc>
        <w:tc>
          <w:tcPr>
            <w:tcW w:w="2268" w:type="dxa"/>
            <w:vAlign w:val="center"/>
          </w:tcPr>
          <w:p w14:paraId="4DA59F2D">
            <w:pPr>
              <w:pStyle w:val="12"/>
            </w:pPr>
            <w:r>
              <w:t>可持续影响指标</w:t>
            </w:r>
          </w:p>
        </w:tc>
        <w:tc>
          <w:tcPr>
            <w:tcW w:w="2835" w:type="dxa"/>
            <w:vAlign w:val="center"/>
          </w:tcPr>
          <w:p w14:paraId="1AB76475">
            <w:pPr>
              <w:pStyle w:val="12"/>
            </w:pPr>
            <w:r>
              <w:t>学校运转得到提升</w:t>
            </w:r>
          </w:p>
        </w:tc>
        <w:tc>
          <w:tcPr>
            <w:tcW w:w="5386" w:type="dxa"/>
            <w:vAlign w:val="center"/>
          </w:tcPr>
          <w:p w14:paraId="6EB6BF61">
            <w:pPr>
              <w:pStyle w:val="12"/>
            </w:pPr>
            <w:r>
              <w:t>幼儿受教育年限</w:t>
            </w:r>
          </w:p>
        </w:tc>
        <w:tc>
          <w:tcPr>
            <w:tcW w:w="2268" w:type="dxa"/>
            <w:vAlign w:val="center"/>
          </w:tcPr>
          <w:p w14:paraId="0CEA36EE">
            <w:pPr>
              <w:pStyle w:val="12"/>
            </w:pPr>
            <w:r>
              <w:t>3年</w:t>
            </w:r>
          </w:p>
        </w:tc>
        <w:tc>
          <w:tcPr>
            <w:tcW w:w="1276" w:type="dxa"/>
            <w:vAlign w:val="center"/>
          </w:tcPr>
          <w:p w14:paraId="1B349209">
            <w:pPr>
              <w:pStyle w:val="12"/>
            </w:pPr>
            <w:r>
              <w:t>免保育教育费生均财政补助标准</w:t>
            </w:r>
          </w:p>
        </w:tc>
      </w:tr>
      <w:tr w14:paraId="1204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96B26">
            <w:pPr>
              <w:pStyle w:val="13"/>
            </w:pPr>
            <w:r>
              <w:t>满意度指标</w:t>
            </w:r>
          </w:p>
        </w:tc>
        <w:tc>
          <w:tcPr>
            <w:tcW w:w="2268" w:type="dxa"/>
            <w:vAlign w:val="center"/>
          </w:tcPr>
          <w:p w14:paraId="3049DCBD">
            <w:pPr>
              <w:pStyle w:val="12"/>
            </w:pPr>
            <w:r>
              <w:t>服务对象满意度指标</w:t>
            </w:r>
          </w:p>
        </w:tc>
        <w:tc>
          <w:tcPr>
            <w:tcW w:w="2835" w:type="dxa"/>
            <w:vAlign w:val="center"/>
          </w:tcPr>
          <w:p w14:paraId="73EF0100">
            <w:pPr>
              <w:pStyle w:val="12"/>
            </w:pPr>
            <w:r>
              <w:t>受益学生家长及调查满意度</w:t>
            </w:r>
          </w:p>
        </w:tc>
        <w:tc>
          <w:tcPr>
            <w:tcW w:w="5386" w:type="dxa"/>
            <w:vAlign w:val="center"/>
          </w:tcPr>
          <w:p w14:paraId="1A481020">
            <w:pPr>
              <w:pStyle w:val="12"/>
            </w:pPr>
            <w:r>
              <w:t>学生、教师及家长对学校保教保育工作满意度情况</w:t>
            </w:r>
          </w:p>
        </w:tc>
        <w:tc>
          <w:tcPr>
            <w:tcW w:w="2268" w:type="dxa"/>
            <w:vAlign w:val="center"/>
          </w:tcPr>
          <w:p w14:paraId="6A2C3B6B">
            <w:pPr>
              <w:pStyle w:val="12"/>
            </w:pPr>
            <w:r>
              <w:t>≥95%</w:t>
            </w:r>
          </w:p>
        </w:tc>
        <w:tc>
          <w:tcPr>
            <w:tcW w:w="1276" w:type="dxa"/>
            <w:vAlign w:val="center"/>
          </w:tcPr>
          <w:p w14:paraId="4BB05748">
            <w:pPr>
              <w:pStyle w:val="12"/>
            </w:pPr>
            <w:r>
              <w:t>免保育教育费生均财政补助标准</w:t>
            </w:r>
          </w:p>
        </w:tc>
      </w:tr>
    </w:tbl>
    <w:p w14:paraId="3666073E">
      <w:pPr>
        <w:sectPr>
          <w:pgSz w:w="16840" w:h="11900" w:orient="landscape"/>
          <w:pgMar w:top="1361" w:right="1020" w:bottom="1134" w:left="1020" w:header="720" w:footer="720" w:gutter="0"/>
          <w:cols w:space="720" w:num="1"/>
        </w:sectPr>
      </w:pPr>
    </w:p>
    <w:p w14:paraId="1FA49A60">
      <w:pPr>
        <w:spacing w:before="10" w:after="10" w:line="240" w:lineRule="auto"/>
        <w:ind w:firstLine="640"/>
        <w:jc w:val="left"/>
        <w:outlineLvl w:val="5"/>
      </w:pPr>
      <w:r>
        <w:rPr>
          <w:rFonts w:ascii="黑体" w:hAnsi="黑体" w:eastAsia="黑体" w:cs="黑体"/>
          <w:color w:val="000000"/>
          <w:sz w:val="32"/>
        </w:rPr>
        <w:t>六、政府采购预算情况</w:t>
      </w:r>
    </w:p>
    <w:p w14:paraId="1A1D61C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89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0FD154">
            <w:pPr>
              <w:pStyle w:val="9"/>
            </w:pPr>
            <w:r>
              <w:t>360029隆尧县实验幼儿园</w:t>
            </w:r>
          </w:p>
        </w:tc>
        <w:tc>
          <w:tcPr>
            <w:tcW w:w="8676" w:type="dxa"/>
            <w:gridSpan w:val="9"/>
            <w:tcBorders>
              <w:top w:val="single" w:color="FFFFFF" w:sz="6" w:space="0"/>
              <w:left w:val="single" w:color="FFFFFF" w:sz="6" w:space="0"/>
              <w:right w:val="single" w:color="FFFFFF" w:sz="6" w:space="0"/>
            </w:tcBorders>
            <w:vAlign w:val="center"/>
          </w:tcPr>
          <w:p w14:paraId="6509417C">
            <w:pPr>
              <w:pStyle w:val="21"/>
            </w:pPr>
            <w:r>
              <w:t>单位：万元</w:t>
            </w:r>
          </w:p>
        </w:tc>
      </w:tr>
      <w:tr w14:paraId="27AB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A57B2F">
            <w:pPr>
              <w:pStyle w:val="10"/>
            </w:pPr>
            <w:r>
              <w:t>政府采购项目来源</w:t>
            </w:r>
          </w:p>
        </w:tc>
        <w:tc>
          <w:tcPr>
            <w:tcW w:w="1134" w:type="dxa"/>
            <w:vMerge w:val="restart"/>
            <w:vAlign w:val="center"/>
          </w:tcPr>
          <w:p w14:paraId="19238554">
            <w:pPr>
              <w:pStyle w:val="10"/>
            </w:pPr>
            <w:r>
              <w:t>采购物品名称</w:t>
            </w:r>
          </w:p>
        </w:tc>
        <w:tc>
          <w:tcPr>
            <w:tcW w:w="1134" w:type="dxa"/>
            <w:vMerge w:val="restart"/>
            <w:vAlign w:val="center"/>
          </w:tcPr>
          <w:p w14:paraId="42D65AD0">
            <w:pPr>
              <w:pStyle w:val="10"/>
            </w:pPr>
            <w:r>
              <w:t>政府采购目录序号</w:t>
            </w:r>
          </w:p>
        </w:tc>
        <w:tc>
          <w:tcPr>
            <w:tcW w:w="709" w:type="dxa"/>
            <w:vMerge w:val="restart"/>
            <w:vAlign w:val="center"/>
          </w:tcPr>
          <w:p w14:paraId="42941217">
            <w:pPr>
              <w:pStyle w:val="10"/>
            </w:pPr>
            <w:r>
              <w:t>计量  单位</w:t>
            </w:r>
          </w:p>
        </w:tc>
        <w:tc>
          <w:tcPr>
            <w:tcW w:w="850" w:type="dxa"/>
            <w:vMerge w:val="restart"/>
            <w:vAlign w:val="center"/>
          </w:tcPr>
          <w:p w14:paraId="5CFD3AF6">
            <w:pPr>
              <w:pStyle w:val="10"/>
            </w:pPr>
            <w:r>
              <w:t>数量</w:t>
            </w:r>
          </w:p>
        </w:tc>
        <w:tc>
          <w:tcPr>
            <w:tcW w:w="850" w:type="dxa"/>
            <w:vMerge w:val="restart"/>
            <w:vAlign w:val="center"/>
          </w:tcPr>
          <w:p w14:paraId="37847FC1">
            <w:pPr>
              <w:pStyle w:val="10"/>
            </w:pPr>
            <w:r>
              <w:t>单价</w:t>
            </w:r>
          </w:p>
        </w:tc>
        <w:tc>
          <w:tcPr>
            <w:tcW w:w="7712" w:type="dxa"/>
            <w:gridSpan w:val="8"/>
            <w:vAlign w:val="center"/>
          </w:tcPr>
          <w:p w14:paraId="519F0BB8">
            <w:pPr>
              <w:pStyle w:val="10"/>
            </w:pPr>
            <w:r>
              <w:t>政府采购金额（当年部门预算安排资金）</w:t>
            </w:r>
          </w:p>
        </w:tc>
        <w:tc>
          <w:tcPr>
            <w:tcW w:w="964" w:type="dxa"/>
            <w:vMerge w:val="restart"/>
            <w:vAlign w:val="center"/>
          </w:tcPr>
          <w:p w14:paraId="5EBAC64C">
            <w:pPr>
              <w:pStyle w:val="10"/>
            </w:pPr>
            <w:r>
              <w:t>2026年  预留中  小微企  业份额</w:t>
            </w:r>
          </w:p>
        </w:tc>
      </w:tr>
      <w:tr w14:paraId="6D16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C229DDF">
            <w:pPr>
              <w:pStyle w:val="10"/>
            </w:pPr>
            <w:r>
              <w:t>项目名称</w:t>
            </w:r>
          </w:p>
        </w:tc>
        <w:tc>
          <w:tcPr>
            <w:tcW w:w="964" w:type="dxa"/>
            <w:vAlign w:val="center"/>
          </w:tcPr>
          <w:p w14:paraId="44FDE9F4">
            <w:pPr>
              <w:pStyle w:val="10"/>
            </w:pPr>
            <w:r>
              <w:t>预算    资金</w:t>
            </w:r>
          </w:p>
        </w:tc>
        <w:tc>
          <w:tcPr>
            <w:tcW w:w="1134" w:type="dxa"/>
            <w:vMerge w:val="continue"/>
          </w:tcPr>
          <w:p w14:paraId="704BB4A9"/>
        </w:tc>
        <w:tc>
          <w:tcPr>
            <w:tcW w:w="1134" w:type="dxa"/>
            <w:vMerge w:val="continue"/>
          </w:tcPr>
          <w:p w14:paraId="41A82B8B"/>
        </w:tc>
        <w:tc>
          <w:tcPr>
            <w:tcW w:w="709" w:type="dxa"/>
            <w:vMerge w:val="continue"/>
          </w:tcPr>
          <w:p w14:paraId="4CD67AA0"/>
        </w:tc>
        <w:tc>
          <w:tcPr>
            <w:tcW w:w="850" w:type="dxa"/>
            <w:vMerge w:val="continue"/>
          </w:tcPr>
          <w:p w14:paraId="2BF9883A"/>
        </w:tc>
        <w:tc>
          <w:tcPr>
            <w:tcW w:w="850" w:type="dxa"/>
            <w:vMerge w:val="continue"/>
          </w:tcPr>
          <w:p w14:paraId="453AF644"/>
        </w:tc>
        <w:tc>
          <w:tcPr>
            <w:tcW w:w="964" w:type="dxa"/>
            <w:vAlign w:val="center"/>
          </w:tcPr>
          <w:p w14:paraId="4B11CB61">
            <w:pPr>
              <w:pStyle w:val="10"/>
            </w:pPr>
            <w:r>
              <w:t>合计</w:t>
            </w:r>
          </w:p>
        </w:tc>
        <w:tc>
          <w:tcPr>
            <w:tcW w:w="964" w:type="dxa"/>
            <w:vAlign w:val="center"/>
          </w:tcPr>
          <w:p w14:paraId="79D86F4C">
            <w:pPr>
              <w:pStyle w:val="10"/>
            </w:pPr>
            <w:r>
              <w:t>一般公共预算拨款</w:t>
            </w:r>
          </w:p>
        </w:tc>
        <w:tc>
          <w:tcPr>
            <w:tcW w:w="964" w:type="dxa"/>
            <w:vAlign w:val="center"/>
          </w:tcPr>
          <w:p w14:paraId="0735E2AC">
            <w:pPr>
              <w:pStyle w:val="10"/>
            </w:pPr>
            <w:r>
              <w:t>基金预算拨款</w:t>
            </w:r>
          </w:p>
        </w:tc>
        <w:tc>
          <w:tcPr>
            <w:tcW w:w="964" w:type="dxa"/>
            <w:vAlign w:val="center"/>
          </w:tcPr>
          <w:p w14:paraId="45F5E9EE">
            <w:pPr>
              <w:pStyle w:val="10"/>
            </w:pPr>
            <w:r>
              <w:t>国有资本经营预算拨款</w:t>
            </w:r>
          </w:p>
        </w:tc>
        <w:tc>
          <w:tcPr>
            <w:tcW w:w="964" w:type="dxa"/>
            <w:vAlign w:val="center"/>
          </w:tcPr>
          <w:p w14:paraId="6248D6FA">
            <w:pPr>
              <w:pStyle w:val="10"/>
            </w:pPr>
            <w:r>
              <w:t>财政专户核拨</w:t>
            </w:r>
          </w:p>
        </w:tc>
        <w:tc>
          <w:tcPr>
            <w:tcW w:w="964" w:type="dxa"/>
            <w:vAlign w:val="center"/>
          </w:tcPr>
          <w:p w14:paraId="5796FD7D">
            <w:pPr>
              <w:pStyle w:val="10"/>
            </w:pPr>
            <w:r>
              <w:t>单位    资金</w:t>
            </w:r>
          </w:p>
        </w:tc>
        <w:tc>
          <w:tcPr>
            <w:tcW w:w="964" w:type="dxa"/>
            <w:vAlign w:val="center"/>
          </w:tcPr>
          <w:p w14:paraId="6441F1B6">
            <w:pPr>
              <w:pStyle w:val="10"/>
            </w:pPr>
            <w:r>
              <w:t>财政拨款结转</w:t>
            </w:r>
          </w:p>
        </w:tc>
        <w:tc>
          <w:tcPr>
            <w:tcW w:w="964" w:type="dxa"/>
            <w:vAlign w:val="center"/>
          </w:tcPr>
          <w:p w14:paraId="6A281881">
            <w:pPr>
              <w:pStyle w:val="10"/>
            </w:pPr>
            <w:r>
              <w:t>非财政拨款结余</w:t>
            </w:r>
          </w:p>
        </w:tc>
        <w:tc>
          <w:tcPr>
            <w:tcW w:w="964" w:type="dxa"/>
            <w:vMerge w:val="continue"/>
          </w:tcPr>
          <w:p w14:paraId="751D25EC"/>
        </w:tc>
      </w:tr>
      <w:tr w14:paraId="20BF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EDC367">
            <w:pPr>
              <w:pStyle w:val="12"/>
            </w:pPr>
          </w:p>
        </w:tc>
        <w:tc>
          <w:tcPr>
            <w:tcW w:w="964" w:type="dxa"/>
            <w:vAlign w:val="center"/>
          </w:tcPr>
          <w:p w14:paraId="70D1569A">
            <w:pPr>
              <w:pStyle w:val="11"/>
            </w:pPr>
          </w:p>
        </w:tc>
        <w:tc>
          <w:tcPr>
            <w:tcW w:w="1134" w:type="dxa"/>
            <w:vAlign w:val="center"/>
          </w:tcPr>
          <w:p w14:paraId="25256425">
            <w:pPr>
              <w:pStyle w:val="12"/>
            </w:pPr>
          </w:p>
        </w:tc>
        <w:tc>
          <w:tcPr>
            <w:tcW w:w="1134" w:type="dxa"/>
            <w:vAlign w:val="center"/>
          </w:tcPr>
          <w:p w14:paraId="6B9FF2AB">
            <w:pPr>
              <w:pStyle w:val="12"/>
            </w:pPr>
          </w:p>
        </w:tc>
        <w:tc>
          <w:tcPr>
            <w:tcW w:w="709" w:type="dxa"/>
            <w:vAlign w:val="center"/>
          </w:tcPr>
          <w:p w14:paraId="201AEF95">
            <w:pPr>
              <w:pStyle w:val="13"/>
            </w:pPr>
          </w:p>
        </w:tc>
        <w:tc>
          <w:tcPr>
            <w:tcW w:w="850" w:type="dxa"/>
            <w:vAlign w:val="center"/>
          </w:tcPr>
          <w:p w14:paraId="4A70618B">
            <w:pPr>
              <w:pStyle w:val="11"/>
            </w:pPr>
          </w:p>
        </w:tc>
        <w:tc>
          <w:tcPr>
            <w:tcW w:w="850" w:type="dxa"/>
            <w:vAlign w:val="center"/>
          </w:tcPr>
          <w:p w14:paraId="622617B7">
            <w:pPr>
              <w:pStyle w:val="11"/>
            </w:pPr>
          </w:p>
        </w:tc>
        <w:tc>
          <w:tcPr>
            <w:tcW w:w="964" w:type="dxa"/>
            <w:vAlign w:val="center"/>
          </w:tcPr>
          <w:p w14:paraId="4D09BCFC">
            <w:pPr>
              <w:pStyle w:val="11"/>
            </w:pPr>
          </w:p>
        </w:tc>
        <w:tc>
          <w:tcPr>
            <w:tcW w:w="964" w:type="dxa"/>
            <w:vAlign w:val="center"/>
          </w:tcPr>
          <w:p w14:paraId="364AF499">
            <w:pPr>
              <w:pStyle w:val="11"/>
            </w:pPr>
          </w:p>
        </w:tc>
        <w:tc>
          <w:tcPr>
            <w:tcW w:w="964" w:type="dxa"/>
            <w:vAlign w:val="center"/>
          </w:tcPr>
          <w:p w14:paraId="6E116F77">
            <w:pPr>
              <w:pStyle w:val="11"/>
            </w:pPr>
          </w:p>
        </w:tc>
        <w:tc>
          <w:tcPr>
            <w:tcW w:w="964" w:type="dxa"/>
            <w:vAlign w:val="center"/>
          </w:tcPr>
          <w:p w14:paraId="2E1555DF">
            <w:pPr>
              <w:pStyle w:val="11"/>
            </w:pPr>
          </w:p>
        </w:tc>
        <w:tc>
          <w:tcPr>
            <w:tcW w:w="964" w:type="dxa"/>
            <w:vAlign w:val="center"/>
          </w:tcPr>
          <w:p w14:paraId="0BF6F0D2">
            <w:pPr>
              <w:pStyle w:val="11"/>
            </w:pPr>
          </w:p>
        </w:tc>
        <w:tc>
          <w:tcPr>
            <w:tcW w:w="964" w:type="dxa"/>
            <w:vAlign w:val="center"/>
          </w:tcPr>
          <w:p w14:paraId="24A9040F">
            <w:pPr>
              <w:pStyle w:val="11"/>
            </w:pPr>
          </w:p>
        </w:tc>
        <w:tc>
          <w:tcPr>
            <w:tcW w:w="964" w:type="dxa"/>
            <w:vAlign w:val="center"/>
          </w:tcPr>
          <w:p w14:paraId="7D0CA8C1">
            <w:pPr>
              <w:pStyle w:val="11"/>
            </w:pPr>
          </w:p>
        </w:tc>
        <w:tc>
          <w:tcPr>
            <w:tcW w:w="964" w:type="dxa"/>
            <w:vAlign w:val="center"/>
          </w:tcPr>
          <w:p w14:paraId="7F98F17D">
            <w:pPr>
              <w:pStyle w:val="11"/>
            </w:pPr>
          </w:p>
        </w:tc>
        <w:tc>
          <w:tcPr>
            <w:tcW w:w="964" w:type="dxa"/>
            <w:vAlign w:val="center"/>
          </w:tcPr>
          <w:p w14:paraId="16F0CB0A">
            <w:pPr>
              <w:pStyle w:val="11"/>
            </w:pPr>
          </w:p>
        </w:tc>
      </w:tr>
    </w:tbl>
    <w:p w14:paraId="4B315C7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FCA89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E3580BD">
      <w:pPr>
        <w:spacing w:before="0" w:after="0"/>
        <w:ind w:firstLine="640"/>
        <w:jc w:val="left"/>
        <w:outlineLvl w:val="9"/>
      </w:pPr>
      <w:r>
        <w:rPr>
          <w:rFonts w:ascii="Times New Roman" w:hAnsi="Times New Roman" w:eastAsia="方正仿宋_GBK" w:cs="Times New Roman"/>
          <w:color w:val="000000"/>
          <w:sz w:val="32"/>
        </w:rPr>
        <w:t xml:space="preserve"> </w:t>
      </w:r>
    </w:p>
    <w:p w14:paraId="3D449EB7">
      <w:pPr>
        <w:spacing w:before="10" w:after="10" w:line="240" w:lineRule="auto"/>
        <w:ind w:firstLine="640"/>
        <w:jc w:val="left"/>
        <w:outlineLvl w:val="5"/>
      </w:pPr>
      <w:r>
        <w:rPr>
          <w:rFonts w:ascii="黑体" w:hAnsi="黑体" w:eastAsia="黑体" w:cs="黑体"/>
          <w:color w:val="000000"/>
          <w:sz w:val="32"/>
        </w:rPr>
        <w:t>七、国有资产信息</w:t>
      </w:r>
    </w:p>
    <w:p w14:paraId="3A19AA61">
      <w:pPr>
        <w:spacing w:before="0" w:after="0" w:line="500" w:lineRule="exact"/>
        <w:ind w:firstLine="560"/>
        <w:jc w:val="left"/>
        <w:outlineLvl w:val="9"/>
      </w:pPr>
      <w:r>
        <w:rPr>
          <w:rFonts w:ascii="Times New Roman" w:hAnsi="Times New Roman" w:eastAsia="方正仿宋_GBK" w:cs="Times New Roman"/>
          <w:b w:val="0"/>
          <w:color w:val="000000"/>
          <w:sz w:val="28"/>
        </w:rPr>
        <w:t>隆尧县实验幼儿园上年末固定资产金额为925.00万元（详见下表）。本年度拟购置固定资产总额为0.00万元，已按要求列入政府采购预算，详见政府采购预算表。</w:t>
      </w:r>
    </w:p>
    <w:p w14:paraId="2EE1CE1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A7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C5718A">
            <w:pPr>
              <w:pStyle w:val="9"/>
            </w:pPr>
            <w:r>
              <w:t>360029隆尧县实验幼儿园</w:t>
            </w:r>
          </w:p>
        </w:tc>
        <w:tc>
          <w:tcPr>
            <w:tcW w:w="5670" w:type="dxa"/>
            <w:gridSpan w:val="2"/>
            <w:tcBorders>
              <w:top w:val="single" w:color="FFFFFF" w:sz="6" w:space="0"/>
              <w:left w:val="single" w:color="FFFFFF" w:sz="6" w:space="0"/>
              <w:right w:val="single" w:color="FFFFFF" w:sz="6" w:space="0"/>
            </w:tcBorders>
            <w:vAlign w:val="center"/>
          </w:tcPr>
          <w:p w14:paraId="1DD802F6">
            <w:pPr>
              <w:pStyle w:val="7"/>
            </w:pPr>
            <w:r>
              <w:t>截止时间：2025-12-31</w:t>
            </w:r>
          </w:p>
        </w:tc>
      </w:tr>
      <w:tr w14:paraId="46CC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B6D5B9">
            <w:pPr>
              <w:pStyle w:val="10"/>
            </w:pPr>
            <w:r>
              <w:t>项   目</w:t>
            </w:r>
          </w:p>
        </w:tc>
        <w:tc>
          <w:tcPr>
            <w:tcW w:w="2835" w:type="dxa"/>
            <w:vAlign w:val="center"/>
          </w:tcPr>
          <w:p w14:paraId="37C832D2">
            <w:pPr>
              <w:pStyle w:val="10"/>
            </w:pPr>
            <w:r>
              <w:t>数量</w:t>
            </w:r>
          </w:p>
        </w:tc>
        <w:tc>
          <w:tcPr>
            <w:tcW w:w="2835" w:type="dxa"/>
            <w:vAlign w:val="center"/>
          </w:tcPr>
          <w:p w14:paraId="0AA5E83F">
            <w:pPr>
              <w:pStyle w:val="10"/>
            </w:pPr>
            <w:r>
              <w:t>价值（金额单位：万元）</w:t>
            </w:r>
          </w:p>
        </w:tc>
      </w:tr>
      <w:tr w14:paraId="1E0A1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26265C">
            <w:pPr>
              <w:pStyle w:val="12"/>
            </w:pPr>
            <w:r>
              <w:t>资产总额</w:t>
            </w:r>
          </w:p>
        </w:tc>
        <w:tc>
          <w:tcPr>
            <w:tcW w:w="2835" w:type="dxa"/>
            <w:vAlign w:val="center"/>
          </w:tcPr>
          <w:p w14:paraId="0C91F57F">
            <w:pPr>
              <w:pStyle w:val="13"/>
            </w:pPr>
          </w:p>
        </w:tc>
        <w:tc>
          <w:tcPr>
            <w:tcW w:w="2835" w:type="dxa"/>
            <w:vAlign w:val="center"/>
          </w:tcPr>
          <w:p w14:paraId="721C1EFA">
            <w:pPr>
              <w:pStyle w:val="11"/>
            </w:pPr>
            <w:r>
              <w:t>925.00</w:t>
            </w:r>
          </w:p>
        </w:tc>
      </w:tr>
      <w:tr w14:paraId="38D0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6A0C5A">
            <w:pPr>
              <w:pStyle w:val="12"/>
            </w:pPr>
            <w:r>
              <w:t>1、房屋（平方米）</w:t>
            </w:r>
          </w:p>
        </w:tc>
        <w:tc>
          <w:tcPr>
            <w:tcW w:w="2835" w:type="dxa"/>
            <w:vAlign w:val="center"/>
          </w:tcPr>
          <w:p w14:paraId="2BFD363E">
            <w:pPr>
              <w:pStyle w:val="13"/>
            </w:pPr>
            <w:r>
              <w:t>3567</w:t>
            </w:r>
          </w:p>
        </w:tc>
        <w:tc>
          <w:tcPr>
            <w:tcW w:w="2835" w:type="dxa"/>
            <w:vAlign w:val="center"/>
          </w:tcPr>
          <w:p w14:paraId="31A56866">
            <w:pPr>
              <w:pStyle w:val="11"/>
            </w:pPr>
            <w:r>
              <w:t>887.72</w:t>
            </w:r>
          </w:p>
        </w:tc>
      </w:tr>
      <w:tr w14:paraId="1FBB6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CC5767">
            <w:pPr>
              <w:pStyle w:val="12"/>
            </w:pPr>
            <w:r>
              <w:t>　　其中：办公用房（平方米）</w:t>
            </w:r>
          </w:p>
        </w:tc>
        <w:tc>
          <w:tcPr>
            <w:tcW w:w="2835" w:type="dxa"/>
            <w:vAlign w:val="center"/>
          </w:tcPr>
          <w:p w14:paraId="6E231174">
            <w:pPr>
              <w:pStyle w:val="13"/>
            </w:pPr>
            <w:r>
              <w:t>800</w:t>
            </w:r>
          </w:p>
        </w:tc>
        <w:tc>
          <w:tcPr>
            <w:tcW w:w="2835" w:type="dxa"/>
            <w:vAlign w:val="center"/>
          </w:tcPr>
          <w:p w14:paraId="139137D6">
            <w:pPr>
              <w:pStyle w:val="11"/>
            </w:pPr>
            <w:r>
              <w:t>196.51</w:t>
            </w:r>
          </w:p>
        </w:tc>
      </w:tr>
      <w:tr w14:paraId="4052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CD4F40">
            <w:pPr>
              <w:pStyle w:val="12"/>
            </w:pPr>
            <w:r>
              <w:t>2、车辆（台、辆）</w:t>
            </w:r>
          </w:p>
        </w:tc>
        <w:tc>
          <w:tcPr>
            <w:tcW w:w="2835" w:type="dxa"/>
            <w:vAlign w:val="center"/>
          </w:tcPr>
          <w:p w14:paraId="0F020148">
            <w:pPr>
              <w:pStyle w:val="13"/>
            </w:pPr>
          </w:p>
        </w:tc>
        <w:tc>
          <w:tcPr>
            <w:tcW w:w="2835" w:type="dxa"/>
            <w:vAlign w:val="center"/>
          </w:tcPr>
          <w:p w14:paraId="301B41F2">
            <w:pPr>
              <w:pStyle w:val="11"/>
            </w:pPr>
          </w:p>
        </w:tc>
      </w:tr>
      <w:tr w14:paraId="0A18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55DB00">
            <w:pPr>
              <w:pStyle w:val="12"/>
            </w:pPr>
            <w:r>
              <w:t>3、单价在20万元以上的设备</w:t>
            </w:r>
          </w:p>
        </w:tc>
        <w:tc>
          <w:tcPr>
            <w:tcW w:w="2835" w:type="dxa"/>
            <w:vAlign w:val="center"/>
          </w:tcPr>
          <w:p w14:paraId="3417C2AB">
            <w:pPr>
              <w:pStyle w:val="13"/>
            </w:pPr>
          </w:p>
        </w:tc>
        <w:tc>
          <w:tcPr>
            <w:tcW w:w="2835" w:type="dxa"/>
            <w:vAlign w:val="center"/>
          </w:tcPr>
          <w:p w14:paraId="4D5757DE">
            <w:pPr>
              <w:pStyle w:val="11"/>
            </w:pPr>
          </w:p>
        </w:tc>
      </w:tr>
      <w:tr w14:paraId="49BD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009C25">
            <w:pPr>
              <w:pStyle w:val="12"/>
            </w:pPr>
            <w:r>
              <w:t>4、其他固定资产</w:t>
            </w:r>
          </w:p>
        </w:tc>
        <w:tc>
          <w:tcPr>
            <w:tcW w:w="2835" w:type="dxa"/>
            <w:vAlign w:val="center"/>
          </w:tcPr>
          <w:p w14:paraId="65F3D28E">
            <w:pPr>
              <w:pStyle w:val="13"/>
            </w:pPr>
            <w:r>
              <w:t>38</w:t>
            </w:r>
          </w:p>
        </w:tc>
        <w:tc>
          <w:tcPr>
            <w:tcW w:w="2835" w:type="dxa"/>
            <w:vAlign w:val="center"/>
          </w:tcPr>
          <w:p w14:paraId="31848728">
            <w:pPr>
              <w:pStyle w:val="11"/>
            </w:pPr>
            <w:r>
              <w:t>37.28</w:t>
            </w:r>
          </w:p>
        </w:tc>
      </w:tr>
    </w:tbl>
    <w:p w14:paraId="7CF06681">
      <w:pPr>
        <w:spacing w:before="0" w:after="0"/>
        <w:ind w:firstLine="640"/>
        <w:jc w:val="left"/>
        <w:outlineLvl w:val="9"/>
      </w:pPr>
      <w:r>
        <w:rPr>
          <w:rFonts w:ascii="Times New Roman" w:hAnsi="Times New Roman" w:eastAsia="方正仿宋_GBK" w:cs="Times New Roman"/>
          <w:color w:val="000000"/>
          <w:sz w:val="32"/>
        </w:rPr>
        <w:t xml:space="preserve"> </w:t>
      </w:r>
    </w:p>
    <w:p w14:paraId="237B8127">
      <w:pPr>
        <w:spacing w:before="10" w:after="10" w:line="240" w:lineRule="auto"/>
        <w:ind w:firstLine="640"/>
        <w:jc w:val="left"/>
        <w:outlineLvl w:val="5"/>
      </w:pPr>
      <w:r>
        <w:rPr>
          <w:rFonts w:ascii="黑体" w:hAnsi="黑体" w:eastAsia="黑体" w:cs="黑体"/>
          <w:color w:val="000000"/>
          <w:sz w:val="32"/>
        </w:rPr>
        <w:t>八、名词解释</w:t>
      </w:r>
    </w:p>
    <w:p w14:paraId="37E2CB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176BA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0BDED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A18DC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E12E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0637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26AC6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9CE4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35E60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56D62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50169F">
      <w:pPr>
        <w:spacing w:before="10" w:after="10" w:line="240" w:lineRule="auto"/>
        <w:ind w:firstLine="640"/>
        <w:jc w:val="left"/>
        <w:outlineLvl w:val="5"/>
      </w:pPr>
      <w:r>
        <w:rPr>
          <w:rFonts w:ascii="黑体" w:hAnsi="黑体" w:eastAsia="黑体" w:cs="黑体"/>
          <w:color w:val="000000"/>
          <w:sz w:val="32"/>
        </w:rPr>
        <w:t>九、其他需要说明的事项</w:t>
      </w:r>
    </w:p>
    <w:p w14:paraId="13C9967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6D61C96">
      <w:pPr>
        <w:spacing w:before="0" w:after="0"/>
        <w:ind w:firstLine="0"/>
        <w:jc w:val="center"/>
        <w:outlineLvl w:val="3"/>
      </w:pPr>
      <w:bookmarkStart w:id="28" w:name="_Toc_4_4_0000000029"/>
      <w:r>
        <w:rPr>
          <w:rFonts w:ascii="方正小标宋_GBK" w:hAnsi="方正小标宋_GBK" w:eastAsia="方正小标宋_GBK" w:cs="方正小标宋_GBK"/>
          <w:b w:val="0"/>
          <w:color w:val="000000"/>
          <w:sz w:val="44"/>
        </w:rPr>
        <w:t>二十九、隆尧县第二实验小学收支预算</w:t>
      </w:r>
      <w:bookmarkEnd w:id="28"/>
    </w:p>
    <w:p w14:paraId="7CAE6B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12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C0BB17">
            <w:pPr>
              <w:pStyle w:val="9"/>
            </w:pPr>
            <w:r>
              <w:t>360030隆尧县第二实验小学</w:t>
            </w:r>
          </w:p>
        </w:tc>
        <w:tc>
          <w:tcPr>
            <w:tcW w:w="2126" w:type="dxa"/>
            <w:tcBorders>
              <w:top w:val="single" w:color="FFFFFF" w:sz="6" w:space="0"/>
              <w:left w:val="single" w:color="FFFFFF" w:sz="6" w:space="0"/>
              <w:right w:val="single" w:color="FFFFFF" w:sz="6" w:space="0"/>
            </w:tcBorders>
            <w:vAlign w:val="center"/>
          </w:tcPr>
          <w:p w14:paraId="658ADEC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8A276C6">
            <w:pPr>
              <w:pStyle w:val="7"/>
            </w:pPr>
            <w:r>
              <w:t>单位：万元</w:t>
            </w:r>
          </w:p>
        </w:tc>
      </w:tr>
      <w:tr w14:paraId="3C92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BC829">
            <w:pPr>
              <w:pStyle w:val="10"/>
            </w:pPr>
            <w:r>
              <w:t>序号</w:t>
            </w:r>
          </w:p>
        </w:tc>
        <w:tc>
          <w:tcPr>
            <w:tcW w:w="6661" w:type="dxa"/>
            <w:gridSpan w:val="2"/>
            <w:vAlign w:val="center"/>
          </w:tcPr>
          <w:p w14:paraId="7387C96F">
            <w:pPr>
              <w:pStyle w:val="10"/>
            </w:pPr>
            <w:r>
              <w:t>收入</w:t>
            </w:r>
          </w:p>
        </w:tc>
        <w:tc>
          <w:tcPr>
            <w:tcW w:w="6661" w:type="dxa"/>
            <w:gridSpan w:val="2"/>
            <w:vAlign w:val="center"/>
          </w:tcPr>
          <w:p w14:paraId="5B0E88B3">
            <w:pPr>
              <w:pStyle w:val="10"/>
            </w:pPr>
            <w:r>
              <w:t>支出</w:t>
            </w:r>
          </w:p>
        </w:tc>
      </w:tr>
      <w:tr w14:paraId="4080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54F3AA"/>
        </w:tc>
        <w:tc>
          <w:tcPr>
            <w:tcW w:w="4535" w:type="dxa"/>
            <w:vAlign w:val="center"/>
          </w:tcPr>
          <w:p w14:paraId="09C46BCB">
            <w:pPr>
              <w:pStyle w:val="10"/>
            </w:pPr>
            <w:r>
              <w:t>项  目</w:t>
            </w:r>
          </w:p>
        </w:tc>
        <w:tc>
          <w:tcPr>
            <w:tcW w:w="2126" w:type="dxa"/>
            <w:vAlign w:val="center"/>
          </w:tcPr>
          <w:p w14:paraId="458173EB">
            <w:pPr>
              <w:pStyle w:val="10"/>
            </w:pPr>
            <w:r>
              <w:t>预算数</w:t>
            </w:r>
          </w:p>
        </w:tc>
        <w:tc>
          <w:tcPr>
            <w:tcW w:w="4535" w:type="dxa"/>
            <w:vAlign w:val="center"/>
          </w:tcPr>
          <w:p w14:paraId="5C27A5B4">
            <w:pPr>
              <w:pStyle w:val="10"/>
            </w:pPr>
            <w:r>
              <w:t>项  目</w:t>
            </w:r>
          </w:p>
        </w:tc>
        <w:tc>
          <w:tcPr>
            <w:tcW w:w="2126" w:type="dxa"/>
            <w:vAlign w:val="center"/>
          </w:tcPr>
          <w:p w14:paraId="179B9328">
            <w:pPr>
              <w:pStyle w:val="10"/>
            </w:pPr>
            <w:r>
              <w:t>预算数</w:t>
            </w:r>
          </w:p>
        </w:tc>
      </w:tr>
      <w:tr w14:paraId="051B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6324F3">
            <w:pPr>
              <w:pStyle w:val="10"/>
            </w:pPr>
            <w:r>
              <w:t>栏次</w:t>
            </w:r>
          </w:p>
        </w:tc>
        <w:tc>
          <w:tcPr>
            <w:tcW w:w="4535" w:type="dxa"/>
            <w:vAlign w:val="center"/>
          </w:tcPr>
          <w:p w14:paraId="252AFC1E">
            <w:pPr>
              <w:pStyle w:val="10"/>
            </w:pPr>
            <w:r>
              <w:t>1</w:t>
            </w:r>
          </w:p>
        </w:tc>
        <w:tc>
          <w:tcPr>
            <w:tcW w:w="2126" w:type="dxa"/>
            <w:vAlign w:val="center"/>
          </w:tcPr>
          <w:p w14:paraId="22578E35">
            <w:pPr>
              <w:pStyle w:val="10"/>
            </w:pPr>
            <w:r>
              <w:t>2</w:t>
            </w:r>
          </w:p>
        </w:tc>
        <w:tc>
          <w:tcPr>
            <w:tcW w:w="4535" w:type="dxa"/>
            <w:vAlign w:val="center"/>
          </w:tcPr>
          <w:p w14:paraId="7C3D36B8">
            <w:pPr>
              <w:pStyle w:val="10"/>
            </w:pPr>
            <w:r>
              <w:t>3</w:t>
            </w:r>
          </w:p>
        </w:tc>
        <w:tc>
          <w:tcPr>
            <w:tcW w:w="2126" w:type="dxa"/>
            <w:vAlign w:val="center"/>
          </w:tcPr>
          <w:p w14:paraId="226AD348">
            <w:pPr>
              <w:pStyle w:val="10"/>
            </w:pPr>
            <w:r>
              <w:t>4</w:t>
            </w:r>
          </w:p>
        </w:tc>
      </w:tr>
      <w:tr w14:paraId="15E0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ED836">
            <w:pPr>
              <w:pStyle w:val="13"/>
            </w:pPr>
            <w:r>
              <w:t>1</w:t>
            </w:r>
          </w:p>
        </w:tc>
        <w:tc>
          <w:tcPr>
            <w:tcW w:w="4535" w:type="dxa"/>
            <w:vAlign w:val="center"/>
          </w:tcPr>
          <w:p w14:paraId="44DEFA9F">
            <w:pPr>
              <w:pStyle w:val="12"/>
            </w:pPr>
            <w:r>
              <w:t>一、一般公共预算拨款收入</w:t>
            </w:r>
          </w:p>
        </w:tc>
        <w:tc>
          <w:tcPr>
            <w:tcW w:w="2126" w:type="dxa"/>
            <w:vAlign w:val="center"/>
          </w:tcPr>
          <w:p w14:paraId="3073ACC3">
            <w:pPr>
              <w:pStyle w:val="11"/>
            </w:pPr>
            <w:r>
              <w:t>1905.19</w:t>
            </w:r>
          </w:p>
        </w:tc>
        <w:tc>
          <w:tcPr>
            <w:tcW w:w="4535" w:type="dxa"/>
            <w:vAlign w:val="center"/>
          </w:tcPr>
          <w:p w14:paraId="10557B53">
            <w:pPr>
              <w:pStyle w:val="12"/>
            </w:pPr>
            <w:r>
              <w:t>一、一般公共服务支出</w:t>
            </w:r>
          </w:p>
        </w:tc>
        <w:tc>
          <w:tcPr>
            <w:tcW w:w="2126" w:type="dxa"/>
            <w:vAlign w:val="center"/>
          </w:tcPr>
          <w:p w14:paraId="26F8F3A6">
            <w:pPr>
              <w:pStyle w:val="11"/>
            </w:pPr>
          </w:p>
        </w:tc>
      </w:tr>
      <w:tr w14:paraId="7B41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D5A7C">
            <w:pPr>
              <w:pStyle w:val="13"/>
            </w:pPr>
            <w:r>
              <w:t>2</w:t>
            </w:r>
          </w:p>
        </w:tc>
        <w:tc>
          <w:tcPr>
            <w:tcW w:w="4535" w:type="dxa"/>
            <w:vAlign w:val="center"/>
          </w:tcPr>
          <w:p w14:paraId="0780E552">
            <w:pPr>
              <w:pStyle w:val="12"/>
            </w:pPr>
            <w:r>
              <w:t>二、政府性基金预算拨款收入</w:t>
            </w:r>
          </w:p>
        </w:tc>
        <w:tc>
          <w:tcPr>
            <w:tcW w:w="2126" w:type="dxa"/>
            <w:vAlign w:val="center"/>
          </w:tcPr>
          <w:p w14:paraId="374C9FA4">
            <w:pPr>
              <w:pStyle w:val="11"/>
            </w:pPr>
          </w:p>
        </w:tc>
        <w:tc>
          <w:tcPr>
            <w:tcW w:w="4535" w:type="dxa"/>
            <w:vAlign w:val="center"/>
          </w:tcPr>
          <w:p w14:paraId="5D1E2C7D">
            <w:pPr>
              <w:pStyle w:val="12"/>
            </w:pPr>
            <w:r>
              <w:t>二、外交支出</w:t>
            </w:r>
          </w:p>
        </w:tc>
        <w:tc>
          <w:tcPr>
            <w:tcW w:w="2126" w:type="dxa"/>
            <w:vAlign w:val="center"/>
          </w:tcPr>
          <w:p w14:paraId="76938BF8">
            <w:pPr>
              <w:pStyle w:val="11"/>
            </w:pPr>
          </w:p>
        </w:tc>
      </w:tr>
      <w:tr w14:paraId="4AC9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97D6F">
            <w:pPr>
              <w:pStyle w:val="13"/>
            </w:pPr>
            <w:r>
              <w:t>3</w:t>
            </w:r>
          </w:p>
        </w:tc>
        <w:tc>
          <w:tcPr>
            <w:tcW w:w="4535" w:type="dxa"/>
            <w:vAlign w:val="center"/>
          </w:tcPr>
          <w:p w14:paraId="7E0ED1EA">
            <w:pPr>
              <w:pStyle w:val="12"/>
            </w:pPr>
            <w:r>
              <w:t>三、国有资本经营预算拨款收入</w:t>
            </w:r>
          </w:p>
        </w:tc>
        <w:tc>
          <w:tcPr>
            <w:tcW w:w="2126" w:type="dxa"/>
            <w:vAlign w:val="center"/>
          </w:tcPr>
          <w:p w14:paraId="4F2308BF">
            <w:pPr>
              <w:pStyle w:val="11"/>
            </w:pPr>
          </w:p>
        </w:tc>
        <w:tc>
          <w:tcPr>
            <w:tcW w:w="4535" w:type="dxa"/>
            <w:vAlign w:val="center"/>
          </w:tcPr>
          <w:p w14:paraId="01E75CA4">
            <w:pPr>
              <w:pStyle w:val="12"/>
            </w:pPr>
            <w:r>
              <w:t>三、国防支出</w:t>
            </w:r>
          </w:p>
        </w:tc>
        <w:tc>
          <w:tcPr>
            <w:tcW w:w="2126" w:type="dxa"/>
            <w:vAlign w:val="center"/>
          </w:tcPr>
          <w:p w14:paraId="5C7CFE0B">
            <w:pPr>
              <w:pStyle w:val="11"/>
            </w:pPr>
          </w:p>
        </w:tc>
      </w:tr>
      <w:tr w14:paraId="5BA5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8CF99">
            <w:pPr>
              <w:pStyle w:val="13"/>
            </w:pPr>
            <w:r>
              <w:t>4</w:t>
            </w:r>
          </w:p>
        </w:tc>
        <w:tc>
          <w:tcPr>
            <w:tcW w:w="4535" w:type="dxa"/>
            <w:vAlign w:val="center"/>
          </w:tcPr>
          <w:p w14:paraId="5E9C0ED1">
            <w:pPr>
              <w:pStyle w:val="12"/>
            </w:pPr>
            <w:r>
              <w:t>四、财政专户管理资金收入</w:t>
            </w:r>
          </w:p>
        </w:tc>
        <w:tc>
          <w:tcPr>
            <w:tcW w:w="2126" w:type="dxa"/>
            <w:vAlign w:val="center"/>
          </w:tcPr>
          <w:p w14:paraId="513FAE13">
            <w:pPr>
              <w:pStyle w:val="11"/>
            </w:pPr>
          </w:p>
        </w:tc>
        <w:tc>
          <w:tcPr>
            <w:tcW w:w="4535" w:type="dxa"/>
            <w:vAlign w:val="center"/>
          </w:tcPr>
          <w:p w14:paraId="7CFF3BE7">
            <w:pPr>
              <w:pStyle w:val="12"/>
            </w:pPr>
            <w:r>
              <w:t>四、公共安全支出</w:t>
            </w:r>
          </w:p>
        </w:tc>
        <w:tc>
          <w:tcPr>
            <w:tcW w:w="2126" w:type="dxa"/>
            <w:vAlign w:val="center"/>
          </w:tcPr>
          <w:p w14:paraId="43EC8795">
            <w:pPr>
              <w:pStyle w:val="11"/>
            </w:pPr>
          </w:p>
        </w:tc>
      </w:tr>
      <w:tr w14:paraId="11E4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552CF">
            <w:pPr>
              <w:pStyle w:val="13"/>
            </w:pPr>
            <w:r>
              <w:t>5</w:t>
            </w:r>
          </w:p>
        </w:tc>
        <w:tc>
          <w:tcPr>
            <w:tcW w:w="4535" w:type="dxa"/>
            <w:vAlign w:val="center"/>
          </w:tcPr>
          <w:p w14:paraId="273DBEC2">
            <w:pPr>
              <w:pStyle w:val="12"/>
            </w:pPr>
            <w:r>
              <w:t>五、单位资金</w:t>
            </w:r>
          </w:p>
        </w:tc>
        <w:tc>
          <w:tcPr>
            <w:tcW w:w="2126" w:type="dxa"/>
            <w:vAlign w:val="center"/>
          </w:tcPr>
          <w:p w14:paraId="4F8D7BE7">
            <w:pPr>
              <w:pStyle w:val="11"/>
            </w:pPr>
          </w:p>
        </w:tc>
        <w:tc>
          <w:tcPr>
            <w:tcW w:w="4535" w:type="dxa"/>
            <w:vAlign w:val="center"/>
          </w:tcPr>
          <w:p w14:paraId="5A0459F5">
            <w:pPr>
              <w:pStyle w:val="12"/>
            </w:pPr>
            <w:r>
              <w:t>五、教育支出</w:t>
            </w:r>
          </w:p>
        </w:tc>
        <w:tc>
          <w:tcPr>
            <w:tcW w:w="2126" w:type="dxa"/>
            <w:vAlign w:val="center"/>
          </w:tcPr>
          <w:p w14:paraId="41AFFB88">
            <w:pPr>
              <w:pStyle w:val="11"/>
            </w:pPr>
            <w:r>
              <w:t>1905.19</w:t>
            </w:r>
          </w:p>
        </w:tc>
      </w:tr>
      <w:tr w14:paraId="3109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0694">
            <w:pPr>
              <w:pStyle w:val="13"/>
            </w:pPr>
            <w:r>
              <w:t>6</w:t>
            </w:r>
          </w:p>
        </w:tc>
        <w:tc>
          <w:tcPr>
            <w:tcW w:w="4535" w:type="dxa"/>
            <w:vAlign w:val="center"/>
          </w:tcPr>
          <w:p w14:paraId="6227EA01">
            <w:pPr>
              <w:pStyle w:val="12"/>
            </w:pPr>
          </w:p>
        </w:tc>
        <w:tc>
          <w:tcPr>
            <w:tcW w:w="2126" w:type="dxa"/>
            <w:vAlign w:val="center"/>
          </w:tcPr>
          <w:p w14:paraId="0BE5FD7D">
            <w:pPr>
              <w:pStyle w:val="11"/>
            </w:pPr>
          </w:p>
        </w:tc>
        <w:tc>
          <w:tcPr>
            <w:tcW w:w="4535" w:type="dxa"/>
            <w:vAlign w:val="center"/>
          </w:tcPr>
          <w:p w14:paraId="055F0412">
            <w:pPr>
              <w:pStyle w:val="12"/>
            </w:pPr>
            <w:r>
              <w:t>六、科学技术支出</w:t>
            </w:r>
          </w:p>
        </w:tc>
        <w:tc>
          <w:tcPr>
            <w:tcW w:w="2126" w:type="dxa"/>
            <w:vAlign w:val="center"/>
          </w:tcPr>
          <w:p w14:paraId="03AB65D7">
            <w:pPr>
              <w:pStyle w:val="11"/>
            </w:pPr>
          </w:p>
        </w:tc>
      </w:tr>
      <w:tr w14:paraId="2C6C8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29906">
            <w:pPr>
              <w:pStyle w:val="13"/>
            </w:pPr>
            <w:r>
              <w:t>7</w:t>
            </w:r>
          </w:p>
        </w:tc>
        <w:tc>
          <w:tcPr>
            <w:tcW w:w="4535" w:type="dxa"/>
            <w:vAlign w:val="center"/>
          </w:tcPr>
          <w:p w14:paraId="76FEBE32">
            <w:pPr>
              <w:pStyle w:val="12"/>
            </w:pPr>
          </w:p>
        </w:tc>
        <w:tc>
          <w:tcPr>
            <w:tcW w:w="2126" w:type="dxa"/>
            <w:vAlign w:val="center"/>
          </w:tcPr>
          <w:p w14:paraId="4D3F5CCD">
            <w:pPr>
              <w:pStyle w:val="11"/>
            </w:pPr>
          </w:p>
        </w:tc>
        <w:tc>
          <w:tcPr>
            <w:tcW w:w="4535" w:type="dxa"/>
            <w:vAlign w:val="center"/>
          </w:tcPr>
          <w:p w14:paraId="20C71458">
            <w:pPr>
              <w:pStyle w:val="12"/>
            </w:pPr>
            <w:r>
              <w:t>七、文化旅游体育与传媒支出</w:t>
            </w:r>
          </w:p>
        </w:tc>
        <w:tc>
          <w:tcPr>
            <w:tcW w:w="2126" w:type="dxa"/>
            <w:vAlign w:val="center"/>
          </w:tcPr>
          <w:p w14:paraId="784695D9">
            <w:pPr>
              <w:pStyle w:val="11"/>
            </w:pPr>
          </w:p>
        </w:tc>
      </w:tr>
      <w:tr w14:paraId="5429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6C7A0">
            <w:pPr>
              <w:pStyle w:val="13"/>
            </w:pPr>
            <w:r>
              <w:t>8</w:t>
            </w:r>
          </w:p>
        </w:tc>
        <w:tc>
          <w:tcPr>
            <w:tcW w:w="4535" w:type="dxa"/>
            <w:vAlign w:val="center"/>
          </w:tcPr>
          <w:p w14:paraId="3A4C004B">
            <w:pPr>
              <w:pStyle w:val="12"/>
            </w:pPr>
          </w:p>
        </w:tc>
        <w:tc>
          <w:tcPr>
            <w:tcW w:w="2126" w:type="dxa"/>
            <w:vAlign w:val="center"/>
          </w:tcPr>
          <w:p w14:paraId="1176E505">
            <w:pPr>
              <w:pStyle w:val="11"/>
            </w:pPr>
          </w:p>
        </w:tc>
        <w:tc>
          <w:tcPr>
            <w:tcW w:w="4535" w:type="dxa"/>
            <w:vAlign w:val="center"/>
          </w:tcPr>
          <w:p w14:paraId="5D9663C4">
            <w:pPr>
              <w:pStyle w:val="12"/>
            </w:pPr>
            <w:r>
              <w:t>八、社会保障和就业支出</w:t>
            </w:r>
          </w:p>
        </w:tc>
        <w:tc>
          <w:tcPr>
            <w:tcW w:w="2126" w:type="dxa"/>
            <w:vAlign w:val="center"/>
          </w:tcPr>
          <w:p w14:paraId="27198FB5">
            <w:pPr>
              <w:pStyle w:val="11"/>
            </w:pPr>
          </w:p>
        </w:tc>
      </w:tr>
      <w:tr w14:paraId="3ECA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58CEE">
            <w:pPr>
              <w:pStyle w:val="13"/>
            </w:pPr>
            <w:r>
              <w:t>9</w:t>
            </w:r>
          </w:p>
        </w:tc>
        <w:tc>
          <w:tcPr>
            <w:tcW w:w="4535" w:type="dxa"/>
            <w:vAlign w:val="center"/>
          </w:tcPr>
          <w:p w14:paraId="1D97C546">
            <w:pPr>
              <w:pStyle w:val="12"/>
            </w:pPr>
          </w:p>
        </w:tc>
        <w:tc>
          <w:tcPr>
            <w:tcW w:w="2126" w:type="dxa"/>
            <w:vAlign w:val="center"/>
          </w:tcPr>
          <w:p w14:paraId="47A8E38A">
            <w:pPr>
              <w:pStyle w:val="11"/>
            </w:pPr>
          </w:p>
        </w:tc>
        <w:tc>
          <w:tcPr>
            <w:tcW w:w="4535" w:type="dxa"/>
            <w:vAlign w:val="center"/>
          </w:tcPr>
          <w:p w14:paraId="6AFEEE3B">
            <w:pPr>
              <w:pStyle w:val="12"/>
            </w:pPr>
            <w:r>
              <w:t>九、社会保险基金支出</w:t>
            </w:r>
          </w:p>
        </w:tc>
        <w:tc>
          <w:tcPr>
            <w:tcW w:w="2126" w:type="dxa"/>
            <w:vAlign w:val="center"/>
          </w:tcPr>
          <w:p w14:paraId="1246AD3C">
            <w:pPr>
              <w:pStyle w:val="11"/>
            </w:pPr>
          </w:p>
        </w:tc>
      </w:tr>
      <w:tr w14:paraId="5ED3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45D51">
            <w:pPr>
              <w:pStyle w:val="13"/>
            </w:pPr>
            <w:r>
              <w:t>10</w:t>
            </w:r>
          </w:p>
        </w:tc>
        <w:tc>
          <w:tcPr>
            <w:tcW w:w="4535" w:type="dxa"/>
            <w:vAlign w:val="center"/>
          </w:tcPr>
          <w:p w14:paraId="46B50F6D">
            <w:pPr>
              <w:pStyle w:val="12"/>
            </w:pPr>
          </w:p>
        </w:tc>
        <w:tc>
          <w:tcPr>
            <w:tcW w:w="2126" w:type="dxa"/>
            <w:vAlign w:val="center"/>
          </w:tcPr>
          <w:p w14:paraId="72BF0412">
            <w:pPr>
              <w:pStyle w:val="11"/>
            </w:pPr>
          </w:p>
        </w:tc>
        <w:tc>
          <w:tcPr>
            <w:tcW w:w="4535" w:type="dxa"/>
            <w:vAlign w:val="center"/>
          </w:tcPr>
          <w:p w14:paraId="648CEC01">
            <w:pPr>
              <w:pStyle w:val="12"/>
            </w:pPr>
            <w:r>
              <w:t>十、卫生健康支出</w:t>
            </w:r>
          </w:p>
        </w:tc>
        <w:tc>
          <w:tcPr>
            <w:tcW w:w="2126" w:type="dxa"/>
            <w:vAlign w:val="center"/>
          </w:tcPr>
          <w:p w14:paraId="6CAB41FD">
            <w:pPr>
              <w:pStyle w:val="11"/>
            </w:pPr>
          </w:p>
        </w:tc>
      </w:tr>
      <w:tr w14:paraId="00EA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55CC">
            <w:pPr>
              <w:pStyle w:val="13"/>
            </w:pPr>
            <w:r>
              <w:t>11</w:t>
            </w:r>
          </w:p>
        </w:tc>
        <w:tc>
          <w:tcPr>
            <w:tcW w:w="4535" w:type="dxa"/>
            <w:vAlign w:val="center"/>
          </w:tcPr>
          <w:p w14:paraId="1EA41201">
            <w:pPr>
              <w:pStyle w:val="12"/>
            </w:pPr>
          </w:p>
        </w:tc>
        <w:tc>
          <w:tcPr>
            <w:tcW w:w="2126" w:type="dxa"/>
            <w:vAlign w:val="center"/>
          </w:tcPr>
          <w:p w14:paraId="6CAFEE01">
            <w:pPr>
              <w:pStyle w:val="11"/>
            </w:pPr>
          </w:p>
        </w:tc>
        <w:tc>
          <w:tcPr>
            <w:tcW w:w="4535" w:type="dxa"/>
            <w:vAlign w:val="center"/>
          </w:tcPr>
          <w:p w14:paraId="19999787">
            <w:pPr>
              <w:pStyle w:val="12"/>
            </w:pPr>
            <w:r>
              <w:t>十一、节能环保支出</w:t>
            </w:r>
          </w:p>
        </w:tc>
        <w:tc>
          <w:tcPr>
            <w:tcW w:w="2126" w:type="dxa"/>
            <w:vAlign w:val="center"/>
          </w:tcPr>
          <w:p w14:paraId="0745F8B6">
            <w:pPr>
              <w:pStyle w:val="11"/>
            </w:pPr>
          </w:p>
        </w:tc>
      </w:tr>
      <w:tr w14:paraId="4AABB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3598">
            <w:pPr>
              <w:pStyle w:val="13"/>
            </w:pPr>
            <w:r>
              <w:t>12</w:t>
            </w:r>
          </w:p>
        </w:tc>
        <w:tc>
          <w:tcPr>
            <w:tcW w:w="4535" w:type="dxa"/>
            <w:vAlign w:val="center"/>
          </w:tcPr>
          <w:p w14:paraId="4219474D">
            <w:pPr>
              <w:pStyle w:val="12"/>
            </w:pPr>
          </w:p>
        </w:tc>
        <w:tc>
          <w:tcPr>
            <w:tcW w:w="2126" w:type="dxa"/>
            <w:vAlign w:val="center"/>
          </w:tcPr>
          <w:p w14:paraId="17F4D129">
            <w:pPr>
              <w:pStyle w:val="11"/>
            </w:pPr>
          </w:p>
        </w:tc>
        <w:tc>
          <w:tcPr>
            <w:tcW w:w="4535" w:type="dxa"/>
            <w:vAlign w:val="center"/>
          </w:tcPr>
          <w:p w14:paraId="3313DF44">
            <w:pPr>
              <w:pStyle w:val="12"/>
            </w:pPr>
            <w:r>
              <w:t>十二、城乡社区支出</w:t>
            </w:r>
          </w:p>
        </w:tc>
        <w:tc>
          <w:tcPr>
            <w:tcW w:w="2126" w:type="dxa"/>
            <w:vAlign w:val="center"/>
          </w:tcPr>
          <w:p w14:paraId="0BF6CE92">
            <w:pPr>
              <w:pStyle w:val="11"/>
            </w:pPr>
          </w:p>
        </w:tc>
      </w:tr>
      <w:tr w14:paraId="0CD9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8BF3E">
            <w:pPr>
              <w:pStyle w:val="13"/>
            </w:pPr>
            <w:r>
              <w:t>13</w:t>
            </w:r>
          </w:p>
        </w:tc>
        <w:tc>
          <w:tcPr>
            <w:tcW w:w="4535" w:type="dxa"/>
            <w:vAlign w:val="center"/>
          </w:tcPr>
          <w:p w14:paraId="3ACC71A4">
            <w:pPr>
              <w:pStyle w:val="12"/>
            </w:pPr>
          </w:p>
        </w:tc>
        <w:tc>
          <w:tcPr>
            <w:tcW w:w="2126" w:type="dxa"/>
            <w:vAlign w:val="center"/>
          </w:tcPr>
          <w:p w14:paraId="5B4378DA">
            <w:pPr>
              <w:pStyle w:val="11"/>
            </w:pPr>
          </w:p>
        </w:tc>
        <w:tc>
          <w:tcPr>
            <w:tcW w:w="4535" w:type="dxa"/>
            <w:vAlign w:val="center"/>
          </w:tcPr>
          <w:p w14:paraId="1FD5473A">
            <w:pPr>
              <w:pStyle w:val="12"/>
            </w:pPr>
            <w:r>
              <w:t>十三、农林水支出</w:t>
            </w:r>
          </w:p>
        </w:tc>
        <w:tc>
          <w:tcPr>
            <w:tcW w:w="2126" w:type="dxa"/>
            <w:vAlign w:val="center"/>
          </w:tcPr>
          <w:p w14:paraId="6EB570C5">
            <w:pPr>
              <w:pStyle w:val="11"/>
            </w:pPr>
          </w:p>
        </w:tc>
      </w:tr>
      <w:tr w14:paraId="205F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F140C">
            <w:pPr>
              <w:pStyle w:val="13"/>
            </w:pPr>
            <w:r>
              <w:t>14</w:t>
            </w:r>
          </w:p>
        </w:tc>
        <w:tc>
          <w:tcPr>
            <w:tcW w:w="4535" w:type="dxa"/>
            <w:vAlign w:val="center"/>
          </w:tcPr>
          <w:p w14:paraId="2CFD473F">
            <w:pPr>
              <w:pStyle w:val="12"/>
            </w:pPr>
          </w:p>
        </w:tc>
        <w:tc>
          <w:tcPr>
            <w:tcW w:w="2126" w:type="dxa"/>
            <w:vAlign w:val="center"/>
          </w:tcPr>
          <w:p w14:paraId="7933A82D">
            <w:pPr>
              <w:pStyle w:val="11"/>
            </w:pPr>
          </w:p>
        </w:tc>
        <w:tc>
          <w:tcPr>
            <w:tcW w:w="4535" w:type="dxa"/>
            <w:vAlign w:val="center"/>
          </w:tcPr>
          <w:p w14:paraId="43C0F402">
            <w:pPr>
              <w:pStyle w:val="12"/>
            </w:pPr>
            <w:r>
              <w:t>十四、交通运输支出</w:t>
            </w:r>
          </w:p>
        </w:tc>
        <w:tc>
          <w:tcPr>
            <w:tcW w:w="2126" w:type="dxa"/>
            <w:vAlign w:val="center"/>
          </w:tcPr>
          <w:p w14:paraId="4AF60509">
            <w:pPr>
              <w:pStyle w:val="11"/>
            </w:pPr>
          </w:p>
        </w:tc>
      </w:tr>
      <w:tr w14:paraId="02D8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9C7E">
            <w:pPr>
              <w:pStyle w:val="13"/>
            </w:pPr>
            <w:r>
              <w:t>15</w:t>
            </w:r>
          </w:p>
        </w:tc>
        <w:tc>
          <w:tcPr>
            <w:tcW w:w="4535" w:type="dxa"/>
            <w:vAlign w:val="center"/>
          </w:tcPr>
          <w:p w14:paraId="48A03FBE">
            <w:pPr>
              <w:pStyle w:val="12"/>
            </w:pPr>
          </w:p>
        </w:tc>
        <w:tc>
          <w:tcPr>
            <w:tcW w:w="2126" w:type="dxa"/>
            <w:vAlign w:val="center"/>
          </w:tcPr>
          <w:p w14:paraId="33EB8E97">
            <w:pPr>
              <w:pStyle w:val="11"/>
            </w:pPr>
          </w:p>
        </w:tc>
        <w:tc>
          <w:tcPr>
            <w:tcW w:w="4535" w:type="dxa"/>
            <w:vAlign w:val="center"/>
          </w:tcPr>
          <w:p w14:paraId="4036E3AF">
            <w:pPr>
              <w:pStyle w:val="12"/>
            </w:pPr>
            <w:r>
              <w:t>十五、资源勘探工业信息等支出</w:t>
            </w:r>
          </w:p>
        </w:tc>
        <w:tc>
          <w:tcPr>
            <w:tcW w:w="2126" w:type="dxa"/>
            <w:vAlign w:val="center"/>
          </w:tcPr>
          <w:p w14:paraId="0E5E1088">
            <w:pPr>
              <w:pStyle w:val="11"/>
            </w:pPr>
          </w:p>
        </w:tc>
      </w:tr>
      <w:tr w14:paraId="6E4D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FCE06">
            <w:pPr>
              <w:pStyle w:val="13"/>
            </w:pPr>
            <w:r>
              <w:t>16</w:t>
            </w:r>
          </w:p>
        </w:tc>
        <w:tc>
          <w:tcPr>
            <w:tcW w:w="4535" w:type="dxa"/>
            <w:vAlign w:val="center"/>
          </w:tcPr>
          <w:p w14:paraId="7BFA5024">
            <w:pPr>
              <w:pStyle w:val="12"/>
            </w:pPr>
          </w:p>
        </w:tc>
        <w:tc>
          <w:tcPr>
            <w:tcW w:w="2126" w:type="dxa"/>
            <w:vAlign w:val="center"/>
          </w:tcPr>
          <w:p w14:paraId="4F00A74C">
            <w:pPr>
              <w:pStyle w:val="11"/>
            </w:pPr>
          </w:p>
        </w:tc>
        <w:tc>
          <w:tcPr>
            <w:tcW w:w="4535" w:type="dxa"/>
            <w:vAlign w:val="center"/>
          </w:tcPr>
          <w:p w14:paraId="2EAF2164">
            <w:pPr>
              <w:pStyle w:val="12"/>
            </w:pPr>
            <w:r>
              <w:t>十六、商业服务业等支出</w:t>
            </w:r>
          </w:p>
        </w:tc>
        <w:tc>
          <w:tcPr>
            <w:tcW w:w="2126" w:type="dxa"/>
            <w:vAlign w:val="center"/>
          </w:tcPr>
          <w:p w14:paraId="76F58066">
            <w:pPr>
              <w:pStyle w:val="11"/>
            </w:pPr>
          </w:p>
        </w:tc>
      </w:tr>
      <w:tr w14:paraId="18D0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0D52">
            <w:pPr>
              <w:pStyle w:val="13"/>
            </w:pPr>
            <w:r>
              <w:t>17</w:t>
            </w:r>
          </w:p>
        </w:tc>
        <w:tc>
          <w:tcPr>
            <w:tcW w:w="4535" w:type="dxa"/>
            <w:vAlign w:val="center"/>
          </w:tcPr>
          <w:p w14:paraId="40FF1ADC">
            <w:pPr>
              <w:pStyle w:val="12"/>
            </w:pPr>
          </w:p>
        </w:tc>
        <w:tc>
          <w:tcPr>
            <w:tcW w:w="2126" w:type="dxa"/>
            <w:vAlign w:val="center"/>
          </w:tcPr>
          <w:p w14:paraId="67FD6307">
            <w:pPr>
              <w:pStyle w:val="11"/>
            </w:pPr>
          </w:p>
        </w:tc>
        <w:tc>
          <w:tcPr>
            <w:tcW w:w="4535" w:type="dxa"/>
            <w:vAlign w:val="center"/>
          </w:tcPr>
          <w:p w14:paraId="1E27566F">
            <w:pPr>
              <w:pStyle w:val="12"/>
            </w:pPr>
            <w:r>
              <w:t>十七、金融支出</w:t>
            </w:r>
          </w:p>
        </w:tc>
        <w:tc>
          <w:tcPr>
            <w:tcW w:w="2126" w:type="dxa"/>
            <w:vAlign w:val="center"/>
          </w:tcPr>
          <w:p w14:paraId="55C40691">
            <w:pPr>
              <w:pStyle w:val="11"/>
            </w:pPr>
          </w:p>
        </w:tc>
      </w:tr>
      <w:tr w14:paraId="4E07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2C14">
            <w:pPr>
              <w:pStyle w:val="13"/>
            </w:pPr>
            <w:r>
              <w:t>18</w:t>
            </w:r>
          </w:p>
        </w:tc>
        <w:tc>
          <w:tcPr>
            <w:tcW w:w="4535" w:type="dxa"/>
            <w:vAlign w:val="center"/>
          </w:tcPr>
          <w:p w14:paraId="00DCB2DD">
            <w:pPr>
              <w:pStyle w:val="12"/>
            </w:pPr>
          </w:p>
        </w:tc>
        <w:tc>
          <w:tcPr>
            <w:tcW w:w="2126" w:type="dxa"/>
            <w:vAlign w:val="center"/>
          </w:tcPr>
          <w:p w14:paraId="3C322D55">
            <w:pPr>
              <w:pStyle w:val="11"/>
            </w:pPr>
          </w:p>
        </w:tc>
        <w:tc>
          <w:tcPr>
            <w:tcW w:w="4535" w:type="dxa"/>
            <w:vAlign w:val="center"/>
          </w:tcPr>
          <w:p w14:paraId="6481F845">
            <w:pPr>
              <w:pStyle w:val="12"/>
            </w:pPr>
            <w:r>
              <w:t>十八、援助其他地区支出</w:t>
            </w:r>
          </w:p>
        </w:tc>
        <w:tc>
          <w:tcPr>
            <w:tcW w:w="2126" w:type="dxa"/>
            <w:vAlign w:val="center"/>
          </w:tcPr>
          <w:p w14:paraId="587AD5E1">
            <w:pPr>
              <w:pStyle w:val="11"/>
            </w:pPr>
          </w:p>
        </w:tc>
      </w:tr>
      <w:tr w14:paraId="543E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56E84">
            <w:pPr>
              <w:pStyle w:val="13"/>
            </w:pPr>
            <w:r>
              <w:t>19</w:t>
            </w:r>
          </w:p>
        </w:tc>
        <w:tc>
          <w:tcPr>
            <w:tcW w:w="4535" w:type="dxa"/>
            <w:vAlign w:val="center"/>
          </w:tcPr>
          <w:p w14:paraId="3B11BB17">
            <w:pPr>
              <w:pStyle w:val="12"/>
            </w:pPr>
          </w:p>
        </w:tc>
        <w:tc>
          <w:tcPr>
            <w:tcW w:w="2126" w:type="dxa"/>
            <w:vAlign w:val="center"/>
          </w:tcPr>
          <w:p w14:paraId="4AFC3BAF">
            <w:pPr>
              <w:pStyle w:val="11"/>
            </w:pPr>
          </w:p>
        </w:tc>
        <w:tc>
          <w:tcPr>
            <w:tcW w:w="4535" w:type="dxa"/>
            <w:vAlign w:val="center"/>
          </w:tcPr>
          <w:p w14:paraId="17EE8005">
            <w:pPr>
              <w:pStyle w:val="12"/>
            </w:pPr>
            <w:r>
              <w:t>十九、自然资源海洋气象等支出</w:t>
            </w:r>
          </w:p>
        </w:tc>
        <w:tc>
          <w:tcPr>
            <w:tcW w:w="2126" w:type="dxa"/>
            <w:vAlign w:val="center"/>
          </w:tcPr>
          <w:p w14:paraId="5A489205">
            <w:pPr>
              <w:pStyle w:val="11"/>
            </w:pPr>
          </w:p>
        </w:tc>
      </w:tr>
      <w:tr w14:paraId="0D95E9D0">
        <w:tblPrEx>
          <w:tblCellMar>
            <w:top w:w="0" w:type="dxa"/>
            <w:left w:w="108" w:type="dxa"/>
            <w:bottom w:w="0" w:type="dxa"/>
            <w:right w:w="108" w:type="dxa"/>
          </w:tblCellMar>
        </w:tblPrEx>
        <w:trPr>
          <w:trHeight w:val="369" w:hRule="atLeast"/>
          <w:jc w:val="center"/>
        </w:trPr>
        <w:tc>
          <w:tcPr>
            <w:tcW w:w="850" w:type="dxa"/>
            <w:vAlign w:val="center"/>
          </w:tcPr>
          <w:p w14:paraId="11ECA91C">
            <w:pPr>
              <w:pStyle w:val="13"/>
            </w:pPr>
            <w:r>
              <w:t>20</w:t>
            </w:r>
          </w:p>
        </w:tc>
        <w:tc>
          <w:tcPr>
            <w:tcW w:w="4535" w:type="dxa"/>
            <w:vAlign w:val="center"/>
          </w:tcPr>
          <w:p w14:paraId="33F588C6">
            <w:pPr>
              <w:pStyle w:val="12"/>
            </w:pPr>
          </w:p>
        </w:tc>
        <w:tc>
          <w:tcPr>
            <w:tcW w:w="2126" w:type="dxa"/>
            <w:vAlign w:val="center"/>
          </w:tcPr>
          <w:p w14:paraId="50B85BC7">
            <w:pPr>
              <w:pStyle w:val="11"/>
            </w:pPr>
          </w:p>
        </w:tc>
        <w:tc>
          <w:tcPr>
            <w:tcW w:w="4535" w:type="dxa"/>
            <w:vAlign w:val="center"/>
          </w:tcPr>
          <w:p w14:paraId="60C367EF">
            <w:pPr>
              <w:pStyle w:val="12"/>
            </w:pPr>
            <w:r>
              <w:t>二十、住房保障支出</w:t>
            </w:r>
          </w:p>
        </w:tc>
        <w:tc>
          <w:tcPr>
            <w:tcW w:w="2126" w:type="dxa"/>
            <w:vAlign w:val="center"/>
          </w:tcPr>
          <w:p w14:paraId="17ACD851">
            <w:pPr>
              <w:pStyle w:val="11"/>
            </w:pPr>
          </w:p>
        </w:tc>
      </w:tr>
      <w:tr w14:paraId="7C3E9759">
        <w:tblPrEx>
          <w:tblCellMar>
            <w:top w:w="0" w:type="dxa"/>
            <w:left w:w="108" w:type="dxa"/>
            <w:bottom w:w="0" w:type="dxa"/>
            <w:right w:w="108" w:type="dxa"/>
          </w:tblCellMar>
        </w:tblPrEx>
        <w:trPr>
          <w:trHeight w:val="369" w:hRule="atLeast"/>
          <w:jc w:val="center"/>
        </w:trPr>
        <w:tc>
          <w:tcPr>
            <w:tcW w:w="850" w:type="dxa"/>
            <w:vAlign w:val="center"/>
          </w:tcPr>
          <w:p w14:paraId="63C0BFCC">
            <w:pPr>
              <w:pStyle w:val="13"/>
            </w:pPr>
            <w:r>
              <w:t>21</w:t>
            </w:r>
          </w:p>
        </w:tc>
        <w:tc>
          <w:tcPr>
            <w:tcW w:w="4535" w:type="dxa"/>
            <w:vAlign w:val="center"/>
          </w:tcPr>
          <w:p w14:paraId="72B7628E">
            <w:pPr>
              <w:pStyle w:val="12"/>
            </w:pPr>
          </w:p>
        </w:tc>
        <w:tc>
          <w:tcPr>
            <w:tcW w:w="2126" w:type="dxa"/>
            <w:vAlign w:val="center"/>
          </w:tcPr>
          <w:p w14:paraId="1E2C94E5">
            <w:pPr>
              <w:pStyle w:val="11"/>
            </w:pPr>
          </w:p>
        </w:tc>
        <w:tc>
          <w:tcPr>
            <w:tcW w:w="4535" w:type="dxa"/>
            <w:vAlign w:val="center"/>
          </w:tcPr>
          <w:p w14:paraId="08687BC9">
            <w:pPr>
              <w:pStyle w:val="12"/>
            </w:pPr>
            <w:r>
              <w:t>二十一、粮油物资储备支出</w:t>
            </w:r>
          </w:p>
        </w:tc>
        <w:tc>
          <w:tcPr>
            <w:tcW w:w="2126" w:type="dxa"/>
            <w:vAlign w:val="center"/>
          </w:tcPr>
          <w:p w14:paraId="01AB0233">
            <w:pPr>
              <w:pStyle w:val="11"/>
            </w:pPr>
          </w:p>
        </w:tc>
      </w:tr>
      <w:tr w14:paraId="52B7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4D022">
            <w:pPr>
              <w:pStyle w:val="13"/>
            </w:pPr>
            <w:r>
              <w:t>22</w:t>
            </w:r>
          </w:p>
        </w:tc>
        <w:tc>
          <w:tcPr>
            <w:tcW w:w="4535" w:type="dxa"/>
            <w:vAlign w:val="center"/>
          </w:tcPr>
          <w:p w14:paraId="61E55C5A">
            <w:pPr>
              <w:pStyle w:val="12"/>
            </w:pPr>
          </w:p>
        </w:tc>
        <w:tc>
          <w:tcPr>
            <w:tcW w:w="2126" w:type="dxa"/>
            <w:vAlign w:val="center"/>
          </w:tcPr>
          <w:p w14:paraId="110554B1">
            <w:pPr>
              <w:pStyle w:val="11"/>
            </w:pPr>
          </w:p>
        </w:tc>
        <w:tc>
          <w:tcPr>
            <w:tcW w:w="4535" w:type="dxa"/>
            <w:vAlign w:val="center"/>
          </w:tcPr>
          <w:p w14:paraId="7DA7A29E">
            <w:pPr>
              <w:pStyle w:val="12"/>
            </w:pPr>
            <w:r>
              <w:t>二十二、国有资本经营预算支出</w:t>
            </w:r>
          </w:p>
        </w:tc>
        <w:tc>
          <w:tcPr>
            <w:tcW w:w="2126" w:type="dxa"/>
            <w:vAlign w:val="center"/>
          </w:tcPr>
          <w:p w14:paraId="59E6F1A6">
            <w:pPr>
              <w:pStyle w:val="11"/>
            </w:pPr>
          </w:p>
        </w:tc>
      </w:tr>
      <w:tr w14:paraId="2F13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BC5D9">
            <w:pPr>
              <w:pStyle w:val="13"/>
            </w:pPr>
            <w:r>
              <w:t>23</w:t>
            </w:r>
          </w:p>
        </w:tc>
        <w:tc>
          <w:tcPr>
            <w:tcW w:w="4535" w:type="dxa"/>
            <w:vAlign w:val="center"/>
          </w:tcPr>
          <w:p w14:paraId="1486C09A">
            <w:pPr>
              <w:pStyle w:val="12"/>
            </w:pPr>
          </w:p>
        </w:tc>
        <w:tc>
          <w:tcPr>
            <w:tcW w:w="2126" w:type="dxa"/>
            <w:vAlign w:val="center"/>
          </w:tcPr>
          <w:p w14:paraId="0471C70B">
            <w:pPr>
              <w:pStyle w:val="11"/>
            </w:pPr>
          </w:p>
        </w:tc>
        <w:tc>
          <w:tcPr>
            <w:tcW w:w="4535" w:type="dxa"/>
            <w:vAlign w:val="center"/>
          </w:tcPr>
          <w:p w14:paraId="7F485B25">
            <w:pPr>
              <w:pStyle w:val="12"/>
            </w:pPr>
            <w:r>
              <w:t>二十三、灾害防治及应急管理支出</w:t>
            </w:r>
          </w:p>
        </w:tc>
        <w:tc>
          <w:tcPr>
            <w:tcW w:w="2126" w:type="dxa"/>
            <w:vAlign w:val="center"/>
          </w:tcPr>
          <w:p w14:paraId="54B138D6">
            <w:pPr>
              <w:pStyle w:val="11"/>
            </w:pPr>
          </w:p>
        </w:tc>
      </w:tr>
      <w:tr w14:paraId="2BD3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CFB9A">
            <w:pPr>
              <w:pStyle w:val="13"/>
            </w:pPr>
            <w:r>
              <w:t>24</w:t>
            </w:r>
          </w:p>
        </w:tc>
        <w:tc>
          <w:tcPr>
            <w:tcW w:w="4535" w:type="dxa"/>
            <w:vAlign w:val="center"/>
          </w:tcPr>
          <w:p w14:paraId="5B906826">
            <w:pPr>
              <w:pStyle w:val="12"/>
            </w:pPr>
          </w:p>
        </w:tc>
        <w:tc>
          <w:tcPr>
            <w:tcW w:w="2126" w:type="dxa"/>
            <w:vAlign w:val="center"/>
          </w:tcPr>
          <w:p w14:paraId="35294849">
            <w:pPr>
              <w:pStyle w:val="11"/>
            </w:pPr>
          </w:p>
        </w:tc>
        <w:tc>
          <w:tcPr>
            <w:tcW w:w="4535" w:type="dxa"/>
            <w:vAlign w:val="center"/>
          </w:tcPr>
          <w:p w14:paraId="5C9D45B0">
            <w:pPr>
              <w:pStyle w:val="12"/>
            </w:pPr>
            <w:r>
              <w:t>二十四、预备费</w:t>
            </w:r>
          </w:p>
        </w:tc>
        <w:tc>
          <w:tcPr>
            <w:tcW w:w="2126" w:type="dxa"/>
            <w:vAlign w:val="center"/>
          </w:tcPr>
          <w:p w14:paraId="4507F1BE">
            <w:pPr>
              <w:pStyle w:val="11"/>
            </w:pPr>
          </w:p>
        </w:tc>
      </w:tr>
      <w:tr w14:paraId="769D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1920">
            <w:pPr>
              <w:pStyle w:val="13"/>
            </w:pPr>
            <w:r>
              <w:t>25</w:t>
            </w:r>
          </w:p>
        </w:tc>
        <w:tc>
          <w:tcPr>
            <w:tcW w:w="4535" w:type="dxa"/>
            <w:vAlign w:val="center"/>
          </w:tcPr>
          <w:p w14:paraId="4AC2492B">
            <w:pPr>
              <w:pStyle w:val="12"/>
            </w:pPr>
          </w:p>
        </w:tc>
        <w:tc>
          <w:tcPr>
            <w:tcW w:w="2126" w:type="dxa"/>
            <w:vAlign w:val="center"/>
          </w:tcPr>
          <w:p w14:paraId="02C3975D">
            <w:pPr>
              <w:pStyle w:val="11"/>
            </w:pPr>
          </w:p>
        </w:tc>
        <w:tc>
          <w:tcPr>
            <w:tcW w:w="4535" w:type="dxa"/>
            <w:vAlign w:val="center"/>
          </w:tcPr>
          <w:p w14:paraId="70BB885B">
            <w:pPr>
              <w:pStyle w:val="12"/>
            </w:pPr>
            <w:r>
              <w:t>二十五、其他支出</w:t>
            </w:r>
          </w:p>
        </w:tc>
        <w:tc>
          <w:tcPr>
            <w:tcW w:w="2126" w:type="dxa"/>
            <w:vAlign w:val="center"/>
          </w:tcPr>
          <w:p w14:paraId="5B7334EE">
            <w:pPr>
              <w:pStyle w:val="11"/>
            </w:pPr>
          </w:p>
        </w:tc>
      </w:tr>
      <w:tr w14:paraId="1F55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9F98">
            <w:pPr>
              <w:pStyle w:val="13"/>
            </w:pPr>
            <w:r>
              <w:t>26</w:t>
            </w:r>
          </w:p>
        </w:tc>
        <w:tc>
          <w:tcPr>
            <w:tcW w:w="4535" w:type="dxa"/>
            <w:vAlign w:val="center"/>
          </w:tcPr>
          <w:p w14:paraId="14D93AD3">
            <w:pPr>
              <w:pStyle w:val="12"/>
            </w:pPr>
          </w:p>
        </w:tc>
        <w:tc>
          <w:tcPr>
            <w:tcW w:w="2126" w:type="dxa"/>
            <w:vAlign w:val="center"/>
          </w:tcPr>
          <w:p w14:paraId="459A867D">
            <w:pPr>
              <w:pStyle w:val="11"/>
            </w:pPr>
          </w:p>
        </w:tc>
        <w:tc>
          <w:tcPr>
            <w:tcW w:w="4535" w:type="dxa"/>
            <w:vAlign w:val="center"/>
          </w:tcPr>
          <w:p w14:paraId="30F7FC56">
            <w:pPr>
              <w:pStyle w:val="12"/>
            </w:pPr>
            <w:r>
              <w:t>二十六、转移性支出</w:t>
            </w:r>
          </w:p>
        </w:tc>
        <w:tc>
          <w:tcPr>
            <w:tcW w:w="2126" w:type="dxa"/>
            <w:vAlign w:val="center"/>
          </w:tcPr>
          <w:p w14:paraId="3C484884">
            <w:pPr>
              <w:pStyle w:val="11"/>
            </w:pPr>
          </w:p>
        </w:tc>
      </w:tr>
      <w:tr w14:paraId="6375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2E822">
            <w:pPr>
              <w:pStyle w:val="13"/>
            </w:pPr>
            <w:r>
              <w:t>27</w:t>
            </w:r>
          </w:p>
        </w:tc>
        <w:tc>
          <w:tcPr>
            <w:tcW w:w="4535" w:type="dxa"/>
            <w:vAlign w:val="center"/>
          </w:tcPr>
          <w:p w14:paraId="59CAFDB7">
            <w:pPr>
              <w:pStyle w:val="12"/>
            </w:pPr>
          </w:p>
        </w:tc>
        <w:tc>
          <w:tcPr>
            <w:tcW w:w="2126" w:type="dxa"/>
            <w:vAlign w:val="center"/>
          </w:tcPr>
          <w:p w14:paraId="3DFF11F6">
            <w:pPr>
              <w:pStyle w:val="11"/>
            </w:pPr>
          </w:p>
        </w:tc>
        <w:tc>
          <w:tcPr>
            <w:tcW w:w="4535" w:type="dxa"/>
            <w:vAlign w:val="center"/>
          </w:tcPr>
          <w:p w14:paraId="287C4D6A">
            <w:pPr>
              <w:pStyle w:val="12"/>
            </w:pPr>
            <w:r>
              <w:t>二十七、债务还本支出</w:t>
            </w:r>
          </w:p>
        </w:tc>
        <w:tc>
          <w:tcPr>
            <w:tcW w:w="2126" w:type="dxa"/>
            <w:vAlign w:val="center"/>
          </w:tcPr>
          <w:p w14:paraId="6CC39123">
            <w:pPr>
              <w:pStyle w:val="11"/>
            </w:pPr>
          </w:p>
        </w:tc>
      </w:tr>
      <w:tr w14:paraId="1F358BFB">
        <w:tblPrEx>
          <w:tblCellMar>
            <w:top w:w="0" w:type="dxa"/>
            <w:left w:w="108" w:type="dxa"/>
            <w:bottom w:w="0" w:type="dxa"/>
            <w:right w:w="108" w:type="dxa"/>
          </w:tblCellMar>
        </w:tblPrEx>
        <w:trPr>
          <w:trHeight w:val="369" w:hRule="atLeast"/>
          <w:jc w:val="center"/>
        </w:trPr>
        <w:tc>
          <w:tcPr>
            <w:tcW w:w="850" w:type="dxa"/>
            <w:vAlign w:val="center"/>
          </w:tcPr>
          <w:p w14:paraId="347FAD7A">
            <w:pPr>
              <w:pStyle w:val="13"/>
            </w:pPr>
            <w:r>
              <w:t>28</w:t>
            </w:r>
          </w:p>
        </w:tc>
        <w:tc>
          <w:tcPr>
            <w:tcW w:w="4535" w:type="dxa"/>
            <w:vAlign w:val="center"/>
          </w:tcPr>
          <w:p w14:paraId="5B338314">
            <w:pPr>
              <w:pStyle w:val="12"/>
            </w:pPr>
          </w:p>
        </w:tc>
        <w:tc>
          <w:tcPr>
            <w:tcW w:w="2126" w:type="dxa"/>
            <w:vAlign w:val="center"/>
          </w:tcPr>
          <w:p w14:paraId="5872DB38">
            <w:pPr>
              <w:pStyle w:val="11"/>
            </w:pPr>
          </w:p>
        </w:tc>
        <w:tc>
          <w:tcPr>
            <w:tcW w:w="4535" w:type="dxa"/>
            <w:vAlign w:val="center"/>
          </w:tcPr>
          <w:p w14:paraId="00246E5C">
            <w:pPr>
              <w:pStyle w:val="12"/>
            </w:pPr>
            <w:r>
              <w:t>二十八、债务付息支出</w:t>
            </w:r>
          </w:p>
        </w:tc>
        <w:tc>
          <w:tcPr>
            <w:tcW w:w="2126" w:type="dxa"/>
            <w:vAlign w:val="center"/>
          </w:tcPr>
          <w:p w14:paraId="3FE085F5">
            <w:pPr>
              <w:pStyle w:val="11"/>
            </w:pPr>
          </w:p>
        </w:tc>
      </w:tr>
      <w:tr w14:paraId="0EDF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E75B">
            <w:pPr>
              <w:pStyle w:val="13"/>
            </w:pPr>
            <w:r>
              <w:t>29</w:t>
            </w:r>
          </w:p>
        </w:tc>
        <w:tc>
          <w:tcPr>
            <w:tcW w:w="4535" w:type="dxa"/>
            <w:vAlign w:val="center"/>
          </w:tcPr>
          <w:p w14:paraId="444FC104">
            <w:pPr>
              <w:pStyle w:val="12"/>
            </w:pPr>
          </w:p>
        </w:tc>
        <w:tc>
          <w:tcPr>
            <w:tcW w:w="2126" w:type="dxa"/>
            <w:vAlign w:val="center"/>
          </w:tcPr>
          <w:p w14:paraId="78306E41">
            <w:pPr>
              <w:pStyle w:val="11"/>
            </w:pPr>
          </w:p>
        </w:tc>
        <w:tc>
          <w:tcPr>
            <w:tcW w:w="4535" w:type="dxa"/>
            <w:vAlign w:val="center"/>
          </w:tcPr>
          <w:p w14:paraId="7B5F9D19">
            <w:pPr>
              <w:pStyle w:val="12"/>
            </w:pPr>
            <w:r>
              <w:t>二十九、债务发行费用支出</w:t>
            </w:r>
          </w:p>
        </w:tc>
        <w:tc>
          <w:tcPr>
            <w:tcW w:w="2126" w:type="dxa"/>
            <w:vAlign w:val="center"/>
          </w:tcPr>
          <w:p w14:paraId="42A7F905">
            <w:pPr>
              <w:pStyle w:val="11"/>
            </w:pPr>
          </w:p>
        </w:tc>
      </w:tr>
      <w:tr w14:paraId="7C9F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0AA1D">
            <w:pPr>
              <w:pStyle w:val="13"/>
            </w:pPr>
            <w:r>
              <w:t>30</w:t>
            </w:r>
          </w:p>
        </w:tc>
        <w:tc>
          <w:tcPr>
            <w:tcW w:w="4535" w:type="dxa"/>
            <w:vAlign w:val="center"/>
          </w:tcPr>
          <w:p w14:paraId="1DA037DA">
            <w:pPr>
              <w:pStyle w:val="12"/>
            </w:pPr>
          </w:p>
        </w:tc>
        <w:tc>
          <w:tcPr>
            <w:tcW w:w="2126" w:type="dxa"/>
            <w:vAlign w:val="center"/>
          </w:tcPr>
          <w:p w14:paraId="48158494">
            <w:pPr>
              <w:pStyle w:val="11"/>
            </w:pPr>
          </w:p>
        </w:tc>
        <w:tc>
          <w:tcPr>
            <w:tcW w:w="4535" w:type="dxa"/>
            <w:vAlign w:val="center"/>
          </w:tcPr>
          <w:p w14:paraId="435F9697">
            <w:pPr>
              <w:pStyle w:val="12"/>
            </w:pPr>
            <w:r>
              <w:t>三十、抗疫特别国债安排的支出</w:t>
            </w:r>
          </w:p>
        </w:tc>
        <w:tc>
          <w:tcPr>
            <w:tcW w:w="2126" w:type="dxa"/>
            <w:vAlign w:val="center"/>
          </w:tcPr>
          <w:p w14:paraId="104FFD7E">
            <w:pPr>
              <w:pStyle w:val="11"/>
            </w:pPr>
          </w:p>
        </w:tc>
      </w:tr>
      <w:tr w14:paraId="51C0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2F05">
            <w:pPr>
              <w:pStyle w:val="13"/>
            </w:pPr>
            <w:r>
              <w:t>31</w:t>
            </w:r>
          </w:p>
        </w:tc>
        <w:tc>
          <w:tcPr>
            <w:tcW w:w="4535" w:type="dxa"/>
            <w:vAlign w:val="center"/>
          </w:tcPr>
          <w:p w14:paraId="15B4A3DE">
            <w:pPr>
              <w:pStyle w:val="14"/>
            </w:pPr>
            <w:r>
              <w:t>本年收入合计</w:t>
            </w:r>
          </w:p>
        </w:tc>
        <w:tc>
          <w:tcPr>
            <w:tcW w:w="2126" w:type="dxa"/>
            <w:vAlign w:val="center"/>
          </w:tcPr>
          <w:p w14:paraId="29B93B00">
            <w:pPr>
              <w:pStyle w:val="15"/>
            </w:pPr>
            <w:r>
              <w:t>1905.19</w:t>
            </w:r>
          </w:p>
        </w:tc>
        <w:tc>
          <w:tcPr>
            <w:tcW w:w="4535" w:type="dxa"/>
            <w:vAlign w:val="center"/>
          </w:tcPr>
          <w:p w14:paraId="26706EA0">
            <w:pPr>
              <w:pStyle w:val="14"/>
            </w:pPr>
            <w:r>
              <w:t>本年支出合计</w:t>
            </w:r>
          </w:p>
        </w:tc>
        <w:tc>
          <w:tcPr>
            <w:tcW w:w="2126" w:type="dxa"/>
            <w:vAlign w:val="center"/>
          </w:tcPr>
          <w:p w14:paraId="15583ED7">
            <w:pPr>
              <w:pStyle w:val="15"/>
            </w:pPr>
            <w:r>
              <w:t>1905.19</w:t>
            </w:r>
          </w:p>
        </w:tc>
      </w:tr>
      <w:tr w14:paraId="0A14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A6278">
            <w:pPr>
              <w:pStyle w:val="13"/>
            </w:pPr>
            <w:r>
              <w:t>32</w:t>
            </w:r>
          </w:p>
        </w:tc>
        <w:tc>
          <w:tcPr>
            <w:tcW w:w="4535" w:type="dxa"/>
            <w:vAlign w:val="center"/>
          </w:tcPr>
          <w:p w14:paraId="6CF6A81F">
            <w:pPr>
              <w:pStyle w:val="12"/>
            </w:pPr>
            <w:r>
              <w:t>上年结转结余</w:t>
            </w:r>
          </w:p>
        </w:tc>
        <w:tc>
          <w:tcPr>
            <w:tcW w:w="2126" w:type="dxa"/>
            <w:vAlign w:val="center"/>
          </w:tcPr>
          <w:p w14:paraId="3F6D2287">
            <w:pPr>
              <w:pStyle w:val="11"/>
            </w:pPr>
          </w:p>
        </w:tc>
        <w:tc>
          <w:tcPr>
            <w:tcW w:w="4535" w:type="dxa"/>
            <w:vAlign w:val="center"/>
          </w:tcPr>
          <w:p w14:paraId="2224C309">
            <w:pPr>
              <w:pStyle w:val="12"/>
            </w:pPr>
            <w:r>
              <w:t>年终结转结余</w:t>
            </w:r>
          </w:p>
        </w:tc>
        <w:tc>
          <w:tcPr>
            <w:tcW w:w="2126" w:type="dxa"/>
            <w:vAlign w:val="center"/>
          </w:tcPr>
          <w:p w14:paraId="7FC1BA92">
            <w:pPr>
              <w:pStyle w:val="11"/>
            </w:pPr>
          </w:p>
        </w:tc>
      </w:tr>
      <w:tr w14:paraId="079680F5">
        <w:tblPrEx>
          <w:tblCellMar>
            <w:top w:w="0" w:type="dxa"/>
            <w:left w:w="108" w:type="dxa"/>
            <w:bottom w:w="0" w:type="dxa"/>
            <w:right w:w="108" w:type="dxa"/>
          </w:tblCellMar>
        </w:tblPrEx>
        <w:trPr>
          <w:trHeight w:val="369" w:hRule="atLeast"/>
          <w:jc w:val="center"/>
        </w:trPr>
        <w:tc>
          <w:tcPr>
            <w:tcW w:w="850" w:type="dxa"/>
            <w:vAlign w:val="center"/>
          </w:tcPr>
          <w:p w14:paraId="35AFD17C">
            <w:pPr>
              <w:pStyle w:val="13"/>
            </w:pPr>
            <w:r>
              <w:t>33</w:t>
            </w:r>
          </w:p>
        </w:tc>
        <w:tc>
          <w:tcPr>
            <w:tcW w:w="4535" w:type="dxa"/>
            <w:vAlign w:val="center"/>
          </w:tcPr>
          <w:p w14:paraId="4BE861DD">
            <w:pPr>
              <w:pStyle w:val="14"/>
            </w:pPr>
            <w:r>
              <w:t>收入总计</w:t>
            </w:r>
          </w:p>
        </w:tc>
        <w:tc>
          <w:tcPr>
            <w:tcW w:w="2126" w:type="dxa"/>
            <w:vAlign w:val="center"/>
          </w:tcPr>
          <w:p w14:paraId="1C618D9B">
            <w:pPr>
              <w:pStyle w:val="15"/>
            </w:pPr>
            <w:r>
              <w:t>1905.19</w:t>
            </w:r>
          </w:p>
        </w:tc>
        <w:tc>
          <w:tcPr>
            <w:tcW w:w="4535" w:type="dxa"/>
            <w:vAlign w:val="center"/>
          </w:tcPr>
          <w:p w14:paraId="682FA98B">
            <w:pPr>
              <w:pStyle w:val="14"/>
            </w:pPr>
            <w:r>
              <w:t>支出总计</w:t>
            </w:r>
          </w:p>
        </w:tc>
        <w:tc>
          <w:tcPr>
            <w:tcW w:w="2126" w:type="dxa"/>
            <w:vAlign w:val="center"/>
          </w:tcPr>
          <w:p w14:paraId="51FFE4B7">
            <w:pPr>
              <w:pStyle w:val="15"/>
            </w:pPr>
            <w:r>
              <w:t>1905.19</w:t>
            </w:r>
          </w:p>
        </w:tc>
      </w:tr>
    </w:tbl>
    <w:p w14:paraId="4F3807A3">
      <w:pPr>
        <w:sectPr>
          <w:pgSz w:w="16840" w:h="11900" w:orient="landscape"/>
          <w:pgMar w:top="1361" w:right="1020" w:bottom="1134" w:left="1020" w:header="720" w:footer="720" w:gutter="0"/>
          <w:cols w:space="720" w:num="1"/>
        </w:sectPr>
      </w:pPr>
    </w:p>
    <w:p w14:paraId="50A707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AD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2D7B6B">
            <w:pPr>
              <w:pStyle w:val="9"/>
            </w:pPr>
            <w:r>
              <w:t>360030隆尧县第二实验小学</w:t>
            </w:r>
          </w:p>
        </w:tc>
        <w:tc>
          <w:tcPr>
            <w:tcW w:w="3402" w:type="dxa"/>
            <w:gridSpan w:val="3"/>
            <w:tcBorders>
              <w:top w:val="single" w:color="FFFFFF" w:sz="6" w:space="0"/>
              <w:left w:val="single" w:color="FFFFFF" w:sz="6" w:space="0"/>
              <w:right w:val="single" w:color="FFFFFF" w:sz="6" w:space="0"/>
            </w:tcBorders>
            <w:vAlign w:val="center"/>
          </w:tcPr>
          <w:p w14:paraId="292F296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232FABD">
            <w:pPr>
              <w:pStyle w:val="7"/>
            </w:pPr>
            <w:r>
              <w:t>单位：万元</w:t>
            </w:r>
          </w:p>
        </w:tc>
      </w:tr>
      <w:tr w14:paraId="66BF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67CAE6">
            <w:pPr>
              <w:pStyle w:val="10"/>
            </w:pPr>
            <w:r>
              <w:t>序号</w:t>
            </w:r>
          </w:p>
        </w:tc>
        <w:tc>
          <w:tcPr>
            <w:tcW w:w="2551" w:type="dxa"/>
            <w:gridSpan w:val="2"/>
            <w:vAlign w:val="center"/>
          </w:tcPr>
          <w:p w14:paraId="33906385">
            <w:pPr>
              <w:pStyle w:val="10"/>
            </w:pPr>
            <w:r>
              <w:t>功能分类科目</w:t>
            </w:r>
          </w:p>
        </w:tc>
        <w:tc>
          <w:tcPr>
            <w:tcW w:w="1134" w:type="dxa"/>
            <w:vMerge w:val="restart"/>
            <w:vAlign w:val="center"/>
          </w:tcPr>
          <w:p w14:paraId="7A51E43A">
            <w:pPr>
              <w:pStyle w:val="10"/>
            </w:pPr>
            <w:r>
              <w:t>合计</w:t>
            </w:r>
          </w:p>
        </w:tc>
        <w:tc>
          <w:tcPr>
            <w:tcW w:w="9072" w:type="dxa"/>
            <w:gridSpan w:val="8"/>
            <w:vAlign w:val="center"/>
          </w:tcPr>
          <w:p w14:paraId="66DD2887">
            <w:pPr>
              <w:pStyle w:val="10"/>
            </w:pPr>
            <w:r>
              <w:t>本年收入</w:t>
            </w:r>
          </w:p>
        </w:tc>
        <w:tc>
          <w:tcPr>
            <w:tcW w:w="1134" w:type="dxa"/>
            <w:vMerge w:val="restart"/>
            <w:vAlign w:val="center"/>
          </w:tcPr>
          <w:p w14:paraId="3FF1E8C4">
            <w:pPr>
              <w:pStyle w:val="10"/>
            </w:pPr>
            <w:r>
              <w:t>上年结转</w:t>
            </w:r>
          </w:p>
        </w:tc>
      </w:tr>
      <w:tr w14:paraId="7BFD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CAC989"/>
        </w:tc>
        <w:tc>
          <w:tcPr>
            <w:tcW w:w="992" w:type="dxa"/>
            <w:vAlign w:val="center"/>
          </w:tcPr>
          <w:p w14:paraId="27CFE276">
            <w:pPr>
              <w:pStyle w:val="10"/>
            </w:pPr>
            <w:r>
              <w:t>科目    编码</w:t>
            </w:r>
          </w:p>
        </w:tc>
        <w:tc>
          <w:tcPr>
            <w:tcW w:w="1559" w:type="dxa"/>
            <w:vAlign w:val="center"/>
          </w:tcPr>
          <w:p w14:paraId="0975F4BA">
            <w:pPr>
              <w:pStyle w:val="10"/>
            </w:pPr>
            <w:r>
              <w:t>科目名称</w:t>
            </w:r>
          </w:p>
        </w:tc>
        <w:tc>
          <w:tcPr>
            <w:tcW w:w="1134" w:type="dxa"/>
            <w:vMerge w:val="continue"/>
          </w:tcPr>
          <w:p w14:paraId="1A4E6A1D"/>
        </w:tc>
        <w:tc>
          <w:tcPr>
            <w:tcW w:w="1134" w:type="dxa"/>
            <w:vAlign w:val="center"/>
          </w:tcPr>
          <w:p w14:paraId="74F6B4B5">
            <w:pPr>
              <w:pStyle w:val="10"/>
            </w:pPr>
            <w:r>
              <w:t>小计</w:t>
            </w:r>
          </w:p>
        </w:tc>
        <w:tc>
          <w:tcPr>
            <w:tcW w:w="1134" w:type="dxa"/>
            <w:vAlign w:val="center"/>
          </w:tcPr>
          <w:p w14:paraId="4DB60D1E">
            <w:pPr>
              <w:pStyle w:val="10"/>
            </w:pPr>
            <w:r>
              <w:t>财政拨款 收入</w:t>
            </w:r>
          </w:p>
        </w:tc>
        <w:tc>
          <w:tcPr>
            <w:tcW w:w="1134" w:type="dxa"/>
            <w:vAlign w:val="center"/>
          </w:tcPr>
          <w:p w14:paraId="6B49B712">
            <w:pPr>
              <w:pStyle w:val="10"/>
            </w:pPr>
            <w:r>
              <w:t>财政专户 收入</w:t>
            </w:r>
          </w:p>
        </w:tc>
        <w:tc>
          <w:tcPr>
            <w:tcW w:w="1134" w:type="dxa"/>
            <w:vAlign w:val="center"/>
          </w:tcPr>
          <w:p w14:paraId="6E694015">
            <w:pPr>
              <w:pStyle w:val="10"/>
            </w:pPr>
            <w:r>
              <w:t>事业收入</w:t>
            </w:r>
          </w:p>
        </w:tc>
        <w:tc>
          <w:tcPr>
            <w:tcW w:w="1134" w:type="dxa"/>
            <w:vAlign w:val="center"/>
          </w:tcPr>
          <w:p w14:paraId="7DDF31EA">
            <w:pPr>
              <w:pStyle w:val="10"/>
            </w:pPr>
            <w:r>
              <w:t>经营收入</w:t>
            </w:r>
          </w:p>
        </w:tc>
        <w:tc>
          <w:tcPr>
            <w:tcW w:w="1134" w:type="dxa"/>
            <w:vAlign w:val="center"/>
          </w:tcPr>
          <w:p w14:paraId="6387E018">
            <w:pPr>
              <w:pStyle w:val="10"/>
            </w:pPr>
            <w:r>
              <w:t>上级补助收入</w:t>
            </w:r>
          </w:p>
        </w:tc>
        <w:tc>
          <w:tcPr>
            <w:tcW w:w="1134" w:type="dxa"/>
            <w:vAlign w:val="center"/>
          </w:tcPr>
          <w:p w14:paraId="77F7A52E">
            <w:pPr>
              <w:pStyle w:val="10"/>
            </w:pPr>
            <w:r>
              <w:t>附属单位上缴收入</w:t>
            </w:r>
          </w:p>
        </w:tc>
        <w:tc>
          <w:tcPr>
            <w:tcW w:w="1134" w:type="dxa"/>
            <w:vAlign w:val="center"/>
          </w:tcPr>
          <w:p w14:paraId="02D5E61F">
            <w:pPr>
              <w:pStyle w:val="10"/>
            </w:pPr>
            <w:r>
              <w:t>其他收入</w:t>
            </w:r>
          </w:p>
        </w:tc>
        <w:tc>
          <w:tcPr>
            <w:tcW w:w="1134" w:type="dxa"/>
            <w:vMerge w:val="continue"/>
          </w:tcPr>
          <w:p w14:paraId="67DF5591"/>
        </w:tc>
      </w:tr>
      <w:tr w14:paraId="1F41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A86C72">
            <w:pPr>
              <w:pStyle w:val="10"/>
            </w:pPr>
            <w:r>
              <w:t>栏次</w:t>
            </w:r>
          </w:p>
        </w:tc>
        <w:tc>
          <w:tcPr>
            <w:tcW w:w="992" w:type="dxa"/>
            <w:vAlign w:val="center"/>
          </w:tcPr>
          <w:p w14:paraId="152FD443">
            <w:pPr>
              <w:pStyle w:val="10"/>
            </w:pPr>
            <w:r>
              <w:t>1</w:t>
            </w:r>
          </w:p>
        </w:tc>
        <w:tc>
          <w:tcPr>
            <w:tcW w:w="1559" w:type="dxa"/>
            <w:vAlign w:val="center"/>
          </w:tcPr>
          <w:p w14:paraId="05744FF9">
            <w:pPr>
              <w:pStyle w:val="10"/>
            </w:pPr>
            <w:r>
              <w:t>2</w:t>
            </w:r>
          </w:p>
        </w:tc>
        <w:tc>
          <w:tcPr>
            <w:tcW w:w="1134" w:type="dxa"/>
            <w:vAlign w:val="center"/>
          </w:tcPr>
          <w:p w14:paraId="45F7AC0D">
            <w:pPr>
              <w:pStyle w:val="10"/>
            </w:pPr>
            <w:r>
              <w:t>3</w:t>
            </w:r>
          </w:p>
        </w:tc>
        <w:tc>
          <w:tcPr>
            <w:tcW w:w="1134" w:type="dxa"/>
            <w:vAlign w:val="center"/>
          </w:tcPr>
          <w:p w14:paraId="7D574F54">
            <w:pPr>
              <w:pStyle w:val="10"/>
            </w:pPr>
            <w:r>
              <w:t>4</w:t>
            </w:r>
          </w:p>
        </w:tc>
        <w:tc>
          <w:tcPr>
            <w:tcW w:w="1134" w:type="dxa"/>
            <w:vAlign w:val="center"/>
          </w:tcPr>
          <w:p w14:paraId="61ACEE59">
            <w:pPr>
              <w:pStyle w:val="10"/>
            </w:pPr>
            <w:r>
              <w:t>5</w:t>
            </w:r>
          </w:p>
        </w:tc>
        <w:tc>
          <w:tcPr>
            <w:tcW w:w="1134" w:type="dxa"/>
            <w:vAlign w:val="center"/>
          </w:tcPr>
          <w:p w14:paraId="70AFB562">
            <w:pPr>
              <w:pStyle w:val="10"/>
            </w:pPr>
            <w:r>
              <w:t>6</w:t>
            </w:r>
          </w:p>
        </w:tc>
        <w:tc>
          <w:tcPr>
            <w:tcW w:w="1134" w:type="dxa"/>
            <w:vAlign w:val="center"/>
          </w:tcPr>
          <w:p w14:paraId="52EB0299">
            <w:pPr>
              <w:pStyle w:val="10"/>
            </w:pPr>
            <w:r>
              <w:t>7</w:t>
            </w:r>
          </w:p>
        </w:tc>
        <w:tc>
          <w:tcPr>
            <w:tcW w:w="1134" w:type="dxa"/>
            <w:vAlign w:val="center"/>
          </w:tcPr>
          <w:p w14:paraId="0D210E31">
            <w:pPr>
              <w:pStyle w:val="10"/>
            </w:pPr>
            <w:r>
              <w:t>8</w:t>
            </w:r>
          </w:p>
        </w:tc>
        <w:tc>
          <w:tcPr>
            <w:tcW w:w="1134" w:type="dxa"/>
            <w:vAlign w:val="center"/>
          </w:tcPr>
          <w:p w14:paraId="5C51F441">
            <w:pPr>
              <w:pStyle w:val="10"/>
            </w:pPr>
            <w:r>
              <w:t>9</w:t>
            </w:r>
          </w:p>
        </w:tc>
        <w:tc>
          <w:tcPr>
            <w:tcW w:w="1134" w:type="dxa"/>
            <w:vAlign w:val="center"/>
          </w:tcPr>
          <w:p w14:paraId="40B91B82">
            <w:pPr>
              <w:pStyle w:val="10"/>
            </w:pPr>
            <w:r>
              <w:t>10</w:t>
            </w:r>
          </w:p>
        </w:tc>
        <w:tc>
          <w:tcPr>
            <w:tcW w:w="1134" w:type="dxa"/>
            <w:vAlign w:val="center"/>
          </w:tcPr>
          <w:p w14:paraId="7957A595">
            <w:pPr>
              <w:pStyle w:val="10"/>
            </w:pPr>
            <w:r>
              <w:t>11</w:t>
            </w:r>
          </w:p>
        </w:tc>
        <w:tc>
          <w:tcPr>
            <w:tcW w:w="1134" w:type="dxa"/>
            <w:vAlign w:val="center"/>
          </w:tcPr>
          <w:p w14:paraId="353086FC">
            <w:pPr>
              <w:pStyle w:val="10"/>
            </w:pPr>
            <w:r>
              <w:t>12</w:t>
            </w:r>
          </w:p>
        </w:tc>
      </w:tr>
      <w:tr w14:paraId="438C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0A1D0">
            <w:pPr>
              <w:pStyle w:val="13"/>
            </w:pPr>
            <w:r>
              <w:t>1</w:t>
            </w:r>
          </w:p>
        </w:tc>
        <w:tc>
          <w:tcPr>
            <w:tcW w:w="992" w:type="dxa"/>
            <w:vAlign w:val="center"/>
          </w:tcPr>
          <w:p w14:paraId="51D8F288">
            <w:pPr>
              <w:pStyle w:val="16"/>
            </w:pPr>
          </w:p>
        </w:tc>
        <w:tc>
          <w:tcPr>
            <w:tcW w:w="1559" w:type="dxa"/>
            <w:vAlign w:val="center"/>
          </w:tcPr>
          <w:p w14:paraId="04ED31EE">
            <w:pPr>
              <w:pStyle w:val="14"/>
            </w:pPr>
            <w:r>
              <w:t>合计</w:t>
            </w:r>
          </w:p>
        </w:tc>
        <w:tc>
          <w:tcPr>
            <w:tcW w:w="1134" w:type="dxa"/>
            <w:vAlign w:val="center"/>
          </w:tcPr>
          <w:p w14:paraId="3D093814">
            <w:pPr>
              <w:pStyle w:val="15"/>
            </w:pPr>
            <w:r>
              <w:t>1905.19</w:t>
            </w:r>
          </w:p>
        </w:tc>
        <w:tc>
          <w:tcPr>
            <w:tcW w:w="1134" w:type="dxa"/>
            <w:vAlign w:val="center"/>
          </w:tcPr>
          <w:p w14:paraId="3834E5E1">
            <w:pPr>
              <w:pStyle w:val="15"/>
            </w:pPr>
            <w:r>
              <w:t>1905.19</w:t>
            </w:r>
          </w:p>
        </w:tc>
        <w:tc>
          <w:tcPr>
            <w:tcW w:w="1134" w:type="dxa"/>
            <w:vAlign w:val="center"/>
          </w:tcPr>
          <w:p w14:paraId="2FD71D46">
            <w:pPr>
              <w:pStyle w:val="15"/>
            </w:pPr>
            <w:r>
              <w:t>1905.19</w:t>
            </w:r>
          </w:p>
        </w:tc>
        <w:tc>
          <w:tcPr>
            <w:tcW w:w="1134" w:type="dxa"/>
            <w:vAlign w:val="center"/>
          </w:tcPr>
          <w:p w14:paraId="4C034DBA">
            <w:pPr>
              <w:pStyle w:val="15"/>
            </w:pPr>
          </w:p>
        </w:tc>
        <w:tc>
          <w:tcPr>
            <w:tcW w:w="1134" w:type="dxa"/>
            <w:vAlign w:val="center"/>
          </w:tcPr>
          <w:p w14:paraId="22EA34F7">
            <w:pPr>
              <w:pStyle w:val="15"/>
            </w:pPr>
          </w:p>
        </w:tc>
        <w:tc>
          <w:tcPr>
            <w:tcW w:w="1134" w:type="dxa"/>
            <w:vAlign w:val="center"/>
          </w:tcPr>
          <w:p w14:paraId="6A8E84BD">
            <w:pPr>
              <w:pStyle w:val="15"/>
            </w:pPr>
          </w:p>
        </w:tc>
        <w:tc>
          <w:tcPr>
            <w:tcW w:w="1134" w:type="dxa"/>
            <w:vAlign w:val="center"/>
          </w:tcPr>
          <w:p w14:paraId="2E0D5191">
            <w:pPr>
              <w:pStyle w:val="15"/>
            </w:pPr>
          </w:p>
        </w:tc>
        <w:tc>
          <w:tcPr>
            <w:tcW w:w="1134" w:type="dxa"/>
            <w:vAlign w:val="center"/>
          </w:tcPr>
          <w:p w14:paraId="258B1CBB">
            <w:pPr>
              <w:pStyle w:val="15"/>
            </w:pPr>
          </w:p>
        </w:tc>
        <w:tc>
          <w:tcPr>
            <w:tcW w:w="1134" w:type="dxa"/>
            <w:vAlign w:val="center"/>
          </w:tcPr>
          <w:p w14:paraId="09AA09C5">
            <w:pPr>
              <w:pStyle w:val="15"/>
            </w:pPr>
          </w:p>
        </w:tc>
        <w:tc>
          <w:tcPr>
            <w:tcW w:w="1134" w:type="dxa"/>
            <w:vAlign w:val="center"/>
          </w:tcPr>
          <w:p w14:paraId="110180E9">
            <w:pPr>
              <w:pStyle w:val="15"/>
            </w:pPr>
          </w:p>
        </w:tc>
      </w:tr>
      <w:tr w14:paraId="1BA1C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EF7F6">
            <w:pPr>
              <w:pStyle w:val="13"/>
            </w:pPr>
            <w:r>
              <w:t>2</w:t>
            </w:r>
          </w:p>
        </w:tc>
        <w:tc>
          <w:tcPr>
            <w:tcW w:w="992" w:type="dxa"/>
            <w:vAlign w:val="center"/>
          </w:tcPr>
          <w:p w14:paraId="5490015D">
            <w:pPr>
              <w:pStyle w:val="12"/>
            </w:pPr>
            <w:r>
              <w:t>205</w:t>
            </w:r>
          </w:p>
        </w:tc>
        <w:tc>
          <w:tcPr>
            <w:tcW w:w="1559" w:type="dxa"/>
            <w:vAlign w:val="center"/>
          </w:tcPr>
          <w:p w14:paraId="27F83028">
            <w:pPr>
              <w:pStyle w:val="12"/>
            </w:pPr>
            <w:r>
              <w:t>教育支出</w:t>
            </w:r>
          </w:p>
        </w:tc>
        <w:tc>
          <w:tcPr>
            <w:tcW w:w="1134" w:type="dxa"/>
            <w:vAlign w:val="center"/>
          </w:tcPr>
          <w:p w14:paraId="45DE6AC0">
            <w:pPr>
              <w:pStyle w:val="11"/>
            </w:pPr>
            <w:r>
              <w:t>1905.19</w:t>
            </w:r>
          </w:p>
        </w:tc>
        <w:tc>
          <w:tcPr>
            <w:tcW w:w="1134" w:type="dxa"/>
            <w:vAlign w:val="center"/>
          </w:tcPr>
          <w:p w14:paraId="498A41CB">
            <w:pPr>
              <w:pStyle w:val="11"/>
            </w:pPr>
            <w:r>
              <w:t>1905.19</w:t>
            </w:r>
          </w:p>
        </w:tc>
        <w:tc>
          <w:tcPr>
            <w:tcW w:w="1134" w:type="dxa"/>
            <w:vAlign w:val="center"/>
          </w:tcPr>
          <w:p w14:paraId="4C977F3C">
            <w:pPr>
              <w:pStyle w:val="11"/>
            </w:pPr>
            <w:r>
              <w:t>1905.19</w:t>
            </w:r>
          </w:p>
        </w:tc>
        <w:tc>
          <w:tcPr>
            <w:tcW w:w="1134" w:type="dxa"/>
            <w:vAlign w:val="center"/>
          </w:tcPr>
          <w:p w14:paraId="4144DC1E">
            <w:pPr>
              <w:pStyle w:val="11"/>
            </w:pPr>
          </w:p>
        </w:tc>
        <w:tc>
          <w:tcPr>
            <w:tcW w:w="1134" w:type="dxa"/>
            <w:vAlign w:val="center"/>
          </w:tcPr>
          <w:p w14:paraId="60F17BF5">
            <w:pPr>
              <w:pStyle w:val="11"/>
            </w:pPr>
          </w:p>
        </w:tc>
        <w:tc>
          <w:tcPr>
            <w:tcW w:w="1134" w:type="dxa"/>
            <w:vAlign w:val="center"/>
          </w:tcPr>
          <w:p w14:paraId="72768A90">
            <w:pPr>
              <w:pStyle w:val="11"/>
            </w:pPr>
          </w:p>
        </w:tc>
        <w:tc>
          <w:tcPr>
            <w:tcW w:w="1134" w:type="dxa"/>
            <w:vAlign w:val="center"/>
          </w:tcPr>
          <w:p w14:paraId="60C7154A">
            <w:pPr>
              <w:pStyle w:val="11"/>
            </w:pPr>
          </w:p>
        </w:tc>
        <w:tc>
          <w:tcPr>
            <w:tcW w:w="1134" w:type="dxa"/>
            <w:vAlign w:val="center"/>
          </w:tcPr>
          <w:p w14:paraId="130FFA92">
            <w:pPr>
              <w:pStyle w:val="11"/>
            </w:pPr>
          </w:p>
        </w:tc>
        <w:tc>
          <w:tcPr>
            <w:tcW w:w="1134" w:type="dxa"/>
            <w:vAlign w:val="center"/>
          </w:tcPr>
          <w:p w14:paraId="0634AB22">
            <w:pPr>
              <w:pStyle w:val="11"/>
            </w:pPr>
          </w:p>
        </w:tc>
        <w:tc>
          <w:tcPr>
            <w:tcW w:w="1134" w:type="dxa"/>
            <w:vAlign w:val="center"/>
          </w:tcPr>
          <w:p w14:paraId="0B5C3FA9">
            <w:pPr>
              <w:pStyle w:val="11"/>
            </w:pPr>
          </w:p>
        </w:tc>
      </w:tr>
      <w:tr w14:paraId="233E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69AF1">
            <w:pPr>
              <w:pStyle w:val="13"/>
            </w:pPr>
            <w:r>
              <w:t>3</w:t>
            </w:r>
          </w:p>
        </w:tc>
        <w:tc>
          <w:tcPr>
            <w:tcW w:w="992" w:type="dxa"/>
            <w:vAlign w:val="center"/>
          </w:tcPr>
          <w:p w14:paraId="098100A8">
            <w:pPr>
              <w:pStyle w:val="12"/>
            </w:pPr>
            <w:r>
              <w:t>20502</w:t>
            </w:r>
          </w:p>
        </w:tc>
        <w:tc>
          <w:tcPr>
            <w:tcW w:w="1559" w:type="dxa"/>
            <w:vAlign w:val="center"/>
          </w:tcPr>
          <w:p w14:paraId="3D4B66B8">
            <w:pPr>
              <w:pStyle w:val="12"/>
            </w:pPr>
            <w:r>
              <w:t>普通教育</w:t>
            </w:r>
          </w:p>
        </w:tc>
        <w:tc>
          <w:tcPr>
            <w:tcW w:w="1134" w:type="dxa"/>
            <w:vAlign w:val="center"/>
          </w:tcPr>
          <w:p w14:paraId="026842BA">
            <w:pPr>
              <w:pStyle w:val="11"/>
            </w:pPr>
            <w:r>
              <w:t>1905.19</w:t>
            </w:r>
          </w:p>
        </w:tc>
        <w:tc>
          <w:tcPr>
            <w:tcW w:w="1134" w:type="dxa"/>
            <w:vAlign w:val="center"/>
          </w:tcPr>
          <w:p w14:paraId="11216879">
            <w:pPr>
              <w:pStyle w:val="11"/>
            </w:pPr>
            <w:r>
              <w:t>1905.19</w:t>
            </w:r>
          </w:p>
        </w:tc>
        <w:tc>
          <w:tcPr>
            <w:tcW w:w="1134" w:type="dxa"/>
            <w:vAlign w:val="center"/>
          </w:tcPr>
          <w:p w14:paraId="425F5955">
            <w:pPr>
              <w:pStyle w:val="11"/>
            </w:pPr>
            <w:r>
              <w:t>1905.19</w:t>
            </w:r>
          </w:p>
        </w:tc>
        <w:tc>
          <w:tcPr>
            <w:tcW w:w="1134" w:type="dxa"/>
            <w:vAlign w:val="center"/>
          </w:tcPr>
          <w:p w14:paraId="77EA8914">
            <w:pPr>
              <w:pStyle w:val="11"/>
            </w:pPr>
          </w:p>
        </w:tc>
        <w:tc>
          <w:tcPr>
            <w:tcW w:w="1134" w:type="dxa"/>
            <w:vAlign w:val="center"/>
          </w:tcPr>
          <w:p w14:paraId="350F4A49">
            <w:pPr>
              <w:pStyle w:val="11"/>
            </w:pPr>
          </w:p>
        </w:tc>
        <w:tc>
          <w:tcPr>
            <w:tcW w:w="1134" w:type="dxa"/>
            <w:vAlign w:val="center"/>
          </w:tcPr>
          <w:p w14:paraId="3175B70E">
            <w:pPr>
              <w:pStyle w:val="11"/>
            </w:pPr>
          </w:p>
        </w:tc>
        <w:tc>
          <w:tcPr>
            <w:tcW w:w="1134" w:type="dxa"/>
            <w:vAlign w:val="center"/>
          </w:tcPr>
          <w:p w14:paraId="5E92C3D5">
            <w:pPr>
              <w:pStyle w:val="11"/>
            </w:pPr>
          </w:p>
        </w:tc>
        <w:tc>
          <w:tcPr>
            <w:tcW w:w="1134" w:type="dxa"/>
            <w:vAlign w:val="center"/>
          </w:tcPr>
          <w:p w14:paraId="3A4DE349">
            <w:pPr>
              <w:pStyle w:val="11"/>
            </w:pPr>
          </w:p>
        </w:tc>
        <w:tc>
          <w:tcPr>
            <w:tcW w:w="1134" w:type="dxa"/>
            <w:vAlign w:val="center"/>
          </w:tcPr>
          <w:p w14:paraId="5C5C9094">
            <w:pPr>
              <w:pStyle w:val="11"/>
            </w:pPr>
          </w:p>
        </w:tc>
        <w:tc>
          <w:tcPr>
            <w:tcW w:w="1134" w:type="dxa"/>
            <w:vAlign w:val="center"/>
          </w:tcPr>
          <w:p w14:paraId="04384AC1">
            <w:pPr>
              <w:pStyle w:val="11"/>
            </w:pPr>
          </w:p>
        </w:tc>
      </w:tr>
      <w:tr w14:paraId="0965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80BC0">
            <w:pPr>
              <w:pStyle w:val="13"/>
            </w:pPr>
            <w:r>
              <w:t>4</w:t>
            </w:r>
          </w:p>
        </w:tc>
        <w:tc>
          <w:tcPr>
            <w:tcW w:w="992" w:type="dxa"/>
            <w:vAlign w:val="center"/>
          </w:tcPr>
          <w:p w14:paraId="27525521">
            <w:pPr>
              <w:pStyle w:val="12"/>
            </w:pPr>
            <w:r>
              <w:t>2050202</w:t>
            </w:r>
          </w:p>
        </w:tc>
        <w:tc>
          <w:tcPr>
            <w:tcW w:w="1559" w:type="dxa"/>
            <w:vAlign w:val="center"/>
          </w:tcPr>
          <w:p w14:paraId="0850D46C">
            <w:pPr>
              <w:pStyle w:val="12"/>
            </w:pPr>
            <w:r>
              <w:t>小学教育</w:t>
            </w:r>
          </w:p>
        </w:tc>
        <w:tc>
          <w:tcPr>
            <w:tcW w:w="1134" w:type="dxa"/>
            <w:vAlign w:val="center"/>
          </w:tcPr>
          <w:p w14:paraId="5EBA47FB">
            <w:pPr>
              <w:pStyle w:val="11"/>
            </w:pPr>
            <w:r>
              <w:t>1905.19</w:t>
            </w:r>
          </w:p>
        </w:tc>
        <w:tc>
          <w:tcPr>
            <w:tcW w:w="1134" w:type="dxa"/>
            <w:vAlign w:val="center"/>
          </w:tcPr>
          <w:p w14:paraId="691A719C">
            <w:pPr>
              <w:pStyle w:val="11"/>
            </w:pPr>
            <w:r>
              <w:t>1905.19</w:t>
            </w:r>
          </w:p>
        </w:tc>
        <w:tc>
          <w:tcPr>
            <w:tcW w:w="1134" w:type="dxa"/>
            <w:vAlign w:val="center"/>
          </w:tcPr>
          <w:p w14:paraId="10EBC495">
            <w:pPr>
              <w:pStyle w:val="11"/>
            </w:pPr>
            <w:r>
              <w:t>1905.19</w:t>
            </w:r>
          </w:p>
        </w:tc>
        <w:tc>
          <w:tcPr>
            <w:tcW w:w="1134" w:type="dxa"/>
            <w:vAlign w:val="center"/>
          </w:tcPr>
          <w:p w14:paraId="7556369D">
            <w:pPr>
              <w:pStyle w:val="11"/>
            </w:pPr>
          </w:p>
        </w:tc>
        <w:tc>
          <w:tcPr>
            <w:tcW w:w="1134" w:type="dxa"/>
            <w:vAlign w:val="center"/>
          </w:tcPr>
          <w:p w14:paraId="38232E42">
            <w:pPr>
              <w:pStyle w:val="11"/>
            </w:pPr>
          </w:p>
        </w:tc>
        <w:tc>
          <w:tcPr>
            <w:tcW w:w="1134" w:type="dxa"/>
            <w:vAlign w:val="center"/>
          </w:tcPr>
          <w:p w14:paraId="695B64C7">
            <w:pPr>
              <w:pStyle w:val="11"/>
            </w:pPr>
          </w:p>
        </w:tc>
        <w:tc>
          <w:tcPr>
            <w:tcW w:w="1134" w:type="dxa"/>
            <w:vAlign w:val="center"/>
          </w:tcPr>
          <w:p w14:paraId="3755B96C">
            <w:pPr>
              <w:pStyle w:val="11"/>
            </w:pPr>
          </w:p>
        </w:tc>
        <w:tc>
          <w:tcPr>
            <w:tcW w:w="1134" w:type="dxa"/>
            <w:vAlign w:val="center"/>
          </w:tcPr>
          <w:p w14:paraId="4E246A47">
            <w:pPr>
              <w:pStyle w:val="11"/>
            </w:pPr>
          </w:p>
        </w:tc>
        <w:tc>
          <w:tcPr>
            <w:tcW w:w="1134" w:type="dxa"/>
            <w:vAlign w:val="center"/>
          </w:tcPr>
          <w:p w14:paraId="3513A375">
            <w:pPr>
              <w:pStyle w:val="11"/>
            </w:pPr>
          </w:p>
        </w:tc>
        <w:tc>
          <w:tcPr>
            <w:tcW w:w="1134" w:type="dxa"/>
            <w:vAlign w:val="center"/>
          </w:tcPr>
          <w:p w14:paraId="6D56822B">
            <w:pPr>
              <w:pStyle w:val="11"/>
            </w:pPr>
          </w:p>
        </w:tc>
      </w:tr>
    </w:tbl>
    <w:p w14:paraId="7FA0F3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4AEC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0B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7D892A">
            <w:pPr>
              <w:pStyle w:val="9"/>
            </w:pPr>
            <w:r>
              <w:t>360030隆尧县第二实验小学</w:t>
            </w:r>
          </w:p>
        </w:tc>
        <w:tc>
          <w:tcPr>
            <w:tcW w:w="2722" w:type="dxa"/>
            <w:gridSpan w:val="2"/>
            <w:tcBorders>
              <w:top w:val="single" w:color="FFFFFF" w:sz="6" w:space="0"/>
              <w:left w:val="single" w:color="FFFFFF" w:sz="6" w:space="0"/>
              <w:right w:val="single" w:color="FFFFFF" w:sz="6" w:space="0"/>
            </w:tcBorders>
            <w:vAlign w:val="center"/>
          </w:tcPr>
          <w:p w14:paraId="48FB35F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A2CD88E">
            <w:pPr>
              <w:pStyle w:val="7"/>
            </w:pPr>
            <w:r>
              <w:t>单位：万元</w:t>
            </w:r>
          </w:p>
        </w:tc>
      </w:tr>
      <w:tr w14:paraId="5729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1DE565">
            <w:pPr>
              <w:pStyle w:val="10"/>
            </w:pPr>
            <w:r>
              <w:t>序号</w:t>
            </w:r>
          </w:p>
        </w:tc>
        <w:tc>
          <w:tcPr>
            <w:tcW w:w="5527" w:type="dxa"/>
            <w:gridSpan w:val="2"/>
            <w:vAlign w:val="center"/>
          </w:tcPr>
          <w:p w14:paraId="266FCF6E">
            <w:pPr>
              <w:pStyle w:val="10"/>
            </w:pPr>
            <w:r>
              <w:t>功能分类科目</w:t>
            </w:r>
          </w:p>
        </w:tc>
        <w:tc>
          <w:tcPr>
            <w:tcW w:w="1361" w:type="dxa"/>
            <w:vMerge w:val="restart"/>
            <w:vAlign w:val="center"/>
          </w:tcPr>
          <w:p w14:paraId="4CCF56AD">
            <w:pPr>
              <w:pStyle w:val="10"/>
            </w:pPr>
            <w:r>
              <w:t>合计</w:t>
            </w:r>
          </w:p>
        </w:tc>
        <w:tc>
          <w:tcPr>
            <w:tcW w:w="1361" w:type="dxa"/>
            <w:vMerge w:val="restart"/>
            <w:vAlign w:val="center"/>
          </w:tcPr>
          <w:p w14:paraId="7CD2941B">
            <w:pPr>
              <w:pStyle w:val="10"/>
            </w:pPr>
            <w:r>
              <w:t>基本支出</w:t>
            </w:r>
          </w:p>
        </w:tc>
        <w:tc>
          <w:tcPr>
            <w:tcW w:w="1361" w:type="dxa"/>
            <w:vMerge w:val="restart"/>
            <w:vAlign w:val="center"/>
          </w:tcPr>
          <w:p w14:paraId="612971F8">
            <w:pPr>
              <w:pStyle w:val="10"/>
            </w:pPr>
            <w:r>
              <w:t>项目支出</w:t>
            </w:r>
          </w:p>
        </w:tc>
        <w:tc>
          <w:tcPr>
            <w:tcW w:w="1361" w:type="dxa"/>
            <w:vMerge w:val="restart"/>
            <w:vAlign w:val="center"/>
          </w:tcPr>
          <w:p w14:paraId="1161282B">
            <w:pPr>
              <w:pStyle w:val="10"/>
            </w:pPr>
            <w:r>
              <w:t>经营支出</w:t>
            </w:r>
          </w:p>
        </w:tc>
        <w:tc>
          <w:tcPr>
            <w:tcW w:w="1361" w:type="dxa"/>
            <w:vMerge w:val="restart"/>
            <w:vAlign w:val="center"/>
          </w:tcPr>
          <w:p w14:paraId="67C415C1">
            <w:pPr>
              <w:pStyle w:val="10"/>
            </w:pPr>
            <w:r>
              <w:t>上解上级     支出</w:t>
            </w:r>
          </w:p>
        </w:tc>
        <w:tc>
          <w:tcPr>
            <w:tcW w:w="1361" w:type="dxa"/>
            <w:vMerge w:val="restart"/>
            <w:vAlign w:val="center"/>
          </w:tcPr>
          <w:p w14:paraId="7BCE51BE">
            <w:pPr>
              <w:pStyle w:val="10"/>
            </w:pPr>
            <w:r>
              <w:t>对附属单位补助支出</w:t>
            </w:r>
          </w:p>
        </w:tc>
      </w:tr>
      <w:tr w14:paraId="2093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534D7C"/>
        </w:tc>
        <w:tc>
          <w:tcPr>
            <w:tcW w:w="992" w:type="dxa"/>
            <w:vAlign w:val="center"/>
          </w:tcPr>
          <w:p w14:paraId="261E2474">
            <w:pPr>
              <w:pStyle w:val="10"/>
            </w:pPr>
            <w:r>
              <w:t>科目    编码</w:t>
            </w:r>
          </w:p>
        </w:tc>
        <w:tc>
          <w:tcPr>
            <w:tcW w:w="4535" w:type="dxa"/>
            <w:vAlign w:val="center"/>
          </w:tcPr>
          <w:p w14:paraId="0DC44B7C">
            <w:pPr>
              <w:pStyle w:val="10"/>
            </w:pPr>
            <w:r>
              <w:t>科目名称</w:t>
            </w:r>
          </w:p>
        </w:tc>
        <w:tc>
          <w:tcPr>
            <w:tcW w:w="1361" w:type="dxa"/>
            <w:vMerge w:val="continue"/>
          </w:tcPr>
          <w:p w14:paraId="687EC97A"/>
        </w:tc>
        <w:tc>
          <w:tcPr>
            <w:tcW w:w="1361" w:type="dxa"/>
            <w:vMerge w:val="continue"/>
          </w:tcPr>
          <w:p w14:paraId="26DF08A4"/>
        </w:tc>
        <w:tc>
          <w:tcPr>
            <w:tcW w:w="1361" w:type="dxa"/>
            <w:vMerge w:val="continue"/>
          </w:tcPr>
          <w:p w14:paraId="0EABE90A"/>
        </w:tc>
        <w:tc>
          <w:tcPr>
            <w:tcW w:w="1361" w:type="dxa"/>
            <w:vMerge w:val="continue"/>
          </w:tcPr>
          <w:p w14:paraId="30BFDB8E"/>
        </w:tc>
        <w:tc>
          <w:tcPr>
            <w:tcW w:w="1361" w:type="dxa"/>
            <w:vMerge w:val="continue"/>
          </w:tcPr>
          <w:p w14:paraId="0C625F90"/>
        </w:tc>
        <w:tc>
          <w:tcPr>
            <w:tcW w:w="1361" w:type="dxa"/>
            <w:vMerge w:val="continue"/>
          </w:tcPr>
          <w:p w14:paraId="12A4CCA4"/>
        </w:tc>
      </w:tr>
      <w:tr w14:paraId="727B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B89FB">
            <w:pPr>
              <w:pStyle w:val="10"/>
            </w:pPr>
            <w:r>
              <w:t>栏次</w:t>
            </w:r>
          </w:p>
        </w:tc>
        <w:tc>
          <w:tcPr>
            <w:tcW w:w="992" w:type="dxa"/>
            <w:vAlign w:val="center"/>
          </w:tcPr>
          <w:p w14:paraId="0FCBCD69">
            <w:pPr>
              <w:pStyle w:val="10"/>
            </w:pPr>
            <w:r>
              <w:t>1</w:t>
            </w:r>
          </w:p>
        </w:tc>
        <w:tc>
          <w:tcPr>
            <w:tcW w:w="4535" w:type="dxa"/>
            <w:vAlign w:val="center"/>
          </w:tcPr>
          <w:p w14:paraId="4F115093">
            <w:pPr>
              <w:pStyle w:val="10"/>
            </w:pPr>
            <w:r>
              <w:t>2</w:t>
            </w:r>
          </w:p>
        </w:tc>
        <w:tc>
          <w:tcPr>
            <w:tcW w:w="1361" w:type="dxa"/>
            <w:vAlign w:val="center"/>
          </w:tcPr>
          <w:p w14:paraId="6875C768">
            <w:pPr>
              <w:pStyle w:val="10"/>
            </w:pPr>
            <w:r>
              <w:t>3</w:t>
            </w:r>
          </w:p>
        </w:tc>
        <w:tc>
          <w:tcPr>
            <w:tcW w:w="1361" w:type="dxa"/>
            <w:vAlign w:val="center"/>
          </w:tcPr>
          <w:p w14:paraId="220BA960">
            <w:pPr>
              <w:pStyle w:val="10"/>
            </w:pPr>
            <w:r>
              <w:t>4</w:t>
            </w:r>
          </w:p>
        </w:tc>
        <w:tc>
          <w:tcPr>
            <w:tcW w:w="1361" w:type="dxa"/>
            <w:vAlign w:val="center"/>
          </w:tcPr>
          <w:p w14:paraId="4208B243">
            <w:pPr>
              <w:pStyle w:val="10"/>
            </w:pPr>
            <w:r>
              <w:t>5</w:t>
            </w:r>
          </w:p>
        </w:tc>
        <w:tc>
          <w:tcPr>
            <w:tcW w:w="1361" w:type="dxa"/>
            <w:vAlign w:val="center"/>
          </w:tcPr>
          <w:p w14:paraId="692765F8">
            <w:pPr>
              <w:pStyle w:val="10"/>
            </w:pPr>
            <w:r>
              <w:t>6</w:t>
            </w:r>
          </w:p>
        </w:tc>
        <w:tc>
          <w:tcPr>
            <w:tcW w:w="1361" w:type="dxa"/>
            <w:vAlign w:val="center"/>
          </w:tcPr>
          <w:p w14:paraId="660DF4CB">
            <w:pPr>
              <w:pStyle w:val="10"/>
            </w:pPr>
            <w:r>
              <w:t>7</w:t>
            </w:r>
          </w:p>
        </w:tc>
        <w:tc>
          <w:tcPr>
            <w:tcW w:w="1361" w:type="dxa"/>
            <w:vAlign w:val="center"/>
          </w:tcPr>
          <w:p w14:paraId="03CEEA5F">
            <w:pPr>
              <w:pStyle w:val="10"/>
            </w:pPr>
            <w:r>
              <w:t>8</w:t>
            </w:r>
          </w:p>
        </w:tc>
      </w:tr>
      <w:tr w14:paraId="10C4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A151C">
            <w:pPr>
              <w:pStyle w:val="13"/>
            </w:pPr>
            <w:r>
              <w:t>1</w:t>
            </w:r>
          </w:p>
        </w:tc>
        <w:tc>
          <w:tcPr>
            <w:tcW w:w="992" w:type="dxa"/>
            <w:vAlign w:val="center"/>
          </w:tcPr>
          <w:p w14:paraId="3538311D">
            <w:pPr>
              <w:pStyle w:val="16"/>
            </w:pPr>
          </w:p>
        </w:tc>
        <w:tc>
          <w:tcPr>
            <w:tcW w:w="4535" w:type="dxa"/>
            <w:vAlign w:val="center"/>
          </w:tcPr>
          <w:p w14:paraId="1F08F897">
            <w:pPr>
              <w:pStyle w:val="14"/>
            </w:pPr>
            <w:r>
              <w:t>合计</w:t>
            </w:r>
          </w:p>
        </w:tc>
        <w:tc>
          <w:tcPr>
            <w:tcW w:w="1361" w:type="dxa"/>
            <w:vAlign w:val="center"/>
          </w:tcPr>
          <w:p w14:paraId="1EA69DC0">
            <w:pPr>
              <w:pStyle w:val="15"/>
            </w:pPr>
            <w:r>
              <w:t>1905.19</w:t>
            </w:r>
          </w:p>
        </w:tc>
        <w:tc>
          <w:tcPr>
            <w:tcW w:w="1361" w:type="dxa"/>
            <w:vAlign w:val="center"/>
          </w:tcPr>
          <w:p w14:paraId="68D8664F">
            <w:pPr>
              <w:pStyle w:val="15"/>
            </w:pPr>
            <w:r>
              <w:t>1472.04</w:t>
            </w:r>
          </w:p>
        </w:tc>
        <w:tc>
          <w:tcPr>
            <w:tcW w:w="1361" w:type="dxa"/>
            <w:vAlign w:val="center"/>
          </w:tcPr>
          <w:p w14:paraId="7C233454">
            <w:pPr>
              <w:pStyle w:val="15"/>
            </w:pPr>
            <w:r>
              <w:t>433.15</w:t>
            </w:r>
          </w:p>
        </w:tc>
        <w:tc>
          <w:tcPr>
            <w:tcW w:w="1361" w:type="dxa"/>
            <w:vAlign w:val="center"/>
          </w:tcPr>
          <w:p w14:paraId="1D2F834E">
            <w:pPr>
              <w:pStyle w:val="15"/>
            </w:pPr>
          </w:p>
        </w:tc>
        <w:tc>
          <w:tcPr>
            <w:tcW w:w="1361" w:type="dxa"/>
            <w:vAlign w:val="center"/>
          </w:tcPr>
          <w:p w14:paraId="0BF4445F">
            <w:pPr>
              <w:pStyle w:val="15"/>
            </w:pPr>
          </w:p>
        </w:tc>
        <w:tc>
          <w:tcPr>
            <w:tcW w:w="1361" w:type="dxa"/>
            <w:vAlign w:val="center"/>
          </w:tcPr>
          <w:p w14:paraId="047002F6">
            <w:pPr>
              <w:pStyle w:val="15"/>
            </w:pPr>
          </w:p>
        </w:tc>
      </w:tr>
      <w:tr w14:paraId="0AEFE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7D2B0">
            <w:pPr>
              <w:pStyle w:val="13"/>
            </w:pPr>
            <w:r>
              <w:t>2</w:t>
            </w:r>
          </w:p>
        </w:tc>
        <w:tc>
          <w:tcPr>
            <w:tcW w:w="992" w:type="dxa"/>
            <w:vAlign w:val="center"/>
          </w:tcPr>
          <w:p w14:paraId="22F2F77D">
            <w:pPr>
              <w:pStyle w:val="12"/>
            </w:pPr>
            <w:r>
              <w:t>205</w:t>
            </w:r>
          </w:p>
        </w:tc>
        <w:tc>
          <w:tcPr>
            <w:tcW w:w="4535" w:type="dxa"/>
            <w:vAlign w:val="center"/>
          </w:tcPr>
          <w:p w14:paraId="55D10111">
            <w:pPr>
              <w:pStyle w:val="12"/>
            </w:pPr>
            <w:r>
              <w:t>教育支出</w:t>
            </w:r>
          </w:p>
        </w:tc>
        <w:tc>
          <w:tcPr>
            <w:tcW w:w="1361" w:type="dxa"/>
            <w:vAlign w:val="center"/>
          </w:tcPr>
          <w:p w14:paraId="7B37896F">
            <w:pPr>
              <w:pStyle w:val="11"/>
            </w:pPr>
            <w:r>
              <w:t>1905.19</w:t>
            </w:r>
          </w:p>
        </w:tc>
        <w:tc>
          <w:tcPr>
            <w:tcW w:w="1361" w:type="dxa"/>
            <w:vAlign w:val="center"/>
          </w:tcPr>
          <w:p w14:paraId="4361EDA3">
            <w:pPr>
              <w:pStyle w:val="11"/>
            </w:pPr>
            <w:r>
              <w:t>1472.04</w:t>
            </w:r>
          </w:p>
        </w:tc>
        <w:tc>
          <w:tcPr>
            <w:tcW w:w="1361" w:type="dxa"/>
            <w:vAlign w:val="center"/>
          </w:tcPr>
          <w:p w14:paraId="3C85672F">
            <w:pPr>
              <w:pStyle w:val="11"/>
            </w:pPr>
            <w:r>
              <w:t>433.15</w:t>
            </w:r>
          </w:p>
        </w:tc>
        <w:tc>
          <w:tcPr>
            <w:tcW w:w="1361" w:type="dxa"/>
            <w:vAlign w:val="center"/>
          </w:tcPr>
          <w:p w14:paraId="5203A3E0">
            <w:pPr>
              <w:pStyle w:val="11"/>
            </w:pPr>
          </w:p>
        </w:tc>
        <w:tc>
          <w:tcPr>
            <w:tcW w:w="1361" w:type="dxa"/>
            <w:vAlign w:val="center"/>
          </w:tcPr>
          <w:p w14:paraId="534E4E6A">
            <w:pPr>
              <w:pStyle w:val="11"/>
            </w:pPr>
          </w:p>
        </w:tc>
        <w:tc>
          <w:tcPr>
            <w:tcW w:w="1361" w:type="dxa"/>
            <w:vAlign w:val="center"/>
          </w:tcPr>
          <w:p w14:paraId="6194FE9E">
            <w:pPr>
              <w:pStyle w:val="11"/>
            </w:pPr>
          </w:p>
        </w:tc>
      </w:tr>
      <w:tr w14:paraId="5038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394A1">
            <w:pPr>
              <w:pStyle w:val="13"/>
            </w:pPr>
            <w:r>
              <w:t>3</w:t>
            </w:r>
          </w:p>
        </w:tc>
        <w:tc>
          <w:tcPr>
            <w:tcW w:w="992" w:type="dxa"/>
            <w:vAlign w:val="center"/>
          </w:tcPr>
          <w:p w14:paraId="1059DDB6">
            <w:pPr>
              <w:pStyle w:val="12"/>
            </w:pPr>
            <w:r>
              <w:t>20502</w:t>
            </w:r>
          </w:p>
        </w:tc>
        <w:tc>
          <w:tcPr>
            <w:tcW w:w="4535" w:type="dxa"/>
            <w:vAlign w:val="center"/>
          </w:tcPr>
          <w:p w14:paraId="020A6650">
            <w:pPr>
              <w:pStyle w:val="12"/>
            </w:pPr>
            <w:r>
              <w:t>普通教育</w:t>
            </w:r>
          </w:p>
        </w:tc>
        <w:tc>
          <w:tcPr>
            <w:tcW w:w="1361" w:type="dxa"/>
            <w:vAlign w:val="center"/>
          </w:tcPr>
          <w:p w14:paraId="4792B09E">
            <w:pPr>
              <w:pStyle w:val="11"/>
            </w:pPr>
            <w:r>
              <w:t>1905.19</w:t>
            </w:r>
          </w:p>
        </w:tc>
        <w:tc>
          <w:tcPr>
            <w:tcW w:w="1361" w:type="dxa"/>
            <w:vAlign w:val="center"/>
          </w:tcPr>
          <w:p w14:paraId="2EF5ECAF">
            <w:pPr>
              <w:pStyle w:val="11"/>
            </w:pPr>
            <w:r>
              <w:t>1472.04</w:t>
            </w:r>
          </w:p>
        </w:tc>
        <w:tc>
          <w:tcPr>
            <w:tcW w:w="1361" w:type="dxa"/>
            <w:vAlign w:val="center"/>
          </w:tcPr>
          <w:p w14:paraId="16FD9BE4">
            <w:pPr>
              <w:pStyle w:val="11"/>
            </w:pPr>
            <w:r>
              <w:t>433.15</w:t>
            </w:r>
          </w:p>
        </w:tc>
        <w:tc>
          <w:tcPr>
            <w:tcW w:w="1361" w:type="dxa"/>
            <w:vAlign w:val="center"/>
          </w:tcPr>
          <w:p w14:paraId="35D63315">
            <w:pPr>
              <w:pStyle w:val="11"/>
            </w:pPr>
          </w:p>
        </w:tc>
        <w:tc>
          <w:tcPr>
            <w:tcW w:w="1361" w:type="dxa"/>
            <w:vAlign w:val="center"/>
          </w:tcPr>
          <w:p w14:paraId="09E43137">
            <w:pPr>
              <w:pStyle w:val="11"/>
            </w:pPr>
          </w:p>
        </w:tc>
        <w:tc>
          <w:tcPr>
            <w:tcW w:w="1361" w:type="dxa"/>
            <w:vAlign w:val="center"/>
          </w:tcPr>
          <w:p w14:paraId="736E8640">
            <w:pPr>
              <w:pStyle w:val="11"/>
            </w:pPr>
          </w:p>
        </w:tc>
      </w:tr>
      <w:tr w14:paraId="2682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84B70">
            <w:pPr>
              <w:pStyle w:val="13"/>
            </w:pPr>
            <w:r>
              <w:t>4</w:t>
            </w:r>
          </w:p>
        </w:tc>
        <w:tc>
          <w:tcPr>
            <w:tcW w:w="992" w:type="dxa"/>
            <w:vAlign w:val="center"/>
          </w:tcPr>
          <w:p w14:paraId="35AEC3A0">
            <w:pPr>
              <w:pStyle w:val="12"/>
            </w:pPr>
            <w:r>
              <w:t>2050202</w:t>
            </w:r>
          </w:p>
        </w:tc>
        <w:tc>
          <w:tcPr>
            <w:tcW w:w="4535" w:type="dxa"/>
            <w:vAlign w:val="center"/>
          </w:tcPr>
          <w:p w14:paraId="20BB256F">
            <w:pPr>
              <w:pStyle w:val="12"/>
            </w:pPr>
            <w:r>
              <w:t>小学教育</w:t>
            </w:r>
          </w:p>
        </w:tc>
        <w:tc>
          <w:tcPr>
            <w:tcW w:w="1361" w:type="dxa"/>
            <w:vAlign w:val="center"/>
          </w:tcPr>
          <w:p w14:paraId="260F096D">
            <w:pPr>
              <w:pStyle w:val="11"/>
            </w:pPr>
            <w:r>
              <w:t>1905.19</w:t>
            </w:r>
          </w:p>
        </w:tc>
        <w:tc>
          <w:tcPr>
            <w:tcW w:w="1361" w:type="dxa"/>
            <w:vAlign w:val="center"/>
          </w:tcPr>
          <w:p w14:paraId="071B3B96">
            <w:pPr>
              <w:pStyle w:val="11"/>
            </w:pPr>
            <w:r>
              <w:t>1472.04</w:t>
            </w:r>
          </w:p>
        </w:tc>
        <w:tc>
          <w:tcPr>
            <w:tcW w:w="1361" w:type="dxa"/>
            <w:vAlign w:val="center"/>
          </w:tcPr>
          <w:p w14:paraId="12E09CDC">
            <w:pPr>
              <w:pStyle w:val="11"/>
            </w:pPr>
            <w:r>
              <w:t>433.15</w:t>
            </w:r>
          </w:p>
        </w:tc>
        <w:tc>
          <w:tcPr>
            <w:tcW w:w="1361" w:type="dxa"/>
            <w:vAlign w:val="center"/>
          </w:tcPr>
          <w:p w14:paraId="689C77C2">
            <w:pPr>
              <w:pStyle w:val="11"/>
            </w:pPr>
          </w:p>
        </w:tc>
        <w:tc>
          <w:tcPr>
            <w:tcW w:w="1361" w:type="dxa"/>
            <w:vAlign w:val="center"/>
          </w:tcPr>
          <w:p w14:paraId="16461B19">
            <w:pPr>
              <w:pStyle w:val="11"/>
            </w:pPr>
          </w:p>
        </w:tc>
        <w:tc>
          <w:tcPr>
            <w:tcW w:w="1361" w:type="dxa"/>
            <w:vAlign w:val="center"/>
          </w:tcPr>
          <w:p w14:paraId="3440D5CC">
            <w:pPr>
              <w:pStyle w:val="11"/>
            </w:pPr>
          </w:p>
        </w:tc>
      </w:tr>
    </w:tbl>
    <w:p w14:paraId="42ACCB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7F99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13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8806C7">
            <w:pPr>
              <w:pStyle w:val="9"/>
            </w:pPr>
            <w:r>
              <w:t>360030隆尧县第二实验小学</w:t>
            </w:r>
          </w:p>
        </w:tc>
        <w:tc>
          <w:tcPr>
            <w:tcW w:w="3402" w:type="dxa"/>
            <w:tcBorders>
              <w:top w:val="single" w:color="FFFFFF" w:sz="6" w:space="0"/>
              <w:left w:val="single" w:color="FFFFFF" w:sz="6" w:space="0"/>
              <w:right w:val="single" w:color="FFFFFF" w:sz="6" w:space="0"/>
            </w:tcBorders>
            <w:vAlign w:val="center"/>
          </w:tcPr>
          <w:p w14:paraId="27D7AE1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D2C630B">
            <w:pPr>
              <w:pStyle w:val="7"/>
            </w:pPr>
            <w:r>
              <w:t>单位：万元</w:t>
            </w:r>
          </w:p>
        </w:tc>
      </w:tr>
      <w:tr w14:paraId="4DE8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31D06">
            <w:pPr>
              <w:pStyle w:val="10"/>
            </w:pPr>
            <w:r>
              <w:t>序号</w:t>
            </w:r>
          </w:p>
        </w:tc>
        <w:tc>
          <w:tcPr>
            <w:tcW w:w="4876" w:type="dxa"/>
            <w:gridSpan w:val="2"/>
            <w:vAlign w:val="center"/>
          </w:tcPr>
          <w:p w14:paraId="575E2EE1">
            <w:pPr>
              <w:pStyle w:val="10"/>
            </w:pPr>
            <w:r>
              <w:t>收入</w:t>
            </w:r>
          </w:p>
        </w:tc>
        <w:tc>
          <w:tcPr>
            <w:tcW w:w="9298" w:type="dxa"/>
            <w:gridSpan w:val="5"/>
            <w:vAlign w:val="center"/>
          </w:tcPr>
          <w:p w14:paraId="54445E1C">
            <w:pPr>
              <w:pStyle w:val="10"/>
            </w:pPr>
            <w:r>
              <w:t>支出</w:t>
            </w:r>
          </w:p>
        </w:tc>
      </w:tr>
      <w:tr w14:paraId="413A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2DAF0E"/>
        </w:tc>
        <w:tc>
          <w:tcPr>
            <w:tcW w:w="3402" w:type="dxa"/>
            <w:vAlign w:val="center"/>
          </w:tcPr>
          <w:p w14:paraId="57048820">
            <w:pPr>
              <w:pStyle w:val="10"/>
            </w:pPr>
            <w:r>
              <w:t>项  目</w:t>
            </w:r>
          </w:p>
        </w:tc>
        <w:tc>
          <w:tcPr>
            <w:tcW w:w="1474" w:type="dxa"/>
            <w:vAlign w:val="center"/>
          </w:tcPr>
          <w:p w14:paraId="7D34BC02">
            <w:pPr>
              <w:pStyle w:val="10"/>
            </w:pPr>
            <w:r>
              <w:t>金额</w:t>
            </w:r>
          </w:p>
        </w:tc>
        <w:tc>
          <w:tcPr>
            <w:tcW w:w="3402" w:type="dxa"/>
            <w:vAlign w:val="center"/>
          </w:tcPr>
          <w:p w14:paraId="68B8F947">
            <w:pPr>
              <w:pStyle w:val="10"/>
            </w:pPr>
            <w:r>
              <w:t>项  目</w:t>
            </w:r>
          </w:p>
        </w:tc>
        <w:tc>
          <w:tcPr>
            <w:tcW w:w="1474" w:type="dxa"/>
            <w:vAlign w:val="center"/>
          </w:tcPr>
          <w:p w14:paraId="202DAB0F">
            <w:pPr>
              <w:pStyle w:val="10"/>
            </w:pPr>
            <w:r>
              <w:t>合计</w:t>
            </w:r>
          </w:p>
        </w:tc>
        <w:tc>
          <w:tcPr>
            <w:tcW w:w="1474" w:type="dxa"/>
            <w:vAlign w:val="center"/>
          </w:tcPr>
          <w:p w14:paraId="1807431B">
            <w:pPr>
              <w:pStyle w:val="10"/>
            </w:pPr>
            <w:r>
              <w:t>一般公共预算财政拨款</w:t>
            </w:r>
          </w:p>
        </w:tc>
        <w:tc>
          <w:tcPr>
            <w:tcW w:w="1474" w:type="dxa"/>
            <w:vAlign w:val="center"/>
          </w:tcPr>
          <w:p w14:paraId="256AE565">
            <w:pPr>
              <w:pStyle w:val="10"/>
            </w:pPr>
            <w:r>
              <w:t>政府性基金预算财政    拨款</w:t>
            </w:r>
          </w:p>
        </w:tc>
        <w:tc>
          <w:tcPr>
            <w:tcW w:w="1474" w:type="dxa"/>
            <w:vAlign w:val="center"/>
          </w:tcPr>
          <w:p w14:paraId="262A2304">
            <w:pPr>
              <w:pStyle w:val="10"/>
            </w:pPr>
            <w:r>
              <w:t>国有资本经营预算财政拨款</w:t>
            </w:r>
          </w:p>
        </w:tc>
      </w:tr>
      <w:tr w14:paraId="4D5D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6E379F">
            <w:pPr>
              <w:pStyle w:val="10"/>
            </w:pPr>
            <w:r>
              <w:t>栏次</w:t>
            </w:r>
          </w:p>
        </w:tc>
        <w:tc>
          <w:tcPr>
            <w:tcW w:w="3402" w:type="dxa"/>
            <w:vAlign w:val="center"/>
          </w:tcPr>
          <w:p w14:paraId="5BC141CB">
            <w:pPr>
              <w:pStyle w:val="10"/>
            </w:pPr>
            <w:r>
              <w:t>1</w:t>
            </w:r>
          </w:p>
        </w:tc>
        <w:tc>
          <w:tcPr>
            <w:tcW w:w="1474" w:type="dxa"/>
            <w:vAlign w:val="center"/>
          </w:tcPr>
          <w:p w14:paraId="78EA9533">
            <w:pPr>
              <w:pStyle w:val="10"/>
            </w:pPr>
            <w:r>
              <w:t>2</w:t>
            </w:r>
          </w:p>
        </w:tc>
        <w:tc>
          <w:tcPr>
            <w:tcW w:w="3402" w:type="dxa"/>
            <w:vAlign w:val="center"/>
          </w:tcPr>
          <w:p w14:paraId="60BEF72D">
            <w:pPr>
              <w:pStyle w:val="10"/>
            </w:pPr>
            <w:r>
              <w:t>3</w:t>
            </w:r>
          </w:p>
        </w:tc>
        <w:tc>
          <w:tcPr>
            <w:tcW w:w="1474" w:type="dxa"/>
            <w:vAlign w:val="center"/>
          </w:tcPr>
          <w:p w14:paraId="0425F537">
            <w:pPr>
              <w:pStyle w:val="10"/>
            </w:pPr>
            <w:r>
              <w:t>4</w:t>
            </w:r>
          </w:p>
        </w:tc>
        <w:tc>
          <w:tcPr>
            <w:tcW w:w="1474" w:type="dxa"/>
            <w:vAlign w:val="center"/>
          </w:tcPr>
          <w:p w14:paraId="3FAAB40A">
            <w:pPr>
              <w:pStyle w:val="10"/>
            </w:pPr>
            <w:r>
              <w:t>5</w:t>
            </w:r>
          </w:p>
        </w:tc>
        <w:tc>
          <w:tcPr>
            <w:tcW w:w="1474" w:type="dxa"/>
            <w:vAlign w:val="center"/>
          </w:tcPr>
          <w:p w14:paraId="25D4F103">
            <w:pPr>
              <w:pStyle w:val="10"/>
            </w:pPr>
            <w:r>
              <w:t>6</w:t>
            </w:r>
          </w:p>
        </w:tc>
        <w:tc>
          <w:tcPr>
            <w:tcW w:w="1474" w:type="dxa"/>
            <w:vAlign w:val="center"/>
          </w:tcPr>
          <w:p w14:paraId="143F63F8">
            <w:pPr>
              <w:pStyle w:val="10"/>
            </w:pPr>
            <w:r>
              <w:t>7</w:t>
            </w:r>
          </w:p>
        </w:tc>
      </w:tr>
      <w:tr w14:paraId="7E57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1822">
            <w:pPr>
              <w:pStyle w:val="13"/>
            </w:pPr>
            <w:r>
              <w:t>1</w:t>
            </w:r>
          </w:p>
        </w:tc>
        <w:tc>
          <w:tcPr>
            <w:tcW w:w="3402" w:type="dxa"/>
            <w:vAlign w:val="center"/>
          </w:tcPr>
          <w:p w14:paraId="2809C6DE">
            <w:pPr>
              <w:pStyle w:val="12"/>
            </w:pPr>
            <w:r>
              <w:t>一、一般公共预算拨款</w:t>
            </w:r>
          </w:p>
        </w:tc>
        <w:tc>
          <w:tcPr>
            <w:tcW w:w="1474" w:type="dxa"/>
            <w:vAlign w:val="center"/>
          </w:tcPr>
          <w:p w14:paraId="38C3C274">
            <w:pPr>
              <w:pStyle w:val="11"/>
            </w:pPr>
            <w:r>
              <w:t>1905.19</w:t>
            </w:r>
          </w:p>
        </w:tc>
        <w:tc>
          <w:tcPr>
            <w:tcW w:w="3402" w:type="dxa"/>
            <w:vAlign w:val="center"/>
          </w:tcPr>
          <w:p w14:paraId="1DD3D2D4">
            <w:pPr>
              <w:pStyle w:val="12"/>
            </w:pPr>
            <w:r>
              <w:t>一、一般公共服务支出</w:t>
            </w:r>
          </w:p>
        </w:tc>
        <w:tc>
          <w:tcPr>
            <w:tcW w:w="1474" w:type="dxa"/>
            <w:vAlign w:val="center"/>
          </w:tcPr>
          <w:p w14:paraId="6D2AB3A0">
            <w:pPr>
              <w:pStyle w:val="11"/>
            </w:pPr>
          </w:p>
        </w:tc>
        <w:tc>
          <w:tcPr>
            <w:tcW w:w="1474" w:type="dxa"/>
            <w:vAlign w:val="center"/>
          </w:tcPr>
          <w:p w14:paraId="21284F88">
            <w:pPr>
              <w:pStyle w:val="11"/>
            </w:pPr>
          </w:p>
        </w:tc>
        <w:tc>
          <w:tcPr>
            <w:tcW w:w="1474" w:type="dxa"/>
            <w:vAlign w:val="center"/>
          </w:tcPr>
          <w:p w14:paraId="5ADBA128">
            <w:pPr>
              <w:pStyle w:val="11"/>
            </w:pPr>
          </w:p>
        </w:tc>
        <w:tc>
          <w:tcPr>
            <w:tcW w:w="1474" w:type="dxa"/>
            <w:vAlign w:val="center"/>
          </w:tcPr>
          <w:p w14:paraId="07A8C4AF">
            <w:pPr>
              <w:pStyle w:val="11"/>
            </w:pPr>
          </w:p>
        </w:tc>
      </w:tr>
      <w:tr w14:paraId="676F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27EFB">
            <w:pPr>
              <w:pStyle w:val="13"/>
            </w:pPr>
            <w:r>
              <w:t>2</w:t>
            </w:r>
          </w:p>
        </w:tc>
        <w:tc>
          <w:tcPr>
            <w:tcW w:w="3402" w:type="dxa"/>
            <w:vAlign w:val="center"/>
          </w:tcPr>
          <w:p w14:paraId="42FFB646">
            <w:pPr>
              <w:pStyle w:val="12"/>
            </w:pPr>
            <w:r>
              <w:t>二、政府性基金预算拨款</w:t>
            </w:r>
          </w:p>
        </w:tc>
        <w:tc>
          <w:tcPr>
            <w:tcW w:w="1474" w:type="dxa"/>
            <w:vAlign w:val="center"/>
          </w:tcPr>
          <w:p w14:paraId="4ADF8CA1">
            <w:pPr>
              <w:pStyle w:val="11"/>
            </w:pPr>
          </w:p>
        </w:tc>
        <w:tc>
          <w:tcPr>
            <w:tcW w:w="3402" w:type="dxa"/>
            <w:vAlign w:val="center"/>
          </w:tcPr>
          <w:p w14:paraId="4CC1348A">
            <w:pPr>
              <w:pStyle w:val="12"/>
            </w:pPr>
            <w:r>
              <w:t>二、外交支出</w:t>
            </w:r>
          </w:p>
        </w:tc>
        <w:tc>
          <w:tcPr>
            <w:tcW w:w="1474" w:type="dxa"/>
            <w:vAlign w:val="center"/>
          </w:tcPr>
          <w:p w14:paraId="0003641D">
            <w:pPr>
              <w:pStyle w:val="11"/>
            </w:pPr>
          </w:p>
        </w:tc>
        <w:tc>
          <w:tcPr>
            <w:tcW w:w="1474" w:type="dxa"/>
            <w:vAlign w:val="center"/>
          </w:tcPr>
          <w:p w14:paraId="1857579A">
            <w:pPr>
              <w:pStyle w:val="11"/>
            </w:pPr>
          </w:p>
        </w:tc>
        <w:tc>
          <w:tcPr>
            <w:tcW w:w="1474" w:type="dxa"/>
            <w:vAlign w:val="center"/>
          </w:tcPr>
          <w:p w14:paraId="3B360491">
            <w:pPr>
              <w:pStyle w:val="11"/>
            </w:pPr>
          </w:p>
        </w:tc>
        <w:tc>
          <w:tcPr>
            <w:tcW w:w="1474" w:type="dxa"/>
            <w:vAlign w:val="center"/>
          </w:tcPr>
          <w:p w14:paraId="20FE81DA">
            <w:pPr>
              <w:pStyle w:val="11"/>
            </w:pPr>
          </w:p>
        </w:tc>
      </w:tr>
      <w:tr w14:paraId="0D6B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6355">
            <w:pPr>
              <w:pStyle w:val="13"/>
            </w:pPr>
            <w:r>
              <w:t>3</w:t>
            </w:r>
          </w:p>
        </w:tc>
        <w:tc>
          <w:tcPr>
            <w:tcW w:w="3402" w:type="dxa"/>
            <w:vAlign w:val="center"/>
          </w:tcPr>
          <w:p w14:paraId="43F01785">
            <w:pPr>
              <w:pStyle w:val="12"/>
            </w:pPr>
            <w:r>
              <w:t>三、国有资本经营预算拨款</w:t>
            </w:r>
          </w:p>
        </w:tc>
        <w:tc>
          <w:tcPr>
            <w:tcW w:w="1474" w:type="dxa"/>
            <w:vAlign w:val="center"/>
          </w:tcPr>
          <w:p w14:paraId="11CF646B">
            <w:pPr>
              <w:pStyle w:val="11"/>
            </w:pPr>
          </w:p>
        </w:tc>
        <w:tc>
          <w:tcPr>
            <w:tcW w:w="3402" w:type="dxa"/>
            <w:vAlign w:val="center"/>
          </w:tcPr>
          <w:p w14:paraId="550FE659">
            <w:pPr>
              <w:pStyle w:val="12"/>
            </w:pPr>
            <w:r>
              <w:t>三、国防支出</w:t>
            </w:r>
          </w:p>
        </w:tc>
        <w:tc>
          <w:tcPr>
            <w:tcW w:w="1474" w:type="dxa"/>
            <w:vAlign w:val="center"/>
          </w:tcPr>
          <w:p w14:paraId="2B5E1850">
            <w:pPr>
              <w:pStyle w:val="11"/>
            </w:pPr>
          </w:p>
        </w:tc>
        <w:tc>
          <w:tcPr>
            <w:tcW w:w="1474" w:type="dxa"/>
            <w:vAlign w:val="center"/>
          </w:tcPr>
          <w:p w14:paraId="6B7782D9">
            <w:pPr>
              <w:pStyle w:val="11"/>
            </w:pPr>
          </w:p>
        </w:tc>
        <w:tc>
          <w:tcPr>
            <w:tcW w:w="1474" w:type="dxa"/>
            <w:vAlign w:val="center"/>
          </w:tcPr>
          <w:p w14:paraId="1D2281F1">
            <w:pPr>
              <w:pStyle w:val="11"/>
            </w:pPr>
          </w:p>
        </w:tc>
        <w:tc>
          <w:tcPr>
            <w:tcW w:w="1474" w:type="dxa"/>
            <w:vAlign w:val="center"/>
          </w:tcPr>
          <w:p w14:paraId="670C426B">
            <w:pPr>
              <w:pStyle w:val="11"/>
            </w:pPr>
          </w:p>
        </w:tc>
      </w:tr>
      <w:tr w14:paraId="0CE0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1C749">
            <w:pPr>
              <w:pStyle w:val="13"/>
            </w:pPr>
            <w:r>
              <w:t>4</w:t>
            </w:r>
          </w:p>
        </w:tc>
        <w:tc>
          <w:tcPr>
            <w:tcW w:w="3402" w:type="dxa"/>
            <w:vAlign w:val="center"/>
          </w:tcPr>
          <w:p w14:paraId="65EAA445">
            <w:pPr>
              <w:pStyle w:val="12"/>
            </w:pPr>
          </w:p>
        </w:tc>
        <w:tc>
          <w:tcPr>
            <w:tcW w:w="1474" w:type="dxa"/>
            <w:vAlign w:val="center"/>
          </w:tcPr>
          <w:p w14:paraId="62E158D8">
            <w:pPr>
              <w:pStyle w:val="11"/>
            </w:pPr>
          </w:p>
        </w:tc>
        <w:tc>
          <w:tcPr>
            <w:tcW w:w="3402" w:type="dxa"/>
            <w:vAlign w:val="center"/>
          </w:tcPr>
          <w:p w14:paraId="3F4277C7">
            <w:pPr>
              <w:pStyle w:val="12"/>
            </w:pPr>
            <w:r>
              <w:t>四、公共安全支出</w:t>
            </w:r>
          </w:p>
        </w:tc>
        <w:tc>
          <w:tcPr>
            <w:tcW w:w="1474" w:type="dxa"/>
            <w:vAlign w:val="center"/>
          </w:tcPr>
          <w:p w14:paraId="6E9453FD">
            <w:pPr>
              <w:pStyle w:val="11"/>
            </w:pPr>
          </w:p>
        </w:tc>
        <w:tc>
          <w:tcPr>
            <w:tcW w:w="1474" w:type="dxa"/>
            <w:vAlign w:val="center"/>
          </w:tcPr>
          <w:p w14:paraId="5B136E27">
            <w:pPr>
              <w:pStyle w:val="11"/>
            </w:pPr>
          </w:p>
        </w:tc>
        <w:tc>
          <w:tcPr>
            <w:tcW w:w="1474" w:type="dxa"/>
            <w:vAlign w:val="center"/>
          </w:tcPr>
          <w:p w14:paraId="53A7489F">
            <w:pPr>
              <w:pStyle w:val="11"/>
            </w:pPr>
          </w:p>
        </w:tc>
        <w:tc>
          <w:tcPr>
            <w:tcW w:w="1474" w:type="dxa"/>
            <w:vAlign w:val="center"/>
          </w:tcPr>
          <w:p w14:paraId="0BDA41C3">
            <w:pPr>
              <w:pStyle w:val="11"/>
            </w:pPr>
          </w:p>
        </w:tc>
      </w:tr>
      <w:tr w14:paraId="3CB8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100AE">
            <w:pPr>
              <w:pStyle w:val="13"/>
            </w:pPr>
            <w:r>
              <w:t>5</w:t>
            </w:r>
          </w:p>
        </w:tc>
        <w:tc>
          <w:tcPr>
            <w:tcW w:w="3402" w:type="dxa"/>
            <w:vAlign w:val="center"/>
          </w:tcPr>
          <w:p w14:paraId="34DD4DFB">
            <w:pPr>
              <w:pStyle w:val="12"/>
            </w:pPr>
          </w:p>
        </w:tc>
        <w:tc>
          <w:tcPr>
            <w:tcW w:w="1474" w:type="dxa"/>
            <w:vAlign w:val="center"/>
          </w:tcPr>
          <w:p w14:paraId="79AE3C07">
            <w:pPr>
              <w:pStyle w:val="11"/>
            </w:pPr>
          </w:p>
        </w:tc>
        <w:tc>
          <w:tcPr>
            <w:tcW w:w="3402" w:type="dxa"/>
            <w:vAlign w:val="center"/>
          </w:tcPr>
          <w:p w14:paraId="2A7393E5">
            <w:pPr>
              <w:pStyle w:val="12"/>
            </w:pPr>
            <w:r>
              <w:t>五、教育支出</w:t>
            </w:r>
          </w:p>
        </w:tc>
        <w:tc>
          <w:tcPr>
            <w:tcW w:w="1474" w:type="dxa"/>
            <w:vAlign w:val="center"/>
          </w:tcPr>
          <w:p w14:paraId="5049FD54">
            <w:pPr>
              <w:pStyle w:val="11"/>
            </w:pPr>
            <w:r>
              <w:t>1905.19</w:t>
            </w:r>
          </w:p>
        </w:tc>
        <w:tc>
          <w:tcPr>
            <w:tcW w:w="1474" w:type="dxa"/>
            <w:vAlign w:val="center"/>
          </w:tcPr>
          <w:p w14:paraId="12B8E6E1">
            <w:pPr>
              <w:pStyle w:val="11"/>
            </w:pPr>
            <w:r>
              <w:t>1905.19</w:t>
            </w:r>
          </w:p>
        </w:tc>
        <w:tc>
          <w:tcPr>
            <w:tcW w:w="1474" w:type="dxa"/>
            <w:vAlign w:val="center"/>
          </w:tcPr>
          <w:p w14:paraId="76A40764">
            <w:pPr>
              <w:pStyle w:val="11"/>
            </w:pPr>
          </w:p>
        </w:tc>
        <w:tc>
          <w:tcPr>
            <w:tcW w:w="1474" w:type="dxa"/>
            <w:vAlign w:val="center"/>
          </w:tcPr>
          <w:p w14:paraId="38D07DCB">
            <w:pPr>
              <w:pStyle w:val="11"/>
            </w:pPr>
          </w:p>
        </w:tc>
      </w:tr>
      <w:tr w14:paraId="3A5B5CD4">
        <w:tblPrEx>
          <w:tblCellMar>
            <w:top w:w="0" w:type="dxa"/>
            <w:left w:w="108" w:type="dxa"/>
            <w:bottom w:w="0" w:type="dxa"/>
            <w:right w:w="108" w:type="dxa"/>
          </w:tblCellMar>
        </w:tblPrEx>
        <w:trPr>
          <w:trHeight w:val="369" w:hRule="atLeast"/>
          <w:jc w:val="center"/>
        </w:trPr>
        <w:tc>
          <w:tcPr>
            <w:tcW w:w="850" w:type="dxa"/>
            <w:vAlign w:val="center"/>
          </w:tcPr>
          <w:p w14:paraId="33FFAF01">
            <w:pPr>
              <w:pStyle w:val="13"/>
            </w:pPr>
            <w:r>
              <w:t>6</w:t>
            </w:r>
          </w:p>
        </w:tc>
        <w:tc>
          <w:tcPr>
            <w:tcW w:w="3402" w:type="dxa"/>
            <w:vAlign w:val="center"/>
          </w:tcPr>
          <w:p w14:paraId="7DB64238">
            <w:pPr>
              <w:pStyle w:val="12"/>
            </w:pPr>
          </w:p>
        </w:tc>
        <w:tc>
          <w:tcPr>
            <w:tcW w:w="1474" w:type="dxa"/>
            <w:vAlign w:val="center"/>
          </w:tcPr>
          <w:p w14:paraId="488E9A73">
            <w:pPr>
              <w:pStyle w:val="11"/>
            </w:pPr>
          </w:p>
        </w:tc>
        <w:tc>
          <w:tcPr>
            <w:tcW w:w="3402" w:type="dxa"/>
            <w:vAlign w:val="center"/>
          </w:tcPr>
          <w:p w14:paraId="752C988F">
            <w:pPr>
              <w:pStyle w:val="12"/>
            </w:pPr>
            <w:r>
              <w:t>六、科学技术支出</w:t>
            </w:r>
          </w:p>
        </w:tc>
        <w:tc>
          <w:tcPr>
            <w:tcW w:w="1474" w:type="dxa"/>
            <w:vAlign w:val="center"/>
          </w:tcPr>
          <w:p w14:paraId="4D9414FD">
            <w:pPr>
              <w:pStyle w:val="11"/>
            </w:pPr>
          </w:p>
        </w:tc>
        <w:tc>
          <w:tcPr>
            <w:tcW w:w="1474" w:type="dxa"/>
            <w:vAlign w:val="center"/>
          </w:tcPr>
          <w:p w14:paraId="4BCFFC27">
            <w:pPr>
              <w:pStyle w:val="11"/>
            </w:pPr>
          </w:p>
        </w:tc>
        <w:tc>
          <w:tcPr>
            <w:tcW w:w="1474" w:type="dxa"/>
            <w:vAlign w:val="center"/>
          </w:tcPr>
          <w:p w14:paraId="1B1DCBD5">
            <w:pPr>
              <w:pStyle w:val="11"/>
            </w:pPr>
          </w:p>
        </w:tc>
        <w:tc>
          <w:tcPr>
            <w:tcW w:w="1474" w:type="dxa"/>
            <w:vAlign w:val="center"/>
          </w:tcPr>
          <w:p w14:paraId="2B4B956F">
            <w:pPr>
              <w:pStyle w:val="11"/>
            </w:pPr>
          </w:p>
        </w:tc>
      </w:tr>
      <w:tr w14:paraId="561F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5D20">
            <w:pPr>
              <w:pStyle w:val="13"/>
            </w:pPr>
            <w:r>
              <w:t>7</w:t>
            </w:r>
          </w:p>
        </w:tc>
        <w:tc>
          <w:tcPr>
            <w:tcW w:w="3402" w:type="dxa"/>
            <w:vAlign w:val="center"/>
          </w:tcPr>
          <w:p w14:paraId="207183A2">
            <w:pPr>
              <w:pStyle w:val="12"/>
            </w:pPr>
          </w:p>
        </w:tc>
        <w:tc>
          <w:tcPr>
            <w:tcW w:w="1474" w:type="dxa"/>
            <w:vAlign w:val="center"/>
          </w:tcPr>
          <w:p w14:paraId="7B53A4C3">
            <w:pPr>
              <w:pStyle w:val="11"/>
            </w:pPr>
          </w:p>
        </w:tc>
        <w:tc>
          <w:tcPr>
            <w:tcW w:w="3402" w:type="dxa"/>
            <w:vAlign w:val="center"/>
          </w:tcPr>
          <w:p w14:paraId="18B4B955">
            <w:pPr>
              <w:pStyle w:val="12"/>
            </w:pPr>
            <w:r>
              <w:t>七、文化旅游体育与传媒支出</w:t>
            </w:r>
          </w:p>
        </w:tc>
        <w:tc>
          <w:tcPr>
            <w:tcW w:w="1474" w:type="dxa"/>
            <w:vAlign w:val="center"/>
          </w:tcPr>
          <w:p w14:paraId="20941A12">
            <w:pPr>
              <w:pStyle w:val="11"/>
            </w:pPr>
          </w:p>
        </w:tc>
        <w:tc>
          <w:tcPr>
            <w:tcW w:w="1474" w:type="dxa"/>
            <w:vAlign w:val="center"/>
          </w:tcPr>
          <w:p w14:paraId="2905ECFB">
            <w:pPr>
              <w:pStyle w:val="11"/>
            </w:pPr>
          </w:p>
        </w:tc>
        <w:tc>
          <w:tcPr>
            <w:tcW w:w="1474" w:type="dxa"/>
            <w:vAlign w:val="center"/>
          </w:tcPr>
          <w:p w14:paraId="6ED20092">
            <w:pPr>
              <w:pStyle w:val="11"/>
            </w:pPr>
          </w:p>
        </w:tc>
        <w:tc>
          <w:tcPr>
            <w:tcW w:w="1474" w:type="dxa"/>
            <w:vAlign w:val="center"/>
          </w:tcPr>
          <w:p w14:paraId="146CC28D">
            <w:pPr>
              <w:pStyle w:val="11"/>
            </w:pPr>
          </w:p>
        </w:tc>
      </w:tr>
      <w:tr w14:paraId="741E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576E6">
            <w:pPr>
              <w:pStyle w:val="13"/>
            </w:pPr>
            <w:r>
              <w:t>8</w:t>
            </w:r>
          </w:p>
        </w:tc>
        <w:tc>
          <w:tcPr>
            <w:tcW w:w="3402" w:type="dxa"/>
            <w:vAlign w:val="center"/>
          </w:tcPr>
          <w:p w14:paraId="2627EABA">
            <w:pPr>
              <w:pStyle w:val="12"/>
            </w:pPr>
          </w:p>
        </w:tc>
        <w:tc>
          <w:tcPr>
            <w:tcW w:w="1474" w:type="dxa"/>
            <w:vAlign w:val="center"/>
          </w:tcPr>
          <w:p w14:paraId="12491248">
            <w:pPr>
              <w:pStyle w:val="11"/>
            </w:pPr>
          </w:p>
        </w:tc>
        <w:tc>
          <w:tcPr>
            <w:tcW w:w="3402" w:type="dxa"/>
            <w:vAlign w:val="center"/>
          </w:tcPr>
          <w:p w14:paraId="6B82510C">
            <w:pPr>
              <w:pStyle w:val="12"/>
            </w:pPr>
            <w:r>
              <w:t>八、社会保障和就业支出</w:t>
            </w:r>
          </w:p>
        </w:tc>
        <w:tc>
          <w:tcPr>
            <w:tcW w:w="1474" w:type="dxa"/>
            <w:vAlign w:val="center"/>
          </w:tcPr>
          <w:p w14:paraId="5A916B52">
            <w:pPr>
              <w:pStyle w:val="11"/>
            </w:pPr>
          </w:p>
        </w:tc>
        <w:tc>
          <w:tcPr>
            <w:tcW w:w="1474" w:type="dxa"/>
            <w:vAlign w:val="center"/>
          </w:tcPr>
          <w:p w14:paraId="7C92A716">
            <w:pPr>
              <w:pStyle w:val="11"/>
            </w:pPr>
          </w:p>
        </w:tc>
        <w:tc>
          <w:tcPr>
            <w:tcW w:w="1474" w:type="dxa"/>
            <w:vAlign w:val="center"/>
          </w:tcPr>
          <w:p w14:paraId="725420F2">
            <w:pPr>
              <w:pStyle w:val="11"/>
            </w:pPr>
          </w:p>
        </w:tc>
        <w:tc>
          <w:tcPr>
            <w:tcW w:w="1474" w:type="dxa"/>
            <w:vAlign w:val="center"/>
          </w:tcPr>
          <w:p w14:paraId="070A618F">
            <w:pPr>
              <w:pStyle w:val="11"/>
            </w:pPr>
          </w:p>
        </w:tc>
      </w:tr>
      <w:tr w14:paraId="7642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CFD7">
            <w:pPr>
              <w:pStyle w:val="13"/>
            </w:pPr>
            <w:r>
              <w:t>9</w:t>
            </w:r>
          </w:p>
        </w:tc>
        <w:tc>
          <w:tcPr>
            <w:tcW w:w="3402" w:type="dxa"/>
            <w:vAlign w:val="center"/>
          </w:tcPr>
          <w:p w14:paraId="65A99C51">
            <w:pPr>
              <w:pStyle w:val="12"/>
            </w:pPr>
          </w:p>
        </w:tc>
        <w:tc>
          <w:tcPr>
            <w:tcW w:w="1474" w:type="dxa"/>
            <w:vAlign w:val="center"/>
          </w:tcPr>
          <w:p w14:paraId="68044729">
            <w:pPr>
              <w:pStyle w:val="11"/>
            </w:pPr>
          </w:p>
        </w:tc>
        <w:tc>
          <w:tcPr>
            <w:tcW w:w="3402" w:type="dxa"/>
            <w:vAlign w:val="center"/>
          </w:tcPr>
          <w:p w14:paraId="35EA1E91">
            <w:pPr>
              <w:pStyle w:val="12"/>
            </w:pPr>
            <w:r>
              <w:t>九、社会保险基金支出</w:t>
            </w:r>
          </w:p>
        </w:tc>
        <w:tc>
          <w:tcPr>
            <w:tcW w:w="1474" w:type="dxa"/>
            <w:vAlign w:val="center"/>
          </w:tcPr>
          <w:p w14:paraId="3610FC0B">
            <w:pPr>
              <w:pStyle w:val="11"/>
            </w:pPr>
          </w:p>
        </w:tc>
        <w:tc>
          <w:tcPr>
            <w:tcW w:w="1474" w:type="dxa"/>
            <w:vAlign w:val="center"/>
          </w:tcPr>
          <w:p w14:paraId="471FD36F">
            <w:pPr>
              <w:pStyle w:val="11"/>
            </w:pPr>
          </w:p>
        </w:tc>
        <w:tc>
          <w:tcPr>
            <w:tcW w:w="1474" w:type="dxa"/>
            <w:vAlign w:val="center"/>
          </w:tcPr>
          <w:p w14:paraId="14E70BB9">
            <w:pPr>
              <w:pStyle w:val="11"/>
            </w:pPr>
          </w:p>
        </w:tc>
        <w:tc>
          <w:tcPr>
            <w:tcW w:w="1474" w:type="dxa"/>
            <w:vAlign w:val="center"/>
          </w:tcPr>
          <w:p w14:paraId="27B31D31">
            <w:pPr>
              <w:pStyle w:val="11"/>
            </w:pPr>
          </w:p>
        </w:tc>
      </w:tr>
      <w:tr w14:paraId="623A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AD92">
            <w:pPr>
              <w:pStyle w:val="13"/>
            </w:pPr>
            <w:r>
              <w:t>10</w:t>
            </w:r>
          </w:p>
        </w:tc>
        <w:tc>
          <w:tcPr>
            <w:tcW w:w="3402" w:type="dxa"/>
            <w:vAlign w:val="center"/>
          </w:tcPr>
          <w:p w14:paraId="5D571069">
            <w:pPr>
              <w:pStyle w:val="12"/>
            </w:pPr>
          </w:p>
        </w:tc>
        <w:tc>
          <w:tcPr>
            <w:tcW w:w="1474" w:type="dxa"/>
            <w:vAlign w:val="center"/>
          </w:tcPr>
          <w:p w14:paraId="2367A044">
            <w:pPr>
              <w:pStyle w:val="11"/>
            </w:pPr>
          </w:p>
        </w:tc>
        <w:tc>
          <w:tcPr>
            <w:tcW w:w="3402" w:type="dxa"/>
            <w:vAlign w:val="center"/>
          </w:tcPr>
          <w:p w14:paraId="3849B31C">
            <w:pPr>
              <w:pStyle w:val="12"/>
            </w:pPr>
            <w:r>
              <w:t>十、卫生健康支出</w:t>
            </w:r>
          </w:p>
        </w:tc>
        <w:tc>
          <w:tcPr>
            <w:tcW w:w="1474" w:type="dxa"/>
            <w:vAlign w:val="center"/>
          </w:tcPr>
          <w:p w14:paraId="64E54415">
            <w:pPr>
              <w:pStyle w:val="11"/>
            </w:pPr>
          </w:p>
        </w:tc>
        <w:tc>
          <w:tcPr>
            <w:tcW w:w="1474" w:type="dxa"/>
            <w:vAlign w:val="center"/>
          </w:tcPr>
          <w:p w14:paraId="51A84A7D">
            <w:pPr>
              <w:pStyle w:val="11"/>
            </w:pPr>
          </w:p>
        </w:tc>
        <w:tc>
          <w:tcPr>
            <w:tcW w:w="1474" w:type="dxa"/>
            <w:vAlign w:val="center"/>
          </w:tcPr>
          <w:p w14:paraId="5A5E1A7D">
            <w:pPr>
              <w:pStyle w:val="11"/>
            </w:pPr>
          </w:p>
        </w:tc>
        <w:tc>
          <w:tcPr>
            <w:tcW w:w="1474" w:type="dxa"/>
            <w:vAlign w:val="center"/>
          </w:tcPr>
          <w:p w14:paraId="6281490B">
            <w:pPr>
              <w:pStyle w:val="11"/>
            </w:pPr>
          </w:p>
        </w:tc>
      </w:tr>
      <w:tr w14:paraId="6C6869EA">
        <w:tblPrEx>
          <w:tblCellMar>
            <w:top w:w="0" w:type="dxa"/>
            <w:left w:w="108" w:type="dxa"/>
            <w:bottom w:w="0" w:type="dxa"/>
            <w:right w:w="108" w:type="dxa"/>
          </w:tblCellMar>
        </w:tblPrEx>
        <w:trPr>
          <w:trHeight w:val="369" w:hRule="atLeast"/>
          <w:jc w:val="center"/>
        </w:trPr>
        <w:tc>
          <w:tcPr>
            <w:tcW w:w="850" w:type="dxa"/>
            <w:vAlign w:val="center"/>
          </w:tcPr>
          <w:p w14:paraId="32DBBA01">
            <w:pPr>
              <w:pStyle w:val="13"/>
            </w:pPr>
            <w:r>
              <w:t>11</w:t>
            </w:r>
          </w:p>
        </w:tc>
        <w:tc>
          <w:tcPr>
            <w:tcW w:w="3402" w:type="dxa"/>
            <w:vAlign w:val="center"/>
          </w:tcPr>
          <w:p w14:paraId="28F48E28">
            <w:pPr>
              <w:pStyle w:val="12"/>
            </w:pPr>
          </w:p>
        </w:tc>
        <w:tc>
          <w:tcPr>
            <w:tcW w:w="1474" w:type="dxa"/>
            <w:vAlign w:val="center"/>
          </w:tcPr>
          <w:p w14:paraId="6D786793">
            <w:pPr>
              <w:pStyle w:val="11"/>
            </w:pPr>
          </w:p>
        </w:tc>
        <w:tc>
          <w:tcPr>
            <w:tcW w:w="3402" w:type="dxa"/>
            <w:vAlign w:val="center"/>
          </w:tcPr>
          <w:p w14:paraId="1EF29E95">
            <w:pPr>
              <w:pStyle w:val="12"/>
            </w:pPr>
            <w:r>
              <w:t>十一、节能环保支出</w:t>
            </w:r>
          </w:p>
        </w:tc>
        <w:tc>
          <w:tcPr>
            <w:tcW w:w="1474" w:type="dxa"/>
            <w:vAlign w:val="center"/>
          </w:tcPr>
          <w:p w14:paraId="05A4193F">
            <w:pPr>
              <w:pStyle w:val="11"/>
            </w:pPr>
          </w:p>
        </w:tc>
        <w:tc>
          <w:tcPr>
            <w:tcW w:w="1474" w:type="dxa"/>
            <w:vAlign w:val="center"/>
          </w:tcPr>
          <w:p w14:paraId="0277E650">
            <w:pPr>
              <w:pStyle w:val="11"/>
            </w:pPr>
          </w:p>
        </w:tc>
        <w:tc>
          <w:tcPr>
            <w:tcW w:w="1474" w:type="dxa"/>
            <w:vAlign w:val="center"/>
          </w:tcPr>
          <w:p w14:paraId="35E59229">
            <w:pPr>
              <w:pStyle w:val="11"/>
            </w:pPr>
          </w:p>
        </w:tc>
        <w:tc>
          <w:tcPr>
            <w:tcW w:w="1474" w:type="dxa"/>
            <w:vAlign w:val="center"/>
          </w:tcPr>
          <w:p w14:paraId="7814F4A5">
            <w:pPr>
              <w:pStyle w:val="11"/>
            </w:pPr>
          </w:p>
        </w:tc>
      </w:tr>
      <w:tr w14:paraId="2A5CFD1D">
        <w:tblPrEx>
          <w:tblCellMar>
            <w:top w:w="0" w:type="dxa"/>
            <w:left w:w="108" w:type="dxa"/>
            <w:bottom w:w="0" w:type="dxa"/>
            <w:right w:w="108" w:type="dxa"/>
          </w:tblCellMar>
        </w:tblPrEx>
        <w:trPr>
          <w:trHeight w:val="369" w:hRule="atLeast"/>
          <w:jc w:val="center"/>
        </w:trPr>
        <w:tc>
          <w:tcPr>
            <w:tcW w:w="850" w:type="dxa"/>
            <w:vAlign w:val="center"/>
          </w:tcPr>
          <w:p w14:paraId="46C7D912">
            <w:pPr>
              <w:pStyle w:val="13"/>
            </w:pPr>
            <w:r>
              <w:t>12</w:t>
            </w:r>
          </w:p>
        </w:tc>
        <w:tc>
          <w:tcPr>
            <w:tcW w:w="3402" w:type="dxa"/>
            <w:vAlign w:val="center"/>
          </w:tcPr>
          <w:p w14:paraId="56F9F3D4">
            <w:pPr>
              <w:pStyle w:val="12"/>
            </w:pPr>
          </w:p>
        </w:tc>
        <w:tc>
          <w:tcPr>
            <w:tcW w:w="1474" w:type="dxa"/>
            <w:vAlign w:val="center"/>
          </w:tcPr>
          <w:p w14:paraId="377BA1BA">
            <w:pPr>
              <w:pStyle w:val="11"/>
            </w:pPr>
          </w:p>
        </w:tc>
        <w:tc>
          <w:tcPr>
            <w:tcW w:w="3402" w:type="dxa"/>
            <w:vAlign w:val="center"/>
          </w:tcPr>
          <w:p w14:paraId="28D6D372">
            <w:pPr>
              <w:pStyle w:val="12"/>
            </w:pPr>
            <w:r>
              <w:t>十二、城乡社区支出</w:t>
            </w:r>
          </w:p>
        </w:tc>
        <w:tc>
          <w:tcPr>
            <w:tcW w:w="1474" w:type="dxa"/>
            <w:vAlign w:val="center"/>
          </w:tcPr>
          <w:p w14:paraId="23EB0337">
            <w:pPr>
              <w:pStyle w:val="11"/>
            </w:pPr>
          </w:p>
        </w:tc>
        <w:tc>
          <w:tcPr>
            <w:tcW w:w="1474" w:type="dxa"/>
            <w:vAlign w:val="center"/>
          </w:tcPr>
          <w:p w14:paraId="17772FF3">
            <w:pPr>
              <w:pStyle w:val="11"/>
            </w:pPr>
          </w:p>
        </w:tc>
        <w:tc>
          <w:tcPr>
            <w:tcW w:w="1474" w:type="dxa"/>
            <w:vAlign w:val="center"/>
          </w:tcPr>
          <w:p w14:paraId="294A41BB">
            <w:pPr>
              <w:pStyle w:val="11"/>
            </w:pPr>
          </w:p>
        </w:tc>
        <w:tc>
          <w:tcPr>
            <w:tcW w:w="1474" w:type="dxa"/>
            <w:vAlign w:val="center"/>
          </w:tcPr>
          <w:p w14:paraId="69721767">
            <w:pPr>
              <w:pStyle w:val="11"/>
            </w:pPr>
          </w:p>
        </w:tc>
      </w:tr>
      <w:tr w14:paraId="00A07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28B3C">
            <w:pPr>
              <w:pStyle w:val="13"/>
            </w:pPr>
            <w:r>
              <w:t>13</w:t>
            </w:r>
          </w:p>
        </w:tc>
        <w:tc>
          <w:tcPr>
            <w:tcW w:w="3402" w:type="dxa"/>
            <w:vAlign w:val="center"/>
          </w:tcPr>
          <w:p w14:paraId="7544B730">
            <w:pPr>
              <w:pStyle w:val="12"/>
            </w:pPr>
          </w:p>
        </w:tc>
        <w:tc>
          <w:tcPr>
            <w:tcW w:w="1474" w:type="dxa"/>
            <w:vAlign w:val="center"/>
          </w:tcPr>
          <w:p w14:paraId="7ED54E03">
            <w:pPr>
              <w:pStyle w:val="11"/>
            </w:pPr>
          </w:p>
        </w:tc>
        <w:tc>
          <w:tcPr>
            <w:tcW w:w="3402" w:type="dxa"/>
            <w:vAlign w:val="center"/>
          </w:tcPr>
          <w:p w14:paraId="7E2E14C4">
            <w:pPr>
              <w:pStyle w:val="12"/>
            </w:pPr>
            <w:r>
              <w:t>十三、农林水支出</w:t>
            </w:r>
          </w:p>
        </w:tc>
        <w:tc>
          <w:tcPr>
            <w:tcW w:w="1474" w:type="dxa"/>
            <w:vAlign w:val="center"/>
          </w:tcPr>
          <w:p w14:paraId="6D1D72E7">
            <w:pPr>
              <w:pStyle w:val="11"/>
            </w:pPr>
          </w:p>
        </w:tc>
        <w:tc>
          <w:tcPr>
            <w:tcW w:w="1474" w:type="dxa"/>
            <w:vAlign w:val="center"/>
          </w:tcPr>
          <w:p w14:paraId="56C72E3E">
            <w:pPr>
              <w:pStyle w:val="11"/>
            </w:pPr>
          </w:p>
        </w:tc>
        <w:tc>
          <w:tcPr>
            <w:tcW w:w="1474" w:type="dxa"/>
            <w:vAlign w:val="center"/>
          </w:tcPr>
          <w:p w14:paraId="391ADE10">
            <w:pPr>
              <w:pStyle w:val="11"/>
            </w:pPr>
          </w:p>
        </w:tc>
        <w:tc>
          <w:tcPr>
            <w:tcW w:w="1474" w:type="dxa"/>
            <w:vAlign w:val="center"/>
          </w:tcPr>
          <w:p w14:paraId="315B78E4">
            <w:pPr>
              <w:pStyle w:val="11"/>
            </w:pPr>
          </w:p>
        </w:tc>
      </w:tr>
      <w:tr w14:paraId="41F8B451">
        <w:tblPrEx>
          <w:tblCellMar>
            <w:top w:w="0" w:type="dxa"/>
            <w:left w:w="108" w:type="dxa"/>
            <w:bottom w:w="0" w:type="dxa"/>
            <w:right w:w="108" w:type="dxa"/>
          </w:tblCellMar>
        </w:tblPrEx>
        <w:trPr>
          <w:trHeight w:val="369" w:hRule="atLeast"/>
          <w:jc w:val="center"/>
        </w:trPr>
        <w:tc>
          <w:tcPr>
            <w:tcW w:w="850" w:type="dxa"/>
            <w:vAlign w:val="center"/>
          </w:tcPr>
          <w:p w14:paraId="62183D8E">
            <w:pPr>
              <w:pStyle w:val="13"/>
            </w:pPr>
            <w:r>
              <w:t>14</w:t>
            </w:r>
          </w:p>
        </w:tc>
        <w:tc>
          <w:tcPr>
            <w:tcW w:w="3402" w:type="dxa"/>
            <w:vAlign w:val="center"/>
          </w:tcPr>
          <w:p w14:paraId="47D4C0D1">
            <w:pPr>
              <w:pStyle w:val="12"/>
            </w:pPr>
          </w:p>
        </w:tc>
        <w:tc>
          <w:tcPr>
            <w:tcW w:w="1474" w:type="dxa"/>
            <w:vAlign w:val="center"/>
          </w:tcPr>
          <w:p w14:paraId="60908811">
            <w:pPr>
              <w:pStyle w:val="11"/>
            </w:pPr>
          </w:p>
        </w:tc>
        <w:tc>
          <w:tcPr>
            <w:tcW w:w="3402" w:type="dxa"/>
            <w:vAlign w:val="center"/>
          </w:tcPr>
          <w:p w14:paraId="6CF40502">
            <w:pPr>
              <w:pStyle w:val="12"/>
            </w:pPr>
            <w:r>
              <w:t>十四、交通运输支出</w:t>
            </w:r>
          </w:p>
        </w:tc>
        <w:tc>
          <w:tcPr>
            <w:tcW w:w="1474" w:type="dxa"/>
            <w:vAlign w:val="center"/>
          </w:tcPr>
          <w:p w14:paraId="6EB84096">
            <w:pPr>
              <w:pStyle w:val="11"/>
            </w:pPr>
          </w:p>
        </w:tc>
        <w:tc>
          <w:tcPr>
            <w:tcW w:w="1474" w:type="dxa"/>
            <w:vAlign w:val="center"/>
          </w:tcPr>
          <w:p w14:paraId="5E14BF1F">
            <w:pPr>
              <w:pStyle w:val="11"/>
            </w:pPr>
          </w:p>
        </w:tc>
        <w:tc>
          <w:tcPr>
            <w:tcW w:w="1474" w:type="dxa"/>
            <w:vAlign w:val="center"/>
          </w:tcPr>
          <w:p w14:paraId="1B2BE234">
            <w:pPr>
              <w:pStyle w:val="11"/>
            </w:pPr>
          </w:p>
        </w:tc>
        <w:tc>
          <w:tcPr>
            <w:tcW w:w="1474" w:type="dxa"/>
            <w:vAlign w:val="center"/>
          </w:tcPr>
          <w:p w14:paraId="3ED7BCC8">
            <w:pPr>
              <w:pStyle w:val="11"/>
            </w:pPr>
          </w:p>
        </w:tc>
      </w:tr>
      <w:tr w14:paraId="5889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9036">
            <w:pPr>
              <w:pStyle w:val="13"/>
            </w:pPr>
            <w:r>
              <w:t>15</w:t>
            </w:r>
          </w:p>
        </w:tc>
        <w:tc>
          <w:tcPr>
            <w:tcW w:w="3402" w:type="dxa"/>
            <w:vAlign w:val="center"/>
          </w:tcPr>
          <w:p w14:paraId="785271B1">
            <w:pPr>
              <w:pStyle w:val="12"/>
            </w:pPr>
          </w:p>
        </w:tc>
        <w:tc>
          <w:tcPr>
            <w:tcW w:w="1474" w:type="dxa"/>
            <w:vAlign w:val="center"/>
          </w:tcPr>
          <w:p w14:paraId="05C2043C">
            <w:pPr>
              <w:pStyle w:val="11"/>
            </w:pPr>
          </w:p>
        </w:tc>
        <w:tc>
          <w:tcPr>
            <w:tcW w:w="3402" w:type="dxa"/>
            <w:vAlign w:val="center"/>
          </w:tcPr>
          <w:p w14:paraId="0594FBBF">
            <w:pPr>
              <w:pStyle w:val="12"/>
            </w:pPr>
            <w:r>
              <w:t>十五、资源勘探工业信息等支出</w:t>
            </w:r>
          </w:p>
        </w:tc>
        <w:tc>
          <w:tcPr>
            <w:tcW w:w="1474" w:type="dxa"/>
            <w:vAlign w:val="center"/>
          </w:tcPr>
          <w:p w14:paraId="618251C2">
            <w:pPr>
              <w:pStyle w:val="11"/>
            </w:pPr>
          </w:p>
        </w:tc>
        <w:tc>
          <w:tcPr>
            <w:tcW w:w="1474" w:type="dxa"/>
            <w:vAlign w:val="center"/>
          </w:tcPr>
          <w:p w14:paraId="3BEC8AAC">
            <w:pPr>
              <w:pStyle w:val="11"/>
            </w:pPr>
          </w:p>
        </w:tc>
        <w:tc>
          <w:tcPr>
            <w:tcW w:w="1474" w:type="dxa"/>
            <w:vAlign w:val="center"/>
          </w:tcPr>
          <w:p w14:paraId="20112F80">
            <w:pPr>
              <w:pStyle w:val="11"/>
            </w:pPr>
          </w:p>
        </w:tc>
        <w:tc>
          <w:tcPr>
            <w:tcW w:w="1474" w:type="dxa"/>
            <w:vAlign w:val="center"/>
          </w:tcPr>
          <w:p w14:paraId="65031885">
            <w:pPr>
              <w:pStyle w:val="11"/>
            </w:pPr>
          </w:p>
        </w:tc>
      </w:tr>
      <w:tr w14:paraId="14863306">
        <w:tblPrEx>
          <w:tblCellMar>
            <w:top w:w="0" w:type="dxa"/>
            <w:left w:w="108" w:type="dxa"/>
            <w:bottom w:w="0" w:type="dxa"/>
            <w:right w:w="108" w:type="dxa"/>
          </w:tblCellMar>
        </w:tblPrEx>
        <w:trPr>
          <w:trHeight w:val="369" w:hRule="atLeast"/>
          <w:jc w:val="center"/>
        </w:trPr>
        <w:tc>
          <w:tcPr>
            <w:tcW w:w="850" w:type="dxa"/>
            <w:vAlign w:val="center"/>
          </w:tcPr>
          <w:p w14:paraId="0C7C45D4">
            <w:pPr>
              <w:pStyle w:val="13"/>
            </w:pPr>
            <w:r>
              <w:t>16</w:t>
            </w:r>
          </w:p>
        </w:tc>
        <w:tc>
          <w:tcPr>
            <w:tcW w:w="3402" w:type="dxa"/>
            <w:vAlign w:val="center"/>
          </w:tcPr>
          <w:p w14:paraId="6647B03C">
            <w:pPr>
              <w:pStyle w:val="12"/>
            </w:pPr>
          </w:p>
        </w:tc>
        <w:tc>
          <w:tcPr>
            <w:tcW w:w="1474" w:type="dxa"/>
            <w:vAlign w:val="center"/>
          </w:tcPr>
          <w:p w14:paraId="5F0AB999">
            <w:pPr>
              <w:pStyle w:val="11"/>
            </w:pPr>
          </w:p>
        </w:tc>
        <w:tc>
          <w:tcPr>
            <w:tcW w:w="3402" w:type="dxa"/>
            <w:vAlign w:val="center"/>
          </w:tcPr>
          <w:p w14:paraId="136E615E">
            <w:pPr>
              <w:pStyle w:val="12"/>
            </w:pPr>
            <w:r>
              <w:t>十六、商业服务业等支出</w:t>
            </w:r>
          </w:p>
        </w:tc>
        <w:tc>
          <w:tcPr>
            <w:tcW w:w="1474" w:type="dxa"/>
            <w:vAlign w:val="center"/>
          </w:tcPr>
          <w:p w14:paraId="1B612631">
            <w:pPr>
              <w:pStyle w:val="11"/>
            </w:pPr>
          </w:p>
        </w:tc>
        <w:tc>
          <w:tcPr>
            <w:tcW w:w="1474" w:type="dxa"/>
            <w:vAlign w:val="center"/>
          </w:tcPr>
          <w:p w14:paraId="5893F8ED">
            <w:pPr>
              <w:pStyle w:val="11"/>
            </w:pPr>
          </w:p>
        </w:tc>
        <w:tc>
          <w:tcPr>
            <w:tcW w:w="1474" w:type="dxa"/>
            <w:vAlign w:val="center"/>
          </w:tcPr>
          <w:p w14:paraId="7CC30C09">
            <w:pPr>
              <w:pStyle w:val="11"/>
            </w:pPr>
          </w:p>
        </w:tc>
        <w:tc>
          <w:tcPr>
            <w:tcW w:w="1474" w:type="dxa"/>
            <w:vAlign w:val="center"/>
          </w:tcPr>
          <w:p w14:paraId="69BFA92A">
            <w:pPr>
              <w:pStyle w:val="11"/>
            </w:pPr>
          </w:p>
        </w:tc>
      </w:tr>
      <w:tr w14:paraId="55DD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F2ACB">
            <w:pPr>
              <w:pStyle w:val="13"/>
            </w:pPr>
            <w:r>
              <w:t>17</w:t>
            </w:r>
          </w:p>
        </w:tc>
        <w:tc>
          <w:tcPr>
            <w:tcW w:w="3402" w:type="dxa"/>
            <w:vAlign w:val="center"/>
          </w:tcPr>
          <w:p w14:paraId="5AF85C01">
            <w:pPr>
              <w:pStyle w:val="12"/>
            </w:pPr>
          </w:p>
        </w:tc>
        <w:tc>
          <w:tcPr>
            <w:tcW w:w="1474" w:type="dxa"/>
            <w:vAlign w:val="center"/>
          </w:tcPr>
          <w:p w14:paraId="341FE0F9">
            <w:pPr>
              <w:pStyle w:val="11"/>
            </w:pPr>
          </w:p>
        </w:tc>
        <w:tc>
          <w:tcPr>
            <w:tcW w:w="3402" w:type="dxa"/>
            <w:vAlign w:val="center"/>
          </w:tcPr>
          <w:p w14:paraId="0C3F5210">
            <w:pPr>
              <w:pStyle w:val="12"/>
            </w:pPr>
            <w:r>
              <w:t>十七、金融支出</w:t>
            </w:r>
          </w:p>
        </w:tc>
        <w:tc>
          <w:tcPr>
            <w:tcW w:w="1474" w:type="dxa"/>
            <w:vAlign w:val="center"/>
          </w:tcPr>
          <w:p w14:paraId="6E0411CF">
            <w:pPr>
              <w:pStyle w:val="11"/>
            </w:pPr>
          </w:p>
        </w:tc>
        <w:tc>
          <w:tcPr>
            <w:tcW w:w="1474" w:type="dxa"/>
            <w:vAlign w:val="center"/>
          </w:tcPr>
          <w:p w14:paraId="3037C1A4">
            <w:pPr>
              <w:pStyle w:val="11"/>
            </w:pPr>
          </w:p>
        </w:tc>
        <w:tc>
          <w:tcPr>
            <w:tcW w:w="1474" w:type="dxa"/>
            <w:vAlign w:val="center"/>
          </w:tcPr>
          <w:p w14:paraId="3E3D996A">
            <w:pPr>
              <w:pStyle w:val="11"/>
            </w:pPr>
          </w:p>
        </w:tc>
        <w:tc>
          <w:tcPr>
            <w:tcW w:w="1474" w:type="dxa"/>
            <w:vAlign w:val="center"/>
          </w:tcPr>
          <w:p w14:paraId="2EC72885">
            <w:pPr>
              <w:pStyle w:val="11"/>
            </w:pPr>
          </w:p>
        </w:tc>
      </w:tr>
      <w:tr w14:paraId="6E19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2769">
            <w:pPr>
              <w:pStyle w:val="13"/>
            </w:pPr>
            <w:r>
              <w:t>18</w:t>
            </w:r>
          </w:p>
        </w:tc>
        <w:tc>
          <w:tcPr>
            <w:tcW w:w="3402" w:type="dxa"/>
            <w:vAlign w:val="center"/>
          </w:tcPr>
          <w:p w14:paraId="60176280">
            <w:pPr>
              <w:pStyle w:val="12"/>
            </w:pPr>
          </w:p>
        </w:tc>
        <w:tc>
          <w:tcPr>
            <w:tcW w:w="1474" w:type="dxa"/>
            <w:vAlign w:val="center"/>
          </w:tcPr>
          <w:p w14:paraId="3E7DE3FC">
            <w:pPr>
              <w:pStyle w:val="11"/>
            </w:pPr>
          </w:p>
        </w:tc>
        <w:tc>
          <w:tcPr>
            <w:tcW w:w="3402" w:type="dxa"/>
            <w:vAlign w:val="center"/>
          </w:tcPr>
          <w:p w14:paraId="7F79A902">
            <w:pPr>
              <w:pStyle w:val="12"/>
            </w:pPr>
            <w:r>
              <w:t>十八、援助其他地区支出</w:t>
            </w:r>
          </w:p>
        </w:tc>
        <w:tc>
          <w:tcPr>
            <w:tcW w:w="1474" w:type="dxa"/>
            <w:vAlign w:val="center"/>
          </w:tcPr>
          <w:p w14:paraId="01A5023A">
            <w:pPr>
              <w:pStyle w:val="11"/>
            </w:pPr>
          </w:p>
        </w:tc>
        <w:tc>
          <w:tcPr>
            <w:tcW w:w="1474" w:type="dxa"/>
            <w:vAlign w:val="center"/>
          </w:tcPr>
          <w:p w14:paraId="2DDD7F1C">
            <w:pPr>
              <w:pStyle w:val="11"/>
            </w:pPr>
          </w:p>
        </w:tc>
        <w:tc>
          <w:tcPr>
            <w:tcW w:w="1474" w:type="dxa"/>
            <w:vAlign w:val="center"/>
          </w:tcPr>
          <w:p w14:paraId="7F201BC1">
            <w:pPr>
              <w:pStyle w:val="11"/>
            </w:pPr>
          </w:p>
        </w:tc>
        <w:tc>
          <w:tcPr>
            <w:tcW w:w="1474" w:type="dxa"/>
            <w:vAlign w:val="center"/>
          </w:tcPr>
          <w:p w14:paraId="6CD0B4A7">
            <w:pPr>
              <w:pStyle w:val="11"/>
            </w:pPr>
          </w:p>
        </w:tc>
      </w:tr>
      <w:tr w14:paraId="4D0D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EC54">
            <w:pPr>
              <w:pStyle w:val="13"/>
            </w:pPr>
            <w:r>
              <w:t>19</w:t>
            </w:r>
          </w:p>
        </w:tc>
        <w:tc>
          <w:tcPr>
            <w:tcW w:w="3402" w:type="dxa"/>
            <w:vAlign w:val="center"/>
          </w:tcPr>
          <w:p w14:paraId="081A0B91">
            <w:pPr>
              <w:pStyle w:val="12"/>
            </w:pPr>
          </w:p>
        </w:tc>
        <w:tc>
          <w:tcPr>
            <w:tcW w:w="1474" w:type="dxa"/>
            <w:vAlign w:val="center"/>
          </w:tcPr>
          <w:p w14:paraId="66597996">
            <w:pPr>
              <w:pStyle w:val="11"/>
            </w:pPr>
          </w:p>
        </w:tc>
        <w:tc>
          <w:tcPr>
            <w:tcW w:w="3402" w:type="dxa"/>
            <w:vAlign w:val="center"/>
          </w:tcPr>
          <w:p w14:paraId="42C5FBCE">
            <w:pPr>
              <w:pStyle w:val="12"/>
            </w:pPr>
            <w:r>
              <w:t>十九、自然资源海洋气象等支出</w:t>
            </w:r>
          </w:p>
        </w:tc>
        <w:tc>
          <w:tcPr>
            <w:tcW w:w="1474" w:type="dxa"/>
            <w:vAlign w:val="center"/>
          </w:tcPr>
          <w:p w14:paraId="3248A73E">
            <w:pPr>
              <w:pStyle w:val="11"/>
            </w:pPr>
          </w:p>
        </w:tc>
        <w:tc>
          <w:tcPr>
            <w:tcW w:w="1474" w:type="dxa"/>
            <w:vAlign w:val="center"/>
          </w:tcPr>
          <w:p w14:paraId="796DB118">
            <w:pPr>
              <w:pStyle w:val="11"/>
            </w:pPr>
          </w:p>
        </w:tc>
        <w:tc>
          <w:tcPr>
            <w:tcW w:w="1474" w:type="dxa"/>
            <w:vAlign w:val="center"/>
          </w:tcPr>
          <w:p w14:paraId="0677EF3B">
            <w:pPr>
              <w:pStyle w:val="11"/>
            </w:pPr>
          </w:p>
        </w:tc>
        <w:tc>
          <w:tcPr>
            <w:tcW w:w="1474" w:type="dxa"/>
            <w:vAlign w:val="center"/>
          </w:tcPr>
          <w:p w14:paraId="70584D36">
            <w:pPr>
              <w:pStyle w:val="11"/>
            </w:pPr>
          </w:p>
        </w:tc>
      </w:tr>
      <w:tr w14:paraId="2AE0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34912">
            <w:pPr>
              <w:pStyle w:val="13"/>
            </w:pPr>
            <w:r>
              <w:t>20</w:t>
            </w:r>
          </w:p>
        </w:tc>
        <w:tc>
          <w:tcPr>
            <w:tcW w:w="3402" w:type="dxa"/>
            <w:vAlign w:val="center"/>
          </w:tcPr>
          <w:p w14:paraId="18613C37">
            <w:pPr>
              <w:pStyle w:val="12"/>
            </w:pPr>
          </w:p>
        </w:tc>
        <w:tc>
          <w:tcPr>
            <w:tcW w:w="1474" w:type="dxa"/>
            <w:vAlign w:val="center"/>
          </w:tcPr>
          <w:p w14:paraId="686D5EE8">
            <w:pPr>
              <w:pStyle w:val="11"/>
            </w:pPr>
          </w:p>
        </w:tc>
        <w:tc>
          <w:tcPr>
            <w:tcW w:w="3402" w:type="dxa"/>
            <w:vAlign w:val="center"/>
          </w:tcPr>
          <w:p w14:paraId="0790D3E8">
            <w:pPr>
              <w:pStyle w:val="12"/>
            </w:pPr>
            <w:r>
              <w:t>二十、住房保障支出</w:t>
            </w:r>
          </w:p>
        </w:tc>
        <w:tc>
          <w:tcPr>
            <w:tcW w:w="1474" w:type="dxa"/>
            <w:vAlign w:val="center"/>
          </w:tcPr>
          <w:p w14:paraId="3421F52B">
            <w:pPr>
              <w:pStyle w:val="11"/>
            </w:pPr>
          </w:p>
        </w:tc>
        <w:tc>
          <w:tcPr>
            <w:tcW w:w="1474" w:type="dxa"/>
            <w:vAlign w:val="center"/>
          </w:tcPr>
          <w:p w14:paraId="2D02B908">
            <w:pPr>
              <w:pStyle w:val="11"/>
            </w:pPr>
          </w:p>
        </w:tc>
        <w:tc>
          <w:tcPr>
            <w:tcW w:w="1474" w:type="dxa"/>
            <w:vAlign w:val="center"/>
          </w:tcPr>
          <w:p w14:paraId="36585113">
            <w:pPr>
              <w:pStyle w:val="11"/>
            </w:pPr>
          </w:p>
        </w:tc>
        <w:tc>
          <w:tcPr>
            <w:tcW w:w="1474" w:type="dxa"/>
            <w:vAlign w:val="center"/>
          </w:tcPr>
          <w:p w14:paraId="425A9BBC">
            <w:pPr>
              <w:pStyle w:val="11"/>
            </w:pPr>
          </w:p>
        </w:tc>
      </w:tr>
      <w:tr w14:paraId="7B2A5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E1D6">
            <w:pPr>
              <w:pStyle w:val="13"/>
            </w:pPr>
            <w:r>
              <w:t>21</w:t>
            </w:r>
          </w:p>
        </w:tc>
        <w:tc>
          <w:tcPr>
            <w:tcW w:w="3402" w:type="dxa"/>
            <w:vAlign w:val="center"/>
          </w:tcPr>
          <w:p w14:paraId="78728D70">
            <w:pPr>
              <w:pStyle w:val="12"/>
            </w:pPr>
          </w:p>
        </w:tc>
        <w:tc>
          <w:tcPr>
            <w:tcW w:w="1474" w:type="dxa"/>
            <w:vAlign w:val="center"/>
          </w:tcPr>
          <w:p w14:paraId="2A891586">
            <w:pPr>
              <w:pStyle w:val="11"/>
            </w:pPr>
          </w:p>
        </w:tc>
        <w:tc>
          <w:tcPr>
            <w:tcW w:w="3402" w:type="dxa"/>
            <w:vAlign w:val="center"/>
          </w:tcPr>
          <w:p w14:paraId="3A338394">
            <w:pPr>
              <w:pStyle w:val="12"/>
            </w:pPr>
            <w:r>
              <w:t>二十一、粮油物资储备支出</w:t>
            </w:r>
          </w:p>
        </w:tc>
        <w:tc>
          <w:tcPr>
            <w:tcW w:w="1474" w:type="dxa"/>
            <w:vAlign w:val="center"/>
          </w:tcPr>
          <w:p w14:paraId="71CFAFC8">
            <w:pPr>
              <w:pStyle w:val="11"/>
            </w:pPr>
          </w:p>
        </w:tc>
        <w:tc>
          <w:tcPr>
            <w:tcW w:w="1474" w:type="dxa"/>
            <w:vAlign w:val="center"/>
          </w:tcPr>
          <w:p w14:paraId="0EE1FC70">
            <w:pPr>
              <w:pStyle w:val="11"/>
            </w:pPr>
          </w:p>
        </w:tc>
        <w:tc>
          <w:tcPr>
            <w:tcW w:w="1474" w:type="dxa"/>
            <w:vAlign w:val="center"/>
          </w:tcPr>
          <w:p w14:paraId="54962AFC">
            <w:pPr>
              <w:pStyle w:val="11"/>
            </w:pPr>
          </w:p>
        </w:tc>
        <w:tc>
          <w:tcPr>
            <w:tcW w:w="1474" w:type="dxa"/>
            <w:vAlign w:val="center"/>
          </w:tcPr>
          <w:p w14:paraId="15FF4DDA">
            <w:pPr>
              <w:pStyle w:val="11"/>
            </w:pPr>
          </w:p>
        </w:tc>
      </w:tr>
      <w:tr w14:paraId="18B1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0B703">
            <w:pPr>
              <w:pStyle w:val="13"/>
            </w:pPr>
            <w:r>
              <w:t>22</w:t>
            </w:r>
          </w:p>
        </w:tc>
        <w:tc>
          <w:tcPr>
            <w:tcW w:w="3402" w:type="dxa"/>
            <w:vAlign w:val="center"/>
          </w:tcPr>
          <w:p w14:paraId="3745937D">
            <w:pPr>
              <w:pStyle w:val="12"/>
            </w:pPr>
          </w:p>
        </w:tc>
        <w:tc>
          <w:tcPr>
            <w:tcW w:w="1474" w:type="dxa"/>
            <w:vAlign w:val="center"/>
          </w:tcPr>
          <w:p w14:paraId="6CDB6EBD">
            <w:pPr>
              <w:pStyle w:val="11"/>
            </w:pPr>
          </w:p>
        </w:tc>
        <w:tc>
          <w:tcPr>
            <w:tcW w:w="3402" w:type="dxa"/>
            <w:vAlign w:val="center"/>
          </w:tcPr>
          <w:p w14:paraId="1D32C9E6">
            <w:pPr>
              <w:pStyle w:val="12"/>
            </w:pPr>
            <w:r>
              <w:t>二十二、国有资本经营预算支出</w:t>
            </w:r>
          </w:p>
        </w:tc>
        <w:tc>
          <w:tcPr>
            <w:tcW w:w="1474" w:type="dxa"/>
            <w:vAlign w:val="center"/>
          </w:tcPr>
          <w:p w14:paraId="794D2236">
            <w:pPr>
              <w:pStyle w:val="11"/>
            </w:pPr>
          </w:p>
        </w:tc>
        <w:tc>
          <w:tcPr>
            <w:tcW w:w="1474" w:type="dxa"/>
            <w:vAlign w:val="center"/>
          </w:tcPr>
          <w:p w14:paraId="1387F4F7">
            <w:pPr>
              <w:pStyle w:val="11"/>
            </w:pPr>
          </w:p>
        </w:tc>
        <w:tc>
          <w:tcPr>
            <w:tcW w:w="1474" w:type="dxa"/>
            <w:vAlign w:val="center"/>
          </w:tcPr>
          <w:p w14:paraId="0D6837CB">
            <w:pPr>
              <w:pStyle w:val="11"/>
            </w:pPr>
          </w:p>
        </w:tc>
        <w:tc>
          <w:tcPr>
            <w:tcW w:w="1474" w:type="dxa"/>
            <w:vAlign w:val="center"/>
          </w:tcPr>
          <w:p w14:paraId="2CB336C8">
            <w:pPr>
              <w:pStyle w:val="11"/>
            </w:pPr>
          </w:p>
        </w:tc>
      </w:tr>
      <w:tr w14:paraId="6780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4D8A">
            <w:pPr>
              <w:pStyle w:val="13"/>
            </w:pPr>
            <w:r>
              <w:t>23</w:t>
            </w:r>
          </w:p>
        </w:tc>
        <w:tc>
          <w:tcPr>
            <w:tcW w:w="3402" w:type="dxa"/>
            <w:vAlign w:val="center"/>
          </w:tcPr>
          <w:p w14:paraId="23C0356F">
            <w:pPr>
              <w:pStyle w:val="12"/>
            </w:pPr>
          </w:p>
        </w:tc>
        <w:tc>
          <w:tcPr>
            <w:tcW w:w="1474" w:type="dxa"/>
            <w:vAlign w:val="center"/>
          </w:tcPr>
          <w:p w14:paraId="5F9BC43F">
            <w:pPr>
              <w:pStyle w:val="11"/>
            </w:pPr>
          </w:p>
        </w:tc>
        <w:tc>
          <w:tcPr>
            <w:tcW w:w="3402" w:type="dxa"/>
            <w:vAlign w:val="center"/>
          </w:tcPr>
          <w:p w14:paraId="57B4400B">
            <w:pPr>
              <w:pStyle w:val="12"/>
            </w:pPr>
            <w:r>
              <w:t>二十三、灾害防治及应急管理支出</w:t>
            </w:r>
          </w:p>
        </w:tc>
        <w:tc>
          <w:tcPr>
            <w:tcW w:w="1474" w:type="dxa"/>
            <w:vAlign w:val="center"/>
          </w:tcPr>
          <w:p w14:paraId="25A8F412">
            <w:pPr>
              <w:pStyle w:val="11"/>
            </w:pPr>
          </w:p>
        </w:tc>
        <w:tc>
          <w:tcPr>
            <w:tcW w:w="1474" w:type="dxa"/>
            <w:vAlign w:val="center"/>
          </w:tcPr>
          <w:p w14:paraId="3F0D38FE">
            <w:pPr>
              <w:pStyle w:val="11"/>
            </w:pPr>
          </w:p>
        </w:tc>
        <w:tc>
          <w:tcPr>
            <w:tcW w:w="1474" w:type="dxa"/>
            <w:vAlign w:val="center"/>
          </w:tcPr>
          <w:p w14:paraId="7712EEA9">
            <w:pPr>
              <w:pStyle w:val="11"/>
            </w:pPr>
          </w:p>
        </w:tc>
        <w:tc>
          <w:tcPr>
            <w:tcW w:w="1474" w:type="dxa"/>
            <w:vAlign w:val="center"/>
          </w:tcPr>
          <w:p w14:paraId="2A57E70B">
            <w:pPr>
              <w:pStyle w:val="11"/>
            </w:pPr>
          </w:p>
        </w:tc>
      </w:tr>
      <w:tr w14:paraId="3490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ED2E">
            <w:pPr>
              <w:pStyle w:val="13"/>
            </w:pPr>
            <w:r>
              <w:t>24</w:t>
            </w:r>
          </w:p>
        </w:tc>
        <w:tc>
          <w:tcPr>
            <w:tcW w:w="3402" w:type="dxa"/>
            <w:vAlign w:val="center"/>
          </w:tcPr>
          <w:p w14:paraId="65FDE7A5">
            <w:pPr>
              <w:pStyle w:val="12"/>
            </w:pPr>
          </w:p>
        </w:tc>
        <w:tc>
          <w:tcPr>
            <w:tcW w:w="1474" w:type="dxa"/>
            <w:vAlign w:val="center"/>
          </w:tcPr>
          <w:p w14:paraId="19E4363F">
            <w:pPr>
              <w:pStyle w:val="11"/>
            </w:pPr>
          </w:p>
        </w:tc>
        <w:tc>
          <w:tcPr>
            <w:tcW w:w="3402" w:type="dxa"/>
            <w:vAlign w:val="center"/>
          </w:tcPr>
          <w:p w14:paraId="7B001A41">
            <w:pPr>
              <w:pStyle w:val="12"/>
            </w:pPr>
            <w:r>
              <w:t>二十四、预备费</w:t>
            </w:r>
          </w:p>
        </w:tc>
        <w:tc>
          <w:tcPr>
            <w:tcW w:w="1474" w:type="dxa"/>
            <w:vAlign w:val="center"/>
          </w:tcPr>
          <w:p w14:paraId="5006AFE4">
            <w:pPr>
              <w:pStyle w:val="11"/>
            </w:pPr>
          </w:p>
        </w:tc>
        <w:tc>
          <w:tcPr>
            <w:tcW w:w="1474" w:type="dxa"/>
            <w:vAlign w:val="center"/>
          </w:tcPr>
          <w:p w14:paraId="20921804">
            <w:pPr>
              <w:pStyle w:val="11"/>
            </w:pPr>
          </w:p>
        </w:tc>
        <w:tc>
          <w:tcPr>
            <w:tcW w:w="1474" w:type="dxa"/>
            <w:vAlign w:val="center"/>
          </w:tcPr>
          <w:p w14:paraId="0F163218">
            <w:pPr>
              <w:pStyle w:val="11"/>
            </w:pPr>
          </w:p>
        </w:tc>
        <w:tc>
          <w:tcPr>
            <w:tcW w:w="1474" w:type="dxa"/>
            <w:vAlign w:val="center"/>
          </w:tcPr>
          <w:p w14:paraId="1A7ED7C9">
            <w:pPr>
              <w:pStyle w:val="11"/>
            </w:pPr>
          </w:p>
        </w:tc>
      </w:tr>
      <w:tr w14:paraId="67CE37D8">
        <w:tblPrEx>
          <w:tblCellMar>
            <w:top w:w="0" w:type="dxa"/>
            <w:left w:w="108" w:type="dxa"/>
            <w:bottom w:w="0" w:type="dxa"/>
            <w:right w:w="108" w:type="dxa"/>
          </w:tblCellMar>
        </w:tblPrEx>
        <w:trPr>
          <w:trHeight w:val="369" w:hRule="atLeast"/>
          <w:jc w:val="center"/>
        </w:trPr>
        <w:tc>
          <w:tcPr>
            <w:tcW w:w="850" w:type="dxa"/>
            <w:vAlign w:val="center"/>
          </w:tcPr>
          <w:p w14:paraId="2B726EAF">
            <w:pPr>
              <w:pStyle w:val="13"/>
            </w:pPr>
            <w:r>
              <w:t>25</w:t>
            </w:r>
          </w:p>
        </w:tc>
        <w:tc>
          <w:tcPr>
            <w:tcW w:w="3402" w:type="dxa"/>
            <w:vAlign w:val="center"/>
          </w:tcPr>
          <w:p w14:paraId="0AB8267D">
            <w:pPr>
              <w:pStyle w:val="12"/>
            </w:pPr>
          </w:p>
        </w:tc>
        <w:tc>
          <w:tcPr>
            <w:tcW w:w="1474" w:type="dxa"/>
            <w:vAlign w:val="center"/>
          </w:tcPr>
          <w:p w14:paraId="07F09206">
            <w:pPr>
              <w:pStyle w:val="11"/>
            </w:pPr>
          </w:p>
        </w:tc>
        <w:tc>
          <w:tcPr>
            <w:tcW w:w="3402" w:type="dxa"/>
            <w:vAlign w:val="center"/>
          </w:tcPr>
          <w:p w14:paraId="4EDE8F16">
            <w:pPr>
              <w:pStyle w:val="12"/>
            </w:pPr>
            <w:r>
              <w:t>二十五、其他支出</w:t>
            </w:r>
          </w:p>
        </w:tc>
        <w:tc>
          <w:tcPr>
            <w:tcW w:w="1474" w:type="dxa"/>
            <w:vAlign w:val="center"/>
          </w:tcPr>
          <w:p w14:paraId="64337927">
            <w:pPr>
              <w:pStyle w:val="11"/>
            </w:pPr>
          </w:p>
        </w:tc>
        <w:tc>
          <w:tcPr>
            <w:tcW w:w="1474" w:type="dxa"/>
            <w:vAlign w:val="center"/>
          </w:tcPr>
          <w:p w14:paraId="372831C4">
            <w:pPr>
              <w:pStyle w:val="11"/>
            </w:pPr>
          </w:p>
        </w:tc>
        <w:tc>
          <w:tcPr>
            <w:tcW w:w="1474" w:type="dxa"/>
            <w:vAlign w:val="center"/>
          </w:tcPr>
          <w:p w14:paraId="03F9B499">
            <w:pPr>
              <w:pStyle w:val="11"/>
            </w:pPr>
          </w:p>
        </w:tc>
        <w:tc>
          <w:tcPr>
            <w:tcW w:w="1474" w:type="dxa"/>
            <w:vAlign w:val="center"/>
          </w:tcPr>
          <w:p w14:paraId="7B7B164A">
            <w:pPr>
              <w:pStyle w:val="11"/>
            </w:pPr>
          </w:p>
        </w:tc>
      </w:tr>
      <w:tr w14:paraId="15B3C17B">
        <w:tblPrEx>
          <w:tblCellMar>
            <w:top w:w="0" w:type="dxa"/>
            <w:left w:w="108" w:type="dxa"/>
            <w:bottom w:w="0" w:type="dxa"/>
            <w:right w:w="108" w:type="dxa"/>
          </w:tblCellMar>
        </w:tblPrEx>
        <w:trPr>
          <w:trHeight w:val="369" w:hRule="atLeast"/>
          <w:jc w:val="center"/>
        </w:trPr>
        <w:tc>
          <w:tcPr>
            <w:tcW w:w="850" w:type="dxa"/>
            <w:vAlign w:val="center"/>
          </w:tcPr>
          <w:p w14:paraId="011E1D6E">
            <w:pPr>
              <w:pStyle w:val="13"/>
            </w:pPr>
            <w:r>
              <w:t>26</w:t>
            </w:r>
          </w:p>
        </w:tc>
        <w:tc>
          <w:tcPr>
            <w:tcW w:w="3402" w:type="dxa"/>
            <w:vAlign w:val="center"/>
          </w:tcPr>
          <w:p w14:paraId="7788BD79">
            <w:pPr>
              <w:pStyle w:val="12"/>
            </w:pPr>
          </w:p>
        </w:tc>
        <w:tc>
          <w:tcPr>
            <w:tcW w:w="1474" w:type="dxa"/>
            <w:vAlign w:val="center"/>
          </w:tcPr>
          <w:p w14:paraId="30366A00">
            <w:pPr>
              <w:pStyle w:val="11"/>
            </w:pPr>
          </w:p>
        </w:tc>
        <w:tc>
          <w:tcPr>
            <w:tcW w:w="3402" w:type="dxa"/>
            <w:vAlign w:val="center"/>
          </w:tcPr>
          <w:p w14:paraId="5EAEBA08">
            <w:pPr>
              <w:pStyle w:val="12"/>
            </w:pPr>
            <w:r>
              <w:t>二十六、转移性支出</w:t>
            </w:r>
          </w:p>
        </w:tc>
        <w:tc>
          <w:tcPr>
            <w:tcW w:w="1474" w:type="dxa"/>
            <w:vAlign w:val="center"/>
          </w:tcPr>
          <w:p w14:paraId="36E46C0A">
            <w:pPr>
              <w:pStyle w:val="11"/>
            </w:pPr>
          </w:p>
        </w:tc>
        <w:tc>
          <w:tcPr>
            <w:tcW w:w="1474" w:type="dxa"/>
            <w:vAlign w:val="center"/>
          </w:tcPr>
          <w:p w14:paraId="3C2E1B84">
            <w:pPr>
              <w:pStyle w:val="11"/>
            </w:pPr>
          </w:p>
        </w:tc>
        <w:tc>
          <w:tcPr>
            <w:tcW w:w="1474" w:type="dxa"/>
            <w:vAlign w:val="center"/>
          </w:tcPr>
          <w:p w14:paraId="3A19231B">
            <w:pPr>
              <w:pStyle w:val="11"/>
            </w:pPr>
          </w:p>
        </w:tc>
        <w:tc>
          <w:tcPr>
            <w:tcW w:w="1474" w:type="dxa"/>
            <w:vAlign w:val="center"/>
          </w:tcPr>
          <w:p w14:paraId="496037DF">
            <w:pPr>
              <w:pStyle w:val="11"/>
            </w:pPr>
          </w:p>
        </w:tc>
      </w:tr>
      <w:tr w14:paraId="62B5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4C6A">
            <w:pPr>
              <w:pStyle w:val="13"/>
            </w:pPr>
            <w:r>
              <w:t>27</w:t>
            </w:r>
          </w:p>
        </w:tc>
        <w:tc>
          <w:tcPr>
            <w:tcW w:w="3402" w:type="dxa"/>
            <w:vAlign w:val="center"/>
          </w:tcPr>
          <w:p w14:paraId="6441A5A2">
            <w:pPr>
              <w:pStyle w:val="12"/>
            </w:pPr>
          </w:p>
        </w:tc>
        <w:tc>
          <w:tcPr>
            <w:tcW w:w="1474" w:type="dxa"/>
            <w:vAlign w:val="center"/>
          </w:tcPr>
          <w:p w14:paraId="4BE9EC07">
            <w:pPr>
              <w:pStyle w:val="11"/>
            </w:pPr>
          </w:p>
        </w:tc>
        <w:tc>
          <w:tcPr>
            <w:tcW w:w="3402" w:type="dxa"/>
            <w:vAlign w:val="center"/>
          </w:tcPr>
          <w:p w14:paraId="07C0F938">
            <w:pPr>
              <w:pStyle w:val="12"/>
            </w:pPr>
            <w:r>
              <w:t>二十七、债务还本支出</w:t>
            </w:r>
          </w:p>
        </w:tc>
        <w:tc>
          <w:tcPr>
            <w:tcW w:w="1474" w:type="dxa"/>
            <w:vAlign w:val="center"/>
          </w:tcPr>
          <w:p w14:paraId="43DDE9FF">
            <w:pPr>
              <w:pStyle w:val="11"/>
            </w:pPr>
          </w:p>
        </w:tc>
        <w:tc>
          <w:tcPr>
            <w:tcW w:w="1474" w:type="dxa"/>
            <w:vAlign w:val="center"/>
          </w:tcPr>
          <w:p w14:paraId="0C2508BE">
            <w:pPr>
              <w:pStyle w:val="11"/>
            </w:pPr>
          </w:p>
        </w:tc>
        <w:tc>
          <w:tcPr>
            <w:tcW w:w="1474" w:type="dxa"/>
            <w:vAlign w:val="center"/>
          </w:tcPr>
          <w:p w14:paraId="67A202F2">
            <w:pPr>
              <w:pStyle w:val="11"/>
            </w:pPr>
          </w:p>
        </w:tc>
        <w:tc>
          <w:tcPr>
            <w:tcW w:w="1474" w:type="dxa"/>
            <w:vAlign w:val="center"/>
          </w:tcPr>
          <w:p w14:paraId="686B0146">
            <w:pPr>
              <w:pStyle w:val="11"/>
            </w:pPr>
          </w:p>
        </w:tc>
      </w:tr>
      <w:tr w14:paraId="20C9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BBE40">
            <w:pPr>
              <w:pStyle w:val="13"/>
            </w:pPr>
            <w:r>
              <w:t>28</w:t>
            </w:r>
          </w:p>
        </w:tc>
        <w:tc>
          <w:tcPr>
            <w:tcW w:w="3402" w:type="dxa"/>
            <w:vAlign w:val="center"/>
          </w:tcPr>
          <w:p w14:paraId="1D58D1F2">
            <w:pPr>
              <w:pStyle w:val="12"/>
            </w:pPr>
          </w:p>
        </w:tc>
        <w:tc>
          <w:tcPr>
            <w:tcW w:w="1474" w:type="dxa"/>
            <w:vAlign w:val="center"/>
          </w:tcPr>
          <w:p w14:paraId="3A421722">
            <w:pPr>
              <w:pStyle w:val="11"/>
            </w:pPr>
          </w:p>
        </w:tc>
        <w:tc>
          <w:tcPr>
            <w:tcW w:w="3402" w:type="dxa"/>
            <w:vAlign w:val="center"/>
          </w:tcPr>
          <w:p w14:paraId="2288EBD7">
            <w:pPr>
              <w:pStyle w:val="12"/>
            </w:pPr>
            <w:r>
              <w:t>二十八、债务付息支出</w:t>
            </w:r>
          </w:p>
        </w:tc>
        <w:tc>
          <w:tcPr>
            <w:tcW w:w="1474" w:type="dxa"/>
            <w:vAlign w:val="center"/>
          </w:tcPr>
          <w:p w14:paraId="5138F337">
            <w:pPr>
              <w:pStyle w:val="11"/>
            </w:pPr>
          </w:p>
        </w:tc>
        <w:tc>
          <w:tcPr>
            <w:tcW w:w="1474" w:type="dxa"/>
            <w:vAlign w:val="center"/>
          </w:tcPr>
          <w:p w14:paraId="5557E5F7">
            <w:pPr>
              <w:pStyle w:val="11"/>
            </w:pPr>
          </w:p>
        </w:tc>
        <w:tc>
          <w:tcPr>
            <w:tcW w:w="1474" w:type="dxa"/>
            <w:vAlign w:val="center"/>
          </w:tcPr>
          <w:p w14:paraId="62F119D9">
            <w:pPr>
              <w:pStyle w:val="11"/>
            </w:pPr>
          </w:p>
        </w:tc>
        <w:tc>
          <w:tcPr>
            <w:tcW w:w="1474" w:type="dxa"/>
            <w:vAlign w:val="center"/>
          </w:tcPr>
          <w:p w14:paraId="06695A69">
            <w:pPr>
              <w:pStyle w:val="11"/>
            </w:pPr>
          </w:p>
        </w:tc>
      </w:tr>
      <w:tr w14:paraId="569A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6A1E5">
            <w:pPr>
              <w:pStyle w:val="13"/>
            </w:pPr>
            <w:r>
              <w:t>29</w:t>
            </w:r>
          </w:p>
        </w:tc>
        <w:tc>
          <w:tcPr>
            <w:tcW w:w="3402" w:type="dxa"/>
            <w:vAlign w:val="center"/>
          </w:tcPr>
          <w:p w14:paraId="70DDEDE0">
            <w:pPr>
              <w:pStyle w:val="12"/>
            </w:pPr>
          </w:p>
        </w:tc>
        <w:tc>
          <w:tcPr>
            <w:tcW w:w="1474" w:type="dxa"/>
            <w:vAlign w:val="center"/>
          </w:tcPr>
          <w:p w14:paraId="705B0AEF">
            <w:pPr>
              <w:pStyle w:val="11"/>
            </w:pPr>
          </w:p>
        </w:tc>
        <w:tc>
          <w:tcPr>
            <w:tcW w:w="3402" w:type="dxa"/>
            <w:vAlign w:val="center"/>
          </w:tcPr>
          <w:p w14:paraId="60DE1A0E">
            <w:pPr>
              <w:pStyle w:val="12"/>
            </w:pPr>
            <w:r>
              <w:t>二十九、债务发行费用支出</w:t>
            </w:r>
          </w:p>
        </w:tc>
        <w:tc>
          <w:tcPr>
            <w:tcW w:w="1474" w:type="dxa"/>
            <w:vAlign w:val="center"/>
          </w:tcPr>
          <w:p w14:paraId="5B62099E">
            <w:pPr>
              <w:pStyle w:val="11"/>
            </w:pPr>
          </w:p>
        </w:tc>
        <w:tc>
          <w:tcPr>
            <w:tcW w:w="1474" w:type="dxa"/>
            <w:vAlign w:val="center"/>
          </w:tcPr>
          <w:p w14:paraId="67AB2A1B">
            <w:pPr>
              <w:pStyle w:val="11"/>
            </w:pPr>
          </w:p>
        </w:tc>
        <w:tc>
          <w:tcPr>
            <w:tcW w:w="1474" w:type="dxa"/>
            <w:vAlign w:val="center"/>
          </w:tcPr>
          <w:p w14:paraId="483DDA3E">
            <w:pPr>
              <w:pStyle w:val="11"/>
            </w:pPr>
          </w:p>
        </w:tc>
        <w:tc>
          <w:tcPr>
            <w:tcW w:w="1474" w:type="dxa"/>
            <w:vAlign w:val="center"/>
          </w:tcPr>
          <w:p w14:paraId="1ABFCC24">
            <w:pPr>
              <w:pStyle w:val="11"/>
            </w:pPr>
          </w:p>
        </w:tc>
      </w:tr>
      <w:tr w14:paraId="58244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A45C3">
            <w:pPr>
              <w:pStyle w:val="13"/>
            </w:pPr>
            <w:r>
              <w:t>30</w:t>
            </w:r>
          </w:p>
        </w:tc>
        <w:tc>
          <w:tcPr>
            <w:tcW w:w="3402" w:type="dxa"/>
            <w:vAlign w:val="center"/>
          </w:tcPr>
          <w:p w14:paraId="769B6BE1">
            <w:pPr>
              <w:pStyle w:val="12"/>
            </w:pPr>
          </w:p>
        </w:tc>
        <w:tc>
          <w:tcPr>
            <w:tcW w:w="1474" w:type="dxa"/>
            <w:vAlign w:val="center"/>
          </w:tcPr>
          <w:p w14:paraId="35D61391">
            <w:pPr>
              <w:pStyle w:val="11"/>
            </w:pPr>
          </w:p>
        </w:tc>
        <w:tc>
          <w:tcPr>
            <w:tcW w:w="3402" w:type="dxa"/>
            <w:vAlign w:val="center"/>
          </w:tcPr>
          <w:p w14:paraId="204C4038">
            <w:pPr>
              <w:pStyle w:val="12"/>
            </w:pPr>
            <w:r>
              <w:t>三十、抗疫特别国债安排的支出</w:t>
            </w:r>
          </w:p>
        </w:tc>
        <w:tc>
          <w:tcPr>
            <w:tcW w:w="1474" w:type="dxa"/>
            <w:vAlign w:val="center"/>
          </w:tcPr>
          <w:p w14:paraId="1A9AF4BD">
            <w:pPr>
              <w:pStyle w:val="11"/>
            </w:pPr>
          </w:p>
        </w:tc>
        <w:tc>
          <w:tcPr>
            <w:tcW w:w="1474" w:type="dxa"/>
            <w:vAlign w:val="center"/>
          </w:tcPr>
          <w:p w14:paraId="2EBCB399">
            <w:pPr>
              <w:pStyle w:val="11"/>
            </w:pPr>
          </w:p>
        </w:tc>
        <w:tc>
          <w:tcPr>
            <w:tcW w:w="1474" w:type="dxa"/>
            <w:vAlign w:val="center"/>
          </w:tcPr>
          <w:p w14:paraId="3F37BAA6">
            <w:pPr>
              <w:pStyle w:val="11"/>
            </w:pPr>
          </w:p>
        </w:tc>
        <w:tc>
          <w:tcPr>
            <w:tcW w:w="1474" w:type="dxa"/>
            <w:vAlign w:val="center"/>
          </w:tcPr>
          <w:p w14:paraId="5E9E2AE3">
            <w:pPr>
              <w:pStyle w:val="11"/>
            </w:pPr>
          </w:p>
        </w:tc>
      </w:tr>
      <w:tr w14:paraId="72D3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E0B0D">
            <w:pPr>
              <w:pStyle w:val="13"/>
            </w:pPr>
            <w:r>
              <w:t>31</w:t>
            </w:r>
          </w:p>
        </w:tc>
        <w:tc>
          <w:tcPr>
            <w:tcW w:w="3402" w:type="dxa"/>
            <w:vAlign w:val="center"/>
          </w:tcPr>
          <w:p w14:paraId="1B450509">
            <w:pPr>
              <w:pStyle w:val="12"/>
            </w:pPr>
          </w:p>
        </w:tc>
        <w:tc>
          <w:tcPr>
            <w:tcW w:w="1474" w:type="dxa"/>
            <w:vAlign w:val="center"/>
          </w:tcPr>
          <w:p w14:paraId="748A87BA">
            <w:pPr>
              <w:pStyle w:val="11"/>
            </w:pPr>
          </w:p>
        </w:tc>
        <w:tc>
          <w:tcPr>
            <w:tcW w:w="3402" w:type="dxa"/>
            <w:vAlign w:val="center"/>
          </w:tcPr>
          <w:p w14:paraId="448E734B">
            <w:pPr>
              <w:pStyle w:val="12"/>
            </w:pPr>
            <w:r>
              <w:t>三十一、人行科目</w:t>
            </w:r>
          </w:p>
        </w:tc>
        <w:tc>
          <w:tcPr>
            <w:tcW w:w="1474" w:type="dxa"/>
            <w:vAlign w:val="center"/>
          </w:tcPr>
          <w:p w14:paraId="070F91C3">
            <w:pPr>
              <w:pStyle w:val="11"/>
            </w:pPr>
          </w:p>
        </w:tc>
        <w:tc>
          <w:tcPr>
            <w:tcW w:w="1474" w:type="dxa"/>
            <w:vAlign w:val="center"/>
          </w:tcPr>
          <w:p w14:paraId="09A109D8">
            <w:pPr>
              <w:pStyle w:val="11"/>
            </w:pPr>
          </w:p>
        </w:tc>
        <w:tc>
          <w:tcPr>
            <w:tcW w:w="1474" w:type="dxa"/>
            <w:vAlign w:val="center"/>
          </w:tcPr>
          <w:p w14:paraId="75C797B1">
            <w:pPr>
              <w:pStyle w:val="11"/>
            </w:pPr>
          </w:p>
        </w:tc>
        <w:tc>
          <w:tcPr>
            <w:tcW w:w="1474" w:type="dxa"/>
            <w:vAlign w:val="center"/>
          </w:tcPr>
          <w:p w14:paraId="47F0C081">
            <w:pPr>
              <w:pStyle w:val="11"/>
            </w:pPr>
          </w:p>
        </w:tc>
      </w:tr>
      <w:tr w14:paraId="47016D31">
        <w:tblPrEx>
          <w:tblCellMar>
            <w:top w:w="0" w:type="dxa"/>
            <w:left w:w="108" w:type="dxa"/>
            <w:bottom w:w="0" w:type="dxa"/>
            <w:right w:w="108" w:type="dxa"/>
          </w:tblCellMar>
        </w:tblPrEx>
        <w:trPr>
          <w:trHeight w:val="369" w:hRule="atLeast"/>
          <w:jc w:val="center"/>
        </w:trPr>
        <w:tc>
          <w:tcPr>
            <w:tcW w:w="850" w:type="dxa"/>
            <w:vAlign w:val="center"/>
          </w:tcPr>
          <w:p w14:paraId="56E35B94">
            <w:pPr>
              <w:pStyle w:val="13"/>
            </w:pPr>
            <w:r>
              <w:t>32</w:t>
            </w:r>
          </w:p>
        </w:tc>
        <w:tc>
          <w:tcPr>
            <w:tcW w:w="3402" w:type="dxa"/>
            <w:vAlign w:val="center"/>
          </w:tcPr>
          <w:p w14:paraId="3B3BCDEB">
            <w:pPr>
              <w:pStyle w:val="14"/>
            </w:pPr>
            <w:r>
              <w:t>本年收入合计</w:t>
            </w:r>
          </w:p>
        </w:tc>
        <w:tc>
          <w:tcPr>
            <w:tcW w:w="1474" w:type="dxa"/>
            <w:vAlign w:val="center"/>
          </w:tcPr>
          <w:p w14:paraId="1078919B">
            <w:pPr>
              <w:pStyle w:val="15"/>
            </w:pPr>
            <w:r>
              <w:t>1905.19</w:t>
            </w:r>
          </w:p>
        </w:tc>
        <w:tc>
          <w:tcPr>
            <w:tcW w:w="3402" w:type="dxa"/>
            <w:vAlign w:val="center"/>
          </w:tcPr>
          <w:p w14:paraId="5B41B5A2">
            <w:pPr>
              <w:pStyle w:val="14"/>
            </w:pPr>
            <w:r>
              <w:t>本年支出合计</w:t>
            </w:r>
          </w:p>
        </w:tc>
        <w:tc>
          <w:tcPr>
            <w:tcW w:w="1474" w:type="dxa"/>
            <w:vAlign w:val="center"/>
          </w:tcPr>
          <w:p w14:paraId="0D8944D3">
            <w:pPr>
              <w:pStyle w:val="15"/>
            </w:pPr>
            <w:r>
              <w:t>1905.19</w:t>
            </w:r>
          </w:p>
        </w:tc>
        <w:tc>
          <w:tcPr>
            <w:tcW w:w="1474" w:type="dxa"/>
            <w:vAlign w:val="center"/>
          </w:tcPr>
          <w:p w14:paraId="7BD973BD">
            <w:pPr>
              <w:pStyle w:val="15"/>
            </w:pPr>
            <w:r>
              <w:t>1905.19</w:t>
            </w:r>
          </w:p>
        </w:tc>
        <w:tc>
          <w:tcPr>
            <w:tcW w:w="1474" w:type="dxa"/>
            <w:vAlign w:val="center"/>
          </w:tcPr>
          <w:p w14:paraId="528E63E7">
            <w:pPr>
              <w:pStyle w:val="15"/>
            </w:pPr>
          </w:p>
        </w:tc>
        <w:tc>
          <w:tcPr>
            <w:tcW w:w="1474" w:type="dxa"/>
            <w:vAlign w:val="center"/>
          </w:tcPr>
          <w:p w14:paraId="389A2F04">
            <w:pPr>
              <w:pStyle w:val="15"/>
            </w:pPr>
          </w:p>
        </w:tc>
      </w:tr>
      <w:tr w14:paraId="74192A4C">
        <w:tblPrEx>
          <w:tblCellMar>
            <w:top w:w="0" w:type="dxa"/>
            <w:left w:w="108" w:type="dxa"/>
            <w:bottom w:w="0" w:type="dxa"/>
            <w:right w:w="108" w:type="dxa"/>
          </w:tblCellMar>
        </w:tblPrEx>
        <w:trPr>
          <w:trHeight w:val="369" w:hRule="atLeast"/>
          <w:jc w:val="center"/>
        </w:trPr>
        <w:tc>
          <w:tcPr>
            <w:tcW w:w="850" w:type="dxa"/>
            <w:vAlign w:val="center"/>
          </w:tcPr>
          <w:p w14:paraId="1C5BE4A9">
            <w:pPr>
              <w:pStyle w:val="13"/>
            </w:pPr>
            <w:r>
              <w:t>33</w:t>
            </w:r>
          </w:p>
        </w:tc>
        <w:tc>
          <w:tcPr>
            <w:tcW w:w="3402" w:type="dxa"/>
            <w:vAlign w:val="center"/>
          </w:tcPr>
          <w:p w14:paraId="5FC17DFF">
            <w:pPr>
              <w:pStyle w:val="12"/>
            </w:pPr>
            <w:r>
              <w:t>年初财政拨款结转和结余</w:t>
            </w:r>
          </w:p>
        </w:tc>
        <w:tc>
          <w:tcPr>
            <w:tcW w:w="1474" w:type="dxa"/>
            <w:vAlign w:val="center"/>
          </w:tcPr>
          <w:p w14:paraId="75248875">
            <w:pPr>
              <w:pStyle w:val="11"/>
            </w:pPr>
          </w:p>
        </w:tc>
        <w:tc>
          <w:tcPr>
            <w:tcW w:w="3402" w:type="dxa"/>
            <w:vAlign w:val="center"/>
          </w:tcPr>
          <w:p w14:paraId="5EECD88E">
            <w:pPr>
              <w:pStyle w:val="12"/>
            </w:pPr>
            <w:r>
              <w:t>年末财政拨款结转和结余</w:t>
            </w:r>
          </w:p>
        </w:tc>
        <w:tc>
          <w:tcPr>
            <w:tcW w:w="1474" w:type="dxa"/>
            <w:vAlign w:val="center"/>
          </w:tcPr>
          <w:p w14:paraId="21D09CB5">
            <w:pPr>
              <w:pStyle w:val="11"/>
            </w:pPr>
          </w:p>
        </w:tc>
        <w:tc>
          <w:tcPr>
            <w:tcW w:w="1474" w:type="dxa"/>
            <w:vAlign w:val="center"/>
          </w:tcPr>
          <w:p w14:paraId="32D715F7">
            <w:pPr>
              <w:pStyle w:val="11"/>
            </w:pPr>
          </w:p>
        </w:tc>
        <w:tc>
          <w:tcPr>
            <w:tcW w:w="1474" w:type="dxa"/>
            <w:vAlign w:val="center"/>
          </w:tcPr>
          <w:p w14:paraId="438AF0F7">
            <w:pPr>
              <w:pStyle w:val="11"/>
            </w:pPr>
          </w:p>
        </w:tc>
        <w:tc>
          <w:tcPr>
            <w:tcW w:w="1474" w:type="dxa"/>
            <w:vAlign w:val="center"/>
          </w:tcPr>
          <w:p w14:paraId="70B7089A">
            <w:pPr>
              <w:pStyle w:val="11"/>
            </w:pPr>
          </w:p>
        </w:tc>
      </w:tr>
      <w:tr w14:paraId="60C4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9B68">
            <w:pPr>
              <w:pStyle w:val="13"/>
            </w:pPr>
            <w:r>
              <w:t>34</w:t>
            </w:r>
          </w:p>
        </w:tc>
        <w:tc>
          <w:tcPr>
            <w:tcW w:w="3402" w:type="dxa"/>
            <w:vAlign w:val="center"/>
          </w:tcPr>
          <w:p w14:paraId="31B00600">
            <w:pPr>
              <w:pStyle w:val="12"/>
            </w:pPr>
            <w:r>
              <w:t>一、一般公共预算拨款</w:t>
            </w:r>
          </w:p>
        </w:tc>
        <w:tc>
          <w:tcPr>
            <w:tcW w:w="1474" w:type="dxa"/>
            <w:vAlign w:val="center"/>
          </w:tcPr>
          <w:p w14:paraId="2DEDD56B">
            <w:pPr>
              <w:pStyle w:val="11"/>
            </w:pPr>
          </w:p>
        </w:tc>
        <w:tc>
          <w:tcPr>
            <w:tcW w:w="3402" w:type="dxa"/>
            <w:vAlign w:val="center"/>
          </w:tcPr>
          <w:p w14:paraId="762D0B1E">
            <w:pPr>
              <w:pStyle w:val="12"/>
            </w:pPr>
          </w:p>
        </w:tc>
        <w:tc>
          <w:tcPr>
            <w:tcW w:w="1474" w:type="dxa"/>
            <w:vAlign w:val="center"/>
          </w:tcPr>
          <w:p w14:paraId="74DB32C7">
            <w:pPr>
              <w:pStyle w:val="11"/>
            </w:pPr>
          </w:p>
        </w:tc>
        <w:tc>
          <w:tcPr>
            <w:tcW w:w="1474" w:type="dxa"/>
            <w:vAlign w:val="center"/>
          </w:tcPr>
          <w:p w14:paraId="4AEB7510">
            <w:pPr>
              <w:pStyle w:val="11"/>
            </w:pPr>
          </w:p>
        </w:tc>
        <w:tc>
          <w:tcPr>
            <w:tcW w:w="1474" w:type="dxa"/>
            <w:vAlign w:val="center"/>
          </w:tcPr>
          <w:p w14:paraId="60BEAEE3">
            <w:pPr>
              <w:pStyle w:val="11"/>
            </w:pPr>
          </w:p>
        </w:tc>
        <w:tc>
          <w:tcPr>
            <w:tcW w:w="1474" w:type="dxa"/>
            <w:vAlign w:val="center"/>
          </w:tcPr>
          <w:p w14:paraId="2CFAFDBD">
            <w:pPr>
              <w:pStyle w:val="11"/>
            </w:pPr>
          </w:p>
        </w:tc>
      </w:tr>
      <w:tr w14:paraId="49D33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3A8B2">
            <w:pPr>
              <w:pStyle w:val="13"/>
            </w:pPr>
            <w:r>
              <w:t>35</w:t>
            </w:r>
          </w:p>
        </w:tc>
        <w:tc>
          <w:tcPr>
            <w:tcW w:w="3402" w:type="dxa"/>
            <w:vAlign w:val="center"/>
          </w:tcPr>
          <w:p w14:paraId="022B5C19">
            <w:pPr>
              <w:pStyle w:val="12"/>
            </w:pPr>
            <w:r>
              <w:t>二、政府性基金预算拨款</w:t>
            </w:r>
          </w:p>
        </w:tc>
        <w:tc>
          <w:tcPr>
            <w:tcW w:w="1474" w:type="dxa"/>
            <w:vAlign w:val="center"/>
          </w:tcPr>
          <w:p w14:paraId="47454650">
            <w:pPr>
              <w:pStyle w:val="11"/>
            </w:pPr>
          </w:p>
        </w:tc>
        <w:tc>
          <w:tcPr>
            <w:tcW w:w="3402" w:type="dxa"/>
            <w:vAlign w:val="center"/>
          </w:tcPr>
          <w:p w14:paraId="1A434F03">
            <w:pPr>
              <w:pStyle w:val="12"/>
            </w:pPr>
          </w:p>
        </w:tc>
        <w:tc>
          <w:tcPr>
            <w:tcW w:w="1474" w:type="dxa"/>
            <w:vAlign w:val="center"/>
          </w:tcPr>
          <w:p w14:paraId="0C956831">
            <w:pPr>
              <w:pStyle w:val="11"/>
            </w:pPr>
          </w:p>
        </w:tc>
        <w:tc>
          <w:tcPr>
            <w:tcW w:w="1474" w:type="dxa"/>
            <w:vAlign w:val="center"/>
          </w:tcPr>
          <w:p w14:paraId="7EA8CA12">
            <w:pPr>
              <w:pStyle w:val="11"/>
            </w:pPr>
          </w:p>
        </w:tc>
        <w:tc>
          <w:tcPr>
            <w:tcW w:w="1474" w:type="dxa"/>
            <w:vAlign w:val="center"/>
          </w:tcPr>
          <w:p w14:paraId="5B06E7C4">
            <w:pPr>
              <w:pStyle w:val="11"/>
            </w:pPr>
          </w:p>
        </w:tc>
        <w:tc>
          <w:tcPr>
            <w:tcW w:w="1474" w:type="dxa"/>
            <w:vAlign w:val="center"/>
          </w:tcPr>
          <w:p w14:paraId="1328E5DD">
            <w:pPr>
              <w:pStyle w:val="11"/>
            </w:pPr>
          </w:p>
        </w:tc>
      </w:tr>
      <w:tr w14:paraId="4B61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619B">
            <w:pPr>
              <w:pStyle w:val="13"/>
            </w:pPr>
            <w:r>
              <w:t>36</w:t>
            </w:r>
          </w:p>
        </w:tc>
        <w:tc>
          <w:tcPr>
            <w:tcW w:w="3402" w:type="dxa"/>
            <w:vAlign w:val="center"/>
          </w:tcPr>
          <w:p w14:paraId="35AA80B8">
            <w:pPr>
              <w:pStyle w:val="12"/>
            </w:pPr>
            <w:r>
              <w:t>三、国有资本经营预算拨款</w:t>
            </w:r>
          </w:p>
        </w:tc>
        <w:tc>
          <w:tcPr>
            <w:tcW w:w="1474" w:type="dxa"/>
            <w:vAlign w:val="center"/>
          </w:tcPr>
          <w:p w14:paraId="009559B2">
            <w:pPr>
              <w:pStyle w:val="11"/>
            </w:pPr>
          </w:p>
        </w:tc>
        <w:tc>
          <w:tcPr>
            <w:tcW w:w="3402" w:type="dxa"/>
            <w:vAlign w:val="center"/>
          </w:tcPr>
          <w:p w14:paraId="4E24DBF6">
            <w:pPr>
              <w:pStyle w:val="12"/>
            </w:pPr>
          </w:p>
        </w:tc>
        <w:tc>
          <w:tcPr>
            <w:tcW w:w="1474" w:type="dxa"/>
            <w:vAlign w:val="center"/>
          </w:tcPr>
          <w:p w14:paraId="747F9E86">
            <w:pPr>
              <w:pStyle w:val="11"/>
            </w:pPr>
          </w:p>
        </w:tc>
        <w:tc>
          <w:tcPr>
            <w:tcW w:w="1474" w:type="dxa"/>
            <w:vAlign w:val="center"/>
          </w:tcPr>
          <w:p w14:paraId="1528DC5F">
            <w:pPr>
              <w:pStyle w:val="11"/>
            </w:pPr>
          </w:p>
        </w:tc>
        <w:tc>
          <w:tcPr>
            <w:tcW w:w="1474" w:type="dxa"/>
            <w:vAlign w:val="center"/>
          </w:tcPr>
          <w:p w14:paraId="38DB9326">
            <w:pPr>
              <w:pStyle w:val="11"/>
            </w:pPr>
          </w:p>
        </w:tc>
        <w:tc>
          <w:tcPr>
            <w:tcW w:w="1474" w:type="dxa"/>
            <w:vAlign w:val="center"/>
          </w:tcPr>
          <w:p w14:paraId="487C359B">
            <w:pPr>
              <w:pStyle w:val="11"/>
            </w:pPr>
          </w:p>
        </w:tc>
      </w:tr>
      <w:tr w14:paraId="7182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6430">
            <w:pPr>
              <w:pStyle w:val="13"/>
            </w:pPr>
            <w:r>
              <w:t>37</w:t>
            </w:r>
          </w:p>
        </w:tc>
        <w:tc>
          <w:tcPr>
            <w:tcW w:w="3402" w:type="dxa"/>
            <w:vAlign w:val="center"/>
          </w:tcPr>
          <w:p w14:paraId="5FCE32F3">
            <w:pPr>
              <w:pStyle w:val="14"/>
            </w:pPr>
            <w:r>
              <w:t>收入总计</w:t>
            </w:r>
          </w:p>
        </w:tc>
        <w:tc>
          <w:tcPr>
            <w:tcW w:w="1474" w:type="dxa"/>
            <w:vAlign w:val="center"/>
          </w:tcPr>
          <w:p w14:paraId="3D07A825">
            <w:pPr>
              <w:pStyle w:val="15"/>
            </w:pPr>
            <w:r>
              <w:t>1905.19</w:t>
            </w:r>
          </w:p>
        </w:tc>
        <w:tc>
          <w:tcPr>
            <w:tcW w:w="3402" w:type="dxa"/>
            <w:vAlign w:val="center"/>
          </w:tcPr>
          <w:p w14:paraId="79D7B400">
            <w:pPr>
              <w:pStyle w:val="14"/>
            </w:pPr>
            <w:r>
              <w:t>支出总计</w:t>
            </w:r>
          </w:p>
        </w:tc>
        <w:tc>
          <w:tcPr>
            <w:tcW w:w="1474" w:type="dxa"/>
            <w:vAlign w:val="center"/>
          </w:tcPr>
          <w:p w14:paraId="666DA760">
            <w:pPr>
              <w:pStyle w:val="15"/>
            </w:pPr>
            <w:r>
              <w:t>1905.19</w:t>
            </w:r>
          </w:p>
        </w:tc>
        <w:tc>
          <w:tcPr>
            <w:tcW w:w="1474" w:type="dxa"/>
            <w:vAlign w:val="center"/>
          </w:tcPr>
          <w:p w14:paraId="670812A5">
            <w:pPr>
              <w:pStyle w:val="15"/>
            </w:pPr>
            <w:r>
              <w:t>1905.19</w:t>
            </w:r>
          </w:p>
        </w:tc>
        <w:tc>
          <w:tcPr>
            <w:tcW w:w="1474" w:type="dxa"/>
            <w:vAlign w:val="center"/>
          </w:tcPr>
          <w:p w14:paraId="1C24098D">
            <w:pPr>
              <w:pStyle w:val="15"/>
            </w:pPr>
          </w:p>
        </w:tc>
        <w:tc>
          <w:tcPr>
            <w:tcW w:w="1474" w:type="dxa"/>
            <w:vAlign w:val="center"/>
          </w:tcPr>
          <w:p w14:paraId="6F8F69E8">
            <w:pPr>
              <w:pStyle w:val="15"/>
            </w:pPr>
          </w:p>
        </w:tc>
      </w:tr>
    </w:tbl>
    <w:p w14:paraId="2001A196">
      <w:pPr>
        <w:sectPr>
          <w:pgSz w:w="16840" w:h="11900" w:orient="landscape"/>
          <w:pgMar w:top="1361" w:right="1020" w:bottom="1134" w:left="1020" w:header="720" w:footer="720" w:gutter="0"/>
          <w:cols w:space="720" w:num="1"/>
        </w:sectPr>
      </w:pPr>
    </w:p>
    <w:p w14:paraId="0DD678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642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A805E7">
            <w:pPr>
              <w:pStyle w:val="9"/>
            </w:pPr>
            <w:r>
              <w:t>360030隆尧县第二实验小学</w:t>
            </w:r>
          </w:p>
        </w:tc>
        <w:tc>
          <w:tcPr>
            <w:tcW w:w="2551" w:type="dxa"/>
            <w:tcBorders>
              <w:top w:val="single" w:color="FFFFFF" w:sz="6" w:space="0"/>
              <w:left w:val="single" w:color="FFFFFF" w:sz="6" w:space="0"/>
              <w:right w:val="single" w:color="FFFFFF" w:sz="6" w:space="0"/>
            </w:tcBorders>
            <w:vAlign w:val="center"/>
          </w:tcPr>
          <w:p w14:paraId="1480E0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8474B6">
            <w:pPr>
              <w:pStyle w:val="7"/>
            </w:pPr>
            <w:r>
              <w:t>单位：万元</w:t>
            </w:r>
          </w:p>
        </w:tc>
      </w:tr>
      <w:tr w14:paraId="20B1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ADD4F">
            <w:pPr>
              <w:pStyle w:val="10"/>
            </w:pPr>
            <w:r>
              <w:t>序号</w:t>
            </w:r>
          </w:p>
        </w:tc>
        <w:tc>
          <w:tcPr>
            <w:tcW w:w="5726" w:type="dxa"/>
            <w:gridSpan w:val="2"/>
            <w:vAlign w:val="center"/>
          </w:tcPr>
          <w:p w14:paraId="37FD63BE">
            <w:pPr>
              <w:pStyle w:val="10"/>
            </w:pPr>
            <w:r>
              <w:t>功能分类科目</w:t>
            </w:r>
          </w:p>
        </w:tc>
        <w:tc>
          <w:tcPr>
            <w:tcW w:w="2551" w:type="dxa"/>
            <w:vMerge w:val="restart"/>
            <w:vAlign w:val="center"/>
          </w:tcPr>
          <w:p w14:paraId="5CC09C3C">
            <w:pPr>
              <w:pStyle w:val="10"/>
            </w:pPr>
            <w:r>
              <w:t>合计</w:t>
            </w:r>
          </w:p>
        </w:tc>
        <w:tc>
          <w:tcPr>
            <w:tcW w:w="2551" w:type="dxa"/>
            <w:vMerge w:val="restart"/>
            <w:vAlign w:val="center"/>
          </w:tcPr>
          <w:p w14:paraId="5E36D3B8">
            <w:pPr>
              <w:pStyle w:val="10"/>
            </w:pPr>
            <w:r>
              <w:t>基本支出</w:t>
            </w:r>
          </w:p>
        </w:tc>
        <w:tc>
          <w:tcPr>
            <w:tcW w:w="2551" w:type="dxa"/>
            <w:vMerge w:val="restart"/>
            <w:vAlign w:val="center"/>
          </w:tcPr>
          <w:p w14:paraId="32EBECF1">
            <w:pPr>
              <w:pStyle w:val="10"/>
            </w:pPr>
            <w:r>
              <w:t>项目支出</w:t>
            </w:r>
          </w:p>
        </w:tc>
      </w:tr>
      <w:tr w14:paraId="3970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11B0D"/>
        </w:tc>
        <w:tc>
          <w:tcPr>
            <w:tcW w:w="1191" w:type="dxa"/>
            <w:vAlign w:val="center"/>
          </w:tcPr>
          <w:p w14:paraId="39EA0D42">
            <w:pPr>
              <w:pStyle w:val="10"/>
            </w:pPr>
            <w:r>
              <w:t>科目编码</w:t>
            </w:r>
          </w:p>
        </w:tc>
        <w:tc>
          <w:tcPr>
            <w:tcW w:w="4535" w:type="dxa"/>
            <w:vAlign w:val="center"/>
          </w:tcPr>
          <w:p w14:paraId="1061684C">
            <w:pPr>
              <w:pStyle w:val="10"/>
            </w:pPr>
            <w:r>
              <w:t>科目名称</w:t>
            </w:r>
          </w:p>
        </w:tc>
        <w:tc>
          <w:tcPr>
            <w:tcW w:w="2551" w:type="dxa"/>
            <w:vMerge w:val="continue"/>
          </w:tcPr>
          <w:p w14:paraId="3D2200B1"/>
        </w:tc>
        <w:tc>
          <w:tcPr>
            <w:tcW w:w="2551" w:type="dxa"/>
            <w:vMerge w:val="continue"/>
          </w:tcPr>
          <w:p w14:paraId="7A740F77"/>
        </w:tc>
        <w:tc>
          <w:tcPr>
            <w:tcW w:w="2551" w:type="dxa"/>
            <w:vMerge w:val="continue"/>
          </w:tcPr>
          <w:p w14:paraId="404CDBAE"/>
        </w:tc>
      </w:tr>
      <w:tr w14:paraId="687C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6A66F">
            <w:pPr>
              <w:pStyle w:val="10"/>
            </w:pPr>
            <w:r>
              <w:t>栏次</w:t>
            </w:r>
          </w:p>
        </w:tc>
        <w:tc>
          <w:tcPr>
            <w:tcW w:w="1191" w:type="dxa"/>
            <w:vAlign w:val="center"/>
          </w:tcPr>
          <w:p w14:paraId="48C09884">
            <w:pPr>
              <w:pStyle w:val="10"/>
            </w:pPr>
            <w:r>
              <w:t>1</w:t>
            </w:r>
          </w:p>
        </w:tc>
        <w:tc>
          <w:tcPr>
            <w:tcW w:w="4535" w:type="dxa"/>
            <w:vAlign w:val="center"/>
          </w:tcPr>
          <w:p w14:paraId="64EA040B">
            <w:pPr>
              <w:pStyle w:val="10"/>
            </w:pPr>
            <w:r>
              <w:t>2</w:t>
            </w:r>
          </w:p>
        </w:tc>
        <w:tc>
          <w:tcPr>
            <w:tcW w:w="2551" w:type="dxa"/>
            <w:vAlign w:val="center"/>
          </w:tcPr>
          <w:p w14:paraId="67186AC4">
            <w:pPr>
              <w:pStyle w:val="10"/>
            </w:pPr>
            <w:r>
              <w:t>3</w:t>
            </w:r>
          </w:p>
        </w:tc>
        <w:tc>
          <w:tcPr>
            <w:tcW w:w="2551" w:type="dxa"/>
            <w:vAlign w:val="center"/>
          </w:tcPr>
          <w:p w14:paraId="0390DC04">
            <w:pPr>
              <w:pStyle w:val="10"/>
            </w:pPr>
            <w:r>
              <w:t>4</w:t>
            </w:r>
          </w:p>
        </w:tc>
        <w:tc>
          <w:tcPr>
            <w:tcW w:w="2551" w:type="dxa"/>
            <w:vAlign w:val="center"/>
          </w:tcPr>
          <w:p w14:paraId="19AEBA03">
            <w:pPr>
              <w:pStyle w:val="10"/>
            </w:pPr>
            <w:r>
              <w:t>5</w:t>
            </w:r>
          </w:p>
        </w:tc>
      </w:tr>
      <w:tr w14:paraId="2146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7B98">
            <w:pPr>
              <w:pStyle w:val="13"/>
            </w:pPr>
            <w:r>
              <w:t>1</w:t>
            </w:r>
          </w:p>
        </w:tc>
        <w:tc>
          <w:tcPr>
            <w:tcW w:w="1191" w:type="dxa"/>
            <w:vAlign w:val="center"/>
          </w:tcPr>
          <w:p w14:paraId="4520B4DB">
            <w:pPr>
              <w:pStyle w:val="16"/>
            </w:pPr>
          </w:p>
        </w:tc>
        <w:tc>
          <w:tcPr>
            <w:tcW w:w="4535" w:type="dxa"/>
            <w:vAlign w:val="center"/>
          </w:tcPr>
          <w:p w14:paraId="0E2B5930">
            <w:pPr>
              <w:pStyle w:val="14"/>
            </w:pPr>
            <w:r>
              <w:t>合计</w:t>
            </w:r>
          </w:p>
        </w:tc>
        <w:tc>
          <w:tcPr>
            <w:tcW w:w="2551" w:type="dxa"/>
            <w:vAlign w:val="center"/>
          </w:tcPr>
          <w:p w14:paraId="5BAF2697">
            <w:pPr>
              <w:pStyle w:val="15"/>
            </w:pPr>
            <w:r>
              <w:t>1905.19</w:t>
            </w:r>
          </w:p>
        </w:tc>
        <w:tc>
          <w:tcPr>
            <w:tcW w:w="2551" w:type="dxa"/>
            <w:vAlign w:val="center"/>
          </w:tcPr>
          <w:p w14:paraId="362B79CF">
            <w:pPr>
              <w:pStyle w:val="15"/>
            </w:pPr>
            <w:r>
              <w:t>1472.04</w:t>
            </w:r>
          </w:p>
        </w:tc>
        <w:tc>
          <w:tcPr>
            <w:tcW w:w="2551" w:type="dxa"/>
            <w:vAlign w:val="center"/>
          </w:tcPr>
          <w:p w14:paraId="35EE5654">
            <w:pPr>
              <w:pStyle w:val="15"/>
            </w:pPr>
            <w:r>
              <w:t>433.15</w:t>
            </w:r>
          </w:p>
        </w:tc>
      </w:tr>
      <w:tr w14:paraId="06B0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2FE3">
            <w:pPr>
              <w:pStyle w:val="13"/>
            </w:pPr>
            <w:r>
              <w:t>2</w:t>
            </w:r>
          </w:p>
        </w:tc>
        <w:tc>
          <w:tcPr>
            <w:tcW w:w="1191" w:type="dxa"/>
            <w:vAlign w:val="center"/>
          </w:tcPr>
          <w:p w14:paraId="34BFE41A">
            <w:pPr>
              <w:pStyle w:val="12"/>
            </w:pPr>
            <w:r>
              <w:t>205</w:t>
            </w:r>
          </w:p>
        </w:tc>
        <w:tc>
          <w:tcPr>
            <w:tcW w:w="4535" w:type="dxa"/>
            <w:vAlign w:val="center"/>
          </w:tcPr>
          <w:p w14:paraId="4F758354">
            <w:pPr>
              <w:pStyle w:val="12"/>
            </w:pPr>
            <w:r>
              <w:t>教育支出</w:t>
            </w:r>
          </w:p>
        </w:tc>
        <w:tc>
          <w:tcPr>
            <w:tcW w:w="2551" w:type="dxa"/>
            <w:vAlign w:val="center"/>
          </w:tcPr>
          <w:p w14:paraId="10354E49">
            <w:pPr>
              <w:pStyle w:val="11"/>
            </w:pPr>
            <w:r>
              <w:t>1905.19</w:t>
            </w:r>
          </w:p>
        </w:tc>
        <w:tc>
          <w:tcPr>
            <w:tcW w:w="2551" w:type="dxa"/>
            <w:vAlign w:val="center"/>
          </w:tcPr>
          <w:p w14:paraId="39E6DF93">
            <w:pPr>
              <w:pStyle w:val="11"/>
            </w:pPr>
            <w:r>
              <w:t>1472.04</w:t>
            </w:r>
          </w:p>
        </w:tc>
        <w:tc>
          <w:tcPr>
            <w:tcW w:w="2551" w:type="dxa"/>
            <w:vAlign w:val="center"/>
          </w:tcPr>
          <w:p w14:paraId="17D9C599">
            <w:pPr>
              <w:pStyle w:val="11"/>
            </w:pPr>
            <w:r>
              <w:t>433.15</w:t>
            </w:r>
          </w:p>
        </w:tc>
      </w:tr>
      <w:tr w14:paraId="7BD9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20E38">
            <w:pPr>
              <w:pStyle w:val="13"/>
            </w:pPr>
            <w:r>
              <w:t>3</w:t>
            </w:r>
          </w:p>
        </w:tc>
        <w:tc>
          <w:tcPr>
            <w:tcW w:w="1191" w:type="dxa"/>
            <w:vAlign w:val="center"/>
          </w:tcPr>
          <w:p w14:paraId="5B5F3678">
            <w:pPr>
              <w:pStyle w:val="12"/>
            </w:pPr>
            <w:r>
              <w:t>20502</w:t>
            </w:r>
          </w:p>
        </w:tc>
        <w:tc>
          <w:tcPr>
            <w:tcW w:w="4535" w:type="dxa"/>
            <w:vAlign w:val="center"/>
          </w:tcPr>
          <w:p w14:paraId="49075DAA">
            <w:pPr>
              <w:pStyle w:val="12"/>
            </w:pPr>
            <w:r>
              <w:t>普通教育</w:t>
            </w:r>
          </w:p>
        </w:tc>
        <w:tc>
          <w:tcPr>
            <w:tcW w:w="2551" w:type="dxa"/>
            <w:vAlign w:val="center"/>
          </w:tcPr>
          <w:p w14:paraId="5D33A860">
            <w:pPr>
              <w:pStyle w:val="11"/>
            </w:pPr>
            <w:r>
              <w:t>1905.19</w:t>
            </w:r>
          </w:p>
        </w:tc>
        <w:tc>
          <w:tcPr>
            <w:tcW w:w="2551" w:type="dxa"/>
            <w:vAlign w:val="center"/>
          </w:tcPr>
          <w:p w14:paraId="0088F857">
            <w:pPr>
              <w:pStyle w:val="11"/>
            </w:pPr>
            <w:r>
              <w:t>1472.04</w:t>
            </w:r>
          </w:p>
        </w:tc>
        <w:tc>
          <w:tcPr>
            <w:tcW w:w="2551" w:type="dxa"/>
            <w:vAlign w:val="center"/>
          </w:tcPr>
          <w:p w14:paraId="2D1D9D2E">
            <w:pPr>
              <w:pStyle w:val="11"/>
            </w:pPr>
            <w:r>
              <w:t>433.15</w:t>
            </w:r>
          </w:p>
        </w:tc>
      </w:tr>
      <w:tr w14:paraId="5F21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784F3">
            <w:pPr>
              <w:pStyle w:val="13"/>
            </w:pPr>
            <w:r>
              <w:t>4</w:t>
            </w:r>
          </w:p>
        </w:tc>
        <w:tc>
          <w:tcPr>
            <w:tcW w:w="1191" w:type="dxa"/>
            <w:vAlign w:val="center"/>
          </w:tcPr>
          <w:p w14:paraId="06154F27">
            <w:pPr>
              <w:pStyle w:val="12"/>
            </w:pPr>
            <w:r>
              <w:t>2050202</w:t>
            </w:r>
          </w:p>
        </w:tc>
        <w:tc>
          <w:tcPr>
            <w:tcW w:w="4535" w:type="dxa"/>
            <w:vAlign w:val="center"/>
          </w:tcPr>
          <w:p w14:paraId="6C085B59">
            <w:pPr>
              <w:pStyle w:val="12"/>
            </w:pPr>
            <w:r>
              <w:t>小学教育</w:t>
            </w:r>
          </w:p>
        </w:tc>
        <w:tc>
          <w:tcPr>
            <w:tcW w:w="2551" w:type="dxa"/>
            <w:vAlign w:val="center"/>
          </w:tcPr>
          <w:p w14:paraId="3BC8E67D">
            <w:pPr>
              <w:pStyle w:val="11"/>
            </w:pPr>
            <w:r>
              <w:t>1905.19</w:t>
            </w:r>
          </w:p>
        </w:tc>
        <w:tc>
          <w:tcPr>
            <w:tcW w:w="2551" w:type="dxa"/>
            <w:vAlign w:val="center"/>
          </w:tcPr>
          <w:p w14:paraId="1E8C7C4F">
            <w:pPr>
              <w:pStyle w:val="11"/>
            </w:pPr>
            <w:r>
              <w:t>1472.04</w:t>
            </w:r>
          </w:p>
        </w:tc>
        <w:tc>
          <w:tcPr>
            <w:tcW w:w="2551" w:type="dxa"/>
            <w:vAlign w:val="center"/>
          </w:tcPr>
          <w:p w14:paraId="1FEA7094">
            <w:pPr>
              <w:pStyle w:val="11"/>
            </w:pPr>
            <w:r>
              <w:t>433.15</w:t>
            </w:r>
          </w:p>
        </w:tc>
      </w:tr>
    </w:tbl>
    <w:p w14:paraId="115367A8">
      <w:pPr>
        <w:sectPr>
          <w:pgSz w:w="16840" w:h="11900" w:orient="landscape"/>
          <w:pgMar w:top="1361" w:right="1020" w:bottom="1134" w:left="1020" w:header="720" w:footer="720" w:gutter="0"/>
          <w:cols w:space="720" w:num="1"/>
        </w:sectPr>
      </w:pPr>
    </w:p>
    <w:p w14:paraId="1DFC9B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7D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90A9E0">
            <w:pPr>
              <w:pStyle w:val="9"/>
            </w:pPr>
            <w:r>
              <w:t>360030隆尧县第二实验小学</w:t>
            </w:r>
          </w:p>
        </w:tc>
        <w:tc>
          <w:tcPr>
            <w:tcW w:w="2551" w:type="dxa"/>
            <w:tcBorders>
              <w:top w:val="single" w:color="FFFFFF" w:sz="6" w:space="0"/>
              <w:left w:val="single" w:color="FFFFFF" w:sz="6" w:space="0"/>
              <w:right w:val="single" w:color="FFFFFF" w:sz="6" w:space="0"/>
            </w:tcBorders>
            <w:vAlign w:val="center"/>
          </w:tcPr>
          <w:p w14:paraId="7702C4F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5F0284">
            <w:pPr>
              <w:pStyle w:val="7"/>
            </w:pPr>
            <w:r>
              <w:t>单位：万元</w:t>
            </w:r>
          </w:p>
        </w:tc>
      </w:tr>
      <w:tr w14:paraId="5168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555C6">
            <w:pPr>
              <w:pStyle w:val="10"/>
            </w:pPr>
            <w:r>
              <w:t>序号</w:t>
            </w:r>
          </w:p>
        </w:tc>
        <w:tc>
          <w:tcPr>
            <w:tcW w:w="5726" w:type="dxa"/>
            <w:gridSpan w:val="2"/>
            <w:vAlign w:val="center"/>
          </w:tcPr>
          <w:p w14:paraId="426EF844">
            <w:pPr>
              <w:pStyle w:val="10"/>
            </w:pPr>
            <w:r>
              <w:t>支出部门经济分类科目</w:t>
            </w:r>
          </w:p>
        </w:tc>
        <w:tc>
          <w:tcPr>
            <w:tcW w:w="7653" w:type="dxa"/>
            <w:gridSpan w:val="3"/>
            <w:vAlign w:val="center"/>
          </w:tcPr>
          <w:p w14:paraId="39A96112">
            <w:pPr>
              <w:pStyle w:val="10"/>
            </w:pPr>
            <w:r>
              <w:t>一般公共预算基本支出</w:t>
            </w:r>
          </w:p>
        </w:tc>
      </w:tr>
      <w:tr w14:paraId="01C3C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F9DA1"/>
        </w:tc>
        <w:tc>
          <w:tcPr>
            <w:tcW w:w="1191" w:type="dxa"/>
            <w:vAlign w:val="center"/>
          </w:tcPr>
          <w:p w14:paraId="1FCF87DE">
            <w:pPr>
              <w:pStyle w:val="10"/>
            </w:pPr>
            <w:r>
              <w:t>科目编码</w:t>
            </w:r>
          </w:p>
        </w:tc>
        <w:tc>
          <w:tcPr>
            <w:tcW w:w="4535" w:type="dxa"/>
            <w:vAlign w:val="center"/>
          </w:tcPr>
          <w:p w14:paraId="4E86AA1E">
            <w:pPr>
              <w:pStyle w:val="10"/>
            </w:pPr>
            <w:r>
              <w:t>科目名称</w:t>
            </w:r>
          </w:p>
        </w:tc>
        <w:tc>
          <w:tcPr>
            <w:tcW w:w="2551" w:type="dxa"/>
            <w:vAlign w:val="center"/>
          </w:tcPr>
          <w:p w14:paraId="151CA535">
            <w:pPr>
              <w:pStyle w:val="10"/>
            </w:pPr>
            <w:r>
              <w:t>合计</w:t>
            </w:r>
          </w:p>
        </w:tc>
        <w:tc>
          <w:tcPr>
            <w:tcW w:w="2551" w:type="dxa"/>
            <w:vAlign w:val="center"/>
          </w:tcPr>
          <w:p w14:paraId="1B23378A">
            <w:pPr>
              <w:pStyle w:val="10"/>
            </w:pPr>
            <w:r>
              <w:t>人员经费</w:t>
            </w:r>
          </w:p>
        </w:tc>
        <w:tc>
          <w:tcPr>
            <w:tcW w:w="2551" w:type="dxa"/>
            <w:vAlign w:val="center"/>
          </w:tcPr>
          <w:p w14:paraId="40D14839">
            <w:pPr>
              <w:pStyle w:val="10"/>
            </w:pPr>
            <w:r>
              <w:t>公用经费</w:t>
            </w:r>
          </w:p>
        </w:tc>
      </w:tr>
      <w:tr w14:paraId="10AF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35A02">
            <w:pPr>
              <w:pStyle w:val="10"/>
            </w:pPr>
            <w:r>
              <w:t>栏次</w:t>
            </w:r>
          </w:p>
        </w:tc>
        <w:tc>
          <w:tcPr>
            <w:tcW w:w="1191" w:type="dxa"/>
            <w:vAlign w:val="center"/>
          </w:tcPr>
          <w:p w14:paraId="6FCBA59C">
            <w:pPr>
              <w:pStyle w:val="10"/>
            </w:pPr>
            <w:r>
              <w:t>1</w:t>
            </w:r>
          </w:p>
        </w:tc>
        <w:tc>
          <w:tcPr>
            <w:tcW w:w="4535" w:type="dxa"/>
            <w:vAlign w:val="center"/>
          </w:tcPr>
          <w:p w14:paraId="4DF5984B">
            <w:pPr>
              <w:pStyle w:val="10"/>
            </w:pPr>
            <w:r>
              <w:t>2</w:t>
            </w:r>
          </w:p>
        </w:tc>
        <w:tc>
          <w:tcPr>
            <w:tcW w:w="2551" w:type="dxa"/>
            <w:vAlign w:val="center"/>
          </w:tcPr>
          <w:p w14:paraId="2219FE5E">
            <w:pPr>
              <w:pStyle w:val="10"/>
            </w:pPr>
            <w:r>
              <w:t>3</w:t>
            </w:r>
          </w:p>
        </w:tc>
        <w:tc>
          <w:tcPr>
            <w:tcW w:w="2551" w:type="dxa"/>
            <w:vAlign w:val="center"/>
          </w:tcPr>
          <w:p w14:paraId="3434632A">
            <w:pPr>
              <w:pStyle w:val="10"/>
            </w:pPr>
            <w:r>
              <w:t>4</w:t>
            </w:r>
          </w:p>
        </w:tc>
        <w:tc>
          <w:tcPr>
            <w:tcW w:w="2551" w:type="dxa"/>
            <w:vAlign w:val="center"/>
          </w:tcPr>
          <w:p w14:paraId="3BFB8017">
            <w:pPr>
              <w:pStyle w:val="10"/>
            </w:pPr>
            <w:r>
              <w:t>5</w:t>
            </w:r>
          </w:p>
        </w:tc>
      </w:tr>
      <w:tr w14:paraId="20F8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77DB4">
            <w:pPr>
              <w:pStyle w:val="13"/>
            </w:pPr>
            <w:r>
              <w:t>1</w:t>
            </w:r>
          </w:p>
        </w:tc>
        <w:tc>
          <w:tcPr>
            <w:tcW w:w="1191" w:type="dxa"/>
            <w:vAlign w:val="center"/>
          </w:tcPr>
          <w:p w14:paraId="69E031A6">
            <w:pPr>
              <w:pStyle w:val="16"/>
            </w:pPr>
          </w:p>
        </w:tc>
        <w:tc>
          <w:tcPr>
            <w:tcW w:w="4535" w:type="dxa"/>
            <w:vAlign w:val="center"/>
          </w:tcPr>
          <w:p w14:paraId="13C3C062">
            <w:pPr>
              <w:pStyle w:val="14"/>
            </w:pPr>
            <w:r>
              <w:t>合计</w:t>
            </w:r>
          </w:p>
        </w:tc>
        <w:tc>
          <w:tcPr>
            <w:tcW w:w="2551" w:type="dxa"/>
            <w:vAlign w:val="center"/>
          </w:tcPr>
          <w:p w14:paraId="07BBAF8B">
            <w:pPr>
              <w:pStyle w:val="15"/>
            </w:pPr>
            <w:r>
              <w:t>1472.04</w:t>
            </w:r>
          </w:p>
        </w:tc>
        <w:tc>
          <w:tcPr>
            <w:tcW w:w="2551" w:type="dxa"/>
            <w:vAlign w:val="center"/>
          </w:tcPr>
          <w:p w14:paraId="2EBD908E">
            <w:pPr>
              <w:pStyle w:val="15"/>
            </w:pPr>
            <w:r>
              <w:t>1472.04</w:t>
            </w:r>
          </w:p>
        </w:tc>
        <w:tc>
          <w:tcPr>
            <w:tcW w:w="2551" w:type="dxa"/>
            <w:vAlign w:val="center"/>
          </w:tcPr>
          <w:p w14:paraId="7B1A34C7">
            <w:pPr>
              <w:pStyle w:val="15"/>
            </w:pPr>
          </w:p>
        </w:tc>
      </w:tr>
      <w:tr w14:paraId="3AA3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B23CE">
            <w:pPr>
              <w:pStyle w:val="13"/>
            </w:pPr>
            <w:r>
              <w:t>2</w:t>
            </w:r>
          </w:p>
        </w:tc>
        <w:tc>
          <w:tcPr>
            <w:tcW w:w="1191" w:type="dxa"/>
            <w:vAlign w:val="center"/>
          </w:tcPr>
          <w:p w14:paraId="45AD991D">
            <w:pPr>
              <w:pStyle w:val="12"/>
            </w:pPr>
            <w:r>
              <w:t>301</w:t>
            </w:r>
          </w:p>
        </w:tc>
        <w:tc>
          <w:tcPr>
            <w:tcW w:w="4535" w:type="dxa"/>
            <w:vAlign w:val="center"/>
          </w:tcPr>
          <w:p w14:paraId="29C57244">
            <w:pPr>
              <w:pStyle w:val="12"/>
            </w:pPr>
            <w:r>
              <w:t>工资福利支出</w:t>
            </w:r>
          </w:p>
        </w:tc>
        <w:tc>
          <w:tcPr>
            <w:tcW w:w="2551" w:type="dxa"/>
            <w:vAlign w:val="center"/>
          </w:tcPr>
          <w:p w14:paraId="763EB2FB">
            <w:pPr>
              <w:pStyle w:val="11"/>
            </w:pPr>
            <w:r>
              <w:t>1466.52</w:t>
            </w:r>
          </w:p>
        </w:tc>
        <w:tc>
          <w:tcPr>
            <w:tcW w:w="2551" w:type="dxa"/>
            <w:vAlign w:val="center"/>
          </w:tcPr>
          <w:p w14:paraId="76725BF5">
            <w:pPr>
              <w:pStyle w:val="11"/>
            </w:pPr>
            <w:r>
              <w:t>1466.52</w:t>
            </w:r>
          </w:p>
        </w:tc>
        <w:tc>
          <w:tcPr>
            <w:tcW w:w="2551" w:type="dxa"/>
            <w:vAlign w:val="center"/>
          </w:tcPr>
          <w:p w14:paraId="7CB4A78D">
            <w:pPr>
              <w:pStyle w:val="11"/>
            </w:pPr>
          </w:p>
        </w:tc>
      </w:tr>
      <w:tr w14:paraId="61B8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ABBD">
            <w:pPr>
              <w:pStyle w:val="13"/>
            </w:pPr>
            <w:r>
              <w:t>3</w:t>
            </w:r>
          </w:p>
        </w:tc>
        <w:tc>
          <w:tcPr>
            <w:tcW w:w="1191" w:type="dxa"/>
            <w:vAlign w:val="center"/>
          </w:tcPr>
          <w:p w14:paraId="6AA0E942">
            <w:pPr>
              <w:pStyle w:val="12"/>
            </w:pPr>
            <w:r>
              <w:t>30101</w:t>
            </w:r>
          </w:p>
        </w:tc>
        <w:tc>
          <w:tcPr>
            <w:tcW w:w="4535" w:type="dxa"/>
            <w:vAlign w:val="center"/>
          </w:tcPr>
          <w:p w14:paraId="330583E3">
            <w:pPr>
              <w:pStyle w:val="12"/>
            </w:pPr>
            <w:r>
              <w:t>基本工资</w:t>
            </w:r>
          </w:p>
        </w:tc>
        <w:tc>
          <w:tcPr>
            <w:tcW w:w="2551" w:type="dxa"/>
            <w:vAlign w:val="center"/>
          </w:tcPr>
          <w:p w14:paraId="47D1CDD0">
            <w:pPr>
              <w:pStyle w:val="11"/>
            </w:pPr>
            <w:r>
              <w:t>688.84</w:t>
            </w:r>
          </w:p>
        </w:tc>
        <w:tc>
          <w:tcPr>
            <w:tcW w:w="2551" w:type="dxa"/>
            <w:vAlign w:val="center"/>
          </w:tcPr>
          <w:p w14:paraId="3BBCEB11">
            <w:pPr>
              <w:pStyle w:val="11"/>
            </w:pPr>
            <w:r>
              <w:t>688.84</w:t>
            </w:r>
          </w:p>
        </w:tc>
        <w:tc>
          <w:tcPr>
            <w:tcW w:w="2551" w:type="dxa"/>
            <w:vAlign w:val="center"/>
          </w:tcPr>
          <w:p w14:paraId="28E22D6E">
            <w:pPr>
              <w:pStyle w:val="11"/>
            </w:pPr>
          </w:p>
        </w:tc>
      </w:tr>
      <w:tr w14:paraId="49A2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E09FD">
            <w:pPr>
              <w:pStyle w:val="13"/>
            </w:pPr>
            <w:r>
              <w:t>4</w:t>
            </w:r>
          </w:p>
        </w:tc>
        <w:tc>
          <w:tcPr>
            <w:tcW w:w="1191" w:type="dxa"/>
            <w:vAlign w:val="center"/>
          </w:tcPr>
          <w:p w14:paraId="346932A0">
            <w:pPr>
              <w:pStyle w:val="12"/>
            </w:pPr>
            <w:r>
              <w:t>30102</w:t>
            </w:r>
          </w:p>
        </w:tc>
        <w:tc>
          <w:tcPr>
            <w:tcW w:w="4535" w:type="dxa"/>
            <w:vAlign w:val="center"/>
          </w:tcPr>
          <w:p w14:paraId="0DDDA6CD">
            <w:pPr>
              <w:pStyle w:val="12"/>
            </w:pPr>
            <w:r>
              <w:t>津贴补贴</w:t>
            </w:r>
          </w:p>
        </w:tc>
        <w:tc>
          <w:tcPr>
            <w:tcW w:w="2551" w:type="dxa"/>
            <w:vAlign w:val="center"/>
          </w:tcPr>
          <w:p w14:paraId="74F0F7CA">
            <w:pPr>
              <w:pStyle w:val="11"/>
            </w:pPr>
            <w:r>
              <w:t>22.31</w:t>
            </w:r>
          </w:p>
        </w:tc>
        <w:tc>
          <w:tcPr>
            <w:tcW w:w="2551" w:type="dxa"/>
            <w:vAlign w:val="center"/>
          </w:tcPr>
          <w:p w14:paraId="5AD206A0">
            <w:pPr>
              <w:pStyle w:val="11"/>
            </w:pPr>
            <w:r>
              <w:t>22.31</w:t>
            </w:r>
          </w:p>
        </w:tc>
        <w:tc>
          <w:tcPr>
            <w:tcW w:w="2551" w:type="dxa"/>
            <w:vAlign w:val="center"/>
          </w:tcPr>
          <w:p w14:paraId="0F6974AA">
            <w:pPr>
              <w:pStyle w:val="11"/>
            </w:pPr>
          </w:p>
        </w:tc>
      </w:tr>
      <w:tr w14:paraId="159A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CFA5">
            <w:pPr>
              <w:pStyle w:val="13"/>
            </w:pPr>
            <w:r>
              <w:t>5</w:t>
            </w:r>
          </w:p>
        </w:tc>
        <w:tc>
          <w:tcPr>
            <w:tcW w:w="1191" w:type="dxa"/>
            <w:vAlign w:val="center"/>
          </w:tcPr>
          <w:p w14:paraId="6F2D66E2">
            <w:pPr>
              <w:pStyle w:val="12"/>
            </w:pPr>
            <w:r>
              <w:t>30107</w:t>
            </w:r>
          </w:p>
        </w:tc>
        <w:tc>
          <w:tcPr>
            <w:tcW w:w="4535" w:type="dxa"/>
            <w:vAlign w:val="center"/>
          </w:tcPr>
          <w:p w14:paraId="1109175F">
            <w:pPr>
              <w:pStyle w:val="12"/>
            </w:pPr>
            <w:r>
              <w:t>绩效工资</w:t>
            </w:r>
          </w:p>
        </w:tc>
        <w:tc>
          <w:tcPr>
            <w:tcW w:w="2551" w:type="dxa"/>
            <w:vAlign w:val="center"/>
          </w:tcPr>
          <w:p w14:paraId="12A40A34">
            <w:pPr>
              <w:pStyle w:val="11"/>
            </w:pPr>
            <w:r>
              <w:t>408.52</w:t>
            </w:r>
          </w:p>
        </w:tc>
        <w:tc>
          <w:tcPr>
            <w:tcW w:w="2551" w:type="dxa"/>
            <w:vAlign w:val="center"/>
          </w:tcPr>
          <w:p w14:paraId="26727EA7">
            <w:pPr>
              <w:pStyle w:val="11"/>
            </w:pPr>
            <w:r>
              <w:t>408.52</w:t>
            </w:r>
          </w:p>
        </w:tc>
        <w:tc>
          <w:tcPr>
            <w:tcW w:w="2551" w:type="dxa"/>
            <w:vAlign w:val="center"/>
          </w:tcPr>
          <w:p w14:paraId="59B20E6F">
            <w:pPr>
              <w:pStyle w:val="11"/>
            </w:pPr>
          </w:p>
        </w:tc>
      </w:tr>
      <w:tr w14:paraId="5E6B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C651B">
            <w:pPr>
              <w:pStyle w:val="13"/>
            </w:pPr>
            <w:r>
              <w:t>6</w:t>
            </w:r>
          </w:p>
        </w:tc>
        <w:tc>
          <w:tcPr>
            <w:tcW w:w="1191" w:type="dxa"/>
            <w:vAlign w:val="center"/>
          </w:tcPr>
          <w:p w14:paraId="701B229B">
            <w:pPr>
              <w:pStyle w:val="12"/>
            </w:pPr>
            <w:r>
              <w:t>30108</w:t>
            </w:r>
          </w:p>
        </w:tc>
        <w:tc>
          <w:tcPr>
            <w:tcW w:w="4535" w:type="dxa"/>
            <w:vAlign w:val="center"/>
          </w:tcPr>
          <w:p w14:paraId="32E9A452">
            <w:pPr>
              <w:pStyle w:val="12"/>
            </w:pPr>
            <w:r>
              <w:t>机关事业单位基本养老保险缴费</w:t>
            </w:r>
          </w:p>
        </w:tc>
        <w:tc>
          <w:tcPr>
            <w:tcW w:w="2551" w:type="dxa"/>
            <w:vAlign w:val="center"/>
          </w:tcPr>
          <w:p w14:paraId="5297CDB9">
            <w:pPr>
              <w:pStyle w:val="11"/>
            </w:pPr>
            <w:r>
              <w:t>153.28</w:t>
            </w:r>
          </w:p>
        </w:tc>
        <w:tc>
          <w:tcPr>
            <w:tcW w:w="2551" w:type="dxa"/>
            <w:vAlign w:val="center"/>
          </w:tcPr>
          <w:p w14:paraId="4A7CC943">
            <w:pPr>
              <w:pStyle w:val="11"/>
            </w:pPr>
            <w:r>
              <w:t>153.28</w:t>
            </w:r>
          </w:p>
        </w:tc>
        <w:tc>
          <w:tcPr>
            <w:tcW w:w="2551" w:type="dxa"/>
            <w:vAlign w:val="center"/>
          </w:tcPr>
          <w:p w14:paraId="1E5D4DF1">
            <w:pPr>
              <w:pStyle w:val="11"/>
            </w:pPr>
          </w:p>
        </w:tc>
      </w:tr>
      <w:tr w14:paraId="490E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52FEF">
            <w:pPr>
              <w:pStyle w:val="13"/>
            </w:pPr>
            <w:r>
              <w:t>7</w:t>
            </w:r>
          </w:p>
        </w:tc>
        <w:tc>
          <w:tcPr>
            <w:tcW w:w="1191" w:type="dxa"/>
            <w:vAlign w:val="center"/>
          </w:tcPr>
          <w:p w14:paraId="37A30A92">
            <w:pPr>
              <w:pStyle w:val="12"/>
            </w:pPr>
            <w:r>
              <w:t>30110</w:t>
            </w:r>
          </w:p>
        </w:tc>
        <w:tc>
          <w:tcPr>
            <w:tcW w:w="4535" w:type="dxa"/>
            <w:vAlign w:val="center"/>
          </w:tcPr>
          <w:p w14:paraId="6F4E4655">
            <w:pPr>
              <w:pStyle w:val="12"/>
            </w:pPr>
            <w:r>
              <w:t>职工基本医疗保险缴费</w:t>
            </w:r>
          </w:p>
        </w:tc>
        <w:tc>
          <w:tcPr>
            <w:tcW w:w="2551" w:type="dxa"/>
            <w:vAlign w:val="center"/>
          </w:tcPr>
          <w:p w14:paraId="040D30E2">
            <w:pPr>
              <w:pStyle w:val="11"/>
            </w:pPr>
            <w:r>
              <w:t>72.97</w:t>
            </w:r>
          </w:p>
        </w:tc>
        <w:tc>
          <w:tcPr>
            <w:tcW w:w="2551" w:type="dxa"/>
            <w:vAlign w:val="center"/>
          </w:tcPr>
          <w:p w14:paraId="2E701207">
            <w:pPr>
              <w:pStyle w:val="11"/>
            </w:pPr>
            <w:r>
              <w:t>72.97</w:t>
            </w:r>
          </w:p>
        </w:tc>
        <w:tc>
          <w:tcPr>
            <w:tcW w:w="2551" w:type="dxa"/>
            <w:vAlign w:val="center"/>
          </w:tcPr>
          <w:p w14:paraId="38943C91">
            <w:pPr>
              <w:pStyle w:val="11"/>
            </w:pPr>
          </w:p>
        </w:tc>
      </w:tr>
      <w:tr w14:paraId="0681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D2514">
            <w:pPr>
              <w:pStyle w:val="13"/>
            </w:pPr>
            <w:r>
              <w:t>8</w:t>
            </w:r>
          </w:p>
        </w:tc>
        <w:tc>
          <w:tcPr>
            <w:tcW w:w="1191" w:type="dxa"/>
            <w:vAlign w:val="center"/>
          </w:tcPr>
          <w:p w14:paraId="23258DD2">
            <w:pPr>
              <w:pStyle w:val="12"/>
            </w:pPr>
            <w:r>
              <w:t>30112</w:t>
            </w:r>
          </w:p>
        </w:tc>
        <w:tc>
          <w:tcPr>
            <w:tcW w:w="4535" w:type="dxa"/>
            <w:vAlign w:val="center"/>
          </w:tcPr>
          <w:p w14:paraId="51AEB307">
            <w:pPr>
              <w:pStyle w:val="12"/>
            </w:pPr>
            <w:r>
              <w:t>其他社会保障缴费</w:t>
            </w:r>
          </w:p>
        </w:tc>
        <w:tc>
          <w:tcPr>
            <w:tcW w:w="2551" w:type="dxa"/>
            <w:vAlign w:val="center"/>
          </w:tcPr>
          <w:p w14:paraId="0C3B0B84">
            <w:pPr>
              <w:pStyle w:val="11"/>
            </w:pPr>
            <w:r>
              <w:t>5.59</w:t>
            </w:r>
          </w:p>
        </w:tc>
        <w:tc>
          <w:tcPr>
            <w:tcW w:w="2551" w:type="dxa"/>
            <w:vAlign w:val="center"/>
          </w:tcPr>
          <w:p w14:paraId="2B674346">
            <w:pPr>
              <w:pStyle w:val="11"/>
            </w:pPr>
            <w:r>
              <w:t>5.59</w:t>
            </w:r>
          </w:p>
        </w:tc>
        <w:tc>
          <w:tcPr>
            <w:tcW w:w="2551" w:type="dxa"/>
            <w:vAlign w:val="center"/>
          </w:tcPr>
          <w:p w14:paraId="1927EC8B">
            <w:pPr>
              <w:pStyle w:val="11"/>
            </w:pPr>
          </w:p>
        </w:tc>
      </w:tr>
      <w:tr w14:paraId="21A0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ADD06">
            <w:pPr>
              <w:pStyle w:val="13"/>
            </w:pPr>
            <w:r>
              <w:t>9</w:t>
            </w:r>
          </w:p>
        </w:tc>
        <w:tc>
          <w:tcPr>
            <w:tcW w:w="1191" w:type="dxa"/>
            <w:vAlign w:val="center"/>
          </w:tcPr>
          <w:p w14:paraId="4370F0AF">
            <w:pPr>
              <w:pStyle w:val="12"/>
            </w:pPr>
            <w:r>
              <w:t>30113</w:t>
            </w:r>
          </w:p>
        </w:tc>
        <w:tc>
          <w:tcPr>
            <w:tcW w:w="4535" w:type="dxa"/>
            <w:vAlign w:val="center"/>
          </w:tcPr>
          <w:p w14:paraId="25136B9D">
            <w:pPr>
              <w:pStyle w:val="12"/>
            </w:pPr>
            <w:r>
              <w:t>住房公积金</w:t>
            </w:r>
          </w:p>
        </w:tc>
        <w:tc>
          <w:tcPr>
            <w:tcW w:w="2551" w:type="dxa"/>
            <w:vAlign w:val="center"/>
          </w:tcPr>
          <w:p w14:paraId="203243CE">
            <w:pPr>
              <w:pStyle w:val="11"/>
            </w:pPr>
            <w:r>
              <w:t>115.00</w:t>
            </w:r>
          </w:p>
        </w:tc>
        <w:tc>
          <w:tcPr>
            <w:tcW w:w="2551" w:type="dxa"/>
            <w:vAlign w:val="center"/>
          </w:tcPr>
          <w:p w14:paraId="57A40198">
            <w:pPr>
              <w:pStyle w:val="11"/>
            </w:pPr>
            <w:r>
              <w:t>115.00</w:t>
            </w:r>
          </w:p>
        </w:tc>
        <w:tc>
          <w:tcPr>
            <w:tcW w:w="2551" w:type="dxa"/>
            <w:vAlign w:val="center"/>
          </w:tcPr>
          <w:p w14:paraId="1643D0B9">
            <w:pPr>
              <w:pStyle w:val="11"/>
            </w:pPr>
          </w:p>
        </w:tc>
      </w:tr>
      <w:tr w14:paraId="6368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52C09">
            <w:pPr>
              <w:pStyle w:val="13"/>
            </w:pPr>
            <w:r>
              <w:t>10</w:t>
            </w:r>
          </w:p>
        </w:tc>
        <w:tc>
          <w:tcPr>
            <w:tcW w:w="1191" w:type="dxa"/>
            <w:vAlign w:val="center"/>
          </w:tcPr>
          <w:p w14:paraId="6CB8DAE7">
            <w:pPr>
              <w:pStyle w:val="12"/>
            </w:pPr>
            <w:r>
              <w:t>303</w:t>
            </w:r>
          </w:p>
        </w:tc>
        <w:tc>
          <w:tcPr>
            <w:tcW w:w="4535" w:type="dxa"/>
            <w:vAlign w:val="center"/>
          </w:tcPr>
          <w:p w14:paraId="08CC40F8">
            <w:pPr>
              <w:pStyle w:val="12"/>
            </w:pPr>
            <w:r>
              <w:t>对个人和家庭的补助</w:t>
            </w:r>
          </w:p>
        </w:tc>
        <w:tc>
          <w:tcPr>
            <w:tcW w:w="2551" w:type="dxa"/>
            <w:vAlign w:val="center"/>
          </w:tcPr>
          <w:p w14:paraId="28E380B1">
            <w:pPr>
              <w:pStyle w:val="11"/>
            </w:pPr>
            <w:r>
              <w:t>5.52</w:t>
            </w:r>
          </w:p>
        </w:tc>
        <w:tc>
          <w:tcPr>
            <w:tcW w:w="2551" w:type="dxa"/>
            <w:vAlign w:val="center"/>
          </w:tcPr>
          <w:p w14:paraId="216A1A76">
            <w:pPr>
              <w:pStyle w:val="11"/>
            </w:pPr>
            <w:r>
              <w:t>5.52</w:t>
            </w:r>
          </w:p>
        </w:tc>
        <w:tc>
          <w:tcPr>
            <w:tcW w:w="2551" w:type="dxa"/>
            <w:vAlign w:val="center"/>
          </w:tcPr>
          <w:p w14:paraId="7762CF39">
            <w:pPr>
              <w:pStyle w:val="11"/>
            </w:pPr>
          </w:p>
        </w:tc>
      </w:tr>
      <w:tr w14:paraId="7A6C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FFFC">
            <w:pPr>
              <w:pStyle w:val="13"/>
            </w:pPr>
            <w:r>
              <w:t>11</w:t>
            </w:r>
          </w:p>
        </w:tc>
        <w:tc>
          <w:tcPr>
            <w:tcW w:w="1191" w:type="dxa"/>
            <w:vAlign w:val="center"/>
          </w:tcPr>
          <w:p w14:paraId="0DDBE19C">
            <w:pPr>
              <w:pStyle w:val="12"/>
            </w:pPr>
            <w:r>
              <w:t>30302</w:t>
            </w:r>
          </w:p>
        </w:tc>
        <w:tc>
          <w:tcPr>
            <w:tcW w:w="4535" w:type="dxa"/>
            <w:vAlign w:val="center"/>
          </w:tcPr>
          <w:p w14:paraId="4E9AD9E7">
            <w:pPr>
              <w:pStyle w:val="12"/>
            </w:pPr>
            <w:r>
              <w:t>退休费</w:t>
            </w:r>
          </w:p>
        </w:tc>
        <w:tc>
          <w:tcPr>
            <w:tcW w:w="2551" w:type="dxa"/>
            <w:vAlign w:val="center"/>
          </w:tcPr>
          <w:p w14:paraId="3B1178C6">
            <w:pPr>
              <w:pStyle w:val="11"/>
            </w:pPr>
            <w:r>
              <w:t>5.52</w:t>
            </w:r>
          </w:p>
        </w:tc>
        <w:tc>
          <w:tcPr>
            <w:tcW w:w="2551" w:type="dxa"/>
            <w:vAlign w:val="center"/>
          </w:tcPr>
          <w:p w14:paraId="121FD00F">
            <w:pPr>
              <w:pStyle w:val="11"/>
            </w:pPr>
            <w:r>
              <w:t>5.52</w:t>
            </w:r>
          </w:p>
        </w:tc>
        <w:tc>
          <w:tcPr>
            <w:tcW w:w="2551" w:type="dxa"/>
            <w:vAlign w:val="center"/>
          </w:tcPr>
          <w:p w14:paraId="55CDE10E">
            <w:pPr>
              <w:pStyle w:val="11"/>
            </w:pPr>
          </w:p>
        </w:tc>
      </w:tr>
    </w:tbl>
    <w:p w14:paraId="4FDB1C79">
      <w:pPr>
        <w:sectPr>
          <w:pgSz w:w="16840" w:h="11900" w:orient="landscape"/>
          <w:pgMar w:top="1361" w:right="1020" w:bottom="1134" w:left="1020" w:header="720" w:footer="720" w:gutter="0"/>
          <w:cols w:space="720" w:num="1"/>
        </w:sectPr>
      </w:pPr>
    </w:p>
    <w:p w14:paraId="795582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3C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65DA8C">
            <w:pPr>
              <w:pStyle w:val="9"/>
            </w:pPr>
            <w:r>
              <w:t>360030隆尧县第二实验小学</w:t>
            </w:r>
          </w:p>
        </w:tc>
        <w:tc>
          <w:tcPr>
            <w:tcW w:w="2551" w:type="dxa"/>
            <w:tcBorders>
              <w:top w:val="single" w:color="FFFFFF" w:sz="6" w:space="0"/>
              <w:left w:val="single" w:color="FFFFFF" w:sz="6" w:space="0"/>
              <w:right w:val="single" w:color="FFFFFF" w:sz="6" w:space="0"/>
            </w:tcBorders>
            <w:vAlign w:val="center"/>
          </w:tcPr>
          <w:p w14:paraId="7A5E0B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26BEAB">
            <w:pPr>
              <w:pStyle w:val="7"/>
            </w:pPr>
            <w:r>
              <w:t>单位：万元</w:t>
            </w:r>
          </w:p>
        </w:tc>
      </w:tr>
      <w:tr w14:paraId="2AC6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B07A7">
            <w:pPr>
              <w:pStyle w:val="10"/>
            </w:pPr>
            <w:r>
              <w:t>序号</w:t>
            </w:r>
          </w:p>
        </w:tc>
        <w:tc>
          <w:tcPr>
            <w:tcW w:w="5726" w:type="dxa"/>
            <w:gridSpan w:val="2"/>
            <w:vAlign w:val="center"/>
          </w:tcPr>
          <w:p w14:paraId="204ACBF7">
            <w:pPr>
              <w:pStyle w:val="10"/>
            </w:pPr>
            <w:r>
              <w:t>功能分类科目</w:t>
            </w:r>
          </w:p>
        </w:tc>
        <w:tc>
          <w:tcPr>
            <w:tcW w:w="2551" w:type="dxa"/>
            <w:vMerge w:val="restart"/>
            <w:vAlign w:val="center"/>
          </w:tcPr>
          <w:p w14:paraId="1C363025">
            <w:pPr>
              <w:pStyle w:val="10"/>
            </w:pPr>
            <w:r>
              <w:t>合计</w:t>
            </w:r>
          </w:p>
        </w:tc>
        <w:tc>
          <w:tcPr>
            <w:tcW w:w="2551" w:type="dxa"/>
            <w:vMerge w:val="restart"/>
            <w:vAlign w:val="center"/>
          </w:tcPr>
          <w:p w14:paraId="410EECEA">
            <w:pPr>
              <w:pStyle w:val="10"/>
            </w:pPr>
            <w:r>
              <w:t>基本支出</w:t>
            </w:r>
          </w:p>
        </w:tc>
        <w:tc>
          <w:tcPr>
            <w:tcW w:w="2551" w:type="dxa"/>
            <w:vMerge w:val="restart"/>
            <w:vAlign w:val="center"/>
          </w:tcPr>
          <w:p w14:paraId="48007D4B">
            <w:pPr>
              <w:pStyle w:val="10"/>
            </w:pPr>
            <w:r>
              <w:t>项目支出</w:t>
            </w:r>
          </w:p>
        </w:tc>
      </w:tr>
      <w:tr w14:paraId="56BE7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FDF85"/>
        </w:tc>
        <w:tc>
          <w:tcPr>
            <w:tcW w:w="1191" w:type="dxa"/>
            <w:vAlign w:val="center"/>
          </w:tcPr>
          <w:p w14:paraId="0B9E54AF">
            <w:pPr>
              <w:pStyle w:val="10"/>
            </w:pPr>
            <w:r>
              <w:t>科目编码</w:t>
            </w:r>
          </w:p>
        </w:tc>
        <w:tc>
          <w:tcPr>
            <w:tcW w:w="4535" w:type="dxa"/>
            <w:vAlign w:val="center"/>
          </w:tcPr>
          <w:p w14:paraId="703A28D5">
            <w:pPr>
              <w:pStyle w:val="10"/>
            </w:pPr>
            <w:r>
              <w:t>科目名称</w:t>
            </w:r>
          </w:p>
        </w:tc>
        <w:tc>
          <w:tcPr>
            <w:tcW w:w="2551" w:type="dxa"/>
            <w:vMerge w:val="continue"/>
          </w:tcPr>
          <w:p w14:paraId="0499A6A7"/>
        </w:tc>
        <w:tc>
          <w:tcPr>
            <w:tcW w:w="2551" w:type="dxa"/>
            <w:vMerge w:val="continue"/>
          </w:tcPr>
          <w:p w14:paraId="68B33717"/>
        </w:tc>
        <w:tc>
          <w:tcPr>
            <w:tcW w:w="2551" w:type="dxa"/>
            <w:vMerge w:val="continue"/>
          </w:tcPr>
          <w:p w14:paraId="0A3C9DEF"/>
        </w:tc>
      </w:tr>
      <w:tr w14:paraId="67A2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BA56E">
            <w:pPr>
              <w:pStyle w:val="10"/>
            </w:pPr>
            <w:r>
              <w:t>栏次</w:t>
            </w:r>
          </w:p>
        </w:tc>
        <w:tc>
          <w:tcPr>
            <w:tcW w:w="1191" w:type="dxa"/>
            <w:vAlign w:val="center"/>
          </w:tcPr>
          <w:p w14:paraId="6C16E974">
            <w:pPr>
              <w:pStyle w:val="10"/>
            </w:pPr>
            <w:r>
              <w:t>1</w:t>
            </w:r>
          </w:p>
        </w:tc>
        <w:tc>
          <w:tcPr>
            <w:tcW w:w="4535" w:type="dxa"/>
            <w:vAlign w:val="center"/>
          </w:tcPr>
          <w:p w14:paraId="06C4869D">
            <w:pPr>
              <w:pStyle w:val="10"/>
            </w:pPr>
            <w:r>
              <w:t>2</w:t>
            </w:r>
          </w:p>
        </w:tc>
        <w:tc>
          <w:tcPr>
            <w:tcW w:w="2551" w:type="dxa"/>
            <w:vAlign w:val="center"/>
          </w:tcPr>
          <w:p w14:paraId="6168D3EB">
            <w:pPr>
              <w:pStyle w:val="10"/>
            </w:pPr>
            <w:r>
              <w:t>3</w:t>
            </w:r>
          </w:p>
        </w:tc>
        <w:tc>
          <w:tcPr>
            <w:tcW w:w="2551" w:type="dxa"/>
            <w:vAlign w:val="center"/>
          </w:tcPr>
          <w:p w14:paraId="4F6A1295">
            <w:pPr>
              <w:pStyle w:val="10"/>
            </w:pPr>
            <w:r>
              <w:t>4</w:t>
            </w:r>
          </w:p>
        </w:tc>
        <w:tc>
          <w:tcPr>
            <w:tcW w:w="2551" w:type="dxa"/>
            <w:vAlign w:val="center"/>
          </w:tcPr>
          <w:p w14:paraId="5D7AA5D0">
            <w:pPr>
              <w:pStyle w:val="10"/>
            </w:pPr>
            <w:r>
              <w:t>5</w:t>
            </w:r>
          </w:p>
        </w:tc>
      </w:tr>
      <w:tr w14:paraId="65C6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8E601">
            <w:pPr>
              <w:pStyle w:val="13"/>
            </w:pPr>
          </w:p>
        </w:tc>
        <w:tc>
          <w:tcPr>
            <w:tcW w:w="1191" w:type="dxa"/>
            <w:vAlign w:val="center"/>
          </w:tcPr>
          <w:p w14:paraId="708598EE">
            <w:pPr>
              <w:pStyle w:val="12"/>
            </w:pPr>
          </w:p>
        </w:tc>
        <w:tc>
          <w:tcPr>
            <w:tcW w:w="4535" w:type="dxa"/>
            <w:vAlign w:val="center"/>
          </w:tcPr>
          <w:p w14:paraId="057DD565">
            <w:pPr>
              <w:pStyle w:val="12"/>
            </w:pPr>
          </w:p>
        </w:tc>
        <w:tc>
          <w:tcPr>
            <w:tcW w:w="2551" w:type="dxa"/>
            <w:vAlign w:val="center"/>
          </w:tcPr>
          <w:p w14:paraId="5E2CAE21">
            <w:pPr>
              <w:pStyle w:val="11"/>
            </w:pPr>
          </w:p>
        </w:tc>
        <w:tc>
          <w:tcPr>
            <w:tcW w:w="2551" w:type="dxa"/>
            <w:vAlign w:val="center"/>
          </w:tcPr>
          <w:p w14:paraId="58E905ED">
            <w:pPr>
              <w:pStyle w:val="11"/>
            </w:pPr>
          </w:p>
        </w:tc>
        <w:tc>
          <w:tcPr>
            <w:tcW w:w="2551" w:type="dxa"/>
            <w:vAlign w:val="center"/>
          </w:tcPr>
          <w:p w14:paraId="46985B39">
            <w:pPr>
              <w:pStyle w:val="11"/>
            </w:pPr>
          </w:p>
        </w:tc>
      </w:tr>
    </w:tbl>
    <w:p w14:paraId="786925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8012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F4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86D862">
            <w:pPr>
              <w:pStyle w:val="9"/>
            </w:pPr>
            <w:r>
              <w:t>360030隆尧县第二实验小学</w:t>
            </w:r>
          </w:p>
        </w:tc>
        <w:tc>
          <w:tcPr>
            <w:tcW w:w="2551" w:type="dxa"/>
            <w:tcBorders>
              <w:top w:val="single" w:color="FFFFFF" w:sz="6" w:space="0"/>
              <w:left w:val="single" w:color="FFFFFF" w:sz="6" w:space="0"/>
              <w:right w:val="single" w:color="FFFFFF" w:sz="6" w:space="0"/>
            </w:tcBorders>
            <w:vAlign w:val="center"/>
          </w:tcPr>
          <w:p w14:paraId="6EC419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39964A">
            <w:pPr>
              <w:pStyle w:val="7"/>
            </w:pPr>
            <w:r>
              <w:t>单位：万元</w:t>
            </w:r>
          </w:p>
        </w:tc>
      </w:tr>
      <w:tr w14:paraId="573B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EF9891">
            <w:pPr>
              <w:pStyle w:val="10"/>
            </w:pPr>
            <w:r>
              <w:t>序号</w:t>
            </w:r>
          </w:p>
        </w:tc>
        <w:tc>
          <w:tcPr>
            <w:tcW w:w="5726" w:type="dxa"/>
            <w:gridSpan w:val="2"/>
            <w:vAlign w:val="center"/>
          </w:tcPr>
          <w:p w14:paraId="2495B6E8">
            <w:pPr>
              <w:pStyle w:val="10"/>
            </w:pPr>
            <w:r>
              <w:t>功能分类科目</w:t>
            </w:r>
          </w:p>
        </w:tc>
        <w:tc>
          <w:tcPr>
            <w:tcW w:w="2551" w:type="dxa"/>
            <w:vMerge w:val="restart"/>
            <w:vAlign w:val="center"/>
          </w:tcPr>
          <w:p w14:paraId="372D9039">
            <w:pPr>
              <w:pStyle w:val="10"/>
            </w:pPr>
            <w:r>
              <w:t>合计</w:t>
            </w:r>
          </w:p>
        </w:tc>
        <w:tc>
          <w:tcPr>
            <w:tcW w:w="2551" w:type="dxa"/>
            <w:vMerge w:val="restart"/>
            <w:vAlign w:val="center"/>
          </w:tcPr>
          <w:p w14:paraId="1E781E84">
            <w:pPr>
              <w:pStyle w:val="10"/>
            </w:pPr>
            <w:r>
              <w:t>基本支出</w:t>
            </w:r>
          </w:p>
        </w:tc>
        <w:tc>
          <w:tcPr>
            <w:tcW w:w="2551" w:type="dxa"/>
            <w:vMerge w:val="restart"/>
            <w:vAlign w:val="center"/>
          </w:tcPr>
          <w:p w14:paraId="0D0D47D7">
            <w:pPr>
              <w:pStyle w:val="10"/>
            </w:pPr>
            <w:r>
              <w:t>项目支出</w:t>
            </w:r>
          </w:p>
        </w:tc>
      </w:tr>
      <w:tr w14:paraId="4BAD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24050"/>
        </w:tc>
        <w:tc>
          <w:tcPr>
            <w:tcW w:w="1191" w:type="dxa"/>
            <w:vAlign w:val="center"/>
          </w:tcPr>
          <w:p w14:paraId="78DC178E">
            <w:pPr>
              <w:pStyle w:val="10"/>
            </w:pPr>
            <w:r>
              <w:t>科目编码</w:t>
            </w:r>
          </w:p>
        </w:tc>
        <w:tc>
          <w:tcPr>
            <w:tcW w:w="4535" w:type="dxa"/>
            <w:vAlign w:val="center"/>
          </w:tcPr>
          <w:p w14:paraId="68111E2C">
            <w:pPr>
              <w:pStyle w:val="10"/>
            </w:pPr>
            <w:r>
              <w:t>科目名称</w:t>
            </w:r>
          </w:p>
        </w:tc>
        <w:tc>
          <w:tcPr>
            <w:tcW w:w="2551" w:type="dxa"/>
            <w:vMerge w:val="continue"/>
          </w:tcPr>
          <w:p w14:paraId="099B288D"/>
        </w:tc>
        <w:tc>
          <w:tcPr>
            <w:tcW w:w="2551" w:type="dxa"/>
            <w:vMerge w:val="continue"/>
          </w:tcPr>
          <w:p w14:paraId="35106F21"/>
        </w:tc>
        <w:tc>
          <w:tcPr>
            <w:tcW w:w="2551" w:type="dxa"/>
            <w:vMerge w:val="continue"/>
          </w:tcPr>
          <w:p w14:paraId="098410D7"/>
        </w:tc>
      </w:tr>
      <w:tr w14:paraId="653D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16D895">
            <w:pPr>
              <w:pStyle w:val="10"/>
            </w:pPr>
            <w:r>
              <w:t>栏次</w:t>
            </w:r>
          </w:p>
        </w:tc>
        <w:tc>
          <w:tcPr>
            <w:tcW w:w="1191" w:type="dxa"/>
            <w:vAlign w:val="center"/>
          </w:tcPr>
          <w:p w14:paraId="5F831A82">
            <w:pPr>
              <w:pStyle w:val="10"/>
            </w:pPr>
            <w:r>
              <w:t>1</w:t>
            </w:r>
          </w:p>
        </w:tc>
        <w:tc>
          <w:tcPr>
            <w:tcW w:w="4535" w:type="dxa"/>
            <w:vAlign w:val="center"/>
          </w:tcPr>
          <w:p w14:paraId="3447F86E">
            <w:pPr>
              <w:pStyle w:val="10"/>
            </w:pPr>
            <w:r>
              <w:t>2</w:t>
            </w:r>
          </w:p>
        </w:tc>
        <w:tc>
          <w:tcPr>
            <w:tcW w:w="2551" w:type="dxa"/>
            <w:vAlign w:val="center"/>
          </w:tcPr>
          <w:p w14:paraId="52FC16C1">
            <w:pPr>
              <w:pStyle w:val="10"/>
            </w:pPr>
            <w:r>
              <w:t>3</w:t>
            </w:r>
          </w:p>
        </w:tc>
        <w:tc>
          <w:tcPr>
            <w:tcW w:w="2551" w:type="dxa"/>
            <w:vAlign w:val="center"/>
          </w:tcPr>
          <w:p w14:paraId="7D61BD7C">
            <w:pPr>
              <w:pStyle w:val="10"/>
            </w:pPr>
            <w:r>
              <w:t>4</w:t>
            </w:r>
          </w:p>
        </w:tc>
        <w:tc>
          <w:tcPr>
            <w:tcW w:w="2551" w:type="dxa"/>
            <w:vAlign w:val="center"/>
          </w:tcPr>
          <w:p w14:paraId="11C7FC54">
            <w:pPr>
              <w:pStyle w:val="10"/>
            </w:pPr>
            <w:r>
              <w:t>5</w:t>
            </w:r>
          </w:p>
        </w:tc>
      </w:tr>
      <w:tr w14:paraId="629B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DDC08">
            <w:pPr>
              <w:pStyle w:val="13"/>
            </w:pPr>
          </w:p>
        </w:tc>
        <w:tc>
          <w:tcPr>
            <w:tcW w:w="1191" w:type="dxa"/>
            <w:vAlign w:val="center"/>
          </w:tcPr>
          <w:p w14:paraId="3B3A2431">
            <w:pPr>
              <w:pStyle w:val="12"/>
            </w:pPr>
          </w:p>
        </w:tc>
        <w:tc>
          <w:tcPr>
            <w:tcW w:w="4535" w:type="dxa"/>
            <w:vAlign w:val="center"/>
          </w:tcPr>
          <w:p w14:paraId="5FFB3062">
            <w:pPr>
              <w:pStyle w:val="12"/>
            </w:pPr>
          </w:p>
        </w:tc>
        <w:tc>
          <w:tcPr>
            <w:tcW w:w="2551" w:type="dxa"/>
            <w:vAlign w:val="center"/>
          </w:tcPr>
          <w:p w14:paraId="6EE5248B">
            <w:pPr>
              <w:pStyle w:val="11"/>
            </w:pPr>
          </w:p>
        </w:tc>
        <w:tc>
          <w:tcPr>
            <w:tcW w:w="2551" w:type="dxa"/>
            <w:vAlign w:val="center"/>
          </w:tcPr>
          <w:p w14:paraId="4B1F07BF">
            <w:pPr>
              <w:pStyle w:val="11"/>
            </w:pPr>
          </w:p>
        </w:tc>
        <w:tc>
          <w:tcPr>
            <w:tcW w:w="2551" w:type="dxa"/>
            <w:vAlign w:val="center"/>
          </w:tcPr>
          <w:p w14:paraId="69C26049">
            <w:pPr>
              <w:pStyle w:val="11"/>
            </w:pPr>
          </w:p>
        </w:tc>
      </w:tr>
    </w:tbl>
    <w:p w14:paraId="367001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7792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F0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07599F">
            <w:pPr>
              <w:pStyle w:val="9"/>
            </w:pPr>
            <w:r>
              <w:t>360030隆尧县第二实验小学</w:t>
            </w:r>
          </w:p>
        </w:tc>
        <w:tc>
          <w:tcPr>
            <w:tcW w:w="2381" w:type="dxa"/>
            <w:tcBorders>
              <w:top w:val="single" w:color="FFFFFF" w:sz="6" w:space="0"/>
              <w:left w:val="single" w:color="FFFFFF" w:sz="6" w:space="0"/>
              <w:right w:val="single" w:color="FFFFFF" w:sz="6" w:space="0"/>
            </w:tcBorders>
            <w:vAlign w:val="center"/>
          </w:tcPr>
          <w:p w14:paraId="5BB022B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521D475">
            <w:pPr>
              <w:pStyle w:val="7"/>
            </w:pPr>
            <w:r>
              <w:t>单位：万元</w:t>
            </w:r>
          </w:p>
        </w:tc>
      </w:tr>
      <w:tr w14:paraId="4359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2B5D8">
            <w:pPr>
              <w:pStyle w:val="10"/>
            </w:pPr>
            <w:r>
              <w:t>序号</w:t>
            </w:r>
          </w:p>
        </w:tc>
        <w:tc>
          <w:tcPr>
            <w:tcW w:w="3798" w:type="dxa"/>
            <w:vMerge w:val="restart"/>
            <w:vAlign w:val="center"/>
          </w:tcPr>
          <w:p w14:paraId="2541D248">
            <w:pPr>
              <w:pStyle w:val="10"/>
            </w:pPr>
            <w:r>
              <w:t>项  目</w:t>
            </w:r>
          </w:p>
        </w:tc>
        <w:tc>
          <w:tcPr>
            <w:tcW w:w="9524" w:type="dxa"/>
            <w:gridSpan w:val="4"/>
            <w:vAlign w:val="center"/>
          </w:tcPr>
          <w:p w14:paraId="313EED20">
            <w:pPr>
              <w:pStyle w:val="10"/>
            </w:pPr>
            <w:r>
              <w:t>资 金 性 质</w:t>
            </w:r>
          </w:p>
        </w:tc>
      </w:tr>
      <w:tr w14:paraId="54E2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74B6FC"/>
        </w:tc>
        <w:tc>
          <w:tcPr>
            <w:tcW w:w="3798" w:type="dxa"/>
            <w:vMerge w:val="continue"/>
          </w:tcPr>
          <w:p w14:paraId="061D89A6"/>
        </w:tc>
        <w:tc>
          <w:tcPr>
            <w:tcW w:w="2381" w:type="dxa"/>
            <w:vAlign w:val="center"/>
          </w:tcPr>
          <w:p w14:paraId="59EAB526">
            <w:pPr>
              <w:pStyle w:val="10"/>
            </w:pPr>
            <w:r>
              <w:t>合计</w:t>
            </w:r>
          </w:p>
        </w:tc>
        <w:tc>
          <w:tcPr>
            <w:tcW w:w="2381" w:type="dxa"/>
            <w:vAlign w:val="center"/>
          </w:tcPr>
          <w:p w14:paraId="2B857328">
            <w:pPr>
              <w:pStyle w:val="10"/>
            </w:pPr>
            <w:r>
              <w:t>一般公共预算              财政拨款</w:t>
            </w:r>
          </w:p>
        </w:tc>
        <w:tc>
          <w:tcPr>
            <w:tcW w:w="2381" w:type="dxa"/>
            <w:vAlign w:val="center"/>
          </w:tcPr>
          <w:p w14:paraId="3BDE1372">
            <w:pPr>
              <w:pStyle w:val="10"/>
            </w:pPr>
            <w:r>
              <w:t>政府性基金                  预算拨款</w:t>
            </w:r>
          </w:p>
        </w:tc>
        <w:tc>
          <w:tcPr>
            <w:tcW w:w="2381" w:type="dxa"/>
            <w:vAlign w:val="center"/>
          </w:tcPr>
          <w:p w14:paraId="226D8A13">
            <w:pPr>
              <w:pStyle w:val="10"/>
            </w:pPr>
            <w:r>
              <w:t>国有资本经营              预算财政拨款</w:t>
            </w:r>
          </w:p>
        </w:tc>
      </w:tr>
      <w:tr w14:paraId="022E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EBB0F3">
            <w:pPr>
              <w:pStyle w:val="10"/>
            </w:pPr>
            <w:r>
              <w:t>栏次</w:t>
            </w:r>
          </w:p>
        </w:tc>
        <w:tc>
          <w:tcPr>
            <w:tcW w:w="3798" w:type="dxa"/>
            <w:vAlign w:val="center"/>
          </w:tcPr>
          <w:p w14:paraId="3E081767">
            <w:pPr>
              <w:pStyle w:val="10"/>
            </w:pPr>
            <w:r>
              <w:t>1</w:t>
            </w:r>
          </w:p>
        </w:tc>
        <w:tc>
          <w:tcPr>
            <w:tcW w:w="2381" w:type="dxa"/>
            <w:vAlign w:val="center"/>
          </w:tcPr>
          <w:p w14:paraId="6DCD636B">
            <w:pPr>
              <w:pStyle w:val="10"/>
            </w:pPr>
            <w:r>
              <w:t>2</w:t>
            </w:r>
          </w:p>
        </w:tc>
        <w:tc>
          <w:tcPr>
            <w:tcW w:w="2381" w:type="dxa"/>
            <w:vAlign w:val="center"/>
          </w:tcPr>
          <w:p w14:paraId="7E65724F">
            <w:pPr>
              <w:pStyle w:val="10"/>
            </w:pPr>
            <w:r>
              <w:t>3</w:t>
            </w:r>
          </w:p>
        </w:tc>
        <w:tc>
          <w:tcPr>
            <w:tcW w:w="2381" w:type="dxa"/>
            <w:vAlign w:val="center"/>
          </w:tcPr>
          <w:p w14:paraId="33D845EA">
            <w:pPr>
              <w:pStyle w:val="10"/>
            </w:pPr>
            <w:r>
              <w:t>4</w:t>
            </w:r>
          </w:p>
        </w:tc>
        <w:tc>
          <w:tcPr>
            <w:tcW w:w="2381" w:type="dxa"/>
            <w:vAlign w:val="center"/>
          </w:tcPr>
          <w:p w14:paraId="34E64F10">
            <w:pPr>
              <w:pStyle w:val="10"/>
            </w:pPr>
            <w:r>
              <w:t>5</w:t>
            </w:r>
          </w:p>
        </w:tc>
      </w:tr>
      <w:tr w14:paraId="3ACC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B57229">
            <w:pPr>
              <w:pStyle w:val="13"/>
            </w:pPr>
          </w:p>
        </w:tc>
        <w:tc>
          <w:tcPr>
            <w:tcW w:w="3798" w:type="dxa"/>
            <w:vAlign w:val="center"/>
          </w:tcPr>
          <w:p w14:paraId="6215FB4F">
            <w:pPr>
              <w:pStyle w:val="12"/>
            </w:pPr>
          </w:p>
        </w:tc>
        <w:tc>
          <w:tcPr>
            <w:tcW w:w="2381" w:type="dxa"/>
            <w:vAlign w:val="center"/>
          </w:tcPr>
          <w:p w14:paraId="6A715D0C">
            <w:pPr>
              <w:pStyle w:val="11"/>
            </w:pPr>
          </w:p>
        </w:tc>
        <w:tc>
          <w:tcPr>
            <w:tcW w:w="2381" w:type="dxa"/>
            <w:vAlign w:val="center"/>
          </w:tcPr>
          <w:p w14:paraId="3861D4C1">
            <w:pPr>
              <w:pStyle w:val="11"/>
            </w:pPr>
          </w:p>
        </w:tc>
        <w:tc>
          <w:tcPr>
            <w:tcW w:w="2381" w:type="dxa"/>
            <w:vAlign w:val="center"/>
          </w:tcPr>
          <w:p w14:paraId="60CBC6EE">
            <w:pPr>
              <w:pStyle w:val="11"/>
            </w:pPr>
          </w:p>
        </w:tc>
        <w:tc>
          <w:tcPr>
            <w:tcW w:w="2381" w:type="dxa"/>
            <w:vAlign w:val="center"/>
          </w:tcPr>
          <w:p w14:paraId="394B9AA0">
            <w:pPr>
              <w:pStyle w:val="11"/>
            </w:pPr>
          </w:p>
        </w:tc>
      </w:tr>
    </w:tbl>
    <w:p w14:paraId="72436A4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39A97E9">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隆尧县第二实验小学2026年单位预算信息公开情况说明</w:t>
      </w:r>
    </w:p>
    <w:p w14:paraId="02EBC34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地方预决算公开操作规程》和《关于进一步推进预算公开工作的实施意见》规定，现将隆尧县第二实验小学2026年单位预算公开如下：</w:t>
      </w:r>
    </w:p>
    <w:p w14:paraId="79EA3EC9">
      <w:pPr>
        <w:spacing w:before="10" w:after="10" w:line="240" w:lineRule="auto"/>
        <w:ind w:firstLine="640"/>
        <w:jc w:val="left"/>
        <w:outlineLvl w:val="5"/>
      </w:pPr>
      <w:r>
        <w:rPr>
          <w:rFonts w:ascii="黑体" w:hAnsi="黑体" w:eastAsia="黑体" w:cs="黑体"/>
          <w:color w:val="000000"/>
          <w:sz w:val="32"/>
        </w:rPr>
        <w:t>一、单位职责及机构设置情况</w:t>
      </w:r>
    </w:p>
    <w:p w14:paraId="31923C3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C7976D">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贯彻落实基础教育的方针、政策，开展小学阶段教育教学工作，促进学生德、智、体、美、劳全面发展；负责学生安全教育和管理，确保学生身心健康；加强教师队伍建设和管理，为教育教学工作提供保障。</w:t>
      </w:r>
    </w:p>
    <w:p w14:paraId="1CEC9646">
      <w:pPr>
        <w:spacing w:before="0" w:after="0" w:line="500" w:lineRule="exact"/>
        <w:ind w:firstLine="560"/>
        <w:jc w:val="left"/>
        <w:outlineLvl w:val="9"/>
      </w:pPr>
      <w:r>
        <w:rPr>
          <w:rFonts w:hint="eastAsia" w:ascii="Times New Roman" w:hAnsi="Times New Roman" w:eastAsia="方正仿宋_GBK" w:cs="Times New Roman"/>
          <w:b w:val="0"/>
          <w:color w:val="000000"/>
          <w:sz w:val="28"/>
          <w:lang w:val="en-US" w:eastAsia="zh-CN"/>
        </w:rPr>
        <w:t>隆尧县第二实验小学事业编制132名，校长1名（正股级），副校长4名（副股级）；经费形式为财政性资金基本保证。</w:t>
      </w:r>
    </w:p>
    <w:p w14:paraId="034956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D72AE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18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7B2D40">
            <w:pPr>
              <w:pStyle w:val="10"/>
            </w:pPr>
            <w:r>
              <w:t>单位名称</w:t>
            </w:r>
          </w:p>
        </w:tc>
        <w:tc>
          <w:tcPr>
            <w:tcW w:w="1843" w:type="dxa"/>
            <w:vAlign w:val="center"/>
          </w:tcPr>
          <w:p w14:paraId="45EF2B0D">
            <w:pPr>
              <w:pStyle w:val="10"/>
            </w:pPr>
            <w:r>
              <w:t>单位性质</w:t>
            </w:r>
          </w:p>
        </w:tc>
        <w:tc>
          <w:tcPr>
            <w:tcW w:w="2126" w:type="dxa"/>
            <w:vAlign w:val="center"/>
          </w:tcPr>
          <w:p w14:paraId="4DF9AC87">
            <w:pPr>
              <w:pStyle w:val="10"/>
            </w:pPr>
            <w:r>
              <w:t>单位规格</w:t>
            </w:r>
          </w:p>
        </w:tc>
        <w:tc>
          <w:tcPr>
            <w:tcW w:w="3827" w:type="dxa"/>
            <w:vAlign w:val="center"/>
          </w:tcPr>
          <w:p w14:paraId="1BB58867">
            <w:pPr>
              <w:pStyle w:val="10"/>
            </w:pPr>
            <w:r>
              <w:t>经费保障形式</w:t>
            </w:r>
          </w:p>
        </w:tc>
      </w:tr>
      <w:tr w14:paraId="0229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5789B8">
            <w:pPr>
              <w:pStyle w:val="12"/>
            </w:pPr>
            <w:r>
              <w:t>隆尧县第二实验小学</w:t>
            </w:r>
          </w:p>
        </w:tc>
        <w:tc>
          <w:tcPr>
            <w:tcW w:w="1843" w:type="dxa"/>
            <w:vAlign w:val="center"/>
          </w:tcPr>
          <w:p w14:paraId="3179FF1B">
            <w:pPr>
              <w:pStyle w:val="13"/>
            </w:pPr>
            <w:r>
              <w:t>事业</w:t>
            </w:r>
          </w:p>
        </w:tc>
        <w:tc>
          <w:tcPr>
            <w:tcW w:w="2126" w:type="dxa"/>
            <w:vAlign w:val="center"/>
          </w:tcPr>
          <w:p w14:paraId="0EE0D7DA">
            <w:pPr>
              <w:pStyle w:val="13"/>
            </w:pPr>
            <w:r>
              <w:t>股级</w:t>
            </w:r>
          </w:p>
        </w:tc>
        <w:tc>
          <w:tcPr>
            <w:tcW w:w="3827" w:type="dxa"/>
            <w:vAlign w:val="center"/>
          </w:tcPr>
          <w:p w14:paraId="394935E5">
            <w:pPr>
              <w:pStyle w:val="13"/>
            </w:pPr>
            <w:r>
              <w:t>财政性资金基本保证</w:t>
            </w:r>
          </w:p>
        </w:tc>
      </w:tr>
    </w:tbl>
    <w:p w14:paraId="2E6818FC">
      <w:pPr>
        <w:spacing w:before="10" w:after="10" w:line="240" w:lineRule="auto"/>
        <w:ind w:firstLine="640"/>
        <w:jc w:val="left"/>
        <w:outlineLvl w:val="5"/>
      </w:pPr>
      <w:r>
        <w:rPr>
          <w:rFonts w:ascii="黑体" w:hAnsi="黑体" w:eastAsia="黑体" w:cs="黑体"/>
          <w:color w:val="000000"/>
          <w:sz w:val="32"/>
        </w:rPr>
        <w:t>二、单位预算安排的总体情况</w:t>
      </w:r>
    </w:p>
    <w:p w14:paraId="66A514CB">
      <w:pPr>
        <w:pStyle w:val="18"/>
      </w:pPr>
      <w:r>
        <w:t>按照预算管理有关规定，目前我校单位预算的编制实行综合预算管理，即全部收入和支出都反映的预算中。隆尧县第二实验小学的收支包含在单位预算中。</w:t>
      </w:r>
    </w:p>
    <w:p w14:paraId="172A9541">
      <w:pPr>
        <w:pStyle w:val="18"/>
      </w:pPr>
      <w:r>
        <w:t>1、收入说明</w:t>
      </w:r>
    </w:p>
    <w:p w14:paraId="05ABE692">
      <w:pPr>
        <w:pStyle w:val="18"/>
      </w:pPr>
      <w:r>
        <w:t>反映本单位当年全部收入。2026年预算收入1905.19万元，其中：一般公共预算收入1905.19万元，基金预算收入0万元，基金预算收入0万元，国有资本经营预算收入0万元，财政专户拨收入0万元，单位资金收入0万元，上年结转结余0万元。</w:t>
      </w:r>
    </w:p>
    <w:p w14:paraId="4749B9CB">
      <w:pPr>
        <w:pStyle w:val="18"/>
      </w:pPr>
      <w:r>
        <w:t>2、支出说明</w:t>
      </w:r>
    </w:p>
    <w:p w14:paraId="24D55A7C">
      <w:pPr>
        <w:pStyle w:val="18"/>
      </w:pPr>
      <w:r>
        <w:t>收支预算总表支出栏、基本支出表、项目支出表按经济分类和支出功能分类科目编制，反映隆尧县第二实验小学年度单位预算中支出预算的总体情况。2026年单位支出预算为1905.19万元，其中基本支出1472.04万元、项目支出433.15万元。主要为小学教育1905.19万元。</w:t>
      </w:r>
    </w:p>
    <w:p w14:paraId="492F8814">
      <w:pPr>
        <w:pStyle w:val="18"/>
      </w:pPr>
      <w:r>
        <w:t>3、比上年增减情况</w:t>
      </w:r>
    </w:p>
    <w:p w14:paraId="105AA87E">
      <w:pPr>
        <w:pStyle w:val="18"/>
      </w:pPr>
      <w:r>
        <w:t>2026年部门预算收支安排1905.19万元，较2025年预算减少158.14万元。</w:t>
      </w:r>
    </w:p>
    <w:p w14:paraId="54B2E2F9">
      <w:pPr>
        <w:spacing w:before="10" w:after="10" w:line="240" w:lineRule="auto"/>
        <w:ind w:firstLine="640"/>
        <w:jc w:val="left"/>
        <w:outlineLvl w:val="5"/>
      </w:pPr>
      <w:r>
        <w:rPr>
          <w:rFonts w:ascii="黑体" w:hAnsi="黑体" w:eastAsia="黑体" w:cs="黑体"/>
          <w:color w:val="000000"/>
          <w:sz w:val="32"/>
        </w:rPr>
        <w:t>三、机关运行经费安排情况</w:t>
      </w:r>
    </w:p>
    <w:p w14:paraId="4AAE688E">
      <w:pPr>
        <w:pStyle w:val="19"/>
      </w:pPr>
      <w:r>
        <w:t>2026年我单位按学生安排公用经费，无机关运行经费。</w:t>
      </w:r>
    </w:p>
    <w:p w14:paraId="3E72686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B31F04B">
      <w:pPr>
        <w:pStyle w:val="20"/>
      </w:pPr>
      <w:r>
        <w:t>2026年我单位未安排</w:t>
      </w:r>
      <w:r>
        <w:rPr>
          <w:rFonts w:hint="eastAsia"/>
          <w:lang w:eastAsia="zh-CN"/>
        </w:rPr>
        <w:t>“三公”经费</w:t>
      </w:r>
      <w:r>
        <w:t>。</w:t>
      </w:r>
    </w:p>
    <w:p w14:paraId="5135B7B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1BD655">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1、冀财教[2023]154号/中央/义教经费/校舍安全保障/第二实验小学楼体外墙维修及粉刷绩效目标表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0A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2A2D4">
            <w:pPr>
              <w:pStyle w:val="11"/>
            </w:pPr>
            <w:r>
              <w:t>单位：万元</w:t>
            </w:r>
          </w:p>
        </w:tc>
      </w:tr>
      <w:tr w14:paraId="08412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F085C">
            <w:pPr>
              <w:pStyle w:val="10"/>
            </w:pPr>
            <w:r>
              <w:t>项目编码</w:t>
            </w:r>
          </w:p>
        </w:tc>
        <w:tc>
          <w:tcPr>
            <w:tcW w:w="5103" w:type="dxa"/>
            <w:gridSpan w:val="2"/>
            <w:vAlign w:val="center"/>
          </w:tcPr>
          <w:p w14:paraId="3E4256CD">
            <w:pPr>
              <w:pStyle w:val="12"/>
            </w:pPr>
            <w:r>
              <w:t>13052526P00876210122H</w:t>
            </w:r>
          </w:p>
        </w:tc>
        <w:tc>
          <w:tcPr>
            <w:tcW w:w="2835" w:type="dxa"/>
            <w:vAlign w:val="center"/>
          </w:tcPr>
          <w:p w14:paraId="6FD74704">
            <w:pPr>
              <w:pStyle w:val="10"/>
            </w:pPr>
            <w:r>
              <w:t>项目名称</w:t>
            </w:r>
          </w:p>
        </w:tc>
        <w:tc>
          <w:tcPr>
            <w:tcW w:w="6095" w:type="dxa"/>
            <w:gridSpan w:val="3"/>
            <w:vAlign w:val="center"/>
          </w:tcPr>
          <w:p w14:paraId="2A39F54A">
            <w:pPr>
              <w:pStyle w:val="12"/>
            </w:pPr>
            <w:r>
              <w:t>冀财教[2023]154号/中央/义教经费/校舍安全保障/第二实验小学楼体外墙维修及粉刷</w:t>
            </w:r>
          </w:p>
        </w:tc>
      </w:tr>
      <w:tr w14:paraId="64109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DB95C">
            <w:pPr>
              <w:pStyle w:val="10"/>
            </w:pPr>
            <w:r>
              <w:t>预算规模及资金用途</w:t>
            </w:r>
          </w:p>
        </w:tc>
        <w:tc>
          <w:tcPr>
            <w:tcW w:w="2268" w:type="dxa"/>
            <w:vAlign w:val="center"/>
          </w:tcPr>
          <w:p w14:paraId="765A1A7F">
            <w:pPr>
              <w:pStyle w:val="10"/>
            </w:pPr>
            <w:r>
              <w:t>预算数</w:t>
            </w:r>
          </w:p>
        </w:tc>
        <w:tc>
          <w:tcPr>
            <w:tcW w:w="2835" w:type="dxa"/>
            <w:vAlign w:val="center"/>
          </w:tcPr>
          <w:p w14:paraId="0F8BFA30">
            <w:pPr>
              <w:pStyle w:val="12"/>
            </w:pPr>
            <w:r>
              <w:t>32.51</w:t>
            </w:r>
          </w:p>
        </w:tc>
        <w:tc>
          <w:tcPr>
            <w:tcW w:w="2835" w:type="dxa"/>
            <w:vAlign w:val="center"/>
          </w:tcPr>
          <w:p w14:paraId="2D3B7F52">
            <w:pPr>
              <w:pStyle w:val="10"/>
            </w:pPr>
            <w:r>
              <w:t>其中：财政    资金</w:t>
            </w:r>
          </w:p>
        </w:tc>
        <w:tc>
          <w:tcPr>
            <w:tcW w:w="2551" w:type="dxa"/>
            <w:vAlign w:val="center"/>
          </w:tcPr>
          <w:p w14:paraId="05A39DCD">
            <w:pPr>
              <w:pStyle w:val="12"/>
            </w:pPr>
            <w:r>
              <w:t>32.51</w:t>
            </w:r>
          </w:p>
        </w:tc>
        <w:tc>
          <w:tcPr>
            <w:tcW w:w="2268" w:type="dxa"/>
            <w:vAlign w:val="center"/>
          </w:tcPr>
          <w:p w14:paraId="74CA92FF">
            <w:pPr>
              <w:pStyle w:val="10"/>
            </w:pPr>
            <w:r>
              <w:t>其他资金</w:t>
            </w:r>
          </w:p>
        </w:tc>
        <w:tc>
          <w:tcPr>
            <w:tcW w:w="1276" w:type="dxa"/>
            <w:vAlign w:val="center"/>
          </w:tcPr>
          <w:p w14:paraId="5A2B7681">
            <w:pPr>
              <w:pStyle w:val="12"/>
            </w:pPr>
            <w:r>
              <w:t xml:space="preserve"> </w:t>
            </w:r>
          </w:p>
        </w:tc>
      </w:tr>
      <w:tr w14:paraId="221E8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46287"/>
        </w:tc>
        <w:tc>
          <w:tcPr>
            <w:tcW w:w="14033" w:type="dxa"/>
            <w:gridSpan w:val="6"/>
            <w:vAlign w:val="center"/>
          </w:tcPr>
          <w:p w14:paraId="7FE867E0">
            <w:pPr>
              <w:pStyle w:val="12"/>
            </w:pPr>
            <w:r>
              <w:t>按时完成隆尧县第二实验小学教学楼宿舍楼餐厅综合楼外墙维修粉刷工程，提高师生学习工作环境，提升安全指数</w:t>
            </w:r>
            <w:r>
              <w:tab/>
            </w:r>
            <w:r>
              <w:tab/>
            </w:r>
            <w:r>
              <w:tab/>
            </w:r>
            <w:r>
              <w:tab/>
            </w:r>
            <w:r>
              <w:tab/>
            </w:r>
            <w:r>
              <w:tab/>
            </w:r>
          </w:p>
          <w:p w14:paraId="498BC0AE">
            <w:pPr>
              <w:pStyle w:val="12"/>
            </w:pPr>
          </w:p>
        </w:tc>
      </w:tr>
      <w:tr w14:paraId="15899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CB0DD">
            <w:pPr>
              <w:pStyle w:val="10"/>
            </w:pPr>
            <w:r>
              <w:t>资金支出计划（%）</w:t>
            </w:r>
          </w:p>
        </w:tc>
        <w:tc>
          <w:tcPr>
            <w:tcW w:w="5103" w:type="dxa"/>
            <w:gridSpan w:val="2"/>
            <w:vAlign w:val="center"/>
          </w:tcPr>
          <w:p w14:paraId="12271607">
            <w:pPr>
              <w:pStyle w:val="10"/>
            </w:pPr>
            <w:r>
              <w:t>3月底</w:t>
            </w:r>
          </w:p>
        </w:tc>
        <w:tc>
          <w:tcPr>
            <w:tcW w:w="2835" w:type="dxa"/>
            <w:vAlign w:val="center"/>
          </w:tcPr>
          <w:p w14:paraId="2B03938E">
            <w:pPr>
              <w:pStyle w:val="10"/>
            </w:pPr>
            <w:r>
              <w:t>6月底</w:t>
            </w:r>
          </w:p>
        </w:tc>
        <w:tc>
          <w:tcPr>
            <w:tcW w:w="2551" w:type="dxa"/>
            <w:vAlign w:val="center"/>
          </w:tcPr>
          <w:p w14:paraId="44601F82">
            <w:pPr>
              <w:pStyle w:val="10"/>
            </w:pPr>
            <w:r>
              <w:t>10月底</w:t>
            </w:r>
          </w:p>
        </w:tc>
        <w:tc>
          <w:tcPr>
            <w:tcW w:w="3544" w:type="dxa"/>
            <w:gridSpan w:val="2"/>
            <w:vAlign w:val="center"/>
          </w:tcPr>
          <w:p w14:paraId="7214A5B3">
            <w:pPr>
              <w:pStyle w:val="10"/>
            </w:pPr>
            <w:r>
              <w:t>12月底</w:t>
            </w:r>
          </w:p>
        </w:tc>
      </w:tr>
      <w:tr w14:paraId="3534E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28962"/>
        </w:tc>
        <w:tc>
          <w:tcPr>
            <w:tcW w:w="5103" w:type="dxa"/>
            <w:gridSpan w:val="2"/>
            <w:vAlign w:val="center"/>
          </w:tcPr>
          <w:p w14:paraId="11A724CD">
            <w:pPr>
              <w:pStyle w:val="13"/>
            </w:pPr>
            <w:r>
              <w:t xml:space="preserve"> </w:t>
            </w:r>
          </w:p>
        </w:tc>
        <w:tc>
          <w:tcPr>
            <w:tcW w:w="2835" w:type="dxa"/>
            <w:vAlign w:val="center"/>
          </w:tcPr>
          <w:p w14:paraId="7A3CEC81">
            <w:pPr>
              <w:pStyle w:val="13"/>
            </w:pPr>
            <w:r>
              <w:t>100%</w:t>
            </w:r>
          </w:p>
        </w:tc>
        <w:tc>
          <w:tcPr>
            <w:tcW w:w="2551" w:type="dxa"/>
            <w:vAlign w:val="center"/>
          </w:tcPr>
          <w:p w14:paraId="5EB2B427">
            <w:pPr>
              <w:pStyle w:val="13"/>
            </w:pPr>
            <w:r>
              <w:t>100%</w:t>
            </w:r>
          </w:p>
        </w:tc>
        <w:tc>
          <w:tcPr>
            <w:tcW w:w="3544" w:type="dxa"/>
            <w:gridSpan w:val="2"/>
            <w:vAlign w:val="center"/>
          </w:tcPr>
          <w:p w14:paraId="1417C2F8">
            <w:pPr>
              <w:pStyle w:val="13"/>
            </w:pPr>
            <w:r>
              <w:t>100%</w:t>
            </w:r>
          </w:p>
        </w:tc>
      </w:tr>
      <w:tr w14:paraId="23A48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E1573">
            <w:pPr>
              <w:pStyle w:val="10"/>
            </w:pPr>
            <w:r>
              <w:t>绩效目标</w:t>
            </w:r>
          </w:p>
        </w:tc>
        <w:tc>
          <w:tcPr>
            <w:tcW w:w="14033" w:type="dxa"/>
            <w:gridSpan w:val="6"/>
            <w:vAlign w:val="center"/>
          </w:tcPr>
          <w:p w14:paraId="6FD4533F">
            <w:pPr>
              <w:pStyle w:val="12"/>
            </w:pPr>
            <w:r>
              <w:t>1.按照工程进度及时支付工程款</w:t>
            </w:r>
          </w:p>
          <w:p w14:paraId="4C0DBF07">
            <w:pPr>
              <w:pStyle w:val="12"/>
            </w:pPr>
            <w:r>
              <w:t>2.按时完成隆尧县第二实验小学教学楼宿舍楼餐厅综合楼外墙维修粉刷工程，提高师生学习工作环境，提升安全指数</w:t>
            </w:r>
          </w:p>
        </w:tc>
      </w:tr>
    </w:tbl>
    <w:p w14:paraId="2A06D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4A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90D3B">
            <w:pPr>
              <w:pStyle w:val="10"/>
            </w:pPr>
            <w:r>
              <w:t>一级指标</w:t>
            </w:r>
          </w:p>
        </w:tc>
        <w:tc>
          <w:tcPr>
            <w:tcW w:w="2268" w:type="dxa"/>
            <w:vAlign w:val="center"/>
          </w:tcPr>
          <w:p w14:paraId="5B0E19FC">
            <w:pPr>
              <w:pStyle w:val="10"/>
            </w:pPr>
            <w:r>
              <w:t>二级指标</w:t>
            </w:r>
          </w:p>
        </w:tc>
        <w:tc>
          <w:tcPr>
            <w:tcW w:w="2835" w:type="dxa"/>
            <w:vAlign w:val="center"/>
          </w:tcPr>
          <w:p w14:paraId="1E282C61">
            <w:pPr>
              <w:pStyle w:val="10"/>
            </w:pPr>
            <w:r>
              <w:t>三级指标</w:t>
            </w:r>
          </w:p>
        </w:tc>
        <w:tc>
          <w:tcPr>
            <w:tcW w:w="5386" w:type="dxa"/>
            <w:vAlign w:val="center"/>
          </w:tcPr>
          <w:p w14:paraId="3A3B7E40">
            <w:pPr>
              <w:pStyle w:val="10"/>
            </w:pPr>
            <w:r>
              <w:t>绩效指标描述</w:t>
            </w:r>
          </w:p>
        </w:tc>
        <w:tc>
          <w:tcPr>
            <w:tcW w:w="2268" w:type="dxa"/>
            <w:vAlign w:val="center"/>
          </w:tcPr>
          <w:p w14:paraId="11BE69E3">
            <w:pPr>
              <w:pStyle w:val="10"/>
            </w:pPr>
            <w:r>
              <w:t>指标值</w:t>
            </w:r>
          </w:p>
        </w:tc>
        <w:tc>
          <w:tcPr>
            <w:tcW w:w="1276" w:type="dxa"/>
            <w:vAlign w:val="center"/>
          </w:tcPr>
          <w:p w14:paraId="242F4349">
            <w:pPr>
              <w:pStyle w:val="10"/>
            </w:pPr>
            <w:r>
              <w:t>指标值确定依据</w:t>
            </w:r>
          </w:p>
        </w:tc>
      </w:tr>
      <w:tr w14:paraId="04D0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7F3F3">
            <w:pPr>
              <w:pStyle w:val="13"/>
            </w:pPr>
            <w:r>
              <w:t>产出指标</w:t>
            </w:r>
          </w:p>
        </w:tc>
        <w:tc>
          <w:tcPr>
            <w:tcW w:w="2268" w:type="dxa"/>
            <w:vAlign w:val="center"/>
          </w:tcPr>
          <w:p w14:paraId="6D9BF392">
            <w:pPr>
              <w:pStyle w:val="12"/>
            </w:pPr>
            <w:r>
              <w:t>数量指标</w:t>
            </w:r>
          </w:p>
        </w:tc>
        <w:tc>
          <w:tcPr>
            <w:tcW w:w="2835" w:type="dxa"/>
            <w:vAlign w:val="center"/>
          </w:tcPr>
          <w:p w14:paraId="7F899D6E">
            <w:pPr>
              <w:pStyle w:val="12"/>
            </w:pPr>
            <w:r>
              <w:t>外墙维修粉刷工程完成率</w:t>
            </w:r>
          </w:p>
        </w:tc>
        <w:tc>
          <w:tcPr>
            <w:tcW w:w="5386" w:type="dxa"/>
            <w:vAlign w:val="center"/>
          </w:tcPr>
          <w:p w14:paraId="4C3121D1">
            <w:pPr>
              <w:pStyle w:val="12"/>
            </w:pPr>
            <w:r>
              <w:t>按照合同规定的时间完成</w:t>
            </w:r>
          </w:p>
        </w:tc>
        <w:tc>
          <w:tcPr>
            <w:tcW w:w="2268" w:type="dxa"/>
            <w:vAlign w:val="center"/>
          </w:tcPr>
          <w:p w14:paraId="0FB2CD2D">
            <w:pPr>
              <w:pStyle w:val="12"/>
            </w:pPr>
            <w:r>
              <w:t>100%</w:t>
            </w:r>
          </w:p>
        </w:tc>
        <w:tc>
          <w:tcPr>
            <w:tcW w:w="1276" w:type="dxa"/>
            <w:vAlign w:val="center"/>
          </w:tcPr>
          <w:p w14:paraId="14964D7D">
            <w:pPr>
              <w:pStyle w:val="12"/>
            </w:pPr>
            <w:r>
              <w:t>年度工作计划</w:t>
            </w:r>
          </w:p>
        </w:tc>
      </w:tr>
      <w:tr w14:paraId="4E69B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8A0E0"/>
        </w:tc>
        <w:tc>
          <w:tcPr>
            <w:tcW w:w="2268" w:type="dxa"/>
            <w:vAlign w:val="center"/>
          </w:tcPr>
          <w:p w14:paraId="407BE630">
            <w:pPr>
              <w:pStyle w:val="12"/>
            </w:pPr>
            <w:r>
              <w:t>质量指标</w:t>
            </w:r>
          </w:p>
        </w:tc>
        <w:tc>
          <w:tcPr>
            <w:tcW w:w="2835" w:type="dxa"/>
            <w:vAlign w:val="center"/>
          </w:tcPr>
          <w:p w14:paraId="453330AF">
            <w:pPr>
              <w:pStyle w:val="12"/>
            </w:pPr>
            <w:r>
              <w:t>外墙维修粉刷工程质量</w:t>
            </w:r>
          </w:p>
        </w:tc>
        <w:tc>
          <w:tcPr>
            <w:tcW w:w="5386" w:type="dxa"/>
            <w:vAlign w:val="center"/>
          </w:tcPr>
          <w:p w14:paraId="464A5AEE">
            <w:pPr>
              <w:pStyle w:val="12"/>
            </w:pPr>
            <w:r>
              <w:t>外墙维修粉刷工程验收合格率</w:t>
            </w:r>
          </w:p>
        </w:tc>
        <w:tc>
          <w:tcPr>
            <w:tcW w:w="2268" w:type="dxa"/>
            <w:vAlign w:val="center"/>
          </w:tcPr>
          <w:p w14:paraId="6F2CF1C0">
            <w:pPr>
              <w:pStyle w:val="12"/>
            </w:pPr>
            <w:r>
              <w:t>100%</w:t>
            </w:r>
          </w:p>
        </w:tc>
        <w:tc>
          <w:tcPr>
            <w:tcW w:w="1276" w:type="dxa"/>
            <w:vAlign w:val="center"/>
          </w:tcPr>
          <w:p w14:paraId="179256E4">
            <w:pPr>
              <w:pStyle w:val="12"/>
            </w:pPr>
            <w:r>
              <w:t>年度工作计划</w:t>
            </w:r>
          </w:p>
        </w:tc>
      </w:tr>
      <w:tr w14:paraId="4F47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72AE"/>
        </w:tc>
        <w:tc>
          <w:tcPr>
            <w:tcW w:w="2268" w:type="dxa"/>
            <w:vAlign w:val="center"/>
          </w:tcPr>
          <w:p w14:paraId="4AEF306C">
            <w:pPr>
              <w:pStyle w:val="12"/>
            </w:pPr>
            <w:r>
              <w:t>时效指标</w:t>
            </w:r>
          </w:p>
        </w:tc>
        <w:tc>
          <w:tcPr>
            <w:tcW w:w="2835" w:type="dxa"/>
            <w:vAlign w:val="center"/>
          </w:tcPr>
          <w:p w14:paraId="325A9CDB">
            <w:pPr>
              <w:pStyle w:val="12"/>
            </w:pPr>
            <w:r>
              <w:t>资金支付进度</w:t>
            </w:r>
          </w:p>
        </w:tc>
        <w:tc>
          <w:tcPr>
            <w:tcW w:w="5386" w:type="dxa"/>
            <w:vAlign w:val="center"/>
          </w:tcPr>
          <w:p w14:paraId="030B7CA7">
            <w:pPr>
              <w:pStyle w:val="12"/>
            </w:pPr>
            <w:r>
              <w:t>规定时间内完成率</w:t>
            </w:r>
          </w:p>
        </w:tc>
        <w:tc>
          <w:tcPr>
            <w:tcW w:w="2268" w:type="dxa"/>
            <w:vAlign w:val="center"/>
          </w:tcPr>
          <w:p w14:paraId="54A3B460">
            <w:pPr>
              <w:pStyle w:val="12"/>
            </w:pPr>
            <w:r>
              <w:t>100%</w:t>
            </w:r>
          </w:p>
        </w:tc>
        <w:tc>
          <w:tcPr>
            <w:tcW w:w="1276" w:type="dxa"/>
            <w:vAlign w:val="center"/>
          </w:tcPr>
          <w:p w14:paraId="2FA08BC2">
            <w:pPr>
              <w:pStyle w:val="12"/>
            </w:pPr>
            <w:r>
              <w:t>年度工作计划</w:t>
            </w:r>
          </w:p>
        </w:tc>
      </w:tr>
      <w:tr w14:paraId="1BB0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57C5"/>
        </w:tc>
        <w:tc>
          <w:tcPr>
            <w:tcW w:w="2268" w:type="dxa"/>
            <w:vAlign w:val="center"/>
          </w:tcPr>
          <w:p w14:paraId="436EB73E">
            <w:pPr>
              <w:pStyle w:val="12"/>
            </w:pPr>
            <w:r>
              <w:t>成本指标</w:t>
            </w:r>
          </w:p>
        </w:tc>
        <w:tc>
          <w:tcPr>
            <w:tcW w:w="2835" w:type="dxa"/>
            <w:vAlign w:val="center"/>
          </w:tcPr>
          <w:p w14:paraId="43B0D0C0">
            <w:pPr>
              <w:pStyle w:val="12"/>
            </w:pPr>
            <w:r>
              <w:t>工程实际成本</w:t>
            </w:r>
          </w:p>
        </w:tc>
        <w:tc>
          <w:tcPr>
            <w:tcW w:w="5386" w:type="dxa"/>
            <w:vAlign w:val="center"/>
          </w:tcPr>
          <w:p w14:paraId="52649E22">
            <w:pPr>
              <w:pStyle w:val="12"/>
            </w:pPr>
            <w:r>
              <w:t>工程实际成本</w:t>
            </w:r>
          </w:p>
        </w:tc>
        <w:tc>
          <w:tcPr>
            <w:tcW w:w="2268" w:type="dxa"/>
            <w:vAlign w:val="center"/>
          </w:tcPr>
          <w:p w14:paraId="23478FC7">
            <w:pPr>
              <w:pStyle w:val="12"/>
            </w:pPr>
            <w:r>
              <w:t>325082.57元</w:t>
            </w:r>
          </w:p>
        </w:tc>
        <w:tc>
          <w:tcPr>
            <w:tcW w:w="1276" w:type="dxa"/>
            <w:vAlign w:val="center"/>
          </w:tcPr>
          <w:p w14:paraId="7CC81FF5">
            <w:pPr>
              <w:pStyle w:val="12"/>
            </w:pPr>
            <w:r>
              <w:t>行业标准</w:t>
            </w:r>
          </w:p>
        </w:tc>
      </w:tr>
      <w:tr w14:paraId="45D1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7849C">
            <w:pPr>
              <w:pStyle w:val="13"/>
            </w:pPr>
            <w:r>
              <w:t>效益指标</w:t>
            </w:r>
          </w:p>
        </w:tc>
        <w:tc>
          <w:tcPr>
            <w:tcW w:w="2268" w:type="dxa"/>
            <w:vAlign w:val="center"/>
          </w:tcPr>
          <w:p w14:paraId="55EF86E4">
            <w:pPr>
              <w:pStyle w:val="12"/>
            </w:pPr>
            <w:r>
              <w:t>社会效益指标</w:t>
            </w:r>
          </w:p>
        </w:tc>
        <w:tc>
          <w:tcPr>
            <w:tcW w:w="2835" w:type="dxa"/>
            <w:vAlign w:val="center"/>
          </w:tcPr>
          <w:p w14:paraId="294EBAF9">
            <w:pPr>
              <w:pStyle w:val="12"/>
            </w:pPr>
            <w:r>
              <w:t>使用年限</w:t>
            </w:r>
          </w:p>
        </w:tc>
        <w:tc>
          <w:tcPr>
            <w:tcW w:w="5386" w:type="dxa"/>
            <w:vAlign w:val="center"/>
          </w:tcPr>
          <w:p w14:paraId="3B9E3419">
            <w:pPr>
              <w:pStyle w:val="12"/>
            </w:pPr>
            <w:r>
              <w:t>达到合同要求的使用年限</w:t>
            </w:r>
          </w:p>
        </w:tc>
        <w:tc>
          <w:tcPr>
            <w:tcW w:w="2268" w:type="dxa"/>
            <w:vAlign w:val="center"/>
          </w:tcPr>
          <w:p w14:paraId="101B08DB">
            <w:pPr>
              <w:pStyle w:val="12"/>
            </w:pPr>
            <w:r>
              <w:t>≥5年</w:t>
            </w:r>
          </w:p>
        </w:tc>
        <w:tc>
          <w:tcPr>
            <w:tcW w:w="1276" w:type="dxa"/>
            <w:vAlign w:val="center"/>
          </w:tcPr>
          <w:p w14:paraId="544764BD">
            <w:pPr>
              <w:pStyle w:val="12"/>
            </w:pPr>
            <w:r>
              <w:t>行业质量标准</w:t>
            </w:r>
          </w:p>
        </w:tc>
      </w:tr>
      <w:tr w14:paraId="3876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34258">
            <w:pPr>
              <w:pStyle w:val="13"/>
            </w:pPr>
            <w:r>
              <w:t>满意度指标</w:t>
            </w:r>
          </w:p>
        </w:tc>
        <w:tc>
          <w:tcPr>
            <w:tcW w:w="2268" w:type="dxa"/>
            <w:vAlign w:val="center"/>
          </w:tcPr>
          <w:p w14:paraId="2F7FF9C5">
            <w:pPr>
              <w:pStyle w:val="12"/>
            </w:pPr>
            <w:r>
              <w:t>服务对象满意度指标</w:t>
            </w:r>
          </w:p>
        </w:tc>
        <w:tc>
          <w:tcPr>
            <w:tcW w:w="2835" w:type="dxa"/>
            <w:vAlign w:val="center"/>
          </w:tcPr>
          <w:p w14:paraId="6D034B33">
            <w:pPr>
              <w:pStyle w:val="12"/>
            </w:pPr>
            <w:r>
              <w:t>师生对学习生活环境的满意度</w:t>
            </w:r>
          </w:p>
        </w:tc>
        <w:tc>
          <w:tcPr>
            <w:tcW w:w="5386" w:type="dxa"/>
            <w:vAlign w:val="center"/>
          </w:tcPr>
          <w:p w14:paraId="4F9252D4">
            <w:pPr>
              <w:pStyle w:val="12"/>
            </w:pPr>
            <w:r>
              <w:t>师生对学习生活环境的满意度</w:t>
            </w:r>
          </w:p>
        </w:tc>
        <w:tc>
          <w:tcPr>
            <w:tcW w:w="2268" w:type="dxa"/>
            <w:vAlign w:val="center"/>
          </w:tcPr>
          <w:p w14:paraId="05153EEC">
            <w:pPr>
              <w:pStyle w:val="12"/>
            </w:pPr>
            <w:r>
              <w:t>≥98%</w:t>
            </w:r>
          </w:p>
        </w:tc>
        <w:tc>
          <w:tcPr>
            <w:tcW w:w="1276" w:type="dxa"/>
            <w:vAlign w:val="center"/>
          </w:tcPr>
          <w:p w14:paraId="3BDBC28B">
            <w:pPr>
              <w:pStyle w:val="12"/>
            </w:pPr>
            <w:r>
              <w:t>满意度调查问卷</w:t>
            </w:r>
          </w:p>
        </w:tc>
      </w:tr>
    </w:tbl>
    <w:p w14:paraId="1B68C3A3">
      <w:pPr>
        <w:sectPr>
          <w:pgSz w:w="16840" w:h="11900" w:orient="landscape"/>
          <w:pgMar w:top="1361" w:right="1020" w:bottom="1134" w:left="1020" w:header="720" w:footer="720" w:gutter="0"/>
          <w:cols w:space="720" w:num="1"/>
        </w:sectPr>
      </w:pPr>
    </w:p>
    <w:p w14:paraId="7B97063C">
      <w:pPr>
        <w:spacing w:before="0" w:after="0"/>
        <w:ind w:firstLine="560"/>
        <w:jc w:val="left"/>
        <w:outlineLvl w:val="9"/>
      </w:pPr>
      <w:r>
        <w:rPr>
          <w:rFonts w:ascii="方正仿宋_GBK" w:hAnsi="方正仿宋_GBK" w:eastAsia="方正仿宋_GBK" w:cs="方正仿宋_GBK"/>
          <w:b/>
          <w:color w:val="000000"/>
          <w:sz w:val="28"/>
        </w:rPr>
        <w:t>2、冀财教[2023]163号/省级/校舍安全保障/第二实验小学供暖系统改造项目绩效目标表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3F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12E91">
            <w:pPr>
              <w:pStyle w:val="11"/>
            </w:pPr>
            <w:r>
              <w:t>单位：万元</w:t>
            </w:r>
          </w:p>
        </w:tc>
      </w:tr>
      <w:tr w14:paraId="2FA1C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71835">
            <w:pPr>
              <w:pStyle w:val="10"/>
            </w:pPr>
            <w:r>
              <w:t>项目编码</w:t>
            </w:r>
          </w:p>
        </w:tc>
        <w:tc>
          <w:tcPr>
            <w:tcW w:w="5103" w:type="dxa"/>
            <w:gridSpan w:val="2"/>
            <w:vAlign w:val="center"/>
          </w:tcPr>
          <w:p w14:paraId="6AE6DCBF">
            <w:pPr>
              <w:pStyle w:val="12"/>
            </w:pPr>
            <w:r>
              <w:t>13052526P00876210121X</w:t>
            </w:r>
          </w:p>
        </w:tc>
        <w:tc>
          <w:tcPr>
            <w:tcW w:w="2835" w:type="dxa"/>
            <w:vAlign w:val="center"/>
          </w:tcPr>
          <w:p w14:paraId="15BE1357">
            <w:pPr>
              <w:pStyle w:val="10"/>
            </w:pPr>
            <w:r>
              <w:t>项目名称</w:t>
            </w:r>
          </w:p>
        </w:tc>
        <w:tc>
          <w:tcPr>
            <w:tcW w:w="6095" w:type="dxa"/>
            <w:gridSpan w:val="3"/>
            <w:vAlign w:val="center"/>
          </w:tcPr>
          <w:p w14:paraId="56151076">
            <w:pPr>
              <w:pStyle w:val="12"/>
            </w:pPr>
            <w:r>
              <w:t>冀财教[2023]163号/省级/校舍安全保障/第二实验小学供暖系统改造项目</w:t>
            </w:r>
          </w:p>
        </w:tc>
      </w:tr>
      <w:tr w14:paraId="3D1E5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943BE">
            <w:pPr>
              <w:pStyle w:val="10"/>
            </w:pPr>
            <w:r>
              <w:t>预算规模及资金用途</w:t>
            </w:r>
          </w:p>
        </w:tc>
        <w:tc>
          <w:tcPr>
            <w:tcW w:w="2268" w:type="dxa"/>
            <w:vAlign w:val="center"/>
          </w:tcPr>
          <w:p w14:paraId="0C266C81">
            <w:pPr>
              <w:pStyle w:val="10"/>
            </w:pPr>
            <w:r>
              <w:t>预算数</w:t>
            </w:r>
          </w:p>
        </w:tc>
        <w:tc>
          <w:tcPr>
            <w:tcW w:w="2835" w:type="dxa"/>
            <w:vAlign w:val="center"/>
          </w:tcPr>
          <w:p w14:paraId="3F70DE15">
            <w:pPr>
              <w:pStyle w:val="12"/>
            </w:pPr>
            <w:r>
              <w:t>54.98</w:t>
            </w:r>
          </w:p>
        </w:tc>
        <w:tc>
          <w:tcPr>
            <w:tcW w:w="2835" w:type="dxa"/>
            <w:vAlign w:val="center"/>
          </w:tcPr>
          <w:p w14:paraId="11B0E18B">
            <w:pPr>
              <w:pStyle w:val="10"/>
            </w:pPr>
            <w:r>
              <w:t>其中：财政    资金</w:t>
            </w:r>
          </w:p>
        </w:tc>
        <w:tc>
          <w:tcPr>
            <w:tcW w:w="2551" w:type="dxa"/>
            <w:vAlign w:val="center"/>
          </w:tcPr>
          <w:p w14:paraId="4FAD321C">
            <w:pPr>
              <w:pStyle w:val="12"/>
            </w:pPr>
            <w:r>
              <w:t>54.98</w:t>
            </w:r>
          </w:p>
        </w:tc>
        <w:tc>
          <w:tcPr>
            <w:tcW w:w="2268" w:type="dxa"/>
            <w:vAlign w:val="center"/>
          </w:tcPr>
          <w:p w14:paraId="049DA35F">
            <w:pPr>
              <w:pStyle w:val="10"/>
            </w:pPr>
            <w:r>
              <w:t>其他资金</w:t>
            </w:r>
          </w:p>
        </w:tc>
        <w:tc>
          <w:tcPr>
            <w:tcW w:w="1276" w:type="dxa"/>
            <w:vAlign w:val="center"/>
          </w:tcPr>
          <w:p w14:paraId="32DF809B">
            <w:pPr>
              <w:pStyle w:val="12"/>
            </w:pPr>
            <w:r>
              <w:t xml:space="preserve"> </w:t>
            </w:r>
          </w:p>
        </w:tc>
      </w:tr>
      <w:tr w14:paraId="26117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2BE19"/>
        </w:tc>
        <w:tc>
          <w:tcPr>
            <w:tcW w:w="14033" w:type="dxa"/>
            <w:gridSpan w:val="6"/>
            <w:vAlign w:val="center"/>
          </w:tcPr>
          <w:p w14:paraId="338783F3">
            <w:pPr>
              <w:pStyle w:val="12"/>
            </w:pPr>
            <w:r>
              <w:t>按时完成隆尧县第二实验小学供暖系统改造工程，提高师生学习工作环境。</w:t>
            </w:r>
            <w:r>
              <w:tab/>
            </w:r>
            <w:r>
              <w:tab/>
            </w:r>
            <w:r>
              <w:tab/>
            </w:r>
            <w:r>
              <w:tab/>
            </w:r>
            <w:r>
              <w:tab/>
            </w:r>
            <w:r>
              <w:tab/>
            </w:r>
          </w:p>
          <w:p w14:paraId="6D669DA3">
            <w:pPr>
              <w:pStyle w:val="12"/>
            </w:pPr>
          </w:p>
        </w:tc>
      </w:tr>
      <w:tr w14:paraId="2A877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4E489">
            <w:pPr>
              <w:pStyle w:val="10"/>
            </w:pPr>
            <w:r>
              <w:t>资金支出计划（%）</w:t>
            </w:r>
          </w:p>
        </w:tc>
        <w:tc>
          <w:tcPr>
            <w:tcW w:w="5103" w:type="dxa"/>
            <w:gridSpan w:val="2"/>
            <w:vAlign w:val="center"/>
          </w:tcPr>
          <w:p w14:paraId="2F5C0C15">
            <w:pPr>
              <w:pStyle w:val="10"/>
            </w:pPr>
            <w:r>
              <w:t>3月底</w:t>
            </w:r>
          </w:p>
        </w:tc>
        <w:tc>
          <w:tcPr>
            <w:tcW w:w="2835" w:type="dxa"/>
            <w:vAlign w:val="center"/>
          </w:tcPr>
          <w:p w14:paraId="79804AA8">
            <w:pPr>
              <w:pStyle w:val="10"/>
            </w:pPr>
            <w:r>
              <w:t>6月底</w:t>
            </w:r>
          </w:p>
        </w:tc>
        <w:tc>
          <w:tcPr>
            <w:tcW w:w="2551" w:type="dxa"/>
            <w:vAlign w:val="center"/>
          </w:tcPr>
          <w:p w14:paraId="69178CFB">
            <w:pPr>
              <w:pStyle w:val="10"/>
            </w:pPr>
            <w:r>
              <w:t>10月底</w:t>
            </w:r>
          </w:p>
        </w:tc>
        <w:tc>
          <w:tcPr>
            <w:tcW w:w="3544" w:type="dxa"/>
            <w:gridSpan w:val="2"/>
            <w:vAlign w:val="center"/>
          </w:tcPr>
          <w:p w14:paraId="08E9F4D2">
            <w:pPr>
              <w:pStyle w:val="10"/>
            </w:pPr>
            <w:r>
              <w:t>12月底</w:t>
            </w:r>
          </w:p>
        </w:tc>
      </w:tr>
      <w:tr w14:paraId="70D6D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5A706"/>
        </w:tc>
        <w:tc>
          <w:tcPr>
            <w:tcW w:w="5103" w:type="dxa"/>
            <w:gridSpan w:val="2"/>
            <w:vAlign w:val="center"/>
          </w:tcPr>
          <w:p w14:paraId="722BE2E9">
            <w:pPr>
              <w:pStyle w:val="13"/>
            </w:pPr>
            <w:r>
              <w:t xml:space="preserve"> </w:t>
            </w:r>
          </w:p>
        </w:tc>
        <w:tc>
          <w:tcPr>
            <w:tcW w:w="2835" w:type="dxa"/>
            <w:vAlign w:val="center"/>
          </w:tcPr>
          <w:p w14:paraId="7657BC21">
            <w:pPr>
              <w:pStyle w:val="13"/>
            </w:pPr>
            <w:r>
              <w:t>100%</w:t>
            </w:r>
          </w:p>
        </w:tc>
        <w:tc>
          <w:tcPr>
            <w:tcW w:w="2551" w:type="dxa"/>
            <w:vAlign w:val="center"/>
          </w:tcPr>
          <w:p w14:paraId="1368CC50">
            <w:pPr>
              <w:pStyle w:val="13"/>
            </w:pPr>
            <w:r>
              <w:t>100%</w:t>
            </w:r>
          </w:p>
        </w:tc>
        <w:tc>
          <w:tcPr>
            <w:tcW w:w="3544" w:type="dxa"/>
            <w:gridSpan w:val="2"/>
            <w:vAlign w:val="center"/>
          </w:tcPr>
          <w:p w14:paraId="1574D8AE">
            <w:pPr>
              <w:pStyle w:val="13"/>
            </w:pPr>
            <w:r>
              <w:t>100%</w:t>
            </w:r>
          </w:p>
        </w:tc>
      </w:tr>
      <w:tr w14:paraId="7BFD3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5F434">
            <w:pPr>
              <w:pStyle w:val="10"/>
            </w:pPr>
            <w:r>
              <w:t>绩效目标</w:t>
            </w:r>
          </w:p>
        </w:tc>
        <w:tc>
          <w:tcPr>
            <w:tcW w:w="14033" w:type="dxa"/>
            <w:gridSpan w:val="6"/>
            <w:vAlign w:val="center"/>
          </w:tcPr>
          <w:p w14:paraId="7E5ABBC4">
            <w:pPr>
              <w:pStyle w:val="12"/>
            </w:pPr>
            <w:r>
              <w:t>1.按照工程进度及时支付工程款</w:t>
            </w:r>
          </w:p>
          <w:p w14:paraId="535170E2">
            <w:pPr>
              <w:pStyle w:val="12"/>
            </w:pPr>
            <w:r>
              <w:t>2.按时完成隆尧县第二实验小学供暖系统改造工程，提高师生学习工作环境。</w:t>
            </w:r>
          </w:p>
        </w:tc>
      </w:tr>
    </w:tbl>
    <w:p w14:paraId="56175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3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9FC9D">
            <w:pPr>
              <w:pStyle w:val="10"/>
            </w:pPr>
            <w:r>
              <w:t>一级指标</w:t>
            </w:r>
          </w:p>
        </w:tc>
        <w:tc>
          <w:tcPr>
            <w:tcW w:w="2268" w:type="dxa"/>
            <w:vAlign w:val="center"/>
          </w:tcPr>
          <w:p w14:paraId="2992ED23">
            <w:pPr>
              <w:pStyle w:val="10"/>
            </w:pPr>
            <w:r>
              <w:t>二级指标</w:t>
            </w:r>
          </w:p>
        </w:tc>
        <w:tc>
          <w:tcPr>
            <w:tcW w:w="2835" w:type="dxa"/>
            <w:vAlign w:val="center"/>
          </w:tcPr>
          <w:p w14:paraId="63F24A27">
            <w:pPr>
              <w:pStyle w:val="10"/>
            </w:pPr>
            <w:r>
              <w:t>三级指标</w:t>
            </w:r>
          </w:p>
        </w:tc>
        <w:tc>
          <w:tcPr>
            <w:tcW w:w="5386" w:type="dxa"/>
            <w:vAlign w:val="center"/>
          </w:tcPr>
          <w:p w14:paraId="0791180E">
            <w:pPr>
              <w:pStyle w:val="10"/>
            </w:pPr>
            <w:r>
              <w:t>绩效指标描述</w:t>
            </w:r>
          </w:p>
        </w:tc>
        <w:tc>
          <w:tcPr>
            <w:tcW w:w="2268" w:type="dxa"/>
            <w:vAlign w:val="center"/>
          </w:tcPr>
          <w:p w14:paraId="77BF9157">
            <w:pPr>
              <w:pStyle w:val="10"/>
            </w:pPr>
            <w:r>
              <w:t>指标值</w:t>
            </w:r>
          </w:p>
        </w:tc>
        <w:tc>
          <w:tcPr>
            <w:tcW w:w="1276" w:type="dxa"/>
            <w:vAlign w:val="center"/>
          </w:tcPr>
          <w:p w14:paraId="2E005B0A">
            <w:pPr>
              <w:pStyle w:val="10"/>
            </w:pPr>
            <w:r>
              <w:t>指标值确定依据</w:t>
            </w:r>
          </w:p>
        </w:tc>
      </w:tr>
      <w:tr w14:paraId="5382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4DE5B">
            <w:pPr>
              <w:pStyle w:val="13"/>
            </w:pPr>
            <w:r>
              <w:t>产出指标</w:t>
            </w:r>
          </w:p>
        </w:tc>
        <w:tc>
          <w:tcPr>
            <w:tcW w:w="2268" w:type="dxa"/>
            <w:vAlign w:val="center"/>
          </w:tcPr>
          <w:p w14:paraId="3204F5DE">
            <w:pPr>
              <w:pStyle w:val="12"/>
            </w:pPr>
            <w:r>
              <w:t>数量指标</w:t>
            </w:r>
          </w:p>
        </w:tc>
        <w:tc>
          <w:tcPr>
            <w:tcW w:w="2835" w:type="dxa"/>
            <w:vAlign w:val="center"/>
          </w:tcPr>
          <w:p w14:paraId="72F52F78">
            <w:pPr>
              <w:pStyle w:val="12"/>
            </w:pPr>
            <w:r>
              <w:t>供暖系统改造</w:t>
            </w:r>
          </w:p>
        </w:tc>
        <w:tc>
          <w:tcPr>
            <w:tcW w:w="5386" w:type="dxa"/>
            <w:vAlign w:val="center"/>
          </w:tcPr>
          <w:p w14:paraId="6BF9BE0F">
            <w:pPr>
              <w:pStyle w:val="12"/>
            </w:pPr>
            <w:r>
              <w:t>按照合同规定的时间完成</w:t>
            </w:r>
          </w:p>
        </w:tc>
        <w:tc>
          <w:tcPr>
            <w:tcW w:w="2268" w:type="dxa"/>
            <w:vAlign w:val="center"/>
          </w:tcPr>
          <w:p w14:paraId="39367317">
            <w:pPr>
              <w:pStyle w:val="12"/>
            </w:pPr>
            <w:r>
              <w:t>100%</w:t>
            </w:r>
          </w:p>
        </w:tc>
        <w:tc>
          <w:tcPr>
            <w:tcW w:w="1276" w:type="dxa"/>
            <w:vAlign w:val="center"/>
          </w:tcPr>
          <w:p w14:paraId="16E60539">
            <w:pPr>
              <w:pStyle w:val="12"/>
            </w:pPr>
            <w:r>
              <w:t>年度工作计划</w:t>
            </w:r>
          </w:p>
        </w:tc>
      </w:tr>
      <w:tr w14:paraId="37AE3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CCBB7"/>
        </w:tc>
        <w:tc>
          <w:tcPr>
            <w:tcW w:w="2268" w:type="dxa"/>
            <w:vAlign w:val="center"/>
          </w:tcPr>
          <w:p w14:paraId="5200D7AB">
            <w:pPr>
              <w:pStyle w:val="12"/>
            </w:pPr>
            <w:r>
              <w:t>质量指标</w:t>
            </w:r>
          </w:p>
        </w:tc>
        <w:tc>
          <w:tcPr>
            <w:tcW w:w="2835" w:type="dxa"/>
            <w:vAlign w:val="center"/>
          </w:tcPr>
          <w:p w14:paraId="01A0A617">
            <w:pPr>
              <w:pStyle w:val="12"/>
            </w:pPr>
            <w:r>
              <w:t>供暖系统改造</w:t>
            </w:r>
          </w:p>
        </w:tc>
        <w:tc>
          <w:tcPr>
            <w:tcW w:w="5386" w:type="dxa"/>
            <w:vAlign w:val="center"/>
          </w:tcPr>
          <w:p w14:paraId="0B34A25D">
            <w:pPr>
              <w:pStyle w:val="12"/>
            </w:pPr>
            <w:r>
              <w:t>工程验收合格率</w:t>
            </w:r>
          </w:p>
        </w:tc>
        <w:tc>
          <w:tcPr>
            <w:tcW w:w="2268" w:type="dxa"/>
            <w:vAlign w:val="center"/>
          </w:tcPr>
          <w:p w14:paraId="537B7E17">
            <w:pPr>
              <w:pStyle w:val="12"/>
            </w:pPr>
            <w:r>
              <w:t>100%</w:t>
            </w:r>
          </w:p>
        </w:tc>
        <w:tc>
          <w:tcPr>
            <w:tcW w:w="1276" w:type="dxa"/>
            <w:vAlign w:val="center"/>
          </w:tcPr>
          <w:p w14:paraId="005F219C">
            <w:pPr>
              <w:pStyle w:val="12"/>
            </w:pPr>
            <w:r>
              <w:t>年度工作计划</w:t>
            </w:r>
          </w:p>
        </w:tc>
      </w:tr>
      <w:tr w14:paraId="5755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8D69A"/>
        </w:tc>
        <w:tc>
          <w:tcPr>
            <w:tcW w:w="2268" w:type="dxa"/>
            <w:vAlign w:val="center"/>
          </w:tcPr>
          <w:p w14:paraId="7E087804">
            <w:pPr>
              <w:pStyle w:val="12"/>
            </w:pPr>
            <w:r>
              <w:t>时效指标</w:t>
            </w:r>
          </w:p>
        </w:tc>
        <w:tc>
          <w:tcPr>
            <w:tcW w:w="2835" w:type="dxa"/>
            <w:vAlign w:val="center"/>
          </w:tcPr>
          <w:p w14:paraId="1F7AEFFD">
            <w:pPr>
              <w:pStyle w:val="12"/>
            </w:pPr>
            <w:r>
              <w:t>资金支付进度</w:t>
            </w:r>
          </w:p>
        </w:tc>
        <w:tc>
          <w:tcPr>
            <w:tcW w:w="5386" w:type="dxa"/>
            <w:vAlign w:val="center"/>
          </w:tcPr>
          <w:p w14:paraId="166F2548">
            <w:pPr>
              <w:pStyle w:val="12"/>
            </w:pPr>
            <w:r>
              <w:t>规定时间内完成率</w:t>
            </w:r>
          </w:p>
        </w:tc>
        <w:tc>
          <w:tcPr>
            <w:tcW w:w="2268" w:type="dxa"/>
            <w:vAlign w:val="center"/>
          </w:tcPr>
          <w:p w14:paraId="6113F436">
            <w:pPr>
              <w:pStyle w:val="12"/>
            </w:pPr>
            <w:r>
              <w:t>100%</w:t>
            </w:r>
          </w:p>
        </w:tc>
        <w:tc>
          <w:tcPr>
            <w:tcW w:w="1276" w:type="dxa"/>
            <w:vAlign w:val="center"/>
          </w:tcPr>
          <w:p w14:paraId="42C9D899">
            <w:pPr>
              <w:pStyle w:val="12"/>
            </w:pPr>
            <w:r>
              <w:t>年度工作计划</w:t>
            </w:r>
          </w:p>
        </w:tc>
      </w:tr>
      <w:tr w14:paraId="5FB3B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FF403"/>
        </w:tc>
        <w:tc>
          <w:tcPr>
            <w:tcW w:w="2268" w:type="dxa"/>
            <w:vAlign w:val="center"/>
          </w:tcPr>
          <w:p w14:paraId="29B8EC5D">
            <w:pPr>
              <w:pStyle w:val="12"/>
            </w:pPr>
            <w:r>
              <w:t>成本指标</w:t>
            </w:r>
          </w:p>
        </w:tc>
        <w:tc>
          <w:tcPr>
            <w:tcW w:w="2835" w:type="dxa"/>
            <w:vAlign w:val="center"/>
          </w:tcPr>
          <w:p w14:paraId="36BE4BB8">
            <w:pPr>
              <w:pStyle w:val="12"/>
            </w:pPr>
            <w:r>
              <w:t>工程实际成本</w:t>
            </w:r>
          </w:p>
        </w:tc>
        <w:tc>
          <w:tcPr>
            <w:tcW w:w="5386" w:type="dxa"/>
            <w:vAlign w:val="center"/>
          </w:tcPr>
          <w:p w14:paraId="7D847082">
            <w:pPr>
              <w:pStyle w:val="12"/>
            </w:pPr>
            <w:r>
              <w:t>工程实际成本</w:t>
            </w:r>
          </w:p>
        </w:tc>
        <w:tc>
          <w:tcPr>
            <w:tcW w:w="2268" w:type="dxa"/>
            <w:vAlign w:val="center"/>
          </w:tcPr>
          <w:p w14:paraId="5C5D8DF5">
            <w:pPr>
              <w:pStyle w:val="12"/>
            </w:pPr>
            <w:r>
              <w:t>549799元</w:t>
            </w:r>
          </w:p>
        </w:tc>
        <w:tc>
          <w:tcPr>
            <w:tcW w:w="1276" w:type="dxa"/>
            <w:vAlign w:val="center"/>
          </w:tcPr>
          <w:p w14:paraId="284FDFA7">
            <w:pPr>
              <w:pStyle w:val="12"/>
            </w:pPr>
            <w:r>
              <w:t>行业标准</w:t>
            </w:r>
          </w:p>
        </w:tc>
      </w:tr>
      <w:tr w14:paraId="6C719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3AC61">
            <w:pPr>
              <w:pStyle w:val="13"/>
            </w:pPr>
            <w:r>
              <w:t>效益指标</w:t>
            </w:r>
          </w:p>
        </w:tc>
        <w:tc>
          <w:tcPr>
            <w:tcW w:w="2268" w:type="dxa"/>
            <w:vAlign w:val="center"/>
          </w:tcPr>
          <w:p w14:paraId="10C37F1A">
            <w:pPr>
              <w:pStyle w:val="12"/>
            </w:pPr>
            <w:r>
              <w:t>经济效益指标</w:t>
            </w:r>
          </w:p>
        </w:tc>
        <w:tc>
          <w:tcPr>
            <w:tcW w:w="2835" w:type="dxa"/>
            <w:vAlign w:val="center"/>
          </w:tcPr>
          <w:p w14:paraId="7CFB08B1">
            <w:pPr>
              <w:pStyle w:val="12"/>
            </w:pPr>
            <w:r>
              <w:t>使用年限</w:t>
            </w:r>
          </w:p>
        </w:tc>
        <w:tc>
          <w:tcPr>
            <w:tcW w:w="5386" w:type="dxa"/>
            <w:vAlign w:val="center"/>
          </w:tcPr>
          <w:p w14:paraId="316057BD">
            <w:pPr>
              <w:pStyle w:val="12"/>
            </w:pPr>
            <w:r>
              <w:t>达到合同要求的使用年限</w:t>
            </w:r>
          </w:p>
        </w:tc>
        <w:tc>
          <w:tcPr>
            <w:tcW w:w="2268" w:type="dxa"/>
            <w:vAlign w:val="center"/>
          </w:tcPr>
          <w:p w14:paraId="48699ED4">
            <w:pPr>
              <w:pStyle w:val="12"/>
            </w:pPr>
            <w:r>
              <w:t>≥5年</w:t>
            </w:r>
          </w:p>
        </w:tc>
        <w:tc>
          <w:tcPr>
            <w:tcW w:w="1276" w:type="dxa"/>
            <w:vAlign w:val="center"/>
          </w:tcPr>
          <w:p w14:paraId="3DAF5513">
            <w:pPr>
              <w:pStyle w:val="12"/>
            </w:pPr>
            <w:r>
              <w:t>行业标准</w:t>
            </w:r>
          </w:p>
        </w:tc>
      </w:tr>
      <w:tr w14:paraId="37D5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F645A"/>
        </w:tc>
        <w:tc>
          <w:tcPr>
            <w:tcW w:w="2268" w:type="dxa"/>
            <w:vAlign w:val="center"/>
          </w:tcPr>
          <w:p w14:paraId="0D17813B">
            <w:pPr>
              <w:pStyle w:val="12"/>
            </w:pPr>
            <w:r>
              <w:t>生态效益指标</w:t>
            </w:r>
          </w:p>
        </w:tc>
        <w:tc>
          <w:tcPr>
            <w:tcW w:w="2835" w:type="dxa"/>
            <w:vAlign w:val="center"/>
          </w:tcPr>
          <w:p w14:paraId="30B8098C">
            <w:pPr>
              <w:pStyle w:val="12"/>
            </w:pPr>
            <w:r>
              <w:t>节能环保标准</w:t>
            </w:r>
          </w:p>
        </w:tc>
        <w:tc>
          <w:tcPr>
            <w:tcW w:w="5386" w:type="dxa"/>
            <w:vAlign w:val="center"/>
          </w:tcPr>
          <w:p w14:paraId="776DAB86">
            <w:pPr>
              <w:pStyle w:val="12"/>
            </w:pPr>
            <w:r>
              <w:t>达到行业标准</w:t>
            </w:r>
          </w:p>
        </w:tc>
        <w:tc>
          <w:tcPr>
            <w:tcW w:w="2268" w:type="dxa"/>
            <w:vAlign w:val="center"/>
          </w:tcPr>
          <w:p w14:paraId="6359F7AC">
            <w:pPr>
              <w:pStyle w:val="12"/>
            </w:pPr>
            <w:r>
              <w:t>100%</w:t>
            </w:r>
          </w:p>
        </w:tc>
        <w:tc>
          <w:tcPr>
            <w:tcW w:w="1276" w:type="dxa"/>
            <w:vAlign w:val="center"/>
          </w:tcPr>
          <w:p w14:paraId="2ED6D920">
            <w:pPr>
              <w:pStyle w:val="12"/>
            </w:pPr>
            <w:r>
              <w:t>行业标准</w:t>
            </w:r>
          </w:p>
        </w:tc>
      </w:tr>
      <w:tr w14:paraId="3D72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BCC57">
            <w:pPr>
              <w:pStyle w:val="13"/>
            </w:pPr>
            <w:r>
              <w:t>满意度指标</w:t>
            </w:r>
          </w:p>
        </w:tc>
        <w:tc>
          <w:tcPr>
            <w:tcW w:w="2268" w:type="dxa"/>
            <w:vAlign w:val="center"/>
          </w:tcPr>
          <w:p w14:paraId="22C8ED41">
            <w:pPr>
              <w:pStyle w:val="12"/>
            </w:pPr>
            <w:r>
              <w:t>服务对象满意度指标</w:t>
            </w:r>
          </w:p>
        </w:tc>
        <w:tc>
          <w:tcPr>
            <w:tcW w:w="2835" w:type="dxa"/>
            <w:vAlign w:val="center"/>
          </w:tcPr>
          <w:p w14:paraId="6C5D63AF">
            <w:pPr>
              <w:pStyle w:val="12"/>
            </w:pPr>
            <w:r>
              <w:t>师生对学习生活环境的满意度</w:t>
            </w:r>
          </w:p>
        </w:tc>
        <w:tc>
          <w:tcPr>
            <w:tcW w:w="5386" w:type="dxa"/>
            <w:vAlign w:val="center"/>
          </w:tcPr>
          <w:p w14:paraId="49F68B08">
            <w:pPr>
              <w:pStyle w:val="12"/>
            </w:pPr>
            <w:r>
              <w:t>师生对学习生活环境的满意度</w:t>
            </w:r>
          </w:p>
        </w:tc>
        <w:tc>
          <w:tcPr>
            <w:tcW w:w="2268" w:type="dxa"/>
            <w:vAlign w:val="center"/>
          </w:tcPr>
          <w:p w14:paraId="14F2CC08">
            <w:pPr>
              <w:pStyle w:val="12"/>
            </w:pPr>
            <w:r>
              <w:t>≥98%</w:t>
            </w:r>
          </w:p>
        </w:tc>
        <w:tc>
          <w:tcPr>
            <w:tcW w:w="1276" w:type="dxa"/>
            <w:vAlign w:val="center"/>
          </w:tcPr>
          <w:p w14:paraId="6AED707F">
            <w:pPr>
              <w:pStyle w:val="12"/>
            </w:pPr>
            <w:r>
              <w:t>满意度调查</w:t>
            </w:r>
          </w:p>
        </w:tc>
      </w:tr>
    </w:tbl>
    <w:p w14:paraId="5B4F76AD">
      <w:pPr>
        <w:sectPr>
          <w:pgSz w:w="16840" w:h="11900" w:orient="landscape"/>
          <w:pgMar w:top="1361" w:right="1020" w:bottom="1134" w:left="1020" w:header="720" w:footer="720" w:gutter="0"/>
          <w:cols w:space="720" w:num="1"/>
        </w:sectPr>
      </w:pPr>
    </w:p>
    <w:p w14:paraId="0B9E1B67">
      <w:pPr>
        <w:spacing w:before="0" w:after="0"/>
        <w:ind w:firstLine="560"/>
        <w:jc w:val="left"/>
        <w:outlineLvl w:val="9"/>
      </w:pPr>
      <w:r>
        <w:rPr>
          <w:rFonts w:ascii="方正仿宋_GBK" w:hAnsi="方正仿宋_GBK" w:eastAsia="方正仿宋_GBK" w:cs="方正仿宋_GBK"/>
          <w:b/>
          <w:color w:val="000000"/>
          <w:sz w:val="28"/>
        </w:rPr>
        <w:t>3、冀财教[2025]121号/中央/2026年义教补助经费/第二实验小学公用经费绩效目标表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9C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F68CF">
            <w:pPr>
              <w:pStyle w:val="11"/>
            </w:pPr>
            <w:r>
              <w:t>单位：万元</w:t>
            </w:r>
          </w:p>
        </w:tc>
      </w:tr>
      <w:tr w14:paraId="029F5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B7D80">
            <w:pPr>
              <w:pStyle w:val="10"/>
            </w:pPr>
            <w:r>
              <w:t>项目编码</w:t>
            </w:r>
          </w:p>
        </w:tc>
        <w:tc>
          <w:tcPr>
            <w:tcW w:w="5103" w:type="dxa"/>
            <w:gridSpan w:val="2"/>
            <w:vAlign w:val="center"/>
          </w:tcPr>
          <w:p w14:paraId="69A9F4D4">
            <w:pPr>
              <w:pStyle w:val="12"/>
            </w:pPr>
            <w:r>
              <w:t>13052526P00000410259W</w:t>
            </w:r>
          </w:p>
        </w:tc>
        <w:tc>
          <w:tcPr>
            <w:tcW w:w="2835" w:type="dxa"/>
            <w:vAlign w:val="center"/>
          </w:tcPr>
          <w:p w14:paraId="12D41139">
            <w:pPr>
              <w:pStyle w:val="10"/>
            </w:pPr>
            <w:r>
              <w:t>项目名称</w:t>
            </w:r>
          </w:p>
        </w:tc>
        <w:tc>
          <w:tcPr>
            <w:tcW w:w="6095" w:type="dxa"/>
            <w:gridSpan w:val="3"/>
            <w:vAlign w:val="center"/>
          </w:tcPr>
          <w:p w14:paraId="087E5A8E">
            <w:pPr>
              <w:pStyle w:val="12"/>
            </w:pPr>
            <w:r>
              <w:t>冀财教[2025]121号/中央/2026年义教补助经费/第二实验小学公用经费</w:t>
            </w:r>
          </w:p>
        </w:tc>
      </w:tr>
      <w:tr w14:paraId="50410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F541B">
            <w:pPr>
              <w:pStyle w:val="10"/>
            </w:pPr>
            <w:r>
              <w:t>预算规模及资金用途</w:t>
            </w:r>
          </w:p>
        </w:tc>
        <w:tc>
          <w:tcPr>
            <w:tcW w:w="2268" w:type="dxa"/>
            <w:vAlign w:val="center"/>
          </w:tcPr>
          <w:p w14:paraId="0D108F19">
            <w:pPr>
              <w:pStyle w:val="10"/>
            </w:pPr>
            <w:r>
              <w:t>预算数</w:t>
            </w:r>
          </w:p>
        </w:tc>
        <w:tc>
          <w:tcPr>
            <w:tcW w:w="2835" w:type="dxa"/>
            <w:vAlign w:val="center"/>
          </w:tcPr>
          <w:p w14:paraId="4E3AC6EF">
            <w:pPr>
              <w:pStyle w:val="12"/>
            </w:pPr>
            <w:r>
              <w:t>171.90</w:t>
            </w:r>
          </w:p>
        </w:tc>
        <w:tc>
          <w:tcPr>
            <w:tcW w:w="2835" w:type="dxa"/>
            <w:vAlign w:val="center"/>
          </w:tcPr>
          <w:p w14:paraId="0001CE7E">
            <w:pPr>
              <w:pStyle w:val="10"/>
            </w:pPr>
            <w:r>
              <w:t>其中：财政    资金</w:t>
            </w:r>
          </w:p>
        </w:tc>
        <w:tc>
          <w:tcPr>
            <w:tcW w:w="2551" w:type="dxa"/>
            <w:vAlign w:val="center"/>
          </w:tcPr>
          <w:p w14:paraId="66900ACF">
            <w:pPr>
              <w:pStyle w:val="12"/>
            </w:pPr>
            <w:r>
              <w:t>171.90</w:t>
            </w:r>
          </w:p>
        </w:tc>
        <w:tc>
          <w:tcPr>
            <w:tcW w:w="2268" w:type="dxa"/>
            <w:vAlign w:val="center"/>
          </w:tcPr>
          <w:p w14:paraId="21AB6F03">
            <w:pPr>
              <w:pStyle w:val="10"/>
            </w:pPr>
            <w:r>
              <w:t>其他资金</w:t>
            </w:r>
          </w:p>
        </w:tc>
        <w:tc>
          <w:tcPr>
            <w:tcW w:w="1276" w:type="dxa"/>
            <w:vAlign w:val="center"/>
          </w:tcPr>
          <w:p w14:paraId="2534A4B0">
            <w:pPr>
              <w:pStyle w:val="12"/>
            </w:pPr>
            <w:r>
              <w:t xml:space="preserve"> </w:t>
            </w:r>
          </w:p>
        </w:tc>
      </w:tr>
      <w:tr w14:paraId="4903C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99DAD"/>
        </w:tc>
        <w:tc>
          <w:tcPr>
            <w:tcW w:w="14033" w:type="dxa"/>
            <w:gridSpan w:val="6"/>
            <w:vAlign w:val="center"/>
          </w:tcPr>
          <w:p w14:paraId="1D923FC9">
            <w:pPr>
              <w:pStyle w:val="12"/>
            </w:pPr>
            <w:r>
              <w:t>保障义务教育学校正常运转，完成教育教学活动和其他日常工作任务等方面的费用支出。</w:t>
            </w:r>
          </w:p>
        </w:tc>
      </w:tr>
      <w:tr w14:paraId="3C404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8F710">
            <w:pPr>
              <w:pStyle w:val="10"/>
            </w:pPr>
            <w:r>
              <w:t>资金支出计划（%）</w:t>
            </w:r>
          </w:p>
        </w:tc>
        <w:tc>
          <w:tcPr>
            <w:tcW w:w="5103" w:type="dxa"/>
            <w:gridSpan w:val="2"/>
            <w:vAlign w:val="center"/>
          </w:tcPr>
          <w:p w14:paraId="4F57DE4E">
            <w:pPr>
              <w:pStyle w:val="10"/>
            </w:pPr>
            <w:r>
              <w:t>3月底</w:t>
            </w:r>
          </w:p>
        </w:tc>
        <w:tc>
          <w:tcPr>
            <w:tcW w:w="2835" w:type="dxa"/>
            <w:vAlign w:val="center"/>
          </w:tcPr>
          <w:p w14:paraId="3F7EBC34">
            <w:pPr>
              <w:pStyle w:val="10"/>
            </w:pPr>
            <w:r>
              <w:t>6月底</w:t>
            </w:r>
          </w:p>
        </w:tc>
        <w:tc>
          <w:tcPr>
            <w:tcW w:w="2551" w:type="dxa"/>
            <w:vAlign w:val="center"/>
          </w:tcPr>
          <w:p w14:paraId="48122024">
            <w:pPr>
              <w:pStyle w:val="10"/>
            </w:pPr>
            <w:r>
              <w:t>10月底</w:t>
            </w:r>
          </w:p>
        </w:tc>
        <w:tc>
          <w:tcPr>
            <w:tcW w:w="3544" w:type="dxa"/>
            <w:gridSpan w:val="2"/>
            <w:vAlign w:val="center"/>
          </w:tcPr>
          <w:p w14:paraId="144DB62E">
            <w:pPr>
              <w:pStyle w:val="10"/>
            </w:pPr>
            <w:r>
              <w:t>12月底</w:t>
            </w:r>
          </w:p>
        </w:tc>
      </w:tr>
      <w:tr w14:paraId="737E2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03D67"/>
        </w:tc>
        <w:tc>
          <w:tcPr>
            <w:tcW w:w="5103" w:type="dxa"/>
            <w:gridSpan w:val="2"/>
            <w:vAlign w:val="center"/>
          </w:tcPr>
          <w:p w14:paraId="42459466">
            <w:pPr>
              <w:pStyle w:val="13"/>
            </w:pPr>
            <w:r>
              <w:t>25%</w:t>
            </w:r>
          </w:p>
        </w:tc>
        <w:tc>
          <w:tcPr>
            <w:tcW w:w="2835" w:type="dxa"/>
            <w:vAlign w:val="center"/>
          </w:tcPr>
          <w:p w14:paraId="4892778F">
            <w:pPr>
              <w:pStyle w:val="13"/>
            </w:pPr>
            <w:r>
              <w:t>50%</w:t>
            </w:r>
          </w:p>
        </w:tc>
        <w:tc>
          <w:tcPr>
            <w:tcW w:w="2551" w:type="dxa"/>
            <w:vAlign w:val="center"/>
          </w:tcPr>
          <w:p w14:paraId="3D55D332">
            <w:pPr>
              <w:pStyle w:val="13"/>
            </w:pPr>
            <w:r>
              <w:t>75%</w:t>
            </w:r>
          </w:p>
        </w:tc>
        <w:tc>
          <w:tcPr>
            <w:tcW w:w="3544" w:type="dxa"/>
            <w:gridSpan w:val="2"/>
            <w:vAlign w:val="center"/>
          </w:tcPr>
          <w:p w14:paraId="60E4363F">
            <w:pPr>
              <w:pStyle w:val="13"/>
            </w:pPr>
            <w:r>
              <w:t>100%</w:t>
            </w:r>
          </w:p>
        </w:tc>
      </w:tr>
      <w:tr w14:paraId="112DC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5C480">
            <w:pPr>
              <w:pStyle w:val="10"/>
            </w:pPr>
            <w:r>
              <w:t>绩效目标</w:t>
            </w:r>
          </w:p>
        </w:tc>
        <w:tc>
          <w:tcPr>
            <w:tcW w:w="14033" w:type="dxa"/>
            <w:gridSpan w:val="6"/>
            <w:vAlign w:val="center"/>
          </w:tcPr>
          <w:p w14:paraId="399C3DF7">
            <w:pPr>
              <w:pStyle w:val="12"/>
            </w:pPr>
            <w:r>
              <w:t>1.保障义务教育学校正常运转，完成教育教学活动和其他日常工作任务等方面的费用支出。</w:t>
            </w:r>
          </w:p>
          <w:p w14:paraId="2BDE076E">
            <w:pPr>
              <w:pStyle w:val="12"/>
            </w:pPr>
            <w:r>
              <w:t>2.按时完成资金拨款和支付。</w:t>
            </w:r>
          </w:p>
        </w:tc>
      </w:tr>
    </w:tbl>
    <w:p w14:paraId="45257B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A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6AFCD">
            <w:pPr>
              <w:pStyle w:val="10"/>
            </w:pPr>
            <w:r>
              <w:t>一级指标</w:t>
            </w:r>
          </w:p>
        </w:tc>
        <w:tc>
          <w:tcPr>
            <w:tcW w:w="2268" w:type="dxa"/>
            <w:vAlign w:val="center"/>
          </w:tcPr>
          <w:p w14:paraId="1A1B6294">
            <w:pPr>
              <w:pStyle w:val="10"/>
            </w:pPr>
            <w:r>
              <w:t>二级指标</w:t>
            </w:r>
          </w:p>
        </w:tc>
        <w:tc>
          <w:tcPr>
            <w:tcW w:w="2835" w:type="dxa"/>
            <w:vAlign w:val="center"/>
          </w:tcPr>
          <w:p w14:paraId="430A6CE2">
            <w:pPr>
              <w:pStyle w:val="10"/>
            </w:pPr>
            <w:r>
              <w:t>三级指标</w:t>
            </w:r>
          </w:p>
        </w:tc>
        <w:tc>
          <w:tcPr>
            <w:tcW w:w="5386" w:type="dxa"/>
            <w:vAlign w:val="center"/>
          </w:tcPr>
          <w:p w14:paraId="71A2CBF8">
            <w:pPr>
              <w:pStyle w:val="10"/>
            </w:pPr>
            <w:r>
              <w:t>绩效指标描述</w:t>
            </w:r>
          </w:p>
        </w:tc>
        <w:tc>
          <w:tcPr>
            <w:tcW w:w="2268" w:type="dxa"/>
            <w:vAlign w:val="center"/>
          </w:tcPr>
          <w:p w14:paraId="189C1EE8">
            <w:pPr>
              <w:pStyle w:val="10"/>
            </w:pPr>
            <w:r>
              <w:t>指标值</w:t>
            </w:r>
          </w:p>
        </w:tc>
        <w:tc>
          <w:tcPr>
            <w:tcW w:w="1276" w:type="dxa"/>
            <w:vAlign w:val="center"/>
          </w:tcPr>
          <w:p w14:paraId="2AAC0603">
            <w:pPr>
              <w:pStyle w:val="10"/>
            </w:pPr>
            <w:r>
              <w:t>指标值确定依据</w:t>
            </w:r>
          </w:p>
        </w:tc>
      </w:tr>
      <w:tr w14:paraId="49A0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F2B89">
            <w:pPr>
              <w:pStyle w:val="13"/>
            </w:pPr>
            <w:r>
              <w:t>产出指标</w:t>
            </w:r>
          </w:p>
        </w:tc>
        <w:tc>
          <w:tcPr>
            <w:tcW w:w="2268" w:type="dxa"/>
            <w:vAlign w:val="center"/>
          </w:tcPr>
          <w:p w14:paraId="3FCC546A">
            <w:pPr>
              <w:pStyle w:val="12"/>
            </w:pPr>
            <w:r>
              <w:t>数量指标</w:t>
            </w:r>
          </w:p>
        </w:tc>
        <w:tc>
          <w:tcPr>
            <w:tcW w:w="2835" w:type="dxa"/>
            <w:vAlign w:val="center"/>
          </w:tcPr>
          <w:p w14:paraId="11CBC6C9">
            <w:pPr>
              <w:pStyle w:val="12"/>
            </w:pPr>
            <w:r>
              <w:t>适龄在校生</w:t>
            </w:r>
          </w:p>
        </w:tc>
        <w:tc>
          <w:tcPr>
            <w:tcW w:w="5386" w:type="dxa"/>
            <w:vAlign w:val="center"/>
          </w:tcPr>
          <w:p w14:paraId="5F6FA56C">
            <w:pPr>
              <w:pStyle w:val="12"/>
            </w:pPr>
            <w:r>
              <w:t>适龄在校就读学生人数</w:t>
            </w:r>
          </w:p>
        </w:tc>
        <w:tc>
          <w:tcPr>
            <w:tcW w:w="2268" w:type="dxa"/>
            <w:vAlign w:val="center"/>
          </w:tcPr>
          <w:p w14:paraId="3C651E83">
            <w:pPr>
              <w:pStyle w:val="12"/>
            </w:pPr>
            <w:r>
              <w:t>3165人</w:t>
            </w:r>
          </w:p>
        </w:tc>
        <w:tc>
          <w:tcPr>
            <w:tcW w:w="1276" w:type="dxa"/>
            <w:vAlign w:val="center"/>
          </w:tcPr>
          <w:p w14:paraId="3B50DE82">
            <w:pPr>
              <w:pStyle w:val="12"/>
            </w:pPr>
            <w:r>
              <w:t>年度工作计划</w:t>
            </w:r>
          </w:p>
        </w:tc>
      </w:tr>
      <w:tr w14:paraId="62999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AB5C2"/>
        </w:tc>
        <w:tc>
          <w:tcPr>
            <w:tcW w:w="2268" w:type="dxa"/>
            <w:vAlign w:val="center"/>
          </w:tcPr>
          <w:p w14:paraId="3CCF4907">
            <w:pPr>
              <w:pStyle w:val="12"/>
            </w:pPr>
            <w:r>
              <w:t>质量指标</w:t>
            </w:r>
          </w:p>
        </w:tc>
        <w:tc>
          <w:tcPr>
            <w:tcW w:w="2835" w:type="dxa"/>
            <w:vAlign w:val="center"/>
          </w:tcPr>
          <w:p w14:paraId="6A4A2E68">
            <w:pPr>
              <w:pStyle w:val="12"/>
            </w:pPr>
            <w:r>
              <w:t>公用经费拨付完成率</w:t>
            </w:r>
          </w:p>
        </w:tc>
        <w:tc>
          <w:tcPr>
            <w:tcW w:w="5386" w:type="dxa"/>
            <w:vAlign w:val="center"/>
          </w:tcPr>
          <w:p w14:paraId="2B651DB2">
            <w:pPr>
              <w:pStyle w:val="12"/>
            </w:pPr>
            <w:r>
              <w:t>公用经费拨付完成率达到需时进度</w:t>
            </w:r>
          </w:p>
        </w:tc>
        <w:tc>
          <w:tcPr>
            <w:tcW w:w="2268" w:type="dxa"/>
            <w:vAlign w:val="center"/>
          </w:tcPr>
          <w:p w14:paraId="3173C8EB">
            <w:pPr>
              <w:pStyle w:val="12"/>
            </w:pPr>
            <w:r>
              <w:t>100%</w:t>
            </w:r>
          </w:p>
        </w:tc>
        <w:tc>
          <w:tcPr>
            <w:tcW w:w="1276" w:type="dxa"/>
            <w:vAlign w:val="center"/>
          </w:tcPr>
          <w:p w14:paraId="4BB8E9A0">
            <w:pPr>
              <w:pStyle w:val="12"/>
            </w:pPr>
            <w:r>
              <w:t>年度工作计划</w:t>
            </w:r>
          </w:p>
        </w:tc>
      </w:tr>
      <w:tr w14:paraId="577B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F468B"/>
        </w:tc>
        <w:tc>
          <w:tcPr>
            <w:tcW w:w="2268" w:type="dxa"/>
            <w:vAlign w:val="center"/>
          </w:tcPr>
          <w:p w14:paraId="194EBCF5">
            <w:pPr>
              <w:pStyle w:val="12"/>
            </w:pPr>
            <w:r>
              <w:t>时效指标</w:t>
            </w:r>
          </w:p>
        </w:tc>
        <w:tc>
          <w:tcPr>
            <w:tcW w:w="2835" w:type="dxa"/>
            <w:vAlign w:val="center"/>
          </w:tcPr>
          <w:p w14:paraId="714B0868">
            <w:pPr>
              <w:pStyle w:val="12"/>
            </w:pPr>
            <w:r>
              <w:t>义教经费支付完成率</w:t>
            </w:r>
          </w:p>
        </w:tc>
        <w:tc>
          <w:tcPr>
            <w:tcW w:w="5386" w:type="dxa"/>
            <w:vAlign w:val="center"/>
          </w:tcPr>
          <w:p w14:paraId="2BD2A40E">
            <w:pPr>
              <w:pStyle w:val="12"/>
            </w:pPr>
            <w:r>
              <w:t>按照序时进度完成资金支付</w:t>
            </w:r>
          </w:p>
        </w:tc>
        <w:tc>
          <w:tcPr>
            <w:tcW w:w="2268" w:type="dxa"/>
            <w:vAlign w:val="center"/>
          </w:tcPr>
          <w:p w14:paraId="4B654A80">
            <w:pPr>
              <w:pStyle w:val="12"/>
            </w:pPr>
            <w:r>
              <w:t>100%</w:t>
            </w:r>
          </w:p>
        </w:tc>
        <w:tc>
          <w:tcPr>
            <w:tcW w:w="1276" w:type="dxa"/>
            <w:vAlign w:val="center"/>
          </w:tcPr>
          <w:p w14:paraId="6412004D">
            <w:pPr>
              <w:pStyle w:val="12"/>
            </w:pPr>
            <w:r>
              <w:t>年度工作计划</w:t>
            </w:r>
          </w:p>
        </w:tc>
      </w:tr>
      <w:tr w14:paraId="14BB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79E05"/>
        </w:tc>
        <w:tc>
          <w:tcPr>
            <w:tcW w:w="2268" w:type="dxa"/>
            <w:vAlign w:val="center"/>
          </w:tcPr>
          <w:p w14:paraId="296E170E">
            <w:pPr>
              <w:pStyle w:val="12"/>
            </w:pPr>
            <w:r>
              <w:t>成本指标</w:t>
            </w:r>
          </w:p>
        </w:tc>
        <w:tc>
          <w:tcPr>
            <w:tcW w:w="2835" w:type="dxa"/>
            <w:vAlign w:val="center"/>
          </w:tcPr>
          <w:p w14:paraId="45261D5B">
            <w:pPr>
              <w:pStyle w:val="12"/>
            </w:pPr>
            <w:r>
              <w:t>生均拨款标准</w:t>
            </w:r>
          </w:p>
        </w:tc>
        <w:tc>
          <w:tcPr>
            <w:tcW w:w="5386" w:type="dxa"/>
            <w:vAlign w:val="center"/>
          </w:tcPr>
          <w:p w14:paraId="1A5875EB">
            <w:pPr>
              <w:pStyle w:val="12"/>
            </w:pPr>
            <w:r>
              <w:t>小学：（基本标准720元、寄宿生300元、生活补助120元）/生/学年；特教、随班就读学生：标准7000元/生/学年</w:t>
            </w:r>
          </w:p>
        </w:tc>
        <w:tc>
          <w:tcPr>
            <w:tcW w:w="2268" w:type="dxa"/>
            <w:vAlign w:val="center"/>
          </w:tcPr>
          <w:p w14:paraId="4154081A">
            <w:pPr>
              <w:pStyle w:val="12"/>
            </w:pPr>
            <w:r>
              <w:t>840元</w:t>
            </w:r>
          </w:p>
        </w:tc>
        <w:tc>
          <w:tcPr>
            <w:tcW w:w="1276" w:type="dxa"/>
            <w:vAlign w:val="center"/>
          </w:tcPr>
          <w:p w14:paraId="63E83887">
            <w:pPr>
              <w:pStyle w:val="12"/>
            </w:pPr>
            <w:r>
              <w:t>年度工作计划</w:t>
            </w:r>
          </w:p>
        </w:tc>
      </w:tr>
      <w:tr w14:paraId="2FAB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D37EA">
            <w:pPr>
              <w:pStyle w:val="13"/>
            </w:pPr>
            <w:r>
              <w:t>效益指标</w:t>
            </w:r>
          </w:p>
        </w:tc>
        <w:tc>
          <w:tcPr>
            <w:tcW w:w="2268" w:type="dxa"/>
            <w:vAlign w:val="center"/>
          </w:tcPr>
          <w:p w14:paraId="6D697BB5">
            <w:pPr>
              <w:pStyle w:val="12"/>
            </w:pPr>
            <w:r>
              <w:t>社会效益指标</w:t>
            </w:r>
          </w:p>
        </w:tc>
        <w:tc>
          <w:tcPr>
            <w:tcW w:w="2835" w:type="dxa"/>
            <w:vAlign w:val="center"/>
          </w:tcPr>
          <w:p w14:paraId="22167E07">
            <w:pPr>
              <w:pStyle w:val="12"/>
            </w:pPr>
            <w:r>
              <w:t>学校稳定率</w:t>
            </w:r>
          </w:p>
        </w:tc>
        <w:tc>
          <w:tcPr>
            <w:tcW w:w="5386" w:type="dxa"/>
            <w:vAlign w:val="center"/>
          </w:tcPr>
          <w:p w14:paraId="00209806">
            <w:pPr>
              <w:pStyle w:val="12"/>
            </w:pPr>
            <w:r>
              <w:t>维护学校稳定，保障学生就读巩固率</w:t>
            </w:r>
          </w:p>
        </w:tc>
        <w:tc>
          <w:tcPr>
            <w:tcW w:w="2268" w:type="dxa"/>
            <w:vAlign w:val="center"/>
          </w:tcPr>
          <w:p w14:paraId="558C815A">
            <w:pPr>
              <w:pStyle w:val="12"/>
            </w:pPr>
            <w:r>
              <w:t>99.5%</w:t>
            </w:r>
          </w:p>
        </w:tc>
        <w:tc>
          <w:tcPr>
            <w:tcW w:w="1276" w:type="dxa"/>
            <w:vAlign w:val="center"/>
          </w:tcPr>
          <w:p w14:paraId="1D9F818C">
            <w:pPr>
              <w:pStyle w:val="12"/>
            </w:pPr>
            <w:r>
              <w:t>年度工作计划</w:t>
            </w:r>
          </w:p>
        </w:tc>
      </w:tr>
      <w:tr w14:paraId="1D57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E9B08"/>
        </w:tc>
        <w:tc>
          <w:tcPr>
            <w:tcW w:w="2268" w:type="dxa"/>
            <w:vAlign w:val="center"/>
          </w:tcPr>
          <w:p w14:paraId="5236DBE4">
            <w:pPr>
              <w:pStyle w:val="12"/>
            </w:pPr>
            <w:r>
              <w:t>可持续影响指标</w:t>
            </w:r>
          </w:p>
        </w:tc>
        <w:tc>
          <w:tcPr>
            <w:tcW w:w="2835" w:type="dxa"/>
            <w:vAlign w:val="center"/>
          </w:tcPr>
          <w:p w14:paraId="212A1D4D">
            <w:pPr>
              <w:pStyle w:val="12"/>
            </w:pPr>
            <w:r>
              <w:t>效果持续时间</w:t>
            </w:r>
          </w:p>
        </w:tc>
        <w:tc>
          <w:tcPr>
            <w:tcW w:w="5386" w:type="dxa"/>
            <w:vAlign w:val="center"/>
          </w:tcPr>
          <w:p w14:paraId="6FCC82C9">
            <w:pPr>
              <w:pStyle w:val="12"/>
            </w:pPr>
            <w:r>
              <w:t>义务教育效果持续影响时长</w:t>
            </w:r>
          </w:p>
        </w:tc>
        <w:tc>
          <w:tcPr>
            <w:tcW w:w="2268" w:type="dxa"/>
            <w:vAlign w:val="center"/>
          </w:tcPr>
          <w:p w14:paraId="5A03336E">
            <w:pPr>
              <w:pStyle w:val="12"/>
            </w:pPr>
            <w:r>
              <w:t>≥1年</w:t>
            </w:r>
          </w:p>
        </w:tc>
        <w:tc>
          <w:tcPr>
            <w:tcW w:w="1276" w:type="dxa"/>
            <w:vAlign w:val="center"/>
          </w:tcPr>
          <w:p w14:paraId="2B274B08">
            <w:pPr>
              <w:pStyle w:val="12"/>
            </w:pPr>
            <w:r>
              <w:t>年度工作计划</w:t>
            </w:r>
          </w:p>
        </w:tc>
      </w:tr>
      <w:tr w14:paraId="2708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82B2A">
            <w:pPr>
              <w:pStyle w:val="13"/>
            </w:pPr>
            <w:r>
              <w:t>满意度指标</w:t>
            </w:r>
          </w:p>
        </w:tc>
        <w:tc>
          <w:tcPr>
            <w:tcW w:w="2268" w:type="dxa"/>
            <w:vAlign w:val="center"/>
          </w:tcPr>
          <w:p w14:paraId="654F152B">
            <w:pPr>
              <w:pStyle w:val="12"/>
            </w:pPr>
            <w:r>
              <w:t>服务对象满意度指标</w:t>
            </w:r>
          </w:p>
        </w:tc>
        <w:tc>
          <w:tcPr>
            <w:tcW w:w="2835" w:type="dxa"/>
            <w:vAlign w:val="center"/>
          </w:tcPr>
          <w:p w14:paraId="26C60E03">
            <w:pPr>
              <w:pStyle w:val="12"/>
            </w:pPr>
            <w:r>
              <w:t>服务对象满意度</w:t>
            </w:r>
          </w:p>
        </w:tc>
        <w:tc>
          <w:tcPr>
            <w:tcW w:w="5386" w:type="dxa"/>
            <w:vAlign w:val="center"/>
          </w:tcPr>
          <w:p w14:paraId="0EA39042">
            <w:pPr>
              <w:pStyle w:val="12"/>
            </w:pPr>
            <w:r>
              <w:t>学校老师和学生满意度</w:t>
            </w:r>
          </w:p>
        </w:tc>
        <w:tc>
          <w:tcPr>
            <w:tcW w:w="2268" w:type="dxa"/>
            <w:vAlign w:val="center"/>
          </w:tcPr>
          <w:p w14:paraId="717DBF2E">
            <w:pPr>
              <w:pStyle w:val="12"/>
            </w:pPr>
            <w:r>
              <w:t>≥98%</w:t>
            </w:r>
          </w:p>
        </w:tc>
        <w:tc>
          <w:tcPr>
            <w:tcW w:w="1276" w:type="dxa"/>
            <w:vAlign w:val="center"/>
          </w:tcPr>
          <w:p w14:paraId="0D39868F">
            <w:pPr>
              <w:pStyle w:val="12"/>
            </w:pPr>
            <w:r>
              <w:t>调查问卷</w:t>
            </w:r>
          </w:p>
        </w:tc>
      </w:tr>
    </w:tbl>
    <w:p w14:paraId="159BF229">
      <w:pPr>
        <w:sectPr>
          <w:pgSz w:w="16840" w:h="11900" w:orient="landscape"/>
          <w:pgMar w:top="1361" w:right="1020" w:bottom="1134" w:left="1020" w:header="720" w:footer="720" w:gutter="0"/>
          <w:cols w:space="720" w:num="1"/>
        </w:sectPr>
      </w:pPr>
    </w:p>
    <w:p w14:paraId="7970630A">
      <w:pPr>
        <w:spacing w:before="0" w:after="0"/>
        <w:ind w:firstLine="560"/>
        <w:jc w:val="left"/>
        <w:outlineLvl w:val="9"/>
      </w:pPr>
      <w:r>
        <w:rPr>
          <w:rFonts w:ascii="方正仿宋_GBK" w:hAnsi="方正仿宋_GBK" w:eastAsia="方正仿宋_GBK" w:cs="方正仿宋_GBK"/>
          <w:b/>
          <w:color w:val="000000"/>
          <w:sz w:val="28"/>
        </w:rPr>
        <w:t>4、冀财教[2025]121号/中央/义教/2026年校舍安全/第二实验小学校舍维修改造绩效目标表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24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D1EC2">
            <w:pPr>
              <w:pStyle w:val="11"/>
            </w:pPr>
            <w:r>
              <w:t>单位：万元</w:t>
            </w:r>
          </w:p>
        </w:tc>
      </w:tr>
      <w:tr w14:paraId="6D0F4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9B083">
            <w:pPr>
              <w:pStyle w:val="10"/>
            </w:pPr>
            <w:r>
              <w:t>项目编码</w:t>
            </w:r>
          </w:p>
        </w:tc>
        <w:tc>
          <w:tcPr>
            <w:tcW w:w="5103" w:type="dxa"/>
            <w:gridSpan w:val="2"/>
            <w:vAlign w:val="center"/>
          </w:tcPr>
          <w:p w14:paraId="50F344A3">
            <w:pPr>
              <w:pStyle w:val="12"/>
            </w:pPr>
            <w:r>
              <w:t>13052526P00876210075E</w:t>
            </w:r>
          </w:p>
        </w:tc>
        <w:tc>
          <w:tcPr>
            <w:tcW w:w="2835" w:type="dxa"/>
            <w:vAlign w:val="center"/>
          </w:tcPr>
          <w:p w14:paraId="43A50982">
            <w:pPr>
              <w:pStyle w:val="10"/>
            </w:pPr>
            <w:r>
              <w:t>项目名称</w:t>
            </w:r>
          </w:p>
        </w:tc>
        <w:tc>
          <w:tcPr>
            <w:tcW w:w="6095" w:type="dxa"/>
            <w:gridSpan w:val="3"/>
            <w:vAlign w:val="center"/>
          </w:tcPr>
          <w:p w14:paraId="1BABF3EE">
            <w:pPr>
              <w:pStyle w:val="12"/>
            </w:pPr>
            <w:r>
              <w:t>冀财教[2025]121号/中央/义教/2026年校舍安全/第二实验小学校舍维修改造</w:t>
            </w:r>
          </w:p>
        </w:tc>
      </w:tr>
      <w:tr w14:paraId="70545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FE4A1">
            <w:pPr>
              <w:pStyle w:val="10"/>
            </w:pPr>
            <w:r>
              <w:t>预算规模及资金用途</w:t>
            </w:r>
          </w:p>
        </w:tc>
        <w:tc>
          <w:tcPr>
            <w:tcW w:w="2268" w:type="dxa"/>
            <w:vAlign w:val="center"/>
          </w:tcPr>
          <w:p w14:paraId="3E86FAF6">
            <w:pPr>
              <w:pStyle w:val="10"/>
            </w:pPr>
            <w:r>
              <w:t>预算数</w:t>
            </w:r>
          </w:p>
        </w:tc>
        <w:tc>
          <w:tcPr>
            <w:tcW w:w="2835" w:type="dxa"/>
            <w:vAlign w:val="center"/>
          </w:tcPr>
          <w:p w14:paraId="14309EBC">
            <w:pPr>
              <w:pStyle w:val="12"/>
            </w:pPr>
            <w:r>
              <w:t>30.40</w:t>
            </w:r>
          </w:p>
        </w:tc>
        <w:tc>
          <w:tcPr>
            <w:tcW w:w="2835" w:type="dxa"/>
            <w:vAlign w:val="center"/>
          </w:tcPr>
          <w:p w14:paraId="54F4885D">
            <w:pPr>
              <w:pStyle w:val="10"/>
            </w:pPr>
            <w:r>
              <w:t>其中：财政    资金</w:t>
            </w:r>
          </w:p>
        </w:tc>
        <w:tc>
          <w:tcPr>
            <w:tcW w:w="2551" w:type="dxa"/>
            <w:vAlign w:val="center"/>
          </w:tcPr>
          <w:p w14:paraId="193F5236">
            <w:pPr>
              <w:pStyle w:val="12"/>
            </w:pPr>
            <w:r>
              <w:t>30.40</w:t>
            </w:r>
          </w:p>
        </w:tc>
        <w:tc>
          <w:tcPr>
            <w:tcW w:w="2268" w:type="dxa"/>
            <w:vAlign w:val="center"/>
          </w:tcPr>
          <w:p w14:paraId="30FEEA39">
            <w:pPr>
              <w:pStyle w:val="10"/>
            </w:pPr>
            <w:r>
              <w:t>其他资金</w:t>
            </w:r>
          </w:p>
        </w:tc>
        <w:tc>
          <w:tcPr>
            <w:tcW w:w="1276" w:type="dxa"/>
            <w:vAlign w:val="center"/>
          </w:tcPr>
          <w:p w14:paraId="38894209">
            <w:pPr>
              <w:pStyle w:val="12"/>
            </w:pPr>
            <w:r>
              <w:t xml:space="preserve"> </w:t>
            </w:r>
          </w:p>
        </w:tc>
      </w:tr>
      <w:tr w14:paraId="447F5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5125D"/>
        </w:tc>
        <w:tc>
          <w:tcPr>
            <w:tcW w:w="14033" w:type="dxa"/>
            <w:gridSpan w:val="6"/>
            <w:vAlign w:val="center"/>
          </w:tcPr>
          <w:p w14:paraId="30E88A55">
            <w:pPr>
              <w:pStyle w:val="12"/>
            </w:pPr>
            <w:r>
              <w:t>改善就学条件，提升学校形象，保障义务教育阶段教学安全，改善师生教学环境，创造良好的校园环境。</w:t>
            </w:r>
            <w:r>
              <w:tab/>
            </w:r>
          </w:p>
          <w:p w14:paraId="5966ED27">
            <w:pPr>
              <w:pStyle w:val="12"/>
            </w:pPr>
          </w:p>
        </w:tc>
      </w:tr>
      <w:tr w14:paraId="0A0E1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35D91">
            <w:pPr>
              <w:pStyle w:val="10"/>
            </w:pPr>
            <w:r>
              <w:t>资金支出计划（%）</w:t>
            </w:r>
          </w:p>
        </w:tc>
        <w:tc>
          <w:tcPr>
            <w:tcW w:w="5103" w:type="dxa"/>
            <w:gridSpan w:val="2"/>
            <w:vAlign w:val="center"/>
          </w:tcPr>
          <w:p w14:paraId="6D9DA027">
            <w:pPr>
              <w:pStyle w:val="10"/>
            </w:pPr>
            <w:r>
              <w:t>3月底</w:t>
            </w:r>
          </w:p>
        </w:tc>
        <w:tc>
          <w:tcPr>
            <w:tcW w:w="2835" w:type="dxa"/>
            <w:vAlign w:val="center"/>
          </w:tcPr>
          <w:p w14:paraId="6DC26CA0">
            <w:pPr>
              <w:pStyle w:val="10"/>
            </w:pPr>
            <w:r>
              <w:t>6月底</w:t>
            </w:r>
          </w:p>
        </w:tc>
        <w:tc>
          <w:tcPr>
            <w:tcW w:w="2551" w:type="dxa"/>
            <w:vAlign w:val="center"/>
          </w:tcPr>
          <w:p w14:paraId="105243B2">
            <w:pPr>
              <w:pStyle w:val="10"/>
            </w:pPr>
            <w:r>
              <w:t>10月底</w:t>
            </w:r>
          </w:p>
        </w:tc>
        <w:tc>
          <w:tcPr>
            <w:tcW w:w="3544" w:type="dxa"/>
            <w:gridSpan w:val="2"/>
            <w:vAlign w:val="center"/>
          </w:tcPr>
          <w:p w14:paraId="730C8A8A">
            <w:pPr>
              <w:pStyle w:val="10"/>
            </w:pPr>
            <w:r>
              <w:t>12月底</w:t>
            </w:r>
          </w:p>
        </w:tc>
      </w:tr>
      <w:tr w14:paraId="4D4C9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1E4F3"/>
        </w:tc>
        <w:tc>
          <w:tcPr>
            <w:tcW w:w="5103" w:type="dxa"/>
            <w:gridSpan w:val="2"/>
            <w:vAlign w:val="center"/>
          </w:tcPr>
          <w:p w14:paraId="12152D29">
            <w:pPr>
              <w:pStyle w:val="13"/>
            </w:pPr>
            <w:r>
              <w:t xml:space="preserve"> </w:t>
            </w:r>
          </w:p>
        </w:tc>
        <w:tc>
          <w:tcPr>
            <w:tcW w:w="2835" w:type="dxa"/>
            <w:vAlign w:val="center"/>
          </w:tcPr>
          <w:p w14:paraId="33DD120D">
            <w:pPr>
              <w:pStyle w:val="13"/>
            </w:pPr>
            <w:r>
              <w:t xml:space="preserve"> </w:t>
            </w:r>
          </w:p>
        </w:tc>
        <w:tc>
          <w:tcPr>
            <w:tcW w:w="2551" w:type="dxa"/>
            <w:vAlign w:val="center"/>
          </w:tcPr>
          <w:p w14:paraId="6DBCCC9A">
            <w:pPr>
              <w:pStyle w:val="13"/>
            </w:pPr>
            <w:r>
              <w:t>100%</w:t>
            </w:r>
          </w:p>
        </w:tc>
        <w:tc>
          <w:tcPr>
            <w:tcW w:w="3544" w:type="dxa"/>
            <w:gridSpan w:val="2"/>
            <w:vAlign w:val="center"/>
          </w:tcPr>
          <w:p w14:paraId="762B5C04">
            <w:pPr>
              <w:pStyle w:val="13"/>
            </w:pPr>
            <w:r>
              <w:t xml:space="preserve"> </w:t>
            </w:r>
          </w:p>
        </w:tc>
      </w:tr>
      <w:tr w14:paraId="47B44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76C1F">
            <w:pPr>
              <w:pStyle w:val="10"/>
            </w:pPr>
            <w:r>
              <w:t>绩效目标</w:t>
            </w:r>
          </w:p>
        </w:tc>
        <w:tc>
          <w:tcPr>
            <w:tcW w:w="14033" w:type="dxa"/>
            <w:gridSpan w:val="6"/>
            <w:vAlign w:val="center"/>
          </w:tcPr>
          <w:p w14:paraId="7BD43B12">
            <w:pPr>
              <w:pStyle w:val="12"/>
            </w:pPr>
            <w:r>
              <w:t>1.项目需资金30.4万元，资金拨付率达到100%。</w:t>
            </w:r>
          </w:p>
          <w:p w14:paraId="339C3965">
            <w:pPr>
              <w:pStyle w:val="12"/>
            </w:pPr>
            <w:r>
              <w:t>2."改善就学条件，提升学校形象，保障义务教育阶段教学安全，改善师生教学环境，创造良好的校园环境。</w:t>
            </w:r>
            <w:r>
              <w:tab/>
            </w:r>
          </w:p>
          <w:p w14:paraId="2E12D32F">
            <w:pPr>
              <w:pStyle w:val="12"/>
            </w:pPr>
            <w:r>
              <w:t>"</w:t>
            </w:r>
            <w:r>
              <w:tab/>
            </w:r>
            <w:r>
              <w:tab/>
            </w:r>
            <w:r>
              <w:tab/>
            </w:r>
            <w:r>
              <w:tab/>
            </w:r>
            <w:r>
              <w:tab/>
            </w:r>
            <w:r>
              <w:tab/>
            </w:r>
          </w:p>
          <w:p w14:paraId="73506371">
            <w:pPr>
              <w:pStyle w:val="12"/>
            </w:pPr>
            <w:r>
              <w:tab/>
            </w:r>
            <w:r>
              <w:tab/>
            </w:r>
            <w:r>
              <w:tab/>
            </w:r>
            <w:r>
              <w:tab/>
            </w:r>
            <w:r>
              <w:tab/>
            </w:r>
            <w:r>
              <w:tab/>
            </w:r>
          </w:p>
          <w:p w14:paraId="4A1DCA47">
            <w:pPr>
              <w:pStyle w:val="12"/>
            </w:pPr>
          </w:p>
        </w:tc>
      </w:tr>
    </w:tbl>
    <w:p w14:paraId="541777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3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68114">
            <w:pPr>
              <w:pStyle w:val="10"/>
            </w:pPr>
            <w:r>
              <w:t>一级指标</w:t>
            </w:r>
          </w:p>
        </w:tc>
        <w:tc>
          <w:tcPr>
            <w:tcW w:w="2268" w:type="dxa"/>
            <w:vAlign w:val="center"/>
          </w:tcPr>
          <w:p w14:paraId="06739681">
            <w:pPr>
              <w:pStyle w:val="10"/>
            </w:pPr>
            <w:r>
              <w:t>二级指标</w:t>
            </w:r>
          </w:p>
        </w:tc>
        <w:tc>
          <w:tcPr>
            <w:tcW w:w="2835" w:type="dxa"/>
            <w:vAlign w:val="center"/>
          </w:tcPr>
          <w:p w14:paraId="5A3E25A0">
            <w:pPr>
              <w:pStyle w:val="10"/>
            </w:pPr>
            <w:r>
              <w:t>三级指标</w:t>
            </w:r>
          </w:p>
        </w:tc>
        <w:tc>
          <w:tcPr>
            <w:tcW w:w="5386" w:type="dxa"/>
            <w:vAlign w:val="center"/>
          </w:tcPr>
          <w:p w14:paraId="18F2F59D">
            <w:pPr>
              <w:pStyle w:val="10"/>
            </w:pPr>
            <w:r>
              <w:t>绩效指标描述</w:t>
            </w:r>
          </w:p>
        </w:tc>
        <w:tc>
          <w:tcPr>
            <w:tcW w:w="2268" w:type="dxa"/>
            <w:vAlign w:val="center"/>
          </w:tcPr>
          <w:p w14:paraId="14C42F8F">
            <w:pPr>
              <w:pStyle w:val="10"/>
            </w:pPr>
            <w:r>
              <w:t>指标值</w:t>
            </w:r>
          </w:p>
        </w:tc>
        <w:tc>
          <w:tcPr>
            <w:tcW w:w="1276" w:type="dxa"/>
            <w:vAlign w:val="center"/>
          </w:tcPr>
          <w:p w14:paraId="667A746C">
            <w:pPr>
              <w:pStyle w:val="10"/>
            </w:pPr>
            <w:r>
              <w:t>指标值确定依据</w:t>
            </w:r>
          </w:p>
        </w:tc>
      </w:tr>
      <w:tr w14:paraId="21D7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8F751">
            <w:pPr>
              <w:pStyle w:val="13"/>
            </w:pPr>
            <w:r>
              <w:t>产出指标</w:t>
            </w:r>
          </w:p>
        </w:tc>
        <w:tc>
          <w:tcPr>
            <w:tcW w:w="2268" w:type="dxa"/>
            <w:vAlign w:val="center"/>
          </w:tcPr>
          <w:p w14:paraId="15F2F863">
            <w:pPr>
              <w:pStyle w:val="12"/>
            </w:pPr>
            <w:r>
              <w:t>数量指标</w:t>
            </w:r>
          </w:p>
        </w:tc>
        <w:tc>
          <w:tcPr>
            <w:tcW w:w="2835" w:type="dxa"/>
            <w:vAlign w:val="center"/>
          </w:tcPr>
          <w:p w14:paraId="607D45B3">
            <w:pPr>
              <w:pStyle w:val="12"/>
            </w:pPr>
            <w:r>
              <w:t>校舍维修改造数量</w:t>
            </w:r>
          </w:p>
        </w:tc>
        <w:tc>
          <w:tcPr>
            <w:tcW w:w="5386" w:type="dxa"/>
            <w:vAlign w:val="center"/>
          </w:tcPr>
          <w:p w14:paraId="057B2E0E">
            <w:pPr>
              <w:pStyle w:val="12"/>
            </w:pPr>
            <w:r>
              <w:tab/>
            </w:r>
            <w:r>
              <w:t>校舍维修改造数量</w:t>
            </w:r>
            <w:r>
              <w:tab/>
            </w:r>
          </w:p>
          <w:p w14:paraId="1C344402">
            <w:pPr>
              <w:pStyle w:val="12"/>
            </w:pPr>
            <w:r>
              <w:tab/>
            </w:r>
            <w:r>
              <w:tab/>
            </w:r>
          </w:p>
          <w:p w14:paraId="3C27DE20">
            <w:pPr>
              <w:pStyle w:val="12"/>
            </w:pPr>
          </w:p>
        </w:tc>
        <w:tc>
          <w:tcPr>
            <w:tcW w:w="2268" w:type="dxa"/>
            <w:vAlign w:val="center"/>
          </w:tcPr>
          <w:p w14:paraId="3E2B7FE9">
            <w:pPr>
              <w:pStyle w:val="12"/>
            </w:pPr>
            <w:r>
              <w:t>2项</w:t>
            </w:r>
          </w:p>
        </w:tc>
        <w:tc>
          <w:tcPr>
            <w:tcW w:w="1276" w:type="dxa"/>
            <w:vAlign w:val="center"/>
          </w:tcPr>
          <w:p w14:paraId="28CB27C6">
            <w:pPr>
              <w:pStyle w:val="12"/>
            </w:pPr>
            <w:r>
              <w:t>城乡义务教育公用经费</w:t>
            </w:r>
          </w:p>
        </w:tc>
      </w:tr>
      <w:tr w14:paraId="7A0B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880F"/>
        </w:tc>
        <w:tc>
          <w:tcPr>
            <w:tcW w:w="2268" w:type="dxa"/>
            <w:vAlign w:val="center"/>
          </w:tcPr>
          <w:p w14:paraId="0D81E49F">
            <w:pPr>
              <w:pStyle w:val="12"/>
            </w:pPr>
            <w:r>
              <w:t>质量指标</w:t>
            </w:r>
          </w:p>
        </w:tc>
        <w:tc>
          <w:tcPr>
            <w:tcW w:w="2835" w:type="dxa"/>
            <w:vAlign w:val="center"/>
          </w:tcPr>
          <w:p w14:paraId="01105809">
            <w:pPr>
              <w:pStyle w:val="12"/>
            </w:pPr>
            <w:r>
              <w:t>工程实施验收合格率</w:t>
            </w:r>
          </w:p>
        </w:tc>
        <w:tc>
          <w:tcPr>
            <w:tcW w:w="5386" w:type="dxa"/>
            <w:vAlign w:val="center"/>
          </w:tcPr>
          <w:p w14:paraId="35FDEAA9">
            <w:pPr>
              <w:pStyle w:val="12"/>
            </w:pPr>
            <w:r>
              <w:t>申报程序的合规，项目实施及资金使用符合项目规划</w:t>
            </w:r>
          </w:p>
        </w:tc>
        <w:tc>
          <w:tcPr>
            <w:tcW w:w="2268" w:type="dxa"/>
            <w:vAlign w:val="center"/>
          </w:tcPr>
          <w:p w14:paraId="5FCDA1DF">
            <w:pPr>
              <w:pStyle w:val="12"/>
            </w:pPr>
            <w:r>
              <w:t>100%</w:t>
            </w:r>
          </w:p>
        </w:tc>
        <w:tc>
          <w:tcPr>
            <w:tcW w:w="1276" w:type="dxa"/>
            <w:vAlign w:val="center"/>
          </w:tcPr>
          <w:p w14:paraId="3307A2E3">
            <w:pPr>
              <w:pStyle w:val="12"/>
            </w:pPr>
            <w:r>
              <w:t>城乡义务教育公用经费</w:t>
            </w:r>
          </w:p>
        </w:tc>
      </w:tr>
      <w:tr w14:paraId="0C2D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263A9"/>
        </w:tc>
        <w:tc>
          <w:tcPr>
            <w:tcW w:w="2268" w:type="dxa"/>
            <w:vAlign w:val="center"/>
          </w:tcPr>
          <w:p w14:paraId="0EB464C1">
            <w:pPr>
              <w:pStyle w:val="12"/>
            </w:pPr>
            <w:r>
              <w:t>时效指标</w:t>
            </w:r>
          </w:p>
        </w:tc>
        <w:tc>
          <w:tcPr>
            <w:tcW w:w="2835" w:type="dxa"/>
            <w:vAlign w:val="center"/>
          </w:tcPr>
          <w:p w14:paraId="5759F319">
            <w:pPr>
              <w:pStyle w:val="12"/>
            </w:pPr>
            <w:r>
              <w:t>资金支付率</w:t>
            </w:r>
          </w:p>
        </w:tc>
        <w:tc>
          <w:tcPr>
            <w:tcW w:w="5386" w:type="dxa"/>
            <w:vAlign w:val="center"/>
          </w:tcPr>
          <w:p w14:paraId="780139DB">
            <w:pPr>
              <w:pStyle w:val="12"/>
            </w:pPr>
            <w:r>
              <w:t>按照序时进度完成资金支付</w:t>
            </w:r>
          </w:p>
        </w:tc>
        <w:tc>
          <w:tcPr>
            <w:tcW w:w="2268" w:type="dxa"/>
            <w:vAlign w:val="center"/>
          </w:tcPr>
          <w:p w14:paraId="59506BE2">
            <w:pPr>
              <w:pStyle w:val="12"/>
            </w:pPr>
            <w:r>
              <w:t>100%</w:t>
            </w:r>
          </w:p>
        </w:tc>
        <w:tc>
          <w:tcPr>
            <w:tcW w:w="1276" w:type="dxa"/>
            <w:vAlign w:val="center"/>
          </w:tcPr>
          <w:p w14:paraId="5F87A5CB">
            <w:pPr>
              <w:pStyle w:val="12"/>
            </w:pPr>
            <w:r>
              <w:t>城乡义务教育公用经费</w:t>
            </w:r>
          </w:p>
        </w:tc>
      </w:tr>
      <w:tr w14:paraId="743C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57A1"/>
        </w:tc>
        <w:tc>
          <w:tcPr>
            <w:tcW w:w="2268" w:type="dxa"/>
            <w:vAlign w:val="center"/>
          </w:tcPr>
          <w:p w14:paraId="07B2A10D">
            <w:pPr>
              <w:pStyle w:val="12"/>
            </w:pPr>
            <w:r>
              <w:t>成本指标</w:t>
            </w:r>
          </w:p>
        </w:tc>
        <w:tc>
          <w:tcPr>
            <w:tcW w:w="2835" w:type="dxa"/>
            <w:vAlign w:val="center"/>
          </w:tcPr>
          <w:p w14:paraId="5CE7A0AD">
            <w:pPr>
              <w:pStyle w:val="12"/>
            </w:pPr>
            <w:r>
              <w:t>项目成本控制情况</w:t>
            </w:r>
          </w:p>
        </w:tc>
        <w:tc>
          <w:tcPr>
            <w:tcW w:w="5386" w:type="dxa"/>
            <w:vAlign w:val="center"/>
          </w:tcPr>
          <w:p w14:paraId="48216F88">
            <w:pPr>
              <w:pStyle w:val="12"/>
            </w:pPr>
            <w:r>
              <w:t>严格按照招标价格及验收金额进行</w:t>
            </w:r>
          </w:p>
        </w:tc>
        <w:tc>
          <w:tcPr>
            <w:tcW w:w="2268" w:type="dxa"/>
            <w:vAlign w:val="center"/>
          </w:tcPr>
          <w:p w14:paraId="700C7BD6">
            <w:pPr>
              <w:pStyle w:val="12"/>
            </w:pPr>
            <w:r>
              <w:t>≤30.4万元</w:t>
            </w:r>
          </w:p>
        </w:tc>
        <w:tc>
          <w:tcPr>
            <w:tcW w:w="1276" w:type="dxa"/>
            <w:vAlign w:val="center"/>
          </w:tcPr>
          <w:p w14:paraId="5DE5C75D">
            <w:pPr>
              <w:pStyle w:val="12"/>
            </w:pPr>
            <w:r>
              <w:t>城乡义务教育公用经费</w:t>
            </w:r>
          </w:p>
        </w:tc>
      </w:tr>
      <w:tr w14:paraId="44C7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0ECFC">
            <w:pPr>
              <w:pStyle w:val="13"/>
            </w:pPr>
            <w:r>
              <w:t>效益指标</w:t>
            </w:r>
          </w:p>
        </w:tc>
        <w:tc>
          <w:tcPr>
            <w:tcW w:w="2268" w:type="dxa"/>
            <w:vAlign w:val="center"/>
          </w:tcPr>
          <w:p w14:paraId="3DD9ED6A">
            <w:pPr>
              <w:pStyle w:val="12"/>
            </w:pPr>
            <w:r>
              <w:t>可持续影响指标</w:t>
            </w:r>
          </w:p>
        </w:tc>
        <w:tc>
          <w:tcPr>
            <w:tcW w:w="2835" w:type="dxa"/>
            <w:vAlign w:val="center"/>
          </w:tcPr>
          <w:p w14:paraId="1CBEF30D">
            <w:pPr>
              <w:pStyle w:val="12"/>
            </w:pPr>
            <w:r>
              <w:t>学校运转得到提高</w:t>
            </w:r>
          </w:p>
        </w:tc>
        <w:tc>
          <w:tcPr>
            <w:tcW w:w="5386" w:type="dxa"/>
            <w:vAlign w:val="center"/>
          </w:tcPr>
          <w:p w14:paraId="5F0CB8B7">
            <w:pPr>
              <w:pStyle w:val="12"/>
            </w:pPr>
            <w:r>
              <w:t>学生受教育年限</w:t>
            </w:r>
          </w:p>
        </w:tc>
        <w:tc>
          <w:tcPr>
            <w:tcW w:w="2268" w:type="dxa"/>
            <w:vAlign w:val="center"/>
          </w:tcPr>
          <w:p w14:paraId="74487FAE">
            <w:pPr>
              <w:pStyle w:val="12"/>
            </w:pPr>
            <w:r>
              <w:t>6年</w:t>
            </w:r>
          </w:p>
        </w:tc>
        <w:tc>
          <w:tcPr>
            <w:tcW w:w="1276" w:type="dxa"/>
            <w:vAlign w:val="center"/>
          </w:tcPr>
          <w:p w14:paraId="35AD8388">
            <w:pPr>
              <w:pStyle w:val="12"/>
            </w:pPr>
            <w:r>
              <w:t>城乡义务教育公用经费</w:t>
            </w:r>
          </w:p>
        </w:tc>
      </w:tr>
      <w:tr w14:paraId="48DC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BAFDE">
            <w:pPr>
              <w:pStyle w:val="13"/>
            </w:pPr>
            <w:r>
              <w:t>满意度指标</w:t>
            </w:r>
          </w:p>
        </w:tc>
        <w:tc>
          <w:tcPr>
            <w:tcW w:w="2268" w:type="dxa"/>
            <w:vAlign w:val="center"/>
          </w:tcPr>
          <w:p w14:paraId="17C05CED">
            <w:pPr>
              <w:pStyle w:val="12"/>
            </w:pPr>
            <w:r>
              <w:t>服务对象满意度指标</w:t>
            </w:r>
          </w:p>
        </w:tc>
        <w:tc>
          <w:tcPr>
            <w:tcW w:w="2835" w:type="dxa"/>
            <w:vAlign w:val="center"/>
          </w:tcPr>
          <w:p w14:paraId="3321AEB2">
            <w:pPr>
              <w:pStyle w:val="12"/>
            </w:pPr>
            <w:r>
              <w:t>受益学生家长及调查满意度</w:t>
            </w:r>
          </w:p>
        </w:tc>
        <w:tc>
          <w:tcPr>
            <w:tcW w:w="5386" w:type="dxa"/>
            <w:vAlign w:val="center"/>
          </w:tcPr>
          <w:p w14:paraId="3FD6BD49">
            <w:pPr>
              <w:pStyle w:val="12"/>
            </w:pPr>
            <w:r>
              <w:t>学生、教师及家长对学校教学环境满意度情况</w:t>
            </w:r>
          </w:p>
        </w:tc>
        <w:tc>
          <w:tcPr>
            <w:tcW w:w="2268" w:type="dxa"/>
            <w:vAlign w:val="center"/>
          </w:tcPr>
          <w:p w14:paraId="27A228F4">
            <w:pPr>
              <w:pStyle w:val="12"/>
            </w:pPr>
            <w:r>
              <w:t>≥98%</w:t>
            </w:r>
          </w:p>
        </w:tc>
        <w:tc>
          <w:tcPr>
            <w:tcW w:w="1276" w:type="dxa"/>
            <w:vAlign w:val="center"/>
          </w:tcPr>
          <w:p w14:paraId="7245CECB">
            <w:pPr>
              <w:pStyle w:val="12"/>
            </w:pPr>
            <w:r>
              <w:t>问卷调查</w:t>
            </w:r>
          </w:p>
        </w:tc>
      </w:tr>
    </w:tbl>
    <w:p w14:paraId="3B075019">
      <w:pPr>
        <w:sectPr>
          <w:pgSz w:w="16840" w:h="11900" w:orient="landscape"/>
          <w:pgMar w:top="1361" w:right="1020" w:bottom="1134" w:left="1020" w:header="720" w:footer="720" w:gutter="0"/>
          <w:cols w:space="720" w:num="1"/>
        </w:sectPr>
      </w:pPr>
    </w:p>
    <w:p w14:paraId="573C816C">
      <w:pPr>
        <w:spacing w:before="0" w:after="0"/>
        <w:ind w:firstLine="560"/>
        <w:jc w:val="left"/>
        <w:outlineLvl w:val="9"/>
      </w:pPr>
      <w:r>
        <w:rPr>
          <w:rFonts w:ascii="方正仿宋_GBK" w:hAnsi="方正仿宋_GBK" w:eastAsia="方正仿宋_GBK" w:cs="方正仿宋_GBK"/>
          <w:b/>
          <w:color w:val="000000"/>
          <w:sz w:val="28"/>
        </w:rPr>
        <w:t>5、冀财教[2025]147号/省级/2026年义教补助经费/第二实验小学公用经费绩效目标表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F8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CC154">
            <w:pPr>
              <w:pStyle w:val="11"/>
            </w:pPr>
            <w:r>
              <w:t>单位：万元</w:t>
            </w:r>
          </w:p>
        </w:tc>
      </w:tr>
      <w:tr w14:paraId="09A04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0218B">
            <w:pPr>
              <w:pStyle w:val="10"/>
            </w:pPr>
            <w:r>
              <w:t>项目编码</w:t>
            </w:r>
          </w:p>
        </w:tc>
        <w:tc>
          <w:tcPr>
            <w:tcW w:w="5103" w:type="dxa"/>
            <w:gridSpan w:val="2"/>
            <w:vAlign w:val="center"/>
          </w:tcPr>
          <w:p w14:paraId="0A0393B8">
            <w:pPr>
              <w:pStyle w:val="12"/>
            </w:pPr>
            <w:r>
              <w:t>13052526P00000410339E</w:t>
            </w:r>
          </w:p>
        </w:tc>
        <w:tc>
          <w:tcPr>
            <w:tcW w:w="2835" w:type="dxa"/>
            <w:vAlign w:val="center"/>
          </w:tcPr>
          <w:p w14:paraId="124A8573">
            <w:pPr>
              <w:pStyle w:val="10"/>
            </w:pPr>
            <w:r>
              <w:t>项目名称</w:t>
            </w:r>
          </w:p>
        </w:tc>
        <w:tc>
          <w:tcPr>
            <w:tcW w:w="6095" w:type="dxa"/>
            <w:gridSpan w:val="3"/>
            <w:vAlign w:val="center"/>
          </w:tcPr>
          <w:p w14:paraId="1324555A">
            <w:pPr>
              <w:pStyle w:val="12"/>
            </w:pPr>
            <w:r>
              <w:t>冀财教[2025]147号/省级/2026年义教补助经费/第二实验小学公用经费</w:t>
            </w:r>
          </w:p>
        </w:tc>
      </w:tr>
      <w:tr w14:paraId="641B1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70A47">
            <w:pPr>
              <w:pStyle w:val="10"/>
            </w:pPr>
            <w:r>
              <w:t>预算规模及资金用途</w:t>
            </w:r>
          </w:p>
        </w:tc>
        <w:tc>
          <w:tcPr>
            <w:tcW w:w="2268" w:type="dxa"/>
            <w:vAlign w:val="center"/>
          </w:tcPr>
          <w:p w14:paraId="53C88D90">
            <w:pPr>
              <w:pStyle w:val="10"/>
            </w:pPr>
            <w:r>
              <w:t>预算数</w:t>
            </w:r>
          </w:p>
        </w:tc>
        <w:tc>
          <w:tcPr>
            <w:tcW w:w="2835" w:type="dxa"/>
            <w:vAlign w:val="center"/>
          </w:tcPr>
          <w:p w14:paraId="6DD59C54">
            <w:pPr>
              <w:pStyle w:val="12"/>
            </w:pPr>
            <w:r>
              <w:t>90.34</w:t>
            </w:r>
          </w:p>
        </w:tc>
        <w:tc>
          <w:tcPr>
            <w:tcW w:w="2835" w:type="dxa"/>
            <w:vAlign w:val="center"/>
          </w:tcPr>
          <w:p w14:paraId="5C4021E7">
            <w:pPr>
              <w:pStyle w:val="10"/>
            </w:pPr>
            <w:r>
              <w:t>其中：财政    资金</w:t>
            </w:r>
          </w:p>
        </w:tc>
        <w:tc>
          <w:tcPr>
            <w:tcW w:w="2551" w:type="dxa"/>
            <w:vAlign w:val="center"/>
          </w:tcPr>
          <w:p w14:paraId="727D3B50">
            <w:pPr>
              <w:pStyle w:val="12"/>
            </w:pPr>
            <w:r>
              <w:t>90.34</w:t>
            </w:r>
          </w:p>
        </w:tc>
        <w:tc>
          <w:tcPr>
            <w:tcW w:w="2268" w:type="dxa"/>
            <w:vAlign w:val="center"/>
          </w:tcPr>
          <w:p w14:paraId="4BCE3CDA">
            <w:pPr>
              <w:pStyle w:val="10"/>
            </w:pPr>
            <w:r>
              <w:t>其他资金</w:t>
            </w:r>
          </w:p>
        </w:tc>
        <w:tc>
          <w:tcPr>
            <w:tcW w:w="1276" w:type="dxa"/>
            <w:vAlign w:val="center"/>
          </w:tcPr>
          <w:p w14:paraId="62BA77B0">
            <w:pPr>
              <w:pStyle w:val="12"/>
            </w:pPr>
            <w:r>
              <w:t xml:space="preserve"> </w:t>
            </w:r>
          </w:p>
        </w:tc>
      </w:tr>
      <w:tr w14:paraId="0850B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7BD35"/>
        </w:tc>
        <w:tc>
          <w:tcPr>
            <w:tcW w:w="14033" w:type="dxa"/>
            <w:gridSpan w:val="6"/>
            <w:vAlign w:val="center"/>
          </w:tcPr>
          <w:p w14:paraId="73FCDDB6">
            <w:pPr>
              <w:pStyle w:val="12"/>
            </w:pPr>
            <w:r>
              <w:t>保障义务教育学校正常运转，完成教育教学活动和其他日常工作任务等方面的费用支出。</w:t>
            </w:r>
            <w:r>
              <w:tab/>
            </w:r>
            <w:r>
              <w:tab/>
            </w:r>
            <w:r>
              <w:tab/>
            </w:r>
            <w:r>
              <w:tab/>
            </w:r>
            <w:r>
              <w:tab/>
            </w:r>
            <w:r>
              <w:tab/>
            </w:r>
          </w:p>
          <w:p w14:paraId="253A211F">
            <w:pPr>
              <w:pStyle w:val="12"/>
            </w:pPr>
          </w:p>
        </w:tc>
      </w:tr>
      <w:tr w14:paraId="4464B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3A4B0">
            <w:pPr>
              <w:pStyle w:val="10"/>
            </w:pPr>
            <w:r>
              <w:t>资金支出计划（%）</w:t>
            </w:r>
          </w:p>
        </w:tc>
        <w:tc>
          <w:tcPr>
            <w:tcW w:w="5103" w:type="dxa"/>
            <w:gridSpan w:val="2"/>
            <w:vAlign w:val="center"/>
          </w:tcPr>
          <w:p w14:paraId="0D0ED9B4">
            <w:pPr>
              <w:pStyle w:val="10"/>
            </w:pPr>
            <w:r>
              <w:t>3月底</w:t>
            </w:r>
          </w:p>
        </w:tc>
        <w:tc>
          <w:tcPr>
            <w:tcW w:w="2835" w:type="dxa"/>
            <w:vAlign w:val="center"/>
          </w:tcPr>
          <w:p w14:paraId="652126A9">
            <w:pPr>
              <w:pStyle w:val="10"/>
            </w:pPr>
            <w:r>
              <w:t>6月底</w:t>
            </w:r>
          </w:p>
        </w:tc>
        <w:tc>
          <w:tcPr>
            <w:tcW w:w="2551" w:type="dxa"/>
            <w:vAlign w:val="center"/>
          </w:tcPr>
          <w:p w14:paraId="682CF1C2">
            <w:pPr>
              <w:pStyle w:val="10"/>
            </w:pPr>
            <w:r>
              <w:t>10月底</w:t>
            </w:r>
          </w:p>
        </w:tc>
        <w:tc>
          <w:tcPr>
            <w:tcW w:w="3544" w:type="dxa"/>
            <w:gridSpan w:val="2"/>
            <w:vAlign w:val="center"/>
          </w:tcPr>
          <w:p w14:paraId="4C8D8145">
            <w:pPr>
              <w:pStyle w:val="10"/>
            </w:pPr>
            <w:r>
              <w:t>12月底</w:t>
            </w:r>
          </w:p>
        </w:tc>
      </w:tr>
      <w:tr w14:paraId="0E0C3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86560"/>
        </w:tc>
        <w:tc>
          <w:tcPr>
            <w:tcW w:w="5103" w:type="dxa"/>
            <w:gridSpan w:val="2"/>
            <w:vAlign w:val="center"/>
          </w:tcPr>
          <w:p w14:paraId="09864AB1">
            <w:pPr>
              <w:pStyle w:val="13"/>
            </w:pPr>
            <w:r>
              <w:t>25%</w:t>
            </w:r>
          </w:p>
        </w:tc>
        <w:tc>
          <w:tcPr>
            <w:tcW w:w="2835" w:type="dxa"/>
            <w:vAlign w:val="center"/>
          </w:tcPr>
          <w:p w14:paraId="6FCD7E06">
            <w:pPr>
              <w:pStyle w:val="13"/>
            </w:pPr>
            <w:r>
              <w:t>50%</w:t>
            </w:r>
          </w:p>
        </w:tc>
        <w:tc>
          <w:tcPr>
            <w:tcW w:w="2551" w:type="dxa"/>
            <w:vAlign w:val="center"/>
          </w:tcPr>
          <w:p w14:paraId="4C8AD5BA">
            <w:pPr>
              <w:pStyle w:val="13"/>
            </w:pPr>
            <w:r>
              <w:t>75%</w:t>
            </w:r>
          </w:p>
        </w:tc>
        <w:tc>
          <w:tcPr>
            <w:tcW w:w="3544" w:type="dxa"/>
            <w:gridSpan w:val="2"/>
            <w:vAlign w:val="center"/>
          </w:tcPr>
          <w:p w14:paraId="02CBC14E">
            <w:pPr>
              <w:pStyle w:val="13"/>
            </w:pPr>
            <w:r>
              <w:t>100%</w:t>
            </w:r>
          </w:p>
        </w:tc>
      </w:tr>
      <w:tr w14:paraId="330A2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F93AB">
            <w:pPr>
              <w:pStyle w:val="10"/>
            </w:pPr>
            <w:r>
              <w:t>绩效目标</w:t>
            </w:r>
          </w:p>
        </w:tc>
        <w:tc>
          <w:tcPr>
            <w:tcW w:w="14033" w:type="dxa"/>
            <w:gridSpan w:val="6"/>
            <w:vAlign w:val="center"/>
          </w:tcPr>
          <w:p w14:paraId="70825CBF">
            <w:pPr>
              <w:pStyle w:val="12"/>
            </w:pPr>
            <w:r>
              <w:t>1.保障义务教育学校正常运转，完成教育教学活动和其他日常工作任务等方面的费用支出。</w:t>
            </w:r>
          </w:p>
          <w:p w14:paraId="44D2BBDB">
            <w:pPr>
              <w:pStyle w:val="12"/>
            </w:pPr>
            <w:r>
              <w:t>2.按时完成资金拨款和支付</w:t>
            </w:r>
          </w:p>
        </w:tc>
      </w:tr>
    </w:tbl>
    <w:p w14:paraId="092D2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1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C742D">
            <w:pPr>
              <w:pStyle w:val="10"/>
            </w:pPr>
            <w:r>
              <w:t>一级指标</w:t>
            </w:r>
          </w:p>
        </w:tc>
        <w:tc>
          <w:tcPr>
            <w:tcW w:w="2268" w:type="dxa"/>
            <w:vAlign w:val="center"/>
          </w:tcPr>
          <w:p w14:paraId="36E4CDF0">
            <w:pPr>
              <w:pStyle w:val="10"/>
            </w:pPr>
            <w:r>
              <w:t>二级指标</w:t>
            </w:r>
          </w:p>
        </w:tc>
        <w:tc>
          <w:tcPr>
            <w:tcW w:w="2835" w:type="dxa"/>
            <w:vAlign w:val="center"/>
          </w:tcPr>
          <w:p w14:paraId="55D2E3FE">
            <w:pPr>
              <w:pStyle w:val="10"/>
            </w:pPr>
            <w:r>
              <w:t>三级指标</w:t>
            </w:r>
          </w:p>
        </w:tc>
        <w:tc>
          <w:tcPr>
            <w:tcW w:w="5386" w:type="dxa"/>
            <w:vAlign w:val="center"/>
          </w:tcPr>
          <w:p w14:paraId="115206B3">
            <w:pPr>
              <w:pStyle w:val="10"/>
            </w:pPr>
            <w:r>
              <w:t>绩效指标描述</w:t>
            </w:r>
          </w:p>
        </w:tc>
        <w:tc>
          <w:tcPr>
            <w:tcW w:w="2268" w:type="dxa"/>
            <w:vAlign w:val="center"/>
          </w:tcPr>
          <w:p w14:paraId="0441FB76">
            <w:pPr>
              <w:pStyle w:val="10"/>
            </w:pPr>
            <w:r>
              <w:t>指标值</w:t>
            </w:r>
          </w:p>
        </w:tc>
        <w:tc>
          <w:tcPr>
            <w:tcW w:w="1276" w:type="dxa"/>
            <w:vAlign w:val="center"/>
          </w:tcPr>
          <w:p w14:paraId="5E76DE7A">
            <w:pPr>
              <w:pStyle w:val="10"/>
            </w:pPr>
            <w:r>
              <w:t>指标值确定依据</w:t>
            </w:r>
          </w:p>
        </w:tc>
      </w:tr>
      <w:tr w14:paraId="11D0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4BABB">
            <w:pPr>
              <w:pStyle w:val="13"/>
            </w:pPr>
            <w:r>
              <w:t>产出指标</w:t>
            </w:r>
          </w:p>
        </w:tc>
        <w:tc>
          <w:tcPr>
            <w:tcW w:w="2268" w:type="dxa"/>
            <w:vAlign w:val="center"/>
          </w:tcPr>
          <w:p w14:paraId="7DBAFCFB">
            <w:pPr>
              <w:pStyle w:val="12"/>
            </w:pPr>
            <w:r>
              <w:t>数量指标</w:t>
            </w:r>
          </w:p>
        </w:tc>
        <w:tc>
          <w:tcPr>
            <w:tcW w:w="2835" w:type="dxa"/>
            <w:vAlign w:val="center"/>
          </w:tcPr>
          <w:p w14:paraId="4D6AE780">
            <w:pPr>
              <w:pStyle w:val="12"/>
            </w:pPr>
            <w:r>
              <w:t>适龄在校生</w:t>
            </w:r>
          </w:p>
        </w:tc>
        <w:tc>
          <w:tcPr>
            <w:tcW w:w="5386" w:type="dxa"/>
            <w:vAlign w:val="center"/>
          </w:tcPr>
          <w:p w14:paraId="0CEF2407">
            <w:pPr>
              <w:pStyle w:val="12"/>
            </w:pPr>
            <w:r>
              <w:t>适龄在校就读学生人数</w:t>
            </w:r>
          </w:p>
        </w:tc>
        <w:tc>
          <w:tcPr>
            <w:tcW w:w="2268" w:type="dxa"/>
            <w:vAlign w:val="center"/>
          </w:tcPr>
          <w:p w14:paraId="38186583">
            <w:pPr>
              <w:pStyle w:val="12"/>
            </w:pPr>
            <w:r>
              <w:t>3165人</w:t>
            </w:r>
          </w:p>
        </w:tc>
        <w:tc>
          <w:tcPr>
            <w:tcW w:w="1276" w:type="dxa"/>
            <w:vAlign w:val="center"/>
          </w:tcPr>
          <w:p w14:paraId="631A8E40">
            <w:pPr>
              <w:pStyle w:val="12"/>
            </w:pPr>
            <w:r>
              <w:t>年度工作计划</w:t>
            </w:r>
          </w:p>
        </w:tc>
      </w:tr>
      <w:tr w14:paraId="1D1F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E407F"/>
        </w:tc>
        <w:tc>
          <w:tcPr>
            <w:tcW w:w="2268" w:type="dxa"/>
            <w:vAlign w:val="center"/>
          </w:tcPr>
          <w:p w14:paraId="2C01DA26">
            <w:pPr>
              <w:pStyle w:val="12"/>
            </w:pPr>
            <w:r>
              <w:t>质量指标</w:t>
            </w:r>
          </w:p>
        </w:tc>
        <w:tc>
          <w:tcPr>
            <w:tcW w:w="2835" w:type="dxa"/>
            <w:vAlign w:val="center"/>
          </w:tcPr>
          <w:p w14:paraId="31806E32">
            <w:pPr>
              <w:pStyle w:val="12"/>
            </w:pPr>
            <w:r>
              <w:t>公用经费拨付完成率</w:t>
            </w:r>
          </w:p>
        </w:tc>
        <w:tc>
          <w:tcPr>
            <w:tcW w:w="5386" w:type="dxa"/>
            <w:vAlign w:val="center"/>
          </w:tcPr>
          <w:p w14:paraId="71BAEB30">
            <w:pPr>
              <w:pStyle w:val="12"/>
            </w:pPr>
            <w:r>
              <w:t>公用经费拨付完成率达到需时进度</w:t>
            </w:r>
          </w:p>
        </w:tc>
        <w:tc>
          <w:tcPr>
            <w:tcW w:w="2268" w:type="dxa"/>
            <w:vAlign w:val="center"/>
          </w:tcPr>
          <w:p w14:paraId="47262589">
            <w:pPr>
              <w:pStyle w:val="12"/>
            </w:pPr>
            <w:r>
              <w:t>100%</w:t>
            </w:r>
          </w:p>
        </w:tc>
        <w:tc>
          <w:tcPr>
            <w:tcW w:w="1276" w:type="dxa"/>
            <w:vAlign w:val="center"/>
          </w:tcPr>
          <w:p w14:paraId="05C9E781">
            <w:pPr>
              <w:pStyle w:val="12"/>
            </w:pPr>
            <w:r>
              <w:t>年度工作计划</w:t>
            </w:r>
          </w:p>
        </w:tc>
      </w:tr>
      <w:tr w14:paraId="484A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F2DA9"/>
        </w:tc>
        <w:tc>
          <w:tcPr>
            <w:tcW w:w="2268" w:type="dxa"/>
            <w:vAlign w:val="center"/>
          </w:tcPr>
          <w:p w14:paraId="0D28E7DB">
            <w:pPr>
              <w:pStyle w:val="12"/>
            </w:pPr>
            <w:r>
              <w:t>时效指标</w:t>
            </w:r>
          </w:p>
        </w:tc>
        <w:tc>
          <w:tcPr>
            <w:tcW w:w="2835" w:type="dxa"/>
            <w:vAlign w:val="center"/>
          </w:tcPr>
          <w:p w14:paraId="77DD866A">
            <w:pPr>
              <w:pStyle w:val="12"/>
            </w:pPr>
            <w:r>
              <w:t>义教经费支付完成率</w:t>
            </w:r>
          </w:p>
        </w:tc>
        <w:tc>
          <w:tcPr>
            <w:tcW w:w="5386" w:type="dxa"/>
            <w:vAlign w:val="center"/>
          </w:tcPr>
          <w:p w14:paraId="30F96847">
            <w:pPr>
              <w:pStyle w:val="12"/>
            </w:pPr>
            <w:r>
              <w:t>按照序时进度完成资金支付</w:t>
            </w:r>
          </w:p>
        </w:tc>
        <w:tc>
          <w:tcPr>
            <w:tcW w:w="2268" w:type="dxa"/>
            <w:vAlign w:val="center"/>
          </w:tcPr>
          <w:p w14:paraId="44BE06B7">
            <w:pPr>
              <w:pStyle w:val="12"/>
            </w:pPr>
            <w:r>
              <w:t>100%</w:t>
            </w:r>
          </w:p>
        </w:tc>
        <w:tc>
          <w:tcPr>
            <w:tcW w:w="1276" w:type="dxa"/>
            <w:vAlign w:val="center"/>
          </w:tcPr>
          <w:p w14:paraId="2417396D">
            <w:pPr>
              <w:pStyle w:val="12"/>
            </w:pPr>
            <w:r>
              <w:t>年度工作计划</w:t>
            </w:r>
          </w:p>
        </w:tc>
      </w:tr>
      <w:tr w14:paraId="7729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DB6BD"/>
        </w:tc>
        <w:tc>
          <w:tcPr>
            <w:tcW w:w="2268" w:type="dxa"/>
            <w:vAlign w:val="center"/>
          </w:tcPr>
          <w:p w14:paraId="4EDCD45F">
            <w:pPr>
              <w:pStyle w:val="12"/>
            </w:pPr>
            <w:r>
              <w:t>成本指标</w:t>
            </w:r>
          </w:p>
        </w:tc>
        <w:tc>
          <w:tcPr>
            <w:tcW w:w="2835" w:type="dxa"/>
            <w:vAlign w:val="center"/>
          </w:tcPr>
          <w:p w14:paraId="69BEE2EC">
            <w:pPr>
              <w:pStyle w:val="12"/>
            </w:pPr>
            <w:r>
              <w:t>生均拨款标准</w:t>
            </w:r>
          </w:p>
        </w:tc>
        <w:tc>
          <w:tcPr>
            <w:tcW w:w="5386" w:type="dxa"/>
            <w:vAlign w:val="center"/>
          </w:tcPr>
          <w:p w14:paraId="0AA3BA9F">
            <w:pPr>
              <w:pStyle w:val="12"/>
            </w:pPr>
            <w:r>
              <w:t>小学：（基本标准720元、寄宿生300元、生活补助120元）/生/学年；特教、随班就读学生：标准7000元/生/学年</w:t>
            </w:r>
          </w:p>
        </w:tc>
        <w:tc>
          <w:tcPr>
            <w:tcW w:w="2268" w:type="dxa"/>
            <w:vAlign w:val="center"/>
          </w:tcPr>
          <w:p w14:paraId="048E31B0">
            <w:pPr>
              <w:pStyle w:val="12"/>
            </w:pPr>
            <w:r>
              <w:t>840元</w:t>
            </w:r>
          </w:p>
        </w:tc>
        <w:tc>
          <w:tcPr>
            <w:tcW w:w="1276" w:type="dxa"/>
            <w:vAlign w:val="center"/>
          </w:tcPr>
          <w:p w14:paraId="1C656E2E">
            <w:pPr>
              <w:pStyle w:val="12"/>
            </w:pPr>
            <w:r>
              <w:t>年度工作计划</w:t>
            </w:r>
          </w:p>
        </w:tc>
      </w:tr>
      <w:tr w14:paraId="47534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7A87A">
            <w:pPr>
              <w:pStyle w:val="13"/>
            </w:pPr>
            <w:r>
              <w:t>效益指标</w:t>
            </w:r>
          </w:p>
        </w:tc>
        <w:tc>
          <w:tcPr>
            <w:tcW w:w="2268" w:type="dxa"/>
            <w:vAlign w:val="center"/>
          </w:tcPr>
          <w:p w14:paraId="04929368">
            <w:pPr>
              <w:pStyle w:val="12"/>
            </w:pPr>
            <w:r>
              <w:t>社会效益指标</w:t>
            </w:r>
          </w:p>
        </w:tc>
        <w:tc>
          <w:tcPr>
            <w:tcW w:w="2835" w:type="dxa"/>
            <w:vAlign w:val="center"/>
          </w:tcPr>
          <w:p w14:paraId="6B99D9ED">
            <w:pPr>
              <w:pStyle w:val="12"/>
            </w:pPr>
            <w:r>
              <w:t>学校稳定率</w:t>
            </w:r>
          </w:p>
        </w:tc>
        <w:tc>
          <w:tcPr>
            <w:tcW w:w="5386" w:type="dxa"/>
            <w:vAlign w:val="center"/>
          </w:tcPr>
          <w:p w14:paraId="355085B7">
            <w:pPr>
              <w:pStyle w:val="12"/>
            </w:pPr>
            <w:r>
              <w:t>维护学校稳定，保障学生就读巩固率</w:t>
            </w:r>
          </w:p>
        </w:tc>
        <w:tc>
          <w:tcPr>
            <w:tcW w:w="2268" w:type="dxa"/>
            <w:vAlign w:val="center"/>
          </w:tcPr>
          <w:p w14:paraId="465A84DF">
            <w:pPr>
              <w:pStyle w:val="12"/>
            </w:pPr>
            <w:r>
              <w:t>99.5%</w:t>
            </w:r>
          </w:p>
        </w:tc>
        <w:tc>
          <w:tcPr>
            <w:tcW w:w="1276" w:type="dxa"/>
            <w:vAlign w:val="center"/>
          </w:tcPr>
          <w:p w14:paraId="729083EA">
            <w:pPr>
              <w:pStyle w:val="12"/>
            </w:pPr>
            <w:r>
              <w:t>年度工作计划</w:t>
            </w:r>
          </w:p>
        </w:tc>
      </w:tr>
      <w:tr w14:paraId="644A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30F30"/>
        </w:tc>
        <w:tc>
          <w:tcPr>
            <w:tcW w:w="2268" w:type="dxa"/>
            <w:vAlign w:val="center"/>
          </w:tcPr>
          <w:p w14:paraId="446C8546">
            <w:pPr>
              <w:pStyle w:val="12"/>
            </w:pPr>
            <w:r>
              <w:t>可持续影响指标</w:t>
            </w:r>
          </w:p>
        </w:tc>
        <w:tc>
          <w:tcPr>
            <w:tcW w:w="2835" w:type="dxa"/>
            <w:vAlign w:val="center"/>
          </w:tcPr>
          <w:p w14:paraId="57838556">
            <w:pPr>
              <w:pStyle w:val="12"/>
            </w:pPr>
            <w:r>
              <w:t>效果持续时间</w:t>
            </w:r>
          </w:p>
        </w:tc>
        <w:tc>
          <w:tcPr>
            <w:tcW w:w="5386" w:type="dxa"/>
            <w:vAlign w:val="center"/>
          </w:tcPr>
          <w:p w14:paraId="241F6399">
            <w:pPr>
              <w:pStyle w:val="12"/>
            </w:pPr>
            <w:r>
              <w:t>义务教育效果持续影响时长</w:t>
            </w:r>
          </w:p>
        </w:tc>
        <w:tc>
          <w:tcPr>
            <w:tcW w:w="2268" w:type="dxa"/>
            <w:vAlign w:val="center"/>
          </w:tcPr>
          <w:p w14:paraId="2C39CEDB">
            <w:pPr>
              <w:pStyle w:val="12"/>
            </w:pPr>
            <w:r>
              <w:t>≥1年</w:t>
            </w:r>
          </w:p>
        </w:tc>
        <w:tc>
          <w:tcPr>
            <w:tcW w:w="1276" w:type="dxa"/>
            <w:vAlign w:val="center"/>
          </w:tcPr>
          <w:p w14:paraId="029F4C14">
            <w:pPr>
              <w:pStyle w:val="12"/>
            </w:pPr>
            <w:r>
              <w:t>年度工作计划</w:t>
            </w:r>
          </w:p>
        </w:tc>
      </w:tr>
      <w:tr w14:paraId="0599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30A6C">
            <w:pPr>
              <w:pStyle w:val="13"/>
            </w:pPr>
            <w:r>
              <w:t>满意度指标</w:t>
            </w:r>
          </w:p>
        </w:tc>
        <w:tc>
          <w:tcPr>
            <w:tcW w:w="2268" w:type="dxa"/>
            <w:vAlign w:val="center"/>
          </w:tcPr>
          <w:p w14:paraId="5B2F1557">
            <w:pPr>
              <w:pStyle w:val="12"/>
            </w:pPr>
            <w:r>
              <w:t>服务对象满意度指标</w:t>
            </w:r>
          </w:p>
        </w:tc>
        <w:tc>
          <w:tcPr>
            <w:tcW w:w="2835" w:type="dxa"/>
            <w:vAlign w:val="center"/>
          </w:tcPr>
          <w:p w14:paraId="3718C147">
            <w:pPr>
              <w:pStyle w:val="12"/>
            </w:pPr>
            <w:r>
              <w:t>服务对象满意度</w:t>
            </w:r>
          </w:p>
        </w:tc>
        <w:tc>
          <w:tcPr>
            <w:tcW w:w="5386" w:type="dxa"/>
            <w:vAlign w:val="center"/>
          </w:tcPr>
          <w:p w14:paraId="57B78735">
            <w:pPr>
              <w:pStyle w:val="12"/>
            </w:pPr>
            <w:r>
              <w:t>学校老师和学生满意度</w:t>
            </w:r>
          </w:p>
        </w:tc>
        <w:tc>
          <w:tcPr>
            <w:tcW w:w="2268" w:type="dxa"/>
            <w:vAlign w:val="center"/>
          </w:tcPr>
          <w:p w14:paraId="2339A059">
            <w:pPr>
              <w:pStyle w:val="12"/>
            </w:pPr>
            <w:r>
              <w:t>≥98%</w:t>
            </w:r>
          </w:p>
        </w:tc>
        <w:tc>
          <w:tcPr>
            <w:tcW w:w="1276" w:type="dxa"/>
            <w:vAlign w:val="center"/>
          </w:tcPr>
          <w:p w14:paraId="4DD5313A">
            <w:pPr>
              <w:pStyle w:val="12"/>
            </w:pPr>
            <w:r>
              <w:t>调查问卷</w:t>
            </w:r>
          </w:p>
        </w:tc>
      </w:tr>
    </w:tbl>
    <w:p w14:paraId="15FCBBEE">
      <w:pPr>
        <w:sectPr>
          <w:pgSz w:w="16840" w:h="11900" w:orient="landscape"/>
          <w:pgMar w:top="1361" w:right="1020" w:bottom="1134" w:left="1020" w:header="720" w:footer="720" w:gutter="0"/>
          <w:cols w:space="720" w:num="1"/>
        </w:sectPr>
      </w:pPr>
    </w:p>
    <w:p w14:paraId="2259653F">
      <w:pPr>
        <w:spacing w:before="0" w:after="0"/>
        <w:ind w:firstLine="560"/>
        <w:jc w:val="left"/>
        <w:outlineLvl w:val="9"/>
      </w:pPr>
      <w:r>
        <w:rPr>
          <w:rFonts w:ascii="方正仿宋_GBK" w:hAnsi="方正仿宋_GBK" w:eastAsia="方正仿宋_GBK" w:cs="方正仿宋_GBK"/>
          <w:b/>
          <w:color w:val="000000"/>
          <w:sz w:val="28"/>
        </w:rPr>
        <w:t>6、冀财教[2025]148号/支持义务教育发展/第二实验小学微机室电脑购置绩效目标表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B5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FA9ED">
            <w:pPr>
              <w:pStyle w:val="11"/>
            </w:pPr>
            <w:r>
              <w:t>单位：万元</w:t>
            </w:r>
          </w:p>
        </w:tc>
      </w:tr>
      <w:tr w14:paraId="55A85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F432D">
            <w:pPr>
              <w:pStyle w:val="10"/>
            </w:pPr>
            <w:r>
              <w:t>项目编码</w:t>
            </w:r>
          </w:p>
        </w:tc>
        <w:tc>
          <w:tcPr>
            <w:tcW w:w="5103" w:type="dxa"/>
            <w:gridSpan w:val="2"/>
            <w:vAlign w:val="center"/>
          </w:tcPr>
          <w:p w14:paraId="47277B35">
            <w:pPr>
              <w:pStyle w:val="12"/>
            </w:pPr>
            <w:r>
              <w:t>13052526P00000210116X</w:t>
            </w:r>
          </w:p>
        </w:tc>
        <w:tc>
          <w:tcPr>
            <w:tcW w:w="2835" w:type="dxa"/>
            <w:vAlign w:val="center"/>
          </w:tcPr>
          <w:p w14:paraId="33F626E5">
            <w:pPr>
              <w:pStyle w:val="10"/>
            </w:pPr>
            <w:r>
              <w:t>项目名称</w:t>
            </w:r>
          </w:p>
        </w:tc>
        <w:tc>
          <w:tcPr>
            <w:tcW w:w="6095" w:type="dxa"/>
            <w:gridSpan w:val="3"/>
            <w:vAlign w:val="center"/>
          </w:tcPr>
          <w:p w14:paraId="2A76E2B5">
            <w:pPr>
              <w:pStyle w:val="12"/>
            </w:pPr>
            <w:r>
              <w:t>冀财教[2025]148号/支持义务教育发展/第二实验小学微机室电脑购置</w:t>
            </w:r>
          </w:p>
        </w:tc>
      </w:tr>
      <w:tr w14:paraId="3CF7E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8EF43">
            <w:pPr>
              <w:pStyle w:val="10"/>
            </w:pPr>
            <w:r>
              <w:t>预算规模及资金用途</w:t>
            </w:r>
          </w:p>
        </w:tc>
        <w:tc>
          <w:tcPr>
            <w:tcW w:w="2268" w:type="dxa"/>
            <w:vAlign w:val="center"/>
          </w:tcPr>
          <w:p w14:paraId="3A5FD43B">
            <w:pPr>
              <w:pStyle w:val="10"/>
            </w:pPr>
            <w:r>
              <w:t>预算数</w:t>
            </w:r>
          </w:p>
        </w:tc>
        <w:tc>
          <w:tcPr>
            <w:tcW w:w="2835" w:type="dxa"/>
            <w:vAlign w:val="center"/>
          </w:tcPr>
          <w:p w14:paraId="6F82BA9A">
            <w:pPr>
              <w:pStyle w:val="12"/>
            </w:pPr>
            <w:r>
              <w:t>24.40</w:t>
            </w:r>
          </w:p>
        </w:tc>
        <w:tc>
          <w:tcPr>
            <w:tcW w:w="2835" w:type="dxa"/>
            <w:vAlign w:val="center"/>
          </w:tcPr>
          <w:p w14:paraId="2EFF011C">
            <w:pPr>
              <w:pStyle w:val="10"/>
            </w:pPr>
            <w:r>
              <w:t>其中：财政    资金</w:t>
            </w:r>
          </w:p>
        </w:tc>
        <w:tc>
          <w:tcPr>
            <w:tcW w:w="2551" w:type="dxa"/>
            <w:vAlign w:val="center"/>
          </w:tcPr>
          <w:p w14:paraId="5B5EA4B1">
            <w:pPr>
              <w:pStyle w:val="12"/>
            </w:pPr>
            <w:r>
              <w:t>24.40</w:t>
            </w:r>
          </w:p>
        </w:tc>
        <w:tc>
          <w:tcPr>
            <w:tcW w:w="2268" w:type="dxa"/>
            <w:vAlign w:val="center"/>
          </w:tcPr>
          <w:p w14:paraId="3C832F19">
            <w:pPr>
              <w:pStyle w:val="10"/>
            </w:pPr>
            <w:r>
              <w:t>其他资金</w:t>
            </w:r>
          </w:p>
        </w:tc>
        <w:tc>
          <w:tcPr>
            <w:tcW w:w="1276" w:type="dxa"/>
            <w:vAlign w:val="center"/>
          </w:tcPr>
          <w:p w14:paraId="07930D2F">
            <w:pPr>
              <w:pStyle w:val="12"/>
            </w:pPr>
            <w:r>
              <w:t xml:space="preserve"> </w:t>
            </w:r>
          </w:p>
        </w:tc>
      </w:tr>
      <w:tr w14:paraId="1F893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44794"/>
        </w:tc>
        <w:tc>
          <w:tcPr>
            <w:tcW w:w="14033" w:type="dxa"/>
            <w:gridSpan w:val="6"/>
            <w:vAlign w:val="center"/>
          </w:tcPr>
          <w:p w14:paraId="26E23C3D">
            <w:pPr>
              <w:pStyle w:val="12"/>
            </w:pPr>
            <w:r>
              <w:t>按时完成隆尧县第二实验小学微机室电脑配置工作，提高师生学习工作环境，提升满意度</w:t>
            </w:r>
            <w:r>
              <w:rPr>
                <w:rFonts w:hint="eastAsia"/>
                <w:lang w:eastAsia="zh-CN"/>
              </w:rPr>
              <w:t>。</w:t>
            </w:r>
            <w:r>
              <w:tab/>
            </w:r>
            <w:r>
              <w:tab/>
            </w:r>
            <w:r>
              <w:tab/>
            </w:r>
            <w:r>
              <w:tab/>
            </w:r>
            <w:r>
              <w:tab/>
            </w:r>
            <w:r>
              <w:tab/>
            </w:r>
          </w:p>
          <w:p w14:paraId="1D5B594A">
            <w:pPr>
              <w:pStyle w:val="12"/>
            </w:pPr>
          </w:p>
        </w:tc>
      </w:tr>
      <w:tr w14:paraId="2E2FA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0F787">
            <w:pPr>
              <w:pStyle w:val="10"/>
            </w:pPr>
            <w:r>
              <w:t>资金支出计划（%）</w:t>
            </w:r>
          </w:p>
        </w:tc>
        <w:tc>
          <w:tcPr>
            <w:tcW w:w="5103" w:type="dxa"/>
            <w:gridSpan w:val="2"/>
            <w:vAlign w:val="center"/>
          </w:tcPr>
          <w:p w14:paraId="4FFE1C54">
            <w:pPr>
              <w:pStyle w:val="10"/>
            </w:pPr>
            <w:r>
              <w:t>3月底</w:t>
            </w:r>
          </w:p>
        </w:tc>
        <w:tc>
          <w:tcPr>
            <w:tcW w:w="2835" w:type="dxa"/>
            <w:vAlign w:val="center"/>
          </w:tcPr>
          <w:p w14:paraId="6F15A279">
            <w:pPr>
              <w:pStyle w:val="10"/>
            </w:pPr>
            <w:r>
              <w:t>6月底</w:t>
            </w:r>
          </w:p>
        </w:tc>
        <w:tc>
          <w:tcPr>
            <w:tcW w:w="2551" w:type="dxa"/>
            <w:vAlign w:val="center"/>
          </w:tcPr>
          <w:p w14:paraId="17A821EA">
            <w:pPr>
              <w:pStyle w:val="10"/>
            </w:pPr>
            <w:r>
              <w:t>10月底</w:t>
            </w:r>
          </w:p>
        </w:tc>
        <w:tc>
          <w:tcPr>
            <w:tcW w:w="3544" w:type="dxa"/>
            <w:gridSpan w:val="2"/>
            <w:vAlign w:val="center"/>
          </w:tcPr>
          <w:p w14:paraId="5AE98211">
            <w:pPr>
              <w:pStyle w:val="10"/>
            </w:pPr>
            <w:r>
              <w:t>12月底</w:t>
            </w:r>
          </w:p>
        </w:tc>
      </w:tr>
      <w:tr w14:paraId="00D10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5B2E7"/>
        </w:tc>
        <w:tc>
          <w:tcPr>
            <w:tcW w:w="5103" w:type="dxa"/>
            <w:gridSpan w:val="2"/>
            <w:vAlign w:val="center"/>
          </w:tcPr>
          <w:p w14:paraId="7C316A7A">
            <w:pPr>
              <w:pStyle w:val="13"/>
            </w:pPr>
            <w:r>
              <w:t xml:space="preserve"> </w:t>
            </w:r>
          </w:p>
        </w:tc>
        <w:tc>
          <w:tcPr>
            <w:tcW w:w="2835" w:type="dxa"/>
            <w:vAlign w:val="center"/>
          </w:tcPr>
          <w:p w14:paraId="1D981450">
            <w:pPr>
              <w:pStyle w:val="13"/>
            </w:pPr>
            <w:r>
              <w:t>100%</w:t>
            </w:r>
          </w:p>
        </w:tc>
        <w:tc>
          <w:tcPr>
            <w:tcW w:w="2551" w:type="dxa"/>
            <w:vAlign w:val="center"/>
          </w:tcPr>
          <w:p w14:paraId="4DF6F595">
            <w:pPr>
              <w:pStyle w:val="13"/>
            </w:pPr>
            <w:r>
              <w:t>100%</w:t>
            </w:r>
          </w:p>
        </w:tc>
        <w:tc>
          <w:tcPr>
            <w:tcW w:w="3544" w:type="dxa"/>
            <w:gridSpan w:val="2"/>
            <w:vAlign w:val="center"/>
          </w:tcPr>
          <w:p w14:paraId="3A4CF74C">
            <w:pPr>
              <w:pStyle w:val="13"/>
            </w:pPr>
            <w:r>
              <w:t>100%</w:t>
            </w:r>
          </w:p>
        </w:tc>
      </w:tr>
      <w:tr w14:paraId="2C64D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C8F39">
            <w:pPr>
              <w:pStyle w:val="10"/>
            </w:pPr>
            <w:r>
              <w:t>绩效目标</w:t>
            </w:r>
          </w:p>
        </w:tc>
        <w:tc>
          <w:tcPr>
            <w:tcW w:w="14033" w:type="dxa"/>
            <w:gridSpan w:val="6"/>
            <w:vAlign w:val="center"/>
          </w:tcPr>
          <w:p w14:paraId="12CB9823">
            <w:pPr>
              <w:pStyle w:val="12"/>
            </w:pPr>
            <w:r>
              <w:t>1.按照进度及时支付购置款</w:t>
            </w:r>
          </w:p>
          <w:p w14:paraId="3221B326">
            <w:pPr>
              <w:pStyle w:val="12"/>
            </w:pPr>
            <w:r>
              <w:t>2.按时完成隆尧县第二实验小学微机室电脑配置工作，提高师生学习工作环境，提升满意度</w:t>
            </w:r>
          </w:p>
        </w:tc>
      </w:tr>
    </w:tbl>
    <w:p w14:paraId="7D9D7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D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771AE">
            <w:pPr>
              <w:pStyle w:val="10"/>
            </w:pPr>
            <w:r>
              <w:t>一级指标</w:t>
            </w:r>
          </w:p>
        </w:tc>
        <w:tc>
          <w:tcPr>
            <w:tcW w:w="2268" w:type="dxa"/>
            <w:vAlign w:val="center"/>
          </w:tcPr>
          <w:p w14:paraId="0E81FA81">
            <w:pPr>
              <w:pStyle w:val="10"/>
            </w:pPr>
            <w:r>
              <w:t>二级指标</w:t>
            </w:r>
          </w:p>
        </w:tc>
        <w:tc>
          <w:tcPr>
            <w:tcW w:w="2835" w:type="dxa"/>
            <w:vAlign w:val="center"/>
          </w:tcPr>
          <w:p w14:paraId="3593C9F8">
            <w:pPr>
              <w:pStyle w:val="10"/>
            </w:pPr>
            <w:r>
              <w:t>三级指标</w:t>
            </w:r>
          </w:p>
        </w:tc>
        <w:tc>
          <w:tcPr>
            <w:tcW w:w="5386" w:type="dxa"/>
            <w:vAlign w:val="center"/>
          </w:tcPr>
          <w:p w14:paraId="0C6A5399">
            <w:pPr>
              <w:pStyle w:val="10"/>
            </w:pPr>
            <w:r>
              <w:t>绩效指标描述</w:t>
            </w:r>
          </w:p>
        </w:tc>
        <w:tc>
          <w:tcPr>
            <w:tcW w:w="2268" w:type="dxa"/>
            <w:vAlign w:val="center"/>
          </w:tcPr>
          <w:p w14:paraId="35B5A5FF">
            <w:pPr>
              <w:pStyle w:val="10"/>
            </w:pPr>
            <w:r>
              <w:t>指标值</w:t>
            </w:r>
          </w:p>
        </w:tc>
        <w:tc>
          <w:tcPr>
            <w:tcW w:w="1276" w:type="dxa"/>
            <w:vAlign w:val="center"/>
          </w:tcPr>
          <w:p w14:paraId="2D9C5AA7">
            <w:pPr>
              <w:pStyle w:val="10"/>
            </w:pPr>
            <w:r>
              <w:t>指标值确定依据</w:t>
            </w:r>
          </w:p>
        </w:tc>
      </w:tr>
      <w:tr w14:paraId="16C0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1E3E1">
            <w:pPr>
              <w:pStyle w:val="13"/>
            </w:pPr>
            <w:r>
              <w:t>产出指标</w:t>
            </w:r>
          </w:p>
        </w:tc>
        <w:tc>
          <w:tcPr>
            <w:tcW w:w="2268" w:type="dxa"/>
            <w:vAlign w:val="center"/>
          </w:tcPr>
          <w:p w14:paraId="3E3889F0">
            <w:pPr>
              <w:pStyle w:val="12"/>
            </w:pPr>
            <w:r>
              <w:t>数量指标</w:t>
            </w:r>
          </w:p>
        </w:tc>
        <w:tc>
          <w:tcPr>
            <w:tcW w:w="2835" w:type="dxa"/>
            <w:vAlign w:val="center"/>
          </w:tcPr>
          <w:p w14:paraId="0C9634CC">
            <w:pPr>
              <w:pStyle w:val="12"/>
            </w:pPr>
            <w:r>
              <w:t>完成61台电脑的购置工作</w:t>
            </w:r>
          </w:p>
        </w:tc>
        <w:tc>
          <w:tcPr>
            <w:tcW w:w="5386" w:type="dxa"/>
            <w:vAlign w:val="center"/>
          </w:tcPr>
          <w:p w14:paraId="25067AF7">
            <w:pPr>
              <w:pStyle w:val="12"/>
            </w:pPr>
            <w:r>
              <w:t>按照合同规定的时间完成</w:t>
            </w:r>
          </w:p>
        </w:tc>
        <w:tc>
          <w:tcPr>
            <w:tcW w:w="2268" w:type="dxa"/>
            <w:vAlign w:val="center"/>
          </w:tcPr>
          <w:p w14:paraId="63D63E26">
            <w:pPr>
              <w:pStyle w:val="12"/>
            </w:pPr>
            <w:r>
              <w:t>100%</w:t>
            </w:r>
          </w:p>
        </w:tc>
        <w:tc>
          <w:tcPr>
            <w:tcW w:w="1276" w:type="dxa"/>
            <w:vAlign w:val="center"/>
          </w:tcPr>
          <w:p w14:paraId="4721C969">
            <w:pPr>
              <w:pStyle w:val="12"/>
            </w:pPr>
            <w:r>
              <w:t>项目规划</w:t>
            </w:r>
          </w:p>
        </w:tc>
      </w:tr>
      <w:tr w14:paraId="21DA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BF62D"/>
        </w:tc>
        <w:tc>
          <w:tcPr>
            <w:tcW w:w="2268" w:type="dxa"/>
            <w:vAlign w:val="center"/>
          </w:tcPr>
          <w:p w14:paraId="507AA9A1">
            <w:pPr>
              <w:pStyle w:val="12"/>
            </w:pPr>
            <w:r>
              <w:t>质量指标</w:t>
            </w:r>
          </w:p>
        </w:tc>
        <w:tc>
          <w:tcPr>
            <w:tcW w:w="2835" w:type="dxa"/>
            <w:vAlign w:val="center"/>
          </w:tcPr>
          <w:p w14:paraId="40EA06FF">
            <w:pPr>
              <w:pStyle w:val="12"/>
            </w:pPr>
            <w:r>
              <w:t>61台电脑质量验收</w:t>
            </w:r>
          </w:p>
        </w:tc>
        <w:tc>
          <w:tcPr>
            <w:tcW w:w="5386" w:type="dxa"/>
            <w:vAlign w:val="center"/>
          </w:tcPr>
          <w:p w14:paraId="29820F13">
            <w:pPr>
              <w:pStyle w:val="12"/>
            </w:pPr>
            <w:r>
              <w:t>项目验收合格率</w:t>
            </w:r>
          </w:p>
        </w:tc>
        <w:tc>
          <w:tcPr>
            <w:tcW w:w="2268" w:type="dxa"/>
            <w:vAlign w:val="center"/>
          </w:tcPr>
          <w:p w14:paraId="65D0F3D7">
            <w:pPr>
              <w:pStyle w:val="12"/>
            </w:pPr>
            <w:r>
              <w:t>100%</w:t>
            </w:r>
          </w:p>
        </w:tc>
        <w:tc>
          <w:tcPr>
            <w:tcW w:w="1276" w:type="dxa"/>
            <w:vAlign w:val="center"/>
          </w:tcPr>
          <w:p w14:paraId="16DB9118">
            <w:pPr>
              <w:pStyle w:val="12"/>
            </w:pPr>
            <w:r>
              <w:t>项目规划</w:t>
            </w:r>
          </w:p>
        </w:tc>
      </w:tr>
      <w:tr w14:paraId="68BE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FAF02"/>
        </w:tc>
        <w:tc>
          <w:tcPr>
            <w:tcW w:w="2268" w:type="dxa"/>
            <w:vAlign w:val="center"/>
          </w:tcPr>
          <w:p w14:paraId="0BB83FD6">
            <w:pPr>
              <w:pStyle w:val="12"/>
            </w:pPr>
            <w:r>
              <w:t>时效指标</w:t>
            </w:r>
          </w:p>
        </w:tc>
        <w:tc>
          <w:tcPr>
            <w:tcW w:w="2835" w:type="dxa"/>
            <w:vAlign w:val="center"/>
          </w:tcPr>
          <w:p w14:paraId="076802B3">
            <w:pPr>
              <w:pStyle w:val="12"/>
            </w:pPr>
            <w:r>
              <w:t>资金支付进度</w:t>
            </w:r>
          </w:p>
        </w:tc>
        <w:tc>
          <w:tcPr>
            <w:tcW w:w="5386" w:type="dxa"/>
            <w:vAlign w:val="center"/>
          </w:tcPr>
          <w:p w14:paraId="19266107">
            <w:pPr>
              <w:pStyle w:val="12"/>
            </w:pPr>
            <w:r>
              <w:t>规定时间内完成率</w:t>
            </w:r>
          </w:p>
        </w:tc>
        <w:tc>
          <w:tcPr>
            <w:tcW w:w="2268" w:type="dxa"/>
            <w:vAlign w:val="center"/>
          </w:tcPr>
          <w:p w14:paraId="1FD53775">
            <w:pPr>
              <w:pStyle w:val="12"/>
            </w:pPr>
            <w:r>
              <w:t>100%</w:t>
            </w:r>
          </w:p>
        </w:tc>
        <w:tc>
          <w:tcPr>
            <w:tcW w:w="1276" w:type="dxa"/>
            <w:vAlign w:val="center"/>
          </w:tcPr>
          <w:p w14:paraId="0CE7C0D3">
            <w:pPr>
              <w:pStyle w:val="12"/>
            </w:pPr>
            <w:r>
              <w:t>项目规划</w:t>
            </w:r>
          </w:p>
        </w:tc>
      </w:tr>
      <w:tr w14:paraId="7CA2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5756"/>
        </w:tc>
        <w:tc>
          <w:tcPr>
            <w:tcW w:w="2268" w:type="dxa"/>
            <w:vAlign w:val="center"/>
          </w:tcPr>
          <w:p w14:paraId="0E4AAC1C">
            <w:pPr>
              <w:pStyle w:val="12"/>
            </w:pPr>
            <w:r>
              <w:t>成本指标</w:t>
            </w:r>
          </w:p>
        </w:tc>
        <w:tc>
          <w:tcPr>
            <w:tcW w:w="2835" w:type="dxa"/>
            <w:vAlign w:val="center"/>
          </w:tcPr>
          <w:p w14:paraId="643C012F">
            <w:pPr>
              <w:pStyle w:val="12"/>
            </w:pPr>
            <w:r>
              <w:t>61台电脑控制成本</w:t>
            </w:r>
          </w:p>
        </w:tc>
        <w:tc>
          <w:tcPr>
            <w:tcW w:w="5386" w:type="dxa"/>
            <w:vAlign w:val="center"/>
          </w:tcPr>
          <w:p w14:paraId="00B17679">
            <w:pPr>
              <w:pStyle w:val="12"/>
            </w:pPr>
            <w:r>
              <w:t>实际成本</w:t>
            </w:r>
          </w:p>
        </w:tc>
        <w:tc>
          <w:tcPr>
            <w:tcW w:w="2268" w:type="dxa"/>
            <w:vAlign w:val="center"/>
          </w:tcPr>
          <w:p w14:paraId="3CC10AEA">
            <w:pPr>
              <w:pStyle w:val="12"/>
            </w:pPr>
            <w:r>
              <w:t>≤24.4万元</w:t>
            </w:r>
          </w:p>
        </w:tc>
        <w:tc>
          <w:tcPr>
            <w:tcW w:w="1276" w:type="dxa"/>
            <w:vAlign w:val="center"/>
          </w:tcPr>
          <w:p w14:paraId="3C452E9B">
            <w:pPr>
              <w:pStyle w:val="12"/>
            </w:pPr>
            <w:r>
              <w:t>项目规划</w:t>
            </w:r>
          </w:p>
        </w:tc>
      </w:tr>
      <w:tr w14:paraId="2DD9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551D8">
            <w:pPr>
              <w:pStyle w:val="13"/>
            </w:pPr>
            <w:r>
              <w:t>效益指标</w:t>
            </w:r>
          </w:p>
        </w:tc>
        <w:tc>
          <w:tcPr>
            <w:tcW w:w="2268" w:type="dxa"/>
            <w:vAlign w:val="center"/>
          </w:tcPr>
          <w:p w14:paraId="63441255">
            <w:pPr>
              <w:pStyle w:val="12"/>
            </w:pPr>
            <w:r>
              <w:t>经济效益指标</w:t>
            </w:r>
          </w:p>
        </w:tc>
        <w:tc>
          <w:tcPr>
            <w:tcW w:w="2835" w:type="dxa"/>
            <w:vAlign w:val="center"/>
          </w:tcPr>
          <w:p w14:paraId="13FB0ED0">
            <w:pPr>
              <w:pStyle w:val="12"/>
            </w:pPr>
            <w:r>
              <w:t>使用年限</w:t>
            </w:r>
          </w:p>
        </w:tc>
        <w:tc>
          <w:tcPr>
            <w:tcW w:w="5386" w:type="dxa"/>
            <w:vAlign w:val="center"/>
          </w:tcPr>
          <w:p w14:paraId="76FD0BF7">
            <w:pPr>
              <w:pStyle w:val="12"/>
            </w:pPr>
            <w:r>
              <w:t>达到合同要求的使用年限</w:t>
            </w:r>
          </w:p>
        </w:tc>
        <w:tc>
          <w:tcPr>
            <w:tcW w:w="2268" w:type="dxa"/>
            <w:vAlign w:val="center"/>
          </w:tcPr>
          <w:p w14:paraId="421687BE">
            <w:pPr>
              <w:pStyle w:val="12"/>
            </w:pPr>
            <w:r>
              <w:t>≥10年</w:t>
            </w:r>
          </w:p>
        </w:tc>
        <w:tc>
          <w:tcPr>
            <w:tcW w:w="1276" w:type="dxa"/>
            <w:vAlign w:val="center"/>
          </w:tcPr>
          <w:p w14:paraId="03B140AD">
            <w:pPr>
              <w:pStyle w:val="12"/>
            </w:pPr>
            <w:r>
              <w:t>项目规划</w:t>
            </w:r>
          </w:p>
        </w:tc>
      </w:tr>
      <w:tr w14:paraId="6E508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285D7"/>
        </w:tc>
        <w:tc>
          <w:tcPr>
            <w:tcW w:w="2268" w:type="dxa"/>
            <w:vAlign w:val="center"/>
          </w:tcPr>
          <w:p w14:paraId="18F21300">
            <w:pPr>
              <w:pStyle w:val="12"/>
            </w:pPr>
            <w:r>
              <w:t>社会效益指标</w:t>
            </w:r>
          </w:p>
        </w:tc>
        <w:tc>
          <w:tcPr>
            <w:tcW w:w="2835" w:type="dxa"/>
            <w:vAlign w:val="center"/>
          </w:tcPr>
          <w:p w14:paraId="3C742C52">
            <w:pPr>
              <w:pStyle w:val="12"/>
            </w:pPr>
            <w:r>
              <w:t>优化广大师生学习环境，</w:t>
            </w:r>
          </w:p>
        </w:tc>
        <w:tc>
          <w:tcPr>
            <w:tcW w:w="5386" w:type="dxa"/>
            <w:vAlign w:val="center"/>
          </w:tcPr>
          <w:p w14:paraId="4AE6510C">
            <w:pPr>
              <w:pStyle w:val="12"/>
            </w:pPr>
            <w:r>
              <w:t>满足2700名师生学习需求</w:t>
            </w:r>
          </w:p>
        </w:tc>
        <w:tc>
          <w:tcPr>
            <w:tcW w:w="2268" w:type="dxa"/>
            <w:vAlign w:val="center"/>
          </w:tcPr>
          <w:p w14:paraId="6E6C948C">
            <w:pPr>
              <w:pStyle w:val="12"/>
            </w:pPr>
            <w:r>
              <w:t>≥2700人</w:t>
            </w:r>
          </w:p>
        </w:tc>
        <w:tc>
          <w:tcPr>
            <w:tcW w:w="1276" w:type="dxa"/>
            <w:vAlign w:val="center"/>
          </w:tcPr>
          <w:p w14:paraId="764B3717">
            <w:pPr>
              <w:pStyle w:val="12"/>
            </w:pPr>
            <w:r>
              <w:t>项目规划</w:t>
            </w:r>
          </w:p>
        </w:tc>
      </w:tr>
      <w:tr w14:paraId="58E5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1163D"/>
        </w:tc>
        <w:tc>
          <w:tcPr>
            <w:tcW w:w="2268" w:type="dxa"/>
            <w:vAlign w:val="center"/>
          </w:tcPr>
          <w:p w14:paraId="6CA83EF2">
            <w:pPr>
              <w:pStyle w:val="12"/>
            </w:pPr>
            <w:r>
              <w:t>生态效益指标</w:t>
            </w:r>
          </w:p>
        </w:tc>
        <w:tc>
          <w:tcPr>
            <w:tcW w:w="2835" w:type="dxa"/>
            <w:vAlign w:val="center"/>
          </w:tcPr>
          <w:p w14:paraId="2F4058CB">
            <w:pPr>
              <w:pStyle w:val="12"/>
            </w:pPr>
            <w:r>
              <w:t>达到环保要求</w:t>
            </w:r>
          </w:p>
        </w:tc>
        <w:tc>
          <w:tcPr>
            <w:tcW w:w="5386" w:type="dxa"/>
            <w:vAlign w:val="center"/>
          </w:tcPr>
          <w:p w14:paraId="40C2E9BD">
            <w:pPr>
              <w:pStyle w:val="12"/>
            </w:pPr>
            <w:r>
              <w:t>高效低耗产品比例</w:t>
            </w:r>
          </w:p>
        </w:tc>
        <w:tc>
          <w:tcPr>
            <w:tcW w:w="2268" w:type="dxa"/>
            <w:vAlign w:val="center"/>
          </w:tcPr>
          <w:p w14:paraId="3DBAEC9D">
            <w:pPr>
              <w:pStyle w:val="12"/>
            </w:pPr>
            <w:r>
              <w:t>100%</w:t>
            </w:r>
          </w:p>
        </w:tc>
        <w:tc>
          <w:tcPr>
            <w:tcW w:w="1276" w:type="dxa"/>
            <w:vAlign w:val="center"/>
          </w:tcPr>
          <w:p w14:paraId="097C66B5">
            <w:pPr>
              <w:pStyle w:val="12"/>
            </w:pPr>
            <w:r>
              <w:t>项目规划</w:t>
            </w:r>
          </w:p>
        </w:tc>
      </w:tr>
      <w:tr w14:paraId="722EA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19B1B"/>
        </w:tc>
        <w:tc>
          <w:tcPr>
            <w:tcW w:w="2268" w:type="dxa"/>
            <w:vAlign w:val="center"/>
          </w:tcPr>
          <w:p w14:paraId="11029588">
            <w:pPr>
              <w:pStyle w:val="12"/>
            </w:pPr>
            <w:r>
              <w:t>可持续影响指标</w:t>
            </w:r>
          </w:p>
        </w:tc>
        <w:tc>
          <w:tcPr>
            <w:tcW w:w="2835" w:type="dxa"/>
            <w:vAlign w:val="center"/>
          </w:tcPr>
          <w:p w14:paraId="0188A174">
            <w:pPr>
              <w:pStyle w:val="12"/>
            </w:pPr>
            <w:r>
              <w:t>使用效益持续时间</w:t>
            </w:r>
          </w:p>
        </w:tc>
        <w:tc>
          <w:tcPr>
            <w:tcW w:w="5386" w:type="dxa"/>
            <w:vAlign w:val="center"/>
          </w:tcPr>
          <w:p w14:paraId="53BB362D">
            <w:pPr>
              <w:pStyle w:val="12"/>
            </w:pPr>
            <w:r>
              <w:t>使用效果持续时间长</w:t>
            </w:r>
          </w:p>
        </w:tc>
        <w:tc>
          <w:tcPr>
            <w:tcW w:w="2268" w:type="dxa"/>
            <w:vAlign w:val="center"/>
          </w:tcPr>
          <w:p w14:paraId="7FC56896">
            <w:pPr>
              <w:pStyle w:val="12"/>
            </w:pPr>
            <w:r>
              <w:t>≥10年</w:t>
            </w:r>
          </w:p>
        </w:tc>
        <w:tc>
          <w:tcPr>
            <w:tcW w:w="1276" w:type="dxa"/>
            <w:vAlign w:val="center"/>
          </w:tcPr>
          <w:p w14:paraId="31177258">
            <w:pPr>
              <w:pStyle w:val="12"/>
            </w:pPr>
            <w:r>
              <w:t>项目规划</w:t>
            </w:r>
          </w:p>
        </w:tc>
      </w:tr>
      <w:tr w14:paraId="2CC01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3AC61">
            <w:pPr>
              <w:pStyle w:val="13"/>
            </w:pPr>
            <w:r>
              <w:t>满意度指标</w:t>
            </w:r>
          </w:p>
        </w:tc>
        <w:tc>
          <w:tcPr>
            <w:tcW w:w="2268" w:type="dxa"/>
            <w:vAlign w:val="center"/>
          </w:tcPr>
          <w:p w14:paraId="38ACE304">
            <w:pPr>
              <w:pStyle w:val="12"/>
            </w:pPr>
            <w:r>
              <w:t>服务对象满意度指标</w:t>
            </w:r>
          </w:p>
        </w:tc>
        <w:tc>
          <w:tcPr>
            <w:tcW w:w="2835" w:type="dxa"/>
            <w:vAlign w:val="center"/>
          </w:tcPr>
          <w:p w14:paraId="1C686636">
            <w:pPr>
              <w:pStyle w:val="12"/>
            </w:pPr>
            <w:r>
              <w:t>师生对学习生活环境的满意度</w:t>
            </w:r>
          </w:p>
        </w:tc>
        <w:tc>
          <w:tcPr>
            <w:tcW w:w="5386" w:type="dxa"/>
            <w:vAlign w:val="center"/>
          </w:tcPr>
          <w:p w14:paraId="2EFD2465">
            <w:pPr>
              <w:pStyle w:val="12"/>
            </w:pPr>
            <w:r>
              <w:t>师生对学习生活环境的满意度</w:t>
            </w:r>
          </w:p>
        </w:tc>
        <w:tc>
          <w:tcPr>
            <w:tcW w:w="2268" w:type="dxa"/>
            <w:vAlign w:val="center"/>
          </w:tcPr>
          <w:p w14:paraId="3E7FCF63">
            <w:pPr>
              <w:pStyle w:val="12"/>
            </w:pPr>
            <w:r>
              <w:t>≥98%</w:t>
            </w:r>
          </w:p>
        </w:tc>
        <w:tc>
          <w:tcPr>
            <w:tcW w:w="1276" w:type="dxa"/>
            <w:vAlign w:val="center"/>
          </w:tcPr>
          <w:p w14:paraId="26DB3C7C">
            <w:pPr>
              <w:pStyle w:val="12"/>
            </w:pPr>
            <w:r>
              <w:t>调查问卷</w:t>
            </w:r>
          </w:p>
        </w:tc>
      </w:tr>
    </w:tbl>
    <w:p w14:paraId="6364906E">
      <w:pPr>
        <w:sectPr>
          <w:pgSz w:w="16840" w:h="11900" w:orient="landscape"/>
          <w:pgMar w:top="1361" w:right="1020" w:bottom="1134" w:left="1020" w:header="720" w:footer="720" w:gutter="0"/>
          <w:cols w:space="720" w:num="1"/>
        </w:sectPr>
      </w:pPr>
    </w:p>
    <w:p w14:paraId="02506C7F">
      <w:pPr>
        <w:spacing w:before="0" w:after="0"/>
        <w:ind w:firstLine="560"/>
        <w:jc w:val="left"/>
        <w:outlineLvl w:val="9"/>
      </w:pPr>
      <w:r>
        <w:rPr>
          <w:rFonts w:ascii="方正仿宋_GBK" w:hAnsi="方正仿宋_GBK" w:eastAsia="方正仿宋_GBK" w:cs="方正仿宋_GBK"/>
          <w:b/>
          <w:color w:val="000000"/>
          <w:sz w:val="28"/>
        </w:rPr>
        <w:t>7、县级配套/第二实验小学公用经费绩效目标表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6A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99C34">
            <w:pPr>
              <w:pStyle w:val="11"/>
            </w:pPr>
            <w:r>
              <w:t>单位：万元</w:t>
            </w:r>
          </w:p>
        </w:tc>
      </w:tr>
      <w:tr w14:paraId="2308D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32E34">
            <w:pPr>
              <w:pStyle w:val="10"/>
            </w:pPr>
            <w:r>
              <w:t>项目编码</w:t>
            </w:r>
          </w:p>
        </w:tc>
        <w:tc>
          <w:tcPr>
            <w:tcW w:w="5103" w:type="dxa"/>
            <w:gridSpan w:val="2"/>
            <w:vAlign w:val="center"/>
          </w:tcPr>
          <w:p w14:paraId="4AD26D55">
            <w:pPr>
              <w:pStyle w:val="12"/>
            </w:pPr>
            <w:r>
              <w:t>13052526P000004104190</w:t>
            </w:r>
          </w:p>
        </w:tc>
        <w:tc>
          <w:tcPr>
            <w:tcW w:w="2835" w:type="dxa"/>
            <w:vAlign w:val="center"/>
          </w:tcPr>
          <w:p w14:paraId="54FB59C7">
            <w:pPr>
              <w:pStyle w:val="10"/>
            </w:pPr>
            <w:r>
              <w:t>项目名称</w:t>
            </w:r>
          </w:p>
        </w:tc>
        <w:tc>
          <w:tcPr>
            <w:tcW w:w="6095" w:type="dxa"/>
            <w:gridSpan w:val="3"/>
            <w:vAlign w:val="center"/>
          </w:tcPr>
          <w:p w14:paraId="46B8FB18">
            <w:pPr>
              <w:pStyle w:val="12"/>
            </w:pPr>
            <w:r>
              <w:t>县级配套/第二实验小学公用经费</w:t>
            </w:r>
          </w:p>
        </w:tc>
      </w:tr>
      <w:tr w14:paraId="07934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8A4BF">
            <w:pPr>
              <w:pStyle w:val="10"/>
            </w:pPr>
            <w:r>
              <w:t>预算规模及资金用途</w:t>
            </w:r>
          </w:p>
        </w:tc>
        <w:tc>
          <w:tcPr>
            <w:tcW w:w="2268" w:type="dxa"/>
            <w:vAlign w:val="center"/>
          </w:tcPr>
          <w:p w14:paraId="2A60BB2D">
            <w:pPr>
              <w:pStyle w:val="10"/>
            </w:pPr>
            <w:r>
              <w:t>预算数</w:t>
            </w:r>
          </w:p>
        </w:tc>
        <w:tc>
          <w:tcPr>
            <w:tcW w:w="2835" w:type="dxa"/>
            <w:vAlign w:val="center"/>
          </w:tcPr>
          <w:p w14:paraId="31822C8D">
            <w:pPr>
              <w:pStyle w:val="12"/>
            </w:pPr>
            <w:r>
              <w:t>28.62</w:t>
            </w:r>
          </w:p>
        </w:tc>
        <w:tc>
          <w:tcPr>
            <w:tcW w:w="2835" w:type="dxa"/>
            <w:vAlign w:val="center"/>
          </w:tcPr>
          <w:p w14:paraId="2A52ECF9">
            <w:pPr>
              <w:pStyle w:val="10"/>
            </w:pPr>
            <w:r>
              <w:t>其中：财政    资金</w:t>
            </w:r>
          </w:p>
        </w:tc>
        <w:tc>
          <w:tcPr>
            <w:tcW w:w="2551" w:type="dxa"/>
            <w:vAlign w:val="center"/>
          </w:tcPr>
          <w:p w14:paraId="4ECF9E55">
            <w:pPr>
              <w:pStyle w:val="12"/>
            </w:pPr>
            <w:r>
              <w:t>28.62</w:t>
            </w:r>
          </w:p>
        </w:tc>
        <w:tc>
          <w:tcPr>
            <w:tcW w:w="2268" w:type="dxa"/>
            <w:vAlign w:val="center"/>
          </w:tcPr>
          <w:p w14:paraId="6C2D895C">
            <w:pPr>
              <w:pStyle w:val="10"/>
            </w:pPr>
            <w:r>
              <w:t>其他资金</w:t>
            </w:r>
          </w:p>
        </w:tc>
        <w:tc>
          <w:tcPr>
            <w:tcW w:w="1276" w:type="dxa"/>
            <w:vAlign w:val="center"/>
          </w:tcPr>
          <w:p w14:paraId="510D716B">
            <w:pPr>
              <w:pStyle w:val="12"/>
            </w:pPr>
            <w:r>
              <w:t xml:space="preserve"> </w:t>
            </w:r>
          </w:p>
        </w:tc>
      </w:tr>
      <w:tr w14:paraId="110B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D64DC"/>
        </w:tc>
        <w:tc>
          <w:tcPr>
            <w:tcW w:w="14033" w:type="dxa"/>
            <w:gridSpan w:val="6"/>
            <w:vAlign w:val="center"/>
          </w:tcPr>
          <w:p w14:paraId="4A13009D">
            <w:pPr>
              <w:pStyle w:val="12"/>
            </w:pPr>
            <w:r>
              <w:rPr>
                <w:rFonts w:hint="eastAsia"/>
                <w:lang w:eastAsia="zh-CN"/>
              </w:rPr>
              <w:t>”</w:t>
            </w:r>
            <w:r>
              <w:t>保障义务教育学校正常运转，完成教育教学活动和其他日常工作任务等方面的费用支出。</w:t>
            </w:r>
            <w:r>
              <w:tab/>
            </w:r>
            <w:r>
              <w:tab/>
            </w:r>
            <w:r>
              <w:tab/>
            </w:r>
            <w:r>
              <w:tab/>
            </w:r>
            <w:r>
              <w:tab/>
            </w:r>
            <w:r>
              <w:tab/>
            </w:r>
          </w:p>
          <w:p w14:paraId="52FDDD84">
            <w:pPr>
              <w:pStyle w:val="12"/>
            </w:pPr>
            <w:r>
              <w:t>"</w:t>
            </w:r>
            <w:r>
              <w:tab/>
            </w:r>
            <w:r>
              <w:tab/>
            </w:r>
            <w:r>
              <w:tab/>
            </w:r>
            <w:r>
              <w:tab/>
            </w:r>
            <w:r>
              <w:tab/>
            </w:r>
            <w:r>
              <w:tab/>
            </w:r>
          </w:p>
          <w:p w14:paraId="74B5926D">
            <w:pPr>
              <w:pStyle w:val="12"/>
            </w:pPr>
          </w:p>
        </w:tc>
      </w:tr>
      <w:tr w14:paraId="4673F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DE8A2">
            <w:pPr>
              <w:pStyle w:val="10"/>
            </w:pPr>
            <w:r>
              <w:t>资金支出计划（%）</w:t>
            </w:r>
          </w:p>
        </w:tc>
        <w:tc>
          <w:tcPr>
            <w:tcW w:w="5103" w:type="dxa"/>
            <w:gridSpan w:val="2"/>
            <w:vAlign w:val="center"/>
          </w:tcPr>
          <w:p w14:paraId="33399390">
            <w:pPr>
              <w:pStyle w:val="10"/>
            </w:pPr>
            <w:r>
              <w:t>3月底</w:t>
            </w:r>
          </w:p>
        </w:tc>
        <w:tc>
          <w:tcPr>
            <w:tcW w:w="2835" w:type="dxa"/>
            <w:vAlign w:val="center"/>
          </w:tcPr>
          <w:p w14:paraId="0B37C752">
            <w:pPr>
              <w:pStyle w:val="10"/>
            </w:pPr>
            <w:r>
              <w:t>6月底</w:t>
            </w:r>
          </w:p>
        </w:tc>
        <w:tc>
          <w:tcPr>
            <w:tcW w:w="2551" w:type="dxa"/>
            <w:vAlign w:val="center"/>
          </w:tcPr>
          <w:p w14:paraId="7B259F2F">
            <w:pPr>
              <w:pStyle w:val="10"/>
            </w:pPr>
            <w:r>
              <w:t>10月底</w:t>
            </w:r>
          </w:p>
        </w:tc>
        <w:tc>
          <w:tcPr>
            <w:tcW w:w="3544" w:type="dxa"/>
            <w:gridSpan w:val="2"/>
            <w:vAlign w:val="center"/>
          </w:tcPr>
          <w:p w14:paraId="1AFB1595">
            <w:pPr>
              <w:pStyle w:val="10"/>
            </w:pPr>
            <w:r>
              <w:t>12月底</w:t>
            </w:r>
          </w:p>
        </w:tc>
      </w:tr>
      <w:tr w14:paraId="228E7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DC602"/>
        </w:tc>
        <w:tc>
          <w:tcPr>
            <w:tcW w:w="5103" w:type="dxa"/>
            <w:gridSpan w:val="2"/>
            <w:vAlign w:val="center"/>
          </w:tcPr>
          <w:p w14:paraId="4136D32D">
            <w:pPr>
              <w:pStyle w:val="13"/>
            </w:pPr>
            <w:r>
              <w:t>25%</w:t>
            </w:r>
          </w:p>
        </w:tc>
        <w:tc>
          <w:tcPr>
            <w:tcW w:w="2835" w:type="dxa"/>
            <w:vAlign w:val="center"/>
          </w:tcPr>
          <w:p w14:paraId="28FF8EFF">
            <w:pPr>
              <w:pStyle w:val="13"/>
            </w:pPr>
            <w:r>
              <w:t>50%</w:t>
            </w:r>
          </w:p>
        </w:tc>
        <w:tc>
          <w:tcPr>
            <w:tcW w:w="2551" w:type="dxa"/>
            <w:vAlign w:val="center"/>
          </w:tcPr>
          <w:p w14:paraId="1B62C088">
            <w:pPr>
              <w:pStyle w:val="13"/>
            </w:pPr>
            <w:r>
              <w:t>75%</w:t>
            </w:r>
          </w:p>
        </w:tc>
        <w:tc>
          <w:tcPr>
            <w:tcW w:w="3544" w:type="dxa"/>
            <w:gridSpan w:val="2"/>
            <w:vAlign w:val="center"/>
          </w:tcPr>
          <w:p w14:paraId="4016B98B">
            <w:pPr>
              <w:pStyle w:val="13"/>
            </w:pPr>
            <w:r>
              <w:t>100%</w:t>
            </w:r>
          </w:p>
        </w:tc>
      </w:tr>
      <w:tr w14:paraId="773AA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05F7F">
            <w:pPr>
              <w:pStyle w:val="10"/>
            </w:pPr>
            <w:r>
              <w:t>绩效目标</w:t>
            </w:r>
          </w:p>
        </w:tc>
        <w:tc>
          <w:tcPr>
            <w:tcW w:w="14033" w:type="dxa"/>
            <w:gridSpan w:val="6"/>
            <w:vAlign w:val="center"/>
          </w:tcPr>
          <w:p w14:paraId="7E8C37B7">
            <w:pPr>
              <w:pStyle w:val="12"/>
            </w:pPr>
            <w:r>
              <w:t>1.按季度分批次完成资金拨付286200元，资金拨付率达到100%。</w:t>
            </w:r>
          </w:p>
          <w:p w14:paraId="7837D952">
            <w:pPr>
              <w:pStyle w:val="12"/>
            </w:pPr>
            <w:r>
              <w:t>2.保障义务教育学校正常运转，完成教育教学活动和其他日常工作任务等方面的费用支出。</w:t>
            </w:r>
            <w:r>
              <w:tab/>
            </w:r>
            <w:r>
              <w:tab/>
            </w:r>
            <w:r>
              <w:tab/>
            </w:r>
            <w:r>
              <w:tab/>
            </w:r>
            <w:r>
              <w:tab/>
            </w:r>
            <w:r>
              <w:tab/>
            </w:r>
          </w:p>
          <w:p w14:paraId="1C434882">
            <w:pPr>
              <w:pStyle w:val="12"/>
            </w:pPr>
          </w:p>
        </w:tc>
      </w:tr>
    </w:tbl>
    <w:p w14:paraId="5C7E3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E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AAC1B">
            <w:pPr>
              <w:pStyle w:val="10"/>
            </w:pPr>
            <w:r>
              <w:t>一级指标</w:t>
            </w:r>
          </w:p>
        </w:tc>
        <w:tc>
          <w:tcPr>
            <w:tcW w:w="2268" w:type="dxa"/>
            <w:vAlign w:val="center"/>
          </w:tcPr>
          <w:p w14:paraId="769D30F2">
            <w:pPr>
              <w:pStyle w:val="10"/>
            </w:pPr>
            <w:r>
              <w:t>二级指标</w:t>
            </w:r>
          </w:p>
        </w:tc>
        <w:tc>
          <w:tcPr>
            <w:tcW w:w="2835" w:type="dxa"/>
            <w:vAlign w:val="center"/>
          </w:tcPr>
          <w:p w14:paraId="05D11F91">
            <w:pPr>
              <w:pStyle w:val="10"/>
            </w:pPr>
            <w:r>
              <w:t>三级指标</w:t>
            </w:r>
          </w:p>
        </w:tc>
        <w:tc>
          <w:tcPr>
            <w:tcW w:w="5386" w:type="dxa"/>
            <w:vAlign w:val="center"/>
          </w:tcPr>
          <w:p w14:paraId="5F1D9867">
            <w:pPr>
              <w:pStyle w:val="10"/>
            </w:pPr>
            <w:r>
              <w:t>绩效指标描述</w:t>
            </w:r>
          </w:p>
        </w:tc>
        <w:tc>
          <w:tcPr>
            <w:tcW w:w="2268" w:type="dxa"/>
            <w:vAlign w:val="center"/>
          </w:tcPr>
          <w:p w14:paraId="43697B07">
            <w:pPr>
              <w:pStyle w:val="10"/>
            </w:pPr>
            <w:r>
              <w:t>指标值</w:t>
            </w:r>
          </w:p>
        </w:tc>
        <w:tc>
          <w:tcPr>
            <w:tcW w:w="1276" w:type="dxa"/>
            <w:vAlign w:val="center"/>
          </w:tcPr>
          <w:p w14:paraId="6C7B088B">
            <w:pPr>
              <w:pStyle w:val="10"/>
            </w:pPr>
            <w:r>
              <w:t>指标值确定依据</w:t>
            </w:r>
          </w:p>
        </w:tc>
      </w:tr>
      <w:tr w14:paraId="4478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1A8F8">
            <w:pPr>
              <w:pStyle w:val="13"/>
            </w:pPr>
            <w:r>
              <w:t>产出指标</w:t>
            </w:r>
          </w:p>
        </w:tc>
        <w:tc>
          <w:tcPr>
            <w:tcW w:w="2268" w:type="dxa"/>
            <w:vAlign w:val="center"/>
          </w:tcPr>
          <w:p w14:paraId="08C55760">
            <w:pPr>
              <w:pStyle w:val="12"/>
            </w:pPr>
            <w:r>
              <w:t>数量指标</w:t>
            </w:r>
          </w:p>
        </w:tc>
        <w:tc>
          <w:tcPr>
            <w:tcW w:w="2835" w:type="dxa"/>
            <w:vAlign w:val="center"/>
          </w:tcPr>
          <w:p w14:paraId="2845F6F5">
            <w:pPr>
              <w:pStyle w:val="12"/>
            </w:pPr>
            <w:r>
              <w:t>适龄在校生</w:t>
            </w:r>
          </w:p>
        </w:tc>
        <w:tc>
          <w:tcPr>
            <w:tcW w:w="5386" w:type="dxa"/>
            <w:vAlign w:val="center"/>
          </w:tcPr>
          <w:p w14:paraId="4FE73A28">
            <w:pPr>
              <w:pStyle w:val="12"/>
            </w:pPr>
            <w:r>
              <w:t>适龄在校就读学生人数</w:t>
            </w:r>
          </w:p>
        </w:tc>
        <w:tc>
          <w:tcPr>
            <w:tcW w:w="2268" w:type="dxa"/>
            <w:vAlign w:val="center"/>
          </w:tcPr>
          <w:p w14:paraId="5F4051BC">
            <w:pPr>
              <w:pStyle w:val="12"/>
            </w:pPr>
            <w:r>
              <w:t>3165人</w:t>
            </w:r>
          </w:p>
        </w:tc>
        <w:tc>
          <w:tcPr>
            <w:tcW w:w="1276" w:type="dxa"/>
            <w:vAlign w:val="center"/>
          </w:tcPr>
          <w:p w14:paraId="7A890EC2">
            <w:pPr>
              <w:pStyle w:val="12"/>
            </w:pPr>
            <w:r>
              <w:t>城乡义务教育公用经费管理办法</w:t>
            </w:r>
          </w:p>
        </w:tc>
      </w:tr>
      <w:tr w14:paraId="104F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72B50"/>
        </w:tc>
        <w:tc>
          <w:tcPr>
            <w:tcW w:w="2268" w:type="dxa"/>
            <w:vAlign w:val="center"/>
          </w:tcPr>
          <w:p w14:paraId="7832520D">
            <w:pPr>
              <w:pStyle w:val="12"/>
            </w:pPr>
            <w:r>
              <w:t>质量指标</w:t>
            </w:r>
          </w:p>
        </w:tc>
        <w:tc>
          <w:tcPr>
            <w:tcW w:w="2835" w:type="dxa"/>
            <w:vAlign w:val="center"/>
          </w:tcPr>
          <w:p w14:paraId="6300F4DF">
            <w:pPr>
              <w:pStyle w:val="12"/>
            </w:pPr>
            <w:r>
              <w:t>公用经费拨付完成率</w:t>
            </w:r>
          </w:p>
        </w:tc>
        <w:tc>
          <w:tcPr>
            <w:tcW w:w="5386" w:type="dxa"/>
            <w:vAlign w:val="center"/>
          </w:tcPr>
          <w:p w14:paraId="4DCDB77B">
            <w:pPr>
              <w:pStyle w:val="12"/>
            </w:pPr>
            <w:r>
              <w:t>公用经费拨付完成率达到需时进度</w:t>
            </w:r>
          </w:p>
        </w:tc>
        <w:tc>
          <w:tcPr>
            <w:tcW w:w="2268" w:type="dxa"/>
            <w:vAlign w:val="center"/>
          </w:tcPr>
          <w:p w14:paraId="47F350CA">
            <w:pPr>
              <w:pStyle w:val="12"/>
            </w:pPr>
            <w:r>
              <w:t>100%</w:t>
            </w:r>
          </w:p>
        </w:tc>
        <w:tc>
          <w:tcPr>
            <w:tcW w:w="1276" w:type="dxa"/>
            <w:vAlign w:val="center"/>
          </w:tcPr>
          <w:p w14:paraId="3F000086">
            <w:pPr>
              <w:pStyle w:val="12"/>
            </w:pPr>
            <w:r>
              <w:t>城乡义务教育公用经费管理办法</w:t>
            </w:r>
          </w:p>
        </w:tc>
      </w:tr>
      <w:tr w14:paraId="573E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CD466"/>
        </w:tc>
        <w:tc>
          <w:tcPr>
            <w:tcW w:w="2268" w:type="dxa"/>
            <w:vAlign w:val="center"/>
          </w:tcPr>
          <w:p w14:paraId="786167EF">
            <w:pPr>
              <w:pStyle w:val="12"/>
            </w:pPr>
            <w:r>
              <w:t>时效指标</w:t>
            </w:r>
          </w:p>
        </w:tc>
        <w:tc>
          <w:tcPr>
            <w:tcW w:w="2835" w:type="dxa"/>
            <w:vAlign w:val="center"/>
          </w:tcPr>
          <w:p w14:paraId="26E9A938">
            <w:pPr>
              <w:pStyle w:val="12"/>
            </w:pPr>
            <w:r>
              <w:t>义教经费支付完成率</w:t>
            </w:r>
          </w:p>
        </w:tc>
        <w:tc>
          <w:tcPr>
            <w:tcW w:w="5386" w:type="dxa"/>
            <w:vAlign w:val="center"/>
          </w:tcPr>
          <w:p w14:paraId="0E1B3E74">
            <w:pPr>
              <w:pStyle w:val="12"/>
            </w:pPr>
            <w:r>
              <w:t>按照序时进度完成资金支付</w:t>
            </w:r>
          </w:p>
        </w:tc>
        <w:tc>
          <w:tcPr>
            <w:tcW w:w="2268" w:type="dxa"/>
            <w:vAlign w:val="center"/>
          </w:tcPr>
          <w:p w14:paraId="718D47D1">
            <w:pPr>
              <w:pStyle w:val="12"/>
            </w:pPr>
            <w:r>
              <w:t>100%</w:t>
            </w:r>
          </w:p>
        </w:tc>
        <w:tc>
          <w:tcPr>
            <w:tcW w:w="1276" w:type="dxa"/>
            <w:vAlign w:val="center"/>
          </w:tcPr>
          <w:p w14:paraId="2EEBC0C3">
            <w:pPr>
              <w:pStyle w:val="12"/>
            </w:pPr>
            <w:r>
              <w:t>城乡义务教育公用经费管理办法</w:t>
            </w:r>
          </w:p>
        </w:tc>
      </w:tr>
      <w:tr w14:paraId="5970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99116"/>
        </w:tc>
        <w:tc>
          <w:tcPr>
            <w:tcW w:w="2268" w:type="dxa"/>
            <w:vAlign w:val="center"/>
          </w:tcPr>
          <w:p w14:paraId="261B0D14">
            <w:pPr>
              <w:pStyle w:val="12"/>
            </w:pPr>
            <w:r>
              <w:t>成本指标</w:t>
            </w:r>
          </w:p>
        </w:tc>
        <w:tc>
          <w:tcPr>
            <w:tcW w:w="2835" w:type="dxa"/>
            <w:vAlign w:val="center"/>
          </w:tcPr>
          <w:p w14:paraId="4C032BF6">
            <w:pPr>
              <w:pStyle w:val="12"/>
            </w:pPr>
            <w:r>
              <w:t>生均拨款标准</w:t>
            </w:r>
          </w:p>
        </w:tc>
        <w:tc>
          <w:tcPr>
            <w:tcW w:w="5386" w:type="dxa"/>
            <w:vAlign w:val="center"/>
          </w:tcPr>
          <w:p w14:paraId="41CAD738">
            <w:pPr>
              <w:pStyle w:val="12"/>
            </w:pPr>
            <w:r>
              <w:t>小学：（基本标准720元、寄宿生300元、生活补助120元）/生/学年；特教、随班就读学生：标准7000元/生/学年</w:t>
            </w:r>
          </w:p>
        </w:tc>
        <w:tc>
          <w:tcPr>
            <w:tcW w:w="2268" w:type="dxa"/>
            <w:vAlign w:val="center"/>
          </w:tcPr>
          <w:p w14:paraId="1BDBAE3A">
            <w:pPr>
              <w:pStyle w:val="12"/>
            </w:pPr>
            <w:r>
              <w:t>840元</w:t>
            </w:r>
          </w:p>
        </w:tc>
        <w:tc>
          <w:tcPr>
            <w:tcW w:w="1276" w:type="dxa"/>
            <w:vAlign w:val="center"/>
          </w:tcPr>
          <w:p w14:paraId="31AAE436">
            <w:pPr>
              <w:pStyle w:val="12"/>
            </w:pPr>
            <w:r>
              <w:t>城乡义务教育公用经费管理办法</w:t>
            </w:r>
          </w:p>
        </w:tc>
      </w:tr>
      <w:tr w14:paraId="6B05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9D666">
            <w:pPr>
              <w:pStyle w:val="13"/>
            </w:pPr>
            <w:r>
              <w:t>效益指标</w:t>
            </w:r>
          </w:p>
        </w:tc>
        <w:tc>
          <w:tcPr>
            <w:tcW w:w="2268" w:type="dxa"/>
            <w:vAlign w:val="center"/>
          </w:tcPr>
          <w:p w14:paraId="6DE66C8A">
            <w:pPr>
              <w:pStyle w:val="12"/>
            </w:pPr>
            <w:r>
              <w:t>社会效益指标</w:t>
            </w:r>
          </w:p>
        </w:tc>
        <w:tc>
          <w:tcPr>
            <w:tcW w:w="2835" w:type="dxa"/>
            <w:vAlign w:val="center"/>
          </w:tcPr>
          <w:p w14:paraId="00F1C1BA">
            <w:pPr>
              <w:pStyle w:val="12"/>
            </w:pPr>
            <w:r>
              <w:t>学校稳定率</w:t>
            </w:r>
          </w:p>
        </w:tc>
        <w:tc>
          <w:tcPr>
            <w:tcW w:w="5386" w:type="dxa"/>
            <w:vAlign w:val="center"/>
          </w:tcPr>
          <w:p w14:paraId="4EDE9247">
            <w:pPr>
              <w:pStyle w:val="12"/>
            </w:pPr>
            <w:r>
              <w:t>维护学校稳定，办学能力提升，保障学生就读巩固率</w:t>
            </w:r>
          </w:p>
        </w:tc>
        <w:tc>
          <w:tcPr>
            <w:tcW w:w="2268" w:type="dxa"/>
            <w:vAlign w:val="center"/>
          </w:tcPr>
          <w:p w14:paraId="51389808">
            <w:pPr>
              <w:pStyle w:val="12"/>
            </w:pPr>
            <w:r>
              <w:t>100%</w:t>
            </w:r>
          </w:p>
        </w:tc>
        <w:tc>
          <w:tcPr>
            <w:tcW w:w="1276" w:type="dxa"/>
            <w:vAlign w:val="center"/>
          </w:tcPr>
          <w:p w14:paraId="690129A5">
            <w:pPr>
              <w:pStyle w:val="12"/>
            </w:pPr>
            <w:r>
              <w:t>城乡义务教育公用经费管理办法</w:t>
            </w:r>
          </w:p>
        </w:tc>
      </w:tr>
      <w:tr w14:paraId="5736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DC89C"/>
        </w:tc>
        <w:tc>
          <w:tcPr>
            <w:tcW w:w="2268" w:type="dxa"/>
            <w:vAlign w:val="center"/>
          </w:tcPr>
          <w:p w14:paraId="53871CB9">
            <w:pPr>
              <w:pStyle w:val="12"/>
            </w:pPr>
            <w:r>
              <w:t>可持续影响指标</w:t>
            </w:r>
          </w:p>
        </w:tc>
        <w:tc>
          <w:tcPr>
            <w:tcW w:w="2835" w:type="dxa"/>
            <w:vAlign w:val="center"/>
          </w:tcPr>
          <w:p w14:paraId="1CC6EC8D">
            <w:pPr>
              <w:pStyle w:val="12"/>
            </w:pPr>
            <w:r>
              <w:t>教育发展水平</w:t>
            </w:r>
          </w:p>
        </w:tc>
        <w:tc>
          <w:tcPr>
            <w:tcW w:w="5386" w:type="dxa"/>
            <w:vAlign w:val="center"/>
          </w:tcPr>
          <w:p w14:paraId="67D15141">
            <w:pPr>
              <w:pStyle w:val="12"/>
            </w:pPr>
            <w:r>
              <w:t>教育环境明显好转</w:t>
            </w:r>
          </w:p>
        </w:tc>
        <w:tc>
          <w:tcPr>
            <w:tcW w:w="2268" w:type="dxa"/>
            <w:vAlign w:val="center"/>
          </w:tcPr>
          <w:p w14:paraId="61B1AF53">
            <w:pPr>
              <w:pStyle w:val="12"/>
            </w:pPr>
            <w:r>
              <w:t>100%</w:t>
            </w:r>
          </w:p>
        </w:tc>
        <w:tc>
          <w:tcPr>
            <w:tcW w:w="1276" w:type="dxa"/>
            <w:vAlign w:val="center"/>
          </w:tcPr>
          <w:p w14:paraId="68D2CC2C">
            <w:pPr>
              <w:pStyle w:val="12"/>
            </w:pPr>
            <w:r>
              <w:t>城乡义务教育公用经费管理办法</w:t>
            </w:r>
          </w:p>
        </w:tc>
      </w:tr>
      <w:tr w14:paraId="0253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AA479">
            <w:pPr>
              <w:pStyle w:val="13"/>
            </w:pPr>
            <w:r>
              <w:t>满意度指标</w:t>
            </w:r>
          </w:p>
        </w:tc>
        <w:tc>
          <w:tcPr>
            <w:tcW w:w="2268" w:type="dxa"/>
            <w:vAlign w:val="center"/>
          </w:tcPr>
          <w:p w14:paraId="659A9EAA">
            <w:pPr>
              <w:pStyle w:val="12"/>
            </w:pPr>
            <w:r>
              <w:t>服务对象满意度指标</w:t>
            </w:r>
          </w:p>
        </w:tc>
        <w:tc>
          <w:tcPr>
            <w:tcW w:w="2835" w:type="dxa"/>
            <w:vAlign w:val="center"/>
          </w:tcPr>
          <w:p w14:paraId="55C22C5D">
            <w:pPr>
              <w:pStyle w:val="12"/>
            </w:pPr>
            <w:r>
              <w:t>服务对象满意度</w:t>
            </w:r>
          </w:p>
        </w:tc>
        <w:tc>
          <w:tcPr>
            <w:tcW w:w="5386" w:type="dxa"/>
            <w:vAlign w:val="center"/>
          </w:tcPr>
          <w:p w14:paraId="6A21B36F">
            <w:pPr>
              <w:pStyle w:val="12"/>
            </w:pPr>
            <w:r>
              <w:t>学校老师和学生满意度</w:t>
            </w:r>
          </w:p>
        </w:tc>
        <w:tc>
          <w:tcPr>
            <w:tcW w:w="2268" w:type="dxa"/>
            <w:vAlign w:val="center"/>
          </w:tcPr>
          <w:p w14:paraId="18DC1C83">
            <w:pPr>
              <w:pStyle w:val="12"/>
            </w:pPr>
            <w:r>
              <w:t>≥98%</w:t>
            </w:r>
          </w:p>
        </w:tc>
        <w:tc>
          <w:tcPr>
            <w:tcW w:w="1276" w:type="dxa"/>
            <w:vAlign w:val="center"/>
          </w:tcPr>
          <w:p w14:paraId="6D14ECDD">
            <w:pPr>
              <w:pStyle w:val="12"/>
            </w:pPr>
            <w:r>
              <w:t>调查问卷</w:t>
            </w:r>
          </w:p>
        </w:tc>
      </w:tr>
    </w:tbl>
    <w:p w14:paraId="0B4DEB71">
      <w:pPr>
        <w:sectPr>
          <w:pgSz w:w="16840" w:h="11900" w:orient="landscape"/>
          <w:pgMar w:top="1361" w:right="1020" w:bottom="1134" w:left="1020" w:header="720" w:footer="720" w:gutter="0"/>
          <w:cols w:space="720" w:num="1"/>
        </w:sectPr>
      </w:pPr>
    </w:p>
    <w:p w14:paraId="16905411">
      <w:pPr>
        <w:spacing w:before="10" w:after="10" w:line="240" w:lineRule="auto"/>
        <w:ind w:firstLine="640"/>
        <w:jc w:val="left"/>
        <w:outlineLvl w:val="5"/>
      </w:pPr>
      <w:r>
        <w:rPr>
          <w:rFonts w:ascii="黑体" w:hAnsi="黑体" w:eastAsia="黑体" w:cs="黑体"/>
          <w:color w:val="000000"/>
          <w:sz w:val="32"/>
        </w:rPr>
        <w:t>六、政府采购预算情况</w:t>
      </w:r>
    </w:p>
    <w:p w14:paraId="74E79EC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C09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79CDBB">
            <w:pPr>
              <w:pStyle w:val="9"/>
            </w:pPr>
            <w:r>
              <w:t>360030隆尧县第二实验小学</w:t>
            </w:r>
          </w:p>
        </w:tc>
        <w:tc>
          <w:tcPr>
            <w:tcW w:w="8676" w:type="dxa"/>
            <w:gridSpan w:val="9"/>
            <w:tcBorders>
              <w:top w:val="single" w:color="FFFFFF" w:sz="6" w:space="0"/>
              <w:left w:val="single" w:color="FFFFFF" w:sz="6" w:space="0"/>
              <w:right w:val="single" w:color="FFFFFF" w:sz="6" w:space="0"/>
            </w:tcBorders>
            <w:vAlign w:val="center"/>
          </w:tcPr>
          <w:p w14:paraId="77259A3E">
            <w:pPr>
              <w:pStyle w:val="21"/>
            </w:pPr>
            <w:r>
              <w:t>单位：万元</w:t>
            </w:r>
          </w:p>
        </w:tc>
      </w:tr>
      <w:tr w14:paraId="7005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07068B">
            <w:pPr>
              <w:pStyle w:val="10"/>
            </w:pPr>
            <w:r>
              <w:t>政府采购项目来源</w:t>
            </w:r>
          </w:p>
        </w:tc>
        <w:tc>
          <w:tcPr>
            <w:tcW w:w="1134" w:type="dxa"/>
            <w:vMerge w:val="restart"/>
            <w:vAlign w:val="center"/>
          </w:tcPr>
          <w:p w14:paraId="16F8C5D9">
            <w:pPr>
              <w:pStyle w:val="10"/>
            </w:pPr>
            <w:r>
              <w:t>采购物品名称</w:t>
            </w:r>
          </w:p>
        </w:tc>
        <w:tc>
          <w:tcPr>
            <w:tcW w:w="1134" w:type="dxa"/>
            <w:vMerge w:val="restart"/>
            <w:vAlign w:val="center"/>
          </w:tcPr>
          <w:p w14:paraId="2F73E0E7">
            <w:pPr>
              <w:pStyle w:val="10"/>
            </w:pPr>
            <w:r>
              <w:t>政府采购目录序号</w:t>
            </w:r>
          </w:p>
        </w:tc>
        <w:tc>
          <w:tcPr>
            <w:tcW w:w="709" w:type="dxa"/>
            <w:vMerge w:val="restart"/>
            <w:vAlign w:val="center"/>
          </w:tcPr>
          <w:p w14:paraId="28B151ED">
            <w:pPr>
              <w:pStyle w:val="10"/>
            </w:pPr>
            <w:r>
              <w:t>计量  单位</w:t>
            </w:r>
          </w:p>
        </w:tc>
        <w:tc>
          <w:tcPr>
            <w:tcW w:w="850" w:type="dxa"/>
            <w:vMerge w:val="restart"/>
            <w:vAlign w:val="center"/>
          </w:tcPr>
          <w:p w14:paraId="7AF5708E">
            <w:pPr>
              <w:pStyle w:val="10"/>
            </w:pPr>
            <w:r>
              <w:t>数量</w:t>
            </w:r>
          </w:p>
        </w:tc>
        <w:tc>
          <w:tcPr>
            <w:tcW w:w="850" w:type="dxa"/>
            <w:vMerge w:val="restart"/>
            <w:vAlign w:val="center"/>
          </w:tcPr>
          <w:p w14:paraId="09988A9B">
            <w:pPr>
              <w:pStyle w:val="10"/>
            </w:pPr>
            <w:r>
              <w:t>单价</w:t>
            </w:r>
          </w:p>
        </w:tc>
        <w:tc>
          <w:tcPr>
            <w:tcW w:w="7712" w:type="dxa"/>
            <w:gridSpan w:val="8"/>
            <w:vAlign w:val="center"/>
          </w:tcPr>
          <w:p w14:paraId="6DACCDF1">
            <w:pPr>
              <w:pStyle w:val="10"/>
            </w:pPr>
            <w:r>
              <w:t>政府采购金额（当年部门预算安排资金）</w:t>
            </w:r>
          </w:p>
        </w:tc>
        <w:tc>
          <w:tcPr>
            <w:tcW w:w="964" w:type="dxa"/>
            <w:vMerge w:val="restart"/>
            <w:vAlign w:val="center"/>
          </w:tcPr>
          <w:p w14:paraId="4C8B62D5">
            <w:pPr>
              <w:pStyle w:val="10"/>
            </w:pPr>
            <w:r>
              <w:t>2026年  预留中  小微企  业份额</w:t>
            </w:r>
          </w:p>
        </w:tc>
      </w:tr>
      <w:tr w14:paraId="183D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C5B23B">
            <w:pPr>
              <w:pStyle w:val="10"/>
            </w:pPr>
            <w:r>
              <w:t>项目名称</w:t>
            </w:r>
          </w:p>
        </w:tc>
        <w:tc>
          <w:tcPr>
            <w:tcW w:w="964" w:type="dxa"/>
            <w:vAlign w:val="center"/>
          </w:tcPr>
          <w:p w14:paraId="2E8BE269">
            <w:pPr>
              <w:pStyle w:val="10"/>
            </w:pPr>
            <w:r>
              <w:t>预算    资金</w:t>
            </w:r>
          </w:p>
        </w:tc>
        <w:tc>
          <w:tcPr>
            <w:tcW w:w="1134" w:type="dxa"/>
            <w:vMerge w:val="continue"/>
          </w:tcPr>
          <w:p w14:paraId="75911C85"/>
        </w:tc>
        <w:tc>
          <w:tcPr>
            <w:tcW w:w="1134" w:type="dxa"/>
            <w:vMerge w:val="continue"/>
          </w:tcPr>
          <w:p w14:paraId="646367DA"/>
        </w:tc>
        <w:tc>
          <w:tcPr>
            <w:tcW w:w="709" w:type="dxa"/>
            <w:vMerge w:val="continue"/>
          </w:tcPr>
          <w:p w14:paraId="0BAF2680"/>
        </w:tc>
        <w:tc>
          <w:tcPr>
            <w:tcW w:w="850" w:type="dxa"/>
            <w:vMerge w:val="continue"/>
          </w:tcPr>
          <w:p w14:paraId="6D1892A1"/>
        </w:tc>
        <w:tc>
          <w:tcPr>
            <w:tcW w:w="850" w:type="dxa"/>
            <w:vMerge w:val="continue"/>
          </w:tcPr>
          <w:p w14:paraId="13B64371"/>
        </w:tc>
        <w:tc>
          <w:tcPr>
            <w:tcW w:w="964" w:type="dxa"/>
            <w:vAlign w:val="center"/>
          </w:tcPr>
          <w:p w14:paraId="026878AE">
            <w:pPr>
              <w:pStyle w:val="10"/>
            </w:pPr>
            <w:r>
              <w:t>合计</w:t>
            </w:r>
          </w:p>
        </w:tc>
        <w:tc>
          <w:tcPr>
            <w:tcW w:w="964" w:type="dxa"/>
            <w:vAlign w:val="center"/>
          </w:tcPr>
          <w:p w14:paraId="7267AF85">
            <w:pPr>
              <w:pStyle w:val="10"/>
            </w:pPr>
            <w:r>
              <w:t>一般公共预算拨款</w:t>
            </w:r>
          </w:p>
        </w:tc>
        <w:tc>
          <w:tcPr>
            <w:tcW w:w="964" w:type="dxa"/>
            <w:vAlign w:val="center"/>
          </w:tcPr>
          <w:p w14:paraId="4CC2C786">
            <w:pPr>
              <w:pStyle w:val="10"/>
            </w:pPr>
            <w:r>
              <w:t>基金预算拨款</w:t>
            </w:r>
          </w:p>
        </w:tc>
        <w:tc>
          <w:tcPr>
            <w:tcW w:w="964" w:type="dxa"/>
            <w:vAlign w:val="center"/>
          </w:tcPr>
          <w:p w14:paraId="21F9C539">
            <w:pPr>
              <w:pStyle w:val="10"/>
            </w:pPr>
            <w:r>
              <w:t>国有资本经营预算拨款</w:t>
            </w:r>
          </w:p>
        </w:tc>
        <w:tc>
          <w:tcPr>
            <w:tcW w:w="964" w:type="dxa"/>
            <w:vAlign w:val="center"/>
          </w:tcPr>
          <w:p w14:paraId="00E194F8">
            <w:pPr>
              <w:pStyle w:val="10"/>
            </w:pPr>
            <w:r>
              <w:t>财政专户核拨</w:t>
            </w:r>
          </w:p>
        </w:tc>
        <w:tc>
          <w:tcPr>
            <w:tcW w:w="964" w:type="dxa"/>
            <w:vAlign w:val="center"/>
          </w:tcPr>
          <w:p w14:paraId="6BE08777">
            <w:pPr>
              <w:pStyle w:val="10"/>
            </w:pPr>
            <w:r>
              <w:t>单位    资金</w:t>
            </w:r>
          </w:p>
        </w:tc>
        <w:tc>
          <w:tcPr>
            <w:tcW w:w="964" w:type="dxa"/>
            <w:vAlign w:val="center"/>
          </w:tcPr>
          <w:p w14:paraId="168C4C6D">
            <w:pPr>
              <w:pStyle w:val="10"/>
            </w:pPr>
            <w:r>
              <w:t>财政拨款结转</w:t>
            </w:r>
          </w:p>
        </w:tc>
        <w:tc>
          <w:tcPr>
            <w:tcW w:w="964" w:type="dxa"/>
            <w:vAlign w:val="center"/>
          </w:tcPr>
          <w:p w14:paraId="7106D0F0">
            <w:pPr>
              <w:pStyle w:val="10"/>
            </w:pPr>
            <w:r>
              <w:t>非财政拨款结余</w:t>
            </w:r>
          </w:p>
        </w:tc>
        <w:tc>
          <w:tcPr>
            <w:tcW w:w="964" w:type="dxa"/>
            <w:vMerge w:val="continue"/>
          </w:tcPr>
          <w:p w14:paraId="02310586"/>
        </w:tc>
      </w:tr>
      <w:tr w14:paraId="2F6C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999E80">
            <w:pPr>
              <w:pStyle w:val="14"/>
            </w:pPr>
            <w:r>
              <w:t>合  计</w:t>
            </w:r>
          </w:p>
        </w:tc>
        <w:tc>
          <w:tcPr>
            <w:tcW w:w="964" w:type="dxa"/>
            <w:vAlign w:val="center"/>
          </w:tcPr>
          <w:p w14:paraId="27A9C38D">
            <w:pPr>
              <w:pStyle w:val="15"/>
            </w:pPr>
          </w:p>
        </w:tc>
        <w:tc>
          <w:tcPr>
            <w:tcW w:w="1134" w:type="dxa"/>
            <w:vAlign w:val="center"/>
          </w:tcPr>
          <w:p w14:paraId="0AFE0328">
            <w:pPr>
              <w:pStyle w:val="16"/>
            </w:pPr>
          </w:p>
        </w:tc>
        <w:tc>
          <w:tcPr>
            <w:tcW w:w="1134" w:type="dxa"/>
            <w:vAlign w:val="center"/>
          </w:tcPr>
          <w:p w14:paraId="2349608C">
            <w:pPr>
              <w:pStyle w:val="16"/>
            </w:pPr>
          </w:p>
        </w:tc>
        <w:tc>
          <w:tcPr>
            <w:tcW w:w="709" w:type="dxa"/>
            <w:vAlign w:val="center"/>
          </w:tcPr>
          <w:p w14:paraId="56968284">
            <w:pPr>
              <w:pStyle w:val="14"/>
            </w:pPr>
          </w:p>
        </w:tc>
        <w:tc>
          <w:tcPr>
            <w:tcW w:w="850" w:type="dxa"/>
            <w:vAlign w:val="center"/>
          </w:tcPr>
          <w:p w14:paraId="24CE63B3">
            <w:pPr>
              <w:pStyle w:val="15"/>
            </w:pPr>
          </w:p>
        </w:tc>
        <w:tc>
          <w:tcPr>
            <w:tcW w:w="850" w:type="dxa"/>
            <w:vAlign w:val="center"/>
          </w:tcPr>
          <w:p w14:paraId="5701E92F">
            <w:pPr>
              <w:pStyle w:val="15"/>
            </w:pPr>
          </w:p>
        </w:tc>
        <w:tc>
          <w:tcPr>
            <w:tcW w:w="964" w:type="dxa"/>
            <w:vAlign w:val="center"/>
          </w:tcPr>
          <w:p w14:paraId="4B4DB53C">
            <w:pPr>
              <w:pStyle w:val="15"/>
            </w:pPr>
            <w:r>
              <w:t>28.15</w:t>
            </w:r>
          </w:p>
        </w:tc>
        <w:tc>
          <w:tcPr>
            <w:tcW w:w="964" w:type="dxa"/>
            <w:vAlign w:val="center"/>
          </w:tcPr>
          <w:p w14:paraId="070AEB58">
            <w:pPr>
              <w:pStyle w:val="15"/>
            </w:pPr>
            <w:r>
              <w:t>28.15</w:t>
            </w:r>
          </w:p>
        </w:tc>
        <w:tc>
          <w:tcPr>
            <w:tcW w:w="964" w:type="dxa"/>
            <w:vAlign w:val="center"/>
          </w:tcPr>
          <w:p w14:paraId="78A983D7">
            <w:pPr>
              <w:pStyle w:val="15"/>
            </w:pPr>
          </w:p>
        </w:tc>
        <w:tc>
          <w:tcPr>
            <w:tcW w:w="964" w:type="dxa"/>
            <w:vAlign w:val="center"/>
          </w:tcPr>
          <w:p w14:paraId="42791791">
            <w:pPr>
              <w:pStyle w:val="15"/>
            </w:pPr>
          </w:p>
        </w:tc>
        <w:tc>
          <w:tcPr>
            <w:tcW w:w="964" w:type="dxa"/>
            <w:vAlign w:val="center"/>
          </w:tcPr>
          <w:p w14:paraId="6406712A">
            <w:pPr>
              <w:pStyle w:val="15"/>
            </w:pPr>
          </w:p>
        </w:tc>
        <w:tc>
          <w:tcPr>
            <w:tcW w:w="964" w:type="dxa"/>
            <w:vAlign w:val="center"/>
          </w:tcPr>
          <w:p w14:paraId="0965C8C1">
            <w:pPr>
              <w:pStyle w:val="15"/>
            </w:pPr>
          </w:p>
        </w:tc>
        <w:tc>
          <w:tcPr>
            <w:tcW w:w="964" w:type="dxa"/>
            <w:vAlign w:val="center"/>
          </w:tcPr>
          <w:p w14:paraId="4E5D540E">
            <w:pPr>
              <w:pStyle w:val="15"/>
            </w:pPr>
          </w:p>
        </w:tc>
        <w:tc>
          <w:tcPr>
            <w:tcW w:w="964" w:type="dxa"/>
            <w:vAlign w:val="center"/>
          </w:tcPr>
          <w:p w14:paraId="6022A2A3">
            <w:pPr>
              <w:pStyle w:val="15"/>
            </w:pPr>
          </w:p>
        </w:tc>
        <w:tc>
          <w:tcPr>
            <w:tcW w:w="964" w:type="dxa"/>
            <w:vAlign w:val="center"/>
          </w:tcPr>
          <w:p w14:paraId="6FBFADF1">
            <w:pPr>
              <w:pStyle w:val="15"/>
            </w:pPr>
            <w:r>
              <w:t>28.15</w:t>
            </w:r>
          </w:p>
        </w:tc>
      </w:tr>
      <w:tr w14:paraId="437D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594C6D">
            <w:pPr>
              <w:pStyle w:val="14"/>
            </w:pPr>
            <w:r>
              <w:t>隆尧县第二实验小学小计</w:t>
            </w:r>
          </w:p>
        </w:tc>
        <w:tc>
          <w:tcPr>
            <w:tcW w:w="964" w:type="dxa"/>
            <w:vAlign w:val="center"/>
          </w:tcPr>
          <w:p w14:paraId="37130BA3">
            <w:pPr>
              <w:pStyle w:val="15"/>
            </w:pPr>
          </w:p>
        </w:tc>
        <w:tc>
          <w:tcPr>
            <w:tcW w:w="1134" w:type="dxa"/>
            <w:vAlign w:val="center"/>
          </w:tcPr>
          <w:p w14:paraId="23EB0D27">
            <w:pPr>
              <w:pStyle w:val="16"/>
            </w:pPr>
          </w:p>
        </w:tc>
        <w:tc>
          <w:tcPr>
            <w:tcW w:w="1134" w:type="dxa"/>
            <w:vAlign w:val="center"/>
          </w:tcPr>
          <w:p w14:paraId="2CC697C9">
            <w:pPr>
              <w:pStyle w:val="16"/>
            </w:pPr>
          </w:p>
        </w:tc>
        <w:tc>
          <w:tcPr>
            <w:tcW w:w="709" w:type="dxa"/>
            <w:vAlign w:val="center"/>
          </w:tcPr>
          <w:p w14:paraId="754F8E41">
            <w:pPr>
              <w:pStyle w:val="14"/>
            </w:pPr>
          </w:p>
        </w:tc>
        <w:tc>
          <w:tcPr>
            <w:tcW w:w="850" w:type="dxa"/>
            <w:vAlign w:val="center"/>
          </w:tcPr>
          <w:p w14:paraId="0EEC9CE9">
            <w:pPr>
              <w:pStyle w:val="15"/>
            </w:pPr>
          </w:p>
        </w:tc>
        <w:tc>
          <w:tcPr>
            <w:tcW w:w="850" w:type="dxa"/>
            <w:vAlign w:val="center"/>
          </w:tcPr>
          <w:p w14:paraId="66BAA586">
            <w:pPr>
              <w:pStyle w:val="15"/>
            </w:pPr>
          </w:p>
        </w:tc>
        <w:tc>
          <w:tcPr>
            <w:tcW w:w="964" w:type="dxa"/>
            <w:vAlign w:val="center"/>
          </w:tcPr>
          <w:p w14:paraId="00A14864">
            <w:pPr>
              <w:pStyle w:val="15"/>
            </w:pPr>
            <w:r>
              <w:t>28.15</w:t>
            </w:r>
          </w:p>
        </w:tc>
        <w:tc>
          <w:tcPr>
            <w:tcW w:w="964" w:type="dxa"/>
            <w:vAlign w:val="center"/>
          </w:tcPr>
          <w:p w14:paraId="09332086">
            <w:pPr>
              <w:pStyle w:val="15"/>
            </w:pPr>
            <w:r>
              <w:t>28.15</w:t>
            </w:r>
          </w:p>
        </w:tc>
        <w:tc>
          <w:tcPr>
            <w:tcW w:w="964" w:type="dxa"/>
            <w:vAlign w:val="center"/>
          </w:tcPr>
          <w:p w14:paraId="7C215A7B">
            <w:pPr>
              <w:pStyle w:val="15"/>
            </w:pPr>
          </w:p>
        </w:tc>
        <w:tc>
          <w:tcPr>
            <w:tcW w:w="964" w:type="dxa"/>
            <w:vAlign w:val="center"/>
          </w:tcPr>
          <w:p w14:paraId="0EC5790C">
            <w:pPr>
              <w:pStyle w:val="15"/>
            </w:pPr>
          </w:p>
        </w:tc>
        <w:tc>
          <w:tcPr>
            <w:tcW w:w="964" w:type="dxa"/>
            <w:vAlign w:val="center"/>
          </w:tcPr>
          <w:p w14:paraId="3B42C7FE">
            <w:pPr>
              <w:pStyle w:val="15"/>
            </w:pPr>
          </w:p>
        </w:tc>
        <w:tc>
          <w:tcPr>
            <w:tcW w:w="964" w:type="dxa"/>
            <w:vAlign w:val="center"/>
          </w:tcPr>
          <w:p w14:paraId="2D4FD28C">
            <w:pPr>
              <w:pStyle w:val="15"/>
            </w:pPr>
          </w:p>
        </w:tc>
        <w:tc>
          <w:tcPr>
            <w:tcW w:w="964" w:type="dxa"/>
            <w:vAlign w:val="center"/>
          </w:tcPr>
          <w:p w14:paraId="46B23472">
            <w:pPr>
              <w:pStyle w:val="15"/>
            </w:pPr>
          </w:p>
        </w:tc>
        <w:tc>
          <w:tcPr>
            <w:tcW w:w="964" w:type="dxa"/>
            <w:vAlign w:val="center"/>
          </w:tcPr>
          <w:p w14:paraId="00CA4860">
            <w:pPr>
              <w:pStyle w:val="15"/>
            </w:pPr>
          </w:p>
        </w:tc>
        <w:tc>
          <w:tcPr>
            <w:tcW w:w="964" w:type="dxa"/>
            <w:vAlign w:val="center"/>
          </w:tcPr>
          <w:p w14:paraId="16B6E2F4">
            <w:pPr>
              <w:pStyle w:val="15"/>
            </w:pPr>
            <w:r>
              <w:t>28.15</w:t>
            </w:r>
          </w:p>
        </w:tc>
      </w:tr>
      <w:tr w14:paraId="4E49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C52127">
            <w:pPr>
              <w:pStyle w:val="12"/>
            </w:pPr>
            <w:r>
              <w:t>冀财教[2025]147号/省级/2026年义教补助经费/第二实验小学公用经费</w:t>
            </w:r>
          </w:p>
        </w:tc>
        <w:tc>
          <w:tcPr>
            <w:tcW w:w="964" w:type="dxa"/>
            <w:vAlign w:val="center"/>
          </w:tcPr>
          <w:p w14:paraId="1F5E6715">
            <w:pPr>
              <w:pStyle w:val="11"/>
            </w:pPr>
            <w:r>
              <w:t>90.34</w:t>
            </w:r>
          </w:p>
        </w:tc>
        <w:tc>
          <w:tcPr>
            <w:tcW w:w="1134" w:type="dxa"/>
            <w:vAlign w:val="center"/>
          </w:tcPr>
          <w:p w14:paraId="52CEBA71">
            <w:pPr>
              <w:pStyle w:val="12"/>
            </w:pPr>
            <w:r>
              <w:t>多功能一体机</w:t>
            </w:r>
          </w:p>
        </w:tc>
        <w:tc>
          <w:tcPr>
            <w:tcW w:w="1134" w:type="dxa"/>
            <w:vAlign w:val="center"/>
          </w:tcPr>
          <w:p w14:paraId="67A63E72">
            <w:pPr>
              <w:pStyle w:val="12"/>
            </w:pPr>
            <w:r>
              <w:t>A02020400</w:t>
            </w:r>
          </w:p>
        </w:tc>
        <w:tc>
          <w:tcPr>
            <w:tcW w:w="709" w:type="dxa"/>
            <w:vAlign w:val="center"/>
          </w:tcPr>
          <w:p w14:paraId="2C743CEB">
            <w:pPr>
              <w:pStyle w:val="13"/>
            </w:pPr>
            <w:r>
              <w:t>台</w:t>
            </w:r>
          </w:p>
        </w:tc>
        <w:tc>
          <w:tcPr>
            <w:tcW w:w="850" w:type="dxa"/>
            <w:vAlign w:val="center"/>
          </w:tcPr>
          <w:p w14:paraId="4AC9993D">
            <w:pPr>
              <w:pStyle w:val="11"/>
            </w:pPr>
            <w:r>
              <w:t>1</w:t>
            </w:r>
          </w:p>
        </w:tc>
        <w:tc>
          <w:tcPr>
            <w:tcW w:w="850" w:type="dxa"/>
            <w:vAlign w:val="center"/>
          </w:tcPr>
          <w:p w14:paraId="300DC92C">
            <w:pPr>
              <w:pStyle w:val="11"/>
            </w:pPr>
            <w:r>
              <w:t>1.50</w:t>
            </w:r>
          </w:p>
        </w:tc>
        <w:tc>
          <w:tcPr>
            <w:tcW w:w="964" w:type="dxa"/>
            <w:vAlign w:val="center"/>
          </w:tcPr>
          <w:p w14:paraId="19F8AA14">
            <w:pPr>
              <w:pStyle w:val="11"/>
            </w:pPr>
            <w:r>
              <w:t>1.50</w:t>
            </w:r>
          </w:p>
        </w:tc>
        <w:tc>
          <w:tcPr>
            <w:tcW w:w="964" w:type="dxa"/>
            <w:vAlign w:val="center"/>
          </w:tcPr>
          <w:p w14:paraId="30E319A6">
            <w:pPr>
              <w:pStyle w:val="11"/>
            </w:pPr>
            <w:r>
              <w:t>1.50</w:t>
            </w:r>
          </w:p>
        </w:tc>
        <w:tc>
          <w:tcPr>
            <w:tcW w:w="964" w:type="dxa"/>
            <w:vAlign w:val="center"/>
          </w:tcPr>
          <w:p w14:paraId="5BB2A43E">
            <w:pPr>
              <w:pStyle w:val="11"/>
            </w:pPr>
          </w:p>
        </w:tc>
        <w:tc>
          <w:tcPr>
            <w:tcW w:w="964" w:type="dxa"/>
            <w:vAlign w:val="center"/>
          </w:tcPr>
          <w:p w14:paraId="79DFCB99">
            <w:pPr>
              <w:pStyle w:val="11"/>
            </w:pPr>
          </w:p>
        </w:tc>
        <w:tc>
          <w:tcPr>
            <w:tcW w:w="964" w:type="dxa"/>
            <w:vAlign w:val="center"/>
          </w:tcPr>
          <w:p w14:paraId="11BF07C3">
            <w:pPr>
              <w:pStyle w:val="11"/>
            </w:pPr>
          </w:p>
        </w:tc>
        <w:tc>
          <w:tcPr>
            <w:tcW w:w="964" w:type="dxa"/>
            <w:vAlign w:val="center"/>
          </w:tcPr>
          <w:p w14:paraId="47CDC9B1">
            <w:pPr>
              <w:pStyle w:val="11"/>
            </w:pPr>
          </w:p>
        </w:tc>
        <w:tc>
          <w:tcPr>
            <w:tcW w:w="964" w:type="dxa"/>
            <w:vAlign w:val="center"/>
          </w:tcPr>
          <w:p w14:paraId="0C5C44E6">
            <w:pPr>
              <w:pStyle w:val="11"/>
            </w:pPr>
          </w:p>
        </w:tc>
        <w:tc>
          <w:tcPr>
            <w:tcW w:w="964" w:type="dxa"/>
            <w:vAlign w:val="center"/>
          </w:tcPr>
          <w:p w14:paraId="396A92E6">
            <w:pPr>
              <w:pStyle w:val="11"/>
            </w:pPr>
          </w:p>
        </w:tc>
        <w:tc>
          <w:tcPr>
            <w:tcW w:w="964" w:type="dxa"/>
            <w:vAlign w:val="center"/>
          </w:tcPr>
          <w:p w14:paraId="2D24D9D0">
            <w:pPr>
              <w:pStyle w:val="11"/>
            </w:pPr>
            <w:r>
              <w:t>1.50</w:t>
            </w:r>
          </w:p>
        </w:tc>
      </w:tr>
      <w:tr w14:paraId="7E72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415E12">
            <w:pPr>
              <w:pStyle w:val="12"/>
            </w:pPr>
            <w:r>
              <w:t>冀财教[2025]147号/省级/2026年义教补助经费/第二实验小学公用经费</w:t>
            </w:r>
          </w:p>
        </w:tc>
        <w:tc>
          <w:tcPr>
            <w:tcW w:w="964" w:type="dxa"/>
            <w:vAlign w:val="center"/>
          </w:tcPr>
          <w:p w14:paraId="163F03B3">
            <w:pPr>
              <w:pStyle w:val="11"/>
            </w:pPr>
            <w:r>
              <w:t>90.34</w:t>
            </w:r>
          </w:p>
        </w:tc>
        <w:tc>
          <w:tcPr>
            <w:tcW w:w="1134" w:type="dxa"/>
            <w:vAlign w:val="center"/>
          </w:tcPr>
          <w:p w14:paraId="16CBD2BF">
            <w:pPr>
              <w:pStyle w:val="12"/>
            </w:pPr>
            <w:r>
              <w:t>空调机</w:t>
            </w:r>
          </w:p>
        </w:tc>
        <w:tc>
          <w:tcPr>
            <w:tcW w:w="1134" w:type="dxa"/>
            <w:vAlign w:val="center"/>
          </w:tcPr>
          <w:p w14:paraId="4C5F18F1">
            <w:pPr>
              <w:pStyle w:val="12"/>
            </w:pPr>
            <w:r>
              <w:t>A02061804</w:t>
            </w:r>
          </w:p>
        </w:tc>
        <w:tc>
          <w:tcPr>
            <w:tcW w:w="709" w:type="dxa"/>
            <w:vAlign w:val="center"/>
          </w:tcPr>
          <w:p w14:paraId="1C7B408A">
            <w:pPr>
              <w:pStyle w:val="13"/>
            </w:pPr>
            <w:r>
              <w:t>台</w:t>
            </w:r>
          </w:p>
        </w:tc>
        <w:tc>
          <w:tcPr>
            <w:tcW w:w="850" w:type="dxa"/>
            <w:vAlign w:val="center"/>
          </w:tcPr>
          <w:p w14:paraId="26B28138">
            <w:pPr>
              <w:pStyle w:val="11"/>
            </w:pPr>
            <w:r>
              <w:t>3</w:t>
            </w:r>
          </w:p>
        </w:tc>
        <w:tc>
          <w:tcPr>
            <w:tcW w:w="850" w:type="dxa"/>
            <w:vAlign w:val="center"/>
          </w:tcPr>
          <w:p w14:paraId="03E0FB91">
            <w:pPr>
              <w:pStyle w:val="11"/>
            </w:pPr>
            <w:r>
              <w:t>0.75</w:t>
            </w:r>
          </w:p>
        </w:tc>
        <w:tc>
          <w:tcPr>
            <w:tcW w:w="964" w:type="dxa"/>
            <w:vAlign w:val="center"/>
          </w:tcPr>
          <w:p w14:paraId="34959541">
            <w:pPr>
              <w:pStyle w:val="11"/>
            </w:pPr>
            <w:r>
              <w:t>2.25</w:t>
            </w:r>
          </w:p>
        </w:tc>
        <w:tc>
          <w:tcPr>
            <w:tcW w:w="964" w:type="dxa"/>
            <w:vAlign w:val="center"/>
          </w:tcPr>
          <w:p w14:paraId="5A1AB5ED">
            <w:pPr>
              <w:pStyle w:val="11"/>
            </w:pPr>
            <w:r>
              <w:t>2.25</w:t>
            </w:r>
          </w:p>
        </w:tc>
        <w:tc>
          <w:tcPr>
            <w:tcW w:w="964" w:type="dxa"/>
            <w:vAlign w:val="center"/>
          </w:tcPr>
          <w:p w14:paraId="68A86D7E">
            <w:pPr>
              <w:pStyle w:val="11"/>
            </w:pPr>
          </w:p>
        </w:tc>
        <w:tc>
          <w:tcPr>
            <w:tcW w:w="964" w:type="dxa"/>
            <w:vAlign w:val="center"/>
          </w:tcPr>
          <w:p w14:paraId="57CC104A">
            <w:pPr>
              <w:pStyle w:val="11"/>
            </w:pPr>
          </w:p>
        </w:tc>
        <w:tc>
          <w:tcPr>
            <w:tcW w:w="964" w:type="dxa"/>
            <w:vAlign w:val="center"/>
          </w:tcPr>
          <w:p w14:paraId="52379E46">
            <w:pPr>
              <w:pStyle w:val="11"/>
            </w:pPr>
          </w:p>
        </w:tc>
        <w:tc>
          <w:tcPr>
            <w:tcW w:w="964" w:type="dxa"/>
            <w:vAlign w:val="center"/>
          </w:tcPr>
          <w:p w14:paraId="24A5024A">
            <w:pPr>
              <w:pStyle w:val="11"/>
            </w:pPr>
          </w:p>
        </w:tc>
        <w:tc>
          <w:tcPr>
            <w:tcW w:w="964" w:type="dxa"/>
            <w:vAlign w:val="center"/>
          </w:tcPr>
          <w:p w14:paraId="6E77C141">
            <w:pPr>
              <w:pStyle w:val="11"/>
            </w:pPr>
          </w:p>
        </w:tc>
        <w:tc>
          <w:tcPr>
            <w:tcW w:w="964" w:type="dxa"/>
            <w:vAlign w:val="center"/>
          </w:tcPr>
          <w:p w14:paraId="29B89424">
            <w:pPr>
              <w:pStyle w:val="11"/>
            </w:pPr>
          </w:p>
        </w:tc>
        <w:tc>
          <w:tcPr>
            <w:tcW w:w="964" w:type="dxa"/>
            <w:vAlign w:val="center"/>
          </w:tcPr>
          <w:p w14:paraId="511F80F5">
            <w:pPr>
              <w:pStyle w:val="11"/>
            </w:pPr>
            <w:r>
              <w:t>2.25</w:t>
            </w:r>
          </w:p>
        </w:tc>
      </w:tr>
      <w:tr w14:paraId="1BD5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188DCD">
            <w:pPr>
              <w:pStyle w:val="12"/>
            </w:pPr>
            <w:r>
              <w:t>冀财教[2025]148号/支持义务教育发展/第二实验小学微机室电脑购置</w:t>
            </w:r>
          </w:p>
        </w:tc>
        <w:tc>
          <w:tcPr>
            <w:tcW w:w="964" w:type="dxa"/>
            <w:vAlign w:val="center"/>
          </w:tcPr>
          <w:p w14:paraId="5593565E">
            <w:pPr>
              <w:pStyle w:val="11"/>
            </w:pPr>
            <w:r>
              <w:t>24.40</w:t>
            </w:r>
          </w:p>
        </w:tc>
        <w:tc>
          <w:tcPr>
            <w:tcW w:w="1134" w:type="dxa"/>
            <w:vAlign w:val="center"/>
          </w:tcPr>
          <w:p w14:paraId="3B67025C">
            <w:pPr>
              <w:pStyle w:val="12"/>
            </w:pPr>
            <w:r>
              <w:t>台式计算机</w:t>
            </w:r>
          </w:p>
        </w:tc>
        <w:tc>
          <w:tcPr>
            <w:tcW w:w="1134" w:type="dxa"/>
            <w:vAlign w:val="center"/>
          </w:tcPr>
          <w:p w14:paraId="425D8AA7">
            <w:pPr>
              <w:pStyle w:val="12"/>
            </w:pPr>
            <w:r>
              <w:t>A02010105</w:t>
            </w:r>
          </w:p>
        </w:tc>
        <w:tc>
          <w:tcPr>
            <w:tcW w:w="709" w:type="dxa"/>
            <w:vAlign w:val="center"/>
          </w:tcPr>
          <w:p w14:paraId="42D12892">
            <w:pPr>
              <w:pStyle w:val="13"/>
            </w:pPr>
            <w:r>
              <w:t>台</w:t>
            </w:r>
          </w:p>
        </w:tc>
        <w:tc>
          <w:tcPr>
            <w:tcW w:w="850" w:type="dxa"/>
            <w:vAlign w:val="center"/>
          </w:tcPr>
          <w:p w14:paraId="3499AE03">
            <w:pPr>
              <w:pStyle w:val="11"/>
            </w:pPr>
            <w:r>
              <w:t>61</w:t>
            </w:r>
          </w:p>
        </w:tc>
        <w:tc>
          <w:tcPr>
            <w:tcW w:w="850" w:type="dxa"/>
            <w:vAlign w:val="center"/>
          </w:tcPr>
          <w:p w14:paraId="62025AA7">
            <w:pPr>
              <w:pStyle w:val="11"/>
            </w:pPr>
            <w:r>
              <w:t>0.40</w:t>
            </w:r>
          </w:p>
        </w:tc>
        <w:tc>
          <w:tcPr>
            <w:tcW w:w="964" w:type="dxa"/>
            <w:vAlign w:val="center"/>
          </w:tcPr>
          <w:p w14:paraId="27270C51">
            <w:pPr>
              <w:pStyle w:val="11"/>
            </w:pPr>
            <w:r>
              <w:t>24.40</w:t>
            </w:r>
          </w:p>
        </w:tc>
        <w:tc>
          <w:tcPr>
            <w:tcW w:w="964" w:type="dxa"/>
            <w:vAlign w:val="center"/>
          </w:tcPr>
          <w:p w14:paraId="396C4997">
            <w:pPr>
              <w:pStyle w:val="11"/>
            </w:pPr>
            <w:r>
              <w:t>24.40</w:t>
            </w:r>
          </w:p>
        </w:tc>
        <w:tc>
          <w:tcPr>
            <w:tcW w:w="964" w:type="dxa"/>
            <w:vAlign w:val="center"/>
          </w:tcPr>
          <w:p w14:paraId="40C6A404">
            <w:pPr>
              <w:pStyle w:val="11"/>
            </w:pPr>
          </w:p>
        </w:tc>
        <w:tc>
          <w:tcPr>
            <w:tcW w:w="964" w:type="dxa"/>
            <w:vAlign w:val="center"/>
          </w:tcPr>
          <w:p w14:paraId="021318D4">
            <w:pPr>
              <w:pStyle w:val="11"/>
            </w:pPr>
          </w:p>
        </w:tc>
        <w:tc>
          <w:tcPr>
            <w:tcW w:w="964" w:type="dxa"/>
            <w:vAlign w:val="center"/>
          </w:tcPr>
          <w:p w14:paraId="0BC7DAB2">
            <w:pPr>
              <w:pStyle w:val="11"/>
            </w:pPr>
          </w:p>
        </w:tc>
        <w:tc>
          <w:tcPr>
            <w:tcW w:w="964" w:type="dxa"/>
            <w:vAlign w:val="center"/>
          </w:tcPr>
          <w:p w14:paraId="7A4ADFD0">
            <w:pPr>
              <w:pStyle w:val="11"/>
            </w:pPr>
          </w:p>
        </w:tc>
        <w:tc>
          <w:tcPr>
            <w:tcW w:w="964" w:type="dxa"/>
            <w:vAlign w:val="center"/>
          </w:tcPr>
          <w:p w14:paraId="08B720E4">
            <w:pPr>
              <w:pStyle w:val="11"/>
            </w:pPr>
          </w:p>
        </w:tc>
        <w:tc>
          <w:tcPr>
            <w:tcW w:w="964" w:type="dxa"/>
            <w:vAlign w:val="center"/>
          </w:tcPr>
          <w:p w14:paraId="57149C27">
            <w:pPr>
              <w:pStyle w:val="11"/>
            </w:pPr>
          </w:p>
        </w:tc>
        <w:tc>
          <w:tcPr>
            <w:tcW w:w="964" w:type="dxa"/>
            <w:vAlign w:val="center"/>
          </w:tcPr>
          <w:p w14:paraId="407586B3">
            <w:pPr>
              <w:pStyle w:val="11"/>
            </w:pPr>
            <w:r>
              <w:t>24.40</w:t>
            </w:r>
          </w:p>
        </w:tc>
      </w:tr>
    </w:tbl>
    <w:p w14:paraId="5D5DAB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45DD85">
      <w:pPr>
        <w:spacing w:before="0" w:after="0"/>
        <w:ind w:firstLine="640"/>
        <w:jc w:val="left"/>
        <w:outlineLvl w:val="9"/>
      </w:pPr>
      <w:r>
        <w:rPr>
          <w:rFonts w:ascii="Times New Roman" w:hAnsi="Times New Roman" w:eastAsia="方正仿宋_GBK" w:cs="Times New Roman"/>
          <w:color w:val="000000"/>
          <w:sz w:val="32"/>
        </w:rPr>
        <w:t xml:space="preserve"> </w:t>
      </w:r>
    </w:p>
    <w:p w14:paraId="202B65D6">
      <w:pPr>
        <w:spacing w:before="10" w:after="10" w:line="240" w:lineRule="auto"/>
        <w:ind w:firstLine="640"/>
        <w:jc w:val="left"/>
        <w:outlineLvl w:val="5"/>
      </w:pPr>
      <w:r>
        <w:rPr>
          <w:rFonts w:ascii="黑体" w:hAnsi="黑体" w:eastAsia="黑体" w:cs="黑体"/>
          <w:color w:val="000000"/>
          <w:sz w:val="32"/>
        </w:rPr>
        <w:t>七、国有资产信息</w:t>
      </w:r>
    </w:p>
    <w:p w14:paraId="55D2C94B">
      <w:pPr>
        <w:spacing w:before="0" w:after="0" w:line="500" w:lineRule="exact"/>
        <w:ind w:firstLine="560"/>
        <w:jc w:val="left"/>
        <w:outlineLvl w:val="9"/>
      </w:pPr>
      <w:r>
        <w:rPr>
          <w:rFonts w:ascii="Times New Roman" w:hAnsi="Times New Roman" w:eastAsia="方正仿宋_GBK" w:cs="Times New Roman"/>
          <w:b w:val="0"/>
          <w:color w:val="000000"/>
          <w:sz w:val="28"/>
        </w:rPr>
        <w:t>隆尧县第二实验小学上年末固定资产金额为5408.78万元（详见下表）。本年度拟购置固定资产总额为24.40万元，已按要求列入政府采购预算，详见政府采购预算表。</w:t>
      </w:r>
    </w:p>
    <w:p w14:paraId="1068C01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BA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983DCEE">
            <w:pPr>
              <w:pStyle w:val="9"/>
            </w:pPr>
            <w:r>
              <w:t>360030隆尧县第二实验小学</w:t>
            </w:r>
          </w:p>
        </w:tc>
        <w:tc>
          <w:tcPr>
            <w:tcW w:w="5670" w:type="dxa"/>
            <w:gridSpan w:val="2"/>
            <w:tcBorders>
              <w:top w:val="single" w:color="FFFFFF" w:sz="6" w:space="0"/>
              <w:left w:val="single" w:color="FFFFFF" w:sz="6" w:space="0"/>
              <w:right w:val="single" w:color="FFFFFF" w:sz="6" w:space="0"/>
            </w:tcBorders>
            <w:vAlign w:val="center"/>
          </w:tcPr>
          <w:p w14:paraId="7AA28632">
            <w:pPr>
              <w:pStyle w:val="7"/>
            </w:pPr>
            <w:r>
              <w:t>截止时间：2025-12-31</w:t>
            </w:r>
          </w:p>
        </w:tc>
      </w:tr>
      <w:tr w14:paraId="1F78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6F2489">
            <w:pPr>
              <w:pStyle w:val="10"/>
            </w:pPr>
            <w:r>
              <w:t>项   目</w:t>
            </w:r>
          </w:p>
        </w:tc>
        <w:tc>
          <w:tcPr>
            <w:tcW w:w="2835" w:type="dxa"/>
            <w:vAlign w:val="center"/>
          </w:tcPr>
          <w:p w14:paraId="2EF99AE4">
            <w:pPr>
              <w:pStyle w:val="10"/>
            </w:pPr>
            <w:r>
              <w:t>数量</w:t>
            </w:r>
          </w:p>
        </w:tc>
        <w:tc>
          <w:tcPr>
            <w:tcW w:w="2835" w:type="dxa"/>
            <w:vAlign w:val="center"/>
          </w:tcPr>
          <w:p w14:paraId="17D981F5">
            <w:pPr>
              <w:pStyle w:val="10"/>
            </w:pPr>
            <w:r>
              <w:t>价值（金额单位：万元）</w:t>
            </w:r>
          </w:p>
        </w:tc>
      </w:tr>
      <w:tr w14:paraId="1EB2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651D76">
            <w:pPr>
              <w:pStyle w:val="12"/>
            </w:pPr>
            <w:r>
              <w:t>资产总额</w:t>
            </w:r>
          </w:p>
        </w:tc>
        <w:tc>
          <w:tcPr>
            <w:tcW w:w="2835" w:type="dxa"/>
            <w:vAlign w:val="center"/>
          </w:tcPr>
          <w:p w14:paraId="6B46A34B">
            <w:pPr>
              <w:pStyle w:val="13"/>
            </w:pPr>
          </w:p>
        </w:tc>
        <w:tc>
          <w:tcPr>
            <w:tcW w:w="2835" w:type="dxa"/>
            <w:vAlign w:val="center"/>
          </w:tcPr>
          <w:p w14:paraId="3B42C0A3">
            <w:pPr>
              <w:pStyle w:val="11"/>
            </w:pPr>
            <w:r>
              <w:t>5408.78</w:t>
            </w:r>
          </w:p>
        </w:tc>
      </w:tr>
      <w:tr w14:paraId="28C4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C0EBBE">
            <w:pPr>
              <w:pStyle w:val="12"/>
            </w:pPr>
            <w:r>
              <w:t>1、房屋（平方米）</w:t>
            </w:r>
          </w:p>
        </w:tc>
        <w:tc>
          <w:tcPr>
            <w:tcW w:w="2835" w:type="dxa"/>
            <w:vAlign w:val="center"/>
          </w:tcPr>
          <w:p w14:paraId="2D638F21">
            <w:pPr>
              <w:pStyle w:val="13"/>
            </w:pPr>
            <w:r>
              <w:t>42374.75</w:t>
            </w:r>
          </w:p>
        </w:tc>
        <w:tc>
          <w:tcPr>
            <w:tcW w:w="2835" w:type="dxa"/>
            <w:vAlign w:val="center"/>
          </w:tcPr>
          <w:p w14:paraId="16478F10">
            <w:pPr>
              <w:pStyle w:val="11"/>
            </w:pPr>
            <w:r>
              <w:t>4303.72</w:t>
            </w:r>
          </w:p>
        </w:tc>
      </w:tr>
      <w:tr w14:paraId="28CF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C9FBC">
            <w:pPr>
              <w:pStyle w:val="12"/>
            </w:pPr>
            <w:r>
              <w:t>　　其中：办公用房（平方米）</w:t>
            </w:r>
          </w:p>
        </w:tc>
        <w:tc>
          <w:tcPr>
            <w:tcW w:w="2835" w:type="dxa"/>
            <w:vAlign w:val="center"/>
          </w:tcPr>
          <w:p w14:paraId="228C2D42">
            <w:pPr>
              <w:pStyle w:val="13"/>
            </w:pPr>
            <w:r>
              <w:t>10000</w:t>
            </w:r>
          </w:p>
        </w:tc>
        <w:tc>
          <w:tcPr>
            <w:tcW w:w="2835" w:type="dxa"/>
            <w:vAlign w:val="center"/>
          </w:tcPr>
          <w:p w14:paraId="6549509A">
            <w:pPr>
              <w:pStyle w:val="11"/>
            </w:pPr>
            <w:r>
              <w:t>900.00</w:t>
            </w:r>
          </w:p>
        </w:tc>
      </w:tr>
      <w:tr w14:paraId="0EA3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8D21A1">
            <w:pPr>
              <w:pStyle w:val="12"/>
            </w:pPr>
            <w:r>
              <w:t>2、车辆（台、辆）</w:t>
            </w:r>
          </w:p>
        </w:tc>
        <w:tc>
          <w:tcPr>
            <w:tcW w:w="2835" w:type="dxa"/>
            <w:vAlign w:val="center"/>
          </w:tcPr>
          <w:p w14:paraId="2BD27916">
            <w:pPr>
              <w:pStyle w:val="13"/>
            </w:pPr>
          </w:p>
        </w:tc>
        <w:tc>
          <w:tcPr>
            <w:tcW w:w="2835" w:type="dxa"/>
            <w:vAlign w:val="center"/>
          </w:tcPr>
          <w:p w14:paraId="77A450E7">
            <w:pPr>
              <w:pStyle w:val="11"/>
            </w:pPr>
          </w:p>
        </w:tc>
      </w:tr>
      <w:tr w14:paraId="4E26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7397F">
            <w:pPr>
              <w:pStyle w:val="12"/>
            </w:pPr>
            <w:r>
              <w:t>3、单价在20万元以上的设备</w:t>
            </w:r>
          </w:p>
        </w:tc>
        <w:tc>
          <w:tcPr>
            <w:tcW w:w="2835" w:type="dxa"/>
            <w:vAlign w:val="center"/>
          </w:tcPr>
          <w:p w14:paraId="65307DCA">
            <w:pPr>
              <w:pStyle w:val="13"/>
            </w:pPr>
          </w:p>
        </w:tc>
        <w:tc>
          <w:tcPr>
            <w:tcW w:w="2835" w:type="dxa"/>
            <w:vAlign w:val="center"/>
          </w:tcPr>
          <w:p w14:paraId="7EB2D1EC">
            <w:pPr>
              <w:pStyle w:val="11"/>
            </w:pPr>
          </w:p>
        </w:tc>
      </w:tr>
      <w:tr w14:paraId="43F3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1864D">
            <w:pPr>
              <w:pStyle w:val="12"/>
            </w:pPr>
            <w:r>
              <w:t>4、其他固定资产</w:t>
            </w:r>
          </w:p>
        </w:tc>
        <w:tc>
          <w:tcPr>
            <w:tcW w:w="2835" w:type="dxa"/>
            <w:vAlign w:val="center"/>
          </w:tcPr>
          <w:p w14:paraId="7BF8881F">
            <w:pPr>
              <w:pStyle w:val="13"/>
            </w:pPr>
            <w:r>
              <w:t>25632</w:t>
            </w:r>
          </w:p>
        </w:tc>
        <w:tc>
          <w:tcPr>
            <w:tcW w:w="2835" w:type="dxa"/>
            <w:vAlign w:val="center"/>
          </w:tcPr>
          <w:p w14:paraId="2D4B71F8">
            <w:pPr>
              <w:pStyle w:val="11"/>
            </w:pPr>
            <w:r>
              <w:t>1105.06</w:t>
            </w:r>
          </w:p>
        </w:tc>
      </w:tr>
    </w:tbl>
    <w:p w14:paraId="6C91E693">
      <w:pPr>
        <w:spacing w:before="0" w:after="0"/>
        <w:ind w:firstLine="640"/>
        <w:jc w:val="left"/>
        <w:outlineLvl w:val="9"/>
      </w:pPr>
      <w:r>
        <w:rPr>
          <w:rFonts w:ascii="Times New Roman" w:hAnsi="Times New Roman" w:eastAsia="方正仿宋_GBK" w:cs="Times New Roman"/>
          <w:color w:val="000000"/>
          <w:sz w:val="32"/>
        </w:rPr>
        <w:t xml:space="preserve"> </w:t>
      </w:r>
    </w:p>
    <w:p w14:paraId="0617DAE2">
      <w:pPr>
        <w:spacing w:before="10" w:after="10" w:line="240" w:lineRule="auto"/>
        <w:ind w:firstLine="640"/>
        <w:jc w:val="left"/>
        <w:outlineLvl w:val="5"/>
      </w:pPr>
      <w:r>
        <w:rPr>
          <w:rFonts w:ascii="黑体" w:hAnsi="黑体" w:eastAsia="黑体" w:cs="黑体"/>
          <w:color w:val="000000"/>
          <w:sz w:val="32"/>
        </w:rPr>
        <w:t>八、名词解释</w:t>
      </w:r>
    </w:p>
    <w:p w14:paraId="371D32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D0956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F14E2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5A42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D873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AD09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9FB8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D553E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5C99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60A6B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14D079">
      <w:pPr>
        <w:spacing w:before="10" w:after="10" w:line="240" w:lineRule="auto"/>
        <w:ind w:firstLine="640"/>
        <w:jc w:val="left"/>
        <w:outlineLvl w:val="5"/>
      </w:pPr>
      <w:r>
        <w:rPr>
          <w:rFonts w:ascii="黑体" w:hAnsi="黑体" w:eastAsia="黑体" w:cs="黑体"/>
          <w:color w:val="000000"/>
          <w:sz w:val="32"/>
        </w:rPr>
        <w:t>九、其他需要说明的事项</w:t>
      </w:r>
    </w:p>
    <w:p w14:paraId="6534864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E2D8372">
      <w:pPr>
        <w:spacing w:before="0" w:after="0"/>
        <w:ind w:firstLine="0"/>
        <w:jc w:val="center"/>
        <w:outlineLvl w:val="3"/>
      </w:pPr>
      <w:bookmarkStart w:id="29" w:name="_Toc_4_4_0000000030"/>
      <w:r>
        <w:rPr>
          <w:rFonts w:ascii="方正小标宋_GBK" w:hAnsi="方正小标宋_GBK" w:eastAsia="方正小标宋_GBK" w:cs="方正小标宋_GBK"/>
          <w:b w:val="0"/>
          <w:color w:val="000000"/>
          <w:sz w:val="44"/>
        </w:rPr>
        <w:t>三十、隆尧县北楼中学收支预算</w:t>
      </w:r>
      <w:bookmarkEnd w:id="29"/>
    </w:p>
    <w:p w14:paraId="376264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E8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740CB8">
            <w:pPr>
              <w:pStyle w:val="9"/>
            </w:pPr>
            <w:r>
              <w:t>360031隆尧县北楼中学</w:t>
            </w:r>
          </w:p>
        </w:tc>
        <w:tc>
          <w:tcPr>
            <w:tcW w:w="2126" w:type="dxa"/>
            <w:tcBorders>
              <w:top w:val="single" w:color="FFFFFF" w:sz="6" w:space="0"/>
              <w:left w:val="single" w:color="FFFFFF" w:sz="6" w:space="0"/>
              <w:right w:val="single" w:color="FFFFFF" w:sz="6" w:space="0"/>
            </w:tcBorders>
            <w:vAlign w:val="center"/>
          </w:tcPr>
          <w:p w14:paraId="613B3A7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3303FAD">
            <w:pPr>
              <w:pStyle w:val="7"/>
            </w:pPr>
            <w:r>
              <w:t>单位：万元</w:t>
            </w:r>
          </w:p>
        </w:tc>
      </w:tr>
      <w:tr w14:paraId="6467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252A7A">
            <w:pPr>
              <w:pStyle w:val="10"/>
            </w:pPr>
            <w:r>
              <w:t>序号</w:t>
            </w:r>
          </w:p>
        </w:tc>
        <w:tc>
          <w:tcPr>
            <w:tcW w:w="6661" w:type="dxa"/>
            <w:gridSpan w:val="2"/>
            <w:vAlign w:val="center"/>
          </w:tcPr>
          <w:p w14:paraId="08D75EE0">
            <w:pPr>
              <w:pStyle w:val="10"/>
            </w:pPr>
            <w:r>
              <w:t>收入</w:t>
            </w:r>
          </w:p>
        </w:tc>
        <w:tc>
          <w:tcPr>
            <w:tcW w:w="6661" w:type="dxa"/>
            <w:gridSpan w:val="2"/>
            <w:vAlign w:val="center"/>
          </w:tcPr>
          <w:p w14:paraId="22769F55">
            <w:pPr>
              <w:pStyle w:val="10"/>
            </w:pPr>
            <w:r>
              <w:t>支出</w:t>
            </w:r>
          </w:p>
        </w:tc>
      </w:tr>
      <w:tr w14:paraId="6B3F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36B73"/>
        </w:tc>
        <w:tc>
          <w:tcPr>
            <w:tcW w:w="4535" w:type="dxa"/>
            <w:vAlign w:val="center"/>
          </w:tcPr>
          <w:p w14:paraId="000E764F">
            <w:pPr>
              <w:pStyle w:val="10"/>
            </w:pPr>
            <w:r>
              <w:t>项  目</w:t>
            </w:r>
          </w:p>
        </w:tc>
        <w:tc>
          <w:tcPr>
            <w:tcW w:w="2126" w:type="dxa"/>
            <w:vAlign w:val="center"/>
          </w:tcPr>
          <w:p w14:paraId="39C64799">
            <w:pPr>
              <w:pStyle w:val="10"/>
            </w:pPr>
            <w:r>
              <w:t>预算数</w:t>
            </w:r>
          </w:p>
        </w:tc>
        <w:tc>
          <w:tcPr>
            <w:tcW w:w="4535" w:type="dxa"/>
            <w:vAlign w:val="center"/>
          </w:tcPr>
          <w:p w14:paraId="26240B9E">
            <w:pPr>
              <w:pStyle w:val="10"/>
            </w:pPr>
            <w:r>
              <w:t>项  目</w:t>
            </w:r>
          </w:p>
        </w:tc>
        <w:tc>
          <w:tcPr>
            <w:tcW w:w="2126" w:type="dxa"/>
            <w:vAlign w:val="center"/>
          </w:tcPr>
          <w:p w14:paraId="0A96DFDA">
            <w:pPr>
              <w:pStyle w:val="10"/>
            </w:pPr>
            <w:r>
              <w:t>预算数</w:t>
            </w:r>
          </w:p>
        </w:tc>
      </w:tr>
      <w:tr w14:paraId="6DD3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78AF73">
            <w:pPr>
              <w:pStyle w:val="10"/>
            </w:pPr>
            <w:r>
              <w:t>栏次</w:t>
            </w:r>
          </w:p>
        </w:tc>
        <w:tc>
          <w:tcPr>
            <w:tcW w:w="4535" w:type="dxa"/>
            <w:vAlign w:val="center"/>
          </w:tcPr>
          <w:p w14:paraId="18670DC3">
            <w:pPr>
              <w:pStyle w:val="10"/>
            </w:pPr>
            <w:r>
              <w:t>1</w:t>
            </w:r>
          </w:p>
        </w:tc>
        <w:tc>
          <w:tcPr>
            <w:tcW w:w="2126" w:type="dxa"/>
            <w:vAlign w:val="center"/>
          </w:tcPr>
          <w:p w14:paraId="668CEA60">
            <w:pPr>
              <w:pStyle w:val="10"/>
            </w:pPr>
            <w:r>
              <w:t>2</w:t>
            </w:r>
          </w:p>
        </w:tc>
        <w:tc>
          <w:tcPr>
            <w:tcW w:w="4535" w:type="dxa"/>
            <w:vAlign w:val="center"/>
          </w:tcPr>
          <w:p w14:paraId="57560D64">
            <w:pPr>
              <w:pStyle w:val="10"/>
            </w:pPr>
            <w:r>
              <w:t>3</w:t>
            </w:r>
          </w:p>
        </w:tc>
        <w:tc>
          <w:tcPr>
            <w:tcW w:w="2126" w:type="dxa"/>
            <w:vAlign w:val="center"/>
          </w:tcPr>
          <w:p w14:paraId="3A0287E5">
            <w:pPr>
              <w:pStyle w:val="10"/>
            </w:pPr>
            <w:r>
              <w:t>4</w:t>
            </w:r>
          </w:p>
        </w:tc>
      </w:tr>
      <w:tr w14:paraId="7CCC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CB03F">
            <w:pPr>
              <w:pStyle w:val="13"/>
            </w:pPr>
            <w:r>
              <w:t>1</w:t>
            </w:r>
          </w:p>
        </w:tc>
        <w:tc>
          <w:tcPr>
            <w:tcW w:w="4535" w:type="dxa"/>
            <w:vAlign w:val="center"/>
          </w:tcPr>
          <w:p w14:paraId="2E661B7E">
            <w:pPr>
              <w:pStyle w:val="12"/>
            </w:pPr>
            <w:r>
              <w:t>一、一般公共预算拨款收入</w:t>
            </w:r>
          </w:p>
        </w:tc>
        <w:tc>
          <w:tcPr>
            <w:tcW w:w="2126" w:type="dxa"/>
            <w:vAlign w:val="center"/>
          </w:tcPr>
          <w:p w14:paraId="5DB22187">
            <w:pPr>
              <w:pStyle w:val="11"/>
            </w:pPr>
            <w:r>
              <w:t>1075.32</w:t>
            </w:r>
          </w:p>
        </w:tc>
        <w:tc>
          <w:tcPr>
            <w:tcW w:w="4535" w:type="dxa"/>
            <w:vAlign w:val="center"/>
          </w:tcPr>
          <w:p w14:paraId="0AB414E5">
            <w:pPr>
              <w:pStyle w:val="12"/>
            </w:pPr>
            <w:r>
              <w:t>一、一般公共服务支出</w:t>
            </w:r>
          </w:p>
        </w:tc>
        <w:tc>
          <w:tcPr>
            <w:tcW w:w="2126" w:type="dxa"/>
            <w:vAlign w:val="center"/>
          </w:tcPr>
          <w:p w14:paraId="463E0E04">
            <w:pPr>
              <w:pStyle w:val="11"/>
            </w:pPr>
          </w:p>
        </w:tc>
      </w:tr>
      <w:tr w14:paraId="5792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0863">
            <w:pPr>
              <w:pStyle w:val="13"/>
            </w:pPr>
            <w:r>
              <w:t>2</w:t>
            </w:r>
          </w:p>
        </w:tc>
        <w:tc>
          <w:tcPr>
            <w:tcW w:w="4535" w:type="dxa"/>
            <w:vAlign w:val="center"/>
          </w:tcPr>
          <w:p w14:paraId="1FCB4F57">
            <w:pPr>
              <w:pStyle w:val="12"/>
            </w:pPr>
            <w:r>
              <w:t>二、政府性基金预算拨款收入</w:t>
            </w:r>
          </w:p>
        </w:tc>
        <w:tc>
          <w:tcPr>
            <w:tcW w:w="2126" w:type="dxa"/>
            <w:vAlign w:val="center"/>
          </w:tcPr>
          <w:p w14:paraId="6D790CB9">
            <w:pPr>
              <w:pStyle w:val="11"/>
            </w:pPr>
          </w:p>
        </w:tc>
        <w:tc>
          <w:tcPr>
            <w:tcW w:w="4535" w:type="dxa"/>
            <w:vAlign w:val="center"/>
          </w:tcPr>
          <w:p w14:paraId="47E33E72">
            <w:pPr>
              <w:pStyle w:val="12"/>
            </w:pPr>
            <w:r>
              <w:t>二、外交支出</w:t>
            </w:r>
          </w:p>
        </w:tc>
        <w:tc>
          <w:tcPr>
            <w:tcW w:w="2126" w:type="dxa"/>
            <w:vAlign w:val="center"/>
          </w:tcPr>
          <w:p w14:paraId="5D1AA533">
            <w:pPr>
              <w:pStyle w:val="11"/>
            </w:pPr>
          </w:p>
        </w:tc>
      </w:tr>
      <w:tr w14:paraId="66EE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37EA">
            <w:pPr>
              <w:pStyle w:val="13"/>
            </w:pPr>
            <w:r>
              <w:t>3</w:t>
            </w:r>
          </w:p>
        </w:tc>
        <w:tc>
          <w:tcPr>
            <w:tcW w:w="4535" w:type="dxa"/>
            <w:vAlign w:val="center"/>
          </w:tcPr>
          <w:p w14:paraId="5B4E7309">
            <w:pPr>
              <w:pStyle w:val="12"/>
            </w:pPr>
            <w:r>
              <w:t>三、国有资本经营预算拨款收入</w:t>
            </w:r>
          </w:p>
        </w:tc>
        <w:tc>
          <w:tcPr>
            <w:tcW w:w="2126" w:type="dxa"/>
            <w:vAlign w:val="center"/>
          </w:tcPr>
          <w:p w14:paraId="48C6757A">
            <w:pPr>
              <w:pStyle w:val="11"/>
            </w:pPr>
          </w:p>
        </w:tc>
        <w:tc>
          <w:tcPr>
            <w:tcW w:w="4535" w:type="dxa"/>
            <w:vAlign w:val="center"/>
          </w:tcPr>
          <w:p w14:paraId="2D059CE9">
            <w:pPr>
              <w:pStyle w:val="12"/>
            </w:pPr>
            <w:r>
              <w:t>三、国防支出</w:t>
            </w:r>
          </w:p>
        </w:tc>
        <w:tc>
          <w:tcPr>
            <w:tcW w:w="2126" w:type="dxa"/>
            <w:vAlign w:val="center"/>
          </w:tcPr>
          <w:p w14:paraId="3E069EE2">
            <w:pPr>
              <w:pStyle w:val="11"/>
            </w:pPr>
          </w:p>
        </w:tc>
      </w:tr>
      <w:tr w14:paraId="3FF0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FB1E">
            <w:pPr>
              <w:pStyle w:val="13"/>
            </w:pPr>
            <w:r>
              <w:t>4</w:t>
            </w:r>
          </w:p>
        </w:tc>
        <w:tc>
          <w:tcPr>
            <w:tcW w:w="4535" w:type="dxa"/>
            <w:vAlign w:val="center"/>
          </w:tcPr>
          <w:p w14:paraId="75F16C8B">
            <w:pPr>
              <w:pStyle w:val="12"/>
            </w:pPr>
            <w:r>
              <w:t>四、财政专户管理资金收入</w:t>
            </w:r>
          </w:p>
        </w:tc>
        <w:tc>
          <w:tcPr>
            <w:tcW w:w="2126" w:type="dxa"/>
            <w:vAlign w:val="center"/>
          </w:tcPr>
          <w:p w14:paraId="522CC1E5">
            <w:pPr>
              <w:pStyle w:val="11"/>
            </w:pPr>
          </w:p>
        </w:tc>
        <w:tc>
          <w:tcPr>
            <w:tcW w:w="4535" w:type="dxa"/>
            <w:vAlign w:val="center"/>
          </w:tcPr>
          <w:p w14:paraId="2EB7CA33">
            <w:pPr>
              <w:pStyle w:val="12"/>
            </w:pPr>
            <w:r>
              <w:t>四、公共安全支出</w:t>
            </w:r>
          </w:p>
        </w:tc>
        <w:tc>
          <w:tcPr>
            <w:tcW w:w="2126" w:type="dxa"/>
            <w:vAlign w:val="center"/>
          </w:tcPr>
          <w:p w14:paraId="2A9F0830">
            <w:pPr>
              <w:pStyle w:val="11"/>
            </w:pPr>
          </w:p>
        </w:tc>
      </w:tr>
      <w:tr w14:paraId="3753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7AE5">
            <w:pPr>
              <w:pStyle w:val="13"/>
            </w:pPr>
            <w:r>
              <w:t>5</w:t>
            </w:r>
          </w:p>
        </w:tc>
        <w:tc>
          <w:tcPr>
            <w:tcW w:w="4535" w:type="dxa"/>
            <w:vAlign w:val="center"/>
          </w:tcPr>
          <w:p w14:paraId="7C9F5DEF">
            <w:pPr>
              <w:pStyle w:val="12"/>
            </w:pPr>
            <w:r>
              <w:t>五、单位资金</w:t>
            </w:r>
          </w:p>
        </w:tc>
        <w:tc>
          <w:tcPr>
            <w:tcW w:w="2126" w:type="dxa"/>
            <w:vAlign w:val="center"/>
          </w:tcPr>
          <w:p w14:paraId="752C6743">
            <w:pPr>
              <w:pStyle w:val="11"/>
            </w:pPr>
          </w:p>
        </w:tc>
        <w:tc>
          <w:tcPr>
            <w:tcW w:w="4535" w:type="dxa"/>
            <w:vAlign w:val="center"/>
          </w:tcPr>
          <w:p w14:paraId="58C17105">
            <w:pPr>
              <w:pStyle w:val="12"/>
            </w:pPr>
            <w:r>
              <w:t>五、教育支出</w:t>
            </w:r>
          </w:p>
        </w:tc>
        <w:tc>
          <w:tcPr>
            <w:tcW w:w="2126" w:type="dxa"/>
            <w:vAlign w:val="center"/>
          </w:tcPr>
          <w:p w14:paraId="603A5668">
            <w:pPr>
              <w:pStyle w:val="11"/>
            </w:pPr>
            <w:r>
              <w:t>1075.32</w:t>
            </w:r>
          </w:p>
        </w:tc>
      </w:tr>
      <w:tr w14:paraId="4C69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4900">
            <w:pPr>
              <w:pStyle w:val="13"/>
            </w:pPr>
            <w:r>
              <w:t>6</w:t>
            </w:r>
          </w:p>
        </w:tc>
        <w:tc>
          <w:tcPr>
            <w:tcW w:w="4535" w:type="dxa"/>
            <w:vAlign w:val="center"/>
          </w:tcPr>
          <w:p w14:paraId="16F9B348">
            <w:pPr>
              <w:pStyle w:val="12"/>
            </w:pPr>
          </w:p>
        </w:tc>
        <w:tc>
          <w:tcPr>
            <w:tcW w:w="2126" w:type="dxa"/>
            <w:vAlign w:val="center"/>
          </w:tcPr>
          <w:p w14:paraId="3048DEC7">
            <w:pPr>
              <w:pStyle w:val="11"/>
            </w:pPr>
          </w:p>
        </w:tc>
        <w:tc>
          <w:tcPr>
            <w:tcW w:w="4535" w:type="dxa"/>
            <w:vAlign w:val="center"/>
          </w:tcPr>
          <w:p w14:paraId="6767DBA2">
            <w:pPr>
              <w:pStyle w:val="12"/>
            </w:pPr>
            <w:r>
              <w:t>六、科学技术支出</w:t>
            </w:r>
          </w:p>
        </w:tc>
        <w:tc>
          <w:tcPr>
            <w:tcW w:w="2126" w:type="dxa"/>
            <w:vAlign w:val="center"/>
          </w:tcPr>
          <w:p w14:paraId="7EFA181B">
            <w:pPr>
              <w:pStyle w:val="11"/>
            </w:pPr>
          </w:p>
        </w:tc>
      </w:tr>
      <w:tr w14:paraId="7311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11FE6">
            <w:pPr>
              <w:pStyle w:val="13"/>
            </w:pPr>
            <w:r>
              <w:t>7</w:t>
            </w:r>
          </w:p>
        </w:tc>
        <w:tc>
          <w:tcPr>
            <w:tcW w:w="4535" w:type="dxa"/>
            <w:vAlign w:val="center"/>
          </w:tcPr>
          <w:p w14:paraId="69FC2642">
            <w:pPr>
              <w:pStyle w:val="12"/>
            </w:pPr>
          </w:p>
        </w:tc>
        <w:tc>
          <w:tcPr>
            <w:tcW w:w="2126" w:type="dxa"/>
            <w:vAlign w:val="center"/>
          </w:tcPr>
          <w:p w14:paraId="27C86A93">
            <w:pPr>
              <w:pStyle w:val="11"/>
            </w:pPr>
          </w:p>
        </w:tc>
        <w:tc>
          <w:tcPr>
            <w:tcW w:w="4535" w:type="dxa"/>
            <w:vAlign w:val="center"/>
          </w:tcPr>
          <w:p w14:paraId="45B340ED">
            <w:pPr>
              <w:pStyle w:val="12"/>
            </w:pPr>
            <w:r>
              <w:t>七、文化旅游体育与传媒支出</w:t>
            </w:r>
          </w:p>
        </w:tc>
        <w:tc>
          <w:tcPr>
            <w:tcW w:w="2126" w:type="dxa"/>
            <w:vAlign w:val="center"/>
          </w:tcPr>
          <w:p w14:paraId="137537F5">
            <w:pPr>
              <w:pStyle w:val="11"/>
            </w:pPr>
          </w:p>
        </w:tc>
      </w:tr>
      <w:tr w14:paraId="7485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2155">
            <w:pPr>
              <w:pStyle w:val="13"/>
            </w:pPr>
            <w:r>
              <w:t>8</w:t>
            </w:r>
          </w:p>
        </w:tc>
        <w:tc>
          <w:tcPr>
            <w:tcW w:w="4535" w:type="dxa"/>
            <w:vAlign w:val="center"/>
          </w:tcPr>
          <w:p w14:paraId="684365E4">
            <w:pPr>
              <w:pStyle w:val="12"/>
            </w:pPr>
          </w:p>
        </w:tc>
        <w:tc>
          <w:tcPr>
            <w:tcW w:w="2126" w:type="dxa"/>
            <w:vAlign w:val="center"/>
          </w:tcPr>
          <w:p w14:paraId="02193630">
            <w:pPr>
              <w:pStyle w:val="11"/>
            </w:pPr>
          </w:p>
        </w:tc>
        <w:tc>
          <w:tcPr>
            <w:tcW w:w="4535" w:type="dxa"/>
            <w:vAlign w:val="center"/>
          </w:tcPr>
          <w:p w14:paraId="2853A157">
            <w:pPr>
              <w:pStyle w:val="12"/>
            </w:pPr>
            <w:r>
              <w:t>八、社会保障和就业支出</w:t>
            </w:r>
          </w:p>
        </w:tc>
        <w:tc>
          <w:tcPr>
            <w:tcW w:w="2126" w:type="dxa"/>
            <w:vAlign w:val="center"/>
          </w:tcPr>
          <w:p w14:paraId="305CC870">
            <w:pPr>
              <w:pStyle w:val="11"/>
            </w:pPr>
          </w:p>
        </w:tc>
      </w:tr>
      <w:tr w14:paraId="5E5D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5870">
            <w:pPr>
              <w:pStyle w:val="13"/>
            </w:pPr>
            <w:r>
              <w:t>9</w:t>
            </w:r>
          </w:p>
        </w:tc>
        <w:tc>
          <w:tcPr>
            <w:tcW w:w="4535" w:type="dxa"/>
            <w:vAlign w:val="center"/>
          </w:tcPr>
          <w:p w14:paraId="5EB44A5E">
            <w:pPr>
              <w:pStyle w:val="12"/>
            </w:pPr>
          </w:p>
        </w:tc>
        <w:tc>
          <w:tcPr>
            <w:tcW w:w="2126" w:type="dxa"/>
            <w:vAlign w:val="center"/>
          </w:tcPr>
          <w:p w14:paraId="149C0D21">
            <w:pPr>
              <w:pStyle w:val="11"/>
            </w:pPr>
          </w:p>
        </w:tc>
        <w:tc>
          <w:tcPr>
            <w:tcW w:w="4535" w:type="dxa"/>
            <w:vAlign w:val="center"/>
          </w:tcPr>
          <w:p w14:paraId="774B7CA2">
            <w:pPr>
              <w:pStyle w:val="12"/>
            </w:pPr>
            <w:r>
              <w:t>九、社会保险基金支出</w:t>
            </w:r>
          </w:p>
        </w:tc>
        <w:tc>
          <w:tcPr>
            <w:tcW w:w="2126" w:type="dxa"/>
            <w:vAlign w:val="center"/>
          </w:tcPr>
          <w:p w14:paraId="073545BD">
            <w:pPr>
              <w:pStyle w:val="11"/>
            </w:pPr>
          </w:p>
        </w:tc>
      </w:tr>
      <w:tr w14:paraId="6AEC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322F7">
            <w:pPr>
              <w:pStyle w:val="13"/>
            </w:pPr>
            <w:r>
              <w:t>10</w:t>
            </w:r>
          </w:p>
        </w:tc>
        <w:tc>
          <w:tcPr>
            <w:tcW w:w="4535" w:type="dxa"/>
            <w:vAlign w:val="center"/>
          </w:tcPr>
          <w:p w14:paraId="1F95BF04">
            <w:pPr>
              <w:pStyle w:val="12"/>
            </w:pPr>
          </w:p>
        </w:tc>
        <w:tc>
          <w:tcPr>
            <w:tcW w:w="2126" w:type="dxa"/>
            <w:vAlign w:val="center"/>
          </w:tcPr>
          <w:p w14:paraId="362B57A8">
            <w:pPr>
              <w:pStyle w:val="11"/>
            </w:pPr>
          </w:p>
        </w:tc>
        <w:tc>
          <w:tcPr>
            <w:tcW w:w="4535" w:type="dxa"/>
            <w:vAlign w:val="center"/>
          </w:tcPr>
          <w:p w14:paraId="5699610B">
            <w:pPr>
              <w:pStyle w:val="12"/>
            </w:pPr>
            <w:r>
              <w:t>十、卫生健康支出</w:t>
            </w:r>
          </w:p>
        </w:tc>
        <w:tc>
          <w:tcPr>
            <w:tcW w:w="2126" w:type="dxa"/>
            <w:vAlign w:val="center"/>
          </w:tcPr>
          <w:p w14:paraId="2F77FCE1">
            <w:pPr>
              <w:pStyle w:val="11"/>
            </w:pPr>
          </w:p>
        </w:tc>
      </w:tr>
      <w:tr w14:paraId="026E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52D47">
            <w:pPr>
              <w:pStyle w:val="13"/>
            </w:pPr>
            <w:r>
              <w:t>11</w:t>
            </w:r>
          </w:p>
        </w:tc>
        <w:tc>
          <w:tcPr>
            <w:tcW w:w="4535" w:type="dxa"/>
            <w:vAlign w:val="center"/>
          </w:tcPr>
          <w:p w14:paraId="53670CE3">
            <w:pPr>
              <w:pStyle w:val="12"/>
            </w:pPr>
          </w:p>
        </w:tc>
        <w:tc>
          <w:tcPr>
            <w:tcW w:w="2126" w:type="dxa"/>
            <w:vAlign w:val="center"/>
          </w:tcPr>
          <w:p w14:paraId="43C430E8">
            <w:pPr>
              <w:pStyle w:val="11"/>
            </w:pPr>
          </w:p>
        </w:tc>
        <w:tc>
          <w:tcPr>
            <w:tcW w:w="4535" w:type="dxa"/>
            <w:vAlign w:val="center"/>
          </w:tcPr>
          <w:p w14:paraId="7DC07D66">
            <w:pPr>
              <w:pStyle w:val="12"/>
            </w:pPr>
            <w:r>
              <w:t>十一、节能环保支出</w:t>
            </w:r>
          </w:p>
        </w:tc>
        <w:tc>
          <w:tcPr>
            <w:tcW w:w="2126" w:type="dxa"/>
            <w:vAlign w:val="center"/>
          </w:tcPr>
          <w:p w14:paraId="001E2341">
            <w:pPr>
              <w:pStyle w:val="11"/>
            </w:pPr>
          </w:p>
        </w:tc>
      </w:tr>
      <w:tr w14:paraId="3A8E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17CD">
            <w:pPr>
              <w:pStyle w:val="13"/>
            </w:pPr>
            <w:r>
              <w:t>12</w:t>
            </w:r>
          </w:p>
        </w:tc>
        <w:tc>
          <w:tcPr>
            <w:tcW w:w="4535" w:type="dxa"/>
            <w:vAlign w:val="center"/>
          </w:tcPr>
          <w:p w14:paraId="3C465FD4">
            <w:pPr>
              <w:pStyle w:val="12"/>
            </w:pPr>
          </w:p>
        </w:tc>
        <w:tc>
          <w:tcPr>
            <w:tcW w:w="2126" w:type="dxa"/>
            <w:vAlign w:val="center"/>
          </w:tcPr>
          <w:p w14:paraId="1CD89496">
            <w:pPr>
              <w:pStyle w:val="11"/>
            </w:pPr>
          </w:p>
        </w:tc>
        <w:tc>
          <w:tcPr>
            <w:tcW w:w="4535" w:type="dxa"/>
            <w:vAlign w:val="center"/>
          </w:tcPr>
          <w:p w14:paraId="553C3016">
            <w:pPr>
              <w:pStyle w:val="12"/>
            </w:pPr>
            <w:r>
              <w:t>十二、城乡社区支出</w:t>
            </w:r>
          </w:p>
        </w:tc>
        <w:tc>
          <w:tcPr>
            <w:tcW w:w="2126" w:type="dxa"/>
            <w:vAlign w:val="center"/>
          </w:tcPr>
          <w:p w14:paraId="0806B453">
            <w:pPr>
              <w:pStyle w:val="11"/>
            </w:pPr>
          </w:p>
        </w:tc>
      </w:tr>
      <w:tr w14:paraId="2EA5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59223">
            <w:pPr>
              <w:pStyle w:val="13"/>
            </w:pPr>
            <w:r>
              <w:t>13</w:t>
            </w:r>
          </w:p>
        </w:tc>
        <w:tc>
          <w:tcPr>
            <w:tcW w:w="4535" w:type="dxa"/>
            <w:vAlign w:val="center"/>
          </w:tcPr>
          <w:p w14:paraId="5ADF4AC8">
            <w:pPr>
              <w:pStyle w:val="12"/>
            </w:pPr>
          </w:p>
        </w:tc>
        <w:tc>
          <w:tcPr>
            <w:tcW w:w="2126" w:type="dxa"/>
            <w:vAlign w:val="center"/>
          </w:tcPr>
          <w:p w14:paraId="5FF1170C">
            <w:pPr>
              <w:pStyle w:val="11"/>
            </w:pPr>
          </w:p>
        </w:tc>
        <w:tc>
          <w:tcPr>
            <w:tcW w:w="4535" w:type="dxa"/>
            <w:vAlign w:val="center"/>
          </w:tcPr>
          <w:p w14:paraId="376ED015">
            <w:pPr>
              <w:pStyle w:val="12"/>
            </w:pPr>
            <w:r>
              <w:t>十三、农林水支出</w:t>
            </w:r>
          </w:p>
        </w:tc>
        <w:tc>
          <w:tcPr>
            <w:tcW w:w="2126" w:type="dxa"/>
            <w:vAlign w:val="center"/>
          </w:tcPr>
          <w:p w14:paraId="7F1560DC">
            <w:pPr>
              <w:pStyle w:val="11"/>
            </w:pPr>
          </w:p>
        </w:tc>
      </w:tr>
      <w:tr w14:paraId="7538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59C67">
            <w:pPr>
              <w:pStyle w:val="13"/>
            </w:pPr>
            <w:r>
              <w:t>14</w:t>
            </w:r>
          </w:p>
        </w:tc>
        <w:tc>
          <w:tcPr>
            <w:tcW w:w="4535" w:type="dxa"/>
            <w:vAlign w:val="center"/>
          </w:tcPr>
          <w:p w14:paraId="354B538E">
            <w:pPr>
              <w:pStyle w:val="12"/>
            </w:pPr>
          </w:p>
        </w:tc>
        <w:tc>
          <w:tcPr>
            <w:tcW w:w="2126" w:type="dxa"/>
            <w:vAlign w:val="center"/>
          </w:tcPr>
          <w:p w14:paraId="08319005">
            <w:pPr>
              <w:pStyle w:val="11"/>
            </w:pPr>
          </w:p>
        </w:tc>
        <w:tc>
          <w:tcPr>
            <w:tcW w:w="4535" w:type="dxa"/>
            <w:vAlign w:val="center"/>
          </w:tcPr>
          <w:p w14:paraId="1103C95A">
            <w:pPr>
              <w:pStyle w:val="12"/>
            </w:pPr>
            <w:r>
              <w:t>十四、交通运输支出</w:t>
            </w:r>
          </w:p>
        </w:tc>
        <w:tc>
          <w:tcPr>
            <w:tcW w:w="2126" w:type="dxa"/>
            <w:vAlign w:val="center"/>
          </w:tcPr>
          <w:p w14:paraId="5185396B">
            <w:pPr>
              <w:pStyle w:val="11"/>
            </w:pPr>
          </w:p>
        </w:tc>
      </w:tr>
      <w:tr w14:paraId="2FF1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6F66F">
            <w:pPr>
              <w:pStyle w:val="13"/>
            </w:pPr>
            <w:r>
              <w:t>15</w:t>
            </w:r>
          </w:p>
        </w:tc>
        <w:tc>
          <w:tcPr>
            <w:tcW w:w="4535" w:type="dxa"/>
            <w:vAlign w:val="center"/>
          </w:tcPr>
          <w:p w14:paraId="73082FD8">
            <w:pPr>
              <w:pStyle w:val="12"/>
            </w:pPr>
          </w:p>
        </w:tc>
        <w:tc>
          <w:tcPr>
            <w:tcW w:w="2126" w:type="dxa"/>
            <w:vAlign w:val="center"/>
          </w:tcPr>
          <w:p w14:paraId="4668D9AC">
            <w:pPr>
              <w:pStyle w:val="11"/>
            </w:pPr>
          </w:p>
        </w:tc>
        <w:tc>
          <w:tcPr>
            <w:tcW w:w="4535" w:type="dxa"/>
            <w:vAlign w:val="center"/>
          </w:tcPr>
          <w:p w14:paraId="6148B524">
            <w:pPr>
              <w:pStyle w:val="12"/>
            </w:pPr>
            <w:r>
              <w:t>十五、资源勘探工业信息等支出</w:t>
            </w:r>
          </w:p>
        </w:tc>
        <w:tc>
          <w:tcPr>
            <w:tcW w:w="2126" w:type="dxa"/>
            <w:vAlign w:val="center"/>
          </w:tcPr>
          <w:p w14:paraId="63A96DBF">
            <w:pPr>
              <w:pStyle w:val="11"/>
            </w:pPr>
          </w:p>
        </w:tc>
      </w:tr>
      <w:tr w14:paraId="68AA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C25F">
            <w:pPr>
              <w:pStyle w:val="13"/>
            </w:pPr>
            <w:r>
              <w:t>16</w:t>
            </w:r>
          </w:p>
        </w:tc>
        <w:tc>
          <w:tcPr>
            <w:tcW w:w="4535" w:type="dxa"/>
            <w:vAlign w:val="center"/>
          </w:tcPr>
          <w:p w14:paraId="0C19DB42">
            <w:pPr>
              <w:pStyle w:val="12"/>
            </w:pPr>
          </w:p>
        </w:tc>
        <w:tc>
          <w:tcPr>
            <w:tcW w:w="2126" w:type="dxa"/>
            <w:vAlign w:val="center"/>
          </w:tcPr>
          <w:p w14:paraId="4F279C99">
            <w:pPr>
              <w:pStyle w:val="11"/>
            </w:pPr>
          </w:p>
        </w:tc>
        <w:tc>
          <w:tcPr>
            <w:tcW w:w="4535" w:type="dxa"/>
            <w:vAlign w:val="center"/>
          </w:tcPr>
          <w:p w14:paraId="3186FABB">
            <w:pPr>
              <w:pStyle w:val="12"/>
            </w:pPr>
            <w:r>
              <w:t>十六、商业服务业等支出</w:t>
            </w:r>
          </w:p>
        </w:tc>
        <w:tc>
          <w:tcPr>
            <w:tcW w:w="2126" w:type="dxa"/>
            <w:vAlign w:val="center"/>
          </w:tcPr>
          <w:p w14:paraId="7948E9D8">
            <w:pPr>
              <w:pStyle w:val="11"/>
            </w:pPr>
          </w:p>
        </w:tc>
      </w:tr>
      <w:tr w14:paraId="7736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FDDF">
            <w:pPr>
              <w:pStyle w:val="13"/>
            </w:pPr>
            <w:r>
              <w:t>17</w:t>
            </w:r>
          </w:p>
        </w:tc>
        <w:tc>
          <w:tcPr>
            <w:tcW w:w="4535" w:type="dxa"/>
            <w:vAlign w:val="center"/>
          </w:tcPr>
          <w:p w14:paraId="32971FAA">
            <w:pPr>
              <w:pStyle w:val="12"/>
            </w:pPr>
          </w:p>
        </w:tc>
        <w:tc>
          <w:tcPr>
            <w:tcW w:w="2126" w:type="dxa"/>
            <w:vAlign w:val="center"/>
          </w:tcPr>
          <w:p w14:paraId="7D15A348">
            <w:pPr>
              <w:pStyle w:val="11"/>
            </w:pPr>
          </w:p>
        </w:tc>
        <w:tc>
          <w:tcPr>
            <w:tcW w:w="4535" w:type="dxa"/>
            <w:vAlign w:val="center"/>
          </w:tcPr>
          <w:p w14:paraId="33BFFB2B">
            <w:pPr>
              <w:pStyle w:val="12"/>
            </w:pPr>
            <w:r>
              <w:t>十七、金融支出</w:t>
            </w:r>
          </w:p>
        </w:tc>
        <w:tc>
          <w:tcPr>
            <w:tcW w:w="2126" w:type="dxa"/>
            <w:vAlign w:val="center"/>
          </w:tcPr>
          <w:p w14:paraId="0A58C38D">
            <w:pPr>
              <w:pStyle w:val="11"/>
            </w:pPr>
          </w:p>
        </w:tc>
      </w:tr>
      <w:tr w14:paraId="2DDE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AA045">
            <w:pPr>
              <w:pStyle w:val="13"/>
            </w:pPr>
            <w:r>
              <w:t>18</w:t>
            </w:r>
          </w:p>
        </w:tc>
        <w:tc>
          <w:tcPr>
            <w:tcW w:w="4535" w:type="dxa"/>
            <w:vAlign w:val="center"/>
          </w:tcPr>
          <w:p w14:paraId="13B291C5">
            <w:pPr>
              <w:pStyle w:val="12"/>
            </w:pPr>
          </w:p>
        </w:tc>
        <w:tc>
          <w:tcPr>
            <w:tcW w:w="2126" w:type="dxa"/>
            <w:vAlign w:val="center"/>
          </w:tcPr>
          <w:p w14:paraId="7AAEF90A">
            <w:pPr>
              <w:pStyle w:val="11"/>
            </w:pPr>
          </w:p>
        </w:tc>
        <w:tc>
          <w:tcPr>
            <w:tcW w:w="4535" w:type="dxa"/>
            <w:vAlign w:val="center"/>
          </w:tcPr>
          <w:p w14:paraId="715566E6">
            <w:pPr>
              <w:pStyle w:val="12"/>
            </w:pPr>
            <w:r>
              <w:t>十八、援助其他地区支出</w:t>
            </w:r>
          </w:p>
        </w:tc>
        <w:tc>
          <w:tcPr>
            <w:tcW w:w="2126" w:type="dxa"/>
            <w:vAlign w:val="center"/>
          </w:tcPr>
          <w:p w14:paraId="5D496635">
            <w:pPr>
              <w:pStyle w:val="11"/>
            </w:pPr>
          </w:p>
        </w:tc>
      </w:tr>
      <w:tr w14:paraId="4E31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1F8A">
            <w:pPr>
              <w:pStyle w:val="13"/>
            </w:pPr>
            <w:r>
              <w:t>19</w:t>
            </w:r>
          </w:p>
        </w:tc>
        <w:tc>
          <w:tcPr>
            <w:tcW w:w="4535" w:type="dxa"/>
            <w:vAlign w:val="center"/>
          </w:tcPr>
          <w:p w14:paraId="4D95F207">
            <w:pPr>
              <w:pStyle w:val="12"/>
            </w:pPr>
          </w:p>
        </w:tc>
        <w:tc>
          <w:tcPr>
            <w:tcW w:w="2126" w:type="dxa"/>
            <w:vAlign w:val="center"/>
          </w:tcPr>
          <w:p w14:paraId="57AA12E5">
            <w:pPr>
              <w:pStyle w:val="11"/>
            </w:pPr>
          </w:p>
        </w:tc>
        <w:tc>
          <w:tcPr>
            <w:tcW w:w="4535" w:type="dxa"/>
            <w:vAlign w:val="center"/>
          </w:tcPr>
          <w:p w14:paraId="050C1F6A">
            <w:pPr>
              <w:pStyle w:val="12"/>
            </w:pPr>
            <w:r>
              <w:t>十九、自然资源海洋气象等支出</w:t>
            </w:r>
          </w:p>
        </w:tc>
        <w:tc>
          <w:tcPr>
            <w:tcW w:w="2126" w:type="dxa"/>
            <w:vAlign w:val="center"/>
          </w:tcPr>
          <w:p w14:paraId="66942F2D">
            <w:pPr>
              <w:pStyle w:val="11"/>
            </w:pPr>
          </w:p>
        </w:tc>
      </w:tr>
      <w:tr w14:paraId="3050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FB903">
            <w:pPr>
              <w:pStyle w:val="13"/>
            </w:pPr>
            <w:r>
              <w:t>20</w:t>
            </w:r>
          </w:p>
        </w:tc>
        <w:tc>
          <w:tcPr>
            <w:tcW w:w="4535" w:type="dxa"/>
            <w:vAlign w:val="center"/>
          </w:tcPr>
          <w:p w14:paraId="4D472C34">
            <w:pPr>
              <w:pStyle w:val="12"/>
            </w:pPr>
          </w:p>
        </w:tc>
        <w:tc>
          <w:tcPr>
            <w:tcW w:w="2126" w:type="dxa"/>
            <w:vAlign w:val="center"/>
          </w:tcPr>
          <w:p w14:paraId="4FADF9B0">
            <w:pPr>
              <w:pStyle w:val="11"/>
            </w:pPr>
          </w:p>
        </w:tc>
        <w:tc>
          <w:tcPr>
            <w:tcW w:w="4535" w:type="dxa"/>
            <w:vAlign w:val="center"/>
          </w:tcPr>
          <w:p w14:paraId="427E66BA">
            <w:pPr>
              <w:pStyle w:val="12"/>
            </w:pPr>
            <w:r>
              <w:t>二十、住房保障支出</w:t>
            </w:r>
          </w:p>
        </w:tc>
        <w:tc>
          <w:tcPr>
            <w:tcW w:w="2126" w:type="dxa"/>
            <w:vAlign w:val="center"/>
          </w:tcPr>
          <w:p w14:paraId="514ED6CE">
            <w:pPr>
              <w:pStyle w:val="11"/>
            </w:pPr>
          </w:p>
        </w:tc>
      </w:tr>
      <w:tr w14:paraId="2C54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B0D2">
            <w:pPr>
              <w:pStyle w:val="13"/>
            </w:pPr>
            <w:r>
              <w:t>21</w:t>
            </w:r>
          </w:p>
        </w:tc>
        <w:tc>
          <w:tcPr>
            <w:tcW w:w="4535" w:type="dxa"/>
            <w:vAlign w:val="center"/>
          </w:tcPr>
          <w:p w14:paraId="6A76675E">
            <w:pPr>
              <w:pStyle w:val="12"/>
            </w:pPr>
          </w:p>
        </w:tc>
        <w:tc>
          <w:tcPr>
            <w:tcW w:w="2126" w:type="dxa"/>
            <w:vAlign w:val="center"/>
          </w:tcPr>
          <w:p w14:paraId="553E00FC">
            <w:pPr>
              <w:pStyle w:val="11"/>
            </w:pPr>
          </w:p>
        </w:tc>
        <w:tc>
          <w:tcPr>
            <w:tcW w:w="4535" w:type="dxa"/>
            <w:vAlign w:val="center"/>
          </w:tcPr>
          <w:p w14:paraId="5FFE8CE5">
            <w:pPr>
              <w:pStyle w:val="12"/>
            </w:pPr>
            <w:r>
              <w:t>二十一、粮油物资储备支出</w:t>
            </w:r>
          </w:p>
        </w:tc>
        <w:tc>
          <w:tcPr>
            <w:tcW w:w="2126" w:type="dxa"/>
            <w:vAlign w:val="center"/>
          </w:tcPr>
          <w:p w14:paraId="30E79077">
            <w:pPr>
              <w:pStyle w:val="11"/>
            </w:pPr>
          </w:p>
        </w:tc>
      </w:tr>
      <w:tr w14:paraId="2F23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C0147">
            <w:pPr>
              <w:pStyle w:val="13"/>
            </w:pPr>
            <w:r>
              <w:t>22</w:t>
            </w:r>
          </w:p>
        </w:tc>
        <w:tc>
          <w:tcPr>
            <w:tcW w:w="4535" w:type="dxa"/>
            <w:vAlign w:val="center"/>
          </w:tcPr>
          <w:p w14:paraId="60FEB899">
            <w:pPr>
              <w:pStyle w:val="12"/>
            </w:pPr>
          </w:p>
        </w:tc>
        <w:tc>
          <w:tcPr>
            <w:tcW w:w="2126" w:type="dxa"/>
            <w:vAlign w:val="center"/>
          </w:tcPr>
          <w:p w14:paraId="5CAFD79B">
            <w:pPr>
              <w:pStyle w:val="11"/>
            </w:pPr>
          </w:p>
        </w:tc>
        <w:tc>
          <w:tcPr>
            <w:tcW w:w="4535" w:type="dxa"/>
            <w:vAlign w:val="center"/>
          </w:tcPr>
          <w:p w14:paraId="066270DD">
            <w:pPr>
              <w:pStyle w:val="12"/>
            </w:pPr>
            <w:r>
              <w:t>二十二、国有资本经营预算支出</w:t>
            </w:r>
          </w:p>
        </w:tc>
        <w:tc>
          <w:tcPr>
            <w:tcW w:w="2126" w:type="dxa"/>
            <w:vAlign w:val="center"/>
          </w:tcPr>
          <w:p w14:paraId="00D84383">
            <w:pPr>
              <w:pStyle w:val="11"/>
            </w:pPr>
          </w:p>
        </w:tc>
      </w:tr>
      <w:tr w14:paraId="4234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98BD2">
            <w:pPr>
              <w:pStyle w:val="13"/>
            </w:pPr>
            <w:r>
              <w:t>23</w:t>
            </w:r>
          </w:p>
        </w:tc>
        <w:tc>
          <w:tcPr>
            <w:tcW w:w="4535" w:type="dxa"/>
            <w:vAlign w:val="center"/>
          </w:tcPr>
          <w:p w14:paraId="09E9CAAA">
            <w:pPr>
              <w:pStyle w:val="12"/>
            </w:pPr>
          </w:p>
        </w:tc>
        <w:tc>
          <w:tcPr>
            <w:tcW w:w="2126" w:type="dxa"/>
            <w:vAlign w:val="center"/>
          </w:tcPr>
          <w:p w14:paraId="37D074D9">
            <w:pPr>
              <w:pStyle w:val="11"/>
            </w:pPr>
          </w:p>
        </w:tc>
        <w:tc>
          <w:tcPr>
            <w:tcW w:w="4535" w:type="dxa"/>
            <w:vAlign w:val="center"/>
          </w:tcPr>
          <w:p w14:paraId="61F2D854">
            <w:pPr>
              <w:pStyle w:val="12"/>
            </w:pPr>
            <w:r>
              <w:t>二十三、灾害防治及应急管理支出</w:t>
            </w:r>
          </w:p>
        </w:tc>
        <w:tc>
          <w:tcPr>
            <w:tcW w:w="2126" w:type="dxa"/>
            <w:vAlign w:val="center"/>
          </w:tcPr>
          <w:p w14:paraId="46BFB6D7">
            <w:pPr>
              <w:pStyle w:val="11"/>
            </w:pPr>
          </w:p>
        </w:tc>
      </w:tr>
      <w:tr w14:paraId="1CF1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C785">
            <w:pPr>
              <w:pStyle w:val="13"/>
            </w:pPr>
            <w:r>
              <w:t>24</w:t>
            </w:r>
          </w:p>
        </w:tc>
        <w:tc>
          <w:tcPr>
            <w:tcW w:w="4535" w:type="dxa"/>
            <w:vAlign w:val="center"/>
          </w:tcPr>
          <w:p w14:paraId="4CEF938D">
            <w:pPr>
              <w:pStyle w:val="12"/>
            </w:pPr>
          </w:p>
        </w:tc>
        <w:tc>
          <w:tcPr>
            <w:tcW w:w="2126" w:type="dxa"/>
            <w:vAlign w:val="center"/>
          </w:tcPr>
          <w:p w14:paraId="098DA55A">
            <w:pPr>
              <w:pStyle w:val="11"/>
            </w:pPr>
          </w:p>
        </w:tc>
        <w:tc>
          <w:tcPr>
            <w:tcW w:w="4535" w:type="dxa"/>
            <w:vAlign w:val="center"/>
          </w:tcPr>
          <w:p w14:paraId="46D3EF10">
            <w:pPr>
              <w:pStyle w:val="12"/>
            </w:pPr>
            <w:r>
              <w:t>二十四、预备费</w:t>
            </w:r>
          </w:p>
        </w:tc>
        <w:tc>
          <w:tcPr>
            <w:tcW w:w="2126" w:type="dxa"/>
            <w:vAlign w:val="center"/>
          </w:tcPr>
          <w:p w14:paraId="389A3B54">
            <w:pPr>
              <w:pStyle w:val="11"/>
            </w:pPr>
          </w:p>
        </w:tc>
      </w:tr>
      <w:tr w14:paraId="7CF7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78E21">
            <w:pPr>
              <w:pStyle w:val="13"/>
            </w:pPr>
            <w:r>
              <w:t>25</w:t>
            </w:r>
          </w:p>
        </w:tc>
        <w:tc>
          <w:tcPr>
            <w:tcW w:w="4535" w:type="dxa"/>
            <w:vAlign w:val="center"/>
          </w:tcPr>
          <w:p w14:paraId="71458ACE">
            <w:pPr>
              <w:pStyle w:val="12"/>
            </w:pPr>
          </w:p>
        </w:tc>
        <w:tc>
          <w:tcPr>
            <w:tcW w:w="2126" w:type="dxa"/>
            <w:vAlign w:val="center"/>
          </w:tcPr>
          <w:p w14:paraId="54E6958F">
            <w:pPr>
              <w:pStyle w:val="11"/>
            </w:pPr>
          </w:p>
        </w:tc>
        <w:tc>
          <w:tcPr>
            <w:tcW w:w="4535" w:type="dxa"/>
            <w:vAlign w:val="center"/>
          </w:tcPr>
          <w:p w14:paraId="409F73E5">
            <w:pPr>
              <w:pStyle w:val="12"/>
            </w:pPr>
            <w:r>
              <w:t>二十五、其他支出</w:t>
            </w:r>
          </w:p>
        </w:tc>
        <w:tc>
          <w:tcPr>
            <w:tcW w:w="2126" w:type="dxa"/>
            <w:vAlign w:val="center"/>
          </w:tcPr>
          <w:p w14:paraId="08EA7147">
            <w:pPr>
              <w:pStyle w:val="11"/>
            </w:pPr>
          </w:p>
        </w:tc>
      </w:tr>
      <w:tr w14:paraId="7CBD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C6CD3">
            <w:pPr>
              <w:pStyle w:val="13"/>
            </w:pPr>
            <w:r>
              <w:t>26</w:t>
            </w:r>
          </w:p>
        </w:tc>
        <w:tc>
          <w:tcPr>
            <w:tcW w:w="4535" w:type="dxa"/>
            <w:vAlign w:val="center"/>
          </w:tcPr>
          <w:p w14:paraId="4CDA2A48">
            <w:pPr>
              <w:pStyle w:val="12"/>
            </w:pPr>
          </w:p>
        </w:tc>
        <w:tc>
          <w:tcPr>
            <w:tcW w:w="2126" w:type="dxa"/>
            <w:vAlign w:val="center"/>
          </w:tcPr>
          <w:p w14:paraId="6F6FC618">
            <w:pPr>
              <w:pStyle w:val="11"/>
            </w:pPr>
          </w:p>
        </w:tc>
        <w:tc>
          <w:tcPr>
            <w:tcW w:w="4535" w:type="dxa"/>
            <w:vAlign w:val="center"/>
          </w:tcPr>
          <w:p w14:paraId="470BB13F">
            <w:pPr>
              <w:pStyle w:val="12"/>
            </w:pPr>
            <w:r>
              <w:t>二十六、转移性支出</w:t>
            </w:r>
          </w:p>
        </w:tc>
        <w:tc>
          <w:tcPr>
            <w:tcW w:w="2126" w:type="dxa"/>
            <w:vAlign w:val="center"/>
          </w:tcPr>
          <w:p w14:paraId="56589162">
            <w:pPr>
              <w:pStyle w:val="11"/>
            </w:pPr>
          </w:p>
        </w:tc>
      </w:tr>
      <w:tr w14:paraId="2C9C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75244">
            <w:pPr>
              <w:pStyle w:val="13"/>
            </w:pPr>
            <w:r>
              <w:t>27</w:t>
            </w:r>
          </w:p>
        </w:tc>
        <w:tc>
          <w:tcPr>
            <w:tcW w:w="4535" w:type="dxa"/>
            <w:vAlign w:val="center"/>
          </w:tcPr>
          <w:p w14:paraId="293F3BC0">
            <w:pPr>
              <w:pStyle w:val="12"/>
            </w:pPr>
          </w:p>
        </w:tc>
        <w:tc>
          <w:tcPr>
            <w:tcW w:w="2126" w:type="dxa"/>
            <w:vAlign w:val="center"/>
          </w:tcPr>
          <w:p w14:paraId="2101B0E8">
            <w:pPr>
              <w:pStyle w:val="11"/>
            </w:pPr>
          </w:p>
        </w:tc>
        <w:tc>
          <w:tcPr>
            <w:tcW w:w="4535" w:type="dxa"/>
            <w:vAlign w:val="center"/>
          </w:tcPr>
          <w:p w14:paraId="07ED287E">
            <w:pPr>
              <w:pStyle w:val="12"/>
            </w:pPr>
            <w:r>
              <w:t>二十七、债务还本支出</w:t>
            </w:r>
          </w:p>
        </w:tc>
        <w:tc>
          <w:tcPr>
            <w:tcW w:w="2126" w:type="dxa"/>
            <w:vAlign w:val="center"/>
          </w:tcPr>
          <w:p w14:paraId="7679F6D4">
            <w:pPr>
              <w:pStyle w:val="11"/>
            </w:pPr>
          </w:p>
        </w:tc>
      </w:tr>
      <w:tr w14:paraId="0BA7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9C90D">
            <w:pPr>
              <w:pStyle w:val="13"/>
            </w:pPr>
            <w:r>
              <w:t>28</w:t>
            </w:r>
          </w:p>
        </w:tc>
        <w:tc>
          <w:tcPr>
            <w:tcW w:w="4535" w:type="dxa"/>
            <w:vAlign w:val="center"/>
          </w:tcPr>
          <w:p w14:paraId="40AFEE8C">
            <w:pPr>
              <w:pStyle w:val="12"/>
            </w:pPr>
          </w:p>
        </w:tc>
        <w:tc>
          <w:tcPr>
            <w:tcW w:w="2126" w:type="dxa"/>
            <w:vAlign w:val="center"/>
          </w:tcPr>
          <w:p w14:paraId="6BB9EE6A">
            <w:pPr>
              <w:pStyle w:val="11"/>
            </w:pPr>
          </w:p>
        </w:tc>
        <w:tc>
          <w:tcPr>
            <w:tcW w:w="4535" w:type="dxa"/>
            <w:vAlign w:val="center"/>
          </w:tcPr>
          <w:p w14:paraId="1CEB9EDA">
            <w:pPr>
              <w:pStyle w:val="12"/>
            </w:pPr>
            <w:r>
              <w:t>二十八、债务付息支出</w:t>
            </w:r>
          </w:p>
        </w:tc>
        <w:tc>
          <w:tcPr>
            <w:tcW w:w="2126" w:type="dxa"/>
            <w:vAlign w:val="center"/>
          </w:tcPr>
          <w:p w14:paraId="1AEB75EC">
            <w:pPr>
              <w:pStyle w:val="11"/>
            </w:pPr>
          </w:p>
        </w:tc>
      </w:tr>
      <w:tr w14:paraId="0CCF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5B0E">
            <w:pPr>
              <w:pStyle w:val="13"/>
            </w:pPr>
            <w:r>
              <w:t>29</w:t>
            </w:r>
          </w:p>
        </w:tc>
        <w:tc>
          <w:tcPr>
            <w:tcW w:w="4535" w:type="dxa"/>
            <w:vAlign w:val="center"/>
          </w:tcPr>
          <w:p w14:paraId="2C91AC25">
            <w:pPr>
              <w:pStyle w:val="12"/>
            </w:pPr>
          </w:p>
        </w:tc>
        <w:tc>
          <w:tcPr>
            <w:tcW w:w="2126" w:type="dxa"/>
            <w:vAlign w:val="center"/>
          </w:tcPr>
          <w:p w14:paraId="33E5F424">
            <w:pPr>
              <w:pStyle w:val="11"/>
            </w:pPr>
          </w:p>
        </w:tc>
        <w:tc>
          <w:tcPr>
            <w:tcW w:w="4535" w:type="dxa"/>
            <w:vAlign w:val="center"/>
          </w:tcPr>
          <w:p w14:paraId="5BA1E0FD">
            <w:pPr>
              <w:pStyle w:val="12"/>
            </w:pPr>
            <w:r>
              <w:t>二十九、债务发行费用支出</w:t>
            </w:r>
          </w:p>
        </w:tc>
        <w:tc>
          <w:tcPr>
            <w:tcW w:w="2126" w:type="dxa"/>
            <w:vAlign w:val="center"/>
          </w:tcPr>
          <w:p w14:paraId="4DE54ED0">
            <w:pPr>
              <w:pStyle w:val="11"/>
            </w:pPr>
          </w:p>
        </w:tc>
      </w:tr>
      <w:tr w14:paraId="44A8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4FDC">
            <w:pPr>
              <w:pStyle w:val="13"/>
            </w:pPr>
            <w:r>
              <w:t>30</w:t>
            </w:r>
          </w:p>
        </w:tc>
        <w:tc>
          <w:tcPr>
            <w:tcW w:w="4535" w:type="dxa"/>
            <w:vAlign w:val="center"/>
          </w:tcPr>
          <w:p w14:paraId="1C58AF7C">
            <w:pPr>
              <w:pStyle w:val="12"/>
            </w:pPr>
          </w:p>
        </w:tc>
        <w:tc>
          <w:tcPr>
            <w:tcW w:w="2126" w:type="dxa"/>
            <w:vAlign w:val="center"/>
          </w:tcPr>
          <w:p w14:paraId="5C8DBD92">
            <w:pPr>
              <w:pStyle w:val="11"/>
            </w:pPr>
          </w:p>
        </w:tc>
        <w:tc>
          <w:tcPr>
            <w:tcW w:w="4535" w:type="dxa"/>
            <w:vAlign w:val="center"/>
          </w:tcPr>
          <w:p w14:paraId="4C349236">
            <w:pPr>
              <w:pStyle w:val="12"/>
            </w:pPr>
            <w:r>
              <w:t>三十、抗疫特别国债安排的支出</w:t>
            </w:r>
          </w:p>
        </w:tc>
        <w:tc>
          <w:tcPr>
            <w:tcW w:w="2126" w:type="dxa"/>
            <w:vAlign w:val="center"/>
          </w:tcPr>
          <w:p w14:paraId="332607C5">
            <w:pPr>
              <w:pStyle w:val="11"/>
            </w:pPr>
          </w:p>
        </w:tc>
      </w:tr>
      <w:tr w14:paraId="1BBA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3671A">
            <w:pPr>
              <w:pStyle w:val="13"/>
            </w:pPr>
            <w:r>
              <w:t>31</w:t>
            </w:r>
          </w:p>
        </w:tc>
        <w:tc>
          <w:tcPr>
            <w:tcW w:w="4535" w:type="dxa"/>
            <w:vAlign w:val="center"/>
          </w:tcPr>
          <w:p w14:paraId="3561C1E0">
            <w:pPr>
              <w:pStyle w:val="14"/>
            </w:pPr>
            <w:r>
              <w:t>本年收入合计</w:t>
            </w:r>
          </w:p>
        </w:tc>
        <w:tc>
          <w:tcPr>
            <w:tcW w:w="2126" w:type="dxa"/>
            <w:vAlign w:val="center"/>
          </w:tcPr>
          <w:p w14:paraId="79FE63F2">
            <w:pPr>
              <w:pStyle w:val="15"/>
            </w:pPr>
            <w:r>
              <w:t>1075.32</w:t>
            </w:r>
          </w:p>
        </w:tc>
        <w:tc>
          <w:tcPr>
            <w:tcW w:w="4535" w:type="dxa"/>
            <w:vAlign w:val="center"/>
          </w:tcPr>
          <w:p w14:paraId="590A9C0B">
            <w:pPr>
              <w:pStyle w:val="14"/>
            </w:pPr>
            <w:r>
              <w:t>本年支出合计</w:t>
            </w:r>
          </w:p>
        </w:tc>
        <w:tc>
          <w:tcPr>
            <w:tcW w:w="2126" w:type="dxa"/>
            <w:vAlign w:val="center"/>
          </w:tcPr>
          <w:p w14:paraId="2F8F4F24">
            <w:pPr>
              <w:pStyle w:val="15"/>
            </w:pPr>
            <w:r>
              <w:t>1075.32</w:t>
            </w:r>
          </w:p>
        </w:tc>
      </w:tr>
      <w:tr w14:paraId="09DC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3C215">
            <w:pPr>
              <w:pStyle w:val="13"/>
            </w:pPr>
            <w:r>
              <w:t>32</w:t>
            </w:r>
          </w:p>
        </w:tc>
        <w:tc>
          <w:tcPr>
            <w:tcW w:w="4535" w:type="dxa"/>
            <w:vAlign w:val="center"/>
          </w:tcPr>
          <w:p w14:paraId="3CFDD416">
            <w:pPr>
              <w:pStyle w:val="12"/>
            </w:pPr>
            <w:r>
              <w:t>上年结转结余</w:t>
            </w:r>
          </w:p>
        </w:tc>
        <w:tc>
          <w:tcPr>
            <w:tcW w:w="2126" w:type="dxa"/>
            <w:vAlign w:val="center"/>
          </w:tcPr>
          <w:p w14:paraId="08FC9C76">
            <w:pPr>
              <w:pStyle w:val="11"/>
            </w:pPr>
          </w:p>
        </w:tc>
        <w:tc>
          <w:tcPr>
            <w:tcW w:w="4535" w:type="dxa"/>
            <w:vAlign w:val="center"/>
          </w:tcPr>
          <w:p w14:paraId="669B0300">
            <w:pPr>
              <w:pStyle w:val="12"/>
            </w:pPr>
            <w:r>
              <w:t>年终结转结余</w:t>
            </w:r>
          </w:p>
        </w:tc>
        <w:tc>
          <w:tcPr>
            <w:tcW w:w="2126" w:type="dxa"/>
            <w:vAlign w:val="center"/>
          </w:tcPr>
          <w:p w14:paraId="1C69A419">
            <w:pPr>
              <w:pStyle w:val="11"/>
            </w:pPr>
          </w:p>
        </w:tc>
      </w:tr>
      <w:tr w14:paraId="7C95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6BEF">
            <w:pPr>
              <w:pStyle w:val="13"/>
            </w:pPr>
            <w:r>
              <w:t>33</w:t>
            </w:r>
          </w:p>
        </w:tc>
        <w:tc>
          <w:tcPr>
            <w:tcW w:w="4535" w:type="dxa"/>
            <w:vAlign w:val="center"/>
          </w:tcPr>
          <w:p w14:paraId="0961D6E0">
            <w:pPr>
              <w:pStyle w:val="14"/>
            </w:pPr>
            <w:r>
              <w:t>收入总计</w:t>
            </w:r>
          </w:p>
        </w:tc>
        <w:tc>
          <w:tcPr>
            <w:tcW w:w="2126" w:type="dxa"/>
            <w:vAlign w:val="center"/>
          </w:tcPr>
          <w:p w14:paraId="0911A7A5">
            <w:pPr>
              <w:pStyle w:val="15"/>
            </w:pPr>
            <w:r>
              <w:t>1075.32</w:t>
            </w:r>
          </w:p>
        </w:tc>
        <w:tc>
          <w:tcPr>
            <w:tcW w:w="4535" w:type="dxa"/>
            <w:vAlign w:val="center"/>
          </w:tcPr>
          <w:p w14:paraId="114D11C6">
            <w:pPr>
              <w:pStyle w:val="14"/>
            </w:pPr>
            <w:r>
              <w:t>支出总计</w:t>
            </w:r>
          </w:p>
        </w:tc>
        <w:tc>
          <w:tcPr>
            <w:tcW w:w="2126" w:type="dxa"/>
            <w:vAlign w:val="center"/>
          </w:tcPr>
          <w:p w14:paraId="04723CEE">
            <w:pPr>
              <w:pStyle w:val="15"/>
            </w:pPr>
            <w:r>
              <w:t>1075.32</w:t>
            </w:r>
          </w:p>
        </w:tc>
      </w:tr>
    </w:tbl>
    <w:p w14:paraId="4966E0E8">
      <w:pPr>
        <w:sectPr>
          <w:pgSz w:w="16840" w:h="11900" w:orient="landscape"/>
          <w:pgMar w:top="1361" w:right="1020" w:bottom="1134" w:left="1020" w:header="720" w:footer="720" w:gutter="0"/>
          <w:cols w:space="720" w:num="1"/>
        </w:sectPr>
      </w:pPr>
    </w:p>
    <w:p w14:paraId="79DD35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03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59565F">
            <w:pPr>
              <w:pStyle w:val="9"/>
            </w:pPr>
            <w:r>
              <w:t>360031隆尧县北楼中学</w:t>
            </w:r>
          </w:p>
        </w:tc>
        <w:tc>
          <w:tcPr>
            <w:tcW w:w="3402" w:type="dxa"/>
            <w:gridSpan w:val="3"/>
            <w:tcBorders>
              <w:top w:val="single" w:color="FFFFFF" w:sz="6" w:space="0"/>
              <w:left w:val="single" w:color="FFFFFF" w:sz="6" w:space="0"/>
              <w:right w:val="single" w:color="FFFFFF" w:sz="6" w:space="0"/>
            </w:tcBorders>
            <w:vAlign w:val="center"/>
          </w:tcPr>
          <w:p w14:paraId="536357B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7340512">
            <w:pPr>
              <w:pStyle w:val="7"/>
            </w:pPr>
            <w:r>
              <w:t>单位：万元</w:t>
            </w:r>
          </w:p>
        </w:tc>
      </w:tr>
      <w:tr w14:paraId="6D45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471C1F">
            <w:pPr>
              <w:pStyle w:val="10"/>
            </w:pPr>
            <w:r>
              <w:t>序号</w:t>
            </w:r>
          </w:p>
        </w:tc>
        <w:tc>
          <w:tcPr>
            <w:tcW w:w="2551" w:type="dxa"/>
            <w:gridSpan w:val="2"/>
            <w:vAlign w:val="center"/>
          </w:tcPr>
          <w:p w14:paraId="720B8B98">
            <w:pPr>
              <w:pStyle w:val="10"/>
            </w:pPr>
            <w:r>
              <w:t>功能分类科目</w:t>
            </w:r>
          </w:p>
        </w:tc>
        <w:tc>
          <w:tcPr>
            <w:tcW w:w="1134" w:type="dxa"/>
            <w:vMerge w:val="restart"/>
            <w:vAlign w:val="center"/>
          </w:tcPr>
          <w:p w14:paraId="29A5BF72">
            <w:pPr>
              <w:pStyle w:val="10"/>
            </w:pPr>
            <w:r>
              <w:t>合计</w:t>
            </w:r>
          </w:p>
        </w:tc>
        <w:tc>
          <w:tcPr>
            <w:tcW w:w="9072" w:type="dxa"/>
            <w:gridSpan w:val="8"/>
            <w:vAlign w:val="center"/>
          </w:tcPr>
          <w:p w14:paraId="2DF8451F">
            <w:pPr>
              <w:pStyle w:val="10"/>
            </w:pPr>
            <w:r>
              <w:t>本年收入</w:t>
            </w:r>
          </w:p>
        </w:tc>
        <w:tc>
          <w:tcPr>
            <w:tcW w:w="1134" w:type="dxa"/>
            <w:vMerge w:val="restart"/>
            <w:vAlign w:val="center"/>
          </w:tcPr>
          <w:p w14:paraId="74034B3C">
            <w:pPr>
              <w:pStyle w:val="10"/>
            </w:pPr>
            <w:r>
              <w:t>上年结转</w:t>
            </w:r>
          </w:p>
        </w:tc>
      </w:tr>
      <w:tr w14:paraId="1F6F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4FC532"/>
        </w:tc>
        <w:tc>
          <w:tcPr>
            <w:tcW w:w="992" w:type="dxa"/>
            <w:vAlign w:val="center"/>
          </w:tcPr>
          <w:p w14:paraId="51AF1819">
            <w:pPr>
              <w:pStyle w:val="10"/>
            </w:pPr>
            <w:r>
              <w:t>科目    编码</w:t>
            </w:r>
          </w:p>
        </w:tc>
        <w:tc>
          <w:tcPr>
            <w:tcW w:w="1559" w:type="dxa"/>
            <w:vAlign w:val="center"/>
          </w:tcPr>
          <w:p w14:paraId="263041D2">
            <w:pPr>
              <w:pStyle w:val="10"/>
            </w:pPr>
            <w:r>
              <w:t>科目名称</w:t>
            </w:r>
          </w:p>
        </w:tc>
        <w:tc>
          <w:tcPr>
            <w:tcW w:w="1134" w:type="dxa"/>
            <w:vMerge w:val="continue"/>
          </w:tcPr>
          <w:p w14:paraId="34B5F0AD"/>
        </w:tc>
        <w:tc>
          <w:tcPr>
            <w:tcW w:w="1134" w:type="dxa"/>
            <w:vAlign w:val="center"/>
          </w:tcPr>
          <w:p w14:paraId="5C9C9ADF">
            <w:pPr>
              <w:pStyle w:val="10"/>
            </w:pPr>
            <w:r>
              <w:t>小计</w:t>
            </w:r>
          </w:p>
        </w:tc>
        <w:tc>
          <w:tcPr>
            <w:tcW w:w="1134" w:type="dxa"/>
            <w:vAlign w:val="center"/>
          </w:tcPr>
          <w:p w14:paraId="14E10F62">
            <w:pPr>
              <w:pStyle w:val="10"/>
            </w:pPr>
            <w:r>
              <w:t>财政拨款 收入</w:t>
            </w:r>
          </w:p>
        </w:tc>
        <w:tc>
          <w:tcPr>
            <w:tcW w:w="1134" w:type="dxa"/>
            <w:vAlign w:val="center"/>
          </w:tcPr>
          <w:p w14:paraId="6FD5E983">
            <w:pPr>
              <w:pStyle w:val="10"/>
            </w:pPr>
            <w:r>
              <w:t>财政专户 收入</w:t>
            </w:r>
          </w:p>
        </w:tc>
        <w:tc>
          <w:tcPr>
            <w:tcW w:w="1134" w:type="dxa"/>
            <w:vAlign w:val="center"/>
          </w:tcPr>
          <w:p w14:paraId="69A5F856">
            <w:pPr>
              <w:pStyle w:val="10"/>
            </w:pPr>
            <w:r>
              <w:t>事业收入</w:t>
            </w:r>
          </w:p>
        </w:tc>
        <w:tc>
          <w:tcPr>
            <w:tcW w:w="1134" w:type="dxa"/>
            <w:vAlign w:val="center"/>
          </w:tcPr>
          <w:p w14:paraId="2E00B75C">
            <w:pPr>
              <w:pStyle w:val="10"/>
            </w:pPr>
            <w:r>
              <w:t>经营收入</w:t>
            </w:r>
          </w:p>
        </w:tc>
        <w:tc>
          <w:tcPr>
            <w:tcW w:w="1134" w:type="dxa"/>
            <w:vAlign w:val="center"/>
          </w:tcPr>
          <w:p w14:paraId="1F1F49FD">
            <w:pPr>
              <w:pStyle w:val="10"/>
            </w:pPr>
            <w:r>
              <w:t>上级补助收入</w:t>
            </w:r>
          </w:p>
        </w:tc>
        <w:tc>
          <w:tcPr>
            <w:tcW w:w="1134" w:type="dxa"/>
            <w:vAlign w:val="center"/>
          </w:tcPr>
          <w:p w14:paraId="6F1F49F7">
            <w:pPr>
              <w:pStyle w:val="10"/>
            </w:pPr>
            <w:r>
              <w:t>附属单位上缴收入</w:t>
            </w:r>
          </w:p>
        </w:tc>
        <w:tc>
          <w:tcPr>
            <w:tcW w:w="1134" w:type="dxa"/>
            <w:vAlign w:val="center"/>
          </w:tcPr>
          <w:p w14:paraId="2E80C1A6">
            <w:pPr>
              <w:pStyle w:val="10"/>
            </w:pPr>
            <w:r>
              <w:t>其他收入</w:t>
            </w:r>
          </w:p>
        </w:tc>
        <w:tc>
          <w:tcPr>
            <w:tcW w:w="1134" w:type="dxa"/>
            <w:vMerge w:val="continue"/>
          </w:tcPr>
          <w:p w14:paraId="2B506427"/>
        </w:tc>
      </w:tr>
      <w:tr w14:paraId="604E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249C89">
            <w:pPr>
              <w:pStyle w:val="10"/>
            </w:pPr>
            <w:r>
              <w:t>栏次</w:t>
            </w:r>
          </w:p>
        </w:tc>
        <w:tc>
          <w:tcPr>
            <w:tcW w:w="992" w:type="dxa"/>
            <w:vAlign w:val="center"/>
          </w:tcPr>
          <w:p w14:paraId="37E885EB">
            <w:pPr>
              <w:pStyle w:val="10"/>
            </w:pPr>
            <w:r>
              <w:t>1</w:t>
            </w:r>
          </w:p>
        </w:tc>
        <w:tc>
          <w:tcPr>
            <w:tcW w:w="1559" w:type="dxa"/>
            <w:vAlign w:val="center"/>
          </w:tcPr>
          <w:p w14:paraId="19786C12">
            <w:pPr>
              <w:pStyle w:val="10"/>
            </w:pPr>
            <w:r>
              <w:t>2</w:t>
            </w:r>
          </w:p>
        </w:tc>
        <w:tc>
          <w:tcPr>
            <w:tcW w:w="1134" w:type="dxa"/>
            <w:vAlign w:val="center"/>
          </w:tcPr>
          <w:p w14:paraId="66F4255C">
            <w:pPr>
              <w:pStyle w:val="10"/>
            </w:pPr>
            <w:r>
              <w:t>3</w:t>
            </w:r>
          </w:p>
        </w:tc>
        <w:tc>
          <w:tcPr>
            <w:tcW w:w="1134" w:type="dxa"/>
            <w:vAlign w:val="center"/>
          </w:tcPr>
          <w:p w14:paraId="0DB9922D">
            <w:pPr>
              <w:pStyle w:val="10"/>
            </w:pPr>
            <w:r>
              <w:t>4</w:t>
            </w:r>
          </w:p>
        </w:tc>
        <w:tc>
          <w:tcPr>
            <w:tcW w:w="1134" w:type="dxa"/>
            <w:vAlign w:val="center"/>
          </w:tcPr>
          <w:p w14:paraId="232AFD59">
            <w:pPr>
              <w:pStyle w:val="10"/>
            </w:pPr>
            <w:r>
              <w:t>5</w:t>
            </w:r>
          </w:p>
        </w:tc>
        <w:tc>
          <w:tcPr>
            <w:tcW w:w="1134" w:type="dxa"/>
            <w:vAlign w:val="center"/>
          </w:tcPr>
          <w:p w14:paraId="1CED089A">
            <w:pPr>
              <w:pStyle w:val="10"/>
            </w:pPr>
            <w:r>
              <w:t>6</w:t>
            </w:r>
          </w:p>
        </w:tc>
        <w:tc>
          <w:tcPr>
            <w:tcW w:w="1134" w:type="dxa"/>
            <w:vAlign w:val="center"/>
          </w:tcPr>
          <w:p w14:paraId="0016EFCB">
            <w:pPr>
              <w:pStyle w:val="10"/>
            </w:pPr>
            <w:r>
              <w:t>7</w:t>
            </w:r>
          </w:p>
        </w:tc>
        <w:tc>
          <w:tcPr>
            <w:tcW w:w="1134" w:type="dxa"/>
            <w:vAlign w:val="center"/>
          </w:tcPr>
          <w:p w14:paraId="29D6E58F">
            <w:pPr>
              <w:pStyle w:val="10"/>
            </w:pPr>
            <w:r>
              <w:t>8</w:t>
            </w:r>
          </w:p>
        </w:tc>
        <w:tc>
          <w:tcPr>
            <w:tcW w:w="1134" w:type="dxa"/>
            <w:vAlign w:val="center"/>
          </w:tcPr>
          <w:p w14:paraId="5D31E590">
            <w:pPr>
              <w:pStyle w:val="10"/>
            </w:pPr>
            <w:r>
              <w:t>9</w:t>
            </w:r>
          </w:p>
        </w:tc>
        <w:tc>
          <w:tcPr>
            <w:tcW w:w="1134" w:type="dxa"/>
            <w:vAlign w:val="center"/>
          </w:tcPr>
          <w:p w14:paraId="42CC8B28">
            <w:pPr>
              <w:pStyle w:val="10"/>
            </w:pPr>
            <w:r>
              <w:t>10</w:t>
            </w:r>
          </w:p>
        </w:tc>
        <w:tc>
          <w:tcPr>
            <w:tcW w:w="1134" w:type="dxa"/>
            <w:vAlign w:val="center"/>
          </w:tcPr>
          <w:p w14:paraId="5EA23E1F">
            <w:pPr>
              <w:pStyle w:val="10"/>
            </w:pPr>
            <w:r>
              <w:t>11</w:t>
            </w:r>
          </w:p>
        </w:tc>
        <w:tc>
          <w:tcPr>
            <w:tcW w:w="1134" w:type="dxa"/>
            <w:vAlign w:val="center"/>
          </w:tcPr>
          <w:p w14:paraId="696C751B">
            <w:pPr>
              <w:pStyle w:val="10"/>
            </w:pPr>
            <w:r>
              <w:t>12</w:t>
            </w:r>
          </w:p>
        </w:tc>
      </w:tr>
      <w:tr w14:paraId="328F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431F9">
            <w:pPr>
              <w:pStyle w:val="13"/>
            </w:pPr>
            <w:r>
              <w:t>1</w:t>
            </w:r>
          </w:p>
        </w:tc>
        <w:tc>
          <w:tcPr>
            <w:tcW w:w="992" w:type="dxa"/>
            <w:vAlign w:val="center"/>
          </w:tcPr>
          <w:p w14:paraId="1B01329D">
            <w:pPr>
              <w:pStyle w:val="16"/>
            </w:pPr>
          </w:p>
        </w:tc>
        <w:tc>
          <w:tcPr>
            <w:tcW w:w="1559" w:type="dxa"/>
            <w:vAlign w:val="center"/>
          </w:tcPr>
          <w:p w14:paraId="7C002A53">
            <w:pPr>
              <w:pStyle w:val="14"/>
            </w:pPr>
            <w:r>
              <w:t>合计</w:t>
            </w:r>
          </w:p>
        </w:tc>
        <w:tc>
          <w:tcPr>
            <w:tcW w:w="1134" w:type="dxa"/>
            <w:vAlign w:val="center"/>
          </w:tcPr>
          <w:p w14:paraId="60953CDB">
            <w:pPr>
              <w:pStyle w:val="15"/>
            </w:pPr>
            <w:r>
              <w:t>1075.32</w:t>
            </w:r>
          </w:p>
        </w:tc>
        <w:tc>
          <w:tcPr>
            <w:tcW w:w="1134" w:type="dxa"/>
            <w:vAlign w:val="center"/>
          </w:tcPr>
          <w:p w14:paraId="68BFE089">
            <w:pPr>
              <w:pStyle w:val="15"/>
            </w:pPr>
            <w:r>
              <w:t>1075.32</w:t>
            </w:r>
          </w:p>
        </w:tc>
        <w:tc>
          <w:tcPr>
            <w:tcW w:w="1134" w:type="dxa"/>
            <w:vAlign w:val="center"/>
          </w:tcPr>
          <w:p w14:paraId="3A30CB2F">
            <w:pPr>
              <w:pStyle w:val="15"/>
            </w:pPr>
            <w:r>
              <w:t>1075.32</w:t>
            </w:r>
          </w:p>
        </w:tc>
        <w:tc>
          <w:tcPr>
            <w:tcW w:w="1134" w:type="dxa"/>
            <w:vAlign w:val="center"/>
          </w:tcPr>
          <w:p w14:paraId="4AECFB64">
            <w:pPr>
              <w:pStyle w:val="15"/>
            </w:pPr>
          </w:p>
        </w:tc>
        <w:tc>
          <w:tcPr>
            <w:tcW w:w="1134" w:type="dxa"/>
            <w:vAlign w:val="center"/>
          </w:tcPr>
          <w:p w14:paraId="400D7531">
            <w:pPr>
              <w:pStyle w:val="15"/>
            </w:pPr>
          </w:p>
        </w:tc>
        <w:tc>
          <w:tcPr>
            <w:tcW w:w="1134" w:type="dxa"/>
            <w:vAlign w:val="center"/>
          </w:tcPr>
          <w:p w14:paraId="6237AA12">
            <w:pPr>
              <w:pStyle w:val="15"/>
            </w:pPr>
          </w:p>
        </w:tc>
        <w:tc>
          <w:tcPr>
            <w:tcW w:w="1134" w:type="dxa"/>
            <w:vAlign w:val="center"/>
          </w:tcPr>
          <w:p w14:paraId="2531D3F9">
            <w:pPr>
              <w:pStyle w:val="15"/>
            </w:pPr>
          </w:p>
        </w:tc>
        <w:tc>
          <w:tcPr>
            <w:tcW w:w="1134" w:type="dxa"/>
            <w:vAlign w:val="center"/>
          </w:tcPr>
          <w:p w14:paraId="7774246A">
            <w:pPr>
              <w:pStyle w:val="15"/>
            </w:pPr>
          </w:p>
        </w:tc>
        <w:tc>
          <w:tcPr>
            <w:tcW w:w="1134" w:type="dxa"/>
            <w:vAlign w:val="center"/>
          </w:tcPr>
          <w:p w14:paraId="322124D5">
            <w:pPr>
              <w:pStyle w:val="15"/>
            </w:pPr>
          </w:p>
        </w:tc>
        <w:tc>
          <w:tcPr>
            <w:tcW w:w="1134" w:type="dxa"/>
            <w:vAlign w:val="center"/>
          </w:tcPr>
          <w:p w14:paraId="279440A0">
            <w:pPr>
              <w:pStyle w:val="15"/>
            </w:pPr>
          </w:p>
        </w:tc>
      </w:tr>
      <w:tr w14:paraId="4669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D42DB">
            <w:pPr>
              <w:pStyle w:val="13"/>
            </w:pPr>
            <w:r>
              <w:t>2</w:t>
            </w:r>
          </w:p>
        </w:tc>
        <w:tc>
          <w:tcPr>
            <w:tcW w:w="992" w:type="dxa"/>
            <w:vAlign w:val="center"/>
          </w:tcPr>
          <w:p w14:paraId="4C8E991B">
            <w:pPr>
              <w:pStyle w:val="12"/>
            </w:pPr>
            <w:r>
              <w:t>205</w:t>
            </w:r>
          </w:p>
        </w:tc>
        <w:tc>
          <w:tcPr>
            <w:tcW w:w="1559" w:type="dxa"/>
            <w:vAlign w:val="center"/>
          </w:tcPr>
          <w:p w14:paraId="112E3ACE">
            <w:pPr>
              <w:pStyle w:val="12"/>
            </w:pPr>
            <w:r>
              <w:t>教育支出</w:t>
            </w:r>
          </w:p>
        </w:tc>
        <w:tc>
          <w:tcPr>
            <w:tcW w:w="1134" w:type="dxa"/>
            <w:vAlign w:val="center"/>
          </w:tcPr>
          <w:p w14:paraId="5A643690">
            <w:pPr>
              <w:pStyle w:val="11"/>
            </w:pPr>
            <w:r>
              <w:t>1075.32</w:t>
            </w:r>
          </w:p>
        </w:tc>
        <w:tc>
          <w:tcPr>
            <w:tcW w:w="1134" w:type="dxa"/>
            <w:vAlign w:val="center"/>
          </w:tcPr>
          <w:p w14:paraId="777FDA30">
            <w:pPr>
              <w:pStyle w:val="11"/>
            </w:pPr>
            <w:r>
              <w:t>1075.32</w:t>
            </w:r>
          </w:p>
        </w:tc>
        <w:tc>
          <w:tcPr>
            <w:tcW w:w="1134" w:type="dxa"/>
            <w:vAlign w:val="center"/>
          </w:tcPr>
          <w:p w14:paraId="4546B2DB">
            <w:pPr>
              <w:pStyle w:val="11"/>
            </w:pPr>
            <w:r>
              <w:t>1075.32</w:t>
            </w:r>
          </w:p>
        </w:tc>
        <w:tc>
          <w:tcPr>
            <w:tcW w:w="1134" w:type="dxa"/>
            <w:vAlign w:val="center"/>
          </w:tcPr>
          <w:p w14:paraId="50F70484">
            <w:pPr>
              <w:pStyle w:val="11"/>
            </w:pPr>
          </w:p>
        </w:tc>
        <w:tc>
          <w:tcPr>
            <w:tcW w:w="1134" w:type="dxa"/>
            <w:vAlign w:val="center"/>
          </w:tcPr>
          <w:p w14:paraId="44D4E255">
            <w:pPr>
              <w:pStyle w:val="11"/>
            </w:pPr>
          </w:p>
        </w:tc>
        <w:tc>
          <w:tcPr>
            <w:tcW w:w="1134" w:type="dxa"/>
            <w:vAlign w:val="center"/>
          </w:tcPr>
          <w:p w14:paraId="2CFC560A">
            <w:pPr>
              <w:pStyle w:val="11"/>
            </w:pPr>
          </w:p>
        </w:tc>
        <w:tc>
          <w:tcPr>
            <w:tcW w:w="1134" w:type="dxa"/>
            <w:vAlign w:val="center"/>
          </w:tcPr>
          <w:p w14:paraId="38ABD559">
            <w:pPr>
              <w:pStyle w:val="11"/>
            </w:pPr>
          </w:p>
        </w:tc>
        <w:tc>
          <w:tcPr>
            <w:tcW w:w="1134" w:type="dxa"/>
            <w:vAlign w:val="center"/>
          </w:tcPr>
          <w:p w14:paraId="6704087F">
            <w:pPr>
              <w:pStyle w:val="11"/>
            </w:pPr>
          </w:p>
        </w:tc>
        <w:tc>
          <w:tcPr>
            <w:tcW w:w="1134" w:type="dxa"/>
            <w:vAlign w:val="center"/>
          </w:tcPr>
          <w:p w14:paraId="1BB5D458">
            <w:pPr>
              <w:pStyle w:val="11"/>
            </w:pPr>
          </w:p>
        </w:tc>
        <w:tc>
          <w:tcPr>
            <w:tcW w:w="1134" w:type="dxa"/>
            <w:vAlign w:val="center"/>
          </w:tcPr>
          <w:p w14:paraId="089C0085">
            <w:pPr>
              <w:pStyle w:val="11"/>
            </w:pPr>
          </w:p>
        </w:tc>
      </w:tr>
      <w:tr w14:paraId="2EC28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4750F">
            <w:pPr>
              <w:pStyle w:val="13"/>
            </w:pPr>
            <w:r>
              <w:t>3</w:t>
            </w:r>
          </w:p>
        </w:tc>
        <w:tc>
          <w:tcPr>
            <w:tcW w:w="992" w:type="dxa"/>
            <w:vAlign w:val="center"/>
          </w:tcPr>
          <w:p w14:paraId="421836B6">
            <w:pPr>
              <w:pStyle w:val="12"/>
            </w:pPr>
            <w:r>
              <w:t>20502</w:t>
            </w:r>
          </w:p>
        </w:tc>
        <w:tc>
          <w:tcPr>
            <w:tcW w:w="1559" w:type="dxa"/>
            <w:vAlign w:val="center"/>
          </w:tcPr>
          <w:p w14:paraId="6D3E0F48">
            <w:pPr>
              <w:pStyle w:val="12"/>
            </w:pPr>
            <w:r>
              <w:t>普通教育</w:t>
            </w:r>
          </w:p>
        </w:tc>
        <w:tc>
          <w:tcPr>
            <w:tcW w:w="1134" w:type="dxa"/>
            <w:vAlign w:val="center"/>
          </w:tcPr>
          <w:p w14:paraId="18EAD500">
            <w:pPr>
              <w:pStyle w:val="11"/>
            </w:pPr>
            <w:r>
              <w:t>1075.32</w:t>
            </w:r>
          </w:p>
        </w:tc>
        <w:tc>
          <w:tcPr>
            <w:tcW w:w="1134" w:type="dxa"/>
            <w:vAlign w:val="center"/>
          </w:tcPr>
          <w:p w14:paraId="3FE456BD">
            <w:pPr>
              <w:pStyle w:val="11"/>
            </w:pPr>
            <w:r>
              <w:t>1075.32</w:t>
            </w:r>
          </w:p>
        </w:tc>
        <w:tc>
          <w:tcPr>
            <w:tcW w:w="1134" w:type="dxa"/>
            <w:vAlign w:val="center"/>
          </w:tcPr>
          <w:p w14:paraId="243C9FE1">
            <w:pPr>
              <w:pStyle w:val="11"/>
            </w:pPr>
            <w:r>
              <w:t>1075.32</w:t>
            </w:r>
          </w:p>
        </w:tc>
        <w:tc>
          <w:tcPr>
            <w:tcW w:w="1134" w:type="dxa"/>
            <w:vAlign w:val="center"/>
          </w:tcPr>
          <w:p w14:paraId="58C092A4">
            <w:pPr>
              <w:pStyle w:val="11"/>
            </w:pPr>
          </w:p>
        </w:tc>
        <w:tc>
          <w:tcPr>
            <w:tcW w:w="1134" w:type="dxa"/>
            <w:vAlign w:val="center"/>
          </w:tcPr>
          <w:p w14:paraId="44DEEF18">
            <w:pPr>
              <w:pStyle w:val="11"/>
            </w:pPr>
          </w:p>
        </w:tc>
        <w:tc>
          <w:tcPr>
            <w:tcW w:w="1134" w:type="dxa"/>
            <w:vAlign w:val="center"/>
          </w:tcPr>
          <w:p w14:paraId="35088EFB">
            <w:pPr>
              <w:pStyle w:val="11"/>
            </w:pPr>
          </w:p>
        </w:tc>
        <w:tc>
          <w:tcPr>
            <w:tcW w:w="1134" w:type="dxa"/>
            <w:vAlign w:val="center"/>
          </w:tcPr>
          <w:p w14:paraId="2B0A33A4">
            <w:pPr>
              <w:pStyle w:val="11"/>
            </w:pPr>
          </w:p>
        </w:tc>
        <w:tc>
          <w:tcPr>
            <w:tcW w:w="1134" w:type="dxa"/>
            <w:vAlign w:val="center"/>
          </w:tcPr>
          <w:p w14:paraId="35B1FC92">
            <w:pPr>
              <w:pStyle w:val="11"/>
            </w:pPr>
          </w:p>
        </w:tc>
        <w:tc>
          <w:tcPr>
            <w:tcW w:w="1134" w:type="dxa"/>
            <w:vAlign w:val="center"/>
          </w:tcPr>
          <w:p w14:paraId="752551EE">
            <w:pPr>
              <w:pStyle w:val="11"/>
            </w:pPr>
          </w:p>
        </w:tc>
        <w:tc>
          <w:tcPr>
            <w:tcW w:w="1134" w:type="dxa"/>
            <w:vAlign w:val="center"/>
          </w:tcPr>
          <w:p w14:paraId="7927A5DB">
            <w:pPr>
              <w:pStyle w:val="11"/>
            </w:pPr>
          </w:p>
        </w:tc>
      </w:tr>
      <w:tr w14:paraId="526C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5DC36">
            <w:pPr>
              <w:pStyle w:val="13"/>
            </w:pPr>
            <w:r>
              <w:t>4</w:t>
            </w:r>
          </w:p>
        </w:tc>
        <w:tc>
          <w:tcPr>
            <w:tcW w:w="992" w:type="dxa"/>
            <w:vAlign w:val="center"/>
          </w:tcPr>
          <w:p w14:paraId="29769B8D">
            <w:pPr>
              <w:pStyle w:val="12"/>
            </w:pPr>
            <w:r>
              <w:t>2050203</w:t>
            </w:r>
          </w:p>
        </w:tc>
        <w:tc>
          <w:tcPr>
            <w:tcW w:w="1559" w:type="dxa"/>
            <w:vAlign w:val="center"/>
          </w:tcPr>
          <w:p w14:paraId="1ADD3378">
            <w:pPr>
              <w:pStyle w:val="12"/>
            </w:pPr>
            <w:r>
              <w:t>初中教育</w:t>
            </w:r>
          </w:p>
        </w:tc>
        <w:tc>
          <w:tcPr>
            <w:tcW w:w="1134" w:type="dxa"/>
            <w:vAlign w:val="center"/>
          </w:tcPr>
          <w:p w14:paraId="2C2D8165">
            <w:pPr>
              <w:pStyle w:val="11"/>
            </w:pPr>
            <w:r>
              <w:t>1075.32</w:t>
            </w:r>
          </w:p>
        </w:tc>
        <w:tc>
          <w:tcPr>
            <w:tcW w:w="1134" w:type="dxa"/>
            <w:vAlign w:val="center"/>
          </w:tcPr>
          <w:p w14:paraId="6166C8D0">
            <w:pPr>
              <w:pStyle w:val="11"/>
            </w:pPr>
            <w:r>
              <w:t>1075.32</w:t>
            </w:r>
          </w:p>
        </w:tc>
        <w:tc>
          <w:tcPr>
            <w:tcW w:w="1134" w:type="dxa"/>
            <w:vAlign w:val="center"/>
          </w:tcPr>
          <w:p w14:paraId="2E30825E">
            <w:pPr>
              <w:pStyle w:val="11"/>
            </w:pPr>
            <w:r>
              <w:t>1075.32</w:t>
            </w:r>
          </w:p>
        </w:tc>
        <w:tc>
          <w:tcPr>
            <w:tcW w:w="1134" w:type="dxa"/>
            <w:vAlign w:val="center"/>
          </w:tcPr>
          <w:p w14:paraId="4B01D99E">
            <w:pPr>
              <w:pStyle w:val="11"/>
            </w:pPr>
          </w:p>
        </w:tc>
        <w:tc>
          <w:tcPr>
            <w:tcW w:w="1134" w:type="dxa"/>
            <w:vAlign w:val="center"/>
          </w:tcPr>
          <w:p w14:paraId="1339630B">
            <w:pPr>
              <w:pStyle w:val="11"/>
            </w:pPr>
          </w:p>
        </w:tc>
        <w:tc>
          <w:tcPr>
            <w:tcW w:w="1134" w:type="dxa"/>
            <w:vAlign w:val="center"/>
          </w:tcPr>
          <w:p w14:paraId="33A5649E">
            <w:pPr>
              <w:pStyle w:val="11"/>
            </w:pPr>
          </w:p>
        </w:tc>
        <w:tc>
          <w:tcPr>
            <w:tcW w:w="1134" w:type="dxa"/>
            <w:vAlign w:val="center"/>
          </w:tcPr>
          <w:p w14:paraId="337454A0">
            <w:pPr>
              <w:pStyle w:val="11"/>
            </w:pPr>
          </w:p>
        </w:tc>
        <w:tc>
          <w:tcPr>
            <w:tcW w:w="1134" w:type="dxa"/>
            <w:vAlign w:val="center"/>
          </w:tcPr>
          <w:p w14:paraId="7EF02DFB">
            <w:pPr>
              <w:pStyle w:val="11"/>
            </w:pPr>
          </w:p>
        </w:tc>
        <w:tc>
          <w:tcPr>
            <w:tcW w:w="1134" w:type="dxa"/>
            <w:vAlign w:val="center"/>
          </w:tcPr>
          <w:p w14:paraId="4C539224">
            <w:pPr>
              <w:pStyle w:val="11"/>
            </w:pPr>
          </w:p>
        </w:tc>
        <w:tc>
          <w:tcPr>
            <w:tcW w:w="1134" w:type="dxa"/>
            <w:vAlign w:val="center"/>
          </w:tcPr>
          <w:p w14:paraId="0AAE8FE6">
            <w:pPr>
              <w:pStyle w:val="11"/>
            </w:pPr>
          </w:p>
        </w:tc>
      </w:tr>
    </w:tbl>
    <w:p w14:paraId="2DDA5C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0F94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2E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32D872">
            <w:pPr>
              <w:pStyle w:val="9"/>
            </w:pPr>
            <w:r>
              <w:t>360031隆尧县北楼中学</w:t>
            </w:r>
          </w:p>
        </w:tc>
        <w:tc>
          <w:tcPr>
            <w:tcW w:w="2722" w:type="dxa"/>
            <w:gridSpan w:val="2"/>
            <w:tcBorders>
              <w:top w:val="single" w:color="FFFFFF" w:sz="6" w:space="0"/>
              <w:left w:val="single" w:color="FFFFFF" w:sz="6" w:space="0"/>
              <w:right w:val="single" w:color="FFFFFF" w:sz="6" w:space="0"/>
            </w:tcBorders>
            <w:vAlign w:val="center"/>
          </w:tcPr>
          <w:p w14:paraId="5B323EC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DD7DC20">
            <w:pPr>
              <w:pStyle w:val="7"/>
            </w:pPr>
            <w:r>
              <w:t>单位：万元</w:t>
            </w:r>
          </w:p>
        </w:tc>
      </w:tr>
      <w:tr w14:paraId="4E3A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BBD30">
            <w:pPr>
              <w:pStyle w:val="10"/>
            </w:pPr>
            <w:r>
              <w:t>序号</w:t>
            </w:r>
          </w:p>
        </w:tc>
        <w:tc>
          <w:tcPr>
            <w:tcW w:w="5527" w:type="dxa"/>
            <w:gridSpan w:val="2"/>
            <w:vAlign w:val="center"/>
          </w:tcPr>
          <w:p w14:paraId="589105B1">
            <w:pPr>
              <w:pStyle w:val="10"/>
            </w:pPr>
            <w:r>
              <w:t>功能分类科目</w:t>
            </w:r>
          </w:p>
        </w:tc>
        <w:tc>
          <w:tcPr>
            <w:tcW w:w="1361" w:type="dxa"/>
            <w:vMerge w:val="restart"/>
            <w:vAlign w:val="center"/>
          </w:tcPr>
          <w:p w14:paraId="1EAAF50A">
            <w:pPr>
              <w:pStyle w:val="10"/>
            </w:pPr>
            <w:r>
              <w:t>合计</w:t>
            </w:r>
          </w:p>
        </w:tc>
        <w:tc>
          <w:tcPr>
            <w:tcW w:w="1361" w:type="dxa"/>
            <w:vMerge w:val="restart"/>
            <w:vAlign w:val="center"/>
          </w:tcPr>
          <w:p w14:paraId="3D251F74">
            <w:pPr>
              <w:pStyle w:val="10"/>
            </w:pPr>
            <w:r>
              <w:t>基本支出</w:t>
            </w:r>
          </w:p>
        </w:tc>
        <w:tc>
          <w:tcPr>
            <w:tcW w:w="1361" w:type="dxa"/>
            <w:vMerge w:val="restart"/>
            <w:vAlign w:val="center"/>
          </w:tcPr>
          <w:p w14:paraId="25D1DE13">
            <w:pPr>
              <w:pStyle w:val="10"/>
            </w:pPr>
            <w:r>
              <w:t>项目支出</w:t>
            </w:r>
          </w:p>
        </w:tc>
        <w:tc>
          <w:tcPr>
            <w:tcW w:w="1361" w:type="dxa"/>
            <w:vMerge w:val="restart"/>
            <w:vAlign w:val="center"/>
          </w:tcPr>
          <w:p w14:paraId="3B187B83">
            <w:pPr>
              <w:pStyle w:val="10"/>
            </w:pPr>
            <w:r>
              <w:t>经营支出</w:t>
            </w:r>
          </w:p>
        </w:tc>
        <w:tc>
          <w:tcPr>
            <w:tcW w:w="1361" w:type="dxa"/>
            <w:vMerge w:val="restart"/>
            <w:vAlign w:val="center"/>
          </w:tcPr>
          <w:p w14:paraId="05B99CAE">
            <w:pPr>
              <w:pStyle w:val="10"/>
            </w:pPr>
            <w:r>
              <w:t>上解上级     支出</w:t>
            </w:r>
          </w:p>
        </w:tc>
        <w:tc>
          <w:tcPr>
            <w:tcW w:w="1361" w:type="dxa"/>
            <w:vMerge w:val="restart"/>
            <w:vAlign w:val="center"/>
          </w:tcPr>
          <w:p w14:paraId="138FC046">
            <w:pPr>
              <w:pStyle w:val="10"/>
            </w:pPr>
            <w:r>
              <w:t>对附属单位补助支出</w:t>
            </w:r>
          </w:p>
        </w:tc>
      </w:tr>
      <w:tr w14:paraId="090F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F7E16"/>
        </w:tc>
        <w:tc>
          <w:tcPr>
            <w:tcW w:w="992" w:type="dxa"/>
            <w:vAlign w:val="center"/>
          </w:tcPr>
          <w:p w14:paraId="16E31449">
            <w:pPr>
              <w:pStyle w:val="10"/>
            </w:pPr>
            <w:r>
              <w:t>科目    编码</w:t>
            </w:r>
          </w:p>
        </w:tc>
        <w:tc>
          <w:tcPr>
            <w:tcW w:w="4535" w:type="dxa"/>
            <w:vAlign w:val="center"/>
          </w:tcPr>
          <w:p w14:paraId="37A57624">
            <w:pPr>
              <w:pStyle w:val="10"/>
            </w:pPr>
            <w:r>
              <w:t>科目名称</w:t>
            </w:r>
          </w:p>
        </w:tc>
        <w:tc>
          <w:tcPr>
            <w:tcW w:w="1361" w:type="dxa"/>
            <w:vMerge w:val="continue"/>
          </w:tcPr>
          <w:p w14:paraId="12292C1A"/>
        </w:tc>
        <w:tc>
          <w:tcPr>
            <w:tcW w:w="1361" w:type="dxa"/>
            <w:vMerge w:val="continue"/>
          </w:tcPr>
          <w:p w14:paraId="1BEADB43"/>
        </w:tc>
        <w:tc>
          <w:tcPr>
            <w:tcW w:w="1361" w:type="dxa"/>
            <w:vMerge w:val="continue"/>
          </w:tcPr>
          <w:p w14:paraId="0A90B177"/>
        </w:tc>
        <w:tc>
          <w:tcPr>
            <w:tcW w:w="1361" w:type="dxa"/>
            <w:vMerge w:val="continue"/>
          </w:tcPr>
          <w:p w14:paraId="25E8BFF6"/>
        </w:tc>
        <w:tc>
          <w:tcPr>
            <w:tcW w:w="1361" w:type="dxa"/>
            <w:vMerge w:val="continue"/>
          </w:tcPr>
          <w:p w14:paraId="5A7F2EFE"/>
        </w:tc>
        <w:tc>
          <w:tcPr>
            <w:tcW w:w="1361" w:type="dxa"/>
            <w:vMerge w:val="continue"/>
          </w:tcPr>
          <w:p w14:paraId="08EADDA9"/>
        </w:tc>
      </w:tr>
      <w:tr w14:paraId="613A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66835">
            <w:pPr>
              <w:pStyle w:val="10"/>
            </w:pPr>
            <w:r>
              <w:t>栏次</w:t>
            </w:r>
          </w:p>
        </w:tc>
        <w:tc>
          <w:tcPr>
            <w:tcW w:w="992" w:type="dxa"/>
            <w:vAlign w:val="center"/>
          </w:tcPr>
          <w:p w14:paraId="40E34123">
            <w:pPr>
              <w:pStyle w:val="10"/>
            </w:pPr>
            <w:r>
              <w:t>1</w:t>
            </w:r>
          </w:p>
        </w:tc>
        <w:tc>
          <w:tcPr>
            <w:tcW w:w="4535" w:type="dxa"/>
            <w:vAlign w:val="center"/>
          </w:tcPr>
          <w:p w14:paraId="33C5A541">
            <w:pPr>
              <w:pStyle w:val="10"/>
            </w:pPr>
            <w:r>
              <w:t>2</w:t>
            </w:r>
          </w:p>
        </w:tc>
        <w:tc>
          <w:tcPr>
            <w:tcW w:w="1361" w:type="dxa"/>
            <w:vAlign w:val="center"/>
          </w:tcPr>
          <w:p w14:paraId="4C74AD9F">
            <w:pPr>
              <w:pStyle w:val="10"/>
            </w:pPr>
            <w:r>
              <w:t>3</w:t>
            </w:r>
          </w:p>
        </w:tc>
        <w:tc>
          <w:tcPr>
            <w:tcW w:w="1361" w:type="dxa"/>
            <w:vAlign w:val="center"/>
          </w:tcPr>
          <w:p w14:paraId="0CE3255E">
            <w:pPr>
              <w:pStyle w:val="10"/>
            </w:pPr>
            <w:r>
              <w:t>4</w:t>
            </w:r>
          </w:p>
        </w:tc>
        <w:tc>
          <w:tcPr>
            <w:tcW w:w="1361" w:type="dxa"/>
            <w:vAlign w:val="center"/>
          </w:tcPr>
          <w:p w14:paraId="31BDCA4D">
            <w:pPr>
              <w:pStyle w:val="10"/>
            </w:pPr>
            <w:r>
              <w:t>5</w:t>
            </w:r>
          </w:p>
        </w:tc>
        <w:tc>
          <w:tcPr>
            <w:tcW w:w="1361" w:type="dxa"/>
            <w:vAlign w:val="center"/>
          </w:tcPr>
          <w:p w14:paraId="26F96CA6">
            <w:pPr>
              <w:pStyle w:val="10"/>
            </w:pPr>
            <w:r>
              <w:t>6</w:t>
            </w:r>
          </w:p>
        </w:tc>
        <w:tc>
          <w:tcPr>
            <w:tcW w:w="1361" w:type="dxa"/>
            <w:vAlign w:val="center"/>
          </w:tcPr>
          <w:p w14:paraId="57AA1E68">
            <w:pPr>
              <w:pStyle w:val="10"/>
            </w:pPr>
            <w:r>
              <w:t>7</w:t>
            </w:r>
          </w:p>
        </w:tc>
        <w:tc>
          <w:tcPr>
            <w:tcW w:w="1361" w:type="dxa"/>
            <w:vAlign w:val="center"/>
          </w:tcPr>
          <w:p w14:paraId="13C93D75">
            <w:pPr>
              <w:pStyle w:val="10"/>
            </w:pPr>
            <w:r>
              <w:t>8</w:t>
            </w:r>
          </w:p>
        </w:tc>
      </w:tr>
      <w:tr w14:paraId="585B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3D4C">
            <w:pPr>
              <w:pStyle w:val="13"/>
            </w:pPr>
            <w:r>
              <w:t>1</w:t>
            </w:r>
          </w:p>
        </w:tc>
        <w:tc>
          <w:tcPr>
            <w:tcW w:w="992" w:type="dxa"/>
            <w:vAlign w:val="center"/>
          </w:tcPr>
          <w:p w14:paraId="72B5E3DA">
            <w:pPr>
              <w:pStyle w:val="16"/>
            </w:pPr>
          </w:p>
        </w:tc>
        <w:tc>
          <w:tcPr>
            <w:tcW w:w="4535" w:type="dxa"/>
            <w:vAlign w:val="center"/>
          </w:tcPr>
          <w:p w14:paraId="0D6D38A1">
            <w:pPr>
              <w:pStyle w:val="14"/>
            </w:pPr>
            <w:r>
              <w:t>合计</w:t>
            </w:r>
          </w:p>
        </w:tc>
        <w:tc>
          <w:tcPr>
            <w:tcW w:w="1361" w:type="dxa"/>
            <w:vAlign w:val="center"/>
          </w:tcPr>
          <w:p w14:paraId="06CC628F">
            <w:pPr>
              <w:pStyle w:val="15"/>
            </w:pPr>
            <w:r>
              <w:t>1075.32</w:t>
            </w:r>
          </w:p>
        </w:tc>
        <w:tc>
          <w:tcPr>
            <w:tcW w:w="1361" w:type="dxa"/>
            <w:vAlign w:val="center"/>
          </w:tcPr>
          <w:p w14:paraId="2AEAA985">
            <w:pPr>
              <w:pStyle w:val="15"/>
            </w:pPr>
            <w:r>
              <w:t>827.36</w:t>
            </w:r>
          </w:p>
        </w:tc>
        <w:tc>
          <w:tcPr>
            <w:tcW w:w="1361" w:type="dxa"/>
            <w:vAlign w:val="center"/>
          </w:tcPr>
          <w:p w14:paraId="56EC5174">
            <w:pPr>
              <w:pStyle w:val="15"/>
            </w:pPr>
            <w:r>
              <w:t>247.95</w:t>
            </w:r>
          </w:p>
        </w:tc>
        <w:tc>
          <w:tcPr>
            <w:tcW w:w="1361" w:type="dxa"/>
            <w:vAlign w:val="center"/>
          </w:tcPr>
          <w:p w14:paraId="70E6C4C8">
            <w:pPr>
              <w:pStyle w:val="15"/>
            </w:pPr>
          </w:p>
        </w:tc>
        <w:tc>
          <w:tcPr>
            <w:tcW w:w="1361" w:type="dxa"/>
            <w:vAlign w:val="center"/>
          </w:tcPr>
          <w:p w14:paraId="06A65E08">
            <w:pPr>
              <w:pStyle w:val="15"/>
            </w:pPr>
          </w:p>
        </w:tc>
        <w:tc>
          <w:tcPr>
            <w:tcW w:w="1361" w:type="dxa"/>
            <w:vAlign w:val="center"/>
          </w:tcPr>
          <w:p w14:paraId="634FB48D">
            <w:pPr>
              <w:pStyle w:val="15"/>
            </w:pPr>
          </w:p>
        </w:tc>
      </w:tr>
      <w:tr w14:paraId="166F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F446D">
            <w:pPr>
              <w:pStyle w:val="13"/>
            </w:pPr>
            <w:r>
              <w:t>2</w:t>
            </w:r>
          </w:p>
        </w:tc>
        <w:tc>
          <w:tcPr>
            <w:tcW w:w="992" w:type="dxa"/>
            <w:vAlign w:val="center"/>
          </w:tcPr>
          <w:p w14:paraId="538829CA">
            <w:pPr>
              <w:pStyle w:val="12"/>
            </w:pPr>
            <w:r>
              <w:t>205</w:t>
            </w:r>
          </w:p>
        </w:tc>
        <w:tc>
          <w:tcPr>
            <w:tcW w:w="4535" w:type="dxa"/>
            <w:vAlign w:val="center"/>
          </w:tcPr>
          <w:p w14:paraId="0CC7B322">
            <w:pPr>
              <w:pStyle w:val="12"/>
            </w:pPr>
            <w:r>
              <w:t>教育支出</w:t>
            </w:r>
          </w:p>
        </w:tc>
        <w:tc>
          <w:tcPr>
            <w:tcW w:w="1361" w:type="dxa"/>
            <w:vAlign w:val="center"/>
          </w:tcPr>
          <w:p w14:paraId="5D516F47">
            <w:pPr>
              <w:pStyle w:val="11"/>
            </w:pPr>
            <w:r>
              <w:t>1075.32</w:t>
            </w:r>
          </w:p>
        </w:tc>
        <w:tc>
          <w:tcPr>
            <w:tcW w:w="1361" w:type="dxa"/>
            <w:vAlign w:val="center"/>
          </w:tcPr>
          <w:p w14:paraId="44079210">
            <w:pPr>
              <w:pStyle w:val="11"/>
            </w:pPr>
            <w:r>
              <w:t>827.36</w:t>
            </w:r>
          </w:p>
        </w:tc>
        <w:tc>
          <w:tcPr>
            <w:tcW w:w="1361" w:type="dxa"/>
            <w:vAlign w:val="center"/>
          </w:tcPr>
          <w:p w14:paraId="1DEB123D">
            <w:pPr>
              <w:pStyle w:val="11"/>
            </w:pPr>
            <w:r>
              <w:t>247.95</w:t>
            </w:r>
          </w:p>
        </w:tc>
        <w:tc>
          <w:tcPr>
            <w:tcW w:w="1361" w:type="dxa"/>
            <w:vAlign w:val="center"/>
          </w:tcPr>
          <w:p w14:paraId="5C7B544B">
            <w:pPr>
              <w:pStyle w:val="11"/>
            </w:pPr>
          </w:p>
        </w:tc>
        <w:tc>
          <w:tcPr>
            <w:tcW w:w="1361" w:type="dxa"/>
            <w:vAlign w:val="center"/>
          </w:tcPr>
          <w:p w14:paraId="0E5E0893">
            <w:pPr>
              <w:pStyle w:val="11"/>
            </w:pPr>
          </w:p>
        </w:tc>
        <w:tc>
          <w:tcPr>
            <w:tcW w:w="1361" w:type="dxa"/>
            <w:vAlign w:val="center"/>
          </w:tcPr>
          <w:p w14:paraId="39675E56">
            <w:pPr>
              <w:pStyle w:val="11"/>
            </w:pPr>
          </w:p>
        </w:tc>
      </w:tr>
      <w:tr w14:paraId="2C0D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3F5EC">
            <w:pPr>
              <w:pStyle w:val="13"/>
            </w:pPr>
            <w:r>
              <w:t>3</w:t>
            </w:r>
          </w:p>
        </w:tc>
        <w:tc>
          <w:tcPr>
            <w:tcW w:w="992" w:type="dxa"/>
            <w:vAlign w:val="center"/>
          </w:tcPr>
          <w:p w14:paraId="4E5373AC">
            <w:pPr>
              <w:pStyle w:val="12"/>
            </w:pPr>
            <w:r>
              <w:t>20502</w:t>
            </w:r>
          </w:p>
        </w:tc>
        <w:tc>
          <w:tcPr>
            <w:tcW w:w="4535" w:type="dxa"/>
            <w:vAlign w:val="center"/>
          </w:tcPr>
          <w:p w14:paraId="590B3794">
            <w:pPr>
              <w:pStyle w:val="12"/>
            </w:pPr>
            <w:r>
              <w:t>普通教育</w:t>
            </w:r>
          </w:p>
        </w:tc>
        <w:tc>
          <w:tcPr>
            <w:tcW w:w="1361" w:type="dxa"/>
            <w:vAlign w:val="center"/>
          </w:tcPr>
          <w:p w14:paraId="3F3102B2">
            <w:pPr>
              <w:pStyle w:val="11"/>
            </w:pPr>
            <w:r>
              <w:t>1075.32</w:t>
            </w:r>
          </w:p>
        </w:tc>
        <w:tc>
          <w:tcPr>
            <w:tcW w:w="1361" w:type="dxa"/>
            <w:vAlign w:val="center"/>
          </w:tcPr>
          <w:p w14:paraId="61CB38F4">
            <w:pPr>
              <w:pStyle w:val="11"/>
            </w:pPr>
            <w:r>
              <w:t>827.36</w:t>
            </w:r>
          </w:p>
        </w:tc>
        <w:tc>
          <w:tcPr>
            <w:tcW w:w="1361" w:type="dxa"/>
            <w:vAlign w:val="center"/>
          </w:tcPr>
          <w:p w14:paraId="029104CA">
            <w:pPr>
              <w:pStyle w:val="11"/>
            </w:pPr>
            <w:r>
              <w:t>247.95</w:t>
            </w:r>
          </w:p>
        </w:tc>
        <w:tc>
          <w:tcPr>
            <w:tcW w:w="1361" w:type="dxa"/>
            <w:vAlign w:val="center"/>
          </w:tcPr>
          <w:p w14:paraId="17C3849F">
            <w:pPr>
              <w:pStyle w:val="11"/>
            </w:pPr>
          </w:p>
        </w:tc>
        <w:tc>
          <w:tcPr>
            <w:tcW w:w="1361" w:type="dxa"/>
            <w:vAlign w:val="center"/>
          </w:tcPr>
          <w:p w14:paraId="391D6243">
            <w:pPr>
              <w:pStyle w:val="11"/>
            </w:pPr>
          </w:p>
        </w:tc>
        <w:tc>
          <w:tcPr>
            <w:tcW w:w="1361" w:type="dxa"/>
            <w:vAlign w:val="center"/>
          </w:tcPr>
          <w:p w14:paraId="55246840">
            <w:pPr>
              <w:pStyle w:val="11"/>
            </w:pPr>
          </w:p>
        </w:tc>
      </w:tr>
      <w:tr w14:paraId="283BA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65B7">
            <w:pPr>
              <w:pStyle w:val="13"/>
            </w:pPr>
            <w:r>
              <w:t>4</w:t>
            </w:r>
          </w:p>
        </w:tc>
        <w:tc>
          <w:tcPr>
            <w:tcW w:w="992" w:type="dxa"/>
            <w:vAlign w:val="center"/>
          </w:tcPr>
          <w:p w14:paraId="1732BBD2">
            <w:pPr>
              <w:pStyle w:val="12"/>
            </w:pPr>
            <w:r>
              <w:t>2050203</w:t>
            </w:r>
          </w:p>
        </w:tc>
        <w:tc>
          <w:tcPr>
            <w:tcW w:w="4535" w:type="dxa"/>
            <w:vAlign w:val="center"/>
          </w:tcPr>
          <w:p w14:paraId="001EB61F">
            <w:pPr>
              <w:pStyle w:val="12"/>
            </w:pPr>
            <w:r>
              <w:t>初中教育</w:t>
            </w:r>
          </w:p>
        </w:tc>
        <w:tc>
          <w:tcPr>
            <w:tcW w:w="1361" w:type="dxa"/>
            <w:vAlign w:val="center"/>
          </w:tcPr>
          <w:p w14:paraId="760801EE">
            <w:pPr>
              <w:pStyle w:val="11"/>
            </w:pPr>
            <w:r>
              <w:t>1075.32</w:t>
            </w:r>
          </w:p>
        </w:tc>
        <w:tc>
          <w:tcPr>
            <w:tcW w:w="1361" w:type="dxa"/>
            <w:vAlign w:val="center"/>
          </w:tcPr>
          <w:p w14:paraId="0659B1CB">
            <w:pPr>
              <w:pStyle w:val="11"/>
            </w:pPr>
            <w:r>
              <w:t>827.36</w:t>
            </w:r>
          </w:p>
        </w:tc>
        <w:tc>
          <w:tcPr>
            <w:tcW w:w="1361" w:type="dxa"/>
            <w:vAlign w:val="center"/>
          </w:tcPr>
          <w:p w14:paraId="218D397A">
            <w:pPr>
              <w:pStyle w:val="11"/>
            </w:pPr>
            <w:r>
              <w:t>247.95</w:t>
            </w:r>
          </w:p>
        </w:tc>
        <w:tc>
          <w:tcPr>
            <w:tcW w:w="1361" w:type="dxa"/>
            <w:vAlign w:val="center"/>
          </w:tcPr>
          <w:p w14:paraId="0D2FF0C5">
            <w:pPr>
              <w:pStyle w:val="11"/>
            </w:pPr>
          </w:p>
        </w:tc>
        <w:tc>
          <w:tcPr>
            <w:tcW w:w="1361" w:type="dxa"/>
            <w:vAlign w:val="center"/>
          </w:tcPr>
          <w:p w14:paraId="5AEE106F">
            <w:pPr>
              <w:pStyle w:val="11"/>
            </w:pPr>
          </w:p>
        </w:tc>
        <w:tc>
          <w:tcPr>
            <w:tcW w:w="1361" w:type="dxa"/>
            <w:vAlign w:val="center"/>
          </w:tcPr>
          <w:p w14:paraId="4A70BB75">
            <w:pPr>
              <w:pStyle w:val="11"/>
            </w:pPr>
          </w:p>
        </w:tc>
      </w:tr>
    </w:tbl>
    <w:p w14:paraId="412E21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5EC2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51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8CB2C8">
            <w:pPr>
              <w:pStyle w:val="9"/>
            </w:pPr>
            <w:r>
              <w:t>360031隆尧县北楼中学</w:t>
            </w:r>
          </w:p>
        </w:tc>
        <w:tc>
          <w:tcPr>
            <w:tcW w:w="3402" w:type="dxa"/>
            <w:tcBorders>
              <w:top w:val="single" w:color="FFFFFF" w:sz="6" w:space="0"/>
              <w:left w:val="single" w:color="FFFFFF" w:sz="6" w:space="0"/>
              <w:right w:val="single" w:color="FFFFFF" w:sz="6" w:space="0"/>
            </w:tcBorders>
            <w:vAlign w:val="center"/>
          </w:tcPr>
          <w:p w14:paraId="2BC373F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3E906F7">
            <w:pPr>
              <w:pStyle w:val="7"/>
            </w:pPr>
            <w:r>
              <w:t>单位：万元</w:t>
            </w:r>
          </w:p>
        </w:tc>
      </w:tr>
      <w:tr w14:paraId="0399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C5B92">
            <w:pPr>
              <w:pStyle w:val="10"/>
            </w:pPr>
            <w:r>
              <w:t>序号</w:t>
            </w:r>
          </w:p>
        </w:tc>
        <w:tc>
          <w:tcPr>
            <w:tcW w:w="4876" w:type="dxa"/>
            <w:gridSpan w:val="2"/>
            <w:vAlign w:val="center"/>
          </w:tcPr>
          <w:p w14:paraId="4AF04AFE">
            <w:pPr>
              <w:pStyle w:val="10"/>
            </w:pPr>
            <w:r>
              <w:t>收入</w:t>
            </w:r>
          </w:p>
        </w:tc>
        <w:tc>
          <w:tcPr>
            <w:tcW w:w="9298" w:type="dxa"/>
            <w:gridSpan w:val="5"/>
            <w:vAlign w:val="center"/>
          </w:tcPr>
          <w:p w14:paraId="67538193">
            <w:pPr>
              <w:pStyle w:val="10"/>
            </w:pPr>
            <w:r>
              <w:t>支出</w:t>
            </w:r>
          </w:p>
        </w:tc>
      </w:tr>
      <w:tr w14:paraId="1DEF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2ACEF1"/>
        </w:tc>
        <w:tc>
          <w:tcPr>
            <w:tcW w:w="3402" w:type="dxa"/>
            <w:vAlign w:val="center"/>
          </w:tcPr>
          <w:p w14:paraId="5FA716AD">
            <w:pPr>
              <w:pStyle w:val="10"/>
            </w:pPr>
            <w:r>
              <w:t>项  目</w:t>
            </w:r>
          </w:p>
        </w:tc>
        <w:tc>
          <w:tcPr>
            <w:tcW w:w="1474" w:type="dxa"/>
            <w:vAlign w:val="center"/>
          </w:tcPr>
          <w:p w14:paraId="22DD3AAF">
            <w:pPr>
              <w:pStyle w:val="10"/>
            </w:pPr>
            <w:r>
              <w:t>金额</w:t>
            </w:r>
          </w:p>
        </w:tc>
        <w:tc>
          <w:tcPr>
            <w:tcW w:w="3402" w:type="dxa"/>
            <w:vAlign w:val="center"/>
          </w:tcPr>
          <w:p w14:paraId="5ECFC2AD">
            <w:pPr>
              <w:pStyle w:val="10"/>
            </w:pPr>
            <w:r>
              <w:t>项  目</w:t>
            </w:r>
          </w:p>
        </w:tc>
        <w:tc>
          <w:tcPr>
            <w:tcW w:w="1474" w:type="dxa"/>
            <w:vAlign w:val="center"/>
          </w:tcPr>
          <w:p w14:paraId="661585E9">
            <w:pPr>
              <w:pStyle w:val="10"/>
            </w:pPr>
            <w:r>
              <w:t>合计</w:t>
            </w:r>
          </w:p>
        </w:tc>
        <w:tc>
          <w:tcPr>
            <w:tcW w:w="1474" w:type="dxa"/>
            <w:vAlign w:val="center"/>
          </w:tcPr>
          <w:p w14:paraId="56D5932B">
            <w:pPr>
              <w:pStyle w:val="10"/>
            </w:pPr>
            <w:r>
              <w:t>一般公共预算财政拨款</w:t>
            </w:r>
          </w:p>
        </w:tc>
        <w:tc>
          <w:tcPr>
            <w:tcW w:w="1474" w:type="dxa"/>
            <w:vAlign w:val="center"/>
          </w:tcPr>
          <w:p w14:paraId="24CA106F">
            <w:pPr>
              <w:pStyle w:val="10"/>
            </w:pPr>
            <w:r>
              <w:t>政府性基金预算财政    拨款</w:t>
            </w:r>
          </w:p>
        </w:tc>
        <w:tc>
          <w:tcPr>
            <w:tcW w:w="1474" w:type="dxa"/>
            <w:vAlign w:val="center"/>
          </w:tcPr>
          <w:p w14:paraId="4E0C4558">
            <w:pPr>
              <w:pStyle w:val="10"/>
            </w:pPr>
            <w:r>
              <w:t>国有资本经营预算财政拨款</w:t>
            </w:r>
          </w:p>
        </w:tc>
      </w:tr>
      <w:tr w14:paraId="213A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F31CF">
            <w:pPr>
              <w:pStyle w:val="10"/>
            </w:pPr>
            <w:r>
              <w:t>栏次</w:t>
            </w:r>
          </w:p>
        </w:tc>
        <w:tc>
          <w:tcPr>
            <w:tcW w:w="3402" w:type="dxa"/>
            <w:vAlign w:val="center"/>
          </w:tcPr>
          <w:p w14:paraId="48A25BC3">
            <w:pPr>
              <w:pStyle w:val="10"/>
            </w:pPr>
            <w:r>
              <w:t>1</w:t>
            </w:r>
          </w:p>
        </w:tc>
        <w:tc>
          <w:tcPr>
            <w:tcW w:w="1474" w:type="dxa"/>
            <w:vAlign w:val="center"/>
          </w:tcPr>
          <w:p w14:paraId="7AE4D2B1">
            <w:pPr>
              <w:pStyle w:val="10"/>
            </w:pPr>
            <w:r>
              <w:t>2</w:t>
            </w:r>
          </w:p>
        </w:tc>
        <w:tc>
          <w:tcPr>
            <w:tcW w:w="3402" w:type="dxa"/>
            <w:vAlign w:val="center"/>
          </w:tcPr>
          <w:p w14:paraId="4A1B695C">
            <w:pPr>
              <w:pStyle w:val="10"/>
            </w:pPr>
            <w:r>
              <w:t>3</w:t>
            </w:r>
          </w:p>
        </w:tc>
        <w:tc>
          <w:tcPr>
            <w:tcW w:w="1474" w:type="dxa"/>
            <w:vAlign w:val="center"/>
          </w:tcPr>
          <w:p w14:paraId="6EFDC061">
            <w:pPr>
              <w:pStyle w:val="10"/>
            </w:pPr>
            <w:r>
              <w:t>4</w:t>
            </w:r>
          </w:p>
        </w:tc>
        <w:tc>
          <w:tcPr>
            <w:tcW w:w="1474" w:type="dxa"/>
            <w:vAlign w:val="center"/>
          </w:tcPr>
          <w:p w14:paraId="768B59FD">
            <w:pPr>
              <w:pStyle w:val="10"/>
            </w:pPr>
            <w:r>
              <w:t>5</w:t>
            </w:r>
          </w:p>
        </w:tc>
        <w:tc>
          <w:tcPr>
            <w:tcW w:w="1474" w:type="dxa"/>
            <w:vAlign w:val="center"/>
          </w:tcPr>
          <w:p w14:paraId="1BD214E6">
            <w:pPr>
              <w:pStyle w:val="10"/>
            </w:pPr>
            <w:r>
              <w:t>6</w:t>
            </w:r>
          </w:p>
        </w:tc>
        <w:tc>
          <w:tcPr>
            <w:tcW w:w="1474" w:type="dxa"/>
            <w:vAlign w:val="center"/>
          </w:tcPr>
          <w:p w14:paraId="5047998F">
            <w:pPr>
              <w:pStyle w:val="10"/>
            </w:pPr>
            <w:r>
              <w:t>7</w:t>
            </w:r>
          </w:p>
        </w:tc>
      </w:tr>
      <w:tr w14:paraId="61CA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237D">
            <w:pPr>
              <w:pStyle w:val="13"/>
            </w:pPr>
            <w:r>
              <w:t>1</w:t>
            </w:r>
          </w:p>
        </w:tc>
        <w:tc>
          <w:tcPr>
            <w:tcW w:w="3402" w:type="dxa"/>
            <w:vAlign w:val="center"/>
          </w:tcPr>
          <w:p w14:paraId="4AB1BD42">
            <w:pPr>
              <w:pStyle w:val="12"/>
            </w:pPr>
            <w:r>
              <w:t>一、一般公共预算拨款</w:t>
            </w:r>
          </w:p>
        </w:tc>
        <w:tc>
          <w:tcPr>
            <w:tcW w:w="1474" w:type="dxa"/>
            <w:vAlign w:val="center"/>
          </w:tcPr>
          <w:p w14:paraId="4B744B07">
            <w:pPr>
              <w:pStyle w:val="11"/>
            </w:pPr>
            <w:r>
              <w:t>1075.32</w:t>
            </w:r>
          </w:p>
        </w:tc>
        <w:tc>
          <w:tcPr>
            <w:tcW w:w="3402" w:type="dxa"/>
            <w:vAlign w:val="center"/>
          </w:tcPr>
          <w:p w14:paraId="2E206952">
            <w:pPr>
              <w:pStyle w:val="12"/>
            </w:pPr>
            <w:r>
              <w:t>一、一般公共服务支出</w:t>
            </w:r>
          </w:p>
        </w:tc>
        <w:tc>
          <w:tcPr>
            <w:tcW w:w="1474" w:type="dxa"/>
            <w:vAlign w:val="center"/>
          </w:tcPr>
          <w:p w14:paraId="2C532789">
            <w:pPr>
              <w:pStyle w:val="11"/>
            </w:pPr>
          </w:p>
        </w:tc>
        <w:tc>
          <w:tcPr>
            <w:tcW w:w="1474" w:type="dxa"/>
            <w:vAlign w:val="center"/>
          </w:tcPr>
          <w:p w14:paraId="57942127">
            <w:pPr>
              <w:pStyle w:val="11"/>
            </w:pPr>
          </w:p>
        </w:tc>
        <w:tc>
          <w:tcPr>
            <w:tcW w:w="1474" w:type="dxa"/>
            <w:vAlign w:val="center"/>
          </w:tcPr>
          <w:p w14:paraId="14D48EFB">
            <w:pPr>
              <w:pStyle w:val="11"/>
            </w:pPr>
          </w:p>
        </w:tc>
        <w:tc>
          <w:tcPr>
            <w:tcW w:w="1474" w:type="dxa"/>
            <w:vAlign w:val="center"/>
          </w:tcPr>
          <w:p w14:paraId="1E68778A">
            <w:pPr>
              <w:pStyle w:val="11"/>
            </w:pPr>
          </w:p>
        </w:tc>
      </w:tr>
      <w:tr w14:paraId="1C20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D4082">
            <w:pPr>
              <w:pStyle w:val="13"/>
            </w:pPr>
            <w:r>
              <w:t>2</w:t>
            </w:r>
          </w:p>
        </w:tc>
        <w:tc>
          <w:tcPr>
            <w:tcW w:w="3402" w:type="dxa"/>
            <w:vAlign w:val="center"/>
          </w:tcPr>
          <w:p w14:paraId="194518DA">
            <w:pPr>
              <w:pStyle w:val="12"/>
            </w:pPr>
            <w:r>
              <w:t>二、政府性基金预算拨款</w:t>
            </w:r>
          </w:p>
        </w:tc>
        <w:tc>
          <w:tcPr>
            <w:tcW w:w="1474" w:type="dxa"/>
            <w:vAlign w:val="center"/>
          </w:tcPr>
          <w:p w14:paraId="0634F5BB">
            <w:pPr>
              <w:pStyle w:val="11"/>
            </w:pPr>
          </w:p>
        </w:tc>
        <w:tc>
          <w:tcPr>
            <w:tcW w:w="3402" w:type="dxa"/>
            <w:vAlign w:val="center"/>
          </w:tcPr>
          <w:p w14:paraId="6C4C295E">
            <w:pPr>
              <w:pStyle w:val="12"/>
            </w:pPr>
            <w:r>
              <w:t>二、外交支出</w:t>
            </w:r>
          </w:p>
        </w:tc>
        <w:tc>
          <w:tcPr>
            <w:tcW w:w="1474" w:type="dxa"/>
            <w:vAlign w:val="center"/>
          </w:tcPr>
          <w:p w14:paraId="1EE34B77">
            <w:pPr>
              <w:pStyle w:val="11"/>
            </w:pPr>
          </w:p>
        </w:tc>
        <w:tc>
          <w:tcPr>
            <w:tcW w:w="1474" w:type="dxa"/>
            <w:vAlign w:val="center"/>
          </w:tcPr>
          <w:p w14:paraId="188D35F7">
            <w:pPr>
              <w:pStyle w:val="11"/>
            </w:pPr>
          </w:p>
        </w:tc>
        <w:tc>
          <w:tcPr>
            <w:tcW w:w="1474" w:type="dxa"/>
            <w:vAlign w:val="center"/>
          </w:tcPr>
          <w:p w14:paraId="769CDE51">
            <w:pPr>
              <w:pStyle w:val="11"/>
            </w:pPr>
          </w:p>
        </w:tc>
        <w:tc>
          <w:tcPr>
            <w:tcW w:w="1474" w:type="dxa"/>
            <w:vAlign w:val="center"/>
          </w:tcPr>
          <w:p w14:paraId="3EF2BAE8">
            <w:pPr>
              <w:pStyle w:val="11"/>
            </w:pPr>
          </w:p>
        </w:tc>
      </w:tr>
      <w:tr w14:paraId="1814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63108">
            <w:pPr>
              <w:pStyle w:val="13"/>
            </w:pPr>
            <w:r>
              <w:t>3</w:t>
            </w:r>
          </w:p>
        </w:tc>
        <w:tc>
          <w:tcPr>
            <w:tcW w:w="3402" w:type="dxa"/>
            <w:vAlign w:val="center"/>
          </w:tcPr>
          <w:p w14:paraId="1D31E474">
            <w:pPr>
              <w:pStyle w:val="12"/>
            </w:pPr>
            <w:r>
              <w:t>三、国有资本经营预算拨款</w:t>
            </w:r>
          </w:p>
        </w:tc>
        <w:tc>
          <w:tcPr>
            <w:tcW w:w="1474" w:type="dxa"/>
            <w:vAlign w:val="center"/>
          </w:tcPr>
          <w:p w14:paraId="709ECD64">
            <w:pPr>
              <w:pStyle w:val="11"/>
            </w:pPr>
          </w:p>
        </w:tc>
        <w:tc>
          <w:tcPr>
            <w:tcW w:w="3402" w:type="dxa"/>
            <w:vAlign w:val="center"/>
          </w:tcPr>
          <w:p w14:paraId="3E8380A1">
            <w:pPr>
              <w:pStyle w:val="12"/>
            </w:pPr>
            <w:r>
              <w:t>三、国防支出</w:t>
            </w:r>
          </w:p>
        </w:tc>
        <w:tc>
          <w:tcPr>
            <w:tcW w:w="1474" w:type="dxa"/>
            <w:vAlign w:val="center"/>
          </w:tcPr>
          <w:p w14:paraId="0076AA66">
            <w:pPr>
              <w:pStyle w:val="11"/>
            </w:pPr>
          </w:p>
        </w:tc>
        <w:tc>
          <w:tcPr>
            <w:tcW w:w="1474" w:type="dxa"/>
            <w:vAlign w:val="center"/>
          </w:tcPr>
          <w:p w14:paraId="7F361851">
            <w:pPr>
              <w:pStyle w:val="11"/>
            </w:pPr>
          </w:p>
        </w:tc>
        <w:tc>
          <w:tcPr>
            <w:tcW w:w="1474" w:type="dxa"/>
            <w:vAlign w:val="center"/>
          </w:tcPr>
          <w:p w14:paraId="00040034">
            <w:pPr>
              <w:pStyle w:val="11"/>
            </w:pPr>
          </w:p>
        </w:tc>
        <w:tc>
          <w:tcPr>
            <w:tcW w:w="1474" w:type="dxa"/>
            <w:vAlign w:val="center"/>
          </w:tcPr>
          <w:p w14:paraId="5A8A69B8">
            <w:pPr>
              <w:pStyle w:val="11"/>
            </w:pPr>
          </w:p>
        </w:tc>
      </w:tr>
      <w:tr w14:paraId="133F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BAA8">
            <w:pPr>
              <w:pStyle w:val="13"/>
            </w:pPr>
            <w:r>
              <w:t>4</w:t>
            </w:r>
          </w:p>
        </w:tc>
        <w:tc>
          <w:tcPr>
            <w:tcW w:w="3402" w:type="dxa"/>
            <w:vAlign w:val="center"/>
          </w:tcPr>
          <w:p w14:paraId="4F83C368">
            <w:pPr>
              <w:pStyle w:val="12"/>
            </w:pPr>
          </w:p>
        </w:tc>
        <w:tc>
          <w:tcPr>
            <w:tcW w:w="1474" w:type="dxa"/>
            <w:vAlign w:val="center"/>
          </w:tcPr>
          <w:p w14:paraId="53643296">
            <w:pPr>
              <w:pStyle w:val="11"/>
            </w:pPr>
          </w:p>
        </w:tc>
        <w:tc>
          <w:tcPr>
            <w:tcW w:w="3402" w:type="dxa"/>
            <w:vAlign w:val="center"/>
          </w:tcPr>
          <w:p w14:paraId="203000FA">
            <w:pPr>
              <w:pStyle w:val="12"/>
            </w:pPr>
            <w:r>
              <w:t>四、公共安全支出</w:t>
            </w:r>
          </w:p>
        </w:tc>
        <w:tc>
          <w:tcPr>
            <w:tcW w:w="1474" w:type="dxa"/>
            <w:vAlign w:val="center"/>
          </w:tcPr>
          <w:p w14:paraId="3A75E66B">
            <w:pPr>
              <w:pStyle w:val="11"/>
            </w:pPr>
          </w:p>
        </w:tc>
        <w:tc>
          <w:tcPr>
            <w:tcW w:w="1474" w:type="dxa"/>
            <w:vAlign w:val="center"/>
          </w:tcPr>
          <w:p w14:paraId="24601C1F">
            <w:pPr>
              <w:pStyle w:val="11"/>
            </w:pPr>
          </w:p>
        </w:tc>
        <w:tc>
          <w:tcPr>
            <w:tcW w:w="1474" w:type="dxa"/>
            <w:vAlign w:val="center"/>
          </w:tcPr>
          <w:p w14:paraId="7AFE346B">
            <w:pPr>
              <w:pStyle w:val="11"/>
            </w:pPr>
          </w:p>
        </w:tc>
        <w:tc>
          <w:tcPr>
            <w:tcW w:w="1474" w:type="dxa"/>
            <w:vAlign w:val="center"/>
          </w:tcPr>
          <w:p w14:paraId="69BA5712">
            <w:pPr>
              <w:pStyle w:val="11"/>
            </w:pPr>
          </w:p>
        </w:tc>
      </w:tr>
      <w:tr w14:paraId="5434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23BB6">
            <w:pPr>
              <w:pStyle w:val="13"/>
            </w:pPr>
            <w:r>
              <w:t>5</w:t>
            </w:r>
          </w:p>
        </w:tc>
        <w:tc>
          <w:tcPr>
            <w:tcW w:w="3402" w:type="dxa"/>
            <w:vAlign w:val="center"/>
          </w:tcPr>
          <w:p w14:paraId="1897DCA3">
            <w:pPr>
              <w:pStyle w:val="12"/>
            </w:pPr>
          </w:p>
        </w:tc>
        <w:tc>
          <w:tcPr>
            <w:tcW w:w="1474" w:type="dxa"/>
            <w:vAlign w:val="center"/>
          </w:tcPr>
          <w:p w14:paraId="3ADF0377">
            <w:pPr>
              <w:pStyle w:val="11"/>
            </w:pPr>
          </w:p>
        </w:tc>
        <w:tc>
          <w:tcPr>
            <w:tcW w:w="3402" w:type="dxa"/>
            <w:vAlign w:val="center"/>
          </w:tcPr>
          <w:p w14:paraId="18A7BED0">
            <w:pPr>
              <w:pStyle w:val="12"/>
            </w:pPr>
            <w:r>
              <w:t>五、教育支出</w:t>
            </w:r>
          </w:p>
        </w:tc>
        <w:tc>
          <w:tcPr>
            <w:tcW w:w="1474" w:type="dxa"/>
            <w:vAlign w:val="center"/>
          </w:tcPr>
          <w:p w14:paraId="11E8B60D">
            <w:pPr>
              <w:pStyle w:val="11"/>
            </w:pPr>
            <w:r>
              <w:t>1075.32</w:t>
            </w:r>
          </w:p>
        </w:tc>
        <w:tc>
          <w:tcPr>
            <w:tcW w:w="1474" w:type="dxa"/>
            <w:vAlign w:val="center"/>
          </w:tcPr>
          <w:p w14:paraId="72537CA5">
            <w:pPr>
              <w:pStyle w:val="11"/>
            </w:pPr>
            <w:r>
              <w:t>1075.32</w:t>
            </w:r>
          </w:p>
        </w:tc>
        <w:tc>
          <w:tcPr>
            <w:tcW w:w="1474" w:type="dxa"/>
            <w:vAlign w:val="center"/>
          </w:tcPr>
          <w:p w14:paraId="42010E6E">
            <w:pPr>
              <w:pStyle w:val="11"/>
            </w:pPr>
          </w:p>
        </w:tc>
        <w:tc>
          <w:tcPr>
            <w:tcW w:w="1474" w:type="dxa"/>
            <w:vAlign w:val="center"/>
          </w:tcPr>
          <w:p w14:paraId="7169CA44">
            <w:pPr>
              <w:pStyle w:val="11"/>
            </w:pPr>
          </w:p>
        </w:tc>
      </w:tr>
      <w:tr w14:paraId="448B372D">
        <w:tblPrEx>
          <w:tblCellMar>
            <w:top w:w="0" w:type="dxa"/>
            <w:left w:w="108" w:type="dxa"/>
            <w:bottom w:w="0" w:type="dxa"/>
            <w:right w:w="108" w:type="dxa"/>
          </w:tblCellMar>
        </w:tblPrEx>
        <w:trPr>
          <w:trHeight w:val="369" w:hRule="atLeast"/>
          <w:jc w:val="center"/>
        </w:trPr>
        <w:tc>
          <w:tcPr>
            <w:tcW w:w="850" w:type="dxa"/>
            <w:vAlign w:val="center"/>
          </w:tcPr>
          <w:p w14:paraId="37383688">
            <w:pPr>
              <w:pStyle w:val="13"/>
            </w:pPr>
            <w:r>
              <w:t>6</w:t>
            </w:r>
          </w:p>
        </w:tc>
        <w:tc>
          <w:tcPr>
            <w:tcW w:w="3402" w:type="dxa"/>
            <w:vAlign w:val="center"/>
          </w:tcPr>
          <w:p w14:paraId="4B3D258C">
            <w:pPr>
              <w:pStyle w:val="12"/>
            </w:pPr>
          </w:p>
        </w:tc>
        <w:tc>
          <w:tcPr>
            <w:tcW w:w="1474" w:type="dxa"/>
            <w:vAlign w:val="center"/>
          </w:tcPr>
          <w:p w14:paraId="2EA0720E">
            <w:pPr>
              <w:pStyle w:val="11"/>
            </w:pPr>
          </w:p>
        </w:tc>
        <w:tc>
          <w:tcPr>
            <w:tcW w:w="3402" w:type="dxa"/>
            <w:vAlign w:val="center"/>
          </w:tcPr>
          <w:p w14:paraId="0DD7464B">
            <w:pPr>
              <w:pStyle w:val="12"/>
            </w:pPr>
            <w:r>
              <w:t>六、科学技术支出</w:t>
            </w:r>
          </w:p>
        </w:tc>
        <w:tc>
          <w:tcPr>
            <w:tcW w:w="1474" w:type="dxa"/>
            <w:vAlign w:val="center"/>
          </w:tcPr>
          <w:p w14:paraId="61928598">
            <w:pPr>
              <w:pStyle w:val="11"/>
            </w:pPr>
          </w:p>
        </w:tc>
        <w:tc>
          <w:tcPr>
            <w:tcW w:w="1474" w:type="dxa"/>
            <w:vAlign w:val="center"/>
          </w:tcPr>
          <w:p w14:paraId="7572BC04">
            <w:pPr>
              <w:pStyle w:val="11"/>
            </w:pPr>
          </w:p>
        </w:tc>
        <w:tc>
          <w:tcPr>
            <w:tcW w:w="1474" w:type="dxa"/>
            <w:vAlign w:val="center"/>
          </w:tcPr>
          <w:p w14:paraId="6D6E1D83">
            <w:pPr>
              <w:pStyle w:val="11"/>
            </w:pPr>
          </w:p>
        </w:tc>
        <w:tc>
          <w:tcPr>
            <w:tcW w:w="1474" w:type="dxa"/>
            <w:vAlign w:val="center"/>
          </w:tcPr>
          <w:p w14:paraId="61F927F0">
            <w:pPr>
              <w:pStyle w:val="11"/>
            </w:pPr>
          </w:p>
        </w:tc>
      </w:tr>
      <w:tr w14:paraId="7AD181CA">
        <w:tblPrEx>
          <w:tblCellMar>
            <w:top w:w="0" w:type="dxa"/>
            <w:left w:w="108" w:type="dxa"/>
            <w:bottom w:w="0" w:type="dxa"/>
            <w:right w:w="108" w:type="dxa"/>
          </w:tblCellMar>
        </w:tblPrEx>
        <w:trPr>
          <w:trHeight w:val="369" w:hRule="atLeast"/>
          <w:jc w:val="center"/>
        </w:trPr>
        <w:tc>
          <w:tcPr>
            <w:tcW w:w="850" w:type="dxa"/>
            <w:vAlign w:val="center"/>
          </w:tcPr>
          <w:p w14:paraId="72B1740F">
            <w:pPr>
              <w:pStyle w:val="13"/>
            </w:pPr>
            <w:r>
              <w:t>7</w:t>
            </w:r>
          </w:p>
        </w:tc>
        <w:tc>
          <w:tcPr>
            <w:tcW w:w="3402" w:type="dxa"/>
            <w:vAlign w:val="center"/>
          </w:tcPr>
          <w:p w14:paraId="355EF790">
            <w:pPr>
              <w:pStyle w:val="12"/>
            </w:pPr>
          </w:p>
        </w:tc>
        <w:tc>
          <w:tcPr>
            <w:tcW w:w="1474" w:type="dxa"/>
            <w:vAlign w:val="center"/>
          </w:tcPr>
          <w:p w14:paraId="561C5342">
            <w:pPr>
              <w:pStyle w:val="11"/>
            </w:pPr>
          </w:p>
        </w:tc>
        <w:tc>
          <w:tcPr>
            <w:tcW w:w="3402" w:type="dxa"/>
            <w:vAlign w:val="center"/>
          </w:tcPr>
          <w:p w14:paraId="6223588A">
            <w:pPr>
              <w:pStyle w:val="12"/>
            </w:pPr>
            <w:r>
              <w:t>七、文化旅游体育与传媒支出</w:t>
            </w:r>
          </w:p>
        </w:tc>
        <w:tc>
          <w:tcPr>
            <w:tcW w:w="1474" w:type="dxa"/>
            <w:vAlign w:val="center"/>
          </w:tcPr>
          <w:p w14:paraId="07A35DAE">
            <w:pPr>
              <w:pStyle w:val="11"/>
            </w:pPr>
          </w:p>
        </w:tc>
        <w:tc>
          <w:tcPr>
            <w:tcW w:w="1474" w:type="dxa"/>
            <w:vAlign w:val="center"/>
          </w:tcPr>
          <w:p w14:paraId="01AAE67F">
            <w:pPr>
              <w:pStyle w:val="11"/>
            </w:pPr>
          </w:p>
        </w:tc>
        <w:tc>
          <w:tcPr>
            <w:tcW w:w="1474" w:type="dxa"/>
            <w:vAlign w:val="center"/>
          </w:tcPr>
          <w:p w14:paraId="5E7DD11F">
            <w:pPr>
              <w:pStyle w:val="11"/>
            </w:pPr>
          </w:p>
        </w:tc>
        <w:tc>
          <w:tcPr>
            <w:tcW w:w="1474" w:type="dxa"/>
            <w:vAlign w:val="center"/>
          </w:tcPr>
          <w:p w14:paraId="33A89B6F">
            <w:pPr>
              <w:pStyle w:val="11"/>
            </w:pPr>
          </w:p>
        </w:tc>
      </w:tr>
      <w:tr w14:paraId="48BB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682D5">
            <w:pPr>
              <w:pStyle w:val="13"/>
            </w:pPr>
            <w:r>
              <w:t>8</w:t>
            </w:r>
          </w:p>
        </w:tc>
        <w:tc>
          <w:tcPr>
            <w:tcW w:w="3402" w:type="dxa"/>
            <w:vAlign w:val="center"/>
          </w:tcPr>
          <w:p w14:paraId="30953F81">
            <w:pPr>
              <w:pStyle w:val="12"/>
            </w:pPr>
          </w:p>
        </w:tc>
        <w:tc>
          <w:tcPr>
            <w:tcW w:w="1474" w:type="dxa"/>
            <w:vAlign w:val="center"/>
          </w:tcPr>
          <w:p w14:paraId="4D48B24D">
            <w:pPr>
              <w:pStyle w:val="11"/>
            </w:pPr>
          </w:p>
        </w:tc>
        <w:tc>
          <w:tcPr>
            <w:tcW w:w="3402" w:type="dxa"/>
            <w:vAlign w:val="center"/>
          </w:tcPr>
          <w:p w14:paraId="59B60A44">
            <w:pPr>
              <w:pStyle w:val="12"/>
            </w:pPr>
            <w:r>
              <w:t>八、社会保障和就业支出</w:t>
            </w:r>
          </w:p>
        </w:tc>
        <w:tc>
          <w:tcPr>
            <w:tcW w:w="1474" w:type="dxa"/>
            <w:vAlign w:val="center"/>
          </w:tcPr>
          <w:p w14:paraId="4622B09F">
            <w:pPr>
              <w:pStyle w:val="11"/>
            </w:pPr>
          </w:p>
        </w:tc>
        <w:tc>
          <w:tcPr>
            <w:tcW w:w="1474" w:type="dxa"/>
            <w:vAlign w:val="center"/>
          </w:tcPr>
          <w:p w14:paraId="466372D8">
            <w:pPr>
              <w:pStyle w:val="11"/>
            </w:pPr>
          </w:p>
        </w:tc>
        <w:tc>
          <w:tcPr>
            <w:tcW w:w="1474" w:type="dxa"/>
            <w:vAlign w:val="center"/>
          </w:tcPr>
          <w:p w14:paraId="512E68D9">
            <w:pPr>
              <w:pStyle w:val="11"/>
            </w:pPr>
          </w:p>
        </w:tc>
        <w:tc>
          <w:tcPr>
            <w:tcW w:w="1474" w:type="dxa"/>
            <w:vAlign w:val="center"/>
          </w:tcPr>
          <w:p w14:paraId="097CEAC1">
            <w:pPr>
              <w:pStyle w:val="11"/>
            </w:pPr>
          </w:p>
        </w:tc>
      </w:tr>
      <w:tr w14:paraId="62ACAEAD">
        <w:tblPrEx>
          <w:tblCellMar>
            <w:top w:w="0" w:type="dxa"/>
            <w:left w:w="108" w:type="dxa"/>
            <w:bottom w:w="0" w:type="dxa"/>
            <w:right w:w="108" w:type="dxa"/>
          </w:tblCellMar>
        </w:tblPrEx>
        <w:trPr>
          <w:trHeight w:val="369" w:hRule="atLeast"/>
          <w:jc w:val="center"/>
        </w:trPr>
        <w:tc>
          <w:tcPr>
            <w:tcW w:w="850" w:type="dxa"/>
            <w:vAlign w:val="center"/>
          </w:tcPr>
          <w:p w14:paraId="6379E356">
            <w:pPr>
              <w:pStyle w:val="13"/>
            </w:pPr>
            <w:r>
              <w:t>9</w:t>
            </w:r>
          </w:p>
        </w:tc>
        <w:tc>
          <w:tcPr>
            <w:tcW w:w="3402" w:type="dxa"/>
            <w:vAlign w:val="center"/>
          </w:tcPr>
          <w:p w14:paraId="41DC360B">
            <w:pPr>
              <w:pStyle w:val="12"/>
            </w:pPr>
          </w:p>
        </w:tc>
        <w:tc>
          <w:tcPr>
            <w:tcW w:w="1474" w:type="dxa"/>
            <w:vAlign w:val="center"/>
          </w:tcPr>
          <w:p w14:paraId="72F94274">
            <w:pPr>
              <w:pStyle w:val="11"/>
            </w:pPr>
          </w:p>
        </w:tc>
        <w:tc>
          <w:tcPr>
            <w:tcW w:w="3402" w:type="dxa"/>
            <w:vAlign w:val="center"/>
          </w:tcPr>
          <w:p w14:paraId="32729150">
            <w:pPr>
              <w:pStyle w:val="12"/>
            </w:pPr>
            <w:r>
              <w:t>九、社会保险基金支出</w:t>
            </w:r>
          </w:p>
        </w:tc>
        <w:tc>
          <w:tcPr>
            <w:tcW w:w="1474" w:type="dxa"/>
            <w:vAlign w:val="center"/>
          </w:tcPr>
          <w:p w14:paraId="2F0410AA">
            <w:pPr>
              <w:pStyle w:val="11"/>
            </w:pPr>
          </w:p>
        </w:tc>
        <w:tc>
          <w:tcPr>
            <w:tcW w:w="1474" w:type="dxa"/>
            <w:vAlign w:val="center"/>
          </w:tcPr>
          <w:p w14:paraId="501457CD">
            <w:pPr>
              <w:pStyle w:val="11"/>
            </w:pPr>
          </w:p>
        </w:tc>
        <w:tc>
          <w:tcPr>
            <w:tcW w:w="1474" w:type="dxa"/>
            <w:vAlign w:val="center"/>
          </w:tcPr>
          <w:p w14:paraId="5DE16209">
            <w:pPr>
              <w:pStyle w:val="11"/>
            </w:pPr>
          </w:p>
        </w:tc>
        <w:tc>
          <w:tcPr>
            <w:tcW w:w="1474" w:type="dxa"/>
            <w:vAlign w:val="center"/>
          </w:tcPr>
          <w:p w14:paraId="4EE332B8">
            <w:pPr>
              <w:pStyle w:val="11"/>
            </w:pPr>
          </w:p>
        </w:tc>
      </w:tr>
      <w:tr w14:paraId="2B80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35E60">
            <w:pPr>
              <w:pStyle w:val="13"/>
            </w:pPr>
            <w:r>
              <w:t>10</w:t>
            </w:r>
          </w:p>
        </w:tc>
        <w:tc>
          <w:tcPr>
            <w:tcW w:w="3402" w:type="dxa"/>
            <w:vAlign w:val="center"/>
          </w:tcPr>
          <w:p w14:paraId="005BF9D4">
            <w:pPr>
              <w:pStyle w:val="12"/>
            </w:pPr>
          </w:p>
        </w:tc>
        <w:tc>
          <w:tcPr>
            <w:tcW w:w="1474" w:type="dxa"/>
            <w:vAlign w:val="center"/>
          </w:tcPr>
          <w:p w14:paraId="2095719D">
            <w:pPr>
              <w:pStyle w:val="11"/>
            </w:pPr>
          </w:p>
        </w:tc>
        <w:tc>
          <w:tcPr>
            <w:tcW w:w="3402" w:type="dxa"/>
            <w:vAlign w:val="center"/>
          </w:tcPr>
          <w:p w14:paraId="5F418616">
            <w:pPr>
              <w:pStyle w:val="12"/>
            </w:pPr>
            <w:r>
              <w:t>十、卫生健康支出</w:t>
            </w:r>
          </w:p>
        </w:tc>
        <w:tc>
          <w:tcPr>
            <w:tcW w:w="1474" w:type="dxa"/>
            <w:vAlign w:val="center"/>
          </w:tcPr>
          <w:p w14:paraId="2909AE72">
            <w:pPr>
              <w:pStyle w:val="11"/>
            </w:pPr>
          </w:p>
        </w:tc>
        <w:tc>
          <w:tcPr>
            <w:tcW w:w="1474" w:type="dxa"/>
            <w:vAlign w:val="center"/>
          </w:tcPr>
          <w:p w14:paraId="7E3A77C6">
            <w:pPr>
              <w:pStyle w:val="11"/>
            </w:pPr>
          </w:p>
        </w:tc>
        <w:tc>
          <w:tcPr>
            <w:tcW w:w="1474" w:type="dxa"/>
            <w:vAlign w:val="center"/>
          </w:tcPr>
          <w:p w14:paraId="022DFAEC">
            <w:pPr>
              <w:pStyle w:val="11"/>
            </w:pPr>
          </w:p>
        </w:tc>
        <w:tc>
          <w:tcPr>
            <w:tcW w:w="1474" w:type="dxa"/>
            <w:vAlign w:val="center"/>
          </w:tcPr>
          <w:p w14:paraId="4C486010">
            <w:pPr>
              <w:pStyle w:val="11"/>
            </w:pPr>
          </w:p>
        </w:tc>
      </w:tr>
      <w:tr w14:paraId="28D3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3C07B">
            <w:pPr>
              <w:pStyle w:val="13"/>
            </w:pPr>
            <w:r>
              <w:t>11</w:t>
            </w:r>
          </w:p>
        </w:tc>
        <w:tc>
          <w:tcPr>
            <w:tcW w:w="3402" w:type="dxa"/>
            <w:vAlign w:val="center"/>
          </w:tcPr>
          <w:p w14:paraId="76473101">
            <w:pPr>
              <w:pStyle w:val="12"/>
            </w:pPr>
          </w:p>
        </w:tc>
        <w:tc>
          <w:tcPr>
            <w:tcW w:w="1474" w:type="dxa"/>
            <w:vAlign w:val="center"/>
          </w:tcPr>
          <w:p w14:paraId="30E774AA">
            <w:pPr>
              <w:pStyle w:val="11"/>
            </w:pPr>
          </w:p>
        </w:tc>
        <w:tc>
          <w:tcPr>
            <w:tcW w:w="3402" w:type="dxa"/>
            <w:vAlign w:val="center"/>
          </w:tcPr>
          <w:p w14:paraId="0CE038DF">
            <w:pPr>
              <w:pStyle w:val="12"/>
            </w:pPr>
            <w:r>
              <w:t>十一、节能环保支出</w:t>
            </w:r>
          </w:p>
        </w:tc>
        <w:tc>
          <w:tcPr>
            <w:tcW w:w="1474" w:type="dxa"/>
            <w:vAlign w:val="center"/>
          </w:tcPr>
          <w:p w14:paraId="33A4EA61">
            <w:pPr>
              <w:pStyle w:val="11"/>
            </w:pPr>
          </w:p>
        </w:tc>
        <w:tc>
          <w:tcPr>
            <w:tcW w:w="1474" w:type="dxa"/>
            <w:vAlign w:val="center"/>
          </w:tcPr>
          <w:p w14:paraId="72D96357">
            <w:pPr>
              <w:pStyle w:val="11"/>
            </w:pPr>
          </w:p>
        </w:tc>
        <w:tc>
          <w:tcPr>
            <w:tcW w:w="1474" w:type="dxa"/>
            <w:vAlign w:val="center"/>
          </w:tcPr>
          <w:p w14:paraId="617F7692">
            <w:pPr>
              <w:pStyle w:val="11"/>
            </w:pPr>
          </w:p>
        </w:tc>
        <w:tc>
          <w:tcPr>
            <w:tcW w:w="1474" w:type="dxa"/>
            <w:vAlign w:val="center"/>
          </w:tcPr>
          <w:p w14:paraId="2D62344E">
            <w:pPr>
              <w:pStyle w:val="11"/>
            </w:pPr>
          </w:p>
        </w:tc>
      </w:tr>
      <w:tr w14:paraId="4E85281D">
        <w:tblPrEx>
          <w:tblCellMar>
            <w:top w:w="0" w:type="dxa"/>
            <w:left w:w="108" w:type="dxa"/>
            <w:bottom w:w="0" w:type="dxa"/>
            <w:right w:w="108" w:type="dxa"/>
          </w:tblCellMar>
        </w:tblPrEx>
        <w:trPr>
          <w:trHeight w:val="369" w:hRule="atLeast"/>
          <w:jc w:val="center"/>
        </w:trPr>
        <w:tc>
          <w:tcPr>
            <w:tcW w:w="850" w:type="dxa"/>
            <w:vAlign w:val="center"/>
          </w:tcPr>
          <w:p w14:paraId="24B345E8">
            <w:pPr>
              <w:pStyle w:val="13"/>
            </w:pPr>
            <w:r>
              <w:t>12</w:t>
            </w:r>
          </w:p>
        </w:tc>
        <w:tc>
          <w:tcPr>
            <w:tcW w:w="3402" w:type="dxa"/>
            <w:vAlign w:val="center"/>
          </w:tcPr>
          <w:p w14:paraId="1057AA36">
            <w:pPr>
              <w:pStyle w:val="12"/>
            </w:pPr>
          </w:p>
        </w:tc>
        <w:tc>
          <w:tcPr>
            <w:tcW w:w="1474" w:type="dxa"/>
            <w:vAlign w:val="center"/>
          </w:tcPr>
          <w:p w14:paraId="18FB6649">
            <w:pPr>
              <w:pStyle w:val="11"/>
            </w:pPr>
          </w:p>
        </w:tc>
        <w:tc>
          <w:tcPr>
            <w:tcW w:w="3402" w:type="dxa"/>
            <w:vAlign w:val="center"/>
          </w:tcPr>
          <w:p w14:paraId="6D63EF01">
            <w:pPr>
              <w:pStyle w:val="12"/>
            </w:pPr>
            <w:r>
              <w:t>十二、城乡社区支出</w:t>
            </w:r>
          </w:p>
        </w:tc>
        <w:tc>
          <w:tcPr>
            <w:tcW w:w="1474" w:type="dxa"/>
            <w:vAlign w:val="center"/>
          </w:tcPr>
          <w:p w14:paraId="4B748C39">
            <w:pPr>
              <w:pStyle w:val="11"/>
            </w:pPr>
          </w:p>
        </w:tc>
        <w:tc>
          <w:tcPr>
            <w:tcW w:w="1474" w:type="dxa"/>
            <w:vAlign w:val="center"/>
          </w:tcPr>
          <w:p w14:paraId="36D73EA9">
            <w:pPr>
              <w:pStyle w:val="11"/>
            </w:pPr>
          </w:p>
        </w:tc>
        <w:tc>
          <w:tcPr>
            <w:tcW w:w="1474" w:type="dxa"/>
            <w:vAlign w:val="center"/>
          </w:tcPr>
          <w:p w14:paraId="1A98130E">
            <w:pPr>
              <w:pStyle w:val="11"/>
            </w:pPr>
          </w:p>
        </w:tc>
        <w:tc>
          <w:tcPr>
            <w:tcW w:w="1474" w:type="dxa"/>
            <w:vAlign w:val="center"/>
          </w:tcPr>
          <w:p w14:paraId="477F6B94">
            <w:pPr>
              <w:pStyle w:val="11"/>
            </w:pPr>
          </w:p>
        </w:tc>
      </w:tr>
      <w:tr w14:paraId="56D9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7442">
            <w:pPr>
              <w:pStyle w:val="13"/>
            </w:pPr>
            <w:r>
              <w:t>13</w:t>
            </w:r>
          </w:p>
        </w:tc>
        <w:tc>
          <w:tcPr>
            <w:tcW w:w="3402" w:type="dxa"/>
            <w:vAlign w:val="center"/>
          </w:tcPr>
          <w:p w14:paraId="65AEA48E">
            <w:pPr>
              <w:pStyle w:val="12"/>
            </w:pPr>
          </w:p>
        </w:tc>
        <w:tc>
          <w:tcPr>
            <w:tcW w:w="1474" w:type="dxa"/>
            <w:vAlign w:val="center"/>
          </w:tcPr>
          <w:p w14:paraId="591A4C4C">
            <w:pPr>
              <w:pStyle w:val="11"/>
            </w:pPr>
          </w:p>
        </w:tc>
        <w:tc>
          <w:tcPr>
            <w:tcW w:w="3402" w:type="dxa"/>
            <w:vAlign w:val="center"/>
          </w:tcPr>
          <w:p w14:paraId="0FE5EF8D">
            <w:pPr>
              <w:pStyle w:val="12"/>
            </w:pPr>
            <w:r>
              <w:t>十三、农林水支出</w:t>
            </w:r>
          </w:p>
        </w:tc>
        <w:tc>
          <w:tcPr>
            <w:tcW w:w="1474" w:type="dxa"/>
            <w:vAlign w:val="center"/>
          </w:tcPr>
          <w:p w14:paraId="712813BA">
            <w:pPr>
              <w:pStyle w:val="11"/>
            </w:pPr>
          </w:p>
        </w:tc>
        <w:tc>
          <w:tcPr>
            <w:tcW w:w="1474" w:type="dxa"/>
            <w:vAlign w:val="center"/>
          </w:tcPr>
          <w:p w14:paraId="56ABCDC7">
            <w:pPr>
              <w:pStyle w:val="11"/>
            </w:pPr>
          </w:p>
        </w:tc>
        <w:tc>
          <w:tcPr>
            <w:tcW w:w="1474" w:type="dxa"/>
            <w:vAlign w:val="center"/>
          </w:tcPr>
          <w:p w14:paraId="5359F1AC">
            <w:pPr>
              <w:pStyle w:val="11"/>
            </w:pPr>
          </w:p>
        </w:tc>
        <w:tc>
          <w:tcPr>
            <w:tcW w:w="1474" w:type="dxa"/>
            <w:vAlign w:val="center"/>
          </w:tcPr>
          <w:p w14:paraId="457E7966">
            <w:pPr>
              <w:pStyle w:val="11"/>
            </w:pPr>
          </w:p>
        </w:tc>
      </w:tr>
      <w:tr w14:paraId="567CAE9B">
        <w:tblPrEx>
          <w:tblCellMar>
            <w:top w:w="0" w:type="dxa"/>
            <w:left w:w="108" w:type="dxa"/>
            <w:bottom w:w="0" w:type="dxa"/>
            <w:right w:w="108" w:type="dxa"/>
          </w:tblCellMar>
        </w:tblPrEx>
        <w:trPr>
          <w:trHeight w:val="369" w:hRule="atLeast"/>
          <w:jc w:val="center"/>
        </w:trPr>
        <w:tc>
          <w:tcPr>
            <w:tcW w:w="850" w:type="dxa"/>
            <w:vAlign w:val="center"/>
          </w:tcPr>
          <w:p w14:paraId="4817F5D7">
            <w:pPr>
              <w:pStyle w:val="13"/>
            </w:pPr>
            <w:r>
              <w:t>14</w:t>
            </w:r>
          </w:p>
        </w:tc>
        <w:tc>
          <w:tcPr>
            <w:tcW w:w="3402" w:type="dxa"/>
            <w:vAlign w:val="center"/>
          </w:tcPr>
          <w:p w14:paraId="48937314">
            <w:pPr>
              <w:pStyle w:val="12"/>
            </w:pPr>
          </w:p>
        </w:tc>
        <w:tc>
          <w:tcPr>
            <w:tcW w:w="1474" w:type="dxa"/>
            <w:vAlign w:val="center"/>
          </w:tcPr>
          <w:p w14:paraId="4395D5F1">
            <w:pPr>
              <w:pStyle w:val="11"/>
            </w:pPr>
          </w:p>
        </w:tc>
        <w:tc>
          <w:tcPr>
            <w:tcW w:w="3402" w:type="dxa"/>
            <w:vAlign w:val="center"/>
          </w:tcPr>
          <w:p w14:paraId="72F79F34">
            <w:pPr>
              <w:pStyle w:val="12"/>
            </w:pPr>
            <w:r>
              <w:t>十四、交通运输支出</w:t>
            </w:r>
          </w:p>
        </w:tc>
        <w:tc>
          <w:tcPr>
            <w:tcW w:w="1474" w:type="dxa"/>
            <w:vAlign w:val="center"/>
          </w:tcPr>
          <w:p w14:paraId="1FB03715">
            <w:pPr>
              <w:pStyle w:val="11"/>
            </w:pPr>
          </w:p>
        </w:tc>
        <w:tc>
          <w:tcPr>
            <w:tcW w:w="1474" w:type="dxa"/>
            <w:vAlign w:val="center"/>
          </w:tcPr>
          <w:p w14:paraId="49CF7DA6">
            <w:pPr>
              <w:pStyle w:val="11"/>
            </w:pPr>
          </w:p>
        </w:tc>
        <w:tc>
          <w:tcPr>
            <w:tcW w:w="1474" w:type="dxa"/>
            <w:vAlign w:val="center"/>
          </w:tcPr>
          <w:p w14:paraId="57B6FA03">
            <w:pPr>
              <w:pStyle w:val="11"/>
            </w:pPr>
          </w:p>
        </w:tc>
        <w:tc>
          <w:tcPr>
            <w:tcW w:w="1474" w:type="dxa"/>
            <w:vAlign w:val="center"/>
          </w:tcPr>
          <w:p w14:paraId="67B8B9DE">
            <w:pPr>
              <w:pStyle w:val="11"/>
            </w:pPr>
          </w:p>
        </w:tc>
      </w:tr>
      <w:tr w14:paraId="7E95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A06E9">
            <w:pPr>
              <w:pStyle w:val="13"/>
            </w:pPr>
            <w:r>
              <w:t>15</w:t>
            </w:r>
          </w:p>
        </w:tc>
        <w:tc>
          <w:tcPr>
            <w:tcW w:w="3402" w:type="dxa"/>
            <w:vAlign w:val="center"/>
          </w:tcPr>
          <w:p w14:paraId="36BDB3F5">
            <w:pPr>
              <w:pStyle w:val="12"/>
            </w:pPr>
          </w:p>
        </w:tc>
        <w:tc>
          <w:tcPr>
            <w:tcW w:w="1474" w:type="dxa"/>
            <w:vAlign w:val="center"/>
          </w:tcPr>
          <w:p w14:paraId="792B6D7C">
            <w:pPr>
              <w:pStyle w:val="11"/>
            </w:pPr>
          </w:p>
        </w:tc>
        <w:tc>
          <w:tcPr>
            <w:tcW w:w="3402" w:type="dxa"/>
            <w:vAlign w:val="center"/>
          </w:tcPr>
          <w:p w14:paraId="0F27E61F">
            <w:pPr>
              <w:pStyle w:val="12"/>
            </w:pPr>
            <w:r>
              <w:t>十五、资源勘探工业信息等支出</w:t>
            </w:r>
          </w:p>
        </w:tc>
        <w:tc>
          <w:tcPr>
            <w:tcW w:w="1474" w:type="dxa"/>
            <w:vAlign w:val="center"/>
          </w:tcPr>
          <w:p w14:paraId="47F663AC">
            <w:pPr>
              <w:pStyle w:val="11"/>
            </w:pPr>
          </w:p>
        </w:tc>
        <w:tc>
          <w:tcPr>
            <w:tcW w:w="1474" w:type="dxa"/>
            <w:vAlign w:val="center"/>
          </w:tcPr>
          <w:p w14:paraId="52C77FBE">
            <w:pPr>
              <w:pStyle w:val="11"/>
            </w:pPr>
          </w:p>
        </w:tc>
        <w:tc>
          <w:tcPr>
            <w:tcW w:w="1474" w:type="dxa"/>
            <w:vAlign w:val="center"/>
          </w:tcPr>
          <w:p w14:paraId="218EE2C9">
            <w:pPr>
              <w:pStyle w:val="11"/>
            </w:pPr>
          </w:p>
        </w:tc>
        <w:tc>
          <w:tcPr>
            <w:tcW w:w="1474" w:type="dxa"/>
            <w:vAlign w:val="center"/>
          </w:tcPr>
          <w:p w14:paraId="539F24E6">
            <w:pPr>
              <w:pStyle w:val="11"/>
            </w:pPr>
          </w:p>
        </w:tc>
      </w:tr>
      <w:tr w14:paraId="7A1F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AC4A0">
            <w:pPr>
              <w:pStyle w:val="13"/>
            </w:pPr>
            <w:r>
              <w:t>16</w:t>
            </w:r>
          </w:p>
        </w:tc>
        <w:tc>
          <w:tcPr>
            <w:tcW w:w="3402" w:type="dxa"/>
            <w:vAlign w:val="center"/>
          </w:tcPr>
          <w:p w14:paraId="6C00DEAB">
            <w:pPr>
              <w:pStyle w:val="12"/>
            </w:pPr>
          </w:p>
        </w:tc>
        <w:tc>
          <w:tcPr>
            <w:tcW w:w="1474" w:type="dxa"/>
            <w:vAlign w:val="center"/>
          </w:tcPr>
          <w:p w14:paraId="3B6451B3">
            <w:pPr>
              <w:pStyle w:val="11"/>
            </w:pPr>
          </w:p>
        </w:tc>
        <w:tc>
          <w:tcPr>
            <w:tcW w:w="3402" w:type="dxa"/>
            <w:vAlign w:val="center"/>
          </w:tcPr>
          <w:p w14:paraId="227CD9C1">
            <w:pPr>
              <w:pStyle w:val="12"/>
            </w:pPr>
            <w:r>
              <w:t>十六、商业服务业等支出</w:t>
            </w:r>
          </w:p>
        </w:tc>
        <w:tc>
          <w:tcPr>
            <w:tcW w:w="1474" w:type="dxa"/>
            <w:vAlign w:val="center"/>
          </w:tcPr>
          <w:p w14:paraId="1505A8A4">
            <w:pPr>
              <w:pStyle w:val="11"/>
            </w:pPr>
          </w:p>
        </w:tc>
        <w:tc>
          <w:tcPr>
            <w:tcW w:w="1474" w:type="dxa"/>
            <w:vAlign w:val="center"/>
          </w:tcPr>
          <w:p w14:paraId="3CE162AC">
            <w:pPr>
              <w:pStyle w:val="11"/>
            </w:pPr>
          </w:p>
        </w:tc>
        <w:tc>
          <w:tcPr>
            <w:tcW w:w="1474" w:type="dxa"/>
            <w:vAlign w:val="center"/>
          </w:tcPr>
          <w:p w14:paraId="6F2CCBC2">
            <w:pPr>
              <w:pStyle w:val="11"/>
            </w:pPr>
          </w:p>
        </w:tc>
        <w:tc>
          <w:tcPr>
            <w:tcW w:w="1474" w:type="dxa"/>
            <w:vAlign w:val="center"/>
          </w:tcPr>
          <w:p w14:paraId="52D6AE6A">
            <w:pPr>
              <w:pStyle w:val="11"/>
            </w:pPr>
          </w:p>
        </w:tc>
      </w:tr>
      <w:tr w14:paraId="1F30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B96BE">
            <w:pPr>
              <w:pStyle w:val="13"/>
            </w:pPr>
            <w:r>
              <w:t>17</w:t>
            </w:r>
          </w:p>
        </w:tc>
        <w:tc>
          <w:tcPr>
            <w:tcW w:w="3402" w:type="dxa"/>
            <w:vAlign w:val="center"/>
          </w:tcPr>
          <w:p w14:paraId="045EBAB4">
            <w:pPr>
              <w:pStyle w:val="12"/>
            </w:pPr>
          </w:p>
        </w:tc>
        <w:tc>
          <w:tcPr>
            <w:tcW w:w="1474" w:type="dxa"/>
            <w:vAlign w:val="center"/>
          </w:tcPr>
          <w:p w14:paraId="2C7570C2">
            <w:pPr>
              <w:pStyle w:val="11"/>
            </w:pPr>
          </w:p>
        </w:tc>
        <w:tc>
          <w:tcPr>
            <w:tcW w:w="3402" w:type="dxa"/>
            <w:vAlign w:val="center"/>
          </w:tcPr>
          <w:p w14:paraId="0D6411BC">
            <w:pPr>
              <w:pStyle w:val="12"/>
            </w:pPr>
            <w:r>
              <w:t>十七、金融支出</w:t>
            </w:r>
          </w:p>
        </w:tc>
        <w:tc>
          <w:tcPr>
            <w:tcW w:w="1474" w:type="dxa"/>
            <w:vAlign w:val="center"/>
          </w:tcPr>
          <w:p w14:paraId="62E9C50E">
            <w:pPr>
              <w:pStyle w:val="11"/>
            </w:pPr>
          </w:p>
        </w:tc>
        <w:tc>
          <w:tcPr>
            <w:tcW w:w="1474" w:type="dxa"/>
            <w:vAlign w:val="center"/>
          </w:tcPr>
          <w:p w14:paraId="63B47B48">
            <w:pPr>
              <w:pStyle w:val="11"/>
            </w:pPr>
          </w:p>
        </w:tc>
        <w:tc>
          <w:tcPr>
            <w:tcW w:w="1474" w:type="dxa"/>
            <w:vAlign w:val="center"/>
          </w:tcPr>
          <w:p w14:paraId="175E68B3">
            <w:pPr>
              <w:pStyle w:val="11"/>
            </w:pPr>
          </w:p>
        </w:tc>
        <w:tc>
          <w:tcPr>
            <w:tcW w:w="1474" w:type="dxa"/>
            <w:vAlign w:val="center"/>
          </w:tcPr>
          <w:p w14:paraId="3925B488">
            <w:pPr>
              <w:pStyle w:val="11"/>
            </w:pPr>
          </w:p>
        </w:tc>
      </w:tr>
      <w:tr w14:paraId="553C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EF77">
            <w:pPr>
              <w:pStyle w:val="13"/>
            </w:pPr>
            <w:r>
              <w:t>18</w:t>
            </w:r>
          </w:p>
        </w:tc>
        <w:tc>
          <w:tcPr>
            <w:tcW w:w="3402" w:type="dxa"/>
            <w:vAlign w:val="center"/>
          </w:tcPr>
          <w:p w14:paraId="2A3421E2">
            <w:pPr>
              <w:pStyle w:val="12"/>
            </w:pPr>
          </w:p>
        </w:tc>
        <w:tc>
          <w:tcPr>
            <w:tcW w:w="1474" w:type="dxa"/>
            <w:vAlign w:val="center"/>
          </w:tcPr>
          <w:p w14:paraId="705B72D9">
            <w:pPr>
              <w:pStyle w:val="11"/>
            </w:pPr>
          </w:p>
        </w:tc>
        <w:tc>
          <w:tcPr>
            <w:tcW w:w="3402" w:type="dxa"/>
            <w:vAlign w:val="center"/>
          </w:tcPr>
          <w:p w14:paraId="343B64E4">
            <w:pPr>
              <w:pStyle w:val="12"/>
            </w:pPr>
            <w:r>
              <w:t>十八、援助其他地区支出</w:t>
            </w:r>
          </w:p>
        </w:tc>
        <w:tc>
          <w:tcPr>
            <w:tcW w:w="1474" w:type="dxa"/>
            <w:vAlign w:val="center"/>
          </w:tcPr>
          <w:p w14:paraId="5BFCFCAC">
            <w:pPr>
              <w:pStyle w:val="11"/>
            </w:pPr>
          </w:p>
        </w:tc>
        <w:tc>
          <w:tcPr>
            <w:tcW w:w="1474" w:type="dxa"/>
            <w:vAlign w:val="center"/>
          </w:tcPr>
          <w:p w14:paraId="3AA671F2">
            <w:pPr>
              <w:pStyle w:val="11"/>
            </w:pPr>
          </w:p>
        </w:tc>
        <w:tc>
          <w:tcPr>
            <w:tcW w:w="1474" w:type="dxa"/>
            <w:vAlign w:val="center"/>
          </w:tcPr>
          <w:p w14:paraId="4EDA5D28">
            <w:pPr>
              <w:pStyle w:val="11"/>
            </w:pPr>
          </w:p>
        </w:tc>
        <w:tc>
          <w:tcPr>
            <w:tcW w:w="1474" w:type="dxa"/>
            <w:vAlign w:val="center"/>
          </w:tcPr>
          <w:p w14:paraId="60F8F7BA">
            <w:pPr>
              <w:pStyle w:val="11"/>
            </w:pPr>
          </w:p>
        </w:tc>
      </w:tr>
      <w:tr w14:paraId="2365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13008">
            <w:pPr>
              <w:pStyle w:val="13"/>
            </w:pPr>
            <w:r>
              <w:t>19</w:t>
            </w:r>
          </w:p>
        </w:tc>
        <w:tc>
          <w:tcPr>
            <w:tcW w:w="3402" w:type="dxa"/>
            <w:vAlign w:val="center"/>
          </w:tcPr>
          <w:p w14:paraId="11EF7620">
            <w:pPr>
              <w:pStyle w:val="12"/>
            </w:pPr>
          </w:p>
        </w:tc>
        <w:tc>
          <w:tcPr>
            <w:tcW w:w="1474" w:type="dxa"/>
            <w:vAlign w:val="center"/>
          </w:tcPr>
          <w:p w14:paraId="60860C87">
            <w:pPr>
              <w:pStyle w:val="11"/>
            </w:pPr>
          </w:p>
        </w:tc>
        <w:tc>
          <w:tcPr>
            <w:tcW w:w="3402" w:type="dxa"/>
            <w:vAlign w:val="center"/>
          </w:tcPr>
          <w:p w14:paraId="652A1CCD">
            <w:pPr>
              <w:pStyle w:val="12"/>
            </w:pPr>
            <w:r>
              <w:t>十九、自然资源海洋气象等支出</w:t>
            </w:r>
          </w:p>
        </w:tc>
        <w:tc>
          <w:tcPr>
            <w:tcW w:w="1474" w:type="dxa"/>
            <w:vAlign w:val="center"/>
          </w:tcPr>
          <w:p w14:paraId="6EE5F24A">
            <w:pPr>
              <w:pStyle w:val="11"/>
            </w:pPr>
          </w:p>
        </w:tc>
        <w:tc>
          <w:tcPr>
            <w:tcW w:w="1474" w:type="dxa"/>
            <w:vAlign w:val="center"/>
          </w:tcPr>
          <w:p w14:paraId="40AB78C5">
            <w:pPr>
              <w:pStyle w:val="11"/>
            </w:pPr>
          </w:p>
        </w:tc>
        <w:tc>
          <w:tcPr>
            <w:tcW w:w="1474" w:type="dxa"/>
            <w:vAlign w:val="center"/>
          </w:tcPr>
          <w:p w14:paraId="1CFA9ACA">
            <w:pPr>
              <w:pStyle w:val="11"/>
            </w:pPr>
          </w:p>
        </w:tc>
        <w:tc>
          <w:tcPr>
            <w:tcW w:w="1474" w:type="dxa"/>
            <w:vAlign w:val="center"/>
          </w:tcPr>
          <w:p w14:paraId="7BEFDAF2">
            <w:pPr>
              <w:pStyle w:val="11"/>
            </w:pPr>
          </w:p>
        </w:tc>
      </w:tr>
      <w:tr w14:paraId="4519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1E594">
            <w:pPr>
              <w:pStyle w:val="13"/>
            </w:pPr>
            <w:r>
              <w:t>20</w:t>
            </w:r>
          </w:p>
        </w:tc>
        <w:tc>
          <w:tcPr>
            <w:tcW w:w="3402" w:type="dxa"/>
            <w:vAlign w:val="center"/>
          </w:tcPr>
          <w:p w14:paraId="7D2692D3">
            <w:pPr>
              <w:pStyle w:val="12"/>
            </w:pPr>
          </w:p>
        </w:tc>
        <w:tc>
          <w:tcPr>
            <w:tcW w:w="1474" w:type="dxa"/>
            <w:vAlign w:val="center"/>
          </w:tcPr>
          <w:p w14:paraId="5E3A21AE">
            <w:pPr>
              <w:pStyle w:val="11"/>
            </w:pPr>
          </w:p>
        </w:tc>
        <w:tc>
          <w:tcPr>
            <w:tcW w:w="3402" w:type="dxa"/>
            <w:vAlign w:val="center"/>
          </w:tcPr>
          <w:p w14:paraId="0A0CDFD3">
            <w:pPr>
              <w:pStyle w:val="12"/>
            </w:pPr>
            <w:r>
              <w:t>二十、住房保障支出</w:t>
            </w:r>
          </w:p>
        </w:tc>
        <w:tc>
          <w:tcPr>
            <w:tcW w:w="1474" w:type="dxa"/>
            <w:vAlign w:val="center"/>
          </w:tcPr>
          <w:p w14:paraId="1586925B">
            <w:pPr>
              <w:pStyle w:val="11"/>
            </w:pPr>
          </w:p>
        </w:tc>
        <w:tc>
          <w:tcPr>
            <w:tcW w:w="1474" w:type="dxa"/>
            <w:vAlign w:val="center"/>
          </w:tcPr>
          <w:p w14:paraId="3CF2B56D">
            <w:pPr>
              <w:pStyle w:val="11"/>
            </w:pPr>
          </w:p>
        </w:tc>
        <w:tc>
          <w:tcPr>
            <w:tcW w:w="1474" w:type="dxa"/>
            <w:vAlign w:val="center"/>
          </w:tcPr>
          <w:p w14:paraId="2A73C6F8">
            <w:pPr>
              <w:pStyle w:val="11"/>
            </w:pPr>
          </w:p>
        </w:tc>
        <w:tc>
          <w:tcPr>
            <w:tcW w:w="1474" w:type="dxa"/>
            <w:vAlign w:val="center"/>
          </w:tcPr>
          <w:p w14:paraId="1D2623A4">
            <w:pPr>
              <w:pStyle w:val="11"/>
            </w:pPr>
          </w:p>
        </w:tc>
      </w:tr>
      <w:tr w14:paraId="54FA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C7E1">
            <w:pPr>
              <w:pStyle w:val="13"/>
            </w:pPr>
            <w:r>
              <w:t>21</w:t>
            </w:r>
          </w:p>
        </w:tc>
        <w:tc>
          <w:tcPr>
            <w:tcW w:w="3402" w:type="dxa"/>
            <w:vAlign w:val="center"/>
          </w:tcPr>
          <w:p w14:paraId="1D1F9352">
            <w:pPr>
              <w:pStyle w:val="12"/>
            </w:pPr>
          </w:p>
        </w:tc>
        <w:tc>
          <w:tcPr>
            <w:tcW w:w="1474" w:type="dxa"/>
            <w:vAlign w:val="center"/>
          </w:tcPr>
          <w:p w14:paraId="1FA14347">
            <w:pPr>
              <w:pStyle w:val="11"/>
            </w:pPr>
          </w:p>
        </w:tc>
        <w:tc>
          <w:tcPr>
            <w:tcW w:w="3402" w:type="dxa"/>
            <w:vAlign w:val="center"/>
          </w:tcPr>
          <w:p w14:paraId="412D0A2A">
            <w:pPr>
              <w:pStyle w:val="12"/>
            </w:pPr>
            <w:r>
              <w:t>二十一、粮油物资储备支出</w:t>
            </w:r>
          </w:p>
        </w:tc>
        <w:tc>
          <w:tcPr>
            <w:tcW w:w="1474" w:type="dxa"/>
            <w:vAlign w:val="center"/>
          </w:tcPr>
          <w:p w14:paraId="16690A67">
            <w:pPr>
              <w:pStyle w:val="11"/>
            </w:pPr>
          </w:p>
        </w:tc>
        <w:tc>
          <w:tcPr>
            <w:tcW w:w="1474" w:type="dxa"/>
            <w:vAlign w:val="center"/>
          </w:tcPr>
          <w:p w14:paraId="77BD93F9">
            <w:pPr>
              <w:pStyle w:val="11"/>
            </w:pPr>
          </w:p>
        </w:tc>
        <w:tc>
          <w:tcPr>
            <w:tcW w:w="1474" w:type="dxa"/>
            <w:vAlign w:val="center"/>
          </w:tcPr>
          <w:p w14:paraId="11961E6A">
            <w:pPr>
              <w:pStyle w:val="11"/>
            </w:pPr>
          </w:p>
        </w:tc>
        <w:tc>
          <w:tcPr>
            <w:tcW w:w="1474" w:type="dxa"/>
            <w:vAlign w:val="center"/>
          </w:tcPr>
          <w:p w14:paraId="66DA8792">
            <w:pPr>
              <w:pStyle w:val="11"/>
            </w:pPr>
          </w:p>
        </w:tc>
      </w:tr>
      <w:tr w14:paraId="1819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95E6">
            <w:pPr>
              <w:pStyle w:val="13"/>
            </w:pPr>
            <w:r>
              <w:t>22</w:t>
            </w:r>
          </w:p>
        </w:tc>
        <w:tc>
          <w:tcPr>
            <w:tcW w:w="3402" w:type="dxa"/>
            <w:vAlign w:val="center"/>
          </w:tcPr>
          <w:p w14:paraId="69B0F3A5">
            <w:pPr>
              <w:pStyle w:val="12"/>
            </w:pPr>
          </w:p>
        </w:tc>
        <w:tc>
          <w:tcPr>
            <w:tcW w:w="1474" w:type="dxa"/>
            <w:vAlign w:val="center"/>
          </w:tcPr>
          <w:p w14:paraId="0BDC50FD">
            <w:pPr>
              <w:pStyle w:val="11"/>
            </w:pPr>
          </w:p>
        </w:tc>
        <w:tc>
          <w:tcPr>
            <w:tcW w:w="3402" w:type="dxa"/>
            <w:vAlign w:val="center"/>
          </w:tcPr>
          <w:p w14:paraId="22257980">
            <w:pPr>
              <w:pStyle w:val="12"/>
            </w:pPr>
            <w:r>
              <w:t>二十二、国有资本经营预算支出</w:t>
            </w:r>
          </w:p>
        </w:tc>
        <w:tc>
          <w:tcPr>
            <w:tcW w:w="1474" w:type="dxa"/>
            <w:vAlign w:val="center"/>
          </w:tcPr>
          <w:p w14:paraId="64B34797">
            <w:pPr>
              <w:pStyle w:val="11"/>
            </w:pPr>
          </w:p>
        </w:tc>
        <w:tc>
          <w:tcPr>
            <w:tcW w:w="1474" w:type="dxa"/>
            <w:vAlign w:val="center"/>
          </w:tcPr>
          <w:p w14:paraId="5B3B8BCF">
            <w:pPr>
              <w:pStyle w:val="11"/>
            </w:pPr>
          </w:p>
        </w:tc>
        <w:tc>
          <w:tcPr>
            <w:tcW w:w="1474" w:type="dxa"/>
            <w:vAlign w:val="center"/>
          </w:tcPr>
          <w:p w14:paraId="6C47159E">
            <w:pPr>
              <w:pStyle w:val="11"/>
            </w:pPr>
          </w:p>
        </w:tc>
        <w:tc>
          <w:tcPr>
            <w:tcW w:w="1474" w:type="dxa"/>
            <w:vAlign w:val="center"/>
          </w:tcPr>
          <w:p w14:paraId="340382AC">
            <w:pPr>
              <w:pStyle w:val="11"/>
            </w:pPr>
          </w:p>
        </w:tc>
      </w:tr>
      <w:tr w14:paraId="48EE8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94AC4">
            <w:pPr>
              <w:pStyle w:val="13"/>
            </w:pPr>
            <w:r>
              <w:t>23</w:t>
            </w:r>
          </w:p>
        </w:tc>
        <w:tc>
          <w:tcPr>
            <w:tcW w:w="3402" w:type="dxa"/>
            <w:vAlign w:val="center"/>
          </w:tcPr>
          <w:p w14:paraId="0C5D798C">
            <w:pPr>
              <w:pStyle w:val="12"/>
            </w:pPr>
          </w:p>
        </w:tc>
        <w:tc>
          <w:tcPr>
            <w:tcW w:w="1474" w:type="dxa"/>
            <w:vAlign w:val="center"/>
          </w:tcPr>
          <w:p w14:paraId="7E4E9796">
            <w:pPr>
              <w:pStyle w:val="11"/>
            </w:pPr>
          </w:p>
        </w:tc>
        <w:tc>
          <w:tcPr>
            <w:tcW w:w="3402" w:type="dxa"/>
            <w:vAlign w:val="center"/>
          </w:tcPr>
          <w:p w14:paraId="3F3C00CE">
            <w:pPr>
              <w:pStyle w:val="12"/>
            </w:pPr>
            <w:r>
              <w:t>二十三、灾害防治及应急管理支出</w:t>
            </w:r>
          </w:p>
        </w:tc>
        <w:tc>
          <w:tcPr>
            <w:tcW w:w="1474" w:type="dxa"/>
            <w:vAlign w:val="center"/>
          </w:tcPr>
          <w:p w14:paraId="0DFC512B">
            <w:pPr>
              <w:pStyle w:val="11"/>
            </w:pPr>
          </w:p>
        </w:tc>
        <w:tc>
          <w:tcPr>
            <w:tcW w:w="1474" w:type="dxa"/>
            <w:vAlign w:val="center"/>
          </w:tcPr>
          <w:p w14:paraId="2165F921">
            <w:pPr>
              <w:pStyle w:val="11"/>
            </w:pPr>
          </w:p>
        </w:tc>
        <w:tc>
          <w:tcPr>
            <w:tcW w:w="1474" w:type="dxa"/>
            <w:vAlign w:val="center"/>
          </w:tcPr>
          <w:p w14:paraId="50307EDC">
            <w:pPr>
              <w:pStyle w:val="11"/>
            </w:pPr>
          </w:p>
        </w:tc>
        <w:tc>
          <w:tcPr>
            <w:tcW w:w="1474" w:type="dxa"/>
            <w:vAlign w:val="center"/>
          </w:tcPr>
          <w:p w14:paraId="40139E0F">
            <w:pPr>
              <w:pStyle w:val="11"/>
            </w:pPr>
          </w:p>
        </w:tc>
      </w:tr>
      <w:tr w14:paraId="4F7F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0C04">
            <w:pPr>
              <w:pStyle w:val="13"/>
            </w:pPr>
            <w:r>
              <w:t>24</w:t>
            </w:r>
          </w:p>
        </w:tc>
        <w:tc>
          <w:tcPr>
            <w:tcW w:w="3402" w:type="dxa"/>
            <w:vAlign w:val="center"/>
          </w:tcPr>
          <w:p w14:paraId="7442D488">
            <w:pPr>
              <w:pStyle w:val="12"/>
            </w:pPr>
          </w:p>
        </w:tc>
        <w:tc>
          <w:tcPr>
            <w:tcW w:w="1474" w:type="dxa"/>
            <w:vAlign w:val="center"/>
          </w:tcPr>
          <w:p w14:paraId="126E01F7">
            <w:pPr>
              <w:pStyle w:val="11"/>
            </w:pPr>
          </w:p>
        </w:tc>
        <w:tc>
          <w:tcPr>
            <w:tcW w:w="3402" w:type="dxa"/>
            <w:vAlign w:val="center"/>
          </w:tcPr>
          <w:p w14:paraId="133DAFD4">
            <w:pPr>
              <w:pStyle w:val="12"/>
            </w:pPr>
            <w:r>
              <w:t>二十四、预备费</w:t>
            </w:r>
          </w:p>
        </w:tc>
        <w:tc>
          <w:tcPr>
            <w:tcW w:w="1474" w:type="dxa"/>
            <w:vAlign w:val="center"/>
          </w:tcPr>
          <w:p w14:paraId="73F9E713">
            <w:pPr>
              <w:pStyle w:val="11"/>
            </w:pPr>
          </w:p>
        </w:tc>
        <w:tc>
          <w:tcPr>
            <w:tcW w:w="1474" w:type="dxa"/>
            <w:vAlign w:val="center"/>
          </w:tcPr>
          <w:p w14:paraId="291822DD">
            <w:pPr>
              <w:pStyle w:val="11"/>
            </w:pPr>
          </w:p>
        </w:tc>
        <w:tc>
          <w:tcPr>
            <w:tcW w:w="1474" w:type="dxa"/>
            <w:vAlign w:val="center"/>
          </w:tcPr>
          <w:p w14:paraId="7BABF126">
            <w:pPr>
              <w:pStyle w:val="11"/>
            </w:pPr>
          </w:p>
        </w:tc>
        <w:tc>
          <w:tcPr>
            <w:tcW w:w="1474" w:type="dxa"/>
            <w:vAlign w:val="center"/>
          </w:tcPr>
          <w:p w14:paraId="74BACDBD">
            <w:pPr>
              <w:pStyle w:val="11"/>
            </w:pPr>
          </w:p>
        </w:tc>
      </w:tr>
      <w:tr w14:paraId="6C20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62D43">
            <w:pPr>
              <w:pStyle w:val="13"/>
            </w:pPr>
            <w:r>
              <w:t>25</w:t>
            </w:r>
          </w:p>
        </w:tc>
        <w:tc>
          <w:tcPr>
            <w:tcW w:w="3402" w:type="dxa"/>
            <w:vAlign w:val="center"/>
          </w:tcPr>
          <w:p w14:paraId="43BEC2FD">
            <w:pPr>
              <w:pStyle w:val="12"/>
            </w:pPr>
          </w:p>
        </w:tc>
        <w:tc>
          <w:tcPr>
            <w:tcW w:w="1474" w:type="dxa"/>
            <w:vAlign w:val="center"/>
          </w:tcPr>
          <w:p w14:paraId="20F6439D">
            <w:pPr>
              <w:pStyle w:val="11"/>
            </w:pPr>
          </w:p>
        </w:tc>
        <w:tc>
          <w:tcPr>
            <w:tcW w:w="3402" w:type="dxa"/>
            <w:vAlign w:val="center"/>
          </w:tcPr>
          <w:p w14:paraId="5686F731">
            <w:pPr>
              <w:pStyle w:val="12"/>
            </w:pPr>
            <w:r>
              <w:t>二十五、其他支出</w:t>
            </w:r>
          </w:p>
        </w:tc>
        <w:tc>
          <w:tcPr>
            <w:tcW w:w="1474" w:type="dxa"/>
            <w:vAlign w:val="center"/>
          </w:tcPr>
          <w:p w14:paraId="742957F0">
            <w:pPr>
              <w:pStyle w:val="11"/>
            </w:pPr>
          </w:p>
        </w:tc>
        <w:tc>
          <w:tcPr>
            <w:tcW w:w="1474" w:type="dxa"/>
            <w:vAlign w:val="center"/>
          </w:tcPr>
          <w:p w14:paraId="3A67F3F0">
            <w:pPr>
              <w:pStyle w:val="11"/>
            </w:pPr>
          </w:p>
        </w:tc>
        <w:tc>
          <w:tcPr>
            <w:tcW w:w="1474" w:type="dxa"/>
            <w:vAlign w:val="center"/>
          </w:tcPr>
          <w:p w14:paraId="099473DF">
            <w:pPr>
              <w:pStyle w:val="11"/>
            </w:pPr>
          </w:p>
        </w:tc>
        <w:tc>
          <w:tcPr>
            <w:tcW w:w="1474" w:type="dxa"/>
            <w:vAlign w:val="center"/>
          </w:tcPr>
          <w:p w14:paraId="6F0969E0">
            <w:pPr>
              <w:pStyle w:val="11"/>
            </w:pPr>
          </w:p>
        </w:tc>
      </w:tr>
      <w:tr w14:paraId="275A0148">
        <w:tblPrEx>
          <w:tblCellMar>
            <w:top w:w="0" w:type="dxa"/>
            <w:left w:w="108" w:type="dxa"/>
            <w:bottom w:w="0" w:type="dxa"/>
            <w:right w:w="108" w:type="dxa"/>
          </w:tblCellMar>
        </w:tblPrEx>
        <w:trPr>
          <w:trHeight w:val="369" w:hRule="atLeast"/>
          <w:jc w:val="center"/>
        </w:trPr>
        <w:tc>
          <w:tcPr>
            <w:tcW w:w="850" w:type="dxa"/>
            <w:vAlign w:val="center"/>
          </w:tcPr>
          <w:p w14:paraId="30309E30">
            <w:pPr>
              <w:pStyle w:val="13"/>
            </w:pPr>
            <w:r>
              <w:t>26</w:t>
            </w:r>
          </w:p>
        </w:tc>
        <w:tc>
          <w:tcPr>
            <w:tcW w:w="3402" w:type="dxa"/>
            <w:vAlign w:val="center"/>
          </w:tcPr>
          <w:p w14:paraId="4E1430C5">
            <w:pPr>
              <w:pStyle w:val="12"/>
            </w:pPr>
          </w:p>
        </w:tc>
        <w:tc>
          <w:tcPr>
            <w:tcW w:w="1474" w:type="dxa"/>
            <w:vAlign w:val="center"/>
          </w:tcPr>
          <w:p w14:paraId="29347AE1">
            <w:pPr>
              <w:pStyle w:val="11"/>
            </w:pPr>
          </w:p>
        </w:tc>
        <w:tc>
          <w:tcPr>
            <w:tcW w:w="3402" w:type="dxa"/>
            <w:vAlign w:val="center"/>
          </w:tcPr>
          <w:p w14:paraId="76A90A67">
            <w:pPr>
              <w:pStyle w:val="12"/>
            </w:pPr>
            <w:r>
              <w:t>二十六、转移性支出</w:t>
            </w:r>
          </w:p>
        </w:tc>
        <w:tc>
          <w:tcPr>
            <w:tcW w:w="1474" w:type="dxa"/>
            <w:vAlign w:val="center"/>
          </w:tcPr>
          <w:p w14:paraId="774237B1">
            <w:pPr>
              <w:pStyle w:val="11"/>
            </w:pPr>
          </w:p>
        </w:tc>
        <w:tc>
          <w:tcPr>
            <w:tcW w:w="1474" w:type="dxa"/>
            <w:vAlign w:val="center"/>
          </w:tcPr>
          <w:p w14:paraId="5635F48B">
            <w:pPr>
              <w:pStyle w:val="11"/>
            </w:pPr>
          </w:p>
        </w:tc>
        <w:tc>
          <w:tcPr>
            <w:tcW w:w="1474" w:type="dxa"/>
            <w:vAlign w:val="center"/>
          </w:tcPr>
          <w:p w14:paraId="33B66324">
            <w:pPr>
              <w:pStyle w:val="11"/>
            </w:pPr>
          </w:p>
        </w:tc>
        <w:tc>
          <w:tcPr>
            <w:tcW w:w="1474" w:type="dxa"/>
            <w:vAlign w:val="center"/>
          </w:tcPr>
          <w:p w14:paraId="3E46F96F">
            <w:pPr>
              <w:pStyle w:val="11"/>
            </w:pPr>
          </w:p>
        </w:tc>
      </w:tr>
      <w:tr w14:paraId="0BED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BE75">
            <w:pPr>
              <w:pStyle w:val="13"/>
            </w:pPr>
            <w:r>
              <w:t>27</w:t>
            </w:r>
          </w:p>
        </w:tc>
        <w:tc>
          <w:tcPr>
            <w:tcW w:w="3402" w:type="dxa"/>
            <w:vAlign w:val="center"/>
          </w:tcPr>
          <w:p w14:paraId="78823B66">
            <w:pPr>
              <w:pStyle w:val="12"/>
            </w:pPr>
          </w:p>
        </w:tc>
        <w:tc>
          <w:tcPr>
            <w:tcW w:w="1474" w:type="dxa"/>
            <w:vAlign w:val="center"/>
          </w:tcPr>
          <w:p w14:paraId="7B2F6E0E">
            <w:pPr>
              <w:pStyle w:val="11"/>
            </w:pPr>
          </w:p>
        </w:tc>
        <w:tc>
          <w:tcPr>
            <w:tcW w:w="3402" w:type="dxa"/>
            <w:vAlign w:val="center"/>
          </w:tcPr>
          <w:p w14:paraId="6248EB07">
            <w:pPr>
              <w:pStyle w:val="12"/>
            </w:pPr>
            <w:r>
              <w:t>二十七、债务还本支出</w:t>
            </w:r>
          </w:p>
        </w:tc>
        <w:tc>
          <w:tcPr>
            <w:tcW w:w="1474" w:type="dxa"/>
            <w:vAlign w:val="center"/>
          </w:tcPr>
          <w:p w14:paraId="7EF89F75">
            <w:pPr>
              <w:pStyle w:val="11"/>
            </w:pPr>
          </w:p>
        </w:tc>
        <w:tc>
          <w:tcPr>
            <w:tcW w:w="1474" w:type="dxa"/>
            <w:vAlign w:val="center"/>
          </w:tcPr>
          <w:p w14:paraId="31522BAF">
            <w:pPr>
              <w:pStyle w:val="11"/>
            </w:pPr>
          </w:p>
        </w:tc>
        <w:tc>
          <w:tcPr>
            <w:tcW w:w="1474" w:type="dxa"/>
            <w:vAlign w:val="center"/>
          </w:tcPr>
          <w:p w14:paraId="432E6A3F">
            <w:pPr>
              <w:pStyle w:val="11"/>
            </w:pPr>
          </w:p>
        </w:tc>
        <w:tc>
          <w:tcPr>
            <w:tcW w:w="1474" w:type="dxa"/>
            <w:vAlign w:val="center"/>
          </w:tcPr>
          <w:p w14:paraId="47F7525A">
            <w:pPr>
              <w:pStyle w:val="11"/>
            </w:pPr>
          </w:p>
        </w:tc>
      </w:tr>
      <w:tr w14:paraId="6CEF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28841">
            <w:pPr>
              <w:pStyle w:val="13"/>
            </w:pPr>
            <w:r>
              <w:t>28</w:t>
            </w:r>
          </w:p>
        </w:tc>
        <w:tc>
          <w:tcPr>
            <w:tcW w:w="3402" w:type="dxa"/>
            <w:vAlign w:val="center"/>
          </w:tcPr>
          <w:p w14:paraId="64BF6EF2">
            <w:pPr>
              <w:pStyle w:val="12"/>
            </w:pPr>
          </w:p>
        </w:tc>
        <w:tc>
          <w:tcPr>
            <w:tcW w:w="1474" w:type="dxa"/>
            <w:vAlign w:val="center"/>
          </w:tcPr>
          <w:p w14:paraId="254E885E">
            <w:pPr>
              <w:pStyle w:val="11"/>
            </w:pPr>
          </w:p>
        </w:tc>
        <w:tc>
          <w:tcPr>
            <w:tcW w:w="3402" w:type="dxa"/>
            <w:vAlign w:val="center"/>
          </w:tcPr>
          <w:p w14:paraId="67615F3F">
            <w:pPr>
              <w:pStyle w:val="12"/>
            </w:pPr>
            <w:r>
              <w:t>二十八、债务付息支出</w:t>
            </w:r>
          </w:p>
        </w:tc>
        <w:tc>
          <w:tcPr>
            <w:tcW w:w="1474" w:type="dxa"/>
            <w:vAlign w:val="center"/>
          </w:tcPr>
          <w:p w14:paraId="09830BB0">
            <w:pPr>
              <w:pStyle w:val="11"/>
            </w:pPr>
          </w:p>
        </w:tc>
        <w:tc>
          <w:tcPr>
            <w:tcW w:w="1474" w:type="dxa"/>
            <w:vAlign w:val="center"/>
          </w:tcPr>
          <w:p w14:paraId="6662AE90">
            <w:pPr>
              <w:pStyle w:val="11"/>
            </w:pPr>
          </w:p>
        </w:tc>
        <w:tc>
          <w:tcPr>
            <w:tcW w:w="1474" w:type="dxa"/>
            <w:vAlign w:val="center"/>
          </w:tcPr>
          <w:p w14:paraId="6DDAD9C8">
            <w:pPr>
              <w:pStyle w:val="11"/>
            </w:pPr>
          </w:p>
        </w:tc>
        <w:tc>
          <w:tcPr>
            <w:tcW w:w="1474" w:type="dxa"/>
            <w:vAlign w:val="center"/>
          </w:tcPr>
          <w:p w14:paraId="11D76F6A">
            <w:pPr>
              <w:pStyle w:val="11"/>
            </w:pPr>
          </w:p>
        </w:tc>
      </w:tr>
      <w:tr w14:paraId="1887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7D38A">
            <w:pPr>
              <w:pStyle w:val="13"/>
            </w:pPr>
            <w:r>
              <w:t>29</w:t>
            </w:r>
          </w:p>
        </w:tc>
        <w:tc>
          <w:tcPr>
            <w:tcW w:w="3402" w:type="dxa"/>
            <w:vAlign w:val="center"/>
          </w:tcPr>
          <w:p w14:paraId="324D474C">
            <w:pPr>
              <w:pStyle w:val="12"/>
            </w:pPr>
          </w:p>
        </w:tc>
        <w:tc>
          <w:tcPr>
            <w:tcW w:w="1474" w:type="dxa"/>
            <w:vAlign w:val="center"/>
          </w:tcPr>
          <w:p w14:paraId="212D5E99">
            <w:pPr>
              <w:pStyle w:val="11"/>
            </w:pPr>
          </w:p>
        </w:tc>
        <w:tc>
          <w:tcPr>
            <w:tcW w:w="3402" w:type="dxa"/>
            <w:vAlign w:val="center"/>
          </w:tcPr>
          <w:p w14:paraId="561B3F5D">
            <w:pPr>
              <w:pStyle w:val="12"/>
            </w:pPr>
            <w:r>
              <w:t>二十九、债务发行费用支出</w:t>
            </w:r>
          </w:p>
        </w:tc>
        <w:tc>
          <w:tcPr>
            <w:tcW w:w="1474" w:type="dxa"/>
            <w:vAlign w:val="center"/>
          </w:tcPr>
          <w:p w14:paraId="214B65B6">
            <w:pPr>
              <w:pStyle w:val="11"/>
            </w:pPr>
          </w:p>
        </w:tc>
        <w:tc>
          <w:tcPr>
            <w:tcW w:w="1474" w:type="dxa"/>
            <w:vAlign w:val="center"/>
          </w:tcPr>
          <w:p w14:paraId="2360442F">
            <w:pPr>
              <w:pStyle w:val="11"/>
            </w:pPr>
          </w:p>
        </w:tc>
        <w:tc>
          <w:tcPr>
            <w:tcW w:w="1474" w:type="dxa"/>
            <w:vAlign w:val="center"/>
          </w:tcPr>
          <w:p w14:paraId="750A2036">
            <w:pPr>
              <w:pStyle w:val="11"/>
            </w:pPr>
          </w:p>
        </w:tc>
        <w:tc>
          <w:tcPr>
            <w:tcW w:w="1474" w:type="dxa"/>
            <w:vAlign w:val="center"/>
          </w:tcPr>
          <w:p w14:paraId="1BDDD83B">
            <w:pPr>
              <w:pStyle w:val="11"/>
            </w:pPr>
          </w:p>
        </w:tc>
      </w:tr>
      <w:tr w14:paraId="11B2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1F801">
            <w:pPr>
              <w:pStyle w:val="13"/>
            </w:pPr>
            <w:r>
              <w:t>30</w:t>
            </w:r>
          </w:p>
        </w:tc>
        <w:tc>
          <w:tcPr>
            <w:tcW w:w="3402" w:type="dxa"/>
            <w:vAlign w:val="center"/>
          </w:tcPr>
          <w:p w14:paraId="45CB305C">
            <w:pPr>
              <w:pStyle w:val="12"/>
            </w:pPr>
          </w:p>
        </w:tc>
        <w:tc>
          <w:tcPr>
            <w:tcW w:w="1474" w:type="dxa"/>
            <w:vAlign w:val="center"/>
          </w:tcPr>
          <w:p w14:paraId="4980F38F">
            <w:pPr>
              <w:pStyle w:val="11"/>
            </w:pPr>
          </w:p>
        </w:tc>
        <w:tc>
          <w:tcPr>
            <w:tcW w:w="3402" w:type="dxa"/>
            <w:vAlign w:val="center"/>
          </w:tcPr>
          <w:p w14:paraId="7DBC8D70">
            <w:pPr>
              <w:pStyle w:val="12"/>
            </w:pPr>
            <w:r>
              <w:t>三十、抗疫特别国债安排的支出</w:t>
            </w:r>
          </w:p>
        </w:tc>
        <w:tc>
          <w:tcPr>
            <w:tcW w:w="1474" w:type="dxa"/>
            <w:vAlign w:val="center"/>
          </w:tcPr>
          <w:p w14:paraId="2302FC5B">
            <w:pPr>
              <w:pStyle w:val="11"/>
            </w:pPr>
          </w:p>
        </w:tc>
        <w:tc>
          <w:tcPr>
            <w:tcW w:w="1474" w:type="dxa"/>
            <w:vAlign w:val="center"/>
          </w:tcPr>
          <w:p w14:paraId="5781AF5D">
            <w:pPr>
              <w:pStyle w:val="11"/>
            </w:pPr>
          </w:p>
        </w:tc>
        <w:tc>
          <w:tcPr>
            <w:tcW w:w="1474" w:type="dxa"/>
            <w:vAlign w:val="center"/>
          </w:tcPr>
          <w:p w14:paraId="0E72D182">
            <w:pPr>
              <w:pStyle w:val="11"/>
            </w:pPr>
          </w:p>
        </w:tc>
        <w:tc>
          <w:tcPr>
            <w:tcW w:w="1474" w:type="dxa"/>
            <w:vAlign w:val="center"/>
          </w:tcPr>
          <w:p w14:paraId="0DC4EE75">
            <w:pPr>
              <w:pStyle w:val="11"/>
            </w:pPr>
          </w:p>
        </w:tc>
      </w:tr>
      <w:tr w14:paraId="34FB01F1">
        <w:tblPrEx>
          <w:tblCellMar>
            <w:top w:w="0" w:type="dxa"/>
            <w:left w:w="108" w:type="dxa"/>
            <w:bottom w:w="0" w:type="dxa"/>
            <w:right w:w="108" w:type="dxa"/>
          </w:tblCellMar>
        </w:tblPrEx>
        <w:trPr>
          <w:trHeight w:val="369" w:hRule="atLeast"/>
          <w:jc w:val="center"/>
        </w:trPr>
        <w:tc>
          <w:tcPr>
            <w:tcW w:w="850" w:type="dxa"/>
            <w:vAlign w:val="center"/>
          </w:tcPr>
          <w:p w14:paraId="4A819958">
            <w:pPr>
              <w:pStyle w:val="13"/>
            </w:pPr>
            <w:r>
              <w:t>31</w:t>
            </w:r>
          </w:p>
        </w:tc>
        <w:tc>
          <w:tcPr>
            <w:tcW w:w="3402" w:type="dxa"/>
            <w:vAlign w:val="center"/>
          </w:tcPr>
          <w:p w14:paraId="044488EE">
            <w:pPr>
              <w:pStyle w:val="12"/>
            </w:pPr>
          </w:p>
        </w:tc>
        <w:tc>
          <w:tcPr>
            <w:tcW w:w="1474" w:type="dxa"/>
            <w:vAlign w:val="center"/>
          </w:tcPr>
          <w:p w14:paraId="3EEAE058">
            <w:pPr>
              <w:pStyle w:val="11"/>
            </w:pPr>
          </w:p>
        </w:tc>
        <w:tc>
          <w:tcPr>
            <w:tcW w:w="3402" w:type="dxa"/>
            <w:vAlign w:val="center"/>
          </w:tcPr>
          <w:p w14:paraId="082C5320">
            <w:pPr>
              <w:pStyle w:val="12"/>
            </w:pPr>
            <w:r>
              <w:t>三十一、人行科目</w:t>
            </w:r>
          </w:p>
        </w:tc>
        <w:tc>
          <w:tcPr>
            <w:tcW w:w="1474" w:type="dxa"/>
            <w:vAlign w:val="center"/>
          </w:tcPr>
          <w:p w14:paraId="248B5A4E">
            <w:pPr>
              <w:pStyle w:val="11"/>
            </w:pPr>
          </w:p>
        </w:tc>
        <w:tc>
          <w:tcPr>
            <w:tcW w:w="1474" w:type="dxa"/>
            <w:vAlign w:val="center"/>
          </w:tcPr>
          <w:p w14:paraId="0CCBEAF1">
            <w:pPr>
              <w:pStyle w:val="11"/>
            </w:pPr>
          </w:p>
        </w:tc>
        <w:tc>
          <w:tcPr>
            <w:tcW w:w="1474" w:type="dxa"/>
            <w:vAlign w:val="center"/>
          </w:tcPr>
          <w:p w14:paraId="702D852E">
            <w:pPr>
              <w:pStyle w:val="11"/>
            </w:pPr>
          </w:p>
        </w:tc>
        <w:tc>
          <w:tcPr>
            <w:tcW w:w="1474" w:type="dxa"/>
            <w:vAlign w:val="center"/>
          </w:tcPr>
          <w:p w14:paraId="693754D6">
            <w:pPr>
              <w:pStyle w:val="11"/>
            </w:pPr>
          </w:p>
        </w:tc>
      </w:tr>
      <w:tr w14:paraId="3921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F759">
            <w:pPr>
              <w:pStyle w:val="13"/>
            </w:pPr>
            <w:r>
              <w:t>32</w:t>
            </w:r>
          </w:p>
        </w:tc>
        <w:tc>
          <w:tcPr>
            <w:tcW w:w="3402" w:type="dxa"/>
            <w:vAlign w:val="center"/>
          </w:tcPr>
          <w:p w14:paraId="2FABD7B9">
            <w:pPr>
              <w:pStyle w:val="14"/>
            </w:pPr>
            <w:r>
              <w:t>本年收入合计</w:t>
            </w:r>
          </w:p>
        </w:tc>
        <w:tc>
          <w:tcPr>
            <w:tcW w:w="1474" w:type="dxa"/>
            <w:vAlign w:val="center"/>
          </w:tcPr>
          <w:p w14:paraId="30C25A9F">
            <w:pPr>
              <w:pStyle w:val="15"/>
            </w:pPr>
            <w:r>
              <w:t>1075.32</w:t>
            </w:r>
          </w:p>
        </w:tc>
        <w:tc>
          <w:tcPr>
            <w:tcW w:w="3402" w:type="dxa"/>
            <w:vAlign w:val="center"/>
          </w:tcPr>
          <w:p w14:paraId="47E693FF">
            <w:pPr>
              <w:pStyle w:val="14"/>
            </w:pPr>
            <w:r>
              <w:t>本年支出合计</w:t>
            </w:r>
          </w:p>
        </w:tc>
        <w:tc>
          <w:tcPr>
            <w:tcW w:w="1474" w:type="dxa"/>
            <w:vAlign w:val="center"/>
          </w:tcPr>
          <w:p w14:paraId="0E1C846F">
            <w:pPr>
              <w:pStyle w:val="15"/>
            </w:pPr>
            <w:r>
              <w:t>1075.32</w:t>
            </w:r>
          </w:p>
        </w:tc>
        <w:tc>
          <w:tcPr>
            <w:tcW w:w="1474" w:type="dxa"/>
            <w:vAlign w:val="center"/>
          </w:tcPr>
          <w:p w14:paraId="0D36CC39">
            <w:pPr>
              <w:pStyle w:val="15"/>
            </w:pPr>
            <w:r>
              <w:t>1075.32</w:t>
            </w:r>
          </w:p>
        </w:tc>
        <w:tc>
          <w:tcPr>
            <w:tcW w:w="1474" w:type="dxa"/>
            <w:vAlign w:val="center"/>
          </w:tcPr>
          <w:p w14:paraId="447DD248">
            <w:pPr>
              <w:pStyle w:val="15"/>
            </w:pPr>
          </w:p>
        </w:tc>
        <w:tc>
          <w:tcPr>
            <w:tcW w:w="1474" w:type="dxa"/>
            <w:vAlign w:val="center"/>
          </w:tcPr>
          <w:p w14:paraId="1646B866">
            <w:pPr>
              <w:pStyle w:val="15"/>
            </w:pPr>
          </w:p>
        </w:tc>
      </w:tr>
      <w:tr w14:paraId="2721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1C8E0">
            <w:pPr>
              <w:pStyle w:val="13"/>
            </w:pPr>
            <w:r>
              <w:t>33</w:t>
            </w:r>
          </w:p>
        </w:tc>
        <w:tc>
          <w:tcPr>
            <w:tcW w:w="3402" w:type="dxa"/>
            <w:vAlign w:val="center"/>
          </w:tcPr>
          <w:p w14:paraId="2C96AA5F">
            <w:pPr>
              <w:pStyle w:val="12"/>
            </w:pPr>
            <w:r>
              <w:t>年初财政拨款结转和结余</w:t>
            </w:r>
          </w:p>
        </w:tc>
        <w:tc>
          <w:tcPr>
            <w:tcW w:w="1474" w:type="dxa"/>
            <w:vAlign w:val="center"/>
          </w:tcPr>
          <w:p w14:paraId="6A20567A">
            <w:pPr>
              <w:pStyle w:val="11"/>
            </w:pPr>
          </w:p>
        </w:tc>
        <w:tc>
          <w:tcPr>
            <w:tcW w:w="3402" w:type="dxa"/>
            <w:vAlign w:val="center"/>
          </w:tcPr>
          <w:p w14:paraId="6C5AF2A2">
            <w:pPr>
              <w:pStyle w:val="12"/>
            </w:pPr>
            <w:r>
              <w:t>年末财政拨款结转和结余</w:t>
            </w:r>
          </w:p>
        </w:tc>
        <w:tc>
          <w:tcPr>
            <w:tcW w:w="1474" w:type="dxa"/>
            <w:vAlign w:val="center"/>
          </w:tcPr>
          <w:p w14:paraId="64B33905">
            <w:pPr>
              <w:pStyle w:val="11"/>
            </w:pPr>
          </w:p>
        </w:tc>
        <w:tc>
          <w:tcPr>
            <w:tcW w:w="1474" w:type="dxa"/>
            <w:vAlign w:val="center"/>
          </w:tcPr>
          <w:p w14:paraId="48B04248">
            <w:pPr>
              <w:pStyle w:val="11"/>
            </w:pPr>
          </w:p>
        </w:tc>
        <w:tc>
          <w:tcPr>
            <w:tcW w:w="1474" w:type="dxa"/>
            <w:vAlign w:val="center"/>
          </w:tcPr>
          <w:p w14:paraId="3CA7D11A">
            <w:pPr>
              <w:pStyle w:val="11"/>
            </w:pPr>
          </w:p>
        </w:tc>
        <w:tc>
          <w:tcPr>
            <w:tcW w:w="1474" w:type="dxa"/>
            <w:vAlign w:val="center"/>
          </w:tcPr>
          <w:p w14:paraId="3105E73B">
            <w:pPr>
              <w:pStyle w:val="11"/>
            </w:pPr>
          </w:p>
        </w:tc>
      </w:tr>
      <w:tr w14:paraId="304CD8BC">
        <w:tblPrEx>
          <w:tblCellMar>
            <w:top w:w="0" w:type="dxa"/>
            <w:left w:w="108" w:type="dxa"/>
            <w:bottom w:w="0" w:type="dxa"/>
            <w:right w:w="108" w:type="dxa"/>
          </w:tblCellMar>
        </w:tblPrEx>
        <w:trPr>
          <w:trHeight w:val="369" w:hRule="atLeast"/>
          <w:jc w:val="center"/>
        </w:trPr>
        <w:tc>
          <w:tcPr>
            <w:tcW w:w="850" w:type="dxa"/>
            <w:vAlign w:val="center"/>
          </w:tcPr>
          <w:p w14:paraId="5CF12CED">
            <w:pPr>
              <w:pStyle w:val="13"/>
            </w:pPr>
            <w:r>
              <w:t>34</w:t>
            </w:r>
          </w:p>
        </w:tc>
        <w:tc>
          <w:tcPr>
            <w:tcW w:w="3402" w:type="dxa"/>
            <w:vAlign w:val="center"/>
          </w:tcPr>
          <w:p w14:paraId="45B06553">
            <w:pPr>
              <w:pStyle w:val="12"/>
            </w:pPr>
            <w:r>
              <w:t>一、一般公共预算拨款</w:t>
            </w:r>
          </w:p>
        </w:tc>
        <w:tc>
          <w:tcPr>
            <w:tcW w:w="1474" w:type="dxa"/>
            <w:vAlign w:val="center"/>
          </w:tcPr>
          <w:p w14:paraId="0FE5EEF7">
            <w:pPr>
              <w:pStyle w:val="11"/>
            </w:pPr>
          </w:p>
        </w:tc>
        <w:tc>
          <w:tcPr>
            <w:tcW w:w="3402" w:type="dxa"/>
            <w:vAlign w:val="center"/>
          </w:tcPr>
          <w:p w14:paraId="3A65C980">
            <w:pPr>
              <w:pStyle w:val="12"/>
            </w:pPr>
          </w:p>
        </w:tc>
        <w:tc>
          <w:tcPr>
            <w:tcW w:w="1474" w:type="dxa"/>
            <w:vAlign w:val="center"/>
          </w:tcPr>
          <w:p w14:paraId="512773DE">
            <w:pPr>
              <w:pStyle w:val="11"/>
            </w:pPr>
          </w:p>
        </w:tc>
        <w:tc>
          <w:tcPr>
            <w:tcW w:w="1474" w:type="dxa"/>
            <w:vAlign w:val="center"/>
          </w:tcPr>
          <w:p w14:paraId="1EA58EE1">
            <w:pPr>
              <w:pStyle w:val="11"/>
            </w:pPr>
          </w:p>
        </w:tc>
        <w:tc>
          <w:tcPr>
            <w:tcW w:w="1474" w:type="dxa"/>
            <w:vAlign w:val="center"/>
          </w:tcPr>
          <w:p w14:paraId="508C62AA">
            <w:pPr>
              <w:pStyle w:val="11"/>
            </w:pPr>
          </w:p>
        </w:tc>
        <w:tc>
          <w:tcPr>
            <w:tcW w:w="1474" w:type="dxa"/>
            <w:vAlign w:val="center"/>
          </w:tcPr>
          <w:p w14:paraId="17EE3B3F">
            <w:pPr>
              <w:pStyle w:val="11"/>
            </w:pPr>
          </w:p>
        </w:tc>
      </w:tr>
      <w:tr w14:paraId="23C4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C821">
            <w:pPr>
              <w:pStyle w:val="13"/>
            </w:pPr>
            <w:r>
              <w:t>35</w:t>
            </w:r>
          </w:p>
        </w:tc>
        <w:tc>
          <w:tcPr>
            <w:tcW w:w="3402" w:type="dxa"/>
            <w:vAlign w:val="center"/>
          </w:tcPr>
          <w:p w14:paraId="7BA3D455">
            <w:pPr>
              <w:pStyle w:val="12"/>
            </w:pPr>
            <w:r>
              <w:t>二、政府性基金预算拨款</w:t>
            </w:r>
          </w:p>
        </w:tc>
        <w:tc>
          <w:tcPr>
            <w:tcW w:w="1474" w:type="dxa"/>
            <w:vAlign w:val="center"/>
          </w:tcPr>
          <w:p w14:paraId="4EFA8A8A">
            <w:pPr>
              <w:pStyle w:val="11"/>
            </w:pPr>
          </w:p>
        </w:tc>
        <w:tc>
          <w:tcPr>
            <w:tcW w:w="3402" w:type="dxa"/>
            <w:vAlign w:val="center"/>
          </w:tcPr>
          <w:p w14:paraId="59D0B6FF">
            <w:pPr>
              <w:pStyle w:val="12"/>
            </w:pPr>
          </w:p>
        </w:tc>
        <w:tc>
          <w:tcPr>
            <w:tcW w:w="1474" w:type="dxa"/>
            <w:vAlign w:val="center"/>
          </w:tcPr>
          <w:p w14:paraId="1F75C66D">
            <w:pPr>
              <w:pStyle w:val="11"/>
            </w:pPr>
          </w:p>
        </w:tc>
        <w:tc>
          <w:tcPr>
            <w:tcW w:w="1474" w:type="dxa"/>
            <w:vAlign w:val="center"/>
          </w:tcPr>
          <w:p w14:paraId="330E172F">
            <w:pPr>
              <w:pStyle w:val="11"/>
            </w:pPr>
          </w:p>
        </w:tc>
        <w:tc>
          <w:tcPr>
            <w:tcW w:w="1474" w:type="dxa"/>
            <w:vAlign w:val="center"/>
          </w:tcPr>
          <w:p w14:paraId="31CE4733">
            <w:pPr>
              <w:pStyle w:val="11"/>
            </w:pPr>
          </w:p>
        </w:tc>
        <w:tc>
          <w:tcPr>
            <w:tcW w:w="1474" w:type="dxa"/>
            <w:vAlign w:val="center"/>
          </w:tcPr>
          <w:p w14:paraId="66696DE1">
            <w:pPr>
              <w:pStyle w:val="11"/>
            </w:pPr>
          </w:p>
        </w:tc>
      </w:tr>
      <w:tr w14:paraId="11E0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09EAB">
            <w:pPr>
              <w:pStyle w:val="13"/>
            </w:pPr>
            <w:r>
              <w:t>36</w:t>
            </w:r>
          </w:p>
        </w:tc>
        <w:tc>
          <w:tcPr>
            <w:tcW w:w="3402" w:type="dxa"/>
            <w:vAlign w:val="center"/>
          </w:tcPr>
          <w:p w14:paraId="1B649742">
            <w:pPr>
              <w:pStyle w:val="12"/>
            </w:pPr>
            <w:r>
              <w:t>三、国有资本经营预算拨款</w:t>
            </w:r>
          </w:p>
        </w:tc>
        <w:tc>
          <w:tcPr>
            <w:tcW w:w="1474" w:type="dxa"/>
            <w:vAlign w:val="center"/>
          </w:tcPr>
          <w:p w14:paraId="2501E660">
            <w:pPr>
              <w:pStyle w:val="11"/>
            </w:pPr>
          </w:p>
        </w:tc>
        <w:tc>
          <w:tcPr>
            <w:tcW w:w="3402" w:type="dxa"/>
            <w:vAlign w:val="center"/>
          </w:tcPr>
          <w:p w14:paraId="5DCA78B5">
            <w:pPr>
              <w:pStyle w:val="12"/>
            </w:pPr>
          </w:p>
        </w:tc>
        <w:tc>
          <w:tcPr>
            <w:tcW w:w="1474" w:type="dxa"/>
            <w:vAlign w:val="center"/>
          </w:tcPr>
          <w:p w14:paraId="60A26BC2">
            <w:pPr>
              <w:pStyle w:val="11"/>
            </w:pPr>
          </w:p>
        </w:tc>
        <w:tc>
          <w:tcPr>
            <w:tcW w:w="1474" w:type="dxa"/>
            <w:vAlign w:val="center"/>
          </w:tcPr>
          <w:p w14:paraId="23AA10AC">
            <w:pPr>
              <w:pStyle w:val="11"/>
            </w:pPr>
          </w:p>
        </w:tc>
        <w:tc>
          <w:tcPr>
            <w:tcW w:w="1474" w:type="dxa"/>
            <w:vAlign w:val="center"/>
          </w:tcPr>
          <w:p w14:paraId="43A1D190">
            <w:pPr>
              <w:pStyle w:val="11"/>
            </w:pPr>
          </w:p>
        </w:tc>
        <w:tc>
          <w:tcPr>
            <w:tcW w:w="1474" w:type="dxa"/>
            <w:vAlign w:val="center"/>
          </w:tcPr>
          <w:p w14:paraId="695C5966">
            <w:pPr>
              <w:pStyle w:val="11"/>
            </w:pPr>
          </w:p>
        </w:tc>
      </w:tr>
      <w:tr w14:paraId="6556CEB1">
        <w:tblPrEx>
          <w:tblCellMar>
            <w:top w:w="0" w:type="dxa"/>
            <w:left w:w="108" w:type="dxa"/>
            <w:bottom w:w="0" w:type="dxa"/>
            <w:right w:w="108" w:type="dxa"/>
          </w:tblCellMar>
        </w:tblPrEx>
        <w:trPr>
          <w:trHeight w:val="369" w:hRule="atLeast"/>
          <w:jc w:val="center"/>
        </w:trPr>
        <w:tc>
          <w:tcPr>
            <w:tcW w:w="850" w:type="dxa"/>
            <w:vAlign w:val="center"/>
          </w:tcPr>
          <w:p w14:paraId="6696B922">
            <w:pPr>
              <w:pStyle w:val="13"/>
            </w:pPr>
            <w:r>
              <w:t>37</w:t>
            </w:r>
          </w:p>
        </w:tc>
        <w:tc>
          <w:tcPr>
            <w:tcW w:w="3402" w:type="dxa"/>
            <w:vAlign w:val="center"/>
          </w:tcPr>
          <w:p w14:paraId="41621D08">
            <w:pPr>
              <w:pStyle w:val="14"/>
            </w:pPr>
            <w:r>
              <w:t>收入总计</w:t>
            </w:r>
          </w:p>
        </w:tc>
        <w:tc>
          <w:tcPr>
            <w:tcW w:w="1474" w:type="dxa"/>
            <w:vAlign w:val="center"/>
          </w:tcPr>
          <w:p w14:paraId="787CB584">
            <w:pPr>
              <w:pStyle w:val="15"/>
            </w:pPr>
            <w:r>
              <w:t>1075.32</w:t>
            </w:r>
          </w:p>
        </w:tc>
        <w:tc>
          <w:tcPr>
            <w:tcW w:w="3402" w:type="dxa"/>
            <w:vAlign w:val="center"/>
          </w:tcPr>
          <w:p w14:paraId="431A1BB8">
            <w:pPr>
              <w:pStyle w:val="14"/>
            </w:pPr>
            <w:r>
              <w:t>支出总计</w:t>
            </w:r>
          </w:p>
        </w:tc>
        <w:tc>
          <w:tcPr>
            <w:tcW w:w="1474" w:type="dxa"/>
            <w:vAlign w:val="center"/>
          </w:tcPr>
          <w:p w14:paraId="432F678B">
            <w:pPr>
              <w:pStyle w:val="15"/>
            </w:pPr>
            <w:r>
              <w:t>1075.32</w:t>
            </w:r>
          </w:p>
        </w:tc>
        <w:tc>
          <w:tcPr>
            <w:tcW w:w="1474" w:type="dxa"/>
            <w:vAlign w:val="center"/>
          </w:tcPr>
          <w:p w14:paraId="79276F4E">
            <w:pPr>
              <w:pStyle w:val="15"/>
            </w:pPr>
            <w:r>
              <w:t>1075.32</w:t>
            </w:r>
          </w:p>
        </w:tc>
        <w:tc>
          <w:tcPr>
            <w:tcW w:w="1474" w:type="dxa"/>
            <w:vAlign w:val="center"/>
          </w:tcPr>
          <w:p w14:paraId="25044BD9">
            <w:pPr>
              <w:pStyle w:val="15"/>
            </w:pPr>
          </w:p>
        </w:tc>
        <w:tc>
          <w:tcPr>
            <w:tcW w:w="1474" w:type="dxa"/>
            <w:vAlign w:val="center"/>
          </w:tcPr>
          <w:p w14:paraId="5CB1C4FE">
            <w:pPr>
              <w:pStyle w:val="15"/>
            </w:pPr>
          </w:p>
        </w:tc>
      </w:tr>
    </w:tbl>
    <w:p w14:paraId="52BDD3B1">
      <w:pPr>
        <w:sectPr>
          <w:pgSz w:w="16840" w:h="11900" w:orient="landscape"/>
          <w:pgMar w:top="1361" w:right="1020" w:bottom="1134" w:left="1020" w:header="720" w:footer="720" w:gutter="0"/>
          <w:cols w:space="720" w:num="1"/>
        </w:sectPr>
      </w:pPr>
    </w:p>
    <w:p w14:paraId="317D8D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AFD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D8496E">
            <w:pPr>
              <w:pStyle w:val="9"/>
            </w:pPr>
            <w:r>
              <w:t>360031隆尧县北楼中学</w:t>
            </w:r>
          </w:p>
        </w:tc>
        <w:tc>
          <w:tcPr>
            <w:tcW w:w="2551" w:type="dxa"/>
            <w:tcBorders>
              <w:top w:val="single" w:color="FFFFFF" w:sz="6" w:space="0"/>
              <w:left w:val="single" w:color="FFFFFF" w:sz="6" w:space="0"/>
              <w:right w:val="single" w:color="FFFFFF" w:sz="6" w:space="0"/>
            </w:tcBorders>
            <w:vAlign w:val="center"/>
          </w:tcPr>
          <w:p w14:paraId="21CEC96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BCA956">
            <w:pPr>
              <w:pStyle w:val="7"/>
            </w:pPr>
            <w:r>
              <w:t>单位：万元</w:t>
            </w:r>
          </w:p>
        </w:tc>
      </w:tr>
      <w:tr w14:paraId="5D16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CA39BB">
            <w:pPr>
              <w:pStyle w:val="10"/>
            </w:pPr>
            <w:r>
              <w:t>序号</w:t>
            </w:r>
          </w:p>
        </w:tc>
        <w:tc>
          <w:tcPr>
            <w:tcW w:w="5726" w:type="dxa"/>
            <w:gridSpan w:val="2"/>
            <w:vAlign w:val="center"/>
          </w:tcPr>
          <w:p w14:paraId="2E58100B">
            <w:pPr>
              <w:pStyle w:val="10"/>
            </w:pPr>
            <w:r>
              <w:t>功能分类科目</w:t>
            </w:r>
          </w:p>
        </w:tc>
        <w:tc>
          <w:tcPr>
            <w:tcW w:w="2551" w:type="dxa"/>
            <w:vMerge w:val="restart"/>
            <w:vAlign w:val="center"/>
          </w:tcPr>
          <w:p w14:paraId="3270C613">
            <w:pPr>
              <w:pStyle w:val="10"/>
            </w:pPr>
            <w:r>
              <w:t>合计</w:t>
            </w:r>
          </w:p>
        </w:tc>
        <w:tc>
          <w:tcPr>
            <w:tcW w:w="2551" w:type="dxa"/>
            <w:vMerge w:val="restart"/>
            <w:vAlign w:val="center"/>
          </w:tcPr>
          <w:p w14:paraId="44DD1106">
            <w:pPr>
              <w:pStyle w:val="10"/>
            </w:pPr>
            <w:r>
              <w:t>基本支出</w:t>
            </w:r>
          </w:p>
        </w:tc>
        <w:tc>
          <w:tcPr>
            <w:tcW w:w="2551" w:type="dxa"/>
            <w:vMerge w:val="restart"/>
            <w:vAlign w:val="center"/>
          </w:tcPr>
          <w:p w14:paraId="5DA506FA">
            <w:pPr>
              <w:pStyle w:val="10"/>
            </w:pPr>
            <w:r>
              <w:t>项目支出</w:t>
            </w:r>
          </w:p>
        </w:tc>
      </w:tr>
      <w:tr w14:paraId="1876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13BEDA"/>
        </w:tc>
        <w:tc>
          <w:tcPr>
            <w:tcW w:w="1191" w:type="dxa"/>
            <w:vAlign w:val="center"/>
          </w:tcPr>
          <w:p w14:paraId="13B2CF79">
            <w:pPr>
              <w:pStyle w:val="10"/>
            </w:pPr>
            <w:r>
              <w:t>科目编码</w:t>
            </w:r>
          </w:p>
        </w:tc>
        <w:tc>
          <w:tcPr>
            <w:tcW w:w="4535" w:type="dxa"/>
            <w:vAlign w:val="center"/>
          </w:tcPr>
          <w:p w14:paraId="15BAC78C">
            <w:pPr>
              <w:pStyle w:val="10"/>
            </w:pPr>
            <w:r>
              <w:t>科目名称</w:t>
            </w:r>
          </w:p>
        </w:tc>
        <w:tc>
          <w:tcPr>
            <w:tcW w:w="2551" w:type="dxa"/>
            <w:vMerge w:val="continue"/>
          </w:tcPr>
          <w:p w14:paraId="26F4F562"/>
        </w:tc>
        <w:tc>
          <w:tcPr>
            <w:tcW w:w="2551" w:type="dxa"/>
            <w:vMerge w:val="continue"/>
          </w:tcPr>
          <w:p w14:paraId="7ACB5A1F"/>
        </w:tc>
        <w:tc>
          <w:tcPr>
            <w:tcW w:w="2551" w:type="dxa"/>
            <w:vMerge w:val="continue"/>
          </w:tcPr>
          <w:p w14:paraId="376F1EE8"/>
        </w:tc>
      </w:tr>
      <w:tr w14:paraId="1881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3CA39">
            <w:pPr>
              <w:pStyle w:val="10"/>
            </w:pPr>
            <w:r>
              <w:t>栏次</w:t>
            </w:r>
          </w:p>
        </w:tc>
        <w:tc>
          <w:tcPr>
            <w:tcW w:w="1191" w:type="dxa"/>
            <w:vAlign w:val="center"/>
          </w:tcPr>
          <w:p w14:paraId="338B0DA2">
            <w:pPr>
              <w:pStyle w:val="10"/>
            </w:pPr>
            <w:r>
              <w:t>1</w:t>
            </w:r>
          </w:p>
        </w:tc>
        <w:tc>
          <w:tcPr>
            <w:tcW w:w="4535" w:type="dxa"/>
            <w:vAlign w:val="center"/>
          </w:tcPr>
          <w:p w14:paraId="4DDF41FA">
            <w:pPr>
              <w:pStyle w:val="10"/>
            </w:pPr>
            <w:r>
              <w:t>2</w:t>
            </w:r>
          </w:p>
        </w:tc>
        <w:tc>
          <w:tcPr>
            <w:tcW w:w="2551" w:type="dxa"/>
            <w:vAlign w:val="center"/>
          </w:tcPr>
          <w:p w14:paraId="4726C227">
            <w:pPr>
              <w:pStyle w:val="10"/>
            </w:pPr>
            <w:r>
              <w:t>3</w:t>
            </w:r>
          </w:p>
        </w:tc>
        <w:tc>
          <w:tcPr>
            <w:tcW w:w="2551" w:type="dxa"/>
            <w:vAlign w:val="center"/>
          </w:tcPr>
          <w:p w14:paraId="7A0DB7CD">
            <w:pPr>
              <w:pStyle w:val="10"/>
            </w:pPr>
            <w:r>
              <w:t>4</w:t>
            </w:r>
          </w:p>
        </w:tc>
        <w:tc>
          <w:tcPr>
            <w:tcW w:w="2551" w:type="dxa"/>
            <w:vAlign w:val="center"/>
          </w:tcPr>
          <w:p w14:paraId="128B1C10">
            <w:pPr>
              <w:pStyle w:val="10"/>
            </w:pPr>
            <w:r>
              <w:t>5</w:t>
            </w:r>
          </w:p>
        </w:tc>
      </w:tr>
      <w:tr w14:paraId="23F6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C3B00">
            <w:pPr>
              <w:pStyle w:val="13"/>
            </w:pPr>
            <w:r>
              <w:t>1</w:t>
            </w:r>
          </w:p>
        </w:tc>
        <w:tc>
          <w:tcPr>
            <w:tcW w:w="1191" w:type="dxa"/>
            <w:vAlign w:val="center"/>
          </w:tcPr>
          <w:p w14:paraId="7F01114F">
            <w:pPr>
              <w:pStyle w:val="16"/>
            </w:pPr>
          </w:p>
        </w:tc>
        <w:tc>
          <w:tcPr>
            <w:tcW w:w="4535" w:type="dxa"/>
            <w:vAlign w:val="center"/>
          </w:tcPr>
          <w:p w14:paraId="7791F473">
            <w:pPr>
              <w:pStyle w:val="14"/>
            </w:pPr>
            <w:r>
              <w:t>合计</w:t>
            </w:r>
          </w:p>
        </w:tc>
        <w:tc>
          <w:tcPr>
            <w:tcW w:w="2551" w:type="dxa"/>
            <w:vAlign w:val="center"/>
          </w:tcPr>
          <w:p w14:paraId="5F9B31EA">
            <w:pPr>
              <w:pStyle w:val="15"/>
            </w:pPr>
            <w:r>
              <w:t>1075.32</w:t>
            </w:r>
          </w:p>
        </w:tc>
        <w:tc>
          <w:tcPr>
            <w:tcW w:w="2551" w:type="dxa"/>
            <w:vAlign w:val="center"/>
          </w:tcPr>
          <w:p w14:paraId="60BE0E20">
            <w:pPr>
              <w:pStyle w:val="15"/>
            </w:pPr>
            <w:r>
              <w:t>827.36</w:t>
            </w:r>
          </w:p>
        </w:tc>
        <w:tc>
          <w:tcPr>
            <w:tcW w:w="2551" w:type="dxa"/>
            <w:vAlign w:val="center"/>
          </w:tcPr>
          <w:p w14:paraId="0C824667">
            <w:pPr>
              <w:pStyle w:val="15"/>
            </w:pPr>
            <w:r>
              <w:t>247.95</w:t>
            </w:r>
          </w:p>
        </w:tc>
      </w:tr>
      <w:tr w14:paraId="3606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AFC75">
            <w:pPr>
              <w:pStyle w:val="13"/>
            </w:pPr>
            <w:r>
              <w:t>2</w:t>
            </w:r>
          </w:p>
        </w:tc>
        <w:tc>
          <w:tcPr>
            <w:tcW w:w="1191" w:type="dxa"/>
            <w:vAlign w:val="center"/>
          </w:tcPr>
          <w:p w14:paraId="33D77BDE">
            <w:pPr>
              <w:pStyle w:val="12"/>
            </w:pPr>
            <w:r>
              <w:t>205</w:t>
            </w:r>
          </w:p>
        </w:tc>
        <w:tc>
          <w:tcPr>
            <w:tcW w:w="4535" w:type="dxa"/>
            <w:vAlign w:val="center"/>
          </w:tcPr>
          <w:p w14:paraId="779EE15D">
            <w:pPr>
              <w:pStyle w:val="12"/>
            </w:pPr>
            <w:r>
              <w:t>教育支出</w:t>
            </w:r>
          </w:p>
        </w:tc>
        <w:tc>
          <w:tcPr>
            <w:tcW w:w="2551" w:type="dxa"/>
            <w:vAlign w:val="center"/>
          </w:tcPr>
          <w:p w14:paraId="4DB023E4">
            <w:pPr>
              <w:pStyle w:val="11"/>
            </w:pPr>
            <w:r>
              <w:t>1075.32</w:t>
            </w:r>
          </w:p>
        </w:tc>
        <w:tc>
          <w:tcPr>
            <w:tcW w:w="2551" w:type="dxa"/>
            <w:vAlign w:val="center"/>
          </w:tcPr>
          <w:p w14:paraId="197C507D">
            <w:pPr>
              <w:pStyle w:val="11"/>
            </w:pPr>
            <w:r>
              <w:t>827.36</w:t>
            </w:r>
          </w:p>
        </w:tc>
        <w:tc>
          <w:tcPr>
            <w:tcW w:w="2551" w:type="dxa"/>
            <w:vAlign w:val="center"/>
          </w:tcPr>
          <w:p w14:paraId="6563AF89">
            <w:pPr>
              <w:pStyle w:val="11"/>
            </w:pPr>
            <w:r>
              <w:t>247.95</w:t>
            </w:r>
          </w:p>
        </w:tc>
      </w:tr>
      <w:tr w14:paraId="6930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5623B">
            <w:pPr>
              <w:pStyle w:val="13"/>
            </w:pPr>
            <w:r>
              <w:t>3</w:t>
            </w:r>
          </w:p>
        </w:tc>
        <w:tc>
          <w:tcPr>
            <w:tcW w:w="1191" w:type="dxa"/>
            <w:vAlign w:val="center"/>
          </w:tcPr>
          <w:p w14:paraId="78C6AA3F">
            <w:pPr>
              <w:pStyle w:val="12"/>
            </w:pPr>
            <w:r>
              <w:t>20502</w:t>
            </w:r>
          </w:p>
        </w:tc>
        <w:tc>
          <w:tcPr>
            <w:tcW w:w="4535" w:type="dxa"/>
            <w:vAlign w:val="center"/>
          </w:tcPr>
          <w:p w14:paraId="2E4336C1">
            <w:pPr>
              <w:pStyle w:val="12"/>
            </w:pPr>
            <w:r>
              <w:t>普通教育</w:t>
            </w:r>
          </w:p>
        </w:tc>
        <w:tc>
          <w:tcPr>
            <w:tcW w:w="2551" w:type="dxa"/>
            <w:vAlign w:val="center"/>
          </w:tcPr>
          <w:p w14:paraId="50D83F97">
            <w:pPr>
              <w:pStyle w:val="11"/>
            </w:pPr>
            <w:r>
              <w:t>1075.32</w:t>
            </w:r>
          </w:p>
        </w:tc>
        <w:tc>
          <w:tcPr>
            <w:tcW w:w="2551" w:type="dxa"/>
            <w:vAlign w:val="center"/>
          </w:tcPr>
          <w:p w14:paraId="7067CE9A">
            <w:pPr>
              <w:pStyle w:val="11"/>
            </w:pPr>
            <w:r>
              <w:t>827.36</w:t>
            </w:r>
          </w:p>
        </w:tc>
        <w:tc>
          <w:tcPr>
            <w:tcW w:w="2551" w:type="dxa"/>
            <w:vAlign w:val="center"/>
          </w:tcPr>
          <w:p w14:paraId="46BB038E">
            <w:pPr>
              <w:pStyle w:val="11"/>
            </w:pPr>
            <w:r>
              <w:t>247.95</w:t>
            </w:r>
          </w:p>
        </w:tc>
      </w:tr>
      <w:tr w14:paraId="2E25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F963A">
            <w:pPr>
              <w:pStyle w:val="13"/>
            </w:pPr>
            <w:r>
              <w:t>4</w:t>
            </w:r>
          </w:p>
        </w:tc>
        <w:tc>
          <w:tcPr>
            <w:tcW w:w="1191" w:type="dxa"/>
            <w:vAlign w:val="center"/>
          </w:tcPr>
          <w:p w14:paraId="7EFAEA4E">
            <w:pPr>
              <w:pStyle w:val="12"/>
            </w:pPr>
            <w:r>
              <w:t>2050203</w:t>
            </w:r>
          </w:p>
        </w:tc>
        <w:tc>
          <w:tcPr>
            <w:tcW w:w="4535" w:type="dxa"/>
            <w:vAlign w:val="center"/>
          </w:tcPr>
          <w:p w14:paraId="063F6FAC">
            <w:pPr>
              <w:pStyle w:val="12"/>
            </w:pPr>
            <w:r>
              <w:t>初中教育</w:t>
            </w:r>
          </w:p>
        </w:tc>
        <w:tc>
          <w:tcPr>
            <w:tcW w:w="2551" w:type="dxa"/>
            <w:vAlign w:val="center"/>
          </w:tcPr>
          <w:p w14:paraId="6D35B93E">
            <w:pPr>
              <w:pStyle w:val="11"/>
            </w:pPr>
            <w:r>
              <w:t>1075.32</w:t>
            </w:r>
          </w:p>
        </w:tc>
        <w:tc>
          <w:tcPr>
            <w:tcW w:w="2551" w:type="dxa"/>
            <w:vAlign w:val="center"/>
          </w:tcPr>
          <w:p w14:paraId="7CA01E63">
            <w:pPr>
              <w:pStyle w:val="11"/>
            </w:pPr>
            <w:r>
              <w:t>827.36</w:t>
            </w:r>
          </w:p>
        </w:tc>
        <w:tc>
          <w:tcPr>
            <w:tcW w:w="2551" w:type="dxa"/>
            <w:vAlign w:val="center"/>
          </w:tcPr>
          <w:p w14:paraId="0D7407B8">
            <w:pPr>
              <w:pStyle w:val="11"/>
            </w:pPr>
            <w:r>
              <w:t>247.95</w:t>
            </w:r>
          </w:p>
        </w:tc>
      </w:tr>
    </w:tbl>
    <w:p w14:paraId="6AC9ABD8">
      <w:pPr>
        <w:sectPr>
          <w:pgSz w:w="16840" w:h="11900" w:orient="landscape"/>
          <w:pgMar w:top="1361" w:right="1020" w:bottom="1134" w:left="1020" w:header="720" w:footer="720" w:gutter="0"/>
          <w:cols w:space="720" w:num="1"/>
        </w:sectPr>
      </w:pPr>
    </w:p>
    <w:p w14:paraId="3CDE62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1F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4D618">
            <w:pPr>
              <w:pStyle w:val="9"/>
            </w:pPr>
            <w:r>
              <w:t>360031隆尧县北楼中学</w:t>
            </w:r>
          </w:p>
        </w:tc>
        <w:tc>
          <w:tcPr>
            <w:tcW w:w="2551" w:type="dxa"/>
            <w:tcBorders>
              <w:top w:val="single" w:color="FFFFFF" w:sz="6" w:space="0"/>
              <w:left w:val="single" w:color="FFFFFF" w:sz="6" w:space="0"/>
              <w:right w:val="single" w:color="FFFFFF" w:sz="6" w:space="0"/>
            </w:tcBorders>
            <w:vAlign w:val="center"/>
          </w:tcPr>
          <w:p w14:paraId="38D6D19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DDF4FC">
            <w:pPr>
              <w:pStyle w:val="7"/>
            </w:pPr>
            <w:r>
              <w:t>单位：万元</w:t>
            </w:r>
          </w:p>
        </w:tc>
      </w:tr>
      <w:tr w14:paraId="321E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874271">
            <w:pPr>
              <w:pStyle w:val="10"/>
            </w:pPr>
            <w:r>
              <w:t>序号</w:t>
            </w:r>
          </w:p>
        </w:tc>
        <w:tc>
          <w:tcPr>
            <w:tcW w:w="5726" w:type="dxa"/>
            <w:gridSpan w:val="2"/>
            <w:vAlign w:val="center"/>
          </w:tcPr>
          <w:p w14:paraId="32344E76">
            <w:pPr>
              <w:pStyle w:val="10"/>
            </w:pPr>
            <w:r>
              <w:t>支出部门经济分类科目</w:t>
            </w:r>
          </w:p>
        </w:tc>
        <w:tc>
          <w:tcPr>
            <w:tcW w:w="7653" w:type="dxa"/>
            <w:gridSpan w:val="3"/>
            <w:vAlign w:val="center"/>
          </w:tcPr>
          <w:p w14:paraId="688DA39D">
            <w:pPr>
              <w:pStyle w:val="10"/>
            </w:pPr>
            <w:r>
              <w:t>一般公共预算基本支出</w:t>
            </w:r>
          </w:p>
        </w:tc>
      </w:tr>
      <w:tr w14:paraId="3EED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79849"/>
        </w:tc>
        <w:tc>
          <w:tcPr>
            <w:tcW w:w="1191" w:type="dxa"/>
            <w:vAlign w:val="center"/>
          </w:tcPr>
          <w:p w14:paraId="45CB5F0E">
            <w:pPr>
              <w:pStyle w:val="10"/>
            </w:pPr>
            <w:r>
              <w:t>科目编码</w:t>
            </w:r>
          </w:p>
        </w:tc>
        <w:tc>
          <w:tcPr>
            <w:tcW w:w="4535" w:type="dxa"/>
            <w:vAlign w:val="center"/>
          </w:tcPr>
          <w:p w14:paraId="4C3125EC">
            <w:pPr>
              <w:pStyle w:val="10"/>
            </w:pPr>
            <w:r>
              <w:t>科目名称</w:t>
            </w:r>
          </w:p>
        </w:tc>
        <w:tc>
          <w:tcPr>
            <w:tcW w:w="2551" w:type="dxa"/>
            <w:vAlign w:val="center"/>
          </w:tcPr>
          <w:p w14:paraId="52FFA92E">
            <w:pPr>
              <w:pStyle w:val="10"/>
            </w:pPr>
            <w:r>
              <w:t>合计</w:t>
            </w:r>
          </w:p>
        </w:tc>
        <w:tc>
          <w:tcPr>
            <w:tcW w:w="2551" w:type="dxa"/>
            <w:vAlign w:val="center"/>
          </w:tcPr>
          <w:p w14:paraId="515AB81E">
            <w:pPr>
              <w:pStyle w:val="10"/>
            </w:pPr>
            <w:r>
              <w:t>人员经费</w:t>
            </w:r>
          </w:p>
        </w:tc>
        <w:tc>
          <w:tcPr>
            <w:tcW w:w="2551" w:type="dxa"/>
            <w:vAlign w:val="center"/>
          </w:tcPr>
          <w:p w14:paraId="195A6F66">
            <w:pPr>
              <w:pStyle w:val="10"/>
            </w:pPr>
            <w:r>
              <w:t>公用经费</w:t>
            </w:r>
          </w:p>
        </w:tc>
      </w:tr>
      <w:tr w14:paraId="5044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CB6FB">
            <w:pPr>
              <w:pStyle w:val="10"/>
            </w:pPr>
            <w:r>
              <w:t>栏次</w:t>
            </w:r>
          </w:p>
        </w:tc>
        <w:tc>
          <w:tcPr>
            <w:tcW w:w="1191" w:type="dxa"/>
            <w:vAlign w:val="center"/>
          </w:tcPr>
          <w:p w14:paraId="581722B9">
            <w:pPr>
              <w:pStyle w:val="10"/>
            </w:pPr>
            <w:r>
              <w:t>1</w:t>
            </w:r>
          </w:p>
        </w:tc>
        <w:tc>
          <w:tcPr>
            <w:tcW w:w="4535" w:type="dxa"/>
            <w:vAlign w:val="center"/>
          </w:tcPr>
          <w:p w14:paraId="12BB92EC">
            <w:pPr>
              <w:pStyle w:val="10"/>
            </w:pPr>
            <w:r>
              <w:t>2</w:t>
            </w:r>
          </w:p>
        </w:tc>
        <w:tc>
          <w:tcPr>
            <w:tcW w:w="2551" w:type="dxa"/>
            <w:vAlign w:val="center"/>
          </w:tcPr>
          <w:p w14:paraId="1326E16A">
            <w:pPr>
              <w:pStyle w:val="10"/>
            </w:pPr>
            <w:r>
              <w:t>3</w:t>
            </w:r>
          </w:p>
        </w:tc>
        <w:tc>
          <w:tcPr>
            <w:tcW w:w="2551" w:type="dxa"/>
            <w:vAlign w:val="center"/>
          </w:tcPr>
          <w:p w14:paraId="6CAAC31B">
            <w:pPr>
              <w:pStyle w:val="10"/>
            </w:pPr>
            <w:r>
              <w:t>4</w:t>
            </w:r>
          </w:p>
        </w:tc>
        <w:tc>
          <w:tcPr>
            <w:tcW w:w="2551" w:type="dxa"/>
            <w:vAlign w:val="center"/>
          </w:tcPr>
          <w:p w14:paraId="5379C0CD">
            <w:pPr>
              <w:pStyle w:val="10"/>
            </w:pPr>
            <w:r>
              <w:t>5</w:t>
            </w:r>
          </w:p>
        </w:tc>
      </w:tr>
      <w:tr w14:paraId="0AE5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1823">
            <w:pPr>
              <w:pStyle w:val="13"/>
            </w:pPr>
            <w:r>
              <w:t>1</w:t>
            </w:r>
          </w:p>
        </w:tc>
        <w:tc>
          <w:tcPr>
            <w:tcW w:w="1191" w:type="dxa"/>
            <w:vAlign w:val="center"/>
          </w:tcPr>
          <w:p w14:paraId="7EBAB194">
            <w:pPr>
              <w:pStyle w:val="16"/>
            </w:pPr>
          </w:p>
        </w:tc>
        <w:tc>
          <w:tcPr>
            <w:tcW w:w="4535" w:type="dxa"/>
            <w:vAlign w:val="center"/>
          </w:tcPr>
          <w:p w14:paraId="5BE4A6FB">
            <w:pPr>
              <w:pStyle w:val="14"/>
            </w:pPr>
            <w:r>
              <w:t>合计</w:t>
            </w:r>
          </w:p>
        </w:tc>
        <w:tc>
          <w:tcPr>
            <w:tcW w:w="2551" w:type="dxa"/>
            <w:vAlign w:val="center"/>
          </w:tcPr>
          <w:p w14:paraId="5F7C7707">
            <w:pPr>
              <w:pStyle w:val="15"/>
            </w:pPr>
            <w:r>
              <w:t>827.36</w:t>
            </w:r>
          </w:p>
        </w:tc>
        <w:tc>
          <w:tcPr>
            <w:tcW w:w="2551" w:type="dxa"/>
            <w:vAlign w:val="center"/>
          </w:tcPr>
          <w:p w14:paraId="42F05FA2">
            <w:pPr>
              <w:pStyle w:val="15"/>
            </w:pPr>
            <w:r>
              <w:t>827.36</w:t>
            </w:r>
          </w:p>
        </w:tc>
        <w:tc>
          <w:tcPr>
            <w:tcW w:w="2551" w:type="dxa"/>
            <w:vAlign w:val="center"/>
          </w:tcPr>
          <w:p w14:paraId="09CB4239">
            <w:pPr>
              <w:pStyle w:val="15"/>
            </w:pPr>
          </w:p>
        </w:tc>
      </w:tr>
      <w:tr w14:paraId="0A19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0240">
            <w:pPr>
              <w:pStyle w:val="13"/>
            </w:pPr>
            <w:r>
              <w:t>2</w:t>
            </w:r>
          </w:p>
        </w:tc>
        <w:tc>
          <w:tcPr>
            <w:tcW w:w="1191" w:type="dxa"/>
            <w:vAlign w:val="center"/>
          </w:tcPr>
          <w:p w14:paraId="019EE966">
            <w:pPr>
              <w:pStyle w:val="12"/>
            </w:pPr>
            <w:r>
              <w:t>301</w:t>
            </w:r>
          </w:p>
        </w:tc>
        <w:tc>
          <w:tcPr>
            <w:tcW w:w="4535" w:type="dxa"/>
            <w:vAlign w:val="center"/>
          </w:tcPr>
          <w:p w14:paraId="3A00C229">
            <w:pPr>
              <w:pStyle w:val="12"/>
            </w:pPr>
            <w:r>
              <w:t>工资福利支出</w:t>
            </w:r>
          </w:p>
        </w:tc>
        <w:tc>
          <w:tcPr>
            <w:tcW w:w="2551" w:type="dxa"/>
            <w:vAlign w:val="center"/>
          </w:tcPr>
          <w:p w14:paraId="15C888F6">
            <w:pPr>
              <w:pStyle w:val="11"/>
            </w:pPr>
            <w:r>
              <w:t>810.35</w:t>
            </w:r>
          </w:p>
        </w:tc>
        <w:tc>
          <w:tcPr>
            <w:tcW w:w="2551" w:type="dxa"/>
            <w:vAlign w:val="center"/>
          </w:tcPr>
          <w:p w14:paraId="081F1F62">
            <w:pPr>
              <w:pStyle w:val="11"/>
            </w:pPr>
            <w:r>
              <w:t>810.35</w:t>
            </w:r>
          </w:p>
        </w:tc>
        <w:tc>
          <w:tcPr>
            <w:tcW w:w="2551" w:type="dxa"/>
            <w:vAlign w:val="center"/>
          </w:tcPr>
          <w:p w14:paraId="74C395A0">
            <w:pPr>
              <w:pStyle w:val="11"/>
            </w:pPr>
          </w:p>
        </w:tc>
      </w:tr>
      <w:tr w14:paraId="7000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9EC92">
            <w:pPr>
              <w:pStyle w:val="13"/>
            </w:pPr>
            <w:r>
              <w:t>3</w:t>
            </w:r>
          </w:p>
        </w:tc>
        <w:tc>
          <w:tcPr>
            <w:tcW w:w="1191" w:type="dxa"/>
            <w:vAlign w:val="center"/>
          </w:tcPr>
          <w:p w14:paraId="55E3937D">
            <w:pPr>
              <w:pStyle w:val="12"/>
            </w:pPr>
            <w:r>
              <w:t>30101</w:t>
            </w:r>
          </w:p>
        </w:tc>
        <w:tc>
          <w:tcPr>
            <w:tcW w:w="4535" w:type="dxa"/>
            <w:vAlign w:val="center"/>
          </w:tcPr>
          <w:p w14:paraId="5CC77707">
            <w:pPr>
              <w:pStyle w:val="12"/>
            </w:pPr>
            <w:r>
              <w:t>基本工资</w:t>
            </w:r>
          </w:p>
        </w:tc>
        <w:tc>
          <w:tcPr>
            <w:tcW w:w="2551" w:type="dxa"/>
            <w:vAlign w:val="center"/>
          </w:tcPr>
          <w:p w14:paraId="29CFD033">
            <w:pPr>
              <w:pStyle w:val="11"/>
            </w:pPr>
            <w:r>
              <w:t>376.02</w:t>
            </w:r>
          </w:p>
        </w:tc>
        <w:tc>
          <w:tcPr>
            <w:tcW w:w="2551" w:type="dxa"/>
            <w:vAlign w:val="center"/>
          </w:tcPr>
          <w:p w14:paraId="7024767E">
            <w:pPr>
              <w:pStyle w:val="11"/>
            </w:pPr>
            <w:r>
              <w:t>376.02</w:t>
            </w:r>
          </w:p>
        </w:tc>
        <w:tc>
          <w:tcPr>
            <w:tcW w:w="2551" w:type="dxa"/>
            <w:vAlign w:val="center"/>
          </w:tcPr>
          <w:p w14:paraId="678A8F24">
            <w:pPr>
              <w:pStyle w:val="11"/>
            </w:pPr>
          </w:p>
        </w:tc>
      </w:tr>
      <w:tr w14:paraId="4B86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449B">
            <w:pPr>
              <w:pStyle w:val="13"/>
            </w:pPr>
            <w:r>
              <w:t>4</w:t>
            </w:r>
          </w:p>
        </w:tc>
        <w:tc>
          <w:tcPr>
            <w:tcW w:w="1191" w:type="dxa"/>
            <w:vAlign w:val="center"/>
          </w:tcPr>
          <w:p w14:paraId="1CB43A64">
            <w:pPr>
              <w:pStyle w:val="12"/>
            </w:pPr>
            <w:r>
              <w:t>30102</w:t>
            </w:r>
          </w:p>
        </w:tc>
        <w:tc>
          <w:tcPr>
            <w:tcW w:w="4535" w:type="dxa"/>
            <w:vAlign w:val="center"/>
          </w:tcPr>
          <w:p w14:paraId="60E05578">
            <w:pPr>
              <w:pStyle w:val="12"/>
            </w:pPr>
            <w:r>
              <w:t>津贴补贴</w:t>
            </w:r>
          </w:p>
        </w:tc>
        <w:tc>
          <w:tcPr>
            <w:tcW w:w="2551" w:type="dxa"/>
            <w:vAlign w:val="center"/>
          </w:tcPr>
          <w:p w14:paraId="0157E456">
            <w:pPr>
              <w:pStyle w:val="11"/>
            </w:pPr>
            <w:r>
              <w:t>34.65</w:t>
            </w:r>
          </w:p>
        </w:tc>
        <w:tc>
          <w:tcPr>
            <w:tcW w:w="2551" w:type="dxa"/>
            <w:vAlign w:val="center"/>
          </w:tcPr>
          <w:p w14:paraId="06AE49F8">
            <w:pPr>
              <w:pStyle w:val="11"/>
            </w:pPr>
            <w:r>
              <w:t>34.65</w:t>
            </w:r>
          </w:p>
        </w:tc>
        <w:tc>
          <w:tcPr>
            <w:tcW w:w="2551" w:type="dxa"/>
            <w:vAlign w:val="center"/>
          </w:tcPr>
          <w:p w14:paraId="6B562E4E">
            <w:pPr>
              <w:pStyle w:val="11"/>
            </w:pPr>
          </w:p>
        </w:tc>
      </w:tr>
      <w:tr w14:paraId="22F0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5F60E">
            <w:pPr>
              <w:pStyle w:val="13"/>
            </w:pPr>
            <w:r>
              <w:t>5</w:t>
            </w:r>
          </w:p>
        </w:tc>
        <w:tc>
          <w:tcPr>
            <w:tcW w:w="1191" w:type="dxa"/>
            <w:vAlign w:val="center"/>
          </w:tcPr>
          <w:p w14:paraId="39D2C363">
            <w:pPr>
              <w:pStyle w:val="12"/>
            </w:pPr>
            <w:r>
              <w:t>30107</w:t>
            </w:r>
          </w:p>
        </w:tc>
        <w:tc>
          <w:tcPr>
            <w:tcW w:w="4535" w:type="dxa"/>
            <w:vAlign w:val="center"/>
          </w:tcPr>
          <w:p w14:paraId="2F89B85F">
            <w:pPr>
              <w:pStyle w:val="12"/>
            </w:pPr>
            <w:r>
              <w:t>绩效工资</w:t>
            </w:r>
          </w:p>
        </w:tc>
        <w:tc>
          <w:tcPr>
            <w:tcW w:w="2551" w:type="dxa"/>
            <w:vAlign w:val="center"/>
          </w:tcPr>
          <w:p w14:paraId="56EEBE55">
            <w:pPr>
              <w:pStyle w:val="11"/>
            </w:pPr>
            <w:r>
              <w:t>213.28</w:t>
            </w:r>
          </w:p>
        </w:tc>
        <w:tc>
          <w:tcPr>
            <w:tcW w:w="2551" w:type="dxa"/>
            <w:vAlign w:val="center"/>
          </w:tcPr>
          <w:p w14:paraId="0E5F24A5">
            <w:pPr>
              <w:pStyle w:val="11"/>
            </w:pPr>
            <w:r>
              <w:t>213.28</w:t>
            </w:r>
          </w:p>
        </w:tc>
        <w:tc>
          <w:tcPr>
            <w:tcW w:w="2551" w:type="dxa"/>
            <w:vAlign w:val="center"/>
          </w:tcPr>
          <w:p w14:paraId="3773B6A8">
            <w:pPr>
              <w:pStyle w:val="11"/>
            </w:pPr>
          </w:p>
        </w:tc>
      </w:tr>
      <w:tr w14:paraId="5A7D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0736C">
            <w:pPr>
              <w:pStyle w:val="13"/>
            </w:pPr>
            <w:r>
              <w:t>6</w:t>
            </w:r>
          </w:p>
        </w:tc>
        <w:tc>
          <w:tcPr>
            <w:tcW w:w="1191" w:type="dxa"/>
            <w:vAlign w:val="center"/>
          </w:tcPr>
          <w:p w14:paraId="49E8DE04">
            <w:pPr>
              <w:pStyle w:val="12"/>
            </w:pPr>
            <w:r>
              <w:t>30108</w:t>
            </w:r>
          </w:p>
        </w:tc>
        <w:tc>
          <w:tcPr>
            <w:tcW w:w="4535" w:type="dxa"/>
            <w:vAlign w:val="center"/>
          </w:tcPr>
          <w:p w14:paraId="4AD4D9D4">
            <w:pPr>
              <w:pStyle w:val="12"/>
            </w:pPr>
            <w:r>
              <w:t>机关事业单位基本养老保险缴费</w:t>
            </w:r>
          </w:p>
        </w:tc>
        <w:tc>
          <w:tcPr>
            <w:tcW w:w="2551" w:type="dxa"/>
            <w:vAlign w:val="center"/>
          </w:tcPr>
          <w:p w14:paraId="5A34239E">
            <w:pPr>
              <w:pStyle w:val="11"/>
            </w:pPr>
            <w:r>
              <w:t>82.77</w:t>
            </w:r>
          </w:p>
        </w:tc>
        <w:tc>
          <w:tcPr>
            <w:tcW w:w="2551" w:type="dxa"/>
            <w:vAlign w:val="center"/>
          </w:tcPr>
          <w:p w14:paraId="59C573BD">
            <w:pPr>
              <w:pStyle w:val="11"/>
            </w:pPr>
            <w:r>
              <w:t>82.77</w:t>
            </w:r>
          </w:p>
        </w:tc>
        <w:tc>
          <w:tcPr>
            <w:tcW w:w="2551" w:type="dxa"/>
            <w:vAlign w:val="center"/>
          </w:tcPr>
          <w:p w14:paraId="31C8F66F">
            <w:pPr>
              <w:pStyle w:val="11"/>
            </w:pPr>
          </w:p>
        </w:tc>
      </w:tr>
      <w:tr w14:paraId="4A7B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1CCE0">
            <w:pPr>
              <w:pStyle w:val="13"/>
            </w:pPr>
            <w:r>
              <w:t>7</w:t>
            </w:r>
          </w:p>
        </w:tc>
        <w:tc>
          <w:tcPr>
            <w:tcW w:w="1191" w:type="dxa"/>
            <w:vAlign w:val="center"/>
          </w:tcPr>
          <w:p w14:paraId="3A61928A">
            <w:pPr>
              <w:pStyle w:val="12"/>
            </w:pPr>
            <w:r>
              <w:t>30110</w:t>
            </w:r>
          </w:p>
        </w:tc>
        <w:tc>
          <w:tcPr>
            <w:tcW w:w="4535" w:type="dxa"/>
            <w:vAlign w:val="center"/>
          </w:tcPr>
          <w:p w14:paraId="35A1831E">
            <w:pPr>
              <w:pStyle w:val="12"/>
            </w:pPr>
            <w:r>
              <w:t>职工基本医疗保险缴费</w:t>
            </w:r>
          </w:p>
        </w:tc>
        <w:tc>
          <w:tcPr>
            <w:tcW w:w="2551" w:type="dxa"/>
            <w:vAlign w:val="center"/>
          </w:tcPr>
          <w:p w14:paraId="227DEC17">
            <w:pPr>
              <w:pStyle w:val="11"/>
            </w:pPr>
            <w:r>
              <w:t>39.16</w:t>
            </w:r>
          </w:p>
        </w:tc>
        <w:tc>
          <w:tcPr>
            <w:tcW w:w="2551" w:type="dxa"/>
            <w:vAlign w:val="center"/>
          </w:tcPr>
          <w:p w14:paraId="76D8CF2A">
            <w:pPr>
              <w:pStyle w:val="11"/>
            </w:pPr>
            <w:r>
              <w:t>39.16</w:t>
            </w:r>
          </w:p>
        </w:tc>
        <w:tc>
          <w:tcPr>
            <w:tcW w:w="2551" w:type="dxa"/>
            <w:vAlign w:val="center"/>
          </w:tcPr>
          <w:p w14:paraId="63F5C1B9">
            <w:pPr>
              <w:pStyle w:val="11"/>
            </w:pPr>
          </w:p>
        </w:tc>
      </w:tr>
      <w:tr w14:paraId="6672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C7C2C">
            <w:pPr>
              <w:pStyle w:val="13"/>
            </w:pPr>
            <w:r>
              <w:t>8</w:t>
            </w:r>
          </w:p>
        </w:tc>
        <w:tc>
          <w:tcPr>
            <w:tcW w:w="1191" w:type="dxa"/>
            <w:vAlign w:val="center"/>
          </w:tcPr>
          <w:p w14:paraId="30FFDB31">
            <w:pPr>
              <w:pStyle w:val="12"/>
            </w:pPr>
            <w:r>
              <w:t>30112</w:t>
            </w:r>
          </w:p>
        </w:tc>
        <w:tc>
          <w:tcPr>
            <w:tcW w:w="4535" w:type="dxa"/>
            <w:vAlign w:val="center"/>
          </w:tcPr>
          <w:p w14:paraId="0F8950FE">
            <w:pPr>
              <w:pStyle w:val="12"/>
            </w:pPr>
            <w:r>
              <w:t>其他社会保障缴费</w:t>
            </w:r>
          </w:p>
        </w:tc>
        <w:tc>
          <w:tcPr>
            <w:tcW w:w="2551" w:type="dxa"/>
            <w:vAlign w:val="center"/>
          </w:tcPr>
          <w:p w14:paraId="22245480">
            <w:pPr>
              <w:pStyle w:val="11"/>
            </w:pPr>
            <w:r>
              <w:t>2.64</w:t>
            </w:r>
          </w:p>
        </w:tc>
        <w:tc>
          <w:tcPr>
            <w:tcW w:w="2551" w:type="dxa"/>
            <w:vAlign w:val="center"/>
          </w:tcPr>
          <w:p w14:paraId="04A60103">
            <w:pPr>
              <w:pStyle w:val="11"/>
            </w:pPr>
            <w:r>
              <w:t>2.64</w:t>
            </w:r>
          </w:p>
        </w:tc>
        <w:tc>
          <w:tcPr>
            <w:tcW w:w="2551" w:type="dxa"/>
            <w:vAlign w:val="center"/>
          </w:tcPr>
          <w:p w14:paraId="4788594A">
            <w:pPr>
              <w:pStyle w:val="11"/>
            </w:pPr>
          </w:p>
        </w:tc>
      </w:tr>
      <w:tr w14:paraId="34C0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0E1B1">
            <w:pPr>
              <w:pStyle w:val="13"/>
            </w:pPr>
            <w:r>
              <w:t>9</w:t>
            </w:r>
          </w:p>
        </w:tc>
        <w:tc>
          <w:tcPr>
            <w:tcW w:w="1191" w:type="dxa"/>
            <w:vAlign w:val="center"/>
          </w:tcPr>
          <w:p w14:paraId="366DF1BE">
            <w:pPr>
              <w:pStyle w:val="12"/>
            </w:pPr>
            <w:r>
              <w:t>30113</w:t>
            </w:r>
          </w:p>
        </w:tc>
        <w:tc>
          <w:tcPr>
            <w:tcW w:w="4535" w:type="dxa"/>
            <w:vAlign w:val="center"/>
          </w:tcPr>
          <w:p w14:paraId="01701BC8">
            <w:pPr>
              <w:pStyle w:val="12"/>
            </w:pPr>
            <w:r>
              <w:t>住房公积金</w:t>
            </w:r>
          </w:p>
        </w:tc>
        <w:tc>
          <w:tcPr>
            <w:tcW w:w="2551" w:type="dxa"/>
            <w:vAlign w:val="center"/>
          </w:tcPr>
          <w:p w14:paraId="53BBA6C6">
            <w:pPr>
              <w:pStyle w:val="11"/>
            </w:pPr>
            <w:r>
              <w:t>61.84</w:t>
            </w:r>
          </w:p>
        </w:tc>
        <w:tc>
          <w:tcPr>
            <w:tcW w:w="2551" w:type="dxa"/>
            <w:vAlign w:val="center"/>
          </w:tcPr>
          <w:p w14:paraId="2500AC4D">
            <w:pPr>
              <w:pStyle w:val="11"/>
            </w:pPr>
            <w:r>
              <w:t>61.84</w:t>
            </w:r>
          </w:p>
        </w:tc>
        <w:tc>
          <w:tcPr>
            <w:tcW w:w="2551" w:type="dxa"/>
            <w:vAlign w:val="center"/>
          </w:tcPr>
          <w:p w14:paraId="59095A79">
            <w:pPr>
              <w:pStyle w:val="11"/>
            </w:pPr>
          </w:p>
        </w:tc>
      </w:tr>
      <w:tr w14:paraId="21CA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6008">
            <w:pPr>
              <w:pStyle w:val="13"/>
            </w:pPr>
            <w:r>
              <w:t>10</w:t>
            </w:r>
          </w:p>
        </w:tc>
        <w:tc>
          <w:tcPr>
            <w:tcW w:w="1191" w:type="dxa"/>
            <w:vAlign w:val="center"/>
          </w:tcPr>
          <w:p w14:paraId="207C5E49">
            <w:pPr>
              <w:pStyle w:val="12"/>
            </w:pPr>
            <w:r>
              <w:t>303</w:t>
            </w:r>
          </w:p>
        </w:tc>
        <w:tc>
          <w:tcPr>
            <w:tcW w:w="4535" w:type="dxa"/>
            <w:vAlign w:val="center"/>
          </w:tcPr>
          <w:p w14:paraId="5E446210">
            <w:pPr>
              <w:pStyle w:val="12"/>
            </w:pPr>
            <w:r>
              <w:t>对个人和家庭的补助</w:t>
            </w:r>
          </w:p>
        </w:tc>
        <w:tc>
          <w:tcPr>
            <w:tcW w:w="2551" w:type="dxa"/>
            <w:vAlign w:val="center"/>
          </w:tcPr>
          <w:p w14:paraId="5ED10374">
            <w:pPr>
              <w:pStyle w:val="11"/>
            </w:pPr>
            <w:r>
              <w:t>17.01</w:t>
            </w:r>
          </w:p>
        </w:tc>
        <w:tc>
          <w:tcPr>
            <w:tcW w:w="2551" w:type="dxa"/>
            <w:vAlign w:val="center"/>
          </w:tcPr>
          <w:p w14:paraId="1E5ED813">
            <w:pPr>
              <w:pStyle w:val="11"/>
            </w:pPr>
            <w:r>
              <w:t>17.01</w:t>
            </w:r>
          </w:p>
        </w:tc>
        <w:tc>
          <w:tcPr>
            <w:tcW w:w="2551" w:type="dxa"/>
            <w:vAlign w:val="center"/>
          </w:tcPr>
          <w:p w14:paraId="00008645">
            <w:pPr>
              <w:pStyle w:val="11"/>
            </w:pPr>
          </w:p>
        </w:tc>
      </w:tr>
      <w:tr w14:paraId="5B37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06908">
            <w:pPr>
              <w:pStyle w:val="13"/>
            </w:pPr>
            <w:r>
              <w:t>11</w:t>
            </w:r>
          </w:p>
        </w:tc>
        <w:tc>
          <w:tcPr>
            <w:tcW w:w="1191" w:type="dxa"/>
            <w:vAlign w:val="center"/>
          </w:tcPr>
          <w:p w14:paraId="2A8B6A94">
            <w:pPr>
              <w:pStyle w:val="12"/>
            </w:pPr>
            <w:r>
              <w:t>30302</w:t>
            </w:r>
          </w:p>
        </w:tc>
        <w:tc>
          <w:tcPr>
            <w:tcW w:w="4535" w:type="dxa"/>
            <w:vAlign w:val="center"/>
          </w:tcPr>
          <w:p w14:paraId="34F87658">
            <w:pPr>
              <w:pStyle w:val="12"/>
            </w:pPr>
            <w:r>
              <w:t>退休费</w:t>
            </w:r>
          </w:p>
        </w:tc>
        <w:tc>
          <w:tcPr>
            <w:tcW w:w="2551" w:type="dxa"/>
            <w:vAlign w:val="center"/>
          </w:tcPr>
          <w:p w14:paraId="2BA4CDF7">
            <w:pPr>
              <w:pStyle w:val="11"/>
            </w:pPr>
            <w:r>
              <w:t>17.01</w:t>
            </w:r>
          </w:p>
        </w:tc>
        <w:tc>
          <w:tcPr>
            <w:tcW w:w="2551" w:type="dxa"/>
            <w:vAlign w:val="center"/>
          </w:tcPr>
          <w:p w14:paraId="5E0A5A8F">
            <w:pPr>
              <w:pStyle w:val="11"/>
            </w:pPr>
            <w:r>
              <w:t>17.01</w:t>
            </w:r>
          </w:p>
        </w:tc>
        <w:tc>
          <w:tcPr>
            <w:tcW w:w="2551" w:type="dxa"/>
            <w:vAlign w:val="center"/>
          </w:tcPr>
          <w:p w14:paraId="2E216EA4">
            <w:pPr>
              <w:pStyle w:val="11"/>
            </w:pPr>
          </w:p>
        </w:tc>
      </w:tr>
    </w:tbl>
    <w:p w14:paraId="4E12FBCE">
      <w:pPr>
        <w:sectPr>
          <w:pgSz w:w="16840" w:h="11900" w:orient="landscape"/>
          <w:pgMar w:top="1361" w:right="1020" w:bottom="1134" w:left="1020" w:header="720" w:footer="720" w:gutter="0"/>
          <w:cols w:space="720" w:num="1"/>
        </w:sectPr>
      </w:pPr>
    </w:p>
    <w:p w14:paraId="1FBF14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64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73F834">
            <w:pPr>
              <w:pStyle w:val="9"/>
            </w:pPr>
            <w:r>
              <w:t>360031隆尧县北楼中学</w:t>
            </w:r>
          </w:p>
        </w:tc>
        <w:tc>
          <w:tcPr>
            <w:tcW w:w="2551" w:type="dxa"/>
            <w:tcBorders>
              <w:top w:val="single" w:color="FFFFFF" w:sz="6" w:space="0"/>
              <w:left w:val="single" w:color="FFFFFF" w:sz="6" w:space="0"/>
              <w:right w:val="single" w:color="FFFFFF" w:sz="6" w:space="0"/>
            </w:tcBorders>
            <w:vAlign w:val="center"/>
          </w:tcPr>
          <w:p w14:paraId="6F34E1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33BD29">
            <w:pPr>
              <w:pStyle w:val="7"/>
            </w:pPr>
            <w:r>
              <w:t>单位：万元</w:t>
            </w:r>
          </w:p>
        </w:tc>
      </w:tr>
      <w:tr w14:paraId="570E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A014BD">
            <w:pPr>
              <w:pStyle w:val="10"/>
            </w:pPr>
            <w:r>
              <w:t>序号</w:t>
            </w:r>
          </w:p>
        </w:tc>
        <w:tc>
          <w:tcPr>
            <w:tcW w:w="5726" w:type="dxa"/>
            <w:gridSpan w:val="2"/>
            <w:vAlign w:val="center"/>
          </w:tcPr>
          <w:p w14:paraId="5EBB4F17">
            <w:pPr>
              <w:pStyle w:val="10"/>
            </w:pPr>
            <w:r>
              <w:t>功能分类科目</w:t>
            </w:r>
          </w:p>
        </w:tc>
        <w:tc>
          <w:tcPr>
            <w:tcW w:w="2551" w:type="dxa"/>
            <w:vMerge w:val="restart"/>
            <w:vAlign w:val="center"/>
          </w:tcPr>
          <w:p w14:paraId="55345FEA">
            <w:pPr>
              <w:pStyle w:val="10"/>
            </w:pPr>
            <w:r>
              <w:t>合计</w:t>
            </w:r>
          </w:p>
        </w:tc>
        <w:tc>
          <w:tcPr>
            <w:tcW w:w="2551" w:type="dxa"/>
            <w:vMerge w:val="restart"/>
            <w:vAlign w:val="center"/>
          </w:tcPr>
          <w:p w14:paraId="36C48983">
            <w:pPr>
              <w:pStyle w:val="10"/>
            </w:pPr>
            <w:r>
              <w:t>基本支出</w:t>
            </w:r>
          </w:p>
        </w:tc>
        <w:tc>
          <w:tcPr>
            <w:tcW w:w="2551" w:type="dxa"/>
            <w:vMerge w:val="restart"/>
            <w:vAlign w:val="center"/>
          </w:tcPr>
          <w:p w14:paraId="6088A5A7">
            <w:pPr>
              <w:pStyle w:val="10"/>
            </w:pPr>
            <w:r>
              <w:t>项目支出</w:t>
            </w:r>
          </w:p>
        </w:tc>
      </w:tr>
      <w:tr w14:paraId="11C1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65B0A6"/>
        </w:tc>
        <w:tc>
          <w:tcPr>
            <w:tcW w:w="1191" w:type="dxa"/>
            <w:vAlign w:val="center"/>
          </w:tcPr>
          <w:p w14:paraId="3D07EF35">
            <w:pPr>
              <w:pStyle w:val="10"/>
            </w:pPr>
            <w:r>
              <w:t>科目编码</w:t>
            </w:r>
          </w:p>
        </w:tc>
        <w:tc>
          <w:tcPr>
            <w:tcW w:w="4535" w:type="dxa"/>
            <w:vAlign w:val="center"/>
          </w:tcPr>
          <w:p w14:paraId="6F3CDE50">
            <w:pPr>
              <w:pStyle w:val="10"/>
            </w:pPr>
            <w:r>
              <w:t>科目名称</w:t>
            </w:r>
          </w:p>
        </w:tc>
        <w:tc>
          <w:tcPr>
            <w:tcW w:w="2551" w:type="dxa"/>
            <w:vMerge w:val="continue"/>
          </w:tcPr>
          <w:p w14:paraId="314B58A0"/>
        </w:tc>
        <w:tc>
          <w:tcPr>
            <w:tcW w:w="2551" w:type="dxa"/>
            <w:vMerge w:val="continue"/>
          </w:tcPr>
          <w:p w14:paraId="2F6E70FB"/>
        </w:tc>
        <w:tc>
          <w:tcPr>
            <w:tcW w:w="2551" w:type="dxa"/>
            <w:vMerge w:val="continue"/>
          </w:tcPr>
          <w:p w14:paraId="0D9B3832"/>
        </w:tc>
      </w:tr>
      <w:tr w14:paraId="1CFC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993E4B">
            <w:pPr>
              <w:pStyle w:val="10"/>
            </w:pPr>
            <w:r>
              <w:t>栏次</w:t>
            </w:r>
          </w:p>
        </w:tc>
        <w:tc>
          <w:tcPr>
            <w:tcW w:w="1191" w:type="dxa"/>
            <w:vAlign w:val="center"/>
          </w:tcPr>
          <w:p w14:paraId="059AA26B">
            <w:pPr>
              <w:pStyle w:val="10"/>
            </w:pPr>
            <w:r>
              <w:t>1</w:t>
            </w:r>
          </w:p>
        </w:tc>
        <w:tc>
          <w:tcPr>
            <w:tcW w:w="4535" w:type="dxa"/>
            <w:vAlign w:val="center"/>
          </w:tcPr>
          <w:p w14:paraId="62444C21">
            <w:pPr>
              <w:pStyle w:val="10"/>
            </w:pPr>
            <w:r>
              <w:t>2</w:t>
            </w:r>
          </w:p>
        </w:tc>
        <w:tc>
          <w:tcPr>
            <w:tcW w:w="2551" w:type="dxa"/>
            <w:vAlign w:val="center"/>
          </w:tcPr>
          <w:p w14:paraId="44C546E4">
            <w:pPr>
              <w:pStyle w:val="10"/>
            </w:pPr>
            <w:r>
              <w:t>3</w:t>
            </w:r>
          </w:p>
        </w:tc>
        <w:tc>
          <w:tcPr>
            <w:tcW w:w="2551" w:type="dxa"/>
            <w:vAlign w:val="center"/>
          </w:tcPr>
          <w:p w14:paraId="36625755">
            <w:pPr>
              <w:pStyle w:val="10"/>
            </w:pPr>
            <w:r>
              <w:t>4</w:t>
            </w:r>
          </w:p>
        </w:tc>
        <w:tc>
          <w:tcPr>
            <w:tcW w:w="2551" w:type="dxa"/>
            <w:vAlign w:val="center"/>
          </w:tcPr>
          <w:p w14:paraId="75E53178">
            <w:pPr>
              <w:pStyle w:val="10"/>
            </w:pPr>
            <w:r>
              <w:t>5</w:t>
            </w:r>
          </w:p>
        </w:tc>
      </w:tr>
      <w:tr w14:paraId="1209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8AEF">
            <w:pPr>
              <w:pStyle w:val="13"/>
            </w:pPr>
          </w:p>
        </w:tc>
        <w:tc>
          <w:tcPr>
            <w:tcW w:w="1191" w:type="dxa"/>
            <w:vAlign w:val="center"/>
          </w:tcPr>
          <w:p w14:paraId="6983477A">
            <w:pPr>
              <w:pStyle w:val="12"/>
            </w:pPr>
          </w:p>
        </w:tc>
        <w:tc>
          <w:tcPr>
            <w:tcW w:w="4535" w:type="dxa"/>
            <w:vAlign w:val="center"/>
          </w:tcPr>
          <w:p w14:paraId="76FAE77A">
            <w:pPr>
              <w:pStyle w:val="12"/>
            </w:pPr>
          </w:p>
        </w:tc>
        <w:tc>
          <w:tcPr>
            <w:tcW w:w="2551" w:type="dxa"/>
            <w:vAlign w:val="center"/>
          </w:tcPr>
          <w:p w14:paraId="647542FA">
            <w:pPr>
              <w:pStyle w:val="11"/>
            </w:pPr>
          </w:p>
        </w:tc>
        <w:tc>
          <w:tcPr>
            <w:tcW w:w="2551" w:type="dxa"/>
            <w:vAlign w:val="center"/>
          </w:tcPr>
          <w:p w14:paraId="410E3C8E">
            <w:pPr>
              <w:pStyle w:val="11"/>
            </w:pPr>
          </w:p>
        </w:tc>
        <w:tc>
          <w:tcPr>
            <w:tcW w:w="2551" w:type="dxa"/>
            <w:vAlign w:val="center"/>
          </w:tcPr>
          <w:p w14:paraId="656CF365">
            <w:pPr>
              <w:pStyle w:val="11"/>
            </w:pPr>
          </w:p>
        </w:tc>
      </w:tr>
    </w:tbl>
    <w:p w14:paraId="397D07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0653B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14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AEE263">
            <w:pPr>
              <w:pStyle w:val="9"/>
            </w:pPr>
            <w:r>
              <w:t>360031隆尧县北楼中学</w:t>
            </w:r>
          </w:p>
        </w:tc>
        <w:tc>
          <w:tcPr>
            <w:tcW w:w="2551" w:type="dxa"/>
            <w:tcBorders>
              <w:top w:val="single" w:color="FFFFFF" w:sz="6" w:space="0"/>
              <w:left w:val="single" w:color="FFFFFF" w:sz="6" w:space="0"/>
              <w:right w:val="single" w:color="FFFFFF" w:sz="6" w:space="0"/>
            </w:tcBorders>
            <w:vAlign w:val="center"/>
          </w:tcPr>
          <w:p w14:paraId="3ECD393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9A3071">
            <w:pPr>
              <w:pStyle w:val="7"/>
            </w:pPr>
            <w:r>
              <w:t>单位：万元</w:t>
            </w:r>
          </w:p>
        </w:tc>
      </w:tr>
      <w:tr w14:paraId="1A0E3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41993">
            <w:pPr>
              <w:pStyle w:val="10"/>
            </w:pPr>
            <w:r>
              <w:t>序号</w:t>
            </w:r>
          </w:p>
        </w:tc>
        <w:tc>
          <w:tcPr>
            <w:tcW w:w="5726" w:type="dxa"/>
            <w:gridSpan w:val="2"/>
            <w:vAlign w:val="center"/>
          </w:tcPr>
          <w:p w14:paraId="02714E1B">
            <w:pPr>
              <w:pStyle w:val="10"/>
            </w:pPr>
            <w:r>
              <w:t>功能分类科目</w:t>
            </w:r>
          </w:p>
        </w:tc>
        <w:tc>
          <w:tcPr>
            <w:tcW w:w="2551" w:type="dxa"/>
            <w:vMerge w:val="restart"/>
            <w:vAlign w:val="center"/>
          </w:tcPr>
          <w:p w14:paraId="53A5CB54">
            <w:pPr>
              <w:pStyle w:val="10"/>
            </w:pPr>
            <w:r>
              <w:t>合计</w:t>
            </w:r>
          </w:p>
        </w:tc>
        <w:tc>
          <w:tcPr>
            <w:tcW w:w="2551" w:type="dxa"/>
            <w:vMerge w:val="restart"/>
            <w:vAlign w:val="center"/>
          </w:tcPr>
          <w:p w14:paraId="40CDCD42">
            <w:pPr>
              <w:pStyle w:val="10"/>
            </w:pPr>
            <w:r>
              <w:t>基本支出</w:t>
            </w:r>
          </w:p>
        </w:tc>
        <w:tc>
          <w:tcPr>
            <w:tcW w:w="2551" w:type="dxa"/>
            <w:vMerge w:val="restart"/>
            <w:vAlign w:val="center"/>
          </w:tcPr>
          <w:p w14:paraId="79C9448E">
            <w:pPr>
              <w:pStyle w:val="10"/>
            </w:pPr>
            <w:r>
              <w:t>项目支出</w:t>
            </w:r>
          </w:p>
        </w:tc>
      </w:tr>
      <w:tr w14:paraId="1758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7D90D7"/>
        </w:tc>
        <w:tc>
          <w:tcPr>
            <w:tcW w:w="1191" w:type="dxa"/>
            <w:vAlign w:val="center"/>
          </w:tcPr>
          <w:p w14:paraId="6BCC4616">
            <w:pPr>
              <w:pStyle w:val="10"/>
            </w:pPr>
            <w:r>
              <w:t>科目编码</w:t>
            </w:r>
          </w:p>
        </w:tc>
        <w:tc>
          <w:tcPr>
            <w:tcW w:w="4535" w:type="dxa"/>
            <w:vAlign w:val="center"/>
          </w:tcPr>
          <w:p w14:paraId="4072ED80">
            <w:pPr>
              <w:pStyle w:val="10"/>
            </w:pPr>
            <w:r>
              <w:t>科目名称</w:t>
            </w:r>
          </w:p>
        </w:tc>
        <w:tc>
          <w:tcPr>
            <w:tcW w:w="2551" w:type="dxa"/>
            <w:vMerge w:val="continue"/>
          </w:tcPr>
          <w:p w14:paraId="3A4EDB44"/>
        </w:tc>
        <w:tc>
          <w:tcPr>
            <w:tcW w:w="2551" w:type="dxa"/>
            <w:vMerge w:val="continue"/>
          </w:tcPr>
          <w:p w14:paraId="6B3F1F2D"/>
        </w:tc>
        <w:tc>
          <w:tcPr>
            <w:tcW w:w="2551" w:type="dxa"/>
            <w:vMerge w:val="continue"/>
          </w:tcPr>
          <w:p w14:paraId="4E06EB6B"/>
        </w:tc>
      </w:tr>
      <w:tr w14:paraId="215AF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AFD3F">
            <w:pPr>
              <w:pStyle w:val="10"/>
            </w:pPr>
            <w:r>
              <w:t>栏次</w:t>
            </w:r>
          </w:p>
        </w:tc>
        <w:tc>
          <w:tcPr>
            <w:tcW w:w="1191" w:type="dxa"/>
            <w:vAlign w:val="center"/>
          </w:tcPr>
          <w:p w14:paraId="44C84F38">
            <w:pPr>
              <w:pStyle w:val="10"/>
            </w:pPr>
            <w:r>
              <w:t>1</w:t>
            </w:r>
          </w:p>
        </w:tc>
        <w:tc>
          <w:tcPr>
            <w:tcW w:w="4535" w:type="dxa"/>
            <w:vAlign w:val="center"/>
          </w:tcPr>
          <w:p w14:paraId="38FB3E0A">
            <w:pPr>
              <w:pStyle w:val="10"/>
            </w:pPr>
            <w:r>
              <w:t>2</w:t>
            </w:r>
          </w:p>
        </w:tc>
        <w:tc>
          <w:tcPr>
            <w:tcW w:w="2551" w:type="dxa"/>
            <w:vAlign w:val="center"/>
          </w:tcPr>
          <w:p w14:paraId="185FB6D2">
            <w:pPr>
              <w:pStyle w:val="10"/>
            </w:pPr>
            <w:r>
              <w:t>3</w:t>
            </w:r>
          </w:p>
        </w:tc>
        <w:tc>
          <w:tcPr>
            <w:tcW w:w="2551" w:type="dxa"/>
            <w:vAlign w:val="center"/>
          </w:tcPr>
          <w:p w14:paraId="36C25712">
            <w:pPr>
              <w:pStyle w:val="10"/>
            </w:pPr>
            <w:r>
              <w:t>4</w:t>
            </w:r>
          </w:p>
        </w:tc>
        <w:tc>
          <w:tcPr>
            <w:tcW w:w="2551" w:type="dxa"/>
            <w:vAlign w:val="center"/>
          </w:tcPr>
          <w:p w14:paraId="19337566">
            <w:pPr>
              <w:pStyle w:val="10"/>
            </w:pPr>
            <w:r>
              <w:t>5</w:t>
            </w:r>
          </w:p>
        </w:tc>
      </w:tr>
      <w:tr w14:paraId="16E9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98118">
            <w:pPr>
              <w:pStyle w:val="13"/>
            </w:pPr>
          </w:p>
        </w:tc>
        <w:tc>
          <w:tcPr>
            <w:tcW w:w="1191" w:type="dxa"/>
            <w:vAlign w:val="center"/>
          </w:tcPr>
          <w:p w14:paraId="3F6CB4FD">
            <w:pPr>
              <w:pStyle w:val="12"/>
            </w:pPr>
          </w:p>
        </w:tc>
        <w:tc>
          <w:tcPr>
            <w:tcW w:w="4535" w:type="dxa"/>
            <w:vAlign w:val="center"/>
          </w:tcPr>
          <w:p w14:paraId="6F98CD94">
            <w:pPr>
              <w:pStyle w:val="12"/>
            </w:pPr>
          </w:p>
        </w:tc>
        <w:tc>
          <w:tcPr>
            <w:tcW w:w="2551" w:type="dxa"/>
            <w:vAlign w:val="center"/>
          </w:tcPr>
          <w:p w14:paraId="61F4045B">
            <w:pPr>
              <w:pStyle w:val="11"/>
            </w:pPr>
          </w:p>
        </w:tc>
        <w:tc>
          <w:tcPr>
            <w:tcW w:w="2551" w:type="dxa"/>
            <w:vAlign w:val="center"/>
          </w:tcPr>
          <w:p w14:paraId="3109AC86">
            <w:pPr>
              <w:pStyle w:val="11"/>
            </w:pPr>
          </w:p>
        </w:tc>
        <w:tc>
          <w:tcPr>
            <w:tcW w:w="2551" w:type="dxa"/>
            <w:vAlign w:val="center"/>
          </w:tcPr>
          <w:p w14:paraId="6ED96182">
            <w:pPr>
              <w:pStyle w:val="11"/>
            </w:pPr>
          </w:p>
        </w:tc>
      </w:tr>
    </w:tbl>
    <w:p w14:paraId="0CC932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04DE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67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20AE44">
            <w:pPr>
              <w:pStyle w:val="9"/>
            </w:pPr>
            <w:r>
              <w:t>360031隆尧县北楼中学</w:t>
            </w:r>
          </w:p>
        </w:tc>
        <w:tc>
          <w:tcPr>
            <w:tcW w:w="2381" w:type="dxa"/>
            <w:tcBorders>
              <w:top w:val="single" w:color="FFFFFF" w:sz="6" w:space="0"/>
              <w:left w:val="single" w:color="FFFFFF" w:sz="6" w:space="0"/>
              <w:right w:val="single" w:color="FFFFFF" w:sz="6" w:space="0"/>
            </w:tcBorders>
            <w:vAlign w:val="center"/>
          </w:tcPr>
          <w:p w14:paraId="7AF3009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96CB4AB">
            <w:pPr>
              <w:pStyle w:val="7"/>
            </w:pPr>
            <w:r>
              <w:t>单位：万元</w:t>
            </w:r>
          </w:p>
        </w:tc>
      </w:tr>
      <w:tr w14:paraId="1E2A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66329D">
            <w:pPr>
              <w:pStyle w:val="10"/>
            </w:pPr>
            <w:r>
              <w:t>序号</w:t>
            </w:r>
          </w:p>
        </w:tc>
        <w:tc>
          <w:tcPr>
            <w:tcW w:w="3798" w:type="dxa"/>
            <w:vMerge w:val="restart"/>
            <w:vAlign w:val="center"/>
          </w:tcPr>
          <w:p w14:paraId="1A51402D">
            <w:pPr>
              <w:pStyle w:val="10"/>
            </w:pPr>
            <w:r>
              <w:t>项  目</w:t>
            </w:r>
          </w:p>
        </w:tc>
        <w:tc>
          <w:tcPr>
            <w:tcW w:w="9524" w:type="dxa"/>
            <w:gridSpan w:val="4"/>
            <w:vAlign w:val="center"/>
          </w:tcPr>
          <w:p w14:paraId="513FFB1D">
            <w:pPr>
              <w:pStyle w:val="10"/>
            </w:pPr>
            <w:r>
              <w:t>资 金 性 质</w:t>
            </w:r>
          </w:p>
        </w:tc>
      </w:tr>
      <w:tr w14:paraId="78B8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FDD932"/>
        </w:tc>
        <w:tc>
          <w:tcPr>
            <w:tcW w:w="3798" w:type="dxa"/>
            <w:vMerge w:val="continue"/>
          </w:tcPr>
          <w:p w14:paraId="6A274932"/>
        </w:tc>
        <w:tc>
          <w:tcPr>
            <w:tcW w:w="2381" w:type="dxa"/>
            <w:vAlign w:val="center"/>
          </w:tcPr>
          <w:p w14:paraId="062E67BF">
            <w:pPr>
              <w:pStyle w:val="10"/>
            </w:pPr>
            <w:r>
              <w:t>合计</w:t>
            </w:r>
          </w:p>
        </w:tc>
        <w:tc>
          <w:tcPr>
            <w:tcW w:w="2381" w:type="dxa"/>
            <w:vAlign w:val="center"/>
          </w:tcPr>
          <w:p w14:paraId="42D47FF3">
            <w:pPr>
              <w:pStyle w:val="10"/>
            </w:pPr>
            <w:r>
              <w:t>一般公共预算              财政拨款</w:t>
            </w:r>
          </w:p>
        </w:tc>
        <w:tc>
          <w:tcPr>
            <w:tcW w:w="2381" w:type="dxa"/>
            <w:vAlign w:val="center"/>
          </w:tcPr>
          <w:p w14:paraId="7E1C2465">
            <w:pPr>
              <w:pStyle w:val="10"/>
            </w:pPr>
            <w:r>
              <w:t>政府性基金                  预算拨款</w:t>
            </w:r>
          </w:p>
        </w:tc>
        <w:tc>
          <w:tcPr>
            <w:tcW w:w="2381" w:type="dxa"/>
            <w:vAlign w:val="center"/>
          </w:tcPr>
          <w:p w14:paraId="38CC75D2">
            <w:pPr>
              <w:pStyle w:val="10"/>
            </w:pPr>
            <w:r>
              <w:t>国有资本经营              预算财政拨款</w:t>
            </w:r>
          </w:p>
        </w:tc>
      </w:tr>
      <w:tr w14:paraId="7D67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767AEE">
            <w:pPr>
              <w:pStyle w:val="10"/>
            </w:pPr>
            <w:r>
              <w:t>栏次</w:t>
            </w:r>
          </w:p>
        </w:tc>
        <w:tc>
          <w:tcPr>
            <w:tcW w:w="3798" w:type="dxa"/>
            <w:vAlign w:val="center"/>
          </w:tcPr>
          <w:p w14:paraId="34801FF6">
            <w:pPr>
              <w:pStyle w:val="10"/>
            </w:pPr>
            <w:r>
              <w:t>1</w:t>
            </w:r>
          </w:p>
        </w:tc>
        <w:tc>
          <w:tcPr>
            <w:tcW w:w="2381" w:type="dxa"/>
            <w:vAlign w:val="center"/>
          </w:tcPr>
          <w:p w14:paraId="79BD7565">
            <w:pPr>
              <w:pStyle w:val="10"/>
            </w:pPr>
            <w:r>
              <w:t>2</w:t>
            </w:r>
          </w:p>
        </w:tc>
        <w:tc>
          <w:tcPr>
            <w:tcW w:w="2381" w:type="dxa"/>
            <w:vAlign w:val="center"/>
          </w:tcPr>
          <w:p w14:paraId="0B50AF35">
            <w:pPr>
              <w:pStyle w:val="10"/>
            </w:pPr>
            <w:r>
              <w:t>3</w:t>
            </w:r>
          </w:p>
        </w:tc>
        <w:tc>
          <w:tcPr>
            <w:tcW w:w="2381" w:type="dxa"/>
            <w:vAlign w:val="center"/>
          </w:tcPr>
          <w:p w14:paraId="266BB7CF">
            <w:pPr>
              <w:pStyle w:val="10"/>
            </w:pPr>
            <w:r>
              <w:t>4</w:t>
            </w:r>
          </w:p>
        </w:tc>
        <w:tc>
          <w:tcPr>
            <w:tcW w:w="2381" w:type="dxa"/>
            <w:vAlign w:val="center"/>
          </w:tcPr>
          <w:p w14:paraId="0FEE22FE">
            <w:pPr>
              <w:pStyle w:val="10"/>
            </w:pPr>
            <w:r>
              <w:t>5</w:t>
            </w:r>
          </w:p>
        </w:tc>
      </w:tr>
      <w:tr w14:paraId="5BD8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094A68">
            <w:pPr>
              <w:pStyle w:val="13"/>
            </w:pPr>
          </w:p>
        </w:tc>
        <w:tc>
          <w:tcPr>
            <w:tcW w:w="3798" w:type="dxa"/>
            <w:vAlign w:val="center"/>
          </w:tcPr>
          <w:p w14:paraId="3E590657">
            <w:pPr>
              <w:pStyle w:val="12"/>
            </w:pPr>
          </w:p>
        </w:tc>
        <w:tc>
          <w:tcPr>
            <w:tcW w:w="2381" w:type="dxa"/>
            <w:vAlign w:val="center"/>
          </w:tcPr>
          <w:p w14:paraId="719C6369">
            <w:pPr>
              <w:pStyle w:val="11"/>
            </w:pPr>
          </w:p>
        </w:tc>
        <w:tc>
          <w:tcPr>
            <w:tcW w:w="2381" w:type="dxa"/>
            <w:vAlign w:val="center"/>
          </w:tcPr>
          <w:p w14:paraId="0828DBF1">
            <w:pPr>
              <w:pStyle w:val="11"/>
            </w:pPr>
          </w:p>
        </w:tc>
        <w:tc>
          <w:tcPr>
            <w:tcW w:w="2381" w:type="dxa"/>
            <w:vAlign w:val="center"/>
          </w:tcPr>
          <w:p w14:paraId="04C9FF2B">
            <w:pPr>
              <w:pStyle w:val="11"/>
            </w:pPr>
          </w:p>
        </w:tc>
        <w:tc>
          <w:tcPr>
            <w:tcW w:w="2381" w:type="dxa"/>
            <w:vAlign w:val="center"/>
          </w:tcPr>
          <w:p w14:paraId="30299C1D">
            <w:pPr>
              <w:pStyle w:val="11"/>
            </w:pPr>
          </w:p>
        </w:tc>
      </w:tr>
    </w:tbl>
    <w:p w14:paraId="5EC6E3A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9E25747">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隆尧县北楼中学2026年单位预算信息公开情况说明</w:t>
      </w:r>
    </w:p>
    <w:p w14:paraId="7D56E0E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地方预决算公开操作规程》和《关于进一步推进预算公开工作的实施意见》规定，现将隆尧县北楼中学2026年单位预算公开如下：</w:t>
      </w:r>
    </w:p>
    <w:p w14:paraId="74A752AA">
      <w:pPr>
        <w:spacing w:before="10" w:after="10" w:line="240" w:lineRule="auto"/>
        <w:ind w:firstLine="640"/>
        <w:jc w:val="left"/>
        <w:outlineLvl w:val="5"/>
      </w:pPr>
      <w:r>
        <w:rPr>
          <w:rFonts w:ascii="黑体" w:hAnsi="黑体" w:eastAsia="黑体" w:cs="黑体"/>
          <w:color w:val="000000"/>
          <w:sz w:val="32"/>
        </w:rPr>
        <w:t>一、单位职责及机构设置情况</w:t>
      </w:r>
    </w:p>
    <w:p w14:paraId="2ECAEAC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097AF55">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贯彻落实基础教育的方针、政策，开展初中阶段教育教学工作，促进学生德、智、体、美、劳全面发展；负责学生安全教育和管理，确保学生身心健康；加强教师队伍建设和管理，为教育教学工作提供保障。</w:t>
      </w:r>
    </w:p>
    <w:p w14:paraId="1489E4A0">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隆尧县北楼中学事业编制69名，校长1名（正股级），副校长4名（副股级）；经费形式为财政性资金基本保证。</w:t>
      </w:r>
    </w:p>
    <w:p w14:paraId="471650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AD687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6D3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AFAF33">
            <w:pPr>
              <w:pStyle w:val="10"/>
            </w:pPr>
            <w:r>
              <w:t>单位名称</w:t>
            </w:r>
          </w:p>
        </w:tc>
        <w:tc>
          <w:tcPr>
            <w:tcW w:w="1843" w:type="dxa"/>
            <w:vAlign w:val="center"/>
          </w:tcPr>
          <w:p w14:paraId="51BD3D09">
            <w:pPr>
              <w:pStyle w:val="10"/>
            </w:pPr>
            <w:r>
              <w:t>单位性质</w:t>
            </w:r>
          </w:p>
        </w:tc>
        <w:tc>
          <w:tcPr>
            <w:tcW w:w="2126" w:type="dxa"/>
            <w:vAlign w:val="center"/>
          </w:tcPr>
          <w:p w14:paraId="37957A9E">
            <w:pPr>
              <w:pStyle w:val="10"/>
            </w:pPr>
            <w:r>
              <w:t>单位规格</w:t>
            </w:r>
          </w:p>
        </w:tc>
        <w:tc>
          <w:tcPr>
            <w:tcW w:w="3827" w:type="dxa"/>
            <w:vAlign w:val="center"/>
          </w:tcPr>
          <w:p w14:paraId="5B65B222">
            <w:pPr>
              <w:pStyle w:val="10"/>
            </w:pPr>
            <w:r>
              <w:t>经费保障形式</w:t>
            </w:r>
          </w:p>
        </w:tc>
      </w:tr>
      <w:tr w14:paraId="5804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FDDE41">
            <w:pPr>
              <w:pStyle w:val="12"/>
            </w:pPr>
            <w:r>
              <w:t>隆尧县北楼中学</w:t>
            </w:r>
          </w:p>
        </w:tc>
        <w:tc>
          <w:tcPr>
            <w:tcW w:w="1843" w:type="dxa"/>
            <w:vAlign w:val="center"/>
          </w:tcPr>
          <w:p w14:paraId="22F79352">
            <w:pPr>
              <w:pStyle w:val="13"/>
            </w:pPr>
            <w:r>
              <w:t>事业</w:t>
            </w:r>
          </w:p>
        </w:tc>
        <w:tc>
          <w:tcPr>
            <w:tcW w:w="2126" w:type="dxa"/>
            <w:vAlign w:val="center"/>
          </w:tcPr>
          <w:p w14:paraId="7C6A4EF0">
            <w:pPr>
              <w:pStyle w:val="13"/>
            </w:pPr>
            <w:r>
              <w:t>股级</w:t>
            </w:r>
          </w:p>
        </w:tc>
        <w:tc>
          <w:tcPr>
            <w:tcW w:w="3827" w:type="dxa"/>
            <w:vAlign w:val="center"/>
          </w:tcPr>
          <w:p w14:paraId="7FC9C69A">
            <w:pPr>
              <w:pStyle w:val="13"/>
            </w:pPr>
            <w:r>
              <w:t>财政性资金基本保证</w:t>
            </w:r>
          </w:p>
        </w:tc>
      </w:tr>
    </w:tbl>
    <w:p w14:paraId="1E117804">
      <w:pPr>
        <w:spacing w:before="10" w:after="10" w:line="240" w:lineRule="auto"/>
        <w:ind w:firstLine="640"/>
        <w:jc w:val="left"/>
        <w:outlineLvl w:val="5"/>
      </w:pPr>
      <w:r>
        <w:rPr>
          <w:rFonts w:ascii="黑体" w:hAnsi="黑体" w:eastAsia="黑体" w:cs="黑体"/>
          <w:color w:val="000000"/>
          <w:sz w:val="32"/>
        </w:rPr>
        <w:t>二、单位预算安排的总体情况</w:t>
      </w:r>
    </w:p>
    <w:p w14:paraId="66AFB2DD">
      <w:pPr>
        <w:pStyle w:val="18"/>
      </w:pPr>
      <w:r>
        <w:t>按照预算管理有关规定，目前我校单位预算的编制实行综合预算管理，即全部收入和支出都反映的预算中。隆尧县北楼中学的收支包含在单位预算中。</w:t>
      </w:r>
    </w:p>
    <w:p w14:paraId="53452FCD">
      <w:pPr>
        <w:pStyle w:val="18"/>
      </w:pPr>
      <w:r>
        <w:t>1、收入说明</w:t>
      </w:r>
    </w:p>
    <w:p w14:paraId="61B6B03D">
      <w:pPr>
        <w:pStyle w:val="18"/>
      </w:pPr>
      <w:r>
        <w:t>反映本单位当年全部收入。2026年预算收入1075.32万元，其中：一般公共预算收入1075.32万元，基金预算收入0元，财政专户管理资金收入0元，单位资金收入0元。</w:t>
      </w:r>
    </w:p>
    <w:p w14:paraId="29764B09">
      <w:pPr>
        <w:pStyle w:val="18"/>
      </w:pPr>
      <w:r>
        <w:t>2、支出说明</w:t>
      </w:r>
    </w:p>
    <w:p w14:paraId="091A777A">
      <w:pPr>
        <w:pStyle w:val="18"/>
      </w:pPr>
      <w:r>
        <w:t>收支预算总表支出栏、基本支出表、项目支出表按经济分类和支出功能分类科目编制，反映隆尧县北楼中学年度单位预算中支出预算的总体情况。2026年单位支出预算为1075.32万元，其中基本支出827.36万元项目支出247.95万元。主要为初中教育1075.32万元。</w:t>
      </w:r>
    </w:p>
    <w:p w14:paraId="7C9A73B8">
      <w:pPr>
        <w:pStyle w:val="18"/>
      </w:pPr>
      <w:r>
        <w:t>3、比上年增减情况</w:t>
      </w:r>
    </w:p>
    <w:p w14:paraId="4A555DFB">
      <w:pPr>
        <w:pStyle w:val="18"/>
      </w:pPr>
      <w:r>
        <w:t>2026年部门预算收支安排1075.32万元，比上年增加110.35万元。</w:t>
      </w:r>
    </w:p>
    <w:p w14:paraId="0FF0000C">
      <w:pPr>
        <w:spacing w:before="10" w:after="10" w:line="240" w:lineRule="auto"/>
        <w:ind w:firstLine="640"/>
        <w:jc w:val="left"/>
        <w:outlineLvl w:val="5"/>
      </w:pPr>
      <w:r>
        <w:rPr>
          <w:rFonts w:ascii="黑体" w:hAnsi="黑体" w:eastAsia="黑体" w:cs="黑体"/>
          <w:color w:val="000000"/>
          <w:sz w:val="32"/>
        </w:rPr>
        <w:t>三、机关运行经费安排情况</w:t>
      </w:r>
    </w:p>
    <w:p w14:paraId="5FE9980D">
      <w:pPr>
        <w:pStyle w:val="19"/>
      </w:pPr>
      <w:r>
        <w:t>2026年，我单位按学生安排公用经费，无机关运行经费。</w:t>
      </w:r>
    </w:p>
    <w:p w14:paraId="2CE587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EB248A">
      <w:pPr>
        <w:pStyle w:val="20"/>
      </w:pPr>
      <w:r>
        <w:t>2026年，我单位未安排</w:t>
      </w:r>
      <w:r>
        <w:rPr>
          <w:rFonts w:hint="eastAsia"/>
          <w:lang w:eastAsia="zh-CN"/>
        </w:rPr>
        <w:t>“三公”经费</w:t>
      </w:r>
    </w:p>
    <w:p w14:paraId="169F69B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310EC4">
      <w:pPr>
        <w:spacing w:before="0" w:after="0"/>
        <w:ind w:firstLine="560"/>
        <w:jc w:val="left"/>
        <w:outlineLvl w:val="9"/>
      </w:pPr>
      <w:r>
        <w:rPr>
          <w:rFonts w:ascii="方正仿宋_GBK" w:hAnsi="方正仿宋_GBK" w:eastAsia="方正仿宋_GBK" w:cs="方正仿宋_GBK"/>
          <w:b/>
          <w:color w:val="000000"/>
          <w:sz w:val="28"/>
        </w:rPr>
        <w:t>1、冀财教[2022]162号/省级/义教经费/校舍安全/北楼中学学生宿舍楼室外消防工程绩效目标表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33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6FD13">
            <w:pPr>
              <w:pStyle w:val="11"/>
            </w:pPr>
            <w:r>
              <w:t>单位：万元</w:t>
            </w:r>
          </w:p>
        </w:tc>
      </w:tr>
      <w:tr w14:paraId="3F0D7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5B77C">
            <w:pPr>
              <w:pStyle w:val="10"/>
            </w:pPr>
            <w:r>
              <w:t>项目编码</w:t>
            </w:r>
          </w:p>
        </w:tc>
        <w:tc>
          <w:tcPr>
            <w:tcW w:w="5103" w:type="dxa"/>
            <w:gridSpan w:val="2"/>
            <w:vAlign w:val="center"/>
          </w:tcPr>
          <w:p w14:paraId="06C2A70E">
            <w:pPr>
              <w:pStyle w:val="12"/>
            </w:pPr>
            <w:r>
              <w:t>13052526P008762101235</w:t>
            </w:r>
          </w:p>
        </w:tc>
        <w:tc>
          <w:tcPr>
            <w:tcW w:w="2835" w:type="dxa"/>
            <w:vAlign w:val="center"/>
          </w:tcPr>
          <w:p w14:paraId="47AE1197">
            <w:pPr>
              <w:pStyle w:val="10"/>
            </w:pPr>
            <w:r>
              <w:t>项目名称</w:t>
            </w:r>
          </w:p>
        </w:tc>
        <w:tc>
          <w:tcPr>
            <w:tcW w:w="6095" w:type="dxa"/>
            <w:gridSpan w:val="3"/>
            <w:vAlign w:val="center"/>
          </w:tcPr>
          <w:p w14:paraId="53EB06CA">
            <w:pPr>
              <w:pStyle w:val="12"/>
            </w:pPr>
            <w:r>
              <w:t>冀财教[2022]162号/省级/义教经费/校舍安全/北楼中学学生宿舍楼室外消防工程</w:t>
            </w:r>
          </w:p>
        </w:tc>
      </w:tr>
      <w:tr w14:paraId="7B70E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14ADF">
            <w:pPr>
              <w:pStyle w:val="10"/>
            </w:pPr>
            <w:r>
              <w:t>预算规模及资金用途</w:t>
            </w:r>
          </w:p>
        </w:tc>
        <w:tc>
          <w:tcPr>
            <w:tcW w:w="2268" w:type="dxa"/>
            <w:vAlign w:val="center"/>
          </w:tcPr>
          <w:p w14:paraId="379148C0">
            <w:pPr>
              <w:pStyle w:val="10"/>
            </w:pPr>
            <w:r>
              <w:t>预算数</w:t>
            </w:r>
          </w:p>
        </w:tc>
        <w:tc>
          <w:tcPr>
            <w:tcW w:w="2835" w:type="dxa"/>
            <w:vAlign w:val="center"/>
          </w:tcPr>
          <w:p w14:paraId="17C8EEA7">
            <w:pPr>
              <w:pStyle w:val="12"/>
            </w:pPr>
            <w:r>
              <w:t>17.58</w:t>
            </w:r>
          </w:p>
        </w:tc>
        <w:tc>
          <w:tcPr>
            <w:tcW w:w="2835" w:type="dxa"/>
            <w:vAlign w:val="center"/>
          </w:tcPr>
          <w:p w14:paraId="03DFF293">
            <w:pPr>
              <w:pStyle w:val="10"/>
            </w:pPr>
            <w:r>
              <w:t>其中：财政    资金</w:t>
            </w:r>
          </w:p>
        </w:tc>
        <w:tc>
          <w:tcPr>
            <w:tcW w:w="2551" w:type="dxa"/>
            <w:vAlign w:val="center"/>
          </w:tcPr>
          <w:p w14:paraId="3D8CA86C">
            <w:pPr>
              <w:pStyle w:val="12"/>
            </w:pPr>
            <w:r>
              <w:t>17.58</w:t>
            </w:r>
          </w:p>
        </w:tc>
        <w:tc>
          <w:tcPr>
            <w:tcW w:w="2268" w:type="dxa"/>
            <w:vAlign w:val="center"/>
          </w:tcPr>
          <w:p w14:paraId="00DCF3ED">
            <w:pPr>
              <w:pStyle w:val="10"/>
            </w:pPr>
            <w:r>
              <w:t>其他资金</w:t>
            </w:r>
          </w:p>
        </w:tc>
        <w:tc>
          <w:tcPr>
            <w:tcW w:w="1276" w:type="dxa"/>
            <w:vAlign w:val="center"/>
          </w:tcPr>
          <w:p w14:paraId="666F1E70">
            <w:pPr>
              <w:pStyle w:val="12"/>
            </w:pPr>
            <w:r>
              <w:t xml:space="preserve"> </w:t>
            </w:r>
          </w:p>
        </w:tc>
      </w:tr>
      <w:tr w14:paraId="2B0B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1F560"/>
        </w:tc>
        <w:tc>
          <w:tcPr>
            <w:tcW w:w="14033" w:type="dxa"/>
            <w:gridSpan w:val="6"/>
            <w:vAlign w:val="center"/>
          </w:tcPr>
          <w:p w14:paraId="08E10739">
            <w:pPr>
              <w:pStyle w:val="12"/>
            </w:pPr>
          </w:p>
          <w:p w14:paraId="5A98D780">
            <w:pPr>
              <w:pStyle w:val="12"/>
            </w:pPr>
            <w:r>
              <w:t>"改善就学条件，提升学校形象，保障义务教育阶段教学安全，改善师生教学环境，创造良好的校园环境。</w:t>
            </w:r>
            <w:r>
              <w:tab/>
            </w:r>
          </w:p>
          <w:p w14:paraId="4EA0C6AF">
            <w:pPr>
              <w:pStyle w:val="12"/>
            </w:pPr>
            <w:r>
              <w:t>"</w:t>
            </w:r>
            <w:r>
              <w:tab/>
            </w:r>
            <w:r>
              <w:tab/>
            </w:r>
            <w:r>
              <w:tab/>
            </w:r>
            <w:r>
              <w:tab/>
            </w:r>
            <w:r>
              <w:tab/>
            </w:r>
            <w:r>
              <w:tab/>
            </w:r>
          </w:p>
          <w:p w14:paraId="464B885B">
            <w:pPr>
              <w:pStyle w:val="12"/>
            </w:pPr>
            <w:r>
              <w:tab/>
            </w:r>
          </w:p>
          <w:p w14:paraId="688EF068">
            <w:pPr>
              <w:pStyle w:val="12"/>
            </w:pPr>
          </w:p>
        </w:tc>
      </w:tr>
      <w:tr w14:paraId="7AD70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8C14A">
            <w:pPr>
              <w:pStyle w:val="10"/>
            </w:pPr>
            <w:r>
              <w:t>资金支出计划（%）</w:t>
            </w:r>
          </w:p>
        </w:tc>
        <w:tc>
          <w:tcPr>
            <w:tcW w:w="5103" w:type="dxa"/>
            <w:gridSpan w:val="2"/>
            <w:vAlign w:val="center"/>
          </w:tcPr>
          <w:p w14:paraId="6F39C554">
            <w:pPr>
              <w:pStyle w:val="10"/>
            </w:pPr>
            <w:r>
              <w:t>3月底</w:t>
            </w:r>
          </w:p>
        </w:tc>
        <w:tc>
          <w:tcPr>
            <w:tcW w:w="2835" w:type="dxa"/>
            <w:vAlign w:val="center"/>
          </w:tcPr>
          <w:p w14:paraId="60023E62">
            <w:pPr>
              <w:pStyle w:val="10"/>
            </w:pPr>
            <w:r>
              <w:t>6月底</w:t>
            </w:r>
          </w:p>
        </w:tc>
        <w:tc>
          <w:tcPr>
            <w:tcW w:w="2551" w:type="dxa"/>
            <w:vAlign w:val="center"/>
          </w:tcPr>
          <w:p w14:paraId="2642F0C4">
            <w:pPr>
              <w:pStyle w:val="10"/>
            </w:pPr>
            <w:r>
              <w:t>10月底</w:t>
            </w:r>
          </w:p>
        </w:tc>
        <w:tc>
          <w:tcPr>
            <w:tcW w:w="3544" w:type="dxa"/>
            <w:gridSpan w:val="2"/>
            <w:vAlign w:val="center"/>
          </w:tcPr>
          <w:p w14:paraId="4E9F9A0D">
            <w:pPr>
              <w:pStyle w:val="10"/>
            </w:pPr>
            <w:r>
              <w:t>12月底</w:t>
            </w:r>
          </w:p>
        </w:tc>
      </w:tr>
      <w:tr w14:paraId="58DB2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48115"/>
        </w:tc>
        <w:tc>
          <w:tcPr>
            <w:tcW w:w="5103" w:type="dxa"/>
            <w:gridSpan w:val="2"/>
            <w:vAlign w:val="center"/>
          </w:tcPr>
          <w:p w14:paraId="38E86428">
            <w:pPr>
              <w:pStyle w:val="13"/>
            </w:pPr>
            <w:r>
              <w:t xml:space="preserve"> </w:t>
            </w:r>
          </w:p>
        </w:tc>
        <w:tc>
          <w:tcPr>
            <w:tcW w:w="2835" w:type="dxa"/>
            <w:vAlign w:val="center"/>
          </w:tcPr>
          <w:p w14:paraId="49F7FD78">
            <w:pPr>
              <w:pStyle w:val="13"/>
            </w:pPr>
            <w:r>
              <w:t xml:space="preserve"> </w:t>
            </w:r>
          </w:p>
        </w:tc>
        <w:tc>
          <w:tcPr>
            <w:tcW w:w="2551" w:type="dxa"/>
            <w:vAlign w:val="center"/>
          </w:tcPr>
          <w:p w14:paraId="4272998E">
            <w:pPr>
              <w:pStyle w:val="13"/>
            </w:pPr>
            <w:r>
              <w:t>100%</w:t>
            </w:r>
          </w:p>
        </w:tc>
        <w:tc>
          <w:tcPr>
            <w:tcW w:w="3544" w:type="dxa"/>
            <w:gridSpan w:val="2"/>
            <w:vAlign w:val="center"/>
          </w:tcPr>
          <w:p w14:paraId="72F7B6A8">
            <w:pPr>
              <w:pStyle w:val="13"/>
            </w:pPr>
            <w:r>
              <w:t xml:space="preserve"> </w:t>
            </w:r>
          </w:p>
        </w:tc>
      </w:tr>
      <w:tr w14:paraId="1F965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1E5BA">
            <w:pPr>
              <w:pStyle w:val="10"/>
            </w:pPr>
            <w:r>
              <w:t>绩效目标</w:t>
            </w:r>
          </w:p>
        </w:tc>
        <w:tc>
          <w:tcPr>
            <w:tcW w:w="14033" w:type="dxa"/>
            <w:gridSpan w:val="6"/>
            <w:vAlign w:val="center"/>
          </w:tcPr>
          <w:p w14:paraId="0BAA8C41">
            <w:pPr>
              <w:pStyle w:val="12"/>
            </w:pPr>
            <w:r>
              <w:t>1.按</w:t>
            </w:r>
            <w:r>
              <w:rPr>
                <w:rFonts w:hint="eastAsia"/>
                <w:lang w:eastAsia="zh-CN"/>
              </w:rPr>
              <w:t>季度</w:t>
            </w:r>
            <w:r>
              <w:t>拨付我校消防工程项目经费资金175796.18 元，资金拨付率达到100%。</w:t>
            </w:r>
          </w:p>
          <w:p w14:paraId="2C4BB264">
            <w:pPr>
              <w:pStyle w:val="12"/>
            </w:pPr>
          </w:p>
          <w:p w14:paraId="65FAB1CC">
            <w:pPr>
              <w:pStyle w:val="12"/>
            </w:pPr>
            <w:r>
              <w:t>2.改善校园环境，提高办学水平及适龄学生入学率。</w:t>
            </w:r>
          </w:p>
          <w:p w14:paraId="4FD1A574">
            <w:pPr>
              <w:pStyle w:val="12"/>
            </w:pPr>
          </w:p>
        </w:tc>
      </w:tr>
    </w:tbl>
    <w:p w14:paraId="1AA61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B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2C3BC">
            <w:pPr>
              <w:pStyle w:val="10"/>
            </w:pPr>
            <w:r>
              <w:t>一级指标</w:t>
            </w:r>
          </w:p>
        </w:tc>
        <w:tc>
          <w:tcPr>
            <w:tcW w:w="2268" w:type="dxa"/>
            <w:vAlign w:val="center"/>
          </w:tcPr>
          <w:p w14:paraId="696A5604">
            <w:pPr>
              <w:pStyle w:val="10"/>
            </w:pPr>
            <w:r>
              <w:t>二级指标</w:t>
            </w:r>
          </w:p>
        </w:tc>
        <w:tc>
          <w:tcPr>
            <w:tcW w:w="2835" w:type="dxa"/>
            <w:vAlign w:val="center"/>
          </w:tcPr>
          <w:p w14:paraId="06197137">
            <w:pPr>
              <w:pStyle w:val="10"/>
            </w:pPr>
            <w:r>
              <w:t>三级指标</w:t>
            </w:r>
          </w:p>
        </w:tc>
        <w:tc>
          <w:tcPr>
            <w:tcW w:w="5386" w:type="dxa"/>
            <w:vAlign w:val="center"/>
          </w:tcPr>
          <w:p w14:paraId="60D54C02">
            <w:pPr>
              <w:pStyle w:val="10"/>
            </w:pPr>
            <w:r>
              <w:t>绩效指标描述</w:t>
            </w:r>
          </w:p>
        </w:tc>
        <w:tc>
          <w:tcPr>
            <w:tcW w:w="2268" w:type="dxa"/>
            <w:vAlign w:val="center"/>
          </w:tcPr>
          <w:p w14:paraId="621A7970">
            <w:pPr>
              <w:pStyle w:val="10"/>
            </w:pPr>
            <w:r>
              <w:t>指标值</w:t>
            </w:r>
          </w:p>
        </w:tc>
        <w:tc>
          <w:tcPr>
            <w:tcW w:w="1276" w:type="dxa"/>
            <w:vAlign w:val="center"/>
          </w:tcPr>
          <w:p w14:paraId="7A1E14E8">
            <w:pPr>
              <w:pStyle w:val="10"/>
            </w:pPr>
            <w:r>
              <w:t>指标值确定依据</w:t>
            </w:r>
          </w:p>
        </w:tc>
      </w:tr>
      <w:tr w14:paraId="4722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AF045">
            <w:pPr>
              <w:pStyle w:val="13"/>
            </w:pPr>
            <w:r>
              <w:t>产出指标</w:t>
            </w:r>
          </w:p>
        </w:tc>
        <w:tc>
          <w:tcPr>
            <w:tcW w:w="2268" w:type="dxa"/>
            <w:vAlign w:val="center"/>
          </w:tcPr>
          <w:p w14:paraId="4D110AA4">
            <w:pPr>
              <w:pStyle w:val="12"/>
            </w:pPr>
            <w:r>
              <w:t>数量指标</w:t>
            </w:r>
          </w:p>
        </w:tc>
        <w:tc>
          <w:tcPr>
            <w:tcW w:w="2835" w:type="dxa"/>
            <w:vAlign w:val="center"/>
          </w:tcPr>
          <w:p w14:paraId="66D76926">
            <w:pPr>
              <w:pStyle w:val="12"/>
            </w:pPr>
            <w:r>
              <w:t>宿舍楼室外消防工程</w:t>
            </w:r>
          </w:p>
        </w:tc>
        <w:tc>
          <w:tcPr>
            <w:tcW w:w="5386" w:type="dxa"/>
            <w:vAlign w:val="center"/>
          </w:tcPr>
          <w:p w14:paraId="63BA4969">
            <w:pPr>
              <w:pStyle w:val="12"/>
            </w:pPr>
            <w:r>
              <w:t>安装消防泵房、蓄水池、室外网管、消防设备设施等</w:t>
            </w:r>
          </w:p>
        </w:tc>
        <w:tc>
          <w:tcPr>
            <w:tcW w:w="2268" w:type="dxa"/>
            <w:vAlign w:val="center"/>
          </w:tcPr>
          <w:p w14:paraId="7ABCE7BE">
            <w:pPr>
              <w:pStyle w:val="12"/>
            </w:pPr>
            <w:r>
              <w:t>1项</w:t>
            </w:r>
          </w:p>
        </w:tc>
        <w:tc>
          <w:tcPr>
            <w:tcW w:w="1276" w:type="dxa"/>
            <w:vAlign w:val="center"/>
          </w:tcPr>
          <w:p w14:paraId="5C2748C2">
            <w:pPr>
              <w:pStyle w:val="12"/>
            </w:pPr>
            <w:r>
              <w:t>项目规划</w:t>
            </w:r>
          </w:p>
        </w:tc>
      </w:tr>
      <w:tr w14:paraId="7AD2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68113"/>
        </w:tc>
        <w:tc>
          <w:tcPr>
            <w:tcW w:w="2268" w:type="dxa"/>
            <w:vAlign w:val="center"/>
          </w:tcPr>
          <w:p w14:paraId="38F68F6E">
            <w:pPr>
              <w:pStyle w:val="12"/>
            </w:pPr>
            <w:r>
              <w:t>质量指标</w:t>
            </w:r>
          </w:p>
        </w:tc>
        <w:tc>
          <w:tcPr>
            <w:tcW w:w="2835" w:type="dxa"/>
            <w:vAlign w:val="center"/>
          </w:tcPr>
          <w:p w14:paraId="2FB85AC2">
            <w:pPr>
              <w:pStyle w:val="12"/>
            </w:pPr>
            <w:r>
              <w:t>工程实施验收合格率</w:t>
            </w:r>
          </w:p>
        </w:tc>
        <w:tc>
          <w:tcPr>
            <w:tcW w:w="5386" w:type="dxa"/>
            <w:vAlign w:val="center"/>
          </w:tcPr>
          <w:p w14:paraId="1C4E4B88">
            <w:pPr>
              <w:pStyle w:val="12"/>
            </w:pPr>
            <w:r>
              <w:t>申报程序的合规，项目实施及资金使用符合项目规划</w:t>
            </w:r>
          </w:p>
        </w:tc>
        <w:tc>
          <w:tcPr>
            <w:tcW w:w="2268" w:type="dxa"/>
            <w:vAlign w:val="center"/>
          </w:tcPr>
          <w:p w14:paraId="02EEF2BD">
            <w:pPr>
              <w:pStyle w:val="12"/>
            </w:pPr>
            <w:r>
              <w:t>100%</w:t>
            </w:r>
          </w:p>
        </w:tc>
        <w:tc>
          <w:tcPr>
            <w:tcW w:w="1276" w:type="dxa"/>
            <w:vAlign w:val="center"/>
          </w:tcPr>
          <w:p w14:paraId="16A51F52">
            <w:pPr>
              <w:pStyle w:val="12"/>
            </w:pPr>
            <w:r>
              <w:t>项目规划</w:t>
            </w:r>
          </w:p>
        </w:tc>
      </w:tr>
      <w:tr w14:paraId="010F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2FA7E"/>
        </w:tc>
        <w:tc>
          <w:tcPr>
            <w:tcW w:w="2268" w:type="dxa"/>
            <w:vAlign w:val="center"/>
          </w:tcPr>
          <w:p w14:paraId="2E10F454">
            <w:pPr>
              <w:pStyle w:val="12"/>
            </w:pPr>
            <w:r>
              <w:t>时效指标</w:t>
            </w:r>
          </w:p>
        </w:tc>
        <w:tc>
          <w:tcPr>
            <w:tcW w:w="2835" w:type="dxa"/>
            <w:vAlign w:val="center"/>
          </w:tcPr>
          <w:p w14:paraId="6845FB12">
            <w:pPr>
              <w:pStyle w:val="12"/>
            </w:pPr>
            <w:r>
              <w:t>资金支付率</w:t>
            </w:r>
          </w:p>
        </w:tc>
        <w:tc>
          <w:tcPr>
            <w:tcW w:w="5386" w:type="dxa"/>
            <w:vAlign w:val="center"/>
          </w:tcPr>
          <w:p w14:paraId="5D7B9820">
            <w:pPr>
              <w:pStyle w:val="12"/>
            </w:pPr>
            <w:r>
              <w:t>按照序时进度完成资金支付</w:t>
            </w:r>
          </w:p>
        </w:tc>
        <w:tc>
          <w:tcPr>
            <w:tcW w:w="2268" w:type="dxa"/>
            <w:vAlign w:val="center"/>
          </w:tcPr>
          <w:p w14:paraId="5B267BEB">
            <w:pPr>
              <w:pStyle w:val="12"/>
            </w:pPr>
            <w:r>
              <w:t>100%</w:t>
            </w:r>
          </w:p>
        </w:tc>
        <w:tc>
          <w:tcPr>
            <w:tcW w:w="1276" w:type="dxa"/>
            <w:vAlign w:val="center"/>
          </w:tcPr>
          <w:p w14:paraId="65028BAD">
            <w:pPr>
              <w:pStyle w:val="12"/>
            </w:pPr>
            <w:r>
              <w:t>项目规划</w:t>
            </w:r>
          </w:p>
        </w:tc>
      </w:tr>
      <w:tr w14:paraId="33A6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C5E23"/>
        </w:tc>
        <w:tc>
          <w:tcPr>
            <w:tcW w:w="2268" w:type="dxa"/>
            <w:vAlign w:val="center"/>
          </w:tcPr>
          <w:p w14:paraId="07F655EE">
            <w:pPr>
              <w:pStyle w:val="12"/>
            </w:pPr>
            <w:r>
              <w:t>成本指标</w:t>
            </w:r>
          </w:p>
        </w:tc>
        <w:tc>
          <w:tcPr>
            <w:tcW w:w="2835" w:type="dxa"/>
            <w:vAlign w:val="center"/>
          </w:tcPr>
          <w:p w14:paraId="66425071">
            <w:pPr>
              <w:pStyle w:val="12"/>
            </w:pPr>
            <w:r>
              <w:t>项目成本控制情况</w:t>
            </w:r>
          </w:p>
        </w:tc>
        <w:tc>
          <w:tcPr>
            <w:tcW w:w="5386" w:type="dxa"/>
            <w:vAlign w:val="center"/>
          </w:tcPr>
          <w:p w14:paraId="79F16F44">
            <w:pPr>
              <w:pStyle w:val="12"/>
            </w:pPr>
            <w:r>
              <w:t>严格按照招标价格及审计额进行</w:t>
            </w:r>
          </w:p>
        </w:tc>
        <w:tc>
          <w:tcPr>
            <w:tcW w:w="2268" w:type="dxa"/>
            <w:vAlign w:val="center"/>
          </w:tcPr>
          <w:p w14:paraId="5F76795F">
            <w:pPr>
              <w:pStyle w:val="12"/>
            </w:pPr>
            <w:r>
              <w:t>≤175796.18元</w:t>
            </w:r>
          </w:p>
        </w:tc>
        <w:tc>
          <w:tcPr>
            <w:tcW w:w="1276" w:type="dxa"/>
            <w:vAlign w:val="center"/>
          </w:tcPr>
          <w:p w14:paraId="28B54914">
            <w:pPr>
              <w:pStyle w:val="12"/>
            </w:pPr>
            <w:r>
              <w:t>项目规划</w:t>
            </w:r>
          </w:p>
        </w:tc>
      </w:tr>
      <w:tr w14:paraId="0F62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2675D">
            <w:pPr>
              <w:pStyle w:val="13"/>
            </w:pPr>
            <w:r>
              <w:t>效益指标</w:t>
            </w:r>
          </w:p>
        </w:tc>
        <w:tc>
          <w:tcPr>
            <w:tcW w:w="2268" w:type="dxa"/>
            <w:vAlign w:val="center"/>
          </w:tcPr>
          <w:p w14:paraId="67ED7E81">
            <w:pPr>
              <w:pStyle w:val="12"/>
            </w:pPr>
            <w:r>
              <w:t>社会效益指标</w:t>
            </w:r>
          </w:p>
        </w:tc>
        <w:tc>
          <w:tcPr>
            <w:tcW w:w="2835" w:type="dxa"/>
            <w:vAlign w:val="center"/>
          </w:tcPr>
          <w:p w14:paraId="49B72F74">
            <w:pPr>
              <w:pStyle w:val="12"/>
            </w:pPr>
            <w:r>
              <w:t>工程使用年限</w:t>
            </w:r>
          </w:p>
        </w:tc>
        <w:tc>
          <w:tcPr>
            <w:tcW w:w="5386" w:type="dxa"/>
            <w:vAlign w:val="center"/>
          </w:tcPr>
          <w:p w14:paraId="3E31CC87">
            <w:pPr>
              <w:pStyle w:val="12"/>
            </w:pPr>
            <w:r>
              <w:t>工程使用年限</w:t>
            </w:r>
          </w:p>
        </w:tc>
        <w:tc>
          <w:tcPr>
            <w:tcW w:w="2268" w:type="dxa"/>
            <w:vAlign w:val="center"/>
          </w:tcPr>
          <w:p w14:paraId="36C92426">
            <w:pPr>
              <w:pStyle w:val="12"/>
            </w:pPr>
            <w:r>
              <w:t>≥15年</w:t>
            </w:r>
          </w:p>
        </w:tc>
        <w:tc>
          <w:tcPr>
            <w:tcW w:w="1276" w:type="dxa"/>
            <w:vAlign w:val="center"/>
          </w:tcPr>
          <w:p w14:paraId="7F7F95F9">
            <w:pPr>
              <w:pStyle w:val="12"/>
            </w:pPr>
            <w:r>
              <w:t>项目规划</w:t>
            </w:r>
          </w:p>
        </w:tc>
      </w:tr>
      <w:tr w14:paraId="60A6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3BCCF">
            <w:pPr>
              <w:pStyle w:val="13"/>
            </w:pPr>
            <w:r>
              <w:t>满意度指标</w:t>
            </w:r>
          </w:p>
        </w:tc>
        <w:tc>
          <w:tcPr>
            <w:tcW w:w="2268" w:type="dxa"/>
            <w:vAlign w:val="center"/>
          </w:tcPr>
          <w:p w14:paraId="7F4F3262">
            <w:pPr>
              <w:pStyle w:val="12"/>
            </w:pPr>
            <w:r>
              <w:t>服务对象满意度指标</w:t>
            </w:r>
          </w:p>
        </w:tc>
        <w:tc>
          <w:tcPr>
            <w:tcW w:w="2835" w:type="dxa"/>
            <w:vAlign w:val="center"/>
          </w:tcPr>
          <w:p w14:paraId="614F20D4">
            <w:pPr>
              <w:pStyle w:val="12"/>
            </w:pPr>
            <w:r>
              <w:t>受益学生家长及调查满意度</w:t>
            </w:r>
          </w:p>
        </w:tc>
        <w:tc>
          <w:tcPr>
            <w:tcW w:w="5386" w:type="dxa"/>
            <w:vAlign w:val="center"/>
          </w:tcPr>
          <w:p w14:paraId="36AED34B">
            <w:pPr>
              <w:pStyle w:val="12"/>
            </w:pPr>
            <w:r>
              <w:t>学生、教师及家长对学校教学环境满意度情况</w:t>
            </w:r>
          </w:p>
        </w:tc>
        <w:tc>
          <w:tcPr>
            <w:tcW w:w="2268" w:type="dxa"/>
            <w:vAlign w:val="center"/>
          </w:tcPr>
          <w:p w14:paraId="1B64D6D3">
            <w:pPr>
              <w:pStyle w:val="12"/>
            </w:pPr>
            <w:r>
              <w:t>≥95%</w:t>
            </w:r>
          </w:p>
        </w:tc>
        <w:tc>
          <w:tcPr>
            <w:tcW w:w="1276" w:type="dxa"/>
            <w:vAlign w:val="center"/>
          </w:tcPr>
          <w:p w14:paraId="0CFEAA92">
            <w:pPr>
              <w:pStyle w:val="12"/>
            </w:pPr>
            <w:r>
              <w:t>问卷调查</w:t>
            </w:r>
          </w:p>
        </w:tc>
      </w:tr>
    </w:tbl>
    <w:p w14:paraId="3E9189FA">
      <w:pPr>
        <w:sectPr>
          <w:pgSz w:w="16840" w:h="11900" w:orient="landscape"/>
          <w:pgMar w:top="1361" w:right="1020" w:bottom="1134" w:left="1020" w:header="720" w:footer="720" w:gutter="0"/>
          <w:cols w:space="720" w:num="1"/>
        </w:sectPr>
      </w:pPr>
    </w:p>
    <w:p w14:paraId="011E36FE">
      <w:pPr>
        <w:spacing w:before="0" w:after="0"/>
        <w:ind w:firstLine="560"/>
        <w:jc w:val="left"/>
        <w:outlineLvl w:val="9"/>
      </w:pPr>
      <w:r>
        <w:rPr>
          <w:rFonts w:ascii="方正仿宋_GBK" w:hAnsi="方正仿宋_GBK" w:eastAsia="方正仿宋_GBK" w:cs="方正仿宋_GBK"/>
          <w:b/>
          <w:color w:val="000000"/>
          <w:sz w:val="28"/>
        </w:rPr>
        <w:t>2、冀财教[2025]121号/中央/2026年义教补助经费/北楼中学公用经费绩效目标表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1B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CE73F">
            <w:pPr>
              <w:pStyle w:val="11"/>
            </w:pPr>
            <w:r>
              <w:t>单位：万元</w:t>
            </w:r>
          </w:p>
        </w:tc>
      </w:tr>
      <w:tr w14:paraId="6C6F7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5AC50">
            <w:pPr>
              <w:pStyle w:val="10"/>
            </w:pPr>
            <w:r>
              <w:t>项目编码</w:t>
            </w:r>
          </w:p>
        </w:tc>
        <w:tc>
          <w:tcPr>
            <w:tcW w:w="5103" w:type="dxa"/>
            <w:gridSpan w:val="2"/>
            <w:vAlign w:val="center"/>
          </w:tcPr>
          <w:p w14:paraId="2DC60CEF">
            <w:pPr>
              <w:pStyle w:val="12"/>
            </w:pPr>
            <w:r>
              <w:t>13052526P000004102537</w:t>
            </w:r>
          </w:p>
        </w:tc>
        <w:tc>
          <w:tcPr>
            <w:tcW w:w="2835" w:type="dxa"/>
            <w:vAlign w:val="center"/>
          </w:tcPr>
          <w:p w14:paraId="071342C7">
            <w:pPr>
              <w:pStyle w:val="10"/>
            </w:pPr>
            <w:r>
              <w:t>项目名称</w:t>
            </w:r>
          </w:p>
        </w:tc>
        <w:tc>
          <w:tcPr>
            <w:tcW w:w="6095" w:type="dxa"/>
            <w:gridSpan w:val="3"/>
            <w:vAlign w:val="center"/>
          </w:tcPr>
          <w:p w14:paraId="75C8E4C9">
            <w:pPr>
              <w:pStyle w:val="12"/>
            </w:pPr>
            <w:r>
              <w:t>冀财教[2025]121号/中央/2026年义教补助经费/北楼中学公用经费</w:t>
            </w:r>
          </w:p>
        </w:tc>
      </w:tr>
      <w:tr w14:paraId="4CE28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F71AB">
            <w:pPr>
              <w:pStyle w:val="10"/>
            </w:pPr>
            <w:r>
              <w:t>预算规模及资金用途</w:t>
            </w:r>
          </w:p>
        </w:tc>
        <w:tc>
          <w:tcPr>
            <w:tcW w:w="2268" w:type="dxa"/>
            <w:vAlign w:val="center"/>
          </w:tcPr>
          <w:p w14:paraId="74E3D5AD">
            <w:pPr>
              <w:pStyle w:val="10"/>
            </w:pPr>
            <w:r>
              <w:t>预算数</w:t>
            </w:r>
          </w:p>
        </w:tc>
        <w:tc>
          <w:tcPr>
            <w:tcW w:w="2835" w:type="dxa"/>
            <w:vAlign w:val="center"/>
          </w:tcPr>
          <w:p w14:paraId="427170E5">
            <w:pPr>
              <w:pStyle w:val="12"/>
            </w:pPr>
            <w:r>
              <w:t>83.02</w:t>
            </w:r>
          </w:p>
        </w:tc>
        <w:tc>
          <w:tcPr>
            <w:tcW w:w="2835" w:type="dxa"/>
            <w:vAlign w:val="center"/>
          </w:tcPr>
          <w:p w14:paraId="385F85C6">
            <w:pPr>
              <w:pStyle w:val="10"/>
            </w:pPr>
            <w:r>
              <w:t>其中：财政    资金</w:t>
            </w:r>
          </w:p>
        </w:tc>
        <w:tc>
          <w:tcPr>
            <w:tcW w:w="2551" w:type="dxa"/>
            <w:vAlign w:val="center"/>
          </w:tcPr>
          <w:p w14:paraId="224DD98A">
            <w:pPr>
              <w:pStyle w:val="12"/>
            </w:pPr>
            <w:r>
              <w:t>83.02</w:t>
            </w:r>
          </w:p>
        </w:tc>
        <w:tc>
          <w:tcPr>
            <w:tcW w:w="2268" w:type="dxa"/>
            <w:vAlign w:val="center"/>
          </w:tcPr>
          <w:p w14:paraId="5525DA77">
            <w:pPr>
              <w:pStyle w:val="10"/>
            </w:pPr>
            <w:r>
              <w:t>其他资金</w:t>
            </w:r>
          </w:p>
        </w:tc>
        <w:tc>
          <w:tcPr>
            <w:tcW w:w="1276" w:type="dxa"/>
            <w:vAlign w:val="center"/>
          </w:tcPr>
          <w:p w14:paraId="589CC801">
            <w:pPr>
              <w:pStyle w:val="12"/>
            </w:pPr>
            <w:r>
              <w:t xml:space="preserve"> </w:t>
            </w:r>
          </w:p>
        </w:tc>
      </w:tr>
      <w:tr w14:paraId="6591C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D9CF4"/>
        </w:tc>
        <w:tc>
          <w:tcPr>
            <w:tcW w:w="14033" w:type="dxa"/>
            <w:gridSpan w:val="6"/>
            <w:vAlign w:val="center"/>
          </w:tcPr>
          <w:p w14:paraId="7C021A0B">
            <w:pPr>
              <w:pStyle w:val="12"/>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64149CB5">
            <w:pPr>
              <w:pStyle w:val="12"/>
            </w:pPr>
          </w:p>
        </w:tc>
      </w:tr>
      <w:tr w14:paraId="51E5B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15C7F">
            <w:pPr>
              <w:pStyle w:val="10"/>
            </w:pPr>
            <w:r>
              <w:t>资金支出计划（%）</w:t>
            </w:r>
          </w:p>
        </w:tc>
        <w:tc>
          <w:tcPr>
            <w:tcW w:w="5103" w:type="dxa"/>
            <w:gridSpan w:val="2"/>
            <w:vAlign w:val="center"/>
          </w:tcPr>
          <w:p w14:paraId="0D327A8D">
            <w:pPr>
              <w:pStyle w:val="10"/>
            </w:pPr>
            <w:r>
              <w:t>3月底</w:t>
            </w:r>
          </w:p>
        </w:tc>
        <w:tc>
          <w:tcPr>
            <w:tcW w:w="2835" w:type="dxa"/>
            <w:vAlign w:val="center"/>
          </w:tcPr>
          <w:p w14:paraId="53E6EB2B">
            <w:pPr>
              <w:pStyle w:val="10"/>
            </w:pPr>
            <w:r>
              <w:t>6月底</w:t>
            </w:r>
          </w:p>
        </w:tc>
        <w:tc>
          <w:tcPr>
            <w:tcW w:w="2551" w:type="dxa"/>
            <w:vAlign w:val="center"/>
          </w:tcPr>
          <w:p w14:paraId="3926E3F6">
            <w:pPr>
              <w:pStyle w:val="10"/>
            </w:pPr>
            <w:r>
              <w:t>10月底</w:t>
            </w:r>
          </w:p>
        </w:tc>
        <w:tc>
          <w:tcPr>
            <w:tcW w:w="3544" w:type="dxa"/>
            <w:gridSpan w:val="2"/>
            <w:vAlign w:val="center"/>
          </w:tcPr>
          <w:p w14:paraId="3C1A38C1">
            <w:pPr>
              <w:pStyle w:val="10"/>
            </w:pPr>
            <w:r>
              <w:t>12月底</w:t>
            </w:r>
          </w:p>
        </w:tc>
      </w:tr>
      <w:tr w14:paraId="57744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BDF16"/>
        </w:tc>
        <w:tc>
          <w:tcPr>
            <w:tcW w:w="5103" w:type="dxa"/>
            <w:gridSpan w:val="2"/>
            <w:vAlign w:val="center"/>
          </w:tcPr>
          <w:p w14:paraId="4D4B6621">
            <w:pPr>
              <w:pStyle w:val="13"/>
            </w:pPr>
            <w:r>
              <w:t>25%</w:t>
            </w:r>
          </w:p>
        </w:tc>
        <w:tc>
          <w:tcPr>
            <w:tcW w:w="2835" w:type="dxa"/>
            <w:vAlign w:val="center"/>
          </w:tcPr>
          <w:p w14:paraId="0DF1423C">
            <w:pPr>
              <w:pStyle w:val="13"/>
            </w:pPr>
            <w:r>
              <w:t>50%</w:t>
            </w:r>
          </w:p>
        </w:tc>
        <w:tc>
          <w:tcPr>
            <w:tcW w:w="2551" w:type="dxa"/>
            <w:vAlign w:val="center"/>
          </w:tcPr>
          <w:p w14:paraId="1F00DF29">
            <w:pPr>
              <w:pStyle w:val="13"/>
            </w:pPr>
            <w:r>
              <w:t>75%</w:t>
            </w:r>
          </w:p>
        </w:tc>
        <w:tc>
          <w:tcPr>
            <w:tcW w:w="3544" w:type="dxa"/>
            <w:gridSpan w:val="2"/>
            <w:vAlign w:val="center"/>
          </w:tcPr>
          <w:p w14:paraId="4F553594">
            <w:pPr>
              <w:pStyle w:val="13"/>
            </w:pPr>
            <w:r>
              <w:t>100%</w:t>
            </w:r>
          </w:p>
        </w:tc>
      </w:tr>
      <w:tr w14:paraId="4E80C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49FC0">
            <w:pPr>
              <w:pStyle w:val="10"/>
            </w:pPr>
            <w:r>
              <w:t>绩效目标</w:t>
            </w:r>
          </w:p>
        </w:tc>
        <w:tc>
          <w:tcPr>
            <w:tcW w:w="14033" w:type="dxa"/>
            <w:gridSpan w:val="6"/>
            <w:vAlign w:val="center"/>
          </w:tcPr>
          <w:p w14:paraId="04CDDE44">
            <w:pPr>
              <w:pStyle w:val="12"/>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094215BC">
            <w:pPr>
              <w:pStyle w:val="12"/>
            </w:pPr>
            <w:r>
              <w:t>2.按规定拨付公用经费资金830200元，资金拨付率达到100%。</w:t>
            </w:r>
          </w:p>
        </w:tc>
      </w:tr>
    </w:tbl>
    <w:p w14:paraId="071365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3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DA21E">
            <w:pPr>
              <w:pStyle w:val="10"/>
            </w:pPr>
            <w:r>
              <w:t>一级指标</w:t>
            </w:r>
          </w:p>
        </w:tc>
        <w:tc>
          <w:tcPr>
            <w:tcW w:w="2268" w:type="dxa"/>
            <w:vAlign w:val="center"/>
          </w:tcPr>
          <w:p w14:paraId="7C782EA9">
            <w:pPr>
              <w:pStyle w:val="10"/>
            </w:pPr>
            <w:r>
              <w:t>二级指标</w:t>
            </w:r>
          </w:p>
        </w:tc>
        <w:tc>
          <w:tcPr>
            <w:tcW w:w="2835" w:type="dxa"/>
            <w:vAlign w:val="center"/>
          </w:tcPr>
          <w:p w14:paraId="05BEF676">
            <w:pPr>
              <w:pStyle w:val="10"/>
            </w:pPr>
            <w:r>
              <w:t>三级指标</w:t>
            </w:r>
          </w:p>
        </w:tc>
        <w:tc>
          <w:tcPr>
            <w:tcW w:w="5386" w:type="dxa"/>
            <w:vAlign w:val="center"/>
          </w:tcPr>
          <w:p w14:paraId="1AC02FCC">
            <w:pPr>
              <w:pStyle w:val="10"/>
            </w:pPr>
            <w:r>
              <w:t>绩效指标描述</w:t>
            </w:r>
          </w:p>
        </w:tc>
        <w:tc>
          <w:tcPr>
            <w:tcW w:w="2268" w:type="dxa"/>
            <w:vAlign w:val="center"/>
          </w:tcPr>
          <w:p w14:paraId="3B5ECDD7">
            <w:pPr>
              <w:pStyle w:val="10"/>
            </w:pPr>
            <w:r>
              <w:t>指标值</w:t>
            </w:r>
          </w:p>
        </w:tc>
        <w:tc>
          <w:tcPr>
            <w:tcW w:w="1276" w:type="dxa"/>
            <w:vAlign w:val="center"/>
          </w:tcPr>
          <w:p w14:paraId="6F056FC9">
            <w:pPr>
              <w:pStyle w:val="10"/>
            </w:pPr>
            <w:r>
              <w:t>指标值确定依据</w:t>
            </w:r>
          </w:p>
        </w:tc>
      </w:tr>
      <w:tr w14:paraId="0423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2F306">
            <w:pPr>
              <w:pStyle w:val="13"/>
            </w:pPr>
            <w:r>
              <w:t>产出指标</w:t>
            </w:r>
          </w:p>
        </w:tc>
        <w:tc>
          <w:tcPr>
            <w:tcW w:w="2268" w:type="dxa"/>
            <w:vAlign w:val="center"/>
          </w:tcPr>
          <w:p w14:paraId="427B9B41">
            <w:pPr>
              <w:pStyle w:val="12"/>
            </w:pPr>
            <w:r>
              <w:t>数量指标</w:t>
            </w:r>
          </w:p>
        </w:tc>
        <w:tc>
          <w:tcPr>
            <w:tcW w:w="2835" w:type="dxa"/>
            <w:vAlign w:val="center"/>
          </w:tcPr>
          <w:p w14:paraId="2E71CC4E">
            <w:pPr>
              <w:pStyle w:val="12"/>
            </w:pPr>
            <w:r>
              <w:t>适龄在校生</w:t>
            </w:r>
          </w:p>
        </w:tc>
        <w:tc>
          <w:tcPr>
            <w:tcW w:w="5386" w:type="dxa"/>
            <w:vAlign w:val="center"/>
          </w:tcPr>
          <w:p w14:paraId="67071C2D">
            <w:pPr>
              <w:pStyle w:val="12"/>
            </w:pPr>
            <w:r>
              <w:t>适龄在校就读学生人数</w:t>
            </w:r>
          </w:p>
        </w:tc>
        <w:tc>
          <w:tcPr>
            <w:tcW w:w="2268" w:type="dxa"/>
            <w:vAlign w:val="center"/>
          </w:tcPr>
          <w:p w14:paraId="1E1F191F">
            <w:pPr>
              <w:pStyle w:val="12"/>
            </w:pPr>
            <w:r>
              <w:t>956人</w:t>
            </w:r>
          </w:p>
        </w:tc>
        <w:tc>
          <w:tcPr>
            <w:tcW w:w="1276" w:type="dxa"/>
            <w:vAlign w:val="center"/>
          </w:tcPr>
          <w:p w14:paraId="6D96F05B">
            <w:pPr>
              <w:pStyle w:val="12"/>
            </w:pPr>
            <w:r>
              <w:t>城乡义务教育公用经费管理办法</w:t>
            </w:r>
          </w:p>
        </w:tc>
      </w:tr>
      <w:tr w14:paraId="0963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12EE7"/>
        </w:tc>
        <w:tc>
          <w:tcPr>
            <w:tcW w:w="2268" w:type="dxa"/>
            <w:vAlign w:val="center"/>
          </w:tcPr>
          <w:p w14:paraId="09F94409">
            <w:pPr>
              <w:pStyle w:val="12"/>
            </w:pPr>
            <w:r>
              <w:t>质量指标</w:t>
            </w:r>
          </w:p>
        </w:tc>
        <w:tc>
          <w:tcPr>
            <w:tcW w:w="2835" w:type="dxa"/>
            <w:vAlign w:val="center"/>
          </w:tcPr>
          <w:p w14:paraId="1596727F">
            <w:pPr>
              <w:pStyle w:val="12"/>
            </w:pPr>
            <w:r>
              <w:t>预算控制率</w:t>
            </w:r>
          </w:p>
        </w:tc>
        <w:tc>
          <w:tcPr>
            <w:tcW w:w="5386" w:type="dxa"/>
            <w:vAlign w:val="center"/>
          </w:tcPr>
          <w:p w14:paraId="55CF8857">
            <w:pPr>
              <w:pStyle w:val="12"/>
            </w:pPr>
            <w:r>
              <w:t>预算执行率</w:t>
            </w:r>
          </w:p>
        </w:tc>
        <w:tc>
          <w:tcPr>
            <w:tcW w:w="2268" w:type="dxa"/>
            <w:vAlign w:val="center"/>
          </w:tcPr>
          <w:p w14:paraId="2CCB70AD">
            <w:pPr>
              <w:pStyle w:val="12"/>
            </w:pPr>
            <w:r>
              <w:t>≥95%</w:t>
            </w:r>
          </w:p>
        </w:tc>
        <w:tc>
          <w:tcPr>
            <w:tcW w:w="1276" w:type="dxa"/>
            <w:vAlign w:val="center"/>
          </w:tcPr>
          <w:p w14:paraId="36F1B711">
            <w:pPr>
              <w:pStyle w:val="12"/>
            </w:pPr>
            <w:r>
              <w:t>城乡义务教育公用经费管理办法</w:t>
            </w:r>
          </w:p>
        </w:tc>
      </w:tr>
      <w:tr w14:paraId="1DCC9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079B8"/>
        </w:tc>
        <w:tc>
          <w:tcPr>
            <w:tcW w:w="2268" w:type="dxa"/>
            <w:vAlign w:val="center"/>
          </w:tcPr>
          <w:p w14:paraId="6FDF6D23">
            <w:pPr>
              <w:pStyle w:val="12"/>
            </w:pPr>
            <w:r>
              <w:t>时效指标</w:t>
            </w:r>
          </w:p>
        </w:tc>
        <w:tc>
          <w:tcPr>
            <w:tcW w:w="2835" w:type="dxa"/>
            <w:vAlign w:val="center"/>
          </w:tcPr>
          <w:p w14:paraId="0F0C9403">
            <w:pPr>
              <w:pStyle w:val="12"/>
            </w:pPr>
            <w:r>
              <w:t>资金支付率</w:t>
            </w:r>
          </w:p>
        </w:tc>
        <w:tc>
          <w:tcPr>
            <w:tcW w:w="5386" w:type="dxa"/>
            <w:vAlign w:val="center"/>
          </w:tcPr>
          <w:p w14:paraId="3D9E5420">
            <w:pPr>
              <w:pStyle w:val="12"/>
            </w:pPr>
            <w:r>
              <w:t>按照序时进度完成资金支付</w:t>
            </w:r>
          </w:p>
        </w:tc>
        <w:tc>
          <w:tcPr>
            <w:tcW w:w="2268" w:type="dxa"/>
            <w:vAlign w:val="center"/>
          </w:tcPr>
          <w:p w14:paraId="77BD73DE">
            <w:pPr>
              <w:pStyle w:val="12"/>
            </w:pPr>
            <w:r>
              <w:t>100%</w:t>
            </w:r>
          </w:p>
        </w:tc>
        <w:tc>
          <w:tcPr>
            <w:tcW w:w="1276" w:type="dxa"/>
            <w:vAlign w:val="center"/>
          </w:tcPr>
          <w:p w14:paraId="2CC16190">
            <w:pPr>
              <w:pStyle w:val="12"/>
            </w:pPr>
            <w:r>
              <w:t>城乡义务教育公用经费管理办法</w:t>
            </w:r>
          </w:p>
        </w:tc>
      </w:tr>
      <w:tr w14:paraId="0B8C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C7E5B"/>
        </w:tc>
        <w:tc>
          <w:tcPr>
            <w:tcW w:w="2268" w:type="dxa"/>
            <w:vAlign w:val="center"/>
          </w:tcPr>
          <w:p w14:paraId="32FCC405">
            <w:pPr>
              <w:pStyle w:val="12"/>
            </w:pPr>
            <w:r>
              <w:t>成本指标</w:t>
            </w:r>
          </w:p>
        </w:tc>
        <w:tc>
          <w:tcPr>
            <w:tcW w:w="2835" w:type="dxa"/>
            <w:vAlign w:val="center"/>
          </w:tcPr>
          <w:p w14:paraId="124EC91C">
            <w:pPr>
              <w:pStyle w:val="12"/>
            </w:pPr>
            <w:r>
              <w:t>生均拨款标准</w:t>
            </w:r>
          </w:p>
        </w:tc>
        <w:tc>
          <w:tcPr>
            <w:tcW w:w="5386" w:type="dxa"/>
            <w:vAlign w:val="center"/>
          </w:tcPr>
          <w:p w14:paraId="09ECD923">
            <w:pPr>
              <w:pStyle w:val="12"/>
            </w:pPr>
            <w:r>
              <w:t>初中：（基本标准940元、寄宿生300元、取暖费120元）/生/学年；随班就读学生：标准7000元/生/学年）</w:t>
            </w:r>
          </w:p>
        </w:tc>
        <w:tc>
          <w:tcPr>
            <w:tcW w:w="2268" w:type="dxa"/>
            <w:vAlign w:val="center"/>
          </w:tcPr>
          <w:p w14:paraId="467F1EDA">
            <w:pPr>
              <w:pStyle w:val="12"/>
            </w:pPr>
            <w:r>
              <w:t>1360元</w:t>
            </w:r>
          </w:p>
        </w:tc>
        <w:tc>
          <w:tcPr>
            <w:tcW w:w="1276" w:type="dxa"/>
            <w:vAlign w:val="center"/>
          </w:tcPr>
          <w:p w14:paraId="10EE0963">
            <w:pPr>
              <w:pStyle w:val="12"/>
            </w:pPr>
            <w:r>
              <w:t>城乡义务教育公用经费管理办法</w:t>
            </w:r>
          </w:p>
        </w:tc>
      </w:tr>
      <w:tr w14:paraId="463E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BACC4">
            <w:pPr>
              <w:pStyle w:val="13"/>
            </w:pPr>
            <w:r>
              <w:t>效益指标</w:t>
            </w:r>
          </w:p>
        </w:tc>
        <w:tc>
          <w:tcPr>
            <w:tcW w:w="2268" w:type="dxa"/>
            <w:vAlign w:val="center"/>
          </w:tcPr>
          <w:p w14:paraId="4761622D">
            <w:pPr>
              <w:pStyle w:val="12"/>
            </w:pPr>
            <w:r>
              <w:t>可持续影响指标</w:t>
            </w:r>
          </w:p>
        </w:tc>
        <w:tc>
          <w:tcPr>
            <w:tcW w:w="2835" w:type="dxa"/>
            <w:vAlign w:val="center"/>
          </w:tcPr>
          <w:p w14:paraId="16324F36">
            <w:pPr>
              <w:pStyle w:val="12"/>
            </w:pPr>
            <w:r>
              <w:t>学校日常运转正常</w:t>
            </w:r>
          </w:p>
        </w:tc>
        <w:tc>
          <w:tcPr>
            <w:tcW w:w="5386" w:type="dxa"/>
            <w:vAlign w:val="center"/>
          </w:tcPr>
          <w:p w14:paraId="655BDF23">
            <w:pPr>
              <w:pStyle w:val="12"/>
            </w:pPr>
            <w:r>
              <w:t>学生受教育年限</w:t>
            </w:r>
          </w:p>
        </w:tc>
        <w:tc>
          <w:tcPr>
            <w:tcW w:w="2268" w:type="dxa"/>
            <w:vAlign w:val="center"/>
          </w:tcPr>
          <w:p w14:paraId="52F2E376">
            <w:pPr>
              <w:pStyle w:val="12"/>
            </w:pPr>
            <w:r>
              <w:t>3年</w:t>
            </w:r>
          </w:p>
        </w:tc>
        <w:tc>
          <w:tcPr>
            <w:tcW w:w="1276" w:type="dxa"/>
            <w:vAlign w:val="center"/>
          </w:tcPr>
          <w:p w14:paraId="5FD11123">
            <w:pPr>
              <w:pStyle w:val="12"/>
            </w:pPr>
            <w:r>
              <w:t>城乡义务教育公用经费管理办法</w:t>
            </w:r>
          </w:p>
        </w:tc>
      </w:tr>
      <w:tr w14:paraId="4A10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0E405">
            <w:pPr>
              <w:pStyle w:val="13"/>
            </w:pPr>
            <w:r>
              <w:t>满意度指标</w:t>
            </w:r>
          </w:p>
        </w:tc>
        <w:tc>
          <w:tcPr>
            <w:tcW w:w="2268" w:type="dxa"/>
            <w:vAlign w:val="center"/>
          </w:tcPr>
          <w:p w14:paraId="5518ACCA">
            <w:pPr>
              <w:pStyle w:val="12"/>
            </w:pPr>
            <w:r>
              <w:t>服务对象满意度指标</w:t>
            </w:r>
          </w:p>
        </w:tc>
        <w:tc>
          <w:tcPr>
            <w:tcW w:w="2835" w:type="dxa"/>
            <w:vAlign w:val="center"/>
          </w:tcPr>
          <w:p w14:paraId="3A66D44C">
            <w:pPr>
              <w:pStyle w:val="12"/>
            </w:pPr>
            <w:r>
              <w:t>受益学生家长及调查满意度</w:t>
            </w:r>
          </w:p>
        </w:tc>
        <w:tc>
          <w:tcPr>
            <w:tcW w:w="5386" w:type="dxa"/>
            <w:vAlign w:val="center"/>
          </w:tcPr>
          <w:p w14:paraId="35EF7FE8">
            <w:pPr>
              <w:pStyle w:val="12"/>
            </w:pPr>
            <w:r>
              <w:t>学生、教师及家长对学校教育教学工作满意度情况</w:t>
            </w:r>
          </w:p>
        </w:tc>
        <w:tc>
          <w:tcPr>
            <w:tcW w:w="2268" w:type="dxa"/>
            <w:vAlign w:val="center"/>
          </w:tcPr>
          <w:p w14:paraId="3FA1D563">
            <w:pPr>
              <w:pStyle w:val="12"/>
            </w:pPr>
            <w:r>
              <w:t>≥95%</w:t>
            </w:r>
          </w:p>
        </w:tc>
        <w:tc>
          <w:tcPr>
            <w:tcW w:w="1276" w:type="dxa"/>
            <w:vAlign w:val="center"/>
          </w:tcPr>
          <w:p w14:paraId="099A0537">
            <w:pPr>
              <w:pStyle w:val="12"/>
            </w:pPr>
            <w:r>
              <w:t>问卷调查</w:t>
            </w:r>
          </w:p>
        </w:tc>
      </w:tr>
    </w:tbl>
    <w:p w14:paraId="7D484482">
      <w:pPr>
        <w:sectPr>
          <w:pgSz w:w="16840" w:h="11900" w:orient="landscape"/>
          <w:pgMar w:top="1361" w:right="1020" w:bottom="1134" w:left="1020" w:header="720" w:footer="720" w:gutter="0"/>
          <w:cols w:space="720" w:num="1"/>
        </w:sectPr>
      </w:pPr>
    </w:p>
    <w:p w14:paraId="6607353E">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3、冀财教[2025]147号/省级/2026年义教补助经费/北楼中学公用经费绩效目标表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AD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3EAD7">
            <w:pPr>
              <w:pStyle w:val="11"/>
            </w:pPr>
            <w:r>
              <w:t>单位：万元</w:t>
            </w:r>
          </w:p>
        </w:tc>
      </w:tr>
      <w:tr w14:paraId="2A7B7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29EA0">
            <w:pPr>
              <w:pStyle w:val="10"/>
            </w:pPr>
            <w:r>
              <w:t>项目编码</w:t>
            </w:r>
          </w:p>
        </w:tc>
        <w:tc>
          <w:tcPr>
            <w:tcW w:w="5103" w:type="dxa"/>
            <w:gridSpan w:val="2"/>
            <w:vAlign w:val="center"/>
          </w:tcPr>
          <w:p w14:paraId="06BB3310">
            <w:pPr>
              <w:pStyle w:val="12"/>
            </w:pPr>
            <w:r>
              <w:t>13052526P00000410328Y</w:t>
            </w:r>
          </w:p>
        </w:tc>
        <w:tc>
          <w:tcPr>
            <w:tcW w:w="2835" w:type="dxa"/>
            <w:vAlign w:val="center"/>
          </w:tcPr>
          <w:p w14:paraId="1A7019E2">
            <w:pPr>
              <w:pStyle w:val="10"/>
            </w:pPr>
            <w:r>
              <w:t>项目名称</w:t>
            </w:r>
          </w:p>
        </w:tc>
        <w:tc>
          <w:tcPr>
            <w:tcW w:w="6095" w:type="dxa"/>
            <w:gridSpan w:val="3"/>
            <w:vAlign w:val="center"/>
          </w:tcPr>
          <w:p w14:paraId="4388C2D3">
            <w:pPr>
              <w:pStyle w:val="12"/>
            </w:pPr>
            <w:r>
              <w:t>冀财教[2025]147号/省级/2026年义教补助经费/北楼中学公用经费</w:t>
            </w:r>
          </w:p>
        </w:tc>
      </w:tr>
      <w:tr w14:paraId="1E8B6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48787">
            <w:pPr>
              <w:pStyle w:val="10"/>
            </w:pPr>
            <w:r>
              <w:t>预算规模及资金用途</w:t>
            </w:r>
          </w:p>
        </w:tc>
        <w:tc>
          <w:tcPr>
            <w:tcW w:w="2268" w:type="dxa"/>
            <w:vAlign w:val="center"/>
          </w:tcPr>
          <w:p w14:paraId="0D654682">
            <w:pPr>
              <w:pStyle w:val="10"/>
            </w:pPr>
            <w:r>
              <w:t>预算数</w:t>
            </w:r>
          </w:p>
        </w:tc>
        <w:tc>
          <w:tcPr>
            <w:tcW w:w="2835" w:type="dxa"/>
            <w:vAlign w:val="center"/>
          </w:tcPr>
          <w:p w14:paraId="1E386D26">
            <w:pPr>
              <w:pStyle w:val="12"/>
            </w:pPr>
            <w:r>
              <w:t>43.63</w:t>
            </w:r>
          </w:p>
        </w:tc>
        <w:tc>
          <w:tcPr>
            <w:tcW w:w="2835" w:type="dxa"/>
            <w:vAlign w:val="center"/>
          </w:tcPr>
          <w:p w14:paraId="4746178F">
            <w:pPr>
              <w:pStyle w:val="10"/>
            </w:pPr>
            <w:r>
              <w:t>其中：财政    资金</w:t>
            </w:r>
          </w:p>
        </w:tc>
        <w:tc>
          <w:tcPr>
            <w:tcW w:w="2551" w:type="dxa"/>
            <w:vAlign w:val="center"/>
          </w:tcPr>
          <w:p w14:paraId="55C048EF">
            <w:pPr>
              <w:pStyle w:val="12"/>
            </w:pPr>
            <w:r>
              <w:t>43.63</w:t>
            </w:r>
          </w:p>
        </w:tc>
        <w:tc>
          <w:tcPr>
            <w:tcW w:w="2268" w:type="dxa"/>
            <w:vAlign w:val="center"/>
          </w:tcPr>
          <w:p w14:paraId="73E0A476">
            <w:pPr>
              <w:pStyle w:val="10"/>
            </w:pPr>
            <w:r>
              <w:t>其他资金</w:t>
            </w:r>
          </w:p>
        </w:tc>
        <w:tc>
          <w:tcPr>
            <w:tcW w:w="1276" w:type="dxa"/>
            <w:vAlign w:val="center"/>
          </w:tcPr>
          <w:p w14:paraId="02C0ED7D">
            <w:pPr>
              <w:pStyle w:val="12"/>
            </w:pPr>
            <w:r>
              <w:t xml:space="preserve"> </w:t>
            </w:r>
          </w:p>
        </w:tc>
      </w:tr>
      <w:tr w14:paraId="62D63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E50DD"/>
        </w:tc>
        <w:tc>
          <w:tcPr>
            <w:tcW w:w="14033" w:type="dxa"/>
            <w:gridSpan w:val="6"/>
            <w:vAlign w:val="center"/>
          </w:tcPr>
          <w:p w14:paraId="1BC114A1">
            <w:pPr>
              <w:pStyle w:val="12"/>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1ABCD1DC">
            <w:pPr>
              <w:pStyle w:val="12"/>
            </w:pPr>
          </w:p>
        </w:tc>
      </w:tr>
      <w:tr w14:paraId="68CCC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68029">
            <w:pPr>
              <w:pStyle w:val="10"/>
            </w:pPr>
            <w:r>
              <w:t>资金支出计划（%）</w:t>
            </w:r>
          </w:p>
        </w:tc>
        <w:tc>
          <w:tcPr>
            <w:tcW w:w="5103" w:type="dxa"/>
            <w:gridSpan w:val="2"/>
            <w:vAlign w:val="center"/>
          </w:tcPr>
          <w:p w14:paraId="51FFC36A">
            <w:pPr>
              <w:pStyle w:val="10"/>
            </w:pPr>
            <w:r>
              <w:t>3月底</w:t>
            </w:r>
          </w:p>
        </w:tc>
        <w:tc>
          <w:tcPr>
            <w:tcW w:w="2835" w:type="dxa"/>
            <w:vAlign w:val="center"/>
          </w:tcPr>
          <w:p w14:paraId="6BD05905">
            <w:pPr>
              <w:pStyle w:val="10"/>
            </w:pPr>
            <w:r>
              <w:t>6月底</w:t>
            </w:r>
          </w:p>
        </w:tc>
        <w:tc>
          <w:tcPr>
            <w:tcW w:w="2551" w:type="dxa"/>
            <w:vAlign w:val="center"/>
          </w:tcPr>
          <w:p w14:paraId="75D13821">
            <w:pPr>
              <w:pStyle w:val="10"/>
            </w:pPr>
            <w:r>
              <w:t>10月底</w:t>
            </w:r>
          </w:p>
        </w:tc>
        <w:tc>
          <w:tcPr>
            <w:tcW w:w="3544" w:type="dxa"/>
            <w:gridSpan w:val="2"/>
            <w:vAlign w:val="center"/>
          </w:tcPr>
          <w:p w14:paraId="78D7E65F">
            <w:pPr>
              <w:pStyle w:val="10"/>
            </w:pPr>
            <w:r>
              <w:t>12月底</w:t>
            </w:r>
          </w:p>
        </w:tc>
      </w:tr>
      <w:tr w14:paraId="10078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0E527"/>
        </w:tc>
        <w:tc>
          <w:tcPr>
            <w:tcW w:w="5103" w:type="dxa"/>
            <w:gridSpan w:val="2"/>
            <w:vAlign w:val="center"/>
          </w:tcPr>
          <w:p w14:paraId="3C5BE1D4">
            <w:pPr>
              <w:pStyle w:val="13"/>
            </w:pPr>
            <w:r>
              <w:t>25%</w:t>
            </w:r>
          </w:p>
        </w:tc>
        <w:tc>
          <w:tcPr>
            <w:tcW w:w="2835" w:type="dxa"/>
            <w:vAlign w:val="center"/>
          </w:tcPr>
          <w:p w14:paraId="7A03D496">
            <w:pPr>
              <w:pStyle w:val="13"/>
            </w:pPr>
            <w:r>
              <w:t>50%</w:t>
            </w:r>
          </w:p>
        </w:tc>
        <w:tc>
          <w:tcPr>
            <w:tcW w:w="2551" w:type="dxa"/>
            <w:vAlign w:val="center"/>
          </w:tcPr>
          <w:p w14:paraId="68A794DE">
            <w:pPr>
              <w:pStyle w:val="13"/>
            </w:pPr>
            <w:r>
              <w:t>75%</w:t>
            </w:r>
          </w:p>
        </w:tc>
        <w:tc>
          <w:tcPr>
            <w:tcW w:w="3544" w:type="dxa"/>
            <w:gridSpan w:val="2"/>
            <w:vAlign w:val="center"/>
          </w:tcPr>
          <w:p w14:paraId="711F863F">
            <w:pPr>
              <w:pStyle w:val="13"/>
            </w:pPr>
            <w:r>
              <w:t>100%</w:t>
            </w:r>
          </w:p>
        </w:tc>
      </w:tr>
      <w:tr w14:paraId="33ED2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5715E">
            <w:pPr>
              <w:pStyle w:val="10"/>
            </w:pPr>
            <w:r>
              <w:t>绩效目标</w:t>
            </w:r>
          </w:p>
        </w:tc>
        <w:tc>
          <w:tcPr>
            <w:tcW w:w="14033" w:type="dxa"/>
            <w:gridSpan w:val="6"/>
            <w:vAlign w:val="center"/>
          </w:tcPr>
          <w:p w14:paraId="7205B8EF">
            <w:pPr>
              <w:pStyle w:val="12"/>
            </w:pPr>
            <w:r>
              <w:t>1.按规定拨付公用经费资金436300元，资金拨付率达到100%</w:t>
            </w:r>
          </w:p>
          <w:p w14:paraId="1C452409">
            <w:pPr>
              <w:pStyle w:val="12"/>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30D8B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2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8B2D2">
            <w:pPr>
              <w:pStyle w:val="10"/>
            </w:pPr>
            <w:r>
              <w:t>一级指标</w:t>
            </w:r>
          </w:p>
        </w:tc>
        <w:tc>
          <w:tcPr>
            <w:tcW w:w="2268" w:type="dxa"/>
            <w:vAlign w:val="center"/>
          </w:tcPr>
          <w:p w14:paraId="4D0AB2BE">
            <w:pPr>
              <w:pStyle w:val="10"/>
            </w:pPr>
            <w:r>
              <w:t>二级指标</w:t>
            </w:r>
          </w:p>
        </w:tc>
        <w:tc>
          <w:tcPr>
            <w:tcW w:w="2835" w:type="dxa"/>
            <w:vAlign w:val="center"/>
          </w:tcPr>
          <w:p w14:paraId="038241EC">
            <w:pPr>
              <w:pStyle w:val="10"/>
            </w:pPr>
            <w:r>
              <w:t>三级指标</w:t>
            </w:r>
          </w:p>
        </w:tc>
        <w:tc>
          <w:tcPr>
            <w:tcW w:w="5386" w:type="dxa"/>
            <w:vAlign w:val="center"/>
          </w:tcPr>
          <w:p w14:paraId="748B06A5">
            <w:pPr>
              <w:pStyle w:val="10"/>
            </w:pPr>
            <w:r>
              <w:t>绩效指标描述</w:t>
            </w:r>
          </w:p>
        </w:tc>
        <w:tc>
          <w:tcPr>
            <w:tcW w:w="2268" w:type="dxa"/>
            <w:vAlign w:val="center"/>
          </w:tcPr>
          <w:p w14:paraId="204DBED3">
            <w:pPr>
              <w:pStyle w:val="10"/>
            </w:pPr>
            <w:r>
              <w:t>指标值</w:t>
            </w:r>
          </w:p>
        </w:tc>
        <w:tc>
          <w:tcPr>
            <w:tcW w:w="1276" w:type="dxa"/>
            <w:vAlign w:val="center"/>
          </w:tcPr>
          <w:p w14:paraId="03D4AC80">
            <w:pPr>
              <w:pStyle w:val="10"/>
            </w:pPr>
            <w:r>
              <w:t>指标值确定依据</w:t>
            </w:r>
          </w:p>
        </w:tc>
      </w:tr>
      <w:tr w14:paraId="0A2F5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68B64">
            <w:pPr>
              <w:pStyle w:val="13"/>
            </w:pPr>
            <w:r>
              <w:t>产出指标</w:t>
            </w:r>
          </w:p>
        </w:tc>
        <w:tc>
          <w:tcPr>
            <w:tcW w:w="2268" w:type="dxa"/>
            <w:vAlign w:val="center"/>
          </w:tcPr>
          <w:p w14:paraId="5541F568">
            <w:pPr>
              <w:pStyle w:val="12"/>
            </w:pPr>
            <w:r>
              <w:t>数量指标</w:t>
            </w:r>
          </w:p>
        </w:tc>
        <w:tc>
          <w:tcPr>
            <w:tcW w:w="2835" w:type="dxa"/>
            <w:vAlign w:val="center"/>
          </w:tcPr>
          <w:p w14:paraId="3E9364C4">
            <w:pPr>
              <w:pStyle w:val="12"/>
            </w:pPr>
            <w:r>
              <w:t>适龄在校生</w:t>
            </w:r>
          </w:p>
        </w:tc>
        <w:tc>
          <w:tcPr>
            <w:tcW w:w="5386" w:type="dxa"/>
            <w:vAlign w:val="center"/>
          </w:tcPr>
          <w:p w14:paraId="4B1F591B">
            <w:pPr>
              <w:pStyle w:val="12"/>
            </w:pPr>
            <w:r>
              <w:t>适龄在校就读学生人数</w:t>
            </w:r>
          </w:p>
        </w:tc>
        <w:tc>
          <w:tcPr>
            <w:tcW w:w="2268" w:type="dxa"/>
            <w:vAlign w:val="center"/>
          </w:tcPr>
          <w:p w14:paraId="5AAA75F8">
            <w:pPr>
              <w:pStyle w:val="12"/>
            </w:pPr>
            <w:r>
              <w:t>956人</w:t>
            </w:r>
          </w:p>
        </w:tc>
        <w:tc>
          <w:tcPr>
            <w:tcW w:w="1276" w:type="dxa"/>
            <w:vAlign w:val="center"/>
          </w:tcPr>
          <w:p w14:paraId="651501D1">
            <w:pPr>
              <w:pStyle w:val="12"/>
            </w:pPr>
            <w:r>
              <w:t>城乡义务教育公用经费管理办法</w:t>
            </w:r>
          </w:p>
        </w:tc>
      </w:tr>
      <w:tr w14:paraId="4A84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E9463"/>
        </w:tc>
        <w:tc>
          <w:tcPr>
            <w:tcW w:w="2268" w:type="dxa"/>
            <w:vAlign w:val="center"/>
          </w:tcPr>
          <w:p w14:paraId="75EBAF73">
            <w:pPr>
              <w:pStyle w:val="12"/>
            </w:pPr>
            <w:r>
              <w:t>质量指标</w:t>
            </w:r>
          </w:p>
        </w:tc>
        <w:tc>
          <w:tcPr>
            <w:tcW w:w="2835" w:type="dxa"/>
            <w:vAlign w:val="center"/>
          </w:tcPr>
          <w:p w14:paraId="7903E784">
            <w:pPr>
              <w:pStyle w:val="12"/>
            </w:pPr>
            <w:r>
              <w:t>预算控制率</w:t>
            </w:r>
          </w:p>
        </w:tc>
        <w:tc>
          <w:tcPr>
            <w:tcW w:w="5386" w:type="dxa"/>
            <w:vAlign w:val="center"/>
          </w:tcPr>
          <w:p w14:paraId="75530AAA">
            <w:pPr>
              <w:pStyle w:val="12"/>
            </w:pPr>
            <w:r>
              <w:t>预算执行率</w:t>
            </w:r>
          </w:p>
        </w:tc>
        <w:tc>
          <w:tcPr>
            <w:tcW w:w="2268" w:type="dxa"/>
            <w:vAlign w:val="center"/>
          </w:tcPr>
          <w:p w14:paraId="79DFD8A3">
            <w:pPr>
              <w:pStyle w:val="12"/>
            </w:pPr>
            <w:r>
              <w:t>≥95%</w:t>
            </w:r>
          </w:p>
        </w:tc>
        <w:tc>
          <w:tcPr>
            <w:tcW w:w="1276" w:type="dxa"/>
            <w:vAlign w:val="center"/>
          </w:tcPr>
          <w:p w14:paraId="771B0CBA">
            <w:pPr>
              <w:pStyle w:val="12"/>
            </w:pPr>
            <w:r>
              <w:t>城乡义务教育公用经费管理办法</w:t>
            </w:r>
          </w:p>
        </w:tc>
      </w:tr>
      <w:tr w14:paraId="46228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2059C"/>
        </w:tc>
        <w:tc>
          <w:tcPr>
            <w:tcW w:w="2268" w:type="dxa"/>
            <w:vAlign w:val="center"/>
          </w:tcPr>
          <w:p w14:paraId="65376660">
            <w:pPr>
              <w:pStyle w:val="12"/>
            </w:pPr>
            <w:r>
              <w:t>时效指标</w:t>
            </w:r>
          </w:p>
        </w:tc>
        <w:tc>
          <w:tcPr>
            <w:tcW w:w="2835" w:type="dxa"/>
            <w:vAlign w:val="center"/>
          </w:tcPr>
          <w:p w14:paraId="4F6C938F">
            <w:pPr>
              <w:pStyle w:val="12"/>
            </w:pPr>
            <w:r>
              <w:t>资金支付率</w:t>
            </w:r>
          </w:p>
        </w:tc>
        <w:tc>
          <w:tcPr>
            <w:tcW w:w="5386" w:type="dxa"/>
            <w:vAlign w:val="center"/>
          </w:tcPr>
          <w:p w14:paraId="7A4D47CE">
            <w:pPr>
              <w:pStyle w:val="12"/>
            </w:pPr>
            <w:r>
              <w:t>按照序时进度完成资金支付</w:t>
            </w:r>
          </w:p>
        </w:tc>
        <w:tc>
          <w:tcPr>
            <w:tcW w:w="2268" w:type="dxa"/>
            <w:vAlign w:val="center"/>
          </w:tcPr>
          <w:p w14:paraId="79D9A275">
            <w:pPr>
              <w:pStyle w:val="12"/>
            </w:pPr>
            <w:r>
              <w:t>100%</w:t>
            </w:r>
          </w:p>
        </w:tc>
        <w:tc>
          <w:tcPr>
            <w:tcW w:w="1276" w:type="dxa"/>
            <w:vAlign w:val="center"/>
          </w:tcPr>
          <w:p w14:paraId="77DFC80F">
            <w:pPr>
              <w:pStyle w:val="12"/>
            </w:pPr>
            <w:r>
              <w:t>城乡义务教育公用经费管理办法</w:t>
            </w:r>
          </w:p>
        </w:tc>
      </w:tr>
      <w:tr w14:paraId="7187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15785"/>
        </w:tc>
        <w:tc>
          <w:tcPr>
            <w:tcW w:w="2268" w:type="dxa"/>
            <w:vAlign w:val="center"/>
          </w:tcPr>
          <w:p w14:paraId="47601840">
            <w:pPr>
              <w:pStyle w:val="12"/>
            </w:pPr>
            <w:r>
              <w:t>成本指标</w:t>
            </w:r>
          </w:p>
        </w:tc>
        <w:tc>
          <w:tcPr>
            <w:tcW w:w="2835" w:type="dxa"/>
            <w:vAlign w:val="center"/>
          </w:tcPr>
          <w:p w14:paraId="01586BD1">
            <w:pPr>
              <w:pStyle w:val="12"/>
            </w:pPr>
            <w:r>
              <w:t>生均拨款标准</w:t>
            </w:r>
          </w:p>
        </w:tc>
        <w:tc>
          <w:tcPr>
            <w:tcW w:w="5386" w:type="dxa"/>
            <w:vAlign w:val="center"/>
          </w:tcPr>
          <w:p w14:paraId="2F1B80C8">
            <w:pPr>
              <w:pStyle w:val="12"/>
            </w:pPr>
            <w:r>
              <w:t>初中：（基本标准940元、寄宿生300元、取暖费120元）/生/学年；随班就读学生：标准7000元/生/学年）</w:t>
            </w:r>
          </w:p>
        </w:tc>
        <w:tc>
          <w:tcPr>
            <w:tcW w:w="2268" w:type="dxa"/>
            <w:vAlign w:val="center"/>
          </w:tcPr>
          <w:p w14:paraId="08530E14">
            <w:pPr>
              <w:pStyle w:val="12"/>
            </w:pPr>
            <w:r>
              <w:t>1360元</w:t>
            </w:r>
          </w:p>
        </w:tc>
        <w:tc>
          <w:tcPr>
            <w:tcW w:w="1276" w:type="dxa"/>
            <w:vAlign w:val="center"/>
          </w:tcPr>
          <w:p w14:paraId="17CDF4E1">
            <w:pPr>
              <w:pStyle w:val="12"/>
            </w:pPr>
            <w:r>
              <w:t>城乡义务教育公用经费管理办法</w:t>
            </w:r>
          </w:p>
        </w:tc>
      </w:tr>
      <w:tr w14:paraId="7626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B231E">
            <w:pPr>
              <w:pStyle w:val="13"/>
            </w:pPr>
            <w:r>
              <w:t>效益指标</w:t>
            </w:r>
          </w:p>
        </w:tc>
        <w:tc>
          <w:tcPr>
            <w:tcW w:w="2268" w:type="dxa"/>
            <w:vAlign w:val="center"/>
          </w:tcPr>
          <w:p w14:paraId="7B7B3BA2">
            <w:pPr>
              <w:pStyle w:val="12"/>
            </w:pPr>
            <w:r>
              <w:t>可持续影响指标</w:t>
            </w:r>
          </w:p>
        </w:tc>
        <w:tc>
          <w:tcPr>
            <w:tcW w:w="2835" w:type="dxa"/>
            <w:vAlign w:val="center"/>
          </w:tcPr>
          <w:p w14:paraId="599891C2">
            <w:pPr>
              <w:pStyle w:val="12"/>
            </w:pPr>
            <w:r>
              <w:t>学校日常运转正常</w:t>
            </w:r>
          </w:p>
        </w:tc>
        <w:tc>
          <w:tcPr>
            <w:tcW w:w="5386" w:type="dxa"/>
            <w:vAlign w:val="center"/>
          </w:tcPr>
          <w:p w14:paraId="1B3FC77D">
            <w:pPr>
              <w:pStyle w:val="12"/>
            </w:pPr>
            <w:r>
              <w:t>学生受教育年限</w:t>
            </w:r>
          </w:p>
        </w:tc>
        <w:tc>
          <w:tcPr>
            <w:tcW w:w="2268" w:type="dxa"/>
            <w:vAlign w:val="center"/>
          </w:tcPr>
          <w:p w14:paraId="0C7D237A">
            <w:pPr>
              <w:pStyle w:val="12"/>
            </w:pPr>
            <w:r>
              <w:t>3年</w:t>
            </w:r>
          </w:p>
        </w:tc>
        <w:tc>
          <w:tcPr>
            <w:tcW w:w="1276" w:type="dxa"/>
            <w:vAlign w:val="center"/>
          </w:tcPr>
          <w:p w14:paraId="3DC78973">
            <w:pPr>
              <w:pStyle w:val="12"/>
            </w:pPr>
            <w:r>
              <w:t>城乡义务教育公用经费管理办法</w:t>
            </w:r>
          </w:p>
        </w:tc>
      </w:tr>
      <w:tr w14:paraId="466E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51A11">
            <w:pPr>
              <w:pStyle w:val="13"/>
            </w:pPr>
            <w:r>
              <w:t>满意度指标</w:t>
            </w:r>
          </w:p>
        </w:tc>
        <w:tc>
          <w:tcPr>
            <w:tcW w:w="2268" w:type="dxa"/>
            <w:vAlign w:val="center"/>
          </w:tcPr>
          <w:p w14:paraId="447821A9">
            <w:pPr>
              <w:pStyle w:val="12"/>
            </w:pPr>
            <w:r>
              <w:t>服务对象满意度指标</w:t>
            </w:r>
          </w:p>
        </w:tc>
        <w:tc>
          <w:tcPr>
            <w:tcW w:w="2835" w:type="dxa"/>
            <w:vAlign w:val="center"/>
          </w:tcPr>
          <w:p w14:paraId="2C6B0761">
            <w:pPr>
              <w:pStyle w:val="12"/>
            </w:pPr>
            <w:r>
              <w:t>受益学生家长及调查满意度</w:t>
            </w:r>
          </w:p>
        </w:tc>
        <w:tc>
          <w:tcPr>
            <w:tcW w:w="5386" w:type="dxa"/>
            <w:vAlign w:val="center"/>
          </w:tcPr>
          <w:p w14:paraId="6F35D353">
            <w:pPr>
              <w:pStyle w:val="12"/>
            </w:pPr>
            <w:r>
              <w:t>学生、教师及家长对学校教育教学工作满意度情况</w:t>
            </w:r>
          </w:p>
        </w:tc>
        <w:tc>
          <w:tcPr>
            <w:tcW w:w="2268" w:type="dxa"/>
            <w:vAlign w:val="center"/>
          </w:tcPr>
          <w:p w14:paraId="59C18A65">
            <w:pPr>
              <w:pStyle w:val="12"/>
            </w:pPr>
            <w:r>
              <w:t>≥95%</w:t>
            </w:r>
          </w:p>
        </w:tc>
        <w:tc>
          <w:tcPr>
            <w:tcW w:w="1276" w:type="dxa"/>
            <w:vAlign w:val="center"/>
          </w:tcPr>
          <w:p w14:paraId="6DE1685C">
            <w:pPr>
              <w:pStyle w:val="12"/>
            </w:pPr>
            <w:r>
              <w:t>问卷调查</w:t>
            </w:r>
          </w:p>
        </w:tc>
      </w:tr>
    </w:tbl>
    <w:p w14:paraId="291CA83A">
      <w:pPr>
        <w:sectPr>
          <w:pgSz w:w="16840" w:h="11900" w:orient="landscape"/>
          <w:pgMar w:top="1361" w:right="1020" w:bottom="1134" w:left="1020" w:header="720" w:footer="720" w:gutter="0"/>
          <w:cols w:space="720" w:num="1"/>
        </w:sectPr>
      </w:pPr>
    </w:p>
    <w:p w14:paraId="692EAF77">
      <w:pPr>
        <w:spacing w:before="0" w:after="0"/>
        <w:ind w:firstLine="560"/>
        <w:jc w:val="left"/>
        <w:outlineLvl w:val="9"/>
      </w:pPr>
      <w:r>
        <w:rPr>
          <w:rFonts w:ascii="方正仿宋_GBK" w:hAnsi="方正仿宋_GBK" w:eastAsia="方正仿宋_GBK" w:cs="方正仿宋_GBK"/>
          <w:b/>
          <w:color w:val="000000"/>
          <w:sz w:val="28"/>
        </w:rPr>
        <w:t>4、冀财教[2025]147号/省级/义教/2026年校舍安全/北楼中学校舍维修改造绩效目标表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80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3CA12">
            <w:pPr>
              <w:pStyle w:val="11"/>
            </w:pPr>
            <w:r>
              <w:t>单位：万元</w:t>
            </w:r>
          </w:p>
        </w:tc>
      </w:tr>
      <w:tr w14:paraId="35C12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3B5DC">
            <w:pPr>
              <w:pStyle w:val="10"/>
            </w:pPr>
            <w:r>
              <w:t>项目编码</w:t>
            </w:r>
          </w:p>
        </w:tc>
        <w:tc>
          <w:tcPr>
            <w:tcW w:w="5103" w:type="dxa"/>
            <w:gridSpan w:val="2"/>
            <w:vAlign w:val="center"/>
          </w:tcPr>
          <w:p w14:paraId="57D0390F">
            <w:pPr>
              <w:pStyle w:val="12"/>
            </w:pPr>
            <w:r>
              <w:t>13052526P008762100981</w:t>
            </w:r>
          </w:p>
        </w:tc>
        <w:tc>
          <w:tcPr>
            <w:tcW w:w="2835" w:type="dxa"/>
            <w:vAlign w:val="center"/>
          </w:tcPr>
          <w:p w14:paraId="1F56D58E">
            <w:pPr>
              <w:pStyle w:val="10"/>
            </w:pPr>
            <w:r>
              <w:t>项目名称</w:t>
            </w:r>
          </w:p>
        </w:tc>
        <w:tc>
          <w:tcPr>
            <w:tcW w:w="6095" w:type="dxa"/>
            <w:gridSpan w:val="3"/>
            <w:vAlign w:val="center"/>
          </w:tcPr>
          <w:p w14:paraId="2A4A1D62">
            <w:pPr>
              <w:pStyle w:val="12"/>
            </w:pPr>
            <w:r>
              <w:t>冀财教[2025]147号/省级/义教/2026年校舍安全/北楼中学校舍维修改造</w:t>
            </w:r>
          </w:p>
        </w:tc>
      </w:tr>
      <w:tr w14:paraId="4A0C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9D5A5">
            <w:pPr>
              <w:pStyle w:val="10"/>
            </w:pPr>
            <w:r>
              <w:t>预算规模及资金用途</w:t>
            </w:r>
          </w:p>
        </w:tc>
        <w:tc>
          <w:tcPr>
            <w:tcW w:w="2268" w:type="dxa"/>
            <w:vAlign w:val="center"/>
          </w:tcPr>
          <w:p w14:paraId="3D1F6B7E">
            <w:pPr>
              <w:pStyle w:val="10"/>
            </w:pPr>
            <w:r>
              <w:t>预算数</w:t>
            </w:r>
          </w:p>
        </w:tc>
        <w:tc>
          <w:tcPr>
            <w:tcW w:w="2835" w:type="dxa"/>
            <w:vAlign w:val="center"/>
          </w:tcPr>
          <w:p w14:paraId="7EB77C20">
            <w:pPr>
              <w:pStyle w:val="12"/>
            </w:pPr>
            <w:r>
              <w:t>55.00</w:t>
            </w:r>
          </w:p>
        </w:tc>
        <w:tc>
          <w:tcPr>
            <w:tcW w:w="2835" w:type="dxa"/>
            <w:vAlign w:val="center"/>
          </w:tcPr>
          <w:p w14:paraId="053E5ED8">
            <w:pPr>
              <w:pStyle w:val="10"/>
            </w:pPr>
            <w:r>
              <w:t>其中：财政    资金</w:t>
            </w:r>
          </w:p>
        </w:tc>
        <w:tc>
          <w:tcPr>
            <w:tcW w:w="2551" w:type="dxa"/>
            <w:vAlign w:val="center"/>
          </w:tcPr>
          <w:p w14:paraId="39851BFE">
            <w:pPr>
              <w:pStyle w:val="12"/>
            </w:pPr>
            <w:r>
              <w:t>55.00</w:t>
            </w:r>
          </w:p>
        </w:tc>
        <w:tc>
          <w:tcPr>
            <w:tcW w:w="2268" w:type="dxa"/>
            <w:vAlign w:val="center"/>
          </w:tcPr>
          <w:p w14:paraId="5B3F7AA6">
            <w:pPr>
              <w:pStyle w:val="10"/>
            </w:pPr>
            <w:r>
              <w:t>其他资金</w:t>
            </w:r>
          </w:p>
        </w:tc>
        <w:tc>
          <w:tcPr>
            <w:tcW w:w="1276" w:type="dxa"/>
            <w:vAlign w:val="center"/>
          </w:tcPr>
          <w:p w14:paraId="4DF69E85">
            <w:pPr>
              <w:pStyle w:val="12"/>
            </w:pPr>
            <w:r>
              <w:t xml:space="preserve"> </w:t>
            </w:r>
          </w:p>
        </w:tc>
      </w:tr>
      <w:tr w14:paraId="172BD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BA28"/>
        </w:tc>
        <w:tc>
          <w:tcPr>
            <w:tcW w:w="14033" w:type="dxa"/>
            <w:gridSpan w:val="6"/>
            <w:vAlign w:val="center"/>
          </w:tcPr>
          <w:p w14:paraId="5068DC34">
            <w:pPr>
              <w:pStyle w:val="12"/>
            </w:pPr>
            <w:r>
              <w:t>改善就学条件，提升学校形象，保障义务教育阶段教学安全，改善师生教学环境，创造良好的校园环境。</w:t>
            </w:r>
          </w:p>
          <w:p w14:paraId="1289F321">
            <w:pPr>
              <w:pStyle w:val="12"/>
            </w:pPr>
            <w:r>
              <w:tab/>
            </w:r>
            <w:r>
              <w:tab/>
            </w:r>
            <w:r>
              <w:tab/>
            </w:r>
            <w:r>
              <w:tab/>
            </w:r>
            <w:r>
              <w:tab/>
            </w:r>
            <w:r>
              <w:tab/>
            </w:r>
          </w:p>
          <w:p w14:paraId="55438917">
            <w:pPr>
              <w:pStyle w:val="12"/>
            </w:pPr>
          </w:p>
        </w:tc>
      </w:tr>
      <w:tr w14:paraId="6A9B6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3A9C5">
            <w:pPr>
              <w:pStyle w:val="10"/>
            </w:pPr>
            <w:r>
              <w:t>资金支出计划（%）</w:t>
            </w:r>
          </w:p>
        </w:tc>
        <w:tc>
          <w:tcPr>
            <w:tcW w:w="5103" w:type="dxa"/>
            <w:gridSpan w:val="2"/>
            <w:vAlign w:val="center"/>
          </w:tcPr>
          <w:p w14:paraId="242F3402">
            <w:pPr>
              <w:pStyle w:val="10"/>
            </w:pPr>
            <w:r>
              <w:t>3月底</w:t>
            </w:r>
          </w:p>
        </w:tc>
        <w:tc>
          <w:tcPr>
            <w:tcW w:w="2835" w:type="dxa"/>
            <w:vAlign w:val="center"/>
          </w:tcPr>
          <w:p w14:paraId="5430EF8F">
            <w:pPr>
              <w:pStyle w:val="10"/>
            </w:pPr>
            <w:r>
              <w:t>6月底</w:t>
            </w:r>
          </w:p>
        </w:tc>
        <w:tc>
          <w:tcPr>
            <w:tcW w:w="2551" w:type="dxa"/>
            <w:vAlign w:val="center"/>
          </w:tcPr>
          <w:p w14:paraId="01B461B3">
            <w:pPr>
              <w:pStyle w:val="10"/>
            </w:pPr>
            <w:r>
              <w:t>10月底</w:t>
            </w:r>
          </w:p>
        </w:tc>
        <w:tc>
          <w:tcPr>
            <w:tcW w:w="3544" w:type="dxa"/>
            <w:gridSpan w:val="2"/>
            <w:vAlign w:val="center"/>
          </w:tcPr>
          <w:p w14:paraId="58A2F72D">
            <w:pPr>
              <w:pStyle w:val="10"/>
            </w:pPr>
            <w:r>
              <w:t>12月底</w:t>
            </w:r>
          </w:p>
        </w:tc>
      </w:tr>
      <w:tr w14:paraId="1D99F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C0A29"/>
        </w:tc>
        <w:tc>
          <w:tcPr>
            <w:tcW w:w="5103" w:type="dxa"/>
            <w:gridSpan w:val="2"/>
            <w:vAlign w:val="center"/>
          </w:tcPr>
          <w:p w14:paraId="2E02B8B5">
            <w:pPr>
              <w:pStyle w:val="13"/>
            </w:pPr>
            <w:r>
              <w:t xml:space="preserve"> </w:t>
            </w:r>
          </w:p>
        </w:tc>
        <w:tc>
          <w:tcPr>
            <w:tcW w:w="2835" w:type="dxa"/>
            <w:vAlign w:val="center"/>
          </w:tcPr>
          <w:p w14:paraId="128D0351">
            <w:pPr>
              <w:pStyle w:val="13"/>
            </w:pPr>
            <w:r>
              <w:t xml:space="preserve"> </w:t>
            </w:r>
          </w:p>
        </w:tc>
        <w:tc>
          <w:tcPr>
            <w:tcW w:w="2551" w:type="dxa"/>
            <w:vAlign w:val="center"/>
          </w:tcPr>
          <w:p w14:paraId="294B977C">
            <w:pPr>
              <w:pStyle w:val="13"/>
            </w:pPr>
            <w:r>
              <w:t>100%</w:t>
            </w:r>
          </w:p>
        </w:tc>
        <w:tc>
          <w:tcPr>
            <w:tcW w:w="3544" w:type="dxa"/>
            <w:gridSpan w:val="2"/>
            <w:vAlign w:val="center"/>
          </w:tcPr>
          <w:p w14:paraId="05972376">
            <w:pPr>
              <w:pStyle w:val="13"/>
            </w:pPr>
            <w:r>
              <w:t xml:space="preserve"> </w:t>
            </w:r>
          </w:p>
        </w:tc>
      </w:tr>
      <w:tr w14:paraId="7D4AC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87EE2">
            <w:pPr>
              <w:pStyle w:val="10"/>
            </w:pPr>
            <w:r>
              <w:t>绩效目标</w:t>
            </w:r>
          </w:p>
        </w:tc>
        <w:tc>
          <w:tcPr>
            <w:tcW w:w="14033" w:type="dxa"/>
            <w:gridSpan w:val="6"/>
            <w:vAlign w:val="center"/>
          </w:tcPr>
          <w:p w14:paraId="516DC743">
            <w:pPr>
              <w:pStyle w:val="12"/>
            </w:pPr>
            <w:r>
              <w:t>1.项目需资金55万元，资金拨付率达到100%。</w:t>
            </w:r>
          </w:p>
          <w:p w14:paraId="1BD75A94">
            <w:pPr>
              <w:pStyle w:val="12"/>
            </w:pPr>
            <w:r>
              <w:t>2.改善就学条件，提升学校形象，保障义务教育阶段教学安全，改善师生教学环境，创造良好的校园环境。</w:t>
            </w:r>
          </w:p>
          <w:p w14:paraId="55C7318B">
            <w:pPr>
              <w:pStyle w:val="12"/>
            </w:pPr>
          </w:p>
        </w:tc>
      </w:tr>
    </w:tbl>
    <w:p w14:paraId="3527D4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0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BB405">
            <w:pPr>
              <w:pStyle w:val="10"/>
            </w:pPr>
            <w:r>
              <w:t>一级指标</w:t>
            </w:r>
          </w:p>
        </w:tc>
        <w:tc>
          <w:tcPr>
            <w:tcW w:w="2268" w:type="dxa"/>
            <w:vAlign w:val="center"/>
          </w:tcPr>
          <w:p w14:paraId="2999F7F4">
            <w:pPr>
              <w:pStyle w:val="10"/>
            </w:pPr>
            <w:r>
              <w:t>二级指标</w:t>
            </w:r>
          </w:p>
        </w:tc>
        <w:tc>
          <w:tcPr>
            <w:tcW w:w="2835" w:type="dxa"/>
            <w:vAlign w:val="center"/>
          </w:tcPr>
          <w:p w14:paraId="4635F5F7">
            <w:pPr>
              <w:pStyle w:val="10"/>
            </w:pPr>
            <w:r>
              <w:t>三级指标</w:t>
            </w:r>
          </w:p>
        </w:tc>
        <w:tc>
          <w:tcPr>
            <w:tcW w:w="5386" w:type="dxa"/>
            <w:vAlign w:val="center"/>
          </w:tcPr>
          <w:p w14:paraId="0B8D08E3">
            <w:pPr>
              <w:pStyle w:val="10"/>
            </w:pPr>
            <w:r>
              <w:t>绩效指标描述</w:t>
            </w:r>
          </w:p>
        </w:tc>
        <w:tc>
          <w:tcPr>
            <w:tcW w:w="2268" w:type="dxa"/>
            <w:vAlign w:val="center"/>
          </w:tcPr>
          <w:p w14:paraId="50D9843A">
            <w:pPr>
              <w:pStyle w:val="10"/>
            </w:pPr>
            <w:r>
              <w:t>指标值</w:t>
            </w:r>
          </w:p>
        </w:tc>
        <w:tc>
          <w:tcPr>
            <w:tcW w:w="1276" w:type="dxa"/>
            <w:vAlign w:val="center"/>
          </w:tcPr>
          <w:p w14:paraId="3CAB9B5B">
            <w:pPr>
              <w:pStyle w:val="10"/>
            </w:pPr>
            <w:r>
              <w:t>指标值确定依据</w:t>
            </w:r>
          </w:p>
        </w:tc>
      </w:tr>
      <w:tr w14:paraId="5FB8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0EA1E">
            <w:pPr>
              <w:pStyle w:val="13"/>
            </w:pPr>
            <w:r>
              <w:t>产出指标</w:t>
            </w:r>
          </w:p>
        </w:tc>
        <w:tc>
          <w:tcPr>
            <w:tcW w:w="2268" w:type="dxa"/>
            <w:vAlign w:val="center"/>
          </w:tcPr>
          <w:p w14:paraId="11DF1342">
            <w:pPr>
              <w:pStyle w:val="12"/>
            </w:pPr>
            <w:r>
              <w:t>数量指标</w:t>
            </w:r>
          </w:p>
        </w:tc>
        <w:tc>
          <w:tcPr>
            <w:tcW w:w="2835" w:type="dxa"/>
            <w:vAlign w:val="center"/>
          </w:tcPr>
          <w:p w14:paraId="31E88CB0">
            <w:pPr>
              <w:pStyle w:val="12"/>
            </w:pPr>
            <w:r>
              <w:t>大门和门岗室改造</w:t>
            </w:r>
          </w:p>
        </w:tc>
        <w:tc>
          <w:tcPr>
            <w:tcW w:w="5386" w:type="dxa"/>
            <w:vAlign w:val="center"/>
          </w:tcPr>
          <w:p w14:paraId="236FC7A8">
            <w:pPr>
              <w:pStyle w:val="12"/>
            </w:pPr>
            <w:r>
              <w:t>维修大门和门岗室数量</w:t>
            </w:r>
          </w:p>
        </w:tc>
        <w:tc>
          <w:tcPr>
            <w:tcW w:w="2268" w:type="dxa"/>
            <w:vAlign w:val="center"/>
          </w:tcPr>
          <w:p w14:paraId="673DFB79">
            <w:pPr>
              <w:pStyle w:val="12"/>
            </w:pPr>
            <w:r>
              <w:t>1栋</w:t>
            </w:r>
          </w:p>
        </w:tc>
        <w:tc>
          <w:tcPr>
            <w:tcW w:w="1276" w:type="dxa"/>
            <w:vAlign w:val="center"/>
          </w:tcPr>
          <w:p w14:paraId="1D21EB6B">
            <w:pPr>
              <w:pStyle w:val="12"/>
            </w:pPr>
            <w:r>
              <w:t>项目规划</w:t>
            </w:r>
          </w:p>
        </w:tc>
      </w:tr>
      <w:tr w14:paraId="2D67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2C3F4"/>
        </w:tc>
        <w:tc>
          <w:tcPr>
            <w:tcW w:w="2268" w:type="dxa"/>
            <w:vAlign w:val="center"/>
          </w:tcPr>
          <w:p w14:paraId="2E9A1525">
            <w:pPr>
              <w:pStyle w:val="12"/>
            </w:pPr>
            <w:r>
              <w:t>数量指标</w:t>
            </w:r>
          </w:p>
        </w:tc>
        <w:tc>
          <w:tcPr>
            <w:tcW w:w="2835" w:type="dxa"/>
            <w:vAlign w:val="center"/>
          </w:tcPr>
          <w:p w14:paraId="41BE8A74">
            <w:pPr>
              <w:pStyle w:val="12"/>
            </w:pPr>
            <w:r>
              <w:t>平房防水</w:t>
            </w:r>
          </w:p>
        </w:tc>
        <w:tc>
          <w:tcPr>
            <w:tcW w:w="5386" w:type="dxa"/>
            <w:vAlign w:val="center"/>
          </w:tcPr>
          <w:p w14:paraId="3EE55190">
            <w:pPr>
              <w:pStyle w:val="12"/>
            </w:pPr>
            <w:r>
              <w:t>平房防水数量</w:t>
            </w:r>
          </w:p>
        </w:tc>
        <w:tc>
          <w:tcPr>
            <w:tcW w:w="2268" w:type="dxa"/>
            <w:vAlign w:val="center"/>
          </w:tcPr>
          <w:p w14:paraId="7F96A588">
            <w:pPr>
              <w:pStyle w:val="12"/>
            </w:pPr>
            <w:r>
              <w:t>1974平方米</w:t>
            </w:r>
          </w:p>
        </w:tc>
        <w:tc>
          <w:tcPr>
            <w:tcW w:w="1276" w:type="dxa"/>
            <w:vAlign w:val="center"/>
          </w:tcPr>
          <w:p w14:paraId="423A6457">
            <w:pPr>
              <w:pStyle w:val="12"/>
            </w:pPr>
            <w:r>
              <w:t>项目规划</w:t>
            </w:r>
          </w:p>
        </w:tc>
      </w:tr>
      <w:tr w14:paraId="224E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A9278"/>
        </w:tc>
        <w:tc>
          <w:tcPr>
            <w:tcW w:w="2268" w:type="dxa"/>
            <w:vAlign w:val="center"/>
          </w:tcPr>
          <w:p w14:paraId="5F16DF27">
            <w:pPr>
              <w:pStyle w:val="12"/>
            </w:pPr>
            <w:r>
              <w:t>数量指标</w:t>
            </w:r>
          </w:p>
        </w:tc>
        <w:tc>
          <w:tcPr>
            <w:tcW w:w="2835" w:type="dxa"/>
            <w:vAlign w:val="center"/>
          </w:tcPr>
          <w:p w14:paraId="231CD768">
            <w:pPr>
              <w:pStyle w:val="12"/>
            </w:pPr>
            <w:r>
              <w:t>沥青铺路硬化</w:t>
            </w:r>
          </w:p>
        </w:tc>
        <w:tc>
          <w:tcPr>
            <w:tcW w:w="5386" w:type="dxa"/>
            <w:vAlign w:val="center"/>
          </w:tcPr>
          <w:p w14:paraId="0FD7F296">
            <w:pPr>
              <w:pStyle w:val="12"/>
            </w:pPr>
            <w:r>
              <w:t>沥青铺路硬化数量</w:t>
            </w:r>
          </w:p>
        </w:tc>
        <w:tc>
          <w:tcPr>
            <w:tcW w:w="2268" w:type="dxa"/>
            <w:vAlign w:val="center"/>
          </w:tcPr>
          <w:p w14:paraId="6704433F">
            <w:pPr>
              <w:pStyle w:val="12"/>
            </w:pPr>
            <w:r>
              <w:t>988平方米</w:t>
            </w:r>
          </w:p>
        </w:tc>
        <w:tc>
          <w:tcPr>
            <w:tcW w:w="1276" w:type="dxa"/>
            <w:vAlign w:val="center"/>
          </w:tcPr>
          <w:p w14:paraId="3129E1A4">
            <w:pPr>
              <w:pStyle w:val="12"/>
            </w:pPr>
            <w:r>
              <w:t>项目规划</w:t>
            </w:r>
          </w:p>
        </w:tc>
      </w:tr>
      <w:tr w14:paraId="3AB6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4C11D"/>
        </w:tc>
        <w:tc>
          <w:tcPr>
            <w:tcW w:w="2268" w:type="dxa"/>
            <w:vAlign w:val="center"/>
          </w:tcPr>
          <w:p w14:paraId="45AE2CCB">
            <w:pPr>
              <w:pStyle w:val="12"/>
            </w:pPr>
            <w:r>
              <w:t>质量指标</w:t>
            </w:r>
          </w:p>
        </w:tc>
        <w:tc>
          <w:tcPr>
            <w:tcW w:w="2835" w:type="dxa"/>
            <w:vAlign w:val="center"/>
          </w:tcPr>
          <w:p w14:paraId="788D6DDC">
            <w:pPr>
              <w:pStyle w:val="12"/>
            </w:pPr>
            <w:r>
              <w:t>工程实施验收合格率</w:t>
            </w:r>
          </w:p>
        </w:tc>
        <w:tc>
          <w:tcPr>
            <w:tcW w:w="5386" w:type="dxa"/>
            <w:vAlign w:val="center"/>
          </w:tcPr>
          <w:p w14:paraId="377B9260">
            <w:pPr>
              <w:pStyle w:val="12"/>
            </w:pPr>
            <w:r>
              <w:t>申报程序的合规，项目实施及资金使用符合项目规划</w:t>
            </w:r>
          </w:p>
        </w:tc>
        <w:tc>
          <w:tcPr>
            <w:tcW w:w="2268" w:type="dxa"/>
            <w:vAlign w:val="center"/>
          </w:tcPr>
          <w:p w14:paraId="711E7B71">
            <w:pPr>
              <w:pStyle w:val="12"/>
            </w:pPr>
            <w:r>
              <w:t>100%</w:t>
            </w:r>
          </w:p>
        </w:tc>
        <w:tc>
          <w:tcPr>
            <w:tcW w:w="1276" w:type="dxa"/>
            <w:vAlign w:val="center"/>
          </w:tcPr>
          <w:p w14:paraId="70023F1F">
            <w:pPr>
              <w:pStyle w:val="12"/>
            </w:pPr>
            <w:r>
              <w:t>项目规划</w:t>
            </w:r>
          </w:p>
        </w:tc>
      </w:tr>
      <w:tr w14:paraId="5D302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B5C97"/>
        </w:tc>
        <w:tc>
          <w:tcPr>
            <w:tcW w:w="2268" w:type="dxa"/>
            <w:vAlign w:val="center"/>
          </w:tcPr>
          <w:p w14:paraId="56D7779B">
            <w:pPr>
              <w:pStyle w:val="12"/>
            </w:pPr>
            <w:r>
              <w:t>时效指标</w:t>
            </w:r>
          </w:p>
        </w:tc>
        <w:tc>
          <w:tcPr>
            <w:tcW w:w="2835" w:type="dxa"/>
            <w:vAlign w:val="center"/>
          </w:tcPr>
          <w:p w14:paraId="1861001C">
            <w:pPr>
              <w:pStyle w:val="12"/>
            </w:pPr>
            <w:r>
              <w:t>资金支付率</w:t>
            </w:r>
          </w:p>
        </w:tc>
        <w:tc>
          <w:tcPr>
            <w:tcW w:w="5386" w:type="dxa"/>
            <w:vAlign w:val="center"/>
          </w:tcPr>
          <w:p w14:paraId="22BBFA71">
            <w:pPr>
              <w:pStyle w:val="12"/>
            </w:pPr>
            <w:r>
              <w:t>按照序时进度完成资金支付</w:t>
            </w:r>
          </w:p>
        </w:tc>
        <w:tc>
          <w:tcPr>
            <w:tcW w:w="2268" w:type="dxa"/>
            <w:vAlign w:val="center"/>
          </w:tcPr>
          <w:p w14:paraId="2DE704D4">
            <w:pPr>
              <w:pStyle w:val="12"/>
            </w:pPr>
            <w:r>
              <w:t>100%</w:t>
            </w:r>
          </w:p>
        </w:tc>
        <w:tc>
          <w:tcPr>
            <w:tcW w:w="1276" w:type="dxa"/>
            <w:vAlign w:val="center"/>
          </w:tcPr>
          <w:p w14:paraId="733B4F0B">
            <w:pPr>
              <w:pStyle w:val="12"/>
            </w:pPr>
            <w:r>
              <w:t>项目规划</w:t>
            </w:r>
          </w:p>
        </w:tc>
      </w:tr>
      <w:tr w14:paraId="40DA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B29C1"/>
        </w:tc>
        <w:tc>
          <w:tcPr>
            <w:tcW w:w="2268" w:type="dxa"/>
            <w:vAlign w:val="center"/>
          </w:tcPr>
          <w:p w14:paraId="1FDCC00E">
            <w:pPr>
              <w:pStyle w:val="12"/>
            </w:pPr>
            <w:r>
              <w:t>成本指标</w:t>
            </w:r>
          </w:p>
        </w:tc>
        <w:tc>
          <w:tcPr>
            <w:tcW w:w="2835" w:type="dxa"/>
            <w:vAlign w:val="center"/>
          </w:tcPr>
          <w:p w14:paraId="270A3601">
            <w:pPr>
              <w:pStyle w:val="12"/>
            </w:pPr>
            <w:r>
              <w:t>项目成本控制情况</w:t>
            </w:r>
          </w:p>
        </w:tc>
        <w:tc>
          <w:tcPr>
            <w:tcW w:w="5386" w:type="dxa"/>
            <w:vAlign w:val="center"/>
          </w:tcPr>
          <w:p w14:paraId="58B6CA17">
            <w:pPr>
              <w:pStyle w:val="12"/>
            </w:pPr>
            <w:r>
              <w:t>严格按照招标价格及验收额进行</w:t>
            </w:r>
          </w:p>
        </w:tc>
        <w:tc>
          <w:tcPr>
            <w:tcW w:w="2268" w:type="dxa"/>
            <w:vAlign w:val="center"/>
          </w:tcPr>
          <w:p w14:paraId="4BFAAC29">
            <w:pPr>
              <w:pStyle w:val="12"/>
            </w:pPr>
            <w:r>
              <w:t>≤55万元</w:t>
            </w:r>
          </w:p>
        </w:tc>
        <w:tc>
          <w:tcPr>
            <w:tcW w:w="1276" w:type="dxa"/>
            <w:vAlign w:val="center"/>
          </w:tcPr>
          <w:p w14:paraId="590BA1BA">
            <w:pPr>
              <w:pStyle w:val="12"/>
            </w:pPr>
            <w:r>
              <w:t>项目规划</w:t>
            </w:r>
          </w:p>
        </w:tc>
      </w:tr>
      <w:tr w14:paraId="48FC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0C39F">
            <w:pPr>
              <w:pStyle w:val="13"/>
            </w:pPr>
            <w:r>
              <w:t>效益指标</w:t>
            </w:r>
          </w:p>
        </w:tc>
        <w:tc>
          <w:tcPr>
            <w:tcW w:w="2268" w:type="dxa"/>
            <w:vAlign w:val="center"/>
          </w:tcPr>
          <w:p w14:paraId="1FA0F561">
            <w:pPr>
              <w:pStyle w:val="12"/>
            </w:pPr>
            <w:r>
              <w:t>可持续影响指标</w:t>
            </w:r>
          </w:p>
        </w:tc>
        <w:tc>
          <w:tcPr>
            <w:tcW w:w="2835" w:type="dxa"/>
            <w:vAlign w:val="center"/>
          </w:tcPr>
          <w:p w14:paraId="644315A1">
            <w:pPr>
              <w:pStyle w:val="12"/>
            </w:pPr>
            <w:r>
              <w:t>学校运转得到提高</w:t>
            </w:r>
          </w:p>
        </w:tc>
        <w:tc>
          <w:tcPr>
            <w:tcW w:w="5386" w:type="dxa"/>
            <w:vAlign w:val="center"/>
          </w:tcPr>
          <w:p w14:paraId="02EE163F">
            <w:pPr>
              <w:pStyle w:val="12"/>
            </w:pPr>
            <w:r>
              <w:t>学生受教育年限</w:t>
            </w:r>
          </w:p>
        </w:tc>
        <w:tc>
          <w:tcPr>
            <w:tcW w:w="2268" w:type="dxa"/>
            <w:vAlign w:val="center"/>
          </w:tcPr>
          <w:p w14:paraId="59FB0D65">
            <w:pPr>
              <w:pStyle w:val="12"/>
            </w:pPr>
            <w:r>
              <w:t>3年</w:t>
            </w:r>
          </w:p>
        </w:tc>
        <w:tc>
          <w:tcPr>
            <w:tcW w:w="1276" w:type="dxa"/>
            <w:vAlign w:val="center"/>
          </w:tcPr>
          <w:p w14:paraId="196C6371">
            <w:pPr>
              <w:pStyle w:val="12"/>
            </w:pPr>
            <w:r>
              <w:t>项目规划</w:t>
            </w:r>
          </w:p>
        </w:tc>
      </w:tr>
      <w:tr w14:paraId="7E98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FC645">
            <w:pPr>
              <w:pStyle w:val="13"/>
            </w:pPr>
            <w:r>
              <w:t>满意度指标</w:t>
            </w:r>
          </w:p>
        </w:tc>
        <w:tc>
          <w:tcPr>
            <w:tcW w:w="2268" w:type="dxa"/>
            <w:vAlign w:val="center"/>
          </w:tcPr>
          <w:p w14:paraId="053D3C28">
            <w:pPr>
              <w:pStyle w:val="12"/>
            </w:pPr>
            <w:r>
              <w:t>服务对象满意度指标</w:t>
            </w:r>
          </w:p>
        </w:tc>
        <w:tc>
          <w:tcPr>
            <w:tcW w:w="2835" w:type="dxa"/>
            <w:vAlign w:val="center"/>
          </w:tcPr>
          <w:p w14:paraId="2779B0EB">
            <w:pPr>
              <w:pStyle w:val="12"/>
            </w:pPr>
            <w:r>
              <w:t>受益学生家长及调查满意度</w:t>
            </w:r>
          </w:p>
        </w:tc>
        <w:tc>
          <w:tcPr>
            <w:tcW w:w="5386" w:type="dxa"/>
            <w:vAlign w:val="center"/>
          </w:tcPr>
          <w:p w14:paraId="28B4D04E">
            <w:pPr>
              <w:pStyle w:val="12"/>
            </w:pPr>
            <w:r>
              <w:t>学生、教师及家长对学校教学环境满意度情况</w:t>
            </w:r>
          </w:p>
        </w:tc>
        <w:tc>
          <w:tcPr>
            <w:tcW w:w="2268" w:type="dxa"/>
            <w:vAlign w:val="center"/>
          </w:tcPr>
          <w:p w14:paraId="0FC71D5D">
            <w:pPr>
              <w:pStyle w:val="12"/>
            </w:pPr>
            <w:r>
              <w:t>≥98%</w:t>
            </w:r>
          </w:p>
        </w:tc>
        <w:tc>
          <w:tcPr>
            <w:tcW w:w="1276" w:type="dxa"/>
            <w:vAlign w:val="center"/>
          </w:tcPr>
          <w:p w14:paraId="49DF612B">
            <w:pPr>
              <w:pStyle w:val="12"/>
            </w:pPr>
            <w:r>
              <w:t>问卷调查</w:t>
            </w:r>
          </w:p>
        </w:tc>
      </w:tr>
    </w:tbl>
    <w:p w14:paraId="729D25B5">
      <w:pPr>
        <w:sectPr>
          <w:pgSz w:w="16840" w:h="11900" w:orient="landscape"/>
          <w:pgMar w:top="1361" w:right="1020" w:bottom="1134" w:left="1020" w:header="720" w:footer="720" w:gutter="0"/>
          <w:cols w:space="720" w:num="1"/>
        </w:sectPr>
      </w:pPr>
    </w:p>
    <w:p w14:paraId="2BE55BAB">
      <w:pPr>
        <w:spacing w:before="0" w:after="0"/>
        <w:ind w:firstLine="560"/>
        <w:jc w:val="left"/>
        <w:outlineLvl w:val="9"/>
      </w:pPr>
      <w:r>
        <w:rPr>
          <w:rFonts w:ascii="方正仿宋_GBK" w:hAnsi="方正仿宋_GBK" w:eastAsia="方正仿宋_GBK" w:cs="方正仿宋_GBK"/>
          <w:b/>
          <w:color w:val="000000"/>
          <w:sz w:val="28"/>
        </w:rPr>
        <w:t>5、冀财教[2025]148号/支持义务教育发展/北楼中学公用经费绩效目标表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C1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A7474">
            <w:pPr>
              <w:pStyle w:val="11"/>
            </w:pPr>
            <w:r>
              <w:t>单位：万元</w:t>
            </w:r>
          </w:p>
        </w:tc>
      </w:tr>
      <w:tr w14:paraId="6E825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3F420">
            <w:pPr>
              <w:pStyle w:val="10"/>
            </w:pPr>
            <w:r>
              <w:t>项目编码</w:t>
            </w:r>
          </w:p>
        </w:tc>
        <w:tc>
          <w:tcPr>
            <w:tcW w:w="5103" w:type="dxa"/>
            <w:gridSpan w:val="2"/>
            <w:vAlign w:val="center"/>
          </w:tcPr>
          <w:p w14:paraId="321E93A8">
            <w:pPr>
              <w:pStyle w:val="12"/>
            </w:pPr>
            <w:r>
              <w:t>13052526P00000210117H</w:t>
            </w:r>
          </w:p>
        </w:tc>
        <w:tc>
          <w:tcPr>
            <w:tcW w:w="2835" w:type="dxa"/>
            <w:vAlign w:val="center"/>
          </w:tcPr>
          <w:p w14:paraId="0C51EB1A">
            <w:pPr>
              <w:pStyle w:val="10"/>
            </w:pPr>
            <w:r>
              <w:t>项目名称</w:t>
            </w:r>
          </w:p>
        </w:tc>
        <w:tc>
          <w:tcPr>
            <w:tcW w:w="6095" w:type="dxa"/>
            <w:gridSpan w:val="3"/>
            <w:vAlign w:val="center"/>
          </w:tcPr>
          <w:p w14:paraId="4144653F">
            <w:pPr>
              <w:pStyle w:val="12"/>
            </w:pPr>
            <w:r>
              <w:t>冀财教[2025]148号/支持义务教育发展/北楼中学公用经费</w:t>
            </w:r>
          </w:p>
        </w:tc>
      </w:tr>
      <w:tr w14:paraId="16BE4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6719C">
            <w:pPr>
              <w:pStyle w:val="10"/>
            </w:pPr>
            <w:r>
              <w:t>预算规模及资金用途</w:t>
            </w:r>
          </w:p>
        </w:tc>
        <w:tc>
          <w:tcPr>
            <w:tcW w:w="2268" w:type="dxa"/>
            <w:vAlign w:val="center"/>
          </w:tcPr>
          <w:p w14:paraId="35199B0C">
            <w:pPr>
              <w:pStyle w:val="10"/>
            </w:pPr>
            <w:r>
              <w:t>预算数</w:t>
            </w:r>
          </w:p>
        </w:tc>
        <w:tc>
          <w:tcPr>
            <w:tcW w:w="2835" w:type="dxa"/>
            <w:vAlign w:val="center"/>
          </w:tcPr>
          <w:p w14:paraId="691AE91E">
            <w:pPr>
              <w:pStyle w:val="12"/>
            </w:pPr>
            <w:r>
              <w:t>12.50</w:t>
            </w:r>
          </w:p>
        </w:tc>
        <w:tc>
          <w:tcPr>
            <w:tcW w:w="2835" w:type="dxa"/>
            <w:vAlign w:val="center"/>
          </w:tcPr>
          <w:p w14:paraId="60ECACE3">
            <w:pPr>
              <w:pStyle w:val="10"/>
            </w:pPr>
            <w:r>
              <w:t>其中：财政    资金</w:t>
            </w:r>
          </w:p>
        </w:tc>
        <w:tc>
          <w:tcPr>
            <w:tcW w:w="2551" w:type="dxa"/>
            <w:vAlign w:val="center"/>
          </w:tcPr>
          <w:p w14:paraId="2FE69B6A">
            <w:pPr>
              <w:pStyle w:val="12"/>
            </w:pPr>
            <w:r>
              <w:t>12.50</w:t>
            </w:r>
          </w:p>
        </w:tc>
        <w:tc>
          <w:tcPr>
            <w:tcW w:w="2268" w:type="dxa"/>
            <w:vAlign w:val="center"/>
          </w:tcPr>
          <w:p w14:paraId="04866873">
            <w:pPr>
              <w:pStyle w:val="10"/>
            </w:pPr>
            <w:r>
              <w:t>其他资金</w:t>
            </w:r>
          </w:p>
        </w:tc>
        <w:tc>
          <w:tcPr>
            <w:tcW w:w="1276" w:type="dxa"/>
            <w:vAlign w:val="center"/>
          </w:tcPr>
          <w:p w14:paraId="1B97F68E">
            <w:pPr>
              <w:pStyle w:val="12"/>
            </w:pPr>
            <w:r>
              <w:t xml:space="preserve"> </w:t>
            </w:r>
          </w:p>
        </w:tc>
      </w:tr>
      <w:tr w14:paraId="4EF07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1F79D"/>
        </w:tc>
        <w:tc>
          <w:tcPr>
            <w:tcW w:w="14033" w:type="dxa"/>
            <w:gridSpan w:val="6"/>
            <w:vAlign w:val="center"/>
          </w:tcPr>
          <w:p w14:paraId="59ED3E6F">
            <w:pPr>
              <w:pStyle w:val="12"/>
            </w:pPr>
            <w:r>
              <w:t>"改善就学条件，提升学校形象，保障义务教育阶段教学安全，改善师生教学环境，创造良好的校园环境。</w:t>
            </w:r>
          </w:p>
          <w:p w14:paraId="0436DD5D">
            <w:pPr>
              <w:pStyle w:val="12"/>
            </w:pPr>
            <w:r>
              <w:t>"</w:t>
            </w:r>
            <w:r>
              <w:tab/>
            </w:r>
            <w:r>
              <w:tab/>
            </w:r>
            <w:r>
              <w:tab/>
            </w:r>
            <w:r>
              <w:tab/>
            </w:r>
            <w:r>
              <w:tab/>
            </w:r>
            <w:r>
              <w:tab/>
            </w:r>
          </w:p>
          <w:p w14:paraId="50DD8BB8">
            <w:pPr>
              <w:pStyle w:val="12"/>
            </w:pPr>
          </w:p>
        </w:tc>
      </w:tr>
      <w:tr w14:paraId="09629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05A59">
            <w:pPr>
              <w:pStyle w:val="10"/>
            </w:pPr>
            <w:r>
              <w:t>资金支出计划（%）</w:t>
            </w:r>
          </w:p>
        </w:tc>
        <w:tc>
          <w:tcPr>
            <w:tcW w:w="5103" w:type="dxa"/>
            <w:gridSpan w:val="2"/>
            <w:vAlign w:val="center"/>
          </w:tcPr>
          <w:p w14:paraId="08F0E399">
            <w:pPr>
              <w:pStyle w:val="10"/>
            </w:pPr>
            <w:r>
              <w:t>3月底</w:t>
            </w:r>
          </w:p>
        </w:tc>
        <w:tc>
          <w:tcPr>
            <w:tcW w:w="2835" w:type="dxa"/>
            <w:vAlign w:val="center"/>
          </w:tcPr>
          <w:p w14:paraId="5E40CCCD">
            <w:pPr>
              <w:pStyle w:val="10"/>
            </w:pPr>
            <w:r>
              <w:t>6月底</w:t>
            </w:r>
          </w:p>
        </w:tc>
        <w:tc>
          <w:tcPr>
            <w:tcW w:w="2551" w:type="dxa"/>
            <w:vAlign w:val="center"/>
          </w:tcPr>
          <w:p w14:paraId="07B46C25">
            <w:pPr>
              <w:pStyle w:val="10"/>
            </w:pPr>
            <w:r>
              <w:t>10月底</w:t>
            </w:r>
          </w:p>
        </w:tc>
        <w:tc>
          <w:tcPr>
            <w:tcW w:w="3544" w:type="dxa"/>
            <w:gridSpan w:val="2"/>
            <w:vAlign w:val="center"/>
          </w:tcPr>
          <w:p w14:paraId="25CD8F4C">
            <w:pPr>
              <w:pStyle w:val="10"/>
            </w:pPr>
            <w:r>
              <w:t>12月底</w:t>
            </w:r>
          </w:p>
        </w:tc>
      </w:tr>
      <w:tr w14:paraId="33951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F47CF"/>
        </w:tc>
        <w:tc>
          <w:tcPr>
            <w:tcW w:w="5103" w:type="dxa"/>
            <w:gridSpan w:val="2"/>
            <w:vAlign w:val="center"/>
          </w:tcPr>
          <w:p w14:paraId="1398A9AE">
            <w:pPr>
              <w:pStyle w:val="13"/>
            </w:pPr>
            <w:r>
              <w:t xml:space="preserve"> </w:t>
            </w:r>
          </w:p>
        </w:tc>
        <w:tc>
          <w:tcPr>
            <w:tcW w:w="2835" w:type="dxa"/>
            <w:vAlign w:val="center"/>
          </w:tcPr>
          <w:p w14:paraId="107D3BB8">
            <w:pPr>
              <w:pStyle w:val="13"/>
            </w:pPr>
            <w:r>
              <w:t>100%</w:t>
            </w:r>
          </w:p>
        </w:tc>
        <w:tc>
          <w:tcPr>
            <w:tcW w:w="2551" w:type="dxa"/>
            <w:vAlign w:val="center"/>
          </w:tcPr>
          <w:p w14:paraId="7F6776C8">
            <w:pPr>
              <w:pStyle w:val="13"/>
            </w:pPr>
            <w:r>
              <w:t>100%</w:t>
            </w:r>
          </w:p>
        </w:tc>
        <w:tc>
          <w:tcPr>
            <w:tcW w:w="3544" w:type="dxa"/>
            <w:gridSpan w:val="2"/>
            <w:vAlign w:val="center"/>
          </w:tcPr>
          <w:p w14:paraId="2196B036">
            <w:pPr>
              <w:pStyle w:val="13"/>
            </w:pPr>
            <w:r>
              <w:t>100%</w:t>
            </w:r>
          </w:p>
        </w:tc>
      </w:tr>
      <w:tr w14:paraId="1DFF6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BB514">
            <w:pPr>
              <w:pStyle w:val="10"/>
            </w:pPr>
            <w:r>
              <w:t>绩效目标</w:t>
            </w:r>
          </w:p>
        </w:tc>
        <w:tc>
          <w:tcPr>
            <w:tcW w:w="14033" w:type="dxa"/>
            <w:gridSpan w:val="6"/>
            <w:vAlign w:val="center"/>
          </w:tcPr>
          <w:p w14:paraId="13729B67">
            <w:pPr>
              <w:pStyle w:val="12"/>
            </w:pPr>
            <w:r>
              <w:t>1.项目需资金12.5万元，资金拨付率达到100%。</w:t>
            </w:r>
          </w:p>
          <w:p w14:paraId="663D1DD1">
            <w:pPr>
              <w:pStyle w:val="12"/>
            </w:pPr>
            <w:r>
              <w:t>2.改善就学条件，提升学校形象，保障义务教育阶段教学安全，改善师生教学环境，创造良好的校园环境。</w:t>
            </w:r>
          </w:p>
          <w:p w14:paraId="64D0B758">
            <w:pPr>
              <w:pStyle w:val="12"/>
            </w:pPr>
          </w:p>
        </w:tc>
      </w:tr>
    </w:tbl>
    <w:p w14:paraId="5DC10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3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DBC73">
            <w:pPr>
              <w:pStyle w:val="10"/>
            </w:pPr>
            <w:r>
              <w:t>一级指标</w:t>
            </w:r>
          </w:p>
        </w:tc>
        <w:tc>
          <w:tcPr>
            <w:tcW w:w="2268" w:type="dxa"/>
            <w:vAlign w:val="center"/>
          </w:tcPr>
          <w:p w14:paraId="6B7F5237">
            <w:pPr>
              <w:pStyle w:val="10"/>
            </w:pPr>
            <w:r>
              <w:t>二级指标</w:t>
            </w:r>
          </w:p>
        </w:tc>
        <w:tc>
          <w:tcPr>
            <w:tcW w:w="2835" w:type="dxa"/>
            <w:vAlign w:val="center"/>
          </w:tcPr>
          <w:p w14:paraId="4461ED2D">
            <w:pPr>
              <w:pStyle w:val="10"/>
            </w:pPr>
            <w:r>
              <w:t>三级指标</w:t>
            </w:r>
          </w:p>
        </w:tc>
        <w:tc>
          <w:tcPr>
            <w:tcW w:w="5386" w:type="dxa"/>
            <w:vAlign w:val="center"/>
          </w:tcPr>
          <w:p w14:paraId="4D367EA2">
            <w:pPr>
              <w:pStyle w:val="10"/>
            </w:pPr>
            <w:r>
              <w:t>绩效指标描述</w:t>
            </w:r>
          </w:p>
        </w:tc>
        <w:tc>
          <w:tcPr>
            <w:tcW w:w="2268" w:type="dxa"/>
            <w:vAlign w:val="center"/>
          </w:tcPr>
          <w:p w14:paraId="085626E4">
            <w:pPr>
              <w:pStyle w:val="10"/>
            </w:pPr>
            <w:r>
              <w:t>指标值</w:t>
            </w:r>
          </w:p>
        </w:tc>
        <w:tc>
          <w:tcPr>
            <w:tcW w:w="1276" w:type="dxa"/>
            <w:vAlign w:val="center"/>
          </w:tcPr>
          <w:p w14:paraId="5A2B0D5B">
            <w:pPr>
              <w:pStyle w:val="10"/>
            </w:pPr>
            <w:r>
              <w:t>指标值确定依据</w:t>
            </w:r>
          </w:p>
        </w:tc>
      </w:tr>
      <w:tr w14:paraId="75C9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04BB3">
            <w:pPr>
              <w:pStyle w:val="13"/>
            </w:pPr>
            <w:r>
              <w:t>产出指标</w:t>
            </w:r>
          </w:p>
        </w:tc>
        <w:tc>
          <w:tcPr>
            <w:tcW w:w="2268" w:type="dxa"/>
            <w:vAlign w:val="center"/>
          </w:tcPr>
          <w:p w14:paraId="11C74E36">
            <w:pPr>
              <w:pStyle w:val="12"/>
            </w:pPr>
            <w:r>
              <w:t>数量指标</w:t>
            </w:r>
          </w:p>
        </w:tc>
        <w:tc>
          <w:tcPr>
            <w:tcW w:w="2835" w:type="dxa"/>
            <w:vAlign w:val="center"/>
          </w:tcPr>
          <w:p w14:paraId="2B66CB0A">
            <w:pPr>
              <w:pStyle w:val="12"/>
            </w:pPr>
            <w:r>
              <w:t>防欺凌系统</w:t>
            </w:r>
          </w:p>
        </w:tc>
        <w:tc>
          <w:tcPr>
            <w:tcW w:w="5386" w:type="dxa"/>
            <w:vAlign w:val="center"/>
          </w:tcPr>
          <w:p w14:paraId="5DDA25CF">
            <w:pPr>
              <w:pStyle w:val="12"/>
            </w:pPr>
            <w:r>
              <w:t>防欺凌系统套数</w:t>
            </w:r>
          </w:p>
        </w:tc>
        <w:tc>
          <w:tcPr>
            <w:tcW w:w="2268" w:type="dxa"/>
            <w:vAlign w:val="center"/>
          </w:tcPr>
          <w:p w14:paraId="04AC1561">
            <w:pPr>
              <w:pStyle w:val="12"/>
            </w:pPr>
            <w:r>
              <w:t>1套</w:t>
            </w:r>
          </w:p>
        </w:tc>
        <w:tc>
          <w:tcPr>
            <w:tcW w:w="1276" w:type="dxa"/>
            <w:vAlign w:val="center"/>
          </w:tcPr>
          <w:p w14:paraId="1C9AAC54">
            <w:pPr>
              <w:pStyle w:val="12"/>
            </w:pPr>
            <w:r>
              <w:t>城乡义务教育公共经费</w:t>
            </w:r>
          </w:p>
        </w:tc>
      </w:tr>
      <w:tr w14:paraId="5553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A781C"/>
        </w:tc>
        <w:tc>
          <w:tcPr>
            <w:tcW w:w="2268" w:type="dxa"/>
            <w:vAlign w:val="center"/>
          </w:tcPr>
          <w:p w14:paraId="31C9D6FC">
            <w:pPr>
              <w:pStyle w:val="12"/>
            </w:pPr>
            <w:r>
              <w:t>质量指标</w:t>
            </w:r>
          </w:p>
        </w:tc>
        <w:tc>
          <w:tcPr>
            <w:tcW w:w="2835" w:type="dxa"/>
            <w:vAlign w:val="center"/>
          </w:tcPr>
          <w:p w14:paraId="3D21300C">
            <w:pPr>
              <w:pStyle w:val="12"/>
            </w:pPr>
            <w:r>
              <w:t>设备合格率</w:t>
            </w:r>
          </w:p>
        </w:tc>
        <w:tc>
          <w:tcPr>
            <w:tcW w:w="5386" w:type="dxa"/>
            <w:vAlign w:val="center"/>
          </w:tcPr>
          <w:p w14:paraId="6CB193BB">
            <w:pPr>
              <w:pStyle w:val="12"/>
            </w:pPr>
            <w:r>
              <w:t>设备合格率</w:t>
            </w:r>
          </w:p>
        </w:tc>
        <w:tc>
          <w:tcPr>
            <w:tcW w:w="2268" w:type="dxa"/>
            <w:vAlign w:val="center"/>
          </w:tcPr>
          <w:p w14:paraId="6F1083FD">
            <w:pPr>
              <w:pStyle w:val="12"/>
            </w:pPr>
            <w:r>
              <w:t>100%</w:t>
            </w:r>
          </w:p>
        </w:tc>
        <w:tc>
          <w:tcPr>
            <w:tcW w:w="1276" w:type="dxa"/>
            <w:vAlign w:val="center"/>
          </w:tcPr>
          <w:p w14:paraId="6062CE26">
            <w:pPr>
              <w:pStyle w:val="12"/>
            </w:pPr>
            <w:r>
              <w:t>城乡义务教育公共经费</w:t>
            </w:r>
          </w:p>
        </w:tc>
      </w:tr>
      <w:tr w14:paraId="07F3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B59E3"/>
        </w:tc>
        <w:tc>
          <w:tcPr>
            <w:tcW w:w="2268" w:type="dxa"/>
            <w:vAlign w:val="center"/>
          </w:tcPr>
          <w:p w14:paraId="5C47FF35">
            <w:pPr>
              <w:pStyle w:val="12"/>
            </w:pPr>
            <w:r>
              <w:t>时效指标</w:t>
            </w:r>
          </w:p>
        </w:tc>
        <w:tc>
          <w:tcPr>
            <w:tcW w:w="2835" w:type="dxa"/>
            <w:vAlign w:val="center"/>
          </w:tcPr>
          <w:p w14:paraId="3FE59F00">
            <w:pPr>
              <w:pStyle w:val="12"/>
            </w:pPr>
            <w:r>
              <w:t>资金支付率</w:t>
            </w:r>
          </w:p>
        </w:tc>
        <w:tc>
          <w:tcPr>
            <w:tcW w:w="5386" w:type="dxa"/>
            <w:vAlign w:val="center"/>
          </w:tcPr>
          <w:p w14:paraId="117A39B8">
            <w:pPr>
              <w:pStyle w:val="12"/>
            </w:pPr>
            <w:r>
              <w:t>按照序时进度完成资金支付</w:t>
            </w:r>
          </w:p>
        </w:tc>
        <w:tc>
          <w:tcPr>
            <w:tcW w:w="2268" w:type="dxa"/>
            <w:vAlign w:val="center"/>
          </w:tcPr>
          <w:p w14:paraId="764A9203">
            <w:pPr>
              <w:pStyle w:val="12"/>
            </w:pPr>
            <w:r>
              <w:t>100%</w:t>
            </w:r>
          </w:p>
        </w:tc>
        <w:tc>
          <w:tcPr>
            <w:tcW w:w="1276" w:type="dxa"/>
            <w:vAlign w:val="center"/>
          </w:tcPr>
          <w:p w14:paraId="764C6214">
            <w:pPr>
              <w:pStyle w:val="12"/>
            </w:pPr>
            <w:r>
              <w:t>城乡义务教育公共经费</w:t>
            </w:r>
          </w:p>
        </w:tc>
      </w:tr>
      <w:tr w14:paraId="3BF1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69B8"/>
        </w:tc>
        <w:tc>
          <w:tcPr>
            <w:tcW w:w="2268" w:type="dxa"/>
            <w:vAlign w:val="center"/>
          </w:tcPr>
          <w:p w14:paraId="2CA27F19">
            <w:pPr>
              <w:pStyle w:val="12"/>
            </w:pPr>
            <w:r>
              <w:t>成本指标</w:t>
            </w:r>
          </w:p>
        </w:tc>
        <w:tc>
          <w:tcPr>
            <w:tcW w:w="2835" w:type="dxa"/>
            <w:vAlign w:val="center"/>
          </w:tcPr>
          <w:p w14:paraId="1B80CFE8">
            <w:pPr>
              <w:pStyle w:val="12"/>
            </w:pPr>
            <w:r>
              <w:t>项目成本控制情况</w:t>
            </w:r>
          </w:p>
        </w:tc>
        <w:tc>
          <w:tcPr>
            <w:tcW w:w="5386" w:type="dxa"/>
            <w:vAlign w:val="center"/>
          </w:tcPr>
          <w:p w14:paraId="75A22584">
            <w:pPr>
              <w:pStyle w:val="12"/>
            </w:pPr>
            <w:r>
              <w:t>严格按照招标价格及审计额进行</w:t>
            </w:r>
          </w:p>
        </w:tc>
        <w:tc>
          <w:tcPr>
            <w:tcW w:w="2268" w:type="dxa"/>
            <w:vAlign w:val="center"/>
          </w:tcPr>
          <w:p w14:paraId="64359132">
            <w:pPr>
              <w:pStyle w:val="12"/>
            </w:pPr>
            <w:r>
              <w:t>≤12.5万元</w:t>
            </w:r>
          </w:p>
        </w:tc>
        <w:tc>
          <w:tcPr>
            <w:tcW w:w="1276" w:type="dxa"/>
            <w:vAlign w:val="center"/>
          </w:tcPr>
          <w:p w14:paraId="45DCA7DB">
            <w:pPr>
              <w:pStyle w:val="12"/>
            </w:pPr>
            <w:r>
              <w:t>城乡义务教育公共经费</w:t>
            </w:r>
          </w:p>
        </w:tc>
      </w:tr>
      <w:tr w14:paraId="7A96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D9711">
            <w:pPr>
              <w:pStyle w:val="13"/>
            </w:pPr>
            <w:r>
              <w:t>效益指标</w:t>
            </w:r>
          </w:p>
        </w:tc>
        <w:tc>
          <w:tcPr>
            <w:tcW w:w="2268" w:type="dxa"/>
            <w:vAlign w:val="center"/>
          </w:tcPr>
          <w:p w14:paraId="57117435">
            <w:pPr>
              <w:pStyle w:val="12"/>
            </w:pPr>
            <w:r>
              <w:t>可持续影响指标</w:t>
            </w:r>
          </w:p>
        </w:tc>
        <w:tc>
          <w:tcPr>
            <w:tcW w:w="2835" w:type="dxa"/>
            <w:vAlign w:val="center"/>
          </w:tcPr>
          <w:p w14:paraId="0DA8F519">
            <w:pPr>
              <w:pStyle w:val="12"/>
            </w:pPr>
            <w:r>
              <w:t>学校运转得到提高</w:t>
            </w:r>
          </w:p>
        </w:tc>
        <w:tc>
          <w:tcPr>
            <w:tcW w:w="5386" w:type="dxa"/>
            <w:vAlign w:val="center"/>
          </w:tcPr>
          <w:p w14:paraId="709EB931">
            <w:pPr>
              <w:pStyle w:val="12"/>
            </w:pPr>
            <w:r>
              <w:t>学生受教育年限</w:t>
            </w:r>
          </w:p>
        </w:tc>
        <w:tc>
          <w:tcPr>
            <w:tcW w:w="2268" w:type="dxa"/>
            <w:vAlign w:val="center"/>
          </w:tcPr>
          <w:p w14:paraId="67724001">
            <w:pPr>
              <w:pStyle w:val="12"/>
            </w:pPr>
            <w:r>
              <w:t>3年</w:t>
            </w:r>
          </w:p>
        </w:tc>
        <w:tc>
          <w:tcPr>
            <w:tcW w:w="1276" w:type="dxa"/>
            <w:vAlign w:val="center"/>
          </w:tcPr>
          <w:p w14:paraId="351F9095">
            <w:pPr>
              <w:pStyle w:val="12"/>
            </w:pPr>
            <w:r>
              <w:t>城乡义务教育公共经费</w:t>
            </w:r>
          </w:p>
        </w:tc>
      </w:tr>
      <w:tr w14:paraId="4B52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B5B4F">
            <w:pPr>
              <w:pStyle w:val="13"/>
            </w:pPr>
            <w:r>
              <w:t>满意度指标</w:t>
            </w:r>
          </w:p>
        </w:tc>
        <w:tc>
          <w:tcPr>
            <w:tcW w:w="2268" w:type="dxa"/>
            <w:vAlign w:val="center"/>
          </w:tcPr>
          <w:p w14:paraId="388B4218">
            <w:pPr>
              <w:pStyle w:val="12"/>
            </w:pPr>
            <w:r>
              <w:t>服务对象满意度指标</w:t>
            </w:r>
          </w:p>
        </w:tc>
        <w:tc>
          <w:tcPr>
            <w:tcW w:w="2835" w:type="dxa"/>
            <w:vAlign w:val="center"/>
          </w:tcPr>
          <w:p w14:paraId="7EF82F19">
            <w:pPr>
              <w:pStyle w:val="12"/>
            </w:pPr>
            <w:r>
              <w:t>受益学生家长及调查满意度</w:t>
            </w:r>
          </w:p>
        </w:tc>
        <w:tc>
          <w:tcPr>
            <w:tcW w:w="5386" w:type="dxa"/>
            <w:vAlign w:val="center"/>
          </w:tcPr>
          <w:p w14:paraId="56952E47">
            <w:pPr>
              <w:pStyle w:val="12"/>
            </w:pPr>
            <w:r>
              <w:t>学生、教师及家长对学校教学环境满意度情况</w:t>
            </w:r>
          </w:p>
        </w:tc>
        <w:tc>
          <w:tcPr>
            <w:tcW w:w="2268" w:type="dxa"/>
            <w:vAlign w:val="center"/>
          </w:tcPr>
          <w:p w14:paraId="2D139C0B">
            <w:pPr>
              <w:pStyle w:val="12"/>
            </w:pPr>
            <w:r>
              <w:t>≥98%</w:t>
            </w:r>
          </w:p>
        </w:tc>
        <w:tc>
          <w:tcPr>
            <w:tcW w:w="1276" w:type="dxa"/>
            <w:vAlign w:val="center"/>
          </w:tcPr>
          <w:p w14:paraId="2C676C58">
            <w:pPr>
              <w:pStyle w:val="12"/>
            </w:pPr>
            <w:r>
              <w:t>问卷调查</w:t>
            </w:r>
          </w:p>
        </w:tc>
      </w:tr>
    </w:tbl>
    <w:p w14:paraId="07ED8529">
      <w:pPr>
        <w:sectPr>
          <w:pgSz w:w="16840" w:h="11900" w:orient="landscape"/>
          <w:pgMar w:top="1361" w:right="1020" w:bottom="1134" w:left="1020" w:header="720" w:footer="720" w:gutter="0"/>
          <w:cols w:space="720" w:num="1"/>
        </w:sectPr>
      </w:pPr>
    </w:p>
    <w:p w14:paraId="605017FE">
      <w:pPr>
        <w:spacing w:before="0" w:after="0"/>
        <w:ind w:firstLine="560"/>
        <w:jc w:val="left"/>
        <w:outlineLvl w:val="9"/>
      </w:pPr>
      <w:r>
        <w:rPr>
          <w:rFonts w:ascii="方正仿宋_GBK" w:hAnsi="方正仿宋_GBK" w:eastAsia="方正仿宋_GBK" w:cs="方正仿宋_GBK"/>
          <w:b/>
          <w:color w:val="000000"/>
          <w:sz w:val="28"/>
        </w:rPr>
        <w:t>6、冀财教[2025]148号/支持义务教育发展/北楼中学微机室电脑购置绩效目标表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C5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B7A9C">
            <w:pPr>
              <w:pStyle w:val="11"/>
            </w:pPr>
            <w:r>
              <w:t>单位：万元</w:t>
            </w:r>
          </w:p>
        </w:tc>
      </w:tr>
      <w:tr w14:paraId="3AFD2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F9FA4">
            <w:pPr>
              <w:pStyle w:val="10"/>
            </w:pPr>
            <w:r>
              <w:t>项目编码</w:t>
            </w:r>
          </w:p>
        </w:tc>
        <w:tc>
          <w:tcPr>
            <w:tcW w:w="5103" w:type="dxa"/>
            <w:gridSpan w:val="2"/>
            <w:vAlign w:val="center"/>
          </w:tcPr>
          <w:p w14:paraId="65DD0836">
            <w:pPr>
              <w:pStyle w:val="12"/>
            </w:pPr>
            <w:r>
              <w:t>13052526P000002101185</w:t>
            </w:r>
          </w:p>
        </w:tc>
        <w:tc>
          <w:tcPr>
            <w:tcW w:w="2835" w:type="dxa"/>
            <w:vAlign w:val="center"/>
          </w:tcPr>
          <w:p w14:paraId="1BD7C820">
            <w:pPr>
              <w:pStyle w:val="10"/>
            </w:pPr>
            <w:r>
              <w:t>项目名称</w:t>
            </w:r>
          </w:p>
        </w:tc>
        <w:tc>
          <w:tcPr>
            <w:tcW w:w="6095" w:type="dxa"/>
            <w:gridSpan w:val="3"/>
            <w:vAlign w:val="center"/>
          </w:tcPr>
          <w:p w14:paraId="02888D9A">
            <w:pPr>
              <w:pStyle w:val="12"/>
            </w:pPr>
            <w:r>
              <w:t>冀财教[2025]148号/支持义务教育发展/北楼中学微机室电脑购置</w:t>
            </w:r>
          </w:p>
        </w:tc>
      </w:tr>
      <w:tr w14:paraId="620DA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79517">
            <w:pPr>
              <w:pStyle w:val="10"/>
            </w:pPr>
            <w:r>
              <w:t>预算规模及资金用途</w:t>
            </w:r>
          </w:p>
        </w:tc>
        <w:tc>
          <w:tcPr>
            <w:tcW w:w="2268" w:type="dxa"/>
            <w:vAlign w:val="center"/>
          </w:tcPr>
          <w:p w14:paraId="7322403D">
            <w:pPr>
              <w:pStyle w:val="10"/>
            </w:pPr>
            <w:r>
              <w:t>预算数</w:t>
            </w:r>
          </w:p>
        </w:tc>
        <w:tc>
          <w:tcPr>
            <w:tcW w:w="2835" w:type="dxa"/>
            <w:vAlign w:val="center"/>
          </w:tcPr>
          <w:p w14:paraId="1DAF14A7">
            <w:pPr>
              <w:pStyle w:val="12"/>
            </w:pPr>
            <w:r>
              <w:t>22.40</w:t>
            </w:r>
          </w:p>
        </w:tc>
        <w:tc>
          <w:tcPr>
            <w:tcW w:w="2835" w:type="dxa"/>
            <w:vAlign w:val="center"/>
          </w:tcPr>
          <w:p w14:paraId="7A7233F2">
            <w:pPr>
              <w:pStyle w:val="10"/>
            </w:pPr>
            <w:r>
              <w:t>其中：财政    资金</w:t>
            </w:r>
          </w:p>
        </w:tc>
        <w:tc>
          <w:tcPr>
            <w:tcW w:w="2551" w:type="dxa"/>
            <w:vAlign w:val="center"/>
          </w:tcPr>
          <w:p w14:paraId="5DE216BA">
            <w:pPr>
              <w:pStyle w:val="12"/>
            </w:pPr>
            <w:r>
              <w:t>22.40</w:t>
            </w:r>
          </w:p>
        </w:tc>
        <w:tc>
          <w:tcPr>
            <w:tcW w:w="2268" w:type="dxa"/>
            <w:vAlign w:val="center"/>
          </w:tcPr>
          <w:p w14:paraId="3404B90D">
            <w:pPr>
              <w:pStyle w:val="10"/>
            </w:pPr>
            <w:r>
              <w:t>其他资金</w:t>
            </w:r>
          </w:p>
        </w:tc>
        <w:tc>
          <w:tcPr>
            <w:tcW w:w="1276" w:type="dxa"/>
            <w:vAlign w:val="center"/>
          </w:tcPr>
          <w:p w14:paraId="603FDC40">
            <w:pPr>
              <w:pStyle w:val="12"/>
            </w:pPr>
            <w:r>
              <w:t xml:space="preserve"> </w:t>
            </w:r>
          </w:p>
        </w:tc>
      </w:tr>
      <w:tr w14:paraId="60F95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54946"/>
        </w:tc>
        <w:tc>
          <w:tcPr>
            <w:tcW w:w="14033" w:type="dxa"/>
            <w:gridSpan w:val="6"/>
            <w:vAlign w:val="center"/>
          </w:tcPr>
          <w:p w14:paraId="57F2F461">
            <w:pPr>
              <w:pStyle w:val="12"/>
            </w:pPr>
            <w:r>
              <w:t>"改善就学条件，提升学校形象，保障义务教育阶段教学安全，改善师生教学环境，创造良好的校园环境。</w:t>
            </w:r>
          </w:p>
          <w:p w14:paraId="276D17CE">
            <w:pPr>
              <w:pStyle w:val="12"/>
            </w:pPr>
            <w:r>
              <w:t>"</w:t>
            </w:r>
            <w:r>
              <w:tab/>
            </w:r>
            <w:r>
              <w:tab/>
            </w:r>
            <w:r>
              <w:tab/>
            </w:r>
            <w:r>
              <w:tab/>
            </w:r>
            <w:r>
              <w:tab/>
            </w:r>
            <w:r>
              <w:tab/>
            </w:r>
          </w:p>
          <w:p w14:paraId="3C4CAAB7">
            <w:pPr>
              <w:pStyle w:val="12"/>
            </w:pPr>
          </w:p>
        </w:tc>
      </w:tr>
      <w:tr w14:paraId="74FEA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B5B8B">
            <w:pPr>
              <w:pStyle w:val="10"/>
            </w:pPr>
            <w:r>
              <w:t>资金支出计划（%）</w:t>
            </w:r>
          </w:p>
        </w:tc>
        <w:tc>
          <w:tcPr>
            <w:tcW w:w="5103" w:type="dxa"/>
            <w:gridSpan w:val="2"/>
            <w:vAlign w:val="center"/>
          </w:tcPr>
          <w:p w14:paraId="68AAB97C">
            <w:pPr>
              <w:pStyle w:val="10"/>
            </w:pPr>
            <w:r>
              <w:t>3月底</w:t>
            </w:r>
          </w:p>
        </w:tc>
        <w:tc>
          <w:tcPr>
            <w:tcW w:w="2835" w:type="dxa"/>
            <w:vAlign w:val="center"/>
          </w:tcPr>
          <w:p w14:paraId="59B011E8">
            <w:pPr>
              <w:pStyle w:val="10"/>
            </w:pPr>
            <w:r>
              <w:t>6月底</w:t>
            </w:r>
          </w:p>
        </w:tc>
        <w:tc>
          <w:tcPr>
            <w:tcW w:w="2551" w:type="dxa"/>
            <w:vAlign w:val="center"/>
          </w:tcPr>
          <w:p w14:paraId="0AE1DEA1">
            <w:pPr>
              <w:pStyle w:val="10"/>
            </w:pPr>
            <w:r>
              <w:t>10月底</w:t>
            </w:r>
          </w:p>
        </w:tc>
        <w:tc>
          <w:tcPr>
            <w:tcW w:w="3544" w:type="dxa"/>
            <w:gridSpan w:val="2"/>
            <w:vAlign w:val="center"/>
          </w:tcPr>
          <w:p w14:paraId="31125870">
            <w:pPr>
              <w:pStyle w:val="10"/>
            </w:pPr>
            <w:r>
              <w:t>12月底</w:t>
            </w:r>
          </w:p>
        </w:tc>
      </w:tr>
      <w:tr w14:paraId="5AC45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366AC"/>
        </w:tc>
        <w:tc>
          <w:tcPr>
            <w:tcW w:w="5103" w:type="dxa"/>
            <w:gridSpan w:val="2"/>
            <w:vAlign w:val="center"/>
          </w:tcPr>
          <w:p w14:paraId="240A5CDC">
            <w:pPr>
              <w:pStyle w:val="13"/>
            </w:pPr>
            <w:r>
              <w:t xml:space="preserve"> </w:t>
            </w:r>
          </w:p>
        </w:tc>
        <w:tc>
          <w:tcPr>
            <w:tcW w:w="2835" w:type="dxa"/>
            <w:vAlign w:val="center"/>
          </w:tcPr>
          <w:p w14:paraId="0CFEF27C">
            <w:pPr>
              <w:pStyle w:val="13"/>
            </w:pPr>
            <w:r>
              <w:t xml:space="preserve"> </w:t>
            </w:r>
          </w:p>
        </w:tc>
        <w:tc>
          <w:tcPr>
            <w:tcW w:w="2551" w:type="dxa"/>
            <w:vAlign w:val="center"/>
          </w:tcPr>
          <w:p w14:paraId="04A61184">
            <w:pPr>
              <w:pStyle w:val="13"/>
            </w:pPr>
            <w:r>
              <w:t>100%</w:t>
            </w:r>
          </w:p>
        </w:tc>
        <w:tc>
          <w:tcPr>
            <w:tcW w:w="3544" w:type="dxa"/>
            <w:gridSpan w:val="2"/>
            <w:vAlign w:val="center"/>
          </w:tcPr>
          <w:p w14:paraId="1266A777">
            <w:pPr>
              <w:pStyle w:val="13"/>
            </w:pPr>
            <w:r>
              <w:t>100%</w:t>
            </w:r>
          </w:p>
        </w:tc>
      </w:tr>
      <w:tr w14:paraId="0B604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A7E9B">
            <w:pPr>
              <w:pStyle w:val="10"/>
            </w:pPr>
            <w:r>
              <w:t>绩效目标</w:t>
            </w:r>
          </w:p>
        </w:tc>
        <w:tc>
          <w:tcPr>
            <w:tcW w:w="14033" w:type="dxa"/>
            <w:gridSpan w:val="6"/>
            <w:vAlign w:val="center"/>
          </w:tcPr>
          <w:p w14:paraId="77B13CF0">
            <w:pPr>
              <w:pStyle w:val="12"/>
            </w:pPr>
            <w:r>
              <w:t>1.项目需资金22.4万元，资金拨付率达到100%。</w:t>
            </w:r>
          </w:p>
          <w:p w14:paraId="2568C9F6">
            <w:pPr>
              <w:pStyle w:val="12"/>
            </w:pPr>
            <w:r>
              <w:t>2.改善就学条件，提升学校形象，保障义务教育阶段教学安全，改善师生教学环境，创造良好的校园环境。</w:t>
            </w:r>
          </w:p>
          <w:p w14:paraId="5D04736A">
            <w:pPr>
              <w:pStyle w:val="12"/>
            </w:pPr>
          </w:p>
        </w:tc>
      </w:tr>
    </w:tbl>
    <w:p w14:paraId="101AB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2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E100F5">
            <w:pPr>
              <w:pStyle w:val="10"/>
            </w:pPr>
            <w:r>
              <w:t>一级指标</w:t>
            </w:r>
          </w:p>
        </w:tc>
        <w:tc>
          <w:tcPr>
            <w:tcW w:w="2268" w:type="dxa"/>
            <w:vAlign w:val="center"/>
          </w:tcPr>
          <w:p w14:paraId="1EAA94FE">
            <w:pPr>
              <w:pStyle w:val="10"/>
            </w:pPr>
            <w:r>
              <w:t>二级指标</w:t>
            </w:r>
          </w:p>
        </w:tc>
        <w:tc>
          <w:tcPr>
            <w:tcW w:w="2835" w:type="dxa"/>
            <w:vAlign w:val="center"/>
          </w:tcPr>
          <w:p w14:paraId="3412BC1D">
            <w:pPr>
              <w:pStyle w:val="10"/>
            </w:pPr>
            <w:r>
              <w:t>三级指标</w:t>
            </w:r>
          </w:p>
        </w:tc>
        <w:tc>
          <w:tcPr>
            <w:tcW w:w="5386" w:type="dxa"/>
            <w:vAlign w:val="center"/>
          </w:tcPr>
          <w:p w14:paraId="6C4D4934">
            <w:pPr>
              <w:pStyle w:val="10"/>
            </w:pPr>
            <w:r>
              <w:t>绩效指标描述</w:t>
            </w:r>
          </w:p>
        </w:tc>
        <w:tc>
          <w:tcPr>
            <w:tcW w:w="2268" w:type="dxa"/>
            <w:vAlign w:val="center"/>
          </w:tcPr>
          <w:p w14:paraId="3A2C2DC9">
            <w:pPr>
              <w:pStyle w:val="10"/>
            </w:pPr>
            <w:r>
              <w:t>指标值</w:t>
            </w:r>
          </w:p>
        </w:tc>
        <w:tc>
          <w:tcPr>
            <w:tcW w:w="1276" w:type="dxa"/>
            <w:vAlign w:val="center"/>
          </w:tcPr>
          <w:p w14:paraId="3D77BE20">
            <w:pPr>
              <w:pStyle w:val="10"/>
            </w:pPr>
            <w:r>
              <w:t>指标值确定依据</w:t>
            </w:r>
          </w:p>
        </w:tc>
      </w:tr>
      <w:tr w14:paraId="711E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F4FC4">
            <w:pPr>
              <w:pStyle w:val="13"/>
            </w:pPr>
            <w:r>
              <w:t>产出指标</w:t>
            </w:r>
          </w:p>
        </w:tc>
        <w:tc>
          <w:tcPr>
            <w:tcW w:w="2268" w:type="dxa"/>
            <w:vAlign w:val="center"/>
          </w:tcPr>
          <w:p w14:paraId="10370EA6">
            <w:pPr>
              <w:pStyle w:val="12"/>
            </w:pPr>
            <w:r>
              <w:t>数量指标</w:t>
            </w:r>
          </w:p>
        </w:tc>
        <w:tc>
          <w:tcPr>
            <w:tcW w:w="2835" w:type="dxa"/>
            <w:vAlign w:val="center"/>
          </w:tcPr>
          <w:p w14:paraId="3425F038">
            <w:pPr>
              <w:pStyle w:val="12"/>
            </w:pPr>
            <w:r>
              <w:t>微机室装备</w:t>
            </w:r>
          </w:p>
        </w:tc>
        <w:tc>
          <w:tcPr>
            <w:tcW w:w="5386" w:type="dxa"/>
            <w:vAlign w:val="center"/>
          </w:tcPr>
          <w:p w14:paraId="74A9DCA6">
            <w:pPr>
              <w:pStyle w:val="12"/>
            </w:pPr>
            <w:r>
              <w:t>微机室电脑台数</w:t>
            </w:r>
          </w:p>
        </w:tc>
        <w:tc>
          <w:tcPr>
            <w:tcW w:w="2268" w:type="dxa"/>
            <w:vAlign w:val="center"/>
          </w:tcPr>
          <w:p w14:paraId="4E99AFC1">
            <w:pPr>
              <w:pStyle w:val="12"/>
            </w:pPr>
            <w:r>
              <w:t>56套</w:t>
            </w:r>
          </w:p>
        </w:tc>
        <w:tc>
          <w:tcPr>
            <w:tcW w:w="1276" w:type="dxa"/>
            <w:vAlign w:val="center"/>
          </w:tcPr>
          <w:p w14:paraId="5D87C77C">
            <w:pPr>
              <w:pStyle w:val="12"/>
            </w:pPr>
            <w:r>
              <w:t>项目规划</w:t>
            </w:r>
          </w:p>
        </w:tc>
      </w:tr>
      <w:tr w14:paraId="5C0A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023E9"/>
        </w:tc>
        <w:tc>
          <w:tcPr>
            <w:tcW w:w="2268" w:type="dxa"/>
            <w:vAlign w:val="center"/>
          </w:tcPr>
          <w:p w14:paraId="02E576B4">
            <w:pPr>
              <w:pStyle w:val="12"/>
            </w:pPr>
            <w:r>
              <w:t>质量指标</w:t>
            </w:r>
          </w:p>
        </w:tc>
        <w:tc>
          <w:tcPr>
            <w:tcW w:w="2835" w:type="dxa"/>
            <w:vAlign w:val="center"/>
          </w:tcPr>
          <w:p w14:paraId="76EEDABC">
            <w:pPr>
              <w:pStyle w:val="12"/>
            </w:pPr>
            <w:r>
              <w:t>设备合格率</w:t>
            </w:r>
          </w:p>
        </w:tc>
        <w:tc>
          <w:tcPr>
            <w:tcW w:w="5386" w:type="dxa"/>
            <w:vAlign w:val="center"/>
          </w:tcPr>
          <w:p w14:paraId="0C017D52">
            <w:pPr>
              <w:pStyle w:val="12"/>
            </w:pPr>
            <w:r>
              <w:t>设备合格率</w:t>
            </w:r>
          </w:p>
        </w:tc>
        <w:tc>
          <w:tcPr>
            <w:tcW w:w="2268" w:type="dxa"/>
            <w:vAlign w:val="center"/>
          </w:tcPr>
          <w:p w14:paraId="54FAB7CF">
            <w:pPr>
              <w:pStyle w:val="12"/>
            </w:pPr>
            <w:r>
              <w:t>100%</w:t>
            </w:r>
          </w:p>
        </w:tc>
        <w:tc>
          <w:tcPr>
            <w:tcW w:w="1276" w:type="dxa"/>
            <w:vAlign w:val="center"/>
          </w:tcPr>
          <w:p w14:paraId="151B7A00">
            <w:pPr>
              <w:pStyle w:val="12"/>
            </w:pPr>
            <w:r>
              <w:t>项目规划</w:t>
            </w:r>
          </w:p>
        </w:tc>
      </w:tr>
      <w:tr w14:paraId="4D41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B68EA"/>
        </w:tc>
        <w:tc>
          <w:tcPr>
            <w:tcW w:w="2268" w:type="dxa"/>
            <w:vAlign w:val="center"/>
          </w:tcPr>
          <w:p w14:paraId="3A37A722">
            <w:pPr>
              <w:pStyle w:val="12"/>
            </w:pPr>
            <w:r>
              <w:t>时效指标</w:t>
            </w:r>
          </w:p>
        </w:tc>
        <w:tc>
          <w:tcPr>
            <w:tcW w:w="2835" w:type="dxa"/>
            <w:vAlign w:val="center"/>
          </w:tcPr>
          <w:p w14:paraId="37C3AA67">
            <w:pPr>
              <w:pStyle w:val="12"/>
            </w:pPr>
            <w:r>
              <w:t>资金支付率</w:t>
            </w:r>
          </w:p>
        </w:tc>
        <w:tc>
          <w:tcPr>
            <w:tcW w:w="5386" w:type="dxa"/>
            <w:vAlign w:val="center"/>
          </w:tcPr>
          <w:p w14:paraId="717E7048">
            <w:pPr>
              <w:pStyle w:val="12"/>
            </w:pPr>
            <w:r>
              <w:t>按照序时进度完成资金支付</w:t>
            </w:r>
          </w:p>
        </w:tc>
        <w:tc>
          <w:tcPr>
            <w:tcW w:w="2268" w:type="dxa"/>
            <w:vAlign w:val="center"/>
          </w:tcPr>
          <w:p w14:paraId="5E3750BE">
            <w:pPr>
              <w:pStyle w:val="12"/>
            </w:pPr>
            <w:r>
              <w:t>100%</w:t>
            </w:r>
          </w:p>
        </w:tc>
        <w:tc>
          <w:tcPr>
            <w:tcW w:w="1276" w:type="dxa"/>
            <w:vAlign w:val="center"/>
          </w:tcPr>
          <w:p w14:paraId="69808430">
            <w:pPr>
              <w:pStyle w:val="12"/>
            </w:pPr>
            <w:r>
              <w:t>项目规划</w:t>
            </w:r>
          </w:p>
        </w:tc>
      </w:tr>
      <w:tr w14:paraId="3761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5649A"/>
        </w:tc>
        <w:tc>
          <w:tcPr>
            <w:tcW w:w="2268" w:type="dxa"/>
            <w:vAlign w:val="center"/>
          </w:tcPr>
          <w:p w14:paraId="5F0F61A9">
            <w:pPr>
              <w:pStyle w:val="12"/>
            </w:pPr>
            <w:r>
              <w:t>成本指标</w:t>
            </w:r>
          </w:p>
        </w:tc>
        <w:tc>
          <w:tcPr>
            <w:tcW w:w="2835" w:type="dxa"/>
            <w:vAlign w:val="center"/>
          </w:tcPr>
          <w:p w14:paraId="036B2AD6">
            <w:pPr>
              <w:pStyle w:val="12"/>
            </w:pPr>
            <w:r>
              <w:t>项目成本控制情况</w:t>
            </w:r>
          </w:p>
        </w:tc>
        <w:tc>
          <w:tcPr>
            <w:tcW w:w="5386" w:type="dxa"/>
            <w:vAlign w:val="center"/>
          </w:tcPr>
          <w:p w14:paraId="7DADEF9C">
            <w:pPr>
              <w:pStyle w:val="12"/>
            </w:pPr>
            <w:r>
              <w:t>严格按照招标价格及审计额进行</w:t>
            </w:r>
          </w:p>
        </w:tc>
        <w:tc>
          <w:tcPr>
            <w:tcW w:w="2268" w:type="dxa"/>
            <w:vAlign w:val="center"/>
          </w:tcPr>
          <w:p w14:paraId="70638ECE">
            <w:pPr>
              <w:pStyle w:val="12"/>
            </w:pPr>
            <w:r>
              <w:t>≤22.4万元</w:t>
            </w:r>
          </w:p>
        </w:tc>
        <w:tc>
          <w:tcPr>
            <w:tcW w:w="1276" w:type="dxa"/>
            <w:vAlign w:val="center"/>
          </w:tcPr>
          <w:p w14:paraId="484DDE0A">
            <w:pPr>
              <w:pStyle w:val="12"/>
            </w:pPr>
            <w:r>
              <w:t>项目规划</w:t>
            </w:r>
          </w:p>
        </w:tc>
      </w:tr>
      <w:tr w14:paraId="4F7E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214E6">
            <w:pPr>
              <w:pStyle w:val="13"/>
            </w:pPr>
            <w:r>
              <w:t>效益指标</w:t>
            </w:r>
          </w:p>
        </w:tc>
        <w:tc>
          <w:tcPr>
            <w:tcW w:w="2268" w:type="dxa"/>
            <w:vAlign w:val="center"/>
          </w:tcPr>
          <w:p w14:paraId="760D41B2">
            <w:pPr>
              <w:pStyle w:val="12"/>
            </w:pPr>
            <w:r>
              <w:t>可持续影响指标</w:t>
            </w:r>
          </w:p>
        </w:tc>
        <w:tc>
          <w:tcPr>
            <w:tcW w:w="2835" w:type="dxa"/>
            <w:vAlign w:val="center"/>
          </w:tcPr>
          <w:p w14:paraId="4CDD777E">
            <w:pPr>
              <w:pStyle w:val="12"/>
            </w:pPr>
            <w:r>
              <w:t>学校运转得到提高</w:t>
            </w:r>
          </w:p>
        </w:tc>
        <w:tc>
          <w:tcPr>
            <w:tcW w:w="5386" w:type="dxa"/>
            <w:vAlign w:val="center"/>
          </w:tcPr>
          <w:p w14:paraId="57784FC1">
            <w:pPr>
              <w:pStyle w:val="12"/>
            </w:pPr>
            <w:r>
              <w:t>学生受教育年限</w:t>
            </w:r>
          </w:p>
        </w:tc>
        <w:tc>
          <w:tcPr>
            <w:tcW w:w="2268" w:type="dxa"/>
            <w:vAlign w:val="center"/>
          </w:tcPr>
          <w:p w14:paraId="4C465E5B">
            <w:pPr>
              <w:pStyle w:val="12"/>
            </w:pPr>
            <w:r>
              <w:t>3年</w:t>
            </w:r>
          </w:p>
        </w:tc>
        <w:tc>
          <w:tcPr>
            <w:tcW w:w="1276" w:type="dxa"/>
            <w:vAlign w:val="center"/>
          </w:tcPr>
          <w:p w14:paraId="61677CE6">
            <w:pPr>
              <w:pStyle w:val="12"/>
            </w:pPr>
            <w:r>
              <w:t>项目规划</w:t>
            </w:r>
          </w:p>
        </w:tc>
      </w:tr>
      <w:tr w14:paraId="6F7A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BB709">
            <w:pPr>
              <w:pStyle w:val="13"/>
            </w:pPr>
            <w:r>
              <w:t>满意度指标</w:t>
            </w:r>
          </w:p>
        </w:tc>
        <w:tc>
          <w:tcPr>
            <w:tcW w:w="2268" w:type="dxa"/>
            <w:vAlign w:val="center"/>
          </w:tcPr>
          <w:p w14:paraId="272A3FC2">
            <w:pPr>
              <w:pStyle w:val="12"/>
            </w:pPr>
            <w:r>
              <w:t>服务对象满意度指标</w:t>
            </w:r>
          </w:p>
        </w:tc>
        <w:tc>
          <w:tcPr>
            <w:tcW w:w="2835" w:type="dxa"/>
            <w:vAlign w:val="center"/>
          </w:tcPr>
          <w:p w14:paraId="42CC18DF">
            <w:pPr>
              <w:pStyle w:val="12"/>
            </w:pPr>
            <w:r>
              <w:t>受益学生家长及调查满意度</w:t>
            </w:r>
          </w:p>
        </w:tc>
        <w:tc>
          <w:tcPr>
            <w:tcW w:w="5386" w:type="dxa"/>
            <w:vAlign w:val="center"/>
          </w:tcPr>
          <w:p w14:paraId="61EE8C49">
            <w:pPr>
              <w:pStyle w:val="12"/>
            </w:pPr>
            <w:r>
              <w:t>学生、教师及家长对学校教学环境满意度情况</w:t>
            </w:r>
          </w:p>
        </w:tc>
        <w:tc>
          <w:tcPr>
            <w:tcW w:w="2268" w:type="dxa"/>
            <w:vAlign w:val="center"/>
          </w:tcPr>
          <w:p w14:paraId="7EB8015A">
            <w:pPr>
              <w:pStyle w:val="12"/>
            </w:pPr>
            <w:r>
              <w:t>≥98%</w:t>
            </w:r>
          </w:p>
        </w:tc>
        <w:tc>
          <w:tcPr>
            <w:tcW w:w="1276" w:type="dxa"/>
            <w:vAlign w:val="center"/>
          </w:tcPr>
          <w:p w14:paraId="2808B243">
            <w:pPr>
              <w:pStyle w:val="12"/>
            </w:pPr>
            <w:r>
              <w:t>问卷调查</w:t>
            </w:r>
          </w:p>
        </w:tc>
      </w:tr>
    </w:tbl>
    <w:p w14:paraId="74A704C4">
      <w:pPr>
        <w:sectPr>
          <w:pgSz w:w="16840" w:h="11900" w:orient="landscape"/>
          <w:pgMar w:top="1361" w:right="1020" w:bottom="1134" w:left="1020" w:header="720" w:footer="720" w:gutter="0"/>
          <w:cols w:space="720" w:num="1"/>
        </w:sectPr>
      </w:pPr>
    </w:p>
    <w:p w14:paraId="043E7B5D">
      <w:pPr>
        <w:spacing w:before="0" w:after="0"/>
        <w:ind w:firstLine="560"/>
        <w:jc w:val="left"/>
        <w:outlineLvl w:val="9"/>
      </w:pPr>
      <w:r>
        <w:rPr>
          <w:rFonts w:ascii="方正仿宋_GBK" w:hAnsi="方正仿宋_GBK" w:eastAsia="方正仿宋_GBK" w:cs="方正仿宋_GBK"/>
          <w:b/>
          <w:color w:val="000000"/>
          <w:sz w:val="28"/>
        </w:rPr>
        <w:t>7、县级配套/北楼中学公用经费绩效目标表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BD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D51C6">
            <w:pPr>
              <w:pStyle w:val="11"/>
            </w:pPr>
            <w:r>
              <w:t>单位：万元</w:t>
            </w:r>
          </w:p>
        </w:tc>
      </w:tr>
      <w:tr w14:paraId="4EB60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BA1C9">
            <w:pPr>
              <w:pStyle w:val="10"/>
            </w:pPr>
            <w:r>
              <w:t>项目编码</w:t>
            </w:r>
          </w:p>
        </w:tc>
        <w:tc>
          <w:tcPr>
            <w:tcW w:w="5103" w:type="dxa"/>
            <w:gridSpan w:val="2"/>
            <w:vAlign w:val="center"/>
          </w:tcPr>
          <w:p w14:paraId="27F3A7FF">
            <w:pPr>
              <w:pStyle w:val="12"/>
            </w:pPr>
            <w:r>
              <w:t>13052526P00000410413A</w:t>
            </w:r>
          </w:p>
        </w:tc>
        <w:tc>
          <w:tcPr>
            <w:tcW w:w="2835" w:type="dxa"/>
            <w:vAlign w:val="center"/>
          </w:tcPr>
          <w:p w14:paraId="5C7F3ADD">
            <w:pPr>
              <w:pStyle w:val="10"/>
            </w:pPr>
            <w:r>
              <w:t>项目名称</w:t>
            </w:r>
          </w:p>
        </w:tc>
        <w:tc>
          <w:tcPr>
            <w:tcW w:w="6095" w:type="dxa"/>
            <w:gridSpan w:val="3"/>
            <w:vAlign w:val="center"/>
          </w:tcPr>
          <w:p w14:paraId="5BDD4689">
            <w:pPr>
              <w:pStyle w:val="12"/>
            </w:pPr>
            <w:r>
              <w:t>县级配套/北楼中学公用经费</w:t>
            </w:r>
          </w:p>
        </w:tc>
      </w:tr>
      <w:tr w14:paraId="71E59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35B18">
            <w:pPr>
              <w:pStyle w:val="10"/>
            </w:pPr>
            <w:r>
              <w:t>预算规模及资金用途</w:t>
            </w:r>
          </w:p>
        </w:tc>
        <w:tc>
          <w:tcPr>
            <w:tcW w:w="2268" w:type="dxa"/>
            <w:vAlign w:val="center"/>
          </w:tcPr>
          <w:p w14:paraId="152EDA39">
            <w:pPr>
              <w:pStyle w:val="10"/>
            </w:pPr>
            <w:r>
              <w:t>预算数</w:t>
            </w:r>
          </w:p>
        </w:tc>
        <w:tc>
          <w:tcPr>
            <w:tcW w:w="2835" w:type="dxa"/>
            <w:vAlign w:val="center"/>
          </w:tcPr>
          <w:p w14:paraId="0100BC61">
            <w:pPr>
              <w:pStyle w:val="12"/>
            </w:pPr>
            <w:r>
              <w:t>13.82</w:t>
            </w:r>
          </w:p>
        </w:tc>
        <w:tc>
          <w:tcPr>
            <w:tcW w:w="2835" w:type="dxa"/>
            <w:vAlign w:val="center"/>
          </w:tcPr>
          <w:p w14:paraId="2C484B28">
            <w:pPr>
              <w:pStyle w:val="10"/>
            </w:pPr>
            <w:r>
              <w:t>其中：财政    资金</w:t>
            </w:r>
          </w:p>
        </w:tc>
        <w:tc>
          <w:tcPr>
            <w:tcW w:w="2551" w:type="dxa"/>
            <w:vAlign w:val="center"/>
          </w:tcPr>
          <w:p w14:paraId="6CE47243">
            <w:pPr>
              <w:pStyle w:val="12"/>
            </w:pPr>
            <w:r>
              <w:t>13.82</w:t>
            </w:r>
          </w:p>
        </w:tc>
        <w:tc>
          <w:tcPr>
            <w:tcW w:w="2268" w:type="dxa"/>
            <w:vAlign w:val="center"/>
          </w:tcPr>
          <w:p w14:paraId="2D1AC9A3">
            <w:pPr>
              <w:pStyle w:val="10"/>
            </w:pPr>
            <w:r>
              <w:t>其他资金</w:t>
            </w:r>
          </w:p>
        </w:tc>
        <w:tc>
          <w:tcPr>
            <w:tcW w:w="1276" w:type="dxa"/>
            <w:vAlign w:val="center"/>
          </w:tcPr>
          <w:p w14:paraId="45BFA191">
            <w:pPr>
              <w:pStyle w:val="12"/>
            </w:pPr>
            <w:r>
              <w:t xml:space="preserve"> </w:t>
            </w:r>
          </w:p>
        </w:tc>
      </w:tr>
      <w:tr w14:paraId="71C7E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1523F"/>
        </w:tc>
        <w:tc>
          <w:tcPr>
            <w:tcW w:w="14033" w:type="dxa"/>
            <w:gridSpan w:val="6"/>
            <w:vAlign w:val="center"/>
          </w:tcPr>
          <w:p w14:paraId="4616C950">
            <w:pPr>
              <w:pStyle w:val="12"/>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4FD1D4BF">
            <w:pPr>
              <w:pStyle w:val="12"/>
            </w:pPr>
          </w:p>
        </w:tc>
      </w:tr>
      <w:tr w14:paraId="6749E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BE33B">
            <w:pPr>
              <w:pStyle w:val="10"/>
            </w:pPr>
            <w:r>
              <w:t>资金支出计划（%）</w:t>
            </w:r>
          </w:p>
        </w:tc>
        <w:tc>
          <w:tcPr>
            <w:tcW w:w="5103" w:type="dxa"/>
            <w:gridSpan w:val="2"/>
            <w:vAlign w:val="center"/>
          </w:tcPr>
          <w:p w14:paraId="2AFE9D0B">
            <w:pPr>
              <w:pStyle w:val="10"/>
            </w:pPr>
            <w:r>
              <w:t>3月底</w:t>
            </w:r>
          </w:p>
        </w:tc>
        <w:tc>
          <w:tcPr>
            <w:tcW w:w="2835" w:type="dxa"/>
            <w:vAlign w:val="center"/>
          </w:tcPr>
          <w:p w14:paraId="0F496968">
            <w:pPr>
              <w:pStyle w:val="10"/>
            </w:pPr>
            <w:r>
              <w:t>6月底</w:t>
            </w:r>
          </w:p>
        </w:tc>
        <w:tc>
          <w:tcPr>
            <w:tcW w:w="2551" w:type="dxa"/>
            <w:vAlign w:val="center"/>
          </w:tcPr>
          <w:p w14:paraId="4162C6E8">
            <w:pPr>
              <w:pStyle w:val="10"/>
            </w:pPr>
            <w:r>
              <w:t>10月底</w:t>
            </w:r>
          </w:p>
        </w:tc>
        <w:tc>
          <w:tcPr>
            <w:tcW w:w="3544" w:type="dxa"/>
            <w:gridSpan w:val="2"/>
            <w:vAlign w:val="center"/>
          </w:tcPr>
          <w:p w14:paraId="26C5DAEF">
            <w:pPr>
              <w:pStyle w:val="10"/>
            </w:pPr>
            <w:r>
              <w:t>12月底</w:t>
            </w:r>
          </w:p>
        </w:tc>
      </w:tr>
      <w:tr w14:paraId="1E4FB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DDE53"/>
        </w:tc>
        <w:tc>
          <w:tcPr>
            <w:tcW w:w="5103" w:type="dxa"/>
            <w:gridSpan w:val="2"/>
            <w:vAlign w:val="center"/>
          </w:tcPr>
          <w:p w14:paraId="25C3697B">
            <w:pPr>
              <w:pStyle w:val="13"/>
            </w:pPr>
            <w:r>
              <w:t>25%</w:t>
            </w:r>
          </w:p>
        </w:tc>
        <w:tc>
          <w:tcPr>
            <w:tcW w:w="2835" w:type="dxa"/>
            <w:vAlign w:val="center"/>
          </w:tcPr>
          <w:p w14:paraId="42B3C174">
            <w:pPr>
              <w:pStyle w:val="13"/>
            </w:pPr>
            <w:r>
              <w:t>50%</w:t>
            </w:r>
          </w:p>
        </w:tc>
        <w:tc>
          <w:tcPr>
            <w:tcW w:w="2551" w:type="dxa"/>
            <w:vAlign w:val="center"/>
          </w:tcPr>
          <w:p w14:paraId="4A306411">
            <w:pPr>
              <w:pStyle w:val="13"/>
            </w:pPr>
            <w:r>
              <w:t>75%</w:t>
            </w:r>
          </w:p>
        </w:tc>
        <w:tc>
          <w:tcPr>
            <w:tcW w:w="3544" w:type="dxa"/>
            <w:gridSpan w:val="2"/>
            <w:vAlign w:val="center"/>
          </w:tcPr>
          <w:p w14:paraId="3AB4484D">
            <w:pPr>
              <w:pStyle w:val="13"/>
            </w:pPr>
            <w:r>
              <w:t>100%</w:t>
            </w:r>
          </w:p>
        </w:tc>
      </w:tr>
      <w:tr w14:paraId="6EF64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ED19D">
            <w:pPr>
              <w:pStyle w:val="10"/>
            </w:pPr>
            <w:r>
              <w:t>绩效目标</w:t>
            </w:r>
          </w:p>
        </w:tc>
        <w:tc>
          <w:tcPr>
            <w:tcW w:w="14033" w:type="dxa"/>
            <w:gridSpan w:val="6"/>
            <w:vAlign w:val="center"/>
          </w:tcPr>
          <w:p w14:paraId="0AE24360">
            <w:pPr>
              <w:pStyle w:val="12"/>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6B6037E2">
            <w:pPr>
              <w:pStyle w:val="12"/>
            </w:pPr>
            <w:r>
              <w:t>2.按规定拨付公用经费资金138240元，资金拨付率达到100%。</w:t>
            </w:r>
          </w:p>
        </w:tc>
      </w:tr>
    </w:tbl>
    <w:p w14:paraId="3AE4A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1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709B3">
            <w:pPr>
              <w:pStyle w:val="10"/>
            </w:pPr>
            <w:r>
              <w:t>一级指标</w:t>
            </w:r>
          </w:p>
        </w:tc>
        <w:tc>
          <w:tcPr>
            <w:tcW w:w="2268" w:type="dxa"/>
            <w:vAlign w:val="center"/>
          </w:tcPr>
          <w:p w14:paraId="0B275F0E">
            <w:pPr>
              <w:pStyle w:val="10"/>
            </w:pPr>
            <w:r>
              <w:t>二级指标</w:t>
            </w:r>
          </w:p>
        </w:tc>
        <w:tc>
          <w:tcPr>
            <w:tcW w:w="2835" w:type="dxa"/>
            <w:vAlign w:val="center"/>
          </w:tcPr>
          <w:p w14:paraId="590FB1EA">
            <w:pPr>
              <w:pStyle w:val="10"/>
            </w:pPr>
            <w:r>
              <w:t>三级指标</w:t>
            </w:r>
          </w:p>
        </w:tc>
        <w:tc>
          <w:tcPr>
            <w:tcW w:w="5386" w:type="dxa"/>
            <w:vAlign w:val="center"/>
          </w:tcPr>
          <w:p w14:paraId="6A1C823E">
            <w:pPr>
              <w:pStyle w:val="10"/>
            </w:pPr>
            <w:r>
              <w:t>绩效指标描述</w:t>
            </w:r>
          </w:p>
        </w:tc>
        <w:tc>
          <w:tcPr>
            <w:tcW w:w="2268" w:type="dxa"/>
            <w:vAlign w:val="center"/>
          </w:tcPr>
          <w:p w14:paraId="1EFDBF1E">
            <w:pPr>
              <w:pStyle w:val="10"/>
            </w:pPr>
            <w:r>
              <w:t>指标值</w:t>
            </w:r>
          </w:p>
        </w:tc>
        <w:tc>
          <w:tcPr>
            <w:tcW w:w="1276" w:type="dxa"/>
            <w:vAlign w:val="center"/>
          </w:tcPr>
          <w:p w14:paraId="23B9094E">
            <w:pPr>
              <w:pStyle w:val="10"/>
            </w:pPr>
            <w:r>
              <w:t>指标值确定依据</w:t>
            </w:r>
          </w:p>
        </w:tc>
      </w:tr>
      <w:tr w14:paraId="4DA31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A396F">
            <w:pPr>
              <w:pStyle w:val="13"/>
            </w:pPr>
            <w:r>
              <w:t>产出指标</w:t>
            </w:r>
          </w:p>
        </w:tc>
        <w:tc>
          <w:tcPr>
            <w:tcW w:w="2268" w:type="dxa"/>
            <w:vAlign w:val="center"/>
          </w:tcPr>
          <w:p w14:paraId="1854E672">
            <w:pPr>
              <w:pStyle w:val="12"/>
            </w:pPr>
            <w:r>
              <w:t>数量指标</w:t>
            </w:r>
          </w:p>
        </w:tc>
        <w:tc>
          <w:tcPr>
            <w:tcW w:w="2835" w:type="dxa"/>
            <w:vAlign w:val="center"/>
          </w:tcPr>
          <w:p w14:paraId="5FD4769A">
            <w:pPr>
              <w:pStyle w:val="12"/>
            </w:pPr>
            <w:r>
              <w:t>适龄在校生</w:t>
            </w:r>
          </w:p>
        </w:tc>
        <w:tc>
          <w:tcPr>
            <w:tcW w:w="5386" w:type="dxa"/>
            <w:vAlign w:val="center"/>
          </w:tcPr>
          <w:p w14:paraId="7A94A06E">
            <w:pPr>
              <w:pStyle w:val="12"/>
            </w:pPr>
            <w:r>
              <w:t>适龄在校就读学生人数</w:t>
            </w:r>
          </w:p>
        </w:tc>
        <w:tc>
          <w:tcPr>
            <w:tcW w:w="2268" w:type="dxa"/>
            <w:vAlign w:val="center"/>
          </w:tcPr>
          <w:p w14:paraId="1BFFBE66">
            <w:pPr>
              <w:pStyle w:val="12"/>
            </w:pPr>
            <w:r>
              <w:t>956人</w:t>
            </w:r>
          </w:p>
        </w:tc>
        <w:tc>
          <w:tcPr>
            <w:tcW w:w="1276" w:type="dxa"/>
            <w:vAlign w:val="center"/>
          </w:tcPr>
          <w:p w14:paraId="5A34009B">
            <w:pPr>
              <w:pStyle w:val="12"/>
            </w:pPr>
            <w:r>
              <w:t>城乡义务教育公用经费管理办法</w:t>
            </w:r>
          </w:p>
        </w:tc>
      </w:tr>
      <w:tr w14:paraId="1DE2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651A1"/>
        </w:tc>
        <w:tc>
          <w:tcPr>
            <w:tcW w:w="2268" w:type="dxa"/>
            <w:vAlign w:val="center"/>
          </w:tcPr>
          <w:p w14:paraId="4BFF91EC">
            <w:pPr>
              <w:pStyle w:val="12"/>
            </w:pPr>
            <w:r>
              <w:t>质量指标</w:t>
            </w:r>
          </w:p>
        </w:tc>
        <w:tc>
          <w:tcPr>
            <w:tcW w:w="2835" w:type="dxa"/>
            <w:vAlign w:val="center"/>
          </w:tcPr>
          <w:p w14:paraId="2C72A6E3">
            <w:pPr>
              <w:pStyle w:val="12"/>
            </w:pPr>
            <w:r>
              <w:t>预算控制率</w:t>
            </w:r>
          </w:p>
        </w:tc>
        <w:tc>
          <w:tcPr>
            <w:tcW w:w="5386" w:type="dxa"/>
            <w:vAlign w:val="center"/>
          </w:tcPr>
          <w:p w14:paraId="04999CDA">
            <w:pPr>
              <w:pStyle w:val="12"/>
            </w:pPr>
            <w:r>
              <w:t>预算执行率</w:t>
            </w:r>
          </w:p>
        </w:tc>
        <w:tc>
          <w:tcPr>
            <w:tcW w:w="2268" w:type="dxa"/>
            <w:vAlign w:val="center"/>
          </w:tcPr>
          <w:p w14:paraId="47B9A414">
            <w:pPr>
              <w:pStyle w:val="12"/>
            </w:pPr>
            <w:r>
              <w:t>≥95%</w:t>
            </w:r>
          </w:p>
        </w:tc>
        <w:tc>
          <w:tcPr>
            <w:tcW w:w="1276" w:type="dxa"/>
            <w:vAlign w:val="center"/>
          </w:tcPr>
          <w:p w14:paraId="4A2F22B4">
            <w:pPr>
              <w:pStyle w:val="12"/>
            </w:pPr>
            <w:r>
              <w:t>城乡义务教育公用经费管理办法</w:t>
            </w:r>
          </w:p>
        </w:tc>
      </w:tr>
      <w:tr w14:paraId="15F2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A3372"/>
        </w:tc>
        <w:tc>
          <w:tcPr>
            <w:tcW w:w="2268" w:type="dxa"/>
            <w:vAlign w:val="center"/>
          </w:tcPr>
          <w:p w14:paraId="77423210">
            <w:pPr>
              <w:pStyle w:val="12"/>
            </w:pPr>
            <w:r>
              <w:t>时效指标</w:t>
            </w:r>
          </w:p>
        </w:tc>
        <w:tc>
          <w:tcPr>
            <w:tcW w:w="2835" w:type="dxa"/>
            <w:vAlign w:val="center"/>
          </w:tcPr>
          <w:p w14:paraId="73F81DAD">
            <w:pPr>
              <w:pStyle w:val="12"/>
            </w:pPr>
            <w:r>
              <w:t>资金支付率</w:t>
            </w:r>
          </w:p>
        </w:tc>
        <w:tc>
          <w:tcPr>
            <w:tcW w:w="5386" w:type="dxa"/>
            <w:vAlign w:val="center"/>
          </w:tcPr>
          <w:p w14:paraId="26625359">
            <w:pPr>
              <w:pStyle w:val="12"/>
            </w:pPr>
            <w:r>
              <w:t>按照序时进度完成资金支付</w:t>
            </w:r>
          </w:p>
        </w:tc>
        <w:tc>
          <w:tcPr>
            <w:tcW w:w="2268" w:type="dxa"/>
            <w:vAlign w:val="center"/>
          </w:tcPr>
          <w:p w14:paraId="151BD982">
            <w:pPr>
              <w:pStyle w:val="12"/>
            </w:pPr>
            <w:r>
              <w:t>100%</w:t>
            </w:r>
          </w:p>
        </w:tc>
        <w:tc>
          <w:tcPr>
            <w:tcW w:w="1276" w:type="dxa"/>
            <w:vAlign w:val="center"/>
          </w:tcPr>
          <w:p w14:paraId="45A065E9">
            <w:pPr>
              <w:pStyle w:val="12"/>
            </w:pPr>
            <w:r>
              <w:t>城乡义务教育公用经费管理办法</w:t>
            </w:r>
          </w:p>
        </w:tc>
      </w:tr>
      <w:tr w14:paraId="4A7D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653B4"/>
        </w:tc>
        <w:tc>
          <w:tcPr>
            <w:tcW w:w="2268" w:type="dxa"/>
            <w:vAlign w:val="center"/>
          </w:tcPr>
          <w:p w14:paraId="016333D1">
            <w:pPr>
              <w:pStyle w:val="12"/>
            </w:pPr>
            <w:r>
              <w:t>成本指标</w:t>
            </w:r>
          </w:p>
        </w:tc>
        <w:tc>
          <w:tcPr>
            <w:tcW w:w="2835" w:type="dxa"/>
            <w:vAlign w:val="center"/>
          </w:tcPr>
          <w:p w14:paraId="72FD18C8">
            <w:pPr>
              <w:pStyle w:val="12"/>
            </w:pPr>
            <w:r>
              <w:t>生均拨款标准</w:t>
            </w:r>
          </w:p>
        </w:tc>
        <w:tc>
          <w:tcPr>
            <w:tcW w:w="5386" w:type="dxa"/>
            <w:vAlign w:val="center"/>
          </w:tcPr>
          <w:p w14:paraId="374CF378">
            <w:pPr>
              <w:pStyle w:val="12"/>
            </w:pPr>
            <w:r>
              <w:t>初中：（基本标准940元、寄宿生300元、取暖费120元）/生/学年；随班就读学生：标准7000元/生/学年）</w:t>
            </w:r>
          </w:p>
        </w:tc>
        <w:tc>
          <w:tcPr>
            <w:tcW w:w="2268" w:type="dxa"/>
            <w:vAlign w:val="center"/>
          </w:tcPr>
          <w:p w14:paraId="0316EC98">
            <w:pPr>
              <w:pStyle w:val="12"/>
            </w:pPr>
            <w:r>
              <w:t>1360元</w:t>
            </w:r>
          </w:p>
        </w:tc>
        <w:tc>
          <w:tcPr>
            <w:tcW w:w="1276" w:type="dxa"/>
            <w:vAlign w:val="center"/>
          </w:tcPr>
          <w:p w14:paraId="243FE820">
            <w:pPr>
              <w:pStyle w:val="12"/>
            </w:pPr>
            <w:r>
              <w:t>城乡义务教育公用经费管理办法</w:t>
            </w:r>
          </w:p>
        </w:tc>
      </w:tr>
      <w:tr w14:paraId="0E88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5A59A">
            <w:pPr>
              <w:pStyle w:val="13"/>
            </w:pPr>
            <w:r>
              <w:t>效益指标</w:t>
            </w:r>
          </w:p>
        </w:tc>
        <w:tc>
          <w:tcPr>
            <w:tcW w:w="2268" w:type="dxa"/>
            <w:vAlign w:val="center"/>
          </w:tcPr>
          <w:p w14:paraId="3BEC2215">
            <w:pPr>
              <w:pStyle w:val="12"/>
            </w:pPr>
            <w:r>
              <w:t>可持续影响指标</w:t>
            </w:r>
          </w:p>
        </w:tc>
        <w:tc>
          <w:tcPr>
            <w:tcW w:w="2835" w:type="dxa"/>
            <w:vAlign w:val="center"/>
          </w:tcPr>
          <w:p w14:paraId="2D97DC99">
            <w:pPr>
              <w:pStyle w:val="12"/>
            </w:pPr>
            <w:r>
              <w:t>学校日常运转正常</w:t>
            </w:r>
          </w:p>
        </w:tc>
        <w:tc>
          <w:tcPr>
            <w:tcW w:w="5386" w:type="dxa"/>
            <w:vAlign w:val="center"/>
          </w:tcPr>
          <w:p w14:paraId="2ACA4B45">
            <w:pPr>
              <w:pStyle w:val="12"/>
            </w:pPr>
            <w:r>
              <w:t>学生受教育年限</w:t>
            </w:r>
          </w:p>
        </w:tc>
        <w:tc>
          <w:tcPr>
            <w:tcW w:w="2268" w:type="dxa"/>
            <w:vAlign w:val="center"/>
          </w:tcPr>
          <w:p w14:paraId="6B4BD120">
            <w:pPr>
              <w:pStyle w:val="12"/>
            </w:pPr>
            <w:r>
              <w:t>3年</w:t>
            </w:r>
          </w:p>
        </w:tc>
        <w:tc>
          <w:tcPr>
            <w:tcW w:w="1276" w:type="dxa"/>
            <w:vAlign w:val="center"/>
          </w:tcPr>
          <w:p w14:paraId="667A50F3">
            <w:pPr>
              <w:pStyle w:val="12"/>
            </w:pPr>
            <w:r>
              <w:t>城乡义务教育公用经费管理办法</w:t>
            </w:r>
          </w:p>
        </w:tc>
      </w:tr>
      <w:tr w14:paraId="1015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AB102">
            <w:pPr>
              <w:pStyle w:val="13"/>
            </w:pPr>
            <w:r>
              <w:t>满意度指标</w:t>
            </w:r>
          </w:p>
        </w:tc>
        <w:tc>
          <w:tcPr>
            <w:tcW w:w="2268" w:type="dxa"/>
            <w:vAlign w:val="center"/>
          </w:tcPr>
          <w:p w14:paraId="41A3BDFC">
            <w:pPr>
              <w:pStyle w:val="12"/>
            </w:pPr>
            <w:r>
              <w:t>服务对象满意度指标</w:t>
            </w:r>
          </w:p>
        </w:tc>
        <w:tc>
          <w:tcPr>
            <w:tcW w:w="2835" w:type="dxa"/>
            <w:vAlign w:val="center"/>
          </w:tcPr>
          <w:p w14:paraId="22E66DBD">
            <w:pPr>
              <w:pStyle w:val="12"/>
            </w:pPr>
            <w:r>
              <w:t>受益学生家长及调查满意度</w:t>
            </w:r>
          </w:p>
        </w:tc>
        <w:tc>
          <w:tcPr>
            <w:tcW w:w="5386" w:type="dxa"/>
            <w:vAlign w:val="center"/>
          </w:tcPr>
          <w:p w14:paraId="6E09B101">
            <w:pPr>
              <w:pStyle w:val="12"/>
            </w:pPr>
            <w:r>
              <w:t>学生、教师及家长对学校教育教学工作满意度情况</w:t>
            </w:r>
          </w:p>
        </w:tc>
        <w:tc>
          <w:tcPr>
            <w:tcW w:w="2268" w:type="dxa"/>
            <w:vAlign w:val="center"/>
          </w:tcPr>
          <w:p w14:paraId="797FD307">
            <w:pPr>
              <w:pStyle w:val="12"/>
            </w:pPr>
            <w:r>
              <w:t>≥95%</w:t>
            </w:r>
          </w:p>
        </w:tc>
        <w:tc>
          <w:tcPr>
            <w:tcW w:w="1276" w:type="dxa"/>
            <w:vAlign w:val="center"/>
          </w:tcPr>
          <w:p w14:paraId="6C425469">
            <w:pPr>
              <w:pStyle w:val="12"/>
            </w:pPr>
            <w:r>
              <w:t>问卷调查</w:t>
            </w:r>
          </w:p>
        </w:tc>
      </w:tr>
    </w:tbl>
    <w:p w14:paraId="52B73C33">
      <w:pPr>
        <w:sectPr>
          <w:pgSz w:w="16840" w:h="11900" w:orient="landscape"/>
          <w:pgMar w:top="1361" w:right="1020" w:bottom="1134" w:left="1020" w:header="720" w:footer="720" w:gutter="0"/>
          <w:cols w:space="720" w:num="1"/>
        </w:sectPr>
      </w:pPr>
    </w:p>
    <w:p w14:paraId="58D9C600">
      <w:pPr>
        <w:spacing w:before="10" w:after="10" w:line="240" w:lineRule="auto"/>
        <w:ind w:firstLine="640"/>
        <w:jc w:val="left"/>
        <w:outlineLvl w:val="5"/>
      </w:pPr>
      <w:r>
        <w:rPr>
          <w:rFonts w:ascii="黑体" w:hAnsi="黑体" w:eastAsia="黑体" w:cs="黑体"/>
          <w:color w:val="000000"/>
          <w:sz w:val="32"/>
        </w:rPr>
        <w:t>六、政府采购预算情况</w:t>
      </w:r>
    </w:p>
    <w:p w14:paraId="7D39E00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FB7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0CB83A">
            <w:pPr>
              <w:pStyle w:val="9"/>
            </w:pPr>
            <w:r>
              <w:t>360031隆尧县北楼中学</w:t>
            </w:r>
          </w:p>
        </w:tc>
        <w:tc>
          <w:tcPr>
            <w:tcW w:w="8676" w:type="dxa"/>
            <w:gridSpan w:val="9"/>
            <w:tcBorders>
              <w:top w:val="single" w:color="FFFFFF" w:sz="6" w:space="0"/>
              <w:left w:val="single" w:color="FFFFFF" w:sz="6" w:space="0"/>
              <w:right w:val="single" w:color="FFFFFF" w:sz="6" w:space="0"/>
            </w:tcBorders>
            <w:vAlign w:val="center"/>
          </w:tcPr>
          <w:p w14:paraId="218084DF">
            <w:pPr>
              <w:pStyle w:val="21"/>
            </w:pPr>
            <w:r>
              <w:t>单位：万元</w:t>
            </w:r>
          </w:p>
        </w:tc>
      </w:tr>
      <w:tr w14:paraId="6CFA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7DCF271">
            <w:pPr>
              <w:pStyle w:val="10"/>
            </w:pPr>
            <w:r>
              <w:t>政府采购项目来源</w:t>
            </w:r>
          </w:p>
        </w:tc>
        <w:tc>
          <w:tcPr>
            <w:tcW w:w="1134" w:type="dxa"/>
            <w:vMerge w:val="restart"/>
            <w:vAlign w:val="center"/>
          </w:tcPr>
          <w:p w14:paraId="71A74C43">
            <w:pPr>
              <w:pStyle w:val="10"/>
            </w:pPr>
            <w:r>
              <w:t>采购物品名称</w:t>
            </w:r>
          </w:p>
        </w:tc>
        <w:tc>
          <w:tcPr>
            <w:tcW w:w="1134" w:type="dxa"/>
            <w:vMerge w:val="restart"/>
            <w:vAlign w:val="center"/>
          </w:tcPr>
          <w:p w14:paraId="7876F912">
            <w:pPr>
              <w:pStyle w:val="10"/>
            </w:pPr>
            <w:r>
              <w:t>政府采购目录序号</w:t>
            </w:r>
          </w:p>
        </w:tc>
        <w:tc>
          <w:tcPr>
            <w:tcW w:w="709" w:type="dxa"/>
            <w:vMerge w:val="restart"/>
            <w:vAlign w:val="center"/>
          </w:tcPr>
          <w:p w14:paraId="78BE955B">
            <w:pPr>
              <w:pStyle w:val="10"/>
            </w:pPr>
            <w:r>
              <w:t>计量  单位</w:t>
            </w:r>
          </w:p>
        </w:tc>
        <w:tc>
          <w:tcPr>
            <w:tcW w:w="850" w:type="dxa"/>
            <w:vMerge w:val="restart"/>
            <w:vAlign w:val="center"/>
          </w:tcPr>
          <w:p w14:paraId="1A88E092">
            <w:pPr>
              <w:pStyle w:val="10"/>
            </w:pPr>
            <w:r>
              <w:t>数量</w:t>
            </w:r>
          </w:p>
        </w:tc>
        <w:tc>
          <w:tcPr>
            <w:tcW w:w="850" w:type="dxa"/>
            <w:vMerge w:val="restart"/>
            <w:vAlign w:val="center"/>
          </w:tcPr>
          <w:p w14:paraId="44209205">
            <w:pPr>
              <w:pStyle w:val="10"/>
            </w:pPr>
            <w:r>
              <w:t>单价</w:t>
            </w:r>
          </w:p>
        </w:tc>
        <w:tc>
          <w:tcPr>
            <w:tcW w:w="7712" w:type="dxa"/>
            <w:gridSpan w:val="8"/>
            <w:vAlign w:val="center"/>
          </w:tcPr>
          <w:p w14:paraId="3817F149">
            <w:pPr>
              <w:pStyle w:val="10"/>
            </w:pPr>
            <w:r>
              <w:t>政府采购金额（当年部门预算安排资金）</w:t>
            </w:r>
          </w:p>
        </w:tc>
        <w:tc>
          <w:tcPr>
            <w:tcW w:w="964" w:type="dxa"/>
            <w:vMerge w:val="restart"/>
            <w:vAlign w:val="center"/>
          </w:tcPr>
          <w:p w14:paraId="78555B1B">
            <w:pPr>
              <w:pStyle w:val="10"/>
            </w:pPr>
            <w:r>
              <w:t>2026年  预留中  小微企  业份额</w:t>
            </w:r>
          </w:p>
        </w:tc>
      </w:tr>
      <w:tr w14:paraId="1CA5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F96505">
            <w:pPr>
              <w:pStyle w:val="10"/>
            </w:pPr>
            <w:r>
              <w:t>项目名称</w:t>
            </w:r>
          </w:p>
        </w:tc>
        <w:tc>
          <w:tcPr>
            <w:tcW w:w="964" w:type="dxa"/>
            <w:vAlign w:val="center"/>
          </w:tcPr>
          <w:p w14:paraId="19095570">
            <w:pPr>
              <w:pStyle w:val="10"/>
            </w:pPr>
            <w:r>
              <w:t>预算    资金</w:t>
            </w:r>
          </w:p>
        </w:tc>
        <w:tc>
          <w:tcPr>
            <w:tcW w:w="1134" w:type="dxa"/>
            <w:vMerge w:val="continue"/>
          </w:tcPr>
          <w:p w14:paraId="47615503"/>
        </w:tc>
        <w:tc>
          <w:tcPr>
            <w:tcW w:w="1134" w:type="dxa"/>
            <w:vMerge w:val="continue"/>
          </w:tcPr>
          <w:p w14:paraId="543E308C"/>
        </w:tc>
        <w:tc>
          <w:tcPr>
            <w:tcW w:w="709" w:type="dxa"/>
            <w:vMerge w:val="continue"/>
          </w:tcPr>
          <w:p w14:paraId="697D7025"/>
        </w:tc>
        <w:tc>
          <w:tcPr>
            <w:tcW w:w="850" w:type="dxa"/>
            <w:vMerge w:val="continue"/>
          </w:tcPr>
          <w:p w14:paraId="75BA2040"/>
        </w:tc>
        <w:tc>
          <w:tcPr>
            <w:tcW w:w="850" w:type="dxa"/>
            <w:vMerge w:val="continue"/>
          </w:tcPr>
          <w:p w14:paraId="0E6BEBF9"/>
        </w:tc>
        <w:tc>
          <w:tcPr>
            <w:tcW w:w="964" w:type="dxa"/>
            <w:vAlign w:val="center"/>
          </w:tcPr>
          <w:p w14:paraId="69B51995">
            <w:pPr>
              <w:pStyle w:val="10"/>
            </w:pPr>
            <w:r>
              <w:t>合计</w:t>
            </w:r>
          </w:p>
        </w:tc>
        <w:tc>
          <w:tcPr>
            <w:tcW w:w="964" w:type="dxa"/>
            <w:vAlign w:val="center"/>
          </w:tcPr>
          <w:p w14:paraId="7AB697CC">
            <w:pPr>
              <w:pStyle w:val="10"/>
            </w:pPr>
            <w:r>
              <w:t>一般公共预算拨款</w:t>
            </w:r>
          </w:p>
        </w:tc>
        <w:tc>
          <w:tcPr>
            <w:tcW w:w="964" w:type="dxa"/>
            <w:vAlign w:val="center"/>
          </w:tcPr>
          <w:p w14:paraId="73E911A5">
            <w:pPr>
              <w:pStyle w:val="10"/>
            </w:pPr>
            <w:r>
              <w:t>基金预算拨款</w:t>
            </w:r>
          </w:p>
        </w:tc>
        <w:tc>
          <w:tcPr>
            <w:tcW w:w="964" w:type="dxa"/>
            <w:vAlign w:val="center"/>
          </w:tcPr>
          <w:p w14:paraId="35C69B7A">
            <w:pPr>
              <w:pStyle w:val="10"/>
            </w:pPr>
            <w:r>
              <w:t>国有资本经营预算拨款</w:t>
            </w:r>
          </w:p>
        </w:tc>
        <w:tc>
          <w:tcPr>
            <w:tcW w:w="964" w:type="dxa"/>
            <w:vAlign w:val="center"/>
          </w:tcPr>
          <w:p w14:paraId="5635DFE2">
            <w:pPr>
              <w:pStyle w:val="10"/>
            </w:pPr>
            <w:r>
              <w:t>财政专户核拨</w:t>
            </w:r>
          </w:p>
        </w:tc>
        <w:tc>
          <w:tcPr>
            <w:tcW w:w="964" w:type="dxa"/>
            <w:vAlign w:val="center"/>
          </w:tcPr>
          <w:p w14:paraId="5C67710E">
            <w:pPr>
              <w:pStyle w:val="10"/>
            </w:pPr>
            <w:r>
              <w:t>单位    资金</w:t>
            </w:r>
          </w:p>
        </w:tc>
        <w:tc>
          <w:tcPr>
            <w:tcW w:w="964" w:type="dxa"/>
            <w:vAlign w:val="center"/>
          </w:tcPr>
          <w:p w14:paraId="6CAE81F8">
            <w:pPr>
              <w:pStyle w:val="10"/>
            </w:pPr>
            <w:r>
              <w:t>财政拨款结转</w:t>
            </w:r>
          </w:p>
        </w:tc>
        <w:tc>
          <w:tcPr>
            <w:tcW w:w="964" w:type="dxa"/>
            <w:vAlign w:val="center"/>
          </w:tcPr>
          <w:p w14:paraId="0019817F">
            <w:pPr>
              <w:pStyle w:val="10"/>
            </w:pPr>
            <w:r>
              <w:t>非财政拨款结余</w:t>
            </w:r>
          </w:p>
        </w:tc>
        <w:tc>
          <w:tcPr>
            <w:tcW w:w="964" w:type="dxa"/>
            <w:vMerge w:val="continue"/>
          </w:tcPr>
          <w:p w14:paraId="51D256F6"/>
        </w:tc>
      </w:tr>
      <w:tr w14:paraId="2A0A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C1BD93">
            <w:pPr>
              <w:pStyle w:val="14"/>
            </w:pPr>
            <w:r>
              <w:t>合  计</w:t>
            </w:r>
          </w:p>
        </w:tc>
        <w:tc>
          <w:tcPr>
            <w:tcW w:w="964" w:type="dxa"/>
            <w:vAlign w:val="center"/>
          </w:tcPr>
          <w:p w14:paraId="1E2E3982">
            <w:pPr>
              <w:pStyle w:val="15"/>
            </w:pPr>
          </w:p>
        </w:tc>
        <w:tc>
          <w:tcPr>
            <w:tcW w:w="1134" w:type="dxa"/>
            <w:vAlign w:val="center"/>
          </w:tcPr>
          <w:p w14:paraId="39D4BF18">
            <w:pPr>
              <w:pStyle w:val="16"/>
            </w:pPr>
          </w:p>
        </w:tc>
        <w:tc>
          <w:tcPr>
            <w:tcW w:w="1134" w:type="dxa"/>
            <w:vAlign w:val="center"/>
          </w:tcPr>
          <w:p w14:paraId="3AD97C51">
            <w:pPr>
              <w:pStyle w:val="16"/>
            </w:pPr>
          </w:p>
        </w:tc>
        <w:tc>
          <w:tcPr>
            <w:tcW w:w="709" w:type="dxa"/>
            <w:vAlign w:val="center"/>
          </w:tcPr>
          <w:p w14:paraId="7290D1B1">
            <w:pPr>
              <w:pStyle w:val="14"/>
            </w:pPr>
          </w:p>
        </w:tc>
        <w:tc>
          <w:tcPr>
            <w:tcW w:w="850" w:type="dxa"/>
            <w:vAlign w:val="center"/>
          </w:tcPr>
          <w:p w14:paraId="596967A7">
            <w:pPr>
              <w:pStyle w:val="15"/>
            </w:pPr>
          </w:p>
        </w:tc>
        <w:tc>
          <w:tcPr>
            <w:tcW w:w="850" w:type="dxa"/>
            <w:vAlign w:val="center"/>
          </w:tcPr>
          <w:p w14:paraId="1ABA54DF">
            <w:pPr>
              <w:pStyle w:val="15"/>
            </w:pPr>
          </w:p>
        </w:tc>
        <w:tc>
          <w:tcPr>
            <w:tcW w:w="964" w:type="dxa"/>
            <w:vAlign w:val="center"/>
          </w:tcPr>
          <w:p w14:paraId="1860A517">
            <w:pPr>
              <w:pStyle w:val="15"/>
            </w:pPr>
            <w:r>
              <w:t>22.40</w:t>
            </w:r>
          </w:p>
        </w:tc>
        <w:tc>
          <w:tcPr>
            <w:tcW w:w="964" w:type="dxa"/>
            <w:vAlign w:val="center"/>
          </w:tcPr>
          <w:p w14:paraId="4FE663FC">
            <w:pPr>
              <w:pStyle w:val="15"/>
            </w:pPr>
            <w:r>
              <w:t>22.40</w:t>
            </w:r>
          </w:p>
        </w:tc>
        <w:tc>
          <w:tcPr>
            <w:tcW w:w="964" w:type="dxa"/>
            <w:vAlign w:val="center"/>
          </w:tcPr>
          <w:p w14:paraId="7CB0AA6F">
            <w:pPr>
              <w:pStyle w:val="15"/>
            </w:pPr>
          </w:p>
        </w:tc>
        <w:tc>
          <w:tcPr>
            <w:tcW w:w="964" w:type="dxa"/>
            <w:vAlign w:val="center"/>
          </w:tcPr>
          <w:p w14:paraId="5CA96090">
            <w:pPr>
              <w:pStyle w:val="15"/>
            </w:pPr>
          </w:p>
        </w:tc>
        <w:tc>
          <w:tcPr>
            <w:tcW w:w="964" w:type="dxa"/>
            <w:vAlign w:val="center"/>
          </w:tcPr>
          <w:p w14:paraId="0422BFF7">
            <w:pPr>
              <w:pStyle w:val="15"/>
            </w:pPr>
          </w:p>
        </w:tc>
        <w:tc>
          <w:tcPr>
            <w:tcW w:w="964" w:type="dxa"/>
            <w:vAlign w:val="center"/>
          </w:tcPr>
          <w:p w14:paraId="117B8A25">
            <w:pPr>
              <w:pStyle w:val="15"/>
            </w:pPr>
          </w:p>
        </w:tc>
        <w:tc>
          <w:tcPr>
            <w:tcW w:w="964" w:type="dxa"/>
            <w:vAlign w:val="center"/>
          </w:tcPr>
          <w:p w14:paraId="004E13E8">
            <w:pPr>
              <w:pStyle w:val="15"/>
            </w:pPr>
          </w:p>
        </w:tc>
        <w:tc>
          <w:tcPr>
            <w:tcW w:w="964" w:type="dxa"/>
            <w:vAlign w:val="center"/>
          </w:tcPr>
          <w:p w14:paraId="6D157039">
            <w:pPr>
              <w:pStyle w:val="15"/>
            </w:pPr>
          </w:p>
        </w:tc>
        <w:tc>
          <w:tcPr>
            <w:tcW w:w="964" w:type="dxa"/>
            <w:vAlign w:val="center"/>
          </w:tcPr>
          <w:p w14:paraId="01070FC8">
            <w:pPr>
              <w:pStyle w:val="15"/>
            </w:pPr>
            <w:r>
              <w:t>22.40</w:t>
            </w:r>
          </w:p>
        </w:tc>
      </w:tr>
      <w:tr w14:paraId="21BC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44A291">
            <w:pPr>
              <w:pStyle w:val="14"/>
            </w:pPr>
            <w:r>
              <w:t>隆尧县北楼中学小计</w:t>
            </w:r>
          </w:p>
        </w:tc>
        <w:tc>
          <w:tcPr>
            <w:tcW w:w="964" w:type="dxa"/>
            <w:vAlign w:val="center"/>
          </w:tcPr>
          <w:p w14:paraId="27651843">
            <w:pPr>
              <w:pStyle w:val="15"/>
            </w:pPr>
          </w:p>
        </w:tc>
        <w:tc>
          <w:tcPr>
            <w:tcW w:w="1134" w:type="dxa"/>
            <w:vAlign w:val="center"/>
          </w:tcPr>
          <w:p w14:paraId="0BE31D17">
            <w:pPr>
              <w:pStyle w:val="16"/>
            </w:pPr>
          </w:p>
        </w:tc>
        <w:tc>
          <w:tcPr>
            <w:tcW w:w="1134" w:type="dxa"/>
            <w:vAlign w:val="center"/>
          </w:tcPr>
          <w:p w14:paraId="37660E2D">
            <w:pPr>
              <w:pStyle w:val="16"/>
            </w:pPr>
          </w:p>
        </w:tc>
        <w:tc>
          <w:tcPr>
            <w:tcW w:w="709" w:type="dxa"/>
            <w:vAlign w:val="center"/>
          </w:tcPr>
          <w:p w14:paraId="1C13C8BA">
            <w:pPr>
              <w:pStyle w:val="14"/>
            </w:pPr>
          </w:p>
        </w:tc>
        <w:tc>
          <w:tcPr>
            <w:tcW w:w="850" w:type="dxa"/>
            <w:vAlign w:val="center"/>
          </w:tcPr>
          <w:p w14:paraId="11E062C3">
            <w:pPr>
              <w:pStyle w:val="15"/>
            </w:pPr>
          </w:p>
        </w:tc>
        <w:tc>
          <w:tcPr>
            <w:tcW w:w="850" w:type="dxa"/>
            <w:vAlign w:val="center"/>
          </w:tcPr>
          <w:p w14:paraId="4A411A04">
            <w:pPr>
              <w:pStyle w:val="15"/>
            </w:pPr>
          </w:p>
        </w:tc>
        <w:tc>
          <w:tcPr>
            <w:tcW w:w="964" w:type="dxa"/>
            <w:vAlign w:val="center"/>
          </w:tcPr>
          <w:p w14:paraId="14918702">
            <w:pPr>
              <w:pStyle w:val="15"/>
            </w:pPr>
            <w:r>
              <w:t>22.40</w:t>
            </w:r>
          </w:p>
        </w:tc>
        <w:tc>
          <w:tcPr>
            <w:tcW w:w="964" w:type="dxa"/>
            <w:vAlign w:val="center"/>
          </w:tcPr>
          <w:p w14:paraId="728ECA2D">
            <w:pPr>
              <w:pStyle w:val="15"/>
            </w:pPr>
            <w:r>
              <w:t>22.40</w:t>
            </w:r>
          </w:p>
        </w:tc>
        <w:tc>
          <w:tcPr>
            <w:tcW w:w="964" w:type="dxa"/>
            <w:vAlign w:val="center"/>
          </w:tcPr>
          <w:p w14:paraId="2387A3E9">
            <w:pPr>
              <w:pStyle w:val="15"/>
            </w:pPr>
          </w:p>
        </w:tc>
        <w:tc>
          <w:tcPr>
            <w:tcW w:w="964" w:type="dxa"/>
            <w:vAlign w:val="center"/>
          </w:tcPr>
          <w:p w14:paraId="3B3B7FF5">
            <w:pPr>
              <w:pStyle w:val="15"/>
            </w:pPr>
          </w:p>
        </w:tc>
        <w:tc>
          <w:tcPr>
            <w:tcW w:w="964" w:type="dxa"/>
            <w:vAlign w:val="center"/>
          </w:tcPr>
          <w:p w14:paraId="27B9137C">
            <w:pPr>
              <w:pStyle w:val="15"/>
            </w:pPr>
          </w:p>
        </w:tc>
        <w:tc>
          <w:tcPr>
            <w:tcW w:w="964" w:type="dxa"/>
            <w:vAlign w:val="center"/>
          </w:tcPr>
          <w:p w14:paraId="7F739C75">
            <w:pPr>
              <w:pStyle w:val="15"/>
            </w:pPr>
          </w:p>
        </w:tc>
        <w:tc>
          <w:tcPr>
            <w:tcW w:w="964" w:type="dxa"/>
            <w:vAlign w:val="center"/>
          </w:tcPr>
          <w:p w14:paraId="2F452C9D">
            <w:pPr>
              <w:pStyle w:val="15"/>
            </w:pPr>
          </w:p>
        </w:tc>
        <w:tc>
          <w:tcPr>
            <w:tcW w:w="964" w:type="dxa"/>
            <w:vAlign w:val="center"/>
          </w:tcPr>
          <w:p w14:paraId="6D89AF4A">
            <w:pPr>
              <w:pStyle w:val="15"/>
            </w:pPr>
          </w:p>
        </w:tc>
        <w:tc>
          <w:tcPr>
            <w:tcW w:w="964" w:type="dxa"/>
            <w:vAlign w:val="center"/>
          </w:tcPr>
          <w:p w14:paraId="1D231912">
            <w:pPr>
              <w:pStyle w:val="15"/>
            </w:pPr>
            <w:r>
              <w:t>22.40</w:t>
            </w:r>
          </w:p>
        </w:tc>
      </w:tr>
      <w:tr w14:paraId="44E1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576A3A">
            <w:pPr>
              <w:pStyle w:val="12"/>
            </w:pPr>
            <w:r>
              <w:t>冀财教[2025]148号/支持义务教育发展/北楼中学微机室电脑购置</w:t>
            </w:r>
          </w:p>
        </w:tc>
        <w:tc>
          <w:tcPr>
            <w:tcW w:w="964" w:type="dxa"/>
            <w:vAlign w:val="center"/>
          </w:tcPr>
          <w:p w14:paraId="1EBAC131">
            <w:pPr>
              <w:pStyle w:val="11"/>
            </w:pPr>
            <w:r>
              <w:t>22.40</w:t>
            </w:r>
          </w:p>
        </w:tc>
        <w:tc>
          <w:tcPr>
            <w:tcW w:w="1134" w:type="dxa"/>
            <w:vAlign w:val="center"/>
          </w:tcPr>
          <w:p w14:paraId="319998E1">
            <w:pPr>
              <w:pStyle w:val="12"/>
            </w:pPr>
            <w:r>
              <w:t>台式计算机</w:t>
            </w:r>
          </w:p>
        </w:tc>
        <w:tc>
          <w:tcPr>
            <w:tcW w:w="1134" w:type="dxa"/>
            <w:vAlign w:val="center"/>
          </w:tcPr>
          <w:p w14:paraId="2F47D646">
            <w:pPr>
              <w:pStyle w:val="12"/>
            </w:pPr>
            <w:r>
              <w:t>A02010105</w:t>
            </w:r>
          </w:p>
        </w:tc>
        <w:tc>
          <w:tcPr>
            <w:tcW w:w="709" w:type="dxa"/>
            <w:vAlign w:val="center"/>
          </w:tcPr>
          <w:p w14:paraId="1AB08956">
            <w:pPr>
              <w:pStyle w:val="13"/>
            </w:pPr>
            <w:r>
              <w:t>台</w:t>
            </w:r>
          </w:p>
        </w:tc>
        <w:tc>
          <w:tcPr>
            <w:tcW w:w="850" w:type="dxa"/>
            <w:vAlign w:val="center"/>
          </w:tcPr>
          <w:p w14:paraId="0012EAF1">
            <w:pPr>
              <w:pStyle w:val="11"/>
            </w:pPr>
            <w:r>
              <w:t>56</w:t>
            </w:r>
          </w:p>
        </w:tc>
        <w:tc>
          <w:tcPr>
            <w:tcW w:w="850" w:type="dxa"/>
            <w:vAlign w:val="center"/>
          </w:tcPr>
          <w:p w14:paraId="41BE2552">
            <w:pPr>
              <w:pStyle w:val="11"/>
            </w:pPr>
            <w:r>
              <w:t>0.40</w:t>
            </w:r>
          </w:p>
        </w:tc>
        <w:tc>
          <w:tcPr>
            <w:tcW w:w="964" w:type="dxa"/>
            <w:vAlign w:val="center"/>
          </w:tcPr>
          <w:p w14:paraId="5CB66AA0">
            <w:pPr>
              <w:pStyle w:val="11"/>
            </w:pPr>
            <w:r>
              <w:t>22.40</w:t>
            </w:r>
          </w:p>
        </w:tc>
        <w:tc>
          <w:tcPr>
            <w:tcW w:w="964" w:type="dxa"/>
            <w:vAlign w:val="center"/>
          </w:tcPr>
          <w:p w14:paraId="424E8BBA">
            <w:pPr>
              <w:pStyle w:val="11"/>
            </w:pPr>
            <w:r>
              <w:t>22.40</w:t>
            </w:r>
          </w:p>
        </w:tc>
        <w:tc>
          <w:tcPr>
            <w:tcW w:w="964" w:type="dxa"/>
            <w:vAlign w:val="center"/>
          </w:tcPr>
          <w:p w14:paraId="05AC40C3">
            <w:pPr>
              <w:pStyle w:val="11"/>
            </w:pPr>
          </w:p>
        </w:tc>
        <w:tc>
          <w:tcPr>
            <w:tcW w:w="964" w:type="dxa"/>
            <w:vAlign w:val="center"/>
          </w:tcPr>
          <w:p w14:paraId="456E5610">
            <w:pPr>
              <w:pStyle w:val="11"/>
            </w:pPr>
          </w:p>
        </w:tc>
        <w:tc>
          <w:tcPr>
            <w:tcW w:w="964" w:type="dxa"/>
            <w:vAlign w:val="center"/>
          </w:tcPr>
          <w:p w14:paraId="00D79558">
            <w:pPr>
              <w:pStyle w:val="11"/>
            </w:pPr>
          </w:p>
        </w:tc>
        <w:tc>
          <w:tcPr>
            <w:tcW w:w="964" w:type="dxa"/>
            <w:vAlign w:val="center"/>
          </w:tcPr>
          <w:p w14:paraId="72D72FA6">
            <w:pPr>
              <w:pStyle w:val="11"/>
            </w:pPr>
          </w:p>
        </w:tc>
        <w:tc>
          <w:tcPr>
            <w:tcW w:w="964" w:type="dxa"/>
            <w:vAlign w:val="center"/>
          </w:tcPr>
          <w:p w14:paraId="56198141">
            <w:pPr>
              <w:pStyle w:val="11"/>
            </w:pPr>
          </w:p>
        </w:tc>
        <w:tc>
          <w:tcPr>
            <w:tcW w:w="964" w:type="dxa"/>
            <w:vAlign w:val="center"/>
          </w:tcPr>
          <w:p w14:paraId="47DED856">
            <w:pPr>
              <w:pStyle w:val="11"/>
            </w:pPr>
          </w:p>
        </w:tc>
        <w:tc>
          <w:tcPr>
            <w:tcW w:w="964" w:type="dxa"/>
            <w:vAlign w:val="center"/>
          </w:tcPr>
          <w:p w14:paraId="78074D64">
            <w:pPr>
              <w:pStyle w:val="11"/>
            </w:pPr>
            <w:r>
              <w:t>22.40</w:t>
            </w:r>
          </w:p>
        </w:tc>
      </w:tr>
    </w:tbl>
    <w:p w14:paraId="35A4DA3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6CB21E">
      <w:pPr>
        <w:spacing w:before="0" w:after="0"/>
        <w:ind w:firstLine="640"/>
        <w:jc w:val="left"/>
        <w:outlineLvl w:val="9"/>
      </w:pPr>
      <w:r>
        <w:rPr>
          <w:rFonts w:ascii="Times New Roman" w:hAnsi="Times New Roman" w:eastAsia="方正仿宋_GBK" w:cs="Times New Roman"/>
          <w:color w:val="000000"/>
          <w:sz w:val="32"/>
        </w:rPr>
        <w:t xml:space="preserve"> </w:t>
      </w:r>
    </w:p>
    <w:p w14:paraId="3E116B5A">
      <w:pPr>
        <w:spacing w:before="10" w:after="10" w:line="240" w:lineRule="auto"/>
        <w:ind w:firstLine="640"/>
        <w:jc w:val="left"/>
        <w:outlineLvl w:val="5"/>
      </w:pPr>
      <w:r>
        <w:rPr>
          <w:rFonts w:ascii="黑体" w:hAnsi="黑体" w:eastAsia="黑体" w:cs="黑体"/>
          <w:color w:val="000000"/>
          <w:sz w:val="32"/>
        </w:rPr>
        <w:t>七、国有资产信息</w:t>
      </w:r>
    </w:p>
    <w:p w14:paraId="1D5B80D1">
      <w:pPr>
        <w:spacing w:before="0" w:after="0" w:line="500" w:lineRule="exact"/>
        <w:ind w:firstLine="560"/>
        <w:jc w:val="left"/>
        <w:outlineLvl w:val="9"/>
      </w:pPr>
      <w:r>
        <w:rPr>
          <w:rFonts w:ascii="Times New Roman" w:hAnsi="Times New Roman" w:eastAsia="方正仿宋_GBK" w:cs="Times New Roman"/>
          <w:b w:val="0"/>
          <w:color w:val="000000"/>
          <w:sz w:val="28"/>
        </w:rPr>
        <w:t>隆尧县北楼中学上年末固定资产金额为1497.78万元（详见下表）。本年度拟购置固定资产总额为4.00万元，已按要求列入政府采购预算，详见政府采购预算表。</w:t>
      </w:r>
    </w:p>
    <w:p w14:paraId="4A4E695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31D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2D425F">
            <w:pPr>
              <w:pStyle w:val="9"/>
            </w:pPr>
            <w:r>
              <w:t>360031隆尧县北楼中学</w:t>
            </w:r>
          </w:p>
        </w:tc>
        <w:tc>
          <w:tcPr>
            <w:tcW w:w="5670" w:type="dxa"/>
            <w:gridSpan w:val="2"/>
            <w:tcBorders>
              <w:top w:val="single" w:color="FFFFFF" w:sz="6" w:space="0"/>
              <w:left w:val="single" w:color="FFFFFF" w:sz="6" w:space="0"/>
              <w:right w:val="single" w:color="FFFFFF" w:sz="6" w:space="0"/>
            </w:tcBorders>
            <w:vAlign w:val="center"/>
          </w:tcPr>
          <w:p w14:paraId="3011DD2F">
            <w:pPr>
              <w:pStyle w:val="7"/>
            </w:pPr>
            <w:r>
              <w:t>截止时间：2025-12-31</w:t>
            </w:r>
          </w:p>
        </w:tc>
      </w:tr>
      <w:tr w14:paraId="2A01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23E5F0">
            <w:pPr>
              <w:pStyle w:val="10"/>
            </w:pPr>
            <w:r>
              <w:t>项   目</w:t>
            </w:r>
          </w:p>
        </w:tc>
        <w:tc>
          <w:tcPr>
            <w:tcW w:w="2835" w:type="dxa"/>
            <w:vAlign w:val="center"/>
          </w:tcPr>
          <w:p w14:paraId="7A55367E">
            <w:pPr>
              <w:pStyle w:val="10"/>
            </w:pPr>
            <w:r>
              <w:t>数量</w:t>
            </w:r>
          </w:p>
        </w:tc>
        <w:tc>
          <w:tcPr>
            <w:tcW w:w="2835" w:type="dxa"/>
            <w:vAlign w:val="center"/>
          </w:tcPr>
          <w:p w14:paraId="2FBE1EBB">
            <w:pPr>
              <w:pStyle w:val="10"/>
            </w:pPr>
            <w:r>
              <w:t>价值（金额单位：万元）</w:t>
            </w:r>
          </w:p>
        </w:tc>
      </w:tr>
      <w:tr w14:paraId="167D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EF556B">
            <w:pPr>
              <w:pStyle w:val="12"/>
            </w:pPr>
            <w:r>
              <w:t>资产总额</w:t>
            </w:r>
          </w:p>
        </w:tc>
        <w:tc>
          <w:tcPr>
            <w:tcW w:w="2835" w:type="dxa"/>
            <w:vAlign w:val="center"/>
          </w:tcPr>
          <w:p w14:paraId="30476A07">
            <w:pPr>
              <w:pStyle w:val="13"/>
            </w:pPr>
          </w:p>
        </w:tc>
        <w:tc>
          <w:tcPr>
            <w:tcW w:w="2835" w:type="dxa"/>
            <w:vAlign w:val="center"/>
          </w:tcPr>
          <w:p w14:paraId="09CC3A4D">
            <w:pPr>
              <w:pStyle w:val="11"/>
            </w:pPr>
            <w:r>
              <w:t>1497.78</w:t>
            </w:r>
          </w:p>
        </w:tc>
      </w:tr>
      <w:tr w14:paraId="4157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90BCBE">
            <w:pPr>
              <w:pStyle w:val="12"/>
            </w:pPr>
            <w:r>
              <w:t>1、房屋（平方米）</w:t>
            </w:r>
          </w:p>
        </w:tc>
        <w:tc>
          <w:tcPr>
            <w:tcW w:w="2835" w:type="dxa"/>
            <w:vAlign w:val="center"/>
          </w:tcPr>
          <w:p w14:paraId="276FF4B7">
            <w:pPr>
              <w:pStyle w:val="13"/>
            </w:pPr>
            <w:r>
              <w:t>11205</w:t>
            </w:r>
          </w:p>
        </w:tc>
        <w:tc>
          <w:tcPr>
            <w:tcW w:w="2835" w:type="dxa"/>
            <w:vAlign w:val="center"/>
          </w:tcPr>
          <w:p w14:paraId="4CCE903F">
            <w:pPr>
              <w:pStyle w:val="11"/>
            </w:pPr>
            <w:r>
              <w:t>930.91</w:t>
            </w:r>
          </w:p>
        </w:tc>
      </w:tr>
      <w:tr w14:paraId="6AEA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D04228">
            <w:pPr>
              <w:pStyle w:val="12"/>
            </w:pPr>
            <w:r>
              <w:t>　　其中：办公用房（平方米）</w:t>
            </w:r>
          </w:p>
        </w:tc>
        <w:tc>
          <w:tcPr>
            <w:tcW w:w="2835" w:type="dxa"/>
            <w:vAlign w:val="center"/>
          </w:tcPr>
          <w:p w14:paraId="73BB97B9">
            <w:pPr>
              <w:pStyle w:val="13"/>
            </w:pPr>
            <w:r>
              <w:t>400</w:t>
            </w:r>
          </w:p>
        </w:tc>
        <w:tc>
          <w:tcPr>
            <w:tcW w:w="2835" w:type="dxa"/>
            <w:vAlign w:val="center"/>
          </w:tcPr>
          <w:p w14:paraId="3C254330">
            <w:pPr>
              <w:pStyle w:val="11"/>
            </w:pPr>
            <w:r>
              <w:t>20.00</w:t>
            </w:r>
          </w:p>
        </w:tc>
      </w:tr>
      <w:tr w14:paraId="448C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E7A339">
            <w:pPr>
              <w:pStyle w:val="12"/>
            </w:pPr>
            <w:r>
              <w:t>2、车辆（台、辆）</w:t>
            </w:r>
          </w:p>
        </w:tc>
        <w:tc>
          <w:tcPr>
            <w:tcW w:w="2835" w:type="dxa"/>
            <w:vAlign w:val="center"/>
          </w:tcPr>
          <w:p w14:paraId="2D33097B">
            <w:pPr>
              <w:pStyle w:val="13"/>
            </w:pPr>
          </w:p>
        </w:tc>
        <w:tc>
          <w:tcPr>
            <w:tcW w:w="2835" w:type="dxa"/>
            <w:vAlign w:val="center"/>
          </w:tcPr>
          <w:p w14:paraId="7B1BC984">
            <w:pPr>
              <w:pStyle w:val="11"/>
            </w:pPr>
          </w:p>
        </w:tc>
      </w:tr>
      <w:tr w14:paraId="3EB7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3977C7">
            <w:pPr>
              <w:pStyle w:val="12"/>
            </w:pPr>
            <w:r>
              <w:t>3、单价在20万元以上的设备</w:t>
            </w:r>
          </w:p>
        </w:tc>
        <w:tc>
          <w:tcPr>
            <w:tcW w:w="2835" w:type="dxa"/>
            <w:vAlign w:val="center"/>
          </w:tcPr>
          <w:p w14:paraId="30A7F1F7">
            <w:pPr>
              <w:pStyle w:val="13"/>
            </w:pPr>
            <w:r>
              <w:t>1</w:t>
            </w:r>
          </w:p>
        </w:tc>
        <w:tc>
          <w:tcPr>
            <w:tcW w:w="2835" w:type="dxa"/>
            <w:vAlign w:val="center"/>
          </w:tcPr>
          <w:p w14:paraId="675AE7F5">
            <w:pPr>
              <w:pStyle w:val="11"/>
            </w:pPr>
            <w:r>
              <w:t>40.00</w:t>
            </w:r>
          </w:p>
        </w:tc>
      </w:tr>
      <w:tr w14:paraId="440F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DB597C">
            <w:pPr>
              <w:pStyle w:val="12"/>
            </w:pPr>
            <w:r>
              <w:t>4、其他固定资产</w:t>
            </w:r>
          </w:p>
        </w:tc>
        <w:tc>
          <w:tcPr>
            <w:tcW w:w="2835" w:type="dxa"/>
            <w:vAlign w:val="center"/>
          </w:tcPr>
          <w:p w14:paraId="518675FE">
            <w:pPr>
              <w:pStyle w:val="13"/>
            </w:pPr>
            <w:r>
              <w:t>43446</w:t>
            </w:r>
          </w:p>
        </w:tc>
        <w:tc>
          <w:tcPr>
            <w:tcW w:w="2835" w:type="dxa"/>
            <w:vAlign w:val="center"/>
          </w:tcPr>
          <w:p w14:paraId="25854863">
            <w:pPr>
              <w:pStyle w:val="11"/>
            </w:pPr>
            <w:r>
              <w:t>526.87</w:t>
            </w:r>
          </w:p>
        </w:tc>
      </w:tr>
    </w:tbl>
    <w:p w14:paraId="2F330214">
      <w:pPr>
        <w:spacing w:before="0" w:after="0"/>
        <w:ind w:firstLine="640"/>
        <w:jc w:val="left"/>
        <w:outlineLvl w:val="9"/>
      </w:pPr>
      <w:r>
        <w:rPr>
          <w:rFonts w:ascii="Times New Roman" w:hAnsi="Times New Roman" w:eastAsia="方正仿宋_GBK" w:cs="Times New Roman"/>
          <w:color w:val="000000"/>
          <w:sz w:val="32"/>
        </w:rPr>
        <w:t xml:space="preserve"> </w:t>
      </w:r>
    </w:p>
    <w:p w14:paraId="113CA557">
      <w:pPr>
        <w:spacing w:before="10" w:after="10" w:line="240" w:lineRule="auto"/>
        <w:ind w:firstLine="640"/>
        <w:jc w:val="left"/>
        <w:outlineLvl w:val="5"/>
      </w:pPr>
      <w:r>
        <w:rPr>
          <w:rFonts w:ascii="黑体" w:hAnsi="黑体" w:eastAsia="黑体" w:cs="黑体"/>
          <w:color w:val="000000"/>
          <w:sz w:val="32"/>
        </w:rPr>
        <w:t>八、名词解释</w:t>
      </w:r>
    </w:p>
    <w:p w14:paraId="020F796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49337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1B7FE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C655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840EB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B7C9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0788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1049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42D4E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E5294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5068D4">
      <w:pPr>
        <w:spacing w:before="10" w:after="10" w:line="240" w:lineRule="auto"/>
        <w:ind w:firstLine="640"/>
        <w:jc w:val="left"/>
        <w:outlineLvl w:val="5"/>
      </w:pPr>
      <w:r>
        <w:rPr>
          <w:rFonts w:ascii="黑体" w:hAnsi="黑体" w:eastAsia="黑体" w:cs="黑体"/>
          <w:color w:val="000000"/>
          <w:sz w:val="32"/>
        </w:rPr>
        <w:t>九、其他需要说明的事项</w:t>
      </w:r>
    </w:p>
    <w:p w14:paraId="47463F8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A6021E9">
      <w:pPr>
        <w:spacing w:before="0" w:after="0"/>
        <w:ind w:firstLine="0"/>
        <w:jc w:val="center"/>
        <w:outlineLvl w:val="3"/>
      </w:pPr>
      <w:bookmarkStart w:id="30" w:name="_Toc_4_4_0000000031"/>
      <w:r>
        <w:rPr>
          <w:rFonts w:ascii="方正小标宋_GBK" w:hAnsi="方正小标宋_GBK" w:eastAsia="方正小标宋_GBK" w:cs="方正小标宋_GBK"/>
          <w:b w:val="0"/>
          <w:color w:val="000000"/>
          <w:sz w:val="44"/>
        </w:rPr>
        <w:t>三十一、隆尧县双碑中学收支预算</w:t>
      </w:r>
      <w:bookmarkEnd w:id="30"/>
    </w:p>
    <w:p w14:paraId="60A40E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F9D6F6">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BC6C5C">
            <w:pPr>
              <w:pStyle w:val="9"/>
            </w:pPr>
            <w:r>
              <w:t>360032隆尧县双碑中学</w:t>
            </w:r>
          </w:p>
        </w:tc>
        <w:tc>
          <w:tcPr>
            <w:tcW w:w="2126" w:type="dxa"/>
            <w:tcBorders>
              <w:top w:val="single" w:color="FFFFFF" w:sz="6" w:space="0"/>
              <w:left w:val="single" w:color="FFFFFF" w:sz="6" w:space="0"/>
              <w:right w:val="single" w:color="FFFFFF" w:sz="6" w:space="0"/>
            </w:tcBorders>
            <w:vAlign w:val="center"/>
          </w:tcPr>
          <w:p w14:paraId="31E5959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8A76191">
            <w:pPr>
              <w:pStyle w:val="7"/>
            </w:pPr>
            <w:r>
              <w:t>单位：万元</w:t>
            </w:r>
          </w:p>
        </w:tc>
      </w:tr>
      <w:tr w14:paraId="5F0B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819F0">
            <w:pPr>
              <w:pStyle w:val="10"/>
            </w:pPr>
            <w:r>
              <w:t>序号</w:t>
            </w:r>
          </w:p>
        </w:tc>
        <w:tc>
          <w:tcPr>
            <w:tcW w:w="6661" w:type="dxa"/>
            <w:gridSpan w:val="2"/>
            <w:vAlign w:val="center"/>
          </w:tcPr>
          <w:p w14:paraId="5C1C2254">
            <w:pPr>
              <w:pStyle w:val="10"/>
            </w:pPr>
            <w:r>
              <w:t>收入</w:t>
            </w:r>
          </w:p>
        </w:tc>
        <w:tc>
          <w:tcPr>
            <w:tcW w:w="6661" w:type="dxa"/>
            <w:gridSpan w:val="2"/>
            <w:vAlign w:val="center"/>
          </w:tcPr>
          <w:p w14:paraId="3F685B4F">
            <w:pPr>
              <w:pStyle w:val="10"/>
            </w:pPr>
            <w:r>
              <w:t>支出</w:t>
            </w:r>
          </w:p>
        </w:tc>
      </w:tr>
      <w:tr w14:paraId="1DE1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A9F40"/>
        </w:tc>
        <w:tc>
          <w:tcPr>
            <w:tcW w:w="4535" w:type="dxa"/>
            <w:vAlign w:val="center"/>
          </w:tcPr>
          <w:p w14:paraId="7F94BB43">
            <w:pPr>
              <w:pStyle w:val="10"/>
            </w:pPr>
            <w:r>
              <w:t>项  目</w:t>
            </w:r>
          </w:p>
        </w:tc>
        <w:tc>
          <w:tcPr>
            <w:tcW w:w="2126" w:type="dxa"/>
            <w:vAlign w:val="center"/>
          </w:tcPr>
          <w:p w14:paraId="11F02729">
            <w:pPr>
              <w:pStyle w:val="10"/>
            </w:pPr>
            <w:r>
              <w:t>预算数</w:t>
            </w:r>
          </w:p>
        </w:tc>
        <w:tc>
          <w:tcPr>
            <w:tcW w:w="4535" w:type="dxa"/>
            <w:vAlign w:val="center"/>
          </w:tcPr>
          <w:p w14:paraId="653C4CAE">
            <w:pPr>
              <w:pStyle w:val="10"/>
            </w:pPr>
            <w:r>
              <w:t>项  目</w:t>
            </w:r>
          </w:p>
        </w:tc>
        <w:tc>
          <w:tcPr>
            <w:tcW w:w="2126" w:type="dxa"/>
            <w:vAlign w:val="center"/>
          </w:tcPr>
          <w:p w14:paraId="330A3238">
            <w:pPr>
              <w:pStyle w:val="10"/>
            </w:pPr>
            <w:r>
              <w:t>预算数</w:t>
            </w:r>
          </w:p>
        </w:tc>
      </w:tr>
      <w:tr w14:paraId="70340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25F24E">
            <w:pPr>
              <w:pStyle w:val="10"/>
            </w:pPr>
            <w:r>
              <w:t>栏次</w:t>
            </w:r>
          </w:p>
        </w:tc>
        <w:tc>
          <w:tcPr>
            <w:tcW w:w="4535" w:type="dxa"/>
            <w:vAlign w:val="center"/>
          </w:tcPr>
          <w:p w14:paraId="287B9B92">
            <w:pPr>
              <w:pStyle w:val="10"/>
            </w:pPr>
            <w:r>
              <w:t>1</w:t>
            </w:r>
          </w:p>
        </w:tc>
        <w:tc>
          <w:tcPr>
            <w:tcW w:w="2126" w:type="dxa"/>
            <w:vAlign w:val="center"/>
          </w:tcPr>
          <w:p w14:paraId="359D38AD">
            <w:pPr>
              <w:pStyle w:val="10"/>
            </w:pPr>
            <w:r>
              <w:t>2</w:t>
            </w:r>
          </w:p>
        </w:tc>
        <w:tc>
          <w:tcPr>
            <w:tcW w:w="4535" w:type="dxa"/>
            <w:vAlign w:val="center"/>
          </w:tcPr>
          <w:p w14:paraId="12629F51">
            <w:pPr>
              <w:pStyle w:val="10"/>
            </w:pPr>
            <w:r>
              <w:t>3</w:t>
            </w:r>
          </w:p>
        </w:tc>
        <w:tc>
          <w:tcPr>
            <w:tcW w:w="2126" w:type="dxa"/>
            <w:vAlign w:val="center"/>
          </w:tcPr>
          <w:p w14:paraId="1043E442">
            <w:pPr>
              <w:pStyle w:val="10"/>
            </w:pPr>
            <w:r>
              <w:t>4</w:t>
            </w:r>
          </w:p>
        </w:tc>
      </w:tr>
      <w:tr w14:paraId="3942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BB30">
            <w:pPr>
              <w:pStyle w:val="13"/>
            </w:pPr>
            <w:r>
              <w:t>1</w:t>
            </w:r>
          </w:p>
        </w:tc>
        <w:tc>
          <w:tcPr>
            <w:tcW w:w="4535" w:type="dxa"/>
            <w:vAlign w:val="center"/>
          </w:tcPr>
          <w:p w14:paraId="60B855F8">
            <w:pPr>
              <w:pStyle w:val="12"/>
            </w:pPr>
            <w:r>
              <w:t>一、一般公共预算拨款收入</w:t>
            </w:r>
          </w:p>
        </w:tc>
        <w:tc>
          <w:tcPr>
            <w:tcW w:w="2126" w:type="dxa"/>
            <w:vAlign w:val="center"/>
          </w:tcPr>
          <w:p w14:paraId="136F218F">
            <w:pPr>
              <w:pStyle w:val="11"/>
            </w:pPr>
            <w:r>
              <w:t>1100.25</w:t>
            </w:r>
          </w:p>
        </w:tc>
        <w:tc>
          <w:tcPr>
            <w:tcW w:w="4535" w:type="dxa"/>
            <w:vAlign w:val="center"/>
          </w:tcPr>
          <w:p w14:paraId="3AE6260B">
            <w:pPr>
              <w:pStyle w:val="12"/>
            </w:pPr>
            <w:r>
              <w:t>一、一般公共服务支出</w:t>
            </w:r>
          </w:p>
        </w:tc>
        <w:tc>
          <w:tcPr>
            <w:tcW w:w="2126" w:type="dxa"/>
            <w:vAlign w:val="center"/>
          </w:tcPr>
          <w:p w14:paraId="5887D443">
            <w:pPr>
              <w:pStyle w:val="11"/>
            </w:pPr>
          </w:p>
        </w:tc>
      </w:tr>
      <w:tr w14:paraId="1CF4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4F2F">
            <w:pPr>
              <w:pStyle w:val="13"/>
            </w:pPr>
            <w:r>
              <w:t>2</w:t>
            </w:r>
          </w:p>
        </w:tc>
        <w:tc>
          <w:tcPr>
            <w:tcW w:w="4535" w:type="dxa"/>
            <w:vAlign w:val="center"/>
          </w:tcPr>
          <w:p w14:paraId="0BAAFF76">
            <w:pPr>
              <w:pStyle w:val="12"/>
            </w:pPr>
            <w:r>
              <w:t>二、政府性基金预算拨款收入</w:t>
            </w:r>
          </w:p>
        </w:tc>
        <w:tc>
          <w:tcPr>
            <w:tcW w:w="2126" w:type="dxa"/>
            <w:vAlign w:val="center"/>
          </w:tcPr>
          <w:p w14:paraId="33F49859">
            <w:pPr>
              <w:pStyle w:val="11"/>
            </w:pPr>
          </w:p>
        </w:tc>
        <w:tc>
          <w:tcPr>
            <w:tcW w:w="4535" w:type="dxa"/>
            <w:vAlign w:val="center"/>
          </w:tcPr>
          <w:p w14:paraId="59C106D3">
            <w:pPr>
              <w:pStyle w:val="12"/>
            </w:pPr>
            <w:r>
              <w:t>二、外交支出</w:t>
            </w:r>
          </w:p>
        </w:tc>
        <w:tc>
          <w:tcPr>
            <w:tcW w:w="2126" w:type="dxa"/>
            <w:vAlign w:val="center"/>
          </w:tcPr>
          <w:p w14:paraId="7CF0A30E">
            <w:pPr>
              <w:pStyle w:val="11"/>
            </w:pPr>
          </w:p>
        </w:tc>
      </w:tr>
      <w:tr w14:paraId="245B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1BDB">
            <w:pPr>
              <w:pStyle w:val="13"/>
            </w:pPr>
            <w:r>
              <w:t>3</w:t>
            </w:r>
          </w:p>
        </w:tc>
        <w:tc>
          <w:tcPr>
            <w:tcW w:w="4535" w:type="dxa"/>
            <w:vAlign w:val="center"/>
          </w:tcPr>
          <w:p w14:paraId="7D2225DD">
            <w:pPr>
              <w:pStyle w:val="12"/>
            </w:pPr>
            <w:r>
              <w:t>三、国有资本经营预算拨款收入</w:t>
            </w:r>
          </w:p>
        </w:tc>
        <w:tc>
          <w:tcPr>
            <w:tcW w:w="2126" w:type="dxa"/>
            <w:vAlign w:val="center"/>
          </w:tcPr>
          <w:p w14:paraId="51A8F19A">
            <w:pPr>
              <w:pStyle w:val="11"/>
            </w:pPr>
          </w:p>
        </w:tc>
        <w:tc>
          <w:tcPr>
            <w:tcW w:w="4535" w:type="dxa"/>
            <w:vAlign w:val="center"/>
          </w:tcPr>
          <w:p w14:paraId="1FAD95AA">
            <w:pPr>
              <w:pStyle w:val="12"/>
            </w:pPr>
            <w:r>
              <w:t>三、国防支出</w:t>
            </w:r>
          </w:p>
        </w:tc>
        <w:tc>
          <w:tcPr>
            <w:tcW w:w="2126" w:type="dxa"/>
            <w:vAlign w:val="center"/>
          </w:tcPr>
          <w:p w14:paraId="12712D41">
            <w:pPr>
              <w:pStyle w:val="11"/>
            </w:pPr>
          </w:p>
        </w:tc>
      </w:tr>
      <w:tr w14:paraId="14EAE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6ECDF">
            <w:pPr>
              <w:pStyle w:val="13"/>
            </w:pPr>
            <w:r>
              <w:t>4</w:t>
            </w:r>
          </w:p>
        </w:tc>
        <w:tc>
          <w:tcPr>
            <w:tcW w:w="4535" w:type="dxa"/>
            <w:vAlign w:val="center"/>
          </w:tcPr>
          <w:p w14:paraId="3963DB55">
            <w:pPr>
              <w:pStyle w:val="12"/>
            </w:pPr>
            <w:r>
              <w:t>四、财政专户管理资金收入</w:t>
            </w:r>
          </w:p>
        </w:tc>
        <w:tc>
          <w:tcPr>
            <w:tcW w:w="2126" w:type="dxa"/>
            <w:vAlign w:val="center"/>
          </w:tcPr>
          <w:p w14:paraId="3D336C00">
            <w:pPr>
              <w:pStyle w:val="11"/>
            </w:pPr>
          </w:p>
        </w:tc>
        <w:tc>
          <w:tcPr>
            <w:tcW w:w="4535" w:type="dxa"/>
            <w:vAlign w:val="center"/>
          </w:tcPr>
          <w:p w14:paraId="22FEBF92">
            <w:pPr>
              <w:pStyle w:val="12"/>
            </w:pPr>
            <w:r>
              <w:t>四、公共安全支出</w:t>
            </w:r>
          </w:p>
        </w:tc>
        <w:tc>
          <w:tcPr>
            <w:tcW w:w="2126" w:type="dxa"/>
            <w:vAlign w:val="center"/>
          </w:tcPr>
          <w:p w14:paraId="35973199">
            <w:pPr>
              <w:pStyle w:val="11"/>
            </w:pPr>
          </w:p>
        </w:tc>
      </w:tr>
      <w:tr w14:paraId="1938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D5603">
            <w:pPr>
              <w:pStyle w:val="13"/>
            </w:pPr>
            <w:r>
              <w:t>5</w:t>
            </w:r>
          </w:p>
        </w:tc>
        <w:tc>
          <w:tcPr>
            <w:tcW w:w="4535" w:type="dxa"/>
            <w:vAlign w:val="center"/>
          </w:tcPr>
          <w:p w14:paraId="2FB4885D">
            <w:pPr>
              <w:pStyle w:val="12"/>
            </w:pPr>
            <w:r>
              <w:t>五、单位资金</w:t>
            </w:r>
          </w:p>
        </w:tc>
        <w:tc>
          <w:tcPr>
            <w:tcW w:w="2126" w:type="dxa"/>
            <w:vAlign w:val="center"/>
          </w:tcPr>
          <w:p w14:paraId="5B0C9845">
            <w:pPr>
              <w:pStyle w:val="11"/>
            </w:pPr>
          </w:p>
        </w:tc>
        <w:tc>
          <w:tcPr>
            <w:tcW w:w="4535" w:type="dxa"/>
            <w:vAlign w:val="center"/>
          </w:tcPr>
          <w:p w14:paraId="35B3953C">
            <w:pPr>
              <w:pStyle w:val="12"/>
            </w:pPr>
            <w:r>
              <w:t>五、教育支出</w:t>
            </w:r>
          </w:p>
        </w:tc>
        <w:tc>
          <w:tcPr>
            <w:tcW w:w="2126" w:type="dxa"/>
            <w:vAlign w:val="center"/>
          </w:tcPr>
          <w:p w14:paraId="0D48AA9F">
            <w:pPr>
              <w:pStyle w:val="11"/>
            </w:pPr>
            <w:r>
              <w:t>1100.25</w:t>
            </w:r>
          </w:p>
        </w:tc>
      </w:tr>
      <w:tr w14:paraId="28E0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D783">
            <w:pPr>
              <w:pStyle w:val="13"/>
            </w:pPr>
            <w:r>
              <w:t>6</w:t>
            </w:r>
          </w:p>
        </w:tc>
        <w:tc>
          <w:tcPr>
            <w:tcW w:w="4535" w:type="dxa"/>
            <w:vAlign w:val="center"/>
          </w:tcPr>
          <w:p w14:paraId="75661F35">
            <w:pPr>
              <w:pStyle w:val="12"/>
            </w:pPr>
          </w:p>
        </w:tc>
        <w:tc>
          <w:tcPr>
            <w:tcW w:w="2126" w:type="dxa"/>
            <w:vAlign w:val="center"/>
          </w:tcPr>
          <w:p w14:paraId="1DE85C29">
            <w:pPr>
              <w:pStyle w:val="11"/>
            </w:pPr>
          </w:p>
        </w:tc>
        <w:tc>
          <w:tcPr>
            <w:tcW w:w="4535" w:type="dxa"/>
            <w:vAlign w:val="center"/>
          </w:tcPr>
          <w:p w14:paraId="714AD7E7">
            <w:pPr>
              <w:pStyle w:val="12"/>
            </w:pPr>
            <w:r>
              <w:t>六、科学技术支出</w:t>
            </w:r>
          </w:p>
        </w:tc>
        <w:tc>
          <w:tcPr>
            <w:tcW w:w="2126" w:type="dxa"/>
            <w:vAlign w:val="center"/>
          </w:tcPr>
          <w:p w14:paraId="0C9116C5">
            <w:pPr>
              <w:pStyle w:val="11"/>
            </w:pPr>
          </w:p>
        </w:tc>
      </w:tr>
      <w:tr w14:paraId="5B191E35">
        <w:tblPrEx>
          <w:tblCellMar>
            <w:top w:w="0" w:type="dxa"/>
            <w:left w:w="108" w:type="dxa"/>
            <w:bottom w:w="0" w:type="dxa"/>
            <w:right w:w="108" w:type="dxa"/>
          </w:tblCellMar>
        </w:tblPrEx>
        <w:trPr>
          <w:trHeight w:val="369" w:hRule="atLeast"/>
          <w:jc w:val="center"/>
        </w:trPr>
        <w:tc>
          <w:tcPr>
            <w:tcW w:w="850" w:type="dxa"/>
            <w:vAlign w:val="center"/>
          </w:tcPr>
          <w:p w14:paraId="5B0179DC">
            <w:pPr>
              <w:pStyle w:val="13"/>
            </w:pPr>
            <w:r>
              <w:t>7</w:t>
            </w:r>
          </w:p>
        </w:tc>
        <w:tc>
          <w:tcPr>
            <w:tcW w:w="4535" w:type="dxa"/>
            <w:vAlign w:val="center"/>
          </w:tcPr>
          <w:p w14:paraId="6E7ACF6D">
            <w:pPr>
              <w:pStyle w:val="12"/>
            </w:pPr>
          </w:p>
        </w:tc>
        <w:tc>
          <w:tcPr>
            <w:tcW w:w="2126" w:type="dxa"/>
            <w:vAlign w:val="center"/>
          </w:tcPr>
          <w:p w14:paraId="39379E0C">
            <w:pPr>
              <w:pStyle w:val="11"/>
            </w:pPr>
          </w:p>
        </w:tc>
        <w:tc>
          <w:tcPr>
            <w:tcW w:w="4535" w:type="dxa"/>
            <w:vAlign w:val="center"/>
          </w:tcPr>
          <w:p w14:paraId="54970F8C">
            <w:pPr>
              <w:pStyle w:val="12"/>
            </w:pPr>
            <w:r>
              <w:t>七、文化旅游体育与传媒支出</w:t>
            </w:r>
          </w:p>
        </w:tc>
        <w:tc>
          <w:tcPr>
            <w:tcW w:w="2126" w:type="dxa"/>
            <w:vAlign w:val="center"/>
          </w:tcPr>
          <w:p w14:paraId="59B29A3C">
            <w:pPr>
              <w:pStyle w:val="11"/>
            </w:pPr>
          </w:p>
        </w:tc>
      </w:tr>
      <w:tr w14:paraId="227E4BBE">
        <w:tblPrEx>
          <w:tblCellMar>
            <w:top w:w="0" w:type="dxa"/>
            <w:left w:w="108" w:type="dxa"/>
            <w:bottom w:w="0" w:type="dxa"/>
            <w:right w:w="108" w:type="dxa"/>
          </w:tblCellMar>
        </w:tblPrEx>
        <w:trPr>
          <w:trHeight w:val="369" w:hRule="atLeast"/>
          <w:jc w:val="center"/>
        </w:trPr>
        <w:tc>
          <w:tcPr>
            <w:tcW w:w="850" w:type="dxa"/>
            <w:vAlign w:val="center"/>
          </w:tcPr>
          <w:p w14:paraId="7060C927">
            <w:pPr>
              <w:pStyle w:val="13"/>
            </w:pPr>
            <w:r>
              <w:t>8</w:t>
            </w:r>
          </w:p>
        </w:tc>
        <w:tc>
          <w:tcPr>
            <w:tcW w:w="4535" w:type="dxa"/>
            <w:vAlign w:val="center"/>
          </w:tcPr>
          <w:p w14:paraId="0FE02BBB">
            <w:pPr>
              <w:pStyle w:val="12"/>
            </w:pPr>
          </w:p>
        </w:tc>
        <w:tc>
          <w:tcPr>
            <w:tcW w:w="2126" w:type="dxa"/>
            <w:vAlign w:val="center"/>
          </w:tcPr>
          <w:p w14:paraId="39D1464F">
            <w:pPr>
              <w:pStyle w:val="11"/>
            </w:pPr>
          </w:p>
        </w:tc>
        <w:tc>
          <w:tcPr>
            <w:tcW w:w="4535" w:type="dxa"/>
            <w:vAlign w:val="center"/>
          </w:tcPr>
          <w:p w14:paraId="075E3720">
            <w:pPr>
              <w:pStyle w:val="12"/>
            </w:pPr>
            <w:r>
              <w:t>八、社会保障和就业支出</w:t>
            </w:r>
          </w:p>
        </w:tc>
        <w:tc>
          <w:tcPr>
            <w:tcW w:w="2126" w:type="dxa"/>
            <w:vAlign w:val="center"/>
          </w:tcPr>
          <w:p w14:paraId="3DC1FA69">
            <w:pPr>
              <w:pStyle w:val="11"/>
            </w:pPr>
          </w:p>
        </w:tc>
      </w:tr>
      <w:tr w14:paraId="50B83E1E">
        <w:tblPrEx>
          <w:tblCellMar>
            <w:top w:w="0" w:type="dxa"/>
            <w:left w:w="108" w:type="dxa"/>
            <w:bottom w:w="0" w:type="dxa"/>
            <w:right w:w="108" w:type="dxa"/>
          </w:tblCellMar>
        </w:tblPrEx>
        <w:trPr>
          <w:trHeight w:val="369" w:hRule="atLeast"/>
          <w:jc w:val="center"/>
        </w:trPr>
        <w:tc>
          <w:tcPr>
            <w:tcW w:w="850" w:type="dxa"/>
            <w:vAlign w:val="center"/>
          </w:tcPr>
          <w:p w14:paraId="0E02F947">
            <w:pPr>
              <w:pStyle w:val="13"/>
            </w:pPr>
            <w:r>
              <w:t>9</w:t>
            </w:r>
          </w:p>
        </w:tc>
        <w:tc>
          <w:tcPr>
            <w:tcW w:w="4535" w:type="dxa"/>
            <w:vAlign w:val="center"/>
          </w:tcPr>
          <w:p w14:paraId="7D768301">
            <w:pPr>
              <w:pStyle w:val="12"/>
            </w:pPr>
          </w:p>
        </w:tc>
        <w:tc>
          <w:tcPr>
            <w:tcW w:w="2126" w:type="dxa"/>
            <w:vAlign w:val="center"/>
          </w:tcPr>
          <w:p w14:paraId="51DD9B65">
            <w:pPr>
              <w:pStyle w:val="11"/>
            </w:pPr>
          </w:p>
        </w:tc>
        <w:tc>
          <w:tcPr>
            <w:tcW w:w="4535" w:type="dxa"/>
            <w:vAlign w:val="center"/>
          </w:tcPr>
          <w:p w14:paraId="1DE735AD">
            <w:pPr>
              <w:pStyle w:val="12"/>
            </w:pPr>
            <w:r>
              <w:t>九、社会保险基金支出</w:t>
            </w:r>
          </w:p>
        </w:tc>
        <w:tc>
          <w:tcPr>
            <w:tcW w:w="2126" w:type="dxa"/>
            <w:vAlign w:val="center"/>
          </w:tcPr>
          <w:p w14:paraId="4577AF96">
            <w:pPr>
              <w:pStyle w:val="11"/>
            </w:pPr>
          </w:p>
        </w:tc>
      </w:tr>
      <w:tr w14:paraId="2D61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3072C">
            <w:pPr>
              <w:pStyle w:val="13"/>
            </w:pPr>
            <w:r>
              <w:t>10</w:t>
            </w:r>
          </w:p>
        </w:tc>
        <w:tc>
          <w:tcPr>
            <w:tcW w:w="4535" w:type="dxa"/>
            <w:vAlign w:val="center"/>
          </w:tcPr>
          <w:p w14:paraId="039093A3">
            <w:pPr>
              <w:pStyle w:val="12"/>
            </w:pPr>
          </w:p>
        </w:tc>
        <w:tc>
          <w:tcPr>
            <w:tcW w:w="2126" w:type="dxa"/>
            <w:vAlign w:val="center"/>
          </w:tcPr>
          <w:p w14:paraId="43D7190A">
            <w:pPr>
              <w:pStyle w:val="11"/>
            </w:pPr>
          </w:p>
        </w:tc>
        <w:tc>
          <w:tcPr>
            <w:tcW w:w="4535" w:type="dxa"/>
            <w:vAlign w:val="center"/>
          </w:tcPr>
          <w:p w14:paraId="52C9722C">
            <w:pPr>
              <w:pStyle w:val="12"/>
            </w:pPr>
            <w:r>
              <w:t>十、卫生健康支出</w:t>
            </w:r>
          </w:p>
        </w:tc>
        <w:tc>
          <w:tcPr>
            <w:tcW w:w="2126" w:type="dxa"/>
            <w:vAlign w:val="center"/>
          </w:tcPr>
          <w:p w14:paraId="1EAB1D33">
            <w:pPr>
              <w:pStyle w:val="11"/>
            </w:pPr>
          </w:p>
        </w:tc>
      </w:tr>
      <w:tr w14:paraId="5AFD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1A333">
            <w:pPr>
              <w:pStyle w:val="13"/>
            </w:pPr>
            <w:r>
              <w:t>11</w:t>
            </w:r>
          </w:p>
        </w:tc>
        <w:tc>
          <w:tcPr>
            <w:tcW w:w="4535" w:type="dxa"/>
            <w:vAlign w:val="center"/>
          </w:tcPr>
          <w:p w14:paraId="59667792">
            <w:pPr>
              <w:pStyle w:val="12"/>
            </w:pPr>
          </w:p>
        </w:tc>
        <w:tc>
          <w:tcPr>
            <w:tcW w:w="2126" w:type="dxa"/>
            <w:vAlign w:val="center"/>
          </w:tcPr>
          <w:p w14:paraId="22695792">
            <w:pPr>
              <w:pStyle w:val="11"/>
            </w:pPr>
          </w:p>
        </w:tc>
        <w:tc>
          <w:tcPr>
            <w:tcW w:w="4535" w:type="dxa"/>
            <w:vAlign w:val="center"/>
          </w:tcPr>
          <w:p w14:paraId="47295499">
            <w:pPr>
              <w:pStyle w:val="12"/>
            </w:pPr>
            <w:r>
              <w:t>十一、节能环保支出</w:t>
            </w:r>
          </w:p>
        </w:tc>
        <w:tc>
          <w:tcPr>
            <w:tcW w:w="2126" w:type="dxa"/>
            <w:vAlign w:val="center"/>
          </w:tcPr>
          <w:p w14:paraId="5A9C1F0B">
            <w:pPr>
              <w:pStyle w:val="11"/>
            </w:pPr>
          </w:p>
        </w:tc>
      </w:tr>
      <w:tr w14:paraId="2095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FE8C">
            <w:pPr>
              <w:pStyle w:val="13"/>
            </w:pPr>
            <w:r>
              <w:t>12</w:t>
            </w:r>
          </w:p>
        </w:tc>
        <w:tc>
          <w:tcPr>
            <w:tcW w:w="4535" w:type="dxa"/>
            <w:vAlign w:val="center"/>
          </w:tcPr>
          <w:p w14:paraId="72250D42">
            <w:pPr>
              <w:pStyle w:val="12"/>
            </w:pPr>
          </w:p>
        </w:tc>
        <w:tc>
          <w:tcPr>
            <w:tcW w:w="2126" w:type="dxa"/>
            <w:vAlign w:val="center"/>
          </w:tcPr>
          <w:p w14:paraId="1E66BD0B">
            <w:pPr>
              <w:pStyle w:val="11"/>
            </w:pPr>
          </w:p>
        </w:tc>
        <w:tc>
          <w:tcPr>
            <w:tcW w:w="4535" w:type="dxa"/>
            <w:vAlign w:val="center"/>
          </w:tcPr>
          <w:p w14:paraId="0C66A132">
            <w:pPr>
              <w:pStyle w:val="12"/>
            </w:pPr>
            <w:r>
              <w:t>十二、城乡社区支出</w:t>
            </w:r>
          </w:p>
        </w:tc>
        <w:tc>
          <w:tcPr>
            <w:tcW w:w="2126" w:type="dxa"/>
            <w:vAlign w:val="center"/>
          </w:tcPr>
          <w:p w14:paraId="6A0488D3">
            <w:pPr>
              <w:pStyle w:val="11"/>
            </w:pPr>
          </w:p>
        </w:tc>
      </w:tr>
      <w:tr w14:paraId="7258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FF6D">
            <w:pPr>
              <w:pStyle w:val="13"/>
            </w:pPr>
            <w:r>
              <w:t>13</w:t>
            </w:r>
          </w:p>
        </w:tc>
        <w:tc>
          <w:tcPr>
            <w:tcW w:w="4535" w:type="dxa"/>
            <w:vAlign w:val="center"/>
          </w:tcPr>
          <w:p w14:paraId="4D389C81">
            <w:pPr>
              <w:pStyle w:val="12"/>
            </w:pPr>
          </w:p>
        </w:tc>
        <w:tc>
          <w:tcPr>
            <w:tcW w:w="2126" w:type="dxa"/>
            <w:vAlign w:val="center"/>
          </w:tcPr>
          <w:p w14:paraId="381B7366">
            <w:pPr>
              <w:pStyle w:val="11"/>
            </w:pPr>
          </w:p>
        </w:tc>
        <w:tc>
          <w:tcPr>
            <w:tcW w:w="4535" w:type="dxa"/>
            <w:vAlign w:val="center"/>
          </w:tcPr>
          <w:p w14:paraId="6D90EAAC">
            <w:pPr>
              <w:pStyle w:val="12"/>
            </w:pPr>
            <w:r>
              <w:t>十三、农林水支出</w:t>
            </w:r>
          </w:p>
        </w:tc>
        <w:tc>
          <w:tcPr>
            <w:tcW w:w="2126" w:type="dxa"/>
            <w:vAlign w:val="center"/>
          </w:tcPr>
          <w:p w14:paraId="0917CB73">
            <w:pPr>
              <w:pStyle w:val="11"/>
            </w:pPr>
          </w:p>
        </w:tc>
      </w:tr>
      <w:tr w14:paraId="35CD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21285">
            <w:pPr>
              <w:pStyle w:val="13"/>
            </w:pPr>
            <w:r>
              <w:t>14</w:t>
            </w:r>
          </w:p>
        </w:tc>
        <w:tc>
          <w:tcPr>
            <w:tcW w:w="4535" w:type="dxa"/>
            <w:vAlign w:val="center"/>
          </w:tcPr>
          <w:p w14:paraId="28E9C9D6">
            <w:pPr>
              <w:pStyle w:val="12"/>
            </w:pPr>
          </w:p>
        </w:tc>
        <w:tc>
          <w:tcPr>
            <w:tcW w:w="2126" w:type="dxa"/>
            <w:vAlign w:val="center"/>
          </w:tcPr>
          <w:p w14:paraId="05A67C40">
            <w:pPr>
              <w:pStyle w:val="11"/>
            </w:pPr>
          </w:p>
        </w:tc>
        <w:tc>
          <w:tcPr>
            <w:tcW w:w="4535" w:type="dxa"/>
            <w:vAlign w:val="center"/>
          </w:tcPr>
          <w:p w14:paraId="27F9DDC9">
            <w:pPr>
              <w:pStyle w:val="12"/>
            </w:pPr>
            <w:r>
              <w:t>十四、交通运输支出</w:t>
            </w:r>
          </w:p>
        </w:tc>
        <w:tc>
          <w:tcPr>
            <w:tcW w:w="2126" w:type="dxa"/>
            <w:vAlign w:val="center"/>
          </w:tcPr>
          <w:p w14:paraId="4683BB43">
            <w:pPr>
              <w:pStyle w:val="11"/>
            </w:pPr>
          </w:p>
        </w:tc>
      </w:tr>
      <w:tr w14:paraId="30308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1929">
            <w:pPr>
              <w:pStyle w:val="13"/>
            </w:pPr>
            <w:r>
              <w:t>15</w:t>
            </w:r>
          </w:p>
        </w:tc>
        <w:tc>
          <w:tcPr>
            <w:tcW w:w="4535" w:type="dxa"/>
            <w:vAlign w:val="center"/>
          </w:tcPr>
          <w:p w14:paraId="33173D36">
            <w:pPr>
              <w:pStyle w:val="12"/>
            </w:pPr>
          </w:p>
        </w:tc>
        <w:tc>
          <w:tcPr>
            <w:tcW w:w="2126" w:type="dxa"/>
            <w:vAlign w:val="center"/>
          </w:tcPr>
          <w:p w14:paraId="40EF0F9A">
            <w:pPr>
              <w:pStyle w:val="11"/>
            </w:pPr>
          </w:p>
        </w:tc>
        <w:tc>
          <w:tcPr>
            <w:tcW w:w="4535" w:type="dxa"/>
            <w:vAlign w:val="center"/>
          </w:tcPr>
          <w:p w14:paraId="184E35BA">
            <w:pPr>
              <w:pStyle w:val="12"/>
            </w:pPr>
            <w:r>
              <w:t>十五、资源勘探工业信息等支出</w:t>
            </w:r>
          </w:p>
        </w:tc>
        <w:tc>
          <w:tcPr>
            <w:tcW w:w="2126" w:type="dxa"/>
            <w:vAlign w:val="center"/>
          </w:tcPr>
          <w:p w14:paraId="4C1D1B6C">
            <w:pPr>
              <w:pStyle w:val="11"/>
            </w:pPr>
          </w:p>
        </w:tc>
      </w:tr>
      <w:tr w14:paraId="0BC7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DFA4">
            <w:pPr>
              <w:pStyle w:val="13"/>
            </w:pPr>
            <w:r>
              <w:t>16</w:t>
            </w:r>
          </w:p>
        </w:tc>
        <w:tc>
          <w:tcPr>
            <w:tcW w:w="4535" w:type="dxa"/>
            <w:vAlign w:val="center"/>
          </w:tcPr>
          <w:p w14:paraId="4BAFDCCC">
            <w:pPr>
              <w:pStyle w:val="12"/>
            </w:pPr>
          </w:p>
        </w:tc>
        <w:tc>
          <w:tcPr>
            <w:tcW w:w="2126" w:type="dxa"/>
            <w:vAlign w:val="center"/>
          </w:tcPr>
          <w:p w14:paraId="51741362">
            <w:pPr>
              <w:pStyle w:val="11"/>
            </w:pPr>
          </w:p>
        </w:tc>
        <w:tc>
          <w:tcPr>
            <w:tcW w:w="4535" w:type="dxa"/>
            <w:vAlign w:val="center"/>
          </w:tcPr>
          <w:p w14:paraId="13775A28">
            <w:pPr>
              <w:pStyle w:val="12"/>
            </w:pPr>
            <w:r>
              <w:t>十六、商业服务业等支出</w:t>
            </w:r>
          </w:p>
        </w:tc>
        <w:tc>
          <w:tcPr>
            <w:tcW w:w="2126" w:type="dxa"/>
            <w:vAlign w:val="center"/>
          </w:tcPr>
          <w:p w14:paraId="6ED8EE29">
            <w:pPr>
              <w:pStyle w:val="11"/>
            </w:pPr>
          </w:p>
        </w:tc>
      </w:tr>
      <w:tr w14:paraId="73C7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CB0A">
            <w:pPr>
              <w:pStyle w:val="13"/>
            </w:pPr>
            <w:r>
              <w:t>17</w:t>
            </w:r>
          </w:p>
        </w:tc>
        <w:tc>
          <w:tcPr>
            <w:tcW w:w="4535" w:type="dxa"/>
            <w:vAlign w:val="center"/>
          </w:tcPr>
          <w:p w14:paraId="5871B23B">
            <w:pPr>
              <w:pStyle w:val="12"/>
            </w:pPr>
          </w:p>
        </w:tc>
        <w:tc>
          <w:tcPr>
            <w:tcW w:w="2126" w:type="dxa"/>
            <w:vAlign w:val="center"/>
          </w:tcPr>
          <w:p w14:paraId="4B3C24D1">
            <w:pPr>
              <w:pStyle w:val="11"/>
            </w:pPr>
          </w:p>
        </w:tc>
        <w:tc>
          <w:tcPr>
            <w:tcW w:w="4535" w:type="dxa"/>
            <w:vAlign w:val="center"/>
          </w:tcPr>
          <w:p w14:paraId="3C1E1B96">
            <w:pPr>
              <w:pStyle w:val="12"/>
            </w:pPr>
            <w:r>
              <w:t>十七、金融支出</w:t>
            </w:r>
          </w:p>
        </w:tc>
        <w:tc>
          <w:tcPr>
            <w:tcW w:w="2126" w:type="dxa"/>
            <w:vAlign w:val="center"/>
          </w:tcPr>
          <w:p w14:paraId="3B5A31FA">
            <w:pPr>
              <w:pStyle w:val="11"/>
            </w:pPr>
          </w:p>
        </w:tc>
      </w:tr>
      <w:tr w14:paraId="50FC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E8BE5">
            <w:pPr>
              <w:pStyle w:val="13"/>
            </w:pPr>
            <w:r>
              <w:t>18</w:t>
            </w:r>
          </w:p>
        </w:tc>
        <w:tc>
          <w:tcPr>
            <w:tcW w:w="4535" w:type="dxa"/>
            <w:vAlign w:val="center"/>
          </w:tcPr>
          <w:p w14:paraId="2A1B1AF6">
            <w:pPr>
              <w:pStyle w:val="12"/>
            </w:pPr>
          </w:p>
        </w:tc>
        <w:tc>
          <w:tcPr>
            <w:tcW w:w="2126" w:type="dxa"/>
            <w:vAlign w:val="center"/>
          </w:tcPr>
          <w:p w14:paraId="526AC7C2">
            <w:pPr>
              <w:pStyle w:val="11"/>
            </w:pPr>
          </w:p>
        </w:tc>
        <w:tc>
          <w:tcPr>
            <w:tcW w:w="4535" w:type="dxa"/>
            <w:vAlign w:val="center"/>
          </w:tcPr>
          <w:p w14:paraId="49D16D86">
            <w:pPr>
              <w:pStyle w:val="12"/>
            </w:pPr>
            <w:r>
              <w:t>十八、援助其他地区支出</w:t>
            </w:r>
          </w:p>
        </w:tc>
        <w:tc>
          <w:tcPr>
            <w:tcW w:w="2126" w:type="dxa"/>
            <w:vAlign w:val="center"/>
          </w:tcPr>
          <w:p w14:paraId="08BAD53A">
            <w:pPr>
              <w:pStyle w:val="11"/>
            </w:pPr>
          </w:p>
        </w:tc>
      </w:tr>
      <w:tr w14:paraId="4132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17A2B">
            <w:pPr>
              <w:pStyle w:val="13"/>
            </w:pPr>
            <w:r>
              <w:t>19</w:t>
            </w:r>
          </w:p>
        </w:tc>
        <w:tc>
          <w:tcPr>
            <w:tcW w:w="4535" w:type="dxa"/>
            <w:vAlign w:val="center"/>
          </w:tcPr>
          <w:p w14:paraId="12335E9D">
            <w:pPr>
              <w:pStyle w:val="12"/>
            </w:pPr>
          </w:p>
        </w:tc>
        <w:tc>
          <w:tcPr>
            <w:tcW w:w="2126" w:type="dxa"/>
            <w:vAlign w:val="center"/>
          </w:tcPr>
          <w:p w14:paraId="3F9A8C6F">
            <w:pPr>
              <w:pStyle w:val="11"/>
            </w:pPr>
          </w:p>
        </w:tc>
        <w:tc>
          <w:tcPr>
            <w:tcW w:w="4535" w:type="dxa"/>
            <w:vAlign w:val="center"/>
          </w:tcPr>
          <w:p w14:paraId="1CDA8435">
            <w:pPr>
              <w:pStyle w:val="12"/>
            </w:pPr>
            <w:r>
              <w:t>十九、自然资源海洋气象等支出</w:t>
            </w:r>
          </w:p>
        </w:tc>
        <w:tc>
          <w:tcPr>
            <w:tcW w:w="2126" w:type="dxa"/>
            <w:vAlign w:val="center"/>
          </w:tcPr>
          <w:p w14:paraId="7F706CA5">
            <w:pPr>
              <w:pStyle w:val="11"/>
            </w:pPr>
          </w:p>
        </w:tc>
      </w:tr>
      <w:tr w14:paraId="2C31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551F6">
            <w:pPr>
              <w:pStyle w:val="13"/>
            </w:pPr>
            <w:r>
              <w:t>20</w:t>
            </w:r>
          </w:p>
        </w:tc>
        <w:tc>
          <w:tcPr>
            <w:tcW w:w="4535" w:type="dxa"/>
            <w:vAlign w:val="center"/>
          </w:tcPr>
          <w:p w14:paraId="5DBCE951">
            <w:pPr>
              <w:pStyle w:val="12"/>
            </w:pPr>
          </w:p>
        </w:tc>
        <w:tc>
          <w:tcPr>
            <w:tcW w:w="2126" w:type="dxa"/>
            <w:vAlign w:val="center"/>
          </w:tcPr>
          <w:p w14:paraId="23084EFC">
            <w:pPr>
              <w:pStyle w:val="11"/>
            </w:pPr>
          </w:p>
        </w:tc>
        <w:tc>
          <w:tcPr>
            <w:tcW w:w="4535" w:type="dxa"/>
            <w:vAlign w:val="center"/>
          </w:tcPr>
          <w:p w14:paraId="43F03999">
            <w:pPr>
              <w:pStyle w:val="12"/>
            </w:pPr>
            <w:r>
              <w:t>二十、住房保障支出</w:t>
            </w:r>
          </w:p>
        </w:tc>
        <w:tc>
          <w:tcPr>
            <w:tcW w:w="2126" w:type="dxa"/>
            <w:vAlign w:val="center"/>
          </w:tcPr>
          <w:p w14:paraId="037B2321">
            <w:pPr>
              <w:pStyle w:val="11"/>
            </w:pPr>
          </w:p>
        </w:tc>
      </w:tr>
      <w:tr w14:paraId="7623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14D4">
            <w:pPr>
              <w:pStyle w:val="13"/>
            </w:pPr>
            <w:r>
              <w:t>21</w:t>
            </w:r>
          </w:p>
        </w:tc>
        <w:tc>
          <w:tcPr>
            <w:tcW w:w="4535" w:type="dxa"/>
            <w:vAlign w:val="center"/>
          </w:tcPr>
          <w:p w14:paraId="7C31266C">
            <w:pPr>
              <w:pStyle w:val="12"/>
            </w:pPr>
          </w:p>
        </w:tc>
        <w:tc>
          <w:tcPr>
            <w:tcW w:w="2126" w:type="dxa"/>
            <w:vAlign w:val="center"/>
          </w:tcPr>
          <w:p w14:paraId="65612EC0">
            <w:pPr>
              <w:pStyle w:val="11"/>
            </w:pPr>
          </w:p>
        </w:tc>
        <w:tc>
          <w:tcPr>
            <w:tcW w:w="4535" w:type="dxa"/>
            <w:vAlign w:val="center"/>
          </w:tcPr>
          <w:p w14:paraId="2C3DDE2D">
            <w:pPr>
              <w:pStyle w:val="12"/>
            </w:pPr>
            <w:r>
              <w:t>二十一、粮油物资储备支出</w:t>
            </w:r>
          </w:p>
        </w:tc>
        <w:tc>
          <w:tcPr>
            <w:tcW w:w="2126" w:type="dxa"/>
            <w:vAlign w:val="center"/>
          </w:tcPr>
          <w:p w14:paraId="1D8DB098">
            <w:pPr>
              <w:pStyle w:val="11"/>
            </w:pPr>
          </w:p>
        </w:tc>
      </w:tr>
      <w:tr w14:paraId="681F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0D40">
            <w:pPr>
              <w:pStyle w:val="13"/>
            </w:pPr>
            <w:r>
              <w:t>22</w:t>
            </w:r>
          </w:p>
        </w:tc>
        <w:tc>
          <w:tcPr>
            <w:tcW w:w="4535" w:type="dxa"/>
            <w:vAlign w:val="center"/>
          </w:tcPr>
          <w:p w14:paraId="31BD4D2F">
            <w:pPr>
              <w:pStyle w:val="12"/>
            </w:pPr>
          </w:p>
        </w:tc>
        <w:tc>
          <w:tcPr>
            <w:tcW w:w="2126" w:type="dxa"/>
            <w:vAlign w:val="center"/>
          </w:tcPr>
          <w:p w14:paraId="2E36DB4F">
            <w:pPr>
              <w:pStyle w:val="11"/>
            </w:pPr>
          </w:p>
        </w:tc>
        <w:tc>
          <w:tcPr>
            <w:tcW w:w="4535" w:type="dxa"/>
            <w:vAlign w:val="center"/>
          </w:tcPr>
          <w:p w14:paraId="79422422">
            <w:pPr>
              <w:pStyle w:val="12"/>
            </w:pPr>
            <w:r>
              <w:t>二十二、国有资本经营预算支出</w:t>
            </w:r>
          </w:p>
        </w:tc>
        <w:tc>
          <w:tcPr>
            <w:tcW w:w="2126" w:type="dxa"/>
            <w:vAlign w:val="center"/>
          </w:tcPr>
          <w:p w14:paraId="28AA7FFB">
            <w:pPr>
              <w:pStyle w:val="11"/>
            </w:pPr>
          </w:p>
        </w:tc>
      </w:tr>
      <w:tr w14:paraId="68EE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3B00">
            <w:pPr>
              <w:pStyle w:val="13"/>
            </w:pPr>
            <w:r>
              <w:t>23</w:t>
            </w:r>
          </w:p>
        </w:tc>
        <w:tc>
          <w:tcPr>
            <w:tcW w:w="4535" w:type="dxa"/>
            <w:vAlign w:val="center"/>
          </w:tcPr>
          <w:p w14:paraId="60CCB257">
            <w:pPr>
              <w:pStyle w:val="12"/>
            </w:pPr>
          </w:p>
        </w:tc>
        <w:tc>
          <w:tcPr>
            <w:tcW w:w="2126" w:type="dxa"/>
            <w:vAlign w:val="center"/>
          </w:tcPr>
          <w:p w14:paraId="7D5084E8">
            <w:pPr>
              <w:pStyle w:val="11"/>
            </w:pPr>
          </w:p>
        </w:tc>
        <w:tc>
          <w:tcPr>
            <w:tcW w:w="4535" w:type="dxa"/>
            <w:vAlign w:val="center"/>
          </w:tcPr>
          <w:p w14:paraId="68C33707">
            <w:pPr>
              <w:pStyle w:val="12"/>
            </w:pPr>
            <w:r>
              <w:t>二十三、灾害防治及应急管理支出</w:t>
            </w:r>
          </w:p>
        </w:tc>
        <w:tc>
          <w:tcPr>
            <w:tcW w:w="2126" w:type="dxa"/>
            <w:vAlign w:val="center"/>
          </w:tcPr>
          <w:p w14:paraId="31D94111">
            <w:pPr>
              <w:pStyle w:val="11"/>
            </w:pPr>
          </w:p>
        </w:tc>
      </w:tr>
      <w:tr w14:paraId="0A92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0FE42">
            <w:pPr>
              <w:pStyle w:val="13"/>
            </w:pPr>
            <w:r>
              <w:t>24</w:t>
            </w:r>
          </w:p>
        </w:tc>
        <w:tc>
          <w:tcPr>
            <w:tcW w:w="4535" w:type="dxa"/>
            <w:vAlign w:val="center"/>
          </w:tcPr>
          <w:p w14:paraId="2C30E872">
            <w:pPr>
              <w:pStyle w:val="12"/>
            </w:pPr>
          </w:p>
        </w:tc>
        <w:tc>
          <w:tcPr>
            <w:tcW w:w="2126" w:type="dxa"/>
            <w:vAlign w:val="center"/>
          </w:tcPr>
          <w:p w14:paraId="41A5E9D7">
            <w:pPr>
              <w:pStyle w:val="11"/>
            </w:pPr>
          </w:p>
        </w:tc>
        <w:tc>
          <w:tcPr>
            <w:tcW w:w="4535" w:type="dxa"/>
            <w:vAlign w:val="center"/>
          </w:tcPr>
          <w:p w14:paraId="67446B6F">
            <w:pPr>
              <w:pStyle w:val="12"/>
            </w:pPr>
            <w:r>
              <w:t>二十四、预备费</w:t>
            </w:r>
          </w:p>
        </w:tc>
        <w:tc>
          <w:tcPr>
            <w:tcW w:w="2126" w:type="dxa"/>
            <w:vAlign w:val="center"/>
          </w:tcPr>
          <w:p w14:paraId="2E953685">
            <w:pPr>
              <w:pStyle w:val="11"/>
            </w:pPr>
          </w:p>
        </w:tc>
      </w:tr>
      <w:tr w14:paraId="6BB2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4E456">
            <w:pPr>
              <w:pStyle w:val="13"/>
            </w:pPr>
            <w:r>
              <w:t>25</w:t>
            </w:r>
          </w:p>
        </w:tc>
        <w:tc>
          <w:tcPr>
            <w:tcW w:w="4535" w:type="dxa"/>
            <w:vAlign w:val="center"/>
          </w:tcPr>
          <w:p w14:paraId="54AAFB51">
            <w:pPr>
              <w:pStyle w:val="12"/>
            </w:pPr>
          </w:p>
        </w:tc>
        <w:tc>
          <w:tcPr>
            <w:tcW w:w="2126" w:type="dxa"/>
            <w:vAlign w:val="center"/>
          </w:tcPr>
          <w:p w14:paraId="02AFB5D9">
            <w:pPr>
              <w:pStyle w:val="11"/>
            </w:pPr>
          </w:p>
        </w:tc>
        <w:tc>
          <w:tcPr>
            <w:tcW w:w="4535" w:type="dxa"/>
            <w:vAlign w:val="center"/>
          </w:tcPr>
          <w:p w14:paraId="74651CAB">
            <w:pPr>
              <w:pStyle w:val="12"/>
            </w:pPr>
            <w:r>
              <w:t>二十五、其他支出</w:t>
            </w:r>
          </w:p>
        </w:tc>
        <w:tc>
          <w:tcPr>
            <w:tcW w:w="2126" w:type="dxa"/>
            <w:vAlign w:val="center"/>
          </w:tcPr>
          <w:p w14:paraId="4B68112D">
            <w:pPr>
              <w:pStyle w:val="11"/>
            </w:pPr>
          </w:p>
        </w:tc>
      </w:tr>
      <w:tr w14:paraId="55A6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C7238">
            <w:pPr>
              <w:pStyle w:val="13"/>
            </w:pPr>
            <w:r>
              <w:t>26</w:t>
            </w:r>
          </w:p>
        </w:tc>
        <w:tc>
          <w:tcPr>
            <w:tcW w:w="4535" w:type="dxa"/>
            <w:vAlign w:val="center"/>
          </w:tcPr>
          <w:p w14:paraId="6A621AAC">
            <w:pPr>
              <w:pStyle w:val="12"/>
            </w:pPr>
          </w:p>
        </w:tc>
        <w:tc>
          <w:tcPr>
            <w:tcW w:w="2126" w:type="dxa"/>
            <w:vAlign w:val="center"/>
          </w:tcPr>
          <w:p w14:paraId="1914277F">
            <w:pPr>
              <w:pStyle w:val="11"/>
            </w:pPr>
          </w:p>
        </w:tc>
        <w:tc>
          <w:tcPr>
            <w:tcW w:w="4535" w:type="dxa"/>
            <w:vAlign w:val="center"/>
          </w:tcPr>
          <w:p w14:paraId="6393119E">
            <w:pPr>
              <w:pStyle w:val="12"/>
            </w:pPr>
            <w:r>
              <w:t>二十六、转移性支出</w:t>
            </w:r>
          </w:p>
        </w:tc>
        <w:tc>
          <w:tcPr>
            <w:tcW w:w="2126" w:type="dxa"/>
            <w:vAlign w:val="center"/>
          </w:tcPr>
          <w:p w14:paraId="3E8BF083">
            <w:pPr>
              <w:pStyle w:val="11"/>
            </w:pPr>
          </w:p>
        </w:tc>
      </w:tr>
      <w:tr w14:paraId="7D0D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1E48">
            <w:pPr>
              <w:pStyle w:val="13"/>
            </w:pPr>
            <w:r>
              <w:t>27</w:t>
            </w:r>
          </w:p>
        </w:tc>
        <w:tc>
          <w:tcPr>
            <w:tcW w:w="4535" w:type="dxa"/>
            <w:vAlign w:val="center"/>
          </w:tcPr>
          <w:p w14:paraId="05100D87">
            <w:pPr>
              <w:pStyle w:val="12"/>
            </w:pPr>
          </w:p>
        </w:tc>
        <w:tc>
          <w:tcPr>
            <w:tcW w:w="2126" w:type="dxa"/>
            <w:vAlign w:val="center"/>
          </w:tcPr>
          <w:p w14:paraId="34CB7989">
            <w:pPr>
              <w:pStyle w:val="11"/>
            </w:pPr>
          </w:p>
        </w:tc>
        <w:tc>
          <w:tcPr>
            <w:tcW w:w="4535" w:type="dxa"/>
            <w:vAlign w:val="center"/>
          </w:tcPr>
          <w:p w14:paraId="7574A60C">
            <w:pPr>
              <w:pStyle w:val="12"/>
            </w:pPr>
            <w:r>
              <w:t>二十七、债务还本支出</w:t>
            </w:r>
          </w:p>
        </w:tc>
        <w:tc>
          <w:tcPr>
            <w:tcW w:w="2126" w:type="dxa"/>
            <w:vAlign w:val="center"/>
          </w:tcPr>
          <w:p w14:paraId="7ED20532">
            <w:pPr>
              <w:pStyle w:val="11"/>
            </w:pPr>
          </w:p>
        </w:tc>
      </w:tr>
      <w:tr w14:paraId="7985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17EA1">
            <w:pPr>
              <w:pStyle w:val="13"/>
            </w:pPr>
            <w:r>
              <w:t>28</w:t>
            </w:r>
          </w:p>
        </w:tc>
        <w:tc>
          <w:tcPr>
            <w:tcW w:w="4535" w:type="dxa"/>
            <w:vAlign w:val="center"/>
          </w:tcPr>
          <w:p w14:paraId="3FFEDB00">
            <w:pPr>
              <w:pStyle w:val="12"/>
            </w:pPr>
          </w:p>
        </w:tc>
        <w:tc>
          <w:tcPr>
            <w:tcW w:w="2126" w:type="dxa"/>
            <w:vAlign w:val="center"/>
          </w:tcPr>
          <w:p w14:paraId="7E70B635">
            <w:pPr>
              <w:pStyle w:val="11"/>
            </w:pPr>
          </w:p>
        </w:tc>
        <w:tc>
          <w:tcPr>
            <w:tcW w:w="4535" w:type="dxa"/>
            <w:vAlign w:val="center"/>
          </w:tcPr>
          <w:p w14:paraId="4F520125">
            <w:pPr>
              <w:pStyle w:val="12"/>
            </w:pPr>
            <w:r>
              <w:t>二十八、债务付息支出</w:t>
            </w:r>
          </w:p>
        </w:tc>
        <w:tc>
          <w:tcPr>
            <w:tcW w:w="2126" w:type="dxa"/>
            <w:vAlign w:val="center"/>
          </w:tcPr>
          <w:p w14:paraId="4883137B">
            <w:pPr>
              <w:pStyle w:val="11"/>
            </w:pPr>
          </w:p>
        </w:tc>
      </w:tr>
      <w:tr w14:paraId="7838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BBB88">
            <w:pPr>
              <w:pStyle w:val="13"/>
            </w:pPr>
            <w:r>
              <w:t>29</w:t>
            </w:r>
          </w:p>
        </w:tc>
        <w:tc>
          <w:tcPr>
            <w:tcW w:w="4535" w:type="dxa"/>
            <w:vAlign w:val="center"/>
          </w:tcPr>
          <w:p w14:paraId="5A471540">
            <w:pPr>
              <w:pStyle w:val="12"/>
            </w:pPr>
          </w:p>
        </w:tc>
        <w:tc>
          <w:tcPr>
            <w:tcW w:w="2126" w:type="dxa"/>
            <w:vAlign w:val="center"/>
          </w:tcPr>
          <w:p w14:paraId="003175AE">
            <w:pPr>
              <w:pStyle w:val="11"/>
            </w:pPr>
          </w:p>
        </w:tc>
        <w:tc>
          <w:tcPr>
            <w:tcW w:w="4535" w:type="dxa"/>
            <w:vAlign w:val="center"/>
          </w:tcPr>
          <w:p w14:paraId="138C6B9C">
            <w:pPr>
              <w:pStyle w:val="12"/>
            </w:pPr>
            <w:r>
              <w:t>二十九、债务发行费用支出</w:t>
            </w:r>
          </w:p>
        </w:tc>
        <w:tc>
          <w:tcPr>
            <w:tcW w:w="2126" w:type="dxa"/>
            <w:vAlign w:val="center"/>
          </w:tcPr>
          <w:p w14:paraId="054C9BE4">
            <w:pPr>
              <w:pStyle w:val="11"/>
            </w:pPr>
          </w:p>
        </w:tc>
      </w:tr>
      <w:tr w14:paraId="53DCF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E221D">
            <w:pPr>
              <w:pStyle w:val="13"/>
            </w:pPr>
            <w:r>
              <w:t>30</w:t>
            </w:r>
          </w:p>
        </w:tc>
        <w:tc>
          <w:tcPr>
            <w:tcW w:w="4535" w:type="dxa"/>
            <w:vAlign w:val="center"/>
          </w:tcPr>
          <w:p w14:paraId="6B1DC163">
            <w:pPr>
              <w:pStyle w:val="12"/>
            </w:pPr>
          </w:p>
        </w:tc>
        <w:tc>
          <w:tcPr>
            <w:tcW w:w="2126" w:type="dxa"/>
            <w:vAlign w:val="center"/>
          </w:tcPr>
          <w:p w14:paraId="356DFD5A">
            <w:pPr>
              <w:pStyle w:val="11"/>
            </w:pPr>
          </w:p>
        </w:tc>
        <w:tc>
          <w:tcPr>
            <w:tcW w:w="4535" w:type="dxa"/>
            <w:vAlign w:val="center"/>
          </w:tcPr>
          <w:p w14:paraId="28CD7852">
            <w:pPr>
              <w:pStyle w:val="12"/>
            </w:pPr>
            <w:r>
              <w:t>三十、抗疫特别国债安排的支出</w:t>
            </w:r>
          </w:p>
        </w:tc>
        <w:tc>
          <w:tcPr>
            <w:tcW w:w="2126" w:type="dxa"/>
            <w:vAlign w:val="center"/>
          </w:tcPr>
          <w:p w14:paraId="24D675C6">
            <w:pPr>
              <w:pStyle w:val="11"/>
            </w:pPr>
          </w:p>
        </w:tc>
      </w:tr>
      <w:tr w14:paraId="5C2C32FE">
        <w:tblPrEx>
          <w:tblCellMar>
            <w:top w:w="0" w:type="dxa"/>
            <w:left w:w="108" w:type="dxa"/>
            <w:bottom w:w="0" w:type="dxa"/>
            <w:right w:w="108" w:type="dxa"/>
          </w:tblCellMar>
        </w:tblPrEx>
        <w:trPr>
          <w:trHeight w:val="369" w:hRule="atLeast"/>
          <w:jc w:val="center"/>
        </w:trPr>
        <w:tc>
          <w:tcPr>
            <w:tcW w:w="850" w:type="dxa"/>
            <w:vAlign w:val="center"/>
          </w:tcPr>
          <w:p w14:paraId="38835388">
            <w:pPr>
              <w:pStyle w:val="13"/>
            </w:pPr>
            <w:r>
              <w:t>31</w:t>
            </w:r>
          </w:p>
        </w:tc>
        <w:tc>
          <w:tcPr>
            <w:tcW w:w="4535" w:type="dxa"/>
            <w:vAlign w:val="center"/>
          </w:tcPr>
          <w:p w14:paraId="73E91E2A">
            <w:pPr>
              <w:pStyle w:val="14"/>
            </w:pPr>
            <w:r>
              <w:t>本年收入合计</w:t>
            </w:r>
          </w:p>
        </w:tc>
        <w:tc>
          <w:tcPr>
            <w:tcW w:w="2126" w:type="dxa"/>
            <w:vAlign w:val="center"/>
          </w:tcPr>
          <w:p w14:paraId="57D3D7E5">
            <w:pPr>
              <w:pStyle w:val="15"/>
            </w:pPr>
            <w:r>
              <w:t>1100.25</w:t>
            </w:r>
          </w:p>
        </w:tc>
        <w:tc>
          <w:tcPr>
            <w:tcW w:w="4535" w:type="dxa"/>
            <w:vAlign w:val="center"/>
          </w:tcPr>
          <w:p w14:paraId="6BC6AB28">
            <w:pPr>
              <w:pStyle w:val="14"/>
            </w:pPr>
            <w:r>
              <w:t>本年支出合计</w:t>
            </w:r>
          </w:p>
        </w:tc>
        <w:tc>
          <w:tcPr>
            <w:tcW w:w="2126" w:type="dxa"/>
            <w:vAlign w:val="center"/>
          </w:tcPr>
          <w:p w14:paraId="52E2ECDA">
            <w:pPr>
              <w:pStyle w:val="15"/>
            </w:pPr>
            <w:r>
              <w:t>1100.25</w:t>
            </w:r>
          </w:p>
        </w:tc>
      </w:tr>
      <w:tr w14:paraId="5F05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8B51">
            <w:pPr>
              <w:pStyle w:val="13"/>
            </w:pPr>
            <w:r>
              <w:t>32</w:t>
            </w:r>
          </w:p>
        </w:tc>
        <w:tc>
          <w:tcPr>
            <w:tcW w:w="4535" w:type="dxa"/>
            <w:vAlign w:val="center"/>
          </w:tcPr>
          <w:p w14:paraId="151F0AF1">
            <w:pPr>
              <w:pStyle w:val="12"/>
            </w:pPr>
            <w:r>
              <w:t>上年结转结余</w:t>
            </w:r>
          </w:p>
        </w:tc>
        <w:tc>
          <w:tcPr>
            <w:tcW w:w="2126" w:type="dxa"/>
            <w:vAlign w:val="center"/>
          </w:tcPr>
          <w:p w14:paraId="61832C3C">
            <w:pPr>
              <w:pStyle w:val="11"/>
            </w:pPr>
          </w:p>
        </w:tc>
        <w:tc>
          <w:tcPr>
            <w:tcW w:w="4535" w:type="dxa"/>
            <w:vAlign w:val="center"/>
          </w:tcPr>
          <w:p w14:paraId="657306D8">
            <w:pPr>
              <w:pStyle w:val="12"/>
            </w:pPr>
            <w:r>
              <w:t>年终结转结余</w:t>
            </w:r>
          </w:p>
        </w:tc>
        <w:tc>
          <w:tcPr>
            <w:tcW w:w="2126" w:type="dxa"/>
            <w:vAlign w:val="center"/>
          </w:tcPr>
          <w:p w14:paraId="03E55721">
            <w:pPr>
              <w:pStyle w:val="11"/>
            </w:pPr>
          </w:p>
        </w:tc>
      </w:tr>
      <w:tr w14:paraId="3CBFD428">
        <w:tblPrEx>
          <w:tblCellMar>
            <w:top w:w="0" w:type="dxa"/>
            <w:left w:w="108" w:type="dxa"/>
            <w:bottom w:w="0" w:type="dxa"/>
            <w:right w:w="108" w:type="dxa"/>
          </w:tblCellMar>
        </w:tblPrEx>
        <w:trPr>
          <w:trHeight w:val="369" w:hRule="atLeast"/>
          <w:jc w:val="center"/>
        </w:trPr>
        <w:tc>
          <w:tcPr>
            <w:tcW w:w="850" w:type="dxa"/>
            <w:vAlign w:val="center"/>
          </w:tcPr>
          <w:p w14:paraId="23163D47">
            <w:pPr>
              <w:pStyle w:val="13"/>
            </w:pPr>
            <w:r>
              <w:t>33</w:t>
            </w:r>
          </w:p>
        </w:tc>
        <w:tc>
          <w:tcPr>
            <w:tcW w:w="4535" w:type="dxa"/>
            <w:vAlign w:val="center"/>
          </w:tcPr>
          <w:p w14:paraId="7D95BE7A">
            <w:pPr>
              <w:pStyle w:val="14"/>
            </w:pPr>
            <w:r>
              <w:t>收入总计</w:t>
            </w:r>
          </w:p>
        </w:tc>
        <w:tc>
          <w:tcPr>
            <w:tcW w:w="2126" w:type="dxa"/>
            <w:vAlign w:val="center"/>
          </w:tcPr>
          <w:p w14:paraId="21449EF1">
            <w:pPr>
              <w:pStyle w:val="15"/>
            </w:pPr>
            <w:r>
              <w:t>1100.25</w:t>
            </w:r>
          </w:p>
        </w:tc>
        <w:tc>
          <w:tcPr>
            <w:tcW w:w="4535" w:type="dxa"/>
            <w:vAlign w:val="center"/>
          </w:tcPr>
          <w:p w14:paraId="6D4CCB7B">
            <w:pPr>
              <w:pStyle w:val="14"/>
            </w:pPr>
            <w:r>
              <w:t>支出总计</w:t>
            </w:r>
          </w:p>
        </w:tc>
        <w:tc>
          <w:tcPr>
            <w:tcW w:w="2126" w:type="dxa"/>
            <w:vAlign w:val="center"/>
          </w:tcPr>
          <w:p w14:paraId="7256BC8C">
            <w:pPr>
              <w:pStyle w:val="15"/>
            </w:pPr>
            <w:r>
              <w:t>1100.25</w:t>
            </w:r>
          </w:p>
        </w:tc>
      </w:tr>
    </w:tbl>
    <w:p w14:paraId="459054AB">
      <w:pPr>
        <w:sectPr>
          <w:pgSz w:w="16840" w:h="11900" w:orient="landscape"/>
          <w:pgMar w:top="1361" w:right="1020" w:bottom="1134" w:left="1020" w:header="720" w:footer="720" w:gutter="0"/>
          <w:cols w:space="720" w:num="1"/>
        </w:sectPr>
      </w:pPr>
    </w:p>
    <w:p w14:paraId="68CDB4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66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11A6C9">
            <w:pPr>
              <w:pStyle w:val="9"/>
            </w:pPr>
            <w:r>
              <w:t>360032隆尧县双碑中学</w:t>
            </w:r>
          </w:p>
        </w:tc>
        <w:tc>
          <w:tcPr>
            <w:tcW w:w="3402" w:type="dxa"/>
            <w:gridSpan w:val="3"/>
            <w:tcBorders>
              <w:top w:val="single" w:color="FFFFFF" w:sz="6" w:space="0"/>
              <w:left w:val="single" w:color="FFFFFF" w:sz="6" w:space="0"/>
              <w:right w:val="single" w:color="FFFFFF" w:sz="6" w:space="0"/>
            </w:tcBorders>
            <w:vAlign w:val="center"/>
          </w:tcPr>
          <w:p w14:paraId="0AD05CC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B6A4993">
            <w:pPr>
              <w:pStyle w:val="7"/>
            </w:pPr>
            <w:r>
              <w:t>单位：万元</w:t>
            </w:r>
          </w:p>
        </w:tc>
      </w:tr>
      <w:tr w14:paraId="2AA8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E3FD2D">
            <w:pPr>
              <w:pStyle w:val="10"/>
            </w:pPr>
            <w:r>
              <w:t>序号</w:t>
            </w:r>
          </w:p>
        </w:tc>
        <w:tc>
          <w:tcPr>
            <w:tcW w:w="2551" w:type="dxa"/>
            <w:gridSpan w:val="2"/>
            <w:vAlign w:val="center"/>
          </w:tcPr>
          <w:p w14:paraId="5EFE56E6">
            <w:pPr>
              <w:pStyle w:val="10"/>
            </w:pPr>
            <w:r>
              <w:t>功能分类科目</w:t>
            </w:r>
          </w:p>
        </w:tc>
        <w:tc>
          <w:tcPr>
            <w:tcW w:w="1134" w:type="dxa"/>
            <w:vMerge w:val="restart"/>
            <w:vAlign w:val="center"/>
          </w:tcPr>
          <w:p w14:paraId="40118D05">
            <w:pPr>
              <w:pStyle w:val="10"/>
            </w:pPr>
            <w:r>
              <w:t>合计</w:t>
            </w:r>
          </w:p>
        </w:tc>
        <w:tc>
          <w:tcPr>
            <w:tcW w:w="9072" w:type="dxa"/>
            <w:gridSpan w:val="8"/>
            <w:vAlign w:val="center"/>
          </w:tcPr>
          <w:p w14:paraId="2FB39010">
            <w:pPr>
              <w:pStyle w:val="10"/>
            </w:pPr>
            <w:r>
              <w:t>本年收入</w:t>
            </w:r>
          </w:p>
        </w:tc>
        <w:tc>
          <w:tcPr>
            <w:tcW w:w="1134" w:type="dxa"/>
            <w:vMerge w:val="restart"/>
            <w:vAlign w:val="center"/>
          </w:tcPr>
          <w:p w14:paraId="0B967324">
            <w:pPr>
              <w:pStyle w:val="10"/>
            </w:pPr>
            <w:r>
              <w:t>上年结转</w:t>
            </w:r>
          </w:p>
        </w:tc>
      </w:tr>
      <w:tr w14:paraId="315C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C94322"/>
        </w:tc>
        <w:tc>
          <w:tcPr>
            <w:tcW w:w="992" w:type="dxa"/>
            <w:vAlign w:val="center"/>
          </w:tcPr>
          <w:p w14:paraId="6374F385">
            <w:pPr>
              <w:pStyle w:val="10"/>
            </w:pPr>
            <w:r>
              <w:t>科目    编码</w:t>
            </w:r>
          </w:p>
        </w:tc>
        <w:tc>
          <w:tcPr>
            <w:tcW w:w="1559" w:type="dxa"/>
            <w:vAlign w:val="center"/>
          </w:tcPr>
          <w:p w14:paraId="0C4D2E69">
            <w:pPr>
              <w:pStyle w:val="10"/>
            </w:pPr>
            <w:r>
              <w:t>科目名称</w:t>
            </w:r>
          </w:p>
        </w:tc>
        <w:tc>
          <w:tcPr>
            <w:tcW w:w="1134" w:type="dxa"/>
            <w:vMerge w:val="continue"/>
          </w:tcPr>
          <w:p w14:paraId="272408B3"/>
        </w:tc>
        <w:tc>
          <w:tcPr>
            <w:tcW w:w="1134" w:type="dxa"/>
            <w:vAlign w:val="center"/>
          </w:tcPr>
          <w:p w14:paraId="19C5E4F9">
            <w:pPr>
              <w:pStyle w:val="10"/>
            </w:pPr>
            <w:r>
              <w:t>小计</w:t>
            </w:r>
          </w:p>
        </w:tc>
        <w:tc>
          <w:tcPr>
            <w:tcW w:w="1134" w:type="dxa"/>
            <w:vAlign w:val="center"/>
          </w:tcPr>
          <w:p w14:paraId="442F1EA8">
            <w:pPr>
              <w:pStyle w:val="10"/>
            </w:pPr>
            <w:r>
              <w:t>财政拨款 收入</w:t>
            </w:r>
          </w:p>
        </w:tc>
        <w:tc>
          <w:tcPr>
            <w:tcW w:w="1134" w:type="dxa"/>
            <w:vAlign w:val="center"/>
          </w:tcPr>
          <w:p w14:paraId="4D03566E">
            <w:pPr>
              <w:pStyle w:val="10"/>
            </w:pPr>
            <w:r>
              <w:t>财政专户 收入</w:t>
            </w:r>
          </w:p>
        </w:tc>
        <w:tc>
          <w:tcPr>
            <w:tcW w:w="1134" w:type="dxa"/>
            <w:vAlign w:val="center"/>
          </w:tcPr>
          <w:p w14:paraId="3E2F196B">
            <w:pPr>
              <w:pStyle w:val="10"/>
            </w:pPr>
            <w:r>
              <w:t>事业收入</w:t>
            </w:r>
          </w:p>
        </w:tc>
        <w:tc>
          <w:tcPr>
            <w:tcW w:w="1134" w:type="dxa"/>
            <w:vAlign w:val="center"/>
          </w:tcPr>
          <w:p w14:paraId="32AF1592">
            <w:pPr>
              <w:pStyle w:val="10"/>
            </w:pPr>
            <w:r>
              <w:t>经营收入</w:t>
            </w:r>
          </w:p>
        </w:tc>
        <w:tc>
          <w:tcPr>
            <w:tcW w:w="1134" w:type="dxa"/>
            <w:vAlign w:val="center"/>
          </w:tcPr>
          <w:p w14:paraId="624E4299">
            <w:pPr>
              <w:pStyle w:val="10"/>
            </w:pPr>
            <w:r>
              <w:t>上级补助收入</w:t>
            </w:r>
          </w:p>
        </w:tc>
        <w:tc>
          <w:tcPr>
            <w:tcW w:w="1134" w:type="dxa"/>
            <w:vAlign w:val="center"/>
          </w:tcPr>
          <w:p w14:paraId="56FF4A6E">
            <w:pPr>
              <w:pStyle w:val="10"/>
            </w:pPr>
            <w:r>
              <w:t>附属单位上缴收入</w:t>
            </w:r>
          </w:p>
        </w:tc>
        <w:tc>
          <w:tcPr>
            <w:tcW w:w="1134" w:type="dxa"/>
            <w:vAlign w:val="center"/>
          </w:tcPr>
          <w:p w14:paraId="784B40D0">
            <w:pPr>
              <w:pStyle w:val="10"/>
            </w:pPr>
            <w:r>
              <w:t>其他收入</w:t>
            </w:r>
          </w:p>
        </w:tc>
        <w:tc>
          <w:tcPr>
            <w:tcW w:w="1134" w:type="dxa"/>
            <w:vMerge w:val="continue"/>
          </w:tcPr>
          <w:p w14:paraId="462EF837"/>
        </w:tc>
      </w:tr>
      <w:tr w14:paraId="02A7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D3A335">
            <w:pPr>
              <w:pStyle w:val="10"/>
            </w:pPr>
            <w:r>
              <w:t>栏次</w:t>
            </w:r>
          </w:p>
        </w:tc>
        <w:tc>
          <w:tcPr>
            <w:tcW w:w="992" w:type="dxa"/>
            <w:vAlign w:val="center"/>
          </w:tcPr>
          <w:p w14:paraId="6FA36763">
            <w:pPr>
              <w:pStyle w:val="10"/>
            </w:pPr>
            <w:r>
              <w:t>1</w:t>
            </w:r>
          </w:p>
        </w:tc>
        <w:tc>
          <w:tcPr>
            <w:tcW w:w="1559" w:type="dxa"/>
            <w:vAlign w:val="center"/>
          </w:tcPr>
          <w:p w14:paraId="31C71D70">
            <w:pPr>
              <w:pStyle w:val="10"/>
            </w:pPr>
            <w:r>
              <w:t>2</w:t>
            </w:r>
          </w:p>
        </w:tc>
        <w:tc>
          <w:tcPr>
            <w:tcW w:w="1134" w:type="dxa"/>
            <w:vAlign w:val="center"/>
          </w:tcPr>
          <w:p w14:paraId="5655FBC5">
            <w:pPr>
              <w:pStyle w:val="10"/>
            </w:pPr>
            <w:r>
              <w:t>3</w:t>
            </w:r>
          </w:p>
        </w:tc>
        <w:tc>
          <w:tcPr>
            <w:tcW w:w="1134" w:type="dxa"/>
            <w:vAlign w:val="center"/>
          </w:tcPr>
          <w:p w14:paraId="74541551">
            <w:pPr>
              <w:pStyle w:val="10"/>
            </w:pPr>
            <w:r>
              <w:t>4</w:t>
            </w:r>
          </w:p>
        </w:tc>
        <w:tc>
          <w:tcPr>
            <w:tcW w:w="1134" w:type="dxa"/>
            <w:vAlign w:val="center"/>
          </w:tcPr>
          <w:p w14:paraId="6FDE90D6">
            <w:pPr>
              <w:pStyle w:val="10"/>
            </w:pPr>
            <w:r>
              <w:t>5</w:t>
            </w:r>
          </w:p>
        </w:tc>
        <w:tc>
          <w:tcPr>
            <w:tcW w:w="1134" w:type="dxa"/>
            <w:vAlign w:val="center"/>
          </w:tcPr>
          <w:p w14:paraId="3C9989ED">
            <w:pPr>
              <w:pStyle w:val="10"/>
            </w:pPr>
            <w:r>
              <w:t>6</w:t>
            </w:r>
          </w:p>
        </w:tc>
        <w:tc>
          <w:tcPr>
            <w:tcW w:w="1134" w:type="dxa"/>
            <w:vAlign w:val="center"/>
          </w:tcPr>
          <w:p w14:paraId="37241009">
            <w:pPr>
              <w:pStyle w:val="10"/>
            </w:pPr>
            <w:r>
              <w:t>7</w:t>
            </w:r>
          </w:p>
        </w:tc>
        <w:tc>
          <w:tcPr>
            <w:tcW w:w="1134" w:type="dxa"/>
            <w:vAlign w:val="center"/>
          </w:tcPr>
          <w:p w14:paraId="33AF0B2E">
            <w:pPr>
              <w:pStyle w:val="10"/>
            </w:pPr>
            <w:r>
              <w:t>8</w:t>
            </w:r>
          </w:p>
        </w:tc>
        <w:tc>
          <w:tcPr>
            <w:tcW w:w="1134" w:type="dxa"/>
            <w:vAlign w:val="center"/>
          </w:tcPr>
          <w:p w14:paraId="293613FC">
            <w:pPr>
              <w:pStyle w:val="10"/>
            </w:pPr>
            <w:r>
              <w:t>9</w:t>
            </w:r>
          </w:p>
        </w:tc>
        <w:tc>
          <w:tcPr>
            <w:tcW w:w="1134" w:type="dxa"/>
            <w:vAlign w:val="center"/>
          </w:tcPr>
          <w:p w14:paraId="41E3343F">
            <w:pPr>
              <w:pStyle w:val="10"/>
            </w:pPr>
            <w:r>
              <w:t>10</w:t>
            </w:r>
          </w:p>
        </w:tc>
        <w:tc>
          <w:tcPr>
            <w:tcW w:w="1134" w:type="dxa"/>
            <w:vAlign w:val="center"/>
          </w:tcPr>
          <w:p w14:paraId="684A643D">
            <w:pPr>
              <w:pStyle w:val="10"/>
            </w:pPr>
            <w:r>
              <w:t>11</w:t>
            </w:r>
          </w:p>
        </w:tc>
        <w:tc>
          <w:tcPr>
            <w:tcW w:w="1134" w:type="dxa"/>
            <w:vAlign w:val="center"/>
          </w:tcPr>
          <w:p w14:paraId="0B96AC4F">
            <w:pPr>
              <w:pStyle w:val="10"/>
            </w:pPr>
            <w:r>
              <w:t>12</w:t>
            </w:r>
          </w:p>
        </w:tc>
      </w:tr>
      <w:tr w14:paraId="68EE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5E1C5">
            <w:pPr>
              <w:pStyle w:val="13"/>
            </w:pPr>
            <w:r>
              <w:t>1</w:t>
            </w:r>
          </w:p>
        </w:tc>
        <w:tc>
          <w:tcPr>
            <w:tcW w:w="992" w:type="dxa"/>
            <w:vAlign w:val="center"/>
          </w:tcPr>
          <w:p w14:paraId="20D1AFBA">
            <w:pPr>
              <w:pStyle w:val="16"/>
            </w:pPr>
          </w:p>
        </w:tc>
        <w:tc>
          <w:tcPr>
            <w:tcW w:w="1559" w:type="dxa"/>
            <w:vAlign w:val="center"/>
          </w:tcPr>
          <w:p w14:paraId="59DC7862">
            <w:pPr>
              <w:pStyle w:val="14"/>
            </w:pPr>
            <w:r>
              <w:t>合计</w:t>
            </w:r>
          </w:p>
        </w:tc>
        <w:tc>
          <w:tcPr>
            <w:tcW w:w="1134" w:type="dxa"/>
            <w:vAlign w:val="center"/>
          </w:tcPr>
          <w:p w14:paraId="786112A2">
            <w:pPr>
              <w:pStyle w:val="15"/>
            </w:pPr>
            <w:r>
              <w:t>1100.25</w:t>
            </w:r>
          </w:p>
        </w:tc>
        <w:tc>
          <w:tcPr>
            <w:tcW w:w="1134" w:type="dxa"/>
            <w:vAlign w:val="center"/>
          </w:tcPr>
          <w:p w14:paraId="13007DB8">
            <w:pPr>
              <w:pStyle w:val="15"/>
            </w:pPr>
            <w:r>
              <w:t>1100.25</w:t>
            </w:r>
          </w:p>
        </w:tc>
        <w:tc>
          <w:tcPr>
            <w:tcW w:w="1134" w:type="dxa"/>
            <w:vAlign w:val="center"/>
          </w:tcPr>
          <w:p w14:paraId="2FDE6055">
            <w:pPr>
              <w:pStyle w:val="15"/>
            </w:pPr>
            <w:r>
              <w:t>1100.25</w:t>
            </w:r>
          </w:p>
        </w:tc>
        <w:tc>
          <w:tcPr>
            <w:tcW w:w="1134" w:type="dxa"/>
            <w:vAlign w:val="center"/>
          </w:tcPr>
          <w:p w14:paraId="6F09B988">
            <w:pPr>
              <w:pStyle w:val="15"/>
            </w:pPr>
          </w:p>
        </w:tc>
        <w:tc>
          <w:tcPr>
            <w:tcW w:w="1134" w:type="dxa"/>
            <w:vAlign w:val="center"/>
          </w:tcPr>
          <w:p w14:paraId="47196A93">
            <w:pPr>
              <w:pStyle w:val="15"/>
            </w:pPr>
          </w:p>
        </w:tc>
        <w:tc>
          <w:tcPr>
            <w:tcW w:w="1134" w:type="dxa"/>
            <w:vAlign w:val="center"/>
          </w:tcPr>
          <w:p w14:paraId="44B50278">
            <w:pPr>
              <w:pStyle w:val="15"/>
            </w:pPr>
          </w:p>
        </w:tc>
        <w:tc>
          <w:tcPr>
            <w:tcW w:w="1134" w:type="dxa"/>
            <w:vAlign w:val="center"/>
          </w:tcPr>
          <w:p w14:paraId="6AB1F856">
            <w:pPr>
              <w:pStyle w:val="15"/>
            </w:pPr>
          </w:p>
        </w:tc>
        <w:tc>
          <w:tcPr>
            <w:tcW w:w="1134" w:type="dxa"/>
            <w:vAlign w:val="center"/>
          </w:tcPr>
          <w:p w14:paraId="732A6F5A">
            <w:pPr>
              <w:pStyle w:val="15"/>
            </w:pPr>
          </w:p>
        </w:tc>
        <w:tc>
          <w:tcPr>
            <w:tcW w:w="1134" w:type="dxa"/>
            <w:vAlign w:val="center"/>
          </w:tcPr>
          <w:p w14:paraId="68652193">
            <w:pPr>
              <w:pStyle w:val="15"/>
            </w:pPr>
          </w:p>
        </w:tc>
        <w:tc>
          <w:tcPr>
            <w:tcW w:w="1134" w:type="dxa"/>
            <w:vAlign w:val="center"/>
          </w:tcPr>
          <w:p w14:paraId="2E668A3E">
            <w:pPr>
              <w:pStyle w:val="15"/>
            </w:pPr>
          </w:p>
        </w:tc>
      </w:tr>
      <w:tr w14:paraId="453C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AA9A2">
            <w:pPr>
              <w:pStyle w:val="13"/>
            </w:pPr>
            <w:r>
              <w:t>2</w:t>
            </w:r>
          </w:p>
        </w:tc>
        <w:tc>
          <w:tcPr>
            <w:tcW w:w="992" w:type="dxa"/>
            <w:vAlign w:val="center"/>
          </w:tcPr>
          <w:p w14:paraId="07BEB4D9">
            <w:pPr>
              <w:pStyle w:val="12"/>
            </w:pPr>
            <w:r>
              <w:t>205</w:t>
            </w:r>
          </w:p>
        </w:tc>
        <w:tc>
          <w:tcPr>
            <w:tcW w:w="1559" w:type="dxa"/>
            <w:vAlign w:val="center"/>
          </w:tcPr>
          <w:p w14:paraId="3BB2BC62">
            <w:pPr>
              <w:pStyle w:val="12"/>
            </w:pPr>
            <w:r>
              <w:t>教育支出</w:t>
            </w:r>
          </w:p>
        </w:tc>
        <w:tc>
          <w:tcPr>
            <w:tcW w:w="1134" w:type="dxa"/>
            <w:vAlign w:val="center"/>
          </w:tcPr>
          <w:p w14:paraId="6D354B28">
            <w:pPr>
              <w:pStyle w:val="11"/>
            </w:pPr>
            <w:r>
              <w:t>1100.25</w:t>
            </w:r>
          </w:p>
        </w:tc>
        <w:tc>
          <w:tcPr>
            <w:tcW w:w="1134" w:type="dxa"/>
            <w:vAlign w:val="center"/>
          </w:tcPr>
          <w:p w14:paraId="077DF491">
            <w:pPr>
              <w:pStyle w:val="11"/>
            </w:pPr>
            <w:r>
              <w:t>1100.25</w:t>
            </w:r>
          </w:p>
        </w:tc>
        <w:tc>
          <w:tcPr>
            <w:tcW w:w="1134" w:type="dxa"/>
            <w:vAlign w:val="center"/>
          </w:tcPr>
          <w:p w14:paraId="4A75336F">
            <w:pPr>
              <w:pStyle w:val="11"/>
            </w:pPr>
            <w:r>
              <w:t>1100.25</w:t>
            </w:r>
          </w:p>
        </w:tc>
        <w:tc>
          <w:tcPr>
            <w:tcW w:w="1134" w:type="dxa"/>
            <w:vAlign w:val="center"/>
          </w:tcPr>
          <w:p w14:paraId="5E21DACF">
            <w:pPr>
              <w:pStyle w:val="11"/>
            </w:pPr>
          </w:p>
        </w:tc>
        <w:tc>
          <w:tcPr>
            <w:tcW w:w="1134" w:type="dxa"/>
            <w:vAlign w:val="center"/>
          </w:tcPr>
          <w:p w14:paraId="19946007">
            <w:pPr>
              <w:pStyle w:val="11"/>
            </w:pPr>
          </w:p>
        </w:tc>
        <w:tc>
          <w:tcPr>
            <w:tcW w:w="1134" w:type="dxa"/>
            <w:vAlign w:val="center"/>
          </w:tcPr>
          <w:p w14:paraId="71D4BF20">
            <w:pPr>
              <w:pStyle w:val="11"/>
            </w:pPr>
          </w:p>
        </w:tc>
        <w:tc>
          <w:tcPr>
            <w:tcW w:w="1134" w:type="dxa"/>
            <w:vAlign w:val="center"/>
          </w:tcPr>
          <w:p w14:paraId="03A83044">
            <w:pPr>
              <w:pStyle w:val="11"/>
            </w:pPr>
          </w:p>
        </w:tc>
        <w:tc>
          <w:tcPr>
            <w:tcW w:w="1134" w:type="dxa"/>
            <w:vAlign w:val="center"/>
          </w:tcPr>
          <w:p w14:paraId="3C758069">
            <w:pPr>
              <w:pStyle w:val="11"/>
            </w:pPr>
          </w:p>
        </w:tc>
        <w:tc>
          <w:tcPr>
            <w:tcW w:w="1134" w:type="dxa"/>
            <w:vAlign w:val="center"/>
          </w:tcPr>
          <w:p w14:paraId="013D14B7">
            <w:pPr>
              <w:pStyle w:val="11"/>
            </w:pPr>
          </w:p>
        </w:tc>
        <w:tc>
          <w:tcPr>
            <w:tcW w:w="1134" w:type="dxa"/>
            <w:vAlign w:val="center"/>
          </w:tcPr>
          <w:p w14:paraId="06AD3085">
            <w:pPr>
              <w:pStyle w:val="11"/>
            </w:pPr>
          </w:p>
        </w:tc>
      </w:tr>
      <w:tr w14:paraId="6C5F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75EA9">
            <w:pPr>
              <w:pStyle w:val="13"/>
            </w:pPr>
            <w:r>
              <w:t>3</w:t>
            </w:r>
          </w:p>
        </w:tc>
        <w:tc>
          <w:tcPr>
            <w:tcW w:w="992" w:type="dxa"/>
            <w:vAlign w:val="center"/>
          </w:tcPr>
          <w:p w14:paraId="11A7E18A">
            <w:pPr>
              <w:pStyle w:val="12"/>
            </w:pPr>
            <w:r>
              <w:t>20502</w:t>
            </w:r>
          </w:p>
        </w:tc>
        <w:tc>
          <w:tcPr>
            <w:tcW w:w="1559" w:type="dxa"/>
            <w:vAlign w:val="center"/>
          </w:tcPr>
          <w:p w14:paraId="25662A18">
            <w:pPr>
              <w:pStyle w:val="12"/>
            </w:pPr>
            <w:r>
              <w:t>普通教育</w:t>
            </w:r>
          </w:p>
        </w:tc>
        <w:tc>
          <w:tcPr>
            <w:tcW w:w="1134" w:type="dxa"/>
            <w:vAlign w:val="center"/>
          </w:tcPr>
          <w:p w14:paraId="7E94047B">
            <w:pPr>
              <w:pStyle w:val="11"/>
            </w:pPr>
            <w:r>
              <w:t>1100.25</w:t>
            </w:r>
          </w:p>
        </w:tc>
        <w:tc>
          <w:tcPr>
            <w:tcW w:w="1134" w:type="dxa"/>
            <w:vAlign w:val="center"/>
          </w:tcPr>
          <w:p w14:paraId="6204A49A">
            <w:pPr>
              <w:pStyle w:val="11"/>
            </w:pPr>
            <w:r>
              <w:t>1100.25</w:t>
            </w:r>
          </w:p>
        </w:tc>
        <w:tc>
          <w:tcPr>
            <w:tcW w:w="1134" w:type="dxa"/>
            <w:vAlign w:val="center"/>
          </w:tcPr>
          <w:p w14:paraId="19C75925">
            <w:pPr>
              <w:pStyle w:val="11"/>
            </w:pPr>
            <w:r>
              <w:t>1100.25</w:t>
            </w:r>
          </w:p>
        </w:tc>
        <w:tc>
          <w:tcPr>
            <w:tcW w:w="1134" w:type="dxa"/>
            <w:vAlign w:val="center"/>
          </w:tcPr>
          <w:p w14:paraId="2B05DD9D">
            <w:pPr>
              <w:pStyle w:val="11"/>
            </w:pPr>
          </w:p>
        </w:tc>
        <w:tc>
          <w:tcPr>
            <w:tcW w:w="1134" w:type="dxa"/>
            <w:vAlign w:val="center"/>
          </w:tcPr>
          <w:p w14:paraId="0494E130">
            <w:pPr>
              <w:pStyle w:val="11"/>
            </w:pPr>
          </w:p>
        </w:tc>
        <w:tc>
          <w:tcPr>
            <w:tcW w:w="1134" w:type="dxa"/>
            <w:vAlign w:val="center"/>
          </w:tcPr>
          <w:p w14:paraId="0AE21A91">
            <w:pPr>
              <w:pStyle w:val="11"/>
            </w:pPr>
          </w:p>
        </w:tc>
        <w:tc>
          <w:tcPr>
            <w:tcW w:w="1134" w:type="dxa"/>
            <w:vAlign w:val="center"/>
          </w:tcPr>
          <w:p w14:paraId="20302052">
            <w:pPr>
              <w:pStyle w:val="11"/>
            </w:pPr>
          </w:p>
        </w:tc>
        <w:tc>
          <w:tcPr>
            <w:tcW w:w="1134" w:type="dxa"/>
            <w:vAlign w:val="center"/>
          </w:tcPr>
          <w:p w14:paraId="4FEE66FA">
            <w:pPr>
              <w:pStyle w:val="11"/>
            </w:pPr>
          </w:p>
        </w:tc>
        <w:tc>
          <w:tcPr>
            <w:tcW w:w="1134" w:type="dxa"/>
            <w:vAlign w:val="center"/>
          </w:tcPr>
          <w:p w14:paraId="7BBEF1CC">
            <w:pPr>
              <w:pStyle w:val="11"/>
            </w:pPr>
          </w:p>
        </w:tc>
        <w:tc>
          <w:tcPr>
            <w:tcW w:w="1134" w:type="dxa"/>
            <w:vAlign w:val="center"/>
          </w:tcPr>
          <w:p w14:paraId="65F2E3B9">
            <w:pPr>
              <w:pStyle w:val="11"/>
            </w:pPr>
          </w:p>
        </w:tc>
      </w:tr>
      <w:tr w14:paraId="116D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9996B">
            <w:pPr>
              <w:pStyle w:val="13"/>
            </w:pPr>
            <w:r>
              <w:t>4</w:t>
            </w:r>
          </w:p>
        </w:tc>
        <w:tc>
          <w:tcPr>
            <w:tcW w:w="992" w:type="dxa"/>
            <w:vAlign w:val="center"/>
          </w:tcPr>
          <w:p w14:paraId="08F43F81">
            <w:pPr>
              <w:pStyle w:val="12"/>
            </w:pPr>
            <w:r>
              <w:t>2050203</w:t>
            </w:r>
          </w:p>
        </w:tc>
        <w:tc>
          <w:tcPr>
            <w:tcW w:w="1559" w:type="dxa"/>
            <w:vAlign w:val="center"/>
          </w:tcPr>
          <w:p w14:paraId="20EFA0CD">
            <w:pPr>
              <w:pStyle w:val="12"/>
            </w:pPr>
            <w:r>
              <w:t>初中教育</w:t>
            </w:r>
          </w:p>
        </w:tc>
        <w:tc>
          <w:tcPr>
            <w:tcW w:w="1134" w:type="dxa"/>
            <w:vAlign w:val="center"/>
          </w:tcPr>
          <w:p w14:paraId="5227F31B">
            <w:pPr>
              <w:pStyle w:val="11"/>
            </w:pPr>
            <w:r>
              <w:t>1100.25</w:t>
            </w:r>
          </w:p>
        </w:tc>
        <w:tc>
          <w:tcPr>
            <w:tcW w:w="1134" w:type="dxa"/>
            <w:vAlign w:val="center"/>
          </w:tcPr>
          <w:p w14:paraId="1E626423">
            <w:pPr>
              <w:pStyle w:val="11"/>
            </w:pPr>
            <w:r>
              <w:t>1100.25</w:t>
            </w:r>
          </w:p>
        </w:tc>
        <w:tc>
          <w:tcPr>
            <w:tcW w:w="1134" w:type="dxa"/>
            <w:vAlign w:val="center"/>
          </w:tcPr>
          <w:p w14:paraId="6D314537">
            <w:pPr>
              <w:pStyle w:val="11"/>
            </w:pPr>
            <w:r>
              <w:t>1100.25</w:t>
            </w:r>
          </w:p>
        </w:tc>
        <w:tc>
          <w:tcPr>
            <w:tcW w:w="1134" w:type="dxa"/>
            <w:vAlign w:val="center"/>
          </w:tcPr>
          <w:p w14:paraId="0D9EB4C3">
            <w:pPr>
              <w:pStyle w:val="11"/>
            </w:pPr>
          </w:p>
        </w:tc>
        <w:tc>
          <w:tcPr>
            <w:tcW w:w="1134" w:type="dxa"/>
            <w:vAlign w:val="center"/>
          </w:tcPr>
          <w:p w14:paraId="02230DB3">
            <w:pPr>
              <w:pStyle w:val="11"/>
            </w:pPr>
          </w:p>
        </w:tc>
        <w:tc>
          <w:tcPr>
            <w:tcW w:w="1134" w:type="dxa"/>
            <w:vAlign w:val="center"/>
          </w:tcPr>
          <w:p w14:paraId="042BA1D0">
            <w:pPr>
              <w:pStyle w:val="11"/>
            </w:pPr>
          </w:p>
        </w:tc>
        <w:tc>
          <w:tcPr>
            <w:tcW w:w="1134" w:type="dxa"/>
            <w:vAlign w:val="center"/>
          </w:tcPr>
          <w:p w14:paraId="03AF3269">
            <w:pPr>
              <w:pStyle w:val="11"/>
            </w:pPr>
          </w:p>
        </w:tc>
        <w:tc>
          <w:tcPr>
            <w:tcW w:w="1134" w:type="dxa"/>
            <w:vAlign w:val="center"/>
          </w:tcPr>
          <w:p w14:paraId="3A713D64">
            <w:pPr>
              <w:pStyle w:val="11"/>
            </w:pPr>
          </w:p>
        </w:tc>
        <w:tc>
          <w:tcPr>
            <w:tcW w:w="1134" w:type="dxa"/>
            <w:vAlign w:val="center"/>
          </w:tcPr>
          <w:p w14:paraId="3260DA58">
            <w:pPr>
              <w:pStyle w:val="11"/>
            </w:pPr>
          </w:p>
        </w:tc>
        <w:tc>
          <w:tcPr>
            <w:tcW w:w="1134" w:type="dxa"/>
            <w:vAlign w:val="center"/>
          </w:tcPr>
          <w:p w14:paraId="7FD098B5">
            <w:pPr>
              <w:pStyle w:val="11"/>
            </w:pPr>
          </w:p>
        </w:tc>
      </w:tr>
    </w:tbl>
    <w:p w14:paraId="70243D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70AE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D1D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570248">
            <w:pPr>
              <w:pStyle w:val="9"/>
            </w:pPr>
            <w:r>
              <w:t>360032隆尧县双碑中学</w:t>
            </w:r>
          </w:p>
        </w:tc>
        <w:tc>
          <w:tcPr>
            <w:tcW w:w="2722" w:type="dxa"/>
            <w:gridSpan w:val="2"/>
            <w:tcBorders>
              <w:top w:val="single" w:color="FFFFFF" w:sz="6" w:space="0"/>
              <w:left w:val="single" w:color="FFFFFF" w:sz="6" w:space="0"/>
              <w:right w:val="single" w:color="FFFFFF" w:sz="6" w:space="0"/>
            </w:tcBorders>
            <w:vAlign w:val="center"/>
          </w:tcPr>
          <w:p w14:paraId="0550249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D08D154">
            <w:pPr>
              <w:pStyle w:val="7"/>
            </w:pPr>
            <w:r>
              <w:t>单位：万元</w:t>
            </w:r>
          </w:p>
        </w:tc>
      </w:tr>
      <w:tr w14:paraId="06B2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F5BE1">
            <w:pPr>
              <w:pStyle w:val="10"/>
            </w:pPr>
            <w:r>
              <w:t>序号</w:t>
            </w:r>
          </w:p>
        </w:tc>
        <w:tc>
          <w:tcPr>
            <w:tcW w:w="5527" w:type="dxa"/>
            <w:gridSpan w:val="2"/>
            <w:vAlign w:val="center"/>
          </w:tcPr>
          <w:p w14:paraId="4CB89F0C">
            <w:pPr>
              <w:pStyle w:val="10"/>
            </w:pPr>
            <w:r>
              <w:t>功能分类科目</w:t>
            </w:r>
          </w:p>
        </w:tc>
        <w:tc>
          <w:tcPr>
            <w:tcW w:w="1361" w:type="dxa"/>
            <w:vMerge w:val="restart"/>
            <w:vAlign w:val="center"/>
          </w:tcPr>
          <w:p w14:paraId="5D7E1F98">
            <w:pPr>
              <w:pStyle w:val="10"/>
            </w:pPr>
            <w:r>
              <w:t>合计</w:t>
            </w:r>
          </w:p>
        </w:tc>
        <w:tc>
          <w:tcPr>
            <w:tcW w:w="1361" w:type="dxa"/>
            <w:vMerge w:val="restart"/>
            <w:vAlign w:val="center"/>
          </w:tcPr>
          <w:p w14:paraId="4E885708">
            <w:pPr>
              <w:pStyle w:val="10"/>
            </w:pPr>
            <w:r>
              <w:t>基本支出</w:t>
            </w:r>
          </w:p>
        </w:tc>
        <w:tc>
          <w:tcPr>
            <w:tcW w:w="1361" w:type="dxa"/>
            <w:vMerge w:val="restart"/>
            <w:vAlign w:val="center"/>
          </w:tcPr>
          <w:p w14:paraId="13F2E2D5">
            <w:pPr>
              <w:pStyle w:val="10"/>
            </w:pPr>
            <w:r>
              <w:t>项目支出</w:t>
            </w:r>
          </w:p>
        </w:tc>
        <w:tc>
          <w:tcPr>
            <w:tcW w:w="1361" w:type="dxa"/>
            <w:vMerge w:val="restart"/>
            <w:vAlign w:val="center"/>
          </w:tcPr>
          <w:p w14:paraId="1D9C3114">
            <w:pPr>
              <w:pStyle w:val="10"/>
            </w:pPr>
            <w:r>
              <w:t>经营支出</w:t>
            </w:r>
          </w:p>
        </w:tc>
        <w:tc>
          <w:tcPr>
            <w:tcW w:w="1361" w:type="dxa"/>
            <w:vMerge w:val="restart"/>
            <w:vAlign w:val="center"/>
          </w:tcPr>
          <w:p w14:paraId="17B0F292">
            <w:pPr>
              <w:pStyle w:val="10"/>
            </w:pPr>
            <w:r>
              <w:t>上解上级     支出</w:t>
            </w:r>
          </w:p>
        </w:tc>
        <w:tc>
          <w:tcPr>
            <w:tcW w:w="1361" w:type="dxa"/>
            <w:vMerge w:val="restart"/>
            <w:vAlign w:val="center"/>
          </w:tcPr>
          <w:p w14:paraId="08CD1B29">
            <w:pPr>
              <w:pStyle w:val="10"/>
            </w:pPr>
            <w:r>
              <w:t>对附属单位补助支出</w:t>
            </w:r>
          </w:p>
        </w:tc>
      </w:tr>
      <w:tr w14:paraId="6922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6F8130"/>
        </w:tc>
        <w:tc>
          <w:tcPr>
            <w:tcW w:w="992" w:type="dxa"/>
            <w:vAlign w:val="center"/>
          </w:tcPr>
          <w:p w14:paraId="316422CB">
            <w:pPr>
              <w:pStyle w:val="10"/>
            </w:pPr>
            <w:r>
              <w:t>科目    编码</w:t>
            </w:r>
          </w:p>
        </w:tc>
        <w:tc>
          <w:tcPr>
            <w:tcW w:w="4535" w:type="dxa"/>
            <w:vAlign w:val="center"/>
          </w:tcPr>
          <w:p w14:paraId="04C5C884">
            <w:pPr>
              <w:pStyle w:val="10"/>
            </w:pPr>
            <w:r>
              <w:t>科目名称</w:t>
            </w:r>
          </w:p>
        </w:tc>
        <w:tc>
          <w:tcPr>
            <w:tcW w:w="1361" w:type="dxa"/>
            <w:vMerge w:val="continue"/>
          </w:tcPr>
          <w:p w14:paraId="3D9F867C"/>
        </w:tc>
        <w:tc>
          <w:tcPr>
            <w:tcW w:w="1361" w:type="dxa"/>
            <w:vMerge w:val="continue"/>
          </w:tcPr>
          <w:p w14:paraId="294753A4"/>
        </w:tc>
        <w:tc>
          <w:tcPr>
            <w:tcW w:w="1361" w:type="dxa"/>
            <w:vMerge w:val="continue"/>
          </w:tcPr>
          <w:p w14:paraId="79D0FA65"/>
        </w:tc>
        <w:tc>
          <w:tcPr>
            <w:tcW w:w="1361" w:type="dxa"/>
            <w:vMerge w:val="continue"/>
          </w:tcPr>
          <w:p w14:paraId="499E01D3"/>
        </w:tc>
        <w:tc>
          <w:tcPr>
            <w:tcW w:w="1361" w:type="dxa"/>
            <w:vMerge w:val="continue"/>
          </w:tcPr>
          <w:p w14:paraId="38296846"/>
        </w:tc>
        <w:tc>
          <w:tcPr>
            <w:tcW w:w="1361" w:type="dxa"/>
            <w:vMerge w:val="continue"/>
          </w:tcPr>
          <w:p w14:paraId="4031C609"/>
        </w:tc>
      </w:tr>
      <w:tr w14:paraId="3918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2F01D">
            <w:pPr>
              <w:pStyle w:val="10"/>
            </w:pPr>
            <w:r>
              <w:t>栏次</w:t>
            </w:r>
          </w:p>
        </w:tc>
        <w:tc>
          <w:tcPr>
            <w:tcW w:w="992" w:type="dxa"/>
            <w:vAlign w:val="center"/>
          </w:tcPr>
          <w:p w14:paraId="30B6A820">
            <w:pPr>
              <w:pStyle w:val="10"/>
            </w:pPr>
            <w:r>
              <w:t>1</w:t>
            </w:r>
          </w:p>
        </w:tc>
        <w:tc>
          <w:tcPr>
            <w:tcW w:w="4535" w:type="dxa"/>
            <w:vAlign w:val="center"/>
          </w:tcPr>
          <w:p w14:paraId="46488855">
            <w:pPr>
              <w:pStyle w:val="10"/>
            </w:pPr>
            <w:r>
              <w:t>2</w:t>
            </w:r>
          </w:p>
        </w:tc>
        <w:tc>
          <w:tcPr>
            <w:tcW w:w="1361" w:type="dxa"/>
            <w:vAlign w:val="center"/>
          </w:tcPr>
          <w:p w14:paraId="6404858D">
            <w:pPr>
              <w:pStyle w:val="10"/>
            </w:pPr>
            <w:r>
              <w:t>3</w:t>
            </w:r>
          </w:p>
        </w:tc>
        <w:tc>
          <w:tcPr>
            <w:tcW w:w="1361" w:type="dxa"/>
            <w:vAlign w:val="center"/>
          </w:tcPr>
          <w:p w14:paraId="5E3D992C">
            <w:pPr>
              <w:pStyle w:val="10"/>
            </w:pPr>
            <w:r>
              <w:t>4</w:t>
            </w:r>
          </w:p>
        </w:tc>
        <w:tc>
          <w:tcPr>
            <w:tcW w:w="1361" w:type="dxa"/>
            <w:vAlign w:val="center"/>
          </w:tcPr>
          <w:p w14:paraId="73D69D88">
            <w:pPr>
              <w:pStyle w:val="10"/>
            </w:pPr>
            <w:r>
              <w:t>5</w:t>
            </w:r>
          </w:p>
        </w:tc>
        <w:tc>
          <w:tcPr>
            <w:tcW w:w="1361" w:type="dxa"/>
            <w:vAlign w:val="center"/>
          </w:tcPr>
          <w:p w14:paraId="2A7B6B30">
            <w:pPr>
              <w:pStyle w:val="10"/>
            </w:pPr>
            <w:r>
              <w:t>6</w:t>
            </w:r>
          </w:p>
        </w:tc>
        <w:tc>
          <w:tcPr>
            <w:tcW w:w="1361" w:type="dxa"/>
            <w:vAlign w:val="center"/>
          </w:tcPr>
          <w:p w14:paraId="1D0DCC38">
            <w:pPr>
              <w:pStyle w:val="10"/>
            </w:pPr>
            <w:r>
              <w:t>7</w:t>
            </w:r>
          </w:p>
        </w:tc>
        <w:tc>
          <w:tcPr>
            <w:tcW w:w="1361" w:type="dxa"/>
            <w:vAlign w:val="center"/>
          </w:tcPr>
          <w:p w14:paraId="0916B5C7">
            <w:pPr>
              <w:pStyle w:val="10"/>
            </w:pPr>
            <w:r>
              <w:t>8</w:t>
            </w:r>
          </w:p>
        </w:tc>
      </w:tr>
      <w:tr w14:paraId="3DDF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E60FF">
            <w:pPr>
              <w:pStyle w:val="13"/>
            </w:pPr>
            <w:r>
              <w:t>1</w:t>
            </w:r>
          </w:p>
        </w:tc>
        <w:tc>
          <w:tcPr>
            <w:tcW w:w="992" w:type="dxa"/>
            <w:vAlign w:val="center"/>
          </w:tcPr>
          <w:p w14:paraId="0BFE4B5D">
            <w:pPr>
              <w:pStyle w:val="16"/>
            </w:pPr>
          </w:p>
        </w:tc>
        <w:tc>
          <w:tcPr>
            <w:tcW w:w="4535" w:type="dxa"/>
            <w:vAlign w:val="center"/>
          </w:tcPr>
          <w:p w14:paraId="14668B09">
            <w:pPr>
              <w:pStyle w:val="14"/>
            </w:pPr>
            <w:r>
              <w:t>合计</w:t>
            </w:r>
          </w:p>
        </w:tc>
        <w:tc>
          <w:tcPr>
            <w:tcW w:w="1361" w:type="dxa"/>
            <w:vAlign w:val="center"/>
          </w:tcPr>
          <w:p w14:paraId="205FA501">
            <w:pPr>
              <w:pStyle w:val="15"/>
            </w:pPr>
            <w:r>
              <w:t>1100.25</w:t>
            </w:r>
          </w:p>
        </w:tc>
        <w:tc>
          <w:tcPr>
            <w:tcW w:w="1361" w:type="dxa"/>
            <w:vAlign w:val="center"/>
          </w:tcPr>
          <w:p w14:paraId="00094240">
            <w:pPr>
              <w:pStyle w:val="15"/>
            </w:pPr>
            <w:r>
              <w:t>898.75</w:t>
            </w:r>
          </w:p>
        </w:tc>
        <w:tc>
          <w:tcPr>
            <w:tcW w:w="1361" w:type="dxa"/>
            <w:vAlign w:val="center"/>
          </w:tcPr>
          <w:p w14:paraId="0A7ACE94">
            <w:pPr>
              <w:pStyle w:val="15"/>
            </w:pPr>
            <w:r>
              <w:t>201.50</w:t>
            </w:r>
          </w:p>
        </w:tc>
        <w:tc>
          <w:tcPr>
            <w:tcW w:w="1361" w:type="dxa"/>
            <w:vAlign w:val="center"/>
          </w:tcPr>
          <w:p w14:paraId="3D2BB79F">
            <w:pPr>
              <w:pStyle w:val="15"/>
            </w:pPr>
          </w:p>
        </w:tc>
        <w:tc>
          <w:tcPr>
            <w:tcW w:w="1361" w:type="dxa"/>
            <w:vAlign w:val="center"/>
          </w:tcPr>
          <w:p w14:paraId="00F938B0">
            <w:pPr>
              <w:pStyle w:val="15"/>
            </w:pPr>
          </w:p>
        </w:tc>
        <w:tc>
          <w:tcPr>
            <w:tcW w:w="1361" w:type="dxa"/>
            <w:vAlign w:val="center"/>
          </w:tcPr>
          <w:p w14:paraId="2686F544">
            <w:pPr>
              <w:pStyle w:val="15"/>
            </w:pPr>
          </w:p>
        </w:tc>
      </w:tr>
      <w:tr w14:paraId="5AC59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7D58F">
            <w:pPr>
              <w:pStyle w:val="13"/>
            </w:pPr>
            <w:r>
              <w:t>2</w:t>
            </w:r>
          </w:p>
        </w:tc>
        <w:tc>
          <w:tcPr>
            <w:tcW w:w="992" w:type="dxa"/>
            <w:vAlign w:val="center"/>
          </w:tcPr>
          <w:p w14:paraId="5BB19473">
            <w:pPr>
              <w:pStyle w:val="12"/>
            </w:pPr>
            <w:r>
              <w:t>205</w:t>
            </w:r>
          </w:p>
        </w:tc>
        <w:tc>
          <w:tcPr>
            <w:tcW w:w="4535" w:type="dxa"/>
            <w:vAlign w:val="center"/>
          </w:tcPr>
          <w:p w14:paraId="41FF47C5">
            <w:pPr>
              <w:pStyle w:val="12"/>
            </w:pPr>
            <w:r>
              <w:t>教育支出</w:t>
            </w:r>
          </w:p>
        </w:tc>
        <w:tc>
          <w:tcPr>
            <w:tcW w:w="1361" w:type="dxa"/>
            <w:vAlign w:val="center"/>
          </w:tcPr>
          <w:p w14:paraId="4F1B5513">
            <w:pPr>
              <w:pStyle w:val="11"/>
            </w:pPr>
            <w:r>
              <w:t>1100.25</w:t>
            </w:r>
          </w:p>
        </w:tc>
        <w:tc>
          <w:tcPr>
            <w:tcW w:w="1361" w:type="dxa"/>
            <w:vAlign w:val="center"/>
          </w:tcPr>
          <w:p w14:paraId="33289EAA">
            <w:pPr>
              <w:pStyle w:val="11"/>
            </w:pPr>
            <w:r>
              <w:t>898.75</w:t>
            </w:r>
          </w:p>
        </w:tc>
        <w:tc>
          <w:tcPr>
            <w:tcW w:w="1361" w:type="dxa"/>
            <w:vAlign w:val="center"/>
          </w:tcPr>
          <w:p w14:paraId="044519A0">
            <w:pPr>
              <w:pStyle w:val="11"/>
            </w:pPr>
            <w:r>
              <w:t>201.50</w:t>
            </w:r>
          </w:p>
        </w:tc>
        <w:tc>
          <w:tcPr>
            <w:tcW w:w="1361" w:type="dxa"/>
            <w:vAlign w:val="center"/>
          </w:tcPr>
          <w:p w14:paraId="31ABB951">
            <w:pPr>
              <w:pStyle w:val="11"/>
            </w:pPr>
          </w:p>
        </w:tc>
        <w:tc>
          <w:tcPr>
            <w:tcW w:w="1361" w:type="dxa"/>
            <w:vAlign w:val="center"/>
          </w:tcPr>
          <w:p w14:paraId="744A5B3D">
            <w:pPr>
              <w:pStyle w:val="11"/>
            </w:pPr>
          </w:p>
        </w:tc>
        <w:tc>
          <w:tcPr>
            <w:tcW w:w="1361" w:type="dxa"/>
            <w:vAlign w:val="center"/>
          </w:tcPr>
          <w:p w14:paraId="5DA960E7">
            <w:pPr>
              <w:pStyle w:val="11"/>
            </w:pPr>
          </w:p>
        </w:tc>
      </w:tr>
      <w:tr w14:paraId="7788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9A3C4">
            <w:pPr>
              <w:pStyle w:val="13"/>
            </w:pPr>
            <w:r>
              <w:t>3</w:t>
            </w:r>
          </w:p>
        </w:tc>
        <w:tc>
          <w:tcPr>
            <w:tcW w:w="992" w:type="dxa"/>
            <w:vAlign w:val="center"/>
          </w:tcPr>
          <w:p w14:paraId="6B1ABB7F">
            <w:pPr>
              <w:pStyle w:val="12"/>
            </w:pPr>
            <w:r>
              <w:t>20502</w:t>
            </w:r>
          </w:p>
        </w:tc>
        <w:tc>
          <w:tcPr>
            <w:tcW w:w="4535" w:type="dxa"/>
            <w:vAlign w:val="center"/>
          </w:tcPr>
          <w:p w14:paraId="65AF6D20">
            <w:pPr>
              <w:pStyle w:val="12"/>
            </w:pPr>
            <w:r>
              <w:t>普通教育</w:t>
            </w:r>
          </w:p>
        </w:tc>
        <w:tc>
          <w:tcPr>
            <w:tcW w:w="1361" w:type="dxa"/>
            <w:vAlign w:val="center"/>
          </w:tcPr>
          <w:p w14:paraId="1C2D7D8C">
            <w:pPr>
              <w:pStyle w:val="11"/>
            </w:pPr>
            <w:r>
              <w:t>1100.25</w:t>
            </w:r>
          </w:p>
        </w:tc>
        <w:tc>
          <w:tcPr>
            <w:tcW w:w="1361" w:type="dxa"/>
            <w:vAlign w:val="center"/>
          </w:tcPr>
          <w:p w14:paraId="04C3484B">
            <w:pPr>
              <w:pStyle w:val="11"/>
            </w:pPr>
            <w:r>
              <w:t>898.75</w:t>
            </w:r>
          </w:p>
        </w:tc>
        <w:tc>
          <w:tcPr>
            <w:tcW w:w="1361" w:type="dxa"/>
            <w:vAlign w:val="center"/>
          </w:tcPr>
          <w:p w14:paraId="46524461">
            <w:pPr>
              <w:pStyle w:val="11"/>
            </w:pPr>
            <w:r>
              <w:t>201.50</w:t>
            </w:r>
          </w:p>
        </w:tc>
        <w:tc>
          <w:tcPr>
            <w:tcW w:w="1361" w:type="dxa"/>
            <w:vAlign w:val="center"/>
          </w:tcPr>
          <w:p w14:paraId="168A88F0">
            <w:pPr>
              <w:pStyle w:val="11"/>
            </w:pPr>
          </w:p>
        </w:tc>
        <w:tc>
          <w:tcPr>
            <w:tcW w:w="1361" w:type="dxa"/>
            <w:vAlign w:val="center"/>
          </w:tcPr>
          <w:p w14:paraId="30C5A5E0">
            <w:pPr>
              <w:pStyle w:val="11"/>
            </w:pPr>
          </w:p>
        </w:tc>
        <w:tc>
          <w:tcPr>
            <w:tcW w:w="1361" w:type="dxa"/>
            <w:vAlign w:val="center"/>
          </w:tcPr>
          <w:p w14:paraId="3773F3F4">
            <w:pPr>
              <w:pStyle w:val="11"/>
            </w:pPr>
          </w:p>
        </w:tc>
      </w:tr>
      <w:tr w14:paraId="02CF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A850A">
            <w:pPr>
              <w:pStyle w:val="13"/>
            </w:pPr>
            <w:r>
              <w:t>4</w:t>
            </w:r>
          </w:p>
        </w:tc>
        <w:tc>
          <w:tcPr>
            <w:tcW w:w="992" w:type="dxa"/>
            <w:vAlign w:val="center"/>
          </w:tcPr>
          <w:p w14:paraId="4A19A1C4">
            <w:pPr>
              <w:pStyle w:val="12"/>
            </w:pPr>
            <w:r>
              <w:t>2050203</w:t>
            </w:r>
          </w:p>
        </w:tc>
        <w:tc>
          <w:tcPr>
            <w:tcW w:w="4535" w:type="dxa"/>
            <w:vAlign w:val="center"/>
          </w:tcPr>
          <w:p w14:paraId="57DF9F9C">
            <w:pPr>
              <w:pStyle w:val="12"/>
            </w:pPr>
            <w:r>
              <w:t>初中教育</w:t>
            </w:r>
          </w:p>
        </w:tc>
        <w:tc>
          <w:tcPr>
            <w:tcW w:w="1361" w:type="dxa"/>
            <w:vAlign w:val="center"/>
          </w:tcPr>
          <w:p w14:paraId="549C2EF9">
            <w:pPr>
              <w:pStyle w:val="11"/>
            </w:pPr>
            <w:r>
              <w:t>1100.25</w:t>
            </w:r>
          </w:p>
        </w:tc>
        <w:tc>
          <w:tcPr>
            <w:tcW w:w="1361" w:type="dxa"/>
            <w:vAlign w:val="center"/>
          </w:tcPr>
          <w:p w14:paraId="3F145001">
            <w:pPr>
              <w:pStyle w:val="11"/>
            </w:pPr>
            <w:r>
              <w:t>898.75</w:t>
            </w:r>
          </w:p>
        </w:tc>
        <w:tc>
          <w:tcPr>
            <w:tcW w:w="1361" w:type="dxa"/>
            <w:vAlign w:val="center"/>
          </w:tcPr>
          <w:p w14:paraId="47355670">
            <w:pPr>
              <w:pStyle w:val="11"/>
            </w:pPr>
            <w:r>
              <w:t>201.50</w:t>
            </w:r>
          </w:p>
        </w:tc>
        <w:tc>
          <w:tcPr>
            <w:tcW w:w="1361" w:type="dxa"/>
            <w:vAlign w:val="center"/>
          </w:tcPr>
          <w:p w14:paraId="5E1D13F2">
            <w:pPr>
              <w:pStyle w:val="11"/>
            </w:pPr>
          </w:p>
        </w:tc>
        <w:tc>
          <w:tcPr>
            <w:tcW w:w="1361" w:type="dxa"/>
            <w:vAlign w:val="center"/>
          </w:tcPr>
          <w:p w14:paraId="1EAB25DF">
            <w:pPr>
              <w:pStyle w:val="11"/>
            </w:pPr>
          </w:p>
        </w:tc>
        <w:tc>
          <w:tcPr>
            <w:tcW w:w="1361" w:type="dxa"/>
            <w:vAlign w:val="center"/>
          </w:tcPr>
          <w:p w14:paraId="6AB32598">
            <w:pPr>
              <w:pStyle w:val="11"/>
            </w:pPr>
          </w:p>
        </w:tc>
      </w:tr>
    </w:tbl>
    <w:p w14:paraId="045C0C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C134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EB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456039">
            <w:pPr>
              <w:pStyle w:val="9"/>
            </w:pPr>
            <w:r>
              <w:t>360032隆尧县双碑中学</w:t>
            </w:r>
          </w:p>
        </w:tc>
        <w:tc>
          <w:tcPr>
            <w:tcW w:w="3402" w:type="dxa"/>
            <w:tcBorders>
              <w:top w:val="single" w:color="FFFFFF" w:sz="6" w:space="0"/>
              <w:left w:val="single" w:color="FFFFFF" w:sz="6" w:space="0"/>
              <w:right w:val="single" w:color="FFFFFF" w:sz="6" w:space="0"/>
            </w:tcBorders>
            <w:vAlign w:val="center"/>
          </w:tcPr>
          <w:p w14:paraId="0EA78F7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EE3AE44">
            <w:pPr>
              <w:pStyle w:val="7"/>
            </w:pPr>
            <w:r>
              <w:t>单位：万元</w:t>
            </w:r>
          </w:p>
        </w:tc>
      </w:tr>
      <w:tr w14:paraId="4A36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5A2AD3">
            <w:pPr>
              <w:pStyle w:val="10"/>
            </w:pPr>
            <w:r>
              <w:t>序号</w:t>
            </w:r>
          </w:p>
        </w:tc>
        <w:tc>
          <w:tcPr>
            <w:tcW w:w="4876" w:type="dxa"/>
            <w:gridSpan w:val="2"/>
            <w:vAlign w:val="center"/>
          </w:tcPr>
          <w:p w14:paraId="25636D96">
            <w:pPr>
              <w:pStyle w:val="10"/>
            </w:pPr>
            <w:r>
              <w:t>收入</w:t>
            </w:r>
          </w:p>
        </w:tc>
        <w:tc>
          <w:tcPr>
            <w:tcW w:w="9298" w:type="dxa"/>
            <w:gridSpan w:val="5"/>
            <w:vAlign w:val="center"/>
          </w:tcPr>
          <w:p w14:paraId="468688C3">
            <w:pPr>
              <w:pStyle w:val="10"/>
            </w:pPr>
            <w:r>
              <w:t>支出</w:t>
            </w:r>
          </w:p>
        </w:tc>
      </w:tr>
      <w:tr w14:paraId="6A6BDA3E">
        <w:tblPrEx>
          <w:tblCellMar>
            <w:top w:w="0" w:type="dxa"/>
            <w:left w:w="108" w:type="dxa"/>
            <w:bottom w:w="0" w:type="dxa"/>
            <w:right w:w="108" w:type="dxa"/>
          </w:tblCellMar>
        </w:tblPrEx>
        <w:trPr>
          <w:trHeight w:val="369" w:hRule="atLeast"/>
          <w:tblHeader/>
          <w:jc w:val="center"/>
        </w:trPr>
        <w:tc>
          <w:tcPr>
            <w:tcW w:w="850" w:type="dxa"/>
            <w:vMerge w:val="continue"/>
          </w:tcPr>
          <w:p w14:paraId="78700D01"/>
        </w:tc>
        <w:tc>
          <w:tcPr>
            <w:tcW w:w="3402" w:type="dxa"/>
            <w:vAlign w:val="center"/>
          </w:tcPr>
          <w:p w14:paraId="2834C48E">
            <w:pPr>
              <w:pStyle w:val="10"/>
            </w:pPr>
            <w:r>
              <w:t>项  目</w:t>
            </w:r>
          </w:p>
        </w:tc>
        <w:tc>
          <w:tcPr>
            <w:tcW w:w="1474" w:type="dxa"/>
            <w:vAlign w:val="center"/>
          </w:tcPr>
          <w:p w14:paraId="4A209B11">
            <w:pPr>
              <w:pStyle w:val="10"/>
            </w:pPr>
            <w:r>
              <w:t>金额</w:t>
            </w:r>
          </w:p>
        </w:tc>
        <w:tc>
          <w:tcPr>
            <w:tcW w:w="3402" w:type="dxa"/>
            <w:vAlign w:val="center"/>
          </w:tcPr>
          <w:p w14:paraId="09ECFA0C">
            <w:pPr>
              <w:pStyle w:val="10"/>
            </w:pPr>
            <w:r>
              <w:t>项  目</w:t>
            </w:r>
          </w:p>
        </w:tc>
        <w:tc>
          <w:tcPr>
            <w:tcW w:w="1474" w:type="dxa"/>
            <w:vAlign w:val="center"/>
          </w:tcPr>
          <w:p w14:paraId="6C1B9252">
            <w:pPr>
              <w:pStyle w:val="10"/>
            </w:pPr>
            <w:r>
              <w:t>合计</w:t>
            </w:r>
          </w:p>
        </w:tc>
        <w:tc>
          <w:tcPr>
            <w:tcW w:w="1474" w:type="dxa"/>
            <w:vAlign w:val="center"/>
          </w:tcPr>
          <w:p w14:paraId="0FA98CBE">
            <w:pPr>
              <w:pStyle w:val="10"/>
            </w:pPr>
            <w:r>
              <w:t>一般公共预算财政拨款</w:t>
            </w:r>
          </w:p>
        </w:tc>
        <w:tc>
          <w:tcPr>
            <w:tcW w:w="1474" w:type="dxa"/>
            <w:vAlign w:val="center"/>
          </w:tcPr>
          <w:p w14:paraId="795D9E9E">
            <w:pPr>
              <w:pStyle w:val="10"/>
            </w:pPr>
            <w:r>
              <w:t>政府性基金预算财政    拨款</w:t>
            </w:r>
          </w:p>
        </w:tc>
        <w:tc>
          <w:tcPr>
            <w:tcW w:w="1474" w:type="dxa"/>
            <w:vAlign w:val="center"/>
          </w:tcPr>
          <w:p w14:paraId="7BC27147">
            <w:pPr>
              <w:pStyle w:val="10"/>
            </w:pPr>
            <w:r>
              <w:t>国有资本经营预算财政拨款</w:t>
            </w:r>
          </w:p>
        </w:tc>
      </w:tr>
      <w:tr w14:paraId="2448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4A8C82">
            <w:pPr>
              <w:pStyle w:val="10"/>
            </w:pPr>
            <w:r>
              <w:t>栏次</w:t>
            </w:r>
          </w:p>
        </w:tc>
        <w:tc>
          <w:tcPr>
            <w:tcW w:w="3402" w:type="dxa"/>
            <w:vAlign w:val="center"/>
          </w:tcPr>
          <w:p w14:paraId="2E1AE8E9">
            <w:pPr>
              <w:pStyle w:val="10"/>
            </w:pPr>
            <w:r>
              <w:t>1</w:t>
            </w:r>
          </w:p>
        </w:tc>
        <w:tc>
          <w:tcPr>
            <w:tcW w:w="1474" w:type="dxa"/>
            <w:vAlign w:val="center"/>
          </w:tcPr>
          <w:p w14:paraId="078A77FD">
            <w:pPr>
              <w:pStyle w:val="10"/>
            </w:pPr>
            <w:r>
              <w:t>2</w:t>
            </w:r>
          </w:p>
        </w:tc>
        <w:tc>
          <w:tcPr>
            <w:tcW w:w="3402" w:type="dxa"/>
            <w:vAlign w:val="center"/>
          </w:tcPr>
          <w:p w14:paraId="1EDC4E5A">
            <w:pPr>
              <w:pStyle w:val="10"/>
            </w:pPr>
            <w:r>
              <w:t>3</w:t>
            </w:r>
          </w:p>
        </w:tc>
        <w:tc>
          <w:tcPr>
            <w:tcW w:w="1474" w:type="dxa"/>
            <w:vAlign w:val="center"/>
          </w:tcPr>
          <w:p w14:paraId="52E2A066">
            <w:pPr>
              <w:pStyle w:val="10"/>
            </w:pPr>
            <w:r>
              <w:t>4</w:t>
            </w:r>
          </w:p>
        </w:tc>
        <w:tc>
          <w:tcPr>
            <w:tcW w:w="1474" w:type="dxa"/>
            <w:vAlign w:val="center"/>
          </w:tcPr>
          <w:p w14:paraId="55C7D882">
            <w:pPr>
              <w:pStyle w:val="10"/>
            </w:pPr>
            <w:r>
              <w:t>5</w:t>
            </w:r>
          </w:p>
        </w:tc>
        <w:tc>
          <w:tcPr>
            <w:tcW w:w="1474" w:type="dxa"/>
            <w:vAlign w:val="center"/>
          </w:tcPr>
          <w:p w14:paraId="62F28A72">
            <w:pPr>
              <w:pStyle w:val="10"/>
            </w:pPr>
            <w:r>
              <w:t>6</w:t>
            </w:r>
          </w:p>
        </w:tc>
        <w:tc>
          <w:tcPr>
            <w:tcW w:w="1474" w:type="dxa"/>
            <w:vAlign w:val="center"/>
          </w:tcPr>
          <w:p w14:paraId="605AA74E">
            <w:pPr>
              <w:pStyle w:val="10"/>
            </w:pPr>
            <w:r>
              <w:t>7</w:t>
            </w:r>
          </w:p>
        </w:tc>
      </w:tr>
      <w:tr w14:paraId="47EC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A85F">
            <w:pPr>
              <w:pStyle w:val="13"/>
            </w:pPr>
            <w:r>
              <w:t>1</w:t>
            </w:r>
          </w:p>
        </w:tc>
        <w:tc>
          <w:tcPr>
            <w:tcW w:w="3402" w:type="dxa"/>
            <w:vAlign w:val="center"/>
          </w:tcPr>
          <w:p w14:paraId="38773A0C">
            <w:pPr>
              <w:pStyle w:val="12"/>
            </w:pPr>
            <w:r>
              <w:t>一、一般公共预算拨款</w:t>
            </w:r>
          </w:p>
        </w:tc>
        <w:tc>
          <w:tcPr>
            <w:tcW w:w="1474" w:type="dxa"/>
            <w:vAlign w:val="center"/>
          </w:tcPr>
          <w:p w14:paraId="254D43D3">
            <w:pPr>
              <w:pStyle w:val="11"/>
            </w:pPr>
            <w:r>
              <w:t>1100.25</w:t>
            </w:r>
          </w:p>
        </w:tc>
        <w:tc>
          <w:tcPr>
            <w:tcW w:w="3402" w:type="dxa"/>
            <w:vAlign w:val="center"/>
          </w:tcPr>
          <w:p w14:paraId="23198D40">
            <w:pPr>
              <w:pStyle w:val="12"/>
            </w:pPr>
            <w:r>
              <w:t>一、一般公共服务支出</w:t>
            </w:r>
          </w:p>
        </w:tc>
        <w:tc>
          <w:tcPr>
            <w:tcW w:w="1474" w:type="dxa"/>
            <w:vAlign w:val="center"/>
          </w:tcPr>
          <w:p w14:paraId="238C0A5F">
            <w:pPr>
              <w:pStyle w:val="11"/>
            </w:pPr>
          </w:p>
        </w:tc>
        <w:tc>
          <w:tcPr>
            <w:tcW w:w="1474" w:type="dxa"/>
            <w:vAlign w:val="center"/>
          </w:tcPr>
          <w:p w14:paraId="6564D325">
            <w:pPr>
              <w:pStyle w:val="11"/>
            </w:pPr>
          </w:p>
        </w:tc>
        <w:tc>
          <w:tcPr>
            <w:tcW w:w="1474" w:type="dxa"/>
            <w:vAlign w:val="center"/>
          </w:tcPr>
          <w:p w14:paraId="2FDBB6E5">
            <w:pPr>
              <w:pStyle w:val="11"/>
            </w:pPr>
          </w:p>
        </w:tc>
        <w:tc>
          <w:tcPr>
            <w:tcW w:w="1474" w:type="dxa"/>
            <w:vAlign w:val="center"/>
          </w:tcPr>
          <w:p w14:paraId="2F9B707B">
            <w:pPr>
              <w:pStyle w:val="11"/>
            </w:pPr>
          </w:p>
        </w:tc>
      </w:tr>
      <w:tr w14:paraId="466FA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A3BD">
            <w:pPr>
              <w:pStyle w:val="13"/>
            </w:pPr>
            <w:r>
              <w:t>2</w:t>
            </w:r>
          </w:p>
        </w:tc>
        <w:tc>
          <w:tcPr>
            <w:tcW w:w="3402" w:type="dxa"/>
            <w:vAlign w:val="center"/>
          </w:tcPr>
          <w:p w14:paraId="096D2DAF">
            <w:pPr>
              <w:pStyle w:val="12"/>
            </w:pPr>
            <w:r>
              <w:t>二、政府性基金预算拨款</w:t>
            </w:r>
          </w:p>
        </w:tc>
        <w:tc>
          <w:tcPr>
            <w:tcW w:w="1474" w:type="dxa"/>
            <w:vAlign w:val="center"/>
          </w:tcPr>
          <w:p w14:paraId="2256789A">
            <w:pPr>
              <w:pStyle w:val="11"/>
            </w:pPr>
          </w:p>
        </w:tc>
        <w:tc>
          <w:tcPr>
            <w:tcW w:w="3402" w:type="dxa"/>
            <w:vAlign w:val="center"/>
          </w:tcPr>
          <w:p w14:paraId="1D558969">
            <w:pPr>
              <w:pStyle w:val="12"/>
            </w:pPr>
            <w:r>
              <w:t>二、外交支出</w:t>
            </w:r>
          </w:p>
        </w:tc>
        <w:tc>
          <w:tcPr>
            <w:tcW w:w="1474" w:type="dxa"/>
            <w:vAlign w:val="center"/>
          </w:tcPr>
          <w:p w14:paraId="0D968790">
            <w:pPr>
              <w:pStyle w:val="11"/>
            </w:pPr>
          </w:p>
        </w:tc>
        <w:tc>
          <w:tcPr>
            <w:tcW w:w="1474" w:type="dxa"/>
            <w:vAlign w:val="center"/>
          </w:tcPr>
          <w:p w14:paraId="2A175A22">
            <w:pPr>
              <w:pStyle w:val="11"/>
            </w:pPr>
          </w:p>
        </w:tc>
        <w:tc>
          <w:tcPr>
            <w:tcW w:w="1474" w:type="dxa"/>
            <w:vAlign w:val="center"/>
          </w:tcPr>
          <w:p w14:paraId="538EEE03">
            <w:pPr>
              <w:pStyle w:val="11"/>
            </w:pPr>
          </w:p>
        </w:tc>
        <w:tc>
          <w:tcPr>
            <w:tcW w:w="1474" w:type="dxa"/>
            <w:vAlign w:val="center"/>
          </w:tcPr>
          <w:p w14:paraId="6BA85E94">
            <w:pPr>
              <w:pStyle w:val="11"/>
            </w:pPr>
          </w:p>
        </w:tc>
      </w:tr>
      <w:tr w14:paraId="2D0DE04A">
        <w:tblPrEx>
          <w:tblCellMar>
            <w:top w:w="0" w:type="dxa"/>
            <w:left w:w="108" w:type="dxa"/>
            <w:bottom w:w="0" w:type="dxa"/>
            <w:right w:w="108" w:type="dxa"/>
          </w:tblCellMar>
        </w:tblPrEx>
        <w:trPr>
          <w:trHeight w:val="369" w:hRule="atLeast"/>
          <w:jc w:val="center"/>
        </w:trPr>
        <w:tc>
          <w:tcPr>
            <w:tcW w:w="850" w:type="dxa"/>
            <w:vAlign w:val="center"/>
          </w:tcPr>
          <w:p w14:paraId="0921F6C0">
            <w:pPr>
              <w:pStyle w:val="13"/>
            </w:pPr>
            <w:r>
              <w:t>3</w:t>
            </w:r>
          </w:p>
        </w:tc>
        <w:tc>
          <w:tcPr>
            <w:tcW w:w="3402" w:type="dxa"/>
            <w:vAlign w:val="center"/>
          </w:tcPr>
          <w:p w14:paraId="029A5663">
            <w:pPr>
              <w:pStyle w:val="12"/>
            </w:pPr>
            <w:r>
              <w:t>三、国有资本经营预算拨款</w:t>
            </w:r>
          </w:p>
        </w:tc>
        <w:tc>
          <w:tcPr>
            <w:tcW w:w="1474" w:type="dxa"/>
            <w:vAlign w:val="center"/>
          </w:tcPr>
          <w:p w14:paraId="698CAC46">
            <w:pPr>
              <w:pStyle w:val="11"/>
            </w:pPr>
          </w:p>
        </w:tc>
        <w:tc>
          <w:tcPr>
            <w:tcW w:w="3402" w:type="dxa"/>
            <w:vAlign w:val="center"/>
          </w:tcPr>
          <w:p w14:paraId="6E0EFF48">
            <w:pPr>
              <w:pStyle w:val="12"/>
            </w:pPr>
            <w:r>
              <w:t>三、国防支出</w:t>
            </w:r>
          </w:p>
        </w:tc>
        <w:tc>
          <w:tcPr>
            <w:tcW w:w="1474" w:type="dxa"/>
            <w:vAlign w:val="center"/>
          </w:tcPr>
          <w:p w14:paraId="0AAF1D3B">
            <w:pPr>
              <w:pStyle w:val="11"/>
            </w:pPr>
          </w:p>
        </w:tc>
        <w:tc>
          <w:tcPr>
            <w:tcW w:w="1474" w:type="dxa"/>
            <w:vAlign w:val="center"/>
          </w:tcPr>
          <w:p w14:paraId="48168BAA">
            <w:pPr>
              <w:pStyle w:val="11"/>
            </w:pPr>
          </w:p>
        </w:tc>
        <w:tc>
          <w:tcPr>
            <w:tcW w:w="1474" w:type="dxa"/>
            <w:vAlign w:val="center"/>
          </w:tcPr>
          <w:p w14:paraId="6508064C">
            <w:pPr>
              <w:pStyle w:val="11"/>
            </w:pPr>
          </w:p>
        </w:tc>
        <w:tc>
          <w:tcPr>
            <w:tcW w:w="1474" w:type="dxa"/>
            <w:vAlign w:val="center"/>
          </w:tcPr>
          <w:p w14:paraId="30B7B162">
            <w:pPr>
              <w:pStyle w:val="11"/>
            </w:pPr>
          </w:p>
        </w:tc>
      </w:tr>
      <w:tr w14:paraId="2F5AE61D">
        <w:tblPrEx>
          <w:tblCellMar>
            <w:top w:w="0" w:type="dxa"/>
            <w:left w:w="108" w:type="dxa"/>
            <w:bottom w:w="0" w:type="dxa"/>
            <w:right w:w="108" w:type="dxa"/>
          </w:tblCellMar>
        </w:tblPrEx>
        <w:trPr>
          <w:trHeight w:val="369" w:hRule="atLeast"/>
          <w:jc w:val="center"/>
        </w:trPr>
        <w:tc>
          <w:tcPr>
            <w:tcW w:w="850" w:type="dxa"/>
            <w:vAlign w:val="center"/>
          </w:tcPr>
          <w:p w14:paraId="64BEFDB7">
            <w:pPr>
              <w:pStyle w:val="13"/>
            </w:pPr>
            <w:r>
              <w:t>4</w:t>
            </w:r>
          </w:p>
        </w:tc>
        <w:tc>
          <w:tcPr>
            <w:tcW w:w="3402" w:type="dxa"/>
            <w:vAlign w:val="center"/>
          </w:tcPr>
          <w:p w14:paraId="78BC4251">
            <w:pPr>
              <w:pStyle w:val="12"/>
            </w:pPr>
          </w:p>
        </w:tc>
        <w:tc>
          <w:tcPr>
            <w:tcW w:w="1474" w:type="dxa"/>
            <w:vAlign w:val="center"/>
          </w:tcPr>
          <w:p w14:paraId="0E74C50E">
            <w:pPr>
              <w:pStyle w:val="11"/>
            </w:pPr>
          </w:p>
        </w:tc>
        <w:tc>
          <w:tcPr>
            <w:tcW w:w="3402" w:type="dxa"/>
            <w:vAlign w:val="center"/>
          </w:tcPr>
          <w:p w14:paraId="4BB69846">
            <w:pPr>
              <w:pStyle w:val="12"/>
            </w:pPr>
            <w:r>
              <w:t>四、公共安全支出</w:t>
            </w:r>
          </w:p>
        </w:tc>
        <w:tc>
          <w:tcPr>
            <w:tcW w:w="1474" w:type="dxa"/>
            <w:vAlign w:val="center"/>
          </w:tcPr>
          <w:p w14:paraId="7D8814E7">
            <w:pPr>
              <w:pStyle w:val="11"/>
            </w:pPr>
          </w:p>
        </w:tc>
        <w:tc>
          <w:tcPr>
            <w:tcW w:w="1474" w:type="dxa"/>
            <w:vAlign w:val="center"/>
          </w:tcPr>
          <w:p w14:paraId="7914640C">
            <w:pPr>
              <w:pStyle w:val="11"/>
            </w:pPr>
          </w:p>
        </w:tc>
        <w:tc>
          <w:tcPr>
            <w:tcW w:w="1474" w:type="dxa"/>
            <w:vAlign w:val="center"/>
          </w:tcPr>
          <w:p w14:paraId="4E676CC0">
            <w:pPr>
              <w:pStyle w:val="11"/>
            </w:pPr>
          </w:p>
        </w:tc>
        <w:tc>
          <w:tcPr>
            <w:tcW w:w="1474" w:type="dxa"/>
            <w:vAlign w:val="center"/>
          </w:tcPr>
          <w:p w14:paraId="6820AE32">
            <w:pPr>
              <w:pStyle w:val="11"/>
            </w:pPr>
          </w:p>
        </w:tc>
      </w:tr>
      <w:tr w14:paraId="3070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FE9FC">
            <w:pPr>
              <w:pStyle w:val="13"/>
            </w:pPr>
            <w:r>
              <w:t>5</w:t>
            </w:r>
          </w:p>
        </w:tc>
        <w:tc>
          <w:tcPr>
            <w:tcW w:w="3402" w:type="dxa"/>
            <w:vAlign w:val="center"/>
          </w:tcPr>
          <w:p w14:paraId="21E0227D">
            <w:pPr>
              <w:pStyle w:val="12"/>
            </w:pPr>
          </w:p>
        </w:tc>
        <w:tc>
          <w:tcPr>
            <w:tcW w:w="1474" w:type="dxa"/>
            <w:vAlign w:val="center"/>
          </w:tcPr>
          <w:p w14:paraId="23C2F1CE">
            <w:pPr>
              <w:pStyle w:val="11"/>
            </w:pPr>
          </w:p>
        </w:tc>
        <w:tc>
          <w:tcPr>
            <w:tcW w:w="3402" w:type="dxa"/>
            <w:vAlign w:val="center"/>
          </w:tcPr>
          <w:p w14:paraId="192A0717">
            <w:pPr>
              <w:pStyle w:val="12"/>
            </w:pPr>
            <w:r>
              <w:t>五、教育支出</w:t>
            </w:r>
          </w:p>
        </w:tc>
        <w:tc>
          <w:tcPr>
            <w:tcW w:w="1474" w:type="dxa"/>
            <w:vAlign w:val="center"/>
          </w:tcPr>
          <w:p w14:paraId="3E87991F">
            <w:pPr>
              <w:pStyle w:val="11"/>
            </w:pPr>
            <w:r>
              <w:t>1100.25</w:t>
            </w:r>
          </w:p>
        </w:tc>
        <w:tc>
          <w:tcPr>
            <w:tcW w:w="1474" w:type="dxa"/>
            <w:vAlign w:val="center"/>
          </w:tcPr>
          <w:p w14:paraId="726FC884">
            <w:pPr>
              <w:pStyle w:val="11"/>
            </w:pPr>
            <w:r>
              <w:t>1100.25</w:t>
            </w:r>
          </w:p>
        </w:tc>
        <w:tc>
          <w:tcPr>
            <w:tcW w:w="1474" w:type="dxa"/>
            <w:vAlign w:val="center"/>
          </w:tcPr>
          <w:p w14:paraId="2E110A2A">
            <w:pPr>
              <w:pStyle w:val="11"/>
            </w:pPr>
          </w:p>
        </w:tc>
        <w:tc>
          <w:tcPr>
            <w:tcW w:w="1474" w:type="dxa"/>
            <w:vAlign w:val="center"/>
          </w:tcPr>
          <w:p w14:paraId="44DC0F27">
            <w:pPr>
              <w:pStyle w:val="11"/>
            </w:pPr>
          </w:p>
        </w:tc>
      </w:tr>
      <w:tr w14:paraId="06D5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0F3A">
            <w:pPr>
              <w:pStyle w:val="13"/>
            </w:pPr>
            <w:r>
              <w:t>6</w:t>
            </w:r>
          </w:p>
        </w:tc>
        <w:tc>
          <w:tcPr>
            <w:tcW w:w="3402" w:type="dxa"/>
            <w:vAlign w:val="center"/>
          </w:tcPr>
          <w:p w14:paraId="423E63B4">
            <w:pPr>
              <w:pStyle w:val="12"/>
            </w:pPr>
          </w:p>
        </w:tc>
        <w:tc>
          <w:tcPr>
            <w:tcW w:w="1474" w:type="dxa"/>
            <w:vAlign w:val="center"/>
          </w:tcPr>
          <w:p w14:paraId="3B82383E">
            <w:pPr>
              <w:pStyle w:val="11"/>
            </w:pPr>
          </w:p>
        </w:tc>
        <w:tc>
          <w:tcPr>
            <w:tcW w:w="3402" w:type="dxa"/>
            <w:vAlign w:val="center"/>
          </w:tcPr>
          <w:p w14:paraId="613810A9">
            <w:pPr>
              <w:pStyle w:val="12"/>
            </w:pPr>
            <w:r>
              <w:t>六、科学技术支出</w:t>
            </w:r>
          </w:p>
        </w:tc>
        <w:tc>
          <w:tcPr>
            <w:tcW w:w="1474" w:type="dxa"/>
            <w:vAlign w:val="center"/>
          </w:tcPr>
          <w:p w14:paraId="775D275B">
            <w:pPr>
              <w:pStyle w:val="11"/>
            </w:pPr>
          </w:p>
        </w:tc>
        <w:tc>
          <w:tcPr>
            <w:tcW w:w="1474" w:type="dxa"/>
            <w:vAlign w:val="center"/>
          </w:tcPr>
          <w:p w14:paraId="70DDBBE5">
            <w:pPr>
              <w:pStyle w:val="11"/>
            </w:pPr>
          </w:p>
        </w:tc>
        <w:tc>
          <w:tcPr>
            <w:tcW w:w="1474" w:type="dxa"/>
            <w:vAlign w:val="center"/>
          </w:tcPr>
          <w:p w14:paraId="3AEAD80F">
            <w:pPr>
              <w:pStyle w:val="11"/>
            </w:pPr>
          </w:p>
        </w:tc>
        <w:tc>
          <w:tcPr>
            <w:tcW w:w="1474" w:type="dxa"/>
            <w:vAlign w:val="center"/>
          </w:tcPr>
          <w:p w14:paraId="51C5466A">
            <w:pPr>
              <w:pStyle w:val="11"/>
            </w:pPr>
          </w:p>
        </w:tc>
      </w:tr>
      <w:tr w14:paraId="19EB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1128">
            <w:pPr>
              <w:pStyle w:val="13"/>
            </w:pPr>
            <w:r>
              <w:t>7</w:t>
            </w:r>
          </w:p>
        </w:tc>
        <w:tc>
          <w:tcPr>
            <w:tcW w:w="3402" w:type="dxa"/>
            <w:vAlign w:val="center"/>
          </w:tcPr>
          <w:p w14:paraId="5BE67F00">
            <w:pPr>
              <w:pStyle w:val="12"/>
            </w:pPr>
          </w:p>
        </w:tc>
        <w:tc>
          <w:tcPr>
            <w:tcW w:w="1474" w:type="dxa"/>
            <w:vAlign w:val="center"/>
          </w:tcPr>
          <w:p w14:paraId="6EA7AB2A">
            <w:pPr>
              <w:pStyle w:val="11"/>
            </w:pPr>
          </w:p>
        </w:tc>
        <w:tc>
          <w:tcPr>
            <w:tcW w:w="3402" w:type="dxa"/>
            <w:vAlign w:val="center"/>
          </w:tcPr>
          <w:p w14:paraId="09E9A552">
            <w:pPr>
              <w:pStyle w:val="12"/>
            </w:pPr>
            <w:r>
              <w:t>七、文化旅游体育与传媒支出</w:t>
            </w:r>
          </w:p>
        </w:tc>
        <w:tc>
          <w:tcPr>
            <w:tcW w:w="1474" w:type="dxa"/>
            <w:vAlign w:val="center"/>
          </w:tcPr>
          <w:p w14:paraId="675B5A9D">
            <w:pPr>
              <w:pStyle w:val="11"/>
            </w:pPr>
          </w:p>
        </w:tc>
        <w:tc>
          <w:tcPr>
            <w:tcW w:w="1474" w:type="dxa"/>
            <w:vAlign w:val="center"/>
          </w:tcPr>
          <w:p w14:paraId="09883060">
            <w:pPr>
              <w:pStyle w:val="11"/>
            </w:pPr>
          </w:p>
        </w:tc>
        <w:tc>
          <w:tcPr>
            <w:tcW w:w="1474" w:type="dxa"/>
            <w:vAlign w:val="center"/>
          </w:tcPr>
          <w:p w14:paraId="13E5B1CA">
            <w:pPr>
              <w:pStyle w:val="11"/>
            </w:pPr>
          </w:p>
        </w:tc>
        <w:tc>
          <w:tcPr>
            <w:tcW w:w="1474" w:type="dxa"/>
            <w:vAlign w:val="center"/>
          </w:tcPr>
          <w:p w14:paraId="55DF7DA7">
            <w:pPr>
              <w:pStyle w:val="11"/>
            </w:pPr>
          </w:p>
        </w:tc>
      </w:tr>
      <w:tr w14:paraId="7B33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E15F">
            <w:pPr>
              <w:pStyle w:val="13"/>
            </w:pPr>
            <w:r>
              <w:t>8</w:t>
            </w:r>
          </w:p>
        </w:tc>
        <w:tc>
          <w:tcPr>
            <w:tcW w:w="3402" w:type="dxa"/>
            <w:vAlign w:val="center"/>
          </w:tcPr>
          <w:p w14:paraId="4FDBCFC1">
            <w:pPr>
              <w:pStyle w:val="12"/>
            </w:pPr>
          </w:p>
        </w:tc>
        <w:tc>
          <w:tcPr>
            <w:tcW w:w="1474" w:type="dxa"/>
            <w:vAlign w:val="center"/>
          </w:tcPr>
          <w:p w14:paraId="43EF4210">
            <w:pPr>
              <w:pStyle w:val="11"/>
            </w:pPr>
          </w:p>
        </w:tc>
        <w:tc>
          <w:tcPr>
            <w:tcW w:w="3402" w:type="dxa"/>
            <w:vAlign w:val="center"/>
          </w:tcPr>
          <w:p w14:paraId="58DFB9E6">
            <w:pPr>
              <w:pStyle w:val="12"/>
            </w:pPr>
            <w:r>
              <w:t>八、社会保障和就业支出</w:t>
            </w:r>
          </w:p>
        </w:tc>
        <w:tc>
          <w:tcPr>
            <w:tcW w:w="1474" w:type="dxa"/>
            <w:vAlign w:val="center"/>
          </w:tcPr>
          <w:p w14:paraId="6DFD14A4">
            <w:pPr>
              <w:pStyle w:val="11"/>
            </w:pPr>
          </w:p>
        </w:tc>
        <w:tc>
          <w:tcPr>
            <w:tcW w:w="1474" w:type="dxa"/>
            <w:vAlign w:val="center"/>
          </w:tcPr>
          <w:p w14:paraId="1615C596">
            <w:pPr>
              <w:pStyle w:val="11"/>
            </w:pPr>
          </w:p>
        </w:tc>
        <w:tc>
          <w:tcPr>
            <w:tcW w:w="1474" w:type="dxa"/>
            <w:vAlign w:val="center"/>
          </w:tcPr>
          <w:p w14:paraId="08B7DA99">
            <w:pPr>
              <w:pStyle w:val="11"/>
            </w:pPr>
          </w:p>
        </w:tc>
        <w:tc>
          <w:tcPr>
            <w:tcW w:w="1474" w:type="dxa"/>
            <w:vAlign w:val="center"/>
          </w:tcPr>
          <w:p w14:paraId="19BBCAA9">
            <w:pPr>
              <w:pStyle w:val="11"/>
            </w:pPr>
          </w:p>
        </w:tc>
      </w:tr>
      <w:tr w14:paraId="2ED6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7A83">
            <w:pPr>
              <w:pStyle w:val="13"/>
            </w:pPr>
            <w:r>
              <w:t>9</w:t>
            </w:r>
          </w:p>
        </w:tc>
        <w:tc>
          <w:tcPr>
            <w:tcW w:w="3402" w:type="dxa"/>
            <w:vAlign w:val="center"/>
          </w:tcPr>
          <w:p w14:paraId="1C6704AD">
            <w:pPr>
              <w:pStyle w:val="12"/>
            </w:pPr>
          </w:p>
        </w:tc>
        <w:tc>
          <w:tcPr>
            <w:tcW w:w="1474" w:type="dxa"/>
            <w:vAlign w:val="center"/>
          </w:tcPr>
          <w:p w14:paraId="15FA4D87">
            <w:pPr>
              <w:pStyle w:val="11"/>
            </w:pPr>
          </w:p>
        </w:tc>
        <w:tc>
          <w:tcPr>
            <w:tcW w:w="3402" w:type="dxa"/>
            <w:vAlign w:val="center"/>
          </w:tcPr>
          <w:p w14:paraId="2F89D4C2">
            <w:pPr>
              <w:pStyle w:val="12"/>
            </w:pPr>
            <w:r>
              <w:t>九、社会保险基金支出</w:t>
            </w:r>
          </w:p>
        </w:tc>
        <w:tc>
          <w:tcPr>
            <w:tcW w:w="1474" w:type="dxa"/>
            <w:vAlign w:val="center"/>
          </w:tcPr>
          <w:p w14:paraId="631865D3">
            <w:pPr>
              <w:pStyle w:val="11"/>
            </w:pPr>
          </w:p>
        </w:tc>
        <w:tc>
          <w:tcPr>
            <w:tcW w:w="1474" w:type="dxa"/>
            <w:vAlign w:val="center"/>
          </w:tcPr>
          <w:p w14:paraId="64FF7D4A">
            <w:pPr>
              <w:pStyle w:val="11"/>
            </w:pPr>
          </w:p>
        </w:tc>
        <w:tc>
          <w:tcPr>
            <w:tcW w:w="1474" w:type="dxa"/>
            <w:vAlign w:val="center"/>
          </w:tcPr>
          <w:p w14:paraId="09DD9C49">
            <w:pPr>
              <w:pStyle w:val="11"/>
            </w:pPr>
          </w:p>
        </w:tc>
        <w:tc>
          <w:tcPr>
            <w:tcW w:w="1474" w:type="dxa"/>
            <w:vAlign w:val="center"/>
          </w:tcPr>
          <w:p w14:paraId="4B7A1DF5">
            <w:pPr>
              <w:pStyle w:val="11"/>
            </w:pPr>
          </w:p>
        </w:tc>
      </w:tr>
      <w:tr w14:paraId="6E49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51063">
            <w:pPr>
              <w:pStyle w:val="13"/>
            </w:pPr>
            <w:r>
              <w:t>10</w:t>
            </w:r>
          </w:p>
        </w:tc>
        <w:tc>
          <w:tcPr>
            <w:tcW w:w="3402" w:type="dxa"/>
            <w:vAlign w:val="center"/>
          </w:tcPr>
          <w:p w14:paraId="672E412F">
            <w:pPr>
              <w:pStyle w:val="12"/>
            </w:pPr>
          </w:p>
        </w:tc>
        <w:tc>
          <w:tcPr>
            <w:tcW w:w="1474" w:type="dxa"/>
            <w:vAlign w:val="center"/>
          </w:tcPr>
          <w:p w14:paraId="59221C91">
            <w:pPr>
              <w:pStyle w:val="11"/>
            </w:pPr>
          </w:p>
        </w:tc>
        <w:tc>
          <w:tcPr>
            <w:tcW w:w="3402" w:type="dxa"/>
            <w:vAlign w:val="center"/>
          </w:tcPr>
          <w:p w14:paraId="09EC52EB">
            <w:pPr>
              <w:pStyle w:val="12"/>
            </w:pPr>
            <w:r>
              <w:t>十、卫生健康支出</w:t>
            </w:r>
          </w:p>
        </w:tc>
        <w:tc>
          <w:tcPr>
            <w:tcW w:w="1474" w:type="dxa"/>
            <w:vAlign w:val="center"/>
          </w:tcPr>
          <w:p w14:paraId="6519F04A">
            <w:pPr>
              <w:pStyle w:val="11"/>
            </w:pPr>
          </w:p>
        </w:tc>
        <w:tc>
          <w:tcPr>
            <w:tcW w:w="1474" w:type="dxa"/>
            <w:vAlign w:val="center"/>
          </w:tcPr>
          <w:p w14:paraId="3CC63BBF">
            <w:pPr>
              <w:pStyle w:val="11"/>
            </w:pPr>
          </w:p>
        </w:tc>
        <w:tc>
          <w:tcPr>
            <w:tcW w:w="1474" w:type="dxa"/>
            <w:vAlign w:val="center"/>
          </w:tcPr>
          <w:p w14:paraId="3647FC21">
            <w:pPr>
              <w:pStyle w:val="11"/>
            </w:pPr>
          </w:p>
        </w:tc>
        <w:tc>
          <w:tcPr>
            <w:tcW w:w="1474" w:type="dxa"/>
            <w:vAlign w:val="center"/>
          </w:tcPr>
          <w:p w14:paraId="6817857B">
            <w:pPr>
              <w:pStyle w:val="11"/>
            </w:pPr>
          </w:p>
        </w:tc>
      </w:tr>
      <w:tr w14:paraId="2F098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6342">
            <w:pPr>
              <w:pStyle w:val="13"/>
            </w:pPr>
            <w:r>
              <w:t>11</w:t>
            </w:r>
          </w:p>
        </w:tc>
        <w:tc>
          <w:tcPr>
            <w:tcW w:w="3402" w:type="dxa"/>
            <w:vAlign w:val="center"/>
          </w:tcPr>
          <w:p w14:paraId="7830AD94">
            <w:pPr>
              <w:pStyle w:val="12"/>
            </w:pPr>
          </w:p>
        </w:tc>
        <w:tc>
          <w:tcPr>
            <w:tcW w:w="1474" w:type="dxa"/>
            <w:vAlign w:val="center"/>
          </w:tcPr>
          <w:p w14:paraId="634A1FCE">
            <w:pPr>
              <w:pStyle w:val="11"/>
            </w:pPr>
          </w:p>
        </w:tc>
        <w:tc>
          <w:tcPr>
            <w:tcW w:w="3402" w:type="dxa"/>
            <w:vAlign w:val="center"/>
          </w:tcPr>
          <w:p w14:paraId="361D5CE4">
            <w:pPr>
              <w:pStyle w:val="12"/>
            </w:pPr>
            <w:r>
              <w:t>十一、节能环保支出</w:t>
            </w:r>
          </w:p>
        </w:tc>
        <w:tc>
          <w:tcPr>
            <w:tcW w:w="1474" w:type="dxa"/>
            <w:vAlign w:val="center"/>
          </w:tcPr>
          <w:p w14:paraId="5E43AD65">
            <w:pPr>
              <w:pStyle w:val="11"/>
            </w:pPr>
          </w:p>
        </w:tc>
        <w:tc>
          <w:tcPr>
            <w:tcW w:w="1474" w:type="dxa"/>
            <w:vAlign w:val="center"/>
          </w:tcPr>
          <w:p w14:paraId="2572C063">
            <w:pPr>
              <w:pStyle w:val="11"/>
            </w:pPr>
          </w:p>
        </w:tc>
        <w:tc>
          <w:tcPr>
            <w:tcW w:w="1474" w:type="dxa"/>
            <w:vAlign w:val="center"/>
          </w:tcPr>
          <w:p w14:paraId="1B5C4DF2">
            <w:pPr>
              <w:pStyle w:val="11"/>
            </w:pPr>
          </w:p>
        </w:tc>
        <w:tc>
          <w:tcPr>
            <w:tcW w:w="1474" w:type="dxa"/>
            <w:vAlign w:val="center"/>
          </w:tcPr>
          <w:p w14:paraId="4F68FE0C">
            <w:pPr>
              <w:pStyle w:val="11"/>
            </w:pPr>
          </w:p>
        </w:tc>
      </w:tr>
      <w:tr w14:paraId="45C5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902F7">
            <w:pPr>
              <w:pStyle w:val="13"/>
            </w:pPr>
            <w:r>
              <w:t>12</w:t>
            </w:r>
          </w:p>
        </w:tc>
        <w:tc>
          <w:tcPr>
            <w:tcW w:w="3402" w:type="dxa"/>
            <w:vAlign w:val="center"/>
          </w:tcPr>
          <w:p w14:paraId="38EE8194">
            <w:pPr>
              <w:pStyle w:val="12"/>
            </w:pPr>
          </w:p>
        </w:tc>
        <w:tc>
          <w:tcPr>
            <w:tcW w:w="1474" w:type="dxa"/>
            <w:vAlign w:val="center"/>
          </w:tcPr>
          <w:p w14:paraId="2C0A8DFC">
            <w:pPr>
              <w:pStyle w:val="11"/>
            </w:pPr>
          </w:p>
        </w:tc>
        <w:tc>
          <w:tcPr>
            <w:tcW w:w="3402" w:type="dxa"/>
            <w:vAlign w:val="center"/>
          </w:tcPr>
          <w:p w14:paraId="739B69EC">
            <w:pPr>
              <w:pStyle w:val="12"/>
            </w:pPr>
            <w:r>
              <w:t>十二、城乡社区支出</w:t>
            </w:r>
          </w:p>
        </w:tc>
        <w:tc>
          <w:tcPr>
            <w:tcW w:w="1474" w:type="dxa"/>
            <w:vAlign w:val="center"/>
          </w:tcPr>
          <w:p w14:paraId="19CCB357">
            <w:pPr>
              <w:pStyle w:val="11"/>
            </w:pPr>
          </w:p>
        </w:tc>
        <w:tc>
          <w:tcPr>
            <w:tcW w:w="1474" w:type="dxa"/>
            <w:vAlign w:val="center"/>
          </w:tcPr>
          <w:p w14:paraId="5D92EBCF">
            <w:pPr>
              <w:pStyle w:val="11"/>
            </w:pPr>
          </w:p>
        </w:tc>
        <w:tc>
          <w:tcPr>
            <w:tcW w:w="1474" w:type="dxa"/>
            <w:vAlign w:val="center"/>
          </w:tcPr>
          <w:p w14:paraId="02571F91">
            <w:pPr>
              <w:pStyle w:val="11"/>
            </w:pPr>
          </w:p>
        </w:tc>
        <w:tc>
          <w:tcPr>
            <w:tcW w:w="1474" w:type="dxa"/>
            <w:vAlign w:val="center"/>
          </w:tcPr>
          <w:p w14:paraId="78E757F1">
            <w:pPr>
              <w:pStyle w:val="11"/>
            </w:pPr>
          </w:p>
        </w:tc>
      </w:tr>
      <w:tr w14:paraId="343B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CD590">
            <w:pPr>
              <w:pStyle w:val="13"/>
            </w:pPr>
            <w:r>
              <w:t>13</w:t>
            </w:r>
          </w:p>
        </w:tc>
        <w:tc>
          <w:tcPr>
            <w:tcW w:w="3402" w:type="dxa"/>
            <w:vAlign w:val="center"/>
          </w:tcPr>
          <w:p w14:paraId="3906AF99">
            <w:pPr>
              <w:pStyle w:val="12"/>
            </w:pPr>
          </w:p>
        </w:tc>
        <w:tc>
          <w:tcPr>
            <w:tcW w:w="1474" w:type="dxa"/>
            <w:vAlign w:val="center"/>
          </w:tcPr>
          <w:p w14:paraId="42C7966C">
            <w:pPr>
              <w:pStyle w:val="11"/>
            </w:pPr>
          </w:p>
        </w:tc>
        <w:tc>
          <w:tcPr>
            <w:tcW w:w="3402" w:type="dxa"/>
            <w:vAlign w:val="center"/>
          </w:tcPr>
          <w:p w14:paraId="5CADC8D7">
            <w:pPr>
              <w:pStyle w:val="12"/>
            </w:pPr>
            <w:r>
              <w:t>十三、农林水支出</w:t>
            </w:r>
          </w:p>
        </w:tc>
        <w:tc>
          <w:tcPr>
            <w:tcW w:w="1474" w:type="dxa"/>
            <w:vAlign w:val="center"/>
          </w:tcPr>
          <w:p w14:paraId="51339977">
            <w:pPr>
              <w:pStyle w:val="11"/>
            </w:pPr>
          </w:p>
        </w:tc>
        <w:tc>
          <w:tcPr>
            <w:tcW w:w="1474" w:type="dxa"/>
            <w:vAlign w:val="center"/>
          </w:tcPr>
          <w:p w14:paraId="738B09A2">
            <w:pPr>
              <w:pStyle w:val="11"/>
            </w:pPr>
          </w:p>
        </w:tc>
        <w:tc>
          <w:tcPr>
            <w:tcW w:w="1474" w:type="dxa"/>
            <w:vAlign w:val="center"/>
          </w:tcPr>
          <w:p w14:paraId="0E63F5A6">
            <w:pPr>
              <w:pStyle w:val="11"/>
            </w:pPr>
          </w:p>
        </w:tc>
        <w:tc>
          <w:tcPr>
            <w:tcW w:w="1474" w:type="dxa"/>
            <w:vAlign w:val="center"/>
          </w:tcPr>
          <w:p w14:paraId="56B83219">
            <w:pPr>
              <w:pStyle w:val="11"/>
            </w:pPr>
          </w:p>
        </w:tc>
      </w:tr>
      <w:tr w14:paraId="10C12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7F178">
            <w:pPr>
              <w:pStyle w:val="13"/>
            </w:pPr>
            <w:r>
              <w:t>14</w:t>
            </w:r>
          </w:p>
        </w:tc>
        <w:tc>
          <w:tcPr>
            <w:tcW w:w="3402" w:type="dxa"/>
            <w:vAlign w:val="center"/>
          </w:tcPr>
          <w:p w14:paraId="6C4C2A08">
            <w:pPr>
              <w:pStyle w:val="12"/>
            </w:pPr>
          </w:p>
        </w:tc>
        <w:tc>
          <w:tcPr>
            <w:tcW w:w="1474" w:type="dxa"/>
            <w:vAlign w:val="center"/>
          </w:tcPr>
          <w:p w14:paraId="18741856">
            <w:pPr>
              <w:pStyle w:val="11"/>
            </w:pPr>
          </w:p>
        </w:tc>
        <w:tc>
          <w:tcPr>
            <w:tcW w:w="3402" w:type="dxa"/>
            <w:vAlign w:val="center"/>
          </w:tcPr>
          <w:p w14:paraId="32B5A39E">
            <w:pPr>
              <w:pStyle w:val="12"/>
            </w:pPr>
            <w:r>
              <w:t>十四、交通运输支出</w:t>
            </w:r>
          </w:p>
        </w:tc>
        <w:tc>
          <w:tcPr>
            <w:tcW w:w="1474" w:type="dxa"/>
            <w:vAlign w:val="center"/>
          </w:tcPr>
          <w:p w14:paraId="2F05C59D">
            <w:pPr>
              <w:pStyle w:val="11"/>
            </w:pPr>
          </w:p>
        </w:tc>
        <w:tc>
          <w:tcPr>
            <w:tcW w:w="1474" w:type="dxa"/>
            <w:vAlign w:val="center"/>
          </w:tcPr>
          <w:p w14:paraId="5EC4DC8D">
            <w:pPr>
              <w:pStyle w:val="11"/>
            </w:pPr>
          </w:p>
        </w:tc>
        <w:tc>
          <w:tcPr>
            <w:tcW w:w="1474" w:type="dxa"/>
            <w:vAlign w:val="center"/>
          </w:tcPr>
          <w:p w14:paraId="37A2F6C6">
            <w:pPr>
              <w:pStyle w:val="11"/>
            </w:pPr>
          </w:p>
        </w:tc>
        <w:tc>
          <w:tcPr>
            <w:tcW w:w="1474" w:type="dxa"/>
            <w:vAlign w:val="center"/>
          </w:tcPr>
          <w:p w14:paraId="48231033">
            <w:pPr>
              <w:pStyle w:val="11"/>
            </w:pPr>
          </w:p>
        </w:tc>
      </w:tr>
      <w:tr w14:paraId="1A4A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FFCA5">
            <w:pPr>
              <w:pStyle w:val="13"/>
            </w:pPr>
            <w:r>
              <w:t>15</w:t>
            </w:r>
          </w:p>
        </w:tc>
        <w:tc>
          <w:tcPr>
            <w:tcW w:w="3402" w:type="dxa"/>
            <w:vAlign w:val="center"/>
          </w:tcPr>
          <w:p w14:paraId="15CBC9D5">
            <w:pPr>
              <w:pStyle w:val="12"/>
            </w:pPr>
          </w:p>
        </w:tc>
        <w:tc>
          <w:tcPr>
            <w:tcW w:w="1474" w:type="dxa"/>
            <w:vAlign w:val="center"/>
          </w:tcPr>
          <w:p w14:paraId="530B132B">
            <w:pPr>
              <w:pStyle w:val="11"/>
            </w:pPr>
          </w:p>
        </w:tc>
        <w:tc>
          <w:tcPr>
            <w:tcW w:w="3402" w:type="dxa"/>
            <w:vAlign w:val="center"/>
          </w:tcPr>
          <w:p w14:paraId="78390936">
            <w:pPr>
              <w:pStyle w:val="12"/>
            </w:pPr>
            <w:r>
              <w:t>十五、资源勘探工业信息等支出</w:t>
            </w:r>
          </w:p>
        </w:tc>
        <w:tc>
          <w:tcPr>
            <w:tcW w:w="1474" w:type="dxa"/>
            <w:vAlign w:val="center"/>
          </w:tcPr>
          <w:p w14:paraId="2A4E5A78">
            <w:pPr>
              <w:pStyle w:val="11"/>
            </w:pPr>
          </w:p>
        </w:tc>
        <w:tc>
          <w:tcPr>
            <w:tcW w:w="1474" w:type="dxa"/>
            <w:vAlign w:val="center"/>
          </w:tcPr>
          <w:p w14:paraId="22EA95AD">
            <w:pPr>
              <w:pStyle w:val="11"/>
            </w:pPr>
          </w:p>
        </w:tc>
        <w:tc>
          <w:tcPr>
            <w:tcW w:w="1474" w:type="dxa"/>
            <w:vAlign w:val="center"/>
          </w:tcPr>
          <w:p w14:paraId="5CB0EA81">
            <w:pPr>
              <w:pStyle w:val="11"/>
            </w:pPr>
          </w:p>
        </w:tc>
        <w:tc>
          <w:tcPr>
            <w:tcW w:w="1474" w:type="dxa"/>
            <w:vAlign w:val="center"/>
          </w:tcPr>
          <w:p w14:paraId="39A791CB">
            <w:pPr>
              <w:pStyle w:val="11"/>
            </w:pPr>
          </w:p>
        </w:tc>
      </w:tr>
      <w:tr w14:paraId="377F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21C3">
            <w:pPr>
              <w:pStyle w:val="13"/>
            </w:pPr>
            <w:r>
              <w:t>16</w:t>
            </w:r>
          </w:p>
        </w:tc>
        <w:tc>
          <w:tcPr>
            <w:tcW w:w="3402" w:type="dxa"/>
            <w:vAlign w:val="center"/>
          </w:tcPr>
          <w:p w14:paraId="7FB98103">
            <w:pPr>
              <w:pStyle w:val="12"/>
            </w:pPr>
          </w:p>
        </w:tc>
        <w:tc>
          <w:tcPr>
            <w:tcW w:w="1474" w:type="dxa"/>
            <w:vAlign w:val="center"/>
          </w:tcPr>
          <w:p w14:paraId="07B06DAB">
            <w:pPr>
              <w:pStyle w:val="11"/>
            </w:pPr>
          </w:p>
        </w:tc>
        <w:tc>
          <w:tcPr>
            <w:tcW w:w="3402" w:type="dxa"/>
            <w:vAlign w:val="center"/>
          </w:tcPr>
          <w:p w14:paraId="449DB216">
            <w:pPr>
              <w:pStyle w:val="12"/>
            </w:pPr>
            <w:r>
              <w:t>十六、商业服务业等支出</w:t>
            </w:r>
          </w:p>
        </w:tc>
        <w:tc>
          <w:tcPr>
            <w:tcW w:w="1474" w:type="dxa"/>
            <w:vAlign w:val="center"/>
          </w:tcPr>
          <w:p w14:paraId="3361EC71">
            <w:pPr>
              <w:pStyle w:val="11"/>
            </w:pPr>
          </w:p>
        </w:tc>
        <w:tc>
          <w:tcPr>
            <w:tcW w:w="1474" w:type="dxa"/>
            <w:vAlign w:val="center"/>
          </w:tcPr>
          <w:p w14:paraId="3A0E78B6">
            <w:pPr>
              <w:pStyle w:val="11"/>
            </w:pPr>
          </w:p>
        </w:tc>
        <w:tc>
          <w:tcPr>
            <w:tcW w:w="1474" w:type="dxa"/>
            <w:vAlign w:val="center"/>
          </w:tcPr>
          <w:p w14:paraId="5493F4FE">
            <w:pPr>
              <w:pStyle w:val="11"/>
            </w:pPr>
          </w:p>
        </w:tc>
        <w:tc>
          <w:tcPr>
            <w:tcW w:w="1474" w:type="dxa"/>
            <w:vAlign w:val="center"/>
          </w:tcPr>
          <w:p w14:paraId="224743C9">
            <w:pPr>
              <w:pStyle w:val="11"/>
            </w:pPr>
          </w:p>
        </w:tc>
      </w:tr>
      <w:tr w14:paraId="784A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951C">
            <w:pPr>
              <w:pStyle w:val="13"/>
            </w:pPr>
            <w:r>
              <w:t>17</w:t>
            </w:r>
          </w:p>
        </w:tc>
        <w:tc>
          <w:tcPr>
            <w:tcW w:w="3402" w:type="dxa"/>
            <w:vAlign w:val="center"/>
          </w:tcPr>
          <w:p w14:paraId="0940CC3E">
            <w:pPr>
              <w:pStyle w:val="12"/>
            </w:pPr>
          </w:p>
        </w:tc>
        <w:tc>
          <w:tcPr>
            <w:tcW w:w="1474" w:type="dxa"/>
            <w:vAlign w:val="center"/>
          </w:tcPr>
          <w:p w14:paraId="736AD0F2">
            <w:pPr>
              <w:pStyle w:val="11"/>
            </w:pPr>
          </w:p>
        </w:tc>
        <w:tc>
          <w:tcPr>
            <w:tcW w:w="3402" w:type="dxa"/>
            <w:vAlign w:val="center"/>
          </w:tcPr>
          <w:p w14:paraId="63B81BF6">
            <w:pPr>
              <w:pStyle w:val="12"/>
            </w:pPr>
            <w:r>
              <w:t>十七、金融支出</w:t>
            </w:r>
          </w:p>
        </w:tc>
        <w:tc>
          <w:tcPr>
            <w:tcW w:w="1474" w:type="dxa"/>
            <w:vAlign w:val="center"/>
          </w:tcPr>
          <w:p w14:paraId="2B9F12DD">
            <w:pPr>
              <w:pStyle w:val="11"/>
            </w:pPr>
          </w:p>
        </w:tc>
        <w:tc>
          <w:tcPr>
            <w:tcW w:w="1474" w:type="dxa"/>
            <w:vAlign w:val="center"/>
          </w:tcPr>
          <w:p w14:paraId="16746544">
            <w:pPr>
              <w:pStyle w:val="11"/>
            </w:pPr>
          </w:p>
        </w:tc>
        <w:tc>
          <w:tcPr>
            <w:tcW w:w="1474" w:type="dxa"/>
            <w:vAlign w:val="center"/>
          </w:tcPr>
          <w:p w14:paraId="135ADD83">
            <w:pPr>
              <w:pStyle w:val="11"/>
            </w:pPr>
          </w:p>
        </w:tc>
        <w:tc>
          <w:tcPr>
            <w:tcW w:w="1474" w:type="dxa"/>
            <w:vAlign w:val="center"/>
          </w:tcPr>
          <w:p w14:paraId="1048E67F">
            <w:pPr>
              <w:pStyle w:val="11"/>
            </w:pPr>
          </w:p>
        </w:tc>
      </w:tr>
      <w:tr w14:paraId="2C0D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CBC5">
            <w:pPr>
              <w:pStyle w:val="13"/>
            </w:pPr>
            <w:r>
              <w:t>18</w:t>
            </w:r>
          </w:p>
        </w:tc>
        <w:tc>
          <w:tcPr>
            <w:tcW w:w="3402" w:type="dxa"/>
            <w:vAlign w:val="center"/>
          </w:tcPr>
          <w:p w14:paraId="35BE4110">
            <w:pPr>
              <w:pStyle w:val="12"/>
            </w:pPr>
          </w:p>
        </w:tc>
        <w:tc>
          <w:tcPr>
            <w:tcW w:w="1474" w:type="dxa"/>
            <w:vAlign w:val="center"/>
          </w:tcPr>
          <w:p w14:paraId="0292288B">
            <w:pPr>
              <w:pStyle w:val="11"/>
            </w:pPr>
          </w:p>
        </w:tc>
        <w:tc>
          <w:tcPr>
            <w:tcW w:w="3402" w:type="dxa"/>
            <w:vAlign w:val="center"/>
          </w:tcPr>
          <w:p w14:paraId="394E6D6C">
            <w:pPr>
              <w:pStyle w:val="12"/>
            </w:pPr>
            <w:r>
              <w:t>十八、援助其他地区支出</w:t>
            </w:r>
          </w:p>
        </w:tc>
        <w:tc>
          <w:tcPr>
            <w:tcW w:w="1474" w:type="dxa"/>
            <w:vAlign w:val="center"/>
          </w:tcPr>
          <w:p w14:paraId="67CB3B51">
            <w:pPr>
              <w:pStyle w:val="11"/>
            </w:pPr>
          </w:p>
        </w:tc>
        <w:tc>
          <w:tcPr>
            <w:tcW w:w="1474" w:type="dxa"/>
            <w:vAlign w:val="center"/>
          </w:tcPr>
          <w:p w14:paraId="165B29B3">
            <w:pPr>
              <w:pStyle w:val="11"/>
            </w:pPr>
          </w:p>
        </w:tc>
        <w:tc>
          <w:tcPr>
            <w:tcW w:w="1474" w:type="dxa"/>
            <w:vAlign w:val="center"/>
          </w:tcPr>
          <w:p w14:paraId="2BC8698B">
            <w:pPr>
              <w:pStyle w:val="11"/>
            </w:pPr>
          </w:p>
        </w:tc>
        <w:tc>
          <w:tcPr>
            <w:tcW w:w="1474" w:type="dxa"/>
            <w:vAlign w:val="center"/>
          </w:tcPr>
          <w:p w14:paraId="4FC7B85F">
            <w:pPr>
              <w:pStyle w:val="11"/>
            </w:pPr>
          </w:p>
        </w:tc>
      </w:tr>
      <w:tr w14:paraId="3583F465">
        <w:tblPrEx>
          <w:tblCellMar>
            <w:top w:w="0" w:type="dxa"/>
            <w:left w:w="108" w:type="dxa"/>
            <w:bottom w:w="0" w:type="dxa"/>
            <w:right w:w="108" w:type="dxa"/>
          </w:tblCellMar>
        </w:tblPrEx>
        <w:trPr>
          <w:trHeight w:val="369" w:hRule="atLeast"/>
          <w:jc w:val="center"/>
        </w:trPr>
        <w:tc>
          <w:tcPr>
            <w:tcW w:w="850" w:type="dxa"/>
            <w:vAlign w:val="center"/>
          </w:tcPr>
          <w:p w14:paraId="16B729BE">
            <w:pPr>
              <w:pStyle w:val="13"/>
            </w:pPr>
            <w:r>
              <w:t>19</w:t>
            </w:r>
          </w:p>
        </w:tc>
        <w:tc>
          <w:tcPr>
            <w:tcW w:w="3402" w:type="dxa"/>
            <w:vAlign w:val="center"/>
          </w:tcPr>
          <w:p w14:paraId="41850BB6">
            <w:pPr>
              <w:pStyle w:val="12"/>
            </w:pPr>
          </w:p>
        </w:tc>
        <w:tc>
          <w:tcPr>
            <w:tcW w:w="1474" w:type="dxa"/>
            <w:vAlign w:val="center"/>
          </w:tcPr>
          <w:p w14:paraId="50BF49F8">
            <w:pPr>
              <w:pStyle w:val="11"/>
            </w:pPr>
          </w:p>
        </w:tc>
        <w:tc>
          <w:tcPr>
            <w:tcW w:w="3402" w:type="dxa"/>
            <w:vAlign w:val="center"/>
          </w:tcPr>
          <w:p w14:paraId="2B88EABA">
            <w:pPr>
              <w:pStyle w:val="12"/>
            </w:pPr>
            <w:r>
              <w:t>十九、自然资源海洋气象等支出</w:t>
            </w:r>
          </w:p>
        </w:tc>
        <w:tc>
          <w:tcPr>
            <w:tcW w:w="1474" w:type="dxa"/>
            <w:vAlign w:val="center"/>
          </w:tcPr>
          <w:p w14:paraId="6DF664DC">
            <w:pPr>
              <w:pStyle w:val="11"/>
            </w:pPr>
          </w:p>
        </w:tc>
        <w:tc>
          <w:tcPr>
            <w:tcW w:w="1474" w:type="dxa"/>
            <w:vAlign w:val="center"/>
          </w:tcPr>
          <w:p w14:paraId="6C759D04">
            <w:pPr>
              <w:pStyle w:val="11"/>
            </w:pPr>
          </w:p>
        </w:tc>
        <w:tc>
          <w:tcPr>
            <w:tcW w:w="1474" w:type="dxa"/>
            <w:vAlign w:val="center"/>
          </w:tcPr>
          <w:p w14:paraId="1BB7B42D">
            <w:pPr>
              <w:pStyle w:val="11"/>
            </w:pPr>
          </w:p>
        </w:tc>
        <w:tc>
          <w:tcPr>
            <w:tcW w:w="1474" w:type="dxa"/>
            <w:vAlign w:val="center"/>
          </w:tcPr>
          <w:p w14:paraId="5C3B099B">
            <w:pPr>
              <w:pStyle w:val="11"/>
            </w:pPr>
          </w:p>
        </w:tc>
      </w:tr>
      <w:tr w14:paraId="6E1B1981">
        <w:tblPrEx>
          <w:tblCellMar>
            <w:top w:w="0" w:type="dxa"/>
            <w:left w:w="108" w:type="dxa"/>
            <w:bottom w:w="0" w:type="dxa"/>
            <w:right w:w="108" w:type="dxa"/>
          </w:tblCellMar>
        </w:tblPrEx>
        <w:trPr>
          <w:trHeight w:val="369" w:hRule="atLeast"/>
          <w:jc w:val="center"/>
        </w:trPr>
        <w:tc>
          <w:tcPr>
            <w:tcW w:w="850" w:type="dxa"/>
            <w:vAlign w:val="center"/>
          </w:tcPr>
          <w:p w14:paraId="32605984">
            <w:pPr>
              <w:pStyle w:val="13"/>
            </w:pPr>
            <w:r>
              <w:t>20</w:t>
            </w:r>
          </w:p>
        </w:tc>
        <w:tc>
          <w:tcPr>
            <w:tcW w:w="3402" w:type="dxa"/>
            <w:vAlign w:val="center"/>
          </w:tcPr>
          <w:p w14:paraId="2BB36E6D">
            <w:pPr>
              <w:pStyle w:val="12"/>
            </w:pPr>
          </w:p>
        </w:tc>
        <w:tc>
          <w:tcPr>
            <w:tcW w:w="1474" w:type="dxa"/>
            <w:vAlign w:val="center"/>
          </w:tcPr>
          <w:p w14:paraId="4805A8F0">
            <w:pPr>
              <w:pStyle w:val="11"/>
            </w:pPr>
          </w:p>
        </w:tc>
        <w:tc>
          <w:tcPr>
            <w:tcW w:w="3402" w:type="dxa"/>
            <w:vAlign w:val="center"/>
          </w:tcPr>
          <w:p w14:paraId="393897BC">
            <w:pPr>
              <w:pStyle w:val="12"/>
            </w:pPr>
            <w:r>
              <w:t>二十、住房保障支出</w:t>
            </w:r>
          </w:p>
        </w:tc>
        <w:tc>
          <w:tcPr>
            <w:tcW w:w="1474" w:type="dxa"/>
            <w:vAlign w:val="center"/>
          </w:tcPr>
          <w:p w14:paraId="24D869C0">
            <w:pPr>
              <w:pStyle w:val="11"/>
            </w:pPr>
          </w:p>
        </w:tc>
        <w:tc>
          <w:tcPr>
            <w:tcW w:w="1474" w:type="dxa"/>
            <w:vAlign w:val="center"/>
          </w:tcPr>
          <w:p w14:paraId="629FA999">
            <w:pPr>
              <w:pStyle w:val="11"/>
            </w:pPr>
          </w:p>
        </w:tc>
        <w:tc>
          <w:tcPr>
            <w:tcW w:w="1474" w:type="dxa"/>
            <w:vAlign w:val="center"/>
          </w:tcPr>
          <w:p w14:paraId="1E6045B9">
            <w:pPr>
              <w:pStyle w:val="11"/>
            </w:pPr>
          </w:p>
        </w:tc>
        <w:tc>
          <w:tcPr>
            <w:tcW w:w="1474" w:type="dxa"/>
            <w:vAlign w:val="center"/>
          </w:tcPr>
          <w:p w14:paraId="10F256D7">
            <w:pPr>
              <w:pStyle w:val="11"/>
            </w:pPr>
          </w:p>
        </w:tc>
      </w:tr>
      <w:tr w14:paraId="29B74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D990F">
            <w:pPr>
              <w:pStyle w:val="13"/>
            </w:pPr>
            <w:r>
              <w:t>21</w:t>
            </w:r>
          </w:p>
        </w:tc>
        <w:tc>
          <w:tcPr>
            <w:tcW w:w="3402" w:type="dxa"/>
            <w:vAlign w:val="center"/>
          </w:tcPr>
          <w:p w14:paraId="7DE11000">
            <w:pPr>
              <w:pStyle w:val="12"/>
            </w:pPr>
          </w:p>
        </w:tc>
        <w:tc>
          <w:tcPr>
            <w:tcW w:w="1474" w:type="dxa"/>
            <w:vAlign w:val="center"/>
          </w:tcPr>
          <w:p w14:paraId="0933E687">
            <w:pPr>
              <w:pStyle w:val="11"/>
            </w:pPr>
          </w:p>
        </w:tc>
        <w:tc>
          <w:tcPr>
            <w:tcW w:w="3402" w:type="dxa"/>
            <w:vAlign w:val="center"/>
          </w:tcPr>
          <w:p w14:paraId="220D420E">
            <w:pPr>
              <w:pStyle w:val="12"/>
            </w:pPr>
            <w:r>
              <w:t>二十一、粮油物资储备支出</w:t>
            </w:r>
          </w:p>
        </w:tc>
        <w:tc>
          <w:tcPr>
            <w:tcW w:w="1474" w:type="dxa"/>
            <w:vAlign w:val="center"/>
          </w:tcPr>
          <w:p w14:paraId="0E82AE5A">
            <w:pPr>
              <w:pStyle w:val="11"/>
            </w:pPr>
          </w:p>
        </w:tc>
        <w:tc>
          <w:tcPr>
            <w:tcW w:w="1474" w:type="dxa"/>
            <w:vAlign w:val="center"/>
          </w:tcPr>
          <w:p w14:paraId="447AF84A">
            <w:pPr>
              <w:pStyle w:val="11"/>
            </w:pPr>
          </w:p>
        </w:tc>
        <w:tc>
          <w:tcPr>
            <w:tcW w:w="1474" w:type="dxa"/>
            <w:vAlign w:val="center"/>
          </w:tcPr>
          <w:p w14:paraId="2E8A9C61">
            <w:pPr>
              <w:pStyle w:val="11"/>
            </w:pPr>
          </w:p>
        </w:tc>
        <w:tc>
          <w:tcPr>
            <w:tcW w:w="1474" w:type="dxa"/>
            <w:vAlign w:val="center"/>
          </w:tcPr>
          <w:p w14:paraId="056F729A">
            <w:pPr>
              <w:pStyle w:val="11"/>
            </w:pPr>
          </w:p>
        </w:tc>
      </w:tr>
      <w:tr w14:paraId="0580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53B8B">
            <w:pPr>
              <w:pStyle w:val="13"/>
            </w:pPr>
            <w:r>
              <w:t>22</w:t>
            </w:r>
          </w:p>
        </w:tc>
        <w:tc>
          <w:tcPr>
            <w:tcW w:w="3402" w:type="dxa"/>
            <w:vAlign w:val="center"/>
          </w:tcPr>
          <w:p w14:paraId="50F791A3">
            <w:pPr>
              <w:pStyle w:val="12"/>
            </w:pPr>
          </w:p>
        </w:tc>
        <w:tc>
          <w:tcPr>
            <w:tcW w:w="1474" w:type="dxa"/>
            <w:vAlign w:val="center"/>
          </w:tcPr>
          <w:p w14:paraId="06F59D7F">
            <w:pPr>
              <w:pStyle w:val="11"/>
            </w:pPr>
          </w:p>
        </w:tc>
        <w:tc>
          <w:tcPr>
            <w:tcW w:w="3402" w:type="dxa"/>
            <w:vAlign w:val="center"/>
          </w:tcPr>
          <w:p w14:paraId="5F570302">
            <w:pPr>
              <w:pStyle w:val="12"/>
            </w:pPr>
            <w:r>
              <w:t>二十二、国有资本经营预算支出</w:t>
            </w:r>
          </w:p>
        </w:tc>
        <w:tc>
          <w:tcPr>
            <w:tcW w:w="1474" w:type="dxa"/>
            <w:vAlign w:val="center"/>
          </w:tcPr>
          <w:p w14:paraId="3D6D258B">
            <w:pPr>
              <w:pStyle w:val="11"/>
            </w:pPr>
          </w:p>
        </w:tc>
        <w:tc>
          <w:tcPr>
            <w:tcW w:w="1474" w:type="dxa"/>
            <w:vAlign w:val="center"/>
          </w:tcPr>
          <w:p w14:paraId="3BB60599">
            <w:pPr>
              <w:pStyle w:val="11"/>
            </w:pPr>
          </w:p>
        </w:tc>
        <w:tc>
          <w:tcPr>
            <w:tcW w:w="1474" w:type="dxa"/>
            <w:vAlign w:val="center"/>
          </w:tcPr>
          <w:p w14:paraId="78FACCDE">
            <w:pPr>
              <w:pStyle w:val="11"/>
            </w:pPr>
          </w:p>
        </w:tc>
        <w:tc>
          <w:tcPr>
            <w:tcW w:w="1474" w:type="dxa"/>
            <w:vAlign w:val="center"/>
          </w:tcPr>
          <w:p w14:paraId="4BFB1410">
            <w:pPr>
              <w:pStyle w:val="11"/>
            </w:pPr>
          </w:p>
        </w:tc>
      </w:tr>
      <w:tr w14:paraId="19839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34A04">
            <w:pPr>
              <w:pStyle w:val="13"/>
            </w:pPr>
            <w:r>
              <w:t>23</w:t>
            </w:r>
          </w:p>
        </w:tc>
        <w:tc>
          <w:tcPr>
            <w:tcW w:w="3402" w:type="dxa"/>
            <w:vAlign w:val="center"/>
          </w:tcPr>
          <w:p w14:paraId="1E1DDD83">
            <w:pPr>
              <w:pStyle w:val="12"/>
            </w:pPr>
          </w:p>
        </w:tc>
        <w:tc>
          <w:tcPr>
            <w:tcW w:w="1474" w:type="dxa"/>
            <w:vAlign w:val="center"/>
          </w:tcPr>
          <w:p w14:paraId="76EE837C">
            <w:pPr>
              <w:pStyle w:val="11"/>
            </w:pPr>
          </w:p>
        </w:tc>
        <w:tc>
          <w:tcPr>
            <w:tcW w:w="3402" w:type="dxa"/>
            <w:vAlign w:val="center"/>
          </w:tcPr>
          <w:p w14:paraId="16D70558">
            <w:pPr>
              <w:pStyle w:val="12"/>
            </w:pPr>
            <w:r>
              <w:t>二十三、灾害防治及应急管理支出</w:t>
            </w:r>
          </w:p>
        </w:tc>
        <w:tc>
          <w:tcPr>
            <w:tcW w:w="1474" w:type="dxa"/>
            <w:vAlign w:val="center"/>
          </w:tcPr>
          <w:p w14:paraId="7A1DB3E3">
            <w:pPr>
              <w:pStyle w:val="11"/>
            </w:pPr>
          </w:p>
        </w:tc>
        <w:tc>
          <w:tcPr>
            <w:tcW w:w="1474" w:type="dxa"/>
            <w:vAlign w:val="center"/>
          </w:tcPr>
          <w:p w14:paraId="4DA8E0EE">
            <w:pPr>
              <w:pStyle w:val="11"/>
            </w:pPr>
          </w:p>
        </w:tc>
        <w:tc>
          <w:tcPr>
            <w:tcW w:w="1474" w:type="dxa"/>
            <w:vAlign w:val="center"/>
          </w:tcPr>
          <w:p w14:paraId="5470E624">
            <w:pPr>
              <w:pStyle w:val="11"/>
            </w:pPr>
          </w:p>
        </w:tc>
        <w:tc>
          <w:tcPr>
            <w:tcW w:w="1474" w:type="dxa"/>
            <w:vAlign w:val="center"/>
          </w:tcPr>
          <w:p w14:paraId="6B087F5E">
            <w:pPr>
              <w:pStyle w:val="11"/>
            </w:pPr>
          </w:p>
        </w:tc>
      </w:tr>
      <w:tr w14:paraId="1D8C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3996">
            <w:pPr>
              <w:pStyle w:val="13"/>
            </w:pPr>
            <w:r>
              <w:t>24</w:t>
            </w:r>
          </w:p>
        </w:tc>
        <w:tc>
          <w:tcPr>
            <w:tcW w:w="3402" w:type="dxa"/>
            <w:vAlign w:val="center"/>
          </w:tcPr>
          <w:p w14:paraId="42717A56">
            <w:pPr>
              <w:pStyle w:val="12"/>
            </w:pPr>
          </w:p>
        </w:tc>
        <w:tc>
          <w:tcPr>
            <w:tcW w:w="1474" w:type="dxa"/>
            <w:vAlign w:val="center"/>
          </w:tcPr>
          <w:p w14:paraId="3FEB4F61">
            <w:pPr>
              <w:pStyle w:val="11"/>
            </w:pPr>
          </w:p>
        </w:tc>
        <w:tc>
          <w:tcPr>
            <w:tcW w:w="3402" w:type="dxa"/>
            <w:vAlign w:val="center"/>
          </w:tcPr>
          <w:p w14:paraId="01B54D38">
            <w:pPr>
              <w:pStyle w:val="12"/>
            </w:pPr>
            <w:r>
              <w:t>二十四、预备费</w:t>
            </w:r>
          </w:p>
        </w:tc>
        <w:tc>
          <w:tcPr>
            <w:tcW w:w="1474" w:type="dxa"/>
            <w:vAlign w:val="center"/>
          </w:tcPr>
          <w:p w14:paraId="55DBBA47">
            <w:pPr>
              <w:pStyle w:val="11"/>
            </w:pPr>
          </w:p>
        </w:tc>
        <w:tc>
          <w:tcPr>
            <w:tcW w:w="1474" w:type="dxa"/>
            <w:vAlign w:val="center"/>
          </w:tcPr>
          <w:p w14:paraId="3DF862D1">
            <w:pPr>
              <w:pStyle w:val="11"/>
            </w:pPr>
          </w:p>
        </w:tc>
        <w:tc>
          <w:tcPr>
            <w:tcW w:w="1474" w:type="dxa"/>
            <w:vAlign w:val="center"/>
          </w:tcPr>
          <w:p w14:paraId="469A8BAB">
            <w:pPr>
              <w:pStyle w:val="11"/>
            </w:pPr>
          </w:p>
        </w:tc>
        <w:tc>
          <w:tcPr>
            <w:tcW w:w="1474" w:type="dxa"/>
            <w:vAlign w:val="center"/>
          </w:tcPr>
          <w:p w14:paraId="301AB142">
            <w:pPr>
              <w:pStyle w:val="11"/>
            </w:pPr>
          </w:p>
        </w:tc>
      </w:tr>
      <w:tr w14:paraId="775C4E21">
        <w:tblPrEx>
          <w:tblCellMar>
            <w:top w:w="0" w:type="dxa"/>
            <w:left w:w="108" w:type="dxa"/>
            <w:bottom w:w="0" w:type="dxa"/>
            <w:right w:w="108" w:type="dxa"/>
          </w:tblCellMar>
        </w:tblPrEx>
        <w:trPr>
          <w:trHeight w:val="369" w:hRule="atLeast"/>
          <w:jc w:val="center"/>
        </w:trPr>
        <w:tc>
          <w:tcPr>
            <w:tcW w:w="850" w:type="dxa"/>
            <w:vAlign w:val="center"/>
          </w:tcPr>
          <w:p w14:paraId="1C647DC3">
            <w:pPr>
              <w:pStyle w:val="13"/>
            </w:pPr>
            <w:r>
              <w:t>25</w:t>
            </w:r>
          </w:p>
        </w:tc>
        <w:tc>
          <w:tcPr>
            <w:tcW w:w="3402" w:type="dxa"/>
            <w:vAlign w:val="center"/>
          </w:tcPr>
          <w:p w14:paraId="2E14EF09">
            <w:pPr>
              <w:pStyle w:val="12"/>
            </w:pPr>
          </w:p>
        </w:tc>
        <w:tc>
          <w:tcPr>
            <w:tcW w:w="1474" w:type="dxa"/>
            <w:vAlign w:val="center"/>
          </w:tcPr>
          <w:p w14:paraId="79F0865E">
            <w:pPr>
              <w:pStyle w:val="11"/>
            </w:pPr>
          </w:p>
        </w:tc>
        <w:tc>
          <w:tcPr>
            <w:tcW w:w="3402" w:type="dxa"/>
            <w:vAlign w:val="center"/>
          </w:tcPr>
          <w:p w14:paraId="629279B4">
            <w:pPr>
              <w:pStyle w:val="12"/>
            </w:pPr>
            <w:r>
              <w:t>二十五、其他支出</w:t>
            </w:r>
          </w:p>
        </w:tc>
        <w:tc>
          <w:tcPr>
            <w:tcW w:w="1474" w:type="dxa"/>
            <w:vAlign w:val="center"/>
          </w:tcPr>
          <w:p w14:paraId="7BACAC50">
            <w:pPr>
              <w:pStyle w:val="11"/>
            </w:pPr>
          </w:p>
        </w:tc>
        <w:tc>
          <w:tcPr>
            <w:tcW w:w="1474" w:type="dxa"/>
            <w:vAlign w:val="center"/>
          </w:tcPr>
          <w:p w14:paraId="250A4DB1">
            <w:pPr>
              <w:pStyle w:val="11"/>
            </w:pPr>
          </w:p>
        </w:tc>
        <w:tc>
          <w:tcPr>
            <w:tcW w:w="1474" w:type="dxa"/>
            <w:vAlign w:val="center"/>
          </w:tcPr>
          <w:p w14:paraId="5AD80B7D">
            <w:pPr>
              <w:pStyle w:val="11"/>
            </w:pPr>
          </w:p>
        </w:tc>
        <w:tc>
          <w:tcPr>
            <w:tcW w:w="1474" w:type="dxa"/>
            <w:vAlign w:val="center"/>
          </w:tcPr>
          <w:p w14:paraId="368F08E1">
            <w:pPr>
              <w:pStyle w:val="11"/>
            </w:pPr>
          </w:p>
        </w:tc>
      </w:tr>
      <w:tr w14:paraId="0A8B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DDB64">
            <w:pPr>
              <w:pStyle w:val="13"/>
            </w:pPr>
            <w:r>
              <w:t>26</w:t>
            </w:r>
          </w:p>
        </w:tc>
        <w:tc>
          <w:tcPr>
            <w:tcW w:w="3402" w:type="dxa"/>
            <w:vAlign w:val="center"/>
          </w:tcPr>
          <w:p w14:paraId="24982DAB">
            <w:pPr>
              <w:pStyle w:val="12"/>
            </w:pPr>
          </w:p>
        </w:tc>
        <w:tc>
          <w:tcPr>
            <w:tcW w:w="1474" w:type="dxa"/>
            <w:vAlign w:val="center"/>
          </w:tcPr>
          <w:p w14:paraId="1F905972">
            <w:pPr>
              <w:pStyle w:val="11"/>
            </w:pPr>
          </w:p>
        </w:tc>
        <w:tc>
          <w:tcPr>
            <w:tcW w:w="3402" w:type="dxa"/>
            <w:vAlign w:val="center"/>
          </w:tcPr>
          <w:p w14:paraId="68C5EF0D">
            <w:pPr>
              <w:pStyle w:val="12"/>
            </w:pPr>
            <w:r>
              <w:t>二十六、转移性支出</w:t>
            </w:r>
          </w:p>
        </w:tc>
        <w:tc>
          <w:tcPr>
            <w:tcW w:w="1474" w:type="dxa"/>
            <w:vAlign w:val="center"/>
          </w:tcPr>
          <w:p w14:paraId="698F1160">
            <w:pPr>
              <w:pStyle w:val="11"/>
            </w:pPr>
          </w:p>
        </w:tc>
        <w:tc>
          <w:tcPr>
            <w:tcW w:w="1474" w:type="dxa"/>
            <w:vAlign w:val="center"/>
          </w:tcPr>
          <w:p w14:paraId="0BFF8A39">
            <w:pPr>
              <w:pStyle w:val="11"/>
            </w:pPr>
          </w:p>
        </w:tc>
        <w:tc>
          <w:tcPr>
            <w:tcW w:w="1474" w:type="dxa"/>
            <w:vAlign w:val="center"/>
          </w:tcPr>
          <w:p w14:paraId="1F65CA58">
            <w:pPr>
              <w:pStyle w:val="11"/>
            </w:pPr>
          </w:p>
        </w:tc>
        <w:tc>
          <w:tcPr>
            <w:tcW w:w="1474" w:type="dxa"/>
            <w:vAlign w:val="center"/>
          </w:tcPr>
          <w:p w14:paraId="1D93278B">
            <w:pPr>
              <w:pStyle w:val="11"/>
            </w:pPr>
          </w:p>
        </w:tc>
      </w:tr>
      <w:tr w14:paraId="7896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1E2F4">
            <w:pPr>
              <w:pStyle w:val="13"/>
            </w:pPr>
            <w:r>
              <w:t>27</w:t>
            </w:r>
          </w:p>
        </w:tc>
        <w:tc>
          <w:tcPr>
            <w:tcW w:w="3402" w:type="dxa"/>
            <w:vAlign w:val="center"/>
          </w:tcPr>
          <w:p w14:paraId="0A2EC59B">
            <w:pPr>
              <w:pStyle w:val="12"/>
            </w:pPr>
          </w:p>
        </w:tc>
        <w:tc>
          <w:tcPr>
            <w:tcW w:w="1474" w:type="dxa"/>
            <w:vAlign w:val="center"/>
          </w:tcPr>
          <w:p w14:paraId="6BF86C49">
            <w:pPr>
              <w:pStyle w:val="11"/>
            </w:pPr>
          </w:p>
        </w:tc>
        <w:tc>
          <w:tcPr>
            <w:tcW w:w="3402" w:type="dxa"/>
            <w:vAlign w:val="center"/>
          </w:tcPr>
          <w:p w14:paraId="3530116D">
            <w:pPr>
              <w:pStyle w:val="12"/>
            </w:pPr>
            <w:r>
              <w:t>二十七、债务还本支出</w:t>
            </w:r>
          </w:p>
        </w:tc>
        <w:tc>
          <w:tcPr>
            <w:tcW w:w="1474" w:type="dxa"/>
            <w:vAlign w:val="center"/>
          </w:tcPr>
          <w:p w14:paraId="70C01BF5">
            <w:pPr>
              <w:pStyle w:val="11"/>
            </w:pPr>
          </w:p>
        </w:tc>
        <w:tc>
          <w:tcPr>
            <w:tcW w:w="1474" w:type="dxa"/>
            <w:vAlign w:val="center"/>
          </w:tcPr>
          <w:p w14:paraId="19FD38A3">
            <w:pPr>
              <w:pStyle w:val="11"/>
            </w:pPr>
          </w:p>
        </w:tc>
        <w:tc>
          <w:tcPr>
            <w:tcW w:w="1474" w:type="dxa"/>
            <w:vAlign w:val="center"/>
          </w:tcPr>
          <w:p w14:paraId="46828A2D">
            <w:pPr>
              <w:pStyle w:val="11"/>
            </w:pPr>
          </w:p>
        </w:tc>
        <w:tc>
          <w:tcPr>
            <w:tcW w:w="1474" w:type="dxa"/>
            <w:vAlign w:val="center"/>
          </w:tcPr>
          <w:p w14:paraId="3C455C27">
            <w:pPr>
              <w:pStyle w:val="11"/>
            </w:pPr>
          </w:p>
        </w:tc>
      </w:tr>
      <w:tr w14:paraId="676996C2">
        <w:tblPrEx>
          <w:tblCellMar>
            <w:top w:w="0" w:type="dxa"/>
            <w:left w:w="108" w:type="dxa"/>
            <w:bottom w:w="0" w:type="dxa"/>
            <w:right w:w="108" w:type="dxa"/>
          </w:tblCellMar>
        </w:tblPrEx>
        <w:trPr>
          <w:trHeight w:val="369" w:hRule="atLeast"/>
          <w:jc w:val="center"/>
        </w:trPr>
        <w:tc>
          <w:tcPr>
            <w:tcW w:w="850" w:type="dxa"/>
            <w:vAlign w:val="center"/>
          </w:tcPr>
          <w:p w14:paraId="74DF1721">
            <w:pPr>
              <w:pStyle w:val="13"/>
            </w:pPr>
            <w:r>
              <w:t>28</w:t>
            </w:r>
          </w:p>
        </w:tc>
        <w:tc>
          <w:tcPr>
            <w:tcW w:w="3402" w:type="dxa"/>
            <w:vAlign w:val="center"/>
          </w:tcPr>
          <w:p w14:paraId="60A37B1C">
            <w:pPr>
              <w:pStyle w:val="12"/>
            </w:pPr>
          </w:p>
        </w:tc>
        <w:tc>
          <w:tcPr>
            <w:tcW w:w="1474" w:type="dxa"/>
            <w:vAlign w:val="center"/>
          </w:tcPr>
          <w:p w14:paraId="069999EB">
            <w:pPr>
              <w:pStyle w:val="11"/>
            </w:pPr>
          </w:p>
        </w:tc>
        <w:tc>
          <w:tcPr>
            <w:tcW w:w="3402" w:type="dxa"/>
            <w:vAlign w:val="center"/>
          </w:tcPr>
          <w:p w14:paraId="73F48221">
            <w:pPr>
              <w:pStyle w:val="12"/>
            </w:pPr>
            <w:r>
              <w:t>二十八、债务付息支出</w:t>
            </w:r>
          </w:p>
        </w:tc>
        <w:tc>
          <w:tcPr>
            <w:tcW w:w="1474" w:type="dxa"/>
            <w:vAlign w:val="center"/>
          </w:tcPr>
          <w:p w14:paraId="5142E2CB">
            <w:pPr>
              <w:pStyle w:val="11"/>
            </w:pPr>
          </w:p>
        </w:tc>
        <w:tc>
          <w:tcPr>
            <w:tcW w:w="1474" w:type="dxa"/>
            <w:vAlign w:val="center"/>
          </w:tcPr>
          <w:p w14:paraId="7AB3446C">
            <w:pPr>
              <w:pStyle w:val="11"/>
            </w:pPr>
          </w:p>
        </w:tc>
        <w:tc>
          <w:tcPr>
            <w:tcW w:w="1474" w:type="dxa"/>
            <w:vAlign w:val="center"/>
          </w:tcPr>
          <w:p w14:paraId="51810406">
            <w:pPr>
              <w:pStyle w:val="11"/>
            </w:pPr>
          </w:p>
        </w:tc>
        <w:tc>
          <w:tcPr>
            <w:tcW w:w="1474" w:type="dxa"/>
            <w:vAlign w:val="center"/>
          </w:tcPr>
          <w:p w14:paraId="5AA02FEA">
            <w:pPr>
              <w:pStyle w:val="11"/>
            </w:pPr>
          </w:p>
        </w:tc>
      </w:tr>
      <w:tr w14:paraId="568BD25F">
        <w:tblPrEx>
          <w:tblCellMar>
            <w:top w:w="0" w:type="dxa"/>
            <w:left w:w="108" w:type="dxa"/>
            <w:bottom w:w="0" w:type="dxa"/>
            <w:right w:w="108" w:type="dxa"/>
          </w:tblCellMar>
        </w:tblPrEx>
        <w:trPr>
          <w:trHeight w:val="369" w:hRule="atLeast"/>
          <w:jc w:val="center"/>
        </w:trPr>
        <w:tc>
          <w:tcPr>
            <w:tcW w:w="850" w:type="dxa"/>
            <w:vAlign w:val="center"/>
          </w:tcPr>
          <w:p w14:paraId="603D2A1D">
            <w:pPr>
              <w:pStyle w:val="13"/>
            </w:pPr>
            <w:r>
              <w:t>29</w:t>
            </w:r>
          </w:p>
        </w:tc>
        <w:tc>
          <w:tcPr>
            <w:tcW w:w="3402" w:type="dxa"/>
            <w:vAlign w:val="center"/>
          </w:tcPr>
          <w:p w14:paraId="3F9F3B03">
            <w:pPr>
              <w:pStyle w:val="12"/>
            </w:pPr>
          </w:p>
        </w:tc>
        <w:tc>
          <w:tcPr>
            <w:tcW w:w="1474" w:type="dxa"/>
            <w:vAlign w:val="center"/>
          </w:tcPr>
          <w:p w14:paraId="66C3619F">
            <w:pPr>
              <w:pStyle w:val="11"/>
            </w:pPr>
          </w:p>
        </w:tc>
        <w:tc>
          <w:tcPr>
            <w:tcW w:w="3402" w:type="dxa"/>
            <w:vAlign w:val="center"/>
          </w:tcPr>
          <w:p w14:paraId="437AD3C6">
            <w:pPr>
              <w:pStyle w:val="12"/>
            </w:pPr>
            <w:r>
              <w:t>二十九、债务发行费用支出</w:t>
            </w:r>
          </w:p>
        </w:tc>
        <w:tc>
          <w:tcPr>
            <w:tcW w:w="1474" w:type="dxa"/>
            <w:vAlign w:val="center"/>
          </w:tcPr>
          <w:p w14:paraId="57808F55">
            <w:pPr>
              <w:pStyle w:val="11"/>
            </w:pPr>
          </w:p>
        </w:tc>
        <w:tc>
          <w:tcPr>
            <w:tcW w:w="1474" w:type="dxa"/>
            <w:vAlign w:val="center"/>
          </w:tcPr>
          <w:p w14:paraId="13E0B04B">
            <w:pPr>
              <w:pStyle w:val="11"/>
            </w:pPr>
          </w:p>
        </w:tc>
        <w:tc>
          <w:tcPr>
            <w:tcW w:w="1474" w:type="dxa"/>
            <w:vAlign w:val="center"/>
          </w:tcPr>
          <w:p w14:paraId="020E18A1">
            <w:pPr>
              <w:pStyle w:val="11"/>
            </w:pPr>
          </w:p>
        </w:tc>
        <w:tc>
          <w:tcPr>
            <w:tcW w:w="1474" w:type="dxa"/>
            <w:vAlign w:val="center"/>
          </w:tcPr>
          <w:p w14:paraId="105FE3FE">
            <w:pPr>
              <w:pStyle w:val="11"/>
            </w:pPr>
          </w:p>
        </w:tc>
      </w:tr>
      <w:tr w14:paraId="4325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EC8EF">
            <w:pPr>
              <w:pStyle w:val="13"/>
            </w:pPr>
            <w:r>
              <w:t>30</w:t>
            </w:r>
          </w:p>
        </w:tc>
        <w:tc>
          <w:tcPr>
            <w:tcW w:w="3402" w:type="dxa"/>
            <w:vAlign w:val="center"/>
          </w:tcPr>
          <w:p w14:paraId="596F8C1E">
            <w:pPr>
              <w:pStyle w:val="12"/>
            </w:pPr>
          </w:p>
        </w:tc>
        <w:tc>
          <w:tcPr>
            <w:tcW w:w="1474" w:type="dxa"/>
            <w:vAlign w:val="center"/>
          </w:tcPr>
          <w:p w14:paraId="2D3AAD86">
            <w:pPr>
              <w:pStyle w:val="11"/>
            </w:pPr>
          </w:p>
        </w:tc>
        <w:tc>
          <w:tcPr>
            <w:tcW w:w="3402" w:type="dxa"/>
            <w:vAlign w:val="center"/>
          </w:tcPr>
          <w:p w14:paraId="22486C6E">
            <w:pPr>
              <w:pStyle w:val="12"/>
            </w:pPr>
            <w:r>
              <w:t>三十、抗疫特别国债安排的支出</w:t>
            </w:r>
          </w:p>
        </w:tc>
        <w:tc>
          <w:tcPr>
            <w:tcW w:w="1474" w:type="dxa"/>
            <w:vAlign w:val="center"/>
          </w:tcPr>
          <w:p w14:paraId="241EBF40">
            <w:pPr>
              <w:pStyle w:val="11"/>
            </w:pPr>
          </w:p>
        </w:tc>
        <w:tc>
          <w:tcPr>
            <w:tcW w:w="1474" w:type="dxa"/>
            <w:vAlign w:val="center"/>
          </w:tcPr>
          <w:p w14:paraId="4C15CBDA">
            <w:pPr>
              <w:pStyle w:val="11"/>
            </w:pPr>
          </w:p>
        </w:tc>
        <w:tc>
          <w:tcPr>
            <w:tcW w:w="1474" w:type="dxa"/>
            <w:vAlign w:val="center"/>
          </w:tcPr>
          <w:p w14:paraId="63B99A26">
            <w:pPr>
              <w:pStyle w:val="11"/>
            </w:pPr>
          </w:p>
        </w:tc>
        <w:tc>
          <w:tcPr>
            <w:tcW w:w="1474" w:type="dxa"/>
            <w:vAlign w:val="center"/>
          </w:tcPr>
          <w:p w14:paraId="26E78CF5">
            <w:pPr>
              <w:pStyle w:val="11"/>
            </w:pPr>
          </w:p>
        </w:tc>
      </w:tr>
      <w:tr w14:paraId="3A70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FFC49">
            <w:pPr>
              <w:pStyle w:val="13"/>
            </w:pPr>
            <w:r>
              <w:t>31</w:t>
            </w:r>
          </w:p>
        </w:tc>
        <w:tc>
          <w:tcPr>
            <w:tcW w:w="3402" w:type="dxa"/>
            <w:vAlign w:val="center"/>
          </w:tcPr>
          <w:p w14:paraId="49E78E85">
            <w:pPr>
              <w:pStyle w:val="12"/>
            </w:pPr>
          </w:p>
        </w:tc>
        <w:tc>
          <w:tcPr>
            <w:tcW w:w="1474" w:type="dxa"/>
            <w:vAlign w:val="center"/>
          </w:tcPr>
          <w:p w14:paraId="3043687C">
            <w:pPr>
              <w:pStyle w:val="11"/>
            </w:pPr>
          </w:p>
        </w:tc>
        <w:tc>
          <w:tcPr>
            <w:tcW w:w="3402" w:type="dxa"/>
            <w:vAlign w:val="center"/>
          </w:tcPr>
          <w:p w14:paraId="23214694">
            <w:pPr>
              <w:pStyle w:val="12"/>
            </w:pPr>
            <w:r>
              <w:t>三十一、人行科目</w:t>
            </w:r>
          </w:p>
        </w:tc>
        <w:tc>
          <w:tcPr>
            <w:tcW w:w="1474" w:type="dxa"/>
            <w:vAlign w:val="center"/>
          </w:tcPr>
          <w:p w14:paraId="3331F00F">
            <w:pPr>
              <w:pStyle w:val="11"/>
            </w:pPr>
          </w:p>
        </w:tc>
        <w:tc>
          <w:tcPr>
            <w:tcW w:w="1474" w:type="dxa"/>
            <w:vAlign w:val="center"/>
          </w:tcPr>
          <w:p w14:paraId="768A7DB7">
            <w:pPr>
              <w:pStyle w:val="11"/>
            </w:pPr>
          </w:p>
        </w:tc>
        <w:tc>
          <w:tcPr>
            <w:tcW w:w="1474" w:type="dxa"/>
            <w:vAlign w:val="center"/>
          </w:tcPr>
          <w:p w14:paraId="1B9A5AFF">
            <w:pPr>
              <w:pStyle w:val="11"/>
            </w:pPr>
          </w:p>
        </w:tc>
        <w:tc>
          <w:tcPr>
            <w:tcW w:w="1474" w:type="dxa"/>
            <w:vAlign w:val="center"/>
          </w:tcPr>
          <w:p w14:paraId="7662590F">
            <w:pPr>
              <w:pStyle w:val="11"/>
            </w:pPr>
          </w:p>
        </w:tc>
      </w:tr>
      <w:tr w14:paraId="4558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ECB11">
            <w:pPr>
              <w:pStyle w:val="13"/>
            </w:pPr>
            <w:r>
              <w:t>32</w:t>
            </w:r>
          </w:p>
        </w:tc>
        <w:tc>
          <w:tcPr>
            <w:tcW w:w="3402" w:type="dxa"/>
            <w:vAlign w:val="center"/>
          </w:tcPr>
          <w:p w14:paraId="00A65F5B">
            <w:pPr>
              <w:pStyle w:val="14"/>
            </w:pPr>
            <w:r>
              <w:t>本年收入合计</w:t>
            </w:r>
          </w:p>
        </w:tc>
        <w:tc>
          <w:tcPr>
            <w:tcW w:w="1474" w:type="dxa"/>
            <w:vAlign w:val="center"/>
          </w:tcPr>
          <w:p w14:paraId="33ABEF15">
            <w:pPr>
              <w:pStyle w:val="15"/>
            </w:pPr>
            <w:r>
              <w:t>1100.25</w:t>
            </w:r>
          </w:p>
        </w:tc>
        <w:tc>
          <w:tcPr>
            <w:tcW w:w="3402" w:type="dxa"/>
            <w:vAlign w:val="center"/>
          </w:tcPr>
          <w:p w14:paraId="3DE9F895">
            <w:pPr>
              <w:pStyle w:val="14"/>
            </w:pPr>
            <w:r>
              <w:t>本年支出合计</w:t>
            </w:r>
          </w:p>
        </w:tc>
        <w:tc>
          <w:tcPr>
            <w:tcW w:w="1474" w:type="dxa"/>
            <w:vAlign w:val="center"/>
          </w:tcPr>
          <w:p w14:paraId="520E699F">
            <w:pPr>
              <w:pStyle w:val="15"/>
            </w:pPr>
            <w:r>
              <w:t>1100.25</w:t>
            </w:r>
          </w:p>
        </w:tc>
        <w:tc>
          <w:tcPr>
            <w:tcW w:w="1474" w:type="dxa"/>
            <w:vAlign w:val="center"/>
          </w:tcPr>
          <w:p w14:paraId="62EF5F94">
            <w:pPr>
              <w:pStyle w:val="15"/>
            </w:pPr>
            <w:r>
              <w:t>1100.25</w:t>
            </w:r>
          </w:p>
        </w:tc>
        <w:tc>
          <w:tcPr>
            <w:tcW w:w="1474" w:type="dxa"/>
            <w:vAlign w:val="center"/>
          </w:tcPr>
          <w:p w14:paraId="7A89AA80">
            <w:pPr>
              <w:pStyle w:val="15"/>
            </w:pPr>
          </w:p>
        </w:tc>
        <w:tc>
          <w:tcPr>
            <w:tcW w:w="1474" w:type="dxa"/>
            <w:vAlign w:val="center"/>
          </w:tcPr>
          <w:p w14:paraId="35EEF87B">
            <w:pPr>
              <w:pStyle w:val="15"/>
            </w:pPr>
          </w:p>
        </w:tc>
      </w:tr>
      <w:tr w14:paraId="64DB0E7A">
        <w:tblPrEx>
          <w:tblCellMar>
            <w:top w:w="0" w:type="dxa"/>
            <w:left w:w="108" w:type="dxa"/>
            <w:bottom w:w="0" w:type="dxa"/>
            <w:right w:w="108" w:type="dxa"/>
          </w:tblCellMar>
        </w:tblPrEx>
        <w:trPr>
          <w:trHeight w:val="369" w:hRule="atLeast"/>
          <w:jc w:val="center"/>
        </w:trPr>
        <w:tc>
          <w:tcPr>
            <w:tcW w:w="850" w:type="dxa"/>
            <w:vAlign w:val="center"/>
          </w:tcPr>
          <w:p w14:paraId="16EF59FA">
            <w:pPr>
              <w:pStyle w:val="13"/>
            </w:pPr>
            <w:r>
              <w:t>33</w:t>
            </w:r>
          </w:p>
        </w:tc>
        <w:tc>
          <w:tcPr>
            <w:tcW w:w="3402" w:type="dxa"/>
            <w:vAlign w:val="center"/>
          </w:tcPr>
          <w:p w14:paraId="2B6D20B1">
            <w:pPr>
              <w:pStyle w:val="12"/>
            </w:pPr>
            <w:r>
              <w:t>年初财政拨款结转和结余</w:t>
            </w:r>
          </w:p>
        </w:tc>
        <w:tc>
          <w:tcPr>
            <w:tcW w:w="1474" w:type="dxa"/>
            <w:vAlign w:val="center"/>
          </w:tcPr>
          <w:p w14:paraId="2E844500">
            <w:pPr>
              <w:pStyle w:val="11"/>
            </w:pPr>
          </w:p>
        </w:tc>
        <w:tc>
          <w:tcPr>
            <w:tcW w:w="3402" w:type="dxa"/>
            <w:vAlign w:val="center"/>
          </w:tcPr>
          <w:p w14:paraId="3A05933D">
            <w:pPr>
              <w:pStyle w:val="12"/>
            </w:pPr>
            <w:r>
              <w:t>年末财政拨款结转和结余</w:t>
            </w:r>
          </w:p>
        </w:tc>
        <w:tc>
          <w:tcPr>
            <w:tcW w:w="1474" w:type="dxa"/>
            <w:vAlign w:val="center"/>
          </w:tcPr>
          <w:p w14:paraId="03D69F68">
            <w:pPr>
              <w:pStyle w:val="11"/>
            </w:pPr>
          </w:p>
        </w:tc>
        <w:tc>
          <w:tcPr>
            <w:tcW w:w="1474" w:type="dxa"/>
            <w:vAlign w:val="center"/>
          </w:tcPr>
          <w:p w14:paraId="5F51FA95">
            <w:pPr>
              <w:pStyle w:val="11"/>
            </w:pPr>
          </w:p>
        </w:tc>
        <w:tc>
          <w:tcPr>
            <w:tcW w:w="1474" w:type="dxa"/>
            <w:vAlign w:val="center"/>
          </w:tcPr>
          <w:p w14:paraId="51BD19E0">
            <w:pPr>
              <w:pStyle w:val="11"/>
            </w:pPr>
          </w:p>
        </w:tc>
        <w:tc>
          <w:tcPr>
            <w:tcW w:w="1474" w:type="dxa"/>
            <w:vAlign w:val="center"/>
          </w:tcPr>
          <w:p w14:paraId="15920F00">
            <w:pPr>
              <w:pStyle w:val="11"/>
            </w:pPr>
          </w:p>
        </w:tc>
      </w:tr>
      <w:tr w14:paraId="6D00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0B083">
            <w:pPr>
              <w:pStyle w:val="13"/>
            </w:pPr>
            <w:r>
              <w:t>34</w:t>
            </w:r>
          </w:p>
        </w:tc>
        <w:tc>
          <w:tcPr>
            <w:tcW w:w="3402" w:type="dxa"/>
            <w:vAlign w:val="center"/>
          </w:tcPr>
          <w:p w14:paraId="12E10A3C">
            <w:pPr>
              <w:pStyle w:val="12"/>
            </w:pPr>
            <w:r>
              <w:t>一、一般公共预算拨款</w:t>
            </w:r>
          </w:p>
        </w:tc>
        <w:tc>
          <w:tcPr>
            <w:tcW w:w="1474" w:type="dxa"/>
            <w:vAlign w:val="center"/>
          </w:tcPr>
          <w:p w14:paraId="1B34BB11">
            <w:pPr>
              <w:pStyle w:val="11"/>
            </w:pPr>
          </w:p>
        </w:tc>
        <w:tc>
          <w:tcPr>
            <w:tcW w:w="3402" w:type="dxa"/>
            <w:vAlign w:val="center"/>
          </w:tcPr>
          <w:p w14:paraId="063B7B0F">
            <w:pPr>
              <w:pStyle w:val="12"/>
            </w:pPr>
          </w:p>
        </w:tc>
        <w:tc>
          <w:tcPr>
            <w:tcW w:w="1474" w:type="dxa"/>
            <w:vAlign w:val="center"/>
          </w:tcPr>
          <w:p w14:paraId="7C3BBDBA">
            <w:pPr>
              <w:pStyle w:val="11"/>
            </w:pPr>
          </w:p>
        </w:tc>
        <w:tc>
          <w:tcPr>
            <w:tcW w:w="1474" w:type="dxa"/>
            <w:vAlign w:val="center"/>
          </w:tcPr>
          <w:p w14:paraId="7BC8F717">
            <w:pPr>
              <w:pStyle w:val="11"/>
            </w:pPr>
          </w:p>
        </w:tc>
        <w:tc>
          <w:tcPr>
            <w:tcW w:w="1474" w:type="dxa"/>
            <w:vAlign w:val="center"/>
          </w:tcPr>
          <w:p w14:paraId="300407CF">
            <w:pPr>
              <w:pStyle w:val="11"/>
            </w:pPr>
          </w:p>
        </w:tc>
        <w:tc>
          <w:tcPr>
            <w:tcW w:w="1474" w:type="dxa"/>
            <w:vAlign w:val="center"/>
          </w:tcPr>
          <w:p w14:paraId="5DAD0B50">
            <w:pPr>
              <w:pStyle w:val="11"/>
            </w:pPr>
          </w:p>
        </w:tc>
      </w:tr>
      <w:tr w14:paraId="4625C186">
        <w:tblPrEx>
          <w:tblCellMar>
            <w:top w:w="0" w:type="dxa"/>
            <w:left w:w="108" w:type="dxa"/>
            <w:bottom w:w="0" w:type="dxa"/>
            <w:right w:w="108" w:type="dxa"/>
          </w:tblCellMar>
        </w:tblPrEx>
        <w:trPr>
          <w:trHeight w:val="369" w:hRule="atLeast"/>
          <w:jc w:val="center"/>
        </w:trPr>
        <w:tc>
          <w:tcPr>
            <w:tcW w:w="850" w:type="dxa"/>
            <w:vAlign w:val="center"/>
          </w:tcPr>
          <w:p w14:paraId="61384928">
            <w:pPr>
              <w:pStyle w:val="13"/>
            </w:pPr>
            <w:r>
              <w:t>35</w:t>
            </w:r>
          </w:p>
        </w:tc>
        <w:tc>
          <w:tcPr>
            <w:tcW w:w="3402" w:type="dxa"/>
            <w:vAlign w:val="center"/>
          </w:tcPr>
          <w:p w14:paraId="59E56B51">
            <w:pPr>
              <w:pStyle w:val="12"/>
            </w:pPr>
            <w:r>
              <w:t>二、政府性基金预算拨款</w:t>
            </w:r>
          </w:p>
        </w:tc>
        <w:tc>
          <w:tcPr>
            <w:tcW w:w="1474" w:type="dxa"/>
            <w:vAlign w:val="center"/>
          </w:tcPr>
          <w:p w14:paraId="715710FC">
            <w:pPr>
              <w:pStyle w:val="11"/>
            </w:pPr>
          </w:p>
        </w:tc>
        <w:tc>
          <w:tcPr>
            <w:tcW w:w="3402" w:type="dxa"/>
            <w:vAlign w:val="center"/>
          </w:tcPr>
          <w:p w14:paraId="50106CD2">
            <w:pPr>
              <w:pStyle w:val="12"/>
            </w:pPr>
          </w:p>
        </w:tc>
        <w:tc>
          <w:tcPr>
            <w:tcW w:w="1474" w:type="dxa"/>
            <w:vAlign w:val="center"/>
          </w:tcPr>
          <w:p w14:paraId="370643CA">
            <w:pPr>
              <w:pStyle w:val="11"/>
            </w:pPr>
          </w:p>
        </w:tc>
        <w:tc>
          <w:tcPr>
            <w:tcW w:w="1474" w:type="dxa"/>
            <w:vAlign w:val="center"/>
          </w:tcPr>
          <w:p w14:paraId="1B78B2F2">
            <w:pPr>
              <w:pStyle w:val="11"/>
            </w:pPr>
          </w:p>
        </w:tc>
        <w:tc>
          <w:tcPr>
            <w:tcW w:w="1474" w:type="dxa"/>
            <w:vAlign w:val="center"/>
          </w:tcPr>
          <w:p w14:paraId="098013C5">
            <w:pPr>
              <w:pStyle w:val="11"/>
            </w:pPr>
          </w:p>
        </w:tc>
        <w:tc>
          <w:tcPr>
            <w:tcW w:w="1474" w:type="dxa"/>
            <w:vAlign w:val="center"/>
          </w:tcPr>
          <w:p w14:paraId="175223AD">
            <w:pPr>
              <w:pStyle w:val="11"/>
            </w:pPr>
          </w:p>
        </w:tc>
      </w:tr>
      <w:tr w14:paraId="7CCBE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FB077">
            <w:pPr>
              <w:pStyle w:val="13"/>
            </w:pPr>
            <w:r>
              <w:t>36</w:t>
            </w:r>
          </w:p>
        </w:tc>
        <w:tc>
          <w:tcPr>
            <w:tcW w:w="3402" w:type="dxa"/>
            <w:vAlign w:val="center"/>
          </w:tcPr>
          <w:p w14:paraId="73A53E9B">
            <w:pPr>
              <w:pStyle w:val="12"/>
            </w:pPr>
            <w:r>
              <w:t>三、国有资本经营预算拨款</w:t>
            </w:r>
          </w:p>
        </w:tc>
        <w:tc>
          <w:tcPr>
            <w:tcW w:w="1474" w:type="dxa"/>
            <w:vAlign w:val="center"/>
          </w:tcPr>
          <w:p w14:paraId="570A31AA">
            <w:pPr>
              <w:pStyle w:val="11"/>
            </w:pPr>
          </w:p>
        </w:tc>
        <w:tc>
          <w:tcPr>
            <w:tcW w:w="3402" w:type="dxa"/>
            <w:vAlign w:val="center"/>
          </w:tcPr>
          <w:p w14:paraId="369A6522">
            <w:pPr>
              <w:pStyle w:val="12"/>
            </w:pPr>
          </w:p>
        </w:tc>
        <w:tc>
          <w:tcPr>
            <w:tcW w:w="1474" w:type="dxa"/>
            <w:vAlign w:val="center"/>
          </w:tcPr>
          <w:p w14:paraId="293A8D8D">
            <w:pPr>
              <w:pStyle w:val="11"/>
            </w:pPr>
          </w:p>
        </w:tc>
        <w:tc>
          <w:tcPr>
            <w:tcW w:w="1474" w:type="dxa"/>
            <w:vAlign w:val="center"/>
          </w:tcPr>
          <w:p w14:paraId="163532FA">
            <w:pPr>
              <w:pStyle w:val="11"/>
            </w:pPr>
          </w:p>
        </w:tc>
        <w:tc>
          <w:tcPr>
            <w:tcW w:w="1474" w:type="dxa"/>
            <w:vAlign w:val="center"/>
          </w:tcPr>
          <w:p w14:paraId="49E7C840">
            <w:pPr>
              <w:pStyle w:val="11"/>
            </w:pPr>
          </w:p>
        </w:tc>
        <w:tc>
          <w:tcPr>
            <w:tcW w:w="1474" w:type="dxa"/>
            <w:vAlign w:val="center"/>
          </w:tcPr>
          <w:p w14:paraId="2449A3CF">
            <w:pPr>
              <w:pStyle w:val="11"/>
            </w:pPr>
          </w:p>
        </w:tc>
      </w:tr>
      <w:tr w14:paraId="16FF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6F26">
            <w:pPr>
              <w:pStyle w:val="13"/>
            </w:pPr>
            <w:r>
              <w:t>37</w:t>
            </w:r>
          </w:p>
        </w:tc>
        <w:tc>
          <w:tcPr>
            <w:tcW w:w="3402" w:type="dxa"/>
            <w:vAlign w:val="center"/>
          </w:tcPr>
          <w:p w14:paraId="2CD4EC9A">
            <w:pPr>
              <w:pStyle w:val="14"/>
            </w:pPr>
            <w:r>
              <w:t>收入总计</w:t>
            </w:r>
          </w:p>
        </w:tc>
        <w:tc>
          <w:tcPr>
            <w:tcW w:w="1474" w:type="dxa"/>
            <w:vAlign w:val="center"/>
          </w:tcPr>
          <w:p w14:paraId="57365D12">
            <w:pPr>
              <w:pStyle w:val="15"/>
            </w:pPr>
            <w:r>
              <w:t>1100.25</w:t>
            </w:r>
          </w:p>
        </w:tc>
        <w:tc>
          <w:tcPr>
            <w:tcW w:w="3402" w:type="dxa"/>
            <w:vAlign w:val="center"/>
          </w:tcPr>
          <w:p w14:paraId="41646736">
            <w:pPr>
              <w:pStyle w:val="14"/>
            </w:pPr>
            <w:r>
              <w:t>支出总计</w:t>
            </w:r>
          </w:p>
        </w:tc>
        <w:tc>
          <w:tcPr>
            <w:tcW w:w="1474" w:type="dxa"/>
            <w:vAlign w:val="center"/>
          </w:tcPr>
          <w:p w14:paraId="2FEAB3C1">
            <w:pPr>
              <w:pStyle w:val="15"/>
            </w:pPr>
            <w:r>
              <w:t>1100.25</w:t>
            </w:r>
          </w:p>
        </w:tc>
        <w:tc>
          <w:tcPr>
            <w:tcW w:w="1474" w:type="dxa"/>
            <w:vAlign w:val="center"/>
          </w:tcPr>
          <w:p w14:paraId="17F4282A">
            <w:pPr>
              <w:pStyle w:val="15"/>
            </w:pPr>
            <w:r>
              <w:t>1100.25</w:t>
            </w:r>
          </w:p>
        </w:tc>
        <w:tc>
          <w:tcPr>
            <w:tcW w:w="1474" w:type="dxa"/>
            <w:vAlign w:val="center"/>
          </w:tcPr>
          <w:p w14:paraId="13AA0C9F">
            <w:pPr>
              <w:pStyle w:val="15"/>
            </w:pPr>
          </w:p>
        </w:tc>
        <w:tc>
          <w:tcPr>
            <w:tcW w:w="1474" w:type="dxa"/>
            <w:vAlign w:val="center"/>
          </w:tcPr>
          <w:p w14:paraId="79760B4D">
            <w:pPr>
              <w:pStyle w:val="15"/>
            </w:pPr>
          </w:p>
        </w:tc>
      </w:tr>
    </w:tbl>
    <w:p w14:paraId="0F4FA41F">
      <w:pPr>
        <w:sectPr>
          <w:pgSz w:w="16840" w:h="11900" w:orient="landscape"/>
          <w:pgMar w:top="1361" w:right="1020" w:bottom="1134" w:left="1020" w:header="720" w:footer="720" w:gutter="0"/>
          <w:cols w:space="720" w:num="1"/>
        </w:sectPr>
      </w:pPr>
    </w:p>
    <w:p w14:paraId="0C57BD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EE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0E8EAE">
            <w:pPr>
              <w:pStyle w:val="9"/>
            </w:pPr>
            <w:r>
              <w:t>360032隆尧县双碑中学</w:t>
            </w:r>
          </w:p>
        </w:tc>
        <w:tc>
          <w:tcPr>
            <w:tcW w:w="2551" w:type="dxa"/>
            <w:tcBorders>
              <w:top w:val="single" w:color="FFFFFF" w:sz="6" w:space="0"/>
              <w:left w:val="single" w:color="FFFFFF" w:sz="6" w:space="0"/>
              <w:right w:val="single" w:color="FFFFFF" w:sz="6" w:space="0"/>
            </w:tcBorders>
            <w:vAlign w:val="center"/>
          </w:tcPr>
          <w:p w14:paraId="3BC13F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C7B388">
            <w:pPr>
              <w:pStyle w:val="7"/>
            </w:pPr>
            <w:r>
              <w:t>单位：万元</w:t>
            </w:r>
          </w:p>
        </w:tc>
      </w:tr>
      <w:tr w14:paraId="3892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B2662">
            <w:pPr>
              <w:pStyle w:val="10"/>
            </w:pPr>
            <w:r>
              <w:t>序号</w:t>
            </w:r>
          </w:p>
        </w:tc>
        <w:tc>
          <w:tcPr>
            <w:tcW w:w="5726" w:type="dxa"/>
            <w:gridSpan w:val="2"/>
            <w:vAlign w:val="center"/>
          </w:tcPr>
          <w:p w14:paraId="29650C4F">
            <w:pPr>
              <w:pStyle w:val="10"/>
            </w:pPr>
            <w:r>
              <w:t>功能分类科目</w:t>
            </w:r>
          </w:p>
        </w:tc>
        <w:tc>
          <w:tcPr>
            <w:tcW w:w="2551" w:type="dxa"/>
            <w:vMerge w:val="restart"/>
            <w:vAlign w:val="center"/>
          </w:tcPr>
          <w:p w14:paraId="74840E41">
            <w:pPr>
              <w:pStyle w:val="10"/>
            </w:pPr>
            <w:r>
              <w:t>合计</w:t>
            </w:r>
          </w:p>
        </w:tc>
        <w:tc>
          <w:tcPr>
            <w:tcW w:w="2551" w:type="dxa"/>
            <w:vMerge w:val="restart"/>
            <w:vAlign w:val="center"/>
          </w:tcPr>
          <w:p w14:paraId="3D1BB303">
            <w:pPr>
              <w:pStyle w:val="10"/>
            </w:pPr>
            <w:r>
              <w:t>基本支出</w:t>
            </w:r>
          </w:p>
        </w:tc>
        <w:tc>
          <w:tcPr>
            <w:tcW w:w="2551" w:type="dxa"/>
            <w:vMerge w:val="restart"/>
            <w:vAlign w:val="center"/>
          </w:tcPr>
          <w:p w14:paraId="6A53D63F">
            <w:pPr>
              <w:pStyle w:val="10"/>
            </w:pPr>
            <w:r>
              <w:t>项目支出</w:t>
            </w:r>
          </w:p>
        </w:tc>
      </w:tr>
      <w:tr w14:paraId="1BC5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1155F5"/>
        </w:tc>
        <w:tc>
          <w:tcPr>
            <w:tcW w:w="1191" w:type="dxa"/>
            <w:vAlign w:val="center"/>
          </w:tcPr>
          <w:p w14:paraId="1AF75054">
            <w:pPr>
              <w:pStyle w:val="10"/>
            </w:pPr>
            <w:r>
              <w:t>科目编码</w:t>
            </w:r>
          </w:p>
        </w:tc>
        <w:tc>
          <w:tcPr>
            <w:tcW w:w="4535" w:type="dxa"/>
            <w:vAlign w:val="center"/>
          </w:tcPr>
          <w:p w14:paraId="5CBD3C77">
            <w:pPr>
              <w:pStyle w:val="10"/>
            </w:pPr>
            <w:r>
              <w:t>科目名称</w:t>
            </w:r>
          </w:p>
        </w:tc>
        <w:tc>
          <w:tcPr>
            <w:tcW w:w="2551" w:type="dxa"/>
            <w:vMerge w:val="continue"/>
          </w:tcPr>
          <w:p w14:paraId="7FFDAE95"/>
        </w:tc>
        <w:tc>
          <w:tcPr>
            <w:tcW w:w="2551" w:type="dxa"/>
            <w:vMerge w:val="continue"/>
          </w:tcPr>
          <w:p w14:paraId="43457766"/>
        </w:tc>
        <w:tc>
          <w:tcPr>
            <w:tcW w:w="2551" w:type="dxa"/>
            <w:vMerge w:val="continue"/>
          </w:tcPr>
          <w:p w14:paraId="5DDED980"/>
        </w:tc>
      </w:tr>
      <w:tr w14:paraId="6E89B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18E5DF">
            <w:pPr>
              <w:pStyle w:val="10"/>
            </w:pPr>
            <w:r>
              <w:t>栏次</w:t>
            </w:r>
          </w:p>
        </w:tc>
        <w:tc>
          <w:tcPr>
            <w:tcW w:w="1191" w:type="dxa"/>
            <w:vAlign w:val="center"/>
          </w:tcPr>
          <w:p w14:paraId="524DF471">
            <w:pPr>
              <w:pStyle w:val="10"/>
            </w:pPr>
            <w:r>
              <w:t>1</w:t>
            </w:r>
          </w:p>
        </w:tc>
        <w:tc>
          <w:tcPr>
            <w:tcW w:w="4535" w:type="dxa"/>
            <w:vAlign w:val="center"/>
          </w:tcPr>
          <w:p w14:paraId="084EB467">
            <w:pPr>
              <w:pStyle w:val="10"/>
            </w:pPr>
            <w:r>
              <w:t>2</w:t>
            </w:r>
          </w:p>
        </w:tc>
        <w:tc>
          <w:tcPr>
            <w:tcW w:w="2551" w:type="dxa"/>
            <w:vAlign w:val="center"/>
          </w:tcPr>
          <w:p w14:paraId="3987A823">
            <w:pPr>
              <w:pStyle w:val="10"/>
            </w:pPr>
            <w:r>
              <w:t>3</w:t>
            </w:r>
          </w:p>
        </w:tc>
        <w:tc>
          <w:tcPr>
            <w:tcW w:w="2551" w:type="dxa"/>
            <w:vAlign w:val="center"/>
          </w:tcPr>
          <w:p w14:paraId="70B10EF1">
            <w:pPr>
              <w:pStyle w:val="10"/>
            </w:pPr>
            <w:r>
              <w:t>4</w:t>
            </w:r>
          </w:p>
        </w:tc>
        <w:tc>
          <w:tcPr>
            <w:tcW w:w="2551" w:type="dxa"/>
            <w:vAlign w:val="center"/>
          </w:tcPr>
          <w:p w14:paraId="359837C2">
            <w:pPr>
              <w:pStyle w:val="10"/>
            </w:pPr>
            <w:r>
              <w:t>5</w:t>
            </w:r>
          </w:p>
        </w:tc>
      </w:tr>
      <w:tr w14:paraId="588B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4F3AE">
            <w:pPr>
              <w:pStyle w:val="13"/>
            </w:pPr>
            <w:r>
              <w:t>1</w:t>
            </w:r>
          </w:p>
        </w:tc>
        <w:tc>
          <w:tcPr>
            <w:tcW w:w="1191" w:type="dxa"/>
            <w:vAlign w:val="center"/>
          </w:tcPr>
          <w:p w14:paraId="49C2317C">
            <w:pPr>
              <w:pStyle w:val="16"/>
            </w:pPr>
          </w:p>
        </w:tc>
        <w:tc>
          <w:tcPr>
            <w:tcW w:w="4535" w:type="dxa"/>
            <w:vAlign w:val="center"/>
          </w:tcPr>
          <w:p w14:paraId="65ADD062">
            <w:pPr>
              <w:pStyle w:val="14"/>
            </w:pPr>
            <w:r>
              <w:t>合计</w:t>
            </w:r>
          </w:p>
        </w:tc>
        <w:tc>
          <w:tcPr>
            <w:tcW w:w="2551" w:type="dxa"/>
            <w:vAlign w:val="center"/>
          </w:tcPr>
          <w:p w14:paraId="1AE95499">
            <w:pPr>
              <w:pStyle w:val="15"/>
            </w:pPr>
            <w:r>
              <w:t>1100.25</w:t>
            </w:r>
          </w:p>
        </w:tc>
        <w:tc>
          <w:tcPr>
            <w:tcW w:w="2551" w:type="dxa"/>
            <w:vAlign w:val="center"/>
          </w:tcPr>
          <w:p w14:paraId="4FAF57E4">
            <w:pPr>
              <w:pStyle w:val="15"/>
            </w:pPr>
            <w:r>
              <w:t>898.75</w:t>
            </w:r>
          </w:p>
        </w:tc>
        <w:tc>
          <w:tcPr>
            <w:tcW w:w="2551" w:type="dxa"/>
            <w:vAlign w:val="center"/>
          </w:tcPr>
          <w:p w14:paraId="19719394">
            <w:pPr>
              <w:pStyle w:val="15"/>
            </w:pPr>
            <w:r>
              <w:t>201.50</w:t>
            </w:r>
          </w:p>
        </w:tc>
      </w:tr>
      <w:tr w14:paraId="75AF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BDB2">
            <w:pPr>
              <w:pStyle w:val="13"/>
            </w:pPr>
            <w:r>
              <w:t>2</w:t>
            </w:r>
          </w:p>
        </w:tc>
        <w:tc>
          <w:tcPr>
            <w:tcW w:w="1191" w:type="dxa"/>
            <w:vAlign w:val="center"/>
          </w:tcPr>
          <w:p w14:paraId="250F4EBF">
            <w:pPr>
              <w:pStyle w:val="12"/>
            </w:pPr>
            <w:r>
              <w:t>205</w:t>
            </w:r>
          </w:p>
        </w:tc>
        <w:tc>
          <w:tcPr>
            <w:tcW w:w="4535" w:type="dxa"/>
            <w:vAlign w:val="center"/>
          </w:tcPr>
          <w:p w14:paraId="23CFB209">
            <w:pPr>
              <w:pStyle w:val="12"/>
            </w:pPr>
            <w:r>
              <w:t>教育支出</w:t>
            </w:r>
          </w:p>
        </w:tc>
        <w:tc>
          <w:tcPr>
            <w:tcW w:w="2551" w:type="dxa"/>
            <w:vAlign w:val="center"/>
          </w:tcPr>
          <w:p w14:paraId="24AC7B30">
            <w:pPr>
              <w:pStyle w:val="11"/>
            </w:pPr>
            <w:r>
              <w:t>1100.25</w:t>
            </w:r>
          </w:p>
        </w:tc>
        <w:tc>
          <w:tcPr>
            <w:tcW w:w="2551" w:type="dxa"/>
            <w:vAlign w:val="center"/>
          </w:tcPr>
          <w:p w14:paraId="43261A78">
            <w:pPr>
              <w:pStyle w:val="11"/>
            </w:pPr>
            <w:r>
              <w:t>898.75</w:t>
            </w:r>
          </w:p>
        </w:tc>
        <w:tc>
          <w:tcPr>
            <w:tcW w:w="2551" w:type="dxa"/>
            <w:vAlign w:val="center"/>
          </w:tcPr>
          <w:p w14:paraId="50A6D75F">
            <w:pPr>
              <w:pStyle w:val="11"/>
            </w:pPr>
            <w:r>
              <w:t>201.50</w:t>
            </w:r>
          </w:p>
        </w:tc>
      </w:tr>
      <w:tr w14:paraId="5C1C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A9390">
            <w:pPr>
              <w:pStyle w:val="13"/>
            </w:pPr>
            <w:r>
              <w:t>3</w:t>
            </w:r>
          </w:p>
        </w:tc>
        <w:tc>
          <w:tcPr>
            <w:tcW w:w="1191" w:type="dxa"/>
            <w:vAlign w:val="center"/>
          </w:tcPr>
          <w:p w14:paraId="59A09A74">
            <w:pPr>
              <w:pStyle w:val="12"/>
            </w:pPr>
            <w:r>
              <w:t>20502</w:t>
            </w:r>
          </w:p>
        </w:tc>
        <w:tc>
          <w:tcPr>
            <w:tcW w:w="4535" w:type="dxa"/>
            <w:vAlign w:val="center"/>
          </w:tcPr>
          <w:p w14:paraId="13099F2C">
            <w:pPr>
              <w:pStyle w:val="12"/>
            </w:pPr>
            <w:r>
              <w:t>普通教育</w:t>
            </w:r>
          </w:p>
        </w:tc>
        <w:tc>
          <w:tcPr>
            <w:tcW w:w="2551" w:type="dxa"/>
            <w:vAlign w:val="center"/>
          </w:tcPr>
          <w:p w14:paraId="37B71DE6">
            <w:pPr>
              <w:pStyle w:val="11"/>
            </w:pPr>
            <w:r>
              <w:t>1100.25</w:t>
            </w:r>
          </w:p>
        </w:tc>
        <w:tc>
          <w:tcPr>
            <w:tcW w:w="2551" w:type="dxa"/>
            <w:vAlign w:val="center"/>
          </w:tcPr>
          <w:p w14:paraId="3263DC08">
            <w:pPr>
              <w:pStyle w:val="11"/>
            </w:pPr>
            <w:r>
              <w:t>898.75</w:t>
            </w:r>
          </w:p>
        </w:tc>
        <w:tc>
          <w:tcPr>
            <w:tcW w:w="2551" w:type="dxa"/>
            <w:vAlign w:val="center"/>
          </w:tcPr>
          <w:p w14:paraId="303EA7BE">
            <w:pPr>
              <w:pStyle w:val="11"/>
            </w:pPr>
            <w:r>
              <w:t>201.50</w:t>
            </w:r>
          </w:p>
        </w:tc>
      </w:tr>
      <w:tr w14:paraId="7266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95B79">
            <w:pPr>
              <w:pStyle w:val="13"/>
            </w:pPr>
            <w:r>
              <w:t>4</w:t>
            </w:r>
          </w:p>
        </w:tc>
        <w:tc>
          <w:tcPr>
            <w:tcW w:w="1191" w:type="dxa"/>
            <w:vAlign w:val="center"/>
          </w:tcPr>
          <w:p w14:paraId="770769BF">
            <w:pPr>
              <w:pStyle w:val="12"/>
            </w:pPr>
            <w:r>
              <w:t>2050203</w:t>
            </w:r>
          </w:p>
        </w:tc>
        <w:tc>
          <w:tcPr>
            <w:tcW w:w="4535" w:type="dxa"/>
            <w:vAlign w:val="center"/>
          </w:tcPr>
          <w:p w14:paraId="4E8A92B7">
            <w:pPr>
              <w:pStyle w:val="12"/>
            </w:pPr>
            <w:r>
              <w:t>初中教育</w:t>
            </w:r>
          </w:p>
        </w:tc>
        <w:tc>
          <w:tcPr>
            <w:tcW w:w="2551" w:type="dxa"/>
            <w:vAlign w:val="center"/>
          </w:tcPr>
          <w:p w14:paraId="38C96733">
            <w:pPr>
              <w:pStyle w:val="11"/>
            </w:pPr>
            <w:r>
              <w:t>1100.25</w:t>
            </w:r>
          </w:p>
        </w:tc>
        <w:tc>
          <w:tcPr>
            <w:tcW w:w="2551" w:type="dxa"/>
            <w:vAlign w:val="center"/>
          </w:tcPr>
          <w:p w14:paraId="4F6FC288">
            <w:pPr>
              <w:pStyle w:val="11"/>
            </w:pPr>
            <w:r>
              <w:t>898.75</w:t>
            </w:r>
          </w:p>
        </w:tc>
        <w:tc>
          <w:tcPr>
            <w:tcW w:w="2551" w:type="dxa"/>
            <w:vAlign w:val="center"/>
          </w:tcPr>
          <w:p w14:paraId="7B5D09FD">
            <w:pPr>
              <w:pStyle w:val="11"/>
            </w:pPr>
            <w:r>
              <w:t>201.50</w:t>
            </w:r>
          </w:p>
        </w:tc>
      </w:tr>
    </w:tbl>
    <w:p w14:paraId="0D3205DC">
      <w:pPr>
        <w:sectPr>
          <w:pgSz w:w="16840" w:h="11900" w:orient="landscape"/>
          <w:pgMar w:top="1361" w:right="1020" w:bottom="1134" w:left="1020" w:header="720" w:footer="720" w:gutter="0"/>
          <w:cols w:space="720" w:num="1"/>
        </w:sectPr>
      </w:pPr>
    </w:p>
    <w:p w14:paraId="410E91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47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E4F9F2">
            <w:pPr>
              <w:pStyle w:val="9"/>
            </w:pPr>
            <w:r>
              <w:t>360032隆尧县双碑中学</w:t>
            </w:r>
          </w:p>
        </w:tc>
        <w:tc>
          <w:tcPr>
            <w:tcW w:w="2551" w:type="dxa"/>
            <w:tcBorders>
              <w:top w:val="single" w:color="FFFFFF" w:sz="6" w:space="0"/>
              <w:left w:val="single" w:color="FFFFFF" w:sz="6" w:space="0"/>
              <w:right w:val="single" w:color="FFFFFF" w:sz="6" w:space="0"/>
            </w:tcBorders>
            <w:vAlign w:val="center"/>
          </w:tcPr>
          <w:p w14:paraId="36115B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8FED27">
            <w:pPr>
              <w:pStyle w:val="7"/>
            </w:pPr>
            <w:r>
              <w:t>单位：万元</w:t>
            </w:r>
          </w:p>
        </w:tc>
      </w:tr>
      <w:tr w14:paraId="1D9D8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91E5B">
            <w:pPr>
              <w:pStyle w:val="10"/>
            </w:pPr>
            <w:r>
              <w:t>序号</w:t>
            </w:r>
          </w:p>
        </w:tc>
        <w:tc>
          <w:tcPr>
            <w:tcW w:w="5726" w:type="dxa"/>
            <w:gridSpan w:val="2"/>
            <w:vAlign w:val="center"/>
          </w:tcPr>
          <w:p w14:paraId="08F977B7">
            <w:pPr>
              <w:pStyle w:val="10"/>
            </w:pPr>
            <w:r>
              <w:t>支出部门经济分类科目</w:t>
            </w:r>
          </w:p>
        </w:tc>
        <w:tc>
          <w:tcPr>
            <w:tcW w:w="7653" w:type="dxa"/>
            <w:gridSpan w:val="3"/>
            <w:vAlign w:val="center"/>
          </w:tcPr>
          <w:p w14:paraId="2AD12362">
            <w:pPr>
              <w:pStyle w:val="10"/>
            </w:pPr>
            <w:r>
              <w:t>一般公共预算基本支出</w:t>
            </w:r>
          </w:p>
        </w:tc>
      </w:tr>
      <w:tr w14:paraId="4BAA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54783"/>
        </w:tc>
        <w:tc>
          <w:tcPr>
            <w:tcW w:w="1191" w:type="dxa"/>
            <w:vAlign w:val="center"/>
          </w:tcPr>
          <w:p w14:paraId="39F6D58D">
            <w:pPr>
              <w:pStyle w:val="10"/>
            </w:pPr>
            <w:r>
              <w:t>科目编码</w:t>
            </w:r>
          </w:p>
        </w:tc>
        <w:tc>
          <w:tcPr>
            <w:tcW w:w="4535" w:type="dxa"/>
            <w:vAlign w:val="center"/>
          </w:tcPr>
          <w:p w14:paraId="2E7BF749">
            <w:pPr>
              <w:pStyle w:val="10"/>
            </w:pPr>
            <w:r>
              <w:t>科目名称</w:t>
            </w:r>
          </w:p>
        </w:tc>
        <w:tc>
          <w:tcPr>
            <w:tcW w:w="2551" w:type="dxa"/>
            <w:vAlign w:val="center"/>
          </w:tcPr>
          <w:p w14:paraId="6E29641C">
            <w:pPr>
              <w:pStyle w:val="10"/>
            </w:pPr>
            <w:r>
              <w:t>合计</w:t>
            </w:r>
          </w:p>
        </w:tc>
        <w:tc>
          <w:tcPr>
            <w:tcW w:w="2551" w:type="dxa"/>
            <w:vAlign w:val="center"/>
          </w:tcPr>
          <w:p w14:paraId="3E8B7EC3">
            <w:pPr>
              <w:pStyle w:val="10"/>
            </w:pPr>
            <w:r>
              <w:t>人员经费</w:t>
            </w:r>
          </w:p>
        </w:tc>
        <w:tc>
          <w:tcPr>
            <w:tcW w:w="2551" w:type="dxa"/>
            <w:vAlign w:val="center"/>
          </w:tcPr>
          <w:p w14:paraId="5B4DCE0B">
            <w:pPr>
              <w:pStyle w:val="10"/>
            </w:pPr>
            <w:r>
              <w:t>公用经费</w:t>
            </w:r>
          </w:p>
        </w:tc>
      </w:tr>
      <w:tr w14:paraId="21BC5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535A1">
            <w:pPr>
              <w:pStyle w:val="10"/>
            </w:pPr>
            <w:r>
              <w:t>栏次</w:t>
            </w:r>
          </w:p>
        </w:tc>
        <w:tc>
          <w:tcPr>
            <w:tcW w:w="1191" w:type="dxa"/>
            <w:vAlign w:val="center"/>
          </w:tcPr>
          <w:p w14:paraId="712A6684">
            <w:pPr>
              <w:pStyle w:val="10"/>
            </w:pPr>
            <w:r>
              <w:t>1</w:t>
            </w:r>
          </w:p>
        </w:tc>
        <w:tc>
          <w:tcPr>
            <w:tcW w:w="4535" w:type="dxa"/>
            <w:vAlign w:val="center"/>
          </w:tcPr>
          <w:p w14:paraId="6BE57642">
            <w:pPr>
              <w:pStyle w:val="10"/>
            </w:pPr>
            <w:r>
              <w:t>2</w:t>
            </w:r>
          </w:p>
        </w:tc>
        <w:tc>
          <w:tcPr>
            <w:tcW w:w="2551" w:type="dxa"/>
            <w:vAlign w:val="center"/>
          </w:tcPr>
          <w:p w14:paraId="5DDC2C02">
            <w:pPr>
              <w:pStyle w:val="10"/>
            </w:pPr>
            <w:r>
              <w:t>3</w:t>
            </w:r>
          </w:p>
        </w:tc>
        <w:tc>
          <w:tcPr>
            <w:tcW w:w="2551" w:type="dxa"/>
            <w:vAlign w:val="center"/>
          </w:tcPr>
          <w:p w14:paraId="68919E7F">
            <w:pPr>
              <w:pStyle w:val="10"/>
            </w:pPr>
            <w:r>
              <w:t>4</w:t>
            </w:r>
          </w:p>
        </w:tc>
        <w:tc>
          <w:tcPr>
            <w:tcW w:w="2551" w:type="dxa"/>
            <w:vAlign w:val="center"/>
          </w:tcPr>
          <w:p w14:paraId="36810F49">
            <w:pPr>
              <w:pStyle w:val="10"/>
            </w:pPr>
            <w:r>
              <w:t>5</w:t>
            </w:r>
          </w:p>
        </w:tc>
      </w:tr>
      <w:tr w14:paraId="2071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B9934">
            <w:pPr>
              <w:pStyle w:val="13"/>
            </w:pPr>
            <w:r>
              <w:t>1</w:t>
            </w:r>
          </w:p>
        </w:tc>
        <w:tc>
          <w:tcPr>
            <w:tcW w:w="1191" w:type="dxa"/>
            <w:vAlign w:val="center"/>
          </w:tcPr>
          <w:p w14:paraId="249F3E18">
            <w:pPr>
              <w:pStyle w:val="16"/>
            </w:pPr>
          </w:p>
        </w:tc>
        <w:tc>
          <w:tcPr>
            <w:tcW w:w="4535" w:type="dxa"/>
            <w:vAlign w:val="center"/>
          </w:tcPr>
          <w:p w14:paraId="78BE8331">
            <w:pPr>
              <w:pStyle w:val="14"/>
            </w:pPr>
            <w:r>
              <w:t>合计</w:t>
            </w:r>
          </w:p>
        </w:tc>
        <w:tc>
          <w:tcPr>
            <w:tcW w:w="2551" w:type="dxa"/>
            <w:vAlign w:val="center"/>
          </w:tcPr>
          <w:p w14:paraId="1B4D0573">
            <w:pPr>
              <w:pStyle w:val="15"/>
            </w:pPr>
            <w:r>
              <w:t>898.75</w:t>
            </w:r>
          </w:p>
        </w:tc>
        <w:tc>
          <w:tcPr>
            <w:tcW w:w="2551" w:type="dxa"/>
            <w:vAlign w:val="center"/>
          </w:tcPr>
          <w:p w14:paraId="5CB630AA">
            <w:pPr>
              <w:pStyle w:val="15"/>
            </w:pPr>
            <w:r>
              <w:t>898.75</w:t>
            </w:r>
          </w:p>
        </w:tc>
        <w:tc>
          <w:tcPr>
            <w:tcW w:w="2551" w:type="dxa"/>
            <w:vAlign w:val="center"/>
          </w:tcPr>
          <w:p w14:paraId="6744130D">
            <w:pPr>
              <w:pStyle w:val="15"/>
            </w:pPr>
          </w:p>
        </w:tc>
      </w:tr>
      <w:tr w14:paraId="390A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87DE9">
            <w:pPr>
              <w:pStyle w:val="13"/>
            </w:pPr>
            <w:r>
              <w:t>2</w:t>
            </w:r>
          </w:p>
        </w:tc>
        <w:tc>
          <w:tcPr>
            <w:tcW w:w="1191" w:type="dxa"/>
            <w:vAlign w:val="center"/>
          </w:tcPr>
          <w:p w14:paraId="50137F85">
            <w:pPr>
              <w:pStyle w:val="12"/>
            </w:pPr>
            <w:r>
              <w:t>301</w:t>
            </w:r>
          </w:p>
        </w:tc>
        <w:tc>
          <w:tcPr>
            <w:tcW w:w="4535" w:type="dxa"/>
            <w:vAlign w:val="center"/>
          </w:tcPr>
          <w:p w14:paraId="3EBD5F2A">
            <w:pPr>
              <w:pStyle w:val="12"/>
            </w:pPr>
            <w:r>
              <w:t>工资福利支出</w:t>
            </w:r>
          </w:p>
        </w:tc>
        <w:tc>
          <w:tcPr>
            <w:tcW w:w="2551" w:type="dxa"/>
            <w:vAlign w:val="center"/>
          </w:tcPr>
          <w:p w14:paraId="37C2D823">
            <w:pPr>
              <w:pStyle w:val="11"/>
            </w:pPr>
            <w:r>
              <w:t>886.68</w:t>
            </w:r>
          </w:p>
        </w:tc>
        <w:tc>
          <w:tcPr>
            <w:tcW w:w="2551" w:type="dxa"/>
            <w:vAlign w:val="center"/>
          </w:tcPr>
          <w:p w14:paraId="6231D2BC">
            <w:pPr>
              <w:pStyle w:val="11"/>
            </w:pPr>
            <w:r>
              <w:t>886.68</w:t>
            </w:r>
          </w:p>
        </w:tc>
        <w:tc>
          <w:tcPr>
            <w:tcW w:w="2551" w:type="dxa"/>
            <w:vAlign w:val="center"/>
          </w:tcPr>
          <w:p w14:paraId="63FE63B5">
            <w:pPr>
              <w:pStyle w:val="11"/>
            </w:pPr>
          </w:p>
        </w:tc>
      </w:tr>
      <w:tr w14:paraId="05FE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25CC7">
            <w:pPr>
              <w:pStyle w:val="13"/>
            </w:pPr>
            <w:r>
              <w:t>3</w:t>
            </w:r>
          </w:p>
        </w:tc>
        <w:tc>
          <w:tcPr>
            <w:tcW w:w="1191" w:type="dxa"/>
            <w:vAlign w:val="center"/>
          </w:tcPr>
          <w:p w14:paraId="2008FE3B">
            <w:pPr>
              <w:pStyle w:val="12"/>
            </w:pPr>
            <w:r>
              <w:t>30101</w:t>
            </w:r>
          </w:p>
        </w:tc>
        <w:tc>
          <w:tcPr>
            <w:tcW w:w="4535" w:type="dxa"/>
            <w:vAlign w:val="center"/>
          </w:tcPr>
          <w:p w14:paraId="7955E210">
            <w:pPr>
              <w:pStyle w:val="12"/>
            </w:pPr>
            <w:r>
              <w:t>基本工资</w:t>
            </w:r>
          </w:p>
        </w:tc>
        <w:tc>
          <w:tcPr>
            <w:tcW w:w="2551" w:type="dxa"/>
            <w:vAlign w:val="center"/>
          </w:tcPr>
          <w:p w14:paraId="58A82E01">
            <w:pPr>
              <w:pStyle w:val="11"/>
            </w:pPr>
            <w:r>
              <w:t>400.01</w:t>
            </w:r>
          </w:p>
        </w:tc>
        <w:tc>
          <w:tcPr>
            <w:tcW w:w="2551" w:type="dxa"/>
            <w:vAlign w:val="center"/>
          </w:tcPr>
          <w:p w14:paraId="48A16642">
            <w:pPr>
              <w:pStyle w:val="11"/>
            </w:pPr>
            <w:r>
              <w:t>400.01</w:t>
            </w:r>
          </w:p>
        </w:tc>
        <w:tc>
          <w:tcPr>
            <w:tcW w:w="2551" w:type="dxa"/>
            <w:vAlign w:val="center"/>
          </w:tcPr>
          <w:p w14:paraId="0906A8E2">
            <w:pPr>
              <w:pStyle w:val="11"/>
            </w:pPr>
          </w:p>
        </w:tc>
      </w:tr>
      <w:tr w14:paraId="7D3C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7768">
            <w:pPr>
              <w:pStyle w:val="13"/>
            </w:pPr>
            <w:r>
              <w:t>4</w:t>
            </w:r>
          </w:p>
        </w:tc>
        <w:tc>
          <w:tcPr>
            <w:tcW w:w="1191" w:type="dxa"/>
            <w:vAlign w:val="center"/>
          </w:tcPr>
          <w:p w14:paraId="6DFF8DE3">
            <w:pPr>
              <w:pStyle w:val="12"/>
            </w:pPr>
            <w:r>
              <w:t>30102</w:t>
            </w:r>
          </w:p>
        </w:tc>
        <w:tc>
          <w:tcPr>
            <w:tcW w:w="4535" w:type="dxa"/>
            <w:vAlign w:val="center"/>
          </w:tcPr>
          <w:p w14:paraId="064F7BAA">
            <w:pPr>
              <w:pStyle w:val="12"/>
            </w:pPr>
            <w:r>
              <w:t>津贴补贴</w:t>
            </w:r>
          </w:p>
        </w:tc>
        <w:tc>
          <w:tcPr>
            <w:tcW w:w="2551" w:type="dxa"/>
            <w:vAlign w:val="center"/>
          </w:tcPr>
          <w:p w14:paraId="488666CF">
            <w:pPr>
              <w:pStyle w:val="11"/>
            </w:pPr>
            <w:r>
              <w:t>39.85</w:t>
            </w:r>
          </w:p>
        </w:tc>
        <w:tc>
          <w:tcPr>
            <w:tcW w:w="2551" w:type="dxa"/>
            <w:vAlign w:val="center"/>
          </w:tcPr>
          <w:p w14:paraId="6E8AC8B2">
            <w:pPr>
              <w:pStyle w:val="11"/>
            </w:pPr>
            <w:r>
              <w:t>39.85</w:t>
            </w:r>
          </w:p>
        </w:tc>
        <w:tc>
          <w:tcPr>
            <w:tcW w:w="2551" w:type="dxa"/>
            <w:vAlign w:val="center"/>
          </w:tcPr>
          <w:p w14:paraId="714637F6">
            <w:pPr>
              <w:pStyle w:val="11"/>
            </w:pPr>
          </w:p>
        </w:tc>
      </w:tr>
      <w:tr w14:paraId="13A5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9D8D6">
            <w:pPr>
              <w:pStyle w:val="13"/>
            </w:pPr>
            <w:r>
              <w:t>5</w:t>
            </w:r>
          </w:p>
        </w:tc>
        <w:tc>
          <w:tcPr>
            <w:tcW w:w="1191" w:type="dxa"/>
            <w:vAlign w:val="center"/>
          </w:tcPr>
          <w:p w14:paraId="2B66EC78">
            <w:pPr>
              <w:pStyle w:val="12"/>
            </w:pPr>
            <w:r>
              <w:t>30107</w:t>
            </w:r>
          </w:p>
        </w:tc>
        <w:tc>
          <w:tcPr>
            <w:tcW w:w="4535" w:type="dxa"/>
            <w:vAlign w:val="center"/>
          </w:tcPr>
          <w:p w14:paraId="2EEC00C7">
            <w:pPr>
              <w:pStyle w:val="12"/>
            </w:pPr>
            <w:r>
              <w:t>绩效工资</w:t>
            </w:r>
          </w:p>
        </w:tc>
        <w:tc>
          <w:tcPr>
            <w:tcW w:w="2551" w:type="dxa"/>
            <w:vAlign w:val="center"/>
          </w:tcPr>
          <w:p w14:paraId="4411103E">
            <w:pPr>
              <w:pStyle w:val="11"/>
            </w:pPr>
            <w:r>
              <w:t>242.08</w:t>
            </w:r>
          </w:p>
        </w:tc>
        <w:tc>
          <w:tcPr>
            <w:tcW w:w="2551" w:type="dxa"/>
            <w:vAlign w:val="center"/>
          </w:tcPr>
          <w:p w14:paraId="3D8B711F">
            <w:pPr>
              <w:pStyle w:val="11"/>
            </w:pPr>
            <w:r>
              <w:t>242.08</w:t>
            </w:r>
          </w:p>
        </w:tc>
        <w:tc>
          <w:tcPr>
            <w:tcW w:w="2551" w:type="dxa"/>
            <w:vAlign w:val="center"/>
          </w:tcPr>
          <w:p w14:paraId="64C358F4">
            <w:pPr>
              <w:pStyle w:val="11"/>
            </w:pPr>
          </w:p>
        </w:tc>
      </w:tr>
      <w:tr w14:paraId="7B7A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29348">
            <w:pPr>
              <w:pStyle w:val="13"/>
            </w:pPr>
            <w:r>
              <w:t>6</w:t>
            </w:r>
          </w:p>
        </w:tc>
        <w:tc>
          <w:tcPr>
            <w:tcW w:w="1191" w:type="dxa"/>
            <w:vAlign w:val="center"/>
          </w:tcPr>
          <w:p w14:paraId="38C01B08">
            <w:pPr>
              <w:pStyle w:val="12"/>
            </w:pPr>
            <w:r>
              <w:t>30108</w:t>
            </w:r>
          </w:p>
        </w:tc>
        <w:tc>
          <w:tcPr>
            <w:tcW w:w="4535" w:type="dxa"/>
            <w:vAlign w:val="center"/>
          </w:tcPr>
          <w:p w14:paraId="3A4D4440">
            <w:pPr>
              <w:pStyle w:val="12"/>
            </w:pPr>
            <w:r>
              <w:t>机关事业单位基本养老保险缴费</w:t>
            </w:r>
          </w:p>
        </w:tc>
        <w:tc>
          <w:tcPr>
            <w:tcW w:w="2551" w:type="dxa"/>
            <w:vAlign w:val="center"/>
          </w:tcPr>
          <w:p w14:paraId="05FC19F2">
            <w:pPr>
              <w:pStyle w:val="11"/>
            </w:pPr>
            <w:r>
              <w:t>89.81</w:t>
            </w:r>
          </w:p>
        </w:tc>
        <w:tc>
          <w:tcPr>
            <w:tcW w:w="2551" w:type="dxa"/>
            <w:vAlign w:val="center"/>
          </w:tcPr>
          <w:p w14:paraId="4D09DFDA">
            <w:pPr>
              <w:pStyle w:val="11"/>
            </w:pPr>
            <w:r>
              <w:t>89.81</w:t>
            </w:r>
          </w:p>
        </w:tc>
        <w:tc>
          <w:tcPr>
            <w:tcW w:w="2551" w:type="dxa"/>
            <w:vAlign w:val="center"/>
          </w:tcPr>
          <w:p w14:paraId="58865D95">
            <w:pPr>
              <w:pStyle w:val="11"/>
            </w:pPr>
          </w:p>
        </w:tc>
      </w:tr>
      <w:tr w14:paraId="44D3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022DC">
            <w:pPr>
              <w:pStyle w:val="13"/>
            </w:pPr>
            <w:r>
              <w:t>7</w:t>
            </w:r>
          </w:p>
        </w:tc>
        <w:tc>
          <w:tcPr>
            <w:tcW w:w="1191" w:type="dxa"/>
            <w:vAlign w:val="center"/>
          </w:tcPr>
          <w:p w14:paraId="2C3A371A">
            <w:pPr>
              <w:pStyle w:val="12"/>
            </w:pPr>
            <w:r>
              <w:t>30110</w:t>
            </w:r>
          </w:p>
        </w:tc>
        <w:tc>
          <w:tcPr>
            <w:tcW w:w="4535" w:type="dxa"/>
            <w:vAlign w:val="center"/>
          </w:tcPr>
          <w:p w14:paraId="34C6E4A6">
            <w:pPr>
              <w:pStyle w:val="12"/>
            </w:pPr>
            <w:r>
              <w:t>职工基本医疗保险缴费</w:t>
            </w:r>
          </w:p>
        </w:tc>
        <w:tc>
          <w:tcPr>
            <w:tcW w:w="2551" w:type="dxa"/>
            <w:vAlign w:val="center"/>
          </w:tcPr>
          <w:p w14:paraId="50C8909B">
            <w:pPr>
              <w:pStyle w:val="11"/>
            </w:pPr>
            <w:r>
              <w:t>43.91</w:t>
            </w:r>
          </w:p>
        </w:tc>
        <w:tc>
          <w:tcPr>
            <w:tcW w:w="2551" w:type="dxa"/>
            <w:vAlign w:val="center"/>
          </w:tcPr>
          <w:p w14:paraId="269CA3E1">
            <w:pPr>
              <w:pStyle w:val="11"/>
            </w:pPr>
            <w:r>
              <w:t>43.91</w:t>
            </w:r>
          </w:p>
        </w:tc>
        <w:tc>
          <w:tcPr>
            <w:tcW w:w="2551" w:type="dxa"/>
            <w:vAlign w:val="center"/>
          </w:tcPr>
          <w:p w14:paraId="0E4714AA">
            <w:pPr>
              <w:pStyle w:val="11"/>
            </w:pPr>
          </w:p>
        </w:tc>
      </w:tr>
      <w:tr w14:paraId="2EB31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3D6F">
            <w:pPr>
              <w:pStyle w:val="13"/>
            </w:pPr>
            <w:r>
              <w:t>8</w:t>
            </w:r>
          </w:p>
        </w:tc>
        <w:tc>
          <w:tcPr>
            <w:tcW w:w="1191" w:type="dxa"/>
            <w:vAlign w:val="center"/>
          </w:tcPr>
          <w:p w14:paraId="4BAFA931">
            <w:pPr>
              <w:pStyle w:val="12"/>
            </w:pPr>
            <w:r>
              <w:t>30112</w:t>
            </w:r>
          </w:p>
        </w:tc>
        <w:tc>
          <w:tcPr>
            <w:tcW w:w="4535" w:type="dxa"/>
            <w:vAlign w:val="center"/>
          </w:tcPr>
          <w:p w14:paraId="4053E63E">
            <w:pPr>
              <w:pStyle w:val="12"/>
            </w:pPr>
            <w:r>
              <w:t>其他社会保障缴费</w:t>
            </w:r>
          </w:p>
        </w:tc>
        <w:tc>
          <w:tcPr>
            <w:tcW w:w="2551" w:type="dxa"/>
            <w:vAlign w:val="center"/>
          </w:tcPr>
          <w:p w14:paraId="12DA9FFE">
            <w:pPr>
              <w:pStyle w:val="11"/>
            </w:pPr>
            <w:r>
              <w:t>3.05</w:t>
            </w:r>
          </w:p>
        </w:tc>
        <w:tc>
          <w:tcPr>
            <w:tcW w:w="2551" w:type="dxa"/>
            <w:vAlign w:val="center"/>
          </w:tcPr>
          <w:p w14:paraId="01402C4F">
            <w:pPr>
              <w:pStyle w:val="11"/>
            </w:pPr>
            <w:r>
              <w:t>3.05</w:t>
            </w:r>
          </w:p>
        </w:tc>
        <w:tc>
          <w:tcPr>
            <w:tcW w:w="2551" w:type="dxa"/>
            <w:vAlign w:val="center"/>
          </w:tcPr>
          <w:p w14:paraId="4AC5F59A">
            <w:pPr>
              <w:pStyle w:val="11"/>
            </w:pPr>
          </w:p>
        </w:tc>
      </w:tr>
      <w:tr w14:paraId="5781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F43AD">
            <w:pPr>
              <w:pStyle w:val="13"/>
            </w:pPr>
            <w:r>
              <w:t>9</w:t>
            </w:r>
          </w:p>
        </w:tc>
        <w:tc>
          <w:tcPr>
            <w:tcW w:w="1191" w:type="dxa"/>
            <w:vAlign w:val="center"/>
          </w:tcPr>
          <w:p w14:paraId="01ECBA31">
            <w:pPr>
              <w:pStyle w:val="12"/>
            </w:pPr>
            <w:r>
              <w:t>30113</w:t>
            </w:r>
          </w:p>
        </w:tc>
        <w:tc>
          <w:tcPr>
            <w:tcW w:w="4535" w:type="dxa"/>
            <w:vAlign w:val="center"/>
          </w:tcPr>
          <w:p w14:paraId="09B63140">
            <w:pPr>
              <w:pStyle w:val="12"/>
            </w:pPr>
            <w:r>
              <w:t>住房公积金</w:t>
            </w:r>
          </w:p>
        </w:tc>
        <w:tc>
          <w:tcPr>
            <w:tcW w:w="2551" w:type="dxa"/>
            <w:vAlign w:val="center"/>
          </w:tcPr>
          <w:p w14:paraId="7BEE6978">
            <w:pPr>
              <w:pStyle w:val="11"/>
            </w:pPr>
            <w:r>
              <w:t>67.95</w:t>
            </w:r>
          </w:p>
        </w:tc>
        <w:tc>
          <w:tcPr>
            <w:tcW w:w="2551" w:type="dxa"/>
            <w:vAlign w:val="center"/>
          </w:tcPr>
          <w:p w14:paraId="20125778">
            <w:pPr>
              <w:pStyle w:val="11"/>
            </w:pPr>
            <w:r>
              <w:t>67.95</w:t>
            </w:r>
          </w:p>
        </w:tc>
        <w:tc>
          <w:tcPr>
            <w:tcW w:w="2551" w:type="dxa"/>
            <w:vAlign w:val="center"/>
          </w:tcPr>
          <w:p w14:paraId="63D5044E">
            <w:pPr>
              <w:pStyle w:val="11"/>
            </w:pPr>
          </w:p>
        </w:tc>
      </w:tr>
      <w:tr w14:paraId="56A6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84611">
            <w:pPr>
              <w:pStyle w:val="13"/>
            </w:pPr>
            <w:r>
              <w:t>10</w:t>
            </w:r>
          </w:p>
        </w:tc>
        <w:tc>
          <w:tcPr>
            <w:tcW w:w="1191" w:type="dxa"/>
            <w:vAlign w:val="center"/>
          </w:tcPr>
          <w:p w14:paraId="58E33680">
            <w:pPr>
              <w:pStyle w:val="12"/>
            </w:pPr>
            <w:r>
              <w:t>303</w:t>
            </w:r>
          </w:p>
        </w:tc>
        <w:tc>
          <w:tcPr>
            <w:tcW w:w="4535" w:type="dxa"/>
            <w:vAlign w:val="center"/>
          </w:tcPr>
          <w:p w14:paraId="1A5AA2B6">
            <w:pPr>
              <w:pStyle w:val="12"/>
            </w:pPr>
            <w:r>
              <w:t>对个人和家庭的补助</w:t>
            </w:r>
          </w:p>
        </w:tc>
        <w:tc>
          <w:tcPr>
            <w:tcW w:w="2551" w:type="dxa"/>
            <w:vAlign w:val="center"/>
          </w:tcPr>
          <w:p w14:paraId="2489396E">
            <w:pPr>
              <w:pStyle w:val="11"/>
            </w:pPr>
            <w:r>
              <w:t>12.07</w:t>
            </w:r>
          </w:p>
        </w:tc>
        <w:tc>
          <w:tcPr>
            <w:tcW w:w="2551" w:type="dxa"/>
            <w:vAlign w:val="center"/>
          </w:tcPr>
          <w:p w14:paraId="3195224D">
            <w:pPr>
              <w:pStyle w:val="11"/>
            </w:pPr>
            <w:r>
              <w:t>12.07</w:t>
            </w:r>
          </w:p>
        </w:tc>
        <w:tc>
          <w:tcPr>
            <w:tcW w:w="2551" w:type="dxa"/>
            <w:vAlign w:val="center"/>
          </w:tcPr>
          <w:p w14:paraId="0C067497">
            <w:pPr>
              <w:pStyle w:val="11"/>
            </w:pPr>
          </w:p>
        </w:tc>
      </w:tr>
      <w:tr w14:paraId="28E19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644E">
            <w:pPr>
              <w:pStyle w:val="13"/>
            </w:pPr>
            <w:r>
              <w:t>11</w:t>
            </w:r>
          </w:p>
        </w:tc>
        <w:tc>
          <w:tcPr>
            <w:tcW w:w="1191" w:type="dxa"/>
            <w:vAlign w:val="center"/>
          </w:tcPr>
          <w:p w14:paraId="1FD62DF0">
            <w:pPr>
              <w:pStyle w:val="12"/>
            </w:pPr>
            <w:r>
              <w:t>30302</w:t>
            </w:r>
          </w:p>
        </w:tc>
        <w:tc>
          <w:tcPr>
            <w:tcW w:w="4535" w:type="dxa"/>
            <w:vAlign w:val="center"/>
          </w:tcPr>
          <w:p w14:paraId="0EAB756C">
            <w:pPr>
              <w:pStyle w:val="12"/>
            </w:pPr>
            <w:r>
              <w:t>退休费</w:t>
            </w:r>
          </w:p>
        </w:tc>
        <w:tc>
          <w:tcPr>
            <w:tcW w:w="2551" w:type="dxa"/>
            <w:vAlign w:val="center"/>
          </w:tcPr>
          <w:p w14:paraId="7C73EA85">
            <w:pPr>
              <w:pStyle w:val="11"/>
            </w:pPr>
            <w:r>
              <w:t>11.71</w:t>
            </w:r>
          </w:p>
        </w:tc>
        <w:tc>
          <w:tcPr>
            <w:tcW w:w="2551" w:type="dxa"/>
            <w:vAlign w:val="center"/>
          </w:tcPr>
          <w:p w14:paraId="7E4FF945">
            <w:pPr>
              <w:pStyle w:val="11"/>
            </w:pPr>
            <w:r>
              <w:t>11.71</w:t>
            </w:r>
          </w:p>
        </w:tc>
        <w:tc>
          <w:tcPr>
            <w:tcW w:w="2551" w:type="dxa"/>
            <w:vAlign w:val="center"/>
          </w:tcPr>
          <w:p w14:paraId="4EA82801">
            <w:pPr>
              <w:pStyle w:val="11"/>
            </w:pPr>
          </w:p>
        </w:tc>
      </w:tr>
      <w:tr w14:paraId="12703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7E84">
            <w:pPr>
              <w:pStyle w:val="13"/>
            </w:pPr>
            <w:r>
              <w:t>12</w:t>
            </w:r>
          </w:p>
        </w:tc>
        <w:tc>
          <w:tcPr>
            <w:tcW w:w="1191" w:type="dxa"/>
            <w:vAlign w:val="center"/>
          </w:tcPr>
          <w:p w14:paraId="7D3DC3F9">
            <w:pPr>
              <w:pStyle w:val="12"/>
            </w:pPr>
            <w:r>
              <w:t>30305</w:t>
            </w:r>
          </w:p>
        </w:tc>
        <w:tc>
          <w:tcPr>
            <w:tcW w:w="4535" w:type="dxa"/>
            <w:vAlign w:val="center"/>
          </w:tcPr>
          <w:p w14:paraId="6DDD6D74">
            <w:pPr>
              <w:pStyle w:val="12"/>
            </w:pPr>
            <w:r>
              <w:t>生活补助</w:t>
            </w:r>
          </w:p>
        </w:tc>
        <w:tc>
          <w:tcPr>
            <w:tcW w:w="2551" w:type="dxa"/>
            <w:vAlign w:val="center"/>
          </w:tcPr>
          <w:p w14:paraId="00C13A54">
            <w:pPr>
              <w:pStyle w:val="11"/>
            </w:pPr>
            <w:r>
              <w:t>0.36</w:t>
            </w:r>
          </w:p>
        </w:tc>
        <w:tc>
          <w:tcPr>
            <w:tcW w:w="2551" w:type="dxa"/>
            <w:vAlign w:val="center"/>
          </w:tcPr>
          <w:p w14:paraId="37BF8B16">
            <w:pPr>
              <w:pStyle w:val="11"/>
            </w:pPr>
            <w:r>
              <w:t>0.36</w:t>
            </w:r>
          </w:p>
        </w:tc>
        <w:tc>
          <w:tcPr>
            <w:tcW w:w="2551" w:type="dxa"/>
            <w:vAlign w:val="center"/>
          </w:tcPr>
          <w:p w14:paraId="00380CA4">
            <w:pPr>
              <w:pStyle w:val="11"/>
            </w:pPr>
          </w:p>
        </w:tc>
      </w:tr>
    </w:tbl>
    <w:p w14:paraId="62D43ED6">
      <w:pPr>
        <w:sectPr>
          <w:pgSz w:w="16840" w:h="11900" w:orient="landscape"/>
          <w:pgMar w:top="1361" w:right="1020" w:bottom="1134" w:left="1020" w:header="720" w:footer="720" w:gutter="0"/>
          <w:cols w:space="720" w:num="1"/>
        </w:sectPr>
      </w:pPr>
    </w:p>
    <w:p w14:paraId="32117E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E8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8361F9">
            <w:pPr>
              <w:pStyle w:val="9"/>
            </w:pPr>
            <w:r>
              <w:t>360032隆尧县双碑中学</w:t>
            </w:r>
          </w:p>
        </w:tc>
        <w:tc>
          <w:tcPr>
            <w:tcW w:w="2551" w:type="dxa"/>
            <w:tcBorders>
              <w:top w:val="single" w:color="FFFFFF" w:sz="6" w:space="0"/>
              <w:left w:val="single" w:color="FFFFFF" w:sz="6" w:space="0"/>
              <w:right w:val="single" w:color="FFFFFF" w:sz="6" w:space="0"/>
            </w:tcBorders>
            <w:vAlign w:val="center"/>
          </w:tcPr>
          <w:p w14:paraId="556F15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B1E8CE">
            <w:pPr>
              <w:pStyle w:val="7"/>
            </w:pPr>
            <w:r>
              <w:t>单位：万元</w:t>
            </w:r>
          </w:p>
        </w:tc>
      </w:tr>
      <w:tr w14:paraId="04C66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E29617">
            <w:pPr>
              <w:pStyle w:val="10"/>
            </w:pPr>
            <w:r>
              <w:t>序号</w:t>
            </w:r>
          </w:p>
        </w:tc>
        <w:tc>
          <w:tcPr>
            <w:tcW w:w="5726" w:type="dxa"/>
            <w:gridSpan w:val="2"/>
            <w:vAlign w:val="center"/>
          </w:tcPr>
          <w:p w14:paraId="45063DCE">
            <w:pPr>
              <w:pStyle w:val="10"/>
            </w:pPr>
            <w:r>
              <w:t>功能分类科目</w:t>
            </w:r>
          </w:p>
        </w:tc>
        <w:tc>
          <w:tcPr>
            <w:tcW w:w="2551" w:type="dxa"/>
            <w:vMerge w:val="restart"/>
            <w:vAlign w:val="center"/>
          </w:tcPr>
          <w:p w14:paraId="5EA9ED14">
            <w:pPr>
              <w:pStyle w:val="10"/>
            </w:pPr>
            <w:r>
              <w:t>合计</w:t>
            </w:r>
          </w:p>
        </w:tc>
        <w:tc>
          <w:tcPr>
            <w:tcW w:w="2551" w:type="dxa"/>
            <w:vMerge w:val="restart"/>
            <w:vAlign w:val="center"/>
          </w:tcPr>
          <w:p w14:paraId="7151817E">
            <w:pPr>
              <w:pStyle w:val="10"/>
            </w:pPr>
            <w:r>
              <w:t>基本支出</w:t>
            </w:r>
          </w:p>
        </w:tc>
        <w:tc>
          <w:tcPr>
            <w:tcW w:w="2551" w:type="dxa"/>
            <w:vMerge w:val="restart"/>
            <w:vAlign w:val="center"/>
          </w:tcPr>
          <w:p w14:paraId="7854F043">
            <w:pPr>
              <w:pStyle w:val="10"/>
            </w:pPr>
            <w:r>
              <w:t>项目支出</w:t>
            </w:r>
          </w:p>
        </w:tc>
      </w:tr>
      <w:tr w14:paraId="0C44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35C888"/>
        </w:tc>
        <w:tc>
          <w:tcPr>
            <w:tcW w:w="1191" w:type="dxa"/>
            <w:vAlign w:val="center"/>
          </w:tcPr>
          <w:p w14:paraId="64541E7C">
            <w:pPr>
              <w:pStyle w:val="10"/>
            </w:pPr>
            <w:r>
              <w:t>科目编码</w:t>
            </w:r>
          </w:p>
        </w:tc>
        <w:tc>
          <w:tcPr>
            <w:tcW w:w="4535" w:type="dxa"/>
            <w:vAlign w:val="center"/>
          </w:tcPr>
          <w:p w14:paraId="2CCEED2E">
            <w:pPr>
              <w:pStyle w:val="10"/>
            </w:pPr>
            <w:r>
              <w:t>科目名称</w:t>
            </w:r>
          </w:p>
        </w:tc>
        <w:tc>
          <w:tcPr>
            <w:tcW w:w="2551" w:type="dxa"/>
            <w:vMerge w:val="continue"/>
          </w:tcPr>
          <w:p w14:paraId="69144504"/>
        </w:tc>
        <w:tc>
          <w:tcPr>
            <w:tcW w:w="2551" w:type="dxa"/>
            <w:vMerge w:val="continue"/>
          </w:tcPr>
          <w:p w14:paraId="6673A3D9"/>
        </w:tc>
        <w:tc>
          <w:tcPr>
            <w:tcW w:w="2551" w:type="dxa"/>
            <w:vMerge w:val="continue"/>
          </w:tcPr>
          <w:p w14:paraId="28887B6A"/>
        </w:tc>
      </w:tr>
      <w:tr w14:paraId="2069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73FEE4">
            <w:pPr>
              <w:pStyle w:val="10"/>
            </w:pPr>
            <w:r>
              <w:t>栏次</w:t>
            </w:r>
          </w:p>
        </w:tc>
        <w:tc>
          <w:tcPr>
            <w:tcW w:w="1191" w:type="dxa"/>
            <w:vAlign w:val="center"/>
          </w:tcPr>
          <w:p w14:paraId="6BAAD04A">
            <w:pPr>
              <w:pStyle w:val="10"/>
            </w:pPr>
            <w:r>
              <w:t>1</w:t>
            </w:r>
          </w:p>
        </w:tc>
        <w:tc>
          <w:tcPr>
            <w:tcW w:w="4535" w:type="dxa"/>
            <w:vAlign w:val="center"/>
          </w:tcPr>
          <w:p w14:paraId="53AFCA3D">
            <w:pPr>
              <w:pStyle w:val="10"/>
            </w:pPr>
            <w:r>
              <w:t>2</w:t>
            </w:r>
          </w:p>
        </w:tc>
        <w:tc>
          <w:tcPr>
            <w:tcW w:w="2551" w:type="dxa"/>
            <w:vAlign w:val="center"/>
          </w:tcPr>
          <w:p w14:paraId="6321CD9B">
            <w:pPr>
              <w:pStyle w:val="10"/>
            </w:pPr>
            <w:r>
              <w:t>3</w:t>
            </w:r>
          </w:p>
        </w:tc>
        <w:tc>
          <w:tcPr>
            <w:tcW w:w="2551" w:type="dxa"/>
            <w:vAlign w:val="center"/>
          </w:tcPr>
          <w:p w14:paraId="3BD29BCD">
            <w:pPr>
              <w:pStyle w:val="10"/>
            </w:pPr>
            <w:r>
              <w:t>4</w:t>
            </w:r>
          </w:p>
        </w:tc>
        <w:tc>
          <w:tcPr>
            <w:tcW w:w="2551" w:type="dxa"/>
            <w:vAlign w:val="center"/>
          </w:tcPr>
          <w:p w14:paraId="43573879">
            <w:pPr>
              <w:pStyle w:val="10"/>
            </w:pPr>
            <w:r>
              <w:t>5</w:t>
            </w:r>
          </w:p>
        </w:tc>
      </w:tr>
      <w:tr w14:paraId="24D9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0A779">
            <w:pPr>
              <w:pStyle w:val="13"/>
            </w:pPr>
          </w:p>
        </w:tc>
        <w:tc>
          <w:tcPr>
            <w:tcW w:w="1191" w:type="dxa"/>
            <w:vAlign w:val="center"/>
          </w:tcPr>
          <w:p w14:paraId="7E4F7B83">
            <w:pPr>
              <w:pStyle w:val="12"/>
            </w:pPr>
          </w:p>
        </w:tc>
        <w:tc>
          <w:tcPr>
            <w:tcW w:w="4535" w:type="dxa"/>
            <w:vAlign w:val="center"/>
          </w:tcPr>
          <w:p w14:paraId="1EB1F604">
            <w:pPr>
              <w:pStyle w:val="12"/>
            </w:pPr>
          </w:p>
        </w:tc>
        <w:tc>
          <w:tcPr>
            <w:tcW w:w="2551" w:type="dxa"/>
            <w:vAlign w:val="center"/>
          </w:tcPr>
          <w:p w14:paraId="014B3166">
            <w:pPr>
              <w:pStyle w:val="11"/>
            </w:pPr>
          </w:p>
        </w:tc>
        <w:tc>
          <w:tcPr>
            <w:tcW w:w="2551" w:type="dxa"/>
            <w:vAlign w:val="center"/>
          </w:tcPr>
          <w:p w14:paraId="51B2461D">
            <w:pPr>
              <w:pStyle w:val="11"/>
            </w:pPr>
          </w:p>
        </w:tc>
        <w:tc>
          <w:tcPr>
            <w:tcW w:w="2551" w:type="dxa"/>
            <w:vAlign w:val="center"/>
          </w:tcPr>
          <w:p w14:paraId="50F3AEDE">
            <w:pPr>
              <w:pStyle w:val="11"/>
            </w:pPr>
          </w:p>
        </w:tc>
      </w:tr>
    </w:tbl>
    <w:p w14:paraId="1DC0FE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740F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66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C0B48D">
            <w:pPr>
              <w:pStyle w:val="9"/>
            </w:pPr>
            <w:r>
              <w:t>360032隆尧县双碑中学</w:t>
            </w:r>
          </w:p>
        </w:tc>
        <w:tc>
          <w:tcPr>
            <w:tcW w:w="2551" w:type="dxa"/>
            <w:tcBorders>
              <w:top w:val="single" w:color="FFFFFF" w:sz="6" w:space="0"/>
              <w:left w:val="single" w:color="FFFFFF" w:sz="6" w:space="0"/>
              <w:right w:val="single" w:color="FFFFFF" w:sz="6" w:space="0"/>
            </w:tcBorders>
            <w:vAlign w:val="center"/>
          </w:tcPr>
          <w:p w14:paraId="348D24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957AAB">
            <w:pPr>
              <w:pStyle w:val="7"/>
            </w:pPr>
            <w:r>
              <w:t>单位：万元</w:t>
            </w:r>
          </w:p>
        </w:tc>
      </w:tr>
      <w:tr w14:paraId="3B0E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072A7">
            <w:pPr>
              <w:pStyle w:val="10"/>
            </w:pPr>
            <w:r>
              <w:t>序号</w:t>
            </w:r>
          </w:p>
        </w:tc>
        <w:tc>
          <w:tcPr>
            <w:tcW w:w="5726" w:type="dxa"/>
            <w:gridSpan w:val="2"/>
            <w:vAlign w:val="center"/>
          </w:tcPr>
          <w:p w14:paraId="7BECC9AC">
            <w:pPr>
              <w:pStyle w:val="10"/>
            </w:pPr>
            <w:r>
              <w:t>功能分类科目</w:t>
            </w:r>
          </w:p>
        </w:tc>
        <w:tc>
          <w:tcPr>
            <w:tcW w:w="2551" w:type="dxa"/>
            <w:vMerge w:val="restart"/>
            <w:vAlign w:val="center"/>
          </w:tcPr>
          <w:p w14:paraId="6286E9F1">
            <w:pPr>
              <w:pStyle w:val="10"/>
            </w:pPr>
            <w:r>
              <w:t>合计</w:t>
            </w:r>
          </w:p>
        </w:tc>
        <w:tc>
          <w:tcPr>
            <w:tcW w:w="2551" w:type="dxa"/>
            <w:vMerge w:val="restart"/>
            <w:vAlign w:val="center"/>
          </w:tcPr>
          <w:p w14:paraId="3B797FE1">
            <w:pPr>
              <w:pStyle w:val="10"/>
            </w:pPr>
            <w:r>
              <w:t>基本支出</w:t>
            </w:r>
          </w:p>
        </w:tc>
        <w:tc>
          <w:tcPr>
            <w:tcW w:w="2551" w:type="dxa"/>
            <w:vMerge w:val="restart"/>
            <w:vAlign w:val="center"/>
          </w:tcPr>
          <w:p w14:paraId="2F4D9CB8">
            <w:pPr>
              <w:pStyle w:val="10"/>
            </w:pPr>
            <w:r>
              <w:t>项目支出</w:t>
            </w:r>
          </w:p>
        </w:tc>
      </w:tr>
      <w:tr w14:paraId="0FB7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B4C928"/>
        </w:tc>
        <w:tc>
          <w:tcPr>
            <w:tcW w:w="1191" w:type="dxa"/>
            <w:vAlign w:val="center"/>
          </w:tcPr>
          <w:p w14:paraId="4F345797">
            <w:pPr>
              <w:pStyle w:val="10"/>
            </w:pPr>
            <w:r>
              <w:t>科目编码</w:t>
            </w:r>
          </w:p>
        </w:tc>
        <w:tc>
          <w:tcPr>
            <w:tcW w:w="4535" w:type="dxa"/>
            <w:vAlign w:val="center"/>
          </w:tcPr>
          <w:p w14:paraId="3076F197">
            <w:pPr>
              <w:pStyle w:val="10"/>
            </w:pPr>
            <w:r>
              <w:t>科目名称</w:t>
            </w:r>
          </w:p>
        </w:tc>
        <w:tc>
          <w:tcPr>
            <w:tcW w:w="2551" w:type="dxa"/>
            <w:vMerge w:val="continue"/>
          </w:tcPr>
          <w:p w14:paraId="2D44ACFF"/>
        </w:tc>
        <w:tc>
          <w:tcPr>
            <w:tcW w:w="2551" w:type="dxa"/>
            <w:vMerge w:val="continue"/>
          </w:tcPr>
          <w:p w14:paraId="162A3735"/>
        </w:tc>
        <w:tc>
          <w:tcPr>
            <w:tcW w:w="2551" w:type="dxa"/>
            <w:vMerge w:val="continue"/>
          </w:tcPr>
          <w:p w14:paraId="69BAF5E5"/>
        </w:tc>
      </w:tr>
      <w:tr w14:paraId="3396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7FC1A">
            <w:pPr>
              <w:pStyle w:val="10"/>
            </w:pPr>
            <w:r>
              <w:t>栏次</w:t>
            </w:r>
          </w:p>
        </w:tc>
        <w:tc>
          <w:tcPr>
            <w:tcW w:w="1191" w:type="dxa"/>
            <w:vAlign w:val="center"/>
          </w:tcPr>
          <w:p w14:paraId="7FB9508E">
            <w:pPr>
              <w:pStyle w:val="10"/>
            </w:pPr>
            <w:r>
              <w:t>1</w:t>
            </w:r>
          </w:p>
        </w:tc>
        <w:tc>
          <w:tcPr>
            <w:tcW w:w="4535" w:type="dxa"/>
            <w:vAlign w:val="center"/>
          </w:tcPr>
          <w:p w14:paraId="4741C853">
            <w:pPr>
              <w:pStyle w:val="10"/>
            </w:pPr>
            <w:r>
              <w:t>2</w:t>
            </w:r>
          </w:p>
        </w:tc>
        <w:tc>
          <w:tcPr>
            <w:tcW w:w="2551" w:type="dxa"/>
            <w:vAlign w:val="center"/>
          </w:tcPr>
          <w:p w14:paraId="6F27B695">
            <w:pPr>
              <w:pStyle w:val="10"/>
            </w:pPr>
            <w:r>
              <w:t>3</w:t>
            </w:r>
          </w:p>
        </w:tc>
        <w:tc>
          <w:tcPr>
            <w:tcW w:w="2551" w:type="dxa"/>
            <w:vAlign w:val="center"/>
          </w:tcPr>
          <w:p w14:paraId="395DA3FE">
            <w:pPr>
              <w:pStyle w:val="10"/>
            </w:pPr>
            <w:r>
              <w:t>4</w:t>
            </w:r>
          </w:p>
        </w:tc>
        <w:tc>
          <w:tcPr>
            <w:tcW w:w="2551" w:type="dxa"/>
            <w:vAlign w:val="center"/>
          </w:tcPr>
          <w:p w14:paraId="317E2F55">
            <w:pPr>
              <w:pStyle w:val="10"/>
            </w:pPr>
            <w:r>
              <w:t>5</w:t>
            </w:r>
          </w:p>
        </w:tc>
      </w:tr>
      <w:tr w14:paraId="12D8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12FF">
            <w:pPr>
              <w:pStyle w:val="13"/>
            </w:pPr>
          </w:p>
        </w:tc>
        <w:tc>
          <w:tcPr>
            <w:tcW w:w="1191" w:type="dxa"/>
            <w:vAlign w:val="center"/>
          </w:tcPr>
          <w:p w14:paraId="084B8223">
            <w:pPr>
              <w:pStyle w:val="12"/>
            </w:pPr>
          </w:p>
        </w:tc>
        <w:tc>
          <w:tcPr>
            <w:tcW w:w="4535" w:type="dxa"/>
            <w:vAlign w:val="center"/>
          </w:tcPr>
          <w:p w14:paraId="08813ABF">
            <w:pPr>
              <w:pStyle w:val="12"/>
            </w:pPr>
          </w:p>
        </w:tc>
        <w:tc>
          <w:tcPr>
            <w:tcW w:w="2551" w:type="dxa"/>
            <w:vAlign w:val="center"/>
          </w:tcPr>
          <w:p w14:paraId="40042738">
            <w:pPr>
              <w:pStyle w:val="11"/>
            </w:pPr>
          </w:p>
        </w:tc>
        <w:tc>
          <w:tcPr>
            <w:tcW w:w="2551" w:type="dxa"/>
            <w:vAlign w:val="center"/>
          </w:tcPr>
          <w:p w14:paraId="470330DE">
            <w:pPr>
              <w:pStyle w:val="11"/>
            </w:pPr>
          </w:p>
        </w:tc>
        <w:tc>
          <w:tcPr>
            <w:tcW w:w="2551" w:type="dxa"/>
            <w:vAlign w:val="center"/>
          </w:tcPr>
          <w:p w14:paraId="160C3D19">
            <w:pPr>
              <w:pStyle w:val="11"/>
            </w:pPr>
          </w:p>
        </w:tc>
      </w:tr>
    </w:tbl>
    <w:p w14:paraId="1CCB11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930F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64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6201D3">
            <w:pPr>
              <w:pStyle w:val="9"/>
            </w:pPr>
            <w:r>
              <w:t>360032隆尧县双碑中学</w:t>
            </w:r>
          </w:p>
        </w:tc>
        <w:tc>
          <w:tcPr>
            <w:tcW w:w="2381" w:type="dxa"/>
            <w:tcBorders>
              <w:top w:val="single" w:color="FFFFFF" w:sz="6" w:space="0"/>
              <w:left w:val="single" w:color="FFFFFF" w:sz="6" w:space="0"/>
              <w:right w:val="single" w:color="FFFFFF" w:sz="6" w:space="0"/>
            </w:tcBorders>
            <w:vAlign w:val="center"/>
          </w:tcPr>
          <w:p w14:paraId="4DCBC00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FFD3E62">
            <w:pPr>
              <w:pStyle w:val="7"/>
            </w:pPr>
            <w:r>
              <w:t>单位：万元</w:t>
            </w:r>
          </w:p>
        </w:tc>
      </w:tr>
      <w:tr w14:paraId="5924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8489CD">
            <w:pPr>
              <w:pStyle w:val="10"/>
            </w:pPr>
            <w:r>
              <w:t>序号</w:t>
            </w:r>
          </w:p>
        </w:tc>
        <w:tc>
          <w:tcPr>
            <w:tcW w:w="3798" w:type="dxa"/>
            <w:vMerge w:val="restart"/>
            <w:vAlign w:val="center"/>
          </w:tcPr>
          <w:p w14:paraId="3B067E9A">
            <w:pPr>
              <w:pStyle w:val="10"/>
            </w:pPr>
            <w:r>
              <w:t>项  目</w:t>
            </w:r>
          </w:p>
        </w:tc>
        <w:tc>
          <w:tcPr>
            <w:tcW w:w="9524" w:type="dxa"/>
            <w:gridSpan w:val="4"/>
            <w:vAlign w:val="center"/>
          </w:tcPr>
          <w:p w14:paraId="0E6569A7">
            <w:pPr>
              <w:pStyle w:val="10"/>
            </w:pPr>
            <w:r>
              <w:t>资 金 性 质</w:t>
            </w:r>
          </w:p>
        </w:tc>
      </w:tr>
      <w:tr w14:paraId="65AB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80E84B"/>
        </w:tc>
        <w:tc>
          <w:tcPr>
            <w:tcW w:w="3798" w:type="dxa"/>
            <w:vMerge w:val="continue"/>
          </w:tcPr>
          <w:p w14:paraId="25FD6C42"/>
        </w:tc>
        <w:tc>
          <w:tcPr>
            <w:tcW w:w="2381" w:type="dxa"/>
            <w:vAlign w:val="center"/>
          </w:tcPr>
          <w:p w14:paraId="2B088AD8">
            <w:pPr>
              <w:pStyle w:val="10"/>
            </w:pPr>
            <w:r>
              <w:t>合计</w:t>
            </w:r>
          </w:p>
        </w:tc>
        <w:tc>
          <w:tcPr>
            <w:tcW w:w="2381" w:type="dxa"/>
            <w:vAlign w:val="center"/>
          </w:tcPr>
          <w:p w14:paraId="3F587546">
            <w:pPr>
              <w:pStyle w:val="10"/>
            </w:pPr>
            <w:r>
              <w:t>一般公共预算              财政拨款</w:t>
            </w:r>
          </w:p>
        </w:tc>
        <w:tc>
          <w:tcPr>
            <w:tcW w:w="2381" w:type="dxa"/>
            <w:vAlign w:val="center"/>
          </w:tcPr>
          <w:p w14:paraId="5EEB0E1B">
            <w:pPr>
              <w:pStyle w:val="10"/>
            </w:pPr>
            <w:r>
              <w:t>政府性基金                  预算拨款</w:t>
            </w:r>
          </w:p>
        </w:tc>
        <w:tc>
          <w:tcPr>
            <w:tcW w:w="2381" w:type="dxa"/>
            <w:vAlign w:val="center"/>
          </w:tcPr>
          <w:p w14:paraId="43B8892B">
            <w:pPr>
              <w:pStyle w:val="10"/>
            </w:pPr>
            <w:r>
              <w:t>国有资本经营              预算财政拨款</w:t>
            </w:r>
          </w:p>
        </w:tc>
      </w:tr>
      <w:tr w14:paraId="5C30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A3FC08">
            <w:pPr>
              <w:pStyle w:val="10"/>
            </w:pPr>
            <w:r>
              <w:t>栏次</w:t>
            </w:r>
          </w:p>
        </w:tc>
        <w:tc>
          <w:tcPr>
            <w:tcW w:w="3798" w:type="dxa"/>
            <w:vAlign w:val="center"/>
          </w:tcPr>
          <w:p w14:paraId="000E9EF1">
            <w:pPr>
              <w:pStyle w:val="10"/>
            </w:pPr>
            <w:r>
              <w:t>1</w:t>
            </w:r>
          </w:p>
        </w:tc>
        <w:tc>
          <w:tcPr>
            <w:tcW w:w="2381" w:type="dxa"/>
            <w:vAlign w:val="center"/>
          </w:tcPr>
          <w:p w14:paraId="1C6570D0">
            <w:pPr>
              <w:pStyle w:val="10"/>
            </w:pPr>
            <w:r>
              <w:t>2</w:t>
            </w:r>
          </w:p>
        </w:tc>
        <w:tc>
          <w:tcPr>
            <w:tcW w:w="2381" w:type="dxa"/>
            <w:vAlign w:val="center"/>
          </w:tcPr>
          <w:p w14:paraId="46CCB76B">
            <w:pPr>
              <w:pStyle w:val="10"/>
            </w:pPr>
            <w:r>
              <w:t>3</w:t>
            </w:r>
          </w:p>
        </w:tc>
        <w:tc>
          <w:tcPr>
            <w:tcW w:w="2381" w:type="dxa"/>
            <w:vAlign w:val="center"/>
          </w:tcPr>
          <w:p w14:paraId="3F4E239E">
            <w:pPr>
              <w:pStyle w:val="10"/>
            </w:pPr>
            <w:r>
              <w:t>4</w:t>
            </w:r>
          </w:p>
        </w:tc>
        <w:tc>
          <w:tcPr>
            <w:tcW w:w="2381" w:type="dxa"/>
            <w:vAlign w:val="center"/>
          </w:tcPr>
          <w:p w14:paraId="1A9FD613">
            <w:pPr>
              <w:pStyle w:val="10"/>
            </w:pPr>
            <w:r>
              <w:t>5</w:t>
            </w:r>
          </w:p>
        </w:tc>
      </w:tr>
      <w:tr w14:paraId="7781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458548">
            <w:pPr>
              <w:pStyle w:val="13"/>
            </w:pPr>
          </w:p>
        </w:tc>
        <w:tc>
          <w:tcPr>
            <w:tcW w:w="3798" w:type="dxa"/>
            <w:vAlign w:val="center"/>
          </w:tcPr>
          <w:p w14:paraId="5E0E1856">
            <w:pPr>
              <w:pStyle w:val="12"/>
            </w:pPr>
          </w:p>
        </w:tc>
        <w:tc>
          <w:tcPr>
            <w:tcW w:w="2381" w:type="dxa"/>
            <w:vAlign w:val="center"/>
          </w:tcPr>
          <w:p w14:paraId="54213C53">
            <w:pPr>
              <w:pStyle w:val="11"/>
            </w:pPr>
          </w:p>
        </w:tc>
        <w:tc>
          <w:tcPr>
            <w:tcW w:w="2381" w:type="dxa"/>
            <w:vAlign w:val="center"/>
          </w:tcPr>
          <w:p w14:paraId="3041D0CC">
            <w:pPr>
              <w:pStyle w:val="11"/>
            </w:pPr>
          </w:p>
        </w:tc>
        <w:tc>
          <w:tcPr>
            <w:tcW w:w="2381" w:type="dxa"/>
            <w:vAlign w:val="center"/>
          </w:tcPr>
          <w:p w14:paraId="2D872958">
            <w:pPr>
              <w:pStyle w:val="11"/>
            </w:pPr>
          </w:p>
        </w:tc>
        <w:tc>
          <w:tcPr>
            <w:tcW w:w="2381" w:type="dxa"/>
            <w:vAlign w:val="center"/>
          </w:tcPr>
          <w:p w14:paraId="3C14D9EE">
            <w:pPr>
              <w:pStyle w:val="11"/>
            </w:pPr>
          </w:p>
        </w:tc>
      </w:tr>
    </w:tbl>
    <w:p w14:paraId="33458D9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04B710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隆尧县双碑中学2026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3FD4884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地方预决算公开操作规程》和《关于进一步推进预算公开工作的实施意见》规定，现将隆尧县双碑中学2026年单位预算公开如下：</w:t>
      </w:r>
    </w:p>
    <w:p w14:paraId="5379C5EA">
      <w:pPr>
        <w:spacing w:before="10" w:after="10" w:line="240" w:lineRule="auto"/>
        <w:ind w:firstLine="640"/>
        <w:jc w:val="left"/>
        <w:outlineLvl w:val="5"/>
      </w:pPr>
      <w:r>
        <w:rPr>
          <w:rFonts w:ascii="黑体" w:hAnsi="黑体" w:eastAsia="黑体" w:cs="黑体"/>
          <w:color w:val="000000"/>
          <w:sz w:val="32"/>
        </w:rPr>
        <w:t>一、单位职责及机构设置情况</w:t>
      </w:r>
    </w:p>
    <w:p w14:paraId="5451B2D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A8AF4CC">
      <w:pPr>
        <w:pStyle w:val="17"/>
        <w:rPr>
          <w:rFonts w:hint="eastAsia"/>
        </w:rPr>
      </w:pPr>
      <w:r>
        <w:rPr>
          <w:rFonts w:hint="eastAsia"/>
        </w:rPr>
        <w:t>贯彻落实基础教育的方针、政策，开展初中阶段教育教学工作，促进学生德，智，体，美，劳全面发展；负责学生安全教育和管理，确保学生身心健康；加强教师队伍建设和管理，为教育教学工作提供保障。</w:t>
      </w:r>
    </w:p>
    <w:p w14:paraId="7CC3010A">
      <w:pPr>
        <w:pStyle w:val="17"/>
      </w:pPr>
      <w:r>
        <w:rPr>
          <w:rFonts w:hint="eastAsia"/>
        </w:rPr>
        <w:t xml:space="preserve">   隆尧县双碑中学事业编制78名，其中，校长1名</w:t>
      </w:r>
      <w:r>
        <w:rPr>
          <w:rFonts w:hint="eastAsia"/>
          <w:lang w:eastAsia="zh-CN"/>
        </w:rPr>
        <w:t>（</w:t>
      </w:r>
      <w:r>
        <w:rPr>
          <w:rFonts w:hint="eastAsia"/>
        </w:rPr>
        <w:t>正股级</w:t>
      </w:r>
      <w:r>
        <w:rPr>
          <w:rFonts w:hint="eastAsia"/>
          <w:lang w:eastAsia="zh-CN"/>
        </w:rPr>
        <w:t>）</w:t>
      </w:r>
      <w:r>
        <w:rPr>
          <w:rFonts w:hint="eastAsia"/>
        </w:rPr>
        <w:t>，副校长4名</w:t>
      </w:r>
      <w:r>
        <w:rPr>
          <w:rFonts w:hint="eastAsia"/>
          <w:lang w:eastAsia="zh-CN"/>
        </w:rPr>
        <w:t>（</w:t>
      </w:r>
      <w:r>
        <w:rPr>
          <w:rFonts w:hint="eastAsia"/>
        </w:rPr>
        <w:t>副股级</w:t>
      </w:r>
      <w:r>
        <w:rPr>
          <w:rFonts w:hint="eastAsia"/>
          <w:lang w:eastAsia="zh-CN"/>
        </w:rPr>
        <w:t>）</w:t>
      </w:r>
      <w:r>
        <w:rPr>
          <w:rFonts w:hint="eastAsia"/>
        </w:rPr>
        <w:t>；经费形式为财政性资金基本保证。</w:t>
      </w:r>
    </w:p>
    <w:p w14:paraId="535838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63478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2A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76CE6C">
            <w:pPr>
              <w:pStyle w:val="10"/>
            </w:pPr>
            <w:r>
              <w:t>单位名称</w:t>
            </w:r>
          </w:p>
        </w:tc>
        <w:tc>
          <w:tcPr>
            <w:tcW w:w="1843" w:type="dxa"/>
            <w:vAlign w:val="center"/>
          </w:tcPr>
          <w:p w14:paraId="3222D8D1">
            <w:pPr>
              <w:pStyle w:val="10"/>
            </w:pPr>
            <w:r>
              <w:t>单位性质</w:t>
            </w:r>
          </w:p>
        </w:tc>
        <w:tc>
          <w:tcPr>
            <w:tcW w:w="2126" w:type="dxa"/>
            <w:vAlign w:val="center"/>
          </w:tcPr>
          <w:p w14:paraId="076F2C02">
            <w:pPr>
              <w:pStyle w:val="10"/>
            </w:pPr>
            <w:r>
              <w:t>单位规格</w:t>
            </w:r>
          </w:p>
        </w:tc>
        <w:tc>
          <w:tcPr>
            <w:tcW w:w="3827" w:type="dxa"/>
            <w:vAlign w:val="center"/>
          </w:tcPr>
          <w:p w14:paraId="63BFA72A">
            <w:pPr>
              <w:pStyle w:val="10"/>
            </w:pPr>
            <w:r>
              <w:t>经费保障形式</w:t>
            </w:r>
          </w:p>
        </w:tc>
      </w:tr>
      <w:tr w14:paraId="264F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C4111B">
            <w:pPr>
              <w:pStyle w:val="12"/>
            </w:pPr>
            <w:r>
              <w:t>隆尧县双碑中学</w:t>
            </w:r>
          </w:p>
        </w:tc>
        <w:tc>
          <w:tcPr>
            <w:tcW w:w="1843" w:type="dxa"/>
            <w:vAlign w:val="center"/>
          </w:tcPr>
          <w:p w14:paraId="74541292">
            <w:pPr>
              <w:pStyle w:val="13"/>
            </w:pPr>
            <w:r>
              <w:t>事业</w:t>
            </w:r>
          </w:p>
        </w:tc>
        <w:tc>
          <w:tcPr>
            <w:tcW w:w="2126" w:type="dxa"/>
            <w:vAlign w:val="center"/>
          </w:tcPr>
          <w:p w14:paraId="16E91490">
            <w:pPr>
              <w:pStyle w:val="13"/>
            </w:pPr>
            <w:r>
              <w:t>股级</w:t>
            </w:r>
          </w:p>
        </w:tc>
        <w:tc>
          <w:tcPr>
            <w:tcW w:w="3827" w:type="dxa"/>
            <w:vAlign w:val="center"/>
          </w:tcPr>
          <w:p w14:paraId="52A6EB67">
            <w:pPr>
              <w:pStyle w:val="13"/>
            </w:pPr>
            <w:r>
              <w:t>财政性资金基本保证</w:t>
            </w:r>
          </w:p>
        </w:tc>
      </w:tr>
    </w:tbl>
    <w:p w14:paraId="297CF7AB">
      <w:pPr>
        <w:spacing w:before="10" w:after="10" w:line="240" w:lineRule="auto"/>
        <w:ind w:firstLine="640"/>
        <w:jc w:val="left"/>
        <w:outlineLvl w:val="5"/>
      </w:pPr>
      <w:r>
        <w:rPr>
          <w:rFonts w:ascii="黑体" w:hAnsi="黑体" w:eastAsia="黑体" w:cs="黑体"/>
          <w:color w:val="000000"/>
          <w:sz w:val="32"/>
        </w:rPr>
        <w:t>二、单位预算安排的总体情况</w:t>
      </w:r>
    </w:p>
    <w:p w14:paraId="002EB60B">
      <w:pPr>
        <w:pStyle w:val="18"/>
      </w:pPr>
      <w:r>
        <w:t>按照预算管理有关规定，目前我校预算的编制实行综合预算管理，即全部收入和支出都反映的预算中。隆尧县双碑中学的收支包含在单位预算中。</w:t>
      </w:r>
    </w:p>
    <w:p w14:paraId="51724644">
      <w:pPr>
        <w:pStyle w:val="18"/>
      </w:pPr>
      <w:r>
        <w:t>1、收入说明</w:t>
      </w:r>
    </w:p>
    <w:p w14:paraId="1359A980">
      <w:pPr>
        <w:pStyle w:val="18"/>
      </w:pPr>
      <w:r>
        <w:t>反映本单位当年全部收入。2026年预算收入1100.25万元，其中：一般公共预算收入1100.25万元，基金预算收入0元，财政专户管理资金收入0元，其他来源收入0元。</w:t>
      </w:r>
    </w:p>
    <w:p w14:paraId="52AA0132">
      <w:pPr>
        <w:pStyle w:val="18"/>
      </w:pPr>
      <w:r>
        <w:t>2、支出说明</w:t>
      </w:r>
    </w:p>
    <w:p w14:paraId="1731B1D4">
      <w:pPr>
        <w:pStyle w:val="18"/>
      </w:pPr>
      <w:r>
        <w:t>收支预算总表支出栏、基本支出表、项目支出表按经济分类和支出功能分类科目编制，反映隆尧县双碑中学年度单位预算中支出预算的总体情况。2026年单位支出预算为1100.25万元，其中基本支出898.75万元，项目支出201.5万元。主要为初中教育1100.25万元。</w:t>
      </w:r>
    </w:p>
    <w:p w14:paraId="5BBC56AD">
      <w:pPr>
        <w:pStyle w:val="18"/>
      </w:pPr>
      <w:r>
        <w:t>3、比上年增减情况</w:t>
      </w:r>
    </w:p>
    <w:p w14:paraId="35D49E0C">
      <w:pPr>
        <w:pStyle w:val="18"/>
      </w:pPr>
      <w:r>
        <w:t>2026年部门预算收支安排1100.25万元，较2025年预算增加59.13万元，其中基本支出增加88.95万元，项目支出减少29.82万元。</w:t>
      </w:r>
    </w:p>
    <w:p w14:paraId="71F53DAB">
      <w:pPr>
        <w:spacing w:before="10" w:after="10" w:line="240" w:lineRule="auto"/>
        <w:ind w:firstLine="640"/>
        <w:jc w:val="left"/>
        <w:outlineLvl w:val="5"/>
      </w:pPr>
      <w:r>
        <w:rPr>
          <w:rFonts w:ascii="黑体" w:hAnsi="黑体" w:eastAsia="黑体" w:cs="黑体"/>
          <w:color w:val="000000"/>
          <w:sz w:val="32"/>
        </w:rPr>
        <w:t>三、机关运行经费安排情况</w:t>
      </w:r>
    </w:p>
    <w:p w14:paraId="452D3F89">
      <w:pPr>
        <w:pStyle w:val="19"/>
      </w:pPr>
      <w:r>
        <w:t>我单位按学生安排义务教育公用经费，无机关运行经费。</w:t>
      </w:r>
    </w:p>
    <w:p w14:paraId="46C8203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40C13D">
      <w:pPr>
        <w:pStyle w:val="20"/>
      </w:pPr>
      <w:r>
        <w:t>202</w:t>
      </w:r>
      <w:r>
        <w:rPr>
          <w:rFonts w:hint="eastAsia"/>
          <w:lang w:val="en-US" w:eastAsia="zh-CN"/>
        </w:rPr>
        <w:t>6</w:t>
      </w:r>
      <w:r>
        <w:t>年，我单位未安排</w:t>
      </w:r>
      <w:r>
        <w:rPr>
          <w:rFonts w:hint="eastAsia"/>
          <w:lang w:eastAsia="zh-CN"/>
        </w:rPr>
        <w:t>“三公”经费</w:t>
      </w:r>
      <w:r>
        <w:t>。</w:t>
      </w:r>
    </w:p>
    <w:p w14:paraId="34FC7B8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F5E813C">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1、冀财教[2025]121号/中央/2026年义教补助经费/双碑中学公用经费绩效目标表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09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BF459">
            <w:pPr>
              <w:pStyle w:val="11"/>
            </w:pPr>
            <w:r>
              <w:t>单位：万元</w:t>
            </w:r>
          </w:p>
        </w:tc>
      </w:tr>
      <w:tr w14:paraId="5D06F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E81E2">
            <w:pPr>
              <w:pStyle w:val="10"/>
            </w:pPr>
            <w:r>
              <w:t>项目编码</w:t>
            </w:r>
          </w:p>
        </w:tc>
        <w:tc>
          <w:tcPr>
            <w:tcW w:w="5103" w:type="dxa"/>
            <w:gridSpan w:val="2"/>
            <w:vAlign w:val="center"/>
          </w:tcPr>
          <w:p w14:paraId="24F28012">
            <w:pPr>
              <w:pStyle w:val="12"/>
            </w:pPr>
            <w:r>
              <w:t>13052526P00000410254T</w:t>
            </w:r>
          </w:p>
        </w:tc>
        <w:tc>
          <w:tcPr>
            <w:tcW w:w="2835" w:type="dxa"/>
            <w:vAlign w:val="center"/>
          </w:tcPr>
          <w:p w14:paraId="436D8199">
            <w:pPr>
              <w:pStyle w:val="10"/>
            </w:pPr>
            <w:r>
              <w:t>项目名称</w:t>
            </w:r>
          </w:p>
        </w:tc>
        <w:tc>
          <w:tcPr>
            <w:tcW w:w="6095" w:type="dxa"/>
            <w:gridSpan w:val="3"/>
            <w:vAlign w:val="center"/>
          </w:tcPr>
          <w:p w14:paraId="7EF7BF6F">
            <w:pPr>
              <w:pStyle w:val="12"/>
            </w:pPr>
            <w:r>
              <w:t>冀财教[2025]121号/中央/2026年义教补助经费/双碑中学公用经费</w:t>
            </w:r>
          </w:p>
        </w:tc>
      </w:tr>
      <w:tr w14:paraId="0F697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C187D">
            <w:pPr>
              <w:pStyle w:val="10"/>
            </w:pPr>
            <w:r>
              <w:t>预算规模及资金用途</w:t>
            </w:r>
          </w:p>
        </w:tc>
        <w:tc>
          <w:tcPr>
            <w:tcW w:w="2268" w:type="dxa"/>
            <w:vAlign w:val="center"/>
          </w:tcPr>
          <w:p w14:paraId="2E6CB60A">
            <w:pPr>
              <w:pStyle w:val="10"/>
            </w:pPr>
            <w:r>
              <w:t>预算数</w:t>
            </w:r>
          </w:p>
        </w:tc>
        <w:tc>
          <w:tcPr>
            <w:tcW w:w="2835" w:type="dxa"/>
            <w:vAlign w:val="center"/>
          </w:tcPr>
          <w:p w14:paraId="3E7D023F">
            <w:pPr>
              <w:pStyle w:val="12"/>
            </w:pPr>
            <w:r>
              <w:t>101.36</w:t>
            </w:r>
          </w:p>
        </w:tc>
        <w:tc>
          <w:tcPr>
            <w:tcW w:w="2835" w:type="dxa"/>
            <w:vAlign w:val="center"/>
          </w:tcPr>
          <w:p w14:paraId="47898453">
            <w:pPr>
              <w:pStyle w:val="10"/>
            </w:pPr>
            <w:r>
              <w:t>其中：财政    资金</w:t>
            </w:r>
          </w:p>
        </w:tc>
        <w:tc>
          <w:tcPr>
            <w:tcW w:w="2551" w:type="dxa"/>
            <w:vAlign w:val="center"/>
          </w:tcPr>
          <w:p w14:paraId="557C1983">
            <w:pPr>
              <w:pStyle w:val="12"/>
            </w:pPr>
            <w:r>
              <w:t>101.36</w:t>
            </w:r>
          </w:p>
        </w:tc>
        <w:tc>
          <w:tcPr>
            <w:tcW w:w="2268" w:type="dxa"/>
            <w:vAlign w:val="center"/>
          </w:tcPr>
          <w:p w14:paraId="6697409D">
            <w:pPr>
              <w:pStyle w:val="10"/>
            </w:pPr>
            <w:r>
              <w:t>其他资金</w:t>
            </w:r>
          </w:p>
        </w:tc>
        <w:tc>
          <w:tcPr>
            <w:tcW w:w="1276" w:type="dxa"/>
            <w:vAlign w:val="center"/>
          </w:tcPr>
          <w:p w14:paraId="7FE1A099">
            <w:pPr>
              <w:pStyle w:val="12"/>
            </w:pPr>
            <w:r>
              <w:t xml:space="preserve"> </w:t>
            </w:r>
          </w:p>
        </w:tc>
      </w:tr>
      <w:tr w14:paraId="5001E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62908"/>
        </w:tc>
        <w:tc>
          <w:tcPr>
            <w:tcW w:w="14033" w:type="dxa"/>
            <w:gridSpan w:val="6"/>
            <w:vAlign w:val="center"/>
          </w:tcPr>
          <w:p w14:paraId="219CA0F3">
            <w:pPr>
              <w:pStyle w:val="12"/>
            </w:pPr>
            <w:r>
              <w:t xml:space="preserve"> 保障义务教育学校正常运转，完成教育教学活动和其他日常工作任务等方面的费用支出。</w:t>
            </w:r>
          </w:p>
        </w:tc>
      </w:tr>
      <w:tr w14:paraId="7B4F1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52007">
            <w:pPr>
              <w:pStyle w:val="10"/>
            </w:pPr>
            <w:r>
              <w:t>资金支出计划（%）</w:t>
            </w:r>
          </w:p>
        </w:tc>
        <w:tc>
          <w:tcPr>
            <w:tcW w:w="5103" w:type="dxa"/>
            <w:gridSpan w:val="2"/>
            <w:vAlign w:val="center"/>
          </w:tcPr>
          <w:p w14:paraId="6AA8A175">
            <w:pPr>
              <w:pStyle w:val="10"/>
            </w:pPr>
            <w:r>
              <w:t>3月底</w:t>
            </w:r>
          </w:p>
        </w:tc>
        <w:tc>
          <w:tcPr>
            <w:tcW w:w="2835" w:type="dxa"/>
            <w:vAlign w:val="center"/>
          </w:tcPr>
          <w:p w14:paraId="2BF57EC1">
            <w:pPr>
              <w:pStyle w:val="10"/>
            </w:pPr>
            <w:r>
              <w:t>6月底</w:t>
            </w:r>
          </w:p>
        </w:tc>
        <w:tc>
          <w:tcPr>
            <w:tcW w:w="2551" w:type="dxa"/>
            <w:vAlign w:val="center"/>
          </w:tcPr>
          <w:p w14:paraId="01333541">
            <w:pPr>
              <w:pStyle w:val="10"/>
            </w:pPr>
            <w:r>
              <w:t>10月底</w:t>
            </w:r>
          </w:p>
        </w:tc>
        <w:tc>
          <w:tcPr>
            <w:tcW w:w="3544" w:type="dxa"/>
            <w:gridSpan w:val="2"/>
            <w:vAlign w:val="center"/>
          </w:tcPr>
          <w:p w14:paraId="0E73C8B9">
            <w:pPr>
              <w:pStyle w:val="10"/>
            </w:pPr>
            <w:r>
              <w:t>12月底</w:t>
            </w:r>
          </w:p>
        </w:tc>
      </w:tr>
      <w:tr w14:paraId="5A8F9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A8069"/>
        </w:tc>
        <w:tc>
          <w:tcPr>
            <w:tcW w:w="5103" w:type="dxa"/>
            <w:gridSpan w:val="2"/>
            <w:vAlign w:val="center"/>
          </w:tcPr>
          <w:p w14:paraId="5FA540CD">
            <w:pPr>
              <w:pStyle w:val="13"/>
            </w:pPr>
            <w:r>
              <w:t>25%</w:t>
            </w:r>
          </w:p>
        </w:tc>
        <w:tc>
          <w:tcPr>
            <w:tcW w:w="2835" w:type="dxa"/>
            <w:vAlign w:val="center"/>
          </w:tcPr>
          <w:p w14:paraId="763319F4">
            <w:pPr>
              <w:pStyle w:val="13"/>
            </w:pPr>
            <w:r>
              <w:t>50%</w:t>
            </w:r>
          </w:p>
        </w:tc>
        <w:tc>
          <w:tcPr>
            <w:tcW w:w="2551" w:type="dxa"/>
            <w:vAlign w:val="center"/>
          </w:tcPr>
          <w:p w14:paraId="4C81775A">
            <w:pPr>
              <w:pStyle w:val="13"/>
            </w:pPr>
            <w:r>
              <w:t>75%</w:t>
            </w:r>
          </w:p>
        </w:tc>
        <w:tc>
          <w:tcPr>
            <w:tcW w:w="3544" w:type="dxa"/>
            <w:gridSpan w:val="2"/>
            <w:vAlign w:val="center"/>
          </w:tcPr>
          <w:p w14:paraId="6D9B1428">
            <w:pPr>
              <w:pStyle w:val="13"/>
            </w:pPr>
            <w:r>
              <w:t>100%</w:t>
            </w:r>
          </w:p>
        </w:tc>
      </w:tr>
      <w:tr w14:paraId="1DE9B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4CA2B">
            <w:pPr>
              <w:pStyle w:val="10"/>
            </w:pPr>
            <w:r>
              <w:t>绩效目标</w:t>
            </w:r>
          </w:p>
        </w:tc>
        <w:tc>
          <w:tcPr>
            <w:tcW w:w="14033" w:type="dxa"/>
            <w:gridSpan w:val="6"/>
            <w:vAlign w:val="center"/>
          </w:tcPr>
          <w:p w14:paraId="2CBFB74D">
            <w:pPr>
              <w:pStyle w:val="12"/>
            </w:pPr>
            <w:r>
              <w:t>1. 保障义务教育学校正常运转，完成教育教学活动和其他日常工作任务等方面的费用支出。</w:t>
            </w:r>
          </w:p>
          <w:p w14:paraId="340ADE62">
            <w:pPr>
              <w:pStyle w:val="12"/>
            </w:pPr>
            <w:r>
              <w:t>2. 按规定拨付公用经费资金1013600元，资金拨付率达到100%。</w:t>
            </w:r>
          </w:p>
        </w:tc>
      </w:tr>
    </w:tbl>
    <w:p w14:paraId="0418E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10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3E4B6">
            <w:pPr>
              <w:pStyle w:val="10"/>
            </w:pPr>
            <w:r>
              <w:t>一级指标</w:t>
            </w:r>
          </w:p>
        </w:tc>
        <w:tc>
          <w:tcPr>
            <w:tcW w:w="2268" w:type="dxa"/>
            <w:vAlign w:val="center"/>
          </w:tcPr>
          <w:p w14:paraId="7D2692F5">
            <w:pPr>
              <w:pStyle w:val="10"/>
            </w:pPr>
            <w:r>
              <w:t>二级指标</w:t>
            </w:r>
          </w:p>
        </w:tc>
        <w:tc>
          <w:tcPr>
            <w:tcW w:w="2835" w:type="dxa"/>
            <w:vAlign w:val="center"/>
          </w:tcPr>
          <w:p w14:paraId="086A3BAE">
            <w:pPr>
              <w:pStyle w:val="10"/>
            </w:pPr>
            <w:r>
              <w:t>三级指标</w:t>
            </w:r>
          </w:p>
        </w:tc>
        <w:tc>
          <w:tcPr>
            <w:tcW w:w="5386" w:type="dxa"/>
            <w:vAlign w:val="center"/>
          </w:tcPr>
          <w:p w14:paraId="04173877">
            <w:pPr>
              <w:pStyle w:val="10"/>
            </w:pPr>
            <w:r>
              <w:t>绩效指标描述</w:t>
            </w:r>
          </w:p>
        </w:tc>
        <w:tc>
          <w:tcPr>
            <w:tcW w:w="2268" w:type="dxa"/>
            <w:vAlign w:val="center"/>
          </w:tcPr>
          <w:p w14:paraId="00409EBB">
            <w:pPr>
              <w:pStyle w:val="10"/>
            </w:pPr>
            <w:r>
              <w:t>指标值</w:t>
            </w:r>
          </w:p>
        </w:tc>
        <w:tc>
          <w:tcPr>
            <w:tcW w:w="1276" w:type="dxa"/>
            <w:vAlign w:val="center"/>
          </w:tcPr>
          <w:p w14:paraId="6D2022AC">
            <w:pPr>
              <w:pStyle w:val="10"/>
            </w:pPr>
            <w:r>
              <w:t>指标值确定依据</w:t>
            </w:r>
          </w:p>
        </w:tc>
      </w:tr>
      <w:tr w14:paraId="0E0F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9DFDF">
            <w:pPr>
              <w:pStyle w:val="13"/>
            </w:pPr>
            <w:r>
              <w:t>产出指标</w:t>
            </w:r>
          </w:p>
        </w:tc>
        <w:tc>
          <w:tcPr>
            <w:tcW w:w="2268" w:type="dxa"/>
            <w:vAlign w:val="center"/>
          </w:tcPr>
          <w:p w14:paraId="196CD76E">
            <w:pPr>
              <w:pStyle w:val="12"/>
            </w:pPr>
            <w:r>
              <w:t>数量指标</w:t>
            </w:r>
          </w:p>
        </w:tc>
        <w:tc>
          <w:tcPr>
            <w:tcW w:w="2835" w:type="dxa"/>
            <w:vAlign w:val="center"/>
          </w:tcPr>
          <w:p w14:paraId="0599FB31">
            <w:pPr>
              <w:pStyle w:val="12"/>
            </w:pPr>
            <w:r>
              <w:t>生均拨款标准</w:t>
            </w:r>
          </w:p>
        </w:tc>
        <w:tc>
          <w:tcPr>
            <w:tcW w:w="5386" w:type="dxa"/>
            <w:vAlign w:val="center"/>
          </w:tcPr>
          <w:p w14:paraId="45CC8A87">
            <w:pPr>
              <w:pStyle w:val="12"/>
            </w:pPr>
            <w:r>
              <w:t>初中学生公用经费生均初中940元。取暖费120元/生/年，住宿生300元/生/年，随班就读学生补助7000元/生</w:t>
            </w:r>
          </w:p>
        </w:tc>
        <w:tc>
          <w:tcPr>
            <w:tcW w:w="2268" w:type="dxa"/>
            <w:vAlign w:val="center"/>
          </w:tcPr>
          <w:p w14:paraId="54A5FAD4">
            <w:pPr>
              <w:pStyle w:val="12"/>
            </w:pPr>
            <w:r>
              <w:t>1360元</w:t>
            </w:r>
          </w:p>
        </w:tc>
        <w:tc>
          <w:tcPr>
            <w:tcW w:w="1276" w:type="dxa"/>
            <w:vAlign w:val="center"/>
          </w:tcPr>
          <w:p w14:paraId="02FCFE31">
            <w:pPr>
              <w:pStyle w:val="12"/>
            </w:pPr>
            <w:r>
              <w:t>城乡义务教育公用经费管理办法</w:t>
            </w:r>
          </w:p>
        </w:tc>
      </w:tr>
      <w:tr w14:paraId="6464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CD3FF"/>
        </w:tc>
        <w:tc>
          <w:tcPr>
            <w:tcW w:w="2268" w:type="dxa"/>
            <w:vAlign w:val="center"/>
          </w:tcPr>
          <w:p w14:paraId="0CBE7D9F">
            <w:pPr>
              <w:pStyle w:val="12"/>
            </w:pPr>
            <w:r>
              <w:t>质量指标</w:t>
            </w:r>
          </w:p>
        </w:tc>
        <w:tc>
          <w:tcPr>
            <w:tcW w:w="2835" w:type="dxa"/>
            <w:vAlign w:val="center"/>
          </w:tcPr>
          <w:p w14:paraId="1C43E82F">
            <w:pPr>
              <w:pStyle w:val="12"/>
            </w:pPr>
            <w:r>
              <w:t>就读学生数</w:t>
            </w:r>
          </w:p>
        </w:tc>
        <w:tc>
          <w:tcPr>
            <w:tcW w:w="5386" w:type="dxa"/>
            <w:vAlign w:val="center"/>
          </w:tcPr>
          <w:p w14:paraId="69BCA1F9">
            <w:pPr>
              <w:pStyle w:val="12"/>
            </w:pPr>
            <w:r>
              <w:t>辐射区域内适龄学生人数</w:t>
            </w:r>
          </w:p>
        </w:tc>
        <w:tc>
          <w:tcPr>
            <w:tcW w:w="2268" w:type="dxa"/>
            <w:vAlign w:val="center"/>
          </w:tcPr>
          <w:p w14:paraId="5E98E0E2">
            <w:pPr>
              <w:pStyle w:val="12"/>
            </w:pPr>
            <w:r>
              <w:t>1193人</w:t>
            </w:r>
          </w:p>
        </w:tc>
        <w:tc>
          <w:tcPr>
            <w:tcW w:w="1276" w:type="dxa"/>
            <w:vAlign w:val="center"/>
          </w:tcPr>
          <w:p w14:paraId="4B742399">
            <w:pPr>
              <w:pStyle w:val="12"/>
            </w:pPr>
            <w:r>
              <w:t>城乡义务教育公用经费管理办法</w:t>
            </w:r>
          </w:p>
        </w:tc>
      </w:tr>
      <w:tr w14:paraId="4311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AEBCF"/>
        </w:tc>
        <w:tc>
          <w:tcPr>
            <w:tcW w:w="2268" w:type="dxa"/>
            <w:vAlign w:val="center"/>
          </w:tcPr>
          <w:p w14:paraId="25C9C3AF">
            <w:pPr>
              <w:pStyle w:val="12"/>
            </w:pPr>
            <w:r>
              <w:t>时效指标</w:t>
            </w:r>
          </w:p>
        </w:tc>
        <w:tc>
          <w:tcPr>
            <w:tcW w:w="2835" w:type="dxa"/>
            <w:vAlign w:val="center"/>
          </w:tcPr>
          <w:p w14:paraId="007AC6F5">
            <w:pPr>
              <w:pStyle w:val="12"/>
            </w:pPr>
            <w:r>
              <w:t>预算执行率</w:t>
            </w:r>
          </w:p>
        </w:tc>
        <w:tc>
          <w:tcPr>
            <w:tcW w:w="5386" w:type="dxa"/>
            <w:vAlign w:val="center"/>
          </w:tcPr>
          <w:p w14:paraId="3A99E312">
            <w:pPr>
              <w:pStyle w:val="12"/>
            </w:pPr>
            <w:r>
              <w:t>预算执行率≥98%</w:t>
            </w:r>
          </w:p>
        </w:tc>
        <w:tc>
          <w:tcPr>
            <w:tcW w:w="2268" w:type="dxa"/>
            <w:vAlign w:val="center"/>
          </w:tcPr>
          <w:p w14:paraId="240E90AE">
            <w:pPr>
              <w:pStyle w:val="12"/>
            </w:pPr>
            <w:r>
              <w:t>≥98%</w:t>
            </w:r>
          </w:p>
        </w:tc>
        <w:tc>
          <w:tcPr>
            <w:tcW w:w="1276" w:type="dxa"/>
            <w:vAlign w:val="center"/>
          </w:tcPr>
          <w:p w14:paraId="20CD3451">
            <w:pPr>
              <w:pStyle w:val="12"/>
            </w:pPr>
            <w:r>
              <w:t>城乡义务教育公用经费管理办法</w:t>
            </w:r>
          </w:p>
        </w:tc>
      </w:tr>
      <w:tr w14:paraId="3A5C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47E57"/>
        </w:tc>
        <w:tc>
          <w:tcPr>
            <w:tcW w:w="2268" w:type="dxa"/>
            <w:vAlign w:val="center"/>
          </w:tcPr>
          <w:p w14:paraId="17291DA1">
            <w:pPr>
              <w:pStyle w:val="12"/>
            </w:pPr>
            <w:r>
              <w:t>成本指标</w:t>
            </w:r>
          </w:p>
        </w:tc>
        <w:tc>
          <w:tcPr>
            <w:tcW w:w="2835" w:type="dxa"/>
            <w:vAlign w:val="center"/>
          </w:tcPr>
          <w:p w14:paraId="1DD16A6B">
            <w:pPr>
              <w:pStyle w:val="12"/>
            </w:pPr>
            <w:r>
              <w:t>义教经费支付完成率</w:t>
            </w:r>
          </w:p>
        </w:tc>
        <w:tc>
          <w:tcPr>
            <w:tcW w:w="5386" w:type="dxa"/>
            <w:vAlign w:val="center"/>
          </w:tcPr>
          <w:p w14:paraId="56BD7024">
            <w:pPr>
              <w:pStyle w:val="12"/>
            </w:pPr>
            <w:r>
              <w:t>按照序时进度完成资金支付</w:t>
            </w:r>
          </w:p>
        </w:tc>
        <w:tc>
          <w:tcPr>
            <w:tcW w:w="2268" w:type="dxa"/>
            <w:vAlign w:val="center"/>
          </w:tcPr>
          <w:p w14:paraId="3F98A099">
            <w:pPr>
              <w:pStyle w:val="12"/>
            </w:pPr>
            <w:r>
              <w:t>100%</w:t>
            </w:r>
          </w:p>
        </w:tc>
        <w:tc>
          <w:tcPr>
            <w:tcW w:w="1276" w:type="dxa"/>
            <w:vAlign w:val="center"/>
          </w:tcPr>
          <w:p w14:paraId="317092A7">
            <w:pPr>
              <w:pStyle w:val="12"/>
            </w:pPr>
            <w:r>
              <w:t>城乡义务教育公用经费管理办法</w:t>
            </w:r>
          </w:p>
        </w:tc>
      </w:tr>
      <w:tr w14:paraId="4A81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95499">
            <w:pPr>
              <w:pStyle w:val="13"/>
            </w:pPr>
            <w:r>
              <w:t>效益指标</w:t>
            </w:r>
          </w:p>
        </w:tc>
        <w:tc>
          <w:tcPr>
            <w:tcW w:w="2268" w:type="dxa"/>
            <w:vAlign w:val="center"/>
          </w:tcPr>
          <w:p w14:paraId="4F17CD20">
            <w:pPr>
              <w:pStyle w:val="12"/>
            </w:pPr>
            <w:r>
              <w:t>社会效益指标</w:t>
            </w:r>
          </w:p>
        </w:tc>
        <w:tc>
          <w:tcPr>
            <w:tcW w:w="2835" w:type="dxa"/>
            <w:vAlign w:val="center"/>
          </w:tcPr>
          <w:p w14:paraId="37BE1092">
            <w:pPr>
              <w:pStyle w:val="12"/>
            </w:pPr>
            <w:r>
              <w:t>学校运转得到提高</w:t>
            </w:r>
          </w:p>
        </w:tc>
        <w:tc>
          <w:tcPr>
            <w:tcW w:w="5386" w:type="dxa"/>
            <w:vAlign w:val="center"/>
          </w:tcPr>
          <w:p w14:paraId="3C8B389A">
            <w:pPr>
              <w:pStyle w:val="12"/>
            </w:pPr>
            <w:r>
              <w:t>学生受教育年限</w:t>
            </w:r>
          </w:p>
        </w:tc>
        <w:tc>
          <w:tcPr>
            <w:tcW w:w="2268" w:type="dxa"/>
            <w:vAlign w:val="center"/>
          </w:tcPr>
          <w:p w14:paraId="4362B58D">
            <w:pPr>
              <w:pStyle w:val="12"/>
            </w:pPr>
            <w:r>
              <w:t>3年</w:t>
            </w:r>
          </w:p>
        </w:tc>
        <w:tc>
          <w:tcPr>
            <w:tcW w:w="1276" w:type="dxa"/>
            <w:vAlign w:val="center"/>
          </w:tcPr>
          <w:p w14:paraId="49D5DEF7">
            <w:pPr>
              <w:pStyle w:val="12"/>
            </w:pPr>
            <w:r>
              <w:t>城乡义务教育公用经费管理办法</w:t>
            </w:r>
          </w:p>
        </w:tc>
      </w:tr>
      <w:tr w14:paraId="32E9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93F06">
            <w:pPr>
              <w:pStyle w:val="13"/>
            </w:pPr>
            <w:r>
              <w:t>满意度指标</w:t>
            </w:r>
          </w:p>
        </w:tc>
        <w:tc>
          <w:tcPr>
            <w:tcW w:w="2268" w:type="dxa"/>
            <w:vAlign w:val="center"/>
          </w:tcPr>
          <w:p w14:paraId="328AACD5">
            <w:pPr>
              <w:pStyle w:val="12"/>
            </w:pPr>
            <w:r>
              <w:t>服务对象满意度指标</w:t>
            </w:r>
          </w:p>
        </w:tc>
        <w:tc>
          <w:tcPr>
            <w:tcW w:w="2835" w:type="dxa"/>
            <w:vAlign w:val="center"/>
          </w:tcPr>
          <w:p w14:paraId="128A240D">
            <w:pPr>
              <w:pStyle w:val="12"/>
            </w:pPr>
            <w:r>
              <w:t>服务对象满意度</w:t>
            </w:r>
          </w:p>
        </w:tc>
        <w:tc>
          <w:tcPr>
            <w:tcW w:w="5386" w:type="dxa"/>
            <w:vAlign w:val="center"/>
          </w:tcPr>
          <w:p w14:paraId="4D927127">
            <w:pPr>
              <w:pStyle w:val="12"/>
            </w:pPr>
            <w:r>
              <w:t>学校老师和学生满意度</w:t>
            </w:r>
          </w:p>
        </w:tc>
        <w:tc>
          <w:tcPr>
            <w:tcW w:w="2268" w:type="dxa"/>
            <w:vAlign w:val="center"/>
          </w:tcPr>
          <w:p w14:paraId="45487112">
            <w:pPr>
              <w:pStyle w:val="12"/>
            </w:pPr>
            <w:r>
              <w:t>≥95%</w:t>
            </w:r>
          </w:p>
        </w:tc>
        <w:tc>
          <w:tcPr>
            <w:tcW w:w="1276" w:type="dxa"/>
            <w:vAlign w:val="center"/>
          </w:tcPr>
          <w:p w14:paraId="3D3F543D">
            <w:pPr>
              <w:pStyle w:val="12"/>
            </w:pPr>
            <w:r>
              <w:t>调查问卷</w:t>
            </w:r>
          </w:p>
        </w:tc>
      </w:tr>
    </w:tbl>
    <w:p w14:paraId="2657074C">
      <w:pPr>
        <w:sectPr>
          <w:pgSz w:w="16840" w:h="11900" w:orient="landscape"/>
          <w:pgMar w:top="1361" w:right="1020" w:bottom="1134" w:left="1020" w:header="720" w:footer="720" w:gutter="0"/>
          <w:cols w:space="720" w:num="1"/>
        </w:sectPr>
      </w:pPr>
    </w:p>
    <w:p w14:paraId="70E7401F">
      <w:pPr>
        <w:spacing w:before="0" w:after="0"/>
        <w:ind w:firstLine="560"/>
        <w:jc w:val="left"/>
        <w:outlineLvl w:val="9"/>
      </w:pPr>
      <w:r>
        <w:rPr>
          <w:rFonts w:ascii="方正仿宋_GBK" w:hAnsi="方正仿宋_GBK" w:eastAsia="方正仿宋_GBK" w:cs="方正仿宋_GBK"/>
          <w:b/>
          <w:color w:val="000000"/>
          <w:sz w:val="28"/>
        </w:rPr>
        <w:t>2、冀财教[2025]121号/中央/义教/2026年校舍安全/双碑中学校园路面维修改造绩效目标表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30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E6C31">
            <w:pPr>
              <w:pStyle w:val="11"/>
            </w:pPr>
            <w:r>
              <w:t>单位：万元</w:t>
            </w:r>
          </w:p>
        </w:tc>
      </w:tr>
      <w:tr w14:paraId="6F7FB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EFC6D">
            <w:pPr>
              <w:pStyle w:val="10"/>
            </w:pPr>
            <w:r>
              <w:t>项目编码</w:t>
            </w:r>
          </w:p>
        </w:tc>
        <w:tc>
          <w:tcPr>
            <w:tcW w:w="5103" w:type="dxa"/>
            <w:gridSpan w:val="2"/>
            <w:vAlign w:val="center"/>
          </w:tcPr>
          <w:p w14:paraId="6E074C23">
            <w:pPr>
              <w:pStyle w:val="12"/>
            </w:pPr>
            <w:r>
              <w:t>13052526P00876210074T</w:t>
            </w:r>
          </w:p>
        </w:tc>
        <w:tc>
          <w:tcPr>
            <w:tcW w:w="2835" w:type="dxa"/>
            <w:vAlign w:val="center"/>
          </w:tcPr>
          <w:p w14:paraId="19F10D89">
            <w:pPr>
              <w:pStyle w:val="10"/>
            </w:pPr>
            <w:r>
              <w:t>项目名称</w:t>
            </w:r>
          </w:p>
        </w:tc>
        <w:tc>
          <w:tcPr>
            <w:tcW w:w="6095" w:type="dxa"/>
            <w:gridSpan w:val="3"/>
            <w:vAlign w:val="center"/>
          </w:tcPr>
          <w:p w14:paraId="7A3D31BA">
            <w:pPr>
              <w:pStyle w:val="12"/>
            </w:pPr>
            <w:r>
              <w:t>冀财教[2025]121号/中央/义教/2026年校舍安全/双碑中学校园路面维修改造</w:t>
            </w:r>
          </w:p>
        </w:tc>
      </w:tr>
      <w:tr w14:paraId="3B131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B2280">
            <w:pPr>
              <w:pStyle w:val="10"/>
            </w:pPr>
            <w:r>
              <w:t>预算规模及资金用途</w:t>
            </w:r>
          </w:p>
        </w:tc>
        <w:tc>
          <w:tcPr>
            <w:tcW w:w="2268" w:type="dxa"/>
            <w:vAlign w:val="center"/>
          </w:tcPr>
          <w:p w14:paraId="125ABF12">
            <w:pPr>
              <w:pStyle w:val="10"/>
            </w:pPr>
            <w:r>
              <w:t>预算数</w:t>
            </w:r>
          </w:p>
        </w:tc>
        <w:tc>
          <w:tcPr>
            <w:tcW w:w="2835" w:type="dxa"/>
            <w:vAlign w:val="center"/>
          </w:tcPr>
          <w:p w14:paraId="6CFB80DF">
            <w:pPr>
              <w:pStyle w:val="12"/>
            </w:pPr>
            <w:r>
              <w:t>30.00</w:t>
            </w:r>
          </w:p>
        </w:tc>
        <w:tc>
          <w:tcPr>
            <w:tcW w:w="2835" w:type="dxa"/>
            <w:vAlign w:val="center"/>
          </w:tcPr>
          <w:p w14:paraId="19BBE045">
            <w:pPr>
              <w:pStyle w:val="10"/>
            </w:pPr>
            <w:r>
              <w:t>其中：财政    资金</w:t>
            </w:r>
          </w:p>
        </w:tc>
        <w:tc>
          <w:tcPr>
            <w:tcW w:w="2551" w:type="dxa"/>
            <w:vAlign w:val="center"/>
          </w:tcPr>
          <w:p w14:paraId="06D2BF4D">
            <w:pPr>
              <w:pStyle w:val="12"/>
            </w:pPr>
            <w:r>
              <w:t>30.00</w:t>
            </w:r>
          </w:p>
        </w:tc>
        <w:tc>
          <w:tcPr>
            <w:tcW w:w="2268" w:type="dxa"/>
            <w:vAlign w:val="center"/>
          </w:tcPr>
          <w:p w14:paraId="3B3475A0">
            <w:pPr>
              <w:pStyle w:val="10"/>
            </w:pPr>
            <w:r>
              <w:t>其他资金</w:t>
            </w:r>
          </w:p>
        </w:tc>
        <w:tc>
          <w:tcPr>
            <w:tcW w:w="1276" w:type="dxa"/>
            <w:vAlign w:val="center"/>
          </w:tcPr>
          <w:p w14:paraId="2A9EBAB2">
            <w:pPr>
              <w:pStyle w:val="12"/>
            </w:pPr>
            <w:r>
              <w:t xml:space="preserve"> </w:t>
            </w:r>
          </w:p>
        </w:tc>
      </w:tr>
      <w:tr w14:paraId="31568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3AEA8"/>
        </w:tc>
        <w:tc>
          <w:tcPr>
            <w:tcW w:w="14033" w:type="dxa"/>
            <w:gridSpan w:val="6"/>
            <w:vAlign w:val="center"/>
          </w:tcPr>
          <w:p w14:paraId="5E851D44">
            <w:pPr>
              <w:pStyle w:val="12"/>
            </w:pPr>
            <w:r>
              <w:t>改善就学条件，提升学校形象，保障义务教育阶段教学安全，改善师生教学环境，创造良好的校园环境。</w:t>
            </w:r>
            <w:r>
              <w:tab/>
            </w:r>
            <w:r>
              <w:tab/>
            </w:r>
            <w:r>
              <w:tab/>
            </w:r>
          </w:p>
        </w:tc>
      </w:tr>
      <w:tr w14:paraId="2DF5D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DCCC8">
            <w:pPr>
              <w:pStyle w:val="10"/>
            </w:pPr>
            <w:r>
              <w:t>资金支出计划（%）</w:t>
            </w:r>
          </w:p>
        </w:tc>
        <w:tc>
          <w:tcPr>
            <w:tcW w:w="5103" w:type="dxa"/>
            <w:gridSpan w:val="2"/>
            <w:vAlign w:val="center"/>
          </w:tcPr>
          <w:p w14:paraId="05BBCD5E">
            <w:pPr>
              <w:pStyle w:val="10"/>
            </w:pPr>
            <w:r>
              <w:t>3月底</w:t>
            </w:r>
          </w:p>
        </w:tc>
        <w:tc>
          <w:tcPr>
            <w:tcW w:w="2835" w:type="dxa"/>
            <w:vAlign w:val="center"/>
          </w:tcPr>
          <w:p w14:paraId="4C619E0C">
            <w:pPr>
              <w:pStyle w:val="10"/>
            </w:pPr>
            <w:r>
              <w:t>6月底</w:t>
            </w:r>
          </w:p>
        </w:tc>
        <w:tc>
          <w:tcPr>
            <w:tcW w:w="2551" w:type="dxa"/>
            <w:vAlign w:val="center"/>
          </w:tcPr>
          <w:p w14:paraId="6115B76B">
            <w:pPr>
              <w:pStyle w:val="10"/>
            </w:pPr>
            <w:r>
              <w:t>10月底</w:t>
            </w:r>
          </w:p>
        </w:tc>
        <w:tc>
          <w:tcPr>
            <w:tcW w:w="3544" w:type="dxa"/>
            <w:gridSpan w:val="2"/>
            <w:vAlign w:val="center"/>
          </w:tcPr>
          <w:p w14:paraId="0331835B">
            <w:pPr>
              <w:pStyle w:val="10"/>
            </w:pPr>
            <w:r>
              <w:t>12月底</w:t>
            </w:r>
          </w:p>
        </w:tc>
      </w:tr>
      <w:tr w14:paraId="3AFCA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A7433"/>
        </w:tc>
        <w:tc>
          <w:tcPr>
            <w:tcW w:w="5103" w:type="dxa"/>
            <w:gridSpan w:val="2"/>
            <w:vAlign w:val="center"/>
          </w:tcPr>
          <w:p w14:paraId="64E6EADD">
            <w:pPr>
              <w:pStyle w:val="13"/>
            </w:pPr>
            <w:r>
              <w:t>25%</w:t>
            </w:r>
          </w:p>
        </w:tc>
        <w:tc>
          <w:tcPr>
            <w:tcW w:w="2835" w:type="dxa"/>
            <w:vAlign w:val="center"/>
          </w:tcPr>
          <w:p w14:paraId="5117ECB5">
            <w:pPr>
              <w:pStyle w:val="13"/>
            </w:pPr>
            <w:r>
              <w:t>50%</w:t>
            </w:r>
          </w:p>
        </w:tc>
        <w:tc>
          <w:tcPr>
            <w:tcW w:w="2551" w:type="dxa"/>
            <w:vAlign w:val="center"/>
          </w:tcPr>
          <w:p w14:paraId="0E63E8F5">
            <w:pPr>
              <w:pStyle w:val="13"/>
            </w:pPr>
            <w:r>
              <w:t>75%</w:t>
            </w:r>
          </w:p>
        </w:tc>
        <w:tc>
          <w:tcPr>
            <w:tcW w:w="3544" w:type="dxa"/>
            <w:gridSpan w:val="2"/>
            <w:vAlign w:val="center"/>
          </w:tcPr>
          <w:p w14:paraId="60EAD1FB">
            <w:pPr>
              <w:pStyle w:val="13"/>
            </w:pPr>
            <w:r>
              <w:t>100%</w:t>
            </w:r>
          </w:p>
        </w:tc>
      </w:tr>
      <w:tr w14:paraId="2A6D9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1818A">
            <w:pPr>
              <w:pStyle w:val="10"/>
            </w:pPr>
            <w:r>
              <w:t>绩效目标</w:t>
            </w:r>
          </w:p>
        </w:tc>
        <w:tc>
          <w:tcPr>
            <w:tcW w:w="14033" w:type="dxa"/>
            <w:gridSpan w:val="6"/>
            <w:vAlign w:val="center"/>
          </w:tcPr>
          <w:p w14:paraId="681BBCF4">
            <w:pPr>
              <w:pStyle w:val="12"/>
            </w:pPr>
            <w:r>
              <w:t>1.项目需资金30万元，资金拨付率达到100%。</w:t>
            </w:r>
          </w:p>
          <w:p w14:paraId="748678B2">
            <w:pPr>
              <w:pStyle w:val="12"/>
            </w:pPr>
            <w:r>
              <w:t>2.改善就学条件，提升学校形象，保障义务教育阶段教学安全，改善师生教学环境，创造良好的校园环境。</w:t>
            </w:r>
          </w:p>
        </w:tc>
      </w:tr>
    </w:tbl>
    <w:p w14:paraId="34970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3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A80D2">
            <w:pPr>
              <w:pStyle w:val="10"/>
            </w:pPr>
            <w:r>
              <w:t>一级指标</w:t>
            </w:r>
          </w:p>
        </w:tc>
        <w:tc>
          <w:tcPr>
            <w:tcW w:w="2268" w:type="dxa"/>
            <w:vAlign w:val="center"/>
          </w:tcPr>
          <w:p w14:paraId="01F27432">
            <w:pPr>
              <w:pStyle w:val="10"/>
            </w:pPr>
            <w:r>
              <w:t>二级指标</w:t>
            </w:r>
          </w:p>
        </w:tc>
        <w:tc>
          <w:tcPr>
            <w:tcW w:w="2835" w:type="dxa"/>
            <w:vAlign w:val="center"/>
          </w:tcPr>
          <w:p w14:paraId="32865556">
            <w:pPr>
              <w:pStyle w:val="10"/>
            </w:pPr>
            <w:r>
              <w:t>三级指标</w:t>
            </w:r>
          </w:p>
        </w:tc>
        <w:tc>
          <w:tcPr>
            <w:tcW w:w="5386" w:type="dxa"/>
            <w:vAlign w:val="center"/>
          </w:tcPr>
          <w:p w14:paraId="75D15DAA">
            <w:pPr>
              <w:pStyle w:val="10"/>
            </w:pPr>
            <w:r>
              <w:t>绩效指标描述</w:t>
            </w:r>
          </w:p>
        </w:tc>
        <w:tc>
          <w:tcPr>
            <w:tcW w:w="2268" w:type="dxa"/>
            <w:vAlign w:val="center"/>
          </w:tcPr>
          <w:p w14:paraId="67986525">
            <w:pPr>
              <w:pStyle w:val="10"/>
            </w:pPr>
            <w:r>
              <w:t>指标值</w:t>
            </w:r>
          </w:p>
        </w:tc>
        <w:tc>
          <w:tcPr>
            <w:tcW w:w="1276" w:type="dxa"/>
            <w:vAlign w:val="center"/>
          </w:tcPr>
          <w:p w14:paraId="57F1FC0B">
            <w:pPr>
              <w:pStyle w:val="10"/>
            </w:pPr>
            <w:r>
              <w:t>指标值确定依据</w:t>
            </w:r>
          </w:p>
        </w:tc>
      </w:tr>
      <w:tr w14:paraId="673E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4604A">
            <w:pPr>
              <w:pStyle w:val="13"/>
            </w:pPr>
            <w:r>
              <w:t>产出指标</w:t>
            </w:r>
          </w:p>
        </w:tc>
        <w:tc>
          <w:tcPr>
            <w:tcW w:w="2268" w:type="dxa"/>
            <w:vAlign w:val="center"/>
          </w:tcPr>
          <w:p w14:paraId="6CDE22A8">
            <w:pPr>
              <w:pStyle w:val="12"/>
            </w:pPr>
            <w:r>
              <w:t>数量指标</w:t>
            </w:r>
          </w:p>
        </w:tc>
        <w:tc>
          <w:tcPr>
            <w:tcW w:w="2835" w:type="dxa"/>
            <w:vAlign w:val="center"/>
          </w:tcPr>
          <w:p w14:paraId="0C4EED82">
            <w:pPr>
              <w:pStyle w:val="12"/>
            </w:pPr>
            <w:r>
              <w:t xml:space="preserve"> 校园路面维修面积</w:t>
            </w:r>
          </w:p>
        </w:tc>
        <w:tc>
          <w:tcPr>
            <w:tcW w:w="5386" w:type="dxa"/>
            <w:vAlign w:val="center"/>
          </w:tcPr>
          <w:p w14:paraId="1CC986A1">
            <w:pPr>
              <w:pStyle w:val="12"/>
            </w:pPr>
            <w:r>
              <w:t xml:space="preserve"> 校园路面维修面积</w:t>
            </w:r>
          </w:p>
        </w:tc>
        <w:tc>
          <w:tcPr>
            <w:tcW w:w="2268" w:type="dxa"/>
            <w:vAlign w:val="center"/>
          </w:tcPr>
          <w:p w14:paraId="79061577">
            <w:pPr>
              <w:pStyle w:val="12"/>
            </w:pPr>
            <w:r>
              <w:t>3760平方米</w:t>
            </w:r>
          </w:p>
        </w:tc>
        <w:tc>
          <w:tcPr>
            <w:tcW w:w="1276" w:type="dxa"/>
            <w:vAlign w:val="center"/>
          </w:tcPr>
          <w:p w14:paraId="6B2AC972">
            <w:pPr>
              <w:pStyle w:val="12"/>
            </w:pPr>
            <w:r>
              <w:t>城乡义务教育公用经费</w:t>
            </w:r>
          </w:p>
        </w:tc>
      </w:tr>
      <w:tr w14:paraId="5CD4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D44B2"/>
        </w:tc>
        <w:tc>
          <w:tcPr>
            <w:tcW w:w="2268" w:type="dxa"/>
            <w:vAlign w:val="center"/>
          </w:tcPr>
          <w:p w14:paraId="20594D9F">
            <w:pPr>
              <w:pStyle w:val="12"/>
            </w:pPr>
            <w:r>
              <w:t>质量指标</w:t>
            </w:r>
          </w:p>
        </w:tc>
        <w:tc>
          <w:tcPr>
            <w:tcW w:w="2835" w:type="dxa"/>
            <w:vAlign w:val="center"/>
          </w:tcPr>
          <w:p w14:paraId="74F65CA4">
            <w:pPr>
              <w:pStyle w:val="12"/>
            </w:pPr>
            <w:r>
              <w:t>工程实施验收合格率</w:t>
            </w:r>
          </w:p>
        </w:tc>
        <w:tc>
          <w:tcPr>
            <w:tcW w:w="5386" w:type="dxa"/>
            <w:vAlign w:val="center"/>
          </w:tcPr>
          <w:p w14:paraId="01065C29">
            <w:pPr>
              <w:pStyle w:val="12"/>
            </w:pPr>
            <w:r>
              <w:t>申报程序的合规，项目实施及资金使用符合项目规划</w:t>
            </w:r>
          </w:p>
        </w:tc>
        <w:tc>
          <w:tcPr>
            <w:tcW w:w="2268" w:type="dxa"/>
            <w:vAlign w:val="center"/>
          </w:tcPr>
          <w:p w14:paraId="6ADC4FAF">
            <w:pPr>
              <w:pStyle w:val="12"/>
            </w:pPr>
            <w:r>
              <w:t>100%</w:t>
            </w:r>
          </w:p>
        </w:tc>
        <w:tc>
          <w:tcPr>
            <w:tcW w:w="1276" w:type="dxa"/>
            <w:vAlign w:val="center"/>
          </w:tcPr>
          <w:p w14:paraId="53C5FA81">
            <w:pPr>
              <w:pStyle w:val="12"/>
            </w:pPr>
            <w:r>
              <w:t>城乡义务教育公用经费</w:t>
            </w:r>
          </w:p>
        </w:tc>
      </w:tr>
      <w:tr w14:paraId="329D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006F1"/>
        </w:tc>
        <w:tc>
          <w:tcPr>
            <w:tcW w:w="2268" w:type="dxa"/>
            <w:vAlign w:val="center"/>
          </w:tcPr>
          <w:p w14:paraId="4120C623">
            <w:pPr>
              <w:pStyle w:val="12"/>
            </w:pPr>
            <w:r>
              <w:t>时效指标</w:t>
            </w:r>
          </w:p>
        </w:tc>
        <w:tc>
          <w:tcPr>
            <w:tcW w:w="2835" w:type="dxa"/>
            <w:vAlign w:val="center"/>
          </w:tcPr>
          <w:p w14:paraId="0D84904D">
            <w:pPr>
              <w:pStyle w:val="12"/>
            </w:pPr>
            <w:r>
              <w:t>资金支付率</w:t>
            </w:r>
          </w:p>
        </w:tc>
        <w:tc>
          <w:tcPr>
            <w:tcW w:w="5386" w:type="dxa"/>
            <w:vAlign w:val="center"/>
          </w:tcPr>
          <w:p w14:paraId="40C47926">
            <w:pPr>
              <w:pStyle w:val="12"/>
            </w:pPr>
            <w:r>
              <w:t>按照序时进度完成资金支付</w:t>
            </w:r>
          </w:p>
        </w:tc>
        <w:tc>
          <w:tcPr>
            <w:tcW w:w="2268" w:type="dxa"/>
            <w:vAlign w:val="center"/>
          </w:tcPr>
          <w:p w14:paraId="1F666485">
            <w:pPr>
              <w:pStyle w:val="12"/>
            </w:pPr>
            <w:r>
              <w:t>100%</w:t>
            </w:r>
          </w:p>
        </w:tc>
        <w:tc>
          <w:tcPr>
            <w:tcW w:w="1276" w:type="dxa"/>
            <w:vAlign w:val="center"/>
          </w:tcPr>
          <w:p w14:paraId="4B2C0405">
            <w:pPr>
              <w:pStyle w:val="12"/>
            </w:pPr>
            <w:r>
              <w:t>城乡义务教育公用经费</w:t>
            </w:r>
          </w:p>
        </w:tc>
      </w:tr>
      <w:tr w14:paraId="2297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82F1"/>
        </w:tc>
        <w:tc>
          <w:tcPr>
            <w:tcW w:w="2268" w:type="dxa"/>
            <w:vAlign w:val="center"/>
          </w:tcPr>
          <w:p w14:paraId="107031FB">
            <w:pPr>
              <w:pStyle w:val="12"/>
            </w:pPr>
            <w:r>
              <w:t>成本指标</w:t>
            </w:r>
          </w:p>
        </w:tc>
        <w:tc>
          <w:tcPr>
            <w:tcW w:w="2835" w:type="dxa"/>
            <w:vAlign w:val="center"/>
          </w:tcPr>
          <w:p w14:paraId="5AA0E597">
            <w:pPr>
              <w:pStyle w:val="12"/>
            </w:pPr>
            <w:r>
              <w:t>项目成本控制情况</w:t>
            </w:r>
          </w:p>
        </w:tc>
        <w:tc>
          <w:tcPr>
            <w:tcW w:w="5386" w:type="dxa"/>
            <w:vAlign w:val="center"/>
          </w:tcPr>
          <w:p w14:paraId="32BC91FB">
            <w:pPr>
              <w:pStyle w:val="12"/>
            </w:pPr>
            <w:r>
              <w:t>严格按照招标价格及审计额进行</w:t>
            </w:r>
          </w:p>
        </w:tc>
        <w:tc>
          <w:tcPr>
            <w:tcW w:w="2268" w:type="dxa"/>
            <w:vAlign w:val="center"/>
          </w:tcPr>
          <w:p w14:paraId="1B0770A5">
            <w:pPr>
              <w:pStyle w:val="12"/>
            </w:pPr>
            <w:r>
              <w:t>≤30万元</w:t>
            </w:r>
          </w:p>
        </w:tc>
        <w:tc>
          <w:tcPr>
            <w:tcW w:w="1276" w:type="dxa"/>
            <w:vAlign w:val="center"/>
          </w:tcPr>
          <w:p w14:paraId="1D052409">
            <w:pPr>
              <w:pStyle w:val="12"/>
            </w:pPr>
            <w:r>
              <w:t>城乡义务教育公用经费</w:t>
            </w:r>
          </w:p>
        </w:tc>
      </w:tr>
      <w:tr w14:paraId="5119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72DC3">
            <w:pPr>
              <w:pStyle w:val="13"/>
            </w:pPr>
            <w:r>
              <w:t>效益指标</w:t>
            </w:r>
          </w:p>
        </w:tc>
        <w:tc>
          <w:tcPr>
            <w:tcW w:w="2268" w:type="dxa"/>
            <w:vAlign w:val="center"/>
          </w:tcPr>
          <w:p w14:paraId="0822FF88">
            <w:pPr>
              <w:pStyle w:val="12"/>
            </w:pPr>
            <w:r>
              <w:t>可持续影响指标</w:t>
            </w:r>
          </w:p>
        </w:tc>
        <w:tc>
          <w:tcPr>
            <w:tcW w:w="2835" w:type="dxa"/>
            <w:vAlign w:val="center"/>
          </w:tcPr>
          <w:p w14:paraId="1FB19732">
            <w:pPr>
              <w:pStyle w:val="12"/>
            </w:pPr>
            <w:r>
              <w:t>学校运转得到提高</w:t>
            </w:r>
          </w:p>
        </w:tc>
        <w:tc>
          <w:tcPr>
            <w:tcW w:w="5386" w:type="dxa"/>
            <w:vAlign w:val="center"/>
          </w:tcPr>
          <w:p w14:paraId="692BB754">
            <w:pPr>
              <w:pStyle w:val="12"/>
            </w:pPr>
            <w:r>
              <w:t>学生受教育年限</w:t>
            </w:r>
          </w:p>
        </w:tc>
        <w:tc>
          <w:tcPr>
            <w:tcW w:w="2268" w:type="dxa"/>
            <w:vAlign w:val="center"/>
          </w:tcPr>
          <w:p w14:paraId="3E03EA17">
            <w:pPr>
              <w:pStyle w:val="12"/>
            </w:pPr>
            <w:r>
              <w:t>3年</w:t>
            </w:r>
          </w:p>
        </w:tc>
        <w:tc>
          <w:tcPr>
            <w:tcW w:w="1276" w:type="dxa"/>
            <w:vAlign w:val="center"/>
          </w:tcPr>
          <w:p w14:paraId="7D25B92E">
            <w:pPr>
              <w:pStyle w:val="12"/>
            </w:pPr>
            <w:r>
              <w:t>城乡义务教育公用经费</w:t>
            </w:r>
          </w:p>
        </w:tc>
      </w:tr>
      <w:tr w14:paraId="6D3F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E3C73">
            <w:pPr>
              <w:pStyle w:val="13"/>
            </w:pPr>
            <w:r>
              <w:t>满意度指标</w:t>
            </w:r>
          </w:p>
        </w:tc>
        <w:tc>
          <w:tcPr>
            <w:tcW w:w="2268" w:type="dxa"/>
            <w:vAlign w:val="center"/>
          </w:tcPr>
          <w:p w14:paraId="5274B801">
            <w:pPr>
              <w:pStyle w:val="12"/>
            </w:pPr>
            <w:r>
              <w:t>服务对象满意度指标</w:t>
            </w:r>
          </w:p>
        </w:tc>
        <w:tc>
          <w:tcPr>
            <w:tcW w:w="2835" w:type="dxa"/>
            <w:vAlign w:val="center"/>
          </w:tcPr>
          <w:p w14:paraId="5BFE8986">
            <w:pPr>
              <w:pStyle w:val="12"/>
            </w:pPr>
            <w:r>
              <w:t>受益学生家长及调查满意度</w:t>
            </w:r>
          </w:p>
        </w:tc>
        <w:tc>
          <w:tcPr>
            <w:tcW w:w="5386" w:type="dxa"/>
            <w:vAlign w:val="center"/>
          </w:tcPr>
          <w:p w14:paraId="545B774F">
            <w:pPr>
              <w:pStyle w:val="12"/>
            </w:pPr>
            <w:r>
              <w:t>学生、教师及家长对学校教学环境满意度情况</w:t>
            </w:r>
          </w:p>
        </w:tc>
        <w:tc>
          <w:tcPr>
            <w:tcW w:w="2268" w:type="dxa"/>
            <w:vAlign w:val="center"/>
          </w:tcPr>
          <w:p w14:paraId="080F5140">
            <w:pPr>
              <w:pStyle w:val="12"/>
            </w:pPr>
            <w:r>
              <w:t>≥98%</w:t>
            </w:r>
          </w:p>
        </w:tc>
        <w:tc>
          <w:tcPr>
            <w:tcW w:w="1276" w:type="dxa"/>
            <w:vAlign w:val="center"/>
          </w:tcPr>
          <w:p w14:paraId="7687C43F">
            <w:pPr>
              <w:pStyle w:val="12"/>
            </w:pPr>
            <w:r>
              <w:t>问卷调查</w:t>
            </w:r>
          </w:p>
        </w:tc>
      </w:tr>
    </w:tbl>
    <w:p w14:paraId="08A21800">
      <w:pPr>
        <w:sectPr>
          <w:pgSz w:w="16840" w:h="11900" w:orient="landscape"/>
          <w:pgMar w:top="1361" w:right="1020" w:bottom="1134" w:left="1020" w:header="720" w:footer="720" w:gutter="0"/>
          <w:cols w:space="720" w:num="1"/>
        </w:sectPr>
      </w:pPr>
    </w:p>
    <w:p w14:paraId="5249FAC8">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3、冀财教[2025]147号/省级/2026年义教补助经费/双碑中学公用经费绩效目标表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CF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FEAEA">
            <w:pPr>
              <w:pStyle w:val="11"/>
            </w:pPr>
            <w:r>
              <w:t>单位：万元</w:t>
            </w:r>
          </w:p>
        </w:tc>
      </w:tr>
      <w:tr w14:paraId="716D7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25B4A">
            <w:pPr>
              <w:pStyle w:val="10"/>
            </w:pPr>
            <w:r>
              <w:t>项目编码</w:t>
            </w:r>
          </w:p>
        </w:tc>
        <w:tc>
          <w:tcPr>
            <w:tcW w:w="5103" w:type="dxa"/>
            <w:gridSpan w:val="2"/>
            <w:vAlign w:val="center"/>
          </w:tcPr>
          <w:p w14:paraId="4206F66D">
            <w:pPr>
              <w:pStyle w:val="12"/>
            </w:pPr>
            <w:r>
              <w:t>13052526P00000410329J</w:t>
            </w:r>
          </w:p>
        </w:tc>
        <w:tc>
          <w:tcPr>
            <w:tcW w:w="2835" w:type="dxa"/>
            <w:vAlign w:val="center"/>
          </w:tcPr>
          <w:p w14:paraId="20EC6B4F">
            <w:pPr>
              <w:pStyle w:val="10"/>
            </w:pPr>
            <w:r>
              <w:t>项目名称</w:t>
            </w:r>
          </w:p>
        </w:tc>
        <w:tc>
          <w:tcPr>
            <w:tcW w:w="6095" w:type="dxa"/>
            <w:gridSpan w:val="3"/>
            <w:vAlign w:val="center"/>
          </w:tcPr>
          <w:p w14:paraId="647EF2B8">
            <w:pPr>
              <w:pStyle w:val="12"/>
            </w:pPr>
            <w:r>
              <w:t>冀财教[2025]147号/省级/2026年义教补助经费/双碑中学公用经费</w:t>
            </w:r>
          </w:p>
        </w:tc>
      </w:tr>
      <w:tr w14:paraId="0FE05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5EBA3">
            <w:pPr>
              <w:pStyle w:val="10"/>
            </w:pPr>
            <w:r>
              <w:t>预算规模及资金用途</w:t>
            </w:r>
          </w:p>
        </w:tc>
        <w:tc>
          <w:tcPr>
            <w:tcW w:w="2268" w:type="dxa"/>
            <w:vAlign w:val="center"/>
          </w:tcPr>
          <w:p w14:paraId="3B8CED3F">
            <w:pPr>
              <w:pStyle w:val="10"/>
            </w:pPr>
            <w:r>
              <w:t>预算数</w:t>
            </w:r>
          </w:p>
        </w:tc>
        <w:tc>
          <w:tcPr>
            <w:tcW w:w="2835" w:type="dxa"/>
            <w:vAlign w:val="center"/>
          </w:tcPr>
          <w:p w14:paraId="106C26BC">
            <w:pPr>
              <w:pStyle w:val="12"/>
            </w:pPr>
            <w:r>
              <w:t>53.27</w:t>
            </w:r>
          </w:p>
        </w:tc>
        <w:tc>
          <w:tcPr>
            <w:tcW w:w="2835" w:type="dxa"/>
            <w:vAlign w:val="center"/>
          </w:tcPr>
          <w:p w14:paraId="7F7AE603">
            <w:pPr>
              <w:pStyle w:val="10"/>
            </w:pPr>
            <w:r>
              <w:t>其中：财政    资金</w:t>
            </w:r>
          </w:p>
        </w:tc>
        <w:tc>
          <w:tcPr>
            <w:tcW w:w="2551" w:type="dxa"/>
            <w:vAlign w:val="center"/>
          </w:tcPr>
          <w:p w14:paraId="330B79A5">
            <w:pPr>
              <w:pStyle w:val="12"/>
            </w:pPr>
            <w:r>
              <w:t>53.27</w:t>
            </w:r>
          </w:p>
        </w:tc>
        <w:tc>
          <w:tcPr>
            <w:tcW w:w="2268" w:type="dxa"/>
            <w:vAlign w:val="center"/>
          </w:tcPr>
          <w:p w14:paraId="070C8633">
            <w:pPr>
              <w:pStyle w:val="10"/>
            </w:pPr>
            <w:r>
              <w:t>其他资金</w:t>
            </w:r>
          </w:p>
        </w:tc>
        <w:tc>
          <w:tcPr>
            <w:tcW w:w="1276" w:type="dxa"/>
            <w:vAlign w:val="center"/>
          </w:tcPr>
          <w:p w14:paraId="7CC0FA29">
            <w:pPr>
              <w:pStyle w:val="12"/>
            </w:pPr>
            <w:r>
              <w:t xml:space="preserve"> </w:t>
            </w:r>
          </w:p>
        </w:tc>
      </w:tr>
      <w:tr w14:paraId="27492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3461D"/>
        </w:tc>
        <w:tc>
          <w:tcPr>
            <w:tcW w:w="14033" w:type="dxa"/>
            <w:gridSpan w:val="6"/>
            <w:vAlign w:val="center"/>
          </w:tcPr>
          <w:p w14:paraId="74C580FE">
            <w:pPr>
              <w:pStyle w:val="12"/>
            </w:pPr>
            <w:r>
              <w:t>保障义务教育学校正常运转，完成教育教学活动和其他日常工作任务等方面的费用支出。</w:t>
            </w:r>
          </w:p>
        </w:tc>
      </w:tr>
      <w:tr w14:paraId="0EFF3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780A4">
            <w:pPr>
              <w:pStyle w:val="10"/>
            </w:pPr>
            <w:r>
              <w:t>资金支出计划（%）</w:t>
            </w:r>
          </w:p>
        </w:tc>
        <w:tc>
          <w:tcPr>
            <w:tcW w:w="5103" w:type="dxa"/>
            <w:gridSpan w:val="2"/>
            <w:vAlign w:val="center"/>
          </w:tcPr>
          <w:p w14:paraId="371613BF">
            <w:pPr>
              <w:pStyle w:val="10"/>
            </w:pPr>
            <w:r>
              <w:t>3月底</w:t>
            </w:r>
          </w:p>
        </w:tc>
        <w:tc>
          <w:tcPr>
            <w:tcW w:w="2835" w:type="dxa"/>
            <w:vAlign w:val="center"/>
          </w:tcPr>
          <w:p w14:paraId="60494001">
            <w:pPr>
              <w:pStyle w:val="10"/>
            </w:pPr>
            <w:r>
              <w:t>6月底</w:t>
            </w:r>
          </w:p>
        </w:tc>
        <w:tc>
          <w:tcPr>
            <w:tcW w:w="2551" w:type="dxa"/>
            <w:vAlign w:val="center"/>
          </w:tcPr>
          <w:p w14:paraId="50037B79">
            <w:pPr>
              <w:pStyle w:val="10"/>
            </w:pPr>
            <w:r>
              <w:t>10月底</w:t>
            </w:r>
          </w:p>
        </w:tc>
        <w:tc>
          <w:tcPr>
            <w:tcW w:w="3544" w:type="dxa"/>
            <w:gridSpan w:val="2"/>
            <w:vAlign w:val="center"/>
          </w:tcPr>
          <w:p w14:paraId="1CBB99FE">
            <w:pPr>
              <w:pStyle w:val="10"/>
            </w:pPr>
            <w:r>
              <w:t>12月底</w:t>
            </w:r>
          </w:p>
        </w:tc>
      </w:tr>
      <w:tr w14:paraId="52380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ABB71"/>
        </w:tc>
        <w:tc>
          <w:tcPr>
            <w:tcW w:w="5103" w:type="dxa"/>
            <w:gridSpan w:val="2"/>
            <w:vAlign w:val="center"/>
          </w:tcPr>
          <w:p w14:paraId="166734F7">
            <w:pPr>
              <w:pStyle w:val="13"/>
            </w:pPr>
            <w:r>
              <w:t>25%</w:t>
            </w:r>
          </w:p>
        </w:tc>
        <w:tc>
          <w:tcPr>
            <w:tcW w:w="2835" w:type="dxa"/>
            <w:vAlign w:val="center"/>
          </w:tcPr>
          <w:p w14:paraId="23839C9D">
            <w:pPr>
              <w:pStyle w:val="13"/>
            </w:pPr>
            <w:r>
              <w:t>50%</w:t>
            </w:r>
          </w:p>
        </w:tc>
        <w:tc>
          <w:tcPr>
            <w:tcW w:w="2551" w:type="dxa"/>
            <w:vAlign w:val="center"/>
          </w:tcPr>
          <w:p w14:paraId="6752D13C">
            <w:pPr>
              <w:pStyle w:val="13"/>
            </w:pPr>
            <w:r>
              <w:t>75%</w:t>
            </w:r>
          </w:p>
        </w:tc>
        <w:tc>
          <w:tcPr>
            <w:tcW w:w="3544" w:type="dxa"/>
            <w:gridSpan w:val="2"/>
            <w:vAlign w:val="center"/>
          </w:tcPr>
          <w:p w14:paraId="613FA75E">
            <w:pPr>
              <w:pStyle w:val="13"/>
            </w:pPr>
            <w:r>
              <w:t>100%</w:t>
            </w:r>
          </w:p>
        </w:tc>
      </w:tr>
      <w:tr w14:paraId="5E4C0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32948">
            <w:pPr>
              <w:pStyle w:val="10"/>
            </w:pPr>
            <w:r>
              <w:t>绩效目标</w:t>
            </w:r>
          </w:p>
        </w:tc>
        <w:tc>
          <w:tcPr>
            <w:tcW w:w="14033" w:type="dxa"/>
            <w:gridSpan w:val="6"/>
            <w:vAlign w:val="center"/>
          </w:tcPr>
          <w:p w14:paraId="2BDD9AE6">
            <w:pPr>
              <w:pStyle w:val="12"/>
            </w:pPr>
            <w:r>
              <w:t>1.保障义务教育学校正常运转，完成教育教学活动和其他日常工作任务等方面的费用支出。</w:t>
            </w:r>
          </w:p>
          <w:p w14:paraId="06F38819">
            <w:pPr>
              <w:pStyle w:val="12"/>
            </w:pPr>
            <w:r>
              <w:t>2.按规定拨付公用经费资金532700元，资金拨付率达到100%。</w:t>
            </w:r>
          </w:p>
        </w:tc>
      </w:tr>
    </w:tbl>
    <w:p w14:paraId="42607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0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4201D">
            <w:pPr>
              <w:pStyle w:val="10"/>
            </w:pPr>
            <w:r>
              <w:t>一级指标</w:t>
            </w:r>
          </w:p>
        </w:tc>
        <w:tc>
          <w:tcPr>
            <w:tcW w:w="2268" w:type="dxa"/>
            <w:vAlign w:val="center"/>
          </w:tcPr>
          <w:p w14:paraId="54400C3B">
            <w:pPr>
              <w:pStyle w:val="10"/>
            </w:pPr>
            <w:r>
              <w:t>二级指标</w:t>
            </w:r>
          </w:p>
        </w:tc>
        <w:tc>
          <w:tcPr>
            <w:tcW w:w="2835" w:type="dxa"/>
            <w:vAlign w:val="center"/>
          </w:tcPr>
          <w:p w14:paraId="6AFB563A">
            <w:pPr>
              <w:pStyle w:val="10"/>
            </w:pPr>
            <w:r>
              <w:t>三级指标</w:t>
            </w:r>
          </w:p>
        </w:tc>
        <w:tc>
          <w:tcPr>
            <w:tcW w:w="5386" w:type="dxa"/>
            <w:vAlign w:val="center"/>
          </w:tcPr>
          <w:p w14:paraId="23ECC5C6">
            <w:pPr>
              <w:pStyle w:val="10"/>
            </w:pPr>
            <w:r>
              <w:t>绩效指标描述</w:t>
            </w:r>
          </w:p>
        </w:tc>
        <w:tc>
          <w:tcPr>
            <w:tcW w:w="2268" w:type="dxa"/>
            <w:vAlign w:val="center"/>
          </w:tcPr>
          <w:p w14:paraId="3E6BF933">
            <w:pPr>
              <w:pStyle w:val="10"/>
            </w:pPr>
            <w:r>
              <w:t>指标值</w:t>
            </w:r>
          </w:p>
        </w:tc>
        <w:tc>
          <w:tcPr>
            <w:tcW w:w="1276" w:type="dxa"/>
            <w:vAlign w:val="center"/>
          </w:tcPr>
          <w:p w14:paraId="0EFC33EF">
            <w:pPr>
              <w:pStyle w:val="10"/>
            </w:pPr>
            <w:r>
              <w:t>指标值确定依据</w:t>
            </w:r>
          </w:p>
        </w:tc>
      </w:tr>
      <w:tr w14:paraId="4EE4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B82AB">
            <w:pPr>
              <w:pStyle w:val="13"/>
            </w:pPr>
            <w:r>
              <w:t>产出指标</w:t>
            </w:r>
          </w:p>
        </w:tc>
        <w:tc>
          <w:tcPr>
            <w:tcW w:w="2268" w:type="dxa"/>
            <w:vAlign w:val="center"/>
          </w:tcPr>
          <w:p w14:paraId="78011952">
            <w:pPr>
              <w:pStyle w:val="12"/>
            </w:pPr>
            <w:r>
              <w:t>数量指标</w:t>
            </w:r>
          </w:p>
        </w:tc>
        <w:tc>
          <w:tcPr>
            <w:tcW w:w="2835" w:type="dxa"/>
            <w:vAlign w:val="center"/>
          </w:tcPr>
          <w:p w14:paraId="0C1FF36A">
            <w:pPr>
              <w:pStyle w:val="12"/>
            </w:pPr>
            <w:r>
              <w:t>适龄在校生</w:t>
            </w:r>
          </w:p>
        </w:tc>
        <w:tc>
          <w:tcPr>
            <w:tcW w:w="5386" w:type="dxa"/>
            <w:vAlign w:val="center"/>
          </w:tcPr>
          <w:p w14:paraId="15715370">
            <w:pPr>
              <w:pStyle w:val="12"/>
            </w:pPr>
            <w:r>
              <w:t>适龄在校就读学生人数</w:t>
            </w:r>
          </w:p>
        </w:tc>
        <w:tc>
          <w:tcPr>
            <w:tcW w:w="2268" w:type="dxa"/>
            <w:vAlign w:val="center"/>
          </w:tcPr>
          <w:p w14:paraId="00757912">
            <w:pPr>
              <w:pStyle w:val="12"/>
            </w:pPr>
            <w:r>
              <w:t>1193人</w:t>
            </w:r>
          </w:p>
        </w:tc>
        <w:tc>
          <w:tcPr>
            <w:tcW w:w="1276" w:type="dxa"/>
            <w:vAlign w:val="center"/>
          </w:tcPr>
          <w:p w14:paraId="33862666">
            <w:pPr>
              <w:pStyle w:val="12"/>
            </w:pPr>
            <w:r>
              <w:t>城乡义务教育公用经费管理办法</w:t>
            </w:r>
          </w:p>
        </w:tc>
      </w:tr>
      <w:tr w14:paraId="1C72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B1747"/>
        </w:tc>
        <w:tc>
          <w:tcPr>
            <w:tcW w:w="2268" w:type="dxa"/>
            <w:vAlign w:val="center"/>
          </w:tcPr>
          <w:p w14:paraId="70EA2B88">
            <w:pPr>
              <w:pStyle w:val="12"/>
            </w:pPr>
            <w:r>
              <w:t>质量指标</w:t>
            </w:r>
          </w:p>
        </w:tc>
        <w:tc>
          <w:tcPr>
            <w:tcW w:w="2835" w:type="dxa"/>
            <w:vAlign w:val="center"/>
          </w:tcPr>
          <w:p w14:paraId="56D4CF75">
            <w:pPr>
              <w:pStyle w:val="12"/>
            </w:pPr>
            <w:r>
              <w:t>预算控制率</w:t>
            </w:r>
          </w:p>
        </w:tc>
        <w:tc>
          <w:tcPr>
            <w:tcW w:w="5386" w:type="dxa"/>
            <w:vAlign w:val="center"/>
          </w:tcPr>
          <w:p w14:paraId="4C2D30B1">
            <w:pPr>
              <w:pStyle w:val="12"/>
            </w:pPr>
            <w:r>
              <w:t>预算执行率</w:t>
            </w:r>
          </w:p>
        </w:tc>
        <w:tc>
          <w:tcPr>
            <w:tcW w:w="2268" w:type="dxa"/>
            <w:vAlign w:val="center"/>
          </w:tcPr>
          <w:p w14:paraId="5DBE7143">
            <w:pPr>
              <w:pStyle w:val="12"/>
            </w:pPr>
            <w:r>
              <w:t>≥95%</w:t>
            </w:r>
          </w:p>
        </w:tc>
        <w:tc>
          <w:tcPr>
            <w:tcW w:w="1276" w:type="dxa"/>
            <w:vAlign w:val="center"/>
          </w:tcPr>
          <w:p w14:paraId="1F310AD9">
            <w:pPr>
              <w:pStyle w:val="12"/>
            </w:pPr>
            <w:r>
              <w:t>城乡义务教育公用经费管理办法</w:t>
            </w:r>
          </w:p>
        </w:tc>
      </w:tr>
      <w:tr w14:paraId="0AD2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2BB82"/>
        </w:tc>
        <w:tc>
          <w:tcPr>
            <w:tcW w:w="2268" w:type="dxa"/>
            <w:vAlign w:val="center"/>
          </w:tcPr>
          <w:p w14:paraId="79B4D0D2">
            <w:pPr>
              <w:pStyle w:val="12"/>
            </w:pPr>
            <w:r>
              <w:t>时效指标</w:t>
            </w:r>
          </w:p>
        </w:tc>
        <w:tc>
          <w:tcPr>
            <w:tcW w:w="2835" w:type="dxa"/>
            <w:vAlign w:val="center"/>
          </w:tcPr>
          <w:p w14:paraId="127E9620">
            <w:pPr>
              <w:pStyle w:val="12"/>
            </w:pPr>
            <w:r>
              <w:t>资金支付率</w:t>
            </w:r>
          </w:p>
        </w:tc>
        <w:tc>
          <w:tcPr>
            <w:tcW w:w="5386" w:type="dxa"/>
            <w:vAlign w:val="center"/>
          </w:tcPr>
          <w:p w14:paraId="4496FF82">
            <w:pPr>
              <w:pStyle w:val="12"/>
            </w:pPr>
            <w:r>
              <w:t>按照序时进度完成资金支付</w:t>
            </w:r>
          </w:p>
        </w:tc>
        <w:tc>
          <w:tcPr>
            <w:tcW w:w="2268" w:type="dxa"/>
            <w:vAlign w:val="center"/>
          </w:tcPr>
          <w:p w14:paraId="0532D35E">
            <w:pPr>
              <w:pStyle w:val="12"/>
            </w:pPr>
            <w:r>
              <w:t>100%</w:t>
            </w:r>
          </w:p>
        </w:tc>
        <w:tc>
          <w:tcPr>
            <w:tcW w:w="1276" w:type="dxa"/>
            <w:vAlign w:val="center"/>
          </w:tcPr>
          <w:p w14:paraId="51EF29B3">
            <w:pPr>
              <w:pStyle w:val="12"/>
            </w:pPr>
            <w:r>
              <w:t>城乡义务教育公用经费管理办法</w:t>
            </w:r>
          </w:p>
        </w:tc>
      </w:tr>
      <w:tr w14:paraId="0D7D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7B80D"/>
        </w:tc>
        <w:tc>
          <w:tcPr>
            <w:tcW w:w="2268" w:type="dxa"/>
            <w:vAlign w:val="center"/>
          </w:tcPr>
          <w:p w14:paraId="7A0CCD6C">
            <w:pPr>
              <w:pStyle w:val="12"/>
            </w:pPr>
            <w:r>
              <w:t>成本指标</w:t>
            </w:r>
          </w:p>
        </w:tc>
        <w:tc>
          <w:tcPr>
            <w:tcW w:w="2835" w:type="dxa"/>
            <w:vAlign w:val="center"/>
          </w:tcPr>
          <w:p w14:paraId="62845235">
            <w:pPr>
              <w:pStyle w:val="12"/>
            </w:pPr>
            <w:r>
              <w:t>生均拨款标准</w:t>
            </w:r>
          </w:p>
        </w:tc>
        <w:tc>
          <w:tcPr>
            <w:tcW w:w="5386" w:type="dxa"/>
            <w:vAlign w:val="center"/>
          </w:tcPr>
          <w:p w14:paraId="1E1439FB">
            <w:pPr>
              <w:pStyle w:val="12"/>
            </w:pPr>
            <w:r>
              <w:t>初中：（基本标准940元、寄宿生300元、取暖费120元）/生/学年；随班就读学生：标准7000元/生/学年）</w:t>
            </w:r>
          </w:p>
        </w:tc>
        <w:tc>
          <w:tcPr>
            <w:tcW w:w="2268" w:type="dxa"/>
            <w:vAlign w:val="center"/>
          </w:tcPr>
          <w:p w14:paraId="17F7294E">
            <w:pPr>
              <w:pStyle w:val="12"/>
            </w:pPr>
            <w:r>
              <w:t>1360元</w:t>
            </w:r>
          </w:p>
        </w:tc>
        <w:tc>
          <w:tcPr>
            <w:tcW w:w="1276" w:type="dxa"/>
            <w:vAlign w:val="center"/>
          </w:tcPr>
          <w:p w14:paraId="5B941F2F">
            <w:pPr>
              <w:pStyle w:val="12"/>
            </w:pPr>
            <w:r>
              <w:t>城乡义务教育公用经费管理办法</w:t>
            </w:r>
          </w:p>
        </w:tc>
      </w:tr>
      <w:tr w14:paraId="7284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A708A">
            <w:pPr>
              <w:pStyle w:val="13"/>
            </w:pPr>
            <w:r>
              <w:t>效益指标</w:t>
            </w:r>
          </w:p>
        </w:tc>
        <w:tc>
          <w:tcPr>
            <w:tcW w:w="2268" w:type="dxa"/>
            <w:vAlign w:val="center"/>
          </w:tcPr>
          <w:p w14:paraId="41410EF1">
            <w:pPr>
              <w:pStyle w:val="12"/>
            </w:pPr>
            <w:r>
              <w:t>可持续影响指标</w:t>
            </w:r>
          </w:p>
        </w:tc>
        <w:tc>
          <w:tcPr>
            <w:tcW w:w="2835" w:type="dxa"/>
            <w:vAlign w:val="center"/>
          </w:tcPr>
          <w:p w14:paraId="5E10B50A">
            <w:pPr>
              <w:pStyle w:val="12"/>
            </w:pPr>
            <w:r>
              <w:t>学校日常运转正常</w:t>
            </w:r>
          </w:p>
        </w:tc>
        <w:tc>
          <w:tcPr>
            <w:tcW w:w="5386" w:type="dxa"/>
            <w:vAlign w:val="center"/>
          </w:tcPr>
          <w:p w14:paraId="5F8790DE">
            <w:pPr>
              <w:pStyle w:val="12"/>
            </w:pPr>
            <w:r>
              <w:t>学生受教育年限</w:t>
            </w:r>
          </w:p>
        </w:tc>
        <w:tc>
          <w:tcPr>
            <w:tcW w:w="2268" w:type="dxa"/>
            <w:vAlign w:val="center"/>
          </w:tcPr>
          <w:p w14:paraId="09ACF3A9">
            <w:pPr>
              <w:pStyle w:val="12"/>
            </w:pPr>
            <w:r>
              <w:t>3年</w:t>
            </w:r>
          </w:p>
        </w:tc>
        <w:tc>
          <w:tcPr>
            <w:tcW w:w="1276" w:type="dxa"/>
            <w:vAlign w:val="center"/>
          </w:tcPr>
          <w:p w14:paraId="15457FD6">
            <w:pPr>
              <w:pStyle w:val="12"/>
            </w:pPr>
            <w:r>
              <w:t>城乡义务教育公用经费管理办法</w:t>
            </w:r>
          </w:p>
        </w:tc>
      </w:tr>
      <w:tr w14:paraId="4108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526B5">
            <w:pPr>
              <w:pStyle w:val="13"/>
            </w:pPr>
            <w:r>
              <w:t>满意度指标</w:t>
            </w:r>
          </w:p>
        </w:tc>
        <w:tc>
          <w:tcPr>
            <w:tcW w:w="2268" w:type="dxa"/>
            <w:vAlign w:val="center"/>
          </w:tcPr>
          <w:p w14:paraId="43A261A3">
            <w:pPr>
              <w:pStyle w:val="12"/>
            </w:pPr>
            <w:r>
              <w:t>服务对象满意度指标</w:t>
            </w:r>
          </w:p>
        </w:tc>
        <w:tc>
          <w:tcPr>
            <w:tcW w:w="2835" w:type="dxa"/>
            <w:vAlign w:val="center"/>
          </w:tcPr>
          <w:p w14:paraId="4343B7FB">
            <w:pPr>
              <w:pStyle w:val="12"/>
            </w:pPr>
            <w:r>
              <w:t>服务对象满意度</w:t>
            </w:r>
          </w:p>
        </w:tc>
        <w:tc>
          <w:tcPr>
            <w:tcW w:w="5386" w:type="dxa"/>
            <w:vAlign w:val="center"/>
          </w:tcPr>
          <w:p w14:paraId="0F31E94E">
            <w:pPr>
              <w:pStyle w:val="12"/>
            </w:pPr>
            <w:r>
              <w:t>学校老师和学生满意度</w:t>
            </w:r>
          </w:p>
        </w:tc>
        <w:tc>
          <w:tcPr>
            <w:tcW w:w="2268" w:type="dxa"/>
            <w:vAlign w:val="center"/>
          </w:tcPr>
          <w:p w14:paraId="63F2D2E3">
            <w:pPr>
              <w:pStyle w:val="12"/>
            </w:pPr>
            <w:r>
              <w:t>≥95%</w:t>
            </w:r>
          </w:p>
        </w:tc>
        <w:tc>
          <w:tcPr>
            <w:tcW w:w="1276" w:type="dxa"/>
            <w:vAlign w:val="center"/>
          </w:tcPr>
          <w:p w14:paraId="042428D7">
            <w:pPr>
              <w:pStyle w:val="12"/>
            </w:pPr>
            <w:r>
              <w:t>调查问卷</w:t>
            </w:r>
          </w:p>
        </w:tc>
      </w:tr>
    </w:tbl>
    <w:p w14:paraId="3C5ECD20">
      <w:pPr>
        <w:sectPr>
          <w:pgSz w:w="16840" w:h="11900" w:orient="landscape"/>
          <w:pgMar w:top="1361" w:right="1020" w:bottom="1134" w:left="1020" w:header="720" w:footer="720" w:gutter="0"/>
          <w:cols w:space="720" w:num="1"/>
        </w:sectPr>
      </w:pPr>
    </w:p>
    <w:p w14:paraId="395F007A">
      <w:pPr>
        <w:spacing w:before="0" w:after="0"/>
        <w:ind w:firstLine="560"/>
        <w:jc w:val="left"/>
        <w:outlineLvl w:val="9"/>
      </w:pPr>
      <w:r>
        <w:rPr>
          <w:rFonts w:ascii="方正仿宋_GBK" w:hAnsi="方正仿宋_GBK" w:eastAsia="方正仿宋_GBK" w:cs="方正仿宋_GBK"/>
          <w:b/>
          <w:color w:val="000000"/>
          <w:sz w:val="28"/>
        </w:rPr>
        <w:t>4、县级配套/双碑中学公用经费绩效目标表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06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726DA">
            <w:pPr>
              <w:pStyle w:val="11"/>
            </w:pPr>
            <w:r>
              <w:t>单位：万元</w:t>
            </w:r>
          </w:p>
        </w:tc>
      </w:tr>
      <w:tr w14:paraId="5A93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F9593">
            <w:pPr>
              <w:pStyle w:val="10"/>
            </w:pPr>
            <w:r>
              <w:t>项目编码</w:t>
            </w:r>
          </w:p>
        </w:tc>
        <w:tc>
          <w:tcPr>
            <w:tcW w:w="5103" w:type="dxa"/>
            <w:gridSpan w:val="2"/>
            <w:vAlign w:val="center"/>
          </w:tcPr>
          <w:p w14:paraId="41C3DF96">
            <w:pPr>
              <w:pStyle w:val="12"/>
            </w:pPr>
            <w:r>
              <w:t>13052526P00000410414X</w:t>
            </w:r>
          </w:p>
        </w:tc>
        <w:tc>
          <w:tcPr>
            <w:tcW w:w="2835" w:type="dxa"/>
            <w:vAlign w:val="center"/>
          </w:tcPr>
          <w:p w14:paraId="6C8E0C23">
            <w:pPr>
              <w:pStyle w:val="10"/>
            </w:pPr>
            <w:r>
              <w:t>项目名称</w:t>
            </w:r>
          </w:p>
        </w:tc>
        <w:tc>
          <w:tcPr>
            <w:tcW w:w="6095" w:type="dxa"/>
            <w:gridSpan w:val="3"/>
            <w:vAlign w:val="center"/>
          </w:tcPr>
          <w:p w14:paraId="1DC86174">
            <w:pPr>
              <w:pStyle w:val="12"/>
            </w:pPr>
            <w:r>
              <w:t>县级配套/双碑中学公用经费</w:t>
            </w:r>
          </w:p>
        </w:tc>
      </w:tr>
      <w:tr w14:paraId="18C6E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7C7ED">
            <w:pPr>
              <w:pStyle w:val="10"/>
            </w:pPr>
            <w:r>
              <w:t>预算规模及资金用途</w:t>
            </w:r>
          </w:p>
        </w:tc>
        <w:tc>
          <w:tcPr>
            <w:tcW w:w="2268" w:type="dxa"/>
            <w:vAlign w:val="center"/>
          </w:tcPr>
          <w:p w14:paraId="0B7D43A9">
            <w:pPr>
              <w:pStyle w:val="10"/>
            </w:pPr>
            <w:r>
              <w:t>预算数</w:t>
            </w:r>
          </w:p>
        </w:tc>
        <w:tc>
          <w:tcPr>
            <w:tcW w:w="2835" w:type="dxa"/>
            <w:vAlign w:val="center"/>
          </w:tcPr>
          <w:p w14:paraId="2E1668B3">
            <w:pPr>
              <w:pStyle w:val="12"/>
            </w:pPr>
            <w:r>
              <w:t>16.87</w:t>
            </w:r>
          </w:p>
        </w:tc>
        <w:tc>
          <w:tcPr>
            <w:tcW w:w="2835" w:type="dxa"/>
            <w:vAlign w:val="center"/>
          </w:tcPr>
          <w:p w14:paraId="5B69091B">
            <w:pPr>
              <w:pStyle w:val="10"/>
            </w:pPr>
            <w:r>
              <w:t>其中：财政    资金</w:t>
            </w:r>
          </w:p>
        </w:tc>
        <w:tc>
          <w:tcPr>
            <w:tcW w:w="2551" w:type="dxa"/>
            <w:vAlign w:val="center"/>
          </w:tcPr>
          <w:p w14:paraId="2B479B24">
            <w:pPr>
              <w:pStyle w:val="12"/>
            </w:pPr>
            <w:r>
              <w:t>16.87</w:t>
            </w:r>
          </w:p>
        </w:tc>
        <w:tc>
          <w:tcPr>
            <w:tcW w:w="2268" w:type="dxa"/>
            <w:vAlign w:val="center"/>
          </w:tcPr>
          <w:p w14:paraId="06EC3159">
            <w:pPr>
              <w:pStyle w:val="10"/>
            </w:pPr>
            <w:r>
              <w:t>其他资金</w:t>
            </w:r>
          </w:p>
        </w:tc>
        <w:tc>
          <w:tcPr>
            <w:tcW w:w="1276" w:type="dxa"/>
            <w:vAlign w:val="center"/>
          </w:tcPr>
          <w:p w14:paraId="51B3FAE3">
            <w:pPr>
              <w:pStyle w:val="12"/>
            </w:pPr>
            <w:r>
              <w:t xml:space="preserve"> </w:t>
            </w:r>
          </w:p>
        </w:tc>
      </w:tr>
      <w:tr w14:paraId="55C38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43C37"/>
        </w:tc>
        <w:tc>
          <w:tcPr>
            <w:tcW w:w="14033" w:type="dxa"/>
            <w:gridSpan w:val="6"/>
            <w:vAlign w:val="center"/>
          </w:tcPr>
          <w:p w14:paraId="16FED02E">
            <w:pPr>
              <w:pStyle w:val="12"/>
            </w:pPr>
            <w:r>
              <w:t>保障义务教育学校正常运转，完成教育教学活动和其他日常工作任务等方面的费用支出。</w:t>
            </w:r>
          </w:p>
        </w:tc>
      </w:tr>
      <w:tr w14:paraId="47AA6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F3C55">
            <w:pPr>
              <w:pStyle w:val="10"/>
            </w:pPr>
            <w:r>
              <w:t>资金支出计划（%）</w:t>
            </w:r>
          </w:p>
        </w:tc>
        <w:tc>
          <w:tcPr>
            <w:tcW w:w="5103" w:type="dxa"/>
            <w:gridSpan w:val="2"/>
            <w:vAlign w:val="center"/>
          </w:tcPr>
          <w:p w14:paraId="429C111A">
            <w:pPr>
              <w:pStyle w:val="10"/>
            </w:pPr>
            <w:r>
              <w:t>3月底</w:t>
            </w:r>
          </w:p>
        </w:tc>
        <w:tc>
          <w:tcPr>
            <w:tcW w:w="2835" w:type="dxa"/>
            <w:vAlign w:val="center"/>
          </w:tcPr>
          <w:p w14:paraId="4B3BD70A">
            <w:pPr>
              <w:pStyle w:val="10"/>
            </w:pPr>
            <w:r>
              <w:t>6月底</w:t>
            </w:r>
          </w:p>
        </w:tc>
        <w:tc>
          <w:tcPr>
            <w:tcW w:w="2551" w:type="dxa"/>
            <w:vAlign w:val="center"/>
          </w:tcPr>
          <w:p w14:paraId="46E5F018">
            <w:pPr>
              <w:pStyle w:val="10"/>
            </w:pPr>
            <w:r>
              <w:t>10月底</w:t>
            </w:r>
          </w:p>
        </w:tc>
        <w:tc>
          <w:tcPr>
            <w:tcW w:w="3544" w:type="dxa"/>
            <w:gridSpan w:val="2"/>
            <w:vAlign w:val="center"/>
          </w:tcPr>
          <w:p w14:paraId="574DA728">
            <w:pPr>
              <w:pStyle w:val="10"/>
            </w:pPr>
            <w:r>
              <w:t>12月底</w:t>
            </w:r>
          </w:p>
        </w:tc>
      </w:tr>
      <w:tr w14:paraId="37F93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1BC87"/>
        </w:tc>
        <w:tc>
          <w:tcPr>
            <w:tcW w:w="5103" w:type="dxa"/>
            <w:gridSpan w:val="2"/>
            <w:vAlign w:val="center"/>
          </w:tcPr>
          <w:p w14:paraId="7895A585">
            <w:pPr>
              <w:pStyle w:val="13"/>
            </w:pPr>
            <w:r>
              <w:t>25%</w:t>
            </w:r>
          </w:p>
        </w:tc>
        <w:tc>
          <w:tcPr>
            <w:tcW w:w="2835" w:type="dxa"/>
            <w:vAlign w:val="center"/>
          </w:tcPr>
          <w:p w14:paraId="578477CC">
            <w:pPr>
              <w:pStyle w:val="13"/>
            </w:pPr>
            <w:r>
              <w:t>50%</w:t>
            </w:r>
          </w:p>
        </w:tc>
        <w:tc>
          <w:tcPr>
            <w:tcW w:w="2551" w:type="dxa"/>
            <w:vAlign w:val="center"/>
          </w:tcPr>
          <w:p w14:paraId="7BDB1FCC">
            <w:pPr>
              <w:pStyle w:val="13"/>
            </w:pPr>
            <w:r>
              <w:t>75%</w:t>
            </w:r>
          </w:p>
        </w:tc>
        <w:tc>
          <w:tcPr>
            <w:tcW w:w="3544" w:type="dxa"/>
            <w:gridSpan w:val="2"/>
            <w:vAlign w:val="center"/>
          </w:tcPr>
          <w:p w14:paraId="5BDC094F">
            <w:pPr>
              <w:pStyle w:val="13"/>
            </w:pPr>
            <w:r>
              <w:t>100%</w:t>
            </w:r>
          </w:p>
        </w:tc>
      </w:tr>
      <w:tr w14:paraId="6AA85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0D4D5">
            <w:pPr>
              <w:pStyle w:val="10"/>
            </w:pPr>
            <w:r>
              <w:t>绩效目标</w:t>
            </w:r>
          </w:p>
        </w:tc>
        <w:tc>
          <w:tcPr>
            <w:tcW w:w="14033" w:type="dxa"/>
            <w:gridSpan w:val="6"/>
            <w:vAlign w:val="center"/>
          </w:tcPr>
          <w:p w14:paraId="455C3650">
            <w:pPr>
              <w:pStyle w:val="12"/>
            </w:pPr>
            <w:r>
              <w:t>1. 保障义务教育学校正常运转，完成教育教学活动和其他日常工作任务等方面的费用支出。</w:t>
            </w:r>
          </w:p>
          <w:p w14:paraId="79FD4FE7">
            <w:pPr>
              <w:pStyle w:val="12"/>
            </w:pPr>
            <w:r>
              <w:t>2.按规定拨付公用经费资金168740元，资金拨付率达到100%。</w:t>
            </w:r>
          </w:p>
        </w:tc>
      </w:tr>
    </w:tbl>
    <w:p w14:paraId="43175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F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79537">
            <w:pPr>
              <w:pStyle w:val="10"/>
            </w:pPr>
            <w:r>
              <w:t>一级指标</w:t>
            </w:r>
          </w:p>
        </w:tc>
        <w:tc>
          <w:tcPr>
            <w:tcW w:w="2268" w:type="dxa"/>
            <w:vAlign w:val="center"/>
          </w:tcPr>
          <w:p w14:paraId="09A3A338">
            <w:pPr>
              <w:pStyle w:val="10"/>
            </w:pPr>
            <w:r>
              <w:t>二级指标</w:t>
            </w:r>
          </w:p>
        </w:tc>
        <w:tc>
          <w:tcPr>
            <w:tcW w:w="2835" w:type="dxa"/>
            <w:vAlign w:val="center"/>
          </w:tcPr>
          <w:p w14:paraId="7468D57B">
            <w:pPr>
              <w:pStyle w:val="10"/>
            </w:pPr>
            <w:r>
              <w:t>三级指标</w:t>
            </w:r>
          </w:p>
        </w:tc>
        <w:tc>
          <w:tcPr>
            <w:tcW w:w="5386" w:type="dxa"/>
            <w:vAlign w:val="center"/>
          </w:tcPr>
          <w:p w14:paraId="143C8AF3">
            <w:pPr>
              <w:pStyle w:val="10"/>
            </w:pPr>
            <w:r>
              <w:t>绩效指标描述</w:t>
            </w:r>
          </w:p>
        </w:tc>
        <w:tc>
          <w:tcPr>
            <w:tcW w:w="2268" w:type="dxa"/>
            <w:vAlign w:val="center"/>
          </w:tcPr>
          <w:p w14:paraId="18472579">
            <w:pPr>
              <w:pStyle w:val="10"/>
            </w:pPr>
            <w:r>
              <w:t>指标值</w:t>
            </w:r>
          </w:p>
        </w:tc>
        <w:tc>
          <w:tcPr>
            <w:tcW w:w="1276" w:type="dxa"/>
            <w:vAlign w:val="center"/>
          </w:tcPr>
          <w:p w14:paraId="76244BAB">
            <w:pPr>
              <w:pStyle w:val="10"/>
            </w:pPr>
            <w:r>
              <w:t>指标值确定依据</w:t>
            </w:r>
          </w:p>
        </w:tc>
      </w:tr>
      <w:tr w14:paraId="647B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AFDB0">
            <w:pPr>
              <w:pStyle w:val="13"/>
            </w:pPr>
            <w:r>
              <w:t>产出指标</w:t>
            </w:r>
          </w:p>
        </w:tc>
        <w:tc>
          <w:tcPr>
            <w:tcW w:w="2268" w:type="dxa"/>
            <w:vAlign w:val="center"/>
          </w:tcPr>
          <w:p w14:paraId="2850B43D">
            <w:pPr>
              <w:pStyle w:val="12"/>
            </w:pPr>
            <w:r>
              <w:t>数量指标</w:t>
            </w:r>
          </w:p>
        </w:tc>
        <w:tc>
          <w:tcPr>
            <w:tcW w:w="2835" w:type="dxa"/>
            <w:vAlign w:val="center"/>
          </w:tcPr>
          <w:p w14:paraId="3602430D">
            <w:pPr>
              <w:pStyle w:val="12"/>
            </w:pPr>
            <w:r>
              <w:t>适龄在校生</w:t>
            </w:r>
          </w:p>
        </w:tc>
        <w:tc>
          <w:tcPr>
            <w:tcW w:w="5386" w:type="dxa"/>
            <w:vAlign w:val="center"/>
          </w:tcPr>
          <w:p w14:paraId="00D7E309">
            <w:pPr>
              <w:pStyle w:val="12"/>
            </w:pPr>
            <w:r>
              <w:t>适龄在校就读学生人数</w:t>
            </w:r>
          </w:p>
        </w:tc>
        <w:tc>
          <w:tcPr>
            <w:tcW w:w="2268" w:type="dxa"/>
            <w:vAlign w:val="center"/>
          </w:tcPr>
          <w:p w14:paraId="6DB54ADF">
            <w:pPr>
              <w:pStyle w:val="12"/>
            </w:pPr>
            <w:r>
              <w:t>1193人</w:t>
            </w:r>
          </w:p>
        </w:tc>
        <w:tc>
          <w:tcPr>
            <w:tcW w:w="1276" w:type="dxa"/>
            <w:vAlign w:val="center"/>
          </w:tcPr>
          <w:p w14:paraId="61BFF90E">
            <w:pPr>
              <w:pStyle w:val="12"/>
            </w:pPr>
            <w:r>
              <w:t>城乡义务教育公用经费管理办法</w:t>
            </w:r>
          </w:p>
        </w:tc>
      </w:tr>
      <w:tr w14:paraId="79A8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69FF0"/>
        </w:tc>
        <w:tc>
          <w:tcPr>
            <w:tcW w:w="2268" w:type="dxa"/>
            <w:vAlign w:val="center"/>
          </w:tcPr>
          <w:p w14:paraId="508AD9D3">
            <w:pPr>
              <w:pStyle w:val="12"/>
            </w:pPr>
            <w:r>
              <w:t>质量指标</w:t>
            </w:r>
          </w:p>
        </w:tc>
        <w:tc>
          <w:tcPr>
            <w:tcW w:w="2835" w:type="dxa"/>
            <w:vAlign w:val="center"/>
          </w:tcPr>
          <w:p w14:paraId="22D117C1">
            <w:pPr>
              <w:pStyle w:val="12"/>
            </w:pPr>
            <w:r>
              <w:t>预算控制率</w:t>
            </w:r>
          </w:p>
        </w:tc>
        <w:tc>
          <w:tcPr>
            <w:tcW w:w="5386" w:type="dxa"/>
            <w:vAlign w:val="center"/>
          </w:tcPr>
          <w:p w14:paraId="0258B839">
            <w:pPr>
              <w:pStyle w:val="12"/>
            </w:pPr>
            <w:r>
              <w:t>预算执行率</w:t>
            </w:r>
          </w:p>
        </w:tc>
        <w:tc>
          <w:tcPr>
            <w:tcW w:w="2268" w:type="dxa"/>
            <w:vAlign w:val="center"/>
          </w:tcPr>
          <w:p w14:paraId="4CFD5AF3">
            <w:pPr>
              <w:pStyle w:val="12"/>
            </w:pPr>
            <w:r>
              <w:t>≥95%</w:t>
            </w:r>
          </w:p>
        </w:tc>
        <w:tc>
          <w:tcPr>
            <w:tcW w:w="1276" w:type="dxa"/>
            <w:vAlign w:val="center"/>
          </w:tcPr>
          <w:p w14:paraId="3B775F30">
            <w:pPr>
              <w:pStyle w:val="12"/>
            </w:pPr>
            <w:r>
              <w:t>城乡义务教育公用经费管理办法</w:t>
            </w:r>
          </w:p>
        </w:tc>
      </w:tr>
      <w:tr w14:paraId="53F4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CD3F3"/>
        </w:tc>
        <w:tc>
          <w:tcPr>
            <w:tcW w:w="2268" w:type="dxa"/>
            <w:vAlign w:val="center"/>
          </w:tcPr>
          <w:p w14:paraId="52B17862">
            <w:pPr>
              <w:pStyle w:val="12"/>
            </w:pPr>
            <w:r>
              <w:t>时效指标</w:t>
            </w:r>
          </w:p>
        </w:tc>
        <w:tc>
          <w:tcPr>
            <w:tcW w:w="2835" w:type="dxa"/>
            <w:vAlign w:val="center"/>
          </w:tcPr>
          <w:p w14:paraId="6D4F71FE">
            <w:pPr>
              <w:pStyle w:val="12"/>
            </w:pPr>
            <w:r>
              <w:t>资金支付率</w:t>
            </w:r>
          </w:p>
        </w:tc>
        <w:tc>
          <w:tcPr>
            <w:tcW w:w="5386" w:type="dxa"/>
            <w:vAlign w:val="center"/>
          </w:tcPr>
          <w:p w14:paraId="548C5220">
            <w:pPr>
              <w:pStyle w:val="12"/>
            </w:pPr>
            <w:r>
              <w:t>按照序时进度完成资金支付</w:t>
            </w:r>
          </w:p>
        </w:tc>
        <w:tc>
          <w:tcPr>
            <w:tcW w:w="2268" w:type="dxa"/>
            <w:vAlign w:val="center"/>
          </w:tcPr>
          <w:p w14:paraId="44D262EF">
            <w:pPr>
              <w:pStyle w:val="12"/>
            </w:pPr>
            <w:r>
              <w:t>100%</w:t>
            </w:r>
          </w:p>
        </w:tc>
        <w:tc>
          <w:tcPr>
            <w:tcW w:w="1276" w:type="dxa"/>
            <w:vAlign w:val="center"/>
          </w:tcPr>
          <w:p w14:paraId="46451B11">
            <w:pPr>
              <w:pStyle w:val="12"/>
            </w:pPr>
            <w:r>
              <w:t>城乡义务教育公用经费管理办法</w:t>
            </w:r>
          </w:p>
        </w:tc>
      </w:tr>
      <w:tr w14:paraId="09AD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ED52D"/>
        </w:tc>
        <w:tc>
          <w:tcPr>
            <w:tcW w:w="2268" w:type="dxa"/>
            <w:vAlign w:val="center"/>
          </w:tcPr>
          <w:p w14:paraId="54B22D5F">
            <w:pPr>
              <w:pStyle w:val="12"/>
            </w:pPr>
            <w:r>
              <w:t>成本指标</w:t>
            </w:r>
          </w:p>
        </w:tc>
        <w:tc>
          <w:tcPr>
            <w:tcW w:w="2835" w:type="dxa"/>
            <w:vAlign w:val="center"/>
          </w:tcPr>
          <w:p w14:paraId="1B5AB062">
            <w:pPr>
              <w:pStyle w:val="12"/>
            </w:pPr>
            <w:r>
              <w:t>生均拨款标准</w:t>
            </w:r>
          </w:p>
        </w:tc>
        <w:tc>
          <w:tcPr>
            <w:tcW w:w="5386" w:type="dxa"/>
            <w:vAlign w:val="center"/>
          </w:tcPr>
          <w:p w14:paraId="4E03B193">
            <w:pPr>
              <w:pStyle w:val="12"/>
            </w:pPr>
            <w:r>
              <w:t>初中：（基本标准940元、寄宿生300元、取暖费120元）/生/学年；随班就读学生：标准7000元/生/学年）</w:t>
            </w:r>
          </w:p>
        </w:tc>
        <w:tc>
          <w:tcPr>
            <w:tcW w:w="2268" w:type="dxa"/>
            <w:vAlign w:val="center"/>
          </w:tcPr>
          <w:p w14:paraId="06DAD686">
            <w:pPr>
              <w:pStyle w:val="12"/>
            </w:pPr>
            <w:r>
              <w:t>1360元</w:t>
            </w:r>
          </w:p>
        </w:tc>
        <w:tc>
          <w:tcPr>
            <w:tcW w:w="1276" w:type="dxa"/>
            <w:vAlign w:val="center"/>
          </w:tcPr>
          <w:p w14:paraId="27777613">
            <w:pPr>
              <w:pStyle w:val="12"/>
            </w:pPr>
            <w:r>
              <w:t>城乡义务教育公用经费管理办法</w:t>
            </w:r>
          </w:p>
        </w:tc>
      </w:tr>
      <w:tr w14:paraId="7CDE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AA642">
            <w:pPr>
              <w:pStyle w:val="13"/>
            </w:pPr>
            <w:r>
              <w:t>效益指标</w:t>
            </w:r>
          </w:p>
        </w:tc>
        <w:tc>
          <w:tcPr>
            <w:tcW w:w="2268" w:type="dxa"/>
            <w:vAlign w:val="center"/>
          </w:tcPr>
          <w:p w14:paraId="5B5CD5E6">
            <w:pPr>
              <w:pStyle w:val="12"/>
            </w:pPr>
            <w:r>
              <w:t>可持续影响指标</w:t>
            </w:r>
          </w:p>
        </w:tc>
        <w:tc>
          <w:tcPr>
            <w:tcW w:w="2835" w:type="dxa"/>
            <w:vAlign w:val="center"/>
          </w:tcPr>
          <w:p w14:paraId="22EE6356">
            <w:pPr>
              <w:pStyle w:val="12"/>
            </w:pPr>
            <w:r>
              <w:t>学校日常运转正常</w:t>
            </w:r>
          </w:p>
        </w:tc>
        <w:tc>
          <w:tcPr>
            <w:tcW w:w="5386" w:type="dxa"/>
            <w:vAlign w:val="center"/>
          </w:tcPr>
          <w:p w14:paraId="34484CFD">
            <w:pPr>
              <w:pStyle w:val="12"/>
            </w:pPr>
            <w:r>
              <w:t>学生受教育年限</w:t>
            </w:r>
          </w:p>
        </w:tc>
        <w:tc>
          <w:tcPr>
            <w:tcW w:w="2268" w:type="dxa"/>
            <w:vAlign w:val="center"/>
          </w:tcPr>
          <w:p w14:paraId="3B5A13FC">
            <w:pPr>
              <w:pStyle w:val="12"/>
            </w:pPr>
            <w:r>
              <w:t>3年</w:t>
            </w:r>
          </w:p>
        </w:tc>
        <w:tc>
          <w:tcPr>
            <w:tcW w:w="1276" w:type="dxa"/>
            <w:vAlign w:val="center"/>
          </w:tcPr>
          <w:p w14:paraId="37154E17">
            <w:pPr>
              <w:pStyle w:val="12"/>
            </w:pPr>
            <w:r>
              <w:t>城乡义务教育公用经费管理办法</w:t>
            </w:r>
          </w:p>
        </w:tc>
      </w:tr>
      <w:tr w14:paraId="5674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E964A">
            <w:pPr>
              <w:pStyle w:val="13"/>
            </w:pPr>
            <w:r>
              <w:t>满意度指标</w:t>
            </w:r>
          </w:p>
        </w:tc>
        <w:tc>
          <w:tcPr>
            <w:tcW w:w="2268" w:type="dxa"/>
            <w:vAlign w:val="center"/>
          </w:tcPr>
          <w:p w14:paraId="5697462F">
            <w:pPr>
              <w:pStyle w:val="12"/>
            </w:pPr>
            <w:r>
              <w:t>服务对象满意度指标</w:t>
            </w:r>
          </w:p>
        </w:tc>
        <w:tc>
          <w:tcPr>
            <w:tcW w:w="2835" w:type="dxa"/>
            <w:vAlign w:val="center"/>
          </w:tcPr>
          <w:p w14:paraId="40B5AB6C">
            <w:pPr>
              <w:pStyle w:val="12"/>
            </w:pPr>
            <w:r>
              <w:t>服务对象满意度</w:t>
            </w:r>
          </w:p>
        </w:tc>
        <w:tc>
          <w:tcPr>
            <w:tcW w:w="5386" w:type="dxa"/>
            <w:vAlign w:val="center"/>
          </w:tcPr>
          <w:p w14:paraId="7DAC08B2">
            <w:pPr>
              <w:pStyle w:val="12"/>
            </w:pPr>
            <w:r>
              <w:t>学校老师和学生满意度</w:t>
            </w:r>
          </w:p>
        </w:tc>
        <w:tc>
          <w:tcPr>
            <w:tcW w:w="2268" w:type="dxa"/>
            <w:vAlign w:val="center"/>
          </w:tcPr>
          <w:p w14:paraId="478EB515">
            <w:pPr>
              <w:pStyle w:val="12"/>
            </w:pPr>
            <w:r>
              <w:t>≥95%</w:t>
            </w:r>
          </w:p>
        </w:tc>
        <w:tc>
          <w:tcPr>
            <w:tcW w:w="1276" w:type="dxa"/>
            <w:vAlign w:val="center"/>
          </w:tcPr>
          <w:p w14:paraId="38699C80">
            <w:pPr>
              <w:pStyle w:val="12"/>
            </w:pPr>
            <w:r>
              <w:t>调查问卷</w:t>
            </w:r>
          </w:p>
        </w:tc>
      </w:tr>
    </w:tbl>
    <w:p w14:paraId="5F0587E5">
      <w:pPr>
        <w:sectPr>
          <w:pgSz w:w="16840" w:h="11900" w:orient="landscape"/>
          <w:pgMar w:top="1361" w:right="1020" w:bottom="1134" w:left="1020" w:header="720" w:footer="720" w:gutter="0"/>
          <w:cols w:space="720" w:num="1"/>
        </w:sectPr>
      </w:pPr>
    </w:p>
    <w:p w14:paraId="538ADD23">
      <w:pPr>
        <w:spacing w:before="10" w:after="10" w:line="240" w:lineRule="auto"/>
        <w:ind w:firstLine="640"/>
        <w:jc w:val="left"/>
        <w:outlineLvl w:val="5"/>
      </w:pPr>
      <w:r>
        <w:rPr>
          <w:rFonts w:ascii="黑体" w:hAnsi="黑体" w:eastAsia="黑体" w:cs="黑体"/>
          <w:color w:val="000000"/>
          <w:sz w:val="32"/>
        </w:rPr>
        <w:t>六、政府采购预算情况</w:t>
      </w:r>
    </w:p>
    <w:p w14:paraId="5B7F869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55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A31265">
            <w:pPr>
              <w:pStyle w:val="9"/>
            </w:pPr>
            <w:r>
              <w:t>360032隆尧县双碑中学</w:t>
            </w:r>
          </w:p>
        </w:tc>
        <w:tc>
          <w:tcPr>
            <w:tcW w:w="8676" w:type="dxa"/>
            <w:gridSpan w:val="9"/>
            <w:tcBorders>
              <w:top w:val="single" w:color="FFFFFF" w:sz="6" w:space="0"/>
              <w:left w:val="single" w:color="FFFFFF" w:sz="6" w:space="0"/>
              <w:right w:val="single" w:color="FFFFFF" w:sz="6" w:space="0"/>
            </w:tcBorders>
            <w:vAlign w:val="center"/>
          </w:tcPr>
          <w:p w14:paraId="04822C95">
            <w:pPr>
              <w:pStyle w:val="21"/>
            </w:pPr>
            <w:r>
              <w:t>单位：万元</w:t>
            </w:r>
          </w:p>
        </w:tc>
      </w:tr>
      <w:tr w14:paraId="7DE9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04B762">
            <w:pPr>
              <w:pStyle w:val="10"/>
            </w:pPr>
            <w:r>
              <w:t>政府采购项目来源</w:t>
            </w:r>
          </w:p>
        </w:tc>
        <w:tc>
          <w:tcPr>
            <w:tcW w:w="1134" w:type="dxa"/>
            <w:vMerge w:val="restart"/>
            <w:vAlign w:val="center"/>
          </w:tcPr>
          <w:p w14:paraId="72B37972">
            <w:pPr>
              <w:pStyle w:val="10"/>
            </w:pPr>
            <w:r>
              <w:t>采购物品名称</w:t>
            </w:r>
          </w:p>
        </w:tc>
        <w:tc>
          <w:tcPr>
            <w:tcW w:w="1134" w:type="dxa"/>
            <w:vMerge w:val="restart"/>
            <w:vAlign w:val="center"/>
          </w:tcPr>
          <w:p w14:paraId="4D0CDE46">
            <w:pPr>
              <w:pStyle w:val="10"/>
            </w:pPr>
            <w:r>
              <w:t>政府采购目录序号</w:t>
            </w:r>
          </w:p>
        </w:tc>
        <w:tc>
          <w:tcPr>
            <w:tcW w:w="709" w:type="dxa"/>
            <w:vMerge w:val="restart"/>
            <w:vAlign w:val="center"/>
          </w:tcPr>
          <w:p w14:paraId="0AF297E6">
            <w:pPr>
              <w:pStyle w:val="10"/>
            </w:pPr>
            <w:r>
              <w:t>计量  单位</w:t>
            </w:r>
          </w:p>
        </w:tc>
        <w:tc>
          <w:tcPr>
            <w:tcW w:w="850" w:type="dxa"/>
            <w:vMerge w:val="restart"/>
            <w:vAlign w:val="center"/>
          </w:tcPr>
          <w:p w14:paraId="3B13B605">
            <w:pPr>
              <w:pStyle w:val="10"/>
            </w:pPr>
            <w:r>
              <w:t>数量</w:t>
            </w:r>
          </w:p>
        </w:tc>
        <w:tc>
          <w:tcPr>
            <w:tcW w:w="850" w:type="dxa"/>
            <w:vMerge w:val="restart"/>
            <w:vAlign w:val="center"/>
          </w:tcPr>
          <w:p w14:paraId="3DC56488">
            <w:pPr>
              <w:pStyle w:val="10"/>
            </w:pPr>
            <w:r>
              <w:t>单价</w:t>
            </w:r>
          </w:p>
        </w:tc>
        <w:tc>
          <w:tcPr>
            <w:tcW w:w="7712" w:type="dxa"/>
            <w:gridSpan w:val="8"/>
            <w:vAlign w:val="center"/>
          </w:tcPr>
          <w:p w14:paraId="38E443D6">
            <w:pPr>
              <w:pStyle w:val="10"/>
            </w:pPr>
            <w:r>
              <w:t>政府采购金额（当年部门预算安排资金）</w:t>
            </w:r>
          </w:p>
        </w:tc>
        <w:tc>
          <w:tcPr>
            <w:tcW w:w="964" w:type="dxa"/>
            <w:vMerge w:val="restart"/>
            <w:vAlign w:val="center"/>
          </w:tcPr>
          <w:p w14:paraId="71368C4D">
            <w:pPr>
              <w:pStyle w:val="10"/>
            </w:pPr>
            <w:r>
              <w:t>2026年  预留中  小微企  业份额</w:t>
            </w:r>
          </w:p>
        </w:tc>
      </w:tr>
      <w:tr w14:paraId="76E0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C25C24">
            <w:pPr>
              <w:pStyle w:val="10"/>
            </w:pPr>
            <w:r>
              <w:t>项目名称</w:t>
            </w:r>
          </w:p>
        </w:tc>
        <w:tc>
          <w:tcPr>
            <w:tcW w:w="964" w:type="dxa"/>
            <w:vAlign w:val="center"/>
          </w:tcPr>
          <w:p w14:paraId="6DBE03FB">
            <w:pPr>
              <w:pStyle w:val="10"/>
            </w:pPr>
            <w:r>
              <w:t>预算    资金</w:t>
            </w:r>
          </w:p>
        </w:tc>
        <w:tc>
          <w:tcPr>
            <w:tcW w:w="1134" w:type="dxa"/>
            <w:vMerge w:val="continue"/>
          </w:tcPr>
          <w:p w14:paraId="072122D4"/>
        </w:tc>
        <w:tc>
          <w:tcPr>
            <w:tcW w:w="1134" w:type="dxa"/>
            <w:vMerge w:val="continue"/>
          </w:tcPr>
          <w:p w14:paraId="0FE6A9B0"/>
        </w:tc>
        <w:tc>
          <w:tcPr>
            <w:tcW w:w="709" w:type="dxa"/>
            <w:vMerge w:val="continue"/>
          </w:tcPr>
          <w:p w14:paraId="38583646"/>
        </w:tc>
        <w:tc>
          <w:tcPr>
            <w:tcW w:w="850" w:type="dxa"/>
            <w:vMerge w:val="continue"/>
          </w:tcPr>
          <w:p w14:paraId="7BE27D86"/>
        </w:tc>
        <w:tc>
          <w:tcPr>
            <w:tcW w:w="850" w:type="dxa"/>
            <w:vMerge w:val="continue"/>
          </w:tcPr>
          <w:p w14:paraId="21452E0C"/>
        </w:tc>
        <w:tc>
          <w:tcPr>
            <w:tcW w:w="964" w:type="dxa"/>
            <w:vAlign w:val="center"/>
          </w:tcPr>
          <w:p w14:paraId="4FF8068D">
            <w:pPr>
              <w:pStyle w:val="10"/>
            </w:pPr>
            <w:r>
              <w:t>合计</w:t>
            </w:r>
          </w:p>
        </w:tc>
        <w:tc>
          <w:tcPr>
            <w:tcW w:w="964" w:type="dxa"/>
            <w:vAlign w:val="center"/>
          </w:tcPr>
          <w:p w14:paraId="37FBA72D">
            <w:pPr>
              <w:pStyle w:val="10"/>
            </w:pPr>
            <w:r>
              <w:t>一般公共预算拨款</w:t>
            </w:r>
          </w:p>
        </w:tc>
        <w:tc>
          <w:tcPr>
            <w:tcW w:w="964" w:type="dxa"/>
            <w:vAlign w:val="center"/>
          </w:tcPr>
          <w:p w14:paraId="24DC6CE3">
            <w:pPr>
              <w:pStyle w:val="10"/>
            </w:pPr>
            <w:r>
              <w:t>基金预算拨款</w:t>
            </w:r>
          </w:p>
        </w:tc>
        <w:tc>
          <w:tcPr>
            <w:tcW w:w="964" w:type="dxa"/>
            <w:vAlign w:val="center"/>
          </w:tcPr>
          <w:p w14:paraId="5CD0A51D">
            <w:pPr>
              <w:pStyle w:val="10"/>
            </w:pPr>
            <w:r>
              <w:t>国有资本经营预算拨款</w:t>
            </w:r>
          </w:p>
        </w:tc>
        <w:tc>
          <w:tcPr>
            <w:tcW w:w="964" w:type="dxa"/>
            <w:vAlign w:val="center"/>
          </w:tcPr>
          <w:p w14:paraId="0DEF32BF">
            <w:pPr>
              <w:pStyle w:val="10"/>
            </w:pPr>
            <w:r>
              <w:t>财政专户核拨</w:t>
            </w:r>
          </w:p>
        </w:tc>
        <w:tc>
          <w:tcPr>
            <w:tcW w:w="964" w:type="dxa"/>
            <w:vAlign w:val="center"/>
          </w:tcPr>
          <w:p w14:paraId="31167AC1">
            <w:pPr>
              <w:pStyle w:val="10"/>
            </w:pPr>
            <w:r>
              <w:t>单位    资金</w:t>
            </w:r>
          </w:p>
        </w:tc>
        <w:tc>
          <w:tcPr>
            <w:tcW w:w="964" w:type="dxa"/>
            <w:vAlign w:val="center"/>
          </w:tcPr>
          <w:p w14:paraId="0AE52540">
            <w:pPr>
              <w:pStyle w:val="10"/>
            </w:pPr>
            <w:r>
              <w:t>财政拨款结转</w:t>
            </w:r>
          </w:p>
        </w:tc>
        <w:tc>
          <w:tcPr>
            <w:tcW w:w="964" w:type="dxa"/>
            <w:vAlign w:val="center"/>
          </w:tcPr>
          <w:p w14:paraId="15014D75">
            <w:pPr>
              <w:pStyle w:val="10"/>
            </w:pPr>
            <w:r>
              <w:t>非财政拨款结余</w:t>
            </w:r>
          </w:p>
        </w:tc>
        <w:tc>
          <w:tcPr>
            <w:tcW w:w="964" w:type="dxa"/>
            <w:vMerge w:val="continue"/>
          </w:tcPr>
          <w:p w14:paraId="625B47D0"/>
        </w:tc>
      </w:tr>
      <w:tr w14:paraId="30F4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82DE08">
            <w:pPr>
              <w:pStyle w:val="14"/>
            </w:pPr>
            <w:r>
              <w:t>合  计</w:t>
            </w:r>
          </w:p>
        </w:tc>
        <w:tc>
          <w:tcPr>
            <w:tcW w:w="964" w:type="dxa"/>
            <w:vAlign w:val="center"/>
          </w:tcPr>
          <w:p w14:paraId="739CECE2">
            <w:pPr>
              <w:pStyle w:val="15"/>
            </w:pPr>
          </w:p>
        </w:tc>
        <w:tc>
          <w:tcPr>
            <w:tcW w:w="1134" w:type="dxa"/>
            <w:vAlign w:val="center"/>
          </w:tcPr>
          <w:p w14:paraId="46D06FE7">
            <w:pPr>
              <w:pStyle w:val="16"/>
            </w:pPr>
          </w:p>
        </w:tc>
        <w:tc>
          <w:tcPr>
            <w:tcW w:w="1134" w:type="dxa"/>
            <w:vAlign w:val="center"/>
          </w:tcPr>
          <w:p w14:paraId="0CE995E3">
            <w:pPr>
              <w:pStyle w:val="16"/>
            </w:pPr>
          </w:p>
        </w:tc>
        <w:tc>
          <w:tcPr>
            <w:tcW w:w="709" w:type="dxa"/>
            <w:vAlign w:val="center"/>
          </w:tcPr>
          <w:p w14:paraId="620FE90E">
            <w:pPr>
              <w:pStyle w:val="14"/>
            </w:pPr>
          </w:p>
        </w:tc>
        <w:tc>
          <w:tcPr>
            <w:tcW w:w="850" w:type="dxa"/>
            <w:vAlign w:val="center"/>
          </w:tcPr>
          <w:p w14:paraId="47F0BDB2">
            <w:pPr>
              <w:pStyle w:val="15"/>
            </w:pPr>
          </w:p>
        </w:tc>
        <w:tc>
          <w:tcPr>
            <w:tcW w:w="850" w:type="dxa"/>
            <w:vAlign w:val="center"/>
          </w:tcPr>
          <w:p w14:paraId="0DE65C1B">
            <w:pPr>
              <w:pStyle w:val="15"/>
            </w:pPr>
          </w:p>
        </w:tc>
        <w:tc>
          <w:tcPr>
            <w:tcW w:w="964" w:type="dxa"/>
            <w:vAlign w:val="center"/>
          </w:tcPr>
          <w:p w14:paraId="15BA805C">
            <w:pPr>
              <w:pStyle w:val="15"/>
            </w:pPr>
            <w:r>
              <w:t>0.86</w:t>
            </w:r>
          </w:p>
        </w:tc>
        <w:tc>
          <w:tcPr>
            <w:tcW w:w="964" w:type="dxa"/>
            <w:vAlign w:val="center"/>
          </w:tcPr>
          <w:p w14:paraId="0D1AA7CA">
            <w:pPr>
              <w:pStyle w:val="15"/>
            </w:pPr>
            <w:r>
              <w:t>0.86</w:t>
            </w:r>
          </w:p>
        </w:tc>
        <w:tc>
          <w:tcPr>
            <w:tcW w:w="964" w:type="dxa"/>
            <w:vAlign w:val="center"/>
          </w:tcPr>
          <w:p w14:paraId="785F1B9A">
            <w:pPr>
              <w:pStyle w:val="15"/>
            </w:pPr>
          </w:p>
        </w:tc>
        <w:tc>
          <w:tcPr>
            <w:tcW w:w="964" w:type="dxa"/>
            <w:vAlign w:val="center"/>
          </w:tcPr>
          <w:p w14:paraId="60E010F1">
            <w:pPr>
              <w:pStyle w:val="15"/>
            </w:pPr>
          </w:p>
        </w:tc>
        <w:tc>
          <w:tcPr>
            <w:tcW w:w="964" w:type="dxa"/>
            <w:vAlign w:val="center"/>
          </w:tcPr>
          <w:p w14:paraId="2433B1E1">
            <w:pPr>
              <w:pStyle w:val="15"/>
            </w:pPr>
          </w:p>
        </w:tc>
        <w:tc>
          <w:tcPr>
            <w:tcW w:w="964" w:type="dxa"/>
            <w:vAlign w:val="center"/>
          </w:tcPr>
          <w:p w14:paraId="454C24A4">
            <w:pPr>
              <w:pStyle w:val="15"/>
            </w:pPr>
          </w:p>
        </w:tc>
        <w:tc>
          <w:tcPr>
            <w:tcW w:w="964" w:type="dxa"/>
            <w:vAlign w:val="center"/>
          </w:tcPr>
          <w:p w14:paraId="6F6E648B">
            <w:pPr>
              <w:pStyle w:val="15"/>
            </w:pPr>
          </w:p>
        </w:tc>
        <w:tc>
          <w:tcPr>
            <w:tcW w:w="964" w:type="dxa"/>
            <w:vAlign w:val="center"/>
          </w:tcPr>
          <w:p w14:paraId="43ADA247">
            <w:pPr>
              <w:pStyle w:val="15"/>
            </w:pPr>
          </w:p>
        </w:tc>
        <w:tc>
          <w:tcPr>
            <w:tcW w:w="964" w:type="dxa"/>
            <w:vAlign w:val="center"/>
          </w:tcPr>
          <w:p w14:paraId="3427F474">
            <w:pPr>
              <w:pStyle w:val="15"/>
            </w:pPr>
            <w:r>
              <w:t>0.86</w:t>
            </w:r>
          </w:p>
        </w:tc>
      </w:tr>
      <w:tr w14:paraId="4BEF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D45AAA">
            <w:pPr>
              <w:pStyle w:val="14"/>
            </w:pPr>
            <w:r>
              <w:t>隆尧县双碑中学小计</w:t>
            </w:r>
          </w:p>
        </w:tc>
        <w:tc>
          <w:tcPr>
            <w:tcW w:w="964" w:type="dxa"/>
            <w:vAlign w:val="center"/>
          </w:tcPr>
          <w:p w14:paraId="4E266A54">
            <w:pPr>
              <w:pStyle w:val="15"/>
            </w:pPr>
          </w:p>
        </w:tc>
        <w:tc>
          <w:tcPr>
            <w:tcW w:w="1134" w:type="dxa"/>
            <w:vAlign w:val="center"/>
          </w:tcPr>
          <w:p w14:paraId="5D382E91">
            <w:pPr>
              <w:pStyle w:val="16"/>
            </w:pPr>
          </w:p>
        </w:tc>
        <w:tc>
          <w:tcPr>
            <w:tcW w:w="1134" w:type="dxa"/>
            <w:vAlign w:val="center"/>
          </w:tcPr>
          <w:p w14:paraId="7F477872">
            <w:pPr>
              <w:pStyle w:val="16"/>
            </w:pPr>
          </w:p>
        </w:tc>
        <w:tc>
          <w:tcPr>
            <w:tcW w:w="709" w:type="dxa"/>
            <w:vAlign w:val="center"/>
          </w:tcPr>
          <w:p w14:paraId="2C32494C">
            <w:pPr>
              <w:pStyle w:val="14"/>
            </w:pPr>
          </w:p>
        </w:tc>
        <w:tc>
          <w:tcPr>
            <w:tcW w:w="850" w:type="dxa"/>
            <w:vAlign w:val="center"/>
          </w:tcPr>
          <w:p w14:paraId="257A4436">
            <w:pPr>
              <w:pStyle w:val="15"/>
            </w:pPr>
          </w:p>
        </w:tc>
        <w:tc>
          <w:tcPr>
            <w:tcW w:w="850" w:type="dxa"/>
            <w:vAlign w:val="center"/>
          </w:tcPr>
          <w:p w14:paraId="14D14970">
            <w:pPr>
              <w:pStyle w:val="15"/>
            </w:pPr>
          </w:p>
        </w:tc>
        <w:tc>
          <w:tcPr>
            <w:tcW w:w="964" w:type="dxa"/>
            <w:vAlign w:val="center"/>
          </w:tcPr>
          <w:p w14:paraId="7FE146AB">
            <w:pPr>
              <w:pStyle w:val="15"/>
            </w:pPr>
            <w:r>
              <w:t>0.86</w:t>
            </w:r>
          </w:p>
        </w:tc>
        <w:tc>
          <w:tcPr>
            <w:tcW w:w="964" w:type="dxa"/>
            <w:vAlign w:val="center"/>
          </w:tcPr>
          <w:p w14:paraId="7F9EA0FA">
            <w:pPr>
              <w:pStyle w:val="15"/>
            </w:pPr>
            <w:r>
              <w:t>0.86</w:t>
            </w:r>
          </w:p>
        </w:tc>
        <w:tc>
          <w:tcPr>
            <w:tcW w:w="964" w:type="dxa"/>
            <w:vAlign w:val="center"/>
          </w:tcPr>
          <w:p w14:paraId="30D29568">
            <w:pPr>
              <w:pStyle w:val="15"/>
            </w:pPr>
          </w:p>
        </w:tc>
        <w:tc>
          <w:tcPr>
            <w:tcW w:w="964" w:type="dxa"/>
            <w:vAlign w:val="center"/>
          </w:tcPr>
          <w:p w14:paraId="7CAC0B55">
            <w:pPr>
              <w:pStyle w:val="15"/>
            </w:pPr>
          </w:p>
        </w:tc>
        <w:tc>
          <w:tcPr>
            <w:tcW w:w="964" w:type="dxa"/>
            <w:vAlign w:val="center"/>
          </w:tcPr>
          <w:p w14:paraId="3F9A82D4">
            <w:pPr>
              <w:pStyle w:val="15"/>
            </w:pPr>
          </w:p>
        </w:tc>
        <w:tc>
          <w:tcPr>
            <w:tcW w:w="964" w:type="dxa"/>
            <w:vAlign w:val="center"/>
          </w:tcPr>
          <w:p w14:paraId="1AE3B6FF">
            <w:pPr>
              <w:pStyle w:val="15"/>
            </w:pPr>
          </w:p>
        </w:tc>
        <w:tc>
          <w:tcPr>
            <w:tcW w:w="964" w:type="dxa"/>
            <w:vAlign w:val="center"/>
          </w:tcPr>
          <w:p w14:paraId="33F0A28A">
            <w:pPr>
              <w:pStyle w:val="15"/>
            </w:pPr>
          </w:p>
        </w:tc>
        <w:tc>
          <w:tcPr>
            <w:tcW w:w="964" w:type="dxa"/>
            <w:vAlign w:val="center"/>
          </w:tcPr>
          <w:p w14:paraId="12907F32">
            <w:pPr>
              <w:pStyle w:val="15"/>
            </w:pPr>
          </w:p>
        </w:tc>
        <w:tc>
          <w:tcPr>
            <w:tcW w:w="964" w:type="dxa"/>
            <w:vAlign w:val="center"/>
          </w:tcPr>
          <w:p w14:paraId="6461EDB2">
            <w:pPr>
              <w:pStyle w:val="15"/>
            </w:pPr>
            <w:r>
              <w:t>0.86</w:t>
            </w:r>
          </w:p>
        </w:tc>
      </w:tr>
      <w:tr w14:paraId="16CE2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84C4B4">
            <w:pPr>
              <w:pStyle w:val="12"/>
            </w:pPr>
            <w:r>
              <w:t>冀财教[2025]147号/省级/2026年义教补助经费/双碑中学公用经费</w:t>
            </w:r>
          </w:p>
        </w:tc>
        <w:tc>
          <w:tcPr>
            <w:tcW w:w="964" w:type="dxa"/>
            <w:vAlign w:val="center"/>
          </w:tcPr>
          <w:p w14:paraId="25F05F6D">
            <w:pPr>
              <w:pStyle w:val="11"/>
            </w:pPr>
            <w:r>
              <w:t>53.27</w:t>
            </w:r>
          </w:p>
        </w:tc>
        <w:tc>
          <w:tcPr>
            <w:tcW w:w="1134" w:type="dxa"/>
            <w:vAlign w:val="center"/>
          </w:tcPr>
          <w:p w14:paraId="05F3CE3D">
            <w:pPr>
              <w:pStyle w:val="12"/>
            </w:pPr>
            <w:r>
              <w:t>服务器</w:t>
            </w:r>
          </w:p>
        </w:tc>
        <w:tc>
          <w:tcPr>
            <w:tcW w:w="1134" w:type="dxa"/>
            <w:vAlign w:val="center"/>
          </w:tcPr>
          <w:p w14:paraId="1FBE406D">
            <w:pPr>
              <w:pStyle w:val="12"/>
            </w:pPr>
            <w:r>
              <w:t>A02010104</w:t>
            </w:r>
          </w:p>
        </w:tc>
        <w:tc>
          <w:tcPr>
            <w:tcW w:w="709" w:type="dxa"/>
            <w:vAlign w:val="center"/>
          </w:tcPr>
          <w:p w14:paraId="43CCA5B7">
            <w:pPr>
              <w:pStyle w:val="13"/>
            </w:pPr>
            <w:r>
              <w:t>台</w:t>
            </w:r>
          </w:p>
        </w:tc>
        <w:tc>
          <w:tcPr>
            <w:tcW w:w="850" w:type="dxa"/>
            <w:vAlign w:val="center"/>
          </w:tcPr>
          <w:p w14:paraId="66025D85">
            <w:pPr>
              <w:pStyle w:val="11"/>
            </w:pPr>
            <w:r>
              <w:t>1</w:t>
            </w:r>
          </w:p>
        </w:tc>
        <w:tc>
          <w:tcPr>
            <w:tcW w:w="850" w:type="dxa"/>
            <w:vAlign w:val="center"/>
          </w:tcPr>
          <w:p w14:paraId="01D4F798">
            <w:pPr>
              <w:pStyle w:val="11"/>
            </w:pPr>
            <w:r>
              <w:t>0.20</w:t>
            </w:r>
          </w:p>
        </w:tc>
        <w:tc>
          <w:tcPr>
            <w:tcW w:w="964" w:type="dxa"/>
            <w:vAlign w:val="center"/>
          </w:tcPr>
          <w:p w14:paraId="3A48671A">
            <w:pPr>
              <w:pStyle w:val="11"/>
            </w:pPr>
            <w:r>
              <w:t>0.20</w:t>
            </w:r>
          </w:p>
        </w:tc>
        <w:tc>
          <w:tcPr>
            <w:tcW w:w="964" w:type="dxa"/>
            <w:vAlign w:val="center"/>
          </w:tcPr>
          <w:p w14:paraId="1710733D">
            <w:pPr>
              <w:pStyle w:val="11"/>
            </w:pPr>
            <w:r>
              <w:t>0.20</w:t>
            </w:r>
          </w:p>
        </w:tc>
        <w:tc>
          <w:tcPr>
            <w:tcW w:w="964" w:type="dxa"/>
            <w:vAlign w:val="center"/>
          </w:tcPr>
          <w:p w14:paraId="251DDA81">
            <w:pPr>
              <w:pStyle w:val="11"/>
            </w:pPr>
          </w:p>
        </w:tc>
        <w:tc>
          <w:tcPr>
            <w:tcW w:w="964" w:type="dxa"/>
            <w:vAlign w:val="center"/>
          </w:tcPr>
          <w:p w14:paraId="7F64D725">
            <w:pPr>
              <w:pStyle w:val="11"/>
            </w:pPr>
          </w:p>
        </w:tc>
        <w:tc>
          <w:tcPr>
            <w:tcW w:w="964" w:type="dxa"/>
            <w:vAlign w:val="center"/>
          </w:tcPr>
          <w:p w14:paraId="38351F63">
            <w:pPr>
              <w:pStyle w:val="11"/>
            </w:pPr>
          </w:p>
        </w:tc>
        <w:tc>
          <w:tcPr>
            <w:tcW w:w="964" w:type="dxa"/>
            <w:vAlign w:val="center"/>
          </w:tcPr>
          <w:p w14:paraId="334FD1E3">
            <w:pPr>
              <w:pStyle w:val="11"/>
            </w:pPr>
          </w:p>
        </w:tc>
        <w:tc>
          <w:tcPr>
            <w:tcW w:w="964" w:type="dxa"/>
            <w:vAlign w:val="center"/>
          </w:tcPr>
          <w:p w14:paraId="6CA3F28A">
            <w:pPr>
              <w:pStyle w:val="11"/>
            </w:pPr>
          </w:p>
        </w:tc>
        <w:tc>
          <w:tcPr>
            <w:tcW w:w="964" w:type="dxa"/>
            <w:vAlign w:val="center"/>
          </w:tcPr>
          <w:p w14:paraId="11391F86">
            <w:pPr>
              <w:pStyle w:val="11"/>
            </w:pPr>
          </w:p>
        </w:tc>
        <w:tc>
          <w:tcPr>
            <w:tcW w:w="964" w:type="dxa"/>
            <w:vAlign w:val="center"/>
          </w:tcPr>
          <w:p w14:paraId="67F903C1">
            <w:pPr>
              <w:pStyle w:val="11"/>
            </w:pPr>
            <w:r>
              <w:t>0.20</w:t>
            </w:r>
          </w:p>
        </w:tc>
      </w:tr>
      <w:tr w14:paraId="6927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65F27A">
            <w:pPr>
              <w:pStyle w:val="12"/>
            </w:pPr>
            <w:r>
              <w:t>冀财教[2025]147号/省级/2026年义教补助经费/双碑中学公用经费</w:t>
            </w:r>
          </w:p>
        </w:tc>
        <w:tc>
          <w:tcPr>
            <w:tcW w:w="964" w:type="dxa"/>
            <w:vAlign w:val="center"/>
          </w:tcPr>
          <w:p w14:paraId="444A2835">
            <w:pPr>
              <w:pStyle w:val="11"/>
            </w:pPr>
            <w:r>
              <w:t>53.27</w:t>
            </w:r>
          </w:p>
        </w:tc>
        <w:tc>
          <w:tcPr>
            <w:tcW w:w="1134" w:type="dxa"/>
            <w:vAlign w:val="center"/>
          </w:tcPr>
          <w:p w14:paraId="326A06AE">
            <w:pPr>
              <w:pStyle w:val="12"/>
            </w:pPr>
            <w:r>
              <w:t>投影仪</w:t>
            </w:r>
          </w:p>
        </w:tc>
        <w:tc>
          <w:tcPr>
            <w:tcW w:w="1134" w:type="dxa"/>
            <w:vAlign w:val="center"/>
          </w:tcPr>
          <w:p w14:paraId="075A3BED">
            <w:pPr>
              <w:pStyle w:val="12"/>
            </w:pPr>
            <w:r>
              <w:t>A02020200</w:t>
            </w:r>
          </w:p>
        </w:tc>
        <w:tc>
          <w:tcPr>
            <w:tcW w:w="709" w:type="dxa"/>
            <w:vAlign w:val="center"/>
          </w:tcPr>
          <w:p w14:paraId="2CAEE8FC">
            <w:pPr>
              <w:pStyle w:val="13"/>
            </w:pPr>
            <w:r>
              <w:t>台</w:t>
            </w:r>
          </w:p>
        </w:tc>
        <w:tc>
          <w:tcPr>
            <w:tcW w:w="850" w:type="dxa"/>
            <w:vAlign w:val="center"/>
          </w:tcPr>
          <w:p w14:paraId="67A5ED72">
            <w:pPr>
              <w:pStyle w:val="11"/>
            </w:pPr>
            <w:r>
              <w:t>1</w:t>
            </w:r>
          </w:p>
        </w:tc>
        <w:tc>
          <w:tcPr>
            <w:tcW w:w="850" w:type="dxa"/>
            <w:vAlign w:val="center"/>
          </w:tcPr>
          <w:p w14:paraId="2544BF93">
            <w:pPr>
              <w:pStyle w:val="11"/>
            </w:pPr>
            <w:r>
              <w:t>0.22</w:t>
            </w:r>
          </w:p>
        </w:tc>
        <w:tc>
          <w:tcPr>
            <w:tcW w:w="964" w:type="dxa"/>
            <w:vAlign w:val="center"/>
          </w:tcPr>
          <w:p w14:paraId="43625BCC">
            <w:pPr>
              <w:pStyle w:val="11"/>
            </w:pPr>
            <w:r>
              <w:t>0.22</w:t>
            </w:r>
          </w:p>
        </w:tc>
        <w:tc>
          <w:tcPr>
            <w:tcW w:w="964" w:type="dxa"/>
            <w:vAlign w:val="center"/>
          </w:tcPr>
          <w:p w14:paraId="1B97EEA1">
            <w:pPr>
              <w:pStyle w:val="11"/>
            </w:pPr>
            <w:r>
              <w:t>0.22</w:t>
            </w:r>
          </w:p>
        </w:tc>
        <w:tc>
          <w:tcPr>
            <w:tcW w:w="964" w:type="dxa"/>
            <w:vAlign w:val="center"/>
          </w:tcPr>
          <w:p w14:paraId="6CD33C09">
            <w:pPr>
              <w:pStyle w:val="11"/>
            </w:pPr>
          </w:p>
        </w:tc>
        <w:tc>
          <w:tcPr>
            <w:tcW w:w="964" w:type="dxa"/>
            <w:vAlign w:val="center"/>
          </w:tcPr>
          <w:p w14:paraId="4774C141">
            <w:pPr>
              <w:pStyle w:val="11"/>
            </w:pPr>
          </w:p>
        </w:tc>
        <w:tc>
          <w:tcPr>
            <w:tcW w:w="964" w:type="dxa"/>
            <w:vAlign w:val="center"/>
          </w:tcPr>
          <w:p w14:paraId="702DEF4F">
            <w:pPr>
              <w:pStyle w:val="11"/>
            </w:pPr>
          </w:p>
        </w:tc>
        <w:tc>
          <w:tcPr>
            <w:tcW w:w="964" w:type="dxa"/>
            <w:vAlign w:val="center"/>
          </w:tcPr>
          <w:p w14:paraId="50608537">
            <w:pPr>
              <w:pStyle w:val="11"/>
            </w:pPr>
          </w:p>
        </w:tc>
        <w:tc>
          <w:tcPr>
            <w:tcW w:w="964" w:type="dxa"/>
            <w:vAlign w:val="center"/>
          </w:tcPr>
          <w:p w14:paraId="7CC18C0E">
            <w:pPr>
              <w:pStyle w:val="11"/>
            </w:pPr>
          </w:p>
        </w:tc>
        <w:tc>
          <w:tcPr>
            <w:tcW w:w="964" w:type="dxa"/>
            <w:vAlign w:val="center"/>
          </w:tcPr>
          <w:p w14:paraId="0B152FD2">
            <w:pPr>
              <w:pStyle w:val="11"/>
            </w:pPr>
          </w:p>
        </w:tc>
        <w:tc>
          <w:tcPr>
            <w:tcW w:w="964" w:type="dxa"/>
            <w:vAlign w:val="center"/>
          </w:tcPr>
          <w:p w14:paraId="30F3C129">
            <w:pPr>
              <w:pStyle w:val="11"/>
            </w:pPr>
            <w:r>
              <w:t>0.22</w:t>
            </w:r>
          </w:p>
        </w:tc>
      </w:tr>
      <w:tr w14:paraId="5860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2E6CB8">
            <w:pPr>
              <w:pStyle w:val="12"/>
            </w:pPr>
            <w:r>
              <w:t>冀财教[2025]147号/省级/2026年义教补助经费/双碑中学公用经费</w:t>
            </w:r>
          </w:p>
        </w:tc>
        <w:tc>
          <w:tcPr>
            <w:tcW w:w="964" w:type="dxa"/>
            <w:vAlign w:val="center"/>
          </w:tcPr>
          <w:p w14:paraId="11C68121">
            <w:pPr>
              <w:pStyle w:val="11"/>
            </w:pPr>
            <w:r>
              <w:t>53.27</w:t>
            </w:r>
          </w:p>
        </w:tc>
        <w:tc>
          <w:tcPr>
            <w:tcW w:w="1134" w:type="dxa"/>
            <w:vAlign w:val="center"/>
          </w:tcPr>
          <w:p w14:paraId="087946DC">
            <w:pPr>
              <w:pStyle w:val="12"/>
            </w:pPr>
            <w:r>
              <w:t>LED 显示屏</w:t>
            </w:r>
          </w:p>
        </w:tc>
        <w:tc>
          <w:tcPr>
            <w:tcW w:w="1134" w:type="dxa"/>
            <w:vAlign w:val="center"/>
          </w:tcPr>
          <w:p w14:paraId="7141D8C1">
            <w:pPr>
              <w:pStyle w:val="12"/>
            </w:pPr>
            <w:r>
              <w:t>A02021103</w:t>
            </w:r>
          </w:p>
        </w:tc>
        <w:tc>
          <w:tcPr>
            <w:tcW w:w="709" w:type="dxa"/>
            <w:vAlign w:val="center"/>
          </w:tcPr>
          <w:p w14:paraId="68199337">
            <w:pPr>
              <w:pStyle w:val="13"/>
            </w:pPr>
            <w:r>
              <w:t>台</w:t>
            </w:r>
          </w:p>
        </w:tc>
        <w:tc>
          <w:tcPr>
            <w:tcW w:w="850" w:type="dxa"/>
            <w:vAlign w:val="center"/>
          </w:tcPr>
          <w:p w14:paraId="1F0F55F7">
            <w:pPr>
              <w:pStyle w:val="11"/>
            </w:pPr>
            <w:r>
              <w:t>1</w:t>
            </w:r>
          </w:p>
        </w:tc>
        <w:tc>
          <w:tcPr>
            <w:tcW w:w="850" w:type="dxa"/>
            <w:vAlign w:val="center"/>
          </w:tcPr>
          <w:p w14:paraId="1B961203">
            <w:pPr>
              <w:pStyle w:val="11"/>
            </w:pPr>
            <w:r>
              <w:t>0.44</w:t>
            </w:r>
          </w:p>
        </w:tc>
        <w:tc>
          <w:tcPr>
            <w:tcW w:w="964" w:type="dxa"/>
            <w:vAlign w:val="center"/>
          </w:tcPr>
          <w:p w14:paraId="421CA245">
            <w:pPr>
              <w:pStyle w:val="11"/>
            </w:pPr>
            <w:r>
              <w:t>0.44</w:t>
            </w:r>
          </w:p>
        </w:tc>
        <w:tc>
          <w:tcPr>
            <w:tcW w:w="964" w:type="dxa"/>
            <w:vAlign w:val="center"/>
          </w:tcPr>
          <w:p w14:paraId="0AEBEA3A">
            <w:pPr>
              <w:pStyle w:val="11"/>
            </w:pPr>
            <w:r>
              <w:t>0.44</w:t>
            </w:r>
          </w:p>
        </w:tc>
        <w:tc>
          <w:tcPr>
            <w:tcW w:w="964" w:type="dxa"/>
            <w:vAlign w:val="center"/>
          </w:tcPr>
          <w:p w14:paraId="60B69875">
            <w:pPr>
              <w:pStyle w:val="11"/>
            </w:pPr>
          </w:p>
        </w:tc>
        <w:tc>
          <w:tcPr>
            <w:tcW w:w="964" w:type="dxa"/>
            <w:vAlign w:val="center"/>
          </w:tcPr>
          <w:p w14:paraId="55844742">
            <w:pPr>
              <w:pStyle w:val="11"/>
            </w:pPr>
          </w:p>
        </w:tc>
        <w:tc>
          <w:tcPr>
            <w:tcW w:w="964" w:type="dxa"/>
            <w:vAlign w:val="center"/>
          </w:tcPr>
          <w:p w14:paraId="581E66E4">
            <w:pPr>
              <w:pStyle w:val="11"/>
            </w:pPr>
          </w:p>
        </w:tc>
        <w:tc>
          <w:tcPr>
            <w:tcW w:w="964" w:type="dxa"/>
            <w:vAlign w:val="center"/>
          </w:tcPr>
          <w:p w14:paraId="0E96497D">
            <w:pPr>
              <w:pStyle w:val="11"/>
            </w:pPr>
          </w:p>
        </w:tc>
        <w:tc>
          <w:tcPr>
            <w:tcW w:w="964" w:type="dxa"/>
            <w:vAlign w:val="center"/>
          </w:tcPr>
          <w:p w14:paraId="2123A5DA">
            <w:pPr>
              <w:pStyle w:val="11"/>
            </w:pPr>
          </w:p>
        </w:tc>
        <w:tc>
          <w:tcPr>
            <w:tcW w:w="964" w:type="dxa"/>
            <w:vAlign w:val="center"/>
          </w:tcPr>
          <w:p w14:paraId="4D9D3DCA">
            <w:pPr>
              <w:pStyle w:val="11"/>
            </w:pPr>
          </w:p>
        </w:tc>
        <w:tc>
          <w:tcPr>
            <w:tcW w:w="964" w:type="dxa"/>
            <w:vAlign w:val="center"/>
          </w:tcPr>
          <w:p w14:paraId="3DA49D38">
            <w:pPr>
              <w:pStyle w:val="11"/>
            </w:pPr>
            <w:r>
              <w:t>0.44</w:t>
            </w:r>
          </w:p>
        </w:tc>
      </w:tr>
    </w:tbl>
    <w:p w14:paraId="11D6092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203C1A">
      <w:pPr>
        <w:spacing w:before="0" w:after="0"/>
        <w:ind w:firstLine="640"/>
        <w:jc w:val="left"/>
        <w:outlineLvl w:val="9"/>
      </w:pPr>
      <w:r>
        <w:rPr>
          <w:rFonts w:ascii="Times New Roman" w:hAnsi="Times New Roman" w:eastAsia="方正仿宋_GBK" w:cs="Times New Roman"/>
          <w:color w:val="000000"/>
          <w:sz w:val="32"/>
        </w:rPr>
        <w:t xml:space="preserve"> </w:t>
      </w:r>
    </w:p>
    <w:p w14:paraId="33484EC9">
      <w:pPr>
        <w:spacing w:before="10" w:after="10" w:line="240" w:lineRule="auto"/>
        <w:ind w:firstLine="640"/>
        <w:jc w:val="left"/>
        <w:outlineLvl w:val="5"/>
      </w:pPr>
      <w:r>
        <w:rPr>
          <w:rFonts w:ascii="黑体" w:hAnsi="黑体" w:eastAsia="黑体" w:cs="黑体"/>
          <w:color w:val="000000"/>
          <w:sz w:val="32"/>
        </w:rPr>
        <w:t>七、国有资产信息</w:t>
      </w:r>
    </w:p>
    <w:p w14:paraId="5FA20118">
      <w:pPr>
        <w:spacing w:before="0" w:after="0" w:line="500" w:lineRule="exact"/>
        <w:ind w:firstLine="560"/>
        <w:jc w:val="left"/>
        <w:outlineLvl w:val="9"/>
      </w:pPr>
      <w:r>
        <w:rPr>
          <w:rFonts w:ascii="Times New Roman" w:hAnsi="Times New Roman" w:eastAsia="方正仿宋_GBK" w:cs="Times New Roman"/>
          <w:b w:val="0"/>
          <w:color w:val="000000"/>
          <w:sz w:val="28"/>
        </w:rPr>
        <w:t>隆尧县双碑中学上年末固定资产金额为1790.03万元（详见下表）。本年度拟购置固定资产总额为11.53万元，已按要求列入政府采购预算，详见政府采购预算表。</w:t>
      </w:r>
    </w:p>
    <w:p w14:paraId="1D5D550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60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9D3038">
            <w:pPr>
              <w:pStyle w:val="9"/>
            </w:pPr>
            <w:r>
              <w:t>360032隆尧县双碑中学</w:t>
            </w:r>
          </w:p>
        </w:tc>
        <w:tc>
          <w:tcPr>
            <w:tcW w:w="5670" w:type="dxa"/>
            <w:gridSpan w:val="2"/>
            <w:tcBorders>
              <w:top w:val="single" w:color="FFFFFF" w:sz="6" w:space="0"/>
              <w:left w:val="single" w:color="FFFFFF" w:sz="6" w:space="0"/>
              <w:right w:val="single" w:color="FFFFFF" w:sz="6" w:space="0"/>
            </w:tcBorders>
            <w:vAlign w:val="center"/>
          </w:tcPr>
          <w:p w14:paraId="1899F55A">
            <w:pPr>
              <w:pStyle w:val="7"/>
            </w:pPr>
            <w:r>
              <w:t>截止时间：2025-12-31</w:t>
            </w:r>
          </w:p>
        </w:tc>
      </w:tr>
      <w:tr w14:paraId="4670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1DD066">
            <w:pPr>
              <w:pStyle w:val="10"/>
            </w:pPr>
            <w:r>
              <w:t>项   目</w:t>
            </w:r>
          </w:p>
        </w:tc>
        <w:tc>
          <w:tcPr>
            <w:tcW w:w="2835" w:type="dxa"/>
            <w:vAlign w:val="center"/>
          </w:tcPr>
          <w:p w14:paraId="75FD1152">
            <w:pPr>
              <w:pStyle w:val="10"/>
            </w:pPr>
            <w:r>
              <w:t>数量</w:t>
            </w:r>
          </w:p>
        </w:tc>
        <w:tc>
          <w:tcPr>
            <w:tcW w:w="2835" w:type="dxa"/>
            <w:vAlign w:val="center"/>
          </w:tcPr>
          <w:p w14:paraId="14A0EC98">
            <w:pPr>
              <w:pStyle w:val="10"/>
            </w:pPr>
            <w:r>
              <w:t>价值（金额单位：万元）</w:t>
            </w:r>
          </w:p>
        </w:tc>
      </w:tr>
      <w:tr w14:paraId="385D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5CBF84">
            <w:pPr>
              <w:pStyle w:val="12"/>
            </w:pPr>
            <w:r>
              <w:t>资产总额</w:t>
            </w:r>
          </w:p>
        </w:tc>
        <w:tc>
          <w:tcPr>
            <w:tcW w:w="2835" w:type="dxa"/>
            <w:vAlign w:val="center"/>
          </w:tcPr>
          <w:p w14:paraId="7864643A">
            <w:pPr>
              <w:pStyle w:val="13"/>
            </w:pPr>
          </w:p>
        </w:tc>
        <w:tc>
          <w:tcPr>
            <w:tcW w:w="2835" w:type="dxa"/>
            <w:vAlign w:val="center"/>
          </w:tcPr>
          <w:p w14:paraId="6C11DD7F">
            <w:pPr>
              <w:pStyle w:val="11"/>
            </w:pPr>
            <w:r>
              <w:t>1790.03</w:t>
            </w:r>
          </w:p>
        </w:tc>
      </w:tr>
      <w:tr w14:paraId="00784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5BDB4">
            <w:pPr>
              <w:pStyle w:val="12"/>
            </w:pPr>
            <w:r>
              <w:t>1、房屋（平方米）</w:t>
            </w:r>
          </w:p>
        </w:tc>
        <w:tc>
          <w:tcPr>
            <w:tcW w:w="2835" w:type="dxa"/>
            <w:vAlign w:val="center"/>
          </w:tcPr>
          <w:p w14:paraId="2EF123AB">
            <w:pPr>
              <w:pStyle w:val="13"/>
            </w:pPr>
            <w:r>
              <w:t>13622.56</w:t>
            </w:r>
          </w:p>
        </w:tc>
        <w:tc>
          <w:tcPr>
            <w:tcW w:w="2835" w:type="dxa"/>
            <w:vAlign w:val="center"/>
          </w:tcPr>
          <w:p w14:paraId="13E89184">
            <w:pPr>
              <w:pStyle w:val="11"/>
            </w:pPr>
            <w:r>
              <w:t>1126.81</w:t>
            </w:r>
          </w:p>
        </w:tc>
      </w:tr>
      <w:tr w14:paraId="098D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CD5CB3">
            <w:pPr>
              <w:pStyle w:val="12"/>
            </w:pPr>
            <w:r>
              <w:t>　　其中：办公用房（平方米）</w:t>
            </w:r>
          </w:p>
        </w:tc>
        <w:tc>
          <w:tcPr>
            <w:tcW w:w="2835" w:type="dxa"/>
            <w:vAlign w:val="center"/>
          </w:tcPr>
          <w:p w14:paraId="7F48543F">
            <w:pPr>
              <w:pStyle w:val="13"/>
            </w:pPr>
            <w:r>
              <w:t>260</w:t>
            </w:r>
          </w:p>
        </w:tc>
        <w:tc>
          <w:tcPr>
            <w:tcW w:w="2835" w:type="dxa"/>
            <w:vAlign w:val="center"/>
          </w:tcPr>
          <w:p w14:paraId="459F37D2">
            <w:pPr>
              <w:pStyle w:val="11"/>
            </w:pPr>
            <w:r>
              <w:t>21.51</w:t>
            </w:r>
          </w:p>
        </w:tc>
      </w:tr>
      <w:tr w14:paraId="5903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12D35C">
            <w:pPr>
              <w:pStyle w:val="12"/>
            </w:pPr>
            <w:r>
              <w:t>2、车辆（台、辆）</w:t>
            </w:r>
          </w:p>
        </w:tc>
        <w:tc>
          <w:tcPr>
            <w:tcW w:w="2835" w:type="dxa"/>
            <w:vAlign w:val="center"/>
          </w:tcPr>
          <w:p w14:paraId="010473FF">
            <w:pPr>
              <w:pStyle w:val="13"/>
            </w:pPr>
          </w:p>
        </w:tc>
        <w:tc>
          <w:tcPr>
            <w:tcW w:w="2835" w:type="dxa"/>
            <w:vAlign w:val="center"/>
          </w:tcPr>
          <w:p w14:paraId="12C15D87">
            <w:pPr>
              <w:pStyle w:val="11"/>
            </w:pPr>
          </w:p>
        </w:tc>
      </w:tr>
      <w:tr w14:paraId="1658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AF841">
            <w:pPr>
              <w:pStyle w:val="12"/>
            </w:pPr>
            <w:r>
              <w:t>3、单价在20万元以上的设备</w:t>
            </w:r>
          </w:p>
        </w:tc>
        <w:tc>
          <w:tcPr>
            <w:tcW w:w="2835" w:type="dxa"/>
            <w:vAlign w:val="center"/>
          </w:tcPr>
          <w:p w14:paraId="571E7DEA">
            <w:pPr>
              <w:pStyle w:val="13"/>
            </w:pPr>
          </w:p>
        </w:tc>
        <w:tc>
          <w:tcPr>
            <w:tcW w:w="2835" w:type="dxa"/>
            <w:vAlign w:val="center"/>
          </w:tcPr>
          <w:p w14:paraId="7330D203">
            <w:pPr>
              <w:pStyle w:val="11"/>
            </w:pPr>
          </w:p>
        </w:tc>
      </w:tr>
      <w:tr w14:paraId="5C2B5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50D78D">
            <w:pPr>
              <w:pStyle w:val="12"/>
            </w:pPr>
            <w:r>
              <w:t>4、其他固定资产</w:t>
            </w:r>
          </w:p>
        </w:tc>
        <w:tc>
          <w:tcPr>
            <w:tcW w:w="2835" w:type="dxa"/>
            <w:vAlign w:val="center"/>
          </w:tcPr>
          <w:p w14:paraId="571A8E90">
            <w:pPr>
              <w:pStyle w:val="13"/>
            </w:pPr>
            <w:r>
              <w:t>41504</w:t>
            </w:r>
          </w:p>
        </w:tc>
        <w:tc>
          <w:tcPr>
            <w:tcW w:w="2835" w:type="dxa"/>
            <w:vAlign w:val="center"/>
          </w:tcPr>
          <w:p w14:paraId="46819623">
            <w:pPr>
              <w:pStyle w:val="11"/>
            </w:pPr>
            <w:r>
              <w:t>663.22</w:t>
            </w:r>
          </w:p>
        </w:tc>
      </w:tr>
    </w:tbl>
    <w:p w14:paraId="78D9F399">
      <w:pPr>
        <w:spacing w:before="0" w:after="0"/>
        <w:ind w:firstLine="640"/>
        <w:jc w:val="left"/>
        <w:outlineLvl w:val="9"/>
      </w:pPr>
      <w:r>
        <w:rPr>
          <w:rFonts w:ascii="Times New Roman" w:hAnsi="Times New Roman" w:eastAsia="方正仿宋_GBK" w:cs="Times New Roman"/>
          <w:color w:val="000000"/>
          <w:sz w:val="32"/>
        </w:rPr>
        <w:t xml:space="preserve"> </w:t>
      </w:r>
    </w:p>
    <w:p w14:paraId="30DCC81C">
      <w:pPr>
        <w:spacing w:before="10" w:after="10" w:line="240" w:lineRule="auto"/>
        <w:ind w:firstLine="640"/>
        <w:jc w:val="left"/>
        <w:outlineLvl w:val="5"/>
      </w:pPr>
      <w:r>
        <w:rPr>
          <w:rFonts w:ascii="黑体" w:hAnsi="黑体" w:eastAsia="黑体" w:cs="黑体"/>
          <w:color w:val="000000"/>
          <w:sz w:val="32"/>
        </w:rPr>
        <w:t>八、名词解释</w:t>
      </w:r>
    </w:p>
    <w:p w14:paraId="0BA7EA0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D87F1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926AD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D9AD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4D9CD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9A238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884AC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336AF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BD21B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B524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9FD815">
      <w:pPr>
        <w:spacing w:before="10" w:after="10" w:line="240" w:lineRule="auto"/>
        <w:ind w:firstLine="640"/>
        <w:jc w:val="left"/>
        <w:outlineLvl w:val="5"/>
      </w:pPr>
      <w:r>
        <w:rPr>
          <w:rFonts w:ascii="黑体" w:hAnsi="黑体" w:eastAsia="黑体" w:cs="黑体"/>
          <w:color w:val="000000"/>
          <w:sz w:val="32"/>
        </w:rPr>
        <w:t>九、其他需要说明的事项</w:t>
      </w:r>
    </w:p>
    <w:p w14:paraId="4C0BD68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0CBF89A">
      <w:pPr>
        <w:spacing w:before="0" w:after="0"/>
        <w:ind w:firstLine="0"/>
        <w:jc w:val="center"/>
        <w:outlineLvl w:val="3"/>
      </w:pPr>
      <w:bookmarkStart w:id="31" w:name="_Toc_4_4_0000000032"/>
      <w:r>
        <w:rPr>
          <w:rFonts w:ascii="方正小标宋_GBK" w:hAnsi="方正小标宋_GBK" w:eastAsia="方正小标宋_GBK" w:cs="方正小标宋_GBK"/>
          <w:b w:val="0"/>
          <w:color w:val="000000"/>
          <w:sz w:val="44"/>
        </w:rPr>
        <w:t>三十二、隆尧县大张庄中学收支预算</w:t>
      </w:r>
      <w:bookmarkEnd w:id="31"/>
    </w:p>
    <w:p w14:paraId="3961A8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CF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72D66F">
            <w:pPr>
              <w:pStyle w:val="9"/>
            </w:pPr>
            <w:r>
              <w:t>360033隆尧县大张庄中学</w:t>
            </w:r>
          </w:p>
        </w:tc>
        <w:tc>
          <w:tcPr>
            <w:tcW w:w="2126" w:type="dxa"/>
            <w:tcBorders>
              <w:top w:val="single" w:color="FFFFFF" w:sz="6" w:space="0"/>
              <w:left w:val="single" w:color="FFFFFF" w:sz="6" w:space="0"/>
              <w:right w:val="single" w:color="FFFFFF" w:sz="6" w:space="0"/>
            </w:tcBorders>
            <w:vAlign w:val="center"/>
          </w:tcPr>
          <w:p w14:paraId="32D096D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1B8B6C6">
            <w:pPr>
              <w:pStyle w:val="7"/>
            </w:pPr>
            <w:r>
              <w:t>单位：万元</w:t>
            </w:r>
          </w:p>
        </w:tc>
      </w:tr>
      <w:tr w14:paraId="7DDB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0D174">
            <w:pPr>
              <w:pStyle w:val="10"/>
            </w:pPr>
            <w:r>
              <w:t>序号</w:t>
            </w:r>
          </w:p>
        </w:tc>
        <w:tc>
          <w:tcPr>
            <w:tcW w:w="6661" w:type="dxa"/>
            <w:gridSpan w:val="2"/>
            <w:vAlign w:val="center"/>
          </w:tcPr>
          <w:p w14:paraId="7B7AE3A1">
            <w:pPr>
              <w:pStyle w:val="10"/>
            </w:pPr>
            <w:r>
              <w:t>收入</w:t>
            </w:r>
          </w:p>
        </w:tc>
        <w:tc>
          <w:tcPr>
            <w:tcW w:w="6661" w:type="dxa"/>
            <w:gridSpan w:val="2"/>
            <w:vAlign w:val="center"/>
          </w:tcPr>
          <w:p w14:paraId="754797E9">
            <w:pPr>
              <w:pStyle w:val="10"/>
            </w:pPr>
            <w:r>
              <w:t>支出</w:t>
            </w:r>
          </w:p>
        </w:tc>
      </w:tr>
      <w:tr w14:paraId="6F21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CDC64"/>
        </w:tc>
        <w:tc>
          <w:tcPr>
            <w:tcW w:w="4535" w:type="dxa"/>
            <w:vAlign w:val="center"/>
          </w:tcPr>
          <w:p w14:paraId="629C685A">
            <w:pPr>
              <w:pStyle w:val="10"/>
            </w:pPr>
            <w:r>
              <w:t>项  目</w:t>
            </w:r>
          </w:p>
        </w:tc>
        <w:tc>
          <w:tcPr>
            <w:tcW w:w="2126" w:type="dxa"/>
            <w:vAlign w:val="center"/>
          </w:tcPr>
          <w:p w14:paraId="0D94D8DA">
            <w:pPr>
              <w:pStyle w:val="10"/>
            </w:pPr>
            <w:r>
              <w:t>预算数</w:t>
            </w:r>
          </w:p>
        </w:tc>
        <w:tc>
          <w:tcPr>
            <w:tcW w:w="4535" w:type="dxa"/>
            <w:vAlign w:val="center"/>
          </w:tcPr>
          <w:p w14:paraId="42AD9440">
            <w:pPr>
              <w:pStyle w:val="10"/>
            </w:pPr>
            <w:r>
              <w:t>项  目</w:t>
            </w:r>
          </w:p>
        </w:tc>
        <w:tc>
          <w:tcPr>
            <w:tcW w:w="2126" w:type="dxa"/>
            <w:vAlign w:val="center"/>
          </w:tcPr>
          <w:p w14:paraId="3AA56801">
            <w:pPr>
              <w:pStyle w:val="10"/>
            </w:pPr>
            <w:r>
              <w:t>预算数</w:t>
            </w:r>
          </w:p>
        </w:tc>
      </w:tr>
      <w:tr w14:paraId="021D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503EBB">
            <w:pPr>
              <w:pStyle w:val="10"/>
            </w:pPr>
            <w:r>
              <w:t>栏次</w:t>
            </w:r>
          </w:p>
        </w:tc>
        <w:tc>
          <w:tcPr>
            <w:tcW w:w="4535" w:type="dxa"/>
            <w:vAlign w:val="center"/>
          </w:tcPr>
          <w:p w14:paraId="3A2C74F5">
            <w:pPr>
              <w:pStyle w:val="10"/>
            </w:pPr>
            <w:r>
              <w:t>1</w:t>
            </w:r>
          </w:p>
        </w:tc>
        <w:tc>
          <w:tcPr>
            <w:tcW w:w="2126" w:type="dxa"/>
            <w:vAlign w:val="center"/>
          </w:tcPr>
          <w:p w14:paraId="3FF4BB74">
            <w:pPr>
              <w:pStyle w:val="10"/>
            </w:pPr>
            <w:r>
              <w:t>2</w:t>
            </w:r>
          </w:p>
        </w:tc>
        <w:tc>
          <w:tcPr>
            <w:tcW w:w="4535" w:type="dxa"/>
            <w:vAlign w:val="center"/>
          </w:tcPr>
          <w:p w14:paraId="50CE1120">
            <w:pPr>
              <w:pStyle w:val="10"/>
            </w:pPr>
            <w:r>
              <w:t>3</w:t>
            </w:r>
          </w:p>
        </w:tc>
        <w:tc>
          <w:tcPr>
            <w:tcW w:w="2126" w:type="dxa"/>
            <w:vAlign w:val="center"/>
          </w:tcPr>
          <w:p w14:paraId="57A166AF">
            <w:pPr>
              <w:pStyle w:val="10"/>
            </w:pPr>
            <w:r>
              <w:t>4</w:t>
            </w:r>
          </w:p>
        </w:tc>
      </w:tr>
      <w:tr w14:paraId="5008E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515A6">
            <w:pPr>
              <w:pStyle w:val="13"/>
            </w:pPr>
            <w:r>
              <w:t>1</w:t>
            </w:r>
          </w:p>
        </w:tc>
        <w:tc>
          <w:tcPr>
            <w:tcW w:w="4535" w:type="dxa"/>
            <w:vAlign w:val="center"/>
          </w:tcPr>
          <w:p w14:paraId="69592C2D">
            <w:pPr>
              <w:pStyle w:val="12"/>
            </w:pPr>
            <w:r>
              <w:t>一、一般公共预算拨款收入</w:t>
            </w:r>
          </w:p>
        </w:tc>
        <w:tc>
          <w:tcPr>
            <w:tcW w:w="2126" w:type="dxa"/>
            <w:vAlign w:val="center"/>
          </w:tcPr>
          <w:p w14:paraId="69E25972">
            <w:pPr>
              <w:pStyle w:val="11"/>
            </w:pPr>
            <w:r>
              <w:t>607.38</w:t>
            </w:r>
          </w:p>
        </w:tc>
        <w:tc>
          <w:tcPr>
            <w:tcW w:w="4535" w:type="dxa"/>
            <w:vAlign w:val="center"/>
          </w:tcPr>
          <w:p w14:paraId="6A5B6DBD">
            <w:pPr>
              <w:pStyle w:val="12"/>
            </w:pPr>
            <w:r>
              <w:t>一、一般公共服务支出</w:t>
            </w:r>
          </w:p>
        </w:tc>
        <w:tc>
          <w:tcPr>
            <w:tcW w:w="2126" w:type="dxa"/>
            <w:vAlign w:val="center"/>
          </w:tcPr>
          <w:p w14:paraId="54725C55">
            <w:pPr>
              <w:pStyle w:val="11"/>
            </w:pPr>
          </w:p>
        </w:tc>
      </w:tr>
      <w:tr w14:paraId="28E9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F2CDF">
            <w:pPr>
              <w:pStyle w:val="13"/>
            </w:pPr>
            <w:r>
              <w:t>2</w:t>
            </w:r>
          </w:p>
        </w:tc>
        <w:tc>
          <w:tcPr>
            <w:tcW w:w="4535" w:type="dxa"/>
            <w:vAlign w:val="center"/>
          </w:tcPr>
          <w:p w14:paraId="737CFA60">
            <w:pPr>
              <w:pStyle w:val="12"/>
            </w:pPr>
            <w:r>
              <w:t>二、政府性基金预算拨款收入</w:t>
            </w:r>
          </w:p>
        </w:tc>
        <w:tc>
          <w:tcPr>
            <w:tcW w:w="2126" w:type="dxa"/>
            <w:vAlign w:val="center"/>
          </w:tcPr>
          <w:p w14:paraId="64F525F2">
            <w:pPr>
              <w:pStyle w:val="11"/>
            </w:pPr>
          </w:p>
        </w:tc>
        <w:tc>
          <w:tcPr>
            <w:tcW w:w="4535" w:type="dxa"/>
            <w:vAlign w:val="center"/>
          </w:tcPr>
          <w:p w14:paraId="62CB21BF">
            <w:pPr>
              <w:pStyle w:val="12"/>
            </w:pPr>
            <w:r>
              <w:t>二、外交支出</w:t>
            </w:r>
          </w:p>
        </w:tc>
        <w:tc>
          <w:tcPr>
            <w:tcW w:w="2126" w:type="dxa"/>
            <w:vAlign w:val="center"/>
          </w:tcPr>
          <w:p w14:paraId="27C29C41">
            <w:pPr>
              <w:pStyle w:val="11"/>
            </w:pPr>
          </w:p>
        </w:tc>
      </w:tr>
      <w:tr w14:paraId="614A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47D60">
            <w:pPr>
              <w:pStyle w:val="13"/>
            </w:pPr>
            <w:r>
              <w:t>3</w:t>
            </w:r>
          </w:p>
        </w:tc>
        <w:tc>
          <w:tcPr>
            <w:tcW w:w="4535" w:type="dxa"/>
            <w:vAlign w:val="center"/>
          </w:tcPr>
          <w:p w14:paraId="0FAF0F3A">
            <w:pPr>
              <w:pStyle w:val="12"/>
            </w:pPr>
            <w:r>
              <w:t>三、国有资本经营预算拨款收入</w:t>
            </w:r>
          </w:p>
        </w:tc>
        <w:tc>
          <w:tcPr>
            <w:tcW w:w="2126" w:type="dxa"/>
            <w:vAlign w:val="center"/>
          </w:tcPr>
          <w:p w14:paraId="4F08C1D2">
            <w:pPr>
              <w:pStyle w:val="11"/>
            </w:pPr>
          </w:p>
        </w:tc>
        <w:tc>
          <w:tcPr>
            <w:tcW w:w="4535" w:type="dxa"/>
            <w:vAlign w:val="center"/>
          </w:tcPr>
          <w:p w14:paraId="45CAE6DD">
            <w:pPr>
              <w:pStyle w:val="12"/>
            </w:pPr>
            <w:r>
              <w:t>三、国防支出</w:t>
            </w:r>
          </w:p>
        </w:tc>
        <w:tc>
          <w:tcPr>
            <w:tcW w:w="2126" w:type="dxa"/>
            <w:vAlign w:val="center"/>
          </w:tcPr>
          <w:p w14:paraId="432E77CA">
            <w:pPr>
              <w:pStyle w:val="11"/>
            </w:pPr>
          </w:p>
        </w:tc>
      </w:tr>
      <w:tr w14:paraId="37646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10D7">
            <w:pPr>
              <w:pStyle w:val="13"/>
            </w:pPr>
            <w:r>
              <w:t>4</w:t>
            </w:r>
          </w:p>
        </w:tc>
        <w:tc>
          <w:tcPr>
            <w:tcW w:w="4535" w:type="dxa"/>
            <w:vAlign w:val="center"/>
          </w:tcPr>
          <w:p w14:paraId="38A7AA5B">
            <w:pPr>
              <w:pStyle w:val="12"/>
            </w:pPr>
            <w:r>
              <w:t>四、财政专户管理资金收入</w:t>
            </w:r>
          </w:p>
        </w:tc>
        <w:tc>
          <w:tcPr>
            <w:tcW w:w="2126" w:type="dxa"/>
            <w:vAlign w:val="center"/>
          </w:tcPr>
          <w:p w14:paraId="2E2E0E48">
            <w:pPr>
              <w:pStyle w:val="11"/>
            </w:pPr>
          </w:p>
        </w:tc>
        <w:tc>
          <w:tcPr>
            <w:tcW w:w="4535" w:type="dxa"/>
            <w:vAlign w:val="center"/>
          </w:tcPr>
          <w:p w14:paraId="624C6BB7">
            <w:pPr>
              <w:pStyle w:val="12"/>
            </w:pPr>
            <w:r>
              <w:t>四、公共安全支出</w:t>
            </w:r>
          </w:p>
        </w:tc>
        <w:tc>
          <w:tcPr>
            <w:tcW w:w="2126" w:type="dxa"/>
            <w:vAlign w:val="center"/>
          </w:tcPr>
          <w:p w14:paraId="73450965">
            <w:pPr>
              <w:pStyle w:val="11"/>
            </w:pPr>
          </w:p>
        </w:tc>
      </w:tr>
      <w:tr w14:paraId="425E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22FF1">
            <w:pPr>
              <w:pStyle w:val="13"/>
            </w:pPr>
            <w:r>
              <w:t>5</w:t>
            </w:r>
          </w:p>
        </w:tc>
        <w:tc>
          <w:tcPr>
            <w:tcW w:w="4535" w:type="dxa"/>
            <w:vAlign w:val="center"/>
          </w:tcPr>
          <w:p w14:paraId="76A9D289">
            <w:pPr>
              <w:pStyle w:val="12"/>
            </w:pPr>
            <w:r>
              <w:t>五、单位资金</w:t>
            </w:r>
          </w:p>
        </w:tc>
        <w:tc>
          <w:tcPr>
            <w:tcW w:w="2126" w:type="dxa"/>
            <w:vAlign w:val="center"/>
          </w:tcPr>
          <w:p w14:paraId="4513A249">
            <w:pPr>
              <w:pStyle w:val="11"/>
            </w:pPr>
          </w:p>
        </w:tc>
        <w:tc>
          <w:tcPr>
            <w:tcW w:w="4535" w:type="dxa"/>
            <w:vAlign w:val="center"/>
          </w:tcPr>
          <w:p w14:paraId="02F9077B">
            <w:pPr>
              <w:pStyle w:val="12"/>
            </w:pPr>
            <w:r>
              <w:t>五、教育支出</w:t>
            </w:r>
          </w:p>
        </w:tc>
        <w:tc>
          <w:tcPr>
            <w:tcW w:w="2126" w:type="dxa"/>
            <w:vAlign w:val="center"/>
          </w:tcPr>
          <w:p w14:paraId="68023EFD">
            <w:pPr>
              <w:pStyle w:val="11"/>
            </w:pPr>
            <w:r>
              <w:t>607.38</w:t>
            </w:r>
          </w:p>
        </w:tc>
      </w:tr>
      <w:tr w14:paraId="67243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EA197">
            <w:pPr>
              <w:pStyle w:val="13"/>
            </w:pPr>
            <w:r>
              <w:t>6</w:t>
            </w:r>
          </w:p>
        </w:tc>
        <w:tc>
          <w:tcPr>
            <w:tcW w:w="4535" w:type="dxa"/>
            <w:vAlign w:val="center"/>
          </w:tcPr>
          <w:p w14:paraId="762D4123">
            <w:pPr>
              <w:pStyle w:val="12"/>
            </w:pPr>
          </w:p>
        </w:tc>
        <w:tc>
          <w:tcPr>
            <w:tcW w:w="2126" w:type="dxa"/>
            <w:vAlign w:val="center"/>
          </w:tcPr>
          <w:p w14:paraId="61740CE0">
            <w:pPr>
              <w:pStyle w:val="11"/>
            </w:pPr>
          </w:p>
        </w:tc>
        <w:tc>
          <w:tcPr>
            <w:tcW w:w="4535" w:type="dxa"/>
            <w:vAlign w:val="center"/>
          </w:tcPr>
          <w:p w14:paraId="3394C4FC">
            <w:pPr>
              <w:pStyle w:val="12"/>
            </w:pPr>
            <w:r>
              <w:t>六、科学技术支出</w:t>
            </w:r>
          </w:p>
        </w:tc>
        <w:tc>
          <w:tcPr>
            <w:tcW w:w="2126" w:type="dxa"/>
            <w:vAlign w:val="center"/>
          </w:tcPr>
          <w:p w14:paraId="4185B9BE">
            <w:pPr>
              <w:pStyle w:val="11"/>
            </w:pPr>
          </w:p>
        </w:tc>
      </w:tr>
      <w:tr w14:paraId="04D6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E36A4">
            <w:pPr>
              <w:pStyle w:val="13"/>
            </w:pPr>
            <w:r>
              <w:t>7</w:t>
            </w:r>
          </w:p>
        </w:tc>
        <w:tc>
          <w:tcPr>
            <w:tcW w:w="4535" w:type="dxa"/>
            <w:vAlign w:val="center"/>
          </w:tcPr>
          <w:p w14:paraId="0A6E6027">
            <w:pPr>
              <w:pStyle w:val="12"/>
            </w:pPr>
          </w:p>
        </w:tc>
        <w:tc>
          <w:tcPr>
            <w:tcW w:w="2126" w:type="dxa"/>
            <w:vAlign w:val="center"/>
          </w:tcPr>
          <w:p w14:paraId="4CE335D1">
            <w:pPr>
              <w:pStyle w:val="11"/>
            </w:pPr>
          </w:p>
        </w:tc>
        <w:tc>
          <w:tcPr>
            <w:tcW w:w="4535" w:type="dxa"/>
            <w:vAlign w:val="center"/>
          </w:tcPr>
          <w:p w14:paraId="5475B380">
            <w:pPr>
              <w:pStyle w:val="12"/>
            </w:pPr>
            <w:r>
              <w:t>七、文化旅游体育与传媒支出</w:t>
            </w:r>
          </w:p>
        </w:tc>
        <w:tc>
          <w:tcPr>
            <w:tcW w:w="2126" w:type="dxa"/>
            <w:vAlign w:val="center"/>
          </w:tcPr>
          <w:p w14:paraId="3941EDC9">
            <w:pPr>
              <w:pStyle w:val="11"/>
            </w:pPr>
          </w:p>
        </w:tc>
      </w:tr>
      <w:tr w14:paraId="3418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EDED2">
            <w:pPr>
              <w:pStyle w:val="13"/>
            </w:pPr>
            <w:r>
              <w:t>8</w:t>
            </w:r>
          </w:p>
        </w:tc>
        <w:tc>
          <w:tcPr>
            <w:tcW w:w="4535" w:type="dxa"/>
            <w:vAlign w:val="center"/>
          </w:tcPr>
          <w:p w14:paraId="0B470F53">
            <w:pPr>
              <w:pStyle w:val="12"/>
            </w:pPr>
          </w:p>
        </w:tc>
        <w:tc>
          <w:tcPr>
            <w:tcW w:w="2126" w:type="dxa"/>
            <w:vAlign w:val="center"/>
          </w:tcPr>
          <w:p w14:paraId="22CCEAD7">
            <w:pPr>
              <w:pStyle w:val="11"/>
            </w:pPr>
          </w:p>
        </w:tc>
        <w:tc>
          <w:tcPr>
            <w:tcW w:w="4535" w:type="dxa"/>
            <w:vAlign w:val="center"/>
          </w:tcPr>
          <w:p w14:paraId="5CD30697">
            <w:pPr>
              <w:pStyle w:val="12"/>
            </w:pPr>
            <w:r>
              <w:t>八、社会保障和就业支出</w:t>
            </w:r>
          </w:p>
        </w:tc>
        <w:tc>
          <w:tcPr>
            <w:tcW w:w="2126" w:type="dxa"/>
            <w:vAlign w:val="center"/>
          </w:tcPr>
          <w:p w14:paraId="1B82168C">
            <w:pPr>
              <w:pStyle w:val="11"/>
            </w:pPr>
          </w:p>
        </w:tc>
      </w:tr>
      <w:tr w14:paraId="27465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0DF8B">
            <w:pPr>
              <w:pStyle w:val="13"/>
            </w:pPr>
            <w:r>
              <w:t>9</w:t>
            </w:r>
          </w:p>
        </w:tc>
        <w:tc>
          <w:tcPr>
            <w:tcW w:w="4535" w:type="dxa"/>
            <w:vAlign w:val="center"/>
          </w:tcPr>
          <w:p w14:paraId="117734B8">
            <w:pPr>
              <w:pStyle w:val="12"/>
            </w:pPr>
          </w:p>
        </w:tc>
        <w:tc>
          <w:tcPr>
            <w:tcW w:w="2126" w:type="dxa"/>
            <w:vAlign w:val="center"/>
          </w:tcPr>
          <w:p w14:paraId="24631184">
            <w:pPr>
              <w:pStyle w:val="11"/>
            </w:pPr>
          </w:p>
        </w:tc>
        <w:tc>
          <w:tcPr>
            <w:tcW w:w="4535" w:type="dxa"/>
            <w:vAlign w:val="center"/>
          </w:tcPr>
          <w:p w14:paraId="5AA0370B">
            <w:pPr>
              <w:pStyle w:val="12"/>
            </w:pPr>
            <w:r>
              <w:t>九、社会保险基金支出</w:t>
            </w:r>
          </w:p>
        </w:tc>
        <w:tc>
          <w:tcPr>
            <w:tcW w:w="2126" w:type="dxa"/>
            <w:vAlign w:val="center"/>
          </w:tcPr>
          <w:p w14:paraId="663907BC">
            <w:pPr>
              <w:pStyle w:val="11"/>
            </w:pPr>
          </w:p>
        </w:tc>
      </w:tr>
      <w:tr w14:paraId="5D8B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4B35">
            <w:pPr>
              <w:pStyle w:val="13"/>
            </w:pPr>
            <w:r>
              <w:t>10</w:t>
            </w:r>
          </w:p>
        </w:tc>
        <w:tc>
          <w:tcPr>
            <w:tcW w:w="4535" w:type="dxa"/>
            <w:vAlign w:val="center"/>
          </w:tcPr>
          <w:p w14:paraId="1D230C26">
            <w:pPr>
              <w:pStyle w:val="12"/>
            </w:pPr>
          </w:p>
        </w:tc>
        <w:tc>
          <w:tcPr>
            <w:tcW w:w="2126" w:type="dxa"/>
            <w:vAlign w:val="center"/>
          </w:tcPr>
          <w:p w14:paraId="4B86C018">
            <w:pPr>
              <w:pStyle w:val="11"/>
            </w:pPr>
          </w:p>
        </w:tc>
        <w:tc>
          <w:tcPr>
            <w:tcW w:w="4535" w:type="dxa"/>
            <w:vAlign w:val="center"/>
          </w:tcPr>
          <w:p w14:paraId="37FD2755">
            <w:pPr>
              <w:pStyle w:val="12"/>
            </w:pPr>
            <w:r>
              <w:t>十、卫生健康支出</w:t>
            </w:r>
          </w:p>
        </w:tc>
        <w:tc>
          <w:tcPr>
            <w:tcW w:w="2126" w:type="dxa"/>
            <w:vAlign w:val="center"/>
          </w:tcPr>
          <w:p w14:paraId="2FA73A9D">
            <w:pPr>
              <w:pStyle w:val="11"/>
            </w:pPr>
          </w:p>
        </w:tc>
      </w:tr>
      <w:tr w14:paraId="2B99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67BA">
            <w:pPr>
              <w:pStyle w:val="13"/>
            </w:pPr>
            <w:r>
              <w:t>11</w:t>
            </w:r>
          </w:p>
        </w:tc>
        <w:tc>
          <w:tcPr>
            <w:tcW w:w="4535" w:type="dxa"/>
            <w:vAlign w:val="center"/>
          </w:tcPr>
          <w:p w14:paraId="07D75457">
            <w:pPr>
              <w:pStyle w:val="12"/>
            </w:pPr>
          </w:p>
        </w:tc>
        <w:tc>
          <w:tcPr>
            <w:tcW w:w="2126" w:type="dxa"/>
            <w:vAlign w:val="center"/>
          </w:tcPr>
          <w:p w14:paraId="32713111">
            <w:pPr>
              <w:pStyle w:val="11"/>
            </w:pPr>
          </w:p>
        </w:tc>
        <w:tc>
          <w:tcPr>
            <w:tcW w:w="4535" w:type="dxa"/>
            <w:vAlign w:val="center"/>
          </w:tcPr>
          <w:p w14:paraId="77A91559">
            <w:pPr>
              <w:pStyle w:val="12"/>
            </w:pPr>
            <w:r>
              <w:t>十一、节能环保支出</w:t>
            </w:r>
          </w:p>
        </w:tc>
        <w:tc>
          <w:tcPr>
            <w:tcW w:w="2126" w:type="dxa"/>
            <w:vAlign w:val="center"/>
          </w:tcPr>
          <w:p w14:paraId="46E2659D">
            <w:pPr>
              <w:pStyle w:val="11"/>
            </w:pPr>
          </w:p>
        </w:tc>
      </w:tr>
      <w:tr w14:paraId="6DB1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95808">
            <w:pPr>
              <w:pStyle w:val="13"/>
            </w:pPr>
            <w:r>
              <w:t>12</w:t>
            </w:r>
          </w:p>
        </w:tc>
        <w:tc>
          <w:tcPr>
            <w:tcW w:w="4535" w:type="dxa"/>
            <w:vAlign w:val="center"/>
          </w:tcPr>
          <w:p w14:paraId="0A9E0273">
            <w:pPr>
              <w:pStyle w:val="12"/>
            </w:pPr>
          </w:p>
        </w:tc>
        <w:tc>
          <w:tcPr>
            <w:tcW w:w="2126" w:type="dxa"/>
            <w:vAlign w:val="center"/>
          </w:tcPr>
          <w:p w14:paraId="4D459FF5">
            <w:pPr>
              <w:pStyle w:val="11"/>
            </w:pPr>
          </w:p>
        </w:tc>
        <w:tc>
          <w:tcPr>
            <w:tcW w:w="4535" w:type="dxa"/>
            <w:vAlign w:val="center"/>
          </w:tcPr>
          <w:p w14:paraId="74F0AA75">
            <w:pPr>
              <w:pStyle w:val="12"/>
            </w:pPr>
            <w:r>
              <w:t>十二、城乡社区支出</w:t>
            </w:r>
          </w:p>
        </w:tc>
        <w:tc>
          <w:tcPr>
            <w:tcW w:w="2126" w:type="dxa"/>
            <w:vAlign w:val="center"/>
          </w:tcPr>
          <w:p w14:paraId="7ED12AF3">
            <w:pPr>
              <w:pStyle w:val="11"/>
            </w:pPr>
          </w:p>
        </w:tc>
      </w:tr>
      <w:tr w14:paraId="3600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F1451">
            <w:pPr>
              <w:pStyle w:val="13"/>
            </w:pPr>
            <w:r>
              <w:t>13</w:t>
            </w:r>
          </w:p>
        </w:tc>
        <w:tc>
          <w:tcPr>
            <w:tcW w:w="4535" w:type="dxa"/>
            <w:vAlign w:val="center"/>
          </w:tcPr>
          <w:p w14:paraId="55F59DFA">
            <w:pPr>
              <w:pStyle w:val="12"/>
            </w:pPr>
          </w:p>
        </w:tc>
        <w:tc>
          <w:tcPr>
            <w:tcW w:w="2126" w:type="dxa"/>
            <w:vAlign w:val="center"/>
          </w:tcPr>
          <w:p w14:paraId="16BE8928">
            <w:pPr>
              <w:pStyle w:val="11"/>
            </w:pPr>
          </w:p>
        </w:tc>
        <w:tc>
          <w:tcPr>
            <w:tcW w:w="4535" w:type="dxa"/>
            <w:vAlign w:val="center"/>
          </w:tcPr>
          <w:p w14:paraId="4308B4A2">
            <w:pPr>
              <w:pStyle w:val="12"/>
            </w:pPr>
            <w:r>
              <w:t>十三、农林水支出</w:t>
            </w:r>
          </w:p>
        </w:tc>
        <w:tc>
          <w:tcPr>
            <w:tcW w:w="2126" w:type="dxa"/>
            <w:vAlign w:val="center"/>
          </w:tcPr>
          <w:p w14:paraId="2B986849">
            <w:pPr>
              <w:pStyle w:val="11"/>
            </w:pPr>
          </w:p>
        </w:tc>
      </w:tr>
      <w:tr w14:paraId="42B3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A146E">
            <w:pPr>
              <w:pStyle w:val="13"/>
            </w:pPr>
            <w:r>
              <w:t>14</w:t>
            </w:r>
          </w:p>
        </w:tc>
        <w:tc>
          <w:tcPr>
            <w:tcW w:w="4535" w:type="dxa"/>
            <w:vAlign w:val="center"/>
          </w:tcPr>
          <w:p w14:paraId="5349B3FA">
            <w:pPr>
              <w:pStyle w:val="12"/>
            </w:pPr>
          </w:p>
        </w:tc>
        <w:tc>
          <w:tcPr>
            <w:tcW w:w="2126" w:type="dxa"/>
            <w:vAlign w:val="center"/>
          </w:tcPr>
          <w:p w14:paraId="3E0A18AB">
            <w:pPr>
              <w:pStyle w:val="11"/>
            </w:pPr>
          </w:p>
        </w:tc>
        <w:tc>
          <w:tcPr>
            <w:tcW w:w="4535" w:type="dxa"/>
            <w:vAlign w:val="center"/>
          </w:tcPr>
          <w:p w14:paraId="656B0B69">
            <w:pPr>
              <w:pStyle w:val="12"/>
            </w:pPr>
            <w:r>
              <w:t>十四、交通运输支出</w:t>
            </w:r>
          </w:p>
        </w:tc>
        <w:tc>
          <w:tcPr>
            <w:tcW w:w="2126" w:type="dxa"/>
            <w:vAlign w:val="center"/>
          </w:tcPr>
          <w:p w14:paraId="7D129426">
            <w:pPr>
              <w:pStyle w:val="11"/>
            </w:pPr>
          </w:p>
        </w:tc>
      </w:tr>
      <w:tr w14:paraId="275C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73138">
            <w:pPr>
              <w:pStyle w:val="13"/>
            </w:pPr>
            <w:r>
              <w:t>15</w:t>
            </w:r>
          </w:p>
        </w:tc>
        <w:tc>
          <w:tcPr>
            <w:tcW w:w="4535" w:type="dxa"/>
            <w:vAlign w:val="center"/>
          </w:tcPr>
          <w:p w14:paraId="45993912">
            <w:pPr>
              <w:pStyle w:val="12"/>
            </w:pPr>
          </w:p>
        </w:tc>
        <w:tc>
          <w:tcPr>
            <w:tcW w:w="2126" w:type="dxa"/>
            <w:vAlign w:val="center"/>
          </w:tcPr>
          <w:p w14:paraId="0EF54687">
            <w:pPr>
              <w:pStyle w:val="11"/>
            </w:pPr>
          </w:p>
        </w:tc>
        <w:tc>
          <w:tcPr>
            <w:tcW w:w="4535" w:type="dxa"/>
            <w:vAlign w:val="center"/>
          </w:tcPr>
          <w:p w14:paraId="57B40A2A">
            <w:pPr>
              <w:pStyle w:val="12"/>
            </w:pPr>
            <w:r>
              <w:t>十五、资源勘探工业信息等支出</w:t>
            </w:r>
          </w:p>
        </w:tc>
        <w:tc>
          <w:tcPr>
            <w:tcW w:w="2126" w:type="dxa"/>
            <w:vAlign w:val="center"/>
          </w:tcPr>
          <w:p w14:paraId="16D9D982">
            <w:pPr>
              <w:pStyle w:val="11"/>
            </w:pPr>
          </w:p>
        </w:tc>
      </w:tr>
      <w:tr w14:paraId="46F3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61703">
            <w:pPr>
              <w:pStyle w:val="13"/>
            </w:pPr>
            <w:r>
              <w:t>16</w:t>
            </w:r>
          </w:p>
        </w:tc>
        <w:tc>
          <w:tcPr>
            <w:tcW w:w="4535" w:type="dxa"/>
            <w:vAlign w:val="center"/>
          </w:tcPr>
          <w:p w14:paraId="044139A2">
            <w:pPr>
              <w:pStyle w:val="12"/>
            </w:pPr>
          </w:p>
        </w:tc>
        <w:tc>
          <w:tcPr>
            <w:tcW w:w="2126" w:type="dxa"/>
            <w:vAlign w:val="center"/>
          </w:tcPr>
          <w:p w14:paraId="0E6D1B18">
            <w:pPr>
              <w:pStyle w:val="11"/>
            </w:pPr>
          </w:p>
        </w:tc>
        <w:tc>
          <w:tcPr>
            <w:tcW w:w="4535" w:type="dxa"/>
            <w:vAlign w:val="center"/>
          </w:tcPr>
          <w:p w14:paraId="30B5A350">
            <w:pPr>
              <w:pStyle w:val="12"/>
            </w:pPr>
            <w:r>
              <w:t>十六、商业服务业等支出</w:t>
            </w:r>
          </w:p>
        </w:tc>
        <w:tc>
          <w:tcPr>
            <w:tcW w:w="2126" w:type="dxa"/>
            <w:vAlign w:val="center"/>
          </w:tcPr>
          <w:p w14:paraId="04AACE72">
            <w:pPr>
              <w:pStyle w:val="11"/>
            </w:pPr>
          </w:p>
        </w:tc>
      </w:tr>
      <w:tr w14:paraId="6F81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7F0D3">
            <w:pPr>
              <w:pStyle w:val="13"/>
            </w:pPr>
            <w:r>
              <w:t>17</w:t>
            </w:r>
          </w:p>
        </w:tc>
        <w:tc>
          <w:tcPr>
            <w:tcW w:w="4535" w:type="dxa"/>
            <w:vAlign w:val="center"/>
          </w:tcPr>
          <w:p w14:paraId="1F057369">
            <w:pPr>
              <w:pStyle w:val="12"/>
            </w:pPr>
          </w:p>
        </w:tc>
        <w:tc>
          <w:tcPr>
            <w:tcW w:w="2126" w:type="dxa"/>
            <w:vAlign w:val="center"/>
          </w:tcPr>
          <w:p w14:paraId="39C259D4">
            <w:pPr>
              <w:pStyle w:val="11"/>
            </w:pPr>
          </w:p>
        </w:tc>
        <w:tc>
          <w:tcPr>
            <w:tcW w:w="4535" w:type="dxa"/>
            <w:vAlign w:val="center"/>
          </w:tcPr>
          <w:p w14:paraId="67C42CA5">
            <w:pPr>
              <w:pStyle w:val="12"/>
            </w:pPr>
            <w:r>
              <w:t>十七、金融支出</w:t>
            </w:r>
          </w:p>
        </w:tc>
        <w:tc>
          <w:tcPr>
            <w:tcW w:w="2126" w:type="dxa"/>
            <w:vAlign w:val="center"/>
          </w:tcPr>
          <w:p w14:paraId="76C892C0">
            <w:pPr>
              <w:pStyle w:val="11"/>
            </w:pPr>
          </w:p>
        </w:tc>
      </w:tr>
      <w:tr w14:paraId="08CE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BE12D">
            <w:pPr>
              <w:pStyle w:val="13"/>
            </w:pPr>
            <w:r>
              <w:t>18</w:t>
            </w:r>
          </w:p>
        </w:tc>
        <w:tc>
          <w:tcPr>
            <w:tcW w:w="4535" w:type="dxa"/>
            <w:vAlign w:val="center"/>
          </w:tcPr>
          <w:p w14:paraId="77AED3F3">
            <w:pPr>
              <w:pStyle w:val="12"/>
            </w:pPr>
          </w:p>
        </w:tc>
        <w:tc>
          <w:tcPr>
            <w:tcW w:w="2126" w:type="dxa"/>
            <w:vAlign w:val="center"/>
          </w:tcPr>
          <w:p w14:paraId="2B7558BA">
            <w:pPr>
              <w:pStyle w:val="11"/>
            </w:pPr>
          </w:p>
        </w:tc>
        <w:tc>
          <w:tcPr>
            <w:tcW w:w="4535" w:type="dxa"/>
            <w:vAlign w:val="center"/>
          </w:tcPr>
          <w:p w14:paraId="7381DDB5">
            <w:pPr>
              <w:pStyle w:val="12"/>
            </w:pPr>
            <w:r>
              <w:t>十八、援助其他地区支出</w:t>
            </w:r>
          </w:p>
        </w:tc>
        <w:tc>
          <w:tcPr>
            <w:tcW w:w="2126" w:type="dxa"/>
            <w:vAlign w:val="center"/>
          </w:tcPr>
          <w:p w14:paraId="5AF2E96A">
            <w:pPr>
              <w:pStyle w:val="11"/>
            </w:pPr>
          </w:p>
        </w:tc>
      </w:tr>
      <w:tr w14:paraId="29CA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2977">
            <w:pPr>
              <w:pStyle w:val="13"/>
            </w:pPr>
            <w:r>
              <w:t>19</w:t>
            </w:r>
          </w:p>
        </w:tc>
        <w:tc>
          <w:tcPr>
            <w:tcW w:w="4535" w:type="dxa"/>
            <w:vAlign w:val="center"/>
          </w:tcPr>
          <w:p w14:paraId="2C295248">
            <w:pPr>
              <w:pStyle w:val="12"/>
            </w:pPr>
          </w:p>
        </w:tc>
        <w:tc>
          <w:tcPr>
            <w:tcW w:w="2126" w:type="dxa"/>
            <w:vAlign w:val="center"/>
          </w:tcPr>
          <w:p w14:paraId="53695063">
            <w:pPr>
              <w:pStyle w:val="11"/>
            </w:pPr>
          </w:p>
        </w:tc>
        <w:tc>
          <w:tcPr>
            <w:tcW w:w="4535" w:type="dxa"/>
            <w:vAlign w:val="center"/>
          </w:tcPr>
          <w:p w14:paraId="24244151">
            <w:pPr>
              <w:pStyle w:val="12"/>
            </w:pPr>
            <w:r>
              <w:t>十九、自然资源海洋气象等支出</w:t>
            </w:r>
          </w:p>
        </w:tc>
        <w:tc>
          <w:tcPr>
            <w:tcW w:w="2126" w:type="dxa"/>
            <w:vAlign w:val="center"/>
          </w:tcPr>
          <w:p w14:paraId="64F2C23A">
            <w:pPr>
              <w:pStyle w:val="11"/>
            </w:pPr>
          </w:p>
        </w:tc>
      </w:tr>
      <w:tr w14:paraId="71E2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E84F">
            <w:pPr>
              <w:pStyle w:val="13"/>
            </w:pPr>
            <w:r>
              <w:t>20</w:t>
            </w:r>
          </w:p>
        </w:tc>
        <w:tc>
          <w:tcPr>
            <w:tcW w:w="4535" w:type="dxa"/>
            <w:vAlign w:val="center"/>
          </w:tcPr>
          <w:p w14:paraId="4996C828">
            <w:pPr>
              <w:pStyle w:val="12"/>
            </w:pPr>
          </w:p>
        </w:tc>
        <w:tc>
          <w:tcPr>
            <w:tcW w:w="2126" w:type="dxa"/>
            <w:vAlign w:val="center"/>
          </w:tcPr>
          <w:p w14:paraId="251D3774">
            <w:pPr>
              <w:pStyle w:val="11"/>
            </w:pPr>
          </w:p>
        </w:tc>
        <w:tc>
          <w:tcPr>
            <w:tcW w:w="4535" w:type="dxa"/>
            <w:vAlign w:val="center"/>
          </w:tcPr>
          <w:p w14:paraId="7D045D00">
            <w:pPr>
              <w:pStyle w:val="12"/>
            </w:pPr>
            <w:r>
              <w:t>二十、住房保障支出</w:t>
            </w:r>
          </w:p>
        </w:tc>
        <w:tc>
          <w:tcPr>
            <w:tcW w:w="2126" w:type="dxa"/>
            <w:vAlign w:val="center"/>
          </w:tcPr>
          <w:p w14:paraId="6AFE9ED4">
            <w:pPr>
              <w:pStyle w:val="11"/>
            </w:pPr>
          </w:p>
        </w:tc>
      </w:tr>
      <w:tr w14:paraId="3DFB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C3874">
            <w:pPr>
              <w:pStyle w:val="13"/>
            </w:pPr>
            <w:r>
              <w:t>21</w:t>
            </w:r>
          </w:p>
        </w:tc>
        <w:tc>
          <w:tcPr>
            <w:tcW w:w="4535" w:type="dxa"/>
            <w:vAlign w:val="center"/>
          </w:tcPr>
          <w:p w14:paraId="2160D74E">
            <w:pPr>
              <w:pStyle w:val="12"/>
            </w:pPr>
          </w:p>
        </w:tc>
        <w:tc>
          <w:tcPr>
            <w:tcW w:w="2126" w:type="dxa"/>
            <w:vAlign w:val="center"/>
          </w:tcPr>
          <w:p w14:paraId="2CD2AAC1">
            <w:pPr>
              <w:pStyle w:val="11"/>
            </w:pPr>
          </w:p>
        </w:tc>
        <w:tc>
          <w:tcPr>
            <w:tcW w:w="4535" w:type="dxa"/>
            <w:vAlign w:val="center"/>
          </w:tcPr>
          <w:p w14:paraId="4222ED49">
            <w:pPr>
              <w:pStyle w:val="12"/>
            </w:pPr>
            <w:r>
              <w:t>二十一、粮油物资储备支出</w:t>
            </w:r>
          </w:p>
        </w:tc>
        <w:tc>
          <w:tcPr>
            <w:tcW w:w="2126" w:type="dxa"/>
            <w:vAlign w:val="center"/>
          </w:tcPr>
          <w:p w14:paraId="7A5D0B3C">
            <w:pPr>
              <w:pStyle w:val="11"/>
            </w:pPr>
          </w:p>
        </w:tc>
      </w:tr>
      <w:tr w14:paraId="7D365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9BE3F">
            <w:pPr>
              <w:pStyle w:val="13"/>
            </w:pPr>
            <w:r>
              <w:t>22</w:t>
            </w:r>
          </w:p>
        </w:tc>
        <w:tc>
          <w:tcPr>
            <w:tcW w:w="4535" w:type="dxa"/>
            <w:vAlign w:val="center"/>
          </w:tcPr>
          <w:p w14:paraId="797EBEBD">
            <w:pPr>
              <w:pStyle w:val="12"/>
            </w:pPr>
          </w:p>
        </w:tc>
        <w:tc>
          <w:tcPr>
            <w:tcW w:w="2126" w:type="dxa"/>
            <w:vAlign w:val="center"/>
          </w:tcPr>
          <w:p w14:paraId="12EAC6D9">
            <w:pPr>
              <w:pStyle w:val="11"/>
            </w:pPr>
          </w:p>
        </w:tc>
        <w:tc>
          <w:tcPr>
            <w:tcW w:w="4535" w:type="dxa"/>
            <w:vAlign w:val="center"/>
          </w:tcPr>
          <w:p w14:paraId="56E91854">
            <w:pPr>
              <w:pStyle w:val="12"/>
            </w:pPr>
            <w:r>
              <w:t>二十二、国有资本经营预算支出</w:t>
            </w:r>
          </w:p>
        </w:tc>
        <w:tc>
          <w:tcPr>
            <w:tcW w:w="2126" w:type="dxa"/>
            <w:vAlign w:val="center"/>
          </w:tcPr>
          <w:p w14:paraId="00DA33E9">
            <w:pPr>
              <w:pStyle w:val="11"/>
            </w:pPr>
          </w:p>
        </w:tc>
      </w:tr>
      <w:tr w14:paraId="2ACC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90C68">
            <w:pPr>
              <w:pStyle w:val="13"/>
            </w:pPr>
            <w:r>
              <w:t>23</w:t>
            </w:r>
          </w:p>
        </w:tc>
        <w:tc>
          <w:tcPr>
            <w:tcW w:w="4535" w:type="dxa"/>
            <w:vAlign w:val="center"/>
          </w:tcPr>
          <w:p w14:paraId="598C0F00">
            <w:pPr>
              <w:pStyle w:val="12"/>
            </w:pPr>
          </w:p>
        </w:tc>
        <w:tc>
          <w:tcPr>
            <w:tcW w:w="2126" w:type="dxa"/>
            <w:vAlign w:val="center"/>
          </w:tcPr>
          <w:p w14:paraId="5B5EB7DA">
            <w:pPr>
              <w:pStyle w:val="11"/>
            </w:pPr>
          </w:p>
        </w:tc>
        <w:tc>
          <w:tcPr>
            <w:tcW w:w="4535" w:type="dxa"/>
            <w:vAlign w:val="center"/>
          </w:tcPr>
          <w:p w14:paraId="6DFE2004">
            <w:pPr>
              <w:pStyle w:val="12"/>
            </w:pPr>
            <w:r>
              <w:t>二十三、灾害防治及应急管理支出</w:t>
            </w:r>
          </w:p>
        </w:tc>
        <w:tc>
          <w:tcPr>
            <w:tcW w:w="2126" w:type="dxa"/>
            <w:vAlign w:val="center"/>
          </w:tcPr>
          <w:p w14:paraId="396F14BB">
            <w:pPr>
              <w:pStyle w:val="11"/>
            </w:pPr>
          </w:p>
        </w:tc>
      </w:tr>
      <w:tr w14:paraId="04EF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C6A3F">
            <w:pPr>
              <w:pStyle w:val="13"/>
            </w:pPr>
            <w:r>
              <w:t>24</w:t>
            </w:r>
          </w:p>
        </w:tc>
        <w:tc>
          <w:tcPr>
            <w:tcW w:w="4535" w:type="dxa"/>
            <w:vAlign w:val="center"/>
          </w:tcPr>
          <w:p w14:paraId="21F16512">
            <w:pPr>
              <w:pStyle w:val="12"/>
            </w:pPr>
          </w:p>
        </w:tc>
        <w:tc>
          <w:tcPr>
            <w:tcW w:w="2126" w:type="dxa"/>
            <w:vAlign w:val="center"/>
          </w:tcPr>
          <w:p w14:paraId="26BEE2BB">
            <w:pPr>
              <w:pStyle w:val="11"/>
            </w:pPr>
          </w:p>
        </w:tc>
        <w:tc>
          <w:tcPr>
            <w:tcW w:w="4535" w:type="dxa"/>
            <w:vAlign w:val="center"/>
          </w:tcPr>
          <w:p w14:paraId="393AABD6">
            <w:pPr>
              <w:pStyle w:val="12"/>
            </w:pPr>
            <w:r>
              <w:t>二十四、预备费</w:t>
            </w:r>
          </w:p>
        </w:tc>
        <w:tc>
          <w:tcPr>
            <w:tcW w:w="2126" w:type="dxa"/>
            <w:vAlign w:val="center"/>
          </w:tcPr>
          <w:p w14:paraId="7393ABB5">
            <w:pPr>
              <w:pStyle w:val="11"/>
            </w:pPr>
          </w:p>
        </w:tc>
      </w:tr>
      <w:tr w14:paraId="1477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E3FE">
            <w:pPr>
              <w:pStyle w:val="13"/>
            </w:pPr>
            <w:r>
              <w:t>25</w:t>
            </w:r>
          </w:p>
        </w:tc>
        <w:tc>
          <w:tcPr>
            <w:tcW w:w="4535" w:type="dxa"/>
            <w:vAlign w:val="center"/>
          </w:tcPr>
          <w:p w14:paraId="775FF782">
            <w:pPr>
              <w:pStyle w:val="12"/>
            </w:pPr>
          </w:p>
        </w:tc>
        <w:tc>
          <w:tcPr>
            <w:tcW w:w="2126" w:type="dxa"/>
            <w:vAlign w:val="center"/>
          </w:tcPr>
          <w:p w14:paraId="40E12333">
            <w:pPr>
              <w:pStyle w:val="11"/>
            </w:pPr>
          </w:p>
        </w:tc>
        <w:tc>
          <w:tcPr>
            <w:tcW w:w="4535" w:type="dxa"/>
            <w:vAlign w:val="center"/>
          </w:tcPr>
          <w:p w14:paraId="757E02F0">
            <w:pPr>
              <w:pStyle w:val="12"/>
            </w:pPr>
            <w:r>
              <w:t>二十五、其他支出</w:t>
            </w:r>
          </w:p>
        </w:tc>
        <w:tc>
          <w:tcPr>
            <w:tcW w:w="2126" w:type="dxa"/>
            <w:vAlign w:val="center"/>
          </w:tcPr>
          <w:p w14:paraId="2B26F3F9">
            <w:pPr>
              <w:pStyle w:val="11"/>
            </w:pPr>
          </w:p>
        </w:tc>
      </w:tr>
      <w:tr w14:paraId="7FB2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D748B">
            <w:pPr>
              <w:pStyle w:val="13"/>
            </w:pPr>
            <w:r>
              <w:t>26</w:t>
            </w:r>
          </w:p>
        </w:tc>
        <w:tc>
          <w:tcPr>
            <w:tcW w:w="4535" w:type="dxa"/>
            <w:vAlign w:val="center"/>
          </w:tcPr>
          <w:p w14:paraId="73C91B5B">
            <w:pPr>
              <w:pStyle w:val="12"/>
            </w:pPr>
          </w:p>
        </w:tc>
        <w:tc>
          <w:tcPr>
            <w:tcW w:w="2126" w:type="dxa"/>
            <w:vAlign w:val="center"/>
          </w:tcPr>
          <w:p w14:paraId="16F2C596">
            <w:pPr>
              <w:pStyle w:val="11"/>
            </w:pPr>
          </w:p>
        </w:tc>
        <w:tc>
          <w:tcPr>
            <w:tcW w:w="4535" w:type="dxa"/>
            <w:vAlign w:val="center"/>
          </w:tcPr>
          <w:p w14:paraId="3159D70B">
            <w:pPr>
              <w:pStyle w:val="12"/>
            </w:pPr>
            <w:r>
              <w:t>二十六、转移性支出</w:t>
            </w:r>
          </w:p>
        </w:tc>
        <w:tc>
          <w:tcPr>
            <w:tcW w:w="2126" w:type="dxa"/>
            <w:vAlign w:val="center"/>
          </w:tcPr>
          <w:p w14:paraId="0726A74D">
            <w:pPr>
              <w:pStyle w:val="11"/>
            </w:pPr>
          </w:p>
        </w:tc>
      </w:tr>
      <w:tr w14:paraId="35F8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570FA">
            <w:pPr>
              <w:pStyle w:val="13"/>
            </w:pPr>
            <w:r>
              <w:t>27</w:t>
            </w:r>
          </w:p>
        </w:tc>
        <w:tc>
          <w:tcPr>
            <w:tcW w:w="4535" w:type="dxa"/>
            <w:vAlign w:val="center"/>
          </w:tcPr>
          <w:p w14:paraId="00CC68C0">
            <w:pPr>
              <w:pStyle w:val="12"/>
            </w:pPr>
          </w:p>
        </w:tc>
        <w:tc>
          <w:tcPr>
            <w:tcW w:w="2126" w:type="dxa"/>
            <w:vAlign w:val="center"/>
          </w:tcPr>
          <w:p w14:paraId="3789D529">
            <w:pPr>
              <w:pStyle w:val="11"/>
            </w:pPr>
          </w:p>
        </w:tc>
        <w:tc>
          <w:tcPr>
            <w:tcW w:w="4535" w:type="dxa"/>
            <w:vAlign w:val="center"/>
          </w:tcPr>
          <w:p w14:paraId="027407D4">
            <w:pPr>
              <w:pStyle w:val="12"/>
            </w:pPr>
            <w:r>
              <w:t>二十七、债务还本支出</w:t>
            </w:r>
          </w:p>
        </w:tc>
        <w:tc>
          <w:tcPr>
            <w:tcW w:w="2126" w:type="dxa"/>
            <w:vAlign w:val="center"/>
          </w:tcPr>
          <w:p w14:paraId="49D0E312">
            <w:pPr>
              <w:pStyle w:val="11"/>
            </w:pPr>
          </w:p>
        </w:tc>
      </w:tr>
      <w:tr w14:paraId="7871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CC64">
            <w:pPr>
              <w:pStyle w:val="13"/>
            </w:pPr>
            <w:r>
              <w:t>28</w:t>
            </w:r>
          </w:p>
        </w:tc>
        <w:tc>
          <w:tcPr>
            <w:tcW w:w="4535" w:type="dxa"/>
            <w:vAlign w:val="center"/>
          </w:tcPr>
          <w:p w14:paraId="083B0E2E">
            <w:pPr>
              <w:pStyle w:val="12"/>
            </w:pPr>
          </w:p>
        </w:tc>
        <w:tc>
          <w:tcPr>
            <w:tcW w:w="2126" w:type="dxa"/>
            <w:vAlign w:val="center"/>
          </w:tcPr>
          <w:p w14:paraId="63D84988">
            <w:pPr>
              <w:pStyle w:val="11"/>
            </w:pPr>
          </w:p>
        </w:tc>
        <w:tc>
          <w:tcPr>
            <w:tcW w:w="4535" w:type="dxa"/>
            <w:vAlign w:val="center"/>
          </w:tcPr>
          <w:p w14:paraId="4FFFC33B">
            <w:pPr>
              <w:pStyle w:val="12"/>
            </w:pPr>
            <w:r>
              <w:t>二十八、债务付息支出</w:t>
            </w:r>
          </w:p>
        </w:tc>
        <w:tc>
          <w:tcPr>
            <w:tcW w:w="2126" w:type="dxa"/>
            <w:vAlign w:val="center"/>
          </w:tcPr>
          <w:p w14:paraId="7035FB0F">
            <w:pPr>
              <w:pStyle w:val="11"/>
            </w:pPr>
          </w:p>
        </w:tc>
      </w:tr>
      <w:tr w14:paraId="07F6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D5A74">
            <w:pPr>
              <w:pStyle w:val="13"/>
            </w:pPr>
            <w:r>
              <w:t>29</w:t>
            </w:r>
          </w:p>
        </w:tc>
        <w:tc>
          <w:tcPr>
            <w:tcW w:w="4535" w:type="dxa"/>
            <w:vAlign w:val="center"/>
          </w:tcPr>
          <w:p w14:paraId="5F9C1C1F">
            <w:pPr>
              <w:pStyle w:val="12"/>
            </w:pPr>
          </w:p>
        </w:tc>
        <w:tc>
          <w:tcPr>
            <w:tcW w:w="2126" w:type="dxa"/>
            <w:vAlign w:val="center"/>
          </w:tcPr>
          <w:p w14:paraId="2F281209">
            <w:pPr>
              <w:pStyle w:val="11"/>
            </w:pPr>
          </w:p>
        </w:tc>
        <w:tc>
          <w:tcPr>
            <w:tcW w:w="4535" w:type="dxa"/>
            <w:vAlign w:val="center"/>
          </w:tcPr>
          <w:p w14:paraId="098432FF">
            <w:pPr>
              <w:pStyle w:val="12"/>
            </w:pPr>
            <w:r>
              <w:t>二十九、债务发行费用支出</w:t>
            </w:r>
          </w:p>
        </w:tc>
        <w:tc>
          <w:tcPr>
            <w:tcW w:w="2126" w:type="dxa"/>
            <w:vAlign w:val="center"/>
          </w:tcPr>
          <w:p w14:paraId="7BD29ED5">
            <w:pPr>
              <w:pStyle w:val="11"/>
            </w:pPr>
          </w:p>
        </w:tc>
      </w:tr>
      <w:tr w14:paraId="0240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477A">
            <w:pPr>
              <w:pStyle w:val="13"/>
            </w:pPr>
            <w:r>
              <w:t>30</w:t>
            </w:r>
          </w:p>
        </w:tc>
        <w:tc>
          <w:tcPr>
            <w:tcW w:w="4535" w:type="dxa"/>
            <w:vAlign w:val="center"/>
          </w:tcPr>
          <w:p w14:paraId="19E95213">
            <w:pPr>
              <w:pStyle w:val="12"/>
            </w:pPr>
          </w:p>
        </w:tc>
        <w:tc>
          <w:tcPr>
            <w:tcW w:w="2126" w:type="dxa"/>
            <w:vAlign w:val="center"/>
          </w:tcPr>
          <w:p w14:paraId="3F95C493">
            <w:pPr>
              <w:pStyle w:val="11"/>
            </w:pPr>
          </w:p>
        </w:tc>
        <w:tc>
          <w:tcPr>
            <w:tcW w:w="4535" w:type="dxa"/>
            <w:vAlign w:val="center"/>
          </w:tcPr>
          <w:p w14:paraId="68779EE4">
            <w:pPr>
              <w:pStyle w:val="12"/>
            </w:pPr>
            <w:r>
              <w:t>三十、抗疫特别国债安排的支出</w:t>
            </w:r>
          </w:p>
        </w:tc>
        <w:tc>
          <w:tcPr>
            <w:tcW w:w="2126" w:type="dxa"/>
            <w:vAlign w:val="center"/>
          </w:tcPr>
          <w:p w14:paraId="7198435C">
            <w:pPr>
              <w:pStyle w:val="11"/>
            </w:pPr>
          </w:p>
        </w:tc>
      </w:tr>
      <w:tr w14:paraId="6EE1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807C">
            <w:pPr>
              <w:pStyle w:val="13"/>
            </w:pPr>
            <w:r>
              <w:t>31</w:t>
            </w:r>
          </w:p>
        </w:tc>
        <w:tc>
          <w:tcPr>
            <w:tcW w:w="4535" w:type="dxa"/>
            <w:vAlign w:val="center"/>
          </w:tcPr>
          <w:p w14:paraId="7121E675">
            <w:pPr>
              <w:pStyle w:val="14"/>
            </w:pPr>
            <w:r>
              <w:t>本年收入合计</w:t>
            </w:r>
          </w:p>
        </w:tc>
        <w:tc>
          <w:tcPr>
            <w:tcW w:w="2126" w:type="dxa"/>
            <w:vAlign w:val="center"/>
          </w:tcPr>
          <w:p w14:paraId="226A3D8A">
            <w:pPr>
              <w:pStyle w:val="15"/>
            </w:pPr>
            <w:r>
              <w:t>607.38</w:t>
            </w:r>
          </w:p>
        </w:tc>
        <w:tc>
          <w:tcPr>
            <w:tcW w:w="4535" w:type="dxa"/>
            <w:vAlign w:val="center"/>
          </w:tcPr>
          <w:p w14:paraId="6F4805A9">
            <w:pPr>
              <w:pStyle w:val="14"/>
            </w:pPr>
            <w:r>
              <w:t>本年支出合计</w:t>
            </w:r>
          </w:p>
        </w:tc>
        <w:tc>
          <w:tcPr>
            <w:tcW w:w="2126" w:type="dxa"/>
            <w:vAlign w:val="center"/>
          </w:tcPr>
          <w:p w14:paraId="149D4693">
            <w:pPr>
              <w:pStyle w:val="15"/>
            </w:pPr>
            <w:r>
              <w:t>607.38</w:t>
            </w:r>
          </w:p>
        </w:tc>
      </w:tr>
      <w:tr w14:paraId="6E64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62903">
            <w:pPr>
              <w:pStyle w:val="13"/>
            </w:pPr>
            <w:r>
              <w:t>32</w:t>
            </w:r>
          </w:p>
        </w:tc>
        <w:tc>
          <w:tcPr>
            <w:tcW w:w="4535" w:type="dxa"/>
            <w:vAlign w:val="center"/>
          </w:tcPr>
          <w:p w14:paraId="74306FF1">
            <w:pPr>
              <w:pStyle w:val="12"/>
            </w:pPr>
            <w:r>
              <w:t>上年结转结余</w:t>
            </w:r>
          </w:p>
        </w:tc>
        <w:tc>
          <w:tcPr>
            <w:tcW w:w="2126" w:type="dxa"/>
            <w:vAlign w:val="center"/>
          </w:tcPr>
          <w:p w14:paraId="166F6BB6">
            <w:pPr>
              <w:pStyle w:val="11"/>
            </w:pPr>
          </w:p>
        </w:tc>
        <w:tc>
          <w:tcPr>
            <w:tcW w:w="4535" w:type="dxa"/>
            <w:vAlign w:val="center"/>
          </w:tcPr>
          <w:p w14:paraId="16F4AED4">
            <w:pPr>
              <w:pStyle w:val="12"/>
            </w:pPr>
            <w:r>
              <w:t>年终结转结余</w:t>
            </w:r>
          </w:p>
        </w:tc>
        <w:tc>
          <w:tcPr>
            <w:tcW w:w="2126" w:type="dxa"/>
            <w:vAlign w:val="center"/>
          </w:tcPr>
          <w:p w14:paraId="248C65CE">
            <w:pPr>
              <w:pStyle w:val="11"/>
            </w:pPr>
          </w:p>
        </w:tc>
      </w:tr>
      <w:tr w14:paraId="3FB1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4D9D">
            <w:pPr>
              <w:pStyle w:val="13"/>
            </w:pPr>
            <w:r>
              <w:t>33</w:t>
            </w:r>
          </w:p>
        </w:tc>
        <w:tc>
          <w:tcPr>
            <w:tcW w:w="4535" w:type="dxa"/>
            <w:vAlign w:val="center"/>
          </w:tcPr>
          <w:p w14:paraId="1ACD0CE0">
            <w:pPr>
              <w:pStyle w:val="14"/>
            </w:pPr>
            <w:r>
              <w:t>收入总计</w:t>
            </w:r>
          </w:p>
        </w:tc>
        <w:tc>
          <w:tcPr>
            <w:tcW w:w="2126" w:type="dxa"/>
            <w:vAlign w:val="center"/>
          </w:tcPr>
          <w:p w14:paraId="716FFF5E">
            <w:pPr>
              <w:pStyle w:val="15"/>
            </w:pPr>
            <w:r>
              <w:t>607.38</w:t>
            </w:r>
          </w:p>
        </w:tc>
        <w:tc>
          <w:tcPr>
            <w:tcW w:w="4535" w:type="dxa"/>
            <w:vAlign w:val="center"/>
          </w:tcPr>
          <w:p w14:paraId="2A6A33B4">
            <w:pPr>
              <w:pStyle w:val="14"/>
            </w:pPr>
            <w:r>
              <w:t>支出总计</w:t>
            </w:r>
          </w:p>
        </w:tc>
        <w:tc>
          <w:tcPr>
            <w:tcW w:w="2126" w:type="dxa"/>
            <w:vAlign w:val="center"/>
          </w:tcPr>
          <w:p w14:paraId="793D55B0">
            <w:pPr>
              <w:pStyle w:val="15"/>
            </w:pPr>
            <w:r>
              <w:t>607.38</w:t>
            </w:r>
          </w:p>
        </w:tc>
      </w:tr>
    </w:tbl>
    <w:p w14:paraId="7A6BAB2E">
      <w:pPr>
        <w:sectPr>
          <w:pgSz w:w="16840" w:h="11900" w:orient="landscape"/>
          <w:pgMar w:top="1361" w:right="1020" w:bottom="1134" w:left="1020" w:header="720" w:footer="720" w:gutter="0"/>
          <w:cols w:space="720" w:num="1"/>
        </w:sectPr>
      </w:pPr>
    </w:p>
    <w:p w14:paraId="3FE323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A4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B38728">
            <w:pPr>
              <w:pStyle w:val="9"/>
            </w:pPr>
            <w:r>
              <w:t>360033隆尧县大张庄中学</w:t>
            </w:r>
          </w:p>
        </w:tc>
        <w:tc>
          <w:tcPr>
            <w:tcW w:w="3402" w:type="dxa"/>
            <w:gridSpan w:val="3"/>
            <w:tcBorders>
              <w:top w:val="single" w:color="FFFFFF" w:sz="6" w:space="0"/>
              <w:left w:val="single" w:color="FFFFFF" w:sz="6" w:space="0"/>
              <w:right w:val="single" w:color="FFFFFF" w:sz="6" w:space="0"/>
            </w:tcBorders>
            <w:vAlign w:val="center"/>
          </w:tcPr>
          <w:p w14:paraId="19E8F5E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3887E8D">
            <w:pPr>
              <w:pStyle w:val="7"/>
            </w:pPr>
            <w:r>
              <w:t>单位：万元</w:t>
            </w:r>
          </w:p>
        </w:tc>
      </w:tr>
      <w:tr w14:paraId="089E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5E2FA5">
            <w:pPr>
              <w:pStyle w:val="10"/>
            </w:pPr>
            <w:r>
              <w:t>序号</w:t>
            </w:r>
          </w:p>
        </w:tc>
        <w:tc>
          <w:tcPr>
            <w:tcW w:w="2551" w:type="dxa"/>
            <w:gridSpan w:val="2"/>
            <w:vAlign w:val="center"/>
          </w:tcPr>
          <w:p w14:paraId="36E356F9">
            <w:pPr>
              <w:pStyle w:val="10"/>
            </w:pPr>
            <w:r>
              <w:t>功能分类科目</w:t>
            </w:r>
          </w:p>
        </w:tc>
        <w:tc>
          <w:tcPr>
            <w:tcW w:w="1134" w:type="dxa"/>
            <w:vMerge w:val="restart"/>
            <w:vAlign w:val="center"/>
          </w:tcPr>
          <w:p w14:paraId="6D9695D2">
            <w:pPr>
              <w:pStyle w:val="10"/>
            </w:pPr>
            <w:r>
              <w:t>合计</w:t>
            </w:r>
          </w:p>
        </w:tc>
        <w:tc>
          <w:tcPr>
            <w:tcW w:w="9072" w:type="dxa"/>
            <w:gridSpan w:val="8"/>
            <w:vAlign w:val="center"/>
          </w:tcPr>
          <w:p w14:paraId="66A5F3A9">
            <w:pPr>
              <w:pStyle w:val="10"/>
            </w:pPr>
            <w:r>
              <w:t>本年收入</w:t>
            </w:r>
          </w:p>
        </w:tc>
        <w:tc>
          <w:tcPr>
            <w:tcW w:w="1134" w:type="dxa"/>
            <w:vMerge w:val="restart"/>
            <w:vAlign w:val="center"/>
          </w:tcPr>
          <w:p w14:paraId="3DDFD32F">
            <w:pPr>
              <w:pStyle w:val="10"/>
            </w:pPr>
            <w:r>
              <w:t>上年结转</w:t>
            </w:r>
          </w:p>
        </w:tc>
      </w:tr>
      <w:tr w14:paraId="07E9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B7EFDB"/>
        </w:tc>
        <w:tc>
          <w:tcPr>
            <w:tcW w:w="992" w:type="dxa"/>
            <w:vAlign w:val="center"/>
          </w:tcPr>
          <w:p w14:paraId="07387A09">
            <w:pPr>
              <w:pStyle w:val="10"/>
            </w:pPr>
            <w:r>
              <w:t>科目    编码</w:t>
            </w:r>
          </w:p>
        </w:tc>
        <w:tc>
          <w:tcPr>
            <w:tcW w:w="1559" w:type="dxa"/>
            <w:vAlign w:val="center"/>
          </w:tcPr>
          <w:p w14:paraId="6EC08ECD">
            <w:pPr>
              <w:pStyle w:val="10"/>
            </w:pPr>
            <w:r>
              <w:t>科目名称</w:t>
            </w:r>
          </w:p>
        </w:tc>
        <w:tc>
          <w:tcPr>
            <w:tcW w:w="1134" w:type="dxa"/>
            <w:vMerge w:val="continue"/>
          </w:tcPr>
          <w:p w14:paraId="1D38EB22"/>
        </w:tc>
        <w:tc>
          <w:tcPr>
            <w:tcW w:w="1134" w:type="dxa"/>
            <w:vAlign w:val="center"/>
          </w:tcPr>
          <w:p w14:paraId="37F997C0">
            <w:pPr>
              <w:pStyle w:val="10"/>
            </w:pPr>
            <w:r>
              <w:t>小计</w:t>
            </w:r>
          </w:p>
        </w:tc>
        <w:tc>
          <w:tcPr>
            <w:tcW w:w="1134" w:type="dxa"/>
            <w:vAlign w:val="center"/>
          </w:tcPr>
          <w:p w14:paraId="208DE893">
            <w:pPr>
              <w:pStyle w:val="10"/>
            </w:pPr>
            <w:r>
              <w:t>财政拨款 收入</w:t>
            </w:r>
          </w:p>
        </w:tc>
        <w:tc>
          <w:tcPr>
            <w:tcW w:w="1134" w:type="dxa"/>
            <w:vAlign w:val="center"/>
          </w:tcPr>
          <w:p w14:paraId="50B7A245">
            <w:pPr>
              <w:pStyle w:val="10"/>
            </w:pPr>
            <w:r>
              <w:t>财政专户 收入</w:t>
            </w:r>
          </w:p>
        </w:tc>
        <w:tc>
          <w:tcPr>
            <w:tcW w:w="1134" w:type="dxa"/>
            <w:vAlign w:val="center"/>
          </w:tcPr>
          <w:p w14:paraId="40FA19EF">
            <w:pPr>
              <w:pStyle w:val="10"/>
            </w:pPr>
            <w:r>
              <w:t>事业收入</w:t>
            </w:r>
          </w:p>
        </w:tc>
        <w:tc>
          <w:tcPr>
            <w:tcW w:w="1134" w:type="dxa"/>
            <w:vAlign w:val="center"/>
          </w:tcPr>
          <w:p w14:paraId="3D4F0844">
            <w:pPr>
              <w:pStyle w:val="10"/>
            </w:pPr>
            <w:r>
              <w:t>经营收入</w:t>
            </w:r>
          </w:p>
        </w:tc>
        <w:tc>
          <w:tcPr>
            <w:tcW w:w="1134" w:type="dxa"/>
            <w:vAlign w:val="center"/>
          </w:tcPr>
          <w:p w14:paraId="41D2DB1E">
            <w:pPr>
              <w:pStyle w:val="10"/>
            </w:pPr>
            <w:r>
              <w:t>上级补助收入</w:t>
            </w:r>
          </w:p>
        </w:tc>
        <w:tc>
          <w:tcPr>
            <w:tcW w:w="1134" w:type="dxa"/>
            <w:vAlign w:val="center"/>
          </w:tcPr>
          <w:p w14:paraId="72B14B14">
            <w:pPr>
              <w:pStyle w:val="10"/>
            </w:pPr>
            <w:r>
              <w:t>附属单位上缴收入</w:t>
            </w:r>
          </w:p>
        </w:tc>
        <w:tc>
          <w:tcPr>
            <w:tcW w:w="1134" w:type="dxa"/>
            <w:vAlign w:val="center"/>
          </w:tcPr>
          <w:p w14:paraId="7BB93F82">
            <w:pPr>
              <w:pStyle w:val="10"/>
            </w:pPr>
            <w:r>
              <w:t>其他收入</w:t>
            </w:r>
          </w:p>
        </w:tc>
        <w:tc>
          <w:tcPr>
            <w:tcW w:w="1134" w:type="dxa"/>
            <w:vMerge w:val="continue"/>
          </w:tcPr>
          <w:p w14:paraId="7E01EA7B"/>
        </w:tc>
      </w:tr>
      <w:tr w14:paraId="0A47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41A035">
            <w:pPr>
              <w:pStyle w:val="10"/>
            </w:pPr>
            <w:r>
              <w:t>栏次</w:t>
            </w:r>
          </w:p>
        </w:tc>
        <w:tc>
          <w:tcPr>
            <w:tcW w:w="992" w:type="dxa"/>
            <w:vAlign w:val="center"/>
          </w:tcPr>
          <w:p w14:paraId="749547EF">
            <w:pPr>
              <w:pStyle w:val="10"/>
            </w:pPr>
            <w:r>
              <w:t>1</w:t>
            </w:r>
          </w:p>
        </w:tc>
        <w:tc>
          <w:tcPr>
            <w:tcW w:w="1559" w:type="dxa"/>
            <w:vAlign w:val="center"/>
          </w:tcPr>
          <w:p w14:paraId="43033384">
            <w:pPr>
              <w:pStyle w:val="10"/>
            </w:pPr>
            <w:r>
              <w:t>2</w:t>
            </w:r>
          </w:p>
        </w:tc>
        <w:tc>
          <w:tcPr>
            <w:tcW w:w="1134" w:type="dxa"/>
            <w:vAlign w:val="center"/>
          </w:tcPr>
          <w:p w14:paraId="1E829E75">
            <w:pPr>
              <w:pStyle w:val="10"/>
            </w:pPr>
            <w:r>
              <w:t>3</w:t>
            </w:r>
          </w:p>
        </w:tc>
        <w:tc>
          <w:tcPr>
            <w:tcW w:w="1134" w:type="dxa"/>
            <w:vAlign w:val="center"/>
          </w:tcPr>
          <w:p w14:paraId="6A1D6CAF">
            <w:pPr>
              <w:pStyle w:val="10"/>
            </w:pPr>
            <w:r>
              <w:t>4</w:t>
            </w:r>
          </w:p>
        </w:tc>
        <w:tc>
          <w:tcPr>
            <w:tcW w:w="1134" w:type="dxa"/>
            <w:vAlign w:val="center"/>
          </w:tcPr>
          <w:p w14:paraId="457BEB2D">
            <w:pPr>
              <w:pStyle w:val="10"/>
            </w:pPr>
            <w:r>
              <w:t>5</w:t>
            </w:r>
          </w:p>
        </w:tc>
        <w:tc>
          <w:tcPr>
            <w:tcW w:w="1134" w:type="dxa"/>
            <w:vAlign w:val="center"/>
          </w:tcPr>
          <w:p w14:paraId="1328C7C7">
            <w:pPr>
              <w:pStyle w:val="10"/>
            </w:pPr>
            <w:r>
              <w:t>6</w:t>
            </w:r>
          </w:p>
        </w:tc>
        <w:tc>
          <w:tcPr>
            <w:tcW w:w="1134" w:type="dxa"/>
            <w:vAlign w:val="center"/>
          </w:tcPr>
          <w:p w14:paraId="22891B0D">
            <w:pPr>
              <w:pStyle w:val="10"/>
            </w:pPr>
            <w:r>
              <w:t>7</w:t>
            </w:r>
          </w:p>
        </w:tc>
        <w:tc>
          <w:tcPr>
            <w:tcW w:w="1134" w:type="dxa"/>
            <w:vAlign w:val="center"/>
          </w:tcPr>
          <w:p w14:paraId="59635115">
            <w:pPr>
              <w:pStyle w:val="10"/>
            </w:pPr>
            <w:r>
              <w:t>8</w:t>
            </w:r>
          </w:p>
        </w:tc>
        <w:tc>
          <w:tcPr>
            <w:tcW w:w="1134" w:type="dxa"/>
            <w:vAlign w:val="center"/>
          </w:tcPr>
          <w:p w14:paraId="3578B84A">
            <w:pPr>
              <w:pStyle w:val="10"/>
            </w:pPr>
            <w:r>
              <w:t>9</w:t>
            </w:r>
          </w:p>
        </w:tc>
        <w:tc>
          <w:tcPr>
            <w:tcW w:w="1134" w:type="dxa"/>
            <w:vAlign w:val="center"/>
          </w:tcPr>
          <w:p w14:paraId="5561CC89">
            <w:pPr>
              <w:pStyle w:val="10"/>
            </w:pPr>
            <w:r>
              <w:t>10</w:t>
            </w:r>
          </w:p>
        </w:tc>
        <w:tc>
          <w:tcPr>
            <w:tcW w:w="1134" w:type="dxa"/>
            <w:vAlign w:val="center"/>
          </w:tcPr>
          <w:p w14:paraId="58A9240B">
            <w:pPr>
              <w:pStyle w:val="10"/>
            </w:pPr>
            <w:r>
              <w:t>11</w:t>
            </w:r>
          </w:p>
        </w:tc>
        <w:tc>
          <w:tcPr>
            <w:tcW w:w="1134" w:type="dxa"/>
            <w:vAlign w:val="center"/>
          </w:tcPr>
          <w:p w14:paraId="4FD19652">
            <w:pPr>
              <w:pStyle w:val="10"/>
            </w:pPr>
            <w:r>
              <w:t>12</w:t>
            </w:r>
          </w:p>
        </w:tc>
      </w:tr>
      <w:tr w14:paraId="4133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45476">
            <w:pPr>
              <w:pStyle w:val="13"/>
            </w:pPr>
            <w:r>
              <w:t>1</w:t>
            </w:r>
          </w:p>
        </w:tc>
        <w:tc>
          <w:tcPr>
            <w:tcW w:w="992" w:type="dxa"/>
            <w:vAlign w:val="center"/>
          </w:tcPr>
          <w:p w14:paraId="0EC9838B">
            <w:pPr>
              <w:pStyle w:val="16"/>
            </w:pPr>
          </w:p>
        </w:tc>
        <w:tc>
          <w:tcPr>
            <w:tcW w:w="1559" w:type="dxa"/>
            <w:vAlign w:val="center"/>
          </w:tcPr>
          <w:p w14:paraId="25CAB38B">
            <w:pPr>
              <w:pStyle w:val="14"/>
            </w:pPr>
            <w:r>
              <w:t>合计</w:t>
            </w:r>
          </w:p>
        </w:tc>
        <w:tc>
          <w:tcPr>
            <w:tcW w:w="1134" w:type="dxa"/>
            <w:vAlign w:val="center"/>
          </w:tcPr>
          <w:p w14:paraId="3E82C6FD">
            <w:pPr>
              <w:pStyle w:val="15"/>
            </w:pPr>
            <w:r>
              <w:t>607.38</w:t>
            </w:r>
          </w:p>
        </w:tc>
        <w:tc>
          <w:tcPr>
            <w:tcW w:w="1134" w:type="dxa"/>
            <w:vAlign w:val="center"/>
          </w:tcPr>
          <w:p w14:paraId="57EC81C4">
            <w:pPr>
              <w:pStyle w:val="15"/>
            </w:pPr>
            <w:r>
              <w:t>607.38</w:t>
            </w:r>
          </w:p>
        </w:tc>
        <w:tc>
          <w:tcPr>
            <w:tcW w:w="1134" w:type="dxa"/>
            <w:vAlign w:val="center"/>
          </w:tcPr>
          <w:p w14:paraId="53ACB5C9">
            <w:pPr>
              <w:pStyle w:val="15"/>
            </w:pPr>
            <w:r>
              <w:t>607.38</w:t>
            </w:r>
          </w:p>
        </w:tc>
        <w:tc>
          <w:tcPr>
            <w:tcW w:w="1134" w:type="dxa"/>
            <w:vAlign w:val="center"/>
          </w:tcPr>
          <w:p w14:paraId="13DC0BEB">
            <w:pPr>
              <w:pStyle w:val="15"/>
            </w:pPr>
          </w:p>
        </w:tc>
        <w:tc>
          <w:tcPr>
            <w:tcW w:w="1134" w:type="dxa"/>
            <w:vAlign w:val="center"/>
          </w:tcPr>
          <w:p w14:paraId="473D090A">
            <w:pPr>
              <w:pStyle w:val="15"/>
            </w:pPr>
          </w:p>
        </w:tc>
        <w:tc>
          <w:tcPr>
            <w:tcW w:w="1134" w:type="dxa"/>
            <w:vAlign w:val="center"/>
          </w:tcPr>
          <w:p w14:paraId="5D156133">
            <w:pPr>
              <w:pStyle w:val="15"/>
            </w:pPr>
          </w:p>
        </w:tc>
        <w:tc>
          <w:tcPr>
            <w:tcW w:w="1134" w:type="dxa"/>
            <w:vAlign w:val="center"/>
          </w:tcPr>
          <w:p w14:paraId="7EDFA752">
            <w:pPr>
              <w:pStyle w:val="15"/>
            </w:pPr>
          </w:p>
        </w:tc>
        <w:tc>
          <w:tcPr>
            <w:tcW w:w="1134" w:type="dxa"/>
            <w:vAlign w:val="center"/>
          </w:tcPr>
          <w:p w14:paraId="69D64007">
            <w:pPr>
              <w:pStyle w:val="15"/>
            </w:pPr>
          </w:p>
        </w:tc>
        <w:tc>
          <w:tcPr>
            <w:tcW w:w="1134" w:type="dxa"/>
            <w:vAlign w:val="center"/>
          </w:tcPr>
          <w:p w14:paraId="09EC8A26">
            <w:pPr>
              <w:pStyle w:val="15"/>
            </w:pPr>
          </w:p>
        </w:tc>
        <w:tc>
          <w:tcPr>
            <w:tcW w:w="1134" w:type="dxa"/>
            <w:vAlign w:val="center"/>
          </w:tcPr>
          <w:p w14:paraId="3278CF2C">
            <w:pPr>
              <w:pStyle w:val="15"/>
            </w:pPr>
          </w:p>
        </w:tc>
      </w:tr>
      <w:tr w14:paraId="6A41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E7F3D">
            <w:pPr>
              <w:pStyle w:val="13"/>
            </w:pPr>
            <w:r>
              <w:t>2</w:t>
            </w:r>
          </w:p>
        </w:tc>
        <w:tc>
          <w:tcPr>
            <w:tcW w:w="992" w:type="dxa"/>
            <w:vAlign w:val="center"/>
          </w:tcPr>
          <w:p w14:paraId="3959CE1E">
            <w:pPr>
              <w:pStyle w:val="12"/>
            </w:pPr>
            <w:r>
              <w:t>205</w:t>
            </w:r>
          </w:p>
        </w:tc>
        <w:tc>
          <w:tcPr>
            <w:tcW w:w="1559" w:type="dxa"/>
            <w:vAlign w:val="center"/>
          </w:tcPr>
          <w:p w14:paraId="0820C9D1">
            <w:pPr>
              <w:pStyle w:val="12"/>
            </w:pPr>
            <w:r>
              <w:t>教育支出</w:t>
            </w:r>
          </w:p>
        </w:tc>
        <w:tc>
          <w:tcPr>
            <w:tcW w:w="1134" w:type="dxa"/>
            <w:vAlign w:val="center"/>
          </w:tcPr>
          <w:p w14:paraId="2B3CED2B">
            <w:pPr>
              <w:pStyle w:val="11"/>
            </w:pPr>
            <w:r>
              <w:t>607.38</w:t>
            </w:r>
          </w:p>
        </w:tc>
        <w:tc>
          <w:tcPr>
            <w:tcW w:w="1134" w:type="dxa"/>
            <w:vAlign w:val="center"/>
          </w:tcPr>
          <w:p w14:paraId="39A0EE4C">
            <w:pPr>
              <w:pStyle w:val="11"/>
            </w:pPr>
            <w:r>
              <w:t>607.38</w:t>
            </w:r>
          </w:p>
        </w:tc>
        <w:tc>
          <w:tcPr>
            <w:tcW w:w="1134" w:type="dxa"/>
            <w:vAlign w:val="center"/>
          </w:tcPr>
          <w:p w14:paraId="5DF906D5">
            <w:pPr>
              <w:pStyle w:val="11"/>
            </w:pPr>
            <w:r>
              <w:t>607.38</w:t>
            </w:r>
          </w:p>
        </w:tc>
        <w:tc>
          <w:tcPr>
            <w:tcW w:w="1134" w:type="dxa"/>
            <w:vAlign w:val="center"/>
          </w:tcPr>
          <w:p w14:paraId="21AD419F">
            <w:pPr>
              <w:pStyle w:val="11"/>
            </w:pPr>
          </w:p>
        </w:tc>
        <w:tc>
          <w:tcPr>
            <w:tcW w:w="1134" w:type="dxa"/>
            <w:vAlign w:val="center"/>
          </w:tcPr>
          <w:p w14:paraId="51DE66CE">
            <w:pPr>
              <w:pStyle w:val="11"/>
            </w:pPr>
          </w:p>
        </w:tc>
        <w:tc>
          <w:tcPr>
            <w:tcW w:w="1134" w:type="dxa"/>
            <w:vAlign w:val="center"/>
          </w:tcPr>
          <w:p w14:paraId="0D8FE7FA">
            <w:pPr>
              <w:pStyle w:val="11"/>
            </w:pPr>
          </w:p>
        </w:tc>
        <w:tc>
          <w:tcPr>
            <w:tcW w:w="1134" w:type="dxa"/>
            <w:vAlign w:val="center"/>
          </w:tcPr>
          <w:p w14:paraId="22A94268">
            <w:pPr>
              <w:pStyle w:val="11"/>
            </w:pPr>
          </w:p>
        </w:tc>
        <w:tc>
          <w:tcPr>
            <w:tcW w:w="1134" w:type="dxa"/>
            <w:vAlign w:val="center"/>
          </w:tcPr>
          <w:p w14:paraId="6A01C21E">
            <w:pPr>
              <w:pStyle w:val="11"/>
            </w:pPr>
          </w:p>
        </w:tc>
        <w:tc>
          <w:tcPr>
            <w:tcW w:w="1134" w:type="dxa"/>
            <w:vAlign w:val="center"/>
          </w:tcPr>
          <w:p w14:paraId="789CC219">
            <w:pPr>
              <w:pStyle w:val="11"/>
            </w:pPr>
          </w:p>
        </w:tc>
        <w:tc>
          <w:tcPr>
            <w:tcW w:w="1134" w:type="dxa"/>
            <w:vAlign w:val="center"/>
          </w:tcPr>
          <w:p w14:paraId="05DE51A9">
            <w:pPr>
              <w:pStyle w:val="11"/>
            </w:pPr>
          </w:p>
        </w:tc>
      </w:tr>
      <w:tr w14:paraId="5CF0B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DD6C8">
            <w:pPr>
              <w:pStyle w:val="13"/>
            </w:pPr>
            <w:r>
              <w:t>3</w:t>
            </w:r>
          </w:p>
        </w:tc>
        <w:tc>
          <w:tcPr>
            <w:tcW w:w="992" w:type="dxa"/>
            <w:vAlign w:val="center"/>
          </w:tcPr>
          <w:p w14:paraId="0F875342">
            <w:pPr>
              <w:pStyle w:val="12"/>
            </w:pPr>
            <w:r>
              <w:t>20502</w:t>
            </w:r>
          </w:p>
        </w:tc>
        <w:tc>
          <w:tcPr>
            <w:tcW w:w="1559" w:type="dxa"/>
            <w:vAlign w:val="center"/>
          </w:tcPr>
          <w:p w14:paraId="04D175FA">
            <w:pPr>
              <w:pStyle w:val="12"/>
            </w:pPr>
            <w:r>
              <w:t>普通教育</w:t>
            </w:r>
          </w:p>
        </w:tc>
        <w:tc>
          <w:tcPr>
            <w:tcW w:w="1134" w:type="dxa"/>
            <w:vAlign w:val="center"/>
          </w:tcPr>
          <w:p w14:paraId="1EC62FD5">
            <w:pPr>
              <w:pStyle w:val="11"/>
            </w:pPr>
            <w:r>
              <w:t>607.38</w:t>
            </w:r>
          </w:p>
        </w:tc>
        <w:tc>
          <w:tcPr>
            <w:tcW w:w="1134" w:type="dxa"/>
            <w:vAlign w:val="center"/>
          </w:tcPr>
          <w:p w14:paraId="795622F6">
            <w:pPr>
              <w:pStyle w:val="11"/>
            </w:pPr>
            <w:r>
              <w:t>607.38</w:t>
            </w:r>
          </w:p>
        </w:tc>
        <w:tc>
          <w:tcPr>
            <w:tcW w:w="1134" w:type="dxa"/>
            <w:vAlign w:val="center"/>
          </w:tcPr>
          <w:p w14:paraId="4B3BA19C">
            <w:pPr>
              <w:pStyle w:val="11"/>
            </w:pPr>
            <w:r>
              <w:t>607.38</w:t>
            </w:r>
          </w:p>
        </w:tc>
        <w:tc>
          <w:tcPr>
            <w:tcW w:w="1134" w:type="dxa"/>
            <w:vAlign w:val="center"/>
          </w:tcPr>
          <w:p w14:paraId="7CA00562">
            <w:pPr>
              <w:pStyle w:val="11"/>
            </w:pPr>
          </w:p>
        </w:tc>
        <w:tc>
          <w:tcPr>
            <w:tcW w:w="1134" w:type="dxa"/>
            <w:vAlign w:val="center"/>
          </w:tcPr>
          <w:p w14:paraId="5D6C9D35">
            <w:pPr>
              <w:pStyle w:val="11"/>
            </w:pPr>
          </w:p>
        </w:tc>
        <w:tc>
          <w:tcPr>
            <w:tcW w:w="1134" w:type="dxa"/>
            <w:vAlign w:val="center"/>
          </w:tcPr>
          <w:p w14:paraId="254E2644">
            <w:pPr>
              <w:pStyle w:val="11"/>
            </w:pPr>
          </w:p>
        </w:tc>
        <w:tc>
          <w:tcPr>
            <w:tcW w:w="1134" w:type="dxa"/>
            <w:vAlign w:val="center"/>
          </w:tcPr>
          <w:p w14:paraId="4878101C">
            <w:pPr>
              <w:pStyle w:val="11"/>
            </w:pPr>
          </w:p>
        </w:tc>
        <w:tc>
          <w:tcPr>
            <w:tcW w:w="1134" w:type="dxa"/>
            <w:vAlign w:val="center"/>
          </w:tcPr>
          <w:p w14:paraId="6692C1FD">
            <w:pPr>
              <w:pStyle w:val="11"/>
            </w:pPr>
          </w:p>
        </w:tc>
        <w:tc>
          <w:tcPr>
            <w:tcW w:w="1134" w:type="dxa"/>
            <w:vAlign w:val="center"/>
          </w:tcPr>
          <w:p w14:paraId="7122456F">
            <w:pPr>
              <w:pStyle w:val="11"/>
            </w:pPr>
          </w:p>
        </w:tc>
        <w:tc>
          <w:tcPr>
            <w:tcW w:w="1134" w:type="dxa"/>
            <w:vAlign w:val="center"/>
          </w:tcPr>
          <w:p w14:paraId="5D62F3E4">
            <w:pPr>
              <w:pStyle w:val="11"/>
            </w:pPr>
          </w:p>
        </w:tc>
      </w:tr>
      <w:tr w14:paraId="3F73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C625D">
            <w:pPr>
              <w:pStyle w:val="13"/>
            </w:pPr>
            <w:r>
              <w:t>4</w:t>
            </w:r>
          </w:p>
        </w:tc>
        <w:tc>
          <w:tcPr>
            <w:tcW w:w="992" w:type="dxa"/>
            <w:vAlign w:val="center"/>
          </w:tcPr>
          <w:p w14:paraId="76A601E7">
            <w:pPr>
              <w:pStyle w:val="12"/>
            </w:pPr>
            <w:r>
              <w:t>2050203</w:t>
            </w:r>
          </w:p>
        </w:tc>
        <w:tc>
          <w:tcPr>
            <w:tcW w:w="1559" w:type="dxa"/>
            <w:vAlign w:val="center"/>
          </w:tcPr>
          <w:p w14:paraId="41ADF15B">
            <w:pPr>
              <w:pStyle w:val="12"/>
            </w:pPr>
            <w:r>
              <w:t>初中教育</w:t>
            </w:r>
          </w:p>
        </w:tc>
        <w:tc>
          <w:tcPr>
            <w:tcW w:w="1134" w:type="dxa"/>
            <w:vAlign w:val="center"/>
          </w:tcPr>
          <w:p w14:paraId="7BB1901D">
            <w:pPr>
              <w:pStyle w:val="11"/>
            </w:pPr>
            <w:r>
              <w:t>607.38</w:t>
            </w:r>
          </w:p>
        </w:tc>
        <w:tc>
          <w:tcPr>
            <w:tcW w:w="1134" w:type="dxa"/>
            <w:vAlign w:val="center"/>
          </w:tcPr>
          <w:p w14:paraId="00B3C34F">
            <w:pPr>
              <w:pStyle w:val="11"/>
            </w:pPr>
            <w:r>
              <w:t>607.38</w:t>
            </w:r>
          </w:p>
        </w:tc>
        <w:tc>
          <w:tcPr>
            <w:tcW w:w="1134" w:type="dxa"/>
            <w:vAlign w:val="center"/>
          </w:tcPr>
          <w:p w14:paraId="15CC8FBA">
            <w:pPr>
              <w:pStyle w:val="11"/>
            </w:pPr>
            <w:r>
              <w:t>607.38</w:t>
            </w:r>
          </w:p>
        </w:tc>
        <w:tc>
          <w:tcPr>
            <w:tcW w:w="1134" w:type="dxa"/>
            <w:vAlign w:val="center"/>
          </w:tcPr>
          <w:p w14:paraId="2B647888">
            <w:pPr>
              <w:pStyle w:val="11"/>
            </w:pPr>
          </w:p>
        </w:tc>
        <w:tc>
          <w:tcPr>
            <w:tcW w:w="1134" w:type="dxa"/>
            <w:vAlign w:val="center"/>
          </w:tcPr>
          <w:p w14:paraId="0201B9FF">
            <w:pPr>
              <w:pStyle w:val="11"/>
            </w:pPr>
          </w:p>
        </w:tc>
        <w:tc>
          <w:tcPr>
            <w:tcW w:w="1134" w:type="dxa"/>
            <w:vAlign w:val="center"/>
          </w:tcPr>
          <w:p w14:paraId="78D43153">
            <w:pPr>
              <w:pStyle w:val="11"/>
            </w:pPr>
          </w:p>
        </w:tc>
        <w:tc>
          <w:tcPr>
            <w:tcW w:w="1134" w:type="dxa"/>
            <w:vAlign w:val="center"/>
          </w:tcPr>
          <w:p w14:paraId="3EFEF60C">
            <w:pPr>
              <w:pStyle w:val="11"/>
            </w:pPr>
          </w:p>
        </w:tc>
        <w:tc>
          <w:tcPr>
            <w:tcW w:w="1134" w:type="dxa"/>
            <w:vAlign w:val="center"/>
          </w:tcPr>
          <w:p w14:paraId="2BC371D5">
            <w:pPr>
              <w:pStyle w:val="11"/>
            </w:pPr>
          </w:p>
        </w:tc>
        <w:tc>
          <w:tcPr>
            <w:tcW w:w="1134" w:type="dxa"/>
            <w:vAlign w:val="center"/>
          </w:tcPr>
          <w:p w14:paraId="12EE802C">
            <w:pPr>
              <w:pStyle w:val="11"/>
            </w:pPr>
          </w:p>
        </w:tc>
        <w:tc>
          <w:tcPr>
            <w:tcW w:w="1134" w:type="dxa"/>
            <w:vAlign w:val="center"/>
          </w:tcPr>
          <w:p w14:paraId="150806E8">
            <w:pPr>
              <w:pStyle w:val="11"/>
            </w:pPr>
          </w:p>
        </w:tc>
      </w:tr>
    </w:tbl>
    <w:p w14:paraId="549AB6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AD0C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982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127D45">
            <w:pPr>
              <w:pStyle w:val="9"/>
            </w:pPr>
            <w:r>
              <w:t>360033隆尧县大张庄中学</w:t>
            </w:r>
          </w:p>
        </w:tc>
        <w:tc>
          <w:tcPr>
            <w:tcW w:w="2722" w:type="dxa"/>
            <w:gridSpan w:val="2"/>
            <w:tcBorders>
              <w:top w:val="single" w:color="FFFFFF" w:sz="6" w:space="0"/>
              <w:left w:val="single" w:color="FFFFFF" w:sz="6" w:space="0"/>
              <w:right w:val="single" w:color="FFFFFF" w:sz="6" w:space="0"/>
            </w:tcBorders>
            <w:vAlign w:val="center"/>
          </w:tcPr>
          <w:p w14:paraId="00D2F30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94FC9C3">
            <w:pPr>
              <w:pStyle w:val="7"/>
            </w:pPr>
            <w:r>
              <w:t>单位：万元</w:t>
            </w:r>
          </w:p>
        </w:tc>
      </w:tr>
      <w:tr w14:paraId="0AFD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8C3CDE">
            <w:pPr>
              <w:pStyle w:val="10"/>
            </w:pPr>
            <w:r>
              <w:t>序号</w:t>
            </w:r>
          </w:p>
        </w:tc>
        <w:tc>
          <w:tcPr>
            <w:tcW w:w="5527" w:type="dxa"/>
            <w:gridSpan w:val="2"/>
            <w:vAlign w:val="center"/>
          </w:tcPr>
          <w:p w14:paraId="357E9D3F">
            <w:pPr>
              <w:pStyle w:val="10"/>
            </w:pPr>
            <w:r>
              <w:t>功能分类科目</w:t>
            </w:r>
          </w:p>
        </w:tc>
        <w:tc>
          <w:tcPr>
            <w:tcW w:w="1361" w:type="dxa"/>
            <w:vMerge w:val="restart"/>
            <w:vAlign w:val="center"/>
          </w:tcPr>
          <w:p w14:paraId="3B32F7E9">
            <w:pPr>
              <w:pStyle w:val="10"/>
            </w:pPr>
            <w:r>
              <w:t>合计</w:t>
            </w:r>
          </w:p>
        </w:tc>
        <w:tc>
          <w:tcPr>
            <w:tcW w:w="1361" w:type="dxa"/>
            <w:vMerge w:val="restart"/>
            <w:vAlign w:val="center"/>
          </w:tcPr>
          <w:p w14:paraId="0EF977F3">
            <w:pPr>
              <w:pStyle w:val="10"/>
            </w:pPr>
            <w:r>
              <w:t>基本支出</w:t>
            </w:r>
          </w:p>
        </w:tc>
        <w:tc>
          <w:tcPr>
            <w:tcW w:w="1361" w:type="dxa"/>
            <w:vMerge w:val="restart"/>
            <w:vAlign w:val="center"/>
          </w:tcPr>
          <w:p w14:paraId="6EC5C4AF">
            <w:pPr>
              <w:pStyle w:val="10"/>
            </w:pPr>
            <w:r>
              <w:t>项目支出</w:t>
            </w:r>
          </w:p>
        </w:tc>
        <w:tc>
          <w:tcPr>
            <w:tcW w:w="1361" w:type="dxa"/>
            <w:vMerge w:val="restart"/>
            <w:vAlign w:val="center"/>
          </w:tcPr>
          <w:p w14:paraId="34B8AE26">
            <w:pPr>
              <w:pStyle w:val="10"/>
            </w:pPr>
            <w:r>
              <w:t>经营支出</w:t>
            </w:r>
          </w:p>
        </w:tc>
        <w:tc>
          <w:tcPr>
            <w:tcW w:w="1361" w:type="dxa"/>
            <w:vMerge w:val="restart"/>
            <w:vAlign w:val="center"/>
          </w:tcPr>
          <w:p w14:paraId="7ECCE2B3">
            <w:pPr>
              <w:pStyle w:val="10"/>
            </w:pPr>
            <w:r>
              <w:t>上解上级     支出</w:t>
            </w:r>
          </w:p>
        </w:tc>
        <w:tc>
          <w:tcPr>
            <w:tcW w:w="1361" w:type="dxa"/>
            <w:vMerge w:val="restart"/>
            <w:vAlign w:val="center"/>
          </w:tcPr>
          <w:p w14:paraId="467EFDBB">
            <w:pPr>
              <w:pStyle w:val="10"/>
            </w:pPr>
            <w:r>
              <w:t>对附属单位补助支出</w:t>
            </w:r>
          </w:p>
        </w:tc>
      </w:tr>
      <w:tr w14:paraId="59790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A5EBA"/>
        </w:tc>
        <w:tc>
          <w:tcPr>
            <w:tcW w:w="992" w:type="dxa"/>
            <w:vAlign w:val="center"/>
          </w:tcPr>
          <w:p w14:paraId="5FA8D09F">
            <w:pPr>
              <w:pStyle w:val="10"/>
            </w:pPr>
            <w:r>
              <w:t>科目    编码</w:t>
            </w:r>
          </w:p>
        </w:tc>
        <w:tc>
          <w:tcPr>
            <w:tcW w:w="4535" w:type="dxa"/>
            <w:vAlign w:val="center"/>
          </w:tcPr>
          <w:p w14:paraId="129C6FB7">
            <w:pPr>
              <w:pStyle w:val="10"/>
            </w:pPr>
            <w:r>
              <w:t>科目名称</w:t>
            </w:r>
          </w:p>
        </w:tc>
        <w:tc>
          <w:tcPr>
            <w:tcW w:w="1361" w:type="dxa"/>
            <w:vMerge w:val="continue"/>
          </w:tcPr>
          <w:p w14:paraId="6A85E0B5"/>
        </w:tc>
        <w:tc>
          <w:tcPr>
            <w:tcW w:w="1361" w:type="dxa"/>
            <w:vMerge w:val="continue"/>
          </w:tcPr>
          <w:p w14:paraId="29F79205"/>
        </w:tc>
        <w:tc>
          <w:tcPr>
            <w:tcW w:w="1361" w:type="dxa"/>
            <w:vMerge w:val="continue"/>
          </w:tcPr>
          <w:p w14:paraId="332F4ED6"/>
        </w:tc>
        <w:tc>
          <w:tcPr>
            <w:tcW w:w="1361" w:type="dxa"/>
            <w:vMerge w:val="continue"/>
          </w:tcPr>
          <w:p w14:paraId="20F6AD84"/>
        </w:tc>
        <w:tc>
          <w:tcPr>
            <w:tcW w:w="1361" w:type="dxa"/>
            <w:vMerge w:val="continue"/>
          </w:tcPr>
          <w:p w14:paraId="15D5CB81"/>
        </w:tc>
        <w:tc>
          <w:tcPr>
            <w:tcW w:w="1361" w:type="dxa"/>
            <w:vMerge w:val="continue"/>
          </w:tcPr>
          <w:p w14:paraId="224C8887"/>
        </w:tc>
      </w:tr>
      <w:tr w14:paraId="7220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1E6FF4">
            <w:pPr>
              <w:pStyle w:val="10"/>
            </w:pPr>
            <w:r>
              <w:t>栏次</w:t>
            </w:r>
          </w:p>
        </w:tc>
        <w:tc>
          <w:tcPr>
            <w:tcW w:w="992" w:type="dxa"/>
            <w:vAlign w:val="center"/>
          </w:tcPr>
          <w:p w14:paraId="7CED023F">
            <w:pPr>
              <w:pStyle w:val="10"/>
            </w:pPr>
            <w:r>
              <w:t>1</w:t>
            </w:r>
          </w:p>
        </w:tc>
        <w:tc>
          <w:tcPr>
            <w:tcW w:w="4535" w:type="dxa"/>
            <w:vAlign w:val="center"/>
          </w:tcPr>
          <w:p w14:paraId="34C971F8">
            <w:pPr>
              <w:pStyle w:val="10"/>
            </w:pPr>
            <w:r>
              <w:t>2</w:t>
            </w:r>
          </w:p>
        </w:tc>
        <w:tc>
          <w:tcPr>
            <w:tcW w:w="1361" w:type="dxa"/>
            <w:vAlign w:val="center"/>
          </w:tcPr>
          <w:p w14:paraId="0FC46BC4">
            <w:pPr>
              <w:pStyle w:val="10"/>
            </w:pPr>
            <w:r>
              <w:t>3</w:t>
            </w:r>
          </w:p>
        </w:tc>
        <w:tc>
          <w:tcPr>
            <w:tcW w:w="1361" w:type="dxa"/>
            <w:vAlign w:val="center"/>
          </w:tcPr>
          <w:p w14:paraId="03732AC0">
            <w:pPr>
              <w:pStyle w:val="10"/>
            </w:pPr>
            <w:r>
              <w:t>4</w:t>
            </w:r>
          </w:p>
        </w:tc>
        <w:tc>
          <w:tcPr>
            <w:tcW w:w="1361" w:type="dxa"/>
            <w:vAlign w:val="center"/>
          </w:tcPr>
          <w:p w14:paraId="4F995E37">
            <w:pPr>
              <w:pStyle w:val="10"/>
            </w:pPr>
            <w:r>
              <w:t>5</w:t>
            </w:r>
          </w:p>
        </w:tc>
        <w:tc>
          <w:tcPr>
            <w:tcW w:w="1361" w:type="dxa"/>
            <w:vAlign w:val="center"/>
          </w:tcPr>
          <w:p w14:paraId="2AA1B5FB">
            <w:pPr>
              <w:pStyle w:val="10"/>
            </w:pPr>
            <w:r>
              <w:t>6</w:t>
            </w:r>
          </w:p>
        </w:tc>
        <w:tc>
          <w:tcPr>
            <w:tcW w:w="1361" w:type="dxa"/>
            <w:vAlign w:val="center"/>
          </w:tcPr>
          <w:p w14:paraId="34CCBEB7">
            <w:pPr>
              <w:pStyle w:val="10"/>
            </w:pPr>
            <w:r>
              <w:t>7</w:t>
            </w:r>
          </w:p>
        </w:tc>
        <w:tc>
          <w:tcPr>
            <w:tcW w:w="1361" w:type="dxa"/>
            <w:vAlign w:val="center"/>
          </w:tcPr>
          <w:p w14:paraId="1AE55F96">
            <w:pPr>
              <w:pStyle w:val="10"/>
            </w:pPr>
            <w:r>
              <w:t>8</w:t>
            </w:r>
          </w:p>
        </w:tc>
      </w:tr>
      <w:tr w14:paraId="2955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FE3CB">
            <w:pPr>
              <w:pStyle w:val="13"/>
            </w:pPr>
            <w:r>
              <w:t>1</w:t>
            </w:r>
          </w:p>
        </w:tc>
        <w:tc>
          <w:tcPr>
            <w:tcW w:w="992" w:type="dxa"/>
            <w:vAlign w:val="center"/>
          </w:tcPr>
          <w:p w14:paraId="6808FBBF">
            <w:pPr>
              <w:pStyle w:val="16"/>
            </w:pPr>
          </w:p>
        </w:tc>
        <w:tc>
          <w:tcPr>
            <w:tcW w:w="4535" w:type="dxa"/>
            <w:vAlign w:val="center"/>
          </w:tcPr>
          <w:p w14:paraId="01F196A8">
            <w:pPr>
              <w:pStyle w:val="14"/>
            </w:pPr>
            <w:r>
              <w:t>合计</w:t>
            </w:r>
          </w:p>
        </w:tc>
        <w:tc>
          <w:tcPr>
            <w:tcW w:w="1361" w:type="dxa"/>
            <w:vAlign w:val="center"/>
          </w:tcPr>
          <w:p w14:paraId="4376FA26">
            <w:pPr>
              <w:pStyle w:val="15"/>
            </w:pPr>
            <w:r>
              <w:t>607.38</w:t>
            </w:r>
          </w:p>
        </w:tc>
        <w:tc>
          <w:tcPr>
            <w:tcW w:w="1361" w:type="dxa"/>
            <w:vAlign w:val="center"/>
          </w:tcPr>
          <w:p w14:paraId="04C5582F">
            <w:pPr>
              <w:pStyle w:val="15"/>
            </w:pPr>
            <w:r>
              <w:t>391.37</w:t>
            </w:r>
          </w:p>
        </w:tc>
        <w:tc>
          <w:tcPr>
            <w:tcW w:w="1361" w:type="dxa"/>
            <w:vAlign w:val="center"/>
          </w:tcPr>
          <w:p w14:paraId="38F7DD25">
            <w:pPr>
              <w:pStyle w:val="15"/>
            </w:pPr>
            <w:r>
              <w:t>216.01</w:t>
            </w:r>
          </w:p>
        </w:tc>
        <w:tc>
          <w:tcPr>
            <w:tcW w:w="1361" w:type="dxa"/>
            <w:vAlign w:val="center"/>
          </w:tcPr>
          <w:p w14:paraId="53EA97A3">
            <w:pPr>
              <w:pStyle w:val="15"/>
            </w:pPr>
          </w:p>
        </w:tc>
        <w:tc>
          <w:tcPr>
            <w:tcW w:w="1361" w:type="dxa"/>
            <w:vAlign w:val="center"/>
          </w:tcPr>
          <w:p w14:paraId="05BB551E">
            <w:pPr>
              <w:pStyle w:val="15"/>
            </w:pPr>
          </w:p>
        </w:tc>
        <w:tc>
          <w:tcPr>
            <w:tcW w:w="1361" w:type="dxa"/>
            <w:vAlign w:val="center"/>
          </w:tcPr>
          <w:p w14:paraId="1223E267">
            <w:pPr>
              <w:pStyle w:val="15"/>
            </w:pPr>
          </w:p>
        </w:tc>
      </w:tr>
      <w:tr w14:paraId="76A0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4C50A">
            <w:pPr>
              <w:pStyle w:val="13"/>
            </w:pPr>
            <w:r>
              <w:t>2</w:t>
            </w:r>
          </w:p>
        </w:tc>
        <w:tc>
          <w:tcPr>
            <w:tcW w:w="992" w:type="dxa"/>
            <w:vAlign w:val="center"/>
          </w:tcPr>
          <w:p w14:paraId="3FA5F1E8">
            <w:pPr>
              <w:pStyle w:val="12"/>
            </w:pPr>
            <w:r>
              <w:t>205</w:t>
            </w:r>
          </w:p>
        </w:tc>
        <w:tc>
          <w:tcPr>
            <w:tcW w:w="4535" w:type="dxa"/>
            <w:vAlign w:val="center"/>
          </w:tcPr>
          <w:p w14:paraId="32C7D256">
            <w:pPr>
              <w:pStyle w:val="12"/>
            </w:pPr>
            <w:r>
              <w:t>教育支出</w:t>
            </w:r>
          </w:p>
        </w:tc>
        <w:tc>
          <w:tcPr>
            <w:tcW w:w="1361" w:type="dxa"/>
            <w:vAlign w:val="center"/>
          </w:tcPr>
          <w:p w14:paraId="75C5BAA6">
            <w:pPr>
              <w:pStyle w:val="11"/>
            </w:pPr>
            <w:r>
              <w:t>607.38</w:t>
            </w:r>
          </w:p>
        </w:tc>
        <w:tc>
          <w:tcPr>
            <w:tcW w:w="1361" w:type="dxa"/>
            <w:vAlign w:val="center"/>
          </w:tcPr>
          <w:p w14:paraId="55747387">
            <w:pPr>
              <w:pStyle w:val="11"/>
            </w:pPr>
            <w:r>
              <w:t>391.37</w:t>
            </w:r>
          </w:p>
        </w:tc>
        <w:tc>
          <w:tcPr>
            <w:tcW w:w="1361" w:type="dxa"/>
            <w:vAlign w:val="center"/>
          </w:tcPr>
          <w:p w14:paraId="19B48972">
            <w:pPr>
              <w:pStyle w:val="11"/>
            </w:pPr>
            <w:r>
              <w:t>216.01</w:t>
            </w:r>
          </w:p>
        </w:tc>
        <w:tc>
          <w:tcPr>
            <w:tcW w:w="1361" w:type="dxa"/>
            <w:vAlign w:val="center"/>
          </w:tcPr>
          <w:p w14:paraId="5990AF1B">
            <w:pPr>
              <w:pStyle w:val="11"/>
            </w:pPr>
          </w:p>
        </w:tc>
        <w:tc>
          <w:tcPr>
            <w:tcW w:w="1361" w:type="dxa"/>
            <w:vAlign w:val="center"/>
          </w:tcPr>
          <w:p w14:paraId="03799414">
            <w:pPr>
              <w:pStyle w:val="11"/>
            </w:pPr>
          </w:p>
        </w:tc>
        <w:tc>
          <w:tcPr>
            <w:tcW w:w="1361" w:type="dxa"/>
            <w:vAlign w:val="center"/>
          </w:tcPr>
          <w:p w14:paraId="5D35C486">
            <w:pPr>
              <w:pStyle w:val="11"/>
            </w:pPr>
          </w:p>
        </w:tc>
      </w:tr>
      <w:tr w14:paraId="4E2F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30CC6">
            <w:pPr>
              <w:pStyle w:val="13"/>
            </w:pPr>
            <w:r>
              <w:t>3</w:t>
            </w:r>
          </w:p>
        </w:tc>
        <w:tc>
          <w:tcPr>
            <w:tcW w:w="992" w:type="dxa"/>
            <w:vAlign w:val="center"/>
          </w:tcPr>
          <w:p w14:paraId="4584DD81">
            <w:pPr>
              <w:pStyle w:val="12"/>
            </w:pPr>
            <w:r>
              <w:t>20502</w:t>
            </w:r>
          </w:p>
        </w:tc>
        <w:tc>
          <w:tcPr>
            <w:tcW w:w="4535" w:type="dxa"/>
            <w:vAlign w:val="center"/>
          </w:tcPr>
          <w:p w14:paraId="03BB673B">
            <w:pPr>
              <w:pStyle w:val="12"/>
            </w:pPr>
            <w:r>
              <w:t>普通教育</w:t>
            </w:r>
          </w:p>
        </w:tc>
        <w:tc>
          <w:tcPr>
            <w:tcW w:w="1361" w:type="dxa"/>
            <w:vAlign w:val="center"/>
          </w:tcPr>
          <w:p w14:paraId="47CBC620">
            <w:pPr>
              <w:pStyle w:val="11"/>
            </w:pPr>
            <w:r>
              <w:t>607.38</w:t>
            </w:r>
          </w:p>
        </w:tc>
        <w:tc>
          <w:tcPr>
            <w:tcW w:w="1361" w:type="dxa"/>
            <w:vAlign w:val="center"/>
          </w:tcPr>
          <w:p w14:paraId="06D036D3">
            <w:pPr>
              <w:pStyle w:val="11"/>
            </w:pPr>
            <w:r>
              <w:t>391.37</w:t>
            </w:r>
          </w:p>
        </w:tc>
        <w:tc>
          <w:tcPr>
            <w:tcW w:w="1361" w:type="dxa"/>
            <w:vAlign w:val="center"/>
          </w:tcPr>
          <w:p w14:paraId="11775715">
            <w:pPr>
              <w:pStyle w:val="11"/>
            </w:pPr>
            <w:r>
              <w:t>216.01</w:t>
            </w:r>
          </w:p>
        </w:tc>
        <w:tc>
          <w:tcPr>
            <w:tcW w:w="1361" w:type="dxa"/>
            <w:vAlign w:val="center"/>
          </w:tcPr>
          <w:p w14:paraId="0460FF38">
            <w:pPr>
              <w:pStyle w:val="11"/>
            </w:pPr>
          </w:p>
        </w:tc>
        <w:tc>
          <w:tcPr>
            <w:tcW w:w="1361" w:type="dxa"/>
            <w:vAlign w:val="center"/>
          </w:tcPr>
          <w:p w14:paraId="2AC0FFC8">
            <w:pPr>
              <w:pStyle w:val="11"/>
            </w:pPr>
          </w:p>
        </w:tc>
        <w:tc>
          <w:tcPr>
            <w:tcW w:w="1361" w:type="dxa"/>
            <w:vAlign w:val="center"/>
          </w:tcPr>
          <w:p w14:paraId="7930A01B">
            <w:pPr>
              <w:pStyle w:val="11"/>
            </w:pPr>
          </w:p>
        </w:tc>
      </w:tr>
      <w:tr w14:paraId="0A87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F3635">
            <w:pPr>
              <w:pStyle w:val="13"/>
            </w:pPr>
            <w:r>
              <w:t>4</w:t>
            </w:r>
          </w:p>
        </w:tc>
        <w:tc>
          <w:tcPr>
            <w:tcW w:w="992" w:type="dxa"/>
            <w:vAlign w:val="center"/>
          </w:tcPr>
          <w:p w14:paraId="467B47AE">
            <w:pPr>
              <w:pStyle w:val="12"/>
            </w:pPr>
            <w:r>
              <w:t>2050203</w:t>
            </w:r>
          </w:p>
        </w:tc>
        <w:tc>
          <w:tcPr>
            <w:tcW w:w="4535" w:type="dxa"/>
            <w:vAlign w:val="center"/>
          </w:tcPr>
          <w:p w14:paraId="138DDCF1">
            <w:pPr>
              <w:pStyle w:val="12"/>
            </w:pPr>
            <w:r>
              <w:t>初中教育</w:t>
            </w:r>
          </w:p>
        </w:tc>
        <w:tc>
          <w:tcPr>
            <w:tcW w:w="1361" w:type="dxa"/>
            <w:vAlign w:val="center"/>
          </w:tcPr>
          <w:p w14:paraId="4AE15177">
            <w:pPr>
              <w:pStyle w:val="11"/>
            </w:pPr>
            <w:r>
              <w:t>607.38</w:t>
            </w:r>
          </w:p>
        </w:tc>
        <w:tc>
          <w:tcPr>
            <w:tcW w:w="1361" w:type="dxa"/>
            <w:vAlign w:val="center"/>
          </w:tcPr>
          <w:p w14:paraId="5D4A32F2">
            <w:pPr>
              <w:pStyle w:val="11"/>
            </w:pPr>
            <w:r>
              <w:t>391.37</w:t>
            </w:r>
          </w:p>
        </w:tc>
        <w:tc>
          <w:tcPr>
            <w:tcW w:w="1361" w:type="dxa"/>
            <w:vAlign w:val="center"/>
          </w:tcPr>
          <w:p w14:paraId="6EA88832">
            <w:pPr>
              <w:pStyle w:val="11"/>
            </w:pPr>
            <w:r>
              <w:t>216.01</w:t>
            </w:r>
          </w:p>
        </w:tc>
        <w:tc>
          <w:tcPr>
            <w:tcW w:w="1361" w:type="dxa"/>
            <w:vAlign w:val="center"/>
          </w:tcPr>
          <w:p w14:paraId="387C6E34">
            <w:pPr>
              <w:pStyle w:val="11"/>
            </w:pPr>
          </w:p>
        </w:tc>
        <w:tc>
          <w:tcPr>
            <w:tcW w:w="1361" w:type="dxa"/>
            <w:vAlign w:val="center"/>
          </w:tcPr>
          <w:p w14:paraId="4417B664">
            <w:pPr>
              <w:pStyle w:val="11"/>
            </w:pPr>
          </w:p>
        </w:tc>
        <w:tc>
          <w:tcPr>
            <w:tcW w:w="1361" w:type="dxa"/>
            <w:vAlign w:val="center"/>
          </w:tcPr>
          <w:p w14:paraId="720F37FF">
            <w:pPr>
              <w:pStyle w:val="11"/>
            </w:pPr>
          </w:p>
        </w:tc>
      </w:tr>
    </w:tbl>
    <w:p w14:paraId="11D327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6BC5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BEB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4E689C">
            <w:pPr>
              <w:pStyle w:val="9"/>
            </w:pPr>
            <w:r>
              <w:t>360033隆尧县大张庄中学</w:t>
            </w:r>
          </w:p>
        </w:tc>
        <w:tc>
          <w:tcPr>
            <w:tcW w:w="3402" w:type="dxa"/>
            <w:tcBorders>
              <w:top w:val="single" w:color="FFFFFF" w:sz="6" w:space="0"/>
              <w:left w:val="single" w:color="FFFFFF" w:sz="6" w:space="0"/>
              <w:right w:val="single" w:color="FFFFFF" w:sz="6" w:space="0"/>
            </w:tcBorders>
            <w:vAlign w:val="center"/>
          </w:tcPr>
          <w:p w14:paraId="27D9992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BB2019B">
            <w:pPr>
              <w:pStyle w:val="7"/>
            </w:pPr>
            <w:r>
              <w:t>单位：万元</w:t>
            </w:r>
          </w:p>
        </w:tc>
      </w:tr>
      <w:tr w14:paraId="2A29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08E8D">
            <w:pPr>
              <w:pStyle w:val="10"/>
            </w:pPr>
            <w:r>
              <w:t>序号</w:t>
            </w:r>
          </w:p>
        </w:tc>
        <w:tc>
          <w:tcPr>
            <w:tcW w:w="4876" w:type="dxa"/>
            <w:gridSpan w:val="2"/>
            <w:vAlign w:val="center"/>
          </w:tcPr>
          <w:p w14:paraId="71ED46B5">
            <w:pPr>
              <w:pStyle w:val="10"/>
            </w:pPr>
            <w:r>
              <w:t>收入</w:t>
            </w:r>
          </w:p>
        </w:tc>
        <w:tc>
          <w:tcPr>
            <w:tcW w:w="9298" w:type="dxa"/>
            <w:gridSpan w:val="5"/>
            <w:vAlign w:val="center"/>
          </w:tcPr>
          <w:p w14:paraId="515EB976">
            <w:pPr>
              <w:pStyle w:val="10"/>
            </w:pPr>
            <w:r>
              <w:t>支出</w:t>
            </w:r>
          </w:p>
        </w:tc>
      </w:tr>
      <w:tr w14:paraId="2C8E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EE3270"/>
        </w:tc>
        <w:tc>
          <w:tcPr>
            <w:tcW w:w="3402" w:type="dxa"/>
            <w:vAlign w:val="center"/>
          </w:tcPr>
          <w:p w14:paraId="521A5319">
            <w:pPr>
              <w:pStyle w:val="10"/>
            </w:pPr>
            <w:r>
              <w:t>项  目</w:t>
            </w:r>
          </w:p>
        </w:tc>
        <w:tc>
          <w:tcPr>
            <w:tcW w:w="1474" w:type="dxa"/>
            <w:vAlign w:val="center"/>
          </w:tcPr>
          <w:p w14:paraId="23AD6FC4">
            <w:pPr>
              <w:pStyle w:val="10"/>
            </w:pPr>
            <w:r>
              <w:t>金额</w:t>
            </w:r>
          </w:p>
        </w:tc>
        <w:tc>
          <w:tcPr>
            <w:tcW w:w="3402" w:type="dxa"/>
            <w:vAlign w:val="center"/>
          </w:tcPr>
          <w:p w14:paraId="337B8FBC">
            <w:pPr>
              <w:pStyle w:val="10"/>
            </w:pPr>
            <w:r>
              <w:t>项  目</w:t>
            </w:r>
          </w:p>
        </w:tc>
        <w:tc>
          <w:tcPr>
            <w:tcW w:w="1474" w:type="dxa"/>
            <w:vAlign w:val="center"/>
          </w:tcPr>
          <w:p w14:paraId="46F77FFC">
            <w:pPr>
              <w:pStyle w:val="10"/>
            </w:pPr>
            <w:r>
              <w:t>合计</w:t>
            </w:r>
          </w:p>
        </w:tc>
        <w:tc>
          <w:tcPr>
            <w:tcW w:w="1474" w:type="dxa"/>
            <w:vAlign w:val="center"/>
          </w:tcPr>
          <w:p w14:paraId="53420A1C">
            <w:pPr>
              <w:pStyle w:val="10"/>
            </w:pPr>
            <w:r>
              <w:t>一般公共预算财政拨款</w:t>
            </w:r>
          </w:p>
        </w:tc>
        <w:tc>
          <w:tcPr>
            <w:tcW w:w="1474" w:type="dxa"/>
            <w:vAlign w:val="center"/>
          </w:tcPr>
          <w:p w14:paraId="33AF369A">
            <w:pPr>
              <w:pStyle w:val="10"/>
            </w:pPr>
            <w:r>
              <w:t>政府性基金预算财政    拨款</w:t>
            </w:r>
          </w:p>
        </w:tc>
        <w:tc>
          <w:tcPr>
            <w:tcW w:w="1474" w:type="dxa"/>
            <w:vAlign w:val="center"/>
          </w:tcPr>
          <w:p w14:paraId="57B48D76">
            <w:pPr>
              <w:pStyle w:val="10"/>
            </w:pPr>
            <w:r>
              <w:t>国有资本经营预算财政拨款</w:t>
            </w:r>
          </w:p>
        </w:tc>
      </w:tr>
      <w:tr w14:paraId="414B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68E03">
            <w:pPr>
              <w:pStyle w:val="10"/>
            </w:pPr>
            <w:r>
              <w:t>栏次</w:t>
            </w:r>
          </w:p>
        </w:tc>
        <w:tc>
          <w:tcPr>
            <w:tcW w:w="3402" w:type="dxa"/>
            <w:vAlign w:val="center"/>
          </w:tcPr>
          <w:p w14:paraId="28BC5FF7">
            <w:pPr>
              <w:pStyle w:val="10"/>
            </w:pPr>
            <w:r>
              <w:t>1</w:t>
            </w:r>
          </w:p>
        </w:tc>
        <w:tc>
          <w:tcPr>
            <w:tcW w:w="1474" w:type="dxa"/>
            <w:vAlign w:val="center"/>
          </w:tcPr>
          <w:p w14:paraId="4329753C">
            <w:pPr>
              <w:pStyle w:val="10"/>
            </w:pPr>
            <w:r>
              <w:t>2</w:t>
            </w:r>
          </w:p>
        </w:tc>
        <w:tc>
          <w:tcPr>
            <w:tcW w:w="3402" w:type="dxa"/>
            <w:vAlign w:val="center"/>
          </w:tcPr>
          <w:p w14:paraId="0BA7F317">
            <w:pPr>
              <w:pStyle w:val="10"/>
            </w:pPr>
            <w:r>
              <w:t>3</w:t>
            </w:r>
          </w:p>
        </w:tc>
        <w:tc>
          <w:tcPr>
            <w:tcW w:w="1474" w:type="dxa"/>
            <w:vAlign w:val="center"/>
          </w:tcPr>
          <w:p w14:paraId="3389D855">
            <w:pPr>
              <w:pStyle w:val="10"/>
            </w:pPr>
            <w:r>
              <w:t>4</w:t>
            </w:r>
          </w:p>
        </w:tc>
        <w:tc>
          <w:tcPr>
            <w:tcW w:w="1474" w:type="dxa"/>
            <w:vAlign w:val="center"/>
          </w:tcPr>
          <w:p w14:paraId="1B430EC1">
            <w:pPr>
              <w:pStyle w:val="10"/>
            </w:pPr>
            <w:r>
              <w:t>5</w:t>
            </w:r>
          </w:p>
        </w:tc>
        <w:tc>
          <w:tcPr>
            <w:tcW w:w="1474" w:type="dxa"/>
            <w:vAlign w:val="center"/>
          </w:tcPr>
          <w:p w14:paraId="7678A39D">
            <w:pPr>
              <w:pStyle w:val="10"/>
            </w:pPr>
            <w:r>
              <w:t>6</w:t>
            </w:r>
          </w:p>
        </w:tc>
        <w:tc>
          <w:tcPr>
            <w:tcW w:w="1474" w:type="dxa"/>
            <w:vAlign w:val="center"/>
          </w:tcPr>
          <w:p w14:paraId="6956F0D9">
            <w:pPr>
              <w:pStyle w:val="10"/>
            </w:pPr>
            <w:r>
              <w:t>7</w:t>
            </w:r>
          </w:p>
        </w:tc>
      </w:tr>
      <w:tr w14:paraId="1542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E06D">
            <w:pPr>
              <w:pStyle w:val="13"/>
            </w:pPr>
            <w:r>
              <w:t>1</w:t>
            </w:r>
          </w:p>
        </w:tc>
        <w:tc>
          <w:tcPr>
            <w:tcW w:w="3402" w:type="dxa"/>
            <w:vAlign w:val="center"/>
          </w:tcPr>
          <w:p w14:paraId="4FC756E7">
            <w:pPr>
              <w:pStyle w:val="12"/>
            </w:pPr>
            <w:r>
              <w:t>一、一般公共预算拨款</w:t>
            </w:r>
          </w:p>
        </w:tc>
        <w:tc>
          <w:tcPr>
            <w:tcW w:w="1474" w:type="dxa"/>
            <w:vAlign w:val="center"/>
          </w:tcPr>
          <w:p w14:paraId="6F91C449">
            <w:pPr>
              <w:pStyle w:val="11"/>
            </w:pPr>
            <w:r>
              <w:t>607.38</w:t>
            </w:r>
          </w:p>
        </w:tc>
        <w:tc>
          <w:tcPr>
            <w:tcW w:w="3402" w:type="dxa"/>
            <w:vAlign w:val="center"/>
          </w:tcPr>
          <w:p w14:paraId="772DDE6B">
            <w:pPr>
              <w:pStyle w:val="12"/>
            </w:pPr>
            <w:r>
              <w:t>一、一般公共服务支出</w:t>
            </w:r>
          </w:p>
        </w:tc>
        <w:tc>
          <w:tcPr>
            <w:tcW w:w="1474" w:type="dxa"/>
            <w:vAlign w:val="center"/>
          </w:tcPr>
          <w:p w14:paraId="1C6ADEA8">
            <w:pPr>
              <w:pStyle w:val="11"/>
            </w:pPr>
          </w:p>
        </w:tc>
        <w:tc>
          <w:tcPr>
            <w:tcW w:w="1474" w:type="dxa"/>
            <w:vAlign w:val="center"/>
          </w:tcPr>
          <w:p w14:paraId="0F9875A5">
            <w:pPr>
              <w:pStyle w:val="11"/>
            </w:pPr>
          </w:p>
        </w:tc>
        <w:tc>
          <w:tcPr>
            <w:tcW w:w="1474" w:type="dxa"/>
            <w:vAlign w:val="center"/>
          </w:tcPr>
          <w:p w14:paraId="2E41CEB8">
            <w:pPr>
              <w:pStyle w:val="11"/>
            </w:pPr>
          </w:p>
        </w:tc>
        <w:tc>
          <w:tcPr>
            <w:tcW w:w="1474" w:type="dxa"/>
            <w:vAlign w:val="center"/>
          </w:tcPr>
          <w:p w14:paraId="0D499626">
            <w:pPr>
              <w:pStyle w:val="11"/>
            </w:pPr>
          </w:p>
        </w:tc>
      </w:tr>
      <w:tr w14:paraId="3D11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8C215">
            <w:pPr>
              <w:pStyle w:val="13"/>
            </w:pPr>
            <w:r>
              <w:t>2</w:t>
            </w:r>
          </w:p>
        </w:tc>
        <w:tc>
          <w:tcPr>
            <w:tcW w:w="3402" w:type="dxa"/>
            <w:vAlign w:val="center"/>
          </w:tcPr>
          <w:p w14:paraId="381897DF">
            <w:pPr>
              <w:pStyle w:val="12"/>
            </w:pPr>
            <w:r>
              <w:t>二、政府性基金预算拨款</w:t>
            </w:r>
          </w:p>
        </w:tc>
        <w:tc>
          <w:tcPr>
            <w:tcW w:w="1474" w:type="dxa"/>
            <w:vAlign w:val="center"/>
          </w:tcPr>
          <w:p w14:paraId="6F11301D">
            <w:pPr>
              <w:pStyle w:val="11"/>
            </w:pPr>
          </w:p>
        </w:tc>
        <w:tc>
          <w:tcPr>
            <w:tcW w:w="3402" w:type="dxa"/>
            <w:vAlign w:val="center"/>
          </w:tcPr>
          <w:p w14:paraId="0F399B39">
            <w:pPr>
              <w:pStyle w:val="12"/>
            </w:pPr>
            <w:r>
              <w:t>二、外交支出</w:t>
            </w:r>
          </w:p>
        </w:tc>
        <w:tc>
          <w:tcPr>
            <w:tcW w:w="1474" w:type="dxa"/>
            <w:vAlign w:val="center"/>
          </w:tcPr>
          <w:p w14:paraId="6CBE8681">
            <w:pPr>
              <w:pStyle w:val="11"/>
            </w:pPr>
          </w:p>
        </w:tc>
        <w:tc>
          <w:tcPr>
            <w:tcW w:w="1474" w:type="dxa"/>
            <w:vAlign w:val="center"/>
          </w:tcPr>
          <w:p w14:paraId="6D7817A2">
            <w:pPr>
              <w:pStyle w:val="11"/>
            </w:pPr>
          </w:p>
        </w:tc>
        <w:tc>
          <w:tcPr>
            <w:tcW w:w="1474" w:type="dxa"/>
            <w:vAlign w:val="center"/>
          </w:tcPr>
          <w:p w14:paraId="35BED1AB">
            <w:pPr>
              <w:pStyle w:val="11"/>
            </w:pPr>
          </w:p>
        </w:tc>
        <w:tc>
          <w:tcPr>
            <w:tcW w:w="1474" w:type="dxa"/>
            <w:vAlign w:val="center"/>
          </w:tcPr>
          <w:p w14:paraId="29CF0027">
            <w:pPr>
              <w:pStyle w:val="11"/>
            </w:pPr>
          </w:p>
        </w:tc>
      </w:tr>
      <w:tr w14:paraId="7017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5A938">
            <w:pPr>
              <w:pStyle w:val="13"/>
            </w:pPr>
            <w:r>
              <w:t>3</w:t>
            </w:r>
          </w:p>
        </w:tc>
        <w:tc>
          <w:tcPr>
            <w:tcW w:w="3402" w:type="dxa"/>
            <w:vAlign w:val="center"/>
          </w:tcPr>
          <w:p w14:paraId="7B3D8115">
            <w:pPr>
              <w:pStyle w:val="12"/>
            </w:pPr>
            <w:r>
              <w:t>三、国有资本经营预算拨款</w:t>
            </w:r>
          </w:p>
        </w:tc>
        <w:tc>
          <w:tcPr>
            <w:tcW w:w="1474" w:type="dxa"/>
            <w:vAlign w:val="center"/>
          </w:tcPr>
          <w:p w14:paraId="0088792D">
            <w:pPr>
              <w:pStyle w:val="11"/>
            </w:pPr>
          </w:p>
        </w:tc>
        <w:tc>
          <w:tcPr>
            <w:tcW w:w="3402" w:type="dxa"/>
            <w:vAlign w:val="center"/>
          </w:tcPr>
          <w:p w14:paraId="2EF3C4DD">
            <w:pPr>
              <w:pStyle w:val="12"/>
            </w:pPr>
            <w:r>
              <w:t>三、国防支出</w:t>
            </w:r>
          </w:p>
        </w:tc>
        <w:tc>
          <w:tcPr>
            <w:tcW w:w="1474" w:type="dxa"/>
            <w:vAlign w:val="center"/>
          </w:tcPr>
          <w:p w14:paraId="7D1665DA">
            <w:pPr>
              <w:pStyle w:val="11"/>
            </w:pPr>
          </w:p>
        </w:tc>
        <w:tc>
          <w:tcPr>
            <w:tcW w:w="1474" w:type="dxa"/>
            <w:vAlign w:val="center"/>
          </w:tcPr>
          <w:p w14:paraId="6E09ABAF">
            <w:pPr>
              <w:pStyle w:val="11"/>
            </w:pPr>
          </w:p>
        </w:tc>
        <w:tc>
          <w:tcPr>
            <w:tcW w:w="1474" w:type="dxa"/>
            <w:vAlign w:val="center"/>
          </w:tcPr>
          <w:p w14:paraId="4C77CE3F">
            <w:pPr>
              <w:pStyle w:val="11"/>
            </w:pPr>
          </w:p>
        </w:tc>
        <w:tc>
          <w:tcPr>
            <w:tcW w:w="1474" w:type="dxa"/>
            <w:vAlign w:val="center"/>
          </w:tcPr>
          <w:p w14:paraId="63472173">
            <w:pPr>
              <w:pStyle w:val="11"/>
            </w:pPr>
          </w:p>
        </w:tc>
      </w:tr>
      <w:tr w14:paraId="024B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1413">
            <w:pPr>
              <w:pStyle w:val="13"/>
            </w:pPr>
            <w:r>
              <w:t>4</w:t>
            </w:r>
          </w:p>
        </w:tc>
        <w:tc>
          <w:tcPr>
            <w:tcW w:w="3402" w:type="dxa"/>
            <w:vAlign w:val="center"/>
          </w:tcPr>
          <w:p w14:paraId="447965A1">
            <w:pPr>
              <w:pStyle w:val="12"/>
            </w:pPr>
          </w:p>
        </w:tc>
        <w:tc>
          <w:tcPr>
            <w:tcW w:w="1474" w:type="dxa"/>
            <w:vAlign w:val="center"/>
          </w:tcPr>
          <w:p w14:paraId="1D305D2B">
            <w:pPr>
              <w:pStyle w:val="11"/>
            </w:pPr>
          </w:p>
        </w:tc>
        <w:tc>
          <w:tcPr>
            <w:tcW w:w="3402" w:type="dxa"/>
            <w:vAlign w:val="center"/>
          </w:tcPr>
          <w:p w14:paraId="4CD47793">
            <w:pPr>
              <w:pStyle w:val="12"/>
            </w:pPr>
            <w:r>
              <w:t>四、公共安全支出</w:t>
            </w:r>
          </w:p>
        </w:tc>
        <w:tc>
          <w:tcPr>
            <w:tcW w:w="1474" w:type="dxa"/>
            <w:vAlign w:val="center"/>
          </w:tcPr>
          <w:p w14:paraId="54140F54">
            <w:pPr>
              <w:pStyle w:val="11"/>
            </w:pPr>
          </w:p>
        </w:tc>
        <w:tc>
          <w:tcPr>
            <w:tcW w:w="1474" w:type="dxa"/>
            <w:vAlign w:val="center"/>
          </w:tcPr>
          <w:p w14:paraId="21443EB3">
            <w:pPr>
              <w:pStyle w:val="11"/>
            </w:pPr>
          </w:p>
        </w:tc>
        <w:tc>
          <w:tcPr>
            <w:tcW w:w="1474" w:type="dxa"/>
            <w:vAlign w:val="center"/>
          </w:tcPr>
          <w:p w14:paraId="654EC78F">
            <w:pPr>
              <w:pStyle w:val="11"/>
            </w:pPr>
          </w:p>
        </w:tc>
        <w:tc>
          <w:tcPr>
            <w:tcW w:w="1474" w:type="dxa"/>
            <w:vAlign w:val="center"/>
          </w:tcPr>
          <w:p w14:paraId="53ECBB97">
            <w:pPr>
              <w:pStyle w:val="11"/>
            </w:pPr>
          </w:p>
        </w:tc>
      </w:tr>
      <w:tr w14:paraId="39FF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0B938">
            <w:pPr>
              <w:pStyle w:val="13"/>
            </w:pPr>
            <w:r>
              <w:t>5</w:t>
            </w:r>
          </w:p>
        </w:tc>
        <w:tc>
          <w:tcPr>
            <w:tcW w:w="3402" w:type="dxa"/>
            <w:vAlign w:val="center"/>
          </w:tcPr>
          <w:p w14:paraId="34476B68">
            <w:pPr>
              <w:pStyle w:val="12"/>
            </w:pPr>
          </w:p>
        </w:tc>
        <w:tc>
          <w:tcPr>
            <w:tcW w:w="1474" w:type="dxa"/>
            <w:vAlign w:val="center"/>
          </w:tcPr>
          <w:p w14:paraId="6A05729F">
            <w:pPr>
              <w:pStyle w:val="11"/>
            </w:pPr>
          </w:p>
        </w:tc>
        <w:tc>
          <w:tcPr>
            <w:tcW w:w="3402" w:type="dxa"/>
            <w:vAlign w:val="center"/>
          </w:tcPr>
          <w:p w14:paraId="5045CCEF">
            <w:pPr>
              <w:pStyle w:val="12"/>
            </w:pPr>
            <w:r>
              <w:t>五、教育支出</w:t>
            </w:r>
          </w:p>
        </w:tc>
        <w:tc>
          <w:tcPr>
            <w:tcW w:w="1474" w:type="dxa"/>
            <w:vAlign w:val="center"/>
          </w:tcPr>
          <w:p w14:paraId="1A6A6960">
            <w:pPr>
              <w:pStyle w:val="11"/>
            </w:pPr>
            <w:r>
              <w:t>607.38</w:t>
            </w:r>
          </w:p>
        </w:tc>
        <w:tc>
          <w:tcPr>
            <w:tcW w:w="1474" w:type="dxa"/>
            <w:vAlign w:val="center"/>
          </w:tcPr>
          <w:p w14:paraId="3CBA3124">
            <w:pPr>
              <w:pStyle w:val="11"/>
            </w:pPr>
            <w:r>
              <w:t>607.38</w:t>
            </w:r>
          </w:p>
        </w:tc>
        <w:tc>
          <w:tcPr>
            <w:tcW w:w="1474" w:type="dxa"/>
            <w:vAlign w:val="center"/>
          </w:tcPr>
          <w:p w14:paraId="7901D00C">
            <w:pPr>
              <w:pStyle w:val="11"/>
            </w:pPr>
          </w:p>
        </w:tc>
        <w:tc>
          <w:tcPr>
            <w:tcW w:w="1474" w:type="dxa"/>
            <w:vAlign w:val="center"/>
          </w:tcPr>
          <w:p w14:paraId="02EA1268">
            <w:pPr>
              <w:pStyle w:val="11"/>
            </w:pPr>
          </w:p>
        </w:tc>
      </w:tr>
      <w:tr w14:paraId="0D30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F0A70">
            <w:pPr>
              <w:pStyle w:val="13"/>
            </w:pPr>
            <w:r>
              <w:t>6</w:t>
            </w:r>
          </w:p>
        </w:tc>
        <w:tc>
          <w:tcPr>
            <w:tcW w:w="3402" w:type="dxa"/>
            <w:vAlign w:val="center"/>
          </w:tcPr>
          <w:p w14:paraId="4BEAAFE6">
            <w:pPr>
              <w:pStyle w:val="12"/>
            </w:pPr>
          </w:p>
        </w:tc>
        <w:tc>
          <w:tcPr>
            <w:tcW w:w="1474" w:type="dxa"/>
            <w:vAlign w:val="center"/>
          </w:tcPr>
          <w:p w14:paraId="3B83112A">
            <w:pPr>
              <w:pStyle w:val="11"/>
            </w:pPr>
          </w:p>
        </w:tc>
        <w:tc>
          <w:tcPr>
            <w:tcW w:w="3402" w:type="dxa"/>
            <w:vAlign w:val="center"/>
          </w:tcPr>
          <w:p w14:paraId="559E9EDA">
            <w:pPr>
              <w:pStyle w:val="12"/>
            </w:pPr>
            <w:r>
              <w:t>六、科学技术支出</w:t>
            </w:r>
          </w:p>
        </w:tc>
        <w:tc>
          <w:tcPr>
            <w:tcW w:w="1474" w:type="dxa"/>
            <w:vAlign w:val="center"/>
          </w:tcPr>
          <w:p w14:paraId="0C282153">
            <w:pPr>
              <w:pStyle w:val="11"/>
            </w:pPr>
          </w:p>
        </w:tc>
        <w:tc>
          <w:tcPr>
            <w:tcW w:w="1474" w:type="dxa"/>
            <w:vAlign w:val="center"/>
          </w:tcPr>
          <w:p w14:paraId="144B9A31">
            <w:pPr>
              <w:pStyle w:val="11"/>
            </w:pPr>
          </w:p>
        </w:tc>
        <w:tc>
          <w:tcPr>
            <w:tcW w:w="1474" w:type="dxa"/>
            <w:vAlign w:val="center"/>
          </w:tcPr>
          <w:p w14:paraId="43ABC709">
            <w:pPr>
              <w:pStyle w:val="11"/>
            </w:pPr>
          </w:p>
        </w:tc>
        <w:tc>
          <w:tcPr>
            <w:tcW w:w="1474" w:type="dxa"/>
            <w:vAlign w:val="center"/>
          </w:tcPr>
          <w:p w14:paraId="105EEDDC">
            <w:pPr>
              <w:pStyle w:val="11"/>
            </w:pPr>
          </w:p>
        </w:tc>
      </w:tr>
      <w:tr w14:paraId="4C75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5CABC">
            <w:pPr>
              <w:pStyle w:val="13"/>
            </w:pPr>
            <w:r>
              <w:t>7</w:t>
            </w:r>
          </w:p>
        </w:tc>
        <w:tc>
          <w:tcPr>
            <w:tcW w:w="3402" w:type="dxa"/>
            <w:vAlign w:val="center"/>
          </w:tcPr>
          <w:p w14:paraId="57154A7B">
            <w:pPr>
              <w:pStyle w:val="12"/>
            </w:pPr>
          </w:p>
        </w:tc>
        <w:tc>
          <w:tcPr>
            <w:tcW w:w="1474" w:type="dxa"/>
            <w:vAlign w:val="center"/>
          </w:tcPr>
          <w:p w14:paraId="2A913459">
            <w:pPr>
              <w:pStyle w:val="11"/>
            </w:pPr>
          </w:p>
        </w:tc>
        <w:tc>
          <w:tcPr>
            <w:tcW w:w="3402" w:type="dxa"/>
            <w:vAlign w:val="center"/>
          </w:tcPr>
          <w:p w14:paraId="2F1357C2">
            <w:pPr>
              <w:pStyle w:val="12"/>
            </w:pPr>
            <w:r>
              <w:t>七、文化旅游体育与传媒支出</w:t>
            </w:r>
          </w:p>
        </w:tc>
        <w:tc>
          <w:tcPr>
            <w:tcW w:w="1474" w:type="dxa"/>
            <w:vAlign w:val="center"/>
          </w:tcPr>
          <w:p w14:paraId="37C91F54">
            <w:pPr>
              <w:pStyle w:val="11"/>
            </w:pPr>
          </w:p>
        </w:tc>
        <w:tc>
          <w:tcPr>
            <w:tcW w:w="1474" w:type="dxa"/>
            <w:vAlign w:val="center"/>
          </w:tcPr>
          <w:p w14:paraId="6D2A1968">
            <w:pPr>
              <w:pStyle w:val="11"/>
            </w:pPr>
          </w:p>
        </w:tc>
        <w:tc>
          <w:tcPr>
            <w:tcW w:w="1474" w:type="dxa"/>
            <w:vAlign w:val="center"/>
          </w:tcPr>
          <w:p w14:paraId="6F184B88">
            <w:pPr>
              <w:pStyle w:val="11"/>
            </w:pPr>
          </w:p>
        </w:tc>
        <w:tc>
          <w:tcPr>
            <w:tcW w:w="1474" w:type="dxa"/>
            <w:vAlign w:val="center"/>
          </w:tcPr>
          <w:p w14:paraId="0F99FC4A">
            <w:pPr>
              <w:pStyle w:val="11"/>
            </w:pPr>
          </w:p>
        </w:tc>
      </w:tr>
      <w:tr w14:paraId="3455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B6F80">
            <w:pPr>
              <w:pStyle w:val="13"/>
            </w:pPr>
            <w:r>
              <w:t>8</w:t>
            </w:r>
          </w:p>
        </w:tc>
        <w:tc>
          <w:tcPr>
            <w:tcW w:w="3402" w:type="dxa"/>
            <w:vAlign w:val="center"/>
          </w:tcPr>
          <w:p w14:paraId="7A73050A">
            <w:pPr>
              <w:pStyle w:val="12"/>
            </w:pPr>
          </w:p>
        </w:tc>
        <w:tc>
          <w:tcPr>
            <w:tcW w:w="1474" w:type="dxa"/>
            <w:vAlign w:val="center"/>
          </w:tcPr>
          <w:p w14:paraId="55628F4E">
            <w:pPr>
              <w:pStyle w:val="11"/>
            </w:pPr>
          </w:p>
        </w:tc>
        <w:tc>
          <w:tcPr>
            <w:tcW w:w="3402" w:type="dxa"/>
            <w:vAlign w:val="center"/>
          </w:tcPr>
          <w:p w14:paraId="2BC42CA0">
            <w:pPr>
              <w:pStyle w:val="12"/>
            </w:pPr>
            <w:r>
              <w:t>八、社会保障和就业支出</w:t>
            </w:r>
          </w:p>
        </w:tc>
        <w:tc>
          <w:tcPr>
            <w:tcW w:w="1474" w:type="dxa"/>
            <w:vAlign w:val="center"/>
          </w:tcPr>
          <w:p w14:paraId="7A20A362">
            <w:pPr>
              <w:pStyle w:val="11"/>
            </w:pPr>
          </w:p>
        </w:tc>
        <w:tc>
          <w:tcPr>
            <w:tcW w:w="1474" w:type="dxa"/>
            <w:vAlign w:val="center"/>
          </w:tcPr>
          <w:p w14:paraId="30A156EF">
            <w:pPr>
              <w:pStyle w:val="11"/>
            </w:pPr>
          </w:p>
        </w:tc>
        <w:tc>
          <w:tcPr>
            <w:tcW w:w="1474" w:type="dxa"/>
            <w:vAlign w:val="center"/>
          </w:tcPr>
          <w:p w14:paraId="7CBEC6DA">
            <w:pPr>
              <w:pStyle w:val="11"/>
            </w:pPr>
          </w:p>
        </w:tc>
        <w:tc>
          <w:tcPr>
            <w:tcW w:w="1474" w:type="dxa"/>
            <w:vAlign w:val="center"/>
          </w:tcPr>
          <w:p w14:paraId="51639524">
            <w:pPr>
              <w:pStyle w:val="11"/>
            </w:pPr>
          </w:p>
        </w:tc>
      </w:tr>
      <w:tr w14:paraId="228A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AB344">
            <w:pPr>
              <w:pStyle w:val="13"/>
            </w:pPr>
            <w:r>
              <w:t>9</w:t>
            </w:r>
          </w:p>
        </w:tc>
        <w:tc>
          <w:tcPr>
            <w:tcW w:w="3402" w:type="dxa"/>
            <w:vAlign w:val="center"/>
          </w:tcPr>
          <w:p w14:paraId="06E0AAC2">
            <w:pPr>
              <w:pStyle w:val="12"/>
            </w:pPr>
          </w:p>
        </w:tc>
        <w:tc>
          <w:tcPr>
            <w:tcW w:w="1474" w:type="dxa"/>
            <w:vAlign w:val="center"/>
          </w:tcPr>
          <w:p w14:paraId="44A70F52">
            <w:pPr>
              <w:pStyle w:val="11"/>
            </w:pPr>
          </w:p>
        </w:tc>
        <w:tc>
          <w:tcPr>
            <w:tcW w:w="3402" w:type="dxa"/>
            <w:vAlign w:val="center"/>
          </w:tcPr>
          <w:p w14:paraId="2F56CAE7">
            <w:pPr>
              <w:pStyle w:val="12"/>
            </w:pPr>
            <w:r>
              <w:t>九、社会保险基金支出</w:t>
            </w:r>
          </w:p>
        </w:tc>
        <w:tc>
          <w:tcPr>
            <w:tcW w:w="1474" w:type="dxa"/>
            <w:vAlign w:val="center"/>
          </w:tcPr>
          <w:p w14:paraId="0B9C6E8F">
            <w:pPr>
              <w:pStyle w:val="11"/>
            </w:pPr>
          </w:p>
        </w:tc>
        <w:tc>
          <w:tcPr>
            <w:tcW w:w="1474" w:type="dxa"/>
            <w:vAlign w:val="center"/>
          </w:tcPr>
          <w:p w14:paraId="5F86CB4F">
            <w:pPr>
              <w:pStyle w:val="11"/>
            </w:pPr>
          </w:p>
        </w:tc>
        <w:tc>
          <w:tcPr>
            <w:tcW w:w="1474" w:type="dxa"/>
            <w:vAlign w:val="center"/>
          </w:tcPr>
          <w:p w14:paraId="7F21476B">
            <w:pPr>
              <w:pStyle w:val="11"/>
            </w:pPr>
          </w:p>
        </w:tc>
        <w:tc>
          <w:tcPr>
            <w:tcW w:w="1474" w:type="dxa"/>
            <w:vAlign w:val="center"/>
          </w:tcPr>
          <w:p w14:paraId="387051BC">
            <w:pPr>
              <w:pStyle w:val="11"/>
            </w:pPr>
          </w:p>
        </w:tc>
      </w:tr>
      <w:tr w14:paraId="4A7B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4C6EC">
            <w:pPr>
              <w:pStyle w:val="13"/>
            </w:pPr>
            <w:r>
              <w:t>10</w:t>
            </w:r>
          </w:p>
        </w:tc>
        <w:tc>
          <w:tcPr>
            <w:tcW w:w="3402" w:type="dxa"/>
            <w:vAlign w:val="center"/>
          </w:tcPr>
          <w:p w14:paraId="08C420A5">
            <w:pPr>
              <w:pStyle w:val="12"/>
            </w:pPr>
          </w:p>
        </w:tc>
        <w:tc>
          <w:tcPr>
            <w:tcW w:w="1474" w:type="dxa"/>
            <w:vAlign w:val="center"/>
          </w:tcPr>
          <w:p w14:paraId="14C2E4AE">
            <w:pPr>
              <w:pStyle w:val="11"/>
            </w:pPr>
          </w:p>
        </w:tc>
        <w:tc>
          <w:tcPr>
            <w:tcW w:w="3402" w:type="dxa"/>
            <w:vAlign w:val="center"/>
          </w:tcPr>
          <w:p w14:paraId="5ADA73AA">
            <w:pPr>
              <w:pStyle w:val="12"/>
            </w:pPr>
            <w:r>
              <w:t>十、卫生健康支出</w:t>
            </w:r>
          </w:p>
        </w:tc>
        <w:tc>
          <w:tcPr>
            <w:tcW w:w="1474" w:type="dxa"/>
            <w:vAlign w:val="center"/>
          </w:tcPr>
          <w:p w14:paraId="2ADDC44A">
            <w:pPr>
              <w:pStyle w:val="11"/>
            </w:pPr>
          </w:p>
        </w:tc>
        <w:tc>
          <w:tcPr>
            <w:tcW w:w="1474" w:type="dxa"/>
            <w:vAlign w:val="center"/>
          </w:tcPr>
          <w:p w14:paraId="65982690">
            <w:pPr>
              <w:pStyle w:val="11"/>
            </w:pPr>
          </w:p>
        </w:tc>
        <w:tc>
          <w:tcPr>
            <w:tcW w:w="1474" w:type="dxa"/>
            <w:vAlign w:val="center"/>
          </w:tcPr>
          <w:p w14:paraId="20E31323">
            <w:pPr>
              <w:pStyle w:val="11"/>
            </w:pPr>
          </w:p>
        </w:tc>
        <w:tc>
          <w:tcPr>
            <w:tcW w:w="1474" w:type="dxa"/>
            <w:vAlign w:val="center"/>
          </w:tcPr>
          <w:p w14:paraId="22E7AC37">
            <w:pPr>
              <w:pStyle w:val="11"/>
            </w:pPr>
          </w:p>
        </w:tc>
      </w:tr>
      <w:tr w14:paraId="3E46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F4CB">
            <w:pPr>
              <w:pStyle w:val="13"/>
            </w:pPr>
            <w:r>
              <w:t>11</w:t>
            </w:r>
          </w:p>
        </w:tc>
        <w:tc>
          <w:tcPr>
            <w:tcW w:w="3402" w:type="dxa"/>
            <w:vAlign w:val="center"/>
          </w:tcPr>
          <w:p w14:paraId="7A6F1929">
            <w:pPr>
              <w:pStyle w:val="12"/>
            </w:pPr>
          </w:p>
        </w:tc>
        <w:tc>
          <w:tcPr>
            <w:tcW w:w="1474" w:type="dxa"/>
            <w:vAlign w:val="center"/>
          </w:tcPr>
          <w:p w14:paraId="50332630">
            <w:pPr>
              <w:pStyle w:val="11"/>
            </w:pPr>
          </w:p>
        </w:tc>
        <w:tc>
          <w:tcPr>
            <w:tcW w:w="3402" w:type="dxa"/>
            <w:vAlign w:val="center"/>
          </w:tcPr>
          <w:p w14:paraId="683AE95A">
            <w:pPr>
              <w:pStyle w:val="12"/>
            </w:pPr>
            <w:r>
              <w:t>十一、节能环保支出</w:t>
            </w:r>
          </w:p>
        </w:tc>
        <w:tc>
          <w:tcPr>
            <w:tcW w:w="1474" w:type="dxa"/>
            <w:vAlign w:val="center"/>
          </w:tcPr>
          <w:p w14:paraId="3997B99F">
            <w:pPr>
              <w:pStyle w:val="11"/>
            </w:pPr>
          </w:p>
        </w:tc>
        <w:tc>
          <w:tcPr>
            <w:tcW w:w="1474" w:type="dxa"/>
            <w:vAlign w:val="center"/>
          </w:tcPr>
          <w:p w14:paraId="70B4FB9A">
            <w:pPr>
              <w:pStyle w:val="11"/>
            </w:pPr>
          </w:p>
        </w:tc>
        <w:tc>
          <w:tcPr>
            <w:tcW w:w="1474" w:type="dxa"/>
            <w:vAlign w:val="center"/>
          </w:tcPr>
          <w:p w14:paraId="55EAB941">
            <w:pPr>
              <w:pStyle w:val="11"/>
            </w:pPr>
          </w:p>
        </w:tc>
        <w:tc>
          <w:tcPr>
            <w:tcW w:w="1474" w:type="dxa"/>
            <w:vAlign w:val="center"/>
          </w:tcPr>
          <w:p w14:paraId="33C449DF">
            <w:pPr>
              <w:pStyle w:val="11"/>
            </w:pPr>
          </w:p>
        </w:tc>
      </w:tr>
      <w:tr w14:paraId="3E8A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7281">
            <w:pPr>
              <w:pStyle w:val="13"/>
            </w:pPr>
            <w:r>
              <w:t>12</w:t>
            </w:r>
          </w:p>
        </w:tc>
        <w:tc>
          <w:tcPr>
            <w:tcW w:w="3402" w:type="dxa"/>
            <w:vAlign w:val="center"/>
          </w:tcPr>
          <w:p w14:paraId="306A2DA2">
            <w:pPr>
              <w:pStyle w:val="12"/>
            </w:pPr>
          </w:p>
        </w:tc>
        <w:tc>
          <w:tcPr>
            <w:tcW w:w="1474" w:type="dxa"/>
            <w:vAlign w:val="center"/>
          </w:tcPr>
          <w:p w14:paraId="4C086BA8">
            <w:pPr>
              <w:pStyle w:val="11"/>
            </w:pPr>
          </w:p>
        </w:tc>
        <w:tc>
          <w:tcPr>
            <w:tcW w:w="3402" w:type="dxa"/>
            <w:vAlign w:val="center"/>
          </w:tcPr>
          <w:p w14:paraId="03E8F1D8">
            <w:pPr>
              <w:pStyle w:val="12"/>
            </w:pPr>
            <w:r>
              <w:t>十二、城乡社区支出</w:t>
            </w:r>
          </w:p>
        </w:tc>
        <w:tc>
          <w:tcPr>
            <w:tcW w:w="1474" w:type="dxa"/>
            <w:vAlign w:val="center"/>
          </w:tcPr>
          <w:p w14:paraId="5C9CF67F">
            <w:pPr>
              <w:pStyle w:val="11"/>
            </w:pPr>
          </w:p>
        </w:tc>
        <w:tc>
          <w:tcPr>
            <w:tcW w:w="1474" w:type="dxa"/>
            <w:vAlign w:val="center"/>
          </w:tcPr>
          <w:p w14:paraId="49F1EAD3">
            <w:pPr>
              <w:pStyle w:val="11"/>
            </w:pPr>
          </w:p>
        </w:tc>
        <w:tc>
          <w:tcPr>
            <w:tcW w:w="1474" w:type="dxa"/>
            <w:vAlign w:val="center"/>
          </w:tcPr>
          <w:p w14:paraId="103C5BEF">
            <w:pPr>
              <w:pStyle w:val="11"/>
            </w:pPr>
          </w:p>
        </w:tc>
        <w:tc>
          <w:tcPr>
            <w:tcW w:w="1474" w:type="dxa"/>
            <w:vAlign w:val="center"/>
          </w:tcPr>
          <w:p w14:paraId="7DB72949">
            <w:pPr>
              <w:pStyle w:val="11"/>
            </w:pPr>
          </w:p>
        </w:tc>
      </w:tr>
      <w:tr w14:paraId="563C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12F14">
            <w:pPr>
              <w:pStyle w:val="13"/>
            </w:pPr>
            <w:r>
              <w:t>13</w:t>
            </w:r>
          </w:p>
        </w:tc>
        <w:tc>
          <w:tcPr>
            <w:tcW w:w="3402" w:type="dxa"/>
            <w:vAlign w:val="center"/>
          </w:tcPr>
          <w:p w14:paraId="72AF1F4F">
            <w:pPr>
              <w:pStyle w:val="12"/>
            </w:pPr>
          </w:p>
        </w:tc>
        <w:tc>
          <w:tcPr>
            <w:tcW w:w="1474" w:type="dxa"/>
            <w:vAlign w:val="center"/>
          </w:tcPr>
          <w:p w14:paraId="55121649">
            <w:pPr>
              <w:pStyle w:val="11"/>
            </w:pPr>
          </w:p>
        </w:tc>
        <w:tc>
          <w:tcPr>
            <w:tcW w:w="3402" w:type="dxa"/>
            <w:vAlign w:val="center"/>
          </w:tcPr>
          <w:p w14:paraId="7CB60845">
            <w:pPr>
              <w:pStyle w:val="12"/>
            </w:pPr>
            <w:r>
              <w:t>十三、农林水支出</w:t>
            </w:r>
          </w:p>
        </w:tc>
        <w:tc>
          <w:tcPr>
            <w:tcW w:w="1474" w:type="dxa"/>
            <w:vAlign w:val="center"/>
          </w:tcPr>
          <w:p w14:paraId="4B6D5AAB">
            <w:pPr>
              <w:pStyle w:val="11"/>
            </w:pPr>
          </w:p>
        </w:tc>
        <w:tc>
          <w:tcPr>
            <w:tcW w:w="1474" w:type="dxa"/>
            <w:vAlign w:val="center"/>
          </w:tcPr>
          <w:p w14:paraId="189E7825">
            <w:pPr>
              <w:pStyle w:val="11"/>
            </w:pPr>
          </w:p>
        </w:tc>
        <w:tc>
          <w:tcPr>
            <w:tcW w:w="1474" w:type="dxa"/>
            <w:vAlign w:val="center"/>
          </w:tcPr>
          <w:p w14:paraId="0D9A7CBC">
            <w:pPr>
              <w:pStyle w:val="11"/>
            </w:pPr>
          </w:p>
        </w:tc>
        <w:tc>
          <w:tcPr>
            <w:tcW w:w="1474" w:type="dxa"/>
            <w:vAlign w:val="center"/>
          </w:tcPr>
          <w:p w14:paraId="59CF948F">
            <w:pPr>
              <w:pStyle w:val="11"/>
            </w:pPr>
          </w:p>
        </w:tc>
      </w:tr>
      <w:tr w14:paraId="2DBA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043C">
            <w:pPr>
              <w:pStyle w:val="13"/>
            </w:pPr>
            <w:r>
              <w:t>14</w:t>
            </w:r>
          </w:p>
        </w:tc>
        <w:tc>
          <w:tcPr>
            <w:tcW w:w="3402" w:type="dxa"/>
            <w:vAlign w:val="center"/>
          </w:tcPr>
          <w:p w14:paraId="1DD90FCD">
            <w:pPr>
              <w:pStyle w:val="12"/>
            </w:pPr>
          </w:p>
        </w:tc>
        <w:tc>
          <w:tcPr>
            <w:tcW w:w="1474" w:type="dxa"/>
            <w:vAlign w:val="center"/>
          </w:tcPr>
          <w:p w14:paraId="1F396F71">
            <w:pPr>
              <w:pStyle w:val="11"/>
            </w:pPr>
          </w:p>
        </w:tc>
        <w:tc>
          <w:tcPr>
            <w:tcW w:w="3402" w:type="dxa"/>
            <w:vAlign w:val="center"/>
          </w:tcPr>
          <w:p w14:paraId="084E323D">
            <w:pPr>
              <w:pStyle w:val="12"/>
            </w:pPr>
            <w:r>
              <w:t>十四、交通运输支出</w:t>
            </w:r>
          </w:p>
        </w:tc>
        <w:tc>
          <w:tcPr>
            <w:tcW w:w="1474" w:type="dxa"/>
            <w:vAlign w:val="center"/>
          </w:tcPr>
          <w:p w14:paraId="3F0F2CAB">
            <w:pPr>
              <w:pStyle w:val="11"/>
            </w:pPr>
          </w:p>
        </w:tc>
        <w:tc>
          <w:tcPr>
            <w:tcW w:w="1474" w:type="dxa"/>
            <w:vAlign w:val="center"/>
          </w:tcPr>
          <w:p w14:paraId="79D9395C">
            <w:pPr>
              <w:pStyle w:val="11"/>
            </w:pPr>
          </w:p>
        </w:tc>
        <w:tc>
          <w:tcPr>
            <w:tcW w:w="1474" w:type="dxa"/>
            <w:vAlign w:val="center"/>
          </w:tcPr>
          <w:p w14:paraId="28269AFA">
            <w:pPr>
              <w:pStyle w:val="11"/>
            </w:pPr>
          </w:p>
        </w:tc>
        <w:tc>
          <w:tcPr>
            <w:tcW w:w="1474" w:type="dxa"/>
            <w:vAlign w:val="center"/>
          </w:tcPr>
          <w:p w14:paraId="76172E81">
            <w:pPr>
              <w:pStyle w:val="11"/>
            </w:pPr>
          </w:p>
        </w:tc>
      </w:tr>
      <w:tr w14:paraId="5E159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1B3EC">
            <w:pPr>
              <w:pStyle w:val="13"/>
            </w:pPr>
            <w:r>
              <w:t>15</w:t>
            </w:r>
          </w:p>
        </w:tc>
        <w:tc>
          <w:tcPr>
            <w:tcW w:w="3402" w:type="dxa"/>
            <w:vAlign w:val="center"/>
          </w:tcPr>
          <w:p w14:paraId="3980567A">
            <w:pPr>
              <w:pStyle w:val="12"/>
            </w:pPr>
          </w:p>
        </w:tc>
        <w:tc>
          <w:tcPr>
            <w:tcW w:w="1474" w:type="dxa"/>
            <w:vAlign w:val="center"/>
          </w:tcPr>
          <w:p w14:paraId="7BC22280">
            <w:pPr>
              <w:pStyle w:val="11"/>
            </w:pPr>
          </w:p>
        </w:tc>
        <w:tc>
          <w:tcPr>
            <w:tcW w:w="3402" w:type="dxa"/>
            <w:vAlign w:val="center"/>
          </w:tcPr>
          <w:p w14:paraId="4C1B5CB0">
            <w:pPr>
              <w:pStyle w:val="12"/>
            </w:pPr>
            <w:r>
              <w:t>十五、资源勘探工业信息等支出</w:t>
            </w:r>
          </w:p>
        </w:tc>
        <w:tc>
          <w:tcPr>
            <w:tcW w:w="1474" w:type="dxa"/>
            <w:vAlign w:val="center"/>
          </w:tcPr>
          <w:p w14:paraId="615DD969">
            <w:pPr>
              <w:pStyle w:val="11"/>
            </w:pPr>
          </w:p>
        </w:tc>
        <w:tc>
          <w:tcPr>
            <w:tcW w:w="1474" w:type="dxa"/>
            <w:vAlign w:val="center"/>
          </w:tcPr>
          <w:p w14:paraId="32D0ECC4">
            <w:pPr>
              <w:pStyle w:val="11"/>
            </w:pPr>
          </w:p>
        </w:tc>
        <w:tc>
          <w:tcPr>
            <w:tcW w:w="1474" w:type="dxa"/>
            <w:vAlign w:val="center"/>
          </w:tcPr>
          <w:p w14:paraId="542F3125">
            <w:pPr>
              <w:pStyle w:val="11"/>
            </w:pPr>
          </w:p>
        </w:tc>
        <w:tc>
          <w:tcPr>
            <w:tcW w:w="1474" w:type="dxa"/>
            <w:vAlign w:val="center"/>
          </w:tcPr>
          <w:p w14:paraId="55666B78">
            <w:pPr>
              <w:pStyle w:val="11"/>
            </w:pPr>
          </w:p>
        </w:tc>
      </w:tr>
      <w:tr w14:paraId="1E8D8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4FB59">
            <w:pPr>
              <w:pStyle w:val="13"/>
            </w:pPr>
            <w:r>
              <w:t>16</w:t>
            </w:r>
          </w:p>
        </w:tc>
        <w:tc>
          <w:tcPr>
            <w:tcW w:w="3402" w:type="dxa"/>
            <w:vAlign w:val="center"/>
          </w:tcPr>
          <w:p w14:paraId="3D25A2F1">
            <w:pPr>
              <w:pStyle w:val="12"/>
            </w:pPr>
          </w:p>
        </w:tc>
        <w:tc>
          <w:tcPr>
            <w:tcW w:w="1474" w:type="dxa"/>
            <w:vAlign w:val="center"/>
          </w:tcPr>
          <w:p w14:paraId="5A0EDD1E">
            <w:pPr>
              <w:pStyle w:val="11"/>
            </w:pPr>
          </w:p>
        </w:tc>
        <w:tc>
          <w:tcPr>
            <w:tcW w:w="3402" w:type="dxa"/>
            <w:vAlign w:val="center"/>
          </w:tcPr>
          <w:p w14:paraId="4F2C922C">
            <w:pPr>
              <w:pStyle w:val="12"/>
            </w:pPr>
            <w:r>
              <w:t>十六、商业服务业等支出</w:t>
            </w:r>
          </w:p>
        </w:tc>
        <w:tc>
          <w:tcPr>
            <w:tcW w:w="1474" w:type="dxa"/>
            <w:vAlign w:val="center"/>
          </w:tcPr>
          <w:p w14:paraId="560C3875">
            <w:pPr>
              <w:pStyle w:val="11"/>
            </w:pPr>
          </w:p>
        </w:tc>
        <w:tc>
          <w:tcPr>
            <w:tcW w:w="1474" w:type="dxa"/>
            <w:vAlign w:val="center"/>
          </w:tcPr>
          <w:p w14:paraId="2818C324">
            <w:pPr>
              <w:pStyle w:val="11"/>
            </w:pPr>
          </w:p>
        </w:tc>
        <w:tc>
          <w:tcPr>
            <w:tcW w:w="1474" w:type="dxa"/>
            <w:vAlign w:val="center"/>
          </w:tcPr>
          <w:p w14:paraId="54D02F9C">
            <w:pPr>
              <w:pStyle w:val="11"/>
            </w:pPr>
          </w:p>
        </w:tc>
        <w:tc>
          <w:tcPr>
            <w:tcW w:w="1474" w:type="dxa"/>
            <w:vAlign w:val="center"/>
          </w:tcPr>
          <w:p w14:paraId="2491D224">
            <w:pPr>
              <w:pStyle w:val="11"/>
            </w:pPr>
          </w:p>
        </w:tc>
      </w:tr>
      <w:tr w14:paraId="5CDE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C964F">
            <w:pPr>
              <w:pStyle w:val="13"/>
            </w:pPr>
            <w:r>
              <w:t>17</w:t>
            </w:r>
          </w:p>
        </w:tc>
        <w:tc>
          <w:tcPr>
            <w:tcW w:w="3402" w:type="dxa"/>
            <w:vAlign w:val="center"/>
          </w:tcPr>
          <w:p w14:paraId="3D73495C">
            <w:pPr>
              <w:pStyle w:val="12"/>
            </w:pPr>
          </w:p>
        </w:tc>
        <w:tc>
          <w:tcPr>
            <w:tcW w:w="1474" w:type="dxa"/>
            <w:vAlign w:val="center"/>
          </w:tcPr>
          <w:p w14:paraId="4818B8A9">
            <w:pPr>
              <w:pStyle w:val="11"/>
            </w:pPr>
          </w:p>
        </w:tc>
        <w:tc>
          <w:tcPr>
            <w:tcW w:w="3402" w:type="dxa"/>
            <w:vAlign w:val="center"/>
          </w:tcPr>
          <w:p w14:paraId="32B761D3">
            <w:pPr>
              <w:pStyle w:val="12"/>
            </w:pPr>
            <w:r>
              <w:t>十七、金融支出</w:t>
            </w:r>
          </w:p>
        </w:tc>
        <w:tc>
          <w:tcPr>
            <w:tcW w:w="1474" w:type="dxa"/>
            <w:vAlign w:val="center"/>
          </w:tcPr>
          <w:p w14:paraId="22F6436F">
            <w:pPr>
              <w:pStyle w:val="11"/>
            </w:pPr>
          </w:p>
        </w:tc>
        <w:tc>
          <w:tcPr>
            <w:tcW w:w="1474" w:type="dxa"/>
            <w:vAlign w:val="center"/>
          </w:tcPr>
          <w:p w14:paraId="373F1511">
            <w:pPr>
              <w:pStyle w:val="11"/>
            </w:pPr>
          </w:p>
        </w:tc>
        <w:tc>
          <w:tcPr>
            <w:tcW w:w="1474" w:type="dxa"/>
            <w:vAlign w:val="center"/>
          </w:tcPr>
          <w:p w14:paraId="0709D8E5">
            <w:pPr>
              <w:pStyle w:val="11"/>
            </w:pPr>
          </w:p>
        </w:tc>
        <w:tc>
          <w:tcPr>
            <w:tcW w:w="1474" w:type="dxa"/>
            <w:vAlign w:val="center"/>
          </w:tcPr>
          <w:p w14:paraId="2138B340">
            <w:pPr>
              <w:pStyle w:val="11"/>
            </w:pPr>
          </w:p>
        </w:tc>
      </w:tr>
      <w:tr w14:paraId="15F8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0EB76">
            <w:pPr>
              <w:pStyle w:val="13"/>
            </w:pPr>
            <w:r>
              <w:t>18</w:t>
            </w:r>
          </w:p>
        </w:tc>
        <w:tc>
          <w:tcPr>
            <w:tcW w:w="3402" w:type="dxa"/>
            <w:vAlign w:val="center"/>
          </w:tcPr>
          <w:p w14:paraId="752B15BD">
            <w:pPr>
              <w:pStyle w:val="12"/>
            </w:pPr>
          </w:p>
        </w:tc>
        <w:tc>
          <w:tcPr>
            <w:tcW w:w="1474" w:type="dxa"/>
            <w:vAlign w:val="center"/>
          </w:tcPr>
          <w:p w14:paraId="6ADEDA24">
            <w:pPr>
              <w:pStyle w:val="11"/>
            </w:pPr>
          </w:p>
        </w:tc>
        <w:tc>
          <w:tcPr>
            <w:tcW w:w="3402" w:type="dxa"/>
            <w:vAlign w:val="center"/>
          </w:tcPr>
          <w:p w14:paraId="19FCF5F9">
            <w:pPr>
              <w:pStyle w:val="12"/>
            </w:pPr>
            <w:r>
              <w:t>十八、援助其他地区支出</w:t>
            </w:r>
          </w:p>
        </w:tc>
        <w:tc>
          <w:tcPr>
            <w:tcW w:w="1474" w:type="dxa"/>
            <w:vAlign w:val="center"/>
          </w:tcPr>
          <w:p w14:paraId="3859F260">
            <w:pPr>
              <w:pStyle w:val="11"/>
            </w:pPr>
          </w:p>
        </w:tc>
        <w:tc>
          <w:tcPr>
            <w:tcW w:w="1474" w:type="dxa"/>
            <w:vAlign w:val="center"/>
          </w:tcPr>
          <w:p w14:paraId="37DA0F1B">
            <w:pPr>
              <w:pStyle w:val="11"/>
            </w:pPr>
          </w:p>
        </w:tc>
        <w:tc>
          <w:tcPr>
            <w:tcW w:w="1474" w:type="dxa"/>
            <w:vAlign w:val="center"/>
          </w:tcPr>
          <w:p w14:paraId="1F7ED2D5">
            <w:pPr>
              <w:pStyle w:val="11"/>
            </w:pPr>
          </w:p>
        </w:tc>
        <w:tc>
          <w:tcPr>
            <w:tcW w:w="1474" w:type="dxa"/>
            <w:vAlign w:val="center"/>
          </w:tcPr>
          <w:p w14:paraId="2F6898F4">
            <w:pPr>
              <w:pStyle w:val="11"/>
            </w:pPr>
          </w:p>
        </w:tc>
      </w:tr>
      <w:tr w14:paraId="3EB8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F25E">
            <w:pPr>
              <w:pStyle w:val="13"/>
            </w:pPr>
            <w:r>
              <w:t>19</w:t>
            </w:r>
          </w:p>
        </w:tc>
        <w:tc>
          <w:tcPr>
            <w:tcW w:w="3402" w:type="dxa"/>
            <w:vAlign w:val="center"/>
          </w:tcPr>
          <w:p w14:paraId="68E30697">
            <w:pPr>
              <w:pStyle w:val="12"/>
            </w:pPr>
          </w:p>
        </w:tc>
        <w:tc>
          <w:tcPr>
            <w:tcW w:w="1474" w:type="dxa"/>
            <w:vAlign w:val="center"/>
          </w:tcPr>
          <w:p w14:paraId="09DC2139">
            <w:pPr>
              <w:pStyle w:val="11"/>
            </w:pPr>
          </w:p>
        </w:tc>
        <w:tc>
          <w:tcPr>
            <w:tcW w:w="3402" w:type="dxa"/>
            <w:vAlign w:val="center"/>
          </w:tcPr>
          <w:p w14:paraId="08E9CCBB">
            <w:pPr>
              <w:pStyle w:val="12"/>
            </w:pPr>
            <w:r>
              <w:t>十九、自然资源海洋气象等支出</w:t>
            </w:r>
          </w:p>
        </w:tc>
        <w:tc>
          <w:tcPr>
            <w:tcW w:w="1474" w:type="dxa"/>
            <w:vAlign w:val="center"/>
          </w:tcPr>
          <w:p w14:paraId="4A3A50A5">
            <w:pPr>
              <w:pStyle w:val="11"/>
            </w:pPr>
          </w:p>
        </w:tc>
        <w:tc>
          <w:tcPr>
            <w:tcW w:w="1474" w:type="dxa"/>
            <w:vAlign w:val="center"/>
          </w:tcPr>
          <w:p w14:paraId="179F341A">
            <w:pPr>
              <w:pStyle w:val="11"/>
            </w:pPr>
          </w:p>
        </w:tc>
        <w:tc>
          <w:tcPr>
            <w:tcW w:w="1474" w:type="dxa"/>
            <w:vAlign w:val="center"/>
          </w:tcPr>
          <w:p w14:paraId="6778A950">
            <w:pPr>
              <w:pStyle w:val="11"/>
            </w:pPr>
          </w:p>
        </w:tc>
        <w:tc>
          <w:tcPr>
            <w:tcW w:w="1474" w:type="dxa"/>
            <w:vAlign w:val="center"/>
          </w:tcPr>
          <w:p w14:paraId="4DBAA004">
            <w:pPr>
              <w:pStyle w:val="11"/>
            </w:pPr>
          </w:p>
        </w:tc>
      </w:tr>
      <w:tr w14:paraId="2D12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FFB5E">
            <w:pPr>
              <w:pStyle w:val="13"/>
            </w:pPr>
            <w:r>
              <w:t>20</w:t>
            </w:r>
          </w:p>
        </w:tc>
        <w:tc>
          <w:tcPr>
            <w:tcW w:w="3402" w:type="dxa"/>
            <w:vAlign w:val="center"/>
          </w:tcPr>
          <w:p w14:paraId="644A88D2">
            <w:pPr>
              <w:pStyle w:val="12"/>
            </w:pPr>
          </w:p>
        </w:tc>
        <w:tc>
          <w:tcPr>
            <w:tcW w:w="1474" w:type="dxa"/>
            <w:vAlign w:val="center"/>
          </w:tcPr>
          <w:p w14:paraId="782F9755">
            <w:pPr>
              <w:pStyle w:val="11"/>
            </w:pPr>
          </w:p>
        </w:tc>
        <w:tc>
          <w:tcPr>
            <w:tcW w:w="3402" w:type="dxa"/>
            <w:vAlign w:val="center"/>
          </w:tcPr>
          <w:p w14:paraId="5ADB266C">
            <w:pPr>
              <w:pStyle w:val="12"/>
            </w:pPr>
            <w:r>
              <w:t>二十、住房保障支出</w:t>
            </w:r>
          </w:p>
        </w:tc>
        <w:tc>
          <w:tcPr>
            <w:tcW w:w="1474" w:type="dxa"/>
            <w:vAlign w:val="center"/>
          </w:tcPr>
          <w:p w14:paraId="0C68D0A3">
            <w:pPr>
              <w:pStyle w:val="11"/>
            </w:pPr>
          </w:p>
        </w:tc>
        <w:tc>
          <w:tcPr>
            <w:tcW w:w="1474" w:type="dxa"/>
            <w:vAlign w:val="center"/>
          </w:tcPr>
          <w:p w14:paraId="257ACE77">
            <w:pPr>
              <w:pStyle w:val="11"/>
            </w:pPr>
          </w:p>
        </w:tc>
        <w:tc>
          <w:tcPr>
            <w:tcW w:w="1474" w:type="dxa"/>
            <w:vAlign w:val="center"/>
          </w:tcPr>
          <w:p w14:paraId="18F0E190">
            <w:pPr>
              <w:pStyle w:val="11"/>
            </w:pPr>
          </w:p>
        </w:tc>
        <w:tc>
          <w:tcPr>
            <w:tcW w:w="1474" w:type="dxa"/>
            <w:vAlign w:val="center"/>
          </w:tcPr>
          <w:p w14:paraId="0F0DA22A">
            <w:pPr>
              <w:pStyle w:val="11"/>
            </w:pPr>
          </w:p>
        </w:tc>
      </w:tr>
      <w:tr w14:paraId="0138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6768F">
            <w:pPr>
              <w:pStyle w:val="13"/>
            </w:pPr>
            <w:r>
              <w:t>21</w:t>
            </w:r>
          </w:p>
        </w:tc>
        <w:tc>
          <w:tcPr>
            <w:tcW w:w="3402" w:type="dxa"/>
            <w:vAlign w:val="center"/>
          </w:tcPr>
          <w:p w14:paraId="69FA0DCE">
            <w:pPr>
              <w:pStyle w:val="12"/>
            </w:pPr>
          </w:p>
        </w:tc>
        <w:tc>
          <w:tcPr>
            <w:tcW w:w="1474" w:type="dxa"/>
            <w:vAlign w:val="center"/>
          </w:tcPr>
          <w:p w14:paraId="62986818">
            <w:pPr>
              <w:pStyle w:val="11"/>
            </w:pPr>
          </w:p>
        </w:tc>
        <w:tc>
          <w:tcPr>
            <w:tcW w:w="3402" w:type="dxa"/>
            <w:vAlign w:val="center"/>
          </w:tcPr>
          <w:p w14:paraId="191571AF">
            <w:pPr>
              <w:pStyle w:val="12"/>
            </w:pPr>
            <w:r>
              <w:t>二十一、粮油物资储备支出</w:t>
            </w:r>
          </w:p>
        </w:tc>
        <w:tc>
          <w:tcPr>
            <w:tcW w:w="1474" w:type="dxa"/>
            <w:vAlign w:val="center"/>
          </w:tcPr>
          <w:p w14:paraId="35C78446">
            <w:pPr>
              <w:pStyle w:val="11"/>
            </w:pPr>
          </w:p>
        </w:tc>
        <w:tc>
          <w:tcPr>
            <w:tcW w:w="1474" w:type="dxa"/>
            <w:vAlign w:val="center"/>
          </w:tcPr>
          <w:p w14:paraId="41FEEC06">
            <w:pPr>
              <w:pStyle w:val="11"/>
            </w:pPr>
          </w:p>
        </w:tc>
        <w:tc>
          <w:tcPr>
            <w:tcW w:w="1474" w:type="dxa"/>
            <w:vAlign w:val="center"/>
          </w:tcPr>
          <w:p w14:paraId="53982157">
            <w:pPr>
              <w:pStyle w:val="11"/>
            </w:pPr>
          </w:p>
        </w:tc>
        <w:tc>
          <w:tcPr>
            <w:tcW w:w="1474" w:type="dxa"/>
            <w:vAlign w:val="center"/>
          </w:tcPr>
          <w:p w14:paraId="717FE6F5">
            <w:pPr>
              <w:pStyle w:val="11"/>
            </w:pPr>
          </w:p>
        </w:tc>
      </w:tr>
      <w:tr w14:paraId="7342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7F00E">
            <w:pPr>
              <w:pStyle w:val="13"/>
            </w:pPr>
            <w:r>
              <w:t>22</w:t>
            </w:r>
          </w:p>
        </w:tc>
        <w:tc>
          <w:tcPr>
            <w:tcW w:w="3402" w:type="dxa"/>
            <w:vAlign w:val="center"/>
          </w:tcPr>
          <w:p w14:paraId="21DF3BAF">
            <w:pPr>
              <w:pStyle w:val="12"/>
            </w:pPr>
          </w:p>
        </w:tc>
        <w:tc>
          <w:tcPr>
            <w:tcW w:w="1474" w:type="dxa"/>
            <w:vAlign w:val="center"/>
          </w:tcPr>
          <w:p w14:paraId="1216D248">
            <w:pPr>
              <w:pStyle w:val="11"/>
            </w:pPr>
          </w:p>
        </w:tc>
        <w:tc>
          <w:tcPr>
            <w:tcW w:w="3402" w:type="dxa"/>
            <w:vAlign w:val="center"/>
          </w:tcPr>
          <w:p w14:paraId="5336E14C">
            <w:pPr>
              <w:pStyle w:val="12"/>
            </w:pPr>
            <w:r>
              <w:t>二十二、国有资本经营预算支出</w:t>
            </w:r>
          </w:p>
        </w:tc>
        <w:tc>
          <w:tcPr>
            <w:tcW w:w="1474" w:type="dxa"/>
            <w:vAlign w:val="center"/>
          </w:tcPr>
          <w:p w14:paraId="396B9BC0">
            <w:pPr>
              <w:pStyle w:val="11"/>
            </w:pPr>
          </w:p>
        </w:tc>
        <w:tc>
          <w:tcPr>
            <w:tcW w:w="1474" w:type="dxa"/>
            <w:vAlign w:val="center"/>
          </w:tcPr>
          <w:p w14:paraId="5547B926">
            <w:pPr>
              <w:pStyle w:val="11"/>
            </w:pPr>
          </w:p>
        </w:tc>
        <w:tc>
          <w:tcPr>
            <w:tcW w:w="1474" w:type="dxa"/>
            <w:vAlign w:val="center"/>
          </w:tcPr>
          <w:p w14:paraId="03FDE8D2">
            <w:pPr>
              <w:pStyle w:val="11"/>
            </w:pPr>
          </w:p>
        </w:tc>
        <w:tc>
          <w:tcPr>
            <w:tcW w:w="1474" w:type="dxa"/>
            <w:vAlign w:val="center"/>
          </w:tcPr>
          <w:p w14:paraId="3B3CFF3A">
            <w:pPr>
              <w:pStyle w:val="11"/>
            </w:pPr>
          </w:p>
        </w:tc>
      </w:tr>
      <w:tr w14:paraId="0AAB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FEB3">
            <w:pPr>
              <w:pStyle w:val="13"/>
            </w:pPr>
            <w:r>
              <w:t>23</w:t>
            </w:r>
          </w:p>
        </w:tc>
        <w:tc>
          <w:tcPr>
            <w:tcW w:w="3402" w:type="dxa"/>
            <w:vAlign w:val="center"/>
          </w:tcPr>
          <w:p w14:paraId="1E850637">
            <w:pPr>
              <w:pStyle w:val="12"/>
            </w:pPr>
          </w:p>
        </w:tc>
        <w:tc>
          <w:tcPr>
            <w:tcW w:w="1474" w:type="dxa"/>
            <w:vAlign w:val="center"/>
          </w:tcPr>
          <w:p w14:paraId="56543A7B">
            <w:pPr>
              <w:pStyle w:val="11"/>
            </w:pPr>
          </w:p>
        </w:tc>
        <w:tc>
          <w:tcPr>
            <w:tcW w:w="3402" w:type="dxa"/>
            <w:vAlign w:val="center"/>
          </w:tcPr>
          <w:p w14:paraId="22CCDDF3">
            <w:pPr>
              <w:pStyle w:val="12"/>
            </w:pPr>
            <w:r>
              <w:t>二十三、灾害防治及应急管理支出</w:t>
            </w:r>
          </w:p>
        </w:tc>
        <w:tc>
          <w:tcPr>
            <w:tcW w:w="1474" w:type="dxa"/>
            <w:vAlign w:val="center"/>
          </w:tcPr>
          <w:p w14:paraId="7F33E775">
            <w:pPr>
              <w:pStyle w:val="11"/>
            </w:pPr>
          </w:p>
        </w:tc>
        <w:tc>
          <w:tcPr>
            <w:tcW w:w="1474" w:type="dxa"/>
            <w:vAlign w:val="center"/>
          </w:tcPr>
          <w:p w14:paraId="063EE198">
            <w:pPr>
              <w:pStyle w:val="11"/>
            </w:pPr>
          </w:p>
        </w:tc>
        <w:tc>
          <w:tcPr>
            <w:tcW w:w="1474" w:type="dxa"/>
            <w:vAlign w:val="center"/>
          </w:tcPr>
          <w:p w14:paraId="71EF4C16">
            <w:pPr>
              <w:pStyle w:val="11"/>
            </w:pPr>
          </w:p>
        </w:tc>
        <w:tc>
          <w:tcPr>
            <w:tcW w:w="1474" w:type="dxa"/>
            <w:vAlign w:val="center"/>
          </w:tcPr>
          <w:p w14:paraId="341BEFB0">
            <w:pPr>
              <w:pStyle w:val="11"/>
            </w:pPr>
          </w:p>
        </w:tc>
      </w:tr>
      <w:tr w14:paraId="3A9FF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5DF7B">
            <w:pPr>
              <w:pStyle w:val="13"/>
            </w:pPr>
            <w:r>
              <w:t>24</w:t>
            </w:r>
          </w:p>
        </w:tc>
        <w:tc>
          <w:tcPr>
            <w:tcW w:w="3402" w:type="dxa"/>
            <w:vAlign w:val="center"/>
          </w:tcPr>
          <w:p w14:paraId="11D8ABC4">
            <w:pPr>
              <w:pStyle w:val="12"/>
            </w:pPr>
          </w:p>
        </w:tc>
        <w:tc>
          <w:tcPr>
            <w:tcW w:w="1474" w:type="dxa"/>
            <w:vAlign w:val="center"/>
          </w:tcPr>
          <w:p w14:paraId="636E0BB9">
            <w:pPr>
              <w:pStyle w:val="11"/>
            </w:pPr>
          </w:p>
        </w:tc>
        <w:tc>
          <w:tcPr>
            <w:tcW w:w="3402" w:type="dxa"/>
            <w:vAlign w:val="center"/>
          </w:tcPr>
          <w:p w14:paraId="6507E55A">
            <w:pPr>
              <w:pStyle w:val="12"/>
            </w:pPr>
            <w:r>
              <w:t>二十四、预备费</w:t>
            </w:r>
          </w:p>
        </w:tc>
        <w:tc>
          <w:tcPr>
            <w:tcW w:w="1474" w:type="dxa"/>
            <w:vAlign w:val="center"/>
          </w:tcPr>
          <w:p w14:paraId="60483FEE">
            <w:pPr>
              <w:pStyle w:val="11"/>
            </w:pPr>
          </w:p>
        </w:tc>
        <w:tc>
          <w:tcPr>
            <w:tcW w:w="1474" w:type="dxa"/>
            <w:vAlign w:val="center"/>
          </w:tcPr>
          <w:p w14:paraId="637B09D8">
            <w:pPr>
              <w:pStyle w:val="11"/>
            </w:pPr>
          </w:p>
        </w:tc>
        <w:tc>
          <w:tcPr>
            <w:tcW w:w="1474" w:type="dxa"/>
            <w:vAlign w:val="center"/>
          </w:tcPr>
          <w:p w14:paraId="45996506">
            <w:pPr>
              <w:pStyle w:val="11"/>
            </w:pPr>
          </w:p>
        </w:tc>
        <w:tc>
          <w:tcPr>
            <w:tcW w:w="1474" w:type="dxa"/>
            <w:vAlign w:val="center"/>
          </w:tcPr>
          <w:p w14:paraId="594D7CC7">
            <w:pPr>
              <w:pStyle w:val="11"/>
            </w:pPr>
          </w:p>
        </w:tc>
      </w:tr>
      <w:tr w14:paraId="4F5B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18FC">
            <w:pPr>
              <w:pStyle w:val="13"/>
            </w:pPr>
            <w:r>
              <w:t>25</w:t>
            </w:r>
          </w:p>
        </w:tc>
        <w:tc>
          <w:tcPr>
            <w:tcW w:w="3402" w:type="dxa"/>
            <w:vAlign w:val="center"/>
          </w:tcPr>
          <w:p w14:paraId="1F041876">
            <w:pPr>
              <w:pStyle w:val="12"/>
            </w:pPr>
          </w:p>
        </w:tc>
        <w:tc>
          <w:tcPr>
            <w:tcW w:w="1474" w:type="dxa"/>
            <w:vAlign w:val="center"/>
          </w:tcPr>
          <w:p w14:paraId="7EC95A88">
            <w:pPr>
              <w:pStyle w:val="11"/>
            </w:pPr>
          </w:p>
        </w:tc>
        <w:tc>
          <w:tcPr>
            <w:tcW w:w="3402" w:type="dxa"/>
            <w:vAlign w:val="center"/>
          </w:tcPr>
          <w:p w14:paraId="32211ADB">
            <w:pPr>
              <w:pStyle w:val="12"/>
            </w:pPr>
            <w:r>
              <w:t>二十五、其他支出</w:t>
            </w:r>
          </w:p>
        </w:tc>
        <w:tc>
          <w:tcPr>
            <w:tcW w:w="1474" w:type="dxa"/>
            <w:vAlign w:val="center"/>
          </w:tcPr>
          <w:p w14:paraId="18CE5517">
            <w:pPr>
              <w:pStyle w:val="11"/>
            </w:pPr>
          </w:p>
        </w:tc>
        <w:tc>
          <w:tcPr>
            <w:tcW w:w="1474" w:type="dxa"/>
            <w:vAlign w:val="center"/>
          </w:tcPr>
          <w:p w14:paraId="6029CFD8">
            <w:pPr>
              <w:pStyle w:val="11"/>
            </w:pPr>
          </w:p>
        </w:tc>
        <w:tc>
          <w:tcPr>
            <w:tcW w:w="1474" w:type="dxa"/>
            <w:vAlign w:val="center"/>
          </w:tcPr>
          <w:p w14:paraId="70532FD3">
            <w:pPr>
              <w:pStyle w:val="11"/>
            </w:pPr>
          </w:p>
        </w:tc>
        <w:tc>
          <w:tcPr>
            <w:tcW w:w="1474" w:type="dxa"/>
            <w:vAlign w:val="center"/>
          </w:tcPr>
          <w:p w14:paraId="1DD24C78">
            <w:pPr>
              <w:pStyle w:val="11"/>
            </w:pPr>
          </w:p>
        </w:tc>
      </w:tr>
      <w:tr w14:paraId="6630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570C">
            <w:pPr>
              <w:pStyle w:val="13"/>
            </w:pPr>
            <w:r>
              <w:t>26</w:t>
            </w:r>
          </w:p>
        </w:tc>
        <w:tc>
          <w:tcPr>
            <w:tcW w:w="3402" w:type="dxa"/>
            <w:vAlign w:val="center"/>
          </w:tcPr>
          <w:p w14:paraId="2DF315FE">
            <w:pPr>
              <w:pStyle w:val="12"/>
            </w:pPr>
          </w:p>
        </w:tc>
        <w:tc>
          <w:tcPr>
            <w:tcW w:w="1474" w:type="dxa"/>
            <w:vAlign w:val="center"/>
          </w:tcPr>
          <w:p w14:paraId="0887153A">
            <w:pPr>
              <w:pStyle w:val="11"/>
            </w:pPr>
          </w:p>
        </w:tc>
        <w:tc>
          <w:tcPr>
            <w:tcW w:w="3402" w:type="dxa"/>
            <w:vAlign w:val="center"/>
          </w:tcPr>
          <w:p w14:paraId="4854C496">
            <w:pPr>
              <w:pStyle w:val="12"/>
            </w:pPr>
            <w:r>
              <w:t>二十六、转移性支出</w:t>
            </w:r>
          </w:p>
        </w:tc>
        <w:tc>
          <w:tcPr>
            <w:tcW w:w="1474" w:type="dxa"/>
            <w:vAlign w:val="center"/>
          </w:tcPr>
          <w:p w14:paraId="4B59E3D6">
            <w:pPr>
              <w:pStyle w:val="11"/>
            </w:pPr>
          </w:p>
        </w:tc>
        <w:tc>
          <w:tcPr>
            <w:tcW w:w="1474" w:type="dxa"/>
            <w:vAlign w:val="center"/>
          </w:tcPr>
          <w:p w14:paraId="046F0944">
            <w:pPr>
              <w:pStyle w:val="11"/>
            </w:pPr>
          </w:p>
        </w:tc>
        <w:tc>
          <w:tcPr>
            <w:tcW w:w="1474" w:type="dxa"/>
            <w:vAlign w:val="center"/>
          </w:tcPr>
          <w:p w14:paraId="2B96152E">
            <w:pPr>
              <w:pStyle w:val="11"/>
            </w:pPr>
          </w:p>
        </w:tc>
        <w:tc>
          <w:tcPr>
            <w:tcW w:w="1474" w:type="dxa"/>
            <w:vAlign w:val="center"/>
          </w:tcPr>
          <w:p w14:paraId="673F0EFD">
            <w:pPr>
              <w:pStyle w:val="11"/>
            </w:pPr>
          </w:p>
        </w:tc>
      </w:tr>
      <w:tr w14:paraId="2EC2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1F5F3">
            <w:pPr>
              <w:pStyle w:val="13"/>
            </w:pPr>
            <w:r>
              <w:t>27</w:t>
            </w:r>
          </w:p>
        </w:tc>
        <w:tc>
          <w:tcPr>
            <w:tcW w:w="3402" w:type="dxa"/>
            <w:vAlign w:val="center"/>
          </w:tcPr>
          <w:p w14:paraId="0B6A0475">
            <w:pPr>
              <w:pStyle w:val="12"/>
            </w:pPr>
          </w:p>
        </w:tc>
        <w:tc>
          <w:tcPr>
            <w:tcW w:w="1474" w:type="dxa"/>
            <w:vAlign w:val="center"/>
          </w:tcPr>
          <w:p w14:paraId="5B3056B9">
            <w:pPr>
              <w:pStyle w:val="11"/>
            </w:pPr>
          </w:p>
        </w:tc>
        <w:tc>
          <w:tcPr>
            <w:tcW w:w="3402" w:type="dxa"/>
            <w:vAlign w:val="center"/>
          </w:tcPr>
          <w:p w14:paraId="1374A264">
            <w:pPr>
              <w:pStyle w:val="12"/>
            </w:pPr>
            <w:r>
              <w:t>二十七、债务还本支出</w:t>
            </w:r>
          </w:p>
        </w:tc>
        <w:tc>
          <w:tcPr>
            <w:tcW w:w="1474" w:type="dxa"/>
            <w:vAlign w:val="center"/>
          </w:tcPr>
          <w:p w14:paraId="7066C8B2">
            <w:pPr>
              <w:pStyle w:val="11"/>
            </w:pPr>
          </w:p>
        </w:tc>
        <w:tc>
          <w:tcPr>
            <w:tcW w:w="1474" w:type="dxa"/>
            <w:vAlign w:val="center"/>
          </w:tcPr>
          <w:p w14:paraId="04AAE3E1">
            <w:pPr>
              <w:pStyle w:val="11"/>
            </w:pPr>
          </w:p>
        </w:tc>
        <w:tc>
          <w:tcPr>
            <w:tcW w:w="1474" w:type="dxa"/>
            <w:vAlign w:val="center"/>
          </w:tcPr>
          <w:p w14:paraId="12B4EB1E">
            <w:pPr>
              <w:pStyle w:val="11"/>
            </w:pPr>
          </w:p>
        </w:tc>
        <w:tc>
          <w:tcPr>
            <w:tcW w:w="1474" w:type="dxa"/>
            <w:vAlign w:val="center"/>
          </w:tcPr>
          <w:p w14:paraId="2D35A38A">
            <w:pPr>
              <w:pStyle w:val="11"/>
            </w:pPr>
          </w:p>
        </w:tc>
      </w:tr>
      <w:tr w14:paraId="5A71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36D35">
            <w:pPr>
              <w:pStyle w:val="13"/>
            </w:pPr>
            <w:r>
              <w:t>28</w:t>
            </w:r>
          </w:p>
        </w:tc>
        <w:tc>
          <w:tcPr>
            <w:tcW w:w="3402" w:type="dxa"/>
            <w:vAlign w:val="center"/>
          </w:tcPr>
          <w:p w14:paraId="1AA34122">
            <w:pPr>
              <w:pStyle w:val="12"/>
            </w:pPr>
          </w:p>
        </w:tc>
        <w:tc>
          <w:tcPr>
            <w:tcW w:w="1474" w:type="dxa"/>
            <w:vAlign w:val="center"/>
          </w:tcPr>
          <w:p w14:paraId="4522C4C5">
            <w:pPr>
              <w:pStyle w:val="11"/>
            </w:pPr>
          </w:p>
        </w:tc>
        <w:tc>
          <w:tcPr>
            <w:tcW w:w="3402" w:type="dxa"/>
            <w:vAlign w:val="center"/>
          </w:tcPr>
          <w:p w14:paraId="04C3BCF9">
            <w:pPr>
              <w:pStyle w:val="12"/>
            </w:pPr>
            <w:r>
              <w:t>二十八、债务付息支出</w:t>
            </w:r>
          </w:p>
        </w:tc>
        <w:tc>
          <w:tcPr>
            <w:tcW w:w="1474" w:type="dxa"/>
            <w:vAlign w:val="center"/>
          </w:tcPr>
          <w:p w14:paraId="681146E6">
            <w:pPr>
              <w:pStyle w:val="11"/>
            </w:pPr>
          </w:p>
        </w:tc>
        <w:tc>
          <w:tcPr>
            <w:tcW w:w="1474" w:type="dxa"/>
            <w:vAlign w:val="center"/>
          </w:tcPr>
          <w:p w14:paraId="0AB492DA">
            <w:pPr>
              <w:pStyle w:val="11"/>
            </w:pPr>
          </w:p>
        </w:tc>
        <w:tc>
          <w:tcPr>
            <w:tcW w:w="1474" w:type="dxa"/>
            <w:vAlign w:val="center"/>
          </w:tcPr>
          <w:p w14:paraId="6D9C8884">
            <w:pPr>
              <w:pStyle w:val="11"/>
            </w:pPr>
          </w:p>
        </w:tc>
        <w:tc>
          <w:tcPr>
            <w:tcW w:w="1474" w:type="dxa"/>
            <w:vAlign w:val="center"/>
          </w:tcPr>
          <w:p w14:paraId="0DDC3BA6">
            <w:pPr>
              <w:pStyle w:val="11"/>
            </w:pPr>
          </w:p>
        </w:tc>
      </w:tr>
      <w:tr w14:paraId="0C89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EDBD4">
            <w:pPr>
              <w:pStyle w:val="13"/>
            </w:pPr>
            <w:r>
              <w:t>29</w:t>
            </w:r>
          </w:p>
        </w:tc>
        <w:tc>
          <w:tcPr>
            <w:tcW w:w="3402" w:type="dxa"/>
            <w:vAlign w:val="center"/>
          </w:tcPr>
          <w:p w14:paraId="257D608B">
            <w:pPr>
              <w:pStyle w:val="12"/>
            </w:pPr>
          </w:p>
        </w:tc>
        <w:tc>
          <w:tcPr>
            <w:tcW w:w="1474" w:type="dxa"/>
            <w:vAlign w:val="center"/>
          </w:tcPr>
          <w:p w14:paraId="0A2F60D9">
            <w:pPr>
              <w:pStyle w:val="11"/>
            </w:pPr>
          </w:p>
        </w:tc>
        <w:tc>
          <w:tcPr>
            <w:tcW w:w="3402" w:type="dxa"/>
            <w:vAlign w:val="center"/>
          </w:tcPr>
          <w:p w14:paraId="479ADD9A">
            <w:pPr>
              <w:pStyle w:val="12"/>
            </w:pPr>
            <w:r>
              <w:t>二十九、债务发行费用支出</w:t>
            </w:r>
          </w:p>
        </w:tc>
        <w:tc>
          <w:tcPr>
            <w:tcW w:w="1474" w:type="dxa"/>
            <w:vAlign w:val="center"/>
          </w:tcPr>
          <w:p w14:paraId="19B09872">
            <w:pPr>
              <w:pStyle w:val="11"/>
            </w:pPr>
          </w:p>
        </w:tc>
        <w:tc>
          <w:tcPr>
            <w:tcW w:w="1474" w:type="dxa"/>
            <w:vAlign w:val="center"/>
          </w:tcPr>
          <w:p w14:paraId="0A488BC0">
            <w:pPr>
              <w:pStyle w:val="11"/>
            </w:pPr>
          </w:p>
        </w:tc>
        <w:tc>
          <w:tcPr>
            <w:tcW w:w="1474" w:type="dxa"/>
            <w:vAlign w:val="center"/>
          </w:tcPr>
          <w:p w14:paraId="2A145C3D">
            <w:pPr>
              <w:pStyle w:val="11"/>
            </w:pPr>
          </w:p>
        </w:tc>
        <w:tc>
          <w:tcPr>
            <w:tcW w:w="1474" w:type="dxa"/>
            <w:vAlign w:val="center"/>
          </w:tcPr>
          <w:p w14:paraId="47699965">
            <w:pPr>
              <w:pStyle w:val="11"/>
            </w:pPr>
          </w:p>
        </w:tc>
      </w:tr>
      <w:tr w14:paraId="2449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4F0A">
            <w:pPr>
              <w:pStyle w:val="13"/>
            </w:pPr>
            <w:r>
              <w:t>30</w:t>
            </w:r>
          </w:p>
        </w:tc>
        <w:tc>
          <w:tcPr>
            <w:tcW w:w="3402" w:type="dxa"/>
            <w:vAlign w:val="center"/>
          </w:tcPr>
          <w:p w14:paraId="4DC78BEC">
            <w:pPr>
              <w:pStyle w:val="12"/>
            </w:pPr>
          </w:p>
        </w:tc>
        <w:tc>
          <w:tcPr>
            <w:tcW w:w="1474" w:type="dxa"/>
            <w:vAlign w:val="center"/>
          </w:tcPr>
          <w:p w14:paraId="2B8E6FD7">
            <w:pPr>
              <w:pStyle w:val="11"/>
            </w:pPr>
          </w:p>
        </w:tc>
        <w:tc>
          <w:tcPr>
            <w:tcW w:w="3402" w:type="dxa"/>
            <w:vAlign w:val="center"/>
          </w:tcPr>
          <w:p w14:paraId="6D47CD9E">
            <w:pPr>
              <w:pStyle w:val="12"/>
            </w:pPr>
            <w:r>
              <w:t>三十、抗疫特别国债安排的支出</w:t>
            </w:r>
          </w:p>
        </w:tc>
        <w:tc>
          <w:tcPr>
            <w:tcW w:w="1474" w:type="dxa"/>
            <w:vAlign w:val="center"/>
          </w:tcPr>
          <w:p w14:paraId="780E02E9">
            <w:pPr>
              <w:pStyle w:val="11"/>
            </w:pPr>
          </w:p>
        </w:tc>
        <w:tc>
          <w:tcPr>
            <w:tcW w:w="1474" w:type="dxa"/>
            <w:vAlign w:val="center"/>
          </w:tcPr>
          <w:p w14:paraId="17796417">
            <w:pPr>
              <w:pStyle w:val="11"/>
            </w:pPr>
          </w:p>
        </w:tc>
        <w:tc>
          <w:tcPr>
            <w:tcW w:w="1474" w:type="dxa"/>
            <w:vAlign w:val="center"/>
          </w:tcPr>
          <w:p w14:paraId="403E1231">
            <w:pPr>
              <w:pStyle w:val="11"/>
            </w:pPr>
          </w:p>
        </w:tc>
        <w:tc>
          <w:tcPr>
            <w:tcW w:w="1474" w:type="dxa"/>
            <w:vAlign w:val="center"/>
          </w:tcPr>
          <w:p w14:paraId="0C9A94F4">
            <w:pPr>
              <w:pStyle w:val="11"/>
            </w:pPr>
          </w:p>
        </w:tc>
      </w:tr>
      <w:tr w14:paraId="12FE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A1B99">
            <w:pPr>
              <w:pStyle w:val="13"/>
            </w:pPr>
            <w:r>
              <w:t>31</w:t>
            </w:r>
          </w:p>
        </w:tc>
        <w:tc>
          <w:tcPr>
            <w:tcW w:w="3402" w:type="dxa"/>
            <w:vAlign w:val="center"/>
          </w:tcPr>
          <w:p w14:paraId="043D4712">
            <w:pPr>
              <w:pStyle w:val="12"/>
            </w:pPr>
          </w:p>
        </w:tc>
        <w:tc>
          <w:tcPr>
            <w:tcW w:w="1474" w:type="dxa"/>
            <w:vAlign w:val="center"/>
          </w:tcPr>
          <w:p w14:paraId="2DC1272C">
            <w:pPr>
              <w:pStyle w:val="11"/>
            </w:pPr>
          </w:p>
        </w:tc>
        <w:tc>
          <w:tcPr>
            <w:tcW w:w="3402" w:type="dxa"/>
            <w:vAlign w:val="center"/>
          </w:tcPr>
          <w:p w14:paraId="0781CD2F">
            <w:pPr>
              <w:pStyle w:val="12"/>
            </w:pPr>
            <w:r>
              <w:t>三十一、人行科目</w:t>
            </w:r>
          </w:p>
        </w:tc>
        <w:tc>
          <w:tcPr>
            <w:tcW w:w="1474" w:type="dxa"/>
            <w:vAlign w:val="center"/>
          </w:tcPr>
          <w:p w14:paraId="2EF9C049">
            <w:pPr>
              <w:pStyle w:val="11"/>
            </w:pPr>
          </w:p>
        </w:tc>
        <w:tc>
          <w:tcPr>
            <w:tcW w:w="1474" w:type="dxa"/>
            <w:vAlign w:val="center"/>
          </w:tcPr>
          <w:p w14:paraId="7DB4E9E9">
            <w:pPr>
              <w:pStyle w:val="11"/>
            </w:pPr>
          </w:p>
        </w:tc>
        <w:tc>
          <w:tcPr>
            <w:tcW w:w="1474" w:type="dxa"/>
            <w:vAlign w:val="center"/>
          </w:tcPr>
          <w:p w14:paraId="5768272D">
            <w:pPr>
              <w:pStyle w:val="11"/>
            </w:pPr>
          </w:p>
        </w:tc>
        <w:tc>
          <w:tcPr>
            <w:tcW w:w="1474" w:type="dxa"/>
            <w:vAlign w:val="center"/>
          </w:tcPr>
          <w:p w14:paraId="7A6A2D74">
            <w:pPr>
              <w:pStyle w:val="11"/>
            </w:pPr>
          </w:p>
        </w:tc>
      </w:tr>
      <w:tr w14:paraId="6A49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59C34">
            <w:pPr>
              <w:pStyle w:val="13"/>
            </w:pPr>
            <w:r>
              <w:t>32</w:t>
            </w:r>
          </w:p>
        </w:tc>
        <w:tc>
          <w:tcPr>
            <w:tcW w:w="3402" w:type="dxa"/>
            <w:vAlign w:val="center"/>
          </w:tcPr>
          <w:p w14:paraId="2E1C8329">
            <w:pPr>
              <w:pStyle w:val="14"/>
            </w:pPr>
            <w:r>
              <w:t>本年收入合计</w:t>
            </w:r>
          </w:p>
        </w:tc>
        <w:tc>
          <w:tcPr>
            <w:tcW w:w="1474" w:type="dxa"/>
            <w:vAlign w:val="center"/>
          </w:tcPr>
          <w:p w14:paraId="1DE16468">
            <w:pPr>
              <w:pStyle w:val="15"/>
            </w:pPr>
            <w:r>
              <w:t>607.38</w:t>
            </w:r>
          </w:p>
        </w:tc>
        <w:tc>
          <w:tcPr>
            <w:tcW w:w="3402" w:type="dxa"/>
            <w:vAlign w:val="center"/>
          </w:tcPr>
          <w:p w14:paraId="61062528">
            <w:pPr>
              <w:pStyle w:val="14"/>
            </w:pPr>
            <w:r>
              <w:t>本年支出合计</w:t>
            </w:r>
          </w:p>
        </w:tc>
        <w:tc>
          <w:tcPr>
            <w:tcW w:w="1474" w:type="dxa"/>
            <w:vAlign w:val="center"/>
          </w:tcPr>
          <w:p w14:paraId="23A0FEA3">
            <w:pPr>
              <w:pStyle w:val="15"/>
            </w:pPr>
            <w:r>
              <w:t>607.38</w:t>
            </w:r>
          </w:p>
        </w:tc>
        <w:tc>
          <w:tcPr>
            <w:tcW w:w="1474" w:type="dxa"/>
            <w:vAlign w:val="center"/>
          </w:tcPr>
          <w:p w14:paraId="3475A564">
            <w:pPr>
              <w:pStyle w:val="15"/>
            </w:pPr>
            <w:r>
              <w:t>607.38</w:t>
            </w:r>
          </w:p>
        </w:tc>
        <w:tc>
          <w:tcPr>
            <w:tcW w:w="1474" w:type="dxa"/>
            <w:vAlign w:val="center"/>
          </w:tcPr>
          <w:p w14:paraId="0E2DB6F5">
            <w:pPr>
              <w:pStyle w:val="15"/>
            </w:pPr>
          </w:p>
        </w:tc>
        <w:tc>
          <w:tcPr>
            <w:tcW w:w="1474" w:type="dxa"/>
            <w:vAlign w:val="center"/>
          </w:tcPr>
          <w:p w14:paraId="1FD23D8D">
            <w:pPr>
              <w:pStyle w:val="15"/>
            </w:pPr>
          </w:p>
        </w:tc>
      </w:tr>
      <w:tr w14:paraId="71E96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6157">
            <w:pPr>
              <w:pStyle w:val="13"/>
            </w:pPr>
            <w:r>
              <w:t>33</w:t>
            </w:r>
          </w:p>
        </w:tc>
        <w:tc>
          <w:tcPr>
            <w:tcW w:w="3402" w:type="dxa"/>
            <w:vAlign w:val="center"/>
          </w:tcPr>
          <w:p w14:paraId="1A573D59">
            <w:pPr>
              <w:pStyle w:val="12"/>
            </w:pPr>
            <w:r>
              <w:t>年初财政拨款结转和结余</w:t>
            </w:r>
          </w:p>
        </w:tc>
        <w:tc>
          <w:tcPr>
            <w:tcW w:w="1474" w:type="dxa"/>
            <w:vAlign w:val="center"/>
          </w:tcPr>
          <w:p w14:paraId="5F1CA19F">
            <w:pPr>
              <w:pStyle w:val="11"/>
            </w:pPr>
          </w:p>
        </w:tc>
        <w:tc>
          <w:tcPr>
            <w:tcW w:w="3402" w:type="dxa"/>
            <w:vAlign w:val="center"/>
          </w:tcPr>
          <w:p w14:paraId="47F6D156">
            <w:pPr>
              <w:pStyle w:val="12"/>
            </w:pPr>
            <w:r>
              <w:t>年末财政拨款结转和结余</w:t>
            </w:r>
          </w:p>
        </w:tc>
        <w:tc>
          <w:tcPr>
            <w:tcW w:w="1474" w:type="dxa"/>
            <w:vAlign w:val="center"/>
          </w:tcPr>
          <w:p w14:paraId="75C9DE2F">
            <w:pPr>
              <w:pStyle w:val="11"/>
            </w:pPr>
          </w:p>
        </w:tc>
        <w:tc>
          <w:tcPr>
            <w:tcW w:w="1474" w:type="dxa"/>
            <w:vAlign w:val="center"/>
          </w:tcPr>
          <w:p w14:paraId="3F7D5892">
            <w:pPr>
              <w:pStyle w:val="11"/>
            </w:pPr>
          </w:p>
        </w:tc>
        <w:tc>
          <w:tcPr>
            <w:tcW w:w="1474" w:type="dxa"/>
            <w:vAlign w:val="center"/>
          </w:tcPr>
          <w:p w14:paraId="5453A294">
            <w:pPr>
              <w:pStyle w:val="11"/>
            </w:pPr>
          </w:p>
        </w:tc>
        <w:tc>
          <w:tcPr>
            <w:tcW w:w="1474" w:type="dxa"/>
            <w:vAlign w:val="center"/>
          </w:tcPr>
          <w:p w14:paraId="37A020A5">
            <w:pPr>
              <w:pStyle w:val="11"/>
            </w:pPr>
          </w:p>
        </w:tc>
      </w:tr>
      <w:tr w14:paraId="5B40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99BE4">
            <w:pPr>
              <w:pStyle w:val="13"/>
            </w:pPr>
            <w:r>
              <w:t>34</w:t>
            </w:r>
          </w:p>
        </w:tc>
        <w:tc>
          <w:tcPr>
            <w:tcW w:w="3402" w:type="dxa"/>
            <w:vAlign w:val="center"/>
          </w:tcPr>
          <w:p w14:paraId="60FF1117">
            <w:pPr>
              <w:pStyle w:val="12"/>
            </w:pPr>
            <w:r>
              <w:t>一、一般公共预算拨款</w:t>
            </w:r>
          </w:p>
        </w:tc>
        <w:tc>
          <w:tcPr>
            <w:tcW w:w="1474" w:type="dxa"/>
            <w:vAlign w:val="center"/>
          </w:tcPr>
          <w:p w14:paraId="7A7B81DF">
            <w:pPr>
              <w:pStyle w:val="11"/>
            </w:pPr>
          </w:p>
        </w:tc>
        <w:tc>
          <w:tcPr>
            <w:tcW w:w="3402" w:type="dxa"/>
            <w:vAlign w:val="center"/>
          </w:tcPr>
          <w:p w14:paraId="3064146D">
            <w:pPr>
              <w:pStyle w:val="12"/>
            </w:pPr>
          </w:p>
        </w:tc>
        <w:tc>
          <w:tcPr>
            <w:tcW w:w="1474" w:type="dxa"/>
            <w:vAlign w:val="center"/>
          </w:tcPr>
          <w:p w14:paraId="4ADEE8D3">
            <w:pPr>
              <w:pStyle w:val="11"/>
            </w:pPr>
          </w:p>
        </w:tc>
        <w:tc>
          <w:tcPr>
            <w:tcW w:w="1474" w:type="dxa"/>
            <w:vAlign w:val="center"/>
          </w:tcPr>
          <w:p w14:paraId="59E21F30">
            <w:pPr>
              <w:pStyle w:val="11"/>
            </w:pPr>
          </w:p>
        </w:tc>
        <w:tc>
          <w:tcPr>
            <w:tcW w:w="1474" w:type="dxa"/>
            <w:vAlign w:val="center"/>
          </w:tcPr>
          <w:p w14:paraId="165E9AC2">
            <w:pPr>
              <w:pStyle w:val="11"/>
            </w:pPr>
          </w:p>
        </w:tc>
        <w:tc>
          <w:tcPr>
            <w:tcW w:w="1474" w:type="dxa"/>
            <w:vAlign w:val="center"/>
          </w:tcPr>
          <w:p w14:paraId="25720362">
            <w:pPr>
              <w:pStyle w:val="11"/>
            </w:pPr>
          </w:p>
        </w:tc>
      </w:tr>
      <w:tr w14:paraId="496C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0B39">
            <w:pPr>
              <w:pStyle w:val="13"/>
            </w:pPr>
            <w:r>
              <w:t>35</w:t>
            </w:r>
          </w:p>
        </w:tc>
        <w:tc>
          <w:tcPr>
            <w:tcW w:w="3402" w:type="dxa"/>
            <w:vAlign w:val="center"/>
          </w:tcPr>
          <w:p w14:paraId="78FD411F">
            <w:pPr>
              <w:pStyle w:val="12"/>
            </w:pPr>
            <w:r>
              <w:t>二、政府性基金预算拨款</w:t>
            </w:r>
          </w:p>
        </w:tc>
        <w:tc>
          <w:tcPr>
            <w:tcW w:w="1474" w:type="dxa"/>
            <w:vAlign w:val="center"/>
          </w:tcPr>
          <w:p w14:paraId="22D8F3C7">
            <w:pPr>
              <w:pStyle w:val="11"/>
            </w:pPr>
          </w:p>
        </w:tc>
        <w:tc>
          <w:tcPr>
            <w:tcW w:w="3402" w:type="dxa"/>
            <w:vAlign w:val="center"/>
          </w:tcPr>
          <w:p w14:paraId="03E72C87">
            <w:pPr>
              <w:pStyle w:val="12"/>
            </w:pPr>
          </w:p>
        </w:tc>
        <w:tc>
          <w:tcPr>
            <w:tcW w:w="1474" w:type="dxa"/>
            <w:vAlign w:val="center"/>
          </w:tcPr>
          <w:p w14:paraId="3EB2E2EE">
            <w:pPr>
              <w:pStyle w:val="11"/>
            </w:pPr>
          </w:p>
        </w:tc>
        <w:tc>
          <w:tcPr>
            <w:tcW w:w="1474" w:type="dxa"/>
            <w:vAlign w:val="center"/>
          </w:tcPr>
          <w:p w14:paraId="45007795">
            <w:pPr>
              <w:pStyle w:val="11"/>
            </w:pPr>
          </w:p>
        </w:tc>
        <w:tc>
          <w:tcPr>
            <w:tcW w:w="1474" w:type="dxa"/>
            <w:vAlign w:val="center"/>
          </w:tcPr>
          <w:p w14:paraId="6995F56F">
            <w:pPr>
              <w:pStyle w:val="11"/>
            </w:pPr>
          </w:p>
        </w:tc>
        <w:tc>
          <w:tcPr>
            <w:tcW w:w="1474" w:type="dxa"/>
            <w:vAlign w:val="center"/>
          </w:tcPr>
          <w:p w14:paraId="38A5B76F">
            <w:pPr>
              <w:pStyle w:val="11"/>
            </w:pPr>
          </w:p>
        </w:tc>
      </w:tr>
      <w:tr w14:paraId="46BD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7DAF4">
            <w:pPr>
              <w:pStyle w:val="13"/>
            </w:pPr>
            <w:r>
              <w:t>36</w:t>
            </w:r>
          </w:p>
        </w:tc>
        <w:tc>
          <w:tcPr>
            <w:tcW w:w="3402" w:type="dxa"/>
            <w:vAlign w:val="center"/>
          </w:tcPr>
          <w:p w14:paraId="0CA0D215">
            <w:pPr>
              <w:pStyle w:val="12"/>
            </w:pPr>
            <w:r>
              <w:t>三、国有资本经营预算拨款</w:t>
            </w:r>
          </w:p>
        </w:tc>
        <w:tc>
          <w:tcPr>
            <w:tcW w:w="1474" w:type="dxa"/>
            <w:vAlign w:val="center"/>
          </w:tcPr>
          <w:p w14:paraId="34E1A49A">
            <w:pPr>
              <w:pStyle w:val="11"/>
            </w:pPr>
          </w:p>
        </w:tc>
        <w:tc>
          <w:tcPr>
            <w:tcW w:w="3402" w:type="dxa"/>
            <w:vAlign w:val="center"/>
          </w:tcPr>
          <w:p w14:paraId="0DA869DF">
            <w:pPr>
              <w:pStyle w:val="12"/>
            </w:pPr>
          </w:p>
        </w:tc>
        <w:tc>
          <w:tcPr>
            <w:tcW w:w="1474" w:type="dxa"/>
            <w:vAlign w:val="center"/>
          </w:tcPr>
          <w:p w14:paraId="15FF7C25">
            <w:pPr>
              <w:pStyle w:val="11"/>
            </w:pPr>
          </w:p>
        </w:tc>
        <w:tc>
          <w:tcPr>
            <w:tcW w:w="1474" w:type="dxa"/>
            <w:vAlign w:val="center"/>
          </w:tcPr>
          <w:p w14:paraId="08F51A3E">
            <w:pPr>
              <w:pStyle w:val="11"/>
            </w:pPr>
          </w:p>
        </w:tc>
        <w:tc>
          <w:tcPr>
            <w:tcW w:w="1474" w:type="dxa"/>
            <w:vAlign w:val="center"/>
          </w:tcPr>
          <w:p w14:paraId="5B304EDE">
            <w:pPr>
              <w:pStyle w:val="11"/>
            </w:pPr>
          </w:p>
        </w:tc>
        <w:tc>
          <w:tcPr>
            <w:tcW w:w="1474" w:type="dxa"/>
            <w:vAlign w:val="center"/>
          </w:tcPr>
          <w:p w14:paraId="3682A42E">
            <w:pPr>
              <w:pStyle w:val="11"/>
            </w:pPr>
          </w:p>
        </w:tc>
      </w:tr>
      <w:tr w14:paraId="7B95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AA9C9">
            <w:pPr>
              <w:pStyle w:val="13"/>
            </w:pPr>
            <w:r>
              <w:t>37</w:t>
            </w:r>
          </w:p>
        </w:tc>
        <w:tc>
          <w:tcPr>
            <w:tcW w:w="3402" w:type="dxa"/>
            <w:vAlign w:val="center"/>
          </w:tcPr>
          <w:p w14:paraId="51602C65">
            <w:pPr>
              <w:pStyle w:val="14"/>
            </w:pPr>
            <w:r>
              <w:t>收入总计</w:t>
            </w:r>
          </w:p>
        </w:tc>
        <w:tc>
          <w:tcPr>
            <w:tcW w:w="1474" w:type="dxa"/>
            <w:vAlign w:val="center"/>
          </w:tcPr>
          <w:p w14:paraId="0D1B97D0">
            <w:pPr>
              <w:pStyle w:val="15"/>
            </w:pPr>
            <w:r>
              <w:t>607.38</w:t>
            </w:r>
          </w:p>
        </w:tc>
        <w:tc>
          <w:tcPr>
            <w:tcW w:w="3402" w:type="dxa"/>
            <w:vAlign w:val="center"/>
          </w:tcPr>
          <w:p w14:paraId="5D1E55D9">
            <w:pPr>
              <w:pStyle w:val="14"/>
            </w:pPr>
            <w:r>
              <w:t>支出总计</w:t>
            </w:r>
          </w:p>
        </w:tc>
        <w:tc>
          <w:tcPr>
            <w:tcW w:w="1474" w:type="dxa"/>
            <w:vAlign w:val="center"/>
          </w:tcPr>
          <w:p w14:paraId="09B1D4CA">
            <w:pPr>
              <w:pStyle w:val="15"/>
            </w:pPr>
            <w:r>
              <w:t>607.38</w:t>
            </w:r>
          </w:p>
        </w:tc>
        <w:tc>
          <w:tcPr>
            <w:tcW w:w="1474" w:type="dxa"/>
            <w:vAlign w:val="center"/>
          </w:tcPr>
          <w:p w14:paraId="2D643406">
            <w:pPr>
              <w:pStyle w:val="15"/>
            </w:pPr>
            <w:r>
              <w:t>607.38</w:t>
            </w:r>
          </w:p>
        </w:tc>
        <w:tc>
          <w:tcPr>
            <w:tcW w:w="1474" w:type="dxa"/>
            <w:vAlign w:val="center"/>
          </w:tcPr>
          <w:p w14:paraId="592D7B06">
            <w:pPr>
              <w:pStyle w:val="15"/>
            </w:pPr>
          </w:p>
        </w:tc>
        <w:tc>
          <w:tcPr>
            <w:tcW w:w="1474" w:type="dxa"/>
            <w:vAlign w:val="center"/>
          </w:tcPr>
          <w:p w14:paraId="25B399A9">
            <w:pPr>
              <w:pStyle w:val="15"/>
            </w:pPr>
          </w:p>
        </w:tc>
      </w:tr>
    </w:tbl>
    <w:p w14:paraId="7D2D2CE7">
      <w:pPr>
        <w:sectPr>
          <w:pgSz w:w="16840" w:h="11900" w:orient="landscape"/>
          <w:pgMar w:top="1361" w:right="1020" w:bottom="1134" w:left="1020" w:header="720" w:footer="720" w:gutter="0"/>
          <w:cols w:space="720" w:num="1"/>
        </w:sectPr>
      </w:pPr>
    </w:p>
    <w:p w14:paraId="53B30E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1D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8AFB57">
            <w:pPr>
              <w:pStyle w:val="9"/>
            </w:pPr>
            <w:r>
              <w:t>360033隆尧县大张庄中学</w:t>
            </w:r>
          </w:p>
        </w:tc>
        <w:tc>
          <w:tcPr>
            <w:tcW w:w="2551" w:type="dxa"/>
            <w:tcBorders>
              <w:top w:val="single" w:color="FFFFFF" w:sz="6" w:space="0"/>
              <w:left w:val="single" w:color="FFFFFF" w:sz="6" w:space="0"/>
              <w:right w:val="single" w:color="FFFFFF" w:sz="6" w:space="0"/>
            </w:tcBorders>
            <w:vAlign w:val="center"/>
          </w:tcPr>
          <w:p w14:paraId="664AF5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B8F571">
            <w:pPr>
              <w:pStyle w:val="7"/>
            </w:pPr>
            <w:r>
              <w:t>单位：万元</w:t>
            </w:r>
          </w:p>
        </w:tc>
      </w:tr>
      <w:tr w14:paraId="6058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19E95E">
            <w:pPr>
              <w:pStyle w:val="10"/>
            </w:pPr>
            <w:r>
              <w:t>序号</w:t>
            </w:r>
          </w:p>
        </w:tc>
        <w:tc>
          <w:tcPr>
            <w:tcW w:w="5726" w:type="dxa"/>
            <w:gridSpan w:val="2"/>
            <w:vAlign w:val="center"/>
          </w:tcPr>
          <w:p w14:paraId="4E0ED1BB">
            <w:pPr>
              <w:pStyle w:val="10"/>
            </w:pPr>
            <w:r>
              <w:t>功能分类科目</w:t>
            </w:r>
          </w:p>
        </w:tc>
        <w:tc>
          <w:tcPr>
            <w:tcW w:w="2551" w:type="dxa"/>
            <w:vMerge w:val="restart"/>
            <w:vAlign w:val="center"/>
          </w:tcPr>
          <w:p w14:paraId="1A03186F">
            <w:pPr>
              <w:pStyle w:val="10"/>
            </w:pPr>
            <w:r>
              <w:t>合计</w:t>
            </w:r>
          </w:p>
        </w:tc>
        <w:tc>
          <w:tcPr>
            <w:tcW w:w="2551" w:type="dxa"/>
            <w:vMerge w:val="restart"/>
            <w:vAlign w:val="center"/>
          </w:tcPr>
          <w:p w14:paraId="4EA333E2">
            <w:pPr>
              <w:pStyle w:val="10"/>
            </w:pPr>
            <w:r>
              <w:t>基本支出</w:t>
            </w:r>
          </w:p>
        </w:tc>
        <w:tc>
          <w:tcPr>
            <w:tcW w:w="2551" w:type="dxa"/>
            <w:vMerge w:val="restart"/>
            <w:vAlign w:val="center"/>
          </w:tcPr>
          <w:p w14:paraId="0B735684">
            <w:pPr>
              <w:pStyle w:val="10"/>
            </w:pPr>
            <w:r>
              <w:t>项目支出</w:t>
            </w:r>
          </w:p>
        </w:tc>
      </w:tr>
      <w:tr w14:paraId="46B2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9B8F6"/>
        </w:tc>
        <w:tc>
          <w:tcPr>
            <w:tcW w:w="1191" w:type="dxa"/>
            <w:vAlign w:val="center"/>
          </w:tcPr>
          <w:p w14:paraId="7C6167CE">
            <w:pPr>
              <w:pStyle w:val="10"/>
            </w:pPr>
            <w:r>
              <w:t>科目编码</w:t>
            </w:r>
          </w:p>
        </w:tc>
        <w:tc>
          <w:tcPr>
            <w:tcW w:w="4535" w:type="dxa"/>
            <w:vAlign w:val="center"/>
          </w:tcPr>
          <w:p w14:paraId="6FA1B4DB">
            <w:pPr>
              <w:pStyle w:val="10"/>
            </w:pPr>
            <w:r>
              <w:t>科目名称</w:t>
            </w:r>
          </w:p>
        </w:tc>
        <w:tc>
          <w:tcPr>
            <w:tcW w:w="2551" w:type="dxa"/>
            <w:vMerge w:val="continue"/>
          </w:tcPr>
          <w:p w14:paraId="50F37257"/>
        </w:tc>
        <w:tc>
          <w:tcPr>
            <w:tcW w:w="2551" w:type="dxa"/>
            <w:vMerge w:val="continue"/>
          </w:tcPr>
          <w:p w14:paraId="1F705F00"/>
        </w:tc>
        <w:tc>
          <w:tcPr>
            <w:tcW w:w="2551" w:type="dxa"/>
            <w:vMerge w:val="continue"/>
          </w:tcPr>
          <w:p w14:paraId="0FB2685E"/>
        </w:tc>
      </w:tr>
      <w:tr w14:paraId="671D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0FCD5F">
            <w:pPr>
              <w:pStyle w:val="10"/>
            </w:pPr>
            <w:r>
              <w:t>栏次</w:t>
            </w:r>
          </w:p>
        </w:tc>
        <w:tc>
          <w:tcPr>
            <w:tcW w:w="1191" w:type="dxa"/>
            <w:vAlign w:val="center"/>
          </w:tcPr>
          <w:p w14:paraId="20CD2A33">
            <w:pPr>
              <w:pStyle w:val="10"/>
            </w:pPr>
            <w:r>
              <w:t>1</w:t>
            </w:r>
          </w:p>
        </w:tc>
        <w:tc>
          <w:tcPr>
            <w:tcW w:w="4535" w:type="dxa"/>
            <w:vAlign w:val="center"/>
          </w:tcPr>
          <w:p w14:paraId="1B69438D">
            <w:pPr>
              <w:pStyle w:val="10"/>
            </w:pPr>
            <w:r>
              <w:t>2</w:t>
            </w:r>
          </w:p>
        </w:tc>
        <w:tc>
          <w:tcPr>
            <w:tcW w:w="2551" w:type="dxa"/>
            <w:vAlign w:val="center"/>
          </w:tcPr>
          <w:p w14:paraId="12B5F34A">
            <w:pPr>
              <w:pStyle w:val="10"/>
            </w:pPr>
            <w:r>
              <w:t>3</w:t>
            </w:r>
          </w:p>
        </w:tc>
        <w:tc>
          <w:tcPr>
            <w:tcW w:w="2551" w:type="dxa"/>
            <w:vAlign w:val="center"/>
          </w:tcPr>
          <w:p w14:paraId="5015E6C1">
            <w:pPr>
              <w:pStyle w:val="10"/>
            </w:pPr>
            <w:r>
              <w:t>4</w:t>
            </w:r>
          </w:p>
        </w:tc>
        <w:tc>
          <w:tcPr>
            <w:tcW w:w="2551" w:type="dxa"/>
            <w:vAlign w:val="center"/>
          </w:tcPr>
          <w:p w14:paraId="540A1EAD">
            <w:pPr>
              <w:pStyle w:val="10"/>
            </w:pPr>
            <w:r>
              <w:t>5</w:t>
            </w:r>
          </w:p>
        </w:tc>
      </w:tr>
      <w:tr w14:paraId="37F5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1E608">
            <w:pPr>
              <w:pStyle w:val="13"/>
            </w:pPr>
            <w:r>
              <w:t>1</w:t>
            </w:r>
          </w:p>
        </w:tc>
        <w:tc>
          <w:tcPr>
            <w:tcW w:w="1191" w:type="dxa"/>
            <w:vAlign w:val="center"/>
          </w:tcPr>
          <w:p w14:paraId="1B8FF4FE">
            <w:pPr>
              <w:pStyle w:val="16"/>
            </w:pPr>
          </w:p>
        </w:tc>
        <w:tc>
          <w:tcPr>
            <w:tcW w:w="4535" w:type="dxa"/>
            <w:vAlign w:val="center"/>
          </w:tcPr>
          <w:p w14:paraId="61DEB075">
            <w:pPr>
              <w:pStyle w:val="14"/>
            </w:pPr>
            <w:r>
              <w:t>合计</w:t>
            </w:r>
          </w:p>
        </w:tc>
        <w:tc>
          <w:tcPr>
            <w:tcW w:w="2551" w:type="dxa"/>
            <w:vAlign w:val="center"/>
          </w:tcPr>
          <w:p w14:paraId="5977C669">
            <w:pPr>
              <w:pStyle w:val="15"/>
            </w:pPr>
            <w:r>
              <w:t>607.38</w:t>
            </w:r>
          </w:p>
        </w:tc>
        <w:tc>
          <w:tcPr>
            <w:tcW w:w="2551" w:type="dxa"/>
            <w:vAlign w:val="center"/>
          </w:tcPr>
          <w:p w14:paraId="13A14449">
            <w:pPr>
              <w:pStyle w:val="15"/>
            </w:pPr>
            <w:r>
              <w:t>391.37</w:t>
            </w:r>
          </w:p>
        </w:tc>
        <w:tc>
          <w:tcPr>
            <w:tcW w:w="2551" w:type="dxa"/>
            <w:vAlign w:val="center"/>
          </w:tcPr>
          <w:p w14:paraId="159E468D">
            <w:pPr>
              <w:pStyle w:val="15"/>
            </w:pPr>
            <w:r>
              <w:t>216.01</w:t>
            </w:r>
          </w:p>
        </w:tc>
      </w:tr>
      <w:tr w14:paraId="37CF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51E4">
            <w:pPr>
              <w:pStyle w:val="13"/>
            </w:pPr>
            <w:r>
              <w:t>2</w:t>
            </w:r>
          </w:p>
        </w:tc>
        <w:tc>
          <w:tcPr>
            <w:tcW w:w="1191" w:type="dxa"/>
            <w:vAlign w:val="center"/>
          </w:tcPr>
          <w:p w14:paraId="64F34CD0">
            <w:pPr>
              <w:pStyle w:val="12"/>
            </w:pPr>
            <w:r>
              <w:t>205</w:t>
            </w:r>
          </w:p>
        </w:tc>
        <w:tc>
          <w:tcPr>
            <w:tcW w:w="4535" w:type="dxa"/>
            <w:vAlign w:val="center"/>
          </w:tcPr>
          <w:p w14:paraId="69E00234">
            <w:pPr>
              <w:pStyle w:val="12"/>
            </w:pPr>
            <w:r>
              <w:t>教育支出</w:t>
            </w:r>
          </w:p>
        </w:tc>
        <w:tc>
          <w:tcPr>
            <w:tcW w:w="2551" w:type="dxa"/>
            <w:vAlign w:val="center"/>
          </w:tcPr>
          <w:p w14:paraId="0CA84BBA">
            <w:pPr>
              <w:pStyle w:val="11"/>
            </w:pPr>
            <w:r>
              <w:t>607.38</w:t>
            </w:r>
          </w:p>
        </w:tc>
        <w:tc>
          <w:tcPr>
            <w:tcW w:w="2551" w:type="dxa"/>
            <w:vAlign w:val="center"/>
          </w:tcPr>
          <w:p w14:paraId="5F1B3AB8">
            <w:pPr>
              <w:pStyle w:val="11"/>
            </w:pPr>
            <w:r>
              <w:t>391.37</w:t>
            </w:r>
          </w:p>
        </w:tc>
        <w:tc>
          <w:tcPr>
            <w:tcW w:w="2551" w:type="dxa"/>
            <w:vAlign w:val="center"/>
          </w:tcPr>
          <w:p w14:paraId="3EA48911">
            <w:pPr>
              <w:pStyle w:val="11"/>
            </w:pPr>
            <w:r>
              <w:t>216.01</w:t>
            </w:r>
          </w:p>
        </w:tc>
      </w:tr>
      <w:tr w14:paraId="352C1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388AC">
            <w:pPr>
              <w:pStyle w:val="13"/>
            </w:pPr>
            <w:r>
              <w:t>3</w:t>
            </w:r>
          </w:p>
        </w:tc>
        <w:tc>
          <w:tcPr>
            <w:tcW w:w="1191" w:type="dxa"/>
            <w:vAlign w:val="center"/>
          </w:tcPr>
          <w:p w14:paraId="5F6784E2">
            <w:pPr>
              <w:pStyle w:val="12"/>
            </w:pPr>
            <w:r>
              <w:t>20502</w:t>
            </w:r>
          </w:p>
        </w:tc>
        <w:tc>
          <w:tcPr>
            <w:tcW w:w="4535" w:type="dxa"/>
            <w:vAlign w:val="center"/>
          </w:tcPr>
          <w:p w14:paraId="40B73316">
            <w:pPr>
              <w:pStyle w:val="12"/>
            </w:pPr>
            <w:r>
              <w:t>普通教育</w:t>
            </w:r>
          </w:p>
        </w:tc>
        <w:tc>
          <w:tcPr>
            <w:tcW w:w="2551" w:type="dxa"/>
            <w:vAlign w:val="center"/>
          </w:tcPr>
          <w:p w14:paraId="6627B495">
            <w:pPr>
              <w:pStyle w:val="11"/>
            </w:pPr>
            <w:r>
              <w:t>607.38</w:t>
            </w:r>
          </w:p>
        </w:tc>
        <w:tc>
          <w:tcPr>
            <w:tcW w:w="2551" w:type="dxa"/>
            <w:vAlign w:val="center"/>
          </w:tcPr>
          <w:p w14:paraId="3BB24688">
            <w:pPr>
              <w:pStyle w:val="11"/>
            </w:pPr>
            <w:r>
              <w:t>391.37</w:t>
            </w:r>
          </w:p>
        </w:tc>
        <w:tc>
          <w:tcPr>
            <w:tcW w:w="2551" w:type="dxa"/>
            <w:vAlign w:val="center"/>
          </w:tcPr>
          <w:p w14:paraId="3DF28E3C">
            <w:pPr>
              <w:pStyle w:val="11"/>
            </w:pPr>
            <w:r>
              <w:t>216.01</w:t>
            </w:r>
          </w:p>
        </w:tc>
      </w:tr>
      <w:tr w14:paraId="20BF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A0796">
            <w:pPr>
              <w:pStyle w:val="13"/>
            </w:pPr>
            <w:r>
              <w:t>4</w:t>
            </w:r>
          </w:p>
        </w:tc>
        <w:tc>
          <w:tcPr>
            <w:tcW w:w="1191" w:type="dxa"/>
            <w:vAlign w:val="center"/>
          </w:tcPr>
          <w:p w14:paraId="1E9E67B7">
            <w:pPr>
              <w:pStyle w:val="12"/>
            </w:pPr>
            <w:r>
              <w:t>2050203</w:t>
            </w:r>
          </w:p>
        </w:tc>
        <w:tc>
          <w:tcPr>
            <w:tcW w:w="4535" w:type="dxa"/>
            <w:vAlign w:val="center"/>
          </w:tcPr>
          <w:p w14:paraId="0D690289">
            <w:pPr>
              <w:pStyle w:val="12"/>
            </w:pPr>
            <w:r>
              <w:t>初中教育</w:t>
            </w:r>
          </w:p>
        </w:tc>
        <w:tc>
          <w:tcPr>
            <w:tcW w:w="2551" w:type="dxa"/>
            <w:vAlign w:val="center"/>
          </w:tcPr>
          <w:p w14:paraId="02F2226B">
            <w:pPr>
              <w:pStyle w:val="11"/>
            </w:pPr>
            <w:r>
              <w:t>607.38</w:t>
            </w:r>
          </w:p>
        </w:tc>
        <w:tc>
          <w:tcPr>
            <w:tcW w:w="2551" w:type="dxa"/>
            <w:vAlign w:val="center"/>
          </w:tcPr>
          <w:p w14:paraId="7C0643F5">
            <w:pPr>
              <w:pStyle w:val="11"/>
            </w:pPr>
            <w:r>
              <w:t>391.37</w:t>
            </w:r>
          </w:p>
        </w:tc>
        <w:tc>
          <w:tcPr>
            <w:tcW w:w="2551" w:type="dxa"/>
            <w:vAlign w:val="center"/>
          </w:tcPr>
          <w:p w14:paraId="32251125">
            <w:pPr>
              <w:pStyle w:val="11"/>
            </w:pPr>
            <w:r>
              <w:t>216.01</w:t>
            </w:r>
          </w:p>
        </w:tc>
      </w:tr>
    </w:tbl>
    <w:p w14:paraId="19A9B6C7">
      <w:pPr>
        <w:sectPr>
          <w:pgSz w:w="16840" w:h="11900" w:orient="landscape"/>
          <w:pgMar w:top="1361" w:right="1020" w:bottom="1134" w:left="1020" w:header="720" w:footer="720" w:gutter="0"/>
          <w:cols w:space="720" w:num="1"/>
        </w:sectPr>
      </w:pPr>
    </w:p>
    <w:p w14:paraId="65709E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B9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4F3269">
            <w:pPr>
              <w:pStyle w:val="9"/>
            </w:pPr>
            <w:r>
              <w:t>360033隆尧县大张庄中学</w:t>
            </w:r>
          </w:p>
        </w:tc>
        <w:tc>
          <w:tcPr>
            <w:tcW w:w="2551" w:type="dxa"/>
            <w:tcBorders>
              <w:top w:val="single" w:color="FFFFFF" w:sz="6" w:space="0"/>
              <w:left w:val="single" w:color="FFFFFF" w:sz="6" w:space="0"/>
              <w:right w:val="single" w:color="FFFFFF" w:sz="6" w:space="0"/>
            </w:tcBorders>
            <w:vAlign w:val="center"/>
          </w:tcPr>
          <w:p w14:paraId="673CCB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D5C754">
            <w:pPr>
              <w:pStyle w:val="7"/>
            </w:pPr>
            <w:r>
              <w:t>单位：万元</w:t>
            </w:r>
          </w:p>
        </w:tc>
      </w:tr>
      <w:tr w14:paraId="4E9F5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0AF7A">
            <w:pPr>
              <w:pStyle w:val="10"/>
            </w:pPr>
            <w:r>
              <w:t>序号</w:t>
            </w:r>
          </w:p>
        </w:tc>
        <w:tc>
          <w:tcPr>
            <w:tcW w:w="5726" w:type="dxa"/>
            <w:gridSpan w:val="2"/>
            <w:vAlign w:val="center"/>
          </w:tcPr>
          <w:p w14:paraId="1D0BC2CD">
            <w:pPr>
              <w:pStyle w:val="10"/>
            </w:pPr>
            <w:r>
              <w:t>支出部门经济分类科目</w:t>
            </w:r>
          </w:p>
        </w:tc>
        <w:tc>
          <w:tcPr>
            <w:tcW w:w="7653" w:type="dxa"/>
            <w:gridSpan w:val="3"/>
            <w:vAlign w:val="center"/>
          </w:tcPr>
          <w:p w14:paraId="428DEAC5">
            <w:pPr>
              <w:pStyle w:val="10"/>
            </w:pPr>
            <w:r>
              <w:t>一般公共预算基本支出</w:t>
            </w:r>
          </w:p>
        </w:tc>
      </w:tr>
      <w:tr w14:paraId="6B99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D344A7"/>
        </w:tc>
        <w:tc>
          <w:tcPr>
            <w:tcW w:w="1191" w:type="dxa"/>
            <w:vAlign w:val="center"/>
          </w:tcPr>
          <w:p w14:paraId="5D51A25A">
            <w:pPr>
              <w:pStyle w:val="10"/>
            </w:pPr>
            <w:r>
              <w:t>科目编码</w:t>
            </w:r>
          </w:p>
        </w:tc>
        <w:tc>
          <w:tcPr>
            <w:tcW w:w="4535" w:type="dxa"/>
            <w:vAlign w:val="center"/>
          </w:tcPr>
          <w:p w14:paraId="6FFB1F77">
            <w:pPr>
              <w:pStyle w:val="10"/>
            </w:pPr>
            <w:r>
              <w:t>科目名称</w:t>
            </w:r>
          </w:p>
        </w:tc>
        <w:tc>
          <w:tcPr>
            <w:tcW w:w="2551" w:type="dxa"/>
            <w:vAlign w:val="center"/>
          </w:tcPr>
          <w:p w14:paraId="34E13EBA">
            <w:pPr>
              <w:pStyle w:val="10"/>
            </w:pPr>
            <w:r>
              <w:t>合计</w:t>
            </w:r>
          </w:p>
        </w:tc>
        <w:tc>
          <w:tcPr>
            <w:tcW w:w="2551" w:type="dxa"/>
            <w:vAlign w:val="center"/>
          </w:tcPr>
          <w:p w14:paraId="234F312C">
            <w:pPr>
              <w:pStyle w:val="10"/>
            </w:pPr>
            <w:r>
              <w:t>人员经费</w:t>
            </w:r>
          </w:p>
        </w:tc>
        <w:tc>
          <w:tcPr>
            <w:tcW w:w="2551" w:type="dxa"/>
            <w:vAlign w:val="center"/>
          </w:tcPr>
          <w:p w14:paraId="7984C84E">
            <w:pPr>
              <w:pStyle w:val="10"/>
            </w:pPr>
            <w:r>
              <w:t>公用经费</w:t>
            </w:r>
          </w:p>
        </w:tc>
      </w:tr>
      <w:tr w14:paraId="4E6C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A38010">
            <w:pPr>
              <w:pStyle w:val="10"/>
            </w:pPr>
            <w:r>
              <w:t>栏次</w:t>
            </w:r>
          </w:p>
        </w:tc>
        <w:tc>
          <w:tcPr>
            <w:tcW w:w="1191" w:type="dxa"/>
            <w:vAlign w:val="center"/>
          </w:tcPr>
          <w:p w14:paraId="26A91C53">
            <w:pPr>
              <w:pStyle w:val="10"/>
            </w:pPr>
            <w:r>
              <w:t>1</w:t>
            </w:r>
          </w:p>
        </w:tc>
        <w:tc>
          <w:tcPr>
            <w:tcW w:w="4535" w:type="dxa"/>
            <w:vAlign w:val="center"/>
          </w:tcPr>
          <w:p w14:paraId="1D8686B8">
            <w:pPr>
              <w:pStyle w:val="10"/>
            </w:pPr>
            <w:r>
              <w:t>2</w:t>
            </w:r>
          </w:p>
        </w:tc>
        <w:tc>
          <w:tcPr>
            <w:tcW w:w="2551" w:type="dxa"/>
            <w:vAlign w:val="center"/>
          </w:tcPr>
          <w:p w14:paraId="426D7D87">
            <w:pPr>
              <w:pStyle w:val="10"/>
            </w:pPr>
            <w:r>
              <w:t>3</w:t>
            </w:r>
          </w:p>
        </w:tc>
        <w:tc>
          <w:tcPr>
            <w:tcW w:w="2551" w:type="dxa"/>
            <w:vAlign w:val="center"/>
          </w:tcPr>
          <w:p w14:paraId="7EAF71D7">
            <w:pPr>
              <w:pStyle w:val="10"/>
            </w:pPr>
            <w:r>
              <w:t>4</w:t>
            </w:r>
          </w:p>
        </w:tc>
        <w:tc>
          <w:tcPr>
            <w:tcW w:w="2551" w:type="dxa"/>
            <w:vAlign w:val="center"/>
          </w:tcPr>
          <w:p w14:paraId="08122840">
            <w:pPr>
              <w:pStyle w:val="10"/>
            </w:pPr>
            <w:r>
              <w:t>5</w:t>
            </w:r>
          </w:p>
        </w:tc>
      </w:tr>
      <w:tr w14:paraId="19E5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F5CCA">
            <w:pPr>
              <w:pStyle w:val="13"/>
            </w:pPr>
            <w:r>
              <w:t>1</w:t>
            </w:r>
          </w:p>
        </w:tc>
        <w:tc>
          <w:tcPr>
            <w:tcW w:w="1191" w:type="dxa"/>
            <w:vAlign w:val="center"/>
          </w:tcPr>
          <w:p w14:paraId="70D681EF">
            <w:pPr>
              <w:pStyle w:val="16"/>
            </w:pPr>
          </w:p>
        </w:tc>
        <w:tc>
          <w:tcPr>
            <w:tcW w:w="4535" w:type="dxa"/>
            <w:vAlign w:val="center"/>
          </w:tcPr>
          <w:p w14:paraId="27D2566E">
            <w:pPr>
              <w:pStyle w:val="14"/>
            </w:pPr>
            <w:r>
              <w:t>合计</w:t>
            </w:r>
          </w:p>
        </w:tc>
        <w:tc>
          <w:tcPr>
            <w:tcW w:w="2551" w:type="dxa"/>
            <w:vAlign w:val="center"/>
          </w:tcPr>
          <w:p w14:paraId="3CB2C0DE">
            <w:pPr>
              <w:pStyle w:val="15"/>
            </w:pPr>
            <w:r>
              <w:t>391.37</w:t>
            </w:r>
          </w:p>
        </w:tc>
        <w:tc>
          <w:tcPr>
            <w:tcW w:w="2551" w:type="dxa"/>
            <w:vAlign w:val="center"/>
          </w:tcPr>
          <w:p w14:paraId="3E8F7B3B">
            <w:pPr>
              <w:pStyle w:val="15"/>
            </w:pPr>
            <w:r>
              <w:t>391.37</w:t>
            </w:r>
          </w:p>
        </w:tc>
        <w:tc>
          <w:tcPr>
            <w:tcW w:w="2551" w:type="dxa"/>
            <w:vAlign w:val="center"/>
          </w:tcPr>
          <w:p w14:paraId="78A145FC">
            <w:pPr>
              <w:pStyle w:val="15"/>
            </w:pPr>
          </w:p>
        </w:tc>
      </w:tr>
      <w:tr w14:paraId="095B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8A7FC">
            <w:pPr>
              <w:pStyle w:val="13"/>
            </w:pPr>
            <w:r>
              <w:t>2</w:t>
            </w:r>
          </w:p>
        </w:tc>
        <w:tc>
          <w:tcPr>
            <w:tcW w:w="1191" w:type="dxa"/>
            <w:vAlign w:val="center"/>
          </w:tcPr>
          <w:p w14:paraId="2C778CD8">
            <w:pPr>
              <w:pStyle w:val="12"/>
            </w:pPr>
            <w:r>
              <w:t>301</w:t>
            </w:r>
          </w:p>
        </w:tc>
        <w:tc>
          <w:tcPr>
            <w:tcW w:w="4535" w:type="dxa"/>
            <w:vAlign w:val="center"/>
          </w:tcPr>
          <w:p w14:paraId="0DDE7159">
            <w:pPr>
              <w:pStyle w:val="12"/>
            </w:pPr>
            <w:r>
              <w:t>工资福利支出</w:t>
            </w:r>
          </w:p>
        </w:tc>
        <w:tc>
          <w:tcPr>
            <w:tcW w:w="2551" w:type="dxa"/>
            <w:vAlign w:val="center"/>
          </w:tcPr>
          <w:p w14:paraId="23846DB8">
            <w:pPr>
              <w:pStyle w:val="11"/>
            </w:pPr>
            <w:r>
              <w:t>379.60</w:t>
            </w:r>
          </w:p>
        </w:tc>
        <w:tc>
          <w:tcPr>
            <w:tcW w:w="2551" w:type="dxa"/>
            <w:vAlign w:val="center"/>
          </w:tcPr>
          <w:p w14:paraId="62A33FEF">
            <w:pPr>
              <w:pStyle w:val="11"/>
            </w:pPr>
            <w:r>
              <w:t>379.60</w:t>
            </w:r>
          </w:p>
        </w:tc>
        <w:tc>
          <w:tcPr>
            <w:tcW w:w="2551" w:type="dxa"/>
            <w:vAlign w:val="center"/>
          </w:tcPr>
          <w:p w14:paraId="215F8C3C">
            <w:pPr>
              <w:pStyle w:val="11"/>
            </w:pPr>
          </w:p>
        </w:tc>
      </w:tr>
      <w:tr w14:paraId="012D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FE3A">
            <w:pPr>
              <w:pStyle w:val="13"/>
            </w:pPr>
            <w:r>
              <w:t>3</w:t>
            </w:r>
          </w:p>
        </w:tc>
        <w:tc>
          <w:tcPr>
            <w:tcW w:w="1191" w:type="dxa"/>
            <w:vAlign w:val="center"/>
          </w:tcPr>
          <w:p w14:paraId="1433DB22">
            <w:pPr>
              <w:pStyle w:val="12"/>
            </w:pPr>
            <w:r>
              <w:t>30101</w:t>
            </w:r>
          </w:p>
        </w:tc>
        <w:tc>
          <w:tcPr>
            <w:tcW w:w="4535" w:type="dxa"/>
            <w:vAlign w:val="center"/>
          </w:tcPr>
          <w:p w14:paraId="7FCB889F">
            <w:pPr>
              <w:pStyle w:val="12"/>
            </w:pPr>
            <w:r>
              <w:t>基本工资</w:t>
            </w:r>
          </w:p>
        </w:tc>
        <w:tc>
          <w:tcPr>
            <w:tcW w:w="2551" w:type="dxa"/>
            <w:vAlign w:val="center"/>
          </w:tcPr>
          <w:p w14:paraId="580AE03B">
            <w:pPr>
              <w:pStyle w:val="11"/>
            </w:pPr>
            <w:r>
              <w:t>182.59</w:t>
            </w:r>
          </w:p>
        </w:tc>
        <w:tc>
          <w:tcPr>
            <w:tcW w:w="2551" w:type="dxa"/>
            <w:vAlign w:val="center"/>
          </w:tcPr>
          <w:p w14:paraId="7082E53B">
            <w:pPr>
              <w:pStyle w:val="11"/>
            </w:pPr>
            <w:r>
              <w:t>182.59</w:t>
            </w:r>
          </w:p>
        </w:tc>
        <w:tc>
          <w:tcPr>
            <w:tcW w:w="2551" w:type="dxa"/>
            <w:vAlign w:val="center"/>
          </w:tcPr>
          <w:p w14:paraId="0F06E55A">
            <w:pPr>
              <w:pStyle w:val="11"/>
            </w:pPr>
          </w:p>
        </w:tc>
      </w:tr>
      <w:tr w14:paraId="1884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60702">
            <w:pPr>
              <w:pStyle w:val="13"/>
            </w:pPr>
            <w:r>
              <w:t>4</w:t>
            </w:r>
          </w:p>
        </w:tc>
        <w:tc>
          <w:tcPr>
            <w:tcW w:w="1191" w:type="dxa"/>
            <w:vAlign w:val="center"/>
          </w:tcPr>
          <w:p w14:paraId="630BEA1A">
            <w:pPr>
              <w:pStyle w:val="12"/>
            </w:pPr>
            <w:r>
              <w:t>30102</w:t>
            </w:r>
          </w:p>
        </w:tc>
        <w:tc>
          <w:tcPr>
            <w:tcW w:w="4535" w:type="dxa"/>
            <w:vAlign w:val="center"/>
          </w:tcPr>
          <w:p w14:paraId="29FA7CF0">
            <w:pPr>
              <w:pStyle w:val="12"/>
            </w:pPr>
            <w:r>
              <w:t>津贴补贴</w:t>
            </w:r>
          </w:p>
        </w:tc>
        <w:tc>
          <w:tcPr>
            <w:tcW w:w="2551" w:type="dxa"/>
            <w:vAlign w:val="center"/>
          </w:tcPr>
          <w:p w14:paraId="26DA60F8">
            <w:pPr>
              <w:pStyle w:val="11"/>
            </w:pPr>
            <w:r>
              <w:t>14.72</w:t>
            </w:r>
          </w:p>
        </w:tc>
        <w:tc>
          <w:tcPr>
            <w:tcW w:w="2551" w:type="dxa"/>
            <w:vAlign w:val="center"/>
          </w:tcPr>
          <w:p w14:paraId="5F1CF3D9">
            <w:pPr>
              <w:pStyle w:val="11"/>
            </w:pPr>
            <w:r>
              <w:t>14.72</w:t>
            </w:r>
          </w:p>
        </w:tc>
        <w:tc>
          <w:tcPr>
            <w:tcW w:w="2551" w:type="dxa"/>
            <w:vAlign w:val="center"/>
          </w:tcPr>
          <w:p w14:paraId="6CC9D964">
            <w:pPr>
              <w:pStyle w:val="11"/>
            </w:pPr>
          </w:p>
        </w:tc>
      </w:tr>
      <w:tr w14:paraId="62E6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1AF4A">
            <w:pPr>
              <w:pStyle w:val="13"/>
            </w:pPr>
            <w:r>
              <w:t>5</w:t>
            </w:r>
          </w:p>
        </w:tc>
        <w:tc>
          <w:tcPr>
            <w:tcW w:w="1191" w:type="dxa"/>
            <w:vAlign w:val="center"/>
          </w:tcPr>
          <w:p w14:paraId="491161DF">
            <w:pPr>
              <w:pStyle w:val="12"/>
            </w:pPr>
            <w:r>
              <w:t>30107</w:t>
            </w:r>
          </w:p>
        </w:tc>
        <w:tc>
          <w:tcPr>
            <w:tcW w:w="4535" w:type="dxa"/>
            <w:vAlign w:val="center"/>
          </w:tcPr>
          <w:p w14:paraId="3F450A5D">
            <w:pPr>
              <w:pStyle w:val="12"/>
            </w:pPr>
            <w:r>
              <w:t>绩效工资</w:t>
            </w:r>
          </w:p>
        </w:tc>
        <w:tc>
          <w:tcPr>
            <w:tcW w:w="2551" w:type="dxa"/>
            <w:vAlign w:val="center"/>
          </w:tcPr>
          <w:p w14:paraId="6377DE14">
            <w:pPr>
              <w:pStyle w:val="11"/>
            </w:pPr>
            <w:r>
              <w:t>94.09</w:t>
            </w:r>
          </w:p>
        </w:tc>
        <w:tc>
          <w:tcPr>
            <w:tcW w:w="2551" w:type="dxa"/>
            <w:vAlign w:val="center"/>
          </w:tcPr>
          <w:p w14:paraId="3BD0D1FD">
            <w:pPr>
              <w:pStyle w:val="11"/>
            </w:pPr>
            <w:r>
              <w:t>94.09</w:t>
            </w:r>
          </w:p>
        </w:tc>
        <w:tc>
          <w:tcPr>
            <w:tcW w:w="2551" w:type="dxa"/>
            <w:vAlign w:val="center"/>
          </w:tcPr>
          <w:p w14:paraId="1C60220D">
            <w:pPr>
              <w:pStyle w:val="11"/>
            </w:pPr>
          </w:p>
        </w:tc>
      </w:tr>
      <w:tr w14:paraId="11B8B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28C7">
            <w:pPr>
              <w:pStyle w:val="13"/>
            </w:pPr>
            <w:r>
              <w:t>6</w:t>
            </w:r>
          </w:p>
        </w:tc>
        <w:tc>
          <w:tcPr>
            <w:tcW w:w="1191" w:type="dxa"/>
            <w:vAlign w:val="center"/>
          </w:tcPr>
          <w:p w14:paraId="3BE0924C">
            <w:pPr>
              <w:pStyle w:val="12"/>
            </w:pPr>
            <w:r>
              <w:t>30108</w:t>
            </w:r>
          </w:p>
        </w:tc>
        <w:tc>
          <w:tcPr>
            <w:tcW w:w="4535" w:type="dxa"/>
            <w:vAlign w:val="center"/>
          </w:tcPr>
          <w:p w14:paraId="380360F8">
            <w:pPr>
              <w:pStyle w:val="12"/>
            </w:pPr>
            <w:r>
              <w:t>机关事业单位基本养老保险缴费</w:t>
            </w:r>
          </w:p>
        </w:tc>
        <w:tc>
          <w:tcPr>
            <w:tcW w:w="2551" w:type="dxa"/>
            <w:vAlign w:val="center"/>
          </w:tcPr>
          <w:p w14:paraId="2B214CBD">
            <w:pPr>
              <w:pStyle w:val="11"/>
            </w:pPr>
            <w:r>
              <w:t>39.67</w:t>
            </w:r>
          </w:p>
        </w:tc>
        <w:tc>
          <w:tcPr>
            <w:tcW w:w="2551" w:type="dxa"/>
            <w:vAlign w:val="center"/>
          </w:tcPr>
          <w:p w14:paraId="009ED16B">
            <w:pPr>
              <w:pStyle w:val="11"/>
            </w:pPr>
            <w:r>
              <w:t>39.67</w:t>
            </w:r>
          </w:p>
        </w:tc>
        <w:tc>
          <w:tcPr>
            <w:tcW w:w="2551" w:type="dxa"/>
            <w:vAlign w:val="center"/>
          </w:tcPr>
          <w:p w14:paraId="14C3DCE1">
            <w:pPr>
              <w:pStyle w:val="11"/>
            </w:pPr>
          </w:p>
        </w:tc>
      </w:tr>
      <w:tr w14:paraId="2FC9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BC44">
            <w:pPr>
              <w:pStyle w:val="13"/>
            </w:pPr>
            <w:r>
              <w:t>7</w:t>
            </w:r>
          </w:p>
        </w:tc>
        <w:tc>
          <w:tcPr>
            <w:tcW w:w="1191" w:type="dxa"/>
            <w:vAlign w:val="center"/>
          </w:tcPr>
          <w:p w14:paraId="6D1F4550">
            <w:pPr>
              <w:pStyle w:val="12"/>
            </w:pPr>
            <w:r>
              <w:t>30110</w:t>
            </w:r>
          </w:p>
        </w:tc>
        <w:tc>
          <w:tcPr>
            <w:tcW w:w="4535" w:type="dxa"/>
            <w:vAlign w:val="center"/>
          </w:tcPr>
          <w:p w14:paraId="670F8BD6">
            <w:pPr>
              <w:pStyle w:val="12"/>
            </w:pPr>
            <w:r>
              <w:t>职工基本医疗保险缴费</w:t>
            </w:r>
          </w:p>
        </w:tc>
        <w:tc>
          <w:tcPr>
            <w:tcW w:w="2551" w:type="dxa"/>
            <w:vAlign w:val="center"/>
          </w:tcPr>
          <w:p w14:paraId="678224A4">
            <w:pPr>
              <w:pStyle w:val="11"/>
            </w:pPr>
            <w:r>
              <w:t>18.17</w:t>
            </w:r>
          </w:p>
        </w:tc>
        <w:tc>
          <w:tcPr>
            <w:tcW w:w="2551" w:type="dxa"/>
            <w:vAlign w:val="center"/>
          </w:tcPr>
          <w:p w14:paraId="43228F9C">
            <w:pPr>
              <w:pStyle w:val="11"/>
            </w:pPr>
            <w:r>
              <w:t>18.17</w:t>
            </w:r>
          </w:p>
        </w:tc>
        <w:tc>
          <w:tcPr>
            <w:tcW w:w="2551" w:type="dxa"/>
            <w:vAlign w:val="center"/>
          </w:tcPr>
          <w:p w14:paraId="43F922B2">
            <w:pPr>
              <w:pStyle w:val="11"/>
            </w:pPr>
          </w:p>
        </w:tc>
      </w:tr>
      <w:tr w14:paraId="201E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5A0AC">
            <w:pPr>
              <w:pStyle w:val="13"/>
            </w:pPr>
            <w:r>
              <w:t>8</w:t>
            </w:r>
          </w:p>
        </w:tc>
        <w:tc>
          <w:tcPr>
            <w:tcW w:w="1191" w:type="dxa"/>
            <w:vAlign w:val="center"/>
          </w:tcPr>
          <w:p w14:paraId="7A8AD478">
            <w:pPr>
              <w:pStyle w:val="12"/>
            </w:pPr>
            <w:r>
              <w:t>30112</w:t>
            </w:r>
          </w:p>
        </w:tc>
        <w:tc>
          <w:tcPr>
            <w:tcW w:w="4535" w:type="dxa"/>
            <w:vAlign w:val="center"/>
          </w:tcPr>
          <w:p w14:paraId="763623CD">
            <w:pPr>
              <w:pStyle w:val="12"/>
            </w:pPr>
            <w:r>
              <w:t>其他社会保障缴费</w:t>
            </w:r>
          </w:p>
        </w:tc>
        <w:tc>
          <w:tcPr>
            <w:tcW w:w="2551" w:type="dxa"/>
            <w:vAlign w:val="center"/>
          </w:tcPr>
          <w:p w14:paraId="7580B8B0">
            <w:pPr>
              <w:pStyle w:val="11"/>
            </w:pPr>
            <w:r>
              <w:t>1.34</w:t>
            </w:r>
          </w:p>
        </w:tc>
        <w:tc>
          <w:tcPr>
            <w:tcW w:w="2551" w:type="dxa"/>
            <w:vAlign w:val="center"/>
          </w:tcPr>
          <w:p w14:paraId="329A65B5">
            <w:pPr>
              <w:pStyle w:val="11"/>
            </w:pPr>
            <w:r>
              <w:t>1.34</w:t>
            </w:r>
          </w:p>
        </w:tc>
        <w:tc>
          <w:tcPr>
            <w:tcW w:w="2551" w:type="dxa"/>
            <w:vAlign w:val="center"/>
          </w:tcPr>
          <w:p w14:paraId="2BCC6295">
            <w:pPr>
              <w:pStyle w:val="11"/>
            </w:pPr>
          </w:p>
        </w:tc>
      </w:tr>
      <w:tr w14:paraId="0CF5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5824E">
            <w:pPr>
              <w:pStyle w:val="13"/>
            </w:pPr>
            <w:r>
              <w:t>9</w:t>
            </w:r>
          </w:p>
        </w:tc>
        <w:tc>
          <w:tcPr>
            <w:tcW w:w="1191" w:type="dxa"/>
            <w:vAlign w:val="center"/>
          </w:tcPr>
          <w:p w14:paraId="218CB8EB">
            <w:pPr>
              <w:pStyle w:val="12"/>
            </w:pPr>
            <w:r>
              <w:t>30113</w:t>
            </w:r>
          </w:p>
        </w:tc>
        <w:tc>
          <w:tcPr>
            <w:tcW w:w="4535" w:type="dxa"/>
            <w:vAlign w:val="center"/>
          </w:tcPr>
          <w:p w14:paraId="76B8C3D5">
            <w:pPr>
              <w:pStyle w:val="12"/>
            </w:pPr>
            <w:r>
              <w:t>住房公积金</w:t>
            </w:r>
          </w:p>
        </w:tc>
        <w:tc>
          <w:tcPr>
            <w:tcW w:w="2551" w:type="dxa"/>
            <w:vAlign w:val="center"/>
          </w:tcPr>
          <w:p w14:paraId="69B08BC6">
            <w:pPr>
              <w:pStyle w:val="11"/>
            </w:pPr>
            <w:r>
              <w:t>29.02</w:t>
            </w:r>
          </w:p>
        </w:tc>
        <w:tc>
          <w:tcPr>
            <w:tcW w:w="2551" w:type="dxa"/>
            <w:vAlign w:val="center"/>
          </w:tcPr>
          <w:p w14:paraId="20760AC5">
            <w:pPr>
              <w:pStyle w:val="11"/>
            </w:pPr>
            <w:r>
              <w:t>29.02</w:t>
            </w:r>
          </w:p>
        </w:tc>
        <w:tc>
          <w:tcPr>
            <w:tcW w:w="2551" w:type="dxa"/>
            <w:vAlign w:val="center"/>
          </w:tcPr>
          <w:p w14:paraId="16B80F93">
            <w:pPr>
              <w:pStyle w:val="11"/>
            </w:pPr>
          </w:p>
        </w:tc>
      </w:tr>
      <w:tr w14:paraId="2FF8A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3C0BE">
            <w:pPr>
              <w:pStyle w:val="13"/>
            </w:pPr>
            <w:r>
              <w:t>10</w:t>
            </w:r>
          </w:p>
        </w:tc>
        <w:tc>
          <w:tcPr>
            <w:tcW w:w="1191" w:type="dxa"/>
            <w:vAlign w:val="center"/>
          </w:tcPr>
          <w:p w14:paraId="31D63EC6">
            <w:pPr>
              <w:pStyle w:val="12"/>
            </w:pPr>
            <w:r>
              <w:t>303</w:t>
            </w:r>
          </w:p>
        </w:tc>
        <w:tc>
          <w:tcPr>
            <w:tcW w:w="4535" w:type="dxa"/>
            <w:vAlign w:val="center"/>
          </w:tcPr>
          <w:p w14:paraId="46915653">
            <w:pPr>
              <w:pStyle w:val="12"/>
            </w:pPr>
            <w:r>
              <w:t>对个人和家庭的补助</w:t>
            </w:r>
          </w:p>
        </w:tc>
        <w:tc>
          <w:tcPr>
            <w:tcW w:w="2551" w:type="dxa"/>
            <w:vAlign w:val="center"/>
          </w:tcPr>
          <w:p w14:paraId="1E2728F0">
            <w:pPr>
              <w:pStyle w:val="11"/>
            </w:pPr>
            <w:r>
              <w:t>11.77</w:t>
            </w:r>
          </w:p>
        </w:tc>
        <w:tc>
          <w:tcPr>
            <w:tcW w:w="2551" w:type="dxa"/>
            <w:vAlign w:val="center"/>
          </w:tcPr>
          <w:p w14:paraId="2A8AF1EF">
            <w:pPr>
              <w:pStyle w:val="11"/>
            </w:pPr>
            <w:r>
              <w:t>11.77</w:t>
            </w:r>
          </w:p>
        </w:tc>
        <w:tc>
          <w:tcPr>
            <w:tcW w:w="2551" w:type="dxa"/>
            <w:vAlign w:val="center"/>
          </w:tcPr>
          <w:p w14:paraId="544044DC">
            <w:pPr>
              <w:pStyle w:val="11"/>
            </w:pPr>
          </w:p>
        </w:tc>
      </w:tr>
      <w:tr w14:paraId="6A80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7EDBB">
            <w:pPr>
              <w:pStyle w:val="13"/>
            </w:pPr>
            <w:r>
              <w:t>11</w:t>
            </w:r>
          </w:p>
        </w:tc>
        <w:tc>
          <w:tcPr>
            <w:tcW w:w="1191" w:type="dxa"/>
            <w:vAlign w:val="center"/>
          </w:tcPr>
          <w:p w14:paraId="1609B1D5">
            <w:pPr>
              <w:pStyle w:val="12"/>
            </w:pPr>
            <w:r>
              <w:t>30302</w:t>
            </w:r>
          </w:p>
        </w:tc>
        <w:tc>
          <w:tcPr>
            <w:tcW w:w="4535" w:type="dxa"/>
            <w:vAlign w:val="center"/>
          </w:tcPr>
          <w:p w14:paraId="71515C81">
            <w:pPr>
              <w:pStyle w:val="12"/>
            </w:pPr>
            <w:r>
              <w:t>退休费</w:t>
            </w:r>
          </w:p>
        </w:tc>
        <w:tc>
          <w:tcPr>
            <w:tcW w:w="2551" w:type="dxa"/>
            <w:vAlign w:val="center"/>
          </w:tcPr>
          <w:p w14:paraId="274FA5BA">
            <w:pPr>
              <w:pStyle w:val="11"/>
            </w:pPr>
            <w:r>
              <w:t>11.77</w:t>
            </w:r>
          </w:p>
        </w:tc>
        <w:tc>
          <w:tcPr>
            <w:tcW w:w="2551" w:type="dxa"/>
            <w:vAlign w:val="center"/>
          </w:tcPr>
          <w:p w14:paraId="1ACD982F">
            <w:pPr>
              <w:pStyle w:val="11"/>
            </w:pPr>
            <w:r>
              <w:t>11.77</w:t>
            </w:r>
          </w:p>
        </w:tc>
        <w:tc>
          <w:tcPr>
            <w:tcW w:w="2551" w:type="dxa"/>
            <w:vAlign w:val="center"/>
          </w:tcPr>
          <w:p w14:paraId="0D0FF137">
            <w:pPr>
              <w:pStyle w:val="11"/>
            </w:pPr>
          </w:p>
        </w:tc>
      </w:tr>
    </w:tbl>
    <w:p w14:paraId="16CAA9AE">
      <w:pPr>
        <w:sectPr>
          <w:pgSz w:w="16840" w:h="11900" w:orient="landscape"/>
          <w:pgMar w:top="1361" w:right="1020" w:bottom="1134" w:left="1020" w:header="720" w:footer="720" w:gutter="0"/>
          <w:cols w:space="720" w:num="1"/>
        </w:sectPr>
      </w:pPr>
    </w:p>
    <w:p w14:paraId="06B728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79E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92509C">
            <w:pPr>
              <w:pStyle w:val="9"/>
            </w:pPr>
            <w:r>
              <w:t>360033隆尧县大张庄中学</w:t>
            </w:r>
          </w:p>
        </w:tc>
        <w:tc>
          <w:tcPr>
            <w:tcW w:w="2551" w:type="dxa"/>
            <w:tcBorders>
              <w:top w:val="single" w:color="FFFFFF" w:sz="6" w:space="0"/>
              <w:left w:val="single" w:color="FFFFFF" w:sz="6" w:space="0"/>
              <w:right w:val="single" w:color="FFFFFF" w:sz="6" w:space="0"/>
            </w:tcBorders>
            <w:vAlign w:val="center"/>
          </w:tcPr>
          <w:p w14:paraId="4A9618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99B5F4">
            <w:pPr>
              <w:pStyle w:val="7"/>
            </w:pPr>
            <w:r>
              <w:t>单位：万元</w:t>
            </w:r>
          </w:p>
        </w:tc>
      </w:tr>
      <w:tr w14:paraId="23C2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9BAF0E">
            <w:pPr>
              <w:pStyle w:val="10"/>
            </w:pPr>
            <w:r>
              <w:t>序号</w:t>
            </w:r>
          </w:p>
        </w:tc>
        <w:tc>
          <w:tcPr>
            <w:tcW w:w="5726" w:type="dxa"/>
            <w:gridSpan w:val="2"/>
            <w:vAlign w:val="center"/>
          </w:tcPr>
          <w:p w14:paraId="4E121436">
            <w:pPr>
              <w:pStyle w:val="10"/>
            </w:pPr>
            <w:r>
              <w:t>功能分类科目</w:t>
            </w:r>
          </w:p>
        </w:tc>
        <w:tc>
          <w:tcPr>
            <w:tcW w:w="2551" w:type="dxa"/>
            <w:vMerge w:val="restart"/>
            <w:vAlign w:val="center"/>
          </w:tcPr>
          <w:p w14:paraId="7B5AC06F">
            <w:pPr>
              <w:pStyle w:val="10"/>
            </w:pPr>
            <w:r>
              <w:t>合计</w:t>
            </w:r>
          </w:p>
        </w:tc>
        <w:tc>
          <w:tcPr>
            <w:tcW w:w="2551" w:type="dxa"/>
            <w:vMerge w:val="restart"/>
            <w:vAlign w:val="center"/>
          </w:tcPr>
          <w:p w14:paraId="2DF85F66">
            <w:pPr>
              <w:pStyle w:val="10"/>
            </w:pPr>
            <w:r>
              <w:t>基本支出</w:t>
            </w:r>
          </w:p>
        </w:tc>
        <w:tc>
          <w:tcPr>
            <w:tcW w:w="2551" w:type="dxa"/>
            <w:vMerge w:val="restart"/>
            <w:vAlign w:val="center"/>
          </w:tcPr>
          <w:p w14:paraId="181259A4">
            <w:pPr>
              <w:pStyle w:val="10"/>
            </w:pPr>
            <w:r>
              <w:t>项目支出</w:t>
            </w:r>
          </w:p>
        </w:tc>
      </w:tr>
      <w:tr w14:paraId="3E288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1B591E"/>
        </w:tc>
        <w:tc>
          <w:tcPr>
            <w:tcW w:w="1191" w:type="dxa"/>
            <w:vAlign w:val="center"/>
          </w:tcPr>
          <w:p w14:paraId="7DA363B2">
            <w:pPr>
              <w:pStyle w:val="10"/>
            </w:pPr>
            <w:r>
              <w:t>科目编码</w:t>
            </w:r>
          </w:p>
        </w:tc>
        <w:tc>
          <w:tcPr>
            <w:tcW w:w="4535" w:type="dxa"/>
            <w:vAlign w:val="center"/>
          </w:tcPr>
          <w:p w14:paraId="6993E05E">
            <w:pPr>
              <w:pStyle w:val="10"/>
            </w:pPr>
            <w:r>
              <w:t>科目名称</w:t>
            </w:r>
          </w:p>
        </w:tc>
        <w:tc>
          <w:tcPr>
            <w:tcW w:w="2551" w:type="dxa"/>
            <w:vMerge w:val="continue"/>
          </w:tcPr>
          <w:p w14:paraId="650BD28C"/>
        </w:tc>
        <w:tc>
          <w:tcPr>
            <w:tcW w:w="2551" w:type="dxa"/>
            <w:vMerge w:val="continue"/>
          </w:tcPr>
          <w:p w14:paraId="174AC860"/>
        </w:tc>
        <w:tc>
          <w:tcPr>
            <w:tcW w:w="2551" w:type="dxa"/>
            <w:vMerge w:val="continue"/>
          </w:tcPr>
          <w:p w14:paraId="2BD43953"/>
        </w:tc>
      </w:tr>
      <w:tr w14:paraId="6EEA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837DD">
            <w:pPr>
              <w:pStyle w:val="10"/>
            </w:pPr>
            <w:r>
              <w:t>栏次</w:t>
            </w:r>
          </w:p>
        </w:tc>
        <w:tc>
          <w:tcPr>
            <w:tcW w:w="1191" w:type="dxa"/>
            <w:vAlign w:val="center"/>
          </w:tcPr>
          <w:p w14:paraId="34F0BA45">
            <w:pPr>
              <w:pStyle w:val="10"/>
            </w:pPr>
            <w:r>
              <w:t>1</w:t>
            </w:r>
          </w:p>
        </w:tc>
        <w:tc>
          <w:tcPr>
            <w:tcW w:w="4535" w:type="dxa"/>
            <w:vAlign w:val="center"/>
          </w:tcPr>
          <w:p w14:paraId="0AD66591">
            <w:pPr>
              <w:pStyle w:val="10"/>
            </w:pPr>
            <w:r>
              <w:t>2</w:t>
            </w:r>
          </w:p>
        </w:tc>
        <w:tc>
          <w:tcPr>
            <w:tcW w:w="2551" w:type="dxa"/>
            <w:vAlign w:val="center"/>
          </w:tcPr>
          <w:p w14:paraId="04A08AC2">
            <w:pPr>
              <w:pStyle w:val="10"/>
            </w:pPr>
            <w:r>
              <w:t>3</w:t>
            </w:r>
          </w:p>
        </w:tc>
        <w:tc>
          <w:tcPr>
            <w:tcW w:w="2551" w:type="dxa"/>
            <w:vAlign w:val="center"/>
          </w:tcPr>
          <w:p w14:paraId="35F47883">
            <w:pPr>
              <w:pStyle w:val="10"/>
            </w:pPr>
            <w:r>
              <w:t>4</w:t>
            </w:r>
          </w:p>
        </w:tc>
        <w:tc>
          <w:tcPr>
            <w:tcW w:w="2551" w:type="dxa"/>
            <w:vAlign w:val="center"/>
          </w:tcPr>
          <w:p w14:paraId="5AE8FD41">
            <w:pPr>
              <w:pStyle w:val="10"/>
            </w:pPr>
            <w:r>
              <w:t>5</w:t>
            </w:r>
          </w:p>
        </w:tc>
      </w:tr>
      <w:tr w14:paraId="1807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90526">
            <w:pPr>
              <w:pStyle w:val="13"/>
            </w:pPr>
          </w:p>
        </w:tc>
        <w:tc>
          <w:tcPr>
            <w:tcW w:w="1191" w:type="dxa"/>
            <w:vAlign w:val="center"/>
          </w:tcPr>
          <w:p w14:paraId="5288B2D7">
            <w:pPr>
              <w:pStyle w:val="12"/>
            </w:pPr>
          </w:p>
        </w:tc>
        <w:tc>
          <w:tcPr>
            <w:tcW w:w="4535" w:type="dxa"/>
            <w:vAlign w:val="center"/>
          </w:tcPr>
          <w:p w14:paraId="337C7ADC">
            <w:pPr>
              <w:pStyle w:val="12"/>
            </w:pPr>
          </w:p>
        </w:tc>
        <w:tc>
          <w:tcPr>
            <w:tcW w:w="2551" w:type="dxa"/>
            <w:vAlign w:val="center"/>
          </w:tcPr>
          <w:p w14:paraId="5F6CDBD9">
            <w:pPr>
              <w:pStyle w:val="11"/>
            </w:pPr>
          </w:p>
        </w:tc>
        <w:tc>
          <w:tcPr>
            <w:tcW w:w="2551" w:type="dxa"/>
            <w:vAlign w:val="center"/>
          </w:tcPr>
          <w:p w14:paraId="34C5AEB1">
            <w:pPr>
              <w:pStyle w:val="11"/>
            </w:pPr>
          </w:p>
        </w:tc>
        <w:tc>
          <w:tcPr>
            <w:tcW w:w="2551" w:type="dxa"/>
            <w:vAlign w:val="center"/>
          </w:tcPr>
          <w:p w14:paraId="35D8B9DA">
            <w:pPr>
              <w:pStyle w:val="11"/>
            </w:pPr>
          </w:p>
        </w:tc>
      </w:tr>
    </w:tbl>
    <w:p w14:paraId="5ABDF0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5D0D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2D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F338D3">
            <w:pPr>
              <w:pStyle w:val="9"/>
            </w:pPr>
            <w:r>
              <w:t>360033隆尧县大张庄中学</w:t>
            </w:r>
          </w:p>
        </w:tc>
        <w:tc>
          <w:tcPr>
            <w:tcW w:w="2551" w:type="dxa"/>
            <w:tcBorders>
              <w:top w:val="single" w:color="FFFFFF" w:sz="6" w:space="0"/>
              <w:left w:val="single" w:color="FFFFFF" w:sz="6" w:space="0"/>
              <w:right w:val="single" w:color="FFFFFF" w:sz="6" w:space="0"/>
            </w:tcBorders>
            <w:vAlign w:val="center"/>
          </w:tcPr>
          <w:p w14:paraId="10ED901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1E8302">
            <w:pPr>
              <w:pStyle w:val="7"/>
            </w:pPr>
            <w:r>
              <w:t>单位：万元</w:t>
            </w:r>
          </w:p>
        </w:tc>
      </w:tr>
      <w:tr w14:paraId="4F04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0490F6">
            <w:pPr>
              <w:pStyle w:val="10"/>
            </w:pPr>
            <w:r>
              <w:t>序号</w:t>
            </w:r>
          </w:p>
        </w:tc>
        <w:tc>
          <w:tcPr>
            <w:tcW w:w="5726" w:type="dxa"/>
            <w:gridSpan w:val="2"/>
            <w:vAlign w:val="center"/>
          </w:tcPr>
          <w:p w14:paraId="3562A49A">
            <w:pPr>
              <w:pStyle w:val="10"/>
            </w:pPr>
            <w:r>
              <w:t>功能分类科目</w:t>
            </w:r>
          </w:p>
        </w:tc>
        <w:tc>
          <w:tcPr>
            <w:tcW w:w="2551" w:type="dxa"/>
            <w:vMerge w:val="restart"/>
            <w:vAlign w:val="center"/>
          </w:tcPr>
          <w:p w14:paraId="7333FCBF">
            <w:pPr>
              <w:pStyle w:val="10"/>
            </w:pPr>
            <w:r>
              <w:t>合计</w:t>
            </w:r>
          </w:p>
        </w:tc>
        <w:tc>
          <w:tcPr>
            <w:tcW w:w="2551" w:type="dxa"/>
            <w:vMerge w:val="restart"/>
            <w:vAlign w:val="center"/>
          </w:tcPr>
          <w:p w14:paraId="6DF6C92E">
            <w:pPr>
              <w:pStyle w:val="10"/>
            </w:pPr>
            <w:r>
              <w:t>基本支出</w:t>
            </w:r>
          </w:p>
        </w:tc>
        <w:tc>
          <w:tcPr>
            <w:tcW w:w="2551" w:type="dxa"/>
            <w:vMerge w:val="restart"/>
            <w:vAlign w:val="center"/>
          </w:tcPr>
          <w:p w14:paraId="7C9207C8">
            <w:pPr>
              <w:pStyle w:val="10"/>
            </w:pPr>
            <w:r>
              <w:t>项目支出</w:t>
            </w:r>
          </w:p>
        </w:tc>
      </w:tr>
      <w:tr w14:paraId="7EE5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33D66"/>
        </w:tc>
        <w:tc>
          <w:tcPr>
            <w:tcW w:w="1191" w:type="dxa"/>
            <w:vAlign w:val="center"/>
          </w:tcPr>
          <w:p w14:paraId="1C253699">
            <w:pPr>
              <w:pStyle w:val="10"/>
            </w:pPr>
            <w:r>
              <w:t>科目编码</w:t>
            </w:r>
          </w:p>
        </w:tc>
        <w:tc>
          <w:tcPr>
            <w:tcW w:w="4535" w:type="dxa"/>
            <w:vAlign w:val="center"/>
          </w:tcPr>
          <w:p w14:paraId="4521F8E0">
            <w:pPr>
              <w:pStyle w:val="10"/>
            </w:pPr>
            <w:r>
              <w:t>科目名称</w:t>
            </w:r>
          </w:p>
        </w:tc>
        <w:tc>
          <w:tcPr>
            <w:tcW w:w="2551" w:type="dxa"/>
            <w:vMerge w:val="continue"/>
          </w:tcPr>
          <w:p w14:paraId="2F2CC105"/>
        </w:tc>
        <w:tc>
          <w:tcPr>
            <w:tcW w:w="2551" w:type="dxa"/>
            <w:vMerge w:val="continue"/>
          </w:tcPr>
          <w:p w14:paraId="42415101"/>
        </w:tc>
        <w:tc>
          <w:tcPr>
            <w:tcW w:w="2551" w:type="dxa"/>
            <w:vMerge w:val="continue"/>
          </w:tcPr>
          <w:p w14:paraId="1CB456F6"/>
        </w:tc>
      </w:tr>
      <w:tr w14:paraId="3FE5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B8866">
            <w:pPr>
              <w:pStyle w:val="10"/>
            </w:pPr>
            <w:r>
              <w:t>栏次</w:t>
            </w:r>
          </w:p>
        </w:tc>
        <w:tc>
          <w:tcPr>
            <w:tcW w:w="1191" w:type="dxa"/>
            <w:vAlign w:val="center"/>
          </w:tcPr>
          <w:p w14:paraId="18EAB56C">
            <w:pPr>
              <w:pStyle w:val="10"/>
            </w:pPr>
            <w:r>
              <w:t>1</w:t>
            </w:r>
          </w:p>
        </w:tc>
        <w:tc>
          <w:tcPr>
            <w:tcW w:w="4535" w:type="dxa"/>
            <w:vAlign w:val="center"/>
          </w:tcPr>
          <w:p w14:paraId="7843726E">
            <w:pPr>
              <w:pStyle w:val="10"/>
            </w:pPr>
            <w:r>
              <w:t>2</w:t>
            </w:r>
          </w:p>
        </w:tc>
        <w:tc>
          <w:tcPr>
            <w:tcW w:w="2551" w:type="dxa"/>
            <w:vAlign w:val="center"/>
          </w:tcPr>
          <w:p w14:paraId="16AC9994">
            <w:pPr>
              <w:pStyle w:val="10"/>
            </w:pPr>
            <w:r>
              <w:t>3</w:t>
            </w:r>
          </w:p>
        </w:tc>
        <w:tc>
          <w:tcPr>
            <w:tcW w:w="2551" w:type="dxa"/>
            <w:vAlign w:val="center"/>
          </w:tcPr>
          <w:p w14:paraId="15275A5C">
            <w:pPr>
              <w:pStyle w:val="10"/>
            </w:pPr>
            <w:r>
              <w:t>4</w:t>
            </w:r>
          </w:p>
        </w:tc>
        <w:tc>
          <w:tcPr>
            <w:tcW w:w="2551" w:type="dxa"/>
            <w:vAlign w:val="center"/>
          </w:tcPr>
          <w:p w14:paraId="6AC03221">
            <w:pPr>
              <w:pStyle w:val="10"/>
            </w:pPr>
            <w:r>
              <w:t>5</w:t>
            </w:r>
          </w:p>
        </w:tc>
      </w:tr>
      <w:tr w14:paraId="47CF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6FBB1">
            <w:pPr>
              <w:pStyle w:val="13"/>
            </w:pPr>
          </w:p>
        </w:tc>
        <w:tc>
          <w:tcPr>
            <w:tcW w:w="1191" w:type="dxa"/>
            <w:vAlign w:val="center"/>
          </w:tcPr>
          <w:p w14:paraId="1A8BCAFA">
            <w:pPr>
              <w:pStyle w:val="12"/>
            </w:pPr>
          </w:p>
        </w:tc>
        <w:tc>
          <w:tcPr>
            <w:tcW w:w="4535" w:type="dxa"/>
            <w:vAlign w:val="center"/>
          </w:tcPr>
          <w:p w14:paraId="6D3A90B2">
            <w:pPr>
              <w:pStyle w:val="12"/>
            </w:pPr>
          </w:p>
        </w:tc>
        <w:tc>
          <w:tcPr>
            <w:tcW w:w="2551" w:type="dxa"/>
            <w:vAlign w:val="center"/>
          </w:tcPr>
          <w:p w14:paraId="700A5033">
            <w:pPr>
              <w:pStyle w:val="11"/>
            </w:pPr>
          </w:p>
        </w:tc>
        <w:tc>
          <w:tcPr>
            <w:tcW w:w="2551" w:type="dxa"/>
            <w:vAlign w:val="center"/>
          </w:tcPr>
          <w:p w14:paraId="74F59656">
            <w:pPr>
              <w:pStyle w:val="11"/>
            </w:pPr>
          </w:p>
        </w:tc>
        <w:tc>
          <w:tcPr>
            <w:tcW w:w="2551" w:type="dxa"/>
            <w:vAlign w:val="center"/>
          </w:tcPr>
          <w:p w14:paraId="43A9B1D2">
            <w:pPr>
              <w:pStyle w:val="11"/>
            </w:pPr>
          </w:p>
        </w:tc>
      </w:tr>
    </w:tbl>
    <w:p w14:paraId="45361D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D85C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7A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886DD0">
            <w:pPr>
              <w:pStyle w:val="9"/>
            </w:pPr>
            <w:r>
              <w:t>360033隆尧县大张庄中学</w:t>
            </w:r>
          </w:p>
        </w:tc>
        <w:tc>
          <w:tcPr>
            <w:tcW w:w="2381" w:type="dxa"/>
            <w:tcBorders>
              <w:top w:val="single" w:color="FFFFFF" w:sz="6" w:space="0"/>
              <w:left w:val="single" w:color="FFFFFF" w:sz="6" w:space="0"/>
              <w:right w:val="single" w:color="FFFFFF" w:sz="6" w:space="0"/>
            </w:tcBorders>
            <w:vAlign w:val="center"/>
          </w:tcPr>
          <w:p w14:paraId="430851A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B0DF246">
            <w:pPr>
              <w:pStyle w:val="7"/>
            </w:pPr>
            <w:r>
              <w:t>单位：万元</w:t>
            </w:r>
          </w:p>
        </w:tc>
      </w:tr>
      <w:tr w14:paraId="3C9F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45CE8">
            <w:pPr>
              <w:pStyle w:val="10"/>
            </w:pPr>
            <w:r>
              <w:t>序号</w:t>
            </w:r>
          </w:p>
        </w:tc>
        <w:tc>
          <w:tcPr>
            <w:tcW w:w="3798" w:type="dxa"/>
            <w:vMerge w:val="restart"/>
            <w:vAlign w:val="center"/>
          </w:tcPr>
          <w:p w14:paraId="271E0569">
            <w:pPr>
              <w:pStyle w:val="10"/>
            </w:pPr>
            <w:r>
              <w:t>项  目</w:t>
            </w:r>
          </w:p>
        </w:tc>
        <w:tc>
          <w:tcPr>
            <w:tcW w:w="9524" w:type="dxa"/>
            <w:gridSpan w:val="4"/>
            <w:vAlign w:val="center"/>
          </w:tcPr>
          <w:p w14:paraId="15523D0C">
            <w:pPr>
              <w:pStyle w:val="10"/>
            </w:pPr>
            <w:r>
              <w:t>资 金 性 质</w:t>
            </w:r>
          </w:p>
        </w:tc>
      </w:tr>
      <w:tr w14:paraId="3907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D15F82"/>
        </w:tc>
        <w:tc>
          <w:tcPr>
            <w:tcW w:w="3798" w:type="dxa"/>
            <w:vMerge w:val="continue"/>
          </w:tcPr>
          <w:p w14:paraId="09349F98"/>
        </w:tc>
        <w:tc>
          <w:tcPr>
            <w:tcW w:w="2381" w:type="dxa"/>
            <w:vAlign w:val="center"/>
          </w:tcPr>
          <w:p w14:paraId="2A583279">
            <w:pPr>
              <w:pStyle w:val="10"/>
            </w:pPr>
            <w:r>
              <w:t>合计</w:t>
            </w:r>
          </w:p>
        </w:tc>
        <w:tc>
          <w:tcPr>
            <w:tcW w:w="2381" w:type="dxa"/>
            <w:vAlign w:val="center"/>
          </w:tcPr>
          <w:p w14:paraId="2A119879">
            <w:pPr>
              <w:pStyle w:val="10"/>
            </w:pPr>
            <w:r>
              <w:t>一般公共预算              财政拨款</w:t>
            </w:r>
          </w:p>
        </w:tc>
        <w:tc>
          <w:tcPr>
            <w:tcW w:w="2381" w:type="dxa"/>
            <w:vAlign w:val="center"/>
          </w:tcPr>
          <w:p w14:paraId="68C4E567">
            <w:pPr>
              <w:pStyle w:val="10"/>
            </w:pPr>
            <w:r>
              <w:t>政府性基金                  预算拨款</w:t>
            </w:r>
          </w:p>
        </w:tc>
        <w:tc>
          <w:tcPr>
            <w:tcW w:w="2381" w:type="dxa"/>
            <w:vAlign w:val="center"/>
          </w:tcPr>
          <w:p w14:paraId="2A92747B">
            <w:pPr>
              <w:pStyle w:val="10"/>
            </w:pPr>
            <w:r>
              <w:t>国有资本经营              预算财政拨款</w:t>
            </w:r>
          </w:p>
        </w:tc>
      </w:tr>
      <w:tr w14:paraId="029E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5AEFF2">
            <w:pPr>
              <w:pStyle w:val="10"/>
            </w:pPr>
            <w:r>
              <w:t>栏次</w:t>
            </w:r>
          </w:p>
        </w:tc>
        <w:tc>
          <w:tcPr>
            <w:tcW w:w="3798" w:type="dxa"/>
            <w:vAlign w:val="center"/>
          </w:tcPr>
          <w:p w14:paraId="62632736">
            <w:pPr>
              <w:pStyle w:val="10"/>
            </w:pPr>
            <w:r>
              <w:t>1</w:t>
            </w:r>
          </w:p>
        </w:tc>
        <w:tc>
          <w:tcPr>
            <w:tcW w:w="2381" w:type="dxa"/>
            <w:vAlign w:val="center"/>
          </w:tcPr>
          <w:p w14:paraId="39CF0C00">
            <w:pPr>
              <w:pStyle w:val="10"/>
            </w:pPr>
            <w:r>
              <w:t>2</w:t>
            </w:r>
          </w:p>
        </w:tc>
        <w:tc>
          <w:tcPr>
            <w:tcW w:w="2381" w:type="dxa"/>
            <w:vAlign w:val="center"/>
          </w:tcPr>
          <w:p w14:paraId="57FF8B4C">
            <w:pPr>
              <w:pStyle w:val="10"/>
            </w:pPr>
            <w:r>
              <w:t>3</w:t>
            </w:r>
          </w:p>
        </w:tc>
        <w:tc>
          <w:tcPr>
            <w:tcW w:w="2381" w:type="dxa"/>
            <w:vAlign w:val="center"/>
          </w:tcPr>
          <w:p w14:paraId="037B27DB">
            <w:pPr>
              <w:pStyle w:val="10"/>
            </w:pPr>
            <w:r>
              <w:t>4</w:t>
            </w:r>
          </w:p>
        </w:tc>
        <w:tc>
          <w:tcPr>
            <w:tcW w:w="2381" w:type="dxa"/>
            <w:vAlign w:val="center"/>
          </w:tcPr>
          <w:p w14:paraId="78F518D0">
            <w:pPr>
              <w:pStyle w:val="10"/>
            </w:pPr>
            <w:r>
              <w:t>5</w:t>
            </w:r>
          </w:p>
        </w:tc>
      </w:tr>
      <w:tr w14:paraId="383A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581508">
            <w:pPr>
              <w:pStyle w:val="13"/>
            </w:pPr>
          </w:p>
        </w:tc>
        <w:tc>
          <w:tcPr>
            <w:tcW w:w="3798" w:type="dxa"/>
            <w:vAlign w:val="center"/>
          </w:tcPr>
          <w:p w14:paraId="7B3EC4F2">
            <w:pPr>
              <w:pStyle w:val="12"/>
            </w:pPr>
          </w:p>
        </w:tc>
        <w:tc>
          <w:tcPr>
            <w:tcW w:w="2381" w:type="dxa"/>
            <w:vAlign w:val="center"/>
          </w:tcPr>
          <w:p w14:paraId="79B9B8F4">
            <w:pPr>
              <w:pStyle w:val="11"/>
            </w:pPr>
          </w:p>
        </w:tc>
        <w:tc>
          <w:tcPr>
            <w:tcW w:w="2381" w:type="dxa"/>
            <w:vAlign w:val="center"/>
          </w:tcPr>
          <w:p w14:paraId="12FC3E5B">
            <w:pPr>
              <w:pStyle w:val="11"/>
            </w:pPr>
          </w:p>
        </w:tc>
        <w:tc>
          <w:tcPr>
            <w:tcW w:w="2381" w:type="dxa"/>
            <w:vAlign w:val="center"/>
          </w:tcPr>
          <w:p w14:paraId="7DA5C10B">
            <w:pPr>
              <w:pStyle w:val="11"/>
            </w:pPr>
          </w:p>
        </w:tc>
        <w:tc>
          <w:tcPr>
            <w:tcW w:w="2381" w:type="dxa"/>
            <w:vAlign w:val="center"/>
          </w:tcPr>
          <w:p w14:paraId="41F152A9">
            <w:pPr>
              <w:pStyle w:val="11"/>
            </w:pPr>
          </w:p>
        </w:tc>
      </w:tr>
    </w:tbl>
    <w:p w14:paraId="3F88207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6D2D18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隆尧县大张庄中学2026年单位预算信息公开情况说明</w:t>
      </w:r>
    </w:p>
    <w:p w14:paraId="74018C4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地方预决算公开操作规程》和《关于进一步推进预算公开工作的实施意见》规定，现将隆尧县大张庄中学2026年单位预算公开如下：</w:t>
      </w:r>
    </w:p>
    <w:p w14:paraId="1BA31B15">
      <w:pPr>
        <w:spacing w:before="10" w:after="10" w:line="240" w:lineRule="auto"/>
        <w:ind w:firstLine="640"/>
        <w:jc w:val="left"/>
        <w:outlineLvl w:val="5"/>
      </w:pPr>
      <w:r>
        <w:rPr>
          <w:rFonts w:ascii="黑体" w:hAnsi="黑体" w:eastAsia="黑体" w:cs="黑体"/>
          <w:color w:val="000000"/>
          <w:sz w:val="32"/>
        </w:rPr>
        <w:t>一、单位职责及机构设置情况</w:t>
      </w:r>
    </w:p>
    <w:p w14:paraId="28DD0DE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A28686">
      <w:pPr>
        <w:pStyle w:val="17"/>
      </w:pPr>
      <w:r>
        <w:rPr>
          <w:rFonts w:hint="eastAsia"/>
        </w:rPr>
        <w:t>贯彻落实基础教育的方针、政策，开展初中阶段教育教学工作，促进学生德、智、体、美、劳全面发展：负责学生安全教育和管理，确保学生身心健康：加强教师队伍建设和管理，为教育教学工作提供保障。隆尧县大张庄中学事业编制28名，其中，校长1名（正股级），副校长4名（副股级）：经费形式为财政性资金基本保证。</w:t>
      </w:r>
    </w:p>
    <w:p w14:paraId="013F242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2EEB1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250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70E354">
            <w:pPr>
              <w:pStyle w:val="10"/>
            </w:pPr>
            <w:r>
              <w:t>单位名称</w:t>
            </w:r>
          </w:p>
        </w:tc>
        <w:tc>
          <w:tcPr>
            <w:tcW w:w="1843" w:type="dxa"/>
            <w:vAlign w:val="center"/>
          </w:tcPr>
          <w:p w14:paraId="6366147C">
            <w:pPr>
              <w:pStyle w:val="10"/>
            </w:pPr>
            <w:r>
              <w:t>单位性质</w:t>
            </w:r>
          </w:p>
        </w:tc>
        <w:tc>
          <w:tcPr>
            <w:tcW w:w="2126" w:type="dxa"/>
            <w:vAlign w:val="center"/>
          </w:tcPr>
          <w:p w14:paraId="093983B2">
            <w:pPr>
              <w:pStyle w:val="10"/>
            </w:pPr>
            <w:r>
              <w:t>单位规格</w:t>
            </w:r>
          </w:p>
        </w:tc>
        <w:tc>
          <w:tcPr>
            <w:tcW w:w="3827" w:type="dxa"/>
            <w:vAlign w:val="center"/>
          </w:tcPr>
          <w:p w14:paraId="4A6B6473">
            <w:pPr>
              <w:pStyle w:val="10"/>
            </w:pPr>
            <w:r>
              <w:t>经费保障形式</w:t>
            </w:r>
          </w:p>
        </w:tc>
      </w:tr>
      <w:tr w14:paraId="150F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534B1C">
            <w:pPr>
              <w:pStyle w:val="12"/>
            </w:pPr>
            <w:r>
              <w:t>隆尧县大张庄中学</w:t>
            </w:r>
          </w:p>
        </w:tc>
        <w:tc>
          <w:tcPr>
            <w:tcW w:w="1843" w:type="dxa"/>
            <w:vAlign w:val="center"/>
          </w:tcPr>
          <w:p w14:paraId="1DD9B101">
            <w:pPr>
              <w:pStyle w:val="13"/>
            </w:pPr>
            <w:r>
              <w:t>事业</w:t>
            </w:r>
          </w:p>
        </w:tc>
        <w:tc>
          <w:tcPr>
            <w:tcW w:w="2126" w:type="dxa"/>
            <w:vAlign w:val="center"/>
          </w:tcPr>
          <w:p w14:paraId="237FFE10">
            <w:pPr>
              <w:pStyle w:val="13"/>
            </w:pPr>
            <w:r>
              <w:t>股级</w:t>
            </w:r>
          </w:p>
        </w:tc>
        <w:tc>
          <w:tcPr>
            <w:tcW w:w="3827" w:type="dxa"/>
            <w:vAlign w:val="center"/>
          </w:tcPr>
          <w:p w14:paraId="30DF6C73">
            <w:pPr>
              <w:pStyle w:val="13"/>
            </w:pPr>
            <w:r>
              <w:t>财政性资金基本保证</w:t>
            </w:r>
          </w:p>
        </w:tc>
      </w:tr>
    </w:tbl>
    <w:p w14:paraId="378D788F">
      <w:pPr>
        <w:spacing w:before="10" w:after="10" w:line="240" w:lineRule="auto"/>
        <w:ind w:firstLine="640"/>
        <w:jc w:val="left"/>
        <w:outlineLvl w:val="5"/>
      </w:pPr>
      <w:r>
        <w:rPr>
          <w:rFonts w:ascii="黑体" w:hAnsi="黑体" w:eastAsia="黑体" w:cs="黑体"/>
          <w:color w:val="000000"/>
          <w:sz w:val="32"/>
        </w:rPr>
        <w:t>二、单位预算安排的总体情况</w:t>
      </w:r>
    </w:p>
    <w:p w14:paraId="79C207A4">
      <w:pPr>
        <w:pStyle w:val="18"/>
      </w:pPr>
      <w:r>
        <w:t>按照预算管理有关规定，目前我校单位预算的编制实行综合预算管理，即全部收入和支出都反映的预算中。隆尧县大张庄中学的收支包含在单位预算中。</w:t>
      </w:r>
    </w:p>
    <w:p w14:paraId="5E72B07F">
      <w:pPr>
        <w:pStyle w:val="18"/>
      </w:pPr>
      <w:r>
        <w:t>1、收入说明</w:t>
      </w:r>
    </w:p>
    <w:p w14:paraId="4F526164">
      <w:pPr>
        <w:pStyle w:val="18"/>
      </w:pPr>
      <w:r>
        <w:t>反映本单位当年全部收入。2026年预算收入607.38万元，其中：一般公共预算收入607.38万元，基金预算收入0元，财政专户管理资金收入0元，其单位资金收入0元，上年结转结余0万元。</w:t>
      </w:r>
    </w:p>
    <w:p w14:paraId="458F5515">
      <w:pPr>
        <w:pStyle w:val="18"/>
      </w:pPr>
      <w:r>
        <w:t>2、支出说明</w:t>
      </w:r>
    </w:p>
    <w:p w14:paraId="0393C3D8">
      <w:pPr>
        <w:pStyle w:val="18"/>
      </w:pPr>
      <w:r>
        <w:t>收支预算总表支出栏、基本支出表、项目支出表按经济分类和支出功能分类科目编制，反映隆尧县大张庄中学年度单位预算中支出预算的总体情况。2026年单位支出预算为607.38万元，其中基本支出391.37万元、项目支出216.01万元。为初中教育607.38万元。</w:t>
      </w:r>
    </w:p>
    <w:p w14:paraId="45567A21">
      <w:pPr>
        <w:pStyle w:val="18"/>
      </w:pPr>
      <w:r>
        <w:t>3、比上年增减情况</w:t>
      </w:r>
    </w:p>
    <w:p w14:paraId="27CE53AC">
      <w:pPr>
        <w:pStyle w:val="18"/>
      </w:pPr>
      <w:r>
        <w:t>2026年单位预算收支安排607.38万元，比2025年减少50.96万元，其中基本支出增加9.23万元、项目支出减少60.19万元。</w:t>
      </w:r>
    </w:p>
    <w:p w14:paraId="5CA7166E">
      <w:pPr>
        <w:spacing w:before="10" w:after="10" w:line="240" w:lineRule="auto"/>
        <w:ind w:firstLine="640"/>
        <w:jc w:val="left"/>
        <w:outlineLvl w:val="5"/>
      </w:pPr>
      <w:r>
        <w:rPr>
          <w:rFonts w:ascii="黑体" w:hAnsi="黑体" w:eastAsia="黑体" w:cs="黑体"/>
          <w:color w:val="000000"/>
          <w:sz w:val="32"/>
        </w:rPr>
        <w:t>三、机关运行经费安排情况</w:t>
      </w:r>
    </w:p>
    <w:p w14:paraId="4D21690D">
      <w:pPr>
        <w:pStyle w:val="19"/>
      </w:pPr>
      <w:r>
        <w:t>2026年，我单位按学生安排公用经费，无机关运行经费。</w:t>
      </w:r>
    </w:p>
    <w:p w14:paraId="3C285E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077DBD">
      <w:pPr>
        <w:pStyle w:val="20"/>
      </w:pPr>
      <w:r>
        <w:t>2026年，我单位财政拨款“三公”经费预算安排0万元，其中因公出国（境）费0万元；公务用车购置及运维费0万元（其中：公务用车购置费为0万元，公务用车运行维护费0万元</w:t>
      </w:r>
      <w:r>
        <w:rPr>
          <w:rFonts w:hint="eastAsia"/>
          <w:lang w:eastAsia="zh-CN"/>
        </w:rPr>
        <w:t>）</w:t>
      </w:r>
      <w:r>
        <w:t>；公务接待费0万元。与2025年相比无变化。</w:t>
      </w:r>
    </w:p>
    <w:p w14:paraId="1BA087E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F898C22">
      <w:pPr>
        <w:spacing w:before="0" w:after="0"/>
        <w:ind w:firstLine="560"/>
        <w:jc w:val="left"/>
        <w:outlineLvl w:val="9"/>
      </w:pPr>
      <w:r>
        <w:rPr>
          <w:rFonts w:ascii="方正仿宋_GBK" w:hAnsi="方正仿宋_GBK" w:eastAsia="方正仿宋_GBK" w:cs="方正仿宋_GBK"/>
          <w:b/>
          <w:color w:val="000000"/>
          <w:sz w:val="28"/>
        </w:rPr>
        <w:t>1、冀财教[2022]179号/中央/义教经费/校舍安全/张庄中学新建学生宿舍楼绩效目标表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21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A61FE">
            <w:pPr>
              <w:pStyle w:val="11"/>
            </w:pPr>
            <w:r>
              <w:t>单位：万元</w:t>
            </w:r>
          </w:p>
        </w:tc>
      </w:tr>
      <w:tr w14:paraId="1272B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85615">
            <w:pPr>
              <w:pStyle w:val="10"/>
            </w:pPr>
            <w:r>
              <w:t>项目编码</w:t>
            </w:r>
          </w:p>
        </w:tc>
        <w:tc>
          <w:tcPr>
            <w:tcW w:w="5103" w:type="dxa"/>
            <w:gridSpan w:val="2"/>
            <w:vAlign w:val="center"/>
          </w:tcPr>
          <w:p w14:paraId="4CAC9825">
            <w:pPr>
              <w:pStyle w:val="12"/>
            </w:pPr>
            <w:r>
              <w:t>13052526P00876210124Q</w:t>
            </w:r>
          </w:p>
        </w:tc>
        <w:tc>
          <w:tcPr>
            <w:tcW w:w="2835" w:type="dxa"/>
            <w:vAlign w:val="center"/>
          </w:tcPr>
          <w:p w14:paraId="7083F50E">
            <w:pPr>
              <w:pStyle w:val="10"/>
            </w:pPr>
            <w:r>
              <w:t>项目名称</w:t>
            </w:r>
          </w:p>
        </w:tc>
        <w:tc>
          <w:tcPr>
            <w:tcW w:w="6095" w:type="dxa"/>
            <w:gridSpan w:val="3"/>
            <w:vAlign w:val="center"/>
          </w:tcPr>
          <w:p w14:paraId="151A9124">
            <w:pPr>
              <w:pStyle w:val="12"/>
            </w:pPr>
            <w:r>
              <w:t>冀财教[2022]179号/中央/义教经费/校舍安全/张庄中学新建学生宿舍楼</w:t>
            </w:r>
          </w:p>
        </w:tc>
      </w:tr>
      <w:tr w14:paraId="53B12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E0345">
            <w:pPr>
              <w:pStyle w:val="10"/>
            </w:pPr>
            <w:r>
              <w:t>预算规模及资金用途</w:t>
            </w:r>
          </w:p>
        </w:tc>
        <w:tc>
          <w:tcPr>
            <w:tcW w:w="2268" w:type="dxa"/>
            <w:vAlign w:val="center"/>
          </w:tcPr>
          <w:p w14:paraId="46E725C3">
            <w:pPr>
              <w:pStyle w:val="10"/>
            </w:pPr>
            <w:r>
              <w:t>预算数</w:t>
            </w:r>
          </w:p>
        </w:tc>
        <w:tc>
          <w:tcPr>
            <w:tcW w:w="2835" w:type="dxa"/>
            <w:vAlign w:val="center"/>
          </w:tcPr>
          <w:p w14:paraId="1657BF07">
            <w:pPr>
              <w:pStyle w:val="12"/>
            </w:pPr>
            <w:r>
              <w:t>165.21</w:t>
            </w:r>
          </w:p>
        </w:tc>
        <w:tc>
          <w:tcPr>
            <w:tcW w:w="2835" w:type="dxa"/>
            <w:vAlign w:val="center"/>
          </w:tcPr>
          <w:p w14:paraId="09121ACE">
            <w:pPr>
              <w:pStyle w:val="10"/>
            </w:pPr>
            <w:r>
              <w:t>其中：财政    资金</w:t>
            </w:r>
          </w:p>
        </w:tc>
        <w:tc>
          <w:tcPr>
            <w:tcW w:w="2551" w:type="dxa"/>
            <w:vAlign w:val="center"/>
          </w:tcPr>
          <w:p w14:paraId="0C89220C">
            <w:pPr>
              <w:pStyle w:val="12"/>
            </w:pPr>
            <w:r>
              <w:t>165.21</w:t>
            </w:r>
          </w:p>
        </w:tc>
        <w:tc>
          <w:tcPr>
            <w:tcW w:w="2268" w:type="dxa"/>
            <w:vAlign w:val="center"/>
          </w:tcPr>
          <w:p w14:paraId="2768B873">
            <w:pPr>
              <w:pStyle w:val="10"/>
            </w:pPr>
            <w:r>
              <w:t>其他资金</w:t>
            </w:r>
          </w:p>
        </w:tc>
        <w:tc>
          <w:tcPr>
            <w:tcW w:w="1276" w:type="dxa"/>
            <w:vAlign w:val="center"/>
          </w:tcPr>
          <w:p w14:paraId="69B705C3">
            <w:pPr>
              <w:pStyle w:val="12"/>
            </w:pPr>
            <w:r>
              <w:t xml:space="preserve"> </w:t>
            </w:r>
          </w:p>
        </w:tc>
      </w:tr>
      <w:tr w14:paraId="64223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BB03D"/>
        </w:tc>
        <w:tc>
          <w:tcPr>
            <w:tcW w:w="14033" w:type="dxa"/>
            <w:gridSpan w:val="6"/>
            <w:vAlign w:val="center"/>
          </w:tcPr>
          <w:p w14:paraId="774AB62E">
            <w:pPr>
              <w:pStyle w:val="12"/>
            </w:pPr>
            <w:r>
              <w:t>改善义务教育办学条件，进一步提升教育教学办学质量</w:t>
            </w:r>
            <w:r>
              <w:tab/>
            </w:r>
          </w:p>
        </w:tc>
      </w:tr>
      <w:tr w14:paraId="1FE4C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4EF3B">
            <w:pPr>
              <w:pStyle w:val="10"/>
            </w:pPr>
            <w:r>
              <w:t>资金支出计划（%）</w:t>
            </w:r>
          </w:p>
        </w:tc>
        <w:tc>
          <w:tcPr>
            <w:tcW w:w="5103" w:type="dxa"/>
            <w:gridSpan w:val="2"/>
            <w:vAlign w:val="center"/>
          </w:tcPr>
          <w:p w14:paraId="43F43414">
            <w:pPr>
              <w:pStyle w:val="10"/>
            </w:pPr>
            <w:r>
              <w:t>3月底</w:t>
            </w:r>
          </w:p>
        </w:tc>
        <w:tc>
          <w:tcPr>
            <w:tcW w:w="2835" w:type="dxa"/>
            <w:vAlign w:val="center"/>
          </w:tcPr>
          <w:p w14:paraId="01102B76">
            <w:pPr>
              <w:pStyle w:val="10"/>
            </w:pPr>
            <w:r>
              <w:t>6月底</w:t>
            </w:r>
          </w:p>
        </w:tc>
        <w:tc>
          <w:tcPr>
            <w:tcW w:w="2551" w:type="dxa"/>
            <w:vAlign w:val="center"/>
          </w:tcPr>
          <w:p w14:paraId="514E8147">
            <w:pPr>
              <w:pStyle w:val="10"/>
            </w:pPr>
            <w:r>
              <w:t>10月底</w:t>
            </w:r>
          </w:p>
        </w:tc>
        <w:tc>
          <w:tcPr>
            <w:tcW w:w="3544" w:type="dxa"/>
            <w:gridSpan w:val="2"/>
            <w:vAlign w:val="center"/>
          </w:tcPr>
          <w:p w14:paraId="132B9F9B">
            <w:pPr>
              <w:pStyle w:val="10"/>
            </w:pPr>
            <w:r>
              <w:t>12月底</w:t>
            </w:r>
          </w:p>
        </w:tc>
      </w:tr>
      <w:tr w14:paraId="59D90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FFBFE"/>
        </w:tc>
        <w:tc>
          <w:tcPr>
            <w:tcW w:w="5103" w:type="dxa"/>
            <w:gridSpan w:val="2"/>
            <w:vAlign w:val="center"/>
          </w:tcPr>
          <w:p w14:paraId="41EB4E3D">
            <w:pPr>
              <w:pStyle w:val="13"/>
            </w:pPr>
            <w:r>
              <w:t xml:space="preserve"> </w:t>
            </w:r>
          </w:p>
        </w:tc>
        <w:tc>
          <w:tcPr>
            <w:tcW w:w="2835" w:type="dxa"/>
            <w:vAlign w:val="center"/>
          </w:tcPr>
          <w:p w14:paraId="2C8C2287">
            <w:pPr>
              <w:pStyle w:val="13"/>
            </w:pPr>
            <w:r>
              <w:t>100%</w:t>
            </w:r>
          </w:p>
        </w:tc>
        <w:tc>
          <w:tcPr>
            <w:tcW w:w="2551" w:type="dxa"/>
            <w:vAlign w:val="center"/>
          </w:tcPr>
          <w:p w14:paraId="605B02AC">
            <w:pPr>
              <w:pStyle w:val="13"/>
            </w:pPr>
            <w:r>
              <w:t>100%</w:t>
            </w:r>
          </w:p>
        </w:tc>
        <w:tc>
          <w:tcPr>
            <w:tcW w:w="3544" w:type="dxa"/>
            <w:gridSpan w:val="2"/>
            <w:vAlign w:val="center"/>
          </w:tcPr>
          <w:p w14:paraId="0A9E5D42">
            <w:pPr>
              <w:pStyle w:val="13"/>
            </w:pPr>
            <w:r>
              <w:t>100%</w:t>
            </w:r>
          </w:p>
        </w:tc>
      </w:tr>
      <w:tr w14:paraId="485DD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E1AEF">
            <w:pPr>
              <w:pStyle w:val="10"/>
            </w:pPr>
            <w:r>
              <w:t>绩效目标</w:t>
            </w:r>
          </w:p>
        </w:tc>
        <w:tc>
          <w:tcPr>
            <w:tcW w:w="14033" w:type="dxa"/>
            <w:gridSpan w:val="6"/>
            <w:vAlign w:val="center"/>
          </w:tcPr>
          <w:p w14:paraId="7080A1C4">
            <w:pPr>
              <w:pStyle w:val="12"/>
            </w:pPr>
            <w:r>
              <w:t>1.提升学校办学水平，改善办学条件，提升教育教学环境，给学生创造高标准、完善的学习和生活环境。</w:t>
            </w:r>
          </w:p>
        </w:tc>
      </w:tr>
    </w:tbl>
    <w:p w14:paraId="67A362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2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73B0D">
            <w:pPr>
              <w:pStyle w:val="10"/>
            </w:pPr>
            <w:r>
              <w:t>一级指标</w:t>
            </w:r>
          </w:p>
        </w:tc>
        <w:tc>
          <w:tcPr>
            <w:tcW w:w="2268" w:type="dxa"/>
            <w:vAlign w:val="center"/>
          </w:tcPr>
          <w:p w14:paraId="19075D15">
            <w:pPr>
              <w:pStyle w:val="10"/>
            </w:pPr>
            <w:r>
              <w:t>二级指标</w:t>
            </w:r>
          </w:p>
        </w:tc>
        <w:tc>
          <w:tcPr>
            <w:tcW w:w="2835" w:type="dxa"/>
            <w:vAlign w:val="center"/>
          </w:tcPr>
          <w:p w14:paraId="651E0411">
            <w:pPr>
              <w:pStyle w:val="10"/>
            </w:pPr>
            <w:r>
              <w:t>三级指标</w:t>
            </w:r>
          </w:p>
        </w:tc>
        <w:tc>
          <w:tcPr>
            <w:tcW w:w="5386" w:type="dxa"/>
            <w:vAlign w:val="center"/>
          </w:tcPr>
          <w:p w14:paraId="45A523E0">
            <w:pPr>
              <w:pStyle w:val="10"/>
            </w:pPr>
            <w:r>
              <w:t>绩效指标描述</w:t>
            </w:r>
          </w:p>
        </w:tc>
        <w:tc>
          <w:tcPr>
            <w:tcW w:w="2268" w:type="dxa"/>
            <w:vAlign w:val="center"/>
          </w:tcPr>
          <w:p w14:paraId="5A09434F">
            <w:pPr>
              <w:pStyle w:val="10"/>
            </w:pPr>
            <w:r>
              <w:t>指标值</w:t>
            </w:r>
          </w:p>
        </w:tc>
        <w:tc>
          <w:tcPr>
            <w:tcW w:w="1276" w:type="dxa"/>
            <w:vAlign w:val="center"/>
          </w:tcPr>
          <w:p w14:paraId="7ACB85AE">
            <w:pPr>
              <w:pStyle w:val="10"/>
            </w:pPr>
            <w:r>
              <w:t>指标值确定依据</w:t>
            </w:r>
          </w:p>
        </w:tc>
      </w:tr>
      <w:tr w14:paraId="7B25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B4E33">
            <w:pPr>
              <w:pStyle w:val="13"/>
            </w:pPr>
            <w:r>
              <w:t>产出指标</w:t>
            </w:r>
          </w:p>
        </w:tc>
        <w:tc>
          <w:tcPr>
            <w:tcW w:w="2268" w:type="dxa"/>
            <w:vAlign w:val="center"/>
          </w:tcPr>
          <w:p w14:paraId="1A5D880A">
            <w:pPr>
              <w:pStyle w:val="12"/>
            </w:pPr>
            <w:r>
              <w:t>数量指标</w:t>
            </w:r>
          </w:p>
        </w:tc>
        <w:tc>
          <w:tcPr>
            <w:tcW w:w="2835" w:type="dxa"/>
            <w:vAlign w:val="center"/>
          </w:tcPr>
          <w:p w14:paraId="7D27279D">
            <w:pPr>
              <w:pStyle w:val="12"/>
            </w:pPr>
            <w:r>
              <w:t>新建学生宿舍楼</w:t>
            </w:r>
          </w:p>
        </w:tc>
        <w:tc>
          <w:tcPr>
            <w:tcW w:w="5386" w:type="dxa"/>
            <w:vAlign w:val="center"/>
          </w:tcPr>
          <w:p w14:paraId="1EA638AE">
            <w:pPr>
              <w:pStyle w:val="12"/>
            </w:pPr>
            <w:r>
              <w:t>新建学生宿舍楼面积</w:t>
            </w:r>
          </w:p>
        </w:tc>
        <w:tc>
          <w:tcPr>
            <w:tcW w:w="2268" w:type="dxa"/>
            <w:vAlign w:val="center"/>
          </w:tcPr>
          <w:p w14:paraId="049AF853">
            <w:pPr>
              <w:pStyle w:val="12"/>
            </w:pPr>
            <w:r>
              <w:t>≥1700平方米</w:t>
            </w:r>
          </w:p>
        </w:tc>
        <w:tc>
          <w:tcPr>
            <w:tcW w:w="1276" w:type="dxa"/>
            <w:vAlign w:val="center"/>
          </w:tcPr>
          <w:p w14:paraId="1EB2045F">
            <w:pPr>
              <w:pStyle w:val="12"/>
            </w:pPr>
            <w:r>
              <w:t>项目规划</w:t>
            </w:r>
          </w:p>
        </w:tc>
      </w:tr>
      <w:tr w14:paraId="7788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3738C"/>
        </w:tc>
        <w:tc>
          <w:tcPr>
            <w:tcW w:w="2268" w:type="dxa"/>
            <w:vAlign w:val="center"/>
          </w:tcPr>
          <w:p w14:paraId="28A29D28">
            <w:pPr>
              <w:pStyle w:val="12"/>
            </w:pPr>
            <w:r>
              <w:t>质量指标</w:t>
            </w:r>
          </w:p>
        </w:tc>
        <w:tc>
          <w:tcPr>
            <w:tcW w:w="2835" w:type="dxa"/>
            <w:vAlign w:val="center"/>
          </w:tcPr>
          <w:p w14:paraId="181DBF3D">
            <w:pPr>
              <w:pStyle w:val="12"/>
            </w:pPr>
            <w:r>
              <w:t>工程实施验收合格率</w:t>
            </w:r>
          </w:p>
        </w:tc>
        <w:tc>
          <w:tcPr>
            <w:tcW w:w="5386" w:type="dxa"/>
            <w:vAlign w:val="center"/>
          </w:tcPr>
          <w:p w14:paraId="0EB4EFDB">
            <w:pPr>
              <w:pStyle w:val="12"/>
            </w:pPr>
            <w:r>
              <w:t>申报程序的合规，项目实施及资金使用符合项目规划</w:t>
            </w:r>
          </w:p>
        </w:tc>
        <w:tc>
          <w:tcPr>
            <w:tcW w:w="2268" w:type="dxa"/>
            <w:vAlign w:val="center"/>
          </w:tcPr>
          <w:p w14:paraId="3C5B21F5">
            <w:pPr>
              <w:pStyle w:val="12"/>
            </w:pPr>
            <w:r>
              <w:t>≥98%</w:t>
            </w:r>
          </w:p>
        </w:tc>
        <w:tc>
          <w:tcPr>
            <w:tcW w:w="1276" w:type="dxa"/>
            <w:vAlign w:val="center"/>
          </w:tcPr>
          <w:p w14:paraId="1D3C4A5C">
            <w:pPr>
              <w:pStyle w:val="12"/>
            </w:pPr>
            <w:r>
              <w:t>项目规划</w:t>
            </w:r>
          </w:p>
        </w:tc>
      </w:tr>
      <w:tr w14:paraId="3171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3A568"/>
        </w:tc>
        <w:tc>
          <w:tcPr>
            <w:tcW w:w="2268" w:type="dxa"/>
            <w:vAlign w:val="center"/>
          </w:tcPr>
          <w:p w14:paraId="08C0FAD9">
            <w:pPr>
              <w:pStyle w:val="12"/>
            </w:pPr>
            <w:r>
              <w:t>时效指标</w:t>
            </w:r>
          </w:p>
        </w:tc>
        <w:tc>
          <w:tcPr>
            <w:tcW w:w="2835" w:type="dxa"/>
            <w:vAlign w:val="center"/>
          </w:tcPr>
          <w:p w14:paraId="21425B42">
            <w:pPr>
              <w:pStyle w:val="12"/>
            </w:pPr>
            <w:r>
              <w:t>项目资金支付完成率</w:t>
            </w:r>
          </w:p>
        </w:tc>
        <w:tc>
          <w:tcPr>
            <w:tcW w:w="5386" w:type="dxa"/>
            <w:vAlign w:val="center"/>
          </w:tcPr>
          <w:p w14:paraId="501B5E3B">
            <w:pPr>
              <w:pStyle w:val="12"/>
            </w:pPr>
            <w:r>
              <w:t>按照序时进度完成资金支付</w:t>
            </w:r>
          </w:p>
        </w:tc>
        <w:tc>
          <w:tcPr>
            <w:tcW w:w="2268" w:type="dxa"/>
            <w:vAlign w:val="center"/>
          </w:tcPr>
          <w:p w14:paraId="6A156541">
            <w:pPr>
              <w:pStyle w:val="12"/>
            </w:pPr>
            <w:r>
              <w:t>≥98%</w:t>
            </w:r>
          </w:p>
        </w:tc>
        <w:tc>
          <w:tcPr>
            <w:tcW w:w="1276" w:type="dxa"/>
            <w:vAlign w:val="center"/>
          </w:tcPr>
          <w:p w14:paraId="006C4D5B">
            <w:pPr>
              <w:pStyle w:val="12"/>
            </w:pPr>
            <w:r>
              <w:t>项目规划</w:t>
            </w:r>
          </w:p>
        </w:tc>
      </w:tr>
      <w:tr w14:paraId="220D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4B750"/>
        </w:tc>
        <w:tc>
          <w:tcPr>
            <w:tcW w:w="2268" w:type="dxa"/>
            <w:vAlign w:val="center"/>
          </w:tcPr>
          <w:p w14:paraId="41E0F63E">
            <w:pPr>
              <w:pStyle w:val="12"/>
            </w:pPr>
            <w:r>
              <w:t>成本指标</w:t>
            </w:r>
          </w:p>
        </w:tc>
        <w:tc>
          <w:tcPr>
            <w:tcW w:w="2835" w:type="dxa"/>
            <w:vAlign w:val="center"/>
          </w:tcPr>
          <w:p w14:paraId="0B1B1506">
            <w:pPr>
              <w:pStyle w:val="12"/>
            </w:pPr>
            <w:r>
              <w:t>项目成本控制情况</w:t>
            </w:r>
          </w:p>
        </w:tc>
        <w:tc>
          <w:tcPr>
            <w:tcW w:w="5386" w:type="dxa"/>
            <w:vAlign w:val="center"/>
          </w:tcPr>
          <w:p w14:paraId="483F90CB">
            <w:pPr>
              <w:pStyle w:val="12"/>
            </w:pPr>
            <w:r>
              <w:t>严格按照招标价格及审计额进行</w:t>
            </w:r>
          </w:p>
        </w:tc>
        <w:tc>
          <w:tcPr>
            <w:tcW w:w="2268" w:type="dxa"/>
            <w:vAlign w:val="center"/>
          </w:tcPr>
          <w:p w14:paraId="7EB7619C">
            <w:pPr>
              <w:pStyle w:val="12"/>
            </w:pPr>
            <w:r>
              <w:t>≥98%</w:t>
            </w:r>
          </w:p>
        </w:tc>
        <w:tc>
          <w:tcPr>
            <w:tcW w:w="1276" w:type="dxa"/>
            <w:vAlign w:val="center"/>
          </w:tcPr>
          <w:p w14:paraId="640DFA20">
            <w:pPr>
              <w:pStyle w:val="12"/>
            </w:pPr>
            <w:r>
              <w:t>项目规划</w:t>
            </w:r>
          </w:p>
        </w:tc>
      </w:tr>
      <w:tr w14:paraId="0696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EBAB7">
            <w:pPr>
              <w:pStyle w:val="13"/>
            </w:pPr>
            <w:r>
              <w:t>效益指标</w:t>
            </w:r>
          </w:p>
        </w:tc>
        <w:tc>
          <w:tcPr>
            <w:tcW w:w="2268" w:type="dxa"/>
            <w:vAlign w:val="center"/>
          </w:tcPr>
          <w:p w14:paraId="3498E321">
            <w:pPr>
              <w:pStyle w:val="12"/>
            </w:pPr>
            <w:r>
              <w:t>可持续影响指标</w:t>
            </w:r>
          </w:p>
        </w:tc>
        <w:tc>
          <w:tcPr>
            <w:tcW w:w="2835" w:type="dxa"/>
            <w:vAlign w:val="center"/>
          </w:tcPr>
          <w:p w14:paraId="12DE01DA">
            <w:pPr>
              <w:pStyle w:val="12"/>
            </w:pPr>
            <w:r>
              <w:t>学校运转得到提高</w:t>
            </w:r>
          </w:p>
        </w:tc>
        <w:tc>
          <w:tcPr>
            <w:tcW w:w="5386" w:type="dxa"/>
            <w:vAlign w:val="center"/>
          </w:tcPr>
          <w:p w14:paraId="4C8C5ACE">
            <w:pPr>
              <w:pStyle w:val="12"/>
            </w:pPr>
            <w:r>
              <w:t>学生受教育年限</w:t>
            </w:r>
          </w:p>
        </w:tc>
        <w:tc>
          <w:tcPr>
            <w:tcW w:w="2268" w:type="dxa"/>
            <w:vAlign w:val="center"/>
          </w:tcPr>
          <w:p w14:paraId="0C9E7DC1">
            <w:pPr>
              <w:pStyle w:val="12"/>
            </w:pPr>
            <w:r>
              <w:t>3年</w:t>
            </w:r>
          </w:p>
        </w:tc>
        <w:tc>
          <w:tcPr>
            <w:tcW w:w="1276" w:type="dxa"/>
            <w:vAlign w:val="center"/>
          </w:tcPr>
          <w:p w14:paraId="591DBBC8">
            <w:pPr>
              <w:pStyle w:val="12"/>
            </w:pPr>
            <w:r>
              <w:t>项目规划</w:t>
            </w:r>
          </w:p>
        </w:tc>
      </w:tr>
      <w:tr w14:paraId="0F5D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968C4">
            <w:pPr>
              <w:pStyle w:val="13"/>
            </w:pPr>
            <w:r>
              <w:t>满意度指标</w:t>
            </w:r>
          </w:p>
        </w:tc>
        <w:tc>
          <w:tcPr>
            <w:tcW w:w="2268" w:type="dxa"/>
            <w:vAlign w:val="center"/>
          </w:tcPr>
          <w:p w14:paraId="31D9009A">
            <w:pPr>
              <w:pStyle w:val="12"/>
            </w:pPr>
            <w:r>
              <w:t>服务对象满意度指标</w:t>
            </w:r>
          </w:p>
        </w:tc>
        <w:tc>
          <w:tcPr>
            <w:tcW w:w="2835" w:type="dxa"/>
            <w:vAlign w:val="center"/>
          </w:tcPr>
          <w:p w14:paraId="7AB34876">
            <w:pPr>
              <w:pStyle w:val="12"/>
            </w:pPr>
            <w:r>
              <w:t>服务对象满意度</w:t>
            </w:r>
          </w:p>
        </w:tc>
        <w:tc>
          <w:tcPr>
            <w:tcW w:w="5386" w:type="dxa"/>
            <w:vAlign w:val="center"/>
          </w:tcPr>
          <w:p w14:paraId="5D3D5CE3">
            <w:pPr>
              <w:pStyle w:val="12"/>
            </w:pPr>
            <w:r>
              <w:t>学校老师和学生对学校教育教学工作满意度</w:t>
            </w:r>
          </w:p>
        </w:tc>
        <w:tc>
          <w:tcPr>
            <w:tcW w:w="2268" w:type="dxa"/>
            <w:vAlign w:val="center"/>
          </w:tcPr>
          <w:p w14:paraId="04C057A5">
            <w:pPr>
              <w:pStyle w:val="12"/>
            </w:pPr>
            <w:r>
              <w:t>≥95%</w:t>
            </w:r>
          </w:p>
        </w:tc>
        <w:tc>
          <w:tcPr>
            <w:tcW w:w="1276" w:type="dxa"/>
            <w:vAlign w:val="center"/>
          </w:tcPr>
          <w:p w14:paraId="42E345F0">
            <w:pPr>
              <w:pStyle w:val="12"/>
            </w:pPr>
            <w:r>
              <w:t>问卷调查</w:t>
            </w:r>
          </w:p>
        </w:tc>
      </w:tr>
    </w:tbl>
    <w:p w14:paraId="0E0ADF7F">
      <w:pPr>
        <w:sectPr>
          <w:pgSz w:w="16840" w:h="11900" w:orient="landscape"/>
          <w:pgMar w:top="1361" w:right="1020" w:bottom="1134" w:left="1020" w:header="720" w:footer="720" w:gutter="0"/>
          <w:cols w:space="720" w:num="1"/>
        </w:sectPr>
      </w:pPr>
    </w:p>
    <w:p w14:paraId="200B5DEC">
      <w:pPr>
        <w:spacing w:before="0" w:after="0"/>
        <w:ind w:firstLine="560"/>
        <w:jc w:val="left"/>
        <w:outlineLvl w:val="9"/>
      </w:pPr>
      <w:r>
        <w:rPr>
          <w:rFonts w:ascii="方正仿宋_GBK" w:hAnsi="方正仿宋_GBK" w:eastAsia="方正仿宋_GBK" w:cs="方正仿宋_GBK"/>
          <w:b/>
          <w:color w:val="000000"/>
          <w:sz w:val="28"/>
        </w:rPr>
        <w:t>2、冀财教[2025]121号/中央/2026年义教补助经费/大张庄中学公用经费绩效目标表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8D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D1A66">
            <w:pPr>
              <w:pStyle w:val="11"/>
            </w:pPr>
            <w:r>
              <w:t>单位：万元</w:t>
            </w:r>
          </w:p>
        </w:tc>
      </w:tr>
      <w:tr w14:paraId="3526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E42E1">
            <w:pPr>
              <w:pStyle w:val="10"/>
            </w:pPr>
            <w:r>
              <w:t>项目编码</w:t>
            </w:r>
          </w:p>
        </w:tc>
        <w:tc>
          <w:tcPr>
            <w:tcW w:w="5103" w:type="dxa"/>
            <w:gridSpan w:val="2"/>
            <w:vAlign w:val="center"/>
          </w:tcPr>
          <w:p w14:paraId="113BD504">
            <w:pPr>
              <w:pStyle w:val="12"/>
            </w:pPr>
            <w:r>
              <w:t>13052526P00000410255E</w:t>
            </w:r>
          </w:p>
        </w:tc>
        <w:tc>
          <w:tcPr>
            <w:tcW w:w="2835" w:type="dxa"/>
            <w:vAlign w:val="center"/>
          </w:tcPr>
          <w:p w14:paraId="02BEC7E7">
            <w:pPr>
              <w:pStyle w:val="10"/>
            </w:pPr>
            <w:r>
              <w:t>项目名称</w:t>
            </w:r>
          </w:p>
        </w:tc>
        <w:tc>
          <w:tcPr>
            <w:tcW w:w="6095" w:type="dxa"/>
            <w:gridSpan w:val="3"/>
            <w:vAlign w:val="center"/>
          </w:tcPr>
          <w:p w14:paraId="1F99FCC8">
            <w:pPr>
              <w:pStyle w:val="12"/>
            </w:pPr>
            <w:r>
              <w:t>冀财教[2025]121号/中央/2026年义教补助经费/大张庄中学公用经费</w:t>
            </w:r>
          </w:p>
        </w:tc>
      </w:tr>
      <w:tr w14:paraId="39C15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1EEB7">
            <w:pPr>
              <w:pStyle w:val="10"/>
            </w:pPr>
            <w:r>
              <w:t>预算规模及资金用途</w:t>
            </w:r>
          </w:p>
        </w:tc>
        <w:tc>
          <w:tcPr>
            <w:tcW w:w="2268" w:type="dxa"/>
            <w:vAlign w:val="center"/>
          </w:tcPr>
          <w:p w14:paraId="61609B4B">
            <w:pPr>
              <w:pStyle w:val="10"/>
            </w:pPr>
            <w:r>
              <w:t>预算数</w:t>
            </w:r>
          </w:p>
        </w:tc>
        <w:tc>
          <w:tcPr>
            <w:tcW w:w="2835" w:type="dxa"/>
            <w:vAlign w:val="center"/>
          </w:tcPr>
          <w:p w14:paraId="056A9952">
            <w:pPr>
              <w:pStyle w:val="12"/>
            </w:pPr>
            <w:r>
              <w:t>30.02</w:t>
            </w:r>
          </w:p>
        </w:tc>
        <w:tc>
          <w:tcPr>
            <w:tcW w:w="2835" w:type="dxa"/>
            <w:vAlign w:val="center"/>
          </w:tcPr>
          <w:p w14:paraId="6E260E47">
            <w:pPr>
              <w:pStyle w:val="10"/>
            </w:pPr>
            <w:r>
              <w:t>其中：财政    资金</w:t>
            </w:r>
          </w:p>
        </w:tc>
        <w:tc>
          <w:tcPr>
            <w:tcW w:w="2551" w:type="dxa"/>
            <w:vAlign w:val="center"/>
          </w:tcPr>
          <w:p w14:paraId="0E21BAFD">
            <w:pPr>
              <w:pStyle w:val="12"/>
            </w:pPr>
            <w:r>
              <w:t>30.02</w:t>
            </w:r>
          </w:p>
        </w:tc>
        <w:tc>
          <w:tcPr>
            <w:tcW w:w="2268" w:type="dxa"/>
            <w:vAlign w:val="center"/>
          </w:tcPr>
          <w:p w14:paraId="00D4150B">
            <w:pPr>
              <w:pStyle w:val="10"/>
            </w:pPr>
            <w:r>
              <w:t>其他资金</w:t>
            </w:r>
          </w:p>
        </w:tc>
        <w:tc>
          <w:tcPr>
            <w:tcW w:w="1276" w:type="dxa"/>
            <w:vAlign w:val="center"/>
          </w:tcPr>
          <w:p w14:paraId="132509E9">
            <w:pPr>
              <w:pStyle w:val="12"/>
            </w:pPr>
            <w:r>
              <w:t xml:space="preserve"> </w:t>
            </w:r>
          </w:p>
        </w:tc>
      </w:tr>
      <w:tr w14:paraId="01682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8BD23"/>
        </w:tc>
        <w:tc>
          <w:tcPr>
            <w:tcW w:w="14033" w:type="dxa"/>
            <w:gridSpan w:val="6"/>
            <w:vAlign w:val="center"/>
          </w:tcPr>
          <w:p w14:paraId="4437B5BC">
            <w:pPr>
              <w:pStyle w:val="12"/>
            </w:pPr>
            <w:r>
              <w:t>保障义务教育学校正常运转，完成教育教学活动和其他日常工作任务等方面的费用支出。</w:t>
            </w:r>
          </w:p>
        </w:tc>
      </w:tr>
      <w:tr w14:paraId="48CF0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A9ADC">
            <w:pPr>
              <w:pStyle w:val="10"/>
            </w:pPr>
            <w:r>
              <w:t>资金支出计划（%）</w:t>
            </w:r>
          </w:p>
        </w:tc>
        <w:tc>
          <w:tcPr>
            <w:tcW w:w="5103" w:type="dxa"/>
            <w:gridSpan w:val="2"/>
            <w:vAlign w:val="center"/>
          </w:tcPr>
          <w:p w14:paraId="79CF2FF0">
            <w:pPr>
              <w:pStyle w:val="10"/>
            </w:pPr>
            <w:r>
              <w:t>3月底</w:t>
            </w:r>
          </w:p>
        </w:tc>
        <w:tc>
          <w:tcPr>
            <w:tcW w:w="2835" w:type="dxa"/>
            <w:vAlign w:val="center"/>
          </w:tcPr>
          <w:p w14:paraId="3FED8957">
            <w:pPr>
              <w:pStyle w:val="10"/>
            </w:pPr>
            <w:r>
              <w:t>6月底</w:t>
            </w:r>
          </w:p>
        </w:tc>
        <w:tc>
          <w:tcPr>
            <w:tcW w:w="2551" w:type="dxa"/>
            <w:vAlign w:val="center"/>
          </w:tcPr>
          <w:p w14:paraId="1D45BDDD">
            <w:pPr>
              <w:pStyle w:val="10"/>
            </w:pPr>
            <w:r>
              <w:t>10月底</w:t>
            </w:r>
          </w:p>
        </w:tc>
        <w:tc>
          <w:tcPr>
            <w:tcW w:w="3544" w:type="dxa"/>
            <w:gridSpan w:val="2"/>
            <w:vAlign w:val="center"/>
          </w:tcPr>
          <w:p w14:paraId="41F1C446">
            <w:pPr>
              <w:pStyle w:val="10"/>
            </w:pPr>
            <w:r>
              <w:t>12月底</w:t>
            </w:r>
          </w:p>
        </w:tc>
      </w:tr>
      <w:tr w14:paraId="24378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688BD"/>
        </w:tc>
        <w:tc>
          <w:tcPr>
            <w:tcW w:w="5103" w:type="dxa"/>
            <w:gridSpan w:val="2"/>
            <w:vAlign w:val="center"/>
          </w:tcPr>
          <w:p w14:paraId="439C9F89">
            <w:pPr>
              <w:pStyle w:val="13"/>
            </w:pPr>
            <w:r>
              <w:t>25%</w:t>
            </w:r>
          </w:p>
        </w:tc>
        <w:tc>
          <w:tcPr>
            <w:tcW w:w="2835" w:type="dxa"/>
            <w:vAlign w:val="center"/>
          </w:tcPr>
          <w:p w14:paraId="3124ED90">
            <w:pPr>
              <w:pStyle w:val="13"/>
            </w:pPr>
            <w:r>
              <w:t>50%</w:t>
            </w:r>
          </w:p>
        </w:tc>
        <w:tc>
          <w:tcPr>
            <w:tcW w:w="2551" w:type="dxa"/>
            <w:vAlign w:val="center"/>
          </w:tcPr>
          <w:p w14:paraId="4CACE7AB">
            <w:pPr>
              <w:pStyle w:val="13"/>
            </w:pPr>
            <w:r>
              <w:t>75%</w:t>
            </w:r>
          </w:p>
        </w:tc>
        <w:tc>
          <w:tcPr>
            <w:tcW w:w="3544" w:type="dxa"/>
            <w:gridSpan w:val="2"/>
            <w:vAlign w:val="center"/>
          </w:tcPr>
          <w:p w14:paraId="0C676B20">
            <w:pPr>
              <w:pStyle w:val="13"/>
            </w:pPr>
            <w:r>
              <w:t>100%</w:t>
            </w:r>
          </w:p>
        </w:tc>
      </w:tr>
      <w:tr w14:paraId="56F74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D2DD3">
            <w:pPr>
              <w:pStyle w:val="10"/>
            </w:pPr>
            <w:r>
              <w:t>绩效目标</w:t>
            </w:r>
          </w:p>
        </w:tc>
        <w:tc>
          <w:tcPr>
            <w:tcW w:w="14033" w:type="dxa"/>
            <w:gridSpan w:val="6"/>
            <w:vAlign w:val="center"/>
          </w:tcPr>
          <w:p w14:paraId="6557A234">
            <w:pPr>
              <w:pStyle w:val="12"/>
            </w:pPr>
            <w:r>
              <w:t>1.保障义务教育学校正常运转，完成教育教学活动和其他日常工作任务等方面的费用支出。</w:t>
            </w:r>
          </w:p>
        </w:tc>
      </w:tr>
    </w:tbl>
    <w:p w14:paraId="3DC3C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1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D0F0C">
            <w:pPr>
              <w:pStyle w:val="10"/>
            </w:pPr>
            <w:r>
              <w:t>一级指标</w:t>
            </w:r>
          </w:p>
        </w:tc>
        <w:tc>
          <w:tcPr>
            <w:tcW w:w="2268" w:type="dxa"/>
            <w:vAlign w:val="center"/>
          </w:tcPr>
          <w:p w14:paraId="2E1DBDD2">
            <w:pPr>
              <w:pStyle w:val="10"/>
            </w:pPr>
            <w:r>
              <w:t>二级指标</w:t>
            </w:r>
          </w:p>
        </w:tc>
        <w:tc>
          <w:tcPr>
            <w:tcW w:w="2835" w:type="dxa"/>
            <w:vAlign w:val="center"/>
          </w:tcPr>
          <w:p w14:paraId="5829B363">
            <w:pPr>
              <w:pStyle w:val="10"/>
            </w:pPr>
            <w:r>
              <w:t>三级指标</w:t>
            </w:r>
          </w:p>
        </w:tc>
        <w:tc>
          <w:tcPr>
            <w:tcW w:w="5386" w:type="dxa"/>
            <w:vAlign w:val="center"/>
          </w:tcPr>
          <w:p w14:paraId="72B3C5A0">
            <w:pPr>
              <w:pStyle w:val="10"/>
            </w:pPr>
            <w:r>
              <w:t>绩效指标描述</w:t>
            </w:r>
          </w:p>
        </w:tc>
        <w:tc>
          <w:tcPr>
            <w:tcW w:w="2268" w:type="dxa"/>
            <w:vAlign w:val="center"/>
          </w:tcPr>
          <w:p w14:paraId="37480503">
            <w:pPr>
              <w:pStyle w:val="10"/>
            </w:pPr>
            <w:r>
              <w:t>指标值</w:t>
            </w:r>
          </w:p>
        </w:tc>
        <w:tc>
          <w:tcPr>
            <w:tcW w:w="1276" w:type="dxa"/>
            <w:vAlign w:val="center"/>
          </w:tcPr>
          <w:p w14:paraId="11E13082">
            <w:pPr>
              <w:pStyle w:val="10"/>
            </w:pPr>
            <w:r>
              <w:t>指标值确定依据</w:t>
            </w:r>
          </w:p>
        </w:tc>
      </w:tr>
      <w:tr w14:paraId="681F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F9213">
            <w:pPr>
              <w:pStyle w:val="13"/>
            </w:pPr>
            <w:r>
              <w:t>产出指标</w:t>
            </w:r>
          </w:p>
        </w:tc>
        <w:tc>
          <w:tcPr>
            <w:tcW w:w="2268" w:type="dxa"/>
            <w:vAlign w:val="center"/>
          </w:tcPr>
          <w:p w14:paraId="25D4D36A">
            <w:pPr>
              <w:pStyle w:val="12"/>
            </w:pPr>
            <w:r>
              <w:t>成本指标</w:t>
            </w:r>
          </w:p>
        </w:tc>
        <w:tc>
          <w:tcPr>
            <w:tcW w:w="2835" w:type="dxa"/>
            <w:vAlign w:val="center"/>
          </w:tcPr>
          <w:p w14:paraId="1466A1B8">
            <w:pPr>
              <w:pStyle w:val="12"/>
            </w:pPr>
            <w:r>
              <w:t>生均拨款标准</w:t>
            </w:r>
          </w:p>
        </w:tc>
        <w:tc>
          <w:tcPr>
            <w:tcW w:w="5386" w:type="dxa"/>
            <w:vAlign w:val="center"/>
          </w:tcPr>
          <w:p w14:paraId="2768FF0D">
            <w:pPr>
              <w:pStyle w:val="12"/>
            </w:pPr>
            <w:r>
              <w:t>初中生公用经费生均940元。取暖费120元/生/年，寄宿生均300元。</w:t>
            </w:r>
          </w:p>
        </w:tc>
        <w:tc>
          <w:tcPr>
            <w:tcW w:w="2268" w:type="dxa"/>
            <w:vAlign w:val="center"/>
          </w:tcPr>
          <w:p w14:paraId="42CB01A1">
            <w:pPr>
              <w:pStyle w:val="12"/>
            </w:pPr>
            <w:r>
              <w:t>1360元</w:t>
            </w:r>
          </w:p>
        </w:tc>
        <w:tc>
          <w:tcPr>
            <w:tcW w:w="1276" w:type="dxa"/>
            <w:vAlign w:val="center"/>
          </w:tcPr>
          <w:p w14:paraId="61839FCF">
            <w:pPr>
              <w:pStyle w:val="12"/>
            </w:pPr>
            <w:r>
              <w:t>城乡义务教育公用经费管理办法</w:t>
            </w:r>
          </w:p>
        </w:tc>
      </w:tr>
      <w:tr w14:paraId="55CC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B2097"/>
        </w:tc>
        <w:tc>
          <w:tcPr>
            <w:tcW w:w="2268" w:type="dxa"/>
            <w:vAlign w:val="center"/>
          </w:tcPr>
          <w:p w14:paraId="677C1CCE">
            <w:pPr>
              <w:pStyle w:val="12"/>
            </w:pPr>
            <w:r>
              <w:t>数量指标</w:t>
            </w:r>
          </w:p>
        </w:tc>
        <w:tc>
          <w:tcPr>
            <w:tcW w:w="2835" w:type="dxa"/>
            <w:vAlign w:val="center"/>
          </w:tcPr>
          <w:p w14:paraId="45ABC069">
            <w:pPr>
              <w:pStyle w:val="12"/>
            </w:pPr>
            <w:r>
              <w:t>就读学生数</w:t>
            </w:r>
          </w:p>
        </w:tc>
        <w:tc>
          <w:tcPr>
            <w:tcW w:w="5386" w:type="dxa"/>
            <w:vAlign w:val="center"/>
          </w:tcPr>
          <w:p w14:paraId="45F39170">
            <w:pPr>
              <w:pStyle w:val="12"/>
            </w:pPr>
            <w:r>
              <w:t>辐射区域内适龄学生人数</w:t>
            </w:r>
          </w:p>
        </w:tc>
        <w:tc>
          <w:tcPr>
            <w:tcW w:w="2268" w:type="dxa"/>
            <w:vAlign w:val="center"/>
          </w:tcPr>
          <w:p w14:paraId="76D4F484">
            <w:pPr>
              <w:pStyle w:val="12"/>
            </w:pPr>
            <w:r>
              <w:t>300人</w:t>
            </w:r>
          </w:p>
        </w:tc>
        <w:tc>
          <w:tcPr>
            <w:tcW w:w="1276" w:type="dxa"/>
            <w:vAlign w:val="center"/>
          </w:tcPr>
          <w:p w14:paraId="57D49C1F">
            <w:pPr>
              <w:pStyle w:val="12"/>
            </w:pPr>
            <w:r>
              <w:t>城乡义务教育公用经费管理办法</w:t>
            </w:r>
          </w:p>
        </w:tc>
      </w:tr>
      <w:tr w14:paraId="0A13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9E341"/>
        </w:tc>
        <w:tc>
          <w:tcPr>
            <w:tcW w:w="2268" w:type="dxa"/>
            <w:vAlign w:val="center"/>
          </w:tcPr>
          <w:p w14:paraId="13D2094C">
            <w:pPr>
              <w:pStyle w:val="12"/>
            </w:pPr>
            <w:r>
              <w:t>质量指标</w:t>
            </w:r>
          </w:p>
        </w:tc>
        <w:tc>
          <w:tcPr>
            <w:tcW w:w="2835" w:type="dxa"/>
            <w:vAlign w:val="center"/>
          </w:tcPr>
          <w:p w14:paraId="6E484E68">
            <w:pPr>
              <w:pStyle w:val="12"/>
            </w:pPr>
            <w:r>
              <w:t>预算执行率</w:t>
            </w:r>
          </w:p>
        </w:tc>
        <w:tc>
          <w:tcPr>
            <w:tcW w:w="5386" w:type="dxa"/>
            <w:vAlign w:val="center"/>
          </w:tcPr>
          <w:p w14:paraId="53BCF75F">
            <w:pPr>
              <w:pStyle w:val="12"/>
            </w:pPr>
            <w:r>
              <w:t>预算执行率大于等于98%</w:t>
            </w:r>
          </w:p>
        </w:tc>
        <w:tc>
          <w:tcPr>
            <w:tcW w:w="2268" w:type="dxa"/>
            <w:vAlign w:val="center"/>
          </w:tcPr>
          <w:p w14:paraId="0E9AB88B">
            <w:pPr>
              <w:pStyle w:val="12"/>
            </w:pPr>
            <w:r>
              <w:t>≥98%</w:t>
            </w:r>
          </w:p>
        </w:tc>
        <w:tc>
          <w:tcPr>
            <w:tcW w:w="1276" w:type="dxa"/>
            <w:vAlign w:val="center"/>
          </w:tcPr>
          <w:p w14:paraId="4A9CBBCD">
            <w:pPr>
              <w:pStyle w:val="12"/>
            </w:pPr>
            <w:r>
              <w:t>城乡义务教育公用经费管理办法</w:t>
            </w:r>
          </w:p>
        </w:tc>
      </w:tr>
      <w:tr w14:paraId="03DA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8104E"/>
        </w:tc>
        <w:tc>
          <w:tcPr>
            <w:tcW w:w="2268" w:type="dxa"/>
            <w:vAlign w:val="center"/>
          </w:tcPr>
          <w:p w14:paraId="2140DBC3">
            <w:pPr>
              <w:pStyle w:val="12"/>
            </w:pPr>
            <w:r>
              <w:t>时效指标</w:t>
            </w:r>
          </w:p>
        </w:tc>
        <w:tc>
          <w:tcPr>
            <w:tcW w:w="2835" w:type="dxa"/>
            <w:vAlign w:val="center"/>
          </w:tcPr>
          <w:p w14:paraId="5AA81AE2">
            <w:pPr>
              <w:pStyle w:val="12"/>
            </w:pPr>
            <w:r>
              <w:t>义教经费支付完成率</w:t>
            </w:r>
          </w:p>
        </w:tc>
        <w:tc>
          <w:tcPr>
            <w:tcW w:w="5386" w:type="dxa"/>
            <w:vAlign w:val="center"/>
          </w:tcPr>
          <w:p w14:paraId="28115549">
            <w:pPr>
              <w:pStyle w:val="12"/>
            </w:pPr>
            <w:r>
              <w:t>按照序时进度完成资金支付</w:t>
            </w:r>
          </w:p>
        </w:tc>
        <w:tc>
          <w:tcPr>
            <w:tcW w:w="2268" w:type="dxa"/>
            <w:vAlign w:val="center"/>
          </w:tcPr>
          <w:p w14:paraId="15F6FDAD">
            <w:pPr>
              <w:pStyle w:val="12"/>
            </w:pPr>
            <w:r>
              <w:t>≥98%</w:t>
            </w:r>
          </w:p>
        </w:tc>
        <w:tc>
          <w:tcPr>
            <w:tcW w:w="1276" w:type="dxa"/>
            <w:vAlign w:val="center"/>
          </w:tcPr>
          <w:p w14:paraId="2059702B">
            <w:pPr>
              <w:pStyle w:val="12"/>
            </w:pPr>
            <w:r>
              <w:t>城乡义务教育公用经费管理办法</w:t>
            </w:r>
          </w:p>
        </w:tc>
      </w:tr>
      <w:tr w14:paraId="3612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B4149">
            <w:pPr>
              <w:pStyle w:val="13"/>
            </w:pPr>
            <w:r>
              <w:t>效益指标</w:t>
            </w:r>
          </w:p>
        </w:tc>
        <w:tc>
          <w:tcPr>
            <w:tcW w:w="2268" w:type="dxa"/>
            <w:vAlign w:val="center"/>
          </w:tcPr>
          <w:p w14:paraId="5CBA9D93">
            <w:pPr>
              <w:pStyle w:val="12"/>
            </w:pPr>
            <w:r>
              <w:t>社会效益指标</w:t>
            </w:r>
          </w:p>
        </w:tc>
        <w:tc>
          <w:tcPr>
            <w:tcW w:w="2835" w:type="dxa"/>
            <w:vAlign w:val="center"/>
          </w:tcPr>
          <w:p w14:paraId="49BCB79A">
            <w:pPr>
              <w:pStyle w:val="12"/>
            </w:pPr>
            <w:r>
              <w:t>学校运转得到提高</w:t>
            </w:r>
          </w:p>
        </w:tc>
        <w:tc>
          <w:tcPr>
            <w:tcW w:w="5386" w:type="dxa"/>
            <w:vAlign w:val="center"/>
          </w:tcPr>
          <w:p w14:paraId="7E9653DC">
            <w:pPr>
              <w:pStyle w:val="12"/>
            </w:pPr>
            <w:r>
              <w:t>学生受教育年限</w:t>
            </w:r>
          </w:p>
        </w:tc>
        <w:tc>
          <w:tcPr>
            <w:tcW w:w="2268" w:type="dxa"/>
            <w:vAlign w:val="center"/>
          </w:tcPr>
          <w:p w14:paraId="359D9EF7">
            <w:pPr>
              <w:pStyle w:val="12"/>
            </w:pPr>
            <w:r>
              <w:t>3年</w:t>
            </w:r>
          </w:p>
        </w:tc>
        <w:tc>
          <w:tcPr>
            <w:tcW w:w="1276" w:type="dxa"/>
            <w:vAlign w:val="center"/>
          </w:tcPr>
          <w:p w14:paraId="1CC11F12">
            <w:pPr>
              <w:pStyle w:val="12"/>
            </w:pPr>
            <w:r>
              <w:t>城乡义务教育公用经费管理办法</w:t>
            </w:r>
          </w:p>
        </w:tc>
      </w:tr>
      <w:tr w14:paraId="0509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CB012">
            <w:pPr>
              <w:pStyle w:val="13"/>
            </w:pPr>
            <w:r>
              <w:t>满意度指标</w:t>
            </w:r>
          </w:p>
        </w:tc>
        <w:tc>
          <w:tcPr>
            <w:tcW w:w="2268" w:type="dxa"/>
            <w:vAlign w:val="center"/>
          </w:tcPr>
          <w:p w14:paraId="29DEB1A0">
            <w:pPr>
              <w:pStyle w:val="12"/>
            </w:pPr>
            <w:r>
              <w:t>服务对象满意度指标</w:t>
            </w:r>
          </w:p>
        </w:tc>
        <w:tc>
          <w:tcPr>
            <w:tcW w:w="2835" w:type="dxa"/>
            <w:vAlign w:val="center"/>
          </w:tcPr>
          <w:p w14:paraId="5E5451E3">
            <w:pPr>
              <w:pStyle w:val="12"/>
            </w:pPr>
            <w:r>
              <w:t>服务对象满意度</w:t>
            </w:r>
          </w:p>
        </w:tc>
        <w:tc>
          <w:tcPr>
            <w:tcW w:w="5386" w:type="dxa"/>
            <w:vAlign w:val="center"/>
          </w:tcPr>
          <w:p w14:paraId="265E8C62">
            <w:pPr>
              <w:pStyle w:val="12"/>
            </w:pPr>
            <w:r>
              <w:t>学校老师和学生满意度</w:t>
            </w:r>
          </w:p>
        </w:tc>
        <w:tc>
          <w:tcPr>
            <w:tcW w:w="2268" w:type="dxa"/>
            <w:vAlign w:val="center"/>
          </w:tcPr>
          <w:p w14:paraId="1D3FFEFF">
            <w:pPr>
              <w:pStyle w:val="12"/>
            </w:pPr>
            <w:r>
              <w:t>≥95%</w:t>
            </w:r>
          </w:p>
        </w:tc>
        <w:tc>
          <w:tcPr>
            <w:tcW w:w="1276" w:type="dxa"/>
            <w:vAlign w:val="center"/>
          </w:tcPr>
          <w:p w14:paraId="2EBE1719">
            <w:pPr>
              <w:pStyle w:val="12"/>
            </w:pPr>
            <w:r>
              <w:t>城乡义务教育公用经费管理办法</w:t>
            </w:r>
          </w:p>
        </w:tc>
      </w:tr>
    </w:tbl>
    <w:p w14:paraId="2AA3E8AD">
      <w:pPr>
        <w:sectPr>
          <w:pgSz w:w="16840" w:h="11900" w:orient="landscape"/>
          <w:pgMar w:top="1361" w:right="1020" w:bottom="1134" w:left="1020" w:header="720" w:footer="720" w:gutter="0"/>
          <w:cols w:space="720" w:num="1"/>
        </w:sectPr>
      </w:pPr>
    </w:p>
    <w:p w14:paraId="3E1ADFDF">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3、冀财教[2025]147号/省级/2026年义教补助经费/大张庄中学公用经费绩效目标表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88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8885E">
            <w:pPr>
              <w:pStyle w:val="11"/>
            </w:pPr>
            <w:r>
              <w:t>单位：万元</w:t>
            </w:r>
          </w:p>
        </w:tc>
      </w:tr>
      <w:tr w14:paraId="2B33F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4BC7E">
            <w:pPr>
              <w:pStyle w:val="10"/>
            </w:pPr>
            <w:r>
              <w:t>项目编码</w:t>
            </w:r>
          </w:p>
        </w:tc>
        <w:tc>
          <w:tcPr>
            <w:tcW w:w="5103" w:type="dxa"/>
            <w:gridSpan w:val="2"/>
            <w:vAlign w:val="center"/>
          </w:tcPr>
          <w:p w14:paraId="744C747F">
            <w:pPr>
              <w:pStyle w:val="12"/>
            </w:pPr>
            <w:r>
              <w:t>13052526P00000410330X</w:t>
            </w:r>
          </w:p>
        </w:tc>
        <w:tc>
          <w:tcPr>
            <w:tcW w:w="2835" w:type="dxa"/>
            <w:vAlign w:val="center"/>
          </w:tcPr>
          <w:p w14:paraId="37395777">
            <w:pPr>
              <w:pStyle w:val="10"/>
            </w:pPr>
            <w:r>
              <w:t>项目名称</w:t>
            </w:r>
          </w:p>
        </w:tc>
        <w:tc>
          <w:tcPr>
            <w:tcW w:w="6095" w:type="dxa"/>
            <w:gridSpan w:val="3"/>
            <w:vAlign w:val="center"/>
          </w:tcPr>
          <w:p w14:paraId="66FCCBF6">
            <w:pPr>
              <w:pStyle w:val="12"/>
            </w:pPr>
            <w:r>
              <w:t>冀财教[2025]147号/省级/2026年义教补助经费/大张庄中学公用经费</w:t>
            </w:r>
          </w:p>
        </w:tc>
      </w:tr>
      <w:tr w14:paraId="26896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68B99">
            <w:pPr>
              <w:pStyle w:val="10"/>
            </w:pPr>
            <w:r>
              <w:t>预算规模及资金用途</w:t>
            </w:r>
          </w:p>
        </w:tc>
        <w:tc>
          <w:tcPr>
            <w:tcW w:w="2268" w:type="dxa"/>
            <w:vAlign w:val="center"/>
          </w:tcPr>
          <w:p w14:paraId="14C5105E">
            <w:pPr>
              <w:pStyle w:val="10"/>
            </w:pPr>
            <w:r>
              <w:t>预算数</w:t>
            </w:r>
          </w:p>
        </w:tc>
        <w:tc>
          <w:tcPr>
            <w:tcW w:w="2835" w:type="dxa"/>
            <w:vAlign w:val="center"/>
          </w:tcPr>
          <w:p w14:paraId="340DA472">
            <w:pPr>
              <w:pStyle w:val="12"/>
            </w:pPr>
            <w:r>
              <w:t>15.78</w:t>
            </w:r>
          </w:p>
        </w:tc>
        <w:tc>
          <w:tcPr>
            <w:tcW w:w="2835" w:type="dxa"/>
            <w:vAlign w:val="center"/>
          </w:tcPr>
          <w:p w14:paraId="6D8A2600">
            <w:pPr>
              <w:pStyle w:val="10"/>
            </w:pPr>
            <w:r>
              <w:t>其中：财政    资金</w:t>
            </w:r>
          </w:p>
        </w:tc>
        <w:tc>
          <w:tcPr>
            <w:tcW w:w="2551" w:type="dxa"/>
            <w:vAlign w:val="center"/>
          </w:tcPr>
          <w:p w14:paraId="05760ED2">
            <w:pPr>
              <w:pStyle w:val="12"/>
            </w:pPr>
            <w:r>
              <w:t>15.78</w:t>
            </w:r>
          </w:p>
        </w:tc>
        <w:tc>
          <w:tcPr>
            <w:tcW w:w="2268" w:type="dxa"/>
            <w:vAlign w:val="center"/>
          </w:tcPr>
          <w:p w14:paraId="2FA2A5C6">
            <w:pPr>
              <w:pStyle w:val="10"/>
            </w:pPr>
            <w:r>
              <w:t>其他资金</w:t>
            </w:r>
          </w:p>
        </w:tc>
        <w:tc>
          <w:tcPr>
            <w:tcW w:w="1276" w:type="dxa"/>
            <w:vAlign w:val="center"/>
          </w:tcPr>
          <w:p w14:paraId="5CE2621C">
            <w:pPr>
              <w:pStyle w:val="12"/>
            </w:pPr>
            <w:r>
              <w:t xml:space="preserve"> </w:t>
            </w:r>
          </w:p>
        </w:tc>
      </w:tr>
      <w:tr w14:paraId="73C64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33AD0"/>
        </w:tc>
        <w:tc>
          <w:tcPr>
            <w:tcW w:w="14033" w:type="dxa"/>
            <w:gridSpan w:val="6"/>
            <w:vAlign w:val="center"/>
          </w:tcPr>
          <w:p w14:paraId="6700EDAF">
            <w:pPr>
              <w:pStyle w:val="12"/>
            </w:pPr>
            <w:r>
              <w:t>保障义务教育学校正常运转，完成教育教学活动和其他日常工作任务等方面的费用支出。</w:t>
            </w:r>
          </w:p>
        </w:tc>
      </w:tr>
      <w:tr w14:paraId="2FC13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3CED0">
            <w:pPr>
              <w:pStyle w:val="10"/>
            </w:pPr>
            <w:r>
              <w:t>资金支出计划（%）</w:t>
            </w:r>
          </w:p>
        </w:tc>
        <w:tc>
          <w:tcPr>
            <w:tcW w:w="5103" w:type="dxa"/>
            <w:gridSpan w:val="2"/>
            <w:vAlign w:val="center"/>
          </w:tcPr>
          <w:p w14:paraId="2C0B297B">
            <w:pPr>
              <w:pStyle w:val="10"/>
            </w:pPr>
            <w:r>
              <w:t>3月底</w:t>
            </w:r>
          </w:p>
        </w:tc>
        <w:tc>
          <w:tcPr>
            <w:tcW w:w="2835" w:type="dxa"/>
            <w:vAlign w:val="center"/>
          </w:tcPr>
          <w:p w14:paraId="41442F3F">
            <w:pPr>
              <w:pStyle w:val="10"/>
            </w:pPr>
            <w:r>
              <w:t>6月底</w:t>
            </w:r>
          </w:p>
        </w:tc>
        <w:tc>
          <w:tcPr>
            <w:tcW w:w="2551" w:type="dxa"/>
            <w:vAlign w:val="center"/>
          </w:tcPr>
          <w:p w14:paraId="19902697">
            <w:pPr>
              <w:pStyle w:val="10"/>
            </w:pPr>
            <w:r>
              <w:t>10月底</w:t>
            </w:r>
          </w:p>
        </w:tc>
        <w:tc>
          <w:tcPr>
            <w:tcW w:w="3544" w:type="dxa"/>
            <w:gridSpan w:val="2"/>
            <w:vAlign w:val="center"/>
          </w:tcPr>
          <w:p w14:paraId="0C877969">
            <w:pPr>
              <w:pStyle w:val="10"/>
            </w:pPr>
            <w:r>
              <w:t>12月底</w:t>
            </w:r>
          </w:p>
        </w:tc>
      </w:tr>
      <w:tr w14:paraId="2549B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415BF"/>
        </w:tc>
        <w:tc>
          <w:tcPr>
            <w:tcW w:w="5103" w:type="dxa"/>
            <w:gridSpan w:val="2"/>
            <w:vAlign w:val="center"/>
          </w:tcPr>
          <w:p w14:paraId="1D5B09C7">
            <w:pPr>
              <w:pStyle w:val="13"/>
            </w:pPr>
            <w:r>
              <w:t>25%</w:t>
            </w:r>
          </w:p>
        </w:tc>
        <w:tc>
          <w:tcPr>
            <w:tcW w:w="2835" w:type="dxa"/>
            <w:vAlign w:val="center"/>
          </w:tcPr>
          <w:p w14:paraId="3024F8E3">
            <w:pPr>
              <w:pStyle w:val="13"/>
            </w:pPr>
            <w:r>
              <w:t>50%</w:t>
            </w:r>
          </w:p>
        </w:tc>
        <w:tc>
          <w:tcPr>
            <w:tcW w:w="2551" w:type="dxa"/>
            <w:vAlign w:val="center"/>
          </w:tcPr>
          <w:p w14:paraId="521A6F67">
            <w:pPr>
              <w:pStyle w:val="13"/>
            </w:pPr>
            <w:r>
              <w:t>75%</w:t>
            </w:r>
          </w:p>
        </w:tc>
        <w:tc>
          <w:tcPr>
            <w:tcW w:w="3544" w:type="dxa"/>
            <w:gridSpan w:val="2"/>
            <w:vAlign w:val="center"/>
          </w:tcPr>
          <w:p w14:paraId="25FDB69E">
            <w:pPr>
              <w:pStyle w:val="13"/>
            </w:pPr>
            <w:r>
              <w:t>100%</w:t>
            </w:r>
          </w:p>
        </w:tc>
      </w:tr>
      <w:tr w14:paraId="37078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46881">
            <w:pPr>
              <w:pStyle w:val="10"/>
            </w:pPr>
            <w:r>
              <w:t>绩效目标</w:t>
            </w:r>
          </w:p>
        </w:tc>
        <w:tc>
          <w:tcPr>
            <w:tcW w:w="14033" w:type="dxa"/>
            <w:gridSpan w:val="6"/>
            <w:vAlign w:val="center"/>
          </w:tcPr>
          <w:p w14:paraId="36789B8F">
            <w:pPr>
              <w:pStyle w:val="12"/>
            </w:pPr>
            <w:r>
              <w:t>1.保障义务教育学校正常运转，完成教育教学活动和其他日常工作任务等方面的费用支出。</w:t>
            </w:r>
          </w:p>
        </w:tc>
      </w:tr>
    </w:tbl>
    <w:p w14:paraId="4A8476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0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53362">
            <w:pPr>
              <w:pStyle w:val="10"/>
            </w:pPr>
            <w:r>
              <w:t>一级指标</w:t>
            </w:r>
          </w:p>
        </w:tc>
        <w:tc>
          <w:tcPr>
            <w:tcW w:w="2268" w:type="dxa"/>
            <w:vAlign w:val="center"/>
          </w:tcPr>
          <w:p w14:paraId="1EF0DBEC">
            <w:pPr>
              <w:pStyle w:val="10"/>
            </w:pPr>
            <w:r>
              <w:t>二级指标</w:t>
            </w:r>
          </w:p>
        </w:tc>
        <w:tc>
          <w:tcPr>
            <w:tcW w:w="2835" w:type="dxa"/>
            <w:vAlign w:val="center"/>
          </w:tcPr>
          <w:p w14:paraId="75F4BAA5">
            <w:pPr>
              <w:pStyle w:val="10"/>
            </w:pPr>
            <w:r>
              <w:t>三级指标</w:t>
            </w:r>
          </w:p>
        </w:tc>
        <w:tc>
          <w:tcPr>
            <w:tcW w:w="5386" w:type="dxa"/>
            <w:vAlign w:val="center"/>
          </w:tcPr>
          <w:p w14:paraId="35DE285E">
            <w:pPr>
              <w:pStyle w:val="10"/>
            </w:pPr>
            <w:r>
              <w:t>绩效指标描述</w:t>
            </w:r>
          </w:p>
        </w:tc>
        <w:tc>
          <w:tcPr>
            <w:tcW w:w="2268" w:type="dxa"/>
            <w:vAlign w:val="center"/>
          </w:tcPr>
          <w:p w14:paraId="125DF077">
            <w:pPr>
              <w:pStyle w:val="10"/>
            </w:pPr>
            <w:r>
              <w:t>指标值</w:t>
            </w:r>
          </w:p>
        </w:tc>
        <w:tc>
          <w:tcPr>
            <w:tcW w:w="1276" w:type="dxa"/>
            <w:vAlign w:val="center"/>
          </w:tcPr>
          <w:p w14:paraId="249CECE3">
            <w:pPr>
              <w:pStyle w:val="10"/>
            </w:pPr>
            <w:r>
              <w:t>指标值确定依据</w:t>
            </w:r>
          </w:p>
        </w:tc>
      </w:tr>
      <w:tr w14:paraId="5AC83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7AFFD">
            <w:pPr>
              <w:pStyle w:val="13"/>
            </w:pPr>
            <w:r>
              <w:t>产出指标</w:t>
            </w:r>
          </w:p>
        </w:tc>
        <w:tc>
          <w:tcPr>
            <w:tcW w:w="2268" w:type="dxa"/>
            <w:vAlign w:val="center"/>
          </w:tcPr>
          <w:p w14:paraId="110CFAA2">
            <w:pPr>
              <w:pStyle w:val="12"/>
            </w:pPr>
            <w:r>
              <w:t>成本指标</w:t>
            </w:r>
          </w:p>
        </w:tc>
        <w:tc>
          <w:tcPr>
            <w:tcW w:w="2835" w:type="dxa"/>
            <w:vAlign w:val="center"/>
          </w:tcPr>
          <w:p w14:paraId="7D8A04C9">
            <w:pPr>
              <w:pStyle w:val="12"/>
            </w:pPr>
            <w:r>
              <w:t>生均拨款标准</w:t>
            </w:r>
          </w:p>
        </w:tc>
        <w:tc>
          <w:tcPr>
            <w:tcW w:w="5386" w:type="dxa"/>
            <w:vAlign w:val="center"/>
          </w:tcPr>
          <w:p w14:paraId="39EF6A6F">
            <w:pPr>
              <w:pStyle w:val="12"/>
            </w:pPr>
            <w:r>
              <w:t>初中生公用经费生均940元。取暖费120元/生/年，寄宿生均300元。</w:t>
            </w:r>
          </w:p>
        </w:tc>
        <w:tc>
          <w:tcPr>
            <w:tcW w:w="2268" w:type="dxa"/>
            <w:vAlign w:val="center"/>
          </w:tcPr>
          <w:p w14:paraId="3FF7E8D5">
            <w:pPr>
              <w:pStyle w:val="12"/>
            </w:pPr>
            <w:r>
              <w:t>1360元</w:t>
            </w:r>
          </w:p>
        </w:tc>
        <w:tc>
          <w:tcPr>
            <w:tcW w:w="1276" w:type="dxa"/>
            <w:vAlign w:val="center"/>
          </w:tcPr>
          <w:p w14:paraId="0B7261E3">
            <w:pPr>
              <w:pStyle w:val="12"/>
            </w:pPr>
            <w:r>
              <w:t>城乡义务教育公用经费管理办法</w:t>
            </w:r>
          </w:p>
        </w:tc>
      </w:tr>
      <w:tr w14:paraId="1A0D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0C116"/>
        </w:tc>
        <w:tc>
          <w:tcPr>
            <w:tcW w:w="2268" w:type="dxa"/>
            <w:vAlign w:val="center"/>
          </w:tcPr>
          <w:p w14:paraId="1EBA2635">
            <w:pPr>
              <w:pStyle w:val="12"/>
            </w:pPr>
            <w:r>
              <w:t>数量指标</w:t>
            </w:r>
          </w:p>
        </w:tc>
        <w:tc>
          <w:tcPr>
            <w:tcW w:w="2835" w:type="dxa"/>
            <w:vAlign w:val="center"/>
          </w:tcPr>
          <w:p w14:paraId="10A8C389">
            <w:pPr>
              <w:pStyle w:val="12"/>
            </w:pPr>
            <w:r>
              <w:t>就读学生数</w:t>
            </w:r>
          </w:p>
        </w:tc>
        <w:tc>
          <w:tcPr>
            <w:tcW w:w="5386" w:type="dxa"/>
            <w:vAlign w:val="center"/>
          </w:tcPr>
          <w:p w14:paraId="005D3F01">
            <w:pPr>
              <w:pStyle w:val="12"/>
            </w:pPr>
            <w:r>
              <w:t>辐射区域内适龄学生人数</w:t>
            </w:r>
          </w:p>
        </w:tc>
        <w:tc>
          <w:tcPr>
            <w:tcW w:w="2268" w:type="dxa"/>
            <w:vAlign w:val="center"/>
          </w:tcPr>
          <w:p w14:paraId="04108A04">
            <w:pPr>
              <w:pStyle w:val="12"/>
            </w:pPr>
            <w:r>
              <w:t>300人</w:t>
            </w:r>
          </w:p>
        </w:tc>
        <w:tc>
          <w:tcPr>
            <w:tcW w:w="1276" w:type="dxa"/>
            <w:vAlign w:val="center"/>
          </w:tcPr>
          <w:p w14:paraId="6E3143BB">
            <w:pPr>
              <w:pStyle w:val="12"/>
            </w:pPr>
            <w:r>
              <w:t>城乡义务教育公用经费管理办法</w:t>
            </w:r>
          </w:p>
        </w:tc>
      </w:tr>
      <w:tr w14:paraId="77D0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837DE"/>
        </w:tc>
        <w:tc>
          <w:tcPr>
            <w:tcW w:w="2268" w:type="dxa"/>
            <w:vAlign w:val="center"/>
          </w:tcPr>
          <w:p w14:paraId="12F71887">
            <w:pPr>
              <w:pStyle w:val="12"/>
            </w:pPr>
            <w:r>
              <w:t>质量指标</w:t>
            </w:r>
          </w:p>
        </w:tc>
        <w:tc>
          <w:tcPr>
            <w:tcW w:w="2835" w:type="dxa"/>
            <w:vAlign w:val="center"/>
          </w:tcPr>
          <w:p w14:paraId="5E996AAB">
            <w:pPr>
              <w:pStyle w:val="12"/>
            </w:pPr>
            <w:r>
              <w:t>预算执行率</w:t>
            </w:r>
          </w:p>
        </w:tc>
        <w:tc>
          <w:tcPr>
            <w:tcW w:w="5386" w:type="dxa"/>
            <w:vAlign w:val="center"/>
          </w:tcPr>
          <w:p w14:paraId="1F587977">
            <w:pPr>
              <w:pStyle w:val="12"/>
            </w:pPr>
            <w:r>
              <w:t>预算执行率大于等于98%</w:t>
            </w:r>
          </w:p>
        </w:tc>
        <w:tc>
          <w:tcPr>
            <w:tcW w:w="2268" w:type="dxa"/>
            <w:vAlign w:val="center"/>
          </w:tcPr>
          <w:p w14:paraId="01294DB5">
            <w:pPr>
              <w:pStyle w:val="12"/>
            </w:pPr>
            <w:r>
              <w:t>≥98%</w:t>
            </w:r>
          </w:p>
        </w:tc>
        <w:tc>
          <w:tcPr>
            <w:tcW w:w="1276" w:type="dxa"/>
            <w:vAlign w:val="center"/>
          </w:tcPr>
          <w:p w14:paraId="795EB8D7">
            <w:pPr>
              <w:pStyle w:val="12"/>
            </w:pPr>
            <w:r>
              <w:t>城乡义务教育公用经费管理办法</w:t>
            </w:r>
          </w:p>
        </w:tc>
      </w:tr>
      <w:tr w14:paraId="7915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2034E"/>
        </w:tc>
        <w:tc>
          <w:tcPr>
            <w:tcW w:w="2268" w:type="dxa"/>
            <w:vAlign w:val="center"/>
          </w:tcPr>
          <w:p w14:paraId="17FD543A">
            <w:pPr>
              <w:pStyle w:val="12"/>
            </w:pPr>
            <w:r>
              <w:t>时效指标</w:t>
            </w:r>
          </w:p>
        </w:tc>
        <w:tc>
          <w:tcPr>
            <w:tcW w:w="2835" w:type="dxa"/>
            <w:vAlign w:val="center"/>
          </w:tcPr>
          <w:p w14:paraId="17AB2021">
            <w:pPr>
              <w:pStyle w:val="12"/>
            </w:pPr>
            <w:r>
              <w:t>义教经费支付完成率</w:t>
            </w:r>
          </w:p>
        </w:tc>
        <w:tc>
          <w:tcPr>
            <w:tcW w:w="5386" w:type="dxa"/>
            <w:vAlign w:val="center"/>
          </w:tcPr>
          <w:p w14:paraId="79165C64">
            <w:pPr>
              <w:pStyle w:val="12"/>
            </w:pPr>
            <w:r>
              <w:t>按照序时进度完成资金支付</w:t>
            </w:r>
          </w:p>
        </w:tc>
        <w:tc>
          <w:tcPr>
            <w:tcW w:w="2268" w:type="dxa"/>
            <w:vAlign w:val="center"/>
          </w:tcPr>
          <w:p w14:paraId="354E91CE">
            <w:pPr>
              <w:pStyle w:val="12"/>
            </w:pPr>
            <w:r>
              <w:t>≥98%</w:t>
            </w:r>
          </w:p>
        </w:tc>
        <w:tc>
          <w:tcPr>
            <w:tcW w:w="1276" w:type="dxa"/>
            <w:vAlign w:val="center"/>
          </w:tcPr>
          <w:p w14:paraId="12355340">
            <w:pPr>
              <w:pStyle w:val="12"/>
            </w:pPr>
            <w:r>
              <w:t>城乡义务教育公用经费管理办法</w:t>
            </w:r>
          </w:p>
        </w:tc>
      </w:tr>
      <w:tr w14:paraId="7E41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3C15D">
            <w:pPr>
              <w:pStyle w:val="13"/>
            </w:pPr>
            <w:r>
              <w:t>效益指标</w:t>
            </w:r>
          </w:p>
        </w:tc>
        <w:tc>
          <w:tcPr>
            <w:tcW w:w="2268" w:type="dxa"/>
            <w:vAlign w:val="center"/>
          </w:tcPr>
          <w:p w14:paraId="458CC171">
            <w:pPr>
              <w:pStyle w:val="12"/>
            </w:pPr>
            <w:r>
              <w:t>社会效益指标</w:t>
            </w:r>
          </w:p>
        </w:tc>
        <w:tc>
          <w:tcPr>
            <w:tcW w:w="2835" w:type="dxa"/>
            <w:vAlign w:val="center"/>
          </w:tcPr>
          <w:p w14:paraId="528C5C0B">
            <w:pPr>
              <w:pStyle w:val="12"/>
            </w:pPr>
            <w:r>
              <w:t>学校运转得到提高</w:t>
            </w:r>
          </w:p>
        </w:tc>
        <w:tc>
          <w:tcPr>
            <w:tcW w:w="5386" w:type="dxa"/>
            <w:vAlign w:val="center"/>
          </w:tcPr>
          <w:p w14:paraId="0DF9AD80">
            <w:pPr>
              <w:pStyle w:val="12"/>
            </w:pPr>
            <w:r>
              <w:t>学生受教育年限</w:t>
            </w:r>
          </w:p>
        </w:tc>
        <w:tc>
          <w:tcPr>
            <w:tcW w:w="2268" w:type="dxa"/>
            <w:vAlign w:val="center"/>
          </w:tcPr>
          <w:p w14:paraId="2DCF1D79">
            <w:pPr>
              <w:pStyle w:val="12"/>
            </w:pPr>
            <w:r>
              <w:t>3年</w:t>
            </w:r>
          </w:p>
        </w:tc>
        <w:tc>
          <w:tcPr>
            <w:tcW w:w="1276" w:type="dxa"/>
            <w:vAlign w:val="center"/>
          </w:tcPr>
          <w:p w14:paraId="7B236B90">
            <w:pPr>
              <w:pStyle w:val="12"/>
            </w:pPr>
            <w:r>
              <w:t>城乡义务教育公用经费管理办法</w:t>
            </w:r>
          </w:p>
        </w:tc>
      </w:tr>
      <w:tr w14:paraId="7032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3CDF4">
            <w:pPr>
              <w:pStyle w:val="13"/>
            </w:pPr>
            <w:r>
              <w:t>满意度指标</w:t>
            </w:r>
          </w:p>
        </w:tc>
        <w:tc>
          <w:tcPr>
            <w:tcW w:w="2268" w:type="dxa"/>
            <w:vAlign w:val="center"/>
          </w:tcPr>
          <w:p w14:paraId="64310726">
            <w:pPr>
              <w:pStyle w:val="12"/>
            </w:pPr>
            <w:r>
              <w:t>服务对象满意度指标</w:t>
            </w:r>
          </w:p>
        </w:tc>
        <w:tc>
          <w:tcPr>
            <w:tcW w:w="2835" w:type="dxa"/>
            <w:vAlign w:val="center"/>
          </w:tcPr>
          <w:p w14:paraId="51FAB730">
            <w:pPr>
              <w:pStyle w:val="12"/>
            </w:pPr>
            <w:r>
              <w:t>服务对象满意度</w:t>
            </w:r>
          </w:p>
        </w:tc>
        <w:tc>
          <w:tcPr>
            <w:tcW w:w="5386" w:type="dxa"/>
            <w:vAlign w:val="center"/>
          </w:tcPr>
          <w:p w14:paraId="41289CA1">
            <w:pPr>
              <w:pStyle w:val="12"/>
            </w:pPr>
            <w:r>
              <w:t>学校老师和学生满意度</w:t>
            </w:r>
          </w:p>
        </w:tc>
        <w:tc>
          <w:tcPr>
            <w:tcW w:w="2268" w:type="dxa"/>
            <w:vAlign w:val="center"/>
          </w:tcPr>
          <w:p w14:paraId="6A7E8E18">
            <w:pPr>
              <w:pStyle w:val="12"/>
            </w:pPr>
            <w:r>
              <w:t>≥95%</w:t>
            </w:r>
          </w:p>
        </w:tc>
        <w:tc>
          <w:tcPr>
            <w:tcW w:w="1276" w:type="dxa"/>
            <w:vAlign w:val="center"/>
          </w:tcPr>
          <w:p w14:paraId="3DC5B792">
            <w:pPr>
              <w:pStyle w:val="12"/>
            </w:pPr>
            <w:r>
              <w:t>城乡义务教育公用经费管理办法</w:t>
            </w:r>
          </w:p>
        </w:tc>
      </w:tr>
    </w:tbl>
    <w:p w14:paraId="326F7B0E">
      <w:pPr>
        <w:sectPr>
          <w:pgSz w:w="16840" w:h="11900" w:orient="landscape"/>
          <w:pgMar w:top="1361" w:right="1020" w:bottom="1134" w:left="1020" w:header="720" w:footer="720" w:gutter="0"/>
          <w:cols w:space="720" w:num="1"/>
        </w:sectPr>
      </w:pPr>
    </w:p>
    <w:p w14:paraId="016DD831">
      <w:pPr>
        <w:spacing w:before="0" w:after="0"/>
        <w:ind w:firstLine="560"/>
        <w:jc w:val="left"/>
        <w:outlineLvl w:val="9"/>
      </w:pPr>
      <w:r>
        <w:rPr>
          <w:rFonts w:ascii="方正仿宋_GBK" w:hAnsi="方正仿宋_GBK" w:eastAsia="方正仿宋_GBK" w:cs="方正仿宋_GBK"/>
          <w:b/>
          <w:color w:val="000000"/>
          <w:sz w:val="28"/>
        </w:rPr>
        <w:t>4、县级配套/大张庄中学公用经费绩效目标表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CE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75B5B">
            <w:pPr>
              <w:pStyle w:val="11"/>
            </w:pPr>
            <w:r>
              <w:t>单位：万元</w:t>
            </w:r>
          </w:p>
        </w:tc>
      </w:tr>
      <w:tr w14:paraId="7877F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37547">
            <w:pPr>
              <w:pStyle w:val="10"/>
            </w:pPr>
            <w:r>
              <w:t>项目编码</w:t>
            </w:r>
          </w:p>
        </w:tc>
        <w:tc>
          <w:tcPr>
            <w:tcW w:w="5103" w:type="dxa"/>
            <w:gridSpan w:val="2"/>
            <w:vAlign w:val="center"/>
          </w:tcPr>
          <w:p w14:paraId="66910086">
            <w:pPr>
              <w:pStyle w:val="12"/>
            </w:pPr>
            <w:r>
              <w:t>13052526P00000410415H</w:t>
            </w:r>
          </w:p>
        </w:tc>
        <w:tc>
          <w:tcPr>
            <w:tcW w:w="2835" w:type="dxa"/>
            <w:vAlign w:val="center"/>
          </w:tcPr>
          <w:p w14:paraId="3B6B25E7">
            <w:pPr>
              <w:pStyle w:val="10"/>
            </w:pPr>
            <w:r>
              <w:t>项目名称</w:t>
            </w:r>
          </w:p>
        </w:tc>
        <w:tc>
          <w:tcPr>
            <w:tcW w:w="6095" w:type="dxa"/>
            <w:gridSpan w:val="3"/>
            <w:vAlign w:val="center"/>
          </w:tcPr>
          <w:p w14:paraId="1AD42129">
            <w:pPr>
              <w:pStyle w:val="12"/>
            </w:pPr>
            <w:r>
              <w:t>县级配套/大张庄中学公用经费</w:t>
            </w:r>
          </w:p>
        </w:tc>
      </w:tr>
      <w:tr w14:paraId="0FDE5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B486A">
            <w:pPr>
              <w:pStyle w:val="10"/>
            </w:pPr>
            <w:r>
              <w:t>预算规模及资金用途</w:t>
            </w:r>
          </w:p>
        </w:tc>
        <w:tc>
          <w:tcPr>
            <w:tcW w:w="2268" w:type="dxa"/>
            <w:vAlign w:val="center"/>
          </w:tcPr>
          <w:p w14:paraId="5302F69F">
            <w:pPr>
              <w:pStyle w:val="10"/>
            </w:pPr>
            <w:r>
              <w:t>预算数</w:t>
            </w:r>
          </w:p>
        </w:tc>
        <w:tc>
          <w:tcPr>
            <w:tcW w:w="2835" w:type="dxa"/>
            <w:vAlign w:val="center"/>
          </w:tcPr>
          <w:p w14:paraId="202B2D1E">
            <w:pPr>
              <w:pStyle w:val="12"/>
            </w:pPr>
            <w:r>
              <w:t>5.00</w:t>
            </w:r>
          </w:p>
        </w:tc>
        <w:tc>
          <w:tcPr>
            <w:tcW w:w="2835" w:type="dxa"/>
            <w:vAlign w:val="center"/>
          </w:tcPr>
          <w:p w14:paraId="4B5A7AC1">
            <w:pPr>
              <w:pStyle w:val="10"/>
            </w:pPr>
            <w:r>
              <w:t>其中：财政    资金</w:t>
            </w:r>
          </w:p>
        </w:tc>
        <w:tc>
          <w:tcPr>
            <w:tcW w:w="2551" w:type="dxa"/>
            <w:vAlign w:val="center"/>
          </w:tcPr>
          <w:p w14:paraId="59CECD0D">
            <w:pPr>
              <w:pStyle w:val="12"/>
            </w:pPr>
            <w:r>
              <w:t>5.00</w:t>
            </w:r>
          </w:p>
        </w:tc>
        <w:tc>
          <w:tcPr>
            <w:tcW w:w="2268" w:type="dxa"/>
            <w:vAlign w:val="center"/>
          </w:tcPr>
          <w:p w14:paraId="7396AADE">
            <w:pPr>
              <w:pStyle w:val="10"/>
            </w:pPr>
            <w:r>
              <w:t>其他资金</w:t>
            </w:r>
          </w:p>
        </w:tc>
        <w:tc>
          <w:tcPr>
            <w:tcW w:w="1276" w:type="dxa"/>
            <w:vAlign w:val="center"/>
          </w:tcPr>
          <w:p w14:paraId="2C7A8B99">
            <w:pPr>
              <w:pStyle w:val="12"/>
            </w:pPr>
            <w:r>
              <w:t xml:space="preserve"> </w:t>
            </w:r>
          </w:p>
        </w:tc>
      </w:tr>
      <w:tr w14:paraId="2857E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DA4B0"/>
        </w:tc>
        <w:tc>
          <w:tcPr>
            <w:tcW w:w="14033" w:type="dxa"/>
            <w:gridSpan w:val="6"/>
            <w:vAlign w:val="center"/>
          </w:tcPr>
          <w:p w14:paraId="04CBB0EC">
            <w:pPr>
              <w:pStyle w:val="12"/>
            </w:pPr>
            <w:r>
              <w:t>保障义务教育学校正常运转，完成教育教学活动和其他日常工作任务等方面的费用支出。</w:t>
            </w:r>
          </w:p>
        </w:tc>
      </w:tr>
      <w:tr w14:paraId="4FA13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93FF6">
            <w:pPr>
              <w:pStyle w:val="10"/>
            </w:pPr>
            <w:r>
              <w:t>资金支出计划（%）</w:t>
            </w:r>
          </w:p>
        </w:tc>
        <w:tc>
          <w:tcPr>
            <w:tcW w:w="5103" w:type="dxa"/>
            <w:gridSpan w:val="2"/>
            <w:vAlign w:val="center"/>
          </w:tcPr>
          <w:p w14:paraId="5FDBBB10">
            <w:pPr>
              <w:pStyle w:val="10"/>
            </w:pPr>
            <w:r>
              <w:t>3月底</w:t>
            </w:r>
          </w:p>
        </w:tc>
        <w:tc>
          <w:tcPr>
            <w:tcW w:w="2835" w:type="dxa"/>
            <w:vAlign w:val="center"/>
          </w:tcPr>
          <w:p w14:paraId="558D16CE">
            <w:pPr>
              <w:pStyle w:val="10"/>
            </w:pPr>
            <w:r>
              <w:t>6月底</w:t>
            </w:r>
          </w:p>
        </w:tc>
        <w:tc>
          <w:tcPr>
            <w:tcW w:w="2551" w:type="dxa"/>
            <w:vAlign w:val="center"/>
          </w:tcPr>
          <w:p w14:paraId="246188F6">
            <w:pPr>
              <w:pStyle w:val="10"/>
            </w:pPr>
            <w:r>
              <w:t>10月底</w:t>
            </w:r>
          </w:p>
        </w:tc>
        <w:tc>
          <w:tcPr>
            <w:tcW w:w="3544" w:type="dxa"/>
            <w:gridSpan w:val="2"/>
            <w:vAlign w:val="center"/>
          </w:tcPr>
          <w:p w14:paraId="690D9983">
            <w:pPr>
              <w:pStyle w:val="10"/>
            </w:pPr>
            <w:r>
              <w:t>12月底</w:t>
            </w:r>
          </w:p>
        </w:tc>
      </w:tr>
      <w:tr w14:paraId="0413B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C272A"/>
        </w:tc>
        <w:tc>
          <w:tcPr>
            <w:tcW w:w="5103" w:type="dxa"/>
            <w:gridSpan w:val="2"/>
            <w:vAlign w:val="center"/>
          </w:tcPr>
          <w:p w14:paraId="3A8A28EA">
            <w:pPr>
              <w:pStyle w:val="13"/>
            </w:pPr>
            <w:r>
              <w:t>25%</w:t>
            </w:r>
          </w:p>
        </w:tc>
        <w:tc>
          <w:tcPr>
            <w:tcW w:w="2835" w:type="dxa"/>
            <w:vAlign w:val="center"/>
          </w:tcPr>
          <w:p w14:paraId="6FFA3762">
            <w:pPr>
              <w:pStyle w:val="13"/>
            </w:pPr>
            <w:r>
              <w:t>50%</w:t>
            </w:r>
          </w:p>
        </w:tc>
        <w:tc>
          <w:tcPr>
            <w:tcW w:w="2551" w:type="dxa"/>
            <w:vAlign w:val="center"/>
          </w:tcPr>
          <w:p w14:paraId="1C438DE7">
            <w:pPr>
              <w:pStyle w:val="13"/>
            </w:pPr>
            <w:r>
              <w:t>75%</w:t>
            </w:r>
          </w:p>
        </w:tc>
        <w:tc>
          <w:tcPr>
            <w:tcW w:w="3544" w:type="dxa"/>
            <w:gridSpan w:val="2"/>
            <w:vAlign w:val="center"/>
          </w:tcPr>
          <w:p w14:paraId="1246B48D">
            <w:pPr>
              <w:pStyle w:val="13"/>
            </w:pPr>
            <w:r>
              <w:t>100%</w:t>
            </w:r>
          </w:p>
        </w:tc>
      </w:tr>
      <w:tr w14:paraId="30422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CAE49">
            <w:pPr>
              <w:pStyle w:val="10"/>
            </w:pPr>
            <w:r>
              <w:t>绩效目标</w:t>
            </w:r>
          </w:p>
        </w:tc>
        <w:tc>
          <w:tcPr>
            <w:tcW w:w="14033" w:type="dxa"/>
            <w:gridSpan w:val="6"/>
            <w:vAlign w:val="center"/>
          </w:tcPr>
          <w:p w14:paraId="1F41206B">
            <w:pPr>
              <w:pStyle w:val="12"/>
            </w:pPr>
            <w:r>
              <w:t>1.保障义务教育学校正常运转，完成教育教学活动和其他日常工作任务等方面的费用支出。</w:t>
            </w:r>
          </w:p>
        </w:tc>
      </w:tr>
    </w:tbl>
    <w:p w14:paraId="11659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C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C9FFB">
            <w:pPr>
              <w:pStyle w:val="10"/>
            </w:pPr>
            <w:r>
              <w:t>一级指标</w:t>
            </w:r>
          </w:p>
        </w:tc>
        <w:tc>
          <w:tcPr>
            <w:tcW w:w="2268" w:type="dxa"/>
            <w:vAlign w:val="center"/>
          </w:tcPr>
          <w:p w14:paraId="734127BA">
            <w:pPr>
              <w:pStyle w:val="10"/>
            </w:pPr>
            <w:r>
              <w:t>二级指标</w:t>
            </w:r>
          </w:p>
        </w:tc>
        <w:tc>
          <w:tcPr>
            <w:tcW w:w="2835" w:type="dxa"/>
            <w:vAlign w:val="center"/>
          </w:tcPr>
          <w:p w14:paraId="32E3C9BF">
            <w:pPr>
              <w:pStyle w:val="10"/>
            </w:pPr>
            <w:r>
              <w:t>三级指标</w:t>
            </w:r>
          </w:p>
        </w:tc>
        <w:tc>
          <w:tcPr>
            <w:tcW w:w="5386" w:type="dxa"/>
            <w:vAlign w:val="center"/>
          </w:tcPr>
          <w:p w14:paraId="1B4A13DA">
            <w:pPr>
              <w:pStyle w:val="10"/>
            </w:pPr>
            <w:r>
              <w:t>绩效指标描述</w:t>
            </w:r>
          </w:p>
        </w:tc>
        <w:tc>
          <w:tcPr>
            <w:tcW w:w="2268" w:type="dxa"/>
            <w:vAlign w:val="center"/>
          </w:tcPr>
          <w:p w14:paraId="4ABB40CC">
            <w:pPr>
              <w:pStyle w:val="10"/>
            </w:pPr>
            <w:r>
              <w:t>指标值</w:t>
            </w:r>
          </w:p>
        </w:tc>
        <w:tc>
          <w:tcPr>
            <w:tcW w:w="1276" w:type="dxa"/>
            <w:vAlign w:val="center"/>
          </w:tcPr>
          <w:p w14:paraId="0A06DF3F">
            <w:pPr>
              <w:pStyle w:val="10"/>
            </w:pPr>
            <w:r>
              <w:t>指标值确定依据</w:t>
            </w:r>
          </w:p>
        </w:tc>
      </w:tr>
      <w:tr w14:paraId="3C37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7216B">
            <w:pPr>
              <w:pStyle w:val="13"/>
            </w:pPr>
            <w:r>
              <w:t>产出指标</w:t>
            </w:r>
          </w:p>
        </w:tc>
        <w:tc>
          <w:tcPr>
            <w:tcW w:w="2268" w:type="dxa"/>
            <w:vAlign w:val="center"/>
          </w:tcPr>
          <w:p w14:paraId="03A98AE7">
            <w:pPr>
              <w:pStyle w:val="12"/>
            </w:pPr>
            <w:r>
              <w:t>成本指标</w:t>
            </w:r>
          </w:p>
        </w:tc>
        <w:tc>
          <w:tcPr>
            <w:tcW w:w="2835" w:type="dxa"/>
            <w:vAlign w:val="center"/>
          </w:tcPr>
          <w:p w14:paraId="281FB98A">
            <w:pPr>
              <w:pStyle w:val="12"/>
            </w:pPr>
            <w:r>
              <w:t>生均拨款标准</w:t>
            </w:r>
          </w:p>
        </w:tc>
        <w:tc>
          <w:tcPr>
            <w:tcW w:w="5386" w:type="dxa"/>
            <w:vAlign w:val="center"/>
          </w:tcPr>
          <w:p w14:paraId="1349C503">
            <w:pPr>
              <w:pStyle w:val="12"/>
            </w:pPr>
            <w:r>
              <w:t>初中生公用经费生均940元。取暖费120元/生/年，寄宿生均300元。</w:t>
            </w:r>
          </w:p>
        </w:tc>
        <w:tc>
          <w:tcPr>
            <w:tcW w:w="2268" w:type="dxa"/>
            <w:vAlign w:val="center"/>
          </w:tcPr>
          <w:p w14:paraId="12190C10">
            <w:pPr>
              <w:pStyle w:val="12"/>
            </w:pPr>
            <w:r>
              <w:t>1360元</w:t>
            </w:r>
          </w:p>
        </w:tc>
        <w:tc>
          <w:tcPr>
            <w:tcW w:w="1276" w:type="dxa"/>
            <w:vAlign w:val="center"/>
          </w:tcPr>
          <w:p w14:paraId="430E82DA">
            <w:pPr>
              <w:pStyle w:val="12"/>
            </w:pPr>
            <w:r>
              <w:t>城乡义务教育公用经费管理办法</w:t>
            </w:r>
          </w:p>
        </w:tc>
      </w:tr>
      <w:tr w14:paraId="6344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7E043"/>
        </w:tc>
        <w:tc>
          <w:tcPr>
            <w:tcW w:w="2268" w:type="dxa"/>
            <w:vAlign w:val="center"/>
          </w:tcPr>
          <w:p w14:paraId="68A78AD5">
            <w:pPr>
              <w:pStyle w:val="12"/>
            </w:pPr>
            <w:r>
              <w:t>数量指标</w:t>
            </w:r>
          </w:p>
        </w:tc>
        <w:tc>
          <w:tcPr>
            <w:tcW w:w="2835" w:type="dxa"/>
            <w:vAlign w:val="center"/>
          </w:tcPr>
          <w:p w14:paraId="666FCA52">
            <w:pPr>
              <w:pStyle w:val="12"/>
            </w:pPr>
            <w:r>
              <w:t>就读学生数</w:t>
            </w:r>
          </w:p>
        </w:tc>
        <w:tc>
          <w:tcPr>
            <w:tcW w:w="5386" w:type="dxa"/>
            <w:vAlign w:val="center"/>
          </w:tcPr>
          <w:p w14:paraId="45E5696D">
            <w:pPr>
              <w:pStyle w:val="12"/>
            </w:pPr>
            <w:r>
              <w:t>辐射区域内适龄学生人数</w:t>
            </w:r>
          </w:p>
        </w:tc>
        <w:tc>
          <w:tcPr>
            <w:tcW w:w="2268" w:type="dxa"/>
            <w:vAlign w:val="center"/>
          </w:tcPr>
          <w:p w14:paraId="6EDE02AF">
            <w:pPr>
              <w:pStyle w:val="12"/>
            </w:pPr>
            <w:r>
              <w:t>300人</w:t>
            </w:r>
          </w:p>
        </w:tc>
        <w:tc>
          <w:tcPr>
            <w:tcW w:w="1276" w:type="dxa"/>
            <w:vAlign w:val="center"/>
          </w:tcPr>
          <w:p w14:paraId="5D4AAED1">
            <w:pPr>
              <w:pStyle w:val="12"/>
            </w:pPr>
            <w:r>
              <w:t>城乡义务教育公用经费管理办法</w:t>
            </w:r>
          </w:p>
        </w:tc>
      </w:tr>
      <w:tr w14:paraId="40B5D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AC402"/>
        </w:tc>
        <w:tc>
          <w:tcPr>
            <w:tcW w:w="2268" w:type="dxa"/>
            <w:vAlign w:val="center"/>
          </w:tcPr>
          <w:p w14:paraId="2EC7A46B">
            <w:pPr>
              <w:pStyle w:val="12"/>
            </w:pPr>
            <w:r>
              <w:t>质量指标</w:t>
            </w:r>
          </w:p>
        </w:tc>
        <w:tc>
          <w:tcPr>
            <w:tcW w:w="2835" w:type="dxa"/>
            <w:vAlign w:val="center"/>
          </w:tcPr>
          <w:p w14:paraId="4771FF77">
            <w:pPr>
              <w:pStyle w:val="12"/>
            </w:pPr>
            <w:r>
              <w:t>预算执行率</w:t>
            </w:r>
          </w:p>
        </w:tc>
        <w:tc>
          <w:tcPr>
            <w:tcW w:w="5386" w:type="dxa"/>
            <w:vAlign w:val="center"/>
          </w:tcPr>
          <w:p w14:paraId="032D0A6E">
            <w:pPr>
              <w:pStyle w:val="12"/>
            </w:pPr>
            <w:r>
              <w:t>预算执行率大于等于98%</w:t>
            </w:r>
          </w:p>
        </w:tc>
        <w:tc>
          <w:tcPr>
            <w:tcW w:w="2268" w:type="dxa"/>
            <w:vAlign w:val="center"/>
          </w:tcPr>
          <w:p w14:paraId="592194C6">
            <w:pPr>
              <w:pStyle w:val="12"/>
            </w:pPr>
            <w:r>
              <w:t>≥98%</w:t>
            </w:r>
          </w:p>
        </w:tc>
        <w:tc>
          <w:tcPr>
            <w:tcW w:w="1276" w:type="dxa"/>
            <w:vAlign w:val="center"/>
          </w:tcPr>
          <w:p w14:paraId="4448515F">
            <w:pPr>
              <w:pStyle w:val="12"/>
            </w:pPr>
            <w:r>
              <w:t>城乡义务教育公用经费管理办法</w:t>
            </w:r>
          </w:p>
        </w:tc>
      </w:tr>
      <w:tr w14:paraId="3987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2A804"/>
        </w:tc>
        <w:tc>
          <w:tcPr>
            <w:tcW w:w="2268" w:type="dxa"/>
            <w:vAlign w:val="center"/>
          </w:tcPr>
          <w:p w14:paraId="5165F64D">
            <w:pPr>
              <w:pStyle w:val="12"/>
            </w:pPr>
            <w:r>
              <w:t>时效指标</w:t>
            </w:r>
          </w:p>
        </w:tc>
        <w:tc>
          <w:tcPr>
            <w:tcW w:w="2835" w:type="dxa"/>
            <w:vAlign w:val="center"/>
          </w:tcPr>
          <w:p w14:paraId="52C487A1">
            <w:pPr>
              <w:pStyle w:val="12"/>
            </w:pPr>
            <w:r>
              <w:t>义教经费支付完成率</w:t>
            </w:r>
          </w:p>
        </w:tc>
        <w:tc>
          <w:tcPr>
            <w:tcW w:w="5386" w:type="dxa"/>
            <w:vAlign w:val="center"/>
          </w:tcPr>
          <w:p w14:paraId="7801175D">
            <w:pPr>
              <w:pStyle w:val="12"/>
            </w:pPr>
            <w:r>
              <w:t>按照序时进度完成资金支付</w:t>
            </w:r>
          </w:p>
        </w:tc>
        <w:tc>
          <w:tcPr>
            <w:tcW w:w="2268" w:type="dxa"/>
            <w:vAlign w:val="center"/>
          </w:tcPr>
          <w:p w14:paraId="1729C8EE">
            <w:pPr>
              <w:pStyle w:val="12"/>
            </w:pPr>
            <w:r>
              <w:t>≥98%</w:t>
            </w:r>
          </w:p>
        </w:tc>
        <w:tc>
          <w:tcPr>
            <w:tcW w:w="1276" w:type="dxa"/>
            <w:vAlign w:val="center"/>
          </w:tcPr>
          <w:p w14:paraId="3998B858">
            <w:pPr>
              <w:pStyle w:val="12"/>
            </w:pPr>
            <w:r>
              <w:t>城乡义务教育公用经费管理办法</w:t>
            </w:r>
          </w:p>
        </w:tc>
      </w:tr>
      <w:tr w14:paraId="3082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4B0B3">
            <w:pPr>
              <w:pStyle w:val="13"/>
            </w:pPr>
            <w:r>
              <w:t>效益指标</w:t>
            </w:r>
          </w:p>
        </w:tc>
        <w:tc>
          <w:tcPr>
            <w:tcW w:w="2268" w:type="dxa"/>
            <w:vAlign w:val="center"/>
          </w:tcPr>
          <w:p w14:paraId="51D4991D">
            <w:pPr>
              <w:pStyle w:val="12"/>
            </w:pPr>
            <w:r>
              <w:t>社会效益指标</w:t>
            </w:r>
          </w:p>
        </w:tc>
        <w:tc>
          <w:tcPr>
            <w:tcW w:w="2835" w:type="dxa"/>
            <w:vAlign w:val="center"/>
          </w:tcPr>
          <w:p w14:paraId="74497239">
            <w:pPr>
              <w:pStyle w:val="12"/>
            </w:pPr>
            <w:r>
              <w:t>学校运转得到提高</w:t>
            </w:r>
          </w:p>
        </w:tc>
        <w:tc>
          <w:tcPr>
            <w:tcW w:w="5386" w:type="dxa"/>
            <w:vAlign w:val="center"/>
          </w:tcPr>
          <w:p w14:paraId="6A9F1AB9">
            <w:pPr>
              <w:pStyle w:val="12"/>
            </w:pPr>
            <w:r>
              <w:t>学生受教育年限</w:t>
            </w:r>
          </w:p>
        </w:tc>
        <w:tc>
          <w:tcPr>
            <w:tcW w:w="2268" w:type="dxa"/>
            <w:vAlign w:val="center"/>
          </w:tcPr>
          <w:p w14:paraId="3983DE6F">
            <w:pPr>
              <w:pStyle w:val="12"/>
            </w:pPr>
            <w:r>
              <w:t>3年</w:t>
            </w:r>
          </w:p>
        </w:tc>
        <w:tc>
          <w:tcPr>
            <w:tcW w:w="1276" w:type="dxa"/>
            <w:vAlign w:val="center"/>
          </w:tcPr>
          <w:p w14:paraId="71AA6A6B">
            <w:pPr>
              <w:pStyle w:val="12"/>
            </w:pPr>
            <w:r>
              <w:t>城乡义务教育公用经费管理办法</w:t>
            </w:r>
          </w:p>
        </w:tc>
      </w:tr>
      <w:tr w14:paraId="7AAC2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437EE">
            <w:pPr>
              <w:pStyle w:val="13"/>
            </w:pPr>
            <w:r>
              <w:t>满意度指标</w:t>
            </w:r>
          </w:p>
        </w:tc>
        <w:tc>
          <w:tcPr>
            <w:tcW w:w="2268" w:type="dxa"/>
            <w:vAlign w:val="center"/>
          </w:tcPr>
          <w:p w14:paraId="2A70F5A2">
            <w:pPr>
              <w:pStyle w:val="12"/>
            </w:pPr>
            <w:r>
              <w:t>服务对象满意度指标</w:t>
            </w:r>
          </w:p>
        </w:tc>
        <w:tc>
          <w:tcPr>
            <w:tcW w:w="2835" w:type="dxa"/>
            <w:vAlign w:val="center"/>
          </w:tcPr>
          <w:p w14:paraId="7E249D46">
            <w:pPr>
              <w:pStyle w:val="12"/>
            </w:pPr>
            <w:r>
              <w:t>服务对象满意度</w:t>
            </w:r>
          </w:p>
        </w:tc>
        <w:tc>
          <w:tcPr>
            <w:tcW w:w="5386" w:type="dxa"/>
            <w:vAlign w:val="center"/>
          </w:tcPr>
          <w:p w14:paraId="103F4276">
            <w:pPr>
              <w:pStyle w:val="12"/>
            </w:pPr>
            <w:r>
              <w:t>学校老师和学生满意度</w:t>
            </w:r>
          </w:p>
        </w:tc>
        <w:tc>
          <w:tcPr>
            <w:tcW w:w="2268" w:type="dxa"/>
            <w:vAlign w:val="center"/>
          </w:tcPr>
          <w:p w14:paraId="169CF411">
            <w:pPr>
              <w:pStyle w:val="12"/>
            </w:pPr>
            <w:r>
              <w:t>≥95%</w:t>
            </w:r>
          </w:p>
        </w:tc>
        <w:tc>
          <w:tcPr>
            <w:tcW w:w="1276" w:type="dxa"/>
            <w:vAlign w:val="center"/>
          </w:tcPr>
          <w:p w14:paraId="45D5E3E6">
            <w:pPr>
              <w:pStyle w:val="12"/>
            </w:pPr>
            <w:r>
              <w:t>城乡义务教育公用经费管理办法</w:t>
            </w:r>
          </w:p>
        </w:tc>
      </w:tr>
    </w:tbl>
    <w:p w14:paraId="44DDCF98">
      <w:pPr>
        <w:sectPr>
          <w:pgSz w:w="16840" w:h="11900" w:orient="landscape"/>
          <w:pgMar w:top="1361" w:right="1020" w:bottom="1134" w:left="1020" w:header="720" w:footer="720" w:gutter="0"/>
          <w:cols w:space="720" w:num="1"/>
        </w:sectPr>
      </w:pPr>
    </w:p>
    <w:p w14:paraId="50D1935A">
      <w:pPr>
        <w:spacing w:before="10" w:after="10" w:line="240" w:lineRule="auto"/>
        <w:ind w:firstLine="640"/>
        <w:jc w:val="left"/>
        <w:outlineLvl w:val="5"/>
      </w:pPr>
      <w:r>
        <w:rPr>
          <w:rFonts w:ascii="黑体" w:hAnsi="黑体" w:eastAsia="黑体" w:cs="黑体"/>
          <w:color w:val="000000"/>
          <w:sz w:val="32"/>
        </w:rPr>
        <w:t>六、政府采购预算情况</w:t>
      </w:r>
    </w:p>
    <w:p w14:paraId="5DE4B89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12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BDAF21">
            <w:pPr>
              <w:pStyle w:val="9"/>
            </w:pPr>
            <w:r>
              <w:t>360033隆尧县大张庄中学</w:t>
            </w:r>
          </w:p>
        </w:tc>
        <w:tc>
          <w:tcPr>
            <w:tcW w:w="8676" w:type="dxa"/>
            <w:gridSpan w:val="9"/>
            <w:tcBorders>
              <w:top w:val="single" w:color="FFFFFF" w:sz="6" w:space="0"/>
              <w:left w:val="single" w:color="FFFFFF" w:sz="6" w:space="0"/>
              <w:right w:val="single" w:color="FFFFFF" w:sz="6" w:space="0"/>
            </w:tcBorders>
            <w:vAlign w:val="center"/>
          </w:tcPr>
          <w:p w14:paraId="3021A9A0">
            <w:pPr>
              <w:pStyle w:val="21"/>
            </w:pPr>
            <w:r>
              <w:t>单位：万元</w:t>
            </w:r>
          </w:p>
        </w:tc>
      </w:tr>
      <w:tr w14:paraId="22EC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650D30">
            <w:pPr>
              <w:pStyle w:val="10"/>
            </w:pPr>
            <w:r>
              <w:t>政府采购项目来源</w:t>
            </w:r>
          </w:p>
        </w:tc>
        <w:tc>
          <w:tcPr>
            <w:tcW w:w="1134" w:type="dxa"/>
            <w:vMerge w:val="restart"/>
            <w:vAlign w:val="center"/>
          </w:tcPr>
          <w:p w14:paraId="125A1C11">
            <w:pPr>
              <w:pStyle w:val="10"/>
            </w:pPr>
            <w:r>
              <w:t>采购物品名称</w:t>
            </w:r>
          </w:p>
        </w:tc>
        <w:tc>
          <w:tcPr>
            <w:tcW w:w="1134" w:type="dxa"/>
            <w:vMerge w:val="restart"/>
            <w:vAlign w:val="center"/>
          </w:tcPr>
          <w:p w14:paraId="7D651520">
            <w:pPr>
              <w:pStyle w:val="10"/>
            </w:pPr>
            <w:r>
              <w:t>政府采购目录序号</w:t>
            </w:r>
          </w:p>
        </w:tc>
        <w:tc>
          <w:tcPr>
            <w:tcW w:w="709" w:type="dxa"/>
            <w:vMerge w:val="restart"/>
            <w:vAlign w:val="center"/>
          </w:tcPr>
          <w:p w14:paraId="6B481FB1">
            <w:pPr>
              <w:pStyle w:val="10"/>
            </w:pPr>
            <w:r>
              <w:t>计量  单位</w:t>
            </w:r>
          </w:p>
        </w:tc>
        <w:tc>
          <w:tcPr>
            <w:tcW w:w="850" w:type="dxa"/>
            <w:vMerge w:val="restart"/>
            <w:vAlign w:val="center"/>
          </w:tcPr>
          <w:p w14:paraId="6BD35F4C">
            <w:pPr>
              <w:pStyle w:val="10"/>
            </w:pPr>
            <w:r>
              <w:t>数量</w:t>
            </w:r>
          </w:p>
        </w:tc>
        <w:tc>
          <w:tcPr>
            <w:tcW w:w="850" w:type="dxa"/>
            <w:vMerge w:val="restart"/>
            <w:vAlign w:val="center"/>
          </w:tcPr>
          <w:p w14:paraId="3DCF943D">
            <w:pPr>
              <w:pStyle w:val="10"/>
            </w:pPr>
            <w:r>
              <w:t>单价</w:t>
            </w:r>
          </w:p>
        </w:tc>
        <w:tc>
          <w:tcPr>
            <w:tcW w:w="7712" w:type="dxa"/>
            <w:gridSpan w:val="8"/>
            <w:vAlign w:val="center"/>
          </w:tcPr>
          <w:p w14:paraId="5E9C6786">
            <w:pPr>
              <w:pStyle w:val="10"/>
            </w:pPr>
            <w:r>
              <w:t>政府采购金额（当年部门预算安排资金）</w:t>
            </w:r>
          </w:p>
        </w:tc>
        <w:tc>
          <w:tcPr>
            <w:tcW w:w="964" w:type="dxa"/>
            <w:vMerge w:val="restart"/>
            <w:vAlign w:val="center"/>
          </w:tcPr>
          <w:p w14:paraId="770730D9">
            <w:pPr>
              <w:pStyle w:val="10"/>
            </w:pPr>
            <w:r>
              <w:t>2026年  预留中  小微企  业份额</w:t>
            </w:r>
          </w:p>
        </w:tc>
      </w:tr>
      <w:tr w14:paraId="58CA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413A88">
            <w:pPr>
              <w:pStyle w:val="10"/>
            </w:pPr>
            <w:r>
              <w:t>项目名称</w:t>
            </w:r>
          </w:p>
        </w:tc>
        <w:tc>
          <w:tcPr>
            <w:tcW w:w="964" w:type="dxa"/>
            <w:vAlign w:val="center"/>
          </w:tcPr>
          <w:p w14:paraId="0EC238D9">
            <w:pPr>
              <w:pStyle w:val="10"/>
            </w:pPr>
            <w:r>
              <w:t>预算    资金</w:t>
            </w:r>
          </w:p>
        </w:tc>
        <w:tc>
          <w:tcPr>
            <w:tcW w:w="1134" w:type="dxa"/>
            <w:vMerge w:val="continue"/>
          </w:tcPr>
          <w:p w14:paraId="62F9F70C"/>
        </w:tc>
        <w:tc>
          <w:tcPr>
            <w:tcW w:w="1134" w:type="dxa"/>
            <w:vMerge w:val="continue"/>
          </w:tcPr>
          <w:p w14:paraId="5F503CFE"/>
        </w:tc>
        <w:tc>
          <w:tcPr>
            <w:tcW w:w="709" w:type="dxa"/>
            <w:vMerge w:val="continue"/>
          </w:tcPr>
          <w:p w14:paraId="06566DEC"/>
        </w:tc>
        <w:tc>
          <w:tcPr>
            <w:tcW w:w="850" w:type="dxa"/>
            <w:vMerge w:val="continue"/>
          </w:tcPr>
          <w:p w14:paraId="5DD94444"/>
        </w:tc>
        <w:tc>
          <w:tcPr>
            <w:tcW w:w="850" w:type="dxa"/>
            <w:vMerge w:val="continue"/>
          </w:tcPr>
          <w:p w14:paraId="7CCCE352"/>
        </w:tc>
        <w:tc>
          <w:tcPr>
            <w:tcW w:w="964" w:type="dxa"/>
            <w:vAlign w:val="center"/>
          </w:tcPr>
          <w:p w14:paraId="324D8F71">
            <w:pPr>
              <w:pStyle w:val="10"/>
            </w:pPr>
            <w:r>
              <w:t>合计</w:t>
            </w:r>
          </w:p>
        </w:tc>
        <w:tc>
          <w:tcPr>
            <w:tcW w:w="964" w:type="dxa"/>
            <w:vAlign w:val="center"/>
          </w:tcPr>
          <w:p w14:paraId="3C92421E">
            <w:pPr>
              <w:pStyle w:val="10"/>
            </w:pPr>
            <w:r>
              <w:t>一般公共预算拨款</w:t>
            </w:r>
          </w:p>
        </w:tc>
        <w:tc>
          <w:tcPr>
            <w:tcW w:w="964" w:type="dxa"/>
            <w:vAlign w:val="center"/>
          </w:tcPr>
          <w:p w14:paraId="034EB44E">
            <w:pPr>
              <w:pStyle w:val="10"/>
            </w:pPr>
            <w:r>
              <w:t>基金预算拨款</w:t>
            </w:r>
          </w:p>
        </w:tc>
        <w:tc>
          <w:tcPr>
            <w:tcW w:w="964" w:type="dxa"/>
            <w:vAlign w:val="center"/>
          </w:tcPr>
          <w:p w14:paraId="43AC4FFC">
            <w:pPr>
              <w:pStyle w:val="10"/>
            </w:pPr>
            <w:r>
              <w:t>国有资本经营预算拨款</w:t>
            </w:r>
          </w:p>
        </w:tc>
        <w:tc>
          <w:tcPr>
            <w:tcW w:w="964" w:type="dxa"/>
            <w:vAlign w:val="center"/>
          </w:tcPr>
          <w:p w14:paraId="5917DD36">
            <w:pPr>
              <w:pStyle w:val="10"/>
            </w:pPr>
            <w:r>
              <w:t>财政专户核拨</w:t>
            </w:r>
          </w:p>
        </w:tc>
        <w:tc>
          <w:tcPr>
            <w:tcW w:w="964" w:type="dxa"/>
            <w:vAlign w:val="center"/>
          </w:tcPr>
          <w:p w14:paraId="24A45ED6">
            <w:pPr>
              <w:pStyle w:val="10"/>
            </w:pPr>
            <w:r>
              <w:t>单位    资金</w:t>
            </w:r>
          </w:p>
        </w:tc>
        <w:tc>
          <w:tcPr>
            <w:tcW w:w="964" w:type="dxa"/>
            <w:vAlign w:val="center"/>
          </w:tcPr>
          <w:p w14:paraId="39FDE85E">
            <w:pPr>
              <w:pStyle w:val="10"/>
            </w:pPr>
            <w:r>
              <w:t>财政拨款结转</w:t>
            </w:r>
          </w:p>
        </w:tc>
        <w:tc>
          <w:tcPr>
            <w:tcW w:w="964" w:type="dxa"/>
            <w:vAlign w:val="center"/>
          </w:tcPr>
          <w:p w14:paraId="59F0CE98">
            <w:pPr>
              <w:pStyle w:val="10"/>
            </w:pPr>
            <w:r>
              <w:t>非财政拨款结余</w:t>
            </w:r>
          </w:p>
        </w:tc>
        <w:tc>
          <w:tcPr>
            <w:tcW w:w="964" w:type="dxa"/>
            <w:vMerge w:val="continue"/>
          </w:tcPr>
          <w:p w14:paraId="2703C5F1"/>
        </w:tc>
      </w:tr>
      <w:tr w14:paraId="7BB2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1364D7">
            <w:pPr>
              <w:pStyle w:val="14"/>
            </w:pPr>
            <w:r>
              <w:t>合  计</w:t>
            </w:r>
          </w:p>
        </w:tc>
        <w:tc>
          <w:tcPr>
            <w:tcW w:w="964" w:type="dxa"/>
            <w:vAlign w:val="center"/>
          </w:tcPr>
          <w:p w14:paraId="0CE84627">
            <w:pPr>
              <w:pStyle w:val="15"/>
            </w:pPr>
          </w:p>
        </w:tc>
        <w:tc>
          <w:tcPr>
            <w:tcW w:w="1134" w:type="dxa"/>
            <w:vAlign w:val="center"/>
          </w:tcPr>
          <w:p w14:paraId="391B3DD6">
            <w:pPr>
              <w:pStyle w:val="16"/>
            </w:pPr>
          </w:p>
        </w:tc>
        <w:tc>
          <w:tcPr>
            <w:tcW w:w="1134" w:type="dxa"/>
            <w:vAlign w:val="center"/>
          </w:tcPr>
          <w:p w14:paraId="00414DB0">
            <w:pPr>
              <w:pStyle w:val="16"/>
            </w:pPr>
          </w:p>
        </w:tc>
        <w:tc>
          <w:tcPr>
            <w:tcW w:w="709" w:type="dxa"/>
            <w:vAlign w:val="center"/>
          </w:tcPr>
          <w:p w14:paraId="1F610F9E">
            <w:pPr>
              <w:pStyle w:val="14"/>
            </w:pPr>
          </w:p>
        </w:tc>
        <w:tc>
          <w:tcPr>
            <w:tcW w:w="850" w:type="dxa"/>
            <w:vAlign w:val="center"/>
          </w:tcPr>
          <w:p w14:paraId="21D10AB7">
            <w:pPr>
              <w:pStyle w:val="15"/>
            </w:pPr>
          </w:p>
        </w:tc>
        <w:tc>
          <w:tcPr>
            <w:tcW w:w="850" w:type="dxa"/>
            <w:vAlign w:val="center"/>
          </w:tcPr>
          <w:p w14:paraId="6405B51A">
            <w:pPr>
              <w:pStyle w:val="15"/>
            </w:pPr>
          </w:p>
        </w:tc>
        <w:tc>
          <w:tcPr>
            <w:tcW w:w="964" w:type="dxa"/>
            <w:vAlign w:val="center"/>
          </w:tcPr>
          <w:p w14:paraId="48CCA5B4">
            <w:pPr>
              <w:pStyle w:val="15"/>
            </w:pPr>
            <w:r>
              <w:t>0.55</w:t>
            </w:r>
          </w:p>
        </w:tc>
        <w:tc>
          <w:tcPr>
            <w:tcW w:w="964" w:type="dxa"/>
            <w:vAlign w:val="center"/>
          </w:tcPr>
          <w:p w14:paraId="009307BE">
            <w:pPr>
              <w:pStyle w:val="15"/>
            </w:pPr>
            <w:r>
              <w:t>0.55</w:t>
            </w:r>
          </w:p>
        </w:tc>
        <w:tc>
          <w:tcPr>
            <w:tcW w:w="964" w:type="dxa"/>
            <w:vAlign w:val="center"/>
          </w:tcPr>
          <w:p w14:paraId="490F5F88">
            <w:pPr>
              <w:pStyle w:val="15"/>
            </w:pPr>
          </w:p>
        </w:tc>
        <w:tc>
          <w:tcPr>
            <w:tcW w:w="964" w:type="dxa"/>
            <w:vAlign w:val="center"/>
          </w:tcPr>
          <w:p w14:paraId="7E55A96F">
            <w:pPr>
              <w:pStyle w:val="15"/>
            </w:pPr>
          </w:p>
        </w:tc>
        <w:tc>
          <w:tcPr>
            <w:tcW w:w="964" w:type="dxa"/>
            <w:vAlign w:val="center"/>
          </w:tcPr>
          <w:p w14:paraId="64C51180">
            <w:pPr>
              <w:pStyle w:val="15"/>
            </w:pPr>
          </w:p>
        </w:tc>
        <w:tc>
          <w:tcPr>
            <w:tcW w:w="964" w:type="dxa"/>
            <w:vAlign w:val="center"/>
          </w:tcPr>
          <w:p w14:paraId="03ADFFCA">
            <w:pPr>
              <w:pStyle w:val="15"/>
            </w:pPr>
          </w:p>
        </w:tc>
        <w:tc>
          <w:tcPr>
            <w:tcW w:w="964" w:type="dxa"/>
            <w:vAlign w:val="center"/>
          </w:tcPr>
          <w:p w14:paraId="227733C1">
            <w:pPr>
              <w:pStyle w:val="15"/>
            </w:pPr>
          </w:p>
        </w:tc>
        <w:tc>
          <w:tcPr>
            <w:tcW w:w="964" w:type="dxa"/>
            <w:vAlign w:val="center"/>
          </w:tcPr>
          <w:p w14:paraId="22909C1D">
            <w:pPr>
              <w:pStyle w:val="15"/>
            </w:pPr>
          </w:p>
        </w:tc>
        <w:tc>
          <w:tcPr>
            <w:tcW w:w="964" w:type="dxa"/>
            <w:vAlign w:val="center"/>
          </w:tcPr>
          <w:p w14:paraId="227D4922">
            <w:pPr>
              <w:pStyle w:val="15"/>
            </w:pPr>
            <w:r>
              <w:t>0.55</w:t>
            </w:r>
          </w:p>
        </w:tc>
      </w:tr>
      <w:tr w14:paraId="7BD1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9B0527">
            <w:pPr>
              <w:pStyle w:val="14"/>
            </w:pPr>
            <w:r>
              <w:t>隆尧县大张庄中学小计</w:t>
            </w:r>
          </w:p>
        </w:tc>
        <w:tc>
          <w:tcPr>
            <w:tcW w:w="964" w:type="dxa"/>
            <w:vAlign w:val="center"/>
          </w:tcPr>
          <w:p w14:paraId="3A9EE993">
            <w:pPr>
              <w:pStyle w:val="15"/>
            </w:pPr>
          </w:p>
        </w:tc>
        <w:tc>
          <w:tcPr>
            <w:tcW w:w="1134" w:type="dxa"/>
            <w:vAlign w:val="center"/>
          </w:tcPr>
          <w:p w14:paraId="6FA4E547">
            <w:pPr>
              <w:pStyle w:val="16"/>
            </w:pPr>
          </w:p>
        </w:tc>
        <w:tc>
          <w:tcPr>
            <w:tcW w:w="1134" w:type="dxa"/>
            <w:vAlign w:val="center"/>
          </w:tcPr>
          <w:p w14:paraId="14313CB2">
            <w:pPr>
              <w:pStyle w:val="16"/>
            </w:pPr>
          </w:p>
        </w:tc>
        <w:tc>
          <w:tcPr>
            <w:tcW w:w="709" w:type="dxa"/>
            <w:vAlign w:val="center"/>
          </w:tcPr>
          <w:p w14:paraId="767834B1">
            <w:pPr>
              <w:pStyle w:val="14"/>
            </w:pPr>
          </w:p>
        </w:tc>
        <w:tc>
          <w:tcPr>
            <w:tcW w:w="850" w:type="dxa"/>
            <w:vAlign w:val="center"/>
          </w:tcPr>
          <w:p w14:paraId="03BF1D5E">
            <w:pPr>
              <w:pStyle w:val="15"/>
            </w:pPr>
          </w:p>
        </w:tc>
        <w:tc>
          <w:tcPr>
            <w:tcW w:w="850" w:type="dxa"/>
            <w:vAlign w:val="center"/>
          </w:tcPr>
          <w:p w14:paraId="3720B6D6">
            <w:pPr>
              <w:pStyle w:val="15"/>
            </w:pPr>
          </w:p>
        </w:tc>
        <w:tc>
          <w:tcPr>
            <w:tcW w:w="964" w:type="dxa"/>
            <w:vAlign w:val="center"/>
          </w:tcPr>
          <w:p w14:paraId="2BB5EAE7">
            <w:pPr>
              <w:pStyle w:val="15"/>
            </w:pPr>
            <w:r>
              <w:t>0.55</w:t>
            </w:r>
          </w:p>
        </w:tc>
        <w:tc>
          <w:tcPr>
            <w:tcW w:w="964" w:type="dxa"/>
            <w:vAlign w:val="center"/>
          </w:tcPr>
          <w:p w14:paraId="6B14432B">
            <w:pPr>
              <w:pStyle w:val="15"/>
            </w:pPr>
            <w:r>
              <w:t>0.55</w:t>
            </w:r>
          </w:p>
        </w:tc>
        <w:tc>
          <w:tcPr>
            <w:tcW w:w="964" w:type="dxa"/>
            <w:vAlign w:val="center"/>
          </w:tcPr>
          <w:p w14:paraId="2FDC9EEC">
            <w:pPr>
              <w:pStyle w:val="15"/>
            </w:pPr>
          </w:p>
        </w:tc>
        <w:tc>
          <w:tcPr>
            <w:tcW w:w="964" w:type="dxa"/>
            <w:vAlign w:val="center"/>
          </w:tcPr>
          <w:p w14:paraId="78A38E5E">
            <w:pPr>
              <w:pStyle w:val="15"/>
            </w:pPr>
          </w:p>
        </w:tc>
        <w:tc>
          <w:tcPr>
            <w:tcW w:w="964" w:type="dxa"/>
            <w:vAlign w:val="center"/>
          </w:tcPr>
          <w:p w14:paraId="1C5C892B">
            <w:pPr>
              <w:pStyle w:val="15"/>
            </w:pPr>
          </w:p>
        </w:tc>
        <w:tc>
          <w:tcPr>
            <w:tcW w:w="964" w:type="dxa"/>
            <w:vAlign w:val="center"/>
          </w:tcPr>
          <w:p w14:paraId="17D7BC52">
            <w:pPr>
              <w:pStyle w:val="15"/>
            </w:pPr>
          </w:p>
        </w:tc>
        <w:tc>
          <w:tcPr>
            <w:tcW w:w="964" w:type="dxa"/>
            <w:vAlign w:val="center"/>
          </w:tcPr>
          <w:p w14:paraId="43954662">
            <w:pPr>
              <w:pStyle w:val="15"/>
            </w:pPr>
          </w:p>
        </w:tc>
        <w:tc>
          <w:tcPr>
            <w:tcW w:w="964" w:type="dxa"/>
            <w:vAlign w:val="center"/>
          </w:tcPr>
          <w:p w14:paraId="4EE01E8A">
            <w:pPr>
              <w:pStyle w:val="15"/>
            </w:pPr>
          </w:p>
        </w:tc>
        <w:tc>
          <w:tcPr>
            <w:tcW w:w="964" w:type="dxa"/>
            <w:vAlign w:val="center"/>
          </w:tcPr>
          <w:p w14:paraId="4BC980B3">
            <w:pPr>
              <w:pStyle w:val="15"/>
            </w:pPr>
            <w:r>
              <w:t>0.55</w:t>
            </w:r>
          </w:p>
        </w:tc>
      </w:tr>
      <w:tr w14:paraId="5C61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246457">
            <w:pPr>
              <w:pStyle w:val="12"/>
            </w:pPr>
            <w:r>
              <w:t>冀财教[2025]121号/中央/2026年义教补助经费/大张庄中学公用经费</w:t>
            </w:r>
          </w:p>
        </w:tc>
        <w:tc>
          <w:tcPr>
            <w:tcW w:w="964" w:type="dxa"/>
            <w:vAlign w:val="center"/>
          </w:tcPr>
          <w:p w14:paraId="004D2951">
            <w:pPr>
              <w:pStyle w:val="11"/>
            </w:pPr>
            <w:r>
              <w:t>30.02</w:t>
            </w:r>
          </w:p>
        </w:tc>
        <w:tc>
          <w:tcPr>
            <w:tcW w:w="1134" w:type="dxa"/>
            <w:vAlign w:val="center"/>
          </w:tcPr>
          <w:p w14:paraId="7A0BFD85">
            <w:pPr>
              <w:pStyle w:val="12"/>
            </w:pPr>
            <w:r>
              <w:t>便携式计算机</w:t>
            </w:r>
          </w:p>
        </w:tc>
        <w:tc>
          <w:tcPr>
            <w:tcW w:w="1134" w:type="dxa"/>
            <w:vAlign w:val="center"/>
          </w:tcPr>
          <w:p w14:paraId="3274623D">
            <w:pPr>
              <w:pStyle w:val="12"/>
            </w:pPr>
            <w:r>
              <w:t>A02010108</w:t>
            </w:r>
          </w:p>
        </w:tc>
        <w:tc>
          <w:tcPr>
            <w:tcW w:w="709" w:type="dxa"/>
            <w:vAlign w:val="center"/>
          </w:tcPr>
          <w:p w14:paraId="233D173A">
            <w:pPr>
              <w:pStyle w:val="13"/>
            </w:pPr>
            <w:r>
              <w:t>台</w:t>
            </w:r>
          </w:p>
        </w:tc>
        <w:tc>
          <w:tcPr>
            <w:tcW w:w="850" w:type="dxa"/>
            <w:vAlign w:val="center"/>
          </w:tcPr>
          <w:p w14:paraId="505E2220">
            <w:pPr>
              <w:pStyle w:val="11"/>
            </w:pPr>
            <w:r>
              <w:t>1</w:t>
            </w:r>
          </w:p>
        </w:tc>
        <w:tc>
          <w:tcPr>
            <w:tcW w:w="850" w:type="dxa"/>
            <w:vAlign w:val="center"/>
          </w:tcPr>
          <w:p w14:paraId="6469A214">
            <w:pPr>
              <w:pStyle w:val="11"/>
            </w:pPr>
            <w:r>
              <w:t>0.55</w:t>
            </w:r>
          </w:p>
        </w:tc>
        <w:tc>
          <w:tcPr>
            <w:tcW w:w="964" w:type="dxa"/>
            <w:vAlign w:val="center"/>
          </w:tcPr>
          <w:p w14:paraId="0C3C6377">
            <w:pPr>
              <w:pStyle w:val="11"/>
            </w:pPr>
            <w:r>
              <w:t>0.55</w:t>
            </w:r>
          </w:p>
        </w:tc>
        <w:tc>
          <w:tcPr>
            <w:tcW w:w="964" w:type="dxa"/>
            <w:vAlign w:val="center"/>
          </w:tcPr>
          <w:p w14:paraId="2670DA2E">
            <w:pPr>
              <w:pStyle w:val="11"/>
            </w:pPr>
            <w:r>
              <w:t>0.55</w:t>
            </w:r>
          </w:p>
        </w:tc>
        <w:tc>
          <w:tcPr>
            <w:tcW w:w="964" w:type="dxa"/>
            <w:vAlign w:val="center"/>
          </w:tcPr>
          <w:p w14:paraId="5A61B7E2">
            <w:pPr>
              <w:pStyle w:val="11"/>
            </w:pPr>
          </w:p>
        </w:tc>
        <w:tc>
          <w:tcPr>
            <w:tcW w:w="964" w:type="dxa"/>
            <w:vAlign w:val="center"/>
          </w:tcPr>
          <w:p w14:paraId="1AC4A89C">
            <w:pPr>
              <w:pStyle w:val="11"/>
            </w:pPr>
          </w:p>
        </w:tc>
        <w:tc>
          <w:tcPr>
            <w:tcW w:w="964" w:type="dxa"/>
            <w:vAlign w:val="center"/>
          </w:tcPr>
          <w:p w14:paraId="54CB6A04">
            <w:pPr>
              <w:pStyle w:val="11"/>
            </w:pPr>
          </w:p>
        </w:tc>
        <w:tc>
          <w:tcPr>
            <w:tcW w:w="964" w:type="dxa"/>
            <w:vAlign w:val="center"/>
          </w:tcPr>
          <w:p w14:paraId="0C265ED8">
            <w:pPr>
              <w:pStyle w:val="11"/>
            </w:pPr>
          </w:p>
        </w:tc>
        <w:tc>
          <w:tcPr>
            <w:tcW w:w="964" w:type="dxa"/>
            <w:vAlign w:val="center"/>
          </w:tcPr>
          <w:p w14:paraId="06D3FC06">
            <w:pPr>
              <w:pStyle w:val="11"/>
            </w:pPr>
          </w:p>
        </w:tc>
        <w:tc>
          <w:tcPr>
            <w:tcW w:w="964" w:type="dxa"/>
            <w:vAlign w:val="center"/>
          </w:tcPr>
          <w:p w14:paraId="5EA9CCD3">
            <w:pPr>
              <w:pStyle w:val="11"/>
            </w:pPr>
          </w:p>
        </w:tc>
        <w:tc>
          <w:tcPr>
            <w:tcW w:w="964" w:type="dxa"/>
            <w:vAlign w:val="center"/>
          </w:tcPr>
          <w:p w14:paraId="5F3102FE">
            <w:pPr>
              <w:pStyle w:val="11"/>
            </w:pPr>
            <w:r>
              <w:t>0.55</w:t>
            </w:r>
          </w:p>
        </w:tc>
      </w:tr>
    </w:tbl>
    <w:p w14:paraId="3603D22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7850BE">
      <w:pPr>
        <w:spacing w:before="0" w:after="0"/>
        <w:ind w:firstLine="640"/>
        <w:jc w:val="left"/>
        <w:outlineLvl w:val="9"/>
      </w:pPr>
      <w:r>
        <w:rPr>
          <w:rFonts w:ascii="Times New Roman" w:hAnsi="Times New Roman" w:eastAsia="方正仿宋_GBK" w:cs="Times New Roman"/>
          <w:color w:val="000000"/>
          <w:sz w:val="32"/>
        </w:rPr>
        <w:t xml:space="preserve"> </w:t>
      </w:r>
    </w:p>
    <w:p w14:paraId="3128B9F2">
      <w:pPr>
        <w:spacing w:before="10" w:after="10" w:line="240" w:lineRule="auto"/>
        <w:ind w:firstLine="640"/>
        <w:jc w:val="left"/>
        <w:outlineLvl w:val="5"/>
      </w:pPr>
      <w:r>
        <w:rPr>
          <w:rFonts w:ascii="黑体" w:hAnsi="黑体" w:eastAsia="黑体" w:cs="黑体"/>
          <w:color w:val="000000"/>
          <w:sz w:val="32"/>
        </w:rPr>
        <w:t>七、国有资产信息</w:t>
      </w:r>
    </w:p>
    <w:p w14:paraId="38320FB7">
      <w:pPr>
        <w:spacing w:before="0" w:after="0" w:line="500" w:lineRule="exact"/>
        <w:ind w:firstLine="560"/>
        <w:jc w:val="left"/>
        <w:outlineLvl w:val="9"/>
      </w:pPr>
      <w:r>
        <w:rPr>
          <w:rFonts w:ascii="Times New Roman" w:hAnsi="Times New Roman" w:eastAsia="方正仿宋_GBK" w:cs="Times New Roman"/>
          <w:b w:val="0"/>
          <w:color w:val="000000"/>
          <w:sz w:val="28"/>
        </w:rPr>
        <w:t>隆尧县大张庄中学上年末固定资产金额为698.34万元（详见下表）。本年度拟购置固定资产总额为8.40万元，已按要求列入政府采购预算，详见政府采购预算表。</w:t>
      </w:r>
    </w:p>
    <w:p w14:paraId="5872253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FF3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51D51D5">
            <w:pPr>
              <w:pStyle w:val="9"/>
            </w:pPr>
            <w:r>
              <w:t>360033隆尧县大张庄中学</w:t>
            </w:r>
          </w:p>
        </w:tc>
        <w:tc>
          <w:tcPr>
            <w:tcW w:w="5670" w:type="dxa"/>
            <w:gridSpan w:val="2"/>
            <w:tcBorders>
              <w:top w:val="single" w:color="FFFFFF" w:sz="6" w:space="0"/>
              <w:left w:val="single" w:color="FFFFFF" w:sz="6" w:space="0"/>
              <w:right w:val="single" w:color="FFFFFF" w:sz="6" w:space="0"/>
            </w:tcBorders>
            <w:vAlign w:val="center"/>
          </w:tcPr>
          <w:p w14:paraId="1BD6DF02">
            <w:pPr>
              <w:pStyle w:val="7"/>
            </w:pPr>
            <w:r>
              <w:t>截止时间：2025-12-31</w:t>
            </w:r>
          </w:p>
        </w:tc>
      </w:tr>
      <w:tr w14:paraId="08D1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BB4142">
            <w:pPr>
              <w:pStyle w:val="10"/>
            </w:pPr>
            <w:r>
              <w:t>项   目</w:t>
            </w:r>
          </w:p>
        </w:tc>
        <w:tc>
          <w:tcPr>
            <w:tcW w:w="2835" w:type="dxa"/>
            <w:vAlign w:val="center"/>
          </w:tcPr>
          <w:p w14:paraId="689238D3">
            <w:pPr>
              <w:pStyle w:val="10"/>
            </w:pPr>
            <w:r>
              <w:t>数量</w:t>
            </w:r>
          </w:p>
        </w:tc>
        <w:tc>
          <w:tcPr>
            <w:tcW w:w="2835" w:type="dxa"/>
            <w:vAlign w:val="center"/>
          </w:tcPr>
          <w:p w14:paraId="415D1AC9">
            <w:pPr>
              <w:pStyle w:val="10"/>
            </w:pPr>
            <w:r>
              <w:t>价值（金额单位：万元）</w:t>
            </w:r>
          </w:p>
        </w:tc>
      </w:tr>
      <w:tr w14:paraId="0CD5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18144C">
            <w:pPr>
              <w:pStyle w:val="12"/>
            </w:pPr>
            <w:r>
              <w:t>资产总额</w:t>
            </w:r>
          </w:p>
        </w:tc>
        <w:tc>
          <w:tcPr>
            <w:tcW w:w="2835" w:type="dxa"/>
            <w:vAlign w:val="center"/>
          </w:tcPr>
          <w:p w14:paraId="58B8A265">
            <w:pPr>
              <w:pStyle w:val="13"/>
            </w:pPr>
          </w:p>
        </w:tc>
        <w:tc>
          <w:tcPr>
            <w:tcW w:w="2835" w:type="dxa"/>
            <w:vAlign w:val="center"/>
          </w:tcPr>
          <w:p w14:paraId="6C0362BB">
            <w:pPr>
              <w:pStyle w:val="11"/>
            </w:pPr>
            <w:r>
              <w:t>698.34</w:t>
            </w:r>
          </w:p>
        </w:tc>
      </w:tr>
      <w:tr w14:paraId="50CB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8209D4">
            <w:pPr>
              <w:pStyle w:val="12"/>
            </w:pPr>
            <w:r>
              <w:t>1、房屋（平方米）</w:t>
            </w:r>
          </w:p>
        </w:tc>
        <w:tc>
          <w:tcPr>
            <w:tcW w:w="2835" w:type="dxa"/>
            <w:vAlign w:val="center"/>
          </w:tcPr>
          <w:p w14:paraId="43ED36AD">
            <w:pPr>
              <w:pStyle w:val="13"/>
            </w:pPr>
            <w:r>
              <w:t>5190.81</w:t>
            </w:r>
          </w:p>
        </w:tc>
        <w:tc>
          <w:tcPr>
            <w:tcW w:w="2835" w:type="dxa"/>
            <w:vAlign w:val="center"/>
          </w:tcPr>
          <w:p w14:paraId="6A18D346">
            <w:pPr>
              <w:pStyle w:val="11"/>
            </w:pPr>
            <w:r>
              <w:t>507.15</w:t>
            </w:r>
          </w:p>
        </w:tc>
      </w:tr>
      <w:tr w14:paraId="2A74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D83589">
            <w:pPr>
              <w:pStyle w:val="12"/>
            </w:pPr>
            <w:r>
              <w:t>　　其中：办公用房（平方米）</w:t>
            </w:r>
          </w:p>
        </w:tc>
        <w:tc>
          <w:tcPr>
            <w:tcW w:w="2835" w:type="dxa"/>
            <w:vAlign w:val="center"/>
          </w:tcPr>
          <w:p w14:paraId="720D5CA1">
            <w:pPr>
              <w:pStyle w:val="13"/>
            </w:pPr>
            <w:r>
              <w:t>756</w:t>
            </w:r>
          </w:p>
        </w:tc>
        <w:tc>
          <w:tcPr>
            <w:tcW w:w="2835" w:type="dxa"/>
            <w:vAlign w:val="center"/>
          </w:tcPr>
          <w:p w14:paraId="26F8F74D">
            <w:pPr>
              <w:pStyle w:val="11"/>
            </w:pPr>
            <w:r>
              <w:t>73.86</w:t>
            </w:r>
          </w:p>
        </w:tc>
      </w:tr>
      <w:tr w14:paraId="0551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14B8B7">
            <w:pPr>
              <w:pStyle w:val="12"/>
            </w:pPr>
            <w:r>
              <w:t>2、车辆（台、辆）</w:t>
            </w:r>
          </w:p>
        </w:tc>
        <w:tc>
          <w:tcPr>
            <w:tcW w:w="2835" w:type="dxa"/>
            <w:vAlign w:val="center"/>
          </w:tcPr>
          <w:p w14:paraId="6D480508">
            <w:pPr>
              <w:pStyle w:val="13"/>
            </w:pPr>
          </w:p>
        </w:tc>
        <w:tc>
          <w:tcPr>
            <w:tcW w:w="2835" w:type="dxa"/>
            <w:vAlign w:val="center"/>
          </w:tcPr>
          <w:p w14:paraId="522ADA2D">
            <w:pPr>
              <w:pStyle w:val="11"/>
            </w:pPr>
          </w:p>
        </w:tc>
      </w:tr>
      <w:tr w14:paraId="4672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7D3C2E">
            <w:pPr>
              <w:pStyle w:val="12"/>
            </w:pPr>
            <w:r>
              <w:t>3、单价在20万元以上的设备</w:t>
            </w:r>
          </w:p>
        </w:tc>
        <w:tc>
          <w:tcPr>
            <w:tcW w:w="2835" w:type="dxa"/>
            <w:vAlign w:val="center"/>
          </w:tcPr>
          <w:p w14:paraId="7EBCF582">
            <w:pPr>
              <w:pStyle w:val="13"/>
            </w:pPr>
          </w:p>
        </w:tc>
        <w:tc>
          <w:tcPr>
            <w:tcW w:w="2835" w:type="dxa"/>
            <w:vAlign w:val="center"/>
          </w:tcPr>
          <w:p w14:paraId="0785A383">
            <w:pPr>
              <w:pStyle w:val="11"/>
            </w:pPr>
          </w:p>
        </w:tc>
      </w:tr>
      <w:tr w14:paraId="3CE8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694381">
            <w:pPr>
              <w:pStyle w:val="12"/>
            </w:pPr>
            <w:r>
              <w:t>4、其他固定资产</w:t>
            </w:r>
          </w:p>
        </w:tc>
        <w:tc>
          <w:tcPr>
            <w:tcW w:w="2835" w:type="dxa"/>
            <w:vAlign w:val="center"/>
          </w:tcPr>
          <w:p w14:paraId="4C46D8EC">
            <w:pPr>
              <w:pStyle w:val="13"/>
            </w:pPr>
            <w:r>
              <w:t>4820</w:t>
            </w:r>
          </w:p>
        </w:tc>
        <w:tc>
          <w:tcPr>
            <w:tcW w:w="2835" w:type="dxa"/>
            <w:vAlign w:val="center"/>
          </w:tcPr>
          <w:p w14:paraId="2FEF004E">
            <w:pPr>
              <w:pStyle w:val="11"/>
            </w:pPr>
            <w:r>
              <w:t>191.19</w:t>
            </w:r>
          </w:p>
        </w:tc>
      </w:tr>
    </w:tbl>
    <w:p w14:paraId="2D1A087B">
      <w:pPr>
        <w:spacing w:before="0" w:after="0"/>
        <w:ind w:firstLine="640"/>
        <w:jc w:val="left"/>
        <w:outlineLvl w:val="9"/>
      </w:pPr>
      <w:r>
        <w:rPr>
          <w:rFonts w:ascii="Times New Roman" w:hAnsi="Times New Roman" w:eastAsia="方正仿宋_GBK" w:cs="Times New Roman"/>
          <w:color w:val="000000"/>
          <w:sz w:val="32"/>
        </w:rPr>
        <w:t xml:space="preserve"> </w:t>
      </w:r>
    </w:p>
    <w:p w14:paraId="00234027">
      <w:pPr>
        <w:spacing w:before="10" w:after="10" w:line="240" w:lineRule="auto"/>
        <w:ind w:firstLine="640"/>
        <w:jc w:val="left"/>
        <w:outlineLvl w:val="5"/>
      </w:pPr>
      <w:r>
        <w:rPr>
          <w:rFonts w:ascii="黑体" w:hAnsi="黑体" w:eastAsia="黑体" w:cs="黑体"/>
          <w:color w:val="000000"/>
          <w:sz w:val="32"/>
        </w:rPr>
        <w:t>八、名词解释</w:t>
      </w:r>
    </w:p>
    <w:p w14:paraId="0A88C4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9CEF3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FB4D6C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94694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E121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6161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C488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D72E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601DA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E0FBD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4B9113">
      <w:pPr>
        <w:spacing w:before="10" w:after="10" w:line="240" w:lineRule="auto"/>
        <w:ind w:firstLine="640"/>
        <w:jc w:val="left"/>
        <w:outlineLvl w:val="5"/>
      </w:pPr>
      <w:r>
        <w:rPr>
          <w:rFonts w:ascii="黑体" w:hAnsi="黑体" w:eastAsia="黑体" w:cs="黑体"/>
          <w:color w:val="000000"/>
          <w:sz w:val="32"/>
        </w:rPr>
        <w:t>九、其他需要说明的事项</w:t>
      </w:r>
    </w:p>
    <w:p w14:paraId="5665079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5C9AAE2">
      <w:pPr>
        <w:spacing w:before="0" w:after="0"/>
        <w:ind w:firstLine="0"/>
        <w:jc w:val="center"/>
        <w:outlineLvl w:val="3"/>
      </w:pPr>
      <w:bookmarkStart w:id="32" w:name="_Toc_4_4_0000000033"/>
      <w:r>
        <w:rPr>
          <w:rFonts w:ascii="方正小标宋_GBK" w:hAnsi="方正小标宋_GBK" w:eastAsia="方正小标宋_GBK" w:cs="方正小标宋_GBK"/>
          <w:b w:val="0"/>
          <w:color w:val="000000"/>
          <w:sz w:val="44"/>
        </w:rPr>
        <w:t>三十三、隆尧县莲子中学收支预算</w:t>
      </w:r>
      <w:bookmarkEnd w:id="32"/>
    </w:p>
    <w:p w14:paraId="12CB00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08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F5933C">
            <w:pPr>
              <w:pStyle w:val="9"/>
            </w:pPr>
            <w:r>
              <w:t>360034隆尧县莲子中学</w:t>
            </w:r>
          </w:p>
        </w:tc>
        <w:tc>
          <w:tcPr>
            <w:tcW w:w="2126" w:type="dxa"/>
            <w:tcBorders>
              <w:top w:val="single" w:color="FFFFFF" w:sz="6" w:space="0"/>
              <w:left w:val="single" w:color="FFFFFF" w:sz="6" w:space="0"/>
              <w:right w:val="single" w:color="FFFFFF" w:sz="6" w:space="0"/>
            </w:tcBorders>
            <w:vAlign w:val="center"/>
          </w:tcPr>
          <w:p w14:paraId="61EA4AF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5C11439">
            <w:pPr>
              <w:pStyle w:val="7"/>
            </w:pPr>
            <w:r>
              <w:t>单位：万元</w:t>
            </w:r>
          </w:p>
        </w:tc>
      </w:tr>
      <w:tr w14:paraId="630B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C0C7F">
            <w:pPr>
              <w:pStyle w:val="10"/>
            </w:pPr>
            <w:r>
              <w:t>序号</w:t>
            </w:r>
          </w:p>
        </w:tc>
        <w:tc>
          <w:tcPr>
            <w:tcW w:w="6661" w:type="dxa"/>
            <w:gridSpan w:val="2"/>
            <w:vAlign w:val="center"/>
          </w:tcPr>
          <w:p w14:paraId="26EE8F16">
            <w:pPr>
              <w:pStyle w:val="10"/>
            </w:pPr>
            <w:r>
              <w:t>收入</w:t>
            </w:r>
          </w:p>
        </w:tc>
        <w:tc>
          <w:tcPr>
            <w:tcW w:w="6661" w:type="dxa"/>
            <w:gridSpan w:val="2"/>
            <w:vAlign w:val="center"/>
          </w:tcPr>
          <w:p w14:paraId="0810F025">
            <w:pPr>
              <w:pStyle w:val="10"/>
            </w:pPr>
            <w:r>
              <w:t>支出</w:t>
            </w:r>
          </w:p>
        </w:tc>
      </w:tr>
      <w:tr w14:paraId="1599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9DA487"/>
        </w:tc>
        <w:tc>
          <w:tcPr>
            <w:tcW w:w="4535" w:type="dxa"/>
            <w:vAlign w:val="center"/>
          </w:tcPr>
          <w:p w14:paraId="03782214">
            <w:pPr>
              <w:pStyle w:val="10"/>
            </w:pPr>
            <w:r>
              <w:t>项  目</w:t>
            </w:r>
          </w:p>
        </w:tc>
        <w:tc>
          <w:tcPr>
            <w:tcW w:w="2126" w:type="dxa"/>
            <w:vAlign w:val="center"/>
          </w:tcPr>
          <w:p w14:paraId="31459420">
            <w:pPr>
              <w:pStyle w:val="10"/>
            </w:pPr>
            <w:r>
              <w:t>预算数</w:t>
            </w:r>
          </w:p>
        </w:tc>
        <w:tc>
          <w:tcPr>
            <w:tcW w:w="4535" w:type="dxa"/>
            <w:vAlign w:val="center"/>
          </w:tcPr>
          <w:p w14:paraId="02C5DC51">
            <w:pPr>
              <w:pStyle w:val="10"/>
            </w:pPr>
            <w:r>
              <w:t>项  目</w:t>
            </w:r>
          </w:p>
        </w:tc>
        <w:tc>
          <w:tcPr>
            <w:tcW w:w="2126" w:type="dxa"/>
            <w:vAlign w:val="center"/>
          </w:tcPr>
          <w:p w14:paraId="00E135FA">
            <w:pPr>
              <w:pStyle w:val="10"/>
            </w:pPr>
            <w:r>
              <w:t>预算数</w:t>
            </w:r>
          </w:p>
        </w:tc>
      </w:tr>
      <w:tr w14:paraId="4306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01831">
            <w:pPr>
              <w:pStyle w:val="10"/>
            </w:pPr>
            <w:r>
              <w:t>栏次</w:t>
            </w:r>
          </w:p>
        </w:tc>
        <w:tc>
          <w:tcPr>
            <w:tcW w:w="4535" w:type="dxa"/>
            <w:vAlign w:val="center"/>
          </w:tcPr>
          <w:p w14:paraId="206E6940">
            <w:pPr>
              <w:pStyle w:val="10"/>
            </w:pPr>
            <w:r>
              <w:t>1</w:t>
            </w:r>
          </w:p>
        </w:tc>
        <w:tc>
          <w:tcPr>
            <w:tcW w:w="2126" w:type="dxa"/>
            <w:vAlign w:val="center"/>
          </w:tcPr>
          <w:p w14:paraId="0A212A3E">
            <w:pPr>
              <w:pStyle w:val="10"/>
            </w:pPr>
            <w:r>
              <w:t>2</w:t>
            </w:r>
          </w:p>
        </w:tc>
        <w:tc>
          <w:tcPr>
            <w:tcW w:w="4535" w:type="dxa"/>
            <w:vAlign w:val="center"/>
          </w:tcPr>
          <w:p w14:paraId="04B8432E">
            <w:pPr>
              <w:pStyle w:val="10"/>
            </w:pPr>
            <w:r>
              <w:t>3</w:t>
            </w:r>
          </w:p>
        </w:tc>
        <w:tc>
          <w:tcPr>
            <w:tcW w:w="2126" w:type="dxa"/>
            <w:vAlign w:val="center"/>
          </w:tcPr>
          <w:p w14:paraId="427E0F37">
            <w:pPr>
              <w:pStyle w:val="10"/>
            </w:pPr>
            <w:r>
              <w:t>4</w:t>
            </w:r>
          </w:p>
        </w:tc>
      </w:tr>
      <w:tr w14:paraId="4BF6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35BD">
            <w:pPr>
              <w:pStyle w:val="13"/>
            </w:pPr>
            <w:r>
              <w:t>1</w:t>
            </w:r>
          </w:p>
        </w:tc>
        <w:tc>
          <w:tcPr>
            <w:tcW w:w="4535" w:type="dxa"/>
            <w:vAlign w:val="center"/>
          </w:tcPr>
          <w:p w14:paraId="12F66E03">
            <w:pPr>
              <w:pStyle w:val="12"/>
            </w:pPr>
            <w:r>
              <w:t>一、一般公共预算拨款收入</w:t>
            </w:r>
          </w:p>
        </w:tc>
        <w:tc>
          <w:tcPr>
            <w:tcW w:w="2126" w:type="dxa"/>
            <w:vAlign w:val="center"/>
          </w:tcPr>
          <w:p w14:paraId="04B45F5A">
            <w:pPr>
              <w:pStyle w:val="11"/>
            </w:pPr>
            <w:r>
              <w:t>713.61</w:t>
            </w:r>
          </w:p>
        </w:tc>
        <w:tc>
          <w:tcPr>
            <w:tcW w:w="4535" w:type="dxa"/>
            <w:vAlign w:val="center"/>
          </w:tcPr>
          <w:p w14:paraId="383CBB33">
            <w:pPr>
              <w:pStyle w:val="12"/>
            </w:pPr>
            <w:r>
              <w:t>一、一般公共服务支出</w:t>
            </w:r>
          </w:p>
        </w:tc>
        <w:tc>
          <w:tcPr>
            <w:tcW w:w="2126" w:type="dxa"/>
            <w:vAlign w:val="center"/>
          </w:tcPr>
          <w:p w14:paraId="773EF49D">
            <w:pPr>
              <w:pStyle w:val="11"/>
            </w:pPr>
          </w:p>
        </w:tc>
      </w:tr>
      <w:tr w14:paraId="1D75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1A93">
            <w:pPr>
              <w:pStyle w:val="13"/>
            </w:pPr>
            <w:r>
              <w:t>2</w:t>
            </w:r>
          </w:p>
        </w:tc>
        <w:tc>
          <w:tcPr>
            <w:tcW w:w="4535" w:type="dxa"/>
            <w:vAlign w:val="center"/>
          </w:tcPr>
          <w:p w14:paraId="2BAF02A8">
            <w:pPr>
              <w:pStyle w:val="12"/>
            </w:pPr>
            <w:r>
              <w:t>二、政府性基金预算拨款收入</w:t>
            </w:r>
          </w:p>
        </w:tc>
        <w:tc>
          <w:tcPr>
            <w:tcW w:w="2126" w:type="dxa"/>
            <w:vAlign w:val="center"/>
          </w:tcPr>
          <w:p w14:paraId="63E05AFC">
            <w:pPr>
              <w:pStyle w:val="11"/>
            </w:pPr>
          </w:p>
        </w:tc>
        <w:tc>
          <w:tcPr>
            <w:tcW w:w="4535" w:type="dxa"/>
            <w:vAlign w:val="center"/>
          </w:tcPr>
          <w:p w14:paraId="08DD6496">
            <w:pPr>
              <w:pStyle w:val="12"/>
            </w:pPr>
            <w:r>
              <w:t>二、外交支出</w:t>
            </w:r>
          </w:p>
        </w:tc>
        <w:tc>
          <w:tcPr>
            <w:tcW w:w="2126" w:type="dxa"/>
            <w:vAlign w:val="center"/>
          </w:tcPr>
          <w:p w14:paraId="1662518C">
            <w:pPr>
              <w:pStyle w:val="11"/>
            </w:pPr>
          </w:p>
        </w:tc>
      </w:tr>
      <w:tr w14:paraId="218F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2FCA2">
            <w:pPr>
              <w:pStyle w:val="13"/>
            </w:pPr>
            <w:r>
              <w:t>3</w:t>
            </w:r>
          </w:p>
        </w:tc>
        <w:tc>
          <w:tcPr>
            <w:tcW w:w="4535" w:type="dxa"/>
            <w:vAlign w:val="center"/>
          </w:tcPr>
          <w:p w14:paraId="280ACB47">
            <w:pPr>
              <w:pStyle w:val="12"/>
            </w:pPr>
            <w:r>
              <w:t>三、国有资本经营预算拨款收入</w:t>
            </w:r>
          </w:p>
        </w:tc>
        <w:tc>
          <w:tcPr>
            <w:tcW w:w="2126" w:type="dxa"/>
            <w:vAlign w:val="center"/>
          </w:tcPr>
          <w:p w14:paraId="519A51DF">
            <w:pPr>
              <w:pStyle w:val="11"/>
            </w:pPr>
          </w:p>
        </w:tc>
        <w:tc>
          <w:tcPr>
            <w:tcW w:w="4535" w:type="dxa"/>
            <w:vAlign w:val="center"/>
          </w:tcPr>
          <w:p w14:paraId="6F3692DF">
            <w:pPr>
              <w:pStyle w:val="12"/>
            </w:pPr>
            <w:r>
              <w:t>三、国防支出</w:t>
            </w:r>
          </w:p>
        </w:tc>
        <w:tc>
          <w:tcPr>
            <w:tcW w:w="2126" w:type="dxa"/>
            <w:vAlign w:val="center"/>
          </w:tcPr>
          <w:p w14:paraId="04D69087">
            <w:pPr>
              <w:pStyle w:val="11"/>
            </w:pPr>
          </w:p>
        </w:tc>
      </w:tr>
      <w:tr w14:paraId="6B9A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3D2F4">
            <w:pPr>
              <w:pStyle w:val="13"/>
            </w:pPr>
            <w:r>
              <w:t>4</w:t>
            </w:r>
          </w:p>
        </w:tc>
        <w:tc>
          <w:tcPr>
            <w:tcW w:w="4535" w:type="dxa"/>
            <w:vAlign w:val="center"/>
          </w:tcPr>
          <w:p w14:paraId="33670012">
            <w:pPr>
              <w:pStyle w:val="12"/>
            </w:pPr>
            <w:r>
              <w:t>四、财政专户管理资金收入</w:t>
            </w:r>
          </w:p>
        </w:tc>
        <w:tc>
          <w:tcPr>
            <w:tcW w:w="2126" w:type="dxa"/>
            <w:vAlign w:val="center"/>
          </w:tcPr>
          <w:p w14:paraId="5E32F3DB">
            <w:pPr>
              <w:pStyle w:val="11"/>
            </w:pPr>
          </w:p>
        </w:tc>
        <w:tc>
          <w:tcPr>
            <w:tcW w:w="4535" w:type="dxa"/>
            <w:vAlign w:val="center"/>
          </w:tcPr>
          <w:p w14:paraId="7B8032EF">
            <w:pPr>
              <w:pStyle w:val="12"/>
            </w:pPr>
            <w:r>
              <w:t>四、公共安全支出</w:t>
            </w:r>
          </w:p>
        </w:tc>
        <w:tc>
          <w:tcPr>
            <w:tcW w:w="2126" w:type="dxa"/>
            <w:vAlign w:val="center"/>
          </w:tcPr>
          <w:p w14:paraId="65E72472">
            <w:pPr>
              <w:pStyle w:val="11"/>
            </w:pPr>
          </w:p>
        </w:tc>
      </w:tr>
      <w:tr w14:paraId="0833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D0311">
            <w:pPr>
              <w:pStyle w:val="13"/>
            </w:pPr>
            <w:r>
              <w:t>5</w:t>
            </w:r>
          </w:p>
        </w:tc>
        <w:tc>
          <w:tcPr>
            <w:tcW w:w="4535" w:type="dxa"/>
            <w:vAlign w:val="center"/>
          </w:tcPr>
          <w:p w14:paraId="40709A1F">
            <w:pPr>
              <w:pStyle w:val="12"/>
            </w:pPr>
            <w:r>
              <w:t>五、单位资金</w:t>
            </w:r>
          </w:p>
        </w:tc>
        <w:tc>
          <w:tcPr>
            <w:tcW w:w="2126" w:type="dxa"/>
            <w:vAlign w:val="center"/>
          </w:tcPr>
          <w:p w14:paraId="1870724F">
            <w:pPr>
              <w:pStyle w:val="11"/>
            </w:pPr>
          </w:p>
        </w:tc>
        <w:tc>
          <w:tcPr>
            <w:tcW w:w="4535" w:type="dxa"/>
            <w:vAlign w:val="center"/>
          </w:tcPr>
          <w:p w14:paraId="3E18F87C">
            <w:pPr>
              <w:pStyle w:val="12"/>
            </w:pPr>
            <w:r>
              <w:t>五、教育支出</w:t>
            </w:r>
          </w:p>
        </w:tc>
        <w:tc>
          <w:tcPr>
            <w:tcW w:w="2126" w:type="dxa"/>
            <w:vAlign w:val="center"/>
          </w:tcPr>
          <w:p w14:paraId="528F76E7">
            <w:pPr>
              <w:pStyle w:val="11"/>
            </w:pPr>
            <w:r>
              <w:t>713.61</w:t>
            </w:r>
          </w:p>
        </w:tc>
      </w:tr>
      <w:tr w14:paraId="56A6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DB03">
            <w:pPr>
              <w:pStyle w:val="13"/>
            </w:pPr>
            <w:r>
              <w:t>6</w:t>
            </w:r>
          </w:p>
        </w:tc>
        <w:tc>
          <w:tcPr>
            <w:tcW w:w="4535" w:type="dxa"/>
            <w:vAlign w:val="center"/>
          </w:tcPr>
          <w:p w14:paraId="5D21C886">
            <w:pPr>
              <w:pStyle w:val="12"/>
            </w:pPr>
          </w:p>
        </w:tc>
        <w:tc>
          <w:tcPr>
            <w:tcW w:w="2126" w:type="dxa"/>
            <w:vAlign w:val="center"/>
          </w:tcPr>
          <w:p w14:paraId="22DE6264">
            <w:pPr>
              <w:pStyle w:val="11"/>
            </w:pPr>
          </w:p>
        </w:tc>
        <w:tc>
          <w:tcPr>
            <w:tcW w:w="4535" w:type="dxa"/>
            <w:vAlign w:val="center"/>
          </w:tcPr>
          <w:p w14:paraId="5DC9185B">
            <w:pPr>
              <w:pStyle w:val="12"/>
            </w:pPr>
            <w:r>
              <w:t>六、科学技术支出</w:t>
            </w:r>
          </w:p>
        </w:tc>
        <w:tc>
          <w:tcPr>
            <w:tcW w:w="2126" w:type="dxa"/>
            <w:vAlign w:val="center"/>
          </w:tcPr>
          <w:p w14:paraId="28F835BC">
            <w:pPr>
              <w:pStyle w:val="11"/>
            </w:pPr>
          </w:p>
        </w:tc>
      </w:tr>
      <w:tr w14:paraId="60B9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1331E">
            <w:pPr>
              <w:pStyle w:val="13"/>
            </w:pPr>
            <w:r>
              <w:t>7</w:t>
            </w:r>
          </w:p>
        </w:tc>
        <w:tc>
          <w:tcPr>
            <w:tcW w:w="4535" w:type="dxa"/>
            <w:vAlign w:val="center"/>
          </w:tcPr>
          <w:p w14:paraId="77316BEC">
            <w:pPr>
              <w:pStyle w:val="12"/>
            </w:pPr>
          </w:p>
        </w:tc>
        <w:tc>
          <w:tcPr>
            <w:tcW w:w="2126" w:type="dxa"/>
            <w:vAlign w:val="center"/>
          </w:tcPr>
          <w:p w14:paraId="1F1D2795">
            <w:pPr>
              <w:pStyle w:val="11"/>
            </w:pPr>
          </w:p>
        </w:tc>
        <w:tc>
          <w:tcPr>
            <w:tcW w:w="4535" w:type="dxa"/>
            <w:vAlign w:val="center"/>
          </w:tcPr>
          <w:p w14:paraId="1A33A4D5">
            <w:pPr>
              <w:pStyle w:val="12"/>
            </w:pPr>
            <w:r>
              <w:t>七、文化旅游体育与传媒支出</w:t>
            </w:r>
          </w:p>
        </w:tc>
        <w:tc>
          <w:tcPr>
            <w:tcW w:w="2126" w:type="dxa"/>
            <w:vAlign w:val="center"/>
          </w:tcPr>
          <w:p w14:paraId="6E5B7D66">
            <w:pPr>
              <w:pStyle w:val="11"/>
            </w:pPr>
          </w:p>
        </w:tc>
      </w:tr>
      <w:tr w14:paraId="4110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7E8A">
            <w:pPr>
              <w:pStyle w:val="13"/>
            </w:pPr>
            <w:r>
              <w:t>8</w:t>
            </w:r>
          </w:p>
        </w:tc>
        <w:tc>
          <w:tcPr>
            <w:tcW w:w="4535" w:type="dxa"/>
            <w:vAlign w:val="center"/>
          </w:tcPr>
          <w:p w14:paraId="736BC7A6">
            <w:pPr>
              <w:pStyle w:val="12"/>
            </w:pPr>
          </w:p>
        </w:tc>
        <w:tc>
          <w:tcPr>
            <w:tcW w:w="2126" w:type="dxa"/>
            <w:vAlign w:val="center"/>
          </w:tcPr>
          <w:p w14:paraId="259EE7FA">
            <w:pPr>
              <w:pStyle w:val="11"/>
            </w:pPr>
          </w:p>
        </w:tc>
        <w:tc>
          <w:tcPr>
            <w:tcW w:w="4535" w:type="dxa"/>
            <w:vAlign w:val="center"/>
          </w:tcPr>
          <w:p w14:paraId="7F161395">
            <w:pPr>
              <w:pStyle w:val="12"/>
            </w:pPr>
            <w:r>
              <w:t>八、社会保障和就业支出</w:t>
            </w:r>
          </w:p>
        </w:tc>
        <w:tc>
          <w:tcPr>
            <w:tcW w:w="2126" w:type="dxa"/>
            <w:vAlign w:val="center"/>
          </w:tcPr>
          <w:p w14:paraId="33FE315B">
            <w:pPr>
              <w:pStyle w:val="11"/>
            </w:pPr>
          </w:p>
        </w:tc>
      </w:tr>
      <w:tr w14:paraId="0590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00EB2">
            <w:pPr>
              <w:pStyle w:val="13"/>
            </w:pPr>
            <w:r>
              <w:t>9</w:t>
            </w:r>
          </w:p>
        </w:tc>
        <w:tc>
          <w:tcPr>
            <w:tcW w:w="4535" w:type="dxa"/>
            <w:vAlign w:val="center"/>
          </w:tcPr>
          <w:p w14:paraId="575C1EC4">
            <w:pPr>
              <w:pStyle w:val="12"/>
            </w:pPr>
          </w:p>
        </w:tc>
        <w:tc>
          <w:tcPr>
            <w:tcW w:w="2126" w:type="dxa"/>
            <w:vAlign w:val="center"/>
          </w:tcPr>
          <w:p w14:paraId="519456E9">
            <w:pPr>
              <w:pStyle w:val="11"/>
            </w:pPr>
          </w:p>
        </w:tc>
        <w:tc>
          <w:tcPr>
            <w:tcW w:w="4535" w:type="dxa"/>
            <w:vAlign w:val="center"/>
          </w:tcPr>
          <w:p w14:paraId="32C235F5">
            <w:pPr>
              <w:pStyle w:val="12"/>
            </w:pPr>
            <w:r>
              <w:t>九、社会保险基金支出</w:t>
            </w:r>
          </w:p>
        </w:tc>
        <w:tc>
          <w:tcPr>
            <w:tcW w:w="2126" w:type="dxa"/>
            <w:vAlign w:val="center"/>
          </w:tcPr>
          <w:p w14:paraId="39949211">
            <w:pPr>
              <w:pStyle w:val="11"/>
            </w:pPr>
          </w:p>
        </w:tc>
      </w:tr>
      <w:tr w14:paraId="1B39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5850C">
            <w:pPr>
              <w:pStyle w:val="13"/>
            </w:pPr>
            <w:r>
              <w:t>10</w:t>
            </w:r>
          </w:p>
        </w:tc>
        <w:tc>
          <w:tcPr>
            <w:tcW w:w="4535" w:type="dxa"/>
            <w:vAlign w:val="center"/>
          </w:tcPr>
          <w:p w14:paraId="68A86D6A">
            <w:pPr>
              <w:pStyle w:val="12"/>
            </w:pPr>
          </w:p>
        </w:tc>
        <w:tc>
          <w:tcPr>
            <w:tcW w:w="2126" w:type="dxa"/>
            <w:vAlign w:val="center"/>
          </w:tcPr>
          <w:p w14:paraId="386FE4AB">
            <w:pPr>
              <w:pStyle w:val="11"/>
            </w:pPr>
          </w:p>
        </w:tc>
        <w:tc>
          <w:tcPr>
            <w:tcW w:w="4535" w:type="dxa"/>
            <w:vAlign w:val="center"/>
          </w:tcPr>
          <w:p w14:paraId="187D2C0F">
            <w:pPr>
              <w:pStyle w:val="12"/>
            </w:pPr>
            <w:r>
              <w:t>十、卫生健康支出</w:t>
            </w:r>
          </w:p>
        </w:tc>
        <w:tc>
          <w:tcPr>
            <w:tcW w:w="2126" w:type="dxa"/>
            <w:vAlign w:val="center"/>
          </w:tcPr>
          <w:p w14:paraId="11059547">
            <w:pPr>
              <w:pStyle w:val="11"/>
            </w:pPr>
          </w:p>
        </w:tc>
      </w:tr>
      <w:tr w14:paraId="5FB9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FB0D3">
            <w:pPr>
              <w:pStyle w:val="13"/>
            </w:pPr>
            <w:r>
              <w:t>11</w:t>
            </w:r>
          </w:p>
        </w:tc>
        <w:tc>
          <w:tcPr>
            <w:tcW w:w="4535" w:type="dxa"/>
            <w:vAlign w:val="center"/>
          </w:tcPr>
          <w:p w14:paraId="295206CB">
            <w:pPr>
              <w:pStyle w:val="12"/>
            </w:pPr>
          </w:p>
        </w:tc>
        <w:tc>
          <w:tcPr>
            <w:tcW w:w="2126" w:type="dxa"/>
            <w:vAlign w:val="center"/>
          </w:tcPr>
          <w:p w14:paraId="01B911C9">
            <w:pPr>
              <w:pStyle w:val="11"/>
            </w:pPr>
          </w:p>
        </w:tc>
        <w:tc>
          <w:tcPr>
            <w:tcW w:w="4535" w:type="dxa"/>
            <w:vAlign w:val="center"/>
          </w:tcPr>
          <w:p w14:paraId="720C9305">
            <w:pPr>
              <w:pStyle w:val="12"/>
            </w:pPr>
            <w:r>
              <w:t>十一、节能环保支出</w:t>
            </w:r>
          </w:p>
        </w:tc>
        <w:tc>
          <w:tcPr>
            <w:tcW w:w="2126" w:type="dxa"/>
            <w:vAlign w:val="center"/>
          </w:tcPr>
          <w:p w14:paraId="7A245114">
            <w:pPr>
              <w:pStyle w:val="11"/>
            </w:pPr>
          </w:p>
        </w:tc>
      </w:tr>
      <w:tr w14:paraId="2656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2DAC">
            <w:pPr>
              <w:pStyle w:val="13"/>
            </w:pPr>
            <w:r>
              <w:t>12</w:t>
            </w:r>
          </w:p>
        </w:tc>
        <w:tc>
          <w:tcPr>
            <w:tcW w:w="4535" w:type="dxa"/>
            <w:vAlign w:val="center"/>
          </w:tcPr>
          <w:p w14:paraId="5FA1DCF2">
            <w:pPr>
              <w:pStyle w:val="12"/>
            </w:pPr>
          </w:p>
        </w:tc>
        <w:tc>
          <w:tcPr>
            <w:tcW w:w="2126" w:type="dxa"/>
            <w:vAlign w:val="center"/>
          </w:tcPr>
          <w:p w14:paraId="3F89FAE4">
            <w:pPr>
              <w:pStyle w:val="11"/>
            </w:pPr>
          </w:p>
        </w:tc>
        <w:tc>
          <w:tcPr>
            <w:tcW w:w="4535" w:type="dxa"/>
            <w:vAlign w:val="center"/>
          </w:tcPr>
          <w:p w14:paraId="512A0806">
            <w:pPr>
              <w:pStyle w:val="12"/>
            </w:pPr>
            <w:r>
              <w:t>十二、城乡社区支出</w:t>
            </w:r>
          </w:p>
        </w:tc>
        <w:tc>
          <w:tcPr>
            <w:tcW w:w="2126" w:type="dxa"/>
            <w:vAlign w:val="center"/>
          </w:tcPr>
          <w:p w14:paraId="7D6F5E66">
            <w:pPr>
              <w:pStyle w:val="11"/>
            </w:pPr>
          </w:p>
        </w:tc>
      </w:tr>
      <w:tr w14:paraId="55EB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D651E">
            <w:pPr>
              <w:pStyle w:val="13"/>
            </w:pPr>
            <w:r>
              <w:t>13</w:t>
            </w:r>
          </w:p>
        </w:tc>
        <w:tc>
          <w:tcPr>
            <w:tcW w:w="4535" w:type="dxa"/>
            <w:vAlign w:val="center"/>
          </w:tcPr>
          <w:p w14:paraId="751A4B37">
            <w:pPr>
              <w:pStyle w:val="12"/>
            </w:pPr>
          </w:p>
        </w:tc>
        <w:tc>
          <w:tcPr>
            <w:tcW w:w="2126" w:type="dxa"/>
            <w:vAlign w:val="center"/>
          </w:tcPr>
          <w:p w14:paraId="71D128F4">
            <w:pPr>
              <w:pStyle w:val="11"/>
            </w:pPr>
          </w:p>
        </w:tc>
        <w:tc>
          <w:tcPr>
            <w:tcW w:w="4535" w:type="dxa"/>
            <w:vAlign w:val="center"/>
          </w:tcPr>
          <w:p w14:paraId="182A7333">
            <w:pPr>
              <w:pStyle w:val="12"/>
            </w:pPr>
            <w:r>
              <w:t>十三、农林水支出</w:t>
            </w:r>
          </w:p>
        </w:tc>
        <w:tc>
          <w:tcPr>
            <w:tcW w:w="2126" w:type="dxa"/>
            <w:vAlign w:val="center"/>
          </w:tcPr>
          <w:p w14:paraId="25631F08">
            <w:pPr>
              <w:pStyle w:val="11"/>
            </w:pPr>
          </w:p>
        </w:tc>
      </w:tr>
      <w:tr w14:paraId="63937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CCD51">
            <w:pPr>
              <w:pStyle w:val="13"/>
            </w:pPr>
            <w:r>
              <w:t>14</w:t>
            </w:r>
          </w:p>
        </w:tc>
        <w:tc>
          <w:tcPr>
            <w:tcW w:w="4535" w:type="dxa"/>
            <w:vAlign w:val="center"/>
          </w:tcPr>
          <w:p w14:paraId="32EB2E3C">
            <w:pPr>
              <w:pStyle w:val="12"/>
            </w:pPr>
          </w:p>
        </w:tc>
        <w:tc>
          <w:tcPr>
            <w:tcW w:w="2126" w:type="dxa"/>
            <w:vAlign w:val="center"/>
          </w:tcPr>
          <w:p w14:paraId="55120685">
            <w:pPr>
              <w:pStyle w:val="11"/>
            </w:pPr>
          </w:p>
        </w:tc>
        <w:tc>
          <w:tcPr>
            <w:tcW w:w="4535" w:type="dxa"/>
            <w:vAlign w:val="center"/>
          </w:tcPr>
          <w:p w14:paraId="1CA728B4">
            <w:pPr>
              <w:pStyle w:val="12"/>
            </w:pPr>
            <w:r>
              <w:t>十四、交通运输支出</w:t>
            </w:r>
          </w:p>
        </w:tc>
        <w:tc>
          <w:tcPr>
            <w:tcW w:w="2126" w:type="dxa"/>
            <w:vAlign w:val="center"/>
          </w:tcPr>
          <w:p w14:paraId="282B4056">
            <w:pPr>
              <w:pStyle w:val="11"/>
            </w:pPr>
          </w:p>
        </w:tc>
      </w:tr>
      <w:tr w14:paraId="332B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A648">
            <w:pPr>
              <w:pStyle w:val="13"/>
            </w:pPr>
            <w:r>
              <w:t>15</w:t>
            </w:r>
          </w:p>
        </w:tc>
        <w:tc>
          <w:tcPr>
            <w:tcW w:w="4535" w:type="dxa"/>
            <w:vAlign w:val="center"/>
          </w:tcPr>
          <w:p w14:paraId="17B81EA5">
            <w:pPr>
              <w:pStyle w:val="12"/>
            </w:pPr>
          </w:p>
        </w:tc>
        <w:tc>
          <w:tcPr>
            <w:tcW w:w="2126" w:type="dxa"/>
            <w:vAlign w:val="center"/>
          </w:tcPr>
          <w:p w14:paraId="09896739">
            <w:pPr>
              <w:pStyle w:val="11"/>
            </w:pPr>
          </w:p>
        </w:tc>
        <w:tc>
          <w:tcPr>
            <w:tcW w:w="4535" w:type="dxa"/>
            <w:vAlign w:val="center"/>
          </w:tcPr>
          <w:p w14:paraId="53AD2491">
            <w:pPr>
              <w:pStyle w:val="12"/>
            </w:pPr>
            <w:r>
              <w:t>十五、资源勘探工业信息等支出</w:t>
            </w:r>
          </w:p>
        </w:tc>
        <w:tc>
          <w:tcPr>
            <w:tcW w:w="2126" w:type="dxa"/>
            <w:vAlign w:val="center"/>
          </w:tcPr>
          <w:p w14:paraId="59C7E82F">
            <w:pPr>
              <w:pStyle w:val="11"/>
            </w:pPr>
          </w:p>
        </w:tc>
      </w:tr>
      <w:tr w14:paraId="7733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CAF20">
            <w:pPr>
              <w:pStyle w:val="13"/>
            </w:pPr>
            <w:r>
              <w:t>16</w:t>
            </w:r>
          </w:p>
        </w:tc>
        <w:tc>
          <w:tcPr>
            <w:tcW w:w="4535" w:type="dxa"/>
            <w:vAlign w:val="center"/>
          </w:tcPr>
          <w:p w14:paraId="705924C3">
            <w:pPr>
              <w:pStyle w:val="12"/>
            </w:pPr>
          </w:p>
        </w:tc>
        <w:tc>
          <w:tcPr>
            <w:tcW w:w="2126" w:type="dxa"/>
            <w:vAlign w:val="center"/>
          </w:tcPr>
          <w:p w14:paraId="45238365">
            <w:pPr>
              <w:pStyle w:val="11"/>
            </w:pPr>
          </w:p>
        </w:tc>
        <w:tc>
          <w:tcPr>
            <w:tcW w:w="4535" w:type="dxa"/>
            <w:vAlign w:val="center"/>
          </w:tcPr>
          <w:p w14:paraId="31519073">
            <w:pPr>
              <w:pStyle w:val="12"/>
            </w:pPr>
            <w:r>
              <w:t>十六、商业服务业等支出</w:t>
            </w:r>
          </w:p>
        </w:tc>
        <w:tc>
          <w:tcPr>
            <w:tcW w:w="2126" w:type="dxa"/>
            <w:vAlign w:val="center"/>
          </w:tcPr>
          <w:p w14:paraId="4630C647">
            <w:pPr>
              <w:pStyle w:val="11"/>
            </w:pPr>
          </w:p>
        </w:tc>
      </w:tr>
      <w:tr w14:paraId="03E5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C2417">
            <w:pPr>
              <w:pStyle w:val="13"/>
            </w:pPr>
            <w:r>
              <w:t>17</w:t>
            </w:r>
          </w:p>
        </w:tc>
        <w:tc>
          <w:tcPr>
            <w:tcW w:w="4535" w:type="dxa"/>
            <w:vAlign w:val="center"/>
          </w:tcPr>
          <w:p w14:paraId="705EE8DB">
            <w:pPr>
              <w:pStyle w:val="12"/>
            </w:pPr>
          </w:p>
        </w:tc>
        <w:tc>
          <w:tcPr>
            <w:tcW w:w="2126" w:type="dxa"/>
            <w:vAlign w:val="center"/>
          </w:tcPr>
          <w:p w14:paraId="40656A5B">
            <w:pPr>
              <w:pStyle w:val="11"/>
            </w:pPr>
          </w:p>
        </w:tc>
        <w:tc>
          <w:tcPr>
            <w:tcW w:w="4535" w:type="dxa"/>
            <w:vAlign w:val="center"/>
          </w:tcPr>
          <w:p w14:paraId="27C5D446">
            <w:pPr>
              <w:pStyle w:val="12"/>
            </w:pPr>
            <w:r>
              <w:t>十七、金融支出</w:t>
            </w:r>
          </w:p>
        </w:tc>
        <w:tc>
          <w:tcPr>
            <w:tcW w:w="2126" w:type="dxa"/>
            <w:vAlign w:val="center"/>
          </w:tcPr>
          <w:p w14:paraId="208D73E5">
            <w:pPr>
              <w:pStyle w:val="11"/>
            </w:pPr>
          </w:p>
        </w:tc>
      </w:tr>
      <w:tr w14:paraId="33B0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AA26">
            <w:pPr>
              <w:pStyle w:val="13"/>
            </w:pPr>
            <w:r>
              <w:t>18</w:t>
            </w:r>
          </w:p>
        </w:tc>
        <w:tc>
          <w:tcPr>
            <w:tcW w:w="4535" w:type="dxa"/>
            <w:vAlign w:val="center"/>
          </w:tcPr>
          <w:p w14:paraId="277B17F9">
            <w:pPr>
              <w:pStyle w:val="12"/>
            </w:pPr>
          </w:p>
        </w:tc>
        <w:tc>
          <w:tcPr>
            <w:tcW w:w="2126" w:type="dxa"/>
            <w:vAlign w:val="center"/>
          </w:tcPr>
          <w:p w14:paraId="250F0175">
            <w:pPr>
              <w:pStyle w:val="11"/>
            </w:pPr>
          </w:p>
        </w:tc>
        <w:tc>
          <w:tcPr>
            <w:tcW w:w="4535" w:type="dxa"/>
            <w:vAlign w:val="center"/>
          </w:tcPr>
          <w:p w14:paraId="2F593D5F">
            <w:pPr>
              <w:pStyle w:val="12"/>
            </w:pPr>
            <w:r>
              <w:t>十八、援助其他地区支出</w:t>
            </w:r>
          </w:p>
        </w:tc>
        <w:tc>
          <w:tcPr>
            <w:tcW w:w="2126" w:type="dxa"/>
            <w:vAlign w:val="center"/>
          </w:tcPr>
          <w:p w14:paraId="620B964A">
            <w:pPr>
              <w:pStyle w:val="11"/>
            </w:pPr>
          </w:p>
        </w:tc>
      </w:tr>
      <w:tr w14:paraId="562D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4BD38">
            <w:pPr>
              <w:pStyle w:val="13"/>
            </w:pPr>
            <w:r>
              <w:t>19</w:t>
            </w:r>
          </w:p>
        </w:tc>
        <w:tc>
          <w:tcPr>
            <w:tcW w:w="4535" w:type="dxa"/>
            <w:vAlign w:val="center"/>
          </w:tcPr>
          <w:p w14:paraId="2C2F6E6F">
            <w:pPr>
              <w:pStyle w:val="12"/>
            </w:pPr>
          </w:p>
        </w:tc>
        <w:tc>
          <w:tcPr>
            <w:tcW w:w="2126" w:type="dxa"/>
            <w:vAlign w:val="center"/>
          </w:tcPr>
          <w:p w14:paraId="5ACD8EE3">
            <w:pPr>
              <w:pStyle w:val="11"/>
            </w:pPr>
          </w:p>
        </w:tc>
        <w:tc>
          <w:tcPr>
            <w:tcW w:w="4535" w:type="dxa"/>
            <w:vAlign w:val="center"/>
          </w:tcPr>
          <w:p w14:paraId="12A6F2D5">
            <w:pPr>
              <w:pStyle w:val="12"/>
            </w:pPr>
            <w:r>
              <w:t>十九、自然资源海洋气象等支出</w:t>
            </w:r>
          </w:p>
        </w:tc>
        <w:tc>
          <w:tcPr>
            <w:tcW w:w="2126" w:type="dxa"/>
            <w:vAlign w:val="center"/>
          </w:tcPr>
          <w:p w14:paraId="48B1A3EA">
            <w:pPr>
              <w:pStyle w:val="11"/>
            </w:pPr>
          </w:p>
        </w:tc>
      </w:tr>
      <w:tr w14:paraId="27D8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952C7">
            <w:pPr>
              <w:pStyle w:val="13"/>
            </w:pPr>
            <w:r>
              <w:t>20</w:t>
            </w:r>
          </w:p>
        </w:tc>
        <w:tc>
          <w:tcPr>
            <w:tcW w:w="4535" w:type="dxa"/>
            <w:vAlign w:val="center"/>
          </w:tcPr>
          <w:p w14:paraId="039CAC7D">
            <w:pPr>
              <w:pStyle w:val="12"/>
            </w:pPr>
          </w:p>
        </w:tc>
        <w:tc>
          <w:tcPr>
            <w:tcW w:w="2126" w:type="dxa"/>
            <w:vAlign w:val="center"/>
          </w:tcPr>
          <w:p w14:paraId="20CBE7A3">
            <w:pPr>
              <w:pStyle w:val="11"/>
            </w:pPr>
          </w:p>
        </w:tc>
        <w:tc>
          <w:tcPr>
            <w:tcW w:w="4535" w:type="dxa"/>
            <w:vAlign w:val="center"/>
          </w:tcPr>
          <w:p w14:paraId="7D583E42">
            <w:pPr>
              <w:pStyle w:val="12"/>
            </w:pPr>
            <w:r>
              <w:t>二十、住房保障支出</w:t>
            </w:r>
          </w:p>
        </w:tc>
        <w:tc>
          <w:tcPr>
            <w:tcW w:w="2126" w:type="dxa"/>
            <w:vAlign w:val="center"/>
          </w:tcPr>
          <w:p w14:paraId="01E9118F">
            <w:pPr>
              <w:pStyle w:val="11"/>
            </w:pPr>
          </w:p>
        </w:tc>
      </w:tr>
      <w:tr w14:paraId="3523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679EB">
            <w:pPr>
              <w:pStyle w:val="13"/>
            </w:pPr>
            <w:r>
              <w:t>21</w:t>
            </w:r>
          </w:p>
        </w:tc>
        <w:tc>
          <w:tcPr>
            <w:tcW w:w="4535" w:type="dxa"/>
            <w:vAlign w:val="center"/>
          </w:tcPr>
          <w:p w14:paraId="6EB6CDBB">
            <w:pPr>
              <w:pStyle w:val="12"/>
            </w:pPr>
          </w:p>
        </w:tc>
        <w:tc>
          <w:tcPr>
            <w:tcW w:w="2126" w:type="dxa"/>
            <w:vAlign w:val="center"/>
          </w:tcPr>
          <w:p w14:paraId="2C934FBD">
            <w:pPr>
              <w:pStyle w:val="11"/>
            </w:pPr>
          </w:p>
        </w:tc>
        <w:tc>
          <w:tcPr>
            <w:tcW w:w="4535" w:type="dxa"/>
            <w:vAlign w:val="center"/>
          </w:tcPr>
          <w:p w14:paraId="4520FFC3">
            <w:pPr>
              <w:pStyle w:val="12"/>
            </w:pPr>
            <w:r>
              <w:t>二十一、粮油物资储备支出</w:t>
            </w:r>
          </w:p>
        </w:tc>
        <w:tc>
          <w:tcPr>
            <w:tcW w:w="2126" w:type="dxa"/>
            <w:vAlign w:val="center"/>
          </w:tcPr>
          <w:p w14:paraId="56DD5077">
            <w:pPr>
              <w:pStyle w:val="11"/>
            </w:pPr>
          </w:p>
        </w:tc>
      </w:tr>
      <w:tr w14:paraId="20C1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53D9B">
            <w:pPr>
              <w:pStyle w:val="13"/>
            </w:pPr>
            <w:r>
              <w:t>22</w:t>
            </w:r>
          </w:p>
        </w:tc>
        <w:tc>
          <w:tcPr>
            <w:tcW w:w="4535" w:type="dxa"/>
            <w:vAlign w:val="center"/>
          </w:tcPr>
          <w:p w14:paraId="6BD7D5B8">
            <w:pPr>
              <w:pStyle w:val="12"/>
            </w:pPr>
          </w:p>
        </w:tc>
        <w:tc>
          <w:tcPr>
            <w:tcW w:w="2126" w:type="dxa"/>
            <w:vAlign w:val="center"/>
          </w:tcPr>
          <w:p w14:paraId="176B95D3">
            <w:pPr>
              <w:pStyle w:val="11"/>
            </w:pPr>
          </w:p>
        </w:tc>
        <w:tc>
          <w:tcPr>
            <w:tcW w:w="4535" w:type="dxa"/>
            <w:vAlign w:val="center"/>
          </w:tcPr>
          <w:p w14:paraId="11581AD2">
            <w:pPr>
              <w:pStyle w:val="12"/>
            </w:pPr>
            <w:r>
              <w:t>二十二、国有资本经营预算支出</w:t>
            </w:r>
          </w:p>
        </w:tc>
        <w:tc>
          <w:tcPr>
            <w:tcW w:w="2126" w:type="dxa"/>
            <w:vAlign w:val="center"/>
          </w:tcPr>
          <w:p w14:paraId="1D54E20F">
            <w:pPr>
              <w:pStyle w:val="11"/>
            </w:pPr>
          </w:p>
        </w:tc>
      </w:tr>
      <w:tr w14:paraId="558C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CDF5C">
            <w:pPr>
              <w:pStyle w:val="13"/>
            </w:pPr>
            <w:r>
              <w:t>23</w:t>
            </w:r>
          </w:p>
        </w:tc>
        <w:tc>
          <w:tcPr>
            <w:tcW w:w="4535" w:type="dxa"/>
            <w:vAlign w:val="center"/>
          </w:tcPr>
          <w:p w14:paraId="554E0293">
            <w:pPr>
              <w:pStyle w:val="12"/>
            </w:pPr>
          </w:p>
        </w:tc>
        <w:tc>
          <w:tcPr>
            <w:tcW w:w="2126" w:type="dxa"/>
            <w:vAlign w:val="center"/>
          </w:tcPr>
          <w:p w14:paraId="6422FDDC">
            <w:pPr>
              <w:pStyle w:val="11"/>
            </w:pPr>
          </w:p>
        </w:tc>
        <w:tc>
          <w:tcPr>
            <w:tcW w:w="4535" w:type="dxa"/>
            <w:vAlign w:val="center"/>
          </w:tcPr>
          <w:p w14:paraId="646F7000">
            <w:pPr>
              <w:pStyle w:val="12"/>
            </w:pPr>
            <w:r>
              <w:t>二十三、灾害防治及应急管理支出</w:t>
            </w:r>
          </w:p>
        </w:tc>
        <w:tc>
          <w:tcPr>
            <w:tcW w:w="2126" w:type="dxa"/>
            <w:vAlign w:val="center"/>
          </w:tcPr>
          <w:p w14:paraId="1595A1CB">
            <w:pPr>
              <w:pStyle w:val="11"/>
            </w:pPr>
          </w:p>
        </w:tc>
      </w:tr>
      <w:tr w14:paraId="3D2D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2F40D">
            <w:pPr>
              <w:pStyle w:val="13"/>
            </w:pPr>
            <w:r>
              <w:t>24</w:t>
            </w:r>
          </w:p>
        </w:tc>
        <w:tc>
          <w:tcPr>
            <w:tcW w:w="4535" w:type="dxa"/>
            <w:vAlign w:val="center"/>
          </w:tcPr>
          <w:p w14:paraId="451752B3">
            <w:pPr>
              <w:pStyle w:val="12"/>
            </w:pPr>
          </w:p>
        </w:tc>
        <w:tc>
          <w:tcPr>
            <w:tcW w:w="2126" w:type="dxa"/>
            <w:vAlign w:val="center"/>
          </w:tcPr>
          <w:p w14:paraId="5F097FAC">
            <w:pPr>
              <w:pStyle w:val="11"/>
            </w:pPr>
          </w:p>
        </w:tc>
        <w:tc>
          <w:tcPr>
            <w:tcW w:w="4535" w:type="dxa"/>
            <w:vAlign w:val="center"/>
          </w:tcPr>
          <w:p w14:paraId="3F8F92BA">
            <w:pPr>
              <w:pStyle w:val="12"/>
            </w:pPr>
            <w:r>
              <w:t>二十四、预备费</w:t>
            </w:r>
          </w:p>
        </w:tc>
        <w:tc>
          <w:tcPr>
            <w:tcW w:w="2126" w:type="dxa"/>
            <w:vAlign w:val="center"/>
          </w:tcPr>
          <w:p w14:paraId="053016B3">
            <w:pPr>
              <w:pStyle w:val="11"/>
            </w:pPr>
          </w:p>
        </w:tc>
      </w:tr>
      <w:tr w14:paraId="4FA5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D5A3A">
            <w:pPr>
              <w:pStyle w:val="13"/>
            </w:pPr>
            <w:r>
              <w:t>25</w:t>
            </w:r>
          </w:p>
        </w:tc>
        <w:tc>
          <w:tcPr>
            <w:tcW w:w="4535" w:type="dxa"/>
            <w:vAlign w:val="center"/>
          </w:tcPr>
          <w:p w14:paraId="34C1BF0D">
            <w:pPr>
              <w:pStyle w:val="12"/>
            </w:pPr>
          </w:p>
        </w:tc>
        <w:tc>
          <w:tcPr>
            <w:tcW w:w="2126" w:type="dxa"/>
            <w:vAlign w:val="center"/>
          </w:tcPr>
          <w:p w14:paraId="57766FBB">
            <w:pPr>
              <w:pStyle w:val="11"/>
            </w:pPr>
          </w:p>
        </w:tc>
        <w:tc>
          <w:tcPr>
            <w:tcW w:w="4535" w:type="dxa"/>
            <w:vAlign w:val="center"/>
          </w:tcPr>
          <w:p w14:paraId="7C5BD45C">
            <w:pPr>
              <w:pStyle w:val="12"/>
            </w:pPr>
            <w:r>
              <w:t>二十五、其他支出</w:t>
            </w:r>
          </w:p>
        </w:tc>
        <w:tc>
          <w:tcPr>
            <w:tcW w:w="2126" w:type="dxa"/>
            <w:vAlign w:val="center"/>
          </w:tcPr>
          <w:p w14:paraId="669BA05E">
            <w:pPr>
              <w:pStyle w:val="11"/>
            </w:pPr>
          </w:p>
        </w:tc>
      </w:tr>
      <w:tr w14:paraId="5EA8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B2891">
            <w:pPr>
              <w:pStyle w:val="13"/>
            </w:pPr>
            <w:r>
              <w:t>26</w:t>
            </w:r>
          </w:p>
        </w:tc>
        <w:tc>
          <w:tcPr>
            <w:tcW w:w="4535" w:type="dxa"/>
            <w:vAlign w:val="center"/>
          </w:tcPr>
          <w:p w14:paraId="03B7A589">
            <w:pPr>
              <w:pStyle w:val="12"/>
            </w:pPr>
          </w:p>
        </w:tc>
        <w:tc>
          <w:tcPr>
            <w:tcW w:w="2126" w:type="dxa"/>
            <w:vAlign w:val="center"/>
          </w:tcPr>
          <w:p w14:paraId="5F53AE1C">
            <w:pPr>
              <w:pStyle w:val="11"/>
            </w:pPr>
          </w:p>
        </w:tc>
        <w:tc>
          <w:tcPr>
            <w:tcW w:w="4535" w:type="dxa"/>
            <w:vAlign w:val="center"/>
          </w:tcPr>
          <w:p w14:paraId="1133BDC6">
            <w:pPr>
              <w:pStyle w:val="12"/>
            </w:pPr>
            <w:r>
              <w:t>二十六、转移性支出</w:t>
            </w:r>
          </w:p>
        </w:tc>
        <w:tc>
          <w:tcPr>
            <w:tcW w:w="2126" w:type="dxa"/>
            <w:vAlign w:val="center"/>
          </w:tcPr>
          <w:p w14:paraId="1152904F">
            <w:pPr>
              <w:pStyle w:val="11"/>
            </w:pPr>
          </w:p>
        </w:tc>
      </w:tr>
      <w:tr w14:paraId="71CE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3C26B">
            <w:pPr>
              <w:pStyle w:val="13"/>
            </w:pPr>
            <w:r>
              <w:t>27</w:t>
            </w:r>
          </w:p>
        </w:tc>
        <w:tc>
          <w:tcPr>
            <w:tcW w:w="4535" w:type="dxa"/>
            <w:vAlign w:val="center"/>
          </w:tcPr>
          <w:p w14:paraId="0E22CFFA">
            <w:pPr>
              <w:pStyle w:val="12"/>
            </w:pPr>
          </w:p>
        </w:tc>
        <w:tc>
          <w:tcPr>
            <w:tcW w:w="2126" w:type="dxa"/>
            <w:vAlign w:val="center"/>
          </w:tcPr>
          <w:p w14:paraId="710EFF3E">
            <w:pPr>
              <w:pStyle w:val="11"/>
            </w:pPr>
          </w:p>
        </w:tc>
        <w:tc>
          <w:tcPr>
            <w:tcW w:w="4535" w:type="dxa"/>
            <w:vAlign w:val="center"/>
          </w:tcPr>
          <w:p w14:paraId="66FAF3AD">
            <w:pPr>
              <w:pStyle w:val="12"/>
            </w:pPr>
            <w:r>
              <w:t>二十七、债务还本支出</w:t>
            </w:r>
          </w:p>
        </w:tc>
        <w:tc>
          <w:tcPr>
            <w:tcW w:w="2126" w:type="dxa"/>
            <w:vAlign w:val="center"/>
          </w:tcPr>
          <w:p w14:paraId="1204110D">
            <w:pPr>
              <w:pStyle w:val="11"/>
            </w:pPr>
          </w:p>
        </w:tc>
      </w:tr>
      <w:tr w14:paraId="7524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8CFF9">
            <w:pPr>
              <w:pStyle w:val="13"/>
            </w:pPr>
            <w:r>
              <w:t>28</w:t>
            </w:r>
          </w:p>
        </w:tc>
        <w:tc>
          <w:tcPr>
            <w:tcW w:w="4535" w:type="dxa"/>
            <w:vAlign w:val="center"/>
          </w:tcPr>
          <w:p w14:paraId="125E670E">
            <w:pPr>
              <w:pStyle w:val="12"/>
            </w:pPr>
          </w:p>
        </w:tc>
        <w:tc>
          <w:tcPr>
            <w:tcW w:w="2126" w:type="dxa"/>
            <w:vAlign w:val="center"/>
          </w:tcPr>
          <w:p w14:paraId="16F7A452">
            <w:pPr>
              <w:pStyle w:val="11"/>
            </w:pPr>
          </w:p>
        </w:tc>
        <w:tc>
          <w:tcPr>
            <w:tcW w:w="4535" w:type="dxa"/>
            <w:vAlign w:val="center"/>
          </w:tcPr>
          <w:p w14:paraId="440063DF">
            <w:pPr>
              <w:pStyle w:val="12"/>
            </w:pPr>
            <w:r>
              <w:t>二十八、债务付息支出</w:t>
            </w:r>
          </w:p>
        </w:tc>
        <w:tc>
          <w:tcPr>
            <w:tcW w:w="2126" w:type="dxa"/>
            <w:vAlign w:val="center"/>
          </w:tcPr>
          <w:p w14:paraId="6892A471">
            <w:pPr>
              <w:pStyle w:val="11"/>
            </w:pPr>
          </w:p>
        </w:tc>
      </w:tr>
      <w:tr w14:paraId="3E2D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D315B">
            <w:pPr>
              <w:pStyle w:val="13"/>
            </w:pPr>
            <w:r>
              <w:t>29</w:t>
            </w:r>
          </w:p>
        </w:tc>
        <w:tc>
          <w:tcPr>
            <w:tcW w:w="4535" w:type="dxa"/>
            <w:vAlign w:val="center"/>
          </w:tcPr>
          <w:p w14:paraId="183ACE7B">
            <w:pPr>
              <w:pStyle w:val="12"/>
            </w:pPr>
          </w:p>
        </w:tc>
        <w:tc>
          <w:tcPr>
            <w:tcW w:w="2126" w:type="dxa"/>
            <w:vAlign w:val="center"/>
          </w:tcPr>
          <w:p w14:paraId="669E443B">
            <w:pPr>
              <w:pStyle w:val="11"/>
            </w:pPr>
          </w:p>
        </w:tc>
        <w:tc>
          <w:tcPr>
            <w:tcW w:w="4535" w:type="dxa"/>
            <w:vAlign w:val="center"/>
          </w:tcPr>
          <w:p w14:paraId="13367436">
            <w:pPr>
              <w:pStyle w:val="12"/>
            </w:pPr>
            <w:r>
              <w:t>二十九、债务发行费用支出</w:t>
            </w:r>
          </w:p>
        </w:tc>
        <w:tc>
          <w:tcPr>
            <w:tcW w:w="2126" w:type="dxa"/>
            <w:vAlign w:val="center"/>
          </w:tcPr>
          <w:p w14:paraId="026AAC6C">
            <w:pPr>
              <w:pStyle w:val="11"/>
            </w:pPr>
          </w:p>
        </w:tc>
      </w:tr>
      <w:tr w14:paraId="27CD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B701">
            <w:pPr>
              <w:pStyle w:val="13"/>
            </w:pPr>
            <w:r>
              <w:t>30</w:t>
            </w:r>
          </w:p>
        </w:tc>
        <w:tc>
          <w:tcPr>
            <w:tcW w:w="4535" w:type="dxa"/>
            <w:vAlign w:val="center"/>
          </w:tcPr>
          <w:p w14:paraId="697AE906">
            <w:pPr>
              <w:pStyle w:val="12"/>
            </w:pPr>
          </w:p>
        </w:tc>
        <w:tc>
          <w:tcPr>
            <w:tcW w:w="2126" w:type="dxa"/>
            <w:vAlign w:val="center"/>
          </w:tcPr>
          <w:p w14:paraId="1623F63A">
            <w:pPr>
              <w:pStyle w:val="11"/>
            </w:pPr>
          </w:p>
        </w:tc>
        <w:tc>
          <w:tcPr>
            <w:tcW w:w="4535" w:type="dxa"/>
            <w:vAlign w:val="center"/>
          </w:tcPr>
          <w:p w14:paraId="1A2CA13A">
            <w:pPr>
              <w:pStyle w:val="12"/>
            </w:pPr>
            <w:r>
              <w:t>三十、抗疫特别国债安排的支出</w:t>
            </w:r>
          </w:p>
        </w:tc>
        <w:tc>
          <w:tcPr>
            <w:tcW w:w="2126" w:type="dxa"/>
            <w:vAlign w:val="center"/>
          </w:tcPr>
          <w:p w14:paraId="485AA1DF">
            <w:pPr>
              <w:pStyle w:val="11"/>
            </w:pPr>
          </w:p>
        </w:tc>
      </w:tr>
      <w:tr w14:paraId="231F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769DA">
            <w:pPr>
              <w:pStyle w:val="13"/>
            </w:pPr>
            <w:r>
              <w:t>31</w:t>
            </w:r>
          </w:p>
        </w:tc>
        <w:tc>
          <w:tcPr>
            <w:tcW w:w="4535" w:type="dxa"/>
            <w:vAlign w:val="center"/>
          </w:tcPr>
          <w:p w14:paraId="305A6A3B">
            <w:pPr>
              <w:pStyle w:val="14"/>
            </w:pPr>
            <w:r>
              <w:t>本年收入合计</w:t>
            </w:r>
          </w:p>
        </w:tc>
        <w:tc>
          <w:tcPr>
            <w:tcW w:w="2126" w:type="dxa"/>
            <w:vAlign w:val="center"/>
          </w:tcPr>
          <w:p w14:paraId="6F506A5A">
            <w:pPr>
              <w:pStyle w:val="15"/>
            </w:pPr>
            <w:r>
              <w:t>713.61</w:t>
            </w:r>
          </w:p>
        </w:tc>
        <w:tc>
          <w:tcPr>
            <w:tcW w:w="4535" w:type="dxa"/>
            <w:vAlign w:val="center"/>
          </w:tcPr>
          <w:p w14:paraId="443DF2F4">
            <w:pPr>
              <w:pStyle w:val="14"/>
            </w:pPr>
            <w:r>
              <w:t>本年支出合计</w:t>
            </w:r>
          </w:p>
        </w:tc>
        <w:tc>
          <w:tcPr>
            <w:tcW w:w="2126" w:type="dxa"/>
            <w:vAlign w:val="center"/>
          </w:tcPr>
          <w:p w14:paraId="1F77F9B4">
            <w:pPr>
              <w:pStyle w:val="15"/>
            </w:pPr>
            <w:r>
              <w:t>713.61</w:t>
            </w:r>
          </w:p>
        </w:tc>
      </w:tr>
      <w:tr w14:paraId="7FFA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CBDD7">
            <w:pPr>
              <w:pStyle w:val="13"/>
            </w:pPr>
            <w:r>
              <w:t>32</w:t>
            </w:r>
          </w:p>
        </w:tc>
        <w:tc>
          <w:tcPr>
            <w:tcW w:w="4535" w:type="dxa"/>
            <w:vAlign w:val="center"/>
          </w:tcPr>
          <w:p w14:paraId="0951FF41">
            <w:pPr>
              <w:pStyle w:val="12"/>
            </w:pPr>
            <w:r>
              <w:t>上年结转结余</w:t>
            </w:r>
          </w:p>
        </w:tc>
        <w:tc>
          <w:tcPr>
            <w:tcW w:w="2126" w:type="dxa"/>
            <w:vAlign w:val="center"/>
          </w:tcPr>
          <w:p w14:paraId="6F4CA5E8">
            <w:pPr>
              <w:pStyle w:val="11"/>
            </w:pPr>
          </w:p>
        </w:tc>
        <w:tc>
          <w:tcPr>
            <w:tcW w:w="4535" w:type="dxa"/>
            <w:vAlign w:val="center"/>
          </w:tcPr>
          <w:p w14:paraId="0CDF79B6">
            <w:pPr>
              <w:pStyle w:val="12"/>
            </w:pPr>
            <w:r>
              <w:t>年终结转结余</w:t>
            </w:r>
          </w:p>
        </w:tc>
        <w:tc>
          <w:tcPr>
            <w:tcW w:w="2126" w:type="dxa"/>
            <w:vAlign w:val="center"/>
          </w:tcPr>
          <w:p w14:paraId="79ED0C3E">
            <w:pPr>
              <w:pStyle w:val="11"/>
            </w:pPr>
          </w:p>
        </w:tc>
      </w:tr>
      <w:tr w14:paraId="2C52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99A61">
            <w:pPr>
              <w:pStyle w:val="13"/>
            </w:pPr>
            <w:r>
              <w:t>33</w:t>
            </w:r>
          </w:p>
        </w:tc>
        <w:tc>
          <w:tcPr>
            <w:tcW w:w="4535" w:type="dxa"/>
            <w:vAlign w:val="center"/>
          </w:tcPr>
          <w:p w14:paraId="6B5116D9">
            <w:pPr>
              <w:pStyle w:val="14"/>
            </w:pPr>
            <w:r>
              <w:t>收入总计</w:t>
            </w:r>
          </w:p>
        </w:tc>
        <w:tc>
          <w:tcPr>
            <w:tcW w:w="2126" w:type="dxa"/>
            <w:vAlign w:val="center"/>
          </w:tcPr>
          <w:p w14:paraId="4A22EE61">
            <w:pPr>
              <w:pStyle w:val="15"/>
            </w:pPr>
            <w:r>
              <w:t>713.61</w:t>
            </w:r>
          </w:p>
        </w:tc>
        <w:tc>
          <w:tcPr>
            <w:tcW w:w="4535" w:type="dxa"/>
            <w:vAlign w:val="center"/>
          </w:tcPr>
          <w:p w14:paraId="21223A5C">
            <w:pPr>
              <w:pStyle w:val="14"/>
            </w:pPr>
            <w:r>
              <w:t>支出总计</w:t>
            </w:r>
          </w:p>
        </w:tc>
        <w:tc>
          <w:tcPr>
            <w:tcW w:w="2126" w:type="dxa"/>
            <w:vAlign w:val="center"/>
          </w:tcPr>
          <w:p w14:paraId="2524E9FA">
            <w:pPr>
              <w:pStyle w:val="15"/>
            </w:pPr>
            <w:r>
              <w:t>713.61</w:t>
            </w:r>
          </w:p>
        </w:tc>
      </w:tr>
    </w:tbl>
    <w:p w14:paraId="641733B5">
      <w:pPr>
        <w:sectPr>
          <w:pgSz w:w="16840" w:h="11900" w:orient="landscape"/>
          <w:pgMar w:top="1361" w:right="1020" w:bottom="1134" w:left="1020" w:header="720" w:footer="720" w:gutter="0"/>
          <w:cols w:space="720" w:num="1"/>
        </w:sectPr>
      </w:pPr>
    </w:p>
    <w:p w14:paraId="4962DC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6D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588F37">
            <w:pPr>
              <w:pStyle w:val="9"/>
            </w:pPr>
            <w:r>
              <w:t>360034隆尧县莲子中学</w:t>
            </w:r>
          </w:p>
        </w:tc>
        <w:tc>
          <w:tcPr>
            <w:tcW w:w="3402" w:type="dxa"/>
            <w:gridSpan w:val="3"/>
            <w:tcBorders>
              <w:top w:val="single" w:color="FFFFFF" w:sz="6" w:space="0"/>
              <w:left w:val="single" w:color="FFFFFF" w:sz="6" w:space="0"/>
              <w:right w:val="single" w:color="FFFFFF" w:sz="6" w:space="0"/>
            </w:tcBorders>
            <w:vAlign w:val="center"/>
          </w:tcPr>
          <w:p w14:paraId="3138FF4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1D3B158">
            <w:pPr>
              <w:pStyle w:val="7"/>
            </w:pPr>
            <w:r>
              <w:t>单位：万元</w:t>
            </w:r>
          </w:p>
        </w:tc>
      </w:tr>
      <w:tr w14:paraId="4A01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AD505A">
            <w:pPr>
              <w:pStyle w:val="10"/>
            </w:pPr>
            <w:r>
              <w:t>序号</w:t>
            </w:r>
          </w:p>
        </w:tc>
        <w:tc>
          <w:tcPr>
            <w:tcW w:w="2551" w:type="dxa"/>
            <w:gridSpan w:val="2"/>
            <w:vAlign w:val="center"/>
          </w:tcPr>
          <w:p w14:paraId="1B4BAD21">
            <w:pPr>
              <w:pStyle w:val="10"/>
            </w:pPr>
            <w:r>
              <w:t>功能分类科目</w:t>
            </w:r>
          </w:p>
        </w:tc>
        <w:tc>
          <w:tcPr>
            <w:tcW w:w="1134" w:type="dxa"/>
            <w:vMerge w:val="restart"/>
            <w:vAlign w:val="center"/>
          </w:tcPr>
          <w:p w14:paraId="5D85114A">
            <w:pPr>
              <w:pStyle w:val="10"/>
            </w:pPr>
            <w:r>
              <w:t>合计</w:t>
            </w:r>
          </w:p>
        </w:tc>
        <w:tc>
          <w:tcPr>
            <w:tcW w:w="9072" w:type="dxa"/>
            <w:gridSpan w:val="8"/>
            <w:vAlign w:val="center"/>
          </w:tcPr>
          <w:p w14:paraId="1C59A6B7">
            <w:pPr>
              <w:pStyle w:val="10"/>
            </w:pPr>
            <w:r>
              <w:t>本年收入</w:t>
            </w:r>
          </w:p>
        </w:tc>
        <w:tc>
          <w:tcPr>
            <w:tcW w:w="1134" w:type="dxa"/>
            <w:vMerge w:val="restart"/>
            <w:vAlign w:val="center"/>
          </w:tcPr>
          <w:p w14:paraId="43D470F2">
            <w:pPr>
              <w:pStyle w:val="10"/>
            </w:pPr>
            <w:r>
              <w:t>上年结转</w:t>
            </w:r>
          </w:p>
        </w:tc>
      </w:tr>
      <w:tr w14:paraId="7F8A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C0C886"/>
        </w:tc>
        <w:tc>
          <w:tcPr>
            <w:tcW w:w="992" w:type="dxa"/>
            <w:vAlign w:val="center"/>
          </w:tcPr>
          <w:p w14:paraId="176010D6">
            <w:pPr>
              <w:pStyle w:val="10"/>
            </w:pPr>
            <w:r>
              <w:t>科目    编码</w:t>
            </w:r>
          </w:p>
        </w:tc>
        <w:tc>
          <w:tcPr>
            <w:tcW w:w="1559" w:type="dxa"/>
            <w:vAlign w:val="center"/>
          </w:tcPr>
          <w:p w14:paraId="6EF43062">
            <w:pPr>
              <w:pStyle w:val="10"/>
            </w:pPr>
            <w:r>
              <w:t>科目名称</w:t>
            </w:r>
          </w:p>
        </w:tc>
        <w:tc>
          <w:tcPr>
            <w:tcW w:w="1134" w:type="dxa"/>
            <w:vMerge w:val="continue"/>
          </w:tcPr>
          <w:p w14:paraId="3841E403"/>
        </w:tc>
        <w:tc>
          <w:tcPr>
            <w:tcW w:w="1134" w:type="dxa"/>
            <w:vAlign w:val="center"/>
          </w:tcPr>
          <w:p w14:paraId="27BEB0DE">
            <w:pPr>
              <w:pStyle w:val="10"/>
            </w:pPr>
            <w:r>
              <w:t>小计</w:t>
            </w:r>
          </w:p>
        </w:tc>
        <w:tc>
          <w:tcPr>
            <w:tcW w:w="1134" w:type="dxa"/>
            <w:vAlign w:val="center"/>
          </w:tcPr>
          <w:p w14:paraId="31043E77">
            <w:pPr>
              <w:pStyle w:val="10"/>
            </w:pPr>
            <w:r>
              <w:t>财政拨款 收入</w:t>
            </w:r>
          </w:p>
        </w:tc>
        <w:tc>
          <w:tcPr>
            <w:tcW w:w="1134" w:type="dxa"/>
            <w:vAlign w:val="center"/>
          </w:tcPr>
          <w:p w14:paraId="4071DB70">
            <w:pPr>
              <w:pStyle w:val="10"/>
            </w:pPr>
            <w:r>
              <w:t>财政专户 收入</w:t>
            </w:r>
          </w:p>
        </w:tc>
        <w:tc>
          <w:tcPr>
            <w:tcW w:w="1134" w:type="dxa"/>
            <w:vAlign w:val="center"/>
          </w:tcPr>
          <w:p w14:paraId="17B6C37F">
            <w:pPr>
              <w:pStyle w:val="10"/>
            </w:pPr>
            <w:r>
              <w:t>事业收入</w:t>
            </w:r>
          </w:p>
        </w:tc>
        <w:tc>
          <w:tcPr>
            <w:tcW w:w="1134" w:type="dxa"/>
            <w:vAlign w:val="center"/>
          </w:tcPr>
          <w:p w14:paraId="53D0480B">
            <w:pPr>
              <w:pStyle w:val="10"/>
            </w:pPr>
            <w:r>
              <w:t>经营收入</w:t>
            </w:r>
          </w:p>
        </w:tc>
        <w:tc>
          <w:tcPr>
            <w:tcW w:w="1134" w:type="dxa"/>
            <w:vAlign w:val="center"/>
          </w:tcPr>
          <w:p w14:paraId="7EFD3FCD">
            <w:pPr>
              <w:pStyle w:val="10"/>
            </w:pPr>
            <w:r>
              <w:t>上级补助收入</w:t>
            </w:r>
          </w:p>
        </w:tc>
        <w:tc>
          <w:tcPr>
            <w:tcW w:w="1134" w:type="dxa"/>
            <w:vAlign w:val="center"/>
          </w:tcPr>
          <w:p w14:paraId="5551DB89">
            <w:pPr>
              <w:pStyle w:val="10"/>
            </w:pPr>
            <w:r>
              <w:t>附属单位上缴收入</w:t>
            </w:r>
          </w:p>
        </w:tc>
        <w:tc>
          <w:tcPr>
            <w:tcW w:w="1134" w:type="dxa"/>
            <w:vAlign w:val="center"/>
          </w:tcPr>
          <w:p w14:paraId="5DBB088A">
            <w:pPr>
              <w:pStyle w:val="10"/>
            </w:pPr>
            <w:r>
              <w:t>其他收入</w:t>
            </w:r>
          </w:p>
        </w:tc>
        <w:tc>
          <w:tcPr>
            <w:tcW w:w="1134" w:type="dxa"/>
            <w:vMerge w:val="continue"/>
          </w:tcPr>
          <w:p w14:paraId="73D57732"/>
        </w:tc>
      </w:tr>
      <w:tr w14:paraId="6C56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FC505B">
            <w:pPr>
              <w:pStyle w:val="10"/>
            </w:pPr>
            <w:r>
              <w:t>栏次</w:t>
            </w:r>
          </w:p>
        </w:tc>
        <w:tc>
          <w:tcPr>
            <w:tcW w:w="992" w:type="dxa"/>
            <w:vAlign w:val="center"/>
          </w:tcPr>
          <w:p w14:paraId="7E9A37FD">
            <w:pPr>
              <w:pStyle w:val="10"/>
            </w:pPr>
            <w:r>
              <w:t>1</w:t>
            </w:r>
          </w:p>
        </w:tc>
        <w:tc>
          <w:tcPr>
            <w:tcW w:w="1559" w:type="dxa"/>
            <w:vAlign w:val="center"/>
          </w:tcPr>
          <w:p w14:paraId="060EA5F4">
            <w:pPr>
              <w:pStyle w:val="10"/>
            </w:pPr>
            <w:r>
              <w:t>2</w:t>
            </w:r>
          </w:p>
        </w:tc>
        <w:tc>
          <w:tcPr>
            <w:tcW w:w="1134" w:type="dxa"/>
            <w:vAlign w:val="center"/>
          </w:tcPr>
          <w:p w14:paraId="375C5612">
            <w:pPr>
              <w:pStyle w:val="10"/>
            </w:pPr>
            <w:r>
              <w:t>3</w:t>
            </w:r>
          </w:p>
        </w:tc>
        <w:tc>
          <w:tcPr>
            <w:tcW w:w="1134" w:type="dxa"/>
            <w:vAlign w:val="center"/>
          </w:tcPr>
          <w:p w14:paraId="498FDE52">
            <w:pPr>
              <w:pStyle w:val="10"/>
            </w:pPr>
            <w:r>
              <w:t>4</w:t>
            </w:r>
          </w:p>
        </w:tc>
        <w:tc>
          <w:tcPr>
            <w:tcW w:w="1134" w:type="dxa"/>
            <w:vAlign w:val="center"/>
          </w:tcPr>
          <w:p w14:paraId="1FD58D20">
            <w:pPr>
              <w:pStyle w:val="10"/>
            </w:pPr>
            <w:r>
              <w:t>5</w:t>
            </w:r>
          </w:p>
        </w:tc>
        <w:tc>
          <w:tcPr>
            <w:tcW w:w="1134" w:type="dxa"/>
            <w:vAlign w:val="center"/>
          </w:tcPr>
          <w:p w14:paraId="553142B6">
            <w:pPr>
              <w:pStyle w:val="10"/>
            </w:pPr>
            <w:r>
              <w:t>6</w:t>
            </w:r>
          </w:p>
        </w:tc>
        <w:tc>
          <w:tcPr>
            <w:tcW w:w="1134" w:type="dxa"/>
            <w:vAlign w:val="center"/>
          </w:tcPr>
          <w:p w14:paraId="7F2061A9">
            <w:pPr>
              <w:pStyle w:val="10"/>
            </w:pPr>
            <w:r>
              <w:t>7</w:t>
            </w:r>
          </w:p>
        </w:tc>
        <w:tc>
          <w:tcPr>
            <w:tcW w:w="1134" w:type="dxa"/>
            <w:vAlign w:val="center"/>
          </w:tcPr>
          <w:p w14:paraId="44E638A1">
            <w:pPr>
              <w:pStyle w:val="10"/>
            </w:pPr>
            <w:r>
              <w:t>8</w:t>
            </w:r>
          </w:p>
        </w:tc>
        <w:tc>
          <w:tcPr>
            <w:tcW w:w="1134" w:type="dxa"/>
            <w:vAlign w:val="center"/>
          </w:tcPr>
          <w:p w14:paraId="49C008BA">
            <w:pPr>
              <w:pStyle w:val="10"/>
            </w:pPr>
            <w:r>
              <w:t>9</w:t>
            </w:r>
          </w:p>
        </w:tc>
        <w:tc>
          <w:tcPr>
            <w:tcW w:w="1134" w:type="dxa"/>
            <w:vAlign w:val="center"/>
          </w:tcPr>
          <w:p w14:paraId="2C9ACBD2">
            <w:pPr>
              <w:pStyle w:val="10"/>
            </w:pPr>
            <w:r>
              <w:t>10</w:t>
            </w:r>
          </w:p>
        </w:tc>
        <w:tc>
          <w:tcPr>
            <w:tcW w:w="1134" w:type="dxa"/>
            <w:vAlign w:val="center"/>
          </w:tcPr>
          <w:p w14:paraId="2574AB12">
            <w:pPr>
              <w:pStyle w:val="10"/>
            </w:pPr>
            <w:r>
              <w:t>11</w:t>
            </w:r>
          </w:p>
        </w:tc>
        <w:tc>
          <w:tcPr>
            <w:tcW w:w="1134" w:type="dxa"/>
            <w:vAlign w:val="center"/>
          </w:tcPr>
          <w:p w14:paraId="0A6A32C1">
            <w:pPr>
              <w:pStyle w:val="10"/>
            </w:pPr>
            <w:r>
              <w:t>12</w:t>
            </w:r>
          </w:p>
        </w:tc>
      </w:tr>
      <w:tr w14:paraId="51B2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9D446">
            <w:pPr>
              <w:pStyle w:val="13"/>
            </w:pPr>
            <w:r>
              <w:t>1</w:t>
            </w:r>
          </w:p>
        </w:tc>
        <w:tc>
          <w:tcPr>
            <w:tcW w:w="992" w:type="dxa"/>
            <w:vAlign w:val="center"/>
          </w:tcPr>
          <w:p w14:paraId="0C77F801">
            <w:pPr>
              <w:pStyle w:val="16"/>
            </w:pPr>
          </w:p>
        </w:tc>
        <w:tc>
          <w:tcPr>
            <w:tcW w:w="1559" w:type="dxa"/>
            <w:vAlign w:val="center"/>
          </w:tcPr>
          <w:p w14:paraId="147BFBBA">
            <w:pPr>
              <w:pStyle w:val="14"/>
            </w:pPr>
            <w:r>
              <w:t>合计</w:t>
            </w:r>
          </w:p>
        </w:tc>
        <w:tc>
          <w:tcPr>
            <w:tcW w:w="1134" w:type="dxa"/>
            <w:vAlign w:val="center"/>
          </w:tcPr>
          <w:p w14:paraId="6AC595D7">
            <w:pPr>
              <w:pStyle w:val="15"/>
            </w:pPr>
            <w:r>
              <w:t>713.61</w:t>
            </w:r>
          </w:p>
        </w:tc>
        <w:tc>
          <w:tcPr>
            <w:tcW w:w="1134" w:type="dxa"/>
            <w:vAlign w:val="center"/>
          </w:tcPr>
          <w:p w14:paraId="06A5BE43">
            <w:pPr>
              <w:pStyle w:val="15"/>
            </w:pPr>
            <w:r>
              <w:t>713.61</w:t>
            </w:r>
          </w:p>
        </w:tc>
        <w:tc>
          <w:tcPr>
            <w:tcW w:w="1134" w:type="dxa"/>
            <w:vAlign w:val="center"/>
          </w:tcPr>
          <w:p w14:paraId="346D822C">
            <w:pPr>
              <w:pStyle w:val="15"/>
            </w:pPr>
            <w:r>
              <w:t>713.61</w:t>
            </w:r>
          </w:p>
        </w:tc>
        <w:tc>
          <w:tcPr>
            <w:tcW w:w="1134" w:type="dxa"/>
            <w:vAlign w:val="center"/>
          </w:tcPr>
          <w:p w14:paraId="5C6560C7">
            <w:pPr>
              <w:pStyle w:val="15"/>
            </w:pPr>
          </w:p>
        </w:tc>
        <w:tc>
          <w:tcPr>
            <w:tcW w:w="1134" w:type="dxa"/>
            <w:vAlign w:val="center"/>
          </w:tcPr>
          <w:p w14:paraId="3C1E6E4B">
            <w:pPr>
              <w:pStyle w:val="15"/>
            </w:pPr>
          </w:p>
        </w:tc>
        <w:tc>
          <w:tcPr>
            <w:tcW w:w="1134" w:type="dxa"/>
            <w:vAlign w:val="center"/>
          </w:tcPr>
          <w:p w14:paraId="1E92385B">
            <w:pPr>
              <w:pStyle w:val="15"/>
            </w:pPr>
          </w:p>
        </w:tc>
        <w:tc>
          <w:tcPr>
            <w:tcW w:w="1134" w:type="dxa"/>
            <w:vAlign w:val="center"/>
          </w:tcPr>
          <w:p w14:paraId="29B81D08">
            <w:pPr>
              <w:pStyle w:val="15"/>
            </w:pPr>
          </w:p>
        </w:tc>
        <w:tc>
          <w:tcPr>
            <w:tcW w:w="1134" w:type="dxa"/>
            <w:vAlign w:val="center"/>
          </w:tcPr>
          <w:p w14:paraId="5F16FC04">
            <w:pPr>
              <w:pStyle w:val="15"/>
            </w:pPr>
          </w:p>
        </w:tc>
        <w:tc>
          <w:tcPr>
            <w:tcW w:w="1134" w:type="dxa"/>
            <w:vAlign w:val="center"/>
          </w:tcPr>
          <w:p w14:paraId="7C732B23">
            <w:pPr>
              <w:pStyle w:val="15"/>
            </w:pPr>
          </w:p>
        </w:tc>
        <w:tc>
          <w:tcPr>
            <w:tcW w:w="1134" w:type="dxa"/>
            <w:vAlign w:val="center"/>
          </w:tcPr>
          <w:p w14:paraId="067D0E5F">
            <w:pPr>
              <w:pStyle w:val="15"/>
            </w:pPr>
          </w:p>
        </w:tc>
      </w:tr>
      <w:tr w14:paraId="0D14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6ABCA">
            <w:pPr>
              <w:pStyle w:val="13"/>
            </w:pPr>
            <w:r>
              <w:t>2</w:t>
            </w:r>
          </w:p>
        </w:tc>
        <w:tc>
          <w:tcPr>
            <w:tcW w:w="992" w:type="dxa"/>
            <w:vAlign w:val="center"/>
          </w:tcPr>
          <w:p w14:paraId="37EB3EDE">
            <w:pPr>
              <w:pStyle w:val="12"/>
            </w:pPr>
            <w:r>
              <w:t>205</w:t>
            </w:r>
          </w:p>
        </w:tc>
        <w:tc>
          <w:tcPr>
            <w:tcW w:w="1559" w:type="dxa"/>
            <w:vAlign w:val="center"/>
          </w:tcPr>
          <w:p w14:paraId="3174A9DD">
            <w:pPr>
              <w:pStyle w:val="12"/>
            </w:pPr>
            <w:r>
              <w:t>教育支出</w:t>
            </w:r>
          </w:p>
        </w:tc>
        <w:tc>
          <w:tcPr>
            <w:tcW w:w="1134" w:type="dxa"/>
            <w:vAlign w:val="center"/>
          </w:tcPr>
          <w:p w14:paraId="551C3C5E">
            <w:pPr>
              <w:pStyle w:val="11"/>
            </w:pPr>
            <w:r>
              <w:t>713.61</w:t>
            </w:r>
          </w:p>
        </w:tc>
        <w:tc>
          <w:tcPr>
            <w:tcW w:w="1134" w:type="dxa"/>
            <w:vAlign w:val="center"/>
          </w:tcPr>
          <w:p w14:paraId="262A7E8D">
            <w:pPr>
              <w:pStyle w:val="11"/>
            </w:pPr>
            <w:r>
              <w:t>713.61</w:t>
            </w:r>
          </w:p>
        </w:tc>
        <w:tc>
          <w:tcPr>
            <w:tcW w:w="1134" w:type="dxa"/>
            <w:vAlign w:val="center"/>
          </w:tcPr>
          <w:p w14:paraId="3F0353CD">
            <w:pPr>
              <w:pStyle w:val="11"/>
            </w:pPr>
            <w:r>
              <w:t>713.61</w:t>
            </w:r>
          </w:p>
        </w:tc>
        <w:tc>
          <w:tcPr>
            <w:tcW w:w="1134" w:type="dxa"/>
            <w:vAlign w:val="center"/>
          </w:tcPr>
          <w:p w14:paraId="3652BAE6">
            <w:pPr>
              <w:pStyle w:val="11"/>
            </w:pPr>
          </w:p>
        </w:tc>
        <w:tc>
          <w:tcPr>
            <w:tcW w:w="1134" w:type="dxa"/>
            <w:vAlign w:val="center"/>
          </w:tcPr>
          <w:p w14:paraId="335DE2D6">
            <w:pPr>
              <w:pStyle w:val="11"/>
            </w:pPr>
          </w:p>
        </w:tc>
        <w:tc>
          <w:tcPr>
            <w:tcW w:w="1134" w:type="dxa"/>
            <w:vAlign w:val="center"/>
          </w:tcPr>
          <w:p w14:paraId="3C485D4E">
            <w:pPr>
              <w:pStyle w:val="11"/>
            </w:pPr>
          </w:p>
        </w:tc>
        <w:tc>
          <w:tcPr>
            <w:tcW w:w="1134" w:type="dxa"/>
            <w:vAlign w:val="center"/>
          </w:tcPr>
          <w:p w14:paraId="5E1B05F0">
            <w:pPr>
              <w:pStyle w:val="11"/>
            </w:pPr>
          </w:p>
        </w:tc>
        <w:tc>
          <w:tcPr>
            <w:tcW w:w="1134" w:type="dxa"/>
            <w:vAlign w:val="center"/>
          </w:tcPr>
          <w:p w14:paraId="15BE2F2E">
            <w:pPr>
              <w:pStyle w:val="11"/>
            </w:pPr>
          </w:p>
        </w:tc>
        <w:tc>
          <w:tcPr>
            <w:tcW w:w="1134" w:type="dxa"/>
            <w:vAlign w:val="center"/>
          </w:tcPr>
          <w:p w14:paraId="66C81287">
            <w:pPr>
              <w:pStyle w:val="11"/>
            </w:pPr>
          </w:p>
        </w:tc>
        <w:tc>
          <w:tcPr>
            <w:tcW w:w="1134" w:type="dxa"/>
            <w:vAlign w:val="center"/>
          </w:tcPr>
          <w:p w14:paraId="38818558">
            <w:pPr>
              <w:pStyle w:val="11"/>
            </w:pPr>
          </w:p>
        </w:tc>
      </w:tr>
      <w:tr w14:paraId="1BF2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777A7">
            <w:pPr>
              <w:pStyle w:val="13"/>
            </w:pPr>
            <w:r>
              <w:t>3</w:t>
            </w:r>
          </w:p>
        </w:tc>
        <w:tc>
          <w:tcPr>
            <w:tcW w:w="992" w:type="dxa"/>
            <w:vAlign w:val="center"/>
          </w:tcPr>
          <w:p w14:paraId="60E63CDF">
            <w:pPr>
              <w:pStyle w:val="12"/>
            </w:pPr>
            <w:r>
              <w:t>20502</w:t>
            </w:r>
          </w:p>
        </w:tc>
        <w:tc>
          <w:tcPr>
            <w:tcW w:w="1559" w:type="dxa"/>
            <w:vAlign w:val="center"/>
          </w:tcPr>
          <w:p w14:paraId="32235894">
            <w:pPr>
              <w:pStyle w:val="12"/>
            </w:pPr>
            <w:r>
              <w:t>普通教育</w:t>
            </w:r>
          </w:p>
        </w:tc>
        <w:tc>
          <w:tcPr>
            <w:tcW w:w="1134" w:type="dxa"/>
            <w:vAlign w:val="center"/>
          </w:tcPr>
          <w:p w14:paraId="552E0C41">
            <w:pPr>
              <w:pStyle w:val="11"/>
            </w:pPr>
            <w:r>
              <w:t>713.61</w:t>
            </w:r>
          </w:p>
        </w:tc>
        <w:tc>
          <w:tcPr>
            <w:tcW w:w="1134" w:type="dxa"/>
            <w:vAlign w:val="center"/>
          </w:tcPr>
          <w:p w14:paraId="1E942FAF">
            <w:pPr>
              <w:pStyle w:val="11"/>
            </w:pPr>
            <w:r>
              <w:t>713.61</w:t>
            </w:r>
          </w:p>
        </w:tc>
        <w:tc>
          <w:tcPr>
            <w:tcW w:w="1134" w:type="dxa"/>
            <w:vAlign w:val="center"/>
          </w:tcPr>
          <w:p w14:paraId="6C2352E5">
            <w:pPr>
              <w:pStyle w:val="11"/>
            </w:pPr>
            <w:r>
              <w:t>713.61</w:t>
            </w:r>
          </w:p>
        </w:tc>
        <w:tc>
          <w:tcPr>
            <w:tcW w:w="1134" w:type="dxa"/>
            <w:vAlign w:val="center"/>
          </w:tcPr>
          <w:p w14:paraId="0FED96E8">
            <w:pPr>
              <w:pStyle w:val="11"/>
            </w:pPr>
          </w:p>
        </w:tc>
        <w:tc>
          <w:tcPr>
            <w:tcW w:w="1134" w:type="dxa"/>
            <w:vAlign w:val="center"/>
          </w:tcPr>
          <w:p w14:paraId="0A152B91">
            <w:pPr>
              <w:pStyle w:val="11"/>
            </w:pPr>
          </w:p>
        </w:tc>
        <w:tc>
          <w:tcPr>
            <w:tcW w:w="1134" w:type="dxa"/>
            <w:vAlign w:val="center"/>
          </w:tcPr>
          <w:p w14:paraId="6D99F0DB">
            <w:pPr>
              <w:pStyle w:val="11"/>
            </w:pPr>
          </w:p>
        </w:tc>
        <w:tc>
          <w:tcPr>
            <w:tcW w:w="1134" w:type="dxa"/>
            <w:vAlign w:val="center"/>
          </w:tcPr>
          <w:p w14:paraId="4FBCB52A">
            <w:pPr>
              <w:pStyle w:val="11"/>
            </w:pPr>
          </w:p>
        </w:tc>
        <w:tc>
          <w:tcPr>
            <w:tcW w:w="1134" w:type="dxa"/>
            <w:vAlign w:val="center"/>
          </w:tcPr>
          <w:p w14:paraId="5EE9CBDB">
            <w:pPr>
              <w:pStyle w:val="11"/>
            </w:pPr>
          </w:p>
        </w:tc>
        <w:tc>
          <w:tcPr>
            <w:tcW w:w="1134" w:type="dxa"/>
            <w:vAlign w:val="center"/>
          </w:tcPr>
          <w:p w14:paraId="67300838">
            <w:pPr>
              <w:pStyle w:val="11"/>
            </w:pPr>
          </w:p>
        </w:tc>
        <w:tc>
          <w:tcPr>
            <w:tcW w:w="1134" w:type="dxa"/>
            <w:vAlign w:val="center"/>
          </w:tcPr>
          <w:p w14:paraId="5B898ABF">
            <w:pPr>
              <w:pStyle w:val="11"/>
            </w:pPr>
          </w:p>
        </w:tc>
      </w:tr>
      <w:tr w14:paraId="3B4CD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55F0B">
            <w:pPr>
              <w:pStyle w:val="13"/>
            </w:pPr>
            <w:r>
              <w:t>4</w:t>
            </w:r>
          </w:p>
        </w:tc>
        <w:tc>
          <w:tcPr>
            <w:tcW w:w="992" w:type="dxa"/>
            <w:vAlign w:val="center"/>
          </w:tcPr>
          <w:p w14:paraId="1E5ADBED">
            <w:pPr>
              <w:pStyle w:val="12"/>
            </w:pPr>
            <w:r>
              <w:t>2050203</w:t>
            </w:r>
          </w:p>
        </w:tc>
        <w:tc>
          <w:tcPr>
            <w:tcW w:w="1559" w:type="dxa"/>
            <w:vAlign w:val="center"/>
          </w:tcPr>
          <w:p w14:paraId="34A3F5A2">
            <w:pPr>
              <w:pStyle w:val="12"/>
            </w:pPr>
            <w:r>
              <w:t>初中教育</w:t>
            </w:r>
          </w:p>
        </w:tc>
        <w:tc>
          <w:tcPr>
            <w:tcW w:w="1134" w:type="dxa"/>
            <w:vAlign w:val="center"/>
          </w:tcPr>
          <w:p w14:paraId="4B88375C">
            <w:pPr>
              <w:pStyle w:val="11"/>
            </w:pPr>
            <w:r>
              <w:t>713.61</w:t>
            </w:r>
          </w:p>
        </w:tc>
        <w:tc>
          <w:tcPr>
            <w:tcW w:w="1134" w:type="dxa"/>
            <w:vAlign w:val="center"/>
          </w:tcPr>
          <w:p w14:paraId="29C82DC7">
            <w:pPr>
              <w:pStyle w:val="11"/>
            </w:pPr>
            <w:r>
              <w:t>713.61</w:t>
            </w:r>
          </w:p>
        </w:tc>
        <w:tc>
          <w:tcPr>
            <w:tcW w:w="1134" w:type="dxa"/>
            <w:vAlign w:val="center"/>
          </w:tcPr>
          <w:p w14:paraId="1E0357FC">
            <w:pPr>
              <w:pStyle w:val="11"/>
            </w:pPr>
            <w:r>
              <w:t>713.61</w:t>
            </w:r>
          </w:p>
        </w:tc>
        <w:tc>
          <w:tcPr>
            <w:tcW w:w="1134" w:type="dxa"/>
            <w:vAlign w:val="center"/>
          </w:tcPr>
          <w:p w14:paraId="5417B5F5">
            <w:pPr>
              <w:pStyle w:val="11"/>
            </w:pPr>
          </w:p>
        </w:tc>
        <w:tc>
          <w:tcPr>
            <w:tcW w:w="1134" w:type="dxa"/>
            <w:vAlign w:val="center"/>
          </w:tcPr>
          <w:p w14:paraId="583B5C32">
            <w:pPr>
              <w:pStyle w:val="11"/>
            </w:pPr>
          </w:p>
        </w:tc>
        <w:tc>
          <w:tcPr>
            <w:tcW w:w="1134" w:type="dxa"/>
            <w:vAlign w:val="center"/>
          </w:tcPr>
          <w:p w14:paraId="3609B756">
            <w:pPr>
              <w:pStyle w:val="11"/>
            </w:pPr>
          </w:p>
        </w:tc>
        <w:tc>
          <w:tcPr>
            <w:tcW w:w="1134" w:type="dxa"/>
            <w:vAlign w:val="center"/>
          </w:tcPr>
          <w:p w14:paraId="6BC75BEE">
            <w:pPr>
              <w:pStyle w:val="11"/>
            </w:pPr>
          </w:p>
        </w:tc>
        <w:tc>
          <w:tcPr>
            <w:tcW w:w="1134" w:type="dxa"/>
            <w:vAlign w:val="center"/>
          </w:tcPr>
          <w:p w14:paraId="0406C4DE">
            <w:pPr>
              <w:pStyle w:val="11"/>
            </w:pPr>
          </w:p>
        </w:tc>
        <w:tc>
          <w:tcPr>
            <w:tcW w:w="1134" w:type="dxa"/>
            <w:vAlign w:val="center"/>
          </w:tcPr>
          <w:p w14:paraId="25AC292B">
            <w:pPr>
              <w:pStyle w:val="11"/>
            </w:pPr>
          </w:p>
        </w:tc>
        <w:tc>
          <w:tcPr>
            <w:tcW w:w="1134" w:type="dxa"/>
            <w:vAlign w:val="center"/>
          </w:tcPr>
          <w:p w14:paraId="39A6DFB1">
            <w:pPr>
              <w:pStyle w:val="11"/>
            </w:pPr>
          </w:p>
        </w:tc>
      </w:tr>
    </w:tbl>
    <w:p w14:paraId="2E84F8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33F0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94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3CA07B">
            <w:pPr>
              <w:pStyle w:val="9"/>
            </w:pPr>
            <w:r>
              <w:t>360034隆尧县莲子中学</w:t>
            </w:r>
          </w:p>
        </w:tc>
        <w:tc>
          <w:tcPr>
            <w:tcW w:w="2722" w:type="dxa"/>
            <w:gridSpan w:val="2"/>
            <w:tcBorders>
              <w:top w:val="single" w:color="FFFFFF" w:sz="6" w:space="0"/>
              <w:left w:val="single" w:color="FFFFFF" w:sz="6" w:space="0"/>
              <w:right w:val="single" w:color="FFFFFF" w:sz="6" w:space="0"/>
            </w:tcBorders>
            <w:vAlign w:val="center"/>
          </w:tcPr>
          <w:p w14:paraId="49615A3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9F3C6EF">
            <w:pPr>
              <w:pStyle w:val="7"/>
            </w:pPr>
            <w:r>
              <w:t>单位：万元</w:t>
            </w:r>
          </w:p>
        </w:tc>
      </w:tr>
      <w:tr w14:paraId="5012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AD6E6">
            <w:pPr>
              <w:pStyle w:val="10"/>
            </w:pPr>
            <w:r>
              <w:t>序号</w:t>
            </w:r>
          </w:p>
        </w:tc>
        <w:tc>
          <w:tcPr>
            <w:tcW w:w="5527" w:type="dxa"/>
            <w:gridSpan w:val="2"/>
            <w:vAlign w:val="center"/>
          </w:tcPr>
          <w:p w14:paraId="1FF1C0D1">
            <w:pPr>
              <w:pStyle w:val="10"/>
            </w:pPr>
            <w:r>
              <w:t>功能分类科目</w:t>
            </w:r>
          </w:p>
        </w:tc>
        <w:tc>
          <w:tcPr>
            <w:tcW w:w="1361" w:type="dxa"/>
            <w:vMerge w:val="restart"/>
            <w:vAlign w:val="center"/>
          </w:tcPr>
          <w:p w14:paraId="02CB4533">
            <w:pPr>
              <w:pStyle w:val="10"/>
            </w:pPr>
            <w:r>
              <w:t>合计</w:t>
            </w:r>
          </w:p>
        </w:tc>
        <w:tc>
          <w:tcPr>
            <w:tcW w:w="1361" w:type="dxa"/>
            <w:vMerge w:val="restart"/>
            <w:vAlign w:val="center"/>
          </w:tcPr>
          <w:p w14:paraId="65AA8DBA">
            <w:pPr>
              <w:pStyle w:val="10"/>
            </w:pPr>
            <w:r>
              <w:t>基本支出</w:t>
            </w:r>
          </w:p>
        </w:tc>
        <w:tc>
          <w:tcPr>
            <w:tcW w:w="1361" w:type="dxa"/>
            <w:vMerge w:val="restart"/>
            <w:vAlign w:val="center"/>
          </w:tcPr>
          <w:p w14:paraId="40E5B271">
            <w:pPr>
              <w:pStyle w:val="10"/>
            </w:pPr>
            <w:r>
              <w:t>项目支出</w:t>
            </w:r>
          </w:p>
        </w:tc>
        <w:tc>
          <w:tcPr>
            <w:tcW w:w="1361" w:type="dxa"/>
            <w:vMerge w:val="restart"/>
            <w:vAlign w:val="center"/>
          </w:tcPr>
          <w:p w14:paraId="04526E02">
            <w:pPr>
              <w:pStyle w:val="10"/>
            </w:pPr>
            <w:r>
              <w:t>经营支出</w:t>
            </w:r>
          </w:p>
        </w:tc>
        <w:tc>
          <w:tcPr>
            <w:tcW w:w="1361" w:type="dxa"/>
            <w:vMerge w:val="restart"/>
            <w:vAlign w:val="center"/>
          </w:tcPr>
          <w:p w14:paraId="01FE0BED">
            <w:pPr>
              <w:pStyle w:val="10"/>
            </w:pPr>
            <w:r>
              <w:t>上解上级     支出</w:t>
            </w:r>
          </w:p>
        </w:tc>
        <w:tc>
          <w:tcPr>
            <w:tcW w:w="1361" w:type="dxa"/>
            <w:vMerge w:val="restart"/>
            <w:vAlign w:val="center"/>
          </w:tcPr>
          <w:p w14:paraId="2342466D">
            <w:pPr>
              <w:pStyle w:val="10"/>
            </w:pPr>
            <w:r>
              <w:t>对附属单位补助支出</w:t>
            </w:r>
          </w:p>
        </w:tc>
      </w:tr>
      <w:tr w14:paraId="7A04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135AD8"/>
        </w:tc>
        <w:tc>
          <w:tcPr>
            <w:tcW w:w="992" w:type="dxa"/>
            <w:vAlign w:val="center"/>
          </w:tcPr>
          <w:p w14:paraId="4FD7FD42">
            <w:pPr>
              <w:pStyle w:val="10"/>
            </w:pPr>
            <w:r>
              <w:t>科目    编码</w:t>
            </w:r>
          </w:p>
        </w:tc>
        <w:tc>
          <w:tcPr>
            <w:tcW w:w="4535" w:type="dxa"/>
            <w:vAlign w:val="center"/>
          </w:tcPr>
          <w:p w14:paraId="4E00117E">
            <w:pPr>
              <w:pStyle w:val="10"/>
            </w:pPr>
            <w:r>
              <w:t>科目名称</w:t>
            </w:r>
          </w:p>
        </w:tc>
        <w:tc>
          <w:tcPr>
            <w:tcW w:w="1361" w:type="dxa"/>
            <w:vMerge w:val="continue"/>
          </w:tcPr>
          <w:p w14:paraId="7B320FF0"/>
        </w:tc>
        <w:tc>
          <w:tcPr>
            <w:tcW w:w="1361" w:type="dxa"/>
            <w:vMerge w:val="continue"/>
          </w:tcPr>
          <w:p w14:paraId="691CD3BB"/>
        </w:tc>
        <w:tc>
          <w:tcPr>
            <w:tcW w:w="1361" w:type="dxa"/>
            <w:vMerge w:val="continue"/>
          </w:tcPr>
          <w:p w14:paraId="0AF2A028"/>
        </w:tc>
        <w:tc>
          <w:tcPr>
            <w:tcW w:w="1361" w:type="dxa"/>
            <w:vMerge w:val="continue"/>
          </w:tcPr>
          <w:p w14:paraId="2B90B57F"/>
        </w:tc>
        <w:tc>
          <w:tcPr>
            <w:tcW w:w="1361" w:type="dxa"/>
            <w:vMerge w:val="continue"/>
          </w:tcPr>
          <w:p w14:paraId="515A697B"/>
        </w:tc>
        <w:tc>
          <w:tcPr>
            <w:tcW w:w="1361" w:type="dxa"/>
            <w:vMerge w:val="continue"/>
          </w:tcPr>
          <w:p w14:paraId="288770F9"/>
        </w:tc>
      </w:tr>
      <w:tr w14:paraId="6FDB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63E66">
            <w:pPr>
              <w:pStyle w:val="10"/>
            </w:pPr>
            <w:r>
              <w:t>栏次</w:t>
            </w:r>
          </w:p>
        </w:tc>
        <w:tc>
          <w:tcPr>
            <w:tcW w:w="992" w:type="dxa"/>
            <w:vAlign w:val="center"/>
          </w:tcPr>
          <w:p w14:paraId="7027F7AD">
            <w:pPr>
              <w:pStyle w:val="10"/>
            </w:pPr>
            <w:r>
              <w:t>1</w:t>
            </w:r>
          </w:p>
        </w:tc>
        <w:tc>
          <w:tcPr>
            <w:tcW w:w="4535" w:type="dxa"/>
            <w:vAlign w:val="center"/>
          </w:tcPr>
          <w:p w14:paraId="7916A146">
            <w:pPr>
              <w:pStyle w:val="10"/>
            </w:pPr>
            <w:r>
              <w:t>2</w:t>
            </w:r>
          </w:p>
        </w:tc>
        <w:tc>
          <w:tcPr>
            <w:tcW w:w="1361" w:type="dxa"/>
            <w:vAlign w:val="center"/>
          </w:tcPr>
          <w:p w14:paraId="1AA4505E">
            <w:pPr>
              <w:pStyle w:val="10"/>
            </w:pPr>
            <w:r>
              <w:t>3</w:t>
            </w:r>
          </w:p>
        </w:tc>
        <w:tc>
          <w:tcPr>
            <w:tcW w:w="1361" w:type="dxa"/>
            <w:vAlign w:val="center"/>
          </w:tcPr>
          <w:p w14:paraId="4BE5D820">
            <w:pPr>
              <w:pStyle w:val="10"/>
            </w:pPr>
            <w:r>
              <w:t>4</w:t>
            </w:r>
          </w:p>
        </w:tc>
        <w:tc>
          <w:tcPr>
            <w:tcW w:w="1361" w:type="dxa"/>
            <w:vAlign w:val="center"/>
          </w:tcPr>
          <w:p w14:paraId="3676F226">
            <w:pPr>
              <w:pStyle w:val="10"/>
            </w:pPr>
            <w:r>
              <w:t>5</w:t>
            </w:r>
          </w:p>
        </w:tc>
        <w:tc>
          <w:tcPr>
            <w:tcW w:w="1361" w:type="dxa"/>
            <w:vAlign w:val="center"/>
          </w:tcPr>
          <w:p w14:paraId="36DF47AD">
            <w:pPr>
              <w:pStyle w:val="10"/>
            </w:pPr>
            <w:r>
              <w:t>6</w:t>
            </w:r>
          </w:p>
        </w:tc>
        <w:tc>
          <w:tcPr>
            <w:tcW w:w="1361" w:type="dxa"/>
            <w:vAlign w:val="center"/>
          </w:tcPr>
          <w:p w14:paraId="33221A2F">
            <w:pPr>
              <w:pStyle w:val="10"/>
            </w:pPr>
            <w:r>
              <w:t>7</w:t>
            </w:r>
          </w:p>
        </w:tc>
        <w:tc>
          <w:tcPr>
            <w:tcW w:w="1361" w:type="dxa"/>
            <w:vAlign w:val="center"/>
          </w:tcPr>
          <w:p w14:paraId="2366F05A">
            <w:pPr>
              <w:pStyle w:val="10"/>
            </w:pPr>
            <w:r>
              <w:t>8</w:t>
            </w:r>
          </w:p>
        </w:tc>
      </w:tr>
      <w:tr w14:paraId="043B3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761ED">
            <w:pPr>
              <w:pStyle w:val="13"/>
            </w:pPr>
            <w:r>
              <w:t>1</w:t>
            </w:r>
          </w:p>
        </w:tc>
        <w:tc>
          <w:tcPr>
            <w:tcW w:w="992" w:type="dxa"/>
            <w:vAlign w:val="center"/>
          </w:tcPr>
          <w:p w14:paraId="3A900CAC">
            <w:pPr>
              <w:pStyle w:val="16"/>
            </w:pPr>
          </w:p>
        </w:tc>
        <w:tc>
          <w:tcPr>
            <w:tcW w:w="4535" w:type="dxa"/>
            <w:vAlign w:val="center"/>
          </w:tcPr>
          <w:p w14:paraId="05309DEE">
            <w:pPr>
              <w:pStyle w:val="14"/>
            </w:pPr>
            <w:r>
              <w:t>合计</w:t>
            </w:r>
          </w:p>
        </w:tc>
        <w:tc>
          <w:tcPr>
            <w:tcW w:w="1361" w:type="dxa"/>
            <w:vAlign w:val="center"/>
          </w:tcPr>
          <w:p w14:paraId="20AF47E4">
            <w:pPr>
              <w:pStyle w:val="15"/>
            </w:pPr>
            <w:r>
              <w:t>713.61</w:t>
            </w:r>
          </w:p>
        </w:tc>
        <w:tc>
          <w:tcPr>
            <w:tcW w:w="1361" w:type="dxa"/>
            <w:vAlign w:val="center"/>
          </w:tcPr>
          <w:p w14:paraId="1B039F58">
            <w:pPr>
              <w:pStyle w:val="15"/>
            </w:pPr>
            <w:r>
              <w:t>586.82</w:t>
            </w:r>
          </w:p>
        </w:tc>
        <w:tc>
          <w:tcPr>
            <w:tcW w:w="1361" w:type="dxa"/>
            <w:vAlign w:val="center"/>
          </w:tcPr>
          <w:p w14:paraId="0778EC1E">
            <w:pPr>
              <w:pStyle w:val="15"/>
            </w:pPr>
            <w:r>
              <w:t>126.79</w:t>
            </w:r>
          </w:p>
        </w:tc>
        <w:tc>
          <w:tcPr>
            <w:tcW w:w="1361" w:type="dxa"/>
            <w:vAlign w:val="center"/>
          </w:tcPr>
          <w:p w14:paraId="62B397E0">
            <w:pPr>
              <w:pStyle w:val="15"/>
            </w:pPr>
          </w:p>
        </w:tc>
        <w:tc>
          <w:tcPr>
            <w:tcW w:w="1361" w:type="dxa"/>
            <w:vAlign w:val="center"/>
          </w:tcPr>
          <w:p w14:paraId="3BCAA3D4">
            <w:pPr>
              <w:pStyle w:val="15"/>
            </w:pPr>
          </w:p>
        </w:tc>
        <w:tc>
          <w:tcPr>
            <w:tcW w:w="1361" w:type="dxa"/>
            <w:vAlign w:val="center"/>
          </w:tcPr>
          <w:p w14:paraId="7C8D14C3">
            <w:pPr>
              <w:pStyle w:val="15"/>
            </w:pPr>
          </w:p>
        </w:tc>
      </w:tr>
      <w:tr w14:paraId="1042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B0E27">
            <w:pPr>
              <w:pStyle w:val="13"/>
            </w:pPr>
            <w:r>
              <w:t>2</w:t>
            </w:r>
          </w:p>
        </w:tc>
        <w:tc>
          <w:tcPr>
            <w:tcW w:w="992" w:type="dxa"/>
            <w:vAlign w:val="center"/>
          </w:tcPr>
          <w:p w14:paraId="57256B83">
            <w:pPr>
              <w:pStyle w:val="12"/>
            </w:pPr>
            <w:r>
              <w:t>205</w:t>
            </w:r>
          </w:p>
        </w:tc>
        <w:tc>
          <w:tcPr>
            <w:tcW w:w="4535" w:type="dxa"/>
            <w:vAlign w:val="center"/>
          </w:tcPr>
          <w:p w14:paraId="2AF7711F">
            <w:pPr>
              <w:pStyle w:val="12"/>
            </w:pPr>
            <w:r>
              <w:t>教育支出</w:t>
            </w:r>
          </w:p>
        </w:tc>
        <w:tc>
          <w:tcPr>
            <w:tcW w:w="1361" w:type="dxa"/>
            <w:vAlign w:val="center"/>
          </w:tcPr>
          <w:p w14:paraId="7BDC5188">
            <w:pPr>
              <w:pStyle w:val="11"/>
            </w:pPr>
            <w:r>
              <w:t>713.61</w:t>
            </w:r>
          </w:p>
        </w:tc>
        <w:tc>
          <w:tcPr>
            <w:tcW w:w="1361" w:type="dxa"/>
            <w:vAlign w:val="center"/>
          </w:tcPr>
          <w:p w14:paraId="31164356">
            <w:pPr>
              <w:pStyle w:val="11"/>
            </w:pPr>
            <w:r>
              <w:t>586.82</w:t>
            </w:r>
          </w:p>
        </w:tc>
        <w:tc>
          <w:tcPr>
            <w:tcW w:w="1361" w:type="dxa"/>
            <w:vAlign w:val="center"/>
          </w:tcPr>
          <w:p w14:paraId="735D834A">
            <w:pPr>
              <w:pStyle w:val="11"/>
            </w:pPr>
            <w:r>
              <w:t>126.79</w:t>
            </w:r>
          </w:p>
        </w:tc>
        <w:tc>
          <w:tcPr>
            <w:tcW w:w="1361" w:type="dxa"/>
            <w:vAlign w:val="center"/>
          </w:tcPr>
          <w:p w14:paraId="5811FCCE">
            <w:pPr>
              <w:pStyle w:val="11"/>
            </w:pPr>
          </w:p>
        </w:tc>
        <w:tc>
          <w:tcPr>
            <w:tcW w:w="1361" w:type="dxa"/>
            <w:vAlign w:val="center"/>
          </w:tcPr>
          <w:p w14:paraId="64B64730">
            <w:pPr>
              <w:pStyle w:val="11"/>
            </w:pPr>
          </w:p>
        </w:tc>
        <w:tc>
          <w:tcPr>
            <w:tcW w:w="1361" w:type="dxa"/>
            <w:vAlign w:val="center"/>
          </w:tcPr>
          <w:p w14:paraId="4608A21B">
            <w:pPr>
              <w:pStyle w:val="11"/>
            </w:pPr>
          </w:p>
        </w:tc>
      </w:tr>
      <w:tr w14:paraId="7F3C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179C">
            <w:pPr>
              <w:pStyle w:val="13"/>
            </w:pPr>
            <w:r>
              <w:t>3</w:t>
            </w:r>
          </w:p>
        </w:tc>
        <w:tc>
          <w:tcPr>
            <w:tcW w:w="992" w:type="dxa"/>
            <w:vAlign w:val="center"/>
          </w:tcPr>
          <w:p w14:paraId="15AB619A">
            <w:pPr>
              <w:pStyle w:val="12"/>
            </w:pPr>
            <w:r>
              <w:t>20502</w:t>
            </w:r>
          </w:p>
        </w:tc>
        <w:tc>
          <w:tcPr>
            <w:tcW w:w="4535" w:type="dxa"/>
            <w:vAlign w:val="center"/>
          </w:tcPr>
          <w:p w14:paraId="188DF8FA">
            <w:pPr>
              <w:pStyle w:val="12"/>
            </w:pPr>
            <w:r>
              <w:t>普通教育</w:t>
            </w:r>
          </w:p>
        </w:tc>
        <w:tc>
          <w:tcPr>
            <w:tcW w:w="1361" w:type="dxa"/>
            <w:vAlign w:val="center"/>
          </w:tcPr>
          <w:p w14:paraId="61C5BAF0">
            <w:pPr>
              <w:pStyle w:val="11"/>
            </w:pPr>
            <w:r>
              <w:t>713.61</w:t>
            </w:r>
          </w:p>
        </w:tc>
        <w:tc>
          <w:tcPr>
            <w:tcW w:w="1361" w:type="dxa"/>
            <w:vAlign w:val="center"/>
          </w:tcPr>
          <w:p w14:paraId="4972A661">
            <w:pPr>
              <w:pStyle w:val="11"/>
            </w:pPr>
            <w:r>
              <w:t>586.82</w:t>
            </w:r>
          </w:p>
        </w:tc>
        <w:tc>
          <w:tcPr>
            <w:tcW w:w="1361" w:type="dxa"/>
            <w:vAlign w:val="center"/>
          </w:tcPr>
          <w:p w14:paraId="18FC79CD">
            <w:pPr>
              <w:pStyle w:val="11"/>
            </w:pPr>
            <w:r>
              <w:t>126.79</w:t>
            </w:r>
          </w:p>
        </w:tc>
        <w:tc>
          <w:tcPr>
            <w:tcW w:w="1361" w:type="dxa"/>
            <w:vAlign w:val="center"/>
          </w:tcPr>
          <w:p w14:paraId="0AB22AB4">
            <w:pPr>
              <w:pStyle w:val="11"/>
            </w:pPr>
          </w:p>
        </w:tc>
        <w:tc>
          <w:tcPr>
            <w:tcW w:w="1361" w:type="dxa"/>
            <w:vAlign w:val="center"/>
          </w:tcPr>
          <w:p w14:paraId="177061EB">
            <w:pPr>
              <w:pStyle w:val="11"/>
            </w:pPr>
          </w:p>
        </w:tc>
        <w:tc>
          <w:tcPr>
            <w:tcW w:w="1361" w:type="dxa"/>
            <w:vAlign w:val="center"/>
          </w:tcPr>
          <w:p w14:paraId="468EF0F8">
            <w:pPr>
              <w:pStyle w:val="11"/>
            </w:pPr>
          </w:p>
        </w:tc>
      </w:tr>
      <w:tr w14:paraId="0326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87D34">
            <w:pPr>
              <w:pStyle w:val="13"/>
            </w:pPr>
            <w:r>
              <w:t>4</w:t>
            </w:r>
          </w:p>
        </w:tc>
        <w:tc>
          <w:tcPr>
            <w:tcW w:w="992" w:type="dxa"/>
            <w:vAlign w:val="center"/>
          </w:tcPr>
          <w:p w14:paraId="358850B3">
            <w:pPr>
              <w:pStyle w:val="12"/>
            </w:pPr>
            <w:r>
              <w:t>2050203</w:t>
            </w:r>
          </w:p>
        </w:tc>
        <w:tc>
          <w:tcPr>
            <w:tcW w:w="4535" w:type="dxa"/>
            <w:vAlign w:val="center"/>
          </w:tcPr>
          <w:p w14:paraId="3831E13B">
            <w:pPr>
              <w:pStyle w:val="12"/>
            </w:pPr>
            <w:r>
              <w:t>初中教育</w:t>
            </w:r>
          </w:p>
        </w:tc>
        <w:tc>
          <w:tcPr>
            <w:tcW w:w="1361" w:type="dxa"/>
            <w:vAlign w:val="center"/>
          </w:tcPr>
          <w:p w14:paraId="78242AE3">
            <w:pPr>
              <w:pStyle w:val="11"/>
            </w:pPr>
            <w:r>
              <w:t>713.61</w:t>
            </w:r>
          </w:p>
        </w:tc>
        <w:tc>
          <w:tcPr>
            <w:tcW w:w="1361" w:type="dxa"/>
            <w:vAlign w:val="center"/>
          </w:tcPr>
          <w:p w14:paraId="4C18EDDD">
            <w:pPr>
              <w:pStyle w:val="11"/>
            </w:pPr>
            <w:r>
              <w:t>586.82</w:t>
            </w:r>
          </w:p>
        </w:tc>
        <w:tc>
          <w:tcPr>
            <w:tcW w:w="1361" w:type="dxa"/>
            <w:vAlign w:val="center"/>
          </w:tcPr>
          <w:p w14:paraId="49B80233">
            <w:pPr>
              <w:pStyle w:val="11"/>
            </w:pPr>
            <w:r>
              <w:t>126.79</w:t>
            </w:r>
          </w:p>
        </w:tc>
        <w:tc>
          <w:tcPr>
            <w:tcW w:w="1361" w:type="dxa"/>
            <w:vAlign w:val="center"/>
          </w:tcPr>
          <w:p w14:paraId="7F7103CB">
            <w:pPr>
              <w:pStyle w:val="11"/>
            </w:pPr>
          </w:p>
        </w:tc>
        <w:tc>
          <w:tcPr>
            <w:tcW w:w="1361" w:type="dxa"/>
            <w:vAlign w:val="center"/>
          </w:tcPr>
          <w:p w14:paraId="4CBBEAC6">
            <w:pPr>
              <w:pStyle w:val="11"/>
            </w:pPr>
          </w:p>
        </w:tc>
        <w:tc>
          <w:tcPr>
            <w:tcW w:w="1361" w:type="dxa"/>
            <w:vAlign w:val="center"/>
          </w:tcPr>
          <w:p w14:paraId="79C948F7">
            <w:pPr>
              <w:pStyle w:val="11"/>
            </w:pPr>
          </w:p>
        </w:tc>
      </w:tr>
    </w:tbl>
    <w:p w14:paraId="2C57D3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A7A5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96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0F3CFC">
            <w:pPr>
              <w:pStyle w:val="9"/>
            </w:pPr>
            <w:r>
              <w:t>360034隆尧县莲子中学</w:t>
            </w:r>
          </w:p>
        </w:tc>
        <w:tc>
          <w:tcPr>
            <w:tcW w:w="3402" w:type="dxa"/>
            <w:tcBorders>
              <w:top w:val="single" w:color="FFFFFF" w:sz="6" w:space="0"/>
              <w:left w:val="single" w:color="FFFFFF" w:sz="6" w:space="0"/>
              <w:right w:val="single" w:color="FFFFFF" w:sz="6" w:space="0"/>
            </w:tcBorders>
            <w:vAlign w:val="center"/>
          </w:tcPr>
          <w:p w14:paraId="081421C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E77F1C5">
            <w:pPr>
              <w:pStyle w:val="7"/>
            </w:pPr>
            <w:r>
              <w:t>单位：万元</w:t>
            </w:r>
          </w:p>
        </w:tc>
      </w:tr>
      <w:tr w14:paraId="7674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8B8A7A">
            <w:pPr>
              <w:pStyle w:val="10"/>
            </w:pPr>
            <w:r>
              <w:t>序号</w:t>
            </w:r>
          </w:p>
        </w:tc>
        <w:tc>
          <w:tcPr>
            <w:tcW w:w="4876" w:type="dxa"/>
            <w:gridSpan w:val="2"/>
            <w:vAlign w:val="center"/>
          </w:tcPr>
          <w:p w14:paraId="2B2C80C6">
            <w:pPr>
              <w:pStyle w:val="10"/>
            </w:pPr>
            <w:r>
              <w:t>收入</w:t>
            </w:r>
          </w:p>
        </w:tc>
        <w:tc>
          <w:tcPr>
            <w:tcW w:w="9298" w:type="dxa"/>
            <w:gridSpan w:val="5"/>
            <w:vAlign w:val="center"/>
          </w:tcPr>
          <w:p w14:paraId="4FDC603E">
            <w:pPr>
              <w:pStyle w:val="10"/>
            </w:pPr>
            <w:r>
              <w:t>支出</w:t>
            </w:r>
          </w:p>
        </w:tc>
      </w:tr>
      <w:tr w14:paraId="1C55A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6769B"/>
        </w:tc>
        <w:tc>
          <w:tcPr>
            <w:tcW w:w="3402" w:type="dxa"/>
            <w:vAlign w:val="center"/>
          </w:tcPr>
          <w:p w14:paraId="5A45FAB0">
            <w:pPr>
              <w:pStyle w:val="10"/>
            </w:pPr>
            <w:r>
              <w:t>项  目</w:t>
            </w:r>
          </w:p>
        </w:tc>
        <w:tc>
          <w:tcPr>
            <w:tcW w:w="1474" w:type="dxa"/>
            <w:vAlign w:val="center"/>
          </w:tcPr>
          <w:p w14:paraId="11DED877">
            <w:pPr>
              <w:pStyle w:val="10"/>
            </w:pPr>
            <w:r>
              <w:t>金额</w:t>
            </w:r>
          </w:p>
        </w:tc>
        <w:tc>
          <w:tcPr>
            <w:tcW w:w="3402" w:type="dxa"/>
            <w:vAlign w:val="center"/>
          </w:tcPr>
          <w:p w14:paraId="4EC65B4C">
            <w:pPr>
              <w:pStyle w:val="10"/>
            </w:pPr>
            <w:r>
              <w:t>项  目</w:t>
            </w:r>
          </w:p>
        </w:tc>
        <w:tc>
          <w:tcPr>
            <w:tcW w:w="1474" w:type="dxa"/>
            <w:vAlign w:val="center"/>
          </w:tcPr>
          <w:p w14:paraId="4C00AE63">
            <w:pPr>
              <w:pStyle w:val="10"/>
            </w:pPr>
            <w:r>
              <w:t>合计</w:t>
            </w:r>
          </w:p>
        </w:tc>
        <w:tc>
          <w:tcPr>
            <w:tcW w:w="1474" w:type="dxa"/>
            <w:vAlign w:val="center"/>
          </w:tcPr>
          <w:p w14:paraId="4E75CAFA">
            <w:pPr>
              <w:pStyle w:val="10"/>
            </w:pPr>
            <w:r>
              <w:t>一般公共预算财政拨款</w:t>
            </w:r>
          </w:p>
        </w:tc>
        <w:tc>
          <w:tcPr>
            <w:tcW w:w="1474" w:type="dxa"/>
            <w:vAlign w:val="center"/>
          </w:tcPr>
          <w:p w14:paraId="22C17403">
            <w:pPr>
              <w:pStyle w:val="10"/>
            </w:pPr>
            <w:r>
              <w:t>政府性基金预算财政    拨款</w:t>
            </w:r>
          </w:p>
        </w:tc>
        <w:tc>
          <w:tcPr>
            <w:tcW w:w="1474" w:type="dxa"/>
            <w:vAlign w:val="center"/>
          </w:tcPr>
          <w:p w14:paraId="6C2EBEFF">
            <w:pPr>
              <w:pStyle w:val="10"/>
            </w:pPr>
            <w:r>
              <w:t>国有资本经营预算财政拨款</w:t>
            </w:r>
          </w:p>
        </w:tc>
      </w:tr>
      <w:tr w14:paraId="2A0A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86F02">
            <w:pPr>
              <w:pStyle w:val="10"/>
            </w:pPr>
            <w:r>
              <w:t>栏次</w:t>
            </w:r>
          </w:p>
        </w:tc>
        <w:tc>
          <w:tcPr>
            <w:tcW w:w="3402" w:type="dxa"/>
            <w:vAlign w:val="center"/>
          </w:tcPr>
          <w:p w14:paraId="3B78FC79">
            <w:pPr>
              <w:pStyle w:val="10"/>
            </w:pPr>
            <w:r>
              <w:t>1</w:t>
            </w:r>
          </w:p>
        </w:tc>
        <w:tc>
          <w:tcPr>
            <w:tcW w:w="1474" w:type="dxa"/>
            <w:vAlign w:val="center"/>
          </w:tcPr>
          <w:p w14:paraId="45FC038F">
            <w:pPr>
              <w:pStyle w:val="10"/>
            </w:pPr>
            <w:r>
              <w:t>2</w:t>
            </w:r>
          </w:p>
        </w:tc>
        <w:tc>
          <w:tcPr>
            <w:tcW w:w="3402" w:type="dxa"/>
            <w:vAlign w:val="center"/>
          </w:tcPr>
          <w:p w14:paraId="75EEE70A">
            <w:pPr>
              <w:pStyle w:val="10"/>
            </w:pPr>
            <w:r>
              <w:t>3</w:t>
            </w:r>
          </w:p>
        </w:tc>
        <w:tc>
          <w:tcPr>
            <w:tcW w:w="1474" w:type="dxa"/>
            <w:vAlign w:val="center"/>
          </w:tcPr>
          <w:p w14:paraId="7773DC6B">
            <w:pPr>
              <w:pStyle w:val="10"/>
            </w:pPr>
            <w:r>
              <w:t>4</w:t>
            </w:r>
          </w:p>
        </w:tc>
        <w:tc>
          <w:tcPr>
            <w:tcW w:w="1474" w:type="dxa"/>
            <w:vAlign w:val="center"/>
          </w:tcPr>
          <w:p w14:paraId="3BFE1FAC">
            <w:pPr>
              <w:pStyle w:val="10"/>
            </w:pPr>
            <w:r>
              <w:t>5</w:t>
            </w:r>
          </w:p>
        </w:tc>
        <w:tc>
          <w:tcPr>
            <w:tcW w:w="1474" w:type="dxa"/>
            <w:vAlign w:val="center"/>
          </w:tcPr>
          <w:p w14:paraId="5A9D5316">
            <w:pPr>
              <w:pStyle w:val="10"/>
            </w:pPr>
            <w:r>
              <w:t>6</w:t>
            </w:r>
          </w:p>
        </w:tc>
        <w:tc>
          <w:tcPr>
            <w:tcW w:w="1474" w:type="dxa"/>
            <w:vAlign w:val="center"/>
          </w:tcPr>
          <w:p w14:paraId="19F254F2">
            <w:pPr>
              <w:pStyle w:val="10"/>
            </w:pPr>
            <w:r>
              <w:t>7</w:t>
            </w:r>
          </w:p>
        </w:tc>
      </w:tr>
      <w:tr w14:paraId="133E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BC689">
            <w:pPr>
              <w:pStyle w:val="13"/>
            </w:pPr>
            <w:r>
              <w:t>1</w:t>
            </w:r>
          </w:p>
        </w:tc>
        <w:tc>
          <w:tcPr>
            <w:tcW w:w="3402" w:type="dxa"/>
            <w:vAlign w:val="center"/>
          </w:tcPr>
          <w:p w14:paraId="65F36C66">
            <w:pPr>
              <w:pStyle w:val="12"/>
            </w:pPr>
            <w:r>
              <w:t>一、一般公共预算拨款</w:t>
            </w:r>
          </w:p>
        </w:tc>
        <w:tc>
          <w:tcPr>
            <w:tcW w:w="1474" w:type="dxa"/>
            <w:vAlign w:val="center"/>
          </w:tcPr>
          <w:p w14:paraId="1D688133">
            <w:pPr>
              <w:pStyle w:val="11"/>
            </w:pPr>
            <w:r>
              <w:t>713.61</w:t>
            </w:r>
          </w:p>
        </w:tc>
        <w:tc>
          <w:tcPr>
            <w:tcW w:w="3402" w:type="dxa"/>
            <w:vAlign w:val="center"/>
          </w:tcPr>
          <w:p w14:paraId="623A32D6">
            <w:pPr>
              <w:pStyle w:val="12"/>
            </w:pPr>
            <w:r>
              <w:t>一、一般公共服务支出</w:t>
            </w:r>
          </w:p>
        </w:tc>
        <w:tc>
          <w:tcPr>
            <w:tcW w:w="1474" w:type="dxa"/>
            <w:vAlign w:val="center"/>
          </w:tcPr>
          <w:p w14:paraId="65D8A194">
            <w:pPr>
              <w:pStyle w:val="11"/>
            </w:pPr>
          </w:p>
        </w:tc>
        <w:tc>
          <w:tcPr>
            <w:tcW w:w="1474" w:type="dxa"/>
            <w:vAlign w:val="center"/>
          </w:tcPr>
          <w:p w14:paraId="0A5C6729">
            <w:pPr>
              <w:pStyle w:val="11"/>
            </w:pPr>
          </w:p>
        </w:tc>
        <w:tc>
          <w:tcPr>
            <w:tcW w:w="1474" w:type="dxa"/>
            <w:vAlign w:val="center"/>
          </w:tcPr>
          <w:p w14:paraId="6B9D0AA2">
            <w:pPr>
              <w:pStyle w:val="11"/>
            </w:pPr>
          </w:p>
        </w:tc>
        <w:tc>
          <w:tcPr>
            <w:tcW w:w="1474" w:type="dxa"/>
            <w:vAlign w:val="center"/>
          </w:tcPr>
          <w:p w14:paraId="34453681">
            <w:pPr>
              <w:pStyle w:val="11"/>
            </w:pPr>
          </w:p>
        </w:tc>
      </w:tr>
      <w:tr w14:paraId="12A0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F82A1">
            <w:pPr>
              <w:pStyle w:val="13"/>
            </w:pPr>
            <w:r>
              <w:t>2</w:t>
            </w:r>
          </w:p>
        </w:tc>
        <w:tc>
          <w:tcPr>
            <w:tcW w:w="3402" w:type="dxa"/>
            <w:vAlign w:val="center"/>
          </w:tcPr>
          <w:p w14:paraId="480A0B14">
            <w:pPr>
              <w:pStyle w:val="12"/>
            </w:pPr>
            <w:r>
              <w:t>二、政府性基金预算拨款</w:t>
            </w:r>
          </w:p>
        </w:tc>
        <w:tc>
          <w:tcPr>
            <w:tcW w:w="1474" w:type="dxa"/>
            <w:vAlign w:val="center"/>
          </w:tcPr>
          <w:p w14:paraId="0FA5E105">
            <w:pPr>
              <w:pStyle w:val="11"/>
            </w:pPr>
          </w:p>
        </w:tc>
        <w:tc>
          <w:tcPr>
            <w:tcW w:w="3402" w:type="dxa"/>
            <w:vAlign w:val="center"/>
          </w:tcPr>
          <w:p w14:paraId="32B0088E">
            <w:pPr>
              <w:pStyle w:val="12"/>
            </w:pPr>
            <w:r>
              <w:t>二、外交支出</w:t>
            </w:r>
          </w:p>
        </w:tc>
        <w:tc>
          <w:tcPr>
            <w:tcW w:w="1474" w:type="dxa"/>
            <w:vAlign w:val="center"/>
          </w:tcPr>
          <w:p w14:paraId="0B3EAED7">
            <w:pPr>
              <w:pStyle w:val="11"/>
            </w:pPr>
          </w:p>
        </w:tc>
        <w:tc>
          <w:tcPr>
            <w:tcW w:w="1474" w:type="dxa"/>
            <w:vAlign w:val="center"/>
          </w:tcPr>
          <w:p w14:paraId="6DCE0CD9">
            <w:pPr>
              <w:pStyle w:val="11"/>
            </w:pPr>
          </w:p>
        </w:tc>
        <w:tc>
          <w:tcPr>
            <w:tcW w:w="1474" w:type="dxa"/>
            <w:vAlign w:val="center"/>
          </w:tcPr>
          <w:p w14:paraId="4A3EA481">
            <w:pPr>
              <w:pStyle w:val="11"/>
            </w:pPr>
          </w:p>
        </w:tc>
        <w:tc>
          <w:tcPr>
            <w:tcW w:w="1474" w:type="dxa"/>
            <w:vAlign w:val="center"/>
          </w:tcPr>
          <w:p w14:paraId="639DA577">
            <w:pPr>
              <w:pStyle w:val="11"/>
            </w:pPr>
          </w:p>
        </w:tc>
      </w:tr>
      <w:tr w14:paraId="55BBF108">
        <w:tblPrEx>
          <w:tblCellMar>
            <w:top w:w="0" w:type="dxa"/>
            <w:left w:w="108" w:type="dxa"/>
            <w:bottom w:w="0" w:type="dxa"/>
            <w:right w:w="108" w:type="dxa"/>
          </w:tblCellMar>
        </w:tblPrEx>
        <w:trPr>
          <w:trHeight w:val="369" w:hRule="atLeast"/>
          <w:jc w:val="center"/>
        </w:trPr>
        <w:tc>
          <w:tcPr>
            <w:tcW w:w="850" w:type="dxa"/>
            <w:vAlign w:val="center"/>
          </w:tcPr>
          <w:p w14:paraId="2E5CE149">
            <w:pPr>
              <w:pStyle w:val="13"/>
            </w:pPr>
            <w:r>
              <w:t>3</w:t>
            </w:r>
          </w:p>
        </w:tc>
        <w:tc>
          <w:tcPr>
            <w:tcW w:w="3402" w:type="dxa"/>
            <w:vAlign w:val="center"/>
          </w:tcPr>
          <w:p w14:paraId="204D7C8F">
            <w:pPr>
              <w:pStyle w:val="12"/>
            </w:pPr>
            <w:r>
              <w:t>三、国有资本经营预算拨款</w:t>
            </w:r>
          </w:p>
        </w:tc>
        <w:tc>
          <w:tcPr>
            <w:tcW w:w="1474" w:type="dxa"/>
            <w:vAlign w:val="center"/>
          </w:tcPr>
          <w:p w14:paraId="5D30B0EC">
            <w:pPr>
              <w:pStyle w:val="11"/>
            </w:pPr>
          </w:p>
        </w:tc>
        <w:tc>
          <w:tcPr>
            <w:tcW w:w="3402" w:type="dxa"/>
            <w:vAlign w:val="center"/>
          </w:tcPr>
          <w:p w14:paraId="4DC8F9B3">
            <w:pPr>
              <w:pStyle w:val="12"/>
            </w:pPr>
            <w:r>
              <w:t>三、国防支出</w:t>
            </w:r>
          </w:p>
        </w:tc>
        <w:tc>
          <w:tcPr>
            <w:tcW w:w="1474" w:type="dxa"/>
            <w:vAlign w:val="center"/>
          </w:tcPr>
          <w:p w14:paraId="2312356E">
            <w:pPr>
              <w:pStyle w:val="11"/>
            </w:pPr>
          </w:p>
        </w:tc>
        <w:tc>
          <w:tcPr>
            <w:tcW w:w="1474" w:type="dxa"/>
            <w:vAlign w:val="center"/>
          </w:tcPr>
          <w:p w14:paraId="2DEE4F13">
            <w:pPr>
              <w:pStyle w:val="11"/>
            </w:pPr>
          </w:p>
        </w:tc>
        <w:tc>
          <w:tcPr>
            <w:tcW w:w="1474" w:type="dxa"/>
            <w:vAlign w:val="center"/>
          </w:tcPr>
          <w:p w14:paraId="63675E8E">
            <w:pPr>
              <w:pStyle w:val="11"/>
            </w:pPr>
          </w:p>
        </w:tc>
        <w:tc>
          <w:tcPr>
            <w:tcW w:w="1474" w:type="dxa"/>
            <w:vAlign w:val="center"/>
          </w:tcPr>
          <w:p w14:paraId="7D3C74C4">
            <w:pPr>
              <w:pStyle w:val="11"/>
            </w:pPr>
          </w:p>
        </w:tc>
      </w:tr>
      <w:tr w14:paraId="42C8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F4EA9">
            <w:pPr>
              <w:pStyle w:val="13"/>
            </w:pPr>
            <w:r>
              <w:t>4</w:t>
            </w:r>
          </w:p>
        </w:tc>
        <w:tc>
          <w:tcPr>
            <w:tcW w:w="3402" w:type="dxa"/>
            <w:vAlign w:val="center"/>
          </w:tcPr>
          <w:p w14:paraId="03E57E4B">
            <w:pPr>
              <w:pStyle w:val="12"/>
            </w:pPr>
          </w:p>
        </w:tc>
        <w:tc>
          <w:tcPr>
            <w:tcW w:w="1474" w:type="dxa"/>
            <w:vAlign w:val="center"/>
          </w:tcPr>
          <w:p w14:paraId="03D944F9">
            <w:pPr>
              <w:pStyle w:val="11"/>
            </w:pPr>
          </w:p>
        </w:tc>
        <w:tc>
          <w:tcPr>
            <w:tcW w:w="3402" w:type="dxa"/>
            <w:vAlign w:val="center"/>
          </w:tcPr>
          <w:p w14:paraId="687A3A39">
            <w:pPr>
              <w:pStyle w:val="12"/>
            </w:pPr>
            <w:r>
              <w:t>四、公共安全支出</w:t>
            </w:r>
          </w:p>
        </w:tc>
        <w:tc>
          <w:tcPr>
            <w:tcW w:w="1474" w:type="dxa"/>
            <w:vAlign w:val="center"/>
          </w:tcPr>
          <w:p w14:paraId="610167A6">
            <w:pPr>
              <w:pStyle w:val="11"/>
            </w:pPr>
          </w:p>
        </w:tc>
        <w:tc>
          <w:tcPr>
            <w:tcW w:w="1474" w:type="dxa"/>
            <w:vAlign w:val="center"/>
          </w:tcPr>
          <w:p w14:paraId="4E51CA03">
            <w:pPr>
              <w:pStyle w:val="11"/>
            </w:pPr>
          </w:p>
        </w:tc>
        <w:tc>
          <w:tcPr>
            <w:tcW w:w="1474" w:type="dxa"/>
            <w:vAlign w:val="center"/>
          </w:tcPr>
          <w:p w14:paraId="7D661E7D">
            <w:pPr>
              <w:pStyle w:val="11"/>
            </w:pPr>
          </w:p>
        </w:tc>
        <w:tc>
          <w:tcPr>
            <w:tcW w:w="1474" w:type="dxa"/>
            <w:vAlign w:val="center"/>
          </w:tcPr>
          <w:p w14:paraId="186C30C6">
            <w:pPr>
              <w:pStyle w:val="11"/>
            </w:pPr>
          </w:p>
        </w:tc>
      </w:tr>
      <w:tr w14:paraId="2E5E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50174">
            <w:pPr>
              <w:pStyle w:val="13"/>
            </w:pPr>
            <w:r>
              <w:t>5</w:t>
            </w:r>
          </w:p>
        </w:tc>
        <w:tc>
          <w:tcPr>
            <w:tcW w:w="3402" w:type="dxa"/>
            <w:vAlign w:val="center"/>
          </w:tcPr>
          <w:p w14:paraId="6F1770B4">
            <w:pPr>
              <w:pStyle w:val="12"/>
            </w:pPr>
          </w:p>
        </w:tc>
        <w:tc>
          <w:tcPr>
            <w:tcW w:w="1474" w:type="dxa"/>
            <w:vAlign w:val="center"/>
          </w:tcPr>
          <w:p w14:paraId="08F2A256">
            <w:pPr>
              <w:pStyle w:val="11"/>
            </w:pPr>
          </w:p>
        </w:tc>
        <w:tc>
          <w:tcPr>
            <w:tcW w:w="3402" w:type="dxa"/>
            <w:vAlign w:val="center"/>
          </w:tcPr>
          <w:p w14:paraId="1A04BDEB">
            <w:pPr>
              <w:pStyle w:val="12"/>
            </w:pPr>
            <w:r>
              <w:t>五、教育支出</w:t>
            </w:r>
          </w:p>
        </w:tc>
        <w:tc>
          <w:tcPr>
            <w:tcW w:w="1474" w:type="dxa"/>
            <w:vAlign w:val="center"/>
          </w:tcPr>
          <w:p w14:paraId="78485EAC">
            <w:pPr>
              <w:pStyle w:val="11"/>
            </w:pPr>
            <w:r>
              <w:t>713.61</w:t>
            </w:r>
          </w:p>
        </w:tc>
        <w:tc>
          <w:tcPr>
            <w:tcW w:w="1474" w:type="dxa"/>
            <w:vAlign w:val="center"/>
          </w:tcPr>
          <w:p w14:paraId="4ED8FEBD">
            <w:pPr>
              <w:pStyle w:val="11"/>
            </w:pPr>
            <w:r>
              <w:t>713.61</w:t>
            </w:r>
          </w:p>
        </w:tc>
        <w:tc>
          <w:tcPr>
            <w:tcW w:w="1474" w:type="dxa"/>
            <w:vAlign w:val="center"/>
          </w:tcPr>
          <w:p w14:paraId="2525A34F">
            <w:pPr>
              <w:pStyle w:val="11"/>
            </w:pPr>
          </w:p>
        </w:tc>
        <w:tc>
          <w:tcPr>
            <w:tcW w:w="1474" w:type="dxa"/>
            <w:vAlign w:val="center"/>
          </w:tcPr>
          <w:p w14:paraId="7A65D087">
            <w:pPr>
              <w:pStyle w:val="11"/>
            </w:pPr>
          </w:p>
        </w:tc>
      </w:tr>
      <w:tr w14:paraId="55F9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DC5D5">
            <w:pPr>
              <w:pStyle w:val="13"/>
            </w:pPr>
            <w:r>
              <w:t>6</w:t>
            </w:r>
          </w:p>
        </w:tc>
        <w:tc>
          <w:tcPr>
            <w:tcW w:w="3402" w:type="dxa"/>
            <w:vAlign w:val="center"/>
          </w:tcPr>
          <w:p w14:paraId="7CD7D744">
            <w:pPr>
              <w:pStyle w:val="12"/>
            </w:pPr>
          </w:p>
        </w:tc>
        <w:tc>
          <w:tcPr>
            <w:tcW w:w="1474" w:type="dxa"/>
            <w:vAlign w:val="center"/>
          </w:tcPr>
          <w:p w14:paraId="3BEEAC17">
            <w:pPr>
              <w:pStyle w:val="11"/>
            </w:pPr>
          </w:p>
        </w:tc>
        <w:tc>
          <w:tcPr>
            <w:tcW w:w="3402" w:type="dxa"/>
            <w:vAlign w:val="center"/>
          </w:tcPr>
          <w:p w14:paraId="2270443B">
            <w:pPr>
              <w:pStyle w:val="12"/>
            </w:pPr>
            <w:r>
              <w:t>六、科学技术支出</w:t>
            </w:r>
          </w:p>
        </w:tc>
        <w:tc>
          <w:tcPr>
            <w:tcW w:w="1474" w:type="dxa"/>
            <w:vAlign w:val="center"/>
          </w:tcPr>
          <w:p w14:paraId="35002BFE">
            <w:pPr>
              <w:pStyle w:val="11"/>
            </w:pPr>
          </w:p>
        </w:tc>
        <w:tc>
          <w:tcPr>
            <w:tcW w:w="1474" w:type="dxa"/>
            <w:vAlign w:val="center"/>
          </w:tcPr>
          <w:p w14:paraId="274ADDC7">
            <w:pPr>
              <w:pStyle w:val="11"/>
            </w:pPr>
          </w:p>
        </w:tc>
        <w:tc>
          <w:tcPr>
            <w:tcW w:w="1474" w:type="dxa"/>
            <w:vAlign w:val="center"/>
          </w:tcPr>
          <w:p w14:paraId="4214699C">
            <w:pPr>
              <w:pStyle w:val="11"/>
            </w:pPr>
          </w:p>
        </w:tc>
        <w:tc>
          <w:tcPr>
            <w:tcW w:w="1474" w:type="dxa"/>
            <w:vAlign w:val="center"/>
          </w:tcPr>
          <w:p w14:paraId="6E2FECF6">
            <w:pPr>
              <w:pStyle w:val="11"/>
            </w:pPr>
          </w:p>
        </w:tc>
      </w:tr>
      <w:tr w14:paraId="7D33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32EE">
            <w:pPr>
              <w:pStyle w:val="13"/>
            </w:pPr>
            <w:r>
              <w:t>7</w:t>
            </w:r>
          </w:p>
        </w:tc>
        <w:tc>
          <w:tcPr>
            <w:tcW w:w="3402" w:type="dxa"/>
            <w:vAlign w:val="center"/>
          </w:tcPr>
          <w:p w14:paraId="46A78186">
            <w:pPr>
              <w:pStyle w:val="12"/>
            </w:pPr>
          </w:p>
        </w:tc>
        <w:tc>
          <w:tcPr>
            <w:tcW w:w="1474" w:type="dxa"/>
            <w:vAlign w:val="center"/>
          </w:tcPr>
          <w:p w14:paraId="56B21D6D">
            <w:pPr>
              <w:pStyle w:val="11"/>
            </w:pPr>
          </w:p>
        </w:tc>
        <w:tc>
          <w:tcPr>
            <w:tcW w:w="3402" w:type="dxa"/>
            <w:vAlign w:val="center"/>
          </w:tcPr>
          <w:p w14:paraId="3335F404">
            <w:pPr>
              <w:pStyle w:val="12"/>
            </w:pPr>
            <w:r>
              <w:t>七、文化旅游体育与传媒支出</w:t>
            </w:r>
          </w:p>
        </w:tc>
        <w:tc>
          <w:tcPr>
            <w:tcW w:w="1474" w:type="dxa"/>
            <w:vAlign w:val="center"/>
          </w:tcPr>
          <w:p w14:paraId="2BE2725C">
            <w:pPr>
              <w:pStyle w:val="11"/>
            </w:pPr>
          </w:p>
        </w:tc>
        <w:tc>
          <w:tcPr>
            <w:tcW w:w="1474" w:type="dxa"/>
            <w:vAlign w:val="center"/>
          </w:tcPr>
          <w:p w14:paraId="74521709">
            <w:pPr>
              <w:pStyle w:val="11"/>
            </w:pPr>
          </w:p>
        </w:tc>
        <w:tc>
          <w:tcPr>
            <w:tcW w:w="1474" w:type="dxa"/>
            <w:vAlign w:val="center"/>
          </w:tcPr>
          <w:p w14:paraId="6C6E67EE">
            <w:pPr>
              <w:pStyle w:val="11"/>
            </w:pPr>
          </w:p>
        </w:tc>
        <w:tc>
          <w:tcPr>
            <w:tcW w:w="1474" w:type="dxa"/>
            <w:vAlign w:val="center"/>
          </w:tcPr>
          <w:p w14:paraId="53EB4CED">
            <w:pPr>
              <w:pStyle w:val="11"/>
            </w:pPr>
          </w:p>
        </w:tc>
      </w:tr>
      <w:tr w14:paraId="56F6055C">
        <w:tblPrEx>
          <w:tblCellMar>
            <w:top w:w="0" w:type="dxa"/>
            <w:left w:w="108" w:type="dxa"/>
            <w:bottom w:w="0" w:type="dxa"/>
            <w:right w:w="108" w:type="dxa"/>
          </w:tblCellMar>
        </w:tblPrEx>
        <w:trPr>
          <w:trHeight w:val="369" w:hRule="atLeast"/>
          <w:jc w:val="center"/>
        </w:trPr>
        <w:tc>
          <w:tcPr>
            <w:tcW w:w="850" w:type="dxa"/>
            <w:vAlign w:val="center"/>
          </w:tcPr>
          <w:p w14:paraId="5DD3230E">
            <w:pPr>
              <w:pStyle w:val="13"/>
            </w:pPr>
            <w:r>
              <w:t>8</w:t>
            </w:r>
          </w:p>
        </w:tc>
        <w:tc>
          <w:tcPr>
            <w:tcW w:w="3402" w:type="dxa"/>
            <w:vAlign w:val="center"/>
          </w:tcPr>
          <w:p w14:paraId="2466CD56">
            <w:pPr>
              <w:pStyle w:val="12"/>
            </w:pPr>
          </w:p>
        </w:tc>
        <w:tc>
          <w:tcPr>
            <w:tcW w:w="1474" w:type="dxa"/>
            <w:vAlign w:val="center"/>
          </w:tcPr>
          <w:p w14:paraId="30B0F904">
            <w:pPr>
              <w:pStyle w:val="11"/>
            </w:pPr>
          </w:p>
        </w:tc>
        <w:tc>
          <w:tcPr>
            <w:tcW w:w="3402" w:type="dxa"/>
            <w:vAlign w:val="center"/>
          </w:tcPr>
          <w:p w14:paraId="4D4689DF">
            <w:pPr>
              <w:pStyle w:val="12"/>
            </w:pPr>
            <w:r>
              <w:t>八、社会保障和就业支出</w:t>
            </w:r>
          </w:p>
        </w:tc>
        <w:tc>
          <w:tcPr>
            <w:tcW w:w="1474" w:type="dxa"/>
            <w:vAlign w:val="center"/>
          </w:tcPr>
          <w:p w14:paraId="25F3A37F">
            <w:pPr>
              <w:pStyle w:val="11"/>
            </w:pPr>
          </w:p>
        </w:tc>
        <w:tc>
          <w:tcPr>
            <w:tcW w:w="1474" w:type="dxa"/>
            <w:vAlign w:val="center"/>
          </w:tcPr>
          <w:p w14:paraId="3E6896B3">
            <w:pPr>
              <w:pStyle w:val="11"/>
            </w:pPr>
          </w:p>
        </w:tc>
        <w:tc>
          <w:tcPr>
            <w:tcW w:w="1474" w:type="dxa"/>
            <w:vAlign w:val="center"/>
          </w:tcPr>
          <w:p w14:paraId="0C107191">
            <w:pPr>
              <w:pStyle w:val="11"/>
            </w:pPr>
          </w:p>
        </w:tc>
        <w:tc>
          <w:tcPr>
            <w:tcW w:w="1474" w:type="dxa"/>
            <w:vAlign w:val="center"/>
          </w:tcPr>
          <w:p w14:paraId="4D16EF4E">
            <w:pPr>
              <w:pStyle w:val="11"/>
            </w:pPr>
          </w:p>
        </w:tc>
      </w:tr>
      <w:tr w14:paraId="51E7EEDF">
        <w:tblPrEx>
          <w:tblCellMar>
            <w:top w:w="0" w:type="dxa"/>
            <w:left w:w="108" w:type="dxa"/>
            <w:bottom w:w="0" w:type="dxa"/>
            <w:right w:w="108" w:type="dxa"/>
          </w:tblCellMar>
        </w:tblPrEx>
        <w:trPr>
          <w:trHeight w:val="369" w:hRule="atLeast"/>
          <w:jc w:val="center"/>
        </w:trPr>
        <w:tc>
          <w:tcPr>
            <w:tcW w:w="850" w:type="dxa"/>
            <w:vAlign w:val="center"/>
          </w:tcPr>
          <w:p w14:paraId="4FBCD9B1">
            <w:pPr>
              <w:pStyle w:val="13"/>
            </w:pPr>
            <w:r>
              <w:t>9</w:t>
            </w:r>
          </w:p>
        </w:tc>
        <w:tc>
          <w:tcPr>
            <w:tcW w:w="3402" w:type="dxa"/>
            <w:vAlign w:val="center"/>
          </w:tcPr>
          <w:p w14:paraId="42036F84">
            <w:pPr>
              <w:pStyle w:val="12"/>
            </w:pPr>
          </w:p>
        </w:tc>
        <w:tc>
          <w:tcPr>
            <w:tcW w:w="1474" w:type="dxa"/>
            <w:vAlign w:val="center"/>
          </w:tcPr>
          <w:p w14:paraId="2B8888E7">
            <w:pPr>
              <w:pStyle w:val="11"/>
            </w:pPr>
          </w:p>
        </w:tc>
        <w:tc>
          <w:tcPr>
            <w:tcW w:w="3402" w:type="dxa"/>
            <w:vAlign w:val="center"/>
          </w:tcPr>
          <w:p w14:paraId="58519744">
            <w:pPr>
              <w:pStyle w:val="12"/>
            </w:pPr>
            <w:r>
              <w:t>九、社会保险基金支出</w:t>
            </w:r>
          </w:p>
        </w:tc>
        <w:tc>
          <w:tcPr>
            <w:tcW w:w="1474" w:type="dxa"/>
            <w:vAlign w:val="center"/>
          </w:tcPr>
          <w:p w14:paraId="46D166B3">
            <w:pPr>
              <w:pStyle w:val="11"/>
            </w:pPr>
          </w:p>
        </w:tc>
        <w:tc>
          <w:tcPr>
            <w:tcW w:w="1474" w:type="dxa"/>
            <w:vAlign w:val="center"/>
          </w:tcPr>
          <w:p w14:paraId="235C4310">
            <w:pPr>
              <w:pStyle w:val="11"/>
            </w:pPr>
          </w:p>
        </w:tc>
        <w:tc>
          <w:tcPr>
            <w:tcW w:w="1474" w:type="dxa"/>
            <w:vAlign w:val="center"/>
          </w:tcPr>
          <w:p w14:paraId="27C08A42">
            <w:pPr>
              <w:pStyle w:val="11"/>
            </w:pPr>
          </w:p>
        </w:tc>
        <w:tc>
          <w:tcPr>
            <w:tcW w:w="1474" w:type="dxa"/>
            <w:vAlign w:val="center"/>
          </w:tcPr>
          <w:p w14:paraId="72539751">
            <w:pPr>
              <w:pStyle w:val="11"/>
            </w:pPr>
          </w:p>
        </w:tc>
      </w:tr>
      <w:tr w14:paraId="60AC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28D25">
            <w:pPr>
              <w:pStyle w:val="13"/>
            </w:pPr>
            <w:r>
              <w:t>10</w:t>
            </w:r>
          </w:p>
        </w:tc>
        <w:tc>
          <w:tcPr>
            <w:tcW w:w="3402" w:type="dxa"/>
            <w:vAlign w:val="center"/>
          </w:tcPr>
          <w:p w14:paraId="3D79B580">
            <w:pPr>
              <w:pStyle w:val="12"/>
            </w:pPr>
          </w:p>
        </w:tc>
        <w:tc>
          <w:tcPr>
            <w:tcW w:w="1474" w:type="dxa"/>
            <w:vAlign w:val="center"/>
          </w:tcPr>
          <w:p w14:paraId="0EBD393E">
            <w:pPr>
              <w:pStyle w:val="11"/>
            </w:pPr>
          </w:p>
        </w:tc>
        <w:tc>
          <w:tcPr>
            <w:tcW w:w="3402" w:type="dxa"/>
            <w:vAlign w:val="center"/>
          </w:tcPr>
          <w:p w14:paraId="7DB94710">
            <w:pPr>
              <w:pStyle w:val="12"/>
            </w:pPr>
            <w:r>
              <w:t>十、卫生健康支出</w:t>
            </w:r>
          </w:p>
        </w:tc>
        <w:tc>
          <w:tcPr>
            <w:tcW w:w="1474" w:type="dxa"/>
            <w:vAlign w:val="center"/>
          </w:tcPr>
          <w:p w14:paraId="619B7F4C">
            <w:pPr>
              <w:pStyle w:val="11"/>
            </w:pPr>
          </w:p>
        </w:tc>
        <w:tc>
          <w:tcPr>
            <w:tcW w:w="1474" w:type="dxa"/>
            <w:vAlign w:val="center"/>
          </w:tcPr>
          <w:p w14:paraId="138C5C8F">
            <w:pPr>
              <w:pStyle w:val="11"/>
            </w:pPr>
          </w:p>
        </w:tc>
        <w:tc>
          <w:tcPr>
            <w:tcW w:w="1474" w:type="dxa"/>
            <w:vAlign w:val="center"/>
          </w:tcPr>
          <w:p w14:paraId="74B1CBAE">
            <w:pPr>
              <w:pStyle w:val="11"/>
            </w:pPr>
          </w:p>
        </w:tc>
        <w:tc>
          <w:tcPr>
            <w:tcW w:w="1474" w:type="dxa"/>
            <w:vAlign w:val="center"/>
          </w:tcPr>
          <w:p w14:paraId="561DE71D">
            <w:pPr>
              <w:pStyle w:val="11"/>
            </w:pPr>
          </w:p>
        </w:tc>
      </w:tr>
      <w:tr w14:paraId="1984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474F">
            <w:pPr>
              <w:pStyle w:val="13"/>
            </w:pPr>
            <w:r>
              <w:t>11</w:t>
            </w:r>
          </w:p>
        </w:tc>
        <w:tc>
          <w:tcPr>
            <w:tcW w:w="3402" w:type="dxa"/>
            <w:vAlign w:val="center"/>
          </w:tcPr>
          <w:p w14:paraId="4A4948BA">
            <w:pPr>
              <w:pStyle w:val="12"/>
            </w:pPr>
          </w:p>
        </w:tc>
        <w:tc>
          <w:tcPr>
            <w:tcW w:w="1474" w:type="dxa"/>
            <w:vAlign w:val="center"/>
          </w:tcPr>
          <w:p w14:paraId="6D1AEC1A">
            <w:pPr>
              <w:pStyle w:val="11"/>
            </w:pPr>
          </w:p>
        </w:tc>
        <w:tc>
          <w:tcPr>
            <w:tcW w:w="3402" w:type="dxa"/>
            <w:vAlign w:val="center"/>
          </w:tcPr>
          <w:p w14:paraId="16D9C234">
            <w:pPr>
              <w:pStyle w:val="12"/>
            </w:pPr>
            <w:r>
              <w:t>十一、节能环保支出</w:t>
            </w:r>
          </w:p>
        </w:tc>
        <w:tc>
          <w:tcPr>
            <w:tcW w:w="1474" w:type="dxa"/>
            <w:vAlign w:val="center"/>
          </w:tcPr>
          <w:p w14:paraId="51A5FD58">
            <w:pPr>
              <w:pStyle w:val="11"/>
            </w:pPr>
          </w:p>
        </w:tc>
        <w:tc>
          <w:tcPr>
            <w:tcW w:w="1474" w:type="dxa"/>
            <w:vAlign w:val="center"/>
          </w:tcPr>
          <w:p w14:paraId="545C3B17">
            <w:pPr>
              <w:pStyle w:val="11"/>
            </w:pPr>
          </w:p>
        </w:tc>
        <w:tc>
          <w:tcPr>
            <w:tcW w:w="1474" w:type="dxa"/>
            <w:vAlign w:val="center"/>
          </w:tcPr>
          <w:p w14:paraId="76587061">
            <w:pPr>
              <w:pStyle w:val="11"/>
            </w:pPr>
          </w:p>
        </w:tc>
        <w:tc>
          <w:tcPr>
            <w:tcW w:w="1474" w:type="dxa"/>
            <w:vAlign w:val="center"/>
          </w:tcPr>
          <w:p w14:paraId="5C1AFC74">
            <w:pPr>
              <w:pStyle w:val="11"/>
            </w:pPr>
          </w:p>
        </w:tc>
      </w:tr>
      <w:tr w14:paraId="1E2E4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CB508">
            <w:pPr>
              <w:pStyle w:val="13"/>
            </w:pPr>
            <w:r>
              <w:t>12</w:t>
            </w:r>
          </w:p>
        </w:tc>
        <w:tc>
          <w:tcPr>
            <w:tcW w:w="3402" w:type="dxa"/>
            <w:vAlign w:val="center"/>
          </w:tcPr>
          <w:p w14:paraId="6F428E24">
            <w:pPr>
              <w:pStyle w:val="12"/>
            </w:pPr>
          </w:p>
        </w:tc>
        <w:tc>
          <w:tcPr>
            <w:tcW w:w="1474" w:type="dxa"/>
            <w:vAlign w:val="center"/>
          </w:tcPr>
          <w:p w14:paraId="5B679486">
            <w:pPr>
              <w:pStyle w:val="11"/>
            </w:pPr>
          </w:p>
        </w:tc>
        <w:tc>
          <w:tcPr>
            <w:tcW w:w="3402" w:type="dxa"/>
            <w:vAlign w:val="center"/>
          </w:tcPr>
          <w:p w14:paraId="00E36E8A">
            <w:pPr>
              <w:pStyle w:val="12"/>
            </w:pPr>
            <w:r>
              <w:t>十二、城乡社区支出</w:t>
            </w:r>
          </w:p>
        </w:tc>
        <w:tc>
          <w:tcPr>
            <w:tcW w:w="1474" w:type="dxa"/>
            <w:vAlign w:val="center"/>
          </w:tcPr>
          <w:p w14:paraId="159789F4">
            <w:pPr>
              <w:pStyle w:val="11"/>
            </w:pPr>
          </w:p>
        </w:tc>
        <w:tc>
          <w:tcPr>
            <w:tcW w:w="1474" w:type="dxa"/>
            <w:vAlign w:val="center"/>
          </w:tcPr>
          <w:p w14:paraId="5126EDCB">
            <w:pPr>
              <w:pStyle w:val="11"/>
            </w:pPr>
          </w:p>
        </w:tc>
        <w:tc>
          <w:tcPr>
            <w:tcW w:w="1474" w:type="dxa"/>
            <w:vAlign w:val="center"/>
          </w:tcPr>
          <w:p w14:paraId="304DC4AC">
            <w:pPr>
              <w:pStyle w:val="11"/>
            </w:pPr>
          </w:p>
        </w:tc>
        <w:tc>
          <w:tcPr>
            <w:tcW w:w="1474" w:type="dxa"/>
            <w:vAlign w:val="center"/>
          </w:tcPr>
          <w:p w14:paraId="11AD8A76">
            <w:pPr>
              <w:pStyle w:val="11"/>
            </w:pPr>
          </w:p>
        </w:tc>
      </w:tr>
      <w:tr w14:paraId="4E8DA1F3">
        <w:tblPrEx>
          <w:tblCellMar>
            <w:top w:w="0" w:type="dxa"/>
            <w:left w:w="108" w:type="dxa"/>
            <w:bottom w:w="0" w:type="dxa"/>
            <w:right w:w="108" w:type="dxa"/>
          </w:tblCellMar>
        </w:tblPrEx>
        <w:trPr>
          <w:trHeight w:val="369" w:hRule="atLeast"/>
          <w:jc w:val="center"/>
        </w:trPr>
        <w:tc>
          <w:tcPr>
            <w:tcW w:w="850" w:type="dxa"/>
            <w:vAlign w:val="center"/>
          </w:tcPr>
          <w:p w14:paraId="32AAF6AA">
            <w:pPr>
              <w:pStyle w:val="13"/>
            </w:pPr>
            <w:r>
              <w:t>13</w:t>
            </w:r>
          </w:p>
        </w:tc>
        <w:tc>
          <w:tcPr>
            <w:tcW w:w="3402" w:type="dxa"/>
            <w:vAlign w:val="center"/>
          </w:tcPr>
          <w:p w14:paraId="341858C6">
            <w:pPr>
              <w:pStyle w:val="12"/>
            </w:pPr>
          </w:p>
        </w:tc>
        <w:tc>
          <w:tcPr>
            <w:tcW w:w="1474" w:type="dxa"/>
            <w:vAlign w:val="center"/>
          </w:tcPr>
          <w:p w14:paraId="087F62EE">
            <w:pPr>
              <w:pStyle w:val="11"/>
            </w:pPr>
          </w:p>
        </w:tc>
        <w:tc>
          <w:tcPr>
            <w:tcW w:w="3402" w:type="dxa"/>
            <w:vAlign w:val="center"/>
          </w:tcPr>
          <w:p w14:paraId="508C8FC0">
            <w:pPr>
              <w:pStyle w:val="12"/>
            </w:pPr>
            <w:r>
              <w:t>十三、农林水支出</w:t>
            </w:r>
          </w:p>
        </w:tc>
        <w:tc>
          <w:tcPr>
            <w:tcW w:w="1474" w:type="dxa"/>
            <w:vAlign w:val="center"/>
          </w:tcPr>
          <w:p w14:paraId="6A742899">
            <w:pPr>
              <w:pStyle w:val="11"/>
            </w:pPr>
          </w:p>
        </w:tc>
        <w:tc>
          <w:tcPr>
            <w:tcW w:w="1474" w:type="dxa"/>
            <w:vAlign w:val="center"/>
          </w:tcPr>
          <w:p w14:paraId="32A4E2DA">
            <w:pPr>
              <w:pStyle w:val="11"/>
            </w:pPr>
          </w:p>
        </w:tc>
        <w:tc>
          <w:tcPr>
            <w:tcW w:w="1474" w:type="dxa"/>
            <w:vAlign w:val="center"/>
          </w:tcPr>
          <w:p w14:paraId="2256C554">
            <w:pPr>
              <w:pStyle w:val="11"/>
            </w:pPr>
          </w:p>
        </w:tc>
        <w:tc>
          <w:tcPr>
            <w:tcW w:w="1474" w:type="dxa"/>
            <w:vAlign w:val="center"/>
          </w:tcPr>
          <w:p w14:paraId="14F9D266">
            <w:pPr>
              <w:pStyle w:val="11"/>
            </w:pPr>
          </w:p>
        </w:tc>
      </w:tr>
      <w:tr w14:paraId="4EBD22E7">
        <w:tblPrEx>
          <w:tblCellMar>
            <w:top w:w="0" w:type="dxa"/>
            <w:left w:w="108" w:type="dxa"/>
            <w:bottom w:w="0" w:type="dxa"/>
            <w:right w:w="108" w:type="dxa"/>
          </w:tblCellMar>
        </w:tblPrEx>
        <w:trPr>
          <w:trHeight w:val="369" w:hRule="atLeast"/>
          <w:jc w:val="center"/>
        </w:trPr>
        <w:tc>
          <w:tcPr>
            <w:tcW w:w="850" w:type="dxa"/>
            <w:vAlign w:val="center"/>
          </w:tcPr>
          <w:p w14:paraId="432CADEA">
            <w:pPr>
              <w:pStyle w:val="13"/>
            </w:pPr>
            <w:r>
              <w:t>14</w:t>
            </w:r>
          </w:p>
        </w:tc>
        <w:tc>
          <w:tcPr>
            <w:tcW w:w="3402" w:type="dxa"/>
            <w:vAlign w:val="center"/>
          </w:tcPr>
          <w:p w14:paraId="21D767D1">
            <w:pPr>
              <w:pStyle w:val="12"/>
            </w:pPr>
          </w:p>
        </w:tc>
        <w:tc>
          <w:tcPr>
            <w:tcW w:w="1474" w:type="dxa"/>
            <w:vAlign w:val="center"/>
          </w:tcPr>
          <w:p w14:paraId="66EE3D18">
            <w:pPr>
              <w:pStyle w:val="11"/>
            </w:pPr>
          </w:p>
        </w:tc>
        <w:tc>
          <w:tcPr>
            <w:tcW w:w="3402" w:type="dxa"/>
            <w:vAlign w:val="center"/>
          </w:tcPr>
          <w:p w14:paraId="67ABF0A1">
            <w:pPr>
              <w:pStyle w:val="12"/>
            </w:pPr>
            <w:r>
              <w:t>十四、交通运输支出</w:t>
            </w:r>
          </w:p>
        </w:tc>
        <w:tc>
          <w:tcPr>
            <w:tcW w:w="1474" w:type="dxa"/>
            <w:vAlign w:val="center"/>
          </w:tcPr>
          <w:p w14:paraId="60E972E4">
            <w:pPr>
              <w:pStyle w:val="11"/>
            </w:pPr>
          </w:p>
        </w:tc>
        <w:tc>
          <w:tcPr>
            <w:tcW w:w="1474" w:type="dxa"/>
            <w:vAlign w:val="center"/>
          </w:tcPr>
          <w:p w14:paraId="4A9C177C">
            <w:pPr>
              <w:pStyle w:val="11"/>
            </w:pPr>
          </w:p>
        </w:tc>
        <w:tc>
          <w:tcPr>
            <w:tcW w:w="1474" w:type="dxa"/>
            <w:vAlign w:val="center"/>
          </w:tcPr>
          <w:p w14:paraId="1BCF54CE">
            <w:pPr>
              <w:pStyle w:val="11"/>
            </w:pPr>
          </w:p>
        </w:tc>
        <w:tc>
          <w:tcPr>
            <w:tcW w:w="1474" w:type="dxa"/>
            <w:vAlign w:val="center"/>
          </w:tcPr>
          <w:p w14:paraId="05051779">
            <w:pPr>
              <w:pStyle w:val="11"/>
            </w:pPr>
          </w:p>
        </w:tc>
      </w:tr>
      <w:tr w14:paraId="6430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C7F61">
            <w:pPr>
              <w:pStyle w:val="13"/>
            </w:pPr>
            <w:r>
              <w:t>15</w:t>
            </w:r>
          </w:p>
        </w:tc>
        <w:tc>
          <w:tcPr>
            <w:tcW w:w="3402" w:type="dxa"/>
            <w:vAlign w:val="center"/>
          </w:tcPr>
          <w:p w14:paraId="70813BE0">
            <w:pPr>
              <w:pStyle w:val="12"/>
            </w:pPr>
          </w:p>
        </w:tc>
        <w:tc>
          <w:tcPr>
            <w:tcW w:w="1474" w:type="dxa"/>
            <w:vAlign w:val="center"/>
          </w:tcPr>
          <w:p w14:paraId="5BDABA96">
            <w:pPr>
              <w:pStyle w:val="11"/>
            </w:pPr>
          </w:p>
        </w:tc>
        <w:tc>
          <w:tcPr>
            <w:tcW w:w="3402" w:type="dxa"/>
            <w:vAlign w:val="center"/>
          </w:tcPr>
          <w:p w14:paraId="466C67D6">
            <w:pPr>
              <w:pStyle w:val="12"/>
            </w:pPr>
            <w:r>
              <w:t>十五、资源勘探工业信息等支出</w:t>
            </w:r>
          </w:p>
        </w:tc>
        <w:tc>
          <w:tcPr>
            <w:tcW w:w="1474" w:type="dxa"/>
            <w:vAlign w:val="center"/>
          </w:tcPr>
          <w:p w14:paraId="0EA92AF8">
            <w:pPr>
              <w:pStyle w:val="11"/>
            </w:pPr>
          </w:p>
        </w:tc>
        <w:tc>
          <w:tcPr>
            <w:tcW w:w="1474" w:type="dxa"/>
            <w:vAlign w:val="center"/>
          </w:tcPr>
          <w:p w14:paraId="1A663B0C">
            <w:pPr>
              <w:pStyle w:val="11"/>
            </w:pPr>
          </w:p>
        </w:tc>
        <w:tc>
          <w:tcPr>
            <w:tcW w:w="1474" w:type="dxa"/>
            <w:vAlign w:val="center"/>
          </w:tcPr>
          <w:p w14:paraId="1B8C551D">
            <w:pPr>
              <w:pStyle w:val="11"/>
            </w:pPr>
          </w:p>
        </w:tc>
        <w:tc>
          <w:tcPr>
            <w:tcW w:w="1474" w:type="dxa"/>
            <w:vAlign w:val="center"/>
          </w:tcPr>
          <w:p w14:paraId="10836E2F">
            <w:pPr>
              <w:pStyle w:val="11"/>
            </w:pPr>
          </w:p>
        </w:tc>
      </w:tr>
      <w:tr w14:paraId="2B69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A74E0">
            <w:pPr>
              <w:pStyle w:val="13"/>
            </w:pPr>
            <w:r>
              <w:t>16</w:t>
            </w:r>
          </w:p>
        </w:tc>
        <w:tc>
          <w:tcPr>
            <w:tcW w:w="3402" w:type="dxa"/>
            <w:vAlign w:val="center"/>
          </w:tcPr>
          <w:p w14:paraId="7F1789A5">
            <w:pPr>
              <w:pStyle w:val="12"/>
            </w:pPr>
          </w:p>
        </w:tc>
        <w:tc>
          <w:tcPr>
            <w:tcW w:w="1474" w:type="dxa"/>
            <w:vAlign w:val="center"/>
          </w:tcPr>
          <w:p w14:paraId="24D95BA8">
            <w:pPr>
              <w:pStyle w:val="11"/>
            </w:pPr>
          </w:p>
        </w:tc>
        <w:tc>
          <w:tcPr>
            <w:tcW w:w="3402" w:type="dxa"/>
            <w:vAlign w:val="center"/>
          </w:tcPr>
          <w:p w14:paraId="5E7722D3">
            <w:pPr>
              <w:pStyle w:val="12"/>
            </w:pPr>
            <w:r>
              <w:t>十六、商业服务业等支出</w:t>
            </w:r>
          </w:p>
        </w:tc>
        <w:tc>
          <w:tcPr>
            <w:tcW w:w="1474" w:type="dxa"/>
            <w:vAlign w:val="center"/>
          </w:tcPr>
          <w:p w14:paraId="1FE21A21">
            <w:pPr>
              <w:pStyle w:val="11"/>
            </w:pPr>
          </w:p>
        </w:tc>
        <w:tc>
          <w:tcPr>
            <w:tcW w:w="1474" w:type="dxa"/>
            <w:vAlign w:val="center"/>
          </w:tcPr>
          <w:p w14:paraId="6C80A995">
            <w:pPr>
              <w:pStyle w:val="11"/>
            </w:pPr>
          </w:p>
        </w:tc>
        <w:tc>
          <w:tcPr>
            <w:tcW w:w="1474" w:type="dxa"/>
            <w:vAlign w:val="center"/>
          </w:tcPr>
          <w:p w14:paraId="01DE9C06">
            <w:pPr>
              <w:pStyle w:val="11"/>
            </w:pPr>
          </w:p>
        </w:tc>
        <w:tc>
          <w:tcPr>
            <w:tcW w:w="1474" w:type="dxa"/>
            <w:vAlign w:val="center"/>
          </w:tcPr>
          <w:p w14:paraId="155A7F3D">
            <w:pPr>
              <w:pStyle w:val="11"/>
            </w:pPr>
          </w:p>
        </w:tc>
      </w:tr>
      <w:tr w14:paraId="24F8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3E2D">
            <w:pPr>
              <w:pStyle w:val="13"/>
            </w:pPr>
            <w:r>
              <w:t>17</w:t>
            </w:r>
          </w:p>
        </w:tc>
        <w:tc>
          <w:tcPr>
            <w:tcW w:w="3402" w:type="dxa"/>
            <w:vAlign w:val="center"/>
          </w:tcPr>
          <w:p w14:paraId="405C6BCC">
            <w:pPr>
              <w:pStyle w:val="12"/>
            </w:pPr>
          </w:p>
        </w:tc>
        <w:tc>
          <w:tcPr>
            <w:tcW w:w="1474" w:type="dxa"/>
            <w:vAlign w:val="center"/>
          </w:tcPr>
          <w:p w14:paraId="0E195009">
            <w:pPr>
              <w:pStyle w:val="11"/>
            </w:pPr>
          </w:p>
        </w:tc>
        <w:tc>
          <w:tcPr>
            <w:tcW w:w="3402" w:type="dxa"/>
            <w:vAlign w:val="center"/>
          </w:tcPr>
          <w:p w14:paraId="10BAD7F8">
            <w:pPr>
              <w:pStyle w:val="12"/>
            </w:pPr>
            <w:r>
              <w:t>十七、金融支出</w:t>
            </w:r>
          </w:p>
        </w:tc>
        <w:tc>
          <w:tcPr>
            <w:tcW w:w="1474" w:type="dxa"/>
            <w:vAlign w:val="center"/>
          </w:tcPr>
          <w:p w14:paraId="59413E53">
            <w:pPr>
              <w:pStyle w:val="11"/>
            </w:pPr>
          </w:p>
        </w:tc>
        <w:tc>
          <w:tcPr>
            <w:tcW w:w="1474" w:type="dxa"/>
            <w:vAlign w:val="center"/>
          </w:tcPr>
          <w:p w14:paraId="616FBB32">
            <w:pPr>
              <w:pStyle w:val="11"/>
            </w:pPr>
          </w:p>
        </w:tc>
        <w:tc>
          <w:tcPr>
            <w:tcW w:w="1474" w:type="dxa"/>
            <w:vAlign w:val="center"/>
          </w:tcPr>
          <w:p w14:paraId="37C5DC4F">
            <w:pPr>
              <w:pStyle w:val="11"/>
            </w:pPr>
          </w:p>
        </w:tc>
        <w:tc>
          <w:tcPr>
            <w:tcW w:w="1474" w:type="dxa"/>
            <w:vAlign w:val="center"/>
          </w:tcPr>
          <w:p w14:paraId="541DC593">
            <w:pPr>
              <w:pStyle w:val="11"/>
            </w:pPr>
          </w:p>
        </w:tc>
      </w:tr>
      <w:tr w14:paraId="54740B09">
        <w:tblPrEx>
          <w:tblCellMar>
            <w:top w:w="0" w:type="dxa"/>
            <w:left w:w="108" w:type="dxa"/>
            <w:bottom w:w="0" w:type="dxa"/>
            <w:right w:w="108" w:type="dxa"/>
          </w:tblCellMar>
        </w:tblPrEx>
        <w:trPr>
          <w:trHeight w:val="369" w:hRule="atLeast"/>
          <w:jc w:val="center"/>
        </w:trPr>
        <w:tc>
          <w:tcPr>
            <w:tcW w:w="850" w:type="dxa"/>
            <w:vAlign w:val="center"/>
          </w:tcPr>
          <w:p w14:paraId="6330B598">
            <w:pPr>
              <w:pStyle w:val="13"/>
            </w:pPr>
            <w:r>
              <w:t>18</w:t>
            </w:r>
          </w:p>
        </w:tc>
        <w:tc>
          <w:tcPr>
            <w:tcW w:w="3402" w:type="dxa"/>
            <w:vAlign w:val="center"/>
          </w:tcPr>
          <w:p w14:paraId="32D59C00">
            <w:pPr>
              <w:pStyle w:val="12"/>
            </w:pPr>
          </w:p>
        </w:tc>
        <w:tc>
          <w:tcPr>
            <w:tcW w:w="1474" w:type="dxa"/>
            <w:vAlign w:val="center"/>
          </w:tcPr>
          <w:p w14:paraId="332D1F4D">
            <w:pPr>
              <w:pStyle w:val="11"/>
            </w:pPr>
          </w:p>
        </w:tc>
        <w:tc>
          <w:tcPr>
            <w:tcW w:w="3402" w:type="dxa"/>
            <w:vAlign w:val="center"/>
          </w:tcPr>
          <w:p w14:paraId="54375DD3">
            <w:pPr>
              <w:pStyle w:val="12"/>
            </w:pPr>
            <w:r>
              <w:t>十八、援助其他地区支出</w:t>
            </w:r>
          </w:p>
        </w:tc>
        <w:tc>
          <w:tcPr>
            <w:tcW w:w="1474" w:type="dxa"/>
            <w:vAlign w:val="center"/>
          </w:tcPr>
          <w:p w14:paraId="0D54422B">
            <w:pPr>
              <w:pStyle w:val="11"/>
            </w:pPr>
          </w:p>
        </w:tc>
        <w:tc>
          <w:tcPr>
            <w:tcW w:w="1474" w:type="dxa"/>
            <w:vAlign w:val="center"/>
          </w:tcPr>
          <w:p w14:paraId="3CDBBC23">
            <w:pPr>
              <w:pStyle w:val="11"/>
            </w:pPr>
          </w:p>
        </w:tc>
        <w:tc>
          <w:tcPr>
            <w:tcW w:w="1474" w:type="dxa"/>
            <w:vAlign w:val="center"/>
          </w:tcPr>
          <w:p w14:paraId="00FF254E">
            <w:pPr>
              <w:pStyle w:val="11"/>
            </w:pPr>
          </w:p>
        </w:tc>
        <w:tc>
          <w:tcPr>
            <w:tcW w:w="1474" w:type="dxa"/>
            <w:vAlign w:val="center"/>
          </w:tcPr>
          <w:p w14:paraId="26D44DB1">
            <w:pPr>
              <w:pStyle w:val="11"/>
            </w:pPr>
          </w:p>
        </w:tc>
      </w:tr>
      <w:tr w14:paraId="503AAE8A">
        <w:tblPrEx>
          <w:tblCellMar>
            <w:top w:w="0" w:type="dxa"/>
            <w:left w:w="108" w:type="dxa"/>
            <w:bottom w:w="0" w:type="dxa"/>
            <w:right w:w="108" w:type="dxa"/>
          </w:tblCellMar>
        </w:tblPrEx>
        <w:trPr>
          <w:trHeight w:val="369" w:hRule="atLeast"/>
          <w:jc w:val="center"/>
        </w:trPr>
        <w:tc>
          <w:tcPr>
            <w:tcW w:w="850" w:type="dxa"/>
            <w:vAlign w:val="center"/>
          </w:tcPr>
          <w:p w14:paraId="1B47C365">
            <w:pPr>
              <w:pStyle w:val="13"/>
            </w:pPr>
            <w:r>
              <w:t>19</w:t>
            </w:r>
          </w:p>
        </w:tc>
        <w:tc>
          <w:tcPr>
            <w:tcW w:w="3402" w:type="dxa"/>
            <w:vAlign w:val="center"/>
          </w:tcPr>
          <w:p w14:paraId="018890DE">
            <w:pPr>
              <w:pStyle w:val="12"/>
            </w:pPr>
          </w:p>
        </w:tc>
        <w:tc>
          <w:tcPr>
            <w:tcW w:w="1474" w:type="dxa"/>
            <w:vAlign w:val="center"/>
          </w:tcPr>
          <w:p w14:paraId="3D429161">
            <w:pPr>
              <w:pStyle w:val="11"/>
            </w:pPr>
          </w:p>
        </w:tc>
        <w:tc>
          <w:tcPr>
            <w:tcW w:w="3402" w:type="dxa"/>
            <w:vAlign w:val="center"/>
          </w:tcPr>
          <w:p w14:paraId="4A91DC42">
            <w:pPr>
              <w:pStyle w:val="12"/>
            </w:pPr>
            <w:r>
              <w:t>十九、自然资源海洋气象等支出</w:t>
            </w:r>
          </w:p>
        </w:tc>
        <w:tc>
          <w:tcPr>
            <w:tcW w:w="1474" w:type="dxa"/>
            <w:vAlign w:val="center"/>
          </w:tcPr>
          <w:p w14:paraId="5906640A">
            <w:pPr>
              <w:pStyle w:val="11"/>
            </w:pPr>
          </w:p>
        </w:tc>
        <w:tc>
          <w:tcPr>
            <w:tcW w:w="1474" w:type="dxa"/>
            <w:vAlign w:val="center"/>
          </w:tcPr>
          <w:p w14:paraId="09978B35">
            <w:pPr>
              <w:pStyle w:val="11"/>
            </w:pPr>
          </w:p>
        </w:tc>
        <w:tc>
          <w:tcPr>
            <w:tcW w:w="1474" w:type="dxa"/>
            <w:vAlign w:val="center"/>
          </w:tcPr>
          <w:p w14:paraId="5A8F5F25">
            <w:pPr>
              <w:pStyle w:val="11"/>
            </w:pPr>
          </w:p>
        </w:tc>
        <w:tc>
          <w:tcPr>
            <w:tcW w:w="1474" w:type="dxa"/>
            <w:vAlign w:val="center"/>
          </w:tcPr>
          <w:p w14:paraId="58A1AC81">
            <w:pPr>
              <w:pStyle w:val="11"/>
            </w:pPr>
          </w:p>
        </w:tc>
      </w:tr>
      <w:tr w14:paraId="459D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933D">
            <w:pPr>
              <w:pStyle w:val="13"/>
            </w:pPr>
            <w:r>
              <w:t>20</w:t>
            </w:r>
          </w:p>
        </w:tc>
        <w:tc>
          <w:tcPr>
            <w:tcW w:w="3402" w:type="dxa"/>
            <w:vAlign w:val="center"/>
          </w:tcPr>
          <w:p w14:paraId="4D755EB9">
            <w:pPr>
              <w:pStyle w:val="12"/>
            </w:pPr>
          </w:p>
        </w:tc>
        <w:tc>
          <w:tcPr>
            <w:tcW w:w="1474" w:type="dxa"/>
            <w:vAlign w:val="center"/>
          </w:tcPr>
          <w:p w14:paraId="0847661D">
            <w:pPr>
              <w:pStyle w:val="11"/>
            </w:pPr>
          </w:p>
        </w:tc>
        <w:tc>
          <w:tcPr>
            <w:tcW w:w="3402" w:type="dxa"/>
            <w:vAlign w:val="center"/>
          </w:tcPr>
          <w:p w14:paraId="1F2639F3">
            <w:pPr>
              <w:pStyle w:val="12"/>
            </w:pPr>
            <w:r>
              <w:t>二十、住房保障支出</w:t>
            </w:r>
          </w:p>
        </w:tc>
        <w:tc>
          <w:tcPr>
            <w:tcW w:w="1474" w:type="dxa"/>
            <w:vAlign w:val="center"/>
          </w:tcPr>
          <w:p w14:paraId="47D4D43C">
            <w:pPr>
              <w:pStyle w:val="11"/>
            </w:pPr>
          </w:p>
        </w:tc>
        <w:tc>
          <w:tcPr>
            <w:tcW w:w="1474" w:type="dxa"/>
            <w:vAlign w:val="center"/>
          </w:tcPr>
          <w:p w14:paraId="52C435E9">
            <w:pPr>
              <w:pStyle w:val="11"/>
            </w:pPr>
          </w:p>
        </w:tc>
        <w:tc>
          <w:tcPr>
            <w:tcW w:w="1474" w:type="dxa"/>
            <w:vAlign w:val="center"/>
          </w:tcPr>
          <w:p w14:paraId="20C03622">
            <w:pPr>
              <w:pStyle w:val="11"/>
            </w:pPr>
          </w:p>
        </w:tc>
        <w:tc>
          <w:tcPr>
            <w:tcW w:w="1474" w:type="dxa"/>
            <w:vAlign w:val="center"/>
          </w:tcPr>
          <w:p w14:paraId="6BB41D19">
            <w:pPr>
              <w:pStyle w:val="11"/>
            </w:pPr>
          </w:p>
        </w:tc>
      </w:tr>
      <w:tr w14:paraId="44CF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0906C">
            <w:pPr>
              <w:pStyle w:val="13"/>
            </w:pPr>
            <w:r>
              <w:t>21</w:t>
            </w:r>
          </w:p>
        </w:tc>
        <w:tc>
          <w:tcPr>
            <w:tcW w:w="3402" w:type="dxa"/>
            <w:vAlign w:val="center"/>
          </w:tcPr>
          <w:p w14:paraId="02D2B299">
            <w:pPr>
              <w:pStyle w:val="12"/>
            </w:pPr>
          </w:p>
        </w:tc>
        <w:tc>
          <w:tcPr>
            <w:tcW w:w="1474" w:type="dxa"/>
            <w:vAlign w:val="center"/>
          </w:tcPr>
          <w:p w14:paraId="5210EB28">
            <w:pPr>
              <w:pStyle w:val="11"/>
            </w:pPr>
          </w:p>
        </w:tc>
        <w:tc>
          <w:tcPr>
            <w:tcW w:w="3402" w:type="dxa"/>
            <w:vAlign w:val="center"/>
          </w:tcPr>
          <w:p w14:paraId="293E1231">
            <w:pPr>
              <w:pStyle w:val="12"/>
            </w:pPr>
            <w:r>
              <w:t>二十一、粮油物资储备支出</w:t>
            </w:r>
          </w:p>
        </w:tc>
        <w:tc>
          <w:tcPr>
            <w:tcW w:w="1474" w:type="dxa"/>
            <w:vAlign w:val="center"/>
          </w:tcPr>
          <w:p w14:paraId="1A9D2FC6">
            <w:pPr>
              <w:pStyle w:val="11"/>
            </w:pPr>
          </w:p>
        </w:tc>
        <w:tc>
          <w:tcPr>
            <w:tcW w:w="1474" w:type="dxa"/>
            <w:vAlign w:val="center"/>
          </w:tcPr>
          <w:p w14:paraId="2C2A3DCC">
            <w:pPr>
              <w:pStyle w:val="11"/>
            </w:pPr>
          </w:p>
        </w:tc>
        <w:tc>
          <w:tcPr>
            <w:tcW w:w="1474" w:type="dxa"/>
            <w:vAlign w:val="center"/>
          </w:tcPr>
          <w:p w14:paraId="160A2B69">
            <w:pPr>
              <w:pStyle w:val="11"/>
            </w:pPr>
          </w:p>
        </w:tc>
        <w:tc>
          <w:tcPr>
            <w:tcW w:w="1474" w:type="dxa"/>
            <w:vAlign w:val="center"/>
          </w:tcPr>
          <w:p w14:paraId="7F159AF1">
            <w:pPr>
              <w:pStyle w:val="11"/>
            </w:pPr>
          </w:p>
        </w:tc>
      </w:tr>
      <w:tr w14:paraId="0AB7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45EC">
            <w:pPr>
              <w:pStyle w:val="13"/>
            </w:pPr>
            <w:r>
              <w:t>22</w:t>
            </w:r>
          </w:p>
        </w:tc>
        <w:tc>
          <w:tcPr>
            <w:tcW w:w="3402" w:type="dxa"/>
            <w:vAlign w:val="center"/>
          </w:tcPr>
          <w:p w14:paraId="3AB48476">
            <w:pPr>
              <w:pStyle w:val="12"/>
            </w:pPr>
          </w:p>
        </w:tc>
        <w:tc>
          <w:tcPr>
            <w:tcW w:w="1474" w:type="dxa"/>
            <w:vAlign w:val="center"/>
          </w:tcPr>
          <w:p w14:paraId="13DE7656">
            <w:pPr>
              <w:pStyle w:val="11"/>
            </w:pPr>
          </w:p>
        </w:tc>
        <w:tc>
          <w:tcPr>
            <w:tcW w:w="3402" w:type="dxa"/>
            <w:vAlign w:val="center"/>
          </w:tcPr>
          <w:p w14:paraId="14AF56A7">
            <w:pPr>
              <w:pStyle w:val="12"/>
            </w:pPr>
            <w:r>
              <w:t>二十二、国有资本经营预算支出</w:t>
            </w:r>
          </w:p>
        </w:tc>
        <w:tc>
          <w:tcPr>
            <w:tcW w:w="1474" w:type="dxa"/>
            <w:vAlign w:val="center"/>
          </w:tcPr>
          <w:p w14:paraId="70DD4362">
            <w:pPr>
              <w:pStyle w:val="11"/>
            </w:pPr>
          </w:p>
        </w:tc>
        <w:tc>
          <w:tcPr>
            <w:tcW w:w="1474" w:type="dxa"/>
            <w:vAlign w:val="center"/>
          </w:tcPr>
          <w:p w14:paraId="5DFFE6D4">
            <w:pPr>
              <w:pStyle w:val="11"/>
            </w:pPr>
          </w:p>
        </w:tc>
        <w:tc>
          <w:tcPr>
            <w:tcW w:w="1474" w:type="dxa"/>
            <w:vAlign w:val="center"/>
          </w:tcPr>
          <w:p w14:paraId="1A337B8F">
            <w:pPr>
              <w:pStyle w:val="11"/>
            </w:pPr>
          </w:p>
        </w:tc>
        <w:tc>
          <w:tcPr>
            <w:tcW w:w="1474" w:type="dxa"/>
            <w:vAlign w:val="center"/>
          </w:tcPr>
          <w:p w14:paraId="71CE2632">
            <w:pPr>
              <w:pStyle w:val="11"/>
            </w:pPr>
          </w:p>
        </w:tc>
      </w:tr>
      <w:tr w14:paraId="635E4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73BD">
            <w:pPr>
              <w:pStyle w:val="13"/>
            </w:pPr>
            <w:r>
              <w:t>23</w:t>
            </w:r>
          </w:p>
        </w:tc>
        <w:tc>
          <w:tcPr>
            <w:tcW w:w="3402" w:type="dxa"/>
            <w:vAlign w:val="center"/>
          </w:tcPr>
          <w:p w14:paraId="73DC7CDF">
            <w:pPr>
              <w:pStyle w:val="12"/>
            </w:pPr>
          </w:p>
        </w:tc>
        <w:tc>
          <w:tcPr>
            <w:tcW w:w="1474" w:type="dxa"/>
            <w:vAlign w:val="center"/>
          </w:tcPr>
          <w:p w14:paraId="7A59B07A">
            <w:pPr>
              <w:pStyle w:val="11"/>
            </w:pPr>
          </w:p>
        </w:tc>
        <w:tc>
          <w:tcPr>
            <w:tcW w:w="3402" w:type="dxa"/>
            <w:vAlign w:val="center"/>
          </w:tcPr>
          <w:p w14:paraId="091C5F70">
            <w:pPr>
              <w:pStyle w:val="12"/>
            </w:pPr>
            <w:r>
              <w:t>二十三、灾害防治及应急管理支出</w:t>
            </w:r>
          </w:p>
        </w:tc>
        <w:tc>
          <w:tcPr>
            <w:tcW w:w="1474" w:type="dxa"/>
            <w:vAlign w:val="center"/>
          </w:tcPr>
          <w:p w14:paraId="4A904B06">
            <w:pPr>
              <w:pStyle w:val="11"/>
            </w:pPr>
          </w:p>
        </w:tc>
        <w:tc>
          <w:tcPr>
            <w:tcW w:w="1474" w:type="dxa"/>
            <w:vAlign w:val="center"/>
          </w:tcPr>
          <w:p w14:paraId="700139A8">
            <w:pPr>
              <w:pStyle w:val="11"/>
            </w:pPr>
          </w:p>
        </w:tc>
        <w:tc>
          <w:tcPr>
            <w:tcW w:w="1474" w:type="dxa"/>
            <w:vAlign w:val="center"/>
          </w:tcPr>
          <w:p w14:paraId="518433C2">
            <w:pPr>
              <w:pStyle w:val="11"/>
            </w:pPr>
          </w:p>
        </w:tc>
        <w:tc>
          <w:tcPr>
            <w:tcW w:w="1474" w:type="dxa"/>
            <w:vAlign w:val="center"/>
          </w:tcPr>
          <w:p w14:paraId="32C895D8">
            <w:pPr>
              <w:pStyle w:val="11"/>
            </w:pPr>
          </w:p>
        </w:tc>
      </w:tr>
      <w:tr w14:paraId="325B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FD2A5">
            <w:pPr>
              <w:pStyle w:val="13"/>
            </w:pPr>
            <w:r>
              <w:t>24</w:t>
            </w:r>
          </w:p>
        </w:tc>
        <w:tc>
          <w:tcPr>
            <w:tcW w:w="3402" w:type="dxa"/>
            <w:vAlign w:val="center"/>
          </w:tcPr>
          <w:p w14:paraId="33896AF3">
            <w:pPr>
              <w:pStyle w:val="12"/>
            </w:pPr>
          </w:p>
        </w:tc>
        <w:tc>
          <w:tcPr>
            <w:tcW w:w="1474" w:type="dxa"/>
            <w:vAlign w:val="center"/>
          </w:tcPr>
          <w:p w14:paraId="084EB920">
            <w:pPr>
              <w:pStyle w:val="11"/>
            </w:pPr>
          </w:p>
        </w:tc>
        <w:tc>
          <w:tcPr>
            <w:tcW w:w="3402" w:type="dxa"/>
            <w:vAlign w:val="center"/>
          </w:tcPr>
          <w:p w14:paraId="764255A1">
            <w:pPr>
              <w:pStyle w:val="12"/>
            </w:pPr>
            <w:r>
              <w:t>二十四、预备费</w:t>
            </w:r>
          </w:p>
        </w:tc>
        <w:tc>
          <w:tcPr>
            <w:tcW w:w="1474" w:type="dxa"/>
            <w:vAlign w:val="center"/>
          </w:tcPr>
          <w:p w14:paraId="1F4F41AC">
            <w:pPr>
              <w:pStyle w:val="11"/>
            </w:pPr>
          </w:p>
        </w:tc>
        <w:tc>
          <w:tcPr>
            <w:tcW w:w="1474" w:type="dxa"/>
            <w:vAlign w:val="center"/>
          </w:tcPr>
          <w:p w14:paraId="3509964E">
            <w:pPr>
              <w:pStyle w:val="11"/>
            </w:pPr>
          </w:p>
        </w:tc>
        <w:tc>
          <w:tcPr>
            <w:tcW w:w="1474" w:type="dxa"/>
            <w:vAlign w:val="center"/>
          </w:tcPr>
          <w:p w14:paraId="0762E649">
            <w:pPr>
              <w:pStyle w:val="11"/>
            </w:pPr>
          </w:p>
        </w:tc>
        <w:tc>
          <w:tcPr>
            <w:tcW w:w="1474" w:type="dxa"/>
            <w:vAlign w:val="center"/>
          </w:tcPr>
          <w:p w14:paraId="48FFF601">
            <w:pPr>
              <w:pStyle w:val="11"/>
            </w:pPr>
          </w:p>
        </w:tc>
      </w:tr>
      <w:tr w14:paraId="7DBA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2D93B">
            <w:pPr>
              <w:pStyle w:val="13"/>
            </w:pPr>
            <w:r>
              <w:t>25</w:t>
            </w:r>
          </w:p>
        </w:tc>
        <w:tc>
          <w:tcPr>
            <w:tcW w:w="3402" w:type="dxa"/>
            <w:vAlign w:val="center"/>
          </w:tcPr>
          <w:p w14:paraId="7C2F9B1B">
            <w:pPr>
              <w:pStyle w:val="12"/>
            </w:pPr>
          </w:p>
        </w:tc>
        <w:tc>
          <w:tcPr>
            <w:tcW w:w="1474" w:type="dxa"/>
            <w:vAlign w:val="center"/>
          </w:tcPr>
          <w:p w14:paraId="397C0DB1">
            <w:pPr>
              <w:pStyle w:val="11"/>
            </w:pPr>
          </w:p>
        </w:tc>
        <w:tc>
          <w:tcPr>
            <w:tcW w:w="3402" w:type="dxa"/>
            <w:vAlign w:val="center"/>
          </w:tcPr>
          <w:p w14:paraId="22AC9E19">
            <w:pPr>
              <w:pStyle w:val="12"/>
            </w:pPr>
            <w:r>
              <w:t>二十五、其他支出</w:t>
            </w:r>
          </w:p>
        </w:tc>
        <w:tc>
          <w:tcPr>
            <w:tcW w:w="1474" w:type="dxa"/>
            <w:vAlign w:val="center"/>
          </w:tcPr>
          <w:p w14:paraId="584D4421">
            <w:pPr>
              <w:pStyle w:val="11"/>
            </w:pPr>
          </w:p>
        </w:tc>
        <w:tc>
          <w:tcPr>
            <w:tcW w:w="1474" w:type="dxa"/>
            <w:vAlign w:val="center"/>
          </w:tcPr>
          <w:p w14:paraId="5EC80409">
            <w:pPr>
              <w:pStyle w:val="11"/>
            </w:pPr>
          </w:p>
        </w:tc>
        <w:tc>
          <w:tcPr>
            <w:tcW w:w="1474" w:type="dxa"/>
            <w:vAlign w:val="center"/>
          </w:tcPr>
          <w:p w14:paraId="5F1936BF">
            <w:pPr>
              <w:pStyle w:val="11"/>
            </w:pPr>
          </w:p>
        </w:tc>
        <w:tc>
          <w:tcPr>
            <w:tcW w:w="1474" w:type="dxa"/>
            <w:vAlign w:val="center"/>
          </w:tcPr>
          <w:p w14:paraId="70D8D8DA">
            <w:pPr>
              <w:pStyle w:val="11"/>
            </w:pPr>
          </w:p>
        </w:tc>
      </w:tr>
      <w:tr w14:paraId="7CE57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C67E3">
            <w:pPr>
              <w:pStyle w:val="13"/>
            </w:pPr>
            <w:r>
              <w:t>26</w:t>
            </w:r>
          </w:p>
        </w:tc>
        <w:tc>
          <w:tcPr>
            <w:tcW w:w="3402" w:type="dxa"/>
            <w:vAlign w:val="center"/>
          </w:tcPr>
          <w:p w14:paraId="6ECCD728">
            <w:pPr>
              <w:pStyle w:val="12"/>
            </w:pPr>
          </w:p>
        </w:tc>
        <w:tc>
          <w:tcPr>
            <w:tcW w:w="1474" w:type="dxa"/>
            <w:vAlign w:val="center"/>
          </w:tcPr>
          <w:p w14:paraId="3E34C682">
            <w:pPr>
              <w:pStyle w:val="11"/>
            </w:pPr>
          </w:p>
        </w:tc>
        <w:tc>
          <w:tcPr>
            <w:tcW w:w="3402" w:type="dxa"/>
            <w:vAlign w:val="center"/>
          </w:tcPr>
          <w:p w14:paraId="5F18D501">
            <w:pPr>
              <w:pStyle w:val="12"/>
            </w:pPr>
            <w:r>
              <w:t>二十六、转移性支出</w:t>
            </w:r>
          </w:p>
        </w:tc>
        <w:tc>
          <w:tcPr>
            <w:tcW w:w="1474" w:type="dxa"/>
            <w:vAlign w:val="center"/>
          </w:tcPr>
          <w:p w14:paraId="28B2875A">
            <w:pPr>
              <w:pStyle w:val="11"/>
            </w:pPr>
          </w:p>
        </w:tc>
        <w:tc>
          <w:tcPr>
            <w:tcW w:w="1474" w:type="dxa"/>
            <w:vAlign w:val="center"/>
          </w:tcPr>
          <w:p w14:paraId="120ED93A">
            <w:pPr>
              <w:pStyle w:val="11"/>
            </w:pPr>
          </w:p>
        </w:tc>
        <w:tc>
          <w:tcPr>
            <w:tcW w:w="1474" w:type="dxa"/>
            <w:vAlign w:val="center"/>
          </w:tcPr>
          <w:p w14:paraId="4441CF08">
            <w:pPr>
              <w:pStyle w:val="11"/>
            </w:pPr>
          </w:p>
        </w:tc>
        <w:tc>
          <w:tcPr>
            <w:tcW w:w="1474" w:type="dxa"/>
            <w:vAlign w:val="center"/>
          </w:tcPr>
          <w:p w14:paraId="2A0E778E">
            <w:pPr>
              <w:pStyle w:val="11"/>
            </w:pPr>
          </w:p>
        </w:tc>
      </w:tr>
      <w:tr w14:paraId="3C33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7F1BE">
            <w:pPr>
              <w:pStyle w:val="13"/>
            </w:pPr>
            <w:r>
              <w:t>27</w:t>
            </w:r>
          </w:p>
        </w:tc>
        <w:tc>
          <w:tcPr>
            <w:tcW w:w="3402" w:type="dxa"/>
            <w:vAlign w:val="center"/>
          </w:tcPr>
          <w:p w14:paraId="2E69E4BE">
            <w:pPr>
              <w:pStyle w:val="12"/>
            </w:pPr>
          </w:p>
        </w:tc>
        <w:tc>
          <w:tcPr>
            <w:tcW w:w="1474" w:type="dxa"/>
            <w:vAlign w:val="center"/>
          </w:tcPr>
          <w:p w14:paraId="0B464F6C">
            <w:pPr>
              <w:pStyle w:val="11"/>
            </w:pPr>
          </w:p>
        </w:tc>
        <w:tc>
          <w:tcPr>
            <w:tcW w:w="3402" w:type="dxa"/>
            <w:vAlign w:val="center"/>
          </w:tcPr>
          <w:p w14:paraId="3179FA74">
            <w:pPr>
              <w:pStyle w:val="12"/>
            </w:pPr>
            <w:r>
              <w:t>二十七、债务还本支出</w:t>
            </w:r>
          </w:p>
        </w:tc>
        <w:tc>
          <w:tcPr>
            <w:tcW w:w="1474" w:type="dxa"/>
            <w:vAlign w:val="center"/>
          </w:tcPr>
          <w:p w14:paraId="78374961">
            <w:pPr>
              <w:pStyle w:val="11"/>
            </w:pPr>
          </w:p>
        </w:tc>
        <w:tc>
          <w:tcPr>
            <w:tcW w:w="1474" w:type="dxa"/>
            <w:vAlign w:val="center"/>
          </w:tcPr>
          <w:p w14:paraId="514A5BBC">
            <w:pPr>
              <w:pStyle w:val="11"/>
            </w:pPr>
          </w:p>
        </w:tc>
        <w:tc>
          <w:tcPr>
            <w:tcW w:w="1474" w:type="dxa"/>
            <w:vAlign w:val="center"/>
          </w:tcPr>
          <w:p w14:paraId="3822FD38">
            <w:pPr>
              <w:pStyle w:val="11"/>
            </w:pPr>
          </w:p>
        </w:tc>
        <w:tc>
          <w:tcPr>
            <w:tcW w:w="1474" w:type="dxa"/>
            <w:vAlign w:val="center"/>
          </w:tcPr>
          <w:p w14:paraId="46AC5E52">
            <w:pPr>
              <w:pStyle w:val="11"/>
            </w:pPr>
          </w:p>
        </w:tc>
      </w:tr>
      <w:tr w14:paraId="3183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7A6C">
            <w:pPr>
              <w:pStyle w:val="13"/>
            </w:pPr>
            <w:r>
              <w:t>28</w:t>
            </w:r>
          </w:p>
        </w:tc>
        <w:tc>
          <w:tcPr>
            <w:tcW w:w="3402" w:type="dxa"/>
            <w:vAlign w:val="center"/>
          </w:tcPr>
          <w:p w14:paraId="782369D9">
            <w:pPr>
              <w:pStyle w:val="12"/>
            </w:pPr>
          </w:p>
        </w:tc>
        <w:tc>
          <w:tcPr>
            <w:tcW w:w="1474" w:type="dxa"/>
            <w:vAlign w:val="center"/>
          </w:tcPr>
          <w:p w14:paraId="623A3D88">
            <w:pPr>
              <w:pStyle w:val="11"/>
            </w:pPr>
          </w:p>
        </w:tc>
        <w:tc>
          <w:tcPr>
            <w:tcW w:w="3402" w:type="dxa"/>
            <w:vAlign w:val="center"/>
          </w:tcPr>
          <w:p w14:paraId="7B27E540">
            <w:pPr>
              <w:pStyle w:val="12"/>
            </w:pPr>
            <w:r>
              <w:t>二十八、债务付息支出</w:t>
            </w:r>
          </w:p>
        </w:tc>
        <w:tc>
          <w:tcPr>
            <w:tcW w:w="1474" w:type="dxa"/>
            <w:vAlign w:val="center"/>
          </w:tcPr>
          <w:p w14:paraId="2E330C2A">
            <w:pPr>
              <w:pStyle w:val="11"/>
            </w:pPr>
          </w:p>
        </w:tc>
        <w:tc>
          <w:tcPr>
            <w:tcW w:w="1474" w:type="dxa"/>
            <w:vAlign w:val="center"/>
          </w:tcPr>
          <w:p w14:paraId="6E213269">
            <w:pPr>
              <w:pStyle w:val="11"/>
            </w:pPr>
          </w:p>
        </w:tc>
        <w:tc>
          <w:tcPr>
            <w:tcW w:w="1474" w:type="dxa"/>
            <w:vAlign w:val="center"/>
          </w:tcPr>
          <w:p w14:paraId="192261B1">
            <w:pPr>
              <w:pStyle w:val="11"/>
            </w:pPr>
          </w:p>
        </w:tc>
        <w:tc>
          <w:tcPr>
            <w:tcW w:w="1474" w:type="dxa"/>
            <w:vAlign w:val="center"/>
          </w:tcPr>
          <w:p w14:paraId="7C8FBED0">
            <w:pPr>
              <w:pStyle w:val="11"/>
            </w:pPr>
          </w:p>
        </w:tc>
      </w:tr>
      <w:tr w14:paraId="7192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4DEE">
            <w:pPr>
              <w:pStyle w:val="13"/>
            </w:pPr>
            <w:r>
              <w:t>29</w:t>
            </w:r>
          </w:p>
        </w:tc>
        <w:tc>
          <w:tcPr>
            <w:tcW w:w="3402" w:type="dxa"/>
            <w:vAlign w:val="center"/>
          </w:tcPr>
          <w:p w14:paraId="69D42F65">
            <w:pPr>
              <w:pStyle w:val="12"/>
            </w:pPr>
          </w:p>
        </w:tc>
        <w:tc>
          <w:tcPr>
            <w:tcW w:w="1474" w:type="dxa"/>
            <w:vAlign w:val="center"/>
          </w:tcPr>
          <w:p w14:paraId="2BF4005E">
            <w:pPr>
              <w:pStyle w:val="11"/>
            </w:pPr>
          </w:p>
        </w:tc>
        <w:tc>
          <w:tcPr>
            <w:tcW w:w="3402" w:type="dxa"/>
            <w:vAlign w:val="center"/>
          </w:tcPr>
          <w:p w14:paraId="391C31A8">
            <w:pPr>
              <w:pStyle w:val="12"/>
            </w:pPr>
            <w:r>
              <w:t>二十九、债务发行费用支出</w:t>
            </w:r>
          </w:p>
        </w:tc>
        <w:tc>
          <w:tcPr>
            <w:tcW w:w="1474" w:type="dxa"/>
            <w:vAlign w:val="center"/>
          </w:tcPr>
          <w:p w14:paraId="486FFDF5">
            <w:pPr>
              <w:pStyle w:val="11"/>
            </w:pPr>
          </w:p>
        </w:tc>
        <w:tc>
          <w:tcPr>
            <w:tcW w:w="1474" w:type="dxa"/>
            <w:vAlign w:val="center"/>
          </w:tcPr>
          <w:p w14:paraId="0DE370EB">
            <w:pPr>
              <w:pStyle w:val="11"/>
            </w:pPr>
          </w:p>
        </w:tc>
        <w:tc>
          <w:tcPr>
            <w:tcW w:w="1474" w:type="dxa"/>
            <w:vAlign w:val="center"/>
          </w:tcPr>
          <w:p w14:paraId="13BEB9C5">
            <w:pPr>
              <w:pStyle w:val="11"/>
            </w:pPr>
          </w:p>
        </w:tc>
        <w:tc>
          <w:tcPr>
            <w:tcW w:w="1474" w:type="dxa"/>
            <w:vAlign w:val="center"/>
          </w:tcPr>
          <w:p w14:paraId="1F0FFD7C">
            <w:pPr>
              <w:pStyle w:val="11"/>
            </w:pPr>
          </w:p>
        </w:tc>
      </w:tr>
      <w:tr w14:paraId="066B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E0932">
            <w:pPr>
              <w:pStyle w:val="13"/>
            </w:pPr>
            <w:r>
              <w:t>30</w:t>
            </w:r>
          </w:p>
        </w:tc>
        <w:tc>
          <w:tcPr>
            <w:tcW w:w="3402" w:type="dxa"/>
            <w:vAlign w:val="center"/>
          </w:tcPr>
          <w:p w14:paraId="28BD8873">
            <w:pPr>
              <w:pStyle w:val="12"/>
            </w:pPr>
          </w:p>
        </w:tc>
        <w:tc>
          <w:tcPr>
            <w:tcW w:w="1474" w:type="dxa"/>
            <w:vAlign w:val="center"/>
          </w:tcPr>
          <w:p w14:paraId="02A83BE6">
            <w:pPr>
              <w:pStyle w:val="11"/>
            </w:pPr>
          </w:p>
        </w:tc>
        <w:tc>
          <w:tcPr>
            <w:tcW w:w="3402" w:type="dxa"/>
            <w:vAlign w:val="center"/>
          </w:tcPr>
          <w:p w14:paraId="3A5A5D9D">
            <w:pPr>
              <w:pStyle w:val="12"/>
            </w:pPr>
            <w:r>
              <w:t>三十、抗疫特别国债安排的支出</w:t>
            </w:r>
          </w:p>
        </w:tc>
        <w:tc>
          <w:tcPr>
            <w:tcW w:w="1474" w:type="dxa"/>
            <w:vAlign w:val="center"/>
          </w:tcPr>
          <w:p w14:paraId="662DE4C7">
            <w:pPr>
              <w:pStyle w:val="11"/>
            </w:pPr>
          </w:p>
        </w:tc>
        <w:tc>
          <w:tcPr>
            <w:tcW w:w="1474" w:type="dxa"/>
            <w:vAlign w:val="center"/>
          </w:tcPr>
          <w:p w14:paraId="54B650BF">
            <w:pPr>
              <w:pStyle w:val="11"/>
            </w:pPr>
          </w:p>
        </w:tc>
        <w:tc>
          <w:tcPr>
            <w:tcW w:w="1474" w:type="dxa"/>
            <w:vAlign w:val="center"/>
          </w:tcPr>
          <w:p w14:paraId="18B3D4A3">
            <w:pPr>
              <w:pStyle w:val="11"/>
            </w:pPr>
          </w:p>
        </w:tc>
        <w:tc>
          <w:tcPr>
            <w:tcW w:w="1474" w:type="dxa"/>
            <w:vAlign w:val="center"/>
          </w:tcPr>
          <w:p w14:paraId="443099F2">
            <w:pPr>
              <w:pStyle w:val="11"/>
            </w:pPr>
          </w:p>
        </w:tc>
      </w:tr>
      <w:tr w14:paraId="6013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54BD">
            <w:pPr>
              <w:pStyle w:val="13"/>
            </w:pPr>
            <w:r>
              <w:t>31</w:t>
            </w:r>
          </w:p>
        </w:tc>
        <w:tc>
          <w:tcPr>
            <w:tcW w:w="3402" w:type="dxa"/>
            <w:vAlign w:val="center"/>
          </w:tcPr>
          <w:p w14:paraId="19A46180">
            <w:pPr>
              <w:pStyle w:val="12"/>
            </w:pPr>
          </w:p>
        </w:tc>
        <w:tc>
          <w:tcPr>
            <w:tcW w:w="1474" w:type="dxa"/>
            <w:vAlign w:val="center"/>
          </w:tcPr>
          <w:p w14:paraId="369FD835">
            <w:pPr>
              <w:pStyle w:val="11"/>
            </w:pPr>
          </w:p>
        </w:tc>
        <w:tc>
          <w:tcPr>
            <w:tcW w:w="3402" w:type="dxa"/>
            <w:vAlign w:val="center"/>
          </w:tcPr>
          <w:p w14:paraId="0E2AF369">
            <w:pPr>
              <w:pStyle w:val="12"/>
            </w:pPr>
            <w:r>
              <w:t>三十一、人行科目</w:t>
            </w:r>
          </w:p>
        </w:tc>
        <w:tc>
          <w:tcPr>
            <w:tcW w:w="1474" w:type="dxa"/>
            <w:vAlign w:val="center"/>
          </w:tcPr>
          <w:p w14:paraId="15E8AE10">
            <w:pPr>
              <w:pStyle w:val="11"/>
            </w:pPr>
          </w:p>
        </w:tc>
        <w:tc>
          <w:tcPr>
            <w:tcW w:w="1474" w:type="dxa"/>
            <w:vAlign w:val="center"/>
          </w:tcPr>
          <w:p w14:paraId="1C5A03CF">
            <w:pPr>
              <w:pStyle w:val="11"/>
            </w:pPr>
          </w:p>
        </w:tc>
        <w:tc>
          <w:tcPr>
            <w:tcW w:w="1474" w:type="dxa"/>
            <w:vAlign w:val="center"/>
          </w:tcPr>
          <w:p w14:paraId="1C67B8B2">
            <w:pPr>
              <w:pStyle w:val="11"/>
            </w:pPr>
          </w:p>
        </w:tc>
        <w:tc>
          <w:tcPr>
            <w:tcW w:w="1474" w:type="dxa"/>
            <w:vAlign w:val="center"/>
          </w:tcPr>
          <w:p w14:paraId="432DD15D">
            <w:pPr>
              <w:pStyle w:val="11"/>
            </w:pPr>
          </w:p>
        </w:tc>
      </w:tr>
      <w:tr w14:paraId="3370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AACA7">
            <w:pPr>
              <w:pStyle w:val="13"/>
            </w:pPr>
            <w:r>
              <w:t>32</w:t>
            </w:r>
          </w:p>
        </w:tc>
        <w:tc>
          <w:tcPr>
            <w:tcW w:w="3402" w:type="dxa"/>
            <w:vAlign w:val="center"/>
          </w:tcPr>
          <w:p w14:paraId="1C44E66A">
            <w:pPr>
              <w:pStyle w:val="14"/>
            </w:pPr>
            <w:r>
              <w:t>本年收入合计</w:t>
            </w:r>
          </w:p>
        </w:tc>
        <w:tc>
          <w:tcPr>
            <w:tcW w:w="1474" w:type="dxa"/>
            <w:vAlign w:val="center"/>
          </w:tcPr>
          <w:p w14:paraId="6B6CF6F9">
            <w:pPr>
              <w:pStyle w:val="15"/>
            </w:pPr>
            <w:r>
              <w:t>713.61</w:t>
            </w:r>
          </w:p>
        </w:tc>
        <w:tc>
          <w:tcPr>
            <w:tcW w:w="3402" w:type="dxa"/>
            <w:vAlign w:val="center"/>
          </w:tcPr>
          <w:p w14:paraId="1DB27FA0">
            <w:pPr>
              <w:pStyle w:val="14"/>
            </w:pPr>
            <w:r>
              <w:t>本年支出合计</w:t>
            </w:r>
          </w:p>
        </w:tc>
        <w:tc>
          <w:tcPr>
            <w:tcW w:w="1474" w:type="dxa"/>
            <w:vAlign w:val="center"/>
          </w:tcPr>
          <w:p w14:paraId="6BD501AA">
            <w:pPr>
              <w:pStyle w:val="15"/>
            </w:pPr>
            <w:r>
              <w:t>713.61</w:t>
            </w:r>
          </w:p>
        </w:tc>
        <w:tc>
          <w:tcPr>
            <w:tcW w:w="1474" w:type="dxa"/>
            <w:vAlign w:val="center"/>
          </w:tcPr>
          <w:p w14:paraId="122711C2">
            <w:pPr>
              <w:pStyle w:val="15"/>
            </w:pPr>
            <w:r>
              <w:t>713.61</w:t>
            </w:r>
          </w:p>
        </w:tc>
        <w:tc>
          <w:tcPr>
            <w:tcW w:w="1474" w:type="dxa"/>
            <w:vAlign w:val="center"/>
          </w:tcPr>
          <w:p w14:paraId="4FFA2FEA">
            <w:pPr>
              <w:pStyle w:val="15"/>
            </w:pPr>
          </w:p>
        </w:tc>
        <w:tc>
          <w:tcPr>
            <w:tcW w:w="1474" w:type="dxa"/>
            <w:vAlign w:val="center"/>
          </w:tcPr>
          <w:p w14:paraId="4A41D4DC">
            <w:pPr>
              <w:pStyle w:val="15"/>
            </w:pPr>
          </w:p>
        </w:tc>
      </w:tr>
      <w:tr w14:paraId="0226C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E14A7">
            <w:pPr>
              <w:pStyle w:val="13"/>
            </w:pPr>
            <w:r>
              <w:t>33</w:t>
            </w:r>
          </w:p>
        </w:tc>
        <w:tc>
          <w:tcPr>
            <w:tcW w:w="3402" w:type="dxa"/>
            <w:vAlign w:val="center"/>
          </w:tcPr>
          <w:p w14:paraId="468A1B5B">
            <w:pPr>
              <w:pStyle w:val="12"/>
            </w:pPr>
            <w:r>
              <w:t>年初财政拨款结转和结余</w:t>
            </w:r>
          </w:p>
        </w:tc>
        <w:tc>
          <w:tcPr>
            <w:tcW w:w="1474" w:type="dxa"/>
            <w:vAlign w:val="center"/>
          </w:tcPr>
          <w:p w14:paraId="55FC3149">
            <w:pPr>
              <w:pStyle w:val="11"/>
            </w:pPr>
          </w:p>
        </w:tc>
        <w:tc>
          <w:tcPr>
            <w:tcW w:w="3402" w:type="dxa"/>
            <w:vAlign w:val="center"/>
          </w:tcPr>
          <w:p w14:paraId="0E3A7997">
            <w:pPr>
              <w:pStyle w:val="12"/>
            </w:pPr>
            <w:r>
              <w:t>年末财政拨款结转和结余</w:t>
            </w:r>
          </w:p>
        </w:tc>
        <w:tc>
          <w:tcPr>
            <w:tcW w:w="1474" w:type="dxa"/>
            <w:vAlign w:val="center"/>
          </w:tcPr>
          <w:p w14:paraId="67631713">
            <w:pPr>
              <w:pStyle w:val="11"/>
            </w:pPr>
          </w:p>
        </w:tc>
        <w:tc>
          <w:tcPr>
            <w:tcW w:w="1474" w:type="dxa"/>
            <w:vAlign w:val="center"/>
          </w:tcPr>
          <w:p w14:paraId="1C30379C">
            <w:pPr>
              <w:pStyle w:val="11"/>
            </w:pPr>
          </w:p>
        </w:tc>
        <w:tc>
          <w:tcPr>
            <w:tcW w:w="1474" w:type="dxa"/>
            <w:vAlign w:val="center"/>
          </w:tcPr>
          <w:p w14:paraId="0D187463">
            <w:pPr>
              <w:pStyle w:val="11"/>
            </w:pPr>
          </w:p>
        </w:tc>
        <w:tc>
          <w:tcPr>
            <w:tcW w:w="1474" w:type="dxa"/>
            <w:vAlign w:val="center"/>
          </w:tcPr>
          <w:p w14:paraId="5384E81B">
            <w:pPr>
              <w:pStyle w:val="11"/>
            </w:pPr>
          </w:p>
        </w:tc>
      </w:tr>
      <w:tr w14:paraId="2341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87EC">
            <w:pPr>
              <w:pStyle w:val="13"/>
            </w:pPr>
            <w:r>
              <w:t>34</w:t>
            </w:r>
          </w:p>
        </w:tc>
        <w:tc>
          <w:tcPr>
            <w:tcW w:w="3402" w:type="dxa"/>
            <w:vAlign w:val="center"/>
          </w:tcPr>
          <w:p w14:paraId="750FC5CE">
            <w:pPr>
              <w:pStyle w:val="12"/>
            </w:pPr>
            <w:r>
              <w:t>一、一般公共预算拨款</w:t>
            </w:r>
          </w:p>
        </w:tc>
        <w:tc>
          <w:tcPr>
            <w:tcW w:w="1474" w:type="dxa"/>
            <w:vAlign w:val="center"/>
          </w:tcPr>
          <w:p w14:paraId="15CD9DDC">
            <w:pPr>
              <w:pStyle w:val="11"/>
            </w:pPr>
          </w:p>
        </w:tc>
        <w:tc>
          <w:tcPr>
            <w:tcW w:w="3402" w:type="dxa"/>
            <w:vAlign w:val="center"/>
          </w:tcPr>
          <w:p w14:paraId="3A7F8520">
            <w:pPr>
              <w:pStyle w:val="12"/>
            </w:pPr>
          </w:p>
        </w:tc>
        <w:tc>
          <w:tcPr>
            <w:tcW w:w="1474" w:type="dxa"/>
            <w:vAlign w:val="center"/>
          </w:tcPr>
          <w:p w14:paraId="0041A6B1">
            <w:pPr>
              <w:pStyle w:val="11"/>
            </w:pPr>
          </w:p>
        </w:tc>
        <w:tc>
          <w:tcPr>
            <w:tcW w:w="1474" w:type="dxa"/>
            <w:vAlign w:val="center"/>
          </w:tcPr>
          <w:p w14:paraId="1F57614B">
            <w:pPr>
              <w:pStyle w:val="11"/>
            </w:pPr>
          </w:p>
        </w:tc>
        <w:tc>
          <w:tcPr>
            <w:tcW w:w="1474" w:type="dxa"/>
            <w:vAlign w:val="center"/>
          </w:tcPr>
          <w:p w14:paraId="5EC4F912">
            <w:pPr>
              <w:pStyle w:val="11"/>
            </w:pPr>
          </w:p>
        </w:tc>
        <w:tc>
          <w:tcPr>
            <w:tcW w:w="1474" w:type="dxa"/>
            <w:vAlign w:val="center"/>
          </w:tcPr>
          <w:p w14:paraId="4AE5D4FE">
            <w:pPr>
              <w:pStyle w:val="11"/>
            </w:pPr>
          </w:p>
        </w:tc>
      </w:tr>
      <w:tr w14:paraId="13CA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985D">
            <w:pPr>
              <w:pStyle w:val="13"/>
            </w:pPr>
            <w:r>
              <w:t>35</w:t>
            </w:r>
          </w:p>
        </w:tc>
        <w:tc>
          <w:tcPr>
            <w:tcW w:w="3402" w:type="dxa"/>
            <w:vAlign w:val="center"/>
          </w:tcPr>
          <w:p w14:paraId="1AE1A676">
            <w:pPr>
              <w:pStyle w:val="12"/>
            </w:pPr>
            <w:r>
              <w:t>二、政府性基金预算拨款</w:t>
            </w:r>
          </w:p>
        </w:tc>
        <w:tc>
          <w:tcPr>
            <w:tcW w:w="1474" w:type="dxa"/>
            <w:vAlign w:val="center"/>
          </w:tcPr>
          <w:p w14:paraId="0B2C1913">
            <w:pPr>
              <w:pStyle w:val="11"/>
            </w:pPr>
          </w:p>
        </w:tc>
        <w:tc>
          <w:tcPr>
            <w:tcW w:w="3402" w:type="dxa"/>
            <w:vAlign w:val="center"/>
          </w:tcPr>
          <w:p w14:paraId="58AD0841">
            <w:pPr>
              <w:pStyle w:val="12"/>
            </w:pPr>
          </w:p>
        </w:tc>
        <w:tc>
          <w:tcPr>
            <w:tcW w:w="1474" w:type="dxa"/>
            <w:vAlign w:val="center"/>
          </w:tcPr>
          <w:p w14:paraId="1FDDF500">
            <w:pPr>
              <w:pStyle w:val="11"/>
            </w:pPr>
          </w:p>
        </w:tc>
        <w:tc>
          <w:tcPr>
            <w:tcW w:w="1474" w:type="dxa"/>
            <w:vAlign w:val="center"/>
          </w:tcPr>
          <w:p w14:paraId="5450750A">
            <w:pPr>
              <w:pStyle w:val="11"/>
            </w:pPr>
          </w:p>
        </w:tc>
        <w:tc>
          <w:tcPr>
            <w:tcW w:w="1474" w:type="dxa"/>
            <w:vAlign w:val="center"/>
          </w:tcPr>
          <w:p w14:paraId="35EDBA90">
            <w:pPr>
              <w:pStyle w:val="11"/>
            </w:pPr>
          </w:p>
        </w:tc>
        <w:tc>
          <w:tcPr>
            <w:tcW w:w="1474" w:type="dxa"/>
            <w:vAlign w:val="center"/>
          </w:tcPr>
          <w:p w14:paraId="3D10AEBE">
            <w:pPr>
              <w:pStyle w:val="11"/>
            </w:pPr>
          </w:p>
        </w:tc>
      </w:tr>
      <w:tr w14:paraId="42275FE0">
        <w:tblPrEx>
          <w:tblCellMar>
            <w:top w:w="0" w:type="dxa"/>
            <w:left w:w="108" w:type="dxa"/>
            <w:bottom w:w="0" w:type="dxa"/>
            <w:right w:w="108" w:type="dxa"/>
          </w:tblCellMar>
        </w:tblPrEx>
        <w:trPr>
          <w:trHeight w:val="369" w:hRule="atLeast"/>
          <w:jc w:val="center"/>
        </w:trPr>
        <w:tc>
          <w:tcPr>
            <w:tcW w:w="850" w:type="dxa"/>
            <w:vAlign w:val="center"/>
          </w:tcPr>
          <w:p w14:paraId="288588C9">
            <w:pPr>
              <w:pStyle w:val="13"/>
            </w:pPr>
            <w:r>
              <w:t>36</w:t>
            </w:r>
          </w:p>
        </w:tc>
        <w:tc>
          <w:tcPr>
            <w:tcW w:w="3402" w:type="dxa"/>
            <w:vAlign w:val="center"/>
          </w:tcPr>
          <w:p w14:paraId="45CFFD58">
            <w:pPr>
              <w:pStyle w:val="12"/>
            </w:pPr>
            <w:r>
              <w:t>三、国有资本经营预算拨款</w:t>
            </w:r>
          </w:p>
        </w:tc>
        <w:tc>
          <w:tcPr>
            <w:tcW w:w="1474" w:type="dxa"/>
            <w:vAlign w:val="center"/>
          </w:tcPr>
          <w:p w14:paraId="2064A5DE">
            <w:pPr>
              <w:pStyle w:val="11"/>
            </w:pPr>
          </w:p>
        </w:tc>
        <w:tc>
          <w:tcPr>
            <w:tcW w:w="3402" w:type="dxa"/>
            <w:vAlign w:val="center"/>
          </w:tcPr>
          <w:p w14:paraId="6D60554D">
            <w:pPr>
              <w:pStyle w:val="12"/>
            </w:pPr>
          </w:p>
        </w:tc>
        <w:tc>
          <w:tcPr>
            <w:tcW w:w="1474" w:type="dxa"/>
            <w:vAlign w:val="center"/>
          </w:tcPr>
          <w:p w14:paraId="073A051C">
            <w:pPr>
              <w:pStyle w:val="11"/>
            </w:pPr>
          </w:p>
        </w:tc>
        <w:tc>
          <w:tcPr>
            <w:tcW w:w="1474" w:type="dxa"/>
            <w:vAlign w:val="center"/>
          </w:tcPr>
          <w:p w14:paraId="4F9CAC21">
            <w:pPr>
              <w:pStyle w:val="11"/>
            </w:pPr>
          </w:p>
        </w:tc>
        <w:tc>
          <w:tcPr>
            <w:tcW w:w="1474" w:type="dxa"/>
            <w:vAlign w:val="center"/>
          </w:tcPr>
          <w:p w14:paraId="4005C91D">
            <w:pPr>
              <w:pStyle w:val="11"/>
            </w:pPr>
          </w:p>
        </w:tc>
        <w:tc>
          <w:tcPr>
            <w:tcW w:w="1474" w:type="dxa"/>
            <w:vAlign w:val="center"/>
          </w:tcPr>
          <w:p w14:paraId="79EB783B">
            <w:pPr>
              <w:pStyle w:val="11"/>
            </w:pPr>
          </w:p>
        </w:tc>
      </w:tr>
      <w:tr w14:paraId="11684F80">
        <w:tblPrEx>
          <w:tblCellMar>
            <w:top w:w="0" w:type="dxa"/>
            <w:left w:w="108" w:type="dxa"/>
            <w:bottom w:w="0" w:type="dxa"/>
            <w:right w:w="108" w:type="dxa"/>
          </w:tblCellMar>
        </w:tblPrEx>
        <w:trPr>
          <w:trHeight w:val="369" w:hRule="atLeast"/>
          <w:jc w:val="center"/>
        </w:trPr>
        <w:tc>
          <w:tcPr>
            <w:tcW w:w="850" w:type="dxa"/>
            <w:vAlign w:val="center"/>
          </w:tcPr>
          <w:p w14:paraId="5167F6A4">
            <w:pPr>
              <w:pStyle w:val="13"/>
            </w:pPr>
            <w:r>
              <w:t>37</w:t>
            </w:r>
          </w:p>
        </w:tc>
        <w:tc>
          <w:tcPr>
            <w:tcW w:w="3402" w:type="dxa"/>
            <w:vAlign w:val="center"/>
          </w:tcPr>
          <w:p w14:paraId="10BE1170">
            <w:pPr>
              <w:pStyle w:val="14"/>
            </w:pPr>
            <w:r>
              <w:t>收入总计</w:t>
            </w:r>
          </w:p>
        </w:tc>
        <w:tc>
          <w:tcPr>
            <w:tcW w:w="1474" w:type="dxa"/>
            <w:vAlign w:val="center"/>
          </w:tcPr>
          <w:p w14:paraId="089C8A4A">
            <w:pPr>
              <w:pStyle w:val="15"/>
            </w:pPr>
            <w:r>
              <w:t>713.61</w:t>
            </w:r>
          </w:p>
        </w:tc>
        <w:tc>
          <w:tcPr>
            <w:tcW w:w="3402" w:type="dxa"/>
            <w:vAlign w:val="center"/>
          </w:tcPr>
          <w:p w14:paraId="24CFFCB1">
            <w:pPr>
              <w:pStyle w:val="14"/>
            </w:pPr>
            <w:r>
              <w:t>支出总计</w:t>
            </w:r>
          </w:p>
        </w:tc>
        <w:tc>
          <w:tcPr>
            <w:tcW w:w="1474" w:type="dxa"/>
            <w:vAlign w:val="center"/>
          </w:tcPr>
          <w:p w14:paraId="7CE182A5">
            <w:pPr>
              <w:pStyle w:val="15"/>
            </w:pPr>
            <w:r>
              <w:t>713.61</w:t>
            </w:r>
          </w:p>
        </w:tc>
        <w:tc>
          <w:tcPr>
            <w:tcW w:w="1474" w:type="dxa"/>
            <w:vAlign w:val="center"/>
          </w:tcPr>
          <w:p w14:paraId="595B3710">
            <w:pPr>
              <w:pStyle w:val="15"/>
            </w:pPr>
            <w:r>
              <w:t>713.61</w:t>
            </w:r>
          </w:p>
        </w:tc>
        <w:tc>
          <w:tcPr>
            <w:tcW w:w="1474" w:type="dxa"/>
            <w:vAlign w:val="center"/>
          </w:tcPr>
          <w:p w14:paraId="618AC313">
            <w:pPr>
              <w:pStyle w:val="15"/>
            </w:pPr>
          </w:p>
        </w:tc>
        <w:tc>
          <w:tcPr>
            <w:tcW w:w="1474" w:type="dxa"/>
            <w:vAlign w:val="center"/>
          </w:tcPr>
          <w:p w14:paraId="1BABD0C2">
            <w:pPr>
              <w:pStyle w:val="15"/>
            </w:pPr>
          </w:p>
        </w:tc>
      </w:tr>
    </w:tbl>
    <w:p w14:paraId="0347594A">
      <w:pPr>
        <w:sectPr>
          <w:pgSz w:w="16840" w:h="11900" w:orient="landscape"/>
          <w:pgMar w:top="1361" w:right="1020" w:bottom="1134" w:left="1020" w:header="720" w:footer="720" w:gutter="0"/>
          <w:cols w:space="720" w:num="1"/>
        </w:sectPr>
      </w:pPr>
    </w:p>
    <w:p w14:paraId="191CBE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76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4D73CD">
            <w:pPr>
              <w:pStyle w:val="9"/>
            </w:pPr>
            <w:r>
              <w:t>360034隆尧县莲子中学</w:t>
            </w:r>
          </w:p>
        </w:tc>
        <w:tc>
          <w:tcPr>
            <w:tcW w:w="2551" w:type="dxa"/>
            <w:tcBorders>
              <w:top w:val="single" w:color="FFFFFF" w:sz="6" w:space="0"/>
              <w:left w:val="single" w:color="FFFFFF" w:sz="6" w:space="0"/>
              <w:right w:val="single" w:color="FFFFFF" w:sz="6" w:space="0"/>
            </w:tcBorders>
            <w:vAlign w:val="center"/>
          </w:tcPr>
          <w:p w14:paraId="0F1884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923FE1">
            <w:pPr>
              <w:pStyle w:val="7"/>
            </w:pPr>
            <w:r>
              <w:t>单位：万元</w:t>
            </w:r>
          </w:p>
        </w:tc>
      </w:tr>
      <w:tr w14:paraId="2CCE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77166">
            <w:pPr>
              <w:pStyle w:val="10"/>
            </w:pPr>
            <w:r>
              <w:t>序号</w:t>
            </w:r>
          </w:p>
        </w:tc>
        <w:tc>
          <w:tcPr>
            <w:tcW w:w="5726" w:type="dxa"/>
            <w:gridSpan w:val="2"/>
            <w:vAlign w:val="center"/>
          </w:tcPr>
          <w:p w14:paraId="6B7FF3B3">
            <w:pPr>
              <w:pStyle w:val="10"/>
            </w:pPr>
            <w:r>
              <w:t>功能分类科目</w:t>
            </w:r>
          </w:p>
        </w:tc>
        <w:tc>
          <w:tcPr>
            <w:tcW w:w="2551" w:type="dxa"/>
            <w:vMerge w:val="restart"/>
            <w:vAlign w:val="center"/>
          </w:tcPr>
          <w:p w14:paraId="1A2BA675">
            <w:pPr>
              <w:pStyle w:val="10"/>
            </w:pPr>
            <w:r>
              <w:t>合计</w:t>
            </w:r>
          </w:p>
        </w:tc>
        <w:tc>
          <w:tcPr>
            <w:tcW w:w="2551" w:type="dxa"/>
            <w:vMerge w:val="restart"/>
            <w:vAlign w:val="center"/>
          </w:tcPr>
          <w:p w14:paraId="0B9810C5">
            <w:pPr>
              <w:pStyle w:val="10"/>
            </w:pPr>
            <w:r>
              <w:t>基本支出</w:t>
            </w:r>
          </w:p>
        </w:tc>
        <w:tc>
          <w:tcPr>
            <w:tcW w:w="2551" w:type="dxa"/>
            <w:vMerge w:val="restart"/>
            <w:vAlign w:val="center"/>
          </w:tcPr>
          <w:p w14:paraId="6C17AEE9">
            <w:pPr>
              <w:pStyle w:val="10"/>
            </w:pPr>
            <w:r>
              <w:t>项目支出</w:t>
            </w:r>
          </w:p>
        </w:tc>
      </w:tr>
      <w:tr w14:paraId="1942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A3A58F"/>
        </w:tc>
        <w:tc>
          <w:tcPr>
            <w:tcW w:w="1191" w:type="dxa"/>
            <w:vAlign w:val="center"/>
          </w:tcPr>
          <w:p w14:paraId="566CAF6D">
            <w:pPr>
              <w:pStyle w:val="10"/>
            </w:pPr>
            <w:r>
              <w:t>科目编码</w:t>
            </w:r>
          </w:p>
        </w:tc>
        <w:tc>
          <w:tcPr>
            <w:tcW w:w="4535" w:type="dxa"/>
            <w:vAlign w:val="center"/>
          </w:tcPr>
          <w:p w14:paraId="7F1A271F">
            <w:pPr>
              <w:pStyle w:val="10"/>
            </w:pPr>
            <w:r>
              <w:t>科目名称</w:t>
            </w:r>
          </w:p>
        </w:tc>
        <w:tc>
          <w:tcPr>
            <w:tcW w:w="2551" w:type="dxa"/>
            <w:vMerge w:val="continue"/>
          </w:tcPr>
          <w:p w14:paraId="7210EB5D"/>
        </w:tc>
        <w:tc>
          <w:tcPr>
            <w:tcW w:w="2551" w:type="dxa"/>
            <w:vMerge w:val="continue"/>
          </w:tcPr>
          <w:p w14:paraId="08B1CF29"/>
        </w:tc>
        <w:tc>
          <w:tcPr>
            <w:tcW w:w="2551" w:type="dxa"/>
            <w:vMerge w:val="continue"/>
          </w:tcPr>
          <w:p w14:paraId="4B827232"/>
        </w:tc>
      </w:tr>
      <w:tr w14:paraId="4171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E4325E">
            <w:pPr>
              <w:pStyle w:val="10"/>
            </w:pPr>
            <w:r>
              <w:t>栏次</w:t>
            </w:r>
          </w:p>
        </w:tc>
        <w:tc>
          <w:tcPr>
            <w:tcW w:w="1191" w:type="dxa"/>
            <w:vAlign w:val="center"/>
          </w:tcPr>
          <w:p w14:paraId="7E95E188">
            <w:pPr>
              <w:pStyle w:val="10"/>
            </w:pPr>
            <w:r>
              <w:t>1</w:t>
            </w:r>
          </w:p>
        </w:tc>
        <w:tc>
          <w:tcPr>
            <w:tcW w:w="4535" w:type="dxa"/>
            <w:vAlign w:val="center"/>
          </w:tcPr>
          <w:p w14:paraId="7FE95358">
            <w:pPr>
              <w:pStyle w:val="10"/>
            </w:pPr>
            <w:r>
              <w:t>2</w:t>
            </w:r>
          </w:p>
        </w:tc>
        <w:tc>
          <w:tcPr>
            <w:tcW w:w="2551" w:type="dxa"/>
            <w:vAlign w:val="center"/>
          </w:tcPr>
          <w:p w14:paraId="02967B1E">
            <w:pPr>
              <w:pStyle w:val="10"/>
            </w:pPr>
            <w:r>
              <w:t>3</w:t>
            </w:r>
          </w:p>
        </w:tc>
        <w:tc>
          <w:tcPr>
            <w:tcW w:w="2551" w:type="dxa"/>
            <w:vAlign w:val="center"/>
          </w:tcPr>
          <w:p w14:paraId="0C552374">
            <w:pPr>
              <w:pStyle w:val="10"/>
            </w:pPr>
            <w:r>
              <w:t>4</w:t>
            </w:r>
          </w:p>
        </w:tc>
        <w:tc>
          <w:tcPr>
            <w:tcW w:w="2551" w:type="dxa"/>
            <w:vAlign w:val="center"/>
          </w:tcPr>
          <w:p w14:paraId="5532B893">
            <w:pPr>
              <w:pStyle w:val="10"/>
            </w:pPr>
            <w:r>
              <w:t>5</w:t>
            </w:r>
          </w:p>
        </w:tc>
      </w:tr>
      <w:tr w14:paraId="11323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B667F">
            <w:pPr>
              <w:pStyle w:val="13"/>
            </w:pPr>
            <w:r>
              <w:t>1</w:t>
            </w:r>
          </w:p>
        </w:tc>
        <w:tc>
          <w:tcPr>
            <w:tcW w:w="1191" w:type="dxa"/>
            <w:vAlign w:val="center"/>
          </w:tcPr>
          <w:p w14:paraId="19733991">
            <w:pPr>
              <w:pStyle w:val="16"/>
            </w:pPr>
          </w:p>
        </w:tc>
        <w:tc>
          <w:tcPr>
            <w:tcW w:w="4535" w:type="dxa"/>
            <w:vAlign w:val="center"/>
          </w:tcPr>
          <w:p w14:paraId="79B72049">
            <w:pPr>
              <w:pStyle w:val="14"/>
            </w:pPr>
            <w:r>
              <w:t>合计</w:t>
            </w:r>
          </w:p>
        </w:tc>
        <w:tc>
          <w:tcPr>
            <w:tcW w:w="2551" w:type="dxa"/>
            <w:vAlign w:val="center"/>
          </w:tcPr>
          <w:p w14:paraId="37EE5BF7">
            <w:pPr>
              <w:pStyle w:val="15"/>
            </w:pPr>
            <w:r>
              <w:t>713.61</w:t>
            </w:r>
          </w:p>
        </w:tc>
        <w:tc>
          <w:tcPr>
            <w:tcW w:w="2551" w:type="dxa"/>
            <w:vAlign w:val="center"/>
          </w:tcPr>
          <w:p w14:paraId="1CED6C42">
            <w:pPr>
              <w:pStyle w:val="15"/>
            </w:pPr>
            <w:r>
              <w:t>586.82</w:t>
            </w:r>
          </w:p>
        </w:tc>
        <w:tc>
          <w:tcPr>
            <w:tcW w:w="2551" w:type="dxa"/>
            <w:vAlign w:val="center"/>
          </w:tcPr>
          <w:p w14:paraId="0C08A46C">
            <w:pPr>
              <w:pStyle w:val="15"/>
            </w:pPr>
            <w:r>
              <w:t>126.79</w:t>
            </w:r>
          </w:p>
        </w:tc>
      </w:tr>
      <w:tr w14:paraId="4555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0CE01">
            <w:pPr>
              <w:pStyle w:val="13"/>
            </w:pPr>
            <w:r>
              <w:t>2</w:t>
            </w:r>
          </w:p>
        </w:tc>
        <w:tc>
          <w:tcPr>
            <w:tcW w:w="1191" w:type="dxa"/>
            <w:vAlign w:val="center"/>
          </w:tcPr>
          <w:p w14:paraId="71DD10D5">
            <w:pPr>
              <w:pStyle w:val="12"/>
            </w:pPr>
            <w:r>
              <w:t>205</w:t>
            </w:r>
          </w:p>
        </w:tc>
        <w:tc>
          <w:tcPr>
            <w:tcW w:w="4535" w:type="dxa"/>
            <w:vAlign w:val="center"/>
          </w:tcPr>
          <w:p w14:paraId="74A20E58">
            <w:pPr>
              <w:pStyle w:val="12"/>
            </w:pPr>
            <w:r>
              <w:t>教育支出</w:t>
            </w:r>
          </w:p>
        </w:tc>
        <w:tc>
          <w:tcPr>
            <w:tcW w:w="2551" w:type="dxa"/>
            <w:vAlign w:val="center"/>
          </w:tcPr>
          <w:p w14:paraId="73528FAF">
            <w:pPr>
              <w:pStyle w:val="11"/>
            </w:pPr>
            <w:r>
              <w:t>713.61</w:t>
            </w:r>
          </w:p>
        </w:tc>
        <w:tc>
          <w:tcPr>
            <w:tcW w:w="2551" w:type="dxa"/>
            <w:vAlign w:val="center"/>
          </w:tcPr>
          <w:p w14:paraId="11A2556F">
            <w:pPr>
              <w:pStyle w:val="11"/>
            </w:pPr>
            <w:r>
              <w:t>586.82</w:t>
            </w:r>
          </w:p>
        </w:tc>
        <w:tc>
          <w:tcPr>
            <w:tcW w:w="2551" w:type="dxa"/>
            <w:vAlign w:val="center"/>
          </w:tcPr>
          <w:p w14:paraId="2EF2A250">
            <w:pPr>
              <w:pStyle w:val="11"/>
            </w:pPr>
            <w:r>
              <w:t>126.79</w:t>
            </w:r>
          </w:p>
        </w:tc>
      </w:tr>
      <w:tr w14:paraId="334D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07D6">
            <w:pPr>
              <w:pStyle w:val="13"/>
            </w:pPr>
            <w:r>
              <w:t>3</w:t>
            </w:r>
          </w:p>
        </w:tc>
        <w:tc>
          <w:tcPr>
            <w:tcW w:w="1191" w:type="dxa"/>
            <w:vAlign w:val="center"/>
          </w:tcPr>
          <w:p w14:paraId="57719239">
            <w:pPr>
              <w:pStyle w:val="12"/>
            </w:pPr>
            <w:r>
              <w:t>20502</w:t>
            </w:r>
          </w:p>
        </w:tc>
        <w:tc>
          <w:tcPr>
            <w:tcW w:w="4535" w:type="dxa"/>
            <w:vAlign w:val="center"/>
          </w:tcPr>
          <w:p w14:paraId="5C59580A">
            <w:pPr>
              <w:pStyle w:val="12"/>
            </w:pPr>
            <w:r>
              <w:t>普通教育</w:t>
            </w:r>
          </w:p>
        </w:tc>
        <w:tc>
          <w:tcPr>
            <w:tcW w:w="2551" w:type="dxa"/>
            <w:vAlign w:val="center"/>
          </w:tcPr>
          <w:p w14:paraId="79619F3E">
            <w:pPr>
              <w:pStyle w:val="11"/>
            </w:pPr>
            <w:r>
              <w:t>713.61</w:t>
            </w:r>
          </w:p>
        </w:tc>
        <w:tc>
          <w:tcPr>
            <w:tcW w:w="2551" w:type="dxa"/>
            <w:vAlign w:val="center"/>
          </w:tcPr>
          <w:p w14:paraId="546F1450">
            <w:pPr>
              <w:pStyle w:val="11"/>
            </w:pPr>
            <w:r>
              <w:t>586.82</w:t>
            </w:r>
          </w:p>
        </w:tc>
        <w:tc>
          <w:tcPr>
            <w:tcW w:w="2551" w:type="dxa"/>
            <w:vAlign w:val="center"/>
          </w:tcPr>
          <w:p w14:paraId="5862D4F7">
            <w:pPr>
              <w:pStyle w:val="11"/>
            </w:pPr>
            <w:r>
              <w:t>126.79</w:t>
            </w:r>
          </w:p>
        </w:tc>
      </w:tr>
      <w:tr w14:paraId="0274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BEA43">
            <w:pPr>
              <w:pStyle w:val="13"/>
            </w:pPr>
            <w:r>
              <w:t>4</w:t>
            </w:r>
          </w:p>
        </w:tc>
        <w:tc>
          <w:tcPr>
            <w:tcW w:w="1191" w:type="dxa"/>
            <w:vAlign w:val="center"/>
          </w:tcPr>
          <w:p w14:paraId="49B722B8">
            <w:pPr>
              <w:pStyle w:val="12"/>
            </w:pPr>
            <w:r>
              <w:t>2050203</w:t>
            </w:r>
          </w:p>
        </w:tc>
        <w:tc>
          <w:tcPr>
            <w:tcW w:w="4535" w:type="dxa"/>
            <w:vAlign w:val="center"/>
          </w:tcPr>
          <w:p w14:paraId="6FCE7EC6">
            <w:pPr>
              <w:pStyle w:val="12"/>
            </w:pPr>
            <w:r>
              <w:t>初中教育</w:t>
            </w:r>
          </w:p>
        </w:tc>
        <w:tc>
          <w:tcPr>
            <w:tcW w:w="2551" w:type="dxa"/>
            <w:vAlign w:val="center"/>
          </w:tcPr>
          <w:p w14:paraId="327CAB79">
            <w:pPr>
              <w:pStyle w:val="11"/>
            </w:pPr>
            <w:r>
              <w:t>713.61</w:t>
            </w:r>
          </w:p>
        </w:tc>
        <w:tc>
          <w:tcPr>
            <w:tcW w:w="2551" w:type="dxa"/>
            <w:vAlign w:val="center"/>
          </w:tcPr>
          <w:p w14:paraId="449626EC">
            <w:pPr>
              <w:pStyle w:val="11"/>
            </w:pPr>
            <w:r>
              <w:t>586.82</w:t>
            </w:r>
          </w:p>
        </w:tc>
        <w:tc>
          <w:tcPr>
            <w:tcW w:w="2551" w:type="dxa"/>
            <w:vAlign w:val="center"/>
          </w:tcPr>
          <w:p w14:paraId="67EA36A2">
            <w:pPr>
              <w:pStyle w:val="11"/>
            </w:pPr>
            <w:r>
              <w:t>126.79</w:t>
            </w:r>
          </w:p>
        </w:tc>
      </w:tr>
    </w:tbl>
    <w:p w14:paraId="5FBD4420">
      <w:pPr>
        <w:sectPr>
          <w:pgSz w:w="16840" w:h="11900" w:orient="landscape"/>
          <w:pgMar w:top="1361" w:right="1020" w:bottom="1134" w:left="1020" w:header="720" w:footer="720" w:gutter="0"/>
          <w:cols w:space="720" w:num="1"/>
        </w:sectPr>
      </w:pPr>
    </w:p>
    <w:p w14:paraId="03FA1E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36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613B1A">
            <w:pPr>
              <w:pStyle w:val="9"/>
            </w:pPr>
            <w:r>
              <w:t>360034隆尧县莲子中学</w:t>
            </w:r>
          </w:p>
        </w:tc>
        <w:tc>
          <w:tcPr>
            <w:tcW w:w="2551" w:type="dxa"/>
            <w:tcBorders>
              <w:top w:val="single" w:color="FFFFFF" w:sz="6" w:space="0"/>
              <w:left w:val="single" w:color="FFFFFF" w:sz="6" w:space="0"/>
              <w:right w:val="single" w:color="FFFFFF" w:sz="6" w:space="0"/>
            </w:tcBorders>
            <w:vAlign w:val="center"/>
          </w:tcPr>
          <w:p w14:paraId="6BA261E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AF68FA">
            <w:pPr>
              <w:pStyle w:val="7"/>
            </w:pPr>
            <w:r>
              <w:t>单位：万元</w:t>
            </w:r>
          </w:p>
        </w:tc>
      </w:tr>
      <w:tr w14:paraId="1815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29CB9">
            <w:pPr>
              <w:pStyle w:val="10"/>
            </w:pPr>
            <w:r>
              <w:t>序号</w:t>
            </w:r>
          </w:p>
        </w:tc>
        <w:tc>
          <w:tcPr>
            <w:tcW w:w="5726" w:type="dxa"/>
            <w:gridSpan w:val="2"/>
            <w:vAlign w:val="center"/>
          </w:tcPr>
          <w:p w14:paraId="4D8D8770">
            <w:pPr>
              <w:pStyle w:val="10"/>
            </w:pPr>
            <w:r>
              <w:t>支出部门经济分类科目</w:t>
            </w:r>
          </w:p>
        </w:tc>
        <w:tc>
          <w:tcPr>
            <w:tcW w:w="7653" w:type="dxa"/>
            <w:gridSpan w:val="3"/>
            <w:vAlign w:val="center"/>
          </w:tcPr>
          <w:p w14:paraId="2D2E33E7">
            <w:pPr>
              <w:pStyle w:val="10"/>
            </w:pPr>
            <w:r>
              <w:t>一般公共预算基本支出</w:t>
            </w:r>
          </w:p>
        </w:tc>
      </w:tr>
      <w:tr w14:paraId="163E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0402B"/>
        </w:tc>
        <w:tc>
          <w:tcPr>
            <w:tcW w:w="1191" w:type="dxa"/>
            <w:vAlign w:val="center"/>
          </w:tcPr>
          <w:p w14:paraId="1C9C0AAC">
            <w:pPr>
              <w:pStyle w:val="10"/>
            </w:pPr>
            <w:r>
              <w:t>科目编码</w:t>
            </w:r>
          </w:p>
        </w:tc>
        <w:tc>
          <w:tcPr>
            <w:tcW w:w="4535" w:type="dxa"/>
            <w:vAlign w:val="center"/>
          </w:tcPr>
          <w:p w14:paraId="01FE0779">
            <w:pPr>
              <w:pStyle w:val="10"/>
            </w:pPr>
            <w:r>
              <w:t>科目名称</w:t>
            </w:r>
          </w:p>
        </w:tc>
        <w:tc>
          <w:tcPr>
            <w:tcW w:w="2551" w:type="dxa"/>
            <w:vAlign w:val="center"/>
          </w:tcPr>
          <w:p w14:paraId="344CFDDC">
            <w:pPr>
              <w:pStyle w:val="10"/>
            </w:pPr>
            <w:r>
              <w:t>合计</w:t>
            </w:r>
          </w:p>
        </w:tc>
        <w:tc>
          <w:tcPr>
            <w:tcW w:w="2551" w:type="dxa"/>
            <w:vAlign w:val="center"/>
          </w:tcPr>
          <w:p w14:paraId="3CEA7215">
            <w:pPr>
              <w:pStyle w:val="10"/>
            </w:pPr>
            <w:r>
              <w:t>人员经费</w:t>
            </w:r>
          </w:p>
        </w:tc>
        <w:tc>
          <w:tcPr>
            <w:tcW w:w="2551" w:type="dxa"/>
            <w:vAlign w:val="center"/>
          </w:tcPr>
          <w:p w14:paraId="7B708939">
            <w:pPr>
              <w:pStyle w:val="10"/>
            </w:pPr>
            <w:r>
              <w:t>公用经费</w:t>
            </w:r>
          </w:p>
        </w:tc>
      </w:tr>
      <w:tr w14:paraId="4214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29A57">
            <w:pPr>
              <w:pStyle w:val="10"/>
            </w:pPr>
            <w:r>
              <w:t>栏次</w:t>
            </w:r>
          </w:p>
        </w:tc>
        <w:tc>
          <w:tcPr>
            <w:tcW w:w="1191" w:type="dxa"/>
            <w:vAlign w:val="center"/>
          </w:tcPr>
          <w:p w14:paraId="65DCDC13">
            <w:pPr>
              <w:pStyle w:val="10"/>
            </w:pPr>
            <w:r>
              <w:t>1</w:t>
            </w:r>
          </w:p>
        </w:tc>
        <w:tc>
          <w:tcPr>
            <w:tcW w:w="4535" w:type="dxa"/>
            <w:vAlign w:val="center"/>
          </w:tcPr>
          <w:p w14:paraId="42A506A5">
            <w:pPr>
              <w:pStyle w:val="10"/>
            </w:pPr>
            <w:r>
              <w:t>2</w:t>
            </w:r>
          </w:p>
        </w:tc>
        <w:tc>
          <w:tcPr>
            <w:tcW w:w="2551" w:type="dxa"/>
            <w:vAlign w:val="center"/>
          </w:tcPr>
          <w:p w14:paraId="44C2AD77">
            <w:pPr>
              <w:pStyle w:val="10"/>
            </w:pPr>
            <w:r>
              <w:t>3</w:t>
            </w:r>
          </w:p>
        </w:tc>
        <w:tc>
          <w:tcPr>
            <w:tcW w:w="2551" w:type="dxa"/>
            <w:vAlign w:val="center"/>
          </w:tcPr>
          <w:p w14:paraId="2AEF9ECE">
            <w:pPr>
              <w:pStyle w:val="10"/>
            </w:pPr>
            <w:r>
              <w:t>4</w:t>
            </w:r>
          </w:p>
        </w:tc>
        <w:tc>
          <w:tcPr>
            <w:tcW w:w="2551" w:type="dxa"/>
            <w:vAlign w:val="center"/>
          </w:tcPr>
          <w:p w14:paraId="3B9B5661">
            <w:pPr>
              <w:pStyle w:val="10"/>
            </w:pPr>
            <w:r>
              <w:t>5</w:t>
            </w:r>
          </w:p>
        </w:tc>
      </w:tr>
      <w:tr w14:paraId="0380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72299">
            <w:pPr>
              <w:pStyle w:val="13"/>
            </w:pPr>
            <w:r>
              <w:t>1</w:t>
            </w:r>
          </w:p>
        </w:tc>
        <w:tc>
          <w:tcPr>
            <w:tcW w:w="1191" w:type="dxa"/>
            <w:vAlign w:val="center"/>
          </w:tcPr>
          <w:p w14:paraId="0FE2D0F4">
            <w:pPr>
              <w:pStyle w:val="16"/>
            </w:pPr>
          </w:p>
        </w:tc>
        <w:tc>
          <w:tcPr>
            <w:tcW w:w="4535" w:type="dxa"/>
            <w:vAlign w:val="center"/>
          </w:tcPr>
          <w:p w14:paraId="5DAB010C">
            <w:pPr>
              <w:pStyle w:val="14"/>
            </w:pPr>
            <w:r>
              <w:t>合计</w:t>
            </w:r>
          </w:p>
        </w:tc>
        <w:tc>
          <w:tcPr>
            <w:tcW w:w="2551" w:type="dxa"/>
            <w:vAlign w:val="center"/>
          </w:tcPr>
          <w:p w14:paraId="79A7C7F1">
            <w:pPr>
              <w:pStyle w:val="15"/>
            </w:pPr>
            <w:r>
              <w:t>586.82</w:t>
            </w:r>
          </w:p>
        </w:tc>
        <w:tc>
          <w:tcPr>
            <w:tcW w:w="2551" w:type="dxa"/>
            <w:vAlign w:val="center"/>
          </w:tcPr>
          <w:p w14:paraId="103C2282">
            <w:pPr>
              <w:pStyle w:val="15"/>
            </w:pPr>
            <w:r>
              <w:t>586.82</w:t>
            </w:r>
          </w:p>
        </w:tc>
        <w:tc>
          <w:tcPr>
            <w:tcW w:w="2551" w:type="dxa"/>
            <w:vAlign w:val="center"/>
          </w:tcPr>
          <w:p w14:paraId="275EF3E7">
            <w:pPr>
              <w:pStyle w:val="15"/>
            </w:pPr>
          </w:p>
        </w:tc>
      </w:tr>
      <w:tr w14:paraId="2A70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F4CC1">
            <w:pPr>
              <w:pStyle w:val="13"/>
            </w:pPr>
            <w:r>
              <w:t>2</w:t>
            </w:r>
          </w:p>
        </w:tc>
        <w:tc>
          <w:tcPr>
            <w:tcW w:w="1191" w:type="dxa"/>
            <w:vAlign w:val="center"/>
          </w:tcPr>
          <w:p w14:paraId="248F15CA">
            <w:pPr>
              <w:pStyle w:val="12"/>
            </w:pPr>
            <w:r>
              <w:t>301</w:t>
            </w:r>
          </w:p>
        </w:tc>
        <w:tc>
          <w:tcPr>
            <w:tcW w:w="4535" w:type="dxa"/>
            <w:vAlign w:val="center"/>
          </w:tcPr>
          <w:p w14:paraId="57AE4FC5">
            <w:pPr>
              <w:pStyle w:val="12"/>
            </w:pPr>
            <w:r>
              <w:t>工资福利支出</w:t>
            </w:r>
          </w:p>
        </w:tc>
        <w:tc>
          <w:tcPr>
            <w:tcW w:w="2551" w:type="dxa"/>
            <w:vAlign w:val="center"/>
          </w:tcPr>
          <w:p w14:paraId="6AD1A12C">
            <w:pPr>
              <w:pStyle w:val="11"/>
            </w:pPr>
            <w:r>
              <w:t>582.20</w:t>
            </w:r>
          </w:p>
        </w:tc>
        <w:tc>
          <w:tcPr>
            <w:tcW w:w="2551" w:type="dxa"/>
            <w:vAlign w:val="center"/>
          </w:tcPr>
          <w:p w14:paraId="50F5487F">
            <w:pPr>
              <w:pStyle w:val="11"/>
            </w:pPr>
            <w:r>
              <w:t>582.20</w:t>
            </w:r>
          </w:p>
        </w:tc>
        <w:tc>
          <w:tcPr>
            <w:tcW w:w="2551" w:type="dxa"/>
            <w:vAlign w:val="center"/>
          </w:tcPr>
          <w:p w14:paraId="44297308">
            <w:pPr>
              <w:pStyle w:val="11"/>
            </w:pPr>
          </w:p>
        </w:tc>
      </w:tr>
      <w:tr w14:paraId="2119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FED45">
            <w:pPr>
              <w:pStyle w:val="13"/>
            </w:pPr>
            <w:r>
              <w:t>3</w:t>
            </w:r>
          </w:p>
        </w:tc>
        <w:tc>
          <w:tcPr>
            <w:tcW w:w="1191" w:type="dxa"/>
            <w:vAlign w:val="center"/>
          </w:tcPr>
          <w:p w14:paraId="221A96A6">
            <w:pPr>
              <w:pStyle w:val="12"/>
            </w:pPr>
            <w:r>
              <w:t>30101</w:t>
            </w:r>
          </w:p>
        </w:tc>
        <w:tc>
          <w:tcPr>
            <w:tcW w:w="4535" w:type="dxa"/>
            <w:vAlign w:val="center"/>
          </w:tcPr>
          <w:p w14:paraId="46937BFD">
            <w:pPr>
              <w:pStyle w:val="12"/>
            </w:pPr>
            <w:r>
              <w:t>基本工资</w:t>
            </w:r>
          </w:p>
        </w:tc>
        <w:tc>
          <w:tcPr>
            <w:tcW w:w="2551" w:type="dxa"/>
            <w:vAlign w:val="center"/>
          </w:tcPr>
          <w:p w14:paraId="334E556C">
            <w:pPr>
              <w:pStyle w:val="11"/>
            </w:pPr>
            <w:r>
              <w:t>277.18</w:t>
            </w:r>
          </w:p>
        </w:tc>
        <w:tc>
          <w:tcPr>
            <w:tcW w:w="2551" w:type="dxa"/>
            <w:vAlign w:val="center"/>
          </w:tcPr>
          <w:p w14:paraId="1BC7503E">
            <w:pPr>
              <w:pStyle w:val="11"/>
            </w:pPr>
            <w:r>
              <w:t>277.18</w:t>
            </w:r>
          </w:p>
        </w:tc>
        <w:tc>
          <w:tcPr>
            <w:tcW w:w="2551" w:type="dxa"/>
            <w:vAlign w:val="center"/>
          </w:tcPr>
          <w:p w14:paraId="410069E2">
            <w:pPr>
              <w:pStyle w:val="11"/>
            </w:pPr>
          </w:p>
        </w:tc>
      </w:tr>
      <w:tr w14:paraId="291F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676A">
            <w:pPr>
              <w:pStyle w:val="13"/>
            </w:pPr>
            <w:r>
              <w:t>4</w:t>
            </w:r>
          </w:p>
        </w:tc>
        <w:tc>
          <w:tcPr>
            <w:tcW w:w="1191" w:type="dxa"/>
            <w:vAlign w:val="center"/>
          </w:tcPr>
          <w:p w14:paraId="4B031B44">
            <w:pPr>
              <w:pStyle w:val="12"/>
            </w:pPr>
            <w:r>
              <w:t>30102</w:t>
            </w:r>
          </w:p>
        </w:tc>
        <w:tc>
          <w:tcPr>
            <w:tcW w:w="4535" w:type="dxa"/>
            <w:vAlign w:val="center"/>
          </w:tcPr>
          <w:p w14:paraId="750A41D1">
            <w:pPr>
              <w:pStyle w:val="12"/>
            </w:pPr>
            <w:r>
              <w:t>津贴补贴</w:t>
            </w:r>
          </w:p>
        </w:tc>
        <w:tc>
          <w:tcPr>
            <w:tcW w:w="2551" w:type="dxa"/>
            <w:vAlign w:val="center"/>
          </w:tcPr>
          <w:p w14:paraId="516B2683">
            <w:pPr>
              <w:pStyle w:val="11"/>
            </w:pPr>
            <w:r>
              <w:t>26.04</w:t>
            </w:r>
          </w:p>
        </w:tc>
        <w:tc>
          <w:tcPr>
            <w:tcW w:w="2551" w:type="dxa"/>
            <w:vAlign w:val="center"/>
          </w:tcPr>
          <w:p w14:paraId="5AADFDED">
            <w:pPr>
              <w:pStyle w:val="11"/>
            </w:pPr>
            <w:r>
              <w:t>26.04</w:t>
            </w:r>
          </w:p>
        </w:tc>
        <w:tc>
          <w:tcPr>
            <w:tcW w:w="2551" w:type="dxa"/>
            <w:vAlign w:val="center"/>
          </w:tcPr>
          <w:p w14:paraId="3C58D927">
            <w:pPr>
              <w:pStyle w:val="11"/>
            </w:pPr>
          </w:p>
        </w:tc>
      </w:tr>
      <w:tr w14:paraId="1237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6BCC">
            <w:pPr>
              <w:pStyle w:val="13"/>
            </w:pPr>
            <w:r>
              <w:t>5</w:t>
            </w:r>
          </w:p>
        </w:tc>
        <w:tc>
          <w:tcPr>
            <w:tcW w:w="1191" w:type="dxa"/>
            <w:vAlign w:val="center"/>
          </w:tcPr>
          <w:p w14:paraId="320AF10C">
            <w:pPr>
              <w:pStyle w:val="12"/>
            </w:pPr>
            <w:r>
              <w:t>30107</w:t>
            </w:r>
          </w:p>
        </w:tc>
        <w:tc>
          <w:tcPr>
            <w:tcW w:w="4535" w:type="dxa"/>
            <w:vAlign w:val="center"/>
          </w:tcPr>
          <w:p w14:paraId="016B95BC">
            <w:pPr>
              <w:pStyle w:val="12"/>
            </w:pPr>
            <w:r>
              <w:t>绩效工资</w:t>
            </w:r>
          </w:p>
        </w:tc>
        <w:tc>
          <w:tcPr>
            <w:tcW w:w="2551" w:type="dxa"/>
            <w:vAlign w:val="center"/>
          </w:tcPr>
          <w:p w14:paraId="6C703488">
            <w:pPr>
              <w:pStyle w:val="11"/>
            </w:pPr>
            <w:r>
              <w:t>144.72</w:t>
            </w:r>
          </w:p>
        </w:tc>
        <w:tc>
          <w:tcPr>
            <w:tcW w:w="2551" w:type="dxa"/>
            <w:vAlign w:val="center"/>
          </w:tcPr>
          <w:p w14:paraId="49E7840C">
            <w:pPr>
              <w:pStyle w:val="11"/>
            </w:pPr>
            <w:r>
              <w:t>144.72</w:t>
            </w:r>
          </w:p>
        </w:tc>
        <w:tc>
          <w:tcPr>
            <w:tcW w:w="2551" w:type="dxa"/>
            <w:vAlign w:val="center"/>
          </w:tcPr>
          <w:p w14:paraId="0E214EA1">
            <w:pPr>
              <w:pStyle w:val="11"/>
            </w:pPr>
          </w:p>
        </w:tc>
      </w:tr>
      <w:tr w14:paraId="7D92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AE578">
            <w:pPr>
              <w:pStyle w:val="13"/>
            </w:pPr>
            <w:r>
              <w:t>6</w:t>
            </w:r>
          </w:p>
        </w:tc>
        <w:tc>
          <w:tcPr>
            <w:tcW w:w="1191" w:type="dxa"/>
            <w:vAlign w:val="center"/>
          </w:tcPr>
          <w:p w14:paraId="1C0F12BD">
            <w:pPr>
              <w:pStyle w:val="12"/>
            </w:pPr>
            <w:r>
              <w:t>30108</w:t>
            </w:r>
          </w:p>
        </w:tc>
        <w:tc>
          <w:tcPr>
            <w:tcW w:w="4535" w:type="dxa"/>
            <w:vAlign w:val="center"/>
          </w:tcPr>
          <w:p w14:paraId="62ED9B0E">
            <w:pPr>
              <w:pStyle w:val="12"/>
            </w:pPr>
            <w:r>
              <w:t>机关事业单位基本养老保险缴费</w:t>
            </w:r>
          </w:p>
        </w:tc>
        <w:tc>
          <w:tcPr>
            <w:tcW w:w="2551" w:type="dxa"/>
            <w:vAlign w:val="center"/>
          </w:tcPr>
          <w:p w14:paraId="6353A342">
            <w:pPr>
              <w:pStyle w:val="11"/>
            </w:pPr>
            <w:r>
              <w:t>60.24</w:t>
            </w:r>
          </w:p>
        </w:tc>
        <w:tc>
          <w:tcPr>
            <w:tcW w:w="2551" w:type="dxa"/>
            <w:vAlign w:val="center"/>
          </w:tcPr>
          <w:p w14:paraId="7EAF22CB">
            <w:pPr>
              <w:pStyle w:val="11"/>
            </w:pPr>
            <w:r>
              <w:t>60.24</w:t>
            </w:r>
          </w:p>
        </w:tc>
        <w:tc>
          <w:tcPr>
            <w:tcW w:w="2551" w:type="dxa"/>
            <w:vAlign w:val="center"/>
          </w:tcPr>
          <w:p w14:paraId="7D1605DE">
            <w:pPr>
              <w:pStyle w:val="11"/>
            </w:pPr>
          </w:p>
        </w:tc>
      </w:tr>
      <w:tr w14:paraId="508D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6C83">
            <w:pPr>
              <w:pStyle w:val="13"/>
            </w:pPr>
            <w:r>
              <w:t>7</w:t>
            </w:r>
          </w:p>
        </w:tc>
        <w:tc>
          <w:tcPr>
            <w:tcW w:w="1191" w:type="dxa"/>
            <w:vAlign w:val="center"/>
          </w:tcPr>
          <w:p w14:paraId="2174B087">
            <w:pPr>
              <w:pStyle w:val="12"/>
            </w:pPr>
            <w:r>
              <w:t>30110</w:t>
            </w:r>
          </w:p>
        </w:tc>
        <w:tc>
          <w:tcPr>
            <w:tcW w:w="4535" w:type="dxa"/>
            <w:vAlign w:val="center"/>
          </w:tcPr>
          <w:p w14:paraId="11CE8C62">
            <w:pPr>
              <w:pStyle w:val="12"/>
            </w:pPr>
            <w:r>
              <w:t>职工基本医疗保险缴费</w:t>
            </w:r>
          </w:p>
        </w:tc>
        <w:tc>
          <w:tcPr>
            <w:tcW w:w="2551" w:type="dxa"/>
            <w:vAlign w:val="center"/>
          </w:tcPr>
          <w:p w14:paraId="315A0806">
            <w:pPr>
              <w:pStyle w:val="11"/>
            </w:pPr>
            <w:r>
              <w:t>27.32</w:t>
            </w:r>
          </w:p>
        </w:tc>
        <w:tc>
          <w:tcPr>
            <w:tcW w:w="2551" w:type="dxa"/>
            <w:vAlign w:val="center"/>
          </w:tcPr>
          <w:p w14:paraId="14103461">
            <w:pPr>
              <w:pStyle w:val="11"/>
            </w:pPr>
            <w:r>
              <w:t>27.32</w:t>
            </w:r>
          </w:p>
        </w:tc>
        <w:tc>
          <w:tcPr>
            <w:tcW w:w="2551" w:type="dxa"/>
            <w:vAlign w:val="center"/>
          </w:tcPr>
          <w:p w14:paraId="5F2FE5A9">
            <w:pPr>
              <w:pStyle w:val="11"/>
            </w:pPr>
          </w:p>
        </w:tc>
      </w:tr>
      <w:tr w14:paraId="57ED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D1C27">
            <w:pPr>
              <w:pStyle w:val="13"/>
            </w:pPr>
            <w:r>
              <w:t>8</w:t>
            </w:r>
          </w:p>
        </w:tc>
        <w:tc>
          <w:tcPr>
            <w:tcW w:w="1191" w:type="dxa"/>
            <w:vAlign w:val="center"/>
          </w:tcPr>
          <w:p w14:paraId="6416484E">
            <w:pPr>
              <w:pStyle w:val="12"/>
            </w:pPr>
            <w:r>
              <w:t>30112</w:t>
            </w:r>
          </w:p>
        </w:tc>
        <w:tc>
          <w:tcPr>
            <w:tcW w:w="4535" w:type="dxa"/>
            <w:vAlign w:val="center"/>
          </w:tcPr>
          <w:p w14:paraId="18613CBA">
            <w:pPr>
              <w:pStyle w:val="12"/>
            </w:pPr>
            <w:r>
              <w:t>其他社会保障缴费</w:t>
            </w:r>
          </w:p>
        </w:tc>
        <w:tc>
          <w:tcPr>
            <w:tcW w:w="2551" w:type="dxa"/>
            <w:vAlign w:val="center"/>
          </w:tcPr>
          <w:p w14:paraId="6B8A8D3F">
            <w:pPr>
              <w:pStyle w:val="11"/>
            </w:pPr>
            <w:r>
              <w:t>1.99</w:t>
            </w:r>
          </w:p>
        </w:tc>
        <w:tc>
          <w:tcPr>
            <w:tcW w:w="2551" w:type="dxa"/>
            <w:vAlign w:val="center"/>
          </w:tcPr>
          <w:p w14:paraId="03E9F96E">
            <w:pPr>
              <w:pStyle w:val="11"/>
            </w:pPr>
            <w:r>
              <w:t>1.99</w:t>
            </w:r>
          </w:p>
        </w:tc>
        <w:tc>
          <w:tcPr>
            <w:tcW w:w="2551" w:type="dxa"/>
            <w:vAlign w:val="center"/>
          </w:tcPr>
          <w:p w14:paraId="109A9C64">
            <w:pPr>
              <w:pStyle w:val="11"/>
            </w:pPr>
          </w:p>
        </w:tc>
      </w:tr>
      <w:tr w14:paraId="0EFA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17A7">
            <w:pPr>
              <w:pStyle w:val="13"/>
            </w:pPr>
            <w:r>
              <w:t>9</w:t>
            </w:r>
          </w:p>
        </w:tc>
        <w:tc>
          <w:tcPr>
            <w:tcW w:w="1191" w:type="dxa"/>
            <w:vAlign w:val="center"/>
          </w:tcPr>
          <w:p w14:paraId="7A8A97CD">
            <w:pPr>
              <w:pStyle w:val="12"/>
            </w:pPr>
            <w:r>
              <w:t>30113</w:t>
            </w:r>
          </w:p>
        </w:tc>
        <w:tc>
          <w:tcPr>
            <w:tcW w:w="4535" w:type="dxa"/>
            <w:vAlign w:val="center"/>
          </w:tcPr>
          <w:p w14:paraId="32DC0781">
            <w:pPr>
              <w:pStyle w:val="12"/>
            </w:pPr>
            <w:r>
              <w:t>住房公积金</w:t>
            </w:r>
          </w:p>
        </w:tc>
        <w:tc>
          <w:tcPr>
            <w:tcW w:w="2551" w:type="dxa"/>
            <w:vAlign w:val="center"/>
          </w:tcPr>
          <w:p w14:paraId="706BAB08">
            <w:pPr>
              <w:pStyle w:val="11"/>
            </w:pPr>
            <w:r>
              <w:t>44.72</w:t>
            </w:r>
          </w:p>
        </w:tc>
        <w:tc>
          <w:tcPr>
            <w:tcW w:w="2551" w:type="dxa"/>
            <w:vAlign w:val="center"/>
          </w:tcPr>
          <w:p w14:paraId="4310BEF3">
            <w:pPr>
              <w:pStyle w:val="11"/>
            </w:pPr>
            <w:r>
              <w:t>44.72</w:t>
            </w:r>
          </w:p>
        </w:tc>
        <w:tc>
          <w:tcPr>
            <w:tcW w:w="2551" w:type="dxa"/>
            <w:vAlign w:val="center"/>
          </w:tcPr>
          <w:p w14:paraId="1FD05E9C">
            <w:pPr>
              <w:pStyle w:val="11"/>
            </w:pPr>
          </w:p>
        </w:tc>
      </w:tr>
      <w:tr w14:paraId="24391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FF53">
            <w:pPr>
              <w:pStyle w:val="13"/>
            </w:pPr>
            <w:r>
              <w:t>10</w:t>
            </w:r>
          </w:p>
        </w:tc>
        <w:tc>
          <w:tcPr>
            <w:tcW w:w="1191" w:type="dxa"/>
            <w:vAlign w:val="center"/>
          </w:tcPr>
          <w:p w14:paraId="14FE5256">
            <w:pPr>
              <w:pStyle w:val="12"/>
            </w:pPr>
            <w:r>
              <w:t>303</w:t>
            </w:r>
          </w:p>
        </w:tc>
        <w:tc>
          <w:tcPr>
            <w:tcW w:w="4535" w:type="dxa"/>
            <w:vAlign w:val="center"/>
          </w:tcPr>
          <w:p w14:paraId="3DA557B0">
            <w:pPr>
              <w:pStyle w:val="12"/>
            </w:pPr>
            <w:r>
              <w:t>对个人和家庭的补助</w:t>
            </w:r>
          </w:p>
        </w:tc>
        <w:tc>
          <w:tcPr>
            <w:tcW w:w="2551" w:type="dxa"/>
            <w:vAlign w:val="center"/>
          </w:tcPr>
          <w:p w14:paraId="492BFDE2">
            <w:pPr>
              <w:pStyle w:val="11"/>
            </w:pPr>
            <w:r>
              <w:t>4.62</w:t>
            </w:r>
          </w:p>
        </w:tc>
        <w:tc>
          <w:tcPr>
            <w:tcW w:w="2551" w:type="dxa"/>
            <w:vAlign w:val="center"/>
          </w:tcPr>
          <w:p w14:paraId="1F8C8056">
            <w:pPr>
              <w:pStyle w:val="11"/>
            </w:pPr>
            <w:r>
              <w:t>4.62</w:t>
            </w:r>
          </w:p>
        </w:tc>
        <w:tc>
          <w:tcPr>
            <w:tcW w:w="2551" w:type="dxa"/>
            <w:vAlign w:val="center"/>
          </w:tcPr>
          <w:p w14:paraId="26BBD176">
            <w:pPr>
              <w:pStyle w:val="11"/>
            </w:pPr>
          </w:p>
        </w:tc>
      </w:tr>
      <w:tr w14:paraId="76DE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C5939">
            <w:pPr>
              <w:pStyle w:val="13"/>
            </w:pPr>
            <w:r>
              <w:t>11</w:t>
            </w:r>
          </w:p>
        </w:tc>
        <w:tc>
          <w:tcPr>
            <w:tcW w:w="1191" w:type="dxa"/>
            <w:vAlign w:val="center"/>
          </w:tcPr>
          <w:p w14:paraId="6DC42107">
            <w:pPr>
              <w:pStyle w:val="12"/>
            </w:pPr>
            <w:r>
              <w:t>30302</w:t>
            </w:r>
          </w:p>
        </w:tc>
        <w:tc>
          <w:tcPr>
            <w:tcW w:w="4535" w:type="dxa"/>
            <w:vAlign w:val="center"/>
          </w:tcPr>
          <w:p w14:paraId="7E9C790B">
            <w:pPr>
              <w:pStyle w:val="12"/>
            </w:pPr>
            <w:r>
              <w:t>退休费</w:t>
            </w:r>
          </w:p>
        </w:tc>
        <w:tc>
          <w:tcPr>
            <w:tcW w:w="2551" w:type="dxa"/>
            <w:vAlign w:val="center"/>
          </w:tcPr>
          <w:p w14:paraId="2826DC49">
            <w:pPr>
              <w:pStyle w:val="11"/>
            </w:pPr>
            <w:r>
              <w:t>4.62</w:t>
            </w:r>
          </w:p>
        </w:tc>
        <w:tc>
          <w:tcPr>
            <w:tcW w:w="2551" w:type="dxa"/>
            <w:vAlign w:val="center"/>
          </w:tcPr>
          <w:p w14:paraId="26D56021">
            <w:pPr>
              <w:pStyle w:val="11"/>
            </w:pPr>
            <w:r>
              <w:t>4.62</w:t>
            </w:r>
          </w:p>
        </w:tc>
        <w:tc>
          <w:tcPr>
            <w:tcW w:w="2551" w:type="dxa"/>
            <w:vAlign w:val="center"/>
          </w:tcPr>
          <w:p w14:paraId="5F12E3B5">
            <w:pPr>
              <w:pStyle w:val="11"/>
            </w:pPr>
          </w:p>
        </w:tc>
      </w:tr>
    </w:tbl>
    <w:p w14:paraId="67C488FB">
      <w:pPr>
        <w:sectPr>
          <w:pgSz w:w="16840" w:h="11900" w:orient="landscape"/>
          <w:pgMar w:top="1361" w:right="1020" w:bottom="1134" w:left="1020" w:header="720" w:footer="720" w:gutter="0"/>
          <w:cols w:space="720" w:num="1"/>
        </w:sectPr>
      </w:pPr>
    </w:p>
    <w:p w14:paraId="710310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EF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C6D2CC">
            <w:pPr>
              <w:pStyle w:val="9"/>
            </w:pPr>
            <w:r>
              <w:t>360034隆尧县莲子中学</w:t>
            </w:r>
          </w:p>
        </w:tc>
        <w:tc>
          <w:tcPr>
            <w:tcW w:w="2551" w:type="dxa"/>
            <w:tcBorders>
              <w:top w:val="single" w:color="FFFFFF" w:sz="6" w:space="0"/>
              <w:left w:val="single" w:color="FFFFFF" w:sz="6" w:space="0"/>
              <w:right w:val="single" w:color="FFFFFF" w:sz="6" w:space="0"/>
            </w:tcBorders>
            <w:vAlign w:val="center"/>
          </w:tcPr>
          <w:p w14:paraId="7D70910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6E50C6">
            <w:pPr>
              <w:pStyle w:val="7"/>
            </w:pPr>
            <w:r>
              <w:t>单位：万元</w:t>
            </w:r>
          </w:p>
        </w:tc>
      </w:tr>
      <w:tr w14:paraId="6850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66285">
            <w:pPr>
              <w:pStyle w:val="10"/>
            </w:pPr>
            <w:r>
              <w:t>序号</w:t>
            </w:r>
          </w:p>
        </w:tc>
        <w:tc>
          <w:tcPr>
            <w:tcW w:w="5726" w:type="dxa"/>
            <w:gridSpan w:val="2"/>
            <w:vAlign w:val="center"/>
          </w:tcPr>
          <w:p w14:paraId="3783307C">
            <w:pPr>
              <w:pStyle w:val="10"/>
            </w:pPr>
            <w:r>
              <w:t>功能分类科目</w:t>
            </w:r>
          </w:p>
        </w:tc>
        <w:tc>
          <w:tcPr>
            <w:tcW w:w="2551" w:type="dxa"/>
            <w:vMerge w:val="restart"/>
            <w:vAlign w:val="center"/>
          </w:tcPr>
          <w:p w14:paraId="1B68D494">
            <w:pPr>
              <w:pStyle w:val="10"/>
            </w:pPr>
            <w:r>
              <w:t>合计</w:t>
            </w:r>
          </w:p>
        </w:tc>
        <w:tc>
          <w:tcPr>
            <w:tcW w:w="2551" w:type="dxa"/>
            <w:vMerge w:val="restart"/>
            <w:vAlign w:val="center"/>
          </w:tcPr>
          <w:p w14:paraId="7EA58183">
            <w:pPr>
              <w:pStyle w:val="10"/>
            </w:pPr>
            <w:r>
              <w:t>基本支出</w:t>
            </w:r>
          </w:p>
        </w:tc>
        <w:tc>
          <w:tcPr>
            <w:tcW w:w="2551" w:type="dxa"/>
            <w:vMerge w:val="restart"/>
            <w:vAlign w:val="center"/>
          </w:tcPr>
          <w:p w14:paraId="7305E893">
            <w:pPr>
              <w:pStyle w:val="10"/>
            </w:pPr>
            <w:r>
              <w:t>项目支出</w:t>
            </w:r>
          </w:p>
        </w:tc>
      </w:tr>
      <w:tr w14:paraId="4E5E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5C6175"/>
        </w:tc>
        <w:tc>
          <w:tcPr>
            <w:tcW w:w="1191" w:type="dxa"/>
            <w:vAlign w:val="center"/>
          </w:tcPr>
          <w:p w14:paraId="69FADF33">
            <w:pPr>
              <w:pStyle w:val="10"/>
            </w:pPr>
            <w:r>
              <w:t>科目编码</w:t>
            </w:r>
          </w:p>
        </w:tc>
        <w:tc>
          <w:tcPr>
            <w:tcW w:w="4535" w:type="dxa"/>
            <w:vAlign w:val="center"/>
          </w:tcPr>
          <w:p w14:paraId="0BD2BE51">
            <w:pPr>
              <w:pStyle w:val="10"/>
            </w:pPr>
            <w:r>
              <w:t>科目名称</w:t>
            </w:r>
          </w:p>
        </w:tc>
        <w:tc>
          <w:tcPr>
            <w:tcW w:w="2551" w:type="dxa"/>
            <w:vMerge w:val="continue"/>
          </w:tcPr>
          <w:p w14:paraId="36736BD5"/>
        </w:tc>
        <w:tc>
          <w:tcPr>
            <w:tcW w:w="2551" w:type="dxa"/>
            <w:vMerge w:val="continue"/>
          </w:tcPr>
          <w:p w14:paraId="545C998A"/>
        </w:tc>
        <w:tc>
          <w:tcPr>
            <w:tcW w:w="2551" w:type="dxa"/>
            <w:vMerge w:val="continue"/>
          </w:tcPr>
          <w:p w14:paraId="38357930"/>
        </w:tc>
      </w:tr>
      <w:tr w14:paraId="232EC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C1B4A">
            <w:pPr>
              <w:pStyle w:val="10"/>
            </w:pPr>
            <w:r>
              <w:t>栏次</w:t>
            </w:r>
          </w:p>
        </w:tc>
        <w:tc>
          <w:tcPr>
            <w:tcW w:w="1191" w:type="dxa"/>
            <w:vAlign w:val="center"/>
          </w:tcPr>
          <w:p w14:paraId="4423647E">
            <w:pPr>
              <w:pStyle w:val="10"/>
            </w:pPr>
            <w:r>
              <w:t>1</w:t>
            </w:r>
          </w:p>
        </w:tc>
        <w:tc>
          <w:tcPr>
            <w:tcW w:w="4535" w:type="dxa"/>
            <w:vAlign w:val="center"/>
          </w:tcPr>
          <w:p w14:paraId="412B588C">
            <w:pPr>
              <w:pStyle w:val="10"/>
            </w:pPr>
            <w:r>
              <w:t>2</w:t>
            </w:r>
          </w:p>
        </w:tc>
        <w:tc>
          <w:tcPr>
            <w:tcW w:w="2551" w:type="dxa"/>
            <w:vAlign w:val="center"/>
          </w:tcPr>
          <w:p w14:paraId="3F582D11">
            <w:pPr>
              <w:pStyle w:val="10"/>
            </w:pPr>
            <w:r>
              <w:t>3</w:t>
            </w:r>
          </w:p>
        </w:tc>
        <w:tc>
          <w:tcPr>
            <w:tcW w:w="2551" w:type="dxa"/>
            <w:vAlign w:val="center"/>
          </w:tcPr>
          <w:p w14:paraId="481EC77A">
            <w:pPr>
              <w:pStyle w:val="10"/>
            </w:pPr>
            <w:r>
              <w:t>4</w:t>
            </w:r>
          </w:p>
        </w:tc>
        <w:tc>
          <w:tcPr>
            <w:tcW w:w="2551" w:type="dxa"/>
            <w:vAlign w:val="center"/>
          </w:tcPr>
          <w:p w14:paraId="14F89268">
            <w:pPr>
              <w:pStyle w:val="10"/>
            </w:pPr>
            <w:r>
              <w:t>5</w:t>
            </w:r>
          </w:p>
        </w:tc>
      </w:tr>
      <w:tr w14:paraId="3834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60A97">
            <w:pPr>
              <w:pStyle w:val="13"/>
            </w:pPr>
          </w:p>
        </w:tc>
        <w:tc>
          <w:tcPr>
            <w:tcW w:w="1191" w:type="dxa"/>
            <w:vAlign w:val="center"/>
          </w:tcPr>
          <w:p w14:paraId="02FD98DA">
            <w:pPr>
              <w:pStyle w:val="12"/>
            </w:pPr>
          </w:p>
        </w:tc>
        <w:tc>
          <w:tcPr>
            <w:tcW w:w="4535" w:type="dxa"/>
            <w:vAlign w:val="center"/>
          </w:tcPr>
          <w:p w14:paraId="10EF4A3D">
            <w:pPr>
              <w:pStyle w:val="12"/>
            </w:pPr>
          </w:p>
        </w:tc>
        <w:tc>
          <w:tcPr>
            <w:tcW w:w="2551" w:type="dxa"/>
            <w:vAlign w:val="center"/>
          </w:tcPr>
          <w:p w14:paraId="49D07F8B">
            <w:pPr>
              <w:pStyle w:val="11"/>
            </w:pPr>
          </w:p>
        </w:tc>
        <w:tc>
          <w:tcPr>
            <w:tcW w:w="2551" w:type="dxa"/>
            <w:vAlign w:val="center"/>
          </w:tcPr>
          <w:p w14:paraId="62ADB685">
            <w:pPr>
              <w:pStyle w:val="11"/>
            </w:pPr>
          </w:p>
        </w:tc>
        <w:tc>
          <w:tcPr>
            <w:tcW w:w="2551" w:type="dxa"/>
            <w:vAlign w:val="center"/>
          </w:tcPr>
          <w:p w14:paraId="3EE04EA8">
            <w:pPr>
              <w:pStyle w:val="11"/>
            </w:pPr>
          </w:p>
        </w:tc>
      </w:tr>
    </w:tbl>
    <w:p w14:paraId="0753AE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7670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96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0E2232">
            <w:pPr>
              <w:pStyle w:val="9"/>
            </w:pPr>
            <w:r>
              <w:t>360034隆尧县莲子中学</w:t>
            </w:r>
          </w:p>
        </w:tc>
        <w:tc>
          <w:tcPr>
            <w:tcW w:w="2551" w:type="dxa"/>
            <w:tcBorders>
              <w:top w:val="single" w:color="FFFFFF" w:sz="6" w:space="0"/>
              <w:left w:val="single" w:color="FFFFFF" w:sz="6" w:space="0"/>
              <w:right w:val="single" w:color="FFFFFF" w:sz="6" w:space="0"/>
            </w:tcBorders>
            <w:vAlign w:val="center"/>
          </w:tcPr>
          <w:p w14:paraId="39CF8D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42FF8F">
            <w:pPr>
              <w:pStyle w:val="7"/>
            </w:pPr>
            <w:r>
              <w:t>单位：万元</w:t>
            </w:r>
          </w:p>
        </w:tc>
      </w:tr>
      <w:tr w14:paraId="6CBC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8F2841">
            <w:pPr>
              <w:pStyle w:val="10"/>
            </w:pPr>
            <w:r>
              <w:t>序号</w:t>
            </w:r>
          </w:p>
        </w:tc>
        <w:tc>
          <w:tcPr>
            <w:tcW w:w="5726" w:type="dxa"/>
            <w:gridSpan w:val="2"/>
            <w:vAlign w:val="center"/>
          </w:tcPr>
          <w:p w14:paraId="6BA86500">
            <w:pPr>
              <w:pStyle w:val="10"/>
            </w:pPr>
            <w:r>
              <w:t>功能分类科目</w:t>
            </w:r>
          </w:p>
        </w:tc>
        <w:tc>
          <w:tcPr>
            <w:tcW w:w="2551" w:type="dxa"/>
            <w:vMerge w:val="restart"/>
            <w:vAlign w:val="center"/>
          </w:tcPr>
          <w:p w14:paraId="2F271322">
            <w:pPr>
              <w:pStyle w:val="10"/>
            </w:pPr>
            <w:r>
              <w:t>合计</w:t>
            </w:r>
          </w:p>
        </w:tc>
        <w:tc>
          <w:tcPr>
            <w:tcW w:w="2551" w:type="dxa"/>
            <w:vMerge w:val="restart"/>
            <w:vAlign w:val="center"/>
          </w:tcPr>
          <w:p w14:paraId="634C7CF0">
            <w:pPr>
              <w:pStyle w:val="10"/>
            </w:pPr>
            <w:r>
              <w:t>基本支出</w:t>
            </w:r>
          </w:p>
        </w:tc>
        <w:tc>
          <w:tcPr>
            <w:tcW w:w="2551" w:type="dxa"/>
            <w:vMerge w:val="restart"/>
            <w:vAlign w:val="center"/>
          </w:tcPr>
          <w:p w14:paraId="06B50889">
            <w:pPr>
              <w:pStyle w:val="10"/>
            </w:pPr>
            <w:r>
              <w:t>项目支出</w:t>
            </w:r>
          </w:p>
        </w:tc>
      </w:tr>
      <w:tr w14:paraId="1156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EE8B5"/>
        </w:tc>
        <w:tc>
          <w:tcPr>
            <w:tcW w:w="1191" w:type="dxa"/>
            <w:vAlign w:val="center"/>
          </w:tcPr>
          <w:p w14:paraId="1FB45DFD">
            <w:pPr>
              <w:pStyle w:val="10"/>
            </w:pPr>
            <w:r>
              <w:t>科目编码</w:t>
            </w:r>
          </w:p>
        </w:tc>
        <w:tc>
          <w:tcPr>
            <w:tcW w:w="4535" w:type="dxa"/>
            <w:vAlign w:val="center"/>
          </w:tcPr>
          <w:p w14:paraId="076B6CF7">
            <w:pPr>
              <w:pStyle w:val="10"/>
            </w:pPr>
            <w:r>
              <w:t>科目名称</w:t>
            </w:r>
          </w:p>
        </w:tc>
        <w:tc>
          <w:tcPr>
            <w:tcW w:w="2551" w:type="dxa"/>
            <w:vMerge w:val="continue"/>
          </w:tcPr>
          <w:p w14:paraId="1F83FA80"/>
        </w:tc>
        <w:tc>
          <w:tcPr>
            <w:tcW w:w="2551" w:type="dxa"/>
            <w:vMerge w:val="continue"/>
          </w:tcPr>
          <w:p w14:paraId="4EC53606"/>
        </w:tc>
        <w:tc>
          <w:tcPr>
            <w:tcW w:w="2551" w:type="dxa"/>
            <w:vMerge w:val="continue"/>
          </w:tcPr>
          <w:p w14:paraId="68E0697D"/>
        </w:tc>
      </w:tr>
      <w:tr w14:paraId="6465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4BC5E">
            <w:pPr>
              <w:pStyle w:val="10"/>
            </w:pPr>
            <w:r>
              <w:t>栏次</w:t>
            </w:r>
          </w:p>
        </w:tc>
        <w:tc>
          <w:tcPr>
            <w:tcW w:w="1191" w:type="dxa"/>
            <w:vAlign w:val="center"/>
          </w:tcPr>
          <w:p w14:paraId="4FF6645C">
            <w:pPr>
              <w:pStyle w:val="10"/>
            </w:pPr>
            <w:r>
              <w:t>1</w:t>
            </w:r>
          </w:p>
        </w:tc>
        <w:tc>
          <w:tcPr>
            <w:tcW w:w="4535" w:type="dxa"/>
            <w:vAlign w:val="center"/>
          </w:tcPr>
          <w:p w14:paraId="43B58F12">
            <w:pPr>
              <w:pStyle w:val="10"/>
            </w:pPr>
            <w:r>
              <w:t>2</w:t>
            </w:r>
          </w:p>
        </w:tc>
        <w:tc>
          <w:tcPr>
            <w:tcW w:w="2551" w:type="dxa"/>
            <w:vAlign w:val="center"/>
          </w:tcPr>
          <w:p w14:paraId="75AB8BF3">
            <w:pPr>
              <w:pStyle w:val="10"/>
            </w:pPr>
            <w:r>
              <w:t>3</w:t>
            </w:r>
          </w:p>
        </w:tc>
        <w:tc>
          <w:tcPr>
            <w:tcW w:w="2551" w:type="dxa"/>
            <w:vAlign w:val="center"/>
          </w:tcPr>
          <w:p w14:paraId="0DF82F8B">
            <w:pPr>
              <w:pStyle w:val="10"/>
            </w:pPr>
            <w:r>
              <w:t>4</w:t>
            </w:r>
          </w:p>
        </w:tc>
        <w:tc>
          <w:tcPr>
            <w:tcW w:w="2551" w:type="dxa"/>
            <w:vAlign w:val="center"/>
          </w:tcPr>
          <w:p w14:paraId="66B1E787">
            <w:pPr>
              <w:pStyle w:val="10"/>
            </w:pPr>
            <w:r>
              <w:t>5</w:t>
            </w:r>
          </w:p>
        </w:tc>
      </w:tr>
      <w:tr w14:paraId="33E1B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A28F">
            <w:pPr>
              <w:pStyle w:val="13"/>
            </w:pPr>
          </w:p>
        </w:tc>
        <w:tc>
          <w:tcPr>
            <w:tcW w:w="1191" w:type="dxa"/>
            <w:vAlign w:val="center"/>
          </w:tcPr>
          <w:p w14:paraId="7C6E7188">
            <w:pPr>
              <w:pStyle w:val="12"/>
            </w:pPr>
          </w:p>
        </w:tc>
        <w:tc>
          <w:tcPr>
            <w:tcW w:w="4535" w:type="dxa"/>
            <w:vAlign w:val="center"/>
          </w:tcPr>
          <w:p w14:paraId="48F2E93D">
            <w:pPr>
              <w:pStyle w:val="12"/>
            </w:pPr>
          </w:p>
        </w:tc>
        <w:tc>
          <w:tcPr>
            <w:tcW w:w="2551" w:type="dxa"/>
            <w:vAlign w:val="center"/>
          </w:tcPr>
          <w:p w14:paraId="7DF53198">
            <w:pPr>
              <w:pStyle w:val="11"/>
            </w:pPr>
          </w:p>
        </w:tc>
        <w:tc>
          <w:tcPr>
            <w:tcW w:w="2551" w:type="dxa"/>
            <w:vAlign w:val="center"/>
          </w:tcPr>
          <w:p w14:paraId="6DC58923">
            <w:pPr>
              <w:pStyle w:val="11"/>
            </w:pPr>
          </w:p>
        </w:tc>
        <w:tc>
          <w:tcPr>
            <w:tcW w:w="2551" w:type="dxa"/>
            <w:vAlign w:val="center"/>
          </w:tcPr>
          <w:p w14:paraId="13C95724">
            <w:pPr>
              <w:pStyle w:val="11"/>
            </w:pPr>
          </w:p>
        </w:tc>
      </w:tr>
    </w:tbl>
    <w:p w14:paraId="15C8B4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FC90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42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0F51E4">
            <w:pPr>
              <w:pStyle w:val="9"/>
            </w:pPr>
            <w:r>
              <w:t>360034隆尧县莲子中学</w:t>
            </w:r>
          </w:p>
        </w:tc>
        <w:tc>
          <w:tcPr>
            <w:tcW w:w="2381" w:type="dxa"/>
            <w:tcBorders>
              <w:top w:val="single" w:color="FFFFFF" w:sz="6" w:space="0"/>
              <w:left w:val="single" w:color="FFFFFF" w:sz="6" w:space="0"/>
              <w:right w:val="single" w:color="FFFFFF" w:sz="6" w:space="0"/>
            </w:tcBorders>
            <w:vAlign w:val="center"/>
          </w:tcPr>
          <w:p w14:paraId="198E7B0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02695BB">
            <w:pPr>
              <w:pStyle w:val="7"/>
            </w:pPr>
            <w:r>
              <w:t>单位：万元</w:t>
            </w:r>
          </w:p>
        </w:tc>
      </w:tr>
      <w:tr w14:paraId="6335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9B8C4">
            <w:pPr>
              <w:pStyle w:val="10"/>
            </w:pPr>
            <w:r>
              <w:t>序号</w:t>
            </w:r>
          </w:p>
        </w:tc>
        <w:tc>
          <w:tcPr>
            <w:tcW w:w="3798" w:type="dxa"/>
            <w:vMerge w:val="restart"/>
            <w:vAlign w:val="center"/>
          </w:tcPr>
          <w:p w14:paraId="4C695314">
            <w:pPr>
              <w:pStyle w:val="10"/>
            </w:pPr>
            <w:r>
              <w:t>项  目</w:t>
            </w:r>
          </w:p>
        </w:tc>
        <w:tc>
          <w:tcPr>
            <w:tcW w:w="9524" w:type="dxa"/>
            <w:gridSpan w:val="4"/>
            <w:vAlign w:val="center"/>
          </w:tcPr>
          <w:p w14:paraId="3C18D60E">
            <w:pPr>
              <w:pStyle w:val="10"/>
            </w:pPr>
            <w:r>
              <w:t>资 金 性 质</w:t>
            </w:r>
          </w:p>
        </w:tc>
      </w:tr>
      <w:tr w14:paraId="370E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BD2888"/>
        </w:tc>
        <w:tc>
          <w:tcPr>
            <w:tcW w:w="3798" w:type="dxa"/>
            <w:vMerge w:val="continue"/>
          </w:tcPr>
          <w:p w14:paraId="4A7BA3CF"/>
        </w:tc>
        <w:tc>
          <w:tcPr>
            <w:tcW w:w="2381" w:type="dxa"/>
            <w:vAlign w:val="center"/>
          </w:tcPr>
          <w:p w14:paraId="43A72F14">
            <w:pPr>
              <w:pStyle w:val="10"/>
            </w:pPr>
            <w:r>
              <w:t>合计</w:t>
            </w:r>
          </w:p>
        </w:tc>
        <w:tc>
          <w:tcPr>
            <w:tcW w:w="2381" w:type="dxa"/>
            <w:vAlign w:val="center"/>
          </w:tcPr>
          <w:p w14:paraId="447979C0">
            <w:pPr>
              <w:pStyle w:val="10"/>
            </w:pPr>
            <w:r>
              <w:t>一般公共预算              财政拨款</w:t>
            </w:r>
          </w:p>
        </w:tc>
        <w:tc>
          <w:tcPr>
            <w:tcW w:w="2381" w:type="dxa"/>
            <w:vAlign w:val="center"/>
          </w:tcPr>
          <w:p w14:paraId="78B2EA29">
            <w:pPr>
              <w:pStyle w:val="10"/>
            </w:pPr>
            <w:r>
              <w:t>政府性基金                  预算拨款</w:t>
            </w:r>
          </w:p>
        </w:tc>
        <w:tc>
          <w:tcPr>
            <w:tcW w:w="2381" w:type="dxa"/>
            <w:vAlign w:val="center"/>
          </w:tcPr>
          <w:p w14:paraId="4520F866">
            <w:pPr>
              <w:pStyle w:val="10"/>
            </w:pPr>
            <w:r>
              <w:t>国有资本经营              预算财政拨款</w:t>
            </w:r>
          </w:p>
        </w:tc>
      </w:tr>
      <w:tr w14:paraId="1FAA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018BA4">
            <w:pPr>
              <w:pStyle w:val="10"/>
            </w:pPr>
            <w:r>
              <w:t>栏次</w:t>
            </w:r>
          </w:p>
        </w:tc>
        <w:tc>
          <w:tcPr>
            <w:tcW w:w="3798" w:type="dxa"/>
            <w:vAlign w:val="center"/>
          </w:tcPr>
          <w:p w14:paraId="416CD1F3">
            <w:pPr>
              <w:pStyle w:val="10"/>
            </w:pPr>
            <w:r>
              <w:t>1</w:t>
            </w:r>
          </w:p>
        </w:tc>
        <w:tc>
          <w:tcPr>
            <w:tcW w:w="2381" w:type="dxa"/>
            <w:vAlign w:val="center"/>
          </w:tcPr>
          <w:p w14:paraId="7ED31B1A">
            <w:pPr>
              <w:pStyle w:val="10"/>
            </w:pPr>
            <w:r>
              <w:t>2</w:t>
            </w:r>
          </w:p>
        </w:tc>
        <w:tc>
          <w:tcPr>
            <w:tcW w:w="2381" w:type="dxa"/>
            <w:vAlign w:val="center"/>
          </w:tcPr>
          <w:p w14:paraId="35CB051D">
            <w:pPr>
              <w:pStyle w:val="10"/>
            </w:pPr>
            <w:r>
              <w:t>3</w:t>
            </w:r>
          </w:p>
        </w:tc>
        <w:tc>
          <w:tcPr>
            <w:tcW w:w="2381" w:type="dxa"/>
            <w:vAlign w:val="center"/>
          </w:tcPr>
          <w:p w14:paraId="7E5611B8">
            <w:pPr>
              <w:pStyle w:val="10"/>
            </w:pPr>
            <w:r>
              <w:t>4</w:t>
            </w:r>
          </w:p>
        </w:tc>
        <w:tc>
          <w:tcPr>
            <w:tcW w:w="2381" w:type="dxa"/>
            <w:vAlign w:val="center"/>
          </w:tcPr>
          <w:p w14:paraId="5815F257">
            <w:pPr>
              <w:pStyle w:val="10"/>
            </w:pPr>
            <w:r>
              <w:t>5</w:t>
            </w:r>
          </w:p>
        </w:tc>
      </w:tr>
      <w:tr w14:paraId="7FFD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813888">
            <w:pPr>
              <w:pStyle w:val="13"/>
            </w:pPr>
          </w:p>
        </w:tc>
        <w:tc>
          <w:tcPr>
            <w:tcW w:w="3798" w:type="dxa"/>
            <w:vAlign w:val="center"/>
          </w:tcPr>
          <w:p w14:paraId="64F80B5C">
            <w:pPr>
              <w:pStyle w:val="12"/>
            </w:pPr>
          </w:p>
        </w:tc>
        <w:tc>
          <w:tcPr>
            <w:tcW w:w="2381" w:type="dxa"/>
            <w:vAlign w:val="center"/>
          </w:tcPr>
          <w:p w14:paraId="14F54628">
            <w:pPr>
              <w:pStyle w:val="11"/>
            </w:pPr>
          </w:p>
        </w:tc>
        <w:tc>
          <w:tcPr>
            <w:tcW w:w="2381" w:type="dxa"/>
            <w:vAlign w:val="center"/>
          </w:tcPr>
          <w:p w14:paraId="6D872E72">
            <w:pPr>
              <w:pStyle w:val="11"/>
            </w:pPr>
          </w:p>
        </w:tc>
        <w:tc>
          <w:tcPr>
            <w:tcW w:w="2381" w:type="dxa"/>
            <w:vAlign w:val="center"/>
          </w:tcPr>
          <w:p w14:paraId="3DC029FA">
            <w:pPr>
              <w:pStyle w:val="11"/>
            </w:pPr>
          </w:p>
        </w:tc>
        <w:tc>
          <w:tcPr>
            <w:tcW w:w="2381" w:type="dxa"/>
            <w:vAlign w:val="center"/>
          </w:tcPr>
          <w:p w14:paraId="751355A2">
            <w:pPr>
              <w:pStyle w:val="11"/>
            </w:pPr>
          </w:p>
        </w:tc>
      </w:tr>
    </w:tbl>
    <w:p w14:paraId="6558FE3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1A720C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隆尧县莲子中学2026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6B2ACF3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地方预决算公开操作规程》和《关于进一步推进预算公开工作的实施意见》规定，现将隆尧县莲子中学2026年单位预算公开如下：</w:t>
      </w:r>
    </w:p>
    <w:p w14:paraId="6FD644E2">
      <w:pPr>
        <w:spacing w:before="10" w:after="10" w:line="240" w:lineRule="auto"/>
        <w:ind w:firstLine="640"/>
        <w:jc w:val="left"/>
        <w:outlineLvl w:val="5"/>
      </w:pPr>
      <w:r>
        <w:rPr>
          <w:rFonts w:ascii="黑体" w:hAnsi="黑体" w:eastAsia="黑体" w:cs="黑体"/>
          <w:color w:val="000000"/>
          <w:sz w:val="32"/>
        </w:rPr>
        <w:t>一、单位职责及机构设置情况</w:t>
      </w:r>
    </w:p>
    <w:p w14:paraId="0203A86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C4274C">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贯彻落实基础教育的方针、政策，开展初中阶段教育教学工作，促进学生德、智、体、美、劳全面发展；负责学生安全教育和管理，确保学生身心健康；加强教师队伍建设和管理，为教育教学工作提供保障。</w:t>
      </w:r>
    </w:p>
    <w:p w14:paraId="3A213AC7">
      <w:pPr>
        <w:spacing w:before="0" w:after="0" w:line="500" w:lineRule="exact"/>
        <w:ind w:firstLine="560"/>
        <w:jc w:val="left"/>
        <w:outlineLvl w:val="9"/>
      </w:pPr>
      <w:r>
        <w:rPr>
          <w:rFonts w:hint="eastAsia" w:ascii="Times New Roman" w:hAnsi="Times New Roman" w:eastAsia="方正仿宋_GBK" w:cs="Times New Roman"/>
          <w:b w:val="0"/>
          <w:color w:val="000000"/>
          <w:sz w:val="28"/>
          <w:lang w:val="en-US" w:eastAsia="zh-CN"/>
        </w:rPr>
        <w:t>隆尧县莲子中学事业编制46名，校长1名（正股级），副校长2名（副股级）；经费形式为财政性资金基本保证。</w:t>
      </w:r>
    </w:p>
    <w:p w14:paraId="251AB4A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84CF4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32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3B9A97">
            <w:pPr>
              <w:pStyle w:val="10"/>
            </w:pPr>
            <w:r>
              <w:t>单位名称</w:t>
            </w:r>
          </w:p>
        </w:tc>
        <w:tc>
          <w:tcPr>
            <w:tcW w:w="1843" w:type="dxa"/>
            <w:vAlign w:val="center"/>
          </w:tcPr>
          <w:p w14:paraId="7122BD61">
            <w:pPr>
              <w:pStyle w:val="10"/>
            </w:pPr>
            <w:r>
              <w:t>单位性质</w:t>
            </w:r>
          </w:p>
        </w:tc>
        <w:tc>
          <w:tcPr>
            <w:tcW w:w="2126" w:type="dxa"/>
            <w:vAlign w:val="center"/>
          </w:tcPr>
          <w:p w14:paraId="0FBF142F">
            <w:pPr>
              <w:pStyle w:val="10"/>
            </w:pPr>
            <w:r>
              <w:t>单位规格</w:t>
            </w:r>
          </w:p>
        </w:tc>
        <w:tc>
          <w:tcPr>
            <w:tcW w:w="3827" w:type="dxa"/>
            <w:vAlign w:val="center"/>
          </w:tcPr>
          <w:p w14:paraId="611517D3">
            <w:pPr>
              <w:pStyle w:val="10"/>
            </w:pPr>
            <w:r>
              <w:t>经费保障形式</w:t>
            </w:r>
          </w:p>
        </w:tc>
      </w:tr>
      <w:tr w14:paraId="1B92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4B59B5">
            <w:pPr>
              <w:pStyle w:val="12"/>
            </w:pPr>
            <w:r>
              <w:t>隆尧县莲子中学</w:t>
            </w:r>
          </w:p>
        </w:tc>
        <w:tc>
          <w:tcPr>
            <w:tcW w:w="1843" w:type="dxa"/>
            <w:vAlign w:val="center"/>
          </w:tcPr>
          <w:p w14:paraId="7A2DA644">
            <w:pPr>
              <w:pStyle w:val="13"/>
            </w:pPr>
            <w:r>
              <w:t>事业</w:t>
            </w:r>
          </w:p>
        </w:tc>
        <w:tc>
          <w:tcPr>
            <w:tcW w:w="2126" w:type="dxa"/>
            <w:vAlign w:val="center"/>
          </w:tcPr>
          <w:p w14:paraId="6149D1A9">
            <w:pPr>
              <w:pStyle w:val="13"/>
            </w:pPr>
            <w:r>
              <w:t>股级</w:t>
            </w:r>
          </w:p>
        </w:tc>
        <w:tc>
          <w:tcPr>
            <w:tcW w:w="3827" w:type="dxa"/>
            <w:vAlign w:val="center"/>
          </w:tcPr>
          <w:p w14:paraId="38FFD660">
            <w:pPr>
              <w:pStyle w:val="13"/>
            </w:pPr>
            <w:r>
              <w:t>财政性资金基本保证</w:t>
            </w:r>
          </w:p>
        </w:tc>
      </w:tr>
    </w:tbl>
    <w:p w14:paraId="73CFD9BF">
      <w:pPr>
        <w:spacing w:before="10" w:after="10" w:line="240" w:lineRule="auto"/>
        <w:ind w:firstLine="640"/>
        <w:jc w:val="left"/>
        <w:outlineLvl w:val="5"/>
      </w:pPr>
      <w:r>
        <w:rPr>
          <w:rFonts w:ascii="黑体" w:hAnsi="黑体" w:eastAsia="黑体" w:cs="黑体"/>
          <w:color w:val="000000"/>
          <w:sz w:val="32"/>
        </w:rPr>
        <w:t>二、单位预算安排的总体情况</w:t>
      </w:r>
    </w:p>
    <w:p w14:paraId="5E60C86A">
      <w:pPr>
        <w:pStyle w:val="18"/>
      </w:pPr>
      <w:r>
        <w:t>按照预算管理有关规定，目前我校单位预算的编制实行综合预算管理，即全部收入和支出都反映的预算中。隆尧县莲子中学收支包含在单位预算中。</w:t>
      </w:r>
    </w:p>
    <w:p w14:paraId="7196F7A9">
      <w:pPr>
        <w:pStyle w:val="18"/>
      </w:pPr>
      <w:r>
        <w:t>1、收入说明</w:t>
      </w:r>
    </w:p>
    <w:p w14:paraId="01803DDC">
      <w:pPr>
        <w:pStyle w:val="18"/>
      </w:pPr>
      <w:r>
        <w:t>反映本单位当年全部收入。2026年预算收入713.61万元，其中：一般公共预算收入713.61万元，基金预算收入0万元，财政专户管理资金收入0万元，单位资金收入0万元</w:t>
      </w:r>
      <w:r>
        <w:rPr>
          <w:rFonts w:hint="eastAsia"/>
          <w:lang w:eastAsia="zh-CN"/>
        </w:rPr>
        <w:t>，</w:t>
      </w:r>
      <w:r>
        <w:t>上年结转结余0万元。</w:t>
      </w:r>
    </w:p>
    <w:p w14:paraId="51E7170A">
      <w:pPr>
        <w:pStyle w:val="18"/>
      </w:pPr>
      <w:r>
        <w:t>2、支出说明</w:t>
      </w:r>
    </w:p>
    <w:p w14:paraId="42220DE2">
      <w:pPr>
        <w:pStyle w:val="18"/>
      </w:pPr>
      <w:r>
        <w:t>收支预算总表支出栏、基本支出表、项目支出表按经济分类和支出功能分类科目编制，反映隆尧县莲子中学年度单位预算中支出预算的总体情况。2026年单位支出预算为713.61万元，其中基本支出586.82万元、项目支出126.79万元。主要为初中教育586.82万元。</w:t>
      </w:r>
    </w:p>
    <w:p w14:paraId="42BC902C">
      <w:pPr>
        <w:pStyle w:val="18"/>
      </w:pPr>
      <w:r>
        <w:t>3、比上年增减情况</w:t>
      </w:r>
    </w:p>
    <w:p w14:paraId="0D3A33C8">
      <w:pPr>
        <w:pStyle w:val="18"/>
      </w:pPr>
      <w:r>
        <w:t>2026年部门预算收支安排713.61万元，比2025年预算减少76.47万元。</w:t>
      </w:r>
    </w:p>
    <w:p w14:paraId="5DBE2F35">
      <w:pPr>
        <w:spacing w:before="10" w:after="10" w:line="240" w:lineRule="auto"/>
        <w:ind w:firstLine="640"/>
        <w:jc w:val="left"/>
        <w:outlineLvl w:val="5"/>
      </w:pPr>
      <w:r>
        <w:rPr>
          <w:rFonts w:ascii="黑体" w:hAnsi="黑体" w:eastAsia="黑体" w:cs="黑体"/>
          <w:color w:val="000000"/>
          <w:sz w:val="32"/>
        </w:rPr>
        <w:t>三、机关运行经费安排情况</w:t>
      </w:r>
    </w:p>
    <w:p w14:paraId="6FE99AF8">
      <w:pPr>
        <w:pStyle w:val="19"/>
      </w:pPr>
      <w:r>
        <w:t>2026年，我单位按学生安排公用经费，无机关运行经费</w:t>
      </w:r>
    </w:p>
    <w:p w14:paraId="41A9868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80D25C5">
      <w:pPr>
        <w:pStyle w:val="20"/>
      </w:pPr>
      <w:r>
        <w:t>2026年，我单位未安排</w:t>
      </w:r>
      <w:r>
        <w:rPr>
          <w:rFonts w:hint="eastAsia"/>
          <w:lang w:eastAsia="zh-CN"/>
        </w:rPr>
        <w:t>“三公”经费</w:t>
      </w:r>
    </w:p>
    <w:p w14:paraId="0FEB6CE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B0EEC6">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1、冀财教[2025]121号/中央/2026年义教补助经费/莲子中学公用经费绩效目标表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4D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359F8">
            <w:pPr>
              <w:pStyle w:val="11"/>
            </w:pPr>
            <w:r>
              <w:t>单位：万元</w:t>
            </w:r>
          </w:p>
        </w:tc>
      </w:tr>
      <w:tr w14:paraId="2A30D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D113B">
            <w:pPr>
              <w:pStyle w:val="10"/>
            </w:pPr>
            <w:r>
              <w:t>项目编码</w:t>
            </w:r>
          </w:p>
        </w:tc>
        <w:tc>
          <w:tcPr>
            <w:tcW w:w="5103" w:type="dxa"/>
            <w:gridSpan w:val="2"/>
            <w:vAlign w:val="center"/>
          </w:tcPr>
          <w:p w14:paraId="0C54718E">
            <w:pPr>
              <w:pStyle w:val="12"/>
            </w:pPr>
            <w:r>
              <w:t>13052526P000004102562</w:t>
            </w:r>
          </w:p>
        </w:tc>
        <w:tc>
          <w:tcPr>
            <w:tcW w:w="2835" w:type="dxa"/>
            <w:vAlign w:val="center"/>
          </w:tcPr>
          <w:p w14:paraId="781BB1F7">
            <w:pPr>
              <w:pStyle w:val="10"/>
            </w:pPr>
            <w:r>
              <w:t>项目名称</w:t>
            </w:r>
          </w:p>
        </w:tc>
        <w:tc>
          <w:tcPr>
            <w:tcW w:w="6095" w:type="dxa"/>
            <w:gridSpan w:val="3"/>
            <w:vAlign w:val="center"/>
          </w:tcPr>
          <w:p w14:paraId="7BBC3D37">
            <w:pPr>
              <w:pStyle w:val="12"/>
            </w:pPr>
            <w:r>
              <w:t>冀财教[2025]121号/中央/2026年义教补助经费/莲子中学公用经费</w:t>
            </w:r>
          </w:p>
        </w:tc>
      </w:tr>
      <w:tr w14:paraId="561E4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09BA2">
            <w:pPr>
              <w:pStyle w:val="10"/>
            </w:pPr>
            <w:r>
              <w:t>预算规模及资金用途</w:t>
            </w:r>
          </w:p>
        </w:tc>
        <w:tc>
          <w:tcPr>
            <w:tcW w:w="2268" w:type="dxa"/>
            <w:vAlign w:val="center"/>
          </w:tcPr>
          <w:p w14:paraId="3D1FC2A3">
            <w:pPr>
              <w:pStyle w:val="10"/>
            </w:pPr>
            <w:r>
              <w:t>预算数</w:t>
            </w:r>
          </w:p>
        </w:tc>
        <w:tc>
          <w:tcPr>
            <w:tcW w:w="2835" w:type="dxa"/>
            <w:vAlign w:val="center"/>
          </w:tcPr>
          <w:p w14:paraId="2058DEAE">
            <w:pPr>
              <w:pStyle w:val="12"/>
            </w:pPr>
            <w:r>
              <w:t>43.90</w:t>
            </w:r>
          </w:p>
        </w:tc>
        <w:tc>
          <w:tcPr>
            <w:tcW w:w="2835" w:type="dxa"/>
            <w:vAlign w:val="center"/>
          </w:tcPr>
          <w:p w14:paraId="3A56658B">
            <w:pPr>
              <w:pStyle w:val="10"/>
            </w:pPr>
            <w:r>
              <w:t>其中：财政    资金</w:t>
            </w:r>
          </w:p>
        </w:tc>
        <w:tc>
          <w:tcPr>
            <w:tcW w:w="2551" w:type="dxa"/>
            <w:vAlign w:val="center"/>
          </w:tcPr>
          <w:p w14:paraId="66756C62">
            <w:pPr>
              <w:pStyle w:val="12"/>
            </w:pPr>
            <w:r>
              <w:t>43.90</w:t>
            </w:r>
          </w:p>
        </w:tc>
        <w:tc>
          <w:tcPr>
            <w:tcW w:w="2268" w:type="dxa"/>
            <w:vAlign w:val="center"/>
          </w:tcPr>
          <w:p w14:paraId="4348A6B1">
            <w:pPr>
              <w:pStyle w:val="10"/>
            </w:pPr>
            <w:r>
              <w:t>其他资金</w:t>
            </w:r>
          </w:p>
        </w:tc>
        <w:tc>
          <w:tcPr>
            <w:tcW w:w="1276" w:type="dxa"/>
            <w:vAlign w:val="center"/>
          </w:tcPr>
          <w:p w14:paraId="4C50B1B6">
            <w:pPr>
              <w:pStyle w:val="12"/>
            </w:pPr>
            <w:r>
              <w:t xml:space="preserve"> </w:t>
            </w:r>
          </w:p>
        </w:tc>
      </w:tr>
      <w:tr w14:paraId="57520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00A0D"/>
        </w:tc>
        <w:tc>
          <w:tcPr>
            <w:tcW w:w="14033" w:type="dxa"/>
            <w:gridSpan w:val="6"/>
            <w:vAlign w:val="center"/>
          </w:tcPr>
          <w:p w14:paraId="249C8B6E">
            <w:pPr>
              <w:pStyle w:val="12"/>
            </w:pPr>
            <w:r>
              <w:t>保障学校资金正常支出，保障学校正常运转</w:t>
            </w:r>
          </w:p>
        </w:tc>
      </w:tr>
      <w:tr w14:paraId="17CC4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F8AC1">
            <w:pPr>
              <w:pStyle w:val="10"/>
            </w:pPr>
            <w:r>
              <w:t>资金支出计划（%）</w:t>
            </w:r>
          </w:p>
        </w:tc>
        <w:tc>
          <w:tcPr>
            <w:tcW w:w="5103" w:type="dxa"/>
            <w:gridSpan w:val="2"/>
            <w:vAlign w:val="center"/>
          </w:tcPr>
          <w:p w14:paraId="7ED3B37B">
            <w:pPr>
              <w:pStyle w:val="10"/>
            </w:pPr>
            <w:r>
              <w:t>3月底</w:t>
            </w:r>
          </w:p>
        </w:tc>
        <w:tc>
          <w:tcPr>
            <w:tcW w:w="2835" w:type="dxa"/>
            <w:vAlign w:val="center"/>
          </w:tcPr>
          <w:p w14:paraId="568CF6D6">
            <w:pPr>
              <w:pStyle w:val="10"/>
            </w:pPr>
            <w:r>
              <w:t>6月底</w:t>
            </w:r>
          </w:p>
        </w:tc>
        <w:tc>
          <w:tcPr>
            <w:tcW w:w="2551" w:type="dxa"/>
            <w:vAlign w:val="center"/>
          </w:tcPr>
          <w:p w14:paraId="032FAFC4">
            <w:pPr>
              <w:pStyle w:val="10"/>
            </w:pPr>
            <w:r>
              <w:t>10月底</w:t>
            </w:r>
          </w:p>
        </w:tc>
        <w:tc>
          <w:tcPr>
            <w:tcW w:w="3544" w:type="dxa"/>
            <w:gridSpan w:val="2"/>
            <w:vAlign w:val="center"/>
          </w:tcPr>
          <w:p w14:paraId="00839AEE">
            <w:pPr>
              <w:pStyle w:val="10"/>
            </w:pPr>
            <w:r>
              <w:t>12月底</w:t>
            </w:r>
          </w:p>
        </w:tc>
      </w:tr>
      <w:tr w14:paraId="1777A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17ABB"/>
        </w:tc>
        <w:tc>
          <w:tcPr>
            <w:tcW w:w="5103" w:type="dxa"/>
            <w:gridSpan w:val="2"/>
            <w:vAlign w:val="center"/>
          </w:tcPr>
          <w:p w14:paraId="6CFF4B04">
            <w:pPr>
              <w:pStyle w:val="13"/>
            </w:pPr>
            <w:r>
              <w:t>25%</w:t>
            </w:r>
          </w:p>
        </w:tc>
        <w:tc>
          <w:tcPr>
            <w:tcW w:w="2835" w:type="dxa"/>
            <w:vAlign w:val="center"/>
          </w:tcPr>
          <w:p w14:paraId="7456FC76">
            <w:pPr>
              <w:pStyle w:val="13"/>
            </w:pPr>
            <w:r>
              <w:t>50%</w:t>
            </w:r>
          </w:p>
        </w:tc>
        <w:tc>
          <w:tcPr>
            <w:tcW w:w="2551" w:type="dxa"/>
            <w:vAlign w:val="center"/>
          </w:tcPr>
          <w:p w14:paraId="7B718E6C">
            <w:pPr>
              <w:pStyle w:val="13"/>
            </w:pPr>
            <w:r>
              <w:t>75%</w:t>
            </w:r>
          </w:p>
        </w:tc>
        <w:tc>
          <w:tcPr>
            <w:tcW w:w="3544" w:type="dxa"/>
            <w:gridSpan w:val="2"/>
            <w:vAlign w:val="center"/>
          </w:tcPr>
          <w:p w14:paraId="0F02DBD0">
            <w:pPr>
              <w:pStyle w:val="13"/>
            </w:pPr>
            <w:r>
              <w:t>100%</w:t>
            </w:r>
          </w:p>
        </w:tc>
      </w:tr>
      <w:tr w14:paraId="04A74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C1C0A">
            <w:pPr>
              <w:pStyle w:val="10"/>
            </w:pPr>
            <w:r>
              <w:t>绩效目标</w:t>
            </w:r>
          </w:p>
        </w:tc>
        <w:tc>
          <w:tcPr>
            <w:tcW w:w="14033" w:type="dxa"/>
            <w:gridSpan w:val="6"/>
            <w:vAlign w:val="center"/>
          </w:tcPr>
          <w:p w14:paraId="0B941E24">
            <w:pPr>
              <w:pStyle w:val="12"/>
            </w:pPr>
            <w:r>
              <w:t>1.按规定拨付公用经费资金439000元，资金拨付率达到100%</w:t>
            </w:r>
          </w:p>
          <w:p w14:paraId="3CB76A03">
            <w:pPr>
              <w:pStyle w:val="12"/>
            </w:pPr>
            <w:r>
              <w:t>2.保障义务教育阶段教学秩序的正常运转，</w:t>
            </w:r>
            <w:r>
              <w:rPr>
                <w:rFonts w:hint="eastAsia"/>
                <w:lang w:eastAsia="zh-CN"/>
              </w:rPr>
              <w:t>保障</w:t>
            </w:r>
            <w:r>
              <w:t>教学经费正常支出。</w:t>
            </w:r>
            <w:r>
              <w:tab/>
            </w:r>
            <w:r>
              <w:tab/>
            </w:r>
            <w:r>
              <w:tab/>
            </w:r>
            <w:r>
              <w:tab/>
            </w:r>
            <w:r>
              <w:tab/>
            </w:r>
            <w:r>
              <w:tab/>
            </w:r>
          </w:p>
          <w:p w14:paraId="087C13E7">
            <w:pPr>
              <w:pStyle w:val="12"/>
            </w:pPr>
            <w:r>
              <w:tab/>
            </w:r>
            <w:r>
              <w:tab/>
            </w:r>
            <w:r>
              <w:tab/>
            </w:r>
          </w:p>
          <w:p w14:paraId="09B967A7">
            <w:pPr>
              <w:pStyle w:val="12"/>
            </w:pPr>
          </w:p>
        </w:tc>
      </w:tr>
    </w:tbl>
    <w:p w14:paraId="3FBF24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8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7E30E">
            <w:pPr>
              <w:pStyle w:val="10"/>
            </w:pPr>
            <w:r>
              <w:t>一级指标</w:t>
            </w:r>
          </w:p>
        </w:tc>
        <w:tc>
          <w:tcPr>
            <w:tcW w:w="2268" w:type="dxa"/>
            <w:vAlign w:val="center"/>
          </w:tcPr>
          <w:p w14:paraId="507A42BD">
            <w:pPr>
              <w:pStyle w:val="10"/>
            </w:pPr>
            <w:r>
              <w:t>二级指标</w:t>
            </w:r>
          </w:p>
        </w:tc>
        <w:tc>
          <w:tcPr>
            <w:tcW w:w="2835" w:type="dxa"/>
            <w:vAlign w:val="center"/>
          </w:tcPr>
          <w:p w14:paraId="1D8E4AEA">
            <w:pPr>
              <w:pStyle w:val="10"/>
            </w:pPr>
            <w:r>
              <w:t>三级指标</w:t>
            </w:r>
          </w:p>
        </w:tc>
        <w:tc>
          <w:tcPr>
            <w:tcW w:w="5386" w:type="dxa"/>
            <w:vAlign w:val="center"/>
          </w:tcPr>
          <w:p w14:paraId="7D8F1363">
            <w:pPr>
              <w:pStyle w:val="10"/>
            </w:pPr>
            <w:r>
              <w:t>绩效指标描述</w:t>
            </w:r>
          </w:p>
        </w:tc>
        <w:tc>
          <w:tcPr>
            <w:tcW w:w="2268" w:type="dxa"/>
            <w:vAlign w:val="center"/>
          </w:tcPr>
          <w:p w14:paraId="67A1E105">
            <w:pPr>
              <w:pStyle w:val="10"/>
            </w:pPr>
            <w:r>
              <w:t>指标值</w:t>
            </w:r>
          </w:p>
        </w:tc>
        <w:tc>
          <w:tcPr>
            <w:tcW w:w="1276" w:type="dxa"/>
            <w:vAlign w:val="center"/>
          </w:tcPr>
          <w:p w14:paraId="36C51F7F">
            <w:pPr>
              <w:pStyle w:val="10"/>
            </w:pPr>
            <w:r>
              <w:t>指标值确定依据</w:t>
            </w:r>
          </w:p>
        </w:tc>
      </w:tr>
      <w:tr w14:paraId="5156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13F82">
            <w:pPr>
              <w:pStyle w:val="13"/>
            </w:pPr>
            <w:r>
              <w:t>产出指标</w:t>
            </w:r>
          </w:p>
        </w:tc>
        <w:tc>
          <w:tcPr>
            <w:tcW w:w="2268" w:type="dxa"/>
            <w:vAlign w:val="center"/>
          </w:tcPr>
          <w:p w14:paraId="6A2A7AC6">
            <w:pPr>
              <w:pStyle w:val="12"/>
            </w:pPr>
            <w:r>
              <w:t>数量指标</w:t>
            </w:r>
          </w:p>
        </w:tc>
        <w:tc>
          <w:tcPr>
            <w:tcW w:w="2835" w:type="dxa"/>
            <w:vAlign w:val="center"/>
          </w:tcPr>
          <w:p w14:paraId="27C6F632">
            <w:pPr>
              <w:pStyle w:val="12"/>
            </w:pPr>
            <w:r>
              <w:t>适龄在校生</w:t>
            </w:r>
          </w:p>
        </w:tc>
        <w:tc>
          <w:tcPr>
            <w:tcW w:w="5386" w:type="dxa"/>
            <w:vAlign w:val="center"/>
          </w:tcPr>
          <w:p w14:paraId="33197A26">
            <w:pPr>
              <w:pStyle w:val="12"/>
            </w:pPr>
            <w:r>
              <w:t>适龄在校就读学生人数</w:t>
            </w:r>
          </w:p>
        </w:tc>
        <w:tc>
          <w:tcPr>
            <w:tcW w:w="2268" w:type="dxa"/>
            <w:vAlign w:val="center"/>
          </w:tcPr>
          <w:p w14:paraId="14DBE702">
            <w:pPr>
              <w:pStyle w:val="12"/>
            </w:pPr>
            <w:r>
              <w:t>534人</w:t>
            </w:r>
          </w:p>
        </w:tc>
        <w:tc>
          <w:tcPr>
            <w:tcW w:w="1276" w:type="dxa"/>
            <w:vAlign w:val="center"/>
          </w:tcPr>
          <w:p w14:paraId="1A508BF9">
            <w:pPr>
              <w:pStyle w:val="12"/>
            </w:pPr>
            <w:r>
              <w:t>城乡义务教育公用经费管理办法</w:t>
            </w:r>
          </w:p>
        </w:tc>
      </w:tr>
      <w:tr w14:paraId="5C09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23706"/>
        </w:tc>
        <w:tc>
          <w:tcPr>
            <w:tcW w:w="2268" w:type="dxa"/>
            <w:vAlign w:val="center"/>
          </w:tcPr>
          <w:p w14:paraId="5AFF60BD">
            <w:pPr>
              <w:pStyle w:val="12"/>
            </w:pPr>
            <w:r>
              <w:t>质量指标</w:t>
            </w:r>
          </w:p>
        </w:tc>
        <w:tc>
          <w:tcPr>
            <w:tcW w:w="2835" w:type="dxa"/>
            <w:vAlign w:val="center"/>
          </w:tcPr>
          <w:p w14:paraId="5ED90331">
            <w:pPr>
              <w:pStyle w:val="12"/>
            </w:pPr>
            <w:r>
              <w:t>预算控制率</w:t>
            </w:r>
          </w:p>
        </w:tc>
        <w:tc>
          <w:tcPr>
            <w:tcW w:w="5386" w:type="dxa"/>
            <w:vAlign w:val="center"/>
          </w:tcPr>
          <w:p w14:paraId="151402AE">
            <w:pPr>
              <w:pStyle w:val="12"/>
            </w:pPr>
            <w:r>
              <w:t>预算执行率</w:t>
            </w:r>
          </w:p>
        </w:tc>
        <w:tc>
          <w:tcPr>
            <w:tcW w:w="2268" w:type="dxa"/>
            <w:vAlign w:val="center"/>
          </w:tcPr>
          <w:p w14:paraId="60A9B6CB">
            <w:pPr>
              <w:pStyle w:val="12"/>
            </w:pPr>
            <w:r>
              <w:t>≥95%</w:t>
            </w:r>
          </w:p>
        </w:tc>
        <w:tc>
          <w:tcPr>
            <w:tcW w:w="1276" w:type="dxa"/>
            <w:vAlign w:val="center"/>
          </w:tcPr>
          <w:p w14:paraId="3E79E4DA">
            <w:pPr>
              <w:pStyle w:val="12"/>
            </w:pPr>
            <w:r>
              <w:t>城乡义务教育公用经费管理办法</w:t>
            </w:r>
          </w:p>
        </w:tc>
      </w:tr>
      <w:tr w14:paraId="0055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7ADCF"/>
        </w:tc>
        <w:tc>
          <w:tcPr>
            <w:tcW w:w="2268" w:type="dxa"/>
            <w:vAlign w:val="center"/>
          </w:tcPr>
          <w:p w14:paraId="1A9B224D">
            <w:pPr>
              <w:pStyle w:val="12"/>
            </w:pPr>
            <w:r>
              <w:t>时效指标</w:t>
            </w:r>
          </w:p>
        </w:tc>
        <w:tc>
          <w:tcPr>
            <w:tcW w:w="2835" w:type="dxa"/>
            <w:vAlign w:val="center"/>
          </w:tcPr>
          <w:p w14:paraId="476BFE3C">
            <w:pPr>
              <w:pStyle w:val="12"/>
            </w:pPr>
            <w:r>
              <w:t>资金支付率</w:t>
            </w:r>
          </w:p>
        </w:tc>
        <w:tc>
          <w:tcPr>
            <w:tcW w:w="5386" w:type="dxa"/>
            <w:vAlign w:val="center"/>
          </w:tcPr>
          <w:p w14:paraId="1E848CCC">
            <w:pPr>
              <w:pStyle w:val="12"/>
            </w:pPr>
            <w:r>
              <w:t>按照序时进度完成资金支付</w:t>
            </w:r>
          </w:p>
        </w:tc>
        <w:tc>
          <w:tcPr>
            <w:tcW w:w="2268" w:type="dxa"/>
            <w:vAlign w:val="center"/>
          </w:tcPr>
          <w:p w14:paraId="113DA37C">
            <w:pPr>
              <w:pStyle w:val="12"/>
            </w:pPr>
            <w:r>
              <w:t>100%</w:t>
            </w:r>
          </w:p>
        </w:tc>
        <w:tc>
          <w:tcPr>
            <w:tcW w:w="1276" w:type="dxa"/>
            <w:vAlign w:val="center"/>
          </w:tcPr>
          <w:p w14:paraId="7B58D00D">
            <w:pPr>
              <w:pStyle w:val="12"/>
            </w:pPr>
            <w:r>
              <w:t>城乡义务教育公用经费管理办法</w:t>
            </w:r>
          </w:p>
        </w:tc>
      </w:tr>
      <w:tr w14:paraId="2A3A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EACEE"/>
        </w:tc>
        <w:tc>
          <w:tcPr>
            <w:tcW w:w="2268" w:type="dxa"/>
            <w:vAlign w:val="center"/>
          </w:tcPr>
          <w:p w14:paraId="0969B99E">
            <w:pPr>
              <w:pStyle w:val="12"/>
            </w:pPr>
            <w:r>
              <w:t>成本指标</w:t>
            </w:r>
          </w:p>
        </w:tc>
        <w:tc>
          <w:tcPr>
            <w:tcW w:w="2835" w:type="dxa"/>
            <w:vAlign w:val="center"/>
          </w:tcPr>
          <w:p w14:paraId="32B7D71D">
            <w:pPr>
              <w:pStyle w:val="12"/>
            </w:pPr>
            <w:r>
              <w:t>生均拨款标准</w:t>
            </w:r>
          </w:p>
        </w:tc>
        <w:tc>
          <w:tcPr>
            <w:tcW w:w="5386" w:type="dxa"/>
            <w:vAlign w:val="center"/>
          </w:tcPr>
          <w:p w14:paraId="041EAB33">
            <w:pPr>
              <w:pStyle w:val="12"/>
            </w:pPr>
            <w:r>
              <w:t>初中：（基本标准940元、寄宿生300元、取暖费120元）/生/学年；随班就读学生：标准7000元/生/学年）</w:t>
            </w:r>
          </w:p>
        </w:tc>
        <w:tc>
          <w:tcPr>
            <w:tcW w:w="2268" w:type="dxa"/>
            <w:vAlign w:val="center"/>
          </w:tcPr>
          <w:p w14:paraId="508FCA99">
            <w:pPr>
              <w:pStyle w:val="12"/>
            </w:pPr>
            <w:r>
              <w:t>1360元</w:t>
            </w:r>
          </w:p>
        </w:tc>
        <w:tc>
          <w:tcPr>
            <w:tcW w:w="1276" w:type="dxa"/>
            <w:vAlign w:val="center"/>
          </w:tcPr>
          <w:p w14:paraId="5EB18985">
            <w:pPr>
              <w:pStyle w:val="12"/>
            </w:pPr>
            <w:r>
              <w:t>城乡义务教育公用经费管理办法</w:t>
            </w:r>
          </w:p>
        </w:tc>
      </w:tr>
      <w:tr w14:paraId="56EB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98D05">
            <w:pPr>
              <w:pStyle w:val="13"/>
            </w:pPr>
            <w:r>
              <w:t>效益指标</w:t>
            </w:r>
          </w:p>
        </w:tc>
        <w:tc>
          <w:tcPr>
            <w:tcW w:w="2268" w:type="dxa"/>
            <w:vAlign w:val="center"/>
          </w:tcPr>
          <w:p w14:paraId="249496AB">
            <w:pPr>
              <w:pStyle w:val="12"/>
            </w:pPr>
            <w:r>
              <w:t>可持续影响指标</w:t>
            </w:r>
          </w:p>
        </w:tc>
        <w:tc>
          <w:tcPr>
            <w:tcW w:w="2835" w:type="dxa"/>
            <w:vAlign w:val="center"/>
          </w:tcPr>
          <w:p w14:paraId="40BA9C5A">
            <w:pPr>
              <w:pStyle w:val="12"/>
            </w:pPr>
            <w:r>
              <w:t>学校日常运转正常</w:t>
            </w:r>
          </w:p>
        </w:tc>
        <w:tc>
          <w:tcPr>
            <w:tcW w:w="5386" w:type="dxa"/>
            <w:vAlign w:val="center"/>
          </w:tcPr>
          <w:p w14:paraId="525B0240">
            <w:pPr>
              <w:pStyle w:val="12"/>
            </w:pPr>
            <w:r>
              <w:t>学生受教育年限</w:t>
            </w:r>
          </w:p>
        </w:tc>
        <w:tc>
          <w:tcPr>
            <w:tcW w:w="2268" w:type="dxa"/>
            <w:vAlign w:val="center"/>
          </w:tcPr>
          <w:p w14:paraId="2A172837">
            <w:pPr>
              <w:pStyle w:val="12"/>
            </w:pPr>
            <w:r>
              <w:t>3年</w:t>
            </w:r>
          </w:p>
        </w:tc>
        <w:tc>
          <w:tcPr>
            <w:tcW w:w="1276" w:type="dxa"/>
            <w:vAlign w:val="center"/>
          </w:tcPr>
          <w:p w14:paraId="194EF8C4">
            <w:pPr>
              <w:pStyle w:val="12"/>
            </w:pPr>
            <w:r>
              <w:t>城乡义务教育公用经费管理办法</w:t>
            </w:r>
          </w:p>
        </w:tc>
      </w:tr>
      <w:tr w14:paraId="4C35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8D471">
            <w:pPr>
              <w:pStyle w:val="13"/>
            </w:pPr>
            <w:r>
              <w:t>满意度指标</w:t>
            </w:r>
          </w:p>
        </w:tc>
        <w:tc>
          <w:tcPr>
            <w:tcW w:w="2268" w:type="dxa"/>
            <w:vAlign w:val="center"/>
          </w:tcPr>
          <w:p w14:paraId="281C5160">
            <w:pPr>
              <w:pStyle w:val="12"/>
            </w:pPr>
            <w:r>
              <w:t>服务对象满意度指标</w:t>
            </w:r>
          </w:p>
        </w:tc>
        <w:tc>
          <w:tcPr>
            <w:tcW w:w="2835" w:type="dxa"/>
            <w:vAlign w:val="center"/>
          </w:tcPr>
          <w:p w14:paraId="36873A72">
            <w:pPr>
              <w:pStyle w:val="12"/>
            </w:pPr>
            <w:r>
              <w:t>受益学生家长及调查满意度</w:t>
            </w:r>
          </w:p>
        </w:tc>
        <w:tc>
          <w:tcPr>
            <w:tcW w:w="5386" w:type="dxa"/>
            <w:vAlign w:val="center"/>
          </w:tcPr>
          <w:p w14:paraId="18AE5F77">
            <w:pPr>
              <w:pStyle w:val="12"/>
            </w:pPr>
            <w:r>
              <w:t>学生、教师及家长对学校教育教学工作满意度情况</w:t>
            </w:r>
          </w:p>
        </w:tc>
        <w:tc>
          <w:tcPr>
            <w:tcW w:w="2268" w:type="dxa"/>
            <w:vAlign w:val="center"/>
          </w:tcPr>
          <w:p w14:paraId="34F88451">
            <w:pPr>
              <w:pStyle w:val="12"/>
            </w:pPr>
            <w:r>
              <w:t>≥95%</w:t>
            </w:r>
          </w:p>
        </w:tc>
        <w:tc>
          <w:tcPr>
            <w:tcW w:w="1276" w:type="dxa"/>
            <w:vAlign w:val="center"/>
          </w:tcPr>
          <w:p w14:paraId="1E1097F2">
            <w:pPr>
              <w:pStyle w:val="12"/>
            </w:pPr>
            <w:r>
              <w:t>问卷调查</w:t>
            </w:r>
          </w:p>
        </w:tc>
      </w:tr>
    </w:tbl>
    <w:p w14:paraId="7BD7A010">
      <w:pPr>
        <w:sectPr>
          <w:pgSz w:w="16840" w:h="11900" w:orient="landscape"/>
          <w:pgMar w:top="1361" w:right="1020" w:bottom="1134" w:left="1020" w:header="720" w:footer="720" w:gutter="0"/>
          <w:cols w:space="720" w:num="1"/>
        </w:sectPr>
      </w:pPr>
    </w:p>
    <w:p w14:paraId="67F50C16">
      <w:pPr>
        <w:spacing w:before="0" w:after="0"/>
        <w:ind w:firstLine="560"/>
        <w:jc w:val="left"/>
        <w:outlineLvl w:val="9"/>
      </w:pPr>
      <w:r>
        <w:rPr>
          <w:rFonts w:ascii="方正仿宋_GBK" w:hAnsi="方正仿宋_GBK" w:eastAsia="方正仿宋_GBK" w:cs="方正仿宋_GBK"/>
          <w:b/>
          <w:color w:val="000000"/>
          <w:sz w:val="28"/>
        </w:rPr>
        <w:t>2、冀财教[2025]147号/省级/2026年义教补助经费/莲子中学公用经费绩效目标表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27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16C54">
            <w:pPr>
              <w:pStyle w:val="11"/>
            </w:pPr>
            <w:r>
              <w:t>单位：万元</w:t>
            </w:r>
          </w:p>
        </w:tc>
      </w:tr>
      <w:tr w14:paraId="58A38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D7894">
            <w:pPr>
              <w:pStyle w:val="10"/>
            </w:pPr>
            <w:r>
              <w:t>项目编码</w:t>
            </w:r>
          </w:p>
        </w:tc>
        <w:tc>
          <w:tcPr>
            <w:tcW w:w="5103" w:type="dxa"/>
            <w:gridSpan w:val="2"/>
            <w:vAlign w:val="center"/>
          </w:tcPr>
          <w:p w14:paraId="6D3B3972">
            <w:pPr>
              <w:pStyle w:val="12"/>
            </w:pPr>
            <w:r>
              <w:t>13052526P00000410331H</w:t>
            </w:r>
          </w:p>
        </w:tc>
        <w:tc>
          <w:tcPr>
            <w:tcW w:w="2835" w:type="dxa"/>
            <w:vAlign w:val="center"/>
          </w:tcPr>
          <w:p w14:paraId="6CC69539">
            <w:pPr>
              <w:pStyle w:val="10"/>
            </w:pPr>
            <w:r>
              <w:t>项目名称</w:t>
            </w:r>
          </w:p>
        </w:tc>
        <w:tc>
          <w:tcPr>
            <w:tcW w:w="6095" w:type="dxa"/>
            <w:gridSpan w:val="3"/>
            <w:vAlign w:val="center"/>
          </w:tcPr>
          <w:p w14:paraId="277EDAB4">
            <w:pPr>
              <w:pStyle w:val="12"/>
            </w:pPr>
            <w:r>
              <w:t>冀财教[2025]147号/省级/2026年义教补助经费/莲子中学公用经费</w:t>
            </w:r>
          </w:p>
        </w:tc>
      </w:tr>
      <w:tr w14:paraId="79C63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F7D89">
            <w:pPr>
              <w:pStyle w:val="10"/>
            </w:pPr>
            <w:r>
              <w:t>预算规模及资金用途</w:t>
            </w:r>
          </w:p>
        </w:tc>
        <w:tc>
          <w:tcPr>
            <w:tcW w:w="2268" w:type="dxa"/>
            <w:vAlign w:val="center"/>
          </w:tcPr>
          <w:p w14:paraId="6579AB2B">
            <w:pPr>
              <w:pStyle w:val="10"/>
            </w:pPr>
            <w:r>
              <w:t>预算数</w:t>
            </w:r>
          </w:p>
        </w:tc>
        <w:tc>
          <w:tcPr>
            <w:tcW w:w="2835" w:type="dxa"/>
            <w:vAlign w:val="center"/>
          </w:tcPr>
          <w:p w14:paraId="702A2E43">
            <w:pPr>
              <w:pStyle w:val="12"/>
            </w:pPr>
            <w:r>
              <w:t>23.07</w:t>
            </w:r>
          </w:p>
        </w:tc>
        <w:tc>
          <w:tcPr>
            <w:tcW w:w="2835" w:type="dxa"/>
            <w:vAlign w:val="center"/>
          </w:tcPr>
          <w:p w14:paraId="11940A81">
            <w:pPr>
              <w:pStyle w:val="10"/>
            </w:pPr>
            <w:r>
              <w:t>其中：财政    资金</w:t>
            </w:r>
          </w:p>
        </w:tc>
        <w:tc>
          <w:tcPr>
            <w:tcW w:w="2551" w:type="dxa"/>
            <w:vAlign w:val="center"/>
          </w:tcPr>
          <w:p w14:paraId="5E379808">
            <w:pPr>
              <w:pStyle w:val="12"/>
            </w:pPr>
            <w:r>
              <w:t>23.07</w:t>
            </w:r>
          </w:p>
        </w:tc>
        <w:tc>
          <w:tcPr>
            <w:tcW w:w="2268" w:type="dxa"/>
            <w:vAlign w:val="center"/>
          </w:tcPr>
          <w:p w14:paraId="521096F4">
            <w:pPr>
              <w:pStyle w:val="10"/>
            </w:pPr>
            <w:r>
              <w:t>其他资金</w:t>
            </w:r>
          </w:p>
        </w:tc>
        <w:tc>
          <w:tcPr>
            <w:tcW w:w="1276" w:type="dxa"/>
            <w:vAlign w:val="center"/>
          </w:tcPr>
          <w:p w14:paraId="202DDAF4">
            <w:pPr>
              <w:pStyle w:val="12"/>
            </w:pPr>
            <w:r>
              <w:t xml:space="preserve"> </w:t>
            </w:r>
          </w:p>
        </w:tc>
      </w:tr>
      <w:tr w14:paraId="15797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BB2D0"/>
        </w:tc>
        <w:tc>
          <w:tcPr>
            <w:tcW w:w="14033" w:type="dxa"/>
            <w:gridSpan w:val="6"/>
            <w:vAlign w:val="center"/>
          </w:tcPr>
          <w:p w14:paraId="116DA664">
            <w:pPr>
              <w:pStyle w:val="12"/>
            </w:pPr>
            <w:r>
              <w:t>保证学校资金正常支出，保障学校正常运转</w:t>
            </w:r>
          </w:p>
        </w:tc>
      </w:tr>
      <w:tr w14:paraId="37EEC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EF4DF">
            <w:pPr>
              <w:pStyle w:val="10"/>
            </w:pPr>
            <w:r>
              <w:t>资金支出计划（%）</w:t>
            </w:r>
          </w:p>
        </w:tc>
        <w:tc>
          <w:tcPr>
            <w:tcW w:w="5103" w:type="dxa"/>
            <w:gridSpan w:val="2"/>
            <w:vAlign w:val="center"/>
          </w:tcPr>
          <w:p w14:paraId="283CC9D2">
            <w:pPr>
              <w:pStyle w:val="10"/>
            </w:pPr>
            <w:r>
              <w:t>3月底</w:t>
            </w:r>
          </w:p>
        </w:tc>
        <w:tc>
          <w:tcPr>
            <w:tcW w:w="2835" w:type="dxa"/>
            <w:vAlign w:val="center"/>
          </w:tcPr>
          <w:p w14:paraId="4556DDFC">
            <w:pPr>
              <w:pStyle w:val="10"/>
            </w:pPr>
            <w:r>
              <w:t>6月底</w:t>
            </w:r>
          </w:p>
        </w:tc>
        <w:tc>
          <w:tcPr>
            <w:tcW w:w="2551" w:type="dxa"/>
            <w:vAlign w:val="center"/>
          </w:tcPr>
          <w:p w14:paraId="74DD3C09">
            <w:pPr>
              <w:pStyle w:val="10"/>
            </w:pPr>
            <w:r>
              <w:t>10月底</w:t>
            </w:r>
          </w:p>
        </w:tc>
        <w:tc>
          <w:tcPr>
            <w:tcW w:w="3544" w:type="dxa"/>
            <w:gridSpan w:val="2"/>
            <w:vAlign w:val="center"/>
          </w:tcPr>
          <w:p w14:paraId="7C11D2BB">
            <w:pPr>
              <w:pStyle w:val="10"/>
            </w:pPr>
            <w:r>
              <w:t>12月底</w:t>
            </w:r>
          </w:p>
        </w:tc>
      </w:tr>
      <w:tr w14:paraId="5BA15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65049"/>
        </w:tc>
        <w:tc>
          <w:tcPr>
            <w:tcW w:w="5103" w:type="dxa"/>
            <w:gridSpan w:val="2"/>
            <w:vAlign w:val="center"/>
          </w:tcPr>
          <w:p w14:paraId="70C2AA6A">
            <w:pPr>
              <w:pStyle w:val="13"/>
            </w:pPr>
            <w:r>
              <w:t>25%</w:t>
            </w:r>
          </w:p>
        </w:tc>
        <w:tc>
          <w:tcPr>
            <w:tcW w:w="2835" w:type="dxa"/>
            <w:vAlign w:val="center"/>
          </w:tcPr>
          <w:p w14:paraId="4A5DC8A6">
            <w:pPr>
              <w:pStyle w:val="13"/>
            </w:pPr>
            <w:r>
              <w:t>50%</w:t>
            </w:r>
          </w:p>
        </w:tc>
        <w:tc>
          <w:tcPr>
            <w:tcW w:w="2551" w:type="dxa"/>
            <w:vAlign w:val="center"/>
          </w:tcPr>
          <w:p w14:paraId="3F9E00A5">
            <w:pPr>
              <w:pStyle w:val="13"/>
            </w:pPr>
            <w:r>
              <w:t>75%</w:t>
            </w:r>
          </w:p>
        </w:tc>
        <w:tc>
          <w:tcPr>
            <w:tcW w:w="3544" w:type="dxa"/>
            <w:gridSpan w:val="2"/>
            <w:vAlign w:val="center"/>
          </w:tcPr>
          <w:p w14:paraId="5615CA7A">
            <w:pPr>
              <w:pStyle w:val="13"/>
            </w:pPr>
            <w:r>
              <w:t>100%</w:t>
            </w:r>
          </w:p>
        </w:tc>
      </w:tr>
      <w:tr w14:paraId="63088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9323D">
            <w:pPr>
              <w:pStyle w:val="10"/>
            </w:pPr>
            <w:r>
              <w:t>绩效目标</w:t>
            </w:r>
          </w:p>
        </w:tc>
        <w:tc>
          <w:tcPr>
            <w:tcW w:w="14033" w:type="dxa"/>
            <w:gridSpan w:val="6"/>
            <w:vAlign w:val="center"/>
          </w:tcPr>
          <w:p w14:paraId="2EDA6F5E">
            <w:pPr>
              <w:pStyle w:val="12"/>
            </w:pPr>
            <w:r>
              <w:t>1.按规定拨付公用经费资金230700元，资金拨付率达到100%。</w:t>
            </w:r>
          </w:p>
          <w:p w14:paraId="2DF5FC6E">
            <w:pPr>
              <w:pStyle w:val="12"/>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5153A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8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3605D">
            <w:pPr>
              <w:pStyle w:val="10"/>
            </w:pPr>
            <w:r>
              <w:t>一级指标</w:t>
            </w:r>
          </w:p>
        </w:tc>
        <w:tc>
          <w:tcPr>
            <w:tcW w:w="2268" w:type="dxa"/>
            <w:vAlign w:val="center"/>
          </w:tcPr>
          <w:p w14:paraId="2FAB7C2F">
            <w:pPr>
              <w:pStyle w:val="10"/>
            </w:pPr>
            <w:r>
              <w:t>二级指标</w:t>
            </w:r>
          </w:p>
        </w:tc>
        <w:tc>
          <w:tcPr>
            <w:tcW w:w="2835" w:type="dxa"/>
            <w:vAlign w:val="center"/>
          </w:tcPr>
          <w:p w14:paraId="3885A623">
            <w:pPr>
              <w:pStyle w:val="10"/>
            </w:pPr>
            <w:r>
              <w:t>三级指标</w:t>
            </w:r>
          </w:p>
        </w:tc>
        <w:tc>
          <w:tcPr>
            <w:tcW w:w="5386" w:type="dxa"/>
            <w:vAlign w:val="center"/>
          </w:tcPr>
          <w:p w14:paraId="50D3DC19">
            <w:pPr>
              <w:pStyle w:val="10"/>
            </w:pPr>
            <w:r>
              <w:t>绩效指标描述</w:t>
            </w:r>
          </w:p>
        </w:tc>
        <w:tc>
          <w:tcPr>
            <w:tcW w:w="2268" w:type="dxa"/>
            <w:vAlign w:val="center"/>
          </w:tcPr>
          <w:p w14:paraId="0F8C8529">
            <w:pPr>
              <w:pStyle w:val="10"/>
            </w:pPr>
            <w:r>
              <w:t>指标值</w:t>
            </w:r>
          </w:p>
        </w:tc>
        <w:tc>
          <w:tcPr>
            <w:tcW w:w="1276" w:type="dxa"/>
            <w:vAlign w:val="center"/>
          </w:tcPr>
          <w:p w14:paraId="6CB1CB1D">
            <w:pPr>
              <w:pStyle w:val="10"/>
            </w:pPr>
            <w:r>
              <w:t>指标值确定依据</w:t>
            </w:r>
          </w:p>
        </w:tc>
      </w:tr>
      <w:tr w14:paraId="0AF5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6BE37">
            <w:pPr>
              <w:pStyle w:val="13"/>
            </w:pPr>
            <w:r>
              <w:t>产出指标</w:t>
            </w:r>
          </w:p>
        </w:tc>
        <w:tc>
          <w:tcPr>
            <w:tcW w:w="2268" w:type="dxa"/>
            <w:vAlign w:val="center"/>
          </w:tcPr>
          <w:p w14:paraId="29AE2EEF">
            <w:pPr>
              <w:pStyle w:val="12"/>
            </w:pPr>
            <w:r>
              <w:t>数量指标</w:t>
            </w:r>
          </w:p>
        </w:tc>
        <w:tc>
          <w:tcPr>
            <w:tcW w:w="2835" w:type="dxa"/>
            <w:vAlign w:val="center"/>
          </w:tcPr>
          <w:p w14:paraId="4432434C">
            <w:pPr>
              <w:pStyle w:val="12"/>
            </w:pPr>
            <w:r>
              <w:t>适龄在校生</w:t>
            </w:r>
          </w:p>
        </w:tc>
        <w:tc>
          <w:tcPr>
            <w:tcW w:w="5386" w:type="dxa"/>
            <w:vAlign w:val="center"/>
          </w:tcPr>
          <w:p w14:paraId="4E01A84C">
            <w:pPr>
              <w:pStyle w:val="12"/>
            </w:pPr>
            <w:r>
              <w:t>适龄在校就读学生人数</w:t>
            </w:r>
          </w:p>
        </w:tc>
        <w:tc>
          <w:tcPr>
            <w:tcW w:w="2268" w:type="dxa"/>
            <w:vAlign w:val="center"/>
          </w:tcPr>
          <w:p w14:paraId="4687F13D">
            <w:pPr>
              <w:pStyle w:val="12"/>
            </w:pPr>
            <w:r>
              <w:t>534人</w:t>
            </w:r>
          </w:p>
        </w:tc>
        <w:tc>
          <w:tcPr>
            <w:tcW w:w="1276" w:type="dxa"/>
            <w:vAlign w:val="center"/>
          </w:tcPr>
          <w:p w14:paraId="0B809050">
            <w:pPr>
              <w:pStyle w:val="12"/>
            </w:pPr>
            <w:r>
              <w:t>城乡义务教育公用经费管理办法</w:t>
            </w:r>
          </w:p>
        </w:tc>
      </w:tr>
      <w:tr w14:paraId="5E35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20093"/>
        </w:tc>
        <w:tc>
          <w:tcPr>
            <w:tcW w:w="2268" w:type="dxa"/>
            <w:vAlign w:val="center"/>
          </w:tcPr>
          <w:p w14:paraId="6CA6F196">
            <w:pPr>
              <w:pStyle w:val="12"/>
            </w:pPr>
            <w:r>
              <w:t>质量指标</w:t>
            </w:r>
          </w:p>
        </w:tc>
        <w:tc>
          <w:tcPr>
            <w:tcW w:w="2835" w:type="dxa"/>
            <w:vAlign w:val="center"/>
          </w:tcPr>
          <w:p w14:paraId="500772C9">
            <w:pPr>
              <w:pStyle w:val="12"/>
            </w:pPr>
            <w:r>
              <w:t>预算控制率</w:t>
            </w:r>
          </w:p>
        </w:tc>
        <w:tc>
          <w:tcPr>
            <w:tcW w:w="5386" w:type="dxa"/>
            <w:vAlign w:val="center"/>
          </w:tcPr>
          <w:p w14:paraId="72DB9C7E">
            <w:pPr>
              <w:pStyle w:val="12"/>
            </w:pPr>
            <w:r>
              <w:t>预算执行率</w:t>
            </w:r>
          </w:p>
        </w:tc>
        <w:tc>
          <w:tcPr>
            <w:tcW w:w="2268" w:type="dxa"/>
            <w:vAlign w:val="center"/>
          </w:tcPr>
          <w:p w14:paraId="6D5151FD">
            <w:pPr>
              <w:pStyle w:val="12"/>
            </w:pPr>
            <w:r>
              <w:t>≥95%</w:t>
            </w:r>
          </w:p>
        </w:tc>
        <w:tc>
          <w:tcPr>
            <w:tcW w:w="1276" w:type="dxa"/>
            <w:vAlign w:val="center"/>
          </w:tcPr>
          <w:p w14:paraId="0EB82F8E">
            <w:pPr>
              <w:pStyle w:val="12"/>
            </w:pPr>
            <w:r>
              <w:t>城乡义务教育公用经费管理办法</w:t>
            </w:r>
          </w:p>
        </w:tc>
      </w:tr>
      <w:tr w14:paraId="4B56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ED360"/>
        </w:tc>
        <w:tc>
          <w:tcPr>
            <w:tcW w:w="2268" w:type="dxa"/>
            <w:vAlign w:val="center"/>
          </w:tcPr>
          <w:p w14:paraId="11ED1CF2">
            <w:pPr>
              <w:pStyle w:val="12"/>
            </w:pPr>
            <w:r>
              <w:t>时效指标</w:t>
            </w:r>
          </w:p>
        </w:tc>
        <w:tc>
          <w:tcPr>
            <w:tcW w:w="2835" w:type="dxa"/>
            <w:vAlign w:val="center"/>
          </w:tcPr>
          <w:p w14:paraId="7E92B15A">
            <w:pPr>
              <w:pStyle w:val="12"/>
            </w:pPr>
            <w:r>
              <w:t>资金支付率</w:t>
            </w:r>
          </w:p>
        </w:tc>
        <w:tc>
          <w:tcPr>
            <w:tcW w:w="5386" w:type="dxa"/>
            <w:vAlign w:val="center"/>
          </w:tcPr>
          <w:p w14:paraId="63FB884B">
            <w:pPr>
              <w:pStyle w:val="12"/>
            </w:pPr>
            <w:r>
              <w:t>按照序时进度完成资金支付</w:t>
            </w:r>
          </w:p>
        </w:tc>
        <w:tc>
          <w:tcPr>
            <w:tcW w:w="2268" w:type="dxa"/>
            <w:vAlign w:val="center"/>
          </w:tcPr>
          <w:p w14:paraId="56B6C365">
            <w:pPr>
              <w:pStyle w:val="12"/>
            </w:pPr>
            <w:r>
              <w:t>100%</w:t>
            </w:r>
          </w:p>
        </w:tc>
        <w:tc>
          <w:tcPr>
            <w:tcW w:w="1276" w:type="dxa"/>
            <w:vAlign w:val="center"/>
          </w:tcPr>
          <w:p w14:paraId="7982A8B1">
            <w:pPr>
              <w:pStyle w:val="12"/>
            </w:pPr>
            <w:r>
              <w:t>城乡义务教育公用经费管理办法</w:t>
            </w:r>
          </w:p>
        </w:tc>
      </w:tr>
      <w:tr w14:paraId="6F90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CAEB"/>
        </w:tc>
        <w:tc>
          <w:tcPr>
            <w:tcW w:w="2268" w:type="dxa"/>
            <w:vAlign w:val="center"/>
          </w:tcPr>
          <w:p w14:paraId="7C26A7AE">
            <w:pPr>
              <w:pStyle w:val="12"/>
            </w:pPr>
            <w:r>
              <w:t>成本指标</w:t>
            </w:r>
          </w:p>
        </w:tc>
        <w:tc>
          <w:tcPr>
            <w:tcW w:w="2835" w:type="dxa"/>
            <w:vAlign w:val="center"/>
          </w:tcPr>
          <w:p w14:paraId="7015696D">
            <w:pPr>
              <w:pStyle w:val="12"/>
            </w:pPr>
            <w:r>
              <w:t>生均拨款标准</w:t>
            </w:r>
          </w:p>
        </w:tc>
        <w:tc>
          <w:tcPr>
            <w:tcW w:w="5386" w:type="dxa"/>
            <w:vAlign w:val="center"/>
          </w:tcPr>
          <w:p w14:paraId="35C28F19">
            <w:pPr>
              <w:pStyle w:val="12"/>
            </w:pPr>
            <w:r>
              <w:t>初中：（基本标准940元、寄宿生300元、取暖费120元）/生/学年；随班就读学生：标准7000元/生/学年）</w:t>
            </w:r>
          </w:p>
        </w:tc>
        <w:tc>
          <w:tcPr>
            <w:tcW w:w="2268" w:type="dxa"/>
            <w:vAlign w:val="center"/>
          </w:tcPr>
          <w:p w14:paraId="72F0F9B2">
            <w:pPr>
              <w:pStyle w:val="12"/>
            </w:pPr>
            <w:r>
              <w:t>1360元</w:t>
            </w:r>
          </w:p>
        </w:tc>
        <w:tc>
          <w:tcPr>
            <w:tcW w:w="1276" w:type="dxa"/>
            <w:vAlign w:val="center"/>
          </w:tcPr>
          <w:p w14:paraId="18A8101C">
            <w:pPr>
              <w:pStyle w:val="12"/>
            </w:pPr>
            <w:r>
              <w:t>城乡义务教育公用经费管理办法</w:t>
            </w:r>
          </w:p>
        </w:tc>
      </w:tr>
      <w:tr w14:paraId="14A5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AA503">
            <w:pPr>
              <w:pStyle w:val="13"/>
            </w:pPr>
            <w:r>
              <w:t>效益指标</w:t>
            </w:r>
          </w:p>
        </w:tc>
        <w:tc>
          <w:tcPr>
            <w:tcW w:w="2268" w:type="dxa"/>
            <w:vAlign w:val="center"/>
          </w:tcPr>
          <w:p w14:paraId="3D781404">
            <w:pPr>
              <w:pStyle w:val="12"/>
            </w:pPr>
            <w:r>
              <w:t>可持续影响指标</w:t>
            </w:r>
          </w:p>
        </w:tc>
        <w:tc>
          <w:tcPr>
            <w:tcW w:w="2835" w:type="dxa"/>
            <w:vAlign w:val="center"/>
          </w:tcPr>
          <w:p w14:paraId="1492E113">
            <w:pPr>
              <w:pStyle w:val="12"/>
            </w:pPr>
            <w:r>
              <w:t>学校日常运转正常</w:t>
            </w:r>
          </w:p>
        </w:tc>
        <w:tc>
          <w:tcPr>
            <w:tcW w:w="5386" w:type="dxa"/>
            <w:vAlign w:val="center"/>
          </w:tcPr>
          <w:p w14:paraId="2BA86A2E">
            <w:pPr>
              <w:pStyle w:val="12"/>
            </w:pPr>
            <w:r>
              <w:t>学生受教育年限</w:t>
            </w:r>
          </w:p>
        </w:tc>
        <w:tc>
          <w:tcPr>
            <w:tcW w:w="2268" w:type="dxa"/>
            <w:vAlign w:val="center"/>
          </w:tcPr>
          <w:p w14:paraId="03EAD29C">
            <w:pPr>
              <w:pStyle w:val="12"/>
            </w:pPr>
            <w:r>
              <w:t>3年</w:t>
            </w:r>
          </w:p>
        </w:tc>
        <w:tc>
          <w:tcPr>
            <w:tcW w:w="1276" w:type="dxa"/>
            <w:vAlign w:val="center"/>
          </w:tcPr>
          <w:p w14:paraId="4D881C08">
            <w:pPr>
              <w:pStyle w:val="12"/>
            </w:pPr>
            <w:r>
              <w:t>城乡义务教育公用经费管理办法</w:t>
            </w:r>
          </w:p>
        </w:tc>
      </w:tr>
      <w:tr w14:paraId="50AB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A23FF">
            <w:pPr>
              <w:pStyle w:val="13"/>
            </w:pPr>
            <w:r>
              <w:t>满意度指标</w:t>
            </w:r>
          </w:p>
        </w:tc>
        <w:tc>
          <w:tcPr>
            <w:tcW w:w="2268" w:type="dxa"/>
            <w:vAlign w:val="center"/>
          </w:tcPr>
          <w:p w14:paraId="5DCA0866">
            <w:pPr>
              <w:pStyle w:val="12"/>
            </w:pPr>
            <w:r>
              <w:t>服务对象满意度指标</w:t>
            </w:r>
          </w:p>
        </w:tc>
        <w:tc>
          <w:tcPr>
            <w:tcW w:w="2835" w:type="dxa"/>
            <w:vAlign w:val="center"/>
          </w:tcPr>
          <w:p w14:paraId="17AF42EC">
            <w:pPr>
              <w:pStyle w:val="12"/>
            </w:pPr>
            <w:r>
              <w:t>受益学生家长及调查满意度</w:t>
            </w:r>
          </w:p>
        </w:tc>
        <w:tc>
          <w:tcPr>
            <w:tcW w:w="5386" w:type="dxa"/>
            <w:vAlign w:val="center"/>
          </w:tcPr>
          <w:p w14:paraId="3667EB61">
            <w:pPr>
              <w:pStyle w:val="12"/>
            </w:pPr>
            <w:r>
              <w:t>学生、教师及家长对学校教育教学工作满意度情况</w:t>
            </w:r>
          </w:p>
        </w:tc>
        <w:tc>
          <w:tcPr>
            <w:tcW w:w="2268" w:type="dxa"/>
            <w:vAlign w:val="center"/>
          </w:tcPr>
          <w:p w14:paraId="75C283FF">
            <w:pPr>
              <w:pStyle w:val="12"/>
            </w:pPr>
            <w:r>
              <w:t>≥95%</w:t>
            </w:r>
          </w:p>
        </w:tc>
        <w:tc>
          <w:tcPr>
            <w:tcW w:w="1276" w:type="dxa"/>
            <w:vAlign w:val="center"/>
          </w:tcPr>
          <w:p w14:paraId="164DAC40">
            <w:pPr>
              <w:pStyle w:val="12"/>
            </w:pPr>
            <w:r>
              <w:t>问卷调查</w:t>
            </w:r>
          </w:p>
        </w:tc>
      </w:tr>
    </w:tbl>
    <w:p w14:paraId="67F7E565">
      <w:pPr>
        <w:sectPr>
          <w:pgSz w:w="16840" w:h="11900" w:orient="landscape"/>
          <w:pgMar w:top="1361" w:right="1020" w:bottom="1134" w:left="1020" w:header="720" w:footer="720" w:gutter="0"/>
          <w:cols w:space="720" w:num="1"/>
        </w:sectPr>
      </w:pPr>
    </w:p>
    <w:p w14:paraId="67A1D1C0">
      <w:pPr>
        <w:spacing w:before="0" w:after="0"/>
        <w:ind w:firstLine="560"/>
        <w:jc w:val="left"/>
        <w:outlineLvl w:val="9"/>
      </w:pPr>
      <w:r>
        <w:rPr>
          <w:rFonts w:ascii="方正仿宋_GBK" w:hAnsi="方正仿宋_GBK" w:eastAsia="方正仿宋_GBK" w:cs="方正仿宋_GBK"/>
          <w:b/>
          <w:color w:val="000000"/>
          <w:sz w:val="28"/>
        </w:rPr>
        <w:t>3、冀财教[2025]147号/省级/义教/2026年校舍安全/莲子中学校舍维修改造绩效目标表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2F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5FC24">
            <w:pPr>
              <w:pStyle w:val="11"/>
            </w:pPr>
            <w:r>
              <w:t>单位：万元</w:t>
            </w:r>
          </w:p>
        </w:tc>
      </w:tr>
      <w:tr w14:paraId="54D02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2EAB4">
            <w:pPr>
              <w:pStyle w:val="10"/>
            </w:pPr>
            <w:r>
              <w:t>项目编码</w:t>
            </w:r>
          </w:p>
        </w:tc>
        <w:tc>
          <w:tcPr>
            <w:tcW w:w="5103" w:type="dxa"/>
            <w:gridSpan w:val="2"/>
            <w:vAlign w:val="center"/>
          </w:tcPr>
          <w:p w14:paraId="477CAB4E">
            <w:pPr>
              <w:pStyle w:val="12"/>
            </w:pPr>
            <w:r>
              <w:t>13052526P00876210099L</w:t>
            </w:r>
          </w:p>
        </w:tc>
        <w:tc>
          <w:tcPr>
            <w:tcW w:w="2835" w:type="dxa"/>
            <w:vAlign w:val="center"/>
          </w:tcPr>
          <w:p w14:paraId="14701BB3">
            <w:pPr>
              <w:pStyle w:val="10"/>
            </w:pPr>
            <w:r>
              <w:t>项目名称</w:t>
            </w:r>
          </w:p>
        </w:tc>
        <w:tc>
          <w:tcPr>
            <w:tcW w:w="6095" w:type="dxa"/>
            <w:gridSpan w:val="3"/>
            <w:vAlign w:val="center"/>
          </w:tcPr>
          <w:p w14:paraId="7446EE73">
            <w:pPr>
              <w:pStyle w:val="12"/>
            </w:pPr>
            <w:r>
              <w:t>冀财教[2025]147号/省级/义教/2026年校舍安全/莲子中学校舍维修改造</w:t>
            </w:r>
          </w:p>
        </w:tc>
      </w:tr>
      <w:tr w14:paraId="3C069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78C23">
            <w:pPr>
              <w:pStyle w:val="10"/>
            </w:pPr>
            <w:r>
              <w:t>预算规模及资金用途</w:t>
            </w:r>
          </w:p>
        </w:tc>
        <w:tc>
          <w:tcPr>
            <w:tcW w:w="2268" w:type="dxa"/>
            <w:vAlign w:val="center"/>
          </w:tcPr>
          <w:p w14:paraId="29A4A35B">
            <w:pPr>
              <w:pStyle w:val="10"/>
            </w:pPr>
            <w:r>
              <w:t>预算数</w:t>
            </w:r>
          </w:p>
        </w:tc>
        <w:tc>
          <w:tcPr>
            <w:tcW w:w="2835" w:type="dxa"/>
            <w:vAlign w:val="center"/>
          </w:tcPr>
          <w:p w14:paraId="6ECD273A">
            <w:pPr>
              <w:pStyle w:val="12"/>
            </w:pPr>
            <w:r>
              <w:t>39.00</w:t>
            </w:r>
          </w:p>
        </w:tc>
        <w:tc>
          <w:tcPr>
            <w:tcW w:w="2835" w:type="dxa"/>
            <w:vAlign w:val="center"/>
          </w:tcPr>
          <w:p w14:paraId="07BB5C75">
            <w:pPr>
              <w:pStyle w:val="10"/>
            </w:pPr>
            <w:r>
              <w:t>其中：财政    资金</w:t>
            </w:r>
          </w:p>
        </w:tc>
        <w:tc>
          <w:tcPr>
            <w:tcW w:w="2551" w:type="dxa"/>
            <w:vAlign w:val="center"/>
          </w:tcPr>
          <w:p w14:paraId="7E09A213">
            <w:pPr>
              <w:pStyle w:val="12"/>
            </w:pPr>
            <w:r>
              <w:t>39.00</w:t>
            </w:r>
          </w:p>
        </w:tc>
        <w:tc>
          <w:tcPr>
            <w:tcW w:w="2268" w:type="dxa"/>
            <w:vAlign w:val="center"/>
          </w:tcPr>
          <w:p w14:paraId="058B10F0">
            <w:pPr>
              <w:pStyle w:val="10"/>
            </w:pPr>
            <w:r>
              <w:t>其他资金</w:t>
            </w:r>
          </w:p>
        </w:tc>
        <w:tc>
          <w:tcPr>
            <w:tcW w:w="1276" w:type="dxa"/>
            <w:vAlign w:val="center"/>
          </w:tcPr>
          <w:p w14:paraId="398984D6">
            <w:pPr>
              <w:pStyle w:val="12"/>
            </w:pPr>
            <w:r>
              <w:t xml:space="preserve"> </w:t>
            </w:r>
          </w:p>
        </w:tc>
      </w:tr>
      <w:tr w14:paraId="39817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25E1E"/>
        </w:tc>
        <w:tc>
          <w:tcPr>
            <w:tcW w:w="14033" w:type="dxa"/>
            <w:gridSpan w:val="6"/>
            <w:vAlign w:val="center"/>
          </w:tcPr>
          <w:p w14:paraId="6C27A769">
            <w:pPr>
              <w:pStyle w:val="12"/>
            </w:pPr>
            <w:r>
              <w:t>"改善就学条件，提升学校形象，保障义务教育阶段教学安全，改善师生教学环境，创造良好的校园环境。</w:t>
            </w:r>
            <w:r>
              <w:tab/>
            </w:r>
          </w:p>
          <w:p w14:paraId="12F6911A">
            <w:pPr>
              <w:pStyle w:val="12"/>
            </w:pPr>
            <w:r>
              <w:t>"</w:t>
            </w:r>
            <w:r>
              <w:tab/>
            </w:r>
            <w:r>
              <w:tab/>
            </w:r>
            <w:r>
              <w:tab/>
            </w:r>
            <w:r>
              <w:tab/>
            </w:r>
            <w:r>
              <w:tab/>
            </w:r>
            <w:r>
              <w:tab/>
            </w:r>
          </w:p>
          <w:p w14:paraId="1C562526">
            <w:pPr>
              <w:pStyle w:val="12"/>
            </w:pPr>
          </w:p>
        </w:tc>
      </w:tr>
      <w:tr w14:paraId="2ACB6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FE4C6">
            <w:pPr>
              <w:pStyle w:val="10"/>
            </w:pPr>
            <w:r>
              <w:t>资金支出计划（%）</w:t>
            </w:r>
          </w:p>
        </w:tc>
        <w:tc>
          <w:tcPr>
            <w:tcW w:w="5103" w:type="dxa"/>
            <w:gridSpan w:val="2"/>
            <w:vAlign w:val="center"/>
          </w:tcPr>
          <w:p w14:paraId="301A4936">
            <w:pPr>
              <w:pStyle w:val="10"/>
            </w:pPr>
            <w:r>
              <w:t>3月底</w:t>
            </w:r>
          </w:p>
        </w:tc>
        <w:tc>
          <w:tcPr>
            <w:tcW w:w="2835" w:type="dxa"/>
            <w:vAlign w:val="center"/>
          </w:tcPr>
          <w:p w14:paraId="739BDC22">
            <w:pPr>
              <w:pStyle w:val="10"/>
            </w:pPr>
            <w:r>
              <w:t>6月底</w:t>
            </w:r>
          </w:p>
        </w:tc>
        <w:tc>
          <w:tcPr>
            <w:tcW w:w="2551" w:type="dxa"/>
            <w:vAlign w:val="center"/>
          </w:tcPr>
          <w:p w14:paraId="041BD62C">
            <w:pPr>
              <w:pStyle w:val="10"/>
            </w:pPr>
            <w:r>
              <w:t>10月底</w:t>
            </w:r>
          </w:p>
        </w:tc>
        <w:tc>
          <w:tcPr>
            <w:tcW w:w="3544" w:type="dxa"/>
            <w:gridSpan w:val="2"/>
            <w:vAlign w:val="center"/>
          </w:tcPr>
          <w:p w14:paraId="1340F9D0">
            <w:pPr>
              <w:pStyle w:val="10"/>
            </w:pPr>
            <w:r>
              <w:t>12月底</w:t>
            </w:r>
          </w:p>
        </w:tc>
      </w:tr>
      <w:tr w14:paraId="5F720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576D6"/>
        </w:tc>
        <w:tc>
          <w:tcPr>
            <w:tcW w:w="5103" w:type="dxa"/>
            <w:gridSpan w:val="2"/>
            <w:vAlign w:val="center"/>
          </w:tcPr>
          <w:p w14:paraId="4A96ED6A">
            <w:pPr>
              <w:pStyle w:val="13"/>
            </w:pPr>
            <w:r>
              <w:t xml:space="preserve"> </w:t>
            </w:r>
          </w:p>
        </w:tc>
        <w:tc>
          <w:tcPr>
            <w:tcW w:w="2835" w:type="dxa"/>
            <w:vAlign w:val="center"/>
          </w:tcPr>
          <w:p w14:paraId="5F7DCC20">
            <w:pPr>
              <w:pStyle w:val="13"/>
            </w:pPr>
            <w:r>
              <w:t xml:space="preserve"> </w:t>
            </w:r>
          </w:p>
        </w:tc>
        <w:tc>
          <w:tcPr>
            <w:tcW w:w="2551" w:type="dxa"/>
            <w:vAlign w:val="center"/>
          </w:tcPr>
          <w:p w14:paraId="2FA884CF">
            <w:pPr>
              <w:pStyle w:val="13"/>
            </w:pPr>
            <w:r>
              <w:t>100%</w:t>
            </w:r>
          </w:p>
        </w:tc>
        <w:tc>
          <w:tcPr>
            <w:tcW w:w="3544" w:type="dxa"/>
            <w:gridSpan w:val="2"/>
            <w:vAlign w:val="center"/>
          </w:tcPr>
          <w:p w14:paraId="7E55C673">
            <w:pPr>
              <w:pStyle w:val="13"/>
            </w:pPr>
            <w:r>
              <w:t xml:space="preserve"> </w:t>
            </w:r>
          </w:p>
        </w:tc>
      </w:tr>
      <w:tr w14:paraId="3FE32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535AC">
            <w:pPr>
              <w:pStyle w:val="10"/>
            </w:pPr>
            <w:r>
              <w:t>绩效目标</w:t>
            </w:r>
          </w:p>
        </w:tc>
        <w:tc>
          <w:tcPr>
            <w:tcW w:w="14033" w:type="dxa"/>
            <w:gridSpan w:val="6"/>
            <w:vAlign w:val="center"/>
          </w:tcPr>
          <w:p w14:paraId="3E30D620">
            <w:pPr>
              <w:pStyle w:val="12"/>
            </w:pPr>
            <w:r>
              <w:t>1.改善就学条件，提升学校形象，保障义务教育阶段教学安全，改善师生教学环境，创造良好的校园环境。</w:t>
            </w:r>
            <w:r>
              <w:tab/>
            </w:r>
          </w:p>
          <w:p w14:paraId="46554545">
            <w:pPr>
              <w:pStyle w:val="12"/>
            </w:pPr>
          </w:p>
          <w:p w14:paraId="79556672">
            <w:pPr>
              <w:pStyle w:val="12"/>
            </w:pPr>
            <w:r>
              <w:t>2.项目需资金39万元，资金拨付率达到100%。</w:t>
            </w:r>
          </w:p>
        </w:tc>
      </w:tr>
    </w:tbl>
    <w:p w14:paraId="25CB91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2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0CD1856">
            <w:pPr>
              <w:pStyle w:val="10"/>
            </w:pPr>
            <w:r>
              <w:t>一级指标</w:t>
            </w:r>
          </w:p>
        </w:tc>
        <w:tc>
          <w:tcPr>
            <w:tcW w:w="2268" w:type="dxa"/>
            <w:vAlign w:val="center"/>
          </w:tcPr>
          <w:p w14:paraId="0A6C08A6">
            <w:pPr>
              <w:pStyle w:val="10"/>
            </w:pPr>
            <w:r>
              <w:t>二级指标</w:t>
            </w:r>
          </w:p>
        </w:tc>
        <w:tc>
          <w:tcPr>
            <w:tcW w:w="2835" w:type="dxa"/>
            <w:vAlign w:val="center"/>
          </w:tcPr>
          <w:p w14:paraId="00A97E23">
            <w:pPr>
              <w:pStyle w:val="10"/>
            </w:pPr>
            <w:r>
              <w:t>三级指标</w:t>
            </w:r>
          </w:p>
        </w:tc>
        <w:tc>
          <w:tcPr>
            <w:tcW w:w="5386" w:type="dxa"/>
            <w:vAlign w:val="center"/>
          </w:tcPr>
          <w:p w14:paraId="0A76EFBD">
            <w:pPr>
              <w:pStyle w:val="10"/>
            </w:pPr>
            <w:r>
              <w:t>绩效指标描述</w:t>
            </w:r>
          </w:p>
        </w:tc>
        <w:tc>
          <w:tcPr>
            <w:tcW w:w="2268" w:type="dxa"/>
            <w:vAlign w:val="center"/>
          </w:tcPr>
          <w:p w14:paraId="5D0C08E3">
            <w:pPr>
              <w:pStyle w:val="10"/>
            </w:pPr>
            <w:r>
              <w:t>指标值</w:t>
            </w:r>
          </w:p>
        </w:tc>
        <w:tc>
          <w:tcPr>
            <w:tcW w:w="1276" w:type="dxa"/>
            <w:vAlign w:val="center"/>
          </w:tcPr>
          <w:p w14:paraId="20C68198">
            <w:pPr>
              <w:pStyle w:val="10"/>
            </w:pPr>
            <w:r>
              <w:t>指标值确定依据</w:t>
            </w:r>
          </w:p>
        </w:tc>
      </w:tr>
      <w:tr w14:paraId="51C3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EF4D8">
            <w:pPr>
              <w:pStyle w:val="13"/>
            </w:pPr>
            <w:r>
              <w:t>产出指标</w:t>
            </w:r>
          </w:p>
        </w:tc>
        <w:tc>
          <w:tcPr>
            <w:tcW w:w="2268" w:type="dxa"/>
            <w:vAlign w:val="center"/>
          </w:tcPr>
          <w:p w14:paraId="1C908A8C">
            <w:pPr>
              <w:pStyle w:val="12"/>
            </w:pPr>
            <w:r>
              <w:t>数量指标</w:t>
            </w:r>
          </w:p>
        </w:tc>
        <w:tc>
          <w:tcPr>
            <w:tcW w:w="2835" w:type="dxa"/>
            <w:vAlign w:val="center"/>
          </w:tcPr>
          <w:p w14:paraId="4B289C27">
            <w:pPr>
              <w:pStyle w:val="12"/>
            </w:pPr>
            <w:r>
              <w:t>校舍维修改造数量</w:t>
            </w:r>
          </w:p>
        </w:tc>
        <w:tc>
          <w:tcPr>
            <w:tcW w:w="5386" w:type="dxa"/>
            <w:vAlign w:val="center"/>
          </w:tcPr>
          <w:p w14:paraId="1D359EFA">
            <w:pPr>
              <w:pStyle w:val="12"/>
            </w:pPr>
            <w:r>
              <w:t>校舍维修改造数量</w:t>
            </w:r>
          </w:p>
        </w:tc>
        <w:tc>
          <w:tcPr>
            <w:tcW w:w="2268" w:type="dxa"/>
            <w:vAlign w:val="center"/>
          </w:tcPr>
          <w:p w14:paraId="55A68A2C">
            <w:pPr>
              <w:pStyle w:val="12"/>
            </w:pPr>
            <w:r>
              <w:t>1项</w:t>
            </w:r>
          </w:p>
        </w:tc>
        <w:tc>
          <w:tcPr>
            <w:tcW w:w="1276" w:type="dxa"/>
            <w:vAlign w:val="center"/>
          </w:tcPr>
          <w:p w14:paraId="13A561BB">
            <w:pPr>
              <w:pStyle w:val="12"/>
            </w:pPr>
            <w:r>
              <w:t>项目规划</w:t>
            </w:r>
          </w:p>
        </w:tc>
      </w:tr>
      <w:tr w14:paraId="0B8A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5E7DB"/>
        </w:tc>
        <w:tc>
          <w:tcPr>
            <w:tcW w:w="2268" w:type="dxa"/>
            <w:vAlign w:val="center"/>
          </w:tcPr>
          <w:p w14:paraId="4BCCB265">
            <w:pPr>
              <w:pStyle w:val="12"/>
            </w:pPr>
            <w:r>
              <w:t>质量指标</w:t>
            </w:r>
          </w:p>
        </w:tc>
        <w:tc>
          <w:tcPr>
            <w:tcW w:w="2835" w:type="dxa"/>
            <w:vAlign w:val="center"/>
          </w:tcPr>
          <w:p w14:paraId="312FF85D">
            <w:pPr>
              <w:pStyle w:val="12"/>
            </w:pPr>
            <w:r>
              <w:t>工程实施验收合格率</w:t>
            </w:r>
          </w:p>
        </w:tc>
        <w:tc>
          <w:tcPr>
            <w:tcW w:w="5386" w:type="dxa"/>
            <w:vAlign w:val="center"/>
          </w:tcPr>
          <w:p w14:paraId="0C0450B3">
            <w:pPr>
              <w:pStyle w:val="12"/>
            </w:pPr>
            <w:r>
              <w:t>申报程序的合规，项目实施及资金使用符合项目规划</w:t>
            </w:r>
          </w:p>
        </w:tc>
        <w:tc>
          <w:tcPr>
            <w:tcW w:w="2268" w:type="dxa"/>
            <w:vAlign w:val="center"/>
          </w:tcPr>
          <w:p w14:paraId="2CCDD0FF">
            <w:pPr>
              <w:pStyle w:val="12"/>
            </w:pPr>
            <w:r>
              <w:t>100%</w:t>
            </w:r>
          </w:p>
        </w:tc>
        <w:tc>
          <w:tcPr>
            <w:tcW w:w="1276" w:type="dxa"/>
            <w:vAlign w:val="center"/>
          </w:tcPr>
          <w:p w14:paraId="1621144A">
            <w:pPr>
              <w:pStyle w:val="12"/>
            </w:pPr>
            <w:r>
              <w:t>项目规划</w:t>
            </w:r>
          </w:p>
        </w:tc>
      </w:tr>
      <w:tr w14:paraId="13FD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DC158"/>
        </w:tc>
        <w:tc>
          <w:tcPr>
            <w:tcW w:w="2268" w:type="dxa"/>
            <w:vAlign w:val="center"/>
          </w:tcPr>
          <w:p w14:paraId="06F45731">
            <w:pPr>
              <w:pStyle w:val="12"/>
            </w:pPr>
            <w:r>
              <w:t>时效指标</w:t>
            </w:r>
          </w:p>
        </w:tc>
        <w:tc>
          <w:tcPr>
            <w:tcW w:w="2835" w:type="dxa"/>
            <w:vAlign w:val="center"/>
          </w:tcPr>
          <w:p w14:paraId="601D4B45">
            <w:pPr>
              <w:pStyle w:val="12"/>
            </w:pPr>
            <w:r>
              <w:t>资金支付率</w:t>
            </w:r>
          </w:p>
        </w:tc>
        <w:tc>
          <w:tcPr>
            <w:tcW w:w="5386" w:type="dxa"/>
            <w:vAlign w:val="center"/>
          </w:tcPr>
          <w:p w14:paraId="037CFFDA">
            <w:pPr>
              <w:pStyle w:val="12"/>
            </w:pPr>
            <w:r>
              <w:t>按照序时进度完成资金支付</w:t>
            </w:r>
          </w:p>
        </w:tc>
        <w:tc>
          <w:tcPr>
            <w:tcW w:w="2268" w:type="dxa"/>
            <w:vAlign w:val="center"/>
          </w:tcPr>
          <w:p w14:paraId="24FCCE48">
            <w:pPr>
              <w:pStyle w:val="12"/>
            </w:pPr>
            <w:r>
              <w:t>100%</w:t>
            </w:r>
          </w:p>
        </w:tc>
        <w:tc>
          <w:tcPr>
            <w:tcW w:w="1276" w:type="dxa"/>
            <w:vAlign w:val="center"/>
          </w:tcPr>
          <w:p w14:paraId="406C5286">
            <w:pPr>
              <w:pStyle w:val="12"/>
            </w:pPr>
            <w:r>
              <w:t>项目规划</w:t>
            </w:r>
          </w:p>
        </w:tc>
      </w:tr>
      <w:tr w14:paraId="2B2D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AB05F"/>
        </w:tc>
        <w:tc>
          <w:tcPr>
            <w:tcW w:w="2268" w:type="dxa"/>
            <w:vAlign w:val="center"/>
          </w:tcPr>
          <w:p w14:paraId="3BBCDED0">
            <w:pPr>
              <w:pStyle w:val="12"/>
            </w:pPr>
            <w:r>
              <w:t>成本指标</w:t>
            </w:r>
          </w:p>
        </w:tc>
        <w:tc>
          <w:tcPr>
            <w:tcW w:w="2835" w:type="dxa"/>
            <w:vAlign w:val="center"/>
          </w:tcPr>
          <w:p w14:paraId="39891531">
            <w:pPr>
              <w:pStyle w:val="12"/>
            </w:pPr>
            <w:r>
              <w:t>项目成本控制情况</w:t>
            </w:r>
          </w:p>
        </w:tc>
        <w:tc>
          <w:tcPr>
            <w:tcW w:w="5386" w:type="dxa"/>
            <w:vAlign w:val="center"/>
          </w:tcPr>
          <w:p w14:paraId="2E1A84A5">
            <w:pPr>
              <w:pStyle w:val="12"/>
            </w:pPr>
            <w:r>
              <w:t>严格按照招标价格及验收金额进行</w:t>
            </w:r>
          </w:p>
        </w:tc>
        <w:tc>
          <w:tcPr>
            <w:tcW w:w="2268" w:type="dxa"/>
            <w:vAlign w:val="center"/>
          </w:tcPr>
          <w:p w14:paraId="2C85EA32">
            <w:pPr>
              <w:pStyle w:val="12"/>
            </w:pPr>
            <w:r>
              <w:t>≤39万元</w:t>
            </w:r>
          </w:p>
        </w:tc>
        <w:tc>
          <w:tcPr>
            <w:tcW w:w="1276" w:type="dxa"/>
            <w:vAlign w:val="center"/>
          </w:tcPr>
          <w:p w14:paraId="2FBCF627">
            <w:pPr>
              <w:pStyle w:val="12"/>
            </w:pPr>
            <w:r>
              <w:t>项目规划</w:t>
            </w:r>
          </w:p>
        </w:tc>
      </w:tr>
      <w:tr w14:paraId="141C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CFF8F">
            <w:pPr>
              <w:pStyle w:val="13"/>
            </w:pPr>
            <w:r>
              <w:t>效益指标</w:t>
            </w:r>
          </w:p>
        </w:tc>
        <w:tc>
          <w:tcPr>
            <w:tcW w:w="2268" w:type="dxa"/>
            <w:vAlign w:val="center"/>
          </w:tcPr>
          <w:p w14:paraId="7D2878FF">
            <w:pPr>
              <w:pStyle w:val="12"/>
            </w:pPr>
            <w:r>
              <w:t>可持续影响指标</w:t>
            </w:r>
          </w:p>
        </w:tc>
        <w:tc>
          <w:tcPr>
            <w:tcW w:w="2835" w:type="dxa"/>
            <w:vAlign w:val="center"/>
          </w:tcPr>
          <w:p w14:paraId="3D7AF14B">
            <w:pPr>
              <w:pStyle w:val="12"/>
            </w:pPr>
            <w:r>
              <w:t>学校运转得到提高</w:t>
            </w:r>
          </w:p>
        </w:tc>
        <w:tc>
          <w:tcPr>
            <w:tcW w:w="5386" w:type="dxa"/>
            <w:vAlign w:val="center"/>
          </w:tcPr>
          <w:p w14:paraId="5B31700E">
            <w:pPr>
              <w:pStyle w:val="12"/>
            </w:pPr>
            <w:r>
              <w:t>学生受教育年限</w:t>
            </w:r>
          </w:p>
        </w:tc>
        <w:tc>
          <w:tcPr>
            <w:tcW w:w="2268" w:type="dxa"/>
            <w:vAlign w:val="center"/>
          </w:tcPr>
          <w:p w14:paraId="68F9D340">
            <w:pPr>
              <w:pStyle w:val="12"/>
            </w:pPr>
            <w:r>
              <w:t>3年</w:t>
            </w:r>
          </w:p>
        </w:tc>
        <w:tc>
          <w:tcPr>
            <w:tcW w:w="1276" w:type="dxa"/>
            <w:vAlign w:val="center"/>
          </w:tcPr>
          <w:p w14:paraId="66379E90">
            <w:pPr>
              <w:pStyle w:val="12"/>
            </w:pPr>
            <w:r>
              <w:t>项目规划</w:t>
            </w:r>
          </w:p>
        </w:tc>
      </w:tr>
      <w:tr w14:paraId="1B32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0024F">
            <w:pPr>
              <w:pStyle w:val="13"/>
            </w:pPr>
            <w:r>
              <w:t>满意度指标</w:t>
            </w:r>
          </w:p>
        </w:tc>
        <w:tc>
          <w:tcPr>
            <w:tcW w:w="2268" w:type="dxa"/>
            <w:vAlign w:val="center"/>
          </w:tcPr>
          <w:p w14:paraId="32C1F3D5">
            <w:pPr>
              <w:pStyle w:val="12"/>
            </w:pPr>
            <w:r>
              <w:t>服务对象满意度指标</w:t>
            </w:r>
          </w:p>
        </w:tc>
        <w:tc>
          <w:tcPr>
            <w:tcW w:w="2835" w:type="dxa"/>
            <w:vAlign w:val="center"/>
          </w:tcPr>
          <w:p w14:paraId="4D2BF3F2">
            <w:pPr>
              <w:pStyle w:val="12"/>
            </w:pPr>
            <w:r>
              <w:t>受益学生家长及调查满意度</w:t>
            </w:r>
          </w:p>
        </w:tc>
        <w:tc>
          <w:tcPr>
            <w:tcW w:w="5386" w:type="dxa"/>
            <w:vAlign w:val="center"/>
          </w:tcPr>
          <w:p w14:paraId="3241AAF2">
            <w:pPr>
              <w:pStyle w:val="12"/>
            </w:pPr>
            <w:r>
              <w:t>学生、教师及家长对学校教学环境满意度情况</w:t>
            </w:r>
          </w:p>
        </w:tc>
        <w:tc>
          <w:tcPr>
            <w:tcW w:w="2268" w:type="dxa"/>
            <w:vAlign w:val="center"/>
          </w:tcPr>
          <w:p w14:paraId="2825B243">
            <w:pPr>
              <w:pStyle w:val="12"/>
            </w:pPr>
            <w:r>
              <w:t>≥98%</w:t>
            </w:r>
          </w:p>
        </w:tc>
        <w:tc>
          <w:tcPr>
            <w:tcW w:w="1276" w:type="dxa"/>
            <w:vAlign w:val="center"/>
          </w:tcPr>
          <w:p w14:paraId="605CD913">
            <w:pPr>
              <w:pStyle w:val="12"/>
            </w:pPr>
            <w:r>
              <w:t>问卷调查</w:t>
            </w:r>
          </w:p>
        </w:tc>
      </w:tr>
    </w:tbl>
    <w:p w14:paraId="1930C95D">
      <w:pPr>
        <w:sectPr>
          <w:pgSz w:w="16840" w:h="11900" w:orient="landscape"/>
          <w:pgMar w:top="1361" w:right="1020" w:bottom="1134" w:left="1020" w:header="720" w:footer="720" w:gutter="0"/>
          <w:cols w:space="720" w:num="1"/>
        </w:sectPr>
      </w:pPr>
    </w:p>
    <w:p w14:paraId="105EECCD">
      <w:pPr>
        <w:spacing w:before="0" w:after="0"/>
        <w:ind w:firstLine="560"/>
        <w:jc w:val="left"/>
        <w:outlineLvl w:val="9"/>
      </w:pPr>
      <w:r>
        <w:rPr>
          <w:rFonts w:ascii="方正仿宋_GBK" w:hAnsi="方正仿宋_GBK" w:eastAsia="方正仿宋_GBK" w:cs="方正仿宋_GBK"/>
          <w:b/>
          <w:color w:val="000000"/>
          <w:sz w:val="28"/>
        </w:rPr>
        <w:t>4、冀财教[2025]148号/支持义务教育发展/莲子中学公用经费绩效目标表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FC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3059D">
            <w:pPr>
              <w:pStyle w:val="11"/>
            </w:pPr>
            <w:r>
              <w:t>单位：万元</w:t>
            </w:r>
          </w:p>
        </w:tc>
      </w:tr>
      <w:tr w14:paraId="2C311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EDFE0">
            <w:pPr>
              <w:pStyle w:val="10"/>
            </w:pPr>
            <w:r>
              <w:t>项目编码</w:t>
            </w:r>
          </w:p>
        </w:tc>
        <w:tc>
          <w:tcPr>
            <w:tcW w:w="5103" w:type="dxa"/>
            <w:gridSpan w:val="2"/>
            <w:vAlign w:val="center"/>
          </w:tcPr>
          <w:p w14:paraId="2346A326">
            <w:pPr>
              <w:pStyle w:val="12"/>
            </w:pPr>
            <w:r>
              <w:t>13052526P00000210119Q</w:t>
            </w:r>
          </w:p>
        </w:tc>
        <w:tc>
          <w:tcPr>
            <w:tcW w:w="2835" w:type="dxa"/>
            <w:vAlign w:val="center"/>
          </w:tcPr>
          <w:p w14:paraId="52DF100A">
            <w:pPr>
              <w:pStyle w:val="10"/>
            </w:pPr>
            <w:r>
              <w:t>项目名称</w:t>
            </w:r>
          </w:p>
        </w:tc>
        <w:tc>
          <w:tcPr>
            <w:tcW w:w="6095" w:type="dxa"/>
            <w:gridSpan w:val="3"/>
            <w:vAlign w:val="center"/>
          </w:tcPr>
          <w:p w14:paraId="1090D0D1">
            <w:pPr>
              <w:pStyle w:val="12"/>
            </w:pPr>
            <w:r>
              <w:t>冀财教[2025]148号/支持义务教育发展/莲子中学公用经费</w:t>
            </w:r>
          </w:p>
        </w:tc>
      </w:tr>
      <w:tr w14:paraId="0ACA4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ED7A3">
            <w:pPr>
              <w:pStyle w:val="10"/>
            </w:pPr>
            <w:r>
              <w:t>预算规模及资金用途</w:t>
            </w:r>
          </w:p>
        </w:tc>
        <w:tc>
          <w:tcPr>
            <w:tcW w:w="2268" w:type="dxa"/>
            <w:vAlign w:val="center"/>
          </w:tcPr>
          <w:p w14:paraId="4C652F18">
            <w:pPr>
              <w:pStyle w:val="10"/>
            </w:pPr>
            <w:r>
              <w:t>预算数</w:t>
            </w:r>
          </w:p>
        </w:tc>
        <w:tc>
          <w:tcPr>
            <w:tcW w:w="2835" w:type="dxa"/>
            <w:vAlign w:val="center"/>
          </w:tcPr>
          <w:p w14:paraId="1A8D7387">
            <w:pPr>
              <w:pStyle w:val="12"/>
            </w:pPr>
            <w:r>
              <w:t>10.00</w:t>
            </w:r>
          </w:p>
        </w:tc>
        <w:tc>
          <w:tcPr>
            <w:tcW w:w="2835" w:type="dxa"/>
            <w:vAlign w:val="center"/>
          </w:tcPr>
          <w:p w14:paraId="3CB118CA">
            <w:pPr>
              <w:pStyle w:val="10"/>
            </w:pPr>
            <w:r>
              <w:t>其中：财政    资金</w:t>
            </w:r>
          </w:p>
        </w:tc>
        <w:tc>
          <w:tcPr>
            <w:tcW w:w="2551" w:type="dxa"/>
            <w:vAlign w:val="center"/>
          </w:tcPr>
          <w:p w14:paraId="70061C49">
            <w:pPr>
              <w:pStyle w:val="12"/>
            </w:pPr>
            <w:r>
              <w:t>10.00</w:t>
            </w:r>
          </w:p>
        </w:tc>
        <w:tc>
          <w:tcPr>
            <w:tcW w:w="2268" w:type="dxa"/>
            <w:vAlign w:val="center"/>
          </w:tcPr>
          <w:p w14:paraId="4CD46ED9">
            <w:pPr>
              <w:pStyle w:val="10"/>
            </w:pPr>
            <w:r>
              <w:t>其他资金</w:t>
            </w:r>
          </w:p>
        </w:tc>
        <w:tc>
          <w:tcPr>
            <w:tcW w:w="1276" w:type="dxa"/>
            <w:vAlign w:val="center"/>
          </w:tcPr>
          <w:p w14:paraId="013AC6A5">
            <w:pPr>
              <w:pStyle w:val="12"/>
            </w:pPr>
            <w:r>
              <w:t xml:space="preserve"> </w:t>
            </w:r>
          </w:p>
        </w:tc>
      </w:tr>
      <w:tr w14:paraId="79A45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76CC6"/>
        </w:tc>
        <w:tc>
          <w:tcPr>
            <w:tcW w:w="14033" w:type="dxa"/>
            <w:gridSpan w:val="6"/>
            <w:vAlign w:val="center"/>
          </w:tcPr>
          <w:p w14:paraId="20601C71">
            <w:pPr>
              <w:pStyle w:val="12"/>
            </w:pPr>
            <w:r>
              <w:t>"改善就学条件，提升学校形象，保障义务教育阶段教学安全，改善师生教学环境，创造良好的校园环境。</w:t>
            </w:r>
          </w:p>
          <w:p w14:paraId="0E659FCC">
            <w:pPr>
              <w:pStyle w:val="12"/>
            </w:pPr>
            <w:r>
              <w:t>"</w:t>
            </w:r>
            <w:r>
              <w:tab/>
            </w:r>
            <w:r>
              <w:tab/>
            </w:r>
            <w:r>
              <w:tab/>
            </w:r>
            <w:r>
              <w:tab/>
            </w:r>
            <w:r>
              <w:tab/>
            </w:r>
            <w:r>
              <w:tab/>
            </w:r>
          </w:p>
          <w:p w14:paraId="49ACC4F2">
            <w:pPr>
              <w:pStyle w:val="12"/>
            </w:pPr>
          </w:p>
        </w:tc>
      </w:tr>
      <w:tr w14:paraId="51B96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3347A">
            <w:pPr>
              <w:pStyle w:val="10"/>
            </w:pPr>
            <w:r>
              <w:t>资金支出计划（%）</w:t>
            </w:r>
          </w:p>
        </w:tc>
        <w:tc>
          <w:tcPr>
            <w:tcW w:w="5103" w:type="dxa"/>
            <w:gridSpan w:val="2"/>
            <w:vAlign w:val="center"/>
          </w:tcPr>
          <w:p w14:paraId="7222338C">
            <w:pPr>
              <w:pStyle w:val="10"/>
            </w:pPr>
            <w:r>
              <w:t>3月底</w:t>
            </w:r>
          </w:p>
        </w:tc>
        <w:tc>
          <w:tcPr>
            <w:tcW w:w="2835" w:type="dxa"/>
            <w:vAlign w:val="center"/>
          </w:tcPr>
          <w:p w14:paraId="74BA5474">
            <w:pPr>
              <w:pStyle w:val="10"/>
            </w:pPr>
            <w:r>
              <w:t>6月底</w:t>
            </w:r>
          </w:p>
        </w:tc>
        <w:tc>
          <w:tcPr>
            <w:tcW w:w="2551" w:type="dxa"/>
            <w:vAlign w:val="center"/>
          </w:tcPr>
          <w:p w14:paraId="4F329ECE">
            <w:pPr>
              <w:pStyle w:val="10"/>
            </w:pPr>
            <w:r>
              <w:t>10月底</w:t>
            </w:r>
          </w:p>
        </w:tc>
        <w:tc>
          <w:tcPr>
            <w:tcW w:w="3544" w:type="dxa"/>
            <w:gridSpan w:val="2"/>
            <w:vAlign w:val="center"/>
          </w:tcPr>
          <w:p w14:paraId="436145D1">
            <w:pPr>
              <w:pStyle w:val="10"/>
            </w:pPr>
            <w:r>
              <w:t>12月底</w:t>
            </w:r>
          </w:p>
        </w:tc>
      </w:tr>
      <w:tr w14:paraId="51E98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9E054"/>
        </w:tc>
        <w:tc>
          <w:tcPr>
            <w:tcW w:w="5103" w:type="dxa"/>
            <w:gridSpan w:val="2"/>
            <w:vAlign w:val="center"/>
          </w:tcPr>
          <w:p w14:paraId="1EE6B168">
            <w:pPr>
              <w:pStyle w:val="13"/>
            </w:pPr>
            <w:r>
              <w:t xml:space="preserve"> </w:t>
            </w:r>
          </w:p>
        </w:tc>
        <w:tc>
          <w:tcPr>
            <w:tcW w:w="2835" w:type="dxa"/>
            <w:vAlign w:val="center"/>
          </w:tcPr>
          <w:p w14:paraId="44DD82B6">
            <w:pPr>
              <w:pStyle w:val="13"/>
            </w:pPr>
            <w:r>
              <w:t>100%</w:t>
            </w:r>
          </w:p>
        </w:tc>
        <w:tc>
          <w:tcPr>
            <w:tcW w:w="2551" w:type="dxa"/>
            <w:vAlign w:val="center"/>
          </w:tcPr>
          <w:p w14:paraId="6C7AF473">
            <w:pPr>
              <w:pStyle w:val="13"/>
            </w:pPr>
            <w:r>
              <w:t>100%</w:t>
            </w:r>
          </w:p>
        </w:tc>
        <w:tc>
          <w:tcPr>
            <w:tcW w:w="3544" w:type="dxa"/>
            <w:gridSpan w:val="2"/>
            <w:vAlign w:val="center"/>
          </w:tcPr>
          <w:p w14:paraId="537C99A6">
            <w:pPr>
              <w:pStyle w:val="13"/>
            </w:pPr>
            <w:r>
              <w:t>100%</w:t>
            </w:r>
          </w:p>
        </w:tc>
      </w:tr>
      <w:tr w14:paraId="2AFEF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903A5">
            <w:pPr>
              <w:pStyle w:val="10"/>
            </w:pPr>
            <w:r>
              <w:t>绩效目标</w:t>
            </w:r>
          </w:p>
        </w:tc>
        <w:tc>
          <w:tcPr>
            <w:tcW w:w="14033" w:type="dxa"/>
            <w:gridSpan w:val="6"/>
            <w:vAlign w:val="center"/>
          </w:tcPr>
          <w:p w14:paraId="621F4611">
            <w:pPr>
              <w:pStyle w:val="12"/>
            </w:pPr>
            <w:r>
              <w:t>1.改善就学条件，提升学校形象，保障义务教育阶段教学安全，改善师生教学环境，创造良好的校园环境。</w:t>
            </w:r>
          </w:p>
          <w:p w14:paraId="4DC09556">
            <w:pPr>
              <w:pStyle w:val="12"/>
            </w:pPr>
          </w:p>
          <w:p w14:paraId="372BCD68">
            <w:pPr>
              <w:pStyle w:val="12"/>
            </w:pPr>
            <w:r>
              <w:t>2.项目需资金10万元，资金拨付率达到100%。</w:t>
            </w:r>
          </w:p>
        </w:tc>
      </w:tr>
    </w:tbl>
    <w:p w14:paraId="3B3C40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8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D3601">
            <w:pPr>
              <w:pStyle w:val="10"/>
            </w:pPr>
            <w:r>
              <w:t>一级指标</w:t>
            </w:r>
          </w:p>
        </w:tc>
        <w:tc>
          <w:tcPr>
            <w:tcW w:w="2268" w:type="dxa"/>
            <w:vAlign w:val="center"/>
          </w:tcPr>
          <w:p w14:paraId="27363845">
            <w:pPr>
              <w:pStyle w:val="10"/>
            </w:pPr>
            <w:r>
              <w:t>二级指标</w:t>
            </w:r>
          </w:p>
        </w:tc>
        <w:tc>
          <w:tcPr>
            <w:tcW w:w="2835" w:type="dxa"/>
            <w:vAlign w:val="center"/>
          </w:tcPr>
          <w:p w14:paraId="133B5E4C">
            <w:pPr>
              <w:pStyle w:val="10"/>
            </w:pPr>
            <w:r>
              <w:t>三级指标</w:t>
            </w:r>
          </w:p>
        </w:tc>
        <w:tc>
          <w:tcPr>
            <w:tcW w:w="5386" w:type="dxa"/>
            <w:vAlign w:val="center"/>
          </w:tcPr>
          <w:p w14:paraId="1C420418">
            <w:pPr>
              <w:pStyle w:val="10"/>
            </w:pPr>
            <w:r>
              <w:t>绩效指标描述</w:t>
            </w:r>
          </w:p>
        </w:tc>
        <w:tc>
          <w:tcPr>
            <w:tcW w:w="2268" w:type="dxa"/>
            <w:vAlign w:val="center"/>
          </w:tcPr>
          <w:p w14:paraId="65D99185">
            <w:pPr>
              <w:pStyle w:val="10"/>
            </w:pPr>
            <w:r>
              <w:t>指标值</w:t>
            </w:r>
          </w:p>
        </w:tc>
        <w:tc>
          <w:tcPr>
            <w:tcW w:w="1276" w:type="dxa"/>
            <w:vAlign w:val="center"/>
          </w:tcPr>
          <w:p w14:paraId="2855CECC">
            <w:pPr>
              <w:pStyle w:val="10"/>
            </w:pPr>
            <w:r>
              <w:t>指标值确定依据</w:t>
            </w:r>
          </w:p>
        </w:tc>
      </w:tr>
      <w:tr w14:paraId="072F2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89643">
            <w:pPr>
              <w:pStyle w:val="13"/>
            </w:pPr>
            <w:r>
              <w:t>产出指标</w:t>
            </w:r>
          </w:p>
        </w:tc>
        <w:tc>
          <w:tcPr>
            <w:tcW w:w="2268" w:type="dxa"/>
            <w:vAlign w:val="center"/>
          </w:tcPr>
          <w:p w14:paraId="3B102A8C">
            <w:pPr>
              <w:pStyle w:val="12"/>
            </w:pPr>
            <w:r>
              <w:t>数量指标</w:t>
            </w:r>
          </w:p>
        </w:tc>
        <w:tc>
          <w:tcPr>
            <w:tcW w:w="2835" w:type="dxa"/>
            <w:vAlign w:val="center"/>
          </w:tcPr>
          <w:p w14:paraId="74878F38">
            <w:pPr>
              <w:pStyle w:val="12"/>
            </w:pPr>
            <w:r>
              <w:t>防欺凌系统</w:t>
            </w:r>
          </w:p>
        </w:tc>
        <w:tc>
          <w:tcPr>
            <w:tcW w:w="5386" w:type="dxa"/>
            <w:vAlign w:val="center"/>
          </w:tcPr>
          <w:p w14:paraId="0266BF16">
            <w:pPr>
              <w:pStyle w:val="12"/>
            </w:pPr>
            <w:r>
              <w:t>防欺凌系统套数</w:t>
            </w:r>
          </w:p>
        </w:tc>
        <w:tc>
          <w:tcPr>
            <w:tcW w:w="2268" w:type="dxa"/>
            <w:vAlign w:val="center"/>
          </w:tcPr>
          <w:p w14:paraId="0092FA41">
            <w:pPr>
              <w:pStyle w:val="12"/>
            </w:pPr>
            <w:r>
              <w:t>1套</w:t>
            </w:r>
          </w:p>
        </w:tc>
        <w:tc>
          <w:tcPr>
            <w:tcW w:w="1276" w:type="dxa"/>
            <w:vAlign w:val="center"/>
          </w:tcPr>
          <w:p w14:paraId="686542ED">
            <w:pPr>
              <w:pStyle w:val="12"/>
            </w:pPr>
            <w:r>
              <w:t>城乡义务教育公共经费</w:t>
            </w:r>
          </w:p>
        </w:tc>
      </w:tr>
      <w:tr w14:paraId="15C3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E8FD"/>
        </w:tc>
        <w:tc>
          <w:tcPr>
            <w:tcW w:w="2268" w:type="dxa"/>
            <w:vAlign w:val="center"/>
          </w:tcPr>
          <w:p w14:paraId="092531CE">
            <w:pPr>
              <w:pStyle w:val="12"/>
            </w:pPr>
            <w:r>
              <w:t>质量指标</w:t>
            </w:r>
          </w:p>
        </w:tc>
        <w:tc>
          <w:tcPr>
            <w:tcW w:w="2835" w:type="dxa"/>
            <w:vAlign w:val="center"/>
          </w:tcPr>
          <w:p w14:paraId="74639F1F">
            <w:pPr>
              <w:pStyle w:val="12"/>
            </w:pPr>
            <w:r>
              <w:t>设备合格率</w:t>
            </w:r>
          </w:p>
        </w:tc>
        <w:tc>
          <w:tcPr>
            <w:tcW w:w="5386" w:type="dxa"/>
            <w:vAlign w:val="center"/>
          </w:tcPr>
          <w:p w14:paraId="5F87CDAC">
            <w:pPr>
              <w:pStyle w:val="12"/>
            </w:pPr>
            <w:r>
              <w:t>设备合格率</w:t>
            </w:r>
          </w:p>
        </w:tc>
        <w:tc>
          <w:tcPr>
            <w:tcW w:w="2268" w:type="dxa"/>
            <w:vAlign w:val="center"/>
          </w:tcPr>
          <w:p w14:paraId="6F6548AD">
            <w:pPr>
              <w:pStyle w:val="12"/>
            </w:pPr>
            <w:r>
              <w:t>100%</w:t>
            </w:r>
          </w:p>
        </w:tc>
        <w:tc>
          <w:tcPr>
            <w:tcW w:w="1276" w:type="dxa"/>
            <w:vAlign w:val="center"/>
          </w:tcPr>
          <w:p w14:paraId="096409CB">
            <w:pPr>
              <w:pStyle w:val="12"/>
            </w:pPr>
            <w:r>
              <w:t>城乡义务教育公共经费</w:t>
            </w:r>
          </w:p>
        </w:tc>
      </w:tr>
      <w:tr w14:paraId="72FC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197BC"/>
        </w:tc>
        <w:tc>
          <w:tcPr>
            <w:tcW w:w="2268" w:type="dxa"/>
            <w:vAlign w:val="center"/>
          </w:tcPr>
          <w:p w14:paraId="393858F2">
            <w:pPr>
              <w:pStyle w:val="12"/>
            </w:pPr>
            <w:r>
              <w:t>时效指标</w:t>
            </w:r>
          </w:p>
        </w:tc>
        <w:tc>
          <w:tcPr>
            <w:tcW w:w="2835" w:type="dxa"/>
            <w:vAlign w:val="center"/>
          </w:tcPr>
          <w:p w14:paraId="147E3466">
            <w:pPr>
              <w:pStyle w:val="12"/>
            </w:pPr>
            <w:r>
              <w:t>资金支付率</w:t>
            </w:r>
          </w:p>
        </w:tc>
        <w:tc>
          <w:tcPr>
            <w:tcW w:w="5386" w:type="dxa"/>
            <w:vAlign w:val="center"/>
          </w:tcPr>
          <w:p w14:paraId="46C04314">
            <w:pPr>
              <w:pStyle w:val="12"/>
            </w:pPr>
            <w:r>
              <w:t>按照序时进度完成资金支付</w:t>
            </w:r>
          </w:p>
        </w:tc>
        <w:tc>
          <w:tcPr>
            <w:tcW w:w="2268" w:type="dxa"/>
            <w:vAlign w:val="center"/>
          </w:tcPr>
          <w:p w14:paraId="6DA08D07">
            <w:pPr>
              <w:pStyle w:val="12"/>
            </w:pPr>
            <w:r>
              <w:t>100%</w:t>
            </w:r>
          </w:p>
        </w:tc>
        <w:tc>
          <w:tcPr>
            <w:tcW w:w="1276" w:type="dxa"/>
            <w:vAlign w:val="center"/>
          </w:tcPr>
          <w:p w14:paraId="14C78C7C">
            <w:pPr>
              <w:pStyle w:val="12"/>
            </w:pPr>
            <w:r>
              <w:t>城乡义务教育公共经费</w:t>
            </w:r>
          </w:p>
        </w:tc>
      </w:tr>
      <w:tr w14:paraId="6F9B6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F8384"/>
        </w:tc>
        <w:tc>
          <w:tcPr>
            <w:tcW w:w="2268" w:type="dxa"/>
            <w:vAlign w:val="center"/>
          </w:tcPr>
          <w:p w14:paraId="3A39CCE9">
            <w:pPr>
              <w:pStyle w:val="12"/>
            </w:pPr>
            <w:r>
              <w:t>成本指标</w:t>
            </w:r>
          </w:p>
        </w:tc>
        <w:tc>
          <w:tcPr>
            <w:tcW w:w="2835" w:type="dxa"/>
            <w:vAlign w:val="center"/>
          </w:tcPr>
          <w:p w14:paraId="48ECF924">
            <w:pPr>
              <w:pStyle w:val="12"/>
            </w:pPr>
            <w:r>
              <w:t>项目成本控制情况</w:t>
            </w:r>
          </w:p>
        </w:tc>
        <w:tc>
          <w:tcPr>
            <w:tcW w:w="5386" w:type="dxa"/>
            <w:vAlign w:val="center"/>
          </w:tcPr>
          <w:p w14:paraId="2A492B9E">
            <w:pPr>
              <w:pStyle w:val="12"/>
            </w:pPr>
            <w:r>
              <w:t>严格按照招标价格及审计额进行</w:t>
            </w:r>
          </w:p>
        </w:tc>
        <w:tc>
          <w:tcPr>
            <w:tcW w:w="2268" w:type="dxa"/>
            <w:vAlign w:val="center"/>
          </w:tcPr>
          <w:p w14:paraId="08886485">
            <w:pPr>
              <w:pStyle w:val="12"/>
            </w:pPr>
            <w:r>
              <w:t>≤10万元</w:t>
            </w:r>
          </w:p>
        </w:tc>
        <w:tc>
          <w:tcPr>
            <w:tcW w:w="1276" w:type="dxa"/>
            <w:vAlign w:val="center"/>
          </w:tcPr>
          <w:p w14:paraId="3DF35AB3">
            <w:pPr>
              <w:pStyle w:val="12"/>
            </w:pPr>
            <w:r>
              <w:t>城乡义务教育公共经费</w:t>
            </w:r>
          </w:p>
        </w:tc>
      </w:tr>
      <w:tr w14:paraId="7954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12259">
            <w:pPr>
              <w:pStyle w:val="13"/>
            </w:pPr>
            <w:r>
              <w:t>效益指标</w:t>
            </w:r>
          </w:p>
        </w:tc>
        <w:tc>
          <w:tcPr>
            <w:tcW w:w="2268" w:type="dxa"/>
            <w:vAlign w:val="center"/>
          </w:tcPr>
          <w:p w14:paraId="35257834">
            <w:pPr>
              <w:pStyle w:val="12"/>
            </w:pPr>
            <w:r>
              <w:t>可持续影响指标</w:t>
            </w:r>
          </w:p>
        </w:tc>
        <w:tc>
          <w:tcPr>
            <w:tcW w:w="2835" w:type="dxa"/>
            <w:vAlign w:val="center"/>
          </w:tcPr>
          <w:p w14:paraId="4EC80DEB">
            <w:pPr>
              <w:pStyle w:val="12"/>
            </w:pPr>
            <w:r>
              <w:t>学校运转得到提高</w:t>
            </w:r>
          </w:p>
        </w:tc>
        <w:tc>
          <w:tcPr>
            <w:tcW w:w="5386" w:type="dxa"/>
            <w:vAlign w:val="center"/>
          </w:tcPr>
          <w:p w14:paraId="268B1CDF">
            <w:pPr>
              <w:pStyle w:val="12"/>
            </w:pPr>
            <w:r>
              <w:t>学生受教育年限</w:t>
            </w:r>
          </w:p>
        </w:tc>
        <w:tc>
          <w:tcPr>
            <w:tcW w:w="2268" w:type="dxa"/>
            <w:vAlign w:val="center"/>
          </w:tcPr>
          <w:p w14:paraId="16F1C239">
            <w:pPr>
              <w:pStyle w:val="12"/>
            </w:pPr>
            <w:r>
              <w:t>3年</w:t>
            </w:r>
          </w:p>
        </w:tc>
        <w:tc>
          <w:tcPr>
            <w:tcW w:w="1276" w:type="dxa"/>
            <w:vAlign w:val="center"/>
          </w:tcPr>
          <w:p w14:paraId="62ECC3F4">
            <w:pPr>
              <w:pStyle w:val="12"/>
            </w:pPr>
            <w:r>
              <w:t>城乡义务教育公共经费</w:t>
            </w:r>
          </w:p>
        </w:tc>
      </w:tr>
      <w:tr w14:paraId="6007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9AD23">
            <w:pPr>
              <w:pStyle w:val="13"/>
            </w:pPr>
            <w:r>
              <w:t>满意度指标</w:t>
            </w:r>
          </w:p>
        </w:tc>
        <w:tc>
          <w:tcPr>
            <w:tcW w:w="2268" w:type="dxa"/>
            <w:vAlign w:val="center"/>
          </w:tcPr>
          <w:p w14:paraId="43A54E2A">
            <w:pPr>
              <w:pStyle w:val="12"/>
            </w:pPr>
            <w:r>
              <w:t>服务对象满意度指标</w:t>
            </w:r>
          </w:p>
        </w:tc>
        <w:tc>
          <w:tcPr>
            <w:tcW w:w="2835" w:type="dxa"/>
            <w:vAlign w:val="center"/>
          </w:tcPr>
          <w:p w14:paraId="2F70AB7B">
            <w:pPr>
              <w:pStyle w:val="12"/>
            </w:pPr>
            <w:r>
              <w:t>受益学生家长及调查满意度</w:t>
            </w:r>
          </w:p>
        </w:tc>
        <w:tc>
          <w:tcPr>
            <w:tcW w:w="5386" w:type="dxa"/>
            <w:vAlign w:val="center"/>
          </w:tcPr>
          <w:p w14:paraId="0DCBE50D">
            <w:pPr>
              <w:pStyle w:val="12"/>
            </w:pPr>
            <w:r>
              <w:t>学生、教师及家长对学校教学环境满意度情况</w:t>
            </w:r>
          </w:p>
        </w:tc>
        <w:tc>
          <w:tcPr>
            <w:tcW w:w="2268" w:type="dxa"/>
            <w:vAlign w:val="center"/>
          </w:tcPr>
          <w:p w14:paraId="6ECCD131">
            <w:pPr>
              <w:pStyle w:val="12"/>
            </w:pPr>
            <w:r>
              <w:t>≥98%</w:t>
            </w:r>
          </w:p>
        </w:tc>
        <w:tc>
          <w:tcPr>
            <w:tcW w:w="1276" w:type="dxa"/>
            <w:vAlign w:val="center"/>
          </w:tcPr>
          <w:p w14:paraId="2504AC38">
            <w:pPr>
              <w:pStyle w:val="12"/>
            </w:pPr>
            <w:r>
              <w:t>问卷调查</w:t>
            </w:r>
          </w:p>
        </w:tc>
      </w:tr>
    </w:tbl>
    <w:p w14:paraId="3C6BCA21">
      <w:pPr>
        <w:sectPr>
          <w:pgSz w:w="16840" w:h="11900" w:orient="landscape"/>
          <w:pgMar w:top="1361" w:right="1020" w:bottom="1134" w:left="1020" w:header="720" w:footer="720" w:gutter="0"/>
          <w:cols w:space="720" w:num="1"/>
        </w:sectPr>
      </w:pPr>
    </w:p>
    <w:p w14:paraId="38BC985F">
      <w:pPr>
        <w:spacing w:before="0" w:after="0"/>
        <w:ind w:firstLine="560"/>
        <w:jc w:val="left"/>
        <w:outlineLvl w:val="9"/>
      </w:pPr>
      <w:r>
        <w:rPr>
          <w:rFonts w:ascii="方正仿宋_GBK" w:hAnsi="方正仿宋_GBK" w:eastAsia="方正仿宋_GBK" w:cs="方正仿宋_GBK"/>
          <w:b/>
          <w:color w:val="000000"/>
          <w:sz w:val="28"/>
        </w:rPr>
        <w:t>5、县级配套/莲子中学公用经费绩效目标表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65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4527B">
            <w:pPr>
              <w:pStyle w:val="11"/>
            </w:pPr>
            <w:r>
              <w:t>单位：万元</w:t>
            </w:r>
          </w:p>
        </w:tc>
      </w:tr>
      <w:tr w14:paraId="20DC6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AF597">
            <w:pPr>
              <w:pStyle w:val="10"/>
            </w:pPr>
            <w:r>
              <w:t>项目编码</w:t>
            </w:r>
          </w:p>
        </w:tc>
        <w:tc>
          <w:tcPr>
            <w:tcW w:w="5103" w:type="dxa"/>
            <w:gridSpan w:val="2"/>
            <w:vAlign w:val="center"/>
          </w:tcPr>
          <w:p w14:paraId="783A3275">
            <w:pPr>
              <w:pStyle w:val="12"/>
            </w:pPr>
            <w:r>
              <w:t>13052526P000004104165</w:t>
            </w:r>
          </w:p>
        </w:tc>
        <w:tc>
          <w:tcPr>
            <w:tcW w:w="2835" w:type="dxa"/>
            <w:vAlign w:val="center"/>
          </w:tcPr>
          <w:p w14:paraId="43F9A2E2">
            <w:pPr>
              <w:pStyle w:val="10"/>
            </w:pPr>
            <w:r>
              <w:t>项目名称</w:t>
            </w:r>
          </w:p>
        </w:tc>
        <w:tc>
          <w:tcPr>
            <w:tcW w:w="6095" w:type="dxa"/>
            <w:gridSpan w:val="3"/>
            <w:vAlign w:val="center"/>
          </w:tcPr>
          <w:p w14:paraId="270A120E">
            <w:pPr>
              <w:pStyle w:val="12"/>
            </w:pPr>
            <w:r>
              <w:t>县级配套/莲子中学公用经费</w:t>
            </w:r>
          </w:p>
        </w:tc>
      </w:tr>
      <w:tr w14:paraId="69B95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D758C">
            <w:pPr>
              <w:pStyle w:val="10"/>
            </w:pPr>
            <w:r>
              <w:t>预算规模及资金用途</w:t>
            </w:r>
          </w:p>
        </w:tc>
        <w:tc>
          <w:tcPr>
            <w:tcW w:w="2268" w:type="dxa"/>
            <w:vAlign w:val="center"/>
          </w:tcPr>
          <w:p w14:paraId="7B91D525">
            <w:pPr>
              <w:pStyle w:val="10"/>
            </w:pPr>
            <w:r>
              <w:t>预算数</w:t>
            </w:r>
          </w:p>
        </w:tc>
        <w:tc>
          <w:tcPr>
            <w:tcW w:w="2835" w:type="dxa"/>
            <w:vAlign w:val="center"/>
          </w:tcPr>
          <w:p w14:paraId="65809E42">
            <w:pPr>
              <w:pStyle w:val="12"/>
            </w:pPr>
            <w:r>
              <w:t>10.82</w:t>
            </w:r>
          </w:p>
        </w:tc>
        <w:tc>
          <w:tcPr>
            <w:tcW w:w="2835" w:type="dxa"/>
            <w:vAlign w:val="center"/>
          </w:tcPr>
          <w:p w14:paraId="0C6762A6">
            <w:pPr>
              <w:pStyle w:val="10"/>
            </w:pPr>
            <w:r>
              <w:t>其中：财政    资金</w:t>
            </w:r>
          </w:p>
        </w:tc>
        <w:tc>
          <w:tcPr>
            <w:tcW w:w="2551" w:type="dxa"/>
            <w:vAlign w:val="center"/>
          </w:tcPr>
          <w:p w14:paraId="51E5F942">
            <w:pPr>
              <w:pStyle w:val="12"/>
            </w:pPr>
            <w:r>
              <w:t>10.82</w:t>
            </w:r>
          </w:p>
        </w:tc>
        <w:tc>
          <w:tcPr>
            <w:tcW w:w="2268" w:type="dxa"/>
            <w:vAlign w:val="center"/>
          </w:tcPr>
          <w:p w14:paraId="4FC73C31">
            <w:pPr>
              <w:pStyle w:val="10"/>
            </w:pPr>
            <w:r>
              <w:t>其他资金</w:t>
            </w:r>
          </w:p>
        </w:tc>
        <w:tc>
          <w:tcPr>
            <w:tcW w:w="1276" w:type="dxa"/>
            <w:vAlign w:val="center"/>
          </w:tcPr>
          <w:p w14:paraId="24855263">
            <w:pPr>
              <w:pStyle w:val="12"/>
            </w:pPr>
            <w:r>
              <w:t xml:space="preserve"> </w:t>
            </w:r>
          </w:p>
        </w:tc>
      </w:tr>
      <w:tr w14:paraId="06640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67E91"/>
        </w:tc>
        <w:tc>
          <w:tcPr>
            <w:tcW w:w="14033" w:type="dxa"/>
            <w:gridSpan w:val="6"/>
            <w:vAlign w:val="center"/>
          </w:tcPr>
          <w:p w14:paraId="0345107F">
            <w:pPr>
              <w:pStyle w:val="12"/>
            </w:pPr>
            <w:r>
              <w:t>保证学校资金正常支出，保障学校正常运转</w:t>
            </w:r>
          </w:p>
        </w:tc>
      </w:tr>
      <w:tr w14:paraId="6AF26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E6091">
            <w:pPr>
              <w:pStyle w:val="10"/>
            </w:pPr>
            <w:r>
              <w:t>资金支出计划（%）</w:t>
            </w:r>
          </w:p>
        </w:tc>
        <w:tc>
          <w:tcPr>
            <w:tcW w:w="5103" w:type="dxa"/>
            <w:gridSpan w:val="2"/>
            <w:vAlign w:val="center"/>
          </w:tcPr>
          <w:p w14:paraId="605D1D7B">
            <w:pPr>
              <w:pStyle w:val="10"/>
            </w:pPr>
            <w:r>
              <w:t>3月底</w:t>
            </w:r>
          </w:p>
        </w:tc>
        <w:tc>
          <w:tcPr>
            <w:tcW w:w="2835" w:type="dxa"/>
            <w:vAlign w:val="center"/>
          </w:tcPr>
          <w:p w14:paraId="435E0B0B">
            <w:pPr>
              <w:pStyle w:val="10"/>
            </w:pPr>
            <w:r>
              <w:t>6月底</w:t>
            </w:r>
          </w:p>
        </w:tc>
        <w:tc>
          <w:tcPr>
            <w:tcW w:w="2551" w:type="dxa"/>
            <w:vAlign w:val="center"/>
          </w:tcPr>
          <w:p w14:paraId="47A6B098">
            <w:pPr>
              <w:pStyle w:val="10"/>
            </w:pPr>
            <w:r>
              <w:t>10月底</w:t>
            </w:r>
          </w:p>
        </w:tc>
        <w:tc>
          <w:tcPr>
            <w:tcW w:w="3544" w:type="dxa"/>
            <w:gridSpan w:val="2"/>
            <w:vAlign w:val="center"/>
          </w:tcPr>
          <w:p w14:paraId="765F6BE4">
            <w:pPr>
              <w:pStyle w:val="10"/>
            </w:pPr>
            <w:r>
              <w:t>12月底</w:t>
            </w:r>
          </w:p>
        </w:tc>
      </w:tr>
      <w:tr w14:paraId="4F9E6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8DD8E"/>
        </w:tc>
        <w:tc>
          <w:tcPr>
            <w:tcW w:w="5103" w:type="dxa"/>
            <w:gridSpan w:val="2"/>
            <w:vAlign w:val="center"/>
          </w:tcPr>
          <w:p w14:paraId="1F8717F9">
            <w:pPr>
              <w:pStyle w:val="13"/>
            </w:pPr>
            <w:r>
              <w:t>25%</w:t>
            </w:r>
          </w:p>
        </w:tc>
        <w:tc>
          <w:tcPr>
            <w:tcW w:w="2835" w:type="dxa"/>
            <w:vAlign w:val="center"/>
          </w:tcPr>
          <w:p w14:paraId="1E60DB62">
            <w:pPr>
              <w:pStyle w:val="13"/>
            </w:pPr>
            <w:r>
              <w:t>50%</w:t>
            </w:r>
          </w:p>
        </w:tc>
        <w:tc>
          <w:tcPr>
            <w:tcW w:w="2551" w:type="dxa"/>
            <w:vAlign w:val="center"/>
          </w:tcPr>
          <w:p w14:paraId="224C4FF5">
            <w:pPr>
              <w:pStyle w:val="13"/>
            </w:pPr>
            <w:r>
              <w:t>75%</w:t>
            </w:r>
          </w:p>
        </w:tc>
        <w:tc>
          <w:tcPr>
            <w:tcW w:w="3544" w:type="dxa"/>
            <w:gridSpan w:val="2"/>
            <w:vAlign w:val="center"/>
          </w:tcPr>
          <w:p w14:paraId="15A891B6">
            <w:pPr>
              <w:pStyle w:val="13"/>
            </w:pPr>
            <w:r>
              <w:t>100%</w:t>
            </w:r>
          </w:p>
        </w:tc>
      </w:tr>
      <w:tr w14:paraId="48515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42ADB">
            <w:pPr>
              <w:pStyle w:val="10"/>
            </w:pPr>
            <w:r>
              <w:t>绩效目标</w:t>
            </w:r>
          </w:p>
        </w:tc>
        <w:tc>
          <w:tcPr>
            <w:tcW w:w="14033" w:type="dxa"/>
            <w:gridSpan w:val="6"/>
            <w:vAlign w:val="center"/>
          </w:tcPr>
          <w:p w14:paraId="548555B8">
            <w:pPr>
              <w:pStyle w:val="12"/>
            </w:pPr>
            <w:r>
              <w:t>1.按规定拨付公用经费资金108160元，资金拨付率达到100%。</w:t>
            </w:r>
          </w:p>
          <w:p w14:paraId="165FB2A6">
            <w:pPr>
              <w:pStyle w:val="12"/>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4F9F1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5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14144">
            <w:pPr>
              <w:pStyle w:val="10"/>
            </w:pPr>
            <w:r>
              <w:t>一级指标</w:t>
            </w:r>
          </w:p>
        </w:tc>
        <w:tc>
          <w:tcPr>
            <w:tcW w:w="2268" w:type="dxa"/>
            <w:vAlign w:val="center"/>
          </w:tcPr>
          <w:p w14:paraId="0CDA0310">
            <w:pPr>
              <w:pStyle w:val="10"/>
            </w:pPr>
            <w:r>
              <w:t>二级指标</w:t>
            </w:r>
          </w:p>
        </w:tc>
        <w:tc>
          <w:tcPr>
            <w:tcW w:w="2835" w:type="dxa"/>
            <w:vAlign w:val="center"/>
          </w:tcPr>
          <w:p w14:paraId="00C9529F">
            <w:pPr>
              <w:pStyle w:val="10"/>
            </w:pPr>
            <w:r>
              <w:t>三级指标</w:t>
            </w:r>
          </w:p>
        </w:tc>
        <w:tc>
          <w:tcPr>
            <w:tcW w:w="5386" w:type="dxa"/>
            <w:vAlign w:val="center"/>
          </w:tcPr>
          <w:p w14:paraId="288D9D23">
            <w:pPr>
              <w:pStyle w:val="10"/>
            </w:pPr>
            <w:r>
              <w:t>绩效指标描述</w:t>
            </w:r>
          </w:p>
        </w:tc>
        <w:tc>
          <w:tcPr>
            <w:tcW w:w="2268" w:type="dxa"/>
            <w:vAlign w:val="center"/>
          </w:tcPr>
          <w:p w14:paraId="50EFB378">
            <w:pPr>
              <w:pStyle w:val="10"/>
            </w:pPr>
            <w:r>
              <w:t>指标值</w:t>
            </w:r>
          </w:p>
        </w:tc>
        <w:tc>
          <w:tcPr>
            <w:tcW w:w="1276" w:type="dxa"/>
            <w:vAlign w:val="center"/>
          </w:tcPr>
          <w:p w14:paraId="50A5C0F6">
            <w:pPr>
              <w:pStyle w:val="10"/>
            </w:pPr>
            <w:r>
              <w:t>指标值确定依据</w:t>
            </w:r>
          </w:p>
        </w:tc>
      </w:tr>
      <w:tr w14:paraId="2F2F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76C77">
            <w:pPr>
              <w:pStyle w:val="13"/>
            </w:pPr>
            <w:r>
              <w:t>产出指标</w:t>
            </w:r>
          </w:p>
        </w:tc>
        <w:tc>
          <w:tcPr>
            <w:tcW w:w="2268" w:type="dxa"/>
            <w:vAlign w:val="center"/>
          </w:tcPr>
          <w:p w14:paraId="3161AEED">
            <w:pPr>
              <w:pStyle w:val="12"/>
            </w:pPr>
            <w:r>
              <w:t>数量指标</w:t>
            </w:r>
          </w:p>
        </w:tc>
        <w:tc>
          <w:tcPr>
            <w:tcW w:w="2835" w:type="dxa"/>
            <w:vAlign w:val="center"/>
          </w:tcPr>
          <w:p w14:paraId="520CD5C3">
            <w:pPr>
              <w:pStyle w:val="12"/>
            </w:pPr>
            <w:r>
              <w:t>适龄在校生</w:t>
            </w:r>
          </w:p>
        </w:tc>
        <w:tc>
          <w:tcPr>
            <w:tcW w:w="5386" w:type="dxa"/>
            <w:vAlign w:val="center"/>
          </w:tcPr>
          <w:p w14:paraId="4C3EBECF">
            <w:pPr>
              <w:pStyle w:val="12"/>
            </w:pPr>
            <w:r>
              <w:t>适龄在校就读学生人数</w:t>
            </w:r>
          </w:p>
        </w:tc>
        <w:tc>
          <w:tcPr>
            <w:tcW w:w="2268" w:type="dxa"/>
            <w:vAlign w:val="center"/>
          </w:tcPr>
          <w:p w14:paraId="77E20538">
            <w:pPr>
              <w:pStyle w:val="12"/>
            </w:pPr>
            <w:r>
              <w:t>534人</w:t>
            </w:r>
          </w:p>
        </w:tc>
        <w:tc>
          <w:tcPr>
            <w:tcW w:w="1276" w:type="dxa"/>
            <w:vAlign w:val="center"/>
          </w:tcPr>
          <w:p w14:paraId="4EE5DDBF">
            <w:pPr>
              <w:pStyle w:val="12"/>
            </w:pPr>
            <w:r>
              <w:t>城乡义务教育公用经费管理办法</w:t>
            </w:r>
          </w:p>
        </w:tc>
      </w:tr>
      <w:tr w14:paraId="0093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D6630"/>
        </w:tc>
        <w:tc>
          <w:tcPr>
            <w:tcW w:w="2268" w:type="dxa"/>
            <w:vAlign w:val="center"/>
          </w:tcPr>
          <w:p w14:paraId="77A462B5">
            <w:pPr>
              <w:pStyle w:val="12"/>
            </w:pPr>
            <w:r>
              <w:t>质量指标</w:t>
            </w:r>
          </w:p>
        </w:tc>
        <w:tc>
          <w:tcPr>
            <w:tcW w:w="2835" w:type="dxa"/>
            <w:vAlign w:val="center"/>
          </w:tcPr>
          <w:p w14:paraId="45A98D02">
            <w:pPr>
              <w:pStyle w:val="12"/>
            </w:pPr>
            <w:r>
              <w:t>预算控制率</w:t>
            </w:r>
          </w:p>
        </w:tc>
        <w:tc>
          <w:tcPr>
            <w:tcW w:w="5386" w:type="dxa"/>
            <w:vAlign w:val="center"/>
          </w:tcPr>
          <w:p w14:paraId="1146D4A5">
            <w:pPr>
              <w:pStyle w:val="12"/>
            </w:pPr>
            <w:r>
              <w:t>预算执行率</w:t>
            </w:r>
          </w:p>
        </w:tc>
        <w:tc>
          <w:tcPr>
            <w:tcW w:w="2268" w:type="dxa"/>
            <w:vAlign w:val="center"/>
          </w:tcPr>
          <w:p w14:paraId="663DFFE1">
            <w:pPr>
              <w:pStyle w:val="12"/>
            </w:pPr>
            <w:r>
              <w:t>≥95%</w:t>
            </w:r>
          </w:p>
        </w:tc>
        <w:tc>
          <w:tcPr>
            <w:tcW w:w="1276" w:type="dxa"/>
            <w:vAlign w:val="center"/>
          </w:tcPr>
          <w:p w14:paraId="748923FF">
            <w:pPr>
              <w:pStyle w:val="12"/>
            </w:pPr>
            <w:r>
              <w:t>城乡义务教育公用经费管理办法</w:t>
            </w:r>
          </w:p>
        </w:tc>
      </w:tr>
      <w:tr w14:paraId="119D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50C01"/>
        </w:tc>
        <w:tc>
          <w:tcPr>
            <w:tcW w:w="2268" w:type="dxa"/>
            <w:vAlign w:val="center"/>
          </w:tcPr>
          <w:p w14:paraId="6F292200">
            <w:pPr>
              <w:pStyle w:val="12"/>
            </w:pPr>
            <w:r>
              <w:t>时效指标</w:t>
            </w:r>
          </w:p>
        </w:tc>
        <w:tc>
          <w:tcPr>
            <w:tcW w:w="2835" w:type="dxa"/>
            <w:vAlign w:val="center"/>
          </w:tcPr>
          <w:p w14:paraId="391666CA">
            <w:pPr>
              <w:pStyle w:val="12"/>
            </w:pPr>
            <w:r>
              <w:t>资金支付率</w:t>
            </w:r>
          </w:p>
        </w:tc>
        <w:tc>
          <w:tcPr>
            <w:tcW w:w="5386" w:type="dxa"/>
            <w:vAlign w:val="center"/>
          </w:tcPr>
          <w:p w14:paraId="72CF5A2A">
            <w:pPr>
              <w:pStyle w:val="12"/>
            </w:pPr>
            <w:r>
              <w:t>按照序时进度完成资金支付</w:t>
            </w:r>
          </w:p>
        </w:tc>
        <w:tc>
          <w:tcPr>
            <w:tcW w:w="2268" w:type="dxa"/>
            <w:vAlign w:val="center"/>
          </w:tcPr>
          <w:p w14:paraId="3F672305">
            <w:pPr>
              <w:pStyle w:val="12"/>
            </w:pPr>
            <w:r>
              <w:t>100%</w:t>
            </w:r>
          </w:p>
        </w:tc>
        <w:tc>
          <w:tcPr>
            <w:tcW w:w="1276" w:type="dxa"/>
            <w:vAlign w:val="center"/>
          </w:tcPr>
          <w:p w14:paraId="11DCD530">
            <w:pPr>
              <w:pStyle w:val="12"/>
            </w:pPr>
            <w:r>
              <w:t>城乡义务教育公用经费管理办法</w:t>
            </w:r>
          </w:p>
        </w:tc>
      </w:tr>
      <w:tr w14:paraId="6CCB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152BE"/>
        </w:tc>
        <w:tc>
          <w:tcPr>
            <w:tcW w:w="2268" w:type="dxa"/>
            <w:vAlign w:val="center"/>
          </w:tcPr>
          <w:p w14:paraId="6FB39D64">
            <w:pPr>
              <w:pStyle w:val="12"/>
            </w:pPr>
            <w:r>
              <w:t>成本指标</w:t>
            </w:r>
          </w:p>
        </w:tc>
        <w:tc>
          <w:tcPr>
            <w:tcW w:w="2835" w:type="dxa"/>
            <w:vAlign w:val="center"/>
          </w:tcPr>
          <w:p w14:paraId="3F1FCB00">
            <w:pPr>
              <w:pStyle w:val="12"/>
            </w:pPr>
            <w:r>
              <w:t>生均拨款标准</w:t>
            </w:r>
          </w:p>
        </w:tc>
        <w:tc>
          <w:tcPr>
            <w:tcW w:w="5386" w:type="dxa"/>
            <w:vAlign w:val="center"/>
          </w:tcPr>
          <w:p w14:paraId="11CA18C6">
            <w:pPr>
              <w:pStyle w:val="12"/>
            </w:pPr>
            <w:r>
              <w:t>初中：（基本标准940元、寄宿生300元、取暖费120元）/生/学年；随班就读学生：标准7000元/生/学年）</w:t>
            </w:r>
          </w:p>
        </w:tc>
        <w:tc>
          <w:tcPr>
            <w:tcW w:w="2268" w:type="dxa"/>
            <w:vAlign w:val="center"/>
          </w:tcPr>
          <w:p w14:paraId="66F0C03A">
            <w:pPr>
              <w:pStyle w:val="12"/>
            </w:pPr>
            <w:r>
              <w:t>1360元</w:t>
            </w:r>
          </w:p>
        </w:tc>
        <w:tc>
          <w:tcPr>
            <w:tcW w:w="1276" w:type="dxa"/>
            <w:vAlign w:val="center"/>
          </w:tcPr>
          <w:p w14:paraId="6E587681">
            <w:pPr>
              <w:pStyle w:val="12"/>
            </w:pPr>
            <w:r>
              <w:t>城乡义务教育公用经费管理办法</w:t>
            </w:r>
          </w:p>
        </w:tc>
      </w:tr>
      <w:tr w14:paraId="7C1D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8CE38">
            <w:pPr>
              <w:pStyle w:val="13"/>
            </w:pPr>
            <w:r>
              <w:t>效益指标</w:t>
            </w:r>
          </w:p>
        </w:tc>
        <w:tc>
          <w:tcPr>
            <w:tcW w:w="2268" w:type="dxa"/>
            <w:vAlign w:val="center"/>
          </w:tcPr>
          <w:p w14:paraId="78385AD7">
            <w:pPr>
              <w:pStyle w:val="12"/>
            </w:pPr>
            <w:r>
              <w:t>可持续影响指标</w:t>
            </w:r>
          </w:p>
        </w:tc>
        <w:tc>
          <w:tcPr>
            <w:tcW w:w="2835" w:type="dxa"/>
            <w:vAlign w:val="center"/>
          </w:tcPr>
          <w:p w14:paraId="5271E083">
            <w:pPr>
              <w:pStyle w:val="12"/>
            </w:pPr>
            <w:r>
              <w:t>学校日常运转正常</w:t>
            </w:r>
          </w:p>
        </w:tc>
        <w:tc>
          <w:tcPr>
            <w:tcW w:w="5386" w:type="dxa"/>
            <w:vAlign w:val="center"/>
          </w:tcPr>
          <w:p w14:paraId="2139A5FF">
            <w:pPr>
              <w:pStyle w:val="12"/>
            </w:pPr>
            <w:r>
              <w:t>学生受教育年限</w:t>
            </w:r>
          </w:p>
        </w:tc>
        <w:tc>
          <w:tcPr>
            <w:tcW w:w="2268" w:type="dxa"/>
            <w:vAlign w:val="center"/>
          </w:tcPr>
          <w:p w14:paraId="31539F0D">
            <w:pPr>
              <w:pStyle w:val="12"/>
            </w:pPr>
            <w:r>
              <w:t>3年</w:t>
            </w:r>
          </w:p>
        </w:tc>
        <w:tc>
          <w:tcPr>
            <w:tcW w:w="1276" w:type="dxa"/>
            <w:vAlign w:val="center"/>
          </w:tcPr>
          <w:p w14:paraId="1594E74A">
            <w:pPr>
              <w:pStyle w:val="12"/>
            </w:pPr>
            <w:r>
              <w:t>城乡义务教育公用经费管理办法</w:t>
            </w:r>
          </w:p>
        </w:tc>
      </w:tr>
      <w:tr w14:paraId="5089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E18CE">
            <w:pPr>
              <w:pStyle w:val="13"/>
            </w:pPr>
            <w:r>
              <w:t>满意度指标</w:t>
            </w:r>
          </w:p>
        </w:tc>
        <w:tc>
          <w:tcPr>
            <w:tcW w:w="2268" w:type="dxa"/>
            <w:vAlign w:val="center"/>
          </w:tcPr>
          <w:p w14:paraId="295C6CF4">
            <w:pPr>
              <w:pStyle w:val="12"/>
            </w:pPr>
            <w:r>
              <w:t>服务对象满意度指标</w:t>
            </w:r>
          </w:p>
        </w:tc>
        <w:tc>
          <w:tcPr>
            <w:tcW w:w="2835" w:type="dxa"/>
            <w:vAlign w:val="center"/>
          </w:tcPr>
          <w:p w14:paraId="5E7EF8B9">
            <w:pPr>
              <w:pStyle w:val="12"/>
            </w:pPr>
            <w:r>
              <w:t>受益学生家长及调查满意度</w:t>
            </w:r>
          </w:p>
        </w:tc>
        <w:tc>
          <w:tcPr>
            <w:tcW w:w="5386" w:type="dxa"/>
            <w:vAlign w:val="center"/>
          </w:tcPr>
          <w:p w14:paraId="3DF76160">
            <w:pPr>
              <w:pStyle w:val="12"/>
            </w:pPr>
            <w:r>
              <w:t>学生、教师及家长对学校教育教学工作满意度情况</w:t>
            </w:r>
          </w:p>
        </w:tc>
        <w:tc>
          <w:tcPr>
            <w:tcW w:w="2268" w:type="dxa"/>
            <w:vAlign w:val="center"/>
          </w:tcPr>
          <w:p w14:paraId="66BBAC05">
            <w:pPr>
              <w:pStyle w:val="12"/>
            </w:pPr>
            <w:r>
              <w:t>≥95%</w:t>
            </w:r>
          </w:p>
        </w:tc>
        <w:tc>
          <w:tcPr>
            <w:tcW w:w="1276" w:type="dxa"/>
            <w:vAlign w:val="center"/>
          </w:tcPr>
          <w:p w14:paraId="6D9E8B37">
            <w:pPr>
              <w:pStyle w:val="12"/>
            </w:pPr>
            <w:r>
              <w:t>问卷调查</w:t>
            </w:r>
          </w:p>
        </w:tc>
      </w:tr>
    </w:tbl>
    <w:p w14:paraId="60D5AB71">
      <w:pPr>
        <w:sectPr>
          <w:pgSz w:w="16840" w:h="11900" w:orient="landscape"/>
          <w:pgMar w:top="1361" w:right="1020" w:bottom="1134" w:left="1020" w:header="720" w:footer="720" w:gutter="0"/>
          <w:cols w:space="720" w:num="1"/>
        </w:sectPr>
      </w:pPr>
    </w:p>
    <w:p w14:paraId="0C8320DC">
      <w:pPr>
        <w:spacing w:before="10" w:after="10" w:line="240" w:lineRule="auto"/>
        <w:ind w:firstLine="640"/>
        <w:jc w:val="left"/>
        <w:outlineLvl w:val="5"/>
      </w:pPr>
      <w:r>
        <w:rPr>
          <w:rFonts w:ascii="黑体" w:hAnsi="黑体" w:eastAsia="黑体" w:cs="黑体"/>
          <w:color w:val="000000"/>
          <w:sz w:val="32"/>
        </w:rPr>
        <w:t>六、政府采购预算情况</w:t>
      </w:r>
    </w:p>
    <w:p w14:paraId="26E6C63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04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D2739D">
            <w:pPr>
              <w:pStyle w:val="9"/>
            </w:pPr>
            <w:r>
              <w:t>360034隆尧县莲子中学</w:t>
            </w:r>
          </w:p>
        </w:tc>
        <w:tc>
          <w:tcPr>
            <w:tcW w:w="8676" w:type="dxa"/>
            <w:gridSpan w:val="9"/>
            <w:tcBorders>
              <w:top w:val="single" w:color="FFFFFF" w:sz="6" w:space="0"/>
              <w:left w:val="single" w:color="FFFFFF" w:sz="6" w:space="0"/>
              <w:right w:val="single" w:color="FFFFFF" w:sz="6" w:space="0"/>
            </w:tcBorders>
            <w:vAlign w:val="center"/>
          </w:tcPr>
          <w:p w14:paraId="7A3B3168">
            <w:pPr>
              <w:pStyle w:val="21"/>
            </w:pPr>
            <w:r>
              <w:t>单位：万元</w:t>
            </w:r>
          </w:p>
        </w:tc>
      </w:tr>
      <w:tr w14:paraId="65E3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42BAE7">
            <w:pPr>
              <w:pStyle w:val="10"/>
            </w:pPr>
            <w:r>
              <w:t>政府采购项目来源</w:t>
            </w:r>
          </w:p>
        </w:tc>
        <w:tc>
          <w:tcPr>
            <w:tcW w:w="1134" w:type="dxa"/>
            <w:vMerge w:val="restart"/>
            <w:vAlign w:val="center"/>
          </w:tcPr>
          <w:p w14:paraId="7D941AA0">
            <w:pPr>
              <w:pStyle w:val="10"/>
            </w:pPr>
            <w:r>
              <w:t>采购物品名称</w:t>
            </w:r>
          </w:p>
        </w:tc>
        <w:tc>
          <w:tcPr>
            <w:tcW w:w="1134" w:type="dxa"/>
            <w:vMerge w:val="restart"/>
            <w:vAlign w:val="center"/>
          </w:tcPr>
          <w:p w14:paraId="2D2ACE89">
            <w:pPr>
              <w:pStyle w:val="10"/>
            </w:pPr>
            <w:r>
              <w:t>政府采购目录序号</w:t>
            </w:r>
          </w:p>
        </w:tc>
        <w:tc>
          <w:tcPr>
            <w:tcW w:w="709" w:type="dxa"/>
            <w:vMerge w:val="restart"/>
            <w:vAlign w:val="center"/>
          </w:tcPr>
          <w:p w14:paraId="42D81D37">
            <w:pPr>
              <w:pStyle w:val="10"/>
            </w:pPr>
            <w:r>
              <w:t>计量  单位</w:t>
            </w:r>
          </w:p>
        </w:tc>
        <w:tc>
          <w:tcPr>
            <w:tcW w:w="850" w:type="dxa"/>
            <w:vMerge w:val="restart"/>
            <w:vAlign w:val="center"/>
          </w:tcPr>
          <w:p w14:paraId="58582A76">
            <w:pPr>
              <w:pStyle w:val="10"/>
            </w:pPr>
            <w:r>
              <w:t>数量</w:t>
            </w:r>
          </w:p>
        </w:tc>
        <w:tc>
          <w:tcPr>
            <w:tcW w:w="850" w:type="dxa"/>
            <w:vMerge w:val="restart"/>
            <w:vAlign w:val="center"/>
          </w:tcPr>
          <w:p w14:paraId="1940BEF8">
            <w:pPr>
              <w:pStyle w:val="10"/>
            </w:pPr>
            <w:r>
              <w:t>单价</w:t>
            </w:r>
          </w:p>
        </w:tc>
        <w:tc>
          <w:tcPr>
            <w:tcW w:w="7712" w:type="dxa"/>
            <w:gridSpan w:val="8"/>
            <w:vAlign w:val="center"/>
          </w:tcPr>
          <w:p w14:paraId="768DC170">
            <w:pPr>
              <w:pStyle w:val="10"/>
            </w:pPr>
            <w:r>
              <w:t>政府采购金额（当年部门预算安排资金）</w:t>
            </w:r>
          </w:p>
        </w:tc>
        <w:tc>
          <w:tcPr>
            <w:tcW w:w="964" w:type="dxa"/>
            <w:vMerge w:val="restart"/>
            <w:vAlign w:val="center"/>
          </w:tcPr>
          <w:p w14:paraId="3CD5D608">
            <w:pPr>
              <w:pStyle w:val="10"/>
            </w:pPr>
            <w:r>
              <w:t>2026年  预留中  小微企  业份额</w:t>
            </w:r>
          </w:p>
        </w:tc>
      </w:tr>
      <w:tr w14:paraId="154E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06960A">
            <w:pPr>
              <w:pStyle w:val="10"/>
            </w:pPr>
            <w:r>
              <w:t>项目名称</w:t>
            </w:r>
          </w:p>
        </w:tc>
        <w:tc>
          <w:tcPr>
            <w:tcW w:w="964" w:type="dxa"/>
            <w:vAlign w:val="center"/>
          </w:tcPr>
          <w:p w14:paraId="7F3D5576">
            <w:pPr>
              <w:pStyle w:val="10"/>
            </w:pPr>
            <w:r>
              <w:t>预算    资金</w:t>
            </w:r>
          </w:p>
        </w:tc>
        <w:tc>
          <w:tcPr>
            <w:tcW w:w="1134" w:type="dxa"/>
            <w:vMerge w:val="continue"/>
          </w:tcPr>
          <w:p w14:paraId="3289989A"/>
        </w:tc>
        <w:tc>
          <w:tcPr>
            <w:tcW w:w="1134" w:type="dxa"/>
            <w:vMerge w:val="continue"/>
          </w:tcPr>
          <w:p w14:paraId="2F0BC2C3"/>
        </w:tc>
        <w:tc>
          <w:tcPr>
            <w:tcW w:w="709" w:type="dxa"/>
            <w:vMerge w:val="continue"/>
          </w:tcPr>
          <w:p w14:paraId="217237B0"/>
        </w:tc>
        <w:tc>
          <w:tcPr>
            <w:tcW w:w="850" w:type="dxa"/>
            <w:vMerge w:val="continue"/>
          </w:tcPr>
          <w:p w14:paraId="39B2D475"/>
        </w:tc>
        <w:tc>
          <w:tcPr>
            <w:tcW w:w="850" w:type="dxa"/>
            <w:vMerge w:val="continue"/>
          </w:tcPr>
          <w:p w14:paraId="4EC7E384"/>
        </w:tc>
        <w:tc>
          <w:tcPr>
            <w:tcW w:w="964" w:type="dxa"/>
            <w:vAlign w:val="center"/>
          </w:tcPr>
          <w:p w14:paraId="28E6C6EC">
            <w:pPr>
              <w:pStyle w:val="10"/>
            </w:pPr>
            <w:r>
              <w:t>合计</w:t>
            </w:r>
          </w:p>
        </w:tc>
        <w:tc>
          <w:tcPr>
            <w:tcW w:w="964" w:type="dxa"/>
            <w:vAlign w:val="center"/>
          </w:tcPr>
          <w:p w14:paraId="1E3151F5">
            <w:pPr>
              <w:pStyle w:val="10"/>
            </w:pPr>
            <w:r>
              <w:t>一般公共预算拨款</w:t>
            </w:r>
          </w:p>
        </w:tc>
        <w:tc>
          <w:tcPr>
            <w:tcW w:w="964" w:type="dxa"/>
            <w:vAlign w:val="center"/>
          </w:tcPr>
          <w:p w14:paraId="50B1B3B0">
            <w:pPr>
              <w:pStyle w:val="10"/>
            </w:pPr>
            <w:r>
              <w:t>基金预算拨款</w:t>
            </w:r>
          </w:p>
        </w:tc>
        <w:tc>
          <w:tcPr>
            <w:tcW w:w="964" w:type="dxa"/>
            <w:vAlign w:val="center"/>
          </w:tcPr>
          <w:p w14:paraId="5A55DAC8">
            <w:pPr>
              <w:pStyle w:val="10"/>
            </w:pPr>
            <w:r>
              <w:t>国有资本经营预算拨款</w:t>
            </w:r>
          </w:p>
        </w:tc>
        <w:tc>
          <w:tcPr>
            <w:tcW w:w="964" w:type="dxa"/>
            <w:vAlign w:val="center"/>
          </w:tcPr>
          <w:p w14:paraId="42C5EFBE">
            <w:pPr>
              <w:pStyle w:val="10"/>
            </w:pPr>
            <w:r>
              <w:t>财政专户核拨</w:t>
            </w:r>
          </w:p>
        </w:tc>
        <w:tc>
          <w:tcPr>
            <w:tcW w:w="964" w:type="dxa"/>
            <w:vAlign w:val="center"/>
          </w:tcPr>
          <w:p w14:paraId="5E7073FF">
            <w:pPr>
              <w:pStyle w:val="10"/>
            </w:pPr>
            <w:r>
              <w:t>单位    资金</w:t>
            </w:r>
          </w:p>
        </w:tc>
        <w:tc>
          <w:tcPr>
            <w:tcW w:w="964" w:type="dxa"/>
            <w:vAlign w:val="center"/>
          </w:tcPr>
          <w:p w14:paraId="41E801F7">
            <w:pPr>
              <w:pStyle w:val="10"/>
            </w:pPr>
            <w:r>
              <w:t>财政拨款结转</w:t>
            </w:r>
          </w:p>
        </w:tc>
        <w:tc>
          <w:tcPr>
            <w:tcW w:w="964" w:type="dxa"/>
            <w:vAlign w:val="center"/>
          </w:tcPr>
          <w:p w14:paraId="105542F8">
            <w:pPr>
              <w:pStyle w:val="10"/>
            </w:pPr>
            <w:r>
              <w:t>非财政拨款结余</w:t>
            </w:r>
          </w:p>
        </w:tc>
        <w:tc>
          <w:tcPr>
            <w:tcW w:w="964" w:type="dxa"/>
            <w:vMerge w:val="continue"/>
          </w:tcPr>
          <w:p w14:paraId="18CB9220"/>
        </w:tc>
      </w:tr>
      <w:tr w14:paraId="07231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645815">
            <w:pPr>
              <w:pStyle w:val="14"/>
            </w:pPr>
            <w:r>
              <w:t>合  计</w:t>
            </w:r>
          </w:p>
        </w:tc>
        <w:tc>
          <w:tcPr>
            <w:tcW w:w="964" w:type="dxa"/>
            <w:vAlign w:val="center"/>
          </w:tcPr>
          <w:p w14:paraId="31476166">
            <w:pPr>
              <w:pStyle w:val="15"/>
            </w:pPr>
          </w:p>
        </w:tc>
        <w:tc>
          <w:tcPr>
            <w:tcW w:w="1134" w:type="dxa"/>
            <w:vAlign w:val="center"/>
          </w:tcPr>
          <w:p w14:paraId="14BC49FE">
            <w:pPr>
              <w:pStyle w:val="16"/>
            </w:pPr>
          </w:p>
        </w:tc>
        <w:tc>
          <w:tcPr>
            <w:tcW w:w="1134" w:type="dxa"/>
            <w:vAlign w:val="center"/>
          </w:tcPr>
          <w:p w14:paraId="7F51EF77">
            <w:pPr>
              <w:pStyle w:val="16"/>
            </w:pPr>
          </w:p>
        </w:tc>
        <w:tc>
          <w:tcPr>
            <w:tcW w:w="709" w:type="dxa"/>
            <w:vAlign w:val="center"/>
          </w:tcPr>
          <w:p w14:paraId="496039E5">
            <w:pPr>
              <w:pStyle w:val="14"/>
            </w:pPr>
          </w:p>
        </w:tc>
        <w:tc>
          <w:tcPr>
            <w:tcW w:w="850" w:type="dxa"/>
            <w:vAlign w:val="center"/>
          </w:tcPr>
          <w:p w14:paraId="7A2523B3">
            <w:pPr>
              <w:pStyle w:val="15"/>
            </w:pPr>
          </w:p>
        </w:tc>
        <w:tc>
          <w:tcPr>
            <w:tcW w:w="850" w:type="dxa"/>
            <w:vAlign w:val="center"/>
          </w:tcPr>
          <w:p w14:paraId="7108A249">
            <w:pPr>
              <w:pStyle w:val="15"/>
            </w:pPr>
          </w:p>
        </w:tc>
        <w:tc>
          <w:tcPr>
            <w:tcW w:w="964" w:type="dxa"/>
            <w:vAlign w:val="center"/>
          </w:tcPr>
          <w:p w14:paraId="40B3F65A">
            <w:pPr>
              <w:pStyle w:val="15"/>
            </w:pPr>
            <w:r>
              <w:t>0.60</w:t>
            </w:r>
          </w:p>
        </w:tc>
        <w:tc>
          <w:tcPr>
            <w:tcW w:w="964" w:type="dxa"/>
            <w:vAlign w:val="center"/>
          </w:tcPr>
          <w:p w14:paraId="7691E74D">
            <w:pPr>
              <w:pStyle w:val="15"/>
            </w:pPr>
            <w:r>
              <w:t>0.60</w:t>
            </w:r>
          </w:p>
        </w:tc>
        <w:tc>
          <w:tcPr>
            <w:tcW w:w="964" w:type="dxa"/>
            <w:vAlign w:val="center"/>
          </w:tcPr>
          <w:p w14:paraId="327E02C9">
            <w:pPr>
              <w:pStyle w:val="15"/>
            </w:pPr>
          </w:p>
        </w:tc>
        <w:tc>
          <w:tcPr>
            <w:tcW w:w="964" w:type="dxa"/>
            <w:vAlign w:val="center"/>
          </w:tcPr>
          <w:p w14:paraId="0E8DEF46">
            <w:pPr>
              <w:pStyle w:val="15"/>
            </w:pPr>
          </w:p>
        </w:tc>
        <w:tc>
          <w:tcPr>
            <w:tcW w:w="964" w:type="dxa"/>
            <w:vAlign w:val="center"/>
          </w:tcPr>
          <w:p w14:paraId="7E3C5551">
            <w:pPr>
              <w:pStyle w:val="15"/>
            </w:pPr>
          </w:p>
        </w:tc>
        <w:tc>
          <w:tcPr>
            <w:tcW w:w="964" w:type="dxa"/>
            <w:vAlign w:val="center"/>
          </w:tcPr>
          <w:p w14:paraId="738F2D4E">
            <w:pPr>
              <w:pStyle w:val="15"/>
            </w:pPr>
          </w:p>
        </w:tc>
        <w:tc>
          <w:tcPr>
            <w:tcW w:w="964" w:type="dxa"/>
            <w:vAlign w:val="center"/>
          </w:tcPr>
          <w:p w14:paraId="1E334235">
            <w:pPr>
              <w:pStyle w:val="15"/>
            </w:pPr>
          </w:p>
        </w:tc>
        <w:tc>
          <w:tcPr>
            <w:tcW w:w="964" w:type="dxa"/>
            <w:vAlign w:val="center"/>
          </w:tcPr>
          <w:p w14:paraId="0811CB86">
            <w:pPr>
              <w:pStyle w:val="15"/>
            </w:pPr>
          </w:p>
        </w:tc>
        <w:tc>
          <w:tcPr>
            <w:tcW w:w="964" w:type="dxa"/>
            <w:vAlign w:val="center"/>
          </w:tcPr>
          <w:p w14:paraId="7607A947">
            <w:pPr>
              <w:pStyle w:val="15"/>
            </w:pPr>
            <w:r>
              <w:t>0.60</w:t>
            </w:r>
          </w:p>
        </w:tc>
      </w:tr>
      <w:tr w14:paraId="6D72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8AAFFB">
            <w:pPr>
              <w:pStyle w:val="14"/>
            </w:pPr>
            <w:r>
              <w:t>隆尧县莲子中学小计</w:t>
            </w:r>
          </w:p>
        </w:tc>
        <w:tc>
          <w:tcPr>
            <w:tcW w:w="964" w:type="dxa"/>
            <w:vAlign w:val="center"/>
          </w:tcPr>
          <w:p w14:paraId="49449AD3">
            <w:pPr>
              <w:pStyle w:val="15"/>
            </w:pPr>
          </w:p>
        </w:tc>
        <w:tc>
          <w:tcPr>
            <w:tcW w:w="1134" w:type="dxa"/>
            <w:vAlign w:val="center"/>
          </w:tcPr>
          <w:p w14:paraId="1F198BC8">
            <w:pPr>
              <w:pStyle w:val="16"/>
            </w:pPr>
          </w:p>
        </w:tc>
        <w:tc>
          <w:tcPr>
            <w:tcW w:w="1134" w:type="dxa"/>
            <w:vAlign w:val="center"/>
          </w:tcPr>
          <w:p w14:paraId="27AA6A41">
            <w:pPr>
              <w:pStyle w:val="16"/>
            </w:pPr>
          </w:p>
        </w:tc>
        <w:tc>
          <w:tcPr>
            <w:tcW w:w="709" w:type="dxa"/>
            <w:vAlign w:val="center"/>
          </w:tcPr>
          <w:p w14:paraId="3313AD1F">
            <w:pPr>
              <w:pStyle w:val="14"/>
            </w:pPr>
          </w:p>
        </w:tc>
        <w:tc>
          <w:tcPr>
            <w:tcW w:w="850" w:type="dxa"/>
            <w:vAlign w:val="center"/>
          </w:tcPr>
          <w:p w14:paraId="4B68A3A5">
            <w:pPr>
              <w:pStyle w:val="15"/>
            </w:pPr>
          </w:p>
        </w:tc>
        <w:tc>
          <w:tcPr>
            <w:tcW w:w="850" w:type="dxa"/>
            <w:vAlign w:val="center"/>
          </w:tcPr>
          <w:p w14:paraId="62B3B836">
            <w:pPr>
              <w:pStyle w:val="15"/>
            </w:pPr>
          </w:p>
        </w:tc>
        <w:tc>
          <w:tcPr>
            <w:tcW w:w="964" w:type="dxa"/>
            <w:vAlign w:val="center"/>
          </w:tcPr>
          <w:p w14:paraId="1E52EE0A">
            <w:pPr>
              <w:pStyle w:val="15"/>
            </w:pPr>
            <w:r>
              <w:t>0.60</w:t>
            </w:r>
          </w:p>
        </w:tc>
        <w:tc>
          <w:tcPr>
            <w:tcW w:w="964" w:type="dxa"/>
            <w:vAlign w:val="center"/>
          </w:tcPr>
          <w:p w14:paraId="69EE10B8">
            <w:pPr>
              <w:pStyle w:val="15"/>
            </w:pPr>
            <w:r>
              <w:t>0.60</w:t>
            </w:r>
          </w:p>
        </w:tc>
        <w:tc>
          <w:tcPr>
            <w:tcW w:w="964" w:type="dxa"/>
            <w:vAlign w:val="center"/>
          </w:tcPr>
          <w:p w14:paraId="161B648E">
            <w:pPr>
              <w:pStyle w:val="15"/>
            </w:pPr>
          </w:p>
        </w:tc>
        <w:tc>
          <w:tcPr>
            <w:tcW w:w="964" w:type="dxa"/>
            <w:vAlign w:val="center"/>
          </w:tcPr>
          <w:p w14:paraId="26FDB5EE">
            <w:pPr>
              <w:pStyle w:val="15"/>
            </w:pPr>
          </w:p>
        </w:tc>
        <w:tc>
          <w:tcPr>
            <w:tcW w:w="964" w:type="dxa"/>
            <w:vAlign w:val="center"/>
          </w:tcPr>
          <w:p w14:paraId="6CF5F17F">
            <w:pPr>
              <w:pStyle w:val="15"/>
            </w:pPr>
          </w:p>
        </w:tc>
        <w:tc>
          <w:tcPr>
            <w:tcW w:w="964" w:type="dxa"/>
            <w:vAlign w:val="center"/>
          </w:tcPr>
          <w:p w14:paraId="396A22A1">
            <w:pPr>
              <w:pStyle w:val="15"/>
            </w:pPr>
          </w:p>
        </w:tc>
        <w:tc>
          <w:tcPr>
            <w:tcW w:w="964" w:type="dxa"/>
            <w:vAlign w:val="center"/>
          </w:tcPr>
          <w:p w14:paraId="2B8E63D0">
            <w:pPr>
              <w:pStyle w:val="15"/>
            </w:pPr>
          </w:p>
        </w:tc>
        <w:tc>
          <w:tcPr>
            <w:tcW w:w="964" w:type="dxa"/>
            <w:vAlign w:val="center"/>
          </w:tcPr>
          <w:p w14:paraId="1747B5D6">
            <w:pPr>
              <w:pStyle w:val="15"/>
            </w:pPr>
          </w:p>
        </w:tc>
        <w:tc>
          <w:tcPr>
            <w:tcW w:w="964" w:type="dxa"/>
            <w:vAlign w:val="center"/>
          </w:tcPr>
          <w:p w14:paraId="6960F01E">
            <w:pPr>
              <w:pStyle w:val="15"/>
            </w:pPr>
            <w:r>
              <w:t>0.60</w:t>
            </w:r>
          </w:p>
        </w:tc>
      </w:tr>
      <w:tr w14:paraId="5D51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9AE9F0">
            <w:pPr>
              <w:pStyle w:val="12"/>
            </w:pPr>
            <w:r>
              <w:t>冀财教[2025]147号/省级/2026年义教补助经费/莲子中学公用经费</w:t>
            </w:r>
          </w:p>
        </w:tc>
        <w:tc>
          <w:tcPr>
            <w:tcW w:w="964" w:type="dxa"/>
            <w:vAlign w:val="center"/>
          </w:tcPr>
          <w:p w14:paraId="16606672">
            <w:pPr>
              <w:pStyle w:val="11"/>
            </w:pPr>
            <w:r>
              <w:t>23.07</w:t>
            </w:r>
          </w:p>
        </w:tc>
        <w:tc>
          <w:tcPr>
            <w:tcW w:w="1134" w:type="dxa"/>
            <w:vAlign w:val="center"/>
          </w:tcPr>
          <w:p w14:paraId="2E8B42BF">
            <w:pPr>
              <w:pStyle w:val="12"/>
            </w:pPr>
            <w:r>
              <w:t>办公桌</w:t>
            </w:r>
          </w:p>
        </w:tc>
        <w:tc>
          <w:tcPr>
            <w:tcW w:w="1134" w:type="dxa"/>
            <w:vAlign w:val="center"/>
          </w:tcPr>
          <w:p w14:paraId="31DC4224">
            <w:pPr>
              <w:pStyle w:val="12"/>
            </w:pPr>
            <w:r>
              <w:t>A05010201</w:t>
            </w:r>
          </w:p>
        </w:tc>
        <w:tc>
          <w:tcPr>
            <w:tcW w:w="709" w:type="dxa"/>
            <w:vAlign w:val="center"/>
          </w:tcPr>
          <w:p w14:paraId="206B6EBC">
            <w:pPr>
              <w:pStyle w:val="13"/>
            </w:pPr>
            <w:r>
              <w:t>件</w:t>
            </w:r>
          </w:p>
        </w:tc>
        <w:tc>
          <w:tcPr>
            <w:tcW w:w="850" w:type="dxa"/>
            <w:vAlign w:val="center"/>
          </w:tcPr>
          <w:p w14:paraId="4CC61A6D">
            <w:pPr>
              <w:pStyle w:val="11"/>
            </w:pPr>
            <w:r>
              <w:t>6</w:t>
            </w:r>
          </w:p>
        </w:tc>
        <w:tc>
          <w:tcPr>
            <w:tcW w:w="850" w:type="dxa"/>
            <w:vAlign w:val="center"/>
          </w:tcPr>
          <w:p w14:paraId="27A91804">
            <w:pPr>
              <w:pStyle w:val="11"/>
            </w:pPr>
            <w:r>
              <w:t>0.10</w:t>
            </w:r>
          </w:p>
        </w:tc>
        <w:tc>
          <w:tcPr>
            <w:tcW w:w="964" w:type="dxa"/>
            <w:vAlign w:val="center"/>
          </w:tcPr>
          <w:p w14:paraId="328F5862">
            <w:pPr>
              <w:pStyle w:val="11"/>
            </w:pPr>
            <w:r>
              <w:t>0.60</w:t>
            </w:r>
          </w:p>
        </w:tc>
        <w:tc>
          <w:tcPr>
            <w:tcW w:w="964" w:type="dxa"/>
            <w:vAlign w:val="center"/>
          </w:tcPr>
          <w:p w14:paraId="0E4C7A7E">
            <w:pPr>
              <w:pStyle w:val="11"/>
            </w:pPr>
            <w:r>
              <w:t>0.60</w:t>
            </w:r>
          </w:p>
        </w:tc>
        <w:tc>
          <w:tcPr>
            <w:tcW w:w="964" w:type="dxa"/>
            <w:vAlign w:val="center"/>
          </w:tcPr>
          <w:p w14:paraId="37368EF6">
            <w:pPr>
              <w:pStyle w:val="11"/>
            </w:pPr>
          </w:p>
        </w:tc>
        <w:tc>
          <w:tcPr>
            <w:tcW w:w="964" w:type="dxa"/>
            <w:vAlign w:val="center"/>
          </w:tcPr>
          <w:p w14:paraId="59823239">
            <w:pPr>
              <w:pStyle w:val="11"/>
            </w:pPr>
          </w:p>
        </w:tc>
        <w:tc>
          <w:tcPr>
            <w:tcW w:w="964" w:type="dxa"/>
            <w:vAlign w:val="center"/>
          </w:tcPr>
          <w:p w14:paraId="39ECCC84">
            <w:pPr>
              <w:pStyle w:val="11"/>
            </w:pPr>
          </w:p>
        </w:tc>
        <w:tc>
          <w:tcPr>
            <w:tcW w:w="964" w:type="dxa"/>
            <w:vAlign w:val="center"/>
          </w:tcPr>
          <w:p w14:paraId="3D44A6A4">
            <w:pPr>
              <w:pStyle w:val="11"/>
            </w:pPr>
          </w:p>
        </w:tc>
        <w:tc>
          <w:tcPr>
            <w:tcW w:w="964" w:type="dxa"/>
            <w:vAlign w:val="center"/>
          </w:tcPr>
          <w:p w14:paraId="24C32654">
            <w:pPr>
              <w:pStyle w:val="11"/>
            </w:pPr>
          </w:p>
        </w:tc>
        <w:tc>
          <w:tcPr>
            <w:tcW w:w="964" w:type="dxa"/>
            <w:vAlign w:val="center"/>
          </w:tcPr>
          <w:p w14:paraId="033840D6">
            <w:pPr>
              <w:pStyle w:val="11"/>
            </w:pPr>
          </w:p>
        </w:tc>
        <w:tc>
          <w:tcPr>
            <w:tcW w:w="964" w:type="dxa"/>
            <w:vAlign w:val="center"/>
          </w:tcPr>
          <w:p w14:paraId="10380689">
            <w:pPr>
              <w:pStyle w:val="11"/>
            </w:pPr>
            <w:r>
              <w:t>0.60</w:t>
            </w:r>
          </w:p>
        </w:tc>
      </w:tr>
    </w:tbl>
    <w:p w14:paraId="2F1754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4F1045">
      <w:pPr>
        <w:spacing w:before="0" w:after="0"/>
        <w:ind w:firstLine="640"/>
        <w:jc w:val="left"/>
        <w:outlineLvl w:val="9"/>
      </w:pPr>
      <w:r>
        <w:rPr>
          <w:rFonts w:ascii="Times New Roman" w:hAnsi="Times New Roman" w:eastAsia="方正仿宋_GBK" w:cs="Times New Roman"/>
          <w:color w:val="000000"/>
          <w:sz w:val="32"/>
        </w:rPr>
        <w:t xml:space="preserve"> </w:t>
      </w:r>
    </w:p>
    <w:p w14:paraId="6E5DF0D6">
      <w:pPr>
        <w:spacing w:before="10" w:after="10" w:line="240" w:lineRule="auto"/>
        <w:ind w:firstLine="640"/>
        <w:jc w:val="left"/>
        <w:outlineLvl w:val="5"/>
      </w:pPr>
      <w:r>
        <w:rPr>
          <w:rFonts w:ascii="黑体" w:hAnsi="黑体" w:eastAsia="黑体" w:cs="黑体"/>
          <w:color w:val="000000"/>
          <w:sz w:val="32"/>
        </w:rPr>
        <w:t>七、国有资产信息</w:t>
      </w:r>
    </w:p>
    <w:p w14:paraId="1569C011">
      <w:pPr>
        <w:spacing w:before="0" w:after="0" w:line="500" w:lineRule="exact"/>
        <w:ind w:firstLine="560"/>
        <w:jc w:val="left"/>
        <w:outlineLvl w:val="9"/>
      </w:pPr>
      <w:r>
        <w:rPr>
          <w:rFonts w:ascii="Times New Roman" w:hAnsi="Times New Roman" w:eastAsia="方正仿宋_GBK" w:cs="Times New Roman"/>
          <w:b w:val="0"/>
          <w:color w:val="000000"/>
          <w:sz w:val="28"/>
        </w:rPr>
        <w:t>隆尧县莲子中学上年末固定资产金额为1634.69万元（详见下表）。本年度拟购置固定资产总额为2.56万元，已按要求列入政府采购预算，详见政府采购预算表。</w:t>
      </w:r>
    </w:p>
    <w:p w14:paraId="6DA7667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434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3C6ACE">
            <w:pPr>
              <w:pStyle w:val="9"/>
            </w:pPr>
            <w:r>
              <w:t>360034隆尧县莲子中学</w:t>
            </w:r>
          </w:p>
        </w:tc>
        <w:tc>
          <w:tcPr>
            <w:tcW w:w="5670" w:type="dxa"/>
            <w:gridSpan w:val="2"/>
            <w:tcBorders>
              <w:top w:val="single" w:color="FFFFFF" w:sz="6" w:space="0"/>
              <w:left w:val="single" w:color="FFFFFF" w:sz="6" w:space="0"/>
              <w:right w:val="single" w:color="FFFFFF" w:sz="6" w:space="0"/>
            </w:tcBorders>
            <w:vAlign w:val="center"/>
          </w:tcPr>
          <w:p w14:paraId="0CC338E0">
            <w:pPr>
              <w:pStyle w:val="7"/>
            </w:pPr>
            <w:r>
              <w:t>截止时间：2025-12-31</w:t>
            </w:r>
          </w:p>
        </w:tc>
      </w:tr>
      <w:tr w14:paraId="78EF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F4854D">
            <w:pPr>
              <w:pStyle w:val="10"/>
            </w:pPr>
            <w:r>
              <w:t>项   目</w:t>
            </w:r>
          </w:p>
        </w:tc>
        <w:tc>
          <w:tcPr>
            <w:tcW w:w="2835" w:type="dxa"/>
            <w:vAlign w:val="center"/>
          </w:tcPr>
          <w:p w14:paraId="5AD77D27">
            <w:pPr>
              <w:pStyle w:val="10"/>
            </w:pPr>
            <w:r>
              <w:t>数量</w:t>
            </w:r>
          </w:p>
        </w:tc>
        <w:tc>
          <w:tcPr>
            <w:tcW w:w="2835" w:type="dxa"/>
            <w:vAlign w:val="center"/>
          </w:tcPr>
          <w:p w14:paraId="048EE1FA">
            <w:pPr>
              <w:pStyle w:val="10"/>
            </w:pPr>
            <w:r>
              <w:t>价值（金额单位：万元）</w:t>
            </w:r>
          </w:p>
        </w:tc>
      </w:tr>
      <w:tr w14:paraId="2D57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F156CD">
            <w:pPr>
              <w:pStyle w:val="12"/>
            </w:pPr>
            <w:r>
              <w:t>资产总额</w:t>
            </w:r>
          </w:p>
        </w:tc>
        <w:tc>
          <w:tcPr>
            <w:tcW w:w="2835" w:type="dxa"/>
            <w:vAlign w:val="center"/>
          </w:tcPr>
          <w:p w14:paraId="2BCFB2A3">
            <w:pPr>
              <w:pStyle w:val="13"/>
            </w:pPr>
          </w:p>
        </w:tc>
        <w:tc>
          <w:tcPr>
            <w:tcW w:w="2835" w:type="dxa"/>
            <w:vAlign w:val="center"/>
          </w:tcPr>
          <w:p w14:paraId="3EE666F5">
            <w:pPr>
              <w:pStyle w:val="11"/>
            </w:pPr>
            <w:r>
              <w:t>1634.69</w:t>
            </w:r>
          </w:p>
        </w:tc>
      </w:tr>
      <w:tr w14:paraId="34963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EFFF1C">
            <w:pPr>
              <w:pStyle w:val="12"/>
            </w:pPr>
            <w:r>
              <w:t>1、房屋（平方米）</w:t>
            </w:r>
          </w:p>
        </w:tc>
        <w:tc>
          <w:tcPr>
            <w:tcW w:w="2835" w:type="dxa"/>
            <w:vAlign w:val="center"/>
          </w:tcPr>
          <w:p w14:paraId="0ED0FACD">
            <w:pPr>
              <w:pStyle w:val="13"/>
            </w:pPr>
            <w:r>
              <w:t>12488</w:t>
            </w:r>
          </w:p>
        </w:tc>
        <w:tc>
          <w:tcPr>
            <w:tcW w:w="2835" w:type="dxa"/>
            <w:vAlign w:val="center"/>
          </w:tcPr>
          <w:p w14:paraId="4C3B3025">
            <w:pPr>
              <w:pStyle w:val="11"/>
            </w:pPr>
            <w:r>
              <w:t>1167.61</w:t>
            </w:r>
          </w:p>
        </w:tc>
      </w:tr>
      <w:tr w14:paraId="28D8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D08FC3">
            <w:pPr>
              <w:pStyle w:val="12"/>
            </w:pPr>
            <w:r>
              <w:t>　　其中：办公用房（平方米）</w:t>
            </w:r>
          </w:p>
        </w:tc>
        <w:tc>
          <w:tcPr>
            <w:tcW w:w="2835" w:type="dxa"/>
            <w:vAlign w:val="center"/>
          </w:tcPr>
          <w:p w14:paraId="4B37CD2A">
            <w:pPr>
              <w:pStyle w:val="13"/>
            </w:pPr>
            <w:r>
              <w:t>1125</w:t>
            </w:r>
          </w:p>
        </w:tc>
        <w:tc>
          <w:tcPr>
            <w:tcW w:w="2835" w:type="dxa"/>
            <w:vAlign w:val="center"/>
          </w:tcPr>
          <w:p w14:paraId="1349ADD5">
            <w:pPr>
              <w:pStyle w:val="11"/>
            </w:pPr>
            <w:r>
              <w:t>106.10</w:t>
            </w:r>
          </w:p>
        </w:tc>
      </w:tr>
      <w:tr w14:paraId="3DF4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C63BE6">
            <w:pPr>
              <w:pStyle w:val="12"/>
            </w:pPr>
            <w:r>
              <w:t>2、车辆（台、辆）</w:t>
            </w:r>
          </w:p>
        </w:tc>
        <w:tc>
          <w:tcPr>
            <w:tcW w:w="2835" w:type="dxa"/>
            <w:vAlign w:val="center"/>
          </w:tcPr>
          <w:p w14:paraId="23AA3EF5">
            <w:pPr>
              <w:pStyle w:val="13"/>
            </w:pPr>
          </w:p>
        </w:tc>
        <w:tc>
          <w:tcPr>
            <w:tcW w:w="2835" w:type="dxa"/>
            <w:vAlign w:val="center"/>
          </w:tcPr>
          <w:p w14:paraId="0C010E51">
            <w:pPr>
              <w:pStyle w:val="11"/>
            </w:pPr>
          </w:p>
        </w:tc>
      </w:tr>
      <w:tr w14:paraId="3EF74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B4D15B">
            <w:pPr>
              <w:pStyle w:val="12"/>
            </w:pPr>
            <w:r>
              <w:t>3、单价在20万元以上的设备</w:t>
            </w:r>
          </w:p>
        </w:tc>
        <w:tc>
          <w:tcPr>
            <w:tcW w:w="2835" w:type="dxa"/>
            <w:vAlign w:val="center"/>
          </w:tcPr>
          <w:p w14:paraId="237518DD">
            <w:pPr>
              <w:pStyle w:val="13"/>
            </w:pPr>
          </w:p>
        </w:tc>
        <w:tc>
          <w:tcPr>
            <w:tcW w:w="2835" w:type="dxa"/>
            <w:vAlign w:val="center"/>
          </w:tcPr>
          <w:p w14:paraId="3B2E9799">
            <w:pPr>
              <w:pStyle w:val="11"/>
            </w:pPr>
          </w:p>
        </w:tc>
      </w:tr>
      <w:tr w14:paraId="7312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919AC1">
            <w:pPr>
              <w:pStyle w:val="12"/>
            </w:pPr>
            <w:r>
              <w:t>4、其他固定资产</w:t>
            </w:r>
          </w:p>
        </w:tc>
        <w:tc>
          <w:tcPr>
            <w:tcW w:w="2835" w:type="dxa"/>
            <w:vAlign w:val="center"/>
          </w:tcPr>
          <w:p w14:paraId="7BBDFA0C">
            <w:pPr>
              <w:pStyle w:val="13"/>
            </w:pPr>
            <w:r>
              <w:t>29040</w:t>
            </w:r>
          </w:p>
        </w:tc>
        <w:tc>
          <w:tcPr>
            <w:tcW w:w="2835" w:type="dxa"/>
            <w:vAlign w:val="center"/>
          </w:tcPr>
          <w:p w14:paraId="348A4FB7">
            <w:pPr>
              <w:pStyle w:val="11"/>
            </w:pPr>
            <w:r>
              <w:t>467.08</w:t>
            </w:r>
          </w:p>
        </w:tc>
      </w:tr>
    </w:tbl>
    <w:p w14:paraId="6E0BAB45">
      <w:pPr>
        <w:spacing w:before="0" w:after="0"/>
        <w:ind w:firstLine="640"/>
        <w:jc w:val="left"/>
        <w:outlineLvl w:val="9"/>
      </w:pPr>
      <w:r>
        <w:rPr>
          <w:rFonts w:ascii="Times New Roman" w:hAnsi="Times New Roman" w:eastAsia="方正仿宋_GBK" w:cs="Times New Roman"/>
          <w:color w:val="000000"/>
          <w:sz w:val="32"/>
        </w:rPr>
        <w:t xml:space="preserve"> </w:t>
      </w:r>
    </w:p>
    <w:p w14:paraId="18966F80">
      <w:pPr>
        <w:spacing w:before="10" w:after="10" w:line="240" w:lineRule="auto"/>
        <w:ind w:firstLine="640"/>
        <w:jc w:val="left"/>
        <w:outlineLvl w:val="5"/>
      </w:pPr>
      <w:r>
        <w:rPr>
          <w:rFonts w:ascii="黑体" w:hAnsi="黑体" w:eastAsia="黑体" w:cs="黑体"/>
          <w:color w:val="000000"/>
          <w:sz w:val="32"/>
        </w:rPr>
        <w:t>八、名词解释</w:t>
      </w:r>
    </w:p>
    <w:p w14:paraId="6E87D09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06EC1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8902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64B9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0A374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89B422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AFFC8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4E1EA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5E9D0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DDC9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9036E3">
      <w:pPr>
        <w:spacing w:before="10" w:after="10" w:line="240" w:lineRule="auto"/>
        <w:ind w:firstLine="640"/>
        <w:jc w:val="left"/>
        <w:outlineLvl w:val="5"/>
      </w:pPr>
      <w:r>
        <w:rPr>
          <w:rFonts w:ascii="黑体" w:hAnsi="黑体" w:eastAsia="黑体" w:cs="黑体"/>
          <w:color w:val="000000"/>
          <w:sz w:val="32"/>
        </w:rPr>
        <w:t>九、其他需要说明的事项</w:t>
      </w:r>
    </w:p>
    <w:p w14:paraId="1626E16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079094A">
      <w:pPr>
        <w:spacing w:before="0" w:after="0"/>
        <w:ind w:firstLine="0"/>
        <w:jc w:val="center"/>
        <w:outlineLvl w:val="3"/>
      </w:pPr>
      <w:bookmarkStart w:id="33" w:name="_Toc_4_4_0000000034"/>
      <w:r>
        <w:rPr>
          <w:rFonts w:ascii="方正小标宋_GBK" w:hAnsi="方正小标宋_GBK" w:eastAsia="方正小标宋_GBK" w:cs="方正小标宋_GBK"/>
          <w:b w:val="0"/>
          <w:color w:val="000000"/>
          <w:sz w:val="44"/>
        </w:rPr>
        <w:t>三十四、隆尧县唐尧街幼儿园收支预算</w:t>
      </w:r>
      <w:bookmarkEnd w:id="33"/>
    </w:p>
    <w:p w14:paraId="67A60E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CF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C5C667">
            <w:pPr>
              <w:pStyle w:val="9"/>
            </w:pPr>
            <w:r>
              <w:t>360035隆尧县唐尧街幼儿园</w:t>
            </w:r>
          </w:p>
        </w:tc>
        <w:tc>
          <w:tcPr>
            <w:tcW w:w="2126" w:type="dxa"/>
            <w:tcBorders>
              <w:top w:val="single" w:color="FFFFFF" w:sz="6" w:space="0"/>
              <w:left w:val="single" w:color="FFFFFF" w:sz="6" w:space="0"/>
              <w:right w:val="single" w:color="FFFFFF" w:sz="6" w:space="0"/>
            </w:tcBorders>
            <w:vAlign w:val="center"/>
          </w:tcPr>
          <w:p w14:paraId="3D9AE74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D7A3C3A">
            <w:pPr>
              <w:pStyle w:val="7"/>
            </w:pPr>
            <w:r>
              <w:t>单位：万元</w:t>
            </w:r>
          </w:p>
        </w:tc>
      </w:tr>
      <w:tr w14:paraId="0E82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CC6E4">
            <w:pPr>
              <w:pStyle w:val="10"/>
            </w:pPr>
            <w:r>
              <w:t>序号</w:t>
            </w:r>
          </w:p>
        </w:tc>
        <w:tc>
          <w:tcPr>
            <w:tcW w:w="6661" w:type="dxa"/>
            <w:gridSpan w:val="2"/>
            <w:vAlign w:val="center"/>
          </w:tcPr>
          <w:p w14:paraId="6A16C3E7">
            <w:pPr>
              <w:pStyle w:val="10"/>
            </w:pPr>
            <w:r>
              <w:t>收入</w:t>
            </w:r>
          </w:p>
        </w:tc>
        <w:tc>
          <w:tcPr>
            <w:tcW w:w="6661" w:type="dxa"/>
            <w:gridSpan w:val="2"/>
            <w:vAlign w:val="center"/>
          </w:tcPr>
          <w:p w14:paraId="54CA1DBB">
            <w:pPr>
              <w:pStyle w:val="10"/>
            </w:pPr>
            <w:r>
              <w:t>支出</w:t>
            </w:r>
          </w:p>
        </w:tc>
      </w:tr>
      <w:tr w14:paraId="19274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25098"/>
        </w:tc>
        <w:tc>
          <w:tcPr>
            <w:tcW w:w="4535" w:type="dxa"/>
            <w:vAlign w:val="center"/>
          </w:tcPr>
          <w:p w14:paraId="14C37B36">
            <w:pPr>
              <w:pStyle w:val="10"/>
            </w:pPr>
            <w:r>
              <w:t>项  目</w:t>
            </w:r>
          </w:p>
        </w:tc>
        <w:tc>
          <w:tcPr>
            <w:tcW w:w="2126" w:type="dxa"/>
            <w:vAlign w:val="center"/>
          </w:tcPr>
          <w:p w14:paraId="2CE47B67">
            <w:pPr>
              <w:pStyle w:val="10"/>
            </w:pPr>
            <w:r>
              <w:t>预算数</w:t>
            </w:r>
          </w:p>
        </w:tc>
        <w:tc>
          <w:tcPr>
            <w:tcW w:w="4535" w:type="dxa"/>
            <w:vAlign w:val="center"/>
          </w:tcPr>
          <w:p w14:paraId="7612C68E">
            <w:pPr>
              <w:pStyle w:val="10"/>
            </w:pPr>
            <w:r>
              <w:t>项  目</w:t>
            </w:r>
          </w:p>
        </w:tc>
        <w:tc>
          <w:tcPr>
            <w:tcW w:w="2126" w:type="dxa"/>
            <w:vAlign w:val="center"/>
          </w:tcPr>
          <w:p w14:paraId="6E957260">
            <w:pPr>
              <w:pStyle w:val="10"/>
            </w:pPr>
            <w:r>
              <w:t>预算数</w:t>
            </w:r>
          </w:p>
        </w:tc>
      </w:tr>
      <w:tr w14:paraId="74CC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12A816">
            <w:pPr>
              <w:pStyle w:val="10"/>
            </w:pPr>
            <w:r>
              <w:t>栏次</w:t>
            </w:r>
          </w:p>
        </w:tc>
        <w:tc>
          <w:tcPr>
            <w:tcW w:w="4535" w:type="dxa"/>
            <w:vAlign w:val="center"/>
          </w:tcPr>
          <w:p w14:paraId="26DA396C">
            <w:pPr>
              <w:pStyle w:val="10"/>
            </w:pPr>
            <w:r>
              <w:t>1</w:t>
            </w:r>
          </w:p>
        </w:tc>
        <w:tc>
          <w:tcPr>
            <w:tcW w:w="2126" w:type="dxa"/>
            <w:vAlign w:val="center"/>
          </w:tcPr>
          <w:p w14:paraId="06E7B227">
            <w:pPr>
              <w:pStyle w:val="10"/>
            </w:pPr>
            <w:r>
              <w:t>2</w:t>
            </w:r>
          </w:p>
        </w:tc>
        <w:tc>
          <w:tcPr>
            <w:tcW w:w="4535" w:type="dxa"/>
            <w:vAlign w:val="center"/>
          </w:tcPr>
          <w:p w14:paraId="311D12AD">
            <w:pPr>
              <w:pStyle w:val="10"/>
            </w:pPr>
            <w:r>
              <w:t>3</w:t>
            </w:r>
          </w:p>
        </w:tc>
        <w:tc>
          <w:tcPr>
            <w:tcW w:w="2126" w:type="dxa"/>
            <w:vAlign w:val="center"/>
          </w:tcPr>
          <w:p w14:paraId="428FB7D2">
            <w:pPr>
              <w:pStyle w:val="10"/>
            </w:pPr>
            <w:r>
              <w:t>4</w:t>
            </w:r>
          </w:p>
        </w:tc>
      </w:tr>
      <w:tr w14:paraId="49E98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1C605">
            <w:pPr>
              <w:pStyle w:val="13"/>
            </w:pPr>
            <w:r>
              <w:t>1</w:t>
            </w:r>
          </w:p>
        </w:tc>
        <w:tc>
          <w:tcPr>
            <w:tcW w:w="4535" w:type="dxa"/>
            <w:vAlign w:val="center"/>
          </w:tcPr>
          <w:p w14:paraId="2AFF7D02">
            <w:pPr>
              <w:pStyle w:val="12"/>
            </w:pPr>
            <w:r>
              <w:t>一、一般公共预算拨款收入</w:t>
            </w:r>
          </w:p>
        </w:tc>
        <w:tc>
          <w:tcPr>
            <w:tcW w:w="2126" w:type="dxa"/>
            <w:vAlign w:val="center"/>
          </w:tcPr>
          <w:p w14:paraId="0DC3C111">
            <w:pPr>
              <w:pStyle w:val="11"/>
            </w:pPr>
            <w:r>
              <w:t>325.83</w:t>
            </w:r>
          </w:p>
        </w:tc>
        <w:tc>
          <w:tcPr>
            <w:tcW w:w="4535" w:type="dxa"/>
            <w:vAlign w:val="center"/>
          </w:tcPr>
          <w:p w14:paraId="533418BE">
            <w:pPr>
              <w:pStyle w:val="12"/>
            </w:pPr>
            <w:r>
              <w:t>一、一般公共服务支出</w:t>
            </w:r>
          </w:p>
        </w:tc>
        <w:tc>
          <w:tcPr>
            <w:tcW w:w="2126" w:type="dxa"/>
            <w:vAlign w:val="center"/>
          </w:tcPr>
          <w:p w14:paraId="7FDF6F84">
            <w:pPr>
              <w:pStyle w:val="11"/>
            </w:pPr>
          </w:p>
        </w:tc>
      </w:tr>
      <w:tr w14:paraId="1CF0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7445">
            <w:pPr>
              <w:pStyle w:val="13"/>
            </w:pPr>
            <w:r>
              <w:t>2</w:t>
            </w:r>
          </w:p>
        </w:tc>
        <w:tc>
          <w:tcPr>
            <w:tcW w:w="4535" w:type="dxa"/>
            <w:vAlign w:val="center"/>
          </w:tcPr>
          <w:p w14:paraId="3B383D2E">
            <w:pPr>
              <w:pStyle w:val="12"/>
            </w:pPr>
            <w:r>
              <w:t>二、政府性基金预算拨款收入</w:t>
            </w:r>
          </w:p>
        </w:tc>
        <w:tc>
          <w:tcPr>
            <w:tcW w:w="2126" w:type="dxa"/>
            <w:vAlign w:val="center"/>
          </w:tcPr>
          <w:p w14:paraId="7986082D">
            <w:pPr>
              <w:pStyle w:val="11"/>
            </w:pPr>
          </w:p>
        </w:tc>
        <w:tc>
          <w:tcPr>
            <w:tcW w:w="4535" w:type="dxa"/>
            <w:vAlign w:val="center"/>
          </w:tcPr>
          <w:p w14:paraId="07932CDC">
            <w:pPr>
              <w:pStyle w:val="12"/>
            </w:pPr>
            <w:r>
              <w:t>二、外交支出</w:t>
            </w:r>
          </w:p>
        </w:tc>
        <w:tc>
          <w:tcPr>
            <w:tcW w:w="2126" w:type="dxa"/>
            <w:vAlign w:val="center"/>
          </w:tcPr>
          <w:p w14:paraId="5A685DCA">
            <w:pPr>
              <w:pStyle w:val="11"/>
            </w:pPr>
          </w:p>
        </w:tc>
      </w:tr>
      <w:tr w14:paraId="4F01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FA29F">
            <w:pPr>
              <w:pStyle w:val="13"/>
            </w:pPr>
            <w:r>
              <w:t>3</w:t>
            </w:r>
          </w:p>
        </w:tc>
        <w:tc>
          <w:tcPr>
            <w:tcW w:w="4535" w:type="dxa"/>
            <w:vAlign w:val="center"/>
          </w:tcPr>
          <w:p w14:paraId="0280AFBA">
            <w:pPr>
              <w:pStyle w:val="12"/>
            </w:pPr>
            <w:r>
              <w:t>三、国有资本经营预算拨款收入</w:t>
            </w:r>
          </w:p>
        </w:tc>
        <w:tc>
          <w:tcPr>
            <w:tcW w:w="2126" w:type="dxa"/>
            <w:vAlign w:val="center"/>
          </w:tcPr>
          <w:p w14:paraId="33892283">
            <w:pPr>
              <w:pStyle w:val="11"/>
            </w:pPr>
          </w:p>
        </w:tc>
        <w:tc>
          <w:tcPr>
            <w:tcW w:w="4535" w:type="dxa"/>
            <w:vAlign w:val="center"/>
          </w:tcPr>
          <w:p w14:paraId="3893A77C">
            <w:pPr>
              <w:pStyle w:val="12"/>
            </w:pPr>
            <w:r>
              <w:t>三、国防支出</w:t>
            </w:r>
          </w:p>
        </w:tc>
        <w:tc>
          <w:tcPr>
            <w:tcW w:w="2126" w:type="dxa"/>
            <w:vAlign w:val="center"/>
          </w:tcPr>
          <w:p w14:paraId="1CF81740">
            <w:pPr>
              <w:pStyle w:val="11"/>
            </w:pPr>
          </w:p>
        </w:tc>
      </w:tr>
      <w:tr w14:paraId="1889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5ADAC">
            <w:pPr>
              <w:pStyle w:val="13"/>
            </w:pPr>
            <w:r>
              <w:t>4</w:t>
            </w:r>
          </w:p>
        </w:tc>
        <w:tc>
          <w:tcPr>
            <w:tcW w:w="4535" w:type="dxa"/>
            <w:vAlign w:val="center"/>
          </w:tcPr>
          <w:p w14:paraId="42FF721E">
            <w:pPr>
              <w:pStyle w:val="12"/>
            </w:pPr>
            <w:r>
              <w:t>四、财政专户管理资金收入</w:t>
            </w:r>
          </w:p>
        </w:tc>
        <w:tc>
          <w:tcPr>
            <w:tcW w:w="2126" w:type="dxa"/>
            <w:vAlign w:val="center"/>
          </w:tcPr>
          <w:p w14:paraId="22585935">
            <w:pPr>
              <w:pStyle w:val="11"/>
            </w:pPr>
          </w:p>
        </w:tc>
        <w:tc>
          <w:tcPr>
            <w:tcW w:w="4535" w:type="dxa"/>
            <w:vAlign w:val="center"/>
          </w:tcPr>
          <w:p w14:paraId="40090142">
            <w:pPr>
              <w:pStyle w:val="12"/>
            </w:pPr>
            <w:r>
              <w:t>四、公共安全支出</w:t>
            </w:r>
          </w:p>
        </w:tc>
        <w:tc>
          <w:tcPr>
            <w:tcW w:w="2126" w:type="dxa"/>
            <w:vAlign w:val="center"/>
          </w:tcPr>
          <w:p w14:paraId="02CE2357">
            <w:pPr>
              <w:pStyle w:val="11"/>
            </w:pPr>
          </w:p>
        </w:tc>
      </w:tr>
      <w:tr w14:paraId="15D9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87B16">
            <w:pPr>
              <w:pStyle w:val="13"/>
            </w:pPr>
            <w:r>
              <w:t>5</w:t>
            </w:r>
          </w:p>
        </w:tc>
        <w:tc>
          <w:tcPr>
            <w:tcW w:w="4535" w:type="dxa"/>
            <w:vAlign w:val="center"/>
          </w:tcPr>
          <w:p w14:paraId="1D6C1764">
            <w:pPr>
              <w:pStyle w:val="12"/>
            </w:pPr>
            <w:r>
              <w:t>五、单位资金</w:t>
            </w:r>
          </w:p>
        </w:tc>
        <w:tc>
          <w:tcPr>
            <w:tcW w:w="2126" w:type="dxa"/>
            <w:vAlign w:val="center"/>
          </w:tcPr>
          <w:p w14:paraId="295BB7AB">
            <w:pPr>
              <w:pStyle w:val="11"/>
            </w:pPr>
          </w:p>
        </w:tc>
        <w:tc>
          <w:tcPr>
            <w:tcW w:w="4535" w:type="dxa"/>
            <w:vAlign w:val="center"/>
          </w:tcPr>
          <w:p w14:paraId="08923A31">
            <w:pPr>
              <w:pStyle w:val="12"/>
            </w:pPr>
            <w:r>
              <w:t>五、教育支出</w:t>
            </w:r>
          </w:p>
        </w:tc>
        <w:tc>
          <w:tcPr>
            <w:tcW w:w="2126" w:type="dxa"/>
            <w:vAlign w:val="center"/>
          </w:tcPr>
          <w:p w14:paraId="539450C5">
            <w:pPr>
              <w:pStyle w:val="11"/>
            </w:pPr>
            <w:r>
              <w:t>325.83</w:t>
            </w:r>
          </w:p>
        </w:tc>
      </w:tr>
      <w:tr w14:paraId="5B1A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88E9B">
            <w:pPr>
              <w:pStyle w:val="13"/>
            </w:pPr>
            <w:r>
              <w:t>6</w:t>
            </w:r>
          </w:p>
        </w:tc>
        <w:tc>
          <w:tcPr>
            <w:tcW w:w="4535" w:type="dxa"/>
            <w:vAlign w:val="center"/>
          </w:tcPr>
          <w:p w14:paraId="1ADD2E91">
            <w:pPr>
              <w:pStyle w:val="12"/>
            </w:pPr>
          </w:p>
        </w:tc>
        <w:tc>
          <w:tcPr>
            <w:tcW w:w="2126" w:type="dxa"/>
            <w:vAlign w:val="center"/>
          </w:tcPr>
          <w:p w14:paraId="40252443">
            <w:pPr>
              <w:pStyle w:val="11"/>
            </w:pPr>
          </w:p>
        </w:tc>
        <w:tc>
          <w:tcPr>
            <w:tcW w:w="4535" w:type="dxa"/>
            <w:vAlign w:val="center"/>
          </w:tcPr>
          <w:p w14:paraId="706A47B9">
            <w:pPr>
              <w:pStyle w:val="12"/>
            </w:pPr>
            <w:r>
              <w:t>六、科学技术支出</w:t>
            </w:r>
          </w:p>
        </w:tc>
        <w:tc>
          <w:tcPr>
            <w:tcW w:w="2126" w:type="dxa"/>
            <w:vAlign w:val="center"/>
          </w:tcPr>
          <w:p w14:paraId="329E6659">
            <w:pPr>
              <w:pStyle w:val="11"/>
            </w:pPr>
          </w:p>
        </w:tc>
      </w:tr>
      <w:tr w14:paraId="2AFC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F30BF">
            <w:pPr>
              <w:pStyle w:val="13"/>
            </w:pPr>
            <w:r>
              <w:t>7</w:t>
            </w:r>
          </w:p>
        </w:tc>
        <w:tc>
          <w:tcPr>
            <w:tcW w:w="4535" w:type="dxa"/>
            <w:vAlign w:val="center"/>
          </w:tcPr>
          <w:p w14:paraId="32826AAB">
            <w:pPr>
              <w:pStyle w:val="12"/>
            </w:pPr>
          </w:p>
        </w:tc>
        <w:tc>
          <w:tcPr>
            <w:tcW w:w="2126" w:type="dxa"/>
            <w:vAlign w:val="center"/>
          </w:tcPr>
          <w:p w14:paraId="786CCF82">
            <w:pPr>
              <w:pStyle w:val="11"/>
            </w:pPr>
          </w:p>
        </w:tc>
        <w:tc>
          <w:tcPr>
            <w:tcW w:w="4535" w:type="dxa"/>
            <w:vAlign w:val="center"/>
          </w:tcPr>
          <w:p w14:paraId="4713692D">
            <w:pPr>
              <w:pStyle w:val="12"/>
            </w:pPr>
            <w:r>
              <w:t>七、文化旅游体育与传媒支出</w:t>
            </w:r>
          </w:p>
        </w:tc>
        <w:tc>
          <w:tcPr>
            <w:tcW w:w="2126" w:type="dxa"/>
            <w:vAlign w:val="center"/>
          </w:tcPr>
          <w:p w14:paraId="160D3230">
            <w:pPr>
              <w:pStyle w:val="11"/>
            </w:pPr>
          </w:p>
        </w:tc>
      </w:tr>
      <w:tr w14:paraId="67952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4E2B8">
            <w:pPr>
              <w:pStyle w:val="13"/>
            </w:pPr>
            <w:r>
              <w:t>8</w:t>
            </w:r>
          </w:p>
        </w:tc>
        <w:tc>
          <w:tcPr>
            <w:tcW w:w="4535" w:type="dxa"/>
            <w:vAlign w:val="center"/>
          </w:tcPr>
          <w:p w14:paraId="05DF530F">
            <w:pPr>
              <w:pStyle w:val="12"/>
            </w:pPr>
          </w:p>
        </w:tc>
        <w:tc>
          <w:tcPr>
            <w:tcW w:w="2126" w:type="dxa"/>
            <w:vAlign w:val="center"/>
          </w:tcPr>
          <w:p w14:paraId="68A71824">
            <w:pPr>
              <w:pStyle w:val="11"/>
            </w:pPr>
          </w:p>
        </w:tc>
        <w:tc>
          <w:tcPr>
            <w:tcW w:w="4535" w:type="dxa"/>
            <w:vAlign w:val="center"/>
          </w:tcPr>
          <w:p w14:paraId="0E40324B">
            <w:pPr>
              <w:pStyle w:val="12"/>
            </w:pPr>
            <w:r>
              <w:t>八、社会保障和就业支出</w:t>
            </w:r>
          </w:p>
        </w:tc>
        <w:tc>
          <w:tcPr>
            <w:tcW w:w="2126" w:type="dxa"/>
            <w:vAlign w:val="center"/>
          </w:tcPr>
          <w:p w14:paraId="2F0A4B80">
            <w:pPr>
              <w:pStyle w:val="11"/>
            </w:pPr>
          </w:p>
        </w:tc>
      </w:tr>
      <w:tr w14:paraId="0B69E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93FD7">
            <w:pPr>
              <w:pStyle w:val="13"/>
            </w:pPr>
            <w:r>
              <w:t>9</w:t>
            </w:r>
          </w:p>
        </w:tc>
        <w:tc>
          <w:tcPr>
            <w:tcW w:w="4535" w:type="dxa"/>
            <w:vAlign w:val="center"/>
          </w:tcPr>
          <w:p w14:paraId="19440934">
            <w:pPr>
              <w:pStyle w:val="12"/>
            </w:pPr>
          </w:p>
        </w:tc>
        <w:tc>
          <w:tcPr>
            <w:tcW w:w="2126" w:type="dxa"/>
            <w:vAlign w:val="center"/>
          </w:tcPr>
          <w:p w14:paraId="592CA08F">
            <w:pPr>
              <w:pStyle w:val="11"/>
            </w:pPr>
          </w:p>
        </w:tc>
        <w:tc>
          <w:tcPr>
            <w:tcW w:w="4535" w:type="dxa"/>
            <w:vAlign w:val="center"/>
          </w:tcPr>
          <w:p w14:paraId="02738702">
            <w:pPr>
              <w:pStyle w:val="12"/>
            </w:pPr>
            <w:r>
              <w:t>九、社会保险基金支出</w:t>
            </w:r>
          </w:p>
        </w:tc>
        <w:tc>
          <w:tcPr>
            <w:tcW w:w="2126" w:type="dxa"/>
            <w:vAlign w:val="center"/>
          </w:tcPr>
          <w:p w14:paraId="069010AA">
            <w:pPr>
              <w:pStyle w:val="11"/>
            </w:pPr>
          </w:p>
        </w:tc>
      </w:tr>
      <w:tr w14:paraId="6AA2C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7CFEF">
            <w:pPr>
              <w:pStyle w:val="13"/>
            </w:pPr>
            <w:r>
              <w:t>10</w:t>
            </w:r>
          </w:p>
        </w:tc>
        <w:tc>
          <w:tcPr>
            <w:tcW w:w="4535" w:type="dxa"/>
            <w:vAlign w:val="center"/>
          </w:tcPr>
          <w:p w14:paraId="4C4C3F3C">
            <w:pPr>
              <w:pStyle w:val="12"/>
            </w:pPr>
          </w:p>
        </w:tc>
        <w:tc>
          <w:tcPr>
            <w:tcW w:w="2126" w:type="dxa"/>
            <w:vAlign w:val="center"/>
          </w:tcPr>
          <w:p w14:paraId="15DF537D">
            <w:pPr>
              <w:pStyle w:val="11"/>
            </w:pPr>
          </w:p>
        </w:tc>
        <w:tc>
          <w:tcPr>
            <w:tcW w:w="4535" w:type="dxa"/>
            <w:vAlign w:val="center"/>
          </w:tcPr>
          <w:p w14:paraId="044ACAA0">
            <w:pPr>
              <w:pStyle w:val="12"/>
            </w:pPr>
            <w:r>
              <w:t>十、卫生健康支出</w:t>
            </w:r>
          </w:p>
        </w:tc>
        <w:tc>
          <w:tcPr>
            <w:tcW w:w="2126" w:type="dxa"/>
            <w:vAlign w:val="center"/>
          </w:tcPr>
          <w:p w14:paraId="25E651F5">
            <w:pPr>
              <w:pStyle w:val="11"/>
            </w:pPr>
          </w:p>
        </w:tc>
      </w:tr>
      <w:tr w14:paraId="34B2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55A41">
            <w:pPr>
              <w:pStyle w:val="13"/>
            </w:pPr>
            <w:r>
              <w:t>11</w:t>
            </w:r>
          </w:p>
        </w:tc>
        <w:tc>
          <w:tcPr>
            <w:tcW w:w="4535" w:type="dxa"/>
            <w:vAlign w:val="center"/>
          </w:tcPr>
          <w:p w14:paraId="6779C84E">
            <w:pPr>
              <w:pStyle w:val="12"/>
            </w:pPr>
          </w:p>
        </w:tc>
        <w:tc>
          <w:tcPr>
            <w:tcW w:w="2126" w:type="dxa"/>
            <w:vAlign w:val="center"/>
          </w:tcPr>
          <w:p w14:paraId="1AC82757">
            <w:pPr>
              <w:pStyle w:val="11"/>
            </w:pPr>
          </w:p>
        </w:tc>
        <w:tc>
          <w:tcPr>
            <w:tcW w:w="4535" w:type="dxa"/>
            <w:vAlign w:val="center"/>
          </w:tcPr>
          <w:p w14:paraId="3E4FAF13">
            <w:pPr>
              <w:pStyle w:val="12"/>
            </w:pPr>
            <w:r>
              <w:t>十一、节能环保支出</w:t>
            </w:r>
          </w:p>
        </w:tc>
        <w:tc>
          <w:tcPr>
            <w:tcW w:w="2126" w:type="dxa"/>
            <w:vAlign w:val="center"/>
          </w:tcPr>
          <w:p w14:paraId="4B8AFEFA">
            <w:pPr>
              <w:pStyle w:val="11"/>
            </w:pPr>
          </w:p>
        </w:tc>
      </w:tr>
      <w:tr w14:paraId="7039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AF59">
            <w:pPr>
              <w:pStyle w:val="13"/>
            </w:pPr>
            <w:r>
              <w:t>12</w:t>
            </w:r>
          </w:p>
        </w:tc>
        <w:tc>
          <w:tcPr>
            <w:tcW w:w="4535" w:type="dxa"/>
            <w:vAlign w:val="center"/>
          </w:tcPr>
          <w:p w14:paraId="4ABBE59E">
            <w:pPr>
              <w:pStyle w:val="12"/>
            </w:pPr>
          </w:p>
        </w:tc>
        <w:tc>
          <w:tcPr>
            <w:tcW w:w="2126" w:type="dxa"/>
            <w:vAlign w:val="center"/>
          </w:tcPr>
          <w:p w14:paraId="086000F1">
            <w:pPr>
              <w:pStyle w:val="11"/>
            </w:pPr>
          </w:p>
        </w:tc>
        <w:tc>
          <w:tcPr>
            <w:tcW w:w="4535" w:type="dxa"/>
            <w:vAlign w:val="center"/>
          </w:tcPr>
          <w:p w14:paraId="5214AEE3">
            <w:pPr>
              <w:pStyle w:val="12"/>
            </w:pPr>
            <w:r>
              <w:t>十二、城乡社区支出</w:t>
            </w:r>
          </w:p>
        </w:tc>
        <w:tc>
          <w:tcPr>
            <w:tcW w:w="2126" w:type="dxa"/>
            <w:vAlign w:val="center"/>
          </w:tcPr>
          <w:p w14:paraId="457F3272">
            <w:pPr>
              <w:pStyle w:val="11"/>
            </w:pPr>
          </w:p>
        </w:tc>
      </w:tr>
      <w:tr w14:paraId="5F7A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C5B88">
            <w:pPr>
              <w:pStyle w:val="13"/>
            </w:pPr>
            <w:r>
              <w:t>13</w:t>
            </w:r>
          </w:p>
        </w:tc>
        <w:tc>
          <w:tcPr>
            <w:tcW w:w="4535" w:type="dxa"/>
            <w:vAlign w:val="center"/>
          </w:tcPr>
          <w:p w14:paraId="4178551E">
            <w:pPr>
              <w:pStyle w:val="12"/>
            </w:pPr>
          </w:p>
        </w:tc>
        <w:tc>
          <w:tcPr>
            <w:tcW w:w="2126" w:type="dxa"/>
            <w:vAlign w:val="center"/>
          </w:tcPr>
          <w:p w14:paraId="0F2DCD86">
            <w:pPr>
              <w:pStyle w:val="11"/>
            </w:pPr>
          </w:p>
        </w:tc>
        <w:tc>
          <w:tcPr>
            <w:tcW w:w="4535" w:type="dxa"/>
            <w:vAlign w:val="center"/>
          </w:tcPr>
          <w:p w14:paraId="55F87708">
            <w:pPr>
              <w:pStyle w:val="12"/>
            </w:pPr>
            <w:r>
              <w:t>十三、农林水支出</w:t>
            </w:r>
          </w:p>
        </w:tc>
        <w:tc>
          <w:tcPr>
            <w:tcW w:w="2126" w:type="dxa"/>
            <w:vAlign w:val="center"/>
          </w:tcPr>
          <w:p w14:paraId="18CF35DE">
            <w:pPr>
              <w:pStyle w:val="11"/>
            </w:pPr>
          </w:p>
        </w:tc>
      </w:tr>
      <w:tr w14:paraId="53B44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32AE1">
            <w:pPr>
              <w:pStyle w:val="13"/>
            </w:pPr>
            <w:r>
              <w:t>14</w:t>
            </w:r>
          </w:p>
        </w:tc>
        <w:tc>
          <w:tcPr>
            <w:tcW w:w="4535" w:type="dxa"/>
            <w:vAlign w:val="center"/>
          </w:tcPr>
          <w:p w14:paraId="144E39FC">
            <w:pPr>
              <w:pStyle w:val="12"/>
            </w:pPr>
          </w:p>
        </w:tc>
        <w:tc>
          <w:tcPr>
            <w:tcW w:w="2126" w:type="dxa"/>
            <w:vAlign w:val="center"/>
          </w:tcPr>
          <w:p w14:paraId="0243E57B">
            <w:pPr>
              <w:pStyle w:val="11"/>
            </w:pPr>
          </w:p>
        </w:tc>
        <w:tc>
          <w:tcPr>
            <w:tcW w:w="4535" w:type="dxa"/>
            <w:vAlign w:val="center"/>
          </w:tcPr>
          <w:p w14:paraId="0FE08488">
            <w:pPr>
              <w:pStyle w:val="12"/>
            </w:pPr>
            <w:r>
              <w:t>十四、交通运输支出</w:t>
            </w:r>
          </w:p>
        </w:tc>
        <w:tc>
          <w:tcPr>
            <w:tcW w:w="2126" w:type="dxa"/>
            <w:vAlign w:val="center"/>
          </w:tcPr>
          <w:p w14:paraId="5DE81477">
            <w:pPr>
              <w:pStyle w:val="11"/>
            </w:pPr>
          </w:p>
        </w:tc>
      </w:tr>
      <w:tr w14:paraId="52B1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D113">
            <w:pPr>
              <w:pStyle w:val="13"/>
            </w:pPr>
            <w:r>
              <w:t>15</w:t>
            </w:r>
          </w:p>
        </w:tc>
        <w:tc>
          <w:tcPr>
            <w:tcW w:w="4535" w:type="dxa"/>
            <w:vAlign w:val="center"/>
          </w:tcPr>
          <w:p w14:paraId="775DC7B9">
            <w:pPr>
              <w:pStyle w:val="12"/>
            </w:pPr>
          </w:p>
        </w:tc>
        <w:tc>
          <w:tcPr>
            <w:tcW w:w="2126" w:type="dxa"/>
            <w:vAlign w:val="center"/>
          </w:tcPr>
          <w:p w14:paraId="75183785">
            <w:pPr>
              <w:pStyle w:val="11"/>
            </w:pPr>
          </w:p>
        </w:tc>
        <w:tc>
          <w:tcPr>
            <w:tcW w:w="4535" w:type="dxa"/>
            <w:vAlign w:val="center"/>
          </w:tcPr>
          <w:p w14:paraId="552D2564">
            <w:pPr>
              <w:pStyle w:val="12"/>
            </w:pPr>
            <w:r>
              <w:t>十五、资源勘探工业信息等支出</w:t>
            </w:r>
          </w:p>
        </w:tc>
        <w:tc>
          <w:tcPr>
            <w:tcW w:w="2126" w:type="dxa"/>
            <w:vAlign w:val="center"/>
          </w:tcPr>
          <w:p w14:paraId="73AF5BDF">
            <w:pPr>
              <w:pStyle w:val="11"/>
            </w:pPr>
          </w:p>
        </w:tc>
      </w:tr>
      <w:tr w14:paraId="1D90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2D3A">
            <w:pPr>
              <w:pStyle w:val="13"/>
            </w:pPr>
            <w:r>
              <w:t>16</w:t>
            </w:r>
          </w:p>
        </w:tc>
        <w:tc>
          <w:tcPr>
            <w:tcW w:w="4535" w:type="dxa"/>
            <w:vAlign w:val="center"/>
          </w:tcPr>
          <w:p w14:paraId="7E9BCD5D">
            <w:pPr>
              <w:pStyle w:val="12"/>
            </w:pPr>
          </w:p>
        </w:tc>
        <w:tc>
          <w:tcPr>
            <w:tcW w:w="2126" w:type="dxa"/>
            <w:vAlign w:val="center"/>
          </w:tcPr>
          <w:p w14:paraId="0383A774">
            <w:pPr>
              <w:pStyle w:val="11"/>
            </w:pPr>
          </w:p>
        </w:tc>
        <w:tc>
          <w:tcPr>
            <w:tcW w:w="4535" w:type="dxa"/>
            <w:vAlign w:val="center"/>
          </w:tcPr>
          <w:p w14:paraId="4E150097">
            <w:pPr>
              <w:pStyle w:val="12"/>
            </w:pPr>
            <w:r>
              <w:t>十六、商业服务业等支出</w:t>
            </w:r>
          </w:p>
        </w:tc>
        <w:tc>
          <w:tcPr>
            <w:tcW w:w="2126" w:type="dxa"/>
            <w:vAlign w:val="center"/>
          </w:tcPr>
          <w:p w14:paraId="0F0A1561">
            <w:pPr>
              <w:pStyle w:val="11"/>
            </w:pPr>
          </w:p>
        </w:tc>
      </w:tr>
      <w:tr w14:paraId="6132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C72B">
            <w:pPr>
              <w:pStyle w:val="13"/>
            </w:pPr>
            <w:r>
              <w:t>17</w:t>
            </w:r>
          </w:p>
        </w:tc>
        <w:tc>
          <w:tcPr>
            <w:tcW w:w="4535" w:type="dxa"/>
            <w:vAlign w:val="center"/>
          </w:tcPr>
          <w:p w14:paraId="52E64F17">
            <w:pPr>
              <w:pStyle w:val="12"/>
            </w:pPr>
          </w:p>
        </w:tc>
        <w:tc>
          <w:tcPr>
            <w:tcW w:w="2126" w:type="dxa"/>
            <w:vAlign w:val="center"/>
          </w:tcPr>
          <w:p w14:paraId="59D24EEA">
            <w:pPr>
              <w:pStyle w:val="11"/>
            </w:pPr>
          </w:p>
        </w:tc>
        <w:tc>
          <w:tcPr>
            <w:tcW w:w="4535" w:type="dxa"/>
            <w:vAlign w:val="center"/>
          </w:tcPr>
          <w:p w14:paraId="6F57784A">
            <w:pPr>
              <w:pStyle w:val="12"/>
            </w:pPr>
            <w:r>
              <w:t>十七、金融支出</w:t>
            </w:r>
          </w:p>
        </w:tc>
        <w:tc>
          <w:tcPr>
            <w:tcW w:w="2126" w:type="dxa"/>
            <w:vAlign w:val="center"/>
          </w:tcPr>
          <w:p w14:paraId="23E509D1">
            <w:pPr>
              <w:pStyle w:val="11"/>
            </w:pPr>
          </w:p>
        </w:tc>
      </w:tr>
      <w:tr w14:paraId="50CF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1CB7">
            <w:pPr>
              <w:pStyle w:val="13"/>
            </w:pPr>
            <w:r>
              <w:t>18</w:t>
            </w:r>
          </w:p>
        </w:tc>
        <w:tc>
          <w:tcPr>
            <w:tcW w:w="4535" w:type="dxa"/>
            <w:vAlign w:val="center"/>
          </w:tcPr>
          <w:p w14:paraId="774C1590">
            <w:pPr>
              <w:pStyle w:val="12"/>
            </w:pPr>
          </w:p>
        </w:tc>
        <w:tc>
          <w:tcPr>
            <w:tcW w:w="2126" w:type="dxa"/>
            <w:vAlign w:val="center"/>
          </w:tcPr>
          <w:p w14:paraId="42519B52">
            <w:pPr>
              <w:pStyle w:val="11"/>
            </w:pPr>
          </w:p>
        </w:tc>
        <w:tc>
          <w:tcPr>
            <w:tcW w:w="4535" w:type="dxa"/>
            <w:vAlign w:val="center"/>
          </w:tcPr>
          <w:p w14:paraId="1B6FA819">
            <w:pPr>
              <w:pStyle w:val="12"/>
            </w:pPr>
            <w:r>
              <w:t>十八、援助其他地区支出</w:t>
            </w:r>
          </w:p>
        </w:tc>
        <w:tc>
          <w:tcPr>
            <w:tcW w:w="2126" w:type="dxa"/>
            <w:vAlign w:val="center"/>
          </w:tcPr>
          <w:p w14:paraId="57B3FC2B">
            <w:pPr>
              <w:pStyle w:val="11"/>
            </w:pPr>
          </w:p>
        </w:tc>
      </w:tr>
      <w:tr w14:paraId="7F2B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BB0C">
            <w:pPr>
              <w:pStyle w:val="13"/>
            </w:pPr>
            <w:r>
              <w:t>19</w:t>
            </w:r>
          </w:p>
        </w:tc>
        <w:tc>
          <w:tcPr>
            <w:tcW w:w="4535" w:type="dxa"/>
            <w:vAlign w:val="center"/>
          </w:tcPr>
          <w:p w14:paraId="3C4B6032">
            <w:pPr>
              <w:pStyle w:val="12"/>
            </w:pPr>
          </w:p>
        </w:tc>
        <w:tc>
          <w:tcPr>
            <w:tcW w:w="2126" w:type="dxa"/>
            <w:vAlign w:val="center"/>
          </w:tcPr>
          <w:p w14:paraId="553CC1A0">
            <w:pPr>
              <w:pStyle w:val="11"/>
            </w:pPr>
          </w:p>
        </w:tc>
        <w:tc>
          <w:tcPr>
            <w:tcW w:w="4535" w:type="dxa"/>
            <w:vAlign w:val="center"/>
          </w:tcPr>
          <w:p w14:paraId="4273D1B1">
            <w:pPr>
              <w:pStyle w:val="12"/>
            </w:pPr>
            <w:r>
              <w:t>十九、自然资源海洋气象等支出</w:t>
            </w:r>
          </w:p>
        </w:tc>
        <w:tc>
          <w:tcPr>
            <w:tcW w:w="2126" w:type="dxa"/>
            <w:vAlign w:val="center"/>
          </w:tcPr>
          <w:p w14:paraId="76AAB0E4">
            <w:pPr>
              <w:pStyle w:val="11"/>
            </w:pPr>
          </w:p>
        </w:tc>
      </w:tr>
      <w:tr w14:paraId="1E9C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97CEC">
            <w:pPr>
              <w:pStyle w:val="13"/>
            </w:pPr>
            <w:r>
              <w:t>20</w:t>
            </w:r>
          </w:p>
        </w:tc>
        <w:tc>
          <w:tcPr>
            <w:tcW w:w="4535" w:type="dxa"/>
            <w:vAlign w:val="center"/>
          </w:tcPr>
          <w:p w14:paraId="156CA5C4">
            <w:pPr>
              <w:pStyle w:val="12"/>
            </w:pPr>
          </w:p>
        </w:tc>
        <w:tc>
          <w:tcPr>
            <w:tcW w:w="2126" w:type="dxa"/>
            <w:vAlign w:val="center"/>
          </w:tcPr>
          <w:p w14:paraId="0EB5D6E6">
            <w:pPr>
              <w:pStyle w:val="11"/>
            </w:pPr>
          </w:p>
        </w:tc>
        <w:tc>
          <w:tcPr>
            <w:tcW w:w="4535" w:type="dxa"/>
            <w:vAlign w:val="center"/>
          </w:tcPr>
          <w:p w14:paraId="241E3B8C">
            <w:pPr>
              <w:pStyle w:val="12"/>
            </w:pPr>
            <w:r>
              <w:t>二十、住房保障支出</w:t>
            </w:r>
          </w:p>
        </w:tc>
        <w:tc>
          <w:tcPr>
            <w:tcW w:w="2126" w:type="dxa"/>
            <w:vAlign w:val="center"/>
          </w:tcPr>
          <w:p w14:paraId="5B451FE1">
            <w:pPr>
              <w:pStyle w:val="11"/>
            </w:pPr>
          </w:p>
        </w:tc>
      </w:tr>
      <w:tr w14:paraId="4CEA3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43717">
            <w:pPr>
              <w:pStyle w:val="13"/>
            </w:pPr>
            <w:r>
              <w:t>21</w:t>
            </w:r>
          </w:p>
        </w:tc>
        <w:tc>
          <w:tcPr>
            <w:tcW w:w="4535" w:type="dxa"/>
            <w:vAlign w:val="center"/>
          </w:tcPr>
          <w:p w14:paraId="7FEDEC60">
            <w:pPr>
              <w:pStyle w:val="12"/>
            </w:pPr>
          </w:p>
        </w:tc>
        <w:tc>
          <w:tcPr>
            <w:tcW w:w="2126" w:type="dxa"/>
            <w:vAlign w:val="center"/>
          </w:tcPr>
          <w:p w14:paraId="28B1986B">
            <w:pPr>
              <w:pStyle w:val="11"/>
            </w:pPr>
          </w:p>
        </w:tc>
        <w:tc>
          <w:tcPr>
            <w:tcW w:w="4535" w:type="dxa"/>
            <w:vAlign w:val="center"/>
          </w:tcPr>
          <w:p w14:paraId="178F9787">
            <w:pPr>
              <w:pStyle w:val="12"/>
            </w:pPr>
            <w:r>
              <w:t>二十一、粮油物资储备支出</w:t>
            </w:r>
          </w:p>
        </w:tc>
        <w:tc>
          <w:tcPr>
            <w:tcW w:w="2126" w:type="dxa"/>
            <w:vAlign w:val="center"/>
          </w:tcPr>
          <w:p w14:paraId="2CC7A011">
            <w:pPr>
              <w:pStyle w:val="11"/>
            </w:pPr>
          </w:p>
        </w:tc>
      </w:tr>
      <w:tr w14:paraId="3646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1239">
            <w:pPr>
              <w:pStyle w:val="13"/>
            </w:pPr>
            <w:r>
              <w:t>22</w:t>
            </w:r>
          </w:p>
        </w:tc>
        <w:tc>
          <w:tcPr>
            <w:tcW w:w="4535" w:type="dxa"/>
            <w:vAlign w:val="center"/>
          </w:tcPr>
          <w:p w14:paraId="05A496E7">
            <w:pPr>
              <w:pStyle w:val="12"/>
            </w:pPr>
          </w:p>
        </w:tc>
        <w:tc>
          <w:tcPr>
            <w:tcW w:w="2126" w:type="dxa"/>
            <w:vAlign w:val="center"/>
          </w:tcPr>
          <w:p w14:paraId="57661493">
            <w:pPr>
              <w:pStyle w:val="11"/>
            </w:pPr>
          </w:p>
        </w:tc>
        <w:tc>
          <w:tcPr>
            <w:tcW w:w="4535" w:type="dxa"/>
            <w:vAlign w:val="center"/>
          </w:tcPr>
          <w:p w14:paraId="7FAA0FA2">
            <w:pPr>
              <w:pStyle w:val="12"/>
            </w:pPr>
            <w:r>
              <w:t>二十二、国有资本经营预算支出</w:t>
            </w:r>
          </w:p>
        </w:tc>
        <w:tc>
          <w:tcPr>
            <w:tcW w:w="2126" w:type="dxa"/>
            <w:vAlign w:val="center"/>
          </w:tcPr>
          <w:p w14:paraId="05A0132A">
            <w:pPr>
              <w:pStyle w:val="11"/>
            </w:pPr>
          </w:p>
        </w:tc>
      </w:tr>
      <w:tr w14:paraId="7EA9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183CC">
            <w:pPr>
              <w:pStyle w:val="13"/>
            </w:pPr>
            <w:r>
              <w:t>23</w:t>
            </w:r>
          </w:p>
        </w:tc>
        <w:tc>
          <w:tcPr>
            <w:tcW w:w="4535" w:type="dxa"/>
            <w:vAlign w:val="center"/>
          </w:tcPr>
          <w:p w14:paraId="0EEB9EE6">
            <w:pPr>
              <w:pStyle w:val="12"/>
            </w:pPr>
          </w:p>
        </w:tc>
        <w:tc>
          <w:tcPr>
            <w:tcW w:w="2126" w:type="dxa"/>
            <w:vAlign w:val="center"/>
          </w:tcPr>
          <w:p w14:paraId="55EB65ED">
            <w:pPr>
              <w:pStyle w:val="11"/>
            </w:pPr>
          </w:p>
        </w:tc>
        <w:tc>
          <w:tcPr>
            <w:tcW w:w="4535" w:type="dxa"/>
            <w:vAlign w:val="center"/>
          </w:tcPr>
          <w:p w14:paraId="4A5BF14E">
            <w:pPr>
              <w:pStyle w:val="12"/>
            </w:pPr>
            <w:r>
              <w:t>二十三、灾害防治及应急管理支出</w:t>
            </w:r>
          </w:p>
        </w:tc>
        <w:tc>
          <w:tcPr>
            <w:tcW w:w="2126" w:type="dxa"/>
            <w:vAlign w:val="center"/>
          </w:tcPr>
          <w:p w14:paraId="7754C24C">
            <w:pPr>
              <w:pStyle w:val="11"/>
            </w:pPr>
          </w:p>
        </w:tc>
      </w:tr>
      <w:tr w14:paraId="0044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AC96">
            <w:pPr>
              <w:pStyle w:val="13"/>
            </w:pPr>
            <w:r>
              <w:t>24</w:t>
            </w:r>
          </w:p>
        </w:tc>
        <w:tc>
          <w:tcPr>
            <w:tcW w:w="4535" w:type="dxa"/>
            <w:vAlign w:val="center"/>
          </w:tcPr>
          <w:p w14:paraId="087FD2C7">
            <w:pPr>
              <w:pStyle w:val="12"/>
            </w:pPr>
          </w:p>
        </w:tc>
        <w:tc>
          <w:tcPr>
            <w:tcW w:w="2126" w:type="dxa"/>
            <w:vAlign w:val="center"/>
          </w:tcPr>
          <w:p w14:paraId="262F9374">
            <w:pPr>
              <w:pStyle w:val="11"/>
            </w:pPr>
          </w:p>
        </w:tc>
        <w:tc>
          <w:tcPr>
            <w:tcW w:w="4535" w:type="dxa"/>
            <w:vAlign w:val="center"/>
          </w:tcPr>
          <w:p w14:paraId="25734DAF">
            <w:pPr>
              <w:pStyle w:val="12"/>
            </w:pPr>
            <w:r>
              <w:t>二十四、预备费</w:t>
            </w:r>
          </w:p>
        </w:tc>
        <w:tc>
          <w:tcPr>
            <w:tcW w:w="2126" w:type="dxa"/>
            <w:vAlign w:val="center"/>
          </w:tcPr>
          <w:p w14:paraId="6B98BF84">
            <w:pPr>
              <w:pStyle w:val="11"/>
            </w:pPr>
          </w:p>
        </w:tc>
      </w:tr>
      <w:tr w14:paraId="09C8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4541">
            <w:pPr>
              <w:pStyle w:val="13"/>
            </w:pPr>
            <w:r>
              <w:t>25</w:t>
            </w:r>
          </w:p>
        </w:tc>
        <w:tc>
          <w:tcPr>
            <w:tcW w:w="4535" w:type="dxa"/>
            <w:vAlign w:val="center"/>
          </w:tcPr>
          <w:p w14:paraId="5B0F751F">
            <w:pPr>
              <w:pStyle w:val="12"/>
            </w:pPr>
          </w:p>
        </w:tc>
        <w:tc>
          <w:tcPr>
            <w:tcW w:w="2126" w:type="dxa"/>
            <w:vAlign w:val="center"/>
          </w:tcPr>
          <w:p w14:paraId="547D9704">
            <w:pPr>
              <w:pStyle w:val="11"/>
            </w:pPr>
          </w:p>
        </w:tc>
        <w:tc>
          <w:tcPr>
            <w:tcW w:w="4535" w:type="dxa"/>
            <w:vAlign w:val="center"/>
          </w:tcPr>
          <w:p w14:paraId="06BFB667">
            <w:pPr>
              <w:pStyle w:val="12"/>
            </w:pPr>
            <w:r>
              <w:t>二十五、其他支出</w:t>
            </w:r>
          </w:p>
        </w:tc>
        <w:tc>
          <w:tcPr>
            <w:tcW w:w="2126" w:type="dxa"/>
            <w:vAlign w:val="center"/>
          </w:tcPr>
          <w:p w14:paraId="653719F8">
            <w:pPr>
              <w:pStyle w:val="11"/>
            </w:pPr>
          </w:p>
        </w:tc>
      </w:tr>
      <w:tr w14:paraId="4AB8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AA06D">
            <w:pPr>
              <w:pStyle w:val="13"/>
            </w:pPr>
            <w:r>
              <w:t>26</w:t>
            </w:r>
          </w:p>
        </w:tc>
        <w:tc>
          <w:tcPr>
            <w:tcW w:w="4535" w:type="dxa"/>
            <w:vAlign w:val="center"/>
          </w:tcPr>
          <w:p w14:paraId="3F7A1701">
            <w:pPr>
              <w:pStyle w:val="12"/>
            </w:pPr>
          </w:p>
        </w:tc>
        <w:tc>
          <w:tcPr>
            <w:tcW w:w="2126" w:type="dxa"/>
            <w:vAlign w:val="center"/>
          </w:tcPr>
          <w:p w14:paraId="26129ED1">
            <w:pPr>
              <w:pStyle w:val="11"/>
            </w:pPr>
          </w:p>
        </w:tc>
        <w:tc>
          <w:tcPr>
            <w:tcW w:w="4535" w:type="dxa"/>
            <w:vAlign w:val="center"/>
          </w:tcPr>
          <w:p w14:paraId="34FDEAC4">
            <w:pPr>
              <w:pStyle w:val="12"/>
            </w:pPr>
            <w:r>
              <w:t>二十六、转移性支出</w:t>
            </w:r>
          </w:p>
        </w:tc>
        <w:tc>
          <w:tcPr>
            <w:tcW w:w="2126" w:type="dxa"/>
            <w:vAlign w:val="center"/>
          </w:tcPr>
          <w:p w14:paraId="5AD66C7C">
            <w:pPr>
              <w:pStyle w:val="11"/>
            </w:pPr>
          </w:p>
        </w:tc>
      </w:tr>
      <w:tr w14:paraId="7D92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62D2">
            <w:pPr>
              <w:pStyle w:val="13"/>
            </w:pPr>
            <w:r>
              <w:t>27</w:t>
            </w:r>
          </w:p>
        </w:tc>
        <w:tc>
          <w:tcPr>
            <w:tcW w:w="4535" w:type="dxa"/>
            <w:vAlign w:val="center"/>
          </w:tcPr>
          <w:p w14:paraId="60CAA80D">
            <w:pPr>
              <w:pStyle w:val="12"/>
            </w:pPr>
          </w:p>
        </w:tc>
        <w:tc>
          <w:tcPr>
            <w:tcW w:w="2126" w:type="dxa"/>
            <w:vAlign w:val="center"/>
          </w:tcPr>
          <w:p w14:paraId="1E3A282E">
            <w:pPr>
              <w:pStyle w:val="11"/>
            </w:pPr>
          </w:p>
        </w:tc>
        <w:tc>
          <w:tcPr>
            <w:tcW w:w="4535" w:type="dxa"/>
            <w:vAlign w:val="center"/>
          </w:tcPr>
          <w:p w14:paraId="30470198">
            <w:pPr>
              <w:pStyle w:val="12"/>
            </w:pPr>
            <w:r>
              <w:t>二十七、债务还本支出</w:t>
            </w:r>
          </w:p>
        </w:tc>
        <w:tc>
          <w:tcPr>
            <w:tcW w:w="2126" w:type="dxa"/>
            <w:vAlign w:val="center"/>
          </w:tcPr>
          <w:p w14:paraId="18384D21">
            <w:pPr>
              <w:pStyle w:val="11"/>
            </w:pPr>
          </w:p>
        </w:tc>
      </w:tr>
      <w:tr w14:paraId="4E62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06480">
            <w:pPr>
              <w:pStyle w:val="13"/>
            </w:pPr>
            <w:r>
              <w:t>28</w:t>
            </w:r>
          </w:p>
        </w:tc>
        <w:tc>
          <w:tcPr>
            <w:tcW w:w="4535" w:type="dxa"/>
            <w:vAlign w:val="center"/>
          </w:tcPr>
          <w:p w14:paraId="0766BD46">
            <w:pPr>
              <w:pStyle w:val="12"/>
            </w:pPr>
          </w:p>
        </w:tc>
        <w:tc>
          <w:tcPr>
            <w:tcW w:w="2126" w:type="dxa"/>
            <w:vAlign w:val="center"/>
          </w:tcPr>
          <w:p w14:paraId="0099A4E0">
            <w:pPr>
              <w:pStyle w:val="11"/>
            </w:pPr>
          </w:p>
        </w:tc>
        <w:tc>
          <w:tcPr>
            <w:tcW w:w="4535" w:type="dxa"/>
            <w:vAlign w:val="center"/>
          </w:tcPr>
          <w:p w14:paraId="0551EF5B">
            <w:pPr>
              <w:pStyle w:val="12"/>
            </w:pPr>
            <w:r>
              <w:t>二十八、债务付息支出</w:t>
            </w:r>
          </w:p>
        </w:tc>
        <w:tc>
          <w:tcPr>
            <w:tcW w:w="2126" w:type="dxa"/>
            <w:vAlign w:val="center"/>
          </w:tcPr>
          <w:p w14:paraId="1DC036E0">
            <w:pPr>
              <w:pStyle w:val="11"/>
            </w:pPr>
          </w:p>
        </w:tc>
      </w:tr>
      <w:tr w14:paraId="5397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089CF">
            <w:pPr>
              <w:pStyle w:val="13"/>
            </w:pPr>
            <w:r>
              <w:t>29</w:t>
            </w:r>
          </w:p>
        </w:tc>
        <w:tc>
          <w:tcPr>
            <w:tcW w:w="4535" w:type="dxa"/>
            <w:vAlign w:val="center"/>
          </w:tcPr>
          <w:p w14:paraId="05D5D09F">
            <w:pPr>
              <w:pStyle w:val="12"/>
            </w:pPr>
          </w:p>
        </w:tc>
        <w:tc>
          <w:tcPr>
            <w:tcW w:w="2126" w:type="dxa"/>
            <w:vAlign w:val="center"/>
          </w:tcPr>
          <w:p w14:paraId="5ACB1D4C">
            <w:pPr>
              <w:pStyle w:val="11"/>
            </w:pPr>
          </w:p>
        </w:tc>
        <w:tc>
          <w:tcPr>
            <w:tcW w:w="4535" w:type="dxa"/>
            <w:vAlign w:val="center"/>
          </w:tcPr>
          <w:p w14:paraId="40587B42">
            <w:pPr>
              <w:pStyle w:val="12"/>
            </w:pPr>
            <w:r>
              <w:t>二十九、债务发行费用支出</w:t>
            </w:r>
          </w:p>
        </w:tc>
        <w:tc>
          <w:tcPr>
            <w:tcW w:w="2126" w:type="dxa"/>
            <w:vAlign w:val="center"/>
          </w:tcPr>
          <w:p w14:paraId="472DA59A">
            <w:pPr>
              <w:pStyle w:val="11"/>
            </w:pPr>
          </w:p>
        </w:tc>
      </w:tr>
      <w:tr w14:paraId="388F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01A1">
            <w:pPr>
              <w:pStyle w:val="13"/>
            </w:pPr>
            <w:r>
              <w:t>30</w:t>
            </w:r>
          </w:p>
        </w:tc>
        <w:tc>
          <w:tcPr>
            <w:tcW w:w="4535" w:type="dxa"/>
            <w:vAlign w:val="center"/>
          </w:tcPr>
          <w:p w14:paraId="6BF3CFAE">
            <w:pPr>
              <w:pStyle w:val="12"/>
            </w:pPr>
          </w:p>
        </w:tc>
        <w:tc>
          <w:tcPr>
            <w:tcW w:w="2126" w:type="dxa"/>
            <w:vAlign w:val="center"/>
          </w:tcPr>
          <w:p w14:paraId="66B78B37">
            <w:pPr>
              <w:pStyle w:val="11"/>
            </w:pPr>
          </w:p>
        </w:tc>
        <w:tc>
          <w:tcPr>
            <w:tcW w:w="4535" w:type="dxa"/>
            <w:vAlign w:val="center"/>
          </w:tcPr>
          <w:p w14:paraId="3190E66E">
            <w:pPr>
              <w:pStyle w:val="12"/>
            </w:pPr>
            <w:r>
              <w:t>三十、抗疫特别国债安排的支出</w:t>
            </w:r>
          </w:p>
        </w:tc>
        <w:tc>
          <w:tcPr>
            <w:tcW w:w="2126" w:type="dxa"/>
            <w:vAlign w:val="center"/>
          </w:tcPr>
          <w:p w14:paraId="429AE2B8">
            <w:pPr>
              <w:pStyle w:val="11"/>
            </w:pPr>
          </w:p>
        </w:tc>
      </w:tr>
      <w:tr w14:paraId="57C57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891E">
            <w:pPr>
              <w:pStyle w:val="13"/>
            </w:pPr>
            <w:r>
              <w:t>31</w:t>
            </w:r>
          </w:p>
        </w:tc>
        <w:tc>
          <w:tcPr>
            <w:tcW w:w="4535" w:type="dxa"/>
            <w:vAlign w:val="center"/>
          </w:tcPr>
          <w:p w14:paraId="1E2F2046">
            <w:pPr>
              <w:pStyle w:val="14"/>
            </w:pPr>
            <w:r>
              <w:t>本年收入合计</w:t>
            </w:r>
          </w:p>
        </w:tc>
        <w:tc>
          <w:tcPr>
            <w:tcW w:w="2126" w:type="dxa"/>
            <w:vAlign w:val="center"/>
          </w:tcPr>
          <w:p w14:paraId="5FE35AA0">
            <w:pPr>
              <w:pStyle w:val="15"/>
            </w:pPr>
            <w:r>
              <w:t>325.83</w:t>
            </w:r>
          </w:p>
        </w:tc>
        <w:tc>
          <w:tcPr>
            <w:tcW w:w="4535" w:type="dxa"/>
            <w:vAlign w:val="center"/>
          </w:tcPr>
          <w:p w14:paraId="1C39D4B0">
            <w:pPr>
              <w:pStyle w:val="14"/>
            </w:pPr>
            <w:r>
              <w:t>本年支出合计</w:t>
            </w:r>
          </w:p>
        </w:tc>
        <w:tc>
          <w:tcPr>
            <w:tcW w:w="2126" w:type="dxa"/>
            <w:vAlign w:val="center"/>
          </w:tcPr>
          <w:p w14:paraId="3192DA4D">
            <w:pPr>
              <w:pStyle w:val="15"/>
            </w:pPr>
            <w:r>
              <w:t>325.83</w:t>
            </w:r>
          </w:p>
        </w:tc>
      </w:tr>
      <w:tr w14:paraId="1952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AEA12">
            <w:pPr>
              <w:pStyle w:val="13"/>
            </w:pPr>
            <w:r>
              <w:t>32</w:t>
            </w:r>
          </w:p>
        </w:tc>
        <w:tc>
          <w:tcPr>
            <w:tcW w:w="4535" w:type="dxa"/>
            <w:vAlign w:val="center"/>
          </w:tcPr>
          <w:p w14:paraId="6B190A7E">
            <w:pPr>
              <w:pStyle w:val="12"/>
            </w:pPr>
            <w:r>
              <w:t>上年结转结余</w:t>
            </w:r>
          </w:p>
        </w:tc>
        <w:tc>
          <w:tcPr>
            <w:tcW w:w="2126" w:type="dxa"/>
            <w:vAlign w:val="center"/>
          </w:tcPr>
          <w:p w14:paraId="035003FA">
            <w:pPr>
              <w:pStyle w:val="11"/>
            </w:pPr>
          </w:p>
        </w:tc>
        <w:tc>
          <w:tcPr>
            <w:tcW w:w="4535" w:type="dxa"/>
            <w:vAlign w:val="center"/>
          </w:tcPr>
          <w:p w14:paraId="39CBFF9D">
            <w:pPr>
              <w:pStyle w:val="12"/>
            </w:pPr>
            <w:r>
              <w:t>年终结转结余</w:t>
            </w:r>
          </w:p>
        </w:tc>
        <w:tc>
          <w:tcPr>
            <w:tcW w:w="2126" w:type="dxa"/>
            <w:vAlign w:val="center"/>
          </w:tcPr>
          <w:p w14:paraId="086B0BB4">
            <w:pPr>
              <w:pStyle w:val="11"/>
            </w:pPr>
          </w:p>
        </w:tc>
      </w:tr>
      <w:tr w14:paraId="2A0A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8AAA">
            <w:pPr>
              <w:pStyle w:val="13"/>
            </w:pPr>
            <w:r>
              <w:t>33</w:t>
            </w:r>
          </w:p>
        </w:tc>
        <w:tc>
          <w:tcPr>
            <w:tcW w:w="4535" w:type="dxa"/>
            <w:vAlign w:val="center"/>
          </w:tcPr>
          <w:p w14:paraId="7DF98687">
            <w:pPr>
              <w:pStyle w:val="14"/>
            </w:pPr>
            <w:r>
              <w:t>收入总计</w:t>
            </w:r>
          </w:p>
        </w:tc>
        <w:tc>
          <w:tcPr>
            <w:tcW w:w="2126" w:type="dxa"/>
            <w:vAlign w:val="center"/>
          </w:tcPr>
          <w:p w14:paraId="5ABBB29B">
            <w:pPr>
              <w:pStyle w:val="15"/>
            </w:pPr>
            <w:r>
              <w:t>325.83</w:t>
            </w:r>
          </w:p>
        </w:tc>
        <w:tc>
          <w:tcPr>
            <w:tcW w:w="4535" w:type="dxa"/>
            <w:vAlign w:val="center"/>
          </w:tcPr>
          <w:p w14:paraId="7DAFBD78">
            <w:pPr>
              <w:pStyle w:val="14"/>
            </w:pPr>
            <w:r>
              <w:t>支出总计</w:t>
            </w:r>
          </w:p>
        </w:tc>
        <w:tc>
          <w:tcPr>
            <w:tcW w:w="2126" w:type="dxa"/>
            <w:vAlign w:val="center"/>
          </w:tcPr>
          <w:p w14:paraId="4FC2938D">
            <w:pPr>
              <w:pStyle w:val="15"/>
            </w:pPr>
            <w:r>
              <w:t>325.83</w:t>
            </w:r>
          </w:p>
        </w:tc>
      </w:tr>
    </w:tbl>
    <w:p w14:paraId="0D339B5B">
      <w:pPr>
        <w:sectPr>
          <w:pgSz w:w="16840" w:h="11900" w:orient="landscape"/>
          <w:pgMar w:top="1361" w:right="1020" w:bottom="1134" w:left="1020" w:header="720" w:footer="720" w:gutter="0"/>
          <w:cols w:space="720" w:num="1"/>
        </w:sectPr>
      </w:pPr>
    </w:p>
    <w:p w14:paraId="03CB1B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D0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C876DD">
            <w:pPr>
              <w:pStyle w:val="9"/>
            </w:pPr>
            <w:r>
              <w:t>360035隆尧县唐尧街幼儿园</w:t>
            </w:r>
          </w:p>
        </w:tc>
        <w:tc>
          <w:tcPr>
            <w:tcW w:w="3402" w:type="dxa"/>
            <w:gridSpan w:val="3"/>
            <w:tcBorders>
              <w:top w:val="single" w:color="FFFFFF" w:sz="6" w:space="0"/>
              <w:left w:val="single" w:color="FFFFFF" w:sz="6" w:space="0"/>
              <w:right w:val="single" w:color="FFFFFF" w:sz="6" w:space="0"/>
            </w:tcBorders>
            <w:vAlign w:val="center"/>
          </w:tcPr>
          <w:p w14:paraId="7000B57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4B8E754">
            <w:pPr>
              <w:pStyle w:val="7"/>
            </w:pPr>
            <w:r>
              <w:t>单位：万元</w:t>
            </w:r>
          </w:p>
        </w:tc>
      </w:tr>
      <w:tr w14:paraId="6601C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C90CE6">
            <w:pPr>
              <w:pStyle w:val="10"/>
            </w:pPr>
            <w:r>
              <w:t>序号</w:t>
            </w:r>
          </w:p>
        </w:tc>
        <w:tc>
          <w:tcPr>
            <w:tcW w:w="2551" w:type="dxa"/>
            <w:gridSpan w:val="2"/>
            <w:vAlign w:val="center"/>
          </w:tcPr>
          <w:p w14:paraId="58876B97">
            <w:pPr>
              <w:pStyle w:val="10"/>
            </w:pPr>
            <w:r>
              <w:t>功能分类科目</w:t>
            </w:r>
          </w:p>
        </w:tc>
        <w:tc>
          <w:tcPr>
            <w:tcW w:w="1134" w:type="dxa"/>
            <w:vMerge w:val="restart"/>
            <w:vAlign w:val="center"/>
          </w:tcPr>
          <w:p w14:paraId="6EA1CB94">
            <w:pPr>
              <w:pStyle w:val="10"/>
            </w:pPr>
            <w:r>
              <w:t>合计</w:t>
            </w:r>
          </w:p>
        </w:tc>
        <w:tc>
          <w:tcPr>
            <w:tcW w:w="9072" w:type="dxa"/>
            <w:gridSpan w:val="8"/>
            <w:vAlign w:val="center"/>
          </w:tcPr>
          <w:p w14:paraId="0C294F2A">
            <w:pPr>
              <w:pStyle w:val="10"/>
            </w:pPr>
            <w:r>
              <w:t>本年收入</w:t>
            </w:r>
          </w:p>
        </w:tc>
        <w:tc>
          <w:tcPr>
            <w:tcW w:w="1134" w:type="dxa"/>
            <w:vMerge w:val="restart"/>
            <w:vAlign w:val="center"/>
          </w:tcPr>
          <w:p w14:paraId="35490CDA">
            <w:pPr>
              <w:pStyle w:val="10"/>
            </w:pPr>
            <w:r>
              <w:t>上年结转</w:t>
            </w:r>
          </w:p>
        </w:tc>
      </w:tr>
      <w:tr w14:paraId="6169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D44E6B"/>
        </w:tc>
        <w:tc>
          <w:tcPr>
            <w:tcW w:w="992" w:type="dxa"/>
            <w:vAlign w:val="center"/>
          </w:tcPr>
          <w:p w14:paraId="5C8BDCE7">
            <w:pPr>
              <w:pStyle w:val="10"/>
            </w:pPr>
            <w:r>
              <w:t>科目    编码</w:t>
            </w:r>
          </w:p>
        </w:tc>
        <w:tc>
          <w:tcPr>
            <w:tcW w:w="1559" w:type="dxa"/>
            <w:vAlign w:val="center"/>
          </w:tcPr>
          <w:p w14:paraId="2A8BF38A">
            <w:pPr>
              <w:pStyle w:val="10"/>
            </w:pPr>
            <w:r>
              <w:t>科目名称</w:t>
            </w:r>
          </w:p>
        </w:tc>
        <w:tc>
          <w:tcPr>
            <w:tcW w:w="1134" w:type="dxa"/>
            <w:vMerge w:val="continue"/>
          </w:tcPr>
          <w:p w14:paraId="7ECDAC38"/>
        </w:tc>
        <w:tc>
          <w:tcPr>
            <w:tcW w:w="1134" w:type="dxa"/>
            <w:vAlign w:val="center"/>
          </w:tcPr>
          <w:p w14:paraId="346688CB">
            <w:pPr>
              <w:pStyle w:val="10"/>
            </w:pPr>
            <w:r>
              <w:t>小计</w:t>
            </w:r>
          </w:p>
        </w:tc>
        <w:tc>
          <w:tcPr>
            <w:tcW w:w="1134" w:type="dxa"/>
            <w:vAlign w:val="center"/>
          </w:tcPr>
          <w:p w14:paraId="7D5657B9">
            <w:pPr>
              <w:pStyle w:val="10"/>
            </w:pPr>
            <w:r>
              <w:t>财政拨款 收入</w:t>
            </w:r>
          </w:p>
        </w:tc>
        <w:tc>
          <w:tcPr>
            <w:tcW w:w="1134" w:type="dxa"/>
            <w:vAlign w:val="center"/>
          </w:tcPr>
          <w:p w14:paraId="32E20A30">
            <w:pPr>
              <w:pStyle w:val="10"/>
            </w:pPr>
            <w:r>
              <w:t>财政专户 收入</w:t>
            </w:r>
          </w:p>
        </w:tc>
        <w:tc>
          <w:tcPr>
            <w:tcW w:w="1134" w:type="dxa"/>
            <w:vAlign w:val="center"/>
          </w:tcPr>
          <w:p w14:paraId="6D157756">
            <w:pPr>
              <w:pStyle w:val="10"/>
            </w:pPr>
            <w:r>
              <w:t>事业收入</w:t>
            </w:r>
          </w:p>
        </w:tc>
        <w:tc>
          <w:tcPr>
            <w:tcW w:w="1134" w:type="dxa"/>
            <w:vAlign w:val="center"/>
          </w:tcPr>
          <w:p w14:paraId="023EB696">
            <w:pPr>
              <w:pStyle w:val="10"/>
            </w:pPr>
            <w:r>
              <w:t>经营收入</w:t>
            </w:r>
          </w:p>
        </w:tc>
        <w:tc>
          <w:tcPr>
            <w:tcW w:w="1134" w:type="dxa"/>
            <w:vAlign w:val="center"/>
          </w:tcPr>
          <w:p w14:paraId="2BCBC248">
            <w:pPr>
              <w:pStyle w:val="10"/>
            </w:pPr>
            <w:r>
              <w:t>上级补助收入</w:t>
            </w:r>
          </w:p>
        </w:tc>
        <w:tc>
          <w:tcPr>
            <w:tcW w:w="1134" w:type="dxa"/>
            <w:vAlign w:val="center"/>
          </w:tcPr>
          <w:p w14:paraId="6C52D83D">
            <w:pPr>
              <w:pStyle w:val="10"/>
            </w:pPr>
            <w:r>
              <w:t>附属单位上缴收入</w:t>
            </w:r>
          </w:p>
        </w:tc>
        <w:tc>
          <w:tcPr>
            <w:tcW w:w="1134" w:type="dxa"/>
            <w:vAlign w:val="center"/>
          </w:tcPr>
          <w:p w14:paraId="3403DC4E">
            <w:pPr>
              <w:pStyle w:val="10"/>
            </w:pPr>
            <w:r>
              <w:t>其他收入</w:t>
            </w:r>
          </w:p>
        </w:tc>
        <w:tc>
          <w:tcPr>
            <w:tcW w:w="1134" w:type="dxa"/>
            <w:vMerge w:val="continue"/>
          </w:tcPr>
          <w:p w14:paraId="21BDAE48"/>
        </w:tc>
      </w:tr>
      <w:tr w14:paraId="5FE74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304D16">
            <w:pPr>
              <w:pStyle w:val="10"/>
            </w:pPr>
            <w:r>
              <w:t>栏次</w:t>
            </w:r>
          </w:p>
        </w:tc>
        <w:tc>
          <w:tcPr>
            <w:tcW w:w="992" w:type="dxa"/>
            <w:vAlign w:val="center"/>
          </w:tcPr>
          <w:p w14:paraId="78F83336">
            <w:pPr>
              <w:pStyle w:val="10"/>
            </w:pPr>
            <w:r>
              <w:t>1</w:t>
            </w:r>
          </w:p>
        </w:tc>
        <w:tc>
          <w:tcPr>
            <w:tcW w:w="1559" w:type="dxa"/>
            <w:vAlign w:val="center"/>
          </w:tcPr>
          <w:p w14:paraId="5F0B6E7B">
            <w:pPr>
              <w:pStyle w:val="10"/>
            </w:pPr>
            <w:r>
              <w:t>2</w:t>
            </w:r>
          </w:p>
        </w:tc>
        <w:tc>
          <w:tcPr>
            <w:tcW w:w="1134" w:type="dxa"/>
            <w:vAlign w:val="center"/>
          </w:tcPr>
          <w:p w14:paraId="16B2DDBD">
            <w:pPr>
              <w:pStyle w:val="10"/>
            </w:pPr>
            <w:r>
              <w:t>3</w:t>
            </w:r>
          </w:p>
        </w:tc>
        <w:tc>
          <w:tcPr>
            <w:tcW w:w="1134" w:type="dxa"/>
            <w:vAlign w:val="center"/>
          </w:tcPr>
          <w:p w14:paraId="593B351D">
            <w:pPr>
              <w:pStyle w:val="10"/>
            </w:pPr>
            <w:r>
              <w:t>4</w:t>
            </w:r>
          </w:p>
        </w:tc>
        <w:tc>
          <w:tcPr>
            <w:tcW w:w="1134" w:type="dxa"/>
            <w:vAlign w:val="center"/>
          </w:tcPr>
          <w:p w14:paraId="4DF75ED6">
            <w:pPr>
              <w:pStyle w:val="10"/>
            </w:pPr>
            <w:r>
              <w:t>5</w:t>
            </w:r>
          </w:p>
        </w:tc>
        <w:tc>
          <w:tcPr>
            <w:tcW w:w="1134" w:type="dxa"/>
            <w:vAlign w:val="center"/>
          </w:tcPr>
          <w:p w14:paraId="3A3C7FDE">
            <w:pPr>
              <w:pStyle w:val="10"/>
            </w:pPr>
            <w:r>
              <w:t>6</w:t>
            </w:r>
          </w:p>
        </w:tc>
        <w:tc>
          <w:tcPr>
            <w:tcW w:w="1134" w:type="dxa"/>
            <w:vAlign w:val="center"/>
          </w:tcPr>
          <w:p w14:paraId="32C8345E">
            <w:pPr>
              <w:pStyle w:val="10"/>
            </w:pPr>
            <w:r>
              <w:t>7</w:t>
            </w:r>
          </w:p>
        </w:tc>
        <w:tc>
          <w:tcPr>
            <w:tcW w:w="1134" w:type="dxa"/>
            <w:vAlign w:val="center"/>
          </w:tcPr>
          <w:p w14:paraId="1C9C0054">
            <w:pPr>
              <w:pStyle w:val="10"/>
            </w:pPr>
            <w:r>
              <w:t>8</w:t>
            </w:r>
          </w:p>
        </w:tc>
        <w:tc>
          <w:tcPr>
            <w:tcW w:w="1134" w:type="dxa"/>
            <w:vAlign w:val="center"/>
          </w:tcPr>
          <w:p w14:paraId="39BD03A0">
            <w:pPr>
              <w:pStyle w:val="10"/>
            </w:pPr>
            <w:r>
              <w:t>9</w:t>
            </w:r>
          </w:p>
        </w:tc>
        <w:tc>
          <w:tcPr>
            <w:tcW w:w="1134" w:type="dxa"/>
            <w:vAlign w:val="center"/>
          </w:tcPr>
          <w:p w14:paraId="06B73A56">
            <w:pPr>
              <w:pStyle w:val="10"/>
            </w:pPr>
            <w:r>
              <w:t>10</w:t>
            </w:r>
          </w:p>
        </w:tc>
        <w:tc>
          <w:tcPr>
            <w:tcW w:w="1134" w:type="dxa"/>
            <w:vAlign w:val="center"/>
          </w:tcPr>
          <w:p w14:paraId="027BF3BE">
            <w:pPr>
              <w:pStyle w:val="10"/>
            </w:pPr>
            <w:r>
              <w:t>11</w:t>
            </w:r>
          </w:p>
        </w:tc>
        <w:tc>
          <w:tcPr>
            <w:tcW w:w="1134" w:type="dxa"/>
            <w:vAlign w:val="center"/>
          </w:tcPr>
          <w:p w14:paraId="63832312">
            <w:pPr>
              <w:pStyle w:val="10"/>
            </w:pPr>
            <w:r>
              <w:t>12</w:t>
            </w:r>
          </w:p>
        </w:tc>
      </w:tr>
      <w:tr w14:paraId="6078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44CC5">
            <w:pPr>
              <w:pStyle w:val="13"/>
            </w:pPr>
            <w:r>
              <w:t>1</w:t>
            </w:r>
          </w:p>
        </w:tc>
        <w:tc>
          <w:tcPr>
            <w:tcW w:w="992" w:type="dxa"/>
            <w:vAlign w:val="center"/>
          </w:tcPr>
          <w:p w14:paraId="22C3EB33">
            <w:pPr>
              <w:pStyle w:val="16"/>
            </w:pPr>
          </w:p>
        </w:tc>
        <w:tc>
          <w:tcPr>
            <w:tcW w:w="1559" w:type="dxa"/>
            <w:vAlign w:val="center"/>
          </w:tcPr>
          <w:p w14:paraId="7175D2C3">
            <w:pPr>
              <w:pStyle w:val="14"/>
            </w:pPr>
            <w:r>
              <w:t>合计</w:t>
            </w:r>
          </w:p>
        </w:tc>
        <w:tc>
          <w:tcPr>
            <w:tcW w:w="1134" w:type="dxa"/>
            <w:vAlign w:val="center"/>
          </w:tcPr>
          <w:p w14:paraId="7ACF98D5">
            <w:pPr>
              <w:pStyle w:val="15"/>
            </w:pPr>
            <w:r>
              <w:t>325.83</w:t>
            </w:r>
          </w:p>
        </w:tc>
        <w:tc>
          <w:tcPr>
            <w:tcW w:w="1134" w:type="dxa"/>
            <w:vAlign w:val="center"/>
          </w:tcPr>
          <w:p w14:paraId="7FF35F2A">
            <w:pPr>
              <w:pStyle w:val="15"/>
            </w:pPr>
            <w:r>
              <w:t>325.83</w:t>
            </w:r>
          </w:p>
        </w:tc>
        <w:tc>
          <w:tcPr>
            <w:tcW w:w="1134" w:type="dxa"/>
            <w:vAlign w:val="center"/>
          </w:tcPr>
          <w:p w14:paraId="19CC2813">
            <w:pPr>
              <w:pStyle w:val="15"/>
            </w:pPr>
            <w:r>
              <w:t>325.83</w:t>
            </w:r>
          </w:p>
        </w:tc>
        <w:tc>
          <w:tcPr>
            <w:tcW w:w="1134" w:type="dxa"/>
            <w:vAlign w:val="center"/>
          </w:tcPr>
          <w:p w14:paraId="303F0538">
            <w:pPr>
              <w:pStyle w:val="15"/>
            </w:pPr>
          </w:p>
        </w:tc>
        <w:tc>
          <w:tcPr>
            <w:tcW w:w="1134" w:type="dxa"/>
            <w:vAlign w:val="center"/>
          </w:tcPr>
          <w:p w14:paraId="54C72F69">
            <w:pPr>
              <w:pStyle w:val="15"/>
            </w:pPr>
          </w:p>
        </w:tc>
        <w:tc>
          <w:tcPr>
            <w:tcW w:w="1134" w:type="dxa"/>
            <w:vAlign w:val="center"/>
          </w:tcPr>
          <w:p w14:paraId="7D205774">
            <w:pPr>
              <w:pStyle w:val="15"/>
            </w:pPr>
          </w:p>
        </w:tc>
        <w:tc>
          <w:tcPr>
            <w:tcW w:w="1134" w:type="dxa"/>
            <w:vAlign w:val="center"/>
          </w:tcPr>
          <w:p w14:paraId="3CA47828">
            <w:pPr>
              <w:pStyle w:val="15"/>
            </w:pPr>
          </w:p>
        </w:tc>
        <w:tc>
          <w:tcPr>
            <w:tcW w:w="1134" w:type="dxa"/>
            <w:vAlign w:val="center"/>
          </w:tcPr>
          <w:p w14:paraId="052612F3">
            <w:pPr>
              <w:pStyle w:val="15"/>
            </w:pPr>
          </w:p>
        </w:tc>
        <w:tc>
          <w:tcPr>
            <w:tcW w:w="1134" w:type="dxa"/>
            <w:vAlign w:val="center"/>
          </w:tcPr>
          <w:p w14:paraId="0B192EBA">
            <w:pPr>
              <w:pStyle w:val="15"/>
            </w:pPr>
          </w:p>
        </w:tc>
        <w:tc>
          <w:tcPr>
            <w:tcW w:w="1134" w:type="dxa"/>
            <w:vAlign w:val="center"/>
          </w:tcPr>
          <w:p w14:paraId="42BB5674">
            <w:pPr>
              <w:pStyle w:val="15"/>
            </w:pPr>
          </w:p>
        </w:tc>
      </w:tr>
      <w:tr w14:paraId="073D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84F7D">
            <w:pPr>
              <w:pStyle w:val="13"/>
            </w:pPr>
            <w:r>
              <w:t>2</w:t>
            </w:r>
          </w:p>
        </w:tc>
        <w:tc>
          <w:tcPr>
            <w:tcW w:w="992" w:type="dxa"/>
            <w:vAlign w:val="center"/>
          </w:tcPr>
          <w:p w14:paraId="76D08415">
            <w:pPr>
              <w:pStyle w:val="12"/>
            </w:pPr>
            <w:r>
              <w:t>205</w:t>
            </w:r>
          </w:p>
        </w:tc>
        <w:tc>
          <w:tcPr>
            <w:tcW w:w="1559" w:type="dxa"/>
            <w:vAlign w:val="center"/>
          </w:tcPr>
          <w:p w14:paraId="3E06F5DF">
            <w:pPr>
              <w:pStyle w:val="12"/>
            </w:pPr>
            <w:r>
              <w:t>教育支出</w:t>
            </w:r>
          </w:p>
        </w:tc>
        <w:tc>
          <w:tcPr>
            <w:tcW w:w="1134" w:type="dxa"/>
            <w:vAlign w:val="center"/>
          </w:tcPr>
          <w:p w14:paraId="3167EE17">
            <w:pPr>
              <w:pStyle w:val="11"/>
            </w:pPr>
            <w:r>
              <w:t>325.83</w:t>
            </w:r>
          </w:p>
        </w:tc>
        <w:tc>
          <w:tcPr>
            <w:tcW w:w="1134" w:type="dxa"/>
            <w:vAlign w:val="center"/>
          </w:tcPr>
          <w:p w14:paraId="572F82C4">
            <w:pPr>
              <w:pStyle w:val="11"/>
            </w:pPr>
            <w:r>
              <w:t>325.83</w:t>
            </w:r>
          </w:p>
        </w:tc>
        <w:tc>
          <w:tcPr>
            <w:tcW w:w="1134" w:type="dxa"/>
            <w:vAlign w:val="center"/>
          </w:tcPr>
          <w:p w14:paraId="562D4A44">
            <w:pPr>
              <w:pStyle w:val="11"/>
            </w:pPr>
            <w:r>
              <w:t>325.83</w:t>
            </w:r>
          </w:p>
        </w:tc>
        <w:tc>
          <w:tcPr>
            <w:tcW w:w="1134" w:type="dxa"/>
            <w:vAlign w:val="center"/>
          </w:tcPr>
          <w:p w14:paraId="6A3F57CE">
            <w:pPr>
              <w:pStyle w:val="11"/>
            </w:pPr>
          </w:p>
        </w:tc>
        <w:tc>
          <w:tcPr>
            <w:tcW w:w="1134" w:type="dxa"/>
            <w:vAlign w:val="center"/>
          </w:tcPr>
          <w:p w14:paraId="49E41810">
            <w:pPr>
              <w:pStyle w:val="11"/>
            </w:pPr>
          </w:p>
        </w:tc>
        <w:tc>
          <w:tcPr>
            <w:tcW w:w="1134" w:type="dxa"/>
            <w:vAlign w:val="center"/>
          </w:tcPr>
          <w:p w14:paraId="2ACE7491">
            <w:pPr>
              <w:pStyle w:val="11"/>
            </w:pPr>
          </w:p>
        </w:tc>
        <w:tc>
          <w:tcPr>
            <w:tcW w:w="1134" w:type="dxa"/>
            <w:vAlign w:val="center"/>
          </w:tcPr>
          <w:p w14:paraId="0E7C32BD">
            <w:pPr>
              <w:pStyle w:val="11"/>
            </w:pPr>
          </w:p>
        </w:tc>
        <w:tc>
          <w:tcPr>
            <w:tcW w:w="1134" w:type="dxa"/>
            <w:vAlign w:val="center"/>
          </w:tcPr>
          <w:p w14:paraId="2C6FB892">
            <w:pPr>
              <w:pStyle w:val="11"/>
            </w:pPr>
          </w:p>
        </w:tc>
        <w:tc>
          <w:tcPr>
            <w:tcW w:w="1134" w:type="dxa"/>
            <w:vAlign w:val="center"/>
          </w:tcPr>
          <w:p w14:paraId="2AAE1130">
            <w:pPr>
              <w:pStyle w:val="11"/>
            </w:pPr>
          </w:p>
        </w:tc>
        <w:tc>
          <w:tcPr>
            <w:tcW w:w="1134" w:type="dxa"/>
            <w:vAlign w:val="center"/>
          </w:tcPr>
          <w:p w14:paraId="33803EF0">
            <w:pPr>
              <w:pStyle w:val="11"/>
            </w:pPr>
          </w:p>
        </w:tc>
      </w:tr>
      <w:tr w14:paraId="2576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7AD27">
            <w:pPr>
              <w:pStyle w:val="13"/>
            </w:pPr>
            <w:r>
              <w:t>3</w:t>
            </w:r>
          </w:p>
        </w:tc>
        <w:tc>
          <w:tcPr>
            <w:tcW w:w="992" w:type="dxa"/>
            <w:vAlign w:val="center"/>
          </w:tcPr>
          <w:p w14:paraId="16CAD69E">
            <w:pPr>
              <w:pStyle w:val="12"/>
            </w:pPr>
            <w:r>
              <w:t>20502</w:t>
            </w:r>
          </w:p>
        </w:tc>
        <w:tc>
          <w:tcPr>
            <w:tcW w:w="1559" w:type="dxa"/>
            <w:vAlign w:val="center"/>
          </w:tcPr>
          <w:p w14:paraId="60E4E005">
            <w:pPr>
              <w:pStyle w:val="12"/>
            </w:pPr>
            <w:r>
              <w:t>普通教育</w:t>
            </w:r>
          </w:p>
        </w:tc>
        <w:tc>
          <w:tcPr>
            <w:tcW w:w="1134" w:type="dxa"/>
            <w:vAlign w:val="center"/>
          </w:tcPr>
          <w:p w14:paraId="6A993B00">
            <w:pPr>
              <w:pStyle w:val="11"/>
            </w:pPr>
            <w:r>
              <w:t>325.83</w:t>
            </w:r>
          </w:p>
        </w:tc>
        <w:tc>
          <w:tcPr>
            <w:tcW w:w="1134" w:type="dxa"/>
            <w:vAlign w:val="center"/>
          </w:tcPr>
          <w:p w14:paraId="5D62FE65">
            <w:pPr>
              <w:pStyle w:val="11"/>
            </w:pPr>
            <w:r>
              <w:t>325.83</w:t>
            </w:r>
          </w:p>
        </w:tc>
        <w:tc>
          <w:tcPr>
            <w:tcW w:w="1134" w:type="dxa"/>
            <w:vAlign w:val="center"/>
          </w:tcPr>
          <w:p w14:paraId="0CA7C259">
            <w:pPr>
              <w:pStyle w:val="11"/>
            </w:pPr>
            <w:r>
              <w:t>325.83</w:t>
            </w:r>
          </w:p>
        </w:tc>
        <w:tc>
          <w:tcPr>
            <w:tcW w:w="1134" w:type="dxa"/>
            <w:vAlign w:val="center"/>
          </w:tcPr>
          <w:p w14:paraId="53E2A6C8">
            <w:pPr>
              <w:pStyle w:val="11"/>
            </w:pPr>
          </w:p>
        </w:tc>
        <w:tc>
          <w:tcPr>
            <w:tcW w:w="1134" w:type="dxa"/>
            <w:vAlign w:val="center"/>
          </w:tcPr>
          <w:p w14:paraId="261848B8">
            <w:pPr>
              <w:pStyle w:val="11"/>
            </w:pPr>
          </w:p>
        </w:tc>
        <w:tc>
          <w:tcPr>
            <w:tcW w:w="1134" w:type="dxa"/>
            <w:vAlign w:val="center"/>
          </w:tcPr>
          <w:p w14:paraId="00E083B1">
            <w:pPr>
              <w:pStyle w:val="11"/>
            </w:pPr>
          </w:p>
        </w:tc>
        <w:tc>
          <w:tcPr>
            <w:tcW w:w="1134" w:type="dxa"/>
            <w:vAlign w:val="center"/>
          </w:tcPr>
          <w:p w14:paraId="76B6D5C6">
            <w:pPr>
              <w:pStyle w:val="11"/>
            </w:pPr>
          </w:p>
        </w:tc>
        <w:tc>
          <w:tcPr>
            <w:tcW w:w="1134" w:type="dxa"/>
            <w:vAlign w:val="center"/>
          </w:tcPr>
          <w:p w14:paraId="51C6C18C">
            <w:pPr>
              <w:pStyle w:val="11"/>
            </w:pPr>
          </w:p>
        </w:tc>
        <w:tc>
          <w:tcPr>
            <w:tcW w:w="1134" w:type="dxa"/>
            <w:vAlign w:val="center"/>
          </w:tcPr>
          <w:p w14:paraId="399C85BB">
            <w:pPr>
              <w:pStyle w:val="11"/>
            </w:pPr>
          </w:p>
        </w:tc>
        <w:tc>
          <w:tcPr>
            <w:tcW w:w="1134" w:type="dxa"/>
            <w:vAlign w:val="center"/>
          </w:tcPr>
          <w:p w14:paraId="5CD2CFAD">
            <w:pPr>
              <w:pStyle w:val="11"/>
            </w:pPr>
          </w:p>
        </w:tc>
      </w:tr>
      <w:tr w14:paraId="626E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64160">
            <w:pPr>
              <w:pStyle w:val="13"/>
            </w:pPr>
            <w:r>
              <w:t>4</w:t>
            </w:r>
          </w:p>
        </w:tc>
        <w:tc>
          <w:tcPr>
            <w:tcW w:w="992" w:type="dxa"/>
            <w:vAlign w:val="center"/>
          </w:tcPr>
          <w:p w14:paraId="0C36FF62">
            <w:pPr>
              <w:pStyle w:val="12"/>
            </w:pPr>
            <w:r>
              <w:t>2050201</w:t>
            </w:r>
          </w:p>
        </w:tc>
        <w:tc>
          <w:tcPr>
            <w:tcW w:w="1559" w:type="dxa"/>
            <w:vAlign w:val="center"/>
          </w:tcPr>
          <w:p w14:paraId="6AD25605">
            <w:pPr>
              <w:pStyle w:val="12"/>
            </w:pPr>
            <w:r>
              <w:t>学前教育</w:t>
            </w:r>
          </w:p>
        </w:tc>
        <w:tc>
          <w:tcPr>
            <w:tcW w:w="1134" w:type="dxa"/>
            <w:vAlign w:val="center"/>
          </w:tcPr>
          <w:p w14:paraId="70D637F5">
            <w:pPr>
              <w:pStyle w:val="11"/>
            </w:pPr>
            <w:r>
              <w:t>325.83</w:t>
            </w:r>
          </w:p>
        </w:tc>
        <w:tc>
          <w:tcPr>
            <w:tcW w:w="1134" w:type="dxa"/>
            <w:vAlign w:val="center"/>
          </w:tcPr>
          <w:p w14:paraId="4C880DA5">
            <w:pPr>
              <w:pStyle w:val="11"/>
            </w:pPr>
            <w:r>
              <w:t>325.83</w:t>
            </w:r>
          </w:p>
        </w:tc>
        <w:tc>
          <w:tcPr>
            <w:tcW w:w="1134" w:type="dxa"/>
            <w:vAlign w:val="center"/>
          </w:tcPr>
          <w:p w14:paraId="7AB0A176">
            <w:pPr>
              <w:pStyle w:val="11"/>
            </w:pPr>
            <w:r>
              <w:t>325.83</w:t>
            </w:r>
          </w:p>
        </w:tc>
        <w:tc>
          <w:tcPr>
            <w:tcW w:w="1134" w:type="dxa"/>
            <w:vAlign w:val="center"/>
          </w:tcPr>
          <w:p w14:paraId="5EE5B012">
            <w:pPr>
              <w:pStyle w:val="11"/>
            </w:pPr>
          </w:p>
        </w:tc>
        <w:tc>
          <w:tcPr>
            <w:tcW w:w="1134" w:type="dxa"/>
            <w:vAlign w:val="center"/>
          </w:tcPr>
          <w:p w14:paraId="73409EA6">
            <w:pPr>
              <w:pStyle w:val="11"/>
            </w:pPr>
          </w:p>
        </w:tc>
        <w:tc>
          <w:tcPr>
            <w:tcW w:w="1134" w:type="dxa"/>
            <w:vAlign w:val="center"/>
          </w:tcPr>
          <w:p w14:paraId="14BCC874">
            <w:pPr>
              <w:pStyle w:val="11"/>
            </w:pPr>
          </w:p>
        </w:tc>
        <w:tc>
          <w:tcPr>
            <w:tcW w:w="1134" w:type="dxa"/>
            <w:vAlign w:val="center"/>
          </w:tcPr>
          <w:p w14:paraId="0BD9C6F6">
            <w:pPr>
              <w:pStyle w:val="11"/>
            </w:pPr>
          </w:p>
        </w:tc>
        <w:tc>
          <w:tcPr>
            <w:tcW w:w="1134" w:type="dxa"/>
            <w:vAlign w:val="center"/>
          </w:tcPr>
          <w:p w14:paraId="518247EE">
            <w:pPr>
              <w:pStyle w:val="11"/>
            </w:pPr>
          </w:p>
        </w:tc>
        <w:tc>
          <w:tcPr>
            <w:tcW w:w="1134" w:type="dxa"/>
            <w:vAlign w:val="center"/>
          </w:tcPr>
          <w:p w14:paraId="5206C1FD">
            <w:pPr>
              <w:pStyle w:val="11"/>
            </w:pPr>
          </w:p>
        </w:tc>
        <w:tc>
          <w:tcPr>
            <w:tcW w:w="1134" w:type="dxa"/>
            <w:vAlign w:val="center"/>
          </w:tcPr>
          <w:p w14:paraId="57C2A1EA">
            <w:pPr>
              <w:pStyle w:val="11"/>
            </w:pPr>
          </w:p>
        </w:tc>
      </w:tr>
    </w:tbl>
    <w:p w14:paraId="1D812C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35D1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89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180EEB">
            <w:pPr>
              <w:pStyle w:val="9"/>
            </w:pPr>
            <w:r>
              <w:t>360035隆尧县唐尧街幼儿园</w:t>
            </w:r>
          </w:p>
        </w:tc>
        <w:tc>
          <w:tcPr>
            <w:tcW w:w="2722" w:type="dxa"/>
            <w:gridSpan w:val="2"/>
            <w:tcBorders>
              <w:top w:val="single" w:color="FFFFFF" w:sz="6" w:space="0"/>
              <w:left w:val="single" w:color="FFFFFF" w:sz="6" w:space="0"/>
              <w:right w:val="single" w:color="FFFFFF" w:sz="6" w:space="0"/>
            </w:tcBorders>
            <w:vAlign w:val="center"/>
          </w:tcPr>
          <w:p w14:paraId="7A69DAC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9000143">
            <w:pPr>
              <w:pStyle w:val="7"/>
            </w:pPr>
            <w:r>
              <w:t>单位：万元</w:t>
            </w:r>
          </w:p>
        </w:tc>
      </w:tr>
      <w:tr w14:paraId="62CF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31E39">
            <w:pPr>
              <w:pStyle w:val="10"/>
            </w:pPr>
            <w:r>
              <w:t>序号</w:t>
            </w:r>
          </w:p>
        </w:tc>
        <w:tc>
          <w:tcPr>
            <w:tcW w:w="5527" w:type="dxa"/>
            <w:gridSpan w:val="2"/>
            <w:vAlign w:val="center"/>
          </w:tcPr>
          <w:p w14:paraId="4C417F72">
            <w:pPr>
              <w:pStyle w:val="10"/>
            </w:pPr>
            <w:r>
              <w:t>功能分类科目</w:t>
            </w:r>
          </w:p>
        </w:tc>
        <w:tc>
          <w:tcPr>
            <w:tcW w:w="1361" w:type="dxa"/>
            <w:vMerge w:val="restart"/>
            <w:vAlign w:val="center"/>
          </w:tcPr>
          <w:p w14:paraId="2BEB290D">
            <w:pPr>
              <w:pStyle w:val="10"/>
            </w:pPr>
            <w:r>
              <w:t>合计</w:t>
            </w:r>
          </w:p>
        </w:tc>
        <w:tc>
          <w:tcPr>
            <w:tcW w:w="1361" w:type="dxa"/>
            <w:vMerge w:val="restart"/>
            <w:vAlign w:val="center"/>
          </w:tcPr>
          <w:p w14:paraId="2FF6056C">
            <w:pPr>
              <w:pStyle w:val="10"/>
            </w:pPr>
            <w:r>
              <w:t>基本支出</w:t>
            </w:r>
          </w:p>
        </w:tc>
        <w:tc>
          <w:tcPr>
            <w:tcW w:w="1361" w:type="dxa"/>
            <w:vMerge w:val="restart"/>
            <w:vAlign w:val="center"/>
          </w:tcPr>
          <w:p w14:paraId="3657B1F0">
            <w:pPr>
              <w:pStyle w:val="10"/>
            </w:pPr>
            <w:r>
              <w:t>项目支出</w:t>
            </w:r>
          </w:p>
        </w:tc>
        <w:tc>
          <w:tcPr>
            <w:tcW w:w="1361" w:type="dxa"/>
            <w:vMerge w:val="restart"/>
            <w:vAlign w:val="center"/>
          </w:tcPr>
          <w:p w14:paraId="1C509979">
            <w:pPr>
              <w:pStyle w:val="10"/>
            </w:pPr>
            <w:r>
              <w:t>经营支出</w:t>
            </w:r>
          </w:p>
        </w:tc>
        <w:tc>
          <w:tcPr>
            <w:tcW w:w="1361" w:type="dxa"/>
            <w:vMerge w:val="restart"/>
            <w:vAlign w:val="center"/>
          </w:tcPr>
          <w:p w14:paraId="553153C9">
            <w:pPr>
              <w:pStyle w:val="10"/>
            </w:pPr>
            <w:r>
              <w:t>上解上级     支出</w:t>
            </w:r>
          </w:p>
        </w:tc>
        <w:tc>
          <w:tcPr>
            <w:tcW w:w="1361" w:type="dxa"/>
            <w:vMerge w:val="restart"/>
            <w:vAlign w:val="center"/>
          </w:tcPr>
          <w:p w14:paraId="16655D64">
            <w:pPr>
              <w:pStyle w:val="10"/>
            </w:pPr>
            <w:r>
              <w:t>对附属单位补助支出</w:t>
            </w:r>
          </w:p>
        </w:tc>
      </w:tr>
      <w:tr w14:paraId="44B62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C74B54"/>
        </w:tc>
        <w:tc>
          <w:tcPr>
            <w:tcW w:w="992" w:type="dxa"/>
            <w:vAlign w:val="center"/>
          </w:tcPr>
          <w:p w14:paraId="2B1D73E5">
            <w:pPr>
              <w:pStyle w:val="10"/>
            </w:pPr>
            <w:r>
              <w:t>科目    编码</w:t>
            </w:r>
          </w:p>
        </w:tc>
        <w:tc>
          <w:tcPr>
            <w:tcW w:w="4535" w:type="dxa"/>
            <w:vAlign w:val="center"/>
          </w:tcPr>
          <w:p w14:paraId="750C12E9">
            <w:pPr>
              <w:pStyle w:val="10"/>
            </w:pPr>
            <w:r>
              <w:t>科目名称</w:t>
            </w:r>
          </w:p>
        </w:tc>
        <w:tc>
          <w:tcPr>
            <w:tcW w:w="1361" w:type="dxa"/>
            <w:vMerge w:val="continue"/>
          </w:tcPr>
          <w:p w14:paraId="33756E4B"/>
        </w:tc>
        <w:tc>
          <w:tcPr>
            <w:tcW w:w="1361" w:type="dxa"/>
            <w:vMerge w:val="continue"/>
          </w:tcPr>
          <w:p w14:paraId="5C65CFD1"/>
        </w:tc>
        <w:tc>
          <w:tcPr>
            <w:tcW w:w="1361" w:type="dxa"/>
            <w:vMerge w:val="continue"/>
          </w:tcPr>
          <w:p w14:paraId="1FDFFB75"/>
        </w:tc>
        <w:tc>
          <w:tcPr>
            <w:tcW w:w="1361" w:type="dxa"/>
            <w:vMerge w:val="continue"/>
          </w:tcPr>
          <w:p w14:paraId="019DF261"/>
        </w:tc>
        <w:tc>
          <w:tcPr>
            <w:tcW w:w="1361" w:type="dxa"/>
            <w:vMerge w:val="continue"/>
          </w:tcPr>
          <w:p w14:paraId="1E5A61AD"/>
        </w:tc>
        <w:tc>
          <w:tcPr>
            <w:tcW w:w="1361" w:type="dxa"/>
            <w:vMerge w:val="continue"/>
          </w:tcPr>
          <w:p w14:paraId="476E3108"/>
        </w:tc>
      </w:tr>
      <w:tr w14:paraId="6A5AA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83718">
            <w:pPr>
              <w:pStyle w:val="10"/>
            </w:pPr>
            <w:r>
              <w:t>栏次</w:t>
            </w:r>
          </w:p>
        </w:tc>
        <w:tc>
          <w:tcPr>
            <w:tcW w:w="992" w:type="dxa"/>
            <w:vAlign w:val="center"/>
          </w:tcPr>
          <w:p w14:paraId="486DD4CE">
            <w:pPr>
              <w:pStyle w:val="10"/>
            </w:pPr>
            <w:r>
              <w:t>1</w:t>
            </w:r>
          </w:p>
        </w:tc>
        <w:tc>
          <w:tcPr>
            <w:tcW w:w="4535" w:type="dxa"/>
            <w:vAlign w:val="center"/>
          </w:tcPr>
          <w:p w14:paraId="0C1681FB">
            <w:pPr>
              <w:pStyle w:val="10"/>
            </w:pPr>
            <w:r>
              <w:t>2</w:t>
            </w:r>
          </w:p>
        </w:tc>
        <w:tc>
          <w:tcPr>
            <w:tcW w:w="1361" w:type="dxa"/>
            <w:vAlign w:val="center"/>
          </w:tcPr>
          <w:p w14:paraId="35F9FF69">
            <w:pPr>
              <w:pStyle w:val="10"/>
            </w:pPr>
            <w:r>
              <w:t>3</w:t>
            </w:r>
          </w:p>
        </w:tc>
        <w:tc>
          <w:tcPr>
            <w:tcW w:w="1361" w:type="dxa"/>
            <w:vAlign w:val="center"/>
          </w:tcPr>
          <w:p w14:paraId="1318365C">
            <w:pPr>
              <w:pStyle w:val="10"/>
            </w:pPr>
            <w:r>
              <w:t>4</w:t>
            </w:r>
          </w:p>
        </w:tc>
        <w:tc>
          <w:tcPr>
            <w:tcW w:w="1361" w:type="dxa"/>
            <w:vAlign w:val="center"/>
          </w:tcPr>
          <w:p w14:paraId="0296B2A9">
            <w:pPr>
              <w:pStyle w:val="10"/>
            </w:pPr>
            <w:r>
              <w:t>5</w:t>
            </w:r>
          </w:p>
        </w:tc>
        <w:tc>
          <w:tcPr>
            <w:tcW w:w="1361" w:type="dxa"/>
            <w:vAlign w:val="center"/>
          </w:tcPr>
          <w:p w14:paraId="6DF778EF">
            <w:pPr>
              <w:pStyle w:val="10"/>
            </w:pPr>
            <w:r>
              <w:t>6</w:t>
            </w:r>
          </w:p>
        </w:tc>
        <w:tc>
          <w:tcPr>
            <w:tcW w:w="1361" w:type="dxa"/>
            <w:vAlign w:val="center"/>
          </w:tcPr>
          <w:p w14:paraId="55B3A896">
            <w:pPr>
              <w:pStyle w:val="10"/>
            </w:pPr>
            <w:r>
              <w:t>7</w:t>
            </w:r>
          </w:p>
        </w:tc>
        <w:tc>
          <w:tcPr>
            <w:tcW w:w="1361" w:type="dxa"/>
            <w:vAlign w:val="center"/>
          </w:tcPr>
          <w:p w14:paraId="609E5B1A">
            <w:pPr>
              <w:pStyle w:val="10"/>
            </w:pPr>
            <w:r>
              <w:t>8</w:t>
            </w:r>
          </w:p>
        </w:tc>
      </w:tr>
      <w:tr w14:paraId="06A7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EBAE3">
            <w:pPr>
              <w:pStyle w:val="13"/>
            </w:pPr>
            <w:r>
              <w:t>1</w:t>
            </w:r>
          </w:p>
        </w:tc>
        <w:tc>
          <w:tcPr>
            <w:tcW w:w="992" w:type="dxa"/>
            <w:vAlign w:val="center"/>
          </w:tcPr>
          <w:p w14:paraId="354428B9">
            <w:pPr>
              <w:pStyle w:val="16"/>
            </w:pPr>
          </w:p>
        </w:tc>
        <w:tc>
          <w:tcPr>
            <w:tcW w:w="4535" w:type="dxa"/>
            <w:vAlign w:val="center"/>
          </w:tcPr>
          <w:p w14:paraId="22ECA0BA">
            <w:pPr>
              <w:pStyle w:val="14"/>
            </w:pPr>
            <w:r>
              <w:t>合计</w:t>
            </w:r>
          </w:p>
        </w:tc>
        <w:tc>
          <w:tcPr>
            <w:tcW w:w="1361" w:type="dxa"/>
            <w:vAlign w:val="center"/>
          </w:tcPr>
          <w:p w14:paraId="098E886E">
            <w:pPr>
              <w:pStyle w:val="15"/>
            </w:pPr>
            <w:r>
              <w:t>325.83</w:t>
            </w:r>
          </w:p>
        </w:tc>
        <w:tc>
          <w:tcPr>
            <w:tcW w:w="1361" w:type="dxa"/>
            <w:vAlign w:val="center"/>
          </w:tcPr>
          <w:p w14:paraId="7CB0FE90">
            <w:pPr>
              <w:pStyle w:val="15"/>
            </w:pPr>
            <w:r>
              <w:t>211.68</w:t>
            </w:r>
          </w:p>
        </w:tc>
        <w:tc>
          <w:tcPr>
            <w:tcW w:w="1361" w:type="dxa"/>
            <w:vAlign w:val="center"/>
          </w:tcPr>
          <w:p w14:paraId="2BD658BF">
            <w:pPr>
              <w:pStyle w:val="15"/>
            </w:pPr>
            <w:r>
              <w:t>114.15</w:t>
            </w:r>
          </w:p>
        </w:tc>
        <w:tc>
          <w:tcPr>
            <w:tcW w:w="1361" w:type="dxa"/>
            <w:vAlign w:val="center"/>
          </w:tcPr>
          <w:p w14:paraId="796C354E">
            <w:pPr>
              <w:pStyle w:val="15"/>
            </w:pPr>
          </w:p>
        </w:tc>
        <w:tc>
          <w:tcPr>
            <w:tcW w:w="1361" w:type="dxa"/>
            <w:vAlign w:val="center"/>
          </w:tcPr>
          <w:p w14:paraId="2CEB0FD6">
            <w:pPr>
              <w:pStyle w:val="15"/>
            </w:pPr>
          </w:p>
        </w:tc>
        <w:tc>
          <w:tcPr>
            <w:tcW w:w="1361" w:type="dxa"/>
            <w:vAlign w:val="center"/>
          </w:tcPr>
          <w:p w14:paraId="64B4818B">
            <w:pPr>
              <w:pStyle w:val="15"/>
            </w:pPr>
          </w:p>
        </w:tc>
      </w:tr>
      <w:tr w14:paraId="51AB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C6ED0">
            <w:pPr>
              <w:pStyle w:val="13"/>
            </w:pPr>
            <w:r>
              <w:t>2</w:t>
            </w:r>
          </w:p>
        </w:tc>
        <w:tc>
          <w:tcPr>
            <w:tcW w:w="992" w:type="dxa"/>
            <w:vAlign w:val="center"/>
          </w:tcPr>
          <w:p w14:paraId="55204AEA">
            <w:pPr>
              <w:pStyle w:val="12"/>
            </w:pPr>
            <w:r>
              <w:t>205</w:t>
            </w:r>
          </w:p>
        </w:tc>
        <w:tc>
          <w:tcPr>
            <w:tcW w:w="4535" w:type="dxa"/>
            <w:vAlign w:val="center"/>
          </w:tcPr>
          <w:p w14:paraId="71BE3324">
            <w:pPr>
              <w:pStyle w:val="12"/>
            </w:pPr>
            <w:r>
              <w:t>教育支出</w:t>
            </w:r>
          </w:p>
        </w:tc>
        <w:tc>
          <w:tcPr>
            <w:tcW w:w="1361" w:type="dxa"/>
            <w:vAlign w:val="center"/>
          </w:tcPr>
          <w:p w14:paraId="68F16A28">
            <w:pPr>
              <w:pStyle w:val="11"/>
            </w:pPr>
            <w:r>
              <w:t>325.83</w:t>
            </w:r>
          </w:p>
        </w:tc>
        <w:tc>
          <w:tcPr>
            <w:tcW w:w="1361" w:type="dxa"/>
            <w:vAlign w:val="center"/>
          </w:tcPr>
          <w:p w14:paraId="3F853B34">
            <w:pPr>
              <w:pStyle w:val="11"/>
            </w:pPr>
            <w:r>
              <w:t>211.68</w:t>
            </w:r>
          </w:p>
        </w:tc>
        <w:tc>
          <w:tcPr>
            <w:tcW w:w="1361" w:type="dxa"/>
            <w:vAlign w:val="center"/>
          </w:tcPr>
          <w:p w14:paraId="567EED3A">
            <w:pPr>
              <w:pStyle w:val="11"/>
            </w:pPr>
            <w:r>
              <w:t>114.15</w:t>
            </w:r>
          </w:p>
        </w:tc>
        <w:tc>
          <w:tcPr>
            <w:tcW w:w="1361" w:type="dxa"/>
            <w:vAlign w:val="center"/>
          </w:tcPr>
          <w:p w14:paraId="4DFE46C0">
            <w:pPr>
              <w:pStyle w:val="11"/>
            </w:pPr>
          </w:p>
        </w:tc>
        <w:tc>
          <w:tcPr>
            <w:tcW w:w="1361" w:type="dxa"/>
            <w:vAlign w:val="center"/>
          </w:tcPr>
          <w:p w14:paraId="7BE4F9C0">
            <w:pPr>
              <w:pStyle w:val="11"/>
            </w:pPr>
          </w:p>
        </w:tc>
        <w:tc>
          <w:tcPr>
            <w:tcW w:w="1361" w:type="dxa"/>
            <w:vAlign w:val="center"/>
          </w:tcPr>
          <w:p w14:paraId="1B54C8F0">
            <w:pPr>
              <w:pStyle w:val="11"/>
            </w:pPr>
          </w:p>
        </w:tc>
      </w:tr>
      <w:tr w14:paraId="55FA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4DB7">
            <w:pPr>
              <w:pStyle w:val="13"/>
            </w:pPr>
            <w:r>
              <w:t>3</w:t>
            </w:r>
          </w:p>
        </w:tc>
        <w:tc>
          <w:tcPr>
            <w:tcW w:w="992" w:type="dxa"/>
            <w:vAlign w:val="center"/>
          </w:tcPr>
          <w:p w14:paraId="3FAC9893">
            <w:pPr>
              <w:pStyle w:val="12"/>
            </w:pPr>
            <w:r>
              <w:t>20502</w:t>
            </w:r>
          </w:p>
        </w:tc>
        <w:tc>
          <w:tcPr>
            <w:tcW w:w="4535" w:type="dxa"/>
            <w:vAlign w:val="center"/>
          </w:tcPr>
          <w:p w14:paraId="74B4C3E2">
            <w:pPr>
              <w:pStyle w:val="12"/>
            </w:pPr>
            <w:r>
              <w:t>普通教育</w:t>
            </w:r>
          </w:p>
        </w:tc>
        <w:tc>
          <w:tcPr>
            <w:tcW w:w="1361" w:type="dxa"/>
            <w:vAlign w:val="center"/>
          </w:tcPr>
          <w:p w14:paraId="7D7C748F">
            <w:pPr>
              <w:pStyle w:val="11"/>
            </w:pPr>
            <w:r>
              <w:t>325.83</w:t>
            </w:r>
          </w:p>
        </w:tc>
        <w:tc>
          <w:tcPr>
            <w:tcW w:w="1361" w:type="dxa"/>
            <w:vAlign w:val="center"/>
          </w:tcPr>
          <w:p w14:paraId="2B9D59EC">
            <w:pPr>
              <w:pStyle w:val="11"/>
            </w:pPr>
            <w:r>
              <w:t>211.68</w:t>
            </w:r>
          </w:p>
        </w:tc>
        <w:tc>
          <w:tcPr>
            <w:tcW w:w="1361" w:type="dxa"/>
            <w:vAlign w:val="center"/>
          </w:tcPr>
          <w:p w14:paraId="30082B37">
            <w:pPr>
              <w:pStyle w:val="11"/>
            </w:pPr>
            <w:r>
              <w:t>114.15</w:t>
            </w:r>
          </w:p>
        </w:tc>
        <w:tc>
          <w:tcPr>
            <w:tcW w:w="1361" w:type="dxa"/>
            <w:vAlign w:val="center"/>
          </w:tcPr>
          <w:p w14:paraId="66AD7FF9">
            <w:pPr>
              <w:pStyle w:val="11"/>
            </w:pPr>
          </w:p>
        </w:tc>
        <w:tc>
          <w:tcPr>
            <w:tcW w:w="1361" w:type="dxa"/>
            <w:vAlign w:val="center"/>
          </w:tcPr>
          <w:p w14:paraId="52657040">
            <w:pPr>
              <w:pStyle w:val="11"/>
            </w:pPr>
          </w:p>
        </w:tc>
        <w:tc>
          <w:tcPr>
            <w:tcW w:w="1361" w:type="dxa"/>
            <w:vAlign w:val="center"/>
          </w:tcPr>
          <w:p w14:paraId="72126BA1">
            <w:pPr>
              <w:pStyle w:val="11"/>
            </w:pPr>
          </w:p>
        </w:tc>
      </w:tr>
      <w:tr w14:paraId="1CB3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94208">
            <w:pPr>
              <w:pStyle w:val="13"/>
            </w:pPr>
            <w:r>
              <w:t>4</w:t>
            </w:r>
          </w:p>
        </w:tc>
        <w:tc>
          <w:tcPr>
            <w:tcW w:w="992" w:type="dxa"/>
            <w:vAlign w:val="center"/>
          </w:tcPr>
          <w:p w14:paraId="05650975">
            <w:pPr>
              <w:pStyle w:val="12"/>
            </w:pPr>
            <w:r>
              <w:t>2050201</w:t>
            </w:r>
          </w:p>
        </w:tc>
        <w:tc>
          <w:tcPr>
            <w:tcW w:w="4535" w:type="dxa"/>
            <w:vAlign w:val="center"/>
          </w:tcPr>
          <w:p w14:paraId="6956B363">
            <w:pPr>
              <w:pStyle w:val="12"/>
            </w:pPr>
            <w:r>
              <w:t>学前教育</w:t>
            </w:r>
          </w:p>
        </w:tc>
        <w:tc>
          <w:tcPr>
            <w:tcW w:w="1361" w:type="dxa"/>
            <w:vAlign w:val="center"/>
          </w:tcPr>
          <w:p w14:paraId="7B063E01">
            <w:pPr>
              <w:pStyle w:val="11"/>
            </w:pPr>
            <w:r>
              <w:t>325.83</w:t>
            </w:r>
          </w:p>
        </w:tc>
        <w:tc>
          <w:tcPr>
            <w:tcW w:w="1361" w:type="dxa"/>
            <w:vAlign w:val="center"/>
          </w:tcPr>
          <w:p w14:paraId="326B0DDA">
            <w:pPr>
              <w:pStyle w:val="11"/>
            </w:pPr>
            <w:r>
              <w:t>211.68</w:t>
            </w:r>
          </w:p>
        </w:tc>
        <w:tc>
          <w:tcPr>
            <w:tcW w:w="1361" w:type="dxa"/>
            <w:vAlign w:val="center"/>
          </w:tcPr>
          <w:p w14:paraId="173FDDCA">
            <w:pPr>
              <w:pStyle w:val="11"/>
            </w:pPr>
            <w:r>
              <w:t>114.15</w:t>
            </w:r>
          </w:p>
        </w:tc>
        <w:tc>
          <w:tcPr>
            <w:tcW w:w="1361" w:type="dxa"/>
            <w:vAlign w:val="center"/>
          </w:tcPr>
          <w:p w14:paraId="05FD04F6">
            <w:pPr>
              <w:pStyle w:val="11"/>
            </w:pPr>
          </w:p>
        </w:tc>
        <w:tc>
          <w:tcPr>
            <w:tcW w:w="1361" w:type="dxa"/>
            <w:vAlign w:val="center"/>
          </w:tcPr>
          <w:p w14:paraId="69A9D8ED">
            <w:pPr>
              <w:pStyle w:val="11"/>
            </w:pPr>
          </w:p>
        </w:tc>
        <w:tc>
          <w:tcPr>
            <w:tcW w:w="1361" w:type="dxa"/>
            <w:vAlign w:val="center"/>
          </w:tcPr>
          <w:p w14:paraId="501DC804">
            <w:pPr>
              <w:pStyle w:val="11"/>
            </w:pPr>
          </w:p>
        </w:tc>
      </w:tr>
    </w:tbl>
    <w:p w14:paraId="31F7BE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0D37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12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B4A6ED">
            <w:pPr>
              <w:pStyle w:val="9"/>
            </w:pPr>
            <w:r>
              <w:t>360035隆尧县唐尧街幼儿园</w:t>
            </w:r>
          </w:p>
        </w:tc>
        <w:tc>
          <w:tcPr>
            <w:tcW w:w="3402" w:type="dxa"/>
            <w:tcBorders>
              <w:top w:val="single" w:color="FFFFFF" w:sz="6" w:space="0"/>
              <w:left w:val="single" w:color="FFFFFF" w:sz="6" w:space="0"/>
              <w:right w:val="single" w:color="FFFFFF" w:sz="6" w:space="0"/>
            </w:tcBorders>
            <w:vAlign w:val="center"/>
          </w:tcPr>
          <w:p w14:paraId="6D5C15C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C4C2803">
            <w:pPr>
              <w:pStyle w:val="7"/>
            </w:pPr>
            <w:r>
              <w:t>单位：万元</w:t>
            </w:r>
          </w:p>
        </w:tc>
      </w:tr>
      <w:tr w14:paraId="1BD5E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526E0">
            <w:pPr>
              <w:pStyle w:val="10"/>
            </w:pPr>
            <w:r>
              <w:t>序号</w:t>
            </w:r>
          </w:p>
        </w:tc>
        <w:tc>
          <w:tcPr>
            <w:tcW w:w="4876" w:type="dxa"/>
            <w:gridSpan w:val="2"/>
            <w:vAlign w:val="center"/>
          </w:tcPr>
          <w:p w14:paraId="0D8C67C8">
            <w:pPr>
              <w:pStyle w:val="10"/>
            </w:pPr>
            <w:r>
              <w:t>收入</w:t>
            </w:r>
          </w:p>
        </w:tc>
        <w:tc>
          <w:tcPr>
            <w:tcW w:w="9298" w:type="dxa"/>
            <w:gridSpan w:val="5"/>
            <w:vAlign w:val="center"/>
          </w:tcPr>
          <w:p w14:paraId="673222FD">
            <w:pPr>
              <w:pStyle w:val="10"/>
            </w:pPr>
            <w:r>
              <w:t>支出</w:t>
            </w:r>
          </w:p>
        </w:tc>
      </w:tr>
      <w:tr w14:paraId="7FA2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F9EF0"/>
        </w:tc>
        <w:tc>
          <w:tcPr>
            <w:tcW w:w="3402" w:type="dxa"/>
            <w:vAlign w:val="center"/>
          </w:tcPr>
          <w:p w14:paraId="0A3DF0B9">
            <w:pPr>
              <w:pStyle w:val="10"/>
            </w:pPr>
            <w:r>
              <w:t>项  目</w:t>
            </w:r>
          </w:p>
        </w:tc>
        <w:tc>
          <w:tcPr>
            <w:tcW w:w="1474" w:type="dxa"/>
            <w:vAlign w:val="center"/>
          </w:tcPr>
          <w:p w14:paraId="1DEBFC1A">
            <w:pPr>
              <w:pStyle w:val="10"/>
            </w:pPr>
            <w:r>
              <w:t>金额</w:t>
            </w:r>
          </w:p>
        </w:tc>
        <w:tc>
          <w:tcPr>
            <w:tcW w:w="3402" w:type="dxa"/>
            <w:vAlign w:val="center"/>
          </w:tcPr>
          <w:p w14:paraId="57C5C204">
            <w:pPr>
              <w:pStyle w:val="10"/>
            </w:pPr>
            <w:r>
              <w:t>项  目</w:t>
            </w:r>
          </w:p>
        </w:tc>
        <w:tc>
          <w:tcPr>
            <w:tcW w:w="1474" w:type="dxa"/>
            <w:vAlign w:val="center"/>
          </w:tcPr>
          <w:p w14:paraId="0AECF27D">
            <w:pPr>
              <w:pStyle w:val="10"/>
            </w:pPr>
            <w:r>
              <w:t>合计</w:t>
            </w:r>
          </w:p>
        </w:tc>
        <w:tc>
          <w:tcPr>
            <w:tcW w:w="1474" w:type="dxa"/>
            <w:vAlign w:val="center"/>
          </w:tcPr>
          <w:p w14:paraId="1BF2F17A">
            <w:pPr>
              <w:pStyle w:val="10"/>
            </w:pPr>
            <w:r>
              <w:t>一般公共预算财政拨款</w:t>
            </w:r>
          </w:p>
        </w:tc>
        <w:tc>
          <w:tcPr>
            <w:tcW w:w="1474" w:type="dxa"/>
            <w:vAlign w:val="center"/>
          </w:tcPr>
          <w:p w14:paraId="69B2AB51">
            <w:pPr>
              <w:pStyle w:val="10"/>
            </w:pPr>
            <w:r>
              <w:t>政府性基金预算财政    拨款</w:t>
            </w:r>
          </w:p>
        </w:tc>
        <w:tc>
          <w:tcPr>
            <w:tcW w:w="1474" w:type="dxa"/>
            <w:vAlign w:val="center"/>
          </w:tcPr>
          <w:p w14:paraId="6E1561AE">
            <w:pPr>
              <w:pStyle w:val="10"/>
            </w:pPr>
            <w:r>
              <w:t>国有资本经营预算财政拨款</w:t>
            </w:r>
          </w:p>
        </w:tc>
      </w:tr>
      <w:tr w14:paraId="4F9AE6ED">
        <w:tblPrEx>
          <w:tblCellMar>
            <w:top w:w="0" w:type="dxa"/>
            <w:left w:w="108" w:type="dxa"/>
            <w:bottom w:w="0" w:type="dxa"/>
            <w:right w:w="108" w:type="dxa"/>
          </w:tblCellMar>
        </w:tblPrEx>
        <w:trPr>
          <w:trHeight w:val="369" w:hRule="atLeast"/>
          <w:tblHeader/>
          <w:jc w:val="center"/>
        </w:trPr>
        <w:tc>
          <w:tcPr>
            <w:tcW w:w="850" w:type="dxa"/>
            <w:vAlign w:val="center"/>
          </w:tcPr>
          <w:p w14:paraId="7EBC3C5D">
            <w:pPr>
              <w:pStyle w:val="10"/>
            </w:pPr>
            <w:r>
              <w:t>栏次</w:t>
            </w:r>
          </w:p>
        </w:tc>
        <w:tc>
          <w:tcPr>
            <w:tcW w:w="3402" w:type="dxa"/>
            <w:vAlign w:val="center"/>
          </w:tcPr>
          <w:p w14:paraId="3D40DE74">
            <w:pPr>
              <w:pStyle w:val="10"/>
            </w:pPr>
            <w:r>
              <w:t>1</w:t>
            </w:r>
          </w:p>
        </w:tc>
        <w:tc>
          <w:tcPr>
            <w:tcW w:w="1474" w:type="dxa"/>
            <w:vAlign w:val="center"/>
          </w:tcPr>
          <w:p w14:paraId="14BD4407">
            <w:pPr>
              <w:pStyle w:val="10"/>
            </w:pPr>
            <w:r>
              <w:t>2</w:t>
            </w:r>
          </w:p>
        </w:tc>
        <w:tc>
          <w:tcPr>
            <w:tcW w:w="3402" w:type="dxa"/>
            <w:vAlign w:val="center"/>
          </w:tcPr>
          <w:p w14:paraId="1009B0FE">
            <w:pPr>
              <w:pStyle w:val="10"/>
            </w:pPr>
            <w:r>
              <w:t>3</w:t>
            </w:r>
          </w:p>
        </w:tc>
        <w:tc>
          <w:tcPr>
            <w:tcW w:w="1474" w:type="dxa"/>
            <w:vAlign w:val="center"/>
          </w:tcPr>
          <w:p w14:paraId="6A2D26FE">
            <w:pPr>
              <w:pStyle w:val="10"/>
            </w:pPr>
            <w:r>
              <w:t>4</w:t>
            </w:r>
          </w:p>
        </w:tc>
        <w:tc>
          <w:tcPr>
            <w:tcW w:w="1474" w:type="dxa"/>
            <w:vAlign w:val="center"/>
          </w:tcPr>
          <w:p w14:paraId="4A6AF673">
            <w:pPr>
              <w:pStyle w:val="10"/>
            </w:pPr>
            <w:r>
              <w:t>5</w:t>
            </w:r>
          </w:p>
        </w:tc>
        <w:tc>
          <w:tcPr>
            <w:tcW w:w="1474" w:type="dxa"/>
            <w:vAlign w:val="center"/>
          </w:tcPr>
          <w:p w14:paraId="344B49FB">
            <w:pPr>
              <w:pStyle w:val="10"/>
            </w:pPr>
            <w:r>
              <w:t>6</w:t>
            </w:r>
          </w:p>
        </w:tc>
        <w:tc>
          <w:tcPr>
            <w:tcW w:w="1474" w:type="dxa"/>
            <w:vAlign w:val="center"/>
          </w:tcPr>
          <w:p w14:paraId="63B11ACA">
            <w:pPr>
              <w:pStyle w:val="10"/>
            </w:pPr>
            <w:r>
              <w:t>7</w:t>
            </w:r>
          </w:p>
        </w:tc>
      </w:tr>
      <w:tr w14:paraId="39FC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F4909">
            <w:pPr>
              <w:pStyle w:val="13"/>
            </w:pPr>
            <w:r>
              <w:t>1</w:t>
            </w:r>
          </w:p>
        </w:tc>
        <w:tc>
          <w:tcPr>
            <w:tcW w:w="3402" w:type="dxa"/>
            <w:vAlign w:val="center"/>
          </w:tcPr>
          <w:p w14:paraId="008C32FF">
            <w:pPr>
              <w:pStyle w:val="12"/>
            </w:pPr>
            <w:r>
              <w:t>一、一般公共预算拨款</w:t>
            </w:r>
          </w:p>
        </w:tc>
        <w:tc>
          <w:tcPr>
            <w:tcW w:w="1474" w:type="dxa"/>
            <w:vAlign w:val="center"/>
          </w:tcPr>
          <w:p w14:paraId="7A290EE1">
            <w:pPr>
              <w:pStyle w:val="11"/>
            </w:pPr>
            <w:r>
              <w:t>325.83</w:t>
            </w:r>
          </w:p>
        </w:tc>
        <w:tc>
          <w:tcPr>
            <w:tcW w:w="3402" w:type="dxa"/>
            <w:vAlign w:val="center"/>
          </w:tcPr>
          <w:p w14:paraId="69A1ECB0">
            <w:pPr>
              <w:pStyle w:val="12"/>
            </w:pPr>
            <w:r>
              <w:t>一、一般公共服务支出</w:t>
            </w:r>
          </w:p>
        </w:tc>
        <w:tc>
          <w:tcPr>
            <w:tcW w:w="1474" w:type="dxa"/>
            <w:vAlign w:val="center"/>
          </w:tcPr>
          <w:p w14:paraId="0490BEDA">
            <w:pPr>
              <w:pStyle w:val="11"/>
            </w:pPr>
          </w:p>
        </w:tc>
        <w:tc>
          <w:tcPr>
            <w:tcW w:w="1474" w:type="dxa"/>
            <w:vAlign w:val="center"/>
          </w:tcPr>
          <w:p w14:paraId="46B863A2">
            <w:pPr>
              <w:pStyle w:val="11"/>
            </w:pPr>
          </w:p>
        </w:tc>
        <w:tc>
          <w:tcPr>
            <w:tcW w:w="1474" w:type="dxa"/>
            <w:vAlign w:val="center"/>
          </w:tcPr>
          <w:p w14:paraId="15E818AD">
            <w:pPr>
              <w:pStyle w:val="11"/>
            </w:pPr>
          </w:p>
        </w:tc>
        <w:tc>
          <w:tcPr>
            <w:tcW w:w="1474" w:type="dxa"/>
            <w:vAlign w:val="center"/>
          </w:tcPr>
          <w:p w14:paraId="4F75E591">
            <w:pPr>
              <w:pStyle w:val="11"/>
            </w:pPr>
          </w:p>
        </w:tc>
      </w:tr>
      <w:tr w14:paraId="591E1E5D">
        <w:tblPrEx>
          <w:tblCellMar>
            <w:top w:w="0" w:type="dxa"/>
            <w:left w:w="108" w:type="dxa"/>
            <w:bottom w:w="0" w:type="dxa"/>
            <w:right w:w="108" w:type="dxa"/>
          </w:tblCellMar>
        </w:tblPrEx>
        <w:trPr>
          <w:trHeight w:val="369" w:hRule="atLeast"/>
          <w:jc w:val="center"/>
        </w:trPr>
        <w:tc>
          <w:tcPr>
            <w:tcW w:w="850" w:type="dxa"/>
            <w:vAlign w:val="center"/>
          </w:tcPr>
          <w:p w14:paraId="47394149">
            <w:pPr>
              <w:pStyle w:val="13"/>
            </w:pPr>
            <w:r>
              <w:t>2</w:t>
            </w:r>
          </w:p>
        </w:tc>
        <w:tc>
          <w:tcPr>
            <w:tcW w:w="3402" w:type="dxa"/>
            <w:vAlign w:val="center"/>
          </w:tcPr>
          <w:p w14:paraId="1BFF046F">
            <w:pPr>
              <w:pStyle w:val="12"/>
            </w:pPr>
            <w:r>
              <w:t>二、政府性基金预算拨款</w:t>
            </w:r>
          </w:p>
        </w:tc>
        <w:tc>
          <w:tcPr>
            <w:tcW w:w="1474" w:type="dxa"/>
            <w:vAlign w:val="center"/>
          </w:tcPr>
          <w:p w14:paraId="659B3954">
            <w:pPr>
              <w:pStyle w:val="11"/>
            </w:pPr>
          </w:p>
        </w:tc>
        <w:tc>
          <w:tcPr>
            <w:tcW w:w="3402" w:type="dxa"/>
            <w:vAlign w:val="center"/>
          </w:tcPr>
          <w:p w14:paraId="6073B741">
            <w:pPr>
              <w:pStyle w:val="12"/>
            </w:pPr>
            <w:r>
              <w:t>二、外交支出</w:t>
            </w:r>
          </w:p>
        </w:tc>
        <w:tc>
          <w:tcPr>
            <w:tcW w:w="1474" w:type="dxa"/>
            <w:vAlign w:val="center"/>
          </w:tcPr>
          <w:p w14:paraId="28F7C117">
            <w:pPr>
              <w:pStyle w:val="11"/>
            </w:pPr>
          </w:p>
        </w:tc>
        <w:tc>
          <w:tcPr>
            <w:tcW w:w="1474" w:type="dxa"/>
            <w:vAlign w:val="center"/>
          </w:tcPr>
          <w:p w14:paraId="47506774">
            <w:pPr>
              <w:pStyle w:val="11"/>
            </w:pPr>
          </w:p>
        </w:tc>
        <w:tc>
          <w:tcPr>
            <w:tcW w:w="1474" w:type="dxa"/>
            <w:vAlign w:val="center"/>
          </w:tcPr>
          <w:p w14:paraId="14C22BB0">
            <w:pPr>
              <w:pStyle w:val="11"/>
            </w:pPr>
          </w:p>
        </w:tc>
        <w:tc>
          <w:tcPr>
            <w:tcW w:w="1474" w:type="dxa"/>
            <w:vAlign w:val="center"/>
          </w:tcPr>
          <w:p w14:paraId="3EE105E4">
            <w:pPr>
              <w:pStyle w:val="11"/>
            </w:pPr>
          </w:p>
        </w:tc>
      </w:tr>
      <w:tr w14:paraId="11500F2F">
        <w:tblPrEx>
          <w:tblCellMar>
            <w:top w:w="0" w:type="dxa"/>
            <w:left w:w="108" w:type="dxa"/>
            <w:bottom w:w="0" w:type="dxa"/>
            <w:right w:w="108" w:type="dxa"/>
          </w:tblCellMar>
        </w:tblPrEx>
        <w:trPr>
          <w:trHeight w:val="369" w:hRule="atLeast"/>
          <w:jc w:val="center"/>
        </w:trPr>
        <w:tc>
          <w:tcPr>
            <w:tcW w:w="850" w:type="dxa"/>
            <w:vAlign w:val="center"/>
          </w:tcPr>
          <w:p w14:paraId="4E8A0BB8">
            <w:pPr>
              <w:pStyle w:val="13"/>
            </w:pPr>
            <w:r>
              <w:t>3</w:t>
            </w:r>
          </w:p>
        </w:tc>
        <w:tc>
          <w:tcPr>
            <w:tcW w:w="3402" w:type="dxa"/>
            <w:vAlign w:val="center"/>
          </w:tcPr>
          <w:p w14:paraId="673F9B8A">
            <w:pPr>
              <w:pStyle w:val="12"/>
            </w:pPr>
            <w:r>
              <w:t>三、国有资本经营预算拨款</w:t>
            </w:r>
          </w:p>
        </w:tc>
        <w:tc>
          <w:tcPr>
            <w:tcW w:w="1474" w:type="dxa"/>
            <w:vAlign w:val="center"/>
          </w:tcPr>
          <w:p w14:paraId="3A361E14">
            <w:pPr>
              <w:pStyle w:val="11"/>
            </w:pPr>
          </w:p>
        </w:tc>
        <w:tc>
          <w:tcPr>
            <w:tcW w:w="3402" w:type="dxa"/>
            <w:vAlign w:val="center"/>
          </w:tcPr>
          <w:p w14:paraId="105925CB">
            <w:pPr>
              <w:pStyle w:val="12"/>
            </w:pPr>
            <w:r>
              <w:t>三、国防支出</w:t>
            </w:r>
          </w:p>
        </w:tc>
        <w:tc>
          <w:tcPr>
            <w:tcW w:w="1474" w:type="dxa"/>
            <w:vAlign w:val="center"/>
          </w:tcPr>
          <w:p w14:paraId="2720B1E7">
            <w:pPr>
              <w:pStyle w:val="11"/>
            </w:pPr>
          </w:p>
        </w:tc>
        <w:tc>
          <w:tcPr>
            <w:tcW w:w="1474" w:type="dxa"/>
            <w:vAlign w:val="center"/>
          </w:tcPr>
          <w:p w14:paraId="78FBC0D7">
            <w:pPr>
              <w:pStyle w:val="11"/>
            </w:pPr>
          </w:p>
        </w:tc>
        <w:tc>
          <w:tcPr>
            <w:tcW w:w="1474" w:type="dxa"/>
            <w:vAlign w:val="center"/>
          </w:tcPr>
          <w:p w14:paraId="6CF5D90A">
            <w:pPr>
              <w:pStyle w:val="11"/>
            </w:pPr>
          </w:p>
        </w:tc>
        <w:tc>
          <w:tcPr>
            <w:tcW w:w="1474" w:type="dxa"/>
            <w:vAlign w:val="center"/>
          </w:tcPr>
          <w:p w14:paraId="288A8345">
            <w:pPr>
              <w:pStyle w:val="11"/>
            </w:pPr>
          </w:p>
        </w:tc>
      </w:tr>
      <w:tr w14:paraId="7A7300EA">
        <w:tblPrEx>
          <w:tblCellMar>
            <w:top w:w="0" w:type="dxa"/>
            <w:left w:w="108" w:type="dxa"/>
            <w:bottom w:w="0" w:type="dxa"/>
            <w:right w:w="108" w:type="dxa"/>
          </w:tblCellMar>
        </w:tblPrEx>
        <w:trPr>
          <w:trHeight w:val="369" w:hRule="atLeast"/>
          <w:jc w:val="center"/>
        </w:trPr>
        <w:tc>
          <w:tcPr>
            <w:tcW w:w="850" w:type="dxa"/>
            <w:vAlign w:val="center"/>
          </w:tcPr>
          <w:p w14:paraId="55E0DCBD">
            <w:pPr>
              <w:pStyle w:val="13"/>
            </w:pPr>
            <w:r>
              <w:t>4</w:t>
            </w:r>
          </w:p>
        </w:tc>
        <w:tc>
          <w:tcPr>
            <w:tcW w:w="3402" w:type="dxa"/>
            <w:vAlign w:val="center"/>
          </w:tcPr>
          <w:p w14:paraId="2AC01E63">
            <w:pPr>
              <w:pStyle w:val="12"/>
            </w:pPr>
          </w:p>
        </w:tc>
        <w:tc>
          <w:tcPr>
            <w:tcW w:w="1474" w:type="dxa"/>
            <w:vAlign w:val="center"/>
          </w:tcPr>
          <w:p w14:paraId="5C5F8033">
            <w:pPr>
              <w:pStyle w:val="11"/>
            </w:pPr>
          </w:p>
        </w:tc>
        <w:tc>
          <w:tcPr>
            <w:tcW w:w="3402" w:type="dxa"/>
            <w:vAlign w:val="center"/>
          </w:tcPr>
          <w:p w14:paraId="7C3BC9CB">
            <w:pPr>
              <w:pStyle w:val="12"/>
            </w:pPr>
            <w:r>
              <w:t>四、公共安全支出</w:t>
            </w:r>
          </w:p>
        </w:tc>
        <w:tc>
          <w:tcPr>
            <w:tcW w:w="1474" w:type="dxa"/>
            <w:vAlign w:val="center"/>
          </w:tcPr>
          <w:p w14:paraId="1D1B28AF">
            <w:pPr>
              <w:pStyle w:val="11"/>
            </w:pPr>
          </w:p>
        </w:tc>
        <w:tc>
          <w:tcPr>
            <w:tcW w:w="1474" w:type="dxa"/>
            <w:vAlign w:val="center"/>
          </w:tcPr>
          <w:p w14:paraId="12292666">
            <w:pPr>
              <w:pStyle w:val="11"/>
            </w:pPr>
          </w:p>
        </w:tc>
        <w:tc>
          <w:tcPr>
            <w:tcW w:w="1474" w:type="dxa"/>
            <w:vAlign w:val="center"/>
          </w:tcPr>
          <w:p w14:paraId="2D817570">
            <w:pPr>
              <w:pStyle w:val="11"/>
            </w:pPr>
          </w:p>
        </w:tc>
        <w:tc>
          <w:tcPr>
            <w:tcW w:w="1474" w:type="dxa"/>
            <w:vAlign w:val="center"/>
          </w:tcPr>
          <w:p w14:paraId="1342A00A">
            <w:pPr>
              <w:pStyle w:val="11"/>
            </w:pPr>
          </w:p>
        </w:tc>
      </w:tr>
      <w:tr w14:paraId="124A2BBF">
        <w:tblPrEx>
          <w:tblCellMar>
            <w:top w:w="0" w:type="dxa"/>
            <w:left w:w="108" w:type="dxa"/>
            <w:bottom w:w="0" w:type="dxa"/>
            <w:right w:w="108" w:type="dxa"/>
          </w:tblCellMar>
        </w:tblPrEx>
        <w:trPr>
          <w:trHeight w:val="369" w:hRule="atLeast"/>
          <w:jc w:val="center"/>
        </w:trPr>
        <w:tc>
          <w:tcPr>
            <w:tcW w:w="850" w:type="dxa"/>
            <w:vAlign w:val="center"/>
          </w:tcPr>
          <w:p w14:paraId="40AE598C">
            <w:pPr>
              <w:pStyle w:val="13"/>
            </w:pPr>
            <w:r>
              <w:t>5</w:t>
            </w:r>
          </w:p>
        </w:tc>
        <w:tc>
          <w:tcPr>
            <w:tcW w:w="3402" w:type="dxa"/>
            <w:vAlign w:val="center"/>
          </w:tcPr>
          <w:p w14:paraId="22AFD5D9">
            <w:pPr>
              <w:pStyle w:val="12"/>
            </w:pPr>
          </w:p>
        </w:tc>
        <w:tc>
          <w:tcPr>
            <w:tcW w:w="1474" w:type="dxa"/>
            <w:vAlign w:val="center"/>
          </w:tcPr>
          <w:p w14:paraId="2E62D2D2">
            <w:pPr>
              <w:pStyle w:val="11"/>
            </w:pPr>
          </w:p>
        </w:tc>
        <w:tc>
          <w:tcPr>
            <w:tcW w:w="3402" w:type="dxa"/>
            <w:vAlign w:val="center"/>
          </w:tcPr>
          <w:p w14:paraId="584887B0">
            <w:pPr>
              <w:pStyle w:val="12"/>
            </w:pPr>
            <w:r>
              <w:t>五、教育支出</w:t>
            </w:r>
          </w:p>
        </w:tc>
        <w:tc>
          <w:tcPr>
            <w:tcW w:w="1474" w:type="dxa"/>
            <w:vAlign w:val="center"/>
          </w:tcPr>
          <w:p w14:paraId="3490DD15">
            <w:pPr>
              <w:pStyle w:val="11"/>
            </w:pPr>
            <w:r>
              <w:t>325.83</w:t>
            </w:r>
          </w:p>
        </w:tc>
        <w:tc>
          <w:tcPr>
            <w:tcW w:w="1474" w:type="dxa"/>
            <w:vAlign w:val="center"/>
          </w:tcPr>
          <w:p w14:paraId="7946AFFE">
            <w:pPr>
              <w:pStyle w:val="11"/>
            </w:pPr>
            <w:r>
              <w:t>325.83</w:t>
            </w:r>
          </w:p>
        </w:tc>
        <w:tc>
          <w:tcPr>
            <w:tcW w:w="1474" w:type="dxa"/>
            <w:vAlign w:val="center"/>
          </w:tcPr>
          <w:p w14:paraId="1C1927AD">
            <w:pPr>
              <w:pStyle w:val="11"/>
            </w:pPr>
          </w:p>
        </w:tc>
        <w:tc>
          <w:tcPr>
            <w:tcW w:w="1474" w:type="dxa"/>
            <w:vAlign w:val="center"/>
          </w:tcPr>
          <w:p w14:paraId="0A1199A4">
            <w:pPr>
              <w:pStyle w:val="11"/>
            </w:pPr>
          </w:p>
        </w:tc>
      </w:tr>
      <w:tr w14:paraId="484D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E023">
            <w:pPr>
              <w:pStyle w:val="13"/>
            </w:pPr>
            <w:r>
              <w:t>6</w:t>
            </w:r>
          </w:p>
        </w:tc>
        <w:tc>
          <w:tcPr>
            <w:tcW w:w="3402" w:type="dxa"/>
            <w:vAlign w:val="center"/>
          </w:tcPr>
          <w:p w14:paraId="6984513C">
            <w:pPr>
              <w:pStyle w:val="12"/>
            </w:pPr>
          </w:p>
        </w:tc>
        <w:tc>
          <w:tcPr>
            <w:tcW w:w="1474" w:type="dxa"/>
            <w:vAlign w:val="center"/>
          </w:tcPr>
          <w:p w14:paraId="3D2AA6AD">
            <w:pPr>
              <w:pStyle w:val="11"/>
            </w:pPr>
          </w:p>
        </w:tc>
        <w:tc>
          <w:tcPr>
            <w:tcW w:w="3402" w:type="dxa"/>
            <w:vAlign w:val="center"/>
          </w:tcPr>
          <w:p w14:paraId="4B4B6869">
            <w:pPr>
              <w:pStyle w:val="12"/>
            </w:pPr>
            <w:r>
              <w:t>六、科学技术支出</w:t>
            </w:r>
          </w:p>
        </w:tc>
        <w:tc>
          <w:tcPr>
            <w:tcW w:w="1474" w:type="dxa"/>
            <w:vAlign w:val="center"/>
          </w:tcPr>
          <w:p w14:paraId="7449E7CD">
            <w:pPr>
              <w:pStyle w:val="11"/>
            </w:pPr>
          </w:p>
        </w:tc>
        <w:tc>
          <w:tcPr>
            <w:tcW w:w="1474" w:type="dxa"/>
            <w:vAlign w:val="center"/>
          </w:tcPr>
          <w:p w14:paraId="4D000797">
            <w:pPr>
              <w:pStyle w:val="11"/>
            </w:pPr>
          </w:p>
        </w:tc>
        <w:tc>
          <w:tcPr>
            <w:tcW w:w="1474" w:type="dxa"/>
            <w:vAlign w:val="center"/>
          </w:tcPr>
          <w:p w14:paraId="52122BB4">
            <w:pPr>
              <w:pStyle w:val="11"/>
            </w:pPr>
          </w:p>
        </w:tc>
        <w:tc>
          <w:tcPr>
            <w:tcW w:w="1474" w:type="dxa"/>
            <w:vAlign w:val="center"/>
          </w:tcPr>
          <w:p w14:paraId="5FADA962">
            <w:pPr>
              <w:pStyle w:val="11"/>
            </w:pPr>
          </w:p>
        </w:tc>
      </w:tr>
      <w:tr w14:paraId="5482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6E4F6">
            <w:pPr>
              <w:pStyle w:val="13"/>
            </w:pPr>
            <w:r>
              <w:t>7</w:t>
            </w:r>
          </w:p>
        </w:tc>
        <w:tc>
          <w:tcPr>
            <w:tcW w:w="3402" w:type="dxa"/>
            <w:vAlign w:val="center"/>
          </w:tcPr>
          <w:p w14:paraId="344AD8EA">
            <w:pPr>
              <w:pStyle w:val="12"/>
            </w:pPr>
          </w:p>
        </w:tc>
        <w:tc>
          <w:tcPr>
            <w:tcW w:w="1474" w:type="dxa"/>
            <w:vAlign w:val="center"/>
          </w:tcPr>
          <w:p w14:paraId="381A8D23">
            <w:pPr>
              <w:pStyle w:val="11"/>
            </w:pPr>
          </w:p>
        </w:tc>
        <w:tc>
          <w:tcPr>
            <w:tcW w:w="3402" w:type="dxa"/>
            <w:vAlign w:val="center"/>
          </w:tcPr>
          <w:p w14:paraId="0CD473F3">
            <w:pPr>
              <w:pStyle w:val="12"/>
            </w:pPr>
            <w:r>
              <w:t>七、文化旅游体育与传媒支出</w:t>
            </w:r>
          </w:p>
        </w:tc>
        <w:tc>
          <w:tcPr>
            <w:tcW w:w="1474" w:type="dxa"/>
            <w:vAlign w:val="center"/>
          </w:tcPr>
          <w:p w14:paraId="2130A7D6">
            <w:pPr>
              <w:pStyle w:val="11"/>
            </w:pPr>
          </w:p>
        </w:tc>
        <w:tc>
          <w:tcPr>
            <w:tcW w:w="1474" w:type="dxa"/>
            <w:vAlign w:val="center"/>
          </w:tcPr>
          <w:p w14:paraId="7248DE67">
            <w:pPr>
              <w:pStyle w:val="11"/>
            </w:pPr>
          </w:p>
        </w:tc>
        <w:tc>
          <w:tcPr>
            <w:tcW w:w="1474" w:type="dxa"/>
            <w:vAlign w:val="center"/>
          </w:tcPr>
          <w:p w14:paraId="577527F0">
            <w:pPr>
              <w:pStyle w:val="11"/>
            </w:pPr>
          </w:p>
        </w:tc>
        <w:tc>
          <w:tcPr>
            <w:tcW w:w="1474" w:type="dxa"/>
            <w:vAlign w:val="center"/>
          </w:tcPr>
          <w:p w14:paraId="202383AE">
            <w:pPr>
              <w:pStyle w:val="11"/>
            </w:pPr>
          </w:p>
        </w:tc>
      </w:tr>
      <w:tr w14:paraId="5082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A8E86">
            <w:pPr>
              <w:pStyle w:val="13"/>
            </w:pPr>
            <w:r>
              <w:t>8</w:t>
            </w:r>
          </w:p>
        </w:tc>
        <w:tc>
          <w:tcPr>
            <w:tcW w:w="3402" w:type="dxa"/>
            <w:vAlign w:val="center"/>
          </w:tcPr>
          <w:p w14:paraId="3FB84A8C">
            <w:pPr>
              <w:pStyle w:val="12"/>
            </w:pPr>
          </w:p>
        </w:tc>
        <w:tc>
          <w:tcPr>
            <w:tcW w:w="1474" w:type="dxa"/>
            <w:vAlign w:val="center"/>
          </w:tcPr>
          <w:p w14:paraId="007842BC">
            <w:pPr>
              <w:pStyle w:val="11"/>
            </w:pPr>
          </w:p>
        </w:tc>
        <w:tc>
          <w:tcPr>
            <w:tcW w:w="3402" w:type="dxa"/>
            <w:vAlign w:val="center"/>
          </w:tcPr>
          <w:p w14:paraId="53367096">
            <w:pPr>
              <w:pStyle w:val="12"/>
            </w:pPr>
            <w:r>
              <w:t>八、社会保障和就业支出</w:t>
            </w:r>
          </w:p>
        </w:tc>
        <w:tc>
          <w:tcPr>
            <w:tcW w:w="1474" w:type="dxa"/>
            <w:vAlign w:val="center"/>
          </w:tcPr>
          <w:p w14:paraId="2E18222A">
            <w:pPr>
              <w:pStyle w:val="11"/>
            </w:pPr>
          </w:p>
        </w:tc>
        <w:tc>
          <w:tcPr>
            <w:tcW w:w="1474" w:type="dxa"/>
            <w:vAlign w:val="center"/>
          </w:tcPr>
          <w:p w14:paraId="1599AD92">
            <w:pPr>
              <w:pStyle w:val="11"/>
            </w:pPr>
          </w:p>
        </w:tc>
        <w:tc>
          <w:tcPr>
            <w:tcW w:w="1474" w:type="dxa"/>
            <w:vAlign w:val="center"/>
          </w:tcPr>
          <w:p w14:paraId="0F2CF834">
            <w:pPr>
              <w:pStyle w:val="11"/>
            </w:pPr>
          </w:p>
        </w:tc>
        <w:tc>
          <w:tcPr>
            <w:tcW w:w="1474" w:type="dxa"/>
            <w:vAlign w:val="center"/>
          </w:tcPr>
          <w:p w14:paraId="2E192FBF">
            <w:pPr>
              <w:pStyle w:val="11"/>
            </w:pPr>
          </w:p>
        </w:tc>
      </w:tr>
      <w:tr w14:paraId="1CD6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FC7EF">
            <w:pPr>
              <w:pStyle w:val="13"/>
            </w:pPr>
            <w:r>
              <w:t>9</w:t>
            </w:r>
          </w:p>
        </w:tc>
        <w:tc>
          <w:tcPr>
            <w:tcW w:w="3402" w:type="dxa"/>
            <w:vAlign w:val="center"/>
          </w:tcPr>
          <w:p w14:paraId="1E4EDD9E">
            <w:pPr>
              <w:pStyle w:val="12"/>
            </w:pPr>
          </w:p>
        </w:tc>
        <w:tc>
          <w:tcPr>
            <w:tcW w:w="1474" w:type="dxa"/>
            <w:vAlign w:val="center"/>
          </w:tcPr>
          <w:p w14:paraId="6955D9E1">
            <w:pPr>
              <w:pStyle w:val="11"/>
            </w:pPr>
          </w:p>
        </w:tc>
        <w:tc>
          <w:tcPr>
            <w:tcW w:w="3402" w:type="dxa"/>
            <w:vAlign w:val="center"/>
          </w:tcPr>
          <w:p w14:paraId="1D9CE711">
            <w:pPr>
              <w:pStyle w:val="12"/>
            </w:pPr>
            <w:r>
              <w:t>九、社会保险基金支出</w:t>
            </w:r>
          </w:p>
        </w:tc>
        <w:tc>
          <w:tcPr>
            <w:tcW w:w="1474" w:type="dxa"/>
            <w:vAlign w:val="center"/>
          </w:tcPr>
          <w:p w14:paraId="7266B757">
            <w:pPr>
              <w:pStyle w:val="11"/>
            </w:pPr>
          </w:p>
        </w:tc>
        <w:tc>
          <w:tcPr>
            <w:tcW w:w="1474" w:type="dxa"/>
            <w:vAlign w:val="center"/>
          </w:tcPr>
          <w:p w14:paraId="4CCDA4B7">
            <w:pPr>
              <w:pStyle w:val="11"/>
            </w:pPr>
          </w:p>
        </w:tc>
        <w:tc>
          <w:tcPr>
            <w:tcW w:w="1474" w:type="dxa"/>
            <w:vAlign w:val="center"/>
          </w:tcPr>
          <w:p w14:paraId="439BFC20">
            <w:pPr>
              <w:pStyle w:val="11"/>
            </w:pPr>
          </w:p>
        </w:tc>
        <w:tc>
          <w:tcPr>
            <w:tcW w:w="1474" w:type="dxa"/>
            <w:vAlign w:val="center"/>
          </w:tcPr>
          <w:p w14:paraId="04F6DD9E">
            <w:pPr>
              <w:pStyle w:val="11"/>
            </w:pPr>
          </w:p>
        </w:tc>
      </w:tr>
      <w:tr w14:paraId="5DB7E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EFCA0">
            <w:pPr>
              <w:pStyle w:val="13"/>
            </w:pPr>
            <w:r>
              <w:t>10</w:t>
            </w:r>
          </w:p>
        </w:tc>
        <w:tc>
          <w:tcPr>
            <w:tcW w:w="3402" w:type="dxa"/>
            <w:vAlign w:val="center"/>
          </w:tcPr>
          <w:p w14:paraId="722F6040">
            <w:pPr>
              <w:pStyle w:val="12"/>
            </w:pPr>
          </w:p>
        </w:tc>
        <w:tc>
          <w:tcPr>
            <w:tcW w:w="1474" w:type="dxa"/>
            <w:vAlign w:val="center"/>
          </w:tcPr>
          <w:p w14:paraId="7440045C">
            <w:pPr>
              <w:pStyle w:val="11"/>
            </w:pPr>
          </w:p>
        </w:tc>
        <w:tc>
          <w:tcPr>
            <w:tcW w:w="3402" w:type="dxa"/>
            <w:vAlign w:val="center"/>
          </w:tcPr>
          <w:p w14:paraId="2F2F7E9B">
            <w:pPr>
              <w:pStyle w:val="12"/>
            </w:pPr>
            <w:r>
              <w:t>十、卫生健康支出</w:t>
            </w:r>
          </w:p>
        </w:tc>
        <w:tc>
          <w:tcPr>
            <w:tcW w:w="1474" w:type="dxa"/>
            <w:vAlign w:val="center"/>
          </w:tcPr>
          <w:p w14:paraId="1CFE52D9">
            <w:pPr>
              <w:pStyle w:val="11"/>
            </w:pPr>
          </w:p>
        </w:tc>
        <w:tc>
          <w:tcPr>
            <w:tcW w:w="1474" w:type="dxa"/>
            <w:vAlign w:val="center"/>
          </w:tcPr>
          <w:p w14:paraId="3AF772BD">
            <w:pPr>
              <w:pStyle w:val="11"/>
            </w:pPr>
          </w:p>
        </w:tc>
        <w:tc>
          <w:tcPr>
            <w:tcW w:w="1474" w:type="dxa"/>
            <w:vAlign w:val="center"/>
          </w:tcPr>
          <w:p w14:paraId="44BD4C5A">
            <w:pPr>
              <w:pStyle w:val="11"/>
            </w:pPr>
          </w:p>
        </w:tc>
        <w:tc>
          <w:tcPr>
            <w:tcW w:w="1474" w:type="dxa"/>
            <w:vAlign w:val="center"/>
          </w:tcPr>
          <w:p w14:paraId="1400D26D">
            <w:pPr>
              <w:pStyle w:val="11"/>
            </w:pPr>
          </w:p>
        </w:tc>
      </w:tr>
      <w:tr w14:paraId="55C9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C5B8C">
            <w:pPr>
              <w:pStyle w:val="13"/>
            </w:pPr>
            <w:r>
              <w:t>11</w:t>
            </w:r>
          </w:p>
        </w:tc>
        <w:tc>
          <w:tcPr>
            <w:tcW w:w="3402" w:type="dxa"/>
            <w:vAlign w:val="center"/>
          </w:tcPr>
          <w:p w14:paraId="412E33E4">
            <w:pPr>
              <w:pStyle w:val="12"/>
            </w:pPr>
          </w:p>
        </w:tc>
        <w:tc>
          <w:tcPr>
            <w:tcW w:w="1474" w:type="dxa"/>
            <w:vAlign w:val="center"/>
          </w:tcPr>
          <w:p w14:paraId="5BD211BF">
            <w:pPr>
              <w:pStyle w:val="11"/>
            </w:pPr>
          </w:p>
        </w:tc>
        <w:tc>
          <w:tcPr>
            <w:tcW w:w="3402" w:type="dxa"/>
            <w:vAlign w:val="center"/>
          </w:tcPr>
          <w:p w14:paraId="0979EA35">
            <w:pPr>
              <w:pStyle w:val="12"/>
            </w:pPr>
            <w:r>
              <w:t>十一、节能环保支出</w:t>
            </w:r>
          </w:p>
        </w:tc>
        <w:tc>
          <w:tcPr>
            <w:tcW w:w="1474" w:type="dxa"/>
            <w:vAlign w:val="center"/>
          </w:tcPr>
          <w:p w14:paraId="0C58088D">
            <w:pPr>
              <w:pStyle w:val="11"/>
            </w:pPr>
          </w:p>
        </w:tc>
        <w:tc>
          <w:tcPr>
            <w:tcW w:w="1474" w:type="dxa"/>
            <w:vAlign w:val="center"/>
          </w:tcPr>
          <w:p w14:paraId="424E7DDC">
            <w:pPr>
              <w:pStyle w:val="11"/>
            </w:pPr>
          </w:p>
        </w:tc>
        <w:tc>
          <w:tcPr>
            <w:tcW w:w="1474" w:type="dxa"/>
            <w:vAlign w:val="center"/>
          </w:tcPr>
          <w:p w14:paraId="6A8FC15F">
            <w:pPr>
              <w:pStyle w:val="11"/>
            </w:pPr>
          </w:p>
        </w:tc>
        <w:tc>
          <w:tcPr>
            <w:tcW w:w="1474" w:type="dxa"/>
            <w:vAlign w:val="center"/>
          </w:tcPr>
          <w:p w14:paraId="1BA77FAB">
            <w:pPr>
              <w:pStyle w:val="11"/>
            </w:pPr>
          </w:p>
        </w:tc>
      </w:tr>
      <w:tr w14:paraId="4ED2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A7039">
            <w:pPr>
              <w:pStyle w:val="13"/>
            </w:pPr>
            <w:r>
              <w:t>12</w:t>
            </w:r>
          </w:p>
        </w:tc>
        <w:tc>
          <w:tcPr>
            <w:tcW w:w="3402" w:type="dxa"/>
            <w:vAlign w:val="center"/>
          </w:tcPr>
          <w:p w14:paraId="51C80B58">
            <w:pPr>
              <w:pStyle w:val="12"/>
            </w:pPr>
          </w:p>
        </w:tc>
        <w:tc>
          <w:tcPr>
            <w:tcW w:w="1474" w:type="dxa"/>
            <w:vAlign w:val="center"/>
          </w:tcPr>
          <w:p w14:paraId="4F669DD0">
            <w:pPr>
              <w:pStyle w:val="11"/>
            </w:pPr>
          </w:p>
        </w:tc>
        <w:tc>
          <w:tcPr>
            <w:tcW w:w="3402" w:type="dxa"/>
            <w:vAlign w:val="center"/>
          </w:tcPr>
          <w:p w14:paraId="27C030E2">
            <w:pPr>
              <w:pStyle w:val="12"/>
            </w:pPr>
            <w:r>
              <w:t>十二、城乡社区支出</w:t>
            </w:r>
          </w:p>
        </w:tc>
        <w:tc>
          <w:tcPr>
            <w:tcW w:w="1474" w:type="dxa"/>
            <w:vAlign w:val="center"/>
          </w:tcPr>
          <w:p w14:paraId="4211A184">
            <w:pPr>
              <w:pStyle w:val="11"/>
            </w:pPr>
          </w:p>
        </w:tc>
        <w:tc>
          <w:tcPr>
            <w:tcW w:w="1474" w:type="dxa"/>
            <w:vAlign w:val="center"/>
          </w:tcPr>
          <w:p w14:paraId="1EEE8989">
            <w:pPr>
              <w:pStyle w:val="11"/>
            </w:pPr>
          </w:p>
        </w:tc>
        <w:tc>
          <w:tcPr>
            <w:tcW w:w="1474" w:type="dxa"/>
            <w:vAlign w:val="center"/>
          </w:tcPr>
          <w:p w14:paraId="298EE94A">
            <w:pPr>
              <w:pStyle w:val="11"/>
            </w:pPr>
          </w:p>
        </w:tc>
        <w:tc>
          <w:tcPr>
            <w:tcW w:w="1474" w:type="dxa"/>
            <w:vAlign w:val="center"/>
          </w:tcPr>
          <w:p w14:paraId="17D2C6D6">
            <w:pPr>
              <w:pStyle w:val="11"/>
            </w:pPr>
          </w:p>
        </w:tc>
      </w:tr>
      <w:tr w14:paraId="739E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B4220">
            <w:pPr>
              <w:pStyle w:val="13"/>
            </w:pPr>
            <w:r>
              <w:t>13</w:t>
            </w:r>
          </w:p>
        </w:tc>
        <w:tc>
          <w:tcPr>
            <w:tcW w:w="3402" w:type="dxa"/>
            <w:vAlign w:val="center"/>
          </w:tcPr>
          <w:p w14:paraId="45545A3F">
            <w:pPr>
              <w:pStyle w:val="12"/>
            </w:pPr>
          </w:p>
        </w:tc>
        <w:tc>
          <w:tcPr>
            <w:tcW w:w="1474" w:type="dxa"/>
            <w:vAlign w:val="center"/>
          </w:tcPr>
          <w:p w14:paraId="745C75FB">
            <w:pPr>
              <w:pStyle w:val="11"/>
            </w:pPr>
          </w:p>
        </w:tc>
        <w:tc>
          <w:tcPr>
            <w:tcW w:w="3402" w:type="dxa"/>
            <w:vAlign w:val="center"/>
          </w:tcPr>
          <w:p w14:paraId="728C25EB">
            <w:pPr>
              <w:pStyle w:val="12"/>
            </w:pPr>
            <w:r>
              <w:t>十三、农林水支出</w:t>
            </w:r>
          </w:p>
        </w:tc>
        <w:tc>
          <w:tcPr>
            <w:tcW w:w="1474" w:type="dxa"/>
            <w:vAlign w:val="center"/>
          </w:tcPr>
          <w:p w14:paraId="6782F740">
            <w:pPr>
              <w:pStyle w:val="11"/>
            </w:pPr>
          </w:p>
        </w:tc>
        <w:tc>
          <w:tcPr>
            <w:tcW w:w="1474" w:type="dxa"/>
            <w:vAlign w:val="center"/>
          </w:tcPr>
          <w:p w14:paraId="6546013D">
            <w:pPr>
              <w:pStyle w:val="11"/>
            </w:pPr>
          </w:p>
        </w:tc>
        <w:tc>
          <w:tcPr>
            <w:tcW w:w="1474" w:type="dxa"/>
            <w:vAlign w:val="center"/>
          </w:tcPr>
          <w:p w14:paraId="46D07A24">
            <w:pPr>
              <w:pStyle w:val="11"/>
            </w:pPr>
          </w:p>
        </w:tc>
        <w:tc>
          <w:tcPr>
            <w:tcW w:w="1474" w:type="dxa"/>
            <w:vAlign w:val="center"/>
          </w:tcPr>
          <w:p w14:paraId="24A49733">
            <w:pPr>
              <w:pStyle w:val="11"/>
            </w:pPr>
          </w:p>
        </w:tc>
      </w:tr>
      <w:tr w14:paraId="6497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8A1C">
            <w:pPr>
              <w:pStyle w:val="13"/>
            </w:pPr>
            <w:r>
              <w:t>14</w:t>
            </w:r>
          </w:p>
        </w:tc>
        <w:tc>
          <w:tcPr>
            <w:tcW w:w="3402" w:type="dxa"/>
            <w:vAlign w:val="center"/>
          </w:tcPr>
          <w:p w14:paraId="042AD1B1">
            <w:pPr>
              <w:pStyle w:val="12"/>
            </w:pPr>
          </w:p>
        </w:tc>
        <w:tc>
          <w:tcPr>
            <w:tcW w:w="1474" w:type="dxa"/>
            <w:vAlign w:val="center"/>
          </w:tcPr>
          <w:p w14:paraId="4CD655D5">
            <w:pPr>
              <w:pStyle w:val="11"/>
            </w:pPr>
          </w:p>
        </w:tc>
        <w:tc>
          <w:tcPr>
            <w:tcW w:w="3402" w:type="dxa"/>
            <w:vAlign w:val="center"/>
          </w:tcPr>
          <w:p w14:paraId="6085B37A">
            <w:pPr>
              <w:pStyle w:val="12"/>
            </w:pPr>
            <w:r>
              <w:t>十四、交通运输支出</w:t>
            </w:r>
          </w:p>
        </w:tc>
        <w:tc>
          <w:tcPr>
            <w:tcW w:w="1474" w:type="dxa"/>
            <w:vAlign w:val="center"/>
          </w:tcPr>
          <w:p w14:paraId="58F27AD3">
            <w:pPr>
              <w:pStyle w:val="11"/>
            </w:pPr>
          </w:p>
        </w:tc>
        <w:tc>
          <w:tcPr>
            <w:tcW w:w="1474" w:type="dxa"/>
            <w:vAlign w:val="center"/>
          </w:tcPr>
          <w:p w14:paraId="7F40E40D">
            <w:pPr>
              <w:pStyle w:val="11"/>
            </w:pPr>
          </w:p>
        </w:tc>
        <w:tc>
          <w:tcPr>
            <w:tcW w:w="1474" w:type="dxa"/>
            <w:vAlign w:val="center"/>
          </w:tcPr>
          <w:p w14:paraId="58637A6E">
            <w:pPr>
              <w:pStyle w:val="11"/>
            </w:pPr>
          </w:p>
        </w:tc>
        <w:tc>
          <w:tcPr>
            <w:tcW w:w="1474" w:type="dxa"/>
            <w:vAlign w:val="center"/>
          </w:tcPr>
          <w:p w14:paraId="1E08FDFA">
            <w:pPr>
              <w:pStyle w:val="11"/>
            </w:pPr>
          </w:p>
        </w:tc>
      </w:tr>
      <w:tr w14:paraId="3F09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04B1E">
            <w:pPr>
              <w:pStyle w:val="13"/>
            </w:pPr>
            <w:r>
              <w:t>15</w:t>
            </w:r>
          </w:p>
        </w:tc>
        <w:tc>
          <w:tcPr>
            <w:tcW w:w="3402" w:type="dxa"/>
            <w:vAlign w:val="center"/>
          </w:tcPr>
          <w:p w14:paraId="7D090309">
            <w:pPr>
              <w:pStyle w:val="12"/>
            </w:pPr>
          </w:p>
        </w:tc>
        <w:tc>
          <w:tcPr>
            <w:tcW w:w="1474" w:type="dxa"/>
            <w:vAlign w:val="center"/>
          </w:tcPr>
          <w:p w14:paraId="77D8788D">
            <w:pPr>
              <w:pStyle w:val="11"/>
            </w:pPr>
          </w:p>
        </w:tc>
        <w:tc>
          <w:tcPr>
            <w:tcW w:w="3402" w:type="dxa"/>
            <w:vAlign w:val="center"/>
          </w:tcPr>
          <w:p w14:paraId="072DAD38">
            <w:pPr>
              <w:pStyle w:val="12"/>
            </w:pPr>
            <w:r>
              <w:t>十五、资源勘探工业信息等支出</w:t>
            </w:r>
          </w:p>
        </w:tc>
        <w:tc>
          <w:tcPr>
            <w:tcW w:w="1474" w:type="dxa"/>
            <w:vAlign w:val="center"/>
          </w:tcPr>
          <w:p w14:paraId="36BA7D4E">
            <w:pPr>
              <w:pStyle w:val="11"/>
            </w:pPr>
          </w:p>
        </w:tc>
        <w:tc>
          <w:tcPr>
            <w:tcW w:w="1474" w:type="dxa"/>
            <w:vAlign w:val="center"/>
          </w:tcPr>
          <w:p w14:paraId="26060461">
            <w:pPr>
              <w:pStyle w:val="11"/>
            </w:pPr>
          </w:p>
        </w:tc>
        <w:tc>
          <w:tcPr>
            <w:tcW w:w="1474" w:type="dxa"/>
            <w:vAlign w:val="center"/>
          </w:tcPr>
          <w:p w14:paraId="325CB308">
            <w:pPr>
              <w:pStyle w:val="11"/>
            </w:pPr>
          </w:p>
        </w:tc>
        <w:tc>
          <w:tcPr>
            <w:tcW w:w="1474" w:type="dxa"/>
            <w:vAlign w:val="center"/>
          </w:tcPr>
          <w:p w14:paraId="2EBC9864">
            <w:pPr>
              <w:pStyle w:val="11"/>
            </w:pPr>
          </w:p>
        </w:tc>
      </w:tr>
      <w:tr w14:paraId="4AF130E7">
        <w:tblPrEx>
          <w:tblCellMar>
            <w:top w:w="0" w:type="dxa"/>
            <w:left w:w="108" w:type="dxa"/>
            <w:bottom w:w="0" w:type="dxa"/>
            <w:right w:w="108" w:type="dxa"/>
          </w:tblCellMar>
        </w:tblPrEx>
        <w:trPr>
          <w:trHeight w:val="369" w:hRule="atLeast"/>
          <w:jc w:val="center"/>
        </w:trPr>
        <w:tc>
          <w:tcPr>
            <w:tcW w:w="850" w:type="dxa"/>
            <w:vAlign w:val="center"/>
          </w:tcPr>
          <w:p w14:paraId="29AC1C28">
            <w:pPr>
              <w:pStyle w:val="13"/>
            </w:pPr>
            <w:r>
              <w:t>16</w:t>
            </w:r>
          </w:p>
        </w:tc>
        <w:tc>
          <w:tcPr>
            <w:tcW w:w="3402" w:type="dxa"/>
            <w:vAlign w:val="center"/>
          </w:tcPr>
          <w:p w14:paraId="066B83AD">
            <w:pPr>
              <w:pStyle w:val="12"/>
            </w:pPr>
          </w:p>
        </w:tc>
        <w:tc>
          <w:tcPr>
            <w:tcW w:w="1474" w:type="dxa"/>
            <w:vAlign w:val="center"/>
          </w:tcPr>
          <w:p w14:paraId="6C8268B7">
            <w:pPr>
              <w:pStyle w:val="11"/>
            </w:pPr>
          </w:p>
        </w:tc>
        <w:tc>
          <w:tcPr>
            <w:tcW w:w="3402" w:type="dxa"/>
            <w:vAlign w:val="center"/>
          </w:tcPr>
          <w:p w14:paraId="09B0EE03">
            <w:pPr>
              <w:pStyle w:val="12"/>
            </w:pPr>
            <w:r>
              <w:t>十六、商业服务业等支出</w:t>
            </w:r>
          </w:p>
        </w:tc>
        <w:tc>
          <w:tcPr>
            <w:tcW w:w="1474" w:type="dxa"/>
            <w:vAlign w:val="center"/>
          </w:tcPr>
          <w:p w14:paraId="0CC19A77">
            <w:pPr>
              <w:pStyle w:val="11"/>
            </w:pPr>
          </w:p>
        </w:tc>
        <w:tc>
          <w:tcPr>
            <w:tcW w:w="1474" w:type="dxa"/>
            <w:vAlign w:val="center"/>
          </w:tcPr>
          <w:p w14:paraId="0D5223FC">
            <w:pPr>
              <w:pStyle w:val="11"/>
            </w:pPr>
          </w:p>
        </w:tc>
        <w:tc>
          <w:tcPr>
            <w:tcW w:w="1474" w:type="dxa"/>
            <w:vAlign w:val="center"/>
          </w:tcPr>
          <w:p w14:paraId="4DE215FC">
            <w:pPr>
              <w:pStyle w:val="11"/>
            </w:pPr>
          </w:p>
        </w:tc>
        <w:tc>
          <w:tcPr>
            <w:tcW w:w="1474" w:type="dxa"/>
            <w:vAlign w:val="center"/>
          </w:tcPr>
          <w:p w14:paraId="7FE9C1D5">
            <w:pPr>
              <w:pStyle w:val="11"/>
            </w:pPr>
          </w:p>
        </w:tc>
      </w:tr>
      <w:tr w14:paraId="76FBFAA4">
        <w:tblPrEx>
          <w:tblCellMar>
            <w:top w:w="0" w:type="dxa"/>
            <w:left w:w="108" w:type="dxa"/>
            <w:bottom w:w="0" w:type="dxa"/>
            <w:right w:w="108" w:type="dxa"/>
          </w:tblCellMar>
        </w:tblPrEx>
        <w:trPr>
          <w:trHeight w:val="369" w:hRule="atLeast"/>
          <w:jc w:val="center"/>
        </w:trPr>
        <w:tc>
          <w:tcPr>
            <w:tcW w:w="850" w:type="dxa"/>
            <w:vAlign w:val="center"/>
          </w:tcPr>
          <w:p w14:paraId="7EC3464C">
            <w:pPr>
              <w:pStyle w:val="13"/>
            </w:pPr>
            <w:r>
              <w:t>17</w:t>
            </w:r>
          </w:p>
        </w:tc>
        <w:tc>
          <w:tcPr>
            <w:tcW w:w="3402" w:type="dxa"/>
            <w:vAlign w:val="center"/>
          </w:tcPr>
          <w:p w14:paraId="417E4246">
            <w:pPr>
              <w:pStyle w:val="12"/>
            </w:pPr>
          </w:p>
        </w:tc>
        <w:tc>
          <w:tcPr>
            <w:tcW w:w="1474" w:type="dxa"/>
            <w:vAlign w:val="center"/>
          </w:tcPr>
          <w:p w14:paraId="0FDAAECC">
            <w:pPr>
              <w:pStyle w:val="11"/>
            </w:pPr>
          </w:p>
        </w:tc>
        <w:tc>
          <w:tcPr>
            <w:tcW w:w="3402" w:type="dxa"/>
            <w:vAlign w:val="center"/>
          </w:tcPr>
          <w:p w14:paraId="3A22D525">
            <w:pPr>
              <w:pStyle w:val="12"/>
            </w:pPr>
            <w:r>
              <w:t>十七、金融支出</w:t>
            </w:r>
          </w:p>
        </w:tc>
        <w:tc>
          <w:tcPr>
            <w:tcW w:w="1474" w:type="dxa"/>
            <w:vAlign w:val="center"/>
          </w:tcPr>
          <w:p w14:paraId="3D7666EE">
            <w:pPr>
              <w:pStyle w:val="11"/>
            </w:pPr>
          </w:p>
        </w:tc>
        <w:tc>
          <w:tcPr>
            <w:tcW w:w="1474" w:type="dxa"/>
            <w:vAlign w:val="center"/>
          </w:tcPr>
          <w:p w14:paraId="663B64F0">
            <w:pPr>
              <w:pStyle w:val="11"/>
            </w:pPr>
          </w:p>
        </w:tc>
        <w:tc>
          <w:tcPr>
            <w:tcW w:w="1474" w:type="dxa"/>
            <w:vAlign w:val="center"/>
          </w:tcPr>
          <w:p w14:paraId="0731956E">
            <w:pPr>
              <w:pStyle w:val="11"/>
            </w:pPr>
          </w:p>
        </w:tc>
        <w:tc>
          <w:tcPr>
            <w:tcW w:w="1474" w:type="dxa"/>
            <w:vAlign w:val="center"/>
          </w:tcPr>
          <w:p w14:paraId="6B20809F">
            <w:pPr>
              <w:pStyle w:val="11"/>
            </w:pPr>
          </w:p>
        </w:tc>
      </w:tr>
      <w:tr w14:paraId="20DB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6E9C8">
            <w:pPr>
              <w:pStyle w:val="13"/>
            </w:pPr>
            <w:r>
              <w:t>18</w:t>
            </w:r>
          </w:p>
        </w:tc>
        <w:tc>
          <w:tcPr>
            <w:tcW w:w="3402" w:type="dxa"/>
            <w:vAlign w:val="center"/>
          </w:tcPr>
          <w:p w14:paraId="2C4BC9BF">
            <w:pPr>
              <w:pStyle w:val="12"/>
            </w:pPr>
          </w:p>
        </w:tc>
        <w:tc>
          <w:tcPr>
            <w:tcW w:w="1474" w:type="dxa"/>
            <w:vAlign w:val="center"/>
          </w:tcPr>
          <w:p w14:paraId="12F552E9">
            <w:pPr>
              <w:pStyle w:val="11"/>
            </w:pPr>
          </w:p>
        </w:tc>
        <w:tc>
          <w:tcPr>
            <w:tcW w:w="3402" w:type="dxa"/>
            <w:vAlign w:val="center"/>
          </w:tcPr>
          <w:p w14:paraId="7999DDE7">
            <w:pPr>
              <w:pStyle w:val="12"/>
            </w:pPr>
            <w:r>
              <w:t>十八、援助其他地区支出</w:t>
            </w:r>
          </w:p>
        </w:tc>
        <w:tc>
          <w:tcPr>
            <w:tcW w:w="1474" w:type="dxa"/>
            <w:vAlign w:val="center"/>
          </w:tcPr>
          <w:p w14:paraId="5E52A174">
            <w:pPr>
              <w:pStyle w:val="11"/>
            </w:pPr>
          </w:p>
        </w:tc>
        <w:tc>
          <w:tcPr>
            <w:tcW w:w="1474" w:type="dxa"/>
            <w:vAlign w:val="center"/>
          </w:tcPr>
          <w:p w14:paraId="016A8890">
            <w:pPr>
              <w:pStyle w:val="11"/>
            </w:pPr>
          </w:p>
        </w:tc>
        <w:tc>
          <w:tcPr>
            <w:tcW w:w="1474" w:type="dxa"/>
            <w:vAlign w:val="center"/>
          </w:tcPr>
          <w:p w14:paraId="3E4887BA">
            <w:pPr>
              <w:pStyle w:val="11"/>
            </w:pPr>
          </w:p>
        </w:tc>
        <w:tc>
          <w:tcPr>
            <w:tcW w:w="1474" w:type="dxa"/>
            <w:vAlign w:val="center"/>
          </w:tcPr>
          <w:p w14:paraId="793BDCFE">
            <w:pPr>
              <w:pStyle w:val="11"/>
            </w:pPr>
          </w:p>
        </w:tc>
      </w:tr>
      <w:tr w14:paraId="0584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A29D">
            <w:pPr>
              <w:pStyle w:val="13"/>
            </w:pPr>
            <w:r>
              <w:t>19</w:t>
            </w:r>
          </w:p>
        </w:tc>
        <w:tc>
          <w:tcPr>
            <w:tcW w:w="3402" w:type="dxa"/>
            <w:vAlign w:val="center"/>
          </w:tcPr>
          <w:p w14:paraId="51E0827E">
            <w:pPr>
              <w:pStyle w:val="12"/>
            </w:pPr>
          </w:p>
        </w:tc>
        <w:tc>
          <w:tcPr>
            <w:tcW w:w="1474" w:type="dxa"/>
            <w:vAlign w:val="center"/>
          </w:tcPr>
          <w:p w14:paraId="20213211">
            <w:pPr>
              <w:pStyle w:val="11"/>
            </w:pPr>
          </w:p>
        </w:tc>
        <w:tc>
          <w:tcPr>
            <w:tcW w:w="3402" w:type="dxa"/>
            <w:vAlign w:val="center"/>
          </w:tcPr>
          <w:p w14:paraId="1D7A1693">
            <w:pPr>
              <w:pStyle w:val="12"/>
            </w:pPr>
            <w:r>
              <w:t>十九、自然资源海洋气象等支出</w:t>
            </w:r>
          </w:p>
        </w:tc>
        <w:tc>
          <w:tcPr>
            <w:tcW w:w="1474" w:type="dxa"/>
            <w:vAlign w:val="center"/>
          </w:tcPr>
          <w:p w14:paraId="4ACA9264">
            <w:pPr>
              <w:pStyle w:val="11"/>
            </w:pPr>
          </w:p>
        </w:tc>
        <w:tc>
          <w:tcPr>
            <w:tcW w:w="1474" w:type="dxa"/>
            <w:vAlign w:val="center"/>
          </w:tcPr>
          <w:p w14:paraId="6DD76FC5">
            <w:pPr>
              <w:pStyle w:val="11"/>
            </w:pPr>
          </w:p>
        </w:tc>
        <w:tc>
          <w:tcPr>
            <w:tcW w:w="1474" w:type="dxa"/>
            <w:vAlign w:val="center"/>
          </w:tcPr>
          <w:p w14:paraId="57C5236D">
            <w:pPr>
              <w:pStyle w:val="11"/>
            </w:pPr>
          </w:p>
        </w:tc>
        <w:tc>
          <w:tcPr>
            <w:tcW w:w="1474" w:type="dxa"/>
            <w:vAlign w:val="center"/>
          </w:tcPr>
          <w:p w14:paraId="5A126027">
            <w:pPr>
              <w:pStyle w:val="11"/>
            </w:pPr>
          </w:p>
        </w:tc>
      </w:tr>
      <w:tr w14:paraId="12F28F49">
        <w:tblPrEx>
          <w:tblCellMar>
            <w:top w:w="0" w:type="dxa"/>
            <w:left w:w="108" w:type="dxa"/>
            <w:bottom w:w="0" w:type="dxa"/>
            <w:right w:w="108" w:type="dxa"/>
          </w:tblCellMar>
        </w:tblPrEx>
        <w:trPr>
          <w:trHeight w:val="369" w:hRule="atLeast"/>
          <w:jc w:val="center"/>
        </w:trPr>
        <w:tc>
          <w:tcPr>
            <w:tcW w:w="850" w:type="dxa"/>
            <w:vAlign w:val="center"/>
          </w:tcPr>
          <w:p w14:paraId="2BABDBF4">
            <w:pPr>
              <w:pStyle w:val="13"/>
            </w:pPr>
            <w:r>
              <w:t>20</w:t>
            </w:r>
          </w:p>
        </w:tc>
        <w:tc>
          <w:tcPr>
            <w:tcW w:w="3402" w:type="dxa"/>
            <w:vAlign w:val="center"/>
          </w:tcPr>
          <w:p w14:paraId="44CA8155">
            <w:pPr>
              <w:pStyle w:val="12"/>
            </w:pPr>
          </w:p>
        </w:tc>
        <w:tc>
          <w:tcPr>
            <w:tcW w:w="1474" w:type="dxa"/>
            <w:vAlign w:val="center"/>
          </w:tcPr>
          <w:p w14:paraId="5264AA4B">
            <w:pPr>
              <w:pStyle w:val="11"/>
            </w:pPr>
          </w:p>
        </w:tc>
        <w:tc>
          <w:tcPr>
            <w:tcW w:w="3402" w:type="dxa"/>
            <w:vAlign w:val="center"/>
          </w:tcPr>
          <w:p w14:paraId="562841A4">
            <w:pPr>
              <w:pStyle w:val="12"/>
            </w:pPr>
            <w:r>
              <w:t>二十、住房保障支出</w:t>
            </w:r>
          </w:p>
        </w:tc>
        <w:tc>
          <w:tcPr>
            <w:tcW w:w="1474" w:type="dxa"/>
            <w:vAlign w:val="center"/>
          </w:tcPr>
          <w:p w14:paraId="5ACC3CB6">
            <w:pPr>
              <w:pStyle w:val="11"/>
            </w:pPr>
          </w:p>
        </w:tc>
        <w:tc>
          <w:tcPr>
            <w:tcW w:w="1474" w:type="dxa"/>
            <w:vAlign w:val="center"/>
          </w:tcPr>
          <w:p w14:paraId="6D1F48C0">
            <w:pPr>
              <w:pStyle w:val="11"/>
            </w:pPr>
          </w:p>
        </w:tc>
        <w:tc>
          <w:tcPr>
            <w:tcW w:w="1474" w:type="dxa"/>
            <w:vAlign w:val="center"/>
          </w:tcPr>
          <w:p w14:paraId="3C663599">
            <w:pPr>
              <w:pStyle w:val="11"/>
            </w:pPr>
          </w:p>
        </w:tc>
        <w:tc>
          <w:tcPr>
            <w:tcW w:w="1474" w:type="dxa"/>
            <w:vAlign w:val="center"/>
          </w:tcPr>
          <w:p w14:paraId="6C8497C0">
            <w:pPr>
              <w:pStyle w:val="11"/>
            </w:pPr>
          </w:p>
        </w:tc>
      </w:tr>
      <w:tr w14:paraId="3071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BC37">
            <w:pPr>
              <w:pStyle w:val="13"/>
            </w:pPr>
            <w:r>
              <w:t>21</w:t>
            </w:r>
          </w:p>
        </w:tc>
        <w:tc>
          <w:tcPr>
            <w:tcW w:w="3402" w:type="dxa"/>
            <w:vAlign w:val="center"/>
          </w:tcPr>
          <w:p w14:paraId="4C02C2CF">
            <w:pPr>
              <w:pStyle w:val="12"/>
            </w:pPr>
          </w:p>
        </w:tc>
        <w:tc>
          <w:tcPr>
            <w:tcW w:w="1474" w:type="dxa"/>
            <w:vAlign w:val="center"/>
          </w:tcPr>
          <w:p w14:paraId="3F1D285F">
            <w:pPr>
              <w:pStyle w:val="11"/>
            </w:pPr>
          </w:p>
        </w:tc>
        <w:tc>
          <w:tcPr>
            <w:tcW w:w="3402" w:type="dxa"/>
            <w:vAlign w:val="center"/>
          </w:tcPr>
          <w:p w14:paraId="6CBB7A32">
            <w:pPr>
              <w:pStyle w:val="12"/>
            </w:pPr>
            <w:r>
              <w:t>二十一、粮油物资储备支出</w:t>
            </w:r>
          </w:p>
        </w:tc>
        <w:tc>
          <w:tcPr>
            <w:tcW w:w="1474" w:type="dxa"/>
            <w:vAlign w:val="center"/>
          </w:tcPr>
          <w:p w14:paraId="3AE4FEE7">
            <w:pPr>
              <w:pStyle w:val="11"/>
            </w:pPr>
          </w:p>
        </w:tc>
        <w:tc>
          <w:tcPr>
            <w:tcW w:w="1474" w:type="dxa"/>
            <w:vAlign w:val="center"/>
          </w:tcPr>
          <w:p w14:paraId="0742A3B2">
            <w:pPr>
              <w:pStyle w:val="11"/>
            </w:pPr>
          </w:p>
        </w:tc>
        <w:tc>
          <w:tcPr>
            <w:tcW w:w="1474" w:type="dxa"/>
            <w:vAlign w:val="center"/>
          </w:tcPr>
          <w:p w14:paraId="0570A66B">
            <w:pPr>
              <w:pStyle w:val="11"/>
            </w:pPr>
          </w:p>
        </w:tc>
        <w:tc>
          <w:tcPr>
            <w:tcW w:w="1474" w:type="dxa"/>
            <w:vAlign w:val="center"/>
          </w:tcPr>
          <w:p w14:paraId="25A3E678">
            <w:pPr>
              <w:pStyle w:val="11"/>
            </w:pPr>
          </w:p>
        </w:tc>
      </w:tr>
      <w:tr w14:paraId="33D3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9721">
            <w:pPr>
              <w:pStyle w:val="13"/>
            </w:pPr>
            <w:r>
              <w:t>22</w:t>
            </w:r>
          </w:p>
        </w:tc>
        <w:tc>
          <w:tcPr>
            <w:tcW w:w="3402" w:type="dxa"/>
            <w:vAlign w:val="center"/>
          </w:tcPr>
          <w:p w14:paraId="486C2E51">
            <w:pPr>
              <w:pStyle w:val="12"/>
            </w:pPr>
          </w:p>
        </w:tc>
        <w:tc>
          <w:tcPr>
            <w:tcW w:w="1474" w:type="dxa"/>
            <w:vAlign w:val="center"/>
          </w:tcPr>
          <w:p w14:paraId="1C5228AF">
            <w:pPr>
              <w:pStyle w:val="11"/>
            </w:pPr>
          </w:p>
        </w:tc>
        <w:tc>
          <w:tcPr>
            <w:tcW w:w="3402" w:type="dxa"/>
            <w:vAlign w:val="center"/>
          </w:tcPr>
          <w:p w14:paraId="78724363">
            <w:pPr>
              <w:pStyle w:val="12"/>
            </w:pPr>
            <w:r>
              <w:t>二十二、国有资本经营预算支出</w:t>
            </w:r>
          </w:p>
        </w:tc>
        <w:tc>
          <w:tcPr>
            <w:tcW w:w="1474" w:type="dxa"/>
            <w:vAlign w:val="center"/>
          </w:tcPr>
          <w:p w14:paraId="238943B5">
            <w:pPr>
              <w:pStyle w:val="11"/>
            </w:pPr>
          </w:p>
        </w:tc>
        <w:tc>
          <w:tcPr>
            <w:tcW w:w="1474" w:type="dxa"/>
            <w:vAlign w:val="center"/>
          </w:tcPr>
          <w:p w14:paraId="1C38DC33">
            <w:pPr>
              <w:pStyle w:val="11"/>
            </w:pPr>
          </w:p>
        </w:tc>
        <w:tc>
          <w:tcPr>
            <w:tcW w:w="1474" w:type="dxa"/>
            <w:vAlign w:val="center"/>
          </w:tcPr>
          <w:p w14:paraId="3CC90C3A">
            <w:pPr>
              <w:pStyle w:val="11"/>
            </w:pPr>
          </w:p>
        </w:tc>
        <w:tc>
          <w:tcPr>
            <w:tcW w:w="1474" w:type="dxa"/>
            <w:vAlign w:val="center"/>
          </w:tcPr>
          <w:p w14:paraId="690A6A53">
            <w:pPr>
              <w:pStyle w:val="11"/>
            </w:pPr>
          </w:p>
        </w:tc>
      </w:tr>
      <w:tr w14:paraId="08D7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E7DF3">
            <w:pPr>
              <w:pStyle w:val="13"/>
            </w:pPr>
            <w:r>
              <w:t>23</w:t>
            </w:r>
          </w:p>
        </w:tc>
        <w:tc>
          <w:tcPr>
            <w:tcW w:w="3402" w:type="dxa"/>
            <w:vAlign w:val="center"/>
          </w:tcPr>
          <w:p w14:paraId="61F2DD22">
            <w:pPr>
              <w:pStyle w:val="12"/>
            </w:pPr>
          </w:p>
        </w:tc>
        <w:tc>
          <w:tcPr>
            <w:tcW w:w="1474" w:type="dxa"/>
            <w:vAlign w:val="center"/>
          </w:tcPr>
          <w:p w14:paraId="576DB501">
            <w:pPr>
              <w:pStyle w:val="11"/>
            </w:pPr>
          </w:p>
        </w:tc>
        <w:tc>
          <w:tcPr>
            <w:tcW w:w="3402" w:type="dxa"/>
            <w:vAlign w:val="center"/>
          </w:tcPr>
          <w:p w14:paraId="28C1B48C">
            <w:pPr>
              <w:pStyle w:val="12"/>
            </w:pPr>
            <w:r>
              <w:t>二十三、灾害防治及应急管理支出</w:t>
            </w:r>
          </w:p>
        </w:tc>
        <w:tc>
          <w:tcPr>
            <w:tcW w:w="1474" w:type="dxa"/>
            <w:vAlign w:val="center"/>
          </w:tcPr>
          <w:p w14:paraId="3DE0A4CD">
            <w:pPr>
              <w:pStyle w:val="11"/>
            </w:pPr>
          </w:p>
        </w:tc>
        <w:tc>
          <w:tcPr>
            <w:tcW w:w="1474" w:type="dxa"/>
            <w:vAlign w:val="center"/>
          </w:tcPr>
          <w:p w14:paraId="324522C4">
            <w:pPr>
              <w:pStyle w:val="11"/>
            </w:pPr>
          </w:p>
        </w:tc>
        <w:tc>
          <w:tcPr>
            <w:tcW w:w="1474" w:type="dxa"/>
            <w:vAlign w:val="center"/>
          </w:tcPr>
          <w:p w14:paraId="2CD39293">
            <w:pPr>
              <w:pStyle w:val="11"/>
            </w:pPr>
          </w:p>
        </w:tc>
        <w:tc>
          <w:tcPr>
            <w:tcW w:w="1474" w:type="dxa"/>
            <w:vAlign w:val="center"/>
          </w:tcPr>
          <w:p w14:paraId="49F918A9">
            <w:pPr>
              <w:pStyle w:val="11"/>
            </w:pPr>
          </w:p>
        </w:tc>
      </w:tr>
      <w:tr w14:paraId="1FD6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5A463">
            <w:pPr>
              <w:pStyle w:val="13"/>
            </w:pPr>
            <w:r>
              <w:t>24</w:t>
            </w:r>
          </w:p>
        </w:tc>
        <w:tc>
          <w:tcPr>
            <w:tcW w:w="3402" w:type="dxa"/>
            <w:vAlign w:val="center"/>
          </w:tcPr>
          <w:p w14:paraId="6B3E4A5A">
            <w:pPr>
              <w:pStyle w:val="12"/>
            </w:pPr>
          </w:p>
        </w:tc>
        <w:tc>
          <w:tcPr>
            <w:tcW w:w="1474" w:type="dxa"/>
            <w:vAlign w:val="center"/>
          </w:tcPr>
          <w:p w14:paraId="2847193F">
            <w:pPr>
              <w:pStyle w:val="11"/>
            </w:pPr>
          </w:p>
        </w:tc>
        <w:tc>
          <w:tcPr>
            <w:tcW w:w="3402" w:type="dxa"/>
            <w:vAlign w:val="center"/>
          </w:tcPr>
          <w:p w14:paraId="0E2ABA5D">
            <w:pPr>
              <w:pStyle w:val="12"/>
            </w:pPr>
            <w:r>
              <w:t>二十四、预备费</w:t>
            </w:r>
          </w:p>
        </w:tc>
        <w:tc>
          <w:tcPr>
            <w:tcW w:w="1474" w:type="dxa"/>
            <w:vAlign w:val="center"/>
          </w:tcPr>
          <w:p w14:paraId="30C513AF">
            <w:pPr>
              <w:pStyle w:val="11"/>
            </w:pPr>
          </w:p>
        </w:tc>
        <w:tc>
          <w:tcPr>
            <w:tcW w:w="1474" w:type="dxa"/>
            <w:vAlign w:val="center"/>
          </w:tcPr>
          <w:p w14:paraId="24BBE3A3">
            <w:pPr>
              <w:pStyle w:val="11"/>
            </w:pPr>
          </w:p>
        </w:tc>
        <w:tc>
          <w:tcPr>
            <w:tcW w:w="1474" w:type="dxa"/>
            <w:vAlign w:val="center"/>
          </w:tcPr>
          <w:p w14:paraId="0DE556B0">
            <w:pPr>
              <w:pStyle w:val="11"/>
            </w:pPr>
          </w:p>
        </w:tc>
        <w:tc>
          <w:tcPr>
            <w:tcW w:w="1474" w:type="dxa"/>
            <w:vAlign w:val="center"/>
          </w:tcPr>
          <w:p w14:paraId="5BCCC754">
            <w:pPr>
              <w:pStyle w:val="11"/>
            </w:pPr>
          </w:p>
        </w:tc>
      </w:tr>
      <w:tr w14:paraId="4BF6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7421">
            <w:pPr>
              <w:pStyle w:val="13"/>
            </w:pPr>
            <w:r>
              <w:t>25</w:t>
            </w:r>
          </w:p>
        </w:tc>
        <w:tc>
          <w:tcPr>
            <w:tcW w:w="3402" w:type="dxa"/>
            <w:vAlign w:val="center"/>
          </w:tcPr>
          <w:p w14:paraId="5F2FDC59">
            <w:pPr>
              <w:pStyle w:val="12"/>
            </w:pPr>
          </w:p>
        </w:tc>
        <w:tc>
          <w:tcPr>
            <w:tcW w:w="1474" w:type="dxa"/>
            <w:vAlign w:val="center"/>
          </w:tcPr>
          <w:p w14:paraId="7AFBECF4">
            <w:pPr>
              <w:pStyle w:val="11"/>
            </w:pPr>
          </w:p>
        </w:tc>
        <w:tc>
          <w:tcPr>
            <w:tcW w:w="3402" w:type="dxa"/>
            <w:vAlign w:val="center"/>
          </w:tcPr>
          <w:p w14:paraId="5B5C9FA0">
            <w:pPr>
              <w:pStyle w:val="12"/>
            </w:pPr>
            <w:r>
              <w:t>二十五、其他支出</w:t>
            </w:r>
          </w:p>
        </w:tc>
        <w:tc>
          <w:tcPr>
            <w:tcW w:w="1474" w:type="dxa"/>
            <w:vAlign w:val="center"/>
          </w:tcPr>
          <w:p w14:paraId="4469E555">
            <w:pPr>
              <w:pStyle w:val="11"/>
            </w:pPr>
          </w:p>
        </w:tc>
        <w:tc>
          <w:tcPr>
            <w:tcW w:w="1474" w:type="dxa"/>
            <w:vAlign w:val="center"/>
          </w:tcPr>
          <w:p w14:paraId="3E29ED6E">
            <w:pPr>
              <w:pStyle w:val="11"/>
            </w:pPr>
          </w:p>
        </w:tc>
        <w:tc>
          <w:tcPr>
            <w:tcW w:w="1474" w:type="dxa"/>
            <w:vAlign w:val="center"/>
          </w:tcPr>
          <w:p w14:paraId="36555583">
            <w:pPr>
              <w:pStyle w:val="11"/>
            </w:pPr>
          </w:p>
        </w:tc>
        <w:tc>
          <w:tcPr>
            <w:tcW w:w="1474" w:type="dxa"/>
            <w:vAlign w:val="center"/>
          </w:tcPr>
          <w:p w14:paraId="747E2820">
            <w:pPr>
              <w:pStyle w:val="11"/>
            </w:pPr>
          </w:p>
        </w:tc>
      </w:tr>
      <w:tr w14:paraId="0B86FC84">
        <w:tblPrEx>
          <w:tblCellMar>
            <w:top w:w="0" w:type="dxa"/>
            <w:left w:w="108" w:type="dxa"/>
            <w:bottom w:w="0" w:type="dxa"/>
            <w:right w:w="108" w:type="dxa"/>
          </w:tblCellMar>
        </w:tblPrEx>
        <w:trPr>
          <w:trHeight w:val="369" w:hRule="atLeast"/>
          <w:jc w:val="center"/>
        </w:trPr>
        <w:tc>
          <w:tcPr>
            <w:tcW w:w="850" w:type="dxa"/>
            <w:vAlign w:val="center"/>
          </w:tcPr>
          <w:p w14:paraId="46B0A593">
            <w:pPr>
              <w:pStyle w:val="13"/>
            </w:pPr>
            <w:r>
              <w:t>26</w:t>
            </w:r>
          </w:p>
        </w:tc>
        <w:tc>
          <w:tcPr>
            <w:tcW w:w="3402" w:type="dxa"/>
            <w:vAlign w:val="center"/>
          </w:tcPr>
          <w:p w14:paraId="40AF9AEB">
            <w:pPr>
              <w:pStyle w:val="12"/>
            </w:pPr>
          </w:p>
        </w:tc>
        <w:tc>
          <w:tcPr>
            <w:tcW w:w="1474" w:type="dxa"/>
            <w:vAlign w:val="center"/>
          </w:tcPr>
          <w:p w14:paraId="75F124BC">
            <w:pPr>
              <w:pStyle w:val="11"/>
            </w:pPr>
          </w:p>
        </w:tc>
        <w:tc>
          <w:tcPr>
            <w:tcW w:w="3402" w:type="dxa"/>
            <w:vAlign w:val="center"/>
          </w:tcPr>
          <w:p w14:paraId="470935BF">
            <w:pPr>
              <w:pStyle w:val="12"/>
            </w:pPr>
            <w:r>
              <w:t>二十六、转移性支出</w:t>
            </w:r>
          </w:p>
        </w:tc>
        <w:tc>
          <w:tcPr>
            <w:tcW w:w="1474" w:type="dxa"/>
            <w:vAlign w:val="center"/>
          </w:tcPr>
          <w:p w14:paraId="3386566C">
            <w:pPr>
              <w:pStyle w:val="11"/>
            </w:pPr>
          </w:p>
        </w:tc>
        <w:tc>
          <w:tcPr>
            <w:tcW w:w="1474" w:type="dxa"/>
            <w:vAlign w:val="center"/>
          </w:tcPr>
          <w:p w14:paraId="2FF538A4">
            <w:pPr>
              <w:pStyle w:val="11"/>
            </w:pPr>
          </w:p>
        </w:tc>
        <w:tc>
          <w:tcPr>
            <w:tcW w:w="1474" w:type="dxa"/>
            <w:vAlign w:val="center"/>
          </w:tcPr>
          <w:p w14:paraId="491507A5">
            <w:pPr>
              <w:pStyle w:val="11"/>
            </w:pPr>
          </w:p>
        </w:tc>
        <w:tc>
          <w:tcPr>
            <w:tcW w:w="1474" w:type="dxa"/>
            <w:vAlign w:val="center"/>
          </w:tcPr>
          <w:p w14:paraId="311F795D">
            <w:pPr>
              <w:pStyle w:val="11"/>
            </w:pPr>
          </w:p>
        </w:tc>
      </w:tr>
      <w:tr w14:paraId="121E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80E87">
            <w:pPr>
              <w:pStyle w:val="13"/>
            </w:pPr>
            <w:r>
              <w:t>27</w:t>
            </w:r>
          </w:p>
        </w:tc>
        <w:tc>
          <w:tcPr>
            <w:tcW w:w="3402" w:type="dxa"/>
            <w:vAlign w:val="center"/>
          </w:tcPr>
          <w:p w14:paraId="2F3B1B91">
            <w:pPr>
              <w:pStyle w:val="12"/>
            </w:pPr>
          </w:p>
        </w:tc>
        <w:tc>
          <w:tcPr>
            <w:tcW w:w="1474" w:type="dxa"/>
            <w:vAlign w:val="center"/>
          </w:tcPr>
          <w:p w14:paraId="7DACF95E">
            <w:pPr>
              <w:pStyle w:val="11"/>
            </w:pPr>
          </w:p>
        </w:tc>
        <w:tc>
          <w:tcPr>
            <w:tcW w:w="3402" w:type="dxa"/>
            <w:vAlign w:val="center"/>
          </w:tcPr>
          <w:p w14:paraId="5C4CDF96">
            <w:pPr>
              <w:pStyle w:val="12"/>
            </w:pPr>
            <w:r>
              <w:t>二十七、债务还本支出</w:t>
            </w:r>
          </w:p>
        </w:tc>
        <w:tc>
          <w:tcPr>
            <w:tcW w:w="1474" w:type="dxa"/>
            <w:vAlign w:val="center"/>
          </w:tcPr>
          <w:p w14:paraId="2BF3AEBB">
            <w:pPr>
              <w:pStyle w:val="11"/>
            </w:pPr>
          </w:p>
        </w:tc>
        <w:tc>
          <w:tcPr>
            <w:tcW w:w="1474" w:type="dxa"/>
            <w:vAlign w:val="center"/>
          </w:tcPr>
          <w:p w14:paraId="1E1E6241">
            <w:pPr>
              <w:pStyle w:val="11"/>
            </w:pPr>
          </w:p>
        </w:tc>
        <w:tc>
          <w:tcPr>
            <w:tcW w:w="1474" w:type="dxa"/>
            <w:vAlign w:val="center"/>
          </w:tcPr>
          <w:p w14:paraId="4615C68C">
            <w:pPr>
              <w:pStyle w:val="11"/>
            </w:pPr>
          </w:p>
        </w:tc>
        <w:tc>
          <w:tcPr>
            <w:tcW w:w="1474" w:type="dxa"/>
            <w:vAlign w:val="center"/>
          </w:tcPr>
          <w:p w14:paraId="08550779">
            <w:pPr>
              <w:pStyle w:val="11"/>
            </w:pPr>
          </w:p>
        </w:tc>
      </w:tr>
      <w:tr w14:paraId="7D7D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05392">
            <w:pPr>
              <w:pStyle w:val="13"/>
            </w:pPr>
            <w:r>
              <w:t>28</w:t>
            </w:r>
          </w:p>
        </w:tc>
        <w:tc>
          <w:tcPr>
            <w:tcW w:w="3402" w:type="dxa"/>
            <w:vAlign w:val="center"/>
          </w:tcPr>
          <w:p w14:paraId="7AE192B6">
            <w:pPr>
              <w:pStyle w:val="12"/>
            </w:pPr>
          </w:p>
        </w:tc>
        <w:tc>
          <w:tcPr>
            <w:tcW w:w="1474" w:type="dxa"/>
            <w:vAlign w:val="center"/>
          </w:tcPr>
          <w:p w14:paraId="57D51D72">
            <w:pPr>
              <w:pStyle w:val="11"/>
            </w:pPr>
          </w:p>
        </w:tc>
        <w:tc>
          <w:tcPr>
            <w:tcW w:w="3402" w:type="dxa"/>
            <w:vAlign w:val="center"/>
          </w:tcPr>
          <w:p w14:paraId="5A34C327">
            <w:pPr>
              <w:pStyle w:val="12"/>
            </w:pPr>
            <w:r>
              <w:t>二十八、债务付息支出</w:t>
            </w:r>
          </w:p>
        </w:tc>
        <w:tc>
          <w:tcPr>
            <w:tcW w:w="1474" w:type="dxa"/>
            <w:vAlign w:val="center"/>
          </w:tcPr>
          <w:p w14:paraId="74B634BA">
            <w:pPr>
              <w:pStyle w:val="11"/>
            </w:pPr>
          </w:p>
        </w:tc>
        <w:tc>
          <w:tcPr>
            <w:tcW w:w="1474" w:type="dxa"/>
            <w:vAlign w:val="center"/>
          </w:tcPr>
          <w:p w14:paraId="419871CB">
            <w:pPr>
              <w:pStyle w:val="11"/>
            </w:pPr>
          </w:p>
        </w:tc>
        <w:tc>
          <w:tcPr>
            <w:tcW w:w="1474" w:type="dxa"/>
            <w:vAlign w:val="center"/>
          </w:tcPr>
          <w:p w14:paraId="47FC2A58">
            <w:pPr>
              <w:pStyle w:val="11"/>
            </w:pPr>
          </w:p>
        </w:tc>
        <w:tc>
          <w:tcPr>
            <w:tcW w:w="1474" w:type="dxa"/>
            <w:vAlign w:val="center"/>
          </w:tcPr>
          <w:p w14:paraId="71A51ECE">
            <w:pPr>
              <w:pStyle w:val="11"/>
            </w:pPr>
          </w:p>
        </w:tc>
      </w:tr>
      <w:tr w14:paraId="4FDE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0333E">
            <w:pPr>
              <w:pStyle w:val="13"/>
            </w:pPr>
            <w:r>
              <w:t>29</w:t>
            </w:r>
          </w:p>
        </w:tc>
        <w:tc>
          <w:tcPr>
            <w:tcW w:w="3402" w:type="dxa"/>
            <w:vAlign w:val="center"/>
          </w:tcPr>
          <w:p w14:paraId="79291435">
            <w:pPr>
              <w:pStyle w:val="12"/>
            </w:pPr>
          </w:p>
        </w:tc>
        <w:tc>
          <w:tcPr>
            <w:tcW w:w="1474" w:type="dxa"/>
            <w:vAlign w:val="center"/>
          </w:tcPr>
          <w:p w14:paraId="2158A409">
            <w:pPr>
              <w:pStyle w:val="11"/>
            </w:pPr>
          </w:p>
        </w:tc>
        <w:tc>
          <w:tcPr>
            <w:tcW w:w="3402" w:type="dxa"/>
            <w:vAlign w:val="center"/>
          </w:tcPr>
          <w:p w14:paraId="7F9B8679">
            <w:pPr>
              <w:pStyle w:val="12"/>
            </w:pPr>
            <w:r>
              <w:t>二十九、债务发行费用支出</w:t>
            </w:r>
          </w:p>
        </w:tc>
        <w:tc>
          <w:tcPr>
            <w:tcW w:w="1474" w:type="dxa"/>
            <w:vAlign w:val="center"/>
          </w:tcPr>
          <w:p w14:paraId="09FCABDE">
            <w:pPr>
              <w:pStyle w:val="11"/>
            </w:pPr>
          </w:p>
        </w:tc>
        <w:tc>
          <w:tcPr>
            <w:tcW w:w="1474" w:type="dxa"/>
            <w:vAlign w:val="center"/>
          </w:tcPr>
          <w:p w14:paraId="62B7A1AC">
            <w:pPr>
              <w:pStyle w:val="11"/>
            </w:pPr>
          </w:p>
        </w:tc>
        <w:tc>
          <w:tcPr>
            <w:tcW w:w="1474" w:type="dxa"/>
            <w:vAlign w:val="center"/>
          </w:tcPr>
          <w:p w14:paraId="2ABF4F71">
            <w:pPr>
              <w:pStyle w:val="11"/>
            </w:pPr>
          </w:p>
        </w:tc>
        <w:tc>
          <w:tcPr>
            <w:tcW w:w="1474" w:type="dxa"/>
            <w:vAlign w:val="center"/>
          </w:tcPr>
          <w:p w14:paraId="113CC6E8">
            <w:pPr>
              <w:pStyle w:val="11"/>
            </w:pPr>
          </w:p>
        </w:tc>
      </w:tr>
      <w:tr w14:paraId="65097990">
        <w:tblPrEx>
          <w:tblCellMar>
            <w:top w:w="0" w:type="dxa"/>
            <w:left w:w="108" w:type="dxa"/>
            <w:bottom w:w="0" w:type="dxa"/>
            <w:right w:w="108" w:type="dxa"/>
          </w:tblCellMar>
        </w:tblPrEx>
        <w:trPr>
          <w:trHeight w:val="369" w:hRule="atLeast"/>
          <w:jc w:val="center"/>
        </w:trPr>
        <w:tc>
          <w:tcPr>
            <w:tcW w:w="850" w:type="dxa"/>
            <w:vAlign w:val="center"/>
          </w:tcPr>
          <w:p w14:paraId="33658096">
            <w:pPr>
              <w:pStyle w:val="13"/>
            </w:pPr>
            <w:r>
              <w:t>30</w:t>
            </w:r>
          </w:p>
        </w:tc>
        <w:tc>
          <w:tcPr>
            <w:tcW w:w="3402" w:type="dxa"/>
            <w:vAlign w:val="center"/>
          </w:tcPr>
          <w:p w14:paraId="0C516324">
            <w:pPr>
              <w:pStyle w:val="12"/>
            </w:pPr>
          </w:p>
        </w:tc>
        <w:tc>
          <w:tcPr>
            <w:tcW w:w="1474" w:type="dxa"/>
            <w:vAlign w:val="center"/>
          </w:tcPr>
          <w:p w14:paraId="4228E8FC">
            <w:pPr>
              <w:pStyle w:val="11"/>
            </w:pPr>
          </w:p>
        </w:tc>
        <w:tc>
          <w:tcPr>
            <w:tcW w:w="3402" w:type="dxa"/>
            <w:vAlign w:val="center"/>
          </w:tcPr>
          <w:p w14:paraId="2AB3057A">
            <w:pPr>
              <w:pStyle w:val="12"/>
            </w:pPr>
            <w:r>
              <w:t>三十、抗疫特别国债安排的支出</w:t>
            </w:r>
          </w:p>
        </w:tc>
        <w:tc>
          <w:tcPr>
            <w:tcW w:w="1474" w:type="dxa"/>
            <w:vAlign w:val="center"/>
          </w:tcPr>
          <w:p w14:paraId="3242794C">
            <w:pPr>
              <w:pStyle w:val="11"/>
            </w:pPr>
          </w:p>
        </w:tc>
        <w:tc>
          <w:tcPr>
            <w:tcW w:w="1474" w:type="dxa"/>
            <w:vAlign w:val="center"/>
          </w:tcPr>
          <w:p w14:paraId="4F1A9B63">
            <w:pPr>
              <w:pStyle w:val="11"/>
            </w:pPr>
          </w:p>
        </w:tc>
        <w:tc>
          <w:tcPr>
            <w:tcW w:w="1474" w:type="dxa"/>
            <w:vAlign w:val="center"/>
          </w:tcPr>
          <w:p w14:paraId="6330D639">
            <w:pPr>
              <w:pStyle w:val="11"/>
            </w:pPr>
          </w:p>
        </w:tc>
        <w:tc>
          <w:tcPr>
            <w:tcW w:w="1474" w:type="dxa"/>
            <w:vAlign w:val="center"/>
          </w:tcPr>
          <w:p w14:paraId="7489276F">
            <w:pPr>
              <w:pStyle w:val="11"/>
            </w:pPr>
          </w:p>
        </w:tc>
      </w:tr>
      <w:tr w14:paraId="395B0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ED5AB">
            <w:pPr>
              <w:pStyle w:val="13"/>
            </w:pPr>
            <w:r>
              <w:t>31</w:t>
            </w:r>
          </w:p>
        </w:tc>
        <w:tc>
          <w:tcPr>
            <w:tcW w:w="3402" w:type="dxa"/>
            <w:vAlign w:val="center"/>
          </w:tcPr>
          <w:p w14:paraId="787A636A">
            <w:pPr>
              <w:pStyle w:val="12"/>
            </w:pPr>
          </w:p>
        </w:tc>
        <w:tc>
          <w:tcPr>
            <w:tcW w:w="1474" w:type="dxa"/>
            <w:vAlign w:val="center"/>
          </w:tcPr>
          <w:p w14:paraId="690C4356">
            <w:pPr>
              <w:pStyle w:val="11"/>
            </w:pPr>
          </w:p>
        </w:tc>
        <w:tc>
          <w:tcPr>
            <w:tcW w:w="3402" w:type="dxa"/>
            <w:vAlign w:val="center"/>
          </w:tcPr>
          <w:p w14:paraId="04B0695F">
            <w:pPr>
              <w:pStyle w:val="12"/>
            </w:pPr>
            <w:r>
              <w:t>三十一、人行科目</w:t>
            </w:r>
          </w:p>
        </w:tc>
        <w:tc>
          <w:tcPr>
            <w:tcW w:w="1474" w:type="dxa"/>
            <w:vAlign w:val="center"/>
          </w:tcPr>
          <w:p w14:paraId="7FC6337A">
            <w:pPr>
              <w:pStyle w:val="11"/>
            </w:pPr>
          </w:p>
        </w:tc>
        <w:tc>
          <w:tcPr>
            <w:tcW w:w="1474" w:type="dxa"/>
            <w:vAlign w:val="center"/>
          </w:tcPr>
          <w:p w14:paraId="2C744C1A">
            <w:pPr>
              <w:pStyle w:val="11"/>
            </w:pPr>
          </w:p>
        </w:tc>
        <w:tc>
          <w:tcPr>
            <w:tcW w:w="1474" w:type="dxa"/>
            <w:vAlign w:val="center"/>
          </w:tcPr>
          <w:p w14:paraId="530058DB">
            <w:pPr>
              <w:pStyle w:val="11"/>
            </w:pPr>
          </w:p>
        </w:tc>
        <w:tc>
          <w:tcPr>
            <w:tcW w:w="1474" w:type="dxa"/>
            <w:vAlign w:val="center"/>
          </w:tcPr>
          <w:p w14:paraId="0C60F877">
            <w:pPr>
              <w:pStyle w:val="11"/>
            </w:pPr>
          </w:p>
        </w:tc>
      </w:tr>
      <w:tr w14:paraId="174A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D0FA">
            <w:pPr>
              <w:pStyle w:val="13"/>
            </w:pPr>
            <w:r>
              <w:t>32</w:t>
            </w:r>
          </w:p>
        </w:tc>
        <w:tc>
          <w:tcPr>
            <w:tcW w:w="3402" w:type="dxa"/>
            <w:vAlign w:val="center"/>
          </w:tcPr>
          <w:p w14:paraId="39AAF4FF">
            <w:pPr>
              <w:pStyle w:val="14"/>
            </w:pPr>
            <w:r>
              <w:t>本年收入合计</w:t>
            </w:r>
          </w:p>
        </w:tc>
        <w:tc>
          <w:tcPr>
            <w:tcW w:w="1474" w:type="dxa"/>
            <w:vAlign w:val="center"/>
          </w:tcPr>
          <w:p w14:paraId="66C2FBFB">
            <w:pPr>
              <w:pStyle w:val="15"/>
            </w:pPr>
            <w:r>
              <w:t>325.83</w:t>
            </w:r>
          </w:p>
        </w:tc>
        <w:tc>
          <w:tcPr>
            <w:tcW w:w="3402" w:type="dxa"/>
            <w:vAlign w:val="center"/>
          </w:tcPr>
          <w:p w14:paraId="0BD068B6">
            <w:pPr>
              <w:pStyle w:val="14"/>
            </w:pPr>
            <w:r>
              <w:t>本年支出合计</w:t>
            </w:r>
          </w:p>
        </w:tc>
        <w:tc>
          <w:tcPr>
            <w:tcW w:w="1474" w:type="dxa"/>
            <w:vAlign w:val="center"/>
          </w:tcPr>
          <w:p w14:paraId="61A8C4C2">
            <w:pPr>
              <w:pStyle w:val="15"/>
            </w:pPr>
            <w:r>
              <w:t>325.83</w:t>
            </w:r>
          </w:p>
        </w:tc>
        <w:tc>
          <w:tcPr>
            <w:tcW w:w="1474" w:type="dxa"/>
            <w:vAlign w:val="center"/>
          </w:tcPr>
          <w:p w14:paraId="7019E881">
            <w:pPr>
              <w:pStyle w:val="15"/>
            </w:pPr>
            <w:r>
              <w:t>325.83</w:t>
            </w:r>
          </w:p>
        </w:tc>
        <w:tc>
          <w:tcPr>
            <w:tcW w:w="1474" w:type="dxa"/>
            <w:vAlign w:val="center"/>
          </w:tcPr>
          <w:p w14:paraId="6990CEC5">
            <w:pPr>
              <w:pStyle w:val="15"/>
            </w:pPr>
          </w:p>
        </w:tc>
        <w:tc>
          <w:tcPr>
            <w:tcW w:w="1474" w:type="dxa"/>
            <w:vAlign w:val="center"/>
          </w:tcPr>
          <w:p w14:paraId="2F16540F">
            <w:pPr>
              <w:pStyle w:val="15"/>
            </w:pPr>
          </w:p>
        </w:tc>
      </w:tr>
      <w:tr w14:paraId="041BB562">
        <w:tblPrEx>
          <w:tblCellMar>
            <w:top w:w="0" w:type="dxa"/>
            <w:left w:w="108" w:type="dxa"/>
            <w:bottom w:w="0" w:type="dxa"/>
            <w:right w:w="108" w:type="dxa"/>
          </w:tblCellMar>
        </w:tblPrEx>
        <w:trPr>
          <w:trHeight w:val="369" w:hRule="atLeast"/>
          <w:jc w:val="center"/>
        </w:trPr>
        <w:tc>
          <w:tcPr>
            <w:tcW w:w="850" w:type="dxa"/>
            <w:vAlign w:val="center"/>
          </w:tcPr>
          <w:p w14:paraId="3445C806">
            <w:pPr>
              <w:pStyle w:val="13"/>
            </w:pPr>
            <w:r>
              <w:t>33</w:t>
            </w:r>
          </w:p>
        </w:tc>
        <w:tc>
          <w:tcPr>
            <w:tcW w:w="3402" w:type="dxa"/>
            <w:vAlign w:val="center"/>
          </w:tcPr>
          <w:p w14:paraId="263C39C2">
            <w:pPr>
              <w:pStyle w:val="12"/>
            </w:pPr>
            <w:r>
              <w:t>年初财政拨款结转和结余</w:t>
            </w:r>
          </w:p>
        </w:tc>
        <w:tc>
          <w:tcPr>
            <w:tcW w:w="1474" w:type="dxa"/>
            <w:vAlign w:val="center"/>
          </w:tcPr>
          <w:p w14:paraId="7411314C">
            <w:pPr>
              <w:pStyle w:val="11"/>
            </w:pPr>
          </w:p>
        </w:tc>
        <w:tc>
          <w:tcPr>
            <w:tcW w:w="3402" w:type="dxa"/>
            <w:vAlign w:val="center"/>
          </w:tcPr>
          <w:p w14:paraId="0EBDC094">
            <w:pPr>
              <w:pStyle w:val="12"/>
            </w:pPr>
            <w:r>
              <w:t>年末财政拨款结转和结余</w:t>
            </w:r>
          </w:p>
        </w:tc>
        <w:tc>
          <w:tcPr>
            <w:tcW w:w="1474" w:type="dxa"/>
            <w:vAlign w:val="center"/>
          </w:tcPr>
          <w:p w14:paraId="7DB4AFA1">
            <w:pPr>
              <w:pStyle w:val="11"/>
            </w:pPr>
          </w:p>
        </w:tc>
        <w:tc>
          <w:tcPr>
            <w:tcW w:w="1474" w:type="dxa"/>
            <w:vAlign w:val="center"/>
          </w:tcPr>
          <w:p w14:paraId="77CFE200">
            <w:pPr>
              <w:pStyle w:val="11"/>
            </w:pPr>
          </w:p>
        </w:tc>
        <w:tc>
          <w:tcPr>
            <w:tcW w:w="1474" w:type="dxa"/>
            <w:vAlign w:val="center"/>
          </w:tcPr>
          <w:p w14:paraId="0408EB82">
            <w:pPr>
              <w:pStyle w:val="11"/>
            </w:pPr>
          </w:p>
        </w:tc>
        <w:tc>
          <w:tcPr>
            <w:tcW w:w="1474" w:type="dxa"/>
            <w:vAlign w:val="center"/>
          </w:tcPr>
          <w:p w14:paraId="0AD6E5E9">
            <w:pPr>
              <w:pStyle w:val="11"/>
            </w:pPr>
          </w:p>
        </w:tc>
      </w:tr>
      <w:tr w14:paraId="1636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B31F">
            <w:pPr>
              <w:pStyle w:val="13"/>
            </w:pPr>
            <w:r>
              <w:t>34</w:t>
            </w:r>
          </w:p>
        </w:tc>
        <w:tc>
          <w:tcPr>
            <w:tcW w:w="3402" w:type="dxa"/>
            <w:vAlign w:val="center"/>
          </w:tcPr>
          <w:p w14:paraId="1656805C">
            <w:pPr>
              <w:pStyle w:val="12"/>
            </w:pPr>
            <w:r>
              <w:t>一、一般公共预算拨款</w:t>
            </w:r>
          </w:p>
        </w:tc>
        <w:tc>
          <w:tcPr>
            <w:tcW w:w="1474" w:type="dxa"/>
            <w:vAlign w:val="center"/>
          </w:tcPr>
          <w:p w14:paraId="263A58F1">
            <w:pPr>
              <w:pStyle w:val="11"/>
            </w:pPr>
          </w:p>
        </w:tc>
        <w:tc>
          <w:tcPr>
            <w:tcW w:w="3402" w:type="dxa"/>
            <w:vAlign w:val="center"/>
          </w:tcPr>
          <w:p w14:paraId="32D74CD0">
            <w:pPr>
              <w:pStyle w:val="12"/>
            </w:pPr>
          </w:p>
        </w:tc>
        <w:tc>
          <w:tcPr>
            <w:tcW w:w="1474" w:type="dxa"/>
            <w:vAlign w:val="center"/>
          </w:tcPr>
          <w:p w14:paraId="1BAD2EFB">
            <w:pPr>
              <w:pStyle w:val="11"/>
            </w:pPr>
          </w:p>
        </w:tc>
        <w:tc>
          <w:tcPr>
            <w:tcW w:w="1474" w:type="dxa"/>
            <w:vAlign w:val="center"/>
          </w:tcPr>
          <w:p w14:paraId="1B5A44D3">
            <w:pPr>
              <w:pStyle w:val="11"/>
            </w:pPr>
          </w:p>
        </w:tc>
        <w:tc>
          <w:tcPr>
            <w:tcW w:w="1474" w:type="dxa"/>
            <w:vAlign w:val="center"/>
          </w:tcPr>
          <w:p w14:paraId="7EE01577">
            <w:pPr>
              <w:pStyle w:val="11"/>
            </w:pPr>
          </w:p>
        </w:tc>
        <w:tc>
          <w:tcPr>
            <w:tcW w:w="1474" w:type="dxa"/>
            <w:vAlign w:val="center"/>
          </w:tcPr>
          <w:p w14:paraId="6AA658BA">
            <w:pPr>
              <w:pStyle w:val="11"/>
            </w:pPr>
          </w:p>
        </w:tc>
      </w:tr>
      <w:tr w14:paraId="6882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625C1">
            <w:pPr>
              <w:pStyle w:val="13"/>
            </w:pPr>
            <w:r>
              <w:t>35</w:t>
            </w:r>
          </w:p>
        </w:tc>
        <w:tc>
          <w:tcPr>
            <w:tcW w:w="3402" w:type="dxa"/>
            <w:vAlign w:val="center"/>
          </w:tcPr>
          <w:p w14:paraId="6B5617E3">
            <w:pPr>
              <w:pStyle w:val="12"/>
            </w:pPr>
            <w:r>
              <w:t>二、政府性基金预算拨款</w:t>
            </w:r>
          </w:p>
        </w:tc>
        <w:tc>
          <w:tcPr>
            <w:tcW w:w="1474" w:type="dxa"/>
            <w:vAlign w:val="center"/>
          </w:tcPr>
          <w:p w14:paraId="107CF31B">
            <w:pPr>
              <w:pStyle w:val="11"/>
            </w:pPr>
          </w:p>
        </w:tc>
        <w:tc>
          <w:tcPr>
            <w:tcW w:w="3402" w:type="dxa"/>
            <w:vAlign w:val="center"/>
          </w:tcPr>
          <w:p w14:paraId="113FB5A4">
            <w:pPr>
              <w:pStyle w:val="12"/>
            </w:pPr>
          </w:p>
        </w:tc>
        <w:tc>
          <w:tcPr>
            <w:tcW w:w="1474" w:type="dxa"/>
            <w:vAlign w:val="center"/>
          </w:tcPr>
          <w:p w14:paraId="3200E263">
            <w:pPr>
              <w:pStyle w:val="11"/>
            </w:pPr>
          </w:p>
        </w:tc>
        <w:tc>
          <w:tcPr>
            <w:tcW w:w="1474" w:type="dxa"/>
            <w:vAlign w:val="center"/>
          </w:tcPr>
          <w:p w14:paraId="1BBCC8ED">
            <w:pPr>
              <w:pStyle w:val="11"/>
            </w:pPr>
          </w:p>
        </w:tc>
        <w:tc>
          <w:tcPr>
            <w:tcW w:w="1474" w:type="dxa"/>
            <w:vAlign w:val="center"/>
          </w:tcPr>
          <w:p w14:paraId="54FBEB09">
            <w:pPr>
              <w:pStyle w:val="11"/>
            </w:pPr>
          </w:p>
        </w:tc>
        <w:tc>
          <w:tcPr>
            <w:tcW w:w="1474" w:type="dxa"/>
            <w:vAlign w:val="center"/>
          </w:tcPr>
          <w:p w14:paraId="596869FF">
            <w:pPr>
              <w:pStyle w:val="11"/>
            </w:pPr>
          </w:p>
        </w:tc>
      </w:tr>
      <w:tr w14:paraId="5DE7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09E6">
            <w:pPr>
              <w:pStyle w:val="13"/>
            </w:pPr>
            <w:r>
              <w:t>36</w:t>
            </w:r>
          </w:p>
        </w:tc>
        <w:tc>
          <w:tcPr>
            <w:tcW w:w="3402" w:type="dxa"/>
            <w:vAlign w:val="center"/>
          </w:tcPr>
          <w:p w14:paraId="5FD71BF4">
            <w:pPr>
              <w:pStyle w:val="12"/>
            </w:pPr>
            <w:r>
              <w:t>三、国有资本经营预算拨款</w:t>
            </w:r>
          </w:p>
        </w:tc>
        <w:tc>
          <w:tcPr>
            <w:tcW w:w="1474" w:type="dxa"/>
            <w:vAlign w:val="center"/>
          </w:tcPr>
          <w:p w14:paraId="4EEB7D59">
            <w:pPr>
              <w:pStyle w:val="11"/>
            </w:pPr>
          </w:p>
        </w:tc>
        <w:tc>
          <w:tcPr>
            <w:tcW w:w="3402" w:type="dxa"/>
            <w:vAlign w:val="center"/>
          </w:tcPr>
          <w:p w14:paraId="19EDFFAB">
            <w:pPr>
              <w:pStyle w:val="12"/>
            </w:pPr>
          </w:p>
        </w:tc>
        <w:tc>
          <w:tcPr>
            <w:tcW w:w="1474" w:type="dxa"/>
            <w:vAlign w:val="center"/>
          </w:tcPr>
          <w:p w14:paraId="226A1E40">
            <w:pPr>
              <w:pStyle w:val="11"/>
            </w:pPr>
          </w:p>
        </w:tc>
        <w:tc>
          <w:tcPr>
            <w:tcW w:w="1474" w:type="dxa"/>
            <w:vAlign w:val="center"/>
          </w:tcPr>
          <w:p w14:paraId="5F979336">
            <w:pPr>
              <w:pStyle w:val="11"/>
            </w:pPr>
          </w:p>
        </w:tc>
        <w:tc>
          <w:tcPr>
            <w:tcW w:w="1474" w:type="dxa"/>
            <w:vAlign w:val="center"/>
          </w:tcPr>
          <w:p w14:paraId="0DBAC6B6">
            <w:pPr>
              <w:pStyle w:val="11"/>
            </w:pPr>
          </w:p>
        </w:tc>
        <w:tc>
          <w:tcPr>
            <w:tcW w:w="1474" w:type="dxa"/>
            <w:vAlign w:val="center"/>
          </w:tcPr>
          <w:p w14:paraId="1D6D8725">
            <w:pPr>
              <w:pStyle w:val="11"/>
            </w:pPr>
          </w:p>
        </w:tc>
      </w:tr>
      <w:tr w14:paraId="61EE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836B">
            <w:pPr>
              <w:pStyle w:val="13"/>
            </w:pPr>
            <w:r>
              <w:t>37</w:t>
            </w:r>
          </w:p>
        </w:tc>
        <w:tc>
          <w:tcPr>
            <w:tcW w:w="3402" w:type="dxa"/>
            <w:vAlign w:val="center"/>
          </w:tcPr>
          <w:p w14:paraId="2B885C50">
            <w:pPr>
              <w:pStyle w:val="14"/>
            </w:pPr>
            <w:r>
              <w:t>收入总计</w:t>
            </w:r>
          </w:p>
        </w:tc>
        <w:tc>
          <w:tcPr>
            <w:tcW w:w="1474" w:type="dxa"/>
            <w:vAlign w:val="center"/>
          </w:tcPr>
          <w:p w14:paraId="1196A45C">
            <w:pPr>
              <w:pStyle w:val="15"/>
            </w:pPr>
            <w:r>
              <w:t>325.83</w:t>
            </w:r>
          </w:p>
        </w:tc>
        <w:tc>
          <w:tcPr>
            <w:tcW w:w="3402" w:type="dxa"/>
            <w:vAlign w:val="center"/>
          </w:tcPr>
          <w:p w14:paraId="6FE458AD">
            <w:pPr>
              <w:pStyle w:val="14"/>
            </w:pPr>
            <w:r>
              <w:t>支出总计</w:t>
            </w:r>
          </w:p>
        </w:tc>
        <w:tc>
          <w:tcPr>
            <w:tcW w:w="1474" w:type="dxa"/>
            <w:vAlign w:val="center"/>
          </w:tcPr>
          <w:p w14:paraId="0AAA5832">
            <w:pPr>
              <w:pStyle w:val="15"/>
            </w:pPr>
            <w:r>
              <w:t>325.83</w:t>
            </w:r>
          </w:p>
        </w:tc>
        <w:tc>
          <w:tcPr>
            <w:tcW w:w="1474" w:type="dxa"/>
            <w:vAlign w:val="center"/>
          </w:tcPr>
          <w:p w14:paraId="44DA5153">
            <w:pPr>
              <w:pStyle w:val="15"/>
            </w:pPr>
            <w:r>
              <w:t>325.83</w:t>
            </w:r>
          </w:p>
        </w:tc>
        <w:tc>
          <w:tcPr>
            <w:tcW w:w="1474" w:type="dxa"/>
            <w:vAlign w:val="center"/>
          </w:tcPr>
          <w:p w14:paraId="795A805C">
            <w:pPr>
              <w:pStyle w:val="15"/>
            </w:pPr>
          </w:p>
        </w:tc>
        <w:tc>
          <w:tcPr>
            <w:tcW w:w="1474" w:type="dxa"/>
            <w:vAlign w:val="center"/>
          </w:tcPr>
          <w:p w14:paraId="710848EC">
            <w:pPr>
              <w:pStyle w:val="15"/>
            </w:pPr>
          </w:p>
        </w:tc>
      </w:tr>
    </w:tbl>
    <w:p w14:paraId="4694C935">
      <w:pPr>
        <w:sectPr>
          <w:pgSz w:w="16840" w:h="11900" w:orient="landscape"/>
          <w:pgMar w:top="1361" w:right="1020" w:bottom="1134" w:left="1020" w:header="720" w:footer="720" w:gutter="0"/>
          <w:cols w:space="720" w:num="1"/>
        </w:sectPr>
      </w:pPr>
    </w:p>
    <w:p w14:paraId="4DDF32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3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70C42">
            <w:pPr>
              <w:pStyle w:val="9"/>
            </w:pPr>
            <w:r>
              <w:t>360035隆尧县唐尧街幼儿园</w:t>
            </w:r>
          </w:p>
        </w:tc>
        <w:tc>
          <w:tcPr>
            <w:tcW w:w="2551" w:type="dxa"/>
            <w:tcBorders>
              <w:top w:val="single" w:color="FFFFFF" w:sz="6" w:space="0"/>
              <w:left w:val="single" w:color="FFFFFF" w:sz="6" w:space="0"/>
              <w:right w:val="single" w:color="FFFFFF" w:sz="6" w:space="0"/>
            </w:tcBorders>
            <w:vAlign w:val="center"/>
          </w:tcPr>
          <w:p w14:paraId="7D02D73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7E01F3">
            <w:pPr>
              <w:pStyle w:val="7"/>
            </w:pPr>
            <w:r>
              <w:t>单位：万元</w:t>
            </w:r>
          </w:p>
        </w:tc>
      </w:tr>
      <w:tr w14:paraId="392C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6025A">
            <w:pPr>
              <w:pStyle w:val="10"/>
            </w:pPr>
            <w:r>
              <w:t>序号</w:t>
            </w:r>
          </w:p>
        </w:tc>
        <w:tc>
          <w:tcPr>
            <w:tcW w:w="5726" w:type="dxa"/>
            <w:gridSpan w:val="2"/>
            <w:vAlign w:val="center"/>
          </w:tcPr>
          <w:p w14:paraId="7D40F8DB">
            <w:pPr>
              <w:pStyle w:val="10"/>
            </w:pPr>
            <w:r>
              <w:t>功能分类科目</w:t>
            </w:r>
          </w:p>
        </w:tc>
        <w:tc>
          <w:tcPr>
            <w:tcW w:w="2551" w:type="dxa"/>
            <w:vMerge w:val="restart"/>
            <w:vAlign w:val="center"/>
          </w:tcPr>
          <w:p w14:paraId="4E2A1723">
            <w:pPr>
              <w:pStyle w:val="10"/>
            </w:pPr>
            <w:r>
              <w:t>合计</w:t>
            </w:r>
          </w:p>
        </w:tc>
        <w:tc>
          <w:tcPr>
            <w:tcW w:w="2551" w:type="dxa"/>
            <w:vMerge w:val="restart"/>
            <w:vAlign w:val="center"/>
          </w:tcPr>
          <w:p w14:paraId="05E9120E">
            <w:pPr>
              <w:pStyle w:val="10"/>
            </w:pPr>
            <w:r>
              <w:t>基本支出</w:t>
            </w:r>
          </w:p>
        </w:tc>
        <w:tc>
          <w:tcPr>
            <w:tcW w:w="2551" w:type="dxa"/>
            <w:vMerge w:val="restart"/>
            <w:vAlign w:val="center"/>
          </w:tcPr>
          <w:p w14:paraId="1BE05392">
            <w:pPr>
              <w:pStyle w:val="10"/>
            </w:pPr>
            <w:r>
              <w:t>项目支出</w:t>
            </w:r>
          </w:p>
        </w:tc>
      </w:tr>
      <w:tr w14:paraId="7744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23149B"/>
        </w:tc>
        <w:tc>
          <w:tcPr>
            <w:tcW w:w="1191" w:type="dxa"/>
            <w:vAlign w:val="center"/>
          </w:tcPr>
          <w:p w14:paraId="397C5FD9">
            <w:pPr>
              <w:pStyle w:val="10"/>
            </w:pPr>
            <w:r>
              <w:t>科目编码</w:t>
            </w:r>
          </w:p>
        </w:tc>
        <w:tc>
          <w:tcPr>
            <w:tcW w:w="4535" w:type="dxa"/>
            <w:vAlign w:val="center"/>
          </w:tcPr>
          <w:p w14:paraId="185A3F5F">
            <w:pPr>
              <w:pStyle w:val="10"/>
            </w:pPr>
            <w:r>
              <w:t>科目名称</w:t>
            </w:r>
          </w:p>
        </w:tc>
        <w:tc>
          <w:tcPr>
            <w:tcW w:w="2551" w:type="dxa"/>
            <w:vMerge w:val="continue"/>
          </w:tcPr>
          <w:p w14:paraId="51867A44"/>
        </w:tc>
        <w:tc>
          <w:tcPr>
            <w:tcW w:w="2551" w:type="dxa"/>
            <w:vMerge w:val="continue"/>
          </w:tcPr>
          <w:p w14:paraId="27495ED4"/>
        </w:tc>
        <w:tc>
          <w:tcPr>
            <w:tcW w:w="2551" w:type="dxa"/>
            <w:vMerge w:val="continue"/>
          </w:tcPr>
          <w:p w14:paraId="24F897C4"/>
        </w:tc>
      </w:tr>
      <w:tr w14:paraId="21E7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D3EF27">
            <w:pPr>
              <w:pStyle w:val="10"/>
            </w:pPr>
            <w:r>
              <w:t>栏次</w:t>
            </w:r>
          </w:p>
        </w:tc>
        <w:tc>
          <w:tcPr>
            <w:tcW w:w="1191" w:type="dxa"/>
            <w:vAlign w:val="center"/>
          </w:tcPr>
          <w:p w14:paraId="47D5430A">
            <w:pPr>
              <w:pStyle w:val="10"/>
            </w:pPr>
            <w:r>
              <w:t>1</w:t>
            </w:r>
          </w:p>
        </w:tc>
        <w:tc>
          <w:tcPr>
            <w:tcW w:w="4535" w:type="dxa"/>
            <w:vAlign w:val="center"/>
          </w:tcPr>
          <w:p w14:paraId="412B7050">
            <w:pPr>
              <w:pStyle w:val="10"/>
            </w:pPr>
            <w:r>
              <w:t>2</w:t>
            </w:r>
          </w:p>
        </w:tc>
        <w:tc>
          <w:tcPr>
            <w:tcW w:w="2551" w:type="dxa"/>
            <w:vAlign w:val="center"/>
          </w:tcPr>
          <w:p w14:paraId="1764133A">
            <w:pPr>
              <w:pStyle w:val="10"/>
            </w:pPr>
            <w:r>
              <w:t>3</w:t>
            </w:r>
          </w:p>
        </w:tc>
        <w:tc>
          <w:tcPr>
            <w:tcW w:w="2551" w:type="dxa"/>
            <w:vAlign w:val="center"/>
          </w:tcPr>
          <w:p w14:paraId="0B704724">
            <w:pPr>
              <w:pStyle w:val="10"/>
            </w:pPr>
            <w:r>
              <w:t>4</w:t>
            </w:r>
          </w:p>
        </w:tc>
        <w:tc>
          <w:tcPr>
            <w:tcW w:w="2551" w:type="dxa"/>
            <w:vAlign w:val="center"/>
          </w:tcPr>
          <w:p w14:paraId="2117EE1B">
            <w:pPr>
              <w:pStyle w:val="10"/>
            </w:pPr>
            <w:r>
              <w:t>5</w:t>
            </w:r>
          </w:p>
        </w:tc>
      </w:tr>
      <w:tr w14:paraId="32E3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7FB8">
            <w:pPr>
              <w:pStyle w:val="13"/>
            </w:pPr>
            <w:r>
              <w:t>1</w:t>
            </w:r>
          </w:p>
        </w:tc>
        <w:tc>
          <w:tcPr>
            <w:tcW w:w="1191" w:type="dxa"/>
            <w:vAlign w:val="center"/>
          </w:tcPr>
          <w:p w14:paraId="597B3033">
            <w:pPr>
              <w:pStyle w:val="16"/>
            </w:pPr>
          </w:p>
        </w:tc>
        <w:tc>
          <w:tcPr>
            <w:tcW w:w="4535" w:type="dxa"/>
            <w:vAlign w:val="center"/>
          </w:tcPr>
          <w:p w14:paraId="06286BCB">
            <w:pPr>
              <w:pStyle w:val="14"/>
            </w:pPr>
            <w:r>
              <w:t>合计</w:t>
            </w:r>
          </w:p>
        </w:tc>
        <w:tc>
          <w:tcPr>
            <w:tcW w:w="2551" w:type="dxa"/>
            <w:vAlign w:val="center"/>
          </w:tcPr>
          <w:p w14:paraId="66FB0E8B">
            <w:pPr>
              <w:pStyle w:val="15"/>
            </w:pPr>
            <w:r>
              <w:t>325.83</w:t>
            </w:r>
          </w:p>
        </w:tc>
        <w:tc>
          <w:tcPr>
            <w:tcW w:w="2551" w:type="dxa"/>
            <w:vAlign w:val="center"/>
          </w:tcPr>
          <w:p w14:paraId="5E572D8C">
            <w:pPr>
              <w:pStyle w:val="15"/>
            </w:pPr>
            <w:r>
              <w:t>211.68</w:t>
            </w:r>
          </w:p>
        </w:tc>
        <w:tc>
          <w:tcPr>
            <w:tcW w:w="2551" w:type="dxa"/>
            <w:vAlign w:val="center"/>
          </w:tcPr>
          <w:p w14:paraId="4E8F5FAF">
            <w:pPr>
              <w:pStyle w:val="15"/>
            </w:pPr>
            <w:r>
              <w:t>114.15</w:t>
            </w:r>
          </w:p>
        </w:tc>
      </w:tr>
      <w:tr w14:paraId="1C8D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7FD02">
            <w:pPr>
              <w:pStyle w:val="13"/>
            </w:pPr>
            <w:r>
              <w:t>2</w:t>
            </w:r>
          </w:p>
        </w:tc>
        <w:tc>
          <w:tcPr>
            <w:tcW w:w="1191" w:type="dxa"/>
            <w:vAlign w:val="center"/>
          </w:tcPr>
          <w:p w14:paraId="7E6AB0F7">
            <w:pPr>
              <w:pStyle w:val="12"/>
            </w:pPr>
            <w:r>
              <w:t>205</w:t>
            </w:r>
          </w:p>
        </w:tc>
        <w:tc>
          <w:tcPr>
            <w:tcW w:w="4535" w:type="dxa"/>
            <w:vAlign w:val="center"/>
          </w:tcPr>
          <w:p w14:paraId="6810A62C">
            <w:pPr>
              <w:pStyle w:val="12"/>
            </w:pPr>
            <w:r>
              <w:t>教育支出</w:t>
            </w:r>
          </w:p>
        </w:tc>
        <w:tc>
          <w:tcPr>
            <w:tcW w:w="2551" w:type="dxa"/>
            <w:vAlign w:val="center"/>
          </w:tcPr>
          <w:p w14:paraId="603E9A16">
            <w:pPr>
              <w:pStyle w:val="11"/>
            </w:pPr>
            <w:r>
              <w:t>325.83</w:t>
            </w:r>
          </w:p>
        </w:tc>
        <w:tc>
          <w:tcPr>
            <w:tcW w:w="2551" w:type="dxa"/>
            <w:vAlign w:val="center"/>
          </w:tcPr>
          <w:p w14:paraId="2E79A896">
            <w:pPr>
              <w:pStyle w:val="11"/>
            </w:pPr>
            <w:r>
              <w:t>211.68</w:t>
            </w:r>
          </w:p>
        </w:tc>
        <w:tc>
          <w:tcPr>
            <w:tcW w:w="2551" w:type="dxa"/>
            <w:vAlign w:val="center"/>
          </w:tcPr>
          <w:p w14:paraId="69036D42">
            <w:pPr>
              <w:pStyle w:val="11"/>
            </w:pPr>
            <w:r>
              <w:t>114.15</w:t>
            </w:r>
          </w:p>
        </w:tc>
      </w:tr>
      <w:tr w14:paraId="1E2A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B95EF">
            <w:pPr>
              <w:pStyle w:val="13"/>
            </w:pPr>
            <w:r>
              <w:t>3</w:t>
            </w:r>
          </w:p>
        </w:tc>
        <w:tc>
          <w:tcPr>
            <w:tcW w:w="1191" w:type="dxa"/>
            <w:vAlign w:val="center"/>
          </w:tcPr>
          <w:p w14:paraId="3634C4BC">
            <w:pPr>
              <w:pStyle w:val="12"/>
            </w:pPr>
            <w:r>
              <w:t>20502</w:t>
            </w:r>
          </w:p>
        </w:tc>
        <w:tc>
          <w:tcPr>
            <w:tcW w:w="4535" w:type="dxa"/>
            <w:vAlign w:val="center"/>
          </w:tcPr>
          <w:p w14:paraId="2F0174EB">
            <w:pPr>
              <w:pStyle w:val="12"/>
            </w:pPr>
            <w:r>
              <w:t>普通教育</w:t>
            </w:r>
          </w:p>
        </w:tc>
        <w:tc>
          <w:tcPr>
            <w:tcW w:w="2551" w:type="dxa"/>
            <w:vAlign w:val="center"/>
          </w:tcPr>
          <w:p w14:paraId="7F0E6061">
            <w:pPr>
              <w:pStyle w:val="11"/>
            </w:pPr>
            <w:r>
              <w:t>325.83</w:t>
            </w:r>
          </w:p>
        </w:tc>
        <w:tc>
          <w:tcPr>
            <w:tcW w:w="2551" w:type="dxa"/>
            <w:vAlign w:val="center"/>
          </w:tcPr>
          <w:p w14:paraId="25C0F247">
            <w:pPr>
              <w:pStyle w:val="11"/>
            </w:pPr>
            <w:r>
              <w:t>211.68</w:t>
            </w:r>
          </w:p>
        </w:tc>
        <w:tc>
          <w:tcPr>
            <w:tcW w:w="2551" w:type="dxa"/>
            <w:vAlign w:val="center"/>
          </w:tcPr>
          <w:p w14:paraId="40E2FE21">
            <w:pPr>
              <w:pStyle w:val="11"/>
            </w:pPr>
            <w:r>
              <w:t>114.15</w:t>
            </w:r>
          </w:p>
        </w:tc>
      </w:tr>
      <w:tr w14:paraId="0489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F06E">
            <w:pPr>
              <w:pStyle w:val="13"/>
            </w:pPr>
            <w:r>
              <w:t>4</w:t>
            </w:r>
          </w:p>
        </w:tc>
        <w:tc>
          <w:tcPr>
            <w:tcW w:w="1191" w:type="dxa"/>
            <w:vAlign w:val="center"/>
          </w:tcPr>
          <w:p w14:paraId="2BB4D66D">
            <w:pPr>
              <w:pStyle w:val="12"/>
            </w:pPr>
            <w:r>
              <w:t>2050201</w:t>
            </w:r>
          </w:p>
        </w:tc>
        <w:tc>
          <w:tcPr>
            <w:tcW w:w="4535" w:type="dxa"/>
            <w:vAlign w:val="center"/>
          </w:tcPr>
          <w:p w14:paraId="1B9CF6BE">
            <w:pPr>
              <w:pStyle w:val="12"/>
            </w:pPr>
            <w:r>
              <w:t>学前教育</w:t>
            </w:r>
          </w:p>
        </w:tc>
        <w:tc>
          <w:tcPr>
            <w:tcW w:w="2551" w:type="dxa"/>
            <w:vAlign w:val="center"/>
          </w:tcPr>
          <w:p w14:paraId="2E96D18D">
            <w:pPr>
              <w:pStyle w:val="11"/>
            </w:pPr>
            <w:r>
              <w:t>325.83</w:t>
            </w:r>
          </w:p>
        </w:tc>
        <w:tc>
          <w:tcPr>
            <w:tcW w:w="2551" w:type="dxa"/>
            <w:vAlign w:val="center"/>
          </w:tcPr>
          <w:p w14:paraId="62B0F2A9">
            <w:pPr>
              <w:pStyle w:val="11"/>
            </w:pPr>
            <w:r>
              <w:t>211.68</w:t>
            </w:r>
          </w:p>
        </w:tc>
        <w:tc>
          <w:tcPr>
            <w:tcW w:w="2551" w:type="dxa"/>
            <w:vAlign w:val="center"/>
          </w:tcPr>
          <w:p w14:paraId="51B8505C">
            <w:pPr>
              <w:pStyle w:val="11"/>
            </w:pPr>
            <w:r>
              <w:t>114.15</w:t>
            </w:r>
          </w:p>
        </w:tc>
      </w:tr>
    </w:tbl>
    <w:p w14:paraId="7BB849C8">
      <w:pPr>
        <w:sectPr>
          <w:pgSz w:w="16840" w:h="11900" w:orient="landscape"/>
          <w:pgMar w:top="1361" w:right="1020" w:bottom="1134" w:left="1020" w:header="720" w:footer="720" w:gutter="0"/>
          <w:cols w:space="720" w:num="1"/>
        </w:sectPr>
      </w:pPr>
    </w:p>
    <w:p w14:paraId="55C79F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97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148E8B">
            <w:pPr>
              <w:pStyle w:val="9"/>
            </w:pPr>
            <w:r>
              <w:t>360035隆尧县唐尧街幼儿园</w:t>
            </w:r>
          </w:p>
        </w:tc>
        <w:tc>
          <w:tcPr>
            <w:tcW w:w="2551" w:type="dxa"/>
            <w:tcBorders>
              <w:top w:val="single" w:color="FFFFFF" w:sz="6" w:space="0"/>
              <w:left w:val="single" w:color="FFFFFF" w:sz="6" w:space="0"/>
              <w:right w:val="single" w:color="FFFFFF" w:sz="6" w:space="0"/>
            </w:tcBorders>
            <w:vAlign w:val="center"/>
          </w:tcPr>
          <w:p w14:paraId="08F814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554B7C">
            <w:pPr>
              <w:pStyle w:val="7"/>
            </w:pPr>
            <w:r>
              <w:t>单位：万元</w:t>
            </w:r>
          </w:p>
        </w:tc>
      </w:tr>
      <w:tr w14:paraId="13B1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845D52">
            <w:pPr>
              <w:pStyle w:val="10"/>
            </w:pPr>
            <w:r>
              <w:t>序号</w:t>
            </w:r>
          </w:p>
        </w:tc>
        <w:tc>
          <w:tcPr>
            <w:tcW w:w="5726" w:type="dxa"/>
            <w:gridSpan w:val="2"/>
            <w:vAlign w:val="center"/>
          </w:tcPr>
          <w:p w14:paraId="68DC6324">
            <w:pPr>
              <w:pStyle w:val="10"/>
            </w:pPr>
            <w:r>
              <w:t>支出部门经济分类科目</w:t>
            </w:r>
          </w:p>
        </w:tc>
        <w:tc>
          <w:tcPr>
            <w:tcW w:w="7653" w:type="dxa"/>
            <w:gridSpan w:val="3"/>
            <w:vAlign w:val="center"/>
          </w:tcPr>
          <w:p w14:paraId="63CBA4CA">
            <w:pPr>
              <w:pStyle w:val="10"/>
            </w:pPr>
            <w:r>
              <w:t>一般公共预算基本支出</w:t>
            </w:r>
          </w:p>
        </w:tc>
      </w:tr>
      <w:tr w14:paraId="2DC7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187848"/>
        </w:tc>
        <w:tc>
          <w:tcPr>
            <w:tcW w:w="1191" w:type="dxa"/>
            <w:vAlign w:val="center"/>
          </w:tcPr>
          <w:p w14:paraId="58E94218">
            <w:pPr>
              <w:pStyle w:val="10"/>
            </w:pPr>
            <w:r>
              <w:t>科目编码</w:t>
            </w:r>
          </w:p>
        </w:tc>
        <w:tc>
          <w:tcPr>
            <w:tcW w:w="4535" w:type="dxa"/>
            <w:vAlign w:val="center"/>
          </w:tcPr>
          <w:p w14:paraId="0104E6C3">
            <w:pPr>
              <w:pStyle w:val="10"/>
            </w:pPr>
            <w:r>
              <w:t>科目名称</w:t>
            </w:r>
          </w:p>
        </w:tc>
        <w:tc>
          <w:tcPr>
            <w:tcW w:w="2551" w:type="dxa"/>
            <w:vAlign w:val="center"/>
          </w:tcPr>
          <w:p w14:paraId="5413F0BA">
            <w:pPr>
              <w:pStyle w:val="10"/>
            </w:pPr>
            <w:r>
              <w:t>合计</w:t>
            </w:r>
          </w:p>
        </w:tc>
        <w:tc>
          <w:tcPr>
            <w:tcW w:w="2551" w:type="dxa"/>
            <w:vAlign w:val="center"/>
          </w:tcPr>
          <w:p w14:paraId="3BBD0C57">
            <w:pPr>
              <w:pStyle w:val="10"/>
            </w:pPr>
            <w:r>
              <w:t>人员经费</w:t>
            </w:r>
          </w:p>
        </w:tc>
        <w:tc>
          <w:tcPr>
            <w:tcW w:w="2551" w:type="dxa"/>
            <w:vAlign w:val="center"/>
          </w:tcPr>
          <w:p w14:paraId="73F89D2E">
            <w:pPr>
              <w:pStyle w:val="10"/>
            </w:pPr>
            <w:r>
              <w:t>公用经费</w:t>
            </w:r>
          </w:p>
        </w:tc>
      </w:tr>
      <w:tr w14:paraId="7228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AB64E">
            <w:pPr>
              <w:pStyle w:val="10"/>
            </w:pPr>
            <w:r>
              <w:t>栏次</w:t>
            </w:r>
          </w:p>
        </w:tc>
        <w:tc>
          <w:tcPr>
            <w:tcW w:w="1191" w:type="dxa"/>
            <w:vAlign w:val="center"/>
          </w:tcPr>
          <w:p w14:paraId="6AC76D93">
            <w:pPr>
              <w:pStyle w:val="10"/>
            </w:pPr>
            <w:r>
              <w:t>1</w:t>
            </w:r>
          </w:p>
        </w:tc>
        <w:tc>
          <w:tcPr>
            <w:tcW w:w="4535" w:type="dxa"/>
            <w:vAlign w:val="center"/>
          </w:tcPr>
          <w:p w14:paraId="41A25557">
            <w:pPr>
              <w:pStyle w:val="10"/>
            </w:pPr>
            <w:r>
              <w:t>2</w:t>
            </w:r>
          </w:p>
        </w:tc>
        <w:tc>
          <w:tcPr>
            <w:tcW w:w="2551" w:type="dxa"/>
            <w:vAlign w:val="center"/>
          </w:tcPr>
          <w:p w14:paraId="56FEBB4B">
            <w:pPr>
              <w:pStyle w:val="10"/>
            </w:pPr>
            <w:r>
              <w:t>3</w:t>
            </w:r>
          </w:p>
        </w:tc>
        <w:tc>
          <w:tcPr>
            <w:tcW w:w="2551" w:type="dxa"/>
            <w:vAlign w:val="center"/>
          </w:tcPr>
          <w:p w14:paraId="5498120A">
            <w:pPr>
              <w:pStyle w:val="10"/>
            </w:pPr>
            <w:r>
              <w:t>4</w:t>
            </w:r>
          </w:p>
        </w:tc>
        <w:tc>
          <w:tcPr>
            <w:tcW w:w="2551" w:type="dxa"/>
            <w:vAlign w:val="center"/>
          </w:tcPr>
          <w:p w14:paraId="7D9DD3EB">
            <w:pPr>
              <w:pStyle w:val="10"/>
            </w:pPr>
            <w:r>
              <w:t>5</w:t>
            </w:r>
          </w:p>
        </w:tc>
      </w:tr>
      <w:tr w14:paraId="47E5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E357">
            <w:pPr>
              <w:pStyle w:val="13"/>
            </w:pPr>
            <w:r>
              <w:t>1</w:t>
            </w:r>
          </w:p>
        </w:tc>
        <w:tc>
          <w:tcPr>
            <w:tcW w:w="1191" w:type="dxa"/>
            <w:vAlign w:val="center"/>
          </w:tcPr>
          <w:p w14:paraId="64C401E8">
            <w:pPr>
              <w:pStyle w:val="16"/>
            </w:pPr>
          </w:p>
        </w:tc>
        <w:tc>
          <w:tcPr>
            <w:tcW w:w="4535" w:type="dxa"/>
            <w:vAlign w:val="center"/>
          </w:tcPr>
          <w:p w14:paraId="73F8387B">
            <w:pPr>
              <w:pStyle w:val="14"/>
            </w:pPr>
            <w:r>
              <w:t>合计</w:t>
            </w:r>
          </w:p>
        </w:tc>
        <w:tc>
          <w:tcPr>
            <w:tcW w:w="2551" w:type="dxa"/>
            <w:vAlign w:val="center"/>
          </w:tcPr>
          <w:p w14:paraId="1A4614D2">
            <w:pPr>
              <w:pStyle w:val="15"/>
            </w:pPr>
            <w:r>
              <w:t>211.68</w:t>
            </w:r>
          </w:p>
        </w:tc>
        <w:tc>
          <w:tcPr>
            <w:tcW w:w="2551" w:type="dxa"/>
            <w:vAlign w:val="center"/>
          </w:tcPr>
          <w:p w14:paraId="6F06CA89">
            <w:pPr>
              <w:pStyle w:val="15"/>
            </w:pPr>
            <w:r>
              <w:t>211.68</w:t>
            </w:r>
          </w:p>
        </w:tc>
        <w:tc>
          <w:tcPr>
            <w:tcW w:w="2551" w:type="dxa"/>
            <w:vAlign w:val="center"/>
          </w:tcPr>
          <w:p w14:paraId="76ED63D5">
            <w:pPr>
              <w:pStyle w:val="15"/>
            </w:pPr>
          </w:p>
        </w:tc>
      </w:tr>
      <w:tr w14:paraId="6BBD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E1A5">
            <w:pPr>
              <w:pStyle w:val="13"/>
            </w:pPr>
            <w:r>
              <w:t>2</w:t>
            </w:r>
          </w:p>
        </w:tc>
        <w:tc>
          <w:tcPr>
            <w:tcW w:w="1191" w:type="dxa"/>
            <w:vAlign w:val="center"/>
          </w:tcPr>
          <w:p w14:paraId="68D0A4DB">
            <w:pPr>
              <w:pStyle w:val="12"/>
            </w:pPr>
            <w:r>
              <w:t>301</w:t>
            </w:r>
          </w:p>
        </w:tc>
        <w:tc>
          <w:tcPr>
            <w:tcW w:w="4535" w:type="dxa"/>
            <w:vAlign w:val="center"/>
          </w:tcPr>
          <w:p w14:paraId="294AA52C">
            <w:pPr>
              <w:pStyle w:val="12"/>
            </w:pPr>
            <w:r>
              <w:t>工资福利支出</w:t>
            </w:r>
          </w:p>
        </w:tc>
        <w:tc>
          <w:tcPr>
            <w:tcW w:w="2551" w:type="dxa"/>
            <w:vAlign w:val="center"/>
          </w:tcPr>
          <w:p w14:paraId="176717C5">
            <w:pPr>
              <w:pStyle w:val="11"/>
            </w:pPr>
            <w:r>
              <w:t>211.68</w:t>
            </w:r>
          </w:p>
        </w:tc>
        <w:tc>
          <w:tcPr>
            <w:tcW w:w="2551" w:type="dxa"/>
            <w:vAlign w:val="center"/>
          </w:tcPr>
          <w:p w14:paraId="2CE574D3">
            <w:pPr>
              <w:pStyle w:val="11"/>
            </w:pPr>
            <w:r>
              <w:t>211.68</w:t>
            </w:r>
          </w:p>
        </w:tc>
        <w:tc>
          <w:tcPr>
            <w:tcW w:w="2551" w:type="dxa"/>
            <w:vAlign w:val="center"/>
          </w:tcPr>
          <w:p w14:paraId="7F337BA3">
            <w:pPr>
              <w:pStyle w:val="11"/>
            </w:pPr>
          </w:p>
        </w:tc>
      </w:tr>
      <w:tr w14:paraId="0077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64A8F">
            <w:pPr>
              <w:pStyle w:val="13"/>
            </w:pPr>
            <w:r>
              <w:t>3</w:t>
            </w:r>
          </w:p>
        </w:tc>
        <w:tc>
          <w:tcPr>
            <w:tcW w:w="1191" w:type="dxa"/>
            <w:vAlign w:val="center"/>
          </w:tcPr>
          <w:p w14:paraId="3D5CEA9A">
            <w:pPr>
              <w:pStyle w:val="12"/>
            </w:pPr>
            <w:r>
              <w:t>30101</w:t>
            </w:r>
          </w:p>
        </w:tc>
        <w:tc>
          <w:tcPr>
            <w:tcW w:w="4535" w:type="dxa"/>
            <w:vAlign w:val="center"/>
          </w:tcPr>
          <w:p w14:paraId="1C87B9B0">
            <w:pPr>
              <w:pStyle w:val="12"/>
            </w:pPr>
            <w:r>
              <w:t>基本工资</w:t>
            </w:r>
          </w:p>
        </w:tc>
        <w:tc>
          <w:tcPr>
            <w:tcW w:w="2551" w:type="dxa"/>
            <w:vAlign w:val="center"/>
          </w:tcPr>
          <w:p w14:paraId="21D0047D">
            <w:pPr>
              <w:pStyle w:val="11"/>
            </w:pPr>
            <w:r>
              <w:t>86.55</w:t>
            </w:r>
          </w:p>
        </w:tc>
        <w:tc>
          <w:tcPr>
            <w:tcW w:w="2551" w:type="dxa"/>
            <w:vAlign w:val="center"/>
          </w:tcPr>
          <w:p w14:paraId="50D2FCF6">
            <w:pPr>
              <w:pStyle w:val="11"/>
            </w:pPr>
            <w:r>
              <w:t>86.55</w:t>
            </w:r>
          </w:p>
        </w:tc>
        <w:tc>
          <w:tcPr>
            <w:tcW w:w="2551" w:type="dxa"/>
            <w:vAlign w:val="center"/>
          </w:tcPr>
          <w:p w14:paraId="2433173F">
            <w:pPr>
              <w:pStyle w:val="11"/>
            </w:pPr>
          </w:p>
        </w:tc>
      </w:tr>
      <w:tr w14:paraId="6A2D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5084C">
            <w:pPr>
              <w:pStyle w:val="13"/>
            </w:pPr>
            <w:r>
              <w:t>4</w:t>
            </w:r>
          </w:p>
        </w:tc>
        <w:tc>
          <w:tcPr>
            <w:tcW w:w="1191" w:type="dxa"/>
            <w:vAlign w:val="center"/>
          </w:tcPr>
          <w:p w14:paraId="7F0A29F9">
            <w:pPr>
              <w:pStyle w:val="12"/>
            </w:pPr>
            <w:r>
              <w:t>30102</w:t>
            </w:r>
          </w:p>
        </w:tc>
        <w:tc>
          <w:tcPr>
            <w:tcW w:w="4535" w:type="dxa"/>
            <w:vAlign w:val="center"/>
          </w:tcPr>
          <w:p w14:paraId="77C4F388">
            <w:pPr>
              <w:pStyle w:val="12"/>
            </w:pPr>
            <w:r>
              <w:t>津贴补贴</w:t>
            </w:r>
          </w:p>
        </w:tc>
        <w:tc>
          <w:tcPr>
            <w:tcW w:w="2551" w:type="dxa"/>
            <w:vAlign w:val="center"/>
          </w:tcPr>
          <w:p w14:paraId="06E5ECB0">
            <w:pPr>
              <w:pStyle w:val="11"/>
            </w:pPr>
            <w:r>
              <w:t>4.11</w:t>
            </w:r>
          </w:p>
        </w:tc>
        <w:tc>
          <w:tcPr>
            <w:tcW w:w="2551" w:type="dxa"/>
            <w:vAlign w:val="center"/>
          </w:tcPr>
          <w:p w14:paraId="5A4EC69C">
            <w:pPr>
              <w:pStyle w:val="11"/>
            </w:pPr>
            <w:r>
              <w:t>4.11</w:t>
            </w:r>
          </w:p>
        </w:tc>
        <w:tc>
          <w:tcPr>
            <w:tcW w:w="2551" w:type="dxa"/>
            <w:vAlign w:val="center"/>
          </w:tcPr>
          <w:p w14:paraId="0CC528DF">
            <w:pPr>
              <w:pStyle w:val="11"/>
            </w:pPr>
          </w:p>
        </w:tc>
      </w:tr>
      <w:tr w14:paraId="2A7D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4DB5">
            <w:pPr>
              <w:pStyle w:val="13"/>
            </w:pPr>
            <w:r>
              <w:t>5</w:t>
            </w:r>
          </w:p>
        </w:tc>
        <w:tc>
          <w:tcPr>
            <w:tcW w:w="1191" w:type="dxa"/>
            <w:vAlign w:val="center"/>
          </w:tcPr>
          <w:p w14:paraId="68D66B94">
            <w:pPr>
              <w:pStyle w:val="12"/>
            </w:pPr>
            <w:r>
              <w:t>30107</w:t>
            </w:r>
          </w:p>
        </w:tc>
        <w:tc>
          <w:tcPr>
            <w:tcW w:w="4535" w:type="dxa"/>
            <w:vAlign w:val="center"/>
          </w:tcPr>
          <w:p w14:paraId="2723A447">
            <w:pPr>
              <w:pStyle w:val="12"/>
            </w:pPr>
            <w:r>
              <w:t>绩效工资</w:t>
            </w:r>
          </w:p>
        </w:tc>
        <w:tc>
          <w:tcPr>
            <w:tcW w:w="2551" w:type="dxa"/>
            <w:vAlign w:val="center"/>
          </w:tcPr>
          <w:p w14:paraId="5A3207A5">
            <w:pPr>
              <w:pStyle w:val="11"/>
            </w:pPr>
            <w:r>
              <w:t>68.19</w:t>
            </w:r>
          </w:p>
        </w:tc>
        <w:tc>
          <w:tcPr>
            <w:tcW w:w="2551" w:type="dxa"/>
            <w:vAlign w:val="center"/>
          </w:tcPr>
          <w:p w14:paraId="28705632">
            <w:pPr>
              <w:pStyle w:val="11"/>
            </w:pPr>
            <w:r>
              <w:t>68.19</w:t>
            </w:r>
          </w:p>
        </w:tc>
        <w:tc>
          <w:tcPr>
            <w:tcW w:w="2551" w:type="dxa"/>
            <w:vAlign w:val="center"/>
          </w:tcPr>
          <w:p w14:paraId="313A3694">
            <w:pPr>
              <w:pStyle w:val="11"/>
            </w:pPr>
          </w:p>
        </w:tc>
      </w:tr>
      <w:tr w14:paraId="708B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F0B3">
            <w:pPr>
              <w:pStyle w:val="13"/>
            </w:pPr>
            <w:r>
              <w:t>6</w:t>
            </w:r>
          </w:p>
        </w:tc>
        <w:tc>
          <w:tcPr>
            <w:tcW w:w="1191" w:type="dxa"/>
            <w:vAlign w:val="center"/>
          </w:tcPr>
          <w:p w14:paraId="32417069">
            <w:pPr>
              <w:pStyle w:val="12"/>
            </w:pPr>
            <w:r>
              <w:t>30108</w:t>
            </w:r>
          </w:p>
        </w:tc>
        <w:tc>
          <w:tcPr>
            <w:tcW w:w="4535" w:type="dxa"/>
            <w:vAlign w:val="center"/>
          </w:tcPr>
          <w:p w14:paraId="080A21A4">
            <w:pPr>
              <w:pStyle w:val="12"/>
            </w:pPr>
            <w:r>
              <w:t>机关事业单位基本养老保险缴费</w:t>
            </w:r>
          </w:p>
        </w:tc>
        <w:tc>
          <w:tcPr>
            <w:tcW w:w="2551" w:type="dxa"/>
            <w:vAlign w:val="center"/>
          </w:tcPr>
          <w:p w14:paraId="33D13A80">
            <w:pPr>
              <w:pStyle w:val="11"/>
            </w:pPr>
            <w:r>
              <w:t>22.48</w:t>
            </w:r>
          </w:p>
        </w:tc>
        <w:tc>
          <w:tcPr>
            <w:tcW w:w="2551" w:type="dxa"/>
            <w:vAlign w:val="center"/>
          </w:tcPr>
          <w:p w14:paraId="436640E0">
            <w:pPr>
              <w:pStyle w:val="11"/>
            </w:pPr>
            <w:r>
              <w:t>22.48</w:t>
            </w:r>
          </w:p>
        </w:tc>
        <w:tc>
          <w:tcPr>
            <w:tcW w:w="2551" w:type="dxa"/>
            <w:vAlign w:val="center"/>
          </w:tcPr>
          <w:p w14:paraId="522C4D61">
            <w:pPr>
              <w:pStyle w:val="11"/>
            </w:pPr>
          </w:p>
        </w:tc>
      </w:tr>
      <w:tr w14:paraId="2EF9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A8A5">
            <w:pPr>
              <w:pStyle w:val="13"/>
            </w:pPr>
            <w:r>
              <w:t>7</w:t>
            </w:r>
          </w:p>
        </w:tc>
        <w:tc>
          <w:tcPr>
            <w:tcW w:w="1191" w:type="dxa"/>
            <w:vAlign w:val="center"/>
          </w:tcPr>
          <w:p w14:paraId="6692F541">
            <w:pPr>
              <w:pStyle w:val="12"/>
            </w:pPr>
            <w:r>
              <w:t>30110</w:t>
            </w:r>
          </w:p>
        </w:tc>
        <w:tc>
          <w:tcPr>
            <w:tcW w:w="4535" w:type="dxa"/>
            <w:vAlign w:val="center"/>
          </w:tcPr>
          <w:p w14:paraId="5F9D942E">
            <w:pPr>
              <w:pStyle w:val="12"/>
            </w:pPr>
            <w:r>
              <w:t>职工基本医疗保险缴费</w:t>
            </w:r>
          </w:p>
        </w:tc>
        <w:tc>
          <w:tcPr>
            <w:tcW w:w="2551" w:type="dxa"/>
            <w:vAlign w:val="center"/>
          </w:tcPr>
          <w:p w14:paraId="1C97D18A">
            <w:pPr>
              <w:pStyle w:val="11"/>
            </w:pPr>
            <w:r>
              <w:t>13.00</w:t>
            </w:r>
          </w:p>
        </w:tc>
        <w:tc>
          <w:tcPr>
            <w:tcW w:w="2551" w:type="dxa"/>
            <w:vAlign w:val="center"/>
          </w:tcPr>
          <w:p w14:paraId="0784925D">
            <w:pPr>
              <w:pStyle w:val="11"/>
            </w:pPr>
            <w:r>
              <w:t>13.00</w:t>
            </w:r>
          </w:p>
        </w:tc>
        <w:tc>
          <w:tcPr>
            <w:tcW w:w="2551" w:type="dxa"/>
            <w:vAlign w:val="center"/>
          </w:tcPr>
          <w:p w14:paraId="650FC800">
            <w:pPr>
              <w:pStyle w:val="11"/>
            </w:pPr>
          </w:p>
        </w:tc>
      </w:tr>
      <w:tr w14:paraId="7755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59CA">
            <w:pPr>
              <w:pStyle w:val="13"/>
            </w:pPr>
            <w:r>
              <w:t>8</w:t>
            </w:r>
          </w:p>
        </w:tc>
        <w:tc>
          <w:tcPr>
            <w:tcW w:w="1191" w:type="dxa"/>
            <w:vAlign w:val="center"/>
          </w:tcPr>
          <w:p w14:paraId="2D18C268">
            <w:pPr>
              <w:pStyle w:val="12"/>
            </w:pPr>
            <w:r>
              <w:t>30112</w:t>
            </w:r>
          </w:p>
        </w:tc>
        <w:tc>
          <w:tcPr>
            <w:tcW w:w="4535" w:type="dxa"/>
            <w:vAlign w:val="center"/>
          </w:tcPr>
          <w:p w14:paraId="16C60F0C">
            <w:pPr>
              <w:pStyle w:val="12"/>
            </w:pPr>
            <w:r>
              <w:t>其他社会保障缴费</w:t>
            </w:r>
          </w:p>
        </w:tc>
        <w:tc>
          <w:tcPr>
            <w:tcW w:w="2551" w:type="dxa"/>
            <w:vAlign w:val="center"/>
          </w:tcPr>
          <w:p w14:paraId="6525F8C8">
            <w:pPr>
              <w:pStyle w:val="11"/>
            </w:pPr>
            <w:r>
              <w:t>0.96</w:t>
            </w:r>
          </w:p>
        </w:tc>
        <w:tc>
          <w:tcPr>
            <w:tcW w:w="2551" w:type="dxa"/>
            <w:vAlign w:val="center"/>
          </w:tcPr>
          <w:p w14:paraId="489E2F88">
            <w:pPr>
              <w:pStyle w:val="11"/>
            </w:pPr>
            <w:r>
              <w:t>0.96</w:t>
            </w:r>
          </w:p>
        </w:tc>
        <w:tc>
          <w:tcPr>
            <w:tcW w:w="2551" w:type="dxa"/>
            <w:vAlign w:val="center"/>
          </w:tcPr>
          <w:p w14:paraId="071C1167">
            <w:pPr>
              <w:pStyle w:val="11"/>
            </w:pPr>
          </w:p>
        </w:tc>
      </w:tr>
      <w:tr w14:paraId="6AC9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860BE">
            <w:pPr>
              <w:pStyle w:val="13"/>
            </w:pPr>
            <w:r>
              <w:t>9</w:t>
            </w:r>
          </w:p>
        </w:tc>
        <w:tc>
          <w:tcPr>
            <w:tcW w:w="1191" w:type="dxa"/>
            <w:vAlign w:val="center"/>
          </w:tcPr>
          <w:p w14:paraId="108E1CFB">
            <w:pPr>
              <w:pStyle w:val="12"/>
            </w:pPr>
            <w:r>
              <w:t>30113</w:t>
            </w:r>
          </w:p>
        </w:tc>
        <w:tc>
          <w:tcPr>
            <w:tcW w:w="4535" w:type="dxa"/>
            <w:vAlign w:val="center"/>
          </w:tcPr>
          <w:p w14:paraId="5E8340E4">
            <w:pPr>
              <w:pStyle w:val="12"/>
            </w:pPr>
            <w:r>
              <w:t>住房公积金</w:t>
            </w:r>
          </w:p>
        </w:tc>
        <w:tc>
          <w:tcPr>
            <w:tcW w:w="2551" w:type="dxa"/>
            <w:vAlign w:val="center"/>
          </w:tcPr>
          <w:p w14:paraId="55E9E92A">
            <w:pPr>
              <w:pStyle w:val="11"/>
            </w:pPr>
            <w:r>
              <w:t>16.39</w:t>
            </w:r>
          </w:p>
        </w:tc>
        <w:tc>
          <w:tcPr>
            <w:tcW w:w="2551" w:type="dxa"/>
            <w:vAlign w:val="center"/>
          </w:tcPr>
          <w:p w14:paraId="6BD2A38C">
            <w:pPr>
              <w:pStyle w:val="11"/>
            </w:pPr>
            <w:r>
              <w:t>16.39</w:t>
            </w:r>
          </w:p>
        </w:tc>
        <w:tc>
          <w:tcPr>
            <w:tcW w:w="2551" w:type="dxa"/>
            <w:vAlign w:val="center"/>
          </w:tcPr>
          <w:p w14:paraId="4E7CC316">
            <w:pPr>
              <w:pStyle w:val="11"/>
            </w:pPr>
          </w:p>
        </w:tc>
      </w:tr>
    </w:tbl>
    <w:p w14:paraId="13E56D56">
      <w:pPr>
        <w:sectPr>
          <w:pgSz w:w="16840" w:h="11900" w:orient="landscape"/>
          <w:pgMar w:top="1361" w:right="1020" w:bottom="1134" w:left="1020" w:header="720" w:footer="720" w:gutter="0"/>
          <w:cols w:space="720" w:num="1"/>
        </w:sectPr>
      </w:pPr>
    </w:p>
    <w:p w14:paraId="566BF4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50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8493D6">
            <w:pPr>
              <w:pStyle w:val="9"/>
            </w:pPr>
            <w:r>
              <w:t>360035隆尧县唐尧街幼儿园</w:t>
            </w:r>
          </w:p>
        </w:tc>
        <w:tc>
          <w:tcPr>
            <w:tcW w:w="2551" w:type="dxa"/>
            <w:tcBorders>
              <w:top w:val="single" w:color="FFFFFF" w:sz="6" w:space="0"/>
              <w:left w:val="single" w:color="FFFFFF" w:sz="6" w:space="0"/>
              <w:right w:val="single" w:color="FFFFFF" w:sz="6" w:space="0"/>
            </w:tcBorders>
            <w:vAlign w:val="center"/>
          </w:tcPr>
          <w:p w14:paraId="51D5B2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69CC96">
            <w:pPr>
              <w:pStyle w:val="7"/>
            </w:pPr>
            <w:r>
              <w:t>单位：万元</w:t>
            </w:r>
          </w:p>
        </w:tc>
      </w:tr>
      <w:tr w14:paraId="6BD3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FF8F9">
            <w:pPr>
              <w:pStyle w:val="10"/>
            </w:pPr>
            <w:r>
              <w:t>序号</w:t>
            </w:r>
          </w:p>
        </w:tc>
        <w:tc>
          <w:tcPr>
            <w:tcW w:w="5726" w:type="dxa"/>
            <w:gridSpan w:val="2"/>
            <w:vAlign w:val="center"/>
          </w:tcPr>
          <w:p w14:paraId="294043D4">
            <w:pPr>
              <w:pStyle w:val="10"/>
            </w:pPr>
            <w:r>
              <w:t>功能分类科目</w:t>
            </w:r>
          </w:p>
        </w:tc>
        <w:tc>
          <w:tcPr>
            <w:tcW w:w="2551" w:type="dxa"/>
            <w:vMerge w:val="restart"/>
            <w:vAlign w:val="center"/>
          </w:tcPr>
          <w:p w14:paraId="27A3C60D">
            <w:pPr>
              <w:pStyle w:val="10"/>
            </w:pPr>
            <w:r>
              <w:t>合计</w:t>
            </w:r>
          </w:p>
        </w:tc>
        <w:tc>
          <w:tcPr>
            <w:tcW w:w="2551" w:type="dxa"/>
            <w:vMerge w:val="restart"/>
            <w:vAlign w:val="center"/>
          </w:tcPr>
          <w:p w14:paraId="2EE8A170">
            <w:pPr>
              <w:pStyle w:val="10"/>
            </w:pPr>
            <w:r>
              <w:t>基本支出</w:t>
            </w:r>
          </w:p>
        </w:tc>
        <w:tc>
          <w:tcPr>
            <w:tcW w:w="2551" w:type="dxa"/>
            <w:vMerge w:val="restart"/>
            <w:vAlign w:val="center"/>
          </w:tcPr>
          <w:p w14:paraId="78759CED">
            <w:pPr>
              <w:pStyle w:val="10"/>
            </w:pPr>
            <w:r>
              <w:t>项目支出</w:t>
            </w:r>
          </w:p>
        </w:tc>
      </w:tr>
      <w:tr w14:paraId="6D37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A1BE9"/>
        </w:tc>
        <w:tc>
          <w:tcPr>
            <w:tcW w:w="1191" w:type="dxa"/>
            <w:vAlign w:val="center"/>
          </w:tcPr>
          <w:p w14:paraId="31E280C7">
            <w:pPr>
              <w:pStyle w:val="10"/>
            </w:pPr>
            <w:r>
              <w:t>科目编码</w:t>
            </w:r>
          </w:p>
        </w:tc>
        <w:tc>
          <w:tcPr>
            <w:tcW w:w="4535" w:type="dxa"/>
            <w:vAlign w:val="center"/>
          </w:tcPr>
          <w:p w14:paraId="0B6A6A05">
            <w:pPr>
              <w:pStyle w:val="10"/>
            </w:pPr>
            <w:r>
              <w:t>科目名称</w:t>
            </w:r>
          </w:p>
        </w:tc>
        <w:tc>
          <w:tcPr>
            <w:tcW w:w="2551" w:type="dxa"/>
            <w:vMerge w:val="continue"/>
          </w:tcPr>
          <w:p w14:paraId="1E686B2B"/>
        </w:tc>
        <w:tc>
          <w:tcPr>
            <w:tcW w:w="2551" w:type="dxa"/>
            <w:vMerge w:val="continue"/>
          </w:tcPr>
          <w:p w14:paraId="49619BE8"/>
        </w:tc>
        <w:tc>
          <w:tcPr>
            <w:tcW w:w="2551" w:type="dxa"/>
            <w:vMerge w:val="continue"/>
          </w:tcPr>
          <w:p w14:paraId="6946A2B0"/>
        </w:tc>
      </w:tr>
      <w:tr w14:paraId="5E2B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292DAD">
            <w:pPr>
              <w:pStyle w:val="10"/>
            </w:pPr>
            <w:r>
              <w:t>栏次</w:t>
            </w:r>
          </w:p>
        </w:tc>
        <w:tc>
          <w:tcPr>
            <w:tcW w:w="1191" w:type="dxa"/>
            <w:vAlign w:val="center"/>
          </w:tcPr>
          <w:p w14:paraId="5B96F057">
            <w:pPr>
              <w:pStyle w:val="10"/>
            </w:pPr>
            <w:r>
              <w:t>1</w:t>
            </w:r>
          </w:p>
        </w:tc>
        <w:tc>
          <w:tcPr>
            <w:tcW w:w="4535" w:type="dxa"/>
            <w:vAlign w:val="center"/>
          </w:tcPr>
          <w:p w14:paraId="3A1C7FAB">
            <w:pPr>
              <w:pStyle w:val="10"/>
            </w:pPr>
            <w:r>
              <w:t>2</w:t>
            </w:r>
          </w:p>
        </w:tc>
        <w:tc>
          <w:tcPr>
            <w:tcW w:w="2551" w:type="dxa"/>
            <w:vAlign w:val="center"/>
          </w:tcPr>
          <w:p w14:paraId="7B520BA4">
            <w:pPr>
              <w:pStyle w:val="10"/>
            </w:pPr>
            <w:r>
              <w:t>3</w:t>
            </w:r>
          </w:p>
        </w:tc>
        <w:tc>
          <w:tcPr>
            <w:tcW w:w="2551" w:type="dxa"/>
            <w:vAlign w:val="center"/>
          </w:tcPr>
          <w:p w14:paraId="389FCBCE">
            <w:pPr>
              <w:pStyle w:val="10"/>
            </w:pPr>
            <w:r>
              <w:t>4</w:t>
            </w:r>
          </w:p>
        </w:tc>
        <w:tc>
          <w:tcPr>
            <w:tcW w:w="2551" w:type="dxa"/>
            <w:vAlign w:val="center"/>
          </w:tcPr>
          <w:p w14:paraId="7A18243A">
            <w:pPr>
              <w:pStyle w:val="10"/>
            </w:pPr>
            <w:r>
              <w:t>5</w:t>
            </w:r>
          </w:p>
        </w:tc>
      </w:tr>
      <w:tr w14:paraId="1983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4482">
            <w:pPr>
              <w:pStyle w:val="13"/>
            </w:pPr>
          </w:p>
        </w:tc>
        <w:tc>
          <w:tcPr>
            <w:tcW w:w="1191" w:type="dxa"/>
            <w:vAlign w:val="center"/>
          </w:tcPr>
          <w:p w14:paraId="3AAE9137">
            <w:pPr>
              <w:pStyle w:val="12"/>
            </w:pPr>
          </w:p>
        </w:tc>
        <w:tc>
          <w:tcPr>
            <w:tcW w:w="4535" w:type="dxa"/>
            <w:vAlign w:val="center"/>
          </w:tcPr>
          <w:p w14:paraId="7BA494C3">
            <w:pPr>
              <w:pStyle w:val="12"/>
            </w:pPr>
          </w:p>
        </w:tc>
        <w:tc>
          <w:tcPr>
            <w:tcW w:w="2551" w:type="dxa"/>
            <w:vAlign w:val="center"/>
          </w:tcPr>
          <w:p w14:paraId="17514A07">
            <w:pPr>
              <w:pStyle w:val="11"/>
            </w:pPr>
          </w:p>
        </w:tc>
        <w:tc>
          <w:tcPr>
            <w:tcW w:w="2551" w:type="dxa"/>
            <w:vAlign w:val="center"/>
          </w:tcPr>
          <w:p w14:paraId="5501F4F9">
            <w:pPr>
              <w:pStyle w:val="11"/>
            </w:pPr>
          </w:p>
        </w:tc>
        <w:tc>
          <w:tcPr>
            <w:tcW w:w="2551" w:type="dxa"/>
            <w:vAlign w:val="center"/>
          </w:tcPr>
          <w:p w14:paraId="463B762C">
            <w:pPr>
              <w:pStyle w:val="11"/>
            </w:pPr>
          </w:p>
        </w:tc>
      </w:tr>
    </w:tbl>
    <w:p w14:paraId="2F6122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B38D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B2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6C2D48">
            <w:pPr>
              <w:pStyle w:val="9"/>
            </w:pPr>
            <w:r>
              <w:t>360035隆尧县唐尧街幼儿园</w:t>
            </w:r>
          </w:p>
        </w:tc>
        <w:tc>
          <w:tcPr>
            <w:tcW w:w="2551" w:type="dxa"/>
            <w:tcBorders>
              <w:top w:val="single" w:color="FFFFFF" w:sz="6" w:space="0"/>
              <w:left w:val="single" w:color="FFFFFF" w:sz="6" w:space="0"/>
              <w:right w:val="single" w:color="FFFFFF" w:sz="6" w:space="0"/>
            </w:tcBorders>
            <w:vAlign w:val="center"/>
          </w:tcPr>
          <w:p w14:paraId="258681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5F2F45">
            <w:pPr>
              <w:pStyle w:val="7"/>
            </w:pPr>
            <w:r>
              <w:t>单位：万元</w:t>
            </w:r>
          </w:p>
        </w:tc>
      </w:tr>
      <w:tr w14:paraId="57E4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0BC369">
            <w:pPr>
              <w:pStyle w:val="10"/>
            </w:pPr>
            <w:r>
              <w:t>序号</w:t>
            </w:r>
          </w:p>
        </w:tc>
        <w:tc>
          <w:tcPr>
            <w:tcW w:w="5726" w:type="dxa"/>
            <w:gridSpan w:val="2"/>
            <w:vAlign w:val="center"/>
          </w:tcPr>
          <w:p w14:paraId="638BB5EE">
            <w:pPr>
              <w:pStyle w:val="10"/>
            </w:pPr>
            <w:r>
              <w:t>功能分类科目</w:t>
            </w:r>
          </w:p>
        </w:tc>
        <w:tc>
          <w:tcPr>
            <w:tcW w:w="2551" w:type="dxa"/>
            <w:vMerge w:val="restart"/>
            <w:vAlign w:val="center"/>
          </w:tcPr>
          <w:p w14:paraId="730DDF10">
            <w:pPr>
              <w:pStyle w:val="10"/>
            </w:pPr>
            <w:r>
              <w:t>合计</w:t>
            </w:r>
          </w:p>
        </w:tc>
        <w:tc>
          <w:tcPr>
            <w:tcW w:w="2551" w:type="dxa"/>
            <w:vMerge w:val="restart"/>
            <w:vAlign w:val="center"/>
          </w:tcPr>
          <w:p w14:paraId="5FE3E5A1">
            <w:pPr>
              <w:pStyle w:val="10"/>
            </w:pPr>
            <w:r>
              <w:t>基本支出</w:t>
            </w:r>
          </w:p>
        </w:tc>
        <w:tc>
          <w:tcPr>
            <w:tcW w:w="2551" w:type="dxa"/>
            <w:vMerge w:val="restart"/>
            <w:vAlign w:val="center"/>
          </w:tcPr>
          <w:p w14:paraId="307E1667">
            <w:pPr>
              <w:pStyle w:val="10"/>
            </w:pPr>
            <w:r>
              <w:t>项目支出</w:t>
            </w:r>
          </w:p>
        </w:tc>
      </w:tr>
      <w:tr w14:paraId="71DD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AB8A7"/>
        </w:tc>
        <w:tc>
          <w:tcPr>
            <w:tcW w:w="1191" w:type="dxa"/>
            <w:vAlign w:val="center"/>
          </w:tcPr>
          <w:p w14:paraId="27CA7924">
            <w:pPr>
              <w:pStyle w:val="10"/>
            </w:pPr>
            <w:r>
              <w:t>科目编码</w:t>
            </w:r>
          </w:p>
        </w:tc>
        <w:tc>
          <w:tcPr>
            <w:tcW w:w="4535" w:type="dxa"/>
            <w:vAlign w:val="center"/>
          </w:tcPr>
          <w:p w14:paraId="31D043D4">
            <w:pPr>
              <w:pStyle w:val="10"/>
            </w:pPr>
            <w:r>
              <w:t>科目名称</w:t>
            </w:r>
          </w:p>
        </w:tc>
        <w:tc>
          <w:tcPr>
            <w:tcW w:w="2551" w:type="dxa"/>
            <w:vMerge w:val="continue"/>
          </w:tcPr>
          <w:p w14:paraId="680CE5EC"/>
        </w:tc>
        <w:tc>
          <w:tcPr>
            <w:tcW w:w="2551" w:type="dxa"/>
            <w:vMerge w:val="continue"/>
          </w:tcPr>
          <w:p w14:paraId="5F25EC59"/>
        </w:tc>
        <w:tc>
          <w:tcPr>
            <w:tcW w:w="2551" w:type="dxa"/>
            <w:vMerge w:val="continue"/>
          </w:tcPr>
          <w:p w14:paraId="2D0C7E46"/>
        </w:tc>
      </w:tr>
      <w:tr w14:paraId="4734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D8BF7">
            <w:pPr>
              <w:pStyle w:val="10"/>
            </w:pPr>
            <w:r>
              <w:t>栏次</w:t>
            </w:r>
          </w:p>
        </w:tc>
        <w:tc>
          <w:tcPr>
            <w:tcW w:w="1191" w:type="dxa"/>
            <w:vAlign w:val="center"/>
          </w:tcPr>
          <w:p w14:paraId="4A52DD6C">
            <w:pPr>
              <w:pStyle w:val="10"/>
            </w:pPr>
            <w:r>
              <w:t>1</w:t>
            </w:r>
          </w:p>
        </w:tc>
        <w:tc>
          <w:tcPr>
            <w:tcW w:w="4535" w:type="dxa"/>
            <w:vAlign w:val="center"/>
          </w:tcPr>
          <w:p w14:paraId="423746D5">
            <w:pPr>
              <w:pStyle w:val="10"/>
            </w:pPr>
            <w:r>
              <w:t>2</w:t>
            </w:r>
          </w:p>
        </w:tc>
        <w:tc>
          <w:tcPr>
            <w:tcW w:w="2551" w:type="dxa"/>
            <w:vAlign w:val="center"/>
          </w:tcPr>
          <w:p w14:paraId="0A583777">
            <w:pPr>
              <w:pStyle w:val="10"/>
            </w:pPr>
            <w:r>
              <w:t>3</w:t>
            </w:r>
          </w:p>
        </w:tc>
        <w:tc>
          <w:tcPr>
            <w:tcW w:w="2551" w:type="dxa"/>
            <w:vAlign w:val="center"/>
          </w:tcPr>
          <w:p w14:paraId="0B57E153">
            <w:pPr>
              <w:pStyle w:val="10"/>
            </w:pPr>
            <w:r>
              <w:t>4</w:t>
            </w:r>
          </w:p>
        </w:tc>
        <w:tc>
          <w:tcPr>
            <w:tcW w:w="2551" w:type="dxa"/>
            <w:vAlign w:val="center"/>
          </w:tcPr>
          <w:p w14:paraId="560F3775">
            <w:pPr>
              <w:pStyle w:val="10"/>
            </w:pPr>
            <w:r>
              <w:t>5</w:t>
            </w:r>
          </w:p>
        </w:tc>
      </w:tr>
      <w:tr w14:paraId="70C5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A8551">
            <w:pPr>
              <w:pStyle w:val="13"/>
            </w:pPr>
          </w:p>
        </w:tc>
        <w:tc>
          <w:tcPr>
            <w:tcW w:w="1191" w:type="dxa"/>
            <w:vAlign w:val="center"/>
          </w:tcPr>
          <w:p w14:paraId="6E15E887">
            <w:pPr>
              <w:pStyle w:val="12"/>
            </w:pPr>
          </w:p>
        </w:tc>
        <w:tc>
          <w:tcPr>
            <w:tcW w:w="4535" w:type="dxa"/>
            <w:vAlign w:val="center"/>
          </w:tcPr>
          <w:p w14:paraId="70123500">
            <w:pPr>
              <w:pStyle w:val="12"/>
            </w:pPr>
          </w:p>
        </w:tc>
        <w:tc>
          <w:tcPr>
            <w:tcW w:w="2551" w:type="dxa"/>
            <w:vAlign w:val="center"/>
          </w:tcPr>
          <w:p w14:paraId="401DC90D">
            <w:pPr>
              <w:pStyle w:val="11"/>
            </w:pPr>
          </w:p>
        </w:tc>
        <w:tc>
          <w:tcPr>
            <w:tcW w:w="2551" w:type="dxa"/>
            <w:vAlign w:val="center"/>
          </w:tcPr>
          <w:p w14:paraId="2059C194">
            <w:pPr>
              <w:pStyle w:val="11"/>
            </w:pPr>
          </w:p>
        </w:tc>
        <w:tc>
          <w:tcPr>
            <w:tcW w:w="2551" w:type="dxa"/>
            <w:vAlign w:val="center"/>
          </w:tcPr>
          <w:p w14:paraId="579F0E6B">
            <w:pPr>
              <w:pStyle w:val="11"/>
            </w:pPr>
          </w:p>
        </w:tc>
      </w:tr>
    </w:tbl>
    <w:p w14:paraId="2C0615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35BB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E9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177D7AA">
            <w:pPr>
              <w:pStyle w:val="9"/>
            </w:pPr>
            <w:r>
              <w:t>360035隆尧县唐尧街幼儿园</w:t>
            </w:r>
          </w:p>
        </w:tc>
        <w:tc>
          <w:tcPr>
            <w:tcW w:w="2381" w:type="dxa"/>
            <w:tcBorders>
              <w:top w:val="single" w:color="FFFFFF" w:sz="6" w:space="0"/>
              <w:left w:val="single" w:color="FFFFFF" w:sz="6" w:space="0"/>
              <w:right w:val="single" w:color="FFFFFF" w:sz="6" w:space="0"/>
            </w:tcBorders>
            <w:vAlign w:val="center"/>
          </w:tcPr>
          <w:p w14:paraId="5878F0B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C5951C2">
            <w:pPr>
              <w:pStyle w:val="7"/>
            </w:pPr>
            <w:r>
              <w:t>单位：万元</w:t>
            </w:r>
          </w:p>
        </w:tc>
      </w:tr>
      <w:tr w14:paraId="6123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3FD5BA">
            <w:pPr>
              <w:pStyle w:val="10"/>
            </w:pPr>
            <w:r>
              <w:t>序号</w:t>
            </w:r>
          </w:p>
        </w:tc>
        <w:tc>
          <w:tcPr>
            <w:tcW w:w="3798" w:type="dxa"/>
            <w:vMerge w:val="restart"/>
            <w:vAlign w:val="center"/>
          </w:tcPr>
          <w:p w14:paraId="526DEF00">
            <w:pPr>
              <w:pStyle w:val="10"/>
            </w:pPr>
            <w:r>
              <w:t>项  目</w:t>
            </w:r>
          </w:p>
        </w:tc>
        <w:tc>
          <w:tcPr>
            <w:tcW w:w="9524" w:type="dxa"/>
            <w:gridSpan w:val="4"/>
            <w:vAlign w:val="center"/>
          </w:tcPr>
          <w:p w14:paraId="39F6C63D">
            <w:pPr>
              <w:pStyle w:val="10"/>
            </w:pPr>
            <w:r>
              <w:t>资 金 性 质</w:t>
            </w:r>
          </w:p>
        </w:tc>
      </w:tr>
      <w:tr w14:paraId="2BB3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45376F"/>
        </w:tc>
        <w:tc>
          <w:tcPr>
            <w:tcW w:w="3798" w:type="dxa"/>
            <w:vMerge w:val="continue"/>
          </w:tcPr>
          <w:p w14:paraId="6FA09E45"/>
        </w:tc>
        <w:tc>
          <w:tcPr>
            <w:tcW w:w="2381" w:type="dxa"/>
            <w:vAlign w:val="center"/>
          </w:tcPr>
          <w:p w14:paraId="40737911">
            <w:pPr>
              <w:pStyle w:val="10"/>
            </w:pPr>
            <w:r>
              <w:t>合计</w:t>
            </w:r>
          </w:p>
        </w:tc>
        <w:tc>
          <w:tcPr>
            <w:tcW w:w="2381" w:type="dxa"/>
            <w:vAlign w:val="center"/>
          </w:tcPr>
          <w:p w14:paraId="34D3FC76">
            <w:pPr>
              <w:pStyle w:val="10"/>
            </w:pPr>
            <w:r>
              <w:t>一般公共预算              财政拨款</w:t>
            </w:r>
          </w:p>
        </w:tc>
        <w:tc>
          <w:tcPr>
            <w:tcW w:w="2381" w:type="dxa"/>
            <w:vAlign w:val="center"/>
          </w:tcPr>
          <w:p w14:paraId="690FD6C5">
            <w:pPr>
              <w:pStyle w:val="10"/>
            </w:pPr>
            <w:r>
              <w:t>政府性基金                  预算拨款</w:t>
            </w:r>
          </w:p>
        </w:tc>
        <w:tc>
          <w:tcPr>
            <w:tcW w:w="2381" w:type="dxa"/>
            <w:vAlign w:val="center"/>
          </w:tcPr>
          <w:p w14:paraId="26B536F5">
            <w:pPr>
              <w:pStyle w:val="10"/>
            </w:pPr>
            <w:r>
              <w:t>国有资本经营              预算财政拨款</w:t>
            </w:r>
          </w:p>
        </w:tc>
      </w:tr>
      <w:tr w14:paraId="2A58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4DA024">
            <w:pPr>
              <w:pStyle w:val="10"/>
            </w:pPr>
            <w:r>
              <w:t>栏次</w:t>
            </w:r>
          </w:p>
        </w:tc>
        <w:tc>
          <w:tcPr>
            <w:tcW w:w="3798" w:type="dxa"/>
            <w:vAlign w:val="center"/>
          </w:tcPr>
          <w:p w14:paraId="73CA4FA1">
            <w:pPr>
              <w:pStyle w:val="10"/>
            </w:pPr>
            <w:r>
              <w:t>1</w:t>
            </w:r>
          </w:p>
        </w:tc>
        <w:tc>
          <w:tcPr>
            <w:tcW w:w="2381" w:type="dxa"/>
            <w:vAlign w:val="center"/>
          </w:tcPr>
          <w:p w14:paraId="61481516">
            <w:pPr>
              <w:pStyle w:val="10"/>
            </w:pPr>
            <w:r>
              <w:t>2</w:t>
            </w:r>
          </w:p>
        </w:tc>
        <w:tc>
          <w:tcPr>
            <w:tcW w:w="2381" w:type="dxa"/>
            <w:vAlign w:val="center"/>
          </w:tcPr>
          <w:p w14:paraId="3C4840B7">
            <w:pPr>
              <w:pStyle w:val="10"/>
            </w:pPr>
            <w:r>
              <w:t>3</w:t>
            </w:r>
          </w:p>
        </w:tc>
        <w:tc>
          <w:tcPr>
            <w:tcW w:w="2381" w:type="dxa"/>
            <w:vAlign w:val="center"/>
          </w:tcPr>
          <w:p w14:paraId="16611270">
            <w:pPr>
              <w:pStyle w:val="10"/>
            </w:pPr>
            <w:r>
              <w:t>4</w:t>
            </w:r>
          </w:p>
        </w:tc>
        <w:tc>
          <w:tcPr>
            <w:tcW w:w="2381" w:type="dxa"/>
            <w:vAlign w:val="center"/>
          </w:tcPr>
          <w:p w14:paraId="47FBEEBC">
            <w:pPr>
              <w:pStyle w:val="10"/>
            </w:pPr>
            <w:r>
              <w:t>5</w:t>
            </w:r>
          </w:p>
        </w:tc>
      </w:tr>
      <w:tr w14:paraId="7975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8B8420">
            <w:pPr>
              <w:pStyle w:val="13"/>
            </w:pPr>
          </w:p>
        </w:tc>
        <w:tc>
          <w:tcPr>
            <w:tcW w:w="3798" w:type="dxa"/>
            <w:vAlign w:val="center"/>
          </w:tcPr>
          <w:p w14:paraId="3E339941">
            <w:pPr>
              <w:pStyle w:val="12"/>
            </w:pPr>
          </w:p>
        </w:tc>
        <w:tc>
          <w:tcPr>
            <w:tcW w:w="2381" w:type="dxa"/>
            <w:vAlign w:val="center"/>
          </w:tcPr>
          <w:p w14:paraId="0C6B801A">
            <w:pPr>
              <w:pStyle w:val="11"/>
            </w:pPr>
          </w:p>
        </w:tc>
        <w:tc>
          <w:tcPr>
            <w:tcW w:w="2381" w:type="dxa"/>
            <w:vAlign w:val="center"/>
          </w:tcPr>
          <w:p w14:paraId="6E732412">
            <w:pPr>
              <w:pStyle w:val="11"/>
            </w:pPr>
          </w:p>
        </w:tc>
        <w:tc>
          <w:tcPr>
            <w:tcW w:w="2381" w:type="dxa"/>
            <w:vAlign w:val="center"/>
          </w:tcPr>
          <w:p w14:paraId="78722488">
            <w:pPr>
              <w:pStyle w:val="11"/>
            </w:pPr>
          </w:p>
        </w:tc>
        <w:tc>
          <w:tcPr>
            <w:tcW w:w="2381" w:type="dxa"/>
            <w:vAlign w:val="center"/>
          </w:tcPr>
          <w:p w14:paraId="521F1E18">
            <w:pPr>
              <w:pStyle w:val="11"/>
            </w:pPr>
          </w:p>
        </w:tc>
      </w:tr>
    </w:tbl>
    <w:p w14:paraId="3EFDC17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994E2B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隆尧县唐尧街幼儿园2026</w:t>
      </w:r>
      <w:r>
        <w:rPr>
          <w:rFonts w:hint="eastAsia" w:ascii="方正小标宋_GBK" w:hAnsi="方正小标宋_GBK" w:eastAsia="方正小标宋_GBK" w:cs="方正小标宋_GBK"/>
          <w:b w:val="0"/>
          <w:color w:val="000000"/>
          <w:sz w:val="44"/>
          <w:lang w:eastAsia="zh-CN"/>
        </w:rPr>
        <w:t>年度</w:t>
      </w:r>
      <w:r>
        <w:rPr>
          <w:rFonts w:ascii="方正小标宋_GBK" w:hAnsi="方正小标宋_GBK" w:eastAsia="方正小标宋_GBK" w:cs="方正小标宋_GBK"/>
          <w:b w:val="0"/>
          <w:color w:val="000000"/>
          <w:sz w:val="44"/>
        </w:rPr>
        <w:t>单位预算信息公开情况说明</w:t>
      </w:r>
    </w:p>
    <w:p w14:paraId="163498B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地方预决算公开操作规程》和《关于进一步推进预算公开工作的实施意见》规定，现将隆尧县唐尧街幼儿园2026年单位预算公开如下：</w:t>
      </w:r>
    </w:p>
    <w:p w14:paraId="18692BE3">
      <w:pPr>
        <w:spacing w:before="10" w:after="10" w:line="240" w:lineRule="auto"/>
        <w:ind w:firstLine="640"/>
        <w:jc w:val="left"/>
        <w:outlineLvl w:val="5"/>
      </w:pPr>
      <w:r>
        <w:rPr>
          <w:rFonts w:ascii="黑体" w:hAnsi="黑体" w:eastAsia="黑体" w:cs="黑体"/>
          <w:color w:val="000000"/>
          <w:sz w:val="32"/>
        </w:rPr>
        <w:t>一、单位职责及机构设置情况</w:t>
      </w:r>
    </w:p>
    <w:p w14:paraId="132D5A9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669E57">
      <w:pPr>
        <w:pStyle w:val="17"/>
        <w:rPr>
          <w:rFonts w:hint="eastAsia"/>
        </w:rPr>
      </w:pPr>
      <w:r>
        <w:rPr>
          <w:rFonts w:hint="eastAsia"/>
        </w:rPr>
        <w:t>贯彻落实学前教育的方针、政策，开展学前教育教学工作，以人为本，促进幼儿德、智、体、美、劳全面发展；负责幼儿安全教育和管理，确保幼儿身心健康；加强教师队伍建设和管理，为教育教学工作提供保障。</w:t>
      </w:r>
    </w:p>
    <w:p w14:paraId="4A54F3E7">
      <w:pPr>
        <w:pStyle w:val="17"/>
      </w:pPr>
      <w:r>
        <w:rPr>
          <w:rFonts w:hint="eastAsia"/>
        </w:rPr>
        <w:t>隆尧县唐尧街幼儿园事业编制27人，其中，园长1名（正股级），副园长1名（副股级）；经费形式为财政性资金基本保证。</w:t>
      </w:r>
    </w:p>
    <w:p w14:paraId="2C3D76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19E2F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40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13EF2E">
            <w:pPr>
              <w:pStyle w:val="10"/>
            </w:pPr>
            <w:r>
              <w:t>单位名称</w:t>
            </w:r>
          </w:p>
        </w:tc>
        <w:tc>
          <w:tcPr>
            <w:tcW w:w="1843" w:type="dxa"/>
            <w:vAlign w:val="center"/>
          </w:tcPr>
          <w:p w14:paraId="73BA7B32">
            <w:pPr>
              <w:pStyle w:val="10"/>
            </w:pPr>
            <w:r>
              <w:t>单位性质</w:t>
            </w:r>
          </w:p>
        </w:tc>
        <w:tc>
          <w:tcPr>
            <w:tcW w:w="2126" w:type="dxa"/>
            <w:vAlign w:val="center"/>
          </w:tcPr>
          <w:p w14:paraId="21FC52BF">
            <w:pPr>
              <w:pStyle w:val="10"/>
            </w:pPr>
            <w:r>
              <w:t>单位规格</w:t>
            </w:r>
          </w:p>
        </w:tc>
        <w:tc>
          <w:tcPr>
            <w:tcW w:w="3827" w:type="dxa"/>
            <w:vAlign w:val="center"/>
          </w:tcPr>
          <w:p w14:paraId="150A3CC7">
            <w:pPr>
              <w:pStyle w:val="10"/>
            </w:pPr>
            <w:r>
              <w:t>经费保障形式</w:t>
            </w:r>
          </w:p>
        </w:tc>
      </w:tr>
      <w:tr w14:paraId="4FF5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18C871">
            <w:pPr>
              <w:pStyle w:val="12"/>
            </w:pPr>
            <w:r>
              <w:t>隆尧县唐尧街幼儿园</w:t>
            </w:r>
          </w:p>
        </w:tc>
        <w:tc>
          <w:tcPr>
            <w:tcW w:w="1843" w:type="dxa"/>
            <w:vAlign w:val="center"/>
          </w:tcPr>
          <w:p w14:paraId="063737E0">
            <w:pPr>
              <w:pStyle w:val="13"/>
            </w:pPr>
            <w:r>
              <w:t>事业</w:t>
            </w:r>
          </w:p>
        </w:tc>
        <w:tc>
          <w:tcPr>
            <w:tcW w:w="2126" w:type="dxa"/>
            <w:vAlign w:val="center"/>
          </w:tcPr>
          <w:p w14:paraId="37CBA11B">
            <w:pPr>
              <w:pStyle w:val="13"/>
            </w:pPr>
            <w:r>
              <w:t>股级</w:t>
            </w:r>
          </w:p>
        </w:tc>
        <w:tc>
          <w:tcPr>
            <w:tcW w:w="3827" w:type="dxa"/>
            <w:vAlign w:val="center"/>
          </w:tcPr>
          <w:p w14:paraId="0B4970A5">
            <w:pPr>
              <w:pStyle w:val="13"/>
            </w:pPr>
            <w:r>
              <w:t>财政性资金基本保证</w:t>
            </w:r>
          </w:p>
        </w:tc>
      </w:tr>
    </w:tbl>
    <w:p w14:paraId="013F698D">
      <w:pPr>
        <w:spacing w:before="10" w:after="10" w:line="240" w:lineRule="auto"/>
        <w:ind w:firstLine="640"/>
        <w:jc w:val="left"/>
        <w:outlineLvl w:val="5"/>
      </w:pPr>
      <w:r>
        <w:rPr>
          <w:rFonts w:ascii="黑体" w:hAnsi="黑体" w:eastAsia="黑体" w:cs="黑体"/>
          <w:color w:val="000000"/>
          <w:sz w:val="32"/>
        </w:rPr>
        <w:t>二、单位预算安排的总体情况</w:t>
      </w:r>
    </w:p>
    <w:p w14:paraId="15EF61F9">
      <w:pPr>
        <w:pStyle w:val="18"/>
      </w:pPr>
      <w:r>
        <w:t>按照预算管理有关规定，目前我校单位预算的编制实行综合预算管理，即全部收入和支出都反映的预算中。隆尧县唐尧街幼儿园的收支包含在单位预算中。</w:t>
      </w:r>
    </w:p>
    <w:p w14:paraId="2AB4B181">
      <w:pPr>
        <w:pStyle w:val="18"/>
      </w:pPr>
      <w:r>
        <w:t>1、收入说明</w:t>
      </w:r>
    </w:p>
    <w:p w14:paraId="04EAC411">
      <w:pPr>
        <w:pStyle w:val="18"/>
      </w:pPr>
      <w:r>
        <w:t>反映本单位当年全部收入。2026年预算收入325.83万元，其中：一般公共预算收入325.83万元，基金预算收入0万元，基金预算收入0万元，国有资本经营预算收入0万元，财政专户拨收入0万元，单位资金收入0万元，上年结转结余0万元。</w:t>
      </w:r>
    </w:p>
    <w:p w14:paraId="638F65BB">
      <w:pPr>
        <w:pStyle w:val="18"/>
      </w:pPr>
      <w:r>
        <w:t>2、支出说明</w:t>
      </w:r>
    </w:p>
    <w:p w14:paraId="389C5B6C">
      <w:pPr>
        <w:pStyle w:val="18"/>
      </w:pPr>
      <w:r>
        <w:t>收支预算总表支出栏、基本支出表、项目支出表按经济分类和支出功能分类科目编制，反映隆尧县唐尧街幼儿园</w:t>
      </w:r>
      <w:r>
        <w:rPr>
          <w:rFonts w:hint="eastAsia"/>
          <w:lang w:eastAsia="zh-CN"/>
        </w:rPr>
        <w:t>年度</w:t>
      </w:r>
      <w:r>
        <w:t>单位预算中支出预算的总体情况。2026年单位支出预算为325.83万元，其中基本支出211.68万元、项目支出114.15万元。主要为学前教育325.83万元。</w:t>
      </w:r>
    </w:p>
    <w:p w14:paraId="0BB637EB">
      <w:pPr>
        <w:pStyle w:val="18"/>
      </w:pPr>
      <w:r>
        <w:t>3、比上年增减情况</w:t>
      </w:r>
    </w:p>
    <w:p w14:paraId="5EEFD009">
      <w:pPr>
        <w:pStyle w:val="18"/>
      </w:pPr>
      <w:r>
        <w:t>2026年部门预算收支安排325.83万元，较2025年度，增加136.06万元；其中基本支出增加169.58万元，项目支出减少33.52万元。</w:t>
      </w:r>
    </w:p>
    <w:p w14:paraId="1AD10CB2">
      <w:pPr>
        <w:spacing w:before="10" w:after="10" w:line="240" w:lineRule="auto"/>
        <w:ind w:firstLine="640"/>
        <w:jc w:val="left"/>
        <w:outlineLvl w:val="5"/>
      </w:pPr>
      <w:r>
        <w:rPr>
          <w:rFonts w:ascii="黑体" w:hAnsi="黑体" w:eastAsia="黑体" w:cs="黑体"/>
          <w:color w:val="000000"/>
          <w:sz w:val="32"/>
        </w:rPr>
        <w:t>三、机关运行经费安排情况</w:t>
      </w:r>
    </w:p>
    <w:p w14:paraId="4262B92C">
      <w:pPr>
        <w:pStyle w:val="19"/>
      </w:pPr>
      <w:r>
        <w:t>我单位按学生安排公用经费，无机关运行经费。</w:t>
      </w:r>
    </w:p>
    <w:p w14:paraId="294E569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0F6707">
      <w:pPr>
        <w:pStyle w:val="20"/>
      </w:pPr>
      <w:r>
        <w:t>我单位未安排</w:t>
      </w:r>
      <w:r>
        <w:rPr>
          <w:rFonts w:hint="eastAsia"/>
          <w:lang w:eastAsia="zh-CN"/>
        </w:rPr>
        <w:t>“三公”经费</w:t>
      </w:r>
      <w:r>
        <w:t>。</w:t>
      </w:r>
    </w:p>
    <w:p w14:paraId="094482C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C26FBD0">
      <w:pPr>
        <w:spacing w:before="0" w:after="0"/>
        <w:ind w:firstLine="560"/>
        <w:jc w:val="left"/>
        <w:outlineLvl w:val="9"/>
      </w:pPr>
      <w:r>
        <w:rPr>
          <w:rFonts w:ascii="方正仿宋_GBK" w:hAnsi="方正仿宋_GBK" w:eastAsia="方正仿宋_GBK" w:cs="方正仿宋_GBK"/>
          <w:b/>
          <w:color w:val="000000"/>
          <w:sz w:val="28"/>
        </w:rPr>
        <w:t>1、冀财教[2025]122号/中央/2026年学前发展资金/唐尧街幼儿园免保育教育费补助绩效目标表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E8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354C1">
            <w:pPr>
              <w:pStyle w:val="11"/>
            </w:pPr>
            <w:r>
              <w:t>单位：万元</w:t>
            </w:r>
          </w:p>
        </w:tc>
      </w:tr>
      <w:tr w14:paraId="5FFF1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3E760">
            <w:pPr>
              <w:pStyle w:val="10"/>
            </w:pPr>
            <w:r>
              <w:t>项目编码</w:t>
            </w:r>
          </w:p>
        </w:tc>
        <w:tc>
          <w:tcPr>
            <w:tcW w:w="5103" w:type="dxa"/>
            <w:gridSpan w:val="2"/>
            <w:vAlign w:val="center"/>
          </w:tcPr>
          <w:p w14:paraId="1223A11E">
            <w:pPr>
              <w:pStyle w:val="12"/>
            </w:pPr>
            <w:r>
              <w:t>13052526P008769101473</w:t>
            </w:r>
          </w:p>
        </w:tc>
        <w:tc>
          <w:tcPr>
            <w:tcW w:w="2835" w:type="dxa"/>
            <w:vAlign w:val="center"/>
          </w:tcPr>
          <w:p w14:paraId="4D1921D9">
            <w:pPr>
              <w:pStyle w:val="10"/>
            </w:pPr>
            <w:r>
              <w:t>项目名称</w:t>
            </w:r>
          </w:p>
        </w:tc>
        <w:tc>
          <w:tcPr>
            <w:tcW w:w="6095" w:type="dxa"/>
            <w:gridSpan w:val="3"/>
            <w:vAlign w:val="center"/>
          </w:tcPr>
          <w:p w14:paraId="22ADDDEB">
            <w:pPr>
              <w:pStyle w:val="12"/>
            </w:pPr>
            <w:r>
              <w:t>冀财教[2025]122号/中央/2026年学前发展资金/唐尧街幼儿园免保育教育费补助</w:t>
            </w:r>
          </w:p>
        </w:tc>
      </w:tr>
      <w:tr w14:paraId="01B2A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4FC38">
            <w:pPr>
              <w:pStyle w:val="10"/>
            </w:pPr>
            <w:r>
              <w:t>预算规模及资金用途</w:t>
            </w:r>
          </w:p>
        </w:tc>
        <w:tc>
          <w:tcPr>
            <w:tcW w:w="2268" w:type="dxa"/>
            <w:vAlign w:val="center"/>
          </w:tcPr>
          <w:p w14:paraId="12EBB0A4">
            <w:pPr>
              <w:pStyle w:val="10"/>
            </w:pPr>
            <w:r>
              <w:t>预算数</w:t>
            </w:r>
          </w:p>
        </w:tc>
        <w:tc>
          <w:tcPr>
            <w:tcW w:w="2835" w:type="dxa"/>
            <w:vAlign w:val="center"/>
          </w:tcPr>
          <w:p w14:paraId="481EABA7">
            <w:pPr>
              <w:pStyle w:val="12"/>
            </w:pPr>
            <w:r>
              <w:t>1.30</w:t>
            </w:r>
          </w:p>
        </w:tc>
        <w:tc>
          <w:tcPr>
            <w:tcW w:w="2835" w:type="dxa"/>
            <w:vAlign w:val="center"/>
          </w:tcPr>
          <w:p w14:paraId="5346B3C5">
            <w:pPr>
              <w:pStyle w:val="10"/>
            </w:pPr>
            <w:r>
              <w:t>其中：财政    资金</w:t>
            </w:r>
          </w:p>
        </w:tc>
        <w:tc>
          <w:tcPr>
            <w:tcW w:w="2551" w:type="dxa"/>
            <w:vAlign w:val="center"/>
          </w:tcPr>
          <w:p w14:paraId="2F3567CE">
            <w:pPr>
              <w:pStyle w:val="12"/>
            </w:pPr>
            <w:r>
              <w:t>1.30</w:t>
            </w:r>
          </w:p>
        </w:tc>
        <w:tc>
          <w:tcPr>
            <w:tcW w:w="2268" w:type="dxa"/>
            <w:vAlign w:val="center"/>
          </w:tcPr>
          <w:p w14:paraId="30CE6C0B">
            <w:pPr>
              <w:pStyle w:val="10"/>
            </w:pPr>
            <w:r>
              <w:t>其他资金</w:t>
            </w:r>
          </w:p>
        </w:tc>
        <w:tc>
          <w:tcPr>
            <w:tcW w:w="1276" w:type="dxa"/>
            <w:vAlign w:val="center"/>
          </w:tcPr>
          <w:p w14:paraId="3BB45FC4">
            <w:pPr>
              <w:pStyle w:val="12"/>
            </w:pPr>
            <w:r>
              <w:t xml:space="preserve"> </w:t>
            </w:r>
          </w:p>
        </w:tc>
      </w:tr>
      <w:tr w14:paraId="1AEA4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DCB51"/>
        </w:tc>
        <w:tc>
          <w:tcPr>
            <w:tcW w:w="14033" w:type="dxa"/>
            <w:gridSpan w:val="6"/>
            <w:vAlign w:val="center"/>
          </w:tcPr>
          <w:p w14:paraId="5446B6C0">
            <w:pPr>
              <w:pStyle w:val="12"/>
            </w:pPr>
            <w:r>
              <w:t>保障幼儿园正常运转，完成教育教学活动和其他日常工作任务等方面的费用支出。</w:t>
            </w:r>
            <w:r>
              <w:tab/>
            </w:r>
          </w:p>
        </w:tc>
      </w:tr>
      <w:tr w14:paraId="58123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3647D">
            <w:pPr>
              <w:pStyle w:val="10"/>
            </w:pPr>
            <w:r>
              <w:t>资金支出计划（%）</w:t>
            </w:r>
          </w:p>
        </w:tc>
        <w:tc>
          <w:tcPr>
            <w:tcW w:w="5103" w:type="dxa"/>
            <w:gridSpan w:val="2"/>
            <w:vAlign w:val="center"/>
          </w:tcPr>
          <w:p w14:paraId="637C80C8">
            <w:pPr>
              <w:pStyle w:val="10"/>
            </w:pPr>
            <w:r>
              <w:t>3月底</w:t>
            </w:r>
          </w:p>
        </w:tc>
        <w:tc>
          <w:tcPr>
            <w:tcW w:w="2835" w:type="dxa"/>
            <w:vAlign w:val="center"/>
          </w:tcPr>
          <w:p w14:paraId="6F8FB78B">
            <w:pPr>
              <w:pStyle w:val="10"/>
            </w:pPr>
            <w:r>
              <w:t>6月底</w:t>
            </w:r>
          </w:p>
        </w:tc>
        <w:tc>
          <w:tcPr>
            <w:tcW w:w="2551" w:type="dxa"/>
            <w:vAlign w:val="center"/>
          </w:tcPr>
          <w:p w14:paraId="3A50BDC4">
            <w:pPr>
              <w:pStyle w:val="10"/>
            </w:pPr>
            <w:r>
              <w:t>10月底</w:t>
            </w:r>
          </w:p>
        </w:tc>
        <w:tc>
          <w:tcPr>
            <w:tcW w:w="3544" w:type="dxa"/>
            <w:gridSpan w:val="2"/>
            <w:vAlign w:val="center"/>
          </w:tcPr>
          <w:p w14:paraId="26D6361C">
            <w:pPr>
              <w:pStyle w:val="10"/>
            </w:pPr>
            <w:r>
              <w:t>12月底</w:t>
            </w:r>
          </w:p>
        </w:tc>
      </w:tr>
      <w:tr w14:paraId="0595E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BFA9F"/>
        </w:tc>
        <w:tc>
          <w:tcPr>
            <w:tcW w:w="5103" w:type="dxa"/>
            <w:gridSpan w:val="2"/>
            <w:vAlign w:val="center"/>
          </w:tcPr>
          <w:p w14:paraId="1C3914D4">
            <w:pPr>
              <w:pStyle w:val="13"/>
            </w:pPr>
            <w:r>
              <w:t>25%</w:t>
            </w:r>
          </w:p>
        </w:tc>
        <w:tc>
          <w:tcPr>
            <w:tcW w:w="2835" w:type="dxa"/>
            <w:vAlign w:val="center"/>
          </w:tcPr>
          <w:p w14:paraId="7F509A68">
            <w:pPr>
              <w:pStyle w:val="13"/>
            </w:pPr>
            <w:r>
              <w:t>50%</w:t>
            </w:r>
          </w:p>
        </w:tc>
        <w:tc>
          <w:tcPr>
            <w:tcW w:w="2551" w:type="dxa"/>
            <w:vAlign w:val="center"/>
          </w:tcPr>
          <w:p w14:paraId="4270BA83">
            <w:pPr>
              <w:pStyle w:val="13"/>
            </w:pPr>
            <w:r>
              <w:t>75%</w:t>
            </w:r>
          </w:p>
        </w:tc>
        <w:tc>
          <w:tcPr>
            <w:tcW w:w="3544" w:type="dxa"/>
            <w:gridSpan w:val="2"/>
            <w:vAlign w:val="center"/>
          </w:tcPr>
          <w:p w14:paraId="049B88D1">
            <w:pPr>
              <w:pStyle w:val="13"/>
            </w:pPr>
            <w:r>
              <w:t>100%</w:t>
            </w:r>
          </w:p>
        </w:tc>
      </w:tr>
      <w:tr w14:paraId="5DC85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14BC9">
            <w:pPr>
              <w:pStyle w:val="10"/>
            </w:pPr>
            <w:r>
              <w:t>绩效目标</w:t>
            </w:r>
          </w:p>
        </w:tc>
        <w:tc>
          <w:tcPr>
            <w:tcW w:w="14033" w:type="dxa"/>
            <w:gridSpan w:val="6"/>
            <w:vAlign w:val="center"/>
          </w:tcPr>
          <w:p w14:paraId="6D815387">
            <w:pPr>
              <w:pStyle w:val="12"/>
            </w:pPr>
            <w:r>
              <w:t>1.保障幼儿园正常运转，完成教育教学活动和其他日常工作任务等方面的费用支出。</w:t>
            </w:r>
          </w:p>
        </w:tc>
      </w:tr>
    </w:tbl>
    <w:p w14:paraId="18E397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1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4E8D2">
            <w:pPr>
              <w:pStyle w:val="10"/>
            </w:pPr>
            <w:r>
              <w:t>一级指标</w:t>
            </w:r>
          </w:p>
        </w:tc>
        <w:tc>
          <w:tcPr>
            <w:tcW w:w="2268" w:type="dxa"/>
            <w:vAlign w:val="center"/>
          </w:tcPr>
          <w:p w14:paraId="716FC47A">
            <w:pPr>
              <w:pStyle w:val="10"/>
            </w:pPr>
            <w:r>
              <w:t>二级指标</w:t>
            </w:r>
          </w:p>
        </w:tc>
        <w:tc>
          <w:tcPr>
            <w:tcW w:w="2835" w:type="dxa"/>
            <w:vAlign w:val="center"/>
          </w:tcPr>
          <w:p w14:paraId="204C806E">
            <w:pPr>
              <w:pStyle w:val="10"/>
            </w:pPr>
            <w:r>
              <w:t>三级指标</w:t>
            </w:r>
          </w:p>
        </w:tc>
        <w:tc>
          <w:tcPr>
            <w:tcW w:w="5386" w:type="dxa"/>
            <w:vAlign w:val="center"/>
          </w:tcPr>
          <w:p w14:paraId="2089CDC9">
            <w:pPr>
              <w:pStyle w:val="10"/>
            </w:pPr>
            <w:r>
              <w:t>绩效指标描述</w:t>
            </w:r>
          </w:p>
        </w:tc>
        <w:tc>
          <w:tcPr>
            <w:tcW w:w="2268" w:type="dxa"/>
            <w:vAlign w:val="center"/>
          </w:tcPr>
          <w:p w14:paraId="545B3650">
            <w:pPr>
              <w:pStyle w:val="10"/>
            </w:pPr>
            <w:r>
              <w:t>指标值</w:t>
            </w:r>
          </w:p>
        </w:tc>
        <w:tc>
          <w:tcPr>
            <w:tcW w:w="1276" w:type="dxa"/>
            <w:vAlign w:val="center"/>
          </w:tcPr>
          <w:p w14:paraId="2077406F">
            <w:pPr>
              <w:pStyle w:val="10"/>
            </w:pPr>
            <w:r>
              <w:t>指标值确定依据</w:t>
            </w:r>
          </w:p>
        </w:tc>
      </w:tr>
      <w:tr w14:paraId="1F88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842A3">
            <w:pPr>
              <w:pStyle w:val="13"/>
            </w:pPr>
            <w:r>
              <w:t>产出指标</w:t>
            </w:r>
          </w:p>
        </w:tc>
        <w:tc>
          <w:tcPr>
            <w:tcW w:w="2268" w:type="dxa"/>
            <w:vAlign w:val="center"/>
          </w:tcPr>
          <w:p w14:paraId="420FF3B0">
            <w:pPr>
              <w:pStyle w:val="12"/>
            </w:pPr>
            <w:r>
              <w:t>数量指标</w:t>
            </w:r>
          </w:p>
        </w:tc>
        <w:tc>
          <w:tcPr>
            <w:tcW w:w="2835" w:type="dxa"/>
            <w:vAlign w:val="center"/>
          </w:tcPr>
          <w:p w14:paraId="085893B7">
            <w:pPr>
              <w:pStyle w:val="12"/>
            </w:pPr>
            <w:r>
              <w:t>适龄在园生</w:t>
            </w:r>
          </w:p>
        </w:tc>
        <w:tc>
          <w:tcPr>
            <w:tcW w:w="5386" w:type="dxa"/>
            <w:vAlign w:val="center"/>
          </w:tcPr>
          <w:p w14:paraId="3E0141AC">
            <w:pPr>
              <w:pStyle w:val="12"/>
            </w:pPr>
            <w:r>
              <w:t>适龄在园大班学生人数</w:t>
            </w:r>
          </w:p>
        </w:tc>
        <w:tc>
          <w:tcPr>
            <w:tcW w:w="2268" w:type="dxa"/>
            <w:vAlign w:val="center"/>
          </w:tcPr>
          <w:p w14:paraId="35AE0EDF">
            <w:pPr>
              <w:pStyle w:val="12"/>
            </w:pPr>
            <w:r>
              <w:t>58人</w:t>
            </w:r>
          </w:p>
        </w:tc>
        <w:tc>
          <w:tcPr>
            <w:tcW w:w="1276" w:type="dxa"/>
            <w:vAlign w:val="center"/>
          </w:tcPr>
          <w:p w14:paraId="0370D422">
            <w:pPr>
              <w:pStyle w:val="12"/>
            </w:pPr>
            <w:r>
              <w:t>免保育教育费生均财政补助标准</w:t>
            </w:r>
          </w:p>
        </w:tc>
      </w:tr>
      <w:tr w14:paraId="09828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E838A"/>
        </w:tc>
        <w:tc>
          <w:tcPr>
            <w:tcW w:w="2268" w:type="dxa"/>
            <w:vAlign w:val="center"/>
          </w:tcPr>
          <w:p w14:paraId="55440BAB">
            <w:pPr>
              <w:pStyle w:val="12"/>
            </w:pPr>
            <w:r>
              <w:t>质量指标</w:t>
            </w:r>
          </w:p>
        </w:tc>
        <w:tc>
          <w:tcPr>
            <w:tcW w:w="2835" w:type="dxa"/>
            <w:vAlign w:val="center"/>
          </w:tcPr>
          <w:p w14:paraId="50133ACB">
            <w:pPr>
              <w:pStyle w:val="12"/>
            </w:pPr>
            <w:r>
              <w:t>预算控制率</w:t>
            </w:r>
          </w:p>
        </w:tc>
        <w:tc>
          <w:tcPr>
            <w:tcW w:w="5386" w:type="dxa"/>
            <w:vAlign w:val="center"/>
          </w:tcPr>
          <w:p w14:paraId="71676DB2">
            <w:pPr>
              <w:pStyle w:val="12"/>
            </w:pPr>
            <w:r>
              <w:t>预算执行</w:t>
            </w:r>
          </w:p>
        </w:tc>
        <w:tc>
          <w:tcPr>
            <w:tcW w:w="2268" w:type="dxa"/>
            <w:vAlign w:val="center"/>
          </w:tcPr>
          <w:p w14:paraId="0AAEDB1C">
            <w:pPr>
              <w:pStyle w:val="12"/>
            </w:pPr>
            <w:r>
              <w:t>≥95%</w:t>
            </w:r>
          </w:p>
        </w:tc>
        <w:tc>
          <w:tcPr>
            <w:tcW w:w="1276" w:type="dxa"/>
            <w:vAlign w:val="center"/>
          </w:tcPr>
          <w:p w14:paraId="2B12603F">
            <w:pPr>
              <w:pStyle w:val="12"/>
            </w:pPr>
            <w:r>
              <w:t>免保育教育费生均财政补助标准</w:t>
            </w:r>
          </w:p>
        </w:tc>
      </w:tr>
      <w:tr w14:paraId="22AF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B7EC8"/>
        </w:tc>
        <w:tc>
          <w:tcPr>
            <w:tcW w:w="2268" w:type="dxa"/>
            <w:vAlign w:val="center"/>
          </w:tcPr>
          <w:p w14:paraId="53BEBC59">
            <w:pPr>
              <w:pStyle w:val="12"/>
            </w:pPr>
            <w:r>
              <w:t>时效指标</w:t>
            </w:r>
          </w:p>
        </w:tc>
        <w:tc>
          <w:tcPr>
            <w:tcW w:w="2835" w:type="dxa"/>
            <w:vAlign w:val="center"/>
          </w:tcPr>
          <w:p w14:paraId="7C74FC76">
            <w:pPr>
              <w:pStyle w:val="12"/>
            </w:pPr>
            <w:r>
              <w:t>资金支付率</w:t>
            </w:r>
          </w:p>
        </w:tc>
        <w:tc>
          <w:tcPr>
            <w:tcW w:w="5386" w:type="dxa"/>
            <w:vAlign w:val="center"/>
          </w:tcPr>
          <w:p w14:paraId="44E10B9F">
            <w:pPr>
              <w:pStyle w:val="12"/>
            </w:pPr>
            <w:r>
              <w:t>按照序时进度完成资金支付</w:t>
            </w:r>
          </w:p>
        </w:tc>
        <w:tc>
          <w:tcPr>
            <w:tcW w:w="2268" w:type="dxa"/>
            <w:vAlign w:val="center"/>
          </w:tcPr>
          <w:p w14:paraId="4086F601">
            <w:pPr>
              <w:pStyle w:val="12"/>
            </w:pPr>
            <w:r>
              <w:t>100%</w:t>
            </w:r>
          </w:p>
        </w:tc>
        <w:tc>
          <w:tcPr>
            <w:tcW w:w="1276" w:type="dxa"/>
            <w:vAlign w:val="center"/>
          </w:tcPr>
          <w:p w14:paraId="244AFCEB">
            <w:pPr>
              <w:pStyle w:val="12"/>
            </w:pPr>
            <w:r>
              <w:t>免保育教育费生均财政补助标准</w:t>
            </w:r>
          </w:p>
        </w:tc>
      </w:tr>
      <w:tr w14:paraId="674B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6014E"/>
        </w:tc>
        <w:tc>
          <w:tcPr>
            <w:tcW w:w="2268" w:type="dxa"/>
            <w:vAlign w:val="center"/>
          </w:tcPr>
          <w:p w14:paraId="344815C9">
            <w:pPr>
              <w:pStyle w:val="12"/>
            </w:pPr>
            <w:r>
              <w:t>成本指标</w:t>
            </w:r>
          </w:p>
        </w:tc>
        <w:tc>
          <w:tcPr>
            <w:tcW w:w="2835" w:type="dxa"/>
            <w:vAlign w:val="center"/>
          </w:tcPr>
          <w:p w14:paraId="5A83FD48">
            <w:pPr>
              <w:pStyle w:val="12"/>
            </w:pPr>
            <w:r>
              <w:t xml:space="preserve"> 免保育教育费补助</w:t>
            </w:r>
          </w:p>
        </w:tc>
        <w:tc>
          <w:tcPr>
            <w:tcW w:w="5386" w:type="dxa"/>
            <w:vAlign w:val="center"/>
          </w:tcPr>
          <w:p w14:paraId="463AB39E">
            <w:pPr>
              <w:pStyle w:val="12"/>
            </w:pPr>
            <w:r>
              <w:t>免保育教育费补助</w:t>
            </w:r>
          </w:p>
        </w:tc>
        <w:tc>
          <w:tcPr>
            <w:tcW w:w="2268" w:type="dxa"/>
            <w:vAlign w:val="center"/>
          </w:tcPr>
          <w:p w14:paraId="40AC3B45">
            <w:pPr>
              <w:pStyle w:val="12"/>
            </w:pPr>
            <w:r>
              <w:t>12981元</w:t>
            </w:r>
          </w:p>
        </w:tc>
        <w:tc>
          <w:tcPr>
            <w:tcW w:w="1276" w:type="dxa"/>
            <w:vAlign w:val="center"/>
          </w:tcPr>
          <w:p w14:paraId="4BF994C5">
            <w:pPr>
              <w:pStyle w:val="12"/>
            </w:pPr>
            <w:r>
              <w:t>免保育教育费生均财政补助标准</w:t>
            </w:r>
          </w:p>
        </w:tc>
      </w:tr>
      <w:tr w14:paraId="6EA8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FBEEB">
            <w:pPr>
              <w:pStyle w:val="13"/>
            </w:pPr>
            <w:r>
              <w:t>效益指标</w:t>
            </w:r>
          </w:p>
        </w:tc>
        <w:tc>
          <w:tcPr>
            <w:tcW w:w="2268" w:type="dxa"/>
            <w:vAlign w:val="center"/>
          </w:tcPr>
          <w:p w14:paraId="217A0405">
            <w:pPr>
              <w:pStyle w:val="12"/>
            </w:pPr>
            <w:r>
              <w:t>可持续影响指标</w:t>
            </w:r>
          </w:p>
        </w:tc>
        <w:tc>
          <w:tcPr>
            <w:tcW w:w="2835" w:type="dxa"/>
            <w:vAlign w:val="center"/>
          </w:tcPr>
          <w:p w14:paraId="6446158D">
            <w:pPr>
              <w:pStyle w:val="12"/>
            </w:pPr>
            <w:r>
              <w:t>学校运转得到提升</w:t>
            </w:r>
          </w:p>
        </w:tc>
        <w:tc>
          <w:tcPr>
            <w:tcW w:w="5386" w:type="dxa"/>
            <w:vAlign w:val="center"/>
          </w:tcPr>
          <w:p w14:paraId="32BE9E81">
            <w:pPr>
              <w:pStyle w:val="12"/>
            </w:pPr>
            <w:r>
              <w:t>幼儿受教育年限</w:t>
            </w:r>
          </w:p>
        </w:tc>
        <w:tc>
          <w:tcPr>
            <w:tcW w:w="2268" w:type="dxa"/>
            <w:vAlign w:val="center"/>
          </w:tcPr>
          <w:p w14:paraId="7CF61CA8">
            <w:pPr>
              <w:pStyle w:val="12"/>
            </w:pPr>
            <w:r>
              <w:t>3年</w:t>
            </w:r>
          </w:p>
        </w:tc>
        <w:tc>
          <w:tcPr>
            <w:tcW w:w="1276" w:type="dxa"/>
            <w:vAlign w:val="center"/>
          </w:tcPr>
          <w:p w14:paraId="4573A6E1">
            <w:pPr>
              <w:pStyle w:val="12"/>
            </w:pPr>
            <w:r>
              <w:t>免保育教育费生均财政补助标准</w:t>
            </w:r>
          </w:p>
        </w:tc>
      </w:tr>
      <w:tr w14:paraId="671E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77DD3">
            <w:pPr>
              <w:pStyle w:val="13"/>
            </w:pPr>
            <w:r>
              <w:t>满意度指标</w:t>
            </w:r>
          </w:p>
        </w:tc>
        <w:tc>
          <w:tcPr>
            <w:tcW w:w="2268" w:type="dxa"/>
            <w:vAlign w:val="center"/>
          </w:tcPr>
          <w:p w14:paraId="2BA7B893">
            <w:pPr>
              <w:pStyle w:val="12"/>
            </w:pPr>
            <w:r>
              <w:t>服务对象满意度指标</w:t>
            </w:r>
          </w:p>
        </w:tc>
        <w:tc>
          <w:tcPr>
            <w:tcW w:w="2835" w:type="dxa"/>
            <w:vAlign w:val="center"/>
          </w:tcPr>
          <w:p w14:paraId="5F77B765">
            <w:pPr>
              <w:pStyle w:val="12"/>
            </w:pPr>
            <w:r>
              <w:t>受益学生家长及调查满意度</w:t>
            </w:r>
          </w:p>
        </w:tc>
        <w:tc>
          <w:tcPr>
            <w:tcW w:w="5386" w:type="dxa"/>
            <w:vAlign w:val="center"/>
          </w:tcPr>
          <w:p w14:paraId="71E6D2E5">
            <w:pPr>
              <w:pStyle w:val="12"/>
            </w:pPr>
            <w:r>
              <w:t>学生、教师及家长对学校保教保育工作满意度情况</w:t>
            </w:r>
          </w:p>
        </w:tc>
        <w:tc>
          <w:tcPr>
            <w:tcW w:w="2268" w:type="dxa"/>
            <w:vAlign w:val="center"/>
          </w:tcPr>
          <w:p w14:paraId="048EC0E7">
            <w:pPr>
              <w:pStyle w:val="12"/>
            </w:pPr>
            <w:r>
              <w:t>≥95%</w:t>
            </w:r>
          </w:p>
        </w:tc>
        <w:tc>
          <w:tcPr>
            <w:tcW w:w="1276" w:type="dxa"/>
            <w:vAlign w:val="center"/>
          </w:tcPr>
          <w:p w14:paraId="4C943BFB">
            <w:pPr>
              <w:pStyle w:val="12"/>
            </w:pPr>
            <w:r>
              <w:t>免保育教育费生均财政补助标准</w:t>
            </w:r>
          </w:p>
        </w:tc>
      </w:tr>
    </w:tbl>
    <w:p w14:paraId="344575A2">
      <w:pPr>
        <w:sectPr>
          <w:pgSz w:w="16840" w:h="11900" w:orient="landscape"/>
          <w:pgMar w:top="1361" w:right="1020" w:bottom="1134" w:left="1020" w:header="720" w:footer="720" w:gutter="0"/>
          <w:cols w:space="720" w:num="1"/>
        </w:sectPr>
      </w:pPr>
    </w:p>
    <w:p w14:paraId="3D3B16CB">
      <w:pPr>
        <w:spacing w:before="0" w:after="0"/>
        <w:ind w:firstLine="560"/>
        <w:jc w:val="left"/>
        <w:outlineLvl w:val="9"/>
      </w:pPr>
      <w:r>
        <w:rPr>
          <w:rFonts w:ascii="方正仿宋_GBK" w:hAnsi="方正仿宋_GBK" w:eastAsia="方正仿宋_GBK" w:cs="方正仿宋_GBK"/>
          <w:b/>
          <w:color w:val="000000"/>
          <w:sz w:val="28"/>
        </w:rPr>
        <w:t>2、冀财教[2025]122号/中央/2026年学前发展资金/唐尧街幼儿园学前教育幼儿资助绩效目标表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11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820B0">
            <w:pPr>
              <w:pStyle w:val="11"/>
            </w:pPr>
            <w:r>
              <w:t>单位：万元</w:t>
            </w:r>
          </w:p>
        </w:tc>
      </w:tr>
      <w:tr w14:paraId="3AFE4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44967">
            <w:pPr>
              <w:pStyle w:val="10"/>
            </w:pPr>
            <w:r>
              <w:t>项目编码</w:t>
            </w:r>
          </w:p>
        </w:tc>
        <w:tc>
          <w:tcPr>
            <w:tcW w:w="5103" w:type="dxa"/>
            <w:gridSpan w:val="2"/>
            <w:vAlign w:val="center"/>
          </w:tcPr>
          <w:p w14:paraId="6E3296FC">
            <w:pPr>
              <w:pStyle w:val="12"/>
            </w:pPr>
            <w:r>
              <w:t>13052526P00000210064Q</w:t>
            </w:r>
          </w:p>
        </w:tc>
        <w:tc>
          <w:tcPr>
            <w:tcW w:w="2835" w:type="dxa"/>
            <w:vAlign w:val="center"/>
          </w:tcPr>
          <w:p w14:paraId="6216A504">
            <w:pPr>
              <w:pStyle w:val="10"/>
            </w:pPr>
            <w:r>
              <w:t>项目名称</w:t>
            </w:r>
          </w:p>
        </w:tc>
        <w:tc>
          <w:tcPr>
            <w:tcW w:w="6095" w:type="dxa"/>
            <w:gridSpan w:val="3"/>
            <w:vAlign w:val="center"/>
          </w:tcPr>
          <w:p w14:paraId="28452114">
            <w:pPr>
              <w:pStyle w:val="12"/>
            </w:pPr>
            <w:r>
              <w:t>冀财教[2025]122号/中央/2026年学前发展资金/唐尧街幼儿园学前教育幼儿资助</w:t>
            </w:r>
          </w:p>
        </w:tc>
      </w:tr>
      <w:tr w14:paraId="21995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37463">
            <w:pPr>
              <w:pStyle w:val="10"/>
            </w:pPr>
            <w:r>
              <w:t>预算规模及资金用途</w:t>
            </w:r>
          </w:p>
        </w:tc>
        <w:tc>
          <w:tcPr>
            <w:tcW w:w="2268" w:type="dxa"/>
            <w:vAlign w:val="center"/>
          </w:tcPr>
          <w:p w14:paraId="11CF3B90">
            <w:pPr>
              <w:pStyle w:val="10"/>
            </w:pPr>
            <w:r>
              <w:t>预算数</w:t>
            </w:r>
          </w:p>
        </w:tc>
        <w:tc>
          <w:tcPr>
            <w:tcW w:w="2835" w:type="dxa"/>
            <w:vAlign w:val="center"/>
          </w:tcPr>
          <w:p w14:paraId="506CCDCD">
            <w:pPr>
              <w:pStyle w:val="12"/>
            </w:pPr>
            <w:r>
              <w:t>1.32</w:t>
            </w:r>
          </w:p>
        </w:tc>
        <w:tc>
          <w:tcPr>
            <w:tcW w:w="2835" w:type="dxa"/>
            <w:vAlign w:val="center"/>
          </w:tcPr>
          <w:p w14:paraId="0483670D">
            <w:pPr>
              <w:pStyle w:val="10"/>
            </w:pPr>
            <w:r>
              <w:t>其中：财政    资金</w:t>
            </w:r>
          </w:p>
        </w:tc>
        <w:tc>
          <w:tcPr>
            <w:tcW w:w="2551" w:type="dxa"/>
            <w:vAlign w:val="center"/>
          </w:tcPr>
          <w:p w14:paraId="41A20330">
            <w:pPr>
              <w:pStyle w:val="12"/>
            </w:pPr>
            <w:r>
              <w:t>1.32</w:t>
            </w:r>
          </w:p>
        </w:tc>
        <w:tc>
          <w:tcPr>
            <w:tcW w:w="2268" w:type="dxa"/>
            <w:vAlign w:val="center"/>
          </w:tcPr>
          <w:p w14:paraId="53606C0B">
            <w:pPr>
              <w:pStyle w:val="10"/>
            </w:pPr>
            <w:r>
              <w:t>其他资金</w:t>
            </w:r>
          </w:p>
        </w:tc>
        <w:tc>
          <w:tcPr>
            <w:tcW w:w="1276" w:type="dxa"/>
            <w:vAlign w:val="center"/>
          </w:tcPr>
          <w:p w14:paraId="45E129F5">
            <w:pPr>
              <w:pStyle w:val="12"/>
            </w:pPr>
            <w:r>
              <w:t xml:space="preserve"> </w:t>
            </w:r>
          </w:p>
        </w:tc>
      </w:tr>
      <w:tr w14:paraId="57B8D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E4488"/>
        </w:tc>
        <w:tc>
          <w:tcPr>
            <w:tcW w:w="14033" w:type="dxa"/>
            <w:gridSpan w:val="6"/>
            <w:vAlign w:val="center"/>
          </w:tcPr>
          <w:p w14:paraId="674C0F02">
            <w:pPr>
              <w:pStyle w:val="12"/>
            </w:pPr>
            <w:r>
              <w:t>保证本年度资助经费足额落实到位，符合享受资助条件的学生应助尽助。</w:t>
            </w:r>
            <w:r>
              <w:tab/>
            </w:r>
          </w:p>
        </w:tc>
      </w:tr>
      <w:tr w14:paraId="1B4B2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2A12B">
            <w:pPr>
              <w:pStyle w:val="10"/>
            </w:pPr>
            <w:r>
              <w:t>资金支出计划（%）</w:t>
            </w:r>
          </w:p>
        </w:tc>
        <w:tc>
          <w:tcPr>
            <w:tcW w:w="5103" w:type="dxa"/>
            <w:gridSpan w:val="2"/>
            <w:vAlign w:val="center"/>
          </w:tcPr>
          <w:p w14:paraId="1F271FAB">
            <w:pPr>
              <w:pStyle w:val="10"/>
            </w:pPr>
            <w:r>
              <w:t>3月底</w:t>
            </w:r>
          </w:p>
        </w:tc>
        <w:tc>
          <w:tcPr>
            <w:tcW w:w="2835" w:type="dxa"/>
            <w:vAlign w:val="center"/>
          </w:tcPr>
          <w:p w14:paraId="45681E66">
            <w:pPr>
              <w:pStyle w:val="10"/>
            </w:pPr>
            <w:r>
              <w:t>6月底</w:t>
            </w:r>
          </w:p>
        </w:tc>
        <w:tc>
          <w:tcPr>
            <w:tcW w:w="2551" w:type="dxa"/>
            <w:vAlign w:val="center"/>
          </w:tcPr>
          <w:p w14:paraId="49DF1587">
            <w:pPr>
              <w:pStyle w:val="10"/>
            </w:pPr>
            <w:r>
              <w:t>10月底</w:t>
            </w:r>
          </w:p>
        </w:tc>
        <w:tc>
          <w:tcPr>
            <w:tcW w:w="3544" w:type="dxa"/>
            <w:gridSpan w:val="2"/>
            <w:vAlign w:val="center"/>
          </w:tcPr>
          <w:p w14:paraId="636E149B">
            <w:pPr>
              <w:pStyle w:val="10"/>
            </w:pPr>
            <w:r>
              <w:t>12月底</w:t>
            </w:r>
          </w:p>
        </w:tc>
      </w:tr>
      <w:tr w14:paraId="3E109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DA4CB"/>
        </w:tc>
        <w:tc>
          <w:tcPr>
            <w:tcW w:w="5103" w:type="dxa"/>
            <w:gridSpan w:val="2"/>
            <w:vAlign w:val="center"/>
          </w:tcPr>
          <w:p w14:paraId="34566A18">
            <w:pPr>
              <w:pStyle w:val="13"/>
            </w:pPr>
            <w:r>
              <w:t xml:space="preserve"> </w:t>
            </w:r>
          </w:p>
        </w:tc>
        <w:tc>
          <w:tcPr>
            <w:tcW w:w="2835" w:type="dxa"/>
            <w:vAlign w:val="center"/>
          </w:tcPr>
          <w:p w14:paraId="476D9322">
            <w:pPr>
              <w:pStyle w:val="13"/>
            </w:pPr>
            <w:r>
              <w:t>50%</w:t>
            </w:r>
          </w:p>
        </w:tc>
        <w:tc>
          <w:tcPr>
            <w:tcW w:w="2551" w:type="dxa"/>
            <w:vAlign w:val="center"/>
          </w:tcPr>
          <w:p w14:paraId="1F4B16E0">
            <w:pPr>
              <w:pStyle w:val="13"/>
            </w:pPr>
            <w:r>
              <w:t>50%</w:t>
            </w:r>
          </w:p>
        </w:tc>
        <w:tc>
          <w:tcPr>
            <w:tcW w:w="3544" w:type="dxa"/>
            <w:gridSpan w:val="2"/>
            <w:vAlign w:val="center"/>
          </w:tcPr>
          <w:p w14:paraId="206796D0">
            <w:pPr>
              <w:pStyle w:val="13"/>
            </w:pPr>
            <w:r>
              <w:t>100%</w:t>
            </w:r>
          </w:p>
        </w:tc>
      </w:tr>
      <w:tr w14:paraId="765F7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C3C7C">
            <w:pPr>
              <w:pStyle w:val="10"/>
            </w:pPr>
            <w:r>
              <w:t>绩效目标</w:t>
            </w:r>
          </w:p>
        </w:tc>
        <w:tc>
          <w:tcPr>
            <w:tcW w:w="14033" w:type="dxa"/>
            <w:gridSpan w:val="6"/>
            <w:vAlign w:val="center"/>
          </w:tcPr>
          <w:p w14:paraId="471576BD">
            <w:pPr>
              <w:pStyle w:val="12"/>
            </w:pPr>
            <w:r>
              <w:t>1.保障落实建档立卡及家庭经济困难儿童资助所需资金，确保建档立卡等家庭经济困难幼儿优先获得资助</w:t>
            </w:r>
          </w:p>
        </w:tc>
      </w:tr>
    </w:tbl>
    <w:p w14:paraId="3A077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D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3F752">
            <w:pPr>
              <w:pStyle w:val="10"/>
            </w:pPr>
            <w:r>
              <w:t>一级指标</w:t>
            </w:r>
          </w:p>
        </w:tc>
        <w:tc>
          <w:tcPr>
            <w:tcW w:w="2268" w:type="dxa"/>
            <w:vAlign w:val="center"/>
          </w:tcPr>
          <w:p w14:paraId="4FA3AA44">
            <w:pPr>
              <w:pStyle w:val="10"/>
            </w:pPr>
            <w:r>
              <w:t>二级指标</w:t>
            </w:r>
          </w:p>
        </w:tc>
        <w:tc>
          <w:tcPr>
            <w:tcW w:w="2835" w:type="dxa"/>
            <w:vAlign w:val="center"/>
          </w:tcPr>
          <w:p w14:paraId="08C957A1">
            <w:pPr>
              <w:pStyle w:val="10"/>
            </w:pPr>
            <w:r>
              <w:t>三级指标</w:t>
            </w:r>
          </w:p>
        </w:tc>
        <w:tc>
          <w:tcPr>
            <w:tcW w:w="5386" w:type="dxa"/>
            <w:vAlign w:val="center"/>
          </w:tcPr>
          <w:p w14:paraId="1144B871">
            <w:pPr>
              <w:pStyle w:val="10"/>
            </w:pPr>
            <w:r>
              <w:t>绩效指标描述</w:t>
            </w:r>
          </w:p>
        </w:tc>
        <w:tc>
          <w:tcPr>
            <w:tcW w:w="2268" w:type="dxa"/>
            <w:vAlign w:val="center"/>
          </w:tcPr>
          <w:p w14:paraId="6D2B2A25">
            <w:pPr>
              <w:pStyle w:val="10"/>
            </w:pPr>
            <w:r>
              <w:t>指标值</w:t>
            </w:r>
          </w:p>
        </w:tc>
        <w:tc>
          <w:tcPr>
            <w:tcW w:w="1276" w:type="dxa"/>
            <w:vAlign w:val="center"/>
          </w:tcPr>
          <w:p w14:paraId="695BF7C4">
            <w:pPr>
              <w:pStyle w:val="10"/>
            </w:pPr>
            <w:r>
              <w:t>指标值确定依据</w:t>
            </w:r>
          </w:p>
        </w:tc>
      </w:tr>
      <w:tr w14:paraId="6A69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35B6E">
            <w:pPr>
              <w:pStyle w:val="13"/>
            </w:pPr>
            <w:r>
              <w:t>产出指标</w:t>
            </w:r>
          </w:p>
        </w:tc>
        <w:tc>
          <w:tcPr>
            <w:tcW w:w="2268" w:type="dxa"/>
            <w:vAlign w:val="center"/>
          </w:tcPr>
          <w:p w14:paraId="48EA1649">
            <w:pPr>
              <w:pStyle w:val="12"/>
            </w:pPr>
            <w:r>
              <w:t>数量指标</w:t>
            </w:r>
          </w:p>
        </w:tc>
        <w:tc>
          <w:tcPr>
            <w:tcW w:w="2835" w:type="dxa"/>
            <w:vAlign w:val="center"/>
          </w:tcPr>
          <w:p w14:paraId="3ABDF874">
            <w:pPr>
              <w:pStyle w:val="12"/>
            </w:pPr>
            <w:r>
              <w:t>幼儿资助比例</w:t>
            </w:r>
          </w:p>
        </w:tc>
        <w:tc>
          <w:tcPr>
            <w:tcW w:w="5386" w:type="dxa"/>
            <w:vAlign w:val="center"/>
          </w:tcPr>
          <w:p w14:paraId="698D5D5D">
            <w:pPr>
              <w:pStyle w:val="12"/>
            </w:pPr>
            <w:r>
              <w:t>按学前适龄在园儿童实际资助人数测算</w:t>
            </w:r>
          </w:p>
        </w:tc>
        <w:tc>
          <w:tcPr>
            <w:tcW w:w="2268" w:type="dxa"/>
            <w:vAlign w:val="center"/>
          </w:tcPr>
          <w:p w14:paraId="33DE1E0B">
            <w:pPr>
              <w:pStyle w:val="12"/>
            </w:pPr>
            <w:r>
              <w:t>22人</w:t>
            </w:r>
          </w:p>
        </w:tc>
        <w:tc>
          <w:tcPr>
            <w:tcW w:w="1276" w:type="dxa"/>
            <w:vAlign w:val="center"/>
          </w:tcPr>
          <w:p w14:paraId="1F88D7BE">
            <w:pPr>
              <w:pStyle w:val="12"/>
            </w:pPr>
            <w:r>
              <w:t>幼儿资助经费管理办法</w:t>
            </w:r>
          </w:p>
        </w:tc>
      </w:tr>
      <w:tr w14:paraId="452D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0DAED"/>
        </w:tc>
        <w:tc>
          <w:tcPr>
            <w:tcW w:w="2268" w:type="dxa"/>
            <w:vAlign w:val="center"/>
          </w:tcPr>
          <w:p w14:paraId="58DB2E60">
            <w:pPr>
              <w:pStyle w:val="12"/>
            </w:pPr>
            <w:r>
              <w:t>质量指标</w:t>
            </w:r>
          </w:p>
        </w:tc>
        <w:tc>
          <w:tcPr>
            <w:tcW w:w="2835" w:type="dxa"/>
            <w:vAlign w:val="center"/>
          </w:tcPr>
          <w:p w14:paraId="4544BEE8">
            <w:pPr>
              <w:pStyle w:val="12"/>
            </w:pPr>
            <w:r>
              <w:t>资助资金使用率</w:t>
            </w:r>
          </w:p>
        </w:tc>
        <w:tc>
          <w:tcPr>
            <w:tcW w:w="5386" w:type="dxa"/>
            <w:vAlign w:val="center"/>
          </w:tcPr>
          <w:p w14:paraId="27631876">
            <w:pPr>
              <w:pStyle w:val="12"/>
            </w:pPr>
            <w:r>
              <w:t>符合享受资助条件的学生应助尽助</w:t>
            </w:r>
          </w:p>
        </w:tc>
        <w:tc>
          <w:tcPr>
            <w:tcW w:w="2268" w:type="dxa"/>
            <w:vAlign w:val="center"/>
          </w:tcPr>
          <w:p w14:paraId="76397C42">
            <w:pPr>
              <w:pStyle w:val="12"/>
            </w:pPr>
            <w:r>
              <w:t>100%</w:t>
            </w:r>
          </w:p>
        </w:tc>
        <w:tc>
          <w:tcPr>
            <w:tcW w:w="1276" w:type="dxa"/>
            <w:vAlign w:val="center"/>
          </w:tcPr>
          <w:p w14:paraId="5CCE2BB0">
            <w:pPr>
              <w:pStyle w:val="12"/>
            </w:pPr>
            <w:r>
              <w:t>幼儿资助经费管理办法</w:t>
            </w:r>
          </w:p>
        </w:tc>
      </w:tr>
      <w:tr w14:paraId="59D9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C6186"/>
        </w:tc>
        <w:tc>
          <w:tcPr>
            <w:tcW w:w="2268" w:type="dxa"/>
            <w:vAlign w:val="center"/>
          </w:tcPr>
          <w:p w14:paraId="54B5C5E6">
            <w:pPr>
              <w:pStyle w:val="12"/>
            </w:pPr>
            <w:r>
              <w:t>时效指标</w:t>
            </w:r>
          </w:p>
        </w:tc>
        <w:tc>
          <w:tcPr>
            <w:tcW w:w="2835" w:type="dxa"/>
            <w:vAlign w:val="center"/>
          </w:tcPr>
          <w:p w14:paraId="77BA063B">
            <w:pPr>
              <w:pStyle w:val="12"/>
            </w:pPr>
            <w:r>
              <w:t>资金拨付率</w:t>
            </w:r>
          </w:p>
        </w:tc>
        <w:tc>
          <w:tcPr>
            <w:tcW w:w="5386" w:type="dxa"/>
            <w:vAlign w:val="center"/>
          </w:tcPr>
          <w:p w14:paraId="51C8B25F">
            <w:pPr>
              <w:pStyle w:val="12"/>
            </w:pPr>
            <w:r>
              <w:t>所有项目资金支付进度</w:t>
            </w:r>
          </w:p>
        </w:tc>
        <w:tc>
          <w:tcPr>
            <w:tcW w:w="2268" w:type="dxa"/>
            <w:vAlign w:val="center"/>
          </w:tcPr>
          <w:p w14:paraId="639025A0">
            <w:pPr>
              <w:pStyle w:val="12"/>
            </w:pPr>
            <w:r>
              <w:t>100%</w:t>
            </w:r>
          </w:p>
        </w:tc>
        <w:tc>
          <w:tcPr>
            <w:tcW w:w="1276" w:type="dxa"/>
            <w:vAlign w:val="center"/>
          </w:tcPr>
          <w:p w14:paraId="4738AB27">
            <w:pPr>
              <w:pStyle w:val="12"/>
            </w:pPr>
            <w:r>
              <w:t>幼儿资助经费管理办法</w:t>
            </w:r>
          </w:p>
        </w:tc>
      </w:tr>
      <w:tr w14:paraId="3358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60B21"/>
        </w:tc>
        <w:tc>
          <w:tcPr>
            <w:tcW w:w="2268" w:type="dxa"/>
            <w:vAlign w:val="center"/>
          </w:tcPr>
          <w:p w14:paraId="56B676BE">
            <w:pPr>
              <w:pStyle w:val="12"/>
            </w:pPr>
            <w:r>
              <w:t>成本指标</w:t>
            </w:r>
          </w:p>
        </w:tc>
        <w:tc>
          <w:tcPr>
            <w:tcW w:w="2835" w:type="dxa"/>
            <w:vAlign w:val="center"/>
          </w:tcPr>
          <w:p w14:paraId="2DBD88E5">
            <w:pPr>
              <w:pStyle w:val="12"/>
            </w:pPr>
            <w:r>
              <w:t>幼儿园生均成本</w:t>
            </w:r>
          </w:p>
        </w:tc>
        <w:tc>
          <w:tcPr>
            <w:tcW w:w="5386" w:type="dxa"/>
            <w:vAlign w:val="center"/>
          </w:tcPr>
          <w:p w14:paraId="4506C8FE">
            <w:pPr>
              <w:pStyle w:val="12"/>
            </w:pPr>
            <w:r>
              <w:t>按照幼儿园资助标准1000元/生/年</w:t>
            </w:r>
          </w:p>
        </w:tc>
        <w:tc>
          <w:tcPr>
            <w:tcW w:w="2268" w:type="dxa"/>
            <w:vAlign w:val="center"/>
          </w:tcPr>
          <w:p w14:paraId="7E72CE25">
            <w:pPr>
              <w:pStyle w:val="12"/>
            </w:pPr>
            <w:r>
              <w:t>1000元</w:t>
            </w:r>
          </w:p>
        </w:tc>
        <w:tc>
          <w:tcPr>
            <w:tcW w:w="1276" w:type="dxa"/>
            <w:vAlign w:val="center"/>
          </w:tcPr>
          <w:p w14:paraId="1F14ED2C">
            <w:pPr>
              <w:pStyle w:val="12"/>
            </w:pPr>
            <w:r>
              <w:t>幼儿资助经费管理办法</w:t>
            </w:r>
          </w:p>
        </w:tc>
      </w:tr>
      <w:tr w14:paraId="3A5A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F99E5">
            <w:pPr>
              <w:pStyle w:val="13"/>
            </w:pPr>
            <w:r>
              <w:t>效益指标</w:t>
            </w:r>
          </w:p>
        </w:tc>
        <w:tc>
          <w:tcPr>
            <w:tcW w:w="2268" w:type="dxa"/>
            <w:vAlign w:val="center"/>
          </w:tcPr>
          <w:p w14:paraId="42C0802F">
            <w:pPr>
              <w:pStyle w:val="12"/>
            </w:pPr>
            <w:r>
              <w:t>可持续影响指标</w:t>
            </w:r>
          </w:p>
        </w:tc>
        <w:tc>
          <w:tcPr>
            <w:tcW w:w="2835" w:type="dxa"/>
            <w:vAlign w:val="center"/>
          </w:tcPr>
          <w:p w14:paraId="2E5870E9">
            <w:pPr>
              <w:pStyle w:val="12"/>
            </w:pPr>
            <w:r>
              <w:t>幼儿园正常运转</w:t>
            </w:r>
          </w:p>
        </w:tc>
        <w:tc>
          <w:tcPr>
            <w:tcW w:w="5386" w:type="dxa"/>
            <w:vAlign w:val="center"/>
          </w:tcPr>
          <w:p w14:paraId="6D38D9AA">
            <w:pPr>
              <w:pStyle w:val="12"/>
            </w:pPr>
            <w:r>
              <w:t>幼儿受教育年限</w:t>
            </w:r>
          </w:p>
        </w:tc>
        <w:tc>
          <w:tcPr>
            <w:tcW w:w="2268" w:type="dxa"/>
            <w:vAlign w:val="center"/>
          </w:tcPr>
          <w:p w14:paraId="7112CD60">
            <w:pPr>
              <w:pStyle w:val="12"/>
            </w:pPr>
            <w:r>
              <w:t>3年</w:t>
            </w:r>
          </w:p>
        </w:tc>
        <w:tc>
          <w:tcPr>
            <w:tcW w:w="1276" w:type="dxa"/>
            <w:vAlign w:val="center"/>
          </w:tcPr>
          <w:p w14:paraId="049846B3">
            <w:pPr>
              <w:pStyle w:val="12"/>
            </w:pPr>
            <w:r>
              <w:t>幼儿资助经费管理办法</w:t>
            </w:r>
          </w:p>
        </w:tc>
      </w:tr>
      <w:tr w14:paraId="58F3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915CE">
            <w:pPr>
              <w:pStyle w:val="13"/>
            </w:pPr>
            <w:r>
              <w:t>满意度指标</w:t>
            </w:r>
          </w:p>
        </w:tc>
        <w:tc>
          <w:tcPr>
            <w:tcW w:w="2268" w:type="dxa"/>
            <w:vAlign w:val="center"/>
          </w:tcPr>
          <w:p w14:paraId="29AD692B">
            <w:pPr>
              <w:pStyle w:val="12"/>
            </w:pPr>
            <w:r>
              <w:t>服务对象满意度指标</w:t>
            </w:r>
          </w:p>
        </w:tc>
        <w:tc>
          <w:tcPr>
            <w:tcW w:w="2835" w:type="dxa"/>
            <w:vAlign w:val="center"/>
          </w:tcPr>
          <w:p w14:paraId="5EF02DD8">
            <w:pPr>
              <w:pStyle w:val="12"/>
            </w:pPr>
            <w:r>
              <w:t>受益幼儿家长及调查满意度</w:t>
            </w:r>
          </w:p>
        </w:tc>
        <w:tc>
          <w:tcPr>
            <w:tcW w:w="5386" w:type="dxa"/>
            <w:vAlign w:val="center"/>
          </w:tcPr>
          <w:p w14:paraId="78C8D152">
            <w:pPr>
              <w:pStyle w:val="12"/>
            </w:pPr>
            <w:r>
              <w:t>学生、教师及家长对学校保教保育工作满意度情况</w:t>
            </w:r>
          </w:p>
        </w:tc>
        <w:tc>
          <w:tcPr>
            <w:tcW w:w="2268" w:type="dxa"/>
            <w:vAlign w:val="center"/>
          </w:tcPr>
          <w:p w14:paraId="741EAF3F">
            <w:pPr>
              <w:pStyle w:val="12"/>
            </w:pPr>
            <w:r>
              <w:t>≥95%</w:t>
            </w:r>
          </w:p>
        </w:tc>
        <w:tc>
          <w:tcPr>
            <w:tcW w:w="1276" w:type="dxa"/>
            <w:vAlign w:val="center"/>
          </w:tcPr>
          <w:p w14:paraId="3664AC00">
            <w:pPr>
              <w:pStyle w:val="12"/>
            </w:pPr>
            <w:r>
              <w:t>幼儿资助经费管理办法</w:t>
            </w:r>
          </w:p>
        </w:tc>
      </w:tr>
    </w:tbl>
    <w:p w14:paraId="638BD3B4">
      <w:pPr>
        <w:sectPr>
          <w:pgSz w:w="16840" w:h="11900" w:orient="landscape"/>
          <w:pgMar w:top="1361" w:right="1020" w:bottom="1134" w:left="1020" w:header="720" w:footer="720" w:gutter="0"/>
          <w:cols w:space="720" w:num="1"/>
        </w:sectPr>
      </w:pPr>
    </w:p>
    <w:p w14:paraId="7EF1F420">
      <w:pPr>
        <w:spacing w:before="0" w:after="0"/>
        <w:ind w:firstLine="560"/>
        <w:jc w:val="left"/>
        <w:outlineLvl w:val="9"/>
      </w:pPr>
      <w:r>
        <w:rPr>
          <w:rFonts w:ascii="方正仿宋_GBK" w:hAnsi="方正仿宋_GBK" w:eastAsia="方正仿宋_GBK" w:cs="方正仿宋_GBK"/>
          <w:b/>
          <w:color w:val="000000"/>
          <w:sz w:val="28"/>
        </w:rPr>
        <w:t>3、冀财教[2025]149号/省级/2026年学前发展资金/唐尧街幼儿园免保育教育费补助绩效目标表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41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7CA0A">
            <w:pPr>
              <w:pStyle w:val="11"/>
            </w:pPr>
            <w:r>
              <w:t>单位：万元</w:t>
            </w:r>
          </w:p>
        </w:tc>
      </w:tr>
      <w:tr w14:paraId="7427C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B1B06">
            <w:pPr>
              <w:pStyle w:val="10"/>
            </w:pPr>
            <w:r>
              <w:t>项目编码</w:t>
            </w:r>
          </w:p>
        </w:tc>
        <w:tc>
          <w:tcPr>
            <w:tcW w:w="5103" w:type="dxa"/>
            <w:gridSpan w:val="2"/>
            <w:vAlign w:val="center"/>
          </w:tcPr>
          <w:p w14:paraId="7CAF684D">
            <w:pPr>
              <w:pStyle w:val="12"/>
            </w:pPr>
            <w:r>
              <w:t>13052526P00876910162Q</w:t>
            </w:r>
          </w:p>
        </w:tc>
        <w:tc>
          <w:tcPr>
            <w:tcW w:w="2835" w:type="dxa"/>
            <w:vAlign w:val="center"/>
          </w:tcPr>
          <w:p w14:paraId="58E4659D">
            <w:pPr>
              <w:pStyle w:val="10"/>
            </w:pPr>
            <w:r>
              <w:t>项目名称</w:t>
            </w:r>
          </w:p>
        </w:tc>
        <w:tc>
          <w:tcPr>
            <w:tcW w:w="6095" w:type="dxa"/>
            <w:gridSpan w:val="3"/>
            <w:vAlign w:val="center"/>
          </w:tcPr>
          <w:p w14:paraId="2216FA87">
            <w:pPr>
              <w:pStyle w:val="12"/>
            </w:pPr>
            <w:r>
              <w:t>冀财教[2025]149号/省级/2026年学前发展资金/唐尧街幼儿园免保育教育费补助</w:t>
            </w:r>
          </w:p>
        </w:tc>
      </w:tr>
      <w:tr w14:paraId="729E3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90C77">
            <w:pPr>
              <w:pStyle w:val="10"/>
            </w:pPr>
            <w:r>
              <w:t>预算规模及资金用途</w:t>
            </w:r>
          </w:p>
        </w:tc>
        <w:tc>
          <w:tcPr>
            <w:tcW w:w="2268" w:type="dxa"/>
            <w:vAlign w:val="center"/>
          </w:tcPr>
          <w:p w14:paraId="1E8417B1">
            <w:pPr>
              <w:pStyle w:val="10"/>
            </w:pPr>
            <w:r>
              <w:t>预算数</w:t>
            </w:r>
          </w:p>
        </w:tc>
        <w:tc>
          <w:tcPr>
            <w:tcW w:w="2835" w:type="dxa"/>
            <w:vAlign w:val="center"/>
          </w:tcPr>
          <w:p w14:paraId="5553EBFA">
            <w:pPr>
              <w:pStyle w:val="12"/>
            </w:pPr>
            <w:r>
              <w:t>2.38</w:t>
            </w:r>
          </w:p>
        </w:tc>
        <w:tc>
          <w:tcPr>
            <w:tcW w:w="2835" w:type="dxa"/>
            <w:vAlign w:val="center"/>
          </w:tcPr>
          <w:p w14:paraId="5A3E8227">
            <w:pPr>
              <w:pStyle w:val="10"/>
            </w:pPr>
            <w:r>
              <w:t>其中：财政    资金</w:t>
            </w:r>
          </w:p>
        </w:tc>
        <w:tc>
          <w:tcPr>
            <w:tcW w:w="2551" w:type="dxa"/>
            <w:vAlign w:val="center"/>
          </w:tcPr>
          <w:p w14:paraId="75F6E505">
            <w:pPr>
              <w:pStyle w:val="12"/>
            </w:pPr>
            <w:r>
              <w:t>2.38</w:t>
            </w:r>
          </w:p>
        </w:tc>
        <w:tc>
          <w:tcPr>
            <w:tcW w:w="2268" w:type="dxa"/>
            <w:vAlign w:val="center"/>
          </w:tcPr>
          <w:p w14:paraId="6CE06ECA">
            <w:pPr>
              <w:pStyle w:val="10"/>
            </w:pPr>
            <w:r>
              <w:t>其他资金</w:t>
            </w:r>
          </w:p>
        </w:tc>
        <w:tc>
          <w:tcPr>
            <w:tcW w:w="1276" w:type="dxa"/>
            <w:vAlign w:val="center"/>
          </w:tcPr>
          <w:p w14:paraId="60F871FD">
            <w:pPr>
              <w:pStyle w:val="12"/>
            </w:pPr>
            <w:r>
              <w:t xml:space="preserve"> </w:t>
            </w:r>
          </w:p>
        </w:tc>
      </w:tr>
      <w:tr w14:paraId="4EDAB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F478F"/>
        </w:tc>
        <w:tc>
          <w:tcPr>
            <w:tcW w:w="14033" w:type="dxa"/>
            <w:gridSpan w:val="6"/>
            <w:vAlign w:val="center"/>
          </w:tcPr>
          <w:p w14:paraId="2702D339">
            <w:pPr>
              <w:pStyle w:val="12"/>
            </w:pPr>
            <w:r>
              <w:t>保障幼儿园正常运转，完成教育教学活动和其他日常工作任务等方面的费用支出。</w:t>
            </w:r>
            <w:r>
              <w:tab/>
            </w:r>
          </w:p>
        </w:tc>
      </w:tr>
      <w:tr w14:paraId="59D59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E855D">
            <w:pPr>
              <w:pStyle w:val="10"/>
            </w:pPr>
            <w:r>
              <w:t>资金支出计划（%）</w:t>
            </w:r>
          </w:p>
        </w:tc>
        <w:tc>
          <w:tcPr>
            <w:tcW w:w="5103" w:type="dxa"/>
            <w:gridSpan w:val="2"/>
            <w:vAlign w:val="center"/>
          </w:tcPr>
          <w:p w14:paraId="3F2AFA29">
            <w:pPr>
              <w:pStyle w:val="10"/>
            </w:pPr>
            <w:r>
              <w:t>3月底</w:t>
            </w:r>
          </w:p>
        </w:tc>
        <w:tc>
          <w:tcPr>
            <w:tcW w:w="2835" w:type="dxa"/>
            <w:vAlign w:val="center"/>
          </w:tcPr>
          <w:p w14:paraId="4CC16701">
            <w:pPr>
              <w:pStyle w:val="10"/>
            </w:pPr>
            <w:r>
              <w:t>6月底</w:t>
            </w:r>
          </w:p>
        </w:tc>
        <w:tc>
          <w:tcPr>
            <w:tcW w:w="2551" w:type="dxa"/>
            <w:vAlign w:val="center"/>
          </w:tcPr>
          <w:p w14:paraId="20837ED7">
            <w:pPr>
              <w:pStyle w:val="10"/>
            </w:pPr>
            <w:r>
              <w:t>10月底</w:t>
            </w:r>
          </w:p>
        </w:tc>
        <w:tc>
          <w:tcPr>
            <w:tcW w:w="3544" w:type="dxa"/>
            <w:gridSpan w:val="2"/>
            <w:vAlign w:val="center"/>
          </w:tcPr>
          <w:p w14:paraId="2A1D03D7">
            <w:pPr>
              <w:pStyle w:val="10"/>
            </w:pPr>
            <w:r>
              <w:t>12月底</w:t>
            </w:r>
          </w:p>
        </w:tc>
      </w:tr>
      <w:tr w14:paraId="77516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A120E"/>
        </w:tc>
        <w:tc>
          <w:tcPr>
            <w:tcW w:w="5103" w:type="dxa"/>
            <w:gridSpan w:val="2"/>
            <w:vAlign w:val="center"/>
          </w:tcPr>
          <w:p w14:paraId="3BEF6F27">
            <w:pPr>
              <w:pStyle w:val="13"/>
            </w:pPr>
            <w:r>
              <w:t>25%</w:t>
            </w:r>
          </w:p>
        </w:tc>
        <w:tc>
          <w:tcPr>
            <w:tcW w:w="2835" w:type="dxa"/>
            <w:vAlign w:val="center"/>
          </w:tcPr>
          <w:p w14:paraId="190C9899">
            <w:pPr>
              <w:pStyle w:val="13"/>
            </w:pPr>
            <w:r>
              <w:t>50%</w:t>
            </w:r>
          </w:p>
        </w:tc>
        <w:tc>
          <w:tcPr>
            <w:tcW w:w="2551" w:type="dxa"/>
            <w:vAlign w:val="center"/>
          </w:tcPr>
          <w:p w14:paraId="42ABDC2E">
            <w:pPr>
              <w:pStyle w:val="13"/>
            </w:pPr>
            <w:r>
              <w:t>75%</w:t>
            </w:r>
          </w:p>
        </w:tc>
        <w:tc>
          <w:tcPr>
            <w:tcW w:w="3544" w:type="dxa"/>
            <w:gridSpan w:val="2"/>
            <w:vAlign w:val="center"/>
          </w:tcPr>
          <w:p w14:paraId="7779BFCB">
            <w:pPr>
              <w:pStyle w:val="13"/>
            </w:pPr>
            <w:r>
              <w:t>100%</w:t>
            </w:r>
          </w:p>
        </w:tc>
      </w:tr>
      <w:tr w14:paraId="51FA8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E5E47">
            <w:pPr>
              <w:pStyle w:val="10"/>
            </w:pPr>
            <w:r>
              <w:t>绩效目标</w:t>
            </w:r>
          </w:p>
        </w:tc>
        <w:tc>
          <w:tcPr>
            <w:tcW w:w="14033" w:type="dxa"/>
            <w:gridSpan w:val="6"/>
            <w:vAlign w:val="center"/>
          </w:tcPr>
          <w:p w14:paraId="5F303DAC">
            <w:pPr>
              <w:pStyle w:val="12"/>
            </w:pPr>
            <w:r>
              <w:t>1.保障幼儿园正常运转，完成教育教学活动和其他日常工作任务等方面的费用支出。</w:t>
            </w:r>
          </w:p>
        </w:tc>
      </w:tr>
    </w:tbl>
    <w:p w14:paraId="3BB95A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6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7DD5F">
            <w:pPr>
              <w:pStyle w:val="10"/>
            </w:pPr>
            <w:r>
              <w:t>一级指标</w:t>
            </w:r>
          </w:p>
        </w:tc>
        <w:tc>
          <w:tcPr>
            <w:tcW w:w="2268" w:type="dxa"/>
            <w:vAlign w:val="center"/>
          </w:tcPr>
          <w:p w14:paraId="52697F26">
            <w:pPr>
              <w:pStyle w:val="10"/>
            </w:pPr>
            <w:r>
              <w:t>二级指标</w:t>
            </w:r>
          </w:p>
        </w:tc>
        <w:tc>
          <w:tcPr>
            <w:tcW w:w="2835" w:type="dxa"/>
            <w:vAlign w:val="center"/>
          </w:tcPr>
          <w:p w14:paraId="60A744D7">
            <w:pPr>
              <w:pStyle w:val="10"/>
            </w:pPr>
            <w:r>
              <w:t>三级指标</w:t>
            </w:r>
          </w:p>
        </w:tc>
        <w:tc>
          <w:tcPr>
            <w:tcW w:w="5386" w:type="dxa"/>
            <w:vAlign w:val="center"/>
          </w:tcPr>
          <w:p w14:paraId="33B37F59">
            <w:pPr>
              <w:pStyle w:val="10"/>
            </w:pPr>
            <w:r>
              <w:t>绩效指标描述</w:t>
            </w:r>
          </w:p>
        </w:tc>
        <w:tc>
          <w:tcPr>
            <w:tcW w:w="2268" w:type="dxa"/>
            <w:vAlign w:val="center"/>
          </w:tcPr>
          <w:p w14:paraId="05C971AA">
            <w:pPr>
              <w:pStyle w:val="10"/>
            </w:pPr>
            <w:r>
              <w:t>指标值</w:t>
            </w:r>
          </w:p>
        </w:tc>
        <w:tc>
          <w:tcPr>
            <w:tcW w:w="1276" w:type="dxa"/>
            <w:vAlign w:val="center"/>
          </w:tcPr>
          <w:p w14:paraId="607AB806">
            <w:pPr>
              <w:pStyle w:val="10"/>
            </w:pPr>
            <w:r>
              <w:t>指标值确定依据</w:t>
            </w:r>
          </w:p>
        </w:tc>
      </w:tr>
      <w:tr w14:paraId="56C1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268AF">
            <w:pPr>
              <w:pStyle w:val="13"/>
            </w:pPr>
            <w:r>
              <w:t>产出指标</w:t>
            </w:r>
          </w:p>
        </w:tc>
        <w:tc>
          <w:tcPr>
            <w:tcW w:w="2268" w:type="dxa"/>
            <w:vAlign w:val="center"/>
          </w:tcPr>
          <w:p w14:paraId="7091ABDB">
            <w:pPr>
              <w:pStyle w:val="12"/>
            </w:pPr>
            <w:r>
              <w:t>数量指标</w:t>
            </w:r>
          </w:p>
        </w:tc>
        <w:tc>
          <w:tcPr>
            <w:tcW w:w="2835" w:type="dxa"/>
            <w:vAlign w:val="center"/>
          </w:tcPr>
          <w:p w14:paraId="1926631E">
            <w:pPr>
              <w:pStyle w:val="12"/>
            </w:pPr>
            <w:r>
              <w:t>适龄在园生</w:t>
            </w:r>
          </w:p>
        </w:tc>
        <w:tc>
          <w:tcPr>
            <w:tcW w:w="5386" w:type="dxa"/>
            <w:vAlign w:val="center"/>
          </w:tcPr>
          <w:p w14:paraId="5AC8B5CA">
            <w:pPr>
              <w:pStyle w:val="12"/>
            </w:pPr>
            <w:r>
              <w:t>适龄在园大班学生人数</w:t>
            </w:r>
          </w:p>
        </w:tc>
        <w:tc>
          <w:tcPr>
            <w:tcW w:w="2268" w:type="dxa"/>
            <w:vAlign w:val="center"/>
          </w:tcPr>
          <w:p w14:paraId="43A09D6A">
            <w:pPr>
              <w:pStyle w:val="12"/>
            </w:pPr>
            <w:r>
              <w:t>58人</w:t>
            </w:r>
          </w:p>
        </w:tc>
        <w:tc>
          <w:tcPr>
            <w:tcW w:w="1276" w:type="dxa"/>
            <w:vAlign w:val="center"/>
          </w:tcPr>
          <w:p w14:paraId="09B3C237">
            <w:pPr>
              <w:pStyle w:val="12"/>
            </w:pPr>
            <w:r>
              <w:t>支持学前教育发展管理方法</w:t>
            </w:r>
          </w:p>
        </w:tc>
      </w:tr>
      <w:tr w14:paraId="1326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6E3D"/>
        </w:tc>
        <w:tc>
          <w:tcPr>
            <w:tcW w:w="2268" w:type="dxa"/>
            <w:vAlign w:val="center"/>
          </w:tcPr>
          <w:p w14:paraId="3D71FBAB">
            <w:pPr>
              <w:pStyle w:val="12"/>
            </w:pPr>
            <w:r>
              <w:t>质量指标</w:t>
            </w:r>
          </w:p>
        </w:tc>
        <w:tc>
          <w:tcPr>
            <w:tcW w:w="2835" w:type="dxa"/>
            <w:vAlign w:val="center"/>
          </w:tcPr>
          <w:p w14:paraId="56291808">
            <w:pPr>
              <w:pStyle w:val="12"/>
            </w:pPr>
            <w:r>
              <w:t>预算控制率</w:t>
            </w:r>
          </w:p>
        </w:tc>
        <w:tc>
          <w:tcPr>
            <w:tcW w:w="5386" w:type="dxa"/>
            <w:vAlign w:val="center"/>
          </w:tcPr>
          <w:p w14:paraId="5428400C">
            <w:pPr>
              <w:pStyle w:val="12"/>
            </w:pPr>
            <w:r>
              <w:t>预算执行</w:t>
            </w:r>
          </w:p>
        </w:tc>
        <w:tc>
          <w:tcPr>
            <w:tcW w:w="2268" w:type="dxa"/>
            <w:vAlign w:val="center"/>
          </w:tcPr>
          <w:p w14:paraId="60ED3B71">
            <w:pPr>
              <w:pStyle w:val="12"/>
            </w:pPr>
            <w:r>
              <w:t>≥95%</w:t>
            </w:r>
          </w:p>
        </w:tc>
        <w:tc>
          <w:tcPr>
            <w:tcW w:w="1276" w:type="dxa"/>
            <w:vAlign w:val="center"/>
          </w:tcPr>
          <w:p w14:paraId="41206063">
            <w:pPr>
              <w:pStyle w:val="12"/>
            </w:pPr>
            <w:r>
              <w:t>支持学前教育发展管理方法</w:t>
            </w:r>
          </w:p>
        </w:tc>
      </w:tr>
      <w:tr w14:paraId="5379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76DC3"/>
        </w:tc>
        <w:tc>
          <w:tcPr>
            <w:tcW w:w="2268" w:type="dxa"/>
            <w:vAlign w:val="center"/>
          </w:tcPr>
          <w:p w14:paraId="0A743702">
            <w:pPr>
              <w:pStyle w:val="12"/>
            </w:pPr>
            <w:r>
              <w:t>时效指标</w:t>
            </w:r>
          </w:p>
        </w:tc>
        <w:tc>
          <w:tcPr>
            <w:tcW w:w="2835" w:type="dxa"/>
            <w:vAlign w:val="center"/>
          </w:tcPr>
          <w:p w14:paraId="219A2DFD">
            <w:pPr>
              <w:pStyle w:val="12"/>
            </w:pPr>
            <w:r>
              <w:t>资金支付率</w:t>
            </w:r>
          </w:p>
        </w:tc>
        <w:tc>
          <w:tcPr>
            <w:tcW w:w="5386" w:type="dxa"/>
            <w:vAlign w:val="center"/>
          </w:tcPr>
          <w:p w14:paraId="0C89B0ED">
            <w:pPr>
              <w:pStyle w:val="12"/>
            </w:pPr>
            <w:r>
              <w:t>按照序时进度完成资金支付</w:t>
            </w:r>
          </w:p>
        </w:tc>
        <w:tc>
          <w:tcPr>
            <w:tcW w:w="2268" w:type="dxa"/>
            <w:vAlign w:val="center"/>
          </w:tcPr>
          <w:p w14:paraId="4847237A">
            <w:pPr>
              <w:pStyle w:val="12"/>
            </w:pPr>
            <w:r>
              <w:t>100%</w:t>
            </w:r>
          </w:p>
        </w:tc>
        <w:tc>
          <w:tcPr>
            <w:tcW w:w="1276" w:type="dxa"/>
            <w:vAlign w:val="center"/>
          </w:tcPr>
          <w:p w14:paraId="4BE0CE49">
            <w:pPr>
              <w:pStyle w:val="12"/>
            </w:pPr>
            <w:r>
              <w:t>支持学前教育发展管理方法</w:t>
            </w:r>
          </w:p>
        </w:tc>
      </w:tr>
      <w:tr w14:paraId="46C9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62B3D"/>
        </w:tc>
        <w:tc>
          <w:tcPr>
            <w:tcW w:w="2268" w:type="dxa"/>
            <w:vAlign w:val="center"/>
          </w:tcPr>
          <w:p w14:paraId="2E914CAF">
            <w:pPr>
              <w:pStyle w:val="12"/>
            </w:pPr>
            <w:r>
              <w:t>成本指标</w:t>
            </w:r>
          </w:p>
        </w:tc>
        <w:tc>
          <w:tcPr>
            <w:tcW w:w="2835" w:type="dxa"/>
            <w:vAlign w:val="center"/>
          </w:tcPr>
          <w:p w14:paraId="2AB6DD68">
            <w:pPr>
              <w:pStyle w:val="12"/>
            </w:pPr>
            <w:r>
              <w:t xml:space="preserve"> 免保育教育费补助</w:t>
            </w:r>
          </w:p>
        </w:tc>
        <w:tc>
          <w:tcPr>
            <w:tcW w:w="5386" w:type="dxa"/>
            <w:vAlign w:val="center"/>
          </w:tcPr>
          <w:p w14:paraId="39A1FE2C">
            <w:pPr>
              <w:pStyle w:val="12"/>
            </w:pPr>
            <w:r>
              <w:t>免保育教育费补助</w:t>
            </w:r>
          </w:p>
        </w:tc>
        <w:tc>
          <w:tcPr>
            <w:tcW w:w="2268" w:type="dxa"/>
            <w:vAlign w:val="center"/>
          </w:tcPr>
          <w:p w14:paraId="0CD35707">
            <w:pPr>
              <w:pStyle w:val="12"/>
            </w:pPr>
            <w:r>
              <w:t>23821元</w:t>
            </w:r>
          </w:p>
        </w:tc>
        <w:tc>
          <w:tcPr>
            <w:tcW w:w="1276" w:type="dxa"/>
            <w:vAlign w:val="center"/>
          </w:tcPr>
          <w:p w14:paraId="5F9746BC">
            <w:pPr>
              <w:pStyle w:val="12"/>
            </w:pPr>
            <w:r>
              <w:t>支持学前教育发展管理方法</w:t>
            </w:r>
          </w:p>
        </w:tc>
      </w:tr>
      <w:tr w14:paraId="76EB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B825F">
            <w:pPr>
              <w:pStyle w:val="13"/>
            </w:pPr>
            <w:r>
              <w:t>效益指标</w:t>
            </w:r>
          </w:p>
        </w:tc>
        <w:tc>
          <w:tcPr>
            <w:tcW w:w="2268" w:type="dxa"/>
            <w:vAlign w:val="center"/>
          </w:tcPr>
          <w:p w14:paraId="6BC3B693">
            <w:pPr>
              <w:pStyle w:val="12"/>
            </w:pPr>
            <w:r>
              <w:t>可持续影响指标</w:t>
            </w:r>
          </w:p>
        </w:tc>
        <w:tc>
          <w:tcPr>
            <w:tcW w:w="2835" w:type="dxa"/>
            <w:vAlign w:val="center"/>
          </w:tcPr>
          <w:p w14:paraId="555CD072">
            <w:pPr>
              <w:pStyle w:val="12"/>
            </w:pPr>
            <w:r>
              <w:t>学校运转得到提升</w:t>
            </w:r>
          </w:p>
        </w:tc>
        <w:tc>
          <w:tcPr>
            <w:tcW w:w="5386" w:type="dxa"/>
            <w:vAlign w:val="center"/>
          </w:tcPr>
          <w:p w14:paraId="093753B8">
            <w:pPr>
              <w:pStyle w:val="12"/>
            </w:pPr>
            <w:r>
              <w:t>幼儿受教育年限</w:t>
            </w:r>
          </w:p>
        </w:tc>
        <w:tc>
          <w:tcPr>
            <w:tcW w:w="2268" w:type="dxa"/>
            <w:vAlign w:val="center"/>
          </w:tcPr>
          <w:p w14:paraId="4B18E47E">
            <w:pPr>
              <w:pStyle w:val="12"/>
            </w:pPr>
            <w:r>
              <w:t>3年</w:t>
            </w:r>
          </w:p>
        </w:tc>
        <w:tc>
          <w:tcPr>
            <w:tcW w:w="1276" w:type="dxa"/>
            <w:vAlign w:val="center"/>
          </w:tcPr>
          <w:p w14:paraId="39F4526A">
            <w:pPr>
              <w:pStyle w:val="12"/>
            </w:pPr>
            <w:r>
              <w:t>支持学前教育发展管理方法</w:t>
            </w:r>
          </w:p>
        </w:tc>
      </w:tr>
      <w:tr w14:paraId="70E2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CF1B5">
            <w:pPr>
              <w:pStyle w:val="13"/>
            </w:pPr>
            <w:r>
              <w:t>满意度指标</w:t>
            </w:r>
          </w:p>
        </w:tc>
        <w:tc>
          <w:tcPr>
            <w:tcW w:w="2268" w:type="dxa"/>
            <w:vAlign w:val="center"/>
          </w:tcPr>
          <w:p w14:paraId="0707FD69">
            <w:pPr>
              <w:pStyle w:val="12"/>
            </w:pPr>
            <w:r>
              <w:t>服务对象满意度指标</w:t>
            </w:r>
          </w:p>
        </w:tc>
        <w:tc>
          <w:tcPr>
            <w:tcW w:w="2835" w:type="dxa"/>
            <w:vAlign w:val="center"/>
          </w:tcPr>
          <w:p w14:paraId="5453B16E">
            <w:pPr>
              <w:pStyle w:val="12"/>
            </w:pPr>
            <w:r>
              <w:t>受益学生家长及调查满意度</w:t>
            </w:r>
          </w:p>
        </w:tc>
        <w:tc>
          <w:tcPr>
            <w:tcW w:w="5386" w:type="dxa"/>
            <w:vAlign w:val="center"/>
          </w:tcPr>
          <w:p w14:paraId="2408431A">
            <w:pPr>
              <w:pStyle w:val="12"/>
            </w:pPr>
            <w:r>
              <w:t>学生、教师及家长对学校保教保育工作满意度情况</w:t>
            </w:r>
          </w:p>
        </w:tc>
        <w:tc>
          <w:tcPr>
            <w:tcW w:w="2268" w:type="dxa"/>
            <w:vAlign w:val="center"/>
          </w:tcPr>
          <w:p w14:paraId="53990977">
            <w:pPr>
              <w:pStyle w:val="12"/>
            </w:pPr>
            <w:r>
              <w:t>≥95%</w:t>
            </w:r>
          </w:p>
        </w:tc>
        <w:tc>
          <w:tcPr>
            <w:tcW w:w="1276" w:type="dxa"/>
            <w:vAlign w:val="center"/>
          </w:tcPr>
          <w:p w14:paraId="01A7E3DF">
            <w:pPr>
              <w:pStyle w:val="12"/>
            </w:pPr>
            <w:r>
              <w:t>支持学前教育发展管理方法</w:t>
            </w:r>
          </w:p>
        </w:tc>
      </w:tr>
    </w:tbl>
    <w:p w14:paraId="772BA206">
      <w:pPr>
        <w:sectPr>
          <w:pgSz w:w="16840" w:h="11900" w:orient="landscape"/>
          <w:pgMar w:top="1361" w:right="1020" w:bottom="1134" w:left="1020" w:header="720" w:footer="720" w:gutter="0"/>
          <w:cols w:space="720" w:num="1"/>
        </w:sectPr>
      </w:pPr>
    </w:p>
    <w:p w14:paraId="6CBA56C6">
      <w:pPr>
        <w:spacing w:before="0" w:after="0"/>
        <w:ind w:firstLine="560"/>
        <w:jc w:val="left"/>
        <w:outlineLvl w:val="9"/>
      </w:pPr>
      <w:r>
        <w:rPr>
          <w:rFonts w:ascii="方正仿宋_GBK" w:hAnsi="方正仿宋_GBK" w:eastAsia="方正仿宋_GBK" w:cs="方正仿宋_GBK"/>
          <w:b/>
          <w:color w:val="000000"/>
          <w:sz w:val="28"/>
        </w:rPr>
        <w:t>4、冀财教[2025]149号/省级/2026年学前发展资金/唐尧街幼儿园学前教育公用经费绩效目标表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76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5F678">
            <w:pPr>
              <w:pStyle w:val="11"/>
            </w:pPr>
            <w:r>
              <w:t>单位：万元</w:t>
            </w:r>
          </w:p>
        </w:tc>
      </w:tr>
      <w:tr w14:paraId="55FF2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D2A9D">
            <w:pPr>
              <w:pStyle w:val="10"/>
            </w:pPr>
            <w:r>
              <w:t>项目编码</w:t>
            </w:r>
          </w:p>
        </w:tc>
        <w:tc>
          <w:tcPr>
            <w:tcW w:w="5103" w:type="dxa"/>
            <w:gridSpan w:val="2"/>
            <w:vAlign w:val="center"/>
          </w:tcPr>
          <w:p w14:paraId="65A79A24">
            <w:pPr>
              <w:pStyle w:val="12"/>
            </w:pPr>
            <w:r>
              <w:t>13052526P008757101169</w:t>
            </w:r>
          </w:p>
        </w:tc>
        <w:tc>
          <w:tcPr>
            <w:tcW w:w="2835" w:type="dxa"/>
            <w:vAlign w:val="center"/>
          </w:tcPr>
          <w:p w14:paraId="4FF7FE78">
            <w:pPr>
              <w:pStyle w:val="10"/>
            </w:pPr>
            <w:r>
              <w:t>项目名称</w:t>
            </w:r>
          </w:p>
        </w:tc>
        <w:tc>
          <w:tcPr>
            <w:tcW w:w="6095" w:type="dxa"/>
            <w:gridSpan w:val="3"/>
            <w:vAlign w:val="center"/>
          </w:tcPr>
          <w:p w14:paraId="10D81F66">
            <w:pPr>
              <w:pStyle w:val="12"/>
            </w:pPr>
            <w:r>
              <w:t>冀财教[2025]149号/省级/2026年学前发展资金/唐尧街幼儿园学前教育公用经费</w:t>
            </w:r>
          </w:p>
        </w:tc>
      </w:tr>
      <w:tr w14:paraId="53C6F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729C2">
            <w:pPr>
              <w:pStyle w:val="10"/>
            </w:pPr>
            <w:r>
              <w:t>预算规模及资金用途</w:t>
            </w:r>
          </w:p>
        </w:tc>
        <w:tc>
          <w:tcPr>
            <w:tcW w:w="2268" w:type="dxa"/>
            <w:vAlign w:val="center"/>
          </w:tcPr>
          <w:p w14:paraId="5D3B1437">
            <w:pPr>
              <w:pStyle w:val="10"/>
            </w:pPr>
            <w:r>
              <w:t>预算数</w:t>
            </w:r>
          </w:p>
        </w:tc>
        <w:tc>
          <w:tcPr>
            <w:tcW w:w="2835" w:type="dxa"/>
            <w:vAlign w:val="center"/>
          </w:tcPr>
          <w:p w14:paraId="6AF4FACB">
            <w:pPr>
              <w:pStyle w:val="12"/>
            </w:pPr>
            <w:r>
              <w:t>9.11</w:t>
            </w:r>
          </w:p>
        </w:tc>
        <w:tc>
          <w:tcPr>
            <w:tcW w:w="2835" w:type="dxa"/>
            <w:vAlign w:val="center"/>
          </w:tcPr>
          <w:p w14:paraId="479A2453">
            <w:pPr>
              <w:pStyle w:val="10"/>
            </w:pPr>
            <w:r>
              <w:t>其中：财政    资金</w:t>
            </w:r>
          </w:p>
        </w:tc>
        <w:tc>
          <w:tcPr>
            <w:tcW w:w="2551" w:type="dxa"/>
            <w:vAlign w:val="center"/>
          </w:tcPr>
          <w:p w14:paraId="30F20390">
            <w:pPr>
              <w:pStyle w:val="12"/>
            </w:pPr>
            <w:r>
              <w:t>9.11</w:t>
            </w:r>
          </w:p>
        </w:tc>
        <w:tc>
          <w:tcPr>
            <w:tcW w:w="2268" w:type="dxa"/>
            <w:vAlign w:val="center"/>
          </w:tcPr>
          <w:p w14:paraId="76F03426">
            <w:pPr>
              <w:pStyle w:val="10"/>
            </w:pPr>
            <w:r>
              <w:t>其他资金</w:t>
            </w:r>
          </w:p>
        </w:tc>
        <w:tc>
          <w:tcPr>
            <w:tcW w:w="1276" w:type="dxa"/>
            <w:vAlign w:val="center"/>
          </w:tcPr>
          <w:p w14:paraId="47D16E7A">
            <w:pPr>
              <w:pStyle w:val="12"/>
            </w:pPr>
            <w:r>
              <w:t xml:space="preserve"> </w:t>
            </w:r>
          </w:p>
        </w:tc>
      </w:tr>
      <w:tr w14:paraId="60704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3DFC7"/>
        </w:tc>
        <w:tc>
          <w:tcPr>
            <w:tcW w:w="14033" w:type="dxa"/>
            <w:gridSpan w:val="6"/>
            <w:vAlign w:val="center"/>
          </w:tcPr>
          <w:p w14:paraId="74A693DA">
            <w:pPr>
              <w:pStyle w:val="12"/>
            </w:pPr>
            <w:r>
              <w:t>""</w:t>
            </w:r>
            <w:r>
              <w:rPr>
                <w:rFonts w:hint="eastAsia"/>
                <w:lang w:eastAsia="zh-CN"/>
              </w:rPr>
              <w:t>”</w:t>
            </w:r>
            <w:r>
              <w:t>保障幼儿园正常运转，完成教育教学活动和其他日常工作任务等方面的费用支出。</w:t>
            </w:r>
            <w:r>
              <w:tab/>
            </w:r>
            <w:r>
              <w:tab/>
            </w:r>
            <w:r>
              <w:tab/>
            </w:r>
            <w:r>
              <w:tab/>
            </w:r>
            <w:r>
              <w:tab/>
            </w:r>
            <w:r>
              <w:tab/>
            </w:r>
          </w:p>
          <w:p w14:paraId="671F11C7">
            <w:pPr>
              <w:pStyle w:val="12"/>
            </w:pPr>
            <w:r>
              <w:t>""</w:t>
            </w:r>
            <w:r>
              <w:tab/>
            </w:r>
            <w:r>
              <w:tab/>
            </w:r>
            <w:r>
              <w:tab/>
            </w:r>
            <w:r>
              <w:tab/>
            </w:r>
            <w:r>
              <w:tab/>
            </w:r>
            <w:r>
              <w:tab/>
            </w:r>
          </w:p>
          <w:p w14:paraId="1B73B026">
            <w:pPr>
              <w:pStyle w:val="12"/>
            </w:pPr>
            <w:r>
              <w:t>"</w:t>
            </w:r>
            <w:r>
              <w:tab/>
            </w:r>
            <w:r>
              <w:tab/>
            </w:r>
            <w:r>
              <w:tab/>
            </w:r>
            <w:r>
              <w:tab/>
            </w:r>
            <w:r>
              <w:tab/>
            </w:r>
            <w:r>
              <w:tab/>
            </w:r>
          </w:p>
          <w:p w14:paraId="7770C333">
            <w:pPr>
              <w:pStyle w:val="12"/>
            </w:pPr>
          </w:p>
        </w:tc>
      </w:tr>
      <w:tr w14:paraId="5D7AC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98612">
            <w:pPr>
              <w:pStyle w:val="10"/>
            </w:pPr>
            <w:r>
              <w:t>资金支出计划（%）</w:t>
            </w:r>
          </w:p>
        </w:tc>
        <w:tc>
          <w:tcPr>
            <w:tcW w:w="5103" w:type="dxa"/>
            <w:gridSpan w:val="2"/>
            <w:vAlign w:val="center"/>
          </w:tcPr>
          <w:p w14:paraId="1038434D">
            <w:pPr>
              <w:pStyle w:val="10"/>
            </w:pPr>
            <w:r>
              <w:t>3月底</w:t>
            </w:r>
          </w:p>
        </w:tc>
        <w:tc>
          <w:tcPr>
            <w:tcW w:w="2835" w:type="dxa"/>
            <w:vAlign w:val="center"/>
          </w:tcPr>
          <w:p w14:paraId="5C6F8E02">
            <w:pPr>
              <w:pStyle w:val="10"/>
            </w:pPr>
            <w:r>
              <w:t>6月底</w:t>
            </w:r>
          </w:p>
        </w:tc>
        <w:tc>
          <w:tcPr>
            <w:tcW w:w="2551" w:type="dxa"/>
            <w:vAlign w:val="center"/>
          </w:tcPr>
          <w:p w14:paraId="43786FEF">
            <w:pPr>
              <w:pStyle w:val="10"/>
            </w:pPr>
            <w:r>
              <w:t>10月底</w:t>
            </w:r>
          </w:p>
        </w:tc>
        <w:tc>
          <w:tcPr>
            <w:tcW w:w="3544" w:type="dxa"/>
            <w:gridSpan w:val="2"/>
            <w:vAlign w:val="center"/>
          </w:tcPr>
          <w:p w14:paraId="0D6A85A6">
            <w:pPr>
              <w:pStyle w:val="10"/>
            </w:pPr>
            <w:r>
              <w:t>12月底</w:t>
            </w:r>
          </w:p>
        </w:tc>
      </w:tr>
      <w:tr w14:paraId="5984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755E3"/>
        </w:tc>
        <w:tc>
          <w:tcPr>
            <w:tcW w:w="5103" w:type="dxa"/>
            <w:gridSpan w:val="2"/>
            <w:vAlign w:val="center"/>
          </w:tcPr>
          <w:p w14:paraId="71E95B64">
            <w:pPr>
              <w:pStyle w:val="13"/>
            </w:pPr>
            <w:r>
              <w:t>25%</w:t>
            </w:r>
          </w:p>
        </w:tc>
        <w:tc>
          <w:tcPr>
            <w:tcW w:w="2835" w:type="dxa"/>
            <w:vAlign w:val="center"/>
          </w:tcPr>
          <w:p w14:paraId="51E3935F">
            <w:pPr>
              <w:pStyle w:val="13"/>
            </w:pPr>
            <w:r>
              <w:t>50%</w:t>
            </w:r>
          </w:p>
        </w:tc>
        <w:tc>
          <w:tcPr>
            <w:tcW w:w="2551" w:type="dxa"/>
            <w:vAlign w:val="center"/>
          </w:tcPr>
          <w:p w14:paraId="76ADB6B5">
            <w:pPr>
              <w:pStyle w:val="13"/>
            </w:pPr>
            <w:r>
              <w:t>75%</w:t>
            </w:r>
          </w:p>
        </w:tc>
        <w:tc>
          <w:tcPr>
            <w:tcW w:w="3544" w:type="dxa"/>
            <w:gridSpan w:val="2"/>
            <w:vAlign w:val="center"/>
          </w:tcPr>
          <w:p w14:paraId="1F10A8DE">
            <w:pPr>
              <w:pStyle w:val="13"/>
            </w:pPr>
            <w:r>
              <w:t>100%</w:t>
            </w:r>
          </w:p>
        </w:tc>
      </w:tr>
      <w:tr w14:paraId="3E6AA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90106">
            <w:pPr>
              <w:pStyle w:val="10"/>
            </w:pPr>
            <w:r>
              <w:t>绩效目标</w:t>
            </w:r>
          </w:p>
        </w:tc>
        <w:tc>
          <w:tcPr>
            <w:tcW w:w="14033" w:type="dxa"/>
            <w:gridSpan w:val="6"/>
            <w:vAlign w:val="center"/>
          </w:tcPr>
          <w:p w14:paraId="218DA117">
            <w:pPr>
              <w:pStyle w:val="12"/>
            </w:pPr>
            <w:r>
              <w:t>1."保障幼儿园正常运转，完成教育教学活动和其他日常工作任务等方面的费用支出。</w:t>
            </w:r>
            <w:r>
              <w:tab/>
            </w:r>
            <w:r>
              <w:tab/>
            </w:r>
            <w:r>
              <w:tab/>
            </w:r>
            <w:r>
              <w:tab/>
            </w:r>
            <w:r>
              <w:tab/>
            </w:r>
            <w:r>
              <w:tab/>
            </w:r>
          </w:p>
          <w:p w14:paraId="2045F966">
            <w:pPr>
              <w:pStyle w:val="12"/>
            </w:pPr>
            <w:r>
              <w:t>"</w:t>
            </w:r>
            <w:r>
              <w:tab/>
            </w:r>
            <w:r>
              <w:tab/>
            </w:r>
            <w:r>
              <w:tab/>
            </w:r>
            <w:r>
              <w:tab/>
            </w:r>
            <w:r>
              <w:tab/>
            </w:r>
            <w:r>
              <w:tab/>
            </w:r>
          </w:p>
          <w:p w14:paraId="259EF504">
            <w:pPr>
              <w:pStyle w:val="12"/>
            </w:pPr>
          </w:p>
        </w:tc>
      </w:tr>
    </w:tbl>
    <w:p w14:paraId="39C8E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9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4A6B6">
            <w:pPr>
              <w:pStyle w:val="10"/>
            </w:pPr>
            <w:r>
              <w:t>一级指标</w:t>
            </w:r>
          </w:p>
        </w:tc>
        <w:tc>
          <w:tcPr>
            <w:tcW w:w="2268" w:type="dxa"/>
            <w:vAlign w:val="center"/>
          </w:tcPr>
          <w:p w14:paraId="50998A24">
            <w:pPr>
              <w:pStyle w:val="10"/>
            </w:pPr>
            <w:r>
              <w:t>二级指标</w:t>
            </w:r>
          </w:p>
        </w:tc>
        <w:tc>
          <w:tcPr>
            <w:tcW w:w="2835" w:type="dxa"/>
            <w:vAlign w:val="center"/>
          </w:tcPr>
          <w:p w14:paraId="4AFAC790">
            <w:pPr>
              <w:pStyle w:val="10"/>
            </w:pPr>
            <w:r>
              <w:t>三级指标</w:t>
            </w:r>
          </w:p>
        </w:tc>
        <w:tc>
          <w:tcPr>
            <w:tcW w:w="5386" w:type="dxa"/>
            <w:vAlign w:val="center"/>
          </w:tcPr>
          <w:p w14:paraId="1C237B56">
            <w:pPr>
              <w:pStyle w:val="10"/>
            </w:pPr>
            <w:r>
              <w:t>绩效指标描述</w:t>
            </w:r>
          </w:p>
        </w:tc>
        <w:tc>
          <w:tcPr>
            <w:tcW w:w="2268" w:type="dxa"/>
            <w:vAlign w:val="center"/>
          </w:tcPr>
          <w:p w14:paraId="0C4FD0BA">
            <w:pPr>
              <w:pStyle w:val="10"/>
            </w:pPr>
            <w:r>
              <w:t>指标值</w:t>
            </w:r>
          </w:p>
        </w:tc>
        <w:tc>
          <w:tcPr>
            <w:tcW w:w="1276" w:type="dxa"/>
            <w:vAlign w:val="center"/>
          </w:tcPr>
          <w:p w14:paraId="7131A16A">
            <w:pPr>
              <w:pStyle w:val="10"/>
            </w:pPr>
            <w:r>
              <w:t>指标值确定依据</w:t>
            </w:r>
          </w:p>
        </w:tc>
      </w:tr>
      <w:tr w14:paraId="22B0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138A1">
            <w:pPr>
              <w:pStyle w:val="13"/>
            </w:pPr>
            <w:r>
              <w:t>产出指标</w:t>
            </w:r>
          </w:p>
        </w:tc>
        <w:tc>
          <w:tcPr>
            <w:tcW w:w="2268" w:type="dxa"/>
            <w:vAlign w:val="center"/>
          </w:tcPr>
          <w:p w14:paraId="7C166DB3">
            <w:pPr>
              <w:pStyle w:val="12"/>
            </w:pPr>
            <w:r>
              <w:t>数量指标</w:t>
            </w:r>
          </w:p>
        </w:tc>
        <w:tc>
          <w:tcPr>
            <w:tcW w:w="2835" w:type="dxa"/>
            <w:vAlign w:val="center"/>
          </w:tcPr>
          <w:p w14:paraId="4B1F58CB">
            <w:pPr>
              <w:pStyle w:val="12"/>
            </w:pPr>
            <w:r>
              <w:t>适龄在园生</w:t>
            </w:r>
          </w:p>
        </w:tc>
        <w:tc>
          <w:tcPr>
            <w:tcW w:w="5386" w:type="dxa"/>
            <w:vAlign w:val="center"/>
          </w:tcPr>
          <w:p w14:paraId="014047A4">
            <w:pPr>
              <w:pStyle w:val="12"/>
            </w:pPr>
            <w:r>
              <w:t>适龄在园学生人数</w:t>
            </w:r>
          </w:p>
        </w:tc>
        <w:tc>
          <w:tcPr>
            <w:tcW w:w="2268" w:type="dxa"/>
            <w:vAlign w:val="center"/>
          </w:tcPr>
          <w:p w14:paraId="47948075">
            <w:pPr>
              <w:pStyle w:val="12"/>
            </w:pPr>
            <w:r>
              <w:t>274人</w:t>
            </w:r>
          </w:p>
        </w:tc>
        <w:tc>
          <w:tcPr>
            <w:tcW w:w="1276" w:type="dxa"/>
            <w:vAlign w:val="center"/>
          </w:tcPr>
          <w:p w14:paraId="5BBD23D9">
            <w:pPr>
              <w:pStyle w:val="12"/>
            </w:pPr>
            <w:r>
              <w:t>学前公用经费管理办法</w:t>
            </w:r>
          </w:p>
        </w:tc>
      </w:tr>
      <w:tr w14:paraId="2456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FF091"/>
        </w:tc>
        <w:tc>
          <w:tcPr>
            <w:tcW w:w="2268" w:type="dxa"/>
            <w:vAlign w:val="center"/>
          </w:tcPr>
          <w:p w14:paraId="27975327">
            <w:pPr>
              <w:pStyle w:val="12"/>
            </w:pPr>
            <w:r>
              <w:t>质量指标</w:t>
            </w:r>
          </w:p>
        </w:tc>
        <w:tc>
          <w:tcPr>
            <w:tcW w:w="2835" w:type="dxa"/>
            <w:vAlign w:val="center"/>
          </w:tcPr>
          <w:p w14:paraId="266C9577">
            <w:pPr>
              <w:pStyle w:val="12"/>
            </w:pPr>
            <w:r>
              <w:t>预算控制率</w:t>
            </w:r>
          </w:p>
        </w:tc>
        <w:tc>
          <w:tcPr>
            <w:tcW w:w="5386" w:type="dxa"/>
            <w:vAlign w:val="center"/>
          </w:tcPr>
          <w:p w14:paraId="3498A0AB">
            <w:pPr>
              <w:pStyle w:val="12"/>
            </w:pPr>
            <w:r>
              <w:t>预算执行</w:t>
            </w:r>
          </w:p>
        </w:tc>
        <w:tc>
          <w:tcPr>
            <w:tcW w:w="2268" w:type="dxa"/>
            <w:vAlign w:val="center"/>
          </w:tcPr>
          <w:p w14:paraId="45B92096">
            <w:pPr>
              <w:pStyle w:val="12"/>
            </w:pPr>
            <w:r>
              <w:t>≥95%</w:t>
            </w:r>
          </w:p>
        </w:tc>
        <w:tc>
          <w:tcPr>
            <w:tcW w:w="1276" w:type="dxa"/>
            <w:vAlign w:val="center"/>
          </w:tcPr>
          <w:p w14:paraId="734ECCC7">
            <w:pPr>
              <w:pStyle w:val="12"/>
            </w:pPr>
            <w:r>
              <w:t>学前公用经费管理办法</w:t>
            </w:r>
          </w:p>
        </w:tc>
      </w:tr>
      <w:tr w14:paraId="590E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9BE3B"/>
        </w:tc>
        <w:tc>
          <w:tcPr>
            <w:tcW w:w="2268" w:type="dxa"/>
            <w:vAlign w:val="center"/>
          </w:tcPr>
          <w:p w14:paraId="615F954A">
            <w:pPr>
              <w:pStyle w:val="12"/>
            </w:pPr>
            <w:r>
              <w:t>时效指标</w:t>
            </w:r>
          </w:p>
        </w:tc>
        <w:tc>
          <w:tcPr>
            <w:tcW w:w="2835" w:type="dxa"/>
            <w:vAlign w:val="center"/>
          </w:tcPr>
          <w:p w14:paraId="25F08ADD">
            <w:pPr>
              <w:pStyle w:val="12"/>
            </w:pPr>
            <w:r>
              <w:t>资金支付率</w:t>
            </w:r>
          </w:p>
        </w:tc>
        <w:tc>
          <w:tcPr>
            <w:tcW w:w="5386" w:type="dxa"/>
            <w:vAlign w:val="center"/>
          </w:tcPr>
          <w:p w14:paraId="1C5FF4CC">
            <w:pPr>
              <w:pStyle w:val="12"/>
            </w:pPr>
            <w:r>
              <w:t>按照序时进度完成资金支付</w:t>
            </w:r>
          </w:p>
        </w:tc>
        <w:tc>
          <w:tcPr>
            <w:tcW w:w="2268" w:type="dxa"/>
            <w:vAlign w:val="center"/>
          </w:tcPr>
          <w:p w14:paraId="01072BC9">
            <w:pPr>
              <w:pStyle w:val="12"/>
            </w:pPr>
            <w:r>
              <w:t>100%</w:t>
            </w:r>
          </w:p>
        </w:tc>
        <w:tc>
          <w:tcPr>
            <w:tcW w:w="1276" w:type="dxa"/>
            <w:vAlign w:val="center"/>
          </w:tcPr>
          <w:p w14:paraId="526DB556">
            <w:pPr>
              <w:pStyle w:val="12"/>
            </w:pPr>
            <w:r>
              <w:t>学前公用经费管理办法</w:t>
            </w:r>
          </w:p>
        </w:tc>
      </w:tr>
      <w:tr w14:paraId="288B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970F8"/>
        </w:tc>
        <w:tc>
          <w:tcPr>
            <w:tcW w:w="2268" w:type="dxa"/>
            <w:vAlign w:val="center"/>
          </w:tcPr>
          <w:p w14:paraId="7E445F28">
            <w:pPr>
              <w:pStyle w:val="12"/>
            </w:pPr>
            <w:r>
              <w:t>成本指标</w:t>
            </w:r>
          </w:p>
        </w:tc>
        <w:tc>
          <w:tcPr>
            <w:tcW w:w="2835" w:type="dxa"/>
            <w:vAlign w:val="center"/>
          </w:tcPr>
          <w:p w14:paraId="09790B61">
            <w:pPr>
              <w:pStyle w:val="12"/>
            </w:pPr>
            <w:r>
              <w:t>生均拨款标准</w:t>
            </w:r>
          </w:p>
        </w:tc>
        <w:tc>
          <w:tcPr>
            <w:tcW w:w="5386" w:type="dxa"/>
            <w:vAlign w:val="center"/>
          </w:tcPr>
          <w:p w14:paraId="5E87E389">
            <w:pPr>
              <w:pStyle w:val="12"/>
            </w:pPr>
            <w:r>
              <w:t>学前：（基本标准600元/生/学年）</w:t>
            </w:r>
          </w:p>
        </w:tc>
        <w:tc>
          <w:tcPr>
            <w:tcW w:w="2268" w:type="dxa"/>
            <w:vAlign w:val="center"/>
          </w:tcPr>
          <w:p w14:paraId="239351C4">
            <w:pPr>
              <w:pStyle w:val="12"/>
            </w:pPr>
            <w:r>
              <w:t>600元</w:t>
            </w:r>
          </w:p>
        </w:tc>
        <w:tc>
          <w:tcPr>
            <w:tcW w:w="1276" w:type="dxa"/>
            <w:vAlign w:val="center"/>
          </w:tcPr>
          <w:p w14:paraId="01E48287">
            <w:pPr>
              <w:pStyle w:val="12"/>
            </w:pPr>
            <w:r>
              <w:t>学前公用经费管理办法</w:t>
            </w:r>
          </w:p>
        </w:tc>
      </w:tr>
      <w:tr w14:paraId="5A03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00BDD">
            <w:pPr>
              <w:pStyle w:val="13"/>
            </w:pPr>
            <w:r>
              <w:t>效益指标</w:t>
            </w:r>
          </w:p>
        </w:tc>
        <w:tc>
          <w:tcPr>
            <w:tcW w:w="2268" w:type="dxa"/>
            <w:vAlign w:val="center"/>
          </w:tcPr>
          <w:p w14:paraId="1F986626">
            <w:pPr>
              <w:pStyle w:val="12"/>
            </w:pPr>
            <w:r>
              <w:t>可持续影响指标</w:t>
            </w:r>
          </w:p>
        </w:tc>
        <w:tc>
          <w:tcPr>
            <w:tcW w:w="2835" w:type="dxa"/>
            <w:vAlign w:val="center"/>
          </w:tcPr>
          <w:p w14:paraId="261A3716">
            <w:pPr>
              <w:pStyle w:val="12"/>
            </w:pPr>
            <w:r>
              <w:t>学校运转得到提升</w:t>
            </w:r>
          </w:p>
        </w:tc>
        <w:tc>
          <w:tcPr>
            <w:tcW w:w="5386" w:type="dxa"/>
            <w:vAlign w:val="center"/>
          </w:tcPr>
          <w:p w14:paraId="1E0C9952">
            <w:pPr>
              <w:pStyle w:val="12"/>
            </w:pPr>
            <w:r>
              <w:t>幼儿受教育年限</w:t>
            </w:r>
          </w:p>
        </w:tc>
        <w:tc>
          <w:tcPr>
            <w:tcW w:w="2268" w:type="dxa"/>
            <w:vAlign w:val="center"/>
          </w:tcPr>
          <w:p w14:paraId="2845E58C">
            <w:pPr>
              <w:pStyle w:val="12"/>
            </w:pPr>
            <w:r>
              <w:t>3年</w:t>
            </w:r>
          </w:p>
        </w:tc>
        <w:tc>
          <w:tcPr>
            <w:tcW w:w="1276" w:type="dxa"/>
            <w:vAlign w:val="center"/>
          </w:tcPr>
          <w:p w14:paraId="6D02F74F">
            <w:pPr>
              <w:pStyle w:val="12"/>
            </w:pPr>
            <w:r>
              <w:t>学前公用经费管理办法</w:t>
            </w:r>
          </w:p>
        </w:tc>
      </w:tr>
      <w:tr w14:paraId="6B53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92AE9">
            <w:pPr>
              <w:pStyle w:val="13"/>
            </w:pPr>
            <w:r>
              <w:t>满意度指标</w:t>
            </w:r>
          </w:p>
        </w:tc>
        <w:tc>
          <w:tcPr>
            <w:tcW w:w="2268" w:type="dxa"/>
            <w:vAlign w:val="center"/>
          </w:tcPr>
          <w:p w14:paraId="794C12C0">
            <w:pPr>
              <w:pStyle w:val="12"/>
            </w:pPr>
            <w:r>
              <w:t>服务对象满意度指标</w:t>
            </w:r>
          </w:p>
        </w:tc>
        <w:tc>
          <w:tcPr>
            <w:tcW w:w="2835" w:type="dxa"/>
            <w:vAlign w:val="center"/>
          </w:tcPr>
          <w:p w14:paraId="15358162">
            <w:pPr>
              <w:pStyle w:val="12"/>
            </w:pPr>
            <w:r>
              <w:t>受益学生家长及调查满意度</w:t>
            </w:r>
          </w:p>
        </w:tc>
        <w:tc>
          <w:tcPr>
            <w:tcW w:w="5386" w:type="dxa"/>
            <w:vAlign w:val="center"/>
          </w:tcPr>
          <w:p w14:paraId="0298D82E">
            <w:pPr>
              <w:pStyle w:val="12"/>
            </w:pPr>
            <w:r>
              <w:t>学生、教师及家长对学校保教保育工作满意度情况</w:t>
            </w:r>
          </w:p>
        </w:tc>
        <w:tc>
          <w:tcPr>
            <w:tcW w:w="2268" w:type="dxa"/>
            <w:vAlign w:val="center"/>
          </w:tcPr>
          <w:p w14:paraId="57D33247">
            <w:pPr>
              <w:pStyle w:val="12"/>
            </w:pPr>
            <w:r>
              <w:t>≥95%</w:t>
            </w:r>
          </w:p>
        </w:tc>
        <w:tc>
          <w:tcPr>
            <w:tcW w:w="1276" w:type="dxa"/>
            <w:vAlign w:val="center"/>
          </w:tcPr>
          <w:p w14:paraId="5DB8B6DF">
            <w:pPr>
              <w:pStyle w:val="12"/>
            </w:pPr>
            <w:r>
              <w:t>群众测评</w:t>
            </w:r>
          </w:p>
        </w:tc>
      </w:tr>
    </w:tbl>
    <w:p w14:paraId="3AAEF485">
      <w:pPr>
        <w:sectPr>
          <w:pgSz w:w="16840" w:h="11900" w:orient="landscape"/>
          <w:pgMar w:top="1361" w:right="1020" w:bottom="1134" w:left="1020" w:header="720" w:footer="720" w:gutter="0"/>
          <w:cols w:space="720" w:num="1"/>
        </w:sectPr>
      </w:pPr>
    </w:p>
    <w:p w14:paraId="53CE7584">
      <w:pPr>
        <w:spacing w:before="0" w:after="0"/>
        <w:ind w:firstLine="560"/>
        <w:jc w:val="left"/>
        <w:outlineLvl w:val="9"/>
      </w:pPr>
      <w:r>
        <w:rPr>
          <w:rFonts w:ascii="方正仿宋_GBK" w:hAnsi="方正仿宋_GBK" w:eastAsia="方正仿宋_GBK" w:cs="方正仿宋_GBK"/>
          <w:b/>
          <w:color w:val="000000"/>
          <w:sz w:val="28"/>
        </w:rPr>
        <w:t>5、冀财教[2025]149号/省级/2026年学前发展资金/唐尧街幼儿园学前教育幼儿资助绩效目标表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A8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6B4DA">
            <w:pPr>
              <w:pStyle w:val="11"/>
            </w:pPr>
            <w:r>
              <w:t>单位：万元</w:t>
            </w:r>
          </w:p>
        </w:tc>
      </w:tr>
      <w:tr w14:paraId="410A5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8E140">
            <w:pPr>
              <w:pStyle w:val="10"/>
            </w:pPr>
            <w:r>
              <w:t>项目编码</w:t>
            </w:r>
          </w:p>
        </w:tc>
        <w:tc>
          <w:tcPr>
            <w:tcW w:w="5103" w:type="dxa"/>
            <w:gridSpan w:val="2"/>
            <w:vAlign w:val="center"/>
          </w:tcPr>
          <w:p w14:paraId="16F9B81D">
            <w:pPr>
              <w:pStyle w:val="12"/>
            </w:pPr>
            <w:r>
              <w:t>13052526P000002100783</w:t>
            </w:r>
          </w:p>
        </w:tc>
        <w:tc>
          <w:tcPr>
            <w:tcW w:w="2835" w:type="dxa"/>
            <w:vAlign w:val="center"/>
          </w:tcPr>
          <w:p w14:paraId="6DE70F8B">
            <w:pPr>
              <w:pStyle w:val="10"/>
            </w:pPr>
            <w:r>
              <w:t>项目名称</w:t>
            </w:r>
          </w:p>
        </w:tc>
        <w:tc>
          <w:tcPr>
            <w:tcW w:w="6095" w:type="dxa"/>
            <w:gridSpan w:val="3"/>
            <w:vAlign w:val="center"/>
          </w:tcPr>
          <w:p w14:paraId="7D2DB1C7">
            <w:pPr>
              <w:pStyle w:val="12"/>
            </w:pPr>
            <w:r>
              <w:t>冀财教[2025]149号/省级/2026年学前发展资金/唐尧街幼儿园学前教育幼儿资助</w:t>
            </w:r>
          </w:p>
        </w:tc>
      </w:tr>
      <w:tr w14:paraId="307D3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E8F5B">
            <w:pPr>
              <w:pStyle w:val="10"/>
            </w:pPr>
            <w:r>
              <w:t>预算规模及资金用途</w:t>
            </w:r>
          </w:p>
        </w:tc>
        <w:tc>
          <w:tcPr>
            <w:tcW w:w="2268" w:type="dxa"/>
            <w:vAlign w:val="center"/>
          </w:tcPr>
          <w:p w14:paraId="3B16327E">
            <w:pPr>
              <w:pStyle w:val="10"/>
            </w:pPr>
            <w:r>
              <w:t>预算数</w:t>
            </w:r>
          </w:p>
        </w:tc>
        <w:tc>
          <w:tcPr>
            <w:tcW w:w="2835" w:type="dxa"/>
            <w:vAlign w:val="center"/>
          </w:tcPr>
          <w:p w14:paraId="0EB715C4">
            <w:pPr>
              <w:pStyle w:val="12"/>
            </w:pPr>
            <w:r>
              <w:t>0.44</w:t>
            </w:r>
          </w:p>
        </w:tc>
        <w:tc>
          <w:tcPr>
            <w:tcW w:w="2835" w:type="dxa"/>
            <w:vAlign w:val="center"/>
          </w:tcPr>
          <w:p w14:paraId="2AE76B3A">
            <w:pPr>
              <w:pStyle w:val="10"/>
            </w:pPr>
            <w:r>
              <w:t>其中：财政    资金</w:t>
            </w:r>
          </w:p>
        </w:tc>
        <w:tc>
          <w:tcPr>
            <w:tcW w:w="2551" w:type="dxa"/>
            <w:vAlign w:val="center"/>
          </w:tcPr>
          <w:p w14:paraId="0A3D4352">
            <w:pPr>
              <w:pStyle w:val="12"/>
            </w:pPr>
            <w:r>
              <w:t>0.44</w:t>
            </w:r>
          </w:p>
        </w:tc>
        <w:tc>
          <w:tcPr>
            <w:tcW w:w="2268" w:type="dxa"/>
            <w:vAlign w:val="center"/>
          </w:tcPr>
          <w:p w14:paraId="3EBD690A">
            <w:pPr>
              <w:pStyle w:val="10"/>
            </w:pPr>
            <w:r>
              <w:t>其他资金</w:t>
            </w:r>
          </w:p>
        </w:tc>
        <w:tc>
          <w:tcPr>
            <w:tcW w:w="1276" w:type="dxa"/>
            <w:vAlign w:val="center"/>
          </w:tcPr>
          <w:p w14:paraId="1EC38798">
            <w:pPr>
              <w:pStyle w:val="12"/>
            </w:pPr>
            <w:r>
              <w:t xml:space="preserve"> </w:t>
            </w:r>
          </w:p>
        </w:tc>
      </w:tr>
      <w:tr w14:paraId="48EC6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9558E"/>
        </w:tc>
        <w:tc>
          <w:tcPr>
            <w:tcW w:w="14033" w:type="dxa"/>
            <w:gridSpan w:val="6"/>
            <w:vAlign w:val="center"/>
          </w:tcPr>
          <w:p w14:paraId="5B4DAEDD">
            <w:pPr>
              <w:pStyle w:val="12"/>
            </w:pPr>
            <w:r>
              <w:t>保证本年度资助经费足额落实到位，符合享受资助条件的学生应助尽助。</w:t>
            </w:r>
            <w:r>
              <w:tab/>
            </w:r>
          </w:p>
        </w:tc>
      </w:tr>
      <w:tr w14:paraId="2A142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D2C3B">
            <w:pPr>
              <w:pStyle w:val="10"/>
            </w:pPr>
            <w:r>
              <w:t>资金支出计划（%）</w:t>
            </w:r>
          </w:p>
        </w:tc>
        <w:tc>
          <w:tcPr>
            <w:tcW w:w="5103" w:type="dxa"/>
            <w:gridSpan w:val="2"/>
            <w:vAlign w:val="center"/>
          </w:tcPr>
          <w:p w14:paraId="596B72BE">
            <w:pPr>
              <w:pStyle w:val="10"/>
            </w:pPr>
            <w:r>
              <w:t>3月底</w:t>
            </w:r>
          </w:p>
        </w:tc>
        <w:tc>
          <w:tcPr>
            <w:tcW w:w="2835" w:type="dxa"/>
            <w:vAlign w:val="center"/>
          </w:tcPr>
          <w:p w14:paraId="010EF085">
            <w:pPr>
              <w:pStyle w:val="10"/>
            </w:pPr>
            <w:r>
              <w:t>6月底</w:t>
            </w:r>
          </w:p>
        </w:tc>
        <w:tc>
          <w:tcPr>
            <w:tcW w:w="2551" w:type="dxa"/>
            <w:vAlign w:val="center"/>
          </w:tcPr>
          <w:p w14:paraId="09F71891">
            <w:pPr>
              <w:pStyle w:val="10"/>
            </w:pPr>
            <w:r>
              <w:t>10月底</w:t>
            </w:r>
          </w:p>
        </w:tc>
        <w:tc>
          <w:tcPr>
            <w:tcW w:w="3544" w:type="dxa"/>
            <w:gridSpan w:val="2"/>
            <w:vAlign w:val="center"/>
          </w:tcPr>
          <w:p w14:paraId="0578E899">
            <w:pPr>
              <w:pStyle w:val="10"/>
            </w:pPr>
            <w:r>
              <w:t>12月底</w:t>
            </w:r>
          </w:p>
        </w:tc>
      </w:tr>
      <w:tr w14:paraId="1A38D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9BD3F"/>
        </w:tc>
        <w:tc>
          <w:tcPr>
            <w:tcW w:w="5103" w:type="dxa"/>
            <w:gridSpan w:val="2"/>
            <w:vAlign w:val="center"/>
          </w:tcPr>
          <w:p w14:paraId="245EFF64">
            <w:pPr>
              <w:pStyle w:val="13"/>
            </w:pPr>
            <w:r>
              <w:t xml:space="preserve"> </w:t>
            </w:r>
          </w:p>
        </w:tc>
        <w:tc>
          <w:tcPr>
            <w:tcW w:w="2835" w:type="dxa"/>
            <w:vAlign w:val="center"/>
          </w:tcPr>
          <w:p w14:paraId="1327C61E">
            <w:pPr>
              <w:pStyle w:val="13"/>
            </w:pPr>
            <w:r>
              <w:t>50%</w:t>
            </w:r>
          </w:p>
        </w:tc>
        <w:tc>
          <w:tcPr>
            <w:tcW w:w="2551" w:type="dxa"/>
            <w:vAlign w:val="center"/>
          </w:tcPr>
          <w:p w14:paraId="271BEE33">
            <w:pPr>
              <w:pStyle w:val="13"/>
            </w:pPr>
            <w:r>
              <w:t>50%</w:t>
            </w:r>
          </w:p>
        </w:tc>
        <w:tc>
          <w:tcPr>
            <w:tcW w:w="3544" w:type="dxa"/>
            <w:gridSpan w:val="2"/>
            <w:vAlign w:val="center"/>
          </w:tcPr>
          <w:p w14:paraId="2C7EDB99">
            <w:pPr>
              <w:pStyle w:val="13"/>
            </w:pPr>
            <w:r>
              <w:t>100%</w:t>
            </w:r>
          </w:p>
        </w:tc>
      </w:tr>
      <w:tr w14:paraId="3B8F3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7118E">
            <w:pPr>
              <w:pStyle w:val="10"/>
            </w:pPr>
            <w:r>
              <w:t>绩效目标</w:t>
            </w:r>
          </w:p>
        </w:tc>
        <w:tc>
          <w:tcPr>
            <w:tcW w:w="14033" w:type="dxa"/>
            <w:gridSpan w:val="6"/>
            <w:vAlign w:val="center"/>
          </w:tcPr>
          <w:p w14:paraId="20705E34">
            <w:pPr>
              <w:pStyle w:val="12"/>
            </w:pPr>
            <w:r>
              <w:t>1.保障落实建档立卡及家庭经济困难儿童资助所需资金，确保建档立卡等家庭经济困难幼儿优先获得资助</w:t>
            </w:r>
          </w:p>
        </w:tc>
      </w:tr>
    </w:tbl>
    <w:p w14:paraId="71C57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6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FFBCF">
            <w:pPr>
              <w:pStyle w:val="10"/>
            </w:pPr>
            <w:r>
              <w:t>一级指标</w:t>
            </w:r>
          </w:p>
        </w:tc>
        <w:tc>
          <w:tcPr>
            <w:tcW w:w="2268" w:type="dxa"/>
            <w:vAlign w:val="center"/>
          </w:tcPr>
          <w:p w14:paraId="6B643E24">
            <w:pPr>
              <w:pStyle w:val="10"/>
            </w:pPr>
            <w:r>
              <w:t>二级指标</w:t>
            </w:r>
          </w:p>
        </w:tc>
        <w:tc>
          <w:tcPr>
            <w:tcW w:w="2835" w:type="dxa"/>
            <w:vAlign w:val="center"/>
          </w:tcPr>
          <w:p w14:paraId="65C4C1A6">
            <w:pPr>
              <w:pStyle w:val="10"/>
            </w:pPr>
            <w:r>
              <w:t>三级指标</w:t>
            </w:r>
          </w:p>
        </w:tc>
        <w:tc>
          <w:tcPr>
            <w:tcW w:w="5386" w:type="dxa"/>
            <w:vAlign w:val="center"/>
          </w:tcPr>
          <w:p w14:paraId="55EFEB39">
            <w:pPr>
              <w:pStyle w:val="10"/>
            </w:pPr>
            <w:r>
              <w:t>绩效指标描述</w:t>
            </w:r>
          </w:p>
        </w:tc>
        <w:tc>
          <w:tcPr>
            <w:tcW w:w="2268" w:type="dxa"/>
            <w:vAlign w:val="center"/>
          </w:tcPr>
          <w:p w14:paraId="14226236">
            <w:pPr>
              <w:pStyle w:val="10"/>
            </w:pPr>
            <w:r>
              <w:t>指标值</w:t>
            </w:r>
          </w:p>
        </w:tc>
        <w:tc>
          <w:tcPr>
            <w:tcW w:w="1276" w:type="dxa"/>
            <w:vAlign w:val="center"/>
          </w:tcPr>
          <w:p w14:paraId="5E0BF6CF">
            <w:pPr>
              <w:pStyle w:val="10"/>
            </w:pPr>
            <w:r>
              <w:t>指标值确定依据</w:t>
            </w:r>
          </w:p>
        </w:tc>
      </w:tr>
      <w:tr w14:paraId="1D5B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29C55">
            <w:pPr>
              <w:pStyle w:val="13"/>
            </w:pPr>
            <w:r>
              <w:t>产出指标</w:t>
            </w:r>
          </w:p>
        </w:tc>
        <w:tc>
          <w:tcPr>
            <w:tcW w:w="2268" w:type="dxa"/>
            <w:vAlign w:val="center"/>
          </w:tcPr>
          <w:p w14:paraId="3D58ABC1">
            <w:pPr>
              <w:pStyle w:val="12"/>
            </w:pPr>
            <w:r>
              <w:t>数量指标</w:t>
            </w:r>
          </w:p>
        </w:tc>
        <w:tc>
          <w:tcPr>
            <w:tcW w:w="2835" w:type="dxa"/>
            <w:vAlign w:val="center"/>
          </w:tcPr>
          <w:p w14:paraId="3D024CFB">
            <w:pPr>
              <w:pStyle w:val="12"/>
            </w:pPr>
            <w:r>
              <w:t>幼儿资助比例</w:t>
            </w:r>
          </w:p>
        </w:tc>
        <w:tc>
          <w:tcPr>
            <w:tcW w:w="5386" w:type="dxa"/>
            <w:vAlign w:val="center"/>
          </w:tcPr>
          <w:p w14:paraId="19687077">
            <w:pPr>
              <w:pStyle w:val="12"/>
            </w:pPr>
            <w:r>
              <w:t>按学前适龄在园儿童实际资助人数测算</w:t>
            </w:r>
          </w:p>
        </w:tc>
        <w:tc>
          <w:tcPr>
            <w:tcW w:w="2268" w:type="dxa"/>
            <w:vAlign w:val="center"/>
          </w:tcPr>
          <w:p w14:paraId="0413B362">
            <w:pPr>
              <w:pStyle w:val="12"/>
            </w:pPr>
            <w:r>
              <w:t>22人</w:t>
            </w:r>
          </w:p>
        </w:tc>
        <w:tc>
          <w:tcPr>
            <w:tcW w:w="1276" w:type="dxa"/>
            <w:vAlign w:val="center"/>
          </w:tcPr>
          <w:p w14:paraId="247C7E9D">
            <w:pPr>
              <w:pStyle w:val="12"/>
            </w:pPr>
            <w:r>
              <w:t>幼儿资助经费管理办法</w:t>
            </w:r>
          </w:p>
        </w:tc>
      </w:tr>
      <w:tr w14:paraId="276A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971CD"/>
        </w:tc>
        <w:tc>
          <w:tcPr>
            <w:tcW w:w="2268" w:type="dxa"/>
            <w:vAlign w:val="center"/>
          </w:tcPr>
          <w:p w14:paraId="3F343548">
            <w:pPr>
              <w:pStyle w:val="12"/>
            </w:pPr>
            <w:r>
              <w:t>质量指标</w:t>
            </w:r>
          </w:p>
        </w:tc>
        <w:tc>
          <w:tcPr>
            <w:tcW w:w="2835" w:type="dxa"/>
            <w:vAlign w:val="center"/>
          </w:tcPr>
          <w:p w14:paraId="0A17F179">
            <w:pPr>
              <w:pStyle w:val="12"/>
            </w:pPr>
            <w:r>
              <w:t>资助资金使用率</w:t>
            </w:r>
          </w:p>
        </w:tc>
        <w:tc>
          <w:tcPr>
            <w:tcW w:w="5386" w:type="dxa"/>
            <w:vAlign w:val="center"/>
          </w:tcPr>
          <w:p w14:paraId="132FECD5">
            <w:pPr>
              <w:pStyle w:val="12"/>
            </w:pPr>
            <w:r>
              <w:t>符合享受资助条件的学生应助尽助</w:t>
            </w:r>
          </w:p>
        </w:tc>
        <w:tc>
          <w:tcPr>
            <w:tcW w:w="2268" w:type="dxa"/>
            <w:vAlign w:val="center"/>
          </w:tcPr>
          <w:p w14:paraId="7A29A3D2">
            <w:pPr>
              <w:pStyle w:val="12"/>
            </w:pPr>
            <w:r>
              <w:t>100%</w:t>
            </w:r>
          </w:p>
        </w:tc>
        <w:tc>
          <w:tcPr>
            <w:tcW w:w="1276" w:type="dxa"/>
            <w:vAlign w:val="center"/>
          </w:tcPr>
          <w:p w14:paraId="3601DB25">
            <w:pPr>
              <w:pStyle w:val="12"/>
            </w:pPr>
            <w:r>
              <w:t>幼儿资助经费管理办法</w:t>
            </w:r>
          </w:p>
        </w:tc>
      </w:tr>
      <w:tr w14:paraId="3F90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F2A27"/>
        </w:tc>
        <w:tc>
          <w:tcPr>
            <w:tcW w:w="2268" w:type="dxa"/>
            <w:vAlign w:val="center"/>
          </w:tcPr>
          <w:p w14:paraId="389C64AF">
            <w:pPr>
              <w:pStyle w:val="12"/>
            </w:pPr>
            <w:r>
              <w:t>时效指标</w:t>
            </w:r>
          </w:p>
        </w:tc>
        <w:tc>
          <w:tcPr>
            <w:tcW w:w="2835" w:type="dxa"/>
            <w:vAlign w:val="center"/>
          </w:tcPr>
          <w:p w14:paraId="60148444">
            <w:pPr>
              <w:pStyle w:val="12"/>
            </w:pPr>
            <w:r>
              <w:t>资金拨付率</w:t>
            </w:r>
          </w:p>
        </w:tc>
        <w:tc>
          <w:tcPr>
            <w:tcW w:w="5386" w:type="dxa"/>
            <w:vAlign w:val="center"/>
          </w:tcPr>
          <w:p w14:paraId="4759C692">
            <w:pPr>
              <w:pStyle w:val="12"/>
            </w:pPr>
            <w:r>
              <w:t>所有项目资金支付进度</w:t>
            </w:r>
          </w:p>
        </w:tc>
        <w:tc>
          <w:tcPr>
            <w:tcW w:w="2268" w:type="dxa"/>
            <w:vAlign w:val="center"/>
          </w:tcPr>
          <w:p w14:paraId="0093AB95">
            <w:pPr>
              <w:pStyle w:val="12"/>
            </w:pPr>
            <w:r>
              <w:t>100%</w:t>
            </w:r>
          </w:p>
        </w:tc>
        <w:tc>
          <w:tcPr>
            <w:tcW w:w="1276" w:type="dxa"/>
            <w:vAlign w:val="center"/>
          </w:tcPr>
          <w:p w14:paraId="3BBF8D4B">
            <w:pPr>
              <w:pStyle w:val="12"/>
            </w:pPr>
            <w:r>
              <w:t>幼儿资助经费管理办法</w:t>
            </w:r>
          </w:p>
        </w:tc>
      </w:tr>
      <w:tr w14:paraId="3A866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DE6B5"/>
        </w:tc>
        <w:tc>
          <w:tcPr>
            <w:tcW w:w="2268" w:type="dxa"/>
            <w:vAlign w:val="center"/>
          </w:tcPr>
          <w:p w14:paraId="08D10789">
            <w:pPr>
              <w:pStyle w:val="12"/>
            </w:pPr>
            <w:r>
              <w:t>成本指标</w:t>
            </w:r>
          </w:p>
        </w:tc>
        <w:tc>
          <w:tcPr>
            <w:tcW w:w="2835" w:type="dxa"/>
            <w:vAlign w:val="center"/>
          </w:tcPr>
          <w:p w14:paraId="128D5FA8">
            <w:pPr>
              <w:pStyle w:val="12"/>
            </w:pPr>
            <w:r>
              <w:t>幼儿园生均成本</w:t>
            </w:r>
          </w:p>
        </w:tc>
        <w:tc>
          <w:tcPr>
            <w:tcW w:w="5386" w:type="dxa"/>
            <w:vAlign w:val="center"/>
          </w:tcPr>
          <w:p w14:paraId="5C0ACE02">
            <w:pPr>
              <w:pStyle w:val="12"/>
            </w:pPr>
            <w:r>
              <w:t>按照幼儿园资助标准1000元/生/年</w:t>
            </w:r>
          </w:p>
        </w:tc>
        <w:tc>
          <w:tcPr>
            <w:tcW w:w="2268" w:type="dxa"/>
            <w:vAlign w:val="center"/>
          </w:tcPr>
          <w:p w14:paraId="7A61AA12">
            <w:pPr>
              <w:pStyle w:val="12"/>
            </w:pPr>
            <w:r>
              <w:t>1000元</w:t>
            </w:r>
          </w:p>
        </w:tc>
        <w:tc>
          <w:tcPr>
            <w:tcW w:w="1276" w:type="dxa"/>
            <w:vAlign w:val="center"/>
          </w:tcPr>
          <w:p w14:paraId="4CAB9B0B">
            <w:pPr>
              <w:pStyle w:val="12"/>
            </w:pPr>
            <w:r>
              <w:t>幼儿资助经费管理办法</w:t>
            </w:r>
          </w:p>
        </w:tc>
      </w:tr>
      <w:tr w14:paraId="6C75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8965F">
            <w:pPr>
              <w:pStyle w:val="13"/>
            </w:pPr>
            <w:r>
              <w:t>效益指标</w:t>
            </w:r>
          </w:p>
        </w:tc>
        <w:tc>
          <w:tcPr>
            <w:tcW w:w="2268" w:type="dxa"/>
            <w:vAlign w:val="center"/>
          </w:tcPr>
          <w:p w14:paraId="3E75D4BF">
            <w:pPr>
              <w:pStyle w:val="12"/>
            </w:pPr>
            <w:r>
              <w:t>可持续影响指标</w:t>
            </w:r>
          </w:p>
        </w:tc>
        <w:tc>
          <w:tcPr>
            <w:tcW w:w="2835" w:type="dxa"/>
            <w:vAlign w:val="center"/>
          </w:tcPr>
          <w:p w14:paraId="50DD2E21">
            <w:pPr>
              <w:pStyle w:val="12"/>
            </w:pPr>
            <w:r>
              <w:t>幼儿园正常运转</w:t>
            </w:r>
          </w:p>
        </w:tc>
        <w:tc>
          <w:tcPr>
            <w:tcW w:w="5386" w:type="dxa"/>
            <w:vAlign w:val="center"/>
          </w:tcPr>
          <w:p w14:paraId="62229EA9">
            <w:pPr>
              <w:pStyle w:val="12"/>
            </w:pPr>
            <w:r>
              <w:t>幼儿受教育年限</w:t>
            </w:r>
          </w:p>
        </w:tc>
        <w:tc>
          <w:tcPr>
            <w:tcW w:w="2268" w:type="dxa"/>
            <w:vAlign w:val="center"/>
          </w:tcPr>
          <w:p w14:paraId="0C84B3AA">
            <w:pPr>
              <w:pStyle w:val="12"/>
            </w:pPr>
            <w:r>
              <w:t>3年</w:t>
            </w:r>
          </w:p>
        </w:tc>
        <w:tc>
          <w:tcPr>
            <w:tcW w:w="1276" w:type="dxa"/>
            <w:vAlign w:val="center"/>
          </w:tcPr>
          <w:p w14:paraId="34335E6C">
            <w:pPr>
              <w:pStyle w:val="12"/>
            </w:pPr>
            <w:r>
              <w:t>幼儿资助经费管理办法</w:t>
            </w:r>
          </w:p>
        </w:tc>
      </w:tr>
      <w:tr w14:paraId="48BE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284BD">
            <w:pPr>
              <w:pStyle w:val="13"/>
            </w:pPr>
            <w:r>
              <w:t>满意度指标</w:t>
            </w:r>
          </w:p>
        </w:tc>
        <w:tc>
          <w:tcPr>
            <w:tcW w:w="2268" w:type="dxa"/>
            <w:vAlign w:val="center"/>
          </w:tcPr>
          <w:p w14:paraId="0A4279E2">
            <w:pPr>
              <w:pStyle w:val="12"/>
            </w:pPr>
            <w:r>
              <w:t>服务对象满意度指标</w:t>
            </w:r>
          </w:p>
        </w:tc>
        <w:tc>
          <w:tcPr>
            <w:tcW w:w="2835" w:type="dxa"/>
            <w:vAlign w:val="center"/>
          </w:tcPr>
          <w:p w14:paraId="35BFFDC3">
            <w:pPr>
              <w:pStyle w:val="12"/>
            </w:pPr>
            <w:r>
              <w:t>受益幼儿家长及调查满意度</w:t>
            </w:r>
          </w:p>
        </w:tc>
        <w:tc>
          <w:tcPr>
            <w:tcW w:w="5386" w:type="dxa"/>
            <w:vAlign w:val="center"/>
          </w:tcPr>
          <w:p w14:paraId="3D9DA054">
            <w:pPr>
              <w:pStyle w:val="12"/>
            </w:pPr>
            <w:r>
              <w:t>学生、教师及家长对学校保教保育工作满意度情况</w:t>
            </w:r>
          </w:p>
        </w:tc>
        <w:tc>
          <w:tcPr>
            <w:tcW w:w="2268" w:type="dxa"/>
            <w:vAlign w:val="center"/>
          </w:tcPr>
          <w:p w14:paraId="256857F4">
            <w:pPr>
              <w:pStyle w:val="12"/>
            </w:pPr>
            <w:r>
              <w:t>≥95%</w:t>
            </w:r>
          </w:p>
        </w:tc>
        <w:tc>
          <w:tcPr>
            <w:tcW w:w="1276" w:type="dxa"/>
            <w:vAlign w:val="center"/>
          </w:tcPr>
          <w:p w14:paraId="1D8134E2">
            <w:pPr>
              <w:pStyle w:val="12"/>
            </w:pPr>
            <w:r>
              <w:t>幼儿资助经费管理办法</w:t>
            </w:r>
          </w:p>
        </w:tc>
      </w:tr>
    </w:tbl>
    <w:p w14:paraId="72774596">
      <w:pPr>
        <w:sectPr>
          <w:pgSz w:w="16840" w:h="11900" w:orient="landscape"/>
          <w:pgMar w:top="1361" w:right="1020" w:bottom="1134" w:left="1020" w:header="720" w:footer="720" w:gutter="0"/>
          <w:cols w:space="720" w:num="1"/>
        </w:sectPr>
      </w:pPr>
    </w:p>
    <w:p w14:paraId="297A62FB">
      <w:pPr>
        <w:spacing w:before="0" w:after="0"/>
        <w:ind w:firstLine="560"/>
        <w:jc w:val="left"/>
        <w:outlineLvl w:val="9"/>
      </w:pPr>
      <w:r>
        <w:rPr>
          <w:rFonts w:ascii="方正仿宋_GBK" w:hAnsi="方正仿宋_GBK" w:eastAsia="方正仿宋_GBK" w:cs="方正仿宋_GBK"/>
          <w:b/>
          <w:color w:val="000000"/>
          <w:sz w:val="28"/>
        </w:rPr>
        <w:t>6、冀财教[2025]149号/省级/支持学前教育发展/唐尧街幼儿园变压器购置绩效目标表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D4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2EF9C">
            <w:pPr>
              <w:pStyle w:val="11"/>
            </w:pPr>
            <w:r>
              <w:t>单位：万元</w:t>
            </w:r>
          </w:p>
        </w:tc>
      </w:tr>
      <w:tr w14:paraId="51C57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F47CE">
            <w:pPr>
              <w:pStyle w:val="10"/>
            </w:pPr>
            <w:r>
              <w:t>项目编码</w:t>
            </w:r>
          </w:p>
        </w:tc>
        <w:tc>
          <w:tcPr>
            <w:tcW w:w="5103" w:type="dxa"/>
            <w:gridSpan w:val="2"/>
            <w:vAlign w:val="center"/>
          </w:tcPr>
          <w:p w14:paraId="29120BAD">
            <w:pPr>
              <w:pStyle w:val="12"/>
            </w:pPr>
            <w:r>
              <w:t>13052526P00876910210F</w:t>
            </w:r>
          </w:p>
        </w:tc>
        <w:tc>
          <w:tcPr>
            <w:tcW w:w="2835" w:type="dxa"/>
            <w:vAlign w:val="center"/>
          </w:tcPr>
          <w:p w14:paraId="4A6DECCD">
            <w:pPr>
              <w:pStyle w:val="10"/>
            </w:pPr>
            <w:r>
              <w:t>项目名称</w:t>
            </w:r>
          </w:p>
        </w:tc>
        <w:tc>
          <w:tcPr>
            <w:tcW w:w="6095" w:type="dxa"/>
            <w:gridSpan w:val="3"/>
            <w:vAlign w:val="center"/>
          </w:tcPr>
          <w:p w14:paraId="73636224">
            <w:pPr>
              <w:pStyle w:val="12"/>
            </w:pPr>
            <w:r>
              <w:t>冀财教[2025]149号/省级/支持学前教育发展/唐尧街幼儿园变压器购置</w:t>
            </w:r>
          </w:p>
        </w:tc>
      </w:tr>
      <w:tr w14:paraId="79A3C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C7068">
            <w:pPr>
              <w:pStyle w:val="10"/>
            </w:pPr>
            <w:r>
              <w:t>预算规模及资金用途</w:t>
            </w:r>
          </w:p>
        </w:tc>
        <w:tc>
          <w:tcPr>
            <w:tcW w:w="2268" w:type="dxa"/>
            <w:vAlign w:val="center"/>
          </w:tcPr>
          <w:p w14:paraId="4BA50C8D">
            <w:pPr>
              <w:pStyle w:val="10"/>
            </w:pPr>
            <w:r>
              <w:t>预算数</w:t>
            </w:r>
          </w:p>
        </w:tc>
        <w:tc>
          <w:tcPr>
            <w:tcW w:w="2835" w:type="dxa"/>
            <w:vAlign w:val="center"/>
          </w:tcPr>
          <w:p w14:paraId="156B0E67">
            <w:pPr>
              <w:pStyle w:val="12"/>
            </w:pPr>
            <w:r>
              <w:t>28.50</w:t>
            </w:r>
          </w:p>
        </w:tc>
        <w:tc>
          <w:tcPr>
            <w:tcW w:w="2835" w:type="dxa"/>
            <w:vAlign w:val="center"/>
          </w:tcPr>
          <w:p w14:paraId="35D7F259">
            <w:pPr>
              <w:pStyle w:val="10"/>
            </w:pPr>
            <w:r>
              <w:t>其中：财政    资金</w:t>
            </w:r>
          </w:p>
        </w:tc>
        <w:tc>
          <w:tcPr>
            <w:tcW w:w="2551" w:type="dxa"/>
            <w:vAlign w:val="center"/>
          </w:tcPr>
          <w:p w14:paraId="158BE0F4">
            <w:pPr>
              <w:pStyle w:val="12"/>
            </w:pPr>
            <w:r>
              <w:t>28.50</w:t>
            </w:r>
          </w:p>
        </w:tc>
        <w:tc>
          <w:tcPr>
            <w:tcW w:w="2268" w:type="dxa"/>
            <w:vAlign w:val="center"/>
          </w:tcPr>
          <w:p w14:paraId="615F566D">
            <w:pPr>
              <w:pStyle w:val="10"/>
            </w:pPr>
            <w:r>
              <w:t>其他资金</w:t>
            </w:r>
          </w:p>
        </w:tc>
        <w:tc>
          <w:tcPr>
            <w:tcW w:w="1276" w:type="dxa"/>
            <w:vAlign w:val="center"/>
          </w:tcPr>
          <w:p w14:paraId="3908AB83">
            <w:pPr>
              <w:pStyle w:val="12"/>
            </w:pPr>
            <w:r>
              <w:t xml:space="preserve"> </w:t>
            </w:r>
          </w:p>
        </w:tc>
      </w:tr>
      <w:tr w14:paraId="53C4F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30212"/>
        </w:tc>
        <w:tc>
          <w:tcPr>
            <w:tcW w:w="14033" w:type="dxa"/>
            <w:gridSpan w:val="6"/>
            <w:vAlign w:val="center"/>
          </w:tcPr>
          <w:p w14:paraId="2AE19C49">
            <w:pPr>
              <w:pStyle w:val="12"/>
            </w:pPr>
            <w:r>
              <w:t>保障幼儿安全与日常教学用电需求，满足幼儿园用电需求。</w:t>
            </w:r>
          </w:p>
        </w:tc>
      </w:tr>
      <w:tr w14:paraId="37EB0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EE1BC">
            <w:pPr>
              <w:pStyle w:val="10"/>
            </w:pPr>
            <w:r>
              <w:t>资金支出计划（%）</w:t>
            </w:r>
          </w:p>
        </w:tc>
        <w:tc>
          <w:tcPr>
            <w:tcW w:w="5103" w:type="dxa"/>
            <w:gridSpan w:val="2"/>
            <w:vAlign w:val="center"/>
          </w:tcPr>
          <w:p w14:paraId="3F092468">
            <w:pPr>
              <w:pStyle w:val="10"/>
            </w:pPr>
            <w:r>
              <w:t>3月底</w:t>
            </w:r>
          </w:p>
        </w:tc>
        <w:tc>
          <w:tcPr>
            <w:tcW w:w="2835" w:type="dxa"/>
            <w:vAlign w:val="center"/>
          </w:tcPr>
          <w:p w14:paraId="265F72E4">
            <w:pPr>
              <w:pStyle w:val="10"/>
            </w:pPr>
            <w:r>
              <w:t>6月底</w:t>
            </w:r>
          </w:p>
        </w:tc>
        <w:tc>
          <w:tcPr>
            <w:tcW w:w="2551" w:type="dxa"/>
            <w:vAlign w:val="center"/>
          </w:tcPr>
          <w:p w14:paraId="525AB97F">
            <w:pPr>
              <w:pStyle w:val="10"/>
            </w:pPr>
            <w:r>
              <w:t>10月底</w:t>
            </w:r>
          </w:p>
        </w:tc>
        <w:tc>
          <w:tcPr>
            <w:tcW w:w="3544" w:type="dxa"/>
            <w:gridSpan w:val="2"/>
            <w:vAlign w:val="center"/>
          </w:tcPr>
          <w:p w14:paraId="2DACA707">
            <w:pPr>
              <w:pStyle w:val="10"/>
            </w:pPr>
            <w:r>
              <w:t>12月底</w:t>
            </w:r>
          </w:p>
        </w:tc>
      </w:tr>
      <w:tr w14:paraId="247D1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2FF6F"/>
        </w:tc>
        <w:tc>
          <w:tcPr>
            <w:tcW w:w="5103" w:type="dxa"/>
            <w:gridSpan w:val="2"/>
            <w:vAlign w:val="center"/>
          </w:tcPr>
          <w:p w14:paraId="3EF828E5">
            <w:pPr>
              <w:pStyle w:val="13"/>
            </w:pPr>
            <w:r>
              <w:t xml:space="preserve"> </w:t>
            </w:r>
          </w:p>
        </w:tc>
        <w:tc>
          <w:tcPr>
            <w:tcW w:w="2835" w:type="dxa"/>
            <w:vAlign w:val="center"/>
          </w:tcPr>
          <w:p w14:paraId="4E3710A4">
            <w:pPr>
              <w:pStyle w:val="13"/>
            </w:pPr>
            <w:r>
              <w:t xml:space="preserve"> </w:t>
            </w:r>
          </w:p>
        </w:tc>
        <w:tc>
          <w:tcPr>
            <w:tcW w:w="2551" w:type="dxa"/>
            <w:vAlign w:val="center"/>
          </w:tcPr>
          <w:p w14:paraId="3A66792E">
            <w:pPr>
              <w:pStyle w:val="13"/>
            </w:pPr>
            <w:r>
              <w:t>100%</w:t>
            </w:r>
          </w:p>
        </w:tc>
        <w:tc>
          <w:tcPr>
            <w:tcW w:w="3544" w:type="dxa"/>
            <w:gridSpan w:val="2"/>
            <w:vAlign w:val="center"/>
          </w:tcPr>
          <w:p w14:paraId="46C7AAEE">
            <w:pPr>
              <w:pStyle w:val="13"/>
            </w:pPr>
            <w:r>
              <w:t>100%</w:t>
            </w:r>
          </w:p>
        </w:tc>
      </w:tr>
      <w:tr w14:paraId="72B24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8D9C9">
            <w:pPr>
              <w:pStyle w:val="10"/>
            </w:pPr>
            <w:r>
              <w:t>绩效目标</w:t>
            </w:r>
          </w:p>
        </w:tc>
        <w:tc>
          <w:tcPr>
            <w:tcW w:w="14033" w:type="dxa"/>
            <w:gridSpan w:val="6"/>
            <w:vAlign w:val="center"/>
          </w:tcPr>
          <w:p w14:paraId="702D7BF6">
            <w:pPr>
              <w:pStyle w:val="12"/>
            </w:pPr>
            <w:r>
              <w:t>1.保障幼儿安全与日常教学用电需求，满足幼儿园用电需求。</w:t>
            </w:r>
          </w:p>
        </w:tc>
      </w:tr>
    </w:tbl>
    <w:p w14:paraId="6ECC6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A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FD1B8">
            <w:pPr>
              <w:pStyle w:val="10"/>
            </w:pPr>
            <w:r>
              <w:t>一级指标</w:t>
            </w:r>
          </w:p>
        </w:tc>
        <w:tc>
          <w:tcPr>
            <w:tcW w:w="2268" w:type="dxa"/>
            <w:vAlign w:val="center"/>
          </w:tcPr>
          <w:p w14:paraId="188AE40E">
            <w:pPr>
              <w:pStyle w:val="10"/>
            </w:pPr>
            <w:r>
              <w:t>二级指标</w:t>
            </w:r>
          </w:p>
        </w:tc>
        <w:tc>
          <w:tcPr>
            <w:tcW w:w="2835" w:type="dxa"/>
            <w:vAlign w:val="center"/>
          </w:tcPr>
          <w:p w14:paraId="3D13DDE0">
            <w:pPr>
              <w:pStyle w:val="10"/>
            </w:pPr>
            <w:r>
              <w:t>三级指标</w:t>
            </w:r>
          </w:p>
        </w:tc>
        <w:tc>
          <w:tcPr>
            <w:tcW w:w="5386" w:type="dxa"/>
            <w:vAlign w:val="center"/>
          </w:tcPr>
          <w:p w14:paraId="3997DDCA">
            <w:pPr>
              <w:pStyle w:val="10"/>
            </w:pPr>
            <w:r>
              <w:t>绩效指标描述</w:t>
            </w:r>
          </w:p>
        </w:tc>
        <w:tc>
          <w:tcPr>
            <w:tcW w:w="2268" w:type="dxa"/>
            <w:vAlign w:val="center"/>
          </w:tcPr>
          <w:p w14:paraId="4244E401">
            <w:pPr>
              <w:pStyle w:val="10"/>
            </w:pPr>
            <w:r>
              <w:t>指标值</w:t>
            </w:r>
          </w:p>
        </w:tc>
        <w:tc>
          <w:tcPr>
            <w:tcW w:w="1276" w:type="dxa"/>
            <w:vAlign w:val="center"/>
          </w:tcPr>
          <w:p w14:paraId="449A7708">
            <w:pPr>
              <w:pStyle w:val="10"/>
            </w:pPr>
            <w:r>
              <w:t>指标值确定依据</w:t>
            </w:r>
          </w:p>
        </w:tc>
      </w:tr>
      <w:tr w14:paraId="4759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CCE23">
            <w:pPr>
              <w:pStyle w:val="13"/>
            </w:pPr>
            <w:r>
              <w:t>产出指标</w:t>
            </w:r>
          </w:p>
        </w:tc>
        <w:tc>
          <w:tcPr>
            <w:tcW w:w="2268" w:type="dxa"/>
            <w:vAlign w:val="center"/>
          </w:tcPr>
          <w:p w14:paraId="31C6D80A">
            <w:pPr>
              <w:pStyle w:val="12"/>
            </w:pPr>
            <w:r>
              <w:t>数量指标</w:t>
            </w:r>
          </w:p>
        </w:tc>
        <w:tc>
          <w:tcPr>
            <w:tcW w:w="2835" w:type="dxa"/>
            <w:vAlign w:val="center"/>
          </w:tcPr>
          <w:p w14:paraId="21E43DB9">
            <w:pPr>
              <w:pStyle w:val="12"/>
            </w:pPr>
            <w:r>
              <w:t>变压器购置</w:t>
            </w:r>
          </w:p>
        </w:tc>
        <w:tc>
          <w:tcPr>
            <w:tcW w:w="5386" w:type="dxa"/>
            <w:vAlign w:val="center"/>
          </w:tcPr>
          <w:p w14:paraId="09313073">
            <w:pPr>
              <w:pStyle w:val="12"/>
            </w:pPr>
            <w:r>
              <w:t>购买变压器及安装</w:t>
            </w:r>
          </w:p>
        </w:tc>
        <w:tc>
          <w:tcPr>
            <w:tcW w:w="2268" w:type="dxa"/>
            <w:vAlign w:val="center"/>
          </w:tcPr>
          <w:p w14:paraId="2E7B16FA">
            <w:pPr>
              <w:pStyle w:val="12"/>
            </w:pPr>
            <w:r>
              <w:t>1项</w:t>
            </w:r>
          </w:p>
        </w:tc>
        <w:tc>
          <w:tcPr>
            <w:tcW w:w="1276" w:type="dxa"/>
            <w:vAlign w:val="center"/>
          </w:tcPr>
          <w:p w14:paraId="66650D1F">
            <w:pPr>
              <w:pStyle w:val="12"/>
            </w:pPr>
            <w:r>
              <w:t>项目规划</w:t>
            </w:r>
          </w:p>
        </w:tc>
      </w:tr>
      <w:tr w14:paraId="3E46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1469A"/>
        </w:tc>
        <w:tc>
          <w:tcPr>
            <w:tcW w:w="2268" w:type="dxa"/>
            <w:vAlign w:val="center"/>
          </w:tcPr>
          <w:p w14:paraId="25C088EC">
            <w:pPr>
              <w:pStyle w:val="12"/>
            </w:pPr>
            <w:r>
              <w:t>质量指标</w:t>
            </w:r>
          </w:p>
        </w:tc>
        <w:tc>
          <w:tcPr>
            <w:tcW w:w="2835" w:type="dxa"/>
            <w:vAlign w:val="center"/>
          </w:tcPr>
          <w:p w14:paraId="22EB58CA">
            <w:pPr>
              <w:pStyle w:val="12"/>
            </w:pPr>
            <w:r>
              <w:t>工程实施验收合格率</w:t>
            </w:r>
          </w:p>
        </w:tc>
        <w:tc>
          <w:tcPr>
            <w:tcW w:w="5386" w:type="dxa"/>
            <w:vAlign w:val="center"/>
          </w:tcPr>
          <w:p w14:paraId="07E5E77A">
            <w:pPr>
              <w:pStyle w:val="12"/>
            </w:pPr>
            <w:r>
              <w:t>申报程序的合规，项目实施及资金使用符合项目规划</w:t>
            </w:r>
          </w:p>
        </w:tc>
        <w:tc>
          <w:tcPr>
            <w:tcW w:w="2268" w:type="dxa"/>
            <w:vAlign w:val="center"/>
          </w:tcPr>
          <w:p w14:paraId="516E8B5E">
            <w:pPr>
              <w:pStyle w:val="12"/>
            </w:pPr>
            <w:r>
              <w:t>100%</w:t>
            </w:r>
          </w:p>
        </w:tc>
        <w:tc>
          <w:tcPr>
            <w:tcW w:w="1276" w:type="dxa"/>
            <w:vAlign w:val="center"/>
          </w:tcPr>
          <w:p w14:paraId="367DC026">
            <w:pPr>
              <w:pStyle w:val="12"/>
            </w:pPr>
            <w:r>
              <w:t>项目规划</w:t>
            </w:r>
          </w:p>
        </w:tc>
      </w:tr>
      <w:tr w14:paraId="5B1F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8AD00"/>
        </w:tc>
        <w:tc>
          <w:tcPr>
            <w:tcW w:w="2268" w:type="dxa"/>
            <w:vAlign w:val="center"/>
          </w:tcPr>
          <w:p w14:paraId="3F63E488">
            <w:pPr>
              <w:pStyle w:val="12"/>
            </w:pPr>
            <w:r>
              <w:t>时效指标</w:t>
            </w:r>
          </w:p>
        </w:tc>
        <w:tc>
          <w:tcPr>
            <w:tcW w:w="2835" w:type="dxa"/>
            <w:vAlign w:val="center"/>
          </w:tcPr>
          <w:p w14:paraId="3B0A6753">
            <w:pPr>
              <w:pStyle w:val="12"/>
            </w:pPr>
            <w:r>
              <w:t>资金支付率</w:t>
            </w:r>
          </w:p>
        </w:tc>
        <w:tc>
          <w:tcPr>
            <w:tcW w:w="5386" w:type="dxa"/>
            <w:vAlign w:val="center"/>
          </w:tcPr>
          <w:p w14:paraId="1EB7D260">
            <w:pPr>
              <w:pStyle w:val="12"/>
            </w:pPr>
            <w:r>
              <w:t>按照序时进度完成资金支付</w:t>
            </w:r>
          </w:p>
        </w:tc>
        <w:tc>
          <w:tcPr>
            <w:tcW w:w="2268" w:type="dxa"/>
            <w:vAlign w:val="center"/>
          </w:tcPr>
          <w:p w14:paraId="0EE811C0">
            <w:pPr>
              <w:pStyle w:val="12"/>
            </w:pPr>
            <w:r>
              <w:t>100%</w:t>
            </w:r>
          </w:p>
        </w:tc>
        <w:tc>
          <w:tcPr>
            <w:tcW w:w="1276" w:type="dxa"/>
            <w:vAlign w:val="center"/>
          </w:tcPr>
          <w:p w14:paraId="0CF2860B">
            <w:pPr>
              <w:pStyle w:val="12"/>
            </w:pPr>
            <w:r>
              <w:t>项目规划</w:t>
            </w:r>
          </w:p>
        </w:tc>
      </w:tr>
      <w:tr w14:paraId="120E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F439A"/>
        </w:tc>
        <w:tc>
          <w:tcPr>
            <w:tcW w:w="2268" w:type="dxa"/>
            <w:vAlign w:val="center"/>
          </w:tcPr>
          <w:p w14:paraId="03E3D444">
            <w:pPr>
              <w:pStyle w:val="12"/>
            </w:pPr>
            <w:r>
              <w:t>成本指标</w:t>
            </w:r>
          </w:p>
        </w:tc>
        <w:tc>
          <w:tcPr>
            <w:tcW w:w="2835" w:type="dxa"/>
            <w:vAlign w:val="center"/>
          </w:tcPr>
          <w:p w14:paraId="6A3ADF0C">
            <w:pPr>
              <w:pStyle w:val="12"/>
            </w:pPr>
            <w:r>
              <w:t>项目成本控制情况</w:t>
            </w:r>
          </w:p>
        </w:tc>
        <w:tc>
          <w:tcPr>
            <w:tcW w:w="5386" w:type="dxa"/>
            <w:vAlign w:val="center"/>
          </w:tcPr>
          <w:p w14:paraId="6C8B40D6">
            <w:pPr>
              <w:pStyle w:val="12"/>
            </w:pPr>
            <w:r>
              <w:t>严格按照招标价格及审计额进行</w:t>
            </w:r>
          </w:p>
        </w:tc>
        <w:tc>
          <w:tcPr>
            <w:tcW w:w="2268" w:type="dxa"/>
            <w:vAlign w:val="center"/>
          </w:tcPr>
          <w:p w14:paraId="70FE3C20">
            <w:pPr>
              <w:pStyle w:val="12"/>
            </w:pPr>
            <w:r>
              <w:t>28.5万元</w:t>
            </w:r>
          </w:p>
        </w:tc>
        <w:tc>
          <w:tcPr>
            <w:tcW w:w="1276" w:type="dxa"/>
            <w:vAlign w:val="center"/>
          </w:tcPr>
          <w:p w14:paraId="2D289F8A">
            <w:pPr>
              <w:pStyle w:val="12"/>
            </w:pPr>
            <w:r>
              <w:t>项目规划</w:t>
            </w:r>
          </w:p>
        </w:tc>
      </w:tr>
      <w:tr w14:paraId="3EE6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49C58">
            <w:pPr>
              <w:pStyle w:val="13"/>
            </w:pPr>
            <w:r>
              <w:t>效益指标</w:t>
            </w:r>
          </w:p>
        </w:tc>
        <w:tc>
          <w:tcPr>
            <w:tcW w:w="2268" w:type="dxa"/>
            <w:vAlign w:val="center"/>
          </w:tcPr>
          <w:p w14:paraId="6A8B28A1">
            <w:pPr>
              <w:pStyle w:val="12"/>
            </w:pPr>
            <w:r>
              <w:t>可持续影响指标</w:t>
            </w:r>
          </w:p>
        </w:tc>
        <w:tc>
          <w:tcPr>
            <w:tcW w:w="2835" w:type="dxa"/>
            <w:vAlign w:val="center"/>
          </w:tcPr>
          <w:p w14:paraId="47C04C30">
            <w:pPr>
              <w:pStyle w:val="12"/>
            </w:pPr>
            <w:r>
              <w:t>学校办学环境提升</w:t>
            </w:r>
          </w:p>
        </w:tc>
        <w:tc>
          <w:tcPr>
            <w:tcW w:w="5386" w:type="dxa"/>
            <w:vAlign w:val="center"/>
          </w:tcPr>
          <w:p w14:paraId="64084EEC">
            <w:pPr>
              <w:pStyle w:val="12"/>
            </w:pPr>
            <w:r>
              <w:t>学校教学环境提升优化率</w:t>
            </w:r>
          </w:p>
        </w:tc>
        <w:tc>
          <w:tcPr>
            <w:tcW w:w="2268" w:type="dxa"/>
            <w:vAlign w:val="center"/>
          </w:tcPr>
          <w:p w14:paraId="7AEC780B">
            <w:pPr>
              <w:pStyle w:val="12"/>
            </w:pPr>
            <w:r>
              <w:t>≥98%</w:t>
            </w:r>
          </w:p>
        </w:tc>
        <w:tc>
          <w:tcPr>
            <w:tcW w:w="1276" w:type="dxa"/>
            <w:vAlign w:val="center"/>
          </w:tcPr>
          <w:p w14:paraId="399CDA3D">
            <w:pPr>
              <w:pStyle w:val="12"/>
            </w:pPr>
            <w:r>
              <w:t>项目规划</w:t>
            </w:r>
          </w:p>
        </w:tc>
      </w:tr>
      <w:tr w14:paraId="2FA9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2C2A7">
            <w:pPr>
              <w:pStyle w:val="13"/>
            </w:pPr>
            <w:r>
              <w:t>满意度指标</w:t>
            </w:r>
          </w:p>
        </w:tc>
        <w:tc>
          <w:tcPr>
            <w:tcW w:w="2268" w:type="dxa"/>
            <w:vAlign w:val="center"/>
          </w:tcPr>
          <w:p w14:paraId="071CA9FC">
            <w:pPr>
              <w:pStyle w:val="12"/>
            </w:pPr>
            <w:r>
              <w:t>服务对象满意度指标</w:t>
            </w:r>
          </w:p>
        </w:tc>
        <w:tc>
          <w:tcPr>
            <w:tcW w:w="2835" w:type="dxa"/>
            <w:vAlign w:val="center"/>
          </w:tcPr>
          <w:p w14:paraId="5FF678B1">
            <w:pPr>
              <w:pStyle w:val="12"/>
            </w:pPr>
            <w:r>
              <w:t>受益学生家长及调查满意度</w:t>
            </w:r>
          </w:p>
        </w:tc>
        <w:tc>
          <w:tcPr>
            <w:tcW w:w="5386" w:type="dxa"/>
            <w:vAlign w:val="center"/>
          </w:tcPr>
          <w:p w14:paraId="4EA11FA4">
            <w:pPr>
              <w:pStyle w:val="12"/>
            </w:pPr>
            <w:r>
              <w:t>学生、教师及家长对学校教学环境满意度情况</w:t>
            </w:r>
          </w:p>
        </w:tc>
        <w:tc>
          <w:tcPr>
            <w:tcW w:w="2268" w:type="dxa"/>
            <w:vAlign w:val="center"/>
          </w:tcPr>
          <w:p w14:paraId="4432C682">
            <w:pPr>
              <w:pStyle w:val="12"/>
            </w:pPr>
            <w:r>
              <w:t>≥95%</w:t>
            </w:r>
          </w:p>
        </w:tc>
        <w:tc>
          <w:tcPr>
            <w:tcW w:w="1276" w:type="dxa"/>
            <w:vAlign w:val="center"/>
          </w:tcPr>
          <w:p w14:paraId="6F48BEDF">
            <w:pPr>
              <w:pStyle w:val="12"/>
            </w:pPr>
            <w:r>
              <w:t>问卷调查</w:t>
            </w:r>
          </w:p>
        </w:tc>
      </w:tr>
    </w:tbl>
    <w:p w14:paraId="794149F3">
      <w:pPr>
        <w:sectPr>
          <w:pgSz w:w="16840" w:h="11900" w:orient="landscape"/>
          <w:pgMar w:top="1361" w:right="1020" w:bottom="1134" w:left="1020" w:header="720" w:footer="720" w:gutter="0"/>
          <w:cols w:space="720" w:num="1"/>
        </w:sectPr>
      </w:pPr>
    </w:p>
    <w:p w14:paraId="034DBA45">
      <w:pPr>
        <w:spacing w:before="0" w:after="0"/>
        <w:ind w:firstLine="560"/>
        <w:jc w:val="left"/>
        <w:outlineLvl w:val="9"/>
      </w:pPr>
      <w:r>
        <w:rPr>
          <w:rFonts w:ascii="方正仿宋_GBK" w:hAnsi="方正仿宋_GBK" w:eastAsia="方正仿宋_GBK" w:cs="方正仿宋_GBK"/>
          <w:b/>
          <w:color w:val="000000"/>
          <w:sz w:val="28"/>
        </w:rPr>
        <w:t>7、冀财教[2025]149号/省级/支持学前教育发展/唐尧街幼儿园给排水改造工程绩效目标表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A6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FC364">
            <w:pPr>
              <w:pStyle w:val="11"/>
            </w:pPr>
            <w:r>
              <w:t>单位：万元</w:t>
            </w:r>
          </w:p>
        </w:tc>
      </w:tr>
      <w:tr w14:paraId="519AE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8E497">
            <w:pPr>
              <w:pStyle w:val="10"/>
            </w:pPr>
            <w:r>
              <w:t>项目编码</w:t>
            </w:r>
          </w:p>
        </w:tc>
        <w:tc>
          <w:tcPr>
            <w:tcW w:w="5103" w:type="dxa"/>
            <w:gridSpan w:val="2"/>
            <w:vAlign w:val="center"/>
          </w:tcPr>
          <w:p w14:paraId="2858739A">
            <w:pPr>
              <w:pStyle w:val="12"/>
            </w:pPr>
            <w:r>
              <w:t>13052526P008769102113</w:t>
            </w:r>
          </w:p>
        </w:tc>
        <w:tc>
          <w:tcPr>
            <w:tcW w:w="2835" w:type="dxa"/>
            <w:vAlign w:val="center"/>
          </w:tcPr>
          <w:p w14:paraId="097603D9">
            <w:pPr>
              <w:pStyle w:val="10"/>
            </w:pPr>
            <w:r>
              <w:t>项目名称</w:t>
            </w:r>
          </w:p>
        </w:tc>
        <w:tc>
          <w:tcPr>
            <w:tcW w:w="6095" w:type="dxa"/>
            <w:gridSpan w:val="3"/>
            <w:vAlign w:val="center"/>
          </w:tcPr>
          <w:p w14:paraId="7FBDD190">
            <w:pPr>
              <w:pStyle w:val="12"/>
            </w:pPr>
            <w:r>
              <w:t>冀财教[2025]149号/省级/支持学前教育发展/唐尧街幼儿园给排水改造工程</w:t>
            </w:r>
          </w:p>
        </w:tc>
      </w:tr>
      <w:tr w14:paraId="6C979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966AB">
            <w:pPr>
              <w:pStyle w:val="10"/>
            </w:pPr>
            <w:r>
              <w:t>预算规模及资金用途</w:t>
            </w:r>
          </w:p>
        </w:tc>
        <w:tc>
          <w:tcPr>
            <w:tcW w:w="2268" w:type="dxa"/>
            <w:vAlign w:val="center"/>
          </w:tcPr>
          <w:p w14:paraId="2F689A89">
            <w:pPr>
              <w:pStyle w:val="10"/>
            </w:pPr>
            <w:r>
              <w:t>预算数</w:t>
            </w:r>
          </w:p>
        </w:tc>
        <w:tc>
          <w:tcPr>
            <w:tcW w:w="2835" w:type="dxa"/>
            <w:vAlign w:val="center"/>
          </w:tcPr>
          <w:p w14:paraId="315FBF4D">
            <w:pPr>
              <w:pStyle w:val="12"/>
            </w:pPr>
            <w:r>
              <w:t>6.00</w:t>
            </w:r>
          </w:p>
        </w:tc>
        <w:tc>
          <w:tcPr>
            <w:tcW w:w="2835" w:type="dxa"/>
            <w:vAlign w:val="center"/>
          </w:tcPr>
          <w:p w14:paraId="7F08D602">
            <w:pPr>
              <w:pStyle w:val="10"/>
            </w:pPr>
            <w:r>
              <w:t>其中：财政    资金</w:t>
            </w:r>
          </w:p>
        </w:tc>
        <w:tc>
          <w:tcPr>
            <w:tcW w:w="2551" w:type="dxa"/>
            <w:vAlign w:val="center"/>
          </w:tcPr>
          <w:p w14:paraId="3E66176F">
            <w:pPr>
              <w:pStyle w:val="12"/>
            </w:pPr>
            <w:r>
              <w:t>6.00</w:t>
            </w:r>
          </w:p>
        </w:tc>
        <w:tc>
          <w:tcPr>
            <w:tcW w:w="2268" w:type="dxa"/>
            <w:vAlign w:val="center"/>
          </w:tcPr>
          <w:p w14:paraId="1E622176">
            <w:pPr>
              <w:pStyle w:val="10"/>
            </w:pPr>
            <w:r>
              <w:t>其他资金</w:t>
            </w:r>
          </w:p>
        </w:tc>
        <w:tc>
          <w:tcPr>
            <w:tcW w:w="1276" w:type="dxa"/>
            <w:vAlign w:val="center"/>
          </w:tcPr>
          <w:p w14:paraId="04DDDEF4">
            <w:pPr>
              <w:pStyle w:val="12"/>
            </w:pPr>
            <w:r>
              <w:t xml:space="preserve"> </w:t>
            </w:r>
          </w:p>
        </w:tc>
      </w:tr>
      <w:tr w14:paraId="19A70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93074"/>
        </w:tc>
        <w:tc>
          <w:tcPr>
            <w:tcW w:w="14033" w:type="dxa"/>
            <w:gridSpan w:val="6"/>
            <w:vAlign w:val="center"/>
          </w:tcPr>
          <w:p w14:paraId="398D3FAB">
            <w:pPr>
              <w:pStyle w:val="12"/>
            </w:pPr>
            <w:r>
              <w:t>保障幼儿园用水需求，使幼儿园更好运转。</w:t>
            </w:r>
          </w:p>
        </w:tc>
      </w:tr>
      <w:tr w14:paraId="138C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89638">
            <w:pPr>
              <w:pStyle w:val="10"/>
            </w:pPr>
            <w:r>
              <w:t>资金支出计划（%）</w:t>
            </w:r>
          </w:p>
        </w:tc>
        <w:tc>
          <w:tcPr>
            <w:tcW w:w="5103" w:type="dxa"/>
            <w:gridSpan w:val="2"/>
            <w:vAlign w:val="center"/>
          </w:tcPr>
          <w:p w14:paraId="72E5AFB1">
            <w:pPr>
              <w:pStyle w:val="10"/>
            </w:pPr>
            <w:r>
              <w:t>3月底</w:t>
            </w:r>
          </w:p>
        </w:tc>
        <w:tc>
          <w:tcPr>
            <w:tcW w:w="2835" w:type="dxa"/>
            <w:vAlign w:val="center"/>
          </w:tcPr>
          <w:p w14:paraId="1AEDBC93">
            <w:pPr>
              <w:pStyle w:val="10"/>
            </w:pPr>
            <w:r>
              <w:t>6月底</w:t>
            </w:r>
          </w:p>
        </w:tc>
        <w:tc>
          <w:tcPr>
            <w:tcW w:w="2551" w:type="dxa"/>
            <w:vAlign w:val="center"/>
          </w:tcPr>
          <w:p w14:paraId="048B22F2">
            <w:pPr>
              <w:pStyle w:val="10"/>
            </w:pPr>
            <w:r>
              <w:t>10月底</w:t>
            </w:r>
          </w:p>
        </w:tc>
        <w:tc>
          <w:tcPr>
            <w:tcW w:w="3544" w:type="dxa"/>
            <w:gridSpan w:val="2"/>
            <w:vAlign w:val="center"/>
          </w:tcPr>
          <w:p w14:paraId="30C2F648">
            <w:pPr>
              <w:pStyle w:val="10"/>
            </w:pPr>
            <w:r>
              <w:t>12月底</w:t>
            </w:r>
          </w:p>
        </w:tc>
      </w:tr>
      <w:tr w14:paraId="1925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33E64"/>
        </w:tc>
        <w:tc>
          <w:tcPr>
            <w:tcW w:w="5103" w:type="dxa"/>
            <w:gridSpan w:val="2"/>
            <w:vAlign w:val="center"/>
          </w:tcPr>
          <w:p w14:paraId="79C41FAB">
            <w:pPr>
              <w:pStyle w:val="13"/>
            </w:pPr>
            <w:r>
              <w:t xml:space="preserve"> </w:t>
            </w:r>
          </w:p>
        </w:tc>
        <w:tc>
          <w:tcPr>
            <w:tcW w:w="2835" w:type="dxa"/>
            <w:vAlign w:val="center"/>
          </w:tcPr>
          <w:p w14:paraId="1D126745">
            <w:pPr>
              <w:pStyle w:val="13"/>
            </w:pPr>
            <w:r>
              <w:t xml:space="preserve"> </w:t>
            </w:r>
          </w:p>
        </w:tc>
        <w:tc>
          <w:tcPr>
            <w:tcW w:w="2551" w:type="dxa"/>
            <w:vAlign w:val="center"/>
          </w:tcPr>
          <w:p w14:paraId="0A8605A9">
            <w:pPr>
              <w:pStyle w:val="13"/>
            </w:pPr>
            <w:r>
              <w:t>100%</w:t>
            </w:r>
          </w:p>
        </w:tc>
        <w:tc>
          <w:tcPr>
            <w:tcW w:w="3544" w:type="dxa"/>
            <w:gridSpan w:val="2"/>
            <w:vAlign w:val="center"/>
          </w:tcPr>
          <w:p w14:paraId="0D7F355B">
            <w:pPr>
              <w:pStyle w:val="13"/>
            </w:pPr>
            <w:r>
              <w:t>100%</w:t>
            </w:r>
          </w:p>
        </w:tc>
      </w:tr>
      <w:tr w14:paraId="692EA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A4014">
            <w:pPr>
              <w:pStyle w:val="10"/>
            </w:pPr>
            <w:r>
              <w:t>绩效目标</w:t>
            </w:r>
          </w:p>
        </w:tc>
        <w:tc>
          <w:tcPr>
            <w:tcW w:w="14033" w:type="dxa"/>
            <w:gridSpan w:val="6"/>
            <w:vAlign w:val="center"/>
          </w:tcPr>
          <w:p w14:paraId="3C7ADF56">
            <w:pPr>
              <w:pStyle w:val="12"/>
            </w:pPr>
            <w:r>
              <w:t>1.保障幼儿园用水需求，使幼儿园更</w:t>
            </w:r>
            <w:r>
              <w:rPr>
                <w:rFonts w:hint="eastAsia"/>
                <w:lang w:eastAsia="zh-CN"/>
              </w:rPr>
              <w:t>好地</w:t>
            </w:r>
            <w:r>
              <w:t>运转。</w:t>
            </w:r>
          </w:p>
        </w:tc>
      </w:tr>
    </w:tbl>
    <w:p w14:paraId="684088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8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0C30A">
            <w:pPr>
              <w:pStyle w:val="10"/>
            </w:pPr>
            <w:r>
              <w:t>一级指标</w:t>
            </w:r>
          </w:p>
        </w:tc>
        <w:tc>
          <w:tcPr>
            <w:tcW w:w="2268" w:type="dxa"/>
            <w:vAlign w:val="center"/>
          </w:tcPr>
          <w:p w14:paraId="4ED04879">
            <w:pPr>
              <w:pStyle w:val="10"/>
            </w:pPr>
            <w:r>
              <w:t>二级指标</w:t>
            </w:r>
          </w:p>
        </w:tc>
        <w:tc>
          <w:tcPr>
            <w:tcW w:w="2835" w:type="dxa"/>
            <w:vAlign w:val="center"/>
          </w:tcPr>
          <w:p w14:paraId="20F6EA21">
            <w:pPr>
              <w:pStyle w:val="10"/>
            </w:pPr>
            <w:r>
              <w:t>三级指标</w:t>
            </w:r>
          </w:p>
        </w:tc>
        <w:tc>
          <w:tcPr>
            <w:tcW w:w="5386" w:type="dxa"/>
            <w:vAlign w:val="center"/>
          </w:tcPr>
          <w:p w14:paraId="25AFDFE9">
            <w:pPr>
              <w:pStyle w:val="10"/>
            </w:pPr>
            <w:r>
              <w:t>绩效指标描述</w:t>
            </w:r>
          </w:p>
        </w:tc>
        <w:tc>
          <w:tcPr>
            <w:tcW w:w="2268" w:type="dxa"/>
            <w:vAlign w:val="center"/>
          </w:tcPr>
          <w:p w14:paraId="7A3A4A10">
            <w:pPr>
              <w:pStyle w:val="10"/>
            </w:pPr>
            <w:r>
              <w:t>指标值</w:t>
            </w:r>
          </w:p>
        </w:tc>
        <w:tc>
          <w:tcPr>
            <w:tcW w:w="1276" w:type="dxa"/>
            <w:vAlign w:val="center"/>
          </w:tcPr>
          <w:p w14:paraId="103E5B10">
            <w:pPr>
              <w:pStyle w:val="10"/>
            </w:pPr>
            <w:r>
              <w:t>指标值确定依据</w:t>
            </w:r>
          </w:p>
        </w:tc>
      </w:tr>
      <w:tr w14:paraId="19A0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1A54C">
            <w:pPr>
              <w:pStyle w:val="13"/>
            </w:pPr>
            <w:r>
              <w:t>产出指标</w:t>
            </w:r>
          </w:p>
        </w:tc>
        <w:tc>
          <w:tcPr>
            <w:tcW w:w="2268" w:type="dxa"/>
            <w:vAlign w:val="center"/>
          </w:tcPr>
          <w:p w14:paraId="0225027A">
            <w:pPr>
              <w:pStyle w:val="12"/>
            </w:pPr>
            <w:r>
              <w:t>数量指标</w:t>
            </w:r>
          </w:p>
        </w:tc>
        <w:tc>
          <w:tcPr>
            <w:tcW w:w="2835" w:type="dxa"/>
            <w:vAlign w:val="center"/>
          </w:tcPr>
          <w:p w14:paraId="764D8614">
            <w:pPr>
              <w:pStyle w:val="12"/>
            </w:pPr>
            <w:r>
              <w:t>给排水改造工程</w:t>
            </w:r>
          </w:p>
        </w:tc>
        <w:tc>
          <w:tcPr>
            <w:tcW w:w="5386" w:type="dxa"/>
            <w:vAlign w:val="center"/>
          </w:tcPr>
          <w:p w14:paraId="5EE8709F">
            <w:pPr>
              <w:pStyle w:val="12"/>
            </w:pPr>
            <w:r>
              <w:t>挖沟，铺石，回填等</w:t>
            </w:r>
          </w:p>
        </w:tc>
        <w:tc>
          <w:tcPr>
            <w:tcW w:w="2268" w:type="dxa"/>
            <w:vAlign w:val="center"/>
          </w:tcPr>
          <w:p w14:paraId="485D6C4A">
            <w:pPr>
              <w:pStyle w:val="12"/>
            </w:pPr>
            <w:r>
              <w:t>1项</w:t>
            </w:r>
          </w:p>
        </w:tc>
        <w:tc>
          <w:tcPr>
            <w:tcW w:w="1276" w:type="dxa"/>
            <w:vAlign w:val="center"/>
          </w:tcPr>
          <w:p w14:paraId="4E45150E">
            <w:pPr>
              <w:pStyle w:val="12"/>
            </w:pPr>
            <w:r>
              <w:t>项目规划</w:t>
            </w:r>
          </w:p>
        </w:tc>
      </w:tr>
      <w:tr w14:paraId="3C18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CCB82"/>
        </w:tc>
        <w:tc>
          <w:tcPr>
            <w:tcW w:w="2268" w:type="dxa"/>
            <w:vAlign w:val="center"/>
          </w:tcPr>
          <w:p w14:paraId="72109AAE">
            <w:pPr>
              <w:pStyle w:val="12"/>
            </w:pPr>
            <w:r>
              <w:t>质量指标</w:t>
            </w:r>
          </w:p>
        </w:tc>
        <w:tc>
          <w:tcPr>
            <w:tcW w:w="2835" w:type="dxa"/>
            <w:vAlign w:val="center"/>
          </w:tcPr>
          <w:p w14:paraId="3F4FB141">
            <w:pPr>
              <w:pStyle w:val="12"/>
            </w:pPr>
            <w:r>
              <w:t>工程实施验收合格率</w:t>
            </w:r>
          </w:p>
        </w:tc>
        <w:tc>
          <w:tcPr>
            <w:tcW w:w="5386" w:type="dxa"/>
            <w:vAlign w:val="center"/>
          </w:tcPr>
          <w:p w14:paraId="64D725BE">
            <w:pPr>
              <w:pStyle w:val="12"/>
            </w:pPr>
            <w:r>
              <w:t>申报程序的合规，项目实施及资金使用符合项目规划</w:t>
            </w:r>
          </w:p>
        </w:tc>
        <w:tc>
          <w:tcPr>
            <w:tcW w:w="2268" w:type="dxa"/>
            <w:vAlign w:val="center"/>
          </w:tcPr>
          <w:p w14:paraId="083912E9">
            <w:pPr>
              <w:pStyle w:val="12"/>
            </w:pPr>
            <w:r>
              <w:t>100%</w:t>
            </w:r>
          </w:p>
        </w:tc>
        <w:tc>
          <w:tcPr>
            <w:tcW w:w="1276" w:type="dxa"/>
            <w:vAlign w:val="center"/>
          </w:tcPr>
          <w:p w14:paraId="41399725">
            <w:pPr>
              <w:pStyle w:val="12"/>
            </w:pPr>
            <w:r>
              <w:t>项目规划</w:t>
            </w:r>
          </w:p>
        </w:tc>
      </w:tr>
      <w:tr w14:paraId="06D5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889F3"/>
        </w:tc>
        <w:tc>
          <w:tcPr>
            <w:tcW w:w="2268" w:type="dxa"/>
            <w:vAlign w:val="center"/>
          </w:tcPr>
          <w:p w14:paraId="73884CC4">
            <w:pPr>
              <w:pStyle w:val="12"/>
            </w:pPr>
            <w:r>
              <w:t>时效指标</w:t>
            </w:r>
          </w:p>
        </w:tc>
        <w:tc>
          <w:tcPr>
            <w:tcW w:w="2835" w:type="dxa"/>
            <w:vAlign w:val="center"/>
          </w:tcPr>
          <w:p w14:paraId="206F252B">
            <w:pPr>
              <w:pStyle w:val="12"/>
            </w:pPr>
            <w:r>
              <w:t>资金支付率</w:t>
            </w:r>
          </w:p>
        </w:tc>
        <w:tc>
          <w:tcPr>
            <w:tcW w:w="5386" w:type="dxa"/>
            <w:vAlign w:val="center"/>
          </w:tcPr>
          <w:p w14:paraId="5BC13A76">
            <w:pPr>
              <w:pStyle w:val="12"/>
            </w:pPr>
            <w:r>
              <w:t>按照序时进度完成资金支付</w:t>
            </w:r>
          </w:p>
        </w:tc>
        <w:tc>
          <w:tcPr>
            <w:tcW w:w="2268" w:type="dxa"/>
            <w:vAlign w:val="center"/>
          </w:tcPr>
          <w:p w14:paraId="7A2BF371">
            <w:pPr>
              <w:pStyle w:val="12"/>
            </w:pPr>
            <w:r>
              <w:t>100%</w:t>
            </w:r>
          </w:p>
        </w:tc>
        <w:tc>
          <w:tcPr>
            <w:tcW w:w="1276" w:type="dxa"/>
            <w:vAlign w:val="center"/>
          </w:tcPr>
          <w:p w14:paraId="5117C104">
            <w:pPr>
              <w:pStyle w:val="12"/>
            </w:pPr>
            <w:r>
              <w:t>项目规划</w:t>
            </w:r>
          </w:p>
        </w:tc>
      </w:tr>
      <w:tr w14:paraId="0611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C27D0"/>
        </w:tc>
        <w:tc>
          <w:tcPr>
            <w:tcW w:w="2268" w:type="dxa"/>
            <w:vAlign w:val="center"/>
          </w:tcPr>
          <w:p w14:paraId="4B44489E">
            <w:pPr>
              <w:pStyle w:val="12"/>
            </w:pPr>
            <w:r>
              <w:t>成本指标</w:t>
            </w:r>
          </w:p>
        </w:tc>
        <w:tc>
          <w:tcPr>
            <w:tcW w:w="2835" w:type="dxa"/>
            <w:vAlign w:val="center"/>
          </w:tcPr>
          <w:p w14:paraId="201C1DE5">
            <w:pPr>
              <w:pStyle w:val="12"/>
            </w:pPr>
            <w:r>
              <w:t>项目成本控制情况</w:t>
            </w:r>
          </w:p>
        </w:tc>
        <w:tc>
          <w:tcPr>
            <w:tcW w:w="5386" w:type="dxa"/>
            <w:vAlign w:val="center"/>
          </w:tcPr>
          <w:p w14:paraId="7E37D12C">
            <w:pPr>
              <w:pStyle w:val="12"/>
            </w:pPr>
            <w:r>
              <w:t>严格按照招标价格及审计额进行</w:t>
            </w:r>
          </w:p>
        </w:tc>
        <w:tc>
          <w:tcPr>
            <w:tcW w:w="2268" w:type="dxa"/>
            <w:vAlign w:val="center"/>
          </w:tcPr>
          <w:p w14:paraId="10B05FEE">
            <w:pPr>
              <w:pStyle w:val="12"/>
            </w:pPr>
            <w:r>
              <w:t>6万元</w:t>
            </w:r>
          </w:p>
        </w:tc>
        <w:tc>
          <w:tcPr>
            <w:tcW w:w="1276" w:type="dxa"/>
            <w:vAlign w:val="center"/>
          </w:tcPr>
          <w:p w14:paraId="56543768">
            <w:pPr>
              <w:pStyle w:val="12"/>
            </w:pPr>
            <w:r>
              <w:t>项目规划</w:t>
            </w:r>
          </w:p>
        </w:tc>
      </w:tr>
      <w:tr w14:paraId="0A89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2D97B">
            <w:pPr>
              <w:pStyle w:val="13"/>
            </w:pPr>
            <w:r>
              <w:t>效益指标</w:t>
            </w:r>
          </w:p>
        </w:tc>
        <w:tc>
          <w:tcPr>
            <w:tcW w:w="2268" w:type="dxa"/>
            <w:vAlign w:val="center"/>
          </w:tcPr>
          <w:p w14:paraId="6EFEB27C">
            <w:pPr>
              <w:pStyle w:val="12"/>
            </w:pPr>
            <w:r>
              <w:t>可持续影响指标</w:t>
            </w:r>
          </w:p>
        </w:tc>
        <w:tc>
          <w:tcPr>
            <w:tcW w:w="2835" w:type="dxa"/>
            <w:vAlign w:val="center"/>
          </w:tcPr>
          <w:p w14:paraId="25D015E6">
            <w:pPr>
              <w:pStyle w:val="12"/>
            </w:pPr>
            <w:r>
              <w:t>学校办学环境提升</w:t>
            </w:r>
          </w:p>
        </w:tc>
        <w:tc>
          <w:tcPr>
            <w:tcW w:w="5386" w:type="dxa"/>
            <w:vAlign w:val="center"/>
          </w:tcPr>
          <w:p w14:paraId="62C729B4">
            <w:pPr>
              <w:pStyle w:val="12"/>
            </w:pPr>
            <w:r>
              <w:t>学校教学环境提升优化率</w:t>
            </w:r>
          </w:p>
        </w:tc>
        <w:tc>
          <w:tcPr>
            <w:tcW w:w="2268" w:type="dxa"/>
            <w:vAlign w:val="center"/>
          </w:tcPr>
          <w:p w14:paraId="1DAC8789">
            <w:pPr>
              <w:pStyle w:val="12"/>
            </w:pPr>
            <w:r>
              <w:t>≥98%</w:t>
            </w:r>
          </w:p>
        </w:tc>
        <w:tc>
          <w:tcPr>
            <w:tcW w:w="1276" w:type="dxa"/>
            <w:vAlign w:val="center"/>
          </w:tcPr>
          <w:p w14:paraId="1564CC9F">
            <w:pPr>
              <w:pStyle w:val="12"/>
            </w:pPr>
            <w:r>
              <w:t>项目规划</w:t>
            </w:r>
          </w:p>
        </w:tc>
      </w:tr>
      <w:tr w14:paraId="31BE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26D7B">
            <w:pPr>
              <w:pStyle w:val="13"/>
            </w:pPr>
            <w:r>
              <w:t>满意度指标</w:t>
            </w:r>
          </w:p>
        </w:tc>
        <w:tc>
          <w:tcPr>
            <w:tcW w:w="2268" w:type="dxa"/>
            <w:vAlign w:val="center"/>
          </w:tcPr>
          <w:p w14:paraId="1B80B57E">
            <w:pPr>
              <w:pStyle w:val="12"/>
            </w:pPr>
            <w:r>
              <w:t>服务对象满意度指标</w:t>
            </w:r>
          </w:p>
        </w:tc>
        <w:tc>
          <w:tcPr>
            <w:tcW w:w="2835" w:type="dxa"/>
            <w:vAlign w:val="center"/>
          </w:tcPr>
          <w:p w14:paraId="525203C7">
            <w:pPr>
              <w:pStyle w:val="12"/>
            </w:pPr>
            <w:r>
              <w:t>受益学生家长及调查满意度</w:t>
            </w:r>
          </w:p>
        </w:tc>
        <w:tc>
          <w:tcPr>
            <w:tcW w:w="5386" w:type="dxa"/>
            <w:vAlign w:val="center"/>
          </w:tcPr>
          <w:p w14:paraId="0DBA310E">
            <w:pPr>
              <w:pStyle w:val="12"/>
            </w:pPr>
            <w:r>
              <w:t>学生、教师及家长对学校教学环境满意度情况</w:t>
            </w:r>
          </w:p>
        </w:tc>
        <w:tc>
          <w:tcPr>
            <w:tcW w:w="2268" w:type="dxa"/>
            <w:vAlign w:val="center"/>
          </w:tcPr>
          <w:p w14:paraId="106AEB06">
            <w:pPr>
              <w:pStyle w:val="12"/>
            </w:pPr>
            <w:r>
              <w:t>≥95%</w:t>
            </w:r>
          </w:p>
        </w:tc>
        <w:tc>
          <w:tcPr>
            <w:tcW w:w="1276" w:type="dxa"/>
            <w:vAlign w:val="center"/>
          </w:tcPr>
          <w:p w14:paraId="01D4B4F0">
            <w:pPr>
              <w:pStyle w:val="12"/>
            </w:pPr>
            <w:r>
              <w:t>问卷调查</w:t>
            </w:r>
          </w:p>
        </w:tc>
      </w:tr>
    </w:tbl>
    <w:p w14:paraId="1092BF95">
      <w:pPr>
        <w:sectPr>
          <w:pgSz w:w="16840" w:h="11900" w:orient="landscape"/>
          <w:pgMar w:top="1361" w:right="1020" w:bottom="1134" w:left="1020" w:header="720" w:footer="720" w:gutter="0"/>
          <w:cols w:space="720" w:num="1"/>
        </w:sectPr>
      </w:pPr>
    </w:p>
    <w:p w14:paraId="1F8C00B6">
      <w:pPr>
        <w:spacing w:before="0" w:after="0"/>
        <w:ind w:firstLine="560"/>
        <w:jc w:val="left"/>
        <w:outlineLvl w:val="9"/>
      </w:pPr>
      <w:r>
        <w:rPr>
          <w:rFonts w:ascii="方正仿宋_GBK" w:hAnsi="方正仿宋_GBK" w:eastAsia="方正仿宋_GBK" w:cs="方正仿宋_GBK"/>
          <w:b/>
          <w:color w:val="000000"/>
          <w:sz w:val="28"/>
        </w:rPr>
        <w:t>8、县级配套/2026年/唐尧街幼儿园免保育教育费补助绩效目标表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ED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E38E8">
            <w:pPr>
              <w:pStyle w:val="11"/>
            </w:pPr>
            <w:r>
              <w:t>单位：万元</w:t>
            </w:r>
          </w:p>
        </w:tc>
      </w:tr>
      <w:tr w14:paraId="0B646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BDAE9">
            <w:pPr>
              <w:pStyle w:val="10"/>
            </w:pPr>
            <w:r>
              <w:t>项目编码</w:t>
            </w:r>
          </w:p>
        </w:tc>
        <w:tc>
          <w:tcPr>
            <w:tcW w:w="5103" w:type="dxa"/>
            <w:gridSpan w:val="2"/>
            <w:vAlign w:val="center"/>
          </w:tcPr>
          <w:p w14:paraId="0B80FB9C">
            <w:pPr>
              <w:pStyle w:val="12"/>
            </w:pPr>
            <w:r>
              <w:t>13052526P00876910177N</w:t>
            </w:r>
          </w:p>
        </w:tc>
        <w:tc>
          <w:tcPr>
            <w:tcW w:w="2835" w:type="dxa"/>
            <w:vAlign w:val="center"/>
          </w:tcPr>
          <w:p w14:paraId="227DE346">
            <w:pPr>
              <w:pStyle w:val="10"/>
            </w:pPr>
            <w:r>
              <w:t>项目名称</w:t>
            </w:r>
          </w:p>
        </w:tc>
        <w:tc>
          <w:tcPr>
            <w:tcW w:w="6095" w:type="dxa"/>
            <w:gridSpan w:val="3"/>
            <w:vAlign w:val="center"/>
          </w:tcPr>
          <w:p w14:paraId="263B07EC">
            <w:pPr>
              <w:pStyle w:val="12"/>
            </w:pPr>
            <w:r>
              <w:t>县级配套/2026年/唐尧街幼儿园免保育教育费补助</w:t>
            </w:r>
          </w:p>
        </w:tc>
      </w:tr>
      <w:tr w14:paraId="205DF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9059C">
            <w:pPr>
              <w:pStyle w:val="10"/>
            </w:pPr>
            <w:r>
              <w:t>预算规模及资金用途</w:t>
            </w:r>
          </w:p>
        </w:tc>
        <w:tc>
          <w:tcPr>
            <w:tcW w:w="2268" w:type="dxa"/>
            <w:vAlign w:val="center"/>
          </w:tcPr>
          <w:p w14:paraId="75B64C2F">
            <w:pPr>
              <w:pStyle w:val="10"/>
            </w:pPr>
            <w:r>
              <w:t>预算数</w:t>
            </w:r>
          </w:p>
        </w:tc>
        <w:tc>
          <w:tcPr>
            <w:tcW w:w="2835" w:type="dxa"/>
            <w:vAlign w:val="center"/>
          </w:tcPr>
          <w:p w14:paraId="0F6C4830">
            <w:pPr>
              <w:pStyle w:val="12"/>
            </w:pPr>
            <w:r>
              <w:t>0.86</w:t>
            </w:r>
          </w:p>
        </w:tc>
        <w:tc>
          <w:tcPr>
            <w:tcW w:w="2835" w:type="dxa"/>
            <w:vAlign w:val="center"/>
          </w:tcPr>
          <w:p w14:paraId="5CBC3846">
            <w:pPr>
              <w:pStyle w:val="10"/>
            </w:pPr>
            <w:r>
              <w:t>其中：财政    资金</w:t>
            </w:r>
          </w:p>
        </w:tc>
        <w:tc>
          <w:tcPr>
            <w:tcW w:w="2551" w:type="dxa"/>
            <w:vAlign w:val="center"/>
          </w:tcPr>
          <w:p w14:paraId="638706A9">
            <w:pPr>
              <w:pStyle w:val="12"/>
            </w:pPr>
            <w:r>
              <w:t>0.86</w:t>
            </w:r>
          </w:p>
        </w:tc>
        <w:tc>
          <w:tcPr>
            <w:tcW w:w="2268" w:type="dxa"/>
            <w:vAlign w:val="center"/>
          </w:tcPr>
          <w:p w14:paraId="686AE319">
            <w:pPr>
              <w:pStyle w:val="10"/>
            </w:pPr>
            <w:r>
              <w:t>其他资金</w:t>
            </w:r>
          </w:p>
        </w:tc>
        <w:tc>
          <w:tcPr>
            <w:tcW w:w="1276" w:type="dxa"/>
            <w:vAlign w:val="center"/>
          </w:tcPr>
          <w:p w14:paraId="4B68FDF2">
            <w:pPr>
              <w:pStyle w:val="12"/>
            </w:pPr>
            <w:r>
              <w:t xml:space="preserve"> </w:t>
            </w:r>
          </w:p>
        </w:tc>
      </w:tr>
      <w:tr w14:paraId="1E51A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C8727"/>
        </w:tc>
        <w:tc>
          <w:tcPr>
            <w:tcW w:w="14033" w:type="dxa"/>
            <w:gridSpan w:val="6"/>
            <w:vAlign w:val="center"/>
          </w:tcPr>
          <w:p w14:paraId="0B52BCD0">
            <w:pPr>
              <w:pStyle w:val="12"/>
            </w:pPr>
            <w:r>
              <w:t>保障幼儿园正常运转，完成教育教学活动和其他日常工作任务等方面的费用支出。</w:t>
            </w:r>
            <w:r>
              <w:tab/>
            </w:r>
          </w:p>
        </w:tc>
      </w:tr>
      <w:tr w14:paraId="50BF4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57F01">
            <w:pPr>
              <w:pStyle w:val="10"/>
            </w:pPr>
            <w:r>
              <w:t>资金支出计划（%）</w:t>
            </w:r>
          </w:p>
        </w:tc>
        <w:tc>
          <w:tcPr>
            <w:tcW w:w="5103" w:type="dxa"/>
            <w:gridSpan w:val="2"/>
            <w:vAlign w:val="center"/>
          </w:tcPr>
          <w:p w14:paraId="4EEF0FC3">
            <w:pPr>
              <w:pStyle w:val="10"/>
            </w:pPr>
            <w:r>
              <w:t>3月底</w:t>
            </w:r>
          </w:p>
        </w:tc>
        <w:tc>
          <w:tcPr>
            <w:tcW w:w="2835" w:type="dxa"/>
            <w:vAlign w:val="center"/>
          </w:tcPr>
          <w:p w14:paraId="38D4D2DF">
            <w:pPr>
              <w:pStyle w:val="10"/>
            </w:pPr>
            <w:r>
              <w:t>6月底</w:t>
            </w:r>
          </w:p>
        </w:tc>
        <w:tc>
          <w:tcPr>
            <w:tcW w:w="2551" w:type="dxa"/>
            <w:vAlign w:val="center"/>
          </w:tcPr>
          <w:p w14:paraId="58A70970">
            <w:pPr>
              <w:pStyle w:val="10"/>
            </w:pPr>
            <w:r>
              <w:t>10月底</w:t>
            </w:r>
          </w:p>
        </w:tc>
        <w:tc>
          <w:tcPr>
            <w:tcW w:w="3544" w:type="dxa"/>
            <w:gridSpan w:val="2"/>
            <w:vAlign w:val="center"/>
          </w:tcPr>
          <w:p w14:paraId="44DCAA29">
            <w:pPr>
              <w:pStyle w:val="10"/>
            </w:pPr>
            <w:r>
              <w:t>12月底</w:t>
            </w:r>
          </w:p>
        </w:tc>
      </w:tr>
      <w:tr w14:paraId="4016C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3DAED"/>
        </w:tc>
        <w:tc>
          <w:tcPr>
            <w:tcW w:w="5103" w:type="dxa"/>
            <w:gridSpan w:val="2"/>
            <w:vAlign w:val="center"/>
          </w:tcPr>
          <w:p w14:paraId="78DCC2BF">
            <w:pPr>
              <w:pStyle w:val="13"/>
            </w:pPr>
            <w:r>
              <w:t>25%</w:t>
            </w:r>
          </w:p>
        </w:tc>
        <w:tc>
          <w:tcPr>
            <w:tcW w:w="2835" w:type="dxa"/>
            <w:vAlign w:val="center"/>
          </w:tcPr>
          <w:p w14:paraId="1561AA7E">
            <w:pPr>
              <w:pStyle w:val="13"/>
            </w:pPr>
            <w:r>
              <w:t>50%</w:t>
            </w:r>
          </w:p>
        </w:tc>
        <w:tc>
          <w:tcPr>
            <w:tcW w:w="2551" w:type="dxa"/>
            <w:vAlign w:val="center"/>
          </w:tcPr>
          <w:p w14:paraId="19F54C1D">
            <w:pPr>
              <w:pStyle w:val="13"/>
            </w:pPr>
            <w:r>
              <w:t>75%</w:t>
            </w:r>
          </w:p>
        </w:tc>
        <w:tc>
          <w:tcPr>
            <w:tcW w:w="3544" w:type="dxa"/>
            <w:gridSpan w:val="2"/>
            <w:vAlign w:val="center"/>
          </w:tcPr>
          <w:p w14:paraId="2FBA19C7">
            <w:pPr>
              <w:pStyle w:val="13"/>
            </w:pPr>
            <w:r>
              <w:t>100%</w:t>
            </w:r>
          </w:p>
        </w:tc>
      </w:tr>
      <w:tr w14:paraId="3C3CA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395F2">
            <w:pPr>
              <w:pStyle w:val="10"/>
            </w:pPr>
            <w:r>
              <w:t>绩效目标</w:t>
            </w:r>
          </w:p>
        </w:tc>
        <w:tc>
          <w:tcPr>
            <w:tcW w:w="14033" w:type="dxa"/>
            <w:gridSpan w:val="6"/>
            <w:vAlign w:val="center"/>
          </w:tcPr>
          <w:p w14:paraId="6DD899E8">
            <w:pPr>
              <w:pStyle w:val="12"/>
            </w:pPr>
            <w:r>
              <w:t>1.保障幼儿园正常运转，完成教育教学活动和其他日常工作任务等方面的费用支出。</w:t>
            </w:r>
            <w:r>
              <w:tab/>
            </w:r>
            <w:r>
              <w:tab/>
            </w:r>
            <w:r>
              <w:tab/>
            </w:r>
            <w:r>
              <w:tab/>
            </w:r>
            <w:r>
              <w:tab/>
            </w:r>
            <w:r>
              <w:tab/>
            </w:r>
          </w:p>
          <w:p w14:paraId="134C5556">
            <w:pPr>
              <w:pStyle w:val="12"/>
            </w:pPr>
          </w:p>
        </w:tc>
      </w:tr>
    </w:tbl>
    <w:p w14:paraId="675FE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0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AA289">
            <w:pPr>
              <w:pStyle w:val="10"/>
            </w:pPr>
            <w:r>
              <w:t>一级指标</w:t>
            </w:r>
          </w:p>
        </w:tc>
        <w:tc>
          <w:tcPr>
            <w:tcW w:w="2268" w:type="dxa"/>
            <w:vAlign w:val="center"/>
          </w:tcPr>
          <w:p w14:paraId="6CA3F41B">
            <w:pPr>
              <w:pStyle w:val="10"/>
            </w:pPr>
            <w:r>
              <w:t>二级指标</w:t>
            </w:r>
          </w:p>
        </w:tc>
        <w:tc>
          <w:tcPr>
            <w:tcW w:w="2835" w:type="dxa"/>
            <w:vAlign w:val="center"/>
          </w:tcPr>
          <w:p w14:paraId="50D18A95">
            <w:pPr>
              <w:pStyle w:val="10"/>
            </w:pPr>
            <w:r>
              <w:t>三级指标</w:t>
            </w:r>
          </w:p>
        </w:tc>
        <w:tc>
          <w:tcPr>
            <w:tcW w:w="5386" w:type="dxa"/>
            <w:vAlign w:val="center"/>
          </w:tcPr>
          <w:p w14:paraId="2EC991B2">
            <w:pPr>
              <w:pStyle w:val="10"/>
            </w:pPr>
            <w:r>
              <w:t>绩效指标描述</w:t>
            </w:r>
          </w:p>
        </w:tc>
        <w:tc>
          <w:tcPr>
            <w:tcW w:w="2268" w:type="dxa"/>
            <w:vAlign w:val="center"/>
          </w:tcPr>
          <w:p w14:paraId="25A55BE0">
            <w:pPr>
              <w:pStyle w:val="10"/>
            </w:pPr>
            <w:r>
              <w:t>指标值</w:t>
            </w:r>
          </w:p>
        </w:tc>
        <w:tc>
          <w:tcPr>
            <w:tcW w:w="1276" w:type="dxa"/>
            <w:vAlign w:val="center"/>
          </w:tcPr>
          <w:p w14:paraId="7E2423EA">
            <w:pPr>
              <w:pStyle w:val="10"/>
            </w:pPr>
            <w:r>
              <w:t>指标值确定依据</w:t>
            </w:r>
          </w:p>
        </w:tc>
      </w:tr>
      <w:tr w14:paraId="3873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D7CDF">
            <w:pPr>
              <w:pStyle w:val="13"/>
            </w:pPr>
            <w:r>
              <w:t>产出指标</w:t>
            </w:r>
          </w:p>
        </w:tc>
        <w:tc>
          <w:tcPr>
            <w:tcW w:w="2268" w:type="dxa"/>
            <w:vAlign w:val="center"/>
          </w:tcPr>
          <w:p w14:paraId="540315EF">
            <w:pPr>
              <w:pStyle w:val="12"/>
            </w:pPr>
            <w:r>
              <w:t>数量指标</w:t>
            </w:r>
          </w:p>
        </w:tc>
        <w:tc>
          <w:tcPr>
            <w:tcW w:w="2835" w:type="dxa"/>
            <w:vAlign w:val="center"/>
          </w:tcPr>
          <w:p w14:paraId="41835854">
            <w:pPr>
              <w:pStyle w:val="12"/>
            </w:pPr>
            <w:r>
              <w:t>适龄在园生</w:t>
            </w:r>
          </w:p>
        </w:tc>
        <w:tc>
          <w:tcPr>
            <w:tcW w:w="5386" w:type="dxa"/>
            <w:vAlign w:val="center"/>
          </w:tcPr>
          <w:p w14:paraId="0AD275E3">
            <w:pPr>
              <w:pStyle w:val="12"/>
            </w:pPr>
            <w:r>
              <w:t>适龄在园大班学生人数</w:t>
            </w:r>
          </w:p>
        </w:tc>
        <w:tc>
          <w:tcPr>
            <w:tcW w:w="2268" w:type="dxa"/>
            <w:vAlign w:val="center"/>
          </w:tcPr>
          <w:p w14:paraId="49610713">
            <w:pPr>
              <w:pStyle w:val="12"/>
            </w:pPr>
            <w:r>
              <w:t>58人</w:t>
            </w:r>
          </w:p>
        </w:tc>
        <w:tc>
          <w:tcPr>
            <w:tcW w:w="1276" w:type="dxa"/>
            <w:vAlign w:val="center"/>
          </w:tcPr>
          <w:p w14:paraId="565DFCC3">
            <w:pPr>
              <w:pStyle w:val="12"/>
            </w:pPr>
            <w:r>
              <w:t>免保育教育费生均财政补助标准</w:t>
            </w:r>
          </w:p>
        </w:tc>
      </w:tr>
      <w:tr w14:paraId="554E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CA85E"/>
        </w:tc>
        <w:tc>
          <w:tcPr>
            <w:tcW w:w="2268" w:type="dxa"/>
            <w:vAlign w:val="center"/>
          </w:tcPr>
          <w:p w14:paraId="0236B50A">
            <w:pPr>
              <w:pStyle w:val="12"/>
            </w:pPr>
            <w:r>
              <w:t>质量指标</w:t>
            </w:r>
          </w:p>
        </w:tc>
        <w:tc>
          <w:tcPr>
            <w:tcW w:w="2835" w:type="dxa"/>
            <w:vAlign w:val="center"/>
          </w:tcPr>
          <w:p w14:paraId="7735A904">
            <w:pPr>
              <w:pStyle w:val="12"/>
            </w:pPr>
            <w:r>
              <w:t>预算控制率</w:t>
            </w:r>
          </w:p>
        </w:tc>
        <w:tc>
          <w:tcPr>
            <w:tcW w:w="5386" w:type="dxa"/>
            <w:vAlign w:val="center"/>
          </w:tcPr>
          <w:p w14:paraId="730F612B">
            <w:pPr>
              <w:pStyle w:val="12"/>
            </w:pPr>
            <w:r>
              <w:t>预算执行</w:t>
            </w:r>
          </w:p>
        </w:tc>
        <w:tc>
          <w:tcPr>
            <w:tcW w:w="2268" w:type="dxa"/>
            <w:vAlign w:val="center"/>
          </w:tcPr>
          <w:p w14:paraId="6B106E64">
            <w:pPr>
              <w:pStyle w:val="12"/>
            </w:pPr>
            <w:r>
              <w:t>≥95%</w:t>
            </w:r>
          </w:p>
        </w:tc>
        <w:tc>
          <w:tcPr>
            <w:tcW w:w="1276" w:type="dxa"/>
            <w:vAlign w:val="center"/>
          </w:tcPr>
          <w:p w14:paraId="30122C1B">
            <w:pPr>
              <w:pStyle w:val="12"/>
            </w:pPr>
            <w:r>
              <w:t>免保育教育费生均财政补助标准</w:t>
            </w:r>
          </w:p>
        </w:tc>
      </w:tr>
      <w:tr w14:paraId="06D8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2A54"/>
        </w:tc>
        <w:tc>
          <w:tcPr>
            <w:tcW w:w="2268" w:type="dxa"/>
            <w:vAlign w:val="center"/>
          </w:tcPr>
          <w:p w14:paraId="06109F86">
            <w:pPr>
              <w:pStyle w:val="12"/>
            </w:pPr>
            <w:r>
              <w:t>时效指标</w:t>
            </w:r>
          </w:p>
        </w:tc>
        <w:tc>
          <w:tcPr>
            <w:tcW w:w="2835" w:type="dxa"/>
            <w:vAlign w:val="center"/>
          </w:tcPr>
          <w:p w14:paraId="16DAAB4F">
            <w:pPr>
              <w:pStyle w:val="12"/>
            </w:pPr>
            <w:r>
              <w:t>资金支付率</w:t>
            </w:r>
          </w:p>
        </w:tc>
        <w:tc>
          <w:tcPr>
            <w:tcW w:w="5386" w:type="dxa"/>
            <w:vAlign w:val="center"/>
          </w:tcPr>
          <w:p w14:paraId="4AB7D3B2">
            <w:pPr>
              <w:pStyle w:val="12"/>
            </w:pPr>
            <w:r>
              <w:t>按照序时进度完成资金支付</w:t>
            </w:r>
          </w:p>
        </w:tc>
        <w:tc>
          <w:tcPr>
            <w:tcW w:w="2268" w:type="dxa"/>
            <w:vAlign w:val="center"/>
          </w:tcPr>
          <w:p w14:paraId="5ED6A8C6">
            <w:pPr>
              <w:pStyle w:val="12"/>
            </w:pPr>
            <w:r>
              <w:t>100%</w:t>
            </w:r>
          </w:p>
        </w:tc>
        <w:tc>
          <w:tcPr>
            <w:tcW w:w="1276" w:type="dxa"/>
            <w:vAlign w:val="center"/>
          </w:tcPr>
          <w:p w14:paraId="588F7D43">
            <w:pPr>
              <w:pStyle w:val="12"/>
            </w:pPr>
            <w:r>
              <w:t>免保育教育费生均财政补助标准</w:t>
            </w:r>
          </w:p>
        </w:tc>
      </w:tr>
      <w:tr w14:paraId="151A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E72E5"/>
        </w:tc>
        <w:tc>
          <w:tcPr>
            <w:tcW w:w="2268" w:type="dxa"/>
            <w:vAlign w:val="center"/>
          </w:tcPr>
          <w:p w14:paraId="45ACF9DD">
            <w:pPr>
              <w:pStyle w:val="12"/>
            </w:pPr>
            <w:r>
              <w:t>成本指标</w:t>
            </w:r>
          </w:p>
        </w:tc>
        <w:tc>
          <w:tcPr>
            <w:tcW w:w="2835" w:type="dxa"/>
            <w:vAlign w:val="center"/>
          </w:tcPr>
          <w:p w14:paraId="5C1CA270">
            <w:pPr>
              <w:pStyle w:val="12"/>
            </w:pPr>
            <w:r>
              <w:t xml:space="preserve"> 免保育教育费补助</w:t>
            </w:r>
          </w:p>
        </w:tc>
        <w:tc>
          <w:tcPr>
            <w:tcW w:w="5386" w:type="dxa"/>
            <w:vAlign w:val="center"/>
          </w:tcPr>
          <w:p w14:paraId="6BEEDD31">
            <w:pPr>
              <w:pStyle w:val="12"/>
            </w:pPr>
            <w:r>
              <w:t>免保育教育费补助</w:t>
            </w:r>
          </w:p>
        </w:tc>
        <w:tc>
          <w:tcPr>
            <w:tcW w:w="2268" w:type="dxa"/>
            <w:vAlign w:val="center"/>
          </w:tcPr>
          <w:p w14:paraId="4F5698F6">
            <w:pPr>
              <w:pStyle w:val="12"/>
            </w:pPr>
            <w:r>
              <w:t>8644元</w:t>
            </w:r>
          </w:p>
        </w:tc>
        <w:tc>
          <w:tcPr>
            <w:tcW w:w="1276" w:type="dxa"/>
            <w:vAlign w:val="center"/>
          </w:tcPr>
          <w:p w14:paraId="69FB3446">
            <w:pPr>
              <w:pStyle w:val="12"/>
            </w:pPr>
            <w:r>
              <w:t>免保育教育费生均财政补助标准</w:t>
            </w:r>
          </w:p>
        </w:tc>
      </w:tr>
      <w:tr w14:paraId="233C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D35D0">
            <w:pPr>
              <w:pStyle w:val="13"/>
            </w:pPr>
            <w:r>
              <w:t>效益指标</w:t>
            </w:r>
          </w:p>
        </w:tc>
        <w:tc>
          <w:tcPr>
            <w:tcW w:w="2268" w:type="dxa"/>
            <w:vAlign w:val="center"/>
          </w:tcPr>
          <w:p w14:paraId="69F0A7C3">
            <w:pPr>
              <w:pStyle w:val="12"/>
            </w:pPr>
            <w:r>
              <w:t>可持续影响指标</w:t>
            </w:r>
          </w:p>
        </w:tc>
        <w:tc>
          <w:tcPr>
            <w:tcW w:w="2835" w:type="dxa"/>
            <w:vAlign w:val="center"/>
          </w:tcPr>
          <w:p w14:paraId="491A71E6">
            <w:pPr>
              <w:pStyle w:val="12"/>
            </w:pPr>
            <w:r>
              <w:t>学校运转得到提升</w:t>
            </w:r>
          </w:p>
        </w:tc>
        <w:tc>
          <w:tcPr>
            <w:tcW w:w="5386" w:type="dxa"/>
            <w:vAlign w:val="center"/>
          </w:tcPr>
          <w:p w14:paraId="1DC9CDFE">
            <w:pPr>
              <w:pStyle w:val="12"/>
            </w:pPr>
            <w:r>
              <w:t>幼儿受教育年限</w:t>
            </w:r>
          </w:p>
        </w:tc>
        <w:tc>
          <w:tcPr>
            <w:tcW w:w="2268" w:type="dxa"/>
            <w:vAlign w:val="center"/>
          </w:tcPr>
          <w:p w14:paraId="221D19F0">
            <w:pPr>
              <w:pStyle w:val="12"/>
            </w:pPr>
            <w:r>
              <w:t>3年</w:t>
            </w:r>
          </w:p>
        </w:tc>
        <w:tc>
          <w:tcPr>
            <w:tcW w:w="1276" w:type="dxa"/>
            <w:vAlign w:val="center"/>
          </w:tcPr>
          <w:p w14:paraId="7275C36D">
            <w:pPr>
              <w:pStyle w:val="12"/>
            </w:pPr>
            <w:r>
              <w:t>免保育教育费生均财政补助标准</w:t>
            </w:r>
          </w:p>
        </w:tc>
      </w:tr>
      <w:tr w14:paraId="43EB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B5F26">
            <w:pPr>
              <w:pStyle w:val="13"/>
            </w:pPr>
            <w:r>
              <w:t>满意度指标</w:t>
            </w:r>
          </w:p>
        </w:tc>
        <w:tc>
          <w:tcPr>
            <w:tcW w:w="2268" w:type="dxa"/>
            <w:vAlign w:val="center"/>
          </w:tcPr>
          <w:p w14:paraId="31298918">
            <w:pPr>
              <w:pStyle w:val="12"/>
            </w:pPr>
            <w:r>
              <w:t>服务对象满意度指标</w:t>
            </w:r>
          </w:p>
        </w:tc>
        <w:tc>
          <w:tcPr>
            <w:tcW w:w="2835" w:type="dxa"/>
            <w:vAlign w:val="center"/>
          </w:tcPr>
          <w:p w14:paraId="615DFDE5">
            <w:pPr>
              <w:pStyle w:val="12"/>
            </w:pPr>
            <w:r>
              <w:t>受益学生家长及调查满意度</w:t>
            </w:r>
          </w:p>
        </w:tc>
        <w:tc>
          <w:tcPr>
            <w:tcW w:w="5386" w:type="dxa"/>
            <w:vAlign w:val="center"/>
          </w:tcPr>
          <w:p w14:paraId="674CC2B3">
            <w:pPr>
              <w:pStyle w:val="12"/>
            </w:pPr>
            <w:r>
              <w:t>学生、教师及家长对学校保教保育工作满意度情况</w:t>
            </w:r>
          </w:p>
        </w:tc>
        <w:tc>
          <w:tcPr>
            <w:tcW w:w="2268" w:type="dxa"/>
            <w:vAlign w:val="center"/>
          </w:tcPr>
          <w:p w14:paraId="6D0A115F">
            <w:pPr>
              <w:pStyle w:val="12"/>
            </w:pPr>
            <w:r>
              <w:t>≥95%</w:t>
            </w:r>
          </w:p>
        </w:tc>
        <w:tc>
          <w:tcPr>
            <w:tcW w:w="1276" w:type="dxa"/>
            <w:vAlign w:val="center"/>
          </w:tcPr>
          <w:p w14:paraId="7EF623C4">
            <w:pPr>
              <w:pStyle w:val="12"/>
            </w:pPr>
            <w:r>
              <w:t>免保育教育费生均财政补助标准</w:t>
            </w:r>
          </w:p>
        </w:tc>
      </w:tr>
    </w:tbl>
    <w:p w14:paraId="52642FB9">
      <w:pPr>
        <w:sectPr>
          <w:pgSz w:w="16840" w:h="11900" w:orient="landscape"/>
          <w:pgMar w:top="1361" w:right="1020" w:bottom="1134" w:left="1020" w:header="720" w:footer="720" w:gutter="0"/>
          <w:cols w:space="720" w:num="1"/>
        </w:sectPr>
      </w:pPr>
    </w:p>
    <w:p w14:paraId="03D67608">
      <w:pPr>
        <w:spacing w:before="0" w:after="0"/>
        <w:ind w:firstLine="560"/>
        <w:jc w:val="left"/>
        <w:outlineLvl w:val="9"/>
      </w:pPr>
      <w:r>
        <w:rPr>
          <w:rFonts w:ascii="方正仿宋_GBK" w:hAnsi="方正仿宋_GBK" w:eastAsia="方正仿宋_GBK" w:cs="方正仿宋_GBK"/>
          <w:b/>
          <w:color w:val="000000"/>
          <w:sz w:val="28"/>
        </w:rPr>
        <w:t>9、县级配套/唐尧街幼儿园学前教育幼儿资助绩效目标表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43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8C6D7">
            <w:pPr>
              <w:pStyle w:val="11"/>
            </w:pPr>
            <w:r>
              <w:t>单位：万元</w:t>
            </w:r>
          </w:p>
        </w:tc>
      </w:tr>
      <w:tr w14:paraId="4D630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6851C">
            <w:pPr>
              <w:pStyle w:val="10"/>
            </w:pPr>
            <w:r>
              <w:t>项目编码</w:t>
            </w:r>
          </w:p>
        </w:tc>
        <w:tc>
          <w:tcPr>
            <w:tcW w:w="5103" w:type="dxa"/>
            <w:gridSpan w:val="2"/>
            <w:vAlign w:val="center"/>
          </w:tcPr>
          <w:p w14:paraId="61DDE21C">
            <w:pPr>
              <w:pStyle w:val="12"/>
            </w:pPr>
            <w:r>
              <w:t>13052526P000002100925</w:t>
            </w:r>
          </w:p>
        </w:tc>
        <w:tc>
          <w:tcPr>
            <w:tcW w:w="2835" w:type="dxa"/>
            <w:vAlign w:val="center"/>
          </w:tcPr>
          <w:p w14:paraId="2CB5DB43">
            <w:pPr>
              <w:pStyle w:val="10"/>
            </w:pPr>
            <w:r>
              <w:t>项目名称</w:t>
            </w:r>
          </w:p>
        </w:tc>
        <w:tc>
          <w:tcPr>
            <w:tcW w:w="6095" w:type="dxa"/>
            <w:gridSpan w:val="3"/>
            <w:vAlign w:val="center"/>
          </w:tcPr>
          <w:p w14:paraId="796DEBB7">
            <w:pPr>
              <w:pStyle w:val="12"/>
            </w:pPr>
            <w:r>
              <w:t>县级配套/唐尧街幼儿园学前教育幼儿资助</w:t>
            </w:r>
          </w:p>
        </w:tc>
      </w:tr>
      <w:tr w14:paraId="42799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10FE6">
            <w:pPr>
              <w:pStyle w:val="10"/>
            </w:pPr>
            <w:r>
              <w:t>预算规模及资金用途</w:t>
            </w:r>
          </w:p>
        </w:tc>
        <w:tc>
          <w:tcPr>
            <w:tcW w:w="2268" w:type="dxa"/>
            <w:vAlign w:val="center"/>
          </w:tcPr>
          <w:p w14:paraId="476F54C0">
            <w:pPr>
              <w:pStyle w:val="10"/>
            </w:pPr>
            <w:r>
              <w:t>预算数</w:t>
            </w:r>
          </w:p>
        </w:tc>
        <w:tc>
          <w:tcPr>
            <w:tcW w:w="2835" w:type="dxa"/>
            <w:vAlign w:val="center"/>
          </w:tcPr>
          <w:p w14:paraId="7736C1D1">
            <w:pPr>
              <w:pStyle w:val="12"/>
            </w:pPr>
            <w:r>
              <w:t>0.44</w:t>
            </w:r>
          </w:p>
        </w:tc>
        <w:tc>
          <w:tcPr>
            <w:tcW w:w="2835" w:type="dxa"/>
            <w:vAlign w:val="center"/>
          </w:tcPr>
          <w:p w14:paraId="380B4899">
            <w:pPr>
              <w:pStyle w:val="10"/>
            </w:pPr>
            <w:r>
              <w:t>其中：财政    资金</w:t>
            </w:r>
          </w:p>
        </w:tc>
        <w:tc>
          <w:tcPr>
            <w:tcW w:w="2551" w:type="dxa"/>
            <w:vAlign w:val="center"/>
          </w:tcPr>
          <w:p w14:paraId="5CEBB656">
            <w:pPr>
              <w:pStyle w:val="12"/>
            </w:pPr>
            <w:r>
              <w:t>0.44</w:t>
            </w:r>
          </w:p>
        </w:tc>
        <w:tc>
          <w:tcPr>
            <w:tcW w:w="2268" w:type="dxa"/>
            <w:vAlign w:val="center"/>
          </w:tcPr>
          <w:p w14:paraId="36A52E7E">
            <w:pPr>
              <w:pStyle w:val="10"/>
            </w:pPr>
            <w:r>
              <w:t>其他资金</w:t>
            </w:r>
          </w:p>
        </w:tc>
        <w:tc>
          <w:tcPr>
            <w:tcW w:w="1276" w:type="dxa"/>
            <w:vAlign w:val="center"/>
          </w:tcPr>
          <w:p w14:paraId="3AFD5DF8">
            <w:pPr>
              <w:pStyle w:val="12"/>
            </w:pPr>
            <w:r>
              <w:t xml:space="preserve"> </w:t>
            </w:r>
          </w:p>
        </w:tc>
      </w:tr>
      <w:tr w14:paraId="6A89B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1E121"/>
        </w:tc>
        <w:tc>
          <w:tcPr>
            <w:tcW w:w="14033" w:type="dxa"/>
            <w:gridSpan w:val="6"/>
            <w:vAlign w:val="center"/>
          </w:tcPr>
          <w:p w14:paraId="15486BB0">
            <w:pPr>
              <w:pStyle w:val="12"/>
            </w:pPr>
            <w:r>
              <w:t>保证本年度资助经费足额落实到位，符合享受资助条件的学生应助尽助。</w:t>
            </w:r>
            <w:r>
              <w:tab/>
            </w:r>
          </w:p>
        </w:tc>
      </w:tr>
      <w:tr w14:paraId="4041A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C2A07">
            <w:pPr>
              <w:pStyle w:val="10"/>
            </w:pPr>
            <w:r>
              <w:t>资金支出计划（%）</w:t>
            </w:r>
          </w:p>
        </w:tc>
        <w:tc>
          <w:tcPr>
            <w:tcW w:w="5103" w:type="dxa"/>
            <w:gridSpan w:val="2"/>
            <w:vAlign w:val="center"/>
          </w:tcPr>
          <w:p w14:paraId="709B8B8C">
            <w:pPr>
              <w:pStyle w:val="10"/>
            </w:pPr>
            <w:r>
              <w:t>3月底</w:t>
            </w:r>
          </w:p>
        </w:tc>
        <w:tc>
          <w:tcPr>
            <w:tcW w:w="2835" w:type="dxa"/>
            <w:vAlign w:val="center"/>
          </w:tcPr>
          <w:p w14:paraId="6E6EB638">
            <w:pPr>
              <w:pStyle w:val="10"/>
            </w:pPr>
            <w:r>
              <w:t>6月底</w:t>
            </w:r>
          </w:p>
        </w:tc>
        <w:tc>
          <w:tcPr>
            <w:tcW w:w="2551" w:type="dxa"/>
            <w:vAlign w:val="center"/>
          </w:tcPr>
          <w:p w14:paraId="541D04E0">
            <w:pPr>
              <w:pStyle w:val="10"/>
            </w:pPr>
            <w:r>
              <w:t>10月底</w:t>
            </w:r>
          </w:p>
        </w:tc>
        <w:tc>
          <w:tcPr>
            <w:tcW w:w="3544" w:type="dxa"/>
            <w:gridSpan w:val="2"/>
            <w:vAlign w:val="center"/>
          </w:tcPr>
          <w:p w14:paraId="5FFCA3A7">
            <w:pPr>
              <w:pStyle w:val="10"/>
            </w:pPr>
            <w:r>
              <w:t>12月底</w:t>
            </w:r>
          </w:p>
        </w:tc>
      </w:tr>
      <w:tr w14:paraId="0FBF1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7BEFE"/>
        </w:tc>
        <w:tc>
          <w:tcPr>
            <w:tcW w:w="5103" w:type="dxa"/>
            <w:gridSpan w:val="2"/>
            <w:vAlign w:val="center"/>
          </w:tcPr>
          <w:p w14:paraId="7B068D03">
            <w:pPr>
              <w:pStyle w:val="13"/>
            </w:pPr>
            <w:r>
              <w:t xml:space="preserve"> </w:t>
            </w:r>
          </w:p>
        </w:tc>
        <w:tc>
          <w:tcPr>
            <w:tcW w:w="2835" w:type="dxa"/>
            <w:vAlign w:val="center"/>
          </w:tcPr>
          <w:p w14:paraId="17DBA9F5">
            <w:pPr>
              <w:pStyle w:val="13"/>
            </w:pPr>
            <w:r>
              <w:t>50%</w:t>
            </w:r>
          </w:p>
        </w:tc>
        <w:tc>
          <w:tcPr>
            <w:tcW w:w="2551" w:type="dxa"/>
            <w:vAlign w:val="center"/>
          </w:tcPr>
          <w:p w14:paraId="58B14A5B">
            <w:pPr>
              <w:pStyle w:val="13"/>
            </w:pPr>
            <w:r>
              <w:t>50%</w:t>
            </w:r>
          </w:p>
        </w:tc>
        <w:tc>
          <w:tcPr>
            <w:tcW w:w="3544" w:type="dxa"/>
            <w:gridSpan w:val="2"/>
            <w:vAlign w:val="center"/>
          </w:tcPr>
          <w:p w14:paraId="3F03F49B">
            <w:pPr>
              <w:pStyle w:val="13"/>
            </w:pPr>
            <w:r>
              <w:t>100%</w:t>
            </w:r>
          </w:p>
        </w:tc>
      </w:tr>
      <w:tr w14:paraId="5A086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81463">
            <w:pPr>
              <w:pStyle w:val="10"/>
            </w:pPr>
            <w:r>
              <w:t>绩效目标</w:t>
            </w:r>
          </w:p>
        </w:tc>
        <w:tc>
          <w:tcPr>
            <w:tcW w:w="14033" w:type="dxa"/>
            <w:gridSpan w:val="6"/>
            <w:vAlign w:val="center"/>
          </w:tcPr>
          <w:p w14:paraId="31DF41D0">
            <w:pPr>
              <w:pStyle w:val="12"/>
            </w:pPr>
            <w:r>
              <w:t>1.保障落实建档立卡及家庭经济困难儿童资助所需资金，确保建档立卡等家庭经济困难幼儿优先获得资助</w:t>
            </w:r>
          </w:p>
        </w:tc>
      </w:tr>
    </w:tbl>
    <w:p w14:paraId="09EEAC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F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177DC">
            <w:pPr>
              <w:pStyle w:val="10"/>
            </w:pPr>
            <w:r>
              <w:t>一级指标</w:t>
            </w:r>
          </w:p>
        </w:tc>
        <w:tc>
          <w:tcPr>
            <w:tcW w:w="2268" w:type="dxa"/>
            <w:vAlign w:val="center"/>
          </w:tcPr>
          <w:p w14:paraId="0E7C3AC6">
            <w:pPr>
              <w:pStyle w:val="10"/>
            </w:pPr>
            <w:r>
              <w:t>二级指标</w:t>
            </w:r>
          </w:p>
        </w:tc>
        <w:tc>
          <w:tcPr>
            <w:tcW w:w="2835" w:type="dxa"/>
            <w:vAlign w:val="center"/>
          </w:tcPr>
          <w:p w14:paraId="0673F6E6">
            <w:pPr>
              <w:pStyle w:val="10"/>
            </w:pPr>
            <w:r>
              <w:t>三级指标</w:t>
            </w:r>
          </w:p>
        </w:tc>
        <w:tc>
          <w:tcPr>
            <w:tcW w:w="5386" w:type="dxa"/>
            <w:vAlign w:val="center"/>
          </w:tcPr>
          <w:p w14:paraId="1FEE0483">
            <w:pPr>
              <w:pStyle w:val="10"/>
            </w:pPr>
            <w:r>
              <w:t>绩效指标描述</w:t>
            </w:r>
          </w:p>
        </w:tc>
        <w:tc>
          <w:tcPr>
            <w:tcW w:w="2268" w:type="dxa"/>
            <w:vAlign w:val="center"/>
          </w:tcPr>
          <w:p w14:paraId="6002B567">
            <w:pPr>
              <w:pStyle w:val="10"/>
            </w:pPr>
            <w:r>
              <w:t>指标值</w:t>
            </w:r>
          </w:p>
        </w:tc>
        <w:tc>
          <w:tcPr>
            <w:tcW w:w="1276" w:type="dxa"/>
            <w:vAlign w:val="center"/>
          </w:tcPr>
          <w:p w14:paraId="604A4F41">
            <w:pPr>
              <w:pStyle w:val="10"/>
            </w:pPr>
            <w:r>
              <w:t>指标值确定依据</w:t>
            </w:r>
          </w:p>
        </w:tc>
      </w:tr>
      <w:tr w14:paraId="7C26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99DAA">
            <w:pPr>
              <w:pStyle w:val="13"/>
            </w:pPr>
            <w:r>
              <w:t>产出指标</w:t>
            </w:r>
          </w:p>
        </w:tc>
        <w:tc>
          <w:tcPr>
            <w:tcW w:w="2268" w:type="dxa"/>
            <w:vAlign w:val="center"/>
          </w:tcPr>
          <w:p w14:paraId="6F634262">
            <w:pPr>
              <w:pStyle w:val="12"/>
            </w:pPr>
            <w:r>
              <w:t>数量指标</w:t>
            </w:r>
          </w:p>
        </w:tc>
        <w:tc>
          <w:tcPr>
            <w:tcW w:w="2835" w:type="dxa"/>
            <w:vAlign w:val="center"/>
          </w:tcPr>
          <w:p w14:paraId="251ED9E6">
            <w:pPr>
              <w:pStyle w:val="12"/>
            </w:pPr>
            <w:r>
              <w:t>幼儿资助比例</w:t>
            </w:r>
          </w:p>
        </w:tc>
        <w:tc>
          <w:tcPr>
            <w:tcW w:w="5386" w:type="dxa"/>
            <w:vAlign w:val="center"/>
          </w:tcPr>
          <w:p w14:paraId="36DEC5E3">
            <w:pPr>
              <w:pStyle w:val="12"/>
            </w:pPr>
            <w:r>
              <w:t>按学前适龄在园儿童实际资助人数测算</w:t>
            </w:r>
          </w:p>
        </w:tc>
        <w:tc>
          <w:tcPr>
            <w:tcW w:w="2268" w:type="dxa"/>
            <w:vAlign w:val="center"/>
          </w:tcPr>
          <w:p w14:paraId="0FBAF75E">
            <w:pPr>
              <w:pStyle w:val="12"/>
            </w:pPr>
            <w:r>
              <w:t>22人</w:t>
            </w:r>
          </w:p>
        </w:tc>
        <w:tc>
          <w:tcPr>
            <w:tcW w:w="1276" w:type="dxa"/>
            <w:vAlign w:val="center"/>
          </w:tcPr>
          <w:p w14:paraId="11FDA0BC">
            <w:pPr>
              <w:pStyle w:val="12"/>
            </w:pPr>
            <w:r>
              <w:t>幼儿资助经费管理办法</w:t>
            </w:r>
          </w:p>
        </w:tc>
      </w:tr>
      <w:tr w14:paraId="3E4E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C2E3C"/>
        </w:tc>
        <w:tc>
          <w:tcPr>
            <w:tcW w:w="2268" w:type="dxa"/>
            <w:vAlign w:val="center"/>
          </w:tcPr>
          <w:p w14:paraId="5CC00689">
            <w:pPr>
              <w:pStyle w:val="12"/>
            </w:pPr>
            <w:r>
              <w:t>质量指标</w:t>
            </w:r>
          </w:p>
        </w:tc>
        <w:tc>
          <w:tcPr>
            <w:tcW w:w="2835" w:type="dxa"/>
            <w:vAlign w:val="center"/>
          </w:tcPr>
          <w:p w14:paraId="58F12CA4">
            <w:pPr>
              <w:pStyle w:val="12"/>
            </w:pPr>
            <w:r>
              <w:t>资助资金使用率</w:t>
            </w:r>
          </w:p>
        </w:tc>
        <w:tc>
          <w:tcPr>
            <w:tcW w:w="5386" w:type="dxa"/>
            <w:vAlign w:val="center"/>
          </w:tcPr>
          <w:p w14:paraId="41D7F234">
            <w:pPr>
              <w:pStyle w:val="12"/>
            </w:pPr>
            <w:r>
              <w:t>符合享受资助条件的学生应助尽助</w:t>
            </w:r>
          </w:p>
        </w:tc>
        <w:tc>
          <w:tcPr>
            <w:tcW w:w="2268" w:type="dxa"/>
            <w:vAlign w:val="center"/>
          </w:tcPr>
          <w:p w14:paraId="153A35A0">
            <w:pPr>
              <w:pStyle w:val="12"/>
            </w:pPr>
            <w:r>
              <w:t>100%</w:t>
            </w:r>
          </w:p>
        </w:tc>
        <w:tc>
          <w:tcPr>
            <w:tcW w:w="1276" w:type="dxa"/>
            <w:vAlign w:val="center"/>
          </w:tcPr>
          <w:p w14:paraId="44A390AF">
            <w:pPr>
              <w:pStyle w:val="12"/>
            </w:pPr>
            <w:r>
              <w:t>幼儿资助经费管理办法</w:t>
            </w:r>
          </w:p>
        </w:tc>
      </w:tr>
      <w:tr w14:paraId="508BE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0180D"/>
        </w:tc>
        <w:tc>
          <w:tcPr>
            <w:tcW w:w="2268" w:type="dxa"/>
            <w:vAlign w:val="center"/>
          </w:tcPr>
          <w:p w14:paraId="1A93D9A3">
            <w:pPr>
              <w:pStyle w:val="12"/>
            </w:pPr>
            <w:r>
              <w:t>时效指标</w:t>
            </w:r>
          </w:p>
        </w:tc>
        <w:tc>
          <w:tcPr>
            <w:tcW w:w="2835" w:type="dxa"/>
            <w:vAlign w:val="center"/>
          </w:tcPr>
          <w:p w14:paraId="1C7676F6">
            <w:pPr>
              <w:pStyle w:val="12"/>
            </w:pPr>
            <w:r>
              <w:t>资金拨付率</w:t>
            </w:r>
          </w:p>
        </w:tc>
        <w:tc>
          <w:tcPr>
            <w:tcW w:w="5386" w:type="dxa"/>
            <w:vAlign w:val="center"/>
          </w:tcPr>
          <w:p w14:paraId="2FF2DBBA">
            <w:pPr>
              <w:pStyle w:val="12"/>
            </w:pPr>
            <w:r>
              <w:t>所有项目资金支付进度</w:t>
            </w:r>
          </w:p>
        </w:tc>
        <w:tc>
          <w:tcPr>
            <w:tcW w:w="2268" w:type="dxa"/>
            <w:vAlign w:val="center"/>
          </w:tcPr>
          <w:p w14:paraId="084730E3">
            <w:pPr>
              <w:pStyle w:val="12"/>
            </w:pPr>
            <w:r>
              <w:t>100%</w:t>
            </w:r>
          </w:p>
        </w:tc>
        <w:tc>
          <w:tcPr>
            <w:tcW w:w="1276" w:type="dxa"/>
            <w:vAlign w:val="center"/>
          </w:tcPr>
          <w:p w14:paraId="29403222">
            <w:pPr>
              <w:pStyle w:val="12"/>
            </w:pPr>
            <w:r>
              <w:t>幼儿资助经费管理办法</w:t>
            </w:r>
          </w:p>
        </w:tc>
      </w:tr>
      <w:tr w14:paraId="6A45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EC217"/>
        </w:tc>
        <w:tc>
          <w:tcPr>
            <w:tcW w:w="2268" w:type="dxa"/>
            <w:vAlign w:val="center"/>
          </w:tcPr>
          <w:p w14:paraId="3423A1A1">
            <w:pPr>
              <w:pStyle w:val="12"/>
            </w:pPr>
            <w:r>
              <w:t>成本指标</w:t>
            </w:r>
          </w:p>
        </w:tc>
        <w:tc>
          <w:tcPr>
            <w:tcW w:w="2835" w:type="dxa"/>
            <w:vAlign w:val="center"/>
          </w:tcPr>
          <w:p w14:paraId="422ED531">
            <w:pPr>
              <w:pStyle w:val="12"/>
            </w:pPr>
            <w:r>
              <w:t>幼儿园生均成本</w:t>
            </w:r>
          </w:p>
        </w:tc>
        <w:tc>
          <w:tcPr>
            <w:tcW w:w="5386" w:type="dxa"/>
            <w:vAlign w:val="center"/>
          </w:tcPr>
          <w:p w14:paraId="7D33893D">
            <w:pPr>
              <w:pStyle w:val="12"/>
            </w:pPr>
            <w:r>
              <w:t>按照幼儿园资助标准1000元/生/年</w:t>
            </w:r>
          </w:p>
        </w:tc>
        <w:tc>
          <w:tcPr>
            <w:tcW w:w="2268" w:type="dxa"/>
            <w:vAlign w:val="center"/>
          </w:tcPr>
          <w:p w14:paraId="38C7A9DD">
            <w:pPr>
              <w:pStyle w:val="12"/>
            </w:pPr>
            <w:r>
              <w:t>1000元</w:t>
            </w:r>
          </w:p>
        </w:tc>
        <w:tc>
          <w:tcPr>
            <w:tcW w:w="1276" w:type="dxa"/>
            <w:vAlign w:val="center"/>
          </w:tcPr>
          <w:p w14:paraId="6D8DCE86">
            <w:pPr>
              <w:pStyle w:val="12"/>
            </w:pPr>
            <w:r>
              <w:t>幼儿资助经费管理办法</w:t>
            </w:r>
          </w:p>
        </w:tc>
      </w:tr>
      <w:tr w14:paraId="3CA6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018A6">
            <w:pPr>
              <w:pStyle w:val="13"/>
            </w:pPr>
            <w:r>
              <w:t>效益指标</w:t>
            </w:r>
          </w:p>
        </w:tc>
        <w:tc>
          <w:tcPr>
            <w:tcW w:w="2268" w:type="dxa"/>
            <w:vAlign w:val="center"/>
          </w:tcPr>
          <w:p w14:paraId="71C0E854">
            <w:pPr>
              <w:pStyle w:val="12"/>
            </w:pPr>
            <w:r>
              <w:t>可持续影响指标</w:t>
            </w:r>
          </w:p>
        </w:tc>
        <w:tc>
          <w:tcPr>
            <w:tcW w:w="2835" w:type="dxa"/>
            <w:vAlign w:val="center"/>
          </w:tcPr>
          <w:p w14:paraId="0A6D9746">
            <w:pPr>
              <w:pStyle w:val="12"/>
            </w:pPr>
            <w:r>
              <w:t>幼儿园正常运转</w:t>
            </w:r>
          </w:p>
        </w:tc>
        <w:tc>
          <w:tcPr>
            <w:tcW w:w="5386" w:type="dxa"/>
            <w:vAlign w:val="center"/>
          </w:tcPr>
          <w:p w14:paraId="55387DBF">
            <w:pPr>
              <w:pStyle w:val="12"/>
            </w:pPr>
            <w:r>
              <w:t>幼儿受教育年限</w:t>
            </w:r>
          </w:p>
        </w:tc>
        <w:tc>
          <w:tcPr>
            <w:tcW w:w="2268" w:type="dxa"/>
            <w:vAlign w:val="center"/>
          </w:tcPr>
          <w:p w14:paraId="3CC02974">
            <w:pPr>
              <w:pStyle w:val="12"/>
            </w:pPr>
            <w:r>
              <w:t>3年</w:t>
            </w:r>
          </w:p>
        </w:tc>
        <w:tc>
          <w:tcPr>
            <w:tcW w:w="1276" w:type="dxa"/>
            <w:vAlign w:val="center"/>
          </w:tcPr>
          <w:p w14:paraId="0C51A829">
            <w:pPr>
              <w:pStyle w:val="12"/>
            </w:pPr>
            <w:r>
              <w:t>幼儿资助经费管理办法</w:t>
            </w:r>
          </w:p>
        </w:tc>
      </w:tr>
      <w:tr w14:paraId="5F91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A6887">
            <w:pPr>
              <w:pStyle w:val="13"/>
            </w:pPr>
            <w:r>
              <w:t>满意度指标</w:t>
            </w:r>
          </w:p>
        </w:tc>
        <w:tc>
          <w:tcPr>
            <w:tcW w:w="2268" w:type="dxa"/>
            <w:vAlign w:val="center"/>
          </w:tcPr>
          <w:p w14:paraId="5CE272C6">
            <w:pPr>
              <w:pStyle w:val="12"/>
            </w:pPr>
            <w:r>
              <w:t>服务对象满意度指标</w:t>
            </w:r>
          </w:p>
        </w:tc>
        <w:tc>
          <w:tcPr>
            <w:tcW w:w="2835" w:type="dxa"/>
            <w:vAlign w:val="center"/>
          </w:tcPr>
          <w:p w14:paraId="727CE89D">
            <w:pPr>
              <w:pStyle w:val="12"/>
            </w:pPr>
            <w:r>
              <w:t>受益幼儿家长及调查满意度</w:t>
            </w:r>
          </w:p>
        </w:tc>
        <w:tc>
          <w:tcPr>
            <w:tcW w:w="5386" w:type="dxa"/>
            <w:vAlign w:val="center"/>
          </w:tcPr>
          <w:p w14:paraId="6E735714">
            <w:pPr>
              <w:pStyle w:val="12"/>
            </w:pPr>
            <w:r>
              <w:t>学生、教师及家长对学校保教保育工作满意度情况</w:t>
            </w:r>
          </w:p>
        </w:tc>
        <w:tc>
          <w:tcPr>
            <w:tcW w:w="2268" w:type="dxa"/>
            <w:vAlign w:val="center"/>
          </w:tcPr>
          <w:p w14:paraId="7C0CE05A">
            <w:pPr>
              <w:pStyle w:val="12"/>
            </w:pPr>
            <w:r>
              <w:t>≥95%</w:t>
            </w:r>
          </w:p>
        </w:tc>
        <w:tc>
          <w:tcPr>
            <w:tcW w:w="1276" w:type="dxa"/>
            <w:vAlign w:val="center"/>
          </w:tcPr>
          <w:p w14:paraId="5F409A20">
            <w:pPr>
              <w:pStyle w:val="12"/>
            </w:pPr>
            <w:r>
              <w:t>幼儿资助经费管理办法</w:t>
            </w:r>
          </w:p>
        </w:tc>
      </w:tr>
    </w:tbl>
    <w:p w14:paraId="22FDD7DF">
      <w:pPr>
        <w:sectPr>
          <w:pgSz w:w="16840" w:h="11900" w:orient="landscape"/>
          <w:pgMar w:top="1361" w:right="1020" w:bottom="1134" w:left="1020" w:header="720" w:footer="720" w:gutter="0"/>
          <w:cols w:space="720" w:num="1"/>
        </w:sectPr>
      </w:pPr>
    </w:p>
    <w:p w14:paraId="54C9B23D">
      <w:pPr>
        <w:spacing w:before="0" w:after="0"/>
        <w:ind w:firstLine="560"/>
        <w:jc w:val="left"/>
        <w:outlineLvl w:val="9"/>
      </w:pPr>
      <w:r>
        <w:rPr>
          <w:rFonts w:ascii="方正仿宋_GBK" w:hAnsi="方正仿宋_GBK" w:eastAsia="方正仿宋_GBK" w:cs="方正仿宋_GBK"/>
          <w:b/>
          <w:color w:val="000000"/>
          <w:sz w:val="28"/>
        </w:rPr>
        <w:t>10、县级资金/2026年唐尧街幼儿园学前教育公用经费绩效目标表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C1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5031A">
            <w:pPr>
              <w:pStyle w:val="11"/>
            </w:pPr>
            <w:r>
              <w:t>单位：万元</w:t>
            </w:r>
          </w:p>
        </w:tc>
      </w:tr>
      <w:tr w14:paraId="74815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3C4E2">
            <w:pPr>
              <w:pStyle w:val="10"/>
            </w:pPr>
            <w:r>
              <w:t>项目编码</w:t>
            </w:r>
          </w:p>
        </w:tc>
        <w:tc>
          <w:tcPr>
            <w:tcW w:w="5103" w:type="dxa"/>
            <w:gridSpan w:val="2"/>
            <w:vAlign w:val="center"/>
          </w:tcPr>
          <w:p w14:paraId="62CFD488">
            <w:pPr>
              <w:pStyle w:val="12"/>
            </w:pPr>
            <w:r>
              <w:t>13052526P00875710130B</w:t>
            </w:r>
          </w:p>
        </w:tc>
        <w:tc>
          <w:tcPr>
            <w:tcW w:w="2835" w:type="dxa"/>
            <w:vAlign w:val="center"/>
          </w:tcPr>
          <w:p w14:paraId="76FF1CD7">
            <w:pPr>
              <w:pStyle w:val="10"/>
            </w:pPr>
            <w:r>
              <w:t>项目名称</w:t>
            </w:r>
          </w:p>
        </w:tc>
        <w:tc>
          <w:tcPr>
            <w:tcW w:w="6095" w:type="dxa"/>
            <w:gridSpan w:val="3"/>
            <w:vAlign w:val="center"/>
          </w:tcPr>
          <w:p w14:paraId="38A9637D">
            <w:pPr>
              <w:pStyle w:val="12"/>
            </w:pPr>
            <w:r>
              <w:t>县级资金/2026年唐尧街幼儿园学前教育公用经费</w:t>
            </w:r>
          </w:p>
        </w:tc>
      </w:tr>
      <w:tr w14:paraId="39019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5DDCD">
            <w:pPr>
              <w:pStyle w:val="10"/>
            </w:pPr>
            <w:r>
              <w:t>预算规模及资金用途</w:t>
            </w:r>
          </w:p>
        </w:tc>
        <w:tc>
          <w:tcPr>
            <w:tcW w:w="2268" w:type="dxa"/>
            <w:vAlign w:val="center"/>
          </w:tcPr>
          <w:p w14:paraId="5CD51543">
            <w:pPr>
              <w:pStyle w:val="10"/>
            </w:pPr>
            <w:r>
              <w:t>预算数</w:t>
            </w:r>
          </w:p>
        </w:tc>
        <w:tc>
          <w:tcPr>
            <w:tcW w:w="2835" w:type="dxa"/>
            <w:vAlign w:val="center"/>
          </w:tcPr>
          <w:p w14:paraId="65BA51C9">
            <w:pPr>
              <w:pStyle w:val="12"/>
            </w:pPr>
            <w:r>
              <w:t>7.80</w:t>
            </w:r>
          </w:p>
        </w:tc>
        <w:tc>
          <w:tcPr>
            <w:tcW w:w="2835" w:type="dxa"/>
            <w:vAlign w:val="center"/>
          </w:tcPr>
          <w:p w14:paraId="2E08CD17">
            <w:pPr>
              <w:pStyle w:val="10"/>
            </w:pPr>
            <w:r>
              <w:t>其中：财政    资金</w:t>
            </w:r>
          </w:p>
        </w:tc>
        <w:tc>
          <w:tcPr>
            <w:tcW w:w="2551" w:type="dxa"/>
            <w:vAlign w:val="center"/>
          </w:tcPr>
          <w:p w14:paraId="4C198502">
            <w:pPr>
              <w:pStyle w:val="12"/>
            </w:pPr>
            <w:r>
              <w:t>7.80</w:t>
            </w:r>
          </w:p>
        </w:tc>
        <w:tc>
          <w:tcPr>
            <w:tcW w:w="2268" w:type="dxa"/>
            <w:vAlign w:val="center"/>
          </w:tcPr>
          <w:p w14:paraId="3A802985">
            <w:pPr>
              <w:pStyle w:val="10"/>
            </w:pPr>
            <w:r>
              <w:t>其他资金</w:t>
            </w:r>
          </w:p>
        </w:tc>
        <w:tc>
          <w:tcPr>
            <w:tcW w:w="1276" w:type="dxa"/>
            <w:vAlign w:val="center"/>
          </w:tcPr>
          <w:p w14:paraId="65CEC555">
            <w:pPr>
              <w:pStyle w:val="12"/>
            </w:pPr>
            <w:r>
              <w:t xml:space="preserve"> </w:t>
            </w:r>
          </w:p>
        </w:tc>
      </w:tr>
      <w:tr w14:paraId="62CEF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6A84D"/>
        </w:tc>
        <w:tc>
          <w:tcPr>
            <w:tcW w:w="14033" w:type="dxa"/>
            <w:gridSpan w:val="6"/>
            <w:vAlign w:val="center"/>
          </w:tcPr>
          <w:p w14:paraId="3976CB81">
            <w:pPr>
              <w:pStyle w:val="12"/>
            </w:pPr>
            <w:r>
              <w:t>""" 保障幼儿园正常运转，完成教育教学活动和其他日常工作任务等方面的费用支出。</w:t>
            </w:r>
            <w:r>
              <w:tab/>
            </w:r>
            <w:r>
              <w:tab/>
            </w:r>
            <w:r>
              <w:tab/>
            </w:r>
            <w:r>
              <w:tab/>
            </w:r>
            <w:r>
              <w:tab/>
            </w:r>
            <w:r>
              <w:tab/>
            </w:r>
          </w:p>
          <w:p w14:paraId="4B6B9D42">
            <w:pPr>
              <w:pStyle w:val="12"/>
            </w:pPr>
            <w:r>
              <w:t>""</w:t>
            </w:r>
            <w:r>
              <w:tab/>
            </w:r>
            <w:r>
              <w:tab/>
            </w:r>
            <w:r>
              <w:tab/>
            </w:r>
            <w:r>
              <w:tab/>
            </w:r>
            <w:r>
              <w:tab/>
            </w:r>
            <w:r>
              <w:tab/>
            </w:r>
          </w:p>
          <w:p w14:paraId="55A25362">
            <w:pPr>
              <w:pStyle w:val="12"/>
            </w:pPr>
            <w:r>
              <w:t>"</w:t>
            </w:r>
            <w:r>
              <w:tab/>
            </w:r>
            <w:r>
              <w:tab/>
            </w:r>
            <w:r>
              <w:tab/>
            </w:r>
            <w:r>
              <w:tab/>
            </w:r>
            <w:r>
              <w:tab/>
            </w:r>
            <w:r>
              <w:tab/>
            </w:r>
          </w:p>
          <w:p w14:paraId="0E0A9CB7">
            <w:pPr>
              <w:pStyle w:val="12"/>
            </w:pPr>
          </w:p>
        </w:tc>
      </w:tr>
      <w:tr w14:paraId="674F0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FC013">
            <w:pPr>
              <w:pStyle w:val="10"/>
            </w:pPr>
            <w:r>
              <w:t>资金支出计划（%）</w:t>
            </w:r>
          </w:p>
        </w:tc>
        <w:tc>
          <w:tcPr>
            <w:tcW w:w="5103" w:type="dxa"/>
            <w:gridSpan w:val="2"/>
            <w:vAlign w:val="center"/>
          </w:tcPr>
          <w:p w14:paraId="4C6295CD">
            <w:pPr>
              <w:pStyle w:val="10"/>
            </w:pPr>
            <w:r>
              <w:t>3月底</w:t>
            </w:r>
          </w:p>
        </w:tc>
        <w:tc>
          <w:tcPr>
            <w:tcW w:w="2835" w:type="dxa"/>
            <w:vAlign w:val="center"/>
          </w:tcPr>
          <w:p w14:paraId="7C93914E">
            <w:pPr>
              <w:pStyle w:val="10"/>
            </w:pPr>
            <w:r>
              <w:t>6月底</w:t>
            </w:r>
          </w:p>
        </w:tc>
        <w:tc>
          <w:tcPr>
            <w:tcW w:w="2551" w:type="dxa"/>
            <w:vAlign w:val="center"/>
          </w:tcPr>
          <w:p w14:paraId="14F07EA6">
            <w:pPr>
              <w:pStyle w:val="10"/>
            </w:pPr>
            <w:r>
              <w:t>10月底</w:t>
            </w:r>
          </w:p>
        </w:tc>
        <w:tc>
          <w:tcPr>
            <w:tcW w:w="3544" w:type="dxa"/>
            <w:gridSpan w:val="2"/>
            <w:vAlign w:val="center"/>
          </w:tcPr>
          <w:p w14:paraId="3A013CF6">
            <w:pPr>
              <w:pStyle w:val="10"/>
            </w:pPr>
            <w:r>
              <w:t>12月底</w:t>
            </w:r>
          </w:p>
        </w:tc>
      </w:tr>
      <w:tr w14:paraId="51807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31D62"/>
        </w:tc>
        <w:tc>
          <w:tcPr>
            <w:tcW w:w="5103" w:type="dxa"/>
            <w:gridSpan w:val="2"/>
            <w:vAlign w:val="center"/>
          </w:tcPr>
          <w:p w14:paraId="2B0E798F">
            <w:pPr>
              <w:pStyle w:val="13"/>
            </w:pPr>
            <w:r>
              <w:t>25%</w:t>
            </w:r>
          </w:p>
        </w:tc>
        <w:tc>
          <w:tcPr>
            <w:tcW w:w="2835" w:type="dxa"/>
            <w:vAlign w:val="center"/>
          </w:tcPr>
          <w:p w14:paraId="25C8AB1C">
            <w:pPr>
              <w:pStyle w:val="13"/>
            </w:pPr>
            <w:r>
              <w:t>50%</w:t>
            </w:r>
          </w:p>
        </w:tc>
        <w:tc>
          <w:tcPr>
            <w:tcW w:w="2551" w:type="dxa"/>
            <w:vAlign w:val="center"/>
          </w:tcPr>
          <w:p w14:paraId="3D02B765">
            <w:pPr>
              <w:pStyle w:val="13"/>
            </w:pPr>
            <w:r>
              <w:t>75%</w:t>
            </w:r>
          </w:p>
        </w:tc>
        <w:tc>
          <w:tcPr>
            <w:tcW w:w="3544" w:type="dxa"/>
            <w:gridSpan w:val="2"/>
            <w:vAlign w:val="center"/>
          </w:tcPr>
          <w:p w14:paraId="6BF02CA0">
            <w:pPr>
              <w:pStyle w:val="13"/>
            </w:pPr>
            <w:r>
              <w:t>100%</w:t>
            </w:r>
          </w:p>
        </w:tc>
      </w:tr>
      <w:tr w14:paraId="151DB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85069">
            <w:pPr>
              <w:pStyle w:val="10"/>
            </w:pPr>
            <w:r>
              <w:t>绩效目标</w:t>
            </w:r>
          </w:p>
        </w:tc>
        <w:tc>
          <w:tcPr>
            <w:tcW w:w="14033" w:type="dxa"/>
            <w:gridSpan w:val="6"/>
            <w:vAlign w:val="center"/>
          </w:tcPr>
          <w:p w14:paraId="63FF5CD0">
            <w:pPr>
              <w:pStyle w:val="12"/>
            </w:pPr>
            <w:r>
              <w:t>1." 保障幼儿园正常运转，完成教育教学活动和其他日常工作任务等方面的费用支出。</w:t>
            </w:r>
            <w:r>
              <w:tab/>
            </w:r>
            <w:r>
              <w:tab/>
            </w:r>
            <w:r>
              <w:tab/>
            </w:r>
            <w:r>
              <w:tab/>
            </w:r>
            <w:r>
              <w:tab/>
            </w:r>
            <w:r>
              <w:tab/>
            </w:r>
          </w:p>
          <w:p w14:paraId="1D1ECEAB">
            <w:pPr>
              <w:pStyle w:val="12"/>
            </w:pPr>
            <w:r>
              <w:t>"</w:t>
            </w:r>
            <w:r>
              <w:tab/>
            </w:r>
            <w:r>
              <w:tab/>
            </w:r>
            <w:r>
              <w:tab/>
            </w:r>
            <w:r>
              <w:tab/>
            </w:r>
            <w:r>
              <w:tab/>
            </w:r>
            <w:r>
              <w:tab/>
            </w:r>
          </w:p>
          <w:p w14:paraId="0DA565AE">
            <w:pPr>
              <w:pStyle w:val="12"/>
            </w:pPr>
          </w:p>
        </w:tc>
      </w:tr>
    </w:tbl>
    <w:p w14:paraId="12C49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1E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9830E">
            <w:pPr>
              <w:pStyle w:val="10"/>
            </w:pPr>
            <w:r>
              <w:t>一级指标</w:t>
            </w:r>
          </w:p>
        </w:tc>
        <w:tc>
          <w:tcPr>
            <w:tcW w:w="2268" w:type="dxa"/>
            <w:vAlign w:val="center"/>
          </w:tcPr>
          <w:p w14:paraId="3E1DF4CA">
            <w:pPr>
              <w:pStyle w:val="10"/>
            </w:pPr>
            <w:r>
              <w:t>二级指标</w:t>
            </w:r>
          </w:p>
        </w:tc>
        <w:tc>
          <w:tcPr>
            <w:tcW w:w="2835" w:type="dxa"/>
            <w:vAlign w:val="center"/>
          </w:tcPr>
          <w:p w14:paraId="2A525605">
            <w:pPr>
              <w:pStyle w:val="10"/>
            </w:pPr>
            <w:r>
              <w:t>三级指标</w:t>
            </w:r>
          </w:p>
        </w:tc>
        <w:tc>
          <w:tcPr>
            <w:tcW w:w="5386" w:type="dxa"/>
            <w:vAlign w:val="center"/>
          </w:tcPr>
          <w:p w14:paraId="31EA4564">
            <w:pPr>
              <w:pStyle w:val="10"/>
            </w:pPr>
            <w:r>
              <w:t>绩效指标描述</w:t>
            </w:r>
          </w:p>
        </w:tc>
        <w:tc>
          <w:tcPr>
            <w:tcW w:w="2268" w:type="dxa"/>
            <w:vAlign w:val="center"/>
          </w:tcPr>
          <w:p w14:paraId="778FCB56">
            <w:pPr>
              <w:pStyle w:val="10"/>
            </w:pPr>
            <w:r>
              <w:t>指标值</w:t>
            </w:r>
          </w:p>
        </w:tc>
        <w:tc>
          <w:tcPr>
            <w:tcW w:w="1276" w:type="dxa"/>
            <w:vAlign w:val="center"/>
          </w:tcPr>
          <w:p w14:paraId="070FBCAC">
            <w:pPr>
              <w:pStyle w:val="10"/>
            </w:pPr>
            <w:r>
              <w:t>指标值确定依据</w:t>
            </w:r>
          </w:p>
        </w:tc>
      </w:tr>
      <w:tr w14:paraId="1BB5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DDCD5">
            <w:pPr>
              <w:pStyle w:val="13"/>
            </w:pPr>
            <w:r>
              <w:t>产出指标</w:t>
            </w:r>
          </w:p>
        </w:tc>
        <w:tc>
          <w:tcPr>
            <w:tcW w:w="2268" w:type="dxa"/>
            <w:vAlign w:val="center"/>
          </w:tcPr>
          <w:p w14:paraId="5BCC40EF">
            <w:pPr>
              <w:pStyle w:val="12"/>
            </w:pPr>
            <w:r>
              <w:t>数量指标</w:t>
            </w:r>
          </w:p>
        </w:tc>
        <w:tc>
          <w:tcPr>
            <w:tcW w:w="2835" w:type="dxa"/>
            <w:vAlign w:val="center"/>
          </w:tcPr>
          <w:p w14:paraId="53FDE7EF">
            <w:pPr>
              <w:pStyle w:val="12"/>
            </w:pPr>
            <w:r>
              <w:t>适龄在园生</w:t>
            </w:r>
          </w:p>
        </w:tc>
        <w:tc>
          <w:tcPr>
            <w:tcW w:w="5386" w:type="dxa"/>
            <w:vAlign w:val="center"/>
          </w:tcPr>
          <w:p w14:paraId="6BDBC802">
            <w:pPr>
              <w:pStyle w:val="12"/>
            </w:pPr>
            <w:r>
              <w:t>适龄在园学生人数</w:t>
            </w:r>
          </w:p>
        </w:tc>
        <w:tc>
          <w:tcPr>
            <w:tcW w:w="2268" w:type="dxa"/>
            <w:vAlign w:val="center"/>
          </w:tcPr>
          <w:p w14:paraId="785B0B83">
            <w:pPr>
              <w:pStyle w:val="12"/>
            </w:pPr>
            <w:r>
              <w:t>274人</w:t>
            </w:r>
          </w:p>
        </w:tc>
        <w:tc>
          <w:tcPr>
            <w:tcW w:w="1276" w:type="dxa"/>
            <w:vAlign w:val="center"/>
          </w:tcPr>
          <w:p w14:paraId="19DD5FA8">
            <w:pPr>
              <w:pStyle w:val="12"/>
            </w:pPr>
            <w:r>
              <w:t>学前公用经费管理办法</w:t>
            </w:r>
          </w:p>
          <w:p w14:paraId="164B3C8C">
            <w:pPr>
              <w:pStyle w:val="12"/>
            </w:pPr>
          </w:p>
        </w:tc>
      </w:tr>
      <w:tr w14:paraId="3312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DF08E"/>
        </w:tc>
        <w:tc>
          <w:tcPr>
            <w:tcW w:w="2268" w:type="dxa"/>
            <w:vAlign w:val="center"/>
          </w:tcPr>
          <w:p w14:paraId="36693B62">
            <w:pPr>
              <w:pStyle w:val="12"/>
            </w:pPr>
            <w:r>
              <w:t>质量指标</w:t>
            </w:r>
          </w:p>
        </w:tc>
        <w:tc>
          <w:tcPr>
            <w:tcW w:w="2835" w:type="dxa"/>
            <w:vAlign w:val="center"/>
          </w:tcPr>
          <w:p w14:paraId="1DEF76B1">
            <w:pPr>
              <w:pStyle w:val="12"/>
            </w:pPr>
            <w:r>
              <w:t>预算控制率</w:t>
            </w:r>
          </w:p>
        </w:tc>
        <w:tc>
          <w:tcPr>
            <w:tcW w:w="5386" w:type="dxa"/>
            <w:vAlign w:val="center"/>
          </w:tcPr>
          <w:p w14:paraId="50B59851">
            <w:pPr>
              <w:pStyle w:val="12"/>
            </w:pPr>
            <w:r>
              <w:t>预算执行</w:t>
            </w:r>
          </w:p>
        </w:tc>
        <w:tc>
          <w:tcPr>
            <w:tcW w:w="2268" w:type="dxa"/>
            <w:vAlign w:val="center"/>
          </w:tcPr>
          <w:p w14:paraId="4E02EF82">
            <w:pPr>
              <w:pStyle w:val="12"/>
            </w:pPr>
            <w:r>
              <w:t>≥95%</w:t>
            </w:r>
          </w:p>
        </w:tc>
        <w:tc>
          <w:tcPr>
            <w:tcW w:w="1276" w:type="dxa"/>
            <w:vAlign w:val="center"/>
          </w:tcPr>
          <w:p w14:paraId="4364E6CA">
            <w:pPr>
              <w:pStyle w:val="12"/>
            </w:pPr>
            <w:r>
              <w:t>学前公用经费管理办法</w:t>
            </w:r>
          </w:p>
        </w:tc>
      </w:tr>
      <w:tr w14:paraId="030E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3EF33"/>
        </w:tc>
        <w:tc>
          <w:tcPr>
            <w:tcW w:w="2268" w:type="dxa"/>
            <w:vAlign w:val="center"/>
          </w:tcPr>
          <w:p w14:paraId="481ECE20">
            <w:pPr>
              <w:pStyle w:val="12"/>
            </w:pPr>
            <w:r>
              <w:t>时效指标</w:t>
            </w:r>
          </w:p>
        </w:tc>
        <w:tc>
          <w:tcPr>
            <w:tcW w:w="2835" w:type="dxa"/>
            <w:vAlign w:val="center"/>
          </w:tcPr>
          <w:p w14:paraId="034F0AE5">
            <w:pPr>
              <w:pStyle w:val="12"/>
            </w:pPr>
            <w:r>
              <w:t>资金支付率</w:t>
            </w:r>
          </w:p>
        </w:tc>
        <w:tc>
          <w:tcPr>
            <w:tcW w:w="5386" w:type="dxa"/>
            <w:vAlign w:val="center"/>
          </w:tcPr>
          <w:p w14:paraId="0B78EAF8">
            <w:pPr>
              <w:pStyle w:val="12"/>
            </w:pPr>
            <w:r>
              <w:t>按照序时进度完成资金支付</w:t>
            </w:r>
          </w:p>
        </w:tc>
        <w:tc>
          <w:tcPr>
            <w:tcW w:w="2268" w:type="dxa"/>
            <w:vAlign w:val="center"/>
          </w:tcPr>
          <w:p w14:paraId="415B1B37">
            <w:pPr>
              <w:pStyle w:val="12"/>
            </w:pPr>
            <w:r>
              <w:t>100%</w:t>
            </w:r>
          </w:p>
        </w:tc>
        <w:tc>
          <w:tcPr>
            <w:tcW w:w="1276" w:type="dxa"/>
            <w:vAlign w:val="center"/>
          </w:tcPr>
          <w:p w14:paraId="746DEBC5">
            <w:pPr>
              <w:pStyle w:val="12"/>
            </w:pPr>
            <w:r>
              <w:t>学前公用经费管理办法</w:t>
            </w:r>
          </w:p>
        </w:tc>
      </w:tr>
      <w:tr w14:paraId="2387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05780"/>
        </w:tc>
        <w:tc>
          <w:tcPr>
            <w:tcW w:w="2268" w:type="dxa"/>
            <w:vAlign w:val="center"/>
          </w:tcPr>
          <w:p w14:paraId="1777570E">
            <w:pPr>
              <w:pStyle w:val="12"/>
            </w:pPr>
            <w:r>
              <w:t>成本指标</w:t>
            </w:r>
          </w:p>
        </w:tc>
        <w:tc>
          <w:tcPr>
            <w:tcW w:w="2835" w:type="dxa"/>
            <w:vAlign w:val="center"/>
          </w:tcPr>
          <w:p w14:paraId="033BCD35">
            <w:pPr>
              <w:pStyle w:val="12"/>
            </w:pPr>
            <w:r>
              <w:t>生均拨款标准</w:t>
            </w:r>
          </w:p>
        </w:tc>
        <w:tc>
          <w:tcPr>
            <w:tcW w:w="5386" w:type="dxa"/>
            <w:vAlign w:val="center"/>
          </w:tcPr>
          <w:p w14:paraId="07688FE8">
            <w:pPr>
              <w:pStyle w:val="12"/>
            </w:pPr>
            <w:r>
              <w:t>学前：（基本标准600元/生/学年）</w:t>
            </w:r>
          </w:p>
        </w:tc>
        <w:tc>
          <w:tcPr>
            <w:tcW w:w="2268" w:type="dxa"/>
            <w:vAlign w:val="center"/>
          </w:tcPr>
          <w:p w14:paraId="049A0D1A">
            <w:pPr>
              <w:pStyle w:val="12"/>
            </w:pPr>
            <w:r>
              <w:t>600元</w:t>
            </w:r>
          </w:p>
        </w:tc>
        <w:tc>
          <w:tcPr>
            <w:tcW w:w="1276" w:type="dxa"/>
            <w:vAlign w:val="center"/>
          </w:tcPr>
          <w:p w14:paraId="4579174A">
            <w:pPr>
              <w:pStyle w:val="12"/>
            </w:pPr>
            <w:r>
              <w:t>学前公用经费管理办法</w:t>
            </w:r>
          </w:p>
        </w:tc>
      </w:tr>
      <w:tr w14:paraId="40D0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52680">
            <w:pPr>
              <w:pStyle w:val="13"/>
            </w:pPr>
            <w:r>
              <w:t>效益指标</w:t>
            </w:r>
          </w:p>
        </w:tc>
        <w:tc>
          <w:tcPr>
            <w:tcW w:w="2268" w:type="dxa"/>
            <w:vAlign w:val="center"/>
          </w:tcPr>
          <w:p w14:paraId="0E6B79F6">
            <w:pPr>
              <w:pStyle w:val="12"/>
            </w:pPr>
            <w:r>
              <w:t>可持续影响指标</w:t>
            </w:r>
          </w:p>
        </w:tc>
        <w:tc>
          <w:tcPr>
            <w:tcW w:w="2835" w:type="dxa"/>
            <w:vAlign w:val="center"/>
          </w:tcPr>
          <w:p w14:paraId="5EE7583E">
            <w:pPr>
              <w:pStyle w:val="12"/>
            </w:pPr>
            <w:r>
              <w:t>学校运转得到提升</w:t>
            </w:r>
          </w:p>
        </w:tc>
        <w:tc>
          <w:tcPr>
            <w:tcW w:w="5386" w:type="dxa"/>
            <w:vAlign w:val="center"/>
          </w:tcPr>
          <w:p w14:paraId="50BFFE36">
            <w:pPr>
              <w:pStyle w:val="12"/>
            </w:pPr>
            <w:r>
              <w:t>幼儿受教育年限</w:t>
            </w:r>
          </w:p>
        </w:tc>
        <w:tc>
          <w:tcPr>
            <w:tcW w:w="2268" w:type="dxa"/>
            <w:vAlign w:val="center"/>
          </w:tcPr>
          <w:p w14:paraId="5D0DDAD1">
            <w:pPr>
              <w:pStyle w:val="12"/>
            </w:pPr>
            <w:r>
              <w:t>3年</w:t>
            </w:r>
          </w:p>
        </w:tc>
        <w:tc>
          <w:tcPr>
            <w:tcW w:w="1276" w:type="dxa"/>
            <w:vAlign w:val="center"/>
          </w:tcPr>
          <w:p w14:paraId="0A19FA51">
            <w:pPr>
              <w:pStyle w:val="12"/>
            </w:pPr>
            <w:r>
              <w:t>学前公用经费管理办法</w:t>
            </w:r>
          </w:p>
        </w:tc>
      </w:tr>
      <w:tr w14:paraId="67D6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2FFBD">
            <w:pPr>
              <w:pStyle w:val="13"/>
            </w:pPr>
            <w:r>
              <w:t>满意度指标</w:t>
            </w:r>
          </w:p>
        </w:tc>
        <w:tc>
          <w:tcPr>
            <w:tcW w:w="2268" w:type="dxa"/>
            <w:vAlign w:val="center"/>
          </w:tcPr>
          <w:p w14:paraId="22E2E02D">
            <w:pPr>
              <w:pStyle w:val="12"/>
            </w:pPr>
            <w:r>
              <w:t>服务对象满意度指标</w:t>
            </w:r>
          </w:p>
        </w:tc>
        <w:tc>
          <w:tcPr>
            <w:tcW w:w="2835" w:type="dxa"/>
            <w:vAlign w:val="center"/>
          </w:tcPr>
          <w:p w14:paraId="4E504012">
            <w:pPr>
              <w:pStyle w:val="12"/>
            </w:pPr>
            <w:r>
              <w:t>受益学生家长及调查满意度</w:t>
            </w:r>
          </w:p>
        </w:tc>
        <w:tc>
          <w:tcPr>
            <w:tcW w:w="5386" w:type="dxa"/>
            <w:vAlign w:val="center"/>
          </w:tcPr>
          <w:p w14:paraId="3FAC9CFA">
            <w:pPr>
              <w:pStyle w:val="12"/>
            </w:pPr>
            <w:r>
              <w:t>学生、教师及家长对学校保教保育工作满意度情况</w:t>
            </w:r>
          </w:p>
        </w:tc>
        <w:tc>
          <w:tcPr>
            <w:tcW w:w="2268" w:type="dxa"/>
            <w:vAlign w:val="center"/>
          </w:tcPr>
          <w:p w14:paraId="0397AA8D">
            <w:pPr>
              <w:pStyle w:val="12"/>
            </w:pPr>
            <w:r>
              <w:t>≥95%</w:t>
            </w:r>
          </w:p>
        </w:tc>
        <w:tc>
          <w:tcPr>
            <w:tcW w:w="1276" w:type="dxa"/>
            <w:vAlign w:val="center"/>
          </w:tcPr>
          <w:p w14:paraId="7CE2C7C8">
            <w:pPr>
              <w:pStyle w:val="12"/>
            </w:pPr>
            <w:r>
              <w:t>群众测评</w:t>
            </w:r>
          </w:p>
        </w:tc>
      </w:tr>
    </w:tbl>
    <w:p w14:paraId="21962B4C">
      <w:pPr>
        <w:sectPr>
          <w:pgSz w:w="16840" w:h="11900" w:orient="landscape"/>
          <w:pgMar w:top="1361" w:right="1020" w:bottom="1134" w:left="1020" w:header="720" w:footer="720" w:gutter="0"/>
          <w:cols w:space="720" w:num="1"/>
        </w:sectPr>
      </w:pPr>
    </w:p>
    <w:p w14:paraId="1DB67225">
      <w:pPr>
        <w:spacing w:before="0" w:after="0"/>
        <w:ind w:firstLine="560"/>
        <w:jc w:val="left"/>
        <w:outlineLvl w:val="9"/>
      </w:pPr>
      <w:r>
        <w:rPr>
          <w:rFonts w:ascii="方正仿宋_GBK" w:hAnsi="方正仿宋_GBK" w:eastAsia="方正仿宋_GBK" w:cs="方正仿宋_GBK"/>
          <w:b/>
          <w:color w:val="000000"/>
          <w:sz w:val="28"/>
        </w:rPr>
        <w:t>11、学前专项经费/唐尧街幼儿园绩效目标表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85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D9C5C">
            <w:pPr>
              <w:pStyle w:val="11"/>
            </w:pPr>
            <w:r>
              <w:t>单位：万元</w:t>
            </w:r>
          </w:p>
        </w:tc>
      </w:tr>
      <w:tr w14:paraId="604D1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5DD4C">
            <w:pPr>
              <w:pStyle w:val="10"/>
            </w:pPr>
            <w:r>
              <w:t>项目编码</w:t>
            </w:r>
          </w:p>
        </w:tc>
        <w:tc>
          <w:tcPr>
            <w:tcW w:w="5103" w:type="dxa"/>
            <w:gridSpan w:val="2"/>
            <w:vAlign w:val="center"/>
          </w:tcPr>
          <w:p w14:paraId="1E398000">
            <w:pPr>
              <w:pStyle w:val="12"/>
            </w:pPr>
            <w:r>
              <w:t>13052526P00000210105E</w:t>
            </w:r>
          </w:p>
        </w:tc>
        <w:tc>
          <w:tcPr>
            <w:tcW w:w="2835" w:type="dxa"/>
            <w:vAlign w:val="center"/>
          </w:tcPr>
          <w:p w14:paraId="41183980">
            <w:pPr>
              <w:pStyle w:val="10"/>
            </w:pPr>
            <w:r>
              <w:t>项目名称</w:t>
            </w:r>
          </w:p>
        </w:tc>
        <w:tc>
          <w:tcPr>
            <w:tcW w:w="6095" w:type="dxa"/>
            <w:gridSpan w:val="3"/>
            <w:vAlign w:val="center"/>
          </w:tcPr>
          <w:p w14:paraId="52D978BC">
            <w:pPr>
              <w:pStyle w:val="12"/>
            </w:pPr>
            <w:r>
              <w:t>学前专项经费/唐尧街幼儿园</w:t>
            </w:r>
          </w:p>
        </w:tc>
      </w:tr>
      <w:tr w14:paraId="421FF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38700">
            <w:pPr>
              <w:pStyle w:val="10"/>
            </w:pPr>
            <w:r>
              <w:t>预算规模及资金用途</w:t>
            </w:r>
          </w:p>
        </w:tc>
        <w:tc>
          <w:tcPr>
            <w:tcW w:w="2268" w:type="dxa"/>
            <w:vAlign w:val="center"/>
          </w:tcPr>
          <w:p w14:paraId="36297534">
            <w:pPr>
              <w:pStyle w:val="10"/>
            </w:pPr>
            <w:r>
              <w:t>预算数</w:t>
            </w:r>
          </w:p>
        </w:tc>
        <w:tc>
          <w:tcPr>
            <w:tcW w:w="2835" w:type="dxa"/>
            <w:vAlign w:val="center"/>
          </w:tcPr>
          <w:p w14:paraId="329CE324">
            <w:pPr>
              <w:pStyle w:val="12"/>
            </w:pPr>
            <w:r>
              <w:t>56.00</w:t>
            </w:r>
          </w:p>
        </w:tc>
        <w:tc>
          <w:tcPr>
            <w:tcW w:w="2835" w:type="dxa"/>
            <w:vAlign w:val="center"/>
          </w:tcPr>
          <w:p w14:paraId="3600167C">
            <w:pPr>
              <w:pStyle w:val="10"/>
            </w:pPr>
            <w:r>
              <w:t>其中：财政    资金</w:t>
            </w:r>
          </w:p>
        </w:tc>
        <w:tc>
          <w:tcPr>
            <w:tcW w:w="2551" w:type="dxa"/>
            <w:vAlign w:val="center"/>
          </w:tcPr>
          <w:p w14:paraId="20643B1B">
            <w:pPr>
              <w:pStyle w:val="12"/>
            </w:pPr>
            <w:r>
              <w:t>56.00</w:t>
            </w:r>
          </w:p>
        </w:tc>
        <w:tc>
          <w:tcPr>
            <w:tcW w:w="2268" w:type="dxa"/>
            <w:vAlign w:val="center"/>
          </w:tcPr>
          <w:p w14:paraId="0F1F4F88">
            <w:pPr>
              <w:pStyle w:val="10"/>
            </w:pPr>
            <w:r>
              <w:t>其他资金</w:t>
            </w:r>
          </w:p>
        </w:tc>
        <w:tc>
          <w:tcPr>
            <w:tcW w:w="1276" w:type="dxa"/>
            <w:vAlign w:val="center"/>
          </w:tcPr>
          <w:p w14:paraId="517EF6B2">
            <w:pPr>
              <w:pStyle w:val="12"/>
            </w:pPr>
            <w:r>
              <w:t xml:space="preserve"> </w:t>
            </w:r>
          </w:p>
        </w:tc>
      </w:tr>
      <w:tr w14:paraId="3C115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A4AB9"/>
        </w:tc>
        <w:tc>
          <w:tcPr>
            <w:tcW w:w="14033" w:type="dxa"/>
            <w:gridSpan w:val="6"/>
            <w:vAlign w:val="center"/>
          </w:tcPr>
          <w:p w14:paraId="58A68B8C">
            <w:pPr>
              <w:pStyle w:val="12"/>
            </w:pPr>
            <w:r>
              <w:t>按预算要求完成2026年度学前教学任务提升及教学质量提高。</w:t>
            </w:r>
          </w:p>
        </w:tc>
      </w:tr>
      <w:tr w14:paraId="72568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F815A">
            <w:pPr>
              <w:pStyle w:val="10"/>
            </w:pPr>
            <w:r>
              <w:t>资金支出计划（%）</w:t>
            </w:r>
          </w:p>
        </w:tc>
        <w:tc>
          <w:tcPr>
            <w:tcW w:w="5103" w:type="dxa"/>
            <w:gridSpan w:val="2"/>
            <w:vAlign w:val="center"/>
          </w:tcPr>
          <w:p w14:paraId="2DB1C63E">
            <w:pPr>
              <w:pStyle w:val="10"/>
            </w:pPr>
            <w:r>
              <w:t>3月底</w:t>
            </w:r>
          </w:p>
        </w:tc>
        <w:tc>
          <w:tcPr>
            <w:tcW w:w="2835" w:type="dxa"/>
            <w:vAlign w:val="center"/>
          </w:tcPr>
          <w:p w14:paraId="69E4F6E1">
            <w:pPr>
              <w:pStyle w:val="10"/>
            </w:pPr>
            <w:r>
              <w:t>6月底</w:t>
            </w:r>
          </w:p>
        </w:tc>
        <w:tc>
          <w:tcPr>
            <w:tcW w:w="2551" w:type="dxa"/>
            <w:vAlign w:val="center"/>
          </w:tcPr>
          <w:p w14:paraId="3B23F5CC">
            <w:pPr>
              <w:pStyle w:val="10"/>
            </w:pPr>
            <w:r>
              <w:t>10月底</w:t>
            </w:r>
          </w:p>
        </w:tc>
        <w:tc>
          <w:tcPr>
            <w:tcW w:w="3544" w:type="dxa"/>
            <w:gridSpan w:val="2"/>
            <w:vAlign w:val="center"/>
          </w:tcPr>
          <w:p w14:paraId="1A8588B1">
            <w:pPr>
              <w:pStyle w:val="10"/>
            </w:pPr>
            <w:r>
              <w:t>12月底</w:t>
            </w:r>
          </w:p>
        </w:tc>
      </w:tr>
      <w:tr w14:paraId="0FDA8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CB523"/>
        </w:tc>
        <w:tc>
          <w:tcPr>
            <w:tcW w:w="5103" w:type="dxa"/>
            <w:gridSpan w:val="2"/>
            <w:vAlign w:val="center"/>
          </w:tcPr>
          <w:p w14:paraId="2084BF55">
            <w:pPr>
              <w:pStyle w:val="13"/>
            </w:pPr>
            <w:r>
              <w:t>25%</w:t>
            </w:r>
          </w:p>
        </w:tc>
        <w:tc>
          <w:tcPr>
            <w:tcW w:w="2835" w:type="dxa"/>
            <w:vAlign w:val="center"/>
          </w:tcPr>
          <w:p w14:paraId="448A9CC1">
            <w:pPr>
              <w:pStyle w:val="13"/>
            </w:pPr>
            <w:r>
              <w:t>50%</w:t>
            </w:r>
          </w:p>
        </w:tc>
        <w:tc>
          <w:tcPr>
            <w:tcW w:w="2551" w:type="dxa"/>
            <w:vAlign w:val="center"/>
          </w:tcPr>
          <w:p w14:paraId="593CB761">
            <w:pPr>
              <w:pStyle w:val="13"/>
            </w:pPr>
            <w:r>
              <w:t>75%</w:t>
            </w:r>
          </w:p>
        </w:tc>
        <w:tc>
          <w:tcPr>
            <w:tcW w:w="3544" w:type="dxa"/>
            <w:gridSpan w:val="2"/>
            <w:vAlign w:val="center"/>
          </w:tcPr>
          <w:p w14:paraId="723DBB67">
            <w:pPr>
              <w:pStyle w:val="13"/>
            </w:pPr>
            <w:r>
              <w:t>100%</w:t>
            </w:r>
          </w:p>
        </w:tc>
      </w:tr>
      <w:tr w14:paraId="22399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623B3">
            <w:pPr>
              <w:pStyle w:val="10"/>
            </w:pPr>
            <w:r>
              <w:t>绩效目标</w:t>
            </w:r>
          </w:p>
        </w:tc>
        <w:tc>
          <w:tcPr>
            <w:tcW w:w="14033" w:type="dxa"/>
            <w:gridSpan w:val="6"/>
            <w:vAlign w:val="center"/>
          </w:tcPr>
          <w:p w14:paraId="3D7C7895">
            <w:pPr>
              <w:pStyle w:val="12"/>
            </w:pPr>
            <w:r>
              <w:t>1.按预算要求完成2026年度学前教学任务提升及教学质量提高。</w:t>
            </w:r>
            <w:r>
              <w:tab/>
            </w:r>
            <w:r>
              <w:tab/>
            </w:r>
            <w:r>
              <w:tab/>
            </w:r>
            <w:r>
              <w:tab/>
            </w:r>
            <w:r>
              <w:tab/>
            </w:r>
            <w:r>
              <w:tab/>
            </w:r>
          </w:p>
          <w:p w14:paraId="33E99FCC">
            <w:pPr>
              <w:pStyle w:val="12"/>
            </w:pPr>
          </w:p>
        </w:tc>
      </w:tr>
    </w:tbl>
    <w:p w14:paraId="77F55A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A3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F71E5">
            <w:pPr>
              <w:pStyle w:val="10"/>
            </w:pPr>
            <w:r>
              <w:t>一级指标</w:t>
            </w:r>
          </w:p>
        </w:tc>
        <w:tc>
          <w:tcPr>
            <w:tcW w:w="2268" w:type="dxa"/>
            <w:vAlign w:val="center"/>
          </w:tcPr>
          <w:p w14:paraId="219DA1C1">
            <w:pPr>
              <w:pStyle w:val="10"/>
            </w:pPr>
            <w:r>
              <w:t>二级指标</w:t>
            </w:r>
          </w:p>
        </w:tc>
        <w:tc>
          <w:tcPr>
            <w:tcW w:w="2835" w:type="dxa"/>
            <w:vAlign w:val="center"/>
          </w:tcPr>
          <w:p w14:paraId="57201950">
            <w:pPr>
              <w:pStyle w:val="10"/>
            </w:pPr>
            <w:r>
              <w:t>三级指标</w:t>
            </w:r>
          </w:p>
        </w:tc>
        <w:tc>
          <w:tcPr>
            <w:tcW w:w="5386" w:type="dxa"/>
            <w:vAlign w:val="center"/>
          </w:tcPr>
          <w:p w14:paraId="572A4EE5">
            <w:pPr>
              <w:pStyle w:val="10"/>
            </w:pPr>
            <w:r>
              <w:t>绩效指标描述</w:t>
            </w:r>
          </w:p>
        </w:tc>
        <w:tc>
          <w:tcPr>
            <w:tcW w:w="2268" w:type="dxa"/>
            <w:vAlign w:val="center"/>
          </w:tcPr>
          <w:p w14:paraId="4D877D3E">
            <w:pPr>
              <w:pStyle w:val="10"/>
            </w:pPr>
            <w:r>
              <w:t>指标值</w:t>
            </w:r>
          </w:p>
        </w:tc>
        <w:tc>
          <w:tcPr>
            <w:tcW w:w="1276" w:type="dxa"/>
            <w:vAlign w:val="center"/>
          </w:tcPr>
          <w:p w14:paraId="4F5339A3">
            <w:pPr>
              <w:pStyle w:val="10"/>
            </w:pPr>
            <w:r>
              <w:t>指标值确定依据</w:t>
            </w:r>
          </w:p>
        </w:tc>
      </w:tr>
      <w:tr w14:paraId="39B0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802FF">
            <w:pPr>
              <w:pStyle w:val="13"/>
            </w:pPr>
            <w:r>
              <w:t>产出指标</w:t>
            </w:r>
          </w:p>
        </w:tc>
        <w:tc>
          <w:tcPr>
            <w:tcW w:w="2268" w:type="dxa"/>
            <w:vAlign w:val="center"/>
          </w:tcPr>
          <w:p w14:paraId="1CC8C0BC">
            <w:pPr>
              <w:pStyle w:val="12"/>
            </w:pPr>
            <w:r>
              <w:t>数量指标</w:t>
            </w:r>
          </w:p>
        </w:tc>
        <w:tc>
          <w:tcPr>
            <w:tcW w:w="2835" w:type="dxa"/>
            <w:vAlign w:val="center"/>
          </w:tcPr>
          <w:p w14:paraId="190E7997">
            <w:pPr>
              <w:pStyle w:val="12"/>
            </w:pPr>
            <w:r>
              <w:t>适龄在园生</w:t>
            </w:r>
          </w:p>
        </w:tc>
        <w:tc>
          <w:tcPr>
            <w:tcW w:w="5386" w:type="dxa"/>
            <w:vAlign w:val="center"/>
          </w:tcPr>
          <w:p w14:paraId="23FF7824">
            <w:pPr>
              <w:pStyle w:val="12"/>
            </w:pPr>
            <w:r>
              <w:t>适龄在园学生人数</w:t>
            </w:r>
          </w:p>
        </w:tc>
        <w:tc>
          <w:tcPr>
            <w:tcW w:w="2268" w:type="dxa"/>
            <w:vAlign w:val="center"/>
          </w:tcPr>
          <w:p w14:paraId="3E50A578">
            <w:pPr>
              <w:pStyle w:val="12"/>
            </w:pPr>
            <w:r>
              <w:t>200人</w:t>
            </w:r>
          </w:p>
        </w:tc>
        <w:tc>
          <w:tcPr>
            <w:tcW w:w="1276" w:type="dxa"/>
            <w:vAlign w:val="center"/>
          </w:tcPr>
          <w:p w14:paraId="32E17A74">
            <w:pPr>
              <w:pStyle w:val="12"/>
            </w:pPr>
            <w:r>
              <w:t>年度工作计划</w:t>
            </w:r>
          </w:p>
        </w:tc>
      </w:tr>
      <w:tr w14:paraId="5BA5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82DD8"/>
        </w:tc>
        <w:tc>
          <w:tcPr>
            <w:tcW w:w="2268" w:type="dxa"/>
            <w:vAlign w:val="center"/>
          </w:tcPr>
          <w:p w14:paraId="402A2507">
            <w:pPr>
              <w:pStyle w:val="12"/>
            </w:pPr>
            <w:r>
              <w:t>质量指标</w:t>
            </w:r>
          </w:p>
        </w:tc>
        <w:tc>
          <w:tcPr>
            <w:tcW w:w="2835" w:type="dxa"/>
            <w:vAlign w:val="center"/>
          </w:tcPr>
          <w:p w14:paraId="38A65586">
            <w:pPr>
              <w:pStyle w:val="12"/>
            </w:pPr>
            <w:r>
              <w:t>按月上缴财政完成率</w:t>
            </w:r>
          </w:p>
        </w:tc>
        <w:tc>
          <w:tcPr>
            <w:tcW w:w="5386" w:type="dxa"/>
            <w:vAlign w:val="center"/>
          </w:tcPr>
          <w:p w14:paraId="6DFD55D9">
            <w:pPr>
              <w:pStyle w:val="12"/>
            </w:pPr>
            <w:r>
              <w:t>按月完成公立幼儿园保育费上缴财政</w:t>
            </w:r>
          </w:p>
        </w:tc>
        <w:tc>
          <w:tcPr>
            <w:tcW w:w="2268" w:type="dxa"/>
            <w:vAlign w:val="center"/>
          </w:tcPr>
          <w:p w14:paraId="31907DCB">
            <w:pPr>
              <w:pStyle w:val="12"/>
            </w:pPr>
            <w:r>
              <w:t>100%</w:t>
            </w:r>
          </w:p>
        </w:tc>
        <w:tc>
          <w:tcPr>
            <w:tcW w:w="1276" w:type="dxa"/>
            <w:vAlign w:val="center"/>
          </w:tcPr>
          <w:p w14:paraId="1A076ACE">
            <w:pPr>
              <w:pStyle w:val="12"/>
            </w:pPr>
            <w:r>
              <w:t>年度工作计划</w:t>
            </w:r>
          </w:p>
        </w:tc>
      </w:tr>
      <w:tr w14:paraId="2859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8453"/>
        </w:tc>
        <w:tc>
          <w:tcPr>
            <w:tcW w:w="2268" w:type="dxa"/>
            <w:vAlign w:val="center"/>
          </w:tcPr>
          <w:p w14:paraId="1594D96F">
            <w:pPr>
              <w:pStyle w:val="12"/>
            </w:pPr>
            <w:r>
              <w:t>时效指标</w:t>
            </w:r>
          </w:p>
        </w:tc>
        <w:tc>
          <w:tcPr>
            <w:tcW w:w="2835" w:type="dxa"/>
            <w:vAlign w:val="center"/>
          </w:tcPr>
          <w:p w14:paraId="3E6534E7">
            <w:pPr>
              <w:pStyle w:val="12"/>
            </w:pPr>
            <w:r>
              <w:t>资金支付率</w:t>
            </w:r>
          </w:p>
        </w:tc>
        <w:tc>
          <w:tcPr>
            <w:tcW w:w="5386" w:type="dxa"/>
            <w:vAlign w:val="center"/>
          </w:tcPr>
          <w:p w14:paraId="349F56CA">
            <w:pPr>
              <w:pStyle w:val="12"/>
            </w:pPr>
            <w:r>
              <w:t>按照上缴财政进度完成公立幼儿园保育费支付</w:t>
            </w:r>
          </w:p>
        </w:tc>
        <w:tc>
          <w:tcPr>
            <w:tcW w:w="2268" w:type="dxa"/>
            <w:vAlign w:val="center"/>
          </w:tcPr>
          <w:p w14:paraId="7930F5D1">
            <w:pPr>
              <w:pStyle w:val="12"/>
            </w:pPr>
            <w:r>
              <w:t>100%</w:t>
            </w:r>
          </w:p>
        </w:tc>
        <w:tc>
          <w:tcPr>
            <w:tcW w:w="1276" w:type="dxa"/>
            <w:vAlign w:val="center"/>
          </w:tcPr>
          <w:p w14:paraId="5AC898CB">
            <w:pPr>
              <w:pStyle w:val="12"/>
            </w:pPr>
            <w:r>
              <w:t>年度工作计划</w:t>
            </w:r>
          </w:p>
        </w:tc>
      </w:tr>
      <w:tr w14:paraId="71E3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529B1"/>
        </w:tc>
        <w:tc>
          <w:tcPr>
            <w:tcW w:w="2268" w:type="dxa"/>
            <w:vAlign w:val="center"/>
          </w:tcPr>
          <w:p w14:paraId="16640E2A">
            <w:pPr>
              <w:pStyle w:val="12"/>
            </w:pPr>
            <w:r>
              <w:t>成本指标</w:t>
            </w:r>
          </w:p>
        </w:tc>
        <w:tc>
          <w:tcPr>
            <w:tcW w:w="2835" w:type="dxa"/>
            <w:vAlign w:val="center"/>
          </w:tcPr>
          <w:p w14:paraId="3884EF5C">
            <w:pPr>
              <w:pStyle w:val="12"/>
            </w:pPr>
            <w:r>
              <w:t>公办幼儿园保育费收费标准</w:t>
            </w:r>
          </w:p>
        </w:tc>
        <w:tc>
          <w:tcPr>
            <w:tcW w:w="5386" w:type="dxa"/>
            <w:vAlign w:val="center"/>
          </w:tcPr>
          <w:p w14:paraId="050AC334">
            <w:pPr>
              <w:pStyle w:val="12"/>
            </w:pPr>
            <w:r>
              <w:t>城市一类园280/生/月</w:t>
            </w:r>
          </w:p>
        </w:tc>
        <w:tc>
          <w:tcPr>
            <w:tcW w:w="2268" w:type="dxa"/>
            <w:vAlign w:val="center"/>
          </w:tcPr>
          <w:p w14:paraId="639AE9D9">
            <w:pPr>
              <w:pStyle w:val="12"/>
            </w:pPr>
            <w:r>
              <w:t>100%</w:t>
            </w:r>
          </w:p>
        </w:tc>
        <w:tc>
          <w:tcPr>
            <w:tcW w:w="1276" w:type="dxa"/>
            <w:vAlign w:val="center"/>
          </w:tcPr>
          <w:p w14:paraId="06583D79">
            <w:pPr>
              <w:pStyle w:val="12"/>
            </w:pPr>
            <w:r>
              <w:t>年度工作计划</w:t>
            </w:r>
          </w:p>
        </w:tc>
      </w:tr>
      <w:tr w14:paraId="2CB5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6843B">
            <w:pPr>
              <w:pStyle w:val="13"/>
            </w:pPr>
            <w:r>
              <w:t>效益指标</w:t>
            </w:r>
          </w:p>
        </w:tc>
        <w:tc>
          <w:tcPr>
            <w:tcW w:w="2268" w:type="dxa"/>
            <w:vAlign w:val="center"/>
          </w:tcPr>
          <w:p w14:paraId="3BA0DE53">
            <w:pPr>
              <w:pStyle w:val="12"/>
            </w:pPr>
            <w:r>
              <w:t>社会效益指标</w:t>
            </w:r>
          </w:p>
        </w:tc>
        <w:tc>
          <w:tcPr>
            <w:tcW w:w="2835" w:type="dxa"/>
            <w:vAlign w:val="center"/>
          </w:tcPr>
          <w:p w14:paraId="4EFFFE8D">
            <w:pPr>
              <w:pStyle w:val="12"/>
            </w:pPr>
            <w:r>
              <w:t>幼儿园办园能力提升</w:t>
            </w:r>
          </w:p>
        </w:tc>
        <w:tc>
          <w:tcPr>
            <w:tcW w:w="5386" w:type="dxa"/>
            <w:vAlign w:val="center"/>
          </w:tcPr>
          <w:p w14:paraId="2C0E3C4D">
            <w:pPr>
              <w:pStyle w:val="12"/>
            </w:pPr>
            <w:r>
              <w:t>幼儿园办园能力提升情况及教育教学工作等开展的情况</w:t>
            </w:r>
          </w:p>
        </w:tc>
        <w:tc>
          <w:tcPr>
            <w:tcW w:w="2268" w:type="dxa"/>
            <w:vAlign w:val="center"/>
          </w:tcPr>
          <w:p w14:paraId="22D6E812">
            <w:pPr>
              <w:pStyle w:val="12"/>
            </w:pPr>
            <w:r>
              <w:t>100%</w:t>
            </w:r>
          </w:p>
        </w:tc>
        <w:tc>
          <w:tcPr>
            <w:tcW w:w="1276" w:type="dxa"/>
            <w:vAlign w:val="center"/>
          </w:tcPr>
          <w:p w14:paraId="28767BDB">
            <w:pPr>
              <w:pStyle w:val="12"/>
            </w:pPr>
            <w:r>
              <w:t>年度工作计划</w:t>
            </w:r>
          </w:p>
        </w:tc>
      </w:tr>
      <w:tr w14:paraId="7607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CBEEF">
            <w:pPr>
              <w:pStyle w:val="13"/>
            </w:pPr>
            <w:r>
              <w:t>满意度指标</w:t>
            </w:r>
          </w:p>
        </w:tc>
        <w:tc>
          <w:tcPr>
            <w:tcW w:w="2268" w:type="dxa"/>
            <w:vAlign w:val="center"/>
          </w:tcPr>
          <w:p w14:paraId="17A8E9B9">
            <w:pPr>
              <w:pStyle w:val="12"/>
            </w:pPr>
            <w:r>
              <w:t>服务对象满意度指标</w:t>
            </w:r>
          </w:p>
        </w:tc>
        <w:tc>
          <w:tcPr>
            <w:tcW w:w="2835" w:type="dxa"/>
            <w:vAlign w:val="center"/>
          </w:tcPr>
          <w:p w14:paraId="683CF0AC">
            <w:pPr>
              <w:pStyle w:val="12"/>
            </w:pPr>
            <w:r>
              <w:t>受益学生家长及调查满意度</w:t>
            </w:r>
          </w:p>
        </w:tc>
        <w:tc>
          <w:tcPr>
            <w:tcW w:w="5386" w:type="dxa"/>
            <w:vAlign w:val="center"/>
          </w:tcPr>
          <w:p w14:paraId="26A36145">
            <w:pPr>
              <w:pStyle w:val="12"/>
            </w:pPr>
            <w:r>
              <w:t>幼儿、教师及家长对学校保教保育工作满意度情况</w:t>
            </w:r>
          </w:p>
        </w:tc>
        <w:tc>
          <w:tcPr>
            <w:tcW w:w="2268" w:type="dxa"/>
            <w:vAlign w:val="center"/>
          </w:tcPr>
          <w:p w14:paraId="62804647">
            <w:pPr>
              <w:pStyle w:val="12"/>
            </w:pPr>
            <w:r>
              <w:t>≥95%</w:t>
            </w:r>
          </w:p>
        </w:tc>
        <w:tc>
          <w:tcPr>
            <w:tcW w:w="1276" w:type="dxa"/>
            <w:vAlign w:val="center"/>
          </w:tcPr>
          <w:p w14:paraId="3165808E">
            <w:pPr>
              <w:pStyle w:val="12"/>
            </w:pPr>
            <w:r>
              <w:t>年度工作计划</w:t>
            </w:r>
          </w:p>
        </w:tc>
      </w:tr>
    </w:tbl>
    <w:p w14:paraId="686BA9CD">
      <w:pPr>
        <w:sectPr>
          <w:pgSz w:w="16840" w:h="11900" w:orient="landscape"/>
          <w:pgMar w:top="1361" w:right="1020" w:bottom="1134" w:left="1020" w:header="720" w:footer="720" w:gutter="0"/>
          <w:cols w:space="720" w:num="1"/>
        </w:sectPr>
      </w:pPr>
    </w:p>
    <w:p w14:paraId="49419C94">
      <w:pPr>
        <w:spacing w:before="10" w:after="10" w:line="240" w:lineRule="auto"/>
        <w:ind w:firstLine="640"/>
        <w:jc w:val="left"/>
        <w:outlineLvl w:val="5"/>
      </w:pPr>
      <w:r>
        <w:rPr>
          <w:rFonts w:ascii="黑体" w:hAnsi="黑体" w:eastAsia="黑体" w:cs="黑体"/>
          <w:color w:val="000000"/>
          <w:sz w:val="32"/>
        </w:rPr>
        <w:t>六、政府采购预算情况</w:t>
      </w:r>
    </w:p>
    <w:p w14:paraId="501DD52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47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46B89A">
            <w:pPr>
              <w:pStyle w:val="9"/>
            </w:pPr>
            <w:r>
              <w:t>360035隆尧县唐尧街幼儿园</w:t>
            </w:r>
          </w:p>
        </w:tc>
        <w:tc>
          <w:tcPr>
            <w:tcW w:w="8676" w:type="dxa"/>
            <w:gridSpan w:val="9"/>
            <w:tcBorders>
              <w:top w:val="single" w:color="FFFFFF" w:sz="6" w:space="0"/>
              <w:left w:val="single" w:color="FFFFFF" w:sz="6" w:space="0"/>
              <w:right w:val="single" w:color="FFFFFF" w:sz="6" w:space="0"/>
            </w:tcBorders>
            <w:vAlign w:val="center"/>
          </w:tcPr>
          <w:p w14:paraId="4260B790">
            <w:pPr>
              <w:pStyle w:val="21"/>
            </w:pPr>
            <w:r>
              <w:t>单位：万元</w:t>
            </w:r>
          </w:p>
        </w:tc>
      </w:tr>
      <w:tr w14:paraId="0632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6A8581">
            <w:pPr>
              <w:pStyle w:val="10"/>
            </w:pPr>
            <w:r>
              <w:t>政府采购项目来源</w:t>
            </w:r>
          </w:p>
        </w:tc>
        <w:tc>
          <w:tcPr>
            <w:tcW w:w="1134" w:type="dxa"/>
            <w:vMerge w:val="restart"/>
            <w:vAlign w:val="center"/>
          </w:tcPr>
          <w:p w14:paraId="593704D6">
            <w:pPr>
              <w:pStyle w:val="10"/>
            </w:pPr>
            <w:r>
              <w:t>采购物品名称</w:t>
            </w:r>
          </w:p>
        </w:tc>
        <w:tc>
          <w:tcPr>
            <w:tcW w:w="1134" w:type="dxa"/>
            <w:vMerge w:val="restart"/>
            <w:vAlign w:val="center"/>
          </w:tcPr>
          <w:p w14:paraId="493684E0">
            <w:pPr>
              <w:pStyle w:val="10"/>
            </w:pPr>
            <w:r>
              <w:t>政府采购目录序号</w:t>
            </w:r>
          </w:p>
        </w:tc>
        <w:tc>
          <w:tcPr>
            <w:tcW w:w="709" w:type="dxa"/>
            <w:vMerge w:val="restart"/>
            <w:vAlign w:val="center"/>
          </w:tcPr>
          <w:p w14:paraId="42570804">
            <w:pPr>
              <w:pStyle w:val="10"/>
            </w:pPr>
            <w:r>
              <w:t>计量  单位</w:t>
            </w:r>
          </w:p>
        </w:tc>
        <w:tc>
          <w:tcPr>
            <w:tcW w:w="850" w:type="dxa"/>
            <w:vMerge w:val="restart"/>
            <w:vAlign w:val="center"/>
          </w:tcPr>
          <w:p w14:paraId="087EBDDB">
            <w:pPr>
              <w:pStyle w:val="10"/>
            </w:pPr>
            <w:r>
              <w:t>数量</w:t>
            </w:r>
          </w:p>
        </w:tc>
        <w:tc>
          <w:tcPr>
            <w:tcW w:w="850" w:type="dxa"/>
            <w:vMerge w:val="restart"/>
            <w:vAlign w:val="center"/>
          </w:tcPr>
          <w:p w14:paraId="75239238">
            <w:pPr>
              <w:pStyle w:val="10"/>
            </w:pPr>
            <w:r>
              <w:t>单价</w:t>
            </w:r>
          </w:p>
        </w:tc>
        <w:tc>
          <w:tcPr>
            <w:tcW w:w="7712" w:type="dxa"/>
            <w:gridSpan w:val="8"/>
            <w:vAlign w:val="center"/>
          </w:tcPr>
          <w:p w14:paraId="2B3CAE5A">
            <w:pPr>
              <w:pStyle w:val="10"/>
            </w:pPr>
            <w:r>
              <w:t>政府采购金额（当年部门预算安排资金）</w:t>
            </w:r>
          </w:p>
        </w:tc>
        <w:tc>
          <w:tcPr>
            <w:tcW w:w="964" w:type="dxa"/>
            <w:vMerge w:val="restart"/>
            <w:vAlign w:val="center"/>
          </w:tcPr>
          <w:p w14:paraId="1368A8E2">
            <w:pPr>
              <w:pStyle w:val="10"/>
            </w:pPr>
            <w:r>
              <w:t>2026年  预留中  小微企  业份额</w:t>
            </w:r>
          </w:p>
        </w:tc>
      </w:tr>
      <w:tr w14:paraId="1960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4AC436">
            <w:pPr>
              <w:pStyle w:val="10"/>
            </w:pPr>
            <w:r>
              <w:t>项目名称</w:t>
            </w:r>
          </w:p>
        </w:tc>
        <w:tc>
          <w:tcPr>
            <w:tcW w:w="964" w:type="dxa"/>
            <w:vAlign w:val="center"/>
          </w:tcPr>
          <w:p w14:paraId="02394A40">
            <w:pPr>
              <w:pStyle w:val="10"/>
            </w:pPr>
            <w:r>
              <w:t>预算    资金</w:t>
            </w:r>
          </w:p>
        </w:tc>
        <w:tc>
          <w:tcPr>
            <w:tcW w:w="1134" w:type="dxa"/>
            <w:vMerge w:val="continue"/>
          </w:tcPr>
          <w:p w14:paraId="6E663174"/>
        </w:tc>
        <w:tc>
          <w:tcPr>
            <w:tcW w:w="1134" w:type="dxa"/>
            <w:vMerge w:val="continue"/>
          </w:tcPr>
          <w:p w14:paraId="388F902E"/>
        </w:tc>
        <w:tc>
          <w:tcPr>
            <w:tcW w:w="709" w:type="dxa"/>
            <w:vMerge w:val="continue"/>
          </w:tcPr>
          <w:p w14:paraId="0EE53CD3"/>
        </w:tc>
        <w:tc>
          <w:tcPr>
            <w:tcW w:w="850" w:type="dxa"/>
            <w:vMerge w:val="continue"/>
          </w:tcPr>
          <w:p w14:paraId="0CC3F23E"/>
        </w:tc>
        <w:tc>
          <w:tcPr>
            <w:tcW w:w="850" w:type="dxa"/>
            <w:vMerge w:val="continue"/>
          </w:tcPr>
          <w:p w14:paraId="593F9B6D"/>
        </w:tc>
        <w:tc>
          <w:tcPr>
            <w:tcW w:w="964" w:type="dxa"/>
            <w:vAlign w:val="center"/>
          </w:tcPr>
          <w:p w14:paraId="4E7CCAC8">
            <w:pPr>
              <w:pStyle w:val="10"/>
            </w:pPr>
            <w:r>
              <w:t>合计</w:t>
            </w:r>
          </w:p>
        </w:tc>
        <w:tc>
          <w:tcPr>
            <w:tcW w:w="964" w:type="dxa"/>
            <w:vAlign w:val="center"/>
          </w:tcPr>
          <w:p w14:paraId="692CAF29">
            <w:pPr>
              <w:pStyle w:val="10"/>
            </w:pPr>
            <w:r>
              <w:t>一般公共预算拨款</w:t>
            </w:r>
          </w:p>
        </w:tc>
        <w:tc>
          <w:tcPr>
            <w:tcW w:w="964" w:type="dxa"/>
            <w:vAlign w:val="center"/>
          </w:tcPr>
          <w:p w14:paraId="2CBB9D20">
            <w:pPr>
              <w:pStyle w:val="10"/>
            </w:pPr>
            <w:r>
              <w:t>基金预算拨款</w:t>
            </w:r>
          </w:p>
        </w:tc>
        <w:tc>
          <w:tcPr>
            <w:tcW w:w="964" w:type="dxa"/>
            <w:vAlign w:val="center"/>
          </w:tcPr>
          <w:p w14:paraId="0BE48AB2">
            <w:pPr>
              <w:pStyle w:val="10"/>
            </w:pPr>
            <w:r>
              <w:t>国有资本经营预算拨款</w:t>
            </w:r>
          </w:p>
        </w:tc>
        <w:tc>
          <w:tcPr>
            <w:tcW w:w="964" w:type="dxa"/>
            <w:vAlign w:val="center"/>
          </w:tcPr>
          <w:p w14:paraId="4BD6E859">
            <w:pPr>
              <w:pStyle w:val="10"/>
            </w:pPr>
            <w:r>
              <w:t>财政专户核拨</w:t>
            </w:r>
          </w:p>
        </w:tc>
        <w:tc>
          <w:tcPr>
            <w:tcW w:w="964" w:type="dxa"/>
            <w:vAlign w:val="center"/>
          </w:tcPr>
          <w:p w14:paraId="22584BF2">
            <w:pPr>
              <w:pStyle w:val="10"/>
            </w:pPr>
            <w:r>
              <w:t>单位    资金</w:t>
            </w:r>
          </w:p>
        </w:tc>
        <w:tc>
          <w:tcPr>
            <w:tcW w:w="964" w:type="dxa"/>
            <w:vAlign w:val="center"/>
          </w:tcPr>
          <w:p w14:paraId="7984839F">
            <w:pPr>
              <w:pStyle w:val="10"/>
            </w:pPr>
            <w:r>
              <w:t>财政拨款结转</w:t>
            </w:r>
          </w:p>
        </w:tc>
        <w:tc>
          <w:tcPr>
            <w:tcW w:w="964" w:type="dxa"/>
            <w:vAlign w:val="center"/>
          </w:tcPr>
          <w:p w14:paraId="449935CE">
            <w:pPr>
              <w:pStyle w:val="10"/>
            </w:pPr>
            <w:r>
              <w:t>非财政拨款结余</w:t>
            </w:r>
          </w:p>
        </w:tc>
        <w:tc>
          <w:tcPr>
            <w:tcW w:w="964" w:type="dxa"/>
            <w:vMerge w:val="continue"/>
          </w:tcPr>
          <w:p w14:paraId="60775EBD"/>
        </w:tc>
      </w:tr>
      <w:tr w14:paraId="0168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E7784">
            <w:pPr>
              <w:pStyle w:val="12"/>
            </w:pPr>
          </w:p>
        </w:tc>
        <w:tc>
          <w:tcPr>
            <w:tcW w:w="964" w:type="dxa"/>
            <w:vAlign w:val="center"/>
          </w:tcPr>
          <w:p w14:paraId="04A9B3D5">
            <w:pPr>
              <w:pStyle w:val="11"/>
            </w:pPr>
          </w:p>
        </w:tc>
        <w:tc>
          <w:tcPr>
            <w:tcW w:w="1134" w:type="dxa"/>
            <w:vAlign w:val="center"/>
          </w:tcPr>
          <w:p w14:paraId="2E6D3EB2">
            <w:pPr>
              <w:pStyle w:val="12"/>
            </w:pPr>
          </w:p>
        </w:tc>
        <w:tc>
          <w:tcPr>
            <w:tcW w:w="1134" w:type="dxa"/>
            <w:vAlign w:val="center"/>
          </w:tcPr>
          <w:p w14:paraId="3918859A">
            <w:pPr>
              <w:pStyle w:val="12"/>
            </w:pPr>
          </w:p>
        </w:tc>
        <w:tc>
          <w:tcPr>
            <w:tcW w:w="709" w:type="dxa"/>
            <w:vAlign w:val="center"/>
          </w:tcPr>
          <w:p w14:paraId="77FF5182">
            <w:pPr>
              <w:pStyle w:val="13"/>
            </w:pPr>
          </w:p>
        </w:tc>
        <w:tc>
          <w:tcPr>
            <w:tcW w:w="850" w:type="dxa"/>
            <w:vAlign w:val="center"/>
          </w:tcPr>
          <w:p w14:paraId="745DBDFB">
            <w:pPr>
              <w:pStyle w:val="11"/>
            </w:pPr>
          </w:p>
        </w:tc>
        <w:tc>
          <w:tcPr>
            <w:tcW w:w="850" w:type="dxa"/>
            <w:vAlign w:val="center"/>
          </w:tcPr>
          <w:p w14:paraId="579722F3">
            <w:pPr>
              <w:pStyle w:val="11"/>
            </w:pPr>
          </w:p>
        </w:tc>
        <w:tc>
          <w:tcPr>
            <w:tcW w:w="964" w:type="dxa"/>
            <w:vAlign w:val="center"/>
          </w:tcPr>
          <w:p w14:paraId="3A57EC9E">
            <w:pPr>
              <w:pStyle w:val="11"/>
            </w:pPr>
          </w:p>
        </w:tc>
        <w:tc>
          <w:tcPr>
            <w:tcW w:w="964" w:type="dxa"/>
            <w:vAlign w:val="center"/>
          </w:tcPr>
          <w:p w14:paraId="0AC6A9D8">
            <w:pPr>
              <w:pStyle w:val="11"/>
            </w:pPr>
          </w:p>
        </w:tc>
        <w:tc>
          <w:tcPr>
            <w:tcW w:w="964" w:type="dxa"/>
            <w:vAlign w:val="center"/>
          </w:tcPr>
          <w:p w14:paraId="5B549824">
            <w:pPr>
              <w:pStyle w:val="11"/>
            </w:pPr>
          </w:p>
        </w:tc>
        <w:tc>
          <w:tcPr>
            <w:tcW w:w="964" w:type="dxa"/>
            <w:vAlign w:val="center"/>
          </w:tcPr>
          <w:p w14:paraId="5BCF588B">
            <w:pPr>
              <w:pStyle w:val="11"/>
            </w:pPr>
          </w:p>
        </w:tc>
        <w:tc>
          <w:tcPr>
            <w:tcW w:w="964" w:type="dxa"/>
            <w:vAlign w:val="center"/>
          </w:tcPr>
          <w:p w14:paraId="197F0DEC">
            <w:pPr>
              <w:pStyle w:val="11"/>
            </w:pPr>
          </w:p>
        </w:tc>
        <w:tc>
          <w:tcPr>
            <w:tcW w:w="964" w:type="dxa"/>
            <w:vAlign w:val="center"/>
          </w:tcPr>
          <w:p w14:paraId="52AD10A2">
            <w:pPr>
              <w:pStyle w:val="11"/>
            </w:pPr>
          </w:p>
        </w:tc>
        <w:tc>
          <w:tcPr>
            <w:tcW w:w="964" w:type="dxa"/>
            <w:vAlign w:val="center"/>
          </w:tcPr>
          <w:p w14:paraId="4A217B7F">
            <w:pPr>
              <w:pStyle w:val="11"/>
            </w:pPr>
          </w:p>
        </w:tc>
        <w:tc>
          <w:tcPr>
            <w:tcW w:w="964" w:type="dxa"/>
            <w:vAlign w:val="center"/>
          </w:tcPr>
          <w:p w14:paraId="728BD53E">
            <w:pPr>
              <w:pStyle w:val="11"/>
            </w:pPr>
          </w:p>
        </w:tc>
        <w:tc>
          <w:tcPr>
            <w:tcW w:w="964" w:type="dxa"/>
            <w:vAlign w:val="center"/>
          </w:tcPr>
          <w:p w14:paraId="4B61E439">
            <w:pPr>
              <w:pStyle w:val="11"/>
            </w:pPr>
          </w:p>
        </w:tc>
      </w:tr>
    </w:tbl>
    <w:p w14:paraId="6652478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474F0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F9144F">
      <w:pPr>
        <w:spacing w:before="0" w:after="0"/>
        <w:ind w:firstLine="640"/>
        <w:jc w:val="left"/>
        <w:outlineLvl w:val="9"/>
      </w:pPr>
      <w:r>
        <w:rPr>
          <w:rFonts w:ascii="Times New Roman" w:hAnsi="Times New Roman" w:eastAsia="方正仿宋_GBK" w:cs="Times New Roman"/>
          <w:color w:val="000000"/>
          <w:sz w:val="32"/>
        </w:rPr>
        <w:t xml:space="preserve"> </w:t>
      </w:r>
    </w:p>
    <w:p w14:paraId="31695BAB">
      <w:pPr>
        <w:spacing w:before="10" w:after="10" w:line="240" w:lineRule="auto"/>
        <w:ind w:firstLine="640"/>
        <w:jc w:val="left"/>
        <w:outlineLvl w:val="5"/>
      </w:pPr>
      <w:r>
        <w:rPr>
          <w:rFonts w:ascii="黑体" w:hAnsi="黑体" w:eastAsia="黑体" w:cs="黑体"/>
          <w:color w:val="000000"/>
          <w:sz w:val="32"/>
        </w:rPr>
        <w:t>七、国有资产信息</w:t>
      </w:r>
    </w:p>
    <w:p w14:paraId="3BC5A1DE">
      <w:pPr>
        <w:spacing w:before="0" w:after="0" w:line="500" w:lineRule="exact"/>
        <w:ind w:firstLine="560"/>
        <w:jc w:val="left"/>
        <w:outlineLvl w:val="9"/>
      </w:pPr>
      <w:r>
        <w:rPr>
          <w:rFonts w:ascii="Times New Roman" w:hAnsi="Times New Roman" w:eastAsia="方正仿宋_GBK" w:cs="Times New Roman"/>
          <w:b w:val="0"/>
          <w:color w:val="000000"/>
          <w:sz w:val="28"/>
        </w:rPr>
        <w:t>隆尧县唐尧街幼儿园上年末固定资产金额为189.27万元（详见下表）。本年度拟购置固定资产总额为28.50万元，已按要求列入政府采购预算，详见政府采购预算表。</w:t>
      </w:r>
    </w:p>
    <w:p w14:paraId="7ACC2D6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E8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F68297">
            <w:pPr>
              <w:pStyle w:val="9"/>
            </w:pPr>
            <w:r>
              <w:t>360035隆尧县唐尧街幼儿园</w:t>
            </w:r>
          </w:p>
        </w:tc>
        <w:tc>
          <w:tcPr>
            <w:tcW w:w="5670" w:type="dxa"/>
            <w:gridSpan w:val="2"/>
            <w:tcBorders>
              <w:top w:val="single" w:color="FFFFFF" w:sz="6" w:space="0"/>
              <w:left w:val="single" w:color="FFFFFF" w:sz="6" w:space="0"/>
              <w:right w:val="single" w:color="FFFFFF" w:sz="6" w:space="0"/>
            </w:tcBorders>
            <w:vAlign w:val="center"/>
          </w:tcPr>
          <w:p w14:paraId="69A824E5">
            <w:pPr>
              <w:pStyle w:val="7"/>
            </w:pPr>
            <w:r>
              <w:t>截止时间：2025-12-31</w:t>
            </w:r>
          </w:p>
        </w:tc>
      </w:tr>
      <w:tr w14:paraId="5657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13EC91">
            <w:pPr>
              <w:pStyle w:val="10"/>
            </w:pPr>
            <w:r>
              <w:t>项   目</w:t>
            </w:r>
          </w:p>
        </w:tc>
        <w:tc>
          <w:tcPr>
            <w:tcW w:w="2835" w:type="dxa"/>
            <w:vAlign w:val="center"/>
          </w:tcPr>
          <w:p w14:paraId="3D302168">
            <w:pPr>
              <w:pStyle w:val="10"/>
            </w:pPr>
            <w:r>
              <w:t>数量</w:t>
            </w:r>
          </w:p>
        </w:tc>
        <w:tc>
          <w:tcPr>
            <w:tcW w:w="2835" w:type="dxa"/>
            <w:vAlign w:val="center"/>
          </w:tcPr>
          <w:p w14:paraId="0D5DA160">
            <w:pPr>
              <w:pStyle w:val="10"/>
            </w:pPr>
            <w:r>
              <w:t>价值（金额单位：万元）</w:t>
            </w:r>
          </w:p>
        </w:tc>
      </w:tr>
      <w:tr w14:paraId="6DE8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5E929D">
            <w:pPr>
              <w:pStyle w:val="12"/>
            </w:pPr>
            <w:r>
              <w:t>资产总额</w:t>
            </w:r>
          </w:p>
        </w:tc>
        <w:tc>
          <w:tcPr>
            <w:tcW w:w="2835" w:type="dxa"/>
            <w:vAlign w:val="center"/>
          </w:tcPr>
          <w:p w14:paraId="20D199A2">
            <w:pPr>
              <w:pStyle w:val="13"/>
            </w:pPr>
          </w:p>
        </w:tc>
        <w:tc>
          <w:tcPr>
            <w:tcW w:w="2835" w:type="dxa"/>
            <w:vAlign w:val="center"/>
          </w:tcPr>
          <w:p w14:paraId="69675F4D">
            <w:pPr>
              <w:pStyle w:val="11"/>
            </w:pPr>
            <w:r>
              <w:t>189.27</w:t>
            </w:r>
          </w:p>
        </w:tc>
      </w:tr>
      <w:tr w14:paraId="0485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0A82D8">
            <w:pPr>
              <w:pStyle w:val="12"/>
            </w:pPr>
            <w:r>
              <w:t>1、房屋（平方米）</w:t>
            </w:r>
          </w:p>
        </w:tc>
        <w:tc>
          <w:tcPr>
            <w:tcW w:w="2835" w:type="dxa"/>
            <w:vAlign w:val="center"/>
          </w:tcPr>
          <w:p w14:paraId="21821AAA">
            <w:pPr>
              <w:pStyle w:val="13"/>
            </w:pPr>
          </w:p>
        </w:tc>
        <w:tc>
          <w:tcPr>
            <w:tcW w:w="2835" w:type="dxa"/>
            <w:vAlign w:val="center"/>
          </w:tcPr>
          <w:p w14:paraId="64C93792">
            <w:pPr>
              <w:pStyle w:val="11"/>
            </w:pPr>
          </w:p>
        </w:tc>
      </w:tr>
      <w:tr w14:paraId="5A24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CE95AD">
            <w:pPr>
              <w:pStyle w:val="12"/>
            </w:pPr>
            <w:r>
              <w:t>　　其中：办公用房（平方米）</w:t>
            </w:r>
          </w:p>
        </w:tc>
        <w:tc>
          <w:tcPr>
            <w:tcW w:w="2835" w:type="dxa"/>
            <w:vAlign w:val="center"/>
          </w:tcPr>
          <w:p w14:paraId="7269268C">
            <w:pPr>
              <w:pStyle w:val="13"/>
            </w:pPr>
          </w:p>
        </w:tc>
        <w:tc>
          <w:tcPr>
            <w:tcW w:w="2835" w:type="dxa"/>
            <w:vAlign w:val="center"/>
          </w:tcPr>
          <w:p w14:paraId="7B34C17A">
            <w:pPr>
              <w:pStyle w:val="11"/>
            </w:pPr>
          </w:p>
        </w:tc>
      </w:tr>
      <w:tr w14:paraId="734A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9ED322">
            <w:pPr>
              <w:pStyle w:val="12"/>
            </w:pPr>
            <w:r>
              <w:t>2、车辆（台、辆）</w:t>
            </w:r>
          </w:p>
        </w:tc>
        <w:tc>
          <w:tcPr>
            <w:tcW w:w="2835" w:type="dxa"/>
            <w:vAlign w:val="center"/>
          </w:tcPr>
          <w:p w14:paraId="7111C020">
            <w:pPr>
              <w:pStyle w:val="13"/>
            </w:pPr>
          </w:p>
        </w:tc>
        <w:tc>
          <w:tcPr>
            <w:tcW w:w="2835" w:type="dxa"/>
            <w:vAlign w:val="center"/>
          </w:tcPr>
          <w:p w14:paraId="31FF8963">
            <w:pPr>
              <w:pStyle w:val="11"/>
            </w:pPr>
          </w:p>
        </w:tc>
      </w:tr>
      <w:tr w14:paraId="57491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3F36F6">
            <w:pPr>
              <w:pStyle w:val="12"/>
            </w:pPr>
            <w:r>
              <w:t>3、单价在20万元以上的设备</w:t>
            </w:r>
          </w:p>
        </w:tc>
        <w:tc>
          <w:tcPr>
            <w:tcW w:w="2835" w:type="dxa"/>
            <w:vAlign w:val="center"/>
          </w:tcPr>
          <w:p w14:paraId="2F4CC4EC">
            <w:pPr>
              <w:pStyle w:val="13"/>
            </w:pPr>
            <w:r>
              <w:t>1</w:t>
            </w:r>
          </w:p>
        </w:tc>
        <w:tc>
          <w:tcPr>
            <w:tcW w:w="2835" w:type="dxa"/>
            <w:vAlign w:val="center"/>
          </w:tcPr>
          <w:p w14:paraId="0086C58C">
            <w:pPr>
              <w:pStyle w:val="11"/>
            </w:pPr>
            <w:r>
              <w:t>26.83</w:t>
            </w:r>
          </w:p>
        </w:tc>
      </w:tr>
      <w:tr w14:paraId="0058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6C2FAE">
            <w:pPr>
              <w:pStyle w:val="12"/>
            </w:pPr>
            <w:r>
              <w:t>4、其他固定资产</w:t>
            </w:r>
          </w:p>
        </w:tc>
        <w:tc>
          <w:tcPr>
            <w:tcW w:w="2835" w:type="dxa"/>
            <w:vAlign w:val="center"/>
          </w:tcPr>
          <w:p w14:paraId="2AFF85CA">
            <w:pPr>
              <w:pStyle w:val="13"/>
            </w:pPr>
            <w:r>
              <w:t>525</w:t>
            </w:r>
          </w:p>
        </w:tc>
        <w:tc>
          <w:tcPr>
            <w:tcW w:w="2835" w:type="dxa"/>
            <w:vAlign w:val="center"/>
          </w:tcPr>
          <w:p w14:paraId="282BEAEE">
            <w:pPr>
              <w:pStyle w:val="11"/>
            </w:pPr>
            <w:r>
              <w:t>162.44</w:t>
            </w:r>
          </w:p>
        </w:tc>
      </w:tr>
    </w:tbl>
    <w:p w14:paraId="7AF79B6D">
      <w:pPr>
        <w:spacing w:before="0" w:after="0"/>
        <w:ind w:firstLine="640"/>
        <w:jc w:val="left"/>
        <w:outlineLvl w:val="9"/>
      </w:pPr>
      <w:r>
        <w:rPr>
          <w:rFonts w:ascii="Times New Roman" w:hAnsi="Times New Roman" w:eastAsia="方正仿宋_GBK" w:cs="Times New Roman"/>
          <w:color w:val="000000"/>
          <w:sz w:val="32"/>
        </w:rPr>
        <w:t xml:space="preserve"> </w:t>
      </w:r>
    </w:p>
    <w:p w14:paraId="6A5A8496">
      <w:pPr>
        <w:spacing w:before="10" w:after="10" w:line="240" w:lineRule="auto"/>
        <w:ind w:firstLine="640"/>
        <w:jc w:val="left"/>
        <w:outlineLvl w:val="5"/>
      </w:pPr>
      <w:r>
        <w:rPr>
          <w:rFonts w:ascii="黑体" w:hAnsi="黑体" w:eastAsia="黑体" w:cs="黑体"/>
          <w:color w:val="000000"/>
          <w:sz w:val="32"/>
        </w:rPr>
        <w:t>八、名词解释</w:t>
      </w:r>
    </w:p>
    <w:p w14:paraId="47E491E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3574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5881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38D12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F50A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A6A4B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1948E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F2091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21C84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299D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CF65A4">
      <w:pPr>
        <w:spacing w:before="10" w:after="10" w:line="240" w:lineRule="auto"/>
        <w:ind w:firstLine="640"/>
        <w:jc w:val="left"/>
        <w:outlineLvl w:val="5"/>
      </w:pPr>
      <w:r>
        <w:rPr>
          <w:rFonts w:ascii="黑体" w:hAnsi="黑体" w:eastAsia="黑体" w:cs="黑体"/>
          <w:color w:val="000000"/>
          <w:sz w:val="32"/>
        </w:rPr>
        <w:t>九、其他需要说明的事项</w:t>
      </w:r>
    </w:p>
    <w:p w14:paraId="2CF1756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E531AC6">
      <w:pPr>
        <w:spacing w:before="0" w:after="0"/>
        <w:ind w:firstLine="0"/>
        <w:jc w:val="center"/>
        <w:outlineLvl w:val="3"/>
      </w:pPr>
      <w:bookmarkStart w:id="34" w:name="_Toc_4_4_0000000035"/>
      <w:r>
        <w:rPr>
          <w:rFonts w:ascii="方正小标宋_GBK" w:hAnsi="方正小标宋_GBK" w:eastAsia="方正小标宋_GBK" w:cs="方正小标宋_GBK"/>
          <w:b w:val="0"/>
          <w:color w:val="000000"/>
          <w:sz w:val="44"/>
        </w:rPr>
        <w:t>三十五、隆尧县青少年校外活动中心收支预算</w:t>
      </w:r>
      <w:bookmarkEnd w:id="34"/>
    </w:p>
    <w:p w14:paraId="265DDE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06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BDC031">
            <w:pPr>
              <w:pStyle w:val="9"/>
            </w:pPr>
            <w:r>
              <w:t>360036隆尧县青少年校外活动中心</w:t>
            </w:r>
          </w:p>
        </w:tc>
        <w:tc>
          <w:tcPr>
            <w:tcW w:w="2126" w:type="dxa"/>
            <w:tcBorders>
              <w:top w:val="single" w:color="FFFFFF" w:sz="6" w:space="0"/>
              <w:left w:val="single" w:color="FFFFFF" w:sz="6" w:space="0"/>
              <w:right w:val="single" w:color="FFFFFF" w:sz="6" w:space="0"/>
            </w:tcBorders>
            <w:vAlign w:val="center"/>
          </w:tcPr>
          <w:p w14:paraId="0D27A27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D885561">
            <w:pPr>
              <w:pStyle w:val="7"/>
            </w:pPr>
            <w:r>
              <w:t>单位：万元</w:t>
            </w:r>
          </w:p>
        </w:tc>
      </w:tr>
      <w:tr w14:paraId="5071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FA9C0">
            <w:pPr>
              <w:pStyle w:val="10"/>
            </w:pPr>
            <w:r>
              <w:t>序号</w:t>
            </w:r>
          </w:p>
        </w:tc>
        <w:tc>
          <w:tcPr>
            <w:tcW w:w="6661" w:type="dxa"/>
            <w:gridSpan w:val="2"/>
            <w:vAlign w:val="center"/>
          </w:tcPr>
          <w:p w14:paraId="64400E74">
            <w:pPr>
              <w:pStyle w:val="10"/>
            </w:pPr>
            <w:r>
              <w:t>收入</w:t>
            </w:r>
          </w:p>
        </w:tc>
        <w:tc>
          <w:tcPr>
            <w:tcW w:w="6661" w:type="dxa"/>
            <w:gridSpan w:val="2"/>
            <w:vAlign w:val="center"/>
          </w:tcPr>
          <w:p w14:paraId="28B3C2CD">
            <w:pPr>
              <w:pStyle w:val="10"/>
            </w:pPr>
            <w:r>
              <w:t>支出</w:t>
            </w:r>
          </w:p>
        </w:tc>
      </w:tr>
      <w:tr w14:paraId="0DC9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3CFFD"/>
        </w:tc>
        <w:tc>
          <w:tcPr>
            <w:tcW w:w="4535" w:type="dxa"/>
            <w:vAlign w:val="center"/>
          </w:tcPr>
          <w:p w14:paraId="0427F6FD">
            <w:pPr>
              <w:pStyle w:val="10"/>
            </w:pPr>
            <w:r>
              <w:t>项  目</w:t>
            </w:r>
          </w:p>
        </w:tc>
        <w:tc>
          <w:tcPr>
            <w:tcW w:w="2126" w:type="dxa"/>
            <w:vAlign w:val="center"/>
          </w:tcPr>
          <w:p w14:paraId="68558228">
            <w:pPr>
              <w:pStyle w:val="10"/>
            </w:pPr>
            <w:r>
              <w:t>预算数</w:t>
            </w:r>
          </w:p>
        </w:tc>
        <w:tc>
          <w:tcPr>
            <w:tcW w:w="4535" w:type="dxa"/>
            <w:vAlign w:val="center"/>
          </w:tcPr>
          <w:p w14:paraId="5F82F136">
            <w:pPr>
              <w:pStyle w:val="10"/>
            </w:pPr>
            <w:r>
              <w:t>项  目</w:t>
            </w:r>
          </w:p>
        </w:tc>
        <w:tc>
          <w:tcPr>
            <w:tcW w:w="2126" w:type="dxa"/>
            <w:vAlign w:val="center"/>
          </w:tcPr>
          <w:p w14:paraId="202A7A86">
            <w:pPr>
              <w:pStyle w:val="10"/>
            </w:pPr>
            <w:r>
              <w:t>预算数</w:t>
            </w:r>
          </w:p>
        </w:tc>
      </w:tr>
      <w:tr w14:paraId="0FEF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F3FC4C">
            <w:pPr>
              <w:pStyle w:val="10"/>
            </w:pPr>
            <w:r>
              <w:t>栏次</w:t>
            </w:r>
          </w:p>
        </w:tc>
        <w:tc>
          <w:tcPr>
            <w:tcW w:w="4535" w:type="dxa"/>
            <w:vAlign w:val="center"/>
          </w:tcPr>
          <w:p w14:paraId="7195D405">
            <w:pPr>
              <w:pStyle w:val="10"/>
            </w:pPr>
            <w:r>
              <w:t>1</w:t>
            </w:r>
          </w:p>
        </w:tc>
        <w:tc>
          <w:tcPr>
            <w:tcW w:w="2126" w:type="dxa"/>
            <w:vAlign w:val="center"/>
          </w:tcPr>
          <w:p w14:paraId="0514114C">
            <w:pPr>
              <w:pStyle w:val="10"/>
            </w:pPr>
            <w:r>
              <w:t>2</w:t>
            </w:r>
          </w:p>
        </w:tc>
        <w:tc>
          <w:tcPr>
            <w:tcW w:w="4535" w:type="dxa"/>
            <w:vAlign w:val="center"/>
          </w:tcPr>
          <w:p w14:paraId="7A8C50F3">
            <w:pPr>
              <w:pStyle w:val="10"/>
            </w:pPr>
            <w:r>
              <w:t>3</w:t>
            </w:r>
          </w:p>
        </w:tc>
        <w:tc>
          <w:tcPr>
            <w:tcW w:w="2126" w:type="dxa"/>
            <w:vAlign w:val="center"/>
          </w:tcPr>
          <w:p w14:paraId="46900F6B">
            <w:pPr>
              <w:pStyle w:val="10"/>
            </w:pPr>
            <w:r>
              <w:t>4</w:t>
            </w:r>
          </w:p>
        </w:tc>
      </w:tr>
      <w:tr w14:paraId="2CE8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CE89">
            <w:pPr>
              <w:pStyle w:val="13"/>
            </w:pPr>
            <w:r>
              <w:t>1</w:t>
            </w:r>
          </w:p>
        </w:tc>
        <w:tc>
          <w:tcPr>
            <w:tcW w:w="4535" w:type="dxa"/>
            <w:vAlign w:val="center"/>
          </w:tcPr>
          <w:p w14:paraId="4E20DF5E">
            <w:pPr>
              <w:pStyle w:val="12"/>
            </w:pPr>
            <w:r>
              <w:t>一、一般公共预算拨款收入</w:t>
            </w:r>
          </w:p>
        </w:tc>
        <w:tc>
          <w:tcPr>
            <w:tcW w:w="2126" w:type="dxa"/>
            <w:vAlign w:val="center"/>
          </w:tcPr>
          <w:p w14:paraId="7032577A">
            <w:pPr>
              <w:pStyle w:val="11"/>
            </w:pPr>
            <w:r>
              <w:t>143.06</w:t>
            </w:r>
          </w:p>
        </w:tc>
        <w:tc>
          <w:tcPr>
            <w:tcW w:w="4535" w:type="dxa"/>
            <w:vAlign w:val="center"/>
          </w:tcPr>
          <w:p w14:paraId="748B8CDE">
            <w:pPr>
              <w:pStyle w:val="12"/>
            </w:pPr>
            <w:r>
              <w:t>一、一般公共服务支出</w:t>
            </w:r>
          </w:p>
        </w:tc>
        <w:tc>
          <w:tcPr>
            <w:tcW w:w="2126" w:type="dxa"/>
            <w:vAlign w:val="center"/>
          </w:tcPr>
          <w:p w14:paraId="0BEA3349">
            <w:pPr>
              <w:pStyle w:val="11"/>
            </w:pPr>
          </w:p>
        </w:tc>
      </w:tr>
      <w:tr w14:paraId="6340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CCD3F">
            <w:pPr>
              <w:pStyle w:val="13"/>
            </w:pPr>
            <w:r>
              <w:t>2</w:t>
            </w:r>
          </w:p>
        </w:tc>
        <w:tc>
          <w:tcPr>
            <w:tcW w:w="4535" w:type="dxa"/>
            <w:vAlign w:val="center"/>
          </w:tcPr>
          <w:p w14:paraId="78EA645D">
            <w:pPr>
              <w:pStyle w:val="12"/>
            </w:pPr>
            <w:r>
              <w:t>二、政府性基金预算拨款收入</w:t>
            </w:r>
          </w:p>
        </w:tc>
        <w:tc>
          <w:tcPr>
            <w:tcW w:w="2126" w:type="dxa"/>
            <w:vAlign w:val="center"/>
          </w:tcPr>
          <w:p w14:paraId="047BFF6C">
            <w:pPr>
              <w:pStyle w:val="11"/>
            </w:pPr>
          </w:p>
        </w:tc>
        <w:tc>
          <w:tcPr>
            <w:tcW w:w="4535" w:type="dxa"/>
            <w:vAlign w:val="center"/>
          </w:tcPr>
          <w:p w14:paraId="2A1405DB">
            <w:pPr>
              <w:pStyle w:val="12"/>
            </w:pPr>
            <w:r>
              <w:t>二、外交支出</w:t>
            </w:r>
          </w:p>
        </w:tc>
        <w:tc>
          <w:tcPr>
            <w:tcW w:w="2126" w:type="dxa"/>
            <w:vAlign w:val="center"/>
          </w:tcPr>
          <w:p w14:paraId="21278275">
            <w:pPr>
              <w:pStyle w:val="11"/>
            </w:pPr>
          </w:p>
        </w:tc>
      </w:tr>
      <w:tr w14:paraId="12A3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21A7">
            <w:pPr>
              <w:pStyle w:val="13"/>
            </w:pPr>
            <w:r>
              <w:t>3</w:t>
            </w:r>
          </w:p>
        </w:tc>
        <w:tc>
          <w:tcPr>
            <w:tcW w:w="4535" w:type="dxa"/>
            <w:vAlign w:val="center"/>
          </w:tcPr>
          <w:p w14:paraId="58B1CEF3">
            <w:pPr>
              <w:pStyle w:val="12"/>
            </w:pPr>
            <w:r>
              <w:t>三、国有资本经营预算拨款收入</w:t>
            </w:r>
          </w:p>
        </w:tc>
        <w:tc>
          <w:tcPr>
            <w:tcW w:w="2126" w:type="dxa"/>
            <w:vAlign w:val="center"/>
          </w:tcPr>
          <w:p w14:paraId="02E835ED">
            <w:pPr>
              <w:pStyle w:val="11"/>
            </w:pPr>
          </w:p>
        </w:tc>
        <w:tc>
          <w:tcPr>
            <w:tcW w:w="4535" w:type="dxa"/>
            <w:vAlign w:val="center"/>
          </w:tcPr>
          <w:p w14:paraId="23AF37B5">
            <w:pPr>
              <w:pStyle w:val="12"/>
            </w:pPr>
            <w:r>
              <w:t>三、国防支出</w:t>
            </w:r>
          </w:p>
        </w:tc>
        <w:tc>
          <w:tcPr>
            <w:tcW w:w="2126" w:type="dxa"/>
            <w:vAlign w:val="center"/>
          </w:tcPr>
          <w:p w14:paraId="42C15031">
            <w:pPr>
              <w:pStyle w:val="11"/>
            </w:pPr>
          </w:p>
        </w:tc>
      </w:tr>
      <w:tr w14:paraId="4403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B83C">
            <w:pPr>
              <w:pStyle w:val="13"/>
            </w:pPr>
            <w:r>
              <w:t>4</w:t>
            </w:r>
          </w:p>
        </w:tc>
        <w:tc>
          <w:tcPr>
            <w:tcW w:w="4535" w:type="dxa"/>
            <w:vAlign w:val="center"/>
          </w:tcPr>
          <w:p w14:paraId="4018B14D">
            <w:pPr>
              <w:pStyle w:val="12"/>
            </w:pPr>
            <w:r>
              <w:t>四、财政专户管理资金收入</w:t>
            </w:r>
          </w:p>
        </w:tc>
        <w:tc>
          <w:tcPr>
            <w:tcW w:w="2126" w:type="dxa"/>
            <w:vAlign w:val="center"/>
          </w:tcPr>
          <w:p w14:paraId="456AF99D">
            <w:pPr>
              <w:pStyle w:val="11"/>
            </w:pPr>
          </w:p>
        </w:tc>
        <w:tc>
          <w:tcPr>
            <w:tcW w:w="4535" w:type="dxa"/>
            <w:vAlign w:val="center"/>
          </w:tcPr>
          <w:p w14:paraId="6CED0F87">
            <w:pPr>
              <w:pStyle w:val="12"/>
            </w:pPr>
            <w:r>
              <w:t>四、公共安全支出</w:t>
            </w:r>
          </w:p>
        </w:tc>
        <w:tc>
          <w:tcPr>
            <w:tcW w:w="2126" w:type="dxa"/>
            <w:vAlign w:val="center"/>
          </w:tcPr>
          <w:p w14:paraId="03D2C45F">
            <w:pPr>
              <w:pStyle w:val="11"/>
            </w:pPr>
          </w:p>
        </w:tc>
      </w:tr>
      <w:tr w14:paraId="1185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9DA0C">
            <w:pPr>
              <w:pStyle w:val="13"/>
            </w:pPr>
            <w:r>
              <w:t>5</w:t>
            </w:r>
          </w:p>
        </w:tc>
        <w:tc>
          <w:tcPr>
            <w:tcW w:w="4535" w:type="dxa"/>
            <w:vAlign w:val="center"/>
          </w:tcPr>
          <w:p w14:paraId="2E587427">
            <w:pPr>
              <w:pStyle w:val="12"/>
            </w:pPr>
            <w:r>
              <w:t>五、单位资金</w:t>
            </w:r>
          </w:p>
        </w:tc>
        <w:tc>
          <w:tcPr>
            <w:tcW w:w="2126" w:type="dxa"/>
            <w:vAlign w:val="center"/>
          </w:tcPr>
          <w:p w14:paraId="628A64B8">
            <w:pPr>
              <w:pStyle w:val="11"/>
            </w:pPr>
          </w:p>
        </w:tc>
        <w:tc>
          <w:tcPr>
            <w:tcW w:w="4535" w:type="dxa"/>
            <w:vAlign w:val="center"/>
          </w:tcPr>
          <w:p w14:paraId="6C280BCA">
            <w:pPr>
              <w:pStyle w:val="12"/>
            </w:pPr>
            <w:r>
              <w:t>五、教育支出</w:t>
            </w:r>
          </w:p>
        </w:tc>
        <w:tc>
          <w:tcPr>
            <w:tcW w:w="2126" w:type="dxa"/>
            <w:vAlign w:val="center"/>
          </w:tcPr>
          <w:p w14:paraId="46210960">
            <w:pPr>
              <w:pStyle w:val="11"/>
            </w:pPr>
            <w:r>
              <w:t>126.30</w:t>
            </w:r>
          </w:p>
        </w:tc>
      </w:tr>
      <w:tr w14:paraId="70F45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1108C">
            <w:pPr>
              <w:pStyle w:val="13"/>
            </w:pPr>
            <w:r>
              <w:t>6</w:t>
            </w:r>
          </w:p>
        </w:tc>
        <w:tc>
          <w:tcPr>
            <w:tcW w:w="4535" w:type="dxa"/>
            <w:vAlign w:val="center"/>
          </w:tcPr>
          <w:p w14:paraId="5C286171">
            <w:pPr>
              <w:pStyle w:val="12"/>
            </w:pPr>
          </w:p>
        </w:tc>
        <w:tc>
          <w:tcPr>
            <w:tcW w:w="2126" w:type="dxa"/>
            <w:vAlign w:val="center"/>
          </w:tcPr>
          <w:p w14:paraId="105D130B">
            <w:pPr>
              <w:pStyle w:val="11"/>
            </w:pPr>
          </w:p>
        </w:tc>
        <w:tc>
          <w:tcPr>
            <w:tcW w:w="4535" w:type="dxa"/>
            <w:vAlign w:val="center"/>
          </w:tcPr>
          <w:p w14:paraId="0C14383C">
            <w:pPr>
              <w:pStyle w:val="12"/>
            </w:pPr>
            <w:r>
              <w:t>六、科学技术支出</w:t>
            </w:r>
          </w:p>
        </w:tc>
        <w:tc>
          <w:tcPr>
            <w:tcW w:w="2126" w:type="dxa"/>
            <w:vAlign w:val="center"/>
          </w:tcPr>
          <w:p w14:paraId="47CFBB0D">
            <w:pPr>
              <w:pStyle w:val="11"/>
            </w:pPr>
          </w:p>
        </w:tc>
      </w:tr>
      <w:tr w14:paraId="4858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0090">
            <w:pPr>
              <w:pStyle w:val="13"/>
            </w:pPr>
            <w:r>
              <w:t>7</w:t>
            </w:r>
          </w:p>
        </w:tc>
        <w:tc>
          <w:tcPr>
            <w:tcW w:w="4535" w:type="dxa"/>
            <w:vAlign w:val="center"/>
          </w:tcPr>
          <w:p w14:paraId="6BA3FF32">
            <w:pPr>
              <w:pStyle w:val="12"/>
            </w:pPr>
          </w:p>
        </w:tc>
        <w:tc>
          <w:tcPr>
            <w:tcW w:w="2126" w:type="dxa"/>
            <w:vAlign w:val="center"/>
          </w:tcPr>
          <w:p w14:paraId="427B61BF">
            <w:pPr>
              <w:pStyle w:val="11"/>
            </w:pPr>
          </w:p>
        </w:tc>
        <w:tc>
          <w:tcPr>
            <w:tcW w:w="4535" w:type="dxa"/>
            <w:vAlign w:val="center"/>
          </w:tcPr>
          <w:p w14:paraId="05012DED">
            <w:pPr>
              <w:pStyle w:val="12"/>
            </w:pPr>
            <w:r>
              <w:t>七、文化旅游体育与传媒支出</w:t>
            </w:r>
          </w:p>
        </w:tc>
        <w:tc>
          <w:tcPr>
            <w:tcW w:w="2126" w:type="dxa"/>
            <w:vAlign w:val="center"/>
          </w:tcPr>
          <w:p w14:paraId="2DA0229A">
            <w:pPr>
              <w:pStyle w:val="11"/>
            </w:pPr>
          </w:p>
        </w:tc>
      </w:tr>
      <w:tr w14:paraId="1FD9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F41D6">
            <w:pPr>
              <w:pStyle w:val="13"/>
            </w:pPr>
            <w:r>
              <w:t>8</w:t>
            </w:r>
          </w:p>
        </w:tc>
        <w:tc>
          <w:tcPr>
            <w:tcW w:w="4535" w:type="dxa"/>
            <w:vAlign w:val="center"/>
          </w:tcPr>
          <w:p w14:paraId="0031FEFC">
            <w:pPr>
              <w:pStyle w:val="12"/>
            </w:pPr>
          </w:p>
        </w:tc>
        <w:tc>
          <w:tcPr>
            <w:tcW w:w="2126" w:type="dxa"/>
            <w:vAlign w:val="center"/>
          </w:tcPr>
          <w:p w14:paraId="6F9BCA95">
            <w:pPr>
              <w:pStyle w:val="11"/>
            </w:pPr>
          </w:p>
        </w:tc>
        <w:tc>
          <w:tcPr>
            <w:tcW w:w="4535" w:type="dxa"/>
            <w:vAlign w:val="center"/>
          </w:tcPr>
          <w:p w14:paraId="6661ED9C">
            <w:pPr>
              <w:pStyle w:val="12"/>
            </w:pPr>
            <w:r>
              <w:t>八、社会保障和就业支出</w:t>
            </w:r>
          </w:p>
        </w:tc>
        <w:tc>
          <w:tcPr>
            <w:tcW w:w="2126" w:type="dxa"/>
            <w:vAlign w:val="center"/>
          </w:tcPr>
          <w:p w14:paraId="08CA37FB">
            <w:pPr>
              <w:pStyle w:val="11"/>
            </w:pPr>
            <w:r>
              <w:t>11.56</w:t>
            </w:r>
          </w:p>
        </w:tc>
      </w:tr>
      <w:tr w14:paraId="5300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F5702">
            <w:pPr>
              <w:pStyle w:val="13"/>
            </w:pPr>
            <w:r>
              <w:t>9</w:t>
            </w:r>
          </w:p>
        </w:tc>
        <w:tc>
          <w:tcPr>
            <w:tcW w:w="4535" w:type="dxa"/>
            <w:vAlign w:val="center"/>
          </w:tcPr>
          <w:p w14:paraId="58B47FED">
            <w:pPr>
              <w:pStyle w:val="12"/>
            </w:pPr>
          </w:p>
        </w:tc>
        <w:tc>
          <w:tcPr>
            <w:tcW w:w="2126" w:type="dxa"/>
            <w:vAlign w:val="center"/>
          </w:tcPr>
          <w:p w14:paraId="10A0DD9B">
            <w:pPr>
              <w:pStyle w:val="11"/>
            </w:pPr>
          </w:p>
        </w:tc>
        <w:tc>
          <w:tcPr>
            <w:tcW w:w="4535" w:type="dxa"/>
            <w:vAlign w:val="center"/>
          </w:tcPr>
          <w:p w14:paraId="168B7F1A">
            <w:pPr>
              <w:pStyle w:val="12"/>
            </w:pPr>
            <w:r>
              <w:t>九、社会保险基金支出</w:t>
            </w:r>
          </w:p>
        </w:tc>
        <w:tc>
          <w:tcPr>
            <w:tcW w:w="2126" w:type="dxa"/>
            <w:vAlign w:val="center"/>
          </w:tcPr>
          <w:p w14:paraId="22886508">
            <w:pPr>
              <w:pStyle w:val="11"/>
            </w:pPr>
          </w:p>
        </w:tc>
      </w:tr>
      <w:tr w14:paraId="2149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BE45">
            <w:pPr>
              <w:pStyle w:val="13"/>
            </w:pPr>
            <w:r>
              <w:t>10</w:t>
            </w:r>
          </w:p>
        </w:tc>
        <w:tc>
          <w:tcPr>
            <w:tcW w:w="4535" w:type="dxa"/>
            <w:vAlign w:val="center"/>
          </w:tcPr>
          <w:p w14:paraId="66921753">
            <w:pPr>
              <w:pStyle w:val="12"/>
            </w:pPr>
          </w:p>
        </w:tc>
        <w:tc>
          <w:tcPr>
            <w:tcW w:w="2126" w:type="dxa"/>
            <w:vAlign w:val="center"/>
          </w:tcPr>
          <w:p w14:paraId="39B50BEE">
            <w:pPr>
              <w:pStyle w:val="11"/>
            </w:pPr>
          </w:p>
        </w:tc>
        <w:tc>
          <w:tcPr>
            <w:tcW w:w="4535" w:type="dxa"/>
            <w:vAlign w:val="center"/>
          </w:tcPr>
          <w:p w14:paraId="4BB35B46">
            <w:pPr>
              <w:pStyle w:val="12"/>
            </w:pPr>
            <w:r>
              <w:t>十、卫生健康支出</w:t>
            </w:r>
          </w:p>
        </w:tc>
        <w:tc>
          <w:tcPr>
            <w:tcW w:w="2126" w:type="dxa"/>
            <w:vAlign w:val="center"/>
          </w:tcPr>
          <w:p w14:paraId="57361C3E">
            <w:pPr>
              <w:pStyle w:val="11"/>
            </w:pPr>
            <w:r>
              <w:t>5.20</w:t>
            </w:r>
          </w:p>
        </w:tc>
      </w:tr>
      <w:tr w14:paraId="0311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C9CC6">
            <w:pPr>
              <w:pStyle w:val="13"/>
            </w:pPr>
            <w:r>
              <w:t>11</w:t>
            </w:r>
          </w:p>
        </w:tc>
        <w:tc>
          <w:tcPr>
            <w:tcW w:w="4535" w:type="dxa"/>
            <w:vAlign w:val="center"/>
          </w:tcPr>
          <w:p w14:paraId="30C663C1">
            <w:pPr>
              <w:pStyle w:val="12"/>
            </w:pPr>
          </w:p>
        </w:tc>
        <w:tc>
          <w:tcPr>
            <w:tcW w:w="2126" w:type="dxa"/>
            <w:vAlign w:val="center"/>
          </w:tcPr>
          <w:p w14:paraId="15FE841B">
            <w:pPr>
              <w:pStyle w:val="11"/>
            </w:pPr>
          </w:p>
        </w:tc>
        <w:tc>
          <w:tcPr>
            <w:tcW w:w="4535" w:type="dxa"/>
            <w:vAlign w:val="center"/>
          </w:tcPr>
          <w:p w14:paraId="0884FEEF">
            <w:pPr>
              <w:pStyle w:val="12"/>
            </w:pPr>
            <w:r>
              <w:t>十一、节能环保支出</w:t>
            </w:r>
          </w:p>
        </w:tc>
        <w:tc>
          <w:tcPr>
            <w:tcW w:w="2126" w:type="dxa"/>
            <w:vAlign w:val="center"/>
          </w:tcPr>
          <w:p w14:paraId="62ADCEBA">
            <w:pPr>
              <w:pStyle w:val="11"/>
            </w:pPr>
          </w:p>
        </w:tc>
      </w:tr>
      <w:tr w14:paraId="252A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D53D">
            <w:pPr>
              <w:pStyle w:val="13"/>
            </w:pPr>
            <w:r>
              <w:t>12</w:t>
            </w:r>
          </w:p>
        </w:tc>
        <w:tc>
          <w:tcPr>
            <w:tcW w:w="4535" w:type="dxa"/>
            <w:vAlign w:val="center"/>
          </w:tcPr>
          <w:p w14:paraId="1D422FA5">
            <w:pPr>
              <w:pStyle w:val="12"/>
            </w:pPr>
          </w:p>
        </w:tc>
        <w:tc>
          <w:tcPr>
            <w:tcW w:w="2126" w:type="dxa"/>
            <w:vAlign w:val="center"/>
          </w:tcPr>
          <w:p w14:paraId="3FBC3C4F">
            <w:pPr>
              <w:pStyle w:val="11"/>
            </w:pPr>
          </w:p>
        </w:tc>
        <w:tc>
          <w:tcPr>
            <w:tcW w:w="4535" w:type="dxa"/>
            <w:vAlign w:val="center"/>
          </w:tcPr>
          <w:p w14:paraId="4417BA1A">
            <w:pPr>
              <w:pStyle w:val="12"/>
            </w:pPr>
            <w:r>
              <w:t>十二、城乡社区支出</w:t>
            </w:r>
          </w:p>
        </w:tc>
        <w:tc>
          <w:tcPr>
            <w:tcW w:w="2126" w:type="dxa"/>
            <w:vAlign w:val="center"/>
          </w:tcPr>
          <w:p w14:paraId="26A9C5FF">
            <w:pPr>
              <w:pStyle w:val="11"/>
            </w:pPr>
          </w:p>
        </w:tc>
      </w:tr>
      <w:tr w14:paraId="1C65B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9B61">
            <w:pPr>
              <w:pStyle w:val="13"/>
            </w:pPr>
            <w:r>
              <w:t>13</w:t>
            </w:r>
          </w:p>
        </w:tc>
        <w:tc>
          <w:tcPr>
            <w:tcW w:w="4535" w:type="dxa"/>
            <w:vAlign w:val="center"/>
          </w:tcPr>
          <w:p w14:paraId="7E56DCE1">
            <w:pPr>
              <w:pStyle w:val="12"/>
            </w:pPr>
          </w:p>
        </w:tc>
        <w:tc>
          <w:tcPr>
            <w:tcW w:w="2126" w:type="dxa"/>
            <w:vAlign w:val="center"/>
          </w:tcPr>
          <w:p w14:paraId="669AF463">
            <w:pPr>
              <w:pStyle w:val="11"/>
            </w:pPr>
          </w:p>
        </w:tc>
        <w:tc>
          <w:tcPr>
            <w:tcW w:w="4535" w:type="dxa"/>
            <w:vAlign w:val="center"/>
          </w:tcPr>
          <w:p w14:paraId="278C4620">
            <w:pPr>
              <w:pStyle w:val="12"/>
            </w:pPr>
            <w:r>
              <w:t>十三、农林水支出</w:t>
            </w:r>
          </w:p>
        </w:tc>
        <w:tc>
          <w:tcPr>
            <w:tcW w:w="2126" w:type="dxa"/>
            <w:vAlign w:val="center"/>
          </w:tcPr>
          <w:p w14:paraId="593C2573">
            <w:pPr>
              <w:pStyle w:val="11"/>
            </w:pPr>
          </w:p>
        </w:tc>
      </w:tr>
      <w:tr w14:paraId="179E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24C66">
            <w:pPr>
              <w:pStyle w:val="13"/>
            </w:pPr>
            <w:r>
              <w:t>14</w:t>
            </w:r>
          </w:p>
        </w:tc>
        <w:tc>
          <w:tcPr>
            <w:tcW w:w="4535" w:type="dxa"/>
            <w:vAlign w:val="center"/>
          </w:tcPr>
          <w:p w14:paraId="42D1F8D3">
            <w:pPr>
              <w:pStyle w:val="12"/>
            </w:pPr>
          </w:p>
        </w:tc>
        <w:tc>
          <w:tcPr>
            <w:tcW w:w="2126" w:type="dxa"/>
            <w:vAlign w:val="center"/>
          </w:tcPr>
          <w:p w14:paraId="0CE2F694">
            <w:pPr>
              <w:pStyle w:val="11"/>
            </w:pPr>
          </w:p>
        </w:tc>
        <w:tc>
          <w:tcPr>
            <w:tcW w:w="4535" w:type="dxa"/>
            <w:vAlign w:val="center"/>
          </w:tcPr>
          <w:p w14:paraId="0C91A46C">
            <w:pPr>
              <w:pStyle w:val="12"/>
            </w:pPr>
            <w:r>
              <w:t>十四、交通运输支出</w:t>
            </w:r>
          </w:p>
        </w:tc>
        <w:tc>
          <w:tcPr>
            <w:tcW w:w="2126" w:type="dxa"/>
            <w:vAlign w:val="center"/>
          </w:tcPr>
          <w:p w14:paraId="47583C4E">
            <w:pPr>
              <w:pStyle w:val="11"/>
            </w:pPr>
          </w:p>
        </w:tc>
      </w:tr>
      <w:tr w14:paraId="437A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5EEFD">
            <w:pPr>
              <w:pStyle w:val="13"/>
            </w:pPr>
            <w:r>
              <w:t>15</w:t>
            </w:r>
          </w:p>
        </w:tc>
        <w:tc>
          <w:tcPr>
            <w:tcW w:w="4535" w:type="dxa"/>
            <w:vAlign w:val="center"/>
          </w:tcPr>
          <w:p w14:paraId="015C6C6B">
            <w:pPr>
              <w:pStyle w:val="12"/>
            </w:pPr>
          </w:p>
        </w:tc>
        <w:tc>
          <w:tcPr>
            <w:tcW w:w="2126" w:type="dxa"/>
            <w:vAlign w:val="center"/>
          </w:tcPr>
          <w:p w14:paraId="3711FAEA">
            <w:pPr>
              <w:pStyle w:val="11"/>
            </w:pPr>
          </w:p>
        </w:tc>
        <w:tc>
          <w:tcPr>
            <w:tcW w:w="4535" w:type="dxa"/>
            <w:vAlign w:val="center"/>
          </w:tcPr>
          <w:p w14:paraId="08A5B9A2">
            <w:pPr>
              <w:pStyle w:val="12"/>
            </w:pPr>
            <w:r>
              <w:t>十五、资源勘探工业信息等支出</w:t>
            </w:r>
          </w:p>
        </w:tc>
        <w:tc>
          <w:tcPr>
            <w:tcW w:w="2126" w:type="dxa"/>
            <w:vAlign w:val="center"/>
          </w:tcPr>
          <w:p w14:paraId="603B8242">
            <w:pPr>
              <w:pStyle w:val="11"/>
            </w:pPr>
          </w:p>
        </w:tc>
      </w:tr>
      <w:tr w14:paraId="7AFC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5252A">
            <w:pPr>
              <w:pStyle w:val="13"/>
            </w:pPr>
            <w:r>
              <w:t>16</w:t>
            </w:r>
          </w:p>
        </w:tc>
        <w:tc>
          <w:tcPr>
            <w:tcW w:w="4535" w:type="dxa"/>
            <w:vAlign w:val="center"/>
          </w:tcPr>
          <w:p w14:paraId="6BD0FE1D">
            <w:pPr>
              <w:pStyle w:val="12"/>
            </w:pPr>
          </w:p>
        </w:tc>
        <w:tc>
          <w:tcPr>
            <w:tcW w:w="2126" w:type="dxa"/>
            <w:vAlign w:val="center"/>
          </w:tcPr>
          <w:p w14:paraId="1EA0FD1E">
            <w:pPr>
              <w:pStyle w:val="11"/>
            </w:pPr>
          </w:p>
        </w:tc>
        <w:tc>
          <w:tcPr>
            <w:tcW w:w="4535" w:type="dxa"/>
            <w:vAlign w:val="center"/>
          </w:tcPr>
          <w:p w14:paraId="5FDE86D4">
            <w:pPr>
              <w:pStyle w:val="12"/>
            </w:pPr>
            <w:r>
              <w:t>十六、商业服务业等支出</w:t>
            </w:r>
          </w:p>
        </w:tc>
        <w:tc>
          <w:tcPr>
            <w:tcW w:w="2126" w:type="dxa"/>
            <w:vAlign w:val="center"/>
          </w:tcPr>
          <w:p w14:paraId="2DB16C4B">
            <w:pPr>
              <w:pStyle w:val="11"/>
            </w:pPr>
          </w:p>
        </w:tc>
      </w:tr>
      <w:tr w14:paraId="5D8C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7DF39">
            <w:pPr>
              <w:pStyle w:val="13"/>
            </w:pPr>
            <w:r>
              <w:t>17</w:t>
            </w:r>
          </w:p>
        </w:tc>
        <w:tc>
          <w:tcPr>
            <w:tcW w:w="4535" w:type="dxa"/>
            <w:vAlign w:val="center"/>
          </w:tcPr>
          <w:p w14:paraId="7D7B25EB">
            <w:pPr>
              <w:pStyle w:val="12"/>
            </w:pPr>
          </w:p>
        </w:tc>
        <w:tc>
          <w:tcPr>
            <w:tcW w:w="2126" w:type="dxa"/>
            <w:vAlign w:val="center"/>
          </w:tcPr>
          <w:p w14:paraId="1F104AEA">
            <w:pPr>
              <w:pStyle w:val="11"/>
            </w:pPr>
          </w:p>
        </w:tc>
        <w:tc>
          <w:tcPr>
            <w:tcW w:w="4535" w:type="dxa"/>
            <w:vAlign w:val="center"/>
          </w:tcPr>
          <w:p w14:paraId="3333D52C">
            <w:pPr>
              <w:pStyle w:val="12"/>
            </w:pPr>
            <w:r>
              <w:t>十七、金融支出</w:t>
            </w:r>
          </w:p>
        </w:tc>
        <w:tc>
          <w:tcPr>
            <w:tcW w:w="2126" w:type="dxa"/>
            <w:vAlign w:val="center"/>
          </w:tcPr>
          <w:p w14:paraId="2570CF0E">
            <w:pPr>
              <w:pStyle w:val="11"/>
            </w:pPr>
          </w:p>
        </w:tc>
      </w:tr>
      <w:tr w14:paraId="67E8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C01EA">
            <w:pPr>
              <w:pStyle w:val="13"/>
            </w:pPr>
            <w:r>
              <w:t>18</w:t>
            </w:r>
          </w:p>
        </w:tc>
        <w:tc>
          <w:tcPr>
            <w:tcW w:w="4535" w:type="dxa"/>
            <w:vAlign w:val="center"/>
          </w:tcPr>
          <w:p w14:paraId="42919CA5">
            <w:pPr>
              <w:pStyle w:val="12"/>
            </w:pPr>
          </w:p>
        </w:tc>
        <w:tc>
          <w:tcPr>
            <w:tcW w:w="2126" w:type="dxa"/>
            <w:vAlign w:val="center"/>
          </w:tcPr>
          <w:p w14:paraId="59D4E18A">
            <w:pPr>
              <w:pStyle w:val="11"/>
            </w:pPr>
          </w:p>
        </w:tc>
        <w:tc>
          <w:tcPr>
            <w:tcW w:w="4535" w:type="dxa"/>
            <w:vAlign w:val="center"/>
          </w:tcPr>
          <w:p w14:paraId="482C848F">
            <w:pPr>
              <w:pStyle w:val="12"/>
            </w:pPr>
            <w:r>
              <w:t>十八、援助其他地区支出</w:t>
            </w:r>
          </w:p>
        </w:tc>
        <w:tc>
          <w:tcPr>
            <w:tcW w:w="2126" w:type="dxa"/>
            <w:vAlign w:val="center"/>
          </w:tcPr>
          <w:p w14:paraId="5CAE0C50">
            <w:pPr>
              <w:pStyle w:val="11"/>
            </w:pPr>
          </w:p>
        </w:tc>
      </w:tr>
      <w:tr w14:paraId="09D7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7663E">
            <w:pPr>
              <w:pStyle w:val="13"/>
            </w:pPr>
            <w:r>
              <w:t>19</w:t>
            </w:r>
          </w:p>
        </w:tc>
        <w:tc>
          <w:tcPr>
            <w:tcW w:w="4535" w:type="dxa"/>
            <w:vAlign w:val="center"/>
          </w:tcPr>
          <w:p w14:paraId="24E9503F">
            <w:pPr>
              <w:pStyle w:val="12"/>
            </w:pPr>
          </w:p>
        </w:tc>
        <w:tc>
          <w:tcPr>
            <w:tcW w:w="2126" w:type="dxa"/>
            <w:vAlign w:val="center"/>
          </w:tcPr>
          <w:p w14:paraId="5E58979D">
            <w:pPr>
              <w:pStyle w:val="11"/>
            </w:pPr>
          </w:p>
        </w:tc>
        <w:tc>
          <w:tcPr>
            <w:tcW w:w="4535" w:type="dxa"/>
            <w:vAlign w:val="center"/>
          </w:tcPr>
          <w:p w14:paraId="7AB6B6D2">
            <w:pPr>
              <w:pStyle w:val="12"/>
            </w:pPr>
            <w:r>
              <w:t>十九、自然资源海洋气象等支出</w:t>
            </w:r>
          </w:p>
        </w:tc>
        <w:tc>
          <w:tcPr>
            <w:tcW w:w="2126" w:type="dxa"/>
            <w:vAlign w:val="center"/>
          </w:tcPr>
          <w:p w14:paraId="57452C19">
            <w:pPr>
              <w:pStyle w:val="11"/>
            </w:pPr>
          </w:p>
        </w:tc>
      </w:tr>
      <w:tr w14:paraId="0F59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4766">
            <w:pPr>
              <w:pStyle w:val="13"/>
            </w:pPr>
            <w:r>
              <w:t>20</w:t>
            </w:r>
          </w:p>
        </w:tc>
        <w:tc>
          <w:tcPr>
            <w:tcW w:w="4535" w:type="dxa"/>
            <w:vAlign w:val="center"/>
          </w:tcPr>
          <w:p w14:paraId="3D76ECCA">
            <w:pPr>
              <w:pStyle w:val="12"/>
            </w:pPr>
          </w:p>
        </w:tc>
        <w:tc>
          <w:tcPr>
            <w:tcW w:w="2126" w:type="dxa"/>
            <w:vAlign w:val="center"/>
          </w:tcPr>
          <w:p w14:paraId="5F2DA997">
            <w:pPr>
              <w:pStyle w:val="11"/>
            </w:pPr>
          </w:p>
        </w:tc>
        <w:tc>
          <w:tcPr>
            <w:tcW w:w="4535" w:type="dxa"/>
            <w:vAlign w:val="center"/>
          </w:tcPr>
          <w:p w14:paraId="647B59EA">
            <w:pPr>
              <w:pStyle w:val="12"/>
            </w:pPr>
            <w:r>
              <w:t>二十、住房保障支出</w:t>
            </w:r>
          </w:p>
        </w:tc>
        <w:tc>
          <w:tcPr>
            <w:tcW w:w="2126" w:type="dxa"/>
            <w:vAlign w:val="center"/>
          </w:tcPr>
          <w:p w14:paraId="480AD5E1">
            <w:pPr>
              <w:pStyle w:val="11"/>
            </w:pPr>
          </w:p>
        </w:tc>
      </w:tr>
      <w:tr w14:paraId="1236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93B4">
            <w:pPr>
              <w:pStyle w:val="13"/>
            </w:pPr>
            <w:r>
              <w:t>21</w:t>
            </w:r>
          </w:p>
        </w:tc>
        <w:tc>
          <w:tcPr>
            <w:tcW w:w="4535" w:type="dxa"/>
            <w:vAlign w:val="center"/>
          </w:tcPr>
          <w:p w14:paraId="1867EACF">
            <w:pPr>
              <w:pStyle w:val="12"/>
            </w:pPr>
          </w:p>
        </w:tc>
        <w:tc>
          <w:tcPr>
            <w:tcW w:w="2126" w:type="dxa"/>
            <w:vAlign w:val="center"/>
          </w:tcPr>
          <w:p w14:paraId="79E67AD2">
            <w:pPr>
              <w:pStyle w:val="11"/>
            </w:pPr>
          </w:p>
        </w:tc>
        <w:tc>
          <w:tcPr>
            <w:tcW w:w="4535" w:type="dxa"/>
            <w:vAlign w:val="center"/>
          </w:tcPr>
          <w:p w14:paraId="3F42C9D1">
            <w:pPr>
              <w:pStyle w:val="12"/>
            </w:pPr>
            <w:r>
              <w:t>二十一、粮油物资储备支出</w:t>
            </w:r>
          </w:p>
        </w:tc>
        <w:tc>
          <w:tcPr>
            <w:tcW w:w="2126" w:type="dxa"/>
            <w:vAlign w:val="center"/>
          </w:tcPr>
          <w:p w14:paraId="045AC309">
            <w:pPr>
              <w:pStyle w:val="11"/>
            </w:pPr>
          </w:p>
        </w:tc>
      </w:tr>
      <w:tr w14:paraId="05C5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4C938">
            <w:pPr>
              <w:pStyle w:val="13"/>
            </w:pPr>
            <w:r>
              <w:t>22</w:t>
            </w:r>
          </w:p>
        </w:tc>
        <w:tc>
          <w:tcPr>
            <w:tcW w:w="4535" w:type="dxa"/>
            <w:vAlign w:val="center"/>
          </w:tcPr>
          <w:p w14:paraId="01E24D6F">
            <w:pPr>
              <w:pStyle w:val="12"/>
            </w:pPr>
          </w:p>
        </w:tc>
        <w:tc>
          <w:tcPr>
            <w:tcW w:w="2126" w:type="dxa"/>
            <w:vAlign w:val="center"/>
          </w:tcPr>
          <w:p w14:paraId="60464D7E">
            <w:pPr>
              <w:pStyle w:val="11"/>
            </w:pPr>
          </w:p>
        </w:tc>
        <w:tc>
          <w:tcPr>
            <w:tcW w:w="4535" w:type="dxa"/>
            <w:vAlign w:val="center"/>
          </w:tcPr>
          <w:p w14:paraId="7E19DC74">
            <w:pPr>
              <w:pStyle w:val="12"/>
            </w:pPr>
            <w:r>
              <w:t>二十二、国有资本经营预算支出</w:t>
            </w:r>
          </w:p>
        </w:tc>
        <w:tc>
          <w:tcPr>
            <w:tcW w:w="2126" w:type="dxa"/>
            <w:vAlign w:val="center"/>
          </w:tcPr>
          <w:p w14:paraId="1360C8E6">
            <w:pPr>
              <w:pStyle w:val="11"/>
            </w:pPr>
          </w:p>
        </w:tc>
      </w:tr>
      <w:tr w14:paraId="018F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5090B">
            <w:pPr>
              <w:pStyle w:val="13"/>
            </w:pPr>
            <w:r>
              <w:t>23</w:t>
            </w:r>
          </w:p>
        </w:tc>
        <w:tc>
          <w:tcPr>
            <w:tcW w:w="4535" w:type="dxa"/>
            <w:vAlign w:val="center"/>
          </w:tcPr>
          <w:p w14:paraId="32B8EDF9">
            <w:pPr>
              <w:pStyle w:val="12"/>
            </w:pPr>
          </w:p>
        </w:tc>
        <w:tc>
          <w:tcPr>
            <w:tcW w:w="2126" w:type="dxa"/>
            <w:vAlign w:val="center"/>
          </w:tcPr>
          <w:p w14:paraId="64179CA4">
            <w:pPr>
              <w:pStyle w:val="11"/>
            </w:pPr>
          </w:p>
        </w:tc>
        <w:tc>
          <w:tcPr>
            <w:tcW w:w="4535" w:type="dxa"/>
            <w:vAlign w:val="center"/>
          </w:tcPr>
          <w:p w14:paraId="35DB2AD2">
            <w:pPr>
              <w:pStyle w:val="12"/>
            </w:pPr>
            <w:r>
              <w:t>二十三、灾害防治及应急管理支出</w:t>
            </w:r>
          </w:p>
        </w:tc>
        <w:tc>
          <w:tcPr>
            <w:tcW w:w="2126" w:type="dxa"/>
            <w:vAlign w:val="center"/>
          </w:tcPr>
          <w:p w14:paraId="5A6CB470">
            <w:pPr>
              <w:pStyle w:val="11"/>
            </w:pPr>
          </w:p>
        </w:tc>
      </w:tr>
      <w:tr w14:paraId="6E28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526E6">
            <w:pPr>
              <w:pStyle w:val="13"/>
            </w:pPr>
            <w:r>
              <w:t>24</w:t>
            </w:r>
          </w:p>
        </w:tc>
        <w:tc>
          <w:tcPr>
            <w:tcW w:w="4535" w:type="dxa"/>
            <w:vAlign w:val="center"/>
          </w:tcPr>
          <w:p w14:paraId="4B59ED43">
            <w:pPr>
              <w:pStyle w:val="12"/>
            </w:pPr>
          </w:p>
        </w:tc>
        <w:tc>
          <w:tcPr>
            <w:tcW w:w="2126" w:type="dxa"/>
            <w:vAlign w:val="center"/>
          </w:tcPr>
          <w:p w14:paraId="7749E19B">
            <w:pPr>
              <w:pStyle w:val="11"/>
            </w:pPr>
          </w:p>
        </w:tc>
        <w:tc>
          <w:tcPr>
            <w:tcW w:w="4535" w:type="dxa"/>
            <w:vAlign w:val="center"/>
          </w:tcPr>
          <w:p w14:paraId="19872DD5">
            <w:pPr>
              <w:pStyle w:val="12"/>
            </w:pPr>
            <w:r>
              <w:t>二十四、预备费</w:t>
            </w:r>
          </w:p>
        </w:tc>
        <w:tc>
          <w:tcPr>
            <w:tcW w:w="2126" w:type="dxa"/>
            <w:vAlign w:val="center"/>
          </w:tcPr>
          <w:p w14:paraId="275514CC">
            <w:pPr>
              <w:pStyle w:val="11"/>
            </w:pPr>
          </w:p>
        </w:tc>
      </w:tr>
      <w:tr w14:paraId="2A5C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76ED">
            <w:pPr>
              <w:pStyle w:val="13"/>
            </w:pPr>
            <w:r>
              <w:t>25</w:t>
            </w:r>
          </w:p>
        </w:tc>
        <w:tc>
          <w:tcPr>
            <w:tcW w:w="4535" w:type="dxa"/>
            <w:vAlign w:val="center"/>
          </w:tcPr>
          <w:p w14:paraId="6BDC98EC">
            <w:pPr>
              <w:pStyle w:val="12"/>
            </w:pPr>
          </w:p>
        </w:tc>
        <w:tc>
          <w:tcPr>
            <w:tcW w:w="2126" w:type="dxa"/>
            <w:vAlign w:val="center"/>
          </w:tcPr>
          <w:p w14:paraId="5ED6C4AD">
            <w:pPr>
              <w:pStyle w:val="11"/>
            </w:pPr>
          </w:p>
        </w:tc>
        <w:tc>
          <w:tcPr>
            <w:tcW w:w="4535" w:type="dxa"/>
            <w:vAlign w:val="center"/>
          </w:tcPr>
          <w:p w14:paraId="4FDD8A20">
            <w:pPr>
              <w:pStyle w:val="12"/>
            </w:pPr>
            <w:r>
              <w:t>二十五、其他支出</w:t>
            </w:r>
          </w:p>
        </w:tc>
        <w:tc>
          <w:tcPr>
            <w:tcW w:w="2126" w:type="dxa"/>
            <w:vAlign w:val="center"/>
          </w:tcPr>
          <w:p w14:paraId="024E711A">
            <w:pPr>
              <w:pStyle w:val="11"/>
            </w:pPr>
          </w:p>
        </w:tc>
      </w:tr>
      <w:tr w14:paraId="04E6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FD186">
            <w:pPr>
              <w:pStyle w:val="13"/>
            </w:pPr>
            <w:r>
              <w:t>26</w:t>
            </w:r>
          </w:p>
        </w:tc>
        <w:tc>
          <w:tcPr>
            <w:tcW w:w="4535" w:type="dxa"/>
            <w:vAlign w:val="center"/>
          </w:tcPr>
          <w:p w14:paraId="40163661">
            <w:pPr>
              <w:pStyle w:val="12"/>
            </w:pPr>
          </w:p>
        </w:tc>
        <w:tc>
          <w:tcPr>
            <w:tcW w:w="2126" w:type="dxa"/>
            <w:vAlign w:val="center"/>
          </w:tcPr>
          <w:p w14:paraId="6BF22637">
            <w:pPr>
              <w:pStyle w:val="11"/>
            </w:pPr>
          </w:p>
        </w:tc>
        <w:tc>
          <w:tcPr>
            <w:tcW w:w="4535" w:type="dxa"/>
            <w:vAlign w:val="center"/>
          </w:tcPr>
          <w:p w14:paraId="515EE123">
            <w:pPr>
              <w:pStyle w:val="12"/>
            </w:pPr>
            <w:r>
              <w:t>二十六、转移性支出</w:t>
            </w:r>
          </w:p>
        </w:tc>
        <w:tc>
          <w:tcPr>
            <w:tcW w:w="2126" w:type="dxa"/>
            <w:vAlign w:val="center"/>
          </w:tcPr>
          <w:p w14:paraId="63B4B1D6">
            <w:pPr>
              <w:pStyle w:val="11"/>
            </w:pPr>
          </w:p>
        </w:tc>
      </w:tr>
      <w:tr w14:paraId="6799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C5D1">
            <w:pPr>
              <w:pStyle w:val="13"/>
            </w:pPr>
            <w:r>
              <w:t>27</w:t>
            </w:r>
          </w:p>
        </w:tc>
        <w:tc>
          <w:tcPr>
            <w:tcW w:w="4535" w:type="dxa"/>
            <w:vAlign w:val="center"/>
          </w:tcPr>
          <w:p w14:paraId="7068E23D">
            <w:pPr>
              <w:pStyle w:val="12"/>
            </w:pPr>
          </w:p>
        </w:tc>
        <w:tc>
          <w:tcPr>
            <w:tcW w:w="2126" w:type="dxa"/>
            <w:vAlign w:val="center"/>
          </w:tcPr>
          <w:p w14:paraId="4C54D69F">
            <w:pPr>
              <w:pStyle w:val="11"/>
            </w:pPr>
          </w:p>
        </w:tc>
        <w:tc>
          <w:tcPr>
            <w:tcW w:w="4535" w:type="dxa"/>
            <w:vAlign w:val="center"/>
          </w:tcPr>
          <w:p w14:paraId="78F2C1B0">
            <w:pPr>
              <w:pStyle w:val="12"/>
            </w:pPr>
            <w:r>
              <w:t>二十七、债务还本支出</w:t>
            </w:r>
          </w:p>
        </w:tc>
        <w:tc>
          <w:tcPr>
            <w:tcW w:w="2126" w:type="dxa"/>
            <w:vAlign w:val="center"/>
          </w:tcPr>
          <w:p w14:paraId="5E359CAE">
            <w:pPr>
              <w:pStyle w:val="11"/>
            </w:pPr>
          </w:p>
        </w:tc>
      </w:tr>
      <w:tr w14:paraId="71CD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4BE74">
            <w:pPr>
              <w:pStyle w:val="13"/>
            </w:pPr>
            <w:r>
              <w:t>28</w:t>
            </w:r>
          </w:p>
        </w:tc>
        <w:tc>
          <w:tcPr>
            <w:tcW w:w="4535" w:type="dxa"/>
            <w:vAlign w:val="center"/>
          </w:tcPr>
          <w:p w14:paraId="0AFC0D5A">
            <w:pPr>
              <w:pStyle w:val="12"/>
            </w:pPr>
          </w:p>
        </w:tc>
        <w:tc>
          <w:tcPr>
            <w:tcW w:w="2126" w:type="dxa"/>
            <w:vAlign w:val="center"/>
          </w:tcPr>
          <w:p w14:paraId="2C921832">
            <w:pPr>
              <w:pStyle w:val="11"/>
            </w:pPr>
          </w:p>
        </w:tc>
        <w:tc>
          <w:tcPr>
            <w:tcW w:w="4535" w:type="dxa"/>
            <w:vAlign w:val="center"/>
          </w:tcPr>
          <w:p w14:paraId="519E825E">
            <w:pPr>
              <w:pStyle w:val="12"/>
            </w:pPr>
            <w:r>
              <w:t>二十八、债务付息支出</w:t>
            </w:r>
          </w:p>
        </w:tc>
        <w:tc>
          <w:tcPr>
            <w:tcW w:w="2126" w:type="dxa"/>
            <w:vAlign w:val="center"/>
          </w:tcPr>
          <w:p w14:paraId="3481374C">
            <w:pPr>
              <w:pStyle w:val="11"/>
            </w:pPr>
          </w:p>
        </w:tc>
      </w:tr>
      <w:tr w14:paraId="6F686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5AAA">
            <w:pPr>
              <w:pStyle w:val="13"/>
            </w:pPr>
            <w:r>
              <w:t>29</w:t>
            </w:r>
          </w:p>
        </w:tc>
        <w:tc>
          <w:tcPr>
            <w:tcW w:w="4535" w:type="dxa"/>
            <w:vAlign w:val="center"/>
          </w:tcPr>
          <w:p w14:paraId="68D5997E">
            <w:pPr>
              <w:pStyle w:val="12"/>
            </w:pPr>
          </w:p>
        </w:tc>
        <w:tc>
          <w:tcPr>
            <w:tcW w:w="2126" w:type="dxa"/>
            <w:vAlign w:val="center"/>
          </w:tcPr>
          <w:p w14:paraId="5E071B9B">
            <w:pPr>
              <w:pStyle w:val="11"/>
            </w:pPr>
          </w:p>
        </w:tc>
        <w:tc>
          <w:tcPr>
            <w:tcW w:w="4535" w:type="dxa"/>
            <w:vAlign w:val="center"/>
          </w:tcPr>
          <w:p w14:paraId="155155C1">
            <w:pPr>
              <w:pStyle w:val="12"/>
            </w:pPr>
            <w:r>
              <w:t>二十九、债务发行费用支出</w:t>
            </w:r>
          </w:p>
        </w:tc>
        <w:tc>
          <w:tcPr>
            <w:tcW w:w="2126" w:type="dxa"/>
            <w:vAlign w:val="center"/>
          </w:tcPr>
          <w:p w14:paraId="1ED8D0C4">
            <w:pPr>
              <w:pStyle w:val="11"/>
            </w:pPr>
          </w:p>
        </w:tc>
      </w:tr>
      <w:tr w14:paraId="18E9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45611">
            <w:pPr>
              <w:pStyle w:val="13"/>
            </w:pPr>
            <w:r>
              <w:t>30</w:t>
            </w:r>
          </w:p>
        </w:tc>
        <w:tc>
          <w:tcPr>
            <w:tcW w:w="4535" w:type="dxa"/>
            <w:vAlign w:val="center"/>
          </w:tcPr>
          <w:p w14:paraId="340E90BB">
            <w:pPr>
              <w:pStyle w:val="12"/>
            </w:pPr>
          </w:p>
        </w:tc>
        <w:tc>
          <w:tcPr>
            <w:tcW w:w="2126" w:type="dxa"/>
            <w:vAlign w:val="center"/>
          </w:tcPr>
          <w:p w14:paraId="768FED31">
            <w:pPr>
              <w:pStyle w:val="11"/>
            </w:pPr>
          </w:p>
        </w:tc>
        <w:tc>
          <w:tcPr>
            <w:tcW w:w="4535" w:type="dxa"/>
            <w:vAlign w:val="center"/>
          </w:tcPr>
          <w:p w14:paraId="71C2CB7D">
            <w:pPr>
              <w:pStyle w:val="12"/>
            </w:pPr>
            <w:r>
              <w:t>三十、抗疫特别国债安排的支出</w:t>
            </w:r>
          </w:p>
        </w:tc>
        <w:tc>
          <w:tcPr>
            <w:tcW w:w="2126" w:type="dxa"/>
            <w:vAlign w:val="center"/>
          </w:tcPr>
          <w:p w14:paraId="0CED63CA">
            <w:pPr>
              <w:pStyle w:val="11"/>
            </w:pPr>
          </w:p>
        </w:tc>
      </w:tr>
      <w:tr w14:paraId="3BAB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6FEEA">
            <w:pPr>
              <w:pStyle w:val="13"/>
            </w:pPr>
            <w:r>
              <w:t>31</w:t>
            </w:r>
          </w:p>
        </w:tc>
        <w:tc>
          <w:tcPr>
            <w:tcW w:w="4535" w:type="dxa"/>
            <w:vAlign w:val="center"/>
          </w:tcPr>
          <w:p w14:paraId="0ECBD96A">
            <w:pPr>
              <w:pStyle w:val="14"/>
            </w:pPr>
            <w:r>
              <w:t>本年收入合计</w:t>
            </w:r>
          </w:p>
        </w:tc>
        <w:tc>
          <w:tcPr>
            <w:tcW w:w="2126" w:type="dxa"/>
            <w:vAlign w:val="center"/>
          </w:tcPr>
          <w:p w14:paraId="2AEE8512">
            <w:pPr>
              <w:pStyle w:val="15"/>
            </w:pPr>
            <w:r>
              <w:t>143.06</w:t>
            </w:r>
          </w:p>
        </w:tc>
        <w:tc>
          <w:tcPr>
            <w:tcW w:w="4535" w:type="dxa"/>
            <w:vAlign w:val="center"/>
          </w:tcPr>
          <w:p w14:paraId="78C9CC5C">
            <w:pPr>
              <w:pStyle w:val="14"/>
            </w:pPr>
            <w:r>
              <w:t>本年支出合计</w:t>
            </w:r>
          </w:p>
        </w:tc>
        <w:tc>
          <w:tcPr>
            <w:tcW w:w="2126" w:type="dxa"/>
            <w:vAlign w:val="center"/>
          </w:tcPr>
          <w:p w14:paraId="19C06424">
            <w:pPr>
              <w:pStyle w:val="15"/>
            </w:pPr>
            <w:r>
              <w:t>143.06</w:t>
            </w:r>
          </w:p>
        </w:tc>
      </w:tr>
      <w:tr w14:paraId="370B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1C3E">
            <w:pPr>
              <w:pStyle w:val="13"/>
            </w:pPr>
            <w:r>
              <w:t>32</w:t>
            </w:r>
          </w:p>
        </w:tc>
        <w:tc>
          <w:tcPr>
            <w:tcW w:w="4535" w:type="dxa"/>
            <w:vAlign w:val="center"/>
          </w:tcPr>
          <w:p w14:paraId="1F850399">
            <w:pPr>
              <w:pStyle w:val="12"/>
            </w:pPr>
            <w:r>
              <w:t>上年结转结余</w:t>
            </w:r>
          </w:p>
        </w:tc>
        <w:tc>
          <w:tcPr>
            <w:tcW w:w="2126" w:type="dxa"/>
            <w:vAlign w:val="center"/>
          </w:tcPr>
          <w:p w14:paraId="2413CA4B">
            <w:pPr>
              <w:pStyle w:val="11"/>
            </w:pPr>
          </w:p>
        </w:tc>
        <w:tc>
          <w:tcPr>
            <w:tcW w:w="4535" w:type="dxa"/>
            <w:vAlign w:val="center"/>
          </w:tcPr>
          <w:p w14:paraId="7E15EC37">
            <w:pPr>
              <w:pStyle w:val="12"/>
            </w:pPr>
            <w:r>
              <w:t>年终结转结余</w:t>
            </w:r>
          </w:p>
        </w:tc>
        <w:tc>
          <w:tcPr>
            <w:tcW w:w="2126" w:type="dxa"/>
            <w:vAlign w:val="center"/>
          </w:tcPr>
          <w:p w14:paraId="62D4EB83">
            <w:pPr>
              <w:pStyle w:val="11"/>
            </w:pPr>
          </w:p>
        </w:tc>
      </w:tr>
      <w:tr w14:paraId="22CE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B0CE7">
            <w:pPr>
              <w:pStyle w:val="13"/>
            </w:pPr>
            <w:r>
              <w:t>33</w:t>
            </w:r>
          </w:p>
        </w:tc>
        <w:tc>
          <w:tcPr>
            <w:tcW w:w="4535" w:type="dxa"/>
            <w:vAlign w:val="center"/>
          </w:tcPr>
          <w:p w14:paraId="72450564">
            <w:pPr>
              <w:pStyle w:val="14"/>
            </w:pPr>
            <w:r>
              <w:t>收入总计</w:t>
            </w:r>
          </w:p>
        </w:tc>
        <w:tc>
          <w:tcPr>
            <w:tcW w:w="2126" w:type="dxa"/>
            <w:vAlign w:val="center"/>
          </w:tcPr>
          <w:p w14:paraId="6DA55B9F">
            <w:pPr>
              <w:pStyle w:val="15"/>
            </w:pPr>
            <w:r>
              <w:t>143.06</w:t>
            </w:r>
          </w:p>
        </w:tc>
        <w:tc>
          <w:tcPr>
            <w:tcW w:w="4535" w:type="dxa"/>
            <w:vAlign w:val="center"/>
          </w:tcPr>
          <w:p w14:paraId="54170930">
            <w:pPr>
              <w:pStyle w:val="14"/>
            </w:pPr>
            <w:r>
              <w:t>支出总计</w:t>
            </w:r>
          </w:p>
        </w:tc>
        <w:tc>
          <w:tcPr>
            <w:tcW w:w="2126" w:type="dxa"/>
            <w:vAlign w:val="center"/>
          </w:tcPr>
          <w:p w14:paraId="3111432B">
            <w:pPr>
              <w:pStyle w:val="15"/>
            </w:pPr>
            <w:r>
              <w:t>143.06</w:t>
            </w:r>
          </w:p>
        </w:tc>
      </w:tr>
    </w:tbl>
    <w:p w14:paraId="1AA82CCC">
      <w:pPr>
        <w:sectPr>
          <w:pgSz w:w="16840" w:h="11900" w:orient="landscape"/>
          <w:pgMar w:top="1361" w:right="1020" w:bottom="1134" w:left="1020" w:header="720" w:footer="720" w:gutter="0"/>
          <w:cols w:space="720" w:num="1"/>
        </w:sectPr>
      </w:pPr>
    </w:p>
    <w:p w14:paraId="6A09F3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98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034E7A">
            <w:pPr>
              <w:pStyle w:val="9"/>
            </w:pPr>
            <w:r>
              <w:t>360036隆尧县青少年校外活动中心</w:t>
            </w:r>
          </w:p>
        </w:tc>
        <w:tc>
          <w:tcPr>
            <w:tcW w:w="3402" w:type="dxa"/>
            <w:gridSpan w:val="3"/>
            <w:tcBorders>
              <w:top w:val="single" w:color="FFFFFF" w:sz="6" w:space="0"/>
              <w:left w:val="single" w:color="FFFFFF" w:sz="6" w:space="0"/>
              <w:right w:val="single" w:color="FFFFFF" w:sz="6" w:space="0"/>
            </w:tcBorders>
            <w:vAlign w:val="center"/>
          </w:tcPr>
          <w:p w14:paraId="63B94C0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354B8DD">
            <w:pPr>
              <w:pStyle w:val="7"/>
            </w:pPr>
            <w:r>
              <w:t>单位：万元</w:t>
            </w:r>
          </w:p>
        </w:tc>
      </w:tr>
      <w:tr w14:paraId="1D53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E50F40">
            <w:pPr>
              <w:pStyle w:val="10"/>
            </w:pPr>
            <w:r>
              <w:t>序号</w:t>
            </w:r>
          </w:p>
        </w:tc>
        <w:tc>
          <w:tcPr>
            <w:tcW w:w="2551" w:type="dxa"/>
            <w:gridSpan w:val="2"/>
            <w:vAlign w:val="center"/>
          </w:tcPr>
          <w:p w14:paraId="1D390E56">
            <w:pPr>
              <w:pStyle w:val="10"/>
            </w:pPr>
            <w:r>
              <w:t>功能分类科目</w:t>
            </w:r>
          </w:p>
        </w:tc>
        <w:tc>
          <w:tcPr>
            <w:tcW w:w="1134" w:type="dxa"/>
            <w:vMerge w:val="restart"/>
            <w:vAlign w:val="center"/>
          </w:tcPr>
          <w:p w14:paraId="09D123A6">
            <w:pPr>
              <w:pStyle w:val="10"/>
            </w:pPr>
            <w:r>
              <w:t>合计</w:t>
            </w:r>
          </w:p>
        </w:tc>
        <w:tc>
          <w:tcPr>
            <w:tcW w:w="9072" w:type="dxa"/>
            <w:gridSpan w:val="8"/>
            <w:vAlign w:val="center"/>
          </w:tcPr>
          <w:p w14:paraId="08D54FB7">
            <w:pPr>
              <w:pStyle w:val="10"/>
            </w:pPr>
            <w:r>
              <w:t>本年收入</w:t>
            </w:r>
          </w:p>
        </w:tc>
        <w:tc>
          <w:tcPr>
            <w:tcW w:w="1134" w:type="dxa"/>
            <w:vMerge w:val="restart"/>
            <w:vAlign w:val="center"/>
          </w:tcPr>
          <w:p w14:paraId="203BB434">
            <w:pPr>
              <w:pStyle w:val="10"/>
            </w:pPr>
            <w:r>
              <w:t>上年结转</w:t>
            </w:r>
          </w:p>
        </w:tc>
      </w:tr>
      <w:tr w14:paraId="245A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1B543E"/>
        </w:tc>
        <w:tc>
          <w:tcPr>
            <w:tcW w:w="992" w:type="dxa"/>
            <w:vAlign w:val="center"/>
          </w:tcPr>
          <w:p w14:paraId="217F8585">
            <w:pPr>
              <w:pStyle w:val="10"/>
            </w:pPr>
            <w:r>
              <w:t>科目    编码</w:t>
            </w:r>
          </w:p>
        </w:tc>
        <w:tc>
          <w:tcPr>
            <w:tcW w:w="1559" w:type="dxa"/>
            <w:vAlign w:val="center"/>
          </w:tcPr>
          <w:p w14:paraId="791A4C0C">
            <w:pPr>
              <w:pStyle w:val="10"/>
            </w:pPr>
            <w:r>
              <w:t>科目名称</w:t>
            </w:r>
          </w:p>
        </w:tc>
        <w:tc>
          <w:tcPr>
            <w:tcW w:w="1134" w:type="dxa"/>
            <w:vMerge w:val="continue"/>
          </w:tcPr>
          <w:p w14:paraId="5D1721ED"/>
        </w:tc>
        <w:tc>
          <w:tcPr>
            <w:tcW w:w="1134" w:type="dxa"/>
            <w:vAlign w:val="center"/>
          </w:tcPr>
          <w:p w14:paraId="10FCF57D">
            <w:pPr>
              <w:pStyle w:val="10"/>
            </w:pPr>
            <w:r>
              <w:t>小计</w:t>
            </w:r>
          </w:p>
        </w:tc>
        <w:tc>
          <w:tcPr>
            <w:tcW w:w="1134" w:type="dxa"/>
            <w:vAlign w:val="center"/>
          </w:tcPr>
          <w:p w14:paraId="59867486">
            <w:pPr>
              <w:pStyle w:val="10"/>
            </w:pPr>
            <w:r>
              <w:t>财政拨款 收入</w:t>
            </w:r>
          </w:p>
        </w:tc>
        <w:tc>
          <w:tcPr>
            <w:tcW w:w="1134" w:type="dxa"/>
            <w:vAlign w:val="center"/>
          </w:tcPr>
          <w:p w14:paraId="77BEE604">
            <w:pPr>
              <w:pStyle w:val="10"/>
            </w:pPr>
            <w:r>
              <w:t>财政专户 收入</w:t>
            </w:r>
          </w:p>
        </w:tc>
        <w:tc>
          <w:tcPr>
            <w:tcW w:w="1134" w:type="dxa"/>
            <w:vAlign w:val="center"/>
          </w:tcPr>
          <w:p w14:paraId="77490726">
            <w:pPr>
              <w:pStyle w:val="10"/>
            </w:pPr>
            <w:r>
              <w:t>事业收入</w:t>
            </w:r>
          </w:p>
        </w:tc>
        <w:tc>
          <w:tcPr>
            <w:tcW w:w="1134" w:type="dxa"/>
            <w:vAlign w:val="center"/>
          </w:tcPr>
          <w:p w14:paraId="6B4812DF">
            <w:pPr>
              <w:pStyle w:val="10"/>
            </w:pPr>
            <w:r>
              <w:t>经营收入</w:t>
            </w:r>
          </w:p>
        </w:tc>
        <w:tc>
          <w:tcPr>
            <w:tcW w:w="1134" w:type="dxa"/>
            <w:vAlign w:val="center"/>
          </w:tcPr>
          <w:p w14:paraId="44A3F6E7">
            <w:pPr>
              <w:pStyle w:val="10"/>
            </w:pPr>
            <w:r>
              <w:t>上级补助收入</w:t>
            </w:r>
          </w:p>
        </w:tc>
        <w:tc>
          <w:tcPr>
            <w:tcW w:w="1134" w:type="dxa"/>
            <w:vAlign w:val="center"/>
          </w:tcPr>
          <w:p w14:paraId="2F929DC0">
            <w:pPr>
              <w:pStyle w:val="10"/>
            </w:pPr>
            <w:r>
              <w:t>附属单位上缴收入</w:t>
            </w:r>
          </w:p>
        </w:tc>
        <w:tc>
          <w:tcPr>
            <w:tcW w:w="1134" w:type="dxa"/>
            <w:vAlign w:val="center"/>
          </w:tcPr>
          <w:p w14:paraId="5E011B24">
            <w:pPr>
              <w:pStyle w:val="10"/>
            </w:pPr>
            <w:r>
              <w:t>其他收入</w:t>
            </w:r>
          </w:p>
        </w:tc>
        <w:tc>
          <w:tcPr>
            <w:tcW w:w="1134" w:type="dxa"/>
            <w:vMerge w:val="continue"/>
          </w:tcPr>
          <w:p w14:paraId="5540E2A3"/>
        </w:tc>
      </w:tr>
      <w:tr w14:paraId="1EF8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7BEF14">
            <w:pPr>
              <w:pStyle w:val="10"/>
            </w:pPr>
            <w:r>
              <w:t>栏次</w:t>
            </w:r>
          </w:p>
        </w:tc>
        <w:tc>
          <w:tcPr>
            <w:tcW w:w="992" w:type="dxa"/>
            <w:vAlign w:val="center"/>
          </w:tcPr>
          <w:p w14:paraId="7BDCDCCD">
            <w:pPr>
              <w:pStyle w:val="10"/>
            </w:pPr>
            <w:r>
              <w:t>1</w:t>
            </w:r>
          </w:p>
        </w:tc>
        <w:tc>
          <w:tcPr>
            <w:tcW w:w="1559" w:type="dxa"/>
            <w:vAlign w:val="center"/>
          </w:tcPr>
          <w:p w14:paraId="5996F421">
            <w:pPr>
              <w:pStyle w:val="10"/>
            </w:pPr>
            <w:r>
              <w:t>2</w:t>
            </w:r>
          </w:p>
        </w:tc>
        <w:tc>
          <w:tcPr>
            <w:tcW w:w="1134" w:type="dxa"/>
            <w:vAlign w:val="center"/>
          </w:tcPr>
          <w:p w14:paraId="6CFFDA8D">
            <w:pPr>
              <w:pStyle w:val="10"/>
            </w:pPr>
            <w:r>
              <w:t>3</w:t>
            </w:r>
          </w:p>
        </w:tc>
        <w:tc>
          <w:tcPr>
            <w:tcW w:w="1134" w:type="dxa"/>
            <w:vAlign w:val="center"/>
          </w:tcPr>
          <w:p w14:paraId="3EB33D9D">
            <w:pPr>
              <w:pStyle w:val="10"/>
            </w:pPr>
            <w:r>
              <w:t>4</w:t>
            </w:r>
          </w:p>
        </w:tc>
        <w:tc>
          <w:tcPr>
            <w:tcW w:w="1134" w:type="dxa"/>
            <w:vAlign w:val="center"/>
          </w:tcPr>
          <w:p w14:paraId="0E648B0D">
            <w:pPr>
              <w:pStyle w:val="10"/>
            </w:pPr>
            <w:r>
              <w:t>5</w:t>
            </w:r>
          </w:p>
        </w:tc>
        <w:tc>
          <w:tcPr>
            <w:tcW w:w="1134" w:type="dxa"/>
            <w:vAlign w:val="center"/>
          </w:tcPr>
          <w:p w14:paraId="475611D2">
            <w:pPr>
              <w:pStyle w:val="10"/>
            </w:pPr>
            <w:r>
              <w:t>6</w:t>
            </w:r>
          </w:p>
        </w:tc>
        <w:tc>
          <w:tcPr>
            <w:tcW w:w="1134" w:type="dxa"/>
            <w:vAlign w:val="center"/>
          </w:tcPr>
          <w:p w14:paraId="78FEA634">
            <w:pPr>
              <w:pStyle w:val="10"/>
            </w:pPr>
            <w:r>
              <w:t>7</w:t>
            </w:r>
          </w:p>
        </w:tc>
        <w:tc>
          <w:tcPr>
            <w:tcW w:w="1134" w:type="dxa"/>
            <w:vAlign w:val="center"/>
          </w:tcPr>
          <w:p w14:paraId="7111DE62">
            <w:pPr>
              <w:pStyle w:val="10"/>
            </w:pPr>
            <w:r>
              <w:t>8</w:t>
            </w:r>
          </w:p>
        </w:tc>
        <w:tc>
          <w:tcPr>
            <w:tcW w:w="1134" w:type="dxa"/>
            <w:vAlign w:val="center"/>
          </w:tcPr>
          <w:p w14:paraId="7916E59E">
            <w:pPr>
              <w:pStyle w:val="10"/>
            </w:pPr>
            <w:r>
              <w:t>9</w:t>
            </w:r>
          </w:p>
        </w:tc>
        <w:tc>
          <w:tcPr>
            <w:tcW w:w="1134" w:type="dxa"/>
            <w:vAlign w:val="center"/>
          </w:tcPr>
          <w:p w14:paraId="0DFE7010">
            <w:pPr>
              <w:pStyle w:val="10"/>
            </w:pPr>
            <w:r>
              <w:t>10</w:t>
            </w:r>
          </w:p>
        </w:tc>
        <w:tc>
          <w:tcPr>
            <w:tcW w:w="1134" w:type="dxa"/>
            <w:vAlign w:val="center"/>
          </w:tcPr>
          <w:p w14:paraId="290CAA39">
            <w:pPr>
              <w:pStyle w:val="10"/>
            </w:pPr>
            <w:r>
              <w:t>11</w:t>
            </w:r>
          </w:p>
        </w:tc>
        <w:tc>
          <w:tcPr>
            <w:tcW w:w="1134" w:type="dxa"/>
            <w:vAlign w:val="center"/>
          </w:tcPr>
          <w:p w14:paraId="7EA8A1AC">
            <w:pPr>
              <w:pStyle w:val="10"/>
            </w:pPr>
            <w:r>
              <w:t>12</w:t>
            </w:r>
          </w:p>
        </w:tc>
      </w:tr>
      <w:tr w14:paraId="7BE58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D52E2">
            <w:pPr>
              <w:pStyle w:val="13"/>
            </w:pPr>
            <w:r>
              <w:t>1</w:t>
            </w:r>
          </w:p>
        </w:tc>
        <w:tc>
          <w:tcPr>
            <w:tcW w:w="992" w:type="dxa"/>
            <w:vAlign w:val="center"/>
          </w:tcPr>
          <w:p w14:paraId="4BDABC85">
            <w:pPr>
              <w:pStyle w:val="16"/>
            </w:pPr>
          </w:p>
        </w:tc>
        <w:tc>
          <w:tcPr>
            <w:tcW w:w="1559" w:type="dxa"/>
            <w:vAlign w:val="center"/>
          </w:tcPr>
          <w:p w14:paraId="072B1261">
            <w:pPr>
              <w:pStyle w:val="14"/>
            </w:pPr>
            <w:r>
              <w:t>合计</w:t>
            </w:r>
          </w:p>
        </w:tc>
        <w:tc>
          <w:tcPr>
            <w:tcW w:w="1134" w:type="dxa"/>
            <w:vAlign w:val="center"/>
          </w:tcPr>
          <w:p w14:paraId="6601BC6A">
            <w:pPr>
              <w:pStyle w:val="15"/>
            </w:pPr>
            <w:r>
              <w:t>143.06</w:t>
            </w:r>
          </w:p>
        </w:tc>
        <w:tc>
          <w:tcPr>
            <w:tcW w:w="1134" w:type="dxa"/>
            <w:vAlign w:val="center"/>
          </w:tcPr>
          <w:p w14:paraId="79E44E21">
            <w:pPr>
              <w:pStyle w:val="15"/>
            </w:pPr>
            <w:r>
              <w:t>143.06</w:t>
            </w:r>
          </w:p>
        </w:tc>
        <w:tc>
          <w:tcPr>
            <w:tcW w:w="1134" w:type="dxa"/>
            <w:vAlign w:val="center"/>
          </w:tcPr>
          <w:p w14:paraId="3FB9B48D">
            <w:pPr>
              <w:pStyle w:val="15"/>
            </w:pPr>
            <w:r>
              <w:t>143.06</w:t>
            </w:r>
          </w:p>
        </w:tc>
        <w:tc>
          <w:tcPr>
            <w:tcW w:w="1134" w:type="dxa"/>
            <w:vAlign w:val="center"/>
          </w:tcPr>
          <w:p w14:paraId="274348AB">
            <w:pPr>
              <w:pStyle w:val="15"/>
            </w:pPr>
          </w:p>
        </w:tc>
        <w:tc>
          <w:tcPr>
            <w:tcW w:w="1134" w:type="dxa"/>
            <w:vAlign w:val="center"/>
          </w:tcPr>
          <w:p w14:paraId="1D621C09">
            <w:pPr>
              <w:pStyle w:val="15"/>
            </w:pPr>
          </w:p>
        </w:tc>
        <w:tc>
          <w:tcPr>
            <w:tcW w:w="1134" w:type="dxa"/>
            <w:vAlign w:val="center"/>
          </w:tcPr>
          <w:p w14:paraId="4CC51D36">
            <w:pPr>
              <w:pStyle w:val="15"/>
            </w:pPr>
          </w:p>
        </w:tc>
        <w:tc>
          <w:tcPr>
            <w:tcW w:w="1134" w:type="dxa"/>
            <w:vAlign w:val="center"/>
          </w:tcPr>
          <w:p w14:paraId="3186FDDC">
            <w:pPr>
              <w:pStyle w:val="15"/>
            </w:pPr>
          </w:p>
        </w:tc>
        <w:tc>
          <w:tcPr>
            <w:tcW w:w="1134" w:type="dxa"/>
            <w:vAlign w:val="center"/>
          </w:tcPr>
          <w:p w14:paraId="7E9198D6">
            <w:pPr>
              <w:pStyle w:val="15"/>
            </w:pPr>
          </w:p>
        </w:tc>
        <w:tc>
          <w:tcPr>
            <w:tcW w:w="1134" w:type="dxa"/>
            <w:vAlign w:val="center"/>
          </w:tcPr>
          <w:p w14:paraId="38CF4C12">
            <w:pPr>
              <w:pStyle w:val="15"/>
            </w:pPr>
          </w:p>
        </w:tc>
        <w:tc>
          <w:tcPr>
            <w:tcW w:w="1134" w:type="dxa"/>
            <w:vAlign w:val="center"/>
          </w:tcPr>
          <w:p w14:paraId="5BFEBC99">
            <w:pPr>
              <w:pStyle w:val="15"/>
            </w:pPr>
          </w:p>
        </w:tc>
      </w:tr>
      <w:tr w14:paraId="5152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72A0E">
            <w:pPr>
              <w:pStyle w:val="13"/>
            </w:pPr>
            <w:r>
              <w:t>2</w:t>
            </w:r>
          </w:p>
        </w:tc>
        <w:tc>
          <w:tcPr>
            <w:tcW w:w="992" w:type="dxa"/>
            <w:vAlign w:val="center"/>
          </w:tcPr>
          <w:p w14:paraId="261AD430">
            <w:pPr>
              <w:pStyle w:val="12"/>
            </w:pPr>
            <w:r>
              <w:t>205</w:t>
            </w:r>
          </w:p>
        </w:tc>
        <w:tc>
          <w:tcPr>
            <w:tcW w:w="1559" w:type="dxa"/>
            <w:vAlign w:val="center"/>
          </w:tcPr>
          <w:p w14:paraId="538FFA03">
            <w:pPr>
              <w:pStyle w:val="12"/>
            </w:pPr>
            <w:r>
              <w:t>教育支出</w:t>
            </w:r>
          </w:p>
        </w:tc>
        <w:tc>
          <w:tcPr>
            <w:tcW w:w="1134" w:type="dxa"/>
            <w:vAlign w:val="center"/>
          </w:tcPr>
          <w:p w14:paraId="20054598">
            <w:pPr>
              <w:pStyle w:val="11"/>
            </w:pPr>
            <w:r>
              <w:t>126.30</w:t>
            </w:r>
          </w:p>
        </w:tc>
        <w:tc>
          <w:tcPr>
            <w:tcW w:w="1134" w:type="dxa"/>
            <w:vAlign w:val="center"/>
          </w:tcPr>
          <w:p w14:paraId="6BFFADCE">
            <w:pPr>
              <w:pStyle w:val="11"/>
            </w:pPr>
            <w:r>
              <w:t>126.30</w:t>
            </w:r>
          </w:p>
        </w:tc>
        <w:tc>
          <w:tcPr>
            <w:tcW w:w="1134" w:type="dxa"/>
            <w:vAlign w:val="center"/>
          </w:tcPr>
          <w:p w14:paraId="7E08F3FF">
            <w:pPr>
              <w:pStyle w:val="11"/>
            </w:pPr>
            <w:r>
              <w:t>126.30</w:t>
            </w:r>
          </w:p>
        </w:tc>
        <w:tc>
          <w:tcPr>
            <w:tcW w:w="1134" w:type="dxa"/>
            <w:vAlign w:val="center"/>
          </w:tcPr>
          <w:p w14:paraId="56F3CA32">
            <w:pPr>
              <w:pStyle w:val="11"/>
            </w:pPr>
          </w:p>
        </w:tc>
        <w:tc>
          <w:tcPr>
            <w:tcW w:w="1134" w:type="dxa"/>
            <w:vAlign w:val="center"/>
          </w:tcPr>
          <w:p w14:paraId="5EB52979">
            <w:pPr>
              <w:pStyle w:val="11"/>
            </w:pPr>
          </w:p>
        </w:tc>
        <w:tc>
          <w:tcPr>
            <w:tcW w:w="1134" w:type="dxa"/>
            <w:vAlign w:val="center"/>
          </w:tcPr>
          <w:p w14:paraId="0A0CB9AC">
            <w:pPr>
              <w:pStyle w:val="11"/>
            </w:pPr>
          </w:p>
        </w:tc>
        <w:tc>
          <w:tcPr>
            <w:tcW w:w="1134" w:type="dxa"/>
            <w:vAlign w:val="center"/>
          </w:tcPr>
          <w:p w14:paraId="4137F0A8">
            <w:pPr>
              <w:pStyle w:val="11"/>
            </w:pPr>
          </w:p>
        </w:tc>
        <w:tc>
          <w:tcPr>
            <w:tcW w:w="1134" w:type="dxa"/>
            <w:vAlign w:val="center"/>
          </w:tcPr>
          <w:p w14:paraId="69BDD968">
            <w:pPr>
              <w:pStyle w:val="11"/>
            </w:pPr>
          </w:p>
        </w:tc>
        <w:tc>
          <w:tcPr>
            <w:tcW w:w="1134" w:type="dxa"/>
            <w:vAlign w:val="center"/>
          </w:tcPr>
          <w:p w14:paraId="59AB93D2">
            <w:pPr>
              <w:pStyle w:val="11"/>
            </w:pPr>
          </w:p>
        </w:tc>
        <w:tc>
          <w:tcPr>
            <w:tcW w:w="1134" w:type="dxa"/>
            <w:vAlign w:val="center"/>
          </w:tcPr>
          <w:p w14:paraId="03F1D33A">
            <w:pPr>
              <w:pStyle w:val="11"/>
            </w:pPr>
          </w:p>
        </w:tc>
      </w:tr>
      <w:tr w14:paraId="0089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7BAA6">
            <w:pPr>
              <w:pStyle w:val="13"/>
            </w:pPr>
            <w:r>
              <w:t>3</w:t>
            </w:r>
          </w:p>
        </w:tc>
        <w:tc>
          <w:tcPr>
            <w:tcW w:w="992" w:type="dxa"/>
            <w:vAlign w:val="center"/>
          </w:tcPr>
          <w:p w14:paraId="3DC0543D">
            <w:pPr>
              <w:pStyle w:val="12"/>
            </w:pPr>
            <w:r>
              <w:t>20502</w:t>
            </w:r>
          </w:p>
        </w:tc>
        <w:tc>
          <w:tcPr>
            <w:tcW w:w="1559" w:type="dxa"/>
            <w:vAlign w:val="center"/>
          </w:tcPr>
          <w:p w14:paraId="61B3273F">
            <w:pPr>
              <w:pStyle w:val="12"/>
            </w:pPr>
            <w:r>
              <w:t>普通教育</w:t>
            </w:r>
          </w:p>
        </w:tc>
        <w:tc>
          <w:tcPr>
            <w:tcW w:w="1134" w:type="dxa"/>
            <w:vAlign w:val="center"/>
          </w:tcPr>
          <w:p w14:paraId="7E5ECF05">
            <w:pPr>
              <w:pStyle w:val="11"/>
            </w:pPr>
            <w:r>
              <w:t>126.30</w:t>
            </w:r>
          </w:p>
        </w:tc>
        <w:tc>
          <w:tcPr>
            <w:tcW w:w="1134" w:type="dxa"/>
            <w:vAlign w:val="center"/>
          </w:tcPr>
          <w:p w14:paraId="41F74ADF">
            <w:pPr>
              <w:pStyle w:val="11"/>
            </w:pPr>
            <w:r>
              <w:t>126.30</w:t>
            </w:r>
          </w:p>
        </w:tc>
        <w:tc>
          <w:tcPr>
            <w:tcW w:w="1134" w:type="dxa"/>
            <w:vAlign w:val="center"/>
          </w:tcPr>
          <w:p w14:paraId="0AB7AE20">
            <w:pPr>
              <w:pStyle w:val="11"/>
            </w:pPr>
            <w:r>
              <w:t>126.30</w:t>
            </w:r>
          </w:p>
        </w:tc>
        <w:tc>
          <w:tcPr>
            <w:tcW w:w="1134" w:type="dxa"/>
            <w:vAlign w:val="center"/>
          </w:tcPr>
          <w:p w14:paraId="676645F1">
            <w:pPr>
              <w:pStyle w:val="11"/>
            </w:pPr>
          </w:p>
        </w:tc>
        <w:tc>
          <w:tcPr>
            <w:tcW w:w="1134" w:type="dxa"/>
            <w:vAlign w:val="center"/>
          </w:tcPr>
          <w:p w14:paraId="30DB67BF">
            <w:pPr>
              <w:pStyle w:val="11"/>
            </w:pPr>
          </w:p>
        </w:tc>
        <w:tc>
          <w:tcPr>
            <w:tcW w:w="1134" w:type="dxa"/>
            <w:vAlign w:val="center"/>
          </w:tcPr>
          <w:p w14:paraId="09A0E204">
            <w:pPr>
              <w:pStyle w:val="11"/>
            </w:pPr>
          </w:p>
        </w:tc>
        <w:tc>
          <w:tcPr>
            <w:tcW w:w="1134" w:type="dxa"/>
            <w:vAlign w:val="center"/>
          </w:tcPr>
          <w:p w14:paraId="0E4E8B82">
            <w:pPr>
              <w:pStyle w:val="11"/>
            </w:pPr>
          </w:p>
        </w:tc>
        <w:tc>
          <w:tcPr>
            <w:tcW w:w="1134" w:type="dxa"/>
            <w:vAlign w:val="center"/>
          </w:tcPr>
          <w:p w14:paraId="377FD179">
            <w:pPr>
              <w:pStyle w:val="11"/>
            </w:pPr>
          </w:p>
        </w:tc>
        <w:tc>
          <w:tcPr>
            <w:tcW w:w="1134" w:type="dxa"/>
            <w:vAlign w:val="center"/>
          </w:tcPr>
          <w:p w14:paraId="5702A61D">
            <w:pPr>
              <w:pStyle w:val="11"/>
            </w:pPr>
          </w:p>
        </w:tc>
        <w:tc>
          <w:tcPr>
            <w:tcW w:w="1134" w:type="dxa"/>
            <w:vAlign w:val="center"/>
          </w:tcPr>
          <w:p w14:paraId="0737E503">
            <w:pPr>
              <w:pStyle w:val="11"/>
            </w:pPr>
          </w:p>
        </w:tc>
      </w:tr>
      <w:tr w14:paraId="5C51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D5F2C">
            <w:pPr>
              <w:pStyle w:val="13"/>
            </w:pPr>
            <w:r>
              <w:t>4</w:t>
            </w:r>
          </w:p>
        </w:tc>
        <w:tc>
          <w:tcPr>
            <w:tcW w:w="992" w:type="dxa"/>
            <w:vAlign w:val="center"/>
          </w:tcPr>
          <w:p w14:paraId="12B96622">
            <w:pPr>
              <w:pStyle w:val="12"/>
            </w:pPr>
            <w:r>
              <w:t>2050299</w:t>
            </w:r>
          </w:p>
        </w:tc>
        <w:tc>
          <w:tcPr>
            <w:tcW w:w="1559" w:type="dxa"/>
            <w:vAlign w:val="center"/>
          </w:tcPr>
          <w:p w14:paraId="4003E243">
            <w:pPr>
              <w:pStyle w:val="12"/>
            </w:pPr>
            <w:r>
              <w:t>其他普通教育支出</w:t>
            </w:r>
          </w:p>
        </w:tc>
        <w:tc>
          <w:tcPr>
            <w:tcW w:w="1134" w:type="dxa"/>
            <w:vAlign w:val="center"/>
          </w:tcPr>
          <w:p w14:paraId="1CB575FD">
            <w:pPr>
              <w:pStyle w:val="11"/>
            </w:pPr>
            <w:r>
              <w:t>126.30</w:t>
            </w:r>
          </w:p>
        </w:tc>
        <w:tc>
          <w:tcPr>
            <w:tcW w:w="1134" w:type="dxa"/>
            <w:vAlign w:val="center"/>
          </w:tcPr>
          <w:p w14:paraId="19183B8D">
            <w:pPr>
              <w:pStyle w:val="11"/>
            </w:pPr>
            <w:r>
              <w:t>126.30</w:t>
            </w:r>
          </w:p>
        </w:tc>
        <w:tc>
          <w:tcPr>
            <w:tcW w:w="1134" w:type="dxa"/>
            <w:vAlign w:val="center"/>
          </w:tcPr>
          <w:p w14:paraId="310086B9">
            <w:pPr>
              <w:pStyle w:val="11"/>
            </w:pPr>
            <w:r>
              <w:t>126.30</w:t>
            </w:r>
          </w:p>
        </w:tc>
        <w:tc>
          <w:tcPr>
            <w:tcW w:w="1134" w:type="dxa"/>
            <w:vAlign w:val="center"/>
          </w:tcPr>
          <w:p w14:paraId="7E079EEC">
            <w:pPr>
              <w:pStyle w:val="11"/>
            </w:pPr>
          </w:p>
        </w:tc>
        <w:tc>
          <w:tcPr>
            <w:tcW w:w="1134" w:type="dxa"/>
            <w:vAlign w:val="center"/>
          </w:tcPr>
          <w:p w14:paraId="0F83DEA9">
            <w:pPr>
              <w:pStyle w:val="11"/>
            </w:pPr>
          </w:p>
        </w:tc>
        <w:tc>
          <w:tcPr>
            <w:tcW w:w="1134" w:type="dxa"/>
            <w:vAlign w:val="center"/>
          </w:tcPr>
          <w:p w14:paraId="0D6D8546">
            <w:pPr>
              <w:pStyle w:val="11"/>
            </w:pPr>
          </w:p>
        </w:tc>
        <w:tc>
          <w:tcPr>
            <w:tcW w:w="1134" w:type="dxa"/>
            <w:vAlign w:val="center"/>
          </w:tcPr>
          <w:p w14:paraId="38871914">
            <w:pPr>
              <w:pStyle w:val="11"/>
            </w:pPr>
          </w:p>
        </w:tc>
        <w:tc>
          <w:tcPr>
            <w:tcW w:w="1134" w:type="dxa"/>
            <w:vAlign w:val="center"/>
          </w:tcPr>
          <w:p w14:paraId="03D9A71B">
            <w:pPr>
              <w:pStyle w:val="11"/>
            </w:pPr>
          </w:p>
        </w:tc>
        <w:tc>
          <w:tcPr>
            <w:tcW w:w="1134" w:type="dxa"/>
            <w:vAlign w:val="center"/>
          </w:tcPr>
          <w:p w14:paraId="2258EDE2">
            <w:pPr>
              <w:pStyle w:val="11"/>
            </w:pPr>
          </w:p>
        </w:tc>
        <w:tc>
          <w:tcPr>
            <w:tcW w:w="1134" w:type="dxa"/>
            <w:vAlign w:val="center"/>
          </w:tcPr>
          <w:p w14:paraId="3B4C556D">
            <w:pPr>
              <w:pStyle w:val="11"/>
            </w:pPr>
          </w:p>
        </w:tc>
      </w:tr>
      <w:tr w14:paraId="2577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EFCBA">
            <w:pPr>
              <w:pStyle w:val="13"/>
            </w:pPr>
            <w:r>
              <w:t>5</w:t>
            </w:r>
          </w:p>
        </w:tc>
        <w:tc>
          <w:tcPr>
            <w:tcW w:w="992" w:type="dxa"/>
            <w:vAlign w:val="center"/>
          </w:tcPr>
          <w:p w14:paraId="385BBC74">
            <w:pPr>
              <w:pStyle w:val="12"/>
            </w:pPr>
            <w:r>
              <w:t>208</w:t>
            </w:r>
          </w:p>
        </w:tc>
        <w:tc>
          <w:tcPr>
            <w:tcW w:w="1559" w:type="dxa"/>
            <w:vAlign w:val="center"/>
          </w:tcPr>
          <w:p w14:paraId="6CB2502B">
            <w:pPr>
              <w:pStyle w:val="12"/>
            </w:pPr>
            <w:r>
              <w:t>社会保障和就业支出</w:t>
            </w:r>
          </w:p>
        </w:tc>
        <w:tc>
          <w:tcPr>
            <w:tcW w:w="1134" w:type="dxa"/>
            <w:vAlign w:val="center"/>
          </w:tcPr>
          <w:p w14:paraId="15756130">
            <w:pPr>
              <w:pStyle w:val="11"/>
            </w:pPr>
            <w:r>
              <w:t>11.56</w:t>
            </w:r>
          </w:p>
        </w:tc>
        <w:tc>
          <w:tcPr>
            <w:tcW w:w="1134" w:type="dxa"/>
            <w:vAlign w:val="center"/>
          </w:tcPr>
          <w:p w14:paraId="63AD955D">
            <w:pPr>
              <w:pStyle w:val="11"/>
            </w:pPr>
            <w:r>
              <w:t>11.56</w:t>
            </w:r>
          </w:p>
        </w:tc>
        <w:tc>
          <w:tcPr>
            <w:tcW w:w="1134" w:type="dxa"/>
            <w:vAlign w:val="center"/>
          </w:tcPr>
          <w:p w14:paraId="53DFD525">
            <w:pPr>
              <w:pStyle w:val="11"/>
            </w:pPr>
            <w:r>
              <w:t>11.56</w:t>
            </w:r>
          </w:p>
        </w:tc>
        <w:tc>
          <w:tcPr>
            <w:tcW w:w="1134" w:type="dxa"/>
            <w:vAlign w:val="center"/>
          </w:tcPr>
          <w:p w14:paraId="357FA893">
            <w:pPr>
              <w:pStyle w:val="11"/>
            </w:pPr>
          </w:p>
        </w:tc>
        <w:tc>
          <w:tcPr>
            <w:tcW w:w="1134" w:type="dxa"/>
            <w:vAlign w:val="center"/>
          </w:tcPr>
          <w:p w14:paraId="2CDDEBDF">
            <w:pPr>
              <w:pStyle w:val="11"/>
            </w:pPr>
          </w:p>
        </w:tc>
        <w:tc>
          <w:tcPr>
            <w:tcW w:w="1134" w:type="dxa"/>
            <w:vAlign w:val="center"/>
          </w:tcPr>
          <w:p w14:paraId="0C6DF8F1">
            <w:pPr>
              <w:pStyle w:val="11"/>
            </w:pPr>
          </w:p>
        </w:tc>
        <w:tc>
          <w:tcPr>
            <w:tcW w:w="1134" w:type="dxa"/>
            <w:vAlign w:val="center"/>
          </w:tcPr>
          <w:p w14:paraId="6A7EFF13">
            <w:pPr>
              <w:pStyle w:val="11"/>
            </w:pPr>
          </w:p>
        </w:tc>
        <w:tc>
          <w:tcPr>
            <w:tcW w:w="1134" w:type="dxa"/>
            <w:vAlign w:val="center"/>
          </w:tcPr>
          <w:p w14:paraId="3D156C26">
            <w:pPr>
              <w:pStyle w:val="11"/>
            </w:pPr>
          </w:p>
        </w:tc>
        <w:tc>
          <w:tcPr>
            <w:tcW w:w="1134" w:type="dxa"/>
            <w:vAlign w:val="center"/>
          </w:tcPr>
          <w:p w14:paraId="25EC0C7D">
            <w:pPr>
              <w:pStyle w:val="11"/>
            </w:pPr>
          </w:p>
        </w:tc>
        <w:tc>
          <w:tcPr>
            <w:tcW w:w="1134" w:type="dxa"/>
            <w:vAlign w:val="center"/>
          </w:tcPr>
          <w:p w14:paraId="7ED6CFBD">
            <w:pPr>
              <w:pStyle w:val="11"/>
            </w:pPr>
          </w:p>
        </w:tc>
      </w:tr>
      <w:tr w14:paraId="1BF7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27C74">
            <w:pPr>
              <w:pStyle w:val="13"/>
            </w:pPr>
            <w:r>
              <w:t>6</w:t>
            </w:r>
          </w:p>
        </w:tc>
        <w:tc>
          <w:tcPr>
            <w:tcW w:w="992" w:type="dxa"/>
            <w:vAlign w:val="center"/>
          </w:tcPr>
          <w:p w14:paraId="1351C11B">
            <w:pPr>
              <w:pStyle w:val="12"/>
            </w:pPr>
            <w:r>
              <w:t>20805</w:t>
            </w:r>
          </w:p>
        </w:tc>
        <w:tc>
          <w:tcPr>
            <w:tcW w:w="1559" w:type="dxa"/>
            <w:vAlign w:val="center"/>
          </w:tcPr>
          <w:p w14:paraId="133ECAC1">
            <w:pPr>
              <w:pStyle w:val="12"/>
            </w:pPr>
            <w:r>
              <w:t>行政事业单位养老支出</w:t>
            </w:r>
          </w:p>
        </w:tc>
        <w:tc>
          <w:tcPr>
            <w:tcW w:w="1134" w:type="dxa"/>
            <w:vAlign w:val="center"/>
          </w:tcPr>
          <w:p w14:paraId="284354A9">
            <w:pPr>
              <w:pStyle w:val="11"/>
            </w:pPr>
            <w:r>
              <w:t>11.56</w:t>
            </w:r>
          </w:p>
        </w:tc>
        <w:tc>
          <w:tcPr>
            <w:tcW w:w="1134" w:type="dxa"/>
            <w:vAlign w:val="center"/>
          </w:tcPr>
          <w:p w14:paraId="0E2C67B7">
            <w:pPr>
              <w:pStyle w:val="11"/>
            </w:pPr>
            <w:r>
              <w:t>11.56</w:t>
            </w:r>
          </w:p>
        </w:tc>
        <w:tc>
          <w:tcPr>
            <w:tcW w:w="1134" w:type="dxa"/>
            <w:vAlign w:val="center"/>
          </w:tcPr>
          <w:p w14:paraId="1000C26D">
            <w:pPr>
              <w:pStyle w:val="11"/>
            </w:pPr>
            <w:r>
              <w:t>11.56</w:t>
            </w:r>
          </w:p>
        </w:tc>
        <w:tc>
          <w:tcPr>
            <w:tcW w:w="1134" w:type="dxa"/>
            <w:vAlign w:val="center"/>
          </w:tcPr>
          <w:p w14:paraId="44A9F13D">
            <w:pPr>
              <w:pStyle w:val="11"/>
            </w:pPr>
          </w:p>
        </w:tc>
        <w:tc>
          <w:tcPr>
            <w:tcW w:w="1134" w:type="dxa"/>
            <w:vAlign w:val="center"/>
          </w:tcPr>
          <w:p w14:paraId="12543E8C">
            <w:pPr>
              <w:pStyle w:val="11"/>
            </w:pPr>
          </w:p>
        </w:tc>
        <w:tc>
          <w:tcPr>
            <w:tcW w:w="1134" w:type="dxa"/>
            <w:vAlign w:val="center"/>
          </w:tcPr>
          <w:p w14:paraId="26E06445">
            <w:pPr>
              <w:pStyle w:val="11"/>
            </w:pPr>
          </w:p>
        </w:tc>
        <w:tc>
          <w:tcPr>
            <w:tcW w:w="1134" w:type="dxa"/>
            <w:vAlign w:val="center"/>
          </w:tcPr>
          <w:p w14:paraId="1D7FBE4B">
            <w:pPr>
              <w:pStyle w:val="11"/>
            </w:pPr>
          </w:p>
        </w:tc>
        <w:tc>
          <w:tcPr>
            <w:tcW w:w="1134" w:type="dxa"/>
            <w:vAlign w:val="center"/>
          </w:tcPr>
          <w:p w14:paraId="32339745">
            <w:pPr>
              <w:pStyle w:val="11"/>
            </w:pPr>
          </w:p>
        </w:tc>
        <w:tc>
          <w:tcPr>
            <w:tcW w:w="1134" w:type="dxa"/>
            <w:vAlign w:val="center"/>
          </w:tcPr>
          <w:p w14:paraId="77C18429">
            <w:pPr>
              <w:pStyle w:val="11"/>
            </w:pPr>
          </w:p>
        </w:tc>
        <w:tc>
          <w:tcPr>
            <w:tcW w:w="1134" w:type="dxa"/>
            <w:vAlign w:val="center"/>
          </w:tcPr>
          <w:p w14:paraId="11711F05">
            <w:pPr>
              <w:pStyle w:val="11"/>
            </w:pPr>
          </w:p>
        </w:tc>
      </w:tr>
      <w:tr w14:paraId="40B21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17190">
            <w:pPr>
              <w:pStyle w:val="13"/>
            </w:pPr>
            <w:r>
              <w:t>7</w:t>
            </w:r>
          </w:p>
        </w:tc>
        <w:tc>
          <w:tcPr>
            <w:tcW w:w="992" w:type="dxa"/>
            <w:vAlign w:val="center"/>
          </w:tcPr>
          <w:p w14:paraId="43C0F316">
            <w:pPr>
              <w:pStyle w:val="12"/>
            </w:pPr>
            <w:r>
              <w:t>2080505</w:t>
            </w:r>
          </w:p>
        </w:tc>
        <w:tc>
          <w:tcPr>
            <w:tcW w:w="1559" w:type="dxa"/>
            <w:vAlign w:val="center"/>
          </w:tcPr>
          <w:p w14:paraId="4AF8E70A">
            <w:pPr>
              <w:pStyle w:val="12"/>
            </w:pPr>
            <w:r>
              <w:t>机关事业单位基本养老保险缴费支出</w:t>
            </w:r>
          </w:p>
        </w:tc>
        <w:tc>
          <w:tcPr>
            <w:tcW w:w="1134" w:type="dxa"/>
            <w:vAlign w:val="center"/>
          </w:tcPr>
          <w:p w14:paraId="13C9312C">
            <w:pPr>
              <w:pStyle w:val="11"/>
            </w:pPr>
            <w:r>
              <w:t>11.56</w:t>
            </w:r>
          </w:p>
        </w:tc>
        <w:tc>
          <w:tcPr>
            <w:tcW w:w="1134" w:type="dxa"/>
            <w:vAlign w:val="center"/>
          </w:tcPr>
          <w:p w14:paraId="3665651D">
            <w:pPr>
              <w:pStyle w:val="11"/>
            </w:pPr>
            <w:r>
              <w:t>11.56</w:t>
            </w:r>
          </w:p>
        </w:tc>
        <w:tc>
          <w:tcPr>
            <w:tcW w:w="1134" w:type="dxa"/>
            <w:vAlign w:val="center"/>
          </w:tcPr>
          <w:p w14:paraId="6EF95F92">
            <w:pPr>
              <w:pStyle w:val="11"/>
            </w:pPr>
            <w:r>
              <w:t>11.56</w:t>
            </w:r>
          </w:p>
        </w:tc>
        <w:tc>
          <w:tcPr>
            <w:tcW w:w="1134" w:type="dxa"/>
            <w:vAlign w:val="center"/>
          </w:tcPr>
          <w:p w14:paraId="2D6F4CD1">
            <w:pPr>
              <w:pStyle w:val="11"/>
            </w:pPr>
          </w:p>
        </w:tc>
        <w:tc>
          <w:tcPr>
            <w:tcW w:w="1134" w:type="dxa"/>
            <w:vAlign w:val="center"/>
          </w:tcPr>
          <w:p w14:paraId="1D76FEBE">
            <w:pPr>
              <w:pStyle w:val="11"/>
            </w:pPr>
          </w:p>
        </w:tc>
        <w:tc>
          <w:tcPr>
            <w:tcW w:w="1134" w:type="dxa"/>
            <w:vAlign w:val="center"/>
          </w:tcPr>
          <w:p w14:paraId="4276EA62">
            <w:pPr>
              <w:pStyle w:val="11"/>
            </w:pPr>
          </w:p>
        </w:tc>
        <w:tc>
          <w:tcPr>
            <w:tcW w:w="1134" w:type="dxa"/>
            <w:vAlign w:val="center"/>
          </w:tcPr>
          <w:p w14:paraId="21884F03">
            <w:pPr>
              <w:pStyle w:val="11"/>
            </w:pPr>
          </w:p>
        </w:tc>
        <w:tc>
          <w:tcPr>
            <w:tcW w:w="1134" w:type="dxa"/>
            <w:vAlign w:val="center"/>
          </w:tcPr>
          <w:p w14:paraId="4EC5FAD3">
            <w:pPr>
              <w:pStyle w:val="11"/>
            </w:pPr>
          </w:p>
        </w:tc>
        <w:tc>
          <w:tcPr>
            <w:tcW w:w="1134" w:type="dxa"/>
            <w:vAlign w:val="center"/>
          </w:tcPr>
          <w:p w14:paraId="22709140">
            <w:pPr>
              <w:pStyle w:val="11"/>
            </w:pPr>
          </w:p>
        </w:tc>
        <w:tc>
          <w:tcPr>
            <w:tcW w:w="1134" w:type="dxa"/>
            <w:vAlign w:val="center"/>
          </w:tcPr>
          <w:p w14:paraId="18CB1960">
            <w:pPr>
              <w:pStyle w:val="11"/>
            </w:pPr>
          </w:p>
        </w:tc>
      </w:tr>
      <w:tr w14:paraId="7970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F2D04">
            <w:pPr>
              <w:pStyle w:val="13"/>
            </w:pPr>
            <w:r>
              <w:t>8</w:t>
            </w:r>
          </w:p>
        </w:tc>
        <w:tc>
          <w:tcPr>
            <w:tcW w:w="992" w:type="dxa"/>
            <w:vAlign w:val="center"/>
          </w:tcPr>
          <w:p w14:paraId="6F985D49">
            <w:pPr>
              <w:pStyle w:val="12"/>
            </w:pPr>
            <w:r>
              <w:t>210</w:t>
            </w:r>
          </w:p>
        </w:tc>
        <w:tc>
          <w:tcPr>
            <w:tcW w:w="1559" w:type="dxa"/>
            <w:vAlign w:val="center"/>
          </w:tcPr>
          <w:p w14:paraId="66CBA60A">
            <w:pPr>
              <w:pStyle w:val="12"/>
            </w:pPr>
            <w:r>
              <w:t>卫生健康支出</w:t>
            </w:r>
          </w:p>
        </w:tc>
        <w:tc>
          <w:tcPr>
            <w:tcW w:w="1134" w:type="dxa"/>
            <w:vAlign w:val="center"/>
          </w:tcPr>
          <w:p w14:paraId="3B50FA9E">
            <w:pPr>
              <w:pStyle w:val="11"/>
            </w:pPr>
            <w:r>
              <w:t>5.20</w:t>
            </w:r>
          </w:p>
        </w:tc>
        <w:tc>
          <w:tcPr>
            <w:tcW w:w="1134" w:type="dxa"/>
            <w:vAlign w:val="center"/>
          </w:tcPr>
          <w:p w14:paraId="20DF68DE">
            <w:pPr>
              <w:pStyle w:val="11"/>
            </w:pPr>
            <w:r>
              <w:t>5.20</w:t>
            </w:r>
          </w:p>
        </w:tc>
        <w:tc>
          <w:tcPr>
            <w:tcW w:w="1134" w:type="dxa"/>
            <w:vAlign w:val="center"/>
          </w:tcPr>
          <w:p w14:paraId="08D07DDF">
            <w:pPr>
              <w:pStyle w:val="11"/>
            </w:pPr>
            <w:r>
              <w:t>5.20</w:t>
            </w:r>
          </w:p>
        </w:tc>
        <w:tc>
          <w:tcPr>
            <w:tcW w:w="1134" w:type="dxa"/>
            <w:vAlign w:val="center"/>
          </w:tcPr>
          <w:p w14:paraId="1DA39BE7">
            <w:pPr>
              <w:pStyle w:val="11"/>
            </w:pPr>
          </w:p>
        </w:tc>
        <w:tc>
          <w:tcPr>
            <w:tcW w:w="1134" w:type="dxa"/>
            <w:vAlign w:val="center"/>
          </w:tcPr>
          <w:p w14:paraId="5DD70477">
            <w:pPr>
              <w:pStyle w:val="11"/>
            </w:pPr>
          </w:p>
        </w:tc>
        <w:tc>
          <w:tcPr>
            <w:tcW w:w="1134" w:type="dxa"/>
            <w:vAlign w:val="center"/>
          </w:tcPr>
          <w:p w14:paraId="596D5E67">
            <w:pPr>
              <w:pStyle w:val="11"/>
            </w:pPr>
          </w:p>
        </w:tc>
        <w:tc>
          <w:tcPr>
            <w:tcW w:w="1134" w:type="dxa"/>
            <w:vAlign w:val="center"/>
          </w:tcPr>
          <w:p w14:paraId="33AA3A00">
            <w:pPr>
              <w:pStyle w:val="11"/>
            </w:pPr>
          </w:p>
        </w:tc>
        <w:tc>
          <w:tcPr>
            <w:tcW w:w="1134" w:type="dxa"/>
            <w:vAlign w:val="center"/>
          </w:tcPr>
          <w:p w14:paraId="05CCCF42">
            <w:pPr>
              <w:pStyle w:val="11"/>
            </w:pPr>
          </w:p>
        </w:tc>
        <w:tc>
          <w:tcPr>
            <w:tcW w:w="1134" w:type="dxa"/>
            <w:vAlign w:val="center"/>
          </w:tcPr>
          <w:p w14:paraId="44584F0D">
            <w:pPr>
              <w:pStyle w:val="11"/>
            </w:pPr>
          </w:p>
        </w:tc>
        <w:tc>
          <w:tcPr>
            <w:tcW w:w="1134" w:type="dxa"/>
            <w:vAlign w:val="center"/>
          </w:tcPr>
          <w:p w14:paraId="50D5707B">
            <w:pPr>
              <w:pStyle w:val="11"/>
            </w:pPr>
          </w:p>
        </w:tc>
      </w:tr>
      <w:tr w14:paraId="4849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4D5F7">
            <w:pPr>
              <w:pStyle w:val="13"/>
            </w:pPr>
            <w:r>
              <w:t>9</w:t>
            </w:r>
          </w:p>
        </w:tc>
        <w:tc>
          <w:tcPr>
            <w:tcW w:w="992" w:type="dxa"/>
            <w:vAlign w:val="center"/>
          </w:tcPr>
          <w:p w14:paraId="41457E3B">
            <w:pPr>
              <w:pStyle w:val="12"/>
            </w:pPr>
            <w:r>
              <w:t>21011</w:t>
            </w:r>
          </w:p>
        </w:tc>
        <w:tc>
          <w:tcPr>
            <w:tcW w:w="1559" w:type="dxa"/>
            <w:vAlign w:val="center"/>
          </w:tcPr>
          <w:p w14:paraId="5B457B33">
            <w:pPr>
              <w:pStyle w:val="12"/>
            </w:pPr>
            <w:r>
              <w:t>行政事业单位医疗</w:t>
            </w:r>
          </w:p>
        </w:tc>
        <w:tc>
          <w:tcPr>
            <w:tcW w:w="1134" w:type="dxa"/>
            <w:vAlign w:val="center"/>
          </w:tcPr>
          <w:p w14:paraId="5A8554E2">
            <w:pPr>
              <w:pStyle w:val="11"/>
            </w:pPr>
            <w:r>
              <w:t>5.20</w:t>
            </w:r>
          </w:p>
        </w:tc>
        <w:tc>
          <w:tcPr>
            <w:tcW w:w="1134" w:type="dxa"/>
            <w:vAlign w:val="center"/>
          </w:tcPr>
          <w:p w14:paraId="3C016D2C">
            <w:pPr>
              <w:pStyle w:val="11"/>
            </w:pPr>
            <w:r>
              <w:t>5.20</w:t>
            </w:r>
          </w:p>
        </w:tc>
        <w:tc>
          <w:tcPr>
            <w:tcW w:w="1134" w:type="dxa"/>
            <w:vAlign w:val="center"/>
          </w:tcPr>
          <w:p w14:paraId="7A1600D1">
            <w:pPr>
              <w:pStyle w:val="11"/>
            </w:pPr>
            <w:r>
              <w:t>5.20</w:t>
            </w:r>
          </w:p>
        </w:tc>
        <w:tc>
          <w:tcPr>
            <w:tcW w:w="1134" w:type="dxa"/>
            <w:vAlign w:val="center"/>
          </w:tcPr>
          <w:p w14:paraId="32EACA42">
            <w:pPr>
              <w:pStyle w:val="11"/>
            </w:pPr>
          </w:p>
        </w:tc>
        <w:tc>
          <w:tcPr>
            <w:tcW w:w="1134" w:type="dxa"/>
            <w:vAlign w:val="center"/>
          </w:tcPr>
          <w:p w14:paraId="572B3219">
            <w:pPr>
              <w:pStyle w:val="11"/>
            </w:pPr>
          </w:p>
        </w:tc>
        <w:tc>
          <w:tcPr>
            <w:tcW w:w="1134" w:type="dxa"/>
            <w:vAlign w:val="center"/>
          </w:tcPr>
          <w:p w14:paraId="64EEB5B9">
            <w:pPr>
              <w:pStyle w:val="11"/>
            </w:pPr>
          </w:p>
        </w:tc>
        <w:tc>
          <w:tcPr>
            <w:tcW w:w="1134" w:type="dxa"/>
            <w:vAlign w:val="center"/>
          </w:tcPr>
          <w:p w14:paraId="65126134">
            <w:pPr>
              <w:pStyle w:val="11"/>
            </w:pPr>
          </w:p>
        </w:tc>
        <w:tc>
          <w:tcPr>
            <w:tcW w:w="1134" w:type="dxa"/>
            <w:vAlign w:val="center"/>
          </w:tcPr>
          <w:p w14:paraId="3BA9F7F6">
            <w:pPr>
              <w:pStyle w:val="11"/>
            </w:pPr>
          </w:p>
        </w:tc>
        <w:tc>
          <w:tcPr>
            <w:tcW w:w="1134" w:type="dxa"/>
            <w:vAlign w:val="center"/>
          </w:tcPr>
          <w:p w14:paraId="5470EC4B">
            <w:pPr>
              <w:pStyle w:val="11"/>
            </w:pPr>
          </w:p>
        </w:tc>
        <w:tc>
          <w:tcPr>
            <w:tcW w:w="1134" w:type="dxa"/>
            <w:vAlign w:val="center"/>
          </w:tcPr>
          <w:p w14:paraId="557E15EA">
            <w:pPr>
              <w:pStyle w:val="11"/>
            </w:pPr>
          </w:p>
        </w:tc>
      </w:tr>
      <w:tr w14:paraId="32E35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B8F79">
            <w:pPr>
              <w:pStyle w:val="13"/>
            </w:pPr>
            <w:r>
              <w:t>10</w:t>
            </w:r>
          </w:p>
        </w:tc>
        <w:tc>
          <w:tcPr>
            <w:tcW w:w="992" w:type="dxa"/>
            <w:vAlign w:val="center"/>
          </w:tcPr>
          <w:p w14:paraId="151CD591">
            <w:pPr>
              <w:pStyle w:val="12"/>
            </w:pPr>
            <w:r>
              <w:t>2101102</w:t>
            </w:r>
          </w:p>
        </w:tc>
        <w:tc>
          <w:tcPr>
            <w:tcW w:w="1559" w:type="dxa"/>
            <w:vAlign w:val="center"/>
          </w:tcPr>
          <w:p w14:paraId="73B448C7">
            <w:pPr>
              <w:pStyle w:val="12"/>
            </w:pPr>
            <w:r>
              <w:t>事业单位医疗</w:t>
            </w:r>
          </w:p>
        </w:tc>
        <w:tc>
          <w:tcPr>
            <w:tcW w:w="1134" w:type="dxa"/>
            <w:vAlign w:val="center"/>
          </w:tcPr>
          <w:p w14:paraId="4842C569">
            <w:pPr>
              <w:pStyle w:val="11"/>
            </w:pPr>
            <w:r>
              <w:t>5.20</w:t>
            </w:r>
          </w:p>
        </w:tc>
        <w:tc>
          <w:tcPr>
            <w:tcW w:w="1134" w:type="dxa"/>
            <w:vAlign w:val="center"/>
          </w:tcPr>
          <w:p w14:paraId="48059112">
            <w:pPr>
              <w:pStyle w:val="11"/>
            </w:pPr>
            <w:r>
              <w:t>5.20</w:t>
            </w:r>
          </w:p>
        </w:tc>
        <w:tc>
          <w:tcPr>
            <w:tcW w:w="1134" w:type="dxa"/>
            <w:vAlign w:val="center"/>
          </w:tcPr>
          <w:p w14:paraId="5B13A578">
            <w:pPr>
              <w:pStyle w:val="11"/>
            </w:pPr>
            <w:r>
              <w:t>5.20</w:t>
            </w:r>
          </w:p>
        </w:tc>
        <w:tc>
          <w:tcPr>
            <w:tcW w:w="1134" w:type="dxa"/>
            <w:vAlign w:val="center"/>
          </w:tcPr>
          <w:p w14:paraId="1D122C54">
            <w:pPr>
              <w:pStyle w:val="11"/>
            </w:pPr>
          </w:p>
        </w:tc>
        <w:tc>
          <w:tcPr>
            <w:tcW w:w="1134" w:type="dxa"/>
            <w:vAlign w:val="center"/>
          </w:tcPr>
          <w:p w14:paraId="5C6ED3C8">
            <w:pPr>
              <w:pStyle w:val="11"/>
            </w:pPr>
          </w:p>
        </w:tc>
        <w:tc>
          <w:tcPr>
            <w:tcW w:w="1134" w:type="dxa"/>
            <w:vAlign w:val="center"/>
          </w:tcPr>
          <w:p w14:paraId="3B823760">
            <w:pPr>
              <w:pStyle w:val="11"/>
            </w:pPr>
          </w:p>
        </w:tc>
        <w:tc>
          <w:tcPr>
            <w:tcW w:w="1134" w:type="dxa"/>
            <w:vAlign w:val="center"/>
          </w:tcPr>
          <w:p w14:paraId="7576B887">
            <w:pPr>
              <w:pStyle w:val="11"/>
            </w:pPr>
          </w:p>
        </w:tc>
        <w:tc>
          <w:tcPr>
            <w:tcW w:w="1134" w:type="dxa"/>
            <w:vAlign w:val="center"/>
          </w:tcPr>
          <w:p w14:paraId="09E60CFB">
            <w:pPr>
              <w:pStyle w:val="11"/>
            </w:pPr>
          </w:p>
        </w:tc>
        <w:tc>
          <w:tcPr>
            <w:tcW w:w="1134" w:type="dxa"/>
            <w:vAlign w:val="center"/>
          </w:tcPr>
          <w:p w14:paraId="050577AD">
            <w:pPr>
              <w:pStyle w:val="11"/>
            </w:pPr>
          </w:p>
        </w:tc>
        <w:tc>
          <w:tcPr>
            <w:tcW w:w="1134" w:type="dxa"/>
            <w:vAlign w:val="center"/>
          </w:tcPr>
          <w:p w14:paraId="209FDF91">
            <w:pPr>
              <w:pStyle w:val="11"/>
            </w:pPr>
          </w:p>
        </w:tc>
      </w:tr>
    </w:tbl>
    <w:p w14:paraId="28685C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7F1D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B1D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7D6986">
            <w:pPr>
              <w:pStyle w:val="9"/>
            </w:pPr>
            <w:r>
              <w:t>360036隆尧县青少年校外活动中心</w:t>
            </w:r>
          </w:p>
        </w:tc>
        <w:tc>
          <w:tcPr>
            <w:tcW w:w="2722" w:type="dxa"/>
            <w:gridSpan w:val="2"/>
            <w:tcBorders>
              <w:top w:val="single" w:color="FFFFFF" w:sz="6" w:space="0"/>
              <w:left w:val="single" w:color="FFFFFF" w:sz="6" w:space="0"/>
              <w:right w:val="single" w:color="FFFFFF" w:sz="6" w:space="0"/>
            </w:tcBorders>
            <w:vAlign w:val="center"/>
          </w:tcPr>
          <w:p w14:paraId="534C64F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C51F94A">
            <w:pPr>
              <w:pStyle w:val="7"/>
            </w:pPr>
            <w:r>
              <w:t>单位：万元</w:t>
            </w:r>
          </w:p>
        </w:tc>
      </w:tr>
      <w:tr w14:paraId="7AE8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0BDF0">
            <w:pPr>
              <w:pStyle w:val="10"/>
            </w:pPr>
            <w:r>
              <w:t>序号</w:t>
            </w:r>
          </w:p>
        </w:tc>
        <w:tc>
          <w:tcPr>
            <w:tcW w:w="5527" w:type="dxa"/>
            <w:gridSpan w:val="2"/>
            <w:vAlign w:val="center"/>
          </w:tcPr>
          <w:p w14:paraId="6F663137">
            <w:pPr>
              <w:pStyle w:val="10"/>
            </w:pPr>
            <w:r>
              <w:t>功能分类科目</w:t>
            </w:r>
          </w:p>
        </w:tc>
        <w:tc>
          <w:tcPr>
            <w:tcW w:w="1361" w:type="dxa"/>
            <w:vMerge w:val="restart"/>
            <w:vAlign w:val="center"/>
          </w:tcPr>
          <w:p w14:paraId="7B5D3E69">
            <w:pPr>
              <w:pStyle w:val="10"/>
            </w:pPr>
            <w:r>
              <w:t>合计</w:t>
            </w:r>
          </w:p>
        </w:tc>
        <w:tc>
          <w:tcPr>
            <w:tcW w:w="1361" w:type="dxa"/>
            <w:vMerge w:val="restart"/>
            <w:vAlign w:val="center"/>
          </w:tcPr>
          <w:p w14:paraId="43E6B337">
            <w:pPr>
              <w:pStyle w:val="10"/>
            </w:pPr>
            <w:r>
              <w:t>基本支出</w:t>
            </w:r>
          </w:p>
        </w:tc>
        <w:tc>
          <w:tcPr>
            <w:tcW w:w="1361" w:type="dxa"/>
            <w:vMerge w:val="restart"/>
            <w:vAlign w:val="center"/>
          </w:tcPr>
          <w:p w14:paraId="237CF8D7">
            <w:pPr>
              <w:pStyle w:val="10"/>
            </w:pPr>
            <w:r>
              <w:t>项目支出</w:t>
            </w:r>
          </w:p>
        </w:tc>
        <w:tc>
          <w:tcPr>
            <w:tcW w:w="1361" w:type="dxa"/>
            <w:vMerge w:val="restart"/>
            <w:vAlign w:val="center"/>
          </w:tcPr>
          <w:p w14:paraId="5B51078A">
            <w:pPr>
              <w:pStyle w:val="10"/>
            </w:pPr>
            <w:r>
              <w:t>经营支出</w:t>
            </w:r>
          </w:p>
        </w:tc>
        <w:tc>
          <w:tcPr>
            <w:tcW w:w="1361" w:type="dxa"/>
            <w:vMerge w:val="restart"/>
            <w:vAlign w:val="center"/>
          </w:tcPr>
          <w:p w14:paraId="316D4A28">
            <w:pPr>
              <w:pStyle w:val="10"/>
            </w:pPr>
            <w:r>
              <w:t>上解上级     支出</w:t>
            </w:r>
          </w:p>
        </w:tc>
        <w:tc>
          <w:tcPr>
            <w:tcW w:w="1361" w:type="dxa"/>
            <w:vMerge w:val="restart"/>
            <w:vAlign w:val="center"/>
          </w:tcPr>
          <w:p w14:paraId="77643AB8">
            <w:pPr>
              <w:pStyle w:val="10"/>
            </w:pPr>
            <w:r>
              <w:t>对附属单位补助支出</w:t>
            </w:r>
          </w:p>
        </w:tc>
      </w:tr>
      <w:tr w14:paraId="3813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B52F6"/>
        </w:tc>
        <w:tc>
          <w:tcPr>
            <w:tcW w:w="992" w:type="dxa"/>
            <w:vAlign w:val="center"/>
          </w:tcPr>
          <w:p w14:paraId="722D5E1D">
            <w:pPr>
              <w:pStyle w:val="10"/>
            </w:pPr>
            <w:r>
              <w:t>科目    编码</w:t>
            </w:r>
          </w:p>
        </w:tc>
        <w:tc>
          <w:tcPr>
            <w:tcW w:w="4535" w:type="dxa"/>
            <w:vAlign w:val="center"/>
          </w:tcPr>
          <w:p w14:paraId="195F07B9">
            <w:pPr>
              <w:pStyle w:val="10"/>
            </w:pPr>
            <w:r>
              <w:t>科目名称</w:t>
            </w:r>
          </w:p>
        </w:tc>
        <w:tc>
          <w:tcPr>
            <w:tcW w:w="1361" w:type="dxa"/>
            <w:vMerge w:val="continue"/>
          </w:tcPr>
          <w:p w14:paraId="11DC50DA"/>
        </w:tc>
        <w:tc>
          <w:tcPr>
            <w:tcW w:w="1361" w:type="dxa"/>
            <w:vMerge w:val="continue"/>
          </w:tcPr>
          <w:p w14:paraId="5DABF308"/>
        </w:tc>
        <w:tc>
          <w:tcPr>
            <w:tcW w:w="1361" w:type="dxa"/>
            <w:vMerge w:val="continue"/>
          </w:tcPr>
          <w:p w14:paraId="584F6C03"/>
        </w:tc>
        <w:tc>
          <w:tcPr>
            <w:tcW w:w="1361" w:type="dxa"/>
            <w:vMerge w:val="continue"/>
          </w:tcPr>
          <w:p w14:paraId="324E5E50"/>
        </w:tc>
        <w:tc>
          <w:tcPr>
            <w:tcW w:w="1361" w:type="dxa"/>
            <w:vMerge w:val="continue"/>
          </w:tcPr>
          <w:p w14:paraId="6CFA3D1F"/>
        </w:tc>
        <w:tc>
          <w:tcPr>
            <w:tcW w:w="1361" w:type="dxa"/>
            <w:vMerge w:val="continue"/>
          </w:tcPr>
          <w:p w14:paraId="76EDD0B0"/>
        </w:tc>
      </w:tr>
      <w:tr w14:paraId="42EC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DE0903">
            <w:pPr>
              <w:pStyle w:val="10"/>
            </w:pPr>
            <w:r>
              <w:t>栏次</w:t>
            </w:r>
          </w:p>
        </w:tc>
        <w:tc>
          <w:tcPr>
            <w:tcW w:w="992" w:type="dxa"/>
            <w:vAlign w:val="center"/>
          </w:tcPr>
          <w:p w14:paraId="4FEDAD28">
            <w:pPr>
              <w:pStyle w:val="10"/>
            </w:pPr>
            <w:r>
              <w:t>1</w:t>
            </w:r>
          </w:p>
        </w:tc>
        <w:tc>
          <w:tcPr>
            <w:tcW w:w="4535" w:type="dxa"/>
            <w:vAlign w:val="center"/>
          </w:tcPr>
          <w:p w14:paraId="0DDF91AB">
            <w:pPr>
              <w:pStyle w:val="10"/>
            </w:pPr>
            <w:r>
              <w:t>2</w:t>
            </w:r>
          </w:p>
        </w:tc>
        <w:tc>
          <w:tcPr>
            <w:tcW w:w="1361" w:type="dxa"/>
            <w:vAlign w:val="center"/>
          </w:tcPr>
          <w:p w14:paraId="6371625C">
            <w:pPr>
              <w:pStyle w:val="10"/>
            </w:pPr>
            <w:r>
              <w:t>3</w:t>
            </w:r>
          </w:p>
        </w:tc>
        <w:tc>
          <w:tcPr>
            <w:tcW w:w="1361" w:type="dxa"/>
            <w:vAlign w:val="center"/>
          </w:tcPr>
          <w:p w14:paraId="3D58BA70">
            <w:pPr>
              <w:pStyle w:val="10"/>
            </w:pPr>
            <w:r>
              <w:t>4</w:t>
            </w:r>
          </w:p>
        </w:tc>
        <w:tc>
          <w:tcPr>
            <w:tcW w:w="1361" w:type="dxa"/>
            <w:vAlign w:val="center"/>
          </w:tcPr>
          <w:p w14:paraId="3AA386C8">
            <w:pPr>
              <w:pStyle w:val="10"/>
            </w:pPr>
            <w:r>
              <w:t>5</w:t>
            </w:r>
          </w:p>
        </w:tc>
        <w:tc>
          <w:tcPr>
            <w:tcW w:w="1361" w:type="dxa"/>
            <w:vAlign w:val="center"/>
          </w:tcPr>
          <w:p w14:paraId="19CF89CC">
            <w:pPr>
              <w:pStyle w:val="10"/>
            </w:pPr>
            <w:r>
              <w:t>6</w:t>
            </w:r>
          </w:p>
        </w:tc>
        <w:tc>
          <w:tcPr>
            <w:tcW w:w="1361" w:type="dxa"/>
            <w:vAlign w:val="center"/>
          </w:tcPr>
          <w:p w14:paraId="3E29E39D">
            <w:pPr>
              <w:pStyle w:val="10"/>
            </w:pPr>
            <w:r>
              <w:t>7</w:t>
            </w:r>
          </w:p>
        </w:tc>
        <w:tc>
          <w:tcPr>
            <w:tcW w:w="1361" w:type="dxa"/>
            <w:vAlign w:val="center"/>
          </w:tcPr>
          <w:p w14:paraId="13AD9BE0">
            <w:pPr>
              <w:pStyle w:val="10"/>
            </w:pPr>
            <w:r>
              <w:t>8</w:t>
            </w:r>
          </w:p>
        </w:tc>
      </w:tr>
      <w:tr w14:paraId="7DDA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8A86">
            <w:pPr>
              <w:pStyle w:val="13"/>
            </w:pPr>
            <w:r>
              <w:t>1</w:t>
            </w:r>
          </w:p>
        </w:tc>
        <w:tc>
          <w:tcPr>
            <w:tcW w:w="992" w:type="dxa"/>
            <w:vAlign w:val="center"/>
          </w:tcPr>
          <w:p w14:paraId="1C12C67D">
            <w:pPr>
              <w:pStyle w:val="16"/>
            </w:pPr>
          </w:p>
        </w:tc>
        <w:tc>
          <w:tcPr>
            <w:tcW w:w="4535" w:type="dxa"/>
            <w:vAlign w:val="center"/>
          </w:tcPr>
          <w:p w14:paraId="6333447E">
            <w:pPr>
              <w:pStyle w:val="14"/>
            </w:pPr>
            <w:r>
              <w:t>合计</w:t>
            </w:r>
          </w:p>
        </w:tc>
        <w:tc>
          <w:tcPr>
            <w:tcW w:w="1361" w:type="dxa"/>
            <w:vAlign w:val="center"/>
          </w:tcPr>
          <w:p w14:paraId="4E2123DB">
            <w:pPr>
              <w:pStyle w:val="15"/>
            </w:pPr>
            <w:r>
              <w:t>143.06</w:t>
            </w:r>
          </w:p>
        </w:tc>
        <w:tc>
          <w:tcPr>
            <w:tcW w:w="1361" w:type="dxa"/>
            <w:vAlign w:val="center"/>
          </w:tcPr>
          <w:p w14:paraId="716870A6">
            <w:pPr>
              <w:pStyle w:val="15"/>
            </w:pPr>
            <w:r>
              <w:t>143.06</w:t>
            </w:r>
          </w:p>
        </w:tc>
        <w:tc>
          <w:tcPr>
            <w:tcW w:w="1361" w:type="dxa"/>
            <w:vAlign w:val="center"/>
          </w:tcPr>
          <w:p w14:paraId="4CE779A8">
            <w:pPr>
              <w:pStyle w:val="15"/>
            </w:pPr>
          </w:p>
        </w:tc>
        <w:tc>
          <w:tcPr>
            <w:tcW w:w="1361" w:type="dxa"/>
            <w:vAlign w:val="center"/>
          </w:tcPr>
          <w:p w14:paraId="67DFAAA2">
            <w:pPr>
              <w:pStyle w:val="15"/>
            </w:pPr>
          </w:p>
        </w:tc>
        <w:tc>
          <w:tcPr>
            <w:tcW w:w="1361" w:type="dxa"/>
            <w:vAlign w:val="center"/>
          </w:tcPr>
          <w:p w14:paraId="5DB6C060">
            <w:pPr>
              <w:pStyle w:val="15"/>
            </w:pPr>
          </w:p>
        </w:tc>
        <w:tc>
          <w:tcPr>
            <w:tcW w:w="1361" w:type="dxa"/>
            <w:vAlign w:val="center"/>
          </w:tcPr>
          <w:p w14:paraId="105D7C06">
            <w:pPr>
              <w:pStyle w:val="15"/>
            </w:pPr>
          </w:p>
        </w:tc>
      </w:tr>
      <w:tr w14:paraId="28DCB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AAF3">
            <w:pPr>
              <w:pStyle w:val="13"/>
            </w:pPr>
            <w:r>
              <w:t>2</w:t>
            </w:r>
          </w:p>
        </w:tc>
        <w:tc>
          <w:tcPr>
            <w:tcW w:w="992" w:type="dxa"/>
            <w:vAlign w:val="center"/>
          </w:tcPr>
          <w:p w14:paraId="3B261211">
            <w:pPr>
              <w:pStyle w:val="12"/>
            </w:pPr>
            <w:r>
              <w:t>205</w:t>
            </w:r>
          </w:p>
        </w:tc>
        <w:tc>
          <w:tcPr>
            <w:tcW w:w="4535" w:type="dxa"/>
            <w:vAlign w:val="center"/>
          </w:tcPr>
          <w:p w14:paraId="21E75B92">
            <w:pPr>
              <w:pStyle w:val="12"/>
            </w:pPr>
            <w:r>
              <w:t>教育支出</w:t>
            </w:r>
          </w:p>
        </w:tc>
        <w:tc>
          <w:tcPr>
            <w:tcW w:w="1361" w:type="dxa"/>
            <w:vAlign w:val="center"/>
          </w:tcPr>
          <w:p w14:paraId="6C0B5969">
            <w:pPr>
              <w:pStyle w:val="11"/>
            </w:pPr>
            <w:r>
              <w:t>126.30</w:t>
            </w:r>
          </w:p>
        </w:tc>
        <w:tc>
          <w:tcPr>
            <w:tcW w:w="1361" w:type="dxa"/>
            <w:vAlign w:val="center"/>
          </w:tcPr>
          <w:p w14:paraId="282772BC">
            <w:pPr>
              <w:pStyle w:val="11"/>
            </w:pPr>
            <w:r>
              <w:t>126.30</w:t>
            </w:r>
          </w:p>
        </w:tc>
        <w:tc>
          <w:tcPr>
            <w:tcW w:w="1361" w:type="dxa"/>
            <w:vAlign w:val="center"/>
          </w:tcPr>
          <w:p w14:paraId="0E5D9051">
            <w:pPr>
              <w:pStyle w:val="11"/>
            </w:pPr>
          </w:p>
        </w:tc>
        <w:tc>
          <w:tcPr>
            <w:tcW w:w="1361" w:type="dxa"/>
            <w:vAlign w:val="center"/>
          </w:tcPr>
          <w:p w14:paraId="0980A392">
            <w:pPr>
              <w:pStyle w:val="11"/>
            </w:pPr>
          </w:p>
        </w:tc>
        <w:tc>
          <w:tcPr>
            <w:tcW w:w="1361" w:type="dxa"/>
            <w:vAlign w:val="center"/>
          </w:tcPr>
          <w:p w14:paraId="52E49543">
            <w:pPr>
              <w:pStyle w:val="11"/>
            </w:pPr>
          </w:p>
        </w:tc>
        <w:tc>
          <w:tcPr>
            <w:tcW w:w="1361" w:type="dxa"/>
            <w:vAlign w:val="center"/>
          </w:tcPr>
          <w:p w14:paraId="061C0C41">
            <w:pPr>
              <w:pStyle w:val="11"/>
            </w:pPr>
          </w:p>
        </w:tc>
      </w:tr>
      <w:tr w14:paraId="77C1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91957">
            <w:pPr>
              <w:pStyle w:val="13"/>
            </w:pPr>
            <w:r>
              <w:t>3</w:t>
            </w:r>
          </w:p>
        </w:tc>
        <w:tc>
          <w:tcPr>
            <w:tcW w:w="992" w:type="dxa"/>
            <w:vAlign w:val="center"/>
          </w:tcPr>
          <w:p w14:paraId="3A007255">
            <w:pPr>
              <w:pStyle w:val="12"/>
            </w:pPr>
            <w:r>
              <w:t>20502</w:t>
            </w:r>
          </w:p>
        </w:tc>
        <w:tc>
          <w:tcPr>
            <w:tcW w:w="4535" w:type="dxa"/>
            <w:vAlign w:val="center"/>
          </w:tcPr>
          <w:p w14:paraId="43BA13A6">
            <w:pPr>
              <w:pStyle w:val="12"/>
            </w:pPr>
            <w:r>
              <w:t>普通教育</w:t>
            </w:r>
          </w:p>
        </w:tc>
        <w:tc>
          <w:tcPr>
            <w:tcW w:w="1361" w:type="dxa"/>
            <w:vAlign w:val="center"/>
          </w:tcPr>
          <w:p w14:paraId="6ADE2FBB">
            <w:pPr>
              <w:pStyle w:val="11"/>
            </w:pPr>
            <w:r>
              <w:t>126.30</w:t>
            </w:r>
          </w:p>
        </w:tc>
        <w:tc>
          <w:tcPr>
            <w:tcW w:w="1361" w:type="dxa"/>
            <w:vAlign w:val="center"/>
          </w:tcPr>
          <w:p w14:paraId="6B5B3272">
            <w:pPr>
              <w:pStyle w:val="11"/>
            </w:pPr>
            <w:r>
              <w:t>126.30</w:t>
            </w:r>
          </w:p>
        </w:tc>
        <w:tc>
          <w:tcPr>
            <w:tcW w:w="1361" w:type="dxa"/>
            <w:vAlign w:val="center"/>
          </w:tcPr>
          <w:p w14:paraId="3DC47C54">
            <w:pPr>
              <w:pStyle w:val="11"/>
            </w:pPr>
          </w:p>
        </w:tc>
        <w:tc>
          <w:tcPr>
            <w:tcW w:w="1361" w:type="dxa"/>
            <w:vAlign w:val="center"/>
          </w:tcPr>
          <w:p w14:paraId="3BFD3D58">
            <w:pPr>
              <w:pStyle w:val="11"/>
            </w:pPr>
          </w:p>
        </w:tc>
        <w:tc>
          <w:tcPr>
            <w:tcW w:w="1361" w:type="dxa"/>
            <w:vAlign w:val="center"/>
          </w:tcPr>
          <w:p w14:paraId="4306F445">
            <w:pPr>
              <w:pStyle w:val="11"/>
            </w:pPr>
          </w:p>
        </w:tc>
        <w:tc>
          <w:tcPr>
            <w:tcW w:w="1361" w:type="dxa"/>
            <w:vAlign w:val="center"/>
          </w:tcPr>
          <w:p w14:paraId="02167E48">
            <w:pPr>
              <w:pStyle w:val="11"/>
            </w:pPr>
          </w:p>
        </w:tc>
      </w:tr>
      <w:tr w14:paraId="29DC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F9FA">
            <w:pPr>
              <w:pStyle w:val="13"/>
            </w:pPr>
            <w:r>
              <w:t>4</w:t>
            </w:r>
          </w:p>
        </w:tc>
        <w:tc>
          <w:tcPr>
            <w:tcW w:w="992" w:type="dxa"/>
            <w:vAlign w:val="center"/>
          </w:tcPr>
          <w:p w14:paraId="42D3CF24">
            <w:pPr>
              <w:pStyle w:val="12"/>
            </w:pPr>
            <w:r>
              <w:t>2050299</w:t>
            </w:r>
          </w:p>
        </w:tc>
        <w:tc>
          <w:tcPr>
            <w:tcW w:w="4535" w:type="dxa"/>
            <w:vAlign w:val="center"/>
          </w:tcPr>
          <w:p w14:paraId="1125B3A8">
            <w:pPr>
              <w:pStyle w:val="12"/>
            </w:pPr>
            <w:r>
              <w:t>其他普通教育支出</w:t>
            </w:r>
          </w:p>
        </w:tc>
        <w:tc>
          <w:tcPr>
            <w:tcW w:w="1361" w:type="dxa"/>
            <w:vAlign w:val="center"/>
          </w:tcPr>
          <w:p w14:paraId="79DA7F46">
            <w:pPr>
              <w:pStyle w:val="11"/>
            </w:pPr>
            <w:r>
              <w:t>126.30</w:t>
            </w:r>
          </w:p>
        </w:tc>
        <w:tc>
          <w:tcPr>
            <w:tcW w:w="1361" w:type="dxa"/>
            <w:vAlign w:val="center"/>
          </w:tcPr>
          <w:p w14:paraId="0FB93EF0">
            <w:pPr>
              <w:pStyle w:val="11"/>
            </w:pPr>
            <w:r>
              <w:t>126.30</w:t>
            </w:r>
          </w:p>
        </w:tc>
        <w:tc>
          <w:tcPr>
            <w:tcW w:w="1361" w:type="dxa"/>
            <w:vAlign w:val="center"/>
          </w:tcPr>
          <w:p w14:paraId="5EE6B3E0">
            <w:pPr>
              <w:pStyle w:val="11"/>
            </w:pPr>
          </w:p>
        </w:tc>
        <w:tc>
          <w:tcPr>
            <w:tcW w:w="1361" w:type="dxa"/>
            <w:vAlign w:val="center"/>
          </w:tcPr>
          <w:p w14:paraId="3ED3929E">
            <w:pPr>
              <w:pStyle w:val="11"/>
            </w:pPr>
          </w:p>
        </w:tc>
        <w:tc>
          <w:tcPr>
            <w:tcW w:w="1361" w:type="dxa"/>
            <w:vAlign w:val="center"/>
          </w:tcPr>
          <w:p w14:paraId="590056C8">
            <w:pPr>
              <w:pStyle w:val="11"/>
            </w:pPr>
          </w:p>
        </w:tc>
        <w:tc>
          <w:tcPr>
            <w:tcW w:w="1361" w:type="dxa"/>
            <w:vAlign w:val="center"/>
          </w:tcPr>
          <w:p w14:paraId="2E7EB0E8">
            <w:pPr>
              <w:pStyle w:val="11"/>
            </w:pPr>
          </w:p>
        </w:tc>
      </w:tr>
      <w:tr w14:paraId="4520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C286E">
            <w:pPr>
              <w:pStyle w:val="13"/>
            </w:pPr>
            <w:r>
              <w:t>5</w:t>
            </w:r>
          </w:p>
        </w:tc>
        <w:tc>
          <w:tcPr>
            <w:tcW w:w="992" w:type="dxa"/>
            <w:vAlign w:val="center"/>
          </w:tcPr>
          <w:p w14:paraId="6C6809AD">
            <w:pPr>
              <w:pStyle w:val="12"/>
            </w:pPr>
            <w:r>
              <w:t>208</w:t>
            </w:r>
          </w:p>
        </w:tc>
        <w:tc>
          <w:tcPr>
            <w:tcW w:w="4535" w:type="dxa"/>
            <w:vAlign w:val="center"/>
          </w:tcPr>
          <w:p w14:paraId="090D75A9">
            <w:pPr>
              <w:pStyle w:val="12"/>
            </w:pPr>
            <w:r>
              <w:t>社会保障和就业支出</w:t>
            </w:r>
          </w:p>
        </w:tc>
        <w:tc>
          <w:tcPr>
            <w:tcW w:w="1361" w:type="dxa"/>
            <w:vAlign w:val="center"/>
          </w:tcPr>
          <w:p w14:paraId="7257FDB9">
            <w:pPr>
              <w:pStyle w:val="11"/>
            </w:pPr>
            <w:r>
              <w:t>11.56</w:t>
            </w:r>
          </w:p>
        </w:tc>
        <w:tc>
          <w:tcPr>
            <w:tcW w:w="1361" w:type="dxa"/>
            <w:vAlign w:val="center"/>
          </w:tcPr>
          <w:p w14:paraId="584BF834">
            <w:pPr>
              <w:pStyle w:val="11"/>
            </w:pPr>
            <w:r>
              <w:t>11.56</w:t>
            </w:r>
          </w:p>
        </w:tc>
        <w:tc>
          <w:tcPr>
            <w:tcW w:w="1361" w:type="dxa"/>
            <w:vAlign w:val="center"/>
          </w:tcPr>
          <w:p w14:paraId="3216DF40">
            <w:pPr>
              <w:pStyle w:val="11"/>
            </w:pPr>
          </w:p>
        </w:tc>
        <w:tc>
          <w:tcPr>
            <w:tcW w:w="1361" w:type="dxa"/>
            <w:vAlign w:val="center"/>
          </w:tcPr>
          <w:p w14:paraId="130A7A71">
            <w:pPr>
              <w:pStyle w:val="11"/>
            </w:pPr>
          </w:p>
        </w:tc>
        <w:tc>
          <w:tcPr>
            <w:tcW w:w="1361" w:type="dxa"/>
            <w:vAlign w:val="center"/>
          </w:tcPr>
          <w:p w14:paraId="100F5DC9">
            <w:pPr>
              <w:pStyle w:val="11"/>
            </w:pPr>
          </w:p>
        </w:tc>
        <w:tc>
          <w:tcPr>
            <w:tcW w:w="1361" w:type="dxa"/>
            <w:vAlign w:val="center"/>
          </w:tcPr>
          <w:p w14:paraId="4D517CB0">
            <w:pPr>
              <w:pStyle w:val="11"/>
            </w:pPr>
          </w:p>
        </w:tc>
      </w:tr>
      <w:tr w14:paraId="0135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76B1">
            <w:pPr>
              <w:pStyle w:val="13"/>
            </w:pPr>
            <w:r>
              <w:t>6</w:t>
            </w:r>
          </w:p>
        </w:tc>
        <w:tc>
          <w:tcPr>
            <w:tcW w:w="992" w:type="dxa"/>
            <w:vAlign w:val="center"/>
          </w:tcPr>
          <w:p w14:paraId="06D809D8">
            <w:pPr>
              <w:pStyle w:val="12"/>
            </w:pPr>
            <w:r>
              <w:t>20805</w:t>
            </w:r>
          </w:p>
        </w:tc>
        <w:tc>
          <w:tcPr>
            <w:tcW w:w="4535" w:type="dxa"/>
            <w:vAlign w:val="center"/>
          </w:tcPr>
          <w:p w14:paraId="7A8D94EE">
            <w:pPr>
              <w:pStyle w:val="12"/>
            </w:pPr>
            <w:r>
              <w:t>行政事业单位养老支出</w:t>
            </w:r>
          </w:p>
        </w:tc>
        <w:tc>
          <w:tcPr>
            <w:tcW w:w="1361" w:type="dxa"/>
            <w:vAlign w:val="center"/>
          </w:tcPr>
          <w:p w14:paraId="53230458">
            <w:pPr>
              <w:pStyle w:val="11"/>
            </w:pPr>
            <w:r>
              <w:t>11.56</w:t>
            </w:r>
          </w:p>
        </w:tc>
        <w:tc>
          <w:tcPr>
            <w:tcW w:w="1361" w:type="dxa"/>
            <w:vAlign w:val="center"/>
          </w:tcPr>
          <w:p w14:paraId="4BC44130">
            <w:pPr>
              <w:pStyle w:val="11"/>
            </w:pPr>
            <w:r>
              <w:t>11.56</w:t>
            </w:r>
          </w:p>
        </w:tc>
        <w:tc>
          <w:tcPr>
            <w:tcW w:w="1361" w:type="dxa"/>
            <w:vAlign w:val="center"/>
          </w:tcPr>
          <w:p w14:paraId="1E3B98D4">
            <w:pPr>
              <w:pStyle w:val="11"/>
            </w:pPr>
          </w:p>
        </w:tc>
        <w:tc>
          <w:tcPr>
            <w:tcW w:w="1361" w:type="dxa"/>
            <w:vAlign w:val="center"/>
          </w:tcPr>
          <w:p w14:paraId="02A95E09">
            <w:pPr>
              <w:pStyle w:val="11"/>
            </w:pPr>
          </w:p>
        </w:tc>
        <w:tc>
          <w:tcPr>
            <w:tcW w:w="1361" w:type="dxa"/>
            <w:vAlign w:val="center"/>
          </w:tcPr>
          <w:p w14:paraId="4C44CE14">
            <w:pPr>
              <w:pStyle w:val="11"/>
            </w:pPr>
          </w:p>
        </w:tc>
        <w:tc>
          <w:tcPr>
            <w:tcW w:w="1361" w:type="dxa"/>
            <w:vAlign w:val="center"/>
          </w:tcPr>
          <w:p w14:paraId="2E3F2421">
            <w:pPr>
              <w:pStyle w:val="11"/>
            </w:pPr>
          </w:p>
        </w:tc>
      </w:tr>
      <w:tr w14:paraId="7BC2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BB85">
            <w:pPr>
              <w:pStyle w:val="13"/>
            </w:pPr>
            <w:r>
              <w:t>7</w:t>
            </w:r>
          </w:p>
        </w:tc>
        <w:tc>
          <w:tcPr>
            <w:tcW w:w="992" w:type="dxa"/>
            <w:vAlign w:val="center"/>
          </w:tcPr>
          <w:p w14:paraId="3EF74F15">
            <w:pPr>
              <w:pStyle w:val="12"/>
            </w:pPr>
            <w:r>
              <w:t>2080505</w:t>
            </w:r>
          </w:p>
        </w:tc>
        <w:tc>
          <w:tcPr>
            <w:tcW w:w="4535" w:type="dxa"/>
            <w:vAlign w:val="center"/>
          </w:tcPr>
          <w:p w14:paraId="58699B41">
            <w:pPr>
              <w:pStyle w:val="12"/>
            </w:pPr>
            <w:r>
              <w:t>机关事业单位基本养老保险缴费支出</w:t>
            </w:r>
          </w:p>
        </w:tc>
        <w:tc>
          <w:tcPr>
            <w:tcW w:w="1361" w:type="dxa"/>
            <w:vAlign w:val="center"/>
          </w:tcPr>
          <w:p w14:paraId="01B27EDA">
            <w:pPr>
              <w:pStyle w:val="11"/>
            </w:pPr>
            <w:r>
              <w:t>11.56</w:t>
            </w:r>
          </w:p>
        </w:tc>
        <w:tc>
          <w:tcPr>
            <w:tcW w:w="1361" w:type="dxa"/>
            <w:vAlign w:val="center"/>
          </w:tcPr>
          <w:p w14:paraId="7F0E5120">
            <w:pPr>
              <w:pStyle w:val="11"/>
            </w:pPr>
            <w:r>
              <w:t>11.56</w:t>
            </w:r>
          </w:p>
        </w:tc>
        <w:tc>
          <w:tcPr>
            <w:tcW w:w="1361" w:type="dxa"/>
            <w:vAlign w:val="center"/>
          </w:tcPr>
          <w:p w14:paraId="77C1398C">
            <w:pPr>
              <w:pStyle w:val="11"/>
            </w:pPr>
          </w:p>
        </w:tc>
        <w:tc>
          <w:tcPr>
            <w:tcW w:w="1361" w:type="dxa"/>
            <w:vAlign w:val="center"/>
          </w:tcPr>
          <w:p w14:paraId="65A43EEC">
            <w:pPr>
              <w:pStyle w:val="11"/>
            </w:pPr>
          </w:p>
        </w:tc>
        <w:tc>
          <w:tcPr>
            <w:tcW w:w="1361" w:type="dxa"/>
            <w:vAlign w:val="center"/>
          </w:tcPr>
          <w:p w14:paraId="34887DC6">
            <w:pPr>
              <w:pStyle w:val="11"/>
            </w:pPr>
          </w:p>
        </w:tc>
        <w:tc>
          <w:tcPr>
            <w:tcW w:w="1361" w:type="dxa"/>
            <w:vAlign w:val="center"/>
          </w:tcPr>
          <w:p w14:paraId="2EBA063F">
            <w:pPr>
              <w:pStyle w:val="11"/>
            </w:pPr>
          </w:p>
        </w:tc>
      </w:tr>
      <w:tr w14:paraId="79CC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A3297">
            <w:pPr>
              <w:pStyle w:val="13"/>
            </w:pPr>
            <w:r>
              <w:t>8</w:t>
            </w:r>
          </w:p>
        </w:tc>
        <w:tc>
          <w:tcPr>
            <w:tcW w:w="992" w:type="dxa"/>
            <w:vAlign w:val="center"/>
          </w:tcPr>
          <w:p w14:paraId="39ED8BB1">
            <w:pPr>
              <w:pStyle w:val="12"/>
            </w:pPr>
            <w:r>
              <w:t>210</w:t>
            </w:r>
          </w:p>
        </w:tc>
        <w:tc>
          <w:tcPr>
            <w:tcW w:w="4535" w:type="dxa"/>
            <w:vAlign w:val="center"/>
          </w:tcPr>
          <w:p w14:paraId="413AC921">
            <w:pPr>
              <w:pStyle w:val="12"/>
            </w:pPr>
            <w:r>
              <w:t>卫生健康支出</w:t>
            </w:r>
          </w:p>
        </w:tc>
        <w:tc>
          <w:tcPr>
            <w:tcW w:w="1361" w:type="dxa"/>
            <w:vAlign w:val="center"/>
          </w:tcPr>
          <w:p w14:paraId="3CF256F5">
            <w:pPr>
              <w:pStyle w:val="11"/>
            </w:pPr>
            <w:r>
              <w:t>5.20</w:t>
            </w:r>
          </w:p>
        </w:tc>
        <w:tc>
          <w:tcPr>
            <w:tcW w:w="1361" w:type="dxa"/>
            <w:vAlign w:val="center"/>
          </w:tcPr>
          <w:p w14:paraId="6A33332F">
            <w:pPr>
              <w:pStyle w:val="11"/>
            </w:pPr>
            <w:r>
              <w:t>5.20</w:t>
            </w:r>
          </w:p>
        </w:tc>
        <w:tc>
          <w:tcPr>
            <w:tcW w:w="1361" w:type="dxa"/>
            <w:vAlign w:val="center"/>
          </w:tcPr>
          <w:p w14:paraId="00A0B01A">
            <w:pPr>
              <w:pStyle w:val="11"/>
            </w:pPr>
          </w:p>
        </w:tc>
        <w:tc>
          <w:tcPr>
            <w:tcW w:w="1361" w:type="dxa"/>
            <w:vAlign w:val="center"/>
          </w:tcPr>
          <w:p w14:paraId="744C2F9A">
            <w:pPr>
              <w:pStyle w:val="11"/>
            </w:pPr>
          </w:p>
        </w:tc>
        <w:tc>
          <w:tcPr>
            <w:tcW w:w="1361" w:type="dxa"/>
            <w:vAlign w:val="center"/>
          </w:tcPr>
          <w:p w14:paraId="1E638B4E">
            <w:pPr>
              <w:pStyle w:val="11"/>
            </w:pPr>
          </w:p>
        </w:tc>
        <w:tc>
          <w:tcPr>
            <w:tcW w:w="1361" w:type="dxa"/>
            <w:vAlign w:val="center"/>
          </w:tcPr>
          <w:p w14:paraId="13BFCBB7">
            <w:pPr>
              <w:pStyle w:val="11"/>
            </w:pPr>
          </w:p>
        </w:tc>
      </w:tr>
      <w:tr w14:paraId="1E18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21DFA">
            <w:pPr>
              <w:pStyle w:val="13"/>
            </w:pPr>
            <w:r>
              <w:t>9</w:t>
            </w:r>
          </w:p>
        </w:tc>
        <w:tc>
          <w:tcPr>
            <w:tcW w:w="992" w:type="dxa"/>
            <w:vAlign w:val="center"/>
          </w:tcPr>
          <w:p w14:paraId="7F6CB351">
            <w:pPr>
              <w:pStyle w:val="12"/>
            </w:pPr>
            <w:r>
              <w:t>21011</w:t>
            </w:r>
          </w:p>
        </w:tc>
        <w:tc>
          <w:tcPr>
            <w:tcW w:w="4535" w:type="dxa"/>
            <w:vAlign w:val="center"/>
          </w:tcPr>
          <w:p w14:paraId="656118BB">
            <w:pPr>
              <w:pStyle w:val="12"/>
            </w:pPr>
            <w:r>
              <w:t>行政事业单位医疗</w:t>
            </w:r>
          </w:p>
        </w:tc>
        <w:tc>
          <w:tcPr>
            <w:tcW w:w="1361" w:type="dxa"/>
            <w:vAlign w:val="center"/>
          </w:tcPr>
          <w:p w14:paraId="6297C453">
            <w:pPr>
              <w:pStyle w:val="11"/>
            </w:pPr>
            <w:r>
              <w:t>5.20</w:t>
            </w:r>
          </w:p>
        </w:tc>
        <w:tc>
          <w:tcPr>
            <w:tcW w:w="1361" w:type="dxa"/>
            <w:vAlign w:val="center"/>
          </w:tcPr>
          <w:p w14:paraId="77CB3798">
            <w:pPr>
              <w:pStyle w:val="11"/>
            </w:pPr>
            <w:r>
              <w:t>5.20</w:t>
            </w:r>
          </w:p>
        </w:tc>
        <w:tc>
          <w:tcPr>
            <w:tcW w:w="1361" w:type="dxa"/>
            <w:vAlign w:val="center"/>
          </w:tcPr>
          <w:p w14:paraId="1F23E18E">
            <w:pPr>
              <w:pStyle w:val="11"/>
            </w:pPr>
          </w:p>
        </w:tc>
        <w:tc>
          <w:tcPr>
            <w:tcW w:w="1361" w:type="dxa"/>
            <w:vAlign w:val="center"/>
          </w:tcPr>
          <w:p w14:paraId="733E1398">
            <w:pPr>
              <w:pStyle w:val="11"/>
            </w:pPr>
          </w:p>
        </w:tc>
        <w:tc>
          <w:tcPr>
            <w:tcW w:w="1361" w:type="dxa"/>
            <w:vAlign w:val="center"/>
          </w:tcPr>
          <w:p w14:paraId="4722A336">
            <w:pPr>
              <w:pStyle w:val="11"/>
            </w:pPr>
          </w:p>
        </w:tc>
        <w:tc>
          <w:tcPr>
            <w:tcW w:w="1361" w:type="dxa"/>
            <w:vAlign w:val="center"/>
          </w:tcPr>
          <w:p w14:paraId="0524BC14">
            <w:pPr>
              <w:pStyle w:val="11"/>
            </w:pPr>
          </w:p>
        </w:tc>
      </w:tr>
      <w:tr w14:paraId="2BC6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297BB">
            <w:pPr>
              <w:pStyle w:val="13"/>
            </w:pPr>
            <w:r>
              <w:t>10</w:t>
            </w:r>
          </w:p>
        </w:tc>
        <w:tc>
          <w:tcPr>
            <w:tcW w:w="992" w:type="dxa"/>
            <w:vAlign w:val="center"/>
          </w:tcPr>
          <w:p w14:paraId="215D4F89">
            <w:pPr>
              <w:pStyle w:val="12"/>
            </w:pPr>
            <w:r>
              <w:t>2101102</w:t>
            </w:r>
          </w:p>
        </w:tc>
        <w:tc>
          <w:tcPr>
            <w:tcW w:w="4535" w:type="dxa"/>
            <w:vAlign w:val="center"/>
          </w:tcPr>
          <w:p w14:paraId="3EC34D8C">
            <w:pPr>
              <w:pStyle w:val="12"/>
            </w:pPr>
            <w:r>
              <w:t>事业单位医疗</w:t>
            </w:r>
          </w:p>
        </w:tc>
        <w:tc>
          <w:tcPr>
            <w:tcW w:w="1361" w:type="dxa"/>
            <w:vAlign w:val="center"/>
          </w:tcPr>
          <w:p w14:paraId="4E82CCC2">
            <w:pPr>
              <w:pStyle w:val="11"/>
            </w:pPr>
            <w:r>
              <w:t>5.20</w:t>
            </w:r>
          </w:p>
        </w:tc>
        <w:tc>
          <w:tcPr>
            <w:tcW w:w="1361" w:type="dxa"/>
            <w:vAlign w:val="center"/>
          </w:tcPr>
          <w:p w14:paraId="24E5A499">
            <w:pPr>
              <w:pStyle w:val="11"/>
            </w:pPr>
            <w:r>
              <w:t>5.20</w:t>
            </w:r>
          </w:p>
        </w:tc>
        <w:tc>
          <w:tcPr>
            <w:tcW w:w="1361" w:type="dxa"/>
            <w:vAlign w:val="center"/>
          </w:tcPr>
          <w:p w14:paraId="31EB97D6">
            <w:pPr>
              <w:pStyle w:val="11"/>
            </w:pPr>
          </w:p>
        </w:tc>
        <w:tc>
          <w:tcPr>
            <w:tcW w:w="1361" w:type="dxa"/>
            <w:vAlign w:val="center"/>
          </w:tcPr>
          <w:p w14:paraId="4E387F99">
            <w:pPr>
              <w:pStyle w:val="11"/>
            </w:pPr>
          </w:p>
        </w:tc>
        <w:tc>
          <w:tcPr>
            <w:tcW w:w="1361" w:type="dxa"/>
            <w:vAlign w:val="center"/>
          </w:tcPr>
          <w:p w14:paraId="0160D5BE">
            <w:pPr>
              <w:pStyle w:val="11"/>
            </w:pPr>
          </w:p>
        </w:tc>
        <w:tc>
          <w:tcPr>
            <w:tcW w:w="1361" w:type="dxa"/>
            <w:vAlign w:val="center"/>
          </w:tcPr>
          <w:p w14:paraId="1D9ED63E">
            <w:pPr>
              <w:pStyle w:val="11"/>
            </w:pPr>
          </w:p>
        </w:tc>
      </w:tr>
    </w:tbl>
    <w:p w14:paraId="028590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FBB3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A0E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1A8756">
            <w:pPr>
              <w:pStyle w:val="9"/>
            </w:pPr>
            <w:r>
              <w:t>360036隆尧县青少年校外活动中心</w:t>
            </w:r>
          </w:p>
        </w:tc>
        <w:tc>
          <w:tcPr>
            <w:tcW w:w="3402" w:type="dxa"/>
            <w:tcBorders>
              <w:top w:val="single" w:color="FFFFFF" w:sz="6" w:space="0"/>
              <w:left w:val="single" w:color="FFFFFF" w:sz="6" w:space="0"/>
              <w:right w:val="single" w:color="FFFFFF" w:sz="6" w:space="0"/>
            </w:tcBorders>
            <w:vAlign w:val="center"/>
          </w:tcPr>
          <w:p w14:paraId="0C52AD7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DFDDECF">
            <w:pPr>
              <w:pStyle w:val="7"/>
            </w:pPr>
            <w:r>
              <w:t>单位：万元</w:t>
            </w:r>
          </w:p>
        </w:tc>
      </w:tr>
      <w:tr w14:paraId="1C3F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BBF10">
            <w:pPr>
              <w:pStyle w:val="10"/>
            </w:pPr>
            <w:r>
              <w:t>序号</w:t>
            </w:r>
          </w:p>
        </w:tc>
        <w:tc>
          <w:tcPr>
            <w:tcW w:w="4876" w:type="dxa"/>
            <w:gridSpan w:val="2"/>
            <w:vAlign w:val="center"/>
          </w:tcPr>
          <w:p w14:paraId="63D395B4">
            <w:pPr>
              <w:pStyle w:val="10"/>
            </w:pPr>
            <w:r>
              <w:t>收入</w:t>
            </w:r>
          </w:p>
        </w:tc>
        <w:tc>
          <w:tcPr>
            <w:tcW w:w="9298" w:type="dxa"/>
            <w:gridSpan w:val="5"/>
            <w:vAlign w:val="center"/>
          </w:tcPr>
          <w:p w14:paraId="6DB24AED">
            <w:pPr>
              <w:pStyle w:val="10"/>
            </w:pPr>
            <w:r>
              <w:t>支出</w:t>
            </w:r>
          </w:p>
        </w:tc>
      </w:tr>
      <w:tr w14:paraId="62F6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0E690"/>
        </w:tc>
        <w:tc>
          <w:tcPr>
            <w:tcW w:w="3402" w:type="dxa"/>
            <w:vAlign w:val="center"/>
          </w:tcPr>
          <w:p w14:paraId="2FC6E5E1">
            <w:pPr>
              <w:pStyle w:val="10"/>
            </w:pPr>
            <w:r>
              <w:t>项  目</w:t>
            </w:r>
          </w:p>
        </w:tc>
        <w:tc>
          <w:tcPr>
            <w:tcW w:w="1474" w:type="dxa"/>
            <w:vAlign w:val="center"/>
          </w:tcPr>
          <w:p w14:paraId="417DDB38">
            <w:pPr>
              <w:pStyle w:val="10"/>
            </w:pPr>
            <w:r>
              <w:t>金额</w:t>
            </w:r>
          </w:p>
        </w:tc>
        <w:tc>
          <w:tcPr>
            <w:tcW w:w="3402" w:type="dxa"/>
            <w:vAlign w:val="center"/>
          </w:tcPr>
          <w:p w14:paraId="103D201C">
            <w:pPr>
              <w:pStyle w:val="10"/>
            </w:pPr>
            <w:r>
              <w:t>项  目</w:t>
            </w:r>
          </w:p>
        </w:tc>
        <w:tc>
          <w:tcPr>
            <w:tcW w:w="1474" w:type="dxa"/>
            <w:vAlign w:val="center"/>
          </w:tcPr>
          <w:p w14:paraId="11E9C596">
            <w:pPr>
              <w:pStyle w:val="10"/>
            </w:pPr>
            <w:r>
              <w:t>合计</w:t>
            </w:r>
          </w:p>
        </w:tc>
        <w:tc>
          <w:tcPr>
            <w:tcW w:w="1474" w:type="dxa"/>
            <w:vAlign w:val="center"/>
          </w:tcPr>
          <w:p w14:paraId="50EBF941">
            <w:pPr>
              <w:pStyle w:val="10"/>
            </w:pPr>
            <w:r>
              <w:t>一般公共预算财政拨款</w:t>
            </w:r>
          </w:p>
        </w:tc>
        <w:tc>
          <w:tcPr>
            <w:tcW w:w="1474" w:type="dxa"/>
            <w:vAlign w:val="center"/>
          </w:tcPr>
          <w:p w14:paraId="2CE3F42A">
            <w:pPr>
              <w:pStyle w:val="10"/>
            </w:pPr>
            <w:r>
              <w:t>政府性基金预算财政    拨款</w:t>
            </w:r>
          </w:p>
        </w:tc>
        <w:tc>
          <w:tcPr>
            <w:tcW w:w="1474" w:type="dxa"/>
            <w:vAlign w:val="center"/>
          </w:tcPr>
          <w:p w14:paraId="7E9D371E">
            <w:pPr>
              <w:pStyle w:val="10"/>
            </w:pPr>
            <w:r>
              <w:t>国有资本经营预算财政拨款</w:t>
            </w:r>
          </w:p>
        </w:tc>
      </w:tr>
      <w:tr w14:paraId="620A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C8368E">
            <w:pPr>
              <w:pStyle w:val="10"/>
            </w:pPr>
            <w:r>
              <w:t>栏次</w:t>
            </w:r>
          </w:p>
        </w:tc>
        <w:tc>
          <w:tcPr>
            <w:tcW w:w="3402" w:type="dxa"/>
            <w:vAlign w:val="center"/>
          </w:tcPr>
          <w:p w14:paraId="4BD02144">
            <w:pPr>
              <w:pStyle w:val="10"/>
            </w:pPr>
            <w:r>
              <w:t>1</w:t>
            </w:r>
          </w:p>
        </w:tc>
        <w:tc>
          <w:tcPr>
            <w:tcW w:w="1474" w:type="dxa"/>
            <w:vAlign w:val="center"/>
          </w:tcPr>
          <w:p w14:paraId="786C6A50">
            <w:pPr>
              <w:pStyle w:val="10"/>
            </w:pPr>
            <w:r>
              <w:t>2</w:t>
            </w:r>
          </w:p>
        </w:tc>
        <w:tc>
          <w:tcPr>
            <w:tcW w:w="3402" w:type="dxa"/>
            <w:vAlign w:val="center"/>
          </w:tcPr>
          <w:p w14:paraId="4D20F56B">
            <w:pPr>
              <w:pStyle w:val="10"/>
            </w:pPr>
            <w:r>
              <w:t>3</w:t>
            </w:r>
          </w:p>
        </w:tc>
        <w:tc>
          <w:tcPr>
            <w:tcW w:w="1474" w:type="dxa"/>
            <w:vAlign w:val="center"/>
          </w:tcPr>
          <w:p w14:paraId="388C626C">
            <w:pPr>
              <w:pStyle w:val="10"/>
            </w:pPr>
            <w:r>
              <w:t>4</w:t>
            </w:r>
          </w:p>
        </w:tc>
        <w:tc>
          <w:tcPr>
            <w:tcW w:w="1474" w:type="dxa"/>
            <w:vAlign w:val="center"/>
          </w:tcPr>
          <w:p w14:paraId="5B41307E">
            <w:pPr>
              <w:pStyle w:val="10"/>
            </w:pPr>
            <w:r>
              <w:t>5</w:t>
            </w:r>
          </w:p>
        </w:tc>
        <w:tc>
          <w:tcPr>
            <w:tcW w:w="1474" w:type="dxa"/>
            <w:vAlign w:val="center"/>
          </w:tcPr>
          <w:p w14:paraId="4D787895">
            <w:pPr>
              <w:pStyle w:val="10"/>
            </w:pPr>
            <w:r>
              <w:t>6</w:t>
            </w:r>
          </w:p>
        </w:tc>
        <w:tc>
          <w:tcPr>
            <w:tcW w:w="1474" w:type="dxa"/>
            <w:vAlign w:val="center"/>
          </w:tcPr>
          <w:p w14:paraId="26BC7F17">
            <w:pPr>
              <w:pStyle w:val="10"/>
            </w:pPr>
            <w:r>
              <w:t>7</w:t>
            </w:r>
          </w:p>
        </w:tc>
      </w:tr>
      <w:tr w14:paraId="0481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30EB9">
            <w:pPr>
              <w:pStyle w:val="13"/>
            </w:pPr>
            <w:r>
              <w:t>1</w:t>
            </w:r>
          </w:p>
        </w:tc>
        <w:tc>
          <w:tcPr>
            <w:tcW w:w="3402" w:type="dxa"/>
            <w:vAlign w:val="center"/>
          </w:tcPr>
          <w:p w14:paraId="04B05B45">
            <w:pPr>
              <w:pStyle w:val="12"/>
            </w:pPr>
            <w:r>
              <w:t>一、一般公共预算拨款</w:t>
            </w:r>
          </w:p>
        </w:tc>
        <w:tc>
          <w:tcPr>
            <w:tcW w:w="1474" w:type="dxa"/>
            <w:vAlign w:val="center"/>
          </w:tcPr>
          <w:p w14:paraId="2BC13B24">
            <w:pPr>
              <w:pStyle w:val="11"/>
            </w:pPr>
            <w:r>
              <w:t>143.06</w:t>
            </w:r>
          </w:p>
        </w:tc>
        <w:tc>
          <w:tcPr>
            <w:tcW w:w="3402" w:type="dxa"/>
            <w:vAlign w:val="center"/>
          </w:tcPr>
          <w:p w14:paraId="068C3B5D">
            <w:pPr>
              <w:pStyle w:val="12"/>
            </w:pPr>
            <w:r>
              <w:t>一、一般公共服务支出</w:t>
            </w:r>
          </w:p>
        </w:tc>
        <w:tc>
          <w:tcPr>
            <w:tcW w:w="1474" w:type="dxa"/>
            <w:vAlign w:val="center"/>
          </w:tcPr>
          <w:p w14:paraId="7DD3A440">
            <w:pPr>
              <w:pStyle w:val="11"/>
            </w:pPr>
          </w:p>
        </w:tc>
        <w:tc>
          <w:tcPr>
            <w:tcW w:w="1474" w:type="dxa"/>
            <w:vAlign w:val="center"/>
          </w:tcPr>
          <w:p w14:paraId="216BA2FD">
            <w:pPr>
              <w:pStyle w:val="11"/>
            </w:pPr>
          </w:p>
        </w:tc>
        <w:tc>
          <w:tcPr>
            <w:tcW w:w="1474" w:type="dxa"/>
            <w:vAlign w:val="center"/>
          </w:tcPr>
          <w:p w14:paraId="7BFE096C">
            <w:pPr>
              <w:pStyle w:val="11"/>
            </w:pPr>
          </w:p>
        </w:tc>
        <w:tc>
          <w:tcPr>
            <w:tcW w:w="1474" w:type="dxa"/>
            <w:vAlign w:val="center"/>
          </w:tcPr>
          <w:p w14:paraId="630F6BF2">
            <w:pPr>
              <w:pStyle w:val="11"/>
            </w:pPr>
          </w:p>
        </w:tc>
      </w:tr>
      <w:tr w14:paraId="7D61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5EF0">
            <w:pPr>
              <w:pStyle w:val="13"/>
            </w:pPr>
            <w:r>
              <w:t>2</w:t>
            </w:r>
          </w:p>
        </w:tc>
        <w:tc>
          <w:tcPr>
            <w:tcW w:w="3402" w:type="dxa"/>
            <w:vAlign w:val="center"/>
          </w:tcPr>
          <w:p w14:paraId="0C400A60">
            <w:pPr>
              <w:pStyle w:val="12"/>
            </w:pPr>
            <w:r>
              <w:t>二、政府性基金预算拨款</w:t>
            </w:r>
          </w:p>
        </w:tc>
        <w:tc>
          <w:tcPr>
            <w:tcW w:w="1474" w:type="dxa"/>
            <w:vAlign w:val="center"/>
          </w:tcPr>
          <w:p w14:paraId="6EF26163">
            <w:pPr>
              <w:pStyle w:val="11"/>
            </w:pPr>
          </w:p>
        </w:tc>
        <w:tc>
          <w:tcPr>
            <w:tcW w:w="3402" w:type="dxa"/>
            <w:vAlign w:val="center"/>
          </w:tcPr>
          <w:p w14:paraId="351DEB38">
            <w:pPr>
              <w:pStyle w:val="12"/>
            </w:pPr>
            <w:r>
              <w:t>二、外交支出</w:t>
            </w:r>
          </w:p>
        </w:tc>
        <w:tc>
          <w:tcPr>
            <w:tcW w:w="1474" w:type="dxa"/>
            <w:vAlign w:val="center"/>
          </w:tcPr>
          <w:p w14:paraId="1DFDFBDC">
            <w:pPr>
              <w:pStyle w:val="11"/>
            </w:pPr>
          </w:p>
        </w:tc>
        <w:tc>
          <w:tcPr>
            <w:tcW w:w="1474" w:type="dxa"/>
            <w:vAlign w:val="center"/>
          </w:tcPr>
          <w:p w14:paraId="68E4827B">
            <w:pPr>
              <w:pStyle w:val="11"/>
            </w:pPr>
          </w:p>
        </w:tc>
        <w:tc>
          <w:tcPr>
            <w:tcW w:w="1474" w:type="dxa"/>
            <w:vAlign w:val="center"/>
          </w:tcPr>
          <w:p w14:paraId="4C9226F1">
            <w:pPr>
              <w:pStyle w:val="11"/>
            </w:pPr>
          </w:p>
        </w:tc>
        <w:tc>
          <w:tcPr>
            <w:tcW w:w="1474" w:type="dxa"/>
            <w:vAlign w:val="center"/>
          </w:tcPr>
          <w:p w14:paraId="3648B627">
            <w:pPr>
              <w:pStyle w:val="11"/>
            </w:pPr>
          </w:p>
        </w:tc>
      </w:tr>
      <w:tr w14:paraId="29DD7D69">
        <w:tblPrEx>
          <w:tblCellMar>
            <w:top w:w="0" w:type="dxa"/>
            <w:left w:w="108" w:type="dxa"/>
            <w:bottom w:w="0" w:type="dxa"/>
            <w:right w:w="108" w:type="dxa"/>
          </w:tblCellMar>
        </w:tblPrEx>
        <w:trPr>
          <w:trHeight w:val="369" w:hRule="atLeast"/>
          <w:jc w:val="center"/>
        </w:trPr>
        <w:tc>
          <w:tcPr>
            <w:tcW w:w="850" w:type="dxa"/>
            <w:vAlign w:val="center"/>
          </w:tcPr>
          <w:p w14:paraId="7BEEE2DC">
            <w:pPr>
              <w:pStyle w:val="13"/>
            </w:pPr>
            <w:r>
              <w:t>3</w:t>
            </w:r>
          </w:p>
        </w:tc>
        <w:tc>
          <w:tcPr>
            <w:tcW w:w="3402" w:type="dxa"/>
            <w:vAlign w:val="center"/>
          </w:tcPr>
          <w:p w14:paraId="78BFC711">
            <w:pPr>
              <w:pStyle w:val="12"/>
            </w:pPr>
            <w:r>
              <w:t>三、国有资本经营预算拨款</w:t>
            </w:r>
          </w:p>
        </w:tc>
        <w:tc>
          <w:tcPr>
            <w:tcW w:w="1474" w:type="dxa"/>
            <w:vAlign w:val="center"/>
          </w:tcPr>
          <w:p w14:paraId="0A59B5AC">
            <w:pPr>
              <w:pStyle w:val="11"/>
            </w:pPr>
          </w:p>
        </w:tc>
        <w:tc>
          <w:tcPr>
            <w:tcW w:w="3402" w:type="dxa"/>
            <w:vAlign w:val="center"/>
          </w:tcPr>
          <w:p w14:paraId="639A13C1">
            <w:pPr>
              <w:pStyle w:val="12"/>
            </w:pPr>
            <w:r>
              <w:t>三、国防支出</w:t>
            </w:r>
          </w:p>
        </w:tc>
        <w:tc>
          <w:tcPr>
            <w:tcW w:w="1474" w:type="dxa"/>
            <w:vAlign w:val="center"/>
          </w:tcPr>
          <w:p w14:paraId="6BF248C3">
            <w:pPr>
              <w:pStyle w:val="11"/>
            </w:pPr>
          </w:p>
        </w:tc>
        <w:tc>
          <w:tcPr>
            <w:tcW w:w="1474" w:type="dxa"/>
            <w:vAlign w:val="center"/>
          </w:tcPr>
          <w:p w14:paraId="078C2E6D">
            <w:pPr>
              <w:pStyle w:val="11"/>
            </w:pPr>
          </w:p>
        </w:tc>
        <w:tc>
          <w:tcPr>
            <w:tcW w:w="1474" w:type="dxa"/>
            <w:vAlign w:val="center"/>
          </w:tcPr>
          <w:p w14:paraId="0CE05A23">
            <w:pPr>
              <w:pStyle w:val="11"/>
            </w:pPr>
          </w:p>
        </w:tc>
        <w:tc>
          <w:tcPr>
            <w:tcW w:w="1474" w:type="dxa"/>
            <w:vAlign w:val="center"/>
          </w:tcPr>
          <w:p w14:paraId="04931FF9">
            <w:pPr>
              <w:pStyle w:val="11"/>
            </w:pPr>
          </w:p>
        </w:tc>
      </w:tr>
      <w:tr w14:paraId="7868B6E4">
        <w:tblPrEx>
          <w:tblCellMar>
            <w:top w:w="0" w:type="dxa"/>
            <w:left w:w="108" w:type="dxa"/>
            <w:bottom w:w="0" w:type="dxa"/>
            <w:right w:w="108" w:type="dxa"/>
          </w:tblCellMar>
        </w:tblPrEx>
        <w:trPr>
          <w:trHeight w:val="369" w:hRule="atLeast"/>
          <w:jc w:val="center"/>
        </w:trPr>
        <w:tc>
          <w:tcPr>
            <w:tcW w:w="850" w:type="dxa"/>
            <w:vAlign w:val="center"/>
          </w:tcPr>
          <w:p w14:paraId="1A484AFD">
            <w:pPr>
              <w:pStyle w:val="13"/>
            </w:pPr>
            <w:r>
              <w:t>4</w:t>
            </w:r>
          </w:p>
        </w:tc>
        <w:tc>
          <w:tcPr>
            <w:tcW w:w="3402" w:type="dxa"/>
            <w:vAlign w:val="center"/>
          </w:tcPr>
          <w:p w14:paraId="6D26748D">
            <w:pPr>
              <w:pStyle w:val="12"/>
            </w:pPr>
          </w:p>
        </w:tc>
        <w:tc>
          <w:tcPr>
            <w:tcW w:w="1474" w:type="dxa"/>
            <w:vAlign w:val="center"/>
          </w:tcPr>
          <w:p w14:paraId="7C817122">
            <w:pPr>
              <w:pStyle w:val="11"/>
            </w:pPr>
          </w:p>
        </w:tc>
        <w:tc>
          <w:tcPr>
            <w:tcW w:w="3402" w:type="dxa"/>
            <w:vAlign w:val="center"/>
          </w:tcPr>
          <w:p w14:paraId="331441F7">
            <w:pPr>
              <w:pStyle w:val="12"/>
            </w:pPr>
            <w:r>
              <w:t>四、公共安全支出</w:t>
            </w:r>
          </w:p>
        </w:tc>
        <w:tc>
          <w:tcPr>
            <w:tcW w:w="1474" w:type="dxa"/>
            <w:vAlign w:val="center"/>
          </w:tcPr>
          <w:p w14:paraId="3C7F8FB8">
            <w:pPr>
              <w:pStyle w:val="11"/>
            </w:pPr>
          </w:p>
        </w:tc>
        <w:tc>
          <w:tcPr>
            <w:tcW w:w="1474" w:type="dxa"/>
            <w:vAlign w:val="center"/>
          </w:tcPr>
          <w:p w14:paraId="00047202">
            <w:pPr>
              <w:pStyle w:val="11"/>
            </w:pPr>
          </w:p>
        </w:tc>
        <w:tc>
          <w:tcPr>
            <w:tcW w:w="1474" w:type="dxa"/>
            <w:vAlign w:val="center"/>
          </w:tcPr>
          <w:p w14:paraId="7A01D2B7">
            <w:pPr>
              <w:pStyle w:val="11"/>
            </w:pPr>
          </w:p>
        </w:tc>
        <w:tc>
          <w:tcPr>
            <w:tcW w:w="1474" w:type="dxa"/>
            <w:vAlign w:val="center"/>
          </w:tcPr>
          <w:p w14:paraId="1BE7345B">
            <w:pPr>
              <w:pStyle w:val="11"/>
            </w:pPr>
          </w:p>
        </w:tc>
      </w:tr>
      <w:tr w14:paraId="2D43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D79B0">
            <w:pPr>
              <w:pStyle w:val="13"/>
            </w:pPr>
            <w:r>
              <w:t>5</w:t>
            </w:r>
          </w:p>
        </w:tc>
        <w:tc>
          <w:tcPr>
            <w:tcW w:w="3402" w:type="dxa"/>
            <w:vAlign w:val="center"/>
          </w:tcPr>
          <w:p w14:paraId="6E1FD18F">
            <w:pPr>
              <w:pStyle w:val="12"/>
            </w:pPr>
          </w:p>
        </w:tc>
        <w:tc>
          <w:tcPr>
            <w:tcW w:w="1474" w:type="dxa"/>
            <w:vAlign w:val="center"/>
          </w:tcPr>
          <w:p w14:paraId="558741A1">
            <w:pPr>
              <w:pStyle w:val="11"/>
            </w:pPr>
          </w:p>
        </w:tc>
        <w:tc>
          <w:tcPr>
            <w:tcW w:w="3402" w:type="dxa"/>
            <w:vAlign w:val="center"/>
          </w:tcPr>
          <w:p w14:paraId="7CD02D8E">
            <w:pPr>
              <w:pStyle w:val="12"/>
            </w:pPr>
            <w:r>
              <w:t>五、教育支出</w:t>
            </w:r>
          </w:p>
        </w:tc>
        <w:tc>
          <w:tcPr>
            <w:tcW w:w="1474" w:type="dxa"/>
            <w:vAlign w:val="center"/>
          </w:tcPr>
          <w:p w14:paraId="6871A70D">
            <w:pPr>
              <w:pStyle w:val="11"/>
            </w:pPr>
            <w:r>
              <w:t>126.30</w:t>
            </w:r>
          </w:p>
        </w:tc>
        <w:tc>
          <w:tcPr>
            <w:tcW w:w="1474" w:type="dxa"/>
            <w:vAlign w:val="center"/>
          </w:tcPr>
          <w:p w14:paraId="1FCE5343">
            <w:pPr>
              <w:pStyle w:val="11"/>
            </w:pPr>
            <w:r>
              <w:t>126.30</w:t>
            </w:r>
          </w:p>
        </w:tc>
        <w:tc>
          <w:tcPr>
            <w:tcW w:w="1474" w:type="dxa"/>
            <w:vAlign w:val="center"/>
          </w:tcPr>
          <w:p w14:paraId="67661FF7">
            <w:pPr>
              <w:pStyle w:val="11"/>
            </w:pPr>
          </w:p>
        </w:tc>
        <w:tc>
          <w:tcPr>
            <w:tcW w:w="1474" w:type="dxa"/>
            <w:vAlign w:val="center"/>
          </w:tcPr>
          <w:p w14:paraId="6D99AF6F">
            <w:pPr>
              <w:pStyle w:val="11"/>
            </w:pPr>
          </w:p>
        </w:tc>
      </w:tr>
      <w:tr w14:paraId="0CB7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BD344">
            <w:pPr>
              <w:pStyle w:val="13"/>
            </w:pPr>
            <w:r>
              <w:t>6</w:t>
            </w:r>
          </w:p>
        </w:tc>
        <w:tc>
          <w:tcPr>
            <w:tcW w:w="3402" w:type="dxa"/>
            <w:vAlign w:val="center"/>
          </w:tcPr>
          <w:p w14:paraId="3A8D8163">
            <w:pPr>
              <w:pStyle w:val="12"/>
            </w:pPr>
          </w:p>
        </w:tc>
        <w:tc>
          <w:tcPr>
            <w:tcW w:w="1474" w:type="dxa"/>
            <w:vAlign w:val="center"/>
          </w:tcPr>
          <w:p w14:paraId="5A825FA2">
            <w:pPr>
              <w:pStyle w:val="11"/>
            </w:pPr>
          </w:p>
        </w:tc>
        <w:tc>
          <w:tcPr>
            <w:tcW w:w="3402" w:type="dxa"/>
            <w:vAlign w:val="center"/>
          </w:tcPr>
          <w:p w14:paraId="0506DBB4">
            <w:pPr>
              <w:pStyle w:val="12"/>
            </w:pPr>
            <w:r>
              <w:t>六、科学技术支出</w:t>
            </w:r>
          </w:p>
        </w:tc>
        <w:tc>
          <w:tcPr>
            <w:tcW w:w="1474" w:type="dxa"/>
            <w:vAlign w:val="center"/>
          </w:tcPr>
          <w:p w14:paraId="55B7E406">
            <w:pPr>
              <w:pStyle w:val="11"/>
            </w:pPr>
          </w:p>
        </w:tc>
        <w:tc>
          <w:tcPr>
            <w:tcW w:w="1474" w:type="dxa"/>
            <w:vAlign w:val="center"/>
          </w:tcPr>
          <w:p w14:paraId="47673400">
            <w:pPr>
              <w:pStyle w:val="11"/>
            </w:pPr>
          </w:p>
        </w:tc>
        <w:tc>
          <w:tcPr>
            <w:tcW w:w="1474" w:type="dxa"/>
            <w:vAlign w:val="center"/>
          </w:tcPr>
          <w:p w14:paraId="57A1722E">
            <w:pPr>
              <w:pStyle w:val="11"/>
            </w:pPr>
          </w:p>
        </w:tc>
        <w:tc>
          <w:tcPr>
            <w:tcW w:w="1474" w:type="dxa"/>
            <w:vAlign w:val="center"/>
          </w:tcPr>
          <w:p w14:paraId="047F1CF7">
            <w:pPr>
              <w:pStyle w:val="11"/>
            </w:pPr>
          </w:p>
        </w:tc>
      </w:tr>
      <w:tr w14:paraId="0F0F1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18FF7">
            <w:pPr>
              <w:pStyle w:val="13"/>
            </w:pPr>
            <w:r>
              <w:t>7</w:t>
            </w:r>
          </w:p>
        </w:tc>
        <w:tc>
          <w:tcPr>
            <w:tcW w:w="3402" w:type="dxa"/>
            <w:vAlign w:val="center"/>
          </w:tcPr>
          <w:p w14:paraId="3FDD15FC">
            <w:pPr>
              <w:pStyle w:val="12"/>
            </w:pPr>
          </w:p>
        </w:tc>
        <w:tc>
          <w:tcPr>
            <w:tcW w:w="1474" w:type="dxa"/>
            <w:vAlign w:val="center"/>
          </w:tcPr>
          <w:p w14:paraId="2DDF7CB7">
            <w:pPr>
              <w:pStyle w:val="11"/>
            </w:pPr>
          </w:p>
        </w:tc>
        <w:tc>
          <w:tcPr>
            <w:tcW w:w="3402" w:type="dxa"/>
            <w:vAlign w:val="center"/>
          </w:tcPr>
          <w:p w14:paraId="704E4E40">
            <w:pPr>
              <w:pStyle w:val="12"/>
            </w:pPr>
            <w:r>
              <w:t>七、文化旅游体育与传媒支出</w:t>
            </w:r>
          </w:p>
        </w:tc>
        <w:tc>
          <w:tcPr>
            <w:tcW w:w="1474" w:type="dxa"/>
            <w:vAlign w:val="center"/>
          </w:tcPr>
          <w:p w14:paraId="61BDE92D">
            <w:pPr>
              <w:pStyle w:val="11"/>
            </w:pPr>
          </w:p>
        </w:tc>
        <w:tc>
          <w:tcPr>
            <w:tcW w:w="1474" w:type="dxa"/>
            <w:vAlign w:val="center"/>
          </w:tcPr>
          <w:p w14:paraId="08190FA0">
            <w:pPr>
              <w:pStyle w:val="11"/>
            </w:pPr>
          </w:p>
        </w:tc>
        <w:tc>
          <w:tcPr>
            <w:tcW w:w="1474" w:type="dxa"/>
            <w:vAlign w:val="center"/>
          </w:tcPr>
          <w:p w14:paraId="2520EC21">
            <w:pPr>
              <w:pStyle w:val="11"/>
            </w:pPr>
          </w:p>
        </w:tc>
        <w:tc>
          <w:tcPr>
            <w:tcW w:w="1474" w:type="dxa"/>
            <w:vAlign w:val="center"/>
          </w:tcPr>
          <w:p w14:paraId="01B72612">
            <w:pPr>
              <w:pStyle w:val="11"/>
            </w:pPr>
          </w:p>
        </w:tc>
      </w:tr>
      <w:tr w14:paraId="7E9D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EE9F">
            <w:pPr>
              <w:pStyle w:val="13"/>
            </w:pPr>
            <w:r>
              <w:t>8</w:t>
            </w:r>
          </w:p>
        </w:tc>
        <w:tc>
          <w:tcPr>
            <w:tcW w:w="3402" w:type="dxa"/>
            <w:vAlign w:val="center"/>
          </w:tcPr>
          <w:p w14:paraId="0F5D8056">
            <w:pPr>
              <w:pStyle w:val="12"/>
            </w:pPr>
          </w:p>
        </w:tc>
        <w:tc>
          <w:tcPr>
            <w:tcW w:w="1474" w:type="dxa"/>
            <w:vAlign w:val="center"/>
          </w:tcPr>
          <w:p w14:paraId="62E5CEED">
            <w:pPr>
              <w:pStyle w:val="11"/>
            </w:pPr>
          </w:p>
        </w:tc>
        <w:tc>
          <w:tcPr>
            <w:tcW w:w="3402" w:type="dxa"/>
            <w:vAlign w:val="center"/>
          </w:tcPr>
          <w:p w14:paraId="78E3DB71">
            <w:pPr>
              <w:pStyle w:val="12"/>
            </w:pPr>
            <w:r>
              <w:t>八、社会保障和就业支出</w:t>
            </w:r>
          </w:p>
        </w:tc>
        <w:tc>
          <w:tcPr>
            <w:tcW w:w="1474" w:type="dxa"/>
            <w:vAlign w:val="center"/>
          </w:tcPr>
          <w:p w14:paraId="1E0293D8">
            <w:pPr>
              <w:pStyle w:val="11"/>
            </w:pPr>
            <w:r>
              <w:t>11.56</w:t>
            </w:r>
          </w:p>
        </w:tc>
        <w:tc>
          <w:tcPr>
            <w:tcW w:w="1474" w:type="dxa"/>
            <w:vAlign w:val="center"/>
          </w:tcPr>
          <w:p w14:paraId="27355480">
            <w:pPr>
              <w:pStyle w:val="11"/>
            </w:pPr>
            <w:r>
              <w:t>11.56</w:t>
            </w:r>
          </w:p>
        </w:tc>
        <w:tc>
          <w:tcPr>
            <w:tcW w:w="1474" w:type="dxa"/>
            <w:vAlign w:val="center"/>
          </w:tcPr>
          <w:p w14:paraId="49EB6132">
            <w:pPr>
              <w:pStyle w:val="11"/>
            </w:pPr>
          </w:p>
        </w:tc>
        <w:tc>
          <w:tcPr>
            <w:tcW w:w="1474" w:type="dxa"/>
            <w:vAlign w:val="center"/>
          </w:tcPr>
          <w:p w14:paraId="0003E29E">
            <w:pPr>
              <w:pStyle w:val="11"/>
            </w:pPr>
          </w:p>
        </w:tc>
      </w:tr>
      <w:tr w14:paraId="7D5E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90497">
            <w:pPr>
              <w:pStyle w:val="13"/>
            </w:pPr>
            <w:r>
              <w:t>9</w:t>
            </w:r>
          </w:p>
        </w:tc>
        <w:tc>
          <w:tcPr>
            <w:tcW w:w="3402" w:type="dxa"/>
            <w:vAlign w:val="center"/>
          </w:tcPr>
          <w:p w14:paraId="39E356F7">
            <w:pPr>
              <w:pStyle w:val="12"/>
            </w:pPr>
          </w:p>
        </w:tc>
        <w:tc>
          <w:tcPr>
            <w:tcW w:w="1474" w:type="dxa"/>
            <w:vAlign w:val="center"/>
          </w:tcPr>
          <w:p w14:paraId="1E23C27E">
            <w:pPr>
              <w:pStyle w:val="11"/>
            </w:pPr>
          </w:p>
        </w:tc>
        <w:tc>
          <w:tcPr>
            <w:tcW w:w="3402" w:type="dxa"/>
            <w:vAlign w:val="center"/>
          </w:tcPr>
          <w:p w14:paraId="25F6AC1C">
            <w:pPr>
              <w:pStyle w:val="12"/>
            </w:pPr>
            <w:r>
              <w:t>九、社会保险基金支出</w:t>
            </w:r>
          </w:p>
        </w:tc>
        <w:tc>
          <w:tcPr>
            <w:tcW w:w="1474" w:type="dxa"/>
            <w:vAlign w:val="center"/>
          </w:tcPr>
          <w:p w14:paraId="2C0EF5EF">
            <w:pPr>
              <w:pStyle w:val="11"/>
            </w:pPr>
          </w:p>
        </w:tc>
        <w:tc>
          <w:tcPr>
            <w:tcW w:w="1474" w:type="dxa"/>
            <w:vAlign w:val="center"/>
          </w:tcPr>
          <w:p w14:paraId="5FAA3705">
            <w:pPr>
              <w:pStyle w:val="11"/>
            </w:pPr>
          </w:p>
        </w:tc>
        <w:tc>
          <w:tcPr>
            <w:tcW w:w="1474" w:type="dxa"/>
            <w:vAlign w:val="center"/>
          </w:tcPr>
          <w:p w14:paraId="5640B8AA">
            <w:pPr>
              <w:pStyle w:val="11"/>
            </w:pPr>
          </w:p>
        </w:tc>
        <w:tc>
          <w:tcPr>
            <w:tcW w:w="1474" w:type="dxa"/>
            <w:vAlign w:val="center"/>
          </w:tcPr>
          <w:p w14:paraId="01700559">
            <w:pPr>
              <w:pStyle w:val="11"/>
            </w:pPr>
          </w:p>
        </w:tc>
      </w:tr>
      <w:tr w14:paraId="0577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5D796">
            <w:pPr>
              <w:pStyle w:val="13"/>
            </w:pPr>
            <w:r>
              <w:t>10</w:t>
            </w:r>
          </w:p>
        </w:tc>
        <w:tc>
          <w:tcPr>
            <w:tcW w:w="3402" w:type="dxa"/>
            <w:vAlign w:val="center"/>
          </w:tcPr>
          <w:p w14:paraId="6477D5D8">
            <w:pPr>
              <w:pStyle w:val="12"/>
            </w:pPr>
          </w:p>
        </w:tc>
        <w:tc>
          <w:tcPr>
            <w:tcW w:w="1474" w:type="dxa"/>
            <w:vAlign w:val="center"/>
          </w:tcPr>
          <w:p w14:paraId="14FF95BC">
            <w:pPr>
              <w:pStyle w:val="11"/>
            </w:pPr>
          </w:p>
        </w:tc>
        <w:tc>
          <w:tcPr>
            <w:tcW w:w="3402" w:type="dxa"/>
            <w:vAlign w:val="center"/>
          </w:tcPr>
          <w:p w14:paraId="7A668A03">
            <w:pPr>
              <w:pStyle w:val="12"/>
            </w:pPr>
            <w:r>
              <w:t>十、卫生健康支出</w:t>
            </w:r>
          </w:p>
        </w:tc>
        <w:tc>
          <w:tcPr>
            <w:tcW w:w="1474" w:type="dxa"/>
            <w:vAlign w:val="center"/>
          </w:tcPr>
          <w:p w14:paraId="3A8BD52D">
            <w:pPr>
              <w:pStyle w:val="11"/>
            </w:pPr>
            <w:r>
              <w:t>5.20</w:t>
            </w:r>
          </w:p>
        </w:tc>
        <w:tc>
          <w:tcPr>
            <w:tcW w:w="1474" w:type="dxa"/>
            <w:vAlign w:val="center"/>
          </w:tcPr>
          <w:p w14:paraId="3F8E9CBB">
            <w:pPr>
              <w:pStyle w:val="11"/>
            </w:pPr>
            <w:r>
              <w:t>5.20</w:t>
            </w:r>
          </w:p>
        </w:tc>
        <w:tc>
          <w:tcPr>
            <w:tcW w:w="1474" w:type="dxa"/>
            <w:vAlign w:val="center"/>
          </w:tcPr>
          <w:p w14:paraId="5D242B62">
            <w:pPr>
              <w:pStyle w:val="11"/>
            </w:pPr>
          </w:p>
        </w:tc>
        <w:tc>
          <w:tcPr>
            <w:tcW w:w="1474" w:type="dxa"/>
            <w:vAlign w:val="center"/>
          </w:tcPr>
          <w:p w14:paraId="511A2AD7">
            <w:pPr>
              <w:pStyle w:val="11"/>
            </w:pPr>
          </w:p>
        </w:tc>
      </w:tr>
      <w:tr w14:paraId="1829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2043">
            <w:pPr>
              <w:pStyle w:val="13"/>
            </w:pPr>
            <w:r>
              <w:t>11</w:t>
            </w:r>
          </w:p>
        </w:tc>
        <w:tc>
          <w:tcPr>
            <w:tcW w:w="3402" w:type="dxa"/>
            <w:vAlign w:val="center"/>
          </w:tcPr>
          <w:p w14:paraId="30A91187">
            <w:pPr>
              <w:pStyle w:val="12"/>
            </w:pPr>
          </w:p>
        </w:tc>
        <w:tc>
          <w:tcPr>
            <w:tcW w:w="1474" w:type="dxa"/>
            <w:vAlign w:val="center"/>
          </w:tcPr>
          <w:p w14:paraId="6B0026F2">
            <w:pPr>
              <w:pStyle w:val="11"/>
            </w:pPr>
          </w:p>
        </w:tc>
        <w:tc>
          <w:tcPr>
            <w:tcW w:w="3402" w:type="dxa"/>
            <w:vAlign w:val="center"/>
          </w:tcPr>
          <w:p w14:paraId="167FC061">
            <w:pPr>
              <w:pStyle w:val="12"/>
            </w:pPr>
            <w:r>
              <w:t>十一、节能环保支出</w:t>
            </w:r>
          </w:p>
        </w:tc>
        <w:tc>
          <w:tcPr>
            <w:tcW w:w="1474" w:type="dxa"/>
            <w:vAlign w:val="center"/>
          </w:tcPr>
          <w:p w14:paraId="4FE2A20B">
            <w:pPr>
              <w:pStyle w:val="11"/>
            </w:pPr>
          </w:p>
        </w:tc>
        <w:tc>
          <w:tcPr>
            <w:tcW w:w="1474" w:type="dxa"/>
            <w:vAlign w:val="center"/>
          </w:tcPr>
          <w:p w14:paraId="2BE2F396">
            <w:pPr>
              <w:pStyle w:val="11"/>
            </w:pPr>
          </w:p>
        </w:tc>
        <w:tc>
          <w:tcPr>
            <w:tcW w:w="1474" w:type="dxa"/>
            <w:vAlign w:val="center"/>
          </w:tcPr>
          <w:p w14:paraId="30A44A5F">
            <w:pPr>
              <w:pStyle w:val="11"/>
            </w:pPr>
          </w:p>
        </w:tc>
        <w:tc>
          <w:tcPr>
            <w:tcW w:w="1474" w:type="dxa"/>
            <w:vAlign w:val="center"/>
          </w:tcPr>
          <w:p w14:paraId="13A208BE">
            <w:pPr>
              <w:pStyle w:val="11"/>
            </w:pPr>
          </w:p>
        </w:tc>
      </w:tr>
      <w:tr w14:paraId="4808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8DE59">
            <w:pPr>
              <w:pStyle w:val="13"/>
            </w:pPr>
            <w:r>
              <w:t>12</w:t>
            </w:r>
          </w:p>
        </w:tc>
        <w:tc>
          <w:tcPr>
            <w:tcW w:w="3402" w:type="dxa"/>
            <w:vAlign w:val="center"/>
          </w:tcPr>
          <w:p w14:paraId="5B3BA44D">
            <w:pPr>
              <w:pStyle w:val="12"/>
            </w:pPr>
          </w:p>
        </w:tc>
        <w:tc>
          <w:tcPr>
            <w:tcW w:w="1474" w:type="dxa"/>
            <w:vAlign w:val="center"/>
          </w:tcPr>
          <w:p w14:paraId="00A78919">
            <w:pPr>
              <w:pStyle w:val="11"/>
            </w:pPr>
          </w:p>
        </w:tc>
        <w:tc>
          <w:tcPr>
            <w:tcW w:w="3402" w:type="dxa"/>
            <w:vAlign w:val="center"/>
          </w:tcPr>
          <w:p w14:paraId="0A9FD791">
            <w:pPr>
              <w:pStyle w:val="12"/>
            </w:pPr>
            <w:r>
              <w:t>十二、城乡社区支出</w:t>
            </w:r>
          </w:p>
        </w:tc>
        <w:tc>
          <w:tcPr>
            <w:tcW w:w="1474" w:type="dxa"/>
            <w:vAlign w:val="center"/>
          </w:tcPr>
          <w:p w14:paraId="5E73762C">
            <w:pPr>
              <w:pStyle w:val="11"/>
            </w:pPr>
          </w:p>
        </w:tc>
        <w:tc>
          <w:tcPr>
            <w:tcW w:w="1474" w:type="dxa"/>
            <w:vAlign w:val="center"/>
          </w:tcPr>
          <w:p w14:paraId="09934B08">
            <w:pPr>
              <w:pStyle w:val="11"/>
            </w:pPr>
          </w:p>
        </w:tc>
        <w:tc>
          <w:tcPr>
            <w:tcW w:w="1474" w:type="dxa"/>
            <w:vAlign w:val="center"/>
          </w:tcPr>
          <w:p w14:paraId="37E027D3">
            <w:pPr>
              <w:pStyle w:val="11"/>
            </w:pPr>
          </w:p>
        </w:tc>
        <w:tc>
          <w:tcPr>
            <w:tcW w:w="1474" w:type="dxa"/>
            <w:vAlign w:val="center"/>
          </w:tcPr>
          <w:p w14:paraId="4FE0AD18">
            <w:pPr>
              <w:pStyle w:val="11"/>
            </w:pPr>
          </w:p>
        </w:tc>
      </w:tr>
      <w:tr w14:paraId="33B8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4631F">
            <w:pPr>
              <w:pStyle w:val="13"/>
            </w:pPr>
            <w:r>
              <w:t>13</w:t>
            </w:r>
          </w:p>
        </w:tc>
        <w:tc>
          <w:tcPr>
            <w:tcW w:w="3402" w:type="dxa"/>
            <w:vAlign w:val="center"/>
          </w:tcPr>
          <w:p w14:paraId="416AD0FA">
            <w:pPr>
              <w:pStyle w:val="12"/>
            </w:pPr>
          </w:p>
        </w:tc>
        <w:tc>
          <w:tcPr>
            <w:tcW w:w="1474" w:type="dxa"/>
            <w:vAlign w:val="center"/>
          </w:tcPr>
          <w:p w14:paraId="37FF5462">
            <w:pPr>
              <w:pStyle w:val="11"/>
            </w:pPr>
          </w:p>
        </w:tc>
        <w:tc>
          <w:tcPr>
            <w:tcW w:w="3402" w:type="dxa"/>
            <w:vAlign w:val="center"/>
          </w:tcPr>
          <w:p w14:paraId="016BCAEB">
            <w:pPr>
              <w:pStyle w:val="12"/>
            </w:pPr>
            <w:r>
              <w:t>十三、农林水支出</w:t>
            </w:r>
          </w:p>
        </w:tc>
        <w:tc>
          <w:tcPr>
            <w:tcW w:w="1474" w:type="dxa"/>
            <w:vAlign w:val="center"/>
          </w:tcPr>
          <w:p w14:paraId="24C22DB2">
            <w:pPr>
              <w:pStyle w:val="11"/>
            </w:pPr>
          </w:p>
        </w:tc>
        <w:tc>
          <w:tcPr>
            <w:tcW w:w="1474" w:type="dxa"/>
            <w:vAlign w:val="center"/>
          </w:tcPr>
          <w:p w14:paraId="16681D0A">
            <w:pPr>
              <w:pStyle w:val="11"/>
            </w:pPr>
          </w:p>
        </w:tc>
        <w:tc>
          <w:tcPr>
            <w:tcW w:w="1474" w:type="dxa"/>
            <w:vAlign w:val="center"/>
          </w:tcPr>
          <w:p w14:paraId="5ACDAF8B">
            <w:pPr>
              <w:pStyle w:val="11"/>
            </w:pPr>
          </w:p>
        </w:tc>
        <w:tc>
          <w:tcPr>
            <w:tcW w:w="1474" w:type="dxa"/>
            <w:vAlign w:val="center"/>
          </w:tcPr>
          <w:p w14:paraId="3CD4F924">
            <w:pPr>
              <w:pStyle w:val="11"/>
            </w:pPr>
          </w:p>
        </w:tc>
      </w:tr>
      <w:tr w14:paraId="499F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FE50A">
            <w:pPr>
              <w:pStyle w:val="13"/>
            </w:pPr>
            <w:r>
              <w:t>14</w:t>
            </w:r>
          </w:p>
        </w:tc>
        <w:tc>
          <w:tcPr>
            <w:tcW w:w="3402" w:type="dxa"/>
            <w:vAlign w:val="center"/>
          </w:tcPr>
          <w:p w14:paraId="7BB1683A">
            <w:pPr>
              <w:pStyle w:val="12"/>
            </w:pPr>
          </w:p>
        </w:tc>
        <w:tc>
          <w:tcPr>
            <w:tcW w:w="1474" w:type="dxa"/>
            <w:vAlign w:val="center"/>
          </w:tcPr>
          <w:p w14:paraId="13AF1C68">
            <w:pPr>
              <w:pStyle w:val="11"/>
            </w:pPr>
          </w:p>
        </w:tc>
        <w:tc>
          <w:tcPr>
            <w:tcW w:w="3402" w:type="dxa"/>
            <w:vAlign w:val="center"/>
          </w:tcPr>
          <w:p w14:paraId="5F7420C5">
            <w:pPr>
              <w:pStyle w:val="12"/>
            </w:pPr>
            <w:r>
              <w:t>十四、交通运输支出</w:t>
            </w:r>
          </w:p>
        </w:tc>
        <w:tc>
          <w:tcPr>
            <w:tcW w:w="1474" w:type="dxa"/>
            <w:vAlign w:val="center"/>
          </w:tcPr>
          <w:p w14:paraId="2E11E4FF">
            <w:pPr>
              <w:pStyle w:val="11"/>
            </w:pPr>
          </w:p>
        </w:tc>
        <w:tc>
          <w:tcPr>
            <w:tcW w:w="1474" w:type="dxa"/>
            <w:vAlign w:val="center"/>
          </w:tcPr>
          <w:p w14:paraId="7F4CBE4D">
            <w:pPr>
              <w:pStyle w:val="11"/>
            </w:pPr>
          </w:p>
        </w:tc>
        <w:tc>
          <w:tcPr>
            <w:tcW w:w="1474" w:type="dxa"/>
            <w:vAlign w:val="center"/>
          </w:tcPr>
          <w:p w14:paraId="7DC4F875">
            <w:pPr>
              <w:pStyle w:val="11"/>
            </w:pPr>
          </w:p>
        </w:tc>
        <w:tc>
          <w:tcPr>
            <w:tcW w:w="1474" w:type="dxa"/>
            <w:vAlign w:val="center"/>
          </w:tcPr>
          <w:p w14:paraId="482BD803">
            <w:pPr>
              <w:pStyle w:val="11"/>
            </w:pPr>
          </w:p>
        </w:tc>
      </w:tr>
      <w:tr w14:paraId="3BBA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8C3A4">
            <w:pPr>
              <w:pStyle w:val="13"/>
            </w:pPr>
            <w:r>
              <w:t>15</w:t>
            </w:r>
          </w:p>
        </w:tc>
        <w:tc>
          <w:tcPr>
            <w:tcW w:w="3402" w:type="dxa"/>
            <w:vAlign w:val="center"/>
          </w:tcPr>
          <w:p w14:paraId="703F68D1">
            <w:pPr>
              <w:pStyle w:val="12"/>
            </w:pPr>
          </w:p>
        </w:tc>
        <w:tc>
          <w:tcPr>
            <w:tcW w:w="1474" w:type="dxa"/>
            <w:vAlign w:val="center"/>
          </w:tcPr>
          <w:p w14:paraId="2C7F8232">
            <w:pPr>
              <w:pStyle w:val="11"/>
            </w:pPr>
          </w:p>
        </w:tc>
        <w:tc>
          <w:tcPr>
            <w:tcW w:w="3402" w:type="dxa"/>
            <w:vAlign w:val="center"/>
          </w:tcPr>
          <w:p w14:paraId="0D7A9ACC">
            <w:pPr>
              <w:pStyle w:val="12"/>
            </w:pPr>
            <w:r>
              <w:t>十五、资源勘探工业信息等支出</w:t>
            </w:r>
          </w:p>
        </w:tc>
        <w:tc>
          <w:tcPr>
            <w:tcW w:w="1474" w:type="dxa"/>
            <w:vAlign w:val="center"/>
          </w:tcPr>
          <w:p w14:paraId="0403696B">
            <w:pPr>
              <w:pStyle w:val="11"/>
            </w:pPr>
          </w:p>
        </w:tc>
        <w:tc>
          <w:tcPr>
            <w:tcW w:w="1474" w:type="dxa"/>
            <w:vAlign w:val="center"/>
          </w:tcPr>
          <w:p w14:paraId="4A65F0FD">
            <w:pPr>
              <w:pStyle w:val="11"/>
            </w:pPr>
          </w:p>
        </w:tc>
        <w:tc>
          <w:tcPr>
            <w:tcW w:w="1474" w:type="dxa"/>
            <w:vAlign w:val="center"/>
          </w:tcPr>
          <w:p w14:paraId="36CE9A5A">
            <w:pPr>
              <w:pStyle w:val="11"/>
            </w:pPr>
          </w:p>
        </w:tc>
        <w:tc>
          <w:tcPr>
            <w:tcW w:w="1474" w:type="dxa"/>
            <w:vAlign w:val="center"/>
          </w:tcPr>
          <w:p w14:paraId="3712557D">
            <w:pPr>
              <w:pStyle w:val="11"/>
            </w:pPr>
          </w:p>
        </w:tc>
      </w:tr>
      <w:tr w14:paraId="6F8F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E7D8">
            <w:pPr>
              <w:pStyle w:val="13"/>
            </w:pPr>
            <w:r>
              <w:t>16</w:t>
            </w:r>
          </w:p>
        </w:tc>
        <w:tc>
          <w:tcPr>
            <w:tcW w:w="3402" w:type="dxa"/>
            <w:vAlign w:val="center"/>
          </w:tcPr>
          <w:p w14:paraId="1759DD2D">
            <w:pPr>
              <w:pStyle w:val="12"/>
            </w:pPr>
          </w:p>
        </w:tc>
        <w:tc>
          <w:tcPr>
            <w:tcW w:w="1474" w:type="dxa"/>
            <w:vAlign w:val="center"/>
          </w:tcPr>
          <w:p w14:paraId="282DD8CD">
            <w:pPr>
              <w:pStyle w:val="11"/>
            </w:pPr>
          </w:p>
        </w:tc>
        <w:tc>
          <w:tcPr>
            <w:tcW w:w="3402" w:type="dxa"/>
            <w:vAlign w:val="center"/>
          </w:tcPr>
          <w:p w14:paraId="512EC6F1">
            <w:pPr>
              <w:pStyle w:val="12"/>
            </w:pPr>
            <w:r>
              <w:t>十六、商业服务业等支出</w:t>
            </w:r>
          </w:p>
        </w:tc>
        <w:tc>
          <w:tcPr>
            <w:tcW w:w="1474" w:type="dxa"/>
            <w:vAlign w:val="center"/>
          </w:tcPr>
          <w:p w14:paraId="428AE97D">
            <w:pPr>
              <w:pStyle w:val="11"/>
            </w:pPr>
          </w:p>
        </w:tc>
        <w:tc>
          <w:tcPr>
            <w:tcW w:w="1474" w:type="dxa"/>
            <w:vAlign w:val="center"/>
          </w:tcPr>
          <w:p w14:paraId="767B5A6C">
            <w:pPr>
              <w:pStyle w:val="11"/>
            </w:pPr>
          </w:p>
        </w:tc>
        <w:tc>
          <w:tcPr>
            <w:tcW w:w="1474" w:type="dxa"/>
            <w:vAlign w:val="center"/>
          </w:tcPr>
          <w:p w14:paraId="70527459">
            <w:pPr>
              <w:pStyle w:val="11"/>
            </w:pPr>
          </w:p>
        </w:tc>
        <w:tc>
          <w:tcPr>
            <w:tcW w:w="1474" w:type="dxa"/>
            <w:vAlign w:val="center"/>
          </w:tcPr>
          <w:p w14:paraId="16C26E5F">
            <w:pPr>
              <w:pStyle w:val="11"/>
            </w:pPr>
          </w:p>
        </w:tc>
      </w:tr>
      <w:tr w14:paraId="4D8B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93F9">
            <w:pPr>
              <w:pStyle w:val="13"/>
            </w:pPr>
            <w:r>
              <w:t>17</w:t>
            </w:r>
          </w:p>
        </w:tc>
        <w:tc>
          <w:tcPr>
            <w:tcW w:w="3402" w:type="dxa"/>
            <w:vAlign w:val="center"/>
          </w:tcPr>
          <w:p w14:paraId="31D3E87D">
            <w:pPr>
              <w:pStyle w:val="12"/>
            </w:pPr>
          </w:p>
        </w:tc>
        <w:tc>
          <w:tcPr>
            <w:tcW w:w="1474" w:type="dxa"/>
            <w:vAlign w:val="center"/>
          </w:tcPr>
          <w:p w14:paraId="0B6F4535">
            <w:pPr>
              <w:pStyle w:val="11"/>
            </w:pPr>
          </w:p>
        </w:tc>
        <w:tc>
          <w:tcPr>
            <w:tcW w:w="3402" w:type="dxa"/>
            <w:vAlign w:val="center"/>
          </w:tcPr>
          <w:p w14:paraId="150C8C9D">
            <w:pPr>
              <w:pStyle w:val="12"/>
            </w:pPr>
            <w:r>
              <w:t>十七、金融支出</w:t>
            </w:r>
          </w:p>
        </w:tc>
        <w:tc>
          <w:tcPr>
            <w:tcW w:w="1474" w:type="dxa"/>
            <w:vAlign w:val="center"/>
          </w:tcPr>
          <w:p w14:paraId="367B88A9">
            <w:pPr>
              <w:pStyle w:val="11"/>
            </w:pPr>
          </w:p>
        </w:tc>
        <w:tc>
          <w:tcPr>
            <w:tcW w:w="1474" w:type="dxa"/>
            <w:vAlign w:val="center"/>
          </w:tcPr>
          <w:p w14:paraId="1D98F764">
            <w:pPr>
              <w:pStyle w:val="11"/>
            </w:pPr>
          </w:p>
        </w:tc>
        <w:tc>
          <w:tcPr>
            <w:tcW w:w="1474" w:type="dxa"/>
            <w:vAlign w:val="center"/>
          </w:tcPr>
          <w:p w14:paraId="42571928">
            <w:pPr>
              <w:pStyle w:val="11"/>
            </w:pPr>
          </w:p>
        </w:tc>
        <w:tc>
          <w:tcPr>
            <w:tcW w:w="1474" w:type="dxa"/>
            <w:vAlign w:val="center"/>
          </w:tcPr>
          <w:p w14:paraId="4E0B0268">
            <w:pPr>
              <w:pStyle w:val="11"/>
            </w:pPr>
          </w:p>
        </w:tc>
      </w:tr>
      <w:tr w14:paraId="6EB9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BBC1E">
            <w:pPr>
              <w:pStyle w:val="13"/>
            </w:pPr>
            <w:r>
              <w:t>18</w:t>
            </w:r>
          </w:p>
        </w:tc>
        <w:tc>
          <w:tcPr>
            <w:tcW w:w="3402" w:type="dxa"/>
            <w:vAlign w:val="center"/>
          </w:tcPr>
          <w:p w14:paraId="41DF4427">
            <w:pPr>
              <w:pStyle w:val="12"/>
            </w:pPr>
          </w:p>
        </w:tc>
        <w:tc>
          <w:tcPr>
            <w:tcW w:w="1474" w:type="dxa"/>
            <w:vAlign w:val="center"/>
          </w:tcPr>
          <w:p w14:paraId="40FF9E42">
            <w:pPr>
              <w:pStyle w:val="11"/>
            </w:pPr>
          </w:p>
        </w:tc>
        <w:tc>
          <w:tcPr>
            <w:tcW w:w="3402" w:type="dxa"/>
            <w:vAlign w:val="center"/>
          </w:tcPr>
          <w:p w14:paraId="2AA243B4">
            <w:pPr>
              <w:pStyle w:val="12"/>
            </w:pPr>
            <w:r>
              <w:t>十八、援助其他地区支出</w:t>
            </w:r>
          </w:p>
        </w:tc>
        <w:tc>
          <w:tcPr>
            <w:tcW w:w="1474" w:type="dxa"/>
            <w:vAlign w:val="center"/>
          </w:tcPr>
          <w:p w14:paraId="0F04C909">
            <w:pPr>
              <w:pStyle w:val="11"/>
            </w:pPr>
          </w:p>
        </w:tc>
        <w:tc>
          <w:tcPr>
            <w:tcW w:w="1474" w:type="dxa"/>
            <w:vAlign w:val="center"/>
          </w:tcPr>
          <w:p w14:paraId="00F2957B">
            <w:pPr>
              <w:pStyle w:val="11"/>
            </w:pPr>
          </w:p>
        </w:tc>
        <w:tc>
          <w:tcPr>
            <w:tcW w:w="1474" w:type="dxa"/>
            <w:vAlign w:val="center"/>
          </w:tcPr>
          <w:p w14:paraId="2DF73270">
            <w:pPr>
              <w:pStyle w:val="11"/>
            </w:pPr>
          </w:p>
        </w:tc>
        <w:tc>
          <w:tcPr>
            <w:tcW w:w="1474" w:type="dxa"/>
            <w:vAlign w:val="center"/>
          </w:tcPr>
          <w:p w14:paraId="67F4FA60">
            <w:pPr>
              <w:pStyle w:val="11"/>
            </w:pPr>
          </w:p>
        </w:tc>
      </w:tr>
      <w:tr w14:paraId="226BF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954FE">
            <w:pPr>
              <w:pStyle w:val="13"/>
            </w:pPr>
            <w:r>
              <w:t>19</w:t>
            </w:r>
          </w:p>
        </w:tc>
        <w:tc>
          <w:tcPr>
            <w:tcW w:w="3402" w:type="dxa"/>
            <w:vAlign w:val="center"/>
          </w:tcPr>
          <w:p w14:paraId="56B6B8FE">
            <w:pPr>
              <w:pStyle w:val="12"/>
            </w:pPr>
          </w:p>
        </w:tc>
        <w:tc>
          <w:tcPr>
            <w:tcW w:w="1474" w:type="dxa"/>
            <w:vAlign w:val="center"/>
          </w:tcPr>
          <w:p w14:paraId="701268EA">
            <w:pPr>
              <w:pStyle w:val="11"/>
            </w:pPr>
          </w:p>
        </w:tc>
        <w:tc>
          <w:tcPr>
            <w:tcW w:w="3402" w:type="dxa"/>
            <w:vAlign w:val="center"/>
          </w:tcPr>
          <w:p w14:paraId="72737DA3">
            <w:pPr>
              <w:pStyle w:val="12"/>
            </w:pPr>
            <w:r>
              <w:t>十九、自然资源海洋气象等支出</w:t>
            </w:r>
          </w:p>
        </w:tc>
        <w:tc>
          <w:tcPr>
            <w:tcW w:w="1474" w:type="dxa"/>
            <w:vAlign w:val="center"/>
          </w:tcPr>
          <w:p w14:paraId="49013EE5">
            <w:pPr>
              <w:pStyle w:val="11"/>
            </w:pPr>
          </w:p>
        </w:tc>
        <w:tc>
          <w:tcPr>
            <w:tcW w:w="1474" w:type="dxa"/>
            <w:vAlign w:val="center"/>
          </w:tcPr>
          <w:p w14:paraId="4C9E1F16">
            <w:pPr>
              <w:pStyle w:val="11"/>
            </w:pPr>
          </w:p>
        </w:tc>
        <w:tc>
          <w:tcPr>
            <w:tcW w:w="1474" w:type="dxa"/>
            <w:vAlign w:val="center"/>
          </w:tcPr>
          <w:p w14:paraId="34D90C32">
            <w:pPr>
              <w:pStyle w:val="11"/>
            </w:pPr>
          </w:p>
        </w:tc>
        <w:tc>
          <w:tcPr>
            <w:tcW w:w="1474" w:type="dxa"/>
            <w:vAlign w:val="center"/>
          </w:tcPr>
          <w:p w14:paraId="6EFECA0A">
            <w:pPr>
              <w:pStyle w:val="11"/>
            </w:pPr>
          </w:p>
        </w:tc>
      </w:tr>
      <w:tr w14:paraId="65E70397">
        <w:tblPrEx>
          <w:tblCellMar>
            <w:top w:w="0" w:type="dxa"/>
            <w:left w:w="108" w:type="dxa"/>
            <w:bottom w:w="0" w:type="dxa"/>
            <w:right w:w="108" w:type="dxa"/>
          </w:tblCellMar>
        </w:tblPrEx>
        <w:trPr>
          <w:trHeight w:val="369" w:hRule="atLeast"/>
          <w:jc w:val="center"/>
        </w:trPr>
        <w:tc>
          <w:tcPr>
            <w:tcW w:w="850" w:type="dxa"/>
            <w:vAlign w:val="center"/>
          </w:tcPr>
          <w:p w14:paraId="3CFC589C">
            <w:pPr>
              <w:pStyle w:val="13"/>
            </w:pPr>
            <w:r>
              <w:t>20</w:t>
            </w:r>
          </w:p>
        </w:tc>
        <w:tc>
          <w:tcPr>
            <w:tcW w:w="3402" w:type="dxa"/>
            <w:vAlign w:val="center"/>
          </w:tcPr>
          <w:p w14:paraId="200AFF08">
            <w:pPr>
              <w:pStyle w:val="12"/>
            </w:pPr>
          </w:p>
        </w:tc>
        <w:tc>
          <w:tcPr>
            <w:tcW w:w="1474" w:type="dxa"/>
            <w:vAlign w:val="center"/>
          </w:tcPr>
          <w:p w14:paraId="66330647">
            <w:pPr>
              <w:pStyle w:val="11"/>
            </w:pPr>
          </w:p>
        </w:tc>
        <w:tc>
          <w:tcPr>
            <w:tcW w:w="3402" w:type="dxa"/>
            <w:vAlign w:val="center"/>
          </w:tcPr>
          <w:p w14:paraId="3811EC4F">
            <w:pPr>
              <w:pStyle w:val="12"/>
            </w:pPr>
            <w:r>
              <w:t>二十、住房保障支出</w:t>
            </w:r>
          </w:p>
        </w:tc>
        <w:tc>
          <w:tcPr>
            <w:tcW w:w="1474" w:type="dxa"/>
            <w:vAlign w:val="center"/>
          </w:tcPr>
          <w:p w14:paraId="51DEE784">
            <w:pPr>
              <w:pStyle w:val="11"/>
            </w:pPr>
          </w:p>
        </w:tc>
        <w:tc>
          <w:tcPr>
            <w:tcW w:w="1474" w:type="dxa"/>
            <w:vAlign w:val="center"/>
          </w:tcPr>
          <w:p w14:paraId="5703FB11">
            <w:pPr>
              <w:pStyle w:val="11"/>
            </w:pPr>
          </w:p>
        </w:tc>
        <w:tc>
          <w:tcPr>
            <w:tcW w:w="1474" w:type="dxa"/>
            <w:vAlign w:val="center"/>
          </w:tcPr>
          <w:p w14:paraId="7DBAEFC2">
            <w:pPr>
              <w:pStyle w:val="11"/>
            </w:pPr>
          </w:p>
        </w:tc>
        <w:tc>
          <w:tcPr>
            <w:tcW w:w="1474" w:type="dxa"/>
            <w:vAlign w:val="center"/>
          </w:tcPr>
          <w:p w14:paraId="076B2726">
            <w:pPr>
              <w:pStyle w:val="11"/>
            </w:pPr>
          </w:p>
        </w:tc>
      </w:tr>
      <w:tr w14:paraId="1FCE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EAA18">
            <w:pPr>
              <w:pStyle w:val="13"/>
            </w:pPr>
            <w:r>
              <w:t>21</w:t>
            </w:r>
          </w:p>
        </w:tc>
        <w:tc>
          <w:tcPr>
            <w:tcW w:w="3402" w:type="dxa"/>
            <w:vAlign w:val="center"/>
          </w:tcPr>
          <w:p w14:paraId="21303423">
            <w:pPr>
              <w:pStyle w:val="12"/>
            </w:pPr>
          </w:p>
        </w:tc>
        <w:tc>
          <w:tcPr>
            <w:tcW w:w="1474" w:type="dxa"/>
            <w:vAlign w:val="center"/>
          </w:tcPr>
          <w:p w14:paraId="4C9E673E">
            <w:pPr>
              <w:pStyle w:val="11"/>
            </w:pPr>
          </w:p>
        </w:tc>
        <w:tc>
          <w:tcPr>
            <w:tcW w:w="3402" w:type="dxa"/>
            <w:vAlign w:val="center"/>
          </w:tcPr>
          <w:p w14:paraId="434DCE79">
            <w:pPr>
              <w:pStyle w:val="12"/>
            </w:pPr>
            <w:r>
              <w:t>二十一、粮油物资储备支出</w:t>
            </w:r>
          </w:p>
        </w:tc>
        <w:tc>
          <w:tcPr>
            <w:tcW w:w="1474" w:type="dxa"/>
            <w:vAlign w:val="center"/>
          </w:tcPr>
          <w:p w14:paraId="1AD7DB6C">
            <w:pPr>
              <w:pStyle w:val="11"/>
            </w:pPr>
          </w:p>
        </w:tc>
        <w:tc>
          <w:tcPr>
            <w:tcW w:w="1474" w:type="dxa"/>
            <w:vAlign w:val="center"/>
          </w:tcPr>
          <w:p w14:paraId="6B77DEF8">
            <w:pPr>
              <w:pStyle w:val="11"/>
            </w:pPr>
          </w:p>
        </w:tc>
        <w:tc>
          <w:tcPr>
            <w:tcW w:w="1474" w:type="dxa"/>
            <w:vAlign w:val="center"/>
          </w:tcPr>
          <w:p w14:paraId="33881049">
            <w:pPr>
              <w:pStyle w:val="11"/>
            </w:pPr>
          </w:p>
        </w:tc>
        <w:tc>
          <w:tcPr>
            <w:tcW w:w="1474" w:type="dxa"/>
            <w:vAlign w:val="center"/>
          </w:tcPr>
          <w:p w14:paraId="164D33BC">
            <w:pPr>
              <w:pStyle w:val="11"/>
            </w:pPr>
          </w:p>
        </w:tc>
      </w:tr>
      <w:tr w14:paraId="11651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D1F0E">
            <w:pPr>
              <w:pStyle w:val="13"/>
            </w:pPr>
            <w:r>
              <w:t>22</w:t>
            </w:r>
          </w:p>
        </w:tc>
        <w:tc>
          <w:tcPr>
            <w:tcW w:w="3402" w:type="dxa"/>
            <w:vAlign w:val="center"/>
          </w:tcPr>
          <w:p w14:paraId="591FCFBD">
            <w:pPr>
              <w:pStyle w:val="12"/>
            </w:pPr>
          </w:p>
        </w:tc>
        <w:tc>
          <w:tcPr>
            <w:tcW w:w="1474" w:type="dxa"/>
            <w:vAlign w:val="center"/>
          </w:tcPr>
          <w:p w14:paraId="0FA77B77">
            <w:pPr>
              <w:pStyle w:val="11"/>
            </w:pPr>
          </w:p>
        </w:tc>
        <w:tc>
          <w:tcPr>
            <w:tcW w:w="3402" w:type="dxa"/>
            <w:vAlign w:val="center"/>
          </w:tcPr>
          <w:p w14:paraId="29E093C1">
            <w:pPr>
              <w:pStyle w:val="12"/>
            </w:pPr>
            <w:r>
              <w:t>二十二、国有资本经营预算支出</w:t>
            </w:r>
          </w:p>
        </w:tc>
        <w:tc>
          <w:tcPr>
            <w:tcW w:w="1474" w:type="dxa"/>
            <w:vAlign w:val="center"/>
          </w:tcPr>
          <w:p w14:paraId="0B4988B6">
            <w:pPr>
              <w:pStyle w:val="11"/>
            </w:pPr>
          </w:p>
        </w:tc>
        <w:tc>
          <w:tcPr>
            <w:tcW w:w="1474" w:type="dxa"/>
            <w:vAlign w:val="center"/>
          </w:tcPr>
          <w:p w14:paraId="608F3652">
            <w:pPr>
              <w:pStyle w:val="11"/>
            </w:pPr>
          </w:p>
        </w:tc>
        <w:tc>
          <w:tcPr>
            <w:tcW w:w="1474" w:type="dxa"/>
            <w:vAlign w:val="center"/>
          </w:tcPr>
          <w:p w14:paraId="004FB0F0">
            <w:pPr>
              <w:pStyle w:val="11"/>
            </w:pPr>
          </w:p>
        </w:tc>
        <w:tc>
          <w:tcPr>
            <w:tcW w:w="1474" w:type="dxa"/>
            <w:vAlign w:val="center"/>
          </w:tcPr>
          <w:p w14:paraId="50B34AD5">
            <w:pPr>
              <w:pStyle w:val="11"/>
            </w:pPr>
          </w:p>
        </w:tc>
      </w:tr>
      <w:tr w14:paraId="3CA5F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4B007">
            <w:pPr>
              <w:pStyle w:val="13"/>
            </w:pPr>
            <w:r>
              <w:t>23</w:t>
            </w:r>
          </w:p>
        </w:tc>
        <w:tc>
          <w:tcPr>
            <w:tcW w:w="3402" w:type="dxa"/>
            <w:vAlign w:val="center"/>
          </w:tcPr>
          <w:p w14:paraId="51BC950A">
            <w:pPr>
              <w:pStyle w:val="12"/>
            </w:pPr>
          </w:p>
        </w:tc>
        <w:tc>
          <w:tcPr>
            <w:tcW w:w="1474" w:type="dxa"/>
            <w:vAlign w:val="center"/>
          </w:tcPr>
          <w:p w14:paraId="3FC26111">
            <w:pPr>
              <w:pStyle w:val="11"/>
            </w:pPr>
          </w:p>
        </w:tc>
        <w:tc>
          <w:tcPr>
            <w:tcW w:w="3402" w:type="dxa"/>
            <w:vAlign w:val="center"/>
          </w:tcPr>
          <w:p w14:paraId="7A48856A">
            <w:pPr>
              <w:pStyle w:val="12"/>
            </w:pPr>
            <w:r>
              <w:t>二十三、灾害防治及应急管理支出</w:t>
            </w:r>
          </w:p>
        </w:tc>
        <w:tc>
          <w:tcPr>
            <w:tcW w:w="1474" w:type="dxa"/>
            <w:vAlign w:val="center"/>
          </w:tcPr>
          <w:p w14:paraId="788D7969">
            <w:pPr>
              <w:pStyle w:val="11"/>
            </w:pPr>
          </w:p>
        </w:tc>
        <w:tc>
          <w:tcPr>
            <w:tcW w:w="1474" w:type="dxa"/>
            <w:vAlign w:val="center"/>
          </w:tcPr>
          <w:p w14:paraId="1BBEDA98">
            <w:pPr>
              <w:pStyle w:val="11"/>
            </w:pPr>
          </w:p>
        </w:tc>
        <w:tc>
          <w:tcPr>
            <w:tcW w:w="1474" w:type="dxa"/>
            <w:vAlign w:val="center"/>
          </w:tcPr>
          <w:p w14:paraId="6F424890">
            <w:pPr>
              <w:pStyle w:val="11"/>
            </w:pPr>
          </w:p>
        </w:tc>
        <w:tc>
          <w:tcPr>
            <w:tcW w:w="1474" w:type="dxa"/>
            <w:vAlign w:val="center"/>
          </w:tcPr>
          <w:p w14:paraId="41084E60">
            <w:pPr>
              <w:pStyle w:val="11"/>
            </w:pPr>
          </w:p>
        </w:tc>
      </w:tr>
      <w:tr w14:paraId="40F00813">
        <w:tblPrEx>
          <w:tblCellMar>
            <w:top w:w="0" w:type="dxa"/>
            <w:left w:w="108" w:type="dxa"/>
            <w:bottom w:w="0" w:type="dxa"/>
            <w:right w:w="108" w:type="dxa"/>
          </w:tblCellMar>
        </w:tblPrEx>
        <w:trPr>
          <w:trHeight w:val="369" w:hRule="atLeast"/>
          <w:jc w:val="center"/>
        </w:trPr>
        <w:tc>
          <w:tcPr>
            <w:tcW w:w="850" w:type="dxa"/>
            <w:vAlign w:val="center"/>
          </w:tcPr>
          <w:p w14:paraId="6234DECC">
            <w:pPr>
              <w:pStyle w:val="13"/>
            </w:pPr>
            <w:r>
              <w:t>24</w:t>
            </w:r>
          </w:p>
        </w:tc>
        <w:tc>
          <w:tcPr>
            <w:tcW w:w="3402" w:type="dxa"/>
            <w:vAlign w:val="center"/>
          </w:tcPr>
          <w:p w14:paraId="562DD6C8">
            <w:pPr>
              <w:pStyle w:val="12"/>
            </w:pPr>
          </w:p>
        </w:tc>
        <w:tc>
          <w:tcPr>
            <w:tcW w:w="1474" w:type="dxa"/>
            <w:vAlign w:val="center"/>
          </w:tcPr>
          <w:p w14:paraId="0314977F">
            <w:pPr>
              <w:pStyle w:val="11"/>
            </w:pPr>
          </w:p>
        </w:tc>
        <w:tc>
          <w:tcPr>
            <w:tcW w:w="3402" w:type="dxa"/>
            <w:vAlign w:val="center"/>
          </w:tcPr>
          <w:p w14:paraId="639111EC">
            <w:pPr>
              <w:pStyle w:val="12"/>
            </w:pPr>
            <w:r>
              <w:t>二十四、预备费</w:t>
            </w:r>
          </w:p>
        </w:tc>
        <w:tc>
          <w:tcPr>
            <w:tcW w:w="1474" w:type="dxa"/>
            <w:vAlign w:val="center"/>
          </w:tcPr>
          <w:p w14:paraId="64204E34">
            <w:pPr>
              <w:pStyle w:val="11"/>
            </w:pPr>
          </w:p>
        </w:tc>
        <w:tc>
          <w:tcPr>
            <w:tcW w:w="1474" w:type="dxa"/>
            <w:vAlign w:val="center"/>
          </w:tcPr>
          <w:p w14:paraId="3EAF8880">
            <w:pPr>
              <w:pStyle w:val="11"/>
            </w:pPr>
          </w:p>
        </w:tc>
        <w:tc>
          <w:tcPr>
            <w:tcW w:w="1474" w:type="dxa"/>
            <w:vAlign w:val="center"/>
          </w:tcPr>
          <w:p w14:paraId="5C041ABA">
            <w:pPr>
              <w:pStyle w:val="11"/>
            </w:pPr>
          </w:p>
        </w:tc>
        <w:tc>
          <w:tcPr>
            <w:tcW w:w="1474" w:type="dxa"/>
            <w:vAlign w:val="center"/>
          </w:tcPr>
          <w:p w14:paraId="335499DB">
            <w:pPr>
              <w:pStyle w:val="11"/>
            </w:pPr>
          </w:p>
        </w:tc>
      </w:tr>
      <w:tr w14:paraId="4E405D45">
        <w:tblPrEx>
          <w:tblCellMar>
            <w:top w:w="0" w:type="dxa"/>
            <w:left w:w="108" w:type="dxa"/>
            <w:bottom w:w="0" w:type="dxa"/>
            <w:right w:w="108" w:type="dxa"/>
          </w:tblCellMar>
        </w:tblPrEx>
        <w:trPr>
          <w:trHeight w:val="369" w:hRule="atLeast"/>
          <w:jc w:val="center"/>
        </w:trPr>
        <w:tc>
          <w:tcPr>
            <w:tcW w:w="850" w:type="dxa"/>
            <w:vAlign w:val="center"/>
          </w:tcPr>
          <w:p w14:paraId="64BF3DF8">
            <w:pPr>
              <w:pStyle w:val="13"/>
            </w:pPr>
            <w:r>
              <w:t>25</w:t>
            </w:r>
          </w:p>
        </w:tc>
        <w:tc>
          <w:tcPr>
            <w:tcW w:w="3402" w:type="dxa"/>
            <w:vAlign w:val="center"/>
          </w:tcPr>
          <w:p w14:paraId="32BB4426">
            <w:pPr>
              <w:pStyle w:val="12"/>
            </w:pPr>
          </w:p>
        </w:tc>
        <w:tc>
          <w:tcPr>
            <w:tcW w:w="1474" w:type="dxa"/>
            <w:vAlign w:val="center"/>
          </w:tcPr>
          <w:p w14:paraId="156910F5">
            <w:pPr>
              <w:pStyle w:val="11"/>
            </w:pPr>
          </w:p>
        </w:tc>
        <w:tc>
          <w:tcPr>
            <w:tcW w:w="3402" w:type="dxa"/>
            <w:vAlign w:val="center"/>
          </w:tcPr>
          <w:p w14:paraId="145E10F9">
            <w:pPr>
              <w:pStyle w:val="12"/>
            </w:pPr>
            <w:r>
              <w:t>二十五、其他支出</w:t>
            </w:r>
          </w:p>
        </w:tc>
        <w:tc>
          <w:tcPr>
            <w:tcW w:w="1474" w:type="dxa"/>
            <w:vAlign w:val="center"/>
          </w:tcPr>
          <w:p w14:paraId="2C4C57FF">
            <w:pPr>
              <w:pStyle w:val="11"/>
            </w:pPr>
          </w:p>
        </w:tc>
        <w:tc>
          <w:tcPr>
            <w:tcW w:w="1474" w:type="dxa"/>
            <w:vAlign w:val="center"/>
          </w:tcPr>
          <w:p w14:paraId="6013ED51">
            <w:pPr>
              <w:pStyle w:val="11"/>
            </w:pPr>
          </w:p>
        </w:tc>
        <w:tc>
          <w:tcPr>
            <w:tcW w:w="1474" w:type="dxa"/>
            <w:vAlign w:val="center"/>
          </w:tcPr>
          <w:p w14:paraId="1D6EDB9E">
            <w:pPr>
              <w:pStyle w:val="11"/>
            </w:pPr>
          </w:p>
        </w:tc>
        <w:tc>
          <w:tcPr>
            <w:tcW w:w="1474" w:type="dxa"/>
            <w:vAlign w:val="center"/>
          </w:tcPr>
          <w:p w14:paraId="054DD3B5">
            <w:pPr>
              <w:pStyle w:val="11"/>
            </w:pPr>
          </w:p>
        </w:tc>
      </w:tr>
      <w:tr w14:paraId="5C17F6CC">
        <w:tblPrEx>
          <w:tblCellMar>
            <w:top w:w="0" w:type="dxa"/>
            <w:left w:w="108" w:type="dxa"/>
            <w:bottom w:w="0" w:type="dxa"/>
            <w:right w:w="108" w:type="dxa"/>
          </w:tblCellMar>
        </w:tblPrEx>
        <w:trPr>
          <w:trHeight w:val="369" w:hRule="atLeast"/>
          <w:jc w:val="center"/>
        </w:trPr>
        <w:tc>
          <w:tcPr>
            <w:tcW w:w="850" w:type="dxa"/>
            <w:vAlign w:val="center"/>
          </w:tcPr>
          <w:p w14:paraId="2991076F">
            <w:pPr>
              <w:pStyle w:val="13"/>
            </w:pPr>
            <w:r>
              <w:t>26</w:t>
            </w:r>
          </w:p>
        </w:tc>
        <w:tc>
          <w:tcPr>
            <w:tcW w:w="3402" w:type="dxa"/>
            <w:vAlign w:val="center"/>
          </w:tcPr>
          <w:p w14:paraId="451A31BC">
            <w:pPr>
              <w:pStyle w:val="12"/>
            </w:pPr>
          </w:p>
        </w:tc>
        <w:tc>
          <w:tcPr>
            <w:tcW w:w="1474" w:type="dxa"/>
            <w:vAlign w:val="center"/>
          </w:tcPr>
          <w:p w14:paraId="03F34891">
            <w:pPr>
              <w:pStyle w:val="11"/>
            </w:pPr>
          </w:p>
        </w:tc>
        <w:tc>
          <w:tcPr>
            <w:tcW w:w="3402" w:type="dxa"/>
            <w:vAlign w:val="center"/>
          </w:tcPr>
          <w:p w14:paraId="1A7CA517">
            <w:pPr>
              <w:pStyle w:val="12"/>
            </w:pPr>
            <w:r>
              <w:t>二十六、转移性支出</w:t>
            </w:r>
          </w:p>
        </w:tc>
        <w:tc>
          <w:tcPr>
            <w:tcW w:w="1474" w:type="dxa"/>
            <w:vAlign w:val="center"/>
          </w:tcPr>
          <w:p w14:paraId="78948059">
            <w:pPr>
              <w:pStyle w:val="11"/>
            </w:pPr>
          </w:p>
        </w:tc>
        <w:tc>
          <w:tcPr>
            <w:tcW w:w="1474" w:type="dxa"/>
            <w:vAlign w:val="center"/>
          </w:tcPr>
          <w:p w14:paraId="704202EB">
            <w:pPr>
              <w:pStyle w:val="11"/>
            </w:pPr>
          </w:p>
        </w:tc>
        <w:tc>
          <w:tcPr>
            <w:tcW w:w="1474" w:type="dxa"/>
            <w:vAlign w:val="center"/>
          </w:tcPr>
          <w:p w14:paraId="29A9AEC3">
            <w:pPr>
              <w:pStyle w:val="11"/>
            </w:pPr>
          </w:p>
        </w:tc>
        <w:tc>
          <w:tcPr>
            <w:tcW w:w="1474" w:type="dxa"/>
            <w:vAlign w:val="center"/>
          </w:tcPr>
          <w:p w14:paraId="62EA5514">
            <w:pPr>
              <w:pStyle w:val="11"/>
            </w:pPr>
          </w:p>
        </w:tc>
      </w:tr>
      <w:tr w14:paraId="5429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4FE93">
            <w:pPr>
              <w:pStyle w:val="13"/>
            </w:pPr>
            <w:r>
              <w:t>27</w:t>
            </w:r>
          </w:p>
        </w:tc>
        <w:tc>
          <w:tcPr>
            <w:tcW w:w="3402" w:type="dxa"/>
            <w:vAlign w:val="center"/>
          </w:tcPr>
          <w:p w14:paraId="24B563AE">
            <w:pPr>
              <w:pStyle w:val="12"/>
            </w:pPr>
          </w:p>
        </w:tc>
        <w:tc>
          <w:tcPr>
            <w:tcW w:w="1474" w:type="dxa"/>
            <w:vAlign w:val="center"/>
          </w:tcPr>
          <w:p w14:paraId="71ED04E2">
            <w:pPr>
              <w:pStyle w:val="11"/>
            </w:pPr>
          </w:p>
        </w:tc>
        <w:tc>
          <w:tcPr>
            <w:tcW w:w="3402" w:type="dxa"/>
            <w:vAlign w:val="center"/>
          </w:tcPr>
          <w:p w14:paraId="6DA99624">
            <w:pPr>
              <w:pStyle w:val="12"/>
            </w:pPr>
            <w:r>
              <w:t>二十七、债务还本支出</w:t>
            </w:r>
          </w:p>
        </w:tc>
        <w:tc>
          <w:tcPr>
            <w:tcW w:w="1474" w:type="dxa"/>
            <w:vAlign w:val="center"/>
          </w:tcPr>
          <w:p w14:paraId="4CBE4EE7">
            <w:pPr>
              <w:pStyle w:val="11"/>
            </w:pPr>
          </w:p>
        </w:tc>
        <w:tc>
          <w:tcPr>
            <w:tcW w:w="1474" w:type="dxa"/>
            <w:vAlign w:val="center"/>
          </w:tcPr>
          <w:p w14:paraId="209B2047">
            <w:pPr>
              <w:pStyle w:val="11"/>
            </w:pPr>
          </w:p>
        </w:tc>
        <w:tc>
          <w:tcPr>
            <w:tcW w:w="1474" w:type="dxa"/>
            <w:vAlign w:val="center"/>
          </w:tcPr>
          <w:p w14:paraId="0A6B4E01">
            <w:pPr>
              <w:pStyle w:val="11"/>
            </w:pPr>
          </w:p>
        </w:tc>
        <w:tc>
          <w:tcPr>
            <w:tcW w:w="1474" w:type="dxa"/>
            <w:vAlign w:val="center"/>
          </w:tcPr>
          <w:p w14:paraId="4E903C24">
            <w:pPr>
              <w:pStyle w:val="11"/>
            </w:pPr>
          </w:p>
        </w:tc>
      </w:tr>
      <w:tr w14:paraId="42BB8FC7">
        <w:tblPrEx>
          <w:tblCellMar>
            <w:top w:w="0" w:type="dxa"/>
            <w:left w:w="108" w:type="dxa"/>
            <w:bottom w:w="0" w:type="dxa"/>
            <w:right w:w="108" w:type="dxa"/>
          </w:tblCellMar>
        </w:tblPrEx>
        <w:trPr>
          <w:trHeight w:val="369" w:hRule="atLeast"/>
          <w:jc w:val="center"/>
        </w:trPr>
        <w:tc>
          <w:tcPr>
            <w:tcW w:w="850" w:type="dxa"/>
            <w:vAlign w:val="center"/>
          </w:tcPr>
          <w:p w14:paraId="42338263">
            <w:pPr>
              <w:pStyle w:val="13"/>
            </w:pPr>
            <w:r>
              <w:t>28</w:t>
            </w:r>
          </w:p>
        </w:tc>
        <w:tc>
          <w:tcPr>
            <w:tcW w:w="3402" w:type="dxa"/>
            <w:vAlign w:val="center"/>
          </w:tcPr>
          <w:p w14:paraId="49854711">
            <w:pPr>
              <w:pStyle w:val="12"/>
            </w:pPr>
          </w:p>
        </w:tc>
        <w:tc>
          <w:tcPr>
            <w:tcW w:w="1474" w:type="dxa"/>
            <w:vAlign w:val="center"/>
          </w:tcPr>
          <w:p w14:paraId="243EF9F9">
            <w:pPr>
              <w:pStyle w:val="11"/>
            </w:pPr>
          </w:p>
        </w:tc>
        <w:tc>
          <w:tcPr>
            <w:tcW w:w="3402" w:type="dxa"/>
            <w:vAlign w:val="center"/>
          </w:tcPr>
          <w:p w14:paraId="02D0749D">
            <w:pPr>
              <w:pStyle w:val="12"/>
            </w:pPr>
            <w:r>
              <w:t>二十八、债务付息支出</w:t>
            </w:r>
          </w:p>
        </w:tc>
        <w:tc>
          <w:tcPr>
            <w:tcW w:w="1474" w:type="dxa"/>
            <w:vAlign w:val="center"/>
          </w:tcPr>
          <w:p w14:paraId="512986CF">
            <w:pPr>
              <w:pStyle w:val="11"/>
            </w:pPr>
          </w:p>
        </w:tc>
        <w:tc>
          <w:tcPr>
            <w:tcW w:w="1474" w:type="dxa"/>
            <w:vAlign w:val="center"/>
          </w:tcPr>
          <w:p w14:paraId="43923525">
            <w:pPr>
              <w:pStyle w:val="11"/>
            </w:pPr>
          </w:p>
        </w:tc>
        <w:tc>
          <w:tcPr>
            <w:tcW w:w="1474" w:type="dxa"/>
            <w:vAlign w:val="center"/>
          </w:tcPr>
          <w:p w14:paraId="149DC3DD">
            <w:pPr>
              <w:pStyle w:val="11"/>
            </w:pPr>
          </w:p>
        </w:tc>
        <w:tc>
          <w:tcPr>
            <w:tcW w:w="1474" w:type="dxa"/>
            <w:vAlign w:val="center"/>
          </w:tcPr>
          <w:p w14:paraId="7827C66B">
            <w:pPr>
              <w:pStyle w:val="11"/>
            </w:pPr>
          </w:p>
        </w:tc>
      </w:tr>
      <w:tr w14:paraId="3978BD26">
        <w:tblPrEx>
          <w:tblCellMar>
            <w:top w:w="0" w:type="dxa"/>
            <w:left w:w="108" w:type="dxa"/>
            <w:bottom w:w="0" w:type="dxa"/>
            <w:right w:w="108" w:type="dxa"/>
          </w:tblCellMar>
        </w:tblPrEx>
        <w:trPr>
          <w:trHeight w:val="369" w:hRule="atLeast"/>
          <w:jc w:val="center"/>
        </w:trPr>
        <w:tc>
          <w:tcPr>
            <w:tcW w:w="850" w:type="dxa"/>
            <w:vAlign w:val="center"/>
          </w:tcPr>
          <w:p w14:paraId="66DE7138">
            <w:pPr>
              <w:pStyle w:val="13"/>
            </w:pPr>
            <w:r>
              <w:t>29</w:t>
            </w:r>
          </w:p>
        </w:tc>
        <w:tc>
          <w:tcPr>
            <w:tcW w:w="3402" w:type="dxa"/>
            <w:vAlign w:val="center"/>
          </w:tcPr>
          <w:p w14:paraId="63F79C0B">
            <w:pPr>
              <w:pStyle w:val="12"/>
            </w:pPr>
          </w:p>
        </w:tc>
        <w:tc>
          <w:tcPr>
            <w:tcW w:w="1474" w:type="dxa"/>
            <w:vAlign w:val="center"/>
          </w:tcPr>
          <w:p w14:paraId="55F41579">
            <w:pPr>
              <w:pStyle w:val="11"/>
            </w:pPr>
          </w:p>
        </w:tc>
        <w:tc>
          <w:tcPr>
            <w:tcW w:w="3402" w:type="dxa"/>
            <w:vAlign w:val="center"/>
          </w:tcPr>
          <w:p w14:paraId="512C73FA">
            <w:pPr>
              <w:pStyle w:val="12"/>
            </w:pPr>
            <w:r>
              <w:t>二十九、债务发行费用支出</w:t>
            </w:r>
          </w:p>
        </w:tc>
        <w:tc>
          <w:tcPr>
            <w:tcW w:w="1474" w:type="dxa"/>
            <w:vAlign w:val="center"/>
          </w:tcPr>
          <w:p w14:paraId="6E5E8529">
            <w:pPr>
              <w:pStyle w:val="11"/>
            </w:pPr>
          </w:p>
        </w:tc>
        <w:tc>
          <w:tcPr>
            <w:tcW w:w="1474" w:type="dxa"/>
            <w:vAlign w:val="center"/>
          </w:tcPr>
          <w:p w14:paraId="1102F3E3">
            <w:pPr>
              <w:pStyle w:val="11"/>
            </w:pPr>
          </w:p>
        </w:tc>
        <w:tc>
          <w:tcPr>
            <w:tcW w:w="1474" w:type="dxa"/>
            <w:vAlign w:val="center"/>
          </w:tcPr>
          <w:p w14:paraId="0B0E8746">
            <w:pPr>
              <w:pStyle w:val="11"/>
            </w:pPr>
          </w:p>
        </w:tc>
        <w:tc>
          <w:tcPr>
            <w:tcW w:w="1474" w:type="dxa"/>
            <w:vAlign w:val="center"/>
          </w:tcPr>
          <w:p w14:paraId="354DBB61">
            <w:pPr>
              <w:pStyle w:val="11"/>
            </w:pPr>
          </w:p>
        </w:tc>
      </w:tr>
      <w:tr w14:paraId="462FF540">
        <w:tblPrEx>
          <w:tblCellMar>
            <w:top w:w="0" w:type="dxa"/>
            <w:left w:w="108" w:type="dxa"/>
            <w:bottom w:w="0" w:type="dxa"/>
            <w:right w:w="108" w:type="dxa"/>
          </w:tblCellMar>
        </w:tblPrEx>
        <w:trPr>
          <w:trHeight w:val="369" w:hRule="atLeast"/>
          <w:jc w:val="center"/>
        </w:trPr>
        <w:tc>
          <w:tcPr>
            <w:tcW w:w="850" w:type="dxa"/>
            <w:vAlign w:val="center"/>
          </w:tcPr>
          <w:p w14:paraId="6C7BAD0A">
            <w:pPr>
              <w:pStyle w:val="13"/>
            </w:pPr>
            <w:r>
              <w:t>30</w:t>
            </w:r>
          </w:p>
        </w:tc>
        <w:tc>
          <w:tcPr>
            <w:tcW w:w="3402" w:type="dxa"/>
            <w:vAlign w:val="center"/>
          </w:tcPr>
          <w:p w14:paraId="7AE764E2">
            <w:pPr>
              <w:pStyle w:val="12"/>
            </w:pPr>
          </w:p>
        </w:tc>
        <w:tc>
          <w:tcPr>
            <w:tcW w:w="1474" w:type="dxa"/>
            <w:vAlign w:val="center"/>
          </w:tcPr>
          <w:p w14:paraId="1E43D3E9">
            <w:pPr>
              <w:pStyle w:val="11"/>
            </w:pPr>
          </w:p>
        </w:tc>
        <w:tc>
          <w:tcPr>
            <w:tcW w:w="3402" w:type="dxa"/>
            <w:vAlign w:val="center"/>
          </w:tcPr>
          <w:p w14:paraId="45128E12">
            <w:pPr>
              <w:pStyle w:val="12"/>
            </w:pPr>
            <w:r>
              <w:t>三十、抗疫特别国债安排的支出</w:t>
            </w:r>
          </w:p>
        </w:tc>
        <w:tc>
          <w:tcPr>
            <w:tcW w:w="1474" w:type="dxa"/>
            <w:vAlign w:val="center"/>
          </w:tcPr>
          <w:p w14:paraId="7AA929DE">
            <w:pPr>
              <w:pStyle w:val="11"/>
            </w:pPr>
          </w:p>
        </w:tc>
        <w:tc>
          <w:tcPr>
            <w:tcW w:w="1474" w:type="dxa"/>
            <w:vAlign w:val="center"/>
          </w:tcPr>
          <w:p w14:paraId="76D6F31D">
            <w:pPr>
              <w:pStyle w:val="11"/>
            </w:pPr>
          </w:p>
        </w:tc>
        <w:tc>
          <w:tcPr>
            <w:tcW w:w="1474" w:type="dxa"/>
            <w:vAlign w:val="center"/>
          </w:tcPr>
          <w:p w14:paraId="2E3FA65A">
            <w:pPr>
              <w:pStyle w:val="11"/>
            </w:pPr>
          </w:p>
        </w:tc>
        <w:tc>
          <w:tcPr>
            <w:tcW w:w="1474" w:type="dxa"/>
            <w:vAlign w:val="center"/>
          </w:tcPr>
          <w:p w14:paraId="47B11F67">
            <w:pPr>
              <w:pStyle w:val="11"/>
            </w:pPr>
          </w:p>
        </w:tc>
      </w:tr>
      <w:tr w14:paraId="4196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51A2">
            <w:pPr>
              <w:pStyle w:val="13"/>
            </w:pPr>
            <w:r>
              <w:t>31</w:t>
            </w:r>
          </w:p>
        </w:tc>
        <w:tc>
          <w:tcPr>
            <w:tcW w:w="3402" w:type="dxa"/>
            <w:vAlign w:val="center"/>
          </w:tcPr>
          <w:p w14:paraId="1FA8A45F">
            <w:pPr>
              <w:pStyle w:val="12"/>
            </w:pPr>
          </w:p>
        </w:tc>
        <w:tc>
          <w:tcPr>
            <w:tcW w:w="1474" w:type="dxa"/>
            <w:vAlign w:val="center"/>
          </w:tcPr>
          <w:p w14:paraId="2DB12642">
            <w:pPr>
              <w:pStyle w:val="11"/>
            </w:pPr>
          </w:p>
        </w:tc>
        <w:tc>
          <w:tcPr>
            <w:tcW w:w="3402" w:type="dxa"/>
            <w:vAlign w:val="center"/>
          </w:tcPr>
          <w:p w14:paraId="09C11045">
            <w:pPr>
              <w:pStyle w:val="12"/>
            </w:pPr>
            <w:r>
              <w:t>三十一、人行科目</w:t>
            </w:r>
          </w:p>
        </w:tc>
        <w:tc>
          <w:tcPr>
            <w:tcW w:w="1474" w:type="dxa"/>
            <w:vAlign w:val="center"/>
          </w:tcPr>
          <w:p w14:paraId="729CDE2B">
            <w:pPr>
              <w:pStyle w:val="11"/>
            </w:pPr>
          </w:p>
        </w:tc>
        <w:tc>
          <w:tcPr>
            <w:tcW w:w="1474" w:type="dxa"/>
            <w:vAlign w:val="center"/>
          </w:tcPr>
          <w:p w14:paraId="7D5DBABE">
            <w:pPr>
              <w:pStyle w:val="11"/>
            </w:pPr>
          </w:p>
        </w:tc>
        <w:tc>
          <w:tcPr>
            <w:tcW w:w="1474" w:type="dxa"/>
            <w:vAlign w:val="center"/>
          </w:tcPr>
          <w:p w14:paraId="139C43A0">
            <w:pPr>
              <w:pStyle w:val="11"/>
            </w:pPr>
          </w:p>
        </w:tc>
        <w:tc>
          <w:tcPr>
            <w:tcW w:w="1474" w:type="dxa"/>
            <w:vAlign w:val="center"/>
          </w:tcPr>
          <w:p w14:paraId="30BF9F6D">
            <w:pPr>
              <w:pStyle w:val="11"/>
            </w:pPr>
          </w:p>
        </w:tc>
      </w:tr>
      <w:tr w14:paraId="734F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F59B">
            <w:pPr>
              <w:pStyle w:val="13"/>
            </w:pPr>
            <w:r>
              <w:t>32</w:t>
            </w:r>
          </w:p>
        </w:tc>
        <w:tc>
          <w:tcPr>
            <w:tcW w:w="3402" w:type="dxa"/>
            <w:vAlign w:val="center"/>
          </w:tcPr>
          <w:p w14:paraId="3217CDC0">
            <w:pPr>
              <w:pStyle w:val="14"/>
            </w:pPr>
            <w:r>
              <w:t>本年收入合计</w:t>
            </w:r>
          </w:p>
        </w:tc>
        <w:tc>
          <w:tcPr>
            <w:tcW w:w="1474" w:type="dxa"/>
            <w:vAlign w:val="center"/>
          </w:tcPr>
          <w:p w14:paraId="697F3AA2">
            <w:pPr>
              <w:pStyle w:val="15"/>
            </w:pPr>
            <w:r>
              <w:t>143.06</w:t>
            </w:r>
          </w:p>
        </w:tc>
        <w:tc>
          <w:tcPr>
            <w:tcW w:w="3402" w:type="dxa"/>
            <w:vAlign w:val="center"/>
          </w:tcPr>
          <w:p w14:paraId="5F633BB5">
            <w:pPr>
              <w:pStyle w:val="14"/>
            </w:pPr>
            <w:r>
              <w:t>本年支出合计</w:t>
            </w:r>
          </w:p>
        </w:tc>
        <w:tc>
          <w:tcPr>
            <w:tcW w:w="1474" w:type="dxa"/>
            <w:vAlign w:val="center"/>
          </w:tcPr>
          <w:p w14:paraId="606359B1">
            <w:pPr>
              <w:pStyle w:val="15"/>
            </w:pPr>
            <w:r>
              <w:t>143.06</w:t>
            </w:r>
          </w:p>
        </w:tc>
        <w:tc>
          <w:tcPr>
            <w:tcW w:w="1474" w:type="dxa"/>
            <w:vAlign w:val="center"/>
          </w:tcPr>
          <w:p w14:paraId="2A271901">
            <w:pPr>
              <w:pStyle w:val="15"/>
            </w:pPr>
            <w:r>
              <w:t>143.06</w:t>
            </w:r>
          </w:p>
        </w:tc>
        <w:tc>
          <w:tcPr>
            <w:tcW w:w="1474" w:type="dxa"/>
            <w:vAlign w:val="center"/>
          </w:tcPr>
          <w:p w14:paraId="54D3D6F5">
            <w:pPr>
              <w:pStyle w:val="15"/>
            </w:pPr>
          </w:p>
        </w:tc>
        <w:tc>
          <w:tcPr>
            <w:tcW w:w="1474" w:type="dxa"/>
            <w:vAlign w:val="center"/>
          </w:tcPr>
          <w:p w14:paraId="73DBA1E2">
            <w:pPr>
              <w:pStyle w:val="15"/>
            </w:pPr>
          </w:p>
        </w:tc>
      </w:tr>
      <w:tr w14:paraId="574A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3368">
            <w:pPr>
              <w:pStyle w:val="13"/>
            </w:pPr>
            <w:r>
              <w:t>33</w:t>
            </w:r>
          </w:p>
        </w:tc>
        <w:tc>
          <w:tcPr>
            <w:tcW w:w="3402" w:type="dxa"/>
            <w:vAlign w:val="center"/>
          </w:tcPr>
          <w:p w14:paraId="2913B20C">
            <w:pPr>
              <w:pStyle w:val="12"/>
            </w:pPr>
            <w:r>
              <w:t>年初财政拨款结转和结余</w:t>
            </w:r>
          </w:p>
        </w:tc>
        <w:tc>
          <w:tcPr>
            <w:tcW w:w="1474" w:type="dxa"/>
            <w:vAlign w:val="center"/>
          </w:tcPr>
          <w:p w14:paraId="51778B97">
            <w:pPr>
              <w:pStyle w:val="11"/>
            </w:pPr>
          </w:p>
        </w:tc>
        <w:tc>
          <w:tcPr>
            <w:tcW w:w="3402" w:type="dxa"/>
            <w:vAlign w:val="center"/>
          </w:tcPr>
          <w:p w14:paraId="28DC7F92">
            <w:pPr>
              <w:pStyle w:val="12"/>
            </w:pPr>
            <w:r>
              <w:t>年末财政拨款结转和结余</w:t>
            </w:r>
          </w:p>
        </w:tc>
        <w:tc>
          <w:tcPr>
            <w:tcW w:w="1474" w:type="dxa"/>
            <w:vAlign w:val="center"/>
          </w:tcPr>
          <w:p w14:paraId="7F53DC5F">
            <w:pPr>
              <w:pStyle w:val="11"/>
            </w:pPr>
          </w:p>
        </w:tc>
        <w:tc>
          <w:tcPr>
            <w:tcW w:w="1474" w:type="dxa"/>
            <w:vAlign w:val="center"/>
          </w:tcPr>
          <w:p w14:paraId="38B8F70C">
            <w:pPr>
              <w:pStyle w:val="11"/>
            </w:pPr>
          </w:p>
        </w:tc>
        <w:tc>
          <w:tcPr>
            <w:tcW w:w="1474" w:type="dxa"/>
            <w:vAlign w:val="center"/>
          </w:tcPr>
          <w:p w14:paraId="0E17D8ED">
            <w:pPr>
              <w:pStyle w:val="11"/>
            </w:pPr>
          </w:p>
        </w:tc>
        <w:tc>
          <w:tcPr>
            <w:tcW w:w="1474" w:type="dxa"/>
            <w:vAlign w:val="center"/>
          </w:tcPr>
          <w:p w14:paraId="6AD7E7EE">
            <w:pPr>
              <w:pStyle w:val="11"/>
            </w:pPr>
          </w:p>
        </w:tc>
      </w:tr>
      <w:tr w14:paraId="1611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0A79">
            <w:pPr>
              <w:pStyle w:val="13"/>
            </w:pPr>
            <w:r>
              <w:t>34</w:t>
            </w:r>
          </w:p>
        </w:tc>
        <w:tc>
          <w:tcPr>
            <w:tcW w:w="3402" w:type="dxa"/>
            <w:vAlign w:val="center"/>
          </w:tcPr>
          <w:p w14:paraId="3C5EA400">
            <w:pPr>
              <w:pStyle w:val="12"/>
            </w:pPr>
            <w:r>
              <w:t>一、一般公共预算拨款</w:t>
            </w:r>
          </w:p>
        </w:tc>
        <w:tc>
          <w:tcPr>
            <w:tcW w:w="1474" w:type="dxa"/>
            <w:vAlign w:val="center"/>
          </w:tcPr>
          <w:p w14:paraId="49C04133">
            <w:pPr>
              <w:pStyle w:val="11"/>
            </w:pPr>
          </w:p>
        </w:tc>
        <w:tc>
          <w:tcPr>
            <w:tcW w:w="3402" w:type="dxa"/>
            <w:vAlign w:val="center"/>
          </w:tcPr>
          <w:p w14:paraId="052A29B8">
            <w:pPr>
              <w:pStyle w:val="12"/>
            </w:pPr>
          </w:p>
        </w:tc>
        <w:tc>
          <w:tcPr>
            <w:tcW w:w="1474" w:type="dxa"/>
            <w:vAlign w:val="center"/>
          </w:tcPr>
          <w:p w14:paraId="4B0B3C5A">
            <w:pPr>
              <w:pStyle w:val="11"/>
            </w:pPr>
          </w:p>
        </w:tc>
        <w:tc>
          <w:tcPr>
            <w:tcW w:w="1474" w:type="dxa"/>
            <w:vAlign w:val="center"/>
          </w:tcPr>
          <w:p w14:paraId="11CFA562">
            <w:pPr>
              <w:pStyle w:val="11"/>
            </w:pPr>
          </w:p>
        </w:tc>
        <w:tc>
          <w:tcPr>
            <w:tcW w:w="1474" w:type="dxa"/>
            <w:vAlign w:val="center"/>
          </w:tcPr>
          <w:p w14:paraId="45A335BA">
            <w:pPr>
              <w:pStyle w:val="11"/>
            </w:pPr>
          </w:p>
        </w:tc>
        <w:tc>
          <w:tcPr>
            <w:tcW w:w="1474" w:type="dxa"/>
            <w:vAlign w:val="center"/>
          </w:tcPr>
          <w:p w14:paraId="76985BB5">
            <w:pPr>
              <w:pStyle w:val="11"/>
            </w:pPr>
          </w:p>
        </w:tc>
      </w:tr>
      <w:tr w14:paraId="037C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2FE1">
            <w:pPr>
              <w:pStyle w:val="13"/>
            </w:pPr>
            <w:r>
              <w:t>35</w:t>
            </w:r>
          </w:p>
        </w:tc>
        <w:tc>
          <w:tcPr>
            <w:tcW w:w="3402" w:type="dxa"/>
            <w:vAlign w:val="center"/>
          </w:tcPr>
          <w:p w14:paraId="117E025E">
            <w:pPr>
              <w:pStyle w:val="12"/>
            </w:pPr>
            <w:r>
              <w:t>二、政府性基金预算拨款</w:t>
            </w:r>
          </w:p>
        </w:tc>
        <w:tc>
          <w:tcPr>
            <w:tcW w:w="1474" w:type="dxa"/>
            <w:vAlign w:val="center"/>
          </w:tcPr>
          <w:p w14:paraId="70AE4971">
            <w:pPr>
              <w:pStyle w:val="11"/>
            </w:pPr>
          </w:p>
        </w:tc>
        <w:tc>
          <w:tcPr>
            <w:tcW w:w="3402" w:type="dxa"/>
            <w:vAlign w:val="center"/>
          </w:tcPr>
          <w:p w14:paraId="71F26336">
            <w:pPr>
              <w:pStyle w:val="12"/>
            </w:pPr>
          </w:p>
        </w:tc>
        <w:tc>
          <w:tcPr>
            <w:tcW w:w="1474" w:type="dxa"/>
            <w:vAlign w:val="center"/>
          </w:tcPr>
          <w:p w14:paraId="26F093F7">
            <w:pPr>
              <w:pStyle w:val="11"/>
            </w:pPr>
          </w:p>
        </w:tc>
        <w:tc>
          <w:tcPr>
            <w:tcW w:w="1474" w:type="dxa"/>
            <w:vAlign w:val="center"/>
          </w:tcPr>
          <w:p w14:paraId="42BF5A1B">
            <w:pPr>
              <w:pStyle w:val="11"/>
            </w:pPr>
          </w:p>
        </w:tc>
        <w:tc>
          <w:tcPr>
            <w:tcW w:w="1474" w:type="dxa"/>
            <w:vAlign w:val="center"/>
          </w:tcPr>
          <w:p w14:paraId="0F57D2BF">
            <w:pPr>
              <w:pStyle w:val="11"/>
            </w:pPr>
          </w:p>
        </w:tc>
        <w:tc>
          <w:tcPr>
            <w:tcW w:w="1474" w:type="dxa"/>
            <w:vAlign w:val="center"/>
          </w:tcPr>
          <w:p w14:paraId="3213B28A">
            <w:pPr>
              <w:pStyle w:val="11"/>
            </w:pPr>
          </w:p>
        </w:tc>
      </w:tr>
      <w:tr w14:paraId="3EA602AA">
        <w:tblPrEx>
          <w:tblCellMar>
            <w:top w:w="0" w:type="dxa"/>
            <w:left w:w="108" w:type="dxa"/>
            <w:bottom w:w="0" w:type="dxa"/>
            <w:right w:w="108" w:type="dxa"/>
          </w:tblCellMar>
        </w:tblPrEx>
        <w:trPr>
          <w:trHeight w:val="369" w:hRule="atLeast"/>
          <w:jc w:val="center"/>
        </w:trPr>
        <w:tc>
          <w:tcPr>
            <w:tcW w:w="850" w:type="dxa"/>
            <w:vAlign w:val="center"/>
          </w:tcPr>
          <w:p w14:paraId="56F3B5E1">
            <w:pPr>
              <w:pStyle w:val="13"/>
            </w:pPr>
            <w:r>
              <w:t>36</w:t>
            </w:r>
          </w:p>
        </w:tc>
        <w:tc>
          <w:tcPr>
            <w:tcW w:w="3402" w:type="dxa"/>
            <w:vAlign w:val="center"/>
          </w:tcPr>
          <w:p w14:paraId="49E6A415">
            <w:pPr>
              <w:pStyle w:val="12"/>
            </w:pPr>
            <w:r>
              <w:t>三、国有资本经营预算拨款</w:t>
            </w:r>
          </w:p>
        </w:tc>
        <w:tc>
          <w:tcPr>
            <w:tcW w:w="1474" w:type="dxa"/>
            <w:vAlign w:val="center"/>
          </w:tcPr>
          <w:p w14:paraId="0DC699E5">
            <w:pPr>
              <w:pStyle w:val="11"/>
            </w:pPr>
          </w:p>
        </w:tc>
        <w:tc>
          <w:tcPr>
            <w:tcW w:w="3402" w:type="dxa"/>
            <w:vAlign w:val="center"/>
          </w:tcPr>
          <w:p w14:paraId="2D04E3FA">
            <w:pPr>
              <w:pStyle w:val="12"/>
            </w:pPr>
          </w:p>
        </w:tc>
        <w:tc>
          <w:tcPr>
            <w:tcW w:w="1474" w:type="dxa"/>
            <w:vAlign w:val="center"/>
          </w:tcPr>
          <w:p w14:paraId="0DC0B25C">
            <w:pPr>
              <w:pStyle w:val="11"/>
            </w:pPr>
          </w:p>
        </w:tc>
        <w:tc>
          <w:tcPr>
            <w:tcW w:w="1474" w:type="dxa"/>
            <w:vAlign w:val="center"/>
          </w:tcPr>
          <w:p w14:paraId="02A153D6">
            <w:pPr>
              <w:pStyle w:val="11"/>
            </w:pPr>
          </w:p>
        </w:tc>
        <w:tc>
          <w:tcPr>
            <w:tcW w:w="1474" w:type="dxa"/>
            <w:vAlign w:val="center"/>
          </w:tcPr>
          <w:p w14:paraId="04EBC20B">
            <w:pPr>
              <w:pStyle w:val="11"/>
            </w:pPr>
          </w:p>
        </w:tc>
        <w:tc>
          <w:tcPr>
            <w:tcW w:w="1474" w:type="dxa"/>
            <w:vAlign w:val="center"/>
          </w:tcPr>
          <w:p w14:paraId="2B3A07F2">
            <w:pPr>
              <w:pStyle w:val="11"/>
            </w:pPr>
          </w:p>
        </w:tc>
      </w:tr>
      <w:tr w14:paraId="4590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F9058">
            <w:pPr>
              <w:pStyle w:val="13"/>
            </w:pPr>
            <w:r>
              <w:t>37</w:t>
            </w:r>
          </w:p>
        </w:tc>
        <w:tc>
          <w:tcPr>
            <w:tcW w:w="3402" w:type="dxa"/>
            <w:vAlign w:val="center"/>
          </w:tcPr>
          <w:p w14:paraId="00940DC4">
            <w:pPr>
              <w:pStyle w:val="14"/>
            </w:pPr>
            <w:r>
              <w:t>收入总计</w:t>
            </w:r>
          </w:p>
        </w:tc>
        <w:tc>
          <w:tcPr>
            <w:tcW w:w="1474" w:type="dxa"/>
            <w:vAlign w:val="center"/>
          </w:tcPr>
          <w:p w14:paraId="21A9BE59">
            <w:pPr>
              <w:pStyle w:val="15"/>
            </w:pPr>
            <w:r>
              <w:t>143.06</w:t>
            </w:r>
          </w:p>
        </w:tc>
        <w:tc>
          <w:tcPr>
            <w:tcW w:w="3402" w:type="dxa"/>
            <w:vAlign w:val="center"/>
          </w:tcPr>
          <w:p w14:paraId="35D543F6">
            <w:pPr>
              <w:pStyle w:val="14"/>
            </w:pPr>
            <w:r>
              <w:t>支出总计</w:t>
            </w:r>
          </w:p>
        </w:tc>
        <w:tc>
          <w:tcPr>
            <w:tcW w:w="1474" w:type="dxa"/>
            <w:vAlign w:val="center"/>
          </w:tcPr>
          <w:p w14:paraId="0C423BBE">
            <w:pPr>
              <w:pStyle w:val="15"/>
            </w:pPr>
            <w:r>
              <w:t>143.06</w:t>
            </w:r>
          </w:p>
        </w:tc>
        <w:tc>
          <w:tcPr>
            <w:tcW w:w="1474" w:type="dxa"/>
            <w:vAlign w:val="center"/>
          </w:tcPr>
          <w:p w14:paraId="1B04C151">
            <w:pPr>
              <w:pStyle w:val="15"/>
            </w:pPr>
            <w:r>
              <w:t>143.06</w:t>
            </w:r>
          </w:p>
        </w:tc>
        <w:tc>
          <w:tcPr>
            <w:tcW w:w="1474" w:type="dxa"/>
            <w:vAlign w:val="center"/>
          </w:tcPr>
          <w:p w14:paraId="01FB88BA">
            <w:pPr>
              <w:pStyle w:val="15"/>
            </w:pPr>
          </w:p>
        </w:tc>
        <w:tc>
          <w:tcPr>
            <w:tcW w:w="1474" w:type="dxa"/>
            <w:vAlign w:val="center"/>
          </w:tcPr>
          <w:p w14:paraId="56F6C501">
            <w:pPr>
              <w:pStyle w:val="15"/>
            </w:pPr>
          </w:p>
        </w:tc>
      </w:tr>
    </w:tbl>
    <w:p w14:paraId="061FADAA">
      <w:pPr>
        <w:sectPr>
          <w:pgSz w:w="16840" w:h="11900" w:orient="landscape"/>
          <w:pgMar w:top="1361" w:right="1020" w:bottom="1134" w:left="1020" w:header="720" w:footer="720" w:gutter="0"/>
          <w:cols w:space="720" w:num="1"/>
        </w:sectPr>
      </w:pPr>
    </w:p>
    <w:p w14:paraId="074CB3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1D4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3AB45F">
            <w:pPr>
              <w:pStyle w:val="9"/>
            </w:pPr>
            <w:r>
              <w:t>360036隆尧县青少年校外活动中心</w:t>
            </w:r>
          </w:p>
        </w:tc>
        <w:tc>
          <w:tcPr>
            <w:tcW w:w="2551" w:type="dxa"/>
            <w:tcBorders>
              <w:top w:val="single" w:color="FFFFFF" w:sz="6" w:space="0"/>
              <w:left w:val="single" w:color="FFFFFF" w:sz="6" w:space="0"/>
              <w:right w:val="single" w:color="FFFFFF" w:sz="6" w:space="0"/>
            </w:tcBorders>
            <w:vAlign w:val="center"/>
          </w:tcPr>
          <w:p w14:paraId="2DCD0A9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43EF4D">
            <w:pPr>
              <w:pStyle w:val="7"/>
            </w:pPr>
            <w:r>
              <w:t>单位：万元</w:t>
            </w:r>
          </w:p>
        </w:tc>
      </w:tr>
      <w:tr w14:paraId="57A5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4442E1">
            <w:pPr>
              <w:pStyle w:val="10"/>
            </w:pPr>
            <w:r>
              <w:t>序号</w:t>
            </w:r>
          </w:p>
        </w:tc>
        <w:tc>
          <w:tcPr>
            <w:tcW w:w="5726" w:type="dxa"/>
            <w:gridSpan w:val="2"/>
            <w:vAlign w:val="center"/>
          </w:tcPr>
          <w:p w14:paraId="7B31BBA9">
            <w:pPr>
              <w:pStyle w:val="10"/>
            </w:pPr>
            <w:r>
              <w:t>功能分类科目</w:t>
            </w:r>
          </w:p>
        </w:tc>
        <w:tc>
          <w:tcPr>
            <w:tcW w:w="2551" w:type="dxa"/>
            <w:vMerge w:val="restart"/>
            <w:vAlign w:val="center"/>
          </w:tcPr>
          <w:p w14:paraId="76308D96">
            <w:pPr>
              <w:pStyle w:val="10"/>
            </w:pPr>
            <w:r>
              <w:t>合计</w:t>
            </w:r>
          </w:p>
        </w:tc>
        <w:tc>
          <w:tcPr>
            <w:tcW w:w="2551" w:type="dxa"/>
            <w:vMerge w:val="restart"/>
            <w:vAlign w:val="center"/>
          </w:tcPr>
          <w:p w14:paraId="31C16DF4">
            <w:pPr>
              <w:pStyle w:val="10"/>
            </w:pPr>
            <w:r>
              <w:t>基本支出</w:t>
            </w:r>
          </w:p>
        </w:tc>
        <w:tc>
          <w:tcPr>
            <w:tcW w:w="2551" w:type="dxa"/>
            <w:vMerge w:val="restart"/>
            <w:vAlign w:val="center"/>
          </w:tcPr>
          <w:p w14:paraId="49732559">
            <w:pPr>
              <w:pStyle w:val="10"/>
            </w:pPr>
            <w:r>
              <w:t>项目支出</w:t>
            </w:r>
          </w:p>
        </w:tc>
      </w:tr>
      <w:tr w14:paraId="647F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B0E732"/>
        </w:tc>
        <w:tc>
          <w:tcPr>
            <w:tcW w:w="1191" w:type="dxa"/>
            <w:vAlign w:val="center"/>
          </w:tcPr>
          <w:p w14:paraId="0D1985FD">
            <w:pPr>
              <w:pStyle w:val="10"/>
            </w:pPr>
            <w:r>
              <w:t>科目编码</w:t>
            </w:r>
          </w:p>
        </w:tc>
        <w:tc>
          <w:tcPr>
            <w:tcW w:w="4535" w:type="dxa"/>
            <w:vAlign w:val="center"/>
          </w:tcPr>
          <w:p w14:paraId="4DE07FF3">
            <w:pPr>
              <w:pStyle w:val="10"/>
            </w:pPr>
            <w:r>
              <w:t>科目名称</w:t>
            </w:r>
          </w:p>
        </w:tc>
        <w:tc>
          <w:tcPr>
            <w:tcW w:w="2551" w:type="dxa"/>
            <w:vMerge w:val="continue"/>
          </w:tcPr>
          <w:p w14:paraId="2F427D79"/>
        </w:tc>
        <w:tc>
          <w:tcPr>
            <w:tcW w:w="2551" w:type="dxa"/>
            <w:vMerge w:val="continue"/>
          </w:tcPr>
          <w:p w14:paraId="5766B9CF"/>
        </w:tc>
        <w:tc>
          <w:tcPr>
            <w:tcW w:w="2551" w:type="dxa"/>
            <w:vMerge w:val="continue"/>
          </w:tcPr>
          <w:p w14:paraId="59F9D76E"/>
        </w:tc>
      </w:tr>
      <w:tr w14:paraId="2791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A03C7">
            <w:pPr>
              <w:pStyle w:val="10"/>
            </w:pPr>
            <w:r>
              <w:t>栏次</w:t>
            </w:r>
          </w:p>
        </w:tc>
        <w:tc>
          <w:tcPr>
            <w:tcW w:w="1191" w:type="dxa"/>
            <w:vAlign w:val="center"/>
          </w:tcPr>
          <w:p w14:paraId="642C88E8">
            <w:pPr>
              <w:pStyle w:val="10"/>
            </w:pPr>
            <w:r>
              <w:t>1</w:t>
            </w:r>
          </w:p>
        </w:tc>
        <w:tc>
          <w:tcPr>
            <w:tcW w:w="4535" w:type="dxa"/>
            <w:vAlign w:val="center"/>
          </w:tcPr>
          <w:p w14:paraId="404A46CA">
            <w:pPr>
              <w:pStyle w:val="10"/>
            </w:pPr>
            <w:r>
              <w:t>2</w:t>
            </w:r>
          </w:p>
        </w:tc>
        <w:tc>
          <w:tcPr>
            <w:tcW w:w="2551" w:type="dxa"/>
            <w:vAlign w:val="center"/>
          </w:tcPr>
          <w:p w14:paraId="0DB96A13">
            <w:pPr>
              <w:pStyle w:val="10"/>
            </w:pPr>
            <w:r>
              <w:t>3</w:t>
            </w:r>
          </w:p>
        </w:tc>
        <w:tc>
          <w:tcPr>
            <w:tcW w:w="2551" w:type="dxa"/>
            <w:vAlign w:val="center"/>
          </w:tcPr>
          <w:p w14:paraId="19A3CE7A">
            <w:pPr>
              <w:pStyle w:val="10"/>
            </w:pPr>
            <w:r>
              <w:t>4</w:t>
            </w:r>
          </w:p>
        </w:tc>
        <w:tc>
          <w:tcPr>
            <w:tcW w:w="2551" w:type="dxa"/>
            <w:vAlign w:val="center"/>
          </w:tcPr>
          <w:p w14:paraId="207A89CF">
            <w:pPr>
              <w:pStyle w:val="10"/>
            </w:pPr>
            <w:r>
              <w:t>5</w:t>
            </w:r>
          </w:p>
        </w:tc>
      </w:tr>
      <w:tr w14:paraId="40DA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9FAA">
            <w:pPr>
              <w:pStyle w:val="13"/>
            </w:pPr>
            <w:r>
              <w:t>1</w:t>
            </w:r>
          </w:p>
        </w:tc>
        <w:tc>
          <w:tcPr>
            <w:tcW w:w="1191" w:type="dxa"/>
            <w:vAlign w:val="center"/>
          </w:tcPr>
          <w:p w14:paraId="0B36AD3D">
            <w:pPr>
              <w:pStyle w:val="16"/>
            </w:pPr>
          </w:p>
        </w:tc>
        <w:tc>
          <w:tcPr>
            <w:tcW w:w="4535" w:type="dxa"/>
            <w:vAlign w:val="center"/>
          </w:tcPr>
          <w:p w14:paraId="59452B09">
            <w:pPr>
              <w:pStyle w:val="14"/>
            </w:pPr>
            <w:r>
              <w:t>合计</w:t>
            </w:r>
          </w:p>
        </w:tc>
        <w:tc>
          <w:tcPr>
            <w:tcW w:w="2551" w:type="dxa"/>
            <w:vAlign w:val="center"/>
          </w:tcPr>
          <w:p w14:paraId="462AB89C">
            <w:pPr>
              <w:pStyle w:val="15"/>
            </w:pPr>
            <w:r>
              <w:t>143.06</w:t>
            </w:r>
          </w:p>
        </w:tc>
        <w:tc>
          <w:tcPr>
            <w:tcW w:w="2551" w:type="dxa"/>
            <w:vAlign w:val="center"/>
          </w:tcPr>
          <w:p w14:paraId="001521D9">
            <w:pPr>
              <w:pStyle w:val="15"/>
            </w:pPr>
            <w:r>
              <w:t>143.06</w:t>
            </w:r>
          </w:p>
        </w:tc>
        <w:tc>
          <w:tcPr>
            <w:tcW w:w="2551" w:type="dxa"/>
            <w:vAlign w:val="center"/>
          </w:tcPr>
          <w:p w14:paraId="2519B5F2">
            <w:pPr>
              <w:pStyle w:val="15"/>
            </w:pPr>
          </w:p>
        </w:tc>
      </w:tr>
      <w:tr w14:paraId="6F3A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219A">
            <w:pPr>
              <w:pStyle w:val="13"/>
            </w:pPr>
            <w:r>
              <w:t>2</w:t>
            </w:r>
          </w:p>
        </w:tc>
        <w:tc>
          <w:tcPr>
            <w:tcW w:w="1191" w:type="dxa"/>
            <w:vAlign w:val="center"/>
          </w:tcPr>
          <w:p w14:paraId="345412DF">
            <w:pPr>
              <w:pStyle w:val="12"/>
            </w:pPr>
            <w:r>
              <w:t>205</w:t>
            </w:r>
          </w:p>
        </w:tc>
        <w:tc>
          <w:tcPr>
            <w:tcW w:w="4535" w:type="dxa"/>
            <w:vAlign w:val="center"/>
          </w:tcPr>
          <w:p w14:paraId="5E18A602">
            <w:pPr>
              <w:pStyle w:val="12"/>
            </w:pPr>
            <w:r>
              <w:t>教育支出</w:t>
            </w:r>
          </w:p>
        </w:tc>
        <w:tc>
          <w:tcPr>
            <w:tcW w:w="2551" w:type="dxa"/>
            <w:vAlign w:val="center"/>
          </w:tcPr>
          <w:p w14:paraId="326DDD04">
            <w:pPr>
              <w:pStyle w:val="11"/>
            </w:pPr>
            <w:r>
              <w:t>126.30</w:t>
            </w:r>
          </w:p>
        </w:tc>
        <w:tc>
          <w:tcPr>
            <w:tcW w:w="2551" w:type="dxa"/>
            <w:vAlign w:val="center"/>
          </w:tcPr>
          <w:p w14:paraId="66DFCF6D">
            <w:pPr>
              <w:pStyle w:val="11"/>
            </w:pPr>
            <w:r>
              <w:t>126.30</w:t>
            </w:r>
          </w:p>
        </w:tc>
        <w:tc>
          <w:tcPr>
            <w:tcW w:w="2551" w:type="dxa"/>
            <w:vAlign w:val="center"/>
          </w:tcPr>
          <w:p w14:paraId="35CBD824">
            <w:pPr>
              <w:pStyle w:val="11"/>
            </w:pPr>
          </w:p>
        </w:tc>
      </w:tr>
      <w:tr w14:paraId="7661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F3FD0">
            <w:pPr>
              <w:pStyle w:val="13"/>
            </w:pPr>
            <w:r>
              <w:t>3</w:t>
            </w:r>
          </w:p>
        </w:tc>
        <w:tc>
          <w:tcPr>
            <w:tcW w:w="1191" w:type="dxa"/>
            <w:vAlign w:val="center"/>
          </w:tcPr>
          <w:p w14:paraId="46754E8D">
            <w:pPr>
              <w:pStyle w:val="12"/>
            </w:pPr>
            <w:r>
              <w:t>20502</w:t>
            </w:r>
          </w:p>
        </w:tc>
        <w:tc>
          <w:tcPr>
            <w:tcW w:w="4535" w:type="dxa"/>
            <w:vAlign w:val="center"/>
          </w:tcPr>
          <w:p w14:paraId="7DFBEEDC">
            <w:pPr>
              <w:pStyle w:val="12"/>
            </w:pPr>
            <w:r>
              <w:t>普通教育</w:t>
            </w:r>
          </w:p>
        </w:tc>
        <w:tc>
          <w:tcPr>
            <w:tcW w:w="2551" w:type="dxa"/>
            <w:vAlign w:val="center"/>
          </w:tcPr>
          <w:p w14:paraId="7B03BF00">
            <w:pPr>
              <w:pStyle w:val="11"/>
            </w:pPr>
            <w:r>
              <w:t>126.30</w:t>
            </w:r>
          </w:p>
        </w:tc>
        <w:tc>
          <w:tcPr>
            <w:tcW w:w="2551" w:type="dxa"/>
            <w:vAlign w:val="center"/>
          </w:tcPr>
          <w:p w14:paraId="7AE87921">
            <w:pPr>
              <w:pStyle w:val="11"/>
            </w:pPr>
            <w:r>
              <w:t>126.30</w:t>
            </w:r>
          </w:p>
        </w:tc>
        <w:tc>
          <w:tcPr>
            <w:tcW w:w="2551" w:type="dxa"/>
            <w:vAlign w:val="center"/>
          </w:tcPr>
          <w:p w14:paraId="1CD64200">
            <w:pPr>
              <w:pStyle w:val="11"/>
            </w:pPr>
          </w:p>
        </w:tc>
      </w:tr>
      <w:tr w14:paraId="29D3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EE4C">
            <w:pPr>
              <w:pStyle w:val="13"/>
            </w:pPr>
            <w:r>
              <w:t>4</w:t>
            </w:r>
          </w:p>
        </w:tc>
        <w:tc>
          <w:tcPr>
            <w:tcW w:w="1191" w:type="dxa"/>
            <w:vAlign w:val="center"/>
          </w:tcPr>
          <w:p w14:paraId="4CD0F9E1">
            <w:pPr>
              <w:pStyle w:val="12"/>
            </w:pPr>
            <w:r>
              <w:t>2050299</w:t>
            </w:r>
          </w:p>
        </w:tc>
        <w:tc>
          <w:tcPr>
            <w:tcW w:w="4535" w:type="dxa"/>
            <w:vAlign w:val="center"/>
          </w:tcPr>
          <w:p w14:paraId="307A0BBC">
            <w:pPr>
              <w:pStyle w:val="12"/>
            </w:pPr>
            <w:r>
              <w:t>其他普通教育支出</w:t>
            </w:r>
          </w:p>
        </w:tc>
        <w:tc>
          <w:tcPr>
            <w:tcW w:w="2551" w:type="dxa"/>
            <w:vAlign w:val="center"/>
          </w:tcPr>
          <w:p w14:paraId="16DB45CF">
            <w:pPr>
              <w:pStyle w:val="11"/>
            </w:pPr>
            <w:r>
              <w:t>126.30</w:t>
            </w:r>
          </w:p>
        </w:tc>
        <w:tc>
          <w:tcPr>
            <w:tcW w:w="2551" w:type="dxa"/>
            <w:vAlign w:val="center"/>
          </w:tcPr>
          <w:p w14:paraId="32A53000">
            <w:pPr>
              <w:pStyle w:val="11"/>
            </w:pPr>
            <w:r>
              <w:t>126.30</w:t>
            </w:r>
          </w:p>
        </w:tc>
        <w:tc>
          <w:tcPr>
            <w:tcW w:w="2551" w:type="dxa"/>
            <w:vAlign w:val="center"/>
          </w:tcPr>
          <w:p w14:paraId="2C00584B">
            <w:pPr>
              <w:pStyle w:val="11"/>
            </w:pPr>
          </w:p>
        </w:tc>
      </w:tr>
      <w:tr w14:paraId="013A0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B0430">
            <w:pPr>
              <w:pStyle w:val="13"/>
            </w:pPr>
            <w:r>
              <w:t>5</w:t>
            </w:r>
          </w:p>
        </w:tc>
        <w:tc>
          <w:tcPr>
            <w:tcW w:w="1191" w:type="dxa"/>
            <w:vAlign w:val="center"/>
          </w:tcPr>
          <w:p w14:paraId="5A9DB77C">
            <w:pPr>
              <w:pStyle w:val="12"/>
            </w:pPr>
            <w:r>
              <w:t>208</w:t>
            </w:r>
          </w:p>
        </w:tc>
        <w:tc>
          <w:tcPr>
            <w:tcW w:w="4535" w:type="dxa"/>
            <w:vAlign w:val="center"/>
          </w:tcPr>
          <w:p w14:paraId="02595229">
            <w:pPr>
              <w:pStyle w:val="12"/>
            </w:pPr>
            <w:r>
              <w:t>社会保障和就业支出</w:t>
            </w:r>
          </w:p>
        </w:tc>
        <w:tc>
          <w:tcPr>
            <w:tcW w:w="2551" w:type="dxa"/>
            <w:vAlign w:val="center"/>
          </w:tcPr>
          <w:p w14:paraId="2BF6D348">
            <w:pPr>
              <w:pStyle w:val="11"/>
            </w:pPr>
            <w:r>
              <w:t>11.56</w:t>
            </w:r>
          </w:p>
        </w:tc>
        <w:tc>
          <w:tcPr>
            <w:tcW w:w="2551" w:type="dxa"/>
            <w:vAlign w:val="center"/>
          </w:tcPr>
          <w:p w14:paraId="4438877F">
            <w:pPr>
              <w:pStyle w:val="11"/>
            </w:pPr>
            <w:r>
              <w:t>11.56</w:t>
            </w:r>
          </w:p>
        </w:tc>
        <w:tc>
          <w:tcPr>
            <w:tcW w:w="2551" w:type="dxa"/>
            <w:vAlign w:val="center"/>
          </w:tcPr>
          <w:p w14:paraId="21F94A18">
            <w:pPr>
              <w:pStyle w:val="11"/>
            </w:pPr>
          </w:p>
        </w:tc>
      </w:tr>
      <w:tr w14:paraId="5135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1B563">
            <w:pPr>
              <w:pStyle w:val="13"/>
            </w:pPr>
            <w:r>
              <w:t>6</w:t>
            </w:r>
          </w:p>
        </w:tc>
        <w:tc>
          <w:tcPr>
            <w:tcW w:w="1191" w:type="dxa"/>
            <w:vAlign w:val="center"/>
          </w:tcPr>
          <w:p w14:paraId="3FBD369C">
            <w:pPr>
              <w:pStyle w:val="12"/>
            </w:pPr>
            <w:r>
              <w:t>20805</w:t>
            </w:r>
          </w:p>
        </w:tc>
        <w:tc>
          <w:tcPr>
            <w:tcW w:w="4535" w:type="dxa"/>
            <w:vAlign w:val="center"/>
          </w:tcPr>
          <w:p w14:paraId="161D8790">
            <w:pPr>
              <w:pStyle w:val="12"/>
            </w:pPr>
            <w:r>
              <w:t>行政事业单位养老支出</w:t>
            </w:r>
          </w:p>
        </w:tc>
        <w:tc>
          <w:tcPr>
            <w:tcW w:w="2551" w:type="dxa"/>
            <w:vAlign w:val="center"/>
          </w:tcPr>
          <w:p w14:paraId="0AB485C1">
            <w:pPr>
              <w:pStyle w:val="11"/>
            </w:pPr>
            <w:r>
              <w:t>11.56</w:t>
            </w:r>
          </w:p>
        </w:tc>
        <w:tc>
          <w:tcPr>
            <w:tcW w:w="2551" w:type="dxa"/>
            <w:vAlign w:val="center"/>
          </w:tcPr>
          <w:p w14:paraId="134F1F45">
            <w:pPr>
              <w:pStyle w:val="11"/>
            </w:pPr>
            <w:r>
              <w:t>11.56</w:t>
            </w:r>
          </w:p>
        </w:tc>
        <w:tc>
          <w:tcPr>
            <w:tcW w:w="2551" w:type="dxa"/>
            <w:vAlign w:val="center"/>
          </w:tcPr>
          <w:p w14:paraId="3CC49D76">
            <w:pPr>
              <w:pStyle w:val="11"/>
            </w:pPr>
          </w:p>
        </w:tc>
      </w:tr>
      <w:tr w14:paraId="23AB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5D065">
            <w:pPr>
              <w:pStyle w:val="13"/>
            </w:pPr>
            <w:r>
              <w:t>7</w:t>
            </w:r>
          </w:p>
        </w:tc>
        <w:tc>
          <w:tcPr>
            <w:tcW w:w="1191" w:type="dxa"/>
            <w:vAlign w:val="center"/>
          </w:tcPr>
          <w:p w14:paraId="7B6B8B50">
            <w:pPr>
              <w:pStyle w:val="12"/>
            </w:pPr>
            <w:r>
              <w:t>2080505</w:t>
            </w:r>
          </w:p>
        </w:tc>
        <w:tc>
          <w:tcPr>
            <w:tcW w:w="4535" w:type="dxa"/>
            <w:vAlign w:val="center"/>
          </w:tcPr>
          <w:p w14:paraId="1956F7B9">
            <w:pPr>
              <w:pStyle w:val="12"/>
            </w:pPr>
            <w:r>
              <w:t>机关事业单位基本养老保险缴费支出</w:t>
            </w:r>
          </w:p>
        </w:tc>
        <w:tc>
          <w:tcPr>
            <w:tcW w:w="2551" w:type="dxa"/>
            <w:vAlign w:val="center"/>
          </w:tcPr>
          <w:p w14:paraId="29A76D35">
            <w:pPr>
              <w:pStyle w:val="11"/>
            </w:pPr>
            <w:r>
              <w:t>11.56</w:t>
            </w:r>
          </w:p>
        </w:tc>
        <w:tc>
          <w:tcPr>
            <w:tcW w:w="2551" w:type="dxa"/>
            <w:vAlign w:val="center"/>
          </w:tcPr>
          <w:p w14:paraId="5C8AE04F">
            <w:pPr>
              <w:pStyle w:val="11"/>
            </w:pPr>
            <w:r>
              <w:t>11.56</w:t>
            </w:r>
          </w:p>
        </w:tc>
        <w:tc>
          <w:tcPr>
            <w:tcW w:w="2551" w:type="dxa"/>
            <w:vAlign w:val="center"/>
          </w:tcPr>
          <w:p w14:paraId="252382D2">
            <w:pPr>
              <w:pStyle w:val="11"/>
            </w:pPr>
          </w:p>
        </w:tc>
      </w:tr>
      <w:tr w14:paraId="59A00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8FD52">
            <w:pPr>
              <w:pStyle w:val="13"/>
            </w:pPr>
            <w:r>
              <w:t>8</w:t>
            </w:r>
          </w:p>
        </w:tc>
        <w:tc>
          <w:tcPr>
            <w:tcW w:w="1191" w:type="dxa"/>
            <w:vAlign w:val="center"/>
          </w:tcPr>
          <w:p w14:paraId="6EA8BB25">
            <w:pPr>
              <w:pStyle w:val="12"/>
            </w:pPr>
            <w:r>
              <w:t>210</w:t>
            </w:r>
          </w:p>
        </w:tc>
        <w:tc>
          <w:tcPr>
            <w:tcW w:w="4535" w:type="dxa"/>
            <w:vAlign w:val="center"/>
          </w:tcPr>
          <w:p w14:paraId="5F626D1B">
            <w:pPr>
              <w:pStyle w:val="12"/>
            </w:pPr>
            <w:r>
              <w:t>卫生健康支出</w:t>
            </w:r>
          </w:p>
        </w:tc>
        <w:tc>
          <w:tcPr>
            <w:tcW w:w="2551" w:type="dxa"/>
            <w:vAlign w:val="center"/>
          </w:tcPr>
          <w:p w14:paraId="7BF4F7A7">
            <w:pPr>
              <w:pStyle w:val="11"/>
            </w:pPr>
            <w:r>
              <w:t>5.20</w:t>
            </w:r>
          </w:p>
        </w:tc>
        <w:tc>
          <w:tcPr>
            <w:tcW w:w="2551" w:type="dxa"/>
            <w:vAlign w:val="center"/>
          </w:tcPr>
          <w:p w14:paraId="776E6A03">
            <w:pPr>
              <w:pStyle w:val="11"/>
            </w:pPr>
            <w:r>
              <w:t>5.20</w:t>
            </w:r>
          </w:p>
        </w:tc>
        <w:tc>
          <w:tcPr>
            <w:tcW w:w="2551" w:type="dxa"/>
            <w:vAlign w:val="center"/>
          </w:tcPr>
          <w:p w14:paraId="20FB660A">
            <w:pPr>
              <w:pStyle w:val="11"/>
            </w:pPr>
          </w:p>
        </w:tc>
      </w:tr>
      <w:tr w14:paraId="73DD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E2C40">
            <w:pPr>
              <w:pStyle w:val="13"/>
            </w:pPr>
            <w:r>
              <w:t>9</w:t>
            </w:r>
          </w:p>
        </w:tc>
        <w:tc>
          <w:tcPr>
            <w:tcW w:w="1191" w:type="dxa"/>
            <w:vAlign w:val="center"/>
          </w:tcPr>
          <w:p w14:paraId="3F18FAED">
            <w:pPr>
              <w:pStyle w:val="12"/>
            </w:pPr>
            <w:r>
              <w:t>21011</w:t>
            </w:r>
          </w:p>
        </w:tc>
        <w:tc>
          <w:tcPr>
            <w:tcW w:w="4535" w:type="dxa"/>
            <w:vAlign w:val="center"/>
          </w:tcPr>
          <w:p w14:paraId="39024861">
            <w:pPr>
              <w:pStyle w:val="12"/>
            </w:pPr>
            <w:r>
              <w:t>行政事业单位医疗</w:t>
            </w:r>
          </w:p>
        </w:tc>
        <w:tc>
          <w:tcPr>
            <w:tcW w:w="2551" w:type="dxa"/>
            <w:vAlign w:val="center"/>
          </w:tcPr>
          <w:p w14:paraId="2C9CAF8B">
            <w:pPr>
              <w:pStyle w:val="11"/>
            </w:pPr>
            <w:r>
              <w:t>5.20</w:t>
            </w:r>
          </w:p>
        </w:tc>
        <w:tc>
          <w:tcPr>
            <w:tcW w:w="2551" w:type="dxa"/>
            <w:vAlign w:val="center"/>
          </w:tcPr>
          <w:p w14:paraId="23A557B4">
            <w:pPr>
              <w:pStyle w:val="11"/>
            </w:pPr>
            <w:r>
              <w:t>5.20</w:t>
            </w:r>
          </w:p>
        </w:tc>
        <w:tc>
          <w:tcPr>
            <w:tcW w:w="2551" w:type="dxa"/>
            <w:vAlign w:val="center"/>
          </w:tcPr>
          <w:p w14:paraId="58022253">
            <w:pPr>
              <w:pStyle w:val="11"/>
            </w:pPr>
          </w:p>
        </w:tc>
      </w:tr>
      <w:tr w14:paraId="7C9A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1CA83">
            <w:pPr>
              <w:pStyle w:val="13"/>
            </w:pPr>
            <w:r>
              <w:t>10</w:t>
            </w:r>
          </w:p>
        </w:tc>
        <w:tc>
          <w:tcPr>
            <w:tcW w:w="1191" w:type="dxa"/>
            <w:vAlign w:val="center"/>
          </w:tcPr>
          <w:p w14:paraId="27B0A139">
            <w:pPr>
              <w:pStyle w:val="12"/>
            </w:pPr>
            <w:r>
              <w:t>2101102</w:t>
            </w:r>
          </w:p>
        </w:tc>
        <w:tc>
          <w:tcPr>
            <w:tcW w:w="4535" w:type="dxa"/>
            <w:vAlign w:val="center"/>
          </w:tcPr>
          <w:p w14:paraId="0DA62D44">
            <w:pPr>
              <w:pStyle w:val="12"/>
            </w:pPr>
            <w:r>
              <w:t>事业单位医疗</w:t>
            </w:r>
          </w:p>
        </w:tc>
        <w:tc>
          <w:tcPr>
            <w:tcW w:w="2551" w:type="dxa"/>
            <w:vAlign w:val="center"/>
          </w:tcPr>
          <w:p w14:paraId="55952903">
            <w:pPr>
              <w:pStyle w:val="11"/>
            </w:pPr>
            <w:r>
              <w:t>5.20</w:t>
            </w:r>
          </w:p>
        </w:tc>
        <w:tc>
          <w:tcPr>
            <w:tcW w:w="2551" w:type="dxa"/>
            <w:vAlign w:val="center"/>
          </w:tcPr>
          <w:p w14:paraId="133CEF67">
            <w:pPr>
              <w:pStyle w:val="11"/>
            </w:pPr>
            <w:r>
              <w:t>5.20</w:t>
            </w:r>
          </w:p>
        </w:tc>
        <w:tc>
          <w:tcPr>
            <w:tcW w:w="2551" w:type="dxa"/>
            <w:vAlign w:val="center"/>
          </w:tcPr>
          <w:p w14:paraId="630897CC">
            <w:pPr>
              <w:pStyle w:val="11"/>
            </w:pPr>
          </w:p>
        </w:tc>
      </w:tr>
    </w:tbl>
    <w:p w14:paraId="4F10A0DA">
      <w:pPr>
        <w:sectPr>
          <w:pgSz w:w="16840" w:h="11900" w:orient="landscape"/>
          <w:pgMar w:top="1361" w:right="1020" w:bottom="1134" w:left="1020" w:header="720" w:footer="720" w:gutter="0"/>
          <w:cols w:space="720" w:num="1"/>
        </w:sectPr>
      </w:pPr>
    </w:p>
    <w:p w14:paraId="403CA0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B7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8096A4">
            <w:pPr>
              <w:pStyle w:val="9"/>
            </w:pPr>
            <w:r>
              <w:t>360036隆尧县青少年校外活动中心</w:t>
            </w:r>
          </w:p>
        </w:tc>
        <w:tc>
          <w:tcPr>
            <w:tcW w:w="2551" w:type="dxa"/>
            <w:tcBorders>
              <w:top w:val="single" w:color="FFFFFF" w:sz="6" w:space="0"/>
              <w:left w:val="single" w:color="FFFFFF" w:sz="6" w:space="0"/>
              <w:right w:val="single" w:color="FFFFFF" w:sz="6" w:space="0"/>
            </w:tcBorders>
            <w:vAlign w:val="center"/>
          </w:tcPr>
          <w:p w14:paraId="3D3CAFC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02D332">
            <w:pPr>
              <w:pStyle w:val="7"/>
            </w:pPr>
            <w:r>
              <w:t>单位：万元</w:t>
            </w:r>
          </w:p>
        </w:tc>
      </w:tr>
      <w:tr w14:paraId="3677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A98D9B">
            <w:pPr>
              <w:pStyle w:val="10"/>
            </w:pPr>
            <w:r>
              <w:t>序号</w:t>
            </w:r>
          </w:p>
        </w:tc>
        <w:tc>
          <w:tcPr>
            <w:tcW w:w="5726" w:type="dxa"/>
            <w:gridSpan w:val="2"/>
            <w:vAlign w:val="center"/>
          </w:tcPr>
          <w:p w14:paraId="1DB3BCC5">
            <w:pPr>
              <w:pStyle w:val="10"/>
            </w:pPr>
            <w:r>
              <w:t>支出部门经济分类科目</w:t>
            </w:r>
          </w:p>
        </w:tc>
        <w:tc>
          <w:tcPr>
            <w:tcW w:w="7653" w:type="dxa"/>
            <w:gridSpan w:val="3"/>
            <w:vAlign w:val="center"/>
          </w:tcPr>
          <w:p w14:paraId="3926A93D">
            <w:pPr>
              <w:pStyle w:val="10"/>
            </w:pPr>
            <w:r>
              <w:t>一般公共预算基本支出</w:t>
            </w:r>
          </w:p>
        </w:tc>
      </w:tr>
      <w:tr w14:paraId="328F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653D5"/>
        </w:tc>
        <w:tc>
          <w:tcPr>
            <w:tcW w:w="1191" w:type="dxa"/>
            <w:vAlign w:val="center"/>
          </w:tcPr>
          <w:p w14:paraId="34F76A5F">
            <w:pPr>
              <w:pStyle w:val="10"/>
            </w:pPr>
            <w:r>
              <w:t>科目编码</w:t>
            </w:r>
          </w:p>
        </w:tc>
        <w:tc>
          <w:tcPr>
            <w:tcW w:w="4535" w:type="dxa"/>
            <w:vAlign w:val="center"/>
          </w:tcPr>
          <w:p w14:paraId="2440CDE0">
            <w:pPr>
              <w:pStyle w:val="10"/>
            </w:pPr>
            <w:r>
              <w:t>科目名称</w:t>
            </w:r>
          </w:p>
        </w:tc>
        <w:tc>
          <w:tcPr>
            <w:tcW w:w="2551" w:type="dxa"/>
            <w:vAlign w:val="center"/>
          </w:tcPr>
          <w:p w14:paraId="4C4E0CD2">
            <w:pPr>
              <w:pStyle w:val="10"/>
            </w:pPr>
            <w:r>
              <w:t>合计</w:t>
            </w:r>
          </w:p>
        </w:tc>
        <w:tc>
          <w:tcPr>
            <w:tcW w:w="2551" w:type="dxa"/>
            <w:vAlign w:val="center"/>
          </w:tcPr>
          <w:p w14:paraId="6B47FFA7">
            <w:pPr>
              <w:pStyle w:val="10"/>
            </w:pPr>
            <w:r>
              <w:t>人员经费</w:t>
            </w:r>
          </w:p>
        </w:tc>
        <w:tc>
          <w:tcPr>
            <w:tcW w:w="2551" w:type="dxa"/>
            <w:vAlign w:val="center"/>
          </w:tcPr>
          <w:p w14:paraId="10321432">
            <w:pPr>
              <w:pStyle w:val="10"/>
            </w:pPr>
            <w:r>
              <w:t>公用经费</w:t>
            </w:r>
          </w:p>
        </w:tc>
      </w:tr>
      <w:tr w14:paraId="3E0E2C60">
        <w:tblPrEx>
          <w:tblCellMar>
            <w:top w:w="0" w:type="dxa"/>
            <w:left w:w="108" w:type="dxa"/>
            <w:bottom w:w="0" w:type="dxa"/>
            <w:right w:w="108" w:type="dxa"/>
          </w:tblCellMar>
        </w:tblPrEx>
        <w:trPr>
          <w:trHeight w:val="369" w:hRule="atLeast"/>
          <w:tblHeader/>
          <w:jc w:val="center"/>
        </w:trPr>
        <w:tc>
          <w:tcPr>
            <w:tcW w:w="850" w:type="dxa"/>
            <w:vAlign w:val="center"/>
          </w:tcPr>
          <w:p w14:paraId="010820B8">
            <w:pPr>
              <w:pStyle w:val="10"/>
            </w:pPr>
            <w:r>
              <w:t>栏次</w:t>
            </w:r>
          </w:p>
        </w:tc>
        <w:tc>
          <w:tcPr>
            <w:tcW w:w="1191" w:type="dxa"/>
            <w:vAlign w:val="center"/>
          </w:tcPr>
          <w:p w14:paraId="1B3DB1AC">
            <w:pPr>
              <w:pStyle w:val="10"/>
            </w:pPr>
            <w:r>
              <w:t>1</w:t>
            </w:r>
          </w:p>
        </w:tc>
        <w:tc>
          <w:tcPr>
            <w:tcW w:w="4535" w:type="dxa"/>
            <w:vAlign w:val="center"/>
          </w:tcPr>
          <w:p w14:paraId="166D1D02">
            <w:pPr>
              <w:pStyle w:val="10"/>
            </w:pPr>
            <w:r>
              <w:t>2</w:t>
            </w:r>
          </w:p>
        </w:tc>
        <w:tc>
          <w:tcPr>
            <w:tcW w:w="2551" w:type="dxa"/>
            <w:vAlign w:val="center"/>
          </w:tcPr>
          <w:p w14:paraId="51B3A35E">
            <w:pPr>
              <w:pStyle w:val="10"/>
            </w:pPr>
            <w:r>
              <w:t>3</w:t>
            </w:r>
          </w:p>
        </w:tc>
        <w:tc>
          <w:tcPr>
            <w:tcW w:w="2551" w:type="dxa"/>
            <w:vAlign w:val="center"/>
          </w:tcPr>
          <w:p w14:paraId="09B64BF5">
            <w:pPr>
              <w:pStyle w:val="10"/>
            </w:pPr>
            <w:r>
              <w:t>4</w:t>
            </w:r>
          </w:p>
        </w:tc>
        <w:tc>
          <w:tcPr>
            <w:tcW w:w="2551" w:type="dxa"/>
            <w:vAlign w:val="center"/>
          </w:tcPr>
          <w:p w14:paraId="2718A950">
            <w:pPr>
              <w:pStyle w:val="10"/>
            </w:pPr>
            <w:r>
              <w:t>5</w:t>
            </w:r>
          </w:p>
        </w:tc>
      </w:tr>
      <w:tr w14:paraId="69B7EDA9">
        <w:tblPrEx>
          <w:tblCellMar>
            <w:top w:w="0" w:type="dxa"/>
            <w:left w:w="108" w:type="dxa"/>
            <w:bottom w:w="0" w:type="dxa"/>
            <w:right w:w="108" w:type="dxa"/>
          </w:tblCellMar>
        </w:tblPrEx>
        <w:trPr>
          <w:trHeight w:val="369" w:hRule="atLeast"/>
          <w:jc w:val="center"/>
        </w:trPr>
        <w:tc>
          <w:tcPr>
            <w:tcW w:w="850" w:type="dxa"/>
            <w:vAlign w:val="center"/>
          </w:tcPr>
          <w:p w14:paraId="785FEA1E">
            <w:pPr>
              <w:pStyle w:val="13"/>
            </w:pPr>
            <w:r>
              <w:t>1</w:t>
            </w:r>
          </w:p>
        </w:tc>
        <w:tc>
          <w:tcPr>
            <w:tcW w:w="1191" w:type="dxa"/>
            <w:vAlign w:val="center"/>
          </w:tcPr>
          <w:p w14:paraId="5980C21E">
            <w:pPr>
              <w:pStyle w:val="16"/>
            </w:pPr>
          </w:p>
        </w:tc>
        <w:tc>
          <w:tcPr>
            <w:tcW w:w="4535" w:type="dxa"/>
            <w:vAlign w:val="center"/>
          </w:tcPr>
          <w:p w14:paraId="3F80977E">
            <w:pPr>
              <w:pStyle w:val="14"/>
            </w:pPr>
            <w:r>
              <w:t>合计</w:t>
            </w:r>
          </w:p>
        </w:tc>
        <w:tc>
          <w:tcPr>
            <w:tcW w:w="2551" w:type="dxa"/>
            <w:vAlign w:val="center"/>
          </w:tcPr>
          <w:p w14:paraId="62E64DFB">
            <w:pPr>
              <w:pStyle w:val="15"/>
            </w:pPr>
            <w:r>
              <w:t>143.06</w:t>
            </w:r>
          </w:p>
        </w:tc>
        <w:tc>
          <w:tcPr>
            <w:tcW w:w="2551" w:type="dxa"/>
            <w:vAlign w:val="center"/>
          </w:tcPr>
          <w:p w14:paraId="1B7E1A51">
            <w:pPr>
              <w:pStyle w:val="15"/>
            </w:pPr>
            <w:r>
              <w:t>110.56</w:t>
            </w:r>
          </w:p>
        </w:tc>
        <w:tc>
          <w:tcPr>
            <w:tcW w:w="2551" w:type="dxa"/>
            <w:vAlign w:val="center"/>
          </w:tcPr>
          <w:p w14:paraId="3D4CE739">
            <w:pPr>
              <w:pStyle w:val="15"/>
            </w:pPr>
            <w:r>
              <w:t>32.50</w:t>
            </w:r>
          </w:p>
        </w:tc>
      </w:tr>
      <w:tr w14:paraId="107F0253">
        <w:tblPrEx>
          <w:tblCellMar>
            <w:top w:w="0" w:type="dxa"/>
            <w:left w:w="108" w:type="dxa"/>
            <w:bottom w:w="0" w:type="dxa"/>
            <w:right w:w="108" w:type="dxa"/>
          </w:tblCellMar>
        </w:tblPrEx>
        <w:trPr>
          <w:trHeight w:val="369" w:hRule="atLeast"/>
          <w:jc w:val="center"/>
        </w:trPr>
        <w:tc>
          <w:tcPr>
            <w:tcW w:w="850" w:type="dxa"/>
            <w:vAlign w:val="center"/>
          </w:tcPr>
          <w:p w14:paraId="4B81D2E2">
            <w:pPr>
              <w:pStyle w:val="13"/>
            </w:pPr>
            <w:r>
              <w:t>2</w:t>
            </w:r>
          </w:p>
        </w:tc>
        <w:tc>
          <w:tcPr>
            <w:tcW w:w="1191" w:type="dxa"/>
            <w:vAlign w:val="center"/>
          </w:tcPr>
          <w:p w14:paraId="2CEC030C">
            <w:pPr>
              <w:pStyle w:val="12"/>
            </w:pPr>
            <w:r>
              <w:t>301</w:t>
            </w:r>
          </w:p>
        </w:tc>
        <w:tc>
          <w:tcPr>
            <w:tcW w:w="4535" w:type="dxa"/>
            <w:vAlign w:val="center"/>
          </w:tcPr>
          <w:p w14:paraId="0A79B5EF">
            <w:pPr>
              <w:pStyle w:val="12"/>
            </w:pPr>
            <w:r>
              <w:t>工资福利支出</w:t>
            </w:r>
          </w:p>
        </w:tc>
        <w:tc>
          <w:tcPr>
            <w:tcW w:w="2551" w:type="dxa"/>
            <w:vAlign w:val="center"/>
          </w:tcPr>
          <w:p w14:paraId="4418B7A4">
            <w:pPr>
              <w:pStyle w:val="11"/>
            </w:pPr>
            <w:r>
              <w:t>108.32</w:t>
            </w:r>
          </w:p>
        </w:tc>
        <w:tc>
          <w:tcPr>
            <w:tcW w:w="2551" w:type="dxa"/>
            <w:vAlign w:val="center"/>
          </w:tcPr>
          <w:p w14:paraId="5D055002">
            <w:pPr>
              <w:pStyle w:val="11"/>
            </w:pPr>
            <w:r>
              <w:t>108.32</w:t>
            </w:r>
          </w:p>
        </w:tc>
        <w:tc>
          <w:tcPr>
            <w:tcW w:w="2551" w:type="dxa"/>
            <w:vAlign w:val="center"/>
          </w:tcPr>
          <w:p w14:paraId="5B6380B6">
            <w:pPr>
              <w:pStyle w:val="11"/>
            </w:pPr>
          </w:p>
        </w:tc>
      </w:tr>
      <w:tr w14:paraId="6A4C6054">
        <w:tblPrEx>
          <w:tblCellMar>
            <w:top w:w="0" w:type="dxa"/>
            <w:left w:w="108" w:type="dxa"/>
            <w:bottom w:w="0" w:type="dxa"/>
            <w:right w:w="108" w:type="dxa"/>
          </w:tblCellMar>
        </w:tblPrEx>
        <w:trPr>
          <w:trHeight w:val="369" w:hRule="atLeast"/>
          <w:jc w:val="center"/>
        </w:trPr>
        <w:tc>
          <w:tcPr>
            <w:tcW w:w="850" w:type="dxa"/>
            <w:vAlign w:val="center"/>
          </w:tcPr>
          <w:p w14:paraId="7B3CC9A4">
            <w:pPr>
              <w:pStyle w:val="13"/>
            </w:pPr>
            <w:r>
              <w:t>3</w:t>
            </w:r>
          </w:p>
        </w:tc>
        <w:tc>
          <w:tcPr>
            <w:tcW w:w="1191" w:type="dxa"/>
            <w:vAlign w:val="center"/>
          </w:tcPr>
          <w:p w14:paraId="0C9B8B1F">
            <w:pPr>
              <w:pStyle w:val="12"/>
            </w:pPr>
            <w:r>
              <w:t>30101</w:t>
            </w:r>
          </w:p>
        </w:tc>
        <w:tc>
          <w:tcPr>
            <w:tcW w:w="4535" w:type="dxa"/>
            <w:vAlign w:val="center"/>
          </w:tcPr>
          <w:p w14:paraId="6752B25D">
            <w:pPr>
              <w:pStyle w:val="12"/>
            </w:pPr>
            <w:r>
              <w:t>基本工资</w:t>
            </w:r>
          </w:p>
        </w:tc>
        <w:tc>
          <w:tcPr>
            <w:tcW w:w="2551" w:type="dxa"/>
            <w:vAlign w:val="center"/>
          </w:tcPr>
          <w:p w14:paraId="5546BD95">
            <w:pPr>
              <w:pStyle w:val="11"/>
            </w:pPr>
            <w:r>
              <w:t>54.03</w:t>
            </w:r>
          </w:p>
        </w:tc>
        <w:tc>
          <w:tcPr>
            <w:tcW w:w="2551" w:type="dxa"/>
            <w:vAlign w:val="center"/>
          </w:tcPr>
          <w:p w14:paraId="6C450C97">
            <w:pPr>
              <w:pStyle w:val="11"/>
            </w:pPr>
            <w:r>
              <w:t>54.03</w:t>
            </w:r>
          </w:p>
        </w:tc>
        <w:tc>
          <w:tcPr>
            <w:tcW w:w="2551" w:type="dxa"/>
            <w:vAlign w:val="center"/>
          </w:tcPr>
          <w:p w14:paraId="5CD0F0D7">
            <w:pPr>
              <w:pStyle w:val="11"/>
            </w:pPr>
          </w:p>
        </w:tc>
      </w:tr>
      <w:tr w14:paraId="110D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59A05">
            <w:pPr>
              <w:pStyle w:val="13"/>
            </w:pPr>
            <w:r>
              <w:t>4</w:t>
            </w:r>
          </w:p>
        </w:tc>
        <w:tc>
          <w:tcPr>
            <w:tcW w:w="1191" w:type="dxa"/>
            <w:vAlign w:val="center"/>
          </w:tcPr>
          <w:p w14:paraId="0EF9151A">
            <w:pPr>
              <w:pStyle w:val="12"/>
            </w:pPr>
            <w:r>
              <w:t>30102</w:t>
            </w:r>
          </w:p>
        </w:tc>
        <w:tc>
          <w:tcPr>
            <w:tcW w:w="4535" w:type="dxa"/>
            <w:vAlign w:val="center"/>
          </w:tcPr>
          <w:p w14:paraId="221C7442">
            <w:pPr>
              <w:pStyle w:val="12"/>
            </w:pPr>
            <w:r>
              <w:t>津贴补贴</w:t>
            </w:r>
          </w:p>
        </w:tc>
        <w:tc>
          <w:tcPr>
            <w:tcW w:w="2551" w:type="dxa"/>
            <w:vAlign w:val="center"/>
          </w:tcPr>
          <w:p w14:paraId="03780319">
            <w:pPr>
              <w:pStyle w:val="11"/>
            </w:pPr>
            <w:r>
              <w:t>1.42</w:t>
            </w:r>
          </w:p>
        </w:tc>
        <w:tc>
          <w:tcPr>
            <w:tcW w:w="2551" w:type="dxa"/>
            <w:vAlign w:val="center"/>
          </w:tcPr>
          <w:p w14:paraId="2855B7CD">
            <w:pPr>
              <w:pStyle w:val="11"/>
            </w:pPr>
            <w:r>
              <w:t>1.42</w:t>
            </w:r>
          </w:p>
        </w:tc>
        <w:tc>
          <w:tcPr>
            <w:tcW w:w="2551" w:type="dxa"/>
            <w:vAlign w:val="center"/>
          </w:tcPr>
          <w:p w14:paraId="132C766A">
            <w:pPr>
              <w:pStyle w:val="11"/>
            </w:pPr>
          </w:p>
        </w:tc>
      </w:tr>
      <w:tr w14:paraId="232C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EA0D9">
            <w:pPr>
              <w:pStyle w:val="13"/>
            </w:pPr>
            <w:r>
              <w:t>5</w:t>
            </w:r>
          </w:p>
        </w:tc>
        <w:tc>
          <w:tcPr>
            <w:tcW w:w="1191" w:type="dxa"/>
            <w:vAlign w:val="center"/>
          </w:tcPr>
          <w:p w14:paraId="38E58850">
            <w:pPr>
              <w:pStyle w:val="12"/>
            </w:pPr>
            <w:r>
              <w:t>30107</w:t>
            </w:r>
          </w:p>
        </w:tc>
        <w:tc>
          <w:tcPr>
            <w:tcW w:w="4535" w:type="dxa"/>
            <w:vAlign w:val="center"/>
          </w:tcPr>
          <w:p w14:paraId="13D92087">
            <w:pPr>
              <w:pStyle w:val="12"/>
            </w:pPr>
            <w:r>
              <w:t>绩效工资</w:t>
            </w:r>
          </w:p>
        </w:tc>
        <w:tc>
          <w:tcPr>
            <w:tcW w:w="2551" w:type="dxa"/>
            <w:vAlign w:val="center"/>
          </w:tcPr>
          <w:p w14:paraId="196A0FF2">
            <w:pPr>
              <w:pStyle w:val="11"/>
            </w:pPr>
            <w:r>
              <w:t>27.14</w:t>
            </w:r>
          </w:p>
        </w:tc>
        <w:tc>
          <w:tcPr>
            <w:tcW w:w="2551" w:type="dxa"/>
            <w:vAlign w:val="center"/>
          </w:tcPr>
          <w:p w14:paraId="3AF80307">
            <w:pPr>
              <w:pStyle w:val="11"/>
            </w:pPr>
            <w:r>
              <w:t>27.14</w:t>
            </w:r>
          </w:p>
        </w:tc>
        <w:tc>
          <w:tcPr>
            <w:tcW w:w="2551" w:type="dxa"/>
            <w:vAlign w:val="center"/>
          </w:tcPr>
          <w:p w14:paraId="44701FFC">
            <w:pPr>
              <w:pStyle w:val="11"/>
            </w:pPr>
          </w:p>
        </w:tc>
      </w:tr>
      <w:tr w14:paraId="164F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0D9A9">
            <w:pPr>
              <w:pStyle w:val="13"/>
            </w:pPr>
            <w:r>
              <w:t>6</w:t>
            </w:r>
          </w:p>
        </w:tc>
        <w:tc>
          <w:tcPr>
            <w:tcW w:w="1191" w:type="dxa"/>
            <w:vAlign w:val="center"/>
          </w:tcPr>
          <w:p w14:paraId="796C61BC">
            <w:pPr>
              <w:pStyle w:val="12"/>
            </w:pPr>
            <w:r>
              <w:t>30108</w:t>
            </w:r>
          </w:p>
        </w:tc>
        <w:tc>
          <w:tcPr>
            <w:tcW w:w="4535" w:type="dxa"/>
            <w:vAlign w:val="center"/>
          </w:tcPr>
          <w:p w14:paraId="056AEA02">
            <w:pPr>
              <w:pStyle w:val="12"/>
            </w:pPr>
            <w:r>
              <w:t>机关事业单位基本养老保险缴费</w:t>
            </w:r>
          </w:p>
        </w:tc>
        <w:tc>
          <w:tcPr>
            <w:tcW w:w="2551" w:type="dxa"/>
            <w:vAlign w:val="center"/>
          </w:tcPr>
          <w:p w14:paraId="0D8CFE7D">
            <w:pPr>
              <w:pStyle w:val="11"/>
            </w:pPr>
            <w:r>
              <w:t>11.56</w:t>
            </w:r>
          </w:p>
        </w:tc>
        <w:tc>
          <w:tcPr>
            <w:tcW w:w="2551" w:type="dxa"/>
            <w:vAlign w:val="center"/>
          </w:tcPr>
          <w:p w14:paraId="34B9696D">
            <w:pPr>
              <w:pStyle w:val="11"/>
            </w:pPr>
            <w:r>
              <w:t>11.56</w:t>
            </w:r>
          </w:p>
        </w:tc>
        <w:tc>
          <w:tcPr>
            <w:tcW w:w="2551" w:type="dxa"/>
            <w:vAlign w:val="center"/>
          </w:tcPr>
          <w:p w14:paraId="6850A38A">
            <w:pPr>
              <w:pStyle w:val="11"/>
            </w:pPr>
          </w:p>
        </w:tc>
      </w:tr>
      <w:tr w14:paraId="7F47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8BD7">
            <w:pPr>
              <w:pStyle w:val="13"/>
            </w:pPr>
            <w:r>
              <w:t>7</w:t>
            </w:r>
          </w:p>
        </w:tc>
        <w:tc>
          <w:tcPr>
            <w:tcW w:w="1191" w:type="dxa"/>
            <w:vAlign w:val="center"/>
          </w:tcPr>
          <w:p w14:paraId="3C42DC27">
            <w:pPr>
              <w:pStyle w:val="12"/>
            </w:pPr>
            <w:r>
              <w:t>30110</w:t>
            </w:r>
          </w:p>
        </w:tc>
        <w:tc>
          <w:tcPr>
            <w:tcW w:w="4535" w:type="dxa"/>
            <w:vAlign w:val="center"/>
          </w:tcPr>
          <w:p w14:paraId="05BB4535">
            <w:pPr>
              <w:pStyle w:val="12"/>
            </w:pPr>
            <w:r>
              <w:t>职工基本医疗保险缴费</w:t>
            </w:r>
          </w:p>
        </w:tc>
        <w:tc>
          <w:tcPr>
            <w:tcW w:w="2551" w:type="dxa"/>
            <w:vAlign w:val="center"/>
          </w:tcPr>
          <w:p w14:paraId="0A48FD9D">
            <w:pPr>
              <w:pStyle w:val="11"/>
            </w:pPr>
            <w:r>
              <w:t>5.20</w:t>
            </w:r>
          </w:p>
        </w:tc>
        <w:tc>
          <w:tcPr>
            <w:tcW w:w="2551" w:type="dxa"/>
            <w:vAlign w:val="center"/>
          </w:tcPr>
          <w:p w14:paraId="3D165F0A">
            <w:pPr>
              <w:pStyle w:val="11"/>
            </w:pPr>
            <w:r>
              <w:t>5.20</w:t>
            </w:r>
          </w:p>
        </w:tc>
        <w:tc>
          <w:tcPr>
            <w:tcW w:w="2551" w:type="dxa"/>
            <w:vAlign w:val="center"/>
          </w:tcPr>
          <w:p w14:paraId="1DBAB83E">
            <w:pPr>
              <w:pStyle w:val="11"/>
            </w:pPr>
          </w:p>
        </w:tc>
      </w:tr>
      <w:tr w14:paraId="21F32BE5">
        <w:tblPrEx>
          <w:tblCellMar>
            <w:top w:w="0" w:type="dxa"/>
            <w:left w:w="108" w:type="dxa"/>
            <w:bottom w:w="0" w:type="dxa"/>
            <w:right w:w="108" w:type="dxa"/>
          </w:tblCellMar>
        </w:tblPrEx>
        <w:trPr>
          <w:trHeight w:val="369" w:hRule="atLeast"/>
          <w:jc w:val="center"/>
        </w:trPr>
        <w:tc>
          <w:tcPr>
            <w:tcW w:w="850" w:type="dxa"/>
            <w:vAlign w:val="center"/>
          </w:tcPr>
          <w:p w14:paraId="20A5F32B">
            <w:pPr>
              <w:pStyle w:val="13"/>
            </w:pPr>
            <w:r>
              <w:t>8</w:t>
            </w:r>
          </w:p>
        </w:tc>
        <w:tc>
          <w:tcPr>
            <w:tcW w:w="1191" w:type="dxa"/>
            <w:vAlign w:val="center"/>
          </w:tcPr>
          <w:p w14:paraId="122214CA">
            <w:pPr>
              <w:pStyle w:val="12"/>
            </w:pPr>
            <w:r>
              <w:t>30112</w:t>
            </w:r>
          </w:p>
        </w:tc>
        <w:tc>
          <w:tcPr>
            <w:tcW w:w="4535" w:type="dxa"/>
            <w:vAlign w:val="center"/>
          </w:tcPr>
          <w:p w14:paraId="5BC64037">
            <w:pPr>
              <w:pStyle w:val="12"/>
            </w:pPr>
            <w:r>
              <w:t>其他社会保障缴费</w:t>
            </w:r>
          </w:p>
        </w:tc>
        <w:tc>
          <w:tcPr>
            <w:tcW w:w="2551" w:type="dxa"/>
            <w:vAlign w:val="center"/>
          </w:tcPr>
          <w:p w14:paraId="3F09FC70">
            <w:pPr>
              <w:pStyle w:val="11"/>
            </w:pPr>
            <w:r>
              <w:t>0.40</w:t>
            </w:r>
          </w:p>
        </w:tc>
        <w:tc>
          <w:tcPr>
            <w:tcW w:w="2551" w:type="dxa"/>
            <w:vAlign w:val="center"/>
          </w:tcPr>
          <w:p w14:paraId="1C6B682B">
            <w:pPr>
              <w:pStyle w:val="11"/>
            </w:pPr>
            <w:r>
              <w:t>0.40</w:t>
            </w:r>
          </w:p>
        </w:tc>
        <w:tc>
          <w:tcPr>
            <w:tcW w:w="2551" w:type="dxa"/>
            <w:vAlign w:val="center"/>
          </w:tcPr>
          <w:p w14:paraId="3540F9BB">
            <w:pPr>
              <w:pStyle w:val="11"/>
            </w:pPr>
          </w:p>
        </w:tc>
      </w:tr>
      <w:tr w14:paraId="20676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56133">
            <w:pPr>
              <w:pStyle w:val="13"/>
            </w:pPr>
            <w:r>
              <w:t>9</w:t>
            </w:r>
          </w:p>
        </w:tc>
        <w:tc>
          <w:tcPr>
            <w:tcW w:w="1191" w:type="dxa"/>
            <w:vAlign w:val="center"/>
          </w:tcPr>
          <w:p w14:paraId="3ADF8B60">
            <w:pPr>
              <w:pStyle w:val="12"/>
            </w:pPr>
            <w:r>
              <w:t>30113</w:t>
            </w:r>
          </w:p>
        </w:tc>
        <w:tc>
          <w:tcPr>
            <w:tcW w:w="4535" w:type="dxa"/>
            <w:vAlign w:val="center"/>
          </w:tcPr>
          <w:p w14:paraId="7E509106">
            <w:pPr>
              <w:pStyle w:val="12"/>
            </w:pPr>
            <w:r>
              <w:t>住房公积金</w:t>
            </w:r>
          </w:p>
        </w:tc>
        <w:tc>
          <w:tcPr>
            <w:tcW w:w="2551" w:type="dxa"/>
            <w:vAlign w:val="center"/>
          </w:tcPr>
          <w:p w14:paraId="4A5B5C86">
            <w:pPr>
              <w:pStyle w:val="11"/>
            </w:pPr>
            <w:r>
              <w:t>8.57</w:t>
            </w:r>
          </w:p>
        </w:tc>
        <w:tc>
          <w:tcPr>
            <w:tcW w:w="2551" w:type="dxa"/>
            <w:vAlign w:val="center"/>
          </w:tcPr>
          <w:p w14:paraId="465F9BFA">
            <w:pPr>
              <w:pStyle w:val="11"/>
            </w:pPr>
            <w:r>
              <w:t>8.57</w:t>
            </w:r>
          </w:p>
        </w:tc>
        <w:tc>
          <w:tcPr>
            <w:tcW w:w="2551" w:type="dxa"/>
            <w:vAlign w:val="center"/>
          </w:tcPr>
          <w:p w14:paraId="7954536D">
            <w:pPr>
              <w:pStyle w:val="11"/>
            </w:pPr>
          </w:p>
        </w:tc>
      </w:tr>
      <w:tr w14:paraId="03F4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435EB">
            <w:pPr>
              <w:pStyle w:val="13"/>
            </w:pPr>
            <w:r>
              <w:t>10</w:t>
            </w:r>
          </w:p>
        </w:tc>
        <w:tc>
          <w:tcPr>
            <w:tcW w:w="1191" w:type="dxa"/>
            <w:vAlign w:val="center"/>
          </w:tcPr>
          <w:p w14:paraId="78956C0F">
            <w:pPr>
              <w:pStyle w:val="12"/>
            </w:pPr>
            <w:r>
              <w:t>302</w:t>
            </w:r>
          </w:p>
        </w:tc>
        <w:tc>
          <w:tcPr>
            <w:tcW w:w="4535" w:type="dxa"/>
            <w:vAlign w:val="center"/>
          </w:tcPr>
          <w:p w14:paraId="135935F6">
            <w:pPr>
              <w:pStyle w:val="12"/>
            </w:pPr>
            <w:r>
              <w:t>商品和服务支出</w:t>
            </w:r>
          </w:p>
        </w:tc>
        <w:tc>
          <w:tcPr>
            <w:tcW w:w="2551" w:type="dxa"/>
            <w:vAlign w:val="center"/>
          </w:tcPr>
          <w:p w14:paraId="6D0A99AD">
            <w:pPr>
              <w:pStyle w:val="11"/>
            </w:pPr>
            <w:r>
              <w:t>32.50</w:t>
            </w:r>
          </w:p>
        </w:tc>
        <w:tc>
          <w:tcPr>
            <w:tcW w:w="2551" w:type="dxa"/>
            <w:vAlign w:val="center"/>
          </w:tcPr>
          <w:p w14:paraId="15FC48A4">
            <w:pPr>
              <w:pStyle w:val="11"/>
            </w:pPr>
          </w:p>
        </w:tc>
        <w:tc>
          <w:tcPr>
            <w:tcW w:w="2551" w:type="dxa"/>
            <w:vAlign w:val="center"/>
          </w:tcPr>
          <w:p w14:paraId="25A17205">
            <w:pPr>
              <w:pStyle w:val="11"/>
            </w:pPr>
            <w:r>
              <w:t>32.50</w:t>
            </w:r>
          </w:p>
        </w:tc>
      </w:tr>
      <w:tr w14:paraId="3B25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26BE0">
            <w:pPr>
              <w:pStyle w:val="13"/>
            </w:pPr>
            <w:r>
              <w:t>11</w:t>
            </w:r>
          </w:p>
        </w:tc>
        <w:tc>
          <w:tcPr>
            <w:tcW w:w="1191" w:type="dxa"/>
            <w:vAlign w:val="center"/>
          </w:tcPr>
          <w:p w14:paraId="5031DDE3">
            <w:pPr>
              <w:pStyle w:val="12"/>
            </w:pPr>
            <w:r>
              <w:t>30201</w:t>
            </w:r>
          </w:p>
        </w:tc>
        <w:tc>
          <w:tcPr>
            <w:tcW w:w="4535" w:type="dxa"/>
            <w:vAlign w:val="center"/>
          </w:tcPr>
          <w:p w14:paraId="0BD9259A">
            <w:pPr>
              <w:pStyle w:val="12"/>
            </w:pPr>
            <w:r>
              <w:t>办公费</w:t>
            </w:r>
          </w:p>
        </w:tc>
        <w:tc>
          <w:tcPr>
            <w:tcW w:w="2551" w:type="dxa"/>
            <w:vAlign w:val="center"/>
          </w:tcPr>
          <w:p w14:paraId="5BB6D84B">
            <w:pPr>
              <w:pStyle w:val="11"/>
            </w:pPr>
            <w:r>
              <w:t>3.68</w:t>
            </w:r>
          </w:p>
        </w:tc>
        <w:tc>
          <w:tcPr>
            <w:tcW w:w="2551" w:type="dxa"/>
            <w:vAlign w:val="center"/>
          </w:tcPr>
          <w:p w14:paraId="641DB984">
            <w:pPr>
              <w:pStyle w:val="11"/>
            </w:pPr>
          </w:p>
        </w:tc>
        <w:tc>
          <w:tcPr>
            <w:tcW w:w="2551" w:type="dxa"/>
            <w:vAlign w:val="center"/>
          </w:tcPr>
          <w:p w14:paraId="7362B2D0">
            <w:pPr>
              <w:pStyle w:val="11"/>
            </w:pPr>
            <w:r>
              <w:t>3.68</w:t>
            </w:r>
          </w:p>
        </w:tc>
      </w:tr>
      <w:tr w14:paraId="3B0D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EEAF">
            <w:pPr>
              <w:pStyle w:val="13"/>
            </w:pPr>
            <w:r>
              <w:t>12</w:t>
            </w:r>
          </w:p>
        </w:tc>
        <w:tc>
          <w:tcPr>
            <w:tcW w:w="1191" w:type="dxa"/>
            <w:vAlign w:val="center"/>
          </w:tcPr>
          <w:p w14:paraId="0B9162C8">
            <w:pPr>
              <w:pStyle w:val="12"/>
            </w:pPr>
            <w:r>
              <w:t>30202</w:t>
            </w:r>
          </w:p>
        </w:tc>
        <w:tc>
          <w:tcPr>
            <w:tcW w:w="4535" w:type="dxa"/>
            <w:vAlign w:val="center"/>
          </w:tcPr>
          <w:p w14:paraId="7FC442DC">
            <w:pPr>
              <w:pStyle w:val="12"/>
            </w:pPr>
            <w:r>
              <w:t>印刷费</w:t>
            </w:r>
          </w:p>
        </w:tc>
        <w:tc>
          <w:tcPr>
            <w:tcW w:w="2551" w:type="dxa"/>
            <w:vAlign w:val="center"/>
          </w:tcPr>
          <w:p w14:paraId="2C66AFDC">
            <w:pPr>
              <w:pStyle w:val="11"/>
            </w:pPr>
            <w:r>
              <w:t>3.10</w:t>
            </w:r>
          </w:p>
        </w:tc>
        <w:tc>
          <w:tcPr>
            <w:tcW w:w="2551" w:type="dxa"/>
            <w:vAlign w:val="center"/>
          </w:tcPr>
          <w:p w14:paraId="3522880D">
            <w:pPr>
              <w:pStyle w:val="11"/>
            </w:pPr>
          </w:p>
        </w:tc>
        <w:tc>
          <w:tcPr>
            <w:tcW w:w="2551" w:type="dxa"/>
            <w:vAlign w:val="center"/>
          </w:tcPr>
          <w:p w14:paraId="6B0577AD">
            <w:pPr>
              <w:pStyle w:val="11"/>
            </w:pPr>
            <w:r>
              <w:t>3.10</w:t>
            </w:r>
          </w:p>
        </w:tc>
      </w:tr>
      <w:tr w14:paraId="72FD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2DDA9">
            <w:pPr>
              <w:pStyle w:val="13"/>
            </w:pPr>
            <w:r>
              <w:t>13</w:t>
            </w:r>
          </w:p>
        </w:tc>
        <w:tc>
          <w:tcPr>
            <w:tcW w:w="1191" w:type="dxa"/>
            <w:vAlign w:val="center"/>
          </w:tcPr>
          <w:p w14:paraId="07B6475B">
            <w:pPr>
              <w:pStyle w:val="12"/>
            </w:pPr>
            <w:r>
              <w:t>30206</w:t>
            </w:r>
          </w:p>
        </w:tc>
        <w:tc>
          <w:tcPr>
            <w:tcW w:w="4535" w:type="dxa"/>
            <w:vAlign w:val="center"/>
          </w:tcPr>
          <w:p w14:paraId="0700E631">
            <w:pPr>
              <w:pStyle w:val="12"/>
            </w:pPr>
            <w:r>
              <w:t>电费</w:t>
            </w:r>
          </w:p>
        </w:tc>
        <w:tc>
          <w:tcPr>
            <w:tcW w:w="2551" w:type="dxa"/>
            <w:vAlign w:val="center"/>
          </w:tcPr>
          <w:p w14:paraId="5B4233CF">
            <w:pPr>
              <w:pStyle w:val="11"/>
            </w:pPr>
            <w:r>
              <w:t>6.80</w:t>
            </w:r>
          </w:p>
        </w:tc>
        <w:tc>
          <w:tcPr>
            <w:tcW w:w="2551" w:type="dxa"/>
            <w:vAlign w:val="center"/>
          </w:tcPr>
          <w:p w14:paraId="50C5AB75">
            <w:pPr>
              <w:pStyle w:val="11"/>
            </w:pPr>
          </w:p>
        </w:tc>
        <w:tc>
          <w:tcPr>
            <w:tcW w:w="2551" w:type="dxa"/>
            <w:vAlign w:val="center"/>
          </w:tcPr>
          <w:p w14:paraId="24C5EE12">
            <w:pPr>
              <w:pStyle w:val="11"/>
            </w:pPr>
            <w:r>
              <w:t>6.80</w:t>
            </w:r>
          </w:p>
        </w:tc>
      </w:tr>
      <w:tr w14:paraId="6574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9A195">
            <w:pPr>
              <w:pStyle w:val="13"/>
            </w:pPr>
            <w:r>
              <w:t>14</w:t>
            </w:r>
          </w:p>
        </w:tc>
        <w:tc>
          <w:tcPr>
            <w:tcW w:w="1191" w:type="dxa"/>
            <w:vAlign w:val="center"/>
          </w:tcPr>
          <w:p w14:paraId="54653414">
            <w:pPr>
              <w:pStyle w:val="12"/>
            </w:pPr>
            <w:r>
              <w:t>30207</w:t>
            </w:r>
          </w:p>
        </w:tc>
        <w:tc>
          <w:tcPr>
            <w:tcW w:w="4535" w:type="dxa"/>
            <w:vAlign w:val="center"/>
          </w:tcPr>
          <w:p w14:paraId="4573B8F2">
            <w:pPr>
              <w:pStyle w:val="12"/>
            </w:pPr>
            <w:r>
              <w:t>邮电费</w:t>
            </w:r>
          </w:p>
        </w:tc>
        <w:tc>
          <w:tcPr>
            <w:tcW w:w="2551" w:type="dxa"/>
            <w:vAlign w:val="center"/>
          </w:tcPr>
          <w:p w14:paraId="11A9BE26">
            <w:pPr>
              <w:pStyle w:val="11"/>
            </w:pPr>
            <w:r>
              <w:t>1.91</w:t>
            </w:r>
          </w:p>
        </w:tc>
        <w:tc>
          <w:tcPr>
            <w:tcW w:w="2551" w:type="dxa"/>
            <w:vAlign w:val="center"/>
          </w:tcPr>
          <w:p w14:paraId="158B8197">
            <w:pPr>
              <w:pStyle w:val="11"/>
            </w:pPr>
          </w:p>
        </w:tc>
        <w:tc>
          <w:tcPr>
            <w:tcW w:w="2551" w:type="dxa"/>
            <w:vAlign w:val="center"/>
          </w:tcPr>
          <w:p w14:paraId="59C5E4E3">
            <w:pPr>
              <w:pStyle w:val="11"/>
            </w:pPr>
            <w:r>
              <w:t>1.91</w:t>
            </w:r>
          </w:p>
        </w:tc>
      </w:tr>
      <w:tr w14:paraId="6BAC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A3015">
            <w:pPr>
              <w:pStyle w:val="13"/>
            </w:pPr>
            <w:r>
              <w:t>15</w:t>
            </w:r>
          </w:p>
        </w:tc>
        <w:tc>
          <w:tcPr>
            <w:tcW w:w="1191" w:type="dxa"/>
            <w:vAlign w:val="center"/>
          </w:tcPr>
          <w:p w14:paraId="48B254B7">
            <w:pPr>
              <w:pStyle w:val="12"/>
            </w:pPr>
            <w:r>
              <w:t>30209</w:t>
            </w:r>
          </w:p>
        </w:tc>
        <w:tc>
          <w:tcPr>
            <w:tcW w:w="4535" w:type="dxa"/>
            <w:vAlign w:val="center"/>
          </w:tcPr>
          <w:p w14:paraId="7CBA4598">
            <w:pPr>
              <w:pStyle w:val="12"/>
            </w:pPr>
            <w:r>
              <w:t>物业管理费</w:t>
            </w:r>
          </w:p>
        </w:tc>
        <w:tc>
          <w:tcPr>
            <w:tcW w:w="2551" w:type="dxa"/>
            <w:vAlign w:val="center"/>
          </w:tcPr>
          <w:p w14:paraId="7C5452A5">
            <w:pPr>
              <w:pStyle w:val="11"/>
            </w:pPr>
            <w:r>
              <w:t>5.04</w:t>
            </w:r>
          </w:p>
        </w:tc>
        <w:tc>
          <w:tcPr>
            <w:tcW w:w="2551" w:type="dxa"/>
            <w:vAlign w:val="center"/>
          </w:tcPr>
          <w:p w14:paraId="262363B1">
            <w:pPr>
              <w:pStyle w:val="11"/>
            </w:pPr>
          </w:p>
        </w:tc>
        <w:tc>
          <w:tcPr>
            <w:tcW w:w="2551" w:type="dxa"/>
            <w:vAlign w:val="center"/>
          </w:tcPr>
          <w:p w14:paraId="6A521611">
            <w:pPr>
              <w:pStyle w:val="11"/>
            </w:pPr>
            <w:r>
              <w:t>5.04</w:t>
            </w:r>
          </w:p>
        </w:tc>
      </w:tr>
      <w:tr w14:paraId="3071D3E2">
        <w:tblPrEx>
          <w:tblCellMar>
            <w:top w:w="0" w:type="dxa"/>
            <w:left w:w="108" w:type="dxa"/>
            <w:bottom w:w="0" w:type="dxa"/>
            <w:right w:w="108" w:type="dxa"/>
          </w:tblCellMar>
        </w:tblPrEx>
        <w:trPr>
          <w:trHeight w:val="369" w:hRule="atLeast"/>
          <w:jc w:val="center"/>
        </w:trPr>
        <w:tc>
          <w:tcPr>
            <w:tcW w:w="850" w:type="dxa"/>
            <w:vAlign w:val="center"/>
          </w:tcPr>
          <w:p w14:paraId="36866085">
            <w:pPr>
              <w:pStyle w:val="13"/>
            </w:pPr>
            <w:r>
              <w:t>16</w:t>
            </w:r>
          </w:p>
        </w:tc>
        <w:tc>
          <w:tcPr>
            <w:tcW w:w="1191" w:type="dxa"/>
            <w:vAlign w:val="center"/>
          </w:tcPr>
          <w:p w14:paraId="7B60ABCE">
            <w:pPr>
              <w:pStyle w:val="12"/>
            </w:pPr>
            <w:r>
              <w:t>30211</w:t>
            </w:r>
          </w:p>
        </w:tc>
        <w:tc>
          <w:tcPr>
            <w:tcW w:w="4535" w:type="dxa"/>
            <w:vAlign w:val="center"/>
          </w:tcPr>
          <w:p w14:paraId="7B5F4844">
            <w:pPr>
              <w:pStyle w:val="12"/>
            </w:pPr>
            <w:r>
              <w:t>差旅费</w:t>
            </w:r>
          </w:p>
        </w:tc>
        <w:tc>
          <w:tcPr>
            <w:tcW w:w="2551" w:type="dxa"/>
            <w:vAlign w:val="center"/>
          </w:tcPr>
          <w:p w14:paraId="76B355B1">
            <w:pPr>
              <w:pStyle w:val="11"/>
            </w:pPr>
            <w:r>
              <w:t>0.30</w:t>
            </w:r>
          </w:p>
        </w:tc>
        <w:tc>
          <w:tcPr>
            <w:tcW w:w="2551" w:type="dxa"/>
            <w:vAlign w:val="center"/>
          </w:tcPr>
          <w:p w14:paraId="14967248">
            <w:pPr>
              <w:pStyle w:val="11"/>
            </w:pPr>
          </w:p>
        </w:tc>
        <w:tc>
          <w:tcPr>
            <w:tcW w:w="2551" w:type="dxa"/>
            <w:vAlign w:val="center"/>
          </w:tcPr>
          <w:p w14:paraId="5A51E6A6">
            <w:pPr>
              <w:pStyle w:val="11"/>
            </w:pPr>
            <w:r>
              <w:t>0.30</w:t>
            </w:r>
          </w:p>
        </w:tc>
      </w:tr>
      <w:tr w14:paraId="66A9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3DA48">
            <w:pPr>
              <w:pStyle w:val="13"/>
            </w:pPr>
            <w:r>
              <w:t>17</w:t>
            </w:r>
          </w:p>
        </w:tc>
        <w:tc>
          <w:tcPr>
            <w:tcW w:w="1191" w:type="dxa"/>
            <w:vAlign w:val="center"/>
          </w:tcPr>
          <w:p w14:paraId="1C95F362">
            <w:pPr>
              <w:pStyle w:val="12"/>
            </w:pPr>
            <w:r>
              <w:t>30213</w:t>
            </w:r>
          </w:p>
        </w:tc>
        <w:tc>
          <w:tcPr>
            <w:tcW w:w="4535" w:type="dxa"/>
            <w:vAlign w:val="center"/>
          </w:tcPr>
          <w:p w14:paraId="6A974C58">
            <w:pPr>
              <w:pStyle w:val="12"/>
            </w:pPr>
            <w:r>
              <w:t>维修（护）费</w:t>
            </w:r>
          </w:p>
        </w:tc>
        <w:tc>
          <w:tcPr>
            <w:tcW w:w="2551" w:type="dxa"/>
            <w:vAlign w:val="center"/>
          </w:tcPr>
          <w:p w14:paraId="1305B4E8">
            <w:pPr>
              <w:pStyle w:val="11"/>
            </w:pPr>
            <w:r>
              <w:t>5.12</w:t>
            </w:r>
          </w:p>
        </w:tc>
        <w:tc>
          <w:tcPr>
            <w:tcW w:w="2551" w:type="dxa"/>
            <w:vAlign w:val="center"/>
          </w:tcPr>
          <w:p w14:paraId="2DD595FD">
            <w:pPr>
              <w:pStyle w:val="11"/>
            </w:pPr>
          </w:p>
        </w:tc>
        <w:tc>
          <w:tcPr>
            <w:tcW w:w="2551" w:type="dxa"/>
            <w:vAlign w:val="center"/>
          </w:tcPr>
          <w:p w14:paraId="5D6ACA66">
            <w:pPr>
              <w:pStyle w:val="11"/>
            </w:pPr>
            <w:r>
              <w:t>5.12</w:t>
            </w:r>
          </w:p>
        </w:tc>
      </w:tr>
      <w:tr w14:paraId="398EC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8707B">
            <w:pPr>
              <w:pStyle w:val="13"/>
            </w:pPr>
            <w:r>
              <w:t>18</w:t>
            </w:r>
          </w:p>
        </w:tc>
        <w:tc>
          <w:tcPr>
            <w:tcW w:w="1191" w:type="dxa"/>
            <w:vAlign w:val="center"/>
          </w:tcPr>
          <w:p w14:paraId="7790B7B3">
            <w:pPr>
              <w:pStyle w:val="12"/>
            </w:pPr>
            <w:r>
              <w:t>30218</w:t>
            </w:r>
          </w:p>
        </w:tc>
        <w:tc>
          <w:tcPr>
            <w:tcW w:w="4535" w:type="dxa"/>
            <w:vAlign w:val="center"/>
          </w:tcPr>
          <w:p w14:paraId="3509C174">
            <w:pPr>
              <w:pStyle w:val="12"/>
            </w:pPr>
            <w:r>
              <w:t>专用材料费</w:t>
            </w:r>
          </w:p>
        </w:tc>
        <w:tc>
          <w:tcPr>
            <w:tcW w:w="2551" w:type="dxa"/>
            <w:vAlign w:val="center"/>
          </w:tcPr>
          <w:p w14:paraId="0BDC3B88">
            <w:pPr>
              <w:pStyle w:val="11"/>
            </w:pPr>
            <w:r>
              <w:t>2.40</w:t>
            </w:r>
          </w:p>
        </w:tc>
        <w:tc>
          <w:tcPr>
            <w:tcW w:w="2551" w:type="dxa"/>
            <w:vAlign w:val="center"/>
          </w:tcPr>
          <w:p w14:paraId="2822BB50">
            <w:pPr>
              <w:pStyle w:val="11"/>
            </w:pPr>
          </w:p>
        </w:tc>
        <w:tc>
          <w:tcPr>
            <w:tcW w:w="2551" w:type="dxa"/>
            <w:vAlign w:val="center"/>
          </w:tcPr>
          <w:p w14:paraId="26C3EEE2">
            <w:pPr>
              <w:pStyle w:val="11"/>
            </w:pPr>
            <w:r>
              <w:t>2.40</w:t>
            </w:r>
          </w:p>
        </w:tc>
      </w:tr>
      <w:tr w14:paraId="53201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EB2F">
            <w:pPr>
              <w:pStyle w:val="13"/>
            </w:pPr>
            <w:r>
              <w:t>19</w:t>
            </w:r>
          </w:p>
        </w:tc>
        <w:tc>
          <w:tcPr>
            <w:tcW w:w="1191" w:type="dxa"/>
            <w:vAlign w:val="center"/>
          </w:tcPr>
          <w:p w14:paraId="35831ADE">
            <w:pPr>
              <w:pStyle w:val="12"/>
            </w:pPr>
            <w:r>
              <w:t>30226</w:t>
            </w:r>
          </w:p>
        </w:tc>
        <w:tc>
          <w:tcPr>
            <w:tcW w:w="4535" w:type="dxa"/>
            <w:vAlign w:val="center"/>
          </w:tcPr>
          <w:p w14:paraId="03FAA32C">
            <w:pPr>
              <w:pStyle w:val="12"/>
            </w:pPr>
            <w:r>
              <w:t>劳务费</w:t>
            </w:r>
          </w:p>
        </w:tc>
        <w:tc>
          <w:tcPr>
            <w:tcW w:w="2551" w:type="dxa"/>
            <w:vAlign w:val="center"/>
          </w:tcPr>
          <w:p w14:paraId="111D6769">
            <w:pPr>
              <w:pStyle w:val="11"/>
            </w:pPr>
            <w:r>
              <w:t>1.60</w:t>
            </w:r>
          </w:p>
        </w:tc>
        <w:tc>
          <w:tcPr>
            <w:tcW w:w="2551" w:type="dxa"/>
            <w:vAlign w:val="center"/>
          </w:tcPr>
          <w:p w14:paraId="5D5A131C">
            <w:pPr>
              <w:pStyle w:val="11"/>
            </w:pPr>
          </w:p>
        </w:tc>
        <w:tc>
          <w:tcPr>
            <w:tcW w:w="2551" w:type="dxa"/>
            <w:vAlign w:val="center"/>
          </w:tcPr>
          <w:p w14:paraId="44CD6D73">
            <w:pPr>
              <w:pStyle w:val="11"/>
            </w:pPr>
            <w:r>
              <w:t>1.60</w:t>
            </w:r>
          </w:p>
        </w:tc>
      </w:tr>
      <w:tr w14:paraId="3F4F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23D64">
            <w:pPr>
              <w:pStyle w:val="13"/>
            </w:pPr>
            <w:r>
              <w:t>20</w:t>
            </w:r>
          </w:p>
        </w:tc>
        <w:tc>
          <w:tcPr>
            <w:tcW w:w="1191" w:type="dxa"/>
            <w:vAlign w:val="center"/>
          </w:tcPr>
          <w:p w14:paraId="1DE2EC7F">
            <w:pPr>
              <w:pStyle w:val="12"/>
            </w:pPr>
            <w:r>
              <w:t>30228</w:t>
            </w:r>
          </w:p>
        </w:tc>
        <w:tc>
          <w:tcPr>
            <w:tcW w:w="4535" w:type="dxa"/>
            <w:vAlign w:val="center"/>
          </w:tcPr>
          <w:p w14:paraId="5F0F69E9">
            <w:pPr>
              <w:pStyle w:val="12"/>
            </w:pPr>
            <w:r>
              <w:t>工会经费</w:t>
            </w:r>
          </w:p>
        </w:tc>
        <w:tc>
          <w:tcPr>
            <w:tcW w:w="2551" w:type="dxa"/>
            <w:vAlign w:val="center"/>
          </w:tcPr>
          <w:p w14:paraId="032FAFFF">
            <w:pPr>
              <w:pStyle w:val="11"/>
            </w:pPr>
            <w:r>
              <w:t>0.15</w:t>
            </w:r>
          </w:p>
        </w:tc>
        <w:tc>
          <w:tcPr>
            <w:tcW w:w="2551" w:type="dxa"/>
            <w:vAlign w:val="center"/>
          </w:tcPr>
          <w:p w14:paraId="45C54A8F">
            <w:pPr>
              <w:pStyle w:val="11"/>
            </w:pPr>
          </w:p>
        </w:tc>
        <w:tc>
          <w:tcPr>
            <w:tcW w:w="2551" w:type="dxa"/>
            <w:vAlign w:val="center"/>
          </w:tcPr>
          <w:p w14:paraId="45A8798A">
            <w:pPr>
              <w:pStyle w:val="11"/>
            </w:pPr>
            <w:r>
              <w:t>0.15</w:t>
            </w:r>
          </w:p>
        </w:tc>
      </w:tr>
      <w:tr w14:paraId="3B04C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B5F7">
            <w:pPr>
              <w:pStyle w:val="13"/>
            </w:pPr>
            <w:r>
              <w:t>21</w:t>
            </w:r>
          </w:p>
        </w:tc>
        <w:tc>
          <w:tcPr>
            <w:tcW w:w="1191" w:type="dxa"/>
            <w:vAlign w:val="center"/>
          </w:tcPr>
          <w:p w14:paraId="2451EE2A">
            <w:pPr>
              <w:pStyle w:val="12"/>
            </w:pPr>
            <w:r>
              <w:t>30299</w:t>
            </w:r>
          </w:p>
        </w:tc>
        <w:tc>
          <w:tcPr>
            <w:tcW w:w="4535" w:type="dxa"/>
            <w:vAlign w:val="center"/>
          </w:tcPr>
          <w:p w14:paraId="5B22A9A4">
            <w:pPr>
              <w:pStyle w:val="12"/>
            </w:pPr>
            <w:r>
              <w:t>其他商品和服务支出</w:t>
            </w:r>
          </w:p>
        </w:tc>
        <w:tc>
          <w:tcPr>
            <w:tcW w:w="2551" w:type="dxa"/>
            <w:vAlign w:val="center"/>
          </w:tcPr>
          <w:p w14:paraId="30FBCA43">
            <w:pPr>
              <w:pStyle w:val="11"/>
            </w:pPr>
            <w:r>
              <w:t>2.40</w:t>
            </w:r>
          </w:p>
        </w:tc>
        <w:tc>
          <w:tcPr>
            <w:tcW w:w="2551" w:type="dxa"/>
            <w:vAlign w:val="center"/>
          </w:tcPr>
          <w:p w14:paraId="495592B2">
            <w:pPr>
              <w:pStyle w:val="11"/>
            </w:pPr>
          </w:p>
        </w:tc>
        <w:tc>
          <w:tcPr>
            <w:tcW w:w="2551" w:type="dxa"/>
            <w:vAlign w:val="center"/>
          </w:tcPr>
          <w:p w14:paraId="3927F8E7">
            <w:pPr>
              <w:pStyle w:val="11"/>
            </w:pPr>
            <w:r>
              <w:t>2.40</w:t>
            </w:r>
          </w:p>
        </w:tc>
      </w:tr>
      <w:tr w14:paraId="5441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8FD9">
            <w:pPr>
              <w:pStyle w:val="13"/>
            </w:pPr>
            <w:r>
              <w:t>22</w:t>
            </w:r>
          </w:p>
        </w:tc>
        <w:tc>
          <w:tcPr>
            <w:tcW w:w="1191" w:type="dxa"/>
            <w:vAlign w:val="center"/>
          </w:tcPr>
          <w:p w14:paraId="4042D23A">
            <w:pPr>
              <w:pStyle w:val="12"/>
            </w:pPr>
            <w:r>
              <w:t>303</w:t>
            </w:r>
          </w:p>
        </w:tc>
        <w:tc>
          <w:tcPr>
            <w:tcW w:w="4535" w:type="dxa"/>
            <w:vAlign w:val="center"/>
          </w:tcPr>
          <w:p w14:paraId="19BBD3D4">
            <w:pPr>
              <w:pStyle w:val="12"/>
            </w:pPr>
            <w:r>
              <w:t>对个人和家庭的补助</w:t>
            </w:r>
          </w:p>
        </w:tc>
        <w:tc>
          <w:tcPr>
            <w:tcW w:w="2551" w:type="dxa"/>
            <w:vAlign w:val="center"/>
          </w:tcPr>
          <w:p w14:paraId="2BC6AD94">
            <w:pPr>
              <w:pStyle w:val="11"/>
            </w:pPr>
            <w:r>
              <w:t>2.24</w:t>
            </w:r>
          </w:p>
        </w:tc>
        <w:tc>
          <w:tcPr>
            <w:tcW w:w="2551" w:type="dxa"/>
            <w:vAlign w:val="center"/>
          </w:tcPr>
          <w:p w14:paraId="131EA5C1">
            <w:pPr>
              <w:pStyle w:val="11"/>
            </w:pPr>
            <w:r>
              <w:t>2.24</w:t>
            </w:r>
          </w:p>
        </w:tc>
        <w:tc>
          <w:tcPr>
            <w:tcW w:w="2551" w:type="dxa"/>
            <w:vAlign w:val="center"/>
          </w:tcPr>
          <w:p w14:paraId="7406E02E">
            <w:pPr>
              <w:pStyle w:val="11"/>
            </w:pPr>
          </w:p>
        </w:tc>
      </w:tr>
      <w:tr w14:paraId="4EB2D3A1">
        <w:tblPrEx>
          <w:tblCellMar>
            <w:top w:w="0" w:type="dxa"/>
            <w:left w:w="108" w:type="dxa"/>
            <w:bottom w:w="0" w:type="dxa"/>
            <w:right w:w="108" w:type="dxa"/>
          </w:tblCellMar>
        </w:tblPrEx>
        <w:trPr>
          <w:trHeight w:val="369" w:hRule="atLeast"/>
          <w:jc w:val="center"/>
        </w:trPr>
        <w:tc>
          <w:tcPr>
            <w:tcW w:w="850" w:type="dxa"/>
            <w:vAlign w:val="center"/>
          </w:tcPr>
          <w:p w14:paraId="3B09550C">
            <w:pPr>
              <w:pStyle w:val="13"/>
            </w:pPr>
            <w:r>
              <w:t>23</w:t>
            </w:r>
          </w:p>
        </w:tc>
        <w:tc>
          <w:tcPr>
            <w:tcW w:w="1191" w:type="dxa"/>
            <w:vAlign w:val="center"/>
          </w:tcPr>
          <w:p w14:paraId="12D31C78">
            <w:pPr>
              <w:pStyle w:val="12"/>
            </w:pPr>
            <w:r>
              <w:t>30302</w:t>
            </w:r>
          </w:p>
        </w:tc>
        <w:tc>
          <w:tcPr>
            <w:tcW w:w="4535" w:type="dxa"/>
            <w:vAlign w:val="center"/>
          </w:tcPr>
          <w:p w14:paraId="4CDFA4B6">
            <w:pPr>
              <w:pStyle w:val="12"/>
            </w:pPr>
            <w:r>
              <w:t>退休费</w:t>
            </w:r>
          </w:p>
        </w:tc>
        <w:tc>
          <w:tcPr>
            <w:tcW w:w="2551" w:type="dxa"/>
            <w:vAlign w:val="center"/>
          </w:tcPr>
          <w:p w14:paraId="7B4A6C60">
            <w:pPr>
              <w:pStyle w:val="11"/>
            </w:pPr>
            <w:r>
              <w:t>2.24</w:t>
            </w:r>
          </w:p>
        </w:tc>
        <w:tc>
          <w:tcPr>
            <w:tcW w:w="2551" w:type="dxa"/>
            <w:vAlign w:val="center"/>
          </w:tcPr>
          <w:p w14:paraId="7B00DC64">
            <w:pPr>
              <w:pStyle w:val="11"/>
            </w:pPr>
            <w:r>
              <w:t>2.24</w:t>
            </w:r>
          </w:p>
        </w:tc>
        <w:tc>
          <w:tcPr>
            <w:tcW w:w="2551" w:type="dxa"/>
            <w:vAlign w:val="center"/>
          </w:tcPr>
          <w:p w14:paraId="7E77B66C">
            <w:pPr>
              <w:pStyle w:val="11"/>
            </w:pPr>
          </w:p>
        </w:tc>
      </w:tr>
    </w:tbl>
    <w:p w14:paraId="5418B0E0">
      <w:pPr>
        <w:sectPr>
          <w:pgSz w:w="16840" w:h="11900" w:orient="landscape"/>
          <w:pgMar w:top="1361" w:right="1020" w:bottom="1134" w:left="1020" w:header="720" w:footer="720" w:gutter="0"/>
          <w:cols w:space="720" w:num="1"/>
        </w:sectPr>
      </w:pPr>
    </w:p>
    <w:p w14:paraId="160DA3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A2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A52CFA">
            <w:pPr>
              <w:pStyle w:val="9"/>
            </w:pPr>
            <w:r>
              <w:t>360036隆尧县青少年校外活动中心</w:t>
            </w:r>
          </w:p>
        </w:tc>
        <w:tc>
          <w:tcPr>
            <w:tcW w:w="2551" w:type="dxa"/>
            <w:tcBorders>
              <w:top w:val="single" w:color="FFFFFF" w:sz="6" w:space="0"/>
              <w:left w:val="single" w:color="FFFFFF" w:sz="6" w:space="0"/>
              <w:right w:val="single" w:color="FFFFFF" w:sz="6" w:space="0"/>
            </w:tcBorders>
            <w:vAlign w:val="center"/>
          </w:tcPr>
          <w:p w14:paraId="6BEFCF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029FFC">
            <w:pPr>
              <w:pStyle w:val="7"/>
            </w:pPr>
            <w:r>
              <w:t>单位：万元</w:t>
            </w:r>
          </w:p>
        </w:tc>
      </w:tr>
      <w:tr w14:paraId="786A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BC214">
            <w:pPr>
              <w:pStyle w:val="10"/>
            </w:pPr>
            <w:r>
              <w:t>序号</w:t>
            </w:r>
          </w:p>
        </w:tc>
        <w:tc>
          <w:tcPr>
            <w:tcW w:w="5726" w:type="dxa"/>
            <w:gridSpan w:val="2"/>
            <w:vAlign w:val="center"/>
          </w:tcPr>
          <w:p w14:paraId="74D34F10">
            <w:pPr>
              <w:pStyle w:val="10"/>
            </w:pPr>
            <w:r>
              <w:t>功能分类科目</w:t>
            </w:r>
          </w:p>
        </w:tc>
        <w:tc>
          <w:tcPr>
            <w:tcW w:w="2551" w:type="dxa"/>
            <w:vMerge w:val="restart"/>
            <w:vAlign w:val="center"/>
          </w:tcPr>
          <w:p w14:paraId="735C2E0F">
            <w:pPr>
              <w:pStyle w:val="10"/>
            </w:pPr>
            <w:r>
              <w:t>合计</w:t>
            </w:r>
          </w:p>
        </w:tc>
        <w:tc>
          <w:tcPr>
            <w:tcW w:w="2551" w:type="dxa"/>
            <w:vMerge w:val="restart"/>
            <w:vAlign w:val="center"/>
          </w:tcPr>
          <w:p w14:paraId="15520D9D">
            <w:pPr>
              <w:pStyle w:val="10"/>
            </w:pPr>
            <w:r>
              <w:t>基本支出</w:t>
            </w:r>
          </w:p>
        </w:tc>
        <w:tc>
          <w:tcPr>
            <w:tcW w:w="2551" w:type="dxa"/>
            <w:vMerge w:val="restart"/>
            <w:vAlign w:val="center"/>
          </w:tcPr>
          <w:p w14:paraId="365724A1">
            <w:pPr>
              <w:pStyle w:val="10"/>
            </w:pPr>
            <w:r>
              <w:t>项目支出</w:t>
            </w:r>
          </w:p>
        </w:tc>
      </w:tr>
      <w:tr w14:paraId="4502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E831F4"/>
        </w:tc>
        <w:tc>
          <w:tcPr>
            <w:tcW w:w="1191" w:type="dxa"/>
            <w:vAlign w:val="center"/>
          </w:tcPr>
          <w:p w14:paraId="3543A49E">
            <w:pPr>
              <w:pStyle w:val="10"/>
            </w:pPr>
            <w:r>
              <w:t>科目编码</w:t>
            </w:r>
          </w:p>
        </w:tc>
        <w:tc>
          <w:tcPr>
            <w:tcW w:w="4535" w:type="dxa"/>
            <w:vAlign w:val="center"/>
          </w:tcPr>
          <w:p w14:paraId="70FF6939">
            <w:pPr>
              <w:pStyle w:val="10"/>
            </w:pPr>
            <w:r>
              <w:t>科目名称</w:t>
            </w:r>
          </w:p>
        </w:tc>
        <w:tc>
          <w:tcPr>
            <w:tcW w:w="2551" w:type="dxa"/>
            <w:vMerge w:val="continue"/>
          </w:tcPr>
          <w:p w14:paraId="0CA87677"/>
        </w:tc>
        <w:tc>
          <w:tcPr>
            <w:tcW w:w="2551" w:type="dxa"/>
            <w:vMerge w:val="continue"/>
          </w:tcPr>
          <w:p w14:paraId="1FA62A61"/>
        </w:tc>
        <w:tc>
          <w:tcPr>
            <w:tcW w:w="2551" w:type="dxa"/>
            <w:vMerge w:val="continue"/>
          </w:tcPr>
          <w:p w14:paraId="6C544E0E"/>
        </w:tc>
      </w:tr>
      <w:tr w14:paraId="66BE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D0AFA">
            <w:pPr>
              <w:pStyle w:val="10"/>
            </w:pPr>
            <w:r>
              <w:t>栏次</w:t>
            </w:r>
          </w:p>
        </w:tc>
        <w:tc>
          <w:tcPr>
            <w:tcW w:w="1191" w:type="dxa"/>
            <w:vAlign w:val="center"/>
          </w:tcPr>
          <w:p w14:paraId="235DE927">
            <w:pPr>
              <w:pStyle w:val="10"/>
            </w:pPr>
            <w:r>
              <w:t>1</w:t>
            </w:r>
          </w:p>
        </w:tc>
        <w:tc>
          <w:tcPr>
            <w:tcW w:w="4535" w:type="dxa"/>
            <w:vAlign w:val="center"/>
          </w:tcPr>
          <w:p w14:paraId="787F159C">
            <w:pPr>
              <w:pStyle w:val="10"/>
            </w:pPr>
            <w:r>
              <w:t>2</w:t>
            </w:r>
          </w:p>
        </w:tc>
        <w:tc>
          <w:tcPr>
            <w:tcW w:w="2551" w:type="dxa"/>
            <w:vAlign w:val="center"/>
          </w:tcPr>
          <w:p w14:paraId="2EC93109">
            <w:pPr>
              <w:pStyle w:val="10"/>
            </w:pPr>
            <w:r>
              <w:t>3</w:t>
            </w:r>
          </w:p>
        </w:tc>
        <w:tc>
          <w:tcPr>
            <w:tcW w:w="2551" w:type="dxa"/>
            <w:vAlign w:val="center"/>
          </w:tcPr>
          <w:p w14:paraId="3A693E60">
            <w:pPr>
              <w:pStyle w:val="10"/>
            </w:pPr>
            <w:r>
              <w:t>4</w:t>
            </w:r>
          </w:p>
        </w:tc>
        <w:tc>
          <w:tcPr>
            <w:tcW w:w="2551" w:type="dxa"/>
            <w:vAlign w:val="center"/>
          </w:tcPr>
          <w:p w14:paraId="1A04D343">
            <w:pPr>
              <w:pStyle w:val="10"/>
            </w:pPr>
            <w:r>
              <w:t>5</w:t>
            </w:r>
          </w:p>
        </w:tc>
      </w:tr>
      <w:tr w14:paraId="01BD2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36F3E">
            <w:pPr>
              <w:pStyle w:val="13"/>
            </w:pPr>
          </w:p>
        </w:tc>
        <w:tc>
          <w:tcPr>
            <w:tcW w:w="1191" w:type="dxa"/>
            <w:vAlign w:val="center"/>
          </w:tcPr>
          <w:p w14:paraId="29CF9CB7">
            <w:pPr>
              <w:pStyle w:val="12"/>
            </w:pPr>
          </w:p>
        </w:tc>
        <w:tc>
          <w:tcPr>
            <w:tcW w:w="4535" w:type="dxa"/>
            <w:vAlign w:val="center"/>
          </w:tcPr>
          <w:p w14:paraId="708A5F22">
            <w:pPr>
              <w:pStyle w:val="12"/>
            </w:pPr>
          </w:p>
        </w:tc>
        <w:tc>
          <w:tcPr>
            <w:tcW w:w="2551" w:type="dxa"/>
            <w:vAlign w:val="center"/>
          </w:tcPr>
          <w:p w14:paraId="2CACCF4E">
            <w:pPr>
              <w:pStyle w:val="11"/>
            </w:pPr>
          </w:p>
        </w:tc>
        <w:tc>
          <w:tcPr>
            <w:tcW w:w="2551" w:type="dxa"/>
            <w:vAlign w:val="center"/>
          </w:tcPr>
          <w:p w14:paraId="3B0597CC">
            <w:pPr>
              <w:pStyle w:val="11"/>
            </w:pPr>
          </w:p>
        </w:tc>
        <w:tc>
          <w:tcPr>
            <w:tcW w:w="2551" w:type="dxa"/>
            <w:vAlign w:val="center"/>
          </w:tcPr>
          <w:p w14:paraId="5CE28CC7">
            <w:pPr>
              <w:pStyle w:val="11"/>
            </w:pPr>
          </w:p>
        </w:tc>
      </w:tr>
    </w:tbl>
    <w:p w14:paraId="1222EC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41AE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AC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86C2FE">
            <w:pPr>
              <w:pStyle w:val="9"/>
            </w:pPr>
            <w:r>
              <w:t>360036隆尧县青少年校外活动中心</w:t>
            </w:r>
          </w:p>
        </w:tc>
        <w:tc>
          <w:tcPr>
            <w:tcW w:w="2551" w:type="dxa"/>
            <w:tcBorders>
              <w:top w:val="single" w:color="FFFFFF" w:sz="6" w:space="0"/>
              <w:left w:val="single" w:color="FFFFFF" w:sz="6" w:space="0"/>
              <w:right w:val="single" w:color="FFFFFF" w:sz="6" w:space="0"/>
            </w:tcBorders>
            <w:vAlign w:val="center"/>
          </w:tcPr>
          <w:p w14:paraId="027D78D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82F99F">
            <w:pPr>
              <w:pStyle w:val="7"/>
            </w:pPr>
            <w:r>
              <w:t>单位：万元</w:t>
            </w:r>
          </w:p>
        </w:tc>
      </w:tr>
      <w:tr w14:paraId="2370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87CDE6">
            <w:pPr>
              <w:pStyle w:val="10"/>
            </w:pPr>
            <w:r>
              <w:t>序号</w:t>
            </w:r>
          </w:p>
        </w:tc>
        <w:tc>
          <w:tcPr>
            <w:tcW w:w="5726" w:type="dxa"/>
            <w:gridSpan w:val="2"/>
            <w:vAlign w:val="center"/>
          </w:tcPr>
          <w:p w14:paraId="37228732">
            <w:pPr>
              <w:pStyle w:val="10"/>
            </w:pPr>
            <w:r>
              <w:t>功能分类科目</w:t>
            </w:r>
          </w:p>
        </w:tc>
        <w:tc>
          <w:tcPr>
            <w:tcW w:w="2551" w:type="dxa"/>
            <w:vMerge w:val="restart"/>
            <w:vAlign w:val="center"/>
          </w:tcPr>
          <w:p w14:paraId="32B0CE65">
            <w:pPr>
              <w:pStyle w:val="10"/>
            </w:pPr>
            <w:r>
              <w:t>合计</w:t>
            </w:r>
          </w:p>
        </w:tc>
        <w:tc>
          <w:tcPr>
            <w:tcW w:w="2551" w:type="dxa"/>
            <w:vMerge w:val="restart"/>
            <w:vAlign w:val="center"/>
          </w:tcPr>
          <w:p w14:paraId="1DE384DB">
            <w:pPr>
              <w:pStyle w:val="10"/>
            </w:pPr>
            <w:r>
              <w:t>基本支出</w:t>
            </w:r>
          </w:p>
        </w:tc>
        <w:tc>
          <w:tcPr>
            <w:tcW w:w="2551" w:type="dxa"/>
            <w:vMerge w:val="restart"/>
            <w:vAlign w:val="center"/>
          </w:tcPr>
          <w:p w14:paraId="43ACAF27">
            <w:pPr>
              <w:pStyle w:val="10"/>
            </w:pPr>
            <w:r>
              <w:t>项目支出</w:t>
            </w:r>
          </w:p>
        </w:tc>
      </w:tr>
      <w:tr w14:paraId="0D00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EB5F9"/>
        </w:tc>
        <w:tc>
          <w:tcPr>
            <w:tcW w:w="1191" w:type="dxa"/>
            <w:vAlign w:val="center"/>
          </w:tcPr>
          <w:p w14:paraId="445F03AB">
            <w:pPr>
              <w:pStyle w:val="10"/>
            </w:pPr>
            <w:r>
              <w:t>科目编码</w:t>
            </w:r>
          </w:p>
        </w:tc>
        <w:tc>
          <w:tcPr>
            <w:tcW w:w="4535" w:type="dxa"/>
            <w:vAlign w:val="center"/>
          </w:tcPr>
          <w:p w14:paraId="5E3243FE">
            <w:pPr>
              <w:pStyle w:val="10"/>
            </w:pPr>
            <w:r>
              <w:t>科目名称</w:t>
            </w:r>
          </w:p>
        </w:tc>
        <w:tc>
          <w:tcPr>
            <w:tcW w:w="2551" w:type="dxa"/>
            <w:vMerge w:val="continue"/>
          </w:tcPr>
          <w:p w14:paraId="0F34737C"/>
        </w:tc>
        <w:tc>
          <w:tcPr>
            <w:tcW w:w="2551" w:type="dxa"/>
            <w:vMerge w:val="continue"/>
          </w:tcPr>
          <w:p w14:paraId="713AE082"/>
        </w:tc>
        <w:tc>
          <w:tcPr>
            <w:tcW w:w="2551" w:type="dxa"/>
            <w:vMerge w:val="continue"/>
          </w:tcPr>
          <w:p w14:paraId="5CE54A06"/>
        </w:tc>
      </w:tr>
      <w:tr w14:paraId="7CD8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9BDD38">
            <w:pPr>
              <w:pStyle w:val="10"/>
            </w:pPr>
            <w:r>
              <w:t>栏次</w:t>
            </w:r>
          </w:p>
        </w:tc>
        <w:tc>
          <w:tcPr>
            <w:tcW w:w="1191" w:type="dxa"/>
            <w:vAlign w:val="center"/>
          </w:tcPr>
          <w:p w14:paraId="23E4E6E8">
            <w:pPr>
              <w:pStyle w:val="10"/>
            </w:pPr>
            <w:r>
              <w:t>1</w:t>
            </w:r>
          </w:p>
        </w:tc>
        <w:tc>
          <w:tcPr>
            <w:tcW w:w="4535" w:type="dxa"/>
            <w:vAlign w:val="center"/>
          </w:tcPr>
          <w:p w14:paraId="1ECD18E2">
            <w:pPr>
              <w:pStyle w:val="10"/>
            </w:pPr>
            <w:r>
              <w:t>2</w:t>
            </w:r>
          </w:p>
        </w:tc>
        <w:tc>
          <w:tcPr>
            <w:tcW w:w="2551" w:type="dxa"/>
            <w:vAlign w:val="center"/>
          </w:tcPr>
          <w:p w14:paraId="19A5DC49">
            <w:pPr>
              <w:pStyle w:val="10"/>
            </w:pPr>
            <w:r>
              <w:t>3</w:t>
            </w:r>
          </w:p>
        </w:tc>
        <w:tc>
          <w:tcPr>
            <w:tcW w:w="2551" w:type="dxa"/>
            <w:vAlign w:val="center"/>
          </w:tcPr>
          <w:p w14:paraId="0BAB8F05">
            <w:pPr>
              <w:pStyle w:val="10"/>
            </w:pPr>
            <w:r>
              <w:t>4</w:t>
            </w:r>
          </w:p>
        </w:tc>
        <w:tc>
          <w:tcPr>
            <w:tcW w:w="2551" w:type="dxa"/>
            <w:vAlign w:val="center"/>
          </w:tcPr>
          <w:p w14:paraId="200D2824">
            <w:pPr>
              <w:pStyle w:val="10"/>
            </w:pPr>
            <w:r>
              <w:t>5</w:t>
            </w:r>
          </w:p>
        </w:tc>
      </w:tr>
      <w:tr w14:paraId="6DE7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69893">
            <w:pPr>
              <w:pStyle w:val="13"/>
            </w:pPr>
          </w:p>
        </w:tc>
        <w:tc>
          <w:tcPr>
            <w:tcW w:w="1191" w:type="dxa"/>
            <w:vAlign w:val="center"/>
          </w:tcPr>
          <w:p w14:paraId="3C121A94">
            <w:pPr>
              <w:pStyle w:val="12"/>
            </w:pPr>
          </w:p>
        </w:tc>
        <w:tc>
          <w:tcPr>
            <w:tcW w:w="4535" w:type="dxa"/>
            <w:vAlign w:val="center"/>
          </w:tcPr>
          <w:p w14:paraId="4EAC86C4">
            <w:pPr>
              <w:pStyle w:val="12"/>
            </w:pPr>
          </w:p>
        </w:tc>
        <w:tc>
          <w:tcPr>
            <w:tcW w:w="2551" w:type="dxa"/>
            <w:vAlign w:val="center"/>
          </w:tcPr>
          <w:p w14:paraId="774CD6E5">
            <w:pPr>
              <w:pStyle w:val="11"/>
            </w:pPr>
          </w:p>
        </w:tc>
        <w:tc>
          <w:tcPr>
            <w:tcW w:w="2551" w:type="dxa"/>
            <w:vAlign w:val="center"/>
          </w:tcPr>
          <w:p w14:paraId="4CA83B4A">
            <w:pPr>
              <w:pStyle w:val="11"/>
            </w:pPr>
          </w:p>
        </w:tc>
        <w:tc>
          <w:tcPr>
            <w:tcW w:w="2551" w:type="dxa"/>
            <w:vAlign w:val="center"/>
          </w:tcPr>
          <w:p w14:paraId="4B5BEE4A">
            <w:pPr>
              <w:pStyle w:val="11"/>
            </w:pPr>
          </w:p>
        </w:tc>
      </w:tr>
    </w:tbl>
    <w:p w14:paraId="2F3EB4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1A4D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60F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033870">
            <w:pPr>
              <w:pStyle w:val="9"/>
            </w:pPr>
            <w:r>
              <w:t>360036隆尧县青少年校外活动中心</w:t>
            </w:r>
          </w:p>
        </w:tc>
        <w:tc>
          <w:tcPr>
            <w:tcW w:w="2381" w:type="dxa"/>
            <w:tcBorders>
              <w:top w:val="single" w:color="FFFFFF" w:sz="6" w:space="0"/>
              <w:left w:val="single" w:color="FFFFFF" w:sz="6" w:space="0"/>
              <w:right w:val="single" w:color="FFFFFF" w:sz="6" w:space="0"/>
            </w:tcBorders>
            <w:vAlign w:val="center"/>
          </w:tcPr>
          <w:p w14:paraId="15E0EAF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3085C17">
            <w:pPr>
              <w:pStyle w:val="7"/>
            </w:pPr>
            <w:r>
              <w:t>单位：万元</w:t>
            </w:r>
          </w:p>
        </w:tc>
      </w:tr>
      <w:tr w14:paraId="3716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569E9">
            <w:pPr>
              <w:pStyle w:val="10"/>
            </w:pPr>
            <w:r>
              <w:t>序号</w:t>
            </w:r>
          </w:p>
        </w:tc>
        <w:tc>
          <w:tcPr>
            <w:tcW w:w="3798" w:type="dxa"/>
            <w:vMerge w:val="restart"/>
            <w:vAlign w:val="center"/>
          </w:tcPr>
          <w:p w14:paraId="1D7923FF">
            <w:pPr>
              <w:pStyle w:val="10"/>
            </w:pPr>
            <w:r>
              <w:t>项  目</w:t>
            </w:r>
          </w:p>
        </w:tc>
        <w:tc>
          <w:tcPr>
            <w:tcW w:w="9524" w:type="dxa"/>
            <w:gridSpan w:val="4"/>
            <w:vAlign w:val="center"/>
          </w:tcPr>
          <w:p w14:paraId="4ABF5971">
            <w:pPr>
              <w:pStyle w:val="10"/>
            </w:pPr>
            <w:r>
              <w:t>资 金 性 质</w:t>
            </w:r>
          </w:p>
        </w:tc>
      </w:tr>
      <w:tr w14:paraId="425A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6AA8A5"/>
        </w:tc>
        <w:tc>
          <w:tcPr>
            <w:tcW w:w="3798" w:type="dxa"/>
            <w:vMerge w:val="continue"/>
          </w:tcPr>
          <w:p w14:paraId="6E8C9C36"/>
        </w:tc>
        <w:tc>
          <w:tcPr>
            <w:tcW w:w="2381" w:type="dxa"/>
            <w:vAlign w:val="center"/>
          </w:tcPr>
          <w:p w14:paraId="7966B2E8">
            <w:pPr>
              <w:pStyle w:val="10"/>
            </w:pPr>
            <w:r>
              <w:t>合计</w:t>
            </w:r>
          </w:p>
        </w:tc>
        <w:tc>
          <w:tcPr>
            <w:tcW w:w="2381" w:type="dxa"/>
            <w:vAlign w:val="center"/>
          </w:tcPr>
          <w:p w14:paraId="233CF1A6">
            <w:pPr>
              <w:pStyle w:val="10"/>
            </w:pPr>
            <w:r>
              <w:t>一般公共预算              财政拨款</w:t>
            </w:r>
          </w:p>
        </w:tc>
        <w:tc>
          <w:tcPr>
            <w:tcW w:w="2381" w:type="dxa"/>
            <w:vAlign w:val="center"/>
          </w:tcPr>
          <w:p w14:paraId="33522ADC">
            <w:pPr>
              <w:pStyle w:val="10"/>
            </w:pPr>
            <w:r>
              <w:t>政府性基金                  预算拨款</w:t>
            </w:r>
          </w:p>
        </w:tc>
        <w:tc>
          <w:tcPr>
            <w:tcW w:w="2381" w:type="dxa"/>
            <w:vAlign w:val="center"/>
          </w:tcPr>
          <w:p w14:paraId="4FF0ACD0">
            <w:pPr>
              <w:pStyle w:val="10"/>
            </w:pPr>
            <w:r>
              <w:t>国有资本经营              预算财政拨款</w:t>
            </w:r>
          </w:p>
        </w:tc>
      </w:tr>
      <w:tr w14:paraId="7B5E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88D04D">
            <w:pPr>
              <w:pStyle w:val="10"/>
            </w:pPr>
            <w:r>
              <w:t>栏次</w:t>
            </w:r>
          </w:p>
        </w:tc>
        <w:tc>
          <w:tcPr>
            <w:tcW w:w="3798" w:type="dxa"/>
            <w:vAlign w:val="center"/>
          </w:tcPr>
          <w:p w14:paraId="16AAA1AF">
            <w:pPr>
              <w:pStyle w:val="10"/>
            </w:pPr>
            <w:r>
              <w:t>1</w:t>
            </w:r>
          </w:p>
        </w:tc>
        <w:tc>
          <w:tcPr>
            <w:tcW w:w="2381" w:type="dxa"/>
            <w:vAlign w:val="center"/>
          </w:tcPr>
          <w:p w14:paraId="714863BA">
            <w:pPr>
              <w:pStyle w:val="10"/>
            </w:pPr>
            <w:r>
              <w:t>2</w:t>
            </w:r>
          </w:p>
        </w:tc>
        <w:tc>
          <w:tcPr>
            <w:tcW w:w="2381" w:type="dxa"/>
            <w:vAlign w:val="center"/>
          </w:tcPr>
          <w:p w14:paraId="31454038">
            <w:pPr>
              <w:pStyle w:val="10"/>
            </w:pPr>
            <w:r>
              <w:t>3</w:t>
            </w:r>
          </w:p>
        </w:tc>
        <w:tc>
          <w:tcPr>
            <w:tcW w:w="2381" w:type="dxa"/>
            <w:vAlign w:val="center"/>
          </w:tcPr>
          <w:p w14:paraId="4AC29A74">
            <w:pPr>
              <w:pStyle w:val="10"/>
            </w:pPr>
            <w:r>
              <w:t>4</w:t>
            </w:r>
          </w:p>
        </w:tc>
        <w:tc>
          <w:tcPr>
            <w:tcW w:w="2381" w:type="dxa"/>
            <w:vAlign w:val="center"/>
          </w:tcPr>
          <w:p w14:paraId="2C40FA1F">
            <w:pPr>
              <w:pStyle w:val="10"/>
            </w:pPr>
            <w:r>
              <w:t>5</w:t>
            </w:r>
          </w:p>
        </w:tc>
      </w:tr>
      <w:tr w14:paraId="7D14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0492BF">
            <w:pPr>
              <w:pStyle w:val="13"/>
            </w:pPr>
          </w:p>
        </w:tc>
        <w:tc>
          <w:tcPr>
            <w:tcW w:w="3798" w:type="dxa"/>
            <w:vAlign w:val="center"/>
          </w:tcPr>
          <w:p w14:paraId="66243DEB">
            <w:pPr>
              <w:pStyle w:val="12"/>
            </w:pPr>
          </w:p>
        </w:tc>
        <w:tc>
          <w:tcPr>
            <w:tcW w:w="2381" w:type="dxa"/>
            <w:vAlign w:val="center"/>
          </w:tcPr>
          <w:p w14:paraId="4661E40D">
            <w:pPr>
              <w:pStyle w:val="11"/>
            </w:pPr>
          </w:p>
        </w:tc>
        <w:tc>
          <w:tcPr>
            <w:tcW w:w="2381" w:type="dxa"/>
            <w:vAlign w:val="center"/>
          </w:tcPr>
          <w:p w14:paraId="3A9BC5E6">
            <w:pPr>
              <w:pStyle w:val="11"/>
            </w:pPr>
          </w:p>
        </w:tc>
        <w:tc>
          <w:tcPr>
            <w:tcW w:w="2381" w:type="dxa"/>
            <w:vAlign w:val="center"/>
          </w:tcPr>
          <w:p w14:paraId="580FABE6">
            <w:pPr>
              <w:pStyle w:val="11"/>
            </w:pPr>
          </w:p>
        </w:tc>
        <w:tc>
          <w:tcPr>
            <w:tcW w:w="2381" w:type="dxa"/>
            <w:vAlign w:val="center"/>
          </w:tcPr>
          <w:p w14:paraId="4988E1D4">
            <w:pPr>
              <w:pStyle w:val="11"/>
            </w:pPr>
          </w:p>
        </w:tc>
      </w:tr>
    </w:tbl>
    <w:p w14:paraId="6E36375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572E5E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隆尧县青少年校外活动中心2026年单位预算信息公开情况说明</w:t>
      </w:r>
    </w:p>
    <w:p w14:paraId="597C08E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地方预决算公开操作规程》和《关于进一步推进预算公开工作的实施意见》规定，现将隆尧县青少年校外活动中心2026年单位预算公开如下：</w:t>
      </w:r>
    </w:p>
    <w:p w14:paraId="66640E53">
      <w:pPr>
        <w:spacing w:before="10" w:after="10" w:line="240" w:lineRule="auto"/>
        <w:ind w:firstLine="640"/>
        <w:jc w:val="left"/>
        <w:outlineLvl w:val="5"/>
      </w:pPr>
      <w:r>
        <w:rPr>
          <w:rFonts w:ascii="黑体" w:hAnsi="黑体" w:eastAsia="黑体" w:cs="黑体"/>
          <w:color w:val="000000"/>
          <w:sz w:val="32"/>
        </w:rPr>
        <w:t>一、单位职责及机构设置情况</w:t>
      </w:r>
    </w:p>
    <w:p w14:paraId="1A89B55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3F92C7">
      <w:pPr>
        <w:pStyle w:val="17"/>
        <w:rPr>
          <w:rFonts w:hint="eastAsia"/>
        </w:rPr>
      </w:pPr>
      <w:r>
        <w:rPr>
          <w:rFonts w:hint="eastAsia"/>
        </w:rPr>
        <w:t xml:space="preserve"> 青少年校外活动中心以“面向学校、面向社会、面向全体青少年”为方针，以课外活动为主，发挥自身的优势，以阵地为依托，以活动为载体，以社会为舞台，以服务青少年为出发点，为青少年参加各类活动提供条件；管理、指导县内中小学、幼儿园开展课外活动，推动中心规范化、多元化发展。</w:t>
      </w:r>
    </w:p>
    <w:p w14:paraId="08A7095A">
      <w:pPr>
        <w:pStyle w:val="17"/>
      </w:pPr>
      <w:r>
        <w:rPr>
          <w:rFonts w:hint="eastAsia"/>
        </w:rPr>
        <w:t xml:space="preserve">       隆尧县青少年校外活动中心事业编制8名</w:t>
      </w:r>
      <w:r>
        <w:rPr>
          <w:rFonts w:hint="eastAsia"/>
          <w:lang w:eastAsia="zh-CN"/>
        </w:rPr>
        <w:t>。</w:t>
      </w:r>
      <w:r>
        <w:rPr>
          <w:rFonts w:hint="eastAsia"/>
        </w:rPr>
        <w:t>其中，主任1名（正股级），副主任1名（副股级）；经费形式为财政性资金基本保证。</w:t>
      </w:r>
    </w:p>
    <w:p w14:paraId="5E4B13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72662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39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9AB76D">
            <w:pPr>
              <w:pStyle w:val="10"/>
            </w:pPr>
            <w:r>
              <w:t>单位名称</w:t>
            </w:r>
          </w:p>
        </w:tc>
        <w:tc>
          <w:tcPr>
            <w:tcW w:w="1843" w:type="dxa"/>
            <w:vAlign w:val="center"/>
          </w:tcPr>
          <w:p w14:paraId="7B7DC687">
            <w:pPr>
              <w:pStyle w:val="10"/>
            </w:pPr>
            <w:r>
              <w:t>单位性质</w:t>
            </w:r>
          </w:p>
        </w:tc>
        <w:tc>
          <w:tcPr>
            <w:tcW w:w="2126" w:type="dxa"/>
            <w:vAlign w:val="center"/>
          </w:tcPr>
          <w:p w14:paraId="0B2D73A5">
            <w:pPr>
              <w:pStyle w:val="10"/>
            </w:pPr>
            <w:r>
              <w:t>单位规格</w:t>
            </w:r>
          </w:p>
        </w:tc>
        <w:tc>
          <w:tcPr>
            <w:tcW w:w="3827" w:type="dxa"/>
            <w:vAlign w:val="center"/>
          </w:tcPr>
          <w:p w14:paraId="27884439">
            <w:pPr>
              <w:pStyle w:val="10"/>
            </w:pPr>
            <w:r>
              <w:t>经费保障形式</w:t>
            </w:r>
          </w:p>
        </w:tc>
      </w:tr>
      <w:tr w14:paraId="66E0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BAC497">
            <w:pPr>
              <w:pStyle w:val="12"/>
            </w:pPr>
            <w:r>
              <w:t>隆尧县青少年校外活动中心</w:t>
            </w:r>
          </w:p>
        </w:tc>
        <w:tc>
          <w:tcPr>
            <w:tcW w:w="1843" w:type="dxa"/>
            <w:vAlign w:val="center"/>
          </w:tcPr>
          <w:p w14:paraId="5D047310">
            <w:pPr>
              <w:pStyle w:val="13"/>
            </w:pPr>
            <w:r>
              <w:t>事业</w:t>
            </w:r>
          </w:p>
        </w:tc>
        <w:tc>
          <w:tcPr>
            <w:tcW w:w="2126" w:type="dxa"/>
            <w:vAlign w:val="center"/>
          </w:tcPr>
          <w:p w14:paraId="161CD9F9">
            <w:pPr>
              <w:pStyle w:val="13"/>
            </w:pPr>
            <w:r>
              <w:t>股级</w:t>
            </w:r>
          </w:p>
        </w:tc>
        <w:tc>
          <w:tcPr>
            <w:tcW w:w="3827" w:type="dxa"/>
            <w:vAlign w:val="center"/>
          </w:tcPr>
          <w:p w14:paraId="16875448">
            <w:pPr>
              <w:pStyle w:val="13"/>
            </w:pPr>
            <w:r>
              <w:t>财政性资金基本保证</w:t>
            </w:r>
          </w:p>
        </w:tc>
      </w:tr>
    </w:tbl>
    <w:p w14:paraId="7DFE93D3">
      <w:pPr>
        <w:spacing w:before="10" w:after="10" w:line="240" w:lineRule="auto"/>
        <w:ind w:firstLine="640"/>
        <w:jc w:val="left"/>
        <w:outlineLvl w:val="5"/>
      </w:pPr>
      <w:r>
        <w:rPr>
          <w:rFonts w:ascii="黑体" w:hAnsi="黑体" w:eastAsia="黑体" w:cs="黑体"/>
          <w:color w:val="000000"/>
          <w:sz w:val="32"/>
        </w:rPr>
        <w:t>二、单位预算安排的总体情况</w:t>
      </w:r>
    </w:p>
    <w:p w14:paraId="6240042E">
      <w:pPr>
        <w:pStyle w:val="18"/>
      </w:pPr>
      <w:r>
        <w:t>按照预算管理有关规定，目前我单位预算的编制实行综合预算管理，即全部收入和支出都反映在预算中。隆尧县青少年校外活动中心的收支包含在单位预算中。</w:t>
      </w:r>
    </w:p>
    <w:p w14:paraId="7C6D68C4">
      <w:pPr>
        <w:pStyle w:val="18"/>
      </w:pPr>
      <w:r>
        <w:t>1、收入说明</w:t>
      </w:r>
    </w:p>
    <w:p w14:paraId="75F2DED5">
      <w:pPr>
        <w:pStyle w:val="18"/>
      </w:pPr>
      <w:r>
        <w:t>反映本单位当年全部收入。2026年预算收入143.06万元，其中：一般公共预算收入143.06万元，基金预算收入0元，财政专户管理资金收入0元，其他来源收入0元。</w:t>
      </w:r>
    </w:p>
    <w:p w14:paraId="116895E3">
      <w:pPr>
        <w:pStyle w:val="18"/>
      </w:pPr>
      <w:r>
        <w:t>2、支出说明</w:t>
      </w:r>
    </w:p>
    <w:p w14:paraId="178EFF6B">
      <w:pPr>
        <w:pStyle w:val="18"/>
      </w:pPr>
      <w:r>
        <w:t>收支预算总表支出栏、基本支出表、项目支出表按经济分类和支出功能分类科目编制，反映隆尧县青少年校外活动中心2026年度单位预算中支出预算的总体情况。2026年单位支出预算为143.06万元，其中基本支出143.06万元，项目支出0万元。</w:t>
      </w:r>
    </w:p>
    <w:p w14:paraId="6F92D8D3">
      <w:pPr>
        <w:pStyle w:val="18"/>
      </w:pPr>
      <w:r>
        <w:t>3、比上年增减情况</w:t>
      </w:r>
    </w:p>
    <w:p w14:paraId="51CE2A9A">
      <w:pPr>
        <w:pStyle w:val="18"/>
      </w:pPr>
      <w:r>
        <w:t>2026年预算收支安排143.06万元，较2025年预算减少7.41万元，其中：基本支出减少7.41万元。</w:t>
      </w:r>
    </w:p>
    <w:p w14:paraId="411EB72E">
      <w:pPr>
        <w:spacing w:before="10" w:after="10" w:line="240" w:lineRule="auto"/>
        <w:ind w:firstLine="640"/>
        <w:jc w:val="left"/>
        <w:outlineLvl w:val="5"/>
      </w:pPr>
      <w:r>
        <w:rPr>
          <w:rFonts w:ascii="黑体" w:hAnsi="黑体" w:eastAsia="黑体" w:cs="黑体"/>
          <w:color w:val="000000"/>
          <w:sz w:val="32"/>
        </w:rPr>
        <w:t>三、机关运行经费安排情况</w:t>
      </w:r>
    </w:p>
    <w:p w14:paraId="08844E0A">
      <w:pPr>
        <w:pStyle w:val="19"/>
      </w:pPr>
      <w:r>
        <w:t>2026年，我单位运行经费共计安排33万元，主要用于日常维修（护）费、办公费、电费、物业管理费、印刷费、专用材料费及其他商品和服务支出等日常运行支出。</w:t>
      </w:r>
    </w:p>
    <w:p w14:paraId="3ECB37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1EBDD7">
      <w:pPr>
        <w:pStyle w:val="20"/>
      </w:pPr>
      <w:r>
        <w:t>2026年，我单位未安排</w:t>
      </w:r>
      <w:r>
        <w:rPr>
          <w:rFonts w:hint="eastAsia"/>
          <w:lang w:eastAsia="zh-CN"/>
        </w:rPr>
        <w:t>“三公”经费</w:t>
      </w:r>
      <w:r>
        <w:t>。</w:t>
      </w:r>
    </w:p>
    <w:p w14:paraId="3B53617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D89B400">
      <w:pPr>
        <w:spacing w:before="10" w:after="10" w:line="240" w:lineRule="auto"/>
        <w:ind w:firstLine="640"/>
        <w:jc w:val="left"/>
        <w:outlineLvl w:val="5"/>
      </w:pPr>
      <w:r>
        <w:rPr>
          <w:rFonts w:ascii="黑体" w:hAnsi="黑体" w:eastAsia="黑体" w:cs="黑体"/>
          <w:color w:val="000000"/>
          <w:sz w:val="32"/>
        </w:rPr>
        <w:t>六、政府采购预算情况</w:t>
      </w:r>
    </w:p>
    <w:p w14:paraId="1D56150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91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B03F31">
            <w:pPr>
              <w:pStyle w:val="9"/>
            </w:pPr>
            <w:r>
              <w:t>360036隆尧县青少年校外活动中心</w:t>
            </w:r>
          </w:p>
        </w:tc>
        <w:tc>
          <w:tcPr>
            <w:tcW w:w="8676" w:type="dxa"/>
            <w:gridSpan w:val="9"/>
            <w:tcBorders>
              <w:top w:val="single" w:color="FFFFFF" w:sz="6" w:space="0"/>
              <w:left w:val="single" w:color="FFFFFF" w:sz="6" w:space="0"/>
              <w:right w:val="single" w:color="FFFFFF" w:sz="6" w:space="0"/>
            </w:tcBorders>
            <w:vAlign w:val="center"/>
          </w:tcPr>
          <w:p w14:paraId="344C64F4">
            <w:pPr>
              <w:pStyle w:val="21"/>
            </w:pPr>
            <w:r>
              <w:t>单位：万元</w:t>
            </w:r>
          </w:p>
        </w:tc>
      </w:tr>
      <w:tr w14:paraId="287A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0A370D">
            <w:pPr>
              <w:pStyle w:val="10"/>
            </w:pPr>
            <w:r>
              <w:t>政府采购项目来源</w:t>
            </w:r>
          </w:p>
        </w:tc>
        <w:tc>
          <w:tcPr>
            <w:tcW w:w="1134" w:type="dxa"/>
            <w:vMerge w:val="restart"/>
            <w:vAlign w:val="center"/>
          </w:tcPr>
          <w:p w14:paraId="05D4E9DA">
            <w:pPr>
              <w:pStyle w:val="10"/>
            </w:pPr>
            <w:r>
              <w:t>采购物品名称</w:t>
            </w:r>
          </w:p>
        </w:tc>
        <w:tc>
          <w:tcPr>
            <w:tcW w:w="1134" w:type="dxa"/>
            <w:vMerge w:val="restart"/>
            <w:vAlign w:val="center"/>
          </w:tcPr>
          <w:p w14:paraId="33A26933">
            <w:pPr>
              <w:pStyle w:val="10"/>
            </w:pPr>
            <w:r>
              <w:t>政府采购目录序号</w:t>
            </w:r>
          </w:p>
        </w:tc>
        <w:tc>
          <w:tcPr>
            <w:tcW w:w="709" w:type="dxa"/>
            <w:vMerge w:val="restart"/>
            <w:vAlign w:val="center"/>
          </w:tcPr>
          <w:p w14:paraId="7F684716">
            <w:pPr>
              <w:pStyle w:val="10"/>
            </w:pPr>
            <w:r>
              <w:t>计量  单位</w:t>
            </w:r>
          </w:p>
        </w:tc>
        <w:tc>
          <w:tcPr>
            <w:tcW w:w="850" w:type="dxa"/>
            <w:vMerge w:val="restart"/>
            <w:vAlign w:val="center"/>
          </w:tcPr>
          <w:p w14:paraId="4467B4FD">
            <w:pPr>
              <w:pStyle w:val="10"/>
            </w:pPr>
            <w:r>
              <w:t>数量</w:t>
            </w:r>
          </w:p>
        </w:tc>
        <w:tc>
          <w:tcPr>
            <w:tcW w:w="850" w:type="dxa"/>
            <w:vMerge w:val="restart"/>
            <w:vAlign w:val="center"/>
          </w:tcPr>
          <w:p w14:paraId="4FA8F230">
            <w:pPr>
              <w:pStyle w:val="10"/>
            </w:pPr>
            <w:r>
              <w:t>单价</w:t>
            </w:r>
          </w:p>
        </w:tc>
        <w:tc>
          <w:tcPr>
            <w:tcW w:w="7712" w:type="dxa"/>
            <w:gridSpan w:val="8"/>
            <w:vAlign w:val="center"/>
          </w:tcPr>
          <w:p w14:paraId="7A34CACB">
            <w:pPr>
              <w:pStyle w:val="10"/>
            </w:pPr>
            <w:r>
              <w:t>政府采购金额（当年部门预算安排资金）</w:t>
            </w:r>
          </w:p>
        </w:tc>
        <w:tc>
          <w:tcPr>
            <w:tcW w:w="964" w:type="dxa"/>
            <w:vMerge w:val="restart"/>
            <w:vAlign w:val="center"/>
          </w:tcPr>
          <w:p w14:paraId="0AA87A22">
            <w:pPr>
              <w:pStyle w:val="10"/>
            </w:pPr>
            <w:r>
              <w:t>2026年  预留中  小微企  业份额</w:t>
            </w:r>
          </w:p>
        </w:tc>
      </w:tr>
      <w:tr w14:paraId="7D5D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8949ED">
            <w:pPr>
              <w:pStyle w:val="10"/>
            </w:pPr>
            <w:r>
              <w:t>项目名称</w:t>
            </w:r>
          </w:p>
        </w:tc>
        <w:tc>
          <w:tcPr>
            <w:tcW w:w="964" w:type="dxa"/>
            <w:vAlign w:val="center"/>
          </w:tcPr>
          <w:p w14:paraId="4F373400">
            <w:pPr>
              <w:pStyle w:val="10"/>
            </w:pPr>
            <w:r>
              <w:t>预算    资金</w:t>
            </w:r>
          </w:p>
        </w:tc>
        <w:tc>
          <w:tcPr>
            <w:tcW w:w="1134" w:type="dxa"/>
            <w:vMerge w:val="continue"/>
          </w:tcPr>
          <w:p w14:paraId="44FF66D3"/>
        </w:tc>
        <w:tc>
          <w:tcPr>
            <w:tcW w:w="1134" w:type="dxa"/>
            <w:vMerge w:val="continue"/>
          </w:tcPr>
          <w:p w14:paraId="04BBA326"/>
        </w:tc>
        <w:tc>
          <w:tcPr>
            <w:tcW w:w="709" w:type="dxa"/>
            <w:vMerge w:val="continue"/>
          </w:tcPr>
          <w:p w14:paraId="0F8A89E9"/>
        </w:tc>
        <w:tc>
          <w:tcPr>
            <w:tcW w:w="850" w:type="dxa"/>
            <w:vMerge w:val="continue"/>
          </w:tcPr>
          <w:p w14:paraId="64FCDFE6"/>
        </w:tc>
        <w:tc>
          <w:tcPr>
            <w:tcW w:w="850" w:type="dxa"/>
            <w:vMerge w:val="continue"/>
          </w:tcPr>
          <w:p w14:paraId="0FF83199"/>
        </w:tc>
        <w:tc>
          <w:tcPr>
            <w:tcW w:w="964" w:type="dxa"/>
            <w:vAlign w:val="center"/>
          </w:tcPr>
          <w:p w14:paraId="773EB519">
            <w:pPr>
              <w:pStyle w:val="10"/>
            </w:pPr>
            <w:r>
              <w:t>合计</w:t>
            </w:r>
          </w:p>
        </w:tc>
        <w:tc>
          <w:tcPr>
            <w:tcW w:w="964" w:type="dxa"/>
            <w:vAlign w:val="center"/>
          </w:tcPr>
          <w:p w14:paraId="69383F84">
            <w:pPr>
              <w:pStyle w:val="10"/>
            </w:pPr>
            <w:r>
              <w:t>一般公共预算拨款</w:t>
            </w:r>
          </w:p>
        </w:tc>
        <w:tc>
          <w:tcPr>
            <w:tcW w:w="964" w:type="dxa"/>
            <w:vAlign w:val="center"/>
          </w:tcPr>
          <w:p w14:paraId="63DA7A52">
            <w:pPr>
              <w:pStyle w:val="10"/>
            </w:pPr>
            <w:r>
              <w:t>基金预算拨款</w:t>
            </w:r>
          </w:p>
        </w:tc>
        <w:tc>
          <w:tcPr>
            <w:tcW w:w="964" w:type="dxa"/>
            <w:vAlign w:val="center"/>
          </w:tcPr>
          <w:p w14:paraId="06803F57">
            <w:pPr>
              <w:pStyle w:val="10"/>
            </w:pPr>
            <w:r>
              <w:t>国有资本经营预算拨款</w:t>
            </w:r>
          </w:p>
        </w:tc>
        <w:tc>
          <w:tcPr>
            <w:tcW w:w="964" w:type="dxa"/>
            <w:vAlign w:val="center"/>
          </w:tcPr>
          <w:p w14:paraId="0AF6E3C7">
            <w:pPr>
              <w:pStyle w:val="10"/>
            </w:pPr>
            <w:r>
              <w:t>财政专户核拨</w:t>
            </w:r>
          </w:p>
        </w:tc>
        <w:tc>
          <w:tcPr>
            <w:tcW w:w="964" w:type="dxa"/>
            <w:vAlign w:val="center"/>
          </w:tcPr>
          <w:p w14:paraId="5613EA99">
            <w:pPr>
              <w:pStyle w:val="10"/>
            </w:pPr>
            <w:r>
              <w:t>单位    资金</w:t>
            </w:r>
          </w:p>
        </w:tc>
        <w:tc>
          <w:tcPr>
            <w:tcW w:w="964" w:type="dxa"/>
            <w:vAlign w:val="center"/>
          </w:tcPr>
          <w:p w14:paraId="1A235E3D">
            <w:pPr>
              <w:pStyle w:val="10"/>
            </w:pPr>
            <w:r>
              <w:t>财政拨款结转</w:t>
            </w:r>
          </w:p>
        </w:tc>
        <w:tc>
          <w:tcPr>
            <w:tcW w:w="964" w:type="dxa"/>
            <w:vAlign w:val="center"/>
          </w:tcPr>
          <w:p w14:paraId="5CC22812">
            <w:pPr>
              <w:pStyle w:val="10"/>
            </w:pPr>
            <w:r>
              <w:t>非财政拨款结余</w:t>
            </w:r>
          </w:p>
        </w:tc>
        <w:tc>
          <w:tcPr>
            <w:tcW w:w="964" w:type="dxa"/>
            <w:vMerge w:val="continue"/>
          </w:tcPr>
          <w:p w14:paraId="29E45C87"/>
        </w:tc>
      </w:tr>
      <w:tr w14:paraId="7D68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DB58D9">
            <w:pPr>
              <w:pStyle w:val="12"/>
            </w:pPr>
          </w:p>
        </w:tc>
        <w:tc>
          <w:tcPr>
            <w:tcW w:w="964" w:type="dxa"/>
            <w:vAlign w:val="center"/>
          </w:tcPr>
          <w:p w14:paraId="18E139D6">
            <w:pPr>
              <w:pStyle w:val="11"/>
            </w:pPr>
          </w:p>
        </w:tc>
        <w:tc>
          <w:tcPr>
            <w:tcW w:w="1134" w:type="dxa"/>
            <w:vAlign w:val="center"/>
          </w:tcPr>
          <w:p w14:paraId="01CA0DB9">
            <w:pPr>
              <w:pStyle w:val="12"/>
            </w:pPr>
          </w:p>
        </w:tc>
        <w:tc>
          <w:tcPr>
            <w:tcW w:w="1134" w:type="dxa"/>
            <w:vAlign w:val="center"/>
          </w:tcPr>
          <w:p w14:paraId="2201EA2B">
            <w:pPr>
              <w:pStyle w:val="12"/>
            </w:pPr>
          </w:p>
        </w:tc>
        <w:tc>
          <w:tcPr>
            <w:tcW w:w="709" w:type="dxa"/>
            <w:vAlign w:val="center"/>
          </w:tcPr>
          <w:p w14:paraId="61090B11">
            <w:pPr>
              <w:pStyle w:val="13"/>
            </w:pPr>
          </w:p>
        </w:tc>
        <w:tc>
          <w:tcPr>
            <w:tcW w:w="850" w:type="dxa"/>
            <w:vAlign w:val="center"/>
          </w:tcPr>
          <w:p w14:paraId="4F7F2D73">
            <w:pPr>
              <w:pStyle w:val="11"/>
            </w:pPr>
          </w:p>
        </w:tc>
        <w:tc>
          <w:tcPr>
            <w:tcW w:w="850" w:type="dxa"/>
            <w:vAlign w:val="center"/>
          </w:tcPr>
          <w:p w14:paraId="545BEF85">
            <w:pPr>
              <w:pStyle w:val="11"/>
            </w:pPr>
          </w:p>
        </w:tc>
        <w:tc>
          <w:tcPr>
            <w:tcW w:w="964" w:type="dxa"/>
            <w:vAlign w:val="center"/>
          </w:tcPr>
          <w:p w14:paraId="5DB31FB5">
            <w:pPr>
              <w:pStyle w:val="11"/>
            </w:pPr>
          </w:p>
        </w:tc>
        <w:tc>
          <w:tcPr>
            <w:tcW w:w="964" w:type="dxa"/>
            <w:vAlign w:val="center"/>
          </w:tcPr>
          <w:p w14:paraId="4036D157">
            <w:pPr>
              <w:pStyle w:val="11"/>
            </w:pPr>
          </w:p>
        </w:tc>
        <w:tc>
          <w:tcPr>
            <w:tcW w:w="964" w:type="dxa"/>
            <w:vAlign w:val="center"/>
          </w:tcPr>
          <w:p w14:paraId="2E85F85E">
            <w:pPr>
              <w:pStyle w:val="11"/>
            </w:pPr>
          </w:p>
        </w:tc>
        <w:tc>
          <w:tcPr>
            <w:tcW w:w="964" w:type="dxa"/>
            <w:vAlign w:val="center"/>
          </w:tcPr>
          <w:p w14:paraId="57D83352">
            <w:pPr>
              <w:pStyle w:val="11"/>
            </w:pPr>
          </w:p>
        </w:tc>
        <w:tc>
          <w:tcPr>
            <w:tcW w:w="964" w:type="dxa"/>
            <w:vAlign w:val="center"/>
          </w:tcPr>
          <w:p w14:paraId="505093FB">
            <w:pPr>
              <w:pStyle w:val="11"/>
            </w:pPr>
          </w:p>
        </w:tc>
        <w:tc>
          <w:tcPr>
            <w:tcW w:w="964" w:type="dxa"/>
            <w:vAlign w:val="center"/>
          </w:tcPr>
          <w:p w14:paraId="7719EDF5">
            <w:pPr>
              <w:pStyle w:val="11"/>
            </w:pPr>
          </w:p>
        </w:tc>
        <w:tc>
          <w:tcPr>
            <w:tcW w:w="964" w:type="dxa"/>
            <w:vAlign w:val="center"/>
          </w:tcPr>
          <w:p w14:paraId="1657FDA4">
            <w:pPr>
              <w:pStyle w:val="11"/>
            </w:pPr>
          </w:p>
        </w:tc>
        <w:tc>
          <w:tcPr>
            <w:tcW w:w="964" w:type="dxa"/>
            <w:vAlign w:val="center"/>
          </w:tcPr>
          <w:p w14:paraId="48B1965D">
            <w:pPr>
              <w:pStyle w:val="11"/>
            </w:pPr>
          </w:p>
        </w:tc>
        <w:tc>
          <w:tcPr>
            <w:tcW w:w="964" w:type="dxa"/>
            <w:vAlign w:val="center"/>
          </w:tcPr>
          <w:p w14:paraId="0F20EFB9">
            <w:pPr>
              <w:pStyle w:val="11"/>
            </w:pPr>
          </w:p>
        </w:tc>
      </w:tr>
    </w:tbl>
    <w:p w14:paraId="407745D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A9D37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0B0C22">
      <w:pPr>
        <w:spacing w:before="0" w:after="0"/>
        <w:ind w:firstLine="640"/>
        <w:jc w:val="left"/>
        <w:outlineLvl w:val="9"/>
      </w:pPr>
      <w:r>
        <w:rPr>
          <w:rFonts w:ascii="Times New Roman" w:hAnsi="Times New Roman" w:eastAsia="方正仿宋_GBK" w:cs="Times New Roman"/>
          <w:color w:val="000000"/>
          <w:sz w:val="32"/>
        </w:rPr>
        <w:t xml:space="preserve"> </w:t>
      </w:r>
    </w:p>
    <w:p w14:paraId="7CC3830F">
      <w:pPr>
        <w:spacing w:before="10" w:after="10" w:line="240" w:lineRule="auto"/>
        <w:ind w:firstLine="640"/>
        <w:jc w:val="left"/>
        <w:outlineLvl w:val="5"/>
      </w:pPr>
      <w:r>
        <w:rPr>
          <w:rFonts w:ascii="黑体" w:hAnsi="黑体" w:eastAsia="黑体" w:cs="黑体"/>
          <w:color w:val="000000"/>
          <w:sz w:val="32"/>
        </w:rPr>
        <w:t>七、国有资产信息</w:t>
      </w:r>
    </w:p>
    <w:p w14:paraId="3081642C">
      <w:pPr>
        <w:spacing w:before="0" w:after="0" w:line="500" w:lineRule="exact"/>
        <w:ind w:firstLine="560"/>
        <w:jc w:val="left"/>
        <w:outlineLvl w:val="9"/>
      </w:pPr>
      <w:r>
        <w:rPr>
          <w:rFonts w:ascii="Times New Roman" w:hAnsi="Times New Roman" w:eastAsia="方正仿宋_GBK" w:cs="Times New Roman"/>
          <w:b w:val="0"/>
          <w:color w:val="000000"/>
          <w:sz w:val="28"/>
        </w:rPr>
        <w:t>隆尧县青少年校外活动中心上年末固定资产金额为1457.23万元（详见下表）。本年度拟购置固定资产总额为0.00万元，已按要求列入政府采购预算，详见政府采购预算表。</w:t>
      </w:r>
    </w:p>
    <w:p w14:paraId="0FF3FB8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112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24BA77">
            <w:pPr>
              <w:pStyle w:val="9"/>
            </w:pPr>
            <w:r>
              <w:t>360036隆尧县青少年校外活动中心</w:t>
            </w:r>
          </w:p>
        </w:tc>
        <w:tc>
          <w:tcPr>
            <w:tcW w:w="5670" w:type="dxa"/>
            <w:gridSpan w:val="2"/>
            <w:tcBorders>
              <w:top w:val="single" w:color="FFFFFF" w:sz="6" w:space="0"/>
              <w:left w:val="single" w:color="FFFFFF" w:sz="6" w:space="0"/>
              <w:right w:val="single" w:color="FFFFFF" w:sz="6" w:space="0"/>
            </w:tcBorders>
            <w:vAlign w:val="center"/>
          </w:tcPr>
          <w:p w14:paraId="33226FCF">
            <w:pPr>
              <w:pStyle w:val="7"/>
            </w:pPr>
            <w:r>
              <w:t>截止时间：2025-12-31</w:t>
            </w:r>
          </w:p>
        </w:tc>
      </w:tr>
      <w:tr w14:paraId="7D36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D8ACB3">
            <w:pPr>
              <w:pStyle w:val="10"/>
            </w:pPr>
            <w:r>
              <w:t>项   目</w:t>
            </w:r>
          </w:p>
        </w:tc>
        <w:tc>
          <w:tcPr>
            <w:tcW w:w="2835" w:type="dxa"/>
            <w:vAlign w:val="center"/>
          </w:tcPr>
          <w:p w14:paraId="3E86FCDE">
            <w:pPr>
              <w:pStyle w:val="10"/>
            </w:pPr>
            <w:r>
              <w:t>数量</w:t>
            </w:r>
          </w:p>
        </w:tc>
        <w:tc>
          <w:tcPr>
            <w:tcW w:w="2835" w:type="dxa"/>
            <w:vAlign w:val="center"/>
          </w:tcPr>
          <w:p w14:paraId="1C602310">
            <w:pPr>
              <w:pStyle w:val="10"/>
            </w:pPr>
            <w:r>
              <w:t>价值（金额单位：万元）</w:t>
            </w:r>
          </w:p>
        </w:tc>
      </w:tr>
      <w:tr w14:paraId="5B76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457190">
            <w:pPr>
              <w:pStyle w:val="12"/>
            </w:pPr>
            <w:r>
              <w:t>资产总额</w:t>
            </w:r>
          </w:p>
        </w:tc>
        <w:tc>
          <w:tcPr>
            <w:tcW w:w="2835" w:type="dxa"/>
            <w:vAlign w:val="center"/>
          </w:tcPr>
          <w:p w14:paraId="58A420B5">
            <w:pPr>
              <w:pStyle w:val="13"/>
            </w:pPr>
          </w:p>
        </w:tc>
        <w:tc>
          <w:tcPr>
            <w:tcW w:w="2835" w:type="dxa"/>
            <w:vAlign w:val="center"/>
          </w:tcPr>
          <w:p w14:paraId="69F88419">
            <w:pPr>
              <w:pStyle w:val="11"/>
            </w:pPr>
            <w:r>
              <w:t>1457.23</w:t>
            </w:r>
          </w:p>
        </w:tc>
      </w:tr>
      <w:tr w14:paraId="35EB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B12E21">
            <w:pPr>
              <w:pStyle w:val="12"/>
            </w:pPr>
            <w:r>
              <w:t>1、房屋（平方米）</w:t>
            </w:r>
          </w:p>
        </w:tc>
        <w:tc>
          <w:tcPr>
            <w:tcW w:w="2835" w:type="dxa"/>
            <w:vAlign w:val="center"/>
          </w:tcPr>
          <w:p w14:paraId="558C806A">
            <w:pPr>
              <w:pStyle w:val="13"/>
            </w:pPr>
            <w:r>
              <w:t>7575.82</w:t>
            </w:r>
          </w:p>
        </w:tc>
        <w:tc>
          <w:tcPr>
            <w:tcW w:w="2835" w:type="dxa"/>
            <w:vAlign w:val="center"/>
          </w:tcPr>
          <w:p w14:paraId="0D16A5CC">
            <w:pPr>
              <w:pStyle w:val="11"/>
            </w:pPr>
            <w:r>
              <w:t>1338.53</w:t>
            </w:r>
          </w:p>
        </w:tc>
      </w:tr>
      <w:tr w14:paraId="35CF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B4C4C4">
            <w:pPr>
              <w:pStyle w:val="12"/>
            </w:pPr>
            <w:r>
              <w:t>　　其中：办公用房（平方米）</w:t>
            </w:r>
          </w:p>
        </w:tc>
        <w:tc>
          <w:tcPr>
            <w:tcW w:w="2835" w:type="dxa"/>
            <w:vAlign w:val="center"/>
          </w:tcPr>
          <w:p w14:paraId="3F1F4923">
            <w:pPr>
              <w:pStyle w:val="13"/>
            </w:pPr>
            <w:r>
              <w:t>500</w:t>
            </w:r>
          </w:p>
        </w:tc>
        <w:tc>
          <w:tcPr>
            <w:tcW w:w="2835" w:type="dxa"/>
            <w:vAlign w:val="center"/>
          </w:tcPr>
          <w:p w14:paraId="3BD0E1F5">
            <w:pPr>
              <w:pStyle w:val="11"/>
            </w:pPr>
            <w:r>
              <w:t>89.80</w:t>
            </w:r>
          </w:p>
        </w:tc>
      </w:tr>
      <w:tr w14:paraId="71FF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A8AD34">
            <w:pPr>
              <w:pStyle w:val="12"/>
            </w:pPr>
            <w:r>
              <w:t>2、车辆（台、辆）</w:t>
            </w:r>
          </w:p>
        </w:tc>
        <w:tc>
          <w:tcPr>
            <w:tcW w:w="2835" w:type="dxa"/>
            <w:vAlign w:val="center"/>
          </w:tcPr>
          <w:p w14:paraId="611AD86E">
            <w:pPr>
              <w:pStyle w:val="13"/>
            </w:pPr>
          </w:p>
        </w:tc>
        <w:tc>
          <w:tcPr>
            <w:tcW w:w="2835" w:type="dxa"/>
            <w:vAlign w:val="center"/>
          </w:tcPr>
          <w:p w14:paraId="20A01C76">
            <w:pPr>
              <w:pStyle w:val="11"/>
            </w:pPr>
          </w:p>
        </w:tc>
      </w:tr>
      <w:tr w14:paraId="36EB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1A368">
            <w:pPr>
              <w:pStyle w:val="12"/>
            </w:pPr>
            <w:r>
              <w:t>3、单价在20万元以上的设备</w:t>
            </w:r>
          </w:p>
        </w:tc>
        <w:tc>
          <w:tcPr>
            <w:tcW w:w="2835" w:type="dxa"/>
            <w:vAlign w:val="center"/>
          </w:tcPr>
          <w:p w14:paraId="3E669448">
            <w:pPr>
              <w:pStyle w:val="13"/>
            </w:pPr>
            <w:r>
              <w:t>1</w:t>
            </w:r>
          </w:p>
        </w:tc>
        <w:tc>
          <w:tcPr>
            <w:tcW w:w="2835" w:type="dxa"/>
            <w:vAlign w:val="center"/>
          </w:tcPr>
          <w:p w14:paraId="31570390">
            <w:pPr>
              <w:pStyle w:val="11"/>
            </w:pPr>
            <w:r>
              <w:t>35.00</w:t>
            </w:r>
          </w:p>
        </w:tc>
      </w:tr>
      <w:tr w14:paraId="3D7D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00B79E">
            <w:pPr>
              <w:pStyle w:val="12"/>
            </w:pPr>
            <w:r>
              <w:t>4、其他固定资产</w:t>
            </w:r>
          </w:p>
        </w:tc>
        <w:tc>
          <w:tcPr>
            <w:tcW w:w="2835" w:type="dxa"/>
            <w:vAlign w:val="center"/>
          </w:tcPr>
          <w:p w14:paraId="24C3CD41">
            <w:pPr>
              <w:pStyle w:val="13"/>
            </w:pPr>
            <w:r>
              <w:t>176</w:t>
            </w:r>
          </w:p>
        </w:tc>
        <w:tc>
          <w:tcPr>
            <w:tcW w:w="2835" w:type="dxa"/>
            <w:vAlign w:val="center"/>
          </w:tcPr>
          <w:p w14:paraId="046087F4">
            <w:pPr>
              <w:pStyle w:val="11"/>
            </w:pPr>
            <w:r>
              <w:t>83.69</w:t>
            </w:r>
          </w:p>
        </w:tc>
      </w:tr>
    </w:tbl>
    <w:p w14:paraId="35E40F92">
      <w:pPr>
        <w:spacing w:before="0" w:after="0"/>
        <w:ind w:firstLine="640"/>
        <w:jc w:val="left"/>
        <w:outlineLvl w:val="9"/>
      </w:pPr>
      <w:r>
        <w:rPr>
          <w:rFonts w:ascii="Times New Roman" w:hAnsi="Times New Roman" w:eastAsia="方正仿宋_GBK" w:cs="Times New Roman"/>
          <w:color w:val="000000"/>
          <w:sz w:val="32"/>
        </w:rPr>
        <w:t xml:space="preserve"> </w:t>
      </w:r>
    </w:p>
    <w:p w14:paraId="2D7533FD">
      <w:pPr>
        <w:spacing w:before="10" w:after="10" w:line="240" w:lineRule="auto"/>
        <w:ind w:firstLine="640"/>
        <w:jc w:val="left"/>
        <w:outlineLvl w:val="5"/>
      </w:pPr>
      <w:r>
        <w:rPr>
          <w:rFonts w:ascii="黑体" w:hAnsi="黑体" w:eastAsia="黑体" w:cs="黑体"/>
          <w:color w:val="000000"/>
          <w:sz w:val="32"/>
        </w:rPr>
        <w:t>八、名词解释</w:t>
      </w:r>
    </w:p>
    <w:p w14:paraId="5BC0F7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931F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43EFA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478BA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B8BE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956B73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54413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84DAC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B3B7C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ADCAF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DF79E9">
      <w:pPr>
        <w:spacing w:before="10" w:after="10" w:line="240" w:lineRule="auto"/>
        <w:ind w:firstLine="640"/>
        <w:jc w:val="left"/>
        <w:outlineLvl w:val="5"/>
      </w:pPr>
      <w:r>
        <w:rPr>
          <w:rFonts w:ascii="黑体" w:hAnsi="黑体" w:eastAsia="黑体" w:cs="黑体"/>
          <w:color w:val="000000"/>
          <w:sz w:val="32"/>
        </w:rPr>
        <w:t>九、其他需要说明的事项</w:t>
      </w:r>
    </w:p>
    <w:p w14:paraId="1353D78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C953C4D">
      <w:pPr>
        <w:spacing w:before="0" w:after="0"/>
        <w:ind w:firstLine="0"/>
        <w:jc w:val="center"/>
        <w:outlineLvl w:val="3"/>
      </w:pPr>
      <w:bookmarkStart w:id="35" w:name="_Toc_4_4_0000000036"/>
      <w:r>
        <w:rPr>
          <w:rFonts w:ascii="方正小标宋_GBK" w:hAnsi="方正小标宋_GBK" w:eastAsia="方正小标宋_GBK" w:cs="方正小标宋_GBK"/>
          <w:b w:val="0"/>
          <w:color w:val="000000"/>
          <w:sz w:val="44"/>
        </w:rPr>
        <w:t>三十六、隆尧县第三实验小学收支预算</w:t>
      </w:r>
      <w:bookmarkEnd w:id="35"/>
    </w:p>
    <w:p w14:paraId="7CE8AF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EE6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45BCE8">
            <w:pPr>
              <w:pStyle w:val="9"/>
            </w:pPr>
            <w:r>
              <w:t>360037隆尧县第三实验小学</w:t>
            </w:r>
          </w:p>
        </w:tc>
        <w:tc>
          <w:tcPr>
            <w:tcW w:w="2126" w:type="dxa"/>
            <w:tcBorders>
              <w:top w:val="single" w:color="FFFFFF" w:sz="6" w:space="0"/>
              <w:left w:val="single" w:color="FFFFFF" w:sz="6" w:space="0"/>
              <w:right w:val="single" w:color="FFFFFF" w:sz="6" w:space="0"/>
            </w:tcBorders>
            <w:vAlign w:val="center"/>
          </w:tcPr>
          <w:p w14:paraId="4C52470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DCC4C0A">
            <w:pPr>
              <w:pStyle w:val="7"/>
            </w:pPr>
            <w:r>
              <w:t>单位：万元</w:t>
            </w:r>
          </w:p>
        </w:tc>
      </w:tr>
      <w:tr w14:paraId="69D8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08F67">
            <w:pPr>
              <w:pStyle w:val="10"/>
            </w:pPr>
            <w:r>
              <w:t>序号</w:t>
            </w:r>
          </w:p>
        </w:tc>
        <w:tc>
          <w:tcPr>
            <w:tcW w:w="6661" w:type="dxa"/>
            <w:gridSpan w:val="2"/>
            <w:vAlign w:val="center"/>
          </w:tcPr>
          <w:p w14:paraId="0C9C25C0">
            <w:pPr>
              <w:pStyle w:val="10"/>
            </w:pPr>
            <w:r>
              <w:t>收入</w:t>
            </w:r>
          </w:p>
        </w:tc>
        <w:tc>
          <w:tcPr>
            <w:tcW w:w="6661" w:type="dxa"/>
            <w:gridSpan w:val="2"/>
            <w:vAlign w:val="center"/>
          </w:tcPr>
          <w:p w14:paraId="79508BA7">
            <w:pPr>
              <w:pStyle w:val="10"/>
            </w:pPr>
            <w:r>
              <w:t>支出</w:t>
            </w:r>
          </w:p>
        </w:tc>
      </w:tr>
      <w:tr w14:paraId="3556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7D725"/>
        </w:tc>
        <w:tc>
          <w:tcPr>
            <w:tcW w:w="4535" w:type="dxa"/>
            <w:vAlign w:val="center"/>
          </w:tcPr>
          <w:p w14:paraId="2D5E970F">
            <w:pPr>
              <w:pStyle w:val="10"/>
            </w:pPr>
            <w:r>
              <w:t>项  目</w:t>
            </w:r>
          </w:p>
        </w:tc>
        <w:tc>
          <w:tcPr>
            <w:tcW w:w="2126" w:type="dxa"/>
            <w:vAlign w:val="center"/>
          </w:tcPr>
          <w:p w14:paraId="769A348B">
            <w:pPr>
              <w:pStyle w:val="10"/>
            </w:pPr>
            <w:r>
              <w:t>预算数</w:t>
            </w:r>
          </w:p>
        </w:tc>
        <w:tc>
          <w:tcPr>
            <w:tcW w:w="4535" w:type="dxa"/>
            <w:vAlign w:val="center"/>
          </w:tcPr>
          <w:p w14:paraId="3F240E0D">
            <w:pPr>
              <w:pStyle w:val="10"/>
            </w:pPr>
            <w:r>
              <w:t>项  目</w:t>
            </w:r>
          </w:p>
        </w:tc>
        <w:tc>
          <w:tcPr>
            <w:tcW w:w="2126" w:type="dxa"/>
            <w:vAlign w:val="center"/>
          </w:tcPr>
          <w:p w14:paraId="301942C0">
            <w:pPr>
              <w:pStyle w:val="10"/>
            </w:pPr>
            <w:r>
              <w:t>预算数</w:t>
            </w:r>
          </w:p>
        </w:tc>
      </w:tr>
      <w:tr w14:paraId="17A7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15C84">
            <w:pPr>
              <w:pStyle w:val="10"/>
            </w:pPr>
            <w:r>
              <w:t>栏次</w:t>
            </w:r>
          </w:p>
        </w:tc>
        <w:tc>
          <w:tcPr>
            <w:tcW w:w="4535" w:type="dxa"/>
            <w:vAlign w:val="center"/>
          </w:tcPr>
          <w:p w14:paraId="4C4146BE">
            <w:pPr>
              <w:pStyle w:val="10"/>
            </w:pPr>
            <w:r>
              <w:t>1</w:t>
            </w:r>
          </w:p>
        </w:tc>
        <w:tc>
          <w:tcPr>
            <w:tcW w:w="2126" w:type="dxa"/>
            <w:vAlign w:val="center"/>
          </w:tcPr>
          <w:p w14:paraId="48B35EE3">
            <w:pPr>
              <w:pStyle w:val="10"/>
            </w:pPr>
            <w:r>
              <w:t>2</w:t>
            </w:r>
          </w:p>
        </w:tc>
        <w:tc>
          <w:tcPr>
            <w:tcW w:w="4535" w:type="dxa"/>
            <w:vAlign w:val="center"/>
          </w:tcPr>
          <w:p w14:paraId="62C0879F">
            <w:pPr>
              <w:pStyle w:val="10"/>
            </w:pPr>
            <w:r>
              <w:t>3</w:t>
            </w:r>
          </w:p>
        </w:tc>
        <w:tc>
          <w:tcPr>
            <w:tcW w:w="2126" w:type="dxa"/>
            <w:vAlign w:val="center"/>
          </w:tcPr>
          <w:p w14:paraId="048407D4">
            <w:pPr>
              <w:pStyle w:val="10"/>
            </w:pPr>
            <w:r>
              <w:t>4</w:t>
            </w:r>
          </w:p>
        </w:tc>
      </w:tr>
      <w:tr w14:paraId="34D8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CD39">
            <w:pPr>
              <w:pStyle w:val="13"/>
            </w:pPr>
            <w:r>
              <w:t>1</w:t>
            </w:r>
          </w:p>
        </w:tc>
        <w:tc>
          <w:tcPr>
            <w:tcW w:w="4535" w:type="dxa"/>
            <w:vAlign w:val="center"/>
          </w:tcPr>
          <w:p w14:paraId="7C8E0D0F">
            <w:pPr>
              <w:pStyle w:val="12"/>
            </w:pPr>
            <w:r>
              <w:t>一、一般公共预算拨款收入</w:t>
            </w:r>
          </w:p>
        </w:tc>
        <w:tc>
          <w:tcPr>
            <w:tcW w:w="2126" w:type="dxa"/>
            <w:vAlign w:val="center"/>
          </w:tcPr>
          <w:p w14:paraId="3C691F94">
            <w:pPr>
              <w:pStyle w:val="11"/>
            </w:pPr>
            <w:r>
              <w:t>1036.94</w:t>
            </w:r>
          </w:p>
        </w:tc>
        <w:tc>
          <w:tcPr>
            <w:tcW w:w="4535" w:type="dxa"/>
            <w:vAlign w:val="center"/>
          </w:tcPr>
          <w:p w14:paraId="4E98AFFA">
            <w:pPr>
              <w:pStyle w:val="12"/>
            </w:pPr>
            <w:r>
              <w:t>一、一般公共服务支出</w:t>
            </w:r>
          </w:p>
        </w:tc>
        <w:tc>
          <w:tcPr>
            <w:tcW w:w="2126" w:type="dxa"/>
            <w:vAlign w:val="center"/>
          </w:tcPr>
          <w:p w14:paraId="41562840">
            <w:pPr>
              <w:pStyle w:val="11"/>
            </w:pPr>
          </w:p>
        </w:tc>
      </w:tr>
      <w:tr w14:paraId="3EA7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CB4B6">
            <w:pPr>
              <w:pStyle w:val="13"/>
            </w:pPr>
            <w:r>
              <w:t>2</w:t>
            </w:r>
          </w:p>
        </w:tc>
        <w:tc>
          <w:tcPr>
            <w:tcW w:w="4535" w:type="dxa"/>
            <w:vAlign w:val="center"/>
          </w:tcPr>
          <w:p w14:paraId="1FFBAF84">
            <w:pPr>
              <w:pStyle w:val="12"/>
            </w:pPr>
            <w:r>
              <w:t>二、政府性基金预算拨款收入</w:t>
            </w:r>
          </w:p>
        </w:tc>
        <w:tc>
          <w:tcPr>
            <w:tcW w:w="2126" w:type="dxa"/>
            <w:vAlign w:val="center"/>
          </w:tcPr>
          <w:p w14:paraId="7268A1D2">
            <w:pPr>
              <w:pStyle w:val="11"/>
            </w:pPr>
          </w:p>
        </w:tc>
        <w:tc>
          <w:tcPr>
            <w:tcW w:w="4535" w:type="dxa"/>
            <w:vAlign w:val="center"/>
          </w:tcPr>
          <w:p w14:paraId="0CD748E0">
            <w:pPr>
              <w:pStyle w:val="12"/>
            </w:pPr>
            <w:r>
              <w:t>二、外交支出</w:t>
            </w:r>
          </w:p>
        </w:tc>
        <w:tc>
          <w:tcPr>
            <w:tcW w:w="2126" w:type="dxa"/>
            <w:vAlign w:val="center"/>
          </w:tcPr>
          <w:p w14:paraId="06A7C1F7">
            <w:pPr>
              <w:pStyle w:val="11"/>
            </w:pPr>
          </w:p>
        </w:tc>
      </w:tr>
      <w:tr w14:paraId="28B9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15070">
            <w:pPr>
              <w:pStyle w:val="13"/>
            </w:pPr>
            <w:r>
              <w:t>3</w:t>
            </w:r>
          </w:p>
        </w:tc>
        <w:tc>
          <w:tcPr>
            <w:tcW w:w="4535" w:type="dxa"/>
            <w:vAlign w:val="center"/>
          </w:tcPr>
          <w:p w14:paraId="0B780F60">
            <w:pPr>
              <w:pStyle w:val="12"/>
            </w:pPr>
            <w:r>
              <w:t>三、国有资本经营预算拨款收入</w:t>
            </w:r>
          </w:p>
        </w:tc>
        <w:tc>
          <w:tcPr>
            <w:tcW w:w="2126" w:type="dxa"/>
            <w:vAlign w:val="center"/>
          </w:tcPr>
          <w:p w14:paraId="64945FEA">
            <w:pPr>
              <w:pStyle w:val="11"/>
            </w:pPr>
          </w:p>
        </w:tc>
        <w:tc>
          <w:tcPr>
            <w:tcW w:w="4535" w:type="dxa"/>
            <w:vAlign w:val="center"/>
          </w:tcPr>
          <w:p w14:paraId="4E6D4F1B">
            <w:pPr>
              <w:pStyle w:val="12"/>
            </w:pPr>
            <w:r>
              <w:t>三、国防支出</w:t>
            </w:r>
          </w:p>
        </w:tc>
        <w:tc>
          <w:tcPr>
            <w:tcW w:w="2126" w:type="dxa"/>
            <w:vAlign w:val="center"/>
          </w:tcPr>
          <w:p w14:paraId="0919B1B5">
            <w:pPr>
              <w:pStyle w:val="11"/>
            </w:pPr>
          </w:p>
        </w:tc>
      </w:tr>
      <w:tr w14:paraId="61C8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4B47">
            <w:pPr>
              <w:pStyle w:val="13"/>
            </w:pPr>
            <w:r>
              <w:t>4</w:t>
            </w:r>
          </w:p>
        </w:tc>
        <w:tc>
          <w:tcPr>
            <w:tcW w:w="4535" w:type="dxa"/>
            <w:vAlign w:val="center"/>
          </w:tcPr>
          <w:p w14:paraId="678912C5">
            <w:pPr>
              <w:pStyle w:val="12"/>
            </w:pPr>
            <w:r>
              <w:t>四、财政专户管理资金收入</w:t>
            </w:r>
          </w:p>
        </w:tc>
        <w:tc>
          <w:tcPr>
            <w:tcW w:w="2126" w:type="dxa"/>
            <w:vAlign w:val="center"/>
          </w:tcPr>
          <w:p w14:paraId="598573AF">
            <w:pPr>
              <w:pStyle w:val="11"/>
            </w:pPr>
          </w:p>
        </w:tc>
        <w:tc>
          <w:tcPr>
            <w:tcW w:w="4535" w:type="dxa"/>
            <w:vAlign w:val="center"/>
          </w:tcPr>
          <w:p w14:paraId="578C4A49">
            <w:pPr>
              <w:pStyle w:val="12"/>
            </w:pPr>
            <w:r>
              <w:t>四、公共安全支出</w:t>
            </w:r>
          </w:p>
        </w:tc>
        <w:tc>
          <w:tcPr>
            <w:tcW w:w="2126" w:type="dxa"/>
            <w:vAlign w:val="center"/>
          </w:tcPr>
          <w:p w14:paraId="411ACB4F">
            <w:pPr>
              <w:pStyle w:val="11"/>
            </w:pPr>
          </w:p>
        </w:tc>
      </w:tr>
      <w:tr w14:paraId="5B8A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573CD">
            <w:pPr>
              <w:pStyle w:val="13"/>
            </w:pPr>
            <w:r>
              <w:t>5</w:t>
            </w:r>
          </w:p>
        </w:tc>
        <w:tc>
          <w:tcPr>
            <w:tcW w:w="4535" w:type="dxa"/>
            <w:vAlign w:val="center"/>
          </w:tcPr>
          <w:p w14:paraId="4DDBD249">
            <w:pPr>
              <w:pStyle w:val="12"/>
            </w:pPr>
            <w:r>
              <w:t>五、单位资金</w:t>
            </w:r>
          </w:p>
        </w:tc>
        <w:tc>
          <w:tcPr>
            <w:tcW w:w="2126" w:type="dxa"/>
            <w:vAlign w:val="center"/>
          </w:tcPr>
          <w:p w14:paraId="332F041E">
            <w:pPr>
              <w:pStyle w:val="11"/>
            </w:pPr>
          </w:p>
        </w:tc>
        <w:tc>
          <w:tcPr>
            <w:tcW w:w="4535" w:type="dxa"/>
            <w:vAlign w:val="center"/>
          </w:tcPr>
          <w:p w14:paraId="4DCD4734">
            <w:pPr>
              <w:pStyle w:val="12"/>
            </w:pPr>
            <w:r>
              <w:t>五、教育支出</w:t>
            </w:r>
          </w:p>
        </w:tc>
        <w:tc>
          <w:tcPr>
            <w:tcW w:w="2126" w:type="dxa"/>
            <w:vAlign w:val="center"/>
          </w:tcPr>
          <w:p w14:paraId="126822A9">
            <w:pPr>
              <w:pStyle w:val="11"/>
            </w:pPr>
            <w:r>
              <w:t>1036.94</w:t>
            </w:r>
          </w:p>
        </w:tc>
      </w:tr>
      <w:tr w14:paraId="6664D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EDED">
            <w:pPr>
              <w:pStyle w:val="13"/>
            </w:pPr>
            <w:r>
              <w:t>6</w:t>
            </w:r>
          </w:p>
        </w:tc>
        <w:tc>
          <w:tcPr>
            <w:tcW w:w="4535" w:type="dxa"/>
            <w:vAlign w:val="center"/>
          </w:tcPr>
          <w:p w14:paraId="3A829A37">
            <w:pPr>
              <w:pStyle w:val="12"/>
            </w:pPr>
          </w:p>
        </w:tc>
        <w:tc>
          <w:tcPr>
            <w:tcW w:w="2126" w:type="dxa"/>
            <w:vAlign w:val="center"/>
          </w:tcPr>
          <w:p w14:paraId="16630E4C">
            <w:pPr>
              <w:pStyle w:val="11"/>
            </w:pPr>
          </w:p>
        </w:tc>
        <w:tc>
          <w:tcPr>
            <w:tcW w:w="4535" w:type="dxa"/>
            <w:vAlign w:val="center"/>
          </w:tcPr>
          <w:p w14:paraId="37E1046E">
            <w:pPr>
              <w:pStyle w:val="12"/>
            </w:pPr>
            <w:r>
              <w:t>六、科学技术支出</w:t>
            </w:r>
          </w:p>
        </w:tc>
        <w:tc>
          <w:tcPr>
            <w:tcW w:w="2126" w:type="dxa"/>
            <w:vAlign w:val="center"/>
          </w:tcPr>
          <w:p w14:paraId="10575F65">
            <w:pPr>
              <w:pStyle w:val="11"/>
            </w:pPr>
          </w:p>
        </w:tc>
      </w:tr>
      <w:tr w14:paraId="315D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70277">
            <w:pPr>
              <w:pStyle w:val="13"/>
            </w:pPr>
            <w:r>
              <w:t>7</w:t>
            </w:r>
          </w:p>
        </w:tc>
        <w:tc>
          <w:tcPr>
            <w:tcW w:w="4535" w:type="dxa"/>
            <w:vAlign w:val="center"/>
          </w:tcPr>
          <w:p w14:paraId="631EB600">
            <w:pPr>
              <w:pStyle w:val="12"/>
            </w:pPr>
          </w:p>
        </w:tc>
        <w:tc>
          <w:tcPr>
            <w:tcW w:w="2126" w:type="dxa"/>
            <w:vAlign w:val="center"/>
          </w:tcPr>
          <w:p w14:paraId="591EDB5F">
            <w:pPr>
              <w:pStyle w:val="11"/>
            </w:pPr>
          </w:p>
        </w:tc>
        <w:tc>
          <w:tcPr>
            <w:tcW w:w="4535" w:type="dxa"/>
            <w:vAlign w:val="center"/>
          </w:tcPr>
          <w:p w14:paraId="52DFECA3">
            <w:pPr>
              <w:pStyle w:val="12"/>
            </w:pPr>
            <w:r>
              <w:t>七、文化旅游体育与传媒支出</w:t>
            </w:r>
          </w:p>
        </w:tc>
        <w:tc>
          <w:tcPr>
            <w:tcW w:w="2126" w:type="dxa"/>
            <w:vAlign w:val="center"/>
          </w:tcPr>
          <w:p w14:paraId="1833DB14">
            <w:pPr>
              <w:pStyle w:val="11"/>
            </w:pPr>
          </w:p>
        </w:tc>
      </w:tr>
      <w:tr w14:paraId="42D12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EDFB">
            <w:pPr>
              <w:pStyle w:val="13"/>
            </w:pPr>
            <w:r>
              <w:t>8</w:t>
            </w:r>
          </w:p>
        </w:tc>
        <w:tc>
          <w:tcPr>
            <w:tcW w:w="4535" w:type="dxa"/>
            <w:vAlign w:val="center"/>
          </w:tcPr>
          <w:p w14:paraId="7828E9B8">
            <w:pPr>
              <w:pStyle w:val="12"/>
            </w:pPr>
          </w:p>
        </w:tc>
        <w:tc>
          <w:tcPr>
            <w:tcW w:w="2126" w:type="dxa"/>
            <w:vAlign w:val="center"/>
          </w:tcPr>
          <w:p w14:paraId="627AD369">
            <w:pPr>
              <w:pStyle w:val="11"/>
            </w:pPr>
          </w:p>
        </w:tc>
        <w:tc>
          <w:tcPr>
            <w:tcW w:w="4535" w:type="dxa"/>
            <w:vAlign w:val="center"/>
          </w:tcPr>
          <w:p w14:paraId="1F32C84F">
            <w:pPr>
              <w:pStyle w:val="12"/>
            </w:pPr>
            <w:r>
              <w:t>八、社会保障和就业支出</w:t>
            </w:r>
          </w:p>
        </w:tc>
        <w:tc>
          <w:tcPr>
            <w:tcW w:w="2126" w:type="dxa"/>
            <w:vAlign w:val="center"/>
          </w:tcPr>
          <w:p w14:paraId="60DDE888">
            <w:pPr>
              <w:pStyle w:val="11"/>
            </w:pPr>
          </w:p>
        </w:tc>
      </w:tr>
      <w:tr w14:paraId="7067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6768">
            <w:pPr>
              <w:pStyle w:val="13"/>
            </w:pPr>
            <w:r>
              <w:t>9</w:t>
            </w:r>
          </w:p>
        </w:tc>
        <w:tc>
          <w:tcPr>
            <w:tcW w:w="4535" w:type="dxa"/>
            <w:vAlign w:val="center"/>
          </w:tcPr>
          <w:p w14:paraId="6DF01C7E">
            <w:pPr>
              <w:pStyle w:val="12"/>
            </w:pPr>
          </w:p>
        </w:tc>
        <w:tc>
          <w:tcPr>
            <w:tcW w:w="2126" w:type="dxa"/>
            <w:vAlign w:val="center"/>
          </w:tcPr>
          <w:p w14:paraId="79D8C97E">
            <w:pPr>
              <w:pStyle w:val="11"/>
            </w:pPr>
          </w:p>
        </w:tc>
        <w:tc>
          <w:tcPr>
            <w:tcW w:w="4535" w:type="dxa"/>
            <w:vAlign w:val="center"/>
          </w:tcPr>
          <w:p w14:paraId="7999FE27">
            <w:pPr>
              <w:pStyle w:val="12"/>
            </w:pPr>
            <w:r>
              <w:t>九、社会保险基金支出</w:t>
            </w:r>
          </w:p>
        </w:tc>
        <w:tc>
          <w:tcPr>
            <w:tcW w:w="2126" w:type="dxa"/>
            <w:vAlign w:val="center"/>
          </w:tcPr>
          <w:p w14:paraId="39EC8987">
            <w:pPr>
              <w:pStyle w:val="11"/>
            </w:pPr>
          </w:p>
        </w:tc>
      </w:tr>
      <w:tr w14:paraId="1055F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7F81B">
            <w:pPr>
              <w:pStyle w:val="13"/>
            </w:pPr>
            <w:r>
              <w:t>10</w:t>
            </w:r>
          </w:p>
        </w:tc>
        <w:tc>
          <w:tcPr>
            <w:tcW w:w="4535" w:type="dxa"/>
            <w:vAlign w:val="center"/>
          </w:tcPr>
          <w:p w14:paraId="14897543">
            <w:pPr>
              <w:pStyle w:val="12"/>
            </w:pPr>
          </w:p>
        </w:tc>
        <w:tc>
          <w:tcPr>
            <w:tcW w:w="2126" w:type="dxa"/>
            <w:vAlign w:val="center"/>
          </w:tcPr>
          <w:p w14:paraId="4B52AD32">
            <w:pPr>
              <w:pStyle w:val="11"/>
            </w:pPr>
          </w:p>
        </w:tc>
        <w:tc>
          <w:tcPr>
            <w:tcW w:w="4535" w:type="dxa"/>
            <w:vAlign w:val="center"/>
          </w:tcPr>
          <w:p w14:paraId="1BE43942">
            <w:pPr>
              <w:pStyle w:val="12"/>
            </w:pPr>
            <w:r>
              <w:t>十、卫生健康支出</w:t>
            </w:r>
          </w:p>
        </w:tc>
        <w:tc>
          <w:tcPr>
            <w:tcW w:w="2126" w:type="dxa"/>
            <w:vAlign w:val="center"/>
          </w:tcPr>
          <w:p w14:paraId="5B35B9F8">
            <w:pPr>
              <w:pStyle w:val="11"/>
            </w:pPr>
          </w:p>
        </w:tc>
      </w:tr>
      <w:tr w14:paraId="3435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0CBE">
            <w:pPr>
              <w:pStyle w:val="13"/>
            </w:pPr>
            <w:r>
              <w:t>11</w:t>
            </w:r>
          </w:p>
        </w:tc>
        <w:tc>
          <w:tcPr>
            <w:tcW w:w="4535" w:type="dxa"/>
            <w:vAlign w:val="center"/>
          </w:tcPr>
          <w:p w14:paraId="2F865F0C">
            <w:pPr>
              <w:pStyle w:val="12"/>
            </w:pPr>
          </w:p>
        </w:tc>
        <w:tc>
          <w:tcPr>
            <w:tcW w:w="2126" w:type="dxa"/>
            <w:vAlign w:val="center"/>
          </w:tcPr>
          <w:p w14:paraId="7A171F91">
            <w:pPr>
              <w:pStyle w:val="11"/>
            </w:pPr>
          </w:p>
        </w:tc>
        <w:tc>
          <w:tcPr>
            <w:tcW w:w="4535" w:type="dxa"/>
            <w:vAlign w:val="center"/>
          </w:tcPr>
          <w:p w14:paraId="0041BE5C">
            <w:pPr>
              <w:pStyle w:val="12"/>
            </w:pPr>
            <w:r>
              <w:t>十一、节能环保支出</w:t>
            </w:r>
          </w:p>
        </w:tc>
        <w:tc>
          <w:tcPr>
            <w:tcW w:w="2126" w:type="dxa"/>
            <w:vAlign w:val="center"/>
          </w:tcPr>
          <w:p w14:paraId="3315A842">
            <w:pPr>
              <w:pStyle w:val="11"/>
            </w:pPr>
          </w:p>
        </w:tc>
      </w:tr>
      <w:tr w14:paraId="3883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9120">
            <w:pPr>
              <w:pStyle w:val="13"/>
            </w:pPr>
            <w:r>
              <w:t>12</w:t>
            </w:r>
          </w:p>
        </w:tc>
        <w:tc>
          <w:tcPr>
            <w:tcW w:w="4535" w:type="dxa"/>
            <w:vAlign w:val="center"/>
          </w:tcPr>
          <w:p w14:paraId="1932A5C6">
            <w:pPr>
              <w:pStyle w:val="12"/>
            </w:pPr>
          </w:p>
        </w:tc>
        <w:tc>
          <w:tcPr>
            <w:tcW w:w="2126" w:type="dxa"/>
            <w:vAlign w:val="center"/>
          </w:tcPr>
          <w:p w14:paraId="0FD88F0E">
            <w:pPr>
              <w:pStyle w:val="11"/>
            </w:pPr>
          </w:p>
        </w:tc>
        <w:tc>
          <w:tcPr>
            <w:tcW w:w="4535" w:type="dxa"/>
            <w:vAlign w:val="center"/>
          </w:tcPr>
          <w:p w14:paraId="4EAADB02">
            <w:pPr>
              <w:pStyle w:val="12"/>
            </w:pPr>
            <w:r>
              <w:t>十二、城乡社区支出</w:t>
            </w:r>
          </w:p>
        </w:tc>
        <w:tc>
          <w:tcPr>
            <w:tcW w:w="2126" w:type="dxa"/>
            <w:vAlign w:val="center"/>
          </w:tcPr>
          <w:p w14:paraId="2886F41B">
            <w:pPr>
              <w:pStyle w:val="11"/>
            </w:pPr>
          </w:p>
        </w:tc>
      </w:tr>
      <w:tr w14:paraId="1ECA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7D38">
            <w:pPr>
              <w:pStyle w:val="13"/>
            </w:pPr>
            <w:r>
              <w:t>13</w:t>
            </w:r>
          </w:p>
        </w:tc>
        <w:tc>
          <w:tcPr>
            <w:tcW w:w="4535" w:type="dxa"/>
            <w:vAlign w:val="center"/>
          </w:tcPr>
          <w:p w14:paraId="33B21121">
            <w:pPr>
              <w:pStyle w:val="12"/>
            </w:pPr>
          </w:p>
        </w:tc>
        <w:tc>
          <w:tcPr>
            <w:tcW w:w="2126" w:type="dxa"/>
            <w:vAlign w:val="center"/>
          </w:tcPr>
          <w:p w14:paraId="4EE31CB2">
            <w:pPr>
              <w:pStyle w:val="11"/>
            </w:pPr>
          </w:p>
        </w:tc>
        <w:tc>
          <w:tcPr>
            <w:tcW w:w="4535" w:type="dxa"/>
            <w:vAlign w:val="center"/>
          </w:tcPr>
          <w:p w14:paraId="6D1409C0">
            <w:pPr>
              <w:pStyle w:val="12"/>
            </w:pPr>
            <w:r>
              <w:t>十三、农林水支出</w:t>
            </w:r>
          </w:p>
        </w:tc>
        <w:tc>
          <w:tcPr>
            <w:tcW w:w="2126" w:type="dxa"/>
            <w:vAlign w:val="center"/>
          </w:tcPr>
          <w:p w14:paraId="53236CF3">
            <w:pPr>
              <w:pStyle w:val="11"/>
            </w:pPr>
          </w:p>
        </w:tc>
      </w:tr>
      <w:tr w14:paraId="0524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7B516">
            <w:pPr>
              <w:pStyle w:val="13"/>
            </w:pPr>
            <w:r>
              <w:t>14</w:t>
            </w:r>
          </w:p>
        </w:tc>
        <w:tc>
          <w:tcPr>
            <w:tcW w:w="4535" w:type="dxa"/>
            <w:vAlign w:val="center"/>
          </w:tcPr>
          <w:p w14:paraId="0DC300A5">
            <w:pPr>
              <w:pStyle w:val="12"/>
            </w:pPr>
          </w:p>
        </w:tc>
        <w:tc>
          <w:tcPr>
            <w:tcW w:w="2126" w:type="dxa"/>
            <w:vAlign w:val="center"/>
          </w:tcPr>
          <w:p w14:paraId="216F7919">
            <w:pPr>
              <w:pStyle w:val="11"/>
            </w:pPr>
          </w:p>
        </w:tc>
        <w:tc>
          <w:tcPr>
            <w:tcW w:w="4535" w:type="dxa"/>
            <w:vAlign w:val="center"/>
          </w:tcPr>
          <w:p w14:paraId="240153DE">
            <w:pPr>
              <w:pStyle w:val="12"/>
            </w:pPr>
            <w:r>
              <w:t>十四、交通运输支出</w:t>
            </w:r>
          </w:p>
        </w:tc>
        <w:tc>
          <w:tcPr>
            <w:tcW w:w="2126" w:type="dxa"/>
            <w:vAlign w:val="center"/>
          </w:tcPr>
          <w:p w14:paraId="45CF4425">
            <w:pPr>
              <w:pStyle w:val="11"/>
            </w:pPr>
          </w:p>
        </w:tc>
      </w:tr>
      <w:tr w14:paraId="704D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7243">
            <w:pPr>
              <w:pStyle w:val="13"/>
            </w:pPr>
            <w:r>
              <w:t>15</w:t>
            </w:r>
          </w:p>
        </w:tc>
        <w:tc>
          <w:tcPr>
            <w:tcW w:w="4535" w:type="dxa"/>
            <w:vAlign w:val="center"/>
          </w:tcPr>
          <w:p w14:paraId="3AD4BBAA">
            <w:pPr>
              <w:pStyle w:val="12"/>
            </w:pPr>
          </w:p>
        </w:tc>
        <w:tc>
          <w:tcPr>
            <w:tcW w:w="2126" w:type="dxa"/>
            <w:vAlign w:val="center"/>
          </w:tcPr>
          <w:p w14:paraId="3D6E144F">
            <w:pPr>
              <w:pStyle w:val="11"/>
            </w:pPr>
          </w:p>
        </w:tc>
        <w:tc>
          <w:tcPr>
            <w:tcW w:w="4535" w:type="dxa"/>
            <w:vAlign w:val="center"/>
          </w:tcPr>
          <w:p w14:paraId="402F4BA9">
            <w:pPr>
              <w:pStyle w:val="12"/>
            </w:pPr>
            <w:r>
              <w:t>十五、资源勘探工业信息等支出</w:t>
            </w:r>
          </w:p>
        </w:tc>
        <w:tc>
          <w:tcPr>
            <w:tcW w:w="2126" w:type="dxa"/>
            <w:vAlign w:val="center"/>
          </w:tcPr>
          <w:p w14:paraId="77935025">
            <w:pPr>
              <w:pStyle w:val="11"/>
            </w:pPr>
          </w:p>
        </w:tc>
      </w:tr>
      <w:tr w14:paraId="205B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8956F">
            <w:pPr>
              <w:pStyle w:val="13"/>
            </w:pPr>
            <w:r>
              <w:t>16</w:t>
            </w:r>
          </w:p>
        </w:tc>
        <w:tc>
          <w:tcPr>
            <w:tcW w:w="4535" w:type="dxa"/>
            <w:vAlign w:val="center"/>
          </w:tcPr>
          <w:p w14:paraId="12D4B569">
            <w:pPr>
              <w:pStyle w:val="12"/>
            </w:pPr>
          </w:p>
        </w:tc>
        <w:tc>
          <w:tcPr>
            <w:tcW w:w="2126" w:type="dxa"/>
            <w:vAlign w:val="center"/>
          </w:tcPr>
          <w:p w14:paraId="1A3DC267">
            <w:pPr>
              <w:pStyle w:val="11"/>
            </w:pPr>
          </w:p>
        </w:tc>
        <w:tc>
          <w:tcPr>
            <w:tcW w:w="4535" w:type="dxa"/>
            <w:vAlign w:val="center"/>
          </w:tcPr>
          <w:p w14:paraId="491B505B">
            <w:pPr>
              <w:pStyle w:val="12"/>
            </w:pPr>
            <w:r>
              <w:t>十六、商业服务业等支出</w:t>
            </w:r>
          </w:p>
        </w:tc>
        <w:tc>
          <w:tcPr>
            <w:tcW w:w="2126" w:type="dxa"/>
            <w:vAlign w:val="center"/>
          </w:tcPr>
          <w:p w14:paraId="6947D166">
            <w:pPr>
              <w:pStyle w:val="11"/>
            </w:pPr>
          </w:p>
        </w:tc>
      </w:tr>
      <w:tr w14:paraId="6E79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E6B96">
            <w:pPr>
              <w:pStyle w:val="13"/>
            </w:pPr>
            <w:r>
              <w:t>17</w:t>
            </w:r>
          </w:p>
        </w:tc>
        <w:tc>
          <w:tcPr>
            <w:tcW w:w="4535" w:type="dxa"/>
            <w:vAlign w:val="center"/>
          </w:tcPr>
          <w:p w14:paraId="554E00ED">
            <w:pPr>
              <w:pStyle w:val="12"/>
            </w:pPr>
          </w:p>
        </w:tc>
        <w:tc>
          <w:tcPr>
            <w:tcW w:w="2126" w:type="dxa"/>
            <w:vAlign w:val="center"/>
          </w:tcPr>
          <w:p w14:paraId="47A24F48">
            <w:pPr>
              <w:pStyle w:val="11"/>
            </w:pPr>
          </w:p>
        </w:tc>
        <w:tc>
          <w:tcPr>
            <w:tcW w:w="4535" w:type="dxa"/>
            <w:vAlign w:val="center"/>
          </w:tcPr>
          <w:p w14:paraId="2DF2C7F1">
            <w:pPr>
              <w:pStyle w:val="12"/>
            </w:pPr>
            <w:r>
              <w:t>十七、金融支出</w:t>
            </w:r>
          </w:p>
        </w:tc>
        <w:tc>
          <w:tcPr>
            <w:tcW w:w="2126" w:type="dxa"/>
            <w:vAlign w:val="center"/>
          </w:tcPr>
          <w:p w14:paraId="4B6EBF87">
            <w:pPr>
              <w:pStyle w:val="11"/>
            </w:pPr>
          </w:p>
        </w:tc>
      </w:tr>
      <w:tr w14:paraId="4C6C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D255">
            <w:pPr>
              <w:pStyle w:val="13"/>
            </w:pPr>
            <w:r>
              <w:t>18</w:t>
            </w:r>
          </w:p>
        </w:tc>
        <w:tc>
          <w:tcPr>
            <w:tcW w:w="4535" w:type="dxa"/>
            <w:vAlign w:val="center"/>
          </w:tcPr>
          <w:p w14:paraId="7400F292">
            <w:pPr>
              <w:pStyle w:val="12"/>
            </w:pPr>
          </w:p>
        </w:tc>
        <w:tc>
          <w:tcPr>
            <w:tcW w:w="2126" w:type="dxa"/>
            <w:vAlign w:val="center"/>
          </w:tcPr>
          <w:p w14:paraId="7B14CF4C">
            <w:pPr>
              <w:pStyle w:val="11"/>
            </w:pPr>
          </w:p>
        </w:tc>
        <w:tc>
          <w:tcPr>
            <w:tcW w:w="4535" w:type="dxa"/>
            <w:vAlign w:val="center"/>
          </w:tcPr>
          <w:p w14:paraId="22A31E85">
            <w:pPr>
              <w:pStyle w:val="12"/>
            </w:pPr>
            <w:r>
              <w:t>十八、援助其他地区支出</w:t>
            </w:r>
          </w:p>
        </w:tc>
        <w:tc>
          <w:tcPr>
            <w:tcW w:w="2126" w:type="dxa"/>
            <w:vAlign w:val="center"/>
          </w:tcPr>
          <w:p w14:paraId="7DAFB076">
            <w:pPr>
              <w:pStyle w:val="11"/>
            </w:pPr>
          </w:p>
        </w:tc>
      </w:tr>
      <w:tr w14:paraId="3259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364E">
            <w:pPr>
              <w:pStyle w:val="13"/>
            </w:pPr>
            <w:r>
              <w:t>19</w:t>
            </w:r>
          </w:p>
        </w:tc>
        <w:tc>
          <w:tcPr>
            <w:tcW w:w="4535" w:type="dxa"/>
            <w:vAlign w:val="center"/>
          </w:tcPr>
          <w:p w14:paraId="2D06B162">
            <w:pPr>
              <w:pStyle w:val="12"/>
            </w:pPr>
          </w:p>
        </w:tc>
        <w:tc>
          <w:tcPr>
            <w:tcW w:w="2126" w:type="dxa"/>
            <w:vAlign w:val="center"/>
          </w:tcPr>
          <w:p w14:paraId="38C34BDD">
            <w:pPr>
              <w:pStyle w:val="11"/>
            </w:pPr>
          </w:p>
        </w:tc>
        <w:tc>
          <w:tcPr>
            <w:tcW w:w="4535" w:type="dxa"/>
            <w:vAlign w:val="center"/>
          </w:tcPr>
          <w:p w14:paraId="73ACAB47">
            <w:pPr>
              <w:pStyle w:val="12"/>
            </w:pPr>
            <w:r>
              <w:t>十九、自然资源海洋气象等支出</w:t>
            </w:r>
          </w:p>
        </w:tc>
        <w:tc>
          <w:tcPr>
            <w:tcW w:w="2126" w:type="dxa"/>
            <w:vAlign w:val="center"/>
          </w:tcPr>
          <w:p w14:paraId="1C5EB523">
            <w:pPr>
              <w:pStyle w:val="11"/>
            </w:pPr>
          </w:p>
        </w:tc>
      </w:tr>
      <w:tr w14:paraId="2119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2CF83">
            <w:pPr>
              <w:pStyle w:val="13"/>
            </w:pPr>
            <w:r>
              <w:t>20</w:t>
            </w:r>
          </w:p>
        </w:tc>
        <w:tc>
          <w:tcPr>
            <w:tcW w:w="4535" w:type="dxa"/>
            <w:vAlign w:val="center"/>
          </w:tcPr>
          <w:p w14:paraId="0D7105BF">
            <w:pPr>
              <w:pStyle w:val="12"/>
            </w:pPr>
          </w:p>
        </w:tc>
        <w:tc>
          <w:tcPr>
            <w:tcW w:w="2126" w:type="dxa"/>
            <w:vAlign w:val="center"/>
          </w:tcPr>
          <w:p w14:paraId="2AE4AD57">
            <w:pPr>
              <w:pStyle w:val="11"/>
            </w:pPr>
          </w:p>
        </w:tc>
        <w:tc>
          <w:tcPr>
            <w:tcW w:w="4535" w:type="dxa"/>
            <w:vAlign w:val="center"/>
          </w:tcPr>
          <w:p w14:paraId="5BF53044">
            <w:pPr>
              <w:pStyle w:val="12"/>
            </w:pPr>
            <w:r>
              <w:t>二十、住房保障支出</w:t>
            </w:r>
          </w:p>
        </w:tc>
        <w:tc>
          <w:tcPr>
            <w:tcW w:w="2126" w:type="dxa"/>
            <w:vAlign w:val="center"/>
          </w:tcPr>
          <w:p w14:paraId="16F30F0F">
            <w:pPr>
              <w:pStyle w:val="11"/>
            </w:pPr>
          </w:p>
        </w:tc>
      </w:tr>
      <w:tr w14:paraId="6CD2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428C">
            <w:pPr>
              <w:pStyle w:val="13"/>
            </w:pPr>
            <w:r>
              <w:t>21</w:t>
            </w:r>
          </w:p>
        </w:tc>
        <w:tc>
          <w:tcPr>
            <w:tcW w:w="4535" w:type="dxa"/>
            <w:vAlign w:val="center"/>
          </w:tcPr>
          <w:p w14:paraId="22C8CC22">
            <w:pPr>
              <w:pStyle w:val="12"/>
            </w:pPr>
          </w:p>
        </w:tc>
        <w:tc>
          <w:tcPr>
            <w:tcW w:w="2126" w:type="dxa"/>
            <w:vAlign w:val="center"/>
          </w:tcPr>
          <w:p w14:paraId="2C2D3D20">
            <w:pPr>
              <w:pStyle w:val="11"/>
            </w:pPr>
          </w:p>
        </w:tc>
        <w:tc>
          <w:tcPr>
            <w:tcW w:w="4535" w:type="dxa"/>
            <w:vAlign w:val="center"/>
          </w:tcPr>
          <w:p w14:paraId="2185BA97">
            <w:pPr>
              <w:pStyle w:val="12"/>
            </w:pPr>
            <w:r>
              <w:t>二十一、粮油物资储备支出</w:t>
            </w:r>
          </w:p>
        </w:tc>
        <w:tc>
          <w:tcPr>
            <w:tcW w:w="2126" w:type="dxa"/>
            <w:vAlign w:val="center"/>
          </w:tcPr>
          <w:p w14:paraId="46F817C5">
            <w:pPr>
              <w:pStyle w:val="11"/>
            </w:pPr>
          </w:p>
        </w:tc>
      </w:tr>
      <w:tr w14:paraId="429A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F3283">
            <w:pPr>
              <w:pStyle w:val="13"/>
            </w:pPr>
            <w:r>
              <w:t>22</w:t>
            </w:r>
          </w:p>
        </w:tc>
        <w:tc>
          <w:tcPr>
            <w:tcW w:w="4535" w:type="dxa"/>
            <w:vAlign w:val="center"/>
          </w:tcPr>
          <w:p w14:paraId="63DC7F60">
            <w:pPr>
              <w:pStyle w:val="12"/>
            </w:pPr>
          </w:p>
        </w:tc>
        <w:tc>
          <w:tcPr>
            <w:tcW w:w="2126" w:type="dxa"/>
            <w:vAlign w:val="center"/>
          </w:tcPr>
          <w:p w14:paraId="76EAC112">
            <w:pPr>
              <w:pStyle w:val="11"/>
            </w:pPr>
          </w:p>
        </w:tc>
        <w:tc>
          <w:tcPr>
            <w:tcW w:w="4535" w:type="dxa"/>
            <w:vAlign w:val="center"/>
          </w:tcPr>
          <w:p w14:paraId="194A15D6">
            <w:pPr>
              <w:pStyle w:val="12"/>
            </w:pPr>
            <w:r>
              <w:t>二十二、国有资本经营预算支出</w:t>
            </w:r>
          </w:p>
        </w:tc>
        <w:tc>
          <w:tcPr>
            <w:tcW w:w="2126" w:type="dxa"/>
            <w:vAlign w:val="center"/>
          </w:tcPr>
          <w:p w14:paraId="06CE7F2D">
            <w:pPr>
              <w:pStyle w:val="11"/>
            </w:pPr>
          </w:p>
        </w:tc>
      </w:tr>
      <w:tr w14:paraId="5ADA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C425A">
            <w:pPr>
              <w:pStyle w:val="13"/>
            </w:pPr>
            <w:r>
              <w:t>23</w:t>
            </w:r>
          </w:p>
        </w:tc>
        <w:tc>
          <w:tcPr>
            <w:tcW w:w="4535" w:type="dxa"/>
            <w:vAlign w:val="center"/>
          </w:tcPr>
          <w:p w14:paraId="41B39E2D">
            <w:pPr>
              <w:pStyle w:val="12"/>
            </w:pPr>
          </w:p>
        </w:tc>
        <w:tc>
          <w:tcPr>
            <w:tcW w:w="2126" w:type="dxa"/>
            <w:vAlign w:val="center"/>
          </w:tcPr>
          <w:p w14:paraId="64546DDF">
            <w:pPr>
              <w:pStyle w:val="11"/>
            </w:pPr>
          </w:p>
        </w:tc>
        <w:tc>
          <w:tcPr>
            <w:tcW w:w="4535" w:type="dxa"/>
            <w:vAlign w:val="center"/>
          </w:tcPr>
          <w:p w14:paraId="3708ECBF">
            <w:pPr>
              <w:pStyle w:val="12"/>
            </w:pPr>
            <w:r>
              <w:t>二十三、灾害防治及应急管理支出</w:t>
            </w:r>
          </w:p>
        </w:tc>
        <w:tc>
          <w:tcPr>
            <w:tcW w:w="2126" w:type="dxa"/>
            <w:vAlign w:val="center"/>
          </w:tcPr>
          <w:p w14:paraId="75E05C4F">
            <w:pPr>
              <w:pStyle w:val="11"/>
            </w:pPr>
          </w:p>
        </w:tc>
      </w:tr>
      <w:tr w14:paraId="51BC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2DB0">
            <w:pPr>
              <w:pStyle w:val="13"/>
            </w:pPr>
            <w:r>
              <w:t>24</w:t>
            </w:r>
          </w:p>
        </w:tc>
        <w:tc>
          <w:tcPr>
            <w:tcW w:w="4535" w:type="dxa"/>
            <w:vAlign w:val="center"/>
          </w:tcPr>
          <w:p w14:paraId="2F7DECE0">
            <w:pPr>
              <w:pStyle w:val="12"/>
            </w:pPr>
          </w:p>
        </w:tc>
        <w:tc>
          <w:tcPr>
            <w:tcW w:w="2126" w:type="dxa"/>
            <w:vAlign w:val="center"/>
          </w:tcPr>
          <w:p w14:paraId="10A6BD69">
            <w:pPr>
              <w:pStyle w:val="11"/>
            </w:pPr>
          </w:p>
        </w:tc>
        <w:tc>
          <w:tcPr>
            <w:tcW w:w="4535" w:type="dxa"/>
            <w:vAlign w:val="center"/>
          </w:tcPr>
          <w:p w14:paraId="3DED6D77">
            <w:pPr>
              <w:pStyle w:val="12"/>
            </w:pPr>
            <w:r>
              <w:t>二十四、预备费</w:t>
            </w:r>
          </w:p>
        </w:tc>
        <w:tc>
          <w:tcPr>
            <w:tcW w:w="2126" w:type="dxa"/>
            <w:vAlign w:val="center"/>
          </w:tcPr>
          <w:p w14:paraId="46BCE9EF">
            <w:pPr>
              <w:pStyle w:val="11"/>
            </w:pPr>
          </w:p>
        </w:tc>
      </w:tr>
      <w:tr w14:paraId="3546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640B0">
            <w:pPr>
              <w:pStyle w:val="13"/>
            </w:pPr>
            <w:r>
              <w:t>25</w:t>
            </w:r>
          </w:p>
        </w:tc>
        <w:tc>
          <w:tcPr>
            <w:tcW w:w="4535" w:type="dxa"/>
            <w:vAlign w:val="center"/>
          </w:tcPr>
          <w:p w14:paraId="2D19A2BA">
            <w:pPr>
              <w:pStyle w:val="12"/>
            </w:pPr>
          </w:p>
        </w:tc>
        <w:tc>
          <w:tcPr>
            <w:tcW w:w="2126" w:type="dxa"/>
            <w:vAlign w:val="center"/>
          </w:tcPr>
          <w:p w14:paraId="6076EEE4">
            <w:pPr>
              <w:pStyle w:val="11"/>
            </w:pPr>
          </w:p>
        </w:tc>
        <w:tc>
          <w:tcPr>
            <w:tcW w:w="4535" w:type="dxa"/>
            <w:vAlign w:val="center"/>
          </w:tcPr>
          <w:p w14:paraId="621D76E9">
            <w:pPr>
              <w:pStyle w:val="12"/>
            </w:pPr>
            <w:r>
              <w:t>二十五、其他支出</w:t>
            </w:r>
          </w:p>
        </w:tc>
        <w:tc>
          <w:tcPr>
            <w:tcW w:w="2126" w:type="dxa"/>
            <w:vAlign w:val="center"/>
          </w:tcPr>
          <w:p w14:paraId="1F7B4BBB">
            <w:pPr>
              <w:pStyle w:val="11"/>
            </w:pPr>
          </w:p>
        </w:tc>
      </w:tr>
      <w:tr w14:paraId="6BEE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149CA">
            <w:pPr>
              <w:pStyle w:val="13"/>
            </w:pPr>
            <w:r>
              <w:t>26</w:t>
            </w:r>
          </w:p>
        </w:tc>
        <w:tc>
          <w:tcPr>
            <w:tcW w:w="4535" w:type="dxa"/>
            <w:vAlign w:val="center"/>
          </w:tcPr>
          <w:p w14:paraId="6236B3D3">
            <w:pPr>
              <w:pStyle w:val="12"/>
            </w:pPr>
          </w:p>
        </w:tc>
        <w:tc>
          <w:tcPr>
            <w:tcW w:w="2126" w:type="dxa"/>
            <w:vAlign w:val="center"/>
          </w:tcPr>
          <w:p w14:paraId="07E96D7D">
            <w:pPr>
              <w:pStyle w:val="11"/>
            </w:pPr>
          </w:p>
        </w:tc>
        <w:tc>
          <w:tcPr>
            <w:tcW w:w="4535" w:type="dxa"/>
            <w:vAlign w:val="center"/>
          </w:tcPr>
          <w:p w14:paraId="67A0690A">
            <w:pPr>
              <w:pStyle w:val="12"/>
            </w:pPr>
            <w:r>
              <w:t>二十六、转移性支出</w:t>
            </w:r>
          </w:p>
        </w:tc>
        <w:tc>
          <w:tcPr>
            <w:tcW w:w="2126" w:type="dxa"/>
            <w:vAlign w:val="center"/>
          </w:tcPr>
          <w:p w14:paraId="2D0B5447">
            <w:pPr>
              <w:pStyle w:val="11"/>
            </w:pPr>
          </w:p>
        </w:tc>
      </w:tr>
      <w:tr w14:paraId="3AF3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1DA1">
            <w:pPr>
              <w:pStyle w:val="13"/>
            </w:pPr>
            <w:r>
              <w:t>27</w:t>
            </w:r>
          </w:p>
        </w:tc>
        <w:tc>
          <w:tcPr>
            <w:tcW w:w="4535" w:type="dxa"/>
            <w:vAlign w:val="center"/>
          </w:tcPr>
          <w:p w14:paraId="75A459CE">
            <w:pPr>
              <w:pStyle w:val="12"/>
            </w:pPr>
          </w:p>
        </w:tc>
        <w:tc>
          <w:tcPr>
            <w:tcW w:w="2126" w:type="dxa"/>
            <w:vAlign w:val="center"/>
          </w:tcPr>
          <w:p w14:paraId="60413001">
            <w:pPr>
              <w:pStyle w:val="11"/>
            </w:pPr>
          </w:p>
        </w:tc>
        <w:tc>
          <w:tcPr>
            <w:tcW w:w="4535" w:type="dxa"/>
            <w:vAlign w:val="center"/>
          </w:tcPr>
          <w:p w14:paraId="10801E0E">
            <w:pPr>
              <w:pStyle w:val="12"/>
            </w:pPr>
            <w:r>
              <w:t>二十七、债务还本支出</w:t>
            </w:r>
          </w:p>
        </w:tc>
        <w:tc>
          <w:tcPr>
            <w:tcW w:w="2126" w:type="dxa"/>
            <w:vAlign w:val="center"/>
          </w:tcPr>
          <w:p w14:paraId="1BC0459B">
            <w:pPr>
              <w:pStyle w:val="11"/>
            </w:pPr>
          </w:p>
        </w:tc>
      </w:tr>
      <w:tr w14:paraId="3F5E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3ED4">
            <w:pPr>
              <w:pStyle w:val="13"/>
            </w:pPr>
            <w:r>
              <w:t>28</w:t>
            </w:r>
          </w:p>
        </w:tc>
        <w:tc>
          <w:tcPr>
            <w:tcW w:w="4535" w:type="dxa"/>
            <w:vAlign w:val="center"/>
          </w:tcPr>
          <w:p w14:paraId="157BE43C">
            <w:pPr>
              <w:pStyle w:val="12"/>
            </w:pPr>
          </w:p>
        </w:tc>
        <w:tc>
          <w:tcPr>
            <w:tcW w:w="2126" w:type="dxa"/>
            <w:vAlign w:val="center"/>
          </w:tcPr>
          <w:p w14:paraId="3B13999E">
            <w:pPr>
              <w:pStyle w:val="11"/>
            </w:pPr>
          </w:p>
        </w:tc>
        <w:tc>
          <w:tcPr>
            <w:tcW w:w="4535" w:type="dxa"/>
            <w:vAlign w:val="center"/>
          </w:tcPr>
          <w:p w14:paraId="07CB3723">
            <w:pPr>
              <w:pStyle w:val="12"/>
            </w:pPr>
            <w:r>
              <w:t>二十八、债务付息支出</w:t>
            </w:r>
          </w:p>
        </w:tc>
        <w:tc>
          <w:tcPr>
            <w:tcW w:w="2126" w:type="dxa"/>
            <w:vAlign w:val="center"/>
          </w:tcPr>
          <w:p w14:paraId="7DDA5CD4">
            <w:pPr>
              <w:pStyle w:val="11"/>
            </w:pPr>
          </w:p>
        </w:tc>
      </w:tr>
      <w:tr w14:paraId="3373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E0E3">
            <w:pPr>
              <w:pStyle w:val="13"/>
            </w:pPr>
            <w:r>
              <w:t>29</w:t>
            </w:r>
          </w:p>
        </w:tc>
        <w:tc>
          <w:tcPr>
            <w:tcW w:w="4535" w:type="dxa"/>
            <w:vAlign w:val="center"/>
          </w:tcPr>
          <w:p w14:paraId="3C5AAADD">
            <w:pPr>
              <w:pStyle w:val="12"/>
            </w:pPr>
          </w:p>
        </w:tc>
        <w:tc>
          <w:tcPr>
            <w:tcW w:w="2126" w:type="dxa"/>
            <w:vAlign w:val="center"/>
          </w:tcPr>
          <w:p w14:paraId="1AD077FD">
            <w:pPr>
              <w:pStyle w:val="11"/>
            </w:pPr>
          </w:p>
        </w:tc>
        <w:tc>
          <w:tcPr>
            <w:tcW w:w="4535" w:type="dxa"/>
            <w:vAlign w:val="center"/>
          </w:tcPr>
          <w:p w14:paraId="3D8919E9">
            <w:pPr>
              <w:pStyle w:val="12"/>
            </w:pPr>
            <w:r>
              <w:t>二十九、债务发行费用支出</w:t>
            </w:r>
          </w:p>
        </w:tc>
        <w:tc>
          <w:tcPr>
            <w:tcW w:w="2126" w:type="dxa"/>
            <w:vAlign w:val="center"/>
          </w:tcPr>
          <w:p w14:paraId="5F427143">
            <w:pPr>
              <w:pStyle w:val="11"/>
            </w:pPr>
          </w:p>
        </w:tc>
      </w:tr>
      <w:tr w14:paraId="0A1A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F7F21">
            <w:pPr>
              <w:pStyle w:val="13"/>
            </w:pPr>
            <w:r>
              <w:t>30</w:t>
            </w:r>
          </w:p>
        </w:tc>
        <w:tc>
          <w:tcPr>
            <w:tcW w:w="4535" w:type="dxa"/>
            <w:vAlign w:val="center"/>
          </w:tcPr>
          <w:p w14:paraId="3E9DA5E5">
            <w:pPr>
              <w:pStyle w:val="12"/>
            </w:pPr>
          </w:p>
        </w:tc>
        <w:tc>
          <w:tcPr>
            <w:tcW w:w="2126" w:type="dxa"/>
            <w:vAlign w:val="center"/>
          </w:tcPr>
          <w:p w14:paraId="78613085">
            <w:pPr>
              <w:pStyle w:val="11"/>
            </w:pPr>
          </w:p>
        </w:tc>
        <w:tc>
          <w:tcPr>
            <w:tcW w:w="4535" w:type="dxa"/>
            <w:vAlign w:val="center"/>
          </w:tcPr>
          <w:p w14:paraId="12252C07">
            <w:pPr>
              <w:pStyle w:val="12"/>
            </w:pPr>
            <w:r>
              <w:t>三十、抗疫特别国债安排的支出</w:t>
            </w:r>
          </w:p>
        </w:tc>
        <w:tc>
          <w:tcPr>
            <w:tcW w:w="2126" w:type="dxa"/>
            <w:vAlign w:val="center"/>
          </w:tcPr>
          <w:p w14:paraId="0B121A20">
            <w:pPr>
              <w:pStyle w:val="11"/>
            </w:pPr>
          </w:p>
        </w:tc>
      </w:tr>
      <w:tr w14:paraId="14AA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19FA8">
            <w:pPr>
              <w:pStyle w:val="13"/>
            </w:pPr>
            <w:r>
              <w:t>31</w:t>
            </w:r>
          </w:p>
        </w:tc>
        <w:tc>
          <w:tcPr>
            <w:tcW w:w="4535" w:type="dxa"/>
            <w:vAlign w:val="center"/>
          </w:tcPr>
          <w:p w14:paraId="2E88C16B">
            <w:pPr>
              <w:pStyle w:val="14"/>
            </w:pPr>
            <w:r>
              <w:t>本年收入合计</w:t>
            </w:r>
          </w:p>
        </w:tc>
        <w:tc>
          <w:tcPr>
            <w:tcW w:w="2126" w:type="dxa"/>
            <w:vAlign w:val="center"/>
          </w:tcPr>
          <w:p w14:paraId="24123C58">
            <w:pPr>
              <w:pStyle w:val="15"/>
            </w:pPr>
            <w:r>
              <w:t>1036.94</w:t>
            </w:r>
          </w:p>
        </w:tc>
        <w:tc>
          <w:tcPr>
            <w:tcW w:w="4535" w:type="dxa"/>
            <w:vAlign w:val="center"/>
          </w:tcPr>
          <w:p w14:paraId="713C3BE4">
            <w:pPr>
              <w:pStyle w:val="14"/>
            </w:pPr>
            <w:r>
              <w:t>本年支出合计</w:t>
            </w:r>
          </w:p>
        </w:tc>
        <w:tc>
          <w:tcPr>
            <w:tcW w:w="2126" w:type="dxa"/>
            <w:vAlign w:val="center"/>
          </w:tcPr>
          <w:p w14:paraId="066F9FC4">
            <w:pPr>
              <w:pStyle w:val="15"/>
            </w:pPr>
            <w:r>
              <w:t>1036.94</w:t>
            </w:r>
          </w:p>
        </w:tc>
      </w:tr>
      <w:tr w14:paraId="53C32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02E81">
            <w:pPr>
              <w:pStyle w:val="13"/>
            </w:pPr>
            <w:r>
              <w:t>32</w:t>
            </w:r>
          </w:p>
        </w:tc>
        <w:tc>
          <w:tcPr>
            <w:tcW w:w="4535" w:type="dxa"/>
            <w:vAlign w:val="center"/>
          </w:tcPr>
          <w:p w14:paraId="5358889D">
            <w:pPr>
              <w:pStyle w:val="12"/>
            </w:pPr>
            <w:r>
              <w:t>上年结转结余</w:t>
            </w:r>
          </w:p>
        </w:tc>
        <w:tc>
          <w:tcPr>
            <w:tcW w:w="2126" w:type="dxa"/>
            <w:vAlign w:val="center"/>
          </w:tcPr>
          <w:p w14:paraId="434F7C62">
            <w:pPr>
              <w:pStyle w:val="11"/>
            </w:pPr>
          </w:p>
        </w:tc>
        <w:tc>
          <w:tcPr>
            <w:tcW w:w="4535" w:type="dxa"/>
            <w:vAlign w:val="center"/>
          </w:tcPr>
          <w:p w14:paraId="5FE343FB">
            <w:pPr>
              <w:pStyle w:val="12"/>
            </w:pPr>
            <w:r>
              <w:t>年终结转结余</w:t>
            </w:r>
          </w:p>
        </w:tc>
        <w:tc>
          <w:tcPr>
            <w:tcW w:w="2126" w:type="dxa"/>
            <w:vAlign w:val="center"/>
          </w:tcPr>
          <w:p w14:paraId="5AFC033D">
            <w:pPr>
              <w:pStyle w:val="11"/>
            </w:pPr>
          </w:p>
        </w:tc>
      </w:tr>
      <w:tr w14:paraId="030D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BC4B7">
            <w:pPr>
              <w:pStyle w:val="13"/>
            </w:pPr>
            <w:r>
              <w:t>33</w:t>
            </w:r>
          </w:p>
        </w:tc>
        <w:tc>
          <w:tcPr>
            <w:tcW w:w="4535" w:type="dxa"/>
            <w:vAlign w:val="center"/>
          </w:tcPr>
          <w:p w14:paraId="0A16253A">
            <w:pPr>
              <w:pStyle w:val="14"/>
            </w:pPr>
            <w:r>
              <w:t>收入总计</w:t>
            </w:r>
          </w:p>
        </w:tc>
        <w:tc>
          <w:tcPr>
            <w:tcW w:w="2126" w:type="dxa"/>
            <w:vAlign w:val="center"/>
          </w:tcPr>
          <w:p w14:paraId="68370858">
            <w:pPr>
              <w:pStyle w:val="15"/>
            </w:pPr>
            <w:r>
              <w:t>1036.94</w:t>
            </w:r>
          </w:p>
        </w:tc>
        <w:tc>
          <w:tcPr>
            <w:tcW w:w="4535" w:type="dxa"/>
            <w:vAlign w:val="center"/>
          </w:tcPr>
          <w:p w14:paraId="6B76D2EC">
            <w:pPr>
              <w:pStyle w:val="14"/>
            </w:pPr>
            <w:r>
              <w:t>支出总计</w:t>
            </w:r>
          </w:p>
        </w:tc>
        <w:tc>
          <w:tcPr>
            <w:tcW w:w="2126" w:type="dxa"/>
            <w:vAlign w:val="center"/>
          </w:tcPr>
          <w:p w14:paraId="220785F5">
            <w:pPr>
              <w:pStyle w:val="15"/>
            </w:pPr>
            <w:r>
              <w:t>1036.94</w:t>
            </w:r>
          </w:p>
        </w:tc>
      </w:tr>
    </w:tbl>
    <w:p w14:paraId="647B9C4F">
      <w:pPr>
        <w:sectPr>
          <w:pgSz w:w="16840" w:h="11900" w:orient="landscape"/>
          <w:pgMar w:top="1361" w:right="1020" w:bottom="1134" w:left="1020" w:header="720" w:footer="720" w:gutter="0"/>
          <w:cols w:space="720" w:num="1"/>
        </w:sectPr>
      </w:pPr>
    </w:p>
    <w:p w14:paraId="1AC2CD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4B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CA348B">
            <w:pPr>
              <w:pStyle w:val="9"/>
            </w:pPr>
            <w:r>
              <w:t>360037隆尧县第三实验小学</w:t>
            </w:r>
          </w:p>
        </w:tc>
        <w:tc>
          <w:tcPr>
            <w:tcW w:w="3402" w:type="dxa"/>
            <w:gridSpan w:val="3"/>
            <w:tcBorders>
              <w:top w:val="single" w:color="FFFFFF" w:sz="6" w:space="0"/>
              <w:left w:val="single" w:color="FFFFFF" w:sz="6" w:space="0"/>
              <w:right w:val="single" w:color="FFFFFF" w:sz="6" w:space="0"/>
            </w:tcBorders>
            <w:vAlign w:val="center"/>
          </w:tcPr>
          <w:p w14:paraId="4A10C32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3422477">
            <w:pPr>
              <w:pStyle w:val="7"/>
            </w:pPr>
            <w:r>
              <w:t>单位：万元</w:t>
            </w:r>
          </w:p>
        </w:tc>
      </w:tr>
      <w:tr w14:paraId="7416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693FB8">
            <w:pPr>
              <w:pStyle w:val="10"/>
            </w:pPr>
            <w:r>
              <w:t>序号</w:t>
            </w:r>
          </w:p>
        </w:tc>
        <w:tc>
          <w:tcPr>
            <w:tcW w:w="2551" w:type="dxa"/>
            <w:gridSpan w:val="2"/>
            <w:vAlign w:val="center"/>
          </w:tcPr>
          <w:p w14:paraId="7529BE06">
            <w:pPr>
              <w:pStyle w:val="10"/>
            </w:pPr>
            <w:r>
              <w:t>功能分类科目</w:t>
            </w:r>
          </w:p>
        </w:tc>
        <w:tc>
          <w:tcPr>
            <w:tcW w:w="1134" w:type="dxa"/>
            <w:vMerge w:val="restart"/>
            <w:vAlign w:val="center"/>
          </w:tcPr>
          <w:p w14:paraId="706381AB">
            <w:pPr>
              <w:pStyle w:val="10"/>
            </w:pPr>
            <w:r>
              <w:t>合计</w:t>
            </w:r>
          </w:p>
        </w:tc>
        <w:tc>
          <w:tcPr>
            <w:tcW w:w="9072" w:type="dxa"/>
            <w:gridSpan w:val="8"/>
            <w:vAlign w:val="center"/>
          </w:tcPr>
          <w:p w14:paraId="69F76DE6">
            <w:pPr>
              <w:pStyle w:val="10"/>
            </w:pPr>
            <w:r>
              <w:t>本年收入</w:t>
            </w:r>
          </w:p>
        </w:tc>
        <w:tc>
          <w:tcPr>
            <w:tcW w:w="1134" w:type="dxa"/>
            <w:vMerge w:val="restart"/>
            <w:vAlign w:val="center"/>
          </w:tcPr>
          <w:p w14:paraId="15C165C2">
            <w:pPr>
              <w:pStyle w:val="10"/>
            </w:pPr>
            <w:r>
              <w:t>上年结转</w:t>
            </w:r>
          </w:p>
        </w:tc>
      </w:tr>
      <w:tr w14:paraId="46CB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0D1DE3"/>
        </w:tc>
        <w:tc>
          <w:tcPr>
            <w:tcW w:w="992" w:type="dxa"/>
            <w:vAlign w:val="center"/>
          </w:tcPr>
          <w:p w14:paraId="7D42415D">
            <w:pPr>
              <w:pStyle w:val="10"/>
            </w:pPr>
            <w:r>
              <w:t>科目    编码</w:t>
            </w:r>
          </w:p>
        </w:tc>
        <w:tc>
          <w:tcPr>
            <w:tcW w:w="1559" w:type="dxa"/>
            <w:vAlign w:val="center"/>
          </w:tcPr>
          <w:p w14:paraId="37BFD027">
            <w:pPr>
              <w:pStyle w:val="10"/>
            </w:pPr>
            <w:r>
              <w:t>科目名称</w:t>
            </w:r>
          </w:p>
        </w:tc>
        <w:tc>
          <w:tcPr>
            <w:tcW w:w="1134" w:type="dxa"/>
            <w:vMerge w:val="continue"/>
          </w:tcPr>
          <w:p w14:paraId="288B13E1"/>
        </w:tc>
        <w:tc>
          <w:tcPr>
            <w:tcW w:w="1134" w:type="dxa"/>
            <w:vAlign w:val="center"/>
          </w:tcPr>
          <w:p w14:paraId="79DBDCD8">
            <w:pPr>
              <w:pStyle w:val="10"/>
            </w:pPr>
            <w:r>
              <w:t>小计</w:t>
            </w:r>
          </w:p>
        </w:tc>
        <w:tc>
          <w:tcPr>
            <w:tcW w:w="1134" w:type="dxa"/>
            <w:vAlign w:val="center"/>
          </w:tcPr>
          <w:p w14:paraId="5D27F10F">
            <w:pPr>
              <w:pStyle w:val="10"/>
            </w:pPr>
            <w:r>
              <w:t>财政拨款 收入</w:t>
            </w:r>
          </w:p>
        </w:tc>
        <w:tc>
          <w:tcPr>
            <w:tcW w:w="1134" w:type="dxa"/>
            <w:vAlign w:val="center"/>
          </w:tcPr>
          <w:p w14:paraId="2E468764">
            <w:pPr>
              <w:pStyle w:val="10"/>
            </w:pPr>
            <w:r>
              <w:t>财政专户 收入</w:t>
            </w:r>
          </w:p>
        </w:tc>
        <w:tc>
          <w:tcPr>
            <w:tcW w:w="1134" w:type="dxa"/>
            <w:vAlign w:val="center"/>
          </w:tcPr>
          <w:p w14:paraId="38CD3F6C">
            <w:pPr>
              <w:pStyle w:val="10"/>
            </w:pPr>
            <w:r>
              <w:t>事业收入</w:t>
            </w:r>
          </w:p>
        </w:tc>
        <w:tc>
          <w:tcPr>
            <w:tcW w:w="1134" w:type="dxa"/>
            <w:vAlign w:val="center"/>
          </w:tcPr>
          <w:p w14:paraId="0E17D66D">
            <w:pPr>
              <w:pStyle w:val="10"/>
            </w:pPr>
            <w:r>
              <w:t>经营收入</w:t>
            </w:r>
          </w:p>
        </w:tc>
        <w:tc>
          <w:tcPr>
            <w:tcW w:w="1134" w:type="dxa"/>
            <w:vAlign w:val="center"/>
          </w:tcPr>
          <w:p w14:paraId="394F4326">
            <w:pPr>
              <w:pStyle w:val="10"/>
            </w:pPr>
            <w:r>
              <w:t>上级补助收入</w:t>
            </w:r>
          </w:p>
        </w:tc>
        <w:tc>
          <w:tcPr>
            <w:tcW w:w="1134" w:type="dxa"/>
            <w:vAlign w:val="center"/>
          </w:tcPr>
          <w:p w14:paraId="6CC6E5CA">
            <w:pPr>
              <w:pStyle w:val="10"/>
            </w:pPr>
            <w:r>
              <w:t>附属单位上缴收入</w:t>
            </w:r>
          </w:p>
        </w:tc>
        <w:tc>
          <w:tcPr>
            <w:tcW w:w="1134" w:type="dxa"/>
            <w:vAlign w:val="center"/>
          </w:tcPr>
          <w:p w14:paraId="19969665">
            <w:pPr>
              <w:pStyle w:val="10"/>
            </w:pPr>
            <w:r>
              <w:t>其他收入</w:t>
            </w:r>
          </w:p>
        </w:tc>
        <w:tc>
          <w:tcPr>
            <w:tcW w:w="1134" w:type="dxa"/>
            <w:vMerge w:val="continue"/>
          </w:tcPr>
          <w:p w14:paraId="78AB3916"/>
        </w:tc>
      </w:tr>
      <w:tr w14:paraId="09D9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6D868B">
            <w:pPr>
              <w:pStyle w:val="10"/>
            </w:pPr>
            <w:r>
              <w:t>栏次</w:t>
            </w:r>
          </w:p>
        </w:tc>
        <w:tc>
          <w:tcPr>
            <w:tcW w:w="992" w:type="dxa"/>
            <w:vAlign w:val="center"/>
          </w:tcPr>
          <w:p w14:paraId="36C5257F">
            <w:pPr>
              <w:pStyle w:val="10"/>
            </w:pPr>
            <w:r>
              <w:t>1</w:t>
            </w:r>
          </w:p>
        </w:tc>
        <w:tc>
          <w:tcPr>
            <w:tcW w:w="1559" w:type="dxa"/>
            <w:vAlign w:val="center"/>
          </w:tcPr>
          <w:p w14:paraId="34CB5ACE">
            <w:pPr>
              <w:pStyle w:val="10"/>
            </w:pPr>
            <w:r>
              <w:t>2</w:t>
            </w:r>
          </w:p>
        </w:tc>
        <w:tc>
          <w:tcPr>
            <w:tcW w:w="1134" w:type="dxa"/>
            <w:vAlign w:val="center"/>
          </w:tcPr>
          <w:p w14:paraId="5055581E">
            <w:pPr>
              <w:pStyle w:val="10"/>
            </w:pPr>
            <w:r>
              <w:t>3</w:t>
            </w:r>
          </w:p>
        </w:tc>
        <w:tc>
          <w:tcPr>
            <w:tcW w:w="1134" w:type="dxa"/>
            <w:vAlign w:val="center"/>
          </w:tcPr>
          <w:p w14:paraId="2CF5B331">
            <w:pPr>
              <w:pStyle w:val="10"/>
            </w:pPr>
            <w:r>
              <w:t>4</w:t>
            </w:r>
          </w:p>
        </w:tc>
        <w:tc>
          <w:tcPr>
            <w:tcW w:w="1134" w:type="dxa"/>
            <w:vAlign w:val="center"/>
          </w:tcPr>
          <w:p w14:paraId="1C85F54A">
            <w:pPr>
              <w:pStyle w:val="10"/>
            </w:pPr>
            <w:r>
              <w:t>5</w:t>
            </w:r>
          </w:p>
        </w:tc>
        <w:tc>
          <w:tcPr>
            <w:tcW w:w="1134" w:type="dxa"/>
            <w:vAlign w:val="center"/>
          </w:tcPr>
          <w:p w14:paraId="2703FB12">
            <w:pPr>
              <w:pStyle w:val="10"/>
            </w:pPr>
            <w:r>
              <w:t>6</w:t>
            </w:r>
          </w:p>
        </w:tc>
        <w:tc>
          <w:tcPr>
            <w:tcW w:w="1134" w:type="dxa"/>
            <w:vAlign w:val="center"/>
          </w:tcPr>
          <w:p w14:paraId="5F4E5BF1">
            <w:pPr>
              <w:pStyle w:val="10"/>
            </w:pPr>
            <w:r>
              <w:t>7</w:t>
            </w:r>
          </w:p>
        </w:tc>
        <w:tc>
          <w:tcPr>
            <w:tcW w:w="1134" w:type="dxa"/>
            <w:vAlign w:val="center"/>
          </w:tcPr>
          <w:p w14:paraId="09B8914E">
            <w:pPr>
              <w:pStyle w:val="10"/>
            </w:pPr>
            <w:r>
              <w:t>8</w:t>
            </w:r>
          </w:p>
        </w:tc>
        <w:tc>
          <w:tcPr>
            <w:tcW w:w="1134" w:type="dxa"/>
            <w:vAlign w:val="center"/>
          </w:tcPr>
          <w:p w14:paraId="5841B9F5">
            <w:pPr>
              <w:pStyle w:val="10"/>
            </w:pPr>
            <w:r>
              <w:t>9</w:t>
            </w:r>
          </w:p>
        </w:tc>
        <w:tc>
          <w:tcPr>
            <w:tcW w:w="1134" w:type="dxa"/>
            <w:vAlign w:val="center"/>
          </w:tcPr>
          <w:p w14:paraId="599F4A52">
            <w:pPr>
              <w:pStyle w:val="10"/>
            </w:pPr>
            <w:r>
              <w:t>10</w:t>
            </w:r>
          </w:p>
        </w:tc>
        <w:tc>
          <w:tcPr>
            <w:tcW w:w="1134" w:type="dxa"/>
            <w:vAlign w:val="center"/>
          </w:tcPr>
          <w:p w14:paraId="279EBCAC">
            <w:pPr>
              <w:pStyle w:val="10"/>
            </w:pPr>
            <w:r>
              <w:t>11</w:t>
            </w:r>
          </w:p>
        </w:tc>
        <w:tc>
          <w:tcPr>
            <w:tcW w:w="1134" w:type="dxa"/>
            <w:vAlign w:val="center"/>
          </w:tcPr>
          <w:p w14:paraId="29CFCC6B">
            <w:pPr>
              <w:pStyle w:val="10"/>
            </w:pPr>
            <w:r>
              <w:t>12</w:t>
            </w:r>
          </w:p>
        </w:tc>
      </w:tr>
      <w:tr w14:paraId="5503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F54D2">
            <w:pPr>
              <w:pStyle w:val="13"/>
            </w:pPr>
            <w:r>
              <w:t>1</w:t>
            </w:r>
          </w:p>
        </w:tc>
        <w:tc>
          <w:tcPr>
            <w:tcW w:w="992" w:type="dxa"/>
            <w:vAlign w:val="center"/>
          </w:tcPr>
          <w:p w14:paraId="2927A7EF">
            <w:pPr>
              <w:pStyle w:val="16"/>
            </w:pPr>
          </w:p>
        </w:tc>
        <w:tc>
          <w:tcPr>
            <w:tcW w:w="1559" w:type="dxa"/>
            <w:vAlign w:val="center"/>
          </w:tcPr>
          <w:p w14:paraId="7351FD55">
            <w:pPr>
              <w:pStyle w:val="14"/>
            </w:pPr>
            <w:r>
              <w:t>合计</w:t>
            </w:r>
          </w:p>
        </w:tc>
        <w:tc>
          <w:tcPr>
            <w:tcW w:w="1134" w:type="dxa"/>
            <w:vAlign w:val="center"/>
          </w:tcPr>
          <w:p w14:paraId="0AFE25F3">
            <w:pPr>
              <w:pStyle w:val="15"/>
            </w:pPr>
            <w:r>
              <w:t>1036.94</w:t>
            </w:r>
          </w:p>
        </w:tc>
        <w:tc>
          <w:tcPr>
            <w:tcW w:w="1134" w:type="dxa"/>
            <w:vAlign w:val="center"/>
          </w:tcPr>
          <w:p w14:paraId="6C605A92">
            <w:pPr>
              <w:pStyle w:val="15"/>
            </w:pPr>
            <w:r>
              <w:t>1036.94</w:t>
            </w:r>
          </w:p>
        </w:tc>
        <w:tc>
          <w:tcPr>
            <w:tcW w:w="1134" w:type="dxa"/>
            <w:vAlign w:val="center"/>
          </w:tcPr>
          <w:p w14:paraId="73651ECE">
            <w:pPr>
              <w:pStyle w:val="15"/>
            </w:pPr>
            <w:r>
              <w:t>1036.94</w:t>
            </w:r>
          </w:p>
        </w:tc>
        <w:tc>
          <w:tcPr>
            <w:tcW w:w="1134" w:type="dxa"/>
            <w:vAlign w:val="center"/>
          </w:tcPr>
          <w:p w14:paraId="0A394A2D">
            <w:pPr>
              <w:pStyle w:val="15"/>
            </w:pPr>
          </w:p>
        </w:tc>
        <w:tc>
          <w:tcPr>
            <w:tcW w:w="1134" w:type="dxa"/>
            <w:vAlign w:val="center"/>
          </w:tcPr>
          <w:p w14:paraId="1DBA624A">
            <w:pPr>
              <w:pStyle w:val="15"/>
            </w:pPr>
          </w:p>
        </w:tc>
        <w:tc>
          <w:tcPr>
            <w:tcW w:w="1134" w:type="dxa"/>
            <w:vAlign w:val="center"/>
          </w:tcPr>
          <w:p w14:paraId="5ED1304D">
            <w:pPr>
              <w:pStyle w:val="15"/>
            </w:pPr>
          </w:p>
        </w:tc>
        <w:tc>
          <w:tcPr>
            <w:tcW w:w="1134" w:type="dxa"/>
            <w:vAlign w:val="center"/>
          </w:tcPr>
          <w:p w14:paraId="4088F82C">
            <w:pPr>
              <w:pStyle w:val="15"/>
            </w:pPr>
          </w:p>
        </w:tc>
        <w:tc>
          <w:tcPr>
            <w:tcW w:w="1134" w:type="dxa"/>
            <w:vAlign w:val="center"/>
          </w:tcPr>
          <w:p w14:paraId="21E8EC1B">
            <w:pPr>
              <w:pStyle w:val="15"/>
            </w:pPr>
          </w:p>
        </w:tc>
        <w:tc>
          <w:tcPr>
            <w:tcW w:w="1134" w:type="dxa"/>
            <w:vAlign w:val="center"/>
          </w:tcPr>
          <w:p w14:paraId="2BE44497">
            <w:pPr>
              <w:pStyle w:val="15"/>
            </w:pPr>
          </w:p>
        </w:tc>
        <w:tc>
          <w:tcPr>
            <w:tcW w:w="1134" w:type="dxa"/>
            <w:vAlign w:val="center"/>
          </w:tcPr>
          <w:p w14:paraId="5DF59B78">
            <w:pPr>
              <w:pStyle w:val="15"/>
            </w:pPr>
          </w:p>
        </w:tc>
      </w:tr>
      <w:tr w14:paraId="65B6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690BB">
            <w:pPr>
              <w:pStyle w:val="13"/>
            </w:pPr>
            <w:r>
              <w:t>2</w:t>
            </w:r>
          </w:p>
        </w:tc>
        <w:tc>
          <w:tcPr>
            <w:tcW w:w="992" w:type="dxa"/>
            <w:vAlign w:val="center"/>
          </w:tcPr>
          <w:p w14:paraId="52ECB18A">
            <w:pPr>
              <w:pStyle w:val="12"/>
            </w:pPr>
            <w:r>
              <w:t>205</w:t>
            </w:r>
          </w:p>
        </w:tc>
        <w:tc>
          <w:tcPr>
            <w:tcW w:w="1559" w:type="dxa"/>
            <w:vAlign w:val="center"/>
          </w:tcPr>
          <w:p w14:paraId="0D109CBC">
            <w:pPr>
              <w:pStyle w:val="12"/>
            </w:pPr>
            <w:r>
              <w:t>教育支出</w:t>
            </w:r>
          </w:p>
        </w:tc>
        <w:tc>
          <w:tcPr>
            <w:tcW w:w="1134" w:type="dxa"/>
            <w:vAlign w:val="center"/>
          </w:tcPr>
          <w:p w14:paraId="1E42F18C">
            <w:pPr>
              <w:pStyle w:val="11"/>
            </w:pPr>
            <w:r>
              <w:t>1036.94</w:t>
            </w:r>
          </w:p>
        </w:tc>
        <w:tc>
          <w:tcPr>
            <w:tcW w:w="1134" w:type="dxa"/>
            <w:vAlign w:val="center"/>
          </w:tcPr>
          <w:p w14:paraId="27782F00">
            <w:pPr>
              <w:pStyle w:val="11"/>
            </w:pPr>
            <w:r>
              <w:t>1036.94</w:t>
            </w:r>
          </w:p>
        </w:tc>
        <w:tc>
          <w:tcPr>
            <w:tcW w:w="1134" w:type="dxa"/>
            <w:vAlign w:val="center"/>
          </w:tcPr>
          <w:p w14:paraId="6DA3EE7C">
            <w:pPr>
              <w:pStyle w:val="11"/>
            </w:pPr>
            <w:r>
              <w:t>1036.94</w:t>
            </w:r>
          </w:p>
        </w:tc>
        <w:tc>
          <w:tcPr>
            <w:tcW w:w="1134" w:type="dxa"/>
            <w:vAlign w:val="center"/>
          </w:tcPr>
          <w:p w14:paraId="4F40C1DE">
            <w:pPr>
              <w:pStyle w:val="11"/>
            </w:pPr>
          </w:p>
        </w:tc>
        <w:tc>
          <w:tcPr>
            <w:tcW w:w="1134" w:type="dxa"/>
            <w:vAlign w:val="center"/>
          </w:tcPr>
          <w:p w14:paraId="7C1F33CE">
            <w:pPr>
              <w:pStyle w:val="11"/>
            </w:pPr>
          </w:p>
        </w:tc>
        <w:tc>
          <w:tcPr>
            <w:tcW w:w="1134" w:type="dxa"/>
            <w:vAlign w:val="center"/>
          </w:tcPr>
          <w:p w14:paraId="0F93D1A8">
            <w:pPr>
              <w:pStyle w:val="11"/>
            </w:pPr>
          </w:p>
        </w:tc>
        <w:tc>
          <w:tcPr>
            <w:tcW w:w="1134" w:type="dxa"/>
            <w:vAlign w:val="center"/>
          </w:tcPr>
          <w:p w14:paraId="33B92E6F">
            <w:pPr>
              <w:pStyle w:val="11"/>
            </w:pPr>
          </w:p>
        </w:tc>
        <w:tc>
          <w:tcPr>
            <w:tcW w:w="1134" w:type="dxa"/>
            <w:vAlign w:val="center"/>
          </w:tcPr>
          <w:p w14:paraId="1B069046">
            <w:pPr>
              <w:pStyle w:val="11"/>
            </w:pPr>
          </w:p>
        </w:tc>
        <w:tc>
          <w:tcPr>
            <w:tcW w:w="1134" w:type="dxa"/>
            <w:vAlign w:val="center"/>
          </w:tcPr>
          <w:p w14:paraId="3D34E10B">
            <w:pPr>
              <w:pStyle w:val="11"/>
            </w:pPr>
          </w:p>
        </w:tc>
        <w:tc>
          <w:tcPr>
            <w:tcW w:w="1134" w:type="dxa"/>
            <w:vAlign w:val="center"/>
          </w:tcPr>
          <w:p w14:paraId="6FFA524F">
            <w:pPr>
              <w:pStyle w:val="11"/>
            </w:pPr>
          </w:p>
        </w:tc>
      </w:tr>
      <w:tr w14:paraId="4870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A8A02">
            <w:pPr>
              <w:pStyle w:val="13"/>
            </w:pPr>
            <w:r>
              <w:t>3</w:t>
            </w:r>
          </w:p>
        </w:tc>
        <w:tc>
          <w:tcPr>
            <w:tcW w:w="992" w:type="dxa"/>
            <w:vAlign w:val="center"/>
          </w:tcPr>
          <w:p w14:paraId="7634FA3A">
            <w:pPr>
              <w:pStyle w:val="12"/>
            </w:pPr>
            <w:r>
              <w:t>20502</w:t>
            </w:r>
          </w:p>
        </w:tc>
        <w:tc>
          <w:tcPr>
            <w:tcW w:w="1559" w:type="dxa"/>
            <w:vAlign w:val="center"/>
          </w:tcPr>
          <w:p w14:paraId="147F1571">
            <w:pPr>
              <w:pStyle w:val="12"/>
            </w:pPr>
            <w:r>
              <w:t>普通教育</w:t>
            </w:r>
          </w:p>
        </w:tc>
        <w:tc>
          <w:tcPr>
            <w:tcW w:w="1134" w:type="dxa"/>
            <w:vAlign w:val="center"/>
          </w:tcPr>
          <w:p w14:paraId="0DD1C66C">
            <w:pPr>
              <w:pStyle w:val="11"/>
            </w:pPr>
            <w:r>
              <w:t>1036.94</w:t>
            </w:r>
          </w:p>
        </w:tc>
        <w:tc>
          <w:tcPr>
            <w:tcW w:w="1134" w:type="dxa"/>
            <w:vAlign w:val="center"/>
          </w:tcPr>
          <w:p w14:paraId="5B601E8B">
            <w:pPr>
              <w:pStyle w:val="11"/>
            </w:pPr>
            <w:r>
              <w:t>1036.94</w:t>
            </w:r>
          </w:p>
        </w:tc>
        <w:tc>
          <w:tcPr>
            <w:tcW w:w="1134" w:type="dxa"/>
            <w:vAlign w:val="center"/>
          </w:tcPr>
          <w:p w14:paraId="58E9F56A">
            <w:pPr>
              <w:pStyle w:val="11"/>
            </w:pPr>
            <w:r>
              <w:t>1036.94</w:t>
            </w:r>
          </w:p>
        </w:tc>
        <w:tc>
          <w:tcPr>
            <w:tcW w:w="1134" w:type="dxa"/>
            <w:vAlign w:val="center"/>
          </w:tcPr>
          <w:p w14:paraId="6C0854B2">
            <w:pPr>
              <w:pStyle w:val="11"/>
            </w:pPr>
          </w:p>
        </w:tc>
        <w:tc>
          <w:tcPr>
            <w:tcW w:w="1134" w:type="dxa"/>
            <w:vAlign w:val="center"/>
          </w:tcPr>
          <w:p w14:paraId="6F243AB2">
            <w:pPr>
              <w:pStyle w:val="11"/>
            </w:pPr>
          </w:p>
        </w:tc>
        <w:tc>
          <w:tcPr>
            <w:tcW w:w="1134" w:type="dxa"/>
            <w:vAlign w:val="center"/>
          </w:tcPr>
          <w:p w14:paraId="2A3BAF6F">
            <w:pPr>
              <w:pStyle w:val="11"/>
            </w:pPr>
          </w:p>
        </w:tc>
        <w:tc>
          <w:tcPr>
            <w:tcW w:w="1134" w:type="dxa"/>
            <w:vAlign w:val="center"/>
          </w:tcPr>
          <w:p w14:paraId="18A42F7A">
            <w:pPr>
              <w:pStyle w:val="11"/>
            </w:pPr>
          </w:p>
        </w:tc>
        <w:tc>
          <w:tcPr>
            <w:tcW w:w="1134" w:type="dxa"/>
            <w:vAlign w:val="center"/>
          </w:tcPr>
          <w:p w14:paraId="0D3F975D">
            <w:pPr>
              <w:pStyle w:val="11"/>
            </w:pPr>
          </w:p>
        </w:tc>
        <w:tc>
          <w:tcPr>
            <w:tcW w:w="1134" w:type="dxa"/>
            <w:vAlign w:val="center"/>
          </w:tcPr>
          <w:p w14:paraId="399D8698">
            <w:pPr>
              <w:pStyle w:val="11"/>
            </w:pPr>
          </w:p>
        </w:tc>
        <w:tc>
          <w:tcPr>
            <w:tcW w:w="1134" w:type="dxa"/>
            <w:vAlign w:val="center"/>
          </w:tcPr>
          <w:p w14:paraId="0185DF5D">
            <w:pPr>
              <w:pStyle w:val="11"/>
            </w:pPr>
          </w:p>
        </w:tc>
      </w:tr>
      <w:tr w14:paraId="6732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4C33A">
            <w:pPr>
              <w:pStyle w:val="13"/>
            </w:pPr>
            <w:r>
              <w:t>4</w:t>
            </w:r>
          </w:p>
        </w:tc>
        <w:tc>
          <w:tcPr>
            <w:tcW w:w="992" w:type="dxa"/>
            <w:vAlign w:val="center"/>
          </w:tcPr>
          <w:p w14:paraId="6202E2A2">
            <w:pPr>
              <w:pStyle w:val="12"/>
            </w:pPr>
            <w:r>
              <w:t>2050202</w:t>
            </w:r>
          </w:p>
        </w:tc>
        <w:tc>
          <w:tcPr>
            <w:tcW w:w="1559" w:type="dxa"/>
            <w:vAlign w:val="center"/>
          </w:tcPr>
          <w:p w14:paraId="372B3F20">
            <w:pPr>
              <w:pStyle w:val="12"/>
            </w:pPr>
            <w:r>
              <w:t>小学教育</w:t>
            </w:r>
          </w:p>
        </w:tc>
        <w:tc>
          <w:tcPr>
            <w:tcW w:w="1134" w:type="dxa"/>
            <w:vAlign w:val="center"/>
          </w:tcPr>
          <w:p w14:paraId="68EA4845">
            <w:pPr>
              <w:pStyle w:val="11"/>
            </w:pPr>
            <w:r>
              <w:t>1036.94</w:t>
            </w:r>
          </w:p>
        </w:tc>
        <w:tc>
          <w:tcPr>
            <w:tcW w:w="1134" w:type="dxa"/>
            <w:vAlign w:val="center"/>
          </w:tcPr>
          <w:p w14:paraId="2080A72C">
            <w:pPr>
              <w:pStyle w:val="11"/>
            </w:pPr>
            <w:r>
              <w:t>1036.94</w:t>
            </w:r>
          </w:p>
        </w:tc>
        <w:tc>
          <w:tcPr>
            <w:tcW w:w="1134" w:type="dxa"/>
            <w:vAlign w:val="center"/>
          </w:tcPr>
          <w:p w14:paraId="6E31563B">
            <w:pPr>
              <w:pStyle w:val="11"/>
            </w:pPr>
            <w:r>
              <w:t>1036.94</w:t>
            </w:r>
          </w:p>
        </w:tc>
        <w:tc>
          <w:tcPr>
            <w:tcW w:w="1134" w:type="dxa"/>
            <w:vAlign w:val="center"/>
          </w:tcPr>
          <w:p w14:paraId="4752A8AE">
            <w:pPr>
              <w:pStyle w:val="11"/>
            </w:pPr>
          </w:p>
        </w:tc>
        <w:tc>
          <w:tcPr>
            <w:tcW w:w="1134" w:type="dxa"/>
            <w:vAlign w:val="center"/>
          </w:tcPr>
          <w:p w14:paraId="6BEE1FC7">
            <w:pPr>
              <w:pStyle w:val="11"/>
            </w:pPr>
          </w:p>
        </w:tc>
        <w:tc>
          <w:tcPr>
            <w:tcW w:w="1134" w:type="dxa"/>
            <w:vAlign w:val="center"/>
          </w:tcPr>
          <w:p w14:paraId="0809A589">
            <w:pPr>
              <w:pStyle w:val="11"/>
            </w:pPr>
          </w:p>
        </w:tc>
        <w:tc>
          <w:tcPr>
            <w:tcW w:w="1134" w:type="dxa"/>
            <w:vAlign w:val="center"/>
          </w:tcPr>
          <w:p w14:paraId="61A33B3F">
            <w:pPr>
              <w:pStyle w:val="11"/>
            </w:pPr>
          </w:p>
        </w:tc>
        <w:tc>
          <w:tcPr>
            <w:tcW w:w="1134" w:type="dxa"/>
            <w:vAlign w:val="center"/>
          </w:tcPr>
          <w:p w14:paraId="05D60F05">
            <w:pPr>
              <w:pStyle w:val="11"/>
            </w:pPr>
          </w:p>
        </w:tc>
        <w:tc>
          <w:tcPr>
            <w:tcW w:w="1134" w:type="dxa"/>
            <w:vAlign w:val="center"/>
          </w:tcPr>
          <w:p w14:paraId="7F826AFC">
            <w:pPr>
              <w:pStyle w:val="11"/>
            </w:pPr>
          </w:p>
        </w:tc>
        <w:tc>
          <w:tcPr>
            <w:tcW w:w="1134" w:type="dxa"/>
            <w:vAlign w:val="center"/>
          </w:tcPr>
          <w:p w14:paraId="6E347DDC">
            <w:pPr>
              <w:pStyle w:val="11"/>
            </w:pPr>
          </w:p>
        </w:tc>
      </w:tr>
    </w:tbl>
    <w:p w14:paraId="37B0E1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82E2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AFE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2AFD89">
            <w:pPr>
              <w:pStyle w:val="9"/>
            </w:pPr>
            <w:r>
              <w:t>360037隆尧县第三实验小学</w:t>
            </w:r>
          </w:p>
        </w:tc>
        <w:tc>
          <w:tcPr>
            <w:tcW w:w="2722" w:type="dxa"/>
            <w:gridSpan w:val="2"/>
            <w:tcBorders>
              <w:top w:val="single" w:color="FFFFFF" w:sz="6" w:space="0"/>
              <w:left w:val="single" w:color="FFFFFF" w:sz="6" w:space="0"/>
              <w:right w:val="single" w:color="FFFFFF" w:sz="6" w:space="0"/>
            </w:tcBorders>
            <w:vAlign w:val="center"/>
          </w:tcPr>
          <w:p w14:paraId="67C856E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23DB201">
            <w:pPr>
              <w:pStyle w:val="7"/>
            </w:pPr>
            <w:r>
              <w:t>单位：万元</w:t>
            </w:r>
          </w:p>
        </w:tc>
      </w:tr>
      <w:tr w14:paraId="62EC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569FA">
            <w:pPr>
              <w:pStyle w:val="10"/>
            </w:pPr>
            <w:r>
              <w:t>序号</w:t>
            </w:r>
          </w:p>
        </w:tc>
        <w:tc>
          <w:tcPr>
            <w:tcW w:w="5527" w:type="dxa"/>
            <w:gridSpan w:val="2"/>
            <w:vAlign w:val="center"/>
          </w:tcPr>
          <w:p w14:paraId="29C3A417">
            <w:pPr>
              <w:pStyle w:val="10"/>
            </w:pPr>
            <w:r>
              <w:t>功能分类科目</w:t>
            </w:r>
          </w:p>
        </w:tc>
        <w:tc>
          <w:tcPr>
            <w:tcW w:w="1361" w:type="dxa"/>
            <w:vMerge w:val="restart"/>
            <w:vAlign w:val="center"/>
          </w:tcPr>
          <w:p w14:paraId="03BCD6BC">
            <w:pPr>
              <w:pStyle w:val="10"/>
            </w:pPr>
            <w:r>
              <w:t>合计</w:t>
            </w:r>
          </w:p>
        </w:tc>
        <w:tc>
          <w:tcPr>
            <w:tcW w:w="1361" w:type="dxa"/>
            <w:vMerge w:val="restart"/>
            <w:vAlign w:val="center"/>
          </w:tcPr>
          <w:p w14:paraId="766FBBCE">
            <w:pPr>
              <w:pStyle w:val="10"/>
            </w:pPr>
            <w:r>
              <w:t>基本支出</w:t>
            </w:r>
          </w:p>
        </w:tc>
        <w:tc>
          <w:tcPr>
            <w:tcW w:w="1361" w:type="dxa"/>
            <w:vMerge w:val="restart"/>
            <w:vAlign w:val="center"/>
          </w:tcPr>
          <w:p w14:paraId="740F3EDE">
            <w:pPr>
              <w:pStyle w:val="10"/>
            </w:pPr>
            <w:r>
              <w:t>项目支出</w:t>
            </w:r>
          </w:p>
        </w:tc>
        <w:tc>
          <w:tcPr>
            <w:tcW w:w="1361" w:type="dxa"/>
            <w:vMerge w:val="restart"/>
            <w:vAlign w:val="center"/>
          </w:tcPr>
          <w:p w14:paraId="7CFBCB2E">
            <w:pPr>
              <w:pStyle w:val="10"/>
            </w:pPr>
            <w:r>
              <w:t>经营支出</w:t>
            </w:r>
          </w:p>
        </w:tc>
        <w:tc>
          <w:tcPr>
            <w:tcW w:w="1361" w:type="dxa"/>
            <w:vMerge w:val="restart"/>
            <w:vAlign w:val="center"/>
          </w:tcPr>
          <w:p w14:paraId="1C9862F3">
            <w:pPr>
              <w:pStyle w:val="10"/>
            </w:pPr>
            <w:r>
              <w:t>上解上级     支出</w:t>
            </w:r>
          </w:p>
        </w:tc>
        <w:tc>
          <w:tcPr>
            <w:tcW w:w="1361" w:type="dxa"/>
            <w:vMerge w:val="restart"/>
            <w:vAlign w:val="center"/>
          </w:tcPr>
          <w:p w14:paraId="1C4D0DB5">
            <w:pPr>
              <w:pStyle w:val="10"/>
            </w:pPr>
            <w:r>
              <w:t>对附属单位补助支出</w:t>
            </w:r>
          </w:p>
        </w:tc>
      </w:tr>
      <w:tr w14:paraId="50E9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19C7A4"/>
        </w:tc>
        <w:tc>
          <w:tcPr>
            <w:tcW w:w="992" w:type="dxa"/>
            <w:vAlign w:val="center"/>
          </w:tcPr>
          <w:p w14:paraId="75589B04">
            <w:pPr>
              <w:pStyle w:val="10"/>
            </w:pPr>
            <w:r>
              <w:t>科目    编码</w:t>
            </w:r>
          </w:p>
        </w:tc>
        <w:tc>
          <w:tcPr>
            <w:tcW w:w="4535" w:type="dxa"/>
            <w:vAlign w:val="center"/>
          </w:tcPr>
          <w:p w14:paraId="0AE60391">
            <w:pPr>
              <w:pStyle w:val="10"/>
            </w:pPr>
            <w:r>
              <w:t>科目名称</w:t>
            </w:r>
          </w:p>
        </w:tc>
        <w:tc>
          <w:tcPr>
            <w:tcW w:w="1361" w:type="dxa"/>
            <w:vMerge w:val="continue"/>
          </w:tcPr>
          <w:p w14:paraId="7527E8ED"/>
        </w:tc>
        <w:tc>
          <w:tcPr>
            <w:tcW w:w="1361" w:type="dxa"/>
            <w:vMerge w:val="continue"/>
          </w:tcPr>
          <w:p w14:paraId="01DEA39C"/>
        </w:tc>
        <w:tc>
          <w:tcPr>
            <w:tcW w:w="1361" w:type="dxa"/>
            <w:vMerge w:val="continue"/>
          </w:tcPr>
          <w:p w14:paraId="2B71B17F"/>
        </w:tc>
        <w:tc>
          <w:tcPr>
            <w:tcW w:w="1361" w:type="dxa"/>
            <w:vMerge w:val="continue"/>
          </w:tcPr>
          <w:p w14:paraId="398AEE20"/>
        </w:tc>
        <w:tc>
          <w:tcPr>
            <w:tcW w:w="1361" w:type="dxa"/>
            <w:vMerge w:val="continue"/>
          </w:tcPr>
          <w:p w14:paraId="509FE16C"/>
        </w:tc>
        <w:tc>
          <w:tcPr>
            <w:tcW w:w="1361" w:type="dxa"/>
            <w:vMerge w:val="continue"/>
          </w:tcPr>
          <w:p w14:paraId="629757A8"/>
        </w:tc>
      </w:tr>
      <w:tr w14:paraId="2EA3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F4795C">
            <w:pPr>
              <w:pStyle w:val="10"/>
            </w:pPr>
            <w:r>
              <w:t>栏次</w:t>
            </w:r>
          </w:p>
        </w:tc>
        <w:tc>
          <w:tcPr>
            <w:tcW w:w="992" w:type="dxa"/>
            <w:vAlign w:val="center"/>
          </w:tcPr>
          <w:p w14:paraId="5734C116">
            <w:pPr>
              <w:pStyle w:val="10"/>
            </w:pPr>
            <w:r>
              <w:t>1</w:t>
            </w:r>
          </w:p>
        </w:tc>
        <w:tc>
          <w:tcPr>
            <w:tcW w:w="4535" w:type="dxa"/>
            <w:vAlign w:val="center"/>
          </w:tcPr>
          <w:p w14:paraId="494B15AD">
            <w:pPr>
              <w:pStyle w:val="10"/>
            </w:pPr>
            <w:r>
              <w:t>2</w:t>
            </w:r>
          </w:p>
        </w:tc>
        <w:tc>
          <w:tcPr>
            <w:tcW w:w="1361" w:type="dxa"/>
            <w:vAlign w:val="center"/>
          </w:tcPr>
          <w:p w14:paraId="0511EC41">
            <w:pPr>
              <w:pStyle w:val="10"/>
            </w:pPr>
            <w:r>
              <w:t>3</w:t>
            </w:r>
          </w:p>
        </w:tc>
        <w:tc>
          <w:tcPr>
            <w:tcW w:w="1361" w:type="dxa"/>
            <w:vAlign w:val="center"/>
          </w:tcPr>
          <w:p w14:paraId="7B45C0A3">
            <w:pPr>
              <w:pStyle w:val="10"/>
            </w:pPr>
            <w:r>
              <w:t>4</w:t>
            </w:r>
          </w:p>
        </w:tc>
        <w:tc>
          <w:tcPr>
            <w:tcW w:w="1361" w:type="dxa"/>
            <w:vAlign w:val="center"/>
          </w:tcPr>
          <w:p w14:paraId="2BAF2F80">
            <w:pPr>
              <w:pStyle w:val="10"/>
            </w:pPr>
            <w:r>
              <w:t>5</w:t>
            </w:r>
          </w:p>
        </w:tc>
        <w:tc>
          <w:tcPr>
            <w:tcW w:w="1361" w:type="dxa"/>
            <w:vAlign w:val="center"/>
          </w:tcPr>
          <w:p w14:paraId="755283ED">
            <w:pPr>
              <w:pStyle w:val="10"/>
            </w:pPr>
            <w:r>
              <w:t>6</w:t>
            </w:r>
          </w:p>
        </w:tc>
        <w:tc>
          <w:tcPr>
            <w:tcW w:w="1361" w:type="dxa"/>
            <w:vAlign w:val="center"/>
          </w:tcPr>
          <w:p w14:paraId="138464CF">
            <w:pPr>
              <w:pStyle w:val="10"/>
            </w:pPr>
            <w:r>
              <w:t>7</w:t>
            </w:r>
          </w:p>
        </w:tc>
        <w:tc>
          <w:tcPr>
            <w:tcW w:w="1361" w:type="dxa"/>
            <w:vAlign w:val="center"/>
          </w:tcPr>
          <w:p w14:paraId="633FDD14">
            <w:pPr>
              <w:pStyle w:val="10"/>
            </w:pPr>
            <w:r>
              <w:t>8</w:t>
            </w:r>
          </w:p>
        </w:tc>
      </w:tr>
      <w:tr w14:paraId="4A56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9D988">
            <w:pPr>
              <w:pStyle w:val="13"/>
            </w:pPr>
            <w:r>
              <w:t>1</w:t>
            </w:r>
          </w:p>
        </w:tc>
        <w:tc>
          <w:tcPr>
            <w:tcW w:w="992" w:type="dxa"/>
            <w:vAlign w:val="center"/>
          </w:tcPr>
          <w:p w14:paraId="7671D024">
            <w:pPr>
              <w:pStyle w:val="16"/>
            </w:pPr>
          </w:p>
        </w:tc>
        <w:tc>
          <w:tcPr>
            <w:tcW w:w="4535" w:type="dxa"/>
            <w:vAlign w:val="center"/>
          </w:tcPr>
          <w:p w14:paraId="255398ED">
            <w:pPr>
              <w:pStyle w:val="14"/>
            </w:pPr>
            <w:r>
              <w:t>合计</w:t>
            </w:r>
          </w:p>
        </w:tc>
        <w:tc>
          <w:tcPr>
            <w:tcW w:w="1361" w:type="dxa"/>
            <w:vAlign w:val="center"/>
          </w:tcPr>
          <w:p w14:paraId="156A7BCE">
            <w:pPr>
              <w:pStyle w:val="15"/>
            </w:pPr>
            <w:r>
              <w:t>1036.94</w:t>
            </w:r>
          </w:p>
        </w:tc>
        <w:tc>
          <w:tcPr>
            <w:tcW w:w="1361" w:type="dxa"/>
            <w:vAlign w:val="center"/>
          </w:tcPr>
          <w:p w14:paraId="178A3DAF">
            <w:pPr>
              <w:pStyle w:val="15"/>
            </w:pPr>
            <w:r>
              <w:t>814.47</w:t>
            </w:r>
          </w:p>
        </w:tc>
        <w:tc>
          <w:tcPr>
            <w:tcW w:w="1361" w:type="dxa"/>
            <w:vAlign w:val="center"/>
          </w:tcPr>
          <w:p w14:paraId="29370187">
            <w:pPr>
              <w:pStyle w:val="15"/>
            </w:pPr>
            <w:r>
              <w:t>222.47</w:t>
            </w:r>
          </w:p>
        </w:tc>
        <w:tc>
          <w:tcPr>
            <w:tcW w:w="1361" w:type="dxa"/>
            <w:vAlign w:val="center"/>
          </w:tcPr>
          <w:p w14:paraId="2DA86E82">
            <w:pPr>
              <w:pStyle w:val="15"/>
            </w:pPr>
          </w:p>
        </w:tc>
        <w:tc>
          <w:tcPr>
            <w:tcW w:w="1361" w:type="dxa"/>
            <w:vAlign w:val="center"/>
          </w:tcPr>
          <w:p w14:paraId="6319DAB6">
            <w:pPr>
              <w:pStyle w:val="15"/>
            </w:pPr>
          </w:p>
        </w:tc>
        <w:tc>
          <w:tcPr>
            <w:tcW w:w="1361" w:type="dxa"/>
            <w:vAlign w:val="center"/>
          </w:tcPr>
          <w:p w14:paraId="2CE40187">
            <w:pPr>
              <w:pStyle w:val="15"/>
            </w:pPr>
          </w:p>
        </w:tc>
      </w:tr>
      <w:tr w14:paraId="53A7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C1B0D">
            <w:pPr>
              <w:pStyle w:val="13"/>
            </w:pPr>
            <w:r>
              <w:t>2</w:t>
            </w:r>
          </w:p>
        </w:tc>
        <w:tc>
          <w:tcPr>
            <w:tcW w:w="992" w:type="dxa"/>
            <w:vAlign w:val="center"/>
          </w:tcPr>
          <w:p w14:paraId="61A44CD2">
            <w:pPr>
              <w:pStyle w:val="12"/>
            </w:pPr>
            <w:r>
              <w:t>205</w:t>
            </w:r>
          </w:p>
        </w:tc>
        <w:tc>
          <w:tcPr>
            <w:tcW w:w="4535" w:type="dxa"/>
            <w:vAlign w:val="center"/>
          </w:tcPr>
          <w:p w14:paraId="148214E4">
            <w:pPr>
              <w:pStyle w:val="12"/>
            </w:pPr>
            <w:r>
              <w:t>教育支出</w:t>
            </w:r>
          </w:p>
        </w:tc>
        <w:tc>
          <w:tcPr>
            <w:tcW w:w="1361" w:type="dxa"/>
            <w:vAlign w:val="center"/>
          </w:tcPr>
          <w:p w14:paraId="1CAAA681">
            <w:pPr>
              <w:pStyle w:val="11"/>
            </w:pPr>
            <w:r>
              <w:t>1036.94</w:t>
            </w:r>
          </w:p>
        </w:tc>
        <w:tc>
          <w:tcPr>
            <w:tcW w:w="1361" w:type="dxa"/>
            <w:vAlign w:val="center"/>
          </w:tcPr>
          <w:p w14:paraId="7B390E69">
            <w:pPr>
              <w:pStyle w:val="11"/>
            </w:pPr>
            <w:r>
              <w:t>814.47</w:t>
            </w:r>
          </w:p>
        </w:tc>
        <w:tc>
          <w:tcPr>
            <w:tcW w:w="1361" w:type="dxa"/>
            <w:vAlign w:val="center"/>
          </w:tcPr>
          <w:p w14:paraId="64FF6D0E">
            <w:pPr>
              <w:pStyle w:val="11"/>
            </w:pPr>
            <w:r>
              <w:t>222.47</w:t>
            </w:r>
          </w:p>
        </w:tc>
        <w:tc>
          <w:tcPr>
            <w:tcW w:w="1361" w:type="dxa"/>
            <w:vAlign w:val="center"/>
          </w:tcPr>
          <w:p w14:paraId="1DC257BB">
            <w:pPr>
              <w:pStyle w:val="11"/>
            </w:pPr>
          </w:p>
        </w:tc>
        <w:tc>
          <w:tcPr>
            <w:tcW w:w="1361" w:type="dxa"/>
            <w:vAlign w:val="center"/>
          </w:tcPr>
          <w:p w14:paraId="73B2FA12">
            <w:pPr>
              <w:pStyle w:val="11"/>
            </w:pPr>
          </w:p>
        </w:tc>
        <w:tc>
          <w:tcPr>
            <w:tcW w:w="1361" w:type="dxa"/>
            <w:vAlign w:val="center"/>
          </w:tcPr>
          <w:p w14:paraId="6665E521">
            <w:pPr>
              <w:pStyle w:val="11"/>
            </w:pPr>
          </w:p>
        </w:tc>
      </w:tr>
      <w:tr w14:paraId="5204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1CEC8">
            <w:pPr>
              <w:pStyle w:val="13"/>
            </w:pPr>
            <w:r>
              <w:t>3</w:t>
            </w:r>
          </w:p>
        </w:tc>
        <w:tc>
          <w:tcPr>
            <w:tcW w:w="992" w:type="dxa"/>
            <w:vAlign w:val="center"/>
          </w:tcPr>
          <w:p w14:paraId="2AB040DF">
            <w:pPr>
              <w:pStyle w:val="12"/>
            </w:pPr>
            <w:r>
              <w:t>20502</w:t>
            </w:r>
          </w:p>
        </w:tc>
        <w:tc>
          <w:tcPr>
            <w:tcW w:w="4535" w:type="dxa"/>
            <w:vAlign w:val="center"/>
          </w:tcPr>
          <w:p w14:paraId="51B855DB">
            <w:pPr>
              <w:pStyle w:val="12"/>
            </w:pPr>
            <w:r>
              <w:t>普通教育</w:t>
            </w:r>
          </w:p>
        </w:tc>
        <w:tc>
          <w:tcPr>
            <w:tcW w:w="1361" w:type="dxa"/>
            <w:vAlign w:val="center"/>
          </w:tcPr>
          <w:p w14:paraId="537F7A1B">
            <w:pPr>
              <w:pStyle w:val="11"/>
            </w:pPr>
            <w:r>
              <w:t>1036.94</w:t>
            </w:r>
          </w:p>
        </w:tc>
        <w:tc>
          <w:tcPr>
            <w:tcW w:w="1361" w:type="dxa"/>
            <w:vAlign w:val="center"/>
          </w:tcPr>
          <w:p w14:paraId="1F52A2BE">
            <w:pPr>
              <w:pStyle w:val="11"/>
            </w:pPr>
            <w:r>
              <w:t>814.47</w:t>
            </w:r>
          </w:p>
        </w:tc>
        <w:tc>
          <w:tcPr>
            <w:tcW w:w="1361" w:type="dxa"/>
            <w:vAlign w:val="center"/>
          </w:tcPr>
          <w:p w14:paraId="0AD4FB12">
            <w:pPr>
              <w:pStyle w:val="11"/>
            </w:pPr>
            <w:r>
              <w:t>222.47</w:t>
            </w:r>
          </w:p>
        </w:tc>
        <w:tc>
          <w:tcPr>
            <w:tcW w:w="1361" w:type="dxa"/>
            <w:vAlign w:val="center"/>
          </w:tcPr>
          <w:p w14:paraId="12865656">
            <w:pPr>
              <w:pStyle w:val="11"/>
            </w:pPr>
          </w:p>
        </w:tc>
        <w:tc>
          <w:tcPr>
            <w:tcW w:w="1361" w:type="dxa"/>
            <w:vAlign w:val="center"/>
          </w:tcPr>
          <w:p w14:paraId="3710FD59">
            <w:pPr>
              <w:pStyle w:val="11"/>
            </w:pPr>
          </w:p>
        </w:tc>
        <w:tc>
          <w:tcPr>
            <w:tcW w:w="1361" w:type="dxa"/>
            <w:vAlign w:val="center"/>
          </w:tcPr>
          <w:p w14:paraId="370475A6">
            <w:pPr>
              <w:pStyle w:val="11"/>
            </w:pPr>
          </w:p>
        </w:tc>
      </w:tr>
      <w:tr w14:paraId="7370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F9DF">
            <w:pPr>
              <w:pStyle w:val="13"/>
            </w:pPr>
            <w:r>
              <w:t>4</w:t>
            </w:r>
          </w:p>
        </w:tc>
        <w:tc>
          <w:tcPr>
            <w:tcW w:w="992" w:type="dxa"/>
            <w:vAlign w:val="center"/>
          </w:tcPr>
          <w:p w14:paraId="10BEB616">
            <w:pPr>
              <w:pStyle w:val="12"/>
            </w:pPr>
            <w:r>
              <w:t>2050202</w:t>
            </w:r>
          </w:p>
        </w:tc>
        <w:tc>
          <w:tcPr>
            <w:tcW w:w="4535" w:type="dxa"/>
            <w:vAlign w:val="center"/>
          </w:tcPr>
          <w:p w14:paraId="4BEC1A80">
            <w:pPr>
              <w:pStyle w:val="12"/>
            </w:pPr>
            <w:r>
              <w:t>小学教育</w:t>
            </w:r>
          </w:p>
        </w:tc>
        <w:tc>
          <w:tcPr>
            <w:tcW w:w="1361" w:type="dxa"/>
            <w:vAlign w:val="center"/>
          </w:tcPr>
          <w:p w14:paraId="32FB3F8E">
            <w:pPr>
              <w:pStyle w:val="11"/>
            </w:pPr>
            <w:r>
              <w:t>1036.94</w:t>
            </w:r>
          </w:p>
        </w:tc>
        <w:tc>
          <w:tcPr>
            <w:tcW w:w="1361" w:type="dxa"/>
            <w:vAlign w:val="center"/>
          </w:tcPr>
          <w:p w14:paraId="18755A19">
            <w:pPr>
              <w:pStyle w:val="11"/>
            </w:pPr>
            <w:r>
              <w:t>814.47</w:t>
            </w:r>
          </w:p>
        </w:tc>
        <w:tc>
          <w:tcPr>
            <w:tcW w:w="1361" w:type="dxa"/>
            <w:vAlign w:val="center"/>
          </w:tcPr>
          <w:p w14:paraId="4F96E46B">
            <w:pPr>
              <w:pStyle w:val="11"/>
            </w:pPr>
            <w:r>
              <w:t>222.47</w:t>
            </w:r>
          </w:p>
        </w:tc>
        <w:tc>
          <w:tcPr>
            <w:tcW w:w="1361" w:type="dxa"/>
            <w:vAlign w:val="center"/>
          </w:tcPr>
          <w:p w14:paraId="6A3CB98E">
            <w:pPr>
              <w:pStyle w:val="11"/>
            </w:pPr>
          </w:p>
        </w:tc>
        <w:tc>
          <w:tcPr>
            <w:tcW w:w="1361" w:type="dxa"/>
            <w:vAlign w:val="center"/>
          </w:tcPr>
          <w:p w14:paraId="588F307E">
            <w:pPr>
              <w:pStyle w:val="11"/>
            </w:pPr>
          </w:p>
        </w:tc>
        <w:tc>
          <w:tcPr>
            <w:tcW w:w="1361" w:type="dxa"/>
            <w:vAlign w:val="center"/>
          </w:tcPr>
          <w:p w14:paraId="16BD3CCD">
            <w:pPr>
              <w:pStyle w:val="11"/>
            </w:pPr>
          </w:p>
        </w:tc>
      </w:tr>
    </w:tbl>
    <w:p w14:paraId="017556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E2BF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79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6FABB8">
            <w:pPr>
              <w:pStyle w:val="9"/>
            </w:pPr>
            <w:r>
              <w:t>360037隆尧县第三实验小学</w:t>
            </w:r>
          </w:p>
        </w:tc>
        <w:tc>
          <w:tcPr>
            <w:tcW w:w="3402" w:type="dxa"/>
            <w:tcBorders>
              <w:top w:val="single" w:color="FFFFFF" w:sz="6" w:space="0"/>
              <w:left w:val="single" w:color="FFFFFF" w:sz="6" w:space="0"/>
              <w:right w:val="single" w:color="FFFFFF" w:sz="6" w:space="0"/>
            </w:tcBorders>
            <w:vAlign w:val="center"/>
          </w:tcPr>
          <w:p w14:paraId="4D6A0A8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7E5DCC">
            <w:pPr>
              <w:pStyle w:val="7"/>
            </w:pPr>
            <w:r>
              <w:t>单位：万元</w:t>
            </w:r>
          </w:p>
        </w:tc>
      </w:tr>
      <w:tr w14:paraId="70EC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190FC">
            <w:pPr>
              <w:pStyle w:val="10"/>
            </w:pPr>
            <w:r>
              <w:t>序号</w:t>
            </w:r>
          </w:p>
        </w:tc>
        <w:tc>
          <w:tcPr>
            <w:tcW w:w="4876" w:type="dxa"/>
            <w:gridSpan w:val="2"/>
            <w:vAlign w:val="center"/>
          </w:tcPr>
          <w:p w14:paraId="52B0ACE5">
            <w:pPr>
              <w:pStyle w:val="10"/>
            </w:pPr>
            <w:r>
              <w:t>收入</w:t>
            </w:r>
          </w:p>
        </w:tc>
        <w:tc>
          <w:tcPr>
            <w:tcW w:w="9298" w:type="dxa"/>
            <w:gridSpan w:val="5"/>
            <w:vAlign w:val="center"/>
          </w:tcPr>
          <w:p w14:paraId="45DAFD37">
            <w:pPr>
              <w:pStyle w:val="10"/>
            </w:pPr>
            <w:r>
              <w:t>支出</w:t>
            </w:r>
          </w:p>
        </w:tc>
      </w:tr>
      <w:tr w14:paraId="7445D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84178E"/>
        </w:tc>
        <w:tc>
          <w:tcPr>
            <w:tcW w:w="3402" w:type="dxa"/>
            <w:vAlign w:val="center"/>
          </w:tcPr>
          <w:p w14:paraId="45D54780">
            <w:pPr>
              <w:pStyle w:val="10"/>
            </w:pPr>
            <w:r>
              <w:t>项  目</w:t>
            </w:r>
          </w:p>
        </w:tc>
        <w:tc>
          <w:tcPr>
            <w:tcW w:w="1474" w:type="dxa"/>
            <w:vAlign w:val="center"/>
          </w:tcPr>
          <w:p w14:paraId="190E4199">
            <w:pPr>
              <w:pStyle w:val="10"/>
            </w:pPr>
            <w:r>
              <w:t>金额</w:t>
            </w:r>
          </w:p>
        </w:tc>
        <w:tc>
          <w:tcPr>
            <w:tcW w:w="3402" w:type="dxa"/>
            <w:vAlign w:val="center"/>
          </w:tcPr>
          <w:p w14:paraId="64ED1B41">
            <w:pPr>
              <w:pStyle w:val="10"/>
            </w:pPr>
            <w:r>
              <w:t>项  目</w:t>
            </w:r>
          </w:p>
        </w:tc>
        <w:tc>
          <w:tcPr>
            <w:tcW w:w="1474" w:type="dxa"/>
            <w:vAlign w:val="center"/>
          </w:tcPr>
          <w:p w14:paraId="08DED402">
            <w:pPr>
              <w:pStyle w:val="10"/>
            </w:pPr>
            <w:r>
              <w:t>合计</w:t>
            </w:r>
          </w:p>
        </w:tc>
        <w:tc>
          <w:tcPr>
            <w:tcW w:w="1474" w:type="dxa"/>
            <w:vAlign w:val="center"/>
          </w:tcPr>
          <w:p w14:paraId="44EFF490">
            <w:pPr>
              <w:pStyle w:val="10"/>
            </w:pPr>
            <w:r>
              <w:t>一般公共预算财政拨款</w:t>
            </w:r>
          </w:p>
        </w:tc>
        <w:tc>
          <w:tcPr>
            <w:tcW w:w="1474" w:type="dxa"/>
            <w:vAlign w:val="center"/>
          </w:tcPr>
          <w:p w14:paraId="45C7E99D">
            <w:pPr>
              <w:pStyle w:val="10"/>
            </w:pPr>
            <w:r>
              <w:t>政府性基金预算财政    拨款</w:t>
            </w:r>
          </w:p>
        </w:tc>
        <w:tc>
          <w:tcPr>
            <w:tcW w:w="1474" w:type="dxa"/>
            <w:vAlign w:val="center"/>
          </w:tcPr>
          <w:p w14:paraId="6BA965D4">
            <w:pPr>
              <w:pStyle w:val="10"/>
            </w:pPr>
            <w:r>
              <w:t>国有资本经营预算财政拨款</w:t>
            </w:r>
          </w:p>
        </w:tc>
      </w:tr>
      <w:tr w14:paraId="4302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30AD8E">
            <w:pPr>
              <w:pStyle w:val="10"/>
            </w:pPr>
            <w:r>
              <w:t>栏次</w:t>
            </w:r>
          </w:p>
        </w:tc>
        <w:tc>
          <w:tcPr>
            <w:tcW w:w="3402" w:type="dxa"/>
            <w:vAlign w:val="center"/>
          </w:tcPr>
          <w:p w14:paraId="086826A3">
            <w:pPr>
              <w:pStyle w:val="10"/>
            </w:pPr>
            <w:r>
              <w:t>1</w:t>
            </w:r>
          </w:p>
        </w:tc>
        <w:tc>
          <w:tcPr>
            <w:tcW w:w="1474" w:type="dxa"/>
            <w:vAlign w:val="center"/>
          </w:tcPr>
          <w:p w14:paraId="7C867E50">
            <w:pPr>
              <w:pStyle w:val="10"/>
            </w:pPr>
            <w:r>
              <w:t>2</w:t>
            </w:r>
          </w:p>
        </w:tc>
        <w:tc>
          <w:tcPr>
            <w:tcW w:w="3402" w:type="dxa"/>
            <w:vAlign w:val="center"/>
          </w:tcPr>
          <w:p w14:paraId="3F48BA8D">
            <w:pPr>
              <w:pStyle w:val="10"/>
            </w:pPr>
            <w:r>
              <w:t>3</w:t>
            </w:r>
          </w:p>
        </w:tc>
        <w:tc>
          <w:tcPr>
            <w:tcW w:w="1474" w:type="dxa"/>
            <w:vAlign w:val="center"/>
          </w:tcPr>
          <w:p w14:paraId="4D405A5B">
            <w:pPr>
              <w:pStyle w:val="10"/>
            </w:pPr>
            <w:r>
              <w:t>4</w:t>
            </w:r>
          </w:p>
        </w:tc>
        <w:tc>
          <w:tcPr>
            <w:tcW w:w="1474" w:type="dxa"/>
            <w:vAlign w:val="center"/>
          </w:tcPr>
          <w:p w14:paraId="7F652A2B">
            <w:pPr>
              <w:pStyle w:val="10"/>
            </w:pPr>
            <w:r>
              <w:t>5</w:t>
            </w:r>
          </w:p>
        </w:tc>
        <w:tc>
          <w:tcPr>
            <w:tcW w:w="1474" w:type="dxa"/>
            <w:vAlign w:val="center"/>
          </w:tcPr>
          <w:p w14:paraId="6882FBB6">
            <w:pPr>
              <w:pStyle w:val="10"/>
            </w:pPr>
            <w:r>
              <w:t>6</w:t>
            </w:r>
          </w:p>
        </w:tc>
        <w:tc>
          <w:tcPr>
            <w:tcW w:w="1474" w:type="dxa"/>
            <w:vAlign w:val="center"/>
          </w:tcPr>
          <w:p w14:paraId="42336DF0">
            <w:pPr>
              <w:pStyle w:val="10"/>
            </w:pPr>
            <w:r>
              <w:t>7</w:t>
            </w:r>
          </w:p>
        </w:tc>
      </w:tr>
      <w:tr w14:paraId="525E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141D1">
            <w:pPr>
              <w:pStyle w:val="13"/>
            </w:pPr>
            <w:r>
              <w:t>1</w:t>
            </w:r>
          </w:p>
        </w:tc>
        <w:tc>
          <w:tcPr>
            <w:tcW w:w="3402" w:type="dxa"/>
            <w:vAlign w:val="center"/>
          </w:tcPr>
          <w:p w14:paraId="17CCD5E2">
            <w:pPr>
              <w:pStyle w:val="12"/>
            </w:pPr>
            <w:r>
              <w:t>一、一般公共预算拨款</w:t>
            </w:r>
          </w:p>
        </w:tc>
        <w:tc>
          <w:tcPr>
            <w:tcW w:w="1474" w:type="dxa"/>
            <w:vAlign w:val="center"/>
          </w:tcPr>
          <w:p w14:paraId="2BA3D175">
            <w:pPr>
              <w:pStyle w:val="11"/>
            </w:pPr>
            <w:r>
              <w:t>1036.94</w:t>
            </w:r>
          </w:p>
        </w:tc>
        <w:tc>
          <w:tcPr>
            <w:tcW w:w="3402" w:type="dxa"/>
            <w:vAlign w:val="center"/>
          </w:tcPr>
          <w:p w14:paraId="61ABE4ED">
            <w:pPr>
              <w:pStyle w:val="12"/>
            </w:pPr>
            <w:r>
              <w:t>一、一般公共服务支出</w:t>
            </w:r>
          </w:p>
        </w:tc>
        <w:tc>
          <w:tcPr>
            <w:tcW w:w="1474" w:type="dxa"/>
            <w:vAlign w:val="center"/>
          </w:tcPr>
          <w:p w14:paraId="02F2A058">
            <w:pPr>
              <w:pStyle w:val="11"/>
            </w:pPr>
          </w:p>
        </w:tc>
        <w:tc>
          <w:tcPr>
            <w:tcW w:w="1474" w:type="dxa"/>
            <w:vAlign w:val="center"/>
          </w:tcPr>
          <w:p w14:paraId="268FA41F">
            <w:pPr>
              <w:pStyle w:val="11"/>
            </w:pPr>
          </w:p>
        </w:tc>
        <w:tc>
          <w:tcPr>
            <w:tcW w:w="1474" w:type="dxa"/>
            <w:vAlign w:val="center"/>
          </w:tcPr>
          <w:p w14:paraId="07E31BE1">
            <w:pPr>
              <w:pStyle w:val="11"/>
            </w:pPr>
          </w:p>
        </w:tc>
        <w:tc>
          <w:tcPr>
            <w:tcW w:w="1474" w:type="dxa"/>
            <w:vAlign w:val="center"/>
          </w:tcPr>
          <w:p w14:paraId="48AFB0BB">
            <w:pPr>
              <w:pStyle w:val="11"/>
            </w:pPr>
          </w:p>
        </w:tc>
      </w:tr>
      <w:tr w14:paraId="0558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6EE8C">
            <w:pPr>
              <w:pStyle w:val="13"/>
            </w:pPr>
            <w:r>
              <w:t>2</w:t>
            </w:r>
          </w:p>
        </w:tc>
        <w:tc>
          <w:tcPr>
            <w:tcW w:w="3402" w:type="dxa"/>
            <w:vAlign w:val="center"/>
          </w:tcPr>
          <w:p w14:paraId="3E94A637">
            <w:pPr>
              <w:pStyle w:val="12"/>
            </w:pPr>
            <w:r>
              <w:t>二、政府性基金预算拨款</w:t>
            </w:r>
          </w:p>
        </w:tc>
        <w:tc>
          <w:tcPr>
            <w:tcW w:w="1474" w:type="dxa"/>
            <w:vAlign w:val="center"/>
          </w:tcPr>
          <w:p w14:paraId="11621256">
            <w:pPr>
              <w:pStyle w:val="11"/>
            </w:pPr>
          </w:p>
        </w:tc>
        <w:tc>
          <w:tcPr>
            <w:tcW w:w="3402" w:type="dxa"/>
            <w:vAlign w:val="center"/>
          </w:tcPr>
          <w:p w14:paraId="38CF946B">
            <w:pPr>
              <w:pStyle w:val="12"/>
            </w:pPr>
            <w:r>
              <w:t>二、外交支出</w:t>
            </w:r>
          </w:p>
        </w:tc>
        <w:tc>
          <w:tcPr>
            <w:tcW w:w="1474" w:type="dxa"/>
            <w:vAlign w:val="center"/>
          </w:tcPr>
          <w:p w14:paraId="2FF784D8">
            <w:pPr>
              <w:pStyle w:val="11"/>
            </w:pPr>
          </w:p>
        </w:tc>
        <w:tc>
          <w:tcPr>
            <w:tcW w:w="1474" w:type="dxa"/>
            <w:vAlign w:val="center"/>
          </w:tcPr>
          <w:p w14:paraId="32A8C433">
            <w:pPr>
              <w:pStyle w:val="11"/>
            </w:pPr>
          </w:p>
        </w:tc>
        <w:tc>
          <w:tcPr>
            <w:tcW w:w="1474" w:type="dxa"/>
            <w:vAlign w:val="center"/>
          </w:tcPr>
          <w:p w14:paraId="12C8B340">
            <w:pPr>
              <w:pStyle w:val="11"/>
            </w:pPr>
          </w:p>
        </w:tc>
        <w:tc>
          <w:tcPr>
            <w:tcW w:w="1474" w:type="dxa"/>
            <w:vAlign w:val="center"/>
          </w:tcPr>
          <w:p w14:paraId="31C2C668">
            <w:pPr>
              <w:pStyle w:val="11"/>
            </w:pPr>
          </w:p>
        </w:tc>
      </w:tr>
      <w:tr w14:paraId="0C22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4E64">
            <w:pPr>
              <w:pStyle w:val="13"/>
            </w:pPr>
            <w:r>
              <w:t>3</w:t>
            </w:r>
          </w:p>
        </w:tc>
        <w:tc>
          <w:tcPr>
            <w:tcW w:w="3402" w:type="dxa"/>
            <w:vAlign w:val="center"/>
          </w:tcPr>
          <w:p w14:paraId="7AF080E6">
            <w:pPr>
              <w:pStyle w:val="12"/>
            </w:pPr>
            <w:r>
              <w:t>三、国有资本经营预算拨款</w:t>
            </w:r>
          </w:p>
        </w:tc>
        <w:tc>
          <w:tcPr>
            <w:tcW w:w="1474" w:type="dxa"/>
            <w:vAlign w:val="center"/>
          </w:tcPr>
          <w:p w14:paraId="5D84CAC1">
            <w:pPr>
              <w:pStyle w:val="11"/>
            </w:pPr>
          </w:p>
        </w:tc>
        <w:tc>
          <w:tcPr>
            <w:tcW w:w="3402" w:type="dxa"/>
            <w:vAlign w:val="center"/>
          </w:tcPr>
          <w:p w14:paraId="24A57B82">
            <w:pPr>
              <w:pStyle w:val="12"/>
            </w:pPr>
            <w:r>
              <w:t>三、国防支出</w:t>
            </w:r>
          </w:p>
        </w:tc>
        <w:tc>
          <w:tcPr>
            <w:tcW w:w="1474" w:type="dxa"/>
            <w:vAlign w:val="center"/>
          </w:tcPr>
          <w:p w14:paraId="5949B8D4">
            <w:pPr>
              <w:pStyle w:val="11"/>
            </w:pPr>
          </w:p>
        </w:tc>
        <w:tc>
          <w:tcPr>
            <w:tcW w:w="1474" w:type="dxa"/>
            <w:vAlign w:val="center"/>
          </w:tcPr>
          <w:p w14:paraId="269AA9D8">
            <w:pPr>
              <w:pStyle w:val="11"/>
            </w:pPr>
          </w:p>
        </w:tc>
        <w:tc>
          <w:tcPr>
            <w:tcW w:w="1474" w:type="dxa"/>
            <w:vAlign w:val="center"/>
          </w:tcPr>
          <w:p w14:paraId="1DDE29CB">
            <w:pPr>
              <w:pStyle w:val="11"/>
            </w:pPr>
          </w:p>
        </w:tc>
        <w:tc>
          <w:tcPr>
            <w:tcW w:w="1474" w:type="dxa"/>
            <w:vAlign w:val="center"/>
          </w:tcPr>
          <w:p w14:paraId="407723EE">
            <w:pPr>
              <w:pStyle w:val="11"/>
            </w:pPr>
          </w:p>
        </w:tc>
      </w:tr>
      <w:tr w14:paraId="294F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E84B">
            <w:pPr>
              <w:pStyle w:val="13"/>
            </w:pPr>
            <w:r>
              <w:t>4</w:t>
            </w:r>
          </w:p>
        </w:tc>
        <w:tc>
          <w:tcPr>
            <w:tcW w:w="3402" w:type="dxa"/>
            <w:vAlign w:val="center"/>
          </w:tcPr>
          <w:p w14:paraId="1FA78C74">
            <w:pPr>
              <w:pStyle w:val="12"/>
            </w:pPr>
          </w:p>
        </w:tc>
        <w:tc>
          <w:tcPr>
            <w:tcW w:w="1474" w:type="dxa"/>
            <w:vAlign w:val="center"/>
          </w:tcPr>
          <w:p w14:paraId="2664DA67">
            <w:pPr>
              <w:pStyle w:val="11"/>
            </w:pPr>
          </w:p>
        </w:tc>
        <w:tc>
          <w:tcPr>
            <w:tcW w:w="3402" w:type="dxa"/>
            <w:vAlign w:val="center"/>
          </w:tcPr>
          <w:p w14:paraId="6E0F751B">
            <w:pPr>
              <w:pStyle w:val="12"/>
            </w:pPr>
            <w:r>
              <w:t>四、公共安全支出</w:t>
            </w:r>
          </w:p>
        </w:tc>
        <w:tc>
          <w:tcPr>
            <w:tcW w:w="1474" w:type="dxa"/>
            <w:vAlign w:val="center"/>
          </w:tcPr>
          <w:p w14:paraId="33C4F454">
            <w:pPr>
              <w:pStyle w:val="11"/>
            </w:pPr>
          </w:p>
        </w:tc>
        <w:tc>
          <w:tcPr>
            <w:tcW w:w="1474" w:type="dxa"/>
            <w:vAlign w:val="center"/>
          </w:tcPr>
          <w:p w14:paraId="24F6ED86">
            <w:pPr>
              <w:pStyle w:val="11"/>
            </w:pPr>
          </w:p>
        </w:tc>
        <w:tc>
          <w:tcPr>
            <w:tcW w:w="1474" w:type="dxa"/>
            <w:vAlign w:val="center"/>
          </w:tcPr>
          <w:p w14:paraId="55B9C377">
            <w:pPr>
              <w:pStyle w:val="11"/>
            </w:pPr>
          </w:p>
        </w:tc>
        <w:tc>
          <w:tcPr>
            <w:tcW w:w="1474" w:type="dxa"/>
            <w:vAlign w:val="center"/>
          </w:tcPr>
          <w:p w14:paraId="42D6C0D1">
            <w:pPr>
              <w:pStyle w:val="11"/>
            </w:pPr>
          </w:p>
        </w:tc>
      </w:tr>
      <w:tr w14:paraId="1653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A42D">
            <w:pPr>
              <w:pStyle w:val="13"/>
            </w:pPr>
            <w:r>
              <w:t>5</w:t>
            </w:r>
          </w:p>
        </w:tc>
        <w:tc>
          <w:tcPr>
            <w:tcW w:w="3402" w:type="dxa"/>
            <w:vAlign w:val="center"/>
          </w:tcPr>
          <w:p w14:paraId="04656F3F">
            <w:pPr>
              <w:pStyle w:val="12"/>
            </w:pPr>
          </w:p>
        </w:tc>
        <w:tc>
          <w:tcPr>
            <w:tcW w:w="1474" w:type="dxa"/>
            <w:vAlign w:val="center"/>
          </w:tcPr>
          <w:p w14:paraId="299DAB99">
            <w:pPr>
              <w:pStyle w:val="11"/>
            </w:pPr>
          </w:p>
        </w:tc>
        <w:tc>
          <w:tcPr>
            <w:tcW w:w="3402" w:type="dxa"/>
            <w:vAlign w:val="center"/>
          </w:tcPr>
          <w:p w14:paraId="3FEE1D0C">
            <w:pPr>
              <w:pStyle w:val="12"/>
            </w:pPr>
            <w:r>
              <w:t>五、教育支出</w:t>
            </w:r>
          </w:p>
        </w:tc>
        <w:tc>
          <w:tcPr>
            <w:tcW w:w="1474" w:type="dxa"/>
            <w:vAlign w:val="center"/>
          </w:tcPr>
          <w:p w14:paraId="145BBE4B">
            <w:pPr>
              <w:pStyle w:val="11"/>
            </w:pPr>
            <w:r>
              <w:t>1036.94</w:t>
            </w:r>
          </w:p>
        </w:tc>
        <w:tc>
          <w:tcPr>
            <w:tcW w:w="1474" w:type="dxa"/>
            <w:vAlign w:val="center"/>
          </w:tcPr>
          <w:p w14:paraId="79887F00">
            <w:pPr>
              <w:pStyle w:val="11"/>
            </w:pPr>
            <w:r>
              <w:t>1036.94</w:t>
            </w:r>
          </w:p>
        </w:tc>
        <w:tc>
          <w:tcPr>
            <w:tcW w:w="1474" w:type="dxa"/>
            <w:vAlign w:val="center"/>
          </w:tcPr>
          <w:p w14:paraId="385D6023">
            <w:pPr>
              <w:pStyle w:val="11"/>
            </w:pPr>
          </w:p>
        </w:tc>
        <w:tc>
          <w:tcPr>
            <w:tcW w:w="1474" w:type="dxa"/>
            <w:vAlign w:val="center"/>
          </w:tcPr>
          <w:p w14:paraId="4DBF307C">
            <w:pPr>
              <w:pStyle w:val="11"/>
            </w:pPr>
          </w:p>
        </w:tc>
      </w:tr>
      <w:tr w14:paraId="16FA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9D24">
            <w:pPr>
              <w:pStyle w:val="13"/>
            </w:pPr>
            <w:r>
              <w:t>6</w:t>
            </w:r>
          </w:p>
        </w:tc>
        <w:tc>
          <w:tcPr>
            <w:tcW w:w="3402" w:type="dxa"/>
            <w:vAlign w:val="center"/>
          </w:tcPr>
          <w:p w14:paraId="01FB101E">
            <w:pPr>
              <w:pStyle w:val="12"/>
            </w:pPr>
          </w:p>
        </w:tc>
        <w:tc>
          <w:tcPr>
            <w:tcW w:w="1474" w:type="dxa"/>
            <w:vAlign w:val="center"/>
          </w:tcPr>
          <w:p w14:paraId="392ADD72">
            <w:pPr>
              <w:pStyle w:val="11"/>
            </w:pPr>
          </w:p>
        </w:tc>
        <w:tc>
          <w:tcPr>
            <w:tcW w:w="3402" w:type="dxa"/>
            <w:vAlign w:val="center"/>
          </w:tcPr>
          <w:p w14:paraId="5BA2ADB6">
            <w:pPr>
              <w:pStyle w:val="12"/>
            </w:pPr>
            <w:r>
              <w:t>六、科学技术支出</w:t>
            </w:r>
          </w:p>
        </w:tc>
        <w:tc>
          <w:tcPr>
            <w:tcW w:w="1474" w:type="dxa"/>
            <w:vAlign w:val="center"/>
          </w:tcPr>
          <w:p w14:paraId="3DBECC51">
            <w:pPr>
              <w:pStyle w:val="11"/>
            </w:pPr>
          </w:p>
        </w:tc>
        <w:tc>
          <w:tcPr>
            <w:tcW w:w="1474" w:type="dxa"/>
            <w:vAlign w:val="center"/>
          </w:tcPr>
          <w:p w14:paraId="0F54AE69">
            <w:pPr>
              <w:pStyle w:val="11"/>
            </w:pPr>
          </w:p>
        </w:tc>
        <w:tc>
          <w:tcPr>
            <w:tcW w:w="1474" w:type="dxa"/>
            <w:vAlign w:val="center"/>
          </w:tcPr>
          <w:p w14:paraId="73C20B09">
            <w:pPr>
              <w:pStyle w:val="11"/>
            </w:pPr>
          </w:p>
        </w:tc>
        <w:tc>
          <w:tcPr>
            <w:tcW w:w="1474" w:type="dxa"/>
            <w:vAlign w:val="center"/>
          </w:tcPr>
          <w:p w14:paraId="18838FE6">
            <w:pPr>
              <w:pStyle w:val="11"/>
            </w:pPr>
          </w:p>
        </w:tc>
      </w:tr>
      <w:tr w14:paraId="1094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B745C">
            <w:pPr>
              <w:pStyle w:val="13"/>
            </w:pPr>
            <w:r>
              <w:t>7</w:t>
            </w:r>
          </w:p>
        </w:tc>
        <w:tc>
          <w:tcPr>
            <w:tcW w:w="3402" w:type="dxa"/>
            <w:vAlign w:val="center"/>
          </w:tcPr>
          <w:p w14:paraId="4AACC421">
            <w:pPr>
              <w:pStyle w:val="12"/>
            </w:pPr>
          </w:p>
        </w:tc>
        <w:tc>
          <w:tcPr>
            <w:tcW w:w="1474" w:type="dxa"/>
            <w:vAlign w:val="center"/>
          </w:tcPr>
          <w:p w14:paraId="1C615116">
            <w:pPr>
              <w:pStyle w:val="11"/>
            </w:pPr>
          </w:p>
        </w:tc>
        <w:tc>
          <w:tcPr>
            <w:tcW w:w="3402" w:type="dxa"/>
            <w:vAlign w:val="center"/>
          </w:tcPr>
          <w:p w14:paraId="345126EF">
            <w:pPr>
              <w:pStyle w:val="12"/>
            </w:pPr>
            <w:r>
              <w:t>七、文化旅游体育与传媒支出</w:t>
            </w:r>
          </w:p>
        </w:tc>
        <w:tc>
          <w:tcPr>
            <w:tcW w:w="1474" w:type="dxa"/>
            <w:vAlign w:val="center"/>
          </w:tcPr>
          <w:p w14:paraId="03BADE67">
            <w:pPr>
              <w:pStyle w:val="11"/>
            </w:pPr>
          </w:p>
        </w:tc>
        <w:tc>
          <w:tcPr>
            <w:tcW w:w="1474" w:type="dxa"/>
            <w:vAlign w:val="center"/>
          </w:tcPr>
          <w:p w14:paraId="7B7E3010">
            <w:pPr>
              <w:pStyle w:val="11"/>
            </w:pPr>
          </w:p>
        </w:tc>
        <w:tc>
          <w:tcPr>
            <w:tcW w:w="1474" w:type="dxa"/>
            <w:vAlign w:val="center"/>
          </w:tcPr>
          <w:p w14:paraId="5F1C02C1">
            <w:pPr>
              <w:pStyle w:val="11"/>
            </w:pPr>
          </w:p>
        </w:tc>
        <w:tc>
          <w:tcPr>
            <w:tcW w:w="1474" w:type="dxa"/>
            <w:vAlign w:val="center"/>
          </w:tcPr>
          <w:p w14:paraId="1639391C">
            <w:pPr>
              <w:pStyle w:val="11"/>
            </w:pPr>
          </w:p>
        </w:tc>
      </w:tr>
      <w:tr w14:paraId="49A3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144B">
            <w:pPr>
              <w:pStyle w:val="13"/>
            </w:pPr>
            <w:r>
              <w:t>8</w:t>
            </w:r>
          </w:p>
        </w:tc>
        <w:tc>
          <w:tcPr>
            <w:tcW w:w="3402" w:type="dxa"/>
            <w:vAlign w:val="center"/>
          </w:tcPr>
          <w:p w14:paraId="17980935">
            <w:pPr>
              <w:pStyle w:val="12"/>
            </w:pPr>
          </w:p>
        </w:tc>
        <w:tc>
          <w:tcPr>
            <w:tcW w:w="1474" w:type="dxa"/>
            <w:vAlign w:val="center"/>
          </w:tcPr>
          <w:p w14:paraId="17D3EF3B">
            <w:pPr>
              <w:pStyle w:val="11"/>
            </w:pPr>
          </w:p>
        </w:tc>
        <w:tc>
          <w:tcPr>
            <w:tcW w:w="3402" w:type="dxa"/>
            <w:vAlign w:val="center"/>
          </w:tcPr>
          <w:p w14:paraId="3EFC4EBD">
            <w:pPr>
              <w:pStyle w:val="12"/>
            </w:pPr>
            <w:r>
              <w:t>八、社会保障和就业支出</w:t>
            </w:r>
          </w:p>
        </w:tc>
        <w:tc>
          <w:tcPr>
            <w:tcW w:w="1474" w:type="dxa"/>
            <w:vAlign w:val="center"/>
          </w:tcPr>
          <w:p w14:paraId="62A4DDCD">
            <w:pPr>
              <w:pStyle w:val="11"/>
            </w:pPr>
          </w:p>
        </w:tc>
        <w:tc>
          <w:tcPr>
            <w:tcW w:w="1474" w:type="dxa"/>
            <w:vAlign w:val="center"/>
          </w:tcPr>
          <w:p w14:paraId="41082E60">
            <w:pPr>
              <w:pStyle w:val="11"/>
            </w:pPr>
          </w:p>
        </w:tc>
        <w:tc>
          <w:tcPr>
            <w:tcW w:w="1474" w:type="dxa"/>
            <w:vAlign w:val="center"/>
          </w:tcPr>
          <w:p w14:paraId="2BE6D3EA">
            <w:pPr>
              <w:pStyle w:val="11"/>
            </w:pPr>
          </w:p>
        </w:tc>
        <w:tc>
          <w:tcPr>
            <w:tcW w:w="1474" w:type="dxa"/>
            <w:vAlign w:val="center"/>
          </w:tcPr>
          <w:p w14:paraId="6E16C474">
            <w:pPr>
              <w:pStyle w:val="11"/>
            </w:pPr>
          </w:p>
        </w:tc>
      </w:tr>
      <w:tr w14:paraId="108D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EE61">
            <w:pPr>
              <w:pStyle w:val="13"/>
            </w:pPr>
            <w:r>
              <w:t>9</w:t>
            </w:r>
          </w:p>
        </w:tc>
        <w:tc>
          <w:tcPr>
            <w:tcW w:w="3402" w:type="dxa"/>
            <w:vAlign w:val="center"/>
          </w:tcPr>
          <w:p w14:paraId="478AFC10">
            <w:pPr>
              <w:pStyle w:val="12"/>
            </w:pPr>
          </w:p>
        </w:tc>
        <w:tc>
          <w:tcPr>
            <w:tcW w:w="1474" w:type="dxa"/>
            <w:vAlign w:val="center"/>
          </w:tcPr>
          <w:p w14:paraId="569D61FB">
            <w:pPr>
              <w:pStyle w:val="11"/>
            </w:pPr>
          </w:p>
        </w:tc>
        <w:tc>
          <w:tcPr>
            <w:tcW w:w="3402" w:type="dxa"/>
            <w:vAlign w:val="center"/>
          </w:tcPr>
          <w:p w14:paraId="34DD9953">
            <w:pPr>
              <w:pStyle w:val="12"/>
            </w:pPr>
            <w:r>
              <w:t>九、社会保险基金支出</w:t>
            </w:r>
          </w:p>
        </w:tc>
        <w:tc>
          <w:tcPr>
            <w:tcW w:w="1474" w:type="dxa"/>
            <w:vAlign w:val="center"/>
          </w:tcPr>
          <w:p w14:paraId="1003A9E5">
            <w:pPr>
              <w:pStyle w:val="11"/>
            </w:pPr>
          </w:p>
        </w:tc>
        <w:tc>
          <w:tcPr>
            <w:tcW w:w="1474" w:type="dxa"/>
            <w:vAlign w:val="center"/>
          </w:tcPr>
          <w:p w14:paraId="3062138A">
            <w:pPr>
              <w:pStyle w:val="11"/>
            </w:pPr>
          </w:p>
        </w:tc>
        <w:tc>
          <w:tcPr>
            <w:tcW w:w="1474" w:type="dxa"/>
            <w:vAlign w:val="center"/>
          </w:tcPr>
          <w:p w14:paraId="7875C51B">
            <w:pPr>
              <w:pStyle w:val="11"/>
            </w:pPr>
          </w:p>
        </w:tc>
        <w:tc>
          <w:tcPr>
            <w:tcW w:w="1474" w:type="dxa"/>
            <w:vAlign w:val="center"/>
          </w:tcPr>
          <w:p w14:paraId="7E9E5254">
            <w:pPr>
              <w:pStyle w:val="11"/>
            </w:pPr>
          </w:p>
        </w:tc>
      </w:tr>
      <w:tr w14:paraId="4B64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85266">
            <w:pPr>
              <w:pStyle w:val="13"/>
            </w:pPr>
            <w:r>
              <w:t>10</w:t>
            </w:r>
          </w:p>
        </w:tc>
        <w:tc>
          <w:tcPr>
            <w:tcW w:w="3402" w:type="dxa"/>
            <w:vAlign w:val="center"/>
          </w:tcPr>
          <w:p w14:paraId="1775B948">
            <w:pPr>
              <w:pStyle w:val="12"/>
            </w:pPr>
          </w:p>
        </w:tc>
        <w:tc>
          <w:tcPr>
            <w:tcW w:w="1474" w:type="dxa"/>
            <w:vAlign w:val="center"/>
          </w:tcPr>
          <w:p w14:paraId="4FE5B40C">
            <w:pPr>
              <w:pStyle w:val="11"/>
            </w:pPr>
          </w:p>
        </w:tc>
        <w:tc>
          <w:tcPr>
            <w:tcW w:w="3402" w:type="dxa"/>
            <w:vAlign w:val="center"/>
          </w:tcPr>
          <w:p w14:paraId="3D469ED8">
            <w:pPr>
              <w:pStyle w:val="12"/>
            </w:pPr>
            <w:r>
              <w:t>十、卫生健康支出</w:t>
            </w:r>
          </w:p>
        </w:tc>
        <w:tc>
          <w:tcPr>
            <w:tcW w:w="1474" w:type="dxa"/>
            <w:vAlign w:val="center"/>
          </w:tcPr>
          <w:p w14:paraId="37FEC48E">
            <w:pPr>
              <w:pStyle w:val="11"/>
            </w:pPr>
          </w:p>
        </w:tc>
        <w:tc>
          <w:tcPr>
            <w:tcW w:w="1474" w:type="dxa"/>
            <w:vAlign w:val="center"/>
          </w:tcPr>
          <w:p w14:paraId="270D6C00">
            <w:pPr>
              <w:pStyle w:val="11"/>
            </w:pPr>
          </w:p>
        </w:tc>
        <w:tc>
          <w:tcPr>
            <w:tcW w:w="1474" w:type="dxa"/>
            <w:vAlign w:val="center"/>
          </w:tcPr>
          <w:p w14:paraId="4A29C2CD">
            <w:pPr>
              <w:pStyle w:val="11"/>
            </w:pPr>
          </w:p>
        </w:tc>
        <w:tc>
          <w:tcPr>
            <w:tcW w:w="1474" w:type="dxa"/>
            <w:vAlign w:val="center"/>
          </w:tcPr>
          <w:p w14:paraId="305D6CEC">
            <w:pPr>
              <w:pStyle w:val="11"/>
            </w:pPr>
          </w:p>
        </w:tc>
      </w:tr>
      <w:tr w14:paraId="14F5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9AE7">
            <w:pPr>
              <w:pStyle w:val="13"/>
            </w:pPr>
            <w:r>
              <w:t>11</w:t>
            </w:r>
          </w:p>
        </w:tc>
        <w:tc>
          <w:tcPr>
            <w:tcW w:w="3402" w:type="dxa"/>
            <w:vAlign w:val="center"/>
          </w:tcPr>
          <w:p w14:paraId="504B3EC7">
            <w:pPr>
              <w:pStyle w:val="12"/>
            </w:pPr>
          </w:p>
        </w:tc>
        <w:tc>
          <w:tcPr>
            <w:tcW w:w="1474" w:type="dxa"/>
            <w:vAlign w:val="center"/>
          </w:tcPr>
          <w:p w14:paraId="08E5DA4D">
            <w:pPr>
              <w:pStyle w:val="11"/>
            </w:pPr>
          </w:p>
        </w:tc>
        <w:tc>
          <w:tcPr>
            <w:tcW w:w="3402" w:type="dxa"/>
            <w:vAlign w:val="center"/>
          </w:tcPr>
          <w:p w14:paraId="122FED34">
            <w:pPr>
              <w:pStyle w:val="12"/>
            </w:pPr>
            <w:r>
              <w:t>十一、节能环保支出</w:t>
            </w:r>
          </w:p>
        </w:tc>
        <w:tc>
          <w:tcPr>
            <w:tcW w:w="1474" w:type="dxa"/>
            <w:vAlign w:val="center"/>
          </w:tcPr>
          <w:p w14:paraId="70AC77F2">
            <w:pPr>
              <w:pStyle w:val="11"/>
            </w:pPr>
          </w:p>
        </w:tc>
        <w:tc>
          <w:tcPr>
            <w:tcW w:w="1474" w:type="dxa"/>
            <w:vAlign w:val="center"/>
          </w:tcPr>
          <w:p w14:paraId="6211E44F">
            <w:pPr>
              <w:pStyle w:val="11"/>
            </w:pPr>
          </w:p>
        </w:tc>
        <w:tc>
          <w:tcPr>
            <w:tcW w:w="1474" w:type="dxa"/>
            <w:vAlign w:val="center"/>
          </w:tcPr>
          <w:p w14:paraId="73D7647F">
            <w:pPr>
              <w:pStyle w:val="11"/>
            </w:pPr>
          </w:p>
        </w:tc>
        <w:tc>
          <w:tcPr>
            <w:tcW w:w="1474" w:type="dxa"/>
            <w:vAlign w:val="center"/>
          </w:tcPr>
          <w:p w14:paraId="5BF38471">
            <w:pPr>
              <w:pStyle w:val="11"/>
            </w:pPr>
          </w:p>
        </w:tc>
      </w:tr>
      <w:tr w14:paraId="14E5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E4FD">
            <w:pPr>
              <w:pStyle w:val="13"/>
            </w:pPr>
            <w:r>
              <w:t>12</w:t>
            </w:r>
          </w:p>
        </w:tc>
        <w:tc>
          <w:tcPr>
            <w:tcW w:w="3402" w:type="dxa"/>
            <w:vAlign w:val="center"/>
          </w:tcPr>
          <w:p w14:paraId="09D3A399">
            <w:pPr>
              <w:pStyle w:val="12"/>
            </w:pPr>
          </w:p>
        </w:tc>
        <w:tc>
          <w:tcPr>
            <w:tcW w:w="1474" w:type="dxa"/>
            <w:vAlign w:val="center"/>
          </w:tcPr>
          <w:p w14:paraId="06D2B160">
            <w:pPr>
              <w:pStyle w:val="11"/>
            </w:pPr>
          </w:p>
        </w:tc>
        <w:tc>
          <w:tcPr>
            <w:tcW w:w="3402" w:type="dxa"/>
            <w:vAlign w:val="center"/>
          </w:tcPr>
          <w:p w14:paraId="102A6EBA">
            <w:pPr>
              <w:pStyle w:val="12"/>
            </w:pPr>
            <w:r>
              <w:t>十二、城乡社区支出</w:t>
            </w:r>
          </w:p>
        </w:tc>
        <w:tc>
          <w:tcPr>
            <w:tcW w:w="1474" w:type="dxa"/>
            <w:vAlign w:val="center"/>
          </w:tcPr>
          <w:p w14:paraId="0B6ACA56">
            <w:pPr>
              <w:pStyle w:val="11"/>
            </w:pPr>
          </w:p>
        </w:tc>
        <w:tc>
          <w:tcPr>
            <w:tcW w:w="1474" w:type="dxa"/>
            <w:vAlign w:val="center"/>
          </w:tcPr>
          <w:p w14:paraId="31473446">
            <w:pPr>
              <w:pStyle w:val="11"/>
            </w:pPr>
          </w:p>
        </w:tc>
        <w:tc>
          <w:tcPr>
            <w:tcW w:w="1474" w:type="dxa"/>
            <w:vAlign w:val="center"/>
          </w:tcPr>
          <w:p w14:paraId="7A07DD0F">
            <w:pPr>
              <w:pStyle w:val="11"/>
            </w:pPr>
          </w:p>
        </w:tc>
        <w:tc>
          <w:tcPr>
            <w:tcW w:w="1474" w:type="dxa"/>
            <w:vAlign w:val="center"/>
          </w:tcPr>
          <w:p w14:paraId="469EC849">
            <w:pPr>
              <w:pStyle w:val="11"/>
            </w:pPr>
          </w:p>
        </w:tc>
      </w:tr>
      <w:tr w14:paraId="6379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021D6">
            <w:pPr>
              <w:pStyle w:val="13"/>
            </w:pPr>
            <w:r>
              <w:t>13</w:t>
            </w:r>
          </w:p>
        </w:tc>
        <w:tc>
          <w:tcPr>
            <w:tcW w:w="3402" w:type="dxa"/>
            <w:vAlign w:val="center"/>
          </w:tcPr>
          <w:p w14:paraId="6B2E2548">
            <w:pPr>
              <w:pStyle w:val="12"/>
            </w:pPr>
          </w:p>
        </w:tc>
        <w:tc>
          <w:tcPr>
            <w:tcW w:w="1474" w:type="dxa"/>
            <w:vAlign w:val="center"/>
          </w:tcPr>
          <w:p w14:paraId="4ED3FC64">
            <w:pPr>
              <w:pStyle w:val="11"/>
            </w:pPr>
          </w:p>
        </w:tc>
        <w:tc>
          <w:tcPr>
            <w:tcW w:w="3402" w:type="dxa"/>
            <w:vAlign w:val="center"/>
          </w:tcPr>
          <w:p w14:paraId="1393A09C">
            <w:pPr>
              <w:pStyle w:val="12"/>
            </w:pPr>
            <w:r>
              <w:t>十三、农林水支出</w:t>
            </w:r>
          </w:p>
        </w:tc>
        <w:tc>
          <w:tcPr>
            <w:tcW w:w="1474" w:type="dxa"/>
            <w:vAlign w:val="center"/>
          </w:tcPr>
          <w:p w14:paraId="784DAA01">
            <w:pPr>
              <w:pStyle w:val="11"/>
            </w:pPr>
          </w:p>
        </w:tc>
        <w:tc>
          <w:tcPr>
            <w:tcW w:w="1474" w:type="dxa"/>
            <w:vAlign w:val="center"/>
          </w:tcPr>
          <w:p w14:paraId="3F157A44">
            <w:pPr>
              <w:pStyle w:val="11"/>
            </w:pPr>
          </w:p>
        </w:tc>
        <w:tc>
          <w:tcPr>
            <w:tcW w:w="1474" w:type="dxa"/>
            <w:vAlign w:val="center"/>
          </w:tcPr>
          <w:p w14:paraId="2532B6BB">
            <w:pPr>
              <w:pStyle w:val="11"/>
            </w:pPr>
          </w:p>
        </w:tc>
        <w:tc>
          <w:tcPr>
            <w:tcW w:w="1474" w:type="dxa"/>
            <w:vAlign w:val="center"/>
          </w:tcPr>
          <w:p w14:paraId="5C25C5C5">
            <w:pPr>
              <w:pStyle w:val="11"/>
            </w:pPr>
          </w:p>
        </w:tc>
      </w:tr>
      <w:tr w14:paraId="12CC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329F">
            <w:pPr>
              <w:pStyle w:val="13"/>
            </w:pPr>
            <w:r>
              <w:t>14</w:t>
            </w:r>
          </w:p>
        </w:tc>
        <w:tc>
          <w:tcPr>
            <w:tcW w:w="3402" w:type="dxa"/>
            <w:vAlign w:val="center"/>
          </w:tcPr>
          <w:p w14:paraId="2AFA8B10">
            <w:pPr>
              <w:pStyle w:val="12"/>
            </w:pPr>
          </w:p>
        </w:tc>
        <w:tc>
          <w:tcPr>
            <w:tcW w:w="1474" w:type="dxa"/>
            <w:vAlign w:val="center"/>
          </w:tcPr>
          <w:p w14:paraId="5C58B993">
            <w:pPr>
              <w:pStyle w:val="11"/>
            </w:pPr>
          </w:p>
        </w:tc>
        <w:tc>
          <w:tcPr>
            <w:tcW w:w="3402" w:type="dxa"/>
            <w:vAlign w:val="center"/>
          </w:tcPr>
          <w:p w14:paraId="1A9F650C">
            <w:pPr>
              <w:pStyle w:val="12"/>
            </w:pPr>
            <w:r>
              <w:t>十四、交通运输支出</w:t>
            </w:r>
          </w:p>
        </w:tc>
        <w:tc>
          <w:tcPr>
            <w:tcW w:w="1474" w:type="dxa"/>
            <w:vAlign w:val="center"/>
          </w:tcPr>
          <w:p w14:paraId="3309F6BE">
            <w:pPr>
              <w:pStyle w:val="11"/>
            </w:pPr>
          </w:p>
        </w:tc>
        <w:tc>
          <w:tcPr>
            <w:tcW w:w="1474" w:type="dxa"/>
            <w:vAlign w:val="center"/>
          </w:tcPr>
          <w:p w14:paraId="0EF7450A">
            <w:pPr>
              <w:pStyle w:val="11"/>
            </w:pPr>
          </w:p>
        </w:tc>
        <w:tc>
          <w:tcPr>
            <w:tcW w:w="1474" w:type="dxa"/>
            <w:vAlign w:val="center"/>
          </w:tcPr>
          <w:p w14:paraId="7532A32A">
            <w:pPr>
              <w:pStyle w:val="11"/>
            </w:pPr>
          </w:p>
        </w:tc>
        <w:tc>
          <w:tcPr>
            <w:tcW w:w="1474" w:type="dxa"/>
            <w:vAlign w:val="center"/>
          </w:tcPr>
          <w:p w14:paraId="0149F636">
            <w:pPr>
              <w:pStyle w:val="11"/>
            </w:pPr>
          </w:p>
        </w:tc>
      </w:tr>
      <w:tr w14:paraId="7C41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1277">
            <w:pPr>
              <w:pStyle w:val="13"/>
            </w:pPr>
            <w:r>
              <w:t>15</w:t>
            </w:r>
          </w:p>
        </w:tc>
        <w:tc>
          <w:tcPr>
            <w:tcW w:w="3402" w:type="dxa"/>
            <w:vAlign w:val="center"/>
          </w:tcPr>
          <w:p w14:paraId="3715B35A">
            <w:pPr>
              <w:pStyle w:val="12"/>
            </w:pPr>
          </w:p>
        </w:tc>
        <w:tc>
          <w:tcPr>
            <w:tcW w:w="1474" w:type="dxa"/>
            <w:vAlign w:val="center"/>
          </w:tcPr>
          <w:p w14:paraId="044F90F4">
            <w:pPr>
              <w:pStyle w:val="11"/>
            </w:pPr>
          </w:p>
        </w:tc>
        <w:tc>
          <w:tcPr>
            <w:tcW w:w="3402" w:type="dxa"/>
            <w:vAlign w:val="center"/>
          </w:tcPr>
          <w:p w14:paraId="44076F01">
            <w:pPr>
              <w:pStyle w:val="12"/>
            </w:pPr>
            <w:r>
              <w:t>十五、资源勘探工业信息等支出</w:t>
            </w:r>
          </w:p>
        </w:tc>
        <w:tc>
          <w:tcPr>
            <w:tcW w:w="1474" w:type="dxa"/>
            <w:vAlign w:val="center"/>
          </w:tcPr>
          <w:p w14:paraId="49BE9527">
            <w:pPr>
              <w:pStyle w:val="11"/>
            </w:pPr>
          </w:p>
        </w:tc>
        <w:tc>
          <w:tcPr>
            <w:tcW w:w="1474" w:type="dxa"/>
            <w:vAlign w:val="center"/>
          </w:tcPr>
          <w:p w14:paraId="1AAE47F4">
            <w:pPr>
              <w:pStyle w:val="11"/>
            </w:pPr>
          </w:p>
        </w:tc>
        <w:tc>
          <w:tcPr>
            <w:tcW w:w="1474" w:type="dxa"/>
            <w:vAlign w:val="center"/>
          </w:tcPr>
          <w:p w14:paraId="7CE7B5B2">
            <w:pPr>
              <w:pStyle w:val="11"/>
            </w:pPr>
          </w:p>
        </w:tc>
        <w:tc>
          <w:tcPr>
            <w:tcW w:w="1474" w:type="dxa"/>
            <w:vAlign w:val="center"/>
          </w:tcPr>
          <w:p w14:paraId="63949FD4">
            <w:pPr>
              <w:pStyle w:val="11"/>
            </w:pPr>
          </w:p>
        </w:tc>
      </w:tr>
      <w:tr w14:paraId="376A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70A0">
            <w:pPr>
              <w:pStyle w:val="13"/>
            </w:pPr>
            <w:r>
              <w:t>16</w:t>
            </w:r>
          </w:p>
        </w:tc>
        <w:tc>
          <w:tcPr>
            <w:tcW w:w="3402" w:type="dxa"/>
            <w:vAlign w:val="center"/>
          </w:tcPr>
          <w:p w14:paraId="28CB1D11">
            <w:pPr>
              <w:pStyle w:val="12"/>
            </w:pPr>
          </w:p>
        </w:tc>
        <w:tc>
          <w:tcPr>
            <w:tcW w:w="1474" w:type="dxa"/>
            <w:vAlign w:val="center"/>
          </w:tcPr>
          <w:p w14:paraId="25FC0B2E">
            <w:pPr>
              <w:pStyle w:val="11"/>
            </w:pPr>
          </w:p>
        </w:tc>
        <w:tc>
          <w:tcPr>
            <w:tcW w:w="3402" w:type="dxa"/>
            <w:vAlign w:val="center"/>
          </w:tcPr>
          <w:p w14:paraId="1E7A9B4A">
            <w:pPr>
              <w:pStyle w:val="12"/>
            </w:pPr>
            <w:r>
              <w:t>十六、商业服务业等支出</w:t>
            </w:r>
          </w:p>
        </w:tc>
        <w:tc>
          <w:tcPr>
            <w:tcW w:w="1474" w:type="dxa"/>
            <w:vAlign w:val="center"/>
          </w:tcPr>
          <w:p w14:paraId="4C8E7484">
            <w:pPr>
              <w:pStyle w:val="11"/>
            </w:pPr>
          </w:p>
        </w:tc>
        <w:tc>
          <w:tcPr>
            <w:tcW w:w="1474" w:type="dxa"/>
            <w:vAlign w:val="center"/>
          </w:tcPr>
          <w:p w14:paraId="581EB3D5">
            <w:pPr>
              <w:pStyle w:val="11"/>
            </w:pPr>
          </w:p>
        </w:tc>
        <w:tc>
          <w:tcPr>
            <w:tcW w:w="1474" w:type="dxa"/>
            <w:vAlign w:val="center"/>
          </w:tcPr>
          <w:p w14:paraId="5A62CA65">
            <w:pPr>
              <w:pStyle w:val="11"/>
            </w:pPr>
          </w:p>
        </w:tc>
        <w:tc>
          <w:tcPr>
            <w:tcW w:w="1474" w:type="dxa"/>
            <w:vAlign w:val="center"/>
          </w:tcPr>
          <w:p w14:paraId="351C215E">
            <w:pPr>
              <w:pStyle w:val="11"/>
            </w:pPr>
          </w:p>
        </w:tc>
      </w:tr>
      <w:tr w14:paraId="2747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D0432">
            <w:pPr>
              <w:pStyle w:val="13"/>
            </w:pPr>
            <w:r>
              <w:t>17</w:t>
            </w:r>
          </w:p>
        </w:tc>
        <w:tc>
          <w:tcPr>
            <w:tcW w:w="3402" w:type="dxa"/>
            <w:vAlign w:val="center"/>
          </w:tcPr>
          <w:p w14:paraId="13B0ACDF">
            <w:pPr>
              <w:pStyle w:val="12"/>
            </w:pPr>
          </w:p>
        </w:tc>
        <w:tc>
          <w:tcPr>
            <w:tcW w:w="1474" w:type="dxa"/>
            <w:vAlign w:val="center"/>
          </w:tcPr>
          <w:p w14:paraId="5AB41715">
            <w:pPr>
              <w:pStyle w:val="11"/>
            </w:pPr>
          </w:p>
        </w:tc>
        <w:tc>
          <w:tcPr>
            <w:tcW w:w="3402" w:type="dxa"/>
            <w:vAlign w:val="center"/>
          </w:tcPr>
          <w:p w14:paraId="586017C0">
            <w:pPr>
              <w:pStyle w:val="12"/>
            </w:pPr>
            <w:r>
              <w:t>十七、金融支出</w:t>
            </w:r>
          </w:p>
        </w:tc>
        <w:tc>
          <w:tcPr>
            <w:tcW w:w="1474" w:type="dxa"/>
            <w:vAlign w:val="center"/>
          </w:tcPr>
          <w:p w14:paraId="63EA84F3">
            <w:pPr>
              <w:pStyle w:val="11"/>
            </w:pPr>
          </w:p>
        </w:tc>
        <w:tc>
          <w:tcPr>
            <w:tcW w:w="1474" w:type="dxa"/>
            <w:vAlign w:val="center"/>
          </w:tcPr>
          <w:p w14:paraId="08E9CFE4">
            <w:pPr>
              <w:pStyle w:val="11"/>
            </w:pPr>
          </w:p>
        </w:tc>
        <w:tc>
          <w:tcPr>
            <w:tcW w:w="1474" w:type="dxa"/>
            <w:vAlign w:val="center"/>
          </w:tcPr>
          <w:p w14:paraId="22058320">
            <w:pPr>
              <w:pStyle w:val="11"/>
            </w:pPr>
          </w:p>
        </w:tc>
        <w:tc>
          <w:tcPr>
            <w:tcW w:w="1474" w:type="dxa"/>
            <w:vAlign w:val="center"/>
          </w:tcPr>
          <w:p w14:paraId="5AA86737">
            <w:pPr>
              <w:pStyle w:val="11"/>
            </w:pPr>
          </w:p>
        </w:tc>
      </w:tr>
      <w:tr w14:paraId="2348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AEA0">
            <w:pPr>
              <w:pStyle w:val="13"/>
            </w:pPr>
            <w:r>
              <w:t>18</w:t>
            </w:r>
          </w:p>
        </w:tc>
        <w:tc>
          <w:tcPr>
            <w:tcW w:w="3402" w:type="dxa"/>
            <w:vAlign w:val="center"/>
          </w:tcPr>
          <w:p w14:paraId="2839C14D">
            <w:pPr>
              <w:pStyle w:val="12"/>
            </w:pPr>
          </w:p>
        </w:tc>
        <w:tc>
          <w:tcPr>
            <w:tcW w:w="1474" w:type="dxa"/>
            <w:vAlign w:val="center"/>
          </w:tcPr>
          <w:p w14:paraId="690674C7">
            <w:pPr>
              <w:pStyle w:val="11"/>
            </w:pPr>
          </w:p>
        </w:tc>
        <w:tc>
          <w:tcPr>
            <w:tcW w:w="3402" w:type="dxa"/>
            <w:vAlign w:val="center"/>
          </w:tcPr>
          <w:p w14:paraId="3C509F33">
            <w:pPr>
              <w:pStyle w:val="12"/>
            </w:pPr>
            <w:r>
              <w:t>十八、援助其他地区支出</w:t>
            </w:r>
          </w:p>
        </w:tc>
        <w:tc>
          <w:tcPr>
            <w:tcW w:w="1474" w:type="dxa"/>
            <w:vAlign w:val="center"/>
          </w:tcPr>
          <w:p w14:paraId="3DF6025E">
            <w:pPr>
              <w:pStyle w:val="11"/>
            </w:pPr>
          </w:p>
        </w:tc>
        <w:tc>
          <w:tcPr>
            <w:tcW w:w="1474" w:type="dxa"/>
            <w:vAlign w:val="center"/>
          </w:tcPr>
          <w:p w14:paraId="7E78DE8E">
            <w:pPr>
              <w:pStyle w:val="11"/>
            </w:pPr>
          </w:p>
        </w:tc>
        <w:tc>
          <w:tcPr>
            <w:tcW w:w="1474" w:type="dxa"/>
            <w:vAlign w:val="center"/>
          </w:tcPr>
          <w:p w14:paraId="52C2B40C">
            <w:pPr>
              <w:pStyle w:val="11"/>
            </w:pPr>
          </w:p>
        </w:tc>
        <w:tc>
          <w:tcPr>
            <w:tcW w:w="1474" w:type="dxa"/>
            <w:vAlign w:val="center"/>
          </w:tcPr>
          <w:p w14:paraId="4F0CF67A">
            <w:pPr>
              <w:pStyle w:val="11"/>
            </w:pPr>
          </w:p>
        </w:tc>
      </w:tr>
      <w:tr w14:paraId="559C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395E9">
            <w:pPr>
              <w:pStyle w:val="13"/>
            </w:pPr>
            <w:r>
              <w:t>19</w:t>
            </w:r>
          </w:p>
        </w:tc>
        <w:tc>
          <w:tcPr>
            <w:tcW w:w="3402" w:type="dxa"/>
            <w:vAlign w:val="center"/>
          </w:tcPr>
          <w:p w14:paraId="63D9FA4A">
            <w:pPr>
              <w:pStyle w:val="12"/>
            </w:pPr>
          </w:p>
        </w:tc>
        <w:tc>
          <w:tcPr>
            <w:tcW w:w="1474" w:type="dxa"/>
            <w:vAlign w:val="center"/>
          </w:tcPr>
          <w:p w14:paraId="1DD1FA0E">
            <w:pPr>
              <w:pStyle w:val="11"/>
            </w:pPr>
          </w:p>
        </w:tc>
        <w:tc>
          <w:tcPr>
            <w:tcW w:w="3402" w:type="dxa"/>
            <w:vAlign w:val="center"/>
          </w:tcPr>
          <w:p w14:paraId="74878189">
            <w:pPr>
              <w:pStyle w:val="12"/>
            </w:pPr>
            <w:r>
              <w:t>十九、自然资源海洋气象等支出</w:t>
            </w:r>
          </w:p>
        </w:tc>
        <w:tc>
          <w:tcPr>
            <w:tcW w:w="1474" w:type="dxa"/>
            <w:vAlign w:val="center"/>
          </w:tcPr>
          <w:p w14:paraId="6624D971">
            <w:pPr>
              <w:pStyle w:val="11"/>
            </w:pPr>
          </w:p>
        </w:tc>
        <w:tc>
          <w:tcPr>
            <w:tcW w:w="1474" w:type="dxa"/>
            <w:vAlign w:val="center"/>
          </w:tcPr>
          <w:p w14:paraId="6339063B">
            <w:pPr>
              <w:pStyle w:val="11"/>
            </w:pPr>
          </w:p>
        </w:tc>
        <w:tc>
          <w:tcPr>
            <w:tcW w:w="1474" w:type="dxa"/>
            <w:vAlign w:val="center"/>
          </w:tcPr>
          <w:p w14:paraId="4EF2EFCB">
            <w:pPr>
              <w:pStyle w:val="11"/>
            </w:pPr>
          </w:p>
        </w:tc>
        <w:tc>
          <w:tcPr>
            <w:tcW w:w="1474" w:type="dxa"/>
            <w:vAlign w:val="center"/>
          </w:tcPr>
          <w:p w14:paraId="65DA00E3">
            <w:pPr>
              <w:pStyle w:val="11"/>
            </w:pPr>
          </w:p>
        </w:tc>
      </w:tr>
      <w:tr w14:paraId="238A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21842">
            <w:pPr>
              <w:pStyle w:val="13"/>
            </w:pPr>
            <w:r>
              <w:t>20</w:t>
            </w:r>
          </w:p>
        </w:tc>
        <w:tc>
          <w:tcPr>
            <w:tcW w:w="3402" w:type="dxa"/>
            <w:vAlign w:val="center"/>
          </w:tcPr>
          <w:p w14:paraId="4E01CC56">
            <w:pPr>
              <w:pStyle w:val="12"/>
            </w:pPr>
          </w:p>
        </w:tc>
        <w:tc>
          <w:tcPr>
            <w:tcW w:w="1474" w:type="dxa"/>
            <w:vAlign w:val="center"/>
          </w:tcPr>
          <w:p w14:paraId="5A3B98D5">
            <w:pPr>
              <w:pStyle w:val="11"/>
            </w:pPr>
          </w:p>
        </w:tc>
        <w:tc>
          <w:tcPr>
            <w:tcW w:w="3402" w:type="dxa"/>
            <w:vAlign w:val="center"/>
          </w:tcPr>
          <w:p w14:paraId="6D2FC1D3">
            <w:pPr>
              <w:pStyle w:val="12"/>
            </w:pPr>
            <w:r>
              <w:t>二十、住房保障支出</w:t>
            </w:r>
          </w:p>
        </w:tc>
        <w:tc>
          <w:tcPr>
            <w:tcW w:w="1474" w:type="dxa"/>
            <w:vAlign w:val="center"/>
          </w:tcPr>
          <w:p w14:paraId="122804F3">
            <w:pPr>
              <w:pStyle w:val="11"/>
            </w:pPr>
          </w:p>
        </w:tc>
        <w:tc>
          <w:tcPr>
            <w:tcW w:w="1474" w:type="dxa"/>
            <w:vAlign w:val="center"/>
          </w:tcPr>
          <w:p w14:paraId="264FFB4A">
            <w:pPr>
              <w:pStyle w:val="11"/>
            </w:pPr>
          </w:p>
        </w:tc>
        <w:tc>
          <w:tcPr>
            <w:tcW w:w="1474" w:type="dxa"/>
            <w:vAlign w:val="center"/>
          </w:tcPr>
          <w:p w14:paraId="02F90554">
            <w:pPr>
              <w:pStyle w:val="11"/>
            </w:pPr>
          </w:p>
        </w:tc>
        <w:tc>
          <w:tcPr>
            <w:tcW w:w="1474" w:type="dxa"/>
            <w:vAlign w:val="center"/>
          </w:tcPr>
          <w:p w14:paraId="77E28E61">
            <w:pPr>
              <w:pStyle w:val="11"/>
            </w:pPr>
          </w:p>
        </w:tc>
      </w:tr>
      <w:tr w14:paraId="4C89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ECDCA">
            <w:pPr>
              <w:pStyle w:val="13"/>
            </w:pPr>
            <w:r>
              <w:t>21</w:t>
            </w:r>
          </w:p>
        </w:tc>
        <w:tc>
          <w:tcPr>
            <w:tcW w:w="3402" w:type="dxa"/>
            <w:vAlign w:val="center"/>
          </w:tcPr>
          <w:p w14:paraId="3D617E66">
            <w:pPr>
              <w:pStyle w:val="12"/>
            </w:pPr>
          </w:p>
        </w:tc>
        <w:tc>
          <w:tcPr>
            <w:tcW w:w="1474" w:type="dxa"/>
            <w:vAlign w:val="center"/>
          </w:tcPr>
          <w:p w14:paraId="4CE6BB4F">
            <w:pPr>
              <w:pStyle w:val="11"/>
            </w:pPr>
          </w:p>
        </w:tc>
        <w:tc>
          <w:tcPr>
            <w:tcW w:w="3402" w:type="dxa"/>
            <w:vAlign w:val="center"/>
          </w:tcPr>
          <w:p w14:paraId="3A2DC21D">
            <w:pPr>
              <w:pStyle w:val="12"/>
            </w:pPr>
            <w:r>
              <w:t>二十一、粮油物资储备支出</w:t>
            </w:r>
          </w:p>
        </w:tc>
        <w:tc>
          <w:tcPr>
            <w:tcW w:w="1474" w:type="dxa"/>
            <w:vAlign w:val="center"/>
          </w:tcPr>
          <w:p w14:paraId="10FB6A17">
            <w:pPr>
              <w:pStyle w:val="11"/>
            </w:pPr>
          </w:p>
        </w:tc>
        <w:tc>
          <w:tcPr>
            <w:tcW w:w="1474" w:type="dxa"/>
            <w:vAlign w:val="center"/>
          </w:tcPr>
          <w:p w14:paraId="0EF9183E">
            <w:pPr>
              <w:pStyle w:val="11"/>
            </w:pPr>
          </w:p>
        </w:tc>
        <w:tc>
          <w:tcPr>
            <w:tcW w:w="1474" w:type="dxa"/>
            <w:vAlign w:val="center"/>
          </w:tcPr>
          <w:p w14:paraId="143C0CA2">
            <w:pPr>
              <w:pStyle w:val="11"/>
            </w:pPr>
          </w:p>
        </w:tc>
        <w:tc>
          <w:tcPr>
            <w:tcW w:w="1474" w:type="dxa"/>
            <w:vAlign w:val="center"/>
          </w:tcPr>
          <w:p w14:paraId="725607F7">
            <w:pPr>
              <w:pStyle w:val="11"/>
            </w:pPr>
          </w:p>
        </w:tc>
      </w:tr>
      <w:tr w14:paraId="25E8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4F297">
            <w:pPr>
              <w:pStyle w:val="13"/>
            </w:pPr>
            <w:r>
              <w:t>22</w:t>
            </w:r>
          </w:p>
        </w:tc>
        <w:tc>
          <w:tcPr>
            <w:tcW w:w="3402" w:type="dxa"/>
            <w:vAlign w:val="center"/>
          </w:tcPr>
          <w:p w14:paraId="67732CB5">
            <w:pPr>
              <w:pStyle w:val="12"/>
            </w:pPr>
          </w:p>
        </w:tc>
        <w:tc>
          <w:tcPr>
            <w:tcW w:w="1474" w:type="dxa"/>
            <w:vAlign w:val="center"/>
          </w:tcPr>
          <w:p w14:paraId="06DA8667">
            <w:pPr>
              <w:pStyle w:val="11"/>
            </w:pPr>
          </w:p>
        </w:tc>
        <w:tc>
          <w:tcPr>
            <w:tcW w:w="3402" w:type="dxa"/>
            <w:vAlign w:val="center"/>
          </w:tcPr>
          <w:p w14:paraId="71D8FEF8">
            <w:pPr>
              <w:pStyle w:val="12"/>
            </w:pPr>
            <w:r>
              <w:t>二十二、国有资本经营预算支出</w:t>
            </w:r>
          </w:p>
        </w:tc>
        <w:tc>
          <w:tcPr>
            <w:tcW w:w="1474" w:type="dxa"/>
            <w:vAlign w:val="center"/>
          </w:tcPr>
          <w:p w14:paraId="10605BA5">
            <w:pPr>
              <w:pStyle w:val="11"/>
            </w:pPr>
          </w:p>
        </w:tc>
        <w:tc>
          <w:tcPr>
            <w:tcW w:w="1474" w:type="dxa"/>
            <w:vAlign w:val="center"/>
          </w:tcPr>
          <w:p w14:paraId="42BF890E">
            <w:pPr>
              <w:pStyle w:val="11"/>
            </w:pPr>
          </w:p>
        </w:tc>
        <w:tc>
          <w:tcPr>
            <w:tcW w:w="1474" w:type="dxa"/>
            <w:vAlign w:val="center"/>
          </w:tcPr>
          <w:p w14:paraId="4301A822">
            <w:pPr>
              <w:pStyle w:val="11"/>
            </w:pPr>
          </w:p>
        </w:tc>
        <w:tc>
          <w:tcPr>
            <w:tcW w:w="1474" w:type="dxa"/>
            <w:vAlign w:val="center"/>
          </w:tcPr>
          <w:p w14:paraId="11D15219">
            <w:pPr>
              <w:pStyle w:val="11"/>
            </w:pPr>
          </w:p>
        </w:tc>
      </w:tr>
      <w:tr w14:paraId="443D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4F811">
            <w:pPr>
              <w:pStyle w:val="13"/>
            </w:pPr>
            <w:r>
              <w:t>23</w:t>
            </w:r>
          </w:p>
        </w:tc>
        <w:tc>
          <w:tcPr>
            <w:tcW w:w="3402" w:type="dxa"/>
            <w:vAlign w:val="center"/>
          </w:tcPr>
          <w:p w14:paraId="4EF66E14">
            <w:pPr>
              <w:pStyle w:val="12"/>
            </w:pPr>
          </w:p>
        </w:tc>
        <w:tc>
          <w:tcPr>
            <w:tcW w:w="1474" w:type="dxa"/>
            <w:vAlign w:val="center"/>
          </w:tcPr>
          <w:p w14:paraId="24D3B805">
            <w:pPr>
              <w:pStyle w:val="11"/>
            </w:pPr>
          </w:p>
        </w:tc>
        <w:tc>
          <w:tcPr>
            <w:tcW w:w="3402" w:type="dxa"/>
            <w:vAlign w:val="center"/>
          </w:tcPr>
          <w:p w14:paraId="0739E7AF">
            <w:pPr>
              <w:pStyle w:val="12"/>
            </w:pPr>
            <w:r>
              <w:t>二十三、灾害防治及应急管理支出</w:t>
            </w:r>
          </w:p>
        </w:tc>
        <w:tc>
          <w:tcPr>
            <w:tcW w:w="1474" w:type="dxa"/>
            <w:vAlign w:val="center"/>
          </w:tcPr>
          <w:p w14:paraId="37E9F793">
            <w:pPr>
              <w:pStyle w:val="11"/>
            </w:pPr>
          </w:p>
        </w:tc>
        <w:tc>
          <w:tcPr>
            <w:tcW w:w="1474" w:type="dxa"/>
            <w:vAlign w:val="center"/>
          </w:tcPr>
          <w:p w14:paraId="6926C207">
            <w:pPr>
              <w:pStyle w:val="11"/>
            </w:pPr>
          </w:p>
        </w:tc>
        <w:tc>
          <w:tcPr>
            <w:tcW w:w="1474" w:type="dxa"/>
            <w:vAlign w:val="center"/>
          </w:tcPr>
          <w:p w14:paraId="4866001F">
            <w:pPr>
              <w:pStyle w:val="11"/>
            </w:pPr>
          </w:p>
        </w:tc>
        <w:tc>
          <w:tcPr>
            <w:tcW w:w="1474" w:type="dxa"/>
            <w:vAlign w:val="center"/>
          </w:tcPr>
          <w:p w14:paraId="7805DE58">
            <w:pPr>
              <w:pStyle w:val="11"/>
            </w:pPr>
          </w:p>
        </w:tc>
      </w:tr>
      <w:tr w14:paraId="19BD5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454C">
            <w:pPr>
              <w:pStyle w:val="13"/>
            </w:pPr>
            <w:r>
              <w:t>24</w:t>
            </w:r>
          </w:p>
        </w:tc>
        <w:tc>
          <w:tcPr>
            <w:tcW w:w="3402" w:type="dxa"/>
            <w:vAlign w:val="center"/>
          </w:tcPr>
          <w:p w14:paraId="40B2E25F">
            <w:pPr>
              <w:pStyle w:val="12"/>
            </w:pPr>
          </w:p>
        </w:tc>
        <w:tc>
          <w:tcPr>
            <w:tcW w:w="1474" w:type="dxa"/>
            <w:vAlign w:val="center"/>
          </w:tcPr>
          <w:p w14:paraId="0C8AA53A">
            <w:pPr>
              <w:pStyle w:val="11"/>
            </w:pPr>
          </w:p>
        </w:tc>
        <w:tc>
          <w:tcPr>
            <w:tcW w:w="3402" w:type="dxa"/>
            <w:vAlign w:val="center"/>
          </w:tcPr>
          <w:p w14:paraId="32999BA1">
            <w:pPr>
              <w:pStyle w:val="12"/>
            </w:pPr>
            <w:r>
              <w:t>二十四、预备费</w:t>
            </w:r>
          </w:p>
        </w:tc>
        <w:tc>
          <w:tcPr>
            <w:tcW w:w="1474" w:type="dxa"/>
            <w:vAlign w:val="center"/>
          </w:tcPr>
          <w:p w14:paraId="78790666">
            <w:pPr>
              <w:pStyle w:val="11"/>
            </w:pPr>
          </w:p>
        </w:tc>
        <w:tc>
          <w:tcPr>
            <w:tcW w:w="1474" w:type="dxa"/>
            <w:vAlign w:val="center"/>
          </w:tcPr>
          <w:p w14:paraId="08846686">
            <w:pPr>
              <w:pStyle w:val="11"/>
            </w:pPr>
          </w:p>
        </w:tc>
        <w:tc>
          <w:tcPr>
            <w:tcW w:w="1474" w:type="dxa"/>
            <w:vAlign w:val="center"/>
          </w:tcPr>
          <w:p w14:paraId="16BD2590">
            <w:pPr>
              <w:pStyle w:val="11"/>
            </w:pPr>
          </w:p>
        </w:tc>
        <w:tc>
          <w:tcPr>
            <w:tcW w:w="1474" w:type="dxa"/>
            <w:vAlign w:val="center"/>
          </w:tcPr>
          <w:p w14:paraId="246DE8F6">
            <w:pPr>
              <w:pStyle w:val="11"/>
            </w:pPr>
          </w:p>
        </w:tc>
      </w:tr>
      <w:tr w14:paraId="692A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8EE03">
            <w:pPr>
              <w:pStyle w:val="13"/>
            </w:pPr>
            <w:r>
              <w:t>25</w:t>
            </w:r>
          </w:p>
        </w:tc>
        <w:tc>
          <w:tcPr>
            <w:tcW w:w="3402" w:type="dxa"/>
            <w:vAlign w:val="center"/>
          </w:tcPr>
          <w:p w14:paraId="6B265412">
            <w:pPr>
              <w:pStyle w:val="12"/>
            </w:pPr>
          </w:p>
        </w:tc>
        <w:tc>
          <w:tcPr>
            <w:tcW w:w="1474" w:type="dxa"/>
            <w:vAlign w:val="center"/>
          </w:tcPr>
          <w:p w14:paraId="6942A24A">
            <w:pPr>
              <w:pStyle w:val="11"/>
            </w:pPr>
          </w:p>
        </w:tc>
        <w:tc>
          <w:tcPr>
            <w:tcW w:w="3402" w:type="dxa"/>
            <w:vAlign w:val="center"/>
          </w:tcPr>
          <w:p w14:paraId="47312F61">
            <w:pPr>
              <w:pStyle w:val="12"/>
            </w:pPr>
            <w:r>
              <w:t>二十五、其他支出</w:t>
            </w:r>
          </w:p>
        </w:tc>
        <w:tc>
          <w:tcPr>
            <w:tcW w:w="1474" w:type="dxa"/>
            <w:vAlign w:val="center"/>
          </w:tcPr>
          <w:p w14:paraId="356E1B24">
            <w:pPr>
              <w:pStyle w:val="11"/>
            </w:pPr>
          </w:p>
        </w:tc>
        <w:tc>
          <w:tcPr>
            <w:tcW w:w="1474" w:type="dxa"/>
            <w:vAlign w:val="center"/>
          </w:tcPr>
          <w:p w14:paraId="3DDE39E0">
            <w:pPr>
              <w:pStyle w:val="11"/>
            </w:pPr>
          </w:p>
        </w:tc>
        <w:tc>
          <w:tcPr>
            <w:tcW w:w="1474" w:type="dxa"/>
            <w:vAlign w:val="center"/>
          </w:tcPr>
          <w:p w14:paraId="43C59A68">
            <w:pPr>
              <w:pStyle w:val="11"/>
            </w:pPr>
          </w:p>
        </w:tc>
        <w:tc>
          <w:tcPr>
            <w:tcW w:w="1474" w:type="dxa"/>
            <w:vAlign w:val="center"/>
          </w:tcPr>
          <w:p w14:paraId="5963CC33">
            <w:pPr>
              <w:pStyle w:val="11"/>
            </w:pPr>
          </w:p>
        </w:tc>
      </w:tr>
      <w:tr w14:paraId="2684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436E8">
            <w:pPr>
              <w:pStyle w:val="13"/>
            </w:pPr>
            <w:r>
              <w:t>26</w:t>
            </w:r>
          </w:p>
        </w:tc>
        <w:tc>
          <w:tcPr>
            <w:tcW w:w="3402" w:type="dxa"/>
            <w:vAlign w:val="center"/>
          </w:tcPr>
          <w:p w14:paraId="213FFC7C">
            <w:pPr>
              <w:pStyle w:val="12"/>
            </w:pPr>
          </w:p>
        </w:tc>
        <w:tc>
          <w:tcPr>
            <w:tcW w:w="1474" w:type="dxa"/>
            <w:vAlign w:val="center"/>
          </w:tcPr>
          <w:p w14:paraId="23AAF391">
            <w:pPr>
              <w:pStyle w:val="11"/>
            </w:pPr>
          </w:p>
        </w:tc>
        <w:tc>
          <w:tcPr>
            <w:tcW w:w="3402" w:type="dxa"/>
            <w:vAlign w:val="center"/>
          </w:tcPr>
          <w:p w14:paraId="56142216">
            <w:pPr>
              <w:pStyle w:val="12"/>
            </w:pPr>
            <w:r>
              <w:t>二十六、转移性支出</w:t>
            </w:r>
          </w:p>
        </w:tc>
        <w:tc>
          <w:tcPr>
            <w:tcW w:w="1474" w:type="dxa"/>
            <w:vAlign w:val="center"/>
          </w:tcPr>
          <w:p w14:paraId="064BE1CE">
            <w:pPr>
              <w:pStyle w:val="11"/>
            </w:pPr>
          </w:p>
        </w:tc>
        <w:tc>
          <w:tcPr>
            <w:tcW w:w="1474" w:type="dxa"/>
            <w:vAlign w:val="center"/>
          </w:tcPr>
          <w:p w14:paraId="10DC9BAC">
            <w:pPr>
              <w:pStyle w:val="11"/>
            </w:pPr>
          </w:p>
        </w:tc>
        <w:tc>
          <w:tcPr>
            <w:tcW w:w="1474" w:type="dxa"/>
            <w:vAlign w:val="center"/>
          </w:tcPr>
          <w:p w14:paraId="1ECF2C51">
            <w:pPr>
              <w:pStyle w:val="11"/>
            </w:pPr>
          </w:p>
        </w:tc>
        <w:tc>
          <w:tcPr>
            <w:tcW w:w="1474" w:type="dxa"/>
            <w:vAlign w:val="center"/>
          </w:tcPr>
          <w:p w14:paraId="5083B69A">
            <w:pPr>
              <w:pStyle w:val="11"/>
            </w:pPr>
          </w:p>
        </w:tc>
      </w:tr>
      <w:tr w14:paraId="4D58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DE1F">
            <w:pPr>
              <w:pStyle w:val="13"/>
            </w:pPr>
            <w:r>
              <w:t>27</w:t>
            </w:r>
          </w:p>
        </w:tc>
        <w:tc>
          <w:tcPr>
            <w:tcW w:w="3402" w:type="dxa"/>
            <w:vAlign w:val="center"/>
          </w:tcPr>
          <w:p w14:paraId="475CD110">
            <w:pPr>
              <w:pStyle w:val="12"/>
            </w:pPr>
          </w:p>
        </w:tc>
        <w:tc>
          <w:tcPr>
            <w:tcW w:w="1474" w:type="dxa"/>
            <w:vAlign w:val="center"/>
          </w:tcPr>
          <w:p w14:paraId="0641DACF">
            <w:pPr>
              <w:pStyle w:val="11"/>
            </w:pPr>
          </w:p>
        </w:tc>
        <w:tc>
          <w:tcPr>
            <w:tcW w:w="3402" w:type="dxa"/>
            <w:vAlign w:val="center"/>
          </w:tcPr>
          <w:p w14:paraId="2C0734DB">
            <w:pPr>
              <w:pStyle w:val="12"/>
            </w:pPr>
            <w:r>
              <w:t>二十七、债务还本支出</w:t>
            </w:r>
          </w:p>
        </w:tc>
        <w:tc>
          <w:tcPr>
            <w:tcW w:w="1474" w:type="dxa"/>
            <w:vAlign w:val="center"/>
          </w:tcPr>
          <w:p w14:paraId="1D9BF889">
            <w:pPr>
              <w:pStyle w:val="11"/>
            </w:pPr>
          </w:p>
        </w:tc>
        <w:tc>
          <w:tcPr>
            <w:tcW w:w="1474" w:type="dxa"/>
            <w:vAlign w:val="center"/>
          </w:tcPr>
          <w:p w14:paraId="4666CC3E">
            <w:pPr>
              <w:pStyle w:val="11"/>
            </w:pPr>
          </w:p>
        </w:tc>
        <w:tc>
          <w:tcPr>
            <w:tcW w:w="1474" w:type="dxa"/>
            <w:vAlign w:val="center"/>
          </w:tcPr>
          <w:p w14:paraId="52BD7635">
            <w:pPr>
              <w:pStyle w:val="11"/>
            </w:pPr>
          </w:p>
        </w:tc>
        <w:tc>
          <w:tcPr>
            <w:tcW w:w="1474" w:type="dxa"/>
            <w:vAlign w:val="center"/>
          </w:tcPr>
          <w:p w14:paraId="51FE64A4">
            <w:pPr>
              <w:pStyle w:val="11"/>
            </w:pPr>
          </w:p>
        </w:tc>
      </w:tr>
      <w:tr w14:paraId="2FC7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597FD">
            <w:pPr>
              <w:pStyle w:val="13"/>
            </w:pPr>
            <w:r>
              <w:t>28</w:t>
            </w:r>
          </w:p>
        </w:tc>
        <w:tc>
          <w:tcPr>
            <w:tcW w:w="3402" w:type="dxa"/>
            <w:vAlign w:val="center"/>
          </w:tcPr>
          <w:p w14:paraId="27321318">
            <w:pPr>
              <w:pStyle w:val="12"/>
            </w:pPr>
          </w:p>
        </w:tc>
        <w:tc>
          <w:tcPr>
            <w:tcW w:w="1474" w:type="dxa"/>
            <w:vAlign w:val="center"/>
          </w:tcPr>
          <w:p w14:paraId="6B0BC3C2">
            <w:pPr>
              <w:pStyle w:val="11"/>
            </w:pPr>
          </w:p>
        </w:tc>
        <w:tc>
          <w:tcPr>
            <w:tcW w:w="3402" w:type="dxa"/>
            <w:vAlign w:val="center"/>
          </w:tcPr>
          <w:p w14:paraId="41C3E923">
            <w:pPr>
              <w:pStyle w:val="12"/>
            </w:pPr>
            <w:r>
              <w:t>二十八、债务付息支出</w:t>
            </w:r>
          </w:p>
        </w:tc>
        <w:tc>
          <w:tcPr>
            <w:tcW w:w="1474" w:type="dxa"/>
            <w:vAlign w:val="center"/>
          </w:tcPr>
          <w:p w14:paraId="16BC915A">
            <w:pPr>
              <w:pStyle w:val="11"/>
            </w:pPr>
          </w:p>
        </w:tc>
        <w:tc>
          <w:tcPr>
            <w:tcW w:w="1474" w:type="dxa"/>
            <w:vAlign w:val="center"/>
          </w:tcPr>
          <w:p w14:paraId="49A2D377">
            <w:pPr>
              <w:pStyle w:val="11"/>
            </w:pPr>
          </w:p>
        </w:tc>
        <w:tc>
          <w:tcPr>
            <w:tcW w:w="1474" w:type="dxa"/>
            <w:vAlign w:val="center"/>
          </w:tcPr>
          <w:p w14:paraId="73052955">
            <w:pPr>
              <w:pStyle w:val="11"/>
            </w:pPr>
          </w:p>
        </w:tc>
        <w:tc>
          <w:tcPr>
            <w:tcW w:w="1474" w:type="dxa"/>
            <w:vAlign w:val="center"/>
          </w:tcPr>
          <w:p w14:paraId="4951E133">
            <w:pPr>
              <w:pStyle w:val="11"/>
            </w:pPr>
          </w:p>
        </w:tc>
      </w:tr>
      <w:tr w14:paraId="34C22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44DE">
            <w:pPr>
              <w:pStyle w:val="13"/>
            </w:pPr>
            <w:r>
              <w:t>29</w:t>
            </w:r>
          </w:p>
        </w:tc>
        <w:tc>
          <w:tcPr>
            <w:tcW w:w="3402" w:type="dxa"/>
            <w:vAlign w:val="center"/>
          </w:tcPr>
          <w:p w14:paraId="07BB4AEE">
            <w:pPr>
              <w:pStyle w:val="12"/>
            </w:pPr>
          </w:p>
        </w:tc>
        <w:tc>
          <w:tcPr>
            <w:tcW w:w="1474" w:type="dxa"/>
            <w:vAlign w:val="center"/>
          </w:tcPr>
          <w:p w14:paraId="1C8C02D2">
            <w:pPr>
              <w:pStyle w:val="11"/>
            </w:pPr>
          </w:p>
        </w:tc>
        <w:tc>
          <w:tcPr>
            <w:tcW w:w="3402" w:type="dxa"/>
            <w:vAlign w:val="center"/>
          </w:tcPr>
          <w:p w14:paraId="7FF4888F">
            <w:pPr>
              <w:pStyle w:val="12"/>
            </w:pPr>
            <w:r>
              <w:t>二十九、债务发行费用支出</w:t>
            </w:r>
          </w:p>
        </w:tc>
        <w:tc>
          <w:tcPr>
            <w:tcW w:w="1474" w:type="dxa"/>
            <w:vAlign w:val="center"/>
          </w:tcPr>
          <w:p w14:paraId="7451F9B8">
            <w:pPr>
              <w:pStyle w:val="11"/>
            </w:pPr>
          </w:p>
        </w:tc>
        <w:tc>
          <w:tcPr>
            <w:tcW w:w="1474" w:type="dxa"/>
            <w:vAlign w:val="center"/>
          </w:tcPr>
          <w:p w14:paraId="362A6A3B">
            <w:pPr>
              <w:pStyle w:val="11"/>
            </w:pPr>
          </w:p>
        </w:tc>
        <w:tc>
          <w:tcPr>
            <w:tcW w:w="1474" w:type="dxa"/>
            <w:vAlign w:val="center"/>
          </w:tcPr>
          <w:p w14:paraId="427E413B">
            <w:pPr>
              <w:pStyle w:val="11"/>
            </w:pPr>
          </w:p>
        </w:tc>
        <w:tc>
          <w:tcPr>
            <w:tcW w:w="1474" w:type="dxa"/>
            <w:vAlign w:val="center"/>
          </w:tcPr>
          <w:p w14:paraId="4DFEB6F5">
            <w:pPr>
              <w:pStyle w:val="11"/>
            </w:pPr>
          </w:p>
        </w:tc>
      </w:tr>
      <w:tr w14:paraId="3072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C768">
            <w:pPr>
              <w:pStyle w:val="13"/>
            </w:pPr>
            <w:r>
              <w:t>30</w:t>
            </w:r>
          </w:p>
        </w:tc>
        <w:tc>
          <w:tcPr>
            <w:tcW w:w="3402" w:type="dxa"/>
            <w:vAlign w:val="center"/>
          </w:tcPr>
          <w:p w14:paraId="2128081F">
            <w:pPr>
              <w:pStyle w:val="12"/>
            </w:pPr>
          </w:p>
        </w:tc>
        <w:tc>
          <w:tcPr>
            <w:tcW w:w="1474" w:type="dxa"/>
            <w:vAlign w:val="center"/>
          </w:tcPr>
          <w:p w14:paraId="3304ED28">
            <w:pPr>
              <w:pStyle w:val="11"/>
            </w:pPr>
          </w:p>
        </w:tc>
        <w:tc>
          <w:tcPr>
            <w:tcW w:w="3402" w:type="dxa"/>
            <w:vAlign w:val="center"/>
          </w:tcPr>
          <w:p w14:paraId="67F55984">
            <w:pPr>
              <w:pStyle w:val="12"/>
            </w:pPr>
            <w:r>
              <w:t>三十、抗疫特别国债安排的支出</w:t>
            </w:r>
          </w:p>
        </w:tc>
        <w:tc>
          <w:tcPr>
            <w:tcW w:w="1474" w:type="dxa"/>
            <w:vAlign w:val="center"/>
          </w:tcPr>
          <w:p w14:paraId="2D7E4C17">
            <w:pPr>
              <w:pStyle w:val="11"/>
            </w:pPr>
          </w:p>
        </w:tc>
        <w:tc>
          <w:tcPr>
            <w:tcW w:w="1474" w:type="dxa"/>
            <w:vAlign w:val="center"/>
          </w:tcPr>
          <w:p w14:paraId="162E6689">
            <w:pPr>
              <w:pStyle w:val="11"/>
            </w:pPr>
          </w:p>
        </w:tc>
        <w:tc>
          <w:tcPr>
            <w:tcW w:w="1474" w:type="dxa"/>
            <w:vAlign w:val="center"/>
          </w:tcPr>
          <w:p w14:paraId="5DEF254D">
            <w:pPr>
              <w:pStyle w:val="11"/>
            </w:pPr>
          </w:p>
        </w:tc>
        <w:tc>
          <w:tcPr>
            <w:tcW w:w="1474" w:type="dxa"/>
            <w:vAlign w:val="center"/>
          </w:tcPr>
          <w:p w14:paraId="555264E8">
            <w:pPr>
              <w:pStyle w:val="11"/>
            </w:pPr>
          </w:p>
        </w:tc>
      </w:tr>
      <w:tr w14:paraId="2913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316A">
            <w:pPr>
              <w:pStyle w:val="13"/>
            </w:pPr>
            <w:r>
              <w:t>31</w:t>
            </w:r>
          </w:p>
        </w:tc>
        <w:tc>
          <w:tcPr>
            <w:tcW w:w="3402" w:type="dxa"/>
            <w:vAlign w:val="center"/>
          </w:tcPr>
          <w:p w14:paraId="6D86B734">
            <w:pPr>
              <w:pStyle w:val="12"/>
            </w:pPr>
          </w:p>
        </w:tc>
        <w:tc>
          <w:tcPr>
            <w:tcW w:w="1474" w:type="dxa"/>
            <w:vAlign w:val="center"/>
          </w:tcPr>
          <w:p w14:paraId="5145D7E8">
            <w:pPr>
              <w:pStyle w:val="11"/>
            </w:pPr>
          </w:p>
        </w:tc>
        <w:tc>
          <w:tcPr>
            <w:tcW w:w="3402" w:type="dxa"/>
            <w:vAlign w:val="center"/>
          </w:tcPr>
          <w:p w14:paraId="7F024A8D">
            <w:pPr>
              <w:pStyle w:val="12"/>
            </w:pPr>
            <w:r>
              <w:t>三十一、人行科目</w:t>
            </w:r>
          </w:p>
        </w:tc>
        <w:tc>
          <w:tcPr>
            <w:tcW w:w="1474" w:type="dxa"/>
            <w:vAlign w:val="center"/>
          </w:tcPr>
          <w:p w14:paraId="2C38BE60">
            <w:pPr>
              <w:pStyle w:val="11"/>
            </w:pPr>
          </w:p>
        </w:tc>
        <w:tc>
          <w:tcPr>
            <w:tcW w:w="1474" w:type="dxa"/>
            <w:vAlign w:val="center"/>
          </w:tcPr>
          <w:p w14:paraId="708632D7">
            <w:pPr>
              <w:pStyle w:val="11"/>
            </w:pPr>
          </w:p>
        </w:tc>
        <w:tc>
          <w:tcPr>
            <w:tcW w:w="1474" w:type="dxa"/>
            <w:vAlign w:val="center"/>
          </w:tcPr>
          <w:p w14:paraId="29FB4EC6">
            <w:pPr>
              <w:pStyle w:val="11"/>
            </w:pPr>
          </w:p>
        </w:tc>
        <w:tc>
          <w:tcPr>
            <w:tcW w:w="1474" w:type="dxa"/>
            <w:vAlign w:val="center"/>
          </w:tcPr>
          <w:p w14:paraId="249FB295">
            <w:pPr>
              <w:pStyle w:val="11"/>
            </w:pPr>
          </w:p>
        </w:tc>
      </w:tr>
      <w:tr w14:paraId="6A04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BF183">
            <w:pPr>
              <w:pStyle w:val="13"/>
            </w:pPr>
            <w:r>
              <w:t>32</w:t>
            </w:r>
          </w:p>
        </w:tc>
        <w:tc>
          <w:tcPr>
            <w:tcW w:w="3402" w:type="dxa"/>
            <w:vAlign w:val="center"/>
          </w:tcPr>
          <w:p w14:paraId="10EB80EC">
            <w:pPr>
              <w:pStyle w:val="14"/>
            </w:pPr>
            <w:r>
              <w:t>本年收入合计</w:t>
            </w:r>
          </w:p>
        </w:tc>
        <w:tc>
          <w:tcPr>
            <w:tcW w:w="1474" w:type="dxa"/>
            <w:vAlign w:val="center"/>
          </w:tcPr>
          <w:p w14:paraId="380CF26E">
            <w:pPr>
              <w:pStyle w:val="15"/>
            </w:pPr>
            <w:r>
              <w:t>1036.94</w:t>
            </w:r>
          </w:p>
        </w:tc>
        <w:tc>
          <w:tcPr>
            <w:tcW w:w="3402" w:type="dxa"/>
            <w:vAlign w:val="center"/>
          </w:tcPr>
          <w:p w14:paraId="7FCBF5BE">
            <w:pPr>
              <w:pStyle w:val="14"/>
            </w:pPr>
            <w:r>
              <w:t>本年支出合计</w:t>
            </w:r>
          </w:p>
        </w:tc>
        <w:tc>
          <w:tcPr>
            <w:tcW w:w="1474" w:type="dxa"/>
            <w:vAlign w:val="center"/>
          </w:tcPr>
          <w:p w14:paraId="40F2D873">
            <w:pPr>
              <w:pStyle w:val="15"/>
            </w:pPr>
            <w:r>
              <w:t>1036.94</w:t>
            </w:r>
          </w:p>
        </w:tc>
        <w:tc>
          <w:tcPr>
            <w:tcW w:w="1474" w:type="dxa"/>
            <w:vAlign w:val="center"/>
          </w:tcPr>
          <w:p w14:paraId="39FCB78B">
            <w:pPr>
              <w:pStyle w:val="15"/>
            </w:pPr>
            <w:r>
              <w:t>1036.94</w:t>
            </w:r>
          </w:p>
        </w:tc>
        <w:tc>
          <w:tcPr>
            <w:tcW w:w="1474" w:type="dxa"/>
            <w:vAlign w:val="center"/>
          </w:tcPr>
          <w:p w14:paraId="1BDD71BA">
            <w:pPr>
              <w:pStyle w:val="15"/>
            </w:pPr>
          </w:p>
        </w:tc>
        <w:tc>
          <w:tcPr>
            <w:tcW w:w="1474" w:type="dxa"/>
            <w:vAlign w:val="center"/>
          </w:tcPr>
          <w:p w14:paraId="7024F2AC">
            <w:pPr>
              <w:pStyle w:val="15"/>
            </w:pPr>
          </w:p>
        </w:tc>
      </w:tr>
      <w:tr w14:paraId="03855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6BCA4">
            <w:pPr>
              <w:pStyle w:val="13"/>
            </w:pPr>
            <w:r>
              <w:t>33</w:t>
            </w:r>
          </w:p>
        </w:tc>
        <w:tc>
          <w:tcPr>
            <w:tcW w:w="3402" w:type="dxa"/>
            <w:vAlign w:val="center"/>
          </w:tcPr>
          <w:p w14:paraId="2E4F28E3">
            <w:pPr>
              <w:pStyle w:val="12"/>
            </w:pPr>
            <w:r>
              <w:t>年初财政拨款结转和结余</w:t>
            </w:r>
          </w:p>
        </w:tc>
        <w:tc>
          <w:tcPr>
            <w:tcW w:w="1474" w:type="dxa"/>
            <w:vAlign w:val="center"/>
          </w:tcPr>
          <w:p w14:paraId="1903AAAE">
            <w:pPr>
              <w:pStyle w:val="11"/>
            </w:pPr>
          </w:p>
        </w:tc>
        <w:tc>
          <w:tcPr>
            <w:tcW w:w="3402" w:type="dxa"/>
            <w:vAlign w:val="center"/>
          </w:tcPr>
          <w:p w14:paraId="631A3CB0">
            <w:pPr>
              <w:pStyle w:val="12"/>
            </w:pPr>
            <w:r>
              <w:t>年末财政拨款结转和结余</w:t>
            </w:r>
          </w:p>
        </w:tc>
        <w:tc>
          <w:tcPr>
            <w:tcW w:w="1474" w:type="dxa"/>
            <w:vAlign w:val="center"/>
          </w:tcPr>
          <w:p w14:paraId="3D1BEE9E">
            <w:pPr>
              <w:pStyle w:val="11"/>
            </w:pPr>
          </w:p>
        </w:tc>
        <w:tc>
          <w:tcPr>
            <w:tcW w:w="1474" w:type="dxa"/>
            <w:vAlign w:val="center"/>
          </w:tcPr>
          <w:p w14:paraId="6EF154DC">
            <w:pPr>
              <w:pStyle w:val="11"/>
            </w:pPr>
          </w:p>
        </w:tc>
        <w:tc>
          <w:tcPr>
            <w:tcW w:w="1474" w:type="dxa"/>
            <w:vAlign w:val="center"/>
          </w:tcPr>
          <w:p w14:paraId="37485438">
            <w:pPr>
              <w:pStyle w:val="11"/>
            </w:pPr>
          </w:p>
        </w:tc>
        <w:tc>
          <w:tcPr>
            <w:tcW w:w="1474" w:type="dxa"/>
            <w:vAlign w:val="center"/>
          </w:tcPr>
          <w:p w14:paraId="241E87D9">
            <w:pPr>
              <w:pStyle w:val="11"/>
            </w:pPr>
          </w:p>
        </w:tc>
      </w:tr>
      <w:tr w14:paraId="61D0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8C1E">
            <w:pPr>
              <w:pStyle w:val="13"/>
            </w:pPr>
            <w:r>
              <w:t>34</w:t>
            </w:r>
          </w:p>
        </w:tc>
        <w:tc>
          <w:tcPr>
            <w:tcW w:w="3402" w:type="dxa"/>
            <w:vAlign w:val="center"/>
          </w:tcPr>
          <w:p w14:paraId="5D826C9C">
            <w:pPr>
              <w:pStyle w:val="12"/>
            </w:pPr>
            <w:r>
              <w:t>一、一般公共预算拨款</w:t>
            </w:r>
          </w:p>
        </w:tc>
        <w:tc>
          <w:tcPr>
            <w:tcW w:w="1474" w:type="dxa"/>
            <w:vAlign w:val="center"/>
          </w:tcPr>
          <w:p w14:paraId="1C094CDF">
            <w:pPr>
              <w:pStyle w:val="11"/>
            </w:pPr>
          </w:p>
        </w:tc>
        <w:tc>
          <w:tcPr>
            <w:tcW w:w="3402" w:type="dxa"/>
            <w:vAlign w:val="center"/>
          </w:tcPr>
          <w:p w14:paraId="41BEE223">
            <w:pPr>
              <w:pStyle w:val="12"/>
            </w:pPr>
          </w:p>
        </w:tc>
        <w:tc>
          <w:tcPr>
            <w:tcW w:w="1474" w:type="dxa"/>
            <w:vAlign w:val="center"/>
          </w:tcPr>
          <w:p w14:paraId="2FDE6234">
            <w:pPr>
              <w:pStyle w:val="11"/>
            </w:pPr>
          </w:p>
        </w:tc>
        <w:tc>
          <w:tcPr>
            <w:tcW w:w="1474" w:type="dxa"/>
            <w:vAlign w:val="center"/>
          </w:tcPr>
          <w:p w14:paraId="42568648">
            <w:pPr>
              <w:pStyle w:val="11"/>
            </w:pPr>
          </w:p>
        </w:tc>
        <w:tc>
          <w:tcPr>
            <w:tcW w:w="1474" w:type="dxa"/>
            <w:vAlign w:val="center"/>
          </w:tcPr>
          <w:p w14:paraId="5F6F6C99">
            <w:pPr>
              <w:pStyle w:val="11"/>
            </w:pPr>
          </w:p>
        </w:tc>
        <w:tc>
          <w:tcPr>
            <w:tcW w:w="1474" w:type="dxa"/>
            <w:vAlign w:val="center"/>
          </w:tcPr>
          <w:p w14:paraId="16D02ED9">
            <w:pPr>
              <w:pStyle w:val="11"/>
            </w:pPr>
          </w:p>
        </w:tc>
      </w:tr>
      <w:tr w14:paraId="1CF7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2695">
            <w:pPr>
              <w:pStyle w:val="13"/>
            </w:pPr>
            <w:r>
              <w:t>35</w:t>
            </w:r>
          </w:p>
        </w:tc>
        <w:tc>
          <w:tcPr>
            <w:tcW w:w="3402" w:type="dxa"/>
            <w:vAlign w:val="center"/>
          </w:tcPr>
          <w:p w14:paraId="57CBEF76">
            <w:pPr>
              <w:pStyle w:val="12"/>
            </w:pPr>
            <w:r>
              <w:t>二、政府性基金预算拨款</w:t>
            </w:r>
          </w:p>
        </w:tc>
        <w:tc>
          <w:tcPr>
            <w:tcW w:w="1474" w:type="dxa"/>
            <w:vAlign w:val="center"/>
          </w:tcPr>
          <w:p w14:paraId="16D3D164">
            <w:pPr>
              <w:pStyle w:val="11"/>
            </w:pPr>
          </w:p>
        </w:tc>
        <w:tc>
          <w:tcPr>
            <w:tcW w:w="3402" w:type="dxa"/>
            <w:vAlign w:val="center"/>
          </w:tcPr>
          <w:p w14:paraId="671401B1">
            <w:pPr>
              <w:pStyle w:val="12"/>
            </w:pPr>
          </w:p>
        </w:tc>
        <w:tc>
          <w:tcPr>
            <w:tcW w:w="1474" w:type="dxa"/>
            <w:vAlign w:val="center"/>
          </w:tcPr>
          <w:p w14:paraId="44835495">
            <w:pPr>
              <w:pStyle w:val="11"/>
            </w:pPr>
          </w:p>
        </w:tc>
        <w:tc>
          <w:tcPr>
            <w:tcW w:w="1474" w:type="dxa"/>
            <w:vAlign w:val="center"/>
          </w:tcPr>
          <w:p w14:paraId="7E1C29C8">
            <w:pPr>
              <w:pStyle w:val="11"/>
            </w:pPr>
          </w:p>
        </w:tc>
        <w:tc>
          <w:tcPr>
            <w:tcW w:w="1474" w:type="dxa"/>
            <w:vAlign w:val="center"/>
          </w:tcPr>
          <w:p w14:paraId="44E017DE">
            <w:pPr>
              <w:pStyle w:val="11"/>
            </w:pPr>
          </w:p>
        </w:tc>
        <w:tc>
          <w:tcPr>
            <w:tcW w:w="1474" w:type="dxa"/>
            <w:vAlign w:val="center"/>
          </w:tcPr>
          <w:p w14:paraId="7663A154">
            <w:pPr>
              <w:pStyle w:val="11"/>
            </w:pPr>
          </w:p>
        </w:tc>
      </w:tr>
      <w:tr w14:paraId="08FE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D9D7D">
            <w:pPr>
              <w:pStyle w:val="13"/>
            </w:pPr>
            <w:r>
              <w:t>36</w:t>
            </w:r>
          </w:p>
        </w:tc>
        <w:tc>
          <w:tcPr>
            <w:tcW w:w="3402" w:type="dxa"/>
            <w:vAlign w:val="center"/>
          </w:tcPr>
          <w:p w14:paraId="3EBAED70">
            <w:pPr>
              <w:pStyle w:val="12"/>
            </w:pPr>
            <w:r>
              <w:t>三、国有资本经营预算拨款</w:t>
            </w:r>
          </w:p>
        </w:tc>
        <w:tc>
          <w:tcPr>
            <w:tcW w:w="1474" w:type="dxa"/>
            <w:vAlign w:val="center"/>
          </w:tcPr>
          <w:p w14:paraId="05077143">
            <w:pPr>
              <w:pStyle w:val="11"/>
            </w:pPr>
          </w:p>
        </w:tc>
        <w:tc>
          <w:tcPr>
            <w:tcW w:w="3402" w:type="dxa"/>
            <w:vAlign w:val="center"/>
          </w:tcPr>
          <w:p w14:paraId="476D8F46">
            <w:pPr>
              <w:pStyle w:val="12"/>
            </w:pPr>
          </w:p>
        </w:tc>
        <w:tc>
          <w:tcPr>
            <w:tcW w:w="1474" w:type="dxa"/>
            <w:vAlign w:val="center"/>
          </w:tcPr>
          <w:p w14:paraId="7FFC9816">
            <w:pPr>
              <w:pStyle w:val="11"/>
            </w:pPr>
          </w:p>
        </w:tc>
        <w:tc>
          <w:tcPr>
            <w:tcW w:w="1474" w:type="dxa"/>
            <w:vAlign w:val="center"/>
          </w:tcPr>
          <w:p w14:paraId="407BB71C">
            <w:pPr>
              <w:pStyle w:val="11"/>
            </w:pPr>
          </w:p>
        </w:tc>
        <w:tc>
          <w:tcPr>
            <w:tcW w:w="1474" w:type="dxa"/>
            <w:vAlign w:val="center"/>
          </w:tcPr>
          <w:p w14:paraId="527848A5">
            <w:pPr>
              <w:pStyle w:val="11"/>
            </w:pPr>
          </w:p>
        </w:tc>
        <w:tc>
          <w:tcPr>
            <w:tcW w:w="1474" w:type="dxa"/>
            <w:vAlign w:val="center"/>
          </w:tcPr>
          <w:p w14:paraId="122BD1E0">
            <w:pPr>
              <w:pStyle w:val="11"/>
            </w:pPr>
          </w:p>
        </w:tc>
      </w:tr>
      <w:tr w14:paraId="30C1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B4CC2">
            <w:pPr>
              <w:pStyle w:val="13"/>
            </w:pPr>
            <w:r>
              <w:t>37</w:t>
            </w:r>
          </w:p>
        </w:tc>
        <w:tc>
          <w:tcPr>
            <w:tcW w:w="3402" w:type="dxa"/>
            <w:vAlign w:val="center"/>
          </w:tcPr>
          <w:p w14:paraId="3502BC84">
            <w:pPr>
              <w:pStyle w:val="14"/>
            </w:pPr>
            <w:r>
              <w:t>收入总计</w:t>
            </w:r>
          </w:p>
        </w:tc>
        <w:tc>
          <w:tcPr>
            <w:tcW w:w="1474" w:type="dxa"/>
            <w:vAlign w:val="center"/>
          </w:tcPr>
          <w:p w14:paraId="09CE2456">
            <w:pPr>
              <w:pStyle w:val="15"/>
            </w:pPr>
            <w:r>
              <w:t>1036.94</w:t>
            </w:r>
          </w:p>
        </w:tc>
        <w:tc>
          <w:tcPr>
            <w:tcW w:w="3402" w:type="dxa"/>
            <w:vAlign w:val="center"/>
          </w:tcPr>
          <w:p w14:paraId="7F2B4FB1">
            <w:pPr>
              <w:pStyle w:val="14"/>
            </w:pPr>
            <w:r>
              <w:t>支出总计</w:t>
            </w:r>
          </w:p>
        </w:tc>
        <w:tc>
          <w:tcPr>
            <w:tcW w:w="1474" w:type="dxa"/>
            <w:vAlign w:val="center"/>
          </w:tcPr>
          <w:p w14:paraId="428DA19C">
            <w:pPr>
              <w:pStyle w:val="15"/>
            </w:pPr>
            <w:r>
              <w:t>1036.94</w:t>
            </w:r>
          </w:p>
        </w:tc>
        <w:tc>
          <w:tcPr>
            <w:tcW w:w="1474" w:type="dxa"/>
            <w:vAlign w:val="center"/>
          </w:tcPr>
          <w:p w14:paraId="54ADA57A">
            <w:pPr>
              <w:pStyle w:val="15"/>
            </w:pPr>
            <w:r>
              <w:t>1036.94</w:t>
            </w:r>
          </w:p>
        </w:tc>
        <w:tc>
          <w:tcPr>
            <w:tcW w:w="1474" w:type="dxa"/>
            <w:vAlign w:val="center"/>
          </w:tcPr>
          <w:p w14:paraId="2DB4F509">
            <w:pPr>
              <w:pStyle w:val="15"/>
            </w:pPr>
          </w:p>
        </w:tc>
        <w:tc>
          <w:tcPr>
            <w:tcW w:w="1474" w:type="dxa"/>
            <w:vAlign w:val="center"/>
          </w:tcPr>
          <w:p w14:paraId="6F305163">
            <w:pPr>
              <w:pStyle w:val="15"/>
            </w:pPr>
          </w:p>
        </w:tc>
      </w:tr>
    </w:tbl>
    <w:p w14:paraId="0500A956">
      <w:pPr>
        <w:sectPr>
          <w:pgSz w:w="16840" w:h="11900" w:orient="landscape"/>
          <w:pgMar w:top="1361" w:right="1020" w:bottom="1134" w:left="1020" w:header="720" w:footer="720" w:gutter="0"/>
          <w:cols w:space="720" w:num="1"/>
        </w:sectPr>
      </w:pPr>
    </w:p>
    <w:p w14:paraId="2C64B5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66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CE2681">
            <w:pPr>
              <w:pStyle w:val="9"/>
            </w:pPr>
            <w:r>
              <w:t>360037隆尧县第三实验小学</w:t>
            </w:r>
          </w:p>
        </w:tc>
        <w:tc>
          <w:tcPr>
            <w:tcW w:w="2551" w:type="dxa"/>
            <w:tcBorders>
              <w:top w:val="single" w:color="FFFFFF" w:sz="6" w:space="0"/>
              <w:left w:val="single" w:color="FFFFFF" w:sz="6" w:space="0"/>
              <w:right w:val="single" w:color="FFFFFF" w:sz="6" w:space="0"/>
            </w:tcBorders>
            <w:vAlign w:val="center"/>
          </w:tcPr>
          <w:p w14:paraId="3A4F60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4FE5EE">
            <w:pPr>
              <w:pStyle w:val="7"/>
            </w:pPr>
            <w:r>
              <w:t>单位：万元</w:t>
            </w:r>
          </w:p>
        </w:tc>
      </w:tr>
      <w:tr w14:paraId="436F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DE626">
            <w:pPr>
              <w:pStyle w:val="10"/>
            </w:pPr>
            <w:r>
              <w:t>序号</w:t>
            </w:r>
          </w:p>
        </w:tc>
        <w:tc>
          <w:tcPr>
            <w:tcW w:w="5726" w:type="dxa"/>
            <w:gridSpan w:val="2"/>
            <w:vAlign w:val="center"/>
          </w:tcPr>
          <w:p w14:paraId="4F2E4937">
            <w:pPr>
              <w:pStyle w:val="10"/>
            </w:pPr>
            <w:r>
              <w:t>功能分类科目</w:t>
            </w:r>
          </w:p>
        </w:tc>
        <w:tc>
          <w:tcPr>
            <w:tcW w:w="2551" w:type="dxa"/>
            <w:vMerge w:val="restart"/>
            <w:vAlign w:val="center"/>
          </w:tcPr>
          <w:p w14:paraId="292BA1BE">
            <w:pPr>
              <w:pStyle w:val="10"/>
            </w:pPr>
            <w:r>
              <w:t>合计</w:t>
            </w:r>
          </w:p>
        </w:tc>
        <w:tc>
          <w:tcPr>
            <w:tcW w:w="2551" w:type="dxa"/>
            <w:vMerge w:val="restart"/>
            <w:vAlign w:val="center"/>
          </w:tcPr>
          <w:p w14:paraId="680E37B2">
            <w:pPr>
              <w:pStyle w:val="10"/>
            </w:pPr>
            <w:r>
              <w:t>基本支出</w:t>
            </w:r>
          </w:p>
        </w:tc>
        <w:tc>
          <w:tcPr>
            <w:tcW w:w="2551" w:type="dxa"/>
            <w:vMerge w:val="restart"/>
            <w:vAlign w:val="center"/>
          </w:tcPr>
          <w:p w14:paraId="32FC0963">
            <w:pPr>
              <w:pStyle w:val="10"/>
            </w:pPr>
            <w:r>
              <w:t>项目支出</w:t>
            </w:r>
          </w:p>
        </w:tc>
      </w:tr>
      <w:tr w14:paraId="288B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68304C"/>
        </w:tc>
        <w:tc>
          <w:tcPr>
            <w:tcW w:w="1191" w:type="dxa"/>
            <w:vAlign w:val="center"/>
          </w:tcPr>
          <w:p w14:paraId="28D5934B">
            <w:pPr>
              <w:pStyle w:val="10"/>
            </w:pPr>
            <w:r>
              <w:t>科目编码</w:t>
            </w:r>
          </w:p>
        </w:tc>
        <w:tc>
          <w:tcPr>
            <w:tcW w:w="4535" w:type="dxa"/>
            <w:vAlign w:val="center"/>
          </w:tcPr>
          <w:p w14:paraId="02CA9DF4">
            <w:pPr>
              <w:pStyle w:val="10"/>
            </w:pPr>
            <w:r>
              <w:t>科目名称</w:t>
            </w:r>
          </w:p>
        </w:tc>
        <w:tc>
          <w:tcPr>
            <w:tcW w:w="2551" w:type="dxa"/>
            <w:vMerge w:val="continue"/>
          </w:tcPr>
          <w:p w14:paraId="6EFD5CDC"/>
        </w:tc>
        <w:tc>
          <w:tcPr>
            <w:tcW w:w="2551" w:type="dxa"/>
            <w:vMerge w:val="continue"/>
          </w:tcPr>
          <w:p w14:paraId="600161AD"/>
        </w:tc>
        <w:tc>
          <w:tcPr>
            <w:tcW w:w="2551" w:type="dxa"/>
            <w:vMerge w:val="continue"/>
          </w:tcPr>
          <w:p w14:paraId="76A72DFF"/>
        </w:tc>
      </w:tr>
      <w:tr w14:paraId="28D0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45F84E">
            <w:pPr>
              <w:pStyle w:val="10"/>
            </w:pPr>
            <w:r>
              <w:t>栏次</w:t>
            </w:r>
          </w:p>
        </w:tc>
        <w:tc>
          <w:tcPr>
            <w:tcW w:w="1191" w:type="dxa"/>
            <w:vAlign w:val="center"/>
          </w:tcPr>
          <w:p w14:paraId="381F64A0">
            <w:pPr>
              <w:pStyle w:val="10"/>
            </w:pPr>
            <w:r>
              <w:t>1</w:t>
            </w:r>
          </w:p>
        </w:tc>
        <w:tc>
          <w:tcPr>
            <w:tcW w:w="4535" w:type="dxa"/>
            <w:vAlign w:val="center"/>
          </w:tcPr>
          <w:p w14:paraId="5E115F93">
            <w:pPr>
              <w:pStyle w:val="10"/>
            </w:pPr>
            <w:r>
              <w:t>2</w:t>
            </w:r>
          </w:p>
        </w:tc>
        <w:tc>
          <w:tcPr>
            <w:tcW w:w="2551" w:type="dxa"/>
            <w:vAlign w:val="center"/>
          </w:tcPr>
          <w:p w14:paraId="44E70106">
            <w:pPr>
              <w:pStyle w:val="10"/>
            </w:pPr>
            <w:r>
              <w:t>3</w:t>
            </w:r>
          </w:p>
        </w:tc>
        <w:tc>
          <w:tcPr>
            <w:tcW w:w="2551" w:type="dxa"/>
            <w:vAlign w:val="center"/>
          </w:tcPr>
          <w:p w14:paraId="06112A56">
            <w:pPr>
              <w:pStyle w:val="10"/>
            </w:pPr>
            <w:r>
              <w:t>4</w:t>
            </w:r>
          </w:p>
        </w:tc>
        <w:tc>
          <w:tcPr>
            <w:tcW w:w="2551" w:type="dxa"/>
            <w:vAlign w:val="center"/>
          </w:tcPr>
          <w:p w14:paraId="2E01FE9A">
            <w:pPr>
              <w:pStyle w:val="10"/>
            </w:pPr>
            <w:r>
              <w:t>5</w:t>
            </w:r>
          </w:p>
        </w:tc>
      </w:tr>
      <w:tr w14:paraId="1A18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77D6B">
            <w:pPr>
              <w:pStyle w:val="13"/>
            </w:pPr>
            <w:r>
              <w:t>1</w:t>
            </w:r>
          </w:p>
        </w:tc>
        <w:tc>
          <w:tcPr>
            <w:tcW w:w="1191" w:type="dxa"/>
            <w:vAlign w:val="center"/>
          </w:tcPr>
          <w:p w14:paraId="7D089A25">
            <w:pPr>
              <w:pStyle w:val="16"/>
            </w:pPr>
          </w:p>
        </w:tc>
        <w:tc>
          <w:tcPr>
            <w:tcW w:w="4535" w:type="dxa"/>
            <w:vAlign w:val="center"/>
          </w:tcPr>
          <w:p w14:paraId="5248C012">
            <w:pPr>
              <w:pStyle w:val="14"/>
            </w:pPr>
            <w:r>
              <w:t>合计</w:t>
            </w:r>
          </w:p>
        </w:tc>
        <w:tc>
          <w:tcPr>
            <w:tcW w:w="2551" w:type="dxa"/>
            <w:vAlign w:val="center"/>
          </w:tcPr>
          <w:p w14:paraId="16B89230">
            <w:pPr>
              <w:pStyle w:val="15"/>
            </w:pPr>
            <w:r>
              <w:t>1036.94</w:t>
            </w:r>
          </w:p>
        </w:tc>
        <w:tc>
          <w:tcPr>
            <w:tcW w:w="2551" w:type="dxa"/>
            <w:vAlign w:val="center"/>
          </w:tcPr>
          <w:p w14:paraId="78A2B03E">
            <w:pPr>
              <w:pStyle w:val="15"/>
            </w:pPr>
            <w:r>
              <w:t>814.47</w:t>
            </w:r>
          </w:p>
        </w:tc>
        <w:tc>
          <w:tcPr>
            <w:tcW w:w="2551" w:type="dxa"/>
            <w:vAlign w:val="center"/>
          </w:tcPr>
          <w:p w14:paraId="210D1739">
            <w:pPr>
              <w:pStyle w:val="15"/>
            </w:pPr>
            <w:r>
              <w:t>222.47</w:t>
            </w:r>
          </w:p>
        </w:tc>
      </w:tr>
      <w:tr w14:paraId="427D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F7BD9">
            <w:pPr>
              <w:pStyle w:val="13"/>
            </w:pPr>
            <w:r>
              <w:t>2</w:t>
            </w:r>
          </w:p>
        </w:tc>
        <w:tc>
          <w:tcPr>
            <w:tcW w:w="1191" w:type="dxa"/>
            <w:vAlign w:val="center"/>
          </w:tcPr>
          <w:p w14:paraId="0F981918">
            <w:pPr>
              <w:pStyle w:val="12"/>
            </w:pPr>
            <w:r>
              <w:t>205</w:t>
            </w:r>
          </w:p>
        </w:tc>
        <w:tc>
          <w:tcPr>
            <w:tcW w:w="4535" w:type="dxa"/>
            <w:vAlign w:val="center"/>
          </w:tcPr>
          <w:p w14:paraId="4553C8E2">
            <w:pPr>
              <w:pStyle w:val="12"/>
            </w:pPr>
            <w:r>
              <w:t>教育支出</w:t>
            </w:r>
          </w:p>
        </w:tc>
        <w:tc>
          <w:tcPr>
            <w:tcW w:w="2551" w:type="dxa"/>
            <w:vAlign w:val="center"/>
          </w:tcPr>
          <w:p w14:paraId="295582CB">
            <w:pPr>
              <w:pStyle w:val="11"/>
            </w:pPr>
            <w:r>
              <w:t>1036.94</w:t>
            </w:r>
          </w:p>
        </w:tc>
        <w:tc>
          <w:tcPr>
            <w:tcW w:w="2551" w:type="dxa"/>
            <w:vAlign w:val="center"/>
          </w:tcPr>
          <w:p w14:paraId="19D6BC48">
            <w:pPr>
              <w:pStyle w:val="11"/>
            </w:pPr>
            <w:r>
              <w:t>814.47</w:t>
            </w:r>
          </w:p>
        </w:tc>
        <w:tc>
          <w:tcPr>
            <w:tcW w:w="2551" w:type="dxa"/>
            <w:vAlign w:val="center"/>
          </w:tcPr>
          <w:p w14:paraId="60DC5091">
            <w:pPr>
              <w:pStyle w:val="11"/>
            </w:pPr>
            <w:r>
              <w:t>222.47</w:t>
            </w:r>
          </w:p>
        </w:tc>
      </w:tr>
      <w:tr w14:paraId="624B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E6CB2">
            <w:pPr>
              <w:pStyle w:val="13"/>
            </w:pPr>
            <w:r>
              <w:t>3</w:t>
            </w:r>
          </w:p>
        </w:tc>
        <w:tc>
          <w:tcPr>
            <w:tcW w:w="1191" w:type="dxa"/>
            <w:vAlign w:val="center"/>
          </w:tcPr>
          <w:p w14:paraId="364775F1">
            <w:pPr>
              <w:pStyle w:val="12"/>
            </w:pPr>
            <w:r>
              <w:t>20502</w:t>
            </w:r>
          </w:p>
        </w:tc>
        <w:tc>
          <w:tcPr>
            <w:tcW w:w="4535" w:type="dxa"/>
            <w:vAlign w:val="center"/>
          </w:tcPr>
          <w:p w14:paraId="34DC725D">
            <w:pPr>
              <w:pStyle w:val="12"/>
            </w:pPr>
            <w:r>
              <w:t>普通教育</w:t>
            </w:r>
          </w:p>
        </w:tc>
        <w:tc>
          <w:tcPr>
            <w:tcW w:w="2551" w:type="dxa"/>
            <w:vAlign w:val="center"/>
          </w:tcPr>
          <w:p w14:paraId="5D1C3F95">
            <w:pPr>
              <w:pStyle w:val="11"/>
            </w:pPr>
            <w:r>
              <w:t>1036.94</w:t>
            </w:r>
          </w:p>
        </w:tc>
        <w:tc>
          <w:tcPr>
            <w:tcW w:w="2551" w:type="dxa"/>
            <w:vAlign w:val="center"/>
          </w:tcPr>
          <w:p w14:paraId="5B5D617D">
            <w:pPr>
              <w:pStyle w:val="11"/>
            </w:pPr>
            <w:r>
              <w:t>814.47</w:t>
            </w:r>
          </w:p>
        </w:tc>
        <w:tc>
          <w:tcPr>
            <w:tcW w:w="2551" w:type="dxa"/>
            <w:vAlign w:val="center"/>
          </w:tcPr>
          <w:p w14:paraId="72136374">
            <w:pPr>
              <w:pStyle w:val="11"/>
            </w:pPr>
            <w:r>
              <w:t>222.47</w:t>
            </w:r>
          </w:p>
        </w:tc>
      </w:tr>
      <w:tr w14:paraId="4FE7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6C1F3">
            <w:pPr>
              <w:pStyle w:val="13"/>
            </w:pPr>
            <w:r>
              <w:t>4</w:t>
            </w:r>
          </w:p>
        </w:tc>
        <w:tc>
          <w:tcPr>
            <w:tcW w:w="1191" w:type="dxa"/>
            <w:vAlign w:val="center"/>
          </w:tcPr>
          <w:p w14:paraId="197A58D5">
            <w:pPr>
              <w:pStyle w:val="12"/>
            </w:pPr>
            <w:r>
              <w:t>2050202</w:t>
            </w:r>
          </w:p>
        </w:tc>
        <w:tc>
          <w:tcPr>
            <w:tcW w:w="4535" w:type="dxa"/>
            <w:vAlign w:val="center"/>
          </w:tcPr>
          <w:p w14:paraId="6087949A">
            <w:pPr>
              <w:pStyle w:val="12"/>
            </w:pPr>
            <w:r>
              <w:t>小学教育</w:t>
            </w:r>
          </w:p>
        </w:tc>
        <w:tc>
          <w:tcPr>
            <w:tcW w:w="2551" w:type="dxa"/>
            <w:vAlign w:val="center"/>
          </w:tcPr>
          <w:p w14:paraId="7E2B5212">
            <w:pPr>
              <w:pStyle w:val="11"/>
            </w:pPr>
            <w:r>
              <w:t>1036.94</w:t>
            </w:r>
          </w:p>
        </w:tc>
        <w:tc>
          <w:tcPr>
            <w:tcW w:w="2551" w:type="dxa"/>
            <w:vAlign w:val="center"/>
          </w:tcPr>
          <w:p w14:paraId="0F4D028C">
            <w:pPr>
              <w:pStyle w:val="11"/>
            </w:pPr>
            <w:r>
              <w:t>814.47</w:t>
            </w:r>
          </w:p>
        </w:tc>
        <w:tc>
          <w:tcPr>
            <w:tcW w:w="2551" w:type="dxa"/>
            <w:vAlign w:val="center"/>
          </w:tcPr>
          <w:p w14:paraId="1C0283C8">
            <w:pPr>
              <w:pStyle w:val="11"/>
            </w:pPr>
            <w:r>
              <w:t>222.47</w:t>
            </w:r>
          </w:p>
        </w:tc>
      </w:tr>
    </w:tbl>
    <w:p w14:paraId="62D98C52">
      <w:pPr>
        <w:sectPr>
          <w:pgSz w:w="16840" w:h="11900" w:orient="landscape"/>
          <w:pgMar w:top="1361" w:right="1020" w:bottom="1134" w:left="1020" w:header="720" w:footer="720" w:gutter="0"/>
          <w:cols w:space="720" w:num="1"/>
        </w:sectPr>
      </w:pPr>
    </w:p>
    <w:p w14:paraId="3DAF5B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A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4B012">
            <w:pPr>
              <w:pStyle w:val="9"/>
            </w:pPr>
            <w:r>
              <w:t>360037隆尧县第三实验小学</w:t>
            </w:r>
          </w:p>
        </w:tc>
        <w:tc>
          <w:tcPr>
            <w:tcW w:w="2551" w:type="dxa"/>
            <w:tcBorders>
              <w:top w:val="single" w:color="FFFFFF" w:sz="6" w:space="0"/>
              <w:left w:val="single" w:color="FFFFFF" w:sz="6" w:space="0"/>
              <w:right w:val="single" w:color="FFFFFF" w:sz="6" w:space="0"/>
            </w:tcBorders>
            <w:vAlign w:val="center"/>
          </w:tcPr>
          <w:p w14:paraId="5A8F3D6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90C88F">
            <w:pPr>
              <w:pStyle w:val="7"/>
            </w:pPr>
            <w:r>
              <w:t>单位：万元</w:t>
            </w:r>
          </w:p>
        </w:tc>
      </w:tr>
      <w:tr w14:paraId="4CCF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EA83E">
            <w:pPr>
              <w:pStyle w:val="10"/>
            </w:pPr>
            <w:r>
              <w:t>序号</w:t>
            </w:r>
          </w:p>
        </w:tc>
        <w:tc>
          <w:tcPr>
            <w:tcW w:w="5726" w:type="dxa"/>
            <w:gridSpan w:val="2"/>
            <w:vAlign w:val="center"/>
          </w:tcPr>
          <w:p w14:paraId="7C0ACCDF">
            <w:pPr>
              <w:pStyle w:val="10"/>
            </w:pPr>
            <w:r>
              <w:t>支出部门经济分类科目</w:t>
            </w:r>
          </w:p>
        </w:tc>
        <w:tc>
          <w:tcPr>
            <w:tcW w:w="7653" w:type="dxa"/>
            <w:gridSpan w:val="3"/>
            <w:vAlign w:val="center"/>
          </w:tcPr>
          <w:p w14:paraId="46E30F5B">
            <w:pPr>
              <w:pStyle w:val="10"/>
            </w:pPr>
            <w:r>
              <w:t>一般公共预算基本支出</w:t>
            </w:r>
          </w:p>
        </w:tc>
      </w:tr>
      <w:tr w14:paraId="2F40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1141D"/>
        </w:tc>
        <w:tc>
          <w:tcPr>
            <w:tcW w:w="1191" w:type="dxa"/>
            <w:vAlign w:val="center"/>
          </w:tcPr>
          <w:p w14:paraId="2D8F3AB6">
            <w:pPr>
              <w:pStyle w:val="10"/>
            </w:pPr>
            <w:r>
              <w:t>科目编码</w:t>
            </w:r>
          </w:p>
        </w:tc>
        <w:tc>
          <w:tcPr>
            <w:tcW w:w="4535" w:type="dxa"/>
            <w:vAlign w:val="center"/>
          </w:tcPr>
          <w:p w14:paraId="70E15D3D">
            <w:pPr>
              <w:pStyle w:val="10"/>
            </w:pPr>
            <w:r>
              <w:t>科目名称</w:t>
            </w:r>
          </w:p>
        </w:tc>
        <w:tc>
          <w:tcPr>
            <w:tcW w:w="2551" w:type="dxa"/>
            <w:vAlign w:val="center"/>
          </w:tcPr>
          <w:p w14:paraId="334B6496">
            <w:pPr>
              <w:pStyle w:val="10"/>
            </w:pPr>
            <w:r>
              <w:t>合计</w:t>
            </w:r>
          </w:p>
        </w:tc>
        <w:tc>
          <w:tcPr>
            <w:tcW w:w="2551" w:type="dxa"/>
            <w:vAlign w:val="center"/>
          </w:tcPr>
          <w:p w14:paraId="1559A392">
            <w:pPr>
              <w:pStyle w:val="10"/>
            </w:pPr>
            <w:r>
              <w:t>人员经费</w:t>
            </w:r>
          </w:p>
        </w:tc>
        <w:tc>
          <w:tcPr>
            <w:tcW w:w="2551" w:type="dxa"/>
            <w:vAlign w:val="center"/>
          </w:tcPr>
          <w:p w14:paraId="4B1BDA75">
            <w:pPr>
              <w:pStyle w:val="10"/>
            </w:pPr>
            <w:r>
              <w:t>公用经费</w:t>
            </w:r>
          </w:p>
        </w:tc>
      </w:tr>
      <w:tr w14:paraId="5375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0D8351">
            <w:pPr>
              <w:pStyle w:val="10"/>
            </w:pPr>
            <w:r>
              <w:t>栏次</w:t>
            </w:r>
          </w:p>
        </w:tc>
        <w:tc>
          <w:tcPr>
            <w:tcW w:w="1191" w:type="dxa"/>
            <w:vAlign w:val="center"/>
          </w:tcPr>
          <w:p w14:paraId="5D0AD422">
            <w:pPr>
              <w:pStyle w:val="10"/>
            </w:pPr>
            <w:r>
              <w:t>1</w:t>
            </w:r>
          </w:p>
        </w:tc>
        <w:tc>
          <w:tcPr>
            <w:tcW w:w="4535" w:type="dxa"/>
            <w:vAlign w:val="center"/>
          </w:tcPr>
          <w:p w14:paraId="6D58F240">
            <w:pPr>
              <w:pStyle w:val="10"/>
            </w:pPr>
            <w:r>
              <w:t>2</w:t>
            </w:r>
          </w:p>
        </w:tc>
        <w:tc>
          <w:tcPr>
            <w:tcW w:w="2551" w:type="dxa"/>
            <w:vAlign w:val="center"/>
          </w:tcPr>
          <w:p w14:paraId="7F0179E2">
            <w:pPr>
              <w:pStyle w:val="10"/>
            </w:pPr>
            <w:r>
              <w:t>3</w:t>
            </w:r>
          </w:p>
        </w:tc>
        <w:tc>
          <w:tcPr>
            <w:tcW w:w="2551" w:type="dxa"/>
            <w:vAlign w:val="center"/>
          </w:tcPr>
          <w:p w14:paraId="6B21547F">
            <w:pPr>
              <w:pStyle w:val="10"/>
            </w:pPr>
            <w:r>
              <w:t>4</w:t>
            </w:r>
          </w:p>
        </w:tc>
        <w:tc>
          <w:tcPr>
            <w:tcW w:w="2551" w:type="dxa"/>
            <w:vAlign w:val="center"/>
          </w:tcPr>
          <w:p w14:paraId="6C514C7C">
            <w:pPr>
              <w:pStyle w:val="10"/>
            </w:pPr>
            <w:r>
              <w:t>5</w:t>
            </w:r>
          </w:p>
        </w:tc>
      </w:tr>
      <w:tr w14:paraId="2350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A8B4">
            <w:pPr>
              <w:pStyle w:val="13"/>
            </w:pPr>
            <w:r>
              <w:t>1</w:t>
            </w:r>
          </w:p>
        </w:tc>
        <w:tc>
          <w:tcPr>
            <w:tcW w:w="1191" w:type="dxa"/>
            <w:vAlign w:val="center"/>
          </w:tcPr>
          <w:p w14:paraId="79060D5F">
            <w:pPr>
              <w:pStyle w:val="16"/>
            </w:pPr>
          </w:p>
        </w:tc>
        <w:tc>
          <w:tcPr>
            <w:tcW w:w="4535" w:type="dxa"/>
            <w:vAlign w:val="center"/>
          </w:tcPr>
          <w:p w14:paraId="409CF390">
            <w:pPr>
              <w:pStyle w:val="14"/>
            </w:pPr>
            <w:r>
              <w:t>合计</w:t>
            </w:r>
          </w:p>
        </w:tc>
        <w:tc>
          <w:tcPr>
            <w:tcW w:w="2551" w:type="dxa"/>
            <w:vAlign w:val="center"/>
          </w:tcPr>
          <w:p w14:paraId="3436BDA8">
            <w:pPr>
              <w:pStyle w:val="15"/>
            </w:pPr>
            <w:r>
              <w:t>814.47</w:t>
            </w:r>
          </w:p>
        </w:tc>
        <w:tc>
          <w:tcPr>
            <w:tcW w:w="2551" w:type="dxa"/>
            <w:vAlign w:val="center"/>
          </w:tcPr>
          <w:p w14:paraId="33AF5D8A">
            <w:pPr>
              <w:pStyle w:val="15"/>
            </w:pPr>
            <w:r>
              <w:t>814.47</w:t>
            </w:r>
          </w:p>
        </w:tc>
        <w:tc>
          <w:tcPr>
            <w:tcW w:w="2551" w:type="dxa"/>
            <w:vAlign w:val="center"/>
          </w:tcPr>
          <w:p w14:paraId="772E1F10">
            <w:pPr>
              <w:pStyle w:val="15"/>
            </w:pPr>
          </w:p>
        </w:tc>
      </w:tr>
      <w:tr w14:paraId="0DCB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87679">
            <w:pPr>
              <w:pStyle w:val="13"/>
            </w:pPr>
            <w:r>
              <w:t>2</w:t>
            </w:r>
          </w:p>
        </w:tc>
        <w:tc>
          <w:tcPr>
            <w:tcW w:w="1191" w:type="dxa"/>
            <w:vAlign w:val="center"/>
          </w:tcPr>
          <w:p w14:paraId="1B51A8A9">
            <w:pPr>
              <w:pStyle w:val="12"/>
            </w:pPr>
            <w:r>
              <w:t>301</w:t>
            </w:r>
          </w:p>
        </w:tc>
        <w:tc>
          <w:tcPr>
            <w:tcW w:w="4535" w:type="dxa"/>
            <w:vAlign w:val="center"/>
          </w:tcPr>
          <w:p w14:paraId="5AECB82B">
            <w:pPr>
              <w:pStyle w:val="12"/>
            </w:pPr>
            <w:r>
              <w:t>工资福利支出</w:t>
            </w:r>
          </w:p>
        </w:tc>
        <w:tc>
          <w:tcPr>
            <w:tcW w:w="2551" w:type="dxa"/>
            <w:vAlign w:val="center"/>
          </w:tcPr>
          <w:p w14:paraId="20FD5728">
            <w:pPr>
              <w:pStyle w:val="11"/>
            </w:pPr>
            <w:r>
              <w:t>813.43</w:t>
            </w:r>
          </w:p>
        </w:tc>
        <w:tc>
          <w:tcPr>
            <w:tcW w:w="2551" w:type="dxa"/>
            <w:vAlign w:val="center"/>
          </w:tcPr>
          <w:p w14:paraId="04F4B162">
            <w:pPr>
              <w:pStyle w:val="11"/>
            </w:pPr>
            <w:r>
              <w:t>813.43</w:t>
            </w:r>
          </w:p>
        </w:tc>
        <w:tc>
          <w:tcPr>
            <w:tcW w:w="2551" w:type="dxa"/>
            <w:vAlign w:val="center"/>
          </w:tcPr>
          <w:p w14:paraId="0FA68E08">
            <w:pPr>
              <w:pStyle w:val="11"/>
            </w:pPr>
          </w:p>
        </w:tc>
      </w:tr>
      <w:tr w14:paraId="59F4F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4D24">
            <w:pPr>
              <w:pStyle w:val="13"/>
            </w:pPr>
            <w:r>
              <w:t>3</w:t>
            </w:r>
          </w:p>
        </w:tc>
        <w:tc>
          <w:tcPr>
            <w:tcW w:w="1191" w:type="dxa"/>
            <w:vAlign w:val="center"/>
          </w:tcPr>
          <w:p w14:paraId="15B71BBA">
            <w:pPr>
              <w:pStyle w:val="12"/>
            </w:pPr>
            <w:r>
              <w:t>30101</w:t>
            </w:r>
          </w:p>
        </w:tc>
        <w:tc>
          <w:tcPr>
            <w:tcW w:w="4535" w:type="dxa"/>
            <w:vAlign w:val="center"/>
          </w:tcPr>
          <w:p w14:paraId="58BE49A0">
            <w:pPr>
              <w:pStyle w:val="12"/>
            </w:pPr>
            <w:r>
              <w:t>基本工资</w:t>
            </w:r>
          </w:p>
        </w:tc>
        <w:tc>
          <w:tcPr>
            <w:tcW w:w="2551" w:type="dxa"/>
            <w:vAlign w:val="center"/>
          </w:tcPr>
          <w:p w14:paraId="2FEC67A2">
            <w:pPr>
              <w:pStyle w:val="11"/>
            </w:pPr>
            <w:r>
              <w:t>358.89</w:t>
            </w:r>
          </w:p>
        </w:tc>
        <w:tc>
          <w:tcPr>
            <w:tcW w:w="2551" w:type="dxa"/>
            <w:vAlign w:val="center"/>
          </w:tcPr>
          <w:p w14:paraId="7EFC4817">
            <w:pPr>
              <w:pStyle w:val="11"/>
            </w:pPr>
            <w:r>
              <w:t>358.89</w:t>
            </w:r>
          </w:p>
        </w:tc>
        <w:tc>
          <w:tcPr>
            <w:tcW w:w="2551" w:type="dxa"/>
            <w:vAlign w:val="center"/>
          </w:tcPr>
          <w:p w14:paraId="29877993">
            <w:pPr>
              <w:pStyle w:val="11"/>
            </w:pPr>
          </w:p>
        </w:tc>
      </w:tr>
      <w:tr w14:paraId="20D7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B3977">
            <w:pPr>
              <w:pStyle w:val="13"/>
            </w:pPr>
            <w:r>
              <w:t>4</w:t>
            </w:r>
          </w:p>
        </w:tc>
        <w:tc>
          <w:tcPr>
            <w:tcW w:w="1191" w:type="dxa"/>
            <w:vAlign w:val="center"/>
          </w:tcPr>
          <w:p w14:paraId="6DB3C413">
            <w:pPr>
              <w:pStyle w:val="12"/>
            </w:pPr>
            <w:r>
              <w:t>30102</w:t>
            </w:r>
          </w:p>
        </w:tc>
        <w:tc>
          <w:tcPr>
            <w:tcW w:w="4535" w:type="dxa"/>
            <w:vAlign w:val="center"/>
          </w:tcPr>
          <w:p w14:paraId="665DD823">
            <w:pPr>
              <w:pStyle w:val="12"/>
            </w:pPr>
            <w:r>
              <w:t>津贴补贴</w:t>
            </w:r>
          </w:p>
        </w:tc>
        <w:tc>
          <w:tcPr>
            <w:tcW w:w="2551" w:type="dxa"/>
            <w:vAlign w:val="center"/>
          </w:tcPr>
          <w:p w14:paraId="11F24CDC">
            <w:pPr>
              <w:pStyle w:val="11"/>
            </w:pPr>
            <w:r>
              <w:t>36.97</w:t>
            </w:r>
          </w:p>
        </w:tc>
        <w:tc>
          <w:tcPr>
            <w:tcW w:w="2551" w:type="dxa"/>
            <w:vAlign w:val="center"/>
          </w:tcPr>
          <w:p w14:paraId="69D4966A">
            <w:pPr>
              <w:pStyle w:val="11"/>
            </w:pPr>
            <w:r>
              <w:t>36.97</w:t>
            </w:r>
          </w:p>
        </w:tc>
        <w:tc>
          <w:tcPr>
            <w:tcW w:w="2551" w:type="dxa"/>
            <w:vAlign w:val="center"/>
          </w:tcPr>
          <w:p w14:paraId="2DFB4573">
            <w:pPr>
              <w:pStyle w:val="11"/>
            </w:pPr>
          </w:p>
        </w:tc>
      </w:tr>
      <w:tr w14:paraId="045F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6ABB2">
            <w:pPr>
              <w:pStyle w:val="13"/>
            </w:pPr>
            <w:r>
              <w:t>5</w:t>
            </w:r>
          </w:p>
        </w:tc>
        <w:tc>
          <w:tcPr>
            <w:tcW w:w="1191" w:type="dxa"/>
            <w:vAlign w:val="center"/>
          </w:tcPr>
          <w:p w14:paraId="3FEE08FA">
            <w:pPr>
              <w:pStyle w:val="12"/>
            </w:pPr>
            <w:r>
              <w:t>30107</w:t>
            </w:r>
          </w:p>
        </w:tc>
        <w:tc>
          <w:tcPr>
            <w:tcW w:w="4535" w:type="dxa"/>
            <w:vAlign w:val="center"/>
          </w:tcPr>
          <w:p w14:paraId="6F66433A">
            <w:pPr>
              <w:pStyle w:val="12"/>
            </w:pPr>
            <w:r>
              <w:t>绩效工资</w:t>
            </w:r>
          </w:p>
        </w:tc>
        <w:tc>
          <w:tcPr>
            <w:tcW w:w="2551" w:type="dxa"/>
            <w:vAlign w:val="center"/>
          </w:tcPr>
          <w:p w14:paraId="71BDA9C7">
            <w:pPr>
              <w:pStyle w:val="11"/>
            </w:pPr>
            <w:r>
              <w:t>227.42</w:t>
            </w:r>
          </w:p>
        </w:tc>
        <w:tc>
          <w:tcPr>
            <w:tcW w:w="2551" w:type="dxa"/>
            <w:vAlign w:val="center"/>
          </w:tcPr>
          <w:p w14:paraId="118DAF4D">
            <w:pPr>
              <w:pStyle w:val="11"/>
            </w:pPr>
            <w:r>
              <w:t>227.42</w:t>
            </w:r>
          </w:p>
        </w:tc>
        <w:tc>
          <w:tcPr>
            <w:tcW w:w="2551" w:type="dxa"/>
            <w:vAlign w:val="center"/>
          </w:tcPr>
          <w:p w14:paraId="4FB3D2A2">
            <w:pPr>
              <w:pStyle w:val="11"/>
            </w:pPr>
          </w:p>
        </w:tc>
      </w:tr>
      <w:tr w14:paraId="7F9B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3F7C">
            <w:pPr>
              <w:pStyle w:val="13"/>
            </w:pPr>
            <w:r>
              <w:t>6</w:t>
            </w:r>
          </w:p>
        </w:tc>
        <w:tc>
          <w:tcPr>
            <w:tcW w:w="1191" w:type="dxa"/>
            <w:vAlign w:val="center"/>
          </w:tcPr>
          <w:p w14:paraId="3984BD16">
            <w:pPr>
              <w:pStyle w:val="12"/>
            </w:pPr>
            <w:r>
              <w:t>30108</w:t>
            </w:r>
          </w:p>
        </w:tc>
        <w:tc>
          <w:tcPr>
            <w:tcW w:w="4535" w:type="dxa"/>
            <w:vAlign w:val="center"/>
          </w:tcPr>
          <w:p w14:paraId="6F983DD0">
            <w:pPr>
              <w:pStyle w:val="12"/>
            </w:pPr>
            <w:r>
              <w:t>机关事业单位基本养老保险缴费</w:t>
            </w:r>
          </w:p>
        </w:tc>
        <w:tc>
          <w:tcPr>
            <w:tcW w:w="2551" w:type="dxa"/>
            <w:vAlign w:val="center"/>
          </w:tcPr>
          <w:p w14:paraId="3314C8A4">
            <w:pPr>
              <w:pStyle w:val="11"/>
            </w:pPr>
            <w:r>
              <w:t>82.37</w:t>
            </w:r>
          </w:p>
        </w:tc>
        <w:tc>
          <w:tcPr>
            <w:tcW w:w="2551" w:type="dxa"/>
            <w:vAlign w:val="center"/>
          </w:tcPr>
          <w:p w14:paraId="3D0C2C70">
            <w:pPr>
              <w:pStyle w:val="11"/>
            </w:pPr>
            <w:r>
              <w:t>82.37</w:t>
            </w:r>
          </w:p>
        </w:tc>
        <w:tc>
          <w:tcPr>
            <w:tcW w:w="2551" w:type="dxa"/>
            <w:vAlign w:val="center"/>
          </w:tcPr>
          <w:p w14:paraId="47A4296D">
            <w:pPr>
              <w:pStyle w:val="11"/>
            </w:pPr>
          </w:p>
        </w:tc>
      </w:tr>
      <w:tr w14:paraId="16BC4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86BE4">
            <w:pPr>
              <w:pStyle w:val="13"/>
            </w:pPr>
            <w:r>
              <w:t>7</w:t>
            </w:r>
          </w:p>
        </w:tc>
        <w:tc>
          <w:tcPr>
            <w:tcW w:w="1191" w:type="dxa"/>
            <w:vAlign w:val="center"/>
          </w:tcPr>
          <w:p w14:paraId="2B03A754">
            <w:pPr>
              <w:pStyle w:val="12"/>
            </w:pPr>
            <w:r>
              <w:t>30110</w:t>
            </w:r>
          </w:p>
        </w:tc>
        <w:tc>
          <w:tcPr>
            <w:tcW w:w="4535" w:type="dxa"/>
            <w:vAlign w:val="center"/>
          </w:tcPr>
          <w:p w14:paraId="3C50B111">
            <w:pPr>
              <w:pStyle w:val="12"/>
            </w:pPr>
            <w:r>
              <w:t>职工基本医疗保险缴费</w:t>
            </w:r>
          </w:p>
        </w:tc>
        <w:tc>
          <w:tcPr>
            <w:tcW w:w="2551" w:type="dxa"/>
            <w:vAlign w:val="center"/>
          </w:tcPr>
          <w:p w14:paraId="061E14E9">
            <w:pPr>
              <w:pStyle w:val="11"/>
            </w:pPr>
            <w:r>
              <w:t>41.61</w:t>
            </w:r>
          </w:p>
        </w:tc>
        <w:tc>
          <w:tcPr>
            <w:tcW w:w="2551" w:type="dxa"/>
            <w:vAlign w:val="center"/>
          </w:tcPr>
          <w:p w14:paraId="69A896B2">
            <w:pPr>
              <w:pStyle w:val="11"/>
            </w:pPr>
            <w:r>
              <w:t>41.61</w:t>
            </w:r>
          </w:p>
        </w:tc>
        <w:tc>
          <w:tcPr>
            <w:tcW w:w="2551" w:type="dxa"/>
            <w:vAlign w:val="center"/>
          </w:tcPr>
          <w:p w14:paraId="49592E12">
            <w:pPr>
              <w:pStyle w:val="11"/>
            </w:pPr>
          </w:p>
        </w:tc>
      </w:tr>
      <w:tr w14:paraId="2BA6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8276B">
            <w:pPr>
              <w:pStyle w:val="13"/>
            </w:pPr>
            <w:r>
              <w:t>8</w:t>
            </w:r>
          </w:p>
        </w:tc>
        <w:tc>
          <w:tcPr>
            <w:tcW w:w="1191" w:type="dxa"/>
            <w:vAlign w:val="center"/>
          </w:tcPr>
          <w:p w14:paraId="040A0636">
            <w:pPr>
              <w:pStyle w:val="12"/>
            </w:pPr>
            <w:r>
              <w:t>30112</w:t>
            </w:r>
          </w:p>
        </w:tc>
        <w:tc>
          <w:tcPr>
            <w:tcW w:w="4535" w:type="dxa"/>
            <w:vAlign w:val="center"/>
          </w:tcPr>
          <w:p w14:paraId="73C055A9">
            <w:pPr>
              <w:pStyle w:val="12"/>
            </w:pPr>
            <w:r>
              <w:t>其他社会保障缴费</w:t>
            </w:r>
          </w:p>
        </w:tc>
        <w:tc>
          <w:tcPr>
            <w:tcW w:w="2551" w:type="dxa"/>
            <w:vAlign w:val="center"/>
          </w:tcPr>
          <w:p w14:paraId="1F4870CE">
            <w:pPr>
              <w:pStyle w:val="11"/>
            </w:pPr>
            <w:r>
              <w:t>3.83</w:t>
            </w:r>
          </w:p>
        </w:tc>
        <w:tc>
          <w:tcPr>
            <w:tcW w:w="2551" w:type="dxa"/>
            <w:vAlign w:val="center"/>
          </w:tcPr>
          <w:p w14:paraId="115FD478">
            <w:pPr>
              <w:pStyle w:val="11"/>
            </w:pPr>
            <w:r>
              <w:t>3.83</w:t>
            </w:r>
          </w:p>
        </w:tc>
        <w:tc>
          <w:tcPr>
            <w:tcW w:w="2551" w:type="dxa"/>
            <w:vAlign w:val="center"/>
          </w:tcPr>
          <w:p w14:paraId="54693606">
            <w:pPr>
              <w:pStyle w:val="11"/>
            </w:pPr>
          </w:p>
        </w:tc>
      </w:tr>
      <w:tr w14:paraId="3675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0ADE5">
            <w:pPr>
              <w:pStyle w:val="13"/>
            </w:pPr>
            <w:r>
              <w:t>9</w:t>
            </w:r>
          </w:p>
        </w:tc>
        <w:tc>
          <w:tcPr>
            <w:tcW w:w="1191" w:type="dxa"/>
            <w:vAlign w:val="center"/>
          </w:tcPr>
          <w:p w14:paraId="644A59CC">
            <w:pPr>
              <w:pStyle w:val="12"/>
            </w:pPr>
            <w:r>
              <w:t>30113</w:t>
            </w:r>
          </w:p>
        </w:tc>
        <w:tc>
          <w:tcPr>
            <w:tcW w:w="4535" w:type="dxa"/>
            <w:vAlign w:val="center"/>
          </w:tcPr>
          <w:p w14:paraId="55D5C3F5">
            <w:pPr>
              <w:pStyle w:val="12"/>
            </w:pPr>
            <w:r>
              <w:t>住房公积金</w:t>
            </w:r>
          </w:p>
        </w:tc>
        <w:tc>
          <w:tcPr>
            <w:tcW w:w="2551" w:type="dxa"/>
            <w:vAlign w:val="center"/>
          </w:tcPr>
          <w:p w14:paraId="57339A9A">
            <w:pPr>
              <w:pStyle w:val="11"/>
            </w:pPr>
            <w:r>
              <w:t>62.34</w:t>
            </w:r>
          </w:p>
        </w:tc>
        <w:tc>
          <w:tcPr>
            <w:tcW w:w="2551" w:type="dxa"/>
            <w:vAlign w:val="center"/>
          </w:tcPr>
          <w:p w14:paraId="359100FD">
            <w:pPr>
              <w:pStyle w:val="11"/>
            </w:pPr>
            <w:r>
              <w:t>62.34</w:t>
            </w:r>
          </w:p>
        </w:tc>
        <w:tc>
          <w:tcPr>
            <w:tcW w:w="2551" w:type="dxa"/>
            <w:vAlign w:val="center"/>
          </w:tcPr>
          <w:p w14:paraId="549E55E6">
            <w:pPr>
              <w:pStyle w:val="11"/>
            </w:pPr>
          </w:p>
        </w:tc>
      </w:tr>
      <w:tr w14:paraId="08FF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7AE9E">
            <w:pPr>
              <w:pStyle w:val="13"/>
            </w:pPr>
            <w:r>
              <w:t>10</w:t>
            </w:r>
          </w:p>
        </w:tc>
        <w:tc>
          <w:tcPr>
            <w:tcW w:w="1191" w:type="dxa"/>
            <w:vAlign w:val="center"/>
          </w:tcPr>
          <w:p w14:paraId="292012C8">
            <w:pPr>
              <w:pStyle w:val="12"/>
            </w:pPr>
            <w:r>
              <w:t>303</w:t>
            </w:r>
          </w:p>
        </w:tc>
        <w:tc>
          <w:tcPr>
            <w:tcW w:w="4535" w:type="dxa"/>
            <w:vAlign w:val="center"/>
          </w:tcPr>
          <w:p w14:paraId="3288A992">
            <w:pPr>
              <w:pStyle w:val="12"/>
            </w:pPr>
            <w:r>
              <w:t>对个人和家庭的补助</w:t>
            </w:r>
          </w:p>
        </w:tc>
        <w:tc>
          <w:tcPr>
            <w:tcW w:w="2551" w:type="dxa"/>
            <w:vAlign w:val="center"/>
          </w:tcPr>
          <w:p w14:paraId="60B6FF95">
            <w:pPr>
              <w:pStyle w:val="11"/>
            </w:pPr>
            <w:r>
              <w:t>1.04</w:t>
            </w:r>
          </w:p>
        </w:tc>
        <w:tc>
          <w:tcPr>
            <w:tcW w:w="2551" w:type="dxa"/>
            <w:vAlign w:val="center"/>
          </w:tcPr>
          <w:p w14:paraId="7184DC9E">
            <w:pPr>
              <w:pStyle w:val="11"/>
            </w:pPr>
            <w:r>
              <w:t>1.04</w:t>
            </w:r>
          </w:p>
        </w:tc>
        <w:tc>
          <w:tcPr>
            <w:tcW w:w="2551" w:type="dxa"/>
            <w:vAlign w:val="center"/>
          </w:tcPr>
          <w:p w14:paraId="599C0F95">
            <w:pPr>
              <w:pStyle w:val="11"/>
            </w:pPr>
          </w:p>
        </w:tc>
      </w:tr>
      <w:tr w14:paraId="6B07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A1316">
            <w:pPr>
              <w:pStyle w:val="13"/>
            </w:pPr>
            <w:r>
              <w:t>11</w:t>
            </w:r>
          </w:p>
        </w:tc>
        <w:tc>
          <w:tcPr>
            <w:tcW w:w="1191" w:type="dxa"/>
            <w:vAlign w:val="center"/>
          </w:tcPr>
          <w:p w14:paraId="7A02D0C7">
            <w:pPr>
              <w:pStyle w:val="12"/>
            </w:pPr>
            <w:r>
              <w:t>30302</w:t>
            </w:r>
          </w:p>
        </w:tc>
        <w:tc>
          <w:tcPr>
            <w:tcW w:w="4535" w:type="dxa"/>
            <w:vAlign w:val="center"/>
          </w:tcPr>
          <w:p w14:paraId="0FB2DD4F">
            <w:pPr>
              <w:pStyle w:val="12"/>
            </w:pPr>
            <w:r>
              <w:t>退休费</w:t>
            </w:r>
          </w:p>
        </w:tc>
        <w:tc>
          <w:tcPr>
            <w:tcW w:w="2551" w:type="dxa"/>
            <w:vAlign w:val="center"/>
          </w:tcPr>
          <w:p w14:paraId="283B5263">
            <w:pPr>
              <w:pStyle w:val="11"/>
            </w:pPr>
            <w:r>
              <w:t>1.04</w:t>
            </w:r>
          </w:p>
        </w:tc>
        <w:tc>
          <w:tcPr>
            <w:tcW w:w="2551" w:type="dxa"/>
            <w:vAlign w:val="center"/>
          </w:tcPr>
          <w:p w14:paraId="771589A9">
            <w:pPr>
              <w:pStyle w:val="11"/>
            </w:pPr>
            <w:r>
              <w:t>1.04</w:t>
            </w:r>
          </w:p>
        </w:tc>
        <w:tc>
          <w:tcPr>
            <w:tcW w:w="2551" w:type="dxa"/>
            <w:vAlign w:val="center"/>
          </w:tcPr>
          <w:p w14:paraId="153A6553">
            <w:pPr>
              <w:pStyle w:val="11"/>
            </w:pPr>
          </w:p>
        </w:tc>
      </w:tr>
    </w:tbl>
    <w:p w14:paraId="387AC228">
      <w:pPr>
        <w:sectPr>
          <w:pgSz w:w="16840" w:h="11900" w:orient="landscape"/>
          <w:pgMar w:top="1361" w:right="1020" w:bottom="1134" w:left="1020" w:header="720" w:footer="720" w:gutter="0"/>
          <w:cols w:space="720" w:num="1"/>
        </w:sectPr>
      </w:pPr>
    </w:p>
    <w:p w14:paraId="72BB0D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17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DB216">
            <w:pPr>
              <w:pStyle w:val="9"/>
            </w:pPr>
            <w:r>
              <w:t>360037隆尧县第三实验小学</w:t>
            </w:r>
          </w:p>
        </w:tc>
        <w:tc>
          <w:tcPr>
            <w:tcW w:w="2551" w:type="dxa"/>
            <w:tcBorders>
              <w:top w:val="single" w:color="FFFFFF" w:sz="6" w:space="0"/>
              <w:left w:val="single" w:color="FFFFFF" w:sz="6" w:space="0"/>
              <w:right w:val="single" w:color="FFFFFF" w:sz="6" w:space="0"/>
            </w:tcBorders>
            <w:vAlign w:val="center"/>
          </w:tcPr>
          <w:p w14:paraId="74C143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E0EA4D">
            <w:pPr>
              <w:pStyle w:val="7"/>
            </w:pPr>
            <w:r>
              <w:t>单位：万元</w:t>
            </w:r>
          </w:p>
        </w:tc>
      </w:tr>
      <w:tr w14:paraId="58C4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0C6B2">
            <w:pPr>
              <w:pStyle w:val="10"/>
            </w:pPr>
            <w:r>
              <w:t>序号</w:t>
            </w:r>
          </w:p>
        </w:tc>
        <w:tc>
          <w:tcPr>
            <w:tcW w:w="5726" w:type="dxa"/>
            <w:gridSpan w:val="2"/>
            <w:vAlign w:val="center"/>
          </w:tcPr>
          <w:p w14:paraId="4DA82CCF">
            <w:pPr>
              <w:pStyle w:val="10"/>
            </w:pPr>
            <w:r>
              <w:t>功能分类科目</w:t>
            </w:r>
          </w:p>
        </w:tc>
        <w:tc>
          <w:tcPr>
            <w:tcW w:w="2551" w:type="dxa"/>
            <w:vMerge w:val="restart"/>
            <w:vAlign w:val="center"/>
          </w:tcPr>
          <w:p w14:paraId="6BF6EAF5">
            <w:pPr>
              <w:pStyle w:val="10"/>
            </w:pPr>
            <w:r>
              <w:t>合计</w:t>
            </w:r>
          </w:p>
        </w:tc>
        <w:tc>
          <w:tcPr>
            <w:tcW w:w="2551" w:type="dxa"/>
            <w:vMerge w:val="restart"/>
            <w:vAlign w:val="center"/>
          </w:tcPr>
          <w:p w14:paraId="7D6FFD5D">
            <w:pPr>
              <w:pStyle w:val="10"/>
            </w:pPr>
            <w:r>
              <w:t>基本支出</w:t>
            </w:r>
          </w:p>
        </w:tc>
        <w:tc>
          <w:tcPr>
            <w:tcW w:w="2551" w:type="dxa"/>
            <w:vMerge w:val="restart"/>
            <w:vAlign w:val="center"/>
          </w:tcPr>
          <w:p w14:paraId="3B40642D">
            <w:pPr>
              <w:pStyle w:val="10"/>
            </w:pPr>
            <w:r>
              <w:t>项目支出</w:t>
            </w:r>
          </w:p>
        </w:tc>
      </w:tr>
      <w:tr w14:paraId="4D25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B4A01F"/>
        </w:tc>
        <w:tc>
          <w:tcPr>
            <w:tcW w:w="1191" w:type="dxa"/>
            <w:vAlign w:val="center"/>
          </w:tcPr>
          <w:p w14:paraId="3FA802F3">
            <w:pPr>
              <w:pStyle w:val="10"/>
            </w:pPr>
            <w:r>
              <w:t>科目编码</w:t>
            </w:r>
          </w:p>
        </w:tc>
        <w:tc>
          <w:tcPr>
            <w:tcW w:w="4535" w:type="dxa"/>
            <w:vAlign w:val="center"/>
          </w:tcPr>
          <w:p w14:paraId="4CF4C982">
            <w:pPr>
              <w:pStyle w:val="10"/>
            </w:pPr>
            <w:r>
              <w:t>科目名称</w:t>
            </w:r>
          </w:p>
        </w:tc>
        <w:tc>
          <w:tcPr>
            <w:tcW w:w="2551" w:type="dxa"/>
            <w:vMerge w:val="continue"/>
          </w:tcPr>
          <w:p w14:paraId="1D962B36"/>
        </w:tc>
        <w:tc>
          <w:tcPr>
            <w:tcW w:w="2551" w:type="dxa"/>
            <w:vMerge w:val="continue"/>
          </w:tcPr>
          <w:p w14:paraId="235725D4"/>
        </w:tc>
        <w:tc>
          <w:tcPr>
            <w:tcW w:w="2551" w:type="dxa"/>
            <w:vMerge w:val="continue"/>
          </w:tcPr>
          <w:p w14:paraId="4AA340A2"/>
        </w:tc>
      </w:tr>
      <w:tr w14:paraId="5899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8398F2">
            <w:pPr>
              <w:pStyle w:val="10"/>
            </w:pPr>
            <w:r>
              <w:t>栏次</w:t>
            </w:r>
          </w:p>
        </w:tc>
        <w:tc>
          <w:tcPr>
            <w:tcW w:w="1191" w:type="dxa"/>
            <w:vAlign w:val="center"/>
          </w:tcPr>
          <w:p w14:paraId="4FF660D6">
            <w:pPr>
              <w:pStyle w:val="10"/>
            </w:pPr>
            <w:r>
              <w:t>1</w:t>
            </w:r>
          </w:p>
        </w:tc>
        <w:tc>
          <w:tcPr>
            <w:tcW w:w="4535" w:type="dxa"/>
            <w:vAlign w:val="center"/>
          </w:tcPr>
          <w:p w14:paraId="4340B416">
            <w:pPr>
              <w:pStyle w:val="10"/>
            </w:pPr>
            <w:r>
              <w:t>2</w:t>
            </w:r>
          </w:p>
        </w:tc>
        <w:tc>
          <w:tcPr>
            <w:tcW w:w="2551" w:type="dxa"/>
            <w:vAlign w:val="center"/>
          </w:tcPr>
          <w:p w14:paraId="18F52041">
            <w:pPr>
              <w:pStyle w:val="10"/>
            </w:pPr>
            <w:r>
              <w:t>3</w:t>
            </w:r>
          </w:p>
        </w:tc>
        <w:tc>
          <w:tcPr>
            <w:tcW w:w="2551" w:type="dxa"/>
            <w:vAlign w:val="center"/>
          </w:tcPr>
          <w:p w14:paraId="6BE47B1A">
            <w:pPr>
              <w:pStyle w:val="10"/>
            </w:pPr>
            <w:r>
              <w:t>4</w:t>
            </w:r>
          </w:p>
        </w:tc>
        <w:tc>
          <w:tcPr>
            <w:tcW w:w="2551" w:type="dxa"/>
            <w:vAlign w:val="center"/>
          </w:tcPr>
          <w:p w14:paraId="6AF9ADA7">
            <w:pPr>
              <w:pStyle w:val="10"/>
            </w:pPr>
            <w:r>
              <w:t>5</w:t>
            </w:r>
          </w:p>
        </w:tc>
      </w:tr>
      <w:tr w14:paraId="6905E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B875">
            <w:pPr>
              <w:pStyle w:val="13"/>
            </w:pPr>
          </w:p>
        </w:tc>
        <w:tc>
          <w:tcPr>
            <w:tcW w:w="1191" w:type="dxa"/>
            <w:vAlign w:val="center"/>
          </w:tcPr>
          <w:p w14:paraId="70929C64">
            <w:pPr>
              <w:pStyle w:val="12"/>
            </w:pPr>
          </w:p>
        </w:tc>
        <w:tc>
          <w:tcPr>
            <w:tcW w:w="4535" w:type="dxa"/>
            <w:vAlign w:val="center"/>
          </w:tcPr>
          <w:p w14:paraId="155DFA32">
            <w:pPr>
              <w:pStyle w:val="12"/>
            </w:pPr>
          </w:p>
        </w:tc>
        <w:tc>
          <w:tcPr>
            <w:tcW w:w="2551" w:type="dxa"/>
            <w:vAlign w:val="center"/>
          </w:tcPr>
          <w:p w14:paraId="774EAB76">
            <w:pPr>
              <w:pStyle w:val="11"/>
            </w:pPr>
          </w:p>
        </w:tc>
        <w:tc>
          <w:tcPr>
            <w:tcW w:w="2551" w:type="dxa"/>
            <w:vAlign w:val="center"/>
          </w:tcPr>
          <w:p w14:paraId="535AB837">
            <w:pPr>
              <w:pStyle w:val="11"/>
            </w:pPr>
          </w:p>
        </w:tc>
        <w:tc>
          <w:tcPr>
            <w:tcW w:w="2551" w:type="dxa"/>
            <w:vAlign w:val="center"/>
          </w:tcPr>
          <w:p w14:paraId="52E90E97">
            <w:pPr>
              <w:pStyle w:val="11"/>
            </w:pPr>
          </w:p>
        </w:tc>
      </w:tr>
    </w:tbl>
    <w:p w14:paraId="74F990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4EF7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C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6B4283">
            <w:pPr>
              <w:pStyle w:val="9"/>
            </w:pPr>
            <w:r>
              <w:t>360037隆尧县第三实验小学</w:t>
            </w:r>
          </w:p>
        </w:tc>
        <w:tc>
          <w:tcPr>
            <w:tcW w:w="2551" w:type="dxa"/>
            <w:tcBorders>
              <w:top w:val="single" w:color="FFFFFF" w:sz="6" w:space="0"/>
              <w:left w:val="single" w:color="FFFFFF" w:sz="6" w:space="0"/>
              <w:right w:val="single" w:color="FFFFFF" w:sz="6" w:space="0"/>
            </w:tcBorders>
            <w:vAlign w:val="center"/>
          </w:tcPr>
          <w:p w14:paraId="64992A2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AABD6C">
            <w:pPr>
              <w:pStyle w:val="7"/>
            </w:pPr>
            <w:r>
              <w:t>单位：万元</w:t>
            </w:r>
          </w:p>
        </w:tc>
      </w:tr>
      <w:tr w14:paraId="6C9C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290B02">
            <w:pPr>
              <w:pStyle w:val="10"/>
            </w:pPr>
            <w:r>
              <w:t>序号</w:t>
            </w:r>
          </w:p>
        </w:tc>
        <w:tc>
          <w:tcPr>
            <w:tcW w:w="5726" w:type="dxa"/>
            <w:gridSpan w:val="2"/>
            <w:vAlign w:val="center"/>
          </w:tcPr>
          <w:p w14:paraId="7FA9A707">
            <w:pPr>
              <w:pStyle w:val="10"/>
            </w:pPr>
            <w:r>
              <w:t>功能分类科目</w:t>
            </w:r>
          </w:p>
        </w:tc>
        <w:tc>
          <w:tcPr>
            <w:tcW w:w="2551" w:type="dxa"/>
            <w:vMerge w:val="restart"/>
            <w:vAlign w:val="center"/>
          </w:tcPr>
          <w:p w14:paraId="09DADB4D">
            <w:pPr>
              <w:pStyle w:val="10"/>
            </w:pPr>
            <w:r>
              <w:t>合计</w:t>
            </w:r>
          </w:p>
        </w:tc>
        <w:tc>
          <w:tcPr>
            <w:tcW w:w="2551" w:type="dxa"/>
            <w:vMerge w:val="restart"/>
            <w:vAlign w:val="center"/>
          </w:tcPr>
          <w:p w14:paraId="1C178C02">
            <w:pPr>
              <w:pStyle w:val="10"/>
            </w:pPr>
            <w:r>
              <w:t>基本支出</w:t>
            </w:r>
          </w:p>
        </w:tc>
        <w:tc>
          <w:tcPr>
            <w:tcW w:w="2551" w:type="dxa"/>
            <w:vMerge w:val="restart"/>
            <w:vAlign w:val="center"/>
          </w:tcPr>
          <w:p w14:paraId="09600ED6">
            <w:pPr>
              <w:pStyle w:val="10"/>
            </w:pPr>
            <w:r>
              <w:t>项目支出</w:t>
            </w:r>
          </w:p>
        </w:tc>
      </w:tr>
      <w:tr w14:paraId="14D4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B0C2F5"/>
        </w:tc>
        <w:tc>
          <w:tcPr>
            <w:tcW w:w="1191" w:type="dxa"/>
            <w:vAlign w:val="center"/>
          </w:tcPr>
          <w:p w14:paraId="0128EAD5">
            <w:pPr>
              <w:pStyle w:val="10"/>
            </w:pPr>
            <w:r>
              <w:t>科目编码</w:t>
            </w:r>
          </w:p>
        </w:tc>
        <w:tc>
          <w:tcPr>
            <w:tcW w:w="4535" w:type="dxa"/>
            <w:vAlign w:val="center"/>
          </w:tcPr>
          <w:p w14:paraId="63ABD1A3">
            <w:pPr>
              <w:pStyle w:val="10"/>
            </w:pPr>
            <w:r>
              <w:t>科目名称</w:t>
            </w:r>
          </w:p>
        </w:tc>
        <w:tc>
          <w:tcPr>
            <w:tcW w:w="2551" w:type="dxa"/>
            <w:vMerge w:val="continue"/>
          </w:tcPr>
          <w:p w14:paraId="340A6D10"/>
        </w:tc>
        <w:tc>
          <w:tcPr>
            <w:tcW w:w="2551" w:type="dxa"/>
            <w:vMerge w:val="continue"/>
          </w:tcPr>
          <w:p w14:paraId="0D41B7C9"/>
        </w:tc>
        <w:tc>
          <w:tcPr>
            <w:tcW w:w="2551" w:type="dxa"/>
            <w:vMerge w:val="continue"/>
          </w:tcPr>
          <w:p w14:paraId="6B8AB42F"/>
        </w:tc>
      </w:tr>
      <w:tr w14:paraId="4B30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4901F">
            <w:pPr>
              <w:pStyle w:val="10"/>
            </w:pPr>
            <w:r>
              <w:t>栏次</w:t>
            </w:r>
          </w:p>
        </w:tc>
        <w:tc>
          <w:tcPr>
            <w:tcW w:w="1191" w:type="dxa"/>
            <w:vAlign w:val="center"/>
          </w:tcPr>
          <w:p w14:paraId="77D36742">
            <w:pPr>
              <w:pStyle w:val="10"/>
            </w:pPr>
            <w:r>
              <w:t>1</w:t>
            </w:r>
          </w:p>
        </w:tc>
        <w:tc>
          <w:tcPr>
            <w:tcW w:w="4535" w:type="dxa"/>
            <w:vAlign w:val="center"/>
          </w:tcPr>
          <w:p w14:paraId="15B4EECB">
            <w:pPr>
              <w:pStyle w:val="10"/>
            </w:pPr>
            <w:r>
              <w:t>2</w:t>
            </w:r>
          </w:p>
        </w:tc>
        <w:tc>
          <w:tcPr>
            <w:tcW w:w="2551" w:type="dxa"/>
            <w:vAlign w:val="center"/>
          </w:tcPr>
          <w:p w14:paraId="249D0404">
            <w:pPr>
              <w:pStyle w:val="10"/>
            </w:pPr>
            <w:r>
              <w:t>3</w:t>
            </w:r>
          </w:p>
        </w:tc>
        <w:tc>
          <w:tcPr>
            <w:tcW w:w="2551" w:type="dxa"/>
            <w:vAlign w:val="center"/>
          </w:tcPr>
          <w:p w14:paraId="3BE1CDED">
            <w:pPr>
              <w:pStyle w:val="10"/>
            </w:pPr>
            <w:r>
              <w:t>4</w:t>
            </w:r>
          </w:p>
        </w:tc>
        <w:tc>
          <w:tcPr>
            <w:tcW w:w="2551" w:type="dxa"/>
            <w:vAlign w:val="center"/>
          </w:tcPr>
          <w:p w14:paraId="33EDFB7B">
            <w:pPr>
              <w:pStyle w:val="10"/>
            </w:pPr>
            <w:r>
              <w:t>5</w:t>
            </w:r>
          </w:p>
        </w:tc>
      </w:tr>
      <w:tr w14:paraId="0631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1C63">
            <w:pPr>
              <w:pStyle w:val="13"/>
            </w:pPr>
          </w:p>
        </w:tc>
        <w:tc>
          <w:tcPr>
            <w:tcW w:w="1191" w:type="dxa"/>
            <w:vAlign w:val="center"/>
          </w:tcPr>
          <w:p w14:paraId="6A2FD9FF">
            <w:pPr>
              <w:pStyle w:val="12"/>
            </w:pPr>
          </w:p>
        </w:tc>
        <w:tc>
          <w:tcPr>
            <w:tcW w:w="4535" w:type="dxa"/>
            <w:vAlign w:val="center"/>
          </w:tcPr>
          <w:p w14:paraId="63CC9574">
            <w:pPr>
              <w:pStyle w:val="12"/>
            </w:pPr>
          </w:p>
        </w:tc>
        <w:tc>
          <w:tcPr>
            <w:tcW w:w="2551" w:type="dxa"/>
            <w:vAlign w:val="center"/>
          </w:tcPr>
          <w:p w14:paraId="7A799B32">
            <w:pPr>
              <w:pStyle w:val="11"/>
            </w:pPr>
          </w:p>
        </w:tc>
        <w:tc>
          <w:tcPr>
            <w:tcW w:w="2551" w:type="dxa"/>
            <w:vAlign w:val="center"/>
          </w:tcPr>
          <w:p w14:paraId="2F8A221C">
            <w:pPr>
              <w:pStyle w:val="11"/>
            </w:pPr>
          </w:p>
        </w:tc>
        <w:tc>
          <w:tcPr>
            <w:tcW w:w="2551" w:type="dxa"/>
            <w:vAlign w:val="center"/>
          </w:tcPr>
          <w:p w14:paraId="2BC8F5B7">
            <w:pPr>
              <w:pStyle w:val="11"/>
            </w:pPr>
          </w:p>
        </w:tc>
      </w:tr>
    </w:tbl>
    <w:p w14:paraId="6412D4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5971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7C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A95762">
            <w:pPr>
              <w:pStyle w:val="9"/>
            </w:pPr>
            <w:r>
              <w:t>360037隆尧县第三实验小学</w:t>
            </w:r>
          </w:p>
        </w:tc>
        <w:tc>
          <w:tcPr>
            <w:tcW w:w="2381" w:type="dxa"/>
            <w:tcBorders>
              <w:top w:val="single" w:color="FFFFFF" w:sz="6" w:space="0"/>
              <w:left w:val="single" w:color="FFFFFF" w:sz="6" w:space="0"/>
              <w:right w:val="single" w:color="FFFFFF" w:sz="6" w:space="0"/>
            </w:tcBorders>
            <w:vAlign w:val="center"/>
          </w:tcPr>
          <w:p w14:paraId="38D52E7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808F11A">
            <w:pPr>
              <w:pStyle w:val="7"/>
            </w:pPr>
            <w:r>
              <w:t>单位：万元</w:t>
            </w:r>
          </w:p>
        </w:tc>
      </w:tr>
      <w:tr w14:paraId="4C0D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E14EC">
            <w:pPr>
              <w:pStyle w:val="10"/>
            </w:pPr>
            <w:r>
              <w:t>序号</w:t>
            </w:r>
          </w:p>
        </w:tc>
        <w:tc>
          <w:tcPr>
            <w:tcW w:w="3798" w:type="dxa"/>
            <w:vMerge w:val="restart"/>
            <w:vAlign w:val="center"/>
          </w:tcPr>
          <w:p w14:paraId="680B7423">
            <w:pPr>
              <w:pStyle w:val="10"/>
            </w:pPr>
            <w:r>
              <w:t>项  目</w:t>
            </w:r>
          </w:p>
        </w:tc>
        <w:tc>
          <w:tcPr>
            <w:tcW w:w="9524" w:type="dxa"/>
            <w:gridSpan w:val="4"/>
            <w:vAlign w:val="center"/>
          </w:tcPr>
          <w:p w14:paraId="30CD69F2">
            <w:pPr>
              <w:pStyle w:val="10"/>
            </w:pPr>
            <w:r>
              <w:t>资 金 性 质</w:t>
            </w:r>
          </w:p>
        </w:tc>
      </w:tr>
      <w:tr w14:paraId="6255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BE4D55"/>
        </w:tc>
        <w:tc>
          <w:tcPr>
            <w:tcW w:w="3798" w:type="dxa"/>
            <w:vMerge w:val="continue"/>
          </w:tcPr>
          <w:p w14:paraId="26AABFDB"/>
        </w:tc>
        <w:tc>
          <w:tcPr>
            <w:tcW w:w="2381" w:type="dxa"/>
            <w:vAlign w:val="center"/>
          </w:tcPr>
          <w:p w14:paraId="70C745D5">
            <w:pPr>
              <w:pStyle w:val="10"/>
            </w:pPr>
            <w:r>
              <w:t>合计</w:t>
            </w:r>
          </w:p>
        </w:tc>
        <w:tc>
          <w:tcPr>
            <w:tcW w:w="2381" w:type="dxa"/>
            <w:vAlign w:val="center"/>
          </w:tcPr>
          <w:p w14:paraId="7A9A7F27">
            <w:pPr>
              <w:pStyle w:val="10"/>
            </w:pPr>
            <w:r>
              <w:t>一般公共预算              财政拨款</w:t>
            </w:r>
          </w:p>
        </w:tc>
        <w:tc>
          <w:tcPr>
            <w:tcW w:w="2381" w:type="dxa"/>
            <w:vAlign w:val="center"/>
          </w:tcPr>
          <w:p w14:paraId="4A3C3C48">
            <w:pPr>
              <w:pStyle w:val="10"/>
            </w:pPr>
            <w:r>
              <w:t>政府性基金                  预算拨款</w:t>
            </w:r>
          </w:p>
        </w:tc>
        <w:tc>
          <w:tcPr>
            <w:tcW w:w="2381" w:type="dxa"/>
            <w:vAlign w:val="center"/>
          </w:tcPr>
          <w:p w14:paraId="0B6AC562">
            <w:pPr>
              <w:pStyle w:val="10"/>
            </w:pPr>
            <w:r>
              <w:t>国有资本经营              预算财政拨款</w:t>
            </w:r>
          </w:p>
        </w:tc>
      </w:tr>
      <w:tr w14:paraId="09E7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13BE81">
            <w:pPr>
              <w:pStyle w:val="10"/>
            </w:pPr>
            <w:r>
              <w:t>栏次</w:t>
            </w:r>
          </w:p>
        </w:tc>
        <w:tc>
          <w:tcPr>
            <w:tcW w:w="3798" w:type="dxa"/>
            <w:vAlign w:val="center"/>
          </w:tcPr>
          <w:p w14:paraId="5BB57308">
            <w:pPr>
              <w:pStyle w:val="10"/>
            </w:pPr>
            <w:r>
              <w:t>1</w:t>
            </w:r>
          </w:p>
        </w:tc>
        <w:tc>
          <w:tcPr>
            <w:tcW w:w="2381" w:type="dxa"/>
            <w:vAlign w:val="center"/>
          </w:tcPr>
          <w:p w14:paraId="31EEC874">
            <w:pPr>
              <w:pStyle w:val="10"/>
            </w:pPr>
            <w:r>
              <w:t>2</w:t>
            </w:r>
          </w:p>
        </w:tc>
        <w:tc>
          <w:tcPr>
            <w:tcW w:w="2381" w:type="dxa"/>
            <w:vAlign w:val="center"/>
          </w:tcPr>
          <w:p w14:paraId="50144023">
            <w:pPr>
              <w:pStyle w:val="10"/>
            </w:pPr>
            <w:r>
              <w:t>3</w:t>
            </w:r>
          </w:p>
        </w:tc>
        <w:tc>
          <w:tcPr>
            <w:tcW w:w="2381" w:type="dxa"/>
            <w:vAlign w:val="center"/>
          </w:tcPr>
          <w:p w14:paraId="0BE0F74E">
            <w:pPr>
              <w:pStyle w:val="10"/>
            </w:pPr>
            <w:r>
              <w:t>4</w:t>
            </w:r>
          </w:p>
        </w:tc>
        <w:tc>
          <w:tcPr>
            <w:tcW w:w="2381" w:type="dxa"/>
            <w:vAlign w:val="center"/>
          </w:tcPr>
          <w:p w14:paraId="5746F1D2">
            <w:pPr>
              <w:pStyle w:val="10"/>
            </w:pPr>
            <w:r>
              <w:t>5</w:t>
            </w:r>
          </w:p>
        </w:tc>
      </w:tr>
      <w:tr w14:paraId="2E4D1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9F71C1">
            <w:pPr>
              <w:pStyle w:val="13"/>
            </w:pPr>
          </w:p>
        </w:tc>
        <w:tc>
          <w:tcPr>
            <w:tcW w:w="3798" w:type="dxa"/>
            <w:vAlign w:val="center"/>
          </w:tcPr>
          <w:p w14:paraId="66902AC6">
            <w:pPr>
              <w:pStyle w:val="12"/>
            </w:pPr>
          </w:p>
        </w:tc>
        <w:tc>
          <w:tcPr>
            <w:tcW w:w="2381" w:type="dxa"/>
            <w:vAlign w:val="center"/>
          </w:tcPr>
          <w:p w14:paraId="45B3ED7C">
            <w:pPr>
              <w:pStyle w:val="11"/>
            </w:pPr>
          </w:p>
        </w:tc>
        <w:tc>
          <w:tcPr>
            <w:tcW w:w="2381" w:type="dxa"/>
            <w:vAlign w:val="center"/>
          </w:tcPr>
          <w:p w14:paraId="263C3288">
            <w:pPr>
              <w:pStyle w:val="11"/>
            </w:pPr>
          </w:p>
        </w:tc>
        <w:tc>
          <w:tcPr>
            <w:tcW w:w="2381" w:type="dxa"/>
            <w:vAlign w:val="center"/>
          </w:tcPr>
          <w:p w14:paraId="0049DCA6">
            <w:pPr>
              <w:pStyle w:val="11"/>
            </w:pPr>
          </w:p>
        </w:tc>
        <w:tc>
          <w:tcPr>
            <w:tcW w:w="2381" w:type="dxa"/>
            <w:vAlign w:val="center"/>
          </w:tcPr>
          <w:p w14:paraId="21F0EDA5">
            <w:pPr>
              <w:pStyle w:val="11"/>
            </w:pPr>
          </w:p>
        </w:tc>
      </w:tr>
    </w:tbl>
    <w:p w14:paraId="4E4AC3E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7F9952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隆尧县第三实验小学2026年单位预算信息公开情况说明</w:t>
      </w:r>
    </w:p>
    <w:p w14:paraId="6AED3F2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地方预决算公开操作规程》和《关于进一步推进预算公开工作的实施意见》规定，现将隆尧县第三实验小学2026年单位预算公开如下：</w:t>
      </w:r>
    </w:p>
    <w:p w14:paraId="6BB4839C">
      <w:pPr>
        <w:spacing w:before="10" w:after="10" w:line="240" w:lineRule="auto"/>
        <w:ind w:firstLine="640"/>
        <w:jc w:val="left"/>
        <w:outlineLvl w:val="5"/>
      </w:pPr>
      <w:r>
        <w:rPr>
          <w:rFonts w:ascii="黑体" w:hAnsi="黑体" w:eastAsia="黑体" w:cs="黑体"/>
          <w:color w:val="000000"/>
          <w:sz w:val="32"/>
        </w:rPr>
        <w:t>一、单位职责及机构设置情况</w:t>
      </w:r>
    </w:p>
    <w:p w14:paraId="3974F31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50FF65">
      <w:pPr>
        <w:pStyle w:val="17"/>
        <w:rPr>
          <w:rFonts w:hint="eastAsia"/>
        </w:rPr>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w:t>
      </w:r>
    </w:p>
    <w:p w14:paraId="02725B0F">
      <w:pPr>
        <w:pStyle w:val="17"/>
      </w:pPr>
      <w:r>
        <w:rPr>
          <w:rFonts w:hint="eastAsia"/>
        </w:rPr>
        <w:t>隆尧县第三实验小学事业编制72名</w:t>
      </w:r>
      <w:r>
        <w:rPr>
          <w:rFonts w:hint="eastAsia"/>
          <w:lang w:eastAsia="zh-CN"/>
        </w:rPr>
        <w:t>。</w:t>
      </w:r>
      <w:r>
        <w:rPr>
          <w:rFonts w:hint="eastAsia"/>
        </w:rPr>
        <w:t>其中，校长1名（正股级），副校长2名（副股级）；经费形式为财政性资金基本保证。</w:t>
      </w:r>
    </w:p>
    <w:p w14:paraId="66658A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F2C0A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81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3FB107">
            <w:pPr>
              <w:pStyle w:val="10"/>
            </w:pPr>
            <w:r>
              <w:t>单位名称</w:t>
            </w:r>
          </w:p>
        </w:tc>
        <w:tc>
          <w:tcPr>
            <w:tcW w:w="1843" w:type="dxa"/>
            <w:vAlign w:val="center"/>
          </w:tcPr>
          <w:p w14:paraId="4EAED8B4">
            <w:pPr>
              <w:pStyle w:val="10"/>
            </w:pPr>
            <w:r>
              <w:t>单位性质</w:t>
            </w:r>
          </w:p>
        </w:tc>
        <w:tc>
          <w:tcPr>
            <w:tcW w:w="2126" w:type="dxa"/>
            <w:vAlign w:val="center"/>
          </w:tcPr>
          <w:p w14:paraId="353E2401">
            <w:pPr>
              <w:pStyle w:val="10"/>
            </w:pPr>
            <w:r>
              <w:t>单位规格</w:t>
            </w:r>
          </w:p>
        </w:tc>
        <w:tc>
          <w:tcPr>
            <w:tcW w:w="3827" w:type="dxa"/>
            <w:vAlign w:val="center"/>
          </w:tcPr>
          <w:p w14:paraId="423C9562">
            <w:pPr>
              <w:pStyle w:val="10"/>
            </w:pPr>
            <w:r>
              <w:t>经费保障形式</w:t>
            </w:r>
          </w:p>
        </w:tc>
      </w:tr>
      <w:tr w14:paraId="6242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962C70">
            <w:pPr>
              <w:pStyle w:val="12"/>
            </w:pPr>
            <w:r>
              <w:t>隆尧县第三实验小学</w:t>
            </w:r>
          </w:p>
        </w:tc>
        <w:tc>
          <w:tcPr>
            <w:tcW w:w="1843" w:type="dxa"/>
            <w:vAlign w:val="center"/>
          </w:tcPr>
          <w:p w14:paraId="7CEC0E03">
            <w:pPr>
              <w:pStyle w:val="13"/>
            </w:pPr>
            <w:r>
              <w:t>事业</w:t>
            </w:r>
          </w:p>
        </w:tc>
        <w:tc>
          <w:tcPr>
            <w:tcW w:w="2126" w:type="dxa"/>
            <w:vAlign w:val="center"/>
          </w:tcPr>
          <w:p w14:paraId="7BD0C80D">
            <w:pPr>
              <w:pStyle w:val="13"/>
            </w:pPr>
            <w:r>
              <w:t>股级</w:t>
            </w:r>
          </w:p>
        </w:tc>
        <w:tc>
          <w:tcPr>
            <w:tcW w:w="3827" w:type="dxa"/>
            <w:vAlign w:val="center"/>
          </w:tcPr>
          <w:p w14:paraId="3910DED5">
            <w:pPr>
              <w:pStyle w:val="13"/>
            </w:pPr>
            <w:r>
              <w:t>财政性资金基本保证</w:t>
            </w:r>
          </w:p>
        </w:tc>
      </w:tr>
    </w:tbl>
    <w:p w14:paraId="19231755">
      <w:pPr>
        <w:spacing w:before="10" w:after="10" w:line="240" w:lineRule="auto"/>
        <w:ind w:firstLine="640"/>
        <w:jc w:val="left"/>
        <w:outlineLvl w:val="5"/>
      </w:pPr>
      <w:r>
        <w:rPr>
          <w:rFonts w:ascii="黑体" w:hAnsi="黑体" w:eastAsia="黑体" w:cs="黑体"/>
          <w:color w:val="000000"/>
          <w:sz w:val="32"/>
        </w:rPr>
        <w:t>二、单位预算安排的总体情况</w:t>
      </w:r>
    </w:p>
    <w:p w14:paraId="3E1904F0">
      <w:pPr>
        <w:pStyle w:val="18"/>
      </w:pPr>
    </w:p>
    <w:p w14:paraId="6D3BC945">
      <w:pPr>
        <w:pStyle w:val="18"/>
      </w:pPr>
      <w:r>
        <w:t>按照预算管理有关规定，目前我校单位预算的编制实行综合预算管理，即全部收入和支出都反映的预算中。隆尧县第三实验小学的收支包含在单位预算中。</w:t>
      </w:r>
    </w:p>
    <w:p w14:paraId="14A11A96">
      <w:pPr>
        <w:pStyle w:val="18"/>
      </w:pPr>
      <w:r>
        <w:t>1、收入说明</w:t>
      </w:r>
    </w:p>
    <w:p w14:paraId="02060983">
      <w:pPr>
        <w:pStyle w:val="18"/>
      </w:pPr>
      <w:r>
        <w:t>反映本单位当年全部收入。2026年预算收入1036.94万元，其中：一般公共预算收入1036.94万元，基金预算收入0万元，基金预算收入0万元，国有资本经营预算收入0万元，财政专户拨收入0万元，单位资金收入0万元，上年结转结余0万元。</w:t>
      </w:r>
    </w:p>
    <w:p w14:paraId="276E92F5">
      <w:pPr>
        <w:pStyle w:val="18"/>
      </w:pPr>
      <w:r>
        <w:t>2、支出说明</w:t>
      </w:r>
    </w:p>
    <w:p w14:paraId="4256A2E3">
      <w:pPr>
        <w:pStyle w:val="18"/>
      </w:pPr>
      <w:r>
        <w:t>收支预算总表支出栏、基本支出表、项目支出表按经济分类和支出功能分类科目编制，反映隆尧县第三实验小学年度单位预算中支出预算的总体情况。2026年单位支出预算为1036.94万元，其中基本支出814.47万元、项目支出222.47万元。主要为小学教育1036.94万元。</w:t>
      </w:r>
    </w:p>
    <w:p w14:paraId="0482C3B5">
      <w:pPr>
        <w:pStyle w:val="18"/>
      </w:pPr>
      <w:r>
        <w:t>3、比上年增减情况</w:t>
      </w:r>
    </w:p>
    <w:p w14:paraId="6E84B31D">
      <w:pPr>
        <w:pStyle w:val="18"/>
      </w:pPr>
      <w:r>
        <w:t>2026年部门预算收支安排1036.94万元，较上年支出预算增加57.19万元，其中基本支出增加52.25万元、项目支出4.94万元。</w:t>
      </w:r>
    </w:p>
    <w:p w14:paraId="5F6F95F5">
      <w:pPr>
        <w:spacing w:before="10" w:after="10" w:line="240" w:lineRule="auto"/>
        <w:ind w:firstLine="640"/>
        <w:jc w:val="left"/>
        <w:outlineLvl w:val="5"/>
      </w:pPr>
      <w:r>
        <w:rPr>
          <w:rFonts w:ascii="黑体" w:hAnsi="黑体" w:eastAsia="黑体" w:cs="黑体"/>
          <w:color w:val="000000"/>
          <w:sz w:val="32"/>
        </w:rPr>
        <w:t>三、机关运行经费安排情况</w:t>
      </w:r>
    </w:p>
    <w:p w14:paraId="6F023F92">
      <w:pPr>
        <w:pStyle w:val="19"/>
      </w:pPr>
      <w:r>
        <w:t>我单位按学生安排公用经费，无机关运行经费。</w:t>
      </w:r>
    </w:p>
    <w:p w14:paraId="71EF3ED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B2B2A26">
      <w:pPr>
        <w:pStyle w:val="20"/>
      </w:pPr>
      <w:r>
        <w:t>我单位未安排</w:t>
      </w:r>
      <w:r>
        <w:rPr>
          <w:rFonts w:hint="eastAsia"/>
          <w:lang w:eastAsia="zh-CN"/>
        </w:rPr>
        <w:t>“三公”经费</w:t>
      </w:r>
      <w:r>
        <w:t>。</w:t>
      </w:r>
    </w:p>
    <w:p w14:paraId="608D77E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EAEABB9">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1、冀财教[2025]121号/中央/2026年义教补助经费/第三实验小学公用经费绩效目标表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57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85D9B">
            <w:pPr>
              <w:pStyle w:val="11"/>
            </w:pPr>
            <w:r>
              <w:t>单位：万元</w:t>
            </w:r>
          </w:p>
        </w:tc>
      </w:tr>
      <w:tr w14:paraId="4B7BE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9B3E9">
            <w:pPr>
              <w:pStyle w:val="10"/>
            </w:pPr>
            <w:r>
              <w:t>项目编码</w:t>
            </w:r>
          </w:p>
        </w:tc>
        <w:tc>
          <w:tcPr>
            <w:tcW w:w="5103" w:type="dxa"/>
            <w:gridSpan w:val="2"/>
            <w:vAlign w:val="center"/>
          </w:tcPr>
          <w:p w14:paraId="4FCF7F1B">
            <w:pPr>
              <w:pStyle w:val="12"/>
            </w:pPr>
            <w:r>
              <w:t>13052526P000004102608</w:t>
            </w:r>
          </w:p>
        </w:tc>
        <w:tc>
          <w:tcPr>
            <w:tcW w:w="2835" w:type="dxa"/>
            <w:vAlign w:val="center"/>
          </w:tcPr>
          <w:p w14:paraId="52E8781D">
            <w:pPr>
              <w:pStyle w:val="10"/>
            </w:pPr>
            <w:r>
              <w:t>项目名称</w:t>
            </w:r>
          </w:p>
        </w:tc>
        <w:tc>
          <w:tcPr>
            <w:tcW w:w="6095" w:type="dxa"/>
            <w:gridSpan w:val="3"/>
            <w:vAlign w:val="center"/>
          </w:tcPr>
          <w:p w14:paraId="5FF898FE">
            <w:pPr>
              <w:pStyle w:val="12"/>
            </w:pPr>
            <w:r>
              <w:t>冀财教[2025]121号/中央/2026年义教补助经费/第三实验小学公用经费</w:t>
            </w:r>
          </w:p>
        </w:tc>
      </w:tr>
      <w:tr w14:paraId="3A379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F7545">
            <w:pPr>
              <w:pStyle w:val="10"/>
            </w:pPr>
            <w:r>
              <w:t>预算规模及资金用途</w:t>
            </w:r>
          </w:p>
        </w:tc>
        <w:tc>
          <w:tcPr>
            <w:tcW w:w="2268" w:type="dxa"/>
            <w:vAlign w:val="center"/>
          </w:tcPr>
          <w:p w14:paraId="7A99D5D9">
            <w:pPr>
              <w:pStyle w:val="10"/>
            </w:pPr>
            <w:r>
              <w:t>预算数</w:t>
            </w:r>
          </w:p>
        </w:tc>
        <w:tc>
          <w:tcPr>
            <w:tcW w:w="2835" w:type="dxa"/>
            <w:vAlign w:val="center"/>
          </w:tcPr>
          <w:p w14:paraId="2FA0B34F">
            <w:pPr>
              <w:pStyle w:val="12"/>
            </w:pPr>
            <w:r>
              <w:t>98.00</w:t>
            </w:r>
          </w:p>
        </w:tc>
        <w:tc>
          <w:tcPr>
            <w:tcW w:w="2835" w:type="dxa"/>
            <w:vAlign w:val="center"/>
          </w:tcPr>
          <w:p w14:paraId="50DC5ADD">
            <w:pPr>
              <w:pStyle w:val="10"/>
            </w:pPr>
            <w:r>
              <w:t>其中：财政    资金</w:t>
            </w:r>
          </w:p>
        </w:tc>
        <w:tc>
          <w:tcPr>
            <w:tcW w:w="2551" w:type="dxa"/>
            <w:vAlign w:val="center"/>
          </w:tcPr>
          <w:p w14:paraId="6C8DB8DF">
            <w:pPr>
              <w:pStyle w:val="12"/>
            </w:pPr>
            <w:r>
              <w:t>98.00</w:t>
            </w:r>
          </w:p>
        </w:tc>
        <w:tc>
          <w:tcPr>
            <w:tcW w:w="2268" w:type="dxa"/>
            <w:vAlign w:val="center"/>
          </w:tcPr>
          <w:p w14:paraId="0ACE8C57">
            <w:pPr>
              <w:pStyle w:val="10"/>
            </w:pPr>
            <w:r>
              <w:t>其他资金</w:t>
            </w:r>
          </w:p>
        </w:tc>
        <w:tc>
          <w:tcPr>
            <w:tcW w:w="1276" w:type="dxa"/>
            <w:vAlign w:val="center"/>
          </w:tcPr>
          <w:p w14:paraId="45947640">
            <w:pPr>
              <w:pStyle w:val="12"/>
            </w:pPr>
            <w:r>
              <w:t xml:space="preserve"> </w:t>
            </w:r>
          </w:p>
        </w:tc>
      </w:tr>
      <w:tr w14:paraId="77030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D223C"/>
        </w:tc>
        <w:tc>
          <w:tcPr>
            <w:tcW w:w="14033" w:type="dxa"/>
            <w:gridSpan w:val="6"/>
            <w:vAlign w:val="center"/>
          </w:tcPr>
          <w:p w14:paraId="5852BAD3">
            <w:pPr>
              <w:pStyle w:val="12"/>
            </w:pPr>
            <w:r>
              <w:t>保障学校正常运转，完成各项教育教学活动和其他日常工作任务等方面的费用支出。</w:t>
            </w:r>
          </w:p>
        </w:tc>
      </w:tr>
      <w:tr w14:paraId="4F528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3B713">
            <w:pPr>
              <w:pStyle w:val="10"/>
            </w:pPr>
            <w:r>
              <w:t>资金支出计划（%）</w:t>
            </w:r>
          </w:p>
        </w:tc>
        <w:tc>
          <w:tcPr>
            <w:tcW w:w="5103" w:type="dxa"/>
            <w:gridSpan w:val="2"/>
            <w:vAlign w:val="center"/>
          </w:tcPr>
          <w:p w14:paraId="1BA8A9B5">
            <w:pPr>
              <w:pStyle w:val="10"/>
            </w:pPr>
            <w:r>
              <w:t>3月底</w:t>
            </w:r>
          </w:p>
        </w:tc>
        <w:tc>
          <w:tcPr>
            <w:tcW w:w="2835" w:type="dxa"/>
            <w:vAlign w:val="center"/>
          </w:tcPr>
          <w:p w14:paraId="320C9F7E">
            <w:pPr>
              <w:pStyle w:val="10"/>
            </w:pPr>
            <w:r>
              <w:t>6月底</w:t>
            </w:r>
          </w:p>
        </w:tc>
        <w:tc>
          <w:tcPr>
            <w:tcW w:w="2551" w:type="dxa"/>
            <w:vAlign w:val="center"/>
          </w:tcPr>
          <w:p w14:paraId="34E04E19">
            <w:pPr>
              <w:pStyle w:val="10"/>
            </w:pPr>
            <w:r>
              <w:t>10月底</w:t>
            </w:r>
          </w:p>
        </w:tc>
        <w:tc>
          <w:tcPr>
            <w:tcW w:w="3544" w:type="dxa"/>
            <w:gridSpan w:val="2"/>
            <w:vAlign w:val="center"/>
          </w:tcPr>
          <w:p w14:paraId="67C726D0">
            <w:pPr>
              <w:pStyle w:val="10"/>
            </w:pPr>
            <w:r>
              <w:t>12月底</w:t>
            </w:r>
          </w:p>
        </w:tc>
      </w:tr>
      <w:tr w14:paraId="480CB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78BE5"/>
        </w:tc>
        <w:tc>
          <w:tcPr>
            <w:tcW w:w="5103" w:type="dxa"/>
            <w:gridSpan w:val="2"/>
            <w:vAlign w:val="center"/>
          </w:tcPr>
          <w:p w14:paraId="50FC1C6B">
            <w:pPr>
              <w:pStyle w:val="13"/>
            </w:pPr>
            <w:r>
              <w:t>25%</w:t>
            </w:r>
          </w:p>
        </w:tc>
        <w:tc>
          <w:tcPr>
            <w:tcW w:w="2835" w:type="dxa"/>
            <w:vAlign w:val="center"/>
          </w:tcPr>
          <w:p w14:paraId="39F7E7E6">
            <w:pPr>
              <w:pStyle w:val="13"/>
            </w:pPr>
            <w:r>
              <w:t>50%</w:t>
            </w:r>
          </w:p>
        </w:tc>
        <w:tc>
          <w:tcPr>
            <w:tcW w:w="2551" w:type="dxa"/>
            <w:vAlign w:val="center"/>
          </w:tcPr>
          <w:p w14:paraId="2CAF227F">
            <w:pPr>
              <w:pStyle w:val="13"/>
            </w:pPr>
            <w:r>
              <w:t>75%</w:t>
            </w:r>
          </w:p>
        </w:tc>
        <w:tc>
          <w:tcPr>
            <w:tcW w:w="3544" w:type="dxa"/>
            <w:gridSpan w:val="2"/>
            <w:vAlign w:val="center"/>
          </w:tcPr>
          <w:p w14:paraId="09C3CA05">
            <w:pPr>
              <w:pStyle w:val="13"/>
            </w:pPr>
            <w:r>
              <w:t>100%</w:t>
            </w:r>
          </w:p>
        </w:tc>
      </w:tr>
      <w:tr w14:paraId="05106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50628">
            <w:pPr>
              <w:pStyle w:val="10"/>
            </w:pPr>
            <w:r>
              <w:t>绩效目标</w:t>
            </w:r>
          </w:p>
        </w:tc>
        <w:tc>
          <w:tcPr>
            <w:tcW w:w="14033" w:type="dxa"/>
            <w:gridSpan w:val="6"/>
            <w:vAlign w:val="center"/>
          </w:tcPr>
          <w:p w14:paraId="52165853">
            <w:pPr>
              <w:pStyle w:val="12"/>
            </w:pPr>
            <w:r>
              <w:t>1.按规定拨付公用经费资金，资金拨付率达到100%。</w:t>
            </w:r>
          </w:p>
          <w:p w14:paraId="5C17FA98">
            <w:pPr>
              <w:pStyle w:val="12"/>
            </w:pPr>
            <w:r>
              <w:t>2.保障学校正常运转，完成各项教育教学活动和其他日常工作任务等各方面的费用支出。</w:t>
            </w:r>
          </w:p>
        </w:tc>
      </w:tr>
    </w:tbl>
    <w:p w14:paraId="79EDEF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F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FD567">
            <w:pPr>
              <w:pStyle w:val="10"/>
            </w:pPr>
            <w:r>
              <w:t>一级指标</w:t>
            </w:r>
          </w:p>
        </w:tc>
        <w:tc>
          <w:tcPr>
            <w:tcW w:w="2268" w:type="dxa"/>
            <w:vAlign w:val="center"/>
          </w:tcPr>
          <w:p w14:paraId="3CBECF5E">
            <w:pPr>
              <w:pStyle w:val="10"/>
            </w:pPr>
            <w:r>
              <w:t>二级指标</w:t>
            </w:r>
          </w:p>
        </w:tc>
        <w:tc>
          <w:tcPr>
            <w:tcW w:w="2835" w:type="dxa"/>
            <w:vAlign w:val="center"/>
          </w:tcPr>
          <w:p w14:paraId="47040C3B">
            <w:pPr>
              <w:pStyle w:val="10"/>
            </w:pPr>
            <w:r>
              <w:t>三级指标</w:t>
            </w:r>
          </w:p>
        </w:tc>
        <w:tc>
          <w:tcPr>
            <w:tcW w:w="5386" w:type="dxa"/>
            <w:vAlign w:val="center"/>
          </w:tcPr>
          <w:p w14:paraId="6032E18B">
            <w:pPr>
              <w:pStyle w:val="10"/>
            </w:pPr>
            <w:r>
              <w:t>绩效指标描述</w:t>
            </w:r>
          </w:p>
        </w:tc>
        <w:tc>
          <w:tcPr>
            <w:tcW w:w="2268" w:type="dxa"/>
            <w:vAlign w:val="center"/>
          </w:tcPr>
          <w:p w14:paraId="59EB213C">
            <w:pPr>
              <w:pStyle w:val="10"/>
            </w:pPr>
            <w:r>
              <w:t>指标值</w:t>
            </w:r>
          </w:p>
        </w:tc>
        <w:tc>
          <w:tcPr>
            <w:tcW w:w="1276" w:type="dxa"/>
            <w:vAlign w:val="center"/>
          </w:tcPr>
          <w:p w14:paraId="33BC0A70">
            <w:pPr>
              <w:pStyle w:val="10"/>
            </w:pPr>
            <w:r>
              <w:t>指标值确定依据</w:t>
            </w:r>
          </w:p>
        </w:tc>
      </w:tr>
      <w:tr w14:paraId="1011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B8B09">
            <w:pPr>
              <w:pStyle w:val="13"/>
            </w:pPr>
            <w:r>
              <w:t>产出指标</w:t>
            </w:r>
          </w:p>
        </w:tc>
        <w:tc>
          <w:tcPr>
            <w:tcW w:w="2268" w:type="dxa"/>
            <w:vAlign w:val="center"/>
          </w:tcPr>
          <w:p w14:paraId="62A9BD52">
            <w:pPr>
              <w:pStyle w:val="12"/>
            </w:pPr>
            <w:r>
              <w:t>成本指标</w:t>
            </w:r>
          </w:p>
        </w:tc>
        <w:tc>
          <w:tcPr>
            <w:tcW w:w="2835" w:type="dxa"/>
            <w:vAlign w:val="center"/>
          </w:tcPr>
          <w:p w14:paraId="3C103DD9">
            <w:pPr>
              <w:pStyle w:val="12"/>
            </w:pPr>
            <w:r>
              <w:t>生均拨款标准</w:t>
            </w:r>
          </w:p>
        </w:tc>
        <w:tc>
          <w:tcPr>
            <w:tcW w:w="5386" w:type="dxa"/>
            <w:vAlign w:val="center"/>
          </w:tcPr>
          <w:p w14:paraId="1BDFDF9D">
            <w:pPr>
              <w:pStyle w:val="12"/>
            </w:pPr>
            <w:r>
              <w:t>小学生公用经费生均小学720元，取暖费120元/生/年，随班就读学生补助7000元/生</w:t>
            </w:r>
          </w:p>
        </w:tc>
        <w:tc>
          <w:tcPr>
            <w:tcW w:w="2268" w:type="dxa"/>
            <w:vAlign w:val="center"/>
          </w:tcPr>
          <w:p w14:paraId="4CC19589">
            <w:pPr>
              <w:pStyle w:val="12"/>
            </w:pPr>
            <w:r>
              <w:t>840元</w:t>
            </w:r>
          </w:p>
        </w:tc>
        <w:tc>
          <w:tcPr>
            <w:tcW w:w="1276" w:type="dxa"/>
            <w:vAlign w:val="center"/>
          </w:tcPr>
          <w:p w14:paraId="039E2D66">
            <w:pPr>
              <w:pStyle w:val="12"/>
            </w:pPr>
            <w:r>
              <w:t>城乡义务教育公用经费管理办法</w:t>
            </w:r>
          </w:p>
        </w:tc>
      </w:tr>
      <w:tr w14:paraId="357D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F8607"/>
        </w:tc>
        <w:tc>
          <w:tcPr>
            <w:tcW w:w="2268" w:type="dxa"/>
            <w:vAlign w:val="center"/>
          </w:tcPr>
          <w:p w14:paraId="76255CCA">
            <w:pPr>
              <w:pStyle w:val="12"/>
            </w:pPr>
            <w:r>
              <w:t>数量指标</w:t>
            </w:r>
          </w:p>
        </w:tc>
        <w:tc>
          <w:tcPr>
            <w:tcW w:w="2835" w:type="dxa"/>
            <w:vAlign w:val="center"/>
          </w:tcPr>
          <w:p w14:paraId="3BD8A9D5">
            <w:pPr>
              <w:pStyle w:val="12"/>
            </w:pPr>
            <w:r>
              <w:t>就读学生数</w:t>
            </w:r>
          </w:p>
        </w:tc>
        <w:tc>
          <w:tcPr>
            <w:tcW w:w="5386" w:type="dxa"/>
            <w:vAlign w:val="center"/>
          </w:tcPr>
          <w:p w14:paraId="50836587">
            <w:pPr>
              <w:pStyle w:val="12"/>
            </w:pPr>
            <w:r>
              <w:t>辐射区域内适龄学生人数</w:t>
            </w:r>
          </w:p>
        </w:tc>
        <w:tc>
          <w:tcPr>
            <w:tcW w:w="2268" w:type="dxa"/>
            <w:vAlign w:val="center"/>
          </w:tcPr>
          <w:p w14:paraId="54CC4AD9">
            <w:pPr>
              <w:pStyle w:val="12"/>
            </w:pPr>
            <w:r>
              <w:t>1755人</w:t>
            </w:r>
          </w:p>
        </w:tc>
        <w:tc>
          <w:tcPr>
            <w:tcW w:w="1276" w:type="dxa"/>
            <w:vAlign w:val="center"/>
          </w:tcPr>
          <w:p w14:paraId="5D32E9B1">
            <w:pPr>
              <w:pStyle w:val="12"/>
            </w:pPr>
            <w:r>
              <w:t>城乡义务教育公用经费管理办法</w:t>
            </w:r>
          </w:p>
        </w:tc>
      </w:tr>
      <w:tr w14:paraId="41D3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D3FAD"/>
        </w:tc>
        <w:tc>
          <w:tcPr>
            <w:tcW w:w="2268" w:type="dxa"/>
            <w:vAlign w:val="center"/>
          </w:tcPr>
          <w:p w14:paraId="1A291043">
            <w:pPr>
              <w:pStyle w:val="12"/>
            </w:pPr>
            <w:r>
              <w:t>质量指标</w:t>
            </w:r>
          </w:p>
        </w:tc>
        <w:tc>
          <w:tcPr>
            <w:tcW w:w="2835" w:type="dxa"/>
            <w:vAlign w:val="center"/>
          </w:tcPr>
          <w:p w14:paraId="0A85A69C">
            <w:pPr>
              <w:pStyle w:val="12"/>
            </w:pPr>
            <w:r>
              <w:t>预算执行率</w:t>
            </w:r>
          </w:p>
        </w:tc>
        <w:tc>
          <w:tcPr>
            <w:tcW w:w="5386" w:type="dxa"/>
            <w:vAlign w:val="center"/>
          </w:tcPr>
          <w:p w14:paraId="16C3545E">
            <w:pPr>
              <w:pStyle w:val="12"/>
            </w:pPr>
            <w:r>
              <w:t>预算执行率≥98%</w:t>
            </w:r>
          </w:p>
        </w:tc>
        <w:tc>
          <w:tcPr>
            <w:tcW w:w="2268" w:type="dxa"/>
            <w:vAlign w:val="center"/>
          </w:tcPr>
          <w:p w14:paraId="016B083B">
            <w:pPr>
              <w:pStyle w:val="12"/>
            </w:pPr>
            <w:r>
              <w:t>≥95%</w:t>
            </w:r>
          </w:p>
        </w:tc>
        <w:tc>
          <w:tcPr>
            <w:tcW w:w="1276" w:type="dxa"/>
            <w:vAlign w:val="center"/>
          </w:tcPr>
          <w:p w14:paraId="2BF8142A">
            <w:pPr>
              <w:pStyle w:val="12"/>
            </w:pPr>
            <w:r>
              <w:t>城乡义务教育公用经费管理办法</w:t>
            </w:r>
          </w:p>
        </w:tc>
      </w:tr>
      <w:tr w14:paraId="5EE0C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7AC4B"/>
        </w:tc>
        <w:tc>
          <w:tcPr>
            <w:tcW w:w="2268" w:type="dxa"/>
            <w:vAlign w:val="center"/>
          </w:tcPr>
          <w:p w14:paraId="64BE37CD">
            <w:pPr>
              <w:pStyle w:val="12"/>
            </w:pPr>
            <w:r>
              <w:t>时效指标</w:t>
            </w:r>
          </w:p>
        </w:tc>
        <w:tc>
          <w:tcPr>
            <w:tcW w:w="2835" w:type="dxa"/>
            <w:vAlign w:val="center"/>
          </w:tcPr>
          <w:p w14:paraId="4E9EB04F">
            <w:pPr>
              <w:pStyle w:val="12"/>
            </w:pPr>
            <w:r>
              <w:t>义教经费支付完成率</w:t>
            </w:r>
          </w:p>
        </w:tc>
        <w:tc>
          <w:tcPr>
            <w:tcW w:w="5386" w:type="dxa"/>
            <w:vAlign w:val="center"/>
          </w:tcPr>
          <w:p w14:paraId="7C1C4B2F">
            <w:pPr>
              <w:pStyle w:val="12"/>
            </w:pPr>
            <w:r>
              <w:t>按照序时进度完成资金支付</w:t>
            </w:r>
          </w:p>
        </w:tc>
        <w:tc>
          <w:tcPr>
            <w:tcW w:w="2268" w:type="dxa"/>
            <w:vAlign w:val="center"/>
          </w:tcPr>
          <w:p w14:paraId="3E71C597">
            <w:pPr>
              <w:pStyle w:val="12"/>
            </w:pPr>
            <w:r>
              <w:t>100%</w:t>
            </w:r>
          </w:p>
        </w:tc>
        <w:tc>
          <w:tcPr>
            <w:tcW w:w="1276" w:type="dxa"/>
            <w:vAlign w:val="center"/>
          </w:tcPr>
          <w:p w14:paraId="4E23D712">
            <w:pPr>
              <w:pStyle w:val="12"/>
            </w:pPr>
            <w:r>
              <w:t>城乡义务教育公用经费管理办法</w:t>
            </w:r>
          </w:p>
        </w:tc>
      </w:tr>
      <w:tr w14:paraId="767F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E8B5B">
            <w:pPr>
              <w:pStyle w:val="13"/>
            </w:pPr>
            <w:r>
              <w:t>效益指标</w:t>
            </w:r>
          </w:p>
        </w:tc>
        <w:tc>
          <w:tcPr>
            <w:tcW w:w="2268" w:type="dxa"/>
            <w:vAlign w:val="center"/>
          </w:tcPr>
          <w:p w14:paraId="5E6F02E4">
            <w:pPr>
              <w:pStyle w:val="12"/>
            </w:pPr>
            <w:r>
              <w:t>可持续影响指标</w:t>
            </w:r>
          </w:p>
        </w:tc>
        <w:tc>
          <w:tcPr>
            <w:tcW w:w="2835" w:type="dxa"/>
            <w:vAlign w:val="center"/>
          </w:tcPr>
          <w:p w14:paraId="49A0C98B">
            <w:pPr>
              <w:pStyle w:val="12"/>
            </w:pPr>
            <w:r>
              <w:t>学校运转得到提高</w:t>
            </w:r>
          </w:p>
        </w:tc>
        <w:tc>
          <w:tcPr>
            <w:tcW w:w="5386" w:type="dxa"/>
            <w:vAlign w:val="center"/>
          </w:tcPr>
          <w:p w14:paraId="0212C738">
            <w:pPr>
              <w:pStyle w:val="12"/>
            </w:pPr>
            <w:r>
              <w:t>学生受教育年限</w:t>
            </w:r>
          </w:p>
        </w:tc>
        <w:tc>
          <w:tcPr>
            <w:tcW w:w="2268" w:type="dxa"/>
            <w:vAlign w:val="center"/>
          </w:tcPr>
          <w:p w14:paraId="5F064F34">
            <w:pPr>
              <w:pStyle w:val="12"/>
            </w:pPr>
            <w:r>
              <w:t>6年</w:t>
            </w:r>
          </w:p>
        </w:tc>
        <w:tc>
          <w:tcPr>
            <w:tcW w:w="1276" w:type="dxa"/>
            <w:vAlign w:val="center"/>
          </w:tcPr>
          <w:p w14:paraId="54F5166A">
            <w:pPr>
              <w:pStyle w:val="12"/>
            </w:pPr>
            <w:r>
              <w:t>城乡义务教育公用经费管理办法</w:t>
            </w:r>
          </w:p>
        </w:tc>
      </w:tr>
      <w:tr w14:paraId="29812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91507">
            <w:pPr>
              <w:pStyle w:val="13"/>
            </w:pPr>
            <w:r>
              <w:t>满意度指标</w:t>
            </w:r>
          </w:p>
        </w:tc>
        <w:tc>
          <w:tcPr>
            <w:tcW w:w="2268" w:type="dxa"/>
            <w:vAlign w:val="center"/>
          </w:tcPr>
          <w:p w14:paraId="475BB262">
            <w:pPr>
              <w:pStyle w:val="12"/>
            </w:pPr>
            <w:r>
              <w:t>服务对象满意度指标</w:t>
            </w:r>
          </w:p>
        </w:tc>
        <w:tc>
          <w:tcPr>
            <w:tcW w:w="2835" w:type="dxa"/>
            <w:vAlign w:val="center"/>
          </w:tcPr>
          <w:p w14:paraId="03FCECF1">
            <w:pPr>
              <w:pStyle w:val="12"/>
            </w:pPr>
            <w:r>
              <w:t>服务对象满意度</w:t>
            </w:r>
          </w:p>
        </w:tc>
        <w:tc>
          <w:tcPr>
            <w:tcW w:w="5386" w:type="dxa"/>
            <w:vAlign w:val="center"/>
          </w:tcPr>
          <w:p w14:paraId="13DBFD33">
            <w:pPr>
              <w:pStyle w:val="12"/>
            </w:pPr>
            <w:r>
              <w:t>学校老师和学生满意度</w:t>
            </w:r>
          </w:p>
        </w:tc>
        <w:tc>
          <w:tcPr>
            <w:tcW w:w="2268" w:type="dxa"/>
            <w:vAlign w:val="center"/>
          </w:tcPr>
          <w:p w14:paraId="55E07271">
            <w:pPr>
              <w:pStyle w:val="12"/>
            </w:pPr>
            <w:r>
              <w:t>≥95%</w:t>
            </w:r>
          </w:p>
        </w:tc>
        <w:tc>
          <w:tcPr>
            <w:tcW w:w="1276" w:type="dxa"/>
            <w:vAlign w:val="center"/>
          </w:tcPr>
          <w:p w14:paraId="3C0D0FAE">
            <w:pPr>
              <w:pStyle w:val="12"/>
            </w:pPr>
            <w:r>
              <w:t>问卷调查</w:t>
            </w:r>
          </w:p>
        </w:tc>
      </w:tr>
    </w:tbl>
    <w:p w14:paraId="34AD78CF">
      <w:pPr>
        <w:sectPr>
          <w:pgSz w:w="16840" w:h="11900" w:orient="landscape"/>
          <w:pgMar w:top="1361" w:right="1020" w:bottom="1134" w:left="1020" w:header="720" w:footer="720" w:gutter="0"/>
          <w:cols w:space="720" w:num="1"/>
        </w:sectPr>
      </w:pPr>
    </w:p>
    <w:p w14:paraId="39044276">
      <w:pPr>
        <w:spacing w:before="0" w:after="0"/>
        <w:ind w:firstLine="560"/>
        <w:jc w:val="left"/>
        <w:outlineLvl w:val="9"/>
      </w:pPr>
      <w:r>
        <w:rPr>
          <w:rFonts w:ascii="方正仿宋_GBK" w:hAnsi="方正仿宋_GBK" w:eastAsia="方正仿宋_GBK" w:cs="方正仿宋_GBK"/>
          <w:b/>
          <w:color w:val="000000"/>
          <w:sz w:val="28"/>
        </w:rPr>
        <w:t>2、冀财教[2025]121号/中央/义教/2026年校舍安全/第三实验小学校舍维修改造绩效目标表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A0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0C18D">
            <w:pPr>
              <w:pStyle w:val="11"/>
            </w:pPr>
            <w:r>
              <w:t>单位：万元</w:t>
            </w:r>
          </w:p>
        </w:tc>
      </w:tr>
      <w:tr w14:paraId="04BC4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D5AD8">
            <w:pPr>
              <w:pStyle w:val="10"/>
            </w:pPr>
            <w:r>
              <w:t>项目编码</w:t>
            </w:r>
          </w:p>
        </w:tc>
        <w:tc>
          <w:tcPr>
            <w:tcW w:w="5103" w:type="dxa"/>
            <w:gridSpan w:val="2"/>
            <w:vAlign w:val="center"/>
          </w:tcPr>
          <w:p w14:paraId="5757C116">
            <w:pPr>
              <w:pStyle w:val="12"/>
            </w:pPr>
            <w:r>
              <w:t>13052526P008762100762</w:t>
            </w:r>
          </w:p>
        </w:tc>
        <w:tc>
          <w:tcPr>
            <w:tcW w:w="2835" w:type="dxa"/>
            <w:vAlign w:val="center"/>
          </w:tcPr>
          <w:p w14:paraId="224B4B2D">
            <w:pPr>
              <w:pStyle w:val="10"/>
            </w:pPr>
            <w:r>
              <w:t>项目名称</w:t>
            </w:r>
          </w:p>
        </w:tc>
        <w:tc>
          <w:tcPr>
            <w:tcW w:w="6095" w:type="dxa"/>
            <w:gridSpan w:val="3"/>
            <w:vAlign w:val="center"/>
          </w:tcPr>
          <w:p w14:paraId="0BF48BC2">
            <w:pPr>
              <w:pStyle w:val="12"/>
            </w:pPr>
            <w:r>
              <w:t>冀财教[2025]121号/中央/义教/2026年校舍安全/第三实验小学校舍维修改造</w:t>
            </w:r>
          </w:p>
        </w:tc>
      </w:tr>
      <w:tr w14:paraId="0B053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9513B">
            <w:pPr>
              <w:pStyle w:val="10"/>
            </w:pPr>
            <w:r>
              <w:t>预算规模及资金用途</w:t>
            </w:r>
          </w:p>
        </w:tc>
        <w:tc>
          <w:tcPr>
            <w:tcW w:w="2268" w:type="dxa"/>
            <w:vAlign w:val="center"/>
          </w:tcPr>
          <w:p w14:paraId="03F6667F">
            <w:pPr>
              <w:pStyle w:val="10"/>
            </w:pPr>
            <w:r>
              <w:t>预算数</w:t>
            </w:r>
          </w:p>
        </w:tc>
        <w:tc>
          <w:tcPr>
            <w:tcW w:w="2835" w:type="dxa"/>
            <w:vAlign w:val="center"/>
          </w:tcPr>
          <w:p w14:paraId="23EF2E3C">
            <w:pPr>
              <w:pStyle w:val="12"/>
            </w:pPr>
            <w:r>
              <w:t>23.60</w:t>
            </w:r>
          </w:p>
        </w:tc>
        <w:tc>
          <w:tcPr>
            <w:tcW w:w="2835" w:type="dxa"/>
            <w:vAlign w:val="center"/>
          </w:tcPr>
          <w:p w14:paraId="35038BC4">
            <w:pPr>
              <w:pStyle w:val="10"/>
            </w:pPr>
            <w:r>
              <w:t>其中：财政    资金</w:t>
            </w:r>
          </w:p>
        </w:tc>
        <w:tc>
          <w:tcPr>
            <w:tcW w:w="2551" w:type="dxa"/>
            <w:vAlign w:val="center"/>
          </w:tcPr>
          <w:p w14:paraId="3835EB53">
            <w:pPr>
              <w:pStyle w:val="12"/>
            </w:pPr>
            <w:r>
              <w:t>23.60</w:t>
            </w:r>
          </w:p>
        </w:tc>
        <w:tc>
          <w:tcPr>
            <w:tcW w:w="2268" w:type="dxa"/>
            <w:vAlign w:val="center"/>
          </w:tcPr>
          <w:p w14:paraId="1F7A72F1">
            <w:pPr>
              <w:pStyle w:val="10"/>
            </w:pPr>
            <w:r>
              <w:t>其他资金</w:t>
            </w:r>
          </w:p>
        </w:tc>
        <w:tc>
          <w:tcPr>
            <w:tcW w:w="1276" w:type="dxa"/>
            <w:vAlign w:val="center"/>
          </w:tcPr>
          <w:p w14:paraId="10BC3A58">
            <w:pPr>
              <w:pStyle w:val="12"/>
            </w:pPr>
            <w:r>
              <w:t xml:space="preserve"> </w:t>
            </w:r>
          </w:p>
        </w:tc>
      </w:tr>
      <w:tr w14:paraId="3266B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EDFB8"/>
        </w:tc>
        <w:tc>
          <w:tcPr>
            <w:tcW w:w="14033" w:type="dxa"/>
            <w:gridSpan w:val="6"/>
            <w:vAlign w:val="center"/>
          </w:tcPr>
          <w:p w14:paraId="3D646DD9">
            <w:pPr>
              <w:pStyle w:val="12"/>
            </w:pPr>
            <w:r>
              <w:t>对学校教室及宿舍楼进行维修改造。</w:t>
            </w:r>
          </w:p>
        </w:tc>
      </w:tr>
      <w:tr w14:paraId="713DD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BABC2">
            <w:pPr>
              <w:pStyle w:val="10"/>
            </w:pPr>
            <w:r>
              <w:t>资金支出计划（%）</w:t>
            </w:r>
          </w:p>
        </w:tc>
        <w:tc>
          <w:tcPr>
            <w:tcW w:w="5103" w:type="dxa"/>
            <w:gridSpan w:val="2"/>
            <w:vAlign w:val="center"/>
          </w:tcPr>
          <w:p w14:paraId="0DE32B9D">
            <w:pPr>
              <w:pStyle w:val="10"/>
            </w:pPr>
            <w:r>
              <w:t>3月底</w:t>
            </w:r>
          </w:p>
        </w:tc>
        <w:tc>
          <w:tcPr>
            <w:tcW w:w="2835" w:type="dxa"/>
            <w:vAlign w:val="center"/>
          </w:tcPr>
          <w:p w14:paraId="24FE6625">
            <w:pPr>
              <w:pStyle w:val="10"/>
            </w:pPr>
            <w:r>
              <w:t>6月底</w:t>
            </w:r>
          </w:p>
        </w:tc>
        <w:tc>
          <w:tcPr>
            <w:tcW w:w="2551" w:type="dxa"/>
            <w:vAlign w:val="center"/>
          </w:tcPr>
          <w:p w14:paraId="54C98B02">
            <w:pPr>
              <w:pStyle w:val="10"/>
            </w:pPr>
            <w:r>
              <w:t>10月底</w:t>
            </w:r>
          </w:p>
        </w:tc>
        <w:tc>
          <w:tcPr>
            <w:tcW w:w="3544" w:type="dxa"/>
            <w:gridSpan w:val="2"/>
            <w:vAlign w:val="center"/>
          </w:tcPr>
          <w:p w14:paraId="3768D885">
            <w:pPr>
              <w:pStyle w:val="10"/>
            </w:pPr>
            <w:r>
              <w:t>12月底</w:t>
            </w:r>
          </w:p>
        </w:tc>
      </w:tr>
      <w:tr w14:paraId="6CEEB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A49D7"/>
        </w:tc>
        <w:tc>
          <w:tcPr>
            <w:tcW w:w="5103" w:type="dxa"/>
            <w:gridSpan w:val="2"/>
            <w:vAlign w:val="center"/>
          </w:tcPr>
          <w:p w14:paraId="5DDDF750">
            <w:pPr>
              <w:pStyle w:val="13"/>
            </w:pPr>
            <w:r>
              <w:t xml:space="preserve"> </w:t>
            </w:r>
          </w:p>
        </w:tc>
        <w:tc>
          <w:tcPr>
            <w:tcW w:w="2835" w:type="dxa"/>
            <w:vAlign w:val="center"/>
          </w:tcPr>
          <w:p w14:paraId="4322FB58">
            <w:pPr>
              <w:pStyle w:val="13"/>
            </w:pPr>
            <w:r>
              <w:t xml:space="preserve"> </w:t>
            </w:r>
          </w:p>
        </w:tc>
        <w:tc>
          <w:tcPr>
            <w:tcW w:w="2551" w:type="dxa"/>
            <w:vAlign w:val="center"/>
          </w:tcPr>
          <w:p w14:paraId="4AC36FA3">
            <w:pPr>
              <w:pStyle w:val="13"/>
            </w:pPr>
            <w:r>
              <w:t>100%</w:t>
            </w:r>
          </w:p>
        </w:tc>
        <w:tc>
          <w:tcPr>
            <w:tcW w:w="3544" w:type="dxa"/>
            <w:gridSpan w:val="2"/>
            <w:vAlign w:val="center"/>
          </w:tcPr>
          <w:p w14:paraId="589101E6">
            <w:pPr>
              <w:pStyle w:val="13"/>
            </w:pPr>
            <w:r>
              <w:t>100%</w:t>
            </w:r>
          </w:p>
        </w:tc>
      </w:tr>
      <w:tr w14:paraId="7A095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3B72A">
            <w:pPr>
              <w:pStyle w:val="10"/>
            </w:pPr>
            <w:r>
              <w:t>绩效目标</w:t>
            </w:r>
          </w:p>
        </w:tc>
        <w:tc>
          <w:tcPr>
            <w:tcW w:w="14033" w:type="dxa"/>
            <w:gridSpan w:val="6"/>
            <w:vAlign w:val="center"/>
          </w:tcPr>
          <w:p w14:paraId="3A6635C6">
            <w:pPr>
              <w:pStyle w:val="12"/>
            </w:pPr>
            <w:r>
              <w:t>1.改善就学条件，提升学校形象，保障义务教育阶段教学安全，创造良好的校园环境。</w:t>
            </w:r>
          </w:p>
          <w:p w14:paraId="197AE991">
            <w:pPr>
              <w:pStyle w:val="12"/>
            </w:pPr>
            <w:r>
              <w:t>2.项目需资金23.6万元，资金拨付率达到100%。</w:t>
            </w:r>
          </w:p>
        </w:tc>
      </w:tr>
    </w:tbl>
    <w:p w14:paraId="37FC1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A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7EA55">
            <w:pPr>
              <w:pStyle w:val="10"/>
            </w:pPr>
            <w:r>
              <w:t>一级指标</w:t>
            </w:r>
          </w:p>
        </w:tc>
        <w:tc>
          <w:tcPr>
            <w:tcW w:w="2268" w:type="dxa"/>
            <w:vAlign w:val="center"/>
          </w:tcPr>
          <w:p w14:paraId="7AB57CB9">
            <w:pPr>
              <w:pStyle w:val="10"/>
            </w:pPr>
            <w:r>
              <w:t>二级指标</w:t>
            </w:r>
          </w:p>
        </w:tc>
        <w:tc>
          <w:tcPr>
            <w:tcW w:w="2835" w:type="dxa"/>
            <w:vAlign w:val="center"/>
          </w:tcPr>
          <w:p w14:paraId="2C3BABAA">
            <w:pPr>
              <w:pStyle w:val="10"/>
            </w:pPr>
            <w:r>
              <w:t>三级指标</w:t>
            </w:r>
          </w:p>
        </w:tc>
        <w:tc>
          <w:tcPr>
            <w:tcW w:w="5386" w:type="dxa"/>
            <w:vAlign w:val="center"/>
          </w:tcPr>
          <w:p w14:paraId="6FE7240F">
            <w:pPr>
              <w:pStyle w:val="10"/>
            </w:pPr>
            <w:r>
              <w:t>绩效指标描述</w:t>
            </w:r>
          </w:p>
        </w:tc>
        <w:tc>
          <w:tcPr>
            <w:tcW w:w="2268" w:type="dxa"/>
            <w:vAlign w:val="center"/>
          </w:tcPr>
          <w:p w14:paraId="7BBBE5B5">
            <w:pPr>
              <w:pStyle w:val="10"/>
            </w:pPr>
            <w:r>
              <w:t>指标值</w:t>
            </w:r>
          </w:p>
        </w:tc>
        <w:tc>
          <w:tcPr>
            <w:tcW w:w="1276" w:type="dxa"/>
            <w:vAlign w:val="center"/>
          </w:tcPr>
          <w:p w14:paraId="605E5666">
            <w:pPr>
              <w:pStyle w:val="10"/>
            </w:pPr>
            <w:r>
              <w:t>指标值确定依据</w:t>
            </w:r>
          </w:p>
        </w:tc>
      </w:tr>
      <w:tr w14:paraId="1EEA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75DC6">
            <w:pPr>
              <w:pStyle w:val="13"/>
            </w:pPr>
            <w:r>
              <w:t>产出指标</w:t>
            </w:r>
          </w:p>
        </w:tc>
        <w:tc>
          <w:tcPr>
            <w:tcW w:w="2268" w:type="dxa"/>
            <w:vAlign w:val="center"/>
          </w:tcPr>
          <w:p w14:paraId="4D0996D4">
            <w:pPr>
              <w:pStyle w:val="12"/>
            </w:pPr>
            <w:r>
              <w:t>数量指标</w:t>
            </w:r>
          </w:p>
        </w:tc>
        <w:tc>
          <w:tcPr>
            <w:tcW w:w="2835" w:type="dxa"/>
            <w:vAlign w:val="center"/>
          </w:tcPr>
          <w:p w14:paraId="262E7EE0">
            <w:pPr>
              <w:pStyle w:val="12"/>
            </w:pPr>
            <w:r>
              <w:t>第三实验小学校舍维修改造</w:t>
            </w:r>
          </w:p>
        </w:tc>
        <w:tc>
          <w:tcPr>
            <w:tcW w:w="5386" w:type="dxa"/>
            <w:vAlign w:val="center"/>
          </w:tcPr>
          <w:p w14:paraId="7D9D26AE">
            <w:pPr>
              <w:pStyle w:val="12"/>
            </w:pPr>
            <w:r>
              <w:t>更换宿舍楼门、教学楼内墙面顶面粉刷喷漆、教室地面自流平水泥地面等。</w:t>
            </w:r>
          </w:p>
        </w:tc>
        <w:tc>
          <w:tcPr>
            <w:tcW w:w="2268" w:type="dxa"/>
            <w:vAlign w:val="center"/>
          </w:tcPr>
          <w:p w14:paraId="0B477AD6">
            <w:pPr>
              <w:pStyle w:val="12"/>
            </w:pPr>
            <w:r>
              <w:t>1项</w:t>
            </w:r>
          </w:p>
        </w:tc>
        <w:tc>
          <w:tcPr>
            <w:tcW w:w="1276" w:type="dxa"/>
            <w:vAlign w:val="center"/>
          </w:tcPr>
          <w:p w14:paraId="2A38B976">
            <w:pPr>
              <w:pStyle w:val="12"/>
            </w:pPr>
            <w:r>
              <w:t>项目规划</w:t>
            </w:r>
          </w:p>
        </w:tc>
      </w:tr>
      <w:tr w14:paraId="2F5E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93296"/>
        </w:tc>
        <w:tc>
          <w:tcPr>
            <w:tcW w:w="2268" w:type="dxa"/>
            <w:vAlign w:val="center"/>
          </w:tcPr>
          <w:p w14:paraId="62B47BB1">
            <w:pPr>
              <w:pStyle w:val="12"/>
            </w:pPr>
            <w:r>
              <w:t>质量指标</w:t>
            </w:r>
          </w:p>
        </w:tc>
        <w:tc>
          <w:tcPr>
            <w:tcW w:w="2835" w:type="dxa"/>
            <w:vAlign w:val="center"/>
          </w:tcPr>
          <w:p w14:paraId="2334197D">
            <w:pPr>
              <w:pStyle w:val="12"/>
            </w:pPr>
            <w:r>
              <w:t>工程实施验收合格率</w:t>
            </w:r>
          </w:p>
        </w:tc>
        <w:tc>
          <w:tcPr>
            <w:tcW w:w="5386" w:type="dxa"/>
            <w:vAlign w:val="center"/>
          </w:tcPr>
          <w:p w14:paraId="5EBB6DE6">
            <w:pPr>
              <w:pStyle w:val="12"/>
            </w:pPr>
            <w:r>
              <w:t>申报程序的合规，项目实施及资金使用符合项目规划</w:t>
            </w:r>
          </w:p>
        </w:tc>
        <w:tc>
          <w:tcPr>
            <w:tcW w:w="2268" w:type="dxa"/>
            <w:vAlign w:val="center"/>
          </w:tcPr>
          <w:p w14:paraId="6072B733">
            <w:pPr>
              <w:pStyle w:val="12"/>
            </w:pPr>
            <w:r>
              <w:t>100%</w:t>
            </w:r>
          </w:p>
        </w:tc>
        <w:tc>
          <w:tcPr>
            <w:tcW w:w="1276" w:type="dxa"/>
            <w:vAlign w:val="center"/>
          </w:tcPr>
          <w:p w14:paraId="4ABCEEE3">
            <w:pPr>
              <w:pStyle w:val="12"/>
            </w:pPr>
            <w:r>
              <w:t>项目规划</w:t>
            </w:r>
          </w:p>
        </w:tc>
      </w:tr>
      <w:tr w14:paraId="52B8B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CF19"/>
        </w:tc>
        <w:tc>
          <w:tcPr>
            <w:tcW w:w="2268" w:type="dxa"/>
            <w:vAlign w:val="center"/>
          </w:tcPr>
          <w:p w14:paraId="5384926F">
            <w:pPr>
              <w:pStyle w:val="12"/>
            </w:pPr>
            <w:r>
              <w:t>时效指标</w:t>
            </w:r>
          </w:p>
        </w:tc>
        <w:tc>
          <w:tcPr>
            <w:tcW w:w="2835" w:type="dxa"/>
            <w:vAlign w:val="center"/>
          </w:tcPr>
          <w:p w14:paraId="62A2A60D">
            <w:pPr>
              <w:pStyle w:val="12"/>
            </w:pPr>
            <w:r>
              <w:t>资金支付率</w:t>
            </w:r>
          </w:p>
        </w:tc>
        <w:tc>
          <w:tcPr>
            <w:tcW w:w="5386" w:type="dxa"/>
            <w:vAlign w:val="center"/>
          </w:tcPr>
          <w:p w14:paraId="06E95DE0">
            <w:pPr>
              <w:pStyle w:val="12"/>
            </w:pPr>
            <w:r>
              <w:t>按照序时进度完成资金支付</w:t>
            </w:r>
          </w:p>
        </w:tc>
        <w:tc>
          <w:tcPr>
            <w:tcW w:w="2268" w:type="dxa"/>
            <w:vAlign w:val="center"/>
          </w:tcPr>
          <w:p w14:paraId="34B30B08">
            <w:pPr>
              <w:pStyle w:val="12"/>
            </w:pPr>
            <w:r>
              <w:t>100%</w:t>
            </w:r>
          </w:p>
        </w:tc>
        <w:tc>
          <w:tcPr>
            <w:tcW w:w="1276" w:type="dxa"/>
            <w:vAlign w:val="center"/>
          </w:tcPr>
          <w:p w14:paraId="636B87F7">
            <w:pPr>
              <w:pStyle w:val="12"/>
            </w:pPr>
            <w:r>
              <w:t>项目规划</w:t>
            </w:r>
          </w:p>
        </w:tc>
      </w:tr>
      <w:tr w14:paraId="41FD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2881D"/>
        </w:tc>
        <w:tc>
          <w:tcPr>
            <w:tcW w:w="2268" w:type="dxa"/>
            <w:vAlign w:val="center"/>
          </w:tcPr>
          <w:p w14:paraId="0E199A51">
            <w:pPr>
              <w:pStyle w:val="12"/>
            </w:pPr>
            <w:r>
              <w:t>成本指标</w:t>
            </w:r>
          </w:p>
        </w:tc>
        <w:tc>
          <w:tcPr>
            <w:tcW w:w="2835" w:type="dxa"/>
            <w:vAlign w:val="center"/>
          </w:tcPr>
          <w:p w14:paraId="56B3ADC5">
            <w:pPr>
              <w:pStyle w:val="12"/>
            </w:pPr>
            <w:r>
              <w:t>项目成本控制情况</w:t>
            </w:r>
          </w:p>
        </w:tc>
        <w:tc>
          <w:tcPr>
            <w:tcW w:w="5386" w:type="dxa"/>
            <w:vAlign w:val="center"/>
          </w:tcPr>
          <w:p w14:paraId="1DAFE10D">
            <w:pPr>
              <w:pStyle w:val="12"/>
            </w:pPr>
            <w:r>
              <w:t>严格按照招标价格及审计额进行</w:t>
            </w:r>
          </w:p>
        </w:tc>
        <w:tc>
          <w:tcPr>
            <w:tcW w:w="2268" w:type="dxa"/>
            <w:vAlign w:val="center"/>
          </w:tcPr>
          <w:p w14:paraId="050ED4F3">
            <w:pPr>
              <w:pStyle w:val="12"/>
            </w:pPr>
            <w:r>
              <w:t>23.6万元</w:t>
            </w:r>
          </w:p>
        </w:tc>
        <w:tc>
          <w:tcPr>
            <w:tcW w:w="1276" w:type="dxa"/>
            <w:vAlign w:val="center"/>
          </w:tcPr>
          <w:p w14:paraId="7C22BD80">
            <w:pPr>
              <w:pStyle w:val="12"/>
            </w:pPr>
            <w:r>
              <w:t>项目规划</w:t>
            </w:r>
          </w:p>
        </w:tc>
      </w:tr>
      <w:tr w14:paraId="10E6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930DA">
            <w:pPr>
              <w:pStyle w:val="13"/>
            </w:pPr>
            <w:r>
              <w:t>效益指标</w:t>
            </w:r>
          </w:p>
        </w:tc>
        <w:tc>
          <w:tcPr>
            <w:tcW w:w="2268" w:type="dxa"/>
            <w:vAlign w:val="center"/>
          </w:tcPr>
          <w:p w14:paraId="670C891A">
            <w:pPr>
              <w:pStyle w:val="12"/>
            </w:pPr>
            <w:r>
              <w:t>社会效益指标</w:t>
            </w:r>
          </w:p>
        </w:tc>
        <w:tc>
          <w:tcPr>
            <w:tcW w:w="2835" w:type="dxa"/>
            <w:vAlign w:val="center"/>
          </w:tcPr>
          <w:p w14:paraId="107EA57B">
            <w:pPr>
              <w:pStyle w:val="12"/>
            </w:pPr>
            <w:r>
              <w:t>学校办学环境提升</w:t>
            </w:r>
          </w:p>
        </w:tc>
        <w:tc>
          <w:tcPr>
            <w:tcW w:w="5386" w:type="dxa"/>
            <w:vAlign w:val="center"/>
          </w:tcPr>
          <w:p w14:paraId="6C5058FB">
            <w:pPr>
              <w:pStyle w:val="12"/>
            </w:pPr>
            <w:r>
              <w:t>学校教学环境提升优化率</w:t>
            </w:r>
          </w:p>
        </w:tc>
        <w:tc>
          <w:tcPr>
            <w:tcW w:w="2268" w:type="dxa"/>
            <w:vAlign w:val="center"/>
          </w:tcPr>
          <w:p w14:paraId="57486482">
            <w:pPr>
              <w:pStyle w:val="12"/>
            </w:pPr>
            <w:r>
              <w:t>≥98%</w:t>
            </w:r>
          </w:p>
        </w:tc>
        <w:tc>
          <w:tcPr>
            <w:tcW w:w="1276" w:type="dxa"/>
            <w:vAlign w:val="center"/>
          </w:tcPr>
          <w:p w14:paraId="020B1A7B">
            <w:pPr>
              <w:pStyle w:val="12"/>
            </w:pPr>
            <w:r>
              <w:t>项目规划</w:t>
            </w:r>
          </w:p>
        </w:tc>
      </w:tr>
      <w:tr w14:paraId="2BC5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F52F6">
            <w:pPr>
              <w:pStyle w:val="13"/>
            </w:pPr>
            <w:r>
              <w:t>满意度指标</w:t>
            </w:r>
          </w:p>
        </w:tc>
        <w:tc>
          <w:tcPr>
            <w:tcW w:w="2268" w:type="dxa"/>
            <w:vAlign w:val="center"/>
          </w:tcPr>
          <w:p w14:paraId="72F567F2">
            <w:pPr>
              <w:pStyle w:val="12"/>
            </w:pPr>
            <w:r>
              <w:t>服务对象满意度指标</w:t>
            </w:r>
          </w:p>
        </w:tc>
        <w:tc>
          <w:tcPr>
            <w:tcW w:w="2835" w:type="dxa"/>
            <w:vAlign w:val="center"/>
          </w:tcPr>
          <w:p w14:paraId="2CA0B1EB">
            <w:pPr>
              <w:pStyle w:val="12"/>
            </w:pPr>
            <w:r>
              <w:t>受益学生家长及调查满意度</w:t>
            </w:r>
          </w:p>
        </w:tc>
        <w:tc>
          <w:tcPr>
            <w:tcW w:w="5386" w:type="dxa"/>
            <w:vAlign w:val="center"/>
          </w:tcPr>
          <w:p w14:paraId="00FBC01F">
            <w:pPr>
              <w:pStyle w:val="12"/>
            </w:pPr>
            <w:r>
              <w:t>学生、教师及家长对学校教学环境满意度情况</w:t>
            </w:r>
          </w:p>
        </w:tc>
        <w:tc>
          <w:tcPr>
            <w:tcW w:w="2268" w:type="dxa"/>
            <w:vAlign w:val="center"/>
          </w:tcPr>
          <w:p w14:paraId="14E69B2A">
            <w:pPr>
              <w:pStyle w:val="12"/>
            </w:pPr>
            <w:r>
              <w:t>≥95%</w:t>
            </w:r>
          </w:p>
        </w:tc>
        <w:tc>
          <w:tcPr>
            <w:tcW w:w="1276" w:type="dxa"/>
            <w:vAlign w:val="center"/>
          </w:tcPr>
          <w:p w14:paraId="731ED54A">
            <w:pPr>
              <w:pStyle w:val="12"/>
            </w:pPr>
            <w:r>
              <w:t>调查问卷</w:t>
            </w:r>
          </w:p>
        </w:tc>
      </w:tr>
    </w:tbl>
    <w:p w14:paraId="5DB25E3C">
      <w:pPr>
        <w:sectPr>
          <w:pgSz w:w="16840" w:h="11900" w:orient="landscape"/>
          <w:pgMar w:top="1361" w:right="1020" w:bottom="1134" w:left="1020" w:header="720" w:footer="720" w:gutter="0"/>
          <w:cols w:space="720" w:num="1"/>
        </w:sectPr>
      </w:pPr>
    </w:p>
    <w:p w14:paraId="62FADD53">
      <w:pPr>
        <w:spacing w:before="0" w:after="0"/>
        <w:ind w:firstLine="560"/>
        <w:jc w:val="left"/>
        <w:outlineLvl w:val="9"/>
      </w:pPr>
      <w:r>
        <w:rPr>
          <w:rFonts w:ascii="方正仿宋_GBK" w:hAnsi="方正仿宋_GBK" w:eastAsia="方正仿宋_GBK" w:cs="方正仿宋_GBK"/>
          <w:b/>
          <w:color w:val="000000"/>
          <w:sz w:val="28"/>
        </w:rPr>
        <w:t>3、冀财教[2025]147号/省级/2026年义教补助经费/第三实验小学公用经费绩效目标表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24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524DE">
            <w:pPr>
              <w:pStyle w:val="11"/>
            </w:pPr>
            <w:r>
              <w:t>单位：万元</w:t>
            </w:r>
          </w:p>
        </w:tc>
      </w:tr>
      <w:tr w14:paraId="59E14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E23DB">
            <w:pPr>
              <w:pStyle w:val="10"/>
            </w:pPr>
            <w:r>
              <w:t>项目编码</w:t>
            </w:r>
          </w:p>
        </w:tc>
        <w:tc>
          <w:tcPr>
            <w:tcW w:w="5103" w:type="dxa"/>
            <w:gridSpan w:val="2"/>
            <w:vAlign w:val="center"/>
          </w:tcPr>
          <w:p w14:paraId="797CBFF9">
            <w:pPr>
              <w:pStyle w:val="12"/>
            </w:pPr>
            <w:r>
              <w:t>13052526P00000410340R</w:t>
            </w:r>
          </w:p>
        </w:tc>
        <w:tc>
          <w:tcPr>
            <w:tcW w:w="2835" w:type="dxa"/>
            <w:vAlign w:val="center"/>
          </w:tcPr>
          <w:p w14:paraId="6FB0A108">
            <w:pPr>
              <w:pStyle w:val="10"/>
            </w:pPr>
            <w:r>
              <w:t>项目名称</w:t>
            </w:r>
          </w:p>
        </w:tc>
        <w:tc>
          <w:tcPr>
            <w:tcW w:w="6095" w:type="dxa"/>
            <w:gridSpan w:val="3"/>
            <w:vAlign w:val="center"/>
          </w:tcPr>
          <w:p w14:paraId="5398C207">
            <w:pPr>
              <w:pStyle w:val="12"/>
            </w:pPr>
            <w:r>
              <w:t>冀财教[2025]147号/省级/2026年义教补助经费/第三实验小学公用经费</w:t>
            </w:r>
          </w:p>
        </w:tc>
      </w:tr>
      <w:tr w14:paraId="18F64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CA1D7">
            <w:pPr>
              <w:pStyle w:val="10"/>
            </w:pPr>
            <w:r>
              <w:t>预算规模及资金用途</w:t>
            </w:r>
          </w:p>
        </w:tc>
        <w:tc>
          <w:tcPr>
            <w:tcW w:w="2268" w:type="dxa"/>
            <w:vAlign w:val="center"/>
          </w:tcPr>
          <w:p w14:paraId="0D74895A">
            <w:pPr>
              <w:pStyle w:val="10"/>
            </w:pPr>
            <w:r>
              <w:t>预算数</w:t>
            </w:r>
          </w:p>
        </w:tc>
        <w:tc>
          <w:tcPr>
            <w:tcW w:w="2835" w:type="dxa"/>
            <w:vAlign w:val="center"/>
          </w:tcPr>
          <w:p w14:paraId="24B744DD">
            <w:pPr>
              <w:pStyle w:val="12"/>
            </w:pPr>
            <w:r>
              <w:t>51.50</w:t>
            </w:r>
          </w:p>
        </w:tc>
        <w:tc>
          <w:tcPr>
            <w:tcW w:w="2835" w:type="dxa"/>
            <w:vAlign w:val="center"/>
          </w:tcPr>
          <w:p w14:paraId="0778FF84">
            <w:pPr>
              <w:pStyle w:val="10"/>
            </w:pPr>
            <w:r>
              <w:t>其中：财政    资金</w:t>
            </w:r>
          </w:p>
        </w:tc>
        <w:tc>
          <w:tcPr>
            <w:tcW w:w="2551" w:type="dxa"/>
            <w:vAlign w:val="center"/>
          </w:tcPr>
          <w:p w14:paraId="1B852C47">
            <w:pPr>
              <w:pStyle w:val="12"/>
            </w:pPr>
            <w:r>
              <w:t>51.50</w:t>
            </w:r>
          </w:p>
        </w:tc>
        <w:tc>
          <w:tcPr>
            <w:tcW w:w="2268" w:type="dxa"/>
            <w:vAlign w:val="center"/>
          </w:tcPr>
          <w:p w14:paraId="0560B078">
            <w:pPr>
              <w:pStyle w:val="10"/>
            </w:pPr>
            <w:r>
              <w:t>其他资金</w:t>
            </w:r>
          </w:p>
        </w:tc>
        <w:tc>
          <w:tcPr>
            <w:tcW w:w="1276" w:type="dxa"/>
            <w:vAlign w:val="center"/>
          </w:tcPr>
          <w:p w14:paraId="7B47FC1B">
            <w:pPr>
              <w:pStyle w:val="12"/>
            </w:pPr>
            <w:r>
              <w:t xml:space="preserve"> </w:t>
            </w:r>
          </w:p>
        </w:tc>
      </w:tr>
      <w:tr w14:paraId="1E0D8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3E6F3"/>
        </w:tc>
        <w:tc>
          <w:tcPr>
            <w:tcW w:w="14033" w:type="dxa"/>
            <w:gridSpan w:val="6"/>
            <w:vAlign w:val="center"/>
          </w:tcPr>
          <w:p w14:paraId="36E12476">
            <w:pPr>
              <w:pStyle w:val="12"/>
            </w:pPr>
            <w:r>
              <w:t>保障学校正常运转，完成各项教育教学活动和其他日常工作任务等方面的费用支出。</w:t>
            </w:r>
          </w:p>
        </w:tc>
      </w:tr>
      <w:tr w14:paraId="17548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C1970">
            <w:pPr>
              <w:pStyle w:val="10"/>
            </w:pPr>
            <w:r>
              <w:t>资金支出计划（%）</w:t>
            </w:r>
          </w:p>
        </w:tc>
        <w:tc>
          <w:tcPr>
            <w:tcW w:w="5103" w:type="dxa"/>
            <w:gridSpan w:val="2"/>
            <w:vAlign w:val="center"/>
          </w:tcPr>
          <w:p w14:paraId="76490D7E">
            <w:pPr>
              <w:pStyle w:val="10"/>
            </w:pPr>
            <w:r>
              <w:t>3月底</w:t>
            </w:r>
          </w:p>
        </w:tc>
        <w:tc>
          <w:tcPr>
            <w:tcW w:w="2835" w:type="dxa"/>
            <w:vAlign w:val="center"/>
          </w:tcPr>
          <w:p w14:paraId="343385EA">
            <w:pPr>
              <w:pStyle w:val="10"/>
            </w:pPr>
            <w:r>
              <w:t>6月底</w:t>
            </w:r>
          </w:p>
        </w:tc>
        <w:tc>
          <w:tcPr>
            <w:tcW w:w="2551" w:type="dxa"/>
            <w:vAlign w:val="center"/>
          </w:tcPr>
          <w:p w14:paraId="5A93C957">
            <w:pPr>
              <w:pStyle w:val="10"/>
            </w:pPr>
            <w:r>
              <w:t>10月底</w:t>
            </w:r>
          </w:p>
        </w:tc>
        <w:tc>
          <w:tcPr>
            <w:tcW w:w="3544" w:type="dxa"/>
            <w:gridSpan w:val="2"/>
            <w:vAlign w:val="center"/>
          </w:tcPr>
          <w:p w14:paraId="0F0E9B5A">
            <w:pPr>
              <w:pStyle w:val="10"/>
            </w:pPr>
            <w:r>
              <w:t>12月底</w:t>
            </w:r>
          </w:p>
        </w:tc>
      </w:tr>
      <w:tr w14:paraId="18397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F095B"/>
        </w:tc>
        <w:tc>
          <w:tcPr>
            <w:tcW w:w="5103" w:type="dxa"/>
            <w:gridSpan w:val="2"/>
            <w:vAlign w:val="center"/>
          </w:tcPr>
          <w:p w14:paraId="660323E9">
            <w:pPr>
              <w:pStyle w:val="13"/>
            </w:pPr>
            <w:r>
              <w:t>25%</w:t>
            </w:r>
          </w:p>
        </w:tc>
        <w:tc>
          <w:tcPr>
            <w:tcW w:w="2835" w:type="dxa"/>
            <w:vAlign w:val="center"/>
          </w:tcPr>
          <w:p w14:paraId="1CB839B6">
            <w:pPr>
              <w:pStyle w:val="13"/>
            </w:pPr>
            <w:r>
              <w:t>50%</w:t>
            </w:r>
          </w:p>
        </w:tc>
        <w:tc>
          <w:tcPr>
            <w:tcW w:w="2551" w:type="dxa"/>
            <w:vAlign w:val="center"/>
          </w:tcPr>
          <w:p w14:paraId="1DEAEF9B">
            <w:pPr>
              <w:pStyle w:val="13"/>
            </w:pPr>
            <w:r>
              <w:t>75%</w:t>
            </w:r>
          </w:p>
        </w:tc>
        <w:tc>
          <w:tcPr>
            <w:tcW w:w="3544" w:type="dxa"/>
            <w:gridSpan w:val="2"/>
            <w:vAlign w:val="center"/>
          </w:tcPr>
          <w:p w14:paraId="776C6F93">
            <w:pPr>
              <w:pStyle w:val="13"/>
            </w:pPr>
            <w:r>
              <w:t>100%</w:t>
            </w:r>
          </w:p>
        </w:tc>
      </w:tr>
      <w:tr w14:paraId="3609D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F3FBA">
            <w:pPr>
              <w:pStyle w:val="10"/>
            </w:pPr>
            <w:r>
              <w:t>绩效目标</w:t>
            </w:r>
          </w:p>
        </w:tc>
        <w:tc>
          <w:tcPr>
            <w:tcW w:w="14033" w:type="dxa"/>
            <w:gridSpan w:val="6"/>
            <w:vAlign w:val="center"/>
          </w:tcPr>
          <w:p w14:paraId="4E0F78BE">
            <w:pPr>
              <w:pStyle w:val="12"/>
            </w:pPr>
            <w:r>
              <w:t>1.按规定拨付公用经费资金，预算执行率≥98%。</w:t>
            </w:r>
          </w:p>
          <w:p w14:paraId="030B6721">
            <w:pPr>
              <w:pStyle w:val="12"/>
            </w:pPr>
            <w:r>
              <w:t>2.有效完成学校教学安全秩序，保障学校教学任务有效开展，满足学校正常教学需要。</w:t>
            </w:r>
          </w:p>
        </w:tc>
      </w:tr>
    </w:tbl>
    <w:p w14:paraId="5C003F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7A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FC865">
            <w:pPr>
              <w:pStyle w:val="10"/>
            </w:pPr>
            <w:r>
              <w:t>一级指标</w:t>
            </w:r>
          </w:p>
        </w:tc>
        <w:tc>
          <w:tcPr>
            <w:tcW w:w="2268" w:type="dxa"/>
            <w:vAlign w:val="center"/>
          </w:tcPr>
          <w:p w14:paraId="77119C78">
            <w:pPr>
              <w:pStyle w:val="10"/>
            </w:pPr>
            <w:r>
              <w:t>二级指标</w:t>
            </w:r>
          </w:p>
        </w:tc>
        <w:tc>
          <w:tcPr>
            <w:tcW w:w="2835" w:type="dxa"/>
            <w:vAlign w:val="center"/>
          </w:tcPr>
          <w:p w14:paraId="1062E576">
            <w:pPr>
              <w:pStyle w:val="10"/>
            </w:pPr>
            <w:r>
              <w:t>三级指标</w:t>
            </w:r>
          </w:p>
        </w:tc>
        <w:tc>
          <w:tcPr>
            <w:tcW w:w="5386" w:type="dxa"/>
            <w:vAlign w:val="center"/>
          </w:tcPr>
          <w:p w14:paraId="43590FBD">
            <w:pPr>
              <w:pStyle w:val="10"/>
            </w:pPr>
            <w:r>
              <w:t>绩效指标描述</w:t>
            </w:r>
          </w:p>
        </w:tc>
        <w:tc>
          <w:tcPr>
            <w:tcW w:w="2268" w:type="dxa"/>
            <w:vAlign w:val="center"/>
          </w:tcPr>
          <w:p w14:paraId="6618AA7B">
            <w:pPr>
              <w:pStyle w:val="10"/>
            </w:pPr>
            <w:r>
              <w:t>指标值</w:t>
            </w:r>
          </w:p>
        </w:tc>
        <w:tc>
          <w:tcPr>
            <w:tcW w:w="1276" w:type="dxa"/>
            <w:vAlign w:val="center"/>
          </w:tcPr>
          <w:p w14:paraId="5CB7B209">
            <w:pPr>
              <w:pStyle w:val="10"/>
            </w:pPr>
            <w:r>
              <w:t>指标值确定依据</w:t>
            </w:r>
          </w:p>
        </w:tc>
      </w:tr>
      <w:tr w14:paraId="5A4E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2602F">
            <w:pPr>
              <w:pStyle w:val="13"/>
            </w:pPr>
            <w:r>
              <w:t>产出指标</w:t>
            </w:r>
          </w:p>
        </w:tc>
        <w:tc>
          <w:tcPr>
            <w:tcW w:w="2268" w:type="dxa"/>
            <w:vAlign w:val="center"/>
          </w:tcPr>
          <w:p w14:paraId="5CC1DF3B">
            <w:pPr>
              <w:pStyle w:val="12"/>
            </w:pPr>
            <w:r>
              <w:t>成本指标</w:t>
            </w:r>
          </w:p>
        </w:tc>
        <w:tc>
          <w:tcPr>
            <w:tcW w:w="2835" w:type="dxa"/>
            <w:vAlign w:val="center"/>
          </w:tcPr>
          <w:p w14:paraId="4B7B4CE4">
            <w:pPr>
              <w:pStyle w:val="12"/>
            </w:pPr>
            <w:r>
              <w:t>生均拨款标准</w:t>
            </w:r>
          </w:p>
        </w:tc>
        <w:tc>
          <w:tcPr>
            <w:tcW w:w="5386" w:type="dxa"/>
            <w:vAlign w:val="center"/>
          </w:tcPr>
          <w:p w14:paraId="1DD00B84">
            <w:pPr>
              <w:pStyle w:val="12"/>
            </w:pPr>
            <w:r>
              <w:t>小学生公用经费生均小学720元。取暖费120元/生/年，随班就读学生补助7000元/生</w:t>
            </w:r>
          </w:p>
        </w:tc>
        <w:tc>
          <w:tcPr>
            <w:tcW w:w="2268" w:type="dxa"/>
            <w:vAlign w:val="center"/>
          </w:tcPr>
          <w:p w14:paraId="13415F15">
            <w:pPr>
              <w:pStyle w:val="12"/>
            </w:pPr>
            <w:r>
              <w:t>840元</w:t>
            </w:r>
          </w:p>
        </w:tc>
        <w:tc>
          <w:tcPr>
            <w:tcW w:w="1276" w:type="dxa"/>
            <w:vAlign w:val="center"/>
          </w:tcPr>
          <w:p w14:paraId="5CF61F26">
            <w:pPr>
              <w:pStyle w:val="12"/>
            </w:pPr>
            <w:r>
              <w:t>城乡义务教育公用经费管理办法</w:t>
            </w:r>
          </w:p>
        </w:tc>
      </w:tr>
      <w:tr w14:paraId="2BFF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A60F2"/>
        </w:tc>
        <w:tc>
          <w:tcPr>
            <w:tcW w:w="2268" w:type="dxa"/>
            <w:vAlign w:val="center"/>
          </w:tcPr>
          <w:p w14:paraId="3D1538FD">
            <w:pPr>
              <w:pStyle w:val="12"/>
            </w:pPr>
            <w:r>
              <w:t>数量指标</w:t>
            </w:r>
          </w:p>
        </w:tc>
        <w:tc>
          <w:tcPr>
            <w:tcW w:w="2835" w:type="dxa"/>
            <w:vAlign w:val="center"/>
          </w:tcPr>
          <w:p w14:paraId="5758CE86">
            <w:pPr>
              <w:pStyle w:val="12"/>
            </w:pPr>
            <w:r>
              <w:t>就读学生数</w:t>
            </w:r>
          </w:p>
        </w:tc>
        <w:tc>
          <w:tcPr>
            <w:tcW w:w="5386" w:type="dxa"/>
            <w:vAlign w:val="center"/>
          </w:tcPr>
          <w:p w14:paraId="40EE3E4F">
            <w:pPr>
              <w:pStyle w:val="12"/>
            </w:pPr>
            <w:r>
              <w:t>辐射区域内适龄学生人数</w:t>
            </w:r>
          </w:p>
        </w:tc>
        <w:tc>
          <w:tcPr>
            <w:tcW w:w="2268" w:type="dxa"/>
            <w:vAlign w:val="center"/>
          </w:tcPr>
          <w:p w14:paraId="45C857C0">
            <w:pPr>
              <w:pStyle w:val="12"/>
            </w:pPr>
            <w:r>
              <w:t>1755人</w:t>
            </w:r>
          </w:p>
        </w:tc>
        <w:tc>
          <w:tcPr>
            <w:tcW w:w="1276" w:type="dxa"/>
            <w:vAlign w:val="center"/>
          </w:tcPr>
          <w:p w14:paraId="345701D4">
            <w:pPr>
              <w:pStyle w:val="12"/>
            </w:pPr>
            <w:r>
              <w:t>城乡义务教育公用经费管理办法</w:t>
            </w:r>
          </w:p>
        </w:tc>
      </w:tr>
      <w:tr w14:paraId="778C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E9885"/>
        </w:tc>
        <w:tc>
          <w:tcPr>
            <w:tcW w:w="2268" w:type="dxa"/>
            <w:vAlign w:val="center"/>
          </w:tcPr>
          <w:p w14:paraId="56913047">
            <w:pPr>
              <w:pStyle w:val="12"/>
            </w:pPr>
            <w:r>
              <w:t>质量指标</w:t>
            </w:r>
          </w:p>
        </w:tc>
        <w:tc>
          <w:tcPr>
            <w:tcW w:w="2835" w:type="dxa"/>
            <w:vAlign w:val="center"/>
          </w:tcPr>
          <w:p w14:paraId="3E09B9D6">
            <w:pPr>
              <w:pStyle w:val="12"/>
            </w:pPr>
            <w:r>
              <w:t>预算执行率</w:t>
            </w:r>
          </w:p>
        </w:tc>
        <w:tc>
          <w:tcPr>
            <w:tcW w:w="5386" w:type="dxa"/>
            <w:vAlign w:val="center"/>
          </w:tcPr>
          <w:p w14:paraId="5DAA1118">
            <w:pPr>
              <w:pStyle w:val="12"/>
            </w:pPr>
            <w:r>
              <w:t>预算执行率≥98%</w:t>
            </w:r>
          </w:p>
        </w:tc>
        <w:tc>
          <w:tcPr>
            <w:tcW w:w="2268" w:type="dxa"/>
            <w:vAlign w:val="center"/>
          </w:tcPr>
          <w:p w14:paraId="5CD80FFA">
            <w:pPr>
              <w:pStyle w:val="12"/>
            </w:pPr>
            <w:r>
              <w:t>≥98%</w:t>
            </w:r>
          </w:p>
        </w:tc>
        <w:tc>
          <w:tcPr>
            <w:tcW w:w="1276" w:type="dxa"/>
            <w:vAlign w:val="center"/>
          </w:tcPr>
          <w:p w14:paraId="40B34DFC">
            <w:pPr>
              <w:pStyle w:val="12"/>
            </w:pPr>
            <w:r>
              <w:t>城乡义务教育公用经费管理办法</w:t>
            </w:r>
          </w:p>
        </w:tc>
      </w:tr>
      <w:tr w14:paraId="0DC86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1C855"/>
        </w:tc>
        <w:tc>
          <w:tcPr>
            <w:tcW w:w="2268" w:type="dxa"/>
            <w:vAlign w:val="center"/>
          </w:tcPr>
          <w:p w14:paraId="76DE8A0E">
            <w:pPr>
              <w:pStyle w:val="12"/>
            </w:pPr>
            <w:r>
              <w:t>时效指标</w:t>
            </w:r>
          </w:p>
        </w:tc>
        <w:tc>
          <w:tcPr>
            <w:tcW w:w="2835" w:type="dxa"/>
            <w:vAlign w:val="center"/>
          </w:tcPr>
          <w:p w14:paraId="25DAC0EB">
            <w:pPr>
              <w:pStyle w:val="12"/>
            </w:pPr>
            <w:r>
              <w:t>义教经费支付完成率</w:t>
            </w:r>
          </w:p>
        </w:tc>
        <w:tc>
          <w:tcPr>
            <w:tcW w:w="5386" w:type="dxa"/>
            <w:vAlign w:val="center"/>
          </w:tcPr>
          <w:p w14:paraId="71C884A8">
            <w:pPr>
              <w:pStyle w:val="12"/>
            </w:pPr>
            <w:r>
              <w:t>按照序时进度完成资金支付</w:t>
            </w:r>
          </w:p>
        </w:tc>
        <w:tc>
          <w:tcPr>
            <w:tcW w:w="2268" w:type="dxa"/>
            <w:vAlign w:val="center"/>
          </w:tcPr>
          <w:p w14:paraId="34D9CA3F">
            <w:pPr>
              <w:pStyle w:val="12"/>
            </w:pPr>
            <w:r>
              <w:t>100%</w:t>
            </w:r>
          </w:p>
        </w:tc>
        <w:tc>
          <w:tcPr>
            <w:tcW w:w="1276" w:type="dxa"/>
            <w:vAlign w:val="center"/>
          </w:tcPr>
          <w:p w14:paraId="2E61299E">
            <w:pPr>
              <w:pStyle w:val="12"/>
            </w:pPr>
            <w:r>
              <w:t>城乡义务教育公用经费管理办法</w:t>
            </w:r>
          </w:p>
        </w:tc>
      </w:tr>
      <w:tr w14:paraId="2EEC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5D1D1">
            <w:pPr>
              <w:pStyle w:val="13"/>
            </w:pPr>
            <w:r>
              <w:t>效益指标</w:t>
            </w:r>
          </w:p>
        </w:tc>
        <w:tc>
          <w:tcPr>
            <w:tcW w:w="2268" w:type="dxa"/>
            <w:vAlign w:val="center"/>
          </w:tcPr>
          <w:p w14:paraId="6992ECA5">
            <w:pPr>
              <w:pStyle w:val="12"/>
            </w:pPr>
            <w:r>
              <w:t>可持续影响指标</w:t>
            </w:r>
          </w:p>
        </w:tc>
        <w:tc>
          <w:tcPr>
            <w:tcW w:w="2835" w:type="dxa"/>
            <w:vAlign w:val="center"/>
          </w:tcPr>
          <w:p w14:paraId="1B818780">
            <w:pPr>
              <w:pStyle w:val="12"/>
            </w:pPr>
            <w:r>
              <w:t>学校运转得到提高</w:t>
            </w:r>
          </w:p>
        </w:tc>
        <w:tc>
          <w:tcPr>
            <w:tcW w:w="5386" w:type="dxa"/>
            <w:vAlign w:val="center"/>
          </w:tcPr>
          <w:p w14:paraId="79991724">
            <w:pPr>
              <w:pStyle w:val="12"/>
            </w:pPr>
            <w:r>
              <w:t>学生受教育年限</w:t>
            </w:r>
          </w:p>
        </w:tc>
        <w:tc>
          <w:tcPr>
            <w:tcW w:w="2268" w:type="dxa"/>
            <w:vAlign w:val="center"/>
          </w:tcPr>
          <w:p w14:paraId="2FED9422">
            <w:pPr>
              <w:pStyle w:val="12"/>
            </w:pPr>
            <w:r>
              <w:t>6年</w:t>
            </w:r>
          </w:p>
        </w:tc>
        <w:tc>
          <w:tcPr>
            <w:tcW w:w="1276" w:type="dxa"/>
            <w:vAlign w:val="center"/>
          </w:tcPr>
          <w:p w14:paraId="6B357C98">
            <w:pPr>
              <w:pStyle w:val="12"/>
            </w:pPr>
            <w:r>
              <w:t>城乡义务教育公用经费管理办法</w:t>
            </w:r>
          </w:p>
        </w:tc>
      </w:tr>
      <w:tr w14:paraId="7DB6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5992F">
            <w:pPr>
              <w:pStyle w:val="13"/>
            </w:pPr>
            <w:r>
              <w:t>满意度指标</w:t>
            </w:r>
          </w:p>
        </w:tc>
        <w:tc>
          <w:tcPr>
            <w:tcW w:w="2268" w:type="dxa"/>
            <w:vAlign w:val="center"/>
          </w:tcPr>
          <w:p w14:paraId="7DA50571">
            <w:pPr>
              <w:pStyle w:val="12"/>
            </w:pPr>
            <w:r>
              <w:t>服务对象满意度指标</w:t>
            </w:r>
          </w:p>
        </w:tc>
        <w:tc>
          <w:tcPr>
            <w:tcW w:w="2835" w:type="dxa"/>
            <w:vAlign w:val="center"/>
          </w:tcPr>
          <w:p w14:paraId="7133AAED">
            <w:pPr>
              <w:pStyle w:val="12"/>
            </w:pPr>
            <w:r>
              <w:t>服务对象满意度</w:t>
            </w:r>
          </w:p>
        </w:tc>
        <w:tc>
          <w:tcPr>
            <w:tcW w:w="5386" w:type="dxa"/>
            <w:vAlign w:val="center"/>
          </w:tcPr>
          <w:p w14:paraId="5ACBF6BA">
            <w:pPr>
              <w:pStyle w:val="12"/>
            </w:pPr>
            <w:r>
              <w:t>学校老师和学生满意度</w:t>
            </w:r>
          </w:p>
        </w:tc>
        <w:tc>
          <w:tcPr>
            <w:tcW w:w="2268" w:type="dxa"/>
            <w:vAlign w:val="center"/>
          </w:tcPr>
          <w:p w14:paraId="7D3AF8D0">
            <w:pPr>
              <w:pStyle w:val="12"/>
            </w:pPr>
            <w:r>
              <w:t>≥95%</w:t>
            </w:r>
          </w:p>
        </w:tc>
        <w:tc>
          <w:tcPr>
            <w:tcW w:w="1276" w:type="dxa"/>
            <w:vAlign w:val="center"/>
          </w:tcPr>
          <w:p w14:paraId="2ABA29A5">
            <w:pPr>
              <w:pStyle w:val="12"/>
            </w:pPr>
            <w:r>
              <w:t>问卷调查</w:t>
            </w:r>
          </w:p>
        </w:tc>
      </w:tr>
    </w:tbl>
    <w:p w14:paraId="366AD721">
      <w:pPr>
        <w:sectPr>
          <w:pgSz w:w="16840" w:h="11900" w:orient="landscape"/>
          <w:pgMar w:top="1361" w:right="1020" w:bottom="1134" w:left="1020" w:header="720" w:footer="720" w:gutter="0"/>
          <w:cols w:space="720" w:num="1"/>
        </w:sectPr>
      </w:pPr>
    </w:p>
    <w:p w14:paraId="228D51D9">
      <w:pPr>
        <w:spacing w:before="0" w:after="0"/>
        <w:ind w:firstLine="560"/>
        <w:jc w:val="left"/>
        <w:outlineLvl w:val="9"/>
      </w:pPr>
      <w:r>
        <w:rPr>
          <w:rFonts w:ascii="方正仿宋_GBK" w:hAnsi="方正仿宋_GBK" w:eastAsia="方正仿宋_GBK" w:cs="方正仿宋_GBK"/>
          <w:b/>
          <w:color w:val="000000"/>
          <w:sz w:val="28"/>
        </w:rPr>
        <w:t>4、冀财教[2025]148号/支持义务教育发展/第三实验小学公用经费绩效目标表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F0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325F7">
            <w:pPr>
              <w:pStyle w:val="11"/>
            </w:pPr>
            <w:r>
              <w:t>单位：万元</w:t>
            </w:r>
          </w:p>
        </w:tc>
      </w:tr>
      <w:tr w14:paraId="62045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27E4E">
            <w:pPr>
              <w:pStyle w:val="10"/>
            </w:pPr>
            <w:r>
              <w:t>项目编码</w:t>
            </w:r>
          </w:p>
        </w:tc>
        <w:tc>
          <w:tcPr>
            <w:tcW w:w="5103" w:type="dxa"/>
            <w:gridSpan w:val="2"/>
            <w:vAlign w:val="center"/>
          </w:tcPr>
          <w:p w14:paraId="07164B6F">
            <w:pPr>
              <w:pStyle w:val="12"/>
            </w:pPr>
            <w:r>
              <w:t>13052526P00000210121P</w:t>
            </w:r>
          </w:p>
        </w:tc>
        <w:tc>
          <w:tcPr>
            <w:tcW w:w="2835" w:type="dxa"/>
            <w:vAlign w:val="center"/>
          </w:tcPr>
          <w:p w14:paraId="51C96458">
            <w:pPr>
              <w:pStyle w:val="10"/>
            </w:pPr>
            <w:r>
              <w:t>项目名称</w:t>
            </w:r>
          </w:p>
        </w:tc>
        <w:tc>
          <w:tcPr>
            <w:tcW w:w="6095" w:type="dxa"/>
            <w:gridSpan w:val="3"/>
            <w:vAlign w:val="center"/>
          </w:tcPr>
          <w:p w14:paraId="11569B85">
            <w:pPr>
              <w:pStyle w:val="12"/>
            </w:pPr>
            <w:r>
              <w:t>冀财教[2025]148号/支持义务教育发展/第三实验小学公用经费</w:t>
            </w:r>
          </w:p>
        </w:tc>
      </w:tr>
      <w:tr w14:paraId="58117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6D026">
            <w:pPr>
              <w:pStyle w:val="10"/>
            </w:pPr>
            <w:r>
              <w:t>预算规模及资金用途</w:t>
            </w:r>
          </w:p>
        </w:tc>
        <w:tc>
          <w:tcPr>
            <w:tcW w:w="2268" w:type="dxa"/>
            <w:vAlign w:val="center"/>
          </w:tcPr>
          <w:p w14:paraId="253DB618">
            <w:pPr>
              <w:pStyle w:val="10"/>
            </w:pPr>
            <w:r>
              <w:t>预算数</w:t>
            </w:r>
          </w:p>
        </w:tc>
        <w:tc>
          <w:tcPr>
            <w:tcW w:w="2835" w:type="dxa"/>
            <w:vAlign w:val="center"/>
          </w:tcPr>
          <w:p w14:paraId="4061ECFB">
            <w:pPr>
              <w:pStyle w:val="12"/>
            </w:pPr>
            <w:r>
              <w:t>6.06</w:t>
            </w:r>
          </w:p>
        </w:tc>
        <w:tc>
          <w:tcPr>
            <w:tcW w:w="2835" w:type="dxa"/>
            <w:vAlign w:val="center"/>
          </w:tcPr>
          <w:p w14:paraId="62BC34A6">
            <w:pPr>
              <w:pStyle w:val="10"/>
            </w:pPr>
            <w:r>
              <w:t>其中：财政    资金</w:t>
            </w:r>
          </w:p>
        </w:tc>
        <w:tc>
          <w:tcPr>
            <w:tcW w:w="2551" w:type="dxa"/>
            <w:vAlign w:val="center"/>
          </w:tcPr>
          <w:p w14:paraId="30264D9F">
            <w:pPr>
              <w:pStyle w:val="12"/>
            </w:pPr>
            <w:r>
              <w:t>6.06</w:t>
            </w:r>
          </w:p>
        </w:tc>
        <w:tc>
          <w:tcPr>
            <w:tcW w:w="2268" w:type="dxa"/>
            <w:vAlign w:val="center"/>
          </w:tcPr>
          <w:p w14:paraId="66FD14C8">
            <w:pPr>
              <w:pStyle w:val="10"/>
            </w:pPr>
            <w:r>
              <w:t>其他资金</w:t>
            </w:r>
          </w:p>
        </w:tc>
        <w:tc>
          <w:tcPr>
            <w:tcW w:w="1276" w:type="dxa"/>
            <w:vAlign w:val="center"/>
          </w:tcPr>
          <w:p w14:paraId="392195E9">
            <w:pPr>
              <w:pStyle w:val="12"/>
            </w:pPr>
            <w:r>
              <w:t xml:space="preserve"> </w:t>
            </w:r>
          </w:p>
        </w:tc>
      </w:tr>
      <w:tr w14:paraId="0853F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C5AED"/>
        </w:tc>
        <w:tc>
          <w:tcPr>
            <w:tcW w:w="14033" w:type="dxa"/>
            <w:gridSpan w:val="6"/>
            <w:vAlign w:val="center"/>
          </w:tcPr>
          <w:p w14:paraId="3D55973A">
            <w:pPr>
              <w:pStyle w:val="12"/>
            </w:pPr>
            <w:r>
              <w:t>有效完成学校教学安全秩序，保障学校教学任务有效开展，满足学校正常教学需要。</w:t>
            </w:r>
          </w:p>
        </w:tc>
      </w:tr>
      <w:tr w14:paraId="23E8C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3DE5E">
            <w:pPr>
              <w:pStyle w:val="10"/>
            </w:pPr>
            <w:r>
              <w:t>资金支出计划（%）</w:t>
            </w:r>
          </w:p>
        </w:tc>
        <w:tc>
          <w:tcPr>
            <w:tcW w:w="5103" w:type="dxa"/>
            <w:gridSpan w:val="2"/>
            <w:vAlign w:val="center"/>
          </w:tcPr>
          <w:p w14:paraId="21333BF6">
            <w:pPr>
              <w:pStyle w:val="10"/>
            </w:pPr>
            <w:r>
              <w:t>3月底</w:t>
            </w:r>
          </w:p>
        </w:tc>
        <w:tc>
          <w:tcPr>
            <w:tcW w:w="2835" w:type="dxa"/>
            <w:vAlign w:val="center"/>
          </w:tcPr>
          <w:p w14:paraId="10BB9B47">
            <w:pPr>
              <w:pStyle w:val="10"/>
            </w:pPr>
            <w:r>
              <w:t>6月底</w:t>
            </w:r>
          </w:p>
        </w:tc>
        <w:tc>
          <w:tcPr>
            <w:tcW w:w="2551" w:type="dxa"/>
            <w:vAlign w:val="center"/>
          </w:tcPr>
          <w:p w14:paraId="56D9544A">
            <w:pPr>
              <w:pStyle w:val="10"/>
            </w:pPr>
            <w:r>
              <w:t>10月底</w:t>
            </w:r>
          </w:p>
        </w:tc>
        <w:tc>
          <w:tcPr>
            <w:tcW w:w="3544" w:type="dxa"/>
            <w:gridSpan w:val="2"/>
            <w:vAlign w:val="center"/>
          </w:tcPr>
          <w:p w14:paraId="4755C2C0">
            <w:pPr>
              <w:pStyle w:val="10"/>
            </w:pPr>
            <w:r>
              <w:t>12月底</w:t>
            </w:r>
          </w:p>
        </w:tc>
      </w:tr>
      <w:tr w14:paraId="23CA8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81C42"/>
        </w:tc>
        <w:tc>
          <w:tcPr>
            <w:tcW w:w="5103" w:type="dxa"/>
            <w:gridSpan w:val="2"/>
            <w:vAlign w:val="center"/>
          </w:tcPr>
          <w:p w14:paraId="5769AE92">
            <w:pPr>
              <w:pStyle w:val="13"/>
            </w:pPr>
            <w:r>
              <w:t xml:space="preserve"> </w:t>
            </w:r>
          </w:p>
        </w:tc>
        <w:tc>
          <w:tcPr>
            <w:tcW w:w="2835" w:type="dxa"/>
            <w:vAlign w:val="center"/>
          </w:tcPr>
          <w:p w14:paraId="3C59807F">
            <w:pPr>
              <w:pStyle w:val="13"/>
            </w:pPr>
            <w:r>
              <w:t xml:space="preserve"> </w:t>
            </w:r>
          </w:p>
        </w:tc>
        <w:tc>
          <w:tcPr>
            <w:tcW w:w="2551" w:type="dxa"/>
            <w:vAlign w:val="center"/>
          </w:tcPr>
          <w:p w14:paraId="75C26E89">
            <w:pPr>
              <w:pStyle w:val="13"/>
            </w:pPr>
            <w:r>
              <w:t>100%</w:t>
            </w:r>
          </w:p>
        </w:tc>
        <w:tc>
          <w:tcPr>
            <w:tcW w:w="3544" w:type="dxa"/>
            <w:gridSpan w:val="2"/>
            <w:vAlign w:val="center"/>
          </w:tcPr>
          <w:p w14:paraId="107025B6">
            <w:pPr>
              <w:pStyle w:val="13"/>
            </w:pPr>
            <w:r>
              <w:t>100%</w:t>
            </w:r>
          </w:p>
        </w:tc>
      </w:tr>
      <w:tr w14:paraId="212F5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A648B">
            <w:pPr>
              <w:pStyle w:val="10"/>
            </w:pPr>
            <w:r>
              <w:t>绩效目标</w:t>
            </w:r>
          </w:p>
        </w:tc>
        <w:tc>
          <w:tcPr>
            <w:tcW w:w="14033" w:type="dxa"/>
            <w:gridSpan w:val="6"/>
            <w:vAlign w:val="center"/>
          </w:tcPr>
          <w:p w14:paraId="7A1946A0">
            <w:pPr>
              <w:pStyle w:val="12"/>
            </w:pPr>
            <w:r>
              <w:t>1.有效完成学校教学安全秩序，保障学校教学任务有效开展，满足学校正常教学需要。</w:t>
            </w:r>
          </w:p>
          <w:p w14:paraId="0B7AF944">
            <w:pPr>
              <w:pStyle w:val="12"/>
            </w:pPr>
            <w:r>
              <w:t>2.按规定拨付公用经费资金，预算执行率≥98%。</w:t>
            </w:r>
          </w:p>
        </w:tc>
      </w:tr>
    </w:tbl>
    <w:p w14:paraId="2B6639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3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DD267">
            <w:pPr>
              <w:pStyle w:val="10"/>
            </w:pPr>
            <w:r>
              <w:t>一级指标</w:t>
            </w:r>
          </w:p>
        </w:tc>
        <w:tc>
          <w:tcPr>
            <w:tcW w:w="2268" w:type="dxa"/>
            <w:vAlign w:val="center"/>
          </w:tcPr>
          <w:p w14:paraId="07D5FF49">
            <w:pPr>
              <w:pStyle w:val="10"/>
            </w:pPr>
            <w:r>
              <w:t>二级指标</w:t>
            </w:r>
          </w:p>
        </w:tc>
        <w:tc>
          <w:tcPr>
            <w:tcW w:w="2835" w:type="dxa"/>
            <w:vAlign w:val="center"/>
          </w:tcPr>
          <w:p w14:paraId="1A09200A">
            <w:pPr>
              <w:pStyle w:val="10"/>
            </w:pPr>
            <w:r>
              <w:t>三级指标</w:t>
            </w:r>
          </w:p>
        </w:tc>
        <w:tc>
          <w:tcPr>
            <w:tcW w:w="5386" w:type="dxa"/>
            <w:vAlign w:val="center"/>
          </w:tcPr>
          <w:p w14:paraId="73EE30C9">
            <w:pPr>
              <w:pStyle w:val="10"/>
            </w:pPr>
            <w:r>
              <w:t>绩效指标描述</w:t>
            </w:r>
          </w:p>
        </w:tc>
        <w:tc>
          <w:tcPr>
            <w:tcW w:w="2268" w:type="dxa"/>
            <w:vAlign w:val="center"/>
          </w:tcPr>
          <w:p w14:paraId="3F6ADB5B">
            <w:pPr>
              <w:pStyle w:val="10"/>
            </w:pPr>
            <w:r>
              <w:t>指标值</w:t>
            </w:r>
          </w:p>
        </w:tc>
        <w:tc>
          <w:tcPr>
            <w:tcW w:w="1276" w:type="dxa"/>
            <w:vAlign w:val="center"/>
          </w:tcPr>
          <w:p w14:paraId="4C36E402">
            <w:pPr>
              <w:pStyle w:val="10"/>
            </w:pPr>
            <w:r>
              <w:t>指标值确定依据</w:t>
            </w:r>
          </w:p>
        </w:tc>
      </w:tr>
      <w:tr w14:paraId="4B52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5E9A8">
            <w:pPr>
              <w:pStyle w:val="13"/>
            </w:pPr>
            <w:r>
              <w:t>产出指标</w:t>
            </w:r>
          </w:p>
        </w:tc>
        <w:tc>
          <w:tcPr>
            <w:tcW w:w="2268" w:type="dxa"/>
            <w:vAlign w:val="center"/>
          </w:tcPr>
          <w:p w14:paraId="6B3CB73A">
            <w:pPr>
              <w:pStyle w:val="12"/>
            </w:pPr>
            <w:r>
              <w:t>数量指标</w:t>
            </w:r>
          </w:p>
        </w:tc>
        <w:tc>
          <w:tcPr>
            <w:tcW w:w="2835" w:type="dxa"/>
            <w:vAlign w:val="center"/>
          </w:tcPr>
          <w:p w14:paraId="24B539A2">
            <w:pPr>
              <w:pStyle w:val="12"/>
            </w:pPr>
            <w:r>
              <w:t>就读学生数</w:t>
            </w:r>
          </w:p>
        </w:tc>
        <w:tc>
          <w:tcPr>
            <w:tcW w:w="5386" w:type="dxa"/>
            <w:vAlign w:val="center"/>
          </w:tcPr>
          <w:p w14:paraId="7CB4121B">
            <w:pPr>
              <w:pStyle w:val="12"/>
            </w:pPr>
            <w:r>
              <w:t>辐射区域内适龄学生人数</w:t>
            </w:r>
          </w:p>
        </w:tc>
        <w:tc>
          <w:tcPr>
            <w:tcW w:w="2268" w:type="dxa"/>
            <w:vAlign w:val="center"/>
          </w:tcPr>
          <w:p w14:paraId="27459F90">
            <w:pPr>
              <w:pStyle w:val="12"/>
            </w:pPr>
            <w:r>
              <w:t>1755人</w:t>
            </w:r>
          </w:p>
        </w:tc>
        <w:tc>
          <w:tcPr>
            <w:tcW w:w="1276" w:type="dxa"/>
            <w:vAlign w:val="center"/>
          </w:tcPr>
          <w:p w14:paraId="00CF7C0A">
            <w:pPr>
              <w:pStyle w:val="12"/>
            </w:pPr>
            <w:r>
              <w:t>城乡义务教育公用经费管理办法</w:t>
            </w:r>
          </w:p>
        </w:tc>
      </w:tr>
      <w:tr w14:paraId="5149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FA053"/>
        </w:tc>
        <w:tc>
          <w:tcPr>
            <w:tcW w:w="2268" w:type="dxa"/>
            <w:vAlign w:val="center"/>
          </w:tcPr>
          <w:p w14:paraId="54EB1CD8">
            <w:pPr>
              <w:pStyle w:val="12"/>
            </w:pPr>
            <w:r>
              <w:t>质量指标</w:t>
            </w:r>
          </w:p>
        </w:tc>
        <w:tc>
          <w:tcPr>
            <w:tcW w:w="2835" w:type="dxa"/>
            <w:vAlign w:val="center"/>
          </w:tcPr>
          <w:p w14:paraId="22D8F16F">
            <w:pPr>
              <w:pStyle w:val="12"/>
            </w:pPr>
            <w:r>
              <w:t>预算执行率</w:t>
            </w:r>
          </w:p>
        </w:tc>
        <w:tc>
          <w:tcPr>
            <w:tcW w:w="5386" w:type="dxa"/>
            <w:vAlign w:val="center"/>
          </w:tcPr>
          <w:p w14:paraId="720CFD9A">
            <w:pPr>
              <w:pStyle w:val="12"/>
            </w:pPr>
            <w:r>
              <w:t>预算执行率</w:t>
            </w:r>
          </w:p>
        </w:tc>
        <w:tc>
          <w:tcPr>
            <w:tcW w:w="2268" w:type="dxa"/>
            <w:vAlign w:val="center"/>
          </w:tcPr>
          <w:p w14:paraId="3A5CC720">
            <w:pPr>
              <w:pStyle w:val="12"/>
            </w:pPr>
            <w:r>
              <w:t>≥98%</w:t>
            </w:r>
          </w:p>
        </w:tc>
        <w:tc>
          <w:tcPr>
            <w:tcW w:w="1276" w:type="dxa"/>
            <w:vAlign w:val="center"/>
          </w:tcPr>
          <w:p w14:paraId="3257B852">
            <w:pPr>
              <w:pStyle w:val="12"/>
            </w:pPr>
            <w:r>
              <w:t>城乡义务教育公用经费管理办法</w:t>
            </w:r>
          </w:p>
        </w:tc>
      </w:tr>
      <w:tr w14:paraId="6C4A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87E76"/>
        </w:tc>
        <w:tc>
          <w:tcPr>
            <w:tcW w:w="2268" w:type="dxa"/>
            <w:vAlign w:val="center"/>
          </w:tcPr>
          <w:p w14:paraId="495F1A0C">
            <w:pPr>
              <w:pStyle w:val="12"/>
            </w:pPr>
            <w:r>
              <w:t>时效指标</w:t>
            </w:r>
          </w:p>
        </w:tc>
        <w:tc>
          <w:tcPr>
            <w:tcW w:w="2835" w:type="dxa"/>
            <w:vAlign w:val="center"/>
          </w:tcPr>
          <w:p w14:paraId="11AB65C1">
            <w:pPr>
              <w:pStyle w:val="12"/>
            </w:pPr>
            <w:r>
              <w:t>义教经费支付完成率</w:t>
            </w:r>
          </w:p>
        </w:tc>
        <w:tc>
          <w:tcPr>
            <w:tcW w:w="5386" w:type="dxa"/>
            <w:vAlign w:val="center"/>
          </w:tcPr>
          <w:p w14:paraId="23A38B79">
            <w:pPr>
              <w:pStyle w:val="12"/>
            </w:pPr>
            <w:r>
              <w:t>按照序时进度完成资金支付</w:t>
            </w:r>
          </w:p>
        </w:tc>
        <w:tc>
          <w:tcPr>
            <w:tcW w:w="2268" w:type="dxa"/>
            <w:vAlign w:val="center"/>
          </w:tcPr>
          <w:p w14:paraId="208C2E0C">
            <w:pPr>
              <w:pStyle w:val="12"/>
            </w:pPr>
            <w:r>
              <w:t>100%</w:t>
            </w:r>
          </w:p>
        </w:tc>
        <w:tc>
          <w:tcPr>
            <w:tcW w:w="1276" w:type="dxa"/>
            <w:vAlign w:val="center"/>
          </w:tcPr>
          <w:p w14:paraId="0D61DF25">
            <w:pPr>
              <w:pStyle w:val="12"/>
            </w:pPr>
            <w:r>
              <w:t>城乡义务教育公用经费管理办法</w:t>
            </w:r>
          </w:p>
        </w:tc>
      </w:tr>
      <w:tr w14:paraId="2040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B5D2D"/>
        </w:tc>
        <w:tc>
          <w:tcPr>
            <w:tcW w:w="2268" w:type="dxa"/>
            <w:vAlign w:val="center"/>
          </w:tcPr>
          <w:p w14:paraId="6F76CF72">
            <w:pPr>
              <w:pStyle w:val="12"/>
            </w:pPr>
            <w:r>
              <w:t>成本指标</w:t>
            </w:r>
          </w:p>
        </w:tc>
        <w:tc>
          <w:tcPr>
            <w:tcW w:w="2835" w:type="dxa"/>
            <w:vAlign w:val="center"/>
          </w:tcPr>
          <w:p w14:paraId="15E5D9B6">
            <w:pPr>
              <w:pStyle w:val="12"/>
            </w:pPr>
            <w:r>
              <w:t>生均拨款标准</w:t>
            </w:r>
          </w:p>
        </w:tc>
        <w:tc>
          <w:tcPr>
            <w:tcW w:w="5386" w:type="dxa"/>
            <w:vAlign w:val="center"/>
          </w:tcPr>
          <w:p w14:paraId="3D30593D">
            <w:pPr>
              <w:pStyle w:val="12"/>
            </w:pPr>
            <w:r>
              <w:t>小学：（基本标准720元、寄宿生300元、生活补助120元）/生/学年；特教、随班就读学生：标准7000元/生/学年</w:t>
            </w:r>
          </w:p>
        </w:tc>
        <w:tc>
          <w:tcPr>
            <w:tcW w:w="2268" w:type="dxa"/>
            <w:vAlign w:val="center"/>
          </w:tcPr>
          <w:p w14:paraId="3506624F">
            <w:pPr>
              <w:pStyle w:val="12"/>
            </w:pPr>
            <w:r>
              <w:t>840元</w:t>
            </w:r>
          </w:p>
        </w:tc>
        <w:tc>
          <w:tcPr>
            <w:tcW w:w="1276" w:type="dxa"/>
            <w:vAlign w:val="center"/>
          </w:tcPr>
          <w:p w14:paraId="2DAD2AA5">
            <w:pPr>
              <w:pStyle w:val="12"/>
            </w:pPr>
            <w:r>
              <w:t>城乡义务教育公用经费管理办法</w:t>
            </w:r>
          </w:p>
        </w:tc>
      </w:tr>
      <w:tr w14:paraId="4E71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58E64">
            <w:pPr>
              <w:pStyle w:val="13"/>
            </w:pPr>
            <w:r>
              <w:t>效益指标</w:t>
            </w:r>
          </w:p>
        </w:tc>
        <w:tc>
          <w:tcPr>
            <w:tcW w:w="2268" w:type="dxa"/>
            <w:vAlign w:val="center"/>
          </w:tcPr>
          <w:p w14:paraId="298EB1D3">
            <w:pPr>
              <w:pStyle w:val="12"/>
            </w:pPr>
            <w:r>
              <w:t>社会效益指标</w:t>
            </w:r>
          </w:p>
        </w:tc>
        <w:tc>
          <w:tcPr>
            <w:tcW w:w="2835" w:type="dxa"/>
            <w:vAlign w:val="center"/>
          </w:tcPr>
          <w:p w14:paraId="65F972B8">
            <w:pPr>
              <w:pStyle w:val="12"/>
            </w:pPr>
            <w:r>
              <w:t>学校稳定率</w:t>
            </w:r>
          </w:p>
        </w:tc>
        <w:tc>
          <w:tcPr>
            <w:tcW w:w="5386" w:type="dxa"/>
            <w:vAlign w:val="center"/>
          </w:tcPr>
          <w:p w14:paraId="44D28FDC">
            <w:pPr>
              <w:pStyle w:val="12"/>
            </w:pPr>
            <w:r>
              <w:t>维护学校稳定，保障学校正常教学秩序有效开展</w:t>
            </w:r>
          </w:p>
        </w:tc>
        <w:tc>
          <w:tcPr>
            <w:tcW w:w="2268" w:type="dxa"/>
            <w:vAlign w:val="center"/>
          </w:tcPr>
          <w:p w14:paraId="55B6BD3C">
            <w:pPr>
              <w:pStyle w:val="12"/>
            </w:pPr>
            <w:r>
              <w:t>≥98%</w:t>
            </w:r>
          </w:p>
        </w:tc>
        <w:tc>
          <w:tcPr>
            <w:tcW w:w="1276" w:type="dxa"/>
            <w:vAlign w:val="center"/>
          </w:tcPr>
          <w:p w14:paraId="0D3BB6AC">
            <w:pPr>
              <w:pStyle w:val="12"/>
            </w:pPr>
            <w:r>
              <w:t>城乡义务教育公用经费管理办法</w:t>
            </w:r>
          </w:p>
        </w:tc>
      </w:tr>
      <w:tr w14:paraId="62BC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2F864">
            <w:pPr>
              <w:pStyle w:val="13"/>
            </w:pPr>
            <w:r>
              <w:t>满意度指标</w:t>
            </w:r>
          </w:p>
        </w:tc>
        <w:tc>
          <w:tcPr>
            <w:tcW w:w="2268" w:type="dxa"/>
            <w:vAlign w:val="center"/>
          </w:tcPr>
          <w:p w14:paraId="6378FE0F">
            <w:pPr>
              <w:pStyle w:val="12"/>
            </w:pPr>
            <w:r>
              <w:t>服务对象满意度指标</w:t>
            </w:r>
          </w:p>
        </w:tc>
        <w:tc>
          <w:tcPr>
            <w:tcW w:w="2835" w:type="dxa"/>
            <w:vAlign w:val="center"/>
          </w:tcPr>
          <w:p w14:paraId="39E0BAC4">
            <w:pPr>
              <w:pStyle w:val="12"/>
            </w:pPr>
            <w:r>
              <w:t>家长和学生满意度</w:t>
            </w:r>
          </w:p>
        </w:tc>
        <w:tc>
          <w:tcPr>
            <w:tcW w:w="5386" w:type="dxa"/>
            <w:vAlign w:val="center"/>
          </w:tcPr>
          <w:p w14:paraId="0C186361">
            <w:pPr>
              <w:pStyle w:val="12"/>
            </w:pPr>
            <w:r>
              <w:t>家长和学生满意度</w:t>
            </w:r>
          </w:p>
        </w:tc>
        <w:tc>
          <w:tcPr>
            <w:tcW w:w="2268" w:type="dxa"/>
            <w:vAlign w:val="center"/>
          </w:tcPr>
          <w:p w14:paraId="747411AD">
            <w:pPr>
              <w:pStyle w:val="12"/>
            </w:pPr>
            <w:r>
              <w:t>≥95%</w:t>
            </w:r>
          </w:p>
        </w:tc>
        <w:tc>
          <w:tcPr>
            <w:tcW w:w="1276" w:type="dxa"/>
            <w:vAlign w:val="center"/>
          </w:tcPr>
          <w:p w14:paraId="07C9EC15">
            <w:pPr>
              <w:pStyle w:val="12"/>
            </w:pPr>
            <w:r>
              <w:t>问卷调查</w:t>
            </w:r>
          </w:p>
        </w:tc>
      </w:tr>
    </w:tbl>
    <w:p w14:paraId="57C52A21">
      <w:pPr>
        <w:sectPr>
          <w:pgSz w:w="16840" w:h="11900" w:orient="landscape"/>
          <w:pgMar w:top="1361" w:right="1020" w:bottom="1134" w:left="1020" w:header="720" w:footer="720" w:gutter="0"/>
          <w:cols w:space="720" w:num="1"/>
        </w:sectPr>
      </w:pPr>
    </w:p>
    <w:p w14:paraId="02F3CC86">
      <w:pPr>
        <w:spacing w:before="0" w:after="0"/>
        <w:ind w:firstLine="560"/>
        <w:jc w:val="left"/>
        <w:outlineLvl w:val="9"/>
      </w:pPr>
      <w:r>
        <w:rPr>
          <w:rFonts w:ascii="方正仿宋_GBK" w:hAnsi="方正仿宋_GBK" w:eastAsia="方正仿宋_GBK" w:cs="方正仿宋_GBK"/>
          <w:b/>
          <w:color w:val="000000"/>
          <w:sz w:val="28"/>
        </w:rPr>
        <w:t>5、冀财教[2025]148号/支持义务教育发展/第三实验小学录播室项目绩效目标表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C5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09AB3">
            <w:pPr>
              <w:pStyle w:val="11"/>
            </w:pPr>
            <w:r>
              <w:t>单位：万元</w:t>
            </w:r>
          </w:p>
        </w:tc>
      </w:tr>
      <w:tr w14:paraId="543C1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529A3">
            <w:pPr>
              <w:pStyle w:val="10"/>
            </w:pPr>
            <w:r>
              <w:t>项目编码</w:t>
            </w:r>
          </w:p>
        </w:tc>
        <w:tc>
          <w:tcPr>
            <w:tcW w:w="5103" w:type="dxa"/>
            <w:gridSpan w:val="2"/>
            <w:vAlign w:val="center"/>
          </w:tcPr>
          <w:p w14:paraId="3AF901BD">
            <w:pPr>
              <w:pStyle w:val="12"/>
            </w:pPr>
            <w:r>
              <w:t>13052526P000002101204</w:t>
            </w:r>
          </w:p>
        </w:tc>
        <w:tc>
          <w:tcPr>
            <w:tcW w:w="2835" w:type="dxa"/>
            <w:vAlign w:val="center"/>
          </w:tcPr>
          <w:p w14:paraId="08F57945">
            <w:pPr>
              <w:pStyle w:val="10"/>
            </w:pPr>
            <w:r>
              <w:t>项目名称</w:t>
            </w:r>
          </w:p>
        </w:tc>
        <w:tc>
          <w:tcPr>
            <w:tcW w:w="6095" w:type="dxa"/>
            <w:gridSpan w:val="3"/>
            <w:vAlign w:val="center"/>
          </w:tcPr>
          <w:p w14:paraId="563DF527">
            <w:pPr>
              <w:pStyle w:val="12"/>
            </w:pPr>
            <w:r>
              <w:t>冀财教[2025]148号/支持义务教育发展/第三实验小学录播室项目</w:t>
            </w:r>
          </w:p>
        </w:tc>
      </w:tr>
      <w:tr w14:paraId="736C5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4A71D">
            <w:pPr>
              <w:pStyle w:val="10"/>
            </w:pPr>
            <w:r>
              <w:t>预算规模及资金用途</w:t>
            </w:r>
          </w:p>
        </w:tc>
        <w:tc>
          <w:tcPr>
            <w:tcW w:w="2268" w:type="dxa"/>
            <w:vAlign w:val="center"/>
          </w:tcPr>
          <w:p w14:paraId="79829929">
            <w:pPr>
              <w:pStyle w:val="10"/>
            </w:pPr>
            <w:r>
              <w:t>预算数</w:t>
            </w:r>
          </w:p>
        </w:tc>
        <w:tc>
          <w:tcPr>
            <w:tcW w:w="2835" w:type="dxa"/>
            <w:vAlign w:val="center"/>
          </w:tcPr>
          <w:p w14:paraId="6F9A938A">
            <w:pPr>
              <w:pStyle w:val="12"/>
            </w:pPr>
            <w:r>
              <w:t>27.00</w:t>
            </w:r>
          </w:p>
        </w:tc>
        <w:tc>
          <w:tcPr>
            <w:tcW w:w="2835" w:type="dxa"/>
            <w:vAlign w:val="center"/>
          </w:tcPr>
          <w:p w14:paraId="45F8A5D3">
            <w:pPr>
              <w:pStyle w:val="10"/>
            </w:pPr>
            <w:r>
              <w:t>其中：财政    资金</w:t>
            </w:r>
          </w:p>
        </w:tc>
        <w:tc>
          <w:tcPr>
            <w:tcW w:w="2551" w:type="dxa"/>
            <w:vAlign w:val="center"/>
          </w:tcPr>
          <w:p w14:paraId="77EBD320">
            <w:pPr>
              <w:pStyle w:val="12"/>
            </w:pPr>
            <w:r>
              <w:t>27.00</w:t>
            </w:r>
          </w:p>
        </w:tc>
        <w:tc>
          <w:tcPr>
            <w:tcW w:w="2268" w:type="dxa"/>
            <w:vAlign w:val="center"/>
          </w:tcPr>
          <w:p w14:paraId="5E4C379D">
            <w:pPr>
              <w:pStyle w:val="10"/>
            </w:pPr>
            <w:r>
              <w:t>其他资金</w:t>
            </w:r>
          </w:p>
        </w:tc>
        <w:tc>
          <w:tcPr>
            <w:tcW w:w="1276" w:type="dxa"/>
            <w:vAlign w:val="center"/>
          </w:tcPr>
          <w:p w14:paraId="0D0489A0">
            <w:pPr>
              <w:pStyle w:val="12"/>
            </w:pPr>
            <w:r>
              <w:t xml:space="preserve"> </w:t>
            </w:r>
          </w:p>
        </w:tc>
      </w:tr>
      <w:tr w14:paraId="33E01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E2AD0"/>
        </w:tc>
        <w:tc>
          <w:tcPr>
            <w:tcW w:w="14033" w:type="dxa"/>
            <w:gridSpan w:val="6"/>
            <w:vAlign w:val="center"/>
          </w:tcPr>
          <w:p w14:paraId="3538C782">
            <w:pPr>
              <w:pStyle w:val="12"/>
            </w:pPr>
            <w:r>
              <w:t>保障教学正常运转，高质量完成教育教学活动。</w:t>
            </w:r>
          </w:p>
        </w:tc>
      </w:tr>
      <w:tr w14:paraId="7C9BB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79A23">
            <w:pPr>
              <w:pStyle w:val="10"/>
            </w:pPr>
            <w:r>
              <w:t>资金支出计划（%）</w:t>
            </w:r>
          </w:p>
        </w:tc>
        <w:tc>
          <w:tcPr>
            <w:tcW w:w="5103" w:type="dxa"/>
            <w:gridSpan w:val="2"/>
            <w:vAlign w:val="center"/>
          </w:tcPr>
          <w:p w14:paraId="1A6096CA">
            <w:pPr>
              <w:pStyle w:val="10"/>
            </w:pPr>
            <w:r>
              <w:t>3月底</w:t>
            </w:r>
          </w:p>
        </w:tc>
        <w:tc>
          <w:tcPr>
            <w:tcW w:w="2835" w:type="dxa"/>
            <w:vAlign w:val="center"/>
          </w:tcPr>
          <w:p w14:paraId="33E9CD45">
            <w:pPr>
              <w:pStyle w:val="10"/>
            </w:pPr>
            <w:r>
              <w:t>6月底</w:t>
            </w:r>
          </w:p>
        </w:tc>
        <w:tc>
          <w:tcPr>
            <w:tcW w:w="2551" w:type="dxa"/>
            <w:vAlign w:val="center"/>
          </w:tcPr>
          <w:p w14:paraId="2178A515">
            <w:pPr>
              <w:pStyle w:val="10"/>
            </w:pPr>
            <w:r>
              <w:t>10月底</w:t>
            </w:r>
          </w:p>
        </w:tc>
        <w:tc>
          <w:tcPr>
            <w:tcW w:w="3544" w:type="dxa"/>
            <w:gridSpan w:val="2"/>
            <w:vAlign w:val="center"/>
          </w:tcPr>
          <w:p w14:paraId="4A8C22C1">
            <w:pPr>
              <w:pStyle w:val="10"/>
            </w:pPr>
            <w:r>
              <w:t>12月底</w:t>
            </w:r>
          </w:p>
        </w:tc>
      </w:tr>
      <w:tr w14:paraId="1E80F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30809"/>
        </w:tc>
        <w:tc>
          <w:tcPr>
            <w:tcW w:w="5103" w:type="dxa"/>
            <w:gridSpan w:val="2"/>
            <w:vAlign w:val="center"/>
          </w:tcPr>
          <w:p w14:paraId="164AAC19">
            <w:pPr>
              <w:pStyle w:val="13"/>
            </w:pPr>
            <w:r>
              <w:t xml:space="preserve"> </w:t>
            </w:r>
          </w:p>
        </w:tc>
        <w:tc>
          <w:tcPr>
            <w:tcW w:w="2835" w:type="dxa"/>
            <w:vAlign w:val="center"/>
          </w:tcPr>
          <w:p w14:paraId="2FB5925F">
            <w:pPr>
              <w:pStyle w:val="13"/>
            </w:pPr>
            <w:r>
              <w:t xml:space="preserve"> </w:t>
            </w:r>
          </w:p>
        </w:tc>
        <w:tc>
          <w:tcPr>
            <w:tcW w:w="2551" w:type="dxa"/>
            <w:vAlign w:val="center"/>
          </w:tcPr>
          <w:p w14:paraId="48D31D4E">
            <w:pPr>
              <w:pStyle w:val="13"/>
            </w:pPr>
            <w:r>
              <w:t>100%</w:t>
            </w:r>
          </w:p>
        </w:tc>
        <w:tc>
          <w:tcPr>
            <w:tcW w:w="3544" w:type="dxa"/>
            <w:gridSpan w:val="2"/>
            <w:vAlign w:val="center"/>
          </w:tcPr>
          <w:p w14:paraId="1C43F1CF">
            <w:pPr>
              <w:pStyle w:val="13"/>
            </w:pPr>
            <w:r>
              <w:t>100%</w:t>
            </w:r>
          </w:p>
        </w:tc>
      </w:tr>
      <w:tr w14:paraId="18AEC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8F835">
            <w:pPr>
              <w:pStyle w:val="10"/>
            </w:pPr>
            <w:r>
              <w:t>绩效目标</w:t>
            </w:r>
          </w:p>
        </w:tc>
        <w:tc>
          <w:tcPr>
            <w:tcW w:w="14033" w:type="dxa"/>
            <w:gridSpan w:val="6"/>
            <w:vAlign w:val="center"/>
          </w:tcPr>
          <w:p w14:paraId="14258F9C">
            <w:pPr>
              <w:pStyle w:val="12"/>
            </w:pPr>
            <w:r>
              <w:t>1.按规定拨付录播室项目资金27万元，资金拨付率达到100%。</w:t>
            </w:r>
          </w:p>
          <w:p w14:paraId="3D0B1BFC">
            <w:pPr>
              <w:pStyle w:val="12"/>
            </w:pPr>
            <w:r>
              <w:t>2.保障教学正常运转，高质量完成教育教学活动。</w:t>
            </w:r>
          </w:p>
        </w:tc>
      </w:tr>
    </w:tbl>
    <w:p w14:paraId="6F3F3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C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FAFD1">
            <w:pPr>
              <w:pStyle w:val="10"/>
            </w:pPr>
            <w:r>
              <w:t>一级指标</w:t>
            </w:r>
          </w:p>
        </w:tc>
        <w:tc>
          <w:tcPr>
            <w:tcW w:w="2268" w:type="dxa"/>
            <w:vAlign w:val="center"/>
          </w:tcPr>
          <w:p w14:paraId="32197CD7">
            <w:pPr>
              <w:pStyle w:val="10"/>
            </w:pPr>
            <w:r>
              <w:t>二级指标</w:t>
            </w:r>
          </w:p>
        </w:tc>
        <w:tc>
          <w:tcPr>
            <w:tcW w:w="2835" w:type="dxa"/>
            <w:vAlign w:val="center"/>
          </w:tcPr>
          <w:p w14:paraId="354BAD39">
            <w:pPr>
              <w:pStyle w:val="10"/>
            </w:pPr>
            <w:r>
              <w:t>三级指标</w:t>
            </w:r>
          </w:p>
        </w:tc>
        <w:tc>
          <w:tcPr>
            <w:tcW w:w="5386" w:type="dxa"/>
            <w:vAlign w:val="center"/>
          </w:tcPr>
          <w:p w14:paraId="2147A623">
            <w:pPr>
              <w:pStyle w:val="10"/>
            </w:pPr>
            <w:r>
              <w:t>绩效指标描述</w:t>
            </w:r>
          </w:p>
        </w:tc>
        <w:tc>
          <w:tcPr>
            <w:tcW w:w="2268" w:type="dxa"/>
            <w:vAlign w:val="center"/>
          </w:tcPr>
          <w:p w14:paraId="2497AE8D">
            <w:pPr>
              <w:pStyle w:val="10"/>
            </w:pPr>
            <w:r>
              <w:t>指标值</w:t>
            </w:r>
          </w:p>
        </w:tc>
        <w:tc>
          <w:tcPr>
            <w:tcW w:w="1276" w:type="dxa"/>
            <w:vAlign w:val="center"/>
          </w:tcPr>
          <w:p w14:paraId="1C0BD406">
            <w:pPr>
              <w:pStyle w:val="10"/>
            </w:pPr>
            <w:r>
              <w:t>指标值确定依据</w:t>
            </w:r>
          </w:p>
        </w:tc>
      </w:tr>
      <w:tr w14:paraId="400E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5917A">
            <w:pPr>
              <w:pStyle w:val="13"/>
            </w:pPr>
            <w:r>
              <w:t>产出指标</w:t>
            </w:r>
          </w:p>
        </w:tc>
        <w:tc>
          <w:tcPr>
            <w:tcW w:w="2268" w:type="dxa"/>
            <w:vAlign w:val="center"/>
          </w:tcPr>
          <w:p w14:paraId="3EA40D5B">
            <w:pPr>
              <w:pStyle w:val="12"/>
            </w:pPr>
            <w:r>
              <w:t>数量指标</w:t>
            </w:r>
          </w:p>
        </w:tc>
        <w:tc>
          <w:tcPr>
            <w:tcW w:w="2835" w:type="dxa"/>
            <w:vAlign w:val="center"/>
          </w:tcPr>
          <w:p w14:paraId="32C64F4A">
            <w:pPr>
              <w:pStyle w:val="12"/>
            </w:pPr>
            <w:r>
              <w:t>录播室</w:t>
            </w:r>
          </w:p>
        </w:tc>
        <w:tc>
          <w:tcPr>
            <w:tcW w:w="5386" w:type="dxa"/>
            <w:vAlign w:val="center"/>
          </w:tcPr>
          <w:p w14:paraId="0B347013">
            <w:pPr>
              <w:pStyle w:val="12"/>
            </w:pPr>
            <w:r>
              <w:t>录播室主机，导播、互动系统等</w:t>
            </w:r>
          </w:p>
        </w:tc>
        <w:tc>
          <w:tcPr>
            <w:tcW w:w="2268" w:type="dxa"/>
            <w:vAlign w:val="center"/>
          </w:tcPr>
          <w:p w14:paraId="4F1FCEFC">
            <w:pPr>
              <w:pStyle w:val="12"/>
            </w:pPr>
            <w:r>
              <w:t>1套</w:t>
            </w:r>
          </w:p>
        </w:tc>
        <w:tc>
          <w:tcPr>
            <w:tcW w:w="1276" w:type="dxa"/>
            <w:vAlign w:val="center"/>
          </w:tcPr>
          <w:p w14:paraId="1727B9BA">
            <w:pPr>
              <w:pStyle w:val="12"/>
            </w:pPr>
            <w:r>
              <w:t>城乡义务教育公用经费管理办法</w:t>
            </w:r>
          </w:p>
        </w:tc>
      </w:tr>
      <w:tr w14:paraId="3629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57830"/>
        </w:tc>
        <w:tc>
          <w:tcPr>
            <w:tcW w:w="2268" w:type="dxa"/>
            <w:vAlign w:val="center"/>
          </w:tcPr>
          <w:p w14:paraId="24743A81">
            <w:pPr>
              <w:pStyle w:val="12"/>
            </w:pPr>
            <w:r>
              <w:t>质量指标</w:t>
            </w:r>
          </w:p>
        </w:tc>
        <w:tc>
          <w:tcPr>
            <w:tcW w:w="2835" w:type="dxa"/>
            <w:vAlign w:val="center"/>
          </w:tcPr>
          <w:p w14:paraId="470D61C0">
            <w:pPr>
              <w:pStyle w:val="12"/>
            </w:pPr>
            <w:r>
              <w:t>购买设备合格率</w:t>
            </w:r>
          </w:p>
        </w:tc>
        <w:tc>
          <w:tcPr>
            <w:tcW w:w="5386" w:type="dxa"/>
            <w:vAlign w:val="center"/>
          </w:tcPr>
          <w:p w14:paraId="5163281F">
            <w:pPr>
              <w:pStyle w:val="12"/>
            </w:pPr>
            <w:r>
              <w:t>购买教学设备合格率</w:t>
            </w:r>
          </w:p>
        </w:tc>
        <w:tc>
          <w:tcPr>
            <w:tcW w:w="2268" w:type="dxa"/>
            <w:vAlign w:val="center"/>
          </w:tcPr>
          <w:p w14:paraId="156B70DC">
            <w:pPr>
              <w:pStyle w:val="12"/>
            </w:pPr>
            <w:r>
              <w:t>≥98%</w:t>
            </w:r>
          </w:p>
        </w:tc>
        <w:tc>
          <w:tcPr>
            <w:tcW w:w="1276" w:type="dxa"/>
            <w:vAlign w:val="center"/>
          </w:tcPr>
          <w:p w14:paraId="3F67F8F7">
            <w:pPr>
              <w:pStyle w:val="12"/>
            </w:pPr>
            <w:r>
              <w:t>城乡义务教育公用经费管理办法</w:t>
            </w:r>
          </w:p>
        </w:tc>
      </w:tr>
      <w:tr w14:paraId="595E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0D88"/>
        </w:tc>
        <w:tc>
          <w:tcPr>
            <w:tcW w:w="2268" w:type="dxa"/>
            <w:vAlign w:val="center"/>
          </w:tcPr>
          <w:p w14:paraId="0FAC233D">
            <w:pPr>
              <w:pStyle w:val="12"/>
            </w:pPr>
            <w:r>
              <w:t>时效指标</w:t>
            </w:r>
          </w:p>
        </w:tc>
        <w:tc>
          <w:tcPr>
            <w:tcW w:w="2835" w:type="dxa"/>
            <w:vAlign w:val="center"/>
          </w:tcPr>
          <w:p w14:paraId="3E31245E">
            <w:pPr>
              <w:pStyle w:val="12"/>
            </w:pPr>
            <w:r>
              <w:t>资金支付完成率</w:t>
            </w:r>
          </w:p>
        </w:tc>
        <w:tc>
          <w:tcPr>
            <w:tcW w:w="5386" w:type="dxa"/>
            <w:vAlign w:val="center"/>
          </w:tcPr>
          <w:p w14:paraId="6F7A93D7">
            <w:pPr>
              <w:pStyle w:val="12"/>
            </w:pPr>
            <w:r>
              <w:t>按照序时进度安装完成后资进</w:t>
            </w:r>
            <w:r>
              <w:rPr>
                <w:rFonts w:hint="eastAsia"/>
                <w:lang w:eastAsia="zh-CN"/>
              </w:rPr>
              <w:t>行资</w:t>
            </w:r>
            <w:r>
              <w:t>金支付</w:t>
            </w:r>
          </w:p>
        </w:tc>
        <w:tc>
          <w:tcPr>
            <w:tcW w:w="2268" w:type="dxa"/>
            <w:vAlign w:val="center"/>
          </w:tcPr>
          <w:p w14:paraId="2BE58D1C">
            <w:pPr>
              <w:pStyle w:val="12"/>
            </w:pPr>
            <w:r>
              <w:t>100%</w:t>
            </w:r>
          </w:p>
        </w:tc>
        <w:tc>
          <w:tcPr>
            <w:tcW w:w="1276" w:type="dxa"/>
            <w:vAlign w:val="center"/>
          </w:tcPr>
          <w:p w14:paraId="187054BE">
            <w:pPr>
              <w:pStyle w:val="12"/>
            </w:pPr>
            <w:r>
              <w:t>城乡义务教育公用经费管理办法</w:t>
            </w:r>
          </w:p>
        </w:tc>
      </w:tr>
      <w:tr w14:paraId="603C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BD7AB"/>
        </w:tc>
        <w:tc>
          <w:tcPr>
            <w:tcW w:w="2268" w:type="dxa"/>
            <w:vAlign w:val="center"/>
          </w:tcPr>
          <w:p w14:paraId="51C7C0E1">
            <w:pPr>
              <w:pStyle w:val="12"/>
            </w:pPr>
            <w:r>
              <w:t>成本指标</w:t>
            </w:r>
          </w:p>
        </w:tc>
        <w:tc>
          <w:tcPr>
            <w:tcW w:w="2835" w:type="dxa"/>
            <w:vAlign w:val="center"/>
          </w:tcPr>
          <w:p w14:paraId="4837AA6B">
            <w:pPr>
              <w:pStyle w:val="12"/>
            </w:pPr>
            <w:r>
              <w:t>购买设备成本</w:t>
            </w:r>
          </w:p>
        </w:tc>
        <w:tc>
          <w:tcPr>
            <w:tcW w:w="5386" w:type="dxa"/>
            <w:vAlign w:val="center"/>
          </w:tcPr>
          <w:p w14:paraId="40780020">
            <w:pPr>
              <w:pStyle w:val="12"/>
            </w:pPr>
            <w:r>
              <w:t>按规定进行政府招投标</w:t>
            </w:r>
          </w:p>
        </w:tc>
        <w:tc>
          <w:tcPr>
            <w:tcW w:w="2268" w:type="dxa"/>
            <w:vAlign w:val="center"/>
          </w:tcPr>
          <w:p w14:paraId="6EBDBC1F">
            <w:pPr>
              <w:pStyle w:val="12"/>
            </w:pPr>
            <w:r>
              <w:t>27万元</w:t>
            </w:r>
          </w:p>
        </w:tc>
        <w:tc>
          <w:tcPr>
            <w:tcW w:w="1276" w:type="dxa"/>
            <w:vAlign w:val="center"/>
          </w:tcPr>
          <w:p w14:paraId="0C3ADE49">
            <w:pPr>
              <w:pStyle w:val="12"/>
            </w:pPr>
            <w:r>
              <w:t>城乡义务教育公用经费管理办法</w:t>
            </w:r>
          </w:p>
        </w:tc>
      </w:tr>
      <w:tr w14:paraId="3322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C159F">
            <w:pPr>
              <w:pStyle w:val="13"/>
            </w:pPr>
            <w:r>
              <w:t>效益指标</w:t>
            </w:r>
          </w:p>
        </w:tc>
        <w:tc>
          <w:tcPr>
            <w:tcW w:w="2268" w:type="dxa"/>
            <w:vAlign w:val="center"/>
          </w:tcPr>
          <w:p w14:paraId="0A5B2E71">
            <w:pPr>
              <w:pStyle w:val="12"/>
            </w:pPr>
            <w:r>
              <w:t>社会效益指标</w:t>
            </w:r>
          </w:p>
        </w:tc>
        <w:tc>
          <w:tcPr>
            <w:tcW w:w="2835" w:type="dxa"/>
            <w:vAlign w:val="center"/>
          </w:tcPr>
          <w:p w14:paraId="0B80B03A">
            <w:pPr>
              <w:pStyle w:val="12"/>
            </w:pPr>
            <w:r>
              <w:t>学校教学条件提升</w:t>
            </w:r>
          </w:p>
        </w:tc>
        <w:tc>
          <w:tcPr>
            <w:tcW w:w="5386" w:type="dxa"/>
            <w:vAlign w:val="center"/>
          </w:tcPr>
          <w:p w14:paraId="76C79D86">
            <w:pPr>
              <w:pStyle w:val="12"/>
            </w:pPr>
            <w:r>
              <w:t>学校教学条件提高，教学质量提升</w:t>
            </w:r>
          </w:p>
        </w:tc>
        <w:tc>
          <w:tcPr>
            <w:tcW w:w="2268" w:type="dxa"/>
            <w:vAlign w:val="center"/>
          </w:tcPr>
          <w:p w14:paraId="1A19522C">
            <w:pPr>
              <w:pStyle w:val="12"/>
            </w:pPr>
            <w:r>
              <w:t>100%</w:t>
            </w:r>
          </w:p>
        </w:tc>
        <w:tc>
          <w:tcPr>
            <w:tcW w:w="1276" w:type="dxa"/>
            <w:vAlign w:val="center"/>
          </w:tcPr>
          <w:p w14:paraId="2361A109">
            <w:pPr>
              <w:pStyle w:val="12"/>
            </w:pPr>
            <w:r>
              <w:t>城乡义务教育公用经费管理办法</w:t>
            </w:r>
          </w:p>
        </w:tc>
      </w:tr>
      <w:tr w14:paraId="3CA0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58410"/>
        </w:tc>
        <w:tc>
          <w:tcPr>
            <w:tcW w:w="2268" w:type="dxa"/>
            <w:vAlign w:val="center"/>
          </w:tcPr>
          <w:p w14:paraId="7C3591D8">
            <w:pPr>
              <w:pStyle w:val="12"/>
            </w:pPr>
            <w:r>
              <w:t>可持续影响指标</w:t>
            </w:r>
          </w:p>
        </w:tc>
        <w:tc>
          <w:tcPr>
            <w:tcW w:w="2835" w:type="dxa"/>
            <w:vAlign w:val="center"/>
          </w:tcPr>
          <w:p w14:paraId="48B6FEA3">
            <w:pPr>
              <w:pStyle w:val="12"/>
            </w:pPr>
            <w:r>
              <w:t>工程使用年限</w:t>
            </w:r>
          </w:p>
        </w:tc>
        <w:tc>
          <w:tcPr>
            <w:tcW w:w="5386" w:type="dxa"/>
            <w:vAlign w:val="center"/>
          </w:tcPr>
          <w:p w14:paraId="5D792DCA">
            <w:pPr>
              <w:pStyle w:val="12"/>
            </w:pPr>
            <w:r>
              <w:t>工程使用年限</w:t>
            </w:r>
          </w:p>
        </w:tc>
        <w:tc>
          <w:tcPr>
            <w:tcW w:w="2268" w:type="dxa"/>
            <w:vAlign w:val="center"/>
          </w:tcPr>
          <w:p w14:paraId="3AA05EE3">
            <w:pPr>
              <w:pStyle w:val="12"/>
            </w:pPr>
            <w:r>
              <w:t>≥15年</w:t>
            </w:r>
          </w:p>
        </w:tc>
        <w:tc>
          <w:tcPr>
            <w:tcW w:w="1276" w:type="dxa"/>
            <w:vAlign w:val="center"/>
          </w:tcPr>
          <w:p w14:paraId="4F8A0B3F">
            <w:pPr>
              <w:pStyle w:val="12"/>
            </w:pPr>
            <w:r>
              <w:t>城乡义务教育公用经费管理办法</w:t>
            </w:r>
          </w:p>
        </w:tc>
      </w:tr>
      <w:tr w14:paraId="2EDD6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40E6C"/>
        </w:tc>
        <w:tc>
          <w:tcPr>
            <w:tcW w:w="2268" w:type="dxa"/>
            <w:vAlign w:val="center"/>
          </w:tcPr>
          <w:p w14:paraId="7EA709AB">
            <w:pPr>
              <w:pStyle w:val="12"/>
            </w:pPr>
            <w:r>
              <w:t>可持续影响指标</w:t>
            </w:r>
          </w:p>
        </w:tc>
        <w:tc>
          <w:tcPr>
            <w:tcW w:w="2835" w:type="dxa"/>
            <w:vAlign w:val="center"/>
          </w:tcPr>
          <w:p w14:paraId="630168C0">
            <w:pPr>
              <w:pStyle w:val="12"/>
            </w:pPr>
            <w:r>
              <w:t>教育发展水平</w:t>
            </w:r>
          </w:p>
        </w:tc>
        <w:tc>
          <w:tcPr>
            <w:tcW w:w="5386" w:type="dxa"/>
            <w:vAlign w:val="center"/>
          </w:tcPr>
          <w:p w14:paraId="2860220D">
            <w:pPr>
              <w:pStyle w:val="12"/>
            </w:pPr>
            <w:r>
              <w:t>学前教育教学水平提高，教学质量提高</w:t>
            </w:r>
          </w:p>
        </w:tc>
        <w:tc>
          <w:tcPr>
            <w:tcW w:w="2268" w:type="dxa"/>
            <w:vAlign w:val="center"/>
          </w:tcPr>
          <w:p w14:paraId="2C2126C7">
            <w:pPr>
              <w:pStyle w:val="12"/>
            </w:pPr>
            <w:r>
              <w:t>≥98%</w:t>
            </w:r>
          </w:p>
        </w:tc>
        <w:tc>
          <w:tcPr>
            <w:tcW w:w="1276" w:type="dxa"/>
            <w:vAlign w:val="center"/>
          </w:tcPr>
          <w:p w14:paraId="649A74CC">
            <w:pPr>
              <w:pStyle w:val="12"/>
            </w:pPr>
            <w:r>
              <w:t>城乡义务教育公用经费管理办法</w:t>
            </w:r>
          </w:p>
        </w:tc>
      </w:tr>
      <w:tr w14:paraId="7816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3459D">
            <w:pPr>
              <w:pStyle w:val="13"/>
            </w:pPr>
            <w:r>
              <w:t>满意度指标</w:t>
            </w:r>
          </w:p>
        </w:tc>
        <w:tc>
          <w:tcPr>
            <w:tcW w:w="2268" w:type="dxa"/>
            <w:vAlign w:val="center"/>
          </w:tcPr>
          <w:p w14:paraId="273277D3">
            <w:pPr>
              <w:pStyle w:val="12"/>
            </w:pPr>
            <w:r>
              <w:t>服务对象满意度指标</w:t>
            </w:r>
          </w:p>
        </w:tc>
        <w:tc>
          <w:tcPr>
            <w:tcW w:w="2835" w:type="dxa"/>
            <w:vAlign w:val="center"/>
          </w:tcPr>
          <w:p w14:paraId="431125AE">
            <w:pPr>
              <w:pStyle w:val="12"/>
            </w:pPr>
            <w:r>
              <w:t>受益学生家长及调查满意度</w:t>
            </w:r>
          </w:p>
        </w:tc>
        <w:tc>
          <w:tcPr>
            <w:tcW w:w="5386" w:type="dxa"/>
            <w:vAlign w:val="center"/>
          </w:tcPr>
          <w:p w14:paraId="1C30E64F">
            <w:pPr>
              <w:pStyle w:val="12"/>
            </w:pPr>
            <w:r>
              <w:t>学生、教师及家长对学前保教保育工作满意度情况</w:t>
            </w:r>
          </w:p>
        </w:tc>
        <w:tc>
          <w:tcPr>
            <w:tcW w:w="2268" w:type="dxa"/>
            <w:vAlign w:val="center"/>
          </w:tcPr>
          <w:p w14:paraId="35F37B78">
            <w:pPr>
              <w:pStyle w:val="12"/>
            </w:pPr>
            <w:r>
              <w:t>≥95%</w:t>
            </w:r>
          </w:p>
        </w:tc>
        <w:tc>
          <w:tcPr>
            <w:tcW w:w="1276" w:type="dxa"/>
            <w:vAlign w:val="center"/>
          </w:tcPr>
          <w:p w14:paraId="7291C2FD">
            <w:pPr>
              <w:pStyle w:val="12"/>
            </w:pPr>
            <w:r>
              <w:t>调查问卷</w:t>
            </w:r>
          </w:p>
        </w:tc>
      </w:tr>
    </w:tbl>
    <w:p w14:paraId="71F76C08">
      <w:pPr>
        <w:sectPr>
          <w:pgSz w:w="16840" w:h="11900" w:orient="landscape"/>
          <w:pgMar w:top="1361" w:right="1020" w:bottom="1134" w:left="1020" w:header="720" w:footer="720" w:gutter="0"/>
          <w:cols w:space="720" w:num="1"/>
        </w:sectPr>
      </w:pPr>
    </w:p>
    <w:p w14:paraId="1FCD1258">
      <w:pPr>
        <w:spacing w:before="0" w:after="0"/>
        <w:ind w:firstLine="560"/>
        <w:jc w:val="left"/>
        <w:outlineLvl w:val="9"/>
      </w:pPr>
      <w:r>
        <w:rPr>
          <w:rFonts w:ascii="方正仿宋_GBK" w:hAnsi="方正仿宋_GBK" w:eastAsia="方正仿宋_GBK" w:cs="方正仿宋_GBK"/>
          <w:b/>
          <w:color w:val="000000"/>
          <w:sz w:val="28"/>
        </w:rPr>
        <w:t>6、县级配套/第三实验小学公用经费绩效目标表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4B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A26C8">
            <w:pPr>
              <w:pStyle w:val="11"/>
            </w:pPr>
            <w:r>
              <w:t>单位：万元</w:t>
            </w:r>
          </w:p>
        </w:tc>
      </w:tr>
      <w:tr w14:paraId="1DA41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2CEB1">
            <w:pPr>
              <w:pStyle w:val="10"/>
            </w:pPr>
            <w:r>
              <w:t>项目编码</w:t>
            </w:r>
          </w:p>
        </w:tc>
        <w:tc>
          <w:tcPr>
            <w:tcW w:w="5103" w:type="dxa"/>
            <w:gridSpan w:val="2"/>
            <w:vAlign w:val="center"/>
          </w:tcPr>
          <w:p w14:paraId="7C3A99E7">
            <w:pPr>
              <w:pStyle w:val="12"/>
            </w:pPr>
            <w:r>
              <w:t>13052526P00000410420B</w:t>
            </w:r>
          </w:p>
        </w:tc>
        <w:tc>
          <w:tcPr>
            <w:tcW w:w="2835" w:type="dxa"/>
            <w:vAlign w:val="center"/>
          </w:tcPr>
          <w:p w14:paraId="7F2C3921">
            <w:pPr>
              <w:pStyle w:val="10"/>
            </w:pPr>
            <w:r>
              <w:t>项目名称</w:t>
            </w:r>
          </w:p>
        </w:tc>
        <w:tc>
          <w:tcPr>
            <w:tcW w:w="6095" w:type="dxa"/>
            <w:gridSpan w:val="3"/>
            <w:vAlign w:val="center"/>
          </w:tcPr>
          <w:p w14:paraId="0C328A54">
            <w:pPr>
              <w:pStyle w:val="12"/>
            </w:pPr>
            <w:r>
              <w:t>县级配套/第三实验小学公用经费</w:t>
            </w:r>
          </w:p>
        </w:tc>
      </w:tr>
      <w:tr w14:paraId="10667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2D211">
            <w:pPr>
              <w:pStyle w:val="10"/>
            </w:pPr>
            <w:r>
              <w:t>预算规模及资金用途</w:t>
            </w:r>
          </w:p>
        </w:tc>
        <w:tc>
          <w:tcPr>
            <w:tcW w:w="2268" w:type="dxa"/>
            <w:vAlign w:val="center"/>
          </w:tcPr>
          <w:p w14:paraId="2F87D4D6">
            <w:pPr>
              <w:pStyle w:val="10"/>
            </w:pPr>
            <w:r>
              <w:t>预算数</w:t>
            </w:r>
          </w:p>
        </w:tc>
        <w:tc>
          <w:tcPr>
            <w:tcW w:w="2835" w:type="dxa"/>
            <w:vAlign w:val="center"/>
          </w:tcPr>
          <w:p w14:paraId="74B3F74B">
            <w:pPr>
              <w:pStyle w:val="12"/>
            </w:pPr>
            <w:r>
              <w:t>16.31</w:t>
            </w:r>
          </w:p>
        </w:tc>
        <w:tc>
          <w:tcPr>
            <w:tcW w:w="2835" w:type="dxa"/>
            <w:vAlign w:val="center"/>
          </w:tcPr>
          <w:p w14:paraId="09D6A3F8">
            <w:pPr>
              <w:pStyle w:val="10"/>
            </w:pPr>
            <w:r>
              <w:t>其中：财政    资金</w:t>
            </w:r>
          </w:p>
        </w:tc>
        <w:tc>
          <w:tcPr>
            <w:tcW w:w="2551" w:type="dxa"/>
            <w:vAlign w:val="center"/>
          </w:tcPr>
          <w:p w14:paraId="10468B2C">
            <w:pPr>
              <w:pStyle w:val="12"/>
            </w:pPr>
            <w:r>
              <w:t>16.31</w:t>
            </w:r>
          </w:p>
        </w:tc>
        <w:tc>
          <w:tcPr>
            <w:tcW w:w="2268" w:type="dxa"/>
            <w:vAlign w:val="center"/>
          </w:tcPr>
          <w:p w14:paraId="170AA081">
            <w:pPr>
              <w:pStyle w:val="10"/>
            </w:pPr>
            <w:r>
              <w:t>其他资金</w:t>
            </w:r>
          </w:p>
        </w:tc>
        <w:tc>
          <w:tcPr>
            <w:tcW w:w="1276" w:type="dxa"/>
            <w:vAlign w:val="center"/>
          </w:tcPr>
          <w:p w14:paraId="71535A41">
            <w:pPr>
              <w:pStyle w:val="12"/>
            </w:pPr>
            <w:r>
              <w:t xml:space="preserve"> </w:t>
            </w:r>
          </w:p>
        </w:tc>
      </w:tr>
      <w:tr w14:paraId="67DF3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35740"/>
        </w:tc>
        <w:tc>
          <w:tcPr>
            <w:tcW w:w="14033" w:type="dxa"/>
            <w:gridSpan w:val="6"/>
            <w:vAlign w:val="center"/>
          </w:tcPr>
          <w:p w14:paraId="4601EFBE">
            <w:pPr>
              <w:pStyle w:val="12"/>
            </w:pPr>
            <w:r>
              <w:t>保障学校正常运转，完成各项教育教学活动和其他日常工作任务等方面的费用支出。</w:t>
            </w:r>
          </w:p>
        </w:tc>
      </w:tr>
      <w:tr w14:paraId="738E2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66674">
            <w:pPr>
              <w:pStyle w:val="10"/>
            </w:pPr>
            <w:r>
              <w:t>资金支出计划（%）</w:t>
            </w:r>
          </w:p>
        </w:tc>
        <w:tc>
          <w:tcPr>
            <w:tcW w:w="5103" w:type="dxa"/>
            <w:gridSpan w:val="2"/>
            <w:vAlign w:val="center"/>
          </w:tcPr>
          <w:p w14:paraId="23D9B23D">
            <w:pPr>
              <w:pStyle w:val="10"/>
            </w:pPr>
            <w:r>
              <w:t>3月底</w:t>
            </w:r>
          </w:p>
        </w:tc>
        <w:tc>
          <w:tcPr>
            <w:tcW w:w="2835" w:type="dxa"/>
            <w:vAlign w:val="center"/>
          </w:tcPr>
          <w:p w14:paraId="7CAF47A8">
            <w:pPr>
              <w:pStyle w:val="10"/>
            </w:pPr>
            <w:r>
              <w:t>6月底</w:t>
            </w:r>
          </w:p>
        </w:tc>
        <w:tc>
          <w:tcPr>
            <w:tcW w:w="2551" w:type="dxa"/>
            <w:vAlign w:val="center"/>
          </w:tcPr>
          <w:p w14:paraId="43CF9510">
            <w:pPr>
              <w:pStyle w:val="10"/>
            </w:pPr>
            <w:r>
              <w:t>10月底</w:t>
            </w:r>
          </w:p>
        </w:tc>
        <w:tc>
          <w:tcPr>
            <w:tcW w:w="3544" w:type="dxa"/>
            <w:gridSpan w:val="2"/>
            <w:vAlign w:val="center"/>
          </w:tcPr>
          <w:p w14:paraId="3DED2D25">
            <w:pPr>
              <w:pStyle w:val="10"/>
            </w:pPr>
            <w:r>
              <w:t>12月底</w:t>
            </w:r>
          </w:p>
        </w:tc>
      </w:tr>
      <w:tr w14:paraId="3A60C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14D14"/>
        </w:tc>
        <w:tc>
          <w:tcPr>
            <w:tcW w:w="5103" w:type="dxa"/>
            <w:gridSpan w:val="2"/>
            <w:vAlign w:val="center"/>
          </w:tcPr>
          <w:p w14:paraId="5B789FEA">
            <w:pPr>
              <w:pStyle w:val="13"/>
            </w:pPr>
            <w:r>
              <w:t>25%</w:t>
            </w:r>
          </w:p>
        </w:tc>
        <w:tc>
          <w:tcPr>
            <w:tcW w:w="2835" w:type="dxa"/>
            <w:vAlign w:val="center"/>
          </w:tcPr>
          <w:p w14:paraId="60C2CADC">
            <w:pPr>
              <w:pStyle w:val="13"/>
            </w:pPr>
            <w:r>
              <w:t>50%</w:t>
            </w:r>
          </w:p>
        </w:tc>
        <w:tc>
          <w:tcPr>
            <w:tcW w:w="2551" w:type="dxa"/>
            <w:vAlign w:val="center"/>
          </w:tcPr>
          <w:p w14:paraId="7EFD066B">
            <w:pPr>
              <w:pStyle w:val="13"/>
            </w:pPr>
            <w:r>
              <w:t>75%</w:t>
            </w:r>
          </w:p>
        </w:tc>
        <w:tc>
          <w:tcPr>
            <w:tcW w:w="3544" w:type="dxa"/>
            <w:gridSpan w:val="2"/>
            <w:vAlign w:val="center"/>
          </w:tcPr>
          <w:p w14:paraId="61C68B17">
            <w:pPr>
              <w:pStyle w:val="13"/>
            </w:pPr>
            <w:r>
              <w:t>100%</w:t>
            </w:r>
          </w:p>
        </w:tc>
      </w:tr>
      <w:tr w14:paraId="05606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B9019">
            <w:pPr>
              <w:pStyle w:val="10"/>
            </w:pPr>
            <w:r>
              <w:t>绩效目标</w:t>
            </w:r>
          </w:p>
        </w:tc>
        <w:tc>
          <w:tcPr>
            <w:tcW w:w="14033" w:type="dxa"/>
            <w:gridSpan w:val="6"/>
            <w:vAlign w:val="center"/>
          </w:tcPr>
          <w:p w14:paraId="1407DF46">
            <w:pPr>
              <w:pStyle w:val="12"/>
            </w:pPr>
            <w:r>
              <w:t>1.按规定拨付公用经费资金，预算执行率≥98%。</w:t>
            </w:r>
          </w:p>
          <w:p w14:paraId="331881C3">
            <w:pPr>
              <w:pStyle w:val="12"/>
            </w:pPr>
            <w:r>
              <w:t>2.有效完成学校教学安全秩序，保障学校教学任务有效开展，满足学校正常教学需要。</w:t>
            </w:r>
          </w:p>
        </w:tc>
      </w:tr>
    </w:tbl>
    <w:p w14:paraId="766B1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1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17062">
            <w:pPr>
              <w:pStyle w:val="10"/>
            </w:pPr>
            <w:r>
              <w:t>一级指标</w:t>
            </w:r>
          </w:p>
        </w:tc>
        <w:tc>
          <w:tcPr>
            <w:tcW w:w="2268" w:type="dxa"/>
            <w:vAlign w:val="center"/>
          </w:tcPr>
          <w:p w14:paraId="14EDDA27">
            <w:pPr>
              <w:pStyle w:val="10"/>
            </w:pPr>
            <w:r>
              <w:t>二级指标</w:t>
            </w:r>
          </w:p>
        </w:tc>
        <w:tc>
          <w:tcPr>
            <w:tcW w:w="2835" w:type="dxa"/>
            <w:vAlign w:val="center"/>
          </w:tcPr>
          <w:p w14:paraId="0744CC18">
            <w:pPr>
              <w:pStyle w:val="10"/>
            </w:pPr>
            <w:r>
              <w:t>三级指标</w:t>
            </w:r>
          </w:p>
        </w:tc>
        <w:tc>
          <w:tcPr>
            <w:tcW w:w="5386" w:type="dxa"/>
            <w:vAlign w:val="center"/>
          </w:tcPr>
          <w:p w14:paraId="221694FE">
            <w:pPr>
              <w:pStyle w:val="10"/>
            </w:pPr>
            <w:r>
              <w:t>绩效指标描述</w:t>
            </w:r>
          </w:p>
        </w:tc>
        <w:tc>
          <w:tcPr>
            <w:tcW w:w="2268" w:type="dxa"/>
            <w:vAlign w:val="center"/>
          </w:tcPr>
          <w:p w14:paraId="722F8493">
            <w:pPr>
              <w:pStyle w:val="10"/>
            </w:pPr>
            <w:r>
              <w:t>指标值</w:t>
            </w:r>
          </w:p>
        </w:tc>
        <w:tc>
          <w:tcPr>
            <w:tcW w:w="1276" w:type="dxa"/>
            <w:vAlign w:val="center"/>
          </w:tcPr>
          <w:p w14:paraId="4291E9C1">
            <w:pPr>
              <w:pStyle w:val="10"/>
            </w:pPr>
            <w:r>
              <w:t>指标值确定依据</w:t>
            </w:r>
          </w:p>
        </w:tc>
      </w:tr>
      <w:tr w14:paraId="6A84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93CC8">
            <w:pPr>
              <w:pStyle w:val="13"/>
            </w:pPr>
            <w:r>
              <w:t>产出指标</w:t>
            </w:r>
          </w:p>
        </w:tc>
        <w:tc>
          <w:tcPr>
            <w:tcW w:w="2268" w:type="dxa"/>
            <w:vAlign w:val="center"/>
          </w:tcPr>
          <w:p w14:paraId="6B33D244">
            <w:pPr>
              <w:pStyle w:val="12"/>
            </w:pPr>
            <w:r>
              <w:t>成本指标</w:t>
            </w:r>
          </w:p>
        </w:tc>
        <w:tc>
          <w:tcPr>
            <w:tcW w:w="2835" w:type="dxa"/>
            <w:vAlign w:val="center"/>
          </w:tcPr>
          <w:p w14:paraId="72A8F2A7">
            <w:pPr>
              <w:pStyle w:val="12"/>
            </w:pPr>
            <w:r>
              <w:t>生均拨款标准</w:t>
            </w:r>
          </w:p>
        </w:tc>
        <w:tc>
          <w:tcPr>
            <w:tcW w:w="5386" w:type="dxa"/>
            <w:vAlign w:val="center"/>
          </w:tcPr>
          <w:p w14:paraId="2199AC11">
            <w:pPr>
              <w:pStyle w:val="12"/>
            </w:pPr>
            <w:r>
              <w:t>小学生公用经费生均小学720元。取暖费120元/生/年，随班就读学生补助7000元/生</w:t>
            </w:r>
          </w:p>
        </w:tc>
        <w:tc>
          <w:tcPr>
            <w:tcW w:w="2268" w:type="dxa"/>
            <w:vAlign w:val="center"/>
          </w:tcPr>
          <w:p w14:paraId="5B1D4B8E">
            <w:pPr>
              <w:pStyle w:val="12"/>
            </w:pPr>
            <w:r>
              <w:t>840元</w:t>
            </w:r>
          </w:p>
        </w:tc>
        <w:tc>
          <w:tcPr>
            <w:tcW w:w="1276" w:type="dxa"/>
            <w:vAlign w:val="center"/>
          </w:tcPr>
          <w:p w14:paraId="6CA8CD6C">
            <w:pPr>
              <w:pStyle w:val="12"/>
            </w:pPr>
            <w:r>
              <w:t>城乡义务教育公用经费管理办法</w:t>
            </w:r>
          </w:p>
        </w:tc>
      </w:tr>
      <w:tr w14:paraId="7CCE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40EAC"/>
        </w:tc>
        <w:tc>
          <w:tcPr>
            <w:tcW w:w="2268" w:type="dxa"/>
            <w:vAlign w:val="center"/>
          </w:tcPr>
          <w:p w14:paraId="2509C27D">
            <w:pPr>
              <w:pStyle w:val="12"/>
            </w:pPr>
            <w:r>
              <w:t>数量指标</w:t>
            </w:r>
          </w:p>
        </w:tc>
        <w:tc>
          <w:tcPr>
            <w:tcW w:w="2835" w:type="dxa"/>
            <w:vAlign w:val="center"/>
          </w:tcPr>
          <w:p w14:paraId="17249F5B">
            <w:pPr>
              <w:pStyle w:val="12"/>
            </w:pPr>
            <w:r>
              <w:t>就读学生数</w:t>
            </w:r>
          </w:p>
        </w:tc>
        <w:tc>
          <w:tcPr>
            <w:tcW w:w="5386" w:type="dxa"/>
            <w:vAlign w:val="center"/>
          </w:tcPr>
          <w:p w14:paraId="420FD2F2">
            <w:pPr>
              <w:pStyle w:val="12"/>
            </w:pPr>
            <w:r>
              <w:t>辐射区域内适龄学生人数</w:t>
            </w:r>
          </w:p>
        </w:tc>
        <w:tc>
          <w:tcPr>
            <w:tcW w:w="2268" w:type="dxa"/>
            <w:vAlign w:val="center"/>
          </w:tcPr>
          <w:p w14:paraId="6C57E50C">
            <w:pPr>
              <w:pStyle w:val="12"/>
            </w:pPr>
            <w:r>
              <w:t>1755人</w:t>
            </w:r>
          </w:p>
        </w:tc>
        <w:tc>
          <w:tcPr>
            <w:tcW w:w="1276" w:type="dxa"/>
            <w:vAlign w:val="center"/>
          </w:tcPr>
          <w:p w14:paraId="221D6A05">
            <w:pPr>
              <w:pStyle w:val="12"/>
            </w:pPr>
            <w:r>
              <w:t>城乡义务教育公用经费管理办法</w:t>
            </w:r>
          </w:p>
        </w:tc>
      </w:tr>
      <w:tr w14:paraId="7413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09068"/>
        </w:tc>
        <w:tc>
          <w:tcPr>
            <w:tcW w:w="2268" w:type="dxa"/>
            <w:vAlign w:val="center"/>
          </w:tcPr>
          <w:p w14:paraId="3BB22248">
            <w:pPr>
              <w:pStyle w:val="12"/>
            </w:pPr>
            <w:r>
              <w:t>质量指标</w:t>
            </w:r>
          </w:p>
        </w:tc>
        <w:tc>
          <w:tcPr>
            <w:tcW w:w="2835" w:type="dxa"/>
            <w:vAlign w:val="center"/>
          </w:tcPr>
          <w:p w14:paraId="6E9BD5E9">
            <w:pPr>
              <w:pStyle w:val="12"/>
            </w:pPr>
            <w:r>
              <w:t>预算执行率</w:t>
            </w:r>
          </w:p>
        </w:tc>
        <w:tc>
          <w:tcPr>
            <w:tcW w:w="5386" w:type="dxa"/>
            <w:vAlign w:val="center"/>
          </w:tcPr>
          <w:p w14:paraId="6F9EF3A1">
            <w:pPr>
              <w:pStyle w:val="12"/>
            </w:pPr>
            <w:r>
              <w:t>预算执行率≥98%</w:t>
            </w:r>
          </w:p>
        </w:tc>
        <w:tc>
          <w:tcPr>
            <w:tcW w:w="2268" w:type="dxa"/>
            <w:vAlign w:val="center"/>
          </w:tcPr>
          <w:p w14:paraId="6A76AAFF">
            <w:pPr>
              <w:pStyle w:val="12"/>
            </w:pPr>
            <w:r>
              <w:t>≥98%</w:t>
            </w:r>
          </w:p>
        </w:tc>
        <w:tc>
          <w:tcPr>
            <w:tcW w:w="1276" w:type="dxa"/>
            <w:vAlign w:val="center"/>
          </w:tcPr>
          <w:p w14:paraId="07D2C7F4">
            <w:pPr>
              <w:pStyle w:val="12"/>
            </w:pPr>
            <w:r>
              <w:t>城乡义务教育公用经费管理办法</w:t>
            </w:r>
          </w:p>
        </w:tc>
      </w:tr>
      <w:tr w14:paraId="42A0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AC570"/>
        </w:tc>
        <w:tc>
          <w:tcPr>
            <w:tcW w:w="2268" w:type="dxa"/>
            <w:vAlign w:val="center"/>
          </w:tcPr>
          <w:p w14:paraId="42C9952D">
            <w:pPr>
              <w:pStyle w:val="12"/>
            </w:pPr>
            <w:r>
              <w:t>时效指标</w:t>
            </w:r>
          </w:p>
        </w:tc>
        <w:tc>
          <w:tcPr>
            <w:tcW w:w="2835" w:type="dxa"/>
            <w:vAlign w:val="center"/>
          </w:tcPr>
          <w:p w14:paraId="69F5875A">
            <w:pPr>
              <w:pStyle w:val="12"/>
            </w:pPr>
            <w:r>
              <w:t>义教经费支付完成率</w:t>
            </w:r>
          </w:p>
        </w:tc>
        <w:tc>
          <w:tcPr>
            <w:tcW w:w="5386" w:type="dxa"/>
            <w:vAlign w:val="center"/>
          </w:tcPr>
          <w:p w14:paraId="5401C496">
            <w:pPr>
              <w:pStyle w:val="12"/>
            </w:pPr>
            <w:r>
              <w:t>按照序时进度完成资金支付</w:t>
            </w:r>
          </w:p>
        </w:tc>
        <w:tc>
          <w:tcPr>
            <w:tcW w:w="2268" w:type="dxa"/>
            <w:vAlign w:val="center"/>
          </w:tcPr>
          <w:p w14:paraId="021679D6">
            <w:pPr>
              <w:pStyle w:val="12"/>
            </w:pPr>
            <w:r>
              <w:t>100%</w:t>
            </w:r>
          </w:p>
        </w:tc>
        <w:tc>
          <w:tcPr>
            <w:tcW w:w="1276" w:type="dxa"/>
            <w:vAlign w:val="center"/>
          </w:tcPr>
          <w:p w14:paraId="15AC60B9">
            <w:pPr>
              <w:pStyle w:val="12"/>
            </w:pPr>
            <w:r>
              <w:t>城乡义务教育公用经费管理办法</w:t>
            </w:r>
          </w:p>
        </w:tc>
      </w:tr>
      <w:tr w14:paraId="783E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09912">
            <w:pPr>
              <w:pStyle w:val="13"/>
            </w:pPr>
            <w:r>
              <w:t>效益指标</w:t>
            </w:r>
          </w:p>
        </w:tc>
        <w:tc>
          <w:tcPr>
            <w:tcW w:w="2268" w:type="dxa"/>
            <w:vAlign w:val="center"/>
          </w:tcPr>
          <w:p w14:paraId="4C108378">
            <w:pPr>
              <w:pStyle w:val="12"/>
            </w:pPr>
            <w:r>
              <w:t>可持续影响指标</w:t>
            </w:r>
          </w:p>
        </w:tc>
        <w:tc>
          <w:tcPr>
            <w:tcW w:w="2835" w:type="dxa"/>
            <w:vAlign w:val="center"/>
          </w:tcPr>
          <w:p w14:paraId="2F936EA3">
            <w:pPr>
              <w:pStyle w:val="12"/>
            </w:pPr>
            <w:r>
              <w:t>学校运转得到提高</w:t>
            </w:r>
          </w:p>
        </w:tc>
        <w:tc>
          <w:tcPr>
            <w:tcW w:w="5386" w:type="dxa"/>
            <w:vAlign w:val="center"/>
          </w:tcPr>
          <w:p w14:paraId="57EF3D1E">
            <w:pPr>
              <w:pStyle w:val="12"/>
            </w:pPr>
            <w:r>
              <w:t>学生受教育年限</w:t>
            </w:r>
          </w:p>
        </w:tc>
        <w:tc>
          <w:tcPr>
            <w:tcW w:w="2268" w:type="dxa"/>
            <w:vAlign w:val="center"/>
          </w:tcPr>
          <w:p w14:paraId="051E21A3">
            <w:pPr>
              <w:pStyle w:val="12"/>
            </w:pPr>
            <w:r>
              <w:t>6年</w:t>
            </w:r>
          </w:p>
        </w:tc>
        <w:tc>
          <w:tcPr>
            <w:tcW w:w="1276" w:type="dxa"/>
            <w:vAlign w:val="center"/>
          </w:tcPr>
          <w:p w14:paraId="497EF327">
            <w:pPr>
              <w:pStyle w:val="12"/>
            </w:pPr>
            <w:r>
              <w:t>城乡义务教育公用经费管理办法</w:t>
            </w:r>
          </w:p>
        </w:tc>
      </w:tr>
      <w:tr w14:paraId="333C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9CCDD">
            <w:pPr>
              <w:pStyle w:val="13"/>
            </w:pPr>
            <w:r>
              <w:t>满意度指标</w:t>
            </w:r>
          </w:p>
        </w:tc>
        <w:tc>
          <w:tcPr>
            <w:tcW w:w="2268" w:type="dxa"/>
            <w:vAlign w:val="center"/>
          </w:tcPr>
          <w:p w14:paraId="10F51403">
            <w:pPr>
              <w:pStyle w:val="12"/>
            </w:pPr>
            <w:r>
              <w:t>服务对象满意度指标</w:t>
            </w:r>
          </w:p>
        </w:tc>
        <w:tc>
          <w:tcPr>
            <w:tcW w:w="2835" w:type="dxa"/>
            <w:vAlign w:val="center"/>
          </w:tcPr>
          <w:p w14:paraId="448F0FD4">
            <w:pPr>
              <w:pStyle w:val="12"/>
            </w:pPr>
            <w:r>
              <w:t>服务对象满意度</w:t>
            </w:r>
          </w:p>
        </w:tc>
        <w:tc>
          <w:tcPr>
            <w:tcW w:w="5386" w:type="dxa"/>
            <w:vAlign w:val="center"/>
          </w:tcPr>
          <w:p w14:paraId="04F7C0CE">
            <w:pPr>
              <w:pStyle w:val="12"/>
            </w:pPr>
            <w:r>
              <w:t>学校老师和学生满意度</w:t>
            </w:r>
          </w:p>
        </w:tc>
        <w:tc>
          <w:tcPr>
            <w:tcW w:w="2268" w:type="dxa"/>
            <w:vAlign w:val="center"/>
          </w:tcPr>
          <w:p w14:paraId="2719121D">
            <w:pPr>
              <w:pStyle w:val="12"/>
            </w:pPr>
            <w:r>
              <w:t>95%</w:t>
            </w:r>
          </w:p>
        </w:tc>
        <w:tc>
          <w:tcPr>
            <w:tcW w:w="1276" w:type="dxa"/>
            <w:vAlign w:val="center"/>
          </w:tcPr>
          <w:p w14:paraId="1B9F4AB7">
            <w:pPr>
              <w:pStyle w:val="12"/>
            </w:pPr>
            <w:r>
              <w:t>问卷调查</w:t>
            </w:r>
          </w:p>
        </w:tc>
      </w:tr>
    </w:tbl>
    <w:p w14:paraId="52723DB2">
      <w:pPr>
        <w:sectPr>
          <w:pgSz w:w="16840" w:h="11900" w:orient="landscape"/>
          <w:pgMar w:top="1361" w:right="1020" w:bottom="1134" w:left="1020" w:header="720" w:footer="720" w:gutter="0"/>
          <w:cols w:space="720" w:num="1"/>
        </w:sectPr>
      </w:pPr>
    </w:p>
    <w:p w14:paraId="4D33D031">
      <w:pPr>
        <w:spacing w:before="10" w:after="10" w:line="240" w:lineRule="auto"/>
        <w:ind w:firstLine="640"/>
        <w:jc w:val="left"/>
        <w:outlineLvl w:val="5"/>
      </w:pPr>
      <w:r>
        <w:rPr>
          <w:rFonts w:ascii="黑体" w:hAnsi="黑体" w:eastAsia="黑体" w:cs="黑体"/>
          <w:color w:val="000000"/>
          <w:sz w:val="32"/>
        </w:rPr>
        <w:t>六、政府采购预算情况</w:t>
      </w:r>
    </w:p>
    <w:p w14:paraId="7F9382B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A6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92FABF">
            <w:pPr>
              <w:pStyle w:val="9"/>
            </w:pPr>
            <w:r>
              <w:t>360037隆尧县第三实验小学</w:t>
            </w:r>
          </w:p>
        </w:tc>
        <w:tc>
          <w:tcPr>
            <w:tcW w:w="8676" w:type="dxa"/>
            <w:gridSpan w:val="9"/>
            <w:tcBorders>
              <w:top w:val="single" w:color="FFFFFF" w:sz="6" w:space="0"/>
              <w:left w:val="single" w:color="FFFFFF" w:sz="6" w:space="0"/>
              <w:right w:val="single" w:color="FFFFFF" w:sz="6" w:space="0"/>
            </w:tcBorders>
            <w:vAlign w:val="center"/>
          </w:tcPr>
          <w:p w14:paraId="5282A076">
            <w:pPr>
              <w:pStyle w:val="21"/>
            </w:pPr>
            <w:r>
              <w:t>单位：万元</w:t>
            </w:r>
          </w:p>
        </w:tc>
      </w:tr>
      <w:tr w14:paraId="1977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7E8EDF7">
            <w:pPr>
              <w:pStyle w:val="10"/>
            </w:pPr>
            <w:r>
              <w:t>政府采购项目来源</w:t>
            </w:r>
          </w:p>
        </w:tc>
        <w:tc>
          <w:tcPr>
            <w:tcW w:w="1134" w:type="dxa"/>
            <w:vMerge w:val="restart"/>
            <w:vAlign w:val="center"/>
          </w:tcPr>
          <w:p w14:paraId="270B0AAC">
            <w:pPr>
              <w:pStyle w:val="10"/>
            </w:pPr>
            <w:r>
              <w:t>采购物品名称</w:t>
            </w:r>
          </w:p>
        </w:tc>
        <w:tc>
          <w:tcPr>
            <w:tcW w:w="1134" w:type="dxa"/>
            <w:vMerge w:val="restart"/>
            <w:vAlign w:val="center"/>
          </w:tcPr>
          <w:p w14:paraId="2CD0F371">
            <w:pPr>
              <w:pStyle w:val="10"/>
            </w:pPr>
            <w:r>
              <w:t>政府采购目录序号</w:t>
            </w:r>
          </w:p>
        </w:tc>
        <w:tc>
          <w:tcPr>
            <w:tcW w:w="709" w:type="dxa"/>
            <w:vMerge w:val="restart"/>
            <w:vAlign w:val="center"/>
          </w:tcPr>
          <w:p w14:paraId="4C14E1BB">
            <w:pPr>
              <w:pStyle w:val="10"/>
            </w:pPr>
            <w:r>
              <w:t>计量  单位</w:t>
            </w:r>
          </w:p>
        </w:tc>
        <w:tc>
          <w:tcPr>
            <w:tcW w:w="850" w:type="dxa"/>
            <w:vMerge w:val="restart"/>
            <w:vAlign w:val="center"/>
          </w:tcPr>
          <w:p w14:paraId="12D9523D">
            <w:pPr>
              <w:pStyle w:val="10"/>
            </w:pPr>
            <w:r>
              <w:t>数量</w:t>
            </w:r>
          </w:p>
        </w:tc>
        <w:tc>
          <w:tcPr>
            <w:tcW w:w="850" w:type="dxa"/>
            <w:vMerge w:val="restart"/>
            <w:vAlign w:val="center"/>
          </w:tcPr>
          <w:p w14:paraId="0EFA43CA">
            <w:pPr>
              <w:pStyle w:val="10"/>
            </w:pPr>
            <w:r>
              <w:t>单价</w:t>
            </w:r>
          </w:p>
        </w:tc>
        <w:tc>
          <w:tcPr>
            <w:tcW w:w="7712" w:type="dxa"/>
            <w:gridSpan w:val="8"/>
            <w:vAlign w:val="center"/>
          </w:tcPr>
          <w:p w14:paraId="78FCC025">
            <w:pPr>
              <w:pStyle w:val="10"/>
            </w:pPr>
            <w:r>
              <w:t>政府采购金额（当年部门预算安排资金）</w:t>
            </w:r>
          </w:p>
        </w:tc>
        <w:tc>
          <w:tcPr>
            <w:tcW w:w="964" w:type="dxa"/>
            <w:vMerge w:val="restart"/>
            <w:vAlign w:val="center"/>
          </w:tcPr>
          <w:p w14:paraId="395D24C9">
            <w:pPr>
              <w:pStyle w:val="10"/>
            </w:pPr>
            <w:r>
              <w:t>2026年  预留中  小微企  业份额</w:t>
            </w:r>
          </w:p>
        </w:tc>
      </w:tr>
      <w:tr w14:paraId="75F5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A5BCDE">
            <w:pPr>
              <w:pStyle w:val="10"/>
            </w:pPr>
            <w:r>
              <w:t>项目名称</w:t>
            </w:r>
          </w:p>
        </w:tc>
        <w:tc>
          <w:tcPr>
            <w:tcW w:w="964" w:type="dxa"/>
            <w:vAlign w:val="center"/>
          </w:tcPr>
          <w:p w14:paraId="2588FAD0">
            <w:pPr>
              <w:pStyle w:val="10"/>
            </w:pPr>
            <w:r>
              <w:t>预算    资金</w:t>
            </w:r>
          </w:p>
        </w:tc>
        <w:tc>
          <w:tcPr>
            <w:tcW w:w="1134" w:type="dxa"/>
            <w:vMerge w:val="continue"/>
          </w:tcPr>
          <w:p w14:paraId="15BAE63E"/>
        </w:tc>
        <w:tc>
          <w:tcPr>
            <w:tcW w:w="1134" w:type="dxa"/>
            <w:vMerge w:val="continue"/>
          </w:tcPr>
          <w:p w14:paraId="0A749002"/>
        </w:tc>
        <w:tc>
          <w:tcPr>
            <w:tcW w:w="709" w:type="dxa"/>
            <w:vMerge w:val="continue"/>
          </w:tcPr>
          <w:p w14:paraId="28B96213"/>
        </w:tc>
        <w:tc>
          <w:tcPr>
            <w:tcW w:w="850" w:type="dxa"/>
            <w:vMerge w:val="continue"/>
          </w:tcPr>
          <w:p w14:paraId="552D3368"/>
        </w:tc>
        <w:tc>
          <w:tcPr>
            <w:tcW w:w="850" w:type="dxa"/>
            <w:vMerge w:val="continue"/>
          </w:tcPr>
          <w:p w14:paraId="795EC3D6"/>
        </w:tc>
        <w:tc>
          <w:tcPr>
            <w:tcW w:w="964" w:type="dxa"/>
            <w:vAlign w:val="center"/>
          </w:tcPr>
          <w:p w14:paraId="74D50A1C">
            <w:pPr>
              <w:pStyle w:val="10"/>
            </w:pPr>
            <w:r>
              <w:t>合计</w:t>
            </w:r>
          </w:p>
        </w:tc>
        <w:tc>
          <w:tcPr>
            <w:tcW w:w="964" w:type="dxa"/>
            <w:vAlign w:val="center"/>
          </w:tcPr>
          <w:p w14:paraId="75414C7A">
            <w:pPr>
              <w:pStyle w:val="10"/>
            </w:pPr>
            <w:r>
              <w:t>一般公共预算拨款</w:t>
            </w:r>
          </w:p>
        </w:tc>
        <w:tc>
          <w:tcPr>
            <w:tcW w:w="964" w:type="dxa"/>
            <w:vAlign w:val="center"/>
          </w:tcPr>
          <w:p w14:paraId="063FEE03">
            <w:pPr>
              <w:pStyle w:val="10"/>
            </w:pPr>
            <w:r>
              <w:t>基金预算拨款</w:t>
            </w:r>
          </w:p>
        </w:tc>
        <w:tc>
          <w:tcPr>
            <w:tcW w:w="964" w:type="dxa"/>
            <w:vAlign w:val="center"/>
          </w:tcPr>
          <w:p w14:paraId="1AEB02D1">
            <w:pPr>
              <w:pStyle w:val="10"/>
            </w:pPr>
            <w:r>
              <w:t>国有资本经营预算拨款</w:t>
            </w:r>
          </w:p>
        </w:tc>
        <w:tc>
          <w:tcPr>
            <w:tcW w:w="964" w:type="dxa"/>
            <w:vAlign w:val="center"/>
          </w:tcPr>
          <w:p w14:paraId="10155751">
            <w:pPr>
              <w:pStyle w:val="10"/>
            </w:pPr>
            <w:r>
              <w:t>财政专户核拨</w:t>
            </w:r>
          </w:p>
        </w:tc>
        <w:tc>
          <w:tcPr>
            <w:tcW w:w="964" w:type="dxa"/>
            <w:vAlign w:val="center"/>
          </w:tcPr>
          <w:p w14:paraId="5C43058E">
            <w:pPr>
              <w:pStyle w:val="10"/>
            </w:pPr>
            <w:r>
              <w:t>单位    资金</w:t>
            </w:r>
          </w:p>
        </w:tc>
        <w:tc>
          <w:tcPr>
            <w:tcW w:w="964" w:type="dxa"/>
            <w:vAlign w:val="center"/>
          </w:tcPr>
          <w:p w14:paraId="564E268A">
            <w:pPr>
              <w:pStyle w:val="10"/>
            </w:pPr>
            <w:r>
              <w:t>财政拨款结转</w:t>
            </w:r>
          </w:p>
        </w:tc>
        <w:tc>
          <w:tcPr>
            <w:tcW w:w="964" w:type="dxa"/>
            <w:vAlign w:val="center"/>
          </w:tcPr>
          <w:p w14:paraId="1C3E7719">
            <w:pPr>
              <w:pStyle w:val="10"/>
            </w:pPr>
            <w:r>
              <w:t>非财政拨款结余</w:t>
            </w:r>
          </w:p>
        </w:tc>
        <w:tc>
          <w:tcPr>
            <w:tcW w:w="964" w:type="dxa"/>
            <w:vMerge w:val="continue"/>
          </w:tcPr>
          <w:p w14:paraId="56B15CB3"/>
        </w:tc>
      </w:tr>
      <w:tr w14:paraId="0364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E3CC5">
            <w:pPr>
              <w:pStyle w:val="14"/>
            </w:pPr>
            <w:r>
              <w:t>合  计</w:t>
            </w:r>
          </w:p>
        </w:tc>
        <w:tc>
          <w:tcPr>
            <w:tcW w:w="964" w:type="dxa"/>
            <w:vAlign w:val="center"/>
          </w:tcPr>
          <w:p w14:paraId="08041975">
            <w:pPr>
              <w:pStyle w:val="15"/>
            </w:pPr>
          </w:p>
        </w:tc>
        <w:tc>
          <w:tcPr>
            <w:tcW w:w="1134" w:type="dxa"/>
            <w:vAlign w:val="center"/>
          </w:tcPr>
          <w:p w14:paraId="7FF31DCB">
            <w:pPr>
              <w:pStyle w:val="16"/>
            </w:pPr>
          </w:p>
        </w:tc>
        <w:tc>
          <w:tcPr>
            <w:tcW w:w="1134" w:type="dxa"/>
            <w:vAlign w:val="center"/>
          </w:tcPr>
          <w:p w14:paraId="0523EB93">
            <w:pPr>
              <w:pStyle w:val="16"/>
            </w:pPr>
          </w:p>
        </w:tc>
        <w:tc>
          <w:tcPr>
            <w:tcW w:w="709" w:type="dxa"/>
            <w:vAlign w:val="center"/>
          </w:tcPr>
          <w:p w14:paraId="0EE0231D">
            <w:pPr>
              <w:pStyle w:val="14"/>
            </w:pPr>
          </w:p>
        </w:tc>
        <w:tc>
          <w:tcPr>
            <w:tcW w:w="850" w:type="dxa"/>
            <w:vAlign w:val="center"/>
          </w:tcPr>
          <w:p w14:paraId="447E689F">
            <w:pPr>
              <w:pStyle w:val="15"/>
            </w:pPr>
          </w:p>
        </w:tc>
        <w:tc>
          <w:tcPr>
            <w:tcW w:w="850" w:type="dxa"/>
            <w:vAlign w:val="center"/>
          </w:tcPr>
          <w:p w14:paraId="5F804E97">
            <w:pPr>
              <w:pStyle w:val="15"/>
            </w:pPr>
          </w:p>
        </w:tc>
        <w:tc>
          <w:tcPr>
            <w:tcW w:w="964" w:type="dxa"/>
            <w:vAlign w:val="center"/>
          </w:tcPr>
          <w:p w14:paraId="2C06C5C8">
            <w:pPr>
              <w:pStyle w:val="15"/>
            </w:pPr>
            <w:r>
              <w:t>4.08</w:t>
            </w:r>
          </w:p>
        </w:tc>
        <w:tc>
          <w:tcPr>
            <w:tcW w:w="964" w:type="dxa"/>
            <w:vAlign w:val="center"/>
          </w:tcPr>
          <w:p w14:paraId="14240087">
            <w:pPr>
              <w:pStyle w:val="15"/>
            </w:pPr>
            <w:r>
              <w:t>4.08</w:t>
            </w:r>
          </w:p>
        </w:tc>
        <w:tc>
          <w:tcPr>
            <w:tcW w:w="964" w:type="dxa"/>
            <w:vAlign w:val="center"/>
          </w:tcPr>
          <w:p w14:paraId="3694E3EA">
            <w:pPr>
              <w:pStyle w:val="15"/>
            </w:pPr>
          </w:p>
        </w:tc>
        <w:tc>
          <w:tcPr>
            <w:tcW w:w="964" w:type="dxa"/>
            <w:vAlign w:val="center"/>
          </w:tcPr>
          <w:p w14:paraId="221C62D5">
            <w:pPr>
              <w:pStyle w:val="15"/>
            </w:pPr>
          </w:p>
        </w:tc>
        <w:tc>
          <w:tcPr>
            <w:tcW w:w="964" w:type="dxa"/>
            <w:vAlign w:val="center"/>
          </w:tcPr>
          <w:p w14:paraId="279F33CF">
            <w:pPr>
              <w:pStyle w:val="15"/>
            </w:pPr>
          </w:p>
        </w:tc>
        <w:tc>
          <w:tcPr>
            <w:tcW w:w="964" w:type="dxa"/>
            <w:vAlign w:val="center"/>
          </w:tcPr>
          <w:p w14:paraId="667872F9">
            <w:pPr>
              <w:pStyle w:val="15"/>
            </w:pPr>
          </w:p>
        </w:tc>
        <w:tc>
          <w:tcPr>
            <w:tcW w:w="964" w:type="dxa"/>
            <w:vAlign w:val="center"/>
          </w:tcPr>
          <w:p w14:paraId="7B38D652">
            <w:pPr>
              <w:pStyle w:val="15"/>
            </w:pPr>
          </w:p>
        </w:tc>
        <w:tc>
          <w:tcPr>
            <w:tcW w:w="964" w:type="dxa"/>
            <w:vAlign w:val="center"/>
          </w:tcPr>
          <w:p w14:paraId="5E52FA48">
            <w:pPr>
              <w:pStyle w:val="15"/>
            </w:pPr>
          </w:p>
        </w:tc>
        <w:tc>
          <w:tcPr>
            <w:tcW w:w="964" w:type="dxa"/>
            <w:vAlign w:val="center"/>
          </w:tcPr>
          <w:p w14:paraId="065595B7">
            <w:pPr>
              <w:pStyle w:val="15"/>
            </w:pPr>
            <w:r>
              <w:t>4.08</w:t>
            </w:r>
          </w:p>
        </w:tc>
      </w:tr>
      <w:tr w14:paraId="2891F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B22F9F">
            <w:pPr>
              <w:pStyle w:val="14"/>
            </w:pPr>
            <w:r>
              <w:t>隆尧县第三实验小学小计</w:t>
            </w:r>
          </w:p>
        </w:tc>
        <w:tc>
          <w:tcPr>
            <w:tcW w:w="964" w:type="dxa"/>
            <w:vAlign w:val="center"/>
          </w:tcPr>
          <w:p w14:paraId="25457563">
            <w:pPr>
              <w:pStyle w:val="15"/>
            </w:pPr>
          </w:p>
        </w:tc>
        <w:tc>
          <w:tcPr>
            <w:tcW w:w="1134" w:type="dxa"/>
            <w:vAlign w:val="center"/>
          </w:tcPr>
          <w:p w14:paraId="1DB9C41F">
            <w:pPr>
              <w:pStyle w:val="16"/>
            </w:pPr>
          </w:p>
        </w:tc>
        <w:tc>
          <w:tcPr>
            <w:tcW w:w="1134" w:type="dxa"/>
            <w:vAlign w:val="center"/>
          </w:tcPr>
          <w:p w14:paraId="3723862D">
            <w:pPr>
              <w:pStyle w:val="16"/>
            </w:pPr>
          </w:p>
        </w:tc>
        <w:tc>
          <w:tcPr>
            <w:tcW w:w="709" w:type="dxa"/>
            <w:vAlign w:val="center"/>
          </w:tcPr>
          <w:p w14:paraId="32AC1613">
            <w:pPr>
              <w:pStyle w:val="14"/>
            </w:pPr>
          </w:p>
        </w:tc>
        <w:tc>
          <w:tcPr>
            <w:tcW w:w="850" w:type="dxa"/>
            <w:vAlign w:val="center"/>
          </w:tcPr>
          <w:p w14:paraId="6AF31993">
            <w:pPr>
              <w:pStyle w:val="15"/>
            </w:pPr>
          </w:p>
        </w:tc>
        <w:tc>
          <w:tcPr>
            <w:tcW w:w="850" w:type="dxa"/>
            <w:vAlign w:val="center"/>
          </w:tcPr>
          <w:p w14:paraId="4D6EFA8B">
            <w:pPr>
              <w:pStyle w:val="15"/>
            </w:pPr>
          </w:p>
        </w:tc>
        <w:tc>
          <w:tcPr>
            <w:tcW w:w="964" w:type="dxa"/>
            <w:vAlign w:val="center"/>
          </w:tcPr>
          <w:p w14:paraId="5C884C4A">
            <w:pPr>
              <w:pStyle w:val="15"/>
            </w:pPr>
            <w:r>
              <w:t>4.08</w:t>
            </w:r>
          </w:p>
        </w:tc>
        <w:tc>
          <w:tcPr>
            <w:tcW w:w="964" w:type="dxa"/>
            <w:vAlign w:val="center"/>
          </w:tcPr>
          <w:p w14:paraId="7340F0D3">
            <w:pPr>
              <w:pStyle w:val="15"/>
            </w:pPr>
            <w:r>
              <w:t>4.08</w:t>
            </w:r>
          </w:p>
        </w:tc>
        <w:tc>
          <w:tcPr>
            <w:tcW w:w="964" w:type="dxa"/>
            <w:vAlign w:val="center"/>
          </w:tcPr>
          <w:p w14:paraId="74C87862">
            <w:pPr>
              <w:pStyle w:val="15"/>
            </w:pPr>
          </w:p>
        </w:tc>
        <w:tc>
          <w:tcPr>
            <w:tcW w:w="964" w:type="dxa"/>
            <w:vAlign w:val="center"/>
          </w:tcPr>
          <w:p w14:paraId="5FBD2924">
            <w:pPr>
              <w:pStyle w:val="15"/>
            </w:pPr>
          </w:p>
        </w:tc>
        <w:tc>
          <w:tcPr>
            <w:tcW w:w="964" w:type="dxa"/>
            <w:vAlign w:val="center"/>
          </w:tcPr>
          <w:p w14:paraId="299A4550">
            <w:pPr>
              <w:pStyle w:val="15"/>
            </w:pPr>
          </w:p>
        </w:tc>
        <w:tc>
          <w:tcPr>
            <w:tcW w:w="964" w:type="dxa"/>
            <w:vAlign w:val="center"/>
          </w:tcPr>
          <w:p w14:paraId="7F6D0948">
            <w:pPr>
              <w:pStyle w:val="15"/>
            </w:pPr>
          </w:p>
        </w:tc>
        <w:tc>
          <w:tcPr>
            <w:tcW w:w="964" w:type="dxa"/>
            <w:vAlign w:val="center"/>
          </w:tcPr>
          <w:p w14:paraId="34047082">
            <w:pPr>
              <w:pStyle w:val="15"/>
            </w:pPr>
          </w:p>
        </w:tc>
        <w:tc>
          <w:tcPr>
            <w:tcW w:w="964" w:type="dxa"/>
            <w:vAlign w:val="center"/>
          </w:tcPr>
          <w:p w14:paraId="0D8D60D1">
            <w:pPr>
              <w:pStyle w:val="15"/>
            </w:pPr>
          </w:p>
        </w:tc>
        <w:tc>
          <w:tcPr>
            <w:tcW w:w="964" w:type="dxa"/>
            <w:vAlign w:val="center"/>
          </w:tcPr>
          <w:p w14:paraId="5918217B">
            <w:pPr>
              <w:pStyle w:val="15"/>
            </w:pPr>
            <w:r>
              <w:t>4.08</w:t>
            </w:r>
          </w:p>
        </w:tc>
      </w:tr>
      <w:tr w14:paraId="0F31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53AE55">
            <w:pPr>
              <w:pStyle w:val="12"/>
            </w:pPr>
            <w:r>
              <w:t>冀财教[2025]147号/省级/2026年义教补助经费/第三实验小学公用经费</w:t>
            </w:r>
          </w:p>
        </w:tc>
        <w:tc>
          <w:tcPr>
            <w:tcW w:w="964" w:type="dxa"/>
            <w:vAlign w:val="center"/>
          </w:tcPr>
          <w:p w14:paraId="6630C470">
            <w:pPr>
              <w:pStyle w:val="11"/>
            </w:pPr>
            <w:r>
              <w:t>51.50</w:t>
            </w:r>
          </w:p>
        </w:tc>
        <w:tc>
          <w:tcPr>
            <w:tcW w:w="1134" w:type="dxa"/>
            <w:vAlign w:val="center"/>
          </w:tcPr>
          <w:p w14:paraId="163253EF">
            <w:pPr>
              <w:pStyle w:val="12"/>
            </w:pPr>
            <w:r>
              <w:t>办公桌</w:t>
            </w:r>
          </w:p>
        </w:tc>
        <w:tc>
          <w:tcPr>
            <w:tcW w:w="1134" w:type="dxa"/>
            <w:vAlign w:val="center"/>
          </w:tcPr>
          <w:p w14:paraId="49CC778F">
            <w:pPr>
              <w:pStyle w:val="12"/>
            </w:pPr>
            <w:r>
              <w:t>A05010201</w:t>
            </w:r>
          </w:p>
        </w:tc>
        <w:tc>
          <w:tcPr>
            <w:tcW w:w="709" w:type="dxa"/>
            <w:vAlign w:val="center"/>
          </w:tcPr>
          <w:p w14:paraId="0F9BFC2B">
            <w:pPr>
              <w:pStyle w:val="13"/>
            </w:pPr>
            <w:r>
              <w:t>个</w:t>
            </w:r>
          </w:p>
        </w:tc>
        <w:tc>
          <w:tcPr>
            <w:tcW w:w="850" w:type="dxa"/>
            <w:vAlign w:val="center"/>
          </w:tcPr>
          <w:p w14:paraId="58B4FC3A">
            <w:pPr>
              <w:pStyle w:val="11"/>
            </w:pPr>
            <w:r>
              <w:t>42</w:t>
            </w:r>
          </w:p>
        </w:tc>
        <w:tc>
          <w:tcPr>
            <w:tcW w:w="850" w:type="dxa"/>
            <w:vAlign w:val="center"/>
          </w:tcPr>
          <w:p w14:paraId="63643DC2">
            <w:pPr>
              <w:pStyle w:val="11"/>
            </w:pPr>
            <w:r>
              <w:t>0.06</w:t>
            </w:r>
          </w:p>
        </w:tc>
        <w:tc>
          <w:tcPr>
            <w:tcW w:w="964" w:type="dxa"/>
            <w:vAlign w:val="center"/>
          </w:tcPr>
          <w:p w14:paraId="6A857569">
            <w:pPr>
              <w:pStyle w:val="11"/>
            </w:pPr>
            <w:r>
              <w:t>2.52</w:t>
            </w:r>
          </w:p>
        </w:tc>
        <w:tc>
          <w:tcPr>
            <w:tcW w:w="964" w:type="dxa"/>
            <w:vAlign w:val="center"/>
          </w:tcPr>
          <w:p w14:paraId="0C5371A7">
            <w:pPr>
              <w:pStyle w:val="11"/>
            </w:pPr>
            <w:r>
              <w:t>2.52</w:t>
            </w:r>
          </w:p>
        </w:tc>
        <w:tc>
          <w:tcPr>
            <w:tcW w:w="964" w:type="dxa"/>
            <w:vAlign w:val="center"/>
          </w:tcPr>
          <w:p w14:paraId="0991C37A">
            <w:pPr>
              <w:pStyle w:val="11"/>
            </w:pPr>
          </w:p>
        </w:tc>
        <w:tc>
          <w:tcPr>
            <w:tcW w:w="964" w:type="dxa"/>
            <w:vAlign w:val="center"/>
          </w:tcPr>
          <w:p w14:paraId="7F279C00">
            <w:pPr>
              <w:pStyle w:val="11"/>
            </w:pPr>
          </w:p>
        </w:tc>
        <w:tc>
          <w:tcPr>
            <w:tcW w:w="964" w:type="dxa"/>
            <w:vAlign w:val="center"/>
          </w:tcPr>
          <w:p w14:paraId="7926646E">
            <w:pPr>
              <w:pStyle w:val="11"/>
            </w:pPr>
          </w:p>
        </w:tc>
        <w:tc>
          <w:tcPr>
            <w:tcW w:w="964" w:type="dxa"/>
            <w:vAlign w:val="center"/>
          </w:tcPr>
          <w:p w14:paraId="79825F2A">
            <w:pPr>
              <w:pStyle w:val="11"/>
            </w:pPr>
          </w:p>
        </w:tc>
        <w:tc>
          <w:tcPr>
            <w:tcW w:w="964" w:type="dxa"/>
            <w:vAlign w:val="center"/>
          </w:tcPr>
          <w:p w14:paraId="46205BAE">
            <w:pPr>
              <w:pStyle w:val="11"/>
            </w:pPr>
          </w:p>
        </w:tc>
        <w:tc>
          <w:tcPr>
            <w:tcW w:w="964" w:type="dxa"/>
            <w:vAlign w:val="center"/>
          </w:tcPr>
          <w:p w14:paraId="7FE4DE1C">
            <w:pPr>
              <w:pStyle w:val="11"/>
            </w:pPr>
          </w:p>
        </w:tc>
        <w:tc>
          <w:tcPr>
            <w:tcW w:w="964" w:type="dxa"/>
            <w:vAlign w:val="center"/>
          </w:tcPr>
          <w:p w14:paraId="4DA034D6">
            <w:pPr>
              <w:pStyle w:val="11"/>
            </w:pPr>
            <w:r>
              <w:t>2.52</w:t>
            </w:r>
          </w:p>
        </w:tc>
      </w:tr>
      <w:tr w14:paraId="0ABD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2D6707">
            <w:pPr>
              <w:pStyle w:val="12"/>
            </w:pPr>
            <w:r>
              <w:t>冀财教[2025]147号/省级/2026年义教补助经费/第三实验小学公用经费</w:t>
            </w:r>
          </w:p>
        </w:tc>
        <w:tc>
          <w:tcPr>
            <w:tcW w:w="964" w:type="dxa"/>
            <w:vAlign w:val="center"/>
          </w:tcPr>
          <w:p w14:paraId="651097C3">
            <w:pPr>
              <w:pStyle w:val="11"/>
            </w:pPr>
            <w:r>
              <w:t>51.50</w:t>
            </w:r>
          </w:p>
        </w:tc>
        <w:tc>
          <w:tcPr>
            <w:tcW w:w="1134" w:type="dxa"/>
            <w:vAlign w:val="center"/>
          </w:tcPr>
          <w:p w14:paraId="3861EAC9">
            <w:pPr>
              <w:pStyle w:val="12"/>
            </w:pPr>
            <w:r>
              <w:t>茶几</w:t>
            </w:r>
          </w:p>
        </w:tc>
        <w:tc>
          <w:tcPr>
            <w:tcW w:w="1134" w:type="dxa"/>
            <w:vAlign w:val="center"/>
          </w:tcPr>
          <w:p w14:paraId="47D599E5">
            <w:pPr>
              <w:pStyle w:val="12"/>
            </w:pPr>
            <w:r>
              <w:t>A05010204</w:t>
            </w:r>
          </w:p>
        </w:tc>
        <w:tc>
          <w:tcPr>
            <w:tcW w:w="709" w:type="dxa"/>
            <w:vAlign w:val="center"/>
          </w:tcPr>
          <w:p w14:paraId="2AF15F55">
            <w:pPr>
              <w:pStyle w:val="13"/>
            </w:pPr>
            <w:r>
              <w:t>个</w:t>
            </w:r>
          </w:p>
        </w:tc>
        <w:tc>
          <w:tcPr>
            <w:tcW w:w="850" w:type="dxa"/>
            <w:vAlign w:val="center"/>
          </w:tcPr>
          <w:p w14:paraId="704FB10B">
            <w:pPr>
              <w:pStyle w:val="11"/>
            </w:pPr>
            <w:r>
              <w:t>1</w:t>
            </w:r>
          </w:p>
        </w:tc>
        <w:tc>
          <w:tcPr>
            <w:tcW w:w="850" w:type="dxa"/>
            <w:vAlign w:val="center"/>
          </w:tcPr>
          <w:p w14:paraId="093CBB12">
            <w:pPr>
              <w:pStyle w:val="11"/>
            </w:pPr>
            <w:r>
              <w:t>0.06</w:t>
            </w:r>
          </w:p>
        </w:tc>
        <w:tc>
          <w:tcPr>
            <w:tcW w:w="964" w:type="dxa"/>
            <w:vAlign w:val="center"/>
          </w:tcPr>
          <w:p w14:paraId="4D708053">
            <w:pPr>
              <w:pStyle w:val="11"/>
            </w:pPr>
            <w:r>
              <w:t>0.06</w:t>
            </w:r>
          </w:p>
        </w:tc>
        <w:tc>
          <w:tcPr>
            <w:tcW w:w="964" w:type="dxa"/>
            <w:vAlign w:val="center"/>
          </w:tcPr>
          <w:p w14:paraId="08B1BF18">
            <w:pPr>
              <w:pStyle w:val="11"/>
            </w:pPr>
            <w:r>
              <w:t>0.06</w:t>
            </w:r>
          </w:p>
        </w:tc>
        <w:tc>
          <w:tcPr>
            <w:tcW w:w="964" w:type="dxa"/>
            <w:vAlign w:val="center"/>
          </w:tcPr>
          <w:p w14:paraId="4F0DDCA2">
            <w:pPr>
              <w:pStyle w:val="11"/>
            </w:pPr>
          </w:p>
        </w:tc>
        <w:tc>
          <w:tcPr>
            <w:tcW w:w="964" w:type="dxa"/>
            <w:vAlign w:val="center"/>
          </w:tcPr>
          <w:p w14:paraId="501FD129">
            <w:pPr>
              <w:pStyle w:val="11"/>
            </w:pPr>
          </w:p>
        </w:tc>
        <w:tc>
          <w:tcPr>
            <w:tcW w:w="964" w:type="dxa"/>
            <w:vAlign w:val="center"/>
          </w:tcPr>
          <w:p w14:paraId="558CF3AC">
            <w:pPr>
              <w:pStyle w:val="11"/>
            </w:pPr>
          </w:p>
        </w:tc>
        <w:tc>
          <w:tcPr>
            <w:tcW w:w="964" w:type="dxa"/>
            <w:vAlign w:val="center"/>
          </w:tcPr>
          <w:p w14:paraId="47782F29">
            <w:pPr>
              <w:pStyle w:val="11"/>
            </w:pPr>
          </w:p>
        </w:tc>
        <w:tc>
          <w:tcPr>
            <w:tcW w:w="964" w:type="dxa"/>
            <w:vAlign w:val="center"/>
          </w:tcPr>
          <w:p w14:paraId="779D7081">
            <w:pPr>
              <w:pStyle w:val="11"/>
            </w:pPr>
          </w:p>
        </w:tc>
        <w:tc>
          <w:tcPr>
            <w:tcW w:w="964" w:type="dxa"/>
            <w:vAlign w:val="center"/>
          </w:tcPr>
          <w:p w14:paraId="746E1763">
            <w:pPr>
              <w:pStyle w:val="11"/>
            </w:pPr>
          </w:p>
        </w:tc>
        <w:tc>
          <w:tcPr>
            <w:tcW w:w="964" w:type="dxa"/>
            <w:vAlign w:val="center"/>
          </w:tcPr>
          <w:p w14:paraId="2E26B695">
            <w:pPr>
              <w:pStyle w:val="11"/>
            </w:pPr>
            <w:r>
              <w:t>0.06</w:t>
            </w:r>
          </w:p>
        </w:tc>
      </w:tr>
      <w:tr w14:paraId="6E42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FBD06B">
            <w:pPr>
              <w:pStyle w:val="12"/>
            </w:pPr>
            <w:r>
              <w:t>冀财教[2025]147号/省级/2026年义教补助经费/第三实验小学公用经费</w:t>
            </w:r>
          </w:p>
        </w:tc>
        <w:tc>
          <w:tcPr>
            <w:tcW w:w="964" w:type="dxa"/>
            <w:vAlign w:val="center"/>
          </w:tcPr>
          <w:p w14:paraId="7391A6C4">
            <w:pPr>
              <w:pStyle w:val="11"/>
            </w:pPr>
            <w:r>
              <w:t>51.50</w:t>
            </w:r>
          </w:p>
        </w:tc>
        <w:tc>
          <w:tcPr>
            <w:tcW w:w="1134" w:type="dxa"/>
            <w:vAlign w:val="center"/>
          </w:tcPr>
          <w:p w14:paraId="22132801">
            <w:pPr>
              <w:pStyle w:val="12"/>
            </w:pPr>
            <w:r>
              <w:t>文件柜</w:t>
            </w:r>
          </w:p>
        </w:tc>
        <w:tc>
          <w:tcPr>
            <w:tcW w:w="1134" w:type="dxa"/>
            <w:vAlign w:val="center"/>
          </w:tcPr>
          <w:p w14:paraId="383D298B">
            <w:pPr>
              <w:pStyle w:val="12"/>
            </w:pPr>
            <w:r>
              <w:t>A05010502</w:t>
            </w:r>
          </w:p>
        </w:tc>
        <w:tc>
          <w:tcPr>
            <w:tcW w:w="709" w:type="dxa"/>
            <w:vAlign w:val="center"/>
          </w:tcPr>
          <w:p w14:paraId="4C80CE6A">
            <w:pPr>
              <w:pStyle w:val="13"/>
            </w:pPr>
            <w:r>
              <w:t>组</w:t>
            </w:r>
          </w:p>
        </w:tc>
        <w:tc>
          <w:tcPr>
            <w:tcW w:w="850" w:type="dxa"/>
            <w:vAlign w:val="center"/>
          </w:tcPr>
          <w:p w14:paraId="42FF4B82">
            <w:pPr>
              <w:pStyle w:val="11"/>
            </w:pPr>
            <w:r>
              <w:t>30</w:t>
            </w:r>
          </w:p>
        </w:tc>
        <w:tc>
          <w:tcPr>
            <w:tcW w:w="850" w:type="dxa"/>
            <w:vAlign w:val="center"/>
          </w:tcPr>
          <w:p w14:paraId="27ACBA82">
            <w:pPr>
              <w:pStyle w:val="11"/>
            </w:pPr>
            <w:r>
              <w:t>0.05</w:t>
            </w:r>
          </w:p>
        </w:tc>
        <w:tc>
          <w:tcPr>
            <w:tcW w:w="964" w:type="dxa"/>
            <w:vAlign w:val="center"/>
          </w:tcPr>
          <w:p w14:paraId="1E6BEF5E">
            <w:pPr>
              <w:pStyle w:val="11"/>
            </w:pPr>
            <w:r>
              <w:t>1.50</w:t>
            </w:r>
          </w:p>
        </w:tc>
        <w:tc>
          <w:tcPr>
            <w:tcW w:w="964" w:type="dxa"/>
            <w:vAlign w:val="center"/>
          </w:tcPr>
          <w:p w14:paraId="78711ADA">
            <w:pPr>
              <w:pStyle w:val="11"/>
            </w:pPr>
            <w:r>
              <w:t>1.50</w:t>
            </w:r>
          </w:p>
        </w:tc>
        <w:tc>
          <w:tcPr>
            <w:tcW w:w="964" w:type="dxa"/>
            <w:vAlign w:val="center"/>
          </w:tcPr>
          <w:p w14:paraId="08A44289">
            <w:pPr>
              <w:pStyle w:val="11"/>
            </w:pPr>
          </w:p>
        </w:tc>
        <w:tc>
          <w:tcPr>
            <w:tcW w:w="964" w:type="dxa"/>
            <w:vAlign w:val="center"/>
          </w:tcPr>
          <w:p w14:paraId="6301B997">
            <w:pPr>
              <w:pStyle w:val="11"/>
            </w:pPr>
          </w:p>
        </w:tc>
        <w:tc>
          <w:tcPr>
            <w:tcW w:w="964" w:type="dxa"/>
            <w:vAlign w:val="center"/>
          </w:tcPr>
          <w:p w14:paraId="44EC54DD">
            <w:pPr>
              <w:pStyle w:val="11"/>
            </w:pPr>
          </w:p>
        </w:tc>
        <w:tc>
          <w:tcPr>
            <w:tcW w:w="964" w:type="dxa"/>
            <w:vAlign w:val="center"/>
          </w:tcPr>
          <w:p w14:paraId="740FBBE9">
            <w:pPr>
              <w:pStyle w:val="11"/>
            </w:pPr>
          </w:p>
        </w:tc>
        <w:tc>
          <w:tcPr>
            <w:tcW w:w="964" w:type="dxa"/>
            <w:vAlign w:val="center"/>
          </w:tcPr>
          <w:p w14:paraId="5BBFFE7A">
            <w:pPr>
              <w:pStyle w:val="11"/>
            </w:pPr>
          </w:p>
        </w:tc>
        <w:tc>
          <w:tcPr>
            <w:tcW w:w="964" w:type="dxa"/>
            <w:vAlign w:val="center"/>
          </w:tcPr>
          <w:p w14:paraId="4C0C5522">
            <w:pPr>
              <w:pStyle w:val="11"/>
            </w:pPr>
          </w:p>
        </w:tc>
        <w:tc>
          <w:tcPr>
            <w:tcW w:w="964" w:type="dxa"/>
            <w:vAlign w:val="center"/>
          </w:tcPr>
          <w:p w14:paraId="4494C276">
            <w:pPr>
              <w:pStyle w:val="11"/>
            </w:pPr>
            <w:r>
              <w:t>1.50</w:t>
            </w:r>
          </w:p>
        </w:tc>
      </w:tr>
    </w:tbl>
    <w:p w14:paraId="285BBF9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ED8A56">
      <w:pPr>
        <w:spacing w:before="0" w:after="0"/>
        <w:ind w:firstLine="640"/>
        <w:jc w:val="left"/>
        <w:outlineLvl w:val="9"/>
      </w:pPr>
      <w:r>
        <w:rPr>
          <w:rFonts w:ascii="Times New Roman" w:hAnsi="Times New Roman" w:eastAsia="方正仿宋_GBK" w:cs="Times New Roman"/>
          <w:color w:val="000000"/>
          <w:sz w:val="32"/>
        </w:rPr>
        <w:t xml:space="preserve"> </w:t>
      </w:r>
    </w:p>
    <w:p w14:paraId="5371E5B6">
      <w:pPr>
        <w:spacing w:before="10" w:after="10" w:line="240" w:lineRule="auto"/>
        <w:ind w:firstLine="640"/>
        <w:jc w:val="left"/>
        <w:outlineLvl w:val="5"/>
      </w:pPr>
      <w:r>
        <w:rPr>
          <w:rFonts w:ascii="黑体" w:hAnsi="黑体" w:eastAsia="黑体" w:cs="黑体"/>
          <w:color w:val="000000"/>
          <w:sz w:val="32"/>
        </w:rPr>
        <w:t>七、国有资产信息</w:t>
      </w:r>
    </w:p>
    <w:p w14:paraId="204F69C2">
      <w:pPr>
        <w:spacing w:before="0" w:after="0" w:line="500" w:lineRule="exact"/>
        <w:ind w:firstLine="560"/>
        <w:jc w:val="left"/>
        <w:outlineLvl w:val="9"/>
      </w:pPr>
      <w:r>
        <w:rPr>
          <w:rFonts w:ascii="Times New Roman" w:hAnsi="Times New Roman" w:eastAsia="方正仿宋_GBK" w:cs="Times New Roman"/>
          <w:b w:val="0"/>
          <w:color w:val="000000"/>
          <w:sz w:val="28"/>
        </w:rPr>
        <w:t>隆尧县第三实验小学上年末固定资产金额为1175.02万元（详见下表）。本年度拟购置固定资产总额为52.26万元，已按要求列入政府采购预算，详见政府采购预算表。</w:t>
      </w:r>
    </w:p>
    <w:p w14:paraId="68F7089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FF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BF95D3">
            <w:pPr>
              <w:pStyle w:val="9"/>
            </w:pPr>
            <w:r>
              <w:t>360037隆尧县第三实验小学</w:t>
            </w:r>
          </w:p>
        </w:tc>
        <w:tc>
          <w:tcPr>
            <w:tcW w:w="5670" w:type="dxa"/>
            <w:gridSpan w:val="2"/>
            <w:tcBorders>
              <w:top w:val="single" w:color="FFFFFF" w:sz="6" w:space="0"/>
              <w:left w:val="single" w:color="FFFFFF" w:sz="6" w:space="0"/>
              <w:right w:val="single" w:color="FFFFFF" w:sz="6" w:space="0"/>
            </w:tcBorders>
            <w:vAlign w:val="center"/>
          </w:tcPr>
          <w:p w14:paraId="06B5255D">
            <w:pPr>
              <w:pStyle w:val="7"/>
            </w:pPr>
            <w:r>
              <w:t>截止时间：2025-12-31</w:t>
            </w:r>
          </w:p>
        </w:tc>
      </w:tr>
      <w:tr w14:paraId="144E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78D8F6">
            <w:pPr>
              <w:pStyle w:val="10"/>
            </w:pPr>
            <w:r>
              <w:t>项   目</w:t>
            </w:r>
          </w:p>
        </w:tc>
        <w:tc>
          <w:tcPr>
            <w:tcW w:w="2835" w:type="dxa"/>
            <w:vAlign w:val="center"/>
          </w:tcPr>
          <w:p w14:paraId="19F076BF">
            <w:pPr>
              <w:pStyle w:val="10"/>
            </w:pPr>
            <w:r>
              <w:t>数量</w:t>
            </w:r>
          </w:p>
        </w:tc>
        <w:tc>
          <w:tcPr>
            <w:tcW w:w="2835" w:type="dxa"/>
            <w:vAlign w:val="center"/>
          </w:tcPr>
          <w:p w14:paraId="424E0617">
            <w:pPr>
              <w:pStyle w:val="10"/>
            </w:pPr>
            <w:r>
              <w:t>价值（金额单位：万元）</w:t>
            </w:r>
          </w:p>
        </w:tc>
      </w:tr>
      <w:tr w14:paraId="2254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3F794B">
            <w:pPr>
              <w:pStyle w:val="12"/>
            </w:pPr>
            <w:r>
              <w:t>资产总额</w:t>
            </w:r>
          </w:p>
        </w:tc>
        <w:tc>
          <w:tcPr>
            <w:tcW w:w="2835" w:type="dxa"/>
            <w:vAlign w:val="center"/>
          </w:tcPr>
          <w:p w14:paraId="5CB44F7D">
            <w:pPr>
              <w:pStyle w:val="13"/>
            </w:pPr>
          </w:p>
        </w:tc>
        <w:tc>
          <w:tcPr>
            <w:tcW w:w="2835" w:type="dxa"/>
            <w:vAlign w:val="center"/>
          </w:tcPr>
          <w:p w14:paraId="4AD82C54">
            <w:pPr>
              <w:pStyle w:val="11"/>
            </w:pPr>
            <w:r>
              <w:t>1175.02</w:t>
            </w:r>
          </w:p>
        </w:tc>
      </w:tr>
      <w:tr w14:paraId="20C0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C2D1BA">
            <w:pPr>
              <w:pStyle w:val="12"/>
            </w:pPr>
            <w:r>
              <w:t>1、房屋（平方米）</w:t>
            </w:r>
          </w:p>
        </w:tc>
        <w:tc>
          <w:tcPr>
            <w:tcW w:w="2835" w:type="dxa"/>
            <w:vAlign w:val="center"/>
          </w:tcPr>
          <w:p w14:paraId="3B6A1175">
            <w:pPr>
              <w:pStyle w:val="13"/>
            </w:pPr>
            <w:r>
              <w:t>302496</w:t>
            </w:r>
          </w:p>
        </w:tc>
        <w:tc>
          <w:tcPr>
            <w:tcW w:w="2835" w:type="dxa"/>
            <w:vAlign w:val="center"/>
          </w:tcPr>
          <w:p w14:paraId="36733D76">
            <w:pPr>
              <w:pStyle w:val="11"/>
            </w:pPr>
            <w:r>
              <w:t>619.14</w:t>
            </w:r>
          </w:p>
        </w:tc>
      </w:tr>
      <w:tr w14:paraId="1C4D4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C97FCA">
            <w:pPr>
              <w:pStyle w:val="12"/>
            </w:pPr>
            <w:r>
              <w:t>　　其中：办公用房（平方米）</w:t>
            </w:r>
          </w:p>
        </w:tc>
        <w:tc>
          <w:tcPr>
            <w:tcW w:w="2835" w:type="dxa"/>
            <w:vAlign w:val="center"/>
          </w:tcPr>
          <w:p w14:paraId="6E8C57FF">
            <w:pPr>
              <w:pStyle w:val="13"/>
            </w:pPr>
            <w:r>
              <w:t>1776.20</w:t>
            </w:r>
          </w:p>
        </w:tc>
        <w:tc>
          <w:tcPr>
            <w:tcW w:w="2835" w:type="dxa"/>
            <w:vAlign w:val="center"/>
          </w:tcPr>
          <w:p w14:paraId="10E682B9">
            <w:pPr>
              <w:pStyle w:val="11"/>
            </w:pPr>
            <w:r>
              <w:t>403.67</w:t>
            </w:r>
          </w:p>
        </w:tc>
      </w:tr>
      <w:tr w14:paraId="4F8E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EE9E3A">
            <w:pPr>
              <w:pStyle w:val="12"/>
            </w:pPr>
            <w:r>
              <w:t>2、车辆（台、辆）</w:t>
            </w:r>
          </w:p>
        </w:tc>
        <w:tc>
          <w:tcPr>
            <w:tcW w:w="2835" w:type="dxa"/>
            <w:vAlign w:val="center"/>
          </w:tcPr>
          <w:p w14:paraId="5B8FC676">
            <w:pPr>
              <w:pStyle w:val="13"/>
            </w:pPr>
          </w:p>
        </w:tc>
        <w:tc>
          <w:tcPr>
            <w:tcW w:w="2835" w:type="dxa"/>
            <w:vAlign w:val="center"/>
          </w:tcPr>
          <w:p w14:paraId="167B34DE">
            <w:pPr>
              <w:pStyle w:val="11"/>
            </w:pPr>
          </w:p>
        </w:tc>
      </w:tr>
      <w:tr w14:paraId="7248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D8CCF7">
            <w:pPr>
              <w:pStyle w:val="12"/>
            </w:pPr>
            <w:r>
              <w:t>3、单价在20万元以上的设备</w:t>
            </w:r>
          </w:p>
        </w:tc>
        <w:tc>
          <w:tcPr>
            <w:tcW w:w="2835" w:type="dxa"/>
            <w:vAlign w:val="center"/>
          </w:tcPr>
          <w:p w14:paraId="39B0CEEF">
            <w:pPr>
              <w:pStyle w:val="13"/>
            </w:pPr>
            <w:r>
              <w:t>5</w:t>
            </w:r>
          </w:p>
        </w:tc>
        <w:tc>
          <w:tcPr>
            <w:tcW w:w="2835" w:type="dxa"/>
            <w:vAlign w:val="center"/>
          </w:tcPr>
          <w:p w14:paraId="69FE6171">
            <w:pPr>
              <w:pStyle w:val="11"/>
            </w:pPr>
            <w:r>
              <w:t>158.72</w:t>
            </w:r>
          </w:p>
        </w:tc>
      </w:tr>
      <w:tr w14:paraId="4843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B646A9">
            <w:pPr>
              <w:pStyle w:val="12"/>
            </w:pPr>
            <w:r>
              <w:t>4、其他固定资产</w:t>
            </w:r>
          </w:p>
        </w:tc>
        <w:tc>
          <w:tcPr>
            <w:tcW w:w="2835" w:type="dxa"/>
            <w:vAlign w:val="center"/>
          </w:tcPr>
          <w:p w14:paraId="732EB182">
            <w:pPr>
              <w:pStyle w:val="13"/>
            </w:pPr>
            <w:r>
              <w:t>1677</w:t>
            </w:r>
          </w:p>
        </w:tc>
        <w:tc>
          <w:tcPr>
            <w:tcW w:w="2835" w:type="dxa"/>
            <w:vAlign w:val="center"/>
          </w:tcPr>
          <w:p w14:paraId="2566918F">
            <w:pPr>
              <w:pStyle w:val="11"/>
            </w:pPr>
            <w:r>
              <w:t>397.16</w:t>
            </w:r>
          </w:p>
        </w:tc>
      </w:tr>
    </w:tbl>
    <w:p w14:paraId="5664D2FA">
      <w:pPr>
        <w:spacing w:before="0" w:after="0"/>
        <w:ind w:firstLine="640"/>
        <w:jc w:val="left"/>
        <w:outlineLvl w:val="9"/>
      </w:pPr>
      <w:r>
        <w:rPr>
          <w:rFonts w:ascii="Times New Roman" w:hAnsi="Times New Roman" w:eastAsia="方正仿宋_GBK" w:cs="Times New Roman"/>
          <w:color w:val="000000"/>
          <w:sz w:val="32"/>
        </w:rPr>
        <w:t xml:space="preserve"> </w:t>
      </w:r>
    </w:p>
    <w:p w14:paraId="2B133FF1">
      <w:pPr>
        <w:spacing w:before="10" w:after="10" w:line="240" w:lineRule="auto"/>
        <w:ind w:firstLine="640"/>
        <w:jc w:val="left"/>
        <w:outlineLvl w:val="5"/>
      </w:pPr>
      <w:r>
        <w:rPr>
          <w:rFonts w:ascii="黑体" w:hAnsi="黑体" w:eastAsia="黑体" w:cs="黑体"/>
          <w:color w:val="000000"/>
          <w:sz w:val="32"/>
        </w:rPr>
        <w:t>八、名词解释</w:t>
      </w:r>
    </w:p>
    <w:p w14:paraId="45CEB2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3504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E0EA8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5EC18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DC3DB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55D4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0BB8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F94B9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9E7E0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224C6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E2B377">
      <w:pPr>
        <w:spacing w:before="10" w:after="10" w:line="240" w:lineRule="auto"/>
        <w:ind w:firstLine="640"/>
        <w:jc w:val="left"/>
        <w:outlineLvl w:val="5"/>
      </w:pPr>
      <w:r>
        <w:rPr>
          <w:rFonts w:ascii="黑体" w:hAnsi="黑体" w:eastAsia="黑体" w:cs="黑体"/>
          <w:color w:val="000000"/>
          <w:sz w:val="32"/>
        </w:rPr>
        <w:t>九、其他需要说明的事项</w:t>
      </w:r>
    </w:p>
    <w:p w14:paraId="39B4456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DEBC7E2">
      <w:pPr>
        <w:spacing w:before="0" w:after="0"/>
        <w:ind w:firstLine="0"/>
        <w:jc w:val="center"/>
        <w:outlineLvl w:val="3"/>
      </w:pPr>
      <w:bookmarkStart w:id="36" w:name="_Toc_4_4_0000000037"/>
      <w:r>
        <w:rPr>
          <w:rFonts w:ascii="方正小标宋_GBK" w:hAnsi="方正小标宋_GBK" w:eastAsia="方正小标宋_GBK" w:cs="方正小标宋_GBK"/>
          <w:b w:val="0"/>
          <w:color w:val="000000"/>
          <w:sz w:val="44"/>
        </w:rPr>
        <w:t>三十七、隆尧县第五实验小学收支预算</w:t>
      </w:r>
      <w:bookmarkEnd w:id="36"/>
    </w:p>
    <w:p w14:paraId="49F301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67D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D67458">
            <w:pPr>
              <w:pStyle w:val="9"/>
            </w:pPr>
            <w:r>
              <w:t>360038隆尧县第五实验小学</w:t>
            </w:r>
          </w:p>
        </w:tc>
        <w:tc>
          <w:tcPr>
            <w:tcW w:w="2126" w:type="dxa"/>
            <w:tcBorders>
              <w:top w:val="single" w:color="FFFFFF" w:sz="6" w:space="0"/>
              <w:left w:val="single" w:color="FFFFFF" w:sz="6" w:space="0"/>
              <w:right w:val="single" w:color="FFFFFF" w:sz="6" w:space="0"/>
            </w:tcBorders>
            <w:vAlign w:val="center"/>
          </w:tcPr>
          <w:p w14:paraId="2280F8C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6967918">
            <w:pPr>
              <w:pStyle w:val="7"/>
            </w:pPr>
            <w:r>
              <w:t>单位：万元</w:t>
            </w:r>
          </w:p>
        </w:tc>
      </w:tr>
      <w:tr w14:paraId="72C2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73766">
            <w:pPr>
              <w:pStyle w:val="10"/>
            </w:pPr>
            <w:r>
              <w:t>序号</w:t>
            </w:r>
          </w:p>
        </w:tc>
        <w:tc>
          <w:tcPr>
            <w:tcW w:w="6661" w:type="dxa"/>
            <w:gridSpan w:val="2"/>
            <w:vAlign w:val="center"/>
          </w:tcPr>
          <w:p w14:paraId="0CA40497">
            <w:pPr>
              <w:pStyle w:val="10"/>
            </w:pPr>
            <w:r>
              <w:t>收入</w:t>
            </w:r>
          </w:p>
        </w:tc>
        <w:tc>
          <w:tcPr>
            <w:tcW w:w="6661" w:type="dxa"/>
            <w:gridSpan w:val="2"/>
            <w:vAlign w:val="center"/>
          </w:tcPr>
          <w:p w14:paraId="17AE3324">
            <w:pPr>
              <w:pStyle w:val="10"/>
            </w:pPr>
            <w:r>
              <w:t>支出</w:t>
            </w:r>
          </w:p>
        </w:tc>
      </w:tr>
      <w:tr w14:paraId="1299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475D3"/>
        </w:tc>
        <w:tc>
          <w:tcPr>
            <w:tcW w:w="4535" w:type="dxa"/>
            <w:vAlign w:val="center"/>
          </w:tcPr>
          <w:p w14:paraId="253FE5BF">
            <w:pPr>
              <w:pStyle w:val="10"/>
            </w:pPr>
            <w:r>
              <w:t>项  目</w:t>
            </w:r>
          </w:p>
        </w:tc>
        <w:tc>
          <w:tcPr>
            <w:tcW w:w="2126" w:type="dxa"/>
            <w:vAlign w:val="center"/>
          </w:tcPr>
          <w:p w14:paraId="439B1EBA">
            <w:pPr>
              <w:pStyle w:val="10"/>
            </w:pPr>
            <w:r>
              <w:t>预算数</w:t>
            </w:r>
          </w:p>
        </w:tc>
        <w:tc>
          <w:tcPr>
            <w:tcW w:w="4535" w:type="dxa"/>
            <w:vAlign w:val="center"/>
          </w:tcPr>
          <w:p w14:paraId="7A8FA955">
            <w:pPr>
              <w:pStyle w:val="10"/>
            </w:pPr>
            <w:r>
              <w:t>项  目</w:t>
            </w:r>
          </w:p>
        </w:tc>
        <w:tc>
          <w:tcPr>
            <w:tcW w:w="2126" w:type="dxa"/>
            <w:vAlign w:val="center"/>
          </w:tcPr>
          <w:p w14:paraId="616BF371">
            <w:pPr>
              <w:pStyle w:val="10"/>
            </w:pPr>
            <w:r>
              <w:t>预算数</w:t>
            </w:r>
          </w:p>
        </w:tc>
      </w:tr>
      <w:tr w14:paraId="1E34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AADED">
            <w:pPr>
              <w:pStyle w:val="10"/>
            </w:pPr>
            <w:r>
              <w:t>栏次</w:t>
            </w:r>
          </w:p>
        </w:tc>
        <w:tc>
          <w:tcPr>
            <w:tcW w:w="4535" w:type="dxa"/>
            <w:vAlign w:val="center"/>
          </w:tcPr>
          <w:p w14:paraId="22647541">
            <w:pPr>
              <w:pStyle w:val="10"/>
            </w:pPr>
            <w:r>
              <w:t>1</w:t>
            </w:r>
          </w:p>
        </w:tc>
        <w:tc>
          <w:tcPr>
            <w:tcW w:w="2126" w:type="dxa"/>
            <w:vAlign w:val="center"/>
          </w:tcPr>
          <w:p w14:paraId="6EF8F790">
            <w:pPr>
              <w:pStyle w:val="10"/>
            </w:pPr>
            <w:r>
              <w:t>2</w:t>
            </w:r>
          </w:p>
        </w:tc>
        <w:tc>
          <w:tcPr>
            <w:tcW w:w="4535" w:type="dxa"/>
            <w:vAlign w:val="center"/>
          </w:tcPr>
          <w:p w14:paraId="727585CB">
            <w:pPr>
              <w:pStyle w:val="10"/>
            </w:pPr>
            <w:r>
              <w:t>3</w:t>
            </w:r>
          </w:p>
        </w:tc>
        <w:tc>
          <w:tcPr>
            <w:tcW w:w="2126" w:type="dxa"/>
            <w:vAlign w:val="center"/>
          </w:tcPr>
          <w:p w14:paraId="2CCEA82A">
            <w:pPr>
              <w:pStyle w:val="10"/>
            </w:pPr>
            <w:r>
              <w:t>4</w:t>
            </w:r>
          </w:p>
        </w:tc>
      </w:tr>
      <w:tr w14:paraId="398E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A623D">
            <w:pPr>
              <w:pStyle w:val="13"/>
            </w:pPr>
            <w:r>
              <w:t>1</w:t>
            </w:r>
          </w:p>
        </w:tc>
        <w:tc>
          <w:tcPr>
            <w:tcW w:w="4535" w:type="dxa"/>
            <w:vAlign w:val="center"/>
          </w:tcPr>
          <w:p w14:paraId="48978BFB">
            <w:pPr>
              <w:pStyle w:val="12"/>
            </w:pPr>
            <w:r>
              <w:t>一、一般公共预算拨款收入</w:t>
            </w:r>
          </w:p>
        </w:tc>
        <w:tc>
          <w:tcPr>
            <w:tcW w:w="2126" w:type="dxa"/>
            <w:vAlign w:val="center"/>
          </w:tcPr>
          <w:p w14:paraId="7136D874">
            <w:pPr>
              <w:pStyle w:val="11"/>
            </w:pPr>
            <w:r>
              <w:t>1350.68</w:t>
            </w:r>
          </w:p>
        </w:tc>
        <w:tc>
          <w:tcPr>
            <w:tcW w:w="4535" w:type="dxa"/>
            <w:vAlign w:val="center"/>
          </w:tcPr>
          <w:p w14:paraId="46147EFF">
            <w:pPr>
              <w:pStyle w:val="12"/>
            </w:pPr>
            <w:r>
              <w:t>一、一般公共服务支出</w:t>
            </w:r>
          </w:p>
        </w:tc>
        <w:tc>
          <w:tcPr>
            <w:tcW w:w="2126" w:type="dxa"/>
            <w:vAlign w:val="center"/>
          </w:tcPr>
          <w:p w14:paraId="77AE10A7">
            <w:pPr>
              <w:pStyle w:val="11"/>
            </w:pPr>
          </w:p>
        </w:tc>
      </w:tr>
      <w:tr w14:paraId="6271A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A33B">
            <w:pPr>
              <w:pStyle w:val="13"/>
            </w:pPr>
            <w:r>
              <w:t>2</w:t>
            </w:r>
          </w:p>
        </w:tc>
        <w:tc>
          <w:tcPr>
            <w:tcW w:w="4535" w:type="dxa"/>
            <w:vAlign w:val="center"/>
          </w:tcPr>
          <w:p w14:paraId="0AB9D464">
            <w:pPr>
              <w:pStyle w:val="12"/>
            </w:pPr>
            <w:r>
              <w:t>二、政府性基金预算拨款收入</w:t>
            </w:r>
          </w:p>
        </w:tc>
        <w:tc>
          <w:tcPr>
            <w:tcW w:w="2126" w:type="dxa"/>
            <w:vAlign w:val="center"/>
          </w:tcPr>
          <w:p w14:paraId="7287A98E">
            <w:pPr>
              <w:pStyle w:val="11"/>
            </w:pPr>
          </w:p>
        </w:tc>
        <w:tc>
          <w:tcPr>
            <w:tcW w:w="4535" w:type="dxa"/>
            <w:vAlign w:val="center"/>
          </w:tcPr>
          <w:p w14:paraId="31EF5F98">
            <w:pPr>
              <w:pStyle w:val="12"/>
            </w:pPr>
            <w:r>
              <w:t>二、外交支出</w:t>
            </w:r>
          </w:p>
        </w:tc>
        <w:tc>
          <w:tcPr>
            <w:tcW w:w="2126" w:type="dxa"/>
            <w:vAlign w:val="center"/>
          </w:tcPr>
          <w:p w14:paraId="265C0262">
            <w:pPr>
              <w:pStyle w:val="11"/>
            </w:pPr>
          </w:p>
        </w:tc>
      </w:tr>
      <w:tr w14:paraId="79AD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958C7">
            <w:pPr>
              <w:pStyle w:val="13"/>
            </w:pPr>
            <w:r>
              <w:t>3</w:t>
            </w:r>
          </w:p>
        </w:tc>
        <w:tc>
          <w:tcPr>
            <w:tcW w:w="4535" w:type="dxa"/>
            <w:vAlign w:val="center"/>
          </w:tcPr>
          <w:p w14:paraId="3B95EA64">
            <w:pPr>
              <w:pStyle w:val="12"/>
            </w:pPr>
            <w:r>
              <w:t>三、国有资本经营预算拨款收入</w:t>
            </w:r>
          </w:p>
        </w:tc>
        <w:tc>
          <w:tcPr>
            <w:tcW w:w="2126" w:type="dxa"/>
            <w:vAlign w:val="center"/>
          </w:tcPr>
          <w:p w14:paraId="72D85879">
            <w:pPr>
              <w:pStyle w:val="11"/>
            </w:pPr>
          </w:p>
        </w:tc>
        <w:tc>
          <w:tcPr>
            <w:tcW w:w="4535" w:type="dxa"/>
            <w:vAlign w:val="center"/>
          </w:tcPr>
          <w:p w14:paraId="4584133C">
            <w:pPr>
              <w:pStyle w:val="12"/>
            </w:pPr>
            <w:r>
              <w:t>三、国防支出</w:t>
            </w:r>
          </w:p>
        </w:tc>
        <w:tc>
          <w:tcPr>
            <w:tcW w:w="2126" w:type="dxa"/>
            <w:vAlign w:val="center"/>
          </w:tcPr>
          <w:p w14:paraId="2DDE1478">
            <w:pPr>
              <w:pStyle w:val="11"/>
            </w:pPr>
          </w:p>
        </w:tc>
      </w:tr>
      <w:tr w14:paraId="7465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EE6E">
            <w:pPr>
              <w:pStyle w:val="13"/>
            </w:pPr>
            <w:r>
              <w:t>4</w:t>
            </w:r>
          </w:p>
        </w:tc>
        <w:tc>
          <w:tcPr>
            <w:tcW w:w="4535" w:type="dxa"/>
            <w:vAlign w:val="center"/>
          </w:tcPr>
          <w:p w14:paraId="74EF7D26">
            <w:pPr>
              <w:pStyle w:val="12"/>
            </w:pPr>
            <w:r>
              <w:t>四、财政专户管理资金收入</w:t>
            </w:r>
          </w:p>
        </w:tc>
        <w:tc>
          <w:tcPr>
            <w:tcW w:w="2126" w:type="dxa"/>
            <w:vAlign w:val="center"/>
          </w:tcPr>
          <w:p w14:paraId="4B7BCD10">
            <w:pPr>
              <w:pStyle w:val="11"/>
            </w:pPr>
          </w:p>
        </w:tc>
        <w:tc>
          <w:tcPr>
            <w:tcW w:w="4535" w:type="dxa"/>
            <w:vAlign w:val="center"/>
          </w:tcPr>
          <w:p w14:paraId="0BF96AFA">
            <w:pPr>
              <w:pStyle w:val="12"/>
            </w:pPr>
            <w:r>
              <w:t>四、公共安全支出</w:t>
            </w:r>
          </w:p>
        </w:tc>
        <w:tc>
          <w:tcPr>
            <w:tcW w:w="2126" w:type="dxa"/>
            <w:vAlign w:val="center"/>
          </w:tcPr>
          <w:p w14:paraId="48686082">
            <w:pPr>
              <w:pStyle w:val="11"/>
            </w:pPr>
          </w:p>
        </w:tc>
      </w:tr>
      <w:tr w14:paraId="4E80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E5E9">
            <w:pPr>
              <w:pStyle w:val="13"/>
            </w:pPr>
            <w:r>
              <w:t>5</w:t>
            </w:r>
          </w:p>
        </w:tc>
        <w:tc>
          <w:tcPr>
            <w:tcW w:w="4535" w:type="dxa"/>
            <w:vAlign w:val="center"/>
          </w:tcPr>
          <w:p w14:paraId="45F4EB82">
            <w:pPr>
              <w:pStyle w:val="12"/>
            </w:pPr>
            <w:r>
              <w:t>五、单位资金</w:t>
            </w:r>
          </w:p>
        </w:tc>
        <w:tc>
          <w:tcPr>
            <w:tcW w:w="2126" w:type="dxa"/>
            <w:vAlign w:val="center"/>
          </w:tcPr>
          <w:p w14:paraId="6F487585">
            <w:pPr>
              <w:pStyle w:val="11"/>
            </w:pPr>
          </w:p>
        </w:tc>
        <w:tc>
          <w:tcPr>
            <w:tcW w:w="4535" w:type="dxa"/>
            <w:vAlign w:val="center"/>
          </w:tcPr>
          <w:p w14:paraId="625097BB">
            <w:pPr>
              <w:pStyle w:val="12"/>
            </w:pPr>
            <w:r>
              <w:t>五、教育支出</w:t>
            </w:r>
          </w:p>
        </w:tc>
        <w:tc>
          <w:tcPr>
            <w:tcW w:w="2126" w:type="dxa"/>
            <w:vAlign w:val="center"/>
          </w:tcPr>
          <w:p w14:paraId="2757BA81">
            <w:pPr>
              <w:pStyle w:val="11"/>
            </w:pPr>
            <w:r>
              <w:t>1350.68</w:t>
            </w:r>
          </w:p>
        </w:tc>
      </w:tr>
      <w:tr w14:paraId="279E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DE29B">
            <w:pPr>
              <w:pStyle w:val="13"/>
            </w:pPr>
            <w:r>
              <w:t>6</w:t>
            </w:r>
          </w:p>
        </w:tc>
        <w:tc>
          <w:tcPr>
            <w:tcW w:w="4535" w:type="dxa"/>
            <w:vAlign w:val="center"/>
          </w:tcPr>
          <w:p w14:paraId="272332A6">
            <w:pPr>
              <w:pStyle w:val="12"/>
            </w:pPr>
          </w:p>
        </w:tc>
        <w:tc>
          <w:tcPr>
            <w:tcW w:w="2126" w:type="dxa"/>
            <w:vAlign w:val="center"/>
          </w:tcPr>
          <w:p w14:paraId="22DB7BE2">
            <w:pPr>
              <w:pStyle w:val="11"/>
            </w:pPr>
          </w:p>
        </w:tc>
        <w:tc>
          <w:tcPr>
            <w:tcW w:w="4535" w:type="dxa"/>
            <w:vAlign w:val="center"/>
          </w:tcPr>
          <w:p w14:paraId="4121A051">
            <w:pPr>
              <w:pStyle w:val="12"/>
            </w:pPr>
            <w:r>
              <w:t>六、科学技术支出</w:t>
            </w:r>
          </w:p>
        </w:tc>
        <w:tc>
          <w:tcPr>
            <w:tcW w:w="2126" w:type="dxa"/>
            <w:vAlign w:val="center"/>
          </w:tcPr>
          <w:p w14:paraId="1A11C1F0">
            <w:pPr>
              <w:pStyle w:val="11"/>
            </w:pPr>
          </w:p>
        </w:tc>
      </w:tr>
      <w:tr w14:paraId="7DE2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E37D">
            <w:pPr>
              <w:pStyle w:val="13"/>
            </w:pPr>
            <w:r>
              <w:t>7</w:t>
            </w:r>
          </w:p>
        </w:tc>
        <w:tc>
          <w:tcPr>
            <w:tcW w:w="4535" w:type="dxa"/>
            <w:vAlign w:val="center"/>
          </w:tcPr>
          <w:p w14:paraId="64563DE3">
            <w:pPr>
              <w:pStyle w:val="12"/>
            </w:pPr>
          </w:p>
        </w:tc>
        <w:tc>
          <w:tcPr>
            <w:tcW w:w="2126" w:type="dxa"/>
            <w:vAlign w:val="center"/>
          </w:tcPr>
          <w:p w14:paraId="334ABBC2">
            <w:pPr>
              <w:pStyle w:val="11"/>
            </w:pPr>
          </w:p>
        </w:tc>
        <w:tc>
          <w:tcPr>
            <w:tcW w:w="4535" w:type="dxa"/>
            <w:vAlign w:val="center"/>
          </w:tcPr>
          <w:p w14:paraId="4F05F070">
            <w:pPr>
              <w:pStyle w:val="12"/>
            </w:pPr>
            <w:r>
              <w:t>七、文化旅游体育与传媒支出</w:t>
            </w:r>
          </w:p>
        </w:tc>
        <w:tc>
          <w:tcPr>
            <w:tcW w:w="2126" w:type="dxa"/>
            <w:vAlign w:val="center"/>
          </w:tcPr>
          <w:p w14:paraId="6FFEC453">
            <w:pPr>
              <w:pStyle w:val="11"/>
            </w:pPr>
          </w:p>
        </w:tc>
      </w:tr>
      <w:tr w14:paraId="085D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4F336">
            <w:pPr>
              <w:pStyle w:val="13"/>
            </w:pPr>
            <w:r>
              <w:t>8</w:t>
            </w:r>
          </w:p>
        </w:tc>
        <w:tc>
          <w:tcPr>
            <w:tcW w:w="4535" w:type="dxa"/>
            <w:vAlign w:val="center"/>
          </w:tcPr>
          <w:p w14:paraId="376A171B">
            <w:pPr>
              <w:pStyle w:val="12"/>
            </w:pPr>
          </w:p>
        </w:tc>
        <w:tc>
          <w:tcPr>
            <w:tcW w:w="2126" w:type="dxa"/>
            <w:vAlign w:val="center"/>
          </w:tcPr>
          <w:p w14:paraId="6F900F92">
            <w:pPr>
              <w:pStyle w:val="11"/>
            </w:pPr>
          </w:p>
        </w:tc>
        <w:tc>
          <w:tcPr>
            <w:tcW w:w="4535" w:type="dxa"/>
            <w:vAlign w:val="center"/>
          </w:tcPr>
          <w:p w14:paraId="5DD761B2">
            <w:pPr>
              <w:pStyle w:val="12"/>
            </w:pPr>
            <w:r>
              <w:t>八、社会保障和就业支出</w:t>
            </w:r>
          </w:p>
        </w:tc>
        <w:tc>
          <w:tcPr>
            <w:tcW w:w="2126" w:type="dxa"/>
            <w:vAlign w:val="center"/>
          </w:tcPr>
          <w:p w14:paraId="49632500">
            <w:pPr>
              <w:pStyle w:val="11"/>
            </w:pPr>
          </w:p>
        </w:tc>
      </w:tr>
      <w:tr w14:paraId="5A938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FF41A">
            <w:pPr>
              <w:pStyle w:val="13"/>
            </w:pPr>
            <w:r>
              <w:t>9</w:t>
            </w:r>
          </w:p>
        </w:tc>
        <w:tc>
          <w:tcPr>
            <w:tcW w:w="4535" w:type="dxa"/>
            <w:vAlign w:val="center"/>
          </w:tcPr>
          <w:p w14:paraId="33D81066">
            <w:pPr>
              <w:pStyle w:val="12"/>
            </w:pPr>
          </w:p>
        </w:tc>
        <w:tc>
          <w:tcPr>
            <w:tcW w:w="2126" w:type="dxa"/>
            <w:vAlign w:val="center"/>
          </w:tcPr>
          <w:p w14:paraId="48BEF5F6">
            <w:pPr>
              <w:pStyle w:val="11"/>
            </w:pPr>
          </w:p>
        </w:tc>
        <w:tc>
          <w:tcPr>
            <w:tcW w:w="4535" w:type="dxa"/>
            <w:vAlign w:val="center"/>
          </w:tcPr>
          <w:p w14:paraId="4E92D740">
            <w:pPr>
              <w:pStyle w:val="12"/>
            </w:pPr>
            <w:r>
              <w:t>九、社会保险基金支出</w:t>
            </w:r>
          </w:p>
        </w:tc>
        <w:tc>
          <w:tcPr>
            <w:tcW w:w="2126" w:type="dxa"/>
            <w:vAlign w:val="center"/>
          </w:tcPr>
          <w:p w14:paraId="619FC466">
            <w:pPr>
              <w:pStyle w:val="11"/>
            </w:pPr>
          </w:p>
        </w:tc>
      </w:tr>
      <w:tr w14:paraId="5B77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E485E">
            <w:pPr>
              <w:pStyle w:val="13"/>
            </w:pPr>
            <w:r>
              <w:t>10</w:t>
            </w:r>
          </w:p>
        </w:tc>
        <w:tc>
          <w:tcPr>
            <w:tcW w:w="4535" w:type="dxa"/>
            <w:vAlign w:val="center"/>
          </w:tcPr>
          <w:p w14:paraId="1475A14F">
            <w:pPr>
              <w:pStyle w:val="12"/>
            </w:pPr>
          </w:p>
        </w:tc>
        <w:tc>
          <w:tcPr>
            <w:tcW w:w="2126" w:type="dxa"/>
            <w:vAlign w:val="center"/>
          </w:tcPr>
          <w:p w14:paraId="4B7A2E9F">
            <w:pPr>
              <w:pStyle w:val="11"/>
            </w:pPr>
          </w:p>
        </w:tc>
        <w:tc>
          <w:tcPr>
            <w:tcW w:w="4535" w:type="dxa"/>
            <w:vAlign w:val="center"/>
          </w:tcPr>
          <w:p w14:paraId="53C929B3">
            <w:pPr>
              <w:pStyle w:val="12"/>
            </w:pPr>
            <w:r>
              <w:t>十、卫生健康支出</w:t>
            </w:r>
          </w:p>
        </w:tc>
        <w:tc>
          <w:tcPr>
            <w:tcW w:w="2126" w:type="dxa"/>
            <w:vAlign w:val="center"/>
          </w:tcPr>
          <w:p w14:paraId="04785914">
            <w:pPr>
              <w:pStyle w:val="11"/>
            </w:pPr>
          </w:p>
        </w:tc>
      </w:tr>
      <w:tr w14:paraId="6CEF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EAC2">
            <w:pPr>
              <w:pStyle w:val="13"/>
            </w:pPr>
            <w:r>
              <w:t>11</w:t>
            </w:r>
          </w:p>
        </w:tc>
        <w:tc>
          <w:tcPr>
            <w:tcW w:w="4535" w:type="dxa"/>
            <w:vAlign w:val="center"/>
          </w:tcPr>
          <w:p w14:paraId="01EF4971">
            <w:pPr>
              <w:pStyle w:val="12"/>
            </w:pPr>
          </w:p>
        </w:tc>
        <w:tc>
          <w:tcPr>
            <w:tcW w:w="2126" w:type="dxa"/>
            <w:vAlign w:val="center"/>
          </w:tcPr>
          <w:p w14:paraId="77309923">
            <w:pPr>
              <w:pStyle w:val="11"/>
            </w:pPr>
          </w:p>
        </w:tc>
        <w:tc>
          <w:tcPr>
            <w:tcW w:w="4535" w:type="dxa"/>
            <w:vAlign w:val="center"/>
          </w:tcPr>
          <w:p w14:paraId="3F0DC505">
            <w:pPr>
              <w:pStyle w:val="12"/>
            </w:pPr>
            <w:r>
              <w:t>十一、节能环保支出</w:t>
            </w:r>
          </w:p>
        </w:tc>
        <w:tc>
          <w:tcPr>
            <w:tcW w:w="2126" w:type="dxa"/>
            <w:vAlign w:val="center"/>
          </w:tcPr>
          <w:p w14:paraId="6E59CDAD">
            <w:pPr>
              <w:pStyle w:val="11"/>
            </w:pPr>
          </w:p>
        </w:tc>
      </w:tr>
      <w:tr w14:paraId="3740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3CB9E">
            <w:pPr>
              <w:pStyle w:val="13"/>
            </w:pPr>
            <w:r>
              <w:t>12</w:t>
            </w:r>
          </w:p>
        </w:tc>
        <w:tc>
          <w:tcPr>
            <w:tcW w:w="4535" w:type="dxa"/>
            <w:vAlign w:val="center"/>
          </w:tcPr>
          <w:p w14:paraId="03C15B05">
            <w:pPr>
              <w:pStyle w:val="12"/>
            </w:pPr>
          </w:p>
        </w:tc>
        <w:tc>
          <w:tcPr>
            <w:tcW w:w="2126" w:type="dxa"/>
            <w:vAlign w:val="center"/>
          </w:tcPr>
          <w:p w14:paraId="6F4F1467">
            <w:pPr>
              <w:pStyle w:val="11"/>
            </w:pPr>
          </w:p>
        </w:tc>
        <w:tc>
          <w:tcPr>
            <w:tcW w:w="4535" w:type="dxa"/>
            <w:vAlign w:val="center"/>
          </w:tcPr>
          <w:p w14:paraId="143E011D">
            <w:pPr>
              <w:pStyle w:val="12"/>
            </w:pPr>
            <w:r>
              <w:t>十二、城乡社区支出</w:t>
            </w:r>
          </w:p>
        </w:tc>
        <w:tc>
          <w:tcPr>
            <w:tcW w:w="2126" w:type="dxa"/>
            <w:vAlign w:val="center"/>
          </w:tcPr>
          <w:p w14:paraId="0E32FD1D">
            <w:pPr>
              <w:pStyle w:val="11"/>
            </w:pPr>
          </w:p>
        </w:tc>
      </w:tr>
      <w:tr w14:paraId="0DCC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78825">
            <w:pPr>
              <w:pStyle w:val="13"/>
            </w:pPr>
            <w:r>
              <w:t>13</w:t>
            </w:r>
          </w:p>
        </w:tc>
        <w:tc>
          <w:tcPr>
            <w:tcW w:w="4535" w:type="dxa"/>
            <w:vAlign w:val="center"/>
          </w:tcPr>
          <w:p w14:paraId="0FAE9678">
            <w:pPr>
              <w:pStyle w:val="12"/>
            </w:pPr>
          </w:p>
        </w:tc>
        <w:tc>
          <w:tcPr>
            <w:tcW w:w="2126" w:type="dxa"/>
            <w:vAlign w:val="center"/>
          </w:tcPr>
          <w:p w14:paraId="7DF8A6A9">
            <w:pPr>
              <w:pStyle w:val="11"/>
            </w:pPr>
          </w:p>
        </w:tc>
        <w:tc>
          <w:tcPr>
            <w:tcW w:w="4535" w:type="dxa"/>
            <w:vAlign w:val="center"/>
          </w:tcPr>
          <w:p w14:paraId="6870312C">
            <w:pPr>
              <w:pStyle w:val="12"/>
            </w:pPr>
            <w:r>
              <w:t>十三、农林水支出</w:t>
            </w:r>
          </w:p>
        </w:tc>
        <w:tc>
          <w:tcPr>
            <w:tcW w:w="2126" w:type="dxa"/>
            <w:vAlign w:val="center"/>
          </w:tcPr>
          <w:p w14:paraId="3C675F0A">
            <w:pPr>
              <w:pStyle w:val="11"/>
            </w:pPr>
          </w:p>
        </w:tc>
      </w:tr>
      <w:tr w14:paraId="2F5B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CB63C">
            <w:pPr>
              <w:pStyle w:val="13"/>
            </w:pPr>
            <w:r>
              <w:t>14</w:t>
            </w:r>
          </w:p>
        </w:tc>
        <w:tc>
          <w:tcPr>
            <w:tcW w:w="4535" w:type="dxa"/>
            <w:vAlign w:val="center"/>
          </w:tcPr>
          <w:p w14:paraId="584A8369">
            <w:pPr>
              <w:pStyle w:val="12"/>
            </w:pPr>
          </w:p>
        </w:tc>
        <w:tc>
          <w:tcPr>
            <w:tcW w:w="2126" w:type="dxa"/>
            <w:vAlign w:val="center"/>
          </w:tcPr>
          <w:p w14:paraId="268A4088">
            <w:pPr>
              <w:pStyle w:val="11"/>
            </w:pPr>
          </w:p>
        </w:tc>
        <w:tc>
          <w:tcPr>
            <w:tcW w:w="4535" w:type="dxa"/>
            <w:vAlign w:val="center"/>
          </w:tcPr>
          <w:p w14:paraId="7CCA1CA5">
            <w:pPr>
              <w:pStyle w:val="12"/>
            </w:pPr>
            <w:r>
              <w:t>十四、交通运输支出</w:t>
            </w:r>
          </w:p>
        </w:tc>
        <w:tc>
          <w:tcPr>
            <w:tcW w:w="2126" w:type="dxa"/>
            <w:vAlign w:val="center"/>
          </w:tcPr>
          <w:p w14:paraId="45F85469">
            <w:pPr>
              <w:pStyle w:val="11"/>
            </w:pPr>
          </w:p>
        </w:tc>
      </w:tr>
      <w:tr w14:paraId="0CBF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D44A2">
            <w:pPr>
              <w:pStyle w:val="13"/>
            </w:pPr>
            <w:r>
              <w:t>15</w:t>
            </w:r>
          </w:p>
        </w:tc>
        <w:tc>
          <w:tcPr>
            <w:tcW w:w="4535" w:type="dxa"/>
            <w:vAlign w:val="center"/>
          </w:tcPr>
          <w:p w14:paraId="6519FD8A">
            <w:pPr>
              <w:pStyle w:val="12"/>
            </w:pPr>
          </w:p>
        </w:tc>
        <w:tc>
          <w:tcPr>
            <w:tcW w:w="2126" w:type="dxa"/>
            <w:vAlign w:val="center"/>
          </w:tcPr>
          <w:p w14:paraId="337860BC">
            <w:pPr>
              <w:pStyle w:val="11"/>
            </w:pPr>
          </w:p>
        </w:tc>
        <w:tc>
          <w:tcPr>
            <w:tcW w:w="4535" w:type="dxa"/>
            <w:vAlign w:val="center"/>
          </w:tcPr>
          <w:p w14:paraId="35C6ECD1">
            <w:pPr>
              <w:pStyle w:val="12"/>
            </w:pPr>
            <w:r>
              <w:t>十五、资源勘探工业信息等支出</w:t>
            </w:r>
          </w:p>
        </w:tc>
        <w:tc>
          <w:tcPr>
            <w:tcW w:w="2126" w:type="dxa"/>
            <w:vAlign w:val="center"/>
          </w:tcPr>
          <w:p w14:paraId="0A9EA253">
            <w:pPr>
              <w:pStyle w:val="11"/>
            </w:pPr>
          </w:p>
        </w:tc>
      </w:tr>
      <w:tr w14:paraId="3880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9AFF1">
            <w:pPr>
              <w:pStyle w:val="13"/>
            </w:pPr>
            <w:r>
              <w:t>16</w:t>
            </w:r>
          </w:p>
        </w:tc>
        <w:tc>
          <w:tcPr>
            <w:tcW w:w="4535" w:type="dxa"/>
            <w:vAlign w:val="center"/>
          </w:tcPr>
          <w:p w14:paraId="42DF7791">
            <w:pPr>
              <w:pStyle w:val="12"/>
            </w:pPr>
          </w:p>
        </w:tc>
        <w:tc>
          <w:tcPr>
            <w:tcW w:w="2126" w:type="dxa"/>
            <w:vAlign w:val="center"/>
          </w:tcPr>
          <w:p w14:paraId="62A202FC">
            <w:pPr>
              <w:pStyle w:val="11"/>
            </w:pPr>
          </w:p>
        </w:tc>
        <w:tc>
          <w:tcPr>
            <w:tcW w:w="4535" w:type="dxa"/>
            <w:vAlign w:val="center"/>
          </w:tcPr>
          <w:p w14:paraId="2E4E22F0">
            <w:pPr>
              <w:pStyle w:val="12"/>
            </w:pPr>
            <w:r>
              <w:t>十六、商业服务业等支出</w:t>
            </w:r>
          </w:p>
        </w:tc>
        <w:tc>
          <w:tcPr>
            <w:tcW w:w="2126" w:type="dxa"/>
            <w:vAlign w:val="center"/>
          </w:tcPr>
          <w:p w14:paraId="4B03B26B">
            <w:pPr>
              <w:pStyle w:val="11"/>
            </w:pPr>
          </w:p>
        </w:tc>
      </w:tr>
      <w:tr w14:paraId="6E6F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6F11">
            <w:pPr>
              <w:pStyle w:val="13"/>
            </w:pPr>
            <w:r>
              <w:t>17</w:t>
            </w:r>
          </w:p>
        </w:tc>
        <w:tc>
          <w:tcPr>
            <w:tcW w:w="4535" w:type="dxa"/>
            <w:vAlign w:val="center"/>
          </w:tcPr>
          <w:p w14:paraId="74041ECB">
            <w:pPr>
              <w:pStyle w:val="12"/>
            </w:pPr>
          </w:p>
        </w:tc>
        <w:tc>
          <w:tcPr>
            <w:tcW w:w="2126" w:type="dxa"/>
            <w:vAlign w:val="center"/>
          </w:tcPr>
          <w:p w14:paraId="3D976568">
            <w:pPr>
              <w:pStyle w:val="11"/>
            </w:pPr>
          </w:p>
        </w:tc>
        <w:tc>
          <w:tcPr>
            <w:tcW w:w="4535" w:type="dxa"/>
            <w:vAlign w:val="center"/>
          </w:tcPr>
          <w:p w14:paraId="355C79D4">
            <w:pPr>
              <w:pStyle w:val="12"/>
            </w:pPr>
            <w:r>
              <w:t>十七、金融支出</w:t>
            </w:r>
          </w:p>
        </w:tc>
        <w:tc>
          <w:tcPr>
            <w:tcW w:w="2126" w:type="dxa"/>
            <w:vAlign w:val="center"/>
          </w:tcPr>
          <w:p w14:paraId="5F20FB80">
            <w:pPr>
              <w:pStyle w:val="11"/>
            </w:pPr>
          </w:p>
        </w:tc>
      </w:tr>
      <w:tr w14:paraId="189D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5494D">
            <w:pPr>
              <w:pStyle w:val="13"/>
            </w:pPr>
            <w:r>
              <w:t>18</w:t>
            </w:r>
          </w:p>
        </w:tc>
        <w:tc>
          <w:tcPr>
            <w:tcW w:w="4535" w:type="dxa"/>
            <w:vAlign w:val="center"/>
          </w:tcPr>
          <w:p w14:paraId="00EEF6C1">
            <w:pPr>
              <w:pStyle w:val="12"/>
            </w:pPr>
          </w:p>
        </w:tc>
        <w:tc>
          <w:tcPr>
            <w:tcW w:w="2126" w:type="dxa"/>
            <w:vAlign w:val="center"/>
          </w:tcPr>
          <w:p w14:paraId="24740267">
            <w:pPr>
              <w:pStyle w:val="11"/>
            </w:pPr>
          </w:p>
        </w:tc>
        <w:tc>
          <w:tcPr>
            <w:tcW w:w="4535" w:type="dxa"/>
            <w:vAlign w:val="center"/>
          </w:tcPr>
          <w:p w14:paraId="32DF69BF">
            <w:pPr>
              <w:pStyle w:val="12"/>
            </w:pPr>
            <w:r>
              <w:t>十八、援助其他地区支出</w:t>
            </w:r>
          </w:p>
        </w:tc>
        <w:tc>
          <w:tcPr>
            <w:tcW w:w="2126" w:type="dxa"/>
            <w:vAlign w:val="center"/>
          </w:tcPr>
          <w:p w14:paraId="6D4DF99D">
            <w:pPr>
              <w:pStyle w:val="11"/>
            </w:pPr>
          </w:p>
        </w:tc>
      </w:tr>
      <w:tr w14:paraId="22BA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C6AAE">
            <w:pPr>
              <w:pStyle w:val="13"/>
            </w:pPr>
            <w:r>
              <w:t>19</w:t>
            </w:r>
          </w:p>
        </w:tc>
        <w:tc>
          <w:tcPr>
            <w:tcW w:w="4535" w:type="dxa"/>
            <w:vAlign w:val="center"/>
          </w:tcPr>
          <w:p w14:paraId="4FA6BFB4">
            <w:pPr>
              <w:pStyle w:val="12"/>
            </w:pPr>
          </w:p>
        </w:tc>
        <w:tc>
          <w:tcPr>
            <w:tcW w:w="2126" w:type="dxa"/>
            <w:vAlign w:val="center"/>
          </w:tcPr>
          <w:p w14:paraId="6167B3CA">
            <w:pPr>
              <w:pStyle w:val="11"/>
            </w:pPr>
          </w:p>
        </w:tc>
        <w:tc>
          <w:tcPr>
            <w:tcW w:w="4535" w:type="dxa"/>
            <w:vAlign w:val="center"/>
          </w:tcPr>
          <w:p w14:paraId="5A5C0EFF">
            <w:pPr>
              <w:pStyle w:val="12"/>
            </w:pPr>
            <w:r>
              <w:t>十九、自然资源海洋气象等支出</w:t>
            </w:r>
          </w:p>
        </w:tc>
        <w:tc>
          <w:tcPr>
            <w:tcW w:w="2126" w:type="dxa"/>
            <w:vAlign w:val="center"/>
          </w:tcPr>
          <w:p w14:paraId="3BAB1EFC">
            <w:pPr>
              <w:pStyle w:val="11"/>
            </w:pPr>
          </w:p>
        </w:tc>
      </w:tr>
      <w:tr w14:paraId="7EC4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0852">
            <w:pPr>
              <w:pStyle w:val="13"/>
            </w:pPr>
            <w:r>
              <w:t>20</w:t>
            </w:r>
          </w:p>
        </w:tc>
        <w:tc>
          <w:tcPr>
            <w:tcW w:w="4535" w:type="dxa"/>
            <w:vAlign w:val="center"/>
          </w:tcPr>
          <w:p w14:paraId="06987CCB">
            <w:pPr>
              <w:pStyle w:val="12"/>
            </w:pPr>
          </w:p>
        </w:tc>
        <w:tc>
          <w:tcPr>
            <w:tcW w:w="2126" w:type="dxa"/>
            <w:vAlign w:val="center"/>
          </w:tcPr>
          <w:p w14:paraId="0B125219">
            <w:pPr>
              <w:pStyle w:val="11"/>
            </w:pPr>
          </w:p>
        </w:tc>
        <w:tc>
          <w:tcPr>
            <w:tcW w:w="4535" w:type="dxa"/>
            <w:vAlign w:val="center"/>
          </w:tcPr>
          <w:p w14:paraId="6DF607CA">
            <w:pPr>
              <w:pStyle w:val="12"/>
            </w:pPr>
            <w:r>
              <w:t>二十、住房保障支出</w:t>
            </w:r>
          </w:p>
        </w:tc>
        <w:tc>
          <w:tcPr>
            <w:tcW w:w="2126" w:type="dxa"/>
            <w:vAlign w:val="center"/>
          </w:tcPr>
          <w:p w14:paraId="523471CB">
            <w:pPr>
              <w:pStyle w:val="11"/>
            </w:pPr>
          </w:p>
        </w:tc>
      </w:tr>
      <w:tr w14:paraId="56C9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2873">
            <w:pPr>
              <w:pStyle w:val="13"/>
            </w:pPr>
            <w:r>
              <w:t>21</w:t>
            </w:r>
          </w:p>
        </w:tc>
        <w:tc>
          <w:tcPr>
            <w:tcW w:w="4535" w:type="dxa"/>
            <w:vAlign w:val="center"/>
          </w:tcPr>
          <w:p w14:paraId="10742E90">
            <w:pPr>
              <w:pStyle w:val="12"/>
            </w:pPr>
          </w:p>
        </w:tc>
        <w:tc>
          <w:tcPr>
            <w:tcW w:w="2126" w:type="dxa"/>
            <w:vAlign w:val="center"/>
          </w:tcPr>
          <w:p w14:paraId="2027ABE5">
            <w:pPr>
              <w:pStyle w:val="11"/>
            </w:pPr>
          </w:p>
        </w:tc>
        <w:tc>
          <w:tcPr>
            <w:tcW w:w="4535" w:type="dxa"/>
            <w:vAlign w:val="center"/>
          </w:tcPr>
          <w:p w14:paraId="4F090B32">
            <w:pPr>
              <w:pStyle w:val="12"/>
            </w:pPr>
            <w:r>
              <w:t>二十一、粮油物资储备支出</w:t>
            </w:r>
          </w:p>
        </w:tc>
        <w:tc>
          <w:tcPr>
            <w:tcW w:w="2126" w:type="dxa"/>
            <w:vAlign w:val="center"/>
          </w:tcPr>
          <w:p w14:paraId="6D6559A4">
            <w:pPr>
              <w:pStyle w:val="11"/>
            </w:pPr>
          </w:p>
        </w:tc>
      </w:tr>
      <w:tr w14:paraId="0BD8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AB70">
            <w:pPr>
              <w:pStyle w:val="13"/>
            </w:pPr>
            <w:r>
              <w:t>22</w:t>
            </w:r>
          </w:p>
        </w:tc>
        <w:tc>
          <w:tcPr>
            <w:tcW w:w="4535" w:type="dxa"/>
            <w:vAlign w:val="center"/>
          </w:tcPr>
          <w:p w14:paraId="0B2745AF">
            <w:pPr>
              <w:pStyle w:val="12"/>
            </w:pPr>
          </w:p>
        </w:tc>
        <w:tc>
          <w:tcPr>
            <w:tcW w:w="2126" w:type="dxa"/>
            <w:vAlign w:val="center"/>
          </w:tcPr>
          <w:p w14:paraId="44EAEFB8">
            <w:pPr>
              <w:pStyle w:val="11"/>
            </w:pPr>
          </w:p>
        </w:tc>
        <w:tc>
          <w:tcPr>
            <w:tcW w:w="4535" w:type="dxa"/>
            <w:vAlign w:val="center"/>
          </w:tcPr>
          <w:p w14:paraId="72038D2A">
            <w:pPr>
              <w:pStyle w:val="12"/>
            </w:pPr>
            <w:r>
              <w:t>二十二、国有资本经营预算支出</w:t>
            </w:r>
          </w:p>
        </w:tc>
        <w:tc>
          <w:tcPr>
            <w:tcW w:w="2126" w:type="dxa"/>
            <w:vAlign w:val="center"/>
          </w:tcPr>
          <w:p w14:paraId="6B13D9D0">
            <w:pPr>
              <w:pStyle w:val="11"/>
            </w:pPr>
          </w:p>
        </w:tc>
      </w:tr>
      <w:tr w14:paraId="7E76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C1E2">
            <w:pPr>
              <w:pStyle w:val="13"/>
            </w:pPr>
            <w:r>
              <w:t>23</w:t>
            </w:r>
          </w:p>
        </w:tc>
        <w:tc>
          <w:tcPr>
            <w:tcW w:w="4535" w:type="dxa"/>
            <w:vAlign w:val="center"/>
          </w:tcPr>
          <w:p w14:paraId="162903AB">
            <w:pPr>
              <w:pStyle w:val="12"/>
            </w:pPr>
          </w:p>
        </w:tc>
        <w:tc>
          <w:tcPr>
            <w:tcW w:w="2126" w:type="dxa"/>
            <w:vAlign w:val="center"/>
          </w:tcPr>
          <w:p w14:paraId="3DE52A45">
            <w:pPr>
              <w:pStyle w:val="11"/>
            </w:pPr>
          </w:p>
        </w:tc>
        <w:tc>
          <w:tcPr>
            <w:tcW w:w="4535" w:type="dxa"/>
            <w:vAlign w:val="center"/>
          </w:tcPr>
          <w:p w14:paraId="235D42A7">
            <w:pPr>
              <w:pStyle w:val="12"/>
            </w:pPr>
            <w:r>
              <w:t>二十三、灾害防治及应急管理支出</w:t>
            </w:r>
          </w:p>
        </w:tc>
        <w:tc>
          <w:tcPr>
            <w:tcW w:w="2126" w:type="dxa"/>
            <w:vAlign w:val="center"/>
          </w:tcPr>
          <w:p w14:paraId="65330218">
            <w:pPr>
              <w:pStyle w:val="11"/>
            </w:pPr>
          </w:p>
        </w:tc>
      </w:tr>
      <w:tr w14:paraId="1A14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5653C">
            <w:pPr>
              <w:pStyle w:val="13"/>
            </w:pPr>
            <w:r>
              <w:t>24</w:t>
            </w:r>
          </w:p>
        </w:tc>
        <w:tc>
          <w:tcPr>
            <w:tcW w:w="4535" w:type="dxa"/>
            <w:vAlign w:val="center"/>
          </w:tcPr>
          <w:p w14:paraId="4F2236CF">
            <w:pPr>
              <w:pStyle w:val="12"/>
            </w:pPr>
          </w:p>
        </w:tc>
        <w:tc>
          <w:tcPr>
            <w:tcW w:w="2126" w:type="dxa"/>
            <w:vAlign w:val="center"/>
          </w:tcPr>
          <w:p w14:paraId="6448FCF0">
            <w:pPr>
              <w:pStyle w:val="11"/>
            </w:pPr>
          </w:p>
        </w:tc>
        <w:tc>
          <w:tcPr>
            <w:tcW w:w="4535" w:type="dxa"/>
            <w:vAlign w:val="center"/>
          </w:tcPr>
          <w:p w14:paraId="410FEB00">
            <w:pPr>
              <w:pStyle w:val="12"/>
            </w:pPr>
            <w:r>
              <w:t>二十四、预备费</w:t>
            </w:r>
          </w:p>
        </w:tc>
        <w:tc>
          <w:tcPr>
            <w:tcW w:w="2126" w:type="dxa"/>
            <w:vAlign w:val="center"/>
          </w:tcPr>
          <w:p w14:paraId="1E5F7E2A">
            <w:pPr>
              <w:pStyle w:val="11"/>
            </w:pPr>
          </w:p>
        </w:tc>
      </w:tr>
      <w:tr w14:paraId="0703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CC95C">
            <w:pPr>
              <w:pStyle w:val="13"/>
            </w:pPr>
            <w:r>
              <w:t>25</w:t>
            </w:r>
          </w:p>
        </w:tc>
        <w:tc>
          <w:tcPr>
            <w:tcW w:w="4535" w:type="dxa"/>
            <w:vAlign w:val="center"/>
          </w:tcPr>
          <w:p w14:paraId="634D28FB">
            <w:pPr>
              <w:pStyle w:val="12"/>
            </w:pPr>
          </w:p>
        </w:tc>
        <w:tc>
          <w:tcPr>
            <w:tcW w:w="2126" w:type="dxa"/>
            <w:vAlign w:val="center"/>
          </w:tcPr>
          <w:p w14:paraId="7EF7939D">
            <w:pPr>
              <w:pStyle w:val="11"/>
            </w:pPr>
          </w:p>
        </w:tc>
        <w:tc>
          <w:tcPr>
            <w:tcW w:w="4535" w:type="dxa"/>
            <w:vAlign w:val="center"/>
          </w:tcPr>
          <w:p w14:paraId="7884F7E5">
            <w:pPr>
              <w:pStyle w:val="12"/>
            </w:pPr>
            <w:r>
              <w:t>二十五、其他支出</w:t>
            </w:r>
          </w:p>
        </w:tc>
        <w:tc>
          <w:tcPr>
            <w:tcW w:w="2126" w:type="dxa"/>
            <w:vAlign w:val="center"/>
          </w:tcPr>
          <w:p w14:paraId="55B14261">
            <w:pPr>
              <w:pStyle w:val="11"/>
            </w:pPr>
          </w:p>
        </w:tc>
      </w:tr>
      <w:tr w14:paraId="191C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89BE0">
            <w:pPr>
              <w:pStyle w:val="13"/>
            </w:pPr>
            <w:r>
              <w:t>26</w:t>
            </w:r>
          </w:p>
        </w:tc>
        <w:tc>
          <w:tcPr>
            <w:tcW w:w="4535" w:type="dxa"/>
            <w:vAlign w:val="center"/>
          </w:tcPr>
          <w:p w14:paraId="665EEC05">
            <w:pPr>
              <w:pStyle w:val="12"/>
            </w:pPr>
          </w:p>
        </w:tc>
        <w:tc>
          <w:tcPr>
            <w:tcW w:w="2126" w:type="dxa"/>
            <w:vAlign w:val="center"/>
          </w:tcPr>
          <w:p w14:paraId="61DD0DCF">
            <w:pPr>
              <w:pStyle w:val="11"/>
            </w:pPr>
          </w:p>
        </w:tc>
        <w:tc>
          <w:tcPr>
            <w:tcW w:w="4535" w:type="dxa"/>
            <w:vAlign w:val="center"/>
          </w:tcPr>
          <w:p w14:paraId="3128B1E1">
            <w:pPr>
              <w:pStyle w:val="12"/>
            </w:pPr>
            <w:r>
              <w:t>二十六、转移性支出</w:t>
            </w:r>
          </w:p>
        </w:tc>
        <w:tc>
          <w:tcPr>
            <w:tcW w:w="2126" w:type="dxa"/>
            <w:vAlign w:val="center"/>
          </w:tcPr>
          <w:p w14:paraId="2F2DD828">
            <w:pPr>
              <w:pStyle w:val="11"/>
            </w:pPr>
          </w:p>
        </w:tc>
      </w:tr>
      <w:tr w14:paraId="0280F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D39A">
            <w:pPr>
              <w:pStyle w:val="13"/>
            </w:pPr>
            <w:r>
              <w:t>27</w:t>
            </w:r>
          </w:p>
        </w:tc>
        <w:tc>
          <w:tcPr>
            <w:tcW w:w="4535" w:type="dxa"/>
            <w:vAlign w:val="center"/>
          </w:tcPr>
          <w:p w14:paraId="3C2CF38B">
            <w:pPr>
              <w:pStyle w:val="12"/>
            </w:pPr>
          </w:p>
        </w:tc>
        <w:tc>
          <w:tcPr>
            <w:tcW w:w="2126" w:type="dxa"/>
            <w:vAlign w:val="center"/>
          </w:tcPr>
          <w:p w14:paraId="10D63D58">
            <w:pPr>
              <w:pStyle w:val="11"/>
            </w:pPr>
          </w:p>
        </w:tc>
        <w:tc>
          <w:tcPr>
            <w:tcW w:w="4535" w:type="dxa"/>
            <w:vAlign w:val="center"/>
          </w:tcPr>
          <w:p w14:paraId="613B25E1">
            <w:pPr>
              <w:pStyle w:val="12"/>
            </w:pPr>
            <w:r>
              <w:t>二十七、债务还本支出</w:t>
            </w:r>
          </w:p>
        </w:tc>
        <w:tc>
          <w:tcPr>
            <w:tcW w:w="2126" w:type="dxa"/>
            <w:vAlign w:val="center"/>
          </w:tcPr>
          <w:p w14:paraId="4404574B">
            <w:pPr>
              <w:pStyle w:val="11"/>
            </w:pPr>
          </w:p>
        </w:tc>
      </w:tr>
      <w:tr w14:paraId="38418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7BD9A">
            <w:pPr>
              <w:pStyle w:val="13"/>
            </w:pPr>
            <w:r>
              <w:t>28</w:t>
            </w:r>
          </w:p>
        </w:tc>
        <w:tc>
          <w:tcPr>
            <w:tcW w:w="4535" w:type="dxa"/>
            <w:vAlign w:val="center"/>
          </w:tcPr>
          <w:p w14:paraId="5F4BC52C">
            <w:pPr>
              <w:pStyle w:val="12"/>
            </w:pPr>
          </w:p>
        </w:tc>
        <w:tc>
          <w:tcPr>
            <w:tcW w:w="2126" w:type="dxa"/>
            <w:vAlign w:val="center"/>
          </w:tcPr>
          <w:p w14:paraId="1AC994F5">
            <w:pPr>
              <w:pStyle w:val="11"/>
            </w:pPr>
          </w:p>
        </w:tc>
        <w:tc>
          <w:tcPr>
            <w:tcW w:w="4535" w:type="dxa"/>
            <w:vAlign w:val="center"/>
          </w:tcPr>
          <w:p w14:paraId="48F7AFBA">
            <w:pPr>
              <w:pStyle w:val="12"/>
            </w:pPr>
            <w:r>
              <w:t>二十八、债务付息支出</w:t>
            </w:r>
          </w:p>
        </w:tc>
        <w:tc>
          <w:tcPr>
            <w:tcW w:w="2126" w:type="dxa"/>
            <w:vAlign w:val="center"/>
          </w:tcPr>
          <w:p w14:paraId="6AADF6F2">
            <w:pPr>
              <w:pStyle w:val="11"/>
            </w:pPr>
          </w:p>
        </w:tc>
      </w:tr>
      <w:tr w14:paraId="4E1D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3E2C9">
            <w:pPr>
              <w:pStyle w:val="13"/>
            </w:pPr>
            <w:r>
              <w:t>29</w:t>
            </w:r>
          </w:p>
        </w:tc>
        <w:tc>
          <w:tcPr>
            <w:tcW w:w="4535" w:type="dxa"/>
            <w:vAlign w:val="center"/>
          </w:tcPr>
          <w:p w14:paraId="15B16BBB">
            <w:pPr>
              <w:pStyle w:val="12"/>
            </w:pPr>
          </w:p>
        </w:tc>
        <w:tc>
          <w:tcPr>
            <w:tcW w:w="2126" w:type="dxa"/>
            <w:vAlign w:val="center"/>
          </w:tcPr>
          <w:p w14:paraId="42981A7B">
            <w:pPr>
              <w:pStyle w:val="11"/>
            </w:pPr>
          </w:p>
        </w:tc>
        <w:tc>
          <w:tcPr>
            <w:tcW w:w="4535" w:type="dxa"/>
            <w:vAlign w:val="center"/>
          </w:tcPr>
          <w:p w14:paraId="58B015E1">
            <w:pPr>
              <w:pStyle w:val="12"/>
            </w:pPr>
            <w:r>
              <w:t>二十九、债务发行费用支出</w:t>
            </w:r>
          </w:p>
        </w:tc>
        <w:tc>
          <w:tcPr>
            <w:tcW w:w="2126" w:type="dxa"/>
            <w:vAlign w:val="center"/>
          </w:tcPr>
          <w:p w14:paraId="765FB8A7">
            <w:pPr>
              <w:pStyle w:val="11"/>
            </w:pPr>
          </w:p>
        </w:tc>
      </w:tr>
      <w:tr w14:paraId="4175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60119">
            <w:pPr>
              <w:pStyle w:val="13"/>
            </w:pPr>
            <w:r>
              <w:t>30</w:t>
            </w:r>
          </w:p>
        </w:tc>
        <w:tc>
          <w:tcPr>
            <w:tcW w:w="4535" w:type="dxa"/>
            <w:vAlign w:val="center"/>
          </w:tcPr>
          <w:p w14:paraId="5A40BA3C">
            <w:pPr>
              <w:pStyle w:val="12"/>
            </w:pPr>
          </w:p>
        </w:tc>
        <w:tc>
          <w:tcPr>
            <w:tcW w:w="2126" w:type="dxa"/>
            <w:vAlign w:val="center"/>
          </w:tcPr>
          <w:p w14:paraId="583CCDC9">
            <w:pPr>
              <w:pStyle w:val="11"/>
            </w:pPr>
          </w:p>
        </w:tc>
        <w:tc>
          <w:tcPr>
            <w:tcW w:w="4535" w:type="dxa"/>
            <w:vAlign w:val="center"/>
          </w:tcPr>
          <w:p w14:paraId="0DFC3F8B">
            <w:pPr>
              <w:pStyle w:val="12"/>
            </w:pPr>
            <w:r>
              <w:t>三十、抗疫特别国债安排的支出</w:t>
            </w:r>
          </w:p>
        </w:tc>
        <w:tc>
          <w:tcPr>
            <w:tcW w:w="2126" w:type="dxa"/>
            <w:vAlign w:val="center"/>
          </w:tcPr>
          <w:p w14:paraId="55FDE0F1">
            <w:pPr>
              <w:pStyle w:val="11"/>
            </w:pPr>
          </w:p>
        </w:tc>
      </w:tr>
      <w:tr w14:paraId="3EEF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C3FC">
            <w:pPr>
              <w:pStyle w:val="13"/>
            </w:pPr>
            <w:r>
              <w:t>31</w:t>
            </w:r>
          </w:p>
        </w:tc>
        <w:tc>
          <w:tcPr>
            <w:tcW w:w="4535" w:type="dxa"/>
            <w:vAlign w:val="center"/>
          </w:tcPr>
          <w:p w14:paraId="09A13BD7">
            <w:pPr>
              <w:pStyle w:val="14"/>
            </w:pPr>
            <w:r>
              <w:t>本年收入合计</w:t>
            </w:r>
          </w:p>
        </w:tc>
        <w:tc>
          <w:tcPr>
            <w:tcW w:w="2126" w:type="dxa"/>
            <w:vAlign w:val="center"/>
          </w:tcPr>
          <w:p w14:paraId="219CE695">
            <w:pPr>
              <w:pStyle w:val="15"/>
            </w:pPr>
            <w:r>
              <w:t>1350.68</w:t>
            </w:r>
          </w:p>
        </w:tc>
        <w:tc>
          <w:tcPr>
            <w:tcW w:w="4535" w:type="dxa"/>
            <w:vAlign w:val="center"/>
          </w:tcPr>
          <w:p w14:paraId="50880EB5">
            <w:pPr>
              <w:pStyle w:val="14"/>
            </w:pPr>
            <w:r>
              <w:t>本年支出合计</w:t>
            </w:r>
          </w:p>
        </w:tc>
        <w:tc>
          <w:tcPr>
            <w:tcW w:w="2126" w:type="dxa"/>
            <w:vAlign w:val="center"/>
          </w:tcPr>
          <w:p w14:paraId="4D3EA219">
            <w:pPr>
              <w:pStyle w:val="15"/>
            </w:pPr>
            <w:r>
              <w:t>1350.68</w:t>
            </w:r>
          </w:p>
        </w:tc>
      </w:tr>
      <w:tr w14:paraId="7F08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60DD9">
            <w:pPr>
              <w:pStyle w:val="13"/>
            </w:pPr>
            <w:r>
              <w:t>32</w:t>
            </w:r>
          </w:p>
        </w:tc>
        <w:tc>
          <w:tcPr>
            <w:tcW w:w="4535" w:type="dxa"/>
            <w:vAlign w:val="center"/>
          </w:tcPr>
          <w:p w14:paraId="26A362C4">
            <w:pPr>
              <w:pStyle w:val="12"/>
            </w:pPr>
            <w:r>
              <w:t>上年结转结余</w:t>
            </w:r>
          </w:p>
        </w:tc>
        <w:tc>
          <w:tcPr>
            <w:tcW w:w="2126" w:type="dxa"/>
            <w:vAlign w:val="center"/>
          </w:tcPr>
          <w:p w14:paraId="778F7427">
            <w:pPr>
              <w:pStyle w:val="11"/>
            </w:pPr>
          </w:p>
        </w:tc>
        <w:tc>
          <w:tcPr>
            <w:tcW w:w="4535" w:type="dxa"/>
            <w:vAlign w:val="center"/>
          </w:tcPr>
          <w:p w14:paraId="3C201821">
            <w:pPr>
              <w:pStyle w:val="12"/>
            </w:pPr>
            <w:r>
              <w:t>年终结转结余</w:t>
            </w:r>
          </w:p>
        </w:tc>
        <w:tc>
          <w:tcPr>
            <w:tcW w:w="2126" w:type="dxa"/>
            <w:vAlign w:val="center"/>
          </w:tcPr>
          <w:p w14:paraId="3F22E68F">
            <w:pPr>
              <w:pStyle w:val="11"/>
            </w:pPr>
          </w:p>
        </w:tc>
      </w:tr>
      <w:tr w14:paraId="5D16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D3D8">
            <w:pPr>
              <w:pStyle w:val="13"/>
            </w:pPr>
            <w:r>
              <w:t>33</w:t>
            </w:r>
          </w:p>
        </w:tc>
        <w:tc>
          <w:tcPr>
            <w:tcW w:w="4535" w:type="dxa"/>
            <w:vAlign w:val="center"/>
          </w:tcPr>
          <w:p w14:paraId="263BF0F1">
            <w:pPr>
              <w:pStyle w:val="14"/>
            </w:pPr>
            <w:r>
              <w:t>收入总计</w:t>
            </w:r>
          </w:p>
        </w:tc>
        <w:tc>
          <w:tcPr>
            <w:tcW w:w="2126" w:type="dxa"/>
            <w:vAlign w:val="center"/>
          </w:tcPr>
          <w:p w14:paraId="67AF5632">
            <w:pPr>
              <w:pStyle w:val="15"/>
            </w:pPr>
            <w:r>
              <w:t>1350.68</w:t>
            </w:r>
          </w:p>
        </w:tc>
        <w:tc>
          <w:tcPr>
            <w:tcW w:w="4535" w:type="dxa"/>
            <w:vAlign w:val="center"/>
          </w:tcPr>
          <w:p w14:paraId="42CE65D3">
            <w:pPr>
              <w:pStyle w:val="14"/>
            </w:pPr>
            <w:r>
              <w:t>支出总计</w:t>
            </w:r>
          </w:p>
        </w:tc>
        <w:tc>
          <w:tcPr>
            <w:tcW w:w="2126" w:type="dxa"/>
            <w:vAlign w:val="center"/>
          </w:tcPr>
          <w:p w14:paraId="00997AE0">
            <w:pPr>
              <w:pStyle w:val="15"/>
            </w:pPr>
            <w:r>
              <w:t>1350.68</w:t>
            </w:r>
          </w:p>
        </w:tc>
      </w:tr>
    </w:tbl>
    <w:p w14:paraId="25257A42">
      <w:pPr>
        <w:sectPr>
          <w:pgSz w:w="16840" w:h="11900" w:orient="landscape"/>
          <w:pgMar w:top="1361" w:right="1020" w:bottom="1134" w:left="1020" w:header="720" w:footer="720" w:gutter="0"/>
          <w:cols w:space="720" w:num="1"/>
        </w:sectPr>
      </w:pPr>
    </w:p>
    <w:p w14:paraId="54E809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43C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CA562C">
            <w:pPr>
              <w:pStyle w:val="9"/>
            </w:pPr>
            <w:r>
              <w:t>360038隆尧县第五实验小学</w:t>
            </w:r>
          </w:p>
        </w:tc>
        <w:tc>
          <w:tcPr>
            <w:tcW w:w="3402" w:type="dxa"/>
            <w:gridSpan w:val="3"/>
            <w:tcBorders>
              <w:top w:val="single" w:color="FFFFFF" w:sz="6" w:space="0"/>
              <w:left w:val="single" w:color="FFFFFF" w:sz="6" w:space="0"/>
              <w:right w:val="single" w:color="FFFFFF" w:sz="6" w:space="0"/>
            </w:tcBorders>
            <w:vAlign w:val="center"/>
          </w:tcPr>
          <w:p w14:paraId="1265AA6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1EEF04F">
            <w:pPr>
              <w:pStyle w:val="7"/>
            </w:pPr>
            <w:r>
              <w:t>单位：万元</w:t>
            </w:r>
          </w:p>
        </w:tc>
      </w:tr>
      <w:tr w14:paraId="24EB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2AA84F">
            <w:pPr>
              <w:pStyle w:val="10"/>
            </w:pPr>
            <w:r>
              <w:t>序号</w:t>
            </w:r>
          </w:p>
        </w:tc>
        <w:tc>
          <w:tcPr>
            <w:tcW w:w="2551" w:type="dxa"/>
            <w:gridSpan w:val="2"/>
            <w:vAlign w:val="center"/>
          </w:tcPr>
          <w:p w14:paraId="561C499A">
            <w:pPr>
              <w:pStyle w:val="10"/>
            </w:pPr>
            <w:r>
              <w:t>功能分类科目</w:t>
            </w:r>
          </w:p>
        </w:tc>
        <w:tc>
          <w:tcPr>
            <w:tcW w:w="1134" w:type="dxa"/>
            <w:vMerge w:val="restart"/>
            <w:vAlign w:val="center"/>
          </w:tcPr>
          <w:p w14:paraId="22176250">
            <w:pPr>
              <w:pStyle w:val="10"/>
            </w:pPr>
            <w:r>
              <w:t>合计</w:t>
            </w:r>
          </w:p>
        </w:tc>
        <w:tc>
          <w:tcPr>
            <w:tcW w:w="9072" w:type="dxa"/>
            <w:gridSpan w:val="8"/>
            <w:vAlign w:val="center"/>
          </w:tcPr>
          <w:p w14:paraId="54F83FC9">
            <w:pPr>
              <w:pStyle w:val="10"/>
            </w:pPr>
            <w:r>
              <w:t>本年收入</w:t>
            </w:r>
          </w:p>
        </w:tc>
        <w:tc>
          <w:tcPr>
            <w:tcW w:w="1134" w:type="dxa"/>
            <w:vMerge w:val="restart"/>
            <w:vAlign w:val="center"/>
          </w:tcPr>
          <w:p w14:paraId="69BA483A">
            <w:pPr>
              <w:pStyle w:val="10"/>
            </w:pPr>
            <w:r>
              <w:t>上年结转</w:t>
            </w:r>
          </w:p>
        </w:tc>
      </w:tr>
      <w:tr w14:paraId="5293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152D71"/>
        </w:tc>
        <w:tc>
          <w:tcPr>
            <w:tcW w:w="992" w:type="dxa"/>
            <w:vAlign w:val="center"/>
          </w:tcPr>
          <w:p w14:paraId="125B48A9">
            <w:pPr>
              <w:pStyle w:val="10"/>
            </w:pPr>
            <w:r>
              <w:t>科目    编码</w:t>
            </w:r>
          </w:p>
        </w:tc>
        <w:tc>
          <w:tcPr>
            <w:tcW w:w="1559" w:type="dxa"/>
            <w:vAlign w:val="center"/>
          </w:tcPr>
          <w:p w14:paraId="70DE4A41">
            <w:pPr>
              <w:pStyle w:val="10"/>
            </w:pPr>
            <w:r>
              <w:t>科目名称</w:t>
            </w:r>
          </w:p>
        </w:tc>
        <w:tc>
          <w:tcPr>
            <w:tcW w:w="1134" w:type="dxa"/>
            <w:vMerge w:val="continue"/>
          </w:tcPr>
          <w:p w14:paraId="0F88F3E6"/>
        </w:tc>
        <w:tc>
          <w:tcPr>
            <w:tcW w:w="1134" w:type="dxa"/>
            <w:vAlign w:val="center"/>
          </w:tcPr>
          <w:p w14:paraId="47DB964A">
            <w:pPr>
              <w:pStyle w:val="10"/>
            </w:pPr>
            <w:r>
              <w:t>小计</w:t>
            </w:r>
          </w:p>
        </w:tc>
        <w:tc>
          <w:tcPr>
            <w:tcW w:w="1134" w:type="dxa"/>
            <w:vAlign w:val="center"/>
          </w:tcPr>
          <w:p w14:paraId="651D4C38">
            <w:pPr>
              <w:pStyle w:val="10"/>
            </w:pPr>
            <w:r>
              <w:t>财政拨款 收入</w:t>
            </w:r>
          </w:p>
        </w:tc>
        <w:tc>
          <w:tcPr>
            <w:tcW w:w="1134" w:type="dxa"/>
            <w:vAlign w:val="center"/>
          </w:tcPr>
          <w:p w14:paraId="0C6FD68F">
            <w:pPr>
              <w:pStyle w:val="10"/>
            </w:pPr>
            <w:r>
              <w:t>财政专户 收入</w:t>
            </w:r>
          </w:p>
        </w:tc>
        <w:tc>
          <w:tcPr>
            <w:tcW w:w="1134" w:type="dxa"/>
            <w:vAlign w:val="center"/>
          </w:tcPr>
          <w:p w14:paraId="3C185513">
            <w:pPr>
              <w:pStyle w:val="10"/>
            </w:pPr>
            <w:r>
              <w:t>事业收入</w:t>
            </w:r>
          </w:p>
        </w:tc>
        <w:tc>
          <w:tcPr>
            <w:tcW w:w="1134" w:type="dxa"/>
            <w:vAlign w:val="center"/>
          </w:tcPr>
          <w:p w14:paraId="64E88DDA">
            <w:pPr>
              <w:pStyle w:val="10"/>
            </w:pPr>
            <w:r>
              <w:t>经营收入</w:t>
            </w:r>
          </w:p>
        </w:tc>
        <w:tc>
          <w:tcPr>
            <w:tcW w:w="1134" w:type="dxa"/>
            <w:vAlign w:val="center"/>
          </w:tcPr>
          <w:p w14:paraId="7AEB0CDF">
            <w:pPr>
              <w:pStyle w:val="10"/>
            </w:pPr>
            <w:r>
              <w:t>上级补助收入</w:t>
            </w:r>
          </w:p>
        </w:tc>
        <w:tc>
          <w:tcPr>
            <w:tcW w:w="1134" w:type="dxa"/>
            <w:vAlign w:val="center"/>
          </w:tcPr>
          <w:p w14:paraId="4BCC5327">
            <w:pPr>
              <w:pStyle w:val="10"/>
            </w:pPr>
            <w:r>
              <w:t>附属单位上缴收入</w:t>
            </w:r>
          </w:p>
        </w:tc>
        <w:tc>
          <w:tcPr>
            <w:tcW w:w="1134" w:type="dxa"/>
            <w:vAlign w:val="center"/>
          </w:tcPr>
          <w:p w14:paraId="1ECA0A45">
            <w:pPr>
              <w:pStyle w:val="10"/>
            </w:pPr>
            <w:r>
              <w:t>其他收入</w:t>
            </w:r>
          </w:p>
        </w:tc>
        <w:tc>
          <w:tcPr>
            <w:tcW w:w="1134" w:type="dxa"/>
            <w:vMerge w:val="continue"/>
          </w:tcPr>
          <w:p w14:paraId="2AACFA2C"/>
        </w:tc>
      </w:tr>
      <w:tr w14:paraId="121E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19E1D0F">
            <w:pPr>
              <w:pStyle w:val="10"/>
            </w:pPr>
            <w:r>
              <w:t>栏次</w:t>
            </w:r>
          </w:p>
        </w:tc>
        <w:tc>
          <w:tcPr>
            <w:tcW w:w="992" w:type="dxa"/>
            <w:vAlign w:val="center"/>
          </w:tcPr>
          <w:p w14:paraId="39318678">
            <w:pPr>
              <w:pStyle w:val="10"/>
            </w:pPr>
            <w:r>
              <w:t>1</w:t>
            </w:r>
          </w:p>
        </w:tc>
        <w:tc>
          <w:tcPr>
            <w:tcW w:w="1559" w:type="dxa"/>
            <w:vAlign w:val="center"/>
          </w:tcPr>
          <w:p w14:paraId="7E473363">
            <w:pPr>
              <w:pStyle w:val="10"/>
            </w:pPr>
            <w:r>
              <w:t>2</w:t>
            </w:r>
          </w:p>
        </w:tc>
        <w:tc>
          <w:tcPr>
            <w:tcW w:w="1134" w:type="dxa"/>
            <w:vAlign w:val="center"/>
          </w:tcPr>
          <w:p w14:paraId="6B6D8D3C">
            <w:pPr>
              <w:pStyle w:val="10"/>
            </w:pPr>
            <w:r>
              <w:t>3</w:t>
            </w:r>
          </w:p>
        </w:tc>
        <w:tc>
          <w:tcPr>
            <w:tcW w:w="1134" w:type="dxa"/>
            <w:vAlign w:val="center"/>
          </w:tcPr>
          <w:p w14:paraId="38C3D42A">
            <w:pPr>
              <w:pStyle w:val="10"/>
            </w:pPr>
            <w:r>
              <w:t>4</w:t>
            </w:r>
          </w:p>
        </w:tc>
        <w:tc>
          <w:tcPr>
            <w:tcW w:w="1134" w:type="dxa"/>
            <w:vAlign w:val="center"/>
          </w:tcPr>
          <w:p w14:paraId="5FDC74A9">
            <w:pPr>
              <w:pStyle w:val="10"/>
            </w:pPr>
            <w:r>
              <w:t>5</w:t>
            </w:r>
          </w:p>
        </w:tc>
        <w:tc>
          <w:tcPr>
            <w:tcW w:w="1134" w:type="dxa"/>
            <w:vAlign w:val="center"/>
          </w:tcPr>
          <w:p w14:paraId="7C91A193">
            <w:pPr>
              <w:pStyle w:val="10"/>
            </w:pPr>
            <w:r>
              <w:t>6</w:t>
            </w:r>
          </w:p>
        </w:tc>
        <w:tc>
          <w:tcPr>
            <w:tcW w:w="1134" w:type="dxa"/>
            <w:vAlign w:val="center"/>
          </w:tcPr>
          <w:p w14:paraId="5C07F3F6">
            <w:pPr>
              <w:pStyle w:val="10"/>
            </w:pPr>
            <w:r>
              <w:t>7</w:t>
            </w:r>
          </w:p>
        </w:tc>
        <w:tc>
          <w:tcPr>
            <w:tcW w:w="1134" w:type="dxa"/>
            <w:vAlign w:val="center"/>
          </w:tcPr>
          <w:p w14:paraId="35E7A2AF">
            <w:pPr>
              <w:pStyle w:val="10"/>
            </w:pPr>
            <w:r>
              <w:t>8</w:t>
            </w:r>
          </w:p>
        </w:tc>
        <w:tc>
          <w:tcPr>
            <w:tcW w:w="1134" w:type="dxa"/>
            <w:vAlign w:val="center"/>
          </w:tcPr>
          <w:p w14:paraId="1113D340">
            <w:pPr>
              <w:pStyle w:val="10"/>
            </w:pPr>
            <w:r>
              <w:t>9</w:t>
            </w:r>
          </w:p>
        </w:tc>
        <w:tc>
          <w:tcPr>
            <w:tcW w:w="1134" w:type="dxa"/>
            <w:vAlign w:val="center"/>
          </w:tcPr>
          <w:p w14:paraId="11179AEE">
            <w:pPr>
              <w:pStyle w:val="10"/>
            </w:pPr>
            <w:r>
              <w:t>10</w:t>
            </w:r>
          </w:p>
        </w:tc>
        <w:tc>
          <w:tcPr>
            <w:tcW w:w="1134" w:type="dxa"/>
            <w:vAlign w:val="center"/>
          </w:tcPr>
          <w:p w14:paraId="123512EE">
            <w:pPr>
              <w:pStyle w:val="10"/>
            </w:pPr>
            <w:r>
              <w:t>11</w:t>
            </w:r>
          </w:p>
        </w:tc>
        <w:tc>
          <w:tcPr>
            <w:tcW w:w="1134" w:type="dxa"/>
            <w:vAlign w:val="center"/>
          </w:tcPr>
          <w:p w14:paraId="66C31871">
            <w:pPr>
              <w:pStyle w:val="10"/>
            </w:pPr>
            <w:r>
              <w:t>12</w:t>
            </w:r>
          </w:p>
        </w:tc>
      </w:tr>
      <w:tr w14:paraId="42B6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84F14">
            <w:pPr>
              <w:pStyle w:val="13"/>
            </w:pPr>
            <w:r>
              <w:t>1</w:t>
            </w:r>
          </w:p>
        </w:tc>
        <w:tc>
          <w:tcPr>
            <w:tcW w:w="992" w:type="dxa"/>
            <w:vAlign w:val="center"/>
          </w:tcPr>
          <w:p w14:paraId="0D97596F">
            <w:pPr>
              <w:pStyle w:val="16"/>
            </w:pPr>
          </w:p>
        </w:tc>
        <w:tc>
          <w:tcPr>
            <w:tcW w:w="1559" w:type="dxa"/>
            <w:vAlign w:val="center"/>
          </w:tcPr>
          <w:p w14:paraId="3C10B2DA">
            <w:pPr>
              <w:pStyle w:val="14"/>
            </w:pPr>
            <w:r>
              <w:t>合计</w:t>
            </w:r>
          </w:p>
        </w:tc>
        <w:tc>
          <w:tcPr>
            <w:tcW w:w="1134" w:type="dxa"/>
            <w:vAlign w:val="center"/>
          </w:tcPr>
          <w:p w14:paraId="16902188">
            <w:pPr>
              <w:pStyle w:val="15"/>
            </w:pPr>
            <w:r>
              <w:t>1350.68</w:t>
            </w:r>
          </w:p>
        </w:tc>
        <w:tc>
          <w:tcPr>
            <w:tcW w:w="1134" w:type="dxa"/>
            <w:vAlign w:val="center"/>
          </w:tcPr>
          <w:p w14:paraId="5A4B5F30">
            <w:pPr>
              <w:pStyle w:val="15"/>
            </w:pPr>
            <w:r>
              <w:t>1350.68</w:t>
            </w:r>
          </w:p>
        </w:tc>
        <w:tc>
          <w:tcPr>
            <w:tcW w:w="1134" w:type="dxa"/>
            <w:vAlign w:val="center"/>
          </w:tcPr>
          <w:p w14:paraId="4D5D6ECD">
            <w:pPr>
              <w:pStyle w:val="15"/>
            </w:pPr>
            <w:r>
              <w:t>1350.68</w:t>
            </w:r>
          </w:p>
        </w:tc>
        <w:tc>
          <w:tcPr>
            <w:tcW w:w="1134" w:type="dxa"/>
            <w:vAlign w:val="center"/>
          </w:tcPr>
          <w:p w14:paraId="425FC96E">
            <w:pPr>
              <w:pStyle w:val="15"/>
            </w:pPr>
          </w:p>
        </w:tc>
        <w:tc>
          <w:tcPr>
            <w:tcW w:w="1134" w:type="dxa"/>
            <w:vAlign w:val="center"/>
          </w:tcPr>
          <w:p w14:paraId="77E9C285">
            <w:pPr>
              <w:pStyle w:val="15"/>
            </w:pPr>
          </w:p>
        </w:tc>
        <w:tc>
          <w:tcPr>
            <w:tcW w:w="1134" w:type="dxa"/>
            <w:vAlign w:val="center"/>
          </w:tcPr>
          <w:p w14:paraId="37A86B97">
            <w:pPr>
              <w:pStyle w:val="15"/>
            </w:pPr>
          </w:p>
        </w:tc>
        <w:tc>
          <w:tcPr>
            <w:tcW w:w="1134" w:type="dxa"/>
            <w:vAlign w:val="center"/>
          </w:tcPr>
          <w:p w14:paraId="5BB8F524">
            <w:pPr>
              <w:pStyle w:val="15"/>
            </w:pPr>
          </w:p>
        </w:tc>
        <w:tc>
          <w:tcPr>
            <w:tcW w:w="1134" w:type="dxa"/>
            <w:vAlign w:val="center"/>
          </w:tcPr>
          <w:p w14:paraId="3019AF38">
            <w:pPr>
              <w:pStyle w:val="15"/>
            </w:pPr>
          </w:p>
        </w:tc>
        <w:tc>
          <w:tcPr>
            <w:tcW w:w="1134" w:type="dxa"/>
            <w:vAlign w:val="center"/>
          </w:tcPr>
          <w:p w14:paraId="0D72AB69">
            <w:pPr>
              <w:pStyle w:val="15"/>
            </w:pPr>
          </w:p>
        </w:tc>
        <w:tc>
          <w:tcPr>
            <w:tcW w:w="1134" w:type="dxa"/>
            <w:vAlign w:val="center"/>
          </w:tcPr>
          <w:p w14:paraId="6E93A264">
            <w:pPr>
              <w:pStyle w:val="15"/>
            </w:pPr>
          </w:p>
        </w:tc>
      </w:tr>
      <w:tr w14:paraId="660F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FB328">
            <w:pPr>
              <w:pStyle w:val="13"/>
            </w:pPr>
            <w:r>
              <w:t>2</w:t>
            </w:r>
          </w:p>
        </w:tc>
        <w:tc>
          <w:tcPr>
            <w:tcW w:w="992" w:type="dxa"/>
            <w:vAlign w:val="center"/>
          </w:tcPr>
          <w:p w14:paraId="3E1204B6">
            <w:pPr>
              <w:pStyle w:val="12"/>
            </w:pPr>
            <w:r>
              <w:t>205</w:t>
            </w:r>
          </w:p>
        </w:tc>
        <w:tc>
          <w:tcPr>
            <w:tcW w:w="1559" w:type="dxa"/>
            <w:vAlign w:val="center"/>
          </w:tcPr>
          <w:p w14:paraId="6FCBC98D">
            <w:pPr>
              <w:pStyle w:val="12"/>
            </w:pPr>
            <w:r>
              <w:t>教育支出</w:t>
            </w:r>
          </w:p>
        </w:tc>
        <w:tc>
          <w:tcPr>
            <w:tcW w:w="1134" w:type="dxa"/>
            <w:vAlign w:val="center"/>
          </w:tcPr>
          <w:p w14:paraId="3502D300">
            <w:pPr>
              <w:pStyle w:val="11"/>
            </w:pPr>
            <w:r>
              <w:t>1350.68</w:t>
            </w:r>
          </w:p>
        </w:tc>
        <w:tc>
          <w:tcPr>
            <w:tcW w:w="1134" w:type="dxa"/>
            <w:vAlign w:val="center"/>
          </w:tcPr>
          <w:p w14:paraId="566097E9">
            <w:pPr>
              <w:pStyle w:val="11"/>
            </w:pPr>
            <w:r>
              <w:t>1350.68</w:t>
            </w:r>
          </w:p>
        </w:tc>
        <w:tc>
          <w:tcPr>
            <w:tcW w:w="1134" w:type="dxa"/>
            <w:vAlign w:val="center"/>
          </w:tcPr>
          <w:p w14:paraId="274CD572">
            <w:pPr>
              <w:pStyle w:val="11"/>
            </w:pPr>
            <w:r>
              <w:t>1350.68</w:t>
            </w:r>
          </w:p>
        </w:tc>
        <w:tc>
          <w:tcPr>
            <w:tcW w:w="1134" w:type="dxa"/>
            <w:vAlign w:val="center"/>
          </w:tcPr>
          <w:p w14:paraId="20EAB8D0">
            <w:pPr>
              <w:pStyle w:val="11"/>
            </w:pPr>
          </w:p>
        </w:tc>
        <w:tc>
          <w:tcPr>
            <w:tcW w:w="1134" w:type="dxa"/>
            <w:vAlign w:val="center"/>
          </w:tcPr>
          <w:p w14:paraId="6512C9D1">
            <w:pPr>
              <w:pStyle w:val="11"/>
            </w:pPr>
          </w:p>
        </w:tc>
        <w:tc>
          <w:tcPr>
            <w:tcW w:w="1134" w:type="dxa"/>
            <w:vAlign w:val="center"/>
          </w:tcPr>
          <w:p w14:paraId="3C8E2DA1">
            <w:pPr>
              <w:pStyle w:val="11"/>
            </w:pPr>
          </w:p>
        </w:tc>
        <w:tc>
          <w:tcPr>
            <w:tcW w:w="1134" w:type="dxa"/>
            <w:vAlign w:val="center"/>
          </w:tcPr>
          <w:p w14:paraId="2AB277AB">
            <w:pPr>
              <w:pStyle w:val="11"/>
            </w:pPr>
          </w:p>
        </w:tc>
        <w:tc>
          <w:tcPr>
            <w:tcW w:w="1134" w:type="dxa"/>
            <w:vAlign w:val="center"/>
          </w:tcPr>
          <w:p w14:paraId="4ADCEC19">
            <w:pPr>
              <w:pStyle w:val="11"/>
            </w:pPr>
          </w:p>
        </w:tc>
        <w:tc>
          <w:tcPr>
            <w:tcW w:w="1134" w:type="dxa"/>
            <w:vAlign w:val="center"/>
          </w:tcPr>
          <w:p w14:paraId="33042873">
            <w:pPr>
              <w:pStyle w:val="11"/>
            </w:pPr>
          </w:p>
        </w:tc>
        <w:tc>
          <w:tcPr>
            <w:tcW w:w="1134" w:type="dxa"/>
            <w:vAlign w:val="center"/>
          </w:tcPr>
          <w:p w14:paraId="6BB0B8B3">
            <w:pPr>
              <w:pStyle w:val="11"/>
            </w:pPr>
          </w:p>
        </w:tc>
      </w:tr>
      <w:tr w14:paraId="4535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CFBE0">
            <w:pPr>
              <w:pStyle w:val="13"/>
            </w:pPr>
            <w:r>
              <w:t>3</w:t>
            </w:r>
          </w:p>
        </w:tc>
        <w:tc>
          <w:tcPr>
            <w:tcW w:w="992" w:type="dxa"/>
            <w:vAlign w:val="center"/>
          </w:tcPr>
          <w:p w14:paraId="562B5747">
            <w:pPr>
              <w:pStyle w:val="12"/>
            </w:pPr>
            <w:r>
              <w:t>20502</w:t>
            </w:r>
          </w:p>
        </w:tc>
        <w:tc>
          <w:tcPr>
            <w:tcW w:w="1559" w:type="dxa"/>
            <w:vAlign w:val="center"/>
          </w:tcPr>
          <w:p w14:paraId="20526C5D">
            <w:pPr>
              <w:pStyle w:val="12"/>
            </w:pPr>
            <w:r>
              <w:t>普通教育</w:t>
            </w:r>
          </w:p>
        </w:tc>
        <w:tc>
          <w:tcPr>
            <w:tcW w:w="1134" w:type="dxa"/>
            <w:vAlign w:val="center"/>
          </w:tcPr>
          <w:p w14:paraId="5ACA3872">
            <w:pPr>
              <w:pStyle w:val="11"/>
            </w:pPr>
            <w:r>
              <w:t>1350.68</w:t>
            </w:r>
          </w:p>
        </w:tc>
        <w:tc>
          <w:tcPr>
            <w:tcW w:w="1134" w:type="dxa"/>
            <w:vAlign w:val="center"/>
          </w:tcPr>
          <w:p w14:paraId="1E7D84A1">
            <w:pPr>
              <w:pStyle w:val="11"/>
            </w:pPr>
            <w:r>
              <w:t>1350.68</w:t>
            </w:r>
          </w:p>
        </w:tc>
        <w:tc>
          <w:tcPr>
            <w:tcW w:w="1134" w:type="dxa"/>
            <w:vAlign w:val="center"/>
          </w:tcPr>
          <w:p w14:paraId="1FADB55D">
            <w:pPr>
              <w:pStyle w:val="11"/>
            </w:pPr>
            <w:r>
              <w:t>1350.68</w:t>
            </w:r>
          </w:p>
        </w:tc>
        <w:tc>
          <w:tcPr>
            <w:tcW w:w="1134" w:type="dxa"/>
            <w:vAlign w:val="center"/>
          </w:tcPr>
          <w:p w14:paraId="3D007BBC">
            <w:pPr>
              <w:pStyle w:val="11"/>
            </w:pPr>
          </w:p>
        </w:tc>
        <w:tc>
          <w:tcPr>
            <w:tcW w:w="1134" w:type="dxa"/>
            <w:vAlign w:val="center"/>
          </w:tcPr>
          <w:p w14:paraId="710FF038">
            <w:pPr>
              <w:pStyle w:val="11"/>
            </w:pPr>
          </w:p>
        </w:tc>
        <w:tc>
          <w:tcPr>
            <w:tcW w:w="1134" w:type="dxa"/>
            <w:vAlign w:val="center"/>
          </w:tcPr>
          <w:p w14:paraId="09D6CC6F">
            <w:pPr>
              <w:pStyle w:val="11"/>
            </w:pPr>
          </w:p>
        </w:tc>
        <w:tc>
          <w:tcPr>
            <w:tcW w:w="1134" w:type="dxa"/>
            <w:vAlign w:val="center"/>
          </w:tcPr>
          <w:p w14:paraId="7ECCB300">
            <w:pPr>
              <w:pStyle w:val="11"/>
            </w:pPr>
          </w:p>
        </w:tc>
        <w:tc>
          <w:tcPr>
            <w:tcW w:w="1134" w:type="dxa"/>
            <w:vAlign w:val="center"/>
          </w:tcPr>
          <w:p w14:paraId="553F0535">
            <w:pPr>
              <w:pStyle w:val="11"/>
            </w:pPr>
          </w:p>
        </w:tc>
        <w:tc>
          <w:tcPr>
            <w:tcW w:w="1134" w:type="dxa"/>
            <w:vAlign w:val="center"/>
          </w:tcPr>
          <w:p w14:paraId="7D1E8202">
            <w:pPr>
              <w:pStyle w:val="11"/>
            </w:pPr>
          </w:p>
        </w:tc>
        <w:tc>
          <w:tcPr>
            <w:tcW w:w="1134" w:type="dxa"/>
            <w:vAlign w:val="center"/>
          </w:tcPr>
          <w:p w14:paraId="0D0D82A8">
            <w:pPr>
              <w:pStyle w:val="11"/>
            </w:pPr>
          </w:p>
        </w:tc>
      </w:tr>
      <w:tr w14:paraId="52DF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F216D">
            <w:pPr>
              <w:pStyle w:val="13"/>
            </w:pPr>
            <w:r>
              <w:t>4</w:t>
            </w:r>
          </w:p>
        </w:tc>
        <w:tc>
          <w:tcPr>
            <w:tcW w:w="992" w:type="dxa"/>
            <w:vAlign w:val="center"/>
          </w:tcPr>
          <w:p w14:paraId="4EA3F0E4">
            <w:pPr>
              <w:pStyle w:val="12"/>
            </w:pPr>
            <w:r>
              <w:t>2050202</w:t>
            </w:r>
          </w:p>
        </w:tc>
        <w:tc>
          <w:tcPr>
            <w:tcW w:w="1559" w:type="dxa"/>
            <w:vAlign w:val="center"/>
          </w:tcPr>
          <w:p w14:paraId="2FD27DE5">
            <w:pPr>
              <w:pStyle w:val="12"/>
            </w:pPr>
            <w:r>
              <w:t>小学教育</w:t>
            </w:r>
          </w:p>
        </w:tc>
        <w:tc>
          <w:tcPr>
            <w:tcW w:w="1134" w:type="dxa"/>
            <w:vAlign w:val="center"/>
          </w:tcPr>
          <w:p w14:paraId="3C7B60FF">
            <w:pPr>
              <w:pStyle w:val="11"/>
            </w:pPr>
            <w:r>
              <w:t>1350.68</w:t>
            </w:r>
          </w:p>
        </w:tc>
        <w:tc>
          <w:tcPr>
            <w:tcW w:w="1134" w:type="dxa"/>
            <w:vAlign w:val="center"/>
          </w:tcPr>
          <w:p w14:paraId="75035C0F">
            <w:pPr>
              <w:pStyle w:val="11"/>
            </w:pPr>
            <w:r>
              <w:t>1350.68</w:t>
            </w:r>
          </w:p>
        </w:tc>
        <w:tc>
          <w:tcPr>
            <w:tcW w:w="1134" w:type="dxa"/>
            <w:vAlign w:val="center"/>
          </w:tcPr>
          <w:p w14:paraId="05D10056">
            <w:pPr>
              <w:pStyle w:val="11"/>
            </w:pPr>
            <w:r>
              <w:t>1350.68</w:t>
            </w:r>
          </w:p>
        </w:tc>
        <w:tc>
          <w:tcPr>
            <w:tcW w:w="1134" w:type="dxa"/>
            <w:vAlign w:val="center"/>
          </w:tcPr>
          <w:p w14:paraId="4425C076">
            <w:pPr>
              <w:pStyle w:val="11"/>
            </w:pPr>
          </w:p>
        </w:tc>
        <w:tc>
          <w:tcPr>
            <w:tcW w:w="1134" w:type="dxa"/>
            <w:vAlign w:val="center"/>
          </w:tcPr>
          <w:p w14:paraId="295994D6">
            <w:pPr>
              <w:pStyle w:val="11"/>
            </w:pPr>
          </w:p>
        </w:tc>
        <w:tc>
          <w:tcPr>
            <w:tcW w:w="1134" w:type="dxa"/>
            <w:vAlign w:val="center"/>
          </w:tcPr>
          <w:p w14:paraId="0FA6A93F">
            <w:pPr>
              <w:pStyle w:val="11"/>
            </w:pPr>
          </w:p>
        </w:tc>
        <w:tc>
          <w:tcPr>
            <w:tcW w:w="1134" w:type="dxa"/>
            <w:vAlign w:val="center"/>
          </w:tcPr>
          <w:p w14:paraId="5FFA0CE1">
            <w:pPr>
              <w:pStyle w:val="11"/>
            </w:pPr>
          </w:p>
        </w:tc>
        <w:tc>
          <w:tcPr>
            <w:tcW w:w="1134" w:type="dxa"/>
            <w:vAlign w:val="center"/>
          </w:tcPr>
          <w:p w14:paraId="00B07116">
            <w:pPr>
              <w:pStyle w:val="11"/>
            </w:pPr>
          </w:p>
        </w:tc>
        <w:tc>
          <w:tcPr>
            <w:tcW w:w="1134" w:type="dxa"/>
            <w:vAlign w:val="center"/>
          </w:tcPr>
          <w:p w14:paraId="366639F9">
            <w:pPr>
              <w:pStyle w:val="11"/>
            </w:pPr>
          </w:p>
        </w:tc>
        <w:tc>
          <w:tcPr>
            <w:tcW w:w="1134" w:type="dxa"/>
            <w:vAlign w:val="center"/>
          </w:tcPr>
          <w:p w14:paraId="0AF358D6">
            <w:pPr>
              <w:pStyle w:val="11"/>
            </w:pPr>
          </w:p>
        </w:tc>
      </w:tr>
    </w:tbl>
    <w:p w14:paraId="54D507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38F0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76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FD7CB2">
            <w:pPr>
              <w:pStyle w:val="9"/>
            </w:pPr>
            <w:r>
              <w:t>360038隆尧县第五实验小学</w:t>
            </w:r>
          </w:p>
        </w:tc>
        <w:tc>
          <w:tcPr>
            <w:tcW w:w="2722" w:type="dxa"/>
            <w:gridSpan w:val="2"/>
            <w:tcBorders>
              <w:top w:val="single" w:color="FFFFFF" w:sz="6" w:space="0"/>
              <w:left w:val="single" w:color="FFFFFF" w:sz="6" w:space="0"/>
              <w:right w:val="single" w:color="FFFFFF" w:sz="6" w:space="0"/>
            </w:tcBorders>
            <w:vAlign w:val="center"/>
          </w:tcPr>
          <w:p w14:paraId="324AA81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36C3748">
            <w:pPr>
              <w:pStyle w:val="7"/>
            </w:pPr>
            <w:r>
              <w:t>单位：万元</w:t>
            </w:r>
          </w:p>
        </w:tc>
      </w:tr>
      <w:tr w14:paraId="063E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6495EE">
            <w:pPr>
              <w:pStyle w:val="10"/>
            </w:pPr>
            <w:r>
              <w:t>序号</w:t>
            </w:r>
          </w:p>
        </w:tc>
        <w:tc>
          <w:tcPr>
            <w:tcW w:w="5527" w:type="dxa"/>
            <w:gridSpan w:val="2"/>
            <w:vAlign w:val="center"/>
          </w:tcPr>
          <w:p w14:paraId="2F2C54E8">
            <w:pPr>
              <w:pStyle w:val="10"/>
            </w:pPr>
            <w:r>
              <w:t>功能分类科目</w:t>
            </w:r>
          </w:p>
        </w:tc>
        <w:tc>
          <w:tcPr>
            <w:tcW w:w="1361" w:type="dxa"/>
            <w:vMerge w:val="restart"/>
            <w:vAlign w:val="center"/>
          </w:tcPr>
          <w:p w14:paraId="7F12723C">
            <w:pPr>
              <w:pStyle w:val="10"/>
            </w:pPr>
            <w:r>
              <w:t>合计</w:t>
            </w:r>
          </w:p>
        </w:tc>
        <w:tc>
          <w:tcPr>
            <w:tcW w:w="1361" w:type="dxa"/>
            <w:vMerge w:val="restart"/>
            <w:vAlign w:val="center"/>
          </w:tcPr>
          <w:p w14:paraId="71412EB9">
            <w:pPr>
              <w:pStyle w:val="10"/>
            </w:pPr>
            <w:r>
              <w:t>基本支出</w:t>
            </w:r>
          </w:p>
        </w:tc>
        <w:tc>
          <w:tcPr>
            <w:tcW w:w="1361" w:type="dxa"/>
            <w:vMerge w:val="restart"/>
            <w:vAlign w:val="center"/>
          </w:tcPr>
          <w:p w14:paraId="39099F1F">
            <w:pPr>
              <w:pStyle w:val="10"/>
            </w:pPr>
            <w:r>
              <w:t>项目支出</w:t>
            </w:r>
          </w:p>
        </w:tc>
        <w:tc>
          <w:tcPr>
            <w:tcW w:w="1361" w:type="dxa"/>
            <w:vMerge w:val="restart"/>
            <w:vAlign w:val="center"/>
          </w:tcPr>
          <w:p w14:paraId="577602CE">
            <w:pPr>
              <w:pStyle w:val="10"/>
            </w:pPr>
            <w:r>
              <w:t>经营支出</w:t>
            </w:r>
          </w:p>
        </w:tc>
        <w:tc>
          <w:tcPr>
            <w:tcW w:w="1361" w:type="dxa"/>
            <w:vMerge w:val="restart"/>
            <w:vAlign w:val="center"/>
          </w:tcPr>
          <w:p w14:paraId="5586EE96">
            <w:pPr>
              <w:pStyle w:val="10"/>
            </w:pPr>
            <w:r>
              <w:t>上解上级     支出</w:t>
            </w:r>
          </w:p>
        </w:tc>
        <w:tc>
          <w:tcPr>
            <w:tcW w:w="1361" w:type="dxa"/>
            <w:vMerge w:val="restart"/>
            <w:vAlign w:val="center"/>
          </w:tcPr>
          <w:p w14:paraId="386B0778">
            <w:pPr>
              <w:pStyle w:val="10"/>
            </w:pPr>
            <w:r>
              <w:t>对附属单位补助支出</w:t>
            </w:r>
          </w:p>
        </w:tc>
      </w:tr>
      <w:tr w14:paraId="124B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A6FDD7"/>
        </w:tc>
        <w:tc>
          <w:tcPr>
            <w:tcW w:w="992" w:type="dxa"/>
            <w:vAlign w:val="center"/>
          </w:tcPr>
          <w:p w14:paraId="2CEC72E6">
            <w:pPr>
              <w:pStyle w:val="10"/>
            </w:pPr>
            <w:r>
              <w:t>科目    编码</w:t>
            </w:r>
          </w:p>
        </w:tc>
        <w:tc>
          <w:tcPr>
            <w:tcW w:w="4535" w:type="dxa"/>
            <w:vAlign w:val="center"/>
          </w:tcPr>
          <w:p w14:paraId="05A9EAC5">
            <w:pPr>
              <w:pStyle w:val="10"/>
            </w:pPr>
            <w:r>
              <w:t>科目名称</w:t>
            </w:r>
          </w:p>
        </w:tc>
        <w:tc>
          <w:tcPr>
            <w:tcW w:w="1361" w:type="dxa"/>
            <w:vMerge w:val="continue"/>
          </w:tcPr>
          <w:p w14:paraId="78CE11C5"/>
        </w:tc>
        <w:tc>
          <w:tcPr>
            <w:tcW w:w="1361" w:type="dxa"/>
            <w:vMerge w:val="continue"/>
          </w:tcPr>
          <w:p w14:paraId="63639036"/>
        </w:tc>
        <w:tc>
          <w:tcPr>
            <w:tcW w:w="1361" w:type="dxa"/>
            <w:vMerge w:val="continue"/>
          </w:tcPr>
          <w:p w14:paraId="51DFC152"/>
        </w:tc>
        <w:tc>
          <w:tcPr>
            <w:tcW w:w="1361" w:type="dxa"/>
            <w:vMerge w:val="continue"/>
          </w:tcPr>
          <w:p w14:paraId="487F6BDF"/>
        </w:tc>
        <w:tc>
          <w:tcPr>
            <w:tcW w:w="1361" w:type="dxa"/>
            <w:vMerge w:val="continue"/>
          </w:tcPr>
          <w:p w14:paraId="3FFCB755"/>
        </w:tc>
        <w:tc>
          <w:tcPr>
            <w:tcW w:w="1361" w:type="dxa"/>
            <w:vMerge w:val="continue"/>
          </w:tcPr>
          <w:p w14:paraId="2695C4D1"/>
        </w:tc>
      </w:tr>
      <w:tr w14:paraId="40A0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139A33">
            <w:pPr>
              <w:pStyle w:val="10"/>
            </w:pPr>
            <w:r>
              <w:t>栏次</w:t>
            </w:r>
          </w:p>
        </w:tc>
        <w:tc>
          <w:tcPr>
            <w:tcW w:w="992" w:type="dxa"/>
            <w:vAlign w:val="center"/>
          </w:tcPr>
          <w:p w14:paraId="20FED081">
            <w:pPr>
              <w:pStyle w:val="10"/>
            </w:pPr>
            <w:r>
              <w:t>1</w:t>
            </w:r>
          </w:p>
        </w:tc>
        <w:tc>
          <w:tcPr>
            <w:tcW w:w="4535" w:type="dxa"/>
            <w:vAlign w:val="center"/>
          </w:tcPr>
          <w:p w14:paraId="501108DC">
            <w:pPr>
              <w:pStyle w:val="10"/>
            </w:pPr>
            <w:r>
              <w:t>2</w:t>
            </w:r>
          </w:p>
        </w:tc>
        <w:tc>
          <w:tcPr>
            <w:tcW w:w="1361" w:type="dxa"/>
            <w:vAlign w:val="center"/>
          </w:tcPr>
          <w:p w14:paraId="4451A60F">
            <w:pPr>
              <w:pStyle w:val="10"/>
            </w:pPr>
            <w:r>
              <w:t>3</w:t>
            </w:r>
          </w:p>
        </w:tc>
        <w:tc>
          <w:tcPr>
            <w:tcW w:w="1361" w:type="dxa"/>
            <w:vAlign w:val="center"/>
          </w:tcPr>
          <w:p w14:paraId="4AC76DAA">
            <w:pPr>
              <w:pStyle w:val="10"/>
            </w:pPr>
            <w:r>
              <w:t>4</w:t>
            </w:r>
          </w:p>
        </w:tc>
        <w:tc>
          <w:tcPr>
            <w:tcW w:w="1361" w:type="dxa"/>
            <w:vAlign w:val="center"/>
          </w:tcPr>
          <w:p w14:paraId="7BB840C0">
            <w:pPr>
              <w:pStyle w:val="10"/>
            </w:pPr>
            <w:r>
              <w:t>5</w:t>
            </w:r>
          </w:p>
        </w:tc>
        <w:tc>
          <w:tcPr>
            <w:tcW w:w="1361" w:type="dxa"/>
            <w:vAlign w:val="center"/>
          </w:tcPr>
          <w:p w14:paraId="6293C9BC">
            <w:pPr>
              <w:pStyle w:val="10"/>
            </w:pPr>
            <w:r>
              <w:t>6</w:t>
            </w:r>
          </w:p>
        </w:tc>
        <w:tc>
          <w:tcPr>
            <w:tcW w:w="1361" w:type="dxa"/>
            <w:vAlign w:val="center"/>
          </w:tcPr>
          <w:p w14:paraId="26B6A78B">
            <w:pPr>
              <w:pStyle w:val="10"/>
            </w:pPr>
            <w:r>
              <w:t>7</w:t>
            </w:r>
          </w:p>
        </w:tc>
        <w:tc>
          <w:tcPr>
            <w:tcW w:w="1361" w:type="dxa"/>
            <w:vAlign w:val="center"/>
          </w:tcPr>
          <w:p w14:paraId="762C7BFC">
            <w:pPr>
              <w:pStyle w:val="10"/>
            </w:pPr>
            <w:r>
              <w:t>8</w:t>
            </w:r>
          </w:p>
        </w:tc>
      </w:tr>
      <w:tr w14:paraId="4E75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81832">
            <w:pPr>
              <w:pStyle w:val="13"/>
            </w:pPr>
            <w:r>
              <w:t>1</w:t>
            </w:r>
          </w:p>
        </w:tc>
        <w:tc>
          <w:tcPr>
            <w:tcW w:w="992" w:type="dxa"/>
            <w:vAlign w:val="center"/>
          </w:tcPr>
          <w:p w14:paraId="373E1C1B">
            <w:pPr>
              <w:pStyle w:val="16"/>
            </w:pPr>
          </w:p>
        </w:tc>
        <w:tc>
          <w:tcPr>
            <w:tcW w:w="4535" w:type="dxa"/>
            <w:vAlign w:val="center"/>
          </w:tcPr>
          <w:p w14:paraId="060EF515">
            <w:pPr>
              <w:pStyle w:val="14"/>
            </w:pPr>
            <w:r>
              <w:t>合计</w:t>
            </w:r>
          </w:p>
        </w:tc>
        <w:tc>
          <w:tcPr>
            <w:tcW w:w="1361" w:type="dxa"/>
            <w:vAlign w:val="center"/>
          </w:tcPr>
          <w:p w14:paraId="4A2752D3">
            <w:pPr>
              <w:pStyle w:val="15"/>
            </w:pPr>
            <w:r>
              <w:t>1350.68</w:t>
            </w:r>
          </w:p>
        </w:tc>
        <w:tc>
          <w:tcPr>
            <w:tcW w:w="1361" w:type="dxa"/>
            <w:vAlign w:val="center"/>
          </w:tcPr>
          <w:p w14:paraId="32FBB55F">
            <w:pPr>
              <w:pStyle w:val="15"/>
            </w:pPr>
            <w:r>
              <w:t>1114.96</w:t>
            </w:r>
          </w:p>
        </w:tc>
        <w:tc>
          <w:tcPr>
            <w:tcW w:w="1361" w:type="dxa"/>
            <w:vAlign w:val="center"/>
          </w:tcPr>
          <w:p w14:paraId="1444CE88">
            <w:pPr>
              <w:pStyle w:val="15"/>
            </w:pPr>
            <w:r>
              <w:t>235.72</w:t>
            </w:r>
          </w:p>
        </w:tc>
        <w:tc>
          <w:tcPr>
            <w:tcW w:w="1361" w:type="dxa"/>
            <w:vAlign w:val="center"/>
          </w:tcPr>
          <w:p w14:paraId="6371D42B">
            <w:pPr>
              <w:pStyle w:val="15"/>
            </w:pPr>
          </w:p>
        </w:tc>
        <w:tc>
          <w:tcPr>
            <w:tcW w:w="1361" w:type="dxa"/>
            <w:vAlign w:val="center"/>
          </w:tcPr>
          <w:p w14:paraId="102AA348">
            <w:pPr>
              <w:pStyle w:val="15"/>
            </w:pPr>
          </w:p>
        </w:tc>
        <w:tc>
          <w:tcPr>
            <w:tcW w:w="1361" w:type="dxa"/>
            <w:vAlign w:val="center"/>
          </w:tcPr>
          <w:p w14:paraId="2163B2A2">
            <w:pPr>
              <w:pStyle w:val="15"/>
            </w:pPr>
          </w:p>
        </w:tc>
      </w:tr>
      <w:tr w14:paraId="635C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22393">
            <w:pPr>
              <w:pStyle w:val="13"/>
            </w:pPr>
            <w:r>
              <w:t>2</w:t>
            </w:r>
          </w:p>
        </w:tc>
        <w:tc>
          <w:tcPr>
            <w:tcW w:w="992" w:type="dxa"/>
            <w:vAlign w:val="center"/>
          </w:tcPr>
          <w:p w14:paraId="1E7EB3FB">
            <w:pPr>
              <w:pStyle w:val="12"/>
            </w:pPr>
            <w:r>
              <w:t>205</w:t>
            </w:r>
          </w:p>
        </w:tc>
        <w:tc>
          <w:tcPr>
            <w:tcW w:w="4535" w:type="dxa"/>
            <w:vAlign w:val="center"/>
          </w:tcPr>
          <w:p w14:paraId="2968B05C">
            <w:pPr>
              <w:pStyle w:val="12"/>
            </w:pPr>
            <w:r>
              <w:t>教育支出</w:t>
            </w:r>
          </w:p>
        </w:tc>
        <w:tc>
          <w:tcPr>
            <w:tcW w:w="1361" w:type="dxa"/>
            <w:vAlign w:val="center"/>
          </w:tcPr>
          <w:p w14:paraId="08E22CF7">
            <w:pPr>
              <w:pStyle w:val="11"/>
            </w:pPr>
            <w:r>
              <w:t>1350.68</w:t>
            </w:r>
          </w:p>
        </w:tc>
        <w:tc>
          <w:tcPr>
            <w:tcW w:w="1361" w:type="dxa"/>
            <w:vAlign w:val="center"/>
          </w:tcPr>
          <w:p w14:paraId="76D955F6">
            <w:pPr>
              <w:pStyle w:val="11"/>
            </w:pPr>
            <w:r>
              <w:t>1114.96</w:t>
            </w:r>
          </w:p>
        </w:tc>
        <w:tc>
          <w:tcPr>
            <w:tcW w:w="1361" w:type="dxa"/>
            <w:vAlign w:val="center"/>
          </w:tcPr>
          <w:p w14:paraId="7F62F824">
            <w:pPr>
              <w:pStyle w:val="11"/>
            </w:pPr>
            <w:r>
              <w:t>235.72</w:t>
            </w:r>
          </w:p>
        </w:tc>
        <w:tc>
          <w:tcPr>
            <w:tcW w:w="1361" w:type="dxa"/>
            <w:vAlign w:val="center"/>
          </w:tcPr>
          <w:p w14:paraId="08DAB3AD">
            <w:pPr>
              <w:pStyle w:val="11"/>
            </w:pPr>
          </w:p>
        </w:tc>
        <w:tc>
          <w:tcPr>
            <w:tcW w:w="1361" w:type="dxa"/>
            <w:vAlign w:val="center"/>
          </w:tcPr>
          <w:p w14:paraId="4D287CD0">
            <w:pPr>
              <w:pStyle w:val="11"/>
            </w:pPr>
          </w:p>
        </w:tc>
        <w:tc>
          <w:tcPr>
            <w:tcW w:w="1361" w:type="dxa"/>
            <w:vAlign w:val="center"/>
          </w:tcPr>
          <w:p w14:paraId="3F7A940C">
            <w:pPr>
              <w:pStyle w:val="11"/>
            </w:pPr>
          </w:p>
        </w:tc>
      </w:tr>
      <w:tr w14:paraId="6A19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FD03B">
            <w:pPr>
              <w:pStyle w:val="13"/>
            </w:pPr>
            <w:r>
              <w:t>3</w:t>
            </w:r>
          </w:p>
        </w:tc>
        <w:tc>
          <w:tcPr>
            <w:tcW w:w="992" w:type="dxa"/>
            <w:vAlign w:val="center"/>
          </w:tcPr>
          <w:p w14:paraId="468CD778">
            <w:pPr>
              <w:pStyle w:val="12"/>
            </w:pPr>
            <w:r>
              <w:t>20502</w:t>
            </w:r>
          </w:p>
        </w:tc>
        <w:tc>
          <w:tcPr>
            <w:tcW w:w="4535" w:type="dxa"/>
            <w:vAlign w:val="center"/>
          </w:tcPr>
          <w:p w14:paraId="67C944E1">
            <w:pPr>
              <w:pStyle w:val="12"/>
            </w:pPr>
            <w:r>
              <w:t>普通教育</w:t>
            </w:r>
          </w:p>
        </w:tc>
        <w:tc>
          <w:tcPr>
            <w:tcW w:w="1361" w:type="dxa"/>
            <w:vAlign w:val="center"/>
          </w:tcPr>
          <w:p w14:paraId="3BF6B5B5">
            <w:pPr>
              <w:pStyle w:val="11"/>
            </w:pPr>
            <w:r>
              <w:t>1350.68</w:t>
            </w:r>
          </w:p>
        </w:tc>
        <w:tc>
          <w:tcPr>
            <w:tcW w:w="1361" w:type="dxa"/>
            <w:vAlign w:val="center"/>
          </w:tcPr>
          <w:p w14:paraId="64619203">
            <w:pPr>
              <w:pStyle w:val="11"/>
            </w:pPr>
            <w:r>
              <w:t>1114.96</w:t>
            </w:r>
          </w:p>
        </w:tc>
        <w:tc>
          <w:tcPr>
            <w:tcW w:w="1361" w:type="dxa"/>
            <w:vAlign w:val="center"/>
          </w:tcPr>
          <w:p w14:paraId="786F92B2">
            <w:pPr>
              <w:pStyle w:val="11"/>
            </w:pPr>
            <w:r>
              <w:t>235.72</w:t>
            </w:r>
          </w:p>
        </w:tc>
        <w:tc>
          <w:tcPr>
            <w:tcW w:w="1361" w:type="dxa"/>
            <w:vAlign w:val="center"/>
          </w:tcPr>
          <w:p w14:paraId="66A40DBF">
            <w:pPr>
              <w:pStyle w:val="11"/>
            </w:pPr>
          </w:p>
        </w:tc>
        <w:tc>
          <w:tcPr>
            <w:tcW w:w="1361" w:type="dxa"/>
            <w:vAlign w:val="center"/>
          </w:tcPr>
          <w:p w14:paraId="44040AAC">
            <w:pPr>
              <w:pStyle w:val="11"/>
            </w:pPr>
          </w:p>
        </w:tc>
        <w:tc>
          <w:tcPr>
            <w:tcW w:w="1361" w:type="dxa"/>
            <w:vAlign w:val="center"/>
          </w:tcPr>
          <w:p w14:paraId="6E6E3F0E">
            <w:pPr>
              <w:pStyle w:val="11"/>
            </w:pPr>
          </w:p>
        </w:tc>
      </w:tr>
      <w:tr w14:paraId="1808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F3FD8">
            <w:pPr>
              <w:pStyle w:val="13"/>
            </w:pPr>
            <w:r>
              <w:t>4</w:t>
            </w:r>
          </w:p>
        </w:tc>
        <w:tc>
          <w:tcPr>
            <w:tcW w:w="992" w:type="dxa"/>
            <w:vAlign w:val="center"/>
          </w:tcPr>
          <w:p w14:paraId="695EED8D">
            <w:pPr>
              <w:pStyle w:val="12"/>
            </w:pPr>
            <w:r>
              <w:t>2050202</w:t>
            </w:r>
          </w:p>
        </w:tc>
        <w:tc>
          <w:tcPr>
            <w:tcW w:w="4535" w:type="dxa"/>
            <w:vAlign w:val="center"/>
          </w:tcPr>
          <w:p w14:paraId="6CE5B791">
            <w:pPr>
              <w:pStyle w:val="12"/>
            </w:pPr>
            <w:r>
              <w:t>小学教育</w:t>
            </w:r>
          </w:p>
        </w:tc>
        <w:tc>
          <w:tcPr>
            <w:tcW w:w="1361" w:type="dxa"/>
            <w:vAlign w:val="center"/>
          </w:tcPr>
          <w:p w14:paraId="1779F26E">
            <w:pPr>
              <w:pStyle w:val="11"/>
            </w:pPr>
            <w:r>
              <w:t>1350.68</w:t>
            </w:r>
          </w:p>
        </w:tc>
        <w:tc>
          <w:tcPr>
            <w:tcW w:w="1361" w:type="dxa"/>
            <w:vAlign w:val="center"/>
          </w:tcPr>
          <w:p w14:paraId="48A07A48">
            <w:pPr>
              <w:pStyle w:val="11"/>
            </w:pPr>
            <w:r>
              <w:t>1114.96</w:t>
            </w:r>
          </w:p>
        </w:tc>
        <w:tc>
          <w:tcPr>
            <w:tcW w:w="1361" w:type="dxa"/>
            <w:vAlign w:val="center"/>
          </w:tcPr>
          <w:p w14:paraId="63F5967D">
            <w:pPr>
              <w:pStyle w:val="11"/>
            </w:pPr>
            <w:r>
              <w:t>235.72</w:t>
            </w:r>
          </w:p>
        </w:tc>
        <w:tc>
          <w:tcPr>
            <w:tcW w:w="1361" w:type="dxa"/>
            <w:vAlign w:val="center"/>
          </w:tcPr>
          <w:p w14:paraId="6DD21747">
            <w:pPr>
              <w:pStyle w:val="11"/>
            </w:pPr>
          </w:p>
        </w:tc>
        <w:tc>
          <w:tcPr>
            <w:tcW w:w="1361" w:type="dxa"/>
            <w:vAlign w:val="center"/>
          </w:tcPr>
          <w:p w14:paraId="7DF05460">
            <w:pPr>
              <w:pStyle w:val="11"/>
            </w:pPr>
          </w:p>
        </w:tc>
        <w:tc>
          <w:tcPr>
            <w:tcW w:w="1361" w:type="dxa"/>
            <w:vAlign w:val="center"/>
          </w:tcPr>
          <w:p w14:paraId="5EAE4922">
            <w:pPr>
              <w:pStyle w:val="11"/>
            </w:pPr>
          </w:p>
        </w:tc>
      </w:tr>
    </w:tbl>
    <w:p w14:paraId="480742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D5CD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10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B7B0D2">
            <w:pPr>
              <w:pStyle w:val="9"/>
            </w:pPr>
            <w:r>
              <w:t>360038隆尧县第五实验小学</w:t>
            </w:r>
          </w:p>
        </w:tc>
        <w:tc>
          <w:tcPr>
            <w:tcW w:w="3402" w:type="dxa"/>
            <w:tcBorders>
              <w:top w:val="single" w:color="FFFFFF" w:sz="6" w:space="0"/>
              <w:left w:val="single" w:color="FFFFFF" w:sz="6" w:space="0"/>
              <w:right w:val="single" w:color="FFFFFF" w:sz="6" w:space="0"/>
            </w:tcBorders>
            <w:vAlign w:val="center"/>
          </w:tcPr>
          <w:p w14:paraId="7B538D2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B3060CC">
            <w:pPr>
              <w:pStyle w:val="7"/>
            </w:pPr>
            <w:r>
              <w:t>单位：万元</w:t>
            </w:r>
          </w:p>
        </w:tc>
      </w:tr>
      <w:tr w14:paraId="2FA5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16F61">
            <w:pPr>
              <w:pStyle w:val="10"/>
            </w:pPr>
            <w:r>
              <w:t>序号</w:t>
            </w:r>
          </w:p>
        </w:tc>
        <w:tc>
          <w:tcPr>
            <w:tcW w:w="4876" w:type="dxa"/>
            <w:gridSpan w:val="2"/>
            <w:vAlign w:val="center"/>
          </w:tcPr>
          <w:p w14:paraId="5C195CC1">
            <w:pPr>
              <w:pStyle w:val="10"/>
            </w:pPr>
            <w:r>
              <w:t>收入</w:t>
            </w:r>
          </w:p>
        </w:tc>
        <w:tc>
          <w:tcPr>
            <w:tcW w:w="9298" w:type="dxa"/>
            <w:gridSpan w:val="5"/>
            <w:vAlign w:val="center"/>
          </w:tcPr>
          <w:p w14:paraId="46D7E1AD">
            <w:pPr>
              <w:pStyle w:val="10"/>
            </w:pPr>
            <w:r>
              <w:t>支出</w:t>
            </w:r>
          </w:p>
        </w:tc>
      </w:tr>
      <w:tr w14:paraId="0886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B6FB3"/>
        </w:tc>
        <w:tc>
          <w:tcPr>
            <w:tcW w:w="3402" w:type="dxa"/>
            <w:vAlign w:val="center"/>
          </w:tcPr>
          <w:p w14:paraId="40EEB9D8">
            <w:pPr>
              <w:pStyle w:val="10"/>
            </w:pPr>
            <w:r>
              <w:t>项  目</w:t>
            </w:r>
          </w:p>
        </w:tc>
        <w:tc>
          <w:tcPr>
            <w:tcW w:w="1474" w:type="dxa"/>
            <w:vAlign w:val="center"/>
          </w:tcPr>
          <w:p w14:paraId="076E2065">
            <w:pPr>
              <w:pStyle w:val="10"/>
            </w:pPr>
            <w:r>
              <w:t>金额</w:t>
            </w:r>
          </w:p>
        </w:tc>
        <w:tc>
          <w:tcPr>
            <w:tcW w:w="3402" w:type="dxa"/>
            <w:vAlign w:val="center"/>
          </w:tcPr>
          <w:p w14:paraId="769883AF">
            <w:pPr>
              <w:pStyle w:val="10"/>
            </w:pPr>
            <w:r>
              <w:t>项  目</w:t>
            </w:r>
          </w:p>
        </w:tc>
        <w:tc>
          <w:tcPr>
            <w:tcW w:w="1474" w:type="dxa"/>
            <w:vAlign w:val="center"/>
          </w:tcPr>
          <w:p w14:paraId="31F39CF4">
            <w:pPr>
              <w:pStyle w:val="10"/>
            </w:pPr>
            <w:r>
              <w:t>合计</w:t>
            </w:r>
          </w:p>
        </w:tc>
        <w:tc>
          <w:tcPr>
            <w:tcW w:w="1474" w:type="dxa"/>
            <w:vAlign w:val="center"/>
          </w:tcPr>
          <w:p w14:paraId="1970FB0F">
            <w:pPr>
              <w:pStyle w:val="10"/>
            </w:pPr>
            <w:r>
              <w:t>一般公共预算财政拨款</w:t>
            </w:r>
          </w:p>
        </w:tc>
        <w:tc>
          <w:tcPr>
            <w:tcW w:w="1474" w:type="dxa"/>
            <w:vAlign w:val="center"/>
          </w:tcPr>
          <w:p w14:paraId="5D6D530C">
            <w:pPr>
              <w:pStyle w:val="10"/>
            </w:pPr>
            <w:r>
              <w:t>政府性基金预算财政    拨款</w:t>
            </w:r>
          </w:p>
        </w:tc>
        <w:tc>
          <w:tcPr>
            <w:tcW w:w="1474" w:type="dxa"/>
            <w:vAlign w:val="center"/>
          </w:tcPr>
          <w:p w14:paraId="57ED825C">
            <w:pPr>
              <w:pStyle w:val="10"/>
            </w:pPr>
            <w:r>
              <w:t>国有资本经营预算财政拨款</w:t>
            </w:r>
          </w:p>
        </w:tc>
      </w:tr>
      <w:tr w14:paraId="59BF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E6326A">
            <w:pPr>
              <w:pStyle w:val="10"/>
            </w:pPr>
            <w:r>
              <w:t>栏次</w:t>
            </w:r>
          </w:p>
        </w:tc>
        <w:tc>
          <w:tcPr>
            <w:tcW w:w="3402" w:type="dxa"/>
            <w:vAlign w:val="center"/>
          </w:tcPr>
          <w:p w14:paraId="2D2D8637">
            <w:pPr>
              <w:pStyle w:val="10"/>
            </w:pPr>
            <w:r>
              <w:t>1</w:t>
            </w:r>
          </w:p>
        </w:tc>
        <w:tc>
          <w:tcPr>
            <w:tcW w:w="1474" w:type="dxa"/>
            <w:vAlign w:val="center"/>
          </w:tcPr>
          <w:p w14:paraId="1187421C">
            <w:pPr>
              <w:pStyle w:val="10"/>
            </w:pPr>
            <w:r>
              <w:t>2</w:t>
            </w:r>
          </w:p>
        </w:tc>
        <w:tc>
          <w:tcPr>
            <w:tcW w:w="3402" w:type="dxa"/>
            <w:vAlign w:val="center"/>
          </w:tcPr>
          <w:p w14:paraId="61563323">
            <w:pPr>
              <w:pStyle w:val="10"/>
            </w:pPr>
            <w:r>
              <w:t>3</w:t>
            </w:r>
          </w:p>
        </w:tc>
        <w:tc>
          <w:tcPr>
            <w:tcW w:w="1474" w:type="dxa"/>
            <w:vAlign w:val="center"/>
          </w:tcPr>
          <w:p w14:paraId="485E3A7E">
            <w:pPr>
              <w:pStyle w:val="10"/>
            </w:pPr>
            <w:r>
              <w:t>4</w:t>
            </w:r>
          </w:p>
        </w:tc>
        <w:tc>
          <w:tcPr>
            <w:tcW w:w="1474" w:type="dxa"/>
            <w:vAlign w:val="center"/>
          </w:tcPr>
          <w:p w14:paraId="3C99256F">
            <w:pPr>
              <w:pStyle w:val="10"/>
            </w:pPr>
            <w:r>
              <w:t>5</w:t>
            </w:r>
          </w:p>
        </w:tc>
        <w:tc>
          <w:tcPr>
            <w:tcW w:w="1474" w:type="dxa"/>
            <w:vAlign w:val="center"/>
          </w:tcPr>
          <w:p w14:paraId="0656DD1C">
            <w:pPr>
              <w:pStyle w:val="10"/>
            </w:pPr>
            <w:r>
              <w:t>6</w:t>
            </w:r>
          </w:p>
        </w:tc>
        <w:tc>
          <w:tcPr>
            <w:tcW w:w="1474" w:type="dxa"/>
            <w:vAlign w:val="center"/>
          </w:tcPr>
          <w:p w14:paraId="1264AC97">
            <w:pPr>
              <w:pStyle w:val="10"/>
            </w:pPr>
            <w:r>
              <w:t>7</w:t>
            </w:r>
          </w:p>
        </w:tc>
      </w:tr>
      <w:tr w14:paraId="3550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D2BE">
            <w:pPr>
              <w:pStyle w:val="13"/>
            </w:pPr>
            <w:r>
              <w:t>1</w:t>
            </w:r>
          </w:p>
        </w:tc>
        <w:tc>
          <w:tcPr>
            <w:tcW w:w="3402" w:type="dxa"/>
            <w:vAlign w:val="center"/>
          </w:tcPr>
          <w:p w14:paraId="1CAA036D">
            <w:pPr>
              <w:pStyle w:val="12"/>
            </w:pPr>
            <w:r>
              <w:t>一、一般公共预算拨款</w:t>
            </w:r>
          </w:p>
        </w:tc>
        <w:tc>
          <w:tcPr>
            <w:tcW w:w="1474" w:type="dxa"/>
            <w:vAlign w:val="center"/>
          </w:tcPr>
          <w:p w14:paraId="3961BC94">
            <w:pPr>
              <w:pStyle w:val="11"/>
            </w:pPr>
            <w:r>
              <w:t>1350.68</w:t>
            </w:r>
          </w:p>
        </w:tc>
        <w:tc>
          <w:tcPr>
            <w:tcW w:w="3402" w:type="dxa"/>
            <w:vAlign w:val="center"/>
          </w:tcPr>
          <w:p w14:paraId="37A0EB00">
            <w:pPr>
              <w:pStyle w:val="12"/>
            </w:pPr>
            <w:r>
              <w:t>一、一般公共服务支出</w:t>
            </w:r>
          </w:p>
        </w:tc>
        <w:tc>
          <w:tcPr>
            <w:tcW w:w="1474" w:type="dxa"/>
            <w:vAlign w:val="center"/>
          </w:tcPr>
          <w:p w14:paraId="7366CA73">
            <w:pPr>
              <w:pStyle w:val="11"/>
            </w:pPr>
          </w:p>
        </w:tc>
        <w:tc>
          <w:tcPr>
            <w:tcW w:w="1474" w:type="dxa"/>
            <w:vAlign w:val="center"/>
          </w:tcPr>
          <w:p w14:paraId="03841EAD">
            <w:pPr>
              <w:pStyle w:val="11"/>
            </w:pPr>
          </w:p>
        </w:tc>
        <w:tc>
          <w:tcPr>
            <w:tcW w:w="1474" w:type="dxa"/>
            <w:vAlign w:val="center"/>
          </w:tcPr>
          <w:p w14:paraId="0B76DB9B">
            <w:pPr>
              <w:pStyle w:val="11"/>
            </w:pPr>
          </w:p>
        </w:tc>
        <w:tc>
          <w:tcPr>
            <w:tcW w:w="1474" w:type="dxa"/>
            <w:vAlign w:val="center"/>
          </w:tcPr>
          <w:p w14:paraId="5EF99799">
            <w:pPr>
              <w:pStyle w:val="11"/>
            </w:pPr>
          </w:p>
        </w:tc>
      </w:tr>
      <w:tr w14:paraId="7A86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AB944">
            <w:pPr>
              <w:pStyle w:val="13"/>
            </w:pPr>
            <w:r>
              <w:t>2</w:t>
            </w:r>
          </w:p>
        </w:tc>
        <w:tc>
          <w:tcPr>
            <w:tcW w:w="3402" w:type="dxa"/>
            <w:vAlign w:val="center"/>
          </w:tcPr>
          <w:p w14:paraId="6A649823">
            <w:pPr>
              <w:pStyle w:val="12"/>
            </w:pPr>
            <w:r>
              <w:t>二、政府性基金预算拨款</w:t>
            </w:r>
          </w:p>
        </w:tc>
        <w:tc>
          <w:tcPr>
            <w:tcW w:w="1474" w:type="dxa"/>
            <w:vAlign w:val="center"/>
          </w:tcPr>
          <w:p w14:paraId="26FADA02">
            <w:pPr>
              <w:pStyle w:val="11"/>
            </w:pPr>
          </w:p>
        </w:tc>
        <w:tc>
          <w:tcPr>
            <w:tcW w:w="3402" w:type="dxa"/>
            <w:vAlign w:val="center"/>
          </w:tcPr>
          <w:p w14:paraId="31C09259">
            <w:pPr>
              <w:pStyle w:val="12"/>
            </w:pPr>
            <w:r>
              <w:t>二、外交支出</w:t>
            </w:r>
          </w:p>
        </w:tc>
        <w:tc>
          <w:tcPr>
            <w:tcW w:w="1474" w:type="dxa"/>
            <w:vAlign w:val="center"/>
          </w:tcPr>
          <w:p w14:paraId="10BC941B">
            <w:pPr>
              <w:pStyle w:val="11"/>
            </w:pPr>
          </w:p>
        </w:tc>
        <w:tc>
          <w:tcPr>
            <w:tcW w:w="1474" w:type="dxa"/>
            <w:vAlign w:val="center"/>
          </w:tcPr>
          <w:p w14:paraId="1392EEDC">
            <w:pPr>
              <w:pStyle w:val="11"/>
            </w:pPr>
          </w:p>
        </w:tc>
        <w:tc>
          <w:tcPr>
            <w:tcW w:w="1474" w:type="dxa"/>
            <w:vAlign w:val="center"/>
          </w:tcPr>
          <w:p w14:paraId="7521108A">
            <w:pPr>
              <w:pStyle w:val="11"/>
            </w:pPr>
          </w:p>
        </w:tc>
        <w:tc>
          <w:tcPr>
            <w:tcW w:w="1474" w:type="dxa"/>
            <w:vAlign w:val="center"/>
          </w:tcPr>
          <w:p w14:paraId="58FAB7D9">
            <w:pPr>
              <w:pStyle w:val="11"/>
            </w:pPr>
          </w:p>
        </w:tc>
      </w:tr>
      <w:tr w14:paraId="47BA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F1750">
            <w:pPr>
              <w:pStyle w:val="13"/>
            </w:pPr>
            <w:r>
              <w:t>3</w:t>
            </w:r>
          </w:p>
        </w:tc>
        <w:tc>
          <w:tcPr>
            <w:tcW w:w="3402" w:type="dxa"/>
            <w:vAlign w:val="center"/>
          </w:tcPr>
          <w:p w14:paraId="36B47503">
            <w:pPr>
              <w:pStyle w:val="12"/>
            </w:pPr>
            <w:r>
              <w:t>三、国有资本经营预算拨款</w:t>
            </w:r>
          </w:p>
        </w:tc>
        <w:tc>
          <w:tcPr>
            <w:tcW w:w="1474" w:type="dxa"/>
            <w:vAlign w:val="center"/>
          </w:tcPr>
          <w:p w14:paraId="26F9C890">
            <w:pPr>
              <w:pStyle w:val="11"/>
            </w:pPr>
          </w:p>
        </w:tc>
        <w:tc>
          <w:tcPr>
            <w:tcW w:w="3402" w:type="dxa"/>
            <w:vAlign w:val="center"/>
          </w:tcPr>
          <w:p w14:paraId="0020BAA2">
            <w:pPr>
              <w:pStyle w:val="12"/>
            </w:pPr>
            <w:r>
              <w:t>三、国防支出</w:t>
            </w:r>
          </w:p>
        </w:tc>
        <w:tc>
          <w:tcPr>
            <w:tcW w:w="1474" w:type="dxa"/>
            <w:vAlign w:val="center"/>
          </w:tcPr>
          <w:p w14:paraId="2421DB7E">
            <w:pPr>
              <w:pStyle w:val="11"/>
            </w:pPr>
          </w:p>
        </w:tc>
        <w:tc>
          <w:tcPr>
            <w:tcW w:w="1474" w:type="dxa"/>
            <w:vAlign w:val="center"/>
          </w:tcPr>
          <w:p w14:paraId="14D1FFFC">
            <w:pPr>
              <w:pStyle w:val="11"/>
            </w:pPr>
          </w:p>
        </w:tc>
        <w:tc>
          <w:tcPr>
            <w:tcW w:w="1474" w:type="dxa"/>
            <w:vAlign w:val="center"/>
          </w:tcPr>
          <w:p w14:paraId="6AD3A728">
            <w:pPr>
              <w:pStyle w:val="11"/>
            </w:pPr>
          </w:p>
        </w:tc>
        <w:tc>
          <w:tcPr>
            <w:tcW w:w="1474" w:type="dxa"/>
            <w:vAlign w:val="center"/>
          </w:tcPr>
          <w:p w14:paraId="4C775C89">
            <w:pPr>
              <w:pStyle w:val="11"/>
            </w:pPr>
          </w:p>
        </w:tc>
      </w:tr>
      <w:tr w14:paraId="30B8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45618">
            <w:pPr>
              <w:pStyle w:val="13"/>
            </w:pPr>
            <w:r>
              <w:t>4</w:t>
            </w:r>
          </w:p>
        </w:tc>
        <w:tc>
          <w:tcPr>
            <w:tcW w:w="3402" w:type="dxa"/>
            <w:vAlign w:val="center"/>
          </w:tcPr>
          <w:p w14:paraId="76FAD2A1">
            <w:pPr>
              <w:pStyle w:val="12"/>
            </w:pPr>
          </w:p>
        </w:tc>
        <w:tc>
          <w:tcPr>
            <w:tcW w:w="1474" w:type="dxa"/>
            <w:vAlign w:val="center"/>
          </w:tcPr>
          <w:p w14:paraId="58FAF28A">
            <w:pPr>
              <w:pStyle w:val="11"/>
            </w:pPr>
          </w:p>
        </w:tc>
        <w:tc>
          <w:tcPr>
            <w:tcW w:w="3402" w:type="dxa"/>
            <w:vAlign w:val="center"/>
          </w:tcPr>
          <w:p w14:paraId="5188FFC4">
            <w:pPr>
              <w:pStyle w:val="12"/>
            </w:pPr>
            <w:r>
              <w:t>四、公共安全支出</w:t>
            </w:r>
          </w:p>
        </w:tc>
        <w:tc>
          <w:tcPr>
            <w:tcW w:w="1474" w:type="dxa"/>
            <w:vAlign w:val="center"/>
          </w:tcPr>
          <w:p w14:paraId="4C4E7581">
            <w:pPr>
              <w:pStyle w:val="11"/>
            </w:pPr>
          </w:p>
        </w:tc>
        <w:tc>
          <w:tcPr>
            <w:tcW w:w="1474" w:type="dxa"/>
            <w:vAlign w:val="center"/>
          </w:tcPr>
          <w:p w14:paraId="557350D5">
            <w:pPr>
              <w:pStyle w:val="11"/>
            </w:pPr>
          </w:p>
        </w:tc>
        <w:tc>
          <w:tcPr>
            <w:tcW w:w="1474" w:type="dxa"/>
            <w:vAlign w:val="center"/>
          </w:tcPr>
          <w:p w14:paraId="54F53A7B">
            <w:pPr>
              <w:pStyle w:val="11"/>
            </w:pPr>
          </w:p>
        </w:tc>
        <w:tc>
          <w:tcPr>
            <w:tcW w:w="1474" w:type="dxa"/>
            <w:vAlign w:val="center"/>
          </w:tcPr>
          <w:p w14:paraId="19451C54">
            <w:pPr>
              <w:pStyle w:val="11"/>
            </w:pPr>
          </w:p>
        </w:tc>
      </w:tr>
      <w:tr w14:paraId="51B4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6E3D">
            <w:pPr>
              <w:pStyle w:val="13"/>
            </w:pPr>
            <w:r>
              <w:t>5</w:t>
            </w:r>
          </w:p>
        </w:tc>
        <w:tc>
          <w:tcPr>
            <w:tcW w:w="3402" w:type="dxa"/>
            <w:vAlign w:val="center"/>
          </w:tcPr>
          <w:p w14:paraId="236F928A">
            <w:pPr>
              <w:pStyle w:val="12"/>
            </w:pPr>
          </w:p>
        </w:tc>
        <w:tc>
          <w:tcPr>
            <w:tcW w:w="1474" w:type="dxa"/>
            <w:vAlign w:val="center"/>
          </w:tcPr>
          <w:p w14:paraId="2E3DF17B">
            <w:pPr>
              <w:pStyle w:val="11"/>
            </w:pPr>
          </w:p>
        </w:tc>
        <w:tc>
          <w:tcPr>
            <w:tcW w:w="3402" w:type="dxa"/>
            <w:vAlign w:val="center"/>
          </w:tcPr>
          <w:p w14:paraId="20E5B36E">
            <w:pPr>
              <w:pStyle w:val="12"/>
            </w:pPr>
            <w:r>
              <w:t>五、教育支出</w:t>
            </w:r>
          </w:p>
        </w:tc>
        <w:tc>
          <w:tcPr>
            <w:tcW w:w="1474" w:type="dxa"/>
            <w:vAlign w:val="center"/>
          </w:tcPr>
          <w:p w14:paraId="08C6793D">
            <w:pPr>
              <w:pStyle w:val="11"/>
            </w:pPr>
            <w:r>
              <w:t>1350.68</w:t>
            </w:r>
          </w:p>
        </w:tc>
        <w:tc>
          <w:tcPr>
            <w:tcW w:w="1474" w:type="dxa"/>
            <w:vAlign w:val="center"/>
          </w:tcPr>
          <w:p w14:paraId="2E9473BC">
            <w:pPr>
              <w:pStyle w:val="11"/>
            </w:pPr>
            <w:r>
              <w:t>1350.68</w:t>
            </w:r>
          </w:p>
        </w:tc>
        <w:tc>
          <w:tcPr>
            <w:tcW w:w="1474" w:type="dxa"/>
            <w:vAlign w:val="center"/>
          </w:tcPr>
          <w:p w14:paraId="763B726F">
            <w:pPr>
              <w:pStyle w:val="11"/>
            </w:pPr>
          </w:p>
        </w:tc>
        <w:tc>
          <w:tcPr>
            <w:tcW w:w="1474" w:type="dxa"/>
            <w:vAlign w:val="center"/>
          </w:tcPr>
          <w:p w14:paraId="1407930D">
            <w:pPr>
              <w:pStyle w:val="11"/>
            </w:pPr>
          </w:p>
        </w:tc>
      </w:tr>
      <w:tr w14:paraId="2B41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91523">
            <w:pPr>
              <w:pStyle w:val="13"/>
            </w:pPr>
            <w:r>
              <w:t>6</w:t>
            </w:r>
          </w:p>
        </w:tc>
        <w:tc>
          <w:tcPr>
            <w:tcW w:w="3402" w:type="dxa"/>
            <w:vAlign w:val="center"/>
          </w:tcPr>
          <w:p w14:paraId="6700441C">
            <w:pPr>
              <w:pStyle w:val="12"/>
            </w:pPr>
          </w:p>
        </w:tc>
        <w:tc>
          <w:tcPr>
            <w:tcW w:w="1474" w:type="dxa"/>
            <w:vAlign w:val="center"/>
          </w:tcPr>
          <w:p w14:paraId="3854D262">
            <w:pPr>
              <w:pStyle w:val="11"/>
            </w:pPr>
          </w:p>
        </w:tc>
        <w:tc>
          <w:tcPr>
            <w:tcW w:w="3402" w:type="dxa"/>
            <w:vAlign w:val="center"/>
          </w:tcPr>
          <w:p w14:paraId="3A1220E5">
            <w:pPr>
              <w:pStyle w:val="12"/>
            </w:pPr>
            <w:r>
              <w:t>六、科学技术支出</w:t>
            </w:r>
          </w:p>
        </w:tc>
        <w:tc>
          <w:tcPr>
            <w:tcW w:w="1474" w:type="dxa"/>
            <w:vAlign w:val="center"/>
          </w:tcPr>
          <w:p w14:paraId="1BB578AA">
            <w:pPr>
              <w:pStyle w:val="11"/>
            </w:pPr>
          </w:p>
        </w:tc>
        <w:tc>
          <w:tcPr>
            <w:tcW w:w="1474" w:type="dxa"/>
            <w:vAlign w:val="center"/>
          </w:tcPr>
          <w:p w14:paraId="61BFA926">
            <w:pPr>
              <w:pStyle w:val="11"/>
            </w:pPr>
          </w:p>
        </w:tc>
        <w:tc>
          <w:tcPr>
            <w:tcW w:w="1474" w:type="dxa"/>
            <w:vAlign w:val="center"/>
          </w:tcPr>
          <w:p w14:paraId="206A1684">
            <w:pPr>
              <w:pStyle w:val="11"/>
            </w:pPr>
          </w:p>
        </w:tc>
        <w:tc>
          <w:tcPr>
            <w:tcW w:w="1474" w:type="dxa"/>
            <w:vAlign w:val="center"/>
          </w:tcPr>
          <w:p w14:paraId="4E3CA806">
            <w:pPr>
              <w:pStyle w:val="11"/>
            </w:pPr>
          </w:p>
        </w:tc>
      </w:tr>
      <w:tr w14:paraId="7FB2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6D3E">
            <w:pPr>
              <w:pStyle w:val="13"/>
            </w:pPr>
            <w:r>
              <w:t>7</w:t>
            </w:r>
          </w:p>
        </w:tc>
        <w:tc>
          <w:tcPr>
            <w:tcW w:w="3402" w:type="dxa"/>
            <w:vAlign w:val="center"/>
          </w:tcPr>
          <w:p w14:paraId="5552FFA4">
            <w:pPr>
              <w:pStyle w:val="12"/>
            </w:pPr>
          </w:p>
        </w:tc>
        <w:tc>
          <w:tcPr>
            <w:tcW w:w="1474" w:type="dxa"/>
            <w:vAlign w:val="center"/>
          </w:tcPr>
          <w:p w14:paraId="44C94F13">
            <w:pPr>
              <w:pStyle w:val="11"/>
            </w:pPr>
          </w:p>
        </w:tc>
        <w:tc>
          <w:tcPr>
            <w:tcW w:w="3402" w:type="dxa"/>
            <w:vAlign w:val="center"/>
          </w:tcPr>
          <w:p w14:paraId="63509050">
            <w:pPr>
              <w:pStyle w:val="12"/>
            </w:pPr>
            <w:r>
              <w:t>七、文化旅游体育与传媒支出</w:t>
            </w:r>
          </w:p>
        </w:tc>
        <w:tc>
          <w:tcPr>
            <w:tcW w:w="1474" w:type="dxa"/>
            <w:vAlign w:val="center"/>
          </w:tcPr>
          <w:p w14:paraId="3EBCBAF6">
            <w:pPr>
              <w:pStyle w:val="11"/>
            </w:pPr>
          </w:p>
        </w:tc>
        <w:tc>
          <w:tcPr>
            <w:tcW w:w="1474" w:type="dxa"/>
            <w:vAlign w:val="center"/>
          </w:tcPr>
          <w:p w14:paraId="519264E9">
            <w:pPr>
              <w:pStyle w:val="11"/>
            </w:pPr>
          </w:p>
        </w:tc>
        <w:tc>
          <w:tcPr>
            <w:tcW w:w="1474" w:type="dxa"/>
            <w:vAlign w:val="center"/>
          </w:tcPr>
          <w:p w14:paraId="656F00E5">
            <w:pPr>
              <w:pStyle w:val="11"/>
            </w:pPr>
          </w:p>
        </w:tc>
        <w:tc>
          <w:tcPr>
            <w:tcW w:w="1474" w:type="dxa"/>
            <w:vAlign w:val="center"/>
          </w:tcPr>
          <w:p w14:paraId="7E729BD6">
            <w:pPr>
              <w:pStyle w:val="11"/>
            </w:pPr>
          </w:p>
        </w:tc>
      </w:tr>
      <w:tr w14:paraId="5AFD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8F8CC">
            <w:pPr>
              <w:pStyle w:val="13"/>
            </w:pPr>
            <w:r>
              <w:t>8</w:t>
            </w:r>
          </w:p>
        </w:tc>
        <w:tc>
          <w:tcPr>
            <w:tcW w:w="3402" w:type="dxa"/>
            <w:vAlign w:val="center"/>
          </w:tcPr>
          <w:p w14:paraId="62353D7B">
            <w:pPr>
              <w:pStyle w:val="12"/>
            </w:pPr>
          </w:p>
        </w:tc>
        <w:tc>
          <w:tcPr>
            <w:tcW w:w="1474" w:type="dxa"/>
            <w:vAlign w:val="center"/>
          </w:tcPr>
          <w:p w14:paraId="3EA4DBF1">
            <w:pPr>
              <w:pStyle w:val="11"/>
            </w:pPr>
          </w:p>
        </w:tc>
        <w:tc>
          <w:tcPr>
            <w:tcW w:w="3402" w:type="dxa"/>
            <w:vAlign w:val="center"/>
          </w:tcPr>
          <w:p w14:paraId="74B68CB1">
            <w:pPr>
              <w:pStyle w:val="12"/>
            </w:pPr>
            <w:r>
              <w:t>八、社会保障和就业支出</w:t>
            </w:r>
          </w:p>
        </w:tc>
        <w:tc>
          <w:tcPr>
            <w:tcW w:w="1474" w:type="dxa"/>
            <w:vAlign w:val="center"/>
          </w:tcPr>
          <w:p w14:paraId="56C697ED">
            <w:pPr>
              <w:pStyle w:val="11"/>
            </w:pPr>
          </w:p>
        </w:tc>
        <w:tc>
          <w:tcPr>
            <w:tcW w:w="1474" w:type="dxa"/>
            <w:vAlign w:val="center"/>
          </w:tcPr>
          <w:p w14:paraId="74BD7369">
            <w:pPr>
              <w:pStyle w:val="11"/>
            </w:pPr>
          </w:p>
        </w:tc>
        <w:tc>
          <w:tcPr>
            <w:tcW w:w="1474" w:type="dxa"/>
            <w:vAlign w:val="center"/>
          </w:tcPr>
          <w:p w14:paraId="17EEB9F1">
            <w:pPr>
              <w:pStyle w:val="11"/>
            </w:pPr>
          </w:p>
        </w:tc>
        <w:tc>
          <w:tcPr>
            <w:tcW w:w="1474" w:type="dxa"/>
            <w:vAlign w:val="center"/>
          </w:tcPr>
          <w:p w14:paraId="14C6217C">
            <w:pPr>
              <w:pStyle w:val="11"/>
            </w:pPr>
          </w:p>
        </w:tc>
      </w:tr>
      <w:tr w14:paraId="2C31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20CD0">
            <w:pPr>
              <w:pStyle w:val="13"/>
            </w:pPr>
            <w:r>
              <w:t>9</w:t>
            </w:r>
          </w:p>
        </w:tc>
        <w:tc>
          <w:tcPr>
            <w:tcW w:w="3402" w:type="dxa"/>
            <w:vAlign w:val="center"/>
          </w:tcPr>
          <w:p w14:paraId="6DC509A7">
            <w:pPr>
              <w:pStyle w:val="12"/>
            </w:pPr>
          </w:p>
        </w:tc>
        <w:tc>
          <w:tcPr>
            <w:tcW w:w="1474" w:type="dxa"/>
            <w:vAlign w:val="center"/>
          </w:tcPr>
          <w:p w14:paraId="73A8A742">
            <w:pPr>
              <w:pStyle w:val="11"/>
            </w:pPr>
          </w:p>
        </w:tc>
        <w:tc>
          <w:tcPr>
            <w:tcW w:w="3402" w:type="dxa"/>
            <w:vAlign w:val="center"/>
          </w:tcPr>
          <w:p w14:paraId="1E747BC0">
            <w:pPr>
              <w:pStyle w:val="12"/>
            </w:pPr>
            <w:r>
              <w:t>九、社会保险基金支出</w:t>
            </w:r>
          </w:p>
        </w:tc>
        <w:tc>
          <w:tcPr>
            <w:tcW w:w="1474" w:type="dxa"/>
            <w:vAlign w:val="center"/>
          </w:tcPr>
          <w:p w14:paraId="31F3A7DF">
            <w:pPr>
              <w:pStyle w:val="11"/>
            </w:pPr>
          </w:p>
        </w:tc>
        <w:tc>
          <w:tcPr>
            <w:tcW w:w="1474" w:type="dxa"/>
            <w:vAlign w:val="center"/>
          </w:tcPr>
          <w:p w14:paraId="0C9AD480">
            <w:pPr>
              <w:pStyle w:val="11"/>
            </w:pPr>
          </w:p>
        </w:tc>
        <w:tc>
          <w:tcPr>
            <w:tcW w:w="1474" w:type="dxa"/>
            <w:vAlign w:val="center"/>
          </w:tcPr>
          <w:p w14:paraId="38D43800">
            <w:pPr>
              <w:pStyle w:val="11"/>
            </w:pPr>
          </w:p>
        </w:tc>
        <w:tc>
          <w:tcPr>
            <w:tcW w:w="1474" w:type="dxa"/>
            <w:vAlign w:val="center"/>
          </w:tcPr>
          <w:p w14:paraId="44E5C828">
            <w:pPr>
              <w:pStyle w:val="11"/>
            </w:pPr>
          </w:p>
        </w:tc>
      </w:tr>
      <w:tr w14:paraId="16EB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2F6D3">
            <w:pPr>
              <w:pStyle w:val="13"/>
            </w:pPr>
            <w:r>
              <w:t>10</w:t>
            </w:r>
          </w:p>
        </w:tc>
        <w:tc>
          <w:tcPr>
            <w:tcW w:w="3402" w:type="dxa"/>
            <w:vAlign w:val="center"/>
          </w:tcPr>
          <w:p w14:paraId="667566FB">
            <w:pPr>
              <w:pStyle w:val="12"/>
            </w:pPr>
          </w:p>
        </w:tc>
        <w:tc>
          <w:tcPr>
            <w:tcW w:w="1474" w:type="dxa"/>
            <w:vAlign w:val="center"/>
          </w:tcPr>
          <w:p w14:paraId="66495E01">
            <w:pPr>
              <w:pStyle w:val="11"/>
            </w:pPr>
          </w:p>
        </w:tc>
        <w:tc>
          <w:tcPr>
            <w:tcW w:w="3402" w:type="dxa"/>
            <w:vAlign w:val="center"/>
          </w:tcPr>
          <w:p w14:paraId="25237102">
            <w:pPr>
              <w:pStyle w:val="12"/>
            </w:pPr>
            <w:r>
              <w:t>十、卫生健康支出</w:t>
            </w:r>
          </w:p>
        </w:tc>
        <w:tc>
          <w:tcPr>
            <w:tcW w:w="1474" w:type="dxa"/>
            <w:vAlign w:val="center"/>
          </w:tcPr>
          <w:p w14:paraId="00AE222C">
            <w:pPr>
              <w:pStyle w:val="11"/>
            </w:pPr>
          </w:p>
        </w:tc>
        <w:tc>
          <w:tcPr>
            <w:tcW w:w="1474" w:type="dxa"/>
            <w:vAlign w:val="center"/>
          </w:tcPr>
          <w:p w14:paraId="06AAC6A2">
            <w:pPr>
              <w:pStyle w:val="11"/>
            </w:pPr>
          </w:p>
        </w:tc>
        <w:tc>
          <w:tcPr>
            <w:tcW w:w="1474" w:type="dxa"/>
            <w:vAlign w:val="center"/>
          </w:tcPr>
          <w:p w14:paraId="23F2C5B6">
            <w:pPr>
              <w:pStyle w:val="11"/>
            </w:pPr>
          </w:p>
        </w:tc>
        <w:tc>
          <w:tcPr>
            <w:tcW w:w="1474" w:type="dxa"/>
            <w:vAlign w:val="center"/>
          </w:tcPr>
          <w:p w14:paraId="54373129">
            <w:pPr>
              <w:pStyle w:val="11"/>
            </w:pPr>
          </w:p>
        </w:tc>
      </w:tr>
      <w:tr w14:paraId="6D0F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37C09">
            <w:pPr>
              <w:pStyle w:val="13"/>
            </w:pPr>
            <w:r>
              <w:t>11</w:t>
            </w:r>
          </w:p>
        </w:tc>
        <w:tc>
          <w:tcPr>
            <w:tcW w:w="3402" w:type="dxa"/>
            <w:vAlign w:val="center"/>
          </w:tcPr>
          <w:p w14:paraId="3AA778EF">
            <w:pPr>
              <w:pStyle w:val="12"/>
            </w:pPr>
          </w:p>
        </w:tc>
        <w:tc>
          <w:tcPr>
            <w:tcW w:w="1474" w:type="dxa"/>
            <w:vAlign w:val="center"/>
          </w:tcPr>
          <w:p w14:paraId="43F063C9">
            <w:pPr>
              <w:pStyle w:val="11"/>
            </w:pPr>
          </w:p>
        </w:tc>
        <w:tc>
          <w:tcPr>
            <w:tcW w:w="3402" w:type="dxa"/>
            <w:vAlign w:val="center"/>
          </w:tcPr>
          <w:p w14:paraId="1BD74E93">
            <w:pPr>
              <w:pStyle w:val="12"/>
            </w:pPr>
            <w:r>
              <w:t>十一、节能环保支出</w:t>
            </w:r>
          </w:p>
        </w:tc>
        <w:tc>
          <w:tcPr>
            <w:tcW w:w="1474" w:type="dxa"/>
            <w:vAlign w:val="center"/>
          </w:tcPr>
          <w:p w14:paraId="2071CA21">
            <w:pPr>
              <w:pStyle w:val="11"/>
            </w:pPr>
          </w:p>
        </w:tc>
        <w:tc>
          <w:tcPr>
            <w:tcW w:w="1474" w:type="dxa"/>
            <w:vAlign w:val="center"/>
          </w:tcPr>
          <w:p w14:paraId="50DBE3FA">
            <w:pPr>
              <w:pStyle w:val="11"/>
            </w:pPr>
          </w:p>
        </w:tc>
        <w:tc>
          <w:tcPr>
            <w:tcW w:w="1474" w:type="dxa"/>
            <w:vAlign w:val="center"/>
          </w:tcPr>
          <w:p w14:paraId="00CF659C">
            <w:pPr>
              <w:pStyle w:val="11"/>
            </w:pPr>
          </w:p>
        </w:tc>
        <w:tc>
          <w:tcPr>
            <w:tcW w:w="1474" w:type="dxa"/>
            <w:vAlign w:val="center"/>
          </w:tcPr>
          <w:p w14:paraId="3CC43427">
            <w:pPr>
              <w:pStyle w:val="11"/>
            </w:pPr>
          </w:p>
        </w:tc>
      </w:tr>
      <w:tr w14:paraId="1358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D3274">
            <w:pPr>
              <w:pStyle w:val="13"/>
            </w:pPr>
            <w:r>
              <w:t>12</w:t>
            </w:r>
          </w:p>
        </w:tc>
        <w:tc>
          <w:tcPr>
            <w:tcW w:w="3402" w:type="dxa"/>
            <w:vAlign w:val="center"/>
          </w:tcPr>
          <w:p w14:paraId="17CF1C2A">
            <w:pPr>
              <w:pStyle w:val="12"/>
            </w:pPr>
          </w:p>
        </w:tc>
        <w:tc>
          <w:tcPr>
            <w:tcW w:w="1474" w:type="dxa"/>
            <w:vAlign w:val="center"/>
          </w:tcPr>
          <w:p w14:paraId="726C1243">
            <w:pPr>
              <w:pStyle w:val="11"/>
            </w:pPr>
          </w:p>
        </w:tc>
        <w:tc>
          <w:tcPr>
            <w:tcW w:w="3402" w:type="dxa"/>
            <w:vAlign w:val="center"/>
          </w:tcPr>
          <w:p w14:paraId="05C1131E">
            <w:pPr>
              <w:pStyle w:val="12"/>
            </w:pPr>
            <w:r>
              <w:t>十二、城乡社区支出</w:t>
            </w:r>
          </w:p>
        </w:tc>
        <w:tc>
          <w:tcPr>
            <w:tcW w:w="1474" w:type="dxa"/>
            <w:vAlign w:val="center"/>
          </w:tcPr>
          <w:p w14:paraId="345D718B">
            <w:pPr>
              <w:pStyle w:val="11"/>
            </w:pPr>
          </w:p>
        </w:tc>
        <w:tc>
          <w:tcPr>
            <w:tcW w:w="1474" w:type="dxa"/>
            <w:vAlign w:val="center"/>
          </w:tcPr>
          <w:p w14:paraId="7AAF5398">
            <w:pPr>
              <w:pStyle w:val="11"/>
            </w:pPr>
          </w:p>
        </w:tc>
        <w:tc>
          <w:tcPr>
            <w:tcW w:w="1474" w:type="dxa"/>
            <w:vAlign w:val="center"/>
          </w:tcPr>
          <w:p w14:paraId="06418F60">
            <w:pPr>
              <w:pStyle w:val="11"/>
            </w:pPr>
          </w:p>
        </w:tc>
        <w:tc>
          <w:tcPr>
            <w:tcW w:w="1474" w:type="dxa"/>
            <w:vAlign w:val="center"/>
          </w:tcPr>
          <w:p w14:paraId="2C205738">
            <w:pPr>
              <w:pStyle w:val="11"/>
            </w:pPr>
          </w:p>
        </w:tc>
      </w:tr>
      <w:tr w14:paraId="0E4D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E545A">
            <w:pPr>
              <w:pStyle w:val="13"/>
            </w:pPr>
            <w:r>
              <w:t>13</w:t>
            </w:r>
          </w:p>
        </w:tc>
        <w:tc>
          <w:tcPr>
            <w:tcW w:w="3402" w:type="dxa"/>
            <w:vAlign w:val="center"/>
          </w:tcPr>
          <w:p w14:paraId="5C047CB1">
            <w:pPr>
              <w:pStyle w:val="12"/>
            </w:pPr>
          </w:p>
        </w:tc>
        <w:tc>
          <w:tcPr>
            <w:tcW w:w="1474" w:type="dxa"/>
            <w:vAlign w:val="center"/>
          </w:tcPr>
          <w:p w14:paraId="183F90AD">
            <w:pPr>
              <w:pStyle w:val="11"/>
            </w:pPr>
          </w:p>
        </w:tc>
        <w:tc>
          <w:tcPr>
            <w:tcW w:w="3402" w:type="dxa"/>
            <w:vAlign w:val="center"/>
          </w:tcPr>
          <w:p w14:paraId="0D5277D3">
            <w:pPr>
              <w:pStyle w:val="12"/>
            </w:pPr>
            <w:r>
              <w:t>十三、农林水支出</w:t>
            </w:r>
          </w:p>
        </w:tc>
        <w:tc>
          <w:tcPr>
            <w:tcW w:w="1474" w:type="dxa"/>
            <w:vAlign w:val="center"/>
          </w:tcPr>
          <w:p w14:paraId="04A8632A">
            <w:pPr>
              <w:pStyle w:val="11"/>
            </w:pPr>
          </w:p>
        </w:tc>
        <w:tc>
          <w:tcPr>
            <w:tcW w:w="1474" w:type="dxa"/>
            <w:vAlign w:val="center"/>
          </w:tcPr>
          <w:p w14:paraId="3388EFF6">
            <w:pPr>
              <w:pStyle w:val="11"/>
            </w:pPr>
          </w:p>
        </w:tc>
        <w:tc>
          <w:tcPr>
            <w:tcW w:w="1474" w:type="dxa"/>
            <w:vAlign w:val="center"/>
          </w:tcPr>
          <w:p w14:paraId="7412B40C">
            <w:pPr>
              <w:pStyle w:val="11"/>
            </w:pPr>
          </w:p>
        </w:tc>
        <w:tc>
          <w:tcPr>
            <w:tcW w:w="1474" w:type="dxa"/>
            <w:vAlign w:val="center"/>
          </w:tcPr>
          <w:p w14:paraId="79389B35">
            <w:pPr>
              <w:pStyle w:val="11"/>
            </w:pPr>
          </w:p>
        </w:tc>
      </w:tr>
      <w:tr w14:paraId="5D51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9E941">
            <w:pPr>
              <w:pStyle w:val="13"/>
            </w:pPr>
            <w:r>
              <w:t>14</w:t>
            </w:r>
          </w:p>
        </w:tc>
        <w:tc>
          <w:tcPr>
            <w:tcW w:w="3402" w:type="dxa"/>
            <w:vAlign w:val="center"/>
          </w:tcPr>
          <w:p w14:paraId="52DBA93C">
            <w:pPr>
              <w:pStyle w:val="12"/>
            </w:pPr>
          </w:p>
        </w:tc>
        <w:tc>
          <w:tcPr>
            <w:tcW w:w="1474" w:type="dxa"/>
            <w:vAlign w:val="center"/>
          </w:tcPr>
          <w:p w14:paraId="6EF9CF5B">
            <w:pPr>
              <w:pStyle w:val="11"/>
            </w:pPr>
          </w:p>
        </w:tc>
        <w:tc>
          <w:tcPr>
            <w:tcW w:w="3402" w:type="dxa"/>
            <w:vAlign w:val="center"/>
          </w:tcPr>
          <w:p w14:paraId="6105D744">
            <w:pPr>
              <w:pStyle w:val="12"/>
            </w:pPr>
            <w:r>
              <w:t>十四、交通运输支出</w:t>
            </w:r>
          </w:p>
        </w:tc>
        <w:tc>
          <w:tcPr>
            <w:tcW w:w="1474" w:type="dxa"/>
            <w:vAlign w:val="center"/>
          </w:tcPr>
          <w:p w14:paraId="6698F4FD">
            <w:pPr>
              <w:pStyle w:val="11"/>
            </w:pPr>
          </w:p>
        </w:tc>
        <w:tc>
          <w:tcPr>
            <w:tcW w:w="1474" w:type="dxa"/>
            <w:vAlign w:val="center"/>
          </w:tcPr>
          <w:p w14:paraId="5887CA44">
            <w:pPr>
              <w:pStyle w:val="11"/>
            </w:pPr>
          </w:p>
        </w:tc>
        <w:tc>
          <w:tcPr>
            <w:tcW w:w="1474" w:type="dxa"/>
            <w:vAlign w:val="center"/>
          </w:tcPr>
          <w:p w14:paraId="3791218E">
            <w:pPr>
              <w:pStyle w:val="11"/>
            </w:pPr>
          </w:p>
        </w:tc>
        <w:tc>
          <w:tcPr>
            <w:tcW w:w="1474" w:type="dxa"/>
            <w:vAlign w:val="center"/>
          </w:tcPr>
          <w:p w14:paraId="2CC699E2">
            <w:pPr>
              <w:pStyle w:val="11"/>
            </w:pPr>
          </w:p>
        </w:tc>
      </w:tr>
      <w:tr w14:paraId="3CB1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37A24">
            <w:pPr>
              <w:pStyle w:val="13"/>
            </w:pPr>
            <w:r>
              <w:t>15</w:t>
            </w:r>
          </w:p>
        </w:tc>
        <w:tc>
          <w:tcPr>
            <w:tcW w:w="3402" w:type="dxa"/>
            <w:vAlign w:val="center"/>
          </w:tcPr>
          <w:p w14:paraId="1E8D281C">
            <w:pPr>
              <w:pStyle w:val="12"/>
            </w:pPr>
          </w:p>
        </w:tc>
        <w:tc>
          <w:tcPr>
            <w:tcW w:w="1474" w:type="dxa"/>
            <w:vAlign w:val="center"/>
          </w:tcPr>
          <w:p w14:paraId="7B32148B">
            <w:pPr>
              <w:pStyle w:val="11"/>
            </w:pPr>
          </w:p>
        </w:tc>
        <w:tc>
          <w:tcPr>
            <w:tcW w:w="3402" w:type="dxa"/>
            <w:vAlign w:val="center"/>
          </w:tcPr>
          <w:p w14:paraId="64CECF02">
            <w:pPr>
              <w:pStyle w:val="12"/>
            </w:pPr>
            <w:r>
              <w:t>十五、资源勘探工业信息等支出</w:t>
            </w:r>
          </w:p>
        </w:tc>
        <w:tc>
          <w:tcPr>
            <w:tcW w:w="1474" w:type="dxa"/>
            <w:vAlign w:val="center"/>
          </w:tcPr>
          <w:p w14:paraId="631C0EE0">
            <w:pPr>
              <w:pStyle w:val="11"/>
            </w:pPr>
          </w:p>
        </w:tc>
        <w:tc>
          <w:tcPr>
            <w:tcW w:w="1474" w:type="dxa"/>
            <w:vAlign w:val="center"/>
          </w:tcPr>
          <w:p w14:paraId="498416D5">
            <w:pPr>
              <w:pStyle w:val="11"/>
            </w:pPr>
          </w:p>
        </w:tc>
        <w:tc>
          <w:tcPr>
            <w:tcW w:w="1474" w:type="dxa"/>
            <w:vAlign w:val="center"/>
          </w:tcPr>
          <w:p w14:paraId="58DF0CE4">
            <w:pPr>
              <w:pStyle w:val="11"/>
            </w:pPr>
          </w:p>
        </w:tc>
        <w:tc>
          <w:tcPr>
            <w:tcW w:w="1474" w:type="dxa"/>
            <w:vAlign w:val="center"/>
          </w:tcPr>
          <w:p w14:paraId="6A7F0873">
            <w:pPr>
              <w:pStyle w:val="11"/>
            </w:pPr>
          </w:p>
        </w:tc>
      </w:tr>
      <w:tr w14:paraId="5BE0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AD69">
            <w:pPr>
              <w:pStyle w:val="13"/>
            </w:pPr>
            <w:r>
              <w:t>16</w:t>
            </w:r>
          </w:p>
        </w:tc>
        <w:tc>
          <w:tcPr>
            <w:tcW w:w="3402" w:type="dxa"/>
            <w:vAlign w:val="center"/>
          </w:tcPr>
          <w:p w14:paraId="20F303D7">
            <w:pPr>
              <w:pStyle w:val="12"/>
            </w:pPr>
          </w:p>
        </w:tc>
        <w:tc>
          <w:tcPr>
            <w:tcW w:w="1474" w:type="dxa"/>
            <w:vAlign w:val="center"/>
          </w:tcPr>
          <w:p w14:paraId="5E6E879C">
            <w:pPr>
              <w:pStyle w:val="11"/>
            </w:pPr>
          </w:p>
        </w:tc>
        <w:tc>
          <w:tcPr>
            <w:tcW w:w="3402" w:type="dxa"/>
            <w:vAlign w:val="center"/>
          </w:tcPr>
          <w:p w14:paraId="7F62EEFB">
            <w:pPr>
              <w:pStyle w:val="12"/>
            </w:pPr>
            <w:r>
              <w:t>十六、商业服务业等支出</w:t>
            </w:r>
          </w:p>
        </w:tc>
        <w:tc>
          <w:tcPr>
            <w:tcW w:w="1474" w:type="dxa"/>
            <w:vAlign w:val="center"/>
          </w:tcPr>
          <w:p w14:paraId="1C54FCA6">
            <w:pPr>
              <w:pStyle w:val="11"/>
            </w:pPr>
          </w:p>
        </w:tc>
        <w:tc>
          <w:tcPr>
            <w:tcW w:w="1474" w:type="dxa"/>
            <w:vAlign w:val="center"/>
          </w:tcPr>
          <w:p w14:paraId="63024545">
            <w:pPr>
              <w:pStyle w:val="11"/>
            </w:pPr>
          </w:p>
        </w:tc>
        <w:tc>
          <w:tcPr>
            <w:tcW w:w="1474" w:type="dxa"/>
            <w:vAlign w:val="center"/>
          </w:tcPr>
          <w:p w14:paraId="042327A2">
            <w:pPr>
              <w:pStyle w:val="11"/>
            </w:pPr>
          </w:p>
        </w:tc>
        <w:tc>
          <w:tcPr>
            <w:tcW w:w="1474" w:type="dxa"/>
            <w:vAlign w:val="center"/>
          </w:tcPr>
          <w:p w14:paraId="58D475BC">
            <w:pPr>
              <w:pStyle w:val="11"/>
            </w:pPr>
          </w:p>
        </w:tc>
      </w:tr>
      <w:tr w14:paraId="31917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135B">
            <w:pPr>
              <w:pStyle w:val="13"/>
            </w:pPr>
            <w:r>
              <w:t>17</w:t>
            </w:r>
          </w:p>
        </w:tc>
        <w:tc>
          <w:tcPr>
            <w:tcW w:w="3402" w:type="dxa"/>
            <w:vAlign w:val="center"/>
          </w:tcPr>
          <w:p w14:paraId="1585F72B">
            <w:pPr>
              <w:pStyle w:val="12"/>
            </w:pPr>
          </w:p>
        </w:tc>
        <w:tc>
          <w:tcPr>
            <w:tcW w:w="1474" w:type="dxa"/>
            <w:vAlign w:val="center"/>
          </w:tcPr>
          <w:p w14:paraId="361AD3E1">
            <w:pPr>
              <w:pStyle w:val="11"/>
            </w:pPr>
          </w:p>
        </w:tc>
        <w:tc>
          <w:tcPr>
            <w:tcW w:w="3402" w:type="dxa"/>
            <w:vAlign w:val="center"/>
          </w:tcPr>
          <w:p w14:paraId="1AF6A012">
            <w:pPr>
              <w:pStyle w:val="12"/>
            </w:pPr>
            <w:r>
              <w:t>十七、金融支出</w:t>
            </w:r>
          </w:p>
        </w:tc>
        <w:tc>
          <w:tcPr>
            <w:tcW w:w="1474" w:type="dxa"/>
            <w:vAlign w:val="center"/>
          </w:tcPr>
          <w:p w14:paraId="7880CFF5">
            <w:pPr>
              <w:pStyle w:val="11"/>
            </w:pPr>
          </w:p>
        </w:tc>
        <w:tc>
          <w:tcPr>
            <w:tcW w:w="1474" w:type="dxa"/>
            <w:vAlign w:val="center"/>
          </w:tcPr>
          <w:p w14:paraId="460EF733">
            <w:pPr>
              <w:pStyle w:val="11"/>
            </w:pPr>
          </w:p>
        </w:tc>
        <w:tc>
          <w:tcPr>
            <w:tcW w:w="1474" w:type="dxa"/>
            <w:vAlign w:val="center"/>
          </w:tcPr>
          <w:p w14:paraId="1C502C0A">
            <w:pPr>
              <w:pStyle w:val="11"/>
            </w:pPr>
          </w:p>
        </w:tc>
        <w:tc>
          <w:tcPr>
            <w:tcW w:w="1474" w:type="dxa"/>
            <w:vAlign w:val="center"/>
          </w:tcPr>
          <w:p w14:paraId="607D0E3C">
            <w:pPr>
              <w:pStyle w:val="11"/>
            </w:pPr>
          </w:p>
        </w:tc>
      </w:tr>
      <w:tr w14:paraId="37FC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31FC8">
            <w:pPr>
              <w:pStyle w:val="13"/>
            </w:pPr>
            <w:r>
              <w:t>18</w:t>
            </w:r>
          </w:p>
        </w:tc>
        <w:tc>
          <w:tcPr>
            <w:tcW w:w="3402" w:type="dxa"/>
            <w:vAlign w:val="center"/>
          </w:tcPr>
          <w:p w14:paraId="2D9D0EE4">
            <w:pPr>
              <w:pStyle w:val="12"/>
            </w:pPr>
          </w:p>
        </w:tc>
        <w:tc>
          <w:tcPr>
            <w:tcW w:w="1474" w:type="dxa"/>
            <w:vAlign w:val="center"/>
          </w:tcPr>
          <w:p w14:paraId="564E30C6">
            <w:pPr>
              <w:pStyle w:val="11"/>
            </w:pPr>
          </w:p>
        </w:tc>
        <w:tc>
          <w:tcPr>
            <w:tcW w:w="3402" w:type="dxa"/>
            <w:vAlign w:val="center"/>
          </w:tcPr>
          <w:p w14:paraId="5BAAF798">
            <w:pPr>
              <w:pStyle w:val="12"/>
            </w:pPr>
            <w:r>
              <w:t>十八、援助其他地区支出</w:t>
            </w:r>
          </w:p>
        </w:tc>
        <w:tc>
          <w:tcPr>
            <w:tcW w:w="1474" w:type="dxa"/>
            <w:vAlign w:val="center"/>
          </w:tcPr>
          <w:p w14:paraId="6E419B54">
            <w:pPr>
              <w:pStyle w:val="11"/>
            </w:pPr>
          </w:p>
        </w:tc>
        <w:tc>
          <w:tcPr>
            <w:tcW w:w="1474" w:type="dxa"/>
            <w:vAlign w:val="center"/>
          </w:tcPr>
          <w:p w14:paraId="1526C0AE">
            <w:pPr>
              <w:pStyle w:val="11"/>
            </w:pPr>
          </w:p>
        </w:tc>
        <w:tc>
          <w:tcPr>
            <w:tcW w:w="1474" w:type="dxa"/>
            <w:vAlign w:val="center"/>
          </w:tcPr>
          <w:p w14:paraId="2EA3EA08">
            <w:pPr>
              <w:pStyle w:val="11"/>
            </w:pPr>
          </w:p>
        </w:tc>
        <w:tc>
          <w:tcPr>
            <w:tcW w:w="1474" w:type="dxa"/>
            <w:vAlign w:val="center"/>
          </w:tcPr>
          <w:p w14:paraId="64E9E845">
            <w:pPr>
              <w:pStyle w:val="11"/>
            </w:pPr>
          </w:p>
        </w:tc>
      </w:tr>
      <w:tr w14:paraId="44569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C2E56">
            <w:pPr>
              <w:pStyle w:val="13"/>
            </w:pPr>
            <w:r>
              <w:t>19</w:t>
            </w:r>
          </w:p>
        </w:tc>
        <w:tc>
          <w:tcPr>
            <w:tcW w:w="3402" w:type="dxa"/>
            <w:vAlign w:val="center"/>
          </w:tcPr>
          <w:p w14:paraId="3251B540">
            <w:pPr>
              <w:pStyle w:val="12"/>
            </w:pPr>
          </w:p>
        </w:tc>
        <w:tc>
          <w:tcPr>
            <w:tcW w:w="1474" w:type="dxa"/>
            <w:vAlign w:val="center"/>
          </w:tcPr>
          <w:p w14:paraId="59768D78">
            <w:pPr>
              <w:pStyle w:val="11"/>
            </w:pPr>
          </w:p>
        </w:tc>
        <w:tc>
          <w:tcPr>
            <w:tcW w:w="3402" w:type="dxa"/>
            <w:vAlign w:val="center"/>
          </w:tcPr>
          <w:p w14:paraId="6D8457B6">
            <w:pPr>
              <w:pStyle w:val="12"/>
            </w:pPr>
            <w:r>
              <w:t>十九、自然资源海洋气象等支出</w:t>
            </w:r>
          </w:p>
        </w:tc>
        <w:tc>
          <w:tcPr>
            <w:tcW w:w="1474" w:type="dxa"/>
            <w:vAlign w:val="center"/>
          </w:tcPr>
          <w:p w14:paraId="4866A952">
            <w:pPr>
              <w:pStyle w:val="11"/>
            </w:pPr>
          </w:p>
        </w:tc>
        <w:tc>
          <w:tcPr>
            <w:tcW w:w="1474" w:type="dxa"/>
            <w:vAlign w:val="center"/>
          </w:tcPr>
          <w:p w14:paraId="120EFED4">
            <w:pPr>
              <w:pStyle w:val="11"/>
            </w:pPr>
          </w:p>
        </w:tc>
        <w:tc>
          <w:tcPr>
            <w:tcW w:w="1474" w:type="dxa"/>
            <w:vAlign w:val="center"/>
          </w:tcPr>
          <w:p w14:paraId="250EA9DD">
            <w:pPr>
              <w:pStyle w:val="11"/>
            </w:pPr>
          </w:p>
        </w:tc>
        <w:tc>
          <w:tcPr>
            <w:tcW w:w="1474" w:type="dxa"/>
            <w:vAlign w:val="center"/>
          </w:tcPr>
          <w:p w14:paraId="11F76A9B">
            <w:pPr>
              <w:pStyle w:val="11"/>
            </w:pPr>
          </w:p>
        </w:tc>
      </w:tr>
      <w:tr w14:paraId="36DF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BC321">
            <w:pPr>
              <w:pStyle w:val="13"/>
            </w:pPr>
            <w:r>
              <w:t>20</w:t>
            </w:r>
          </w:p>
        </w:tc>
        <w:tc>
          <w:tcPr>
            <w:tcW w:w="3402" w:type="dxa"/>
            <w:vAlign w:val="center"/>
          </w:tcPr>
          <w:p w14:paraId="740AA6CC">
            <w:pPr>
              <w:pStyle w:val="12"/>
            </w:pPr>
          </w:p>
        </w:tc>
        <w:tc>
          <w:tcPr>
            <w:tcW w:w="1474" w:type="dxa"/>
            <w:vAlign w:val="center"/>
          </w:tcPr>
          <w:p w14:paraId="2B95A015">
            <w:pPr>
              <w:pStyle w:val="11"/>
            </w:pPr>
          </w:p>
        </w:tc>
        <w:tc>
          <w:tcPr>
            <w:tcW w:w="3402" w:type="dxa"/>
            <w:vAlign w:val="center"/>
          </w:tcPr>
          <w:p w14:paraId="59443B0A">
            <w:pPr>
              <w:pStyle w:val="12"/>
            </w:pPr>
            <w:r>
              <w:t>二十、住房保障支出</w:t>
            </w:r>
          </w:p>
        </w:tc>
        <w:tc>
          <w:tcPr>
            <w:tcW w:w="1474" w:type="dxa"/>
            <w:vAlign w:val="center"/>
          </w:tcPr>
          <w:p w14:paraId="18D43A5B">
            <w:pPr>
              <w:pStyle w:val="11"/>
            </w:pPr>
          </w:p>
        </w:tc>
        <w:tc>
          <w:tcPr>
            <w:tcW w:w="1474" w:type="dxa"/>
            <w:vAlign w:val="center"/>
          </w:tcPr>
          <w:p w14:paraId="20F54B91">
            <w:pPr>
              <w:pStyle w:val="11"/>
            </w:pPr>
          </w:p>
        </w:tc>
        <w:tc>
          <w:tcPr>
            <w:tcW w:w="1474" w:type="dxa"/>
            <w:vAlign w:val="center"/>
          </w:tcPr>
          <w:p w14:paraId="1B0743A8">
            <w:pPr>
              <w:pStyle w:val="11"/>
            </w:pPr>
          </w:p>
        </w:tc>
        <w:tc>
          <w:tcPr>
            <w:tcW w:w="1474" w:type="dxa"/>
            <w:vAlign w:val="center"/>
          </w:tcPr>
          <w:p w14:paraId="39E3E6FC">
            <w:pPr>
              <w:pStyle w:val="11"/>
            </w:pPr>
          </w:p>
        </w:tc>
      </w:tr>
      <w:tr w14:paraId="7E1D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F5FF9">
            <w:pPr>
              <w:pStyle w:val="13"/>
            </w:pPr>
            <w:r>
              <w:t>21</w:t>
            </w:r>
          </w:p>
        </w:tc>
        <w:tc>
          <w:tcPr>
            <w:tcW w:w="3402" w:type="dxa"/>
            <w:vAlign w:val="center"/>
          </w:tcPr>
          <w:p w14:paraId="6FE5848B">
            <w:pPr>
              <w:pStyle w:val="12"/>
            </w:pPr>
          </w:p>
        </w:tc>
        <w:tc>
          <w:tcPr>
            <w:tcW w:w="1474" w:type="dxa"/>
            <w:vAlign w:val="center"/>
          </w:tcPr>
          <w:p w14:paraId="6A9AEBD8">
            <w:pPr>
              <w:pStyle w:val="11"/>
            </w:pPr>
          </w:p>
        </w:tc>
        <w:tc>
          <w:tcPr>
            <w:tcW w:w="3402" w:type="dxa"/>
            <w:vAlign w:val="center"/>
          </w:tcPr>
          <w:p w14:paraId="19C6B101">
            <w:pPr>
              <w:pStyle w:val="12"/>
            </w:pPr>
            <w:r>
              <w:t>二十一、粮油物资储备支出</w:t>
            </w:r>
          </w:p>
        </w:tc>
        <w:tc>
          <w:tcPr>
            <w:tcW w:w="1474" w:type="dxa"/>
            <w:vAlign w:val="center"/>
          </w:tcPr>
          <w:p w14:paraId="4A0ABCB1">
            <w:pPr>
              <w:pStyle w:val="11"/>
            </w:pPr>
          </w:p>
        </w:tc>
        <w:tc>
          <w:tcPr>
            <w:tcW w:w="1474" w:type="dxa"/>
            <w:vAlign w:val="center"/>
          </w:tcPr>
          <w:p w14:paraId="243EF03B">
            <w:pPr>
              <w:pStyle w:val="11"/>
            </w:pPr>
          </w:p>
        </w:tc>
        <w:tc>
          <w:tcPr>
            <w:tcW w:w="1474" w:type="dxa"/>
            <w:vAlign w:val="center"/>
          </w:tcPr>
          <w:p w14:paraId="241EFC90">
            <w:pPr>
              <w:pStyle w:val="11"/>
            </w:pPr>
          </w:p>
        </w:tc>
        <w:tc>
          <w:tcPr>
            <w:tcW w:w="1474" w:type="dxa"/>
            <w:vAlign w:val="center"/>
          </w:tcPr>
          <w:p w14:paraId="36FE2B5A">
            <w:pPr>
              <w:pStyle w:val="11"/>
            </w:pPr>
          </w:p>
        </w:tc>
      </w:tr>
      <w:tr w14:paraId="4A5C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0DC7">
            <w:pPr>
              <w:pStyle w:val="13"/>
            </w:pPr>
            <w:r>
              <w:t>22</w:t>
            </w:r>
          </w:p>
        </w:tc>
        <w:tc>
          <w:tcPr>
            <w:tcW w:w="3402" w:type="dxa"/>
            <w:vAlign w:val="center"/>
          </w:tcPr>
          <w:p w14:paraId="1211C811">
            <w:pPr>
              <w:pStyle w:val="12"/>
            </w:pPr>
          </w:p>
        </w:tc>
        <w:tc>
          <w:tcPr>
            <w:tcW w:w="1474" w:type="dxa"/>
            <w:vAlign w:val="center"/>
          </w:tcPr>
          <w:p w14:paraId="6956882A">
            <w:pPr>
              <w:pStyle w:val="11"/>
            </w:pPr>
          </w:p>
        </w:tc>
        <w:tc>
          <w:tcPr>
            <w:tcW w:w="3402" w:type="dxa"/>
            <w:vAlign w:val="center"/>
          </w:tcPr>
          <w:p w14:paraId="7FC8B5FC">
            <w:pPr>
              <w:pStyle w:val="12"/>
            </w:pPr>
            <w:r>
              <w:t>二十二、国有资本经营预算支出</w:t>
            </w:r>
          </w:p>
        </w:tc>
        <w:tc>
          <w:tcPr>
            <w:tcW w:w="1474" w:type="dxa"/>
            <w:vAlign w:val="center"/>
          </w:tcPr>
          <w:p w14:paraId="1868EA3F">
            <w:pPr>
              <w:pStyle w:val="11"/>
            </w:pPr>
          </w:p>
        </w:tc>
        <w:tc>
          <w:tcPr>
            <w:tcW w:w="1474" w:type="dxa"/>
            <w:vAlign w:val="center"/>
          </w:tcPr>
          <w:p w14:paraId="5C8BEE38">
            <w:pPr>
              <w:pStyle w:val="11"/>
            </w:pPr>
          </w:p>
        </w:tc>
        <w:tc>
          <w:tcPr>
            <w:tcW w:w="1474" w:type="dxa"/>
            <w:vAlign w:val="center"/>
          </w:tcPr>
          <w:p w14:paraId="4E554A8E">
            <w:pPr>
              <w:pStyle w:val="11"/>
            </w:pPr>
          </w:p>
        </w:tc>
        <w:tc>
          <w:tcPr>
            <w:tcW w:w="1474" w:type="dxa"/>
            <w:vAlign w:val="center"/>
          </w:tcPr>
          <w:p w14:paraId="1B847CD8">
            <w:pPr>
              <w:pStyle w:val="11"/>
            </w:pPr>
          </w:p>
        </w:tc>
      </w:tr>
      <w:tr w14:paraId="4DA0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6573E">
            <w:pPr>
              <w:pStyle w:val="13"/>
            </w:pPr>
            <w:r>
              <w:t>23</w:t>
            </w:r>
          </w:p>
        </w:tc>
        <w:tc>
          <w:tcPr>
            <w:tcW w:w="3402" w:type="dxa"/>
            <w:vAlign w:val="center"/>
          </w:tcPr>
          <w:p w14:paraId="35EC577A">
            <w:pPr>
              <w:pStyle w:val="12"/>
            </w:pPr>
          </w:p>
        </w:tc>
        <w:tc>
          <w:tcPr>
            <w:tcW w:w="1474" w:type="dxa"/>
            <w:vAlign w:val="center"/>
          </w:tcPr>
          <w:p w14:paraId="10B47E43">
            <w:pPr>
              <w:pStyle w:val="11"/>
            </w:pPr>
          </w:p>
        </w:tc>
        <w:tc>
          <w:tcPr>
            <w:tcW w:w="3402" w:type="dxa"/>
            <w:vAlign w:val="center"/>
          </w:tcPr>
          <w:p w14:paraId="31184D48">
            <w:pPr>
              <w:pStyle w:val="12"/>
            </w:pPr>
            <w:r>
              <w:t>二十三、灾害防治及应急管理支出</w:t>
            </w:r>
          </w:p>
        </w:tc>
        <w:tc>
          <w:tcPr>
            <w:tcW w:w="1474" w:type="dxa"/>
            <w:vAlign w:val="center"/>
          </w:tcPr>
          <w:p w14:paraId="2FC61710">
            <w:pPr>
              <w:pStyle w:val="11"/>
            </w:pPr>
          </w:p>
        </w:tc>
        <w:tc>
          <w:tcPr>
            <w:tcW w:w="1474" w:type="dxa"/>
            <w:vAlign w:val="center"/>
          </w:tcPr>
          <w:p w14:paraId="75B06257">
            <w:pPr>
              <w:pStyle w:val="11"/>
            </w:pPr>
          </w:p>
        </w:tc>
        <w:tc>
          <w:tcPr>
            <w:tcW w:w="1474" w:type="dxa"/>
            <w:vAlign w:val="center"/>
          </w:tcPr>
          <w:p w14:paraId="265A533E">
            <w:pPr>
              <w:pStyle w:val="11"/>
            </w:pPr>
          </w:p>
        </w:tc>
        <w:tc>
          <w:tcPr>
            <w:tcW w:w="1474" w:type="dxa"/>
            <w:vAlign w:val="center"/>
          </w:tcPr>
          <w:p w14:paraId="6C4BCDEB">
            <w:pPr>
              <w:pStyle w:val="11"/>
            </w:pPr>
          </w:p>
        </w:tc>
      </w:tr>
      <w:tr w14:paraId="1081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009A5">
            <w:pPr>
              <w:pStyle w:val="13"/>
            </w:pPr>
            <w:r>
              <w:t>24</w:t>
            </w:r>
          </w:p>
        </w:tc>
        <w:tc>
          <w:tcPr>
            <w:tcW w:w="3402" w:type="dxa"/>
            <w:vAlign w:val="center"/>
          </w:tcPr>
          <w:p w14:paraId="25424F1D">
            <w:pPr>
              <w:pStyle w:val="12"/>
            </w:pPr>
          </w:p>
        </w:tc>
        <w:tc>
          <w:tcPr>
            <w:tcW w:w="1474" w:type="dxa"/>
            <w:vAlign w:val="center"/>
          </w:tcPr>
          <w:p w14:paraId="382819CF">
            <w:pPr>
              <w:pStyle w:val="11"/>
            </w:pPr>
          </w:p>
        </w:tc>
        <w:tc>
          <w:tcPr>
            <w:tcW w:w="3402" w:type="dxa"/>
            <w:vAlign w:val="center"/>
          </w:tcPr>
          <w:p w14:paraId="0139D631">
            <w:pPr>
              <w:pStyle w:val="12"/>
            </w:pPr>
            <w:r>
              <w:t>二十四、预备费</w:t>
            </w:r>
          </w:p>
        </w:tc>
        <w:tc>
          <w:tcPr>
            <w:tcW w:w="1474" w:type="dxa"/>
            <w:vAlign w:val="center"/>
          </w:tcPr>
          <w:p w14:paraId="6357FDCA">
            <w:pPr>
              <w:pStyle w:val="11"/>
            </w:pPr>
          </w:p>
        </w:tc>
        <w:tc>
          <w:tcPr>
            <w:tcW w:w="1474" w:type="dxa"/>
            <w:vAlign w:val="center"/>
          </w:tcPr>
          <w:p w14:paraId="05174C58">
            <w:pPr>
              <w:pStyle w:val="11"/>
            </w:pPr>
          </w:p>
        </w:tc>
        <w:tc>
          <w:tcPr>
            <w:tcW w:w="1474" w:type="dxa"/>
            <w:vAlign w:val="center"/>
          </w:tcPr>
          <w:p w14:paraId="76AEA36D">
            <w:pPr>
              <w:pStyle w:val="11"/>
            </w:pPr>
          </w:p>
        </w:tc>
        <w:tc>
          <w:tcPr>
            <w:tcW w:w="1474" w:type="dxa"/>
            <w:vAlign w:val="center"/>
          </w:tcPr>
          <w:p w14:paraId="206829C9">
            <w:pPr>
              <w:pStyle w:val="11"/>
            </w:pPr>
          </w:p>
        </w:tc>
      </w:tr>
      <w:tr w14:paraId="278F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AB57">
            <w:pPr>
              <w:pStyle w:val="13"/>
            </w:pPr>
            <w:r>
              <w:t>25</w:t>
            </w:r>
          </w:p>
        </w:tc>
        <w:tc>
          <w:tcPr>
            <w:tcW w:w="3402" w:type="dxa"/>
            <w:vAlign w:val="center"/>
          </w:tcPr>
          <w:p w14:paraId="772976EF">
            <w:pPr>
              <w:pStyle w:val="12"/>
            </w:pPr>
          </w:p>
        </w:tc>
        <w:tc>
          <w:tcPr>
            <w:tcW w:w="1474" w:type="dxa"/>
            <w:vAlign w:val="center"/>
          </w:tcPr>
          <w:p w14:paraId="4B8A79CE">
            <w:pPr>
              <w:pStyle w:val="11"/>
            </w:pPr>
          </w:p>
        </w:tc>
        <w:tc>
          <w:tcPr>
            <w:tcW w:w="3402" w:type="dxa"/>
            <w:vAlign w:val="center"/>
          </w:tcPr>
          <w:p w14:paraId="405069B8">
            <w:pPr>
              <w:pStyle w:val="12"/>
            </w:pPr>
            <w:r>
              <w:t>二十五、其他支出</w:t>
            </w:r>
          </w:p>
        </w:tc>
        <w:tc>
          <w:tcPr>
            <w:tcW w:w="1474" w:type="dxa"/>
            <w:vAlign w:val="center"/>
          </w:tcPr>
          <w:p w14:paraId="2C039C48">
            <w:pPr>
              <w:pStyle w:val="11"/>
            </w:pPr>
          </w:p>
        </w:tc>
        <w:tc>
          <w:tcPr>
            <w:tcW w:w="1474" w:type="dxa"/>
            <w:vAlign w:val="center"/>
          </w:tcPr>
          <w:p w14:paraId="00506949">
            <w:pPr>
              <w:pStyle w:val="11"/>
            </w:pPr>
          </w:p>
        </w:tc>
        <w:tc>
          <w:tcPr>
            <w:tcW w:w="1474" w:type="dxa"/>
            <w:vAlign w:val="center"/>
          </w:tcPr>
          <w:p w14:paraId="09E908B4">
            <w:pPr>
              <w:pStyle w:val="11"/>
            </w:pPr>
          </w:p>
        </w:tc>
        <w:tc>
          <w:tcPr>
            <w:tcW w:w="1474" w:type="dxa"/>
            <w:vAlign w:val="center"/>
          </w:tcPr>
          <w:p w14:paraId="57B7C198">
            <w:pPr>
              <w:pStyle w:val="11"/>
            </w:pPr>
          </w:p>
        </w:tc>
      </w:tr>
      <w:tr w14:paraId="4B71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AA89">
            <w:pPr>
              <w:pStyle w:val="13"/>
            </w:pPr>
            <w:r>
              <w:t>26</w:t>
            </w:r>
          </w:p>
        </w:tc>
        <w:tc>
          <w:tcPr>
            <w:tcW w:w="3402" w:type="dxa"/>
            <w:vAlign w:val="center"/>
          </w:tcPr>
          <w:p w14:paraId="13D71C44">
            <w:pPr>
              <w:pStyle w:val="12"/>
            </w:pPr>
          </w:p>
        </w:tc>
        <w:tc>
          <w:tcPr>
            <w:tcW w:w="1474" w:type="dxa"/>
            <w:vAlign w:val="center"/>
          </w:tcPr>
          <w:p w14:paraId="1D05DDAB">
            <w:pPr>
              <w:pStyle w:val="11"/>
            </w:pPr>
          </w:p>
        </w:tc>
        <w:tc>
          <w:tcPr>
            <w:tcW w:w="3402" w:type="dxa"/>
            <w:vAlign w:val="center"/>
          </w:tcPr>
          <w:p w14:paraId="4370963C">
            <w:pPr>
              <w:pStyle w:val="12"/>
            </w:pPr>
            <w:r>
              <w:t>二十六、转移性支出</w:t>
            </w:r>
          </w:p>
        </w:tc>
        <w:tc>
          <w:tcPr>
            <w:tcW w:w="1474" w:type="dxa"/>
            <w:vAlign w:val="center"/>
          </w:tcPr>
          <w:p w14:paraId="4DA1F406">
            <w:pPr>
              <w:pStyle w:val="11"/>
            </w:pPr>
          </w:p>
        </w:tc>
        <w:tc>
          <w:tcPr>
            <w:tcW w:w="1474" w:type="dxa"/>
            <w:vAlign w:val="center"/>
          </w:tcPr>
          <w:p w14:paraId="6D1169F0">
            <w:pPr>
              <w:pStyle w:val="11"/>
            </w:pPr>
          </w:p>
        </w:tc>
        <w:tc>
          <w:tcPr>
            <w:tcW w:w="1474" w:type="dxa"/>
            <w:vAlign w:val="center"/>
          </w:tcPr>
          <w:p w14:paraId="6B3ED13B">
            <w:pPr>
              <w:pStyle w:val="11"/>
            </w:pPr>
          </w:p>
        </w:tc>
        <w:tc>
          <w:tcPr>
            <w:tcW w:w="1474" w:type="dxa"/>
            <w:vAlign w:val="center"/>
          </w:tcPr>
          <w:p w14:paraId="7D773018">
            <w:pPr>
              <w:pStyle w:val="11"/>
            </w:pPr>
          </w:p>
        </w:tc>
      </w:tr>
      <w:tr w14:paraId="3BEA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95CDC">
            <w:pPr>
              <w:pStyle w:val="13"/>
            </w:pPr>
            <w:r>
              <w:t>27</w:t>
            </w:r>
          </w:p>
        </w:tc>
        <w:tc>
          <w:tcPr>
            <w:tcW w:w="3402" w:type="dxa"/>
            <w:vAlign w:val="center"/>
          </w:tcPr>
          <w:p w14:paraId="658DCF50">
            <w:pPr>
              <w:pStyle w:val="12"/>
            </w:pPr>
          </w:p>
        </w:tc>
        <w:tc>
          <w:tcPr>
            <w:tcW w:w="1474" w:type="dxa"/>
            <w:vAlign w:val="center"/>
          </w:tcPr>
          <w:p w14:paraId="66F882F6">
            <w:pPr>
              <w:pStyle w:val="11"/>
            </w:pPr>
          </w:p>
        </w:tc>
        <w:tc>
          <w:tcPr>
            <w:tcW w:w="3402" w:type="dxa"/>
            <w:vAlign w:val="center"/>
          </w:tcPr>
          <w:p w14:paraId="62B5D560">
            <w:pPr>
              <w:pStyle w:val="12"/>
            </w:pPr>
            <w:r>
              <w:t>二十七、债务还本支出</w:t>
            </w:r>
          </w:p>
        </w:tc>
        <w:tc>
          <w:tcPr>
            <w:tcW w:w="1474" w:type="dxa"/>
            <w:vAlign w:val="center"/>
          </w:tcPr>
          <w:p w14:paraId="48EF195F">
            <w:pPr>
              <w:pStyle w:val="11"/>
            </w:pPr>
          </w:p>
        </w:tc>
        <w:tc>
          <w:tcPr>
            <w:tcW w:w="1474" w:type="dxa"/>
            <w:vAlign w:val="center"/>
          </w:tcPr>
          <w:p w14:paraId="5E9B1FBC">
            <w:pPr>
              <w:pStyle w:val="11"/>
            </w:pPr>
          </w:p>
        </w:tc>
        <w:tc>
          <w:tcPr>
            <w:tcW w:w="1474" w:type="dxa"/>
            <w:vAlign w:val="center"/>
          </w:tcPr>
          <w:p w14:paraId="02E6C9F3">
            <w:pPr>
              <w:pStyle w:val="11"/>
            </w:pPr>
          </w:p>
        </w:tc>
        <w:tc>
          <w:tcPr>
            <w:tcW w:w="1474" w:type="dxa"/>
            <w:vAlign w:val="center"/>
          </w:tcPr>
          <w:p w14:paraId="7D2F896A">
            <w:pPr>
              <w:pStyle w:val="11"/>
            </w:pPr>
          </w:p>
        </w:tc>
      </w:tr>
      <w:tr w14:paraId="7927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B4E00">
            <w:pPr>
              <w:pStyle w:val="13"/>
            </w:pPr>
            <w:r>
              <w:t>28</w:t>
            </w:r>
          </w:p>
        </w:tc>
        <w:tc>
          <w:tcPr>
            <w:tcW w:w="3402" w:type="dxa"/>
            <w:vAlign w:val="center"/>
          </w:tcPr>
          <w:p w14:paraId="72B9B9A5">
            <w:pPr>
              <w:pStyle w:val="12"/>
            </w:pPr>
          </w:p>
        </w:tc>
        <w:tc>
          <w:tcPr>
            <w:tcW w:w="1474" w:type="dxa"/>
            <w:vAlign w:val="center"/>
          </w:tcPr>
          <w:p w14:paraId="397C3EB5">
            <w:pPr>
              <w:pStyle w:val="11"/>
            </w:pPr>
          </w:p>
        </w:tc>
        <w:tc>
          <w:tcPr>
            <w:tcW w:w="3402" w:type="dxa"/>
            <w:vAlign w:val="center"/>
          </w:tcPr>
          <w:p w14:paraId="2622CDE2">
            <w:pPr>
              <w:pStyle w:val="12"/>
            </w:pPr>
            <w:r>
              <w:t>二十八、债务付息支出</w:t>
            </w:r>
          </w:p>
        </w:tc>
        <w:tc>
          <w:tcPr>
            <w:tcW w:w="1474" w:type="dxa"/>
            <w:vAlign w:val="center"/>
          </w:tcPr>
          <w:p w14:paraId="2C9BAE37">
            <w:pPr>
              <w:pStyle w:val="11"/>
            </w:pPr>
          </w:p>
        </w:tc>
        <w:tc>
          <w:tcPr>
            <w:tcW w:w="1474" w:type="dxa"/>
            <w:vAlign w:val="center"/>
          </w:tcPr>
          <w:p w14:paraId="04A910D9">
            <w:pPr>
              <w:pStyle w:val="11"/>
            </w:pPr>
          </w:p>
        </w:tc>
        <w:tc>
          <w:tcPr>
            <w:tcW w:w="1474" w:type="dxa"/>
            <w:vAlign w:val="center"/>
          </w:tcPr>
          <w:p w14:paraId="4F91AAC2">
            <w:pPr>
              <w:pStyle w:val="11"/>
            </w:pPr>
          </w:p>
        </w:tc>
        <w:tc>
          <w:tcPr>
            <w:tcW w:w="1474" w:type="dxa"/>
            <w:vAlign w:val="center"/>
          </w:tcPr>
          <w:p w14:paraId="017D5051">
            <w:pPr>
              <w:pStyle w:val="11"/>
            </w:pPr>
          </w:p>
        </w:tc>
      </w:tr>
      <w:tr w14:paraId="02FB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0C47">
            <w:pPr>
              <w:pStyle w:val="13"/>
            </w:pPr>
            <w:r>
              <w:t>29</w:t>
            </w:r>
          </w:p>
        </w:tc>
        <w:tc>
          <w:tcPr>
            <w:tcW w:w="3402" w:type="dxa"/>
            <w:vAlign w:val="center"/>
          </w:tcPr>
          <w:p w14:paraId="15F94934">
            <w:pPr>
              <w:pStyle w:val="12"/>
            </w:pPr>
          </w:p>
        </w:tc>
        <w:tc>
          <w:tcPr>
            <w:tcW w:w="1474" w:type="dxa"/>
            <w:vAlign w:val="center"/>
          </w:tcPr>
          <w:p w14:paraId="78211B1D">
            <w:pPr>
              <w:pStyle w:val="11"/>
            </w:pPr>
          </w:p>
        </w:tc>
        <w:tc>
          <w:tcPr>
            <w:tcW w:w="3402" w:type="dxa"/>
            <w:vAlign w:val="center"/>
          </w:tcPr>
          <w:p w14:paraId="08411155">
            <w:pPr>
              <w:pStyle w:val="12"/>
            </w:pPr>
            <w:r>
              <w:t>二十九、债务发行费用支出</w:t>
            </w:r>
          </w:p>
        </w:tc>
        <w:tc>
          <w:tcPr>
            <w:tcW w:w="1474" w:type="dxa"/>
            <w:vAlign w:val="center"/>
          </w:tcPr>
          <w:p w14:paraId="6E120423">
            <w:pPr>
              <w:pStyle w:val="11"/>
            </w:pPr>
          </w:p>
        </w:tc>
        <w:tc>
          <w:tcPr>
            <w:tcW w:w="1474" w:type="dxa"/>
            <w:vAlign w:val="center"/>
          </w:tcPr>
          <w:p w14:paraId="61C88AD1">
            <w:pPr>
              <w:pStyle w:val="11"/>
            </w:pPr>
          </w:p>
        </w:tc>
        <w:tc>
          <w:tcPr>
            <w:tcW w:w="1474" w:type="dxa"/>
            <w:vAlign w:val="center"/>
          </w:tcPr>
          <w:p w14:paraId="1A7D89F3">
            <w:pPr>
              <w:pStyle w:val="11"/>
            </w:pPr>
          </w:p>
        </w:tc>
        <w:tc>
          <w:tcPr>
            <w:tcW w:w="1474" w:type="dxa"/>
            <w:vAlign w:val="center"/>
          </w:tcPr>
          <w:p w14:paraId="498174AF">
            <w:pPr>
              <w:pStyle w:val="11"/>
            </w:pPr>
          </w:p>
        </w:tc>
      </w:tr>
      <w:tr w14:paraId="66AE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5135E">
            <w:pPr>
              <w:pStyle w:val="13"/>
            </w:pPr>
            <w:r>
              <w:t>30</w:t>
            </w:r>
          </w:p>
        </w:tc>
        <w:tc>
          <w:tcPr>
            <w:tcW w:w="3402" w:type="dxa"/>
            <w:vAlign w:val="center"/>
          </w:tcPr>
          <w:p w14:paraId="6B8D8303">
            <w:pPr>
              <w:pStyle w:val="12"/>
            </w:pPr>
          </w:p>
        </w:tc>
        <w:tc>
          <w:tcPr>
            <w:tcW w:w="1474" w:type="dxa"/>
            <w:vAlign w:val="center"/>
          </w:tcPr>
          <w:p w14:paraId="2C43E106">
            <w:pPr>
              <w:pStyle w:val="11"/>
            </w:pPr>
          </w:p>
        </w:tc>
        <w:tc>
          <w:tcPr>
            <w:tcW w:w="3402" w:type="dxa"/>
            <w:vAlign w:val="center"/>
          </w:tcPr>
          <w:p w14:paraId="62B51352">
            <w:pPr>
              <w:pStyle w:val="12"/>
            </w:pPr>
            <w:r>
              <w:t>三十、抗疫特别国债安排的支出</w:t>
            </w:r>
          </w:p>
        </w:tc>
        <w:tc>
          <w:tcPr>
            <w:tcW w:w="1474" w:type="dxa"/>
            <w:vAlign w:val="center"/>
          </w:tcPr>
          <w:p w14:paraId="5B02A494">
            <w:pPr>
              <w:pStyle w:val="11"/>
            </w:pPr>
          </w:p>
        </w:tc>
        <w:tc>
          <w:tcPr>
            <w:tcW w:w="1474" w:type="dxa"/>
            <w:vAlign w:val="center"/>
          </w:tcPr>
          <w:p w14:paraId="489A7A8E">
            <w:pPr>
              <w:pStyle w:val="11"/>
            </w:pPr>
          </w:p>
        </w:tc>
        <w:tc>
          <w:tcPr>
            <w:tcW w:w="1474" w:type="dxa"/>
            <w:vAlign w:val="center"/>
          </w:tcPr>
          <w:p w14:paraId="3CC265E7">
            <w:pPr>
              <w:pStyle w:val="11"/>
            </w:pPr>
          </w:p>
        </w:tc>
        <w:tc>
          <w:tcPr>
            <w:tcW w:w="1474" w:type="dxa"/>
            <w:vAlign w:val="center"/>
          </w:tcPr>
          <w:p w14:paraId="0C160158">
            <w:pPr>
              <w:pStyle w:val="11"/>
            </w:pPr>
          </w:p>
        </w:tc>
      </w:tr>
      <w:tr w14:paraId="074D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6994">
            <w:pPr>
              <w:pStyle w:val="13"/>
            </w:pPr>
            <w:r>
              <w:t>31</w:t>
            </w:r>
          </w:p>
        </w:tc>
        <w:tc>
          <w:tcPr>
            <w:tcW w:w="3402" w:type="dxa"/>
            <w:vAlign w:val="center"/>
          </w:tcPr>
          <w:p w14:paraId="072A2BEF">
            <w:pPr>
              <w:pStyle w:val="12"/>
            </w:pPr>
          </w:p>
        </w:tc>
        <w:tc>
          <w:tcPr>
            <w:tcW w:w="1474" w:type="dxa"/>
            <w:vAlign w:val="center"/>
          </w:tcPr>
          <w:p w14:paraId="308A283C">
            <w:pPr>
              <w:pStyle w:val="11"/>
            </w:pPr>
          </w:p>
        </w:tc>
        <w:tc>
          <w:tcPr>
            <w:tcW w:w="3402" w:type="dxa"/>
            <w:vAlign w:val="center"/>
          </w:tcPr>
          <w:p w14:paraId="49B1F8B9">
            <w:pPr>
              <w:pStyle w:val="12"/>
            </w:pPr>
            <w:r>
              <w:t>三十一、人行科目</w:t>
            </w:r>
          </w:p>
        </w:tc>
        <w:tc>
          <w:tcPr>
            <w:tcW w:w="1474" w:type="dxa"/>
            <w:vAlign w:val="center"/>
          </w:tcPr>
          <w:p w14:paraId="771E444F">
            <w:pPr>
              <w:pStyle w:val="11"/>
            </w:pPr>
          </w:p>
        </w:tc>
        <w:tc>
          <w:tcPr>
            <w:tcW w:w="1474" w:type="dxa"/>
            <w:vAlign w:val="center"/>
          </w:tcPr>
          <w:p w14:paraId="6C1D982F">
            <w:pPr>
              <w:pStyle w:val="11"/>
            </w:pPr>
          </w:p>
        </w:tc>
        <w:tc>
          <w:tcPr>
            <w:tcW w:w="1474" w:type="dxa"/>
            <w:vAlign w:val="center"/>
          </w:tcPr>
          <w:p w14:paraId="13E1C2E0">
            <w:pPr>
              <w:pStyle w:val="11"/>
            </w:pPr>
          </w:p>
        </w:tc>
        <w:tc>
          <w:tcPr>
            <w:tcW w:w="1474" w:type="dxa"/>
            <w:vAlign w:val="center"/>
          </w:tcPr>
          <w:p w14:paraId="427D5F5D">
            <w:pPr>
              <w:pStyle w:val="11"/>
            </w:pPr>
          </w:p>
        </w:tc>
      </w:tr>
      <w:tr w14:paraId="5C72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E4C01">
            <w:pPr>
              <w:pStyle w:val="13"/>
            </w:pPr>
            <w:r>
              <w:t>32</w:t>
            </w:r>
          </w:p>
        </w:tc>
        <w:tc>
          <w:tcPr>
            <w:tcW w:w="3402" w:type="dxa"/>
            <w:vAlign w:val="center"/>
          </w:tcPr>
          <w:p w14:paraId="4A5110D5">
            <w:pPr>
              <w:pStyle w:val="14"/>
            </w:pPr>
            <w:r>
              <w:t>本年收入合计</w:t>
            </w:r>
          </w:p>
        </w:tc>
        <w:tc>
          <w:tcPr>
            <w:tcW w:w="1474" w:type="dxa"/>
            <w:vAlign w:val="center"/>
          </w:tcPr>
          <w:p w14:paraId="532E4BB8">
            <w:pPr>
              <w:pStyle w:val="15"/>
            </w:pPr>
            <w:r>
              <w:t>1350.68</w:t>
            </w:r>
          </w:p>
        </w:tc>
        <w:tc>
          <w:tcPr>
            <w:tcW w:w="3402" w:type="dxa"/>
            <w:vAlign w:val="center"/>
          </w:tcPr>
          <w:p w14:paraId="2232822B">
            <w:pPr>
              <w:pStyle w:val="14"/>
            </w:pPr>
            <w:r>
              <w:t>本年支出合计</w:t>
            </w:r>
          </w:p>
        </w:tc>
        <w:tc>
          <w:tcPr>
            <w:tcW w:w="1474" w:type="dxa"/>
            <w:vAlign w:val="center"/>
          </w:tcPr>
          <w:p w14:paraId="48BCFEC3">
            <w:pPr>
              <w:pStyle w:val="15"/>
            </w:pPr>
            <w:r>
              <w:t>1350.68</w:t>
            </w:r>
          </w:p>
        </w:tc>
        <w:tc>
          <w:tcPr>
            <w:tcW w:w="1474" w:type="dxa"/>
            <w:vAlign w:val="center"/>
          </w:tcPr>
          <w:p w14:paraId="38B98EFB">
            <w:pPr>
              <w:pStyle w:val="15"/>
            </w:pPr>
            <w:r>
              <w:t>1350.68</w:t>
            </w:r>
          </w:p>
        </w:tc>
        <w:tc>
          <w:tcPr>
            <w:tcW w:w="1474" w:type="dxa"/>
            <w:vAlign w:val="center"/>
          </w:tcPr>
          <w:p w14:paraId="7BB01DB6">
            <w:pPr>
              <w:pStyle w:val="15"/>
            </w:pPr>
          </w:p>
        </w:tc>
        <w:tc>
          <w:tcPr>
            <w:tcW w:w="1474" w:type="dxa"/>
            <w:vAlign w:val="center"/>
          </w:tcPr>
          <w:p w14:paraId="7C9F0E2A">
            <w:pPr>
              <w:pStyle w:val="15"/>
            </w:pPr>
          </w:p>
        </w:tc>
      </w:tr>
      <w:tr w14:paraId="0129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1DB2">
            <w:pPr>
              <w:pStyle w:val="13"/>
            </w:pPr>
            <w:r>
              <w:t>33</w:t>
            </w:r>
          </w:p>
        </w:tc>
        <w:tc>
          <w:tcPr>
            <w:tcW w:w="3402" w:type="dxa"/>
            <w:vAlign w:val="center"/>
          </w:tcPr>
          <w:p w14:paraId="2593AA63">
            <w:pPr>
              <w:pStyle w:val="12"/>
            </w:pPr>
            <w:r>
              <w:t>年初财政拨款结转和结余</w:t>
            </w:r>
          </w:p>
        </w:tc>
        <w:tc>
          <w:tcPr>
            <w:tcW w:w="1474" w:type="dxa"/>
            <w:vAlign w:val="center"/>
          </w:tcPr>
          <w:p w14:paraId="473AAF17">
            <w:pPr>
              <w:pStyle w:val="11"/>
            </w:pPr>
          </w:p>
        </w:tc>
        <w:tc>
          <w:tcPr>
            <w:tcW w:w="3402" w:type="dxa"/>
            <w:vAlign w:val="center"/>
          </w:tcPr>
          <w:p w14:paraId="1F42DC8F">
            <w:pPr>
              <w:pStyle w:val="12"/>
            </w:pPr>
            <w:r>
              <w:t>年末财政拨款结转和结余</w:t>
            </w:r>
          </w:p>
        </w:tc>
        <w:tc>
          <w:tcPr>
            <w:tcW w:w="1474" w:type="dxa"/>
            <w:vAlign w:val="center"/>
          </w:tcPr>
          <w:p w14:paraId="2A14F276">
            <w:pPr>
              <w:pStyle w:val="11"/>
            </w:pPr>
          </w:p>
        </w:tc>
        <w:tc>
          <w:tcPr>
            <w:tcW w:w="1474" w:type="dxa"/>
            <w:vAlign w:val="center"/>
          </w:tcPr>
          <w:p w14:paraId="1F6BDAF1">
            <w:pPr>
              <w:pStyle w:val="11"/>
            </w:pPr>
          </w:p>
        </w:tc>
        <w:tc>
          <w:tcPr>
            <w:tcW w:w="1474" w:type="dxa"/>
            <w:vAlign w:val="center"/>
          </w:tcPr>
          <w:p w14:paraId="2CD5B1EE">
            <w:pPr>
              <w:pStyle w:val="11"/>
            </w:pPr>
          </w:p>
        </w:tc>
        <w:tc>
          <w:tcPr>
            <w:tcW w:w="1474" w:type="dxa"/>
            <w:vAlign w:val="center"/>
          </w:tcPr>
          <w:p w14:paraId="6973B6DA">
            <w:pPr>
              <w:pStyle w:val="11"/>
            </w:pPr>
          </w:p>
        </w:tc>
      </w:tr>
      <w:tr w14:paraId="4D29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01777">
            <w:pPr>
              <w:pStyle w:val="13"/>
            </w:pPr>
            <w:r>
              <w:t>34</w:t>
            </w:r>
          </w:p>
        </w:tc>
        <w:tc>
          <w:tcPr>
            <w:tcW w:w="3402" w:type="dxa"/>
            <w:vAlign w:val="center"/>
          </w:tcPr>
          <w:p w14:paraId="608501EB">
            <w:pPr>
              <w:pStyle w:val="12"/>
            </w:pPr>
            <w:r>
              <w:t>一、一般公共预算拨款</w:t>
            </w:r>
          </w:p>
        </w:tc>
        <w:tc>
          <w:tcPr>
            <w:tcW w:w="1474" w:type="dxa"/>
            <w:vAlign w:val="center"/>
          </w:tcPr>
          <w:p w14:paraId="7BBED904">
            <w:pPr>
              <w:pStyle w:val="11"/>
            </w:pPr>
          </w:p>
        </w:tc>
        <w:tc>
          <w:tcPr>
            <w:tcW w:w="3402" w:type="dxa"/>
            <w:vAlign w:val="center"/>
          </w:tcPr>
          <w:p w14:paraId="0FDD351C">
            <w:pPr>
              <w:pStyle w:val="12"/>
            </w:pPr>
          </w:p>
        </w:tc>
        <w:tc>
          <w:tcPr>
            <w:tcW w:w="1474" w:type="dxa"/>
            <w:vAlign w:val="center"/>
          </w:tcPr>
          <w:p w14:paraId="0094D73E">
            <w:pPr>
              <w:pStyle w:val="11"/>
            </w:pPr>
          </w:p>
        </w:tc>
        <w:tc>
          <w:tcPr>
            <w:tcW w:w="1474" w:type="dxa"/>
            <w:vAlign w:val="center"/>
          </w:tcPr>
          <w:p w14:paraId="74A5A623">
            <w:pPr>
              <w:pStyle w:val="11"/>
            </w:pPr>
          </w:p>
        </w:tc>
        <w:tc>
          <w:tcPr>
            <w:tcW w:w="1474" w:type="dxa"/>
            <w:vAlign w:val="center"/>
          </w:tcPr>
          <w:p w14:paraId="5B4EEE95">
            <w:pPr>
              <w:pStyle w:val="11"/>
            </w:pPr>
          </w:p>
        </w:tc>
        <w:tc>
          <w:tcPr>
            <w:tcW w:w="1474" w:type="dxa"/>
            <w:vAlign w:val="center"/>
          </w:tcPr>
          <w:p w14:paraId="2D46E63B">
            <w:pPr>
              <w:pStyle w:val="11"/>
            </w:pPr>
          </w:p>
        </w:tc>
      </w:tr>
      <w:tr w14:paraId="7D8B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15995">
            <w:pPr>
              <w:pStyle w:val="13"/>
            </w:pPr>
            <w:r>
              <w:t>35</w:t>
            </w:r>
          </w:p>
        </w:tc>
        <w:tc>
          <w:tcPr>
            <w:tcW w:w="3402" w:type="dxa"/>
            <w:vAlign w:val="center"/>
          </w:tcPr>
          <w:p w14:paraId="3E3CD015">
            <w:pPr>
              <w:pStyle w:val="12"/>
            </w:pPr>
            <w:r>
              <w:t>二、政府性基金预算拨款</w:t>
            </w:r>
          </w:p>
        </w:tc>
        <w:tc>
          <w:tcPr>
            <w:tcW w:w="1474" w:type="dxa"/>
            <w:vAlign w:val="center"/>
          </w:tcPr>
          <w:p w14:paraId="5BF5C092">
            <w:pPr>
              <w:pStyle w:val="11"/>
            </w:pPr>
          </w:p>
        </w:tc>
        <w:tc>
          <w:tcPr>
            <w:tcW w:w="3402" w:type="dxa"/>
            <w:vAlign w:val="center"/>
          </w:tcPr>
          <w:p w14:paraId="1914E7A7">
            <w:pPr>
              <w:pStyle w:val="12"/>
            </w:pPr>
          </w:p>
        </w:tc>
        <w:tc>
          <w:tcPr>
            <w:tcW w:w="1474" w:type="dxa"/>
            <w:vAlign w:val="center"/>
          </w:tcPr>
          <w:p w14:paraId="509283E2">
            <w:pPr>
              <w:pStyle w:val="11"/>
            </w:pPr>
          </w:p>
        </w:tc>
        <w:tc>
          <w:tcPr>
            <w:tcW w:w="1474" w:type="dxa"/>
            <w:vAlign w:val="center"/>
          </w:tcPr>
          <w:p w14:paraId="28E5A8D8">
            <w:pPr>
              <w:pStyle w:val="11"/>
            </w:pPr>
          </w:p>
        </w:tc>
        <w:tc>
          <w:tcPr>
            <w:tcW w:w="1474" w:type="dxa"/>
            <w:vAlign w:val="center"/>
          </w:tcPr>
          <w:p w14:paraId="4FD6FB77">
            <w:pPr>
              <w:pStyle w:val="11"/>
            </w:pPr>
          </w:p>
        </w:tc>
        <w:tc>
          <w:tcPr>
            <w:tcW w:w="1474" w:type="dxa"/>
            <w:vAlign w:val="center"/>
          </w:tcPr>
          <w:p w14:paraId="4EB3876E">
            <w:pPr>
              <w:pStyle w:val="11"/>
            </w:pPr>
          </w:p>
        </w:tc>
      </w:tr>
      <w:tr w14:paraId="671F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3C130">
            <w:pPr>
              <w:pStyle w:val="13"/>
            </w:pPr>
            <w:r>
              <w:t>36</w:t>
            </w:r>
          </w:p>
        </w:tc>
        <w:tc>
          <w:tcPr>
            <w:tcW w:w="3402" w:type="dxa"/>
            <w:vAlign w:val="center"/>
          </w:tcPr>
          <w:p w14:paraId="25A78DBE">
            <w:pPr>
              <w:pStyle w:val="12"/>
            </w:pPr>
            <w:r>
              <w:t>三、国有资本经营预算拨款</w:t>
            </w:r>
          </w:p>
        </w:tc>
        <w:tc>
          <w:tcPr>
            <w:tcW w:w="1474" w:type="dxa"/>
            <w:vAlign w:val="center"/>
          </w:tcPr>
          <w:p w14:paraId="018F3021">
            <w:pPr>
              <w:pStyle w:val="11"/>
            </w:pPr>
          </w:p>
        </w:tc>
        <w:tc>
          <w:tcPr>
            <w:tcW w:w="3402" w:type="dxa"/>
            <w:vAlign w:val="center"/>
          </w:tcPr>
          <w:p w14:paraId="03076D2E">
            <w:pPr>
              <w:pStyle w:val="12"/>
            </w:pPr>
          </w:p>
        </w:tc>
        <w:tc>
          <w:tcPr>
            <w:tcW w:w="1474" w:type="dxa"/>
            <w:vAlign w:val="center"/>
          </w:tcPr>
          <w:p w14:paraId="545D90AB">
            <w:pPr>
              <w:pStyle w:val="11"/>
            </w:pPr>
          </w:p>
        </w:tc>
        <w:tc>
          <w:tcPr>
            <w:tcW w:w="1474" w:type="dxa"/>
            <w:vAlign w:val="center"/>
          </w:tcPr>
          <w:p w14:paraId="784BB604">
            <w:pPr>
              <w:pStyle w:val="11"/>
            </w:pPr>
          </w:p>
        </w:tc>
        <w:tc>
          <w:tcPr>
            <w:tcW w:w="1474" w:type="dxa"/>
            <w:vAlign w:val="center"/>
          </w:tcPr>
          <w:p w14:paraId="18043288">
            <w:pPr>
              <w:pStyle w:val="11"/>
            </w:pPr>
          </w:p>
        </w:tc>
        <w:tc>
          <w:tcPr>
            <w:tcW w:w="1474" w:type="dxa"/>
            <w:vAlign w:val="center"/>
          </w:tcPr>
          <w:p w14:paraId="7AF1B0A3">
            <w:pPr>
              <w:pStyle w:val="11"/>
            </w:pPr>
          </w:p>
        </w:tc>
      </w:tr>
      <w:tr w14:paraId="0775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DBF58">
            <w:pPr>
              <w:pStyle w:val="13"/>
            </w:pPr>
            <w:r>
              <w:t>37</w:t>
            </w:r>
          </w:p>
        </w:tc>
        <w:tc>
          <w:tcPr>
            <w:tcW w:w="3402" w:type="dxa"/>
            <w:vAlign w:val="center"/>
          </w:tcPr>
          <w:p w14:paraId="48B7B0F6">
            <w:pPr>
              <w:pStyle w:val="14"/>
            </w:pPr>
            <w:r>
              <w:t>收入总计</w:t>
            </w:r>
          </w:p>
        </w:tc>
        <w:tc>
          <w:tcPr>
            <w:tcW w:w="1474" w:type="dxa"/>
            <w:vAlign w:val="center"/>
          </w:tcPr>
          <w:p w14:paraId="3B203AB9">
            <w:pPr>
              <w:pStyle w:val="15"/>
            </w:pPr>
            <w:r>
              <w:t>1350.68</w:t>
            </w:r>
          </w:p>
        </w:tc>
        <w:tc>
          <w:tcPr>
            <w:tcW w:w="3402" w:type="dxa"/>
            <w:vAlign w:val="center"/>
          </w:tcPr>
          <w:p w14:paraId="0A0CBA4D">
            <w:pPr>
              <w:pStyle w:val="14"/>
            </w:pPr>
            <w:r>
              <w:t>支出总计</w:t>
            </w:r>
          </w:p>
        </w:tc>
        <w:tc>
          <w:tcPr>
            <w:tcW w:w="1474" w:type="dxa"/>
            <w:vAlign w:val="center"/>
          </w:tcPr>
          <w:p w14:paraId="48070E8D">
            <w:pPr>
              <w:pStyle w:val="15"/>
            </w:pPr>
            <w:r>
              <w:t>1350.68</w:t>
            </w:r>
          </w:p>
        </w:tc>
        <w:tc>
          <w:tcPr>
            <w:tcW w:w="1474" w:type="dxa"/>
            <w:vAlign w:val="center"/>
          </w:tcPr>
          <w:p w14:paraId="06E7A045">
            <w:pPr>
              <w:pStyle w:val="15"/>
            </w:pPr>
            <w:r>
              <w:t>1350.68</w:t>
            </w:r>
          </w:p>
        </w:tc>
        <w:tc>
          <w:tcPr>
            <w:tcW w:w="1474" w:type="dxa"/>
            <w:vAlign w:val="center"/>
          </w:tcPr>
          <w:p w14:paraId="73316105">
            <w:pPr>
              <w:pStyle w:val="15"/>
            </w:pPr>
          </w:p>
        </w:tc>
        <w:tc>
          <w:tcPr>
            <w:tcW w:w="1474" w:type="dxa"/>
            <w:vAlign w:val="center"/>
          </w:tcPr>
          <w:p w14:paraId="38960231">
            <w:pPr>
              <w:pStyle w:val="15"/>
            </w:pPr>
          </w:p>
        </w:tc>
      </w:tr>
    </w:tbl>
    <w:p w14:paraId="12BF26CC">
      <w:pPr>
        <w:sectPr>
          <w:pgSz w:w="16840" w:h="11900" w:orient="landscape"/>
          <w:pgMar w:top="1361" w:right="1020" w:bottom="1134" w:left="1020" w:header="720" w:footer="720" w:gutter="0"/>
          <w:cols w:space="720" w:num="1"/>
        </w:sectPr>
      </w:pPr>
    </w:p>
    <w:p w14:paraId="6E10E0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B1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8948A3">
            <w:pPr>
              <w:pStyle w:val="9"/>
            </w:pPr>
            <w:r>
              <w:t>360038隆尧县第五实验小学</w:t>
            </w:r>
          </w:p>
        </w:tc>
        <w:tc>
          <w:tcPr>
            <w:tcW w:w="2551" w:type="dxa"/>
            <w:tcBorders>
              <w:top w:val="single" w:color="FFFFFF" w:sz="6" w:space="0"/>
              <w:left w:val="single" w:color="FFFFFF" w:sz="6" w:space="0"/>
              <w:right w:val="single" w:color="FFFFFF" w:sz="6" w:space="0"/>
            </w:tcBorders>
            <w:vAlign w:val="center"/>
          </w:tcPr>
          <w:p w14:paraId="0977E53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396DC4">
            <w:pPr>
              <w:pStyle w:val="7"/>
            </w:pPr>
            <w:r>
              <w:t>单位：万元</w:t>
            </w:r>
          </w:p>
        </w:tc>
      </w:tr>
      <w:tr w14:paraId="7EE0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925CF">
            <w:pPr>
              <w:pStyle w:val="10"/>
            </w:pPr>
            <w:r>
              <w:t>序号</w:t>
            </w:r>
          </w:p>
        </w:tc>
        <w:tc>
          <w:tcPr>
            <w:tcW w:w="5726" w:type="dxa"/>
            <w:gridSpan w:val="2"/>
            <w:vAlign w:val="center"/>
          </w:tcPr>
          <w:p w14:paraId="04B0488F">
            <w:pPr>
              <w:pStyle w:val="10"/>
            </w:pPr>
            <w:r>
              <w:t>功能分类科目</w:t>
            </w:r>
          </w:p>
        </w:tc>
        <w:tc>
          <w:tcPr>
            <w:tcW w:w="2551" w:type="dxa"/>
            <w:vMerge w:val="restart"/>
            <w:vAlign w:val="center"/>
          </w:tcPr>
          <w:p w14:paraId="36D5376B">
            <w:pPr>
              <w:pStyle w:val="10"/>
            </w:pPr>
            <w:r>
              <w:t>合计</w:t>
            </w:r>
          </w:p>
        </w:tc>
        <w:tc>
          <w:tcPr>
            <w:tcW w:w="2551" w:type="dxa"/>
            <w:vMerge w:val="restart"/>
            <w:vAlign w:val="center"/>
          </w:tcPr>
          <w:p w14:paraId="25C7BE42">
            <w:pPr>
              <w:pStyle w:val="10"/>
            </w:pPr>
            <w:r>
              <w:t>基本支出</w:t>
            </w:r>
          </w:p>
        </w:tc>
        <w:tc>
          <w:tcPr>
            <w:tcW w:w="2551" w:type="dxa"/>
            <w:vMerge w:val="restart"/>
            <w:vAlign w:val="center"/>
          </w:tcPr>
          <w:p w14:paraId="63EFA55D">
            <w:pPr>
              <w:pStyle w:val="10"/>
            </w:pPr>
            <w:r>
              <w:t>项目支出</w:t>
            </w:r>
          </w:p>
        </w:tc>
      </w:tr>
      <w:tr w14:paraId="1B6E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72DC6"/>
        </w:tc>
        <w:tc>
          <w:tcPr>
            <w:tcW w:w="1191" w:type="dxa"/>
            <w:vAlign w:val="center"/>
          </w:tcPr>
          <w:p w14:paraId="1AF99E71">
            <w:pPr>
              <w:pStyle w:val="10"/>
            </w:pPr>
            <w:r>
              <w:t>科目编码</w:t>
            </w:r>
          </w:p>
        </w:tc>
        <w:tc>
          <w:tcPr>
            <w:tcW w:w="4535" w:type="dxa"/>
            <w:vAlign w:val="center"/>
          </w:tcPr>
          <w:p w14:paraId="540B9873">
            <w:pPr>
              <w:pStyle w:val="10"/>
            </w:pPr>
            <w:r>
              <w:t>科目名称</w:t>
            </w:r>
          </w:p>
        </w:tc>
        <w:tc>
          <w:tcPr>
            <w:tcW w:w="2551" w:type="dxa"/>
            <w:vMerge w:val="continue"/>
          </w:tcPr>
          <w:p w14:paraId="58F4B5DD"/>
        </w:tc>
        <w:tc>
          <w:tcPr>
            <w:tcW w:w="2551" w:type="dxa"/>
            <w:vMerge w:val="continue"/>
          </w:tcPr>
          <w:p w14:paraId="566D8835"/>
        </w:tc>
        <w:tc>
          <w:tcPr>
            <w:tcW w:w="2551" w:type="dxa"/>
            <w:vMerge w:val="continue"/>
          </w:tcPr>
          <w:p w14:paraId="5F8ADEB0"/>
        </w:tc>
      </w:tr>
      <w:tr w14:paraId="71DE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82D65">
            <w:pPr>
              <w:pStyle w:val="10"/>
            </w:pPr>
            <w:r>
              <w:t>栏次</w:t>
            </w:r>
          </w:p>
        </w:tc>
        <w:tc>
          <w:tcPr>
            <w:tcW w:w="1191" w:type="dxa"/>
            <w:vAlign w:val="center"/>
          </w:tcPr>
          <w:p w14:paraId="2F07C4C5">
            <w:pPr>
              <w:pStyle w:val="10"/>
            </w:pPr>
            <w:r>
              <w:t>1</w:t>
            </w:r>
          </w:p>
        </w:tc>
        <w:tc>
          <w:tcPr>
            <w:tcW w:w="4535" w:type="dxa"/>
            <w:vAlign w:val="center"/>
          </w:tcPr>
          <w:p w14:paraId="796715F1">
            <w:pPr>
              <w:pStyle w:val="10"/>
            </w:pPr>
            <w:r>
              <w:t>2</w:t>
            </w:r>
          </w:p>
        </w:tc>
        <w:tc>
          <w:tcPr>
            <w:tcW w:w="2551" w:type="dxa"/>
            <w:vAlign w:val="center"/>
          </w:tcPr>
          <w:p w14:paraId="773064E2">
            <w:pPr>
              <w:pStyle w:val="10"/>
            </w:pPr>
            <w:r>
              <w:t>3</w:t>
            </w:r>
          </w:p>
        </w:tc>
        <w:tc>
          <w:tcPr>
            <w:tcW w:w="2551" w:type="dxa"/>
            <w:vAlign w:val="center"/>
          </w:tcPr>
          <w:p w14:paraId="40581947">
            <w:pPr>
              <w:pStyle w:val="10"/>
            </w:pPr>
            <w:r>
              <w:t>4</w:t>
            </w:r>
          </w:p>
        </w:tc>
        <w:tc>
          <w:tcPr>
            <w:tcW w:w="2551" w:type="dxa"/>
            <w:vAlign w:val="center"/>
          </w:tcPr>
          <w:p w14:paraId="3F67B34D">
            <w:pPr>
              <w:pStyle w:val="10"/>
            </w:pPr>
            <w:r>
              <w:t>5</w:t>
            </w:r>
          </w:p>
        </w:tc>
      </w:tr>
      <w:tr w14:paraId="64D5E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97B9A">
            <w:pPr>
              <w:pStyle w:val="13"/>
            </w:pPr>
            <w:r>
              <w:t>1</w:t>
            </w:r>
          </w:p>
        </w:tc>
        <w:tc>
          <w:tcPr>
            <w:tcW w:w="1191" w:type="dxa"/>
            <w:vAlign w:val="center"/>
          </w:tcPr>
          <w:p w14:paraId="5892627B">
            <w:pPr>
              <w:pStyle w:val="16"/>
            </w:pPr>
          </w:p>
        </w:tc>
        <w:tc>
          <w:tcPr>
            <w:tcW w:w="4535" w:type="dxa"/>
            <w:vAlign w:val="center"/>
          </w:tcPr>
          <w:p w14:paraId="09CB4384">
            <w:pPr>
              <w:pStyle w:val="14"/>
            </w:pPr>
            <w:r>
              <w:t>合计</w:t>
            </w:r>
          </w:p>
        </w:tc>
        <w:tc>
          <w:tcPr>
            <w:tcW w:w="2551" w:type="dxa"/>
            <w:vAlign w:val="center"/>
          </w:tcPr>
          <w:p w14:paraId="081172E7">
            <w:pPr>
              <w:pStyle w:val="15"/>
            </w:pPr>
            <w:r>
              <w:t>1350.68</w:t>
            </w:r>
          </w:p>
        </w:tc>
        <w:tc>
          <w:tcPr>
            <w:tcW w:w="2551" w:type="dxa"/>
            <w:vAlign w:val="center"/>
          </w:tcPr>
          <w:p w14:paraId="72AED844">
            <w:pPr>
              <w:pStyle w:val="15"/>
            </w:pPr>
            <w:r>
              <w:t>1114.96</w:t>
            </w:r>
          </w:p>
        </w:tc>
        <w:tc>
          <w:tcPr>
            <w:tcW w:w="2551" w:type="dxa"/>
            <w:vAlign w:val="center"/>
          </w:tcPr>
          <w:p w14:paraId="236C074F">
            <w:pPr>
              <w:pStyle w:val="15"/>
            </w:pPr>
            <w:r>
              <w:t>235.72</w:t>
            </w:r>
          </w:p>
        </w:tc>
      </w:tr>
      <w:tr w14:paraId="1E54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7B3A">
            <w:pPr>
              <w:pStyle w:val="13"/>
            </w:pPr>
            <w:r>
              <w:t>2</w:t>
            </w:r>
          </w:p>
        </w:tc>
        <w:tc>
          <w:tcPr>
            <w:tcW w:w="1191" w:type="dxa"/>
            <w:vAlign w:val="center"/>
          </w:tcPr>
          <w:p w14:paraId="6A708ED9">
            <w:pPr>
              <w:pStyle w:val="12"/>
            </w:pPr>
            <w:r>
              <w:t>205</w:t>
            </w:r>
          </w:p>
        </w:tc>
        <w:tc>
          <w:tcPr>
            <w:tcW w:w="4535" w:type="dxa"/>
            <w:vAlign w:val="center"/>
          </w:tcPr>
          <w:p w14:paraId="743A48DC">
            <w:pPr>
              <w:pStyle w:val="12"/>
            </w:pPr>
            <w:r>
              <w:t>教育支出</w:t>
            </w:r>
          </w:p>
        </w:tc>
        <w:tc>
          <w:tcPr>
            <w:tcW w:w="2551" w:type="dxa"/>
            <w:vAlign w:val="center"/>
          </w:tcPr>
          <w:p w14:paraId="2129182A">
            <w:pPr>
              <w:pStyle w:val="11"/>
            </w:pPr>
            <w:r>
              <w:t>1350.68</w:t>
            </w:r>
          </w:p>
        </w:tc>
        <w:tc>
          <w:tcPr>
            <w:tcW w:w="2551" w:type="dxa"/>
            <w:vAlign w:val="center"/>
          </w:tcPr>
          <w:p w14:paraId="557E81F8">
            <w:pPr>
              <w:pStyle w:val="11"/>
            </w:pPr>
            <w:r>
              <w:t>1114.96</w:t>
            </w:r>
          </w:p>
        </w:tc>
        <w:tc>
          <w:tcPr>
            <w:tcW w:w="2551" w:type="dxa"/>
            <w:vAlign w:val="center"/>
          </w:tcPr>
          <w:p w14:paraId="190AEE60">
            <w:pPr>
              <w:pStyle w:val="11"/>
            </w:pPr>
            <w:r>
              <w:t>235.72</w:t>
            </w:r>
          </w:p>
        </w:tc>
      </w:tr>
      <w:tr w14:paraId="7391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8CC7">
            <w:pPr>
              <w:pStyle w:val="13"/>
            </w:pPr>
            <w:r>
              <w:t>3</w:t>
            </w:r>
          </w:p>
        </w:tc>
        <w:tc>
          <w:tcPr>
            <w:tcW w:w="1191" w:type="dxa"/>
            <w:vAlign w:val="center"/>
          </w:tcPr>
          <w:p w14:paraId="0325944E">
            <w:pPr>
              <w:pStyle w:val="12"/>
            </w:pPr>
            <w:r>
              <w:t>20502</w:t>
            </w:r>
          </w:p>
        </w:tc>
        <w:tc>
          <w:tcPr>
            <w:tcW w:w="4535" w:type="dxa"/>
            <w:vAlign w:val="center"/>
          </w:tcPr>
          <w:p w14:paraId="0BC78958">
            <w:pPr>
              <w:pStyle w:val="12"/>
            </w:pPr>
            <w:r>
              <w:t>普通教育</w:t>
            </w:r>
          </w:p>
        </w:tc>
        <w:tc>
          <w:tcPr>
            <w:tcW w:w="2551" w:type="dxa"/>
            <w:vAlign w:val="center"/>
          </w:tcPr>
          <w:p w14:paraId="1C6D5284">
            <w:pPr>
              <w:pStyle w:val="11"/>
            </w:pPr>
            <w:r>
              <w:t>1350.68</w:t>
            </w:r>
          </w:p>
        </w:tc>
        <w:tc>
          <w:tcPr>
            <w:tcW w:w="2551" w:type="dxa"/>
            <w:vAlign w:val="center"/>
          </w:tcPr>
          <w:p w14:paraId="783547E2">
            <w:pPr>
              <w:pStyle w:val="11"/>
            </w:pPr>
            <w:r>
              <w:t>1114.96</w:t>
            </w:r>
          </w:p>
        </w:tc>
        <w:tc>
          <w:tcPr>
            <w:tcW w:w="2551" w:type="dxa"/>
            <w:vAlign w:val="center"/>
          </w:tcPr>
          <w:p w14:paraId="6577D288">
            <w:pPr>
              <w:pStyle w:val="11"/>
            </w:pPr>
            <w:r>
              <w:t>235.72</w:t>
            </w:r>
          </w:p>
        </w:tc>
      </w:tr>
      <w:tr w14:paraId="2979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7C4FD">
            <w:pPr>
              <w:pStyle w:val="13"/>
            </w:pPr>
            <w:r>
              <w:t>4</w:t>
            </w:r>
          </w:p>
        </w:tc>
        <w:tc>
          <w:tcPr>
            <w:tcW w:w="1191" w:type="dxa"/>
            <w:vAlign w:val="center"/>
          </w:tcPr>
          <w:p w14:paraId="56E65211">
            <w:pPr>
              <w:pStyle w:val="12"/>
            </w:pPr>
            <w:r>
              <w:t>2050202</w:t>
            </w:r>
          </w:p>
        </w:tc>
        <w:tc>
          <w:tcPr>
            <w:tcW w:w="4535" w:type="dxa"/>
            <w:vAlign w:val="center"/>
          </w:tcPr>
          <w:p w14:paraId="74EA8B1F">
            <w:pPr>
              <w:pStyle w:val="12"/>
            </w:pPr>
            <w:r>
              <w:t>小学教育</w:t>
            </w:r>
          </w:p>
        </w:tc>
        <w:tc>
          <w:tcPr>
            <w:tcW w:w="2551" w:type="dxa"/>
            <w:vAlign w:val="center"/>
          </w:tcPr>
          <w:p w14:paraId="5FBF88E2">
            <w:pPr>
              <w:pStyle w:val="11"/>
            </w:pPr>
            <w:r>
              <w:t>1350.68</w:t>
            </w:r>
          </w:p>
        </w:tc>
        <w:tc>
          <w:tcPr>
            <w:tcW w:w="2551" w:type="dxa"/>
            <w:vAlign w:val="center"/>
          </w:tcPr>
          <w:p w14:paraId="4E2FF2CF">
            <w:pPr>
              <w:pStyle w:val="11"/>
            </w:pPr>
            <w:r>
              <w:t>1114.96</w:t>
            </w:r>
          </w:p>
        </w:tc>
        <w:tc>
          <w:tcPr>
            <w:tcW w:w="2551" w:type="dxa"/>
            <w:vAlign w:val="center"/>
          </w:tcPr>
          <w:p w14:paraId="7BA305DB">
            <w:pPr>
              <w:pStyle w:val="11"/>
            </w:pPr>
            <w:r>
              <w:t>235.72</w:t>
            </w:r>
          </w:p>
        </w:tc>
      </w:tr>
    </w:tbl>
    <w:p w14:paraId="644163E0">
      <w:pPr>
        <w:sectPr>
          <w:pgSz w:w="16840" w:h="11900" w:orient="landscape"/>
          <w:pgMar w:top="1361" w:right="1020" w:bottom="1134" w:left="1020" w:header="720" w:footer="720" w:gutter="0"/>
          <w:cols w:space="720" w:num="1"/>
        </w:sectPr>
      </w:pPr>
    </w:p>
    <w:p w14:paraId="38AD0A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29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F99D44">
            <w:pPr>
              <w:pStyle w:val="9"/>
            </w:pPr>
            <w:r>
              <w:t>360038隆尧县第五实验小学</w:t>
            </w:r>
          </w:p>
        </w:tc>
        <w:tc>
          <w:tcPr>
            <w:tcW w:w="2551" w:type="dxa"/>
            <w:tcBorders>
              <w:top w:val="single" w:color="FFFFFF" w:sz="6" w:space="0"/>
              <w:left w:val="single" w:color="FFFFFF" w:sz="6" w:space="0"/>
              <w:right w:val="single" w:color="FFFFFF" w:sz="6" w:space="0"/>
            </w:tcBorders>
            <w:vAlign w:val="center"/>
          </w:tcPr>
          <w:p w14:paraId="43528FE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C970AA">
            <w:pPr>
              <w:pStyle w:val="7"/>
            </w:pPr>
            <w:r>
              <w:t>单位：万元</w:t>
            </w:r>
          </w:p>
        </w:tc>
      </w:tr>
      <w:tr w14:paraId="55DB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49EB4">
            <w:pPr>
              <w:pStyle w:val="10"/>
            </w:pPr>
            <w:r>
              <w:t>序号</w:t>
            </w:r>
          </w:p>
        </w:tc>
        <w:tc>
          <w:tcPr>
            <w:tcW w:w="5726" w:type="dxa"/>
            <w:gridSpan w:val="2"/>
            <w:vAlign w:val="center"/>
          </w:tcPr>
          <w:p w14:paraId="1C86F766">
            <w:pPr>
              <w:pStyle w:val="10"/>
            </w:pPr>
            <w:r>
              <w:t>支出部门经济分类科目</w:t>
            </w:r>
          </w:p>
        </w:tc>
        <w:tc>
          <w:tcPr>
            <w:tcW w:w="7653" w:type="dxa"/>
            <w:gridSpan w:val="3"/>
            <w:vAlign w:val="center"/>
          </w:tcPr>
          <w:p w14:paraId="5E4A566F">
            <w:pPr>
              <w:pStyle w:val="10"/>
            </w:pPr>
            <w:r>
              <w:t>一般公共预算基本支出</w:t>
            </w:r>
          </w:p>
        </w:tc>
      </w:tr>
      <w:tr w14:paraId="68A7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0753B"/>
        </w:tc>
        <w:tc>
          <w:tcPr>
            <w:tcW w:w="1191" w:type="dxa"/>
            <w:vAlign w:val="center"/>
          </w:tcPr>
          <w:p w14:paraId="58ACBA56">
            <w:pPr>
              <w:pStyle w:val="10"/>
            </w:pPr>
            <w:r>
              <w:t>科目编码</w:t>
            </w:r>
          </w:p>
        </w:tc>
        <w:tc>
          <w:tcPr>
            <w:tcW w:w="4535" w:type="dxa"/>
            <w:vAlign w:val="center"/>
          </w:tcPr>
          <w:p w14:paraId="109393E2">
            <w:pPr>
              <w:pStyle w:val="10"/>
            </w:pPr>
            <w:r>
              <w:t>科目名称</w:t>
            </w:r>
          </w:p>
        </w:tc>
        <w:tc>
          <w:tcPr>
            <w:tcW w:w="2551" w:type="dxa"/>
            <w:vAlign w:val="center"/>
          </w:tcPr>
          <w:p w14:paraId="3D7D907F">
            <w:pPr>
              <w:pStyle w:val="10"/>
            </w:pPr>
            <w:r>
              <w:t>合计</w:t>
            </w:r>
          </w:p>
        </w:tc>
        <w:tc>
          <w:tcPr>
            <w:tcW w:w="2551" w:type="dxa"/>
            <w:vAlign w:val="center"/>
          </w:tcPr>
          <w:p w14:paraId="495032A5">
            <w:pPr>
              <w:pStyle w:val="10"/>
            </w:pPr>
            <w:r>
              <w:t>人员经费</w:t>
            </w:r>
          </w:p>
        </w:tc>
        <w:tc>
          <w:tcPr>
            <w:tcW w:w="2551" w:type="dxa"/>
            <w:vAlign w:val="center"/>
          </w:tcPr>
          <w:p w14:paraId="132C5197">
            <w:pPr>
              <w:pStyle w:val="10"/>
            </w:pPr>
            <w:r>
              <w:t>公用经费</w:t>
            </w:r>
          </w:p>
        </w:tc>
      </w:tr>
      <w:tr w14:paraId="4380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940228">
            <w:pPr>
              <w:pStyle w:val="10"/>
            </w:pPr>
            <w:r>
              <w:t>栏次</w:t>
            </w:r>
          </w:p>
        </w:tc>
        <w:tc>
          <w:tcPr>
            <w:tcW w:w="1191" w:type="dxa"/>
            <w:vAlign w:val="center"/>
          </w:tcPr>
          <w:p w14:paraId="26792174">
            <w:pPr>
              <w:pStyle w:val="10"/>
            </w:pPr>
            <w:r>
              <w:t>1</w:t>
            </w:r>
          </w:p>
        </w:tc>
        <w:tc>
          <w:tcPr>
            <w:tcW w:w="4535" w:type="dxa"/>
            <w:vAlign w:val="center"/>
          </w:tcPr>
          <w:p w14:paraId="488F33D2">
            <w:pPr>
              <w:pStyle w:val="10"/>
            </w:pPr>
            <w:r>
              <w:t>2</w:t>
            </w:r>
          </w:p>
        </w:tc>
        <w:tc>
          <w:tcPr>
            <w:tcW w:w="2551" w:type="dxa"/>
            <w:vAlign w:val="center"/>
          </w:tcPr>
          <w:p w14:paraId="16403C65">
            <w:pPr>
              <w:pStyle w:val="10"/>
            </w:pPr>
            <w:r>
              <w:t>3</w:t>
            </w:r>
          </w:p>
        </w:tc>
        <w:tc>
          <w:tcPr>
            <w:tcW w:w="2551" w:type="dxa"/>
            <w:vAlign w:val="center"/>
          </w:tcPr>
          <w:p w14:paraId="3C5A3383">
            <w:pPr>
              <w:pStyle w:val="10"/>
            </w:pPr>
            <w:r>
              <w:t>4</w:t>
            </w:r>
          </w:p>
        </w:tc>
        <w:tc>
          <w:tcPr>
            <w:tcW w:w="2551" w:type="dxa"/>
            <w:vAlign w:val="center"/>
          </w:tcPr>
          <w:p w14:paraId="3B26ACB9">
            <w:pPr>
              <w:pStyle w:val="10"/>
            </w:pPr>
            <w:r>
              <w:t>5</w:t>
            </w:r>
          </w:p>
        </w:tc>
      </w:tr>
      <w:tr w14:paraId="0DD5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4F89F">
            <w:pPr>
              <w:pStyle w:val="13"/>
            </w:pPr>
            <w:r>
              <w:t>1</w:t>
            </w:r>
          </w:p>
        </w:tc>
        <w:tc>
          <w:tcPr>
            <w:tcW w:w="1191" w:type="dxa"/>
            <w:vAlign w:val="center"/>
          </w:tcPr>
          <w:p w14:paraId="698C4EB3">
            <w:pPr>
              <w:pStyle w:val="16"/>
            </w:pPr>
          </w:p>
        </w:tc>
        <w:tc>
          <w:tcPr>
            <w:tcW w:w="4535" w:type="dxa"/>
            <w:vAlign w:val="center"/>
          </w:tcPr>
          <w:p w14:paraId="59FAF86B">
            <w:pPr>
              <w:pStyle w:val="14"/>
            </w:pPr>
            <w:r>
              <w:t>合计</w:t>
            </w:r>
          </w:p>
        </w:tc>
        <w:tc>
          <w:tcPr>
            <w:tcW w:w="2551" w:type="dxa"/>
            <w:vAlign w:val="center"/>
          </w:tcPr>
          <w:p w14:paraId="192AB450">
            <w:pPr>
              <w:pStyle w:val="15"/>
            </w:pPr>
            <w:r>
              <w:t>1114.96</w:t>
            </w:r>
          </w:p>
        </w:tc>
        <w:tc>
          <w:tcPr>
            <w:tcW w:w="2551" w:type="dxa"/>
            <w:vAlign w:val="center"/>
          </w:tcPr>
          <w:p w14:paraId="0829F8EE">
            <w:pPr>
              <w:pStyle w:val="15"/>
            </w:pPr>
            <w:r>
              <w:t>1114.96</w:t>
            </w:r>
          </w:p>
        </w:tc>
        <w:tc>
          <w:tcPr>
            <w:tcW w:w="2551" w:type="dxa"/>
            <w:vAlign w:val="center"/>
          </w:tcPr>
          <w:p w14:paraId="4FE4F855">
            <w:pPr>
              <w:pStyle w:val="15"/>
            </w:pPr>
          </w:p>
        </w:tc>
      </w:tr>
      <w:tr w14:paraId="103E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7BE24">
            <w:pPr>
              <w:pStyle w:val="13"/>
            </w:pPr>
            <w:r>
              <w:t>2</w:t>
            </w:r>
          </w:p>
        </w:tc>
        <w:tc>
          <w:tcPr>
            <w:tcW w:w="1191" w:type="dxa"/>
            <w:vAlign w:val="center"/>
          </w:tcPr>
          <w:p w14:paraId="6DA3F9F9">
            <w:pPr>
              <w:pStyle w:val="12"/>
            </w:pPr>
            <w:r>
              <w:t>301</w:t>
            </w:r>
          </w:p>
        </w:tc>
        <w:tc>
          <w:tcPr>
            <w:tcW w:w="4535" w:type="dxa"/>
            <w:vAlign w:val="center"/>
          </w:tcPr>
          <w:p w14:paraId="7070E09E">
            <w:pPr>
              <w:pStyle w:val="12"/>
            </w:pPr>
            <w:r>
              <w:t>工资福利支出</w:t>
            </w:r>
          </w:p>
        </w:tc>
        <w:tc>
          <w:tcPr>
            <w:tcW w:w="2551" w:type="dxa"/>
            <w:vAlign w:val="center"/>
          </w:tcPr>
          <w:p w14:paraId="5C5D4A9B">
            <w:pPr>
              <w:pStyle w:val="11"/>
            </w:pPr>
            <w:r>
              <w:t>1112.87</w:t>
            </w:r>
          </w:p>
        </w:tc>
        <w:tc>
          <w:tcPr>
            <w:tcW w:w="2551" w:type="dxa"/>
            <w:vAlign w:val="center"/>
          </w:tcPr>
          <w:p w14:paraId="150E3E59">
            <w:pPr>
              <w:pStyle w:val="11"/>
            </w:pPr>
            <w:r>
              <w:t>1112.87</w:t>
            </w:r>
          </w:p>
        </w:tc>
        <w:tc>
          <w:tcPr>
            <w:tcW w:w="2551" w:type="dxa"/>
            <w:vAlign w:val="center"/>
          </w:tcPr>
          <w:p w14:paraId="559F894E">
            <w:pPr>
              <w:pStyle w:val="11"/>
            </w:pPr>
          </w:p>
        </w:tc>
      </w:tr>
      <w:tr w14:paraId="7F55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17671">
            <w:pPr>
              <w:pStyle w:val="13"/>
            </w:pPr>
            <w:r>
              <w:t>3</w:t>
            </w:r>
          </w:p>
        </w:tc>
        <w:tc>
          <w:tcPr>
            <w:tcW w:w="1191" w:type="dxa"/>
            <w:vAlign w:val="center"/>
          </w:tcPr>
          <w:p w14:paraId="7D98BAAA">
            <w:pPr>
              <w:pStyle w:val="12"/>
            </w:pPr>
            <w:r>
              <w:t>30101</w:t>
            </w:r>
          </w:p>
        </w:tc>
        <w:tc>
          <w:tcPr>
            <w:tcW w:w="4535" w:type="dxa"/>
            <w:vAlign w:val="center"/>
          </w:tcPr>
          <w:p w14:paraId="26CE82A7">
            <w:pPr>
              <w:pStyle w:val="12"/>
            </w:pPr>
            <w:r>
              <w:t>基本工资</w:t>
            </w:r>
          </w:p>
        </w:tc>
        <w:tc>
          <w:tcPr>
            <w:tcW w:w="2551" w:type="dxa"/>
            <w:vAlign w:val="center"/>
          </w:tcPr>
          <w:p w14:paraId="4D235E9D">
            <w:pPr>
              <w:pStyle w:val="11"/>
            </w:pPr>
            <w:r>
              <w:t>507.09</w:t>
            </w:r>
          </w:p>
        </w:tc>
        <w:tc>
          <w:tcPr>
            <w:tcW w:w="2551" w:type="dxa"/>
            <w:vAlign w:val="center"/>
          </w:tcPr>
          <w:p w14:paraId="42F1516B">
            <w:pPr>
              <w:pStyle w:val="11"/>
            </w:pPr>
            <w:r>
              <w:t>507.09</w:t>
            </w:r>
          </w:p>
        </w:tc>
        <w:tc>
          <w:tcPr>
            <w:tcW w:w="2551" w:type="dxa"/>
            <w:vAlign w:val="center"/>
          </w:tcPr>
          <w:p w14:paraId="5D10C5DD">
            <w:pPr>
              <w:pStyle w:val="11"/>
            </w:pPr>
          </w:p>
        </w:tc>
      </w:tr>
      <w:tr w14:paraId="254F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6D432">
            <w:pPr>
              <w:pStyle w:val="13"/>
            </w:pPr>
            <w:r>
              <w:t>4</w:t>
            </w:r>
          </w:p>
        </w:tc>
        <w:tc>
          <w:tcPr>
            <w:tcW w:w="1191" w:type="dxa"/>
            <w:vAlign w:val="center"/>
          </w:tcPr>
          <w:p w14:paraId="2DFF32A0">
            <w:pPr>
              <w:pStyle w:val="12"/>
            </w:pPr>
            <w:r>
              <w:t>30102</w:t>
            </w:r>
          </w:p>
        </w:tc>
        <w:tc>
          <w:tcPr>
            <w:tcW w:w="4535" w:type="dxa"/>
            <w:vAlign w:val="center"/>
          </w:tcPr>
          <w:p w14:paraId="69E06D30">
            <w:pPr>
              <w:pStyle w:val="12"/>
            </w:pPr>
            <w:r>
              <w:t>津贴补贴</w:t>
            </w:r>
          </w:p>
        </w:tc>
        <w:tc>
          <w:tcPr>
            <w:tcW w:w="2551" w:type="dxa"/>
            <w:vAlign w:val="center"/>
          </w:tcPr>
          <w:p w14:paraId="6077F474">
            <w:pPr>
              <w:pStyle w:val="11"/>
            </w:pPr>
            <w:r>
              <w:t>19.15</w:t>
            </w:r>
          </w:p>
        </w:tc>
        <w:tc>
          <w:tcPr>
            <w:tcW w:w="2551" w:type="dxa"/>
            <w:vAlign w:val="center"/>
          </w:tcPr>
          <w:p w14:paraId="62665B13">
            <w:pPr>
              <w:pStyle w:val="11"/>
            </w:pPr>
            <w:r>
              <w:t>19.15</w:t>
            </w:r>
          </w:p>
        </w:tc>
        <w:tc>
          <w:tcPr>
            <w:tcW w:w="2551" w:type="dxa"/>
            <w:vAlign w:val="center"/>
          </w:tcPr>
          <w:p w14:paraId="607B6CB3">
            <w:pPr>
              <w:pStyle w:val="11"/>
            </w:pPr>
          </w:p>
        </w:tc>
      </w:tr>
      <w:tr w14:paraId="7A07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F1C8">
            <w:pPr>
              <w:pStyle w:val="13"/>
            </w:pPr>
            <w:r>
              <w:t>5</w:t>
            </w:r>
          </w:p>
        </w:tc>
        <w:tc>
          <w:tcPr>
            <w:tcW w:w="1191" w:type="dxa"/>
            <w:vAlign w:val="center"/>
          </w:tcPr>
          <w:p w14:paraId="397826A4">
            <w:pPr>
              <w:pStyle w:val="12"/>
            </w:pPr>
            <w:r>
              <w:t>30107</w:t>
            </w:r>
          </w:p>
        </w:tc>
        <w:tc>
          <w:tcPr>
            <w:tcW w:w="4535" w:type="dxa"/>
            <w:vAlign w:val="center"/>
          </w:tcPr>
          <w:p w14:paraId="5BC8BC39">
            <w:pPr>
              <w:pStyle w:val="12"/>
            </w:pPr>
            <w:r>
              <w:t>绩效工资</w:t>
            </w:r>
          </w:p>
        </w:tc>
        <w:tc>
          <w:tcPr>
            <w:tcW w:w="2551" w:type="dxa"/>
            <w:vAlign w:val="center"/>
          </w:tcPr>
          <w:p w14:paraId="76ADDB07">
            <w:pPr>
              <w:pStyle w:val="11"/>
            </w:pPr>
            <w:r>
              <w:t>320.08</w:t>
            </w:r>
          </w:p>
        </w:tc>
        <w:tc>
          <w:tcPr>
            <w:tcW w:w="2551" w:type="dxa"/>
            <w:vAlign w:val="center"/>
          </w:tcPr>
          <w:p w14:paraId="75B3F1DC">
            <w:pPr>
              <w:pStyle w:val="11"/>
            </w:pPr>
            <w:r>
              <w:t>320.08</w:t>
            </w:r>
          </w:p>
        </w:tc>
        <w:tc>
          <w:tcPr>
            <w:tcW w:w="2551" w:type="dxa"/>
            <w:vAlign w:val="center"/>
          </w:tcPr>
          <w:p w14:paraId="4BC58701">
            <w:pPr>
              <w:pStyle w:val="11"/>
            </w:pPr>
          </w:p>
        </w:tc>
      </w:tr>
      <w:tr w14:paraId="6108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FFBD9">
            <w:pPr>
              <w:pStyle w:val="13"/>
            </w:pPr>
            <w:r>
              <w:t>6</w:t>
            </w:r>
          </w:p>
        </w:tc>
        <w:tc>
          <w:tcPr>
            <w:tcW w:w="1191" w:type="dxa"/>
            <w:vAlign w:val="center"/>
          </w:tcPr>
          <w:p w14:paraId="1F8FD513">
            <w:pPr>
              <w:pStyle w:val="12"/>
            </w:pPr>
            <w:r>
              <w:t>30108</w:t>
            </w:r>
          </w:p>
        </w:tc>
        <w:tc>
          <w:tcPr>
            <w:tcW w:w="4535" w:type="dxa"/>
            <w:vAlign w:val="center"/>
          </w:tcPr>
          <w:p w14:paraId="0E475CD2">
            <w:pPr>
              <w:pStyle w:val="12"/>
            </w:pPr>
            <w:r>
              <w:t>机关事业单位基本养老保险缴费</w:t>
            </w:r>
          </w:p>
        </w:tc>
        <w:tc>
          <w:tcPr>
            <w:tcW w:w="2551" w:type="dxa"/>
            <w:vAlign w:val="center"/>
          </w:tcPr>
          <w:p w14:paraId="30C01FA5">
            <w:pPr>
              <w:pStyle w:val="11"/>
            </w:pPr>
            <w:r>
              <w:t>117.04</w:t>
            </w:r>
          </w:p>
        </w:tc>
        <w:tc>
          <w:tcPr>
            <w:tcW w:w="2551" w:type="dxa"/>
            <w:vAlign w:val="center"/>
          </w:tcPr>
          <w:p w14:paraId="31DA517C">
            <w:pPr>
              <w:pStyle w:val="11"/>
            </w:pPr>
            <w:r>
              <w:t>117.04</w:t>
            </w:r>
          </w:p>
        </w:tc>
        <w:tc>
          <w:tcPr>
            <w:tcW w:w="2551" w:type="dxa"/>
            <w:vAlign w:val="center"/>
          </w:tcPr>
          <w:p w14:paraId="52D8C06A">
            <w:pPr>
              <w:pStyle w:val="11"/>
            </w:pPr>
          </w:p>
        </w:tc>
      </w:tr>
      <w:tr w14:paraId="2359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77F6F">
            <w:pPr>
              <w:pStyle w:val="13"/>
            </w:pPr>
            <w:r>
              <w:t>7</w:t>
            </w:r>
          </w:p>
        </w:tc>
        <w:tc>
          <w:tcPr>
            <w:tcW w:w="1191" w:type="dxa"/>
            <w:vAlign w:val="center"/>
          </w:tcPr>
          <w:p w14:paraId="2A64D46E">
            <w:pPr>
              <w:pStyle w:val="12"/>
            </w:pPr>
            <w:r>
              <w:t>30110</w:t>
            </w:r>
          </w:p>
        </w:tc>
        <w:tc>
          <w:tcPr>
            <w:tcW w:w="4535" w:type="dxa"/>
            <w:vAlign w:val="center"/>
          </w:tcPr>
          <w:p w14:paraId="59B08E52">
            <w:pPr>
              <w:pStyle w:val="12"/>
            </w:pPr>
            <w:r>
              <w:t>职工基本医疗保险缴费</w:t>
            </w:r>
          </w:p>
        </w:tc>
        <w:tc>
          <w:tcPr>
            <w:tcW w:w="2551" w:type="dxa"/>
            <w:vAlign w:val="center"/>
          </w:tcPr>
          <w:p w14:paraId="474D3BCB">
            <w:pPr>
              <w:pStyle w:val="11"/>
            </w:pPr>
            <w:r>
              <w:t>56.70</w:t>
            </w:r>
          </w:p>
        </w:tc>
        <w:tc>
          <w:tcPr>
            <w:tcW w:w="2551" w:type="dxa"/>
            <w:vAlign w:val="center"/>
          </w:tcPr>
          <w:p w14:paraId="327842B1">
            <w:pPr>
              <w:pStyle w:val="11"/>
            </w:pPr>
            <w:r>
              <w:t>56.70</w:t>
            </w:r>
          </w:p>
        </w:tc>
        <w:tc>
          <w:tcPr>
            <w:tcW w:w="2551" w:type="dxa"/>
            <w:vAlign w:val="center"/>
          </w:tcPr>
          <w:p w14:paraId="14D21988">
            <w:pPr>
              <w:pStyle w:val="11"/>
            </w:pPr>
          </w:p>
        </w:tc>
      </w:tr>
      <w:tr w14:paraId="338D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C894">
            <w:pPr>
              <w:pStyle w:val="13"/>
            </w:pPr>
            <w:r>
              <w:t>8</w:t>
            </w:r>
          </w:p>
        </w:tc>
        <w:tc>
          <w:tcPr>
            <w:tcW w:w="1191" w:type="dxa"/>
            <w:vAlign w:val="center"/>
          </w:tcPr>
          <w:p w14:paraId="19567340">
            <w:pPr>
              <w:pStyle w:val="12"/>
            </w:pPr>
            <w:r>
              <w:t>30112</w:t>
            </w:r>
          </w:p>
        </w:tc>
        <w:tc>
          <w:tcPr>
            <w:tcW w:w="4535" w:type="dxa"/>
            <w:vAlign w:val="center"/>
          </w:tcPr>
          <w:p w14:paraId="3844EAA4">
            <w:pPr>
              <w:pStyle w:val="12"/>
            </w:pPr>
            <w:r>
              <w:t>其他社会保障缴费</w:t>
            </w:r>
          </w:p>
        </w:tc>
        <w:tc>
          <w:tcPr>
            <w:tcW w:w="2551" w:type="dxa"/>
            <w:vAlign w:val="center"/>
          </w:tcPr>
          <w:p w14:paraId="0C326E6A">
            <w:pPr>
              <w:pStyle w:val="11"/>
            </w:pPr>
            <w:r>
              <w:t>4.77</w:t>
            </w:r>
          </w:p>
        </w:tc>
        <w:tc>
          <w:tcPr>
            <w:tcW w:w="2551" w:type="dxa"/>
            <w:vAlign w:val="center"/>
          </w:tcPr>
          <w:p w14:paraId="69918C70">
            <w:pPr>
              <w:pStyle w:val="11"/>
            </w:pPr>
            <w:r>
              <w:t>4.77</w:t>
            </w:r>
          </w:p>
        </w:tc>
        <w:tc>
          <w:tcPr>
            <w:tcW w:w="2551" w:type="dxa"/>
            <w:vAlign w:val="center"/>
          </w:tcPr>
          <w:p w14:paraId="08F43907">
            <w:pPr>
              <w:pStyle w:val="11"/>
            </w:pPr>
          </w:p>
        </w:tc>
      </w:tr>
      <w:tr w14:paraId="3896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83F4">
            <w:pPr>
              <w:pStyle w:val="13"/>
            </w:pPr>
            <w:r>
              <w:t>9</w:t>
            </w:r>
          </w:p>
        </w:tc>
        <w:tc>
          <w:tcPr>
            <w:tcW w:w="1191" w:type="dxa"/>
            <w:vAlign w:val="center"/>
          </w:tcPr>
          <w:p w14:paraId="78E0AE74">
            <w:pPr>
              <w:pStyle w:val="12"/>
            </w:pPr>
            <w:r>
              <w:t>30113</w:t>
            </w:r>
          </w:p>
        </w:tc>
        <w:tc>
          <w:tcPr>
            <w:tcW w:w="4535" w:type="dxa"/>
            <w:vAlign w:val="center"/>
          </w:tcPr>
          <w:p w14:paraId="3556B36E">
            <w:pPr>
              <w:pStyle w:val="12"/>
            </w:pPr>
            <w:r>
              <w:t>住房公积金</w:t>
            </w:r>
          </w:p>
        </w:tc>
        <w:tc>
          <w:tcPr>
            <w:tcW w:w="2551" w:type="dxa"/>
            <w:vAlign w:val="center"/>
          </w:tcPr>
          <w:p w14:paraId="2F36E472">
            <w:pPr>
              <w:pStyle w:val="11"/>
            </w:pPr>
            <w:r>
              <w:t>88.06</w:t>
            </w:r>
          </w:p>
        </w:tc>
        <w:tc>
          <w:tcPr>
            <w:tcW w:w="2551" w:type="dxa"/>
            <w:vAlign w:val="center"/>
          </w:tcPr>
          <w:p w14:paraId="62879324">
            <w:pPr>
              <w:pStyle w:val="11"/>
            </w:pPr>
            <w:r>
              <w:t>88.06</w:t>
            </w:r>
          </w:p>
        </w:tc>
        <w:tc>
          <w:tcPr>
            <w:tcW w:w="2551" w:type="dxa"/>
            <w:vAlign w:val="center"/>
          </w:tcPr>
          <w:p w14:paraId="11BBD1D7">
            <w:pPr>
              <w:pStyle w:val="11"/>
            </w:pPr>
          </w:p>
        </w:tc>
      </w:tr>
      <w:tr w14:paraId="4544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6DEB3">
            <w:pPr>
              <w:pStyle w:val="13"/>
            </w:pPr>
            <w:r>
              <w:t>10</w:t>
            </w:r>
          </w:p>
        </w:tc>
        <w:tc>
          <w:tcPr>
            <w:tcW w:w="1191" w:type="dxa"/>
            <w:vAlign w:val="center"/>
          </w:tcPr>
          <w:p w14:paraId="1AD5E668">
            <w:pPr>
              <w:pStyle w:val="12"/>
            </w:pPr>
            <w:r>
              <w:t>303</w:t>
            </w:r>
          </w:p>
        </w:tc>
        <w:tc>
          <w:tcPr>
            <w:tcW w:w="4535" w:type="dxa"/>
            <w:vAlign w:val="center"/>
          </w:tcPr>
          <w:p w14:paraId="019A4D6C">
            <w:pPr>
              <w:pStyle w:val="12"/>
            </w:pPr>
            <w:r>
              <w:t>对个人和家庭的补助</w:t>
            </w:r>
          </w:p>
        </w:tc>
        <w:tc>
          <w:tcPr>
            <w:tcW w:w="2551" w:type="dxa"/>
            <w:vAlign w:val="center"/>
          </w:tcPr>
          <w:p w14:paraId="72897852">
            <w:pPr>
              <w:pStyle w:val="11"/>
            </w:pPr>
            <w:r>
              <w:t>2.08</w:t>
            </w:r>
          </w:p>
        </w:tc>
        <w:tc>
          <w:tcPr>
            <w:tcW w:w="2551" w:type="dxa"/>
            <w:vAlign w:val="center"/>
          </w:tcPr>
          <w:p w14:paraId="0C81B89B">
            <w:pPr>
              <w:pStyle w:val="11"/>
            </w:pPr>
            <w:r>
              <w:t>2.08</w:t>
            </w:r>
          </w:p>
        </w:tc>
        <w:tc>
          <w:tcPr>
            <w:tcW w:w="2551" w:type="dxa"/>
            <w:vAlign w:val="center"/>
          </w:tcPr>
          <w:p w14:paraId="3F456DA2">
            <w:pPr>
              <w:pStyle w:val="11"/>
            </w:pPr>
          </w:p>
        </w:tc>
      </w:tr>
      <w:tr w14:paraId="3B2C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80E70">
            <w:pPr>
              <w:pStyle w:val="13"/>
            </w:pPr>
            <w:r>
              <w:t>11</w:t>
            </w:r>
          </w:p>
        </w:tc>
        <w:tc>
          <w:tcPr>
            <w:tcW w:w="1191" w:type="dxa"/>
            <w:vAlign w:val="center"/>
          </w:tcPr>
          <w:p w14:paraId="40DDDB31">
            <w:pPr>
              <w:pStyle w:val="12"/>
            </w:pPr>
            <w:r>
              <w:t>30302</w:t>
            </w:r>
          </w:p>
        </w:tc>
        <w:tc>
          <w:tcPr>
            <w:tcW w:w="4535" w:type="dxa"/>
            <w:vAlign w:val="center"/>
          </w:tcPr>
          <w:p w14:paraId="03CB48B3">
            <w:pPr>
              <w:pStyle w:val="12"/>
            </w:pPr>
            <w:r>
              <w:t>退休费</w:t>
            </w:r>
          </w:p>
        </w:tc>
        <w:tc>
          <w:tcPr>
            <w:tcW w:w="2551" w:type="dxa"/>
            <w:vAlign w:val="center"/>
          </w:tcPr>
          <w:p w14:paraId="78F72197">
            <w:pPr>
              <w:pStyle w:val="11"/>
            </w:pPr>
            <w:r>
              <w:t>2.08</w:t>
            </w:r>
          </w:p>
        </w:tc>
        <w:tc>
          <w:tcPr>
            <w:tcW w:w="2551" w:type="dxa"/>
            <w:vAlign w:val="center"/>
          </w:tcPr>
          <w:p w14:paraId="0F0E82C2">
            <w:pPr>
              <w:pStyle w:val="11"/>
            </w:pPr>
            <w:r>
              <w:t>2.08</w:t>
            </w:r>
          </w:p>
        </w:tc>
        <w:tc>
          <w:tcPr>
            <w:tcW w:w="2551" w:type="dxa"/>
            <w:vAlign w:val="center"/>
          </w:tcPr>
          <w:p w14:paraId="3B21F466">
            <w:pPr>
              <w:pStyle w:val="11"/>
            </w:pPr>
          </w:p>
        </w:tc>
      </w:tr>
    </w:tbl>
    <w:p w14:paraId="4B53C5A9">
      <w:pPr>
        <w:sectPr>
          <w:pgSz w:w="16840" w:h="11900" w:orient="landscape"/>
          <w:pgMar w:top="1361" w:right="1020" w:bottom="1134" w:left="1020" w:header="720" w:footer="720" w:gutter="0"/>
          <w:cols w:space="720" w:num="1"/>
        </w:sectPr>
      </w:pPr>
    </w:p>
    <w:p w14:paraId="40515C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79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96610D">
            <w:pPr>
              <w:pStyle w:val="9"/>
            </w:pPr>
            <w:r>
              <w:t>360038隆尧县第五实验小学</w:t>
            </w:r>
          </w:p>
        </w:tc>
        <w:tc>
          <w:tcPr>
            <w:tcW w:w="2551" w:type="dxa"/>
            <w:tcBorders>
              <w:top w:val="single" w:color="FFFFFF" w:sz="6" w:space="0"/>
              <w:left w:val="single" w:color="FFFFFF" w:sz="6" w:space="0"/>
              <w:right w:val="single" w:color="FFFFFF" w:sz="6" w:space="0"/>
            </w:tcBorders>
            <w:vAlign w:val="center"/>
          </w:tcPr>
          <w:p w14:paraId="56CFDB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1B720E">
            <w:pPr>
              <w:pStyle w:val="7"/>
            </w:pPr>
            <w:r>
              <w:t>单位：万元</w:t>
            </w:r>
          </w:p>
        </w:tc>
      </w:tr>
      <w:tr w14:paraId="3072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9BEF21">
            <w:pPr>
              <w:pStyle w:val="10"/>
            </w:pPr>
            <w:r>
              <w:t>序号</w:t>
            </w:r>
          </w:p>
        </w:tc>
        <w:tc>
          <w:tcPr>
            <w:tcW w:w="5726" w:type="dxa"/>
            <w:gridSpan w:val="2"/>
            <w:vAlign w:val="center"/>
          </w:tcPr>
          <w:p w14:paraId="7FE3C0DC">
            <w:pPr>
              <w:pStyle w:val="10"/>
            </w:pPr>
            <w:r>
              <w:t>功能分类科目</w:t>
            </w:r>
          </w:p>
        </w:tc>
        <w:tc>
          <w:tcPr>
            <w:tcW w:w="2551" w:type="dxa"/>
            <w:vMerge w:val="restart"/>
            <w:vAlign w:val="center"/>
          </w:tcPr>
          <w:p w14:paraId="7543F496">
            <w:pPr>
              <w:pStyle w:val="10"/>
            </w:pPr>
            <w:r>
              <w:t>合计</w:t>
            </w:r>
          </w:p>
        </w:tc>
        <w:tc>
          <w:tcPr>
            <w:tcW w:w="2551" w:type="dxa"/>
            <w:vMerge w:val="restart"/>
            <w:vAlign w:val="center"/>
          </w:tcPr>
          <w:p w14:paraId="65B0384E">
            <w:pPr>
              <w:pStyle w:val="10"/>
            </w:pPr>
            <w:r>
              <w:t>基本支出</w:t>
            </w:r>
          </w:p>
        </w:tc>
        <w:tc>
          <w:tcPr>
            <w:tcW w:w="2551" w:type="dxa"/>
            <w:vMerge w:val="restart"/>
            <w:vAlign w:val="center"/>
          </w:tcPr>
          <w:p w14:paraId="5B7AC5AB">
            <w:pPr>
              <w:pStyle w:val="10"/>
            </w:pPr>
            <w:r>
              <w:t>项目支出</w:t>
            </w:r>
          </w:p>
        </w:tc>
      </w:tr>
      <w:tr w14:paraId="7A88F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85681B"/>
        </w:tc>
        <w:tc>
          <w:tcPr>
            <w:tcW w:w="1191" w:type="dxa"/>
            <w:vAlign w:val="center"/>
          </w:tcPr>
          <w:p w14:paraId="70D95CFE">
            <w:pPr>
              <w:pStyle w:val="10"/>
            </w:pPr>
            <w:r>
              <w:t>科目编码</w:t>
            </w:r>
          </w:p>
        </w:tc>
        <w:tc>
          <w:tcPr>
            <w:tcW w:w="4535" w:type="dxa"/>
            <w:vAlign w:val="center"/>
          </w:tcPr>
          <w:p w14:paraId="30895870">
            <w:pPr>
              <w:pStyle w:val="10"/>
            </w:pPr>
            <w:r>
              <w:t>科目名称</w:t>
            </w:r>
          </w:p>
        </w:tc>
        <w:tc>
          <w:tcPr>
            <w:tcW w:w="2551" w:type="dxa"/>
            <w:vMerge w:val="continue"/>
          </w:tcPr>
          <w:p w14:paraId="0A5970C7"/>
        </w:tc>
        <w:tc>
          <w:tcPr>
            <w:tcW w:w="2551" w:type="dxa"/>
            <w:vMerge w:val="continue"/>
          </w:tcPr>
          <w:p w14:paraId="67A4DB8E"/>
        </w:tc>
        <w:tc>
          <w:tcPr>
            <w:tcW w:w="2551" w:type="dxa"/>
            <w:vMerge w:val="continue"/>
          </w:tcPr>
          <w:p w14:paraId="3EDA1A43"/>
        </w:tc>
      </w:tr>
      <w:tr w14:paraId="4572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6D8EF">
            <w:pPr>
              <w:pStyle w:val="10"/>
            </w:pPr>
            <w:r>
              <w:t>栏次</w:t>
            </w:r>
          </w:p>
        </w:tc>
        <w:tc>
          <w:tcPr>
            <w:tcW w:w="1191" w:type="dxa"/>
            <w:vAlign w:val="center"/>
          </w:tcPr>
          <w:p w14:paraId="7C480422">
            <w:pPr>
              <w:pStyle w:val="10"/>
            </w:pPr>
            <w:r>
              <w:t>1</w:t>
            </w:r>
          </w:p>
        </w:tc>
        <w:tc>
          <w:tcPr>
            <w:tcW w:w="4535" w:type="dxa"/>
            <w:vAlign w:val="center"/>
          </w:tcPr>
          <w:p w14:paraId="58E96238">
            <w:pPr>
              <w:pStyle w:val="10"/>
            </w:pPr>
            <w:r>
              <w:t>2</w:t>
            </w:r>
          </w:p>
        </w:tc>
        <w:tc>
          <w:tcPr>
            <w:tcW w:w="2551" w:type="dxa"/>
            <w:vAlign w:val="center"/>
          </w:tcPr>
          <w:p w14:paraId="24872629">
            <w:pPr>
              <w:pStyle w:val="10"/>
            </w:pPr>
            <w:r>
              <w:t>3</w:t>
            </w:r>
          </w:p>
        </w:tc>
        <w:tc>
          <w:tcPr>
            <w:tcW w:w="2551" w:type="dxa"/>
            <w:vAlign w:val="center"/>
          </w:tcPr>
          <w:p w14:paraId="7D10CA01">
            <w:pPr>
              <w:pStyle w:val="10"/>
            </w:pPr>
            <w:r>
              <w:t>4</w:t>
            </w:r>
          </w:p>
        </w:tc>
        <w:tc>
          <w:tcPr>
            <w:tcW w:w="2551" w:type="dxa"/>
            <w:vAlign w:val="center"/>
          </w:tcPr>
          <w:p w14:paraId="7A84352F">
            <w:pPr>
              <w:pStyle w:val="10"/>
            </w:pPr>
            <w:r>
              <w:t>5</w:t>
            </w:r>
          </w:p>
        </w:tc>
      </w:tr>
      <w:tr w14:paraId="508D6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D0B41">
            <w:pPr>
              <w:pStyle w:val="13"/>
            </w:pPr>
          </w:p>
        </w:tc>
        <w:tc>
          <w:tcPr>
            <w:tcW w:w="1191" w:type="dxa"/>
            <w:vAlign w:val="center"/>
          </w:tcPr>
          <w:p w14:paraId="23E42EF6">
            <w:pPr>
              <w:pStyle w:val="12"/>
            </w:pPr>
          </w:p>
        </w:tc>
        <w:tc>
          <w:tcPr>
            <w:tcW w:w="4535" w:type="dxa"/>
            <w:vAlign w:val="center"/>
          </w:tcPr>
          <w:p w14:paraId="72AB6DEB">
            <w:pPr>
              <w:pStyle w:val="12"/>
            </w:pPr>
          </w:p>
        </w:tc>
        <w:tc>
          <w:tcPr>
            <w:tcW w:w="2551" w:type="dxa"/>
            <w:vAlign w:val="center"/>
          </w:tcPr>
          <w:p w14:paraId="7320E719">
            <w:pPr>
              <w:pStyle w:val="11"/>
            </w:pPr>
          </w:p>
        </w:tc>
        <w:tc>
          <w:tcPr>
            <w:tcW w:w="2551" w:type="dxa"/>
            <w:vAlign w:val="center"/>
          </w:tcPr>
          <w:p w14:paraId="3B39C284">
            <w:pPr>
              <w:pStyle w:val="11"/>
            </w:pPr>
          </w:p>
        </w:tc>
        <w:tc>
          <w:tcPr>
            <w:tcW w:w="2551" w:type="dxa"/>
            <w:vAlign w:val="center"/>
          </w:tcPr>
          <w:p w14:paraId="48CA008B">
            <w:pPr>
              <w:pStyle w:val="11"/>
            </w:pPr>
          </w:p>
        </w:tc>
      </w:tr>
    </w:tbl>
    <w:p w14:paraId="6CF50A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59119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9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5383B0">
            <w:pPr>
              <w:pStyle w:val="9"/>
            </w:pPr>
            <w:r>
              <w:t>360038隆尧县第五实验小学</w:t>
            </w:r>
          </w:p>
        </w:tc>
        <w:tc>
          <w:tcPr>
            <w:tcW w:w="2551" w:type="dxa"/>
            <w:tcBorders>
              <w:top w:val="single" w:color="FFFFFF" w:sz="6" w:space="0"/>
              <w:left w:val="single" w:color="FFFFFF" w:sz="6" w:space="0"/>
              <w:right w:val="single" w:color="FFFFFF" w:sz="6" w:space="0"/>
            </w:tcBorders>
            <w:vAlign w:val="center"/>
          </w:tcPr>
          <w:p w14:paraId="6DA363E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1A26A7">
            <w:pPr>
              <w:pStyle w:val="7"/>
            </w:pPr>
            <w:r>
              <w:t>单位：万元</w:t>
            </w:r>
          </w:p>
        </w:tc>
      </w:tr>
      <w:tr w14:paraId="7507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F325E">
            <w:pPr>
              <w:pStyle w:val="10"/>
            </w:pPr>
            <w:r>
              <w:t>序号</w:t>
            </w:r>
          </w:p>
        </w:tc>
        <w:tc>
          <w:tcPr>
            <w:tcW w:w="5726" w:type="dxa"/>
            <w:gridSpan w:val="2"/>
            <w:vAlign w:val="center"/>
          </w:tcPr>
          <w:p w14:paraId="33AC843D">
            <w:pPr>
              <w:pStyle w:val="10"/>
            </w:pPr>
            <w:r>
              <w:t>功能分类科目</w:t>
            </w:r>
          </w:p>
        </w:tc>
        <w:tc>
          <w:tcPr>
            <w:tcW w:w="2551" w:type="dxa"/>
            <w:vMerge w:val="restart"/>
            <w:vAlign w:val="center"/>
          </w:tcPr>
          <w:p w14:paraId="55333AB3">
            <w:pPr>
              <w:pStyle w:val="10"/>
            </w:pPr>
            <w:r>
              <w:t>合计</w:t>
            </w:r>
          </w:p>
        </w:tc>
        <w:tc>
          <w:tcPr>
            <w:tcW w:w="2551" w:type="dxa"/>
            <w:vMerge w:val="restart"/>
            <w:vAlign w:val="center"/>
          </w:tcPr>
          <w:p w14:paraId="1A35DFB6">
            <w:pPr>
              <w:pStyle w:val="10"/>
            </w:pPr>
            <w:r>
              <w:t>基本支出</w:t>
            </w:r>
          </w:p>
        </w:tc>
        <w:tc>
          <w:tcPr>
            <w:tcW w:w="2551" w:type="dxa"/>
            <w:vMerge w:val="restart"/>
            <w:vAlign w:val="center"/>
          </w:tcPr>
          <w:p w14:paraId="401519C6">
            <w:pPr>
              <w:pStyle w:val="10"/>
            </w:pPr>
            <w:r>
              <w:t>项目支出</w:t>
            </w:r>
          </w:p>
        </w:tc>
      </w:tr>
      <w:tr w14:paraId="4EC5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757583"/>
        </w:tc>
        <w:tc>
          <w:tcPr>
            <w:tcW w:w="1191" w:type="dxa"/>
            <w:vAlign w:val="center"/>
          </w:tcPr>
          <w:p w14:paraId="615EF51F">
            <w:pPr>
              <w:pStyle w:val="10"/>
            </w:pPr>
            <w:r>
              <w:t>科目编码</w:t>
            </w:r>
          </w:p>
        </w:tc>
        <w:tc>
          <w:tcPr>
            <w:tcW w:w="4535" w:type="dxa"/>
            <w:vAlign w:val="center"/>
          </w:tcPr>
          <w:p w14:paraId="659F3BF9">
            <w:pPr>
              <w:pStyle w:val="10"/>
            </w:pPr>
            <w:r>
              <w:t>科目名称</w:t>
            </w:r>
          </w:p>
        </w:tc>
        <w:tc>
          <w:tcPr>
            <w:tcW w:w="2551" w:type="dxa"/>
            <w:vMerge w:val="continue"/>
          </w:tcPr>
          <w:p w14:paraId="7FCB8F4A"/>
        </w:tc>
        <w:tc>
          <w:tcPr>
            <w:tcW w:w="2551" w:type="dxa"/>
            <w:vMerge w:val="continue"/>
          </w:tcPr>
          <w:p w14:paraId="3A63CE9C"/>
        </w:tc>
        <w:tc>
          <w:tcPr>
            <w:tcW w:w="2551" w:type="dxa"/>
            <w:vMerge w:val="continue"/>
          </w:tcPr>
          <w:p w14:paraId="525B79BC"/>
        </w:tc>
      </w:tr>
      <w:tr w14:paraId="6828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F800A5">
            <w:pPr>
              <w:pStyle w:val="10"/>
            </w:pPr>
            <w:r>
              <w:t>栏次</w:t>
            </w:r>
          </w:p>
        </w:tc>
        <w:tc>
          <w:tcPr>
            <w:tcW w:w="1191" w:type="dxa"/>
            <w:vAlign w:val="center"/>
          </w:tcPr>
          <w:p w14:paraId="761BEE01">
            <w:pPr>
              <w:pStyle w:val="10"/>
            </w:pPr>
            <w:r>
              <w:t>1</w:t>
            </w:r>
          </w:p>
        </w:tc>
        <w:tc>
          <w:tcPr>
            <w:tcW w:w="4535" w:type="dxa"/>
            <w:vAlign w:val="center"/>
          </w:tcPr>
          <w:p w14:paraId="552114DB">
            <w:pPr>
              <w:pStyle w:val="10"/>
            </w:pPr>
            <w:r>
              <w:t>2</w:t>
            </w:r>
          </w:p>
        </w:tc>
        <w:tc>
          <w:tcPr>
            <w:tcW w:w="2551" w:type="dxa"/>
            <w:vAlign w:val="center"/>
          </w:tcPr>
          <w:p w14:paraId="6CC388CC">
            <w:pPr>
              <w:pStyle w:val="10"/>
            </w:pPr>
            <w:r>
              <w:t>3</w:t>
            </w:r>
          </w:p>
        </w:tc>
        <w:tc>
          <w:tcPr>
            <w:tcW w:w="2551" w:type="dxa"/>
            <w:vAlign w:val="center"/>
          </w:tcPr>
          <w:p w14:paraId="1E69BA62">
            <w:pPr>
              <w:pStyle w:val="10"/>
            </w:pPr>
            <w:r>
              <w:t>4</w:t>
            </w:r>
          </w:p>
        </w:tc>
        <w:tc>
          <w:tcPr>
            <w:tcW w:w="2551" w:type="dxa"/>
            <w:vAlign w:val="center"/>
          </w:tcPr>
          <w:p w14:paraId="00FCB31F">
            <w:pPr>
              <w:pStyle w:val="10"/>
            </w:pPr>
            <w:r>
              <w:t>5</w:t>
            </w:r>
          </w:p>
        </w:tc>
      </w:tr>
      <w:tr w14:paraId="42A1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46CD">
            <w:pPr>
              <w:pStyle w:val="13"/>
            </w:pPr>
          </w:p>
        </w:tc>
        <w:tc>
          <w:tcPr>
            <w:tcW w:w="1191" w:type="dxa"/>
            <w:vAlign w:val="center"/>
          </w:tcPr>
          <w:p w14:paraId="1C1D8E3D">
            <w:pPr>
              <w:pStyle w:val="12"/>
            </w:pPr>
          </w:p>
        </w:tc>
        <w:tc>
          <w:tcPr>
            <w:tcW w:w="4535" w:type="dxa"/>
            <w:vAlign w:val="center"/>
          </w:tcPr>
          <w:p w14:paraId="2AAF48D1">
            <w:pPr>
              <w:pStyle w:val="12"/>
            </w:pPr>
          </w:p>
        </w:tc>
        <w:tc>
          <w:tcPr>
            <w:tcW w:w="2551" w:type="dxa"/>
            <w:vAlign w:val="center"/>
          </w:tcPr>
          <w:p w14:paraId="2DAF4168">
            <w:pPr>
              <w:pStyle w:val="11"/>
            </w:pPr>
          </w:p>
        </w:tc>
        <w:tc>
          <w:tcPr>
            <w:tcW w:w="2551" w:type="dxa"/>
            <w:vAlign w:val="center"/>
          </w:tcPr>
          <w:p w14:paraId="64560C76">
            <w:pPr>
              <w:pStyle w:val="11"/>
            </w:pPr>
          </w:p>
        </w:tc>
        <w:tc>
          <w:tcPr>
            <w:tcW w:w="2551" w:type="dxa"/>
            <w:vAlign w:val="center"/>
          </w:tcPr>
          <w:p w14:paraId="23254022">
            <w:pPr>
              <w:pStyle w:val="11"/>
            </w:pPr>
          </w:p>
        </w:tc>
      </w:tr>
    </w:tbl>
    <w:p w14:paraId="0B33AD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64D9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9E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AF2D16">
            <w:pPr>
              <w:pStyle w:val="9"/>
            </w:pPr>
            <w:r>
              <w:t>360038隆尧县第五实验小学</w:t>
            </w:r>
          </w:p>
        </w:tc>
        <w:tc>
          <w:tcPr>
            <w:tcW w:w="2381" w:type="dxa"/>
            <w:tcBorders>
              <w:top w:val="single" w:color="FFFFFF" w:sz="6" w:space="0"/>
              <w:left w:val="single" w:color="FFFFFF" w:sz="6" w:space="0"/>
              <w:right w:val="single" w:color="FFFFFF" w:sz="6" w:space="0"/>
            </w:tcBorders>
            <w:vAlign w:val="center"/>
          </w:tcPr>
          <w:p w14:paraId="26CA17E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834D144">
            <w:pPr>
              <w:pStyle w:val="7"/>
            </w:pPr>
            <w:r>
              <w:t>单位：万元</w:t>
            </w:r>
          </w:p>
        </w:tc>
      </w:tr>
      <w:tr w14:paraId="1347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973444">
            <w:pPr>
              <w:pStyle w:val="10"/>
            </w:pPr>
            <w:r>
              <w:t>序号</w:t>
            </w:r>
          </w:p>
        </w:tc>
        <w:tc>
          <w:tcPr>
            <w:tcW w:w="3798" w:type="dxa"/>
            <w:vMerge w:val="restart"/>
            <w:vAlign w:val="center"/>
          </w:tcPr>
          <w:p w14:paraId="7108ADAB">
            <w:pPr>
              <w:pStyle w:val="10"/>
            </w:pPr>
            <w:r>
              <w:t>项  目</w:t>
            </w:r>
          </w:p>
        </w:tc>
        <w:tc>
          <w:tcPr>
            <w:tcW w:w="9524" w:type="dxa"/>
            <w:gridSpan w:val="4"/>
            <w:vAlign w:val="center"/>
          </w:tcPr>
          <w:p w14:paraId="7F298B54">
            <w:pPr>
              <w:pStyle w:val="10"/>
            </w:pPr>
            <w:r>
              <w:t>资 金 性 质</w:t>
            </w:r>
          </w:p>
        </w:tc>
      </w:tr>
      <w:tr w14:paraId="42A0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1B8124"/>
        </w:tc>
        <w:tc>
          <w:tcPr>
            <w:tcW w:w="3798" w:type="dxa"/>
            <w:vMerge w:val="continue"/>
          </w:tcPr>
          <w:p w14:paraId="557094EA"/>
        </w:tc>
        <w:tc>
          <w:tcPr>
            <w:tcW w:w="2381" w:type="dxa"/>
            <w:vAlign w:val="center"/>
          </w:tcPr>
          <w:p w14:paraId="5B1479A0">
            <w:pPr>
              <w:pStyle w:val="10"/>
            </w:pPr>
            <w:r>
              <w:t>合计</w:t>
            </w:r>
          </w:p>
        </w:tc>
        <w:tc>
          <w:tcPr>
            <w:tcW w:w="2381" w:type="dxa"/>
            <w:vAlign w:val="center"/>
          </w:tcPr>
          <w:p w14:paraId="5A6FD3CC">
            <w:pPr>
              <w:pStyle w:val="10"/>
            </w:pPr>
            <w:r>
              <w:t>一般公共预算              财政拨款</w:t>
            </w:r>
          </w:p>
        </w:tc>
        <w:tc>
          <w:tcPr>
            <w:tcW w:w="2381" w:type="dxa"/>
            <w:vAlign w:val="center"/>
          </w:tcPr>
          <w:p w14:paraId="66645C1E">
            <w:pPr>
              <w:pStyle w:val="10"/>
            </w:pPr>
            <w:r>
              <w:t>政府性基金                  预算拨款</w:t>
            </w:r>
          </w:p>
        </w:tc>
        <w:tc>
          <w:tcPr>
            <w:tcW w:w="2381" w:type="dxa"/>
            <w:vAlign w:val="center"/>
          </w:tcPr>
          <w:p w14:paraId="33F5954E">
            <w:pPr>
              <w:pStyle w:val="10"/>
            </w:pPr>
            <w:r>
              <w:t>国有资本经营              预算财政拨款</w:t>
            </w:r>
          </w:p>
        </w:tc>
      </w:tr>
      <w:tr w14:paraId="1B6B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170034">
            <w:pPr>
              <w:pStyle w:val="10"/>
            </w:pPr>
            <w:r>
              <w:t>栏次</w:t>
            </w:r>
          </w:p>
        </w:tc>
        <w:tc>
          <w:tcPr>
            <w:tcW w:w="3798" w:type="dxa"/>
            <w:vAlign w:val="center"/>
          </w:tcPr>
          <w:p w14:paraId="66F45086">
            <w:pPr>
              <w:pStyle w:val="10"/>
            </w:pPr>
            <w:r>
              <w:t>1</w:t>
            </w:r>
          </w:p>
        </w:tc>
        <w:tc>
          <w:tcPr>
            <w:tcW w:w="2381" w:type="dxa"/>
            <w:vAlign w:val="center"/>
          </w:tcPr>
          <w:p w14:paraId="2014AF2F">
            <w:pPr>
              <w:pStyle w:val="10"/>
            </w:pPr>
            <w:r>
              <w:t>2</w:t>
            </w:r>
          </w:p>
        </w:tc>
        <w:tc>
          <w:tcPr>
            <w:tcW w:w="2381" w:type="dxa"/>
            <w:vAlign w:val="center"/>
          </w:tcPr>
          <w:p w14:paraId="2646F6FC">
            <w:pPr>
              <w:pStyle w:val="10"/>
            </w:pPr>
            <w:r>
              <w:t>3</w:t>
            </w:r>
          </w:p>
        </w:tc>
        <w:tc>
          <w:tcPr>
            <w:tcW w:w="2381" w:type="dxa"/>
            <w:vAlign w:val="center"/>
          </w:tcPr>
          <w:p w14:paraId="7A99E902">
            <w:pPr>
              <w:pStyle w:val="10"/>
            </w:pPr>
            <w:r>
              <w:t>4</w:t>
            </w:r>
          </w:p>
        </w:tc>
        <w:tc>
          <w:tcPr>
            <w:tcW w:w="2381" w:type="dxa"/>
            <w:vAlign w:val="center"/>
          </w:tcPr>
          <w:p w14:paraId="74250221">
            <w:pPr>
              <w:pStyle w:val="10"/>
            </w:pPr>
            <w:r>
              <w:t>5</w:t>
            </w:r>
          </w:p>
        </w:tc>
      </w:tr>
      <w:tr w14:paraId="07E27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8A9EA7">
            <w:pPr>
              <w:pStyle w:val="13"/>
            </w:pPr>
          </w:p>
        </w:tc>
        <w:tc>
          <w:tcPr>
            <w:tcW w:w="3798" w:type="dxa"/>
            <w:vAlign w:val="center"/>
          </w:tcPr>
          <w:p w14:paraId="2C7F949B">
            <w:pPr>
              <w:pStyle w:val="12"/>
            </w:pPr>
          </w:p>
        </w:tc>
        <w:tc>
          <w:tcPr>
            <w:tcW w:w="2381" w:type="dxa"/>
            <w:vAlign w:val="center"/>
          </w:tcPr>
          <w:p w14:paraId="63C64492">
            <w:pPr>
              <w:pStyle w:val="11"/>
            </w:pPr>
          </w:p>
        </w:tc>
        <w:tc>
          <w:tcPr>
            <w:tcW w:w="2381" w:type="dxa"/>
            <w:vAlign w:val="center"/>
          </w:tcPr>
          <w:p w14:paraId="716E0F8C">
            <w:pPr>
              <w:pStyle w:val="11"/>
            </w:pPr>
          </w:p>
        </w:tc>
        <w:tc>
          <w:tcPr>
            <w:tcW w:w="2381" w:type="dxa"/>
            <w:vAlign w:val="center"/>
          </w:tcPr>
          <w:p w14:paraId="52B38C46">
            <w:pPr>
              <w:pStyle w:val="11"/>
            </w:pPr>
          </w:p>
        </w:tc>
        <w:tc>
          <w:tcPr>
            <w:tcW w:w="2381" w:type="dxa"/>
            <w:vAlign w:val="center"/>
          </w:tcPr>
          <w:p w14:paraId="3037A547">
            <w:pPr>
              <w:pStyle w:val="11"/>
            </w:pPr>
          </w:p>
        </w:tc>
      </w:tr>
    </w:tbl>
    <w:p w14:paraId="0640E9D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1CAA3A">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隆尧县第五实验小学2026年单位预算信息公开情况说明</w:t>
      </w:r>
    </w:p>
    <w:p w14:paraId="1325D3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地方预决算公开操作规程》和《关于进一步推进预算公开工作的实施意见》规定，现将隆尧县第五实验小学2026年单位预算公开如下：</w:t>
      </w:r>
    </w:p>
    <w:p w14:paraId="3290D880">
      <w:pPr>
        <w:spacing w:before="10" w:after="10" w:line="240" w:lineRule="auto"/>
        <w:ind w:firstLine="640"/>
        <w:jc w:val="left"/>
        <w:outlineLvl w:val="5"/>
      </w:pPr>
      <w:r>
        <w:rPr>
          <w:rFonts w:ascii="黑体" w:hAnsi="黑体" w:eastAsia="黑体" w:cs="黑体"/>
          <w:color w:val="000000"/>
          <w:sz w:val="32"/>
        </w:rPr>
        <w:t>一、单位职责及机构设置情况</w:t>
      </w:r>
    </w:p>
    <w:p w14:paraId="721D9AB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B12BCA">
      <w:pPr>
        <w:pStyle w:val="17"/>
        <w:rPr>
          <w:rFonts w:hint="eastAsia"/>
        </w:rPr>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w:t>
      </w:r>
    </w:p>
    <w:p w14:paraId="7F5988C1">
      <w:pPr>
        <w:pStyle w:val="17"/>
      </w:pPr>
      <w:r>
        <w:rPr>
          <w:rFonts w:hint="eastAsia"/>
        </w:rPr>
        <w:t>隆尧县第五实验小学事业编制107名</w:t>
      </w:r>
      <w:r>
        <w:rPr>
          <w:rFonts w:hint="eastAsia"/>
          <w:lang w:eastAsia="zh-CN"/>
        </w:rPr>
        <w:t>。</w:t>
      </w:r>
      <w:r>
        <w:rPr>
          <w:rFonts w:hint="eastAsia"/>
        </w:rPr>
        <w:t>其中，校长1名（正股级），副校长4名（副股级）；经费形式为财政性资金基本保证。</w:t>
      </w:r>
    </w:p>
    <w:p w14:paraId="059893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EFC39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5A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4D3BFA">
            <w:pPr>
              <w:pStyle w:val="10"/>
            </w:pPr>
            <w:r>
              <w:t>单位名称</w:t>
            </w:r>
          </w:p>
        </w:tc>
        <w:tc>
          <w:tcPr>
            <w:tcW w:w="1843" w:type="dxa"/>
            <w:vAlign w:val="center"/>
          </w:tcPr>
          <w:p w14:paraId="12211587">
            <w:pPr>
              <w:pStyle w:val="10"/>
            </w:pPr>
            <w:r>
              <w:t>单位性质</w:t>
            </w:r>
          </w:p>
        </w:tc>
        <w:tc>
          <w:tcPr>
            <w:tcW w:w="2126" w:type="dxa"/>
            <w:vAlign w:val="center"/>
          </w:tcPr>
          <w:p w14:paraId="0A5D007F">
            <w:pPr>
              <w:pStyle w:val="10"/>
            </w:pPr>
            <w:r>
              <w:t>单位规格</w:t>
            </w:r>
          </w:p>
        </w:tc>
        <w:tc>
          <w:tcPr>
            <w:tcW w:w="3827" w:type="dxa"/>
            <w:vAlign w:val="center"/>
          </w:tcPr>
          <w:p w14:paraId="718E8DCF">
            <w:pPr>
              <w:pStyle w:val="10"/>
            </w:pPr>
            <w:r>
              <w:t>经费保障形式</w:t>
            </w:r>
          </w:p>
        </w:tc>
      </w:tr>
      <w:tr w14:paraId="4C68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00560A">
            <w:pPr>
              <w:pStyle w:val="12"/>
            </w:pPr>
            <w:r>
              <w:t>隆尧县第五实验小学</w:t>
            </w:r>
          </w:p>
        </w:tc>
        <w:tc>
          <w:tcPr>
            <w:tcW w:w="1843" w:type="dxa"/>
            <w:vAlign w:val="center"/>
          </w:tcPr>
          <w:p w14:paraId="45EF6697">
            <w:pPr>
              <w:pStyle w:val="13"/>
            </w:pPr>
            <w:r>
              <w:t>事业</w:t>
            </w:r>
          </w:p>
        </w:tc>
        <w:tc>
          <w:tcPr>
            <w:tcW w:w="2126" w:type="dxa"/>
            <w:vAlign w:val="center"/>
          </w:tcPr>
          <w:p w14:paraId="7B8595BB">
            <w:pPr>
              <w:pStyle w:val="13"/>
            </w:pPr>
            <w:r>
              <w:t>股级</w:t>
            </w:r>
          </w:p>
        </w:tc>
        <w:tc>
          <w:tcPr>
            <w:tcW w:w="3827" w:type="dxa"/>
            <w:vAlign w:val="center"/>
          </w:tcPr>
          <w:p w14:paraId="2FC3A0CD">
            <w:pPr>
              <w:pStyle w:val="13"/>
            </w:pPr>
            <w:r>
              <w:t>财政性资金基本保证</w:t>
            </w:r>
          </w:p>
        </w:tc>
      </w:tr>
    </w:tbl>
    <w:p w14:paraId="1961A636">
      <w:pPr>
        <w:spacing w:before="10" w:after="10" w:line="240" w:lineRule="auto"/>
        <w:ind w:firstLine="640"/>
        <w:jc w:val="left"/>
        <w:outlineLvl w:val="5"/>
      </w:pPr>
      <w:r>
        <w:rPr>
          <w:rFonts w:ascii="黑体" w:hAnsi="黑体" w:eastAsia="黑体" w:cs="黑体"/>
          <w:color w:val="000000"/>
          <w:sz w:val="32"/>
        </w:rPr>
        <w:t>二、单位预算安排的总体情况</w:t>
      </w:r>
    </w:p>
    <w:p w14:paraId="3AC396DE">
      <w:pPr>
        <w:pStyle w:val="18"/>
      </w:pPr>
    </w:p>
    <w:p w14:paraId="27D9A53B">
      <w:pPr>
        <w:pStyle w:val="18"/>
      </w:pPr>
      <w:r>
        <w:t>按照预算管理有关规定，目前我校单位预算的编制实行综合预算管理，即全部收入和支出都反映的预算中。隆尧县第五实验小学的收支包含在单位预算中。</w:t>
      </w:r>
    </w:p>
    <w:p w14:paraId="47F918AC">
      <w:pPr>
        <w:pStyle w:val="18"/>
      </w:pPr>
      <w:r>
        <w:t>1、收入说明</w:t>
      </w:r>
    </w:p>
    <w:p w14:paraId="38709F75">
      <w:pPr>
        <w:pStyle w:val="18"/>
      </w:pPr>
      <w:r>
        <w:t>反映本单位当年全部收入。2026年预算收入1350.68万元，其中：一般公共预算收入1350.68万元，基金预算收入0万元，基金预算收入0万元，国有资本经营预算收入0万元，财政专户拨收入0万元，单位资金收入0万元，上年结转结余0万元。</w:t>
      </w:r>
    </w:p>
    <w:p w14:paraId="4F4EDBA5">
      <w:pPr>
        <w:pStyle w:val="18"/>
      </w:pPr>
      <w:r>
        <w:t>2、支出说明</w:t>
      </w:r>
    </w:p>
    <w:p w14:paraId="5352C4DF">
      <w:pPr>
        <w:pStyle w:val="18"/>
      </w:pPr>
      <w:r>
        <w:t>收支预算总表支出栏、基本支出表、项目支出表按经济分类和支出功能分类科目编制，反映隆尧县第五实验小学年度单位预算中支出预算的总体情况。2026年单位支出预算为1350.68万元，其中基本支出1114.96万元、项目支出235.72万元。主要为小学教育1350.68万元。</w:t>
      </w:r>
    </w:p>
    <w:p w14:paraId="5ACF4838">
      <w:pPr>
        <w:pStyle w:val="18"/>
      </w:pPr>
      <w:r>
        <w:t>3、比上年增减情况</w:t>
      </w:r>
    </w:p>
    <w:p w14:paraId="27249719">
      <w:pPr>
        <w:pStyle w:val="18"/>
      </w:pPr>
      <w:r>
        <w:t>2026年部门预算收支安排1350.68万元，较2025年度减少61.48万元，其中基本支出增加12.09万元，项目支出减少73.58万元。</w:t>
      </w:r>
    </w:p>
    <w:p w14:paraId="77464F1B">
      <w:pPr>
        <w:spacing w:before="10" w:after="10" w:line="240" w:lineRule="auto"/>
        <w:ind w:firstLine="640"/>
        <w:jc w:val="left"/>
        <w:outlineLvl w:val="5"/>
      </w:pPr>
      <w:r>
        <w:rPr>
          <w:rFonts w:ascii="黑体" w:hAnsi="黑体" w:eastAsia="黑体" w:cs="黑体"/>
          <w:color w:val="000000"/>
          <w:sz w:val="32"/>
        </w:rPr>
        <w:t>三、机关运行经费安排情况</w:t>
      </w:r>
    </w:p>
    <w:p w14:paraId="177A7FB9">
      <w:pPr>
        <w:pStyle w:val="19"/>
      </w:pPr>
      <w:r>
        <w:t>我单位按学生安排公用经费，无机关运行经费。</w:t>
      </w:r>
    </w:p>
    <w:p w14:paraId="32C0168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02E9EA">
      <w:pPr>
        <w:pStyle w:val="20"/>
      </w:pPr>
      <w:r>
        <w:t>我单位未安排</w:t>
      </w:r>
      <w:r>
        <w:rPr>
          <w:rFonts w:hint="eastAsia"/>
          <w:lang w:eastAsia="zh-CN"/>
        </w:rPr>
        <w:t>“三公”经费</w:t>
      </w:r>
      <w:r>
        <w:t>。</w:t>
      </w:r>
    </w:p>
    <w:p w14:paraId="35AEEAA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28419A">
      <w:pPr>
        <w:spacing w:before="0" w:after="0"/>
        <w:ind w:firstLine="560"/>
        <w:jc w:val="left"/>
        <w:outlineLvl w:val="9"/>
      </w:pPr>
      <w:r>
        <w:rPr>
          <w:rFonts w:ascii="方正仿宋_GBK" w:hAnsi="方正仿宋_GBK" w:eastAsia="方正仿宋_GBK" w:cs="方正仿宋_GBK"/>
          <w:b/>
          <w:color w:val="000000"/>
          <w:sz w:val="28"/>
        </w:rPr>
        <w:t>1、冀财教[2025]121号/中央/2026年义教补助经费/第五实验小学公用经费绩效目标表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AC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D554B">
            <w:pPr>
              <w:pStyle w:val="11"/>
            </w:pPr>
            <w:r>
              <w:t>单位：万元</w:t>
            </w:r>
          </w:p>
        </w:tc>
      </w:tr>
      <w:tr w14:paraId="3C87B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5FDC0">
            <w:pPr>
              <w:pStyle w:val="10"/>
            </w:pPr>
            <w:r>
              <w:t>项目编码</w:t>
            </w:r>
          </w:p>
        </w:tc>
        <w:tc>
          <w:tcPr>
            <w:tcW w:w="5103" w:type="dxa"/>
            <w:gridSpan w:val="2"/>
            <w:vAlign w:val="center"/>
          </w:tcPr>
          <w:p w14:paraId="7EA5F740">
            <w:pPr>
              <w:pStyle w:val="12"/>
            </w:pPr>
            <w:r>
              <w:t>13052526P00000410261U</w:t>
            </w:r>
          </w:p>
        </w:tc>
        <w:tc>
          <w:tcPr>
            <w:tcW w:w="2835" w:type="dxa"/>
            <w:vAlign w:val="center"/>
          </w:tcPr>
          <w:p w14:paraId="392B37C1">
            <w:pPr>
              <w:pStyle w:val="10"/>
            </w:pPr>
            <w:r>
              <w:t>项目名称</w:t>
            </w:r>
          </w:p>
        </w:tc>
        <w:tc>
          <w:tcPr>
            <w:tcW w:w="6095" w:type="dxa"/>
            <w:gridSpan w:val="3"/>
            <w:vAlign w:val="center"/>
          </w:tcPr>
          <w:p w14:paraId="6BF927A2">
            <w:pPr>
              <w:pStyle w:val="12"/>
            </w:pPr>
            <w:r>
              <w:t>冀财教[2025]121号/中央/2026年义教补助经费/第五实验小学公用经费</w:t>
            </w:r>
          </w:p>
        </w:tc>
      </w:tr>
      <w:tr w14:paraId="0D881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1E59B">
            <w:pPr>
              <w:pStyle w:val="10"/>
            </w:pPr>
            <w:r>
              <w:t>预算规模及资金用途</w:t>
            </w:r>
          </w:p>
        </w:tc>
        <w:tc>
          <w:tcPr>
            <w:tcW w:w="2268" w:type="dxa"/>
            <w:vAlign w:val="center"/>
          </w:tcPr>
          <w:p w14:paraId="65258A17">
            <w:pPr>
              <w:pStyle w:val="10"/>
            </w:pPr>
            <w:r>
              <w:t>预算数</w:t>
            </w:r>
          </w:p>
        </w:tc>
        <w:tc>
          <w:tcPr>
            <w:tcW w:w="2835" w:type="dxa"/>
            <w:vAlign w:val="center"/>
          </w:tcPr>
          <w:p w14:paraId="27F2725E">
            <w:pPr>
              <w:pStyle w:val="12"/>
            </w:pPr>
            <w:r>
              <w:t>139.31</w:t>
            </w:r>
          </w:p>
        </w:tc>
        <w:tc>
          <w:tcPr>
            <w:tcW w:w="2835" w:type="dxa"/>
            <w:vAlign w:val="center"/>
          </w:tcPr>
          <w:p w14:paraId="6773AA42">
            <w:pPr>
              <w:pStyle w:val="10"/>
            </w:pPr>
            <w:r>
              <w:t>其中：财政    资金</w:t>
            </w:r>
          </w:p>
        </w:tc>
        <w:tc>
          <w:tcPr>
            <w:tcW w:w="2551" w:type="dxa"/>
            <w:vAlign w:val="center"/>
          </w:tcPr>
          <w:p w14:paraId="07F5D6A2">
            <w:pPr>
              <w:pStyle w:val="12"/>
            </w:pPr>
            <w:r>
              <w:t>139.31</w:t>
            </w:r>
          </w:p>
        </w:tc>
        <w:tc>
          <w:tcPr>
            <w:tcW w:w="2268" w:type="dxa"/>
            <w:vAlign w:val="center"/>
          </w:tcPr>
          <w:p w14:paraId="665EA22E">
            <w:pPr>
              <w:pStyle w:val="10"/>
            </w:pPr>
            <w:r>
              <w:t>其他资金</w:t>
            </w:r>
          </w:p>
        </w:tc>
        <w:tc>
          <w:tcPr>
            <w:tcW w:w="1276" w:type="dxa"/>
            <w:vAlign w:val="center"/>
          </w:tcPr>
          <w:p w14:paraId="63AA6D72">
            <w:pPr>
              <w:pStyle w:val="12"/>
            </w:pPr>
            <w:r>
              <w:t xml:space="preserve"> </w:t>
            </w:r>
          </w:p>
        </w:tc>
      </w:tr>
      <w:tr w14:paraId="775DC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CE95B"/>
        </w:tc>
        <w:tc>
          <w:tcPr>
            <w:tcW w:w="14033" w:type="dxa"/>
            <w:gridSpan w:val="6"/>
            <w:vAlign w:val="center"/>
          </w:tcPr>
          <w:p w14:paraId="310A521A">
            <w:pPr>
              <w:pStyle w:val="12"/>
            </w:pPr>
            <w:r>
              <w:t>保障学校正常运转，完成各项教育教学活动和</w:t>
            </w:r>
            <w:r>
              <w:rPr>
                <w:rFonts w:hint="eastAsia"/>
                <w:lang w:eastAsia="zh-CN"/>
              </w:rPr>
              <w:t>其他</w:t>
            </w:r>
            <w:r>
              <w:t>日常工作任务等方面的费用支出。</w:t>
            </w:r>
          </w:p>
        </w:tc>
      </w:tr>
      <w:tr w14:paraId="6E146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723E6">
            <w:pPr>
              <w:pStyle w:val="10"/>
            </w:pPr>
            <w:r>
              <w:t>资金支出计划（%）</w:t>
            </w:r>
          </w:p>
        </w:tc>
        <w:tc>
          <w:tcPr>
            <w:tcW w:w="5103" w:type="dxa"/>
            <w:gridSpan w:val="2"/>
            <w:vAlign w:val="center"/>
          </w:tcPr>
          <w:p w14:paraId="365D5F01">
            <w:pPr>
              <w:pStyle w:val="10"/>
            </w:pPr>
            <w:r>
              <w:t>3月底</w:t>
            </w:r>
          </w:p>
        </w:tc>
        <w:tc>
          <w:tcPr>
            <w:tcW w:w="2835" w:type="dxa"/>
            <w:vAlign w:val="center"/>
          </w:tcPr>
          <w:p w14:paraId="76B2F8A3">
            <w:pPr>
              <w:pStyle w:val="10"/>
            </w:pPr>
            <w:r>
              <w:t>6月底</w:t>
            </w:r>
          </w:p>
        </w:tc>
        <w:tc>
          <w:tcPr>
            <w:tcW w:w="2551" w:type="dxa"/>
            <w:vAlign w:val="center"/>
          </w:tcPr>
          <w:p w14:paraId="17979D20">
            <w:pPr>
              <w:pStyle w:val="10"/>
            </w:pPr>
            <w:r>
              <w:t>10月底</w:t>
            </w:r>
          </w:p>
        </w:tc>
        <w:tc>
          <w:tcPr>
            <w:tcW w:w="3544" w:type="dxa"/>
            <w:gridSpan w:val="2"/>
            <w:vAlign w:val="center"/>
          </w:tcPr>
          <w:p w14:paraId="47418166">
            <w:pPr>
              <w:pStyle w:val="10"/>
            </w:pPr>
            <w:r>
              <w:t>12月底</w:t>
            </w:r>
          </w:p>
        </w:tc>
      </w:tr>
      <w:tr w14:paraId="30EB7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41DA3"/>
        </w:tc>
        <w:tc>
          <w:tcPr>
            <w:tcW w:w="5103" w:type="dxa"/>
            <w:gridSpan w:val="2"/>
            <w:vAlign w:val="center"/>
          </w:tcPr>
          <w:p w14:paraId="3C6D7A30">
            <w:pPr>
              <w:pStyle w:val="13"/>
            </w:pPr>
            <w:r>
              <w:t>25%</w:t>
            </w:r>
          </w:p>
        </w:tc>
        <w:tc>
          <w:tcPr>
            <w:tcW w:w="2835" w:type="dxa"/>
            <w:vAlign w:val="center"/>
          </w:tcPr>
          <w:p w14:paraId="48DC4BFD">
            <w:pPr>
              <w:pStyle w:val="13"/>
            </w:pPr>
            <w:r>
              <w:t>50%</w:t>
            </w:r>
          </w:p>
        </w:tc>
        <w:tc>
          <w:tcPr>
            <w:tcW w:w="2551" w:type="dxa"/>
            <w:vAlign w:val="center"/>
          </w:tcPr>
          <w:p w14:paraId="792297ED">
            <w:pPr>
              <w:pStyle w:val="13"/>
            </w:pPr>
            <w:r>
              <w:t>75%</w:t>
            </w:r>
          </w:p>
        </w:tc>
        <w:tc>
          <w:tcPr>
            <w:tcW w:w="3544" w:type="dxa"/>
            <w:gridSpan w:val="2"/>
            <w:vAlign w:val="center"/>
          </w:tcPr>
          <w:p w14:paraId="724F8328">
            <w:pPr>
              <w:pStyle w:val="13"/>
            </w:pPr>
            <w:r>
              <w:t>100%</w:t>
            </w:r>
          </w:p>
        </w:tc>
      </w:tr>
      <w:tr w14:paraId="50EDC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54013">
            <w:pPr>
              <w:pStyle w:val="10"/>
            </w:pPr>
            <w:r>
              <w:t>绩效目标</w:t>
            </w:r>
          </w:p>
        </w:tc>
        <w:tc>
          <w:tcPr>
            <w:tcW w:w="14033" w:type="dxa"/>
            <w:gridSpan w:val="6"/>
            <w:vAlign w:val="center"/>
          </w:tcPr>
          <w:p w14:paraId="21443F34">
            <w:pPr>
              <w:pStyle w:val="12"/>
            </w:pPr>
            <w:r>
              <w:t>1.保障学校正常运转，完成各项教育教学活动和其他日常工作任务等方面的费用支出。</w:t>
            </w:r>
          </w:p>
          <w:p w14:paraId="672D70BD">
            <w:pPr>
              <w:pStyle w:val="12"/>
            </w:pPr>
            <w:r>
              <w:t>2.按季度分批次拨付公用经费资金，资金拨付率达到100%。</w:t>
            </w:r>
          </w:p>
        </w:tc>
      </w:tr>
    </w:tbl>
    <w:p w14:paraId="2973E4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E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C5FD2">
            <w:pPr>
              <w:pStyle w:val="10"/>
            </w:pPr>
            <w:r>
              <w:t>一级指标</w:t>
            </w:r>
          </w:p>
        </w:tc>
        <w:tc>
          <w:tcPr>
            <w:tcW w:w="2268" w:type="dxa"/>
            <w:vAlign w:val="center"/>
          </w:tcPr>
          <w:p w14:paraId="0B5AB479">
            <w:pPr>
              <w:pStyle w:val="10"/>
            </w:pPr>
            <w:r>
              <w:t>二级指标</w:t>
            </w:r>
          </w:p>
        </w:tc>
        <w:tc>
          <w:tcPr>
            <w:tcW w:w="2835" w:type="dxa"/>
            <w:vAlign w:val="center"/>
          </w:tcPr>
          <w:p w14:paraId="3445E647">
            <w:pPr>
              <w:pStyle w:val="10"/>
            </w:pPr>
            <w:r>
              <w:t>三级指标</w:t>
            </w:r>
          </w:p>
        </w:tc>
        <w:tc>
          <w:tcPr>
            <w:tcW w:w="5386" w:type="dxa"/>
            <w:vAlign w:val="center"/>
          </w:tcPr>
          <w:p w14:paraId="30B6EF29">
            <w:pPr>
              <w:pStyle w:val="10"/>
            </w:pPr>
            <w:r>
              <w:t>绩效指标描述</w:t>
            </w:r>
          </w:p>
        </w:tc>
        <w:tc>
          <w:tcPr>
            <w:tcW w:w="2268" w:type="dxa"/>
            <w:vAlign w:val="center"/>
          </w:tcPr>
          <w:p w14:paraId="30A5764A">
            <w:pPr>
              <w:pStyle w:val="10"/>
            </w:pPr>
            <w:r>
              <w:t>指标值</w:t>
            </w:r>
          </w:p>
        </w:tc>
        <w:tc>
          <w:tcPr>
            <w:tcW w:w="1276" w:type="dxa"/>
            <w:vAlign w:val="center"/>
          </w:tcPr>
          <w:p w14:paraId="67BE7906">
            <w:pPr>
              <w:pStyle w:val="10"/>
            </w:pPr>
            <w:r>
              <w:t>指标值确定依据</w:t>
            </w:r>
          </w:p>
        </w:tc>
      </w:tr>
      <w:tr w14:paraId="4303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56C37">
            <w:pPr>
              <w:pStyle w:val="13"/>
            </w:pPr>
            <w:r>
              <w:t>产出指标</w:t>
            </w:r>
          </w:p>
        </w:tc>
        <w:tc>
          <w:tcPr>
            <w:tcW w:w="2268" w:type="dxa"/>
            <w:vAlign w:val="center"/>
          </w:tcPr>
          <w:p w14:paraId="52F901C0">
            <w:pPr>
              <w:pStyle w:val="12"/>
            </w:pPr>
            <w:r>
              <w:t>数量指标</w:t>
            </w:r>
          </w:p>
        </w:tc>
        <w:tc>
          <w:tcPr>
            <w:tcW w:w="2835" w:type="dxa"/>
            <w:vAlign w:val="center"/>
          </w:tcPr>
          <w:p w14:paraId="3E71327D">
            <w:pPr>
              <w:pStyle w:val="12"/>
            </w:pPr>
            <w:r>
              <w:t>就读学生数</w:t>
            </w:r>
          </w:p>
        </w:tc>
        <w:tc>
          <w:tcPr>
            <w:tcW w:w="5386" w:type="dxa"/>
            <w:vAlign w:val="center"/>
          </w:tcPr>
          <w:p w14:paraId="4CC59D6E">
            <w:pPr>
              <w:pStyle w:val="12"/>
            </w:pPr>
            <w:r>
              <w:t>辐射区域内适龄学生人数</w:t>
            </w:r>
          </w:p>
        </w:tc>
        <w:tc>
          <w:tcPr>
            <w:tcW w:w="2268" w:type="dxa"/>
            <w:vAlign w:val="center"/>
          </w:tcPr>
          <w:p w14:paraId="5E5AE94E">
            <w:pPr>
              <w:pStyle w:val="12"/>
            </w:pPr>
            <w:r>
              <w:t>2482人</w:t>
            </w:r>
          </w:p>
        </w:tc>
        <w:tc>
          <w:tcPr>
            <w:tcW w:w="1276" w:type="dxa"/>
            <w:vAlign w:val="center"/>
          </w:tcPr>
          <w:p w14:paraId="3AB5C3A3">
            <w:pPr>
              <w:pStyle w:val="12"/>
            </w:pPr>
            <w:r>
              <w:t>城乡义务教育公用经费管理办法</w:t>
            </w:r>
          </w:p>
        </w:tc>
      </w:tr>
      <w:tr w14:paraId="2985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8091E"/>
        </w:tc>
        <w:tc>
          <w:tcPr>
            <w:tcW w:w="2268" w:type="dxa"/>
            <w:vAlign w:val="center"/>
          </w:tcPr>
          <w:p w14:paraId="21B5508F">
            <w:pPr>
              <w:pStyle w:val="12"/>
            </w:pPr>
            <w:r>
              <w:t>质量指标</w:t>
            </w:r>
          </w:p>
        </w:tc>
        <w:tc>
          <w:tcPr>
            <w:tcW w:w="2835" w:type="dxa"/>
            <w:vAlign w:val="center"/>
          </w:tcPr>
          <w:p w14:paraId="510DBF5F">
            <w:pPr>
              <w:pStyle w:val="12"/>
            </w:pPr>
            <w:r>
              <w:t>预算执行率</w:t>
            </w:r>
          </w:p>
        </w:tc>
        <w:tc>
          <w:tcPr>
            <w:tcW w:w="5386" w:type="dxa"/>
            <w:vAlign w:val="center"/>
          </w:tcPr>
          <w:p w14:paraId="4E6932B0">
            <w:pPr>
              <w:pStyle w:val="12"/>
            </w:pPr>
            <w:r>
              <w:t>预算执行率</w:t>
            </w:r>
          </w:p>
        </w:tc>
        <w:tc>
          <w:tcPr>
            <w:tcW w:w="2268" w:type="dxa"/>
            <w:vAlign w:val="center"/>
          </w:tcPr>
          <w:p w14:paraId="7F83F41E">
            <w:pPr>
              <w:pStyle w:val="12"/>
            </w:pPr>
            <w:r>
              <w:t>≥99%</w:t>
            </w:r>
          </w:p>
        </w:tc>
        <w:tc>
          <w:tcPr>
            <w:tcW w:w="1276" w:type="dxa"/>
            <w:vAlign w:val="center"/>
          </w:tcPr>
          <w:p w14:paraId="222B95C5">
            <w:pPr>
              <w:pStyle w:val="12"/>
            </w:pPr>
            <w:r>
              <w:t>城乡义务教育公用经费管理办法</w:t>
            </w:r>
          </w:p>
        </w:tc>
      </w:tr>
      <w:tr w14:paraId="2D28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C247C"/>
        </w:tc>
        <w:tc>
          <w:tcPr>
            <w:tcW w:w="2268" w:type="dxa"/>
            <w:vAlign w:val="center"/>
          </w:tcPr>
          <w:p w14:paraId="52059815">
            <w:pPr>
              <w:pStyle w:val="12"/>
            </w:pPr>
            <w:r>
              <w:t>时效指标</w:t>
            </w:r>
          </w:p>
        </w:tc>
        <w:tc>
          <w:tcPr>
            <w:tcW w:w="2835" w:type="dxa"/>
            <w:vAlign w:val="center"/>
          </w:tcPr>
          <w:p w14:paraId="19ED4C06">
            <w:pPr>
              <w:pStyle w:val="12"/>
            </w:pPr>
            <w:r>
              <w:t>义教经费支付完成率</w:t>
            </w:r>
          </w:p>
        </w:tc>
        <w:tc>
          <w:tcPr>
            <w:tcW w:w="5386" w:type="dxa"/>
            <w:vAlign w:val="center"/>
          </w:tcPr>
          <w:p w14:paraId="5C56F1D3">
            <w:pPr>
              <w:pStyle w:val="12"/>
            </w:pPr>
            <w:r>
              <w:t>按照序时进度完成资金支付</w:t>
            </w:r>
          </w:p>
        </w:tc>
        <w:tc>
          <w:tcPr>
            <w:tcW w:w="2268" w:type="dxa"/>
            <w:vAlign w:val="center"/>
          </w:tcPr>
          <w:p w14:paraId="72D0920B">
            <w:pPr>
              <w:pStyle w:val="12"/>
            </w:pPr>
            <w:r>
              <w:t>≥100%</w:t>
            </w:r>
          </w:p>
        </w:tc>
        <w:tc>
          <w:tcPr>
            <w:tcW w:w="1276" w:type="dxa"/>
            <w:vAlign w:val="center"/>
          </w:tcPr>
          <w:p w14:paraId="05F4E3B9">
            <w:pPr>
              <w:pStyle w:val="12"/>
            </w:pPr>
            <w:r>
              <w:t>城乡义务教育公用经费管理办法</w:t>
            </w:r>
          </w:p>
        </w:tc>
      </w:tr>
      <w:tr w14:paraId="288C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F7B8"/>
        </w:tc>
        <w:tc>
          <w:tcPr>
            <w:tcW w:w="2268" w:type="dxa"/>
            <w:vAlign w:val="center"/>
          </w:tcPr>
          <w:p w14:paraId="3D52A2DB">
            <w:pPr>
              <w:pStyle w:val="12"/>
            </w:pPr>
            <w:r>
              <w:t>成本指标</w:t>
            </w:r>
          </w:p>
        </w:tc>
        <w:tc>
          <w:tcPr>
            <w:tcW w:w="2835" w:type="dxa"/>
            <w:vAlign w:val="center"/>
          </w:tcPr>
          <w:p w14:paraId="11A32FCD">
            <w:pPr>
              <w:pStyle w:val="12"/>
            </w:pPr>
            <w:r>
              <w:t>生均拨款标准</w:t>
            </w:r>
          </w:p>
        </w:tc>
        <w:tc>
          <w:tcPr>
            <w:tcW w:w="5386" w:type="dxa"/>
            <w:vAlign w:val="center"/>
          </w:tcPr>
          <w:p w14:paraId="2007AD35">
            <w:pPr>
              <w:pStyle w:val="12"/>
            </w:pPr>
            <w:r>
              <w:t>小学生公用经费生均小学720元，取暖费120元/生/年，随班就读学生补助7000元/生。</w:t>
            </w:r>
          </w:p>
        </w:tc>
        <w:tc>
          <w:tcPr>
            <w:tcW w:w="2268" w:type="dxa"/>
            <w:vAlign w:val="center"/>
          </w:tcPr>
          <w:p w14:paraId="1A20472D">
            <w:pPr>
              <w:pStyle w:val="12"/>
            </w:pPr>
            <w:r>
              <w:t>840元</w:t>
            </w:r>
          </w:p>
        </w:tc>
        <w:tc>
          <w:tcPr>
            <w:tcW w:w="1276" w:type="dxa"/>
            <w:vAlign w:val="center"/>
          </w:tcPr>
          <w:p w14:paraId="6F4C583C">
            <w:pPr>
              <w:pStyle w:val="12"/>
            </w:pPr>
            <w:r>
              <w:t>城乡义务教育公用经费管理办法</w:t>
            </w:r>
          </w:p>
        </w:tc>
      </w:tr>
      <w:tr w14:paraId="7EA3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845E4">
            <w:pPr>
              <w:pStyle w:val="13"/>
            </w:pPr>
            <w:r>
              <w:t>效益指标</w:t>
            </w:r>
          </w:p>
        </w:tc>
        <w:tc>
          <w:tcPr>
            <w:tcW w:w="2268" w:type="dxa"/>
            <w:vAlign w:val="center"/>
          </w:tcPr>
          <w:p w14:paraId="10AAE926">
            <w:pPr>
              <w:pStyle w:val="12"/>
            </w:pPr>
            <w:r>
              <w:t>可持续影响指标</w:t>
            </w:r>
          </w:p>
        </w:tc>
        <w:tc>
          <w:tcPr>
            <w:tcW w:w="2835" w:type="dxa"/>
            <w:vAlign w:val="center"/>
          </w:tcPr>
          <w:p w14:paraId="6E7FD404">
            <w:pPr>
              <w:pStyle w:val="12"/>
            </w:pPr>
            <w:r>
              <w:t>学校运转得到提高</w:t>
            </w:r>
          </w:p>
        </w:tc>
        <w:tc>
          <w:tcPr>
            <w:tcW w:w="5386" w:type="dxa"/>
            <w:vAlign w:val="center"/>
          </w:tcPr>
          <w:p w14:paraId="2CCAD97F">
            <w:pPr>
              <w:pStyle w:val="12"/>
            </w:pPr>
            <w:r>
              <w:t>学生受教育年限</w:t>
            </w:r>
          </w:p>
        </w:tc>
        <w:tc>
          <w:tcPr>
            <w:tcW w:w="2268" w:type="dxa"/>
            <w:vAlign w:val="center"/>
          </w:tcPr>
          <w:p w14:paraId="6227D058">
            <w:pPr>
              <w:pStyle w:val="12"/>
            </w:pPr>
            <w:r>
              <w:t>6年</w:t>
            </w:r>
          </w:p>
        </w:tc>
        <w:tc>
          <w:tcPr>
            <w:tcW w:w="1276" w:type="dxa"/>
            <w:vAlign w:val="center"/>
          </w:tcPr>
          <w:p w14:paraId="053209C4">
            <w:pPr>
              <w:pStyle w:val="12"/>
            </w:pPr>
            <w:r>
              <w:t>城乡义务教育公用经费管理办法</w:t>
            </w:r>
          </w:p>
        </w:tc>
      </w:tr>
      <w:tr w14:paraId="2E32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09A96">
            <w:pPr>
              <w:pStyle w:val="13"/>
            </w:pPr>
            <w:r>
              <w:t>满意度指标</w:t>
            </w:r>
          </w:p>
        </w:tc>
        <w:tc>
          <w:tcPr>
            <w:tcW w:w="2268" w:type="dxa"/>
            <w:vAlign w:val="center"/>
          </w:tcPr>
          <w:p w14:paraId="5D3D393F">
            <w:pPr>
              <w:pStyle w:val="12"/>
            </w:pPr>
            <w:r>
              <w:t>服务对象满意度指标</w:t>
            </w:r>
          </w:p>
        </w:tc>
        <w:tc>
          <w:tcPr>
            <w:tcW w:w="2835" w:type="dxa"/>
            <w:vAlign w:val="center"/>
          </w:tcPr>
          <w:p w14:paraId="043F0F98">
            <w:pPr>
              <w:pStyle w:val="12"/>
            </w:pPr>
            <w:r>
              <w:t>家长和学生满意度</w:t>
            </w:r>
          </w:p>
        </w:tc>
        <w:tc>
          <w:tcPr>
            <w:tcW w:w="5386" w:type="dxa"/>
            <w:vAlign w:val="center"/>
          </w:tcPr>
          <w:p w14:paraId="158D2829">
            <w:pPr>
              <w:pStyle w:val="12"/>
            </w:pPr>
            <w:r>
              <w:t>家长和学生满意度</w:t>
            </w:r>
          </w:p>
        </w:tc>
        <w:tc>
          <w:tcPr>
            <w:tcW w:w="2268" w:type="dxa"/>
            <w:vAlign w:val="center"/>
          </w:tcPr>
          <w:p w14:paraId="4E845513">
            <w:pPr>
              <w:pStyle w:val="12"/>
            </w:pPr>
            <w:r>
              <w:t>≥99%</w:t>
            </w:r>
          </w:p>
        </w:tc>
        <w:tc>
          <w:tcPr>
            <w:tcW w:w="1276" w:type="dxa"/>
            <w:vAlign w:val="center"/>
          </w:tcPr>
          <w:p w14:paraId="2340E7DC">
            <w:pPr>
              <w:pStyle w:val="12"/>
            </w:pPr>
            <w:r>
              <w:t>问卷调查</w:t>
            </w:r>
          </w:p>
        </w:tc>
      </w:tr>
    </w:tbl>
    <w:p w14:paraId="45935C72">
      <w:pPr>
        <w:sectPr>
          <w:pgSz w:w="16840" w:h="11900" w:orient="landscape"/>
          <w:pgMar w:top="1361" w:right="1020" w:bottom="1134" w:left="1020" w:header="720" w:footer="720" w:gutter="0"/>
          <w:cols w:space="720" w:num="1"/>
        </w:sectPr>
      </w:pPr>
    </w:p>
    <w:p w14:paraId="30845713">
      <w:pPr>
        <w:spacing w:before="0" w:after="0"/>
        <w:ind w:firstLine="560"/>
        <w:jc w:val="left"/>
        <w:outlineLvl w:val="9"/>
      </w:pPr>
      <w:r>
        <w:rPr>
          <w:rFonts w:ascii="方正仿宋_GBK" w:hAnsi="方正仿宋_GBK" w:eastAsia="方正仿宋_GBK" w:cs="方正仿宋_GBK"/>
          <w:b/>
          <w:color w:val="000000"/>
          <w:sz w:val="28"/>
        </w:rPr>
        <w:t>2、冀财教[2025]147号/省级/2026年义教补助经费/第五实验小学公用经费绩效目标表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2A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26296">
            <w:pPr>
              <w:pStyle w:val="11"/>
            </w:pPr>
            <w:r>
              <w:t>单位：万元</w:t>
            </w:r>
          </w:p>
        </w:tc>
      </w:tr>
      <w:tr w14:paraId="5B694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670C5">
            <w:pPr>
              <w:pStyle w:val="10"/>
            </w:pPr>
            <w:r>
              <w:t>项目编码</w:t>
            </w:r>
          </w:p>
        </w:tc>
        <w:tc>
          <w:tcPr>
            <w:tcW w:w="5103" w:type="dxa"/>
            <w:gridSpan w:val="2"/>
            <w:vAlign w:val="center"/>
          </w:tcPr>
          <w:p w14:paraId="76F4FF1B">
            <w:pPr>
              <w:pStyle w:val="12"/>
            </w:pPr>
            <w:r>
              <w:t>13052526P00000410341D</w:t>
            </w:r>
          </w:p>
        </w:tc>
        <w:tc>
          <w:tcPr>
            <w:tcW w:w="2835" w:type="dxa"/>
            <w:vAlign w:val="center"/>
          </w:tcPr>
          <w:p w14:paraId="0297DD22">
            <w:pPr>
              <w:pStyle w:val="10"/>
            </w:pPr>
            <w:r>
              <w:t>项目名称</w:t>
            </w:r>
          </w:p>
        </w:tc>
        <w:tc>
          <w:tcPr>
            <w:tcW w:w="6095" w:type="dxa"/>
            <w:gridSpan w:val="3"/>
            <w:vAlign w:val="center"/>
          </w:tcPr>
          <w:p w14:paraId="642CFD87">
            <w:pPr>
              <w:pStyle w:val="12"/>
            </w:pPr>
            <w:r>
              <w:t>冀财教[2025]147号/省级/2026年义教补助经费/第五实验小学公用经费</w:t>
            </w:r>
          </w:p>
        </w:tc>
      </w:tr>
      <w:tr w14:paraId="5C6E4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F9014">
            <w:pPr>
              <w:pStyle w:val="10"/>
            </w:pPr>
            <w:r>
              <w:t>预算规模及资金用途</w:t>
            </w:r>
          </w:p>
        </w:tc>
        <w:tc>
          <w:tcPr>
            <w:tcW w:w="2268" w:type="dxa"/>
            <w:vAlign w:val="center"/>
          </w:tcPr>
          <w:p w14:paraId="515EB803">
            <w:pPr>
              <w:pStyle w:val="10"/>
            </w:pPr>
            <w:r>
              <w:t>预算数</w:t>
            </w:r>
          </w:p>
        </w:tc>
        <w:tc>
          <w:tcPr>
            <w:tcW w:w="2835" w:type="dxa"/>
            <w:vAlign w:val="center"/>
          </w:tcPr>
          <w:p w14:paraId="4D6FA084">
            <w:pPr>
              <w:pStyle w:val="12"/>
            </w:pPr>
            <w:r>
              <w:t>73.22</w:t>
            </w:r>
          </w:p>
        </w:tc>
        <w:tc>
          <w:tcPr>
            <w:tcW w:w="2835" w:type="dxa"/>
            <w:vAlign w:val="center"/>
          </w:tcPr>
          <w:p w14:paraId="3BE78DFF">
            <w:pPr>
              <w:pStyle w:val="10"/>
            </w:pPr>
            <w:r>
              <w:t>其中：财政    资金</w:t>
            </w:r>
          </w:p>
        </w:tc>
        <w:tc>
          <w:tcPr>
            <w:tcW w:w="2551" w:type="dxa"/>
            <w:vAlign w:val="center"/>
          </w:tcPr>
          <w:p w14:paraId="1873E9FC">
            <w:pPr>
              <w:pStyle w:val="12"/>
            </w:pPr>
            <w:r>
              <w:t>73.22</w:t>
            </w:r>
          </w:p>
        </w:tc>
        <w:tc>
          <w:tcPr>
            <w:tcW w:w="2268" w:type="dxa"/>
            <w:vAlign w:val="center"/>
          </w:tcPr>
          <w:p w14:paraId="40AE27D3">
            <w:pPr>
              <w:pStyle w:val="10"/>
            </w:pPr>
            <w:r>
              <w:t>其他资金</w:t>
            </w:r>
          </w:p>
        </w:tc>
        <w:tc>
          <w:tcPr>
            <w:tcW w:w="1276" w:type="dxa"/>
            <w:vAlign w:val="center"/>
          </w:tcPr>
          <w:p w14:paraId="7D186E52">
            <w:pPr>
              <w:pStyle w:val="12"/>
            </w:pPr>
            <w:r>
              <w:t xml:space="preserve"> </w:t>
            </w:r>
          </w:p>
        </w:tc>
      </w:tr>
      <w:tr w14:paraId="48CC7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33954"/>
        </w:tc>
        <w:tc>
          <w:tcPr>
            <w:tcW w:w="14033" w:type="dxa"/>
            <w:gridSpan w:val="6"/>
            <w:vAlign w:val="center"/>
          </w:tcPr>
          <w:p w14:paraId="4D4793F5">
            <w:pPr>
              <w:pStyle w:val="12"/>
            </w:pPr>
            <w:r>
              <w:t>有效完成学校教学安全秩序，保障学校教学任务有效开展，满足学校正常教学需要。</w:t>
            </w:r>
          </w:p>
        </w:tc>
      </w:tr>
      <w:tr w14:paraId="6542E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2EB16">
            <w:pPr>
              <w:pStyle w:val="10"/>
            </w:pPr>
            <w:r>
              <w:t>资金支出计划（%）</w:t>
            </w:r>
          </w:p>
        </w:tc>
        <w:tc>
          <w:tcPr>
            <w:tcW w:w="5103" w:type="dxa"/>
            <w:gridSpan w:val="2"/>
            <w:vAlign w:val="center"/>
          </w:tcPr>
          <w:p w14:paraId="02BAAEEC">
            <w:pPr>
              <w:pStyle w:val="10"/>
            </w:pPr>
            <w:r>
              <w:t>3月底</w:t>
            </w:r>
          </w:p>
        </w:tc>
        <w:tc>
          <w:tcPr>
            <w:tcW w:w="2835" w:type="dxa"/>
            <w:vAlign w:val="center"/>
          </w:tcPr>
          <w:p w14:paraId="1C78CDEE">
            <w:pPr>
              <w:pStyle w:val="10"/>
            </w:pPr>
            <w:r>
              <w:t>6月底</w:t>
            </w:r>
          </w:p>
        </w:tc>
        <w:tc>
          <w:tcPr>
            <w:tcW w:w="2551" w:type="dxa"/>
            <w:vAlign w:val="center"/>
          </w:tcPr>
          <w:p w14:paraId="0B71B91A">
            <w:pPr>
              <w:pStyle w:val="10"/>
            </w:pPr>
            <w:r>
              <w:t>10月底</w:t>
            </w:r>
          </w:p>
        </w:tc>
        <w:tc>
          <w:tcPr>
            <w:tcW w:w="3544" w:type="dxa"/>
            <w:gridSpan w:val="2"/>
            <w:vAlign w:val="center"/>
          </w:tcPr>
          <w:p w14:paraId="4996E40F">
            <w:pPr>
              <w:pStyle w:val="10"/>
            </w:pPr>
            <w:r>
              <w:t>12月底</w:t>
            </w:r>
          </w:p>
        </w:tc>
      </w:tr>
      <w:tr w14:paraId="16EB4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12578"/>
        </w:tc>
        <w:tc>
          <w:tcPr>
            <w:tcW w:w="5103" w:type="dxa"/>
            <w:gridSpan w:val="2"/>
            <w:vAlign w:val="center"/>
          </w:tcPr>
          <w:p w14:paraId="6D77B8A4">
            <w:pPr>
              <w:pStyle w:val="13"/>
            </w:pPr>
            <w:r>
              <w:t>25%</w:t>
            </w:r>
          </w:p>
        </w:tc>
        <w:tc>
          <w:tcPr>
            <w:tcW w:w="2835" w:type="dxa"/>
            <w:vAlign w:val="center"/>
          </w:tcPr>
          <w:p w14:paraId="56C54802">
            <w:pPr>
              <w:pStyle w:val="13"/>
            </w:pPr>
            <w:r>
              <w:t>50%</w:t>
            </w:r>
          </w:p>
        </w:tc>
        <w:tc>
          <w:tcPr>
            <w:tcW w:w="2551" w:type="dxa"/>
            <w:vAlign w:val="center"/>
          </w:tcPr>
          <w:p w14:paraId="45221B91">
            <w:pPr>
              <w:pStyle w:val="13"/>
            </w:pPr>
            <w:r>
              <w:t>75%</w:t>
            </w:r>
          </w:p>
        </w:tc>
        <w:tc>
          <w:tcPr>
            <w:tcW w:w="3544" w:type="dxa"/>
            <w:gridSpan w:val="2"/>
            <w:vAlign w:val="center"/>
          </w:tcPr>
          <w:p w14:paraId="105A9A85">
            <w:pPr>
              <w:pStyle w:val="13"/>
            </w:pPr>
            <w:r>
              <w:t>100%</w:t>
            </w:r>
          </w:p>
        </w:tc>
      </w:tr>
      <w:tr w14:paraId="7181F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6DA1B">
            <w:pPr>
              <w:pStyle w:val="10"/>
            </w:pPr>
            <w:r>
              <w:t>绩效目标</w:t>
            </w:r>
          </w:p>
        </w:tc>
        <w:tc>
          <w:tcPr>
            <w:tcW w:w="14033" w:type="dxa"/>
            <w:gridSpan w:val="6"/>
            <w:vAlign w:val="center"/>
          </w:tcPr>
          <w:p w14:paraId="20AC34CD">
            <w:pPr>
              <w:pStyle w:val="12"/>
            </w:pPr>
            <w:r>
              <w:t>1.有效完成学校教学安全秩序，保障学校教学任务有效开展，满足学校正常教学需要。</w:t>
            </w:r>
          </w:p>
          <w:p w14:paraId="195C917B">
            <w:pPr>
              <w:pStyle w:val="12"/>
            </w:pPr>
            <w:r>
              <w:t>2.按规定拨付公用经费资金73.22万元，预算执行率≥99%。</w:t>
            </w:r>
          </w:p>
        </w:tc>
      </w:tr>
    </w:tbl>
    <w:p w14:paraId="33642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6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621C0">
            <w:pPr>
              <w:pStyle w:val="10"/>
            </w:pPr>
            <w:r>
              <w:t>一级指标</w:t>
            </w:r>
          </w:p>
        </w:tc>
        <w:tc>
          <w:tcPr>
            <w:tcW w:w="2268" w:type="dxa"/>
            <w:vAlign w:val="center"/>
          </w:tcPr>
          <w:p w14:paraId="2C7FCBE0">
            <w:pPr>
              <w:pStyle w:val="10"/>
            </w:pPr>
            <w:r>
              <w:t>二级指标</w:t>
            </w:r>
          </w:p>
        </w:tc>
        <w:tc>
          <w:tcPr>
            <w:tcW w:w="2835" w:type="dxa"/>
            <w:vAlign w:val="center"/>
          </w:tcPr>
          <w:p w14:paraId="33675C14">
            <w:pPr>
              <w:pStyle w:val="10"/>
            </w:pPr>
            <w:r>
              <w:t>三级指标</w:t>
            </w:r>
          </w:p>
        </w:tc>
        <w:tc>
          <w:tcPr>
            <w:tcW w:w="5386" w:type="dxa"/>
            <w:vAlign w:val="center"/>
          </w:tcPr>
          <w:p w14:paraId="7126BC34">
            <w:pPr>
              <w:pStyle w:val="10"/>
            </w:pPr>
            <w:r>
              <w:t>绩效指标描述</w:t>
            </w:r>
          </w:p>
        </w:tc>
        <w:tc>
          <w:tcPr>
            <w:tcW w:w="2268" w:type="dxa"/>
            <w:vAlign w:val="center"/>
          </w:tcPr>
          <w:p w14:paraId="740DA6FC">
            <w:pPr>
              <w:pStyle w:val="10"/>
            </w:pPr>
            <w:r>
              <w:t>指标值</w:t>
            </w:r>
          </w:p>
        </w:tc>
        <w:tc>
          <w:tcPr>
            <w:tcW w:w="1276" w:type="dxa"/>
            <w:vAlign w:val="center"/>
          </w:tcPr>
          <w:p w14:paraId="352B0E9B">
            <w:pPr>
              <w:pStyle w:val="10"/>
            </w:pPr>
            <w:r>
              <w:t>指标值确定依据</w:t>
            </w:r>
          </w:p>
        </w:tc>
      </w:tr>
      <w:tr w14:paraId="5DB0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7F120">
            <w:pPr>
              <w:pStyle w:val="13"/>
            </w:pPr>
            <w:r>
              <w:t>产出指标</w:t>
            </w:r>
          </w:p>
        </w:tc>
        <w:tc>
          <w:tcPr>
            <w:tcW w:w="2268" w:type="dxa"/>
            <w:vAlign w:val="center"/>
          </w:tcPr>
          <w:p w14:paraId="3D0246E4">
            <w:pPr>
              <w:pStyle w:val="12"/>
            </w:pPr>
            <w:r>
              <w:t>数量指标</w:t>
            </w:r>
          </w:p>
        </w:tc>
        <w:tc>
          <w:tcPr>
            <w:tcW w:w="2835" w:type="dxa"/>
            <w:vAlign w:val="center"/>
          </w:tcPr>
          <w:p w14:paraId="639035C9">
            <w:pPr>
              <w:pStyle w:val="12"/>
            </w:pPr>
            <w:r>
              <w:t>就读学生数</w:t>
            </w:r>
          </w:p>
        </w:tc>
        <w:tc>
          <w:tcPr>
            <w:tcW w:w="5386" w:type="dxa"/>
            <w:vAlign w:val="center"/>
          </w:tcPr>
          <w:p w14:paraId="75D8962B">
            <w:pPr>
              <w:pStyle w:val="12"/>
            </w:pPr>
            <w:r>
              <w:t>辐射区域内适龄学生人数</w:t>
            </w:r>
          </w:p>
        </w:tc>
        <w:tc>
          <w:tcPr>
            <w:tcW w:w="2268" w:type="dxa"/>
            <w:vAlign w:val="center"/>
          </w:tcPr>
          <w:p w14:paraId="5EFDE683">
            <w:pPr>
              <w:pStyle w:val="12"/>
            </w:pPr>
            <w:r>
              <w:t>2482人</w:t>
            </w:r>
          </w:p>
        </w:tc>
        <w:tc>
          <w:tcPr>
            <w:tcW w:w="1276" w:type="dxa"/>
            <w:vAlign w:val="center"/>
          </w:tcPr>
          <w:p w14:paraId="7F16C57A">
            <w:pPr>
              <w:pStyle w:val="12"/>
            </w:pPr>
            <w:r>
              <w:t>城乡义务教育公用经费管理办法</w:t>
            </w:r>
          </w:p>
        </w:tc>
      </w:tr>
      <w:tr w14:paraId="0AAD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061E7"/>
        </w:tc>
        <w:tc>
          <w:tcPr>
            <w:tcW w:w="2268" w:type="dxa"/>
            <w:vAlign w:val="center"/>
          </w:tcPr>
          <w:p w14:paraId="3EA9F991">
            <w:pPr>
              <w:pStyle w:val="12"/>
            </w:pPr>
            <w:r>
              <w:t>质量指标</w:t>
            </w:r>
          </w:p>
        </w:tc>
        <w:tc>
          <w:tcPr>
            <w:tcW w:w="2835" w:type="dxa"/>
            <w:vAlign w:val="center"/>
          </w:tcPr>
          <w:p w14:paraId="48B45113">
            <w:pPr>
              <w:pStyle w:val="12"/>
            </w:pPr>
            <w:r>
              <w:t>预算执行率</w:t>
            </w:r>
          </w:p>
        </w:tc>
        <w:tc>
          <w:tcPr>
            <w:tcW w:w="5386" w:type="dxa"/>
            <w:vAlign w:val="center"/>
          </w:tcPr>
          <w:p w14:paraId="21788B6A">
            <w:pPr>
              <w:pStyle w:val="12"/>
            </w:pPr>
            <w:r>
              <w:t>预算执行率</w:t>
            </w:r>
          </w:p>
        </w:tc>
        <w:tc>
          <w:tcPr>
            <w:tcW w:w="2268" w:type="dxa"/>
            <w:vAlign w:val="center"/>
          </w:tcPr>
          <w:p w14:paraId="11DBEE92">
            <w:pPr>
              <w:pStyle w:val="12"/>
            </w:pPr>
            <w:r>
              <w:t>≥99%</w:t>
            </w:r>
          </w:p>
        </w:tc>
        <w:tc>
          <w:tcPr>
            <w:tcW w:w="1276" w:type="dxa"/>
            <w:vAlign w:val="center"/>
          </w:tcPr>
          <w:p w14:paraId="07AC7B94">
            <w:pPr>
              <w:pStyle w:val="12"/>
            </w:pPr>
            <w:r>
              <w:t>城乡义务教育公用经费管理办法</w:t>
            </w:r>
          </w:p>
        </w:tc>
      </w:tr>
      <w:tr w14:paraId="34CF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9D2EA"/>
        </w:tc>
        <w:tc>
          <w:tcPr>
            <w:tcW w:w="2268" w:type="dxa"/>
            <w:vAlign w:val="center"/>
          </w:tcPr>
          <w:p w14:paraId="568919E4">
            <w:pPr>
              <w:pStyle w:val="12"/>
            </w:pPr>
            <w:r>
              <w:t>时效指标</w:t>
            </w:r>
          </w:p>
        </w:tc>
        <w:tc>
          <w:tcPr>
            <w:tcW w:w="2835" w:type="dxa"/>
            <w:vAlign w:val="center"/>
          </w:tcPr>
          <w:p w14:paraId="199E3BA3">
            <w:pPr>
              <w:pStyle w:val="12"/>
            </w:pPr>
            <w:r>
              <w:t>经费支付完成率</w:t>
            </w:r>
          </w:p>
        </w:tc>
        <w:tc>
          <w:tcPr>
            <w:tcW w:w="5386" w:type="dxa"/>
            <w:vAlign w:val="center"/>
          </w:tcPr>
          <w:p w14:paraId="119ED6A4">
            <w:pPr>
              <w:pStyle w:val="12"/>
            </w:pPr>
            <w:r>
              <w:t>按照序时进度完成资金支付</w:t>
            </w:r>
          </w:p>
        </w:tc>
        <w:tc>
          <w:tcPr>
            <w:tcW w:w="2268" w:type="dxa"/>
            <w:vAlign w:val="center"/>
          </w:tcPr>
          <w:p w14:paraId="757C0C4B">
            <w:pPr>
              <w:pStyle w:val="12"/>
            </w:pPr>
            <w:r>
              <w:t>≥99%</w:t>
            </w:r>
          </w:p>
        </w:tc>
        <w:tc>
          <w:tcPr>
            <w:tcW w:w="1276" w:type="dxa"/>
            <w:vAlign w:val="center"/>
          </w:tcPr>
          <w:p w14:paraId="68C46049">
            <w:pPr>
              <w:pStyle w:val="12"/>
            </w:pPr>
            <w:r>
              <w:t>城乡义务教育公用经费管理办法</w:t>
            </w:r>
          </w:p>
        </w:tc>
      </w:tr>
      <w:tr w14:paraId="4A1F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91021"/>
        </w:tc>
        <w:tc>
          <w:tcPr>
            <w:tcW w:w="2268" w:type="dxa"/>
            <w:vAlign w:val="center"/>
          </w:tcPr>
          <w:p w14:paraId="2F3A4F88">
            <w:pPr>
              <w:pStyle w:val="12"/>
            </w:pPr>
            <w:r>
              <w:t>成本指标</w:t>
            </w:r>
          </w:p>
        </w:tc>
        <w:tc>
          <w:tcPr>
            <w:tcW w:w="2835" w:type="dxa"/>
            <w:vAlign w:val="center"/>
          </w:tcPr>
          <w:p w14:paraId="3B9E6765">
            <w:pPr>
              <w:pStyle w:val="12"/>
            </w:pPr>
            <w:r>
              <w:t>生均拨款标准</w:t>
            </w:r>
          </w:p>
        </w:tc>
        <w:tc>
          <w:tcPr>
            <w:tcW w:w="5386" w:type="dxa"/>
            <w:vAlign w:val="center"/>
          </w:tcPr>
          <w:p w14:paraId="2FDE4258">
            <w:pPr>
              <w:pStyle w:val="12"/>
            </w:pPr>
            <w:r>
              <w:t>学校生均公用经费基准定额为720元/年/生，取暖费120元/年/生，随班就读学生补助7000元/生/年</w:t>
            </w:r>
          </w:p>
        </w:tc>
        <w:tc>
          <w:tcPr>
            <w:tcW w:w="2268" w:type="dxa"/>
            <w:vAlign w:val="center"/>
          </w:tcPr>
          <w:p w14:paraId="371A8B63">
            <w:pPr>
              <w:pStyle w:val="12"/>
            </w:pPr>
            <w:r>
              <w:t>840元</w:t>
            </w:r>
          </w:p>
        </w:tc>
        <w:tc>
          <w:tcPr>
            <w:tcW w:w="1276" w:type="dxa"/>
            <w:vAlign w:val="center"/>
          </w:tcPr>
          <w:p w14:paraId="069F8F8A">
            <w:pPr>
              <w:pStyle w:val="12"/>
            </w:pPr>
            <w:r>
              <w:t>城乡义务教育公用经费管理办法</w:t>
            </w:r>
          </w:p>
        </w:tc>
      </w:tr>
      <w:tr w14:paraId="7FF8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EC3EB">
            <w:pPr>
              <w:pStyle w:val="13"/>
            </w:pPr>
            <w:r>
              <w:t>效益指标</w:t>
            </w:r>
          </w:p>
        </w:tc>
        <w:tc>
          <w:tcPr>
            <w:tcW w:w="2268" w:type="dxa"/>
            <w:vAlign w:val="center"/>
          </w:tcPr>
          <w:p w14:paraId="6BE1958D">
            <w:pPr>
              <w:pStyle w:val="12"/>
            </w:pPr>
            <w:r>
              <w:t>可持续影响指标</w:t>
            </w:r>
          </w:p>
        </w:tc>
        <w:tc>
          <w:tcPr>
            <w:tcW w:w="2835" w:type="dxa"/>
            <w:vAlign w:val="center"/>
          </w:tcPr>
          <w:p w14:paraId="62D53D92">
            <w:pPr>
              <w:pStyle w:val="12"/>
            </w:pPr>
            <w:r>
              <w:t>学校稳定率</w:t>
            </w:r>
          </w:p>
        </w:tc>
        <w:tc>
          <w:tcPr>
            <w:tcW w:w="5386" w:type="dxa"/>
            <w:vAlign w:val="center"/>
          </w:tcPr>
          <w:p w14:paraId="38643E35">
            <w:pPr>
              <w:pStyle w:val="12"/>
            </w:pPr>
            <w:r>
              <w:t>维护学校稳定，保障学校正常教学秩序有效开展。</w:t>
            </w:r>
          </w:p>
        </w:tc>
        <w:tc>
          <w:tcPr>
            <w:tcW w:w="2268" w:type="dxa"/>
            <w:vAlign w:val="center"/>
          </w:tcPr>
          <w:p w14:paraId="5B6681B3">
            <w:pPr>
              <w:pStyle w:val="12"/>
            </w:pPr>
            <w:r>
              <w:t>≥99%</w:t>
            </w:r>
          </w:p>
        </w:tc>
        <w:tc>
          <w:tcPr>
            <w:tcW w:w="1276" w:type="dxa"/>
            <w:vAlign w:val="center"/>
          </w:tcPr>
          <w:p w14:paraId="346564C8">
            <w:pPr>
              <w:pStyle w:val="12"/>
            </w:pPr>
            <w:r>
              <w:t>城乡义务教育公用经费管理办法</w:t>
            </w:r>
          </w:p>
        </w:tc>
      </w:tr>
      <w:tr w14:paraId="42DE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64020">
            <w:pPr>
              <w:pStyle w:val="13"/>
            </w:pPr>
            <w:r>
              <w:t>满意度指标</w:t>
            </w:r>
          </w:p>
        </w:tc>
        <w:tc>
          <w:tcPr>
            <w:tcW w:w="2268" w:type="dxa"/>
            <w:vAlign w:val="center"/>
          </w:tcPr>
          <w:p w14:paraId="14F3B3D3">
            <w:pPr>
              <w:pStyle w:val="12"/>
            </w:pPr>
            <w:r>
              <w:t>服务对象满意度指标</w:t>
            </w:r>
          </w:p>
        </w:tc>
        <w:tc>
          <w:tcPr>
            <w:tcW w:w="2835" w:type="dxa"/>
            <w:vAlign w:val="center"/>
          </w:tcPr>
          <w:p w14:paraId="63ED583D">
            <w:pPr>
              <w:pStyle w:val="12"/>
            </w:pPr>
            <w:r>
              <w:t>家长和学生满意度</w:t>
            </w:r>
          </w:p>
        </w:tc>
        <w:tc>
          <w:tcPr>
            <w:tcW w:w="5386" w:type="dxa"/>
            <w:vAlign w:val="center"/>
          </w:tcPr>
          <w:p w14:paraId="0FDCB63D">
            <w:pPr>
              <w:pStyle w:val="12"/>
            </w:pPr>
            <w:r>
              <w:t>家长和学生满意度</w:t>
            </w:r>
          </w:p>
        </w:tc>
        <w:tc>
          <w:tcPr>
            <w:tcW w:w="2268" w:type="dxa"/>
            <w:vAlign w:val="center"/>
          </w:tcPr>
          <w:p w14:paraId="0CFDDADD">
            <w:pPr>
              <w:pStyle w:val="12"/>
            </w:pPr>
            <w:r>
              <w:t>≥99%</w:t>
            </w:r>
          </w:p>
        </w:tc>
        <w:tc>
          <w:tcPr>
            <w:tcW w:w="1276" w:type="dxa"/>
            <w:vAlign w:val="center"/>
          </w:tcPr>
          <w:p w14:paraId="0948D815">
            <w:pPr>
              <w:pStyle w:val="12"/>
            </w:pPr>
            <w:r>
              <w:t>问卷调查</w:t>
            </w:r>
          </w:p>
        </w:tc>
      </w:tr>
    </w:tbl>
    <w:p w14:paraId="4E60DEBD">
      <w:pPr>
        <w:sectPr>
          <w:pgSz w:w="16840" w:h="11900" w:orient="landscape"/>
          <w:pgMar w:top="1361" w:right="1020" w:bottom="1134" w:left="1020" w:header="720" w:footer="720" w:gutter="0"/>
          <w:cols w:space="720" w:num="1"/>
        </w:sectPr>
      </w:pPr>
    </w:p>
    <w:p w14:paraId="410EBA4B">
      <w:pPr>
        <w:spacing w:before="0" w:after="0"/>
        <w:ind w:firstLine="560"/>
        <w:jc w:val="left"/>
        <w:outlineLvl w:val="9"/>
      </w:pPr>
      <w:r>
        <w:rPr>
          <w:rFonts w:ascii="方正仿宋_GBK" w:hAnsi="方正仿宋_GBK" w:eastAsia="方正仿宋_GBK" w:cs="方正仿宋_GBK"/>
          <w:b/>
          <w:color w:val="000000"/>
          <w:sz w:val="28"/>
        </w:rPr>
        <w:t>3、县级配套/第五实验小学公用经费绩效目标表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5F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FF857">
            <w:pPr>
              <w:pStyle w:val="11"/>
            </w:pPr>
            <w:r>
              <w:t>单位：万元</w:t>
            </w:r>
          </w:p>
        </w:tc>
      </w:tr>
      <w:tr w14:paraId="3068B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23411">
            <w:pPr>
              <w:pStyle w:val="10"/>
            </w:pPr>
            <w:r>
              <w:t>项目编码</w:t>
            </w:r>
          </w:p>
        </w:tc>
        <w:tc>
          <w:tcPr>
            <w:tcW w:w="5103" w:type="dxa"/>
            <w:gridSpan w:val="2"/>
            <w:vAlign w:val="center"/>
          </w:tcPr>
          <w:p w14:paraId="7E7D3BAA">
            <w:pPr>
              <w:pStyle w:val="12"/>
            </w:pPr>
            <w:r>
              <w:t>13052526P00000410421Y</w:t>
            </w:r>
          </w:p>
        </w:tc>
        <w:tc>
          <w:tcPr>
            <w:tcW w:w="2835" w:type="dxa"/>
            <w:vAlign w:val="center"/>
          </w:tcPr>
          <w:p w14:paraId="19622689">
            <w:pPr>
              <w:pStyle w:val="10"/>
            </w:pPr>
            <w:r>
              <w:t>项目名称</w:t>
            </w:r>
          </w:p>
        </w:tc>
        <w:tc>
          <w:tcPr>
            <w:tcW w:w="6095" w:type="dxa"/>
            <w:gridSpan w:val="3"/>
            <w:vAlign w:val="center"/>
          </w:tcPr>
          <w:p w14:paraId="1E884CA9">
            <w:pPr>
              <w:pStyle w:val="12"/>
            </w:pPr>
            <w:r>
              <w:t>县级配套/第五实验小学公用经费</w:t>
            </w:r>
          </w:p>
        </w:tc>
      </w:tr>
      <w:tr w14:paraId="332C0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3E837">
            <w:pPr>
              <w:pStyle w:val="10"/>
            </w:pPr>
            <w:r>
              <w:t>预算规模及资金用途</w:t>
            </w:r>
          </w:p>
        </w:tc>
        <w:tc>
          <w:tcPr>
            <w:tcW w:w="2268" w:type="dxa"/>
            <w:vAlign w:val="center"/>
          </w:tcPr>
          <w:p w14:paraId="60A64CE8">
            <w:pPr>
              <w:pStyle w:val="10"/>
            </w:pPr>
            <w:r>
              <w:t>预算数</w:t>
            </w:r>
          </w:p>
        </w:tc>
        <w:tc>
          <w:tcPr>
            <w:tcW w:w="2835" w:type="dxa"/>
            <w:vAlign w:val="center"/>
          </w:tcPr>
          <w:p w14:paraId="6996B734">
            <w:pPr>
              <w:pStyle w:val="12"/>
            </w:pPr>
            <w:r>
              <w:t>23.19</w:t>
            </w:r>
          </w:p>
        </w:tc>
        <w:tc>
          <w:tcPr>
            <w:tcW w:w="2835" w:type="dxa"/>
            <w:vAlign w:val="center"/>
          </w:tcPr>
          <w:p w14:paraId="4708D2D0">
            <w:pPr>
              <w:pStyle w:val="10"/>
            </w:pPr>
            <w:r>
              <w:t>其中：财政    资金</w:t>
            </w:r>
          </w:p>
        </w:tc>
        <w:tc>
          <w:tcPr>
            <w:tcW w:w="2551" w:type="dxa"/>
            <w:vAlign w:val="center"/>
          </w:tcPr>
          <w:p w14:paraId="28B5353C">
            <w:pPr>
              <w:pStyle w:val="12"/>
            </w:pPr>
            <w:r>
              <w:t>23.19</w:t>
            </w:r>
          </w:p>
        </w:tc>
        <w:tc>
          <w:tcPr>
            <w:tcW w:w="2268" w:type="dxa"/>
            <w:vAlign w:val="center"/>
          </w:tcPr>
          <w:p w14:paraId="05E1B976">
            <w:pPr>
              <w:pStyle w:val="10"/>
            </w:pPr>
            <w:r>
              <w:t>其他资金</w:t>
            </w:r>
          </w:p>
        </w:tc>
        <w:tc>
          <w:tcPr>
            <w:tcW w:w="1276" w:type="dxa"/>
            <w:vAlign w:val="center"/>
          </w:tcPr>
          <w:p w14:paraId="58C4187A">
            <w:pPr>
              <w:pStyle w:val="12"/>
            </w:pPr>
            <w:r>
              <w:t xml:space="preserve"> </w:t>
            </w:r>
          </w:p>
        </w:tc>
      </w:tr>
      <w:tr w14:paraId="05519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FCFE5"/>
        </w:tc>
        <w:tc>
          <w:tcPr>
            <w:tcW w:w="14033" w:type="dxa"/>
            <w:gridSpan w:val="6"/>
            <w:vAlign w:val="center"/>
          </w:tcPr>
          <w:p w14:paraId="2B1AA080">
            <w:pPr>
              <w:pStyle w:val="12"/>
            </w:pPr>
            <w:r>
              <w:t>有效完成学校教学安全秩序，保障学校教学任务有效开展，满足学校正常教学需要。</w:t>
            </w:r>
          </w:p>
        </w:tc>
      </w:tr>
      <w:tr w14:paraId="2911B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91FB0">
            <w:pPr>
              <w:pStyle w:val="10"/>
            </w:pPr>
            <w:r>
              <w:t>资金支出计划（%）</w:t>
            </w:r>
          </w:p>
        </w:tc>
        <w:tc>
          <w:tcPr>
            <w:tcW w:w="5103" w:type="dxa"/>
            <w:gridSpan w:val="2"/>
            <w:vAlign w:val="center"/>
          </w:tcPr>
          <w:p w14:paraId="72B4987E">
            <w:pPr>
              <w:pStyle w:val="10"/>
            </w:pPr>
            <w:r>
              <w:t>3月底</w:t>
            </w:r>
          </w:p>
        </w:tc>
        <w:tc>
          <w:tcPr>
            <w:tcW w:w="2835" w:type="dxa"/>
            <w:vAlign w:val="center"/>
          </w:tcPr>
          <w:p w14:paraId="0CFD3F24">
            <w:pPr>
              <w:pStyle w:val="10"/>
            </w:pPr>
            <w:r>
              <w:t>6月底</w:t>
            </w:r>
          </w:p>
        </w:tc>
        <w:tc>
          <w:tcPr>
            <w:tcW w:w="2551" w:type="dxa"/>
            <w:vAlign w:val="center"/>
          </w:tcPr>
          <w:p w14:paraId="4064C8B3">
            <w:pPr>
              <w:pStyle w:val="10"/>
            </w:pPr>
            <w:r>
              <w:t>10月底</w:t>
            </w:r>
          </w:p>
        </w:tc>
        <w:tc>
          <w:tcPr>
            <w:tcW w:w="3544" w:type="dxa"/>
            <w:gridSpan w:val="2"/>
            <w:vAlign w:val="center"/>
          </w:tcPr>
          <w:p w14:paraId="782CAEC0">
            <w:pPr>
              <w:pStyle w:val="10"/>
            </w:pPr>
            <w:r>
              <w:t>12月底</w:t>
            </w:r>
          </w:p>
        </w:tc>
      </w:tr>
      <w:tr w14:paraId="21D8D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18D72"/>
        </w:tc>
        <w:tc>
          <w:tcPr>
            <w:tcW w:w="5103" w:type="dxa"/>
            <w:gridSpan w:val="2"/>
            <w:vAlign w:val="center"/>
          </w:tcPr>
          <w:p w14:paraId="2637B209">
            <w:pPr>
              <w:pStyle w:val="13"/>
            </w:pPr>
            <w:r>
              <w:t>25%</w:t>
            </w:r>
          </w:p>
        </w:tc>
        <w:tc>
          <w:tcPr>
            <w:tcW w:w="2835" w:type="dxa"/>
            <w:vAlign w:val="center"/>
          </w:tcPr>
          <w:p w14:paraId="6DBA0836">
            <w:pPr>
              <w:pStyle w:val="13"/>
            </w:pPr>
            <w:r>
              <w:t>50%</w:t>
            </w:r>
          </w:p>
        </w:tc>
        <w:tc>
          <w:tcPr>
            <w:tcW w:w="2551" w:type="dxa"/>
            <w:vAlign w:val="center"/>
          </w:tcPr>
          <w:p w14:paraId="2668941C">
            <w:pPr>
              <w:pStyle w:val="13"/>
            </w:pPr>
            <w:r>
              <w:t>75%</w:t>
            </w:r>
          </w:p>
        </w:tc>
        <w:tc>
          <w:tcPr>
            <w:tcW w:w="3544" w:type="dxa"/>
            <w:gridSpan w:val="2"/>
            <w:vAlign w:val="center"/>
          </w:tcPr>
          <w:p w14:paraId="67E94044">
            <w:pPr>
              <w:pStyle w:val="13"/>
            </w:pPr>
            <w:r>
              <w:t>100%</w:t>
            </w:r>
          </w:p>
        </w:tc>
      </w:tr>
      <w:tr w14:paraId="77283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FC2DC">
            <w:pPr>
              <w:pStyle w:val="10"/>
            </w:pPr>
            <w:r>
              <w:t>绩效目标</w:t>
            </w:r>
          </w:p>
        </w:tc>
        <w:tc>
          <w:tcPr>
            <w:tcW w:w="14033" w:type="dxa"/>
            <w:gridSpan w:val="6"/>
            <w:vAlign w:val="center"/>
          </w:tcPr>
          <w:p w14:paraId="487229DD">
            <w:pPr>
              <w:pStyle w:val="12"/>
            </w:pPr>
            <w:r>
              <w:t>1.按规定拨付公用经费23.19万元，预算执行率≥99%。</w:t>
            </w:r>
          </w:p>
          <w:p w14:paraId="28337496">
            <w:pPr>
              <w:pStyle w:val="12"/>
            </w:pPr>
            <w:r>
              <w:t>2.有效完成学校教学安全秩序，保障学校教学任务有效开展，满足学校正常教学需要。</w:t>
            </w:r>
          </w:p>
        </w:tc>
      </w:tr>
    </w:tbl>
    <w:p w14:paraId="4E95DD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4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77C5D">
            <w:pPr>
              <w:pStyle w:val="10"/>
            </w:pPr>
            <w:r>
              <w:t>一级指标</w:t>
            </w:r>
          </w:p>
        </w:tc>
        <w:tc>
          <w:tcPr>
            <w:tcW w:w="2268" w:type="dxa"/>
            <w:vAlign w:val="center"/>
          </w:tcPr>
          <w:p w14:paraId="39AFFF47">
            <w:pPr>
              <w:pStyle w:val="10"/>
            </w:pPr>
            <w:r>
              <w:t>二级指标</w:t>
            </w:r>
          </w:p>
        </w:tc>
        <w:tc>
          <w:tcPr>
            <w:tcW w:w="2835" w:type="dxa"/>
            <w:vAlign w:val="center"/>
          </w:tcPr>
          <w:p w14:paraId="1BC484D0">
            <w:pPr>
              <w:pStyle w:val="10"/>
            </w:pPr>
            <w:r>
              <w:t>三级指标</w:t>
            </w:r>
          </w:p>
        </w:tc>
        <w:tc>
          <w:tcPr>
            <w:tcW w:w="5386" w:type="dxa"/>
            <w:vAlign w:val="center"/>
          </w:tcPr>
          <w:p w14:paraId="353A8A09">
            <w:pPr>
              <w:pStyle w:val="10"/>
            </w:pPr>
            <w:r>
              <w:t>绩效指标描述</w:t>
            </w:r>
          </w:p>
        </w:tc>
        <w:tc>
          <w:tcPr>
            <w:tcW w:w="2268" w:type="dxa"/>
            <w:vAlign w:val="center"/>
          </w:tcPr>
          <w:p w14:paraId="2E88D31F">
            <w:pPr>
              <w:pStyle w:val="10"/>
            </w:pPr>
            <w:r>
              <w:t>指标值</w:t>
            </w:r>
          </w:p>
        </w:tc>
        <w:tc>
          <w:tcPr>
            <w:tcW w:w="1276" w:type="dxa"/>
            <w:vAlign w:val="center"/>
          </w:tcPr>
          <w:p w14:paraId="2DA9F490">
            <w:pPr>
              <w:pStyle w:val="10"/>
            </w:pPr>
            <w:r>
              <w:t>指标值确定依据</w:t>
            </w:r>
          </w:p>
        </w:tc>
      </w:tr>
      <w:tr w14:paraId="282E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6A966">
            <w:pPr>
              <w:pStyle w:val="13"/>
            </w:pPr>
            <w:r>
              <w:t>产出指标</w:t>
            </w:r>
          </w:p>
        </w:tc>
        <w:tc>
          <w:tcPr>
            <w:tcW w:w="2268" w:type="dxa"/>
            <w:vAlign w:val="center"/>
          </w:tcPr>
          <w:p w14:paraId="006CAC22">
            <w:pPr>
              <w:pStyle w:val="12"/>
            </w:pPr>
            <w:r>
              <w:t>数量指标</w:t>
            </w:r>
          </w:p>
        </w:tc>
        <w:tc>
          <w:tcPr>
            <w:tcW w:w="2835" w:type="dxa"/>
            <w:vAlign w:val="center"/>
          </w:tcPr>
          <w:p w14:paraId="7754F878">
            <w:pPr>
              <w:pStyle w:val="12"/>
            </w:pPr>
            <w:r>
              <w:t>就读学生数</w:t>
            </w:r>
          </w:p>
        </w:tc>
        <w:tc>
          <w:tcPr>
            <w:tcW w:w="5386" w:type="dxa"/>
            <w:vAlign w:val="center"/>
          </w:tcPr>
          <w:p w14:paraId="0CB3406B">
            <w:pPr>
              <w:pStyle w:val="12"/>
            </w:pPr>
            <w:r>
              <w:t>辐射区域内适龄学生人数</w:t>
            </w:r>
          </w:p>
        </w:tc>
        <w:tc>
          <w:tcPr>
            <w:tcW w:w="2268" w:type="dxa"/>
            <w:vAlign w:val="center"/>
          </w:tcPr>
          <w:p w14:paraId="299B2985">
            <w:pPr>
              <w:pStyle w:val="12"/>
            </w:pPr>
            <w:r>
              <w:t>2482人</w:t>
            </w:r>
          </w:p>
        </w:tc>
        <w:tc>
          <w:tcPr>
            <w:tcW w:w="1276" w:type="dxa"/>
            <w:vAlign w:val="center"/>
          </w:tcPr>
          <w:p w14:paraId="56039BAE">
            <w:pPr>
              <w:pStyle w:val="12"/>
            </w:pPr>
            <w:r>
              <w:t>城乡义务教育公用经费管理办法</w:t>
            </w:r>
          </w:p>
        </w:tc>
      </w:tr>
      <w:tr w14:paraId="167F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DFBC3"/>
        </w:tc>
        <w:tc>
          <w:tcPr>
            <w:tcW w:w="2268" w:type="dxa"/>
            <w:vAlign w:val="center"/>
          </w:tcPr>
          <w:p w14:paraId="344EE78D">
            <w:pPr>
              <w:pStyle w:val="12"/>
            </w:pPr>
            <w:r>
              <w:t>质量指标</w:t>
            </w:r>
          </w:p>
        </w:tc>
        <w:tc>
          <w:tcPr>
            <w:tcW w:w="2835" w:type="dxa"/>
            <w:vAlign w:val="center"/>
          </w:tcPr>
          <w:p w14:paraId="3A20B58D">
            <w:pPr>
              <w:pStyle w:val="12"/>
            </w:pPr>
            <w:r>
              <w:t>预算执行率</w:t>
            </w:r>
          </w:p>
        </w:tc>
        <w:tc>
          <w:tcPr>
            <w:tcW w:w="5386" w:type="dxa"/>
            <w:vAlign w:val="center"/>
          </w:tcPr>
          <w:p w14:paraId="77810353">
            <w:pPr>
              <w:pStyle w:val="12"/>
            </w:pPr>
            <w:r>
              <w:t>预算执行率</w:t>
            </w:r>
          </w:p>
        </w:tc>
        <w:tc>
          <w:tcPr>
            <w:tcW w:w="2268" w:type="dxa"/>
            <w:vAlign w:val="center"/>
          </w:tcPr>
          <w:p w14:paraId="40699425">
            <w:pPr>
              <w:pStyle w:val="12"/>
            </w:pPr>
            <w:r>
              <w:t>≥99%</w:t>
            </w:r>
          </w:p>
        </w:tc>
        <w:tc>
          <w:tcPr>
            <w:tcW w:w="1276" w:type="dxa"/>
            <w:vAlign w:val="center"/>
          </w:tcPr>
          <w:p w14:paraId="493D501F">
            <w:pPr>
              <w:pStyle w:val="12"/>
            </w:pPr>
            <w:r>
              <w:t>城乡义务教育公用经费管理办法</w:t>
            </w:r>
          </w:p>
        </w:tc>
      </w:tr>
      <w:tr w14:paraId="2C1C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9692"/>
        </w:tc>
        <w:tc>
          <w:tcPr>
            <w:tcW w:w="2268" w:type="dxa"/>
            <w:vAlign w:val="center"/>
          </w:tcPr>
          <w:p w14:paraId="4A8A157C">
            <w:pPr>
              <w:pStyle w:val="12"/>
            </w:pPr>
            <w:r>
              <w:t>时效指标</w:t>
            </w:r>
          </w:p>
        </w:tc>
        <w:tc>
          <w:tcPr>
            <w:tcW w:w="2835" w:type="dxa"/>
            <w:vAlign w:val="center"/>
          </w:tcPr>
          <w:p w14:paraId="54139447">
            <w:pPr>
              <w:pStyle w:val="12"/>
            </w:pPr>
            <w:r>
              <w:t>经费支付完成率</w:t>
            </w:r>
          </w:p>
        </w:tc>
        <w:tc>
          <w:tcPr>
            <w:tcW w:w="5386" w:type="dxa"/>
            <w:vAlign w:val="center"/>
          </w:tcPr>
          <w:p w14:paraId="78405F67">
            <w:pPr>
              <w:pStyle w:val="12"/>
            </w:pPr>
            <w:r>
              <w:t>按照序时进度完成资金支付</w:t>
            </w:r>
          </w:p>
        </w:tc>
        <w:tc>
          <w:tcPr>
            <w:tcW w:w="2268" w:type="dxa"/>
            <w:vAlign w:val="center"/>
          </w:tcPr>
          <w:p w14:paraId="195D8CE4">
            <w:pPr>
              <w:pStyle w:val="12"/>
            </w:pPr>
            <w:r>
              <w:t>≥99%</w:t>
            </w:r>
          </w:p>
        </w:tc>
        <w:tc>
          <w:tcPr>
            <w:tcW w:w="1276" w:type="dxa"/>
            <w:vAlign w:val="center"/>
          </w:tcPr>
          <w:p w14:paraId="786F41A1">
            <w:pPr>
              <w:pStyle w:val="12"/>
            </w:pPr>
            <w:r>
              <w:t>城乡义务教育公用经费管理办法</w:t>
            </w:r>
          </w:p>
        </w:tc>
      </w:tr>
      <w:tr w14:paraId="2746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04131"/>
        </w:tc>
        <w:tc>
          <w:tcPr>
            <w:tcW w:w="2268" w:type="dxa"/>
            <w:vAlign w:val="center"/>
          </w:tcPr>
          <w:p w14:paraId="009E8DF5">
            <w:pPr>
              <w:pStyle w:val="12"/>
            </w:pPr>
            <w:r>
              <w:t>成本指标</w:t>
            </w:r>
          </w:p>
        </w:tc>
        <w:tc>
          <w:tcPr>
            <w:tcW w:w="2835" w:type="dxa"/>
            <w:vAlign w:val="center"/>
          </w:tcPr>
          <w:p w14:paraId="6281A6B3">
            <w:pPr>
              <w:pStyle w:val="12"/>
            </w:pPr>
            <w:r>
              <w:t>生均拨款标准</w:t>
            </w:r>
          </w:p>
        </w:tc>
        <w:tc>
          <w:tcPr>
            <w:tcW w:w="5386" w:type="dxa"/>
            <w:vAlign w:val="center"/>
          </w:tcPr>
          <w:p w14:paraId="76005CFA">
            <w:pPr>
              <w:pStyle w:val="12"/>
            </w:pPr>
            <w:r>
              <w:t>学校生均公用经费基准定额为720元/年/生，取暖费120元/年/生，随班就读学生补助7000元/生/年</w:t>
            </w:r>
          </w:p>
        </w:tc>
        <w:tc>
          <w:tcPr>
            <w:tcW w:w="2268" w:type="dxa"/>
            <w:vAlign w:val="center"/>
          </w:tcPr>
          <w:p w14:paraId="2E51165F">
            <w:pPr>
              <w:pStyle w:val="12"/>
            </w:pPr>
            <w:r>
              <w:t>840元</w:t>
            </w:r>
          </w:p>
        </w:tc>
        <w:tc>
          <w:tcPr>
            <w:tcW w:w="1276" w:type="dxa"/>
            <w:vAlign w:val="center"/>
          </w:tcPr>
          <w:p w14:paraId="7B993714">
            <w:pPr>
              <w:pStyle w:val="12"/>
            </w:pPr>
            <w:r>
              <w:t>城乡义务教育公用经费管理办法</w:t>
            </w:r>
          </w:p>
        </w:tc>
      </w:tr>
      <w:tr w14:paraId="1367A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B1833">
            <w:pPr>
              <w:pStyle w:val="13"/>
            </w:pPr>
            <w:r>
              <w:t>效益指标</w:t>
            </w:r>
          </w:p>
        </w:tc>
        <w:tc>
          <w:tcPr>
            <w:tcW w:w="2268" w:type="dxa"/>
            <w:vAlign w:val="center"/>
          </w:tcPr>
          <w:p w14:paraId="3EE5AD1B">
            <w:pPr>
              <w:pStyle w:val="12"/>
            </w:pPr>
            <w:r>
              <w:t>可持续影响指标</w:t>
            </w:r>
          </w:p>
        </w:tc>
        <w:tc>
          <w:tcPr>
            <w:tcW w:w="2835" w:type="dxa"/>
            <w:vAlign w:val="center"/>
          </w:tcPr>
          <w:p w14:paraId="3737A5AC">
            <w:pPr>
              <w:pStyle w:val="12"/>
            </w:pPr>
            <w:r>
              <w:t>学校稳定率</w:t>
            </w:r>
          </w:p>
        </w:tc>
        <w:tc>
          <w:tcPr>
            <w:tcW w:w="5386" w:type="dxa"/>
            <w:vAlign w:val="center"/>
          </w:tcPr>
          <w:p w14:paraId="4567F4A1">
            <w:pPr>
              <w:pStyle w:val="12"/>
            </w:pPr>
            <w:r>
              <w:t>维护</w:t>
            </w:r>
            <w:r>
              <w:rPr>
                <w:rFonts w:hint="eastAsia"/>
                <w:lang w:eastAsia="zh-CN"/>
              </w:rPr>
              <w:t>学校</w:t>
            </w:r>
            <w:r>
              <w:t>稳定，保障学校正常教学秩序有效开展。</w:t>
            </w:r>
          </w:p>
        </w:tc>
        <w:tc>
          <w:tcPr>
            <w:tcW w:w="2268" w:type="dxa"/>
            <w:vAlign w:val="center"/>
          </w:tcPr>
          <w:p w14:paraId="34C1985B">
            <w:pPr>
              <w:pStyle w:val="12"/>
            </w:pPr>
            <w:r>
              <w:t>≥99%</w:t>
            </w:r>
          </w:p>
        </w:tc>
        <w:tc>
          <w:tcPr>
            <w:tcW w:w="1276" w:type="dxa"/>
            <w:vAlign w:val="center"/>
          </w:tcPr>
          <w:p w14:paraId="4D804BA9">
            <w:pPr>
              <w:pStyle w:val="12"/>
            </w:pPr>
            <w:r>
              <w:t>城乡义务教育公用经费管理办法</w:t>
            </w:r>
          </w:p>
        </w:tc>
      </w:tr>
      <w:tr w14:paraId="4963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F35A9">
            <w:pPr>
              <w:pStyle w:val="13"/>
            </w:pPr>
            <w:r>
              <w:t>满意度指标</w:t>
            </w:r>
          </w:p>
        </w:tc>
        <w:tc>
          <w:tcPr>
            <w:tcW w:w="2268" w:type="dxa"/>
            <w:vAlign w:val="center"/>
          </w:tcPr>
          <w:p w14:paraId="7652862D">
            <w:pPr>
              <w:pStyle w:val="12"/>
            </w:pPr>
            <w:r>
              <w:t>服务对象满意度指标</w:t>
            </w:r>
          </w:p>
        </w:tc>
        <w:tc>
          <w:tcPr>
            <w:tcW w:w="2835" w:type="dxa"/>
            <w:vAlign w:val="center"/>
          </w:tcPr>
          <w:p w14:paraId="06EB18AD">
            <w:pPr>
              <w:pStyle w:val="12"/>
            </w:pPr>
            <w:r>
              <w:t>家长和学生满意度</w:t>
            </w:r>
          </w:p>
        </w:tc>
        <w:tc>
          <w:tcPr>
            <w:tcW w:w="5386" w:type="dxa"/>
            <w:vAlign w:val="center"/>
          </w:tcPr>
          <w:p w14:paraId="2270359D">
            <w:pPr>
              <w:pStyle w:val="12"/>
            </w:pPr>
            <w:r>
              <w:t>家长和学生满意度</w:t>
            </w:r>
          </w:p>
        </w:tc>
        <w:tc>
          <w:tcPr>
            <w:tcW w:w="2268" w:type="dxa"/>
            <w:vAlign w:val="center"/>
          </w:tcPr>
          <w:p w14:paraId="29734B1A">
            <w:pPr>
              <w:pStyle w:val="12"/>
            </w:pPr>
            <w:r>
              <w:t>≥99%</w:t>
            </w:r>
          </w:p>
        </w:tc>
        <w:tc>
          <w:tcPr>
            <w:tcW w:w="1276" w:type="dxa"/>
            <w:vAlign w:val="center"/>
          </w:tcPr>
          <w:p w14:paraId="37283679">
            <w:pPr>
              <w:pStyle w:val="12"/>
            </w:pPr>
            <w:r>
              <w:t>问卷调查</w:t>
            </w:r>
          </w:p>
        </w:tc>
      </w:tr>
    </w:tbl>
    <w:p w14:paraId="7D8CF51B">
      <w:pPr>
        <w:sectPr>
          <w:pgSz w:w="16840" w:h="11900" w:orient="landscape"/>
          <w:pgMar w:top="1361" w:right="1020" w:bottom="1134" w:left="1020" w:header="720" w:footer="720" w:gutter="0"/>
          <w:cols w:space="720" w:num="1"/>
        </w:sectPr>
      </w:pPr>
    </w:p>
    <w:p w14:paraId="28B4ED1A">
      <w:pPr>
        <w:spacing w:before="10" w:after="10" w:line="240" w:lineRule="auto"/>
        <w:ind w:firstLine="640"/>
        <w:jc w:val="left"/>
        <w:outlineLvl w:val="5"/>
      </w:pPr>
      <w:r>
        <w:rPr>
          <w:rFonts w:ascii="黑体" w:hAnsi="黑体" w:eastAsia="黑体" w:cs="黑体"/>
          <w:color w:val="000000"/>
          <w:sz w:val="32"/>
        </w:rPr>
        <w:t>六、政府采购预算情况</w:t>
      </w:r>
    </w:p>
    <w:p w14:paraId="1EDC6BB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A4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96A9B5">
            <w:pPr>
              <w:pStyle w:val="9"/>
            </w:pPr>
            <w:r>
              <w:t>360038隆尧县第五实验小学</w:t>
            </w:r>
          </w:p>
        </w:tc>
        <w:tc>
          <w:tcPr>
            <w:tcW w:w="8676" w:type="dxa"/>
            <w:gridSpan w:val="9"/>
            <w:tcBorders>
              <w:top w:val="single" w:color="FFFFFF" w:sz="6" w:space="0"/>
              <w:left w:val="single" w:color="FFFFFF" w:sz="6" w:space="0"/>
              <w:right w:val="single" w:color="FFFFFF" w:sz="6" w:space="0"/>
            </w:tcBorders>
            <w:vAlign w:val="center"/>
          </w:tcPr>
          <w:p w14:paraId="2EA7D680">
            <w:pPr>
              <w:pStyle w:val="21"/>
            </w:pPr>
            <w:r>
              <w:t>单位：万元</w:t>
            </w:r>
          </w:p>
        </w:tc>
      </w:tr>
      <w:tr w14:paraId="6A99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5C94BC">
            <w:pPr>
              <w:pStyle w:val="10"/>
            </w:pPr>
            <w:r>
              <w:t>政府采购项目来源</w:t>
            </w:r>
          </w:p>
        </w:tc>
        <w:tc>
          <w:tcPr>
            <w:tcW w:w="1134" w:type="dxa"/>
            <w:vMerge w:val="restart"/>
            <w:vAlign w:val="center"/>
          </w:tcPr>
          <w:p w14:paraId="443EDFDA">
            <w:pPr>
              <w:pStyle w:val="10"/>
            </w:pPr>
            <w:r>
              <w:t>采购物品名称</w:t>
            </w:r>
          </w:p>
        </w:tc>
        <w:tc>
          <w:tcPr>
            <w:tcW w:w="1134" w:type="dxa"/>
            <w:vMerge w:val="restart"/>
            <w:vAlign w:val="center"/>
          </w:tcPr>
          <w:p w14:paraId="7E123474">
            <w:pPr>
              <w:pStyle w:val="10"/>
            </w:pPr>
            <w:r>
              <w:t>政府采购目录序号</w:t>
            </w:r>
          </w:p>
        </w:tc>
        <w:tc>
          <w:tcPr>
            <w:tcW w:w="709" w:type="dxa"/>
            <w:vMerge w:val="restart"/>
            <w:vAlign w:val="center"/>
          </w:tcPr>
          <w:p w14:paraId="713EC943">
            <w:pPr>
              <w:pStyle w:val="10"/>
            </w:pPr>
            <w:r>
              <w:t>计量  单位</w:t>
            </w:r>
          </w:p>
        </w:tc>
        <w:tc>
          <w:tcPr>
            <w:tcW w:w="850" w:type="dxa"/>
            <w:vMerge w:val="restart"/>
            <w:vAlign w:val="center"/>
          </w:tcPr>
          <w:p w14:paraId="18AE2F95">
            <w:pPr>
              <w:pStyle w:val="10"/>
            </w:pPr>
            <w:r>
              <w:t>数量</w:t>
            </w:r>
          </w:p>
        </w:tc>
        <w:tc>
          <w:tcPr>
            <w:tcW w:w="850" w:type="dxa"/>
            <w:vMerge w:val="restart"/>
            <w:vAlign w:val="center"/>
          </w:tcPr>
          <w:p w14:paraId="7D59E3AD">
            <w:pPr>
              <w:pStyle w:val="10"/>
            </w:pPr>
            <w:r>
              <w:t>单价</w:t>
            </w:r>
          </w:p>
        </w:tc>
        <w:tc>
          <w:tcPr>
            <w:tcW w:w="7712" w:type="dxa"/>
            <w:gridSpan w:val="8"/>
            <w:vAlign w:val="center"/>
          </w:tcPr>
          <w:p w14:paraId="711C619D">
            <w:pPr>
              <w:pStyle w:val="10"/>
            </w:pPr>
            <w:r>
              <w:t>政府采购金额（当年部门预算安排资金）</w:t>
            </w:r>
          </w:p>
        </w:tc>
        <w:tc>
          <w:tcPr>
            <w:tcW w:w="964" w:type="dxa"/>
            <w:vMerge w:val="restart"/>
            <w:vAlign w:val="center"/>
          </w:tcPr>
          <w:p w14:paraId="76CBFDDF">
            <w:pPr>
              <w:pStyle w:val="10"/>
            </w:pPr>
            <w:r>
              <w:t>2026年  预留中  小微企  业份额</w:t>
            </w:r>
          </w:p>
        </w:tc>
      </w:tr>
      <w:tr w14:paraId="2909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164A18">
            <w:pPr>
              <w:pStyle w:val="10"/>
            </w:pPr>
            <w:r>
              <w:t>项目名称</w:t>
            </w:r>
          </w:p>
        </w:tc>
        <w:tc>
          <w:tcPr>
            <w:tcW w:w="964" w:type="dxa"/>
            <w:vAlign w:val="center"/>
          </w:tcPr>
          <w:p w14:paraId="0655DD2F">
            <w:pPr>
              <w:pStyle w:val="10"/>
            </w:pPr>
            <w:r>
              <w:t>预算    资金</w:t>
            </w:r>
          </w:p>
        </w:tc>
        <w:tc>
          <w:tcPr>
            <w:tcW w:w="1134" w:type="dxa"/>
            <w:vMerge w:val="continue"/>
          </w:tcPr>
          <w:p w14:paraId="43185A62"/>
        </w:tc>
        <w:tc>
          <w:tcPr>
            <w:tcW w:w="1134" w:type="dxa"/>
            <w:vMerge w:val="continue"/>
          </w:tcPr>
          <w:p w14:paraId="4A3C8A87"/>
        </w:tc>
        <w:tc>
          <w:tcPr>
            <w:tcW w:w="709" w:type="dxa"/>
            <w:vMerge w:val="continue"/>
          </w:tcPr>
          <w:p w14:paraId="2D448A74"/>
        </w:tc>
        <w:tc>
          <w:tcPr>
            <w:tcW w:w="850" w:type="dxa"/>
            <w:vMerge w:val="continue"/>
          </w:tcPr>
          <w:p w14:paraId="789FE835"/>
        </w:tc>
        <w:tc>
          <w:tcPr>
            <w:tcW w:w="850" w:type="dxa"/>
            <w:vMerge w:val="continue"/>
          </w:tcPr>
          <w:p w14:paraId="5D15ACCA"/>
        </w:tc>
        <w:tc>
          <w:tcPr>
            <w:tcW w:w="964" w:type="dxa"/>
            <w:vAlign w:val="center"/>
          </w:tcPr>
          <w:p w14:paraId="19AEE56F">
            <w:pPr>
              <w:pStyle w:val="10"/>
            </w:pPr>
            <w:r>
              <w:t>合计</w:t>
            </w:r>
          </w:p>
        </w:tc>
        <w:tc>
          <w:tcPr>
            <w:tcW w:w="964" w:type="dxa"/>
            <w:vAlign w:val="center"/>
          </w:tcPr>
          <w:p w14:paraId="1A9DB0BD">
            <w:pPr>
              <w:pStyle w:val="10"/>
            </w:pPr>
            <w:r>
              <w:t>一般公共预算拨款</w:t>
            </w:r>
          </w:p>
        </w:tc>
        <w:tc>
          <w:tcPr>
            <w:tcW w:w="964" w:type="dxa"/>
            <w:vAlign w:val="center"/>
          </w:tcPr>
          <w:p w14:paraId="7A169947">
            <w:pPr>
              <w:pStyle w:val="10"/>
            </w:pPr>
            <w:r>
              <w:t>基金预算拨款</w:t>
            </w:r>
          </w:p>
        </w:tc>
        <w:tc>
          <w:tcPr>
            <w:tcW w:w="964" w:type="dxa"/>
            <w:vAlign w:val="center"/>
          </w:tcPr>
          <w:p w14:paraId="0C12C852">
            <w:pPr>
              <w:pStyle w:val="10"/>
            </w:pPr>
            <w:r>
              <w:t>国有资本经营预算拨款</w:t>
            </w:r>
          </w:p>
        </w:tc>
        <w:tc>
          <w:tcPr>
            <w:tcW w:w="964" w:type="dxa"/>
            <w:vAlign w:val="center"/>
          </w:tcPr>
          <w:p w14:paraId="509F7F68">
            <w:pPr>
              <w:pStyle w:val="10"/>
            </w:pPr>
            <w:r>
              <w:t>财政专户核拨</w:t>
            </w:r>
          </w:p>
        </w:tc>
        <w:tc>
          <w:tcPr>
            <w:tcW w:w="964" w:type="dxa"/>
            <w:vAlign w:val="center"/>
          </w:tcPr>
          <w:p w14:paraId="0AA85A62">
            <w:pPr>
              <w:pStyle w:val="10"/>
            </w:pPr>
            <w:r>
              <w:t>单位    资金</w:t>
            </w:r>
          </w:p>
        </w:tc>
        <w:tc>
          <w:tcPr>
            <w:tcW w:w="964" w:type="dxa"/>
            <w:vAlign w:val="center"/>
          </w:tcPr>
          <w:p w14:paraId="645BC7D0">
            <w:pPr>
              <w:pStyle w:val="10"/>
            </w:pPr>
            <w:r>
              <w:t>财政拨款结转</w:t>
            </w:r>
          </w:p>
        </w:tc>
        <w:tc>
          <w:tcPr>
            <w:tcW w:w="964" w:type="dxa"/>
            <w:vAlign w:val="center"/>
          </w:tcPr>
          <w:p w14:paraId="27C5DD55">
            <w:pPr>
              <w:pStyle w:val="10"/>
            </w:pPr>
            <w:r>
              <w:t>非财政拨款结余</w:t>
            </w:r>
          </w:p>
        </w:tc>
        <w:tc>
          <w:tcPr>
            <w:tcW w:w="964" w:type="dxa"/>
            <w:vMerge w:val="continue"/>
          </w:tcPr>
          <w:p w14:paraId="5A384D0D"/>
        </w:tc>
      </w:tr>
      <w:tr w14:paraId="66EC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F4A801">
            <w:pPr>
              <w:pStyle w:val="14"/>
            </w:pPr>
            <w:r>
              <w:t>合  计</w:t>
            </w:r>
          </w:p>
        </w:tc>
        <w:tc>
          <w:tcPr>
            <w:tcW w:w="964" w:type="dxa"/>
            <w:vAlign w:val="center"/>
          </w:tcPr>
          <w:p w14:paraId="326115C5">
            <w:pPr>
              <w:pStyle w:val="15"/>
            </w:pPr>
          </w:p>
        </w:tc>
        <w:tc>
          <w:tcPr>
            <w:tcW w:w="1134" w:type="dxa"/>
            <w:vAlign w:val="center"/>
          </w:tcPr>
          <w:p w14:paraId="1B2322AB">
            <w:pPr>
              <w:pStyle w:val="16"/>
            </w:pPr>
          </w:p>
        </w:tc>
        <w:tc>
          <w:tcPr>
            <w:tcW w:w="1134" w:type="dxa"/>
            <w:vAlign w:val="center"/>
          </w:tcPr>
          <w:p w14:paraId="379C9085">
            <w:pPr>
              <w:pStyle w:val="16"/>
            </w:pPr>
          </w:p>
        </w:tc>
        <w:tc>
          <w:tcPr>
            <w:tcW w:w="709" w:type="dxa"/>
            <w:vAlign w:val="center"/>
          </w:tcPr>
          <w:p w14:paraId="7B41CFB5">
            <w:pPr>
              <w:pStyle w:val="14"/>
            </w:pPr>
          </w:p>
        </w:tc>
        <w:tc>
          <w:tcPr>
            <w:tcW w:w="850" w:type="dxa"/>
            <w:vAlign w:val="center"/>
          </w:tcPr>
          <w:p w14:paraId="477095FB">
            <w:pPr>
              <w:pStyle w:val="15"/>
            </w:pPr>
          </w:p>
        </w:tc>
        <w:tc>
          <w:tcPr>
            <w:tcW w:w="850" w:type="dxa"/>
            <w:vAlign w:val="center"/>
          </w:tcPr>
          <w:p w14:paraId="4C62160A">
            <w:pPr>
              <w:pStyle w:val="15"/>
            </w:pPr>
          </w:p>
        </w:tc>
        <w:tc>
          <w:tcPr>
            <w:tcW w:w="964" w:type="dxa"/>
            <w:vAlign w:val="center"/>
          </w:tcPr>
          <w:p w14:paraId="7325E298">
            <w:pPr>
              <w:pStyle w:val="15"/>
            </w:pPr>
            <w:r>
              <w:t>3.39</w:t>
            </w:r>
          </w:p>
        </w:tc>
        <w:tc>
          <w:tcPr>
            <w:tcW w:w="964" w:type="dxa"/>
            <w:vAlign w:val="center"/>
          </w:tcPr>
          <w:p w14:paraId="3D90E794">
            <w:pPr>
              <w:pStyle w:val="15"/>
            </w:pPr>
            <w:r>
              <w:t>3.39</w:t>
            </w:r>
          </w:p>
        </w:tc>
        <w:tc>
          <w:tcPr>
            <w:tcW w:w="964" w:type="dxa"/>
            <w:vAlign w:val="center"/>
          </w:tcPr>
          <w:p w14:paraId="0A689833">
            <w:pPr>
              <w:pStyle w:val="15"/>
            </w:pPr>
          </w:p>
        </w:tc>
        <w:tc>
          <w:tcPr>
            <w:tcW w:w="964" w:type="dxa"/>
            <w:vAlign w:val="center"/>
          </w:tcPr>
          <w:p w14:paraId="3B84C1C0">
            <w:pPr>
              <w:pStyle w:val="15"/>
            </w:pPr>
          </w:p>
        </w:tc>
        <w:tc>
          <w:tcPr>
            <w:tcW w:w="964" w:type="dxa"/>
            <w:vAlign w:val="center"/>
          </w:tcPr>
          <w:p w14:paraId="0C114CE7">
            <w:pPr>
              <w:pStyle w:val="15"/>
            </w:pPr>
          </w:p>
        </w:tc>
        <w:tc>
          <w:tcPr>
            <w:tcW w:w="964" w:type="dxa"/>
            <w:vAlign w:val="center"/>
          </w:tcPr>
          <w:p w14:paraId="7F6EED3C">
            <w:pPr>
              <w:pStyle w:val="15"/>
            </w:pPr>
          </w:p>
        </w:tc>
        <w:tc>
          <w:tcPr>
            <w:tcW w:w="964" w:type="dxa"/>
            <w:vAlign w:val="center"/>
          </w:tcPr>
          <w:p w14:paraId="5E0E9542">
            <w:pPr>
              <w:pStyle w:val="15"/>
            </w:pPr>
          </w:p>
        </w:tc>
        <w:tc>
          <w:tcPr>
            <w:tcW w:w="964" w:type="dxa"/>
            <w:vAlign w:val="center"/>
          </w:tcPr>
          <w:p w14:paraId="24004A68">
            <w:pPr>
              <w:pStyle w:val="15"/>
            </w:pPr>
          </w:p>
        </w:tc>
        <w:tc>
          <w:tcPr>
            <w:tcW w:w="964" w:type="dxa"/>
            <w:vAlign w:val="center"/>
          </w:tcPr>
          <w:p w14:paraId="17C145A1">
            <w:pPr>
              <w:pStyle w:val="15"/>
            </w:pPr>
            <w:r>
              <w:t>3.39</w:t>
            </w:r>
          </w:p>
        </w:tc>
      </w:tr>
      <w:tr w14:paraId="075F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486FF4">
            <w:pPr>
              <w:pStyle w:val="14"/>
            </w:pPr>
            <w:r>
              <w:t>隆尧县第五实验小学小计</w:t>
            </w:r>
          </w:p>
        </w:tc>
        <w:tc>
          <w:tcPr>
            <w:tcW w:w="964" w:type="dxa"/>
            <w:vAlign w:val="center"/>
          </w:tcPr>
          <w:p w14:paraId="21957046">
            <w:pPr>
              <w:pStyle w:val="15"/>
            </w:pPr>
          </w:p>
        </w:tc>
        <w:tc>
          <w:tcPr>
            <w:tcW w:w="1134" w:type="dxa"/>
            <w:vAlign w:val="center"/>
          </w:tcPr>
          <w:p w14:paraId="57AC7984">
            <w:pPr>
              <w:pStyle w:val="16"/>
            </w:pPr>
          </w:p>
        </w:tc>
        <w:tc>
          <w:tcPr>
            <w:tcW w:w="1134" w:type="dxa"/>
            <w:vAlign w:val="center"/>
          </w:tcPr>
          <w:p w14:paraId="0AAA9CD8">
            <w:pPr>
              <w:pStyle w:val="16"/>
            </w:pPr>
          </w:p>
        </w:tc>
        <w:tc>
          <w:tcPr>
            <w:tcW w:w="709" w:type="dxa"/>
            <w:vAlign w:val="center"/>
          </w:tcPr>
          <w:p w14:paraId="18A01341">
            <w:pPr>
              <w:pStyle w:val="14"/>
            </w:pPr>
          </w:p>
        </w:tc>
        <w:tc>
          <w:tcPr>
            <w:tcW w:w="850" w:type="dxa"/>
            <w:vAlign w:val="center"/>
          </w:tcPr>
          <w:p w14:paraId="00197472">
            <w:pPr>
              <w:pStyle w:val="15"/>
            </w:pPr>
          </w:p>
        </w:tc>
        <w:tc>
          <w:tcPr>
            <w:tcW w:w="850" w:type="dxa"/>
            <w:vAlign w:val="center"/>
          </w:tcPr>
          <w:p w14:paraId="2FE7B1B1">
            <w:pPr>
              <w:pStyle w:val="15"/>
            </w:pPr>
          </w:p>
        </w:tc>
        <w:tc>
          <w:tcPr>
            <w:tcW w:w="964" w:type="dxa"/>
            <w:vAlign w:val="center"/>
          </w:tcPr>
          <w:p w14:paraId="17E2D3CA">
            <w:pPr>
              <w:pStyle w:val="15"/>
            </w:pPr>
            <w:r>
              <w:t>3.39</w:t>
            </w:r>
          </w:p>
        </w:tc>
        <w:tc>
          <w:tcPr>
            <w:tcW w:w="964" w:type="dxa"/>
            <w:vAlign w:val="center"/>
          </w:tcPr>
          <w:p w14:paraId="45531A50">
            <w:pPr>
              <w:pStyle w:val="15"/>
            </w:pPr>
            <w:r>
              <w:t>3.39</w:t>
            </w:r>
          </w:p>
        </w:tc>
        <w:tc>
          <w:tcPr>
            <w:tcW w:w="964" w:type="dxa"/>
            <w:vAlign w:val="center"/>
          </w:tcPr>
          <w:p w14:paraId="161DB8DE">
            <w:pPr>
              <w:pStyle w:val="15"/>
            </w:pPr>
          </w:p>
        </w:tc>
        <w:tc>
          <w:tcPr>
            <w:tcW w:w="964" w:type="dxa"/>
            <w:vAlign w:val="center"/>
          </w:tcPr>
          <w:p w14:paraId="3A1DB654">
            <w:pPr>
              <w:pStyle w:val="15"/>
            </w:pPr>
          </w:p>
        </w:tc>
        <w:tc>
          <w:tcPr>
            <w:tcW w:w="964" w:type="dxa"/>
            <w:vAlign w:val="center"/>
          </w:tcPr>
          <w:p w14:paraId="54956215">
            <w:pPr>
              <w:pStyle w:val="15"/>
            </w:pPr>
          </w:p>
        </w:tc>
        <w:tc>
          <w:tcPr>
            <w:tcW w:w="964" w:type="dxa"/>
            <w:vAlign w:val="center"/>
          </w:tcPr>
          <w:p w14:paraId="03753C5D">
            <w:pPr>
              <w:pStyle w:val="15"/>
            </w:pPr>
          </w:p>
        </w:tc>
        <w:tc>
          <w:tcPr>
            <w:tcW w:w="964" w:type="dxa"/>
            <w:vAlign w:val="center"/>
          </w:tcPr>
          <w:p w14:paraId="1B468124">
            <w:pPr>
              <w:pStyle w:val="15"/>
            </w:pPr>
          </w:p>
        </w:tc>
        <w:tc>
          <w:tcPr>
            <w:tcW w:w="964" w:type="dxa"/>
            <w:vAlign w:val="center"/>
          </w:tcPr>
          <w:p w14:paraId="3BC1DC05">
            <w:pPr>
              <w:pStyle w:val="15"/>
            </w:pPr>
          </w:p>
        </w:tc>
        <w:tc>
          <w:tcPr>
            <w:tcW w:w="964" w:type="dxa"/>
            <w:vAlign w:val="center"/>
          </w:tcPr>
          <w:p w14:paraId="420D706A">
            <w:pPr>
              <w:pStyle w:val="15"/>
            </w:pPr>
            <w:r>
              <w:t>3.39</w:t>
            </w:r>
          </w:p>
        </w:tc>
      </w:tr>
      <w:tr w14:paraId="5CCD2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7EC31E">
            <w:pPr>
              <w:pStyle w:val="12"/>
            </w:pPr>
            <w:r>
              <w:t>冀财教[2025]147号/省级/2026年义教补助经费/第五实验小学公用经费</w:t>
            </w:r>
          </w:p>
        </w:tc>
        <w:tc>
          <w:tcPr>
            <w:tcW w:w="964" w:type="dxa"/>
            <w:vAlign w:val="center"/>
          </w:tcPr>
          <w:p w14:paraId="0ACFA74B">
            <w:pPr>
              <w:pStyle w:val="11"/>
            </w:pPr>
            <w:r>
              <w:t>73.22</w:t>
            </w:r>
          </w:p>
        </w:tc>
        <w:tc>
          <w:tcPr>
            <w:tcW w:w="1134" w:type="dxa"/>
            <w:vAlign w:val="center"/>
          </w:tcPr>
          <w:p w14:paraId="0474F8B9">
            <w:pPr>
              <w:pStyle w:val="12"/>
            </w:pPr>
            <w:r>
              <w:t>台式计算机</w:t>
            </w:r>
          </w:p>
        </w:tc>
        <w:tc>
          <w:tcPr>
            <w:tcW w:w="1134" w:type="dxa"/>
            <w:vAlign w:val="center"/>
          </w:tcPr>
          <w:p w14:paraId="3FACA35B">
            <w:pPr>
              <w:pStyle w:val="12"/>
            </w:pPr>
            <w:r>
              <w:t>A02010105</w:t>
            </w:r>
          </w:p>
        </w:tc>
        <w:tc>
          <w:tcPr>
            <w:tcW w:w="709" w:type="dxa"/>
            <w:vAlign w:val="center"/>
          </w:tcPr>
          <w:p w14:paraId="242CE50E">
            <w:pPr>
              <w:pStyle w:val="13"/>
            </w:pPr>
            <w:r>
              <w:t>台</w:t>
            </w:r>
          </w:p>
        </w:tc>
        <w:tc>
          <w:tcPr>
            <w:tcW w:w="850" w:type="dxa"/>
            <w:vAlign w:val="center"/>
          </w:tcPr>
          <w:p w14:paraId="56ECABCC">
            <w:pPr>
              <w:pStyle w:val="11"/>
            </w:pPr>
            <w:r>
              <w:t>2</w:t>
            </w:r>
          </w:p>
        </w:tc>
        <w:tc>
          <w:tcPr>
            <w:tcW w:w="850" w:type="dxa"/>
            <w:vAlign w:val="center"/>
          </w:tcPr>
          <w:p w14:paraId="15FACCD3">
            <w:pPr>
              <w:pStyle w:val="11"/>
            </w:pPr>
            <w:r>
              <w:t>0.45</w:t>
            </w:r>
          </w:p>
        </w:tc>
        <w:tc>
          <w:tcPr>
            <w:tcW w:w="964" w:type="dxa"/>
            <w:vAlign w:val="center"/>
          </w:tcPr>
          <w:p w14:paraId="25D828BD">
            <w:pPr>
              <w:pStyle w:val="11"/>
            </w:pPr>
            <w:r>
              <w:t>0.89</w:t>
            </w:r>
          </w:p>
        </w:tc>
        <w:tc>
          <w:tcPr>
            <w:tcW w:w="964" w:type="dxa"/>
            <w:vAlign w:val="center"/>
          </w:tcPr>
          <w:p w14:paraId="5252A66D">
            <w:pPr>
              <w:pStyle w:val="11"/>
            </w:pPr>
            <w:r>
              <w:t>0.89</w:t>
            </w:r>
          </w:p>
        </w:tc>
        <w:tc>
          <w:tcPr>
            <w:tcW w:w="964" w:type="dxa"/>
            <w:vAlign w:val="center"/>
          </w:tcPr>
          <w:p w14:paraId="65B80693">
            <w:pPr>
              <w:pStyle w:val="11"/>
            </w:pPr>
          </w:p>
        </w:tc>
        <w:tc>
          <w:tcPr>
            <w:tcW w:w="964" w:type="dxa"/>
            <w:vAlign w:val="center"/>
          </w:tcPr>
          <w:p w14:paraId="070A5F53">
            <w:pPr>
              <w:pStyle w:val="11"/>
            </w:pPr>
          </w:p>
        </w:tc>
        <w:tc>
          <w:tcPr>
            <w:tcW w:w="964" w:type="dxa"/>
            <w:vAlign w:val="center"/>
          </w:tcPr>
          <w:p w14:paraId="7A1DEA8F">
            <w:pPr>
              <w:pStyle w:val="11"/>
            </w:pPr>
          </w:p>
        </w:tc>
        <w:tc>
          <w:tcPr>
            <w:tcW w:w="964" w:type="dxa"/>
            <w:vAlign w:val="center"/>
          </w:tcPr>
          <w:p w14:paraId="009C10D1">
            <w:pPr>
              <w:pStyle w:val="11"/>
            </w:pPr>
          </w:p>
        </w:tc>
        <w:tc>
          <w:tcPr>
            <w:tcW w:w="964" w:type="dxa"/>
            <w:vAlign w:val="center"/>
          </w:tcPr>
          <w:p w14:paraId="05F38ADE">
            <w:pPr>
              <w:pStyle w:val="11"/>
            </w:pPr>
          </w:p>
        </w:tc>
        <w:tc>
          <w:tcPr>
            <w:tcW w:w="964" w:type="dxa"/>
            <w:vAlign w:val="center"/>
          </w:tcPr>
          <w:p w14:paraId="65DD2B77">
            <w:pPr>
              <w:pStyle w:val="11"/>
            </w:pPr>
          </w:p>
        </w:tc>
        <w:tc>
          <w:tcPr>
            <w:tcW w:w="964" w:type="dxa"/>
            <w:vAlign w:val="center"/>
          </w:tcPr>
          <w:p w14:paraId="1A6AC220">
            <w:pPr>
              <w:pStyle w:val="11"/>
            </w:pPr>
            <w:r>
              <w:t>0.89</w:t>
            </w:r>
          </w:p>
        </w:tc>
      </w:tr>
      <w:tr w14:paraId="17C5D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51438B">
            <w:pPr>
              <w:pStyle w:val="12"/>
            </w:pPr>
            <w:r>
              <w:t>冀财教[2025]147号/省级/2026年义教补助经费/第五实验小学公用经费</w:t>
            </w:r>
          </w:p>
        </w:tc>
        <w:tc>
          <w:tcPr>
            <w:tcW w:w="964" w:type="dxa"/>
            <w:vAlign w:val="center"/>
          </w:tcPr>
          <w:p w14:paraId="4BB0A01C">
            <w:pPr>
              <w:pStyle w:val="11"/>
            </w:pPr>
            <w:r>
              <w:t>73.22</w:t>
            </w:r>
          </w:p>
        </w:tc>
        <w:tc>
          <w:tcPr>
            <w:tcW w:w="1134" w:type="dxa"/>
            <w:vAlign w:val="center"/>
          </w:tcPr>
          <w:p w14:paraId="42D42213">
            <w:pPr>
              <w:pStyle w:val="12"/>
            </w:pPr>
            <w:r>
              <w:t>多功能一体机</w:t>
            </w:r>
          </w:p>
        </w:tc>
        <w:tc>
          <w:tcPr>
            <w:tcW w:w="1134" w:type="dxa"/>
            <w:vAlign w:val="center"/>
          </w:tcPr>
          <w:p w14:paraId="45A42C55">
            <w:pPr>
              <w:pStyle w:val="12"/>
            </w:pPr>
            <w:r>
              <w:t>A02020400</w:t>
            </w:r>
          </w:p>
        </w:tc>
        <w:tc>
          <w:tcPr>
            <w:tcW w:w="709" w:type="dxa"/>
            <w:vAlign w:val="center"/>
          </w:tcPr>
          <w:p w14:paraId="2EC17FC0">
            <w:pPr>
              <w:pStyle w:val="13"/>
            </w:pPr>
            <w:r>
              <w:t>套</w:t>
            </w:r>
          </w:p>
        </w:tc>
        <w:tc>
          <w:tcPr>
            <w:tcW w:w="850" w:type="dxa"/>
            <w:vAlign w:val="center"/>
          </w:tcPr>
          <w:p w14:paraId="649AF3F2">
            <w:pPr>
              <w:pStyle w:val="11"/>
            </w:pPr>
            <w:r>
              <w:t>1</w:t>
            </w:r>
          </w:p>
        </w:tc>
        <w:tc>
          <w:tcPr>
            <w:tcW w:w="850" w:type="dxa"/>
            <w:vAlign w:val="center"/>
          </w:tcPr>
          <w:p w14:paraId="6A52D401">
            <w:pPr>
              <w:pStyle w:val="11"/>
            </w:pPr>
            <w:r>
              <w:t>2.50</w:t>
            </w:r>
          </w:p>
        </w:tc>
        <w:tc>
          <w:tcPr>
            <w:tcW w:w="964" w:type="dxa"/>
            <w:vAlign w:val="center"/>
          </w:tcPr>
          <w:p w14:paraId="31F37B00">
            <w:pPr>
              <w:pStyle w:val="11"/>
            </w:pPr>
            <w:r>
              <w:t>2.50</w:t>
            </w:r>
          </w:p>
        </w:tc>
        <w:tc>
          <w:tcPr>
            <w:tcW w:w="964" w:type="dxa"/>
            <w:vAlign w:val="center"/>
          </w:tcPr>
          <w:p w14:paraId="3D212948">
            <w:pPr>
              <w:pStyle w:val="11"/>
            </w:pPr>
            <w:r>
              <w:t>2.50</w:t>
            </w:r>
          </w:p>
        </w:tc>
        <w:tc>
          <w:tcPr>
            <w:tcW w:w="964" w:type="dxa"/>
            <w:vAlign w:val="center"/>
          </w:tcPr>
          <w:p w14:paraId="3A6DF4A7">
            <w:pPr>
              <w:pStyle w:val="11"/>
            </w:pPr>
          </w:p>
        </w:tc>
        <w:tc>
          <w:tcPr>
            <w:tcW w:w="964" w:type="dxa"/>
            <w:vAlign w:val="center"/>
          </w:tcPr>
          <w:p w14:paraId="4B1FD389">
            <w:pPr>
              <w:pStyle w:val="11"/>
            </w:pPr>
          </w:p>
        </w:tc>
        <w:tc>
          <w:tcPr>
            <w:tcW w:w="964" w:type="dxa"/>
            <w:vAlign w:val="center"/>
          </w:tcPr>
          <w:p w14:paraId="4B6378D7">
            <w:pPr>
              <w:pStyle w:val="11"/>
            </w:pPr>
          </w:p>
        </w:tc>
        <w:tc>
          <w:tcPr>
            <w:tcW w:w="964" w:type="dxa"/>
            <w:vAlign w:val="center"/>
          </w:tcPr>
          <w:p w14:paraId="10910DA6">
            <w:pPr>
              <w:pStyle w:val="11"/>
            </w:pPr>
          </w:p>
        </w:tc>
        <w:tc>
          <w:tcPr>
            <w:tcW w:w="964" w:type="dxa"/>
            <w:vAlign w:val="center"/>
          </w:tcPr>
          <w:p w14:paraId="4B175842">
            <w:pPr>
              <w:pStyle w:val="11"/>
            </w:pPr>
          </w:p>
        </w:tc>
        <w:tc>
          <w:tcPr>
            <w:tcW w:w="964" w:type="dxa"/>
            <w:vAlign w:val="center"/>
          </w:tcPr>
          <w:p w14:paraId="0F272CD0">
            <w:pPr>
              <w:pStyle w:val="11"/>
            </w:pPr>
          </w:p>
        </w:tc>
        <w:tc>
          <w:tcPr>
            <w:tcW w:w="964" w:type="dxa"/>
            <w:vAlign w:val="center"/>
          </w:tcPr>
          <w:p w14:paraId="0FE1FC3F">
            <w:pPr>
              <w:pStyle w:val="11"/>
            </w:pPr>
            <w:r>
              <w:t>2.50</w:t>
            </w:r>
          </w:p>
        </w:tc>
      </w:tr>
    </w:tbl>
    <w:p w14:paraId="6336E7E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BA3E76">
      <w:pPr>
        <w:spacing w:before="0" w:after="0"/>
        <w:ind w:firstLine="640"/>
        <w:jc w:val="left"/>
        <w:outlineLvl w:val="9"/>
      </w:pPr>
      <w:r>
        <w:rPr>
          <w:rFonts w:ascii="Times New Roman" w:hAnsi="Times New Roman" w:eastAsia="方正仿宋_GBK" w:cs="Times New Roman"/>
          <w:color w:val="000000"/>
          <w:sz w:val="32"/>
        </w:rPr>
        <w:t xml:space="preserve"> </w:t>
      </w:r>
    </w:p>
    <w:p w14:paraId="60112FAC">
      <w:pPr>
        <w:spacing w:before="10" w:after="10" w:line="240" w:lineRule="auto"/>
        <w:ind w:firstLine="640"/>
        <w:jc w:val="left"/>
        <w:outlineLvl w:val="5"/>
      </w:pPr>
      <w:r>
        <w:rPr>
          <w:rFonts w:ascii="黑体" w:hAnsi="黑体" w:eastAsia="黑体" w:cs="黑体"/>
          <w:color w:val="000000"/>
          <w:sz w:val="32"/>
        </w:rPr>
        <w:t>七、国有资产信息</w:t>
      </w:r>
    </w:p>
    <w:p w14:paraId="6FE3DB69">
      <w:pPr>
        <w:spacing w:before="0" w:after="0" w:line="500" w:lineRule="exact"/>
        <w:ind w:firstLine="560"/>
        <w:jc w:val="left"/>
        <w:outlineLvl w:val="9"/>
      </w:pPr>
      <w:r>
        <w:rPr>
          <w:rFonts w:ascii="Times New Roman" w:hAnsi="Times New Roman" w:eastAsia="方正仿宋_GBK" w:cs="Times New Roman"/>
          <w:b w:val="0"/>
          <w:color w:val="000000"/>
          <w:sz w:val="28"/>
        </w:rPr>
        <w:t>隆尧县第五实验小学上年末固定资产金额为5716.00万元（详见下表）。本年度拟购置固定资产总额为15.80万元，已按要求列入政府采购预算，详见政府采购预算表。</w:t>
      </w:r>
    </w:p>
    <w:p w14:paraId="73E04DC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67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E46700">
            <w:pPr>
              <w:pStyle w:val="9"/>
            </w:pPr>
            <w:r>
              <w:t>360038隆尧县第五实验小学</w:t>
            </w:r>
          </w:p>
        </w:tc>
        <w:tc>
          <w:tcPr>
            <w:tcW w:w="5670" w:type="dxa"/>
            <w:gridSpan w:val="2"/>
            <w:tcBorders>
              <w:top w:val="single" w:color="FFFFFF" w:sz="6" w:space="0"/>
              <w:left w:val="single" w:color="FFFFFF" w:sz="6" w:space="0"/>
              <w:right w:val="single" w:color="FFFFFF" w:sz="6" w:space="0"/>
            </w:tcBorders>
            <w:vAlign w:val="center"/>
          </w:tcPr>
          <w:p w14:paraId="5819657B">
            <w:pPr>
              <w:pStyle w:val="7"/>
            </w:pPr>
            <w:r>
              <w:t>截止时间：2025-12-31</w:t>
            </w:r>
          </w:p>
        </w:tc>
      </w:tr>
      <w:tr w14:paraId="3B2C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1E4AA5">
            <w:pPr>
              <w:pStyle w:val="10"/>
            </w:pPr>
            <w:r>
              <w:t>项   目</w:t>
            </w:r>
          </w:p>
        </w:tc>
        <w:tc>
          <w:tcPr>
            <w:tcW w:w="2835" w:type="dxa"/>
            <w:vAlign w:val="center"/>
          </w:tcPr>
          <w:p w14:paraId="28AB4493">
            <w:pPr>
              <w:pStyle w:val="10"/>
            </w:pPr>
            <w:r>
              <w:t>数量</w:t>
            </w:r>
          </w:p>
        </w:tc>
        <w:tc>
          <w:tcPr>
            <w:tcW w:w="2835" w:type="dxa"/>
            <w:vAlign w:val="center"/>
          </w:tcPr>
          <w:p w14:paraId="259DA3B8">
            <w:pPr>
              <w:pStyle w:val="10"/>
            </w:pPr>
            <w:r>
              <w:t>价值（金额单位：万元）</w:t>
            </w:r>
          </w:p>
        </w:tc>
      </w:tr>
      <w:tr w14:paraId="639B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3F5407">
            <w:pPr>
              <w:pStyle w:val="12"/>
            </w:pPr>
            <w:r>
              <w:t>资产总额</w:t>
            </w:r>
          </w:p>
        </w:tc>
        <w:tc>
          <w:tcPr>
            <w:tcW w:w="2835" w:type="dxa"/>
            <w:vAlign w:val="center"/>
          </w:tcPr>
          <w:p w14:paraId="0A4F651A">
            <w:pPr>
              <w:pStyle w:val="13"/>
            </w:pPr>
          </w:p>
        </w:tc>
        <w:tc>
          <w:tcPr>
            <w:tcW w:w="2835" w:type="dxa"/>
            <w:vAlign w:val="center"/>
          </w:tcPr>
          <w:p w14:paraId="27F655F9">
            <w:pPr>
              <w:pStyle w:val="11"/>
            </w:pPr>
            <w:r>
              <w:t>5716.00</w:t>
            </w:r>
          </w:p>
        </w:tc>
      </w:tr>
      <w:tr w14:paraId="527C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516159">
            <w:pPr>
              <w:pStyle w:val="12"/>
            </w:pPr>
            <w:r>
              <w:t>1、房屋（平方米）</w:t>
            </w:r>
          </w:p>
        </w:tc>
        <w:tc>
          <w:tcPr>
            <w:tcW w:w="2835" w:type="dxa"/>
            <w:vAlign w:val="center"/>
          </w:tcPr>
          <w:p w14:paraId="7D69DDA2">
            <w:pPr>
              <w:pStyle w:val="13"/>
            </w:pPr>
            <w:r>
              <w:t>12281</w:t>
            </w:r>
          </w:p>
        </w:tc>
        <w:tc>
          <w:tcPr>
            <w:tcW w:w="2835" w:type="dxa"/>
            <w:vAlign w:val="center"/>
          </w:tcPr>
          <w:p w14:paraId="32BAA754">
            <w:pPr>
              <w:pStyle w:val="11"/>
            </w:pPr>
            <w:r>
              <w:t>5552.04</w:t>
            </w:r>
          </w:p>
        </w:tc>
      </w:tr>
      <w:tr w14:paraId="2EB5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6E04D1">
            <w:pPr>
              <w:pStyle w:val="12"/>
            </w:pPr>
            <w:r>
              <w:t>　　其中：办公用房（平方米）</w:t>
            </w:r>
          </w:p>
        </w:tc>
        <w:tc>
          <w:tcPr>
            <w:tcW w:w="2835" w:type="dxa"/>
            <w:vAlign w:val="center"/>
          </w:tcPr>
          <w:p w14:paraId="116A55F9">
            <w:pPr>
              <w:pStyle w:val="13"/>
            </w:pPr>
            <w:r>
              <w:t>1600</w:t>
            </w:r>
          </w:p>
        </w:tc>
        <w:tc>
          <w:tcPr>
            <w:tcW w:w="2835" w:type="dxa"/>
            <w:vAlign w:val="center"/>
          </w:tcPr>
          <w:p w14:paraId="23F6D7B6">
            <w:pPr>
              <w:pStyle w:val="11"/>
            </w:pPr>
            <w:r>
              <w:t>723.33</w:t>
            </w:r>
          </w:p>
        </w:tc>
      </w:tr>
      <w:tr w14:paraId="4988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D6541">
            <w:pPr>
              <w:pStyle w:val="12"/>
            </w:pPr>
            <w:r>
              <w:t>2、车辆（台、辆）</w:t>
            </w:r>
          </w:p>
        </w:tc>
        <w:tc>
          <w:tcPr>
            <w:tcW w:w="2835" w:type="dxa"/>
            <w:vAlign w:val="center"/>
          </w:tcPr>
          <w:p w14:paraId="23E5EE79">
            <w:pPr>
              <w:pStyle w:val="13"/>
            </w:pPr>
          </w:p>
        </w:tc>
        <w:tc>
          <w:tcPr>
            <w:tcW w:w="2835" w:type="dxa"/>
            <w:vAlign w:val="center"/>
          </w:tcPr>
          <w:p w14:paraId="2B4F4ED3">
            <w:pPr>
              <w:pStyle w:val="11"/>
            </w:pPr>
          </w:p>
        </w:tc>
      </w:tr>
      <w:tr w14:paraId="71D8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3F12A5">
            <w:pPr>
              <w:pStyle w:val="12"/>
            </w:pPr>
            <w:r>
              <w:t>3、单价在20万元以上的设备</w:t>
            </w:r>
          </w:p>
        </w:tc>
        <w:tc>
          <w:tcPr>
            <w:tcW w:w="2835" w:type="dxa"/>
            <w:vAlign w:val="center"/>
          </w:tcPr>
          <w:p w14:paraId="57BFC1AE">
            <w:pPr>
              <w:pStyle w:val="13"/>
            </w:pPr>
            <w:r>
              <w:t>1</w:t>
            </w:r>
          </w:p>
        </w:tc>
        <w:tc>
          <w:tcPr>
            <w:tcW w:w="2835" w:type="dxa"/>
            <w:vAlign w:val="center"/>
          </w:tcPr>
          <w:p w14:paraId="59ABA189">
            <w:pPr>
              <w:pStyle w:val="11"/>
            </w:pPr>
            <w:r>
              <w:t>89.99</w:t>
            </w:r>
          </w:p>
        </w:tc>
      </w:tr>
      <w:tr w14:paraId="494A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9E35D4">
            <w:pPr>
              <w:pStyle w:val="12"/>
            </w:pPr>
            <w:r>
              <w:t>4、其他固定资产</w:t>
            </w:r>
          </w:p>
        </w:tc>
        <w:tc>
          <w:tcPr>
            <w:tcW w:w="2835" w:type="dxa"/>
            <w:vAlign w:val="center"/>
          </w:tcPr>
          <w:p w14:paraId="238A49EE">
            <w:pPr>
              <w:pStyle w:val="13"/>
            </w:pPr>
            <w:r>
              <w:t>755</w:t>
            </w:r>
          </w:p>
        </w:tc>
        <w:tc>
          <w:tcPr>
            <w:tcW w:w="2835" w:type="dxa"/>
            <w:vAlign w:val="center"/>
          </w:tcPr>
          <w:p w14:paraId="79911FA8">
            <w:pPr>
              <w:pStyle w:val="11"/>
            </w:pPr>
            <w:r>
              <w:t>73.97</w:t>
            </w:r>
          </w:p>
        </w:tc>
      </w:tr>
    </w:tbl>
    <w:p w14:paraId="334B5CD9">
      <w:pPr>
        <w:spacing w:before="0" w:after="0"/>
        <w:ind w:firstLine="640"/>
        <w:jc w:val="left"/>
        <w:outlineLvl w:val="9"/>
      </w:pPr>
      <w:r>
        <w:rPr>
          <w:rFonts w:ascii="Times New Roman" w:hAnsi="Times New Roman" w:eastAsia="方正仿宋_GBK" w:cs="Times New Roman"/>
          <w:color w:val="000000"/>
          <w:sz w:val="32"/>
        </w:rPr>
        <w:t xml:space="preserve"> </w:t>
      </w:r>
    </w:p>
    <w:p w14:paraId="4D874C85">
      <w:pPr>
        <w:spacing w:before="10" w:after="10" w:line="240" w:lineRule="auto"/>
        <w:ind w:firstLine="640"/>
        <w:jc w:val="left"/>
        <w:outlineLvl w:val="5"/>
      </w:pPr>
      <w:r>
        <w:rPr>
          <w:rFonts w:ascii="黑体" w:hAnsi="黑体" w:eastAsia="黑体" w:cs="黑体"/>
          <w:color w:val="000000"/>
          <w:sz w:val="32"/>
        </w:rPr>
        <w:t>八、名词解释</w:t>
      </w:r>
    </w:p>
    <w:p w14:paraId="0DA3AEF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56C0E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4FFE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7ED6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49EF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0FB45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242A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F776C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FF6A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B8EDB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907579">
      <w:pPr>
        <w:spacing w:before="10" w:after="10" w:line="240" w:lineRule="auto"/>
        <w:ind w:firstLine="640"/>
        <w:jc w:val="left"/>
        <w:outlineLvl w:val="5"/>
      </w:pPr>
      <w:r>
        <w:rPr>
          <w:rFonts w:ascii="黑体" w:hAnsi="黑体" w:eastAsia="黑体" w:cs="黑体"/>
          <w:color w:val="000000"/>
          <w:sz w:val="32"/>
        </w:rPr>
        <w:t>九、其他需要说明的事项</w:t>
      </w:r>
    </w:p>
    <w:p w14:paraId="3CBAEE8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575AC87">
      <w:pPr>
        <w:spacing w:before="0" w:after="0"/>
        <w:ind w:firstLine="0"/>
        <w:jc w:val="center"/>
        <w:outlineLvl w:val="3"/>
      </w:pPr>
      <w:bookmarkStart w:id="37" w:name="_Toc_4_4_0000000038"/>
      <w:r>
        <w:rPr>
          <w:rFonts w:ascii="方正小标宋_GBK" w:hAnsi="方正小标宋_GBK" w:eastAsia="方正小标宋_GBK" w:cs="方正小标宋_GBK"/>
          <w:b w:val="0"/>
          <w:color w:val="000000"/>
          <w:sz w:val="44"/>
        </w:rPr>
        <w:t>三十八、隆尧县唐尧街小学收支预算</w:t>
      </w:r>
      <w:bookmarkEnd w:id="37"/>
    </w:p>
    <w:p w14:paraId="092F01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0D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A28445">
            <w:pPr>
              <w:pStyle w:val="9"/>
            </w:pPr>
            <w:r>
              <w:t>360039隆尧县唐尧街小学</w:t>
            </w:r>
          </w:p>
        </w:tc>
        <w:tc>
          <w:tcPr>
            <w:tcW w:w="2126" w:type="dxa"/>
            <w:tcBorders>
              <w:top w:val="single" w:color="FFFFFF" w:sz="6" w:space="0"/>
              <w:left w:val="single" w:color="FFFFFF" w:sz="6" w:space="0"/>
              <w:right w:val="single" w:color="FFFFFF" w:sz="6" w:space="0"/>
            </w:tcBorders>
            <w:vAlign w:val="center"/>
          </w:tcPr>
          <w:p w14:paraId="775BEC0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2BB61C3">
            <w:pPr>
              <w:pStyle w:val="7"/>
            </w:pPr>
            <w:r>
              <w:t>单位：万元</w:t>
            </w:r>
          </w:p>
        </w:tc>
      </w:tr>
      <w:tr w14:paraId="1B72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C9F31">
            <w:pPr>
              <w:pStyle w:val="10"/>
            </w:pPr>
            <w:r>
              <w:t>序号</w:t>
            </w:r>
          </w:p>
        </w:tc>
        <w:tc>
          <w:tcPr>
            <w:tcW w:w="6661" w:type="dxa"/>
            <w:gridSpan w:val="2"/>
            <w:vAlign w:val="center"/>
          </w:tcPr>
          <w:p w14:paraId="5C5DF873">
            <w:pPr>
              <w:pStyle w:val="10"/>
            </w:pPr>
            <w:r>
              <w:t>收入</w:t>
            </w:r>
          </w:p>
        </w:tc>
        <w:tc>
          <w:tcPr>
            <w:tcW w:w="6661" w:type="dxa"/>
            <w:gridSpan w:val="2"/>
            <w:vAlign w:val="center"/>
          </w:tcPr>
          <w:p w14:paraId="581CC658">
            <w:pPr>
              <w:pStyle w:val="10"/>
            </w:pPr>
            <w:r>
              <w:t>支出</w:t>
            </w:r>
          </w:p>
        </w:tc>
      </w:tr>
      <w:tr w14:paraId="6BD7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540976"/>
        </w:tc>
        <w:tc>
          <w:tcPr>
            <w:tcW w:w="4535" w:type="dxa"/>
            <w:vAlign w:val="center"/>
          </w:tcPr>
          <w:p w14:paraId="2283E9F3">
            <w:pPr>
              <w:pStyle w:val="10"/>
            </w:pPr>
            <w:r>
              <w:t>项  目</w:t>
            </w:r>
          </w:p>
        </w:tc>
        <w:tc>
          <w:tcPr>
            <w:tcW w:w="2126" w:type="dxa"/>
            <w:vAlign w:val="center"/>
          </w:tcPr>
          <w:p w14:paraId="2F804FBD">
            <w:pPr>
              <w:pStyle w:val="10"/>
            </w:pPr>
            <w:r>
              <w:t>预算数</w:t>
            </w:r>
          </w:p>
        </w:tc>
        <w:tc>
          <w:tcPr>
            <w:tcW w:w="4535" w:type="dxa"/>
            <w:vAlign w:val="center"/>
          </w:tcPr>
          <w:p w14:paraId="693FE04A">
            <w:pPr>
              <w:pStyle w:val="10"/>
            </w:pPr>
            <w:r>
              <w:t>项  目</w:t>
            </w:r>
          </w:p>
        </w:tc>
        <w:tc>
          <w:tcPr>
            <w:tcW w:w="2126" w:type="dxa"/>
            <w:vAlign w:val="center"/>
          </w:tcPr>
          <w:p w14:paraId="309D54B7">
            <w:pPr>
              <w:pStyle w:val="10"/>
            </w:pPr>
            <w:r>
              <w:t>预算数</w:t>
            </w:r>
          </w:p>
        </w:tc>
      </w:tr>
      <w:tr w14:paraId="7640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7E5D86">
            <w:pPr>
              <w:pStyle w:val="10"/>
            </w:pPr>
            <w:r>
              <w:t>栏次</w:t>
            </w:r>
          </w:p>
        </w:tc>
        <w:tc>
          <w:tcPr>
            <w:tcW w:w="4535" w:type="dxa"/>
            <w:vAlign w:val="center"/>
          </w:tcPr>
          <w:p w14:paraId="5CFD33E5">
            <w:pPr>
              <w:pStyle w:val="10"/>
            </w:pPr>
            <w:r>
              <w:t>1</w:t>
            </w:r>
          </w:p>
        </w:tc>
        <w:tc>
          <w:tcPr>
            <w:tcW w:w="2126" w:type="dxa"/>
            <w:vAlign w:val="center"/>
          </w:tcPr>
          <w:p w14:paraId="0526D094">
            <w:pPr>
              <w:pStyle w:val="10"/>
            </w:pPr>
            <w:r>
              <w:t>2</w:t>
            </w:r>
          </w:p>
        </w:tc>
        <w:tc>
          <w:tcPr>
            <w:tcW w:w="4535" w:type="dxa"/>
            <w:vAlign w:val="center"/>
          </w:tcPr>
          <w:p w14:paraId="594C8182">
            <w:pPr>
              <w:pStyle w:val="10"/>
            </w:pPr>
            <w:r>
              <w:t>3</w:t>
            </w:r>
          </w:p>
        </w:tc>
        <w:tc>
          <w:tcPr>
            <w:tcW w:w="2126" w:type="dxa"/>
            <w:vAlign w:val="center"/>
          </w:tcPr>
          <w:p w14:paraId="13A2523C">
            <w:pPr>
              <w:pStyle w:val="10"/>
            </w:pPr>
            <w:r>
              <w:t>4</w:t>
            </w:r>
          </w:p>
        </w:tc>
      </w:tr>
      <w:tr w14:paraId="37FE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37CE">
            <w:pPr>
              <w:pStyle w:val="13"/>
            </w:pPr>
            <w:r>
              <w:t>1</w:t>
            </w:r>
          </w:p>
        </w:tc>
        <w:tc>
          <w:tcPr>
            <w:tcW w:w="4535" w:type="dxa"/>
            <w:vAlign w:val="center"/>
          </w:tcPr>
          <w:p w14:paraId="69EB60C5">
            <w:pPr>
              <w:pStyle w:val="12"/>
            </w:pPr>
            <w:r>
              <w:t>一、一般公共预算拨款收入</w:t>
            </w:r>
          </w:p>
        </w:tc>
        <w:tc>
          <w:tcPr>
            <w:tcW w:w="2126" w:type="dxa"/>
            <w:vAlign w:val="center"/>
          </w:tcPr>
          <w:p w14:paraId="7D187D81">
            <w:pPr>
              <w:pStyle w:val="11"/>
            </w:pPr>
            <w:r>
              <w:t>834.13</w:t>
            </w:r>
          </w:p>
        </w:tc>
        <w:tc>
          <w:tcPr>
            <w:tcW w:w="4535" w:type="dxa"/>
            <w:vAlign w:val="center"/>
          </w:tcPr>
          <w:p w14:paraId="6B0D7FCE">
            <w:pPr>
              <w:pStyle w:val="12"/>
            </w:pPr>
            <w:r>
              <w:t>一、一般公共服务支出</w:t>
            </w:r>
          </w:p>
        </w:tc>
        <w:tc>
          <w:tcPr>
            <w:tcW w:w="2126" w:type="dxa"/>
            <w:vAlign w:val="center"/>
          </w:tcPr>
          <w:p w14:paraId="4AA14473">
            <w:pPr>
              <w:pStyle w:val="11"/>
            </w:pPr>
          </w:p>
        </w:tc>
      </w:tr>
      <w:tr w14:paraId="41D6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B4105">
            <w:pPr>
              <w:pStyle w:val="13"/>
            </w:pPr>
            <w:r>
              <w:t>2</w:t>
            </w:r>
          </w:p>
        </w:tc>
        <w:tc>
          <w:tcPr>
            <w:tcW w:w="4535" w:type="dxa"/>
            <w:vAlign w:val="center"/>
          </w:tcPr>
          <w:p w14:paraId="644AE9D0">
            <w:pPr>
              <w:pStyle w:val="12"/>
            </w:pPr>
            <w:r>
              <w:t>二、政府性基金预算拨款收入</w:t>
            </w:r>
          </w:p>
        </w:tc>
        <w:tc>
          <w:tcPr>
            <w:tcW w:w="2126" w:type="dxa"/>
            <w:vAlign w:val="center"/>
          </w:tcPr>
          <w:p w14:paraId="248025D8">
            <w:pPr>
              <w:pStyle w:val="11"/>
            </w:pPr>
          </w:p>
        </w:tc>
        <w:tc>
          <w:tcPr>
            <w:tcW w:w="4535" w:type="dxa"/>
            <w:vAlign w:val="center"/>
          </w:tcPr>
          <w:p w14:paraId="3A4596C8">
            <w:pPr>
              <w:pStyle w:val="12"/>
            </w:pPr>
            <w:r>
              <w:t>二、外交支出</w:t>
            </w:r>
          </w:p>
        </w:tc>
        <w:tc>
          <w:tcPr>
            <w:tcW w:w="2126" w:type="dxa"/>
            <w:vAlign w:val="center"/>
          </w:tcPr>
          <w:p w14:paraId="10B49C7E">
            <w:pPr>
              <w:pStyle w:val="11"/>
            </w:pPr>
          </w:p>
        </w:tc>
      </w:tr>
      <w:tr w14:paraId="7F7A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BC99">
            <w:pPr>
              <w:pStyle w:val="13"/>
            </w:pPr>
            <w:r>
              <w:t>3</w:t>
            </w:r>
          </w:p>
        </w:tc>
        <w:tc>
          <w:tcPr>
            <w:tcW w:w="4535" w:type="dxa"/>
            <w:vAlign w:val="center"/>
          </w:tcPr>
          <w:p w14:paraId="032C1A45">
            <w:pPr>
              <w:pStyle w:val="12"/>
            </w:pPr>
            <w:r>
              <w:t>三、国有资本经营预算拨款收入</w:t>
            </w:r>
          </w:p>
        </w:tc>
        <w:tc>
          <w:tcPr>
            <w:tcW w:w="2126" w:type="dxa"/>
            <w:vAlign w:val="center"/>
          </w:tcPr>
          <w:p w14:paraId="6F532389">
            <w:pPr>
              <w:pStyle w:val="11"/>
            </w:pPr>
          </w:p>
        </w:tc>
        <w:tc>
          <w:tcPr>
            <w:tcW w:w="4535" w:type="dxa"/>
            <w:vAlign w:val="center"/>
          </w:tcPr>
          <w:p w14:paraId="032875A3">
            <w:pPr>
              <w:pStyle w:val="12"/>
            </w:pPr>
            <w:r>
              <w:t>三、国防支出</w:t>
            </w:r>
          </w:p>
        </w:tc>
        <w:tc>
          <w:tcPr>
            <w:tcW w:w="2126" w:type="dxa"/>
            <w:vAlign w:val="center"/>
          </w:tcPr>
          <w:p w14:paraId="7FBE9269">
            <w:pPr>
              <w:pStyle w:val="11"/>
            </w:pPr>
          </w:p>
        </w:tc>
      </w:tr>
      <w:tr w14:paraId="0F56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CCE44">
            <w:pPr>
              <w:pStyle w:val="13"/>
            </w:pPr>
            <w:r>
              <w:t>4</w:t>
            </w:r>
          </w:p>
        </w:tc>
        <w:tc>
          <w:tcPr>
            <w:tcW w:w="4535" w:type="dxa"/>
            <w:vAlign w:val="center"/>
          </w:tcPr>
          <w:p w14:paraId="7C1C0756">
            <w:pPr>
              <w:pStyle w:val="12"/>
            </w:pPr>
            <w:r>
              <w:t>四、财政专户管理资金收入</w:t>
            </w:r>
          </w:p>
        </w:tc>
        <w:tc>
          <w:tcPr>
            <w:tcW w:w="2126" w:type="dxa"/>
            <w:vAlign w:val="center"/>
          </w:tcPr>
          <w:p w14:paraId="52DE30B4">
            <w:pPr>
              <w:pStyle w:val="11"/>
            </w:pPr>
          </w:p>
        </w:tc>
        <w:tc>
          <w:tcPr>
            <w:tcW w:w="4535" w:type="dxa"/>
            <w:vAlign w:val="center"/>
          </w:tcPr>
          <w:p w14:paraId="25BBA985">
            <w:pPr>
              <w:pStyle w:val="12"/>
            </w:pPr>
            <w:r>
              <w:t>四、公共安全支出</w:t>
            </w:r>
          </w:p>
        </w:tc>
        <w:tc>
          <w:tcPr>
            <w:tcW w:w="2126" w:type="dxa"/>
            <w:vAlign w:val="center"/>
          </w:tcPr>
          <w:p w14:paraId="422C5F91">
            <w:pPr>
              <w:pStyle w:val="11"/>
            </w:pPr>
          </w:p>
        </w:tc>
      </w:tr>
      <w:tr w14:paraId="02364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C2992">
            <w:pPr>
              <w:pStyle w:val="13"/>
            </w:pPr>
            <w:r>
              <w:t>5</w:t>
            </w:r>
          </w:p>
        </w:tc>
        <w:tc>
          <w:tcPr>
            <w:tcW w:w="4535" w:type="dxa"/>
            <w:vAlign w:val="center"/>
          </w:tcPr>
          <w:p w14:paraId="34409A2A">
            <w:pPr>
              <w:pStyle w:val="12"/>
            </w:pPr>
            <w:r>
              <w:t>五、单位资金</w:t>
            </w:r>
          </w:p>
        </w:tc>
        <w:tc>
          <w:tcPr>
            <w:tcW w:w="2126" w:type="dxa"/>
            <w:vAlign w:val="center"/>
          </w:tcPr>
          <w:p w14:paraId="663D5FC7">
            <w:pPr>
              <w:pStyle w:val="11"/>
            </w:pPr>
          </w:p>
        </w:tc>
        <w:tc>
          <w:tcPr>
            <w:tcW w:w="4535" w:type="dxa"/>
            <w:vAlign w:val="center"/>
          </w:tcPr>
          <w:p w14:paraId="0ECB04BF">
            <w:pPr>
              <w:pStyle w:val="12"/>
            </w:pPr>
            <w:r>
              <w:t>五、教育支出</w:t>
            </w:r>
          </w:p>
        </w:tc>
        <w:tc>
          <w:tcPr>
            <w:tcW w:w="2126" w:type="dxa"/>
            <w:vAlign w:val="center"/>
          </w:tcPr>
          <w:p w14:paraId="2FFF3169">
            <w:pPr>
              <w:pStyle w:val="11"/>
            </w:pPr>
            <w:r>
              <w:t>834.13</w:t>
            </w:r>
          </w:p>
        </w:tc>
      </w:tr>
      <w:tr w14:paraId="1E5D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585C">
            <w:pPr>
              <w:pStyle w:val="13"/>
            </w:pPr>
            <w:r>
              <w:t>6</w:t>
            </w:r>
          </w:p>
        </w:tc>
        <w:tc>
          <w:tcPr>
            <w:tcW w:w="4535" w:type="dxa"/>
            <w:vAlign w:val="center"/>
          </w:tcPr>
          <w:p w14:paraId="5A0B8EDE">
            <w:pPr>
              <w:pStyle w:val="12"/>
            </w:pPr>
          </w:p>
        </w:tc>
        <w:tc>
          <w:tcPr>
            <w:tcW w:w="2126" w:type="dxa"/>
            <w:vAlign w:val="center"/>
          </w:tcPr>
          <w:p w14:paraId="7CB18D9E">
            <w:pPr>
              <w:pStyle w:val="11"/>
            </w:pPr>
          </w:p>
        </w:tc>
        <w:tc>
          <w:tcPr>
            <w:tcW w:w="4535" w:type="dxa"/>
            <w:vAlign w:val="center"/>
          </w:tcPr>
          <w:p w14:paraId="4DF1A81E">
            <w:pPr>
              <w:pStyle w:val="12"/>
            </w:pPr>
            <w:r>
              <w:t>六、科学技术支出</w:t>
            </w:r>
          </w:p>
        </w:tc>
        <w:tc>
          <w:tcPr>
            <w:tcW w:w="2126" w:type="dxa"/>
            <w:vAlign w:val="center"/>
          </w:tcPr>
          <w:p w14:paraId="15B19941">
            <w:pPr>
              <w:pStyle w:val="11"/>
            </w:pPr>
          </w:p>
        </w:tc>
      </w:tr>
      <w:tr w14:paraId="4FAF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A45D">
            <w:pPr>
              <w:pStyle w:val="13"/>
            </w:pPr>
            <w:r>
              <w:t>7</w:t>
            </w:r>
          </w:p>
        </w:tc>
        <w:tc>
          <w:tcPr>
            <w:tcW w:w="4535" w:type="dxa"/>
            <w:vAlign w:val="center"/>
          </w:tcPr>
          <w:p w14:paraId="5F9CF9AE">
            <w:pPr>
              <w:pStyle w:val="12"/>
            </w:pPr>
          </w:p>
        </w:tc>
        <w:tc>
          <w:tcPr>
            <w:tcW w:w="2126" w:type="dxa"/>
            <w:vAlign w:val="center"/>
          </w:tcPr>
          <w:p w14:paraId="3D08FFF0">
            <w:pPr>
              <w:pStyle w:val="11"/>
            </w:pPr>
          </w:p>
        </w:tc>
        <w:tc>
          <w:tcPr>
            <w:tcW w:w="4535" w:type="dxa"/>
            <w:vAlign w:val="center"/>
          </w:tcPr>
          <w:p w14:paraId="2A2DBFAF">
            <w:pPr>
              <w:pStyle w:val="12"/>
            </w:pPr>
            <w:r>
              <w:t>七、文化旅游体育与传媒支出</w:t>
            </w:r>
          </w:p>
        </w:tc>
        <w:tc>
          <w:tcPr>
            <w:tcW w:w="2126" w:type="dxa"/>
            <w:vAlign w:val="center"/>
          </w:tcPr>
          <w:p w14:paraId="3C21B9D2">
            <w:pPr>
              <w:pStyle w:val="11"/>
            </w:pPr>
          </w:p>
        </w:tc>
      </w:tr>
      <w:tr w14:paraId="6DEA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7938">
            <w:pPr>
              <w:pStyle w:val="13"/>
            </w:pPr>
            <w:r>
              <w:t>8</w:t>
            </w:r>
          </w:p>
        </w:tc>
        <w:tc>
          <w:tcPr>
            <w:tcW w:w="4535" w:type="dxa"/>
            <w:vAlign w:val="center"/>
          </w:tcPr>
          <w:p w14:paraId="789EED95">
            <w:pPr>
              <w:pStyle w:val="12"/>
            </w:pPr>
          </w:p>
        </w:tc>
        <w:tc>
          <w:tcPr>
            <w:tcW w:w="2126" w:type="dxa"/>
            <w:vAlign w:val="center"/>
          </w:tcPr>
          <w:p w14:paraId="7D573D6F">
            <w:pPr>
              <w:pStyle w:val="11"/>
            </w:pPr>
          </w:p>
        </w:tc>
        <w:tc>
          <w:tcPr>
            <w:tcW w:w="4535" w:type="dxa"/>
            <w:vAlign w:val="center"/>
          </w:tcPr>
          <w:p w14:paraId="00ACACB3">
            <w:pPr>
              <w:pStyle w:val="12"/>
            </w:pPr>
            <w:r>
              <w:t>八、社会保障和就业支出</w:t>
            </w:r>
          </w:p>
        </w:tc>
        <w:tc>
          <w:tcPr>
            <w:tcW w:w="2126" w:type="dxa"/>
            <w:vAlign w:val="center"/>
          </w:tcPr>
          <w:p w14:paraId="68B79412">
            <w:pPr>
              <w:pStyle w:val="11"/>
            </w:pPr>
          </w:p>
        </w:tc>
      </w:tr>
      <w:tr w14:paraId="5C7E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0E37">
            <w:pPr>
              <w:pStyle w:val="13"/>
            </w:pPr>
            <w:r>
              <w:t>9</w:t>
            </w:r>
          </w:p>
        </w:tc>
        <w:tc>
          <w:tcPr>
            <w:tcW w:w="4535" w:type="dxa"/>
            <w:vAlign w:val="center"/>
          </w:tcPr>
          <w:p w14:paraId="2EBD17E1">
            <w:pPr>
              <w:pStyle w:val="12"/>
            </w:pPr>
          </w:p>
        </w:tc>
        <w:tc>
          <w:tcPr>
            <w:tcW w:w="2126" w:type="dxa"/>
            <w:vAlign w:val="center"/>
          </w:tcPr>
          <w:p w14:paraId="00DCCAC5">
            <w:pPr>
              <w:pStyle w:val="11"/>
            </w:pPr>
          </w:p>
        </w:tc>
        <w:tc>
          <w:tcPr>
            <w:tcW w:w="4535" w:type="dxa"/>
            <w:vAlign w:val="center"/>
          </w:tcPr>
          <w:p w14:paraId="1D0DFFE6">
            <w:pPr>
              <w:pStyle w:val="12"/>
            </w:pPr>
            <w:r>
              <w:t>九、社会保险基金支出</w:t>
            </w:r>
          </w:p>
        </w:tc>
        <w:tc>
          <w:tcPr>
            <w:tcW w:w="2126" w:type="dxa"/>
            <w:vAlign w:val="center"/>
          </w:tcPr>
          <w:p w14:paraId="7A8D779C">
            <w:pPr>
              <w:pStyle w:val="11"/>
            </w:pPr>
          </w:p>
        </w:tc>
      </w:tr>
      <w:tr w14:paraId="447E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8320C">
            <w:pPr>
              <w:pStyle w:val="13"/>
            </w:pPr>
            <w:r>
              <w:t>10</w:t>
            </w:r>
          </w:p>
        </w:tc>
        <w:tc>
          <w:tcPr>
            <w:tcW w:w="4535" w:type="dxa"/>
            <w:vAlign w:val="center"/>
          </w:tcPr>
          <w:p w14:paraId="50C76AF3">
            <w:pPr>
              <w:pStyle w:val="12"/>
            </w:pPr>
          </w:p>
        </w:tc>
        <w:tc>
          <w:tcPr>
            <w:tcW w:w="2126" w:type="dxa"/>
            <w:vAlign w:val="center"/>
          </w:tcPr>
          <w:p w14:paraId="15815EE1">
            <w:pPr>
              <w:pStyle w:val="11"/>
            </w:pPr>
          </w:p>
        </w:tc>
        <w:tc>
          <w:tcPr>
            <w:tcW w:w="4535" w:type="dxa"/>
            <w:vAlign w:val="center"/>
          </w:tcPr>
          <w:p w14:paraId="107D2B67">
            <w:pPr>
              <w:pStyle w:val="12"/>
            </w:pPr>
            <w:r>
              <w:t>十、卫生健康支出</w:t>
            </w:r>
          </w:p>
        </w:tc>
        <w:tc>
          <w:tcPr>
            <w:tcW w:w="2126" w:type="dxa"/>
            <w:vAlign w:val="center"/>
          </w:tcPr>
          <w:p w14:paraId="2C1492BC">
            <w:pPr>
              <w:pStyle w:val="11"/>
            </w:pPr>
          </w:p>
        </w:tc>
      </w:tr>
      <w:tr w14:paraId="72EE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59D40">
            <w:pPr>
              <w:pStyle w:val="13"/>
            </w:pPr>
            <w:r>
              <w:t>11</w:t>
            </w:r>
          </w:p>
        </w:tc>
        <w:tc>
          <w:tcPr>
            <w:tcW w:w="4535" w:type="dxa"/>
            <w:vAlign w:val="center"/>
          </w:tcPr>
          <w:p w14:paraId="506C29FC">
            <w:pPr>
              <w:pStyle w:val="12"/>
            </w:pPr>
          </w:p>
        </w:tc>
        <w:tc>
          <w:tcPr>
            <w:tcW w:w="2126" w:type="dxa"/>
            <w:vAlign w:val="center"/>
          </w:tcPr>
          <w:p w14:paraId="6082BF27">
            <w:pPr>
              <w:pStyle w:val="11"/>
            </w:pPr>
          </w:p>
        </w:tc>
        <w:tc>
          <w:tcPr>
            <w:tcW w:w="4535" w:type="dxa"/>
            <w:vAlign w:val="center"/>
          </w:tcPr>
          <w:p w14:paraId="35F846C1">
            <w:pPr>
              <w:pStyle w:val="12"/>
            </w:pPr>
            <w:r>
              <w:t>十一、节能环保支出</w:t>
            </w:r>
          </w:p>
        </w:tc>
        <w:tc>
          <w:tcPr>
            <w:tcW w:w="2126" w:type="dxa"/>
            <w:vAlign w:val="center"/>
          </w:tcPr>
          <w:p w14:paraId="10EB6DCC">
            <w:pPr>
              <w:pStyle w:val="11"/>
            </w:pPr>
          </w:p>
        </w:tc>
      </w:tr>
      <w:tr w14:paraId="7C9A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4EF17">
            <w:pPr>
              <w:pStyle w:val="13"/>
            </w:pPr>
            <w:r>
              <w:t>12</w:t>
            </w:r>
          </w:p>
        </w:tc>
        <w:tc>
          <w:tcPr>
            <w:tcW w:w="4535" w:type="dxa"/>
            <w:vAlign w:val="center"/>
          </w:tcPr>
          <w:p w14:paraId="3132828E">
            <w:pPr>
              <w:pStyle w:val="12"/>
            </w:pPr>
          </w:p>
        </w:tc>
        <w:tc>
          <w:tcPr>
            <w:tcW w:w="2126" w:type="dxa"/>
            <w:vAlign w:val="center"/>
          </w:tcPr>
          <w:p w14:paraId="376052BF">
            <w:pPr>
              <w:pStyle w:val="11"/>
            </w:pPr>
          </w:p>
        </w:tc>
        <w:tc>
          <w:tcPr>
            <w:tcW w:w="4535" w:type="dxa"/>
            <w:vAlign w:val="center"/>
          </w:tcPr>
          <w:p w14:paraId="24F72FB7">
            <w:pPr>
              <w:pStyle w:val="12"/>
            </w:pPr>
            <w:r>
              <w:t>十二、城乡社区支出</w:t>
            </w:r>
          </w:p>
        </w:tc>
        <w:tc>
          <w:tcPr>
            <w:tcW w:w="2126" w:type="dxa"/>
            <w:vAlign w:val="center"/>
          </w:tcPr>
          <w:p w14:paraId="789B70FF">
            <w:pPr>
              <w:pStyle w:val="11"/>
            </w:pPr>
          </w:p>
        </w:tc>
      </w:tr>
      <w:tr w14:paraId="5066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D29E">
            <w:pPr>
              <w:pStyle w:val="13"/>
            </w:pPr>
            <w:r>
              <w:t>13</w:t>
            </w:r>
          </w:p>
        </w:tc>
        <w:tc>
          <w:tcPr>
            <w:tcW w:w="4535" w:type="dxa"/>
            <w:vAlign w:val="center"/>
          </w:tcPr>
          <w:p w14:paraId="5203B503">
            <w:pPr>
              <w:pStyle w:val="12"/>
            </w:pPr>
          </w:p>
        </w:tc>
        <w:tc>
          <w:tcPr>
            <w:tcW w:w="2126" w:type="dxa"/>
            <w:vAlign w:val="center"/>
          </w:tcPr>
          <w:p w14:paraId="25F29E3D">
            <w:pPr>
              <w:pStyle w:val="11"/>
            </w:pPr>
          </w:p>
        </w:tc>
        <w:tc>
          <w:tcPr>
            <w:tcW w:w="4535" w:type="dxa"/>
            <w:vAlign w:val="center"/>
          </w:tcPr>
          <w:p w14:paraId="5C57B2C9">
            <w:pPr>
              <w:pStyle w:val="12"/>
            </w:pPr>
            <w:r>
              <w:t>十三、农林水支出</w:t>
            </w:r>
          </w:p>
        </w:tc>
        <w:tc>
          <w:tcPr>
            <w:tcW w:w="2126" w:type="dxa"/>
            <w:vAlign w:val="center"/>
          </w:tcPr>
          <w:p w14:paraId="743334F3">
            <w:pPr>
              <w:pStyle w:val="11"/>
            </w:pPr>
          </w:p>
        </w:tc>
      </w:tr>
      <w:tr w14:paraId="353C2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FE830">
            <w:pPr>
              <w:pStyle w:val="13"/>
            </w:pPr>
            <w:r>
              <w:t>14</w:t>
            </w:r>
          </w:p>
        </w:tc>
        <w:tc>
          <w:tcPr>
            <w:tcW w:w="4535" w:type="dxa"/>
            <w:vAlign w:val="center"/>
          </w:tcPr>
          <w:p w14:paraId="23AE06DC">
            <w:pPr>
              <w:pStyle w:val="12"/>
            </w:pPr>
          </w:p>
        </w:tc>
        <w:tc>
          <w:tcPr>
            <w:tcW w:w="2126" w:type="dxa"/>
            <w:vAlign w:val="center"/>
          </w:tcPr>
          <w:p w14:paraId="093E0DD3">
            <w:pPr>
              <w:pStyle w:val="11"/>
            </w:pPr>
          </w:p>
        </w:tc>
        <w:tc>
          <w:tcPr>
            <w:tcW w:w="4535" w:type="dxa"/>
            <w:vAlign w:val="center"/>
          </w:tcPr>
          <w:p w14:paraId="52E606AC">
            <w:pPr>
              <w:pStyle w:val="12"/>
            </w:pPr>
            <w:r>
              <w:t>十四、交通运输支出</w:t>
            </w:r>
          </w:p>
        </w:tc>
        <w:tc>
          <w:tcPr>
            <w:tcW w:w="2126" w:type="dxa"/>
            <w:vAlign w:val="center"/>
          </w:tcPr>
          <w:p w14:paraId="32F79466">
            <w:pPr>
              <w:pStyle w:val="11"/>
            </w:pPr>
          </w:p>
        </w:tc>
      </w:tr>
      <w:tr w14:paraId="3647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732E">
            <w:pPr>
              <w:pStyle w:val="13"/>
            </w:pPr>
            <w:r>
              <w:t>15</w:t>
            </w:r>
          </w:p>
        </w:tc>
        <w:tc>
          <w:tcPr>
            <w:tcW w:w="4535" w:type="dxa"/>
            <w:vAlign w:val="center"/>
          </w:tcPr>
          <w:p w14:paraId="5F171955">
            <w:pPr>
              <w:pStyle w:val="12"/>
            </w:pPr>
          </w:p>
        </w:tc>
        <w:tc>
          <w:tcPr>
            <w:tcW w:w="2126" w:type="dxa"/>
            <w:vAlign w:val="center"/>
          </w:tcPr>
          <w:p w14:paraId="47D7D2C6">
            <w:pPr>
              <w:pStyle w:val="11"/>
            </w:pPr>
          </w:p>
        </w:tc>
        <w:tc>
          <w:tcPr>
            <w:tcW w:w="4535" w:type="dxa"/>
            <w:vAlign w:val="center"/>
          </w:tcPr>
          <w:p w14:paraId="76883300">
            <w:pPr>
              <w:pStyle w:val="12"/>
            </w:pPr>
            <w:r>
              <w:t>十五、资源勘探工业信息等支出</w:t>
            </w:r>
          </w:p>
        </w:tc>
        <w:tc>
          <w:tcPr>
            <w:tcW w:w="2126" w:type="dxa"/>
            <w:vAlign w:val="center"/>
          </w:tcPr>
          <w:p w14:paraId="184D11F2">
            <w:pPr>
              <w:pStyle w:val="11"/>
            </w:pPr>
          </w:p>
        </w:tc>
      </w:tr>
      <w:tr w14:paraId="2BC3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E76BD">
            <w:pPr>
              <w:pStyle w:val="13"/>
            </w:pPr>
            <w:r>
              <w:t>16</w:t>
            </w:r>
          </w:p>
        </w:tc>
        <w:tc>
          <w:tcPr>
            <w:tcW w:w="4535" w:type="dxa"/>
            <w:vAlign w:val="center"/>
          </w:tcPr>
          <w:p w14:paraId="62C6FAE4">
            <w:pPr>
              <w:pStyle w:val="12"/>
            </w:pPr>
          </w:p>
        </w:tc>
        <w:tc>
          <w:tcPr>
            <w:tcW w:w="2126" w:type="dxa"/>
            <w:vAlign w:val="center"/>
          </w:tcPr>
          <w:p w14:paraId="0EE01F21">
            <w:pPr>
              <w:pStyle w:val="11"/>
            </w:pPr>
          </w:p>
        </w:tc>
        <w:tc>
          <w:tcPr>
            <w:tcW w:w="4535" w:type="dxa"/>
            <w:vAlign w:val="center"/>
          </w:tcPr>
          <w:p w14:paraId="2670304E">
            <w:pPr>
              <w:pStyle w:val="12"/>
            </w:pPr>
            <w:r>
              <w:t>十六、商业服务业等支出</w:t>
            </w:r>
          </w:p>
        </w:tc>
        <w:tc>
          <w:tcPr>
            <w:tcW w:w="2126" w:type="dxa"/>
            <w:vAlign w:val="center"/>
          </w:tcPr>
          <w:p w14:paraId="35AF6A42">
            <w:pPr>
              <w:pStyle w:val="11"/>
            </w:pPr>
          </w:p>
        </w:tc>
      </w:tr>
      <w:tr w14:paraId="4D3FA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B4C73">
            <w:pPr>
              <w:pStyle w:val="13"/>
            </w:pPr>
            <w:r>
              <w:t>17</w:t>
            </w:r>
          </w:p>
        </w:tc>
        <w:tc>
          <w:tcPr>
            <w:tcW w:w="4535" w:type="dxa"/>
            <w:vAlign w:val="center"/>
          </w:tcPr>
          <w:p w14:paraId="6A77BC68">
            <w:pPr>
              <w:pStyle w:val="12"/>
            </w:pPr>
          </w:p>
        </w:tc>
        <w:tc>
          <w:tcPr>
            <w:tcW w:w="2126" w:type="dxa"/>
            <w:vAlign w:val="center"/>
          </w:tcPr>
          <w:p w14:paraId="6FD0F210">
            <w:pPr>
              <w:pStyle w:val="11"/>
            </w:pPr>
          </w:p>
        </w:tc>
        <w:tc>
          <w:tcPr>
            <w:tcW w:w="4535" w:type="dxa"/>
            <w:vAlign w:val="center"/>
          </w:tcPr>
          <w:p w14:paraId="6349627C">
            <w:pPr>
              <w:pStyle w:val="12"/>
            </w:pPr>
            <w:r>
              <w:t>十七、金融支出</w:t>
            </w:r>
          </w:p>
        </w:tc>
        <w:tc>
          <w:tcPr>
            <w:tcW w:w="2126" w:type="dxa"/>
            <w:vAlign w:val="center"/>
          </w:tcPr>
          <w:p w14:paraId="5E91C14A">
            <w:pPr>
              <w:pStyle w:val="11"/>
            </w:pPr>
          </w:p>
        </w:tc>
      </w:tr>
      <w:tr w14:paraId="26BB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01392">
            <w:pPr>
              <w:pStyle w:val="13"/>
            </w:pPr>
            <w:r>
              <w:t>18</w:t>
            </w:r>
          </w:p>
        </w:tc>
        <w:tc>
          <w:tcPr>
            <w:tcW w:w="4535" w:type="dxa"/>
            <w:vAlign w:val="center"/>
          </w:tcPr>
          <w:p w14:paraId="64A9016B">
            <w:pPr>
              <w:pStyle w:val="12"/>
            </w:pPr>
          </w:p>
        </w:tc>
        <w:tc>
          <w:tcPr>
            <w:tcW w:w="2126" w:type="dxa"/>
            <w:vAlign w:val="center"/>
          </w:tcPr>
          <w:p w14:paraId="2C458396">
            <w:pPr>
              <w:pStyle w:val="11"/>
            </w:pPr>
          </w:p>
        </w:tc>
        <w:tc>
          <w:tcPr>
            <w:tcW w:w="4535" w:type="dxa"/>
            <w:vAlign w:val="center"/>
          </w:tcPr>
          <w:p w14:paraId="5A6A4437">
            <w:pPr>
              <w:pStyle w:val="12"/>
            </w:pPr>
            <w:r>
              <w:t>十八、援助其他地区支出</w:t>
            </w:r>
          </w:p>
        </w:tc>
        <w:tc>
          <w:tcPr>
            <w:tcW w:w="2126" w:type="dxa"/>
            <w:vAlign w:val="center"/>
          </w:tcPr>
          <w:p w14:paraId="2E253871">
            <w:pPr>
              <w:pStyle w:val="11"/>
            </w:pPr>
          </w:p>
        </w:tc>
      </w:tr>
      <w:tr w14:paraId="108DC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93577">
            <w:pPr>
              <w:pStyle w:val="13"/>
            </w:pPr>
            <w:r>
              <w:t>19</w:t>
            </w:r>
          </w:p>
        </w:tc>
        <w:tc>
          <w:tcPr>
            <w:tcW w:w="4535" w:type="dxa"/>
            <w:vAlign w:val="center"/>
          </w:tcPr>
          <w:p w14:paraId="11725E5A">
            <w:pPr>
              <w:pStyle w:val="12"/>
            </w:pPr>
          </w:p>
        </w:tc>
        <w:tc>
          <w:tcPr>
            <w:tcW w:w="2126" w:type="dxa"/>
            <w:vAlign w:val="center"/>
          </w:tcPr>
          <w:p w14:paraId="21C238A0">
            <w:pPr>
              <w:pStyle w:val="11"/>
            </w:pPr>
          </w:p>
        </w:tc>
        <w:tc>
          <w:tcPr>
            <w:tcW w:w="4535" w:type="dxa"/>
            <w:vAlign w:val="center"/>
          </w:tcPr>
          <w:p w14:paraId="2CBDF406">
            <w:pPr>
              <w:pStyle w:val="12"/>
            </w:pPr>
            <w:r>
              <w:t>十九、自然资源海洋气象等支出</w:t>
            </w:r>
          </w:p>
        </w:tc>
        <w:tc>
          <w:tcPr>
            <w:tcW w:w="2126" w:type="dxa"/>
            <w:vAlign w:val="center"/>
          </w:tcPr>
          <w:p w14:paraId="318CB320">
            <w:pPr>
              <w:pStyle w:val="11"/>
            </w:pPr>
          </w:p>
        </w:tc>
      </w:tr>
      <w:tr w14:paraId="18D5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50F09">
            <w:pPr>
              <w:pStyle w:val="13"/>
            </w:pPr>
            <w:r>
              <w:t>20</w:t>
            </w:r>
          </w:p>
        </w:tc>
        <w:tc>
          <w:tcPr>
            <w:tcW w:w="4535" w:type="dxa"/>
            <w:vAlign w:val="center"/>
          </w:tcPr>
          <w:p w14:paraId="47A34334">
            <w:pPr>
              <w:pStyle w:val="12"/>
            </w:pPr>
          </w:p>
        </w:tc>
        <w:tc>
          <w:tcPr>
            <w:tcW w:w="2126" w:type="dxa"/>
            <w:vAlign w:val="center"/>
          </w:tcPr>
          <w:p w14:paraId="4D9387A8">
            <w:pPr>
              <w:pStyle w:val="11"/>
            </w:pPr>
          </w:p>
        </w:tc>
        <w:tc>
          <w:tcPr>
            <w:tcW w:w="4535" w:type="dxa"/>
            <w:vAlign w:val="center"/>
          </w:tcPr>
          <w:p w14:paraId="2CD251F5">
            <w:pPr>
              <w:pStyle w:val="12"/>
            </w:pPr>
            <w:r>
              <w:t>二十、住房保障支出</w:t>
            </w:r>
          </w:p>
        </w:tc>
        <w:tc>
          <w:tcPr>
            <w:tcW w:w="2126" w:type="dxa"/>
            <w:vAlign w:val="center"/>
          </w:tcPr>
          <w:p w14:paraId="62C06752">
            <w:pPr>
              <w:pStyle w:val="11"/>
            </w:pPr>
          </w:p>
        </w:tc>
      </w:tr>
      <w:tr w14:paraId="4E72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3373">
            <w:pPr>
              <w:pStyle w:val="13"/>
            </w:pPr>
            <w:r>
              <w:t>21</w:t>
            </w:r>
          </w:p>
        </w:tc>
        <w:tc>
          <w:tcPr>
            <w:tcW w:w="4535" w:type="dxa"/>
            <w:vAlign w:val="center"/>
          </w:tcPr>
          <w:p w14:paraId="50ED881F">
            <w:pPr>
              <w:pStyle w:val="12"/>
            </w:pPr>
          </w:p>
        </w:tc>
        <w:tc>
          <w:tcPr>
            <w:tcW w:w="2126" w:type="dxa"/>
            <w:vAlign w:val="center"/>
          </w:tcPr>
          <w:p w14:paraId="2AFE664A">
            <w:pPr>
              <w:pStyle w:val="11"/>
            </w:pPr>
          </w:p>
        </w:tc>
        <w:tc>
          <w:tcPr>
            <w:tcW w:w="4535" w:type="dxa"/>
            <w:vAlign w:val="center"/>
          </w:tcPr>
          <w:p w14:paraId="502BA30D">
            <w:pPr>
              <w:pStyle w:val="12"/>
            </w:pPr>
            <w:r>
              <w:t>二十一、粮油物资储备支出</w:t>
            </w:r>
          </w:p>
        </w:tc>
        <w:tc>
          <w:tcPr>
            <w:tcW w:w="2126" w:type="dxa"/>
            <w:vAlign w:val="center"/>
          </w:tcPr>
          <w:p w14:paraId="68511371">
            <w:pPr>
              <w:pStyle w:val="11"/>
            </w:pPr>
          </w:p>
        </w:tc>
      </w:tr>
      <w:tr w14:paraId="64C1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93874">
            <w:pPr>
              <w:pStyle w:val="13"/>
            </w:pPr>
            <w:r>
              <w:t>22</w:t>
            </w:r>
          </w:p>
        </w:tc>
        <w:tc>
          <w:tcPr>
            <w:tcW w:w="4535" w:type="dxa"/>
            <w:vAlign w:val="center"/>
          </w:tcPr>
          <w:p w14:paraId="494EFFB2">
            <w:pPr>
              <w:pStyle w:val="12"/>
            </w:pPr>
          </w:p>
        </w:tc>
        <w:tc>
          <w:tcPr>
            <w:tcW w:w="2126" w:type="dxa"/>
            <w:vAlign w:val="center"/>
          </w:tcPr>
          <w:p w14:paraId="0B96E3C0">
            <w:pPr>
              <w:pStyle w:val="11"/>
            </w:pPr>
          </w:p>
        </w:tc>
        <w:tc>
          <w:tcPr>
            <w:tcW w:w="4535" w:type="dxa"/>
            <w:vAlign w:val="center"/>
          </w:tcPr>
          <w:p w14:paraId="76641639">
            <w:pPr>
              <w:pStyle w:val="12"/>
            </w:pPr>
            <w:r>
              <w:t>二十二、国有资本经营预算支出</w:t>
            </w:r>
          </w:p>
        </w:tc>
        <w:tc>
          <w:tcPr>
            <w:tcW w:w="2126" w:type="dxa"/>
            <w:vAlign w:val="center"/>
          </w:tcPr>
          <w:p w14:paraId="5B785C61">
            <w:pPr>
              <w:pStyle w:val="11"/>
            </w:pPr>
          </w:p>
        </w:tc>
      </w:tr>
      <w:tr w14:paraId="0431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2726">
            <w:pPr>
              <w:pStyle w:val="13"/>
            </w:pPr>
            <w:r>
              <w:t>23</w:t>
            </w:r>
          </w:p>
        </w:tc>
        <w:tc>
          <w:tcPr>
            <w:tcW w:w="4535" w:type="dxa"/>
            <w:vAlign w:val="center"/>
          </w:tcPr>
          <w:p w14:paraId="1E3AF543">
            <w:pPr>
              <w:pStyle w:val="12"/>
            </w:pPr>
          </w:p>
        </w:tc>
        <w:tc>
          <w:tcPr>
            <w:tcW w:w="2126" w:type="dxa"/>
            <w:vAlign w:val="center"/>
          </w:tcPr>
          <w:p w14:paraId="699228B4">
            <w:pPr>
              <w:pStyle w:val="11"/>
            </w:pPr>
          </w:p>
        </w:tc>
        <w:tc>
          <w:tcPr>
            <w:tcW w:w="4535" w:type="dxa"/>
            <w:vAlign w:val="center"/>
          </w:tcPr>
          <w:p w14:paraId="4655E2B3">
            <w:pPr>
              <w:pStyle w:val="12"/>
            </w:pPr>
            <w:r>
              <w:t>二十三、灾害防治及应急管理支出</w:t>
            </w:r>
          </w:p>
        </w:tc>
        <w:tc>
          <w:tcPr>
            <w:tcW w:w="2126" w:type="dxa"/>
            <w:vAlign w:val="center"/>
          </w:tcPr>
          <w:p w14:paraId="3CF549C9">
            <w:pPr>
              <w:pStyle w:val="11"/>
            </w:pPr>
          </w:p>
        </w:tc>
      </w:tr>
      <w:tr w14:paraId="71AD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4A957">
            <w:pPr>
              <w:pStyle w:val="13"/>
            </w:pPr>
            <w:r>
              <w:t>24</w:t>
            </w:r>
          </w:p>
        </w:tc>
        <w:tc>
          <w:tcPr>
            <w:tcW w:w="4535" w:type="dxa"/>
            <w:vAlign w:val="center"/>
          </w:tcPr>
          <w:p w14:paraId="38947EB3">
            <w:pPr>
              <w:pStyle w:val="12"/>
            </w:pPr>
          </w:p>
        </w:tc>
        <w:tc>
          <w:tcPr>
            <w:tcW w:w="2126" w:type="dxa"/>
            <w:vAlign w:val="center"/>
          </w:tcPr>
          <w:p w14:paraId="6ACB4ECE">
            <w:pPr>
              <w:pStyle w:val="11"/>
            </w:pPr>
          </w:p>
        </w:tc>
        <w:tc>
          <w:tcPr>
            <w:tcW w:w="4535" w:type="dxa"/>
            <w:vAlign w:val="center"/>
          </w:tcPr>
          <w:p w14:paraId="25D27503">
            <w:pPr>
              <w:pStyle w:val="12"/>
            </w:pPr>
            <w:r>
              <w:t>二十四、预备费</w:t>
            </w:r>
          </w:p>
        </w:tc>
        <w:tc>
          <w:tcPr>
            <w:tcW w:w="2126" w:type="dxa"/>
            <w:vAlign w:val="center"/>
          </w:tcPr>
          <w:p w14:paraId="3DC64059">
            <w:pPr>
              <w:pStyle w:val="11"/>
            </w:pPr>
          </w:p>
        </w:tc>
      </w:tr>
      <w:tr w14:paraId="057E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D3ADF">
            <w:pPr>
              <w:pStyle w:val="13"/>
            </w:pPr>
            <w:r>
              <w:t>25</w:t>
            </w:r>
          </w:p>
        </w:tc>
        <w:tc>
          <w:tcPr>
            <w:tcW w:w="4535" w:type="dxa"/>
            <w:vAlign w:val="center"/>
          </w:tcPr>
          <w:p w14:paraId="42FB0750">
            <w:pPr>
              <w:pStyle w:val="12"/>
            </w:pPr>
          </w:p>
        </w:tc>
        <w:tc>
          <w:tcPr>
            <w:tcW w:w="2126" w:type="dxa"/>
            <w:vAlign w:val="center"/>
          </w:tcPr>
          <w:p w14:paraId="30AE4B8E">
            <w:pPr>
              <w:pStyle w:val="11"/>
            </w:pPr>
          </w:p>
        </w:tc>
        <w:tc>
          <w:tcPr>
            <w:tcW w:w="4535" w:type="dxa"/>
            <w:vAlign w:val="center"/>
          </w:tcPr>
          <w:p w14:paraId="065E02EC">
            <w:pPr>
              <w:pStyle w:val="12"/>
            </w:pPr>
            <w:r>
              <w:t>二十五、其他支出</w:t>
            </w:r>
          </w:p>
        </w:tc>
        <w:tc>
          <w:tcPr>
            <w:tcW w:w="2126" w:type="dxa"/>
            <w:vAlign w:val="center"/>
          </w:tcPr>
          <w:p w14:paraId="6FB78491">
            <w:pPr>
              <w:pStyle w:val="11"/>
            </w:pPr>
          </w:p>
        </w:tc>
      </w:tr>
      <w:tr w14:paraId="02FF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3EEB6">
            <w:pPr>
              <w:pStyle w:val="13"/>
            </w:pPr>
            <w:r>
              <w:t>26</w:t>
            </w:r>
          </w:p>
        </w:tc>
        <w:tc>
          <w:tcPr>
            <w:tcW w:w="4535" w:type="dxa"/>
            <w:vAlign w:val="center"/>
          </w:tcPr>
          <w:p w14:paraId="40AD3C45">
            <w:pPr>
              <w:pStyle w:val="12"/>
            </w:pPr>
          </w:p>
        </w:tc>
        <w:tc>
          <w:tcPr>
            <w:tcW w:w="2126" w:type="dxa"/>
            <w:vAlign w:val="center"/>
          </w:tcPr>
          <w:p w14:paraId="237461CF">
            <w:pPr>
              <w:pStyle w:val="11"/>
            </w:pPr>
          </w:p>
        </w:tc>
        <w:tc>
          <w:tcPr>
            <w:tcW w:w="4535" w:type="dxa"/>
            <w:vAlign w:val="center"/>
          </w:tcPr>
          <w:p w14:paraId="0D815F8E">
            <w:pPr>
              <w:pStyle w:val="12"/>
            </w:pPr>
            <w:r>
              <w:t>二十六、转移性支出</w:t>
            </w:r>
          </w:p>
        </w:tc>
        <w:tc>
          <w:tcPr>
            <w:tcW w:w="2126" w:type="dxa"/>
            <w:vAlign w:val="center"/>
          </w:tcPr>
          <w:p w14:paraId="319D68A4">
            <w:pPr>
              <w:pStyle w:val="11"/>
            </w:pPr>
          </w:p>
        </w:tc>
      </w:tr>
      <w:tr w14:paraId="0F2F4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12E54">
            <w:pPr>
              <w:pStyle w:val="13"/>
            </w:pPr>
            <w:r>
              <w:t>27</w:t>
            </w:r>
          </w:p>
        </w:tc>
        <w:tc>
          <w:tcPr>
            <w:tcW w:w="4535" w:type="dxa"/>
            <w:vAlign w:val="center"/>
          </w:tcPr>
          <w:p w14:paraId="7F61AEF9">
            <w:pPr>
              <w:pStyle w:val="12"/>
            </w:pPr>
          </w:p>
        </w:tc>
        <w:tc>
          <w:tcPr>
            <w:tcW w:w="2126" w:type="dxa"/>
            <w:vAlign w:val="center"/>
          </w:tcPr>
          <w:p w14:paraId="10A239DA">
            <w:pPr>
              <w:pStyle w:val="11"/>
            </w:pPr>
          </w:p>
        </w:tc>
        <w:tc>
          <w:tcPr>
            <w:tcW w:w="4535" w:type="dxa"/>
            <w:vAlign w:val="center"/>
          </w:tcPr>
          <w:p w14:paraId="373F97ED">
            <w:pPr>
              <w:pStyle w:val="12"/>
            </w:pPr>
            <w:r>
              <w:t>二十七、债务还本支出</w:t>
            </w:r>
          </w:p>
        </w:tc>
        <w:tc>
          <w:tcPr>
            <w:tcW w:w="2126" w:type="dxa"/>
            <w:vAlign w:val="center"/>
          </w:tcPr>
          <w:p w14:paraId="55AC257F">
            <w:pPr>
              <w:pStyle w:val="11"/>
            </w:pPr>
          </w:p>
        </w:tc>
      </w:tr>
      <w:tr w14:paraId="425A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328D3">
            <w:pPr>
              <w:pStyle w:val="13"/>
            </w:pPr>
            <w:r>
              <w:t>28</w:t>
            </w:r>
          </w:p>
        </w:tc>
        <w:tc>
          <w:tcPr>
            <w:tcW w:w="4535" w:type="dxa"/>
            <w:vAlign w:val="center"/>
          </w:tcPr>
          <w:p w14:paraId="36B508C0">
            <w:pPr>
              <w:pStyle w:val="12"/>
            </w:pPr>
          </w:p>
        </w:tc>
        <w:tc>
          <w:tcPr>
            <w:tcW w:w="2126" w:type="dxa"/>
            <w:vAlign w:val="center"/>
          </w:tcPr>
          <w:p w14:paraId="299B7D71">
            <w:pPr>
              <w:pStyle w:val="11"/>
            </w:pPr>
          </w:p>
        </w:tc>
        <w:tc>
          <w:tcPr>
            <w:tcW w:w="4535" w:type="dxa"/>
            <w:vAlign w:val="center"/>
          </w:tcPr>
          <w:p w14:paraId="7BC810DD">
            <w:pPr>
              <w:pStyle w:val="12"/>
            </w:pPr>
            <w:r>
              <w:t>二十八、债务付息支出</w:t>
            </w:r>
          </w:p>
        </w:tc>
        <w:tc>
          <w:tcPr>
            <w:tcW w:w="2126" w:type="dxa"/>
            <w:vAlign w:val="center"/>
          </w:tcPr>
          <w:p w14:paraId="64A2389B">
            <w:pPr>
              <w:pStyle w:val="11"/>
            </w:pPr>
          </w:p>
        </w:tc>
      </w:tr>
      <w:tr w14:paraId="6536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D58E8">
            <w:pPr>
              <w:pStyle w:val="13"/>
            </w:pPr>
            <w:r>
              <w:t>29</w:t>
            </w:r>
          </w:p>
        </w:tc>
        <w:tc>
          <w:tcPr>
            <w:tcW w:w="4535" w:type="dxa"/>
            <w:vAlign w:val="center"/>
          </w:tcPr>
          <w:p w14:paraId="56FF152C">
            <w:pPr>
              <w:pStyle w:val="12"/>
            </w:pPr>
          </w:p>
        </w:tc>
        <w:tc>
          <w:tcPr>
            <w:tcW w:w="2126" w:type="dxa"/>
            <w:vAlign w:val="center"/>
          </w:tcPr>
          <w:p w14:paraId="1C10C09A">
            <w:pPr>
              <w:pStyle w:val="11"/>
            </w:pPr>
          </w:p>
        </w:tc>
        <w:tc>
          <w:tcPr>
            <w:tcW w:w="4535" w:type="dxa"/>
            <w:vAlign w:val="center"/>
          </w:tcPr>
          <w:p w14:paraId="4470D3F8">
            <w:pPr>
              <w:pStyle w:val="12"/>
            </w:pPr>
            <w:r>
              <w:t>二十九、债务发行费用支出</w:t>
            </w:r>
          </w:p>
        </w:tc>
        <w:tc>
          <w:tcPr>
            <w:tcW w:w="2126" w:type="dxa"/>
            <w:vAlign w:val="center"/>
          </w:tcPr>
          <w:p w14:paraId="3287AC73">
            <w:pPr>
              <w:pStyle w:val="11"/>
            </w:pPr>
          </w:p>
        </w:tc>
      </w:tr>
      <w:tr w14:paraId="03AC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3957">
            <w:pPr>
              <w:pStyle w:val="13"/>
            </w:pPr>
            <w:r>
              <w:t>30</w:t>
            </w:r>
          </w:p>
        </w:tc>
        <w:tc>
          <w:tcPr>
            <w:tcW w:w="4535" w:type="dxa"/>
            <w:vAlign w:val="center"/>
          </w:tcPr>
          <w:p w14:paraId="047AEE27">
            <w:pPr>
              <w:pStyle w:val="12"/>
            </w:pPr>
          </w:p>
        </w:tc>
        <w:tc>
          <w:tcPr>
            <w:tcW w:w="2126" w:type="dxa"/>
            <w:vAlign w:val="center"/>
          </w:tcPr>
          <w:p w14:paraId="65475FEA">
            <w:pPr>
              <w:pStyle w:val="11"/>
            </w:pPr>
          </w:p>
        </w:tc>
        <w:tc>
          <w:tcPr>
            <w:tcW w:w="4535" w:type="dxa"/>
            <w:vAlign w:val="center"/>
          </w:tcPr>
          <w:p w14:paraId="5B838BA7">
            <w:pPr>
              <w:pStyle w:val="12"/>
            </w:pPr>
            <w:r>
              <w:t>三十、抗疫特别国债安排的支出</w:t>
            </w:r>
          </w:p>
        </w:tc>
        <w:tc>
          <w:tcPr>
            <w:tcW w:w="2126" w:type="dxa"/>
            <w:vAlign w:val="center"/>
          </w:tcPr>
          <w:p w14:paraId="5620BEA9">
            <w:pPr>
              <w:pStyle w:val="11"/>
            </w:pPr>
          </w:p>
        </w:tc>
      </w:tr>
      <w:tr w14:paraId="1900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A5335">
            <w:pPr>
              <w:pStyle w:val="13"/>
            </w:pPr>
            <w:r>
              <w:t>31</w:t>
            </w:r>
          </w:p>
        </w:tc>
        <w:tc>
          <w:tcPr>
            <w:tcW w:w="4535" w:type="dxa"/>
            <w:vAlign w:val="center"/>
          </w:tcPr>
          <w:p w14:paraId="7C022595">
            <w:pPr>
              <w:pStyle w:val="14"/>
            </w:pPr>
            <w:r>
              <w:t>本年收入合计</w:t>
            </w:r>
          </w:p>
        </w:tc>
        <w:tc>
          <w:tcPr>
            <w:tcW w:w="2126" w:type="dxa"/>
            <w:vAlign w:val="center"/>
          </w:tcPr>
          <w:p w14:paraId="2A0DC204">
            <w:pPr>
              <w:pStyle w:val="15"/>
            </w:pPr>
            <w:r>
              <w:t>834.13</w:t>
            </w:r>
          </w:p>
        </w:tc>
        <w:tc>
          <w:tcPr>
            <w:tcW w:w="4535" w:type="dxa"/>
            <w:vAlign w:val="center"/>
          </w:tcPr>
          <w:p w14:paraId="4D304C9B">
            <w:pPr>
              <w:pStyle w:val="14"/>
            </w:pPr>
            <w:r>
              <w:t>本年支出合计</w:t>
            </w:r>
          </w:p>
        </w:tc>
        <w:tc>
          <w:tcPr>
            <w:tcW w:w="2126" w:type="dxa"/>
            <w:vAlign w:val="center"/>
          </w:tcPr>
          <w:p w14:paraId="2B699171">
            <w:pPr>
              <w:pStyle w:val="15"/>
            </w:pPr>
            <w:r>
              <w:t>834.13</w:t>
            </w:r>
          </w:p>
        </w:tc>
      </w:tr>
      <w:tr w14:paraId="30DD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B4EBD">
            <w:pPr>
              <w:pStyle w:val="13"/>
            </w:pPr>
            <w:r>
              <w:t>32</w:t>
            </w:r>
          </w:p>
        </w:tc>
        <w:tc>
          <w:tcPr>
            <w:tcW w:w="4535" w:type="dxa"/>
            <w:vAlign w:val="center"/>
          </w:tcPr>
          <w:p w14:paraId="5ACC30C7">
            <w:pPr>
              <w:pStyle w:val="12"/>
            </w:pPr>
            <w:r>
              <w:t>上年结转结余</w:t>
            </w:r>
          </w:p>
        </w:tc>
        <w:tc>
          <w:tcPr>
            <w:tcW w:w="2126" w:type="dxa"/>
            <w:vAlign w:val="center"/>
          </w:tcPr>
          <w:p w14:paraId="5FB6D6C9">
            <w:pPr>
              <w:pStyle w:val="11"/>
            </w:pPr>
          </w:p>
        </w:tc>
        <w:tc>
          <w:tcPr>
            <w:tcW w:w="4535" w:type="dxa"/>
            <w:vAlign w:val="center"/>
          </w:tcPr>
          <w:p w14:paraId="32FB3CEF">
            <w:pPr>
              <w:pStyle w:val="12"/>
            </w:pPr>
            <w:r>
              <w:t>年终结转结余</w:t>
            </w:r>
          </w:p>
        </w:tc>
        <w:tc>
          <w:tcPr>
            <w:tcW w:w="2126" w:type="dxa"/>
            <w:vAlign w:val="center"/>
          </w:tcPr>
          <w:p w14:paraId="793E3363">
            <w:pPr>
              <w:pStyle w:val="11"/>
            </w:pPr>
          </w:p>
        </w:tc>
      </w:tr>
      <w:tr w14:paraId="042D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3352">
            <w:pPr>
              <w:pStyle w:val="13"/>
            </w:pPr>
            <w:r>
              <w:t>33</w:t>
            </w:r>
          </w:p>
        </w:tc>
        <w:tc>
          <w:tcPr>
            <w:tcW w:w="4535" w:type="dxa"/>
            <w:vAlign w:val="center"/>
          </w:tcPr>
          <w:p w14:paraId="5DB9AF32">
            <w:pPr>
              <w:pStyle w:val="14"/>
            </w:pPr>
            <w:r>
              <w:t>收入总计</w:t>
            </w:r>
          </w:p>
        </w:tc>
        <w:tc>
          <w:tcPr>
            <w:tcW w:w="2126" w:type="dxa"/>
            <w:vAlign w:val="center"/>
          </w:tcPr>
          <w:p w14:paraId="67B3803E">
            <w:pPr>
              <w:pStyle w:val="15"/>
            </w:pPr>
            <w:r>
              <w:t>834.13</w:t>
            </w:r>
          </w:p>
        </w:tc>
        <w:tc>
          <w:tcPr>
            <w:tcW w:w="4535" w:type="dxa"/>
            <w:vAlign w:val="center"/>
          </w:tcPr>
          <w:p w14:paraId="5A96EB46">
            <w:pPr>
              <w:pStyle w:val="14"/>
            </w:pPr>
            <w:r>
              <w:t>支出总计</w:t>
            </w:r>
          </w:p>
        </w:tc>
        <w:tc>
          <w:tcPr>
            <w:tcW w:w="2126" w:type="dxa"/>
            <w:vAlign w:val="center"/>
          </w:tcPr>
          <w:p w14:paraId="7F772484">
            <w:pPr>
              <w:pStyle w:val="15"/>
            </w:pPr>
            <w:r>
              <w:t>834.13</w:t>
            </w:r>
          </w:p>
        </w:tc>
      </w:tr>
    </w:tbl>
    <w:p w14:paraId="785E7D6C">
      <w:pPr>
        <w:sectPr>
          <w:pgSz w:w="16840" w:h="11900" w:orient="landscape"/>
          <w:pgMar w:top="1361" w:right="1020" w:bottom="1134" w:left="1020" w:header="720" w:footer="720" w:gutter="0"/>
          <w:cols w:space="720" w:num="1"/>
        </w:sectPr>
      </w:pPr>
    </w:p>
    <w:p w14:paraId="46B0C5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CB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BE35B4">
            <w:pPr>
              <w:pStyle w:val="9"/>
            </w:pPr>
            <w:r>
              <w:t>360039隆尧县唐尧街小学</w:t>
            </w:r>
          </w:p>
        </w:tc>
        <w:tc>
          <w:tcPr>
            <w:tcW w:w="3402" w:type="dxa"/>
            <w:gridSpan w:val="3"/>
            <w:tcBorders>
              <w:top w:val="single" w:color="FFFFFF" w:sz="6" w:space="0"/>
              <w:left w:val="single" w:color="FFFFFF" w:sz="6" w:space="0"/>
              <w:right w:val="single" w:color="FFFFFF" w:sz="6" w:space="0"/>
            </w:tcBorders>
            <w:vAlign w:val="center"/>
          </w:tcPr>
          <w:p w14:paraId="3F3ADB6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0176EF6">
            <w:pPr>
              <w:pStyle w:val="7"/>
            </w:pPr>
            <w:r>
              <w:t>单位：万元</w:t>
            </w:r>
          </w:p>
        </w:tc>
      </w:tr>
      <w:tr w14:paraId="6547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93EC4B">
            <w:pPr>
              <w:pStyle w:val="10"/>
            </w:pPr>
            <w:r>
              <w:t>序号</w:t>
            </w:r>
          </w:p>
        </w:tc>
        <w:tc>
          <w:tcPr>
            <w:tcW w:w="2551" w:type="dxa"/>
            <w:gridSpan w:val="2"/>
            <w:vAlign w:val="center"/>
          </w:tcPr>
          <w:p w14:paraId="57C1E8E5">
            <w:pPr>
              <w:pStyle w:val="10"/>
            </w:pPr>
            <w:r>
              <w:t>功能分类科目</w:t>
            </w:r>
          </w:p>
        </w:tc>
        <w:tc>
          <w:tcPr>
            <w:tcW w:w="1134" w:type="dxa"/>
            <w:vMerge w:val="restart"/>
            <w:vAlign w:val="center"/>
          </w:tcPr>
          <w:p w14:paraId="2A021C81">
            <w:pPr>
              <w:pStyle w:val="10"/>
            </w:pPr>
            <w:r>
              <w:t>合计</w:t>
            </w:r>
          </w:p>
        </w:tc>
        <w:tc>
          <w:tcPr>
            <w:tcW w:w="9072" w:type="dxa"/>
            <w:gridSpan w:val="8"/>
            <w:vAlign w:val="center"/>
          </w:tcPr>
          <w:p w14:paraId="1F94F450">
            <w:pPr>
              <w:pStyle w:val="10"/>
            </w:pPr>
            <w:r>
              <w:t>本年收入</w:t>
            </w:r>
          </w:p>
        </w:tc>
        <w:tc>
          <w:tcPr>
            <w:tcW w:w="1134" w:type="dxa"/>
            <w:vMerge w:val="restart"/>
            <w:vAlign w:val="center"/>
          </w:tcPr>
          <w:p w14:paraId="68F99754">
            <w:pPr>
              <w:pStyle w:val="10"/>
            </w:pPr>
            <w:r>
              <w:t>上年结转</w:t>
            </w:r>
          </w:p>
        </w:tc>
      </w:tr>
      <w:tr w14:paraId="5B4E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ABBC4B"/>
        </w:tc>
        <w:tc>
          <w:tcPr>
            <w:tcW w:w="992" w:type="dxa"/>
            <w:vAlign w:val="center"/>
          </w:tcPr>
          <w:p w14:paraId="5F0AD490">
            <w:pPr>
              <w:pStyle w:val="10"/>
            </w:pPr>
            <w:r>
              <w:t>科目    编码</w:t>
            </w:r>
          </w:p>
        </w:tc>
        <w:tc>
          <w:tcPr>
            <w:tcW w:w="1559" w:type="dxa"/>
            <w:vAlign w:val="center"/>
          </w:tcPr>
          <w:p w14:paraId="5DA7A4AA">
            <w:pPr>
              <w:pStyle w:val="10"/>
            </w:pPr>
            <w:r>
              <w:t>科目名称</w:t>
            </w:r>
          </w:p>
        </w:tc>
        <w:tc>
          <w:tcPr>
            <w:tcW w:w="1134" w:type="dxa"/>
            <w:vMerge w:val="continue"/>
          </w:tcPr>
          <w:p w14:paraId="51D5BBDA"/>
        </w:tc>
        <w:tc>
          <w:tcPr>
            <w:tcW w:w="1134" w:type="dxa"/>
            <w:vAlign w:val="center"/>
          </w:tcPr>
          <w:p w14:paraId="1FB01B7F">
            <w:pPr>
              <w:pStyle w:val="10"/>
            </w:pPr>
            <w:r>
              <w:t>小计</w:t>
            </w:r>
          </w:p>
        </w:tc>
        <w:tc>
          <w:tcPr>
            <w:tcW w:w="1134" w:type="dxa"/>
            <w:vAlign w:val="center"/>
          </w:tcPr>
          <w:p w14:paraId="6FCE1ABB">
            <w:pPr>
              <w:pStyle w:val="10"/>
            </w:pPr>
            <w:r>
              <w:t>财政拨款 收入</w:t>
            </w:r>
          </w:p>
        </w:tc>
        <w:tc>
          <w:tcPr>
            <w:tcW w:w="1134" w:type="dxa"/>
            <w:vAlign w:val="center"/>
          </w:tcPr>
          <w:p w14:paraId="1B794371">
            <w:pPr>
              <w:pStyle w:val="10"/>
            </w:pPr>
            <w:r>
              <w:t>财政专户 收入</w:t>
            </w:r>
          </w:p>
        </w:tc>
        <w:tc>
          <w:tcPr>
            <w:tcW w:w="1134" w:type="dxa"/>
            <w:vAlign w:val="center"/>
          </w:tcPr>
          <w:p w14:paraId="23C0BE30">
            <w:pPr>
              <w:pStyle w:val="10"/>
            </w:pPr>
            <w:r>
              <w:t>事业收入</w:t>
            </w:r>
          </w:p>
        </w:tc>
        <w:tc>
          <w:tcPr>
            <w:tcW w:w="1134" w:type="dxa"/>
            <w:vAlign w:val="center"/>
          </w:tcPr>
          <w:p w14:paraId="3289C3D9">
            <w:pPr>
              <w:pStyle w:val="10"/>
            </w:pPr>
            <w:r>
              <w:t>经营收入</w:t>
            </w:r>
          </w:p>
        </w:tc>
        <w:tc>
          <w:tcPr>
            <w:tcW w:w="1134" w:type="dxa"/>
            <w:vAlign w:val="center"/>
          </w:tcPr>
          <w:p w14:paraId="4EE6DD3A">
            <w:pPr>
              <w:pStyle w:val="10"/>
            </w:pPr>
            <w:r>
              <w:t>上级补助收入</w:t>
            </w:r>
          </w:p>
        </w:tc>
        <w:tc>
          <w:tcPr>
            <w:tcW w:w="1134" w:type="dxa"/>
            <w:vAlign w:val="center"/>
          </w:tcPr>
          <w:p w14:paraId="35F429EC">
            <w:pPr>
              <w:pStyle w:val="10"/>
            </w:pPr>
            <w:r>
              <w:t>附属单位上缴收入</w:t>
            </w:r>
          </w:p>
        </w:tc>
        <w:tc>
          <w:tcPr>
            <w:tcW w:w="1134" w:type="dxa"/>
            <w:vAlign w:val="center"/>
          </w:tcPr>
          <w:p w14:paraId="5AE33E19">
            <w:pPr>
              <w:pStyle w:val="10"/>
            </w:pPr>
            <w:r>
              <w:t>其他收入</w:t>
            </w:r>
          </w:p>
        </w:tc>
        <w:tc>
          <w:tcPr>
            <w:tcW w:w="1134" w:type="dxa"/>
            <w:vMerge w:val="continue"/>
          </w:tcPr>
          <w:p w14:paraId="77A2EF33"/>
        </w:tc>
      </w:tr>
      <w:tr w14:paraId="4F83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85EFDB">
            <w:pPr>
              <w:pStyle w:val="10"/>
            </w:pPr>
            <w:r>
              <w:t>栏次</w:t>
            </w:r>
          </w:p>
        </w:tc>
        <w:tc>
          <w:tcPr>
            <w:tcW w:w="992" w:type="dxa"/>
            <w:vAlign w:val="center"/>
          </w:tcPr>
          <w:p w14:paraId="314B0E7C">
            <w:pPr>
              <w:pStyle w:val="10"/>
            </w:pPr>
            <w:r>
              <w:t>1</w:t>
            </w:r>
          </w:p>
        </w:tc>
        <w:tc>
          <w:tcPr>
            <w:tcW w:w="1559" w:type="dxa"/>
            <w:vAlign w:val="center"/>
          </w:tcPr>
          <w:p w14:paraId="7215753C">
            <w:pPr>
              <w:pStyle w:val="10"/>
            </w:pPr>
            <w:r>
              <w:t>2</w:t>
            </w:r>
          </w:p>
        </w:tc>
        <w:tc>
          <w:tcPr>
            <w:tcW w:w="1134" w:type="dxa"/>
            <w:vAlign w:val="center"/>
          </w:tcPr>
          <w:p w14:paraId="00412D16">
            <w:pPr>
              <w:pStyle w:val="10"/>
            </w:pPr>
            <w:r>
              <w:t>3</w:t>
            </w:r>
          </w:p>
        </w:tc>
        <w:tc>
          <w:tcPr>
            <w:tcW w:w="1134" w:type="dxa"/>
            <w:vAlign w:val="center"/>
          </w:tcPr>
          <w:p w14:paraId="7D0D1CFF">
            <w:pPr>
              <w:pStyle w:val="10"/>
            </w:pPr>
            <w:r>
              <w:t>4</w:t>
            </w:r>
          </w:p>
        </w:tc>
        <w:tc>
          <w:tcPr>
            <w:tcW w:w="1134" w:type="dxa"/>
            <w:vAlign w:val="center"/>
          </w:tcPr>
          <w:p w14:paraId="3719A94F">
            <w:pPr>
              <w:pStyle w:val="10"/>
            </w:pPr>
            <w:r>
              <w:t>5</w:t>
            </w:r>
          </w:p>
        </w:tc>
        <w:tc>
          <w:tcPr>
            <w:tcW w:w="1134" w:type="dxa"/>
            <w:vAlign w:val="center"/>
          </w:tcPr>
          <w:p w14:paraId="703BA6C8">
            <w:pPr>
              <w:pStyle w:val="10"/>
            </w:pPr>
            <w:r>
              <w:t>6</w:t>
            </w:r>
          </w:p>
        </w:tc>
        <w:tc>
          <w:tcPr>
            <w:tcW w:w="1134" w:type="dxa"/>
            <w:vAlign w:val="center"/>
          </w:tcPr>
          <w:p w14:paraId="2951BD13">
            <w:pPr>
              <w:pStyle w:val="10"/>
            </w:pPr>
            <w:r>
              <w:t>7</w:t>
            </w:r>
          </w:p>
        </w:tc>
        <w:tc>
          <w:tcPr>
            <w:tcW w:w="1134" w:type="dxa"/>
            <w:vAlign w:val="center"/>
          </w:tcPr>
          <w:p w14:paraId="71E1E89A">
            <w:pPr>
              <w:pStyle w:val="10"/>
            </w:pPr>
            <w:r>
              <w:t>8</w:t>
            </w:r>
          </w:p>
        </w:tc>
        <w:tc>
          <w:tcPr>
            <w:tcW w:w="1134" w:type="dxa"/>
            <w:vAlign w:val="center"/>
          </w:tcPr>
          <w:p w14:paraId="4623781B">
            <w:pPr>
              <w:pStyle w:val="10"/>
            </w:pPr>
            <w:r>
              <w:t>9</w:t>
            </w:r>
          </w:p>
        </w:tc>
        <w:tc>
          <w:tcPr>
            <w:tcW w:w="1134" w:type="dxa"/>
            <w:vAlign w:val="center"/>
          </w:tcPr>
          <w:p w14:paraId="6FFC1AB2">
            <w:pPr>
              <w:pStyle w:val="10"/>
            </w:pPr>
            <w:r>
              <w:t>10</w:t>
            </w:r>
          </w:p>
        </w:tc>
        <w:tc>
          <w:tcPr>
            <w:tcW w:w="1134" w:type="dxa"/>
            <w:vAlign w:val="center"/>
          </w:tcPr>
          <w:p w14:paraId="719C4DE9">
            <w:pPr>
              <w:pStyle w:val="10"/>
            </w:pPr>
            <w:r>
              <w:t>11</w:t>
            </w:r>
          </w:p>
        </w:tc>
        <w:tc>
          <w:tcPr>
            <w:tcW w:w="1134" w:type="dxa"/>
            <w:vAlign w:val="center"/>
          </w:tcPr>
          <w:p w14:paraId="767959E2">
            <w:pPr>
              <w:pStyle w:val="10"/>
            </w:pPr>
            <w:r>
              <w:t>12</w:t>
            </w:r>
          </w:p>
        </w:tc>
      </w:tr>
      <w:tr w14:paraId="4E748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47D73">
            <w:pPr>
              <w:pStyle w:val="13"/>
            </w:pPr>
            <w:r>
              <w:t>1</w:t>
            </w:r>
          </w:p>
        </w:tc>
        <w:tc>
          <w:tcPr>
            <w:tcW w:w="992" w:type="dxa"/>
            <w:vAlign w:val="center"/>
          </w:tcPr>
          <w:p w14:paraId="2AAF161C">
            <w:pPr>
              <w:pStyle w:val="16"/>
            </w:pPr>
          </w:p>
        </w:tc>
        <w:tc>
          <w:tcPr>
            <w:tcW w:w="1559" w:type="dxa"/>
            <w:vAlign w:val="center"/>
          </w:tcPr>
          <w:p w14:paraId="1F09864D">
            <w:pPr>
              <w:pStyle w:val="14"/>
            </w:pPr>
            <w:r>
              <w:t>合计</w:t>
            </w:r>
          </w:p>
        </w:tc>
        <w:tc>
          <w:tcPr>
            <w:tcW w:w="1134" w:type="dxa"/>
            <w:vAlign w:val="center"/>
          </w:tcPr>
          <w:p w14:paraId="6F67194F">
            <w:pPr>
              <w:pStyle w:val="15"/>
            </w:pPr>
            <w:r>
              <w:t>834.13</w:t>
            </w:r>
          </w:p>
        </w:tc>
        <w:tc>
          <w:tcPr>
            <w:tcW w:w="1134" w:type="dxa"/>
            <w:vAlign w:val="center"/>
          </w:tcPr>
          <w:p w14:paraId="49F8728E">
            <w:pPr>
              <w:pStyle w:val="15"/>
            </w:pPr>
            <w:r>
              <w:t>834.13</w:t>
            </w:r>
          </w:p>
        </w:tc>
        <w:tc>
          <w:tcPr>
            <w:tcW w:w="1134" w:type="dxa"/>
            <w:vAlign w:val="center"/>
          </w:tcPr>
          <w:p w14:paraId="6A53229D">
            <w:pPr>
              <w:pStyle w:val="15"/>
            </w:pPr>
            <w:r>
              <w:t>834.13</w:t>
            </w:r>
          </w:p>
        </w:tc>
        <w:tc>
          <w:tcPr>
            <w:tcW w:w="1134" w:type="dxa"/>
            <w:vAlign w:val="center"/>
          </w:tcPr>
          <w:p w14:paraId="1FD72087">
            <w:pPr>
              <w:pStyle w:val="15"/>
            </w:pPr>
          </w:p>
        </w:tc>
        <w:tc>
          <w:tcPr>
            <w:tcW w:w="1134" w:type="dxa"/>
            <w:vAlign w:val="center"/>
          </w:tcPr>
          <w:p w14:paraId="7194488A">
            <w:pPr>
              <w:pStyle w:val="15"/>
            </w:pPr>
          </w:p>
        </w:tc>
        <w:tc>
          <w:tcPr>
            <w:tcW w:w="1134" w:type="dxa"/>
            <w:vAlign w:val="center"/>
          </w:tcPr>
          <w:p w14:paraId="744D8B56">
            <w:pPr>
              <w:pStyle w:val="15"/>
            </w:pPr>
          </w:p>
        </w:tc>
        <w:tc>
          <w:tcPr>
            <w:tcW w:w="1134" w:type="dxa"/>
            <w:vAlign w:val="center"/>
          </w:tcPr>
          <w:p w14:paraId="48A3FF5E">
            <w:pPr>
              <w:pStyle w:val="15"/>
            </w:pPr>
          </w:p>
        </w:tc>
        <w:tc>
          <w:tcPr>
            <w:tcW w:w="1134" w:type="dxa"/>
            <w:vAlign w:val="center"/>
          </w:tcPr>
          <w:p w14:paraId="76DEF70D">
            <w:pPr>
              <w:pStyle w:val="15"/>
            </w:pPr>
          </w:p>
        </w:tc>
        <w:tc>
          <w:tcPr>
            <w:tcW w:w="1134" w:type="dxa"/>
            <w:vAlign w:val="center"/>
          </w:tcPr>
          <w:p w14:paraId="45E3095E">
            <w:pPr>
              <w:pStyle w:val="15"/>
            </w:pPr>
          </w:p>
        </w:tc>
        <w:tc>
          <w:tcPr>
            <w:tcW w:w="1134" w:type="dxa"/>
            <w:vAlign w:val="center"/>
          </w:tcPr>
          <w:p w14:paraId="0781A741">
            <w:pPr>
              <w:pStyle w:val="15"/>
            </w:pPr>
          </w:p>
        </w:tc>
      </w:tr>
      <w:tr w14:paraId="0E7D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E5E5E">
            <w:pPr>
              <w:pStyle w:val="13"/>
            </w:pPr>
            <w:r>
              <w:t>2</w:t>
            </w:r>
          </w:p>
        </w:tc>
        <w:tc>
          <w:tcPr>
            <w:tcW w:w="992" w:type="dxa"/>
            <w:vAlign w:val="center"/>
          </w:tcPr>
          <w:p w14:paraId="26F5D560">
            <w:pPr>
              <w:pStyle w:val="12"/>
            </w:pPr>
            <w:r>
              <w:t>205</w:t>
            </w:r>
          </w:p>
        </w:tc>
        <w:tc>
          <w:tcPr>
            <w:tcW w:w="1559" w:type="dxa"/>
            <w:vAlign w:val="center"/>
          </w:tcPr>
          <w:p w14:paraId="3710E16E">
            <w:pPr>
              <w:pStyle w:val="12"/>
            </w:pPr>
            <w:r>
              <w:t>教育支出</w:t>
            </w:r>
          </w:p>
        </w:tc>
        <w:tc>
          <w:tcPr>
            <w:tcW w:w="1134" w:type="dxa"/>
            <w:vAlign w:val="center"/>
          </w:tcPr>
          <w:p w14:paraId="556AD0C4">
            <w:pPr>
              <w:pStyle w:val="11"/>
            </w:pPr>
            <w:r>
              <w:t>834.13</w:t>
            </w:r>
          </w:p>
        </w:tc>
        <w:tc>
          <w:tcPr>
            <w:tcW w:w="1134" w:type="dxa"/>
            <w:vAlign w:val="center"/>
          </w:tcPr>
          <w:p w14:paraId="7BF298AB">
            <w:pPr>
              <w:pStyle w:val="11"/>
            </w:pPr>
            <w:r>
              <w:t>834.13</w:t>
            </w:r>
          </w:p>
        </w:tc>
        <w:tc>
          <w:tcPr>
            <w:tcW w:w="1134" w:type="dxa"/>
            <w:vAlign w:val="center"/>
          </w:tcPr>
          <w:p w14:paraId="5DC9F93E">
            <w:pPr>
              <w:pStyle w:val="11"/>
            </w:pPr>
            <w:r>
              <w:t>834.13</w:t>
            </w:r>
          </w:p>
        </w:tc>
        <w:tc>
          <w:tcPr>
            <w:tcW w:w="1134" w:type="dxa"/>
            <w:vAlign w:val="center"/>
          </w:tcPr>
          <w:p w14:paraId="0C88A0B2">
            <w:pPr>
              <w:pStyle w:val="11"/>
            </w:pPr>
          </w:p>
        </w:tc>
        <w:tc>
          <w:tcPr>
            <w:tcW w:w="1134" w:type="dxa"/>
            <w:vAlign w:val="center"/>
          </w:tcPr>
          <w:p w14:paraId="066B4900">
            <w:pPr>
              <w:pStyle w:val="11"/>
            </w:pPr>
          </w:p>
        </w:tc>
        <w:tc>
          <w:tcPr>
            <w:tcW w:w="1134" w:type="dxa"/>
            <w:vAlign w:val="center"/>
          </w:tcPr>
          <w:p w14:paraId="0249E353">
            <w:pPr>
              <w:pStyle w:val="11"/>
            </w:pPr>
          </w:p>
        </w:tc>
        <w:tc>
          <w:tcPr>
            <w:tcW w:w="1134" w:type="dxa"/>
            <w:vAlign w:val="center"/>
          </w:tcPr>
          <w:p w14:paraId="786CA3B3">
            <w:pPr>
              <w:pStyle w:val="11"/>
            </w:pPr>
          </w:p>
        </w:tc>
        <w:tc>
          <w:tcPr>
            <w:tcW w:w="1134" w:type="dxa"/>
            <w:vAlign w:val="center"/>
          </w:tcPr>
          <w:p w14:paraId="77027F0D">
            <w:pPr>
              <w:pStyle w:val="11"/>
            </w:pPr>
          </w:p>
        </w:tc>
        <w:tc>
          <w:tcPr>
            <w:tcW w:w="1134" w:type="dxa"/>
            <w:vAlign w:val="center"/>
          </w:tcPr>
          <w:p w14:paraId="10F6F1A9">
            <w:pPr>
              <w:pStyle w:val="11"/>
            </w:pPr>
          </w:p>
        </w:tc>
        <w:tc>
          <w:tcPr>
            <w:tcW w:w="1134" w:type="dxa"/>
            <w:vAlign w:val="center"/>
          </w:tcPr>
          <w:p w14:paraId="16801C61">
            <w:pPr>
              <w:pStyle w:val="11"/>
            </w:pPr>
          </w:p>
        </w:tc>
      </w:tr>
      <w:tr w14:paraId="42BE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CA943">
            <w:pPr>
              <w:pStyle w:val="13"/>
            </w:pPr>
            <w:r>
              <w:t>3</w:t>
            </w:r>
          </w:p>
        </w:tc>
        <w:tc>
          <w:tcPr>
            <w:tcW w:w="992" w:type="dxa"/>
            <w:vAlign w:val="center"/>
          </w:tcPr>
          <w:p w14:paraId="3BB34902">
            <w:pPr>
              <w:pStyle w:val="12"/>
            </w:pPr>
            <w:r>
              <w:t>20502</w:t>
            </w:r>
          </w:p>
        </w:tc>
        <w:tc>
          <w:tcPr>
            <w:tcW w:w="1559" w:type="dxa"/>
            <w:vAlign w:val="center"/>
          </w:tcPr>
          <w:p w14:paraId="7626D15A">
            <w:pPr>
              <w:pStyle w:val="12"/>
            </w:pPr>
            <w:r>
              <w:t>普通教育</w:t>
            </w:r>
          </w:p>
        </w:tc>
        <w:tc>
          <w:tcPr>
            <w:tcW w:w="1134" w:type="dxa"/>
            <w:vAlign w:val="center"/>
          </w:tcPr>
          <w:p w14:paraId="28524D20">
            <w:pPr>
              <w:pStyle w:val="11"/>
            </w:pPr>
            <w:r>
              <w:t>834.13</w:t>
            </w:r>
          </w:p>
        </w:tc>
        <w:tc>
          <w:tcPr>
            <w:tcW w:w="1134" w:type="dxa"/>
            <w:vAlign w:val="center"/>
          </w:tcPr>
          <w:p w14:paraId="6959350A">
            <w:pPr>
              <w:pStyle w:val="11"/>
            </w:pPr>
            <w:r>
              <w:t>834.13</w:t>
            </w:r>
          </w:p>
        </w:tc>
        <w:tc>
          <w:tcPr>
            <w:tcW w:w="1134" w:type="dxa"/>
            <w:vAlign w:val="center"/>
          </w:tcPr>
          <w:p w14:paraId="3E47720C">
            <w:pPr>
              <w:pStyle w:val="11"/>
            </w:pPr>
            <w:r>
              <w:t>834.13</w:t>
            </w:r>
          </w:p>
        </w:tc>
        <w:tc>
          <w:tcPr>
            <w:tcW w:w="1134" w:type="dxa"/>
            <w:vAlign w:val="center"/>
          </w:tcPr>
          <w:p w14:paraId="1C2DE6D7">
            <w:pPr>
              <w:pStyle w:val="11"/>
            </w:pPr>
          </w:p>
        </w:tc>
        <w:tc>
          <w:tcPr>
            <w:tcW w:w="1134" w:type="dxa"/>
            <w:vAlign w:val="center"/>
          </w:tcPr>
          <w:p w14:paraId="285C81DD">
            <w:pPr>
              <w:pStyle w:val="11"/>
            </w:pPr>
          </w:p>
        </w:tc>
        <w:tc>
          <w:tcPr>
            <w:tcW w:w="1134" w:type="dxa"/>
            <w:vAlign w:val="center"/>
          </w:tcPr>
          <w:p w14:paraId="36307AFA">
            <w:pPr>
              <w:pStyle w:val="11"/>
            </w:pPr>
          </w:p>
        </w:tc>
        <w:tc>
          <w:tcPr>
            <w:tcW w:w="1134" w:type="dxa"/>
            <w:vAlign w:val="center"/>
          </w:tcPr>
          <w:p w14:paraId="0AF4C1E6">
            <w:pPr>
              <w:pStyle w:val="11"/>
            </w:pPr>
          </w:p>
        </w:tc>
        <w:tc>
          <w:tcPr>
            <w:tcW w:w="1134" w:type="dxa"/>
            <w:vAlign w:val="center"/>
          </w:tcPr>
          <w:p w14:paraId="4BCF69C3">
            <w:pPr>
              <w:pStyle w:val="11"/>
            </w:pPr>
          </w:p>
        </w:tc>
        <w:tc>
          <w:tcPr>
            <w:tcW w:w="1134" w:type="dxa"/>
            <w:vAlign w:val="center"/>
          </w:tcPr>
          <w:p w14:paraId="4FBC3E82">
            <w:pPr>
              <w:pStyle w:val="11"/>
            </w:pPr>
          </w:p>
        </w:tc>
        <w:tc>
          <w:tcPr>
            <w:tcW w:w="1134" w:type="dxa"/>
            <w:vAlign w:val="center"/>
          </w:tcPr>
          <w:p w14:paraId="4ED8F6BD">
            <w:pPr>
              <w:pStyle w:val="11"/>
            </w:pPr>
          </w:p>
        </w:tc>
      </w:tr>
      <w:tr w14:paraId="192D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D9D31">
            <w:pPr>
              <w:pStyle w:val="13"/>
            </w:pPr>
            <w:r>
              <w:t>4</w:t>
            </w:r>
          </w:p>
        </w:tc>
        <w:tc>
          <w:tcPr>
            <w:tcW w:w="992" w:type="dxa"/>
            <w:vAlign w:val="center"/>
          </w:tcPr>
          <w:p w14:paraId="7C05B46F">
            <w:pPr>
              <w:pStyle w:val="12"/>
            </w:pPr>
            <w:r>
              <w:t>2050202</w:t>
            </w:r>
          </w:p>
        </w:tc>
        <w:tc>
          <w:tcPr>
            <w:tcW w:w="1559" w:type="dxa"/>
            <w:vAlign w:val="center"/>
          </w:tcPr>
          <w:p w14:paraId="1C5AFA3A">
            <w:pPr>
              <w:pStyle w:val="12"/>
            </w:pPr>
            <w:r>
              <w:t>小学教育</w:t>
            </w:r>
          </w:p>
        </w:tc>
        <w:tc>
          <w:tcPr>
            <w:tcW w:w="1134" w:type="dxa"/>
            <w:vAlign w:val="center"/>
          </w:tcPr>
          <w:p w14:paraId="14358304">
            <w:pPr>
              <w:pStyle w:val="11"/>
            </w:pPr>
            <w:r>
              <w:t>834.13</w:t>
            </w:r>
          </w:p>
        </w:tc>
        <w:tc>
          <w:tcPr>
            <w:tcW w:w="1134" w:type="dxa"/>
            <w:vAlign w:val="center"/>
          </w:tcPr>
          <w:p w14:paraId="7CC08926">
            <w:pPr>
              <w:pStyle w:val="11"/>
            </w:pPr>
            <w:r>
              <w:t>834.13</w:t>
            </w:r>
          </w:p>
        </w:tc>
        <w:tc>
          <w:tcPr>
            <w:tcW w:w="1134" w:type="dxa"/>
            <w:vAlign w:val="center"/>
          </w:tcPr>
          <w:p w14:paraId="7E962F15">
            <w:pPr>
              <w:pStyle w:val="11"/>
            </w:pPr>
            <w:r>
              <w:t>834.13</w:t>
            </w:r>
          </w:p>
        </w:tc>
        <w:tc>
          <w:tcPr>
            <w:tcW w:w="1134" w:type="dxa"/>
            <w:vAlign w:val="center"/>
          </w:tcPr>
          <w:p w14:paraId="683C76E4">
            <w:pPr>
              <w:pStyle w:val="11"/>
            </w:pPr>
          </w:p>
        </w:tc>
        <w:tc>
          <w:tcPr>
            <w:tcW w:w="1134" w:type="dxa"/>
            <w:vAlign w:val="center"/>
          </w:tcPr>
          <w:p w14:paraId="716FE923">
            <w:pPr>
              <w:pStyle w:val="11"/>
            </w:pPr>
          </w:p>
        </w:tc>
        <w:tc>
          <w:tcPr>
            <w:tcW w:w="1134" w:type="dxa"/>
            <w:vAlign w:val="center"/>
          </w:tcPr>
          <w:p w14:paraId="27AFFA20">
            <w:pPr>
              <w:pStyle w:val="11"/>
            </w:pPr>
          </w:p>
        </w:tc>
        <w:tc>
          <w:tcPr>
            <w:tcW w:w="1134" w:type="dxa"/>
            <w:vAlign w:val="center"/>
          </w:tcPr>
          <w:p w14:paraId="2A0984F0">
            <w:pPr>
              <w:pStyle w:val="11"/>
            </w:pPr>
          </w:p>
        </w:tc>
        <w:tc>
          <w:tcPr>
            <w:tcW w:w="1134" w:type="dxa"/>
            <w:vAlign w:val="center"/>
          </w:tcPr>
          <w:p w14:paraId="7AC7B54F">
            <w:pPr>
              <w:pStyle w:val="11"/>
            </w:pPr>
          </w:p>
        </w:tc>
        <w:tc>
          <w:tcPr>
            <w:tcW w:w="1134" w:type="dxa"/>
            <w:vAlign w:val="center"/>
          </w:tcPr>
          <w:p w14:paraId="521CD5CF">
            <w:pPr>
              <w:pStyle w:val="11"/>
            </w:pPr>
          </w:p>
        </w:tc>
        <w:tc>
          <w:tcPr>
            <w:tcW w:w="1134" w:type="dxa"/>
            <w:vAlign w:val="center"/>
          </w:tcPr>
          <w:p w14:paraId="4ED36909">
            <w:pPr>
              <w:pStyle w:val="11"/>
            </w:pPr>
          </w:p>
        </w:tc>
      </w:tr>
    </w:tbl>
    <w:p w14:paraId="205E26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3A8F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CA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2B62E12">
            <w:pPr>
              <w:pStyle w:val="9"/>
            </w:pPr>
            <w:r>
              <w:t>360039隆尧县唐尧街小学</w:t>
            </w:r>
          </w:p>
        </w:tc>
        <w:tc>
          <w:tcPr>
            <w:tcW w:w="2722" w:type="dxa"/>
            <w:gridSpan w:val="2"/>
            <w:tcBorders>
              <w:top w:val="single" w:color="FFFFFF" w:sz="6" w:space="0"/>
              <w:left w:val="single" w:color="FFFFFF" w:sz="6" w:space="0"/>
              <w:right w:val="single" w:color="FFFFFF" w:sz="6" w:space="0"/>
            </w:tcBorders>
            <w:vAlign w:val="center"/>
          </w:tcPr>
          <w:p w14:paraId="0C73849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8844185">
            <w:pPr>
              <w:pStyle w:val="7"/>
            </w:pPr>
            <w:r>
              <w:t>单位：万元</w:t>
            </w:r>
          </w:p>
        </w:tc>
      </w:tr>
      <w:tr w14:paraId="3729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7C0A0">
            <w:pPr>
              <w:pStyle w:val="10"/>
            </w:pPr>
            <w:r>
              <w:t>序号</w:t>
            </w:r>
          </w:p>
        </w:tc>
        <w:tc>
          <w:tcPr>
            <w:tcW w:w="5527" w:type="dxa"/>
            <w:gridSpan w:val="2"/>
            <w:vAlign w:val="center"/>
          </w:tcPr>
          <w:p w14:paraId="5C02C2B9">
            <w:pPr>
              <w:pStyle w:val="10"/>
            </w:pPr>
            <w:r>
              <w:t>功能分类科目</w:t>
            </w:r>
          </w:p>
        </w:tc>
        <w:tc>
          <w:tcPr>
            <w:tcW w:w="1361" w:type="dxa"/>
            <w:vMerge w:val="restart"/>
            <w:vAlign w:val="center"/>
          </w:tcPr>
          <w:p w14:paraId="2F858F77">
            <w:pPr>
              <w:pStyle w:val="10"/>
            </w:pPr>
            <w:r>
              <w:t>合计</w:t>
            </w:r>
          </w:p>
        </w:tc>
        <w:tc>
          <w:tcPr>
            <w:tcW w:w="1361" w:type="dxa"/>
            <w:vMerge w:val="restart"/>
            <w:vAlign w:val="center"/>
          </w:tcPr>
          <w:p w14:paraId="532841D3">
            <w:pPr>
              <w:pStyle w:val="10"/>
            </w:pPr>
            <w:r>
              <w:t>基本支出</w:t>
            </w:r>
          </w:p>
        </w:tc>
        <w:tc>
          <w:tcPr>
            <w:tcW w:w="1361" w:type="dxa"/>
            <w:vMerge w:val="restart"/>
            <w:vAlign w:val="center"/>
          </w:tcPr>
          <w:p w14:paraId="5FE05EBA">
            <w:pPr>
              <w:pStyle w:val="10"/>
            </w:pPr>
            <w:r>
              <w:t>项目支出</w:t>
            </w:r>
          </w:p>
        </w:tc>
        <w:tc>
          <w:tcPr>
            <w:tcW w:w="1361" w:type="dxa"/>
            <w:vMerge w:val="restart"/>
            <w:vAlign w:val="center"/>
          </w:tcPr>
          <w:p w14:paraId="4CBE210C">
            <w:pPr>
              <w:pStyle w:val="10"/>
            </w:pPr>
            <w:r>
              <w:t>经营支出</w:t>
            </w:r>
          </w:p>
        </w:tc>
        <w:tc>
          <w:tcPr>
            <w:tcW w:w="1361" w:type="dxa"/>
            <w:vMerge w:val="restart"/>
            <w:vAlign w:val="center"/>
          </w:tcPr>
          <w:p w14:paraId="4F1254FE">
            <w:pPr>
              <w:pStyle w:val="10"/>
            </w:pPr>
            <w:r>
              <w:t>上解上级     支出</w:t>
            </w:r>
          </w:p>
        </w:tc>
        <w:tc>
          <w:tcPr>
            <w:tcW w:w="1361" w:type="dxa"/>
            <w:vMerge w:val="restart"/>
            <w:vAlign w:val="center"/>
          </w:tcPr>
          <w:p w14:paraId="0A91A8AA">
            <w:pPr>
              <w:pStyle w:val="10"/>
            </w:pPr>
            <w:r>
              <w:t>对附属单位补助支出</w:t>
            </w:r>
          </w:p>
        </w:tc>
      </w:tr>
      <w:tr w14:paraId="3364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7C8D52"/>
        </w:tc>
        <w:tc>
          <w:tcPr>
            <w:tcW w:w="992" w:type="dxa"/>
            <w:vAlign w:val="center"/>
          </w:tcPr>
          <w:p w14:paraId="2FCDA8B8">
            <w:pPr>
              <w:pStyle w:val="10"/>
            </w:pPr>
            <w:r>
              <w:t>科目    编码</w:t>
            </w:r>
          </w:p>
        </w:tc>
        <w:tc>
          <w:tcPr>
            <w:tcW w:w="4535" w:type="dxa"/>
            <w:vAlign w:val="center"/>
          </w:tcPr>
          <w:p w14:paraId="294C8478">
            <w:pPr>
              <w:pStyle w:val="10"/>
            </w:pPr>
            <w:r>
              <w:t>科目名称</w:t>
            </w:r>
          </w:p>
        </w:tc>
        <w:tc>
          <w:tcPr>
            <w:tcW w:w="1361" w:type="dxa"/>
            <w:vMerge w:val="continue"/>
          </w:tcPr>
          <w:p w14:paraId="1A4090BC"/>
        </w:tc>
        <w:tc>
          <w:tcPr>
            <w:tcW w:w="1361" w:type="dxa"/>
            <w:vMerge w:val="continue"/>
          </w:tcPr>
          <w:p w14:paraId="6CAD9DB1"/>
        </w:tc>
        <w:tc>
          <w:tcPr>
            <w:tcW w:w="1361" w:type="dxa"/>
            <w:vMerge w:val="continue"/>
          </w:tcPr>
          <w:p w14:paraId="70A91691"/>
        </w:tc>
        <w:tc>
          <w:tcPr>
            <w:tcW w:w="1361" w:type="dxa"/>
            <w:vMerge w:val="continue"/>
          </w:tcPr>
          <w:p w14:paraId="0B69BB48"/>
        </w:tc>
        <w:tc>
          <w:tcPr>
            <w:tcW w:w="1361" w:type="dxa"/>
            <w:vMerge w:val="continue"/>
          </w:tcPr>
          <w:p w14:paraId="57EEF52A"/>
        </w:tc>
        <w:tc>
          <w:tcPr>
            <w:tcW w:w="1361" w:type="dxa"/>
            <w:vMerge w:val="continue"/>
          </w:tcPr>
          <w:p w14:paraId="6F093FDF"/>
        </w:tc>
      </w:tr>
      <w:tr w14:paraId="3618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0E8BB8">
            <w:pPr>
              <w:pStyle w:val="10"/>
            </w:pPr>
            <w:r>
              <w:t>栏次</w:t>
            </w:r>
          </w:p>
        </w:tc>
        <w:tc>
          <w:tcPr>
            <w:tcW w:w="992" w:type="dxa"/>
            <w:vAlign w:val="center"/>
          </w:tcPr>
          <w:p w14:paraId="7128C764">
            <w:pPr>
              <w:pStyle w:val="10"/>
            </w:pPr>
            <w:r>
              <w:t>1</w:t>
            </w:r>
          </w:p>
        </w:tc>
        <w:tc>
          <w:tcPr>
            <w:tcW w:w="4535" w:type="dxa"/>
            <w:vAlign w:val="center"/>
          </w:tcPr>
          <w:p w14:paraId="2B93DFAF">
            <w:pPr>
              <w:pStyle w:val="10"/>
            </w:pPr>
            <w:r>
              <w:t>2</w:t>
            </w:r>
          </w:p>
        </w:tc>
        <w:tc>
          <w:tcPr>
            <w:tcW w:w="1361" w:type="dxa"/>
            <w:vAlign w:val="center"/>
          </w:tcPr>
          <w:p w14:paraId="21BA870F">
            <w:pPr>
              <w:pStyle w:val="10"/>
            </w:pPr>
            <w:r>
              <w:t>3</w:t>
            </w:r>
          </w:p>
        </w:tc>
        <w:tc>
          <w:tcPr>
            <w:tcW w:w="1361" w:type="dxa"/>
            <w:vAlign w:val="center"/>
          </w:tcPr>
          <w:p w14:paraId="4610B128">
            <w:pPr>
              <w:pStyle w:val="10"/>
            </w:pPr>
            <w:r>
              <w:t>4</w:t>
            </w:r>
          </w:p>
        </w:tc>
        <w:tc>
          <w:tcPr>
            <w:tcW w:w="1361" w:type="dxa"/>
            <w:vAlign w:val="center"/>
          </w:tcPr>
          <w:p w14:paraId="34CE26F6">
            <w:pPr>
              <w:pStyle w:val="10"/>
            </w:pPr>
            <w:r>
              <w:t>5</w:t>
            </w:r>
          </w:p>
        </w:tc>
        <w:tc>
          <w:tcPr>
            <w:tcW w:w="1361" w:type="dxa"/>
            <w:vAlign w:val="center"/>
          </w:tcPr>
          <w:p w14:paraId="2F15FD9A">
            <w:pPr>
              <w:pStyle w:val="10"/>
            </w:pPr>
            <w:r>
              <w:t>6</w:t>
            </w:r>
          </w:p>
        </w:tc>
        <w:tc>
          <w:tcPr>
            <w:tcW w:w="1361" w:type="dxa"/>
            <w:vAlign w:val="center"/>
          </w:tcPr>
          <w:p w14:paraId="5F4FEAEE">
            <w:pPr>
              <w:pStyle w:val="10"/>
            </w:pPr>
            <w:r>
              <w:t>7</w:t>
            </w:r>
          </w:p>
        </w:tc>
        <w:tc>
          <w:tcPr>
            <w:tcW w:w="1361" w:type="dxa"/>
            <w:vAlign w:val="center"/>
          </w:tcPr>
          <w:p w14:paraId="4507C7B0">
            <w:pPr>
              <w:pStyle w:val="10"/>
            </w:pPr>
            <w:r>
              <w:t>8</w:t>
            </w:r>
          </w:p>
        </w:tc>
      </w:tr>
      <w:tr w14:paraId="01A2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E3E6">
            <w:pPr>
              <w:pStyle w:val="13"/>
            </w:pPr>
            <w:r>
              <w:t>1</w:t>
            </w:r>
          </w:p>
        </w:tc>
        <w:tc>
          <w:tcPr>
            <w:tcW w:w="992" w:type="dxa"/>
            <w:vAlign w:val="center"/>
          </w:tcPr>
          <w:p w14:paraId="3C862D8D">
            <w:pPr>
              <w:pStyle w:val="16"/>
            </w:pPr>
          </w:p>
        </w:tc>
        <w:tc>
          <w:tcPr>
            <w:tcW w:w="4535" w:type="dxa"/>
            <w:vAlign w:val="center"/>
          </w:tcPr>
          <w:p w14:paraId="7299FC23">
            <w:pPr>
              <w:pStyle w:val="14"/>
            </w:pPr>
            <w:r>
              <w:t>合计</w:t>
            </w:r>
          </w:p>
        </w:tc>
        <w:tc>
          <w:tcPr>
            <w:tcW w:w="1361" w:type="dxa"/>
            <w:vAlign w:val="center"/>
          </w:tcPr>
          <w:p w14:paraId="26CA7561">
            <w:pPr>
              <w:pStyle w:val="15"/>
            </w:pPr>
            <w:r>
              <w:t>834.13</w:t>
            </w:r>
          </w:p>
        </w:tc>
        <w:tc>
          <w:tcPr>
            <w:tcW w:w="1361" w:type="dxa"/>
            <w:vAlign w:val="center"/>
          </w:tcPr>
          <w:p w14:paraId="6EB01840">
            <w:pPr>
              <w:pStyle w:val="15"/>
            </w:pPr>
            <w:r>
              <w:t>656.21</w:t>
            </w:r>
          </w:p>
        </w:tc>
        <w:tc>
          <w:tcPr>
            <w:tcW w:w="1361" w:type="dxa"/>
            <w:vAlign w:val="center"/>
          </w:tcPr>
          <w:p w14:paraId="78C976F1">
            <w:pPr>
              <w:pStyle w:val="15"/>
            </w:pPr>
            <w:r>
              <w:t>177.92</w:t>
            </w:r>
          </w:p>
        </w:tc>
        <w:tc>
          <w:tcPr>
            <w:tcW w:w="1361" w:type="dxa"/>
            <w:vAlign w:val="center"/>
          </w:tcPr>
          <w:p w14:paraId="3F075232">
            <w:pPr>
              <w:pStyle w:val="15"/>
            </w:pPr>
          </w:p>
        </w:tc>
        <w:tc>
          <w:tcPr>
            <w:tcW w:w="1361" w:type="dxa"/>
            <w:vAlign w:val="center"/>
          </w:tcPr>
          <w:p w14:paraId="774117BC">
            <w:pPr>
              <w:pStyle w:val="15"/>
            </w:pPr>
          </w:p>
        </w:tc>
        <w:tc>
          <w:tcPr>
            <w:tcW w:w="1361" w:type="dxa"/>
            <w:vAlign w:val="center"/>
          </w:tcPr>
          <w:p w14:paraId="6BA4740D">
            <w:pPr>
              <w:pStyle w:val="15"/>
            </w:pPr>
          </w:p>
        </w:tc>
      </w:tr>
      <w:tr w14:paraId="1ADF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334AB">
            <w:pPr>
              <w:pStyle w:val="13"/>
            </w:pPr>
            <w:r>
              <w:t>2</w:t>
            </w:r>
          </w:p>
        </w:tc>
        <w:tc>
          <w:tcPr>
            <w:tcW w:w="992" w:type="dxa"/>
            <w:vAlign w:val="center"/>
          </w:tcPr>
          <w:p w14:paraId="5ED5FCFD">
            <w:pPr>
              <w:pStyle w:val="12"/>
            </w:pPr>
            <w:r>
              <w:t>205</w:t>
            </w:r>
          </w:p>
        </w:tc>
        <w:tc>
          <w:tcPr>
            <w:tcW w:w="4535" w:type="dxa"/>
            <w:vAlign w:val="center"/>
          </w:tcPr>
          <w:p w14:paraId="1B6E5D88">
            <w:pPr>
              <w:pStyle w:val="12"/>
            </w:pPr>
            <w:r>
              <w:t>教育支出</w:t>
            </w:r>
          </w:p>
        </w:tc>
        <w:tc>
          <w:tcPr>
            <w:tcW w:w="1361" w:type="dxa"/>
            <w:vAlign w:val="center"/>
          </w:tcPr>
          <w:p w14:paraId="706606E6">
            <w:pPr>
              <w:pStyle w:val="11"/>
            </w:pPr>
            <w:r>
              <w:t>834.13</w:t>
            </w:r>
          </w:p>
        </w:tc>
        <w:tc>
          <w:tcPr>
            <w:tcW w:w="1361" w:type="dxa"/>
            <w:vAlign w:val="center"/>
          </w:tcPr>
          <w:p w14:paraId="6C5EFEC8">
            <w:pPr>
              <w:pStyle w:val="11"/>
            </w:pPr>
            <w:r>
              <w:t>656.21</w:t>
            </w:r>
          </w:p>
        </w:tc>
        <w:tc>
          <w:tcPr>
            <w:tcW w:w="1361" w:type="dxa"/>
            <w:vAlign w:val="center"/>
          </w:tcPr>
          <w:p w14:paraId="6FC8298D">
            <w:pPr>
              <w:pStyle w:val="11"/>
            </w:pPr>
            <w:r>
              <w:t>177.92</w:t>
            </w:r>
          </w:p>
        </w:tc>
        <w:tc>
          <w:tcPr>
            <w:tcW w:w="1361" w:type="dxa"/>
            <w:vAlign w:val="center"/>
          </w:tcPr>
          <w:p w14:paraId="06B6C2C9">
            <w:pPr>
              <w:pStyle w:val="11"/>
            </w:pPr>
          </w:p>
        </w:tc>
        <w:tc>
          <w:tcPr>
            <w:tcW w:w="1361" w:type="dxa"/>
            <w:vAlign w:val="center"/>
          </w:tcPr>
          <w:p w14:paraId="4188CA65">
            <w:pPr>
              <w:pStyle w:val="11"/>
            </w:pPr>
          </w:p>
        </w:tc>
        <w:tc>
          <w:tcPr>
            <w:tcW w:w="1361" w:type="dxa"/>
            <w:vAlign w:val="center"/>
          </w:tcPr>
          <w:p w14:paraId="0F546339">
            <w:pPr>
              <w:pStyle w:val="11"/>
            </w:pPr>
          </w:p>
        </w:tc>
      </w:tr>
      <w:tr w14:paraId="770C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72B86">
            <w:pPr>
              <w:pStyle w:val="13"/>
            </w:pPr>
            <w:r>
              <w:t>3</w:t>
            </w:r>
          </w:p>
        </w:tc>
        <w:tc>
          <w:tcPr>
            <w:tcW w:w="992" w:type="dxa"/>
            <w:vAlign w:val="center"/>
          </w:tcPr>
          <w:p w14:paraId="11CF2D4B">
            <w:pPr>
              <w:pStyle w:val="12"/>
            </w:pPr>
            <w:r>
              <w:t>20502</w:t>
            </w:r>
          </w:p>
        </w:tc>
        <w:tc>
          <w:tcPr>
            <w:tcW w:w="4535" w:type="dxa"/>
            <w:vAlign w:val="center"/>
          </w:tcPr>
          <w:p w14:paraId="3BA6908A">
            <w:pPr>
              <w:pStyle w:val="12"/>
            </w:pPr>
            <w:r>
              <w:t>普通教育</w:t>
            </w:r>
          </w:p>
        </w:tc>
        <w:tc>
          <w:tcPr>
            <w:tcW w:w="1361" w:type="dxa"/>
            <w:vAlign w:val="center"/>
          </w:tcPr>
          <w:p w14:paraId="340CB73A">
            <w:pPr>
              <w:pStyle w:val="11"/>
            </w:pPr>
            <w:r>
              <w:t>834.13</w:t>
            </w:r>
          </w:p>
        </w:tc>
        <w:tc>
          <w:tcPr>
            <w:tcW w:w="1361" w:type="dxa"/>
            <w:vAlign w:val="center"/>
          </w:tcPr>
          <w:p w14:paraId="2206554D">
            <w:pPr>
              <w:pStyle w:val="11"/>
            </w:pPr>
            <w:r>
              <w:t>656.21</w:t>
            </w:r>
          </w:p>
        </w:tc>
        <w:tc>
          <w:tcPr>
            <w:tcW w:w="1361" w:type="dxa"/>
            <w:vAlign w:val="center"/>
          </w:tcPr>
          <w:p w14:paraId="5C832404">
            <w:pPr>
              <w:pStyle w:val="11"/>
            </w:pPr>
            <w:r>
              <w:t>177.92</w:t>
            </w:r>
          </w:p>
        </w:tc>
        <w:tc>
          <w:tcPr>
            <w:tcW w:w="1361" w:type="dxa"/>
            <w:vAlign w:val="center"/>
          </w:tcPr>
          <w:p w14:paraId="66998310">
            <w:pPr>
              <w:pStyle w:val="11"/>
            </w:pPr>
          </w:p>
        </w:tc>
        <w:tc>
          <w:tcPr>
            <w:tcW w:w="1361" w:type="dxa"/>
            <w:vAlign w:val="center"/>
          </w:tcPr>
          <w:p w14:paraId="704CD572">
            <w:pPr>
              <w:pStyle w:val="11"/>
            </w:pPr>
          </w:p>
        </w:tc>
        <w:tc>
          <w:tcPr>
            <w:tcW w:w="1361" w:type="dxa"/>
            <w:vAlign w:val="center"/>
          </w:tcPr>
          <w:p w14:paraId="721357D8">
            <w:pPr>
              <w:pStyle w:val="11"/>
            </w:pPr>
          </w:p>
        </w:tc>
      </w:tr>
      <w:tr w14:paraId="2E07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2D2D">
            <w:pPr>
              <w:pStyle w:val="13"/>
            </w:pPr>
            <w:r>
              <w:t>4</w:t>
            </w:r>
          </w:p>
        </w:tc>
        <w:tc>
          <w:tcPr>
            <w:tcW w:w="992" w:type="dxa"/>
            <w:vAlign w:val="center"/>
          </w:tcPr>
          <w:p w14:paraId="5666B5D9">
            <w:pPr>
              <w:pStyle w:val="12"/>
            </w:pPr>
            <w:r>
              <w:t>2050202</w:t>
            </w:r>
          </w:p>
        </w:tc>
        <w:tc>
          <w:tcPr>
            <w:tcW w:w="4535" w:type="dxa"/>
            <w:vAlign w:val="center"/>
          </w:tcPr>
          <w:p w14:paraId="724A8567">
            <w:pPr>
              <w:pStyle w:val="12"/>
            </w:pPr>
            <w:r>
              <w:t>小学教育</w:t>
            </w:r>
          </w:p>
        </w:tc>
        <w:tc>
          <w:tcPr>
            <w:tcW w:w="1361" w:type="dxa"/>
            <w:vAlign w:val="center"/>
          </w:tcPr>
          <w:p w14:paraId="35BAC77D">
            <w:pPr>
              <w:pStyle w:val="11"/>
            </w:pPr>
            <w:r>
              <w:t>834.13</w:t>
            </w:r>
          </w:p>
        </w:tc>
        <w:tc>
          <w:tcPr>
            <w:tcW w:w="1361" w:type="dxa"/>
            <w:vAlign w:val="center"/>
          </w:tcPr>
          <w:p w14:paraId="640C9734">
            <w:pPr>
              <w:pStyle w:val="11"/>
            </w:pPr>
            <w:r>
              <w:t>656.21</w:t>
            </w:r>
          </w:p>
        </w:tc>
        <w:tc>
          <w:tcPr>
            <w:tcW w:w="1361" w:type="dxa"/>
            <w:vAlign w:val="center"/>
          </w:tcPr>
          <w:p w14:paraId="29B1B0B3">
            <w:pPr>
              <w:pStyle w:val="11"/>
            </w:pPr>
            <w:r>
              <w:t>177.92</w:t>
            </w:r>
          </w:p>
        </w:tc>
        <w:tc>
          <w:tcPr>
            <w:tcW w:w="1361" w:type="dxa"/>
            <w:vAlign w:val="center"/>
          </w:tcPr>
          <w:p w14:paraId="5CEF694C">
            <w:pPr>
              <w:pStyle w:val="11"/>
            </w:pPr>
          </w:p>
        </w:tc>
        <w:tc>
          <w:tcPr>
            <w:tcW w:w="1361" w:type="dxa"/>
            <w:vAlign w:val="center"/>
          </w:tcPr>
          <w:p w14:paraId="4051B5DD">
            <w:pPr>
              <w:pStyle w:val="11"/>
            </w:pPr>
          </w:p>
        </w:tc>
        <w:tc>
          <w:tcPr>
            <w:tcW w:w="1361" w:type="dxa"/>
            <w:vAlign w:val="center"/>
          </w:tcPr>
          <w:p w14:paraId="76394305">
            <w:pPr>
              <w:pStyle w:val="11"/>
            </w:pPr>
          </w:p>
        </w:tc>
      </w:tr>
    </w:tbl>
    <w:p w14:paraId="527169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E9F3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63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FCA45F">
            <w:pPr>
              <w:pStyle w:val="9"/>
            </w:pPr>
            <w:r>
              <w:t>360039隆尧县唐尧街小学</w:t>
            </w:r>
          </w:p>
        </w:tc>
        <w:tc>
          <w:tcPr>
            <w:tcW w:w="3402" w:type="dxa"/>
            <w:tcBorders>
              <w:top w:val="single" w:color="FFFFFF" w:sz="6" w:space="0"/>
              <w:left w:val="single" w:color="FFFFFF" w:sz="6" w:space="0"/>
              <w:right w:val="single" w:color="FFFFFF" w:sz="6" w:space="0"/>
            </w:tcBorders>
            <w:vAlign w:val="center"/>
          </w:tcPr>
          <w:p w14:paraId="2A5E050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C9E1D51">
            <w:pPr>
              <w:pStyle w:val="7"/>
            </w:pPr>
            <w:r>
              <w:t>单位：万元</w:t>
            </w:r>
          </w:p>
        </w:tc>
      </w:tr>
      <w:tr w14:paraId="52F5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4323E">
            <w:pPr>
              <w:pStyle w:val="10"/>
            </w:pPr>
            <w:r>
              <w:t>序号</w:t>
            </w:r>
          </w:p>
        </w:tc>
        <w:tc>
          <w:tcPr>
            <w:tcW w:w="4876" w:type="dxa"/>
            <w:gridSpan w:val="2"/>
            <w:vAlign w:val="center"/>
          </w:tcPr>
          <w:p w14:paraId="0658B78A">
            <w:pPr>
              <w:pStyle w:val="10"/>
            </w:pPr>
            <w:r>
              <w:t>收入</w:t>
            </w:r>
          </w:p>
        </w:tc>
        <w:tc>
          <w:tcPr>
            <w:tcW w:w="9298" w:type="dxa"/>
            <w:gridSpan w:val="5"/>
            <w:vAlign w:val="center"/>
          </w:tcPr>
          <w:p w14:paraId="18FA5311">
            <w:pPr>
              <w:pStyle w:val="10"/>
            </w:pPr>
            <w:r>
              <w:t>支出</w:t>
            </w:r>
          </w:p>
        </w:tc>
      </w:tr>
      <w:tr w14:paraId="5648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679FF2"/>
        </w:tc>
        <w:tc>
          <w:tcPr>
            <w:tcW w:w="3402" w:type="dxa"/>
            <w:vAlign w:val="center"/>
          </w:tcPr>
          <w:p w14:paraId="323F6061">
            <w:pPr>
              <w:pStyle w:val="10"/>
            </w:pPr>
            <w:r>
              <w:t>项  目</w:t>
            </w:r>
          </w:p>
        </w:tc>
        <w:tc>
          <w:tcPr>
            <w:tcW w:w="1474" w:type="dxa"/>
            <w:vAlign w:val="center"/>
          </w:tcPr>
          <w:p w14:paraId="356FE10A">
            <w:pPr>
              <w:pStyle w:val="10"/>
            </w:pPr>
            <w:r>
              <w:t>金额</w:t>
            </w:r>
          </w:p>
        </w:tc>
        <w:tc>
          <w:tcPr>
            <w:tcW w:w="3402" w:type="dxa"/>
            <w:vAlign w:val="center"/>
          </w:tcPr>
          <w:p w14:paraId="4ADD3D41">
            <w:pPr>
              <w:pStyle w:val="10"/>
            </w:pPr>
            <w:r>
              <w:t>项  目</w:t>
            </w:r>
          </w:p>
        </w:tc>
        <w:tc>
          <w:tcPr>
            <w:tcW w:w="1474" w:type="dxa"/>
            <w:vAlign w:val="center"/>
          </w:tcPr>
          <w:p w14:paraId="50F1C593">
            <w:pPr>
              <w:pStyle w:val="10"/>
            </w:pPr>
            <w:r>
              <w:t>合计</w:t>
            </w:r>
          </w:p>
        </w:tc>
        <w:tc>
          <w:tcPr>
            <w:tcW w:w="1474" w:type="dxa"/>
            <w:vAlign w:val="center"/>
          </w:tcPr>
          <w:p w14:paraId="1D0133CD">
            <w:pPr>
              <w:pStyle w:val="10"/>
            </w:pPr>
            <w:r>
              <w:t>一般公共预算财政拨款</w:t>
            </w:r>
          </w:p>
        </w:tc>
        <w:tc>
          <w:tcPr>
            <w:tcW w:w="1474" w:type="dxa"/>
            <w:vAlign w:val="center"/>
          </w:tcPr>
          <w:p w14:paraId="58C3760C">
            <w:pPr>
              <w:pStyle w:val="10"/>
            </w:pPr>
            <w:r>
              <w:t>政府性基金预算财政    拨款</w:t>
            </w:r>
          </w:p>
        </w:tc>
        <w:tc>
          <w:tcPr>
            <w:tcW w:w="1474" w:type="dxa"/>
            <w:vAlign w:val="center"/>
          </w:tcPr>
          <w:p w14:paraId="1E287A19">
            <w:pPr>
              <w:pStyle w:val="10"/>
            </w:pPr>
            <w:r>
              <w:t>国有资本经营预算财政拨款</w:t>
            </w:r>
          </w:p>
        </w:tc>
      </w:tr>
      <w:tr w14:paraId="134B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054343">
            <w:pPr>
              <w:pStyle w:val="10"/>
            </w:pPr>
            <w:r>
              <w:t>栏次</w:t>
            </w:r>
          </w:p>
        </w:tc>
        <w:tc>
          <w:tcPr>
            <w:tcW w:w="3402" w:type="dxa"/>
            <w:vAlign w:val="center"/>
          </w:tcPr>
          <w:p w14:paraId="47B485FE">
            <w:pPr>
              <w:pStyle w:val="10"/>
            </w:pPr>
            <w:r>
              <w:t>1</w:t>
            </w:r>
          </w:p>
        </w:tc>
        <w:tc>
          <w:tcPr>
            <w:tcW w:w="1474" w:type="dxa"/>
            <w:vAlign w:val="center"/>
          </w:tcPr>
          <w:p w14:paraId="446F8DBA">
            <w:pPr>
              <w:pStyle w:val="10"/>
            </w:pPr>
            <w:r>
              <w:t>2</w:t>
            </w:r>
          </w:p>
        </w:tc>
        <w:tc>
          <w:tcPr>
            <w:tcW w:w="3402" w:type="dxa"/>
            <w:vAlign w:val="center"/>
          </w:tcPr>
          <w:p w14:paraId="6E92AB0B">
            <w:pPr>
              <w:pStyle w:val="10"/>
            </w:pPr>
            <w:r>
              <w:t>3</w:t>
            </w:r>
          </w:p>
        </w:tc>
        <w:tc>
          <w:tcPr>
            <w:tcW w:w="1474" w:type="dxa"/>
            <w:vAlign w:val="center"/>
          </w:tcPr>
          <w:p w14:paraId="2373E39E">
            <w:pPr>
              <w:pStyle w:val="10"/>
            </w:pPr>
            <w:r>
              <w:t>4</w:t>
            </w:r>
          </w:p>
        </w:tc>
        <w:tc>
          <w:tcPr>
            <w:tcW w:w="1474" w:type="dxa"/>
            <w:vAlign w:val="center"/>
          </w:tcPr>
          <w:p w14:paraId="7B09CA6B">
            <w:pPr>
              <w:pStyle w:val="10"/>
            </w:pPr>
            <w:r>
              <w:t>5</w:t>
            </w:r>
          </w:p>
        </w:tc>
        <w:tc>
          <w:tcPr>
            <w:tcW w:w="1474" w:type="dxa"/>
            <w:vAlign w:val="center"/>
          </w:tcPr>
          <w:p w14:paraId="2AD14619">
            <w:pPr>
              <w:pStyle w:val="10"/>
            </w:pPr>
            <w:r>
              <w:t>6</w:t>
            </w:r>
          </w:p>
        </w:tc>
        <w:tc>
          <w:tcPr>
            <w:tcW w:w="1474" w:type="dxa"/>
            <w:vAlign w:val="center"/>
          </w:tcPr>
          <w:p w14:paraId="27975C09">
            <w:pPr>
              <w:pStyle w:val="10"/>
            </w:pPr>
            <w:r>
              <w:t>7</w:t>
            </w:r>
          </w:p>
        </w:tc>
      </w:tr>
      <w:tr w14:paraId="2A29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DB39">
            <w:pPr>
              <w:pStyle w:val="13"/>
            </w:pPr>
            <w:r>
              <w:t>1</w:t>
            </w:r>
          </w:p>
        </w:tc>
        <w:tc>
          <w:tcPr>
            <w:tcW w:w="3402" w:type="dxa"/>
            <w:vAlign w:val="center"/>
          </w:tcPr>
          <w:p w14:paraId="403AC690">
            <w:pPr>
              <w:pStyle w:val="12"/>
            </w:pPr>
            <w:r>
              <w:t>一、一般公共预算拨款</w:t>
            </w:r>
          </w:p>
        </w:tc>
        <w:tc>
          <w:tcPr>
            <w:tcW w:w="1474" w:type="dxa"/>
            <w:vAlign w:val="center"/>
          </w:tcPr>
          <w:p w14:paraId="494B7C60">
            <w:pPr>
              <w:pStyle w:val="11"/>
            </w:pPr>
            <w:r>
              <w:t>834.13</w:t>
            </w:r>
          </w:p>
        </w:tc>
        <w:tc>
          <w:tcPr>
            <w:tcW w:w="3402" w:type="dxa"/>
            <w:vAlign w:val="center"/>
          </w:tcPr>
          <w:p w14:paraId="66F95B30">
            <w:pPr>
              <w:pStyle w:val="12"/>
            </w:pPr>
            <w:r>
              <w:t>一、一般公共服务支出</w:t>
            </w:r>
          </w:p>
        </w:tc>
        <w:tc>
          <w:tcPr>
            <w:tcW w:w="1474" w:type="dxa"/>
            <w:vAlign w:val="center"/>
          </w:tcPr>
          <w:p w14:paraId="5F18D315">
            <w:pPr>
              <w:pStyle w:val="11"/>
            </w:pPr>
          </w:p>
        </w:tc>
        <w:tc>
          <w:tcPr>
            <w:tcW w:w="1474" w:type="dxa"/>
            <w:vAlign w:val="center"/>
          </w:tcPr>
          <w:p w14:paraId="2A57DB65">
            <w:pPr>
              <w:pStyle w:val="11"/>
            </w:pPr>
          </w:p>
        </w:tc>
        <w:tc>
          <w:tcPr>
            <w:tcW w:w="1474" w:type="dxa"/>
            <w:vAlign w:val="center"/>
          </w:tcPr>
          <w:p w14:paraId="0054109F">
            <w:pPr>
              <w:pStyle w:val="11"/>
            </w:pPr>
          </w:p>
        </w:tc>
        <w:tc>
          <w:tcPr>
            <w:tcW w:w="1474" w:type="dxa"/>
            <w:vAlign w:val="center"/>
          </w:tcPr>
          <w:p w14:paraId="13A1F242">
            <w:pPr>
              <w:pStyle w:val="11"/>
            </w:pPr>
          </w:p>
        </w:tc>
      </w:tr>
      <w:tr w14:paraId="4C67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1C0A1">
            <w:pPr>
              <w:pStyle w:val="13"/>
            </w:pPr>
            <w:r>
              <w:t>2</w:t>
            </w:r>
          </w:p>
        </w:tc>
        <w:tc>
          <w:tcPr>
            <w:tcW w:w="3402" w:type="dxa"/>
            <w:vAlign w:val="center"/>
          </w:tcPr>
          <w:p w14:paraId="53E0DA15">
            <w:pPr>
              <w:pStyle w:val="12"/>
            </w:pPr>
            <w:r>
              <w:t>二、政府性基金预算拨款</w:t>
            </w:r>
          </w:p>
        </w:tc>
        <w:tc>
          <w:tcPr>
            <w:tcW w:w="1474" w:type="dxa"/>
            <w:vAlign w:val="center"/>
          </w:tcPr>
          <w:p w14:paraId="1D1C2B11">
            <w:pPr>
              <w:pStyle w:val="11"/>
            </w:pPr>
          </w:p>
        </w:tc>
        <w:tc>
          <w:tcPr>
            <w:tcW w:w="3402" w:type="dxa"/>
            <w:vAlign w:val="center"/>
          </w:tcPr>
          <w:p w14:paraId="6E468CD0">
            <w:pPr>
              <w:pStyle w:val="12"/>
            </w:pPr>
            <w:r>
              <w:t>二、外交支出</w:t>
            </w:r>
          </w:p>
        </w:tc>
        <w:tc>
          <w:tcPr>
            <w:tcW w:w="1474" w:type="dxa"/>
            <w:vAlign w:val="center"/>
          </w:tcPr>
          <w:p w14:paraId="01FD7AA9">
            <w:pPr>
              <w:pStyle w:val="11"/>
            </w:pPr>
          </w:p>
        </w:tc>
        <w:tc>
          <w:tcPr>
            <w:tcW w:w="1474" w:type="dxa"/>
            <w:vAlign w:val="center"/>
          </w:tcPr>
          <w:p w14:paraId="73BE4411">
            <w:pPr>
              <w:pStyle w:val="11"/>
            </w:pPr>
          </w:p>
        </w:tc>
        <w:tc>
          <w:tcPr>
            <w:tcW w:w="1474" w:type="dxa"/>
            <w:vAlign w:val="center"/>
          </w:tcPr>
          <w:p w14:paraId="1796DE95">
            <w:pPr>
              <w:pStyle w:val="11"/>
            </w:pPr>
          </w:p>
        </w:tc>
        <w:tc>
          <w:tcPr>
            <w:tcW w:w="1474" w:type="dxa"/>
            <w:vAlign w:val="center"/>
          </w:tcPr>
          <w:p w14:paraId="16F3853F">
            <w:pPr>
              <w:pStyle w:val="11"/>
            </w:pPr>
          </w:p>
        </w:tc>
      </w:tr>
      <w:tr w14:paraId="3F79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5E48D">
            <w:pPr>
              <w:pStyle w:val="13"/>
            </w:pPr>
            <w:r>
              <w:t>3</w:t>
            </w:r>
          </w:p>
        </w:tc>
        <w:tc>
          <w:tcPr>
            <w:tcW w:w="3402" w:type="dxa"/>
            <w:vAlign w:val="center"/>
          </w:tcPr>
          <w:p w14:paraId="5C364071">
            <w:pPr>
              <w:pStyle w:val="12"/>
            </w:pPr>
            <w:r>
              <w:t>三、国有资本经营预算拨款</w:t>
            </w:r>
          </w:p>
        </w:tc>
        <w:tc>
          <w:tcPr>
            <w:tcW w:w="1474" w:type="dxa"/>
            <w:vAlign w:val="center"/>
          </w:tcPr>
          <w:p w14:paraId="26693C0E">
            <w:pPr>
              <w:pStyle w:val="11"/>
            </w:pPr>
          </w:p>
        </w:tc>
        <w:tc>
          <w:tcPr>
            <w:tcW w:w="3402" w:type="dxa"/>
            <w:vAlign w:val="center"/>
          </w:tcPr>
          <w:p w14:paraId="15D50781">
            <w:pPr>
              <w:pStyle w:val="12"/>
            </w:pPr>
            <w:r>
              <w:t>三、国防支出</w:t>
            </w:r>
          </w:p>
        </w:tc>
        <w:tc>
          <w:tcPr>
            <w:tcW w:w="1474" w:type="dxa"/>
            <w:vAlign w:val="center"/>
          </w:tcPr>
          <w:p w14:paraId="593A06DF">
            <w:pPr>
              <w:pStyle w:val="11"/>
            </w:pPr>
          </w:p>
        </w:tc>
        <w:tc>
          <w:tcPr>
            <w:tcW w:w="1474" w:type="dxa"/>
            <w:vAlign w:val="center"/>
          </w:tcPr>
          <w:p w14:paraId="08A4DC7D">
            <w:pPr>
              <w:pStyle w:val="11"/>
            </w:pPr>
          </w:p>
        </w:tc>
        <w:tc>
          <w:tcPr>
            <w:tcW w:w="1474" w:type="dxa"/>
            <w:vAlign w:val="center"/>
          </w:tcPr>
          <w:p w14:paraId="7015A45D">
            <w:pPr>
              <w:pStyle w:val="11"/>
            </w:pPr>
          </w:p>
        </w:tc>
        <w:tc>
          <w:tcPr>
            <w:tcW w:w="1474" w:type="dxa"/>
            <w:vAlign w:val="center"/>
          </w:tcPr>
          <w:p w14:paraId="132A6B68">
            <w:pPr>
              <w:pStyle w:val="11"/>
            </w:pPr>
          </w:p>
        </w:tc>
      </w:tr>
      <w:tr w14:paraId="7903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7FEFE">
            <w:pPr>
              <w:pStyle w:val="13"/>
            </w:pPr>
            <w:r>
              <w:t>4</w:t>
            </w:r>
          </w:p>
        </w:tc>
        <w:tc>
          <w:tcPr>
            <w:tcW w:w="3402" w:type="dxa"/>
            <w:vAlign w:val="center"/>
          </w:tcPr>
          <w:p w14:paraId="1C559AA1">
            <w:pPr>
              <w:pStyle w:val="12"/>
            </w:pPr>
          </w:p>
        </w:tc>
        <w:tc>
          <w:tcPr>
            <w:tcW w:w="1474" w:type="dxa"/>
            <w:vAlign w:val="center"/>
          </w:tcPr>
          <w:p w14:paraId="2E459AE3">
            <w:pPr>
              <w:pStyle w:val="11"/>
            </w:pPr>
          </w:p>
        </w:tc>
        <w:tc>
          <w:tcPr>
            <w:tcW w:w="3402" w:type="dxa"/>
            <w:vAlign w:val="center"/>
          </w:tcPr>
          <w:p w14:paraId="4AE3F09B">
            <w:pPr>
              <w:pStyle w:val="12"/>
            </w:pPr>
            <w:r>
              <w:t>四、公共安全支出</w:t>
            </w:r>
          </w:p>
        </w:tc>
        <w:tc>
          <w:tcPr>
            <w:tcW w:w="1474" w:type="dxa"/>
            <w:vAlign w:val="center"/>
          </w:tcPr>
          <w:p w14:paraId="1B4EBD76">
            <w:pPr>
              <w:pStyle w:val="11"/>
            </w:pPr>
          </w:p>
        </w:tc>
        <w:tc>
          <w:tcPr>
            <w:tcW w:w="1474" w:type="dxa"/>
            <w:vAlign w:val="center"/>
          </w:tcPr>
          <w:p w14:paraId="3981EF89">
            <w:pPr>
              <w:pStyle w:val="11"/>
            </w:pPr>
          </w:p>
        </w:tc>
        <w:tc>
          <w:tcPr>
            <w:tcW w:w="1474" w:type="dxa"/>
            <w:vAlign w:val="center"/>
          </w:tcPr>
          <w:p w14:paraId="1A021A33">
            <w:pPr>
              <w:pStyle w:val="11"/>
            </w:pPr>
          </w:p>
        </w:tc>
        <w:tc>
          <w:tcPr>
            <w:tcW w:w="1474" w:type="dxa"/>
            <w:vAlign w:val="center"/>
          </w:tcPr>
          <w:p w14:paraId="6C99B8DD">
            <w:pPr>
              <w:pStyle w:val="11"/>
            </w:pPr>
          </w:p>
        </w:tc>
      </w:tr>
      <w:tr w14:paraId="0DD45AF4">
        <w:tblPrEx>
          <w:tblCellMar>
            <w:top w:w="0" w:type="dxa"/>
            <w:left w:w="108" w:type="dxa"/>
            <w:bottom w:w="0" w:type="dxa"/>
            <w:right w:w="108" w:type="dxa"/>
          </w:tblCellMar>
        </w:tblPrEx>
        <w:trPr>
          <w:trHeight w:val="369" w:hRule="atLeast"/>
          <w:jc w:val="center"/>
        </w:trPr>
        <w:tc>
          <w:tcPr>
            <w:tcW w:w="850" w:type="dxa"/>
            <w:vAlign w:val="center"/>
          </w:tcPr>
          <w:p w14:paraId="0304E08F">
            <w:pPr>
              <w:pStyle w:val="13"/>
            </w:pPr>
            <w:r>
              <w:t>5</w:t>
            </w:r>
          </w:p>
        </w:tc>
        <w:tc>
          <w:tcPr>
            <w:tcW w:w="3402" w:type="dxa"/>
            <w:vAlign w:val="center"/>
          </w:tcPr>
          <w:p w14:paraId="2316EDE0">
            <w:pPr>
              <w:pStyle w:val="12"/>
            </w:pPr>
          </w:p>
        </w:tc>
        <w:tc>
          <w:tcPr>
            <w:tcW w:w="1474" w:type="dxa"/>
            <w:vAlign w:val="center"/>
          </w:tcPr>
          <w:p w14:paraId="08DCF3BC">
            <w:pPr>
              <w:pStyle w:val="11"/>
            </w:pPr>
          </w:p>
        </w:tc>
        <w:tc>
          <w:tcPr>
            <w:tcW w:w="3402" w:type="dxa"/>
            <w:vAlign w:val="center"/>
          </w:tcPr>
          <w:p w14:paraId="5DB3C0C3">
            <w:pPr>
              <w:pStyle w:val="12"/>
            </w:pPr>
            <w:r>
              <w:t>五、教育支出</w:t>
            </w:r>
          </w:p>
        </w:tc>
        <w:tc>
          <w:tcPr>
            <w:tcW w:w="1474" w:type="dxa"/>
            <w:vAlign w:val="center"/>
          </w:tcPr>
          <w:p w14:paraId="4CD063BC">
            <w:pPr>
              <w:pStyle w:val="11"/>
            </w:pPr>
            <w:r>
              <w:t>834.13</w:t>
            </w:r>
          </w:p>
        </w:tc>
        <w:tc>
          <w:tcPr>
            <w:tcW w:w="1474" w:type="dxa"/>
            <w:vAlign w:val="center"/>
          </w:tcPr>
          <w:p w14:paraId="20ECBE6D">
            <w:pPr>
              <w:pStyle w:val="11"/>
            </w:pPr>
            <w:r>
              <w:t>834.13</w:t>
            </w:r>
          </w:p>
        </w:tc>
        <w:tc>
          <w:tcPr>
            <w:tcW w:w="1474" w:type="dxa"/>
            <w:vAlign w:val="center"/>
          </w:tcPr>
          <w:p w14:paraId="008C19D9">
            <w:pPr>
              <w:pStyle w:val="11"/>
            </w:pPr>
          </w:p>
        </w:tc>
        <w:tc>
          <w:tcPr>
            <w:tcW w:w="1474" w:type="dxa"/>
            <w:vAlign w:val="center"/>
          </w:tcPr>
          <w:p w14:paraId="75EDB50D">
            <w:pPr>
              <w:pStyle w:val="11"/>
            </w:pPr>
          </w:p>
        </w:tc>
      </w:tr>
      <w:tr w14:paraId="31572A4E">
        <w:tblPrEx>
          <w:tblCellMar>
            <w:top w:w="0" w:type="dxa"/>
            <w:left w:w="108" w:type="dxa"/>
            <w:bottom w:w="0" w:type="dxa"/>
            <w:right w:w="108" w:type="dxa"/>
          </w:tblCellMar>
        </w:tblPrEx>
        <w:trPr>
          <w:trHeight w:val="369" w:hRule="atLeast"/>
          <w:jc w:val="center"/>
        </w:trPr>
        <w:tc>
          <w:tcPr>
            <w:tcW w:w="850" w:type="dxa"/>
            <w:vAlign w:val="center"/>
          </w:tcPr>
          <w:p w14:paraId="522BEA8D">
            <w:pPr>
              <w:pStyle w:val="13"/>
            </w:pPr>
            <w:r>
              <w:t>6</w:t>
            </w:r>
          </w:p>
        </w:tc>
        <w:tc>
          <w:tcPr>
            <w:tcW w:w="3402" w:type="dxa"/>
            <w:vAlign w:val="center"/>
          </w:tcPr>
          <w:p w14:paraId="2A2F4B1A">
            <w:pPr>
              <w:pStyle w:val="12"/>
            </w:pPr>
          </w:p>
        </w:tc>
        <w:tc>
          <w:tcPr>
            <w:tcW w:w="1474" w:type="dxa"/>
            <w:vAlign w:val="center"/>
          </w:tcPr>
          <w:p w14:paraId="662BC148">
            <w:pPr>
              <w:pStyle w:val="11"/>
            </w:pPr>
          </w:p>
        </w:tc>
        <w:tc>
          <w:tcPr>
            <w:tcW w:w="3402" w:type="dxa"/>
            <w:vAlign w:val="center"/>
          </w:tcPr>
          <w:p w14:paraId="13B91ECC">
            <w:pPr>
              <w:pStyle w:val="12"/>
            </w:pPr>
            <w:r>
              <w:t>六、科学技术支出</w:t>
            </w:r>
          </w:p>
        </w:tc>
        <w:tc>
          <w:tcPr>
            <w:tcW w:w="1474" w:type="dxa"/>
            <w:vAlign w:val="center"/>
          </w:tcPr>
          <w:p w14:paraId="132E9C30">
            <w:pPr>
              <w:pStyle w:val="11"/>
            </w:pPr>
          </w:p>
        </w:tc>
        <w:tc>
          <w:tcPr>
            <w:tcW w:w="1474" w:type="dxa"/>
            <w:vAlign w:val="center"/>
          </w:tcPr>
          <w:p w14:paraId="5B81D321">
            <w:pPr>
              <w:pStyle w:val="11"/>
            </w:pPr>
          </w:p>
        </w:tc>
        <w:tc>
          <w:tcPr>
            <w:tcW w:w="1474" w:type="dxa"/>
            <w:vAlign w:val="center"/>
          </w:tcPr>
          <w:p w14:paraId="7EB7C8A1">
            <w:pPr>
              <w:pStyle w:val="11"/>
            </w:pPr>
          </w:p>
        </w:tc>
        <w:tc>
          <w:tcPr>
            <w:tcW w:w="1474" w:type="dxa"/>
            <w:vAlign w:val="center"/>
          </w:tcPr>
          <w:p w14:paraId="027711C7">
            <w:pPr>
              <w:pStyle w:val="11"/>
            </w:pPr>
          </w:p>
        </w:tc>
      </w:tr>
      <w:tr w14:paraId="0C53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5CD55">
            <w:pPr>
              <w:pStyle w:val="13"/>
            </w:pPr>
            <w:r>
              <w:t>7</w:t>
            </w:r>
          </w:p>
        </w:tc>
        <w:tc>
          <w:tcPr>
            <w:tcW w:w="3402" w:type="dxa"/>
            <w:vAlign w:val="center"/>
          </w:tcPr>
          <w:p w14:paraId="5817DB0B">
            <w:pPr>
              <w:pStyle w:val="12"/>
            </w:pPr>
          </w:p>
        </w:tc>
        <w:tc>
          <w:tcPr>
            <w:tcW w:w="1474" w:type="dxa"/>
            <w:vAlign w:val="center"/>
          </w:tcPr>
          <w:p w14:paraId="5FEB1A70">
            <w:pPr>
              <w:pStyle w:val="11"/>
            </w:pPr>
          </w:p>
        </w:tc>
        <w:tc>
          <w:tcPr>
            <w:tcW w:w="3402" w:type="dxa"/>
            <w:vAlign w:val="center"/>
          </w:tcPr>
          <w:p w14:paraId="10E0366F">
            <w:pPr>
              <w:pStyle w:val="12"/>
            </w:pPr>
            <w:r>
              <w:t>七、文化旅游体育与传媒支出</w:t>
            </w:r>
          </w:p>
        </w:tc>
        <w:tc>
          <w:tcPr>
            <w:tcW w:w="1474" w:type="dxa"/>
            <w:vAlign w:val="center"/>
          </w:tcPr>
          <w:p w14:paraId="37A4AD37">
            <w:pPr>
              <w:pStyle w:val="11"/>
            </w:pPr>
          </w:p>
        </w:tc>
        <w:tc>
          <w:tcPr>
            <w:tcW w:w="1474" w:type="dxa"/>
            <w:vAlign w:val="center"/>
          </w:tcPr>
          <w:p w14:paraId="5CB3B1B9">
            <w:pPr>
              <w:pStyle w:val="11"/>
            </w:pPr>
          </w:p>
        </w:tc>
        <w:tc>
          <w:tcPr>
            <w:tcW w:w="1474" w:type="dxa"/>
            <w:vAlign w:val="center"/>
          </w:tcPr>
          <w:p w14:paraId="3AB9BA9D">
            <w:pPr>
              <w:pStyle w:val="11"/>
            </w:pPr>
          </w:p>
        </w:tc>
        <w:tc>
          <w:tcPr>
            <w:tcW w:w="1474" w:type="dxa"/>
            <w:vAlign w:val="center"/>
          </w:tcPr>
          <w:p w14:paraId="2D25F91C">
            <w:pPr>
              <w:pStyle w:val="11"/>
            </w:pPr>
          </w:p>
        </w:tc>
      </w:tr>
      <w:tr w14:paraId="79B3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9D20">
            <w:pPr>
              <w:pStyle w:val="13"/>
            </w:pPr>
            <w:r>
              <w:t>8</w:t>
            </w:r>
          </w:p>
        </w:tc>
        <w:tc>
          <w:tcPr>
            <w:tcW w:w="3402" w:type="dxa"/>
            <w:vAlign w:val="center"/>
          </w:tcPr>
          <w:p w14:paraId="02413314">
            <w:pPr>
              <w:pStyle w:val="12"/>
            </w:pPr>
          </w:p>
        </w:tc>
        <w:tc>
          <w:tcPr>
            <w:tcW w:w="1474" w:type="dxa"/>
            <w:vAlign w:val="center"/>
          </w:tcPr>
          <w:p w14:paraId="4781E7FE">
            <w:pPr>
              <w:pStyle w:val="11"/>
            </w:pPr>
          </w:p>
        </w:tc>
        <w:tc>
          <w:tcPr>
            <w:tcW w:w="3402" w:type="dxa"/>
            <w:vAlign w:val="center"/>
          </w:tcPr>
          <w:p w14:paraId="1F87C69D">
            <w:pPr>
              <w:pStyle w:val="12"/>
            </w:pPr>
            <w:r>
              <w:t>八、社会保障和就业支出</w:t>
            </w:r>
          </w:p>
        </w:tc>
        <w:tc>
          <w:tcPr>
            <w:tcW w:w="1474" w:type="dxa"/>
            <w:vAlign w:val="center"/>
          </w:tcPr>
          <w:p w14:paraId="53034ADD">
            <w:pPr>
              <w:pStyle w:val="11"/>
            </w:pPr>
          </w:p>
        </w:tc>
        <w:tc>
          <w:tcPr>
            <w:tcW w:w="1474" w:type="dxa"/>
            <w:vAlign w:val="center"/>
          </w:tcPr>
          <w:p w14:paraId="3B511151">
            <w:pPr>
              <w:pStyle w:val="11"/>
            </w:pPr>
          </w:p>
        </w:tc>
        <w:tc>
          <w:tcPr>
            <w:tcW w:w="1474" w:type="dxa"/>
            <w:vAlign w:val="center"/>
          </w:tcPr>
          <w:p w14:paraId="01F73E4B">
            <w:pPr>
              <w:pStyle w:val="11"/>
            </w:pPr>
          </w:p>
        </w:tc>
        <w:tc>
          <w:tcPr>
            <w:tcW w:w="1474" w:type="dxa"/>
            <w:vAlign w:val="center"/>
          </w:tcPr>
          <w:p w14:paraId="3F0E5C38">
            <w:pPr>
              <w:pStyle w:val="11"/>
            </w:pPr>
          </w:p>
        </w:tc>
      </w:tr>
      <w:tr w14:paraId="1ED8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36494">
            <w:pPr>
              <w:pStyle w:val="13"/>
            </w:pPr>
            <w:r>
              <w:t>9</w:t>
            </w:r>
          </w:p>
        </w:tc>
        <w:tc>
          <w:tcPr>
            <w:tcW w:w="3402" w:type="dxa"/>
            <w:vAlign w:val="center"/>
          </w:tcPr>
          <w:p w14:paraId="49402B1F">
            <w:pPr>
              <w:pStyle w:val="12"/>
            </w:pPr>
          </w:p>
        </w:tc>
        <w:tc>
          <w:tcPr>
            <w:tcW w:w="1474" w:type="dxa"/>
            <w:vAlign w:val="center"/>
          </w:tcPr>
          <w:p w14:paraId="18D0FD2A">
            <w:pPr>
              <w:pStyle w:val="11"/>
            </w:pPr>
          </w:p>
        </w:tc>
        <w:tc>
          <w:tcPr>
            <w:tcW w:w="3402" w:type="dxa"/>
            <w:vAlign w:val="center"/>
          </w:tcPr>
          <w:p w14:paraId="12B07507">
            <w:pPr>
              <w:pStyle w:val="12"/>
            </w:pPr>
            <w:r>
              <w:t>九、社会保险基金支出</w:t>
            </w:r>
          </w:p>
        </w:tc>
        <w:tc>
          <w:tcPr>
            <w:tcW w:w="1474" w:type="dxa"/>
            <w:vAlign w:val="center"/>
          </w:tcPr>
          <w:p w14:paraId="76D6D6FA">
            <w:pPr>
              <w:pStyle w:val="11"/>
            </w:pPr>
          </w:p>
        </w:tc>
        <w:tc>
          <w:tcPr>
            <w:tcW w:w="1474" w:type="dxa"/>
            <w:vAlign w:val="center"/>
          </w:tcPr>
          <w:p w14:paraId="26FF3632">
            <w:pPr>
              <w:pStyle w:val="11"/>
            </w:pPr>
          </w:p>
        </w:tc>
        <w:tc>
          <w:tcPr>
            <w:tcW w:w="1474" w:type="dxa"/>
            <w:vAlign w:val="center"/>
          </w:tcPr>
          <w:p w14:paraId="13E996AA">
            <w:pPr>
              <w:pStyle w:val="11"/>
            </w:pPr>
          </w:p>
        </w:tc>
        <w:tc>
          <w:tcPr>
            <w:tcW w:w="1474" w:type="dxa"/>
            <w:vAlign w:val="center"/>
          </w:tcPr>
          <w:p w14:paraId="5033C374">
            <w:pPr>
              <w:pStyle w:val="11"/>
            </w:pPr>
          </w:p>
        </w:tc>
      </w:tr>
      <w:tr w14:paraId="5E4B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C0AF">
            <w:pPr>
              <w:pStyle w:val="13"/>
            </w:pPr>
            <w:r>
              <w:t>10</w:t>
            </w:r>
          </w:p>
        </w:tc>
        <w:tc>
          <w:tcPr>
            <w:tcW w:w="3402" w:type="dxa"/>
            <w:vAlign w:val="center"/>
          </w:tcPr>
          <w:p w14:paraId="6D09E178">
            <w:pPr>
              <w:pStyle w:val="12"/>
            </w:pPr>
          </w:p>
        </w:tc>
        <w:tc>
          <w:tcPr>
            <w:tcW w:w="1474" w:type="dxa"/>
            <w:vAlign w:val="center"/>
          </w:tcPr>
          <w:p w14:paraId="6F0D17E5">
            <w:pPr>
              <w:pStyle w:val="11"/>
            </w:pPr>
          </w:p>
        </w:tc>
        <w:tc>
          <w:tcPr>
            <w:tcW w:w="3402" w:type="dxa"/>
            <w:vAlign w:val="center"/>
          </w:tcPr>
          <w:p w14:paraId="7DBEC1C9">
            <w:pPr>
              <w:pStyle w:val="12"/>
            </w:pPr>
            <w:r>
              <w:t>十、卫生健康支出</w:t>
            </w:r>
          </w:p>
        </w:tc>
        <w:tc>
          <w:tcPr>
            <w:tcW w:w="1474" w:type="dxa"/>
            <w:vAlign w:val="center"/>
          </w:tcPr>
          <w:p w14:paraId="097D75BC">
            <w:pPr>
              <w:pStyle w:val="11"/>
            </w:pPr>
          </w:p>
        </w:tc>
        <w:tc>
          <w:tcPr>
            <w:tcW w:w="1474" w:type="dxa"/>
            <w:vAlign w:val="center"/>
          </w:tcPr>
          <w:p w14:paraId="46F7F572">
            <w:pPr>
              <w:pStyle w:val="11"/>
            </w:pPr>
          </w:p>
        </w:tc>
        <w:tc>
          <w:tcPr>
            <w:tcW w:w="1474" w:type="dxa"/>
            <w:vAlign w:val="center"/>
          </w:tcPr>
          <w:p w14:paraId="4F9A2586">
            <w:pPr>
              <w:pStyle w:val="11"/>
            </w:pPr>
          </w:p>
        </w:tc>
        <w:tc>
          <w:tcPr>
            <w:tcW w:w="1474" w:type="dxa"/>
            <w:vAlign w:val="center"/>
          </w:tcPr>
          <w:p w14:paraId="736A1B07">
            <w:pPr>
              <w:pStyle w:val="11"/>
            </w:pPr>
          </w:p>
        </w:tc>
      </w:tr>
      <w:tr w14:paraId="299F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122F2">
            <w:pPr>
              <w:pStyle w:val="13"/>
            </w:pPr>
            <w:r>
              <w:t>11</w:t>
            </w:r>
          </w:p>
        </w:tc>
        <w:tc>
          <w:tcPr>
            <w:tcW w:w="3402" w:type="dxa"/>
            <w:vAlign w:val="center"/>
          </w:tcPr>
          <w:p w14:paraId="7EF19815">
            <w:pPr>
              <w:pStyle w:val="12"/>
            </w:pPr>
          </w:p>
        </w:tc>
        <w:tc>
          <w:tcPr>
            <w:tcW w:w="1474" w:type="dxa"/>
            <w:vAlign w:val="center"/>
          </w:tcPr>
          <w:p w14:paraId="69A1C2D8">
            <w:pPr>
              <w:pStyle w:val="11"/>
            </w:pPr>
          </w:p>
        </w:tc>
        <w:tc>
          <w:tcPr>
            <w:tcW w:w="3402" w:type="dxa"/>
            <w:vAlign w:val="center"/>
          </w:tcPr>
          <w:p w14:paraId="5ADF2D99">
            <w:pPr>
              <w:pStyle w:val="12"/>
            </w:pPr>
            <w:r>
              <w:t>十一、节能环保支出</w:t>
            </w:r>
          </w:p>
        </w:tc>
        <w:tc>
          <w:tcPr>
            <w:tcW w:w="1474" w:type="dxa"/>
            <w:vAlign w:val="center"/>
          </w:tcPr>
          <w:p w14:paraId="2107CD50">
            <w:pPr>
              <w:pStyle w:val="11"/>
            </w:pPr>
          </w:p>
        </w:tc>
        <w:tc>
          <w:tcPr>
            <w:tcW w:w="1474" w:type="dxa"/>
            <w:vAlign w:val="center"/>
          </w:tcPr>
          <w:p w14:paraId="4E188869">
            <w:pPr>
              <w:pStyle w:val="11"/>
            </w:pPr>
          </w:p>
        </w:tc>
        <w:tc>
          <w:tcPr>
            <w:tcW w:w="1474" w:type="dxa"/>
            <w:vAlign w:val="center"/>
          </w:tcPr>
          <w:p w14:paraId="65ED261A">
            <w:pPr>
              <w:pStyle w:val="11"/>
            </w:pPr>
          </w:p>
        </w:tc>
        <w:tc>
          <w:tcPr>
            <w:tcW w:w="1474" w:type="dxa"/>
            <w:vAlign w:val="center"/>
          </w:tcPr>
          <w:p w14:paraId="6D3C1C2E">
            <w:pPr>
              <w:pStyle w:val="11"/>
            </w:pPr>
          </w:p>
        </w:tc>
      </w:tr>
      <w:tr w14:paraId="3F44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4BA73">
            <w:pPr>
              <w:pStyle w:val="13"/>
            </w:pPr>
            <w:r>
              <w:t>12</w:t>
            </w:r>
          </w:p>
        </w:tc>
        <w:tc>
          <w:tcPr>
            <w:tcW w:w="3402" w:type="dxa"/>
            <w:vAlign w:val="center"/>
          </w:tcPr>
          <w:p w14:paraId="74C80F39">
            <w:pPr>
              <w:pStyle w:val="12"/>
            </w:pPr>
          </w:p>
        </w:tc>
        <w:tc>
          <w:tcPr>
            <w:tcW w:w="1474" w:type="dxa"/>
            <w:vAlign w:val="center"/>
          </w:tcPr>
          <w:p w14:paraId="65A62743">
            <w:pPr>
              <w:pStyle w:val="11"/>
            </w:pPr>
          </w:p>
        </w:tc>
        <w:tc>
          <w:tcPr>
            <w:tcW w:w="3402" w:type="dxa"/>
            <w:vAlign w:val="center"/>
          </w:tcPr>
          <w:p w14:paraId="11514B42">
            <w:pPr>
              <w:pStyle w:val="12"/>
            </w:pPr>
            <w:r>
              <w:t>十二、城乡社区支出</w:t>
            </w:r>
          </w:p>
        </w:tc>
        <w:tc>
          <w:tcPr>
            <w:tcW w:w="1474" w:type="dxa"/>
            <w:vAlign w:val="center"/>
          </w:tcPr>
          <w:p w14:paraId="20A5CDED">
            <w:pPr>
              <w:pStyle w:val="11"/>
            </w:pPr>
          </w:p>
        </w:tc>
        <w:tc>
          <w:tcPr>
            <w:tcW w:w="1474" w:type="dxa"/>
            <w:vAlign w:val="center"/>
          </w:tcPr>
          <w:p w14:paraId="029BB0E1">
            <w:pPr>
              <w:pStyle w:val="11"/>
            </w:pPr>
          </w:p>
        </w:tc>
        <w:tc>
          <w:tcPr>
            <w:tcW w:w="1474" w:type="dxa"/>
            <w:vAlign w:val="center"/>
          </w:tcPr>
          <w:p w14:paraId="61DC3D01">
            <w:pPr>
              <w:pStyle w:val="11"/>
            </w:pPr>
          </w:p>
        </w:tc>
        <w:tc>
          <w:tcPr>
            <w:tcW w:w="1474" w:type="dxa"/>
            <w:vAlign w:val="center"/>
          </w:tcPr>
          <w:p w14:paraId="0E713BE3">
            <w:pPr>
              <w:pStyle w:val="11"/>
            </w:pPr>
          </w:p>
        </w:tc>
      </w:tr>
      <w:tr w14:paraId="4245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3143C">
            <w:pPr>
              <w:pStyle w:val="13"/>
            </w:pPr>
            <w:r>
              <w:t>13</w:t>
            </w:r>
          </w:p>
        </w:tc>
        <w:tc>
          <w:tcPr>
            <w:tcW w:w="3402" w:type="dxa"/>
            <w:vAlign w:val="center"/>
          </w:tcPr>
          <w:p w14:paraId="57A34625">
            <w:pPr>
              <w:pStyle w:val="12"/>
            </w:pPr>
          </w:p>
        </w:tc>
        <w:tc>
          <w:tcPr>
            <w:tcW w:w="1474" w:type="dxa"/>
            <w:vAlign w:val="center"/>
          </w:tcPr>
          <w:p w14:paraId="557E05EA">
            <w:pPr>
              <w:pStyle w:val="11"/>
            </w:pPr>
          </w:p>
        </w:tc>
        <w:tc>
          <w:tcPr>
            <w:tcW w:w="3402" w:type="dxa"/>
            <w:vAlign w:val="center"/>
          </w:tcPr>
          <w:p w14:paraId="4AA9E670">
            <w:pPr>
              <w:pStyle w:val="12"/>
            </w:pPr>
            <w:r>
              <w:t>十三、农林水支出</w:t>
            </w:r>
          </w:p>
        </w:tc>
        <w:tc>
          <w:tcPr>
            <w:tcW w:w="1474" w:type="dxa"/>
            <w:vAlign w:val="center"/>
          </w:tcPr>
          <w:p w14:paraId="21CAE2A1">
            <w:pPr>
              <w:pStyle w:val="11"/>
            </w:pPr>
          </w:p>
        </w:tc>
        <w:tc>
          <w:tcPr>
            <w:tcW w:w="1474" w:type="dxa"/>
            <w:vAlign w:val="center"/>
          </w:tcPr>
          <w:p w14:paraId="4CA85908">
            <w:pPr>
              <w:pStyle w:val="11"/>
            </w:pPr>
          </w:p>
        </w:tc>
        <w:tc>
          <w:tcPr>
            <w:tcW w:w="1474" w:type="dxa"/>
            <w:vAlign w:val="center"/>
          </w:tcPr>
          <w:p w14:paraId="19C1DD45">
            <w:pPr>
              <w:pStyle w:val="11"/>
            </w:pPr>
          </w:p>
        </w:tc>
        <w:tc>
          <w:tcPr>
            <w:tcW w:w="1474" w:type="dxa"/>
            <w:vAlign w:val="center"/>
          </w:tcPr>
          <w:p w14:paraId="065D8B83">
            <w:pPr>
              <w:pStyle w:val="11"/>
            </w:pPr>
          </w:p>
        </w:tc>
      </w:tr>
      <w:tr w14:paraId="42434C66">
        <w:tblPrEx>
          <w:tblCellMar>
            <w:top w:w="0" w:type="dxa"/>
            <w:left w:w="108" w:type="dxa"/>
            <w:bottom w:w="0" w:type="dxa"/>
            <w:right w:w="108" w:type="dxa"/>
          </w:tblCellMar>
        </w:tblPrEx>
        <w:trPr>
          <w:trHeight w:val="369" w:hRule="atLeast"/>
          <w:jc w:val="center"/>
        </w:trPr>
        <w:tc>
          <w:tcPr>
            <w:tcW w:w="850" w:type="dxa"/>
            <w:vAlign w:val="center"/>
          </w:tcPr>
          <w:p w14:paraId="57E9BAEC">
            <w:pPr>
              <w:pStyle w:val="13"/>
            </w:pPr>
            <w:r>
              <w:t>14</w:t>
            </w:r>
          </w:p>
        </w:tc>
        <w:tc>
          <w:tcPr>
            <w:tcW w:w="3402" w:type="dxa"/>
            <w:vAlign w:val="center"/>
          </w:tcPr>
          <w:p w14:paraId="64792F84">
            <w:pPr>
              <w:pStyle w:val="12"/>
            </w:pPr>
          </w:p>
        </w:tc>
        <w:tc>
          <w:tcPr>
            <w:tcW w:w="1474" w:type="dxa"/>
            <w:vAlign w:val="center"/>
          </w:tcPr>
          <w:p w14:paraId="3C81C024">
            <w:pPr>
              <w:pStyle w:val="11"/>
            </w:pPr>
          </w:p>
        </w:tc>
        <w:tc>
          <w:tcPr>
            <w:tcW w:w="3402" w:type="dxa"/>
            <w:vAlign w:val="center"/>
          </w:tcPr>
          <w:p w14:paraId="6F36997B">
            <w:pPr>
              <w:pStyle w:val="12"/>
            </w:pPr>
            <w:r>
              <w:t>十四、交通运输支出</w:t>
            </w:r>
          </w:p>
        </w:tc>
        <w:tc>
          <w:tcPr>
            <w:tcW w:w="1474" w:type="dxa"/>
            <w:vAlign w:val="center"/>
          </w:tcPr>
          <w:p w14:paraId="17669B8F">
            <w:pPr>
              <w:pStyle w:val="11"/>
            </w:pPr>
          </w:p>
        </w:tc>
        <w:tc>
          <w:tcPr>
            <w:tcW w:w="1474" w:type="dxa"/>
            <w:vAlign w:val="center"/>
          </w:tcPr>
          <w:p w14:paraId="4A7F8444">
            <w:pPr>
              <w:pStyle w:val="11"/>
            </w:pPr>
          </w:p>
        </w:tc>
        <w:tc>
          <w:tcPr>
            <w:tcW w:w="1474" w:type="dxa"/>
            <w:vAlign w:val="center"/>
          </w:tcPr>
          <w:p w14:paraId="2309E568">
            <w:pPr>
              <w:pStyle w:val="11"/>
            </w:pPr>
          </w:p>
        </w:tc>
        <w:tc>
          <w:tcPr>
            <w:tcW w:w="1474" w:type="dxa"/>
            <w:vAlign w:val="center"/>
          </w:tcPr>
          <w:p w14:paraId="2C9022D9">
            <w:pPr>
              <w:pStyle w:val="11"/>
            </w:pPr>
          </w:p>
        </w:tc>
      </w:tr>
      <w:tr w14:paraId="799DB7A4">
        <w:tblPrEx>
          <w:tblCellMar>
            <w:top w:w="0" w:type="dxa"/>
            <w:left w:w="108" w:type="dxa"/>
            <w:bottom w:w="0" w:type="dxa"/>
            <w:right w:w="108" w:type="dxa"/>
          </w:tblCellMar>
        </w:tblPrEx>
        <w:trPr>
          <w:trHeight w:val="369" w:hRule="atLeast"/>
          <w:jc w:val="center"/>
        </w:trPr>
        <w:tc>
          <w:tcPr>
            <w:tcW w:w="850" w:type="dxa"/>
            <w:vAlign w:val="center"/>
          </w:tcPr>
          <w:p w14:paraId="2DD5D9CC">
            <w:pPr>
              <w:pStyle w:val="13"/>
            </w:pPr>
            <w:r>
              <w:t>15</w:t>
            </w:r>
          </w:p>
        </w:tc>
        <w:tc>
          <w:tcPr>
            <w:tcW w:w="3402" w:type="dxa"/>
            <w:vAlign w:val="center"/>
          </w:tcPr>
          <w:p w14:paraId="6BE0335B">
            <w:pPr>
              <w:pStyle w:val="12"/>
            </w:pPr>
          </w:p>
        </w:tc>
        <w:tc>
          <w:tcPr>
            <w:tcW w:w="1474" w:type="dxa"/>
            <w:vAlign w:val="center"/>
          </w:tcPr>
          <w:p w14:paraId="6DDC9A1A">
            <w:pPr>
              <w:pStyle w:val="11"/>
            </w:pPr>
          </w:p>
        </w:tc>
        <w:tc>
          <w:tcPr>
            <w:tcW w:w="3402" w:type="dxa"/>
            <w:vAlign w:val="center"/>
          </w:tcPr>
          <w:p w14:paraId="6D9B9F06">
            <w:pPr>
              <w:pStyle w:val="12"/>
            </w:pPr>
            <w:r>
              <w:t>十五、资源勘探工业信息等支出</w:t>
            </w:r>
          </w:p>
        </w:tc>
        <w:tc>
          <w:tcPr>
            <w:tcW w:w="1474" w:type="dxa"/>
            <w:vAlign w:val="center"/>
          </w:tcPr>
          <w:p w14:paraId="35892953">
            <w:pPr>
              <w:pStyle w:val="11"/>
            </w:pPr>
          </w:p>
        </w:tc>
        <w:tc>
          <w:tcPr>
            <w:tcW w:w="1474" w:type="dxa"/>
            <w:vAlign w:val="center"/>
          </w:tcPr>
          <w:p w14:paraId="4214F3F5">
            <w:pPr>
              <w:pStyle w:val="11"/>
            </w:pPr>
          </w:p>
        </w:tc>
        <w:tc>
          <w:tcPr>
            <w:tcW w:w="1474" w:type="dxa"/>
            <w:vAlign w:val="center"/>
          </w:tcPr>
          <w:p w14:paraId="353BE19C">
            <w:pPr>
              <w:pStyle w:val="11"/>
            </w:pPr>
          </w:p>
        </w:tc>
        <w:tc>
          <w:tcPr>
            <w:tcW w:w="1474" w:type="dxa"/>
            <w:vAlign w:val="center"/>
          </w:tcPr>
          <w:p w14:paraId="505BC509">
            <w:pPr>
              <w:pStyle w:val="11"/>
            </w:pPr>
          </w:p>
        </w:tc>
      </w:tr>
      <w:tr w14:paraId="042EED64">
        <w:tblPrEx>
          <w:tblCellMar>
            <w:top w:w="0" w:type="dxa"/>
            <w:left w:w="108" w:type="dxa"/>
            <w:bottom w:w="0" w:type="dxa"/>
            <w:right w:w="108" w:type="dxa"/>
          </w:tblCellMar>
        </w:tblPrEx>
        <w:trPr>
          <w:trHeight w:val="369" w:hRule="atLeast"/>
          <w:jc w:val="center"/>
        </w:trPr>
        <w:tc>
          <w:tcPr>
            <w:tcW w:w="850" w:type="dxa"/>
            <w:vAlign w:val="center"/>
          </w:tcPr>
          <w:p w14:paraId="616C9E46">
            <w:pPr>
              <w:pStyle w:val="13"/>
            </w:pPr>
            <w:r>
              <w:t>16</w:t>
            </w:r>
          </w:p>
        </w:tc>
        <w:tc>
          <w:tcPr>
            <w:tcW w:w="3402" w:type="dxa"/>
            <w:vAlign w:val="center"/>
          </w:tcPr>
          <w:p w14:paraId="6C58416E">
            <w:pPr>
              <w:pStyle w:val="12"/>
            </w:pPr>
          </w:p>
        </w:tc>
        <w:tc>
          <w:tcPr>
            <w:tcW w:w="1474" w:type="dxa"/>
            <w:vAlign w:val="center"/>
          </w:tcPr>
          <w:p w14:paraId="5750482C">
            <w:pPr>
              <w:pStyle w:val="11"/>
            </w:pPr>
          </w:p>
        </w:tc>
        <w:tc>
          <w:tcPr>
            <w:tcW w:w="3402" w:type="dxa"/>
            <w:vAlign w:val="center"/>
          </w:tcPr>
          <w:p w14:paraId="2CC81A13">
            <w:pPr>
              <w:pStyle w:val="12"/>
            </w:pPr>
            <w:r>
              <w:t>十六、商业服务业等支出</w:t>
            </w:r>
          </w:p>
        </w:tc>
        <w:tc>
          <w:tcPr>
            <w:tcW w:w="1474" w:type="dxa"/>
            <w:vAlign w:val="center"/>
          </w:tcPr>
          <w:p w14:paraId="797E275F">
            <w:pPr>
              <w:pStyle w:val="11"/>
            </w:pPr>
          </w:p>
        </w:tc>
        <w:tc>
          <w:tcPr>
            <w:tcW w:w="1474" w:type="dxa"/>
            <w:vAlign w:val="center"/>
          </w:tcPr>
          <w:p w14:paraId="0E06EF51">
            <w:pPr>
              <w:pStyle w:val="11"/>
            </w:pPr>
          </w:p>
        </w:tc>
        <w:tc>
          <w:tcPr>
            <w:tcW w:w="1474" w:type="dxa"/>
            <w:vAlign w:val="center"/>
          </w:tcPr>
          <w:p w14:paraId="1F7EF2F6">
            <w:pPr>
              <w:pStyle w:val="11"/>
            </w:pPr>
          </w:p>
        </w:tc>
        <w:tc>
          <w:tcPr>
            <w:tcW w:w="1474" w:type="dxa"/>
            <w:vAlign w:val="center"/>
          </w:tcPr>
          <w:p w14:paraId="0CDB1AD2">
            <w:pPr>
              <w:pStyle w:val="11"/>
            </w:pPr>
          </w:p>
        </w:tc>
      </w:tr>
      <w:tr w14:paraId="21CB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23C64">
            <w:pPr>
              <w:pStyle w:val="13"/>
            </w:pPr>
            <w:r>
              <w:t>17</w:t>
            </w:r>
          </w:p>
        </w:tc>
        <w:tc>
          <w:tcPr>
            <w:tcW w:w="3402" w:type="dxa"/>
            <w:vAlign w:val="center"/>
          </w:tcPr>
          <w:p w14:paraId="2865D744">
            <w:pPr>
              <w:pStyle w:val="12"/>
            </w:pPr>
          </w:p>
        </w:tc>
        <w:tc>
          <w:tcPr>
            <w:tcW w:w="1474" w:type="dxa"/>
            <w:vAlign w:val="center"/>
          </w:tcPr>
          <w:p w14:paraId="75A01DB2">
            <w:pPr>
              <w:pStyle w:val="11"/>
            </w:pPr>
          </w:p>
        </w:tc>
        <w:tc>
          <w:tcPr>
            <w:tcW w:w="3402" w:type="dxa"/>
            <w:vAlign w:val="center"/>
          </w:tcPr>
          <w:p w14:paraId="7F8E5F2B">
            <w:pPr>
              <w:pStyle w:val="12"/>
            </w:pPr>
            <w:r>
              <w:t>十七、金融支出</w:t>
            </w:r>
          </w:p>
        </w:tc>
        <w:tc>
          <w:tcPr>
            <w:tcW w:w="1474" w:type="dxa"/>
            <w:vAlign w:val="center"/>
          </w:tcPr>
          <w:p w14:paraId="563A33B9">
            <w:pPr>
              <w:pStyle w:val="11"/>
            </w:pPr>
          </w:p>
        </w:tc>
        <w:tc>
          <w:tcPr>
            <w:tcW w:w="1474" w:type="dxa"/>
            <w:vAlign w:val="center"/>
          </w:tcPr>
          <w:p w14:paraId="1000CD47">
            <w:pPr>
              <w:pStyle w:val="11"/>
            </w:pPr>
          </w:p>
        </w:tc>
        <w:tc>
          <w:tcPr>
            <w:tcW w:w="1474" w:type="dxa"/>
            <w:vAlign w:val="center"/>
          </w:tcPr>
          <w:p w14:paraId="503CDF62">
            <w:pPr>
              <w:pStyle w:val="11"/>
            </w:pPr>
          </w:p>
        </w:tc>
        <w:tc>
          <w:tcPr>
            <w:tcW w:w="1474" w:type="dxa"/>
            <w:vAlign w:val="center"/>
          </w:tcPr>
          <w:p w14:paraId="6C4E016E">
            <w:pPr>
              <w:pStyle w:val="11"/>
            </w:pPr>
          </w:p>
        </w:tc>
      </w:tr>
      <w:tr w14:paraId="00737B86">
        <w:tblPrEx>
          <w:tblCellMar>
            <w:top w:w="0" w:type="dxa"/>
            <w:left w:w="108" w:type="dxa"/>
            <w:bottom w:w="0" w:type="dxa"/>
            <w:right w:w="108" w:type="dxa"/>
          </w:tblCellMar>
        </w:tblPrEx>
        <w:trPr>
          <w:trHeight w:val="369" w:hRule="atLeast"/>
          <w:jc w:val="center"/>
        </w:trPr>
        <w:tc>
          <w:tcPr>
            <w:tcW w:w="850" w:type="dxa"/>
            <w:vAlign w:val="center"/>
          </w:tcPr>
          <w:p w14:paraId="57B0A8E4">
            <w:pPr>
              <w:pStyle w:val="13"/>
            </w:pPr>
            <w:r>
              <w:t>18</w:t>
            </w:r>
          </w:p>
        </w:tc>
        <w:tc>
          <w:tcPr>
            <w:tcW w:w="3402" w:type="dxa"/>
            <w:vAlign w:val="center"/>
          </w:tcPr>
          <w:p w14:paraId="4FEDA170">
            <w:pPr>
              <w:pStyle w:val="12"/>
            </w:pPr>
          </w:p>
        </w:tc>
        <w:tc>
          <w:tcPr>
            <w:tcW w:w="1474" w:type="dxa"/>
            <w:vAlign w:val="center"/>
          </w:tcPr>
          <w:p w14:paraId="3A0F5605">
            <w:pPr>
              <w:pStyle w:val="11"/>
            </w:pPr>
          </w:p>
        </w:tc>
        <w:tc>
          <w:tcPr>
            <w:tcW w:w="3402" w:type="dxa"/>
            <w:vAlign w:val="center"/>
          </w:tcPr>
          <w:p w14:paraId="5570DFB9">
            <w:pPr>
              <w:pStyle w:val="12"/>
            </w:pPr>
            <w:r>
              <w:t>十八、援助其他地区支出</w:t>
            </w:r>
          </w:p>
        </w:tc>
        <w:tc>
          <w:tcPr>
            <w:tcW w:w="1474" w:type="dxa"/>
            <w:vAlign w:val="center"/>
          </w:tcPr>
          <w:p w14:paraId="603BD1C9">
            <w:pPr>
              <w:pStyle w:val="11"/>
            </w:pPr>
          </w:p>
        </w:tc>
        <w:tc>
          <w:tcPr>
            <w:tcW w:w="1474" w:type="dxa"/>
            <w:vAlign w:val="center"/>
          </w:tcPr>
          <w:p w14:paraId="5BD77FA0">
            <w:pPr>
              <w:pStyle w:val="11"/>
            </w:pPr>
          </w:p>
        </w:tc>
        <w:tc>
          <w:tcPr>
            <w:tcW w:w="1474" w:type="dxa"/>
            <w:vAlign w:val="center"/>
          </w:tcPr>
          <w:p w14:paraId="62AF4702">
            <w:pPr>
              <w:pStyle w:val="11"/>
            </w:pPr>
          </w:p>
        </w:tc>
        <w:tc>
          <w:tcPr>
            <w:tcW w:w="1474" w:type="dxa"/>
            <w:vAlign w:val="center"/>
          </w:tcPr>
          <w:p w14:paraId="1A475138">
            <w:pPr>
              <w:pStyle w:val="11"/>
            </w:pPr>
          </w:p>
        </w:tc>
      </w:tr>
      <w:tr w14:paraId="7558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2F94">
            <w:pPr>
              <w:pStyle w:val="13"/>
            </w:pPr>
            <w:r>
              <w:t>19</w:t>
            </w:r>
          </w:p>
        </w:tc>
        <w:tc>
          <w:tcPr>
            <w:tcW w:w="3402" w:type="dxa"/>
            <w:vAlign w:val="center"/>
          </w:tcPr>
          <w:p w14:paraId="1EA00CC5">
            <w:pPr>
              <w:pStyle w:val="12"/>
            </w:pPr>
          </w:p>
        </w:tc>
        <w:tc>
          <w:tcPr>
            <w:tcW w:w="1474" w:type="dxa"/>
            <w:vAlign w:val="center"/>
          </w:tcPr>
          <w:p w14:paraId="0A5097FB">
            <w:pPr>
              <w:pStyle w:val="11"/>
            </w:pPr>
          </w:p>
        </w:tc>
        <w:tc>
          <w:tcPr>
            <w:tcW w:w="3402" w:type="dxa"/>
            <w:vAlign w:val="center"/>
          </w:tcPr>
          <w:p w14:paraId="6DF08DE4">
            <w:pPr>
              <w:pStyle w:val="12"/>
            </w:pPr>
            <w:r>
              <w:t>十九、自然资源海洋气象等支出</w:t>
            </w:r>
          </w:p>
        </w:tc>
        <w:tc>
          <w:tcPr>
            <w:tcW w:w="1474" w:type="dxa"/>
            <w:vAlign w:val="center"/>
          </w:tcPr>
          <w:p w14:paraId="595F7FF4">
            <w:pPr>
              <w:pStyle w:val="11"/>
            </w:pPr>
          </w:p>
        </w:tc>
        <w:tc>
          <w:tcPr>
            <w:tcW w:w="1474" w:type="dxa"/>
            <w:vAlign w:val="center"/>
          </w:tcPr>
          <w:p w14:paraId="6A488AB0">
            <w:pPr>
              <w:pStyle w:val="11"/>
            </w:pPr>
          </w:p>
        </w:tc>
        <w:tc>
          <w:tcPr>
            <w:tcW w:w="1474" w:type="dxa"/>
            <w:vAlign w:val="center"/>
          </w:tcPr>
          <w:p w14:paraId="27A1B5C6">
            <w:pPr>
              <w:pStyle w:val="11"/>
            </w:pPr>
          </w:p>
        </w:tc>
        <w:tc>
          <w:tcPr>
            <w:tcW w:w="1474" w:type="dxa"/>
            <w:vAlign w:val="center"/>
          </w:tcPr>
          <w:p w14:paraId="09DBF562">
            <w:pPr>
              <w:pStyle w:val="11"/>
            </w:pPr>
          </w:p>
        </w:tc>
      </w:tr>
      <w:tr w14:paraId="0F3E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3A849">
            <w:pPr>
              <w:pStyle w:val="13"/>
            </w:pPr>
            <w:r>
              <w:t>20</w:t>
            </w:r>
          </w:p>
        </w:tc>
        <w:tc>
          <w:tcPr>
            <w:tcW w:w="3402" w:type="dxa"/>
            <w:vAlign w:val="center"/>
          </w:tcPr>
          <w:p w14:paraId="07C03E3E">
            <w:pPr>
              <w:pStyle w:val="12"/>
            </w:pPr>
          </w:p>
        </w:tc>
        <w:tc>
          <w:tcPr>
            <w:tcW w:w="1474" w:type="dxa"/>
            <w:vAlign w:val="center"/>
          </w:tcPr>
          <w:p w14:paraId="5518DD37">
            <w:pPr>
              <w:pStyle w:val="11"/>
            </w:pPr>
          </w:p>
        </w:tc>
        <w:tc>
          <w:tcPr>
            <w:tcW w:w="3402" w:type="dxa"/>
            <w:vAlign w:val="center"/>
          </w:tcPr>
          <w:p w14:paraId="71D08A96">
            <w:pPr>
              <w:pStyle w:val="12"/>
            </w:pPr>
            <w:r>
              <w:t>二十、住房保障支出</w:t>
            </w:r>
          </w:p>
        </w:tc>
        <w:tc>
          <w:tcPr>
            <w:tcW w:w="1474" w:type="dxa"/>
            <w:vAlign w:val="center"/>
          </w:tcPr>
          <w:p w14:paraId="2A13B36B">
            <w:pPr>
              <w:pStyle w:val="11"/>
            </w:pPr>
          </w:p>
        </w:tc>
        <w:tc>
          <w:tcPr>
            <w:tcW w:w="1474" w:type="dxa"/>
            <w:vAlign w:val="center"/>
          </w:tcPr>
          <w:p w14:paraId="1AD97274">
            <w:pPr>
              <w:pStyle w:val="11"/>
            </w:pPr>
          </w:p>
        </w:tc>
        <w:tc>
          <w:tcPr>
            <w:tcW w:w="1474" w:type="dxa"/>
            <w:vAlign w:val="center"/>
          </w:tcPr>
          <w:p w14:paraId="45B3B68A">
            <w:pPr>
              <w:pStyle w:val="11"/>
            </w:pPr>
          </w:p>
        </w:tc>
        <w:tc>
          <w:tcPr>
            <w:tcW w:w="1474" w:type="dxa"/>
            <w:vAlign w:val="center"/>
          </w:tcPr>
          <w:p w14:paraId="6128030E">
            <w:pPr>
              <w:pStyle w:val="11"/>
            </w:pPr>
          </w:p>
        </w:tc>
      </w:tr>
      <w:tr w14:paraId="730A9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FDADA">
            <w:pPr>
              <w:pStyle w:val="13"/>
            </w:pPr>
            <w:r>
              <w:t>21</w:t>
            </w:r>
          </w:p>
        </w:tc>
        <w:tc>
          <w:tcPr>
            <w:tcW w:w="3402" w:type="dxa"/>
            <w:vAlign w:val="center"/>
          </w:tcPr>
          <w:p w14:paraId="569FB9C0">
            <w:pPr>
              <w:pStyle w:val="12"/>
            </w:pPr>
          </w:p>
        </w:tc>
        <w:tc>
          <w:tcPr>
            <w:tcW w:w="1474" w:type="dxa"/>
            <w:vAlign w:val="center"/>
          </w:tcPr>
          <w:p w14:paraId="52CC42AA">
            <w:pPr>
              <w:pStyle w:val="11"/>
            </w:pPr>
          </w:p>
        </w:tc>
        <w:tc>
          <w:tcPr>
            <w:tcW w:w="3402" w:type="dxa"/>
            <w:vAlign w:val="center"/>
          </w:tcPr>
          <w:p w14:paraId="3BEA384C">
            <w:pPr>
              <w:pStyle w:val="12"/>
            </w:pPr>
            <w:r>
              <w:t>二十一、粮油物资储备支出</w:t>
            </w:r>
          </w:p>
        </w:tc>
        <w:tc>
          <w:tcPr>
            <w:tcW w:w="1474" w:type="dxa"/>
            <w:vAlign w:val="center"/>
          </w:tcPr>
          <w:p w14:paraId="21CF5C5A">
            <w:pPr>
              <w:pStyle w:val="11"/>
            </w:pPr>
          </w:p>
        </w:tc>
        <w:tc>
          <w:tcPr>
            <w:tcW w:w="1474" w:type="dxa"/>
            <w:vAlign w:val="center"/>
          </w:tcPr>
          <w:p w14:paraId="06E872ED">
            <w:pPr>
              <w:pStyle w:val="11"/>
            </w:pPr>
          </w:p>
        </w:tc>
        <w:tc>
          <w:tcPr>
            <w:tcW w:w="1474" w:type="dxa"/>
            <w:vAlign w:val="center"/>
          </w:tcPr>
          <w:p w14:paraId="5D790F92">
            <w:pPr>
              <w:pStyle w:val="11"/>
            </w:pPr>
          </w:p>
        </w:tc>
        <w:tc>
          <w:tcPr>
            <w:tcW w:w="1474" w:type="dxa"/>
            <w:vAlign w:val="center"/>
          </w:tcPr>
          <w:p w14:paraId="3DA2E9C8">
            <w:pPr>
              <w:pStyle w:val="11"/>
            </w:pPr>
          </w:p>
        </w:tc>
      </w:tr>
      <w:tr w14:paraId="62D1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1B462">
            <w:pPr>
              <w:pStyle w:val="13"/>
            </w:pPr>
            <w:r>
              <w:t>22</w:t>
            </w:r>
          </w:p>
        </w:tc>
        <w:tc>
          <w:tcPr>
            <w:tcW w:w="3402" w:type="dxa"/>
            <w:vAlign w:val="center"/>
          </w:tcPr>
          <w:p w14:paraId="4E75C1D9">
            <w:pPr>
              <w:pStyle w:val="12"/>
            </w:pPr>
          </w:p>
        </w:tc>
        <w:tc>
          <w:tcPr>
            <w:tcW w:w="1474" w:type="dxa"/>
            <w:vAlign w:val="center"/>
          </w:tcPr>
          <w:p w14:paraId="70B6E79D">
            <w:pPr>
              <w:pStyle w:val="11"/>
            </w:pPr>
          </w:p>
        </w:tc>
        <w:tc>
          <w:tcPr>
            <w:tcW w:w="3402" w:type="dxa"/>
            <w:vAlign w:val="center"/>
          </w:tcPr>
          <w:p w14:paraId="70EA3BE7">
            <w:pPr>
              <w:pStyle w:val="12"/>
            </w:pPr>
            <w:r>
              <w:t>二十二、国有资本经营预算支出</w:t>
            </w:r>
          </w:p>
        </w:tc>
        <w:tc>
          <w:tcPr>
            <w:tcW w:w="1474" w:type="dxa"/>
            <w:vAlign w:val="center"/>
          </w:tcPr>
          <w:p w14:paraId="78862439">
            <w:pPr>
              <w:pStyle w:val="11"/>
            </w:pPr>
          </w:p>
        </w:tc>
        <w:tc>
          <w:tcPr>
            <w:tcW w:w="1474" w:type="dxa"/>
            <w:vAlign w:val="center"/>
          </w:tcPr>
          <w:p w14:paraId="345B2520">
            <w:pPr>
              <w:pStyle w:val="11"/>
            </w:pPr>
          </w:p>
        </w:tc>
        <w:tc>
          <w:tcPr>
            <w:tcW w:w="1474" w:type="dxa"/>
            <w:vAlign w:val="center"/>
          </w:tcPr>
          <w:p w14:paraId="1CF9E2C1">
            <w:pPr>
              <w:pStyle w:val="11"/>
            </w:pPr>
          </w:p>
        </w:tc>
        <w:tc>
          <w:tcPr>
            <w:tcW w:w="1474" w:type="dxa"/>
            <w:vAlign w:val="center"/>
          </w:tcPr>
          <w:p w14:paraId="5AB8A81D">
            <w:pPr>
              <w:pStyle w:val="11"/>
            </w:pPr>
          </w:p>
        </w:tc>
      </w:tr>
      <w:tr w14:paraId="69B9CE8B">
        <w:tblPrEx>
          <w:tblCellMar>
            <w:top w:w="0" w:type="dxa"/>
            <w:left w:w="108" w:type="dxa"/>
            <w:bottom w:w="0" w:type="dxa"/>
            <w:right w:w="108" w:type="dxa"/>
          </w:tblCellMar>
        </w:tblPrEx>
        <w:trPr>
          <w:trHeight w:val="369" w:hRule="atLeast"/>
          <w:jc w:val="center"/>
        </w:trPr>
        <w:tc>
          <w:tcPr>
            <w:tcW w:w="850" w:type="dxa"/>
            <w:vAlign w:val="center"/>
          </w:tcPr>
          <w:p w14:paraId="6BD7DF77">
            <w:pPr>
              <w:pStyle w:val="13"/>
            </w:pPr>
            <w:r>
              <w:t>23</w:t>
            </w:r>
          </w:p>
        </w:tc>
        <w:tc>
          <w:tcPr>
            <w:tcW w:w="3402" w:type="dxa"/>
            <w:vAlign w:val="center"/>
          </w:tcPr>
          <w:p w14:paraId="46197647">
            <w:pPr>
              <w:pStyle w:val="12"/>
            </w:pPr>
          </w:p>
        </w:tc>
        <w:tc>
          <w:tcPr>
            <w:tcW w:w="1474" w:type="dxa"/>
            <w:vAlign w:val="center"/>
          </w:tcPr>
          <w:p w14:paraId="030B1DC5">
            <w:pPr>
              <w:pStyle w:val="11"/>
            </w:pPr>
          </w:p>
        </w:tc>
        <w:tc>
          <w:tcPr>
            <w:tcW w:w="3402" w:type="dxa"/>
            <w:vAlign w:val="center"/>
          </w:tcPr>
          <w:p w14:paraId="63F84AD2">
            <w:pPr>
              <w:pStyle w:val="12"/>
            </w:pPr>
            <w:r>
              <w:t>二十三、灾害防治及应急管理支出</w:t>
            </w:r>
          </w:p>
        </w:tc>
        <w:tc>
          <w:tcPr>
            <w:tcW w:w="1474" w:type="dxa"/>
            <w:vAlign w:val="center"/>
          </w:tcPr>
          <w:p w14:paraId="10664CB5">
            <w:pPr>
              <w:pStyle w:val="11"/>
            </w:pPr>
          </w:p>
        </w:tc>
        <w:tc>
          <w:tcPr>
            <w:tcW w:w="1474" w:type="dxa"/>
            <w:vAlign w:val="center"/>
          </w:tcPr>
          <w:p w14:paraId="1F20519E">
            <w:pPr>
              <w:pStyle w:val="11"/>
            </w:pPr>
          </w:p>
        </w:tc>
        <w:tc>
          <w:tcPr>
            <w:tcW w:w="1474" w:type="dxa"/>
            <w:vAlign w:val="center"/>
          </w:tcPr>
          <w:p w14:paraId="66F4E088">
            <w:pPr>
              <w:pStyle w:val="11"/>
            </w:pPr>
          </w:p>
        </w:tc>
        <w:tc>
          <w:tcPr>
            <w:tcW w:w="1474" w:type="dxa"/>
            <w:vAlign w:val="center"/>
          </w:tcPr>
          <w:p w14:paraId="65173E4A">
            <w:pPr>
              <w:pStyle w:val="11"/>
            </w:pPr>
          </w:p>
        </w:tc>
      </w:tr>
      <w:tr w14:paraId="445F63D9">
        <w:tblPrEx>
          <w:tblCellMar>
            <w:top w:w="0" w:type="dxa"/>
            <w:left w:w="108" w:type="dxa"/>
            <w:bottom w:w="0" w:type="dxa"/>
            <w:right w:w="108" w:type="dxa"/>
          </w:tblCellMar>
        </w:tblPrEx>
        <w:trPr>
          <w:trHeight w:val="369" w:hRule="atLeast"/>
          <w:jc w:val="center"/>
        </w:trPr>
        <w:tc>
          <w:tcPr>
            <w:tcW w:w="850" w:type="dxa"/>
            <w:vAlign w:val="center"/>
          </w:tcPr>
          <w:p w14:paraId="5D7B7CF6">
            <w:pPr>
              <w:pStyle w:val="13"/>
            </w:pPr>
            <w:r>
              <w:t>24</w:t>
            </w:r>
          </w:p>
        </w:tc>
        <w:tc>
          <w:tcPr>
            <w:tcW w:w="3402" w:type="dxa"/>
            <w:vAlign w:val="center"/>
          </w:tcPr>
          <w:p w14:paraId="2393675C">
            <w:pPr>
              <w:pStyle w:val="12"/>
            </w:pPr>
          </w:p>
        </w:tc>
        <w:tc>
          <w:tcPr>
            <w:tcW w:w="1474" w:type="dxa"/>
            <w:vAlign w:val="center"/>
          </w:tcPr>
          <w:p w14:paraId="55A0FDD6">
            <w:pPr>
              <w:pStyle w:val="11"/>
            </w:pPr>
          </w:p>
        </w:tc>
        <w:tc>
          <w:tcPr>
            <w:tcW w:w="3402" w:type="dxa"/>
            <w:vAlign w:val="center"/>
          </w:tcPr>
          <w:p w14:paraId="541EFF92">
            <w:pPr>
              <w:pStyle w:val="12"/>
            </w:pPr>
            <w:r>
              <w:t>二十四、预备费</w:t>
            </w:r>
          </w:p>
        </w:tc>
        <w:tc>
          <w:tcPr>
            <w:tcW w:w="1474" w:type="dxa"/>
            <w:vAlign w:val="center"/>
          </w:tcPr>
          <w:p w14:paraId="1BF1594C">
            <w:pPr>
              <w:pStyle w:val="11"/>
            </w:pPr>
          </w:p>
        </w:tc>
        <w:tc>
          <w:tcPr>
            <w:tcW w:w="1474" w:type="dxa"/>
            <w:vAlign w:val="center"/>
          </w:tcPr>
          <w:p w14:paraId="2C1A4649">
            <w:pPr>
              <w:pStyle w:val="11"/>
            </w:pPr>
          </w:p>
        </w:tc>
        <w:tc>
          <w:tcPr>
            <w:tcW w:w="1474" w:type="dxa"/>
            <w:vAlign w:val="center"/>
          </w:tcPr>
          <w:p w14:paraId="1CE98A24">
            <w:pPr>
              <w:pStyle w:val="11"/>
            </w:pPr>
          </w:p>
        </w:tc>
        <w:tc>
          <w:tcPr>
            <w:tcW w:w="1474" w:type="dxa"/>
            <w:vAlign w:val="center"/>
          </w:tcPr>
          <w:p w14:paraId="709992E5">
            <w:pPr>
              <w:pStyle w:val="11"/>
            </w:pPr>
          </w:p>
        </w:tc>
      </w:tr>
      <w:tr w14:paraId="71A5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201B2">
            <w:pPr>
              <w:pStyle w:val="13"/>
            </w:pPr>
            <w:r>
              <w:t>25</w:t>
            </w:r>
          </w:p>
        </w:tc>
        <w:tc>
          <w:tcPr>
            <w:tcW w:w="3402" w:type="dxa"/>
            <w:vAlign w:val="center"/>
          </w:tcPr>
          <w:p w14:paraId="6BEBCEC7">
            <w:pPr>
              <w:pStyle w:val="12"/>
            </w:pPr>
          </w:p>
        </w:tc>
        <w:tc>
          <w:tcPr>
            <w:tcW w:w="1474" w:type="dxa"/>
            <w:vAlign w:val="center"/>
          </w:tcPr>
          <w:p w14:paraId="48D4F356">
            <w:pPr>
              <w:pStyle w:val="11"/>
            </w:pPr>
          </w:p>
        </w:tc>
        <w:tc>
          <w:tcPr>
            <w:tcW w:w="3402" w:type="dxa"/>
            <w:vAlign w:val="center"/>
          </w:tcPr>
          <w:p w14:paraId="1EBC994E">
            <w:pPr>
              <w:pStyle w:val="12"/>
            </w:pPr>
            <w:r>
              <w:t>二十五、其他支出</w:t>
            </w:r>
          </w:p>
        </w:tc>
        <w:tc>
          <w:tcPr>
            <w:tcW w:w="1474" w:type="dxa"/>
            <w:vAlign w:val="center"/>
          </w:tcPr>
          <w:p w14:paraId="2FC04458">
            <w:pPr>
              <w:pStyle w:val="11"/>
            </w:pPr>
          </w:p>
        </w:tc>
        <w:tc>
          <w:tcPr>
            <w:tcW w:w="1474" w:type="dxa"/>
            <w:vAlign w:val="center"/>
          </w:tcPr>
          <w:p w14:paraId="715ABC12">
            <w:pPr>
              <w:pStyle w:val="11"/>
            </w:pPr>
          </w:p>
        </w:tc>
        <w:tc>
          <w:tcPr>
            <w:tcW w:w="1474" w:type="dxa"/>
            <w:vAlign w:val="center"/>
          </w:tcPr>
          <w:p w14:paraId="0EF07AE7">
            <w:pPr>
              <w:pStyle w:val="11"/>
            </w:pPr>
          </w:p>
        </w:tc>
        <w:tc>
          <w:tcPr>
            <w:tcW w:w="1474" w:type="dxa"/>
            <w:vAlign w:val="center"/>
          </w:tcPr>
          <w:p w14:paraId="189E1A65">
            <w:pPr>
              <w:pStyle w:val="11"/>
            </w:pPr>
          </w:p>
        </w:tc>
      </w:tr>
      <w:tr w14:paraId="58CB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13FA2">
            <w:pPr>
              <w:pStyle w:val="13"/>
            </w:pPr>
            <w:r>
              <w:t>26</w:t>
            </w:r>
          </w:p>
        </w:tc>
        <w:tc>
          <w:tcPr>
            <w:tcW w:w="3402" w:type="dxa"/>
            <w:vAlign w:val="center"/>
          </w:tcPr>
          <w:p w14:paraId="7293E717">
            <w:pPr>
              <w:pStyle w:val="12"/>
            </w:pPr>
          </w:p>
        </w:tc>
        <w:tc>
          <w:tcPr>
            <w:tcW w:w="1474" w:type="dxa"/>
            <w:vAlign w:val="center"/>
          </w:tcPr>
          <w:p w14:paraId="04617B8A">
            <w:pPr>
              <w:pStyle w:val="11"/>
            </w:pPr>
          </w:p>
        </w:tc>
        <w:tc>
          <w:tcPr>
            <w:tcW w:w="3402" w:type="dxa"/>
            <w:vAlign w:val="center"/>
          </w:tcPr>
          <w:p w14:paraId="0DF13B18">
            <w:pPr>
              <w:pStyle w:val="12"/>
            </w:pPr>
            <w:r>
              <w:t>二十六、转移性支出</w:t>
            </w:r>
          </w:p>
        </w:tc>
        <w:tc>
          <w:tcPr>
            <w:tcW w:w="1474" w:type="dxa"/>
            <w:vAlign w:val="center"/>
          </w:tcPr>
          <w:p w14:paraId="719A9D03">
            <w:pPr>
              <w:pStyle w:val="11"/>
            </w:pPr>
          </w:p>
        </w:tc>
        <w:tc>
          <w:tcPr>
            <w:tcW w:w="1474" w:type="dxa"/>
            <w:vAlign w:val="center"/>
          </w:tcPr>
          <w:p w14:paraId="5D78C553">
            <w:pPr>
              <w:pStyle w:val="11"/>
            </w:pPr>
          </w:p>
        </w:tc>
        <w:tc>
          <w:tcPr>
            <w:tcW w:w="1474" w:type="dxa"/>
            <w:vAlign w:val="center"/>
          </w:tcPr>
          <w:p w14:paraId="206997E9">
            <w:pPr>
              <w:pStyle w:val="11"/>
            </w:pPr>
          </w:p>
        </w:tc>
        <w:tc>
          <w:tcPr>
            <w:tcW w:w="1474" w:type="dxa"/>
            <w:vAlign w:val="center"/>
          </w:tcPr>
          <w:p w14:paraId="216DD2AC">
            <w:pPr>
              <w:pStyle w:val="11"/>
            </w:pPr>
          </w:p>
        </w:tc>
      </w:tr>
      <w:tr w14:paraId="5FBB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9D697">
            <w:pPr>
              <w:pStyle w:val="13"/>
            </w:pPr>
            <w:r>
              <w:t>27</w:t>
            </w:r>
          </w:p>
        </w:tc>
        <w:tc>
          <w:tcPr>
            <w:tcW w:w="3402" w:type="dxa"/>
            <w:vAlign w:val="center"/>
          </w:tcPr>
          <w:p w14:paraId="3AF09D1C">
            <w:pPr>
              <w:pStyle w:val="12"/>
            </w:pPr>
          </w:p>
        </w:tc>
        <w:tc>
          <w:tcPr>
            <w:tcW w:w="1474" w:type="dxa"/>
            <w:vAlign w:val="center"/>
          </w:tcPr>
          <w:p w14:paraId="393FC046">
            <w:pPr>
              <w:pStyle w:val="11"/>
            </w:pPr>
          </w:p>
        </w:tc>
        <w:tc>
          <w:tcPr>
            <w:tcW w:w="3402" w:type="dxa"/>
            <w:vAlign w:val="center"/>
          </w:tcPr>
          <w:p w14:paraId="643FFBAC">
            <w:pPr>
              <w:pStyle w:val="12"/>
            </w:pPr>
            <w:r>
              <w:t>二十七、债务还本支出</w:t>
            </w:r>
          </w:p>
        </w:tc>
        <w:tc>
          <w:tcPr>
            <w:tcW w:w="1474" w:type="dxa"/>
            <w:vAlign w:val="center"/>
          </w:tcPr>
          <w:p w14:paraId="1FB17234">
            <w:pPr>
              <w:pStyle w:val="11"/>
            </w:pPr>
          </w:p>
        </w:tc>
        <w:tc>
          <w:tcPr>
            <w:tcW w:w="1474" w:type="dxa"/>
            <w:vAlign w:val="center"/>
          </w:tcPr>
          <w:p w14:paraId="298941A4">
            <w:pPr>
              <w:pStyle w:val="11"/>
            </w:pPr>
          </w:p>
        </w:tc>
        <w:tc>
          <w:tcPr>
            <w:tcW w:w="1474" w:type="dxa"/>
            <w:vAlign w:val="center"/>
          </w:tcPr>
          <w:p w14:paraId="7DB630D0">
            <w:pPr>
              <w:pStyle w:val="11"/>
            </w:pPr>
          </w:p>
        </w:tc>
        <w:tc>
          <w:tcPr>
            <w:tcW w:w="1474" w:type="dxa"/>
            <w:vAlign w:val="center"/>
          </w:tcPr>
          <w:p w14:paraId="3B87D7F0">
            <w:pPr>
              <w:pStyle w:val="11"/>
            </w:pPr>
          </w:p>
        </w:tc>
      </w:tr>
      <w:tr w14:paraId="5BAE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A6D5A">
            <w:pPr>
              <w:pStyle w:val="13"/>
            </w:pPr>
            <w:r>
              <w:t>28</w:t>
            </w:r>
          </w:p>
        </w:tc>
        <w:tc>
          <w:tcPr>
            <w:tcW w:w="3402" w:type="dxa"/>
            <w:vAlign w:val="center"/>
          </w:tcPr>
          <w:p w14:paraId="1C64FCB9">
            <w:pPr>
              <w:pStyle w:val="12"/>
            </w:pPr>
          </w:p>
        </w:tc>
        <w:tc>
          <w:tcPr>
            <w:tcW w:w="1474" w:type="dxa"/>
            <w:vAlign w:val="center"/>
          </w:tcPr>
          <w:p w14:paraId="62610080">
            <w:pPr>
              <w:pStyle w:val="11"/>
            </w:pPr>
          </w:p>
        </w:tc>
        <w:tc>
          <w:tcPr>
            <w:tcW w:w="3402" w:type="dxa"/>
            <w:vAlign w:val="center"/>
          </w:tcPr>
          <w:p w14:paraId="03F2A5EA">
            <w:pPr>
              <w:pStyle w:val="12"/>
            </w:pPr>
            <w:r>
              <w:t>二十八、债务付息支出</w:t>
            </w:r>
          </w:p>
        </w:tc>
        <w:tc>
          <w:tcPr>
            <w:tcW w:w="1474" w:type="dxa"/>
            <w:vAlign w:val="center"/>
          </w:tcPr>
          <w:p w14:paraId="28672B91">
            <w:pPr>
              <w:pStyle w:val="11"/>
            </w:pPr>
          </w:p>
        </w:tc>
        <w:tc>
          <w:tcPr>
            <w:tcW w:w="1474" w:type="dxa"/>
            <w:vAlign w:val="center"/>
          </w:tcPr>
          <w:p w14:paraId="2A4BC08C">
            <w:pPr>
              <w:pStyle w:val="11"/>
            </w:pPr>
          </w:p>
        </w:tc>
        <w:tc>
          <w:tcPr>
            <w:tcW w:w="1474" w:type="dxa"/>
            <w:vAlign w:val="center"/>
          </w:tcPr>
          <w:p w14:paraId="2E7250AC">
            <w:pPr>
              <w:pStyle w:val="11"/>
            </w:pPr>
          </w:p>
        </w:tc>
        <w:tc>
          <w:tcPr>
            <w:tcW w:w="1474" w:type="dxa"/>
            <w:vAlign w:val="center"/>
          </w:tcPr>
          <w:p w14:paraId="41ED5C87">
            <w:pPr>
              <w:pStyle w:val="11"/>
            </w:pPr>
          </w:p>
        </w:tc>
      </w:tr>
      <w:tr w14:paraId="5B3D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D27A5">
            <w:pPr>
              <w:pStyle w:val="13"/>
            </w:pPr>
            <w:r>
              <w:t>29</w:t>
            </w:r>
          </w:p>
        </w:tc>
        <w:tc>
          <w:tcPr>
            <w:tcW w:w="3402" w:type="dxa"/>
            <w:vAlign w:val="center"/>
          </w:tcPr>
          <w:p w14:paraId="2F075BE6">
            <w:pPr>
              <w:pStyle w:val="12"/>
            </w:pPr>
          </w:p>
        </w:tc>
        <w:tc>
          <w:tcPr>
            <w:tcW w:w="1474" w:type="dxa"/>
            <w:vAlign w:val="center"/>
          </w:tcPr>
          <w:p w14:paraId="4F0266AD">
            <w:pPr>
              <w:pStyle w:val="11"/>
            </w:pPr>
          </w:p>
        </w:tc>
        <w:tc>
          <w:tcPr>
            <w:tcW w:w="3402" w:type="dxa"/>
            <w:vAlign w:val="center"/>
          </w:tcPr>
          <w:p w14:paraId="7DFC409C">
            <w:pPr>
              <w:pStyle w:val="12"/>
            </w:pPr>
            <w:r>
              <w:t>二十九、债务发行费用支出</w:t>
            </w:r>
          </w:p>
        </w:tc>
        <w:tc>
          <w:tcPr>
            <w:tcW w:w="1474" w:type="dxa"/>
            <w:vAlign w:val="center"/>
          </w:tcPr>
          <w:p w14:paraId="39DA7875">
            <w:pPr>
              <w:pStyle w:val="11"/>
            </w:pPr>
          </w:p>
        </w:tc>
        <w:tc>
          <w:tcPr>
            <w:tcW w:w="1474" w:type="dxa"/>
            <w:vAlign w:val="center"/>
          </w:tcPr>
          <w:p w14:paraId="1333F531">
            <w:pPr>
              <w:pStyle w:val="11"/>
            </w:pPr>
          </w:p>
        </w:tc>
        <w:tc>
          <w:tcPr>
            <w:tcW w:w="1474" w:type="dxa"/>
            <w:vAlign w:val="center"/>
          </w:tcPr>
          <w:p w14:paraId="411B9C63">
            <w:pPr>
              <w:pStyle w:val="11"/>
            </w:pPr>
          </w:p>
        </w:tc>
        <w:tc>
          <w:tcPr>
            <w:tcW w:w="1474" w:type="dxa"/>
            <w:vAlign w:val="center"/>
          </w:tcPr>
          <w:p w14:paraId="61E81F39">
            <w:pPr>
              <w:pStyle w:val="11"/>
            </w:pPr>
          </w:p>
        </w:tc>
      </w:tr>
      <w:tr w14:paraId="31F5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1E00C">
            <w:pPr>
              <w:pStyle w:val="13"/>
            </w:pPr>
            <w:r>
              <w:t>30</w:t>
            </w:r>
          </w:p>
        </w:tc>
        <w:tc>
          <w:tcPr>
            <w:tcW w:w="3402" w:type="dxa"/>
            <w:vAlign w:val="center"/>
          </w:tcPr>
          <w:p w14:paraId="20C46FD2">
            <w:pPr>
              <w:pStyle w:val="12"/>
            </w:pPr>
          </w:p>
        </w:tc>
        <w:tc>
          <w:tcPr>
            <w:tcW w:w="1474" w:type="dxa"/>
            <w:vAlign w:val="center"/>
          </w:tcPr>
          <w:p w14:paraId="35EC5E5E">
            <w:pPr>
              <w:pStyle w:val="11"/>
            </w:pPr>
          </w:p>
        </w:tc>
        <w:tc>
          <w:tcPr>
            <w:tcW w:w="3402" w:type="dxa"/>
            <w:vAlign w:val="center"/>
          </w:tcPr>
          <w:p w14:paraId="18C25105">
            <w:pPr>
              <w:pStyle w:val="12"/>
            </w:pPr>
            <w:r>
              <w:t>三十、抗疫特别国债安排的支出</w:t>
            </w:r>
          </w:p>
        </w:tc>
        <w:tc>
          <w:tcPr>
            <w:tcW w:w="1474" w:type="dxa"/>
            <w:vAlign w:val="center"/>
          </w:tcPr>
          <w:p w14:paraId="033774F2">
            <w:pPr>
              <w:pStyle w:val="11"/>
            </w:pPr>
          </w:p>
        </w:tc>
        <w:tc>
          <w:tcPr>
            <w:tcW w:w="1474" w:type="dxa"/>
            <w:vAlign w:val="center"/>
          </w:tcPr>
          <w:p w14:paraId="1B56F97E">
            <w:pPr>
              <w:pStyle w:val="11"/>
            </w:pPr>
          </w:p>
        </w:tc>
        <w:tc>
          <w:tcPr>
            <w:tcW w:w="1474" w:type="dxa"/>
            <w:vAlign w:val="center"/>
          </w:tcPr>
          <w:p w14:paraId="323E4DD0">
            <w:pPr>
              <w:pStyle w:val="11"/>
            </w:pPr>
          </w:p>
        </w:tc>
        <w:tc>
          <w:tcPr>
            <w:tcW w:w="1474" w:type="dxa"/>
            <w:vAlign w:val="center"/>
          </w:tcPr>
          <w:p w14:paraId="245E3AB4">
            <w:pPr>
              <w:pStyle w:val="11"/>
            </w:pPr>
          </w:p>
        </w:tc>
      </w:tr>
      <w:tr w14:paraId="04A2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3F23">
            <w:pPr>
              <w:pStyle w:val="13"/>
            </w:pPr>
            <w:r>
              <w:t>31</w:t>
            </w:r>
          </w:p>
        </w:tc>
        <w:tc>
          <w:tcPr>
            <w:tcW w:w="3402" w:type="dxa"/>
            <w:vAlign w:val="center"/>
          </w:tcPr>
          <w:p w14:paraId="37CA8789">
            <w:pPr>
              <w:pStyle w:val="12"/>
            </w:pPr>
          </w:p>
        </w:tc>
        <w:tc>
          <w:tcPr>
            <w:tcW w:w="1474" w:type="dxa"/>
            <w:vAlign w:val="center"/>
          </w:tcPr>
          <w:p w14:paraId="649A5C69">
            <w:pPr>
              <w:pStyle w:val="11"/>
            </w:pPr>
          </w:p>
        </w:tc>
        <w:tc>
          <w:tcPr>
            <w:tcW w:w="3402" w:type="dxa"/>
            <w:vAlign w:val="center"/>
          </w:tcPr>
          <w:p w14:paraId="226229CA">
            <w:pPr>
              <w:pStyle w:val="12"/>
            </w:pPr>
            <w:r>
              <w:t>三十一、人行科目</w:t>
            </w:r>
          </w:p>
        </w:tc>
        <w:tc>
          <w:tcPr>
            <w:tcW w:w="1474" w:type="dxa"/>
            <w:vAlign w:val="center"/>
          </w:tcPr>
          <w:p w14:paraId="6E2DAF6D">
            <w:pPr>
              <w:pStyle w:val="11"/>
            </w:pPr>
          </w:p>
        </w:tc>
        <w:tc>
          <w:tcPr>
            <w:tcW w:w="1474" w:type="dxa"/>
            <w:vAlign w:val="center"/>
          </w:tcPr>
          <w:p w14:paraId="2A68DAFD">
            <w:pPr>
              <w:pStyle w:val="11"/>
            </w:pPr>
          </w:p>
        </w:tc>
        <w:tc>
          <w:tcPr>
            <w:tcW w:w="1474" w:type="dxa"/>
            <w:vAlign w:val="center"/>
          </w:tcPr>
          <w:p w14:paraId="1D3934AF">
            <w:pPr>
              <w:pStyle w:val="11"/>
            </w:pPr>
          </w:p>
        </w:tc>
        <w:tc>
          <w:tcPr>
            <w:tcW w:w="1474" w:type="dxa"/>
            <w:vAlign w:val="center"/>
          </w:tcPr>
          <w:p w14:paraId="299E3EA1">
            <w:pPr>
              <w:pStyle w:val="11"/>
            </w:pPr>
          </w:p>
        </w:tc>
      </w:tr>
      <w:tr w14:paraId="26D34E94">
        <w:tblPrEx>
          <w:tblCellMar>
            <w:top w:w="0" w:type="dxa"/>
            <w:left w:w="108" w:type="dxa"/>
            <w:bottom w:w="0" w:type="dxa"/>
            <w:right w:w="108" w:type="dxa"/>
          </w:tblCellMar>
        </w:tblPrEx>
        <w:trPr>
          <w:trHeight w:val="369" w:hRule="atLeast"/>
          <w:jc w:val="center"/>
        </w:trPr>
        <w:tc>
          <w:tcPr>
            <w:tcW w:w="850" w:type="dxa"/>
            <w:vAlign w:val="center"/>
          </w:tcPr>
          <w:p w14:paraId="5EEDF109">
            <w:pPr>
              <w:pStyle w:val="13"/>
            </w:pPr>
            <w:r>
              <w:t>32</w:t>
            </w:r>
          </w:p>
        </w:tc>
        <w:tc>
          <w:tcPr>
            <w:tcW w:w="3402" w:type="dxa"/>
            <w:vAlign w:val="center"/>
          </w:tcPr>
          <w:p w14:paraId="7197DFFF">
            <w:pPr>
              <w:pStyle w:val="14"/>
            </w:pPr>
            <w:r>
              <w:t>本年收入合计</w:t>
            </w:r>
          </w:p>
        </w:tc>
        <w:tc>
          <w:tcPr>
            <w:tcW w:w="1474" w:type="dxa"/>
            <w:vAlign w:val="center"/>
          </w:tcPr>
          <w:p w14:paraId="2DA60FE1">
            <w:pPr>
              <w:pStyle w:val="15"/>
            </w:pPr>
            <w:r>
              <w:t>834.13</w:t>
            </w:r>
          </w:p>
        </w:tc>
        <w:tc>
          <w:tcPr>
            <w:tcW w:w="3402" w:type="dxa"/>
            <w:vAlign w:val="center"/>
          </w:tcPr>
          <w:p w14:paraId="1355CFF8">
            <w:pPr>
              <w:pStyle w:val="14"/>
            </w:pPr>
            <w:r>
              <w:t>本年支出合计</w:t>
            </w:r>
          </w:p>
        </w:tc>
        <w:tc>
          <w:tcPr>
            <w:tcW w:w="1474" w:type="dxa"/>
            <w:vAlign w:val="center"/>
          </w:tcPr>
          <w:p w14:paraId="3905EDFB">
            <w:pPr>
              <w:pStyle w:val="15"/>
            </w:pPr>
            <w:r>
              <w:t>834.13</w:t>
            </w:r>
          </w:p>
        </w:tc>
        <w:tc>
          <w:tcPr>
            <w:tcW w:w="1474" w:type="dxa"/>
            <w:vAlign w:val="center"/>
          </w:tcPr>
          <w:p w14:paraId="48282577">
            <w:pPr>
              <w:pStyle w:val="15"/>
            </w:pPr>
            <w:r>
              <w:t>834.13</w:t>
            </w:r>
          </w:p>
        </w:tc>
        <w:tc>
          <w:tcPr>
            <w:tcW w:w="1474" w:type="dxa"/>
            <w:vAlign w:val="center"/>
          </w:tcPr>
          <w:p w14:paraId="1B307570">
            <w:pPr>
              <w:pStyle w:val="15"/>
            </w:pPr>
          </w:p>
        </w:tc>
        <w:tc>
          <w:tcPr>
            <w:tcW w:w="1474" w:type="dxa"/>
            <w:vAlign w:val="center"/>
          </w:tcPr>
          <w:p w14:paraId="3E1CE6E0">
            <w:pPr>
              <w:pStyle w:val="15"/>
            </w:pPr>
          </w:p>
        </w:tc>
      </w:tr>
      <w:tr w14:paraId="27CA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815A3">
            <w:pPr>
              <w:pStyle w:val="13"/>
            </w:pPr>
            <w:r>
              <w:t>33</w:t>
            </w:r>
          </w:p>
        </w:tc>
        <w:tc>
          <w:tcPr>
            <w:tcW w:w="3402" w:type="dxa"/>
            <w:vAlign w:val="center"/>
          </w:tcPr>
          <w:p w14:paraId="148C2A87">
            <w:pPr>
              <w:pStyle w:val="12"/>
            </w:pPr>
            <w:r>
              <w:t>年初财政拨款结转和结余</w:t>
            </w:r>
          </w:p>
        </w:tc>
        <w:tc>
          <w:tcPr>
            <w:tcW w:w="1474" w:type="dxa"/>
            <w:vAlign w:val="center"/>
          </w:tcPr>
          <w:p w14:paraId="28ED9438">
            <w:pPr>
              <w:pStyle w:val="11"/>
            </w:pPr>
          </w:p>
        </w:tc>
        <w:tc>
          <w:tcPr>
            <w:tcW w:w="3402" w:type="dxa"/>
            <w:vAlign w:val="center"/>
          </w:tcPr>
          <w:p w14:paraId="3B7D16A2">
            <w:pPr>
              <w:pStyle w:val="12"/>
            </w:pPr>
            <w:r>
              <w:t>年末财政拨款结转和结余</w:t>
            </w:r>
          </w:p>
        </w:tc>
        <w:tc>
          <w:tcPr>
            <w:tcW w:w="1474" w:type="dxa"/>
            <w:vAlign w:val="center"/>
          </w:tcPr>
          <w:p w14:paraId="2BE88D42">
            <w:pPr>
              <w:pStyle w:val="11"/>
            </w:pPr>
          </w:p>
        </w:tc>
        <w:tc>
          <w:tcPr>
            <w:tcW w:w="1474" w:type="dxa"/>
            <w:vAlign w:val="center"/>
          </w:tcPr>
          <w:p w14:paraId="38E2D16C">
            <w:pPr>
              <w:pStyle w:val="11"/>
            </w:pPr>
          </w:p>
        </w:tc>
        <w:tc>
          <w:tcPr>
            <w:tcW w:w="1474" w:type="dxa"/>
            <w:vAlign w:val="center"/>
          </w:tcPr>
          <w:p w14:paraId="698C0CDB">
            <w:pPr>
              <w:pStyle w:val="11"/>
            </w:pPr>
          </w:p>
        </w:tc>
        <w:tc>
          <w:tcPr>
            <w:tcW w:w="1474" w:type="dxa"/>
            <w:vAlign w:val="center"/>
          </w:tcPr>
          <w:p w14:paraId="6E7204DC">
            <w:pPr>
              <w:pStyle w:val="11"/>
            </w:pPr>
          </w:p>
        </w:tc>
      </w:tr>
      <w:tr w14:paraId="1A4CD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E8EB">
            <w:pPr>
              <w:pStyle w:val="13"/>
            </w:pPr>
            <w:r>
              <w:t>34</w:t>
            </w:r>
          </w:p>
        </w:tc>
        <w:tc>
          <w:tcPr>
            <w:tcW w:w="3402" w:type="dxa"/>
            <w:vAlign w:val="center"/>
          </w:tcPr>
          <w:p w14:paraId="2A40E47F">
            <w:pPr>
              <w:pStyle w:val="12"/>
            </w:pPr>
            <w:r>
              <w:t>一、一般公共预算拨款</w:t>
            </w:r>
          </w:p>
        </w:tc>
        <w:tc>
          <w:tcPr>
            <w:tcW w:w="1474" w:type="dxa"/>
            <w:vAlign w:val="center"/>
          </w:tcPr>
          <w:p w14:paraId="3565025A">
            <w:pPr>
              <w:pStyle w:val="11"/>
            </w:pPr>
          </w:p>
        </w:tc>
        <w:tc>
          <w:tcPr>
            <w:tcW w:w="3402" w:type="dxa"/>
            <w:vAlign w:val="center"/>
          </w:tcPr>
          <w:p w14:paraId="2A8F658B">
            <w:pPr>
              <w:pStyle w:val="12"/>
            </w:pPr>
          </w:p>
        </w:tc>
        <w:tc>
          <w:tcPr>
            <w:tcW w:w="1474" w:type="dxa"/>
            <w:vAlign w:val="center"/>
          </w:tcPr>
          <w:p w14:paraId="09D812E5">
            <w:pPr>
              <w:pStyle w:val="11"/>
            </w:pPr>
          </w:p>
        </w:tc>
        <w:tc>
          <w:tcPr>
            <w:tcW w:w="1474" w:type="dxa"/>
            <w:vAlign w:val="center"/>
          </w:tcPr>
          <w:p w14:paraId="4E17F374">
            <w:pPr>
              <w:pStyle w:val="11"/>
            </w:pPr>
          </w:p>
        </w:tc>
        <w:tc>
          <w:tcPr>
            <w:tcW w:w="1474" w:type="dxa"/>
            <w:vAlign w:val="center"/>
          </w:tcPr>
          <w:p w14:paraId="08CCE668">
            <w:pPr>
              <w:pStyle w:val="11"/>
            </w:pPr>
          </w:p>
        </w:tc>
        <w:tc>
          <w:tcPr>
            <w:tcW w:w="1474" w:type="dxa"/>
            <w:vAlign w:val="center"/>
          </w:tcPr>
          <w:p w14:paraId="47106CC1">
            <w:pPr>
              <w:pStyle w:val="11"/>
            </w:pPr>
          </w:p>
        </w:tc>
      </w:tr>
      <w:tr w14:paraId="36A432CB">
        <w:tblPrEx>
          <w:tblCellMar>
            <w:top w:w="0" w:type="dxa"/>
            <w:left w:w="108" w:type="dxa"/>
            <w:bottom w:w="0" w:type="dxa"/>
            <w:right w:w="108" w:type="dxa"/>
          </w:tblCellMar>
        </w:tblPrEx>
        <w:trPr>
          <w:trHeight w:val="369" w:hRule="atLeast"/>
          <w:jc w:val="center"/>
        </w:trPr>
        <w:tc>
          <w:tcPr>
            <w:tcW w:w="850" w:type="dxa"/>
            <w:vAlign w:val="center"/>
          </w:tcPr>
          <w:p w14:paraId="76D973DB">
            <w:pPr>
              <w:pStyle w:val="13"/>
            </w:pPr>
            <w:r>
              <w:t>35</w:t>
            </w:r>
          </w:p>
        </w:tc>
        <w:tc>
          <w:tcPr>
            <w:tcW w:w="3402" w:type="dxa"/>
            <w:vAlign w:val="center"/>
          </w:tcPr>
          <w:p w14:paraId="236A2652">
            <w:pPr>
              <w:pStyle w:val="12"/>
            </w:pPr>
            <w:r>
              <w:t>二、政府性基金预算拨款</w:t>
            </w:r>
          </w:p>
        </w:tc>
        <w:tc>
          <w:tcPr>
            <w:tcW w:w="1474" w:type="dxa"/>
            <w:vAlign w:val="center"/>
          </w:tcPr>
          <w:p w14:paraId="0B807C57">
            <w:pPr>
              <w:pStyle w:val="11"/>
            </w:pPr>
          </w:p>
        </w:tc>
        <w:tc>
          <w:tcPr>
            <w:tcW w:w="3402" w:type="dxa"/>
            <w:vAlign w:val="center"/>
          </w:tcPr>
          <w:p w14:paraId="3D388DAE">
            <w:pPr>
              <w:pStyle w:val="12"/>
            </w:pPr>
          </w:p>
        </w:tc>
        <w:tc>
          <w:tcPr>
            <w:tcW w:w="1474" w:type="dxa"/>
            <w:vAlign w:val="center"/>
          </w:tcPr>
          <w:p w14:paraId="41804E41">
            <w:pPr>
              <w:pStyle w:val="11"/>
            </w:pPr>
          </w:p>
        </w:tc>
        <w:tc>
          <w:tcPr>
            <w:tcW w:w="1474" w:type="dxa"/>
            <w:vAlign w:val="center"/>
          </w:tcPr>
          <w:p w14:paraId="5DBF1BFA">
            <w:pPr>
              <w:pStyle w:val="11"/>
            </w:pPr>
          </w:p>
        </w:tc>
        <w:tc>
          <w:tcPr>
            <w:tcW w:w="1474" w:type="dxa"/>
            <w:vAlign w:val="center"/>
          </w:tcPr>
          <w:p w14:paraId="5E3405D2">
            <w:pPr>
              <w:pStyle w:val="11"/>
            </w:pPr>
          </w:p>
        </w:tc>
        <w:tc>
          <w:tcPr>
            <w:tcW w:w="1474" w:type="dxa"/>
            <w:vAlign w:val="center"/>
          </w:tcPr>
          <w:p w14:paraId="10CD3329">
            <w:pPr>
              <w:pStyle w:val="11"/>
            </w:pPr>
          </w:p>
        </w:tc>
      </w:tr>
      <w:tr w14:paraId="2640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B3C88">
            <w:pPr>
              <w:pStyle w:val="13"/>
            </w:pPr>
            <w:r>
              <w:t>36</w:t>
            </w:r>
          </w:p>
        </w:tc>
        <w:tc>
          <w:tcPr>
            <w:tcW w:w="3402" w:type="dxa"/>
            <w:vAlign w:val="center"/>
          </w:tcPr>
          <w:p w14:paraId="1491802A">
            <w:pPr>
              <w:pStyle w:val="12"/>
            </w:pPr>
            <w:r>
              <w:t>三、国有资本经营预算拨款</w:t>
            </w:r>
          </w:p>
        </w:tc>
        <w:tc>
          <w:tcPr>
            <w:tcW w:w="1474" w:type="dxa"/>
            <w:vAlign w:val="center"/>
          </w:tcPr>
          <w:p w14:paraId="519F0522">
            <w:pPr>
              <w:pStyle w:val="11"/>
            </w:pPr>
          </w:p>
        </w:tc>
        <w:tc>
          <w:tcPr>
            <w:tcW w:w="3402" w:type="dxa"/>
            <w:vAlign w:val="center"/>
          </w:tcPr>
          <w:p w14:paraId="351E1551">
            <w:pPr>
              <w:pStyle w:val="12"/>
            </w:pPr>
          </w:p>
        </w:tc>
        <w:tc>
          <w:tcPr>
            <w:tcW w:w="1474" w:type="dxa"/>
            <w:vAlign w:val="center"/>
          </w:tcPr>
          <w:p w14:paraId="4AB8A9CD">
            <w:pPr>
              <w:pStyle w:val="11"/>
            </w:pPr>
          </w:p>
        </w:tc>
        <w:tc>
          <w:tcPr>
            <w:tcW w:w="1474" w:type="dxa"/>
            <w:vAlign w:val="center"/>
          </w:tcPr>
          <w:p w14:paraId="01266679">
            <w:pPr>
              <w:pStyle w:val="11"/>
            </w:pPr>
          </w:p>
        </w:tc>
        <w:tc>
          <w:tcPr>
            <w:tcW w:w="1474" w:type="dxa"/>
            <w:vAlign w:val="center"/>
          </w:tcPr>
          <w:p w14:paraId="40C93C8E">
            <w:pPr>
              <w:pStyle w:val="11"/>
            </w:pPr>
          </w:p>
        </w:tc>
        <w:tc>
          <w:tcPr>
            <w:tcW w:w="1474" w:type="dxa"/>
            <w:vAlign w:val="center"/>
          </w:tcPr>
          <w:p w14:paraId="15E45B6C">
            <w:pPr>
              <w:pStyle w:val="11"/>
            </w:pPr>
          </w:p>
        </w:tc>
      </w:tr>
      <w:tr w14:paraId="23B4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B3D9E">
            <w:pPr>
              <w:pStyle w:val="13"/>
            </w:pPr>
            <w:r>
              <w:t>37</w:t>
            </w:r>
          </w:p>
        </w:tc>
        <w:tc>
          <w:tcPr>
            <w:tcW w:w="3402" w:type="dxa"/>
            <w:vAlign w:val="center"/>
          </w:tcPr>
          <w:p w14:paraId="16EBAAE7">
            <w:pPr>
              <w:pStyle w:val="14"/>
            </w:pPr>
            <w:r>
              <w:t>收入总计</w:t>
            </w:r>
          </w:p>
        </w:tc>
        <w:tc>
          <w:tcPr>
            <w:tcW w:w="1474" w:type="dxa"/>
            <w:vAlign w:val="center"/>
          </w:tcPr>
          <w:p w14:paraId="7FCB6B7A">
            <w:pPr>
              <w:pStyle w:val="15"/>
            </w:pPr>
            <w:r>
              <w:t>834.13</w:t>
            </w:r>
          </w:p>
        </w:tc>
        <w:tc>
          <w:tcPr>
            <w:tcW w:w="3402" w:type="dxa"/>
            <w:vAlign w:val="center"/>
          </w:tcPr>
          <w:p w14:paraId="0D560A46">
            <w:pPr>
              <w:pStyle w:val="14"/>
            </w:pPr>
            <w:r>
              <w:t>支出总计</w:t>
            </w:r>
          </w:p>
        </w:tc>
        <w:tc>
          <w:tcPr>
            <w:tcW w:w="1474" w:type="dxa"/>
            <w:vAlign w:val="center"/>
          </w:tcPr>
          <w:p w14:paraId="2A9F87C0">
            <w:pPr>
              <w:pStyle w:val="15"/>
            </w:pPr>
            <w:r>
              <w:t>834.13</w:t>
            </w:r>
          </w:p>
        </w:tc>
        <w:tc>
          <w:tcPr>
            <w:tcW w:w="1474" w:type="dxa"/>
            <w:vAlign w:val="center"/>
          </w:tcPr>
          <w:p w14:paraId="3D71132D">
            <w:pPr>
              <w:pStyle w:val="15"/>
            </w:pPr>
            <w:r>
              <w:t>834.13</w:t>
            </w:r>
          </w:p>
        </w:tc>
        <w:tc>
          <w:tcPr>
            <w:tcW w:w="1474" w:type="dxa"/>
            <w:vAlign w:val="center"/>
          </w:tcPr>
          <w:p w14:paraId="52D7A899">
            <w:pPr>
              <w:pStyle w:val="15"/>
            </w:pPr>
          </w:p>
        </w:tc>
        <w:tc>
          <w:tcPr>
            <w:tcW w:w="1474" w:type="dxa"/>
            <w:vAlign w:val="center"/>
          </w:tcPr>
          <w:p w14:paraId="699FF820">
            <w:pPr>
              <w:pStyle w:val="15"/>
            </w:pPr>
          </w:p>
        </w:tc>
      </w:tr>
    </w:tbl>
    <w:p w14:paraId="24337552">
      <w:pPr>
        <w:sectPr>
          <w:pgSz w:w="16840" w:h="11900" w:orient="landscape"/>
          <w:pgMar w:top="1361" w:right="1020" w:bottom="1134" w:left="1020" w:header="720" w:footer="720" w:gutter="0"/>
          <w:cols w:space="720" w:num="1"/>
        </w:sectPr>
      </w:pPr>
    </w:p>
    <w:p w14:paraId="01CBA0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D7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4BFE4B">
            <w:pPr>
              <w:pStyle w:val="9"/>
            </w:pPr>
            <w:r>
              <w:t>360039隆尧县唐尧街小学</w:t>
            </w:r>
          </w:p>
        </w:tc>
        <w:tc>
          <w:tcPr>
            <w:tcW w:w="2551" w:type="dxa"/>
            <w:tcBorders>
              <w:top w:val="single" w:color="FFFFFF" w:sz="6" w:space="0"/>
              <w:left w:val="single" w:color="FFFFFF" w:sz="6" w:space="0"/>
              <w:right w:val="single" w:color="FFFFFF" w:sz="6" w:space="0"/>
            </w:tcBorders>
            <w:vAlign w:val="center"/>
          </w:tcPr>
          <w:p w14:paraId="739A16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D4E8FF">
            <w:pPr>
              <w:pStyle w:val="7"/>
            </w:pPr>
            <w:r>
              <w:t>单位：万元</w:t>
            </w:r>
          </w:p>
        </w:tc>
      </w:tr>
      <w:tr w14:paraId="1379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D18C2">
            <w:pPr>
              <w:pStyle w:val="10"/>
            </w:pPr>
            <w:r>
              <w:t>序号</w:t>
            </w:r>
          </w:p>
        </w:tc>
        <w:tc>
          <w:tcPr>
            <w:tcW w:w="5726" w:type="dxa"/>
            <w:gridSpan w:val="2"/>
            <w:vAlign w:val="center"/>
          </w:tcPr>
          <w:p w14:paraId="69A870E3">
            <w:pPr>
              <w:pStyle w:val="10"/>
            </w:pPr>
            <w:r>
              <w:t>功能分类科目</w:t>
            </w:r>
          </w:p>
        </w:tc>
        <w:tc>
          <w:tcPr>
            <w:tcW w:w="2551" w:type="dxa"/>
            <w:vMerge w:val="restart"/>
            <w:vAlign w:val="center"/>
          </w:tcPr>
          <w:p w14:paraId="75B6C05A">
            <w:pPr>
              <w:pStyle w:val="10"/>
            </w:pPr>
            <w:r>
              <w:t>合计</w:t>
            </w:r>
          </w:p>
        </w:tc>
        <w:tc>
          <w:tcPr>
            <w:tcW w:w="2551" w:type="dxa"/>
            <w:vMerge w:val="restart"/>
            <w:vAlign w:val="center"/>
          </w:tcPr>
          <w:p w14:paraId="3EF82960">
            <w:pPr>
              <w:pStyle w:val="10"/>
            </w:pPr>
            <w:r>
              <w:t>基本支出</w:t>
            </w:r>
          </w:p>
        </w:tc>
        <w:tc>
          <w:tcPr>
            <w:tcW w:w="2551" w:type="dxa"/>
            <w:vMerge w:val="restart"/>
            <w:vAlign w:val="center"/>
          </w:tcPr>
          <w:p w14:paraId="248E67AB">
            <w:pPr>
              <w:pStyle w:val="10"/>
            </w:pPr>
            <w:r>
              <w:t>项目支出</w:t>
            </w:r>
          </w:p>
        </w:tc>
      </w:tr>
      <w:tr w14:paraId="5C5C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BA0DD"/>
        </w:tc>
        <w:tc>
          <w:tcPr>
            <w:tcW w:w="1191" w:type="dxa"/>
            <w:vAlign w:val="center"/>
          </w:tcPr>
          <w:p w14:paraId="728E9043">
            <w:pPr>
              <w:pStyle w:val="10"/>
            </w:pPr>
            <w:r>
              <w:t>科目编码</w:t>
            </w:r>
          </w:p>
        </w:tc>
        <w:tc>
          <w:tcPr>
            <w:tcW w:w="4535" w:type="dxa"/>
            <w:vAlign w:val="center"/>
          </w:tcPr>
          <w:p w14:paraId="4E336EAC">
            <w:pPr>
              <w:pStyle w:val="10"/>
            </w:pPr>
            <w:r>
              <w:t>科目名称</w:t>
            </w:r>
          </w:p>
        </w:tc>
        <w:tc>
          <w:tcPr>
            <w:tcW w:w="2551" w:type="dxa"/>
            <w:vMerge w:val="continue"/>
          </w:tcPr>
          <w:p w14:paraId="39372551"/>
        </w:tc>
        <w:tc>
          <w:tcPr>
            <w:tcW w:w="2551" w:type="dxa"/>
            <w:vMerge w:val="continue"/>
          </w:tcPr>
          <w:p w14:paraId="2FBF960A"/>
        </w:tc>
        <w:tc>
          <w:tcPr>
            <w:tcW w:w="2551" w:type="dxa"/>
            <w:vMerge w:val="continue"/>
          </w:tcPr>
          <w:p w14:paraId="165C971A"/>
        </w:tc>
      </w:tr>
      <w:tr w14:paraId="7CD0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495DB">
            <w:pPr>
              <w:pStyle w:val="10"/>
            </w:pPr>
            <w:r>
              <w:t>栏次</w:t>
            </w:r>
          </w:p>
        </w:tc>
        <w:tc>
          <w:tcPr>
            <w:tcW w:w="1191" w:type="dxa"/>
            <w:vAlign w:val="center"/>
          </w:tcPr>
          <w:p w14:paraId="35D97C45">
            <w:pPr>
              <w:pStyle w:val="10"/>
            </w:pPr>
            <w:r>
              <w:t>1</w:t>
            </w:r>
          </w:p>
        </w:tc>
        <w:tc>
          <w:tcPr>
            <w:tcW w:w="4535" w:type="dxa"/>
            <w:vAlign w:val="center"/>
          </w:tcPr>
          <w:p w14:paraId="252E7A92">
            <w:pPr>
              <w:pStyle w:val="10"/>
            </w:pPr>
            <w:r>
              <w:t>2</w:t>
            </w:r>
          </w:p>
        </w:tc>
        <w:tc>
          <w:tcPr>
            <w:tcW w:w="2551" w:type="dxa"/>
            <w:vAlign w:val="center"/>
          </w:tcPr>
          <w:p w14:paraId="02EC1A94">
            <w:pPr>
              <w:pStyle w:val="10"/>
            </w:pPr>
            <w:r>
              <w:t>3</w:t>
            </w:r>
          </w:p>
        </w:tc>
        <w:tc>
          <w:tcPr>
            <w:tcW w:w="2551" w:type="dxa"/>
            <w:vAlign w:val="center"/>
          </w:tcPr>
          <w:p w14:paraId="56E277E4">
            <w:pPr>
              <w:pStyle w:val="10"/>
            </w:pPr>
            <w:r>
              <w:t>4</w:t>
            </w:r>
          </w:p>
        </w:tc>
        <w:tc>
          <w:tcPr>
            <w:tcW w:w="2551" w:type="dxa"/>
            <w:vAlign w:val="center"/>
          </w:tcPr>
          <w:p w14:paraId="00EF361F">
            <w:pPr>
              <w:pStyle w:val="10"/>
            </w:pPr>
            <w:r>
              <w:t>5</w:t>
            </w:r>
          </w:p>
        </w:tc>
      </w:tr>
      <w:tr w14:paraId="1028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9F2AB">
            <w:pPr>
              <w:pStyle w:val="13"/>
            </w:pPr>
            <w:r>
              <w:t>1</w:t>
            </w:r>
          </w:p>
        </w:tc>
        <w:tc>
          <w:tcPr>
            <w:tcW w:w="1191" w:type="dxa"/>
            <w:vAlign w:val="center"/>
          </w:tcPr>
          <w:p w14:paraId="156F6AAF">
            <w:pPr>
              <w:pStyle w:val="16"/>
            </w:pPr>
          </w:p>
        </w:tc>
        <w:tc>
          <w:tcPr>
            <w:tcW w:w="4535" w:type="dxa"/>
            <w:vAlign w:val="center"/>
          </w:tcPr>
          <w:p w14:paraId="76523216">
            <w:pPr>
              <w:pStyle w:val="14"/>
            </w:pPr>
            <w:r>
              <w:t>合计</w:t>
            </w:r>
          </w:p>
        </w:tc>
        <w:tc>
          <w:tcPr>
            <w:tcW w:w="2551" w:type="dxa"/>
            <w:vAlign w:val="center"/>
          </w:tcPr>
          <w:p w14:paraId="779962E6">
            <w:pPr>
              <w:pStyle w:val="15"/>
            </w:pPr>
            <w:r>
              <w:t>834.13</w:t>
            </w:r>
          </w:p>
        </w:tc>
        <w:tc>
          <w:tcPr>
            <w:tcW w:w="2551" w:type="dxa"/>
            <w:vAlign w:val="center"/>
          </w:tcPr>
          <w:p w14:paraId="22DE3B2B">
            <w:pPr>
              <w:pStyle w:val="15"/>
            </w:pPr>
            <w:r>
              <w:t>656.21</w:t>
            </w:r>
          </w:p>
        </w:tc>
        <w:tc>
          <w:tcPr>
            <w:tcW w:w="2551" w:type="dxa"/>
            <w:vAlign w:val="center"/>
          </w:tcPr>
          <w:p w14:paraId="0F91E7F5">
            <w:pPr>
              <w:pStyle w:val="15"/>
            </w:pPr>
            <w:r>
              <w:t>177.92</w:t>
            </w:r>
          </w:p>
        </w:tc>
      </w:tr>
      <w:tr w14:paraId="6F89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D8BE8">
            <w:pPr>
              <w:pStyle w:val="13"/>
            </w:pPr>
            <w:r>
              <w:t>2</w:t>
            </w:r>
          </w:p>
        </w:tc>
        <w:tc>
          <w:tcPr>
            <w:tcW w:w="1191" w:type="dxa"/>
            <w:vAlign w:val="center"/>
          </w:tcPr>
          <w:p w14:paraId="06448CE9">
            <w:pPr>
              <w:pStyle w:val="12"/>
            </w:pPr>
            <w:r>
              <w:t>205</w:t>
            </w:r>
          </w:p>
        </w:tc>
        <w:tc>
          <w:tcPr>
            <w:tcW w:w="4535" w:type="dxa"/>
            <w:vAlign w:val="center"/>
          </w:tcPr>
          <w:p w14:paraId="55DAD72A">
            <w:pPr>
              <w:pStyle w:val="12"/>
            </w:pPr>
            <w:r>
              <w:t>教育支出</w:t>
            </w:r>
          </w:p>
        </w:tc>
        <w:tc>
          <w:tcPr>
            <w:tcW w:w="2551" w:type="dxa"/>
            <w:vAlign w:val="center"/>
          </w:tcPr>
          <w:p w14:paraId="3EF5F73A">
            <w:pPr>
              <w:pStyle w:val="11"/>
            </w:pPr>
            <w:r>
              <w:t>834.13</w:t>
            </w:r>
          </w:p>
        </w:tc>
        <w:tc>
          <w:tcPr>
            <w:tcW w:w="2551" w:type="dxa"/>
            <w:vAlign w:val="center"/>
          </w:tcPr>
          <w:p w14:paraId="65F26912">
            <w:pPr>
              <w:pStyle w:val="11"/>
            </w:pPr>
            <w:r>
              <w:t>656.21</w:t>
            </w:r>
          </w:p>
        </w:tc>
        <w:tc>
          <w:tcPr>
            <w:tcW w:w="2551" w:type="dxa"/>
            <w:vAlign w:val="center"/>
          </w:tcPr>
          <w:p w14:paraId="3443E7BF">
            <w:pPr>
              <w:pStyle w:val="11"/>
            </w:pPr>
            <w:r>
              <w:t>177.92</w:t>
            </w:r>
          </w:p>
        </w:tc>
      </w:tr>
      <w:tr w14:paraId="011D3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CF984">
            <w:pPr>
              <w:pStyle w:val="13"/>
            </w:pPr>
            <w:r>
              <w:t>3</w:t>
            </w:r>
          </w:p>
        </w:tc>
        <w:tc>
          <w:tcPr>
            <w:tcW w:w="1191" w:type="dxa"/>
            <w:vAlign w:val="center"/>
          </w:tcPr>
          <w:p w14:paraId="0D76F7C2">
            <w:pPr>
              <w:pStyle w:val="12"/>
            </w:pPr>
            <w:r>
              <w:t>20502</w:t>
            </w:r>
          </w:p>
        </w:tc>
        <w:tc>
          <w:tcPr>
            <w:tcW w:w="4535" w:type="dxa"/>
            <w:vAlign w:val="center"/>
          </w:tcPr>
          <w:p w14:paraId="2AADFE28">
            <w:pPr>
              <w:pStyle w:val="12"/>
            </w:pPr>
            <w:r>
              <w:t>普通教育</w:t>
            </w:r>
          </w:p>
        </w:tc>
        <w:tc>
          <w:tcPr>
            <w:tcW w:w="2551" w:type="dxa"/>
            <w:vAlign w:val="center"/>
          </w:tcPr>
          <w:p w14:paraId="2D4D2D12">
            <w:pPr>
              <w:pStyle w:val="11"/>
            </w:pPr>
            <w:r>
              <w:t>834.13</w:t>
            </w:r>
          </w:p>
        </w:tc>
        <w:tc>
          <w:tcPr>
            <w:tcW w:w="2551" w:type="dxa"/>
            <w:vAlign w:val="center"/>
          </w:tcPr>
          <w:p w14:paraId="00D5D7F0">
            <w:pPr>
              <w:pStyle w:val="11"/>
            </w:pPr>
            <w:r>
              <w:t>656.21</w:t>
            </w:r>
          </w:p>
        </w:tc>
        <w:tc>
          <w:tcPr>
            <w:tcW w:w="2551" w:type="dxa"/>
            <w:vAlign w:val="center"/>
          </w:tcPr>
          <w:p w14:paraId="1E126BD5">
            <w:pPr>
              <w:pStyle w:val="11"/>
            </w:pPr>
            <w:r>
              <w:t>177.92</w:t>
            </w:r>
          </w:p>
        </w:tc>
      </w:tr>
      <w:tr w14:paraId="76E4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2E10">
            <w:pPr>
              <w:pStyle w:val="13"/>
            </w:pPr>
            <w:r>
              <w:t>4</w:t>
            </w:r>
          </w:p>
        </w:tc>
        <w:tc>
          <w:tcPr>
            <w:tcW w:w="1191" w:type="dxa"/>
            <w:vAlign w:val="center"/>
          </w:tcPr>
          <w:p w14:paraId="240A4F5E">
            <w:pPr>
              <w:pStyle w:val="12"/>
            </w:pPr>
            <w:r>
              <w:t>2050202</w:t>
            </w:r>
          </w:p>
        </w:tc>
        <w:tc>
          <w:tcPr>
            <w:tcW w:w="4535" w:type="dxa"/>
            <w:vAlign w:val="center"/>
          </w:tcPr>
          <w:p w14:paraId="4D26DAD6">
            <w:pPr>
              <w:pStyle w:val="12"/>
            </w:pPr>
            <w:r>
              <w:t>小学教育</w:t>
            </w:r>
          </w:p>
        </w:tc>
        <w:tc>
          <w:tcPr>
            <w:tcW w:w="2551" w:type="dxa"/>
            <w:vAlign w:val="center"/>
          </w:tcPr>
          <w:p w14:paraId="597CE2F8">
            <w:pPr>
              <w:pStyle w:val="11"/>
            </w:pPr>
            <w:r>
              <w:t>834.13</w:t>
            </w:r>
          </w:p>
        </w:tc>
        <w:tc>
          <w:tcPr>
            <w:tcW w:w="2551" w:type="dxa"/>
            <w:vAlign w:val="center"/>
          </w:tcPr>
          <w:p w14:paraId="558A9EA6">
            <w:pPr>
              <w:pStyle w:val="11"/>
            </w:pPr>
            <w:r>
              <w:t>656.21</w:t>
            </w:r>
          </w:p>
        </w:tc>
        <w:tc>
          <w:tcPr>
            <w:tcW w:w="2551" w:type="dxa"/>
            <w:vAlign w:val="center"/>
          </w:tcPr>
          <w:p w14:paraId="32043388">
            <w:pPr>
              <w:pStyle w:val="11"/>
            </w:pPr>
            <w:r>
              <w:t>177.92</w:t>
            </w:r>
          </w:p>
        </w:tc>
      </w:tr>
    </w:tbl>
    <w:p w14:paraId="4E209614">
      <w:pPr>
        <w:sectPr>
          <w:pgSz w:w="16840" w:h="11900" w:orient="landscape"/>
          <w:pgMar w:top="1361" w:right="1020" w:bottom="1134" w:left="1020" w:header="720" w:footer="720" w:gutter="0"/>
          <w:cols w:space="720" w:num="1"/>
        </w:sectPr>
      </w:pPr>
    </w:p>
    <w:p w14:paraId="523FA6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72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5385B0">
            <w:pPr>
              <w:pStyle w:val="9"/>
            </w:pPr>
            <w:r>
              <w:t>360039隆尧县唐尧街小学</w:t>
            </w:r>
          </w:p>
        </w:tc>
        <w:tc>
          <w:tcPr>
            <w:tcW w:w="2551" w:type="dxa"/>
            <w:tcBorders>
              <w:top w:val="single" w:color="FFFFFF" w:sz="6" w:space="0"/>
              <w:left w:val="single" w:color="FFFFFF" w:sz="6" w:space="0"/>
              <w:right w:val="single" w:color="FFFFFF" w:sz="6" w:space="0"/>
            </w:tcBorders>
            <w:vAlign w:val="center"/>
          </w:tcPr>
          <w:p w14:paraId="5E6D12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ECCE76">
            <w:pPr>
              <w:pStyle w:val="7"/>
            </w:pPr>
            <w:r>
              <w:t>单位：万元</w:t>
            </w:r>
          </w:p>
        </w:tc>
      </w:tr>
      <w:tr w14:paraId="6D74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45A0A7">
            <w:pPr>
              <w:pStyle w:val="10"/>
            </w:pPr>
            <w:r>
              <w:t>序号</w:t>
            </w:r>
          </w:p>
        </w:tc>
        <w:tc>
          <w:tcPr>
            <w:tcW w:w="5726" w:type="dxa"/>
            <w:gridSpan w:val="2"/>
            <w:vAlign w:val="center"/>
          </w:tcPr>
          <w:p w14:paraId="57166475">
            <w:pPr>
              <w:pStyle w:val="10"/>
            </w:pPr>
            <w:r>
              <w:t>支出部门经济分类科目</w:t>
            </w:r>
          </w:p>
        </w:tc>
        <w:tc>
          <w:tcPr>
            <w:tcW w:w="7653" w:type="dxa"/>
            <w:gridSpan w:val="3"/>
            <w:vAlign w:val="center"/>
          </w:tcPr>
          <w:p w14:paraId="1B81F0B3">
            <w:pPr>
              <w:pStyle w:val="10"/>
            </w:pPr>
            <w:r>
              <w:t>一般公共预算基本支出</w:t>
            </w:r>
          </w:p>
        </w:tc>
      </w:tr>
      <w:tr w14:paraId="3AF4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5BB47"/>
        </w:tc>
        <w:tc>
          <w:tcPr>
            <w:tcW w:w="1191" w:type="dxa"/>
            <w:vAlign w:val="center"/>
          </w:tcPr>
          <w:p w14:paraId="7B825281">
            <w:pPr>
              <w:pStyle w:val="10"/>
            </w:pPr>
            <w:r>
              <w:t>科目编码</w:t>
            </w:r>
          </w:p>
        </w:tc>
        <w:tc>
          <w:tcPr>
            <w:tcW w:w="4535" w:type="dxa"/>
            <w:vAlign w:val="center"/>
          </w:tcPr>
          <w:p w14:paraId="038ED607">
            <w:pPr>
              <w:pStyle w:val="10"/>
            </w:pPr>
            <w:r>
              <w:t>科目名称</w:t>
            </w:r>
          </w:p>
        </w:tc>
        <w:tc>
          <w:tcPr>
            <w:tcW w:w="2551" w:type="dxa"/>
            <w:vAlign w:val="center"/>
          </w:tcPr>
          <w:p w14:paraId="510322E3">
            <w:pPr>
              <w:pStyle w:val="10"/>
            </w:pPr>
            <w:r>
              <w:t>合计</w:t>
            </w:r>
          </w:p>
        </w:tc>
        <w:tc>
          <w:tcPr>
            <w:tcW w:w="2551" w:type="dxa"/>
            <w:vAlign w:val="center"/>
          </w:tcPr>
          <w:p w14:paraId="12056025">
            <w:pPr>
              <w:pStyle w:val="10"/>
            </w:pPr>
            <w:r>
              <w:t>人员经费</w:t>
            </w:r>
          </w:p>
        </w:tc>
        <w:tc>
          <w:tcPr>
            <w:tcW w:w="2551" w:type="dxa"/>
            <w:vAlign w:val="center"/>
          </w:tcPr>
          <w:p w14:paraId="4EBCFD84">
            <w:pPr>
              <w:pStyle w:val="10"/>
            </w:pPr>
            <w:r>
              <w:t>公用经费</w:t>
            </w:r>
          </w:p>
        </w:tc>
      </w:tr>
      <w:tr w14:paraId="1D23A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F3E01B">
            <w:pPr>
              <w:pStyle w:val="10"/>
            </w:pPr>
            <w:r>
              <w:t>栏次</w:t>
            </w:r>
          </w:p>
        </w:tc>
        <w:tc>
          <w:tcPr>
            <w:tcW w:w="1191" w:type="dxa"/>
            <w:vAlign w:val="center"/>
          </w:tcPr>
          <w:p w14:paraId="1A7241D6">
            <w:pPr>
              <w:pStyle w:val="10"/>
            </w:pPr>
            <w:r>
              <w:t>1</w:t>
            </w:r>
          </w:p>
        </w:tc>
        <w:tc>
          <w:tcPr>
            <w:tcW w:w="4535" w:type="dxa"/>
            <w:vAlign w:val="center"/>
          </w:tcPr>
          <w:p w14:paraId="2EF34B87">
            <w:pPr>
              <w:pStyle w:val="10"/>
            </w:pPr>
            <w:r>
              <w:t>2</w:t>
            </w:r>
          </w:p>
        </w:tc>
        <w:tc>
          <w:tcPr>
            <w:tcW w:w="2551" w:type="dxa"/>
            <w:vAlign w:val="center"/>
          </w:tcPr>
          <w:p w14:paraId="2CA6D235">
            <w:pPr>
              <w:pStyle w:val="10"/>
            </w:pPr>
            <w:r>
              <w:t>3</w:t>
            </w:r>
          </w:p>
        </w:tc>
        <w:tc>
          <w:tcPr>
            <w:tcW w:w="2551" w:type="dxa"/>
            <w:vAlign w:val="center"/>
          </w:tcPr>
          <w:p w14:paraId="47C96420">
            <w:pPr>
              <w:pStyle w:val="10"/>
            </w:pPr>
            <w:r>
              <w:t>4</w:t>
            </w:r>
          </w:p>
        </w:tc>
        <w:tc>
          <w:tcPr>
            <w:tcW w:w="2551" w:type="dxa"/>
            <w:vAlign w:val="center"/>
          </w:tcPr>
          <w:p w14:paraId="6B18D154">
            <w:pPr>
              <w:pStyle w:val="10"/>
            </w:pPr>
            <w:r>
              <w:t>5</w:t>
            </w:r>
          </w:p>
        </w:tc>
      </w:tr>
      <w:tr w14:paraId="5F4D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059A">
            <w:pPr>
              <w:pStyle w:val="13"/>
            </w:pPr>
            <w:r>
              <w:t>1</w:t>
            </w:r>
          </w:p>
        </w:tc>
        <w:tc>
          <w:tcPr>
            <w:tcW w:w="1191" w:type="dxa"/>
            <w:vAlign w:val="center"/>
          </w:tcPr>
          <w:p w14:paraId="3B42F1C9">
            <w:pPr>
              <w:pStyle w:val="16"/>
            </w:pPr>
          </w:p>
        </w:tc>
        <w:tc>
          <w:tcPr>
            <w:tcW w:w="4535" w:type="dxa"/>
            <w:vAlign w:val="center"/>
          </w:tcPr>
          <w:p w14:paraId="5EFA8B77">
            <w:pPr>
              <w:pStyle w:val="14"/>
            </w:pPr>
            <w:r>
              <w:t>合计</w:t>
            </w:r>
          </w:p>
        </w:tc>
        <w:tc>
          <w:tcPr>
            <w:tcW w:w="2551" w:type="dxa"/>
            <w:vAlign w:val="center"/>
          </w:tcPr>
          <w:p w14:paraId="64E38DE0">
            <w:pPr>
              <w:pStyle w:val="15"/>
            </w:pPr>
            <w:r>
              <w:t>656.21</w:t>
            </w:r>
          </w:p>
        </w:tc>
        <w:tc>
          <w:tcPr>
            <w:tcW w:w="2551" w:type="dxa"/>
            <w:vAlign w:val="center"/>
          </w:tcPr>
          <w:p w14:paraId="22D3D79E">
            <w:pPr>
              <w:pStyle w:val="15"/>
            </w:pPr>
            <w:r>
              <w:t>656.21</w:t>
            </w:r>
          </w:p>
        </w:tc>
        <w:tc>
          <w:tcPr>
            <w:tcW w:w="2551" w:type="dxa"/>
            <w:vAlign w:val="center"/>
          </w:tcPr>
          <w:p w14:paraId="05566BD4">
            <w:pPr>
              <w:pStyle w:val="15"/>
            </w:pPr>
          </w:p>
        </w:tc>
      </w:tr>
      <w:tr w14:paraId="096D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181E">
            <w:pPr>
              <w:pStyle w:val="13"/>
            </w:pPr>
            <w:r>
              <w:t>2</w:t>
            </w:r>
          </w:p>
        </w:tc>
        <w:tc>
          <w:tcPr>
            <w:tcW w:w="1191" w:type="dxa"/>
            <w:vAlign w:val="center"/>
          </w:tcPr>
          <w:p w14:paraId="2CE8ED98">
            <w:pPr>
              <w:pStyle w:val="12"/>
            </w:pPr>
            <w:r>
              <w:t>301</w:t>
            </w:r>
          </w:p>
        </w:tc>
        <w:tc>
          <w:tcPr>
            <w:tcW w:w="4535" w:type="dxa"/>
            <w:vAlign w:val="center"/>
          </w:tcPr>
          <w:p w14:paraId="6DFD7788">
            <w:pPr>
              <w:pStyle w:val="12"/>
            </w:pPr>
            <w:r>
              <w:t>工资福利支出</w:t>
            </w:r>
          </w:p>
        </w:tc>
        <w:tc>
          <w:tcPr>
            <w:tcW w:w="2551" w:type="dxa"/>
            <w:vAlign w:val="center"/>
          </w:tcPr>
          <w:p w14:paraId="13920E37">
            <w:pPr>
              <w:pStyle w:val="11"/>
            </w:pPr>
            <w:r>
              <w:t>656.21</w:t>
            </w:r>
          </w:p>
        </w:tc>
        <w:tc>
          <w:tcPr>
            <w:tcW w:w="2551" w:type="dxa"/>
            <w:vAlign w:val="center"/>
          </w:tcPr>
          <w:p w14:paraId="258333DC">
            <w:pPr>
              <w:pStyle w:val="11"/>
            </w:pPr>
            <w:r>
              <w:t>656.21</w:t>
            </w:r>
          </w:p>
        </w:tc>
        <w:tc>
          <w:tcPr>
            <w:tcW w:w="2551" w:type="dxa"/>
            <w:vAlign w:val="center"/>
          </w:tcPr>
          <w:p w14:paraId="31537EDD">
            <w:pPr>
              <w:pStyle w:val="11"/>
            </w:pPr>
          </w:p>
        </w:tc>
      </w:tr>
      <w:tr w14:paraId="7EC1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50CB">
            <w:pPr>
              <w:pStyle w:val="13"/>
            </w:pPr>
            <w:r>
              <w:t>3</w:t>
            </w:r>
          </w:p>
        </w:tc>
        <w:tc>
          <w:tcPr>
            <w:tcW w:w="1191" w:type="dxa"/>
            <w:vAlign w:val="center"/>
          </w:tcPr>
          <w:p w14:paraId="2C1CBBF2">
            <w:pPr>
              <w:pStyle w:val="12"/>
            </w:pPr>
            <w:r>
              <w:t>30101</w:t>
            </w:r>
          </w:p>
        </w:tc>
        <w:tc>
          <w:tcPr>
            <w:tcW w:w="4535" w:type="dxa"/>
            <w:vAlign w:val="center"/>
          </w:tcPr>
          <w:p w14:paraId="4A1B41D3">
            <w:pPr>
              <w:pStyle w:val="12"/>
            </w:pPr>
            <w:r>
              <w:t>基本工资</w:t>
            </w:r>
          </w:p>
        </w:tc>
        <w:tc>
          <w:tcPr>
            <w:tcW w:w="2551" w:type="dxa"/>
            <w:vAlign w:val="center"/>
          </w:tcPr>
          <w:p w14:paraId="2FBBAE19">
            <w:pPr>
              <w:pStyle w:val="11"/>
            </w:pPr>
            <w:r>
              <w:t>281.25</w:t>
            </w:r>
          </w:p>
        </w:tc>
        <w:tc>
          <w:tcPr>
            <w:tcW w:w="2551" w:type="dxa"/>
            <w:vAlign w:val="center"/>
          </w:tcPr>
          <w:p w14:paraId="330D8F58">
            <w:pPr>
              <w:pStyle w:val="11"/>
            </w:pPr>
            <w:r>
              <w:t>281.25</w:t>
            </w:r>
          </w:p>
        </w:tc>
        <w:tc>
          <w:tcPr>
            <w:tcW w:w="2551" w:type="dxa"/>
            <w:vAlign w:val="center"/>
          </w:tcPr>
          <w:p w14:paraId="6C4320FB">
            <w:pPr>
              <w:pStyle w:val="11"/>
            </w:pPr>
          </w:p>
        </w:tc>
      </w:tr>
      <w:tr w14:paraId="242B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BD6A2">
            <w:pPr>
              <w:pStyle w:val="13"/>
            </w:pPr>
            <w:r>
              <w:t>4</w:t>
            </w:r>
          </w:p>
        </w:tc>
        <w:tc>
          <w:tcPr>
            <w:tcW w:w="1191" w:type="dxa"/>
            <w:vAlign w:val="center"/>
          </w:tcPr>
          <w:p w14:paraId="2C1CA36B">
            <w:pPr>
              <w:pStyle w:val="12"/>
            </w:pPr>
            <w:r>
              <w:t>30102</w:t>
            </w:r>
          </w:p>
        </w:tc>
        <w:tc>
          <w:tcPr>
            <w:tcW w:w="4535" w:type="dxa"/>
            <w:vAlign w:val="center"/>
          </w:tcPr>
          <w:p w14:paraId="02291BB8">
            <w:pPr>
              <w:pStyle w:val="12"/>
            </w:pPr>
            <w:r>
              <w:t>津贴补贴</w:t>
            </w:r>
          </w:p>
        </w:tc>
        <w:tc>
          <w:tcPr>
            <w:tcW w:w="2551" w:type="dxa"/>
            <w:vAlign w:val="center"/>
          </w:tcPr>
          <w:p w14:paraId="206956E8">
            <w:pPr>
              <w:pStyle w:val="11"/>
            </w:pPr>
            <w:r>
              <w:t>12.41</w:t>
            </w:r>
          </w:p>
        </w:tc>
        <w:tc>
          <w:tcPr>
            <w:tcW w:w="2551" w:type="dxa"/>
            <w:vAlign w:val="center"/>
          </w:tcPr>
          <w:p w14:paraId="1C23EF74">
            <w:pPr>
              <w:pStyle w:val="11"/>
            </w:pPr>
            <w:r>
              <w:t>12.41</w:t>
            </w:r>
          </w:p>
        </w:tc>
        <w:tc>
          <w:tcPr>
            <w:tcW w:w="2551" w:type="dxa"/>
            <w:vAlign w:val="center"/>
          </w:tcPr>
          <w:p w14:paraId="23F42BA4">
            <w:pPr>
              <w:pStyle w:val="11"/>
            </w:pPr>
          </w:p>
        </w:tc>
      </w:tr>
      <w:tr w14:paraId="16DF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FD5B">
            <w:pPr>
              <w:pStyle w:val="13"/>
            </w:pPr>
            <w:r>
              <w:t>5</w:t>
            </w:r>
          </w:p>
        </w:tc>
        <w:tc>
          <w:tcPr>
            <w:tcW w:w="1191" w:type="dxa"/>
            <w:vAlign w:val="center"/>
          </w:tcPr>
          <w:p w14:paraId="2FE02019">
            <w:pPr>
              <w:pStyle w:val="12"/>
            </w:pPr>
            <w:r>
              <w:t>30107</w:t>
            </w:r>
          </w:p>
        </w:tc>
        <w:tc>
          <w:tcPr>
            <w:tcW w:w="4535" w:type="dxa"/>
            <w:vAlign w:val="center"/>
          </w:tcPr>
          <w:p w14:paraId="6DB7D203">
            <w:pPr>
              <w:pStyle w:val="12"/>
            </w:pPr>
            <w:r>
              <w:t>绩效工资</w:t>
            </w:r>
          </w:p>
        </w:tc>
        <w:tc>
          <w:tcPr>
            <w:tcW w:w="2551" w:type="dxa"/>
            <w:vAlign w:val="center"/>
          </w:tcPr>
          <w:p w14:paraId="176F646A">
            <w:pPr>
              <w:pStyle w:val="11"/>
            </w:pPr>
            <w:r>
              <w:t>203.18</w:t>
            </w:r>
          </w:p>
        </w:tc>
        <w:tc>
          <w:tcPr>
            <w:tcW w:w="2551" w:type="dxa"/>
            <w:vAlign w:val="center"/>
          </w:tcPr>
          <w:p w14:paraId="59BED3B6">
            <w:pPr>
              <w:pStyle w:val="11"/>
            </w:pPr>
            <w:r>
              <w:t>203.18</w:t>
            </w:r>
          </w:p>
        </w:tc>
        <w:tc>
          <w:tcPr>
            <w:tcW w:w="2551" w:type="dxa"/>
            <w:vAlign w:val="center"/>
          </w:tcPr>
          <w:p w14:paraId="0A91464F">
            <w:pPr>
              <w:pStyle w:val="11"/>
            </w:pPr>
          </w:p>
        </w:tc>
      </w:tr>
      <w:tr w14:paraId="31F5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1B08">
            <w:pPr>
              <w:pStyle w:val="13"/>
            </w:pPr>
            <w:r>
              <w:t>6</w:t>
            </w:r>
          </w:p>
        </w:tc>
        <w:tc>
          <w:tcPr>
            <w:tcW w:w="1191" w:type="dxa"/>
            <w:vAlign w:val="center"/>
          </w:tcPr>
          <w:p w14:paraId="2D982DBB">
            <w:pPr>
              <w:pStyle w:val="12"/>
            </w:pPr>
            <w:r>
              <w:t>30108</w:t>
            </w:r>
          </w:p>
        </w:tc>
        <w:tc>
          <w:tcPr>
            <w:tcW w:w="4535" w:type="dxa"/>
            <w:vAlign w:val="center"/>
          </w:tcPr>
          <w:p w14:paraId="1DAD399F">
            <w:pPr>
              <w:pStyle w:val="12"/>
            </w:pPr>
            <w:r>
              <w:t>机关事业单位基本养老保险缴费</w:t>
            </w:r>
          </w:p>
        </w:tc>
        <w:tc>
          <w:tcPr>
            <w:tcW w:w="2551" w:type="dxa"/>
            <w:vAlign w:val="center"/>
          </w:tcPr>
          <w:p w14:paraId="447FB722">
            <w:pPr>
              <w:pStyle w:val="11"/>
            </w:pPr>
            <w:r>
              <w:t>66.98</w:t>
            </w:r>
          </w:p>
        </w:tc>
        <w:tc>
          <w:tcPr>
            <w:tcW w:w="2551" w:type="dxa"/>
            <w:vAlign w:val="center"/>
          </w:tcPr>
          <w:p w14:paraId="65F0FEEC">
            <w:pPr>
              <w:pStyle w:val="11"/>
            </w:pPr>
            <w:r>
              <w:t>66.98</w:t>
            </w:r>
          </w:p>
        </w:tc>
        <w:tc>
          <w:tcPr>
            <w:tcW w:w="2551" w:type="dxa"/>
            <w:vAlign w:val="center"/>
          </w:tcPr>
          <w:p w14:paraId="5019CA45">
            <w:pPr>
              <w:pStyle w:val="11"/>
            </w:pPr>
          </w:p>
        </w:tc>
      </w:tr>
      <w:tr w14:paraId="797F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A7036">
            <w:pPr>
              <w:pStyle w:val="13"/>
            </w:pPr>
            <w:r>
              <w:t>7</w:t>
            </w:r>
          </w:p>
        </w:tc>
        <w:tc>
          <w:tcPr>
            <w:tcW w:w="1191" w:type="dxa"/>
            <w:vAlign w:val="center"/>
          </w:tcPr>
          <w:p w14:paraId="6F712F12">
            <w:pPr>
              <w:pStyle w:val="12"/>
            </w:pPr>
            <w:r>
              <w:t>30110</w:t>
            </w:r>
          </w:p>
        </w:tc>
        <w:tc>
          <w:tcPr>
            <w:tcW w:w="4535" w:type="dxa"/>
            <w:vAlign w:val="center"/>
          </w:tcPr>
          <w:p w14:paraId="189524B8">
            <w:pPr>
              <w:pStyle w:val="12"/>
            </w:pPr>
            <w:r>
              <w:t>职工基本医疗保险缴费</w:t>
            </w:r>
          </w:p>
        </w:tc>
        <w:tc>
          <w:tcPr>
            <w:tcW w:w="2551" w:type="dxa"/>
            <w:vAlign w:val="center"/>
          </w:tcPr>
          <w:p w14:paraId="6398D51B">
            <w:pPr>
              <w:pStyle w:val="11"/>
            </w:pPr>
            <w:r>
              <w:t>37.26</w:t>
            </w:r>
          </w:p>
        </w:tc>
        <w:tc>
          <w:tcPr>
            <w:tcW w:w="2551" w:type="dxa"/>
            <w:vAlign w:val="center"/>
          </w:tcPr>
          <w:p w14:paraId="67845900">
            <w:pPr>
              <w:pStyle w:val="11"/>
            </w:pPr>
            <w:r>
              <w:t>37.26</w:t>
            </w:r>
          </w:p>
        </w:tc>
        <w:tc>
          <w:tcPr>
            <w:tcW w:w="2551" w:type="dxa"/>
            <w:vAlign w:val="center"/>
          </w:tcPr>
          <w:p w14:paraId="58B85DE5">
            <w:pPr>
              <w:pStyle w:val="11"/>
            </w:pPr>
          </w:p>
        </w:tc>
      </w:tr>
      <w:tr w14:paraId="3416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93E1">
            <w:pPr>
              <w:pStyle w:val="13"/>
            </w:pPr>
            <w:r>
              <w:t>8</w:t>
            </w:r>
          </w:p>
        </w:tc>
        <w:tc>
          <w:tcPr>
            <w:tcW w:w="1191" w:type="dxa"/>
            <w:vAlign w:val="center"/>
          </w:tcPr>
          <w:p w14:paraId="37F83307">
            <w:pPr>
              <w:pStyle w:val="12"/>
            </w:pPr>
            <w:r>
              <w:t>30112</w:t>
            </w:r>
          </w:p>
        </w:tc>
        <w:tc>
          <w:tcPr>
            <w:tcW w:w="4535" w:type="dxa"/>
            <w:vAlign w:val="center"/>
          </w:tcPr>
          <w:p w14:paraId="4D1D508C">
            <w:pPr>
              <w:pStyle w:val="12"/>
            </w:pPr>
            <w:r>
              <w:t>其他社会保障缴费</w:t>
            </w:r>
          </w:p>
        </w:tc>
        <w:tc>
          <w:tcPr>
            <w:tcW w:w="2551" w:type="dxa"/>
            <w:vAlign w:val="center"/>
          </w:tcPr>
          <w:p w14:paraId="5C8E2F26">
            <w:pPr>
              <w:pStyle w:val="11"/>
            </w:pPr>
            <w:r>
              <w:t>4.75</w:t>
            </w:r>
          </w:p>
        </w:tc>
        <w:tc>
          <w:tcPr>
            <w:tcW w:w="2551" w:type="dxa"/>
            <w:vAlign w:val="center"/>
          </w:tcPr>
          <w:p w14:paraId="64AF1876">
            <w:pPr>
              <w:pStyle w:val="11"/>
            </w:pPr>
            <w:r>
              <w:t>4.75</w:t>
            </w:r>
          </w:p>
        </w:tc>
        <w:tc>
          <w:tcPr>
            <w:tcW w:w="2551" w:type="dxa"/>
            <w:vAlign w:val="center"/>
          </w:tcPr>
          <w:p w14:paraId="4BB17C88">
            <w:pPr>
              <w:pStyle w:val="11"/>
            </w:pPr>
          </w:p>
        </w:tc>
      </w:tr>
      <w:tr w14:paraId="3D11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4FDF7">
            <w:pPr>
              <w:pStyle w:val="13"/>
            </w:pPr>
            <w:r>
              <w:t>9</w:t>
            </w:r>
          </w:p>
        </w:tc>
        <w:tc>
          <w:tcPr>
            <w:tcW w:w="1191" w:type="dxa"/>
            <w:vAlign w:val="center"/>
          </w:tcPr>
          <w:p w14:paraId="0C3E0C68">
            <w:pPr>
              <w:pStyle w:val="12"/>
            </w:pPr>
            <w:r>
              <w:t>30113</w:t>
            </w:r>
          </w:p>
        </w:tc>
        <w:tc>
          <w:tcPr>
            <w:tcW w:w="4535" w:type="dxa"/>
            <w:vAlign w:val="center"/>
          </w:tcPr>
          <w:p w14:paraId="7D094078">
            <w:pPr>
              <w:pStyle w:val="12"/>
            </w:pPr>
            <w:r>
              <w:t>住房公积金</w:t>
            </w:r>
          </w:p>
        </w:tc>
        <w:tc>
          <w:tcPr>
            <w:tcW w:w="2551" w:type="dxa"/>
            <w:vAlign w:val="center"/>
          </w:tcPr>
          <w:p w14:paraId="59C3A999">
            <w:pPr>
              <w:pStyle w:val="11"/>
            </w:pPr>
            <w:r>
              <w:t>50.38</w:t>
            </w:r>
          </w:p>
        </w:tc>
        <w:tc>
          <w:tcPr>
            <w:tcW w:w="2551" w:type="dxa"/>
            <w:vAlign w:val="center"/>
          </w:tcPr>
          <w:p w14:paraId="16218843">
            <w:pPr>
              <w:pStyle w:val="11"/>
            </w:pPr>
            <w:r>
              <w:t>50.38</w:t>
            </w:r>
          </w:p>
        </w:tc>
        <w:tc>
          <w:tcPr>
            <w:tcW w:w="2551" w:type="dxa"/>
            <w:vAlign w:val="center"/>
          </w:tcPr>
          <w:p w14:paraId="627572DD">
            <w:pPr>
              <w:pStyle w:val="11"/>
            </w:pPr>
          </w:p>
        </w:tc>
      </w:tr>
    </w:tbl>
    <w:p w14:paraId="616C4D59">
      <w:pPr>
        <w:sectPr>
          <w:pgSz w:w="16840" w:h="11900" w:orient="landscape"/>
          <w:pgMar w:top="1361" w:right="1020" w:bottom="1134" w:left="1020" w:header="720" w:footer="720" w:gutter="0"/>
          <w:cols w:space="720" w:num="1"/>
        </w:sectPr>
      </w:pPr>
    </w:p>
    <w:p w14:paraId="0A24B7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02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858A2C">
            <w:pPr>
              <w:pStyle w:val="9"/>
            </w:pPr>
            <w:r>
              <w:t>360039隆尧县唐尧街小学</w:t>
            </w:r>
          </w:p>
        </w:tc>
        <w:tc>
          <w:tcPr>
            <w:tcW w:w="2551" w:type="dxa"/>
            <w:tcBorders>
              <w:top w:val="single" w:color="FFFFFF" w:sz="6" w:space="0"/>
              <w:left w:val="single" w:color="FFFFFF" w:sz="6" w:space="0"/>
              <w:right w:val="single" w:color="FFFFFF" w:sz="6" w:space="0"/>
            </w:tcBorders>
            <w:vAlign w:val="center"/>
          </w:tcPr>
          <w:p w14:paraId="4B92BD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159060">
            <w:pPr>
              <w:pStyle w:val="7"/>
            </w:pPr>
            <w:r>
              <w:t>单位：万元</w:t>
            </w:r>
          </w:p>
        </w:tc>
      </w:tr>
      <w:tr w14:paraId="31A0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DD77B">
            <w:pPr>
              <w:pStyle w:val="10"/>
            </w:pPr>
            <w:r>
              <w:t>序号</w:t>
            </w:r>
          </w:p>
        </w:tc>
        <w:tc>
          <w:tcPr>
            <w:tcW w:w="5726" w:type="dxa"/>
            <w:gridSpan w:val="2"/>
            <w:vAlign w:val="center"/>
          </w:tcPr>
          <w:p w14:paraId="55F7AE50">
            <w:pPr>
              <w:pStyle w:val="10"/>
            </w:pPr>
            <w:r>
              <w:t>功能分类科目</w:t>
            </w:r>
          </w:p>
        </w:tc>
        <w:tc>
          <w:tcPr>
            <w:tcW w:w="2551" w:type="dxa"/>
            <w:vMerge w:val="restart"/>
            <w:vAlign w:val="center"/>
          </w:tcPr>
          <w:p w14:paraId="11DC12A9">
            <w:pPr>
              <w:pStyle w:val="10"/>
            </w:pPr>
            <w:r>
              <w:t>合计</w:t>
            </w:r>
          </w:p>
        </w:tc>
        <w:tc>
          <w:tcPr>
            <w:tcW w:w="2551" w:type="dxa"/>
            <w:vMerge w:val="restart"/>
            <w:vAlign w:val="center"/>
          </w:tcPr>
          <w:p w14:paraId="0F48C709">
            <w:pPr>
              <w:pStyle w:val="10"/>
            </w:pPr>
            <w:r>
              <w:t>基本支出</w:t>
            </w:r>
          </w:p>
        </w:tc>
        <w:tc>
          <w:tcPr>
            <w:tcW w:w="2551" w:type="dxa"/>
            <w:vMerge w:val="restart"/>
            <w:vAlign w:val="center"/>
          </w:tcPr>
          <w:p w14:paraId="5D554CA3">
            <w:pPr>
              <w:pStyle w:val="10"/>
            </w:pPr>
            <w:r>
              <w:t>项目支出</w:t>
            </w:r>
          </w:p>
        </w:tc>
      </w:tr>
      <w:tr w14:paraId="0661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FF974A"/>
        </w:tc>
        <w:tc>
          <w:tcPr>
            <w:tcW w:w="1191" w:type="dxa"/>
            <w:vAlign w:val="center"/>
          </w:tcPr>
          <w:p w14:paraId="3B2D009F">
            <w:pPr>
              <w:pStyle w:val="10"/>
            </w:pPr>
            <w:r>
              <w:t>科目编码</w:t>
            </w:r>
          </w:p>
        </w:tc>
        <w:tc>
          <w:tcPr>
            <w:tcW w:w="4535" w:type="dxa"/>
            <w:vAlign w:val="center"/>
          </w:tcPr>
          <w:p w14:paraId="23F1911B">
            <w:pPr>
              <w:pStyle w:val="10"/>
            </w:pPr>
            <w:r>
              <w:t>科目名称</w:t>
            </w:r>
          </w:p>
        </w:tc>
        <w:tc>
          <w:tcPr>
            <w:tcW w:w="2551" w:type="dxa"/>
            <w:vMerge w:val="continue"/>
          </w:tcPr>
          <w:p w14:paraId="7A0FA839"/>
        </w:tc>
        <w:tc>
          <w:tcPr>
            <w:tcW w:w="2551" w:type="dxa"/>
            <w:vMerge w:val="continue"/>
          </w:tcPr>
          <w:p w14:paraId="7339502C"/>
        </w:tc>
        <w:tc>
          <w:tcPr>
            <w:tcW w:w="2551" w:type="dxa"/>
            <w:vMerge w:val="continue"/>
          </w:tcPr>
          <w:p w14:paraId="6610A5A7"/>
        </w:tc>
      </w:tr>
      <w:tr w14:paraId="1E04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987DBE">
            <w:pPr>
              <w:pStyle w:val="10"/>
            </w:pPr>
            <w:r>
              <w:t>栏次</w:t>
            </w:r>
          </w:p>
        </w:tc>
        <w:tc>
          <w:tcPr>
            <w:tcW w:w="1191" w:type="dxa"/>
            <w:vAlign w:val="center"/>
          </w:tcPr>
          <w:p w14:paraId="67008868">
            <w:pPr>
              <w:pStyle w:val="10"/>
            </w:pPr>
            <w:r>
              <w:t>1</w:t>
            </w:r>
          </w:p>
        </w:tc>
        <w:tc>
          <w:tcPr>
            <w:tcW w:w="4535" w:type="dxa"/>
            <w:vAlign w:val="center"/>
          </w:tcPr>
          <w:p w14:paraId="7FDF43CE">
            <w:pPr>
              <w:pStyle w:val="10"/>
            </w:pPr>
            <w:r>
              <w:t>2</w:t>
            </w:r>
          </w:p>
        </w:tc>
        <w:tc>
          <w:tcPr>
            <w:tcW w:w="2551" w:type="dxa"/>
            <w:vAlign w:val="center"/>
          </w:tcPr>
          <w:p w14:paraId="142DE76C">
            <w:pPr>
              <w:pStyle w:val="10"/>
            </w:pPr>
            <w:r>
              <w:t>3</w:t>
            </w:r>
          </w:p>
        </w:tc>
        <w:tc>
          <w:tcPr>
            <w:tcW w:w="2551" w:type="dxa"/>
            <w:vAlign w:val="center"/>
          </w:tcPr>
          <w:p w14:paraId="46BD708D">
            <w:pPr>
              <w:pStyle w:val="10"/>
            </w:pPr>
            <w:r>
              <w:t>4</w:t>
            </w:r>
          </w:p>
        </w:tc>
        <w:tc>
          <w:tcPr>
            <w:tcW w:w="2551" w:type="dxa"/>
            <w:vAlign w:val="center"/>
          </w:tcPr>
          <w:p w14:paraId="7526E394">
            <w:pPr>
              <w:pStyle w:val="10"/>
            </w:pPr>
            <w:r>
              <w:t>5</w:t>
            </w:r>
          </w:p>
        </w:tc>
      </w:tr>
      <w:tr w14:paraId="245C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B410B">
            <w:pPr>
              <w:pStyle w:val="13"/>
            </w:pPr>
          </w:p>
        </w:tc>
        <w:tc>
          <w:tcPr>
            <w:tcW w:w="1191" w:type="dxa"/>
            <w:vAlign w:val="center"/>
          </w:tcPr>
          <w:p w14:paraId="09102F2D">
            <w:pPr>
              <w:pStyle w:val="12"/>
            </w:pPr>
          </w:p>
        </w:tc>
        <w:tc>
          <w:tcPr>
            <w:tcW w:w="4535" w:type="dxa"/>
            <w:vAlign w:val="center"/>
          </w:tcPr>
          <w:p w14:paraId="3FFA7DA7">
            <w:pPr>
              <w:pStyle w:val="12"/>
            </w:pPr>
          </w:p>
        </w:tc>
        <w:tc>
          <w:tcPr>
            <w:tcW w:w="2551" w:type="dxa"/>
            <w:vAlign w:val="center"/>
          </w:tcPr>
          <w:p w14:paraId="6E22270A">
            <w:pPr>
              <w:pStyle w:val="11"/>
            </w:pPr>
          </w:p>
        </w:tc>
        <w:tc>
          <w:tcPr>
            <w:tcW w:w="2551" w:type="dxa"/>
            <w:vAlign w:val="center"/>
          </w:tcPr>
          <w:p w14:paraId="4EEB164B">
            <w:pPr>
              <w:pStyle w:val="11"/>
            </w:pPr>
          </w:p>
        </w:tc>
        <w:tc>
          <w:tcPr>
            <w:tcW w:w="2551" w:type="dxa"/>
            <w:vAlign w:val="center"/>
          </w:tcPr>
          <w:p w14:paraId="0CD402E3">
            <w:pPr>
              <w:pStyle w:val="11"/>
            </w:pPr>
          </w:p>
        </w:tc>
      </w:tr>
    </w:tbl>
    <w:p w14:paraId="3BC8E9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4B9B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F2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DDF9B5">
            <w:pPr>
              <w:pStyle w:val="9"/>
            </w:pPr>
            <w:r>
              <w:t>360039隆尧县唐尧街小学</w:t>
            </w:r>
          </w:p>
        </w:tc>
        <w:tc>
          <w:tcPr>
            <w:tcW w:w="2551" w:type="dxa"/>
            <w:tcBorders>
              <w:top w:val="single" w:color="FFFFFF" w:sz="6" w:space="0"/>
              <w:left w:val="single" w:color="FFFFFF" w:sz="6" w:space="0"/>
              <w:right w:val="single" w:color="FFFFFF" w:sz="6" w:space="0"/>
            </w:tcBorders>
            <w:vAlign w:val="center"/>
          </w:tcPr>
          <w:p w14:paraId="79E121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52942B">
            <w:pPr>
              <w:pStyle w:val="7"/>
            </w:pPr>
            <w:r>
              <w:t>单位：万元</w:t>
            </w:r>
          </w:p>
        </w:tc>
      </w:tr>
      <w:tr w14:paraId="04982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2363A">
            <w:pPr>
              <w:pStyle w:val="10"/>
            </w:pPr>
            <w:r>
              <w:t>序号</w:t>
            </w:r>
          </w:p>
        </w:tc>
        <w:tc>
          <w:tcPr>
            <w:tcW w:w="5726" w:type="dxa"/>
            <w:gridSpan w:val="2"/>
            <w:vAlign w:val="center"/>
          </w:tcPr>
          <w:p w14:paraId="56A966C3">
            <w:pPr>
              <w:pStyle w:val="10"/>
            </w:pPr>
            <w:r>
              <w:t>功能分类科目</w:t>
            </w:r>
          </w:p>
        </w:tc>
        <w:tc>
          <w:tcPr>
            <w:tcW w:w="2551" w:type="dxa"/>
            <w:vMerge w:val="restart"/>
            <w:vAlign w:val="center"/>
          </w:tcPr>
          <w:p w14:paraId="3405B846">
            <w:pPr>
              <w:pStyle w:val="10"/>
            </w:pPr>
            <w:r>
              <w:t>合计</w:t>
            </w:r>
          </w:p>
        </w:tc>
        <w:tc>
          <w:tcPr>
            <w:tcW w:w="2551" w:type="dxa"/>
            <w:vMerge w:val="restart"/>
            <w:vAlign w:val="center"/>
          </w:tcPr>
          <w:p w14:paraId="2C8DBD97">
            <w:pPr>
              <w:pStyle w:val="10"/>
            </w:pPr>
            <w:r>
              <w:t>基本支出</w:t>
            </w:r>
          </w:p>
        </w:tc>
        <w:tc>
          <w:tcPr>
            <w:tcW w:w="2551" w:type="dxa"/>
            <w:vMerge w:val="restart"/>
            <w:vAlign w:val="center"/>
          </w:tcPr>
          <w:p w14:paraId="0CA5A6B6">
            <w:pPr>
              <w:pStyle w:val="10"/>
            </w:pPr>
            <w:r>
              <w:t>项目支出</w:t>
            </w:r>
          </w:p>
        </w:tc>
      </w:tr>
      <w:tr w14:paraId="1B09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2E1B1"/>
        </w:tc>
        <w:tc>
          <w:tcPr>
            <w:tcW w:w="1191" w:type="dxa"/>
            <w:vAlign w:val="center"/>
          </w:tcPr>
          <w:p w14:paraId="50F4811A">
            <w:pPr>
              <w:pStyle w:val="10"/>
            </w:pPr>
            <w:r>
              <w:t>科目编码</w:t>
            </w:r>
          </w:p>
        </w:tc>
        <w:tc>
          <w:tcPr>
            <w:tcW w:w="4535" w:type="dxa"/>
            <w:vAlign w:val="center"/>
          </w:tcPr>
          <w:p w14:paraId="698E9D77">
            <w:pPr>
              <w:pStyle w:val="10"/>
            </w:pPr>
            <w:r>
              <w:t>科目名称</w:t>
            </w:r>
          </w:p>
        </w:tc>
        <w:tc>
          <w:tcPr>
            <w:tcW w:w="2551" w:type="dxa"/>
            <w:vMerge w:val="continue"/>
          </w:tcPr>
          <w:p w14:paraId="7E8FFDFC"/>
        </w:tc>
        <w:tc>
          <w:tcPr>
            <w:tcW w:w="2551" w:type="dxa"/>
            <w:vMerge w:val="continue"/>
          </w:tcPr>
          <w:p w14:paraId="6EA84E04"/>
        </w:tc>
        <w:tc>
          <w:tcPr>
            <w:tcW w:w="2551" w:type="dxa"/>
            <w:vMerge w:val="continue"/>
          </w:tcPr>
          <w:p w14:paraId="35B3E42A"/>
        </w:tc>
      </w:tr>
      <w:tr w14:paraId="5D00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F85599">
            <w:pPr>
              <w:pStyle w:val="10"/>
            </w:pPr>
            <w:r>
              <w:t>栏次</w:t>
            </w:r>
          </w:p>
        </w:tc>
        <w:tc>
          <w:tcPr>
            <w:tcW w:w="1191" w:type="dxa"/>
            <w:vAlign w:val="center"/>
          </w:tcPr>
          <w:p w14:paraId="765A0EEC">
            <w:pPr>
              <w:pStyle w:val="10"/>
            </w:pPr>
            <w:r>
              <w:t>1</w:t>
            </w:r>
          </w:p>
        </w:tc>
        <w:tc>
          <w:tcPr>
            <w:tcW w:w="4535" w:type="dxa"/>
            <w:vAlign w:val="center"/>
          </w:tcPr>
          <w:p w14:paraId="2B71553F">
            <w:pPr>
              <w:pStyle w:val="10"/>
            </w:pPr>
            <w:r>
              <w:t>2</w:t>
            </w:r>
          </w:p>
        </w:tc>
        <w:tc>
          <w:tcPr>
            <w:tcW w:w="2551" w:type="dxa"/>
            <w:vAlign w:val="center"/>
          </w:tcPr>
          <w:p w14:paraId="43744854">
            <w:pPr>
              <w:pStyle w:val="10"/>
            </w:pPr>
            <w:r>
              <w:t>3</w:t>
            </w:r>
          </w:p>
        </w:tc>
        <w:tc>
          <w:tcPr>
            <w:tcW w:w="2551" w:type="dxa"/>
            <w:vAlign w:val="center"/>
          </w:tcPr>
          <w:p w14:paraId="77AFD8E1">
            <w:pPr>
              <w:pStyle w:val="10"/>
            </w:pPr>
            <w:r>
              <w:t>4</w:t>
            </w:r>
          </w:p>
        </w:tc>
        <w:tc>
          <w:tcPr>
            <w:tcW w:w="2551" w:type="dxa"/>
            <w:vAlign w:val="center"/>
          </w:tcPr>
          <w:p w14:paraId="063C27FE">
            <w:pPr>
              <w:pStyle w:val="10"/>
            </w:pPr>
            <w:r>
              <w:t>5</w:t>
            </w:r>
          </w:p>
        </w:tc>
      </w:tr>
      <w:tr w14:paraId="24FE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362A">
            <w:pPr>
              <w:pStyle w:val="13"/>
            </w:pPr>
          </w:p>
        </w:tc>
        <w:tc>
          <w:tcPr>
            <w:tcW w:w="1191" w:type="dxa"/>
            <w:vAlign w:val="center"/>
          </w:tcPr>
          <w:p w14:paraId="7FA9886C">
            <w:pPr>
              <w:pStyle w:val="12"/>
            </w:pPr>
          </w:p>
        </w:tc>
        <w:tc>
          <w:tcPr>
            <w:tcW w:w="4535" w:type="dxa"/>
            <w:vAlign w:val="center"/>
          </w:tcPr>
          <w:p w14:paraId="1143780B">
            <w:pPr>
              <w:pStyle w:val="12"/>
            </w:pPr>
          </w:p>
        </w:tc>
        <w:tc>
          <w:tcPr>
            <w:tcW w:w="2551" w:type="dxa"/>
            <w:vAlign w:val="center"/>
          </w:tcPr>
          <w:p w14:paraId="500D087D">
            <w:pPr>
              <w:pStyle w:val="11"/>
            </w:pPr>
          </w:p>
        </w:tc>
        <w:tc>
          <w:tcPr>
            <w:tcW w:w="2551" w:type="dxa"/>
            <w:vAlign w:val="center"/>
          </w:tcPr>
          <w:p w14:paraId="479BA11A">
            <w:pPr>
              <w:pStyle w:val="11"/>
            </w:pPr>
          </w:p>
        </w:tc>
        <w:tc>
          <w:tcPr>
            <w:tcW w:w="2551" w:type="dxa"/>
            <w:vAlign w:val="center"/>
          </w:tcPr>
          <w:p w14:paraId="28675202">
            <w:pPr>
              <w:pStyle w:val="11"/>
            </w:pPr>
          </w:p>
        </w:tc>
      </w:tr>
    </w:tbl>
    <w:p w14:paraId="75FD6C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8C1F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BD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24A01B">
            <w:pPr>
              <w:pStyle w:val="9"/>
            </w:pPr>
            <w:r>
              <w:t>360039隆尧县唐尧街小学</w:t>
            </w:r>
          </w:p>
        </w:tc>
        <w:tc>
          <w:tcPr>
            <w:tcW w:w="2381" w:type="dxa"/>
            <w:tcBorders>
              <w:top w:val="single" w:color="FFFFFF" w:sz="6" w:space="0"/>
              <w:left w:val="single" w:color="FFFFFF" w:sz="6" w:space="0"/>
              <w:right w:val="single" w:color="FFFFFF" w:sz="6" w:space="0"/>
            </w:tcBorders>
            <w:vAlign w:val="center"/>
          </w:tcPr>
          <w:p w14:paraId="25DF145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78A67C">
            <w:pPr>
              <w:pStyle w:val="7"/>
            </w:pPr>
            <w:r>
              <w:t>单位：万元</w:t>
            </w:r>
          </w:p>
        </w:tc>
      </w:tr>
      <w:tr w14:paraId="51E7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4CA76">
            <w:pPr>
              <w:pStyle w:val="10"/>
            </w:pPr>
            <w:r>
              <w:t>序号</w:t>
            </w:r>
          </w:p>
        </w:tc>
        <w:tc>
          <w:tcPr>
            <w:tcW w:w="3798" w:type="dxa"/>
            <w:vMerge w:val="restart"/>
            <w:vAlign w:val="center"/>
          </w:tcPr>
          <w:p w14:paraId="0715BD6D">
            <w:pPr>
              <w:pStyle w:val="10"/>
            </w:pPr>
            <w:r>
              <w:t>项  目</w:t>
            </w:r>
          </w:p>
        </w:tc>
        <w:tc>
          <w:tcPr>
            <w:tcW w:w="9524" w:type="dxa"/>
            <w:gridSpan w:val="4"/>
            <w:vAlign w:val="center"/>
          </w:tcPr>
          <w:p w14:paraId="53558A51">
            <w:pPr>
              <w:pStyle w:val="10"/>
            </w:pPr>
            <w:r>
              <w:t>资 金 性 质</w:t>
            </w:r>
          </w:p>
        </w:tc>
      </w:tr>
      <w:tr w14:paraId="26CB3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E9C7D8"/>
        </w:tc>
        <w:tc>
          <w:tcPr>
            <w:tcW w:w="3798" w:type="dxa"/>
            <w:vMerge w:val="continue"/>
          </w:tcPr>
          <w:p w14:paraId="26D1E81F"/>
        </w:tc>
        <w:tc>
          <w:tcPr>
            <w:tcW w:w="2381" w:type="dxa"/>
            <w:vAlign w:val="center"/>
          </w:tcPr>
          <w:p w14:paraId="7BDD44C4">
            <w:pPr>
              <w:pStyle w:val="10"/>
            </w:pPr>
            <w:r>
              <w:t>合计</w:t>
            </w:r>
          </w:p>
        </w:tc>
        <w:tc>
          <w:tcPr>
            <w:tcW w:w="2381" w:type="dxa"/>
            <w:vAlign w:val="center"/>
          </w:tcPr>
          <w:p w14:paraId="3D30C684">
            <w:pPr>
              <w:pStyle w:val="10"/>
            </w:pPr>
            <w:r>
              <w:t>一般公共预算              财政拨款</w:t>
            </w:r>
          </w:p>
        </w:tc>
        <w:tc>
          <w:tcPr>
            <w:tcW w:w="2381" w:type="dxa"/>
            <w:vAlign w:val="center"/>
          </w:tcPr>
          <w:p w14:paraId="5EAF9669">
            <w:pPr>
              <w:pStyle w:val="10"/>
            </w:pPr>
            <w:r>
              <w:t>政府性基金                  预算拨款</w:t>
            </w:r>
          </w:p>
        </w:tc>
        <w:tc>
          <w:tcPr>
            <w:tcW w:w="2381" w:type="dxa"/>
            <w:vAlign w:val="center"/>
          </w:tcPr>
          <w:p w14:paraId="0F10181E">
            <w:pPr>
              <w:pStyle w:val="10"/>
            </w:pPr>
            <w:r>
              <w:t>国有资本经营              预算财政拨款</w:t>
            </w:r>
          </w:p>
        </w:tc>
      </w:tr>
      <w:tr w14:paraId="1878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FF6694">
            <w:pPr>
              <w:pStyle w:val="10"/>
            </w:pPr>
            <w:r>
              <w:t>栏次</w:t>
            </w:r>
          </w:p>
        </w:tc>
        <w:tc>
          <w:tcPr>
            <w:tcW w:w="3798" w:type="dxa"/>
            <w:vAlign w:val="center"/>
          </w:tcPr>
          <w:p w14:paraId="006D24FC">
            <w:pPr>
              <w:pStyle w:val="10"/>
            </w:pPr>
            <w:r>
              <w:t>1</w:t>
            </w:r>
          </w:p>
        </w:tc>
        <w:tc>
          <w:tcPr>
            <w:tcW w:w="2381" w:type="dxa"/>
            <w:vAlign w:val="center"/>
          </w:tcPr>
          <w:p w14:paraId="77C7535F">
            <w:pPr>
              <w:pStyle w:val="10"/>
            </w:pPr>
            <w:r>
              <w:t>2</w:t>
            </w:r>
          </w:p>
        </w:tc>
        <w:tc>
          <w:tcPr>
            <w:tcW w:w="2381" w:type="dxa"/>
            <w:vAlign w:val="center"/>
          </w:tcPr>
          <w:p w14:paraId="27492EA9">
            <w:pPr>
              <w:pStyle w:val="10"/>
            </w:pPr>
            <w:r>
              <w:t>3</w:t>
            </w:r>
          </w:p>
        </w:tc>
        <w:tc>
          <w:tcPr>
            <w:tcW w:w="2381" w:type="dxa"/>
            <w:vAlign w:val="center"/>
          </w:tcPr>
          <w:p w14:paraId="2A74CF42">
            <w:pPr>
              <w:pStyle w:val="10"/>
            </w:pPr>
            <w:r>
              <w:t>4</w:t>
            </w:r>
          </w:p>
        </w:tc>
        <w:tc>
          <w:tcPr>
            <w:tcW w:w="2381" w:type="dxa"/>
            <w:vAlign w:val="center"/>
          </w:tcPr>
          <w:p w14:paraId="63FFDE35">
            <w:pPr>
              <w:pStyle w:val="10"/>
            </w:pPr>
            <w:r>
              <w:t>5</w:t>
            </w:r>
          </w:p>
        </w:tc>
      </w:tr>
      <w:tr w14:paraId="3C5B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10529D">
            <w:pPr>
              <w:pStyle w:val="13"/>
            </w:pPr>
          </w:p>
        </w:tc>
        <w:tc>
          <w:tcPr>
            <w:tcW w:w="3798" w:type="dxa"/>
            <w:vAlign w:val="center"/>
          </w:tcPr>
          <w:p w14:paraId="0E4C0D13">
            <w:pPr>
              <w:pStyle w:val="12"/>
            </w:pPr>
          </w:p>
        </w:tc>
        <w:tc>
          <w:tcPr>
            <w:tcW w:w="2381" w:type="dxa"/>
            <w:vAlign w:val="center"/>
          </w:tcPr>
          <w:p w14:paraId="07328260">
            <w:pPr>
              <w:pStyle w:val="11"/>
            </w:pPr>
          </w:p>
        </w:tc>
        <w:tc>
          <w:tcPr>
            <w:tcW w:w="2381" w:type="dxa"/>
            <w:vAlign w:val="center"/>
          </w:tcPr>
          <w:p w14:paraId="21E7F34F">
            <w:pPr>
              <w:pStyle w:val="11"/>
            </w:pPr>
          </w:p>
        </w:tc>
        <w:tc>
          <w:tcPr>
            <w:tcW w:w="2381" w:type="dxa"/>
            <w:vAlign w:val="center"/>
          </w:tcPr>
          <w:p w14:paraId="4551F060">
            <w:pPr>
              <w:pStyle w:val="11"/>
            </w:pPr>
          </w:p>
        </w:tc>
        <w:tc>
          <w:tcPr>
            <w:tcW w:w="2381" w:type="dxa"/>
            <w:vAlign w:val="center"/>
          </w:tcPr>
          <w:p w14:paraId="102571A9">
            <w:pPr>
              <w:pStyle w:val="11"/>
            </w:pPr>
          </w:p>
        </w:tc>
      </w:tr>
    </w:tbl>
    <w:p w14:paraId="0A30661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F7E9E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隆尧县唐尧街小学2026年单位预算信息公开情况说明</w:t>
      </w:r>
    </w:p>
    <w:p w14:paraId="25860ED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地方预决算公开操作规程》和《关于进一步推进预算公开工作的实施意见》规定，现将隆尧县唐尧街小学2026年单位预算公开如下：</w:t>
      </w:r>
    </w:p>
    <w:p w14:paraId="5CD9856C">
      <w:pPr>
        <w:spacing w:before="10" w:after="10" w:line="240" w:lineRule="auto"/>
        <w:ind w:firstLine="640"/>
        <w:jc w:val="left"/>
        <w:outlineLvl w:val="5"/>
      </w:pPr>
      <w:r>
        <w:rPr>
          <w:rFonts w:ascii="黑体" w:hAnsi="黑体" w:eastAsia="黑体" w:cs="黑体"/>
          <w:color w:val="000000"/>
          <w:sz w:val="32"/>
        </w:rPr>
        <w:t>一、单位职责及机构设置情况</w:t>
      </w:r>
    </w:p>
    <w:p w14:paraId="5B570C9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B00C72">
      <w:pPr>
        <w:pStyle w:val="17"/>
        <w:rPr>
          <w:rFonts w:hint="eastAsia"/>
        </w:rPr>
      </w:pPr>
      <w:r>
        <w:rPr>
          <w:rFonts w:hint="eastAsia"/>
        </w:rPr>
        <w:t>贯彻落实基础教育的方针、政策，开展小学阶段教育教学工作，促进学生德、智、体、美、劳全面发展；负责学生安全教育和管理，确保学生身心健康；加强教师队伍建设和管理，为教育教学工作提供保障。</w:t>
      </w:r>
    </w:p>
    <w:p w14:paraId="0C170361">
      <w:pPr>
        <w:pStyle w:val="17"/>
      </w:pPr>
      <w:r>
        <w:rPr>
          <w:rFonts w:hint="eastAsia"/>
        </w:rPr>
        <w:t>隆尧县唐尧街小学事业编制78名</w:t>
      </w:r>
      <w:r>
        <w:rPr>
          <w:rFonts w:hint="eastAsia"/>
          <w:lang w:eastAsia="zh-CN"/>
        </w:rPr>
        <w:t>。</w:t>
      </w:r>
      <w:r>
        <w:rPr>
          <w:rFonts w:hint="eastAsia"/>
        </w:rPr>
        <w:t>其中，校长1名（正股级），副校长3名（副股级）；经费形式为财政性资金基本保证。</w:t>
      </w:r>
    </w:p>
    <w:p w14:paraId="2019056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3EBD8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C1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1E14FD">
            <w:pPr>
              <w:pStyle w:val="10"/>
            </w:pPr>
            <w:r>
              <w:t>单位名称</w:t>
            </w:r>
          </w:p>
        </w:tc>
        <w:tc>
          <w:tcPr>
            <w:tcW w:w="1843" w:type="dxa"/>
            <w:vAlign w:val="center"/>
          </w:tcPr>
          <w:p w14:paraId="0A4CF92C">
            <w:pPr>
              <w:pStyle w:val="10"/>
            </w:pPr>
            <w:r>
              <w:t>单位性质</w:t>
            </w:r>
          </w:p>
        </w:tc>
        <w:tc>
          <w:tcPr>
            <w:tcW w:w="2126" w:type="dxa"/>
            <w:vAlign w:val="center"/>
          </w:tcPr>
          <w:p w14:paraId="22EAC92A">
            <w:pPr>
              <w:pStyle w:val="10"/>
            </w:pPr>
            <w:r>
              <w:t>单位规格</w:t>
            </w:r>
          </w:p>
        </w:tc>
        <w:tc>
          <w:tcPr>
            <w:tcW w:w="3827" w:type="dxa"/>
            <w:vAlign w:val="center"/>
          </w:tcPr>
          <w:p w14:paraId="3ED16C7C">
            <w:pPr>
              <w:pStyle w:val="10"/>
            </w:pPr>
            <w:r>
              <w:t>经费保障形式</w:t>
            </w:r>
          </w:p>
        </w:tc>
      </w:tr>
      <w:tr w14:paraId="2F880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E1AA7B">
            <w:pPr>
              <w:pStyle w:val="12"/>
            </w:pPr>
            <w:r>
              <w:t>隆尧县唐尧街小学</w:t>
            </w:r>
          </w:p>
        </w:tc>
        <w:tc>
          <w:tcPr>
            <w:tcW w:w="1843" w:type="dxa"/>
            <w:vAlign w:val="center"/>
          </w:tcPr>
          <w:p w14:paraId="5F1C2DB5">
            <w:pPr>
              <w:pStyle w:val="13"/>
            </w:pPr>
            <w:r>
              <w:t>事业</w:t>
            </w:r>
          </w:p>
        </w:tc>
        <w:tc>
          <w:tcPr>
            <w:tcW w:w="2126" w:type="dxa"/>
            <w:vAlign w:val="center"/>
          </w:tcPr>
          <w:p w14:paraId="4DD4583D">
            <w:pPr>
              <w:pStyle w:val="13"/>
            </w:pPr>
            <w:r>
              <w:t>股级</w:t>
            </w:r>
          </w:p>
        </w:tc>
        <w:tc>
          <w:tcPr>
            <w:tcW w:w="3827" w:type="dxa"/>
            <w:vAlign w:val="center"/>
          </w:tcPr>
          <w:p w14:paraId="7C6EADC6">
            <w:pPr>
              <w:pStyle w:val="13"/>
            </w:pPr>
            <w:r>
              <w:t>财政性资金基本保证</w:t>
            </w:r>
          </w:p>
        </w:tc>
      </w:tr>
    </w:tbl>
    <w:p w14:paraId="762925A8">
      <w:pPr>
        <w:spacing w:before="10" w:after="10" w:line="240" w:lineRule="auto"/>
        <w:ind w:firstLine="640"/>
        <w:jc w:val="left"/>
        <w:outlineLvl w:val="5"/>
      </w:pPr>
      <w:r>
        <w:rPr>
          <w:rFonts w:ascii="黑体" w:hAnsi="黑体" w:eastAsia="黑体" w:cs="黑体"/>
          <w:color w:val="000000"/>
          <w:sz w:val="32"/>
        </w:rPr>
        <w:t>二、单位预算安排的总体情况</w:t>
      </w:r>
    </w:p>
    <w:p w14:paraId="37D53157">
      <w:pPr>
        <w:pStyle w:val="18"/>
      </w:pPr>
    </w:p>
    <w:p w14:paraId="5BA9BE47">
      <w:pPr>
        <w:pStyle w:val="18"/>
      </w:pPr>
      <w:r>
        <w:t>按照预算管理有关规定，目前我校单位预算的编制实行综合预算管理，即全部收入和支出都反映的预算中。隆尧县唐尧街小学的收支包含在单位预算中。</w:t>
      </w:r>
    </w:p>
    <w:p w14:paraId="1719B7AC">
      <w:pPr>
        <w:pStyle w:val="18"/>
      </w:pPr>
      <w:r>
        <w:t>1、收入说明</w:t>
      </w:r>
    </w:p>
    <w:p w14:paraId="50FE9FF8">
      <w:pPr>
        <w:pStyle w:val="18"/>
      </w:pPr>
      <w:r>
        <w:t>反映本单位当年全部收入。2026年预算收入834.13万元，其中：一般公共预算收入834.13万元，基金预算收入0万元，基金预算收入0万元，国有资本经营预算收入0万元，财政专户拨收入0万元，单位资金收入0万元，上年结转结余0万元。</w:t>
      </w:r>
    </w:p>
    <w:p w14:paraId="35AFF8D9">
      <w:pPr>
        <w:pStyle w:val="18"/>
      </w:pPr>
      <w:r>
        <w:t>2、支出说明</w:t>
      </w:r>
    </w:p>
    <w:p w14:paraId="027B36E1">
      <w:pPr>
        <w:pStyle w:val="18"/>
      </w:pPr>
      <w:r>
        <w:t>收支预算总表支出栏、基本支出表、项目支出表按经济分类和支出功能分类科目编制，反映隆尧县唐尧街小学</w:t>
      </w:r>
      <w:r>
        <w:rPr>
          <w:rFonts w:hint="eastAsia"/>
          <w:lang w:eastAsia="zh-CN"/>
        </w:rPr>
        <w:t>年度</w:t>
      </w:r>
      <w:r>
        <w:t>单位预算中支出预算的总体情况。2026年单位支出预算为834.13万元，其中基本支出656.21万元、项目支出177.92万元。主要为小学教育834.13万元。</w:t>
      </w:r>
    </w:p>
    <w:p w14:paraId="2FDD6396">
      <w:pPr>
        <w:pStyle w:val="18"/>
      </w:pPr>
      <w:r>
        <w:t>3、比上年增减情况</w:t>
      </w:r>
    </w:p>
    <w:p w14:paraId="74FE2D0A">
      <w:pPr>
        <w:pStyle w:val="18"/>
      </w:pPr>
      <w:r>
        <w:t>2026年部门预算收支安排834.13万元，较2025年增长122.11万元；其中，基本支出增加217.8万元，项目支出减少95.69万元。</w:t>
      </w:r>
    </w:p>
    <w:p w14:paraId="47B36E85">
      <w:pPr>
        <w:spacing w:before="10" w:after="10" w:line="240" w:lineRule="auto"/>
        <w:ind w:firstLine="640"/>
        <w:jc w:val="left"/>
        <w:outlineLvl w:val="5"/>
      </w:pPr>
      <w:r>
        <w:rPr>
          <w:rFonts w:ascii="黑体" w:hAnsi="黑体" w:eastAsia="黑体" w:cs="黑体"/>
          <w:color w:val="000000"/>
          <w:sz w:val="32"/>
        </w:rPr>
        <w:t>三、机关运行经费安排情况</w:t>
      </w:r>
    </w:p>
    <w:p w14:paraId="27F27AA4">
      <w:pPr>
        <w:pStyle w:val="19"/>
      </w:pPr>
      <w:r>
        <w:t>我单位按学生安排公用经费，无机关运行经费。</w:t>
      </w:r>
    </w:p>
    <w:p w14:paraId="234E599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49024E">
      <w:pPr>
        <w:pStyle w:val="20"/>
      </w:pPr>
      <w:r>
        <w:t>我单位未安排</w:t>
      </w:r>
      <w:r>
        <w:rPr>
          <w:rFonts w:hint="eastAsia"/>
          <w:lang w:eastAsia="zh-CN"/>
        </w:rPr>
        <w:t>“三公”经费</w:t>
      </w:r>
      <w:r>
        <w:t>。</w:t>
      </w:r>
    </w:p>
    <w:p w14:paraId="138D128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17B2ACD">
      <w:pPr>
        <w:spacing w:before="0" w:after="0"/>
        <w:ind w:firstLine="560"/>
        <w:jc w:val="left"/>
        <w:outlineLvl w:val="9"/>
      </w:pPr>
      <w:r>
        <w:rPr>
          <w:rFonts w:ascii="方正仿宋_GBK" w:hAnsi="方正仿宋_GBK" w:eastAsia="方正仿宋_GBK" w:cs="方正仿宋_GBK"/>
          <w:b/>
          <w:color w:val="000000"/>
          <w:sz w:val="28"/>
        </w:rPr>
        <w:t>1、冀财教[2024]123号/中央/校舍安全保障/唐尧街小学塑胶操场改造绩效目标表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11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0E584">
            <w:pPr>
              <w:pStyle w:val="11"/>
            </w:pPr>
            <w:r>
              <w:t>单位：万元</w:t>
            </w:r>
          </w:p>
        </w:tc>
      </w:tr>
      <w:tr w14:paraId="2F9A8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D3D52">
            <w:pPr>
              <w:pStyle w:val="10"/>
            </w:pPr>
            <w:r>
              <w:t>项目编码</w:t>
            </w:r>
          </w:p>
        </w:tc>
        <w:tc>
          <w:tcPr>
            <w:tcW w:w="5103" w:type="dxa"/>
            <w:gridSpan w:val="2"/>
            <w:vAlign w:val="center"/>
          </w:tcPr>
          <w:p w14:paraId="58DC4F51">
            <w:pPr>
              <w:pStyle w:val="12"/>
            </w:pPr>
            <w:r>
              <w:t>13052526P00876210112M</w:t>
            </w:r>
          </w:p>
        </w:tc>
        <w:tc>
          <w:tcPr>
            <w:tcW w:w="2835" w:type="dxa"/>
            <w:vAlign w:val="center"/>
          </w:tcPr>
          <w:p w14:paraId="1A1927AA">
            <w:pPr>
              <w:pStyle w:val="10"/>
            </w:pPr>
            <w:r>
              <w:t>项目名称</w:t>
            </w:r>
          </w:p>
        </w:tc>
        <w:tc>
          <w:tcPr>
            <w:tcW w:w="6095" w:type="dxa"/>
            <w:gridSpan w:val="3"/>
            <w:vAlign w:val="center"/>
          </w:tcPr>
          <w:p w14:paraId="368A1DF9">
            <w:pPr>
              <w:pStyle w:val="12"/>
            </w:pPr>
            <w:r>
              <w:t>冀财教[2024]123号/中央/校舍安全保障/唐尧街小学塑胶操场改造</w:t>
            </w:r>
          </w:p>
        </w:tc>
      </w:tr>
      <w:tr w14:paraId="464B2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A4933">
            <w:pPr>
              <w:pStyle w:val="10"/>
            </w:pPr>
            <w:r>
              <w:t>预算规模及资金用途</w:t>
            </w:r>
          </w:p>
        </w:tc>
        <w:tc>
          <w:tcPr>
            <w:tcW w:w="2268" w:type="dxa"/>
            <w:vAlign w:val="center"/>
          </w:tcPr>
          <w:p w14:paraId="2FB5BDEA">
            <w:pPr>
              <w:pStyle w:val="10"/>
            </w:pPr>
            <w:r>
              <w:t>预算数</w:t>
            </w:r>
          </w:p>
        </w:tc>
        <w:tc>
          <w:tcPr>
            <w:tcW w:w="2835" w:type="dxa"/>
            <w:vAlign w:val="center"/>
          </w:tcPr>
          <w:p w14:paraId="7EF2E32C">
            <w:pPr>
              <w:pStyle w:val="12"/>
            </w:pPr>
            <w:r>
              <w:t>1.92</w:t>
            </w:r>
          </w:p>
        </w:tc>
        <w:tc>
          <w:tcPr>
            <w:tcW w:w="2835" w:type="dxa"/>
            <w:vAlign w:val="center"/>
          </w:tcPr>
          <w:p w14:paraId="5BF79E8D">
            <w:pPr>
              <w:pStyle w:val="10"/>
            </w:pPr>
            <w:r>
              <w:t>其中：财政    资金</w:t>
            </w:r>
          </w:p>
        </w:tc>
        <w:tc>
          <w:tcPr>
            <w:tcW w:w="2551" w:type="dxa"/>
            <w:vAlign w:val="center"/>
          </w:tcPr>
          <w:p w14:paraId="11CCE394">
            <w:pPr>
              <w:pStyle w:val="12"/>
            </w:pPr>
            <w:r>
              <w:t>1.92</w:t>
            </w:r>
          </w:p>
        </w:tc>
        <w:tc>
          <w:tcPr>
            <w:tcW w:w="2268" w:type="dxa"/>
            <w:vAlign w:val="center"/>
          </w:tcPr>
          <w:p w14:paraId="79BCF3E2">
            <w:pPr>
              <w:pStyle w:val="10"/>
            </w:pPr>
            <w:r>
              <w:t>其他资金</w:t>
            </w:r>
          </w:p>
        </w:tc>
        <w:tc>
          <w:tcPr>
            <w:tcW w:w="1276" w:type="dxa"/>
            <w:vAlign w:val="center"/>
          </w:tcPr>
          <w:p w14:paraId="4A119B04">
            <w:pPr>
              <w:pStyle w:val="12"/>
            </w:pPr>
            <w:r>
              <w:t xml:space="preserve"> </w:t>
            </w:r>
          </w:p>
        </w:tc>
      </w:tr>
      <w:tr w14:paraId="3EA4E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B1991"/>
        </w:tc>
        <w:tc>
          <w:tcPr>
            <w:tcW w:w="14033" w:type="dxa"/>
            <w:gridSpan w:val="6"/>
            <w:vAlign w:val="center"/>
          </w:tcPr>
          <w:p w14:paraId="2D104167">
            <w:pPr>
              <w:pStyle w:val="12"/>
            </w:pPr>
            <w:r>
              <w:t xml:space="preserve"> 为更</w:t>
            </w:r>
            <w:r>
              <w:rPr>
                <w:rFonts w:hint="eastAsia"/>
                <w:lang w:eastAsia="zh-CN"/>
              </w:rPr>
              <w:t>好地</w:t>
            </w:r>
            <w:r>
              <w:t>开展体育教学活动和体育赛事的开展，扩大学生运动场地的使用，进行塑胶操场改造。</w:t>
            </w:r>
          </w:p>
        </w:tc>
      </w:tr>
      <w:tr w14:paraId="75F8B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645D1">
            <w:pPr>
              <w:pStyle w:val="10"/>
            </w:pPr>
            <w:r>
              <w:t>资金支出计划（%）</w:t>
            </w:r>
          </w:p>
        </w:tc>
        <w:tc>
          <w:tcPr>
            <w:tcW w:w="5103" w:type="dxa"/>
            <w:gridSpan w:val="2"/>
            <w:vAlign w:val="center"/>
          </w:tcPr>
          <w:p w14:paraId="73A414CF">
            <w:pPr>
              <w:pStyle w:val="10"/>
            </w:pPr>
            <w:r>
              <w:t>3月底</w:t>
            </w:r>
          </w:p>
        </w:tc>
        <w:tc>
          <w:tcPr>
            <w:tcW w:w="2835" w:type="dxa"/>
            <w:vAlign w:val="center"/>
          </w:tcPr>
          <w:p w14:paraId="21FE2CFA">
            <w:pPr>
              <w:pStyle w:val="10"/>
            </w:pPr>
            <w:r>
              <w:t>6月底</w:t>
            </w:r>
          </w:p>
        </w:tc>
        <w:tc>
          <w:tcPr>
            <w:tcW w:w="2551" w:type="dxa"/>
            <w:vAlign w:val="center"/>
          </w:tcPr>
          <w:p w14:paraId="7663D96C">
            <w:pPr>
              <w:pStyle w:val="10"/>
            </w:pPr>
            <w:r>
              <w:t>10月底</w:t>
            </w:r>
          </w:p>
        </w:tc>
        <w:tc>
          <w:tcPr>
            <w:tcW w:w="3544" w:type="dxa"/>
            <w:gridSpan w:val="2"/>
            <w:vAlign w:val="center"/>
          </w:tcPr>
          <w:p w14:paraId="08FC0113">
            <w:pPr>
              <w:pStyle w:val="10"/>
            </w:pPr>
            <w:r>
              <w:t>12月底</w:t>
            </w:r>
          </w:p>
        </w:tc>
      </w:tr>
      <w:tr w14:paraId="5D427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B5929"/>
        </w:tc>
        <w:tc>
          <w:tcPr>
            <w:tcW w:w="5103" w:type="dxa"/>
            <w:gridSpan w:val="2"/>
            <w:vAlign w:val="center"/>
          </w:tcPr>
          <w:p w14:paraId="6C4D2262">
            <w:pPr>
              <w:pStyle w:val="13"/>
            </w:pPr>
            <w:r>
              <w:t xml:space="preserve"> </w:t>
            </w:r>
          </w:p>
        </w:tc>
        <w:tc>
          <w:tcPr>
            <w:tcW w:w="2835" w:type="dxa"/>
            <w:vAlign w:val="center"/>
          </w:tcPr>
          <w:p w14:paraId="5F1BA81B">
            <w:pPr>
              <w:pStyle w:val="13"/>
            </w:pPr>
            <w:r>
              <w:t>100%</w:t>
            </w:r>
          </w:p>
        </w:tc>
        <w:tc>
          <w:tcPr>
            <w:tcW w:w="2551" w:type="dxa"/>
            <w:vAlign w:val="center"/>
          </w:tcPr>
          <w:p w14:paraId="4396E5C1">
            <w:pPr>
              <w:pStyle w:val="13"/>
            </w:pPr>
            <w:r>
              <w:t>100%</w:t>
            </w:r>
          </w:p>
        </w:tc>
        <w:tc>
          <w:tcPr>
            <w:tcW w:w="3544" w:type="dxa"/>
            <w:gridSpan w:val="2"/>
            <w:vAlign w:val="center"/>
          </w:tcPr>
          <w:p w14:paraId="02079A59">
            <w:pPr>
              <w:pStyle w:val="13"/>
            </w:pPr>
            <w:r>
              <w:t>100%</w:t>
            </w:r>
          </w:p>
        </w:tc>
      </w:tr>
      <w:tr w14:paraId="4E215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B66AB">
            <w:pPr>
              <w:pStyle w:val="10"/>
            </w:pPr>
            <w:r>
              <w:t>绩效目标</w:t>
            </w:r>
          </w:p>
        </w:tc>
        <w:tc>
          <w:tcPr>
            <w:tcW w:w="14033" w:type="dxa"/>
            <w:gridSpan w:val="6"/>
            <w:vAlign w:val="center"/>
          </w:tcPr>
          <w:p w14:paraId="51536834">
            <w:pPr>
              <w:pStyle w:val="12"/>
            </w:pPr>
            <w:r>
              <w:t>1.改善义务教育办学条件，进一步提升教育教学，办学质量。</w:t>
            </w:r>
          </w:p>
          <w:p w14:paraId="6ECDC442">
            <w:pPr>
              <w:pStyle w:val="12"/>
            </w:pPr>
            <w:r>
              <w:t>2.唐尧街小学塑胶操改造项目1.9196万元，资金拨付率达到100%</w:t>
            </w:r>
          </w:p>
        </w:tc>
      </w:tr>
    </w:tbl>
    <w:p w14:paraId="46441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9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DFE50">
            <w:pPr>
              <w:pStyle w:val="10"/>
            </w:pPr>
            <w:r>
              <w:t>一级指标</w:t>
            </w:r>
          </w:p>
        </w:tc>
        <w:tc>
          <w:tcPr>
            <w:tcW w:w="2268" w:type="dxa"/>
            <w:vAlign w:val="center"/>
          </w:tcPr>
          <w:p w14:paraId="08815759">
            <w:pPr>
              <w:pStyle w:val="10"/>
            </w:pPr>
            <w:r>
              <w:t>二级指标</w:t>
            </w:r>
          </w:p>
        </w:tc>
        <w:tc>
          <w:tcPr>
            <w:tcW w:w="2835" w:type="dxa"/>
            <w:vAlign w:val="center"/>
          </w:tcPr>
          <w:p w14:paraId="7C3A04AA">
            <w:pPr>
              <w:pStyle w:val="10"/>
            </w:pPr>
            <w:r>
              <w:t>三级指标</w:t>
            </w:r>
          </w:p>
        </w:tc>
        <w:tc>
          <w:tcPr>
            <w:tcW w:w="5386" w:type="dxa"/>
            <w:vAlign w:val="center"/>
          </w:tcPr>
          <w:p w14:paraId="003C2B92">
            <w:pPr>
              <w:pStyle w:val="10"/>
            </w:pPr>
            <w:r>
              <w:t>绩效指标描述</w:t>
            </w:r>
          </w:p>
        </w:tc>
        <w:tc>
          <w:tcPr>
            <w:tcW w:w="2268" w:type="dxa"/>
            <w:vAlign w:val="center"/>
          </w:tcPr>
          <w:p w14:paraId="2A9C70DD">
            <w:pPr>
              <w:pStyle w:val="10"/>
            </w:pPr>
            <w:r>
              <w:t>指标值</w:t>
            </w:r>
          </w:p>
        </w:tc>
        <w:tc>
          <w:tcPr>
            <w:tcW w:w="1276" w:type="dxa"/>
            <w:vAlign w:val="center"/>
          </w:tcPr>
          <w:p w14:paraId="3992824F">
            <w:pPr>
              <w:pStyle w:val="10"/>
            </w:pPr>
            <w:r>
              <w:t>指标值确定依据</w:t>
            </w:r>
          </w:p>
        </w:tc>
      </w:tr>
      <w:tr w14:paraId="2172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E758D">
            <w:pPr>
              <w:pStyle w:val="13"/>
            </w:pPr>
            <w:r>
              <w:t>产出指标</w:t>
            </w:r>
          </w:p>
        </w:tc>
        <w:tc>
          <w:tcPr>
            <w:tcW w:w="2268" w:type="dxa"/>
            <w:vAlign w:val="center"/>
          </w:tcPr>
          <w:p w14:paraId="5FCF51C9">
            <w:pPr>
              <w:pStyle w:val="12"/>
            </w:pPr>
            <w:r>
              <w:t>数量指标</w:t>
            </w:r>
          </w:p>
        </w:tc>
        <w:tc>
          <w:tcPr>
            <w:tcW w:w="2835" w:type="dxa"/>
            <w:vAlign w:val="center"/>
          </w:tcPr>
          <w:p w14:paraId="63FE1597">
            <w:pPr>
              <w:pStyle w:val="12"/>
            </w:pPr>
            <w:r>
              <w:t>塑胶操场改造</w:t>
            </w:r>
          </w:p>
        </w:tc>
        <w:tc>
          <w:tcPr>
            <w:tcW w:w="5386" w:type="dxa"/>
            <w:vAlign w:val="center"/>
          </w:tcPr>
          <w:p w14:paraId="56BC61E7">
            <w:pPr>
              <w:pStyle w:val="12"/>
            </w:pPr>
            <w:r>
              <w:t>对学校操场进行人造草坪改造面积</w:t>
            </w:r>
          </w:p>
        </w:tc>
        <w:tc>
          <w:tcPr>
            <w:tcW w:w="2268" w:type="dxa"/>
            <w:vAlign w:val="center"/>
          </w:tcPr>
          <w:p w14:paraId="43B2BE76">
            <w:pPr>
              <w:pStyle w:val="12"/>
            </w:pPr>
            <w:r>
              <w:t>5400平方米</w:t>
            </w:r>
          </w:p>
        </w:tc>
        <w:tc>
          <w:tcPr>
            <w:tcW w:w="1276" w:type="dxa"/>
            <w:vAlign w:val="center"/>
          </w:tcPr>
          <w:p w14:paraId="59B38C34">
            <w:pPr>
              <w:pStyle w:val="12"/>
            </w:pPr>
            <w:r>
              <w:t>项目规划</w:t>
            </w:r>
          </w:p>
        </w:tc>
      </w:tr>
      <w:tr w14:paraId="199B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96348"/>
        </w:tc>
        <w:tc>
          <w:tcPr>
            <w:tcW w:w="2268" w:type="dxa"/>
            <w:vAlign w:val="center"/>
          </w:tcPr>
          <w:p w14:paraId="792BAA18">
            <w:pPr>
              <w:pStyle w:val="12"/>
            </w:pPr>
            <w:r>
              <w:t>质量指标</w:t>
            </w:r>
          </w:p>
        </w:tc>
        <w:tc>
          <w:tcPr>
            <w:tcW w:w="2835" w:type="dxa"/>
            <w:vAlign w:val="center"/>
          </w:tcPr>
          <w:p w14:paraId="73B495A8">
            <w:pPr>
              <w:pStyle w:val="12"/>
            </w:pPr>
            <w:r>
              <w:t>工程实施验收合格率</w:t>
            </w:r>
          </w:p>
        </w:tc>
        <w:tc>
          <w:tcPr>
            <w:tcW w:w="5386" w:type="dxa"/>
            <w:vAlign w:val="center"/>
          </w:tcPr>
          <w:p w14:paraId="41EAF637">
            <w:pPr>
              <w:pStyle w:val="12"/>
            </w:pPr>
            <w:r>
              <w:t>申报程序的合规，项目实施及资金使用符合项目规划</w:t>
            </w:r>
          </w:p>
        </w:tc>
        <w:tc>
          <w:tcPr>
            <w:tcW w:w="2268" w:type="dxa"/>
            <w:vAlign w:val="center"/>
          </w:tcPr>
          <w:p w14:paraId="5AC54C77">
            <w:pPr>
              <w:pStyle w:val="12"/>
            </w:pPr>
            <w:r>
              <w:t>100%</w:t>
            </w:r>
          </w:p>
        </w:tc>
        <w:tc>
          <w:tcPr>
            <w:tcW w:w="1276" w:type="dxa"/>
            <w:vAlign w:val="center"/>
          </w:tcPr>
          <w:p w14:paraId="64C8DCEA">
            <w:pPr>
              <w:pStyle w:val="12"/>
            </w:pPr>
            <w:r>
              <w:t>项目规划</w:t>
            </w:r>
          </w:p>
        </w:tc>
      </w:tr>
      <w:tr w14:paraId="6D13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0D69B"/>
        </w:tc>
        <w:tc>
          <w:tcPr>
            <w:tcW w:w="2268" w:type="dxa"/>
            <w:vAlign w:val="center"/>
          </w:tcPr>
          <w:p w14:paraId="215DA139">
            <w:pPr>
              <w:pStyle w:val="12"/>
            </w:pPr>
            <w:r>
              <w:t>时效指标</w:t>
            </w:r>
          </w:p>
        </w:tc>
        <w:tc>
          <w:tcPr>
            <w:tcW w:w="2835" w:type="dxa"/>
            <w:vAlign w:val="center"/>
          </w:tcPr>
          <w:p w14:paraId="63B13062">
            <w:pPr>
              <w:pStyle w:val="12"/>
            </w:pPr>
            <w:r>
              <w:t>资金支付率</w:t>
            </w:r>
          </w:p>
        </w:tc>
        <w:tc>
          <w:tcPr>
            <w:tcW w:w="5386" w:type="dxa"/>
            <w:vAlign w:val="center"/>
          </w:tcPr>
          <w:p w14:paraId="6BEF31C0">
            <w:pPr>
              <w:pStyle w:val="12"/>
            </w:pPr>
            <w:r>
              <w:t>按照序时进度完成资金支付</w:t>
            </w:r>
          </w:p>
        </w:tc>
        <w:tc>
          <w:tcPr>
            <w:tcW w:w="2268" w:type="dxa"/>
            <w:vAlign w:val="center"/>
          </w:tcPr>
          <w:p w14:paraId="43C0A5FE">
            <w:pPr>
              <w:pStyle w:val="12"/>
            </w:pPr>
            <w:r>
              <w:t>100%</w:t>
            </w:r>
          </w:p>
        </w:tc>
        <w:tc>
          <w:tcPr>
            <w:tcW w:w="1276" w:type="dxa"/>
            <w:vAlign w:val="center"/>
          </w:tcPr>
          <w:p w14:paraId="68AEF16A">
            <w:pPr>
              <w:pStyle w:val="12"/>
            </w:pPr>
            <w:r>
              <w:t>项目规划</w:t>
            </w:r>
          </w:p>
        </w:tc>
      </w:tr>
      <w:tr w14:paraId="425C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18381"/>
        </w:tc>
        <w:tc>
          <w:tcPr>
            <w:tcW w:w="2268" w:type="dxa"/>
            <w:vAlign w:val="center"/>
          </w:tcPr>
          <w:p w14:paraId="3865D010">
            <w:pPr>
              <w:pStyle w:val="12"/>
            </w:pPr>
            <w:r>
              <w:t>成本指标</w:t>
            </w:r>
          </w:p>
        </w:tc>
        <w:tc>
          <w:tcPr>
            <w:tcW w:w="2835" w:type="dxa"/>
            <w:vAlign w:val="center"/>
          </w:tcPr>
          <w:p w14:paraId="7E4F88D5">
            <w:pPr>
              <w:pStyle w:val="12"/>
            </w:pPr>
            <w:r>
              <w:t>项目成本控制情况</w:t>
            </w:r>
          </w:p>
        </w:tc>
        <w:tc>
          <w:tcPr>
            <w:tcW w:w="5386" w:type="dxa"/>
            <w:vAlign w:val="center"/>
          </w:tcPr>
          <w:p w14:paraId="6F47897C">
            <w:pPr>
              <w:pStyle w:val="12"/>
            </w:pPr>
            <w:r>
              <w:t>严格按照招标价格及审计额进行</w:t>
            </w:r>
          </w:p>
        </w:tc>
        <w:tc>
          <w:tcPr>
            <w:tcW w:w="2268" w:type="dxa"/>
            <w:vAlign w:val="center"/>
          </w:tcPr>
          <w:p w14:paraId="6F379FA7">
            <w:pPr>
              <w:pStyle w:val="12"/>
            </w:pPr>
            <w:r>
              <w:t>≤19196元</w:t>
            </w:r>
          </w:p>
        </w:tc>
        <w:tc>
          <w:tcPr>
            <w:tcW w:w="1276" w:type="dxa"/>
            <w:vAlign w:val="center"/>
          </w:tcPr>
          <w:p w14:paraId="15386408">
            <w:pPr>
              <w:pStyle w:val="12"/>
            </w:pPr>
            <w:r>
              <w:t>项目规划</w:t>
            </w:r>
          </w:p>
        </w:tc>
      </w:tr>
      <w:tr w14:paraId="2F8E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18205">
            <w:pPr>
              <w:pStyle w:val="13"/>
            </w:pPr>
            <w:r>
              <w:t>效益指标</w:t>
            </w:r>
          </w:p>
        </w:tc>
        <w:tc>
          <w:tcPr>
            <w:tcW w:w="2268" w:type="dxa"/>
            <w:vAlign w:val="center"/>
          </w:tcPr>
          <w:p w14:paraId="4713E866">
            <w:pPr>
              <w:pStyle w:val="12"/>
            </w:pPr>
            <w:r>
              <w:t>可持续影响指标</w:t>
            </w:r>
          </w:p>
        </w:tc>
        <w:tc>
          <w:tcPr>
            <w:tcW w:w="2835" w:type="dxa"/>
            <w:vAlign w:val="center"/>
          </w:tcPr>
          <w:p w14:paraId="671FE989">
            <w:pPr>
              <w:pStyle w:val="12"/>
            </w:pPr>
            <w:r>
              <w:t>学校办学能力提升</w:t>
            </w:r>
          </w:p>
        </w:tc>
        <w:tc>
          <w:tcPr>
            <w:tcW w:w="5386" w:type="dxa"/>
            <w:vAlign w:val="center"/>
          </w:tcPr>
          <w:p w14:paraId="30940B67">
            <w:pPr>
              <w:pStyle w:val="12"/>
            </w:pPr>
            <w:r>
              <w:t>学校办学能</w:t>
            </w:r>
            <w:r>
              <w:rPr>
                <w:rFonts w:hint="eastAsia"/>
                <w:lang w:eastAsia="zh-CN"/>
              </w:rPr>
              <w:t>力提</w:t>
            </w:r>
            <w:r>
              <w:t>升情况及教育教学工作等开展的情况</w:t>
            </w:r>
          </w:p>
        </w:tc>
        <w:tc>
          <w:tcPr>
            <w:tcW w:w="2268" w:type="dxa"/>
            <w:vAlign w:val="center"/>
          </w:tcPr>
          <w:p w14:paraId="1B4AB4BD">
            <w:pPr>
              <w:pStyle w:val="12"/>
            </w:pPr>
            <w:r>
              <w:t>≥98%</w:t>
            </w:r>
          </w:p>
        </w:tc>
        <w:tc>
          <w:tcPr>
            <w:tcW w:w="1276" w:type="dxa"/>
            <w:vAlign w:val="center"/>
          </w:tcPr>
          <w:p w14:paraId="6CC43536">
            <w:pPr>
              <w:pStyle w:val="12"/>
            </w:pPr>
            <w:r>
              <w:t>项目规划</w:t>
            </w:r>
          </w:p>
        </w:tc>
      </w:tr>
      <w:tr w14:paraId="581A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7E3A0">
            <w:pPr>
              <w:pStyle w:val="13"/>
            </w:pPr>
            <w:r>
              <w:t>满意度指标</w:t>
            </w:r>
          </w:p>
        </w:tc>
        <w:tc>
          <w:tcPr>
            <w:tcW w:w="2268" w:type="dxa"/>
            <w:vAlign w:val="center"/>
          </w:tcPr>
          <w:p w14:paraId="59C2A4FF">
            <w:pPr>
              <w:pStyle w:val="12"/>
            </w:pPr>
            <w:r>
              <w:t>服务对象满意度指标</w:t>
            </w:r>
          </w:p>
        </w:tc>
        <w:tc>
          <w:tcPr>
            <w:tcW w:w="2835" w:type="dxa"/>
            <w:vAlign w:val="center"/>
          </w:tcPr>
          <w:p w14:paraId="1BAA25F4">
            <w:pPr>
              <w:pStyle w:val="12"/>
            </w:pPr>
            <w:r>
              <w:t>学生、教师及家长对学校教学环境满意度情况</w:t>
            </w:r>
          </w:p>
        </w:tc>
        <w:tc>
          <w:tcPr>
            <w:tcW w:w="5386" w:type="dxa"/>
            <w:vAlign w:val="center"/>
          </w:tcPr>
          <w:p w14:paraId="4F72B2F6">
            <w:pPr>
              <w:pStyle w:val="12"/>
            </w:pPr>
            <w:r>
              <w:t>学生、教师及家长对学校教学环境满意度情况</w:t>
            </w:r>
          </w:p>
        </w:tc>
        <w:tc>
          <w:tcPr>
            <w:tcW w:w="2268" w:type="dxa"/>
            <w:vAlign w:val="center"/>
          </w:tcPr>
          <w:p w14:paraId="0A373492">
            <w:pPr>
              <w:pStyle w:val="12"/>
            </w:pPr>
            <w:r>
              <w:t>≥95%</w:t>
            </w:r>
          </w:p>
        </w:tc>
        <w:tc>
          <w:tcPr>
            <w:tcW w:w="1276" w:type="dxa"/>
            <w:vAlign w:val="center"/>
          </w:tcPr>
          <w:p w14:paraId="725494B8">
            <w:pPr>
              <w:pStyle w:val="12"/>
            </w:pPr>
            <w:r>
              <w:t>调查问卷</w:t>
            </w:r>
          </w:p>
        </w:tc>
      </w:tr>
    </w:tbl>
    <w:p w14:paraId="06B26574">
      <w:pPr>
        <w:sectPr>
          <w:pgSz w:w="16840" w:h="11900" w:orient="landscape"/>
          <w:pgMar w:top="1361" w:right="1020" w:bottom="1134" w:left="1020" w:header="720" w:footer="720" w:gutter="0"/>
          <w:cols w:space="720" w:num="1"/>
        </w:sectPr>
      </w:pPr>
    </w:p>
    <w:p w14:paraId="2DB886C9">
      <w:pPr>
        <w:spacing w:before="0" w:after="0"/>
        <w:ind w:firstLine="560"/>
        <w:jc w:val="left"/>
        <w:outlineLvl w:val="9"/>
      </w:pPr>
      <w:r>
        <w:rPr>
          <w:rFonts w:ascii="方正仿宋_GBK" w:hAnsi="方正仿宋_GBK" w:eastAsia="方正仿宋_GBK" w:cs="方正仿宋_GBK"/>
          <w:b/>
          <w:color w:val="000000"/>
          <w:sz w:val="28"/>
        </w:rPr>
        <w:t>2、冀财教[2025]121号/中央/2026年义教补助经费/唐尧街小学公用经费绩效目标表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84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B819D">
            <w:pPr>
              <w:pStyle w:val="11"/>
            </w:pPr>
            <w:r>
              <w:t>单位：万元</w:t>
            </w:r>
          </w:p>
        </w:tc>
      </w:tr>
      <w:tr w14:paraId="5447E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CEC5C">
            <w:pPr>
              <w:pStyle w:val="10"/>
            </w:pPr>
            <w:r>
              <w:t>项目编码</w:t>
            </w:r>
          </w:p>
        </w:tc>
        <w:tc>
          <w:tcPr>
            <w:tcW w:w="5103" w:type="dxa"/>
            <w:gridSpan w:val="2"/>
            <w:vAlign w:val="center"/>
          </w:tcPr>
          <w:p w14:paraId="3E98152C">
            <w:pPr>
              <w:pStyle w:val="12"/>
            </w:pPr>
            <w:r>
              <w:t>13052526P00000410262F</w:t>
            </w:r>
          </w:p>
        </w:tc>
        <w:tc>
          <w:tcPr>
            <w:tcW w:w="2835" w:type="dxa"/>
            <w:vAlign w:val="center"/>
          </w:tcPr>
          <w:p w14:paraId="1724D3B7">
            <w:pPr>
              <w:pStyle w:val="10"/>
            </w:pPr>
            <w:r>
              <w:t>项目名称</w:t>
            </w:r>
          </w:p>
        </w:tc>
        <w:tc>
          <w:tcPr>
            <w:tcW w:w="6095" w:type="dxa"/>
            <w:gridSpan w:val="3"/>
            <w:vAlign w:val="center"/>
          </w:tcPr>
          <w:p w14:paraId="1EED2E96">
            <w:pPr>
              <w:pStyle w:val="12"/>
            </w:pPr>
            <w:r>
              <w:t>冀财教[2025]121号/中央/2026年义教补助经费/唐尧街小学公用经费</w:t>
            </w:r>
          </w:p>
        </w:tc>
      </w:tr>
      <w:tr w14:paraId="146EA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CE92E">
            <w:pPr>
              <w:pStyle w:val="10"/>
            </w:pPr>
            <w:r>
              <w:t>预算规模及资金用途</w:t>
            </w:r>
          </w:p>
        </w:tc>
        <w:tc>
          <w:tcPr>
            <w:tcW w:w="2268" w:type="dxa"/>
            <w:vAlign w:val="center"/>
          </w:tcPr>
          <w:p w14:paraId="706428B5">
            <w:pPr>
              <w:pStyle w:val="10"/>
            </w:pPr>
            <w:r>
              <w:t>预算数</w:t>
            </w:r>
          </w:p>
        </w:tc>
        <w:tc>
          <w:tcPr>
            <w:tcW w:w="2835" w:type="dxa"/>
            <w:vAlign w:val="center"/>
          </w:tcPr>
          <w:p w14:paraId="3B6E3FFD">
            <w:pPr>
              <w:pStyle w:val="12"/>
            </w:pPr>
            <w:r>
              <w:t>74.47</w:t>
            </w:r>
          </w:p>
        </w:tc>
        <w:tc>
          <w:tcPr>
            <w:tcW w:w="2835" w:type="dxa"/>
            <w:vAlign w:val="center"/>
          </w:tcPr>
          <w:p w14:paraId="55AB6E26">
            <w:pPr>
              <w:pStyle w:val="10"/>
            </w:pPr>
            <w:r>
              <w:t>其中：财政    资金</w:t>
            </w:r>
          </w:p>
        </w:tc>
        <w:tc>
          <w:tcPr>
            <w:tcW w:w="2551" w:type="dxa"/>
            <w:vAlign w:val="center"/>
          </w:tcPr>
          <w:p w14:paraId="35BDCB13">
            <w:pPr>
              <w:pStyle w:val="12"/>
            </w:pPr>
            <w:r>
              <w:t>74.47</w:t>
            </w:r>
          </w:p>
        </w:tc>
        <w:tc>
          <w:tcPr>
            <w:tcW w:w="2268" w:type="dxa"/>
            <w:vAlign w:val="center"/>
          </w:tcPr>
          <w:p w14:paraId="4340C02D">
            <w:pPr>
              <w:pStyle w:val="10"/>
            </w:pPr>
            <w:r>
              <w:t>其他资金</w:t>
            </w:r>
          </w:p>
        </w:tc>
        <w:tc>
          <w:tcPr>
            <w:tcW w:w="1276" w:type="dxa"/>
            <w:vAlign w:val="center"/>
          </w:tcPr>
          <w:p w14:paraId="0B5570BD">
            <w:pPr>
              <w:pStyle w:val="12"/>
            </w:pPr>
            <w:r>
              <w:t xml:space="preserve"> </w:t>
            </w:r>
          </w:p>
        </w:tc>
      </w:tr>
      <w:tr w14:paraId="40811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FE65E"/>
        </w:tc>
        <w:tc>
          <w:tcPr>
            <w:tcW w:w="14033" w:type="dxa"/>
            <w:gridSpan w:val="6"/>
            <w:vAlign w:val="center"/>
          </w:tcPr>
          <w:p w14:paraId="277537BF">
            <w:pPr>
              <w:pStyle w:val="12"/>
            </w:pPr>
            <w:r>
              <w:t>有效完成学校教学安全秩序，保障学校教学任务有效开展，满足学校正常教学需要。</w:t>
            </w:r>
          </w:p>
        </w:tc>
      </w:tr>
      <w:tr w14:paraId="14182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B5448">
            <w:pPr>
              <w:pStyle w:val="10"/>
            </w:pPr>
            <w:r>
              <w:t>资金支出计划（%）</w:t>
            </w:r>
          </w:p>
        </w:tc>
        <w:tc>
          <w:tcPr>
            <w:tcW w:w="5103" w:type="dxa"/>
            <w:gridSpan w:val="2"/>
            <w:vAlign w:val="center"/>
          </w:tcPr>
          <w:p w14:paraId="0FBF17EE">
            <w:pPr>
              <w:pStyle w:val="10"/>
            </w:pPr>
            <w:r>
              <w:t>3月底</w:t>
            </w:r>
          </w:p>
        </w:tc>
        <w:tc>
          <w:tcPr>
            <w:tcW w:w="2835" w:type="dxa"/>
            <w:vAlign w:val="center"/>
          </w:tcPr>
          <w:p w14:paraId="7C8AD6D5">
            <w:pPr>
              <w:pStyle w:val="10"/>
            </w:pPr>
            <w:r>
              <w:t>6月底</w:t>
            </w:r>
          </w:p>
        </w:tc>
        <w:tc>
          <w:tcPr>
            <w:tcW w:w="2551" w:type="dxa"/>
            <w:vAlign w:val="center"/>
          </w:tcPr>
          <w:p w14:paraId="49EFE6A1">
            <w:pPr>
              <w:pStyle w:val="10"/>
            </w:pPr>
            <w:r>
              <w:t>10月底</w:t>
            </w:r>
          </w:p>
        </w:tc>
        <w:tc>
          <w:tcPr>
            <w:tcW w:w="3544" w:type="dxa"/>
            <w:gridSpan w:val="2"/>
            <w:vAlign w:val="center"/>
          </w:tcPr>
          <w:p w14:paraId="30EDB52F">
            <w:pPr>
              <w:pStyle w:val="10"/>
            </w:pPr>
            <w:r>
              <w:t>12月底</w:t>
            </w:r>
          </w:p>
        </w:tc>
      </w:tr>
      <w:tr w14:paraId="330D4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07301"/>
        </w:tc>
        <w:tc>
          <w:tcPr>
            <w:tcW w:w="5103" w:type="dxa"/>
            <w:gridSpan w:val="2"/>
            <w:vAlign w:val="center"/>
          </w:tcPr>
          <w:p w14:paraId="30050C0F">
            <w:pPr>
              <w:pStyle w:val="13"/>
            </w:pPr>
            <w:r>
              <w:t>25%</w:t>
            </w:r>
          </w:p>
        </w:tc>
        <w:tc>
          <w:tcPr>
            <w:tcW w:w="2835" w:type="dxa"/>
            <w:vAlign w:val="center"/>
          </w:tcPr>
          <w:p w14:paraId="24B83A0A">
            <w:pPr>
              <w:pStyle w:val="13"/>
            </w:pPr>
            <w:r>
              <w:t>50%</w:t>
            </w:r>
          </w:p>
        </w:tc>
        <w:tc>
          <w:tcPr>
            <w:tcW w:w="2551" w:type="dxa"/>
            <w:vAlign w:val="center"/>
          </w:tcPr>
          <w:p w14:paraId="607CEBF7">
            <w:pPr>
              <w:pStyle w:val="13"/>
            </w:pPr>
            <w:r>
              <w:t>75%</w:t>
            </w:r>
          </w:p>
        </w:tc>
        <w:tc>
          <w:tcPr>
            <w:tcW w:w="3544" w:type="dxa"/>
            <w:gridSpan w:val="2"/>
            <w:vAlign w:val="center"/>
          </w:tcPr>
          <w:p w14:paraId="265C5B31">
            <w:pPr>
              <w:pStyle w:val="13"/>
            </w:pPr>
            <w:r>
              <w:t>100%</w:t>
            </w:r>
          </w:p>
        </w:tc>
      </w:tr>
      <w:tr w14:paraId="475CD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084A6">
            <w:pPr>
              <w:pStyle w:val="10"/>
            </w:pPr>
            <w:r>
              <w:t>绩效目标</w:t>
            </w:r>
          </w:p>
        </w:tc>
        <w:tc>
          <w:tcPr>
            <w:tcW w:w="14033" w:type="dxa"/>
            <w:gridSpan w:val="6"/>
            <w:vAlign w:val="center"/>
          </w:tcPr>
          <w:p w14:paraId="6EC544BF">
            <w:pPr>
              <w:pStyle w:val="12"/>
            </w:pPr>
            <w:r>
              <w:t>1.有效完成学校教学安全秩序，保障学校教学任务有效开展，满足学校正常教学需要。</w:t>
            </w:r>
          </w:p>
        </w:tc>
      </w:tr>
    </w:tbl>
    <w:p w14:paraId="5869B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E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E7B39">
            <w:pPr>
              <w:pStyle w:val="10"/>
            </w:pPr>
            <w:r>
              <w:t>一级指标</w:t>
            </w:r>
          </w:p>
        </w:tc>
        <w:tc>
          <w:tcPr>
            <w:tcW w:w="2268" w:type="dxa"/>
            <w:vAlign w:val="center"/>
          </w:tcPr>
          <w:p w14:paraId="0DDA7806">
            <w:pPr>
              <w:pStyle w:val="10"/>
            </w:pPr>
            <w:r>
              <w:t>二级指标</w:t>
            </w:r>
          </w:p>
        </w:tc>
        <w:tc>
          <w:tcPr>
            <w:tcW w:w="2835" w:type="dxa"/>
            <w:vAlign w:val="center"/>
          </w:tcPr>
          <w:p w14:paraId="1E07F415">
            <w:pPr>
              <w:pStyle w:val="10"/>
            </w:pPr>
            <w:r>
              <w:t>三级指标</w:t>
            </w:r>
          </w:p>
        </w:tc>
        <w:tc>
          <w:tcPr>
            <w:tcW w:w="5386" w:type="dxa"/>
            <w:vAlign w:val="center"/>
          </w:tcPr>
          <w:p w14:paraId="04CBB8F5">
            <w:pPr>
              <w:pStyle w:val="10"/>
            </w:pPr>
            <w:r>
              <w:t>绩效指标描述</w:t>
            </w:r>
          </w:p>
        </w:tc>
        <w:tc>
          <w:tcPr>
            <w:tcW w:w="2268" w:type="dxa"/>
            <w:vAlign w:val="center"/>
          </w:tcPr>
          <w:p w14:paraId="2A45C877">
            <w:pPr>
              <w:pStyle w:val="10"/>
            </w:pPr>
            <w:r>
              <w:t>指标值</w:t>
            </w:r>
          </w:p>
        </w:tc>
        <w:tc>
          <w:tcPr>
            <w:tcW w:w="1276" w:type="dxa"/>
            <w:vAlign w:val="center"/>
          </w:tcPr>
          <w:p w14:paraId="1D45D88E">
            <w:pPr>
              <w:pStyle w:val="10"/>
            </w:pPr>
            <w:r>
              <w:t>指标值确定依据</w:t>
            </w:r>
          </w:p>
        </w:tc>
      </w:tr>
      <w:tr w14:paraId="7605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D525E">
            <w:pPr>
              <w:pStyle w:val="13"/>
            </w:pPr>
            <w:r>
              <w:t>产出指标</w:t>
            </w:r>
          </w:p>
        </w:tc>
        <w:tc>
          <w:tcPr>
            <w:tcW w:w="2268" w:type="dxa"/>
            <w:vAlign w:val="center"/>
          </w:tcPr>
          <w:p w14:paraId="4743DB52">
            <w:pPr>
              <w:pStyle w:val="12"/>
            </w:pPr>
            <w:r>
              <w:t>成本指标</w:t>
            </w:r>
          </w:p>
        </w:tc>
        <w:tc>
          <w:tcPr>
            <w:tcW w:w="2835" w:type="dxa"/>
            <w:vAlign w:val="center"/>
          </w:tcPr>
          <w:p w14:paraId="05B131FE">
            <w:pPr>
              <w:pStyle w:val="12"/>
            </w:pPr>
            <w:r>
              <w:t>生均拨款标准</w:t>
            </w:r>
          </w:p>
        </w:tc>
        <w:tc>
          <w:tcPr>
            <w:tcW w:w="5386" w:type="dxa"/>
            <w:vAlign w:val="center"/>
          </w:tcPr>
          <w:p w14:paraId="7E7DC8F9">
            <w:pPr>
              <w:pStyle w:val="12"/>
            </w:pPr>
            <w:r>
              <w:t>小学生公用经费生均小学720元。取暖费120/元生/年，住宿生300元/生/年，随班就读学生补助7000/生。</w:t>
            </w:r>
          </w:p>
        </w:tc>
        <w:tc>
          <w:tcPr>
            <w:tcW w:w="2268" w:type="dxa"/>
            <w:vAlign w:val="center"/>
          </w:tcPr>
          <w:p w14:paraId="7699F9C1">
            <w:pPr>
              <w:pStyle w:val="12"/>
            </w:pPr>
            <w:r>
              <w:t>840元</w:t>
            </w:r>
          </w:p>
        </w:tc>
        <w:tc>
          <w:tcPr>
            <w:tcW w:w="1276" w:type="dxa"/>
            <w:vAlign w:val="center"/>
          </w:tcPr>
          <w:p w14:paraId="4DB691DC">
            <w:pPr>
              <w:pStyle w:val="12"/>
            </w:pPr>
            <w:r>
              <w:t>城乡义务教育公用经费管理办法</w:t>
            </w:r>
          </w:p>
        </w:tc>
      </w:tr>
      <w:tr w14:paraId="21B4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31F4"/>
        </w:tc>
        <w:tc>
          <w:tcPr>
            <w:tcW w:w="2268" w:type="dxa"/>
            <w:vAlign w:val="center"/>
          </w:tcPr>
          <w:p w14:paraId="1B6F7043">
            <w:pPr>
              <w:pStyle w:val="12"/>
            </w:pPr>
            <w:r>
              <w:t>数量指标</w:t>
            </w:r>
          </w:p>
        </w:tc>
        <w:tc>
          <w:tcPr>
            <w:tcW w:w="2835" w:type="dxa"/>
            <w:vAlign w:val="center"/>
          </w:tcPr>
          <w:p w14:paraId="5B606149">
            <w:pPr>
              <w:pStyle w:val="12"/>
            </w:pPr>
            <w:r>
              <w:t>就读学生数</w:t>
            </w:r>
          </w:p>
        </w:tc>
        <w:tc>
          <w:tcPr>
            <w:tcW w:w="5386" w:type="dxa"/>
            <w:vAlign w:val="center"/>
          </w:tcPr>
          <w:p w14:paraId="6E400853">
            <w:pPr>
              <w:pStyle w:val="12"/>
            </w:pPr>
            <w:r>
              <w:t>辐射区域内适龄学生人数</w:t>
            </w:r>
          </w:p>
        </w:tc>
        <w:tc>
          <w:tcPr>
            <w:tcW w:w="2268" w:type="dxa"/>
            <w:vAlign w:val="center"/>
          </w:tcPr>
          <w:p w14:paraId="208AE414">
            <w:pPr>
              <w:pStyle w:val="12"/>
            </w:pPr>
            <w:r>
              <w:t>1500人</w:t>
            </w:r>
          </w:p>
        </w:tc>
        <w:tc>
          <w:tcPr>
            <w:tcW w:w="1276" w:type="dxa"/>
            <w:vAlign w:val="center"/>
          </w:tcPr>
          <w:p w14:paraId="12C82D1C">
            <w:pPr>
              <w:pStyle w:val="12"/>
            </w:pPr>
            <w:r>
              <w:t>城乡义务教育公用经费管理办法</w:t>
            </w:r>
          </w:p>
        </w:tc>
      </w:tr>
      <w:tr w14:paraId="2529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99C3D"/>
        </w:tc>
        <w:tc>
          <w:tcPr>
            <w:tcW w:w="2268" w:type="dxa"/>
            <w:vAlign w:val="center"/>
          </w:tcPr>
          <w:p w14:paraId="1B21DFF3">
            <w:pPr>
              <w:pStyle w:val="12"/>
            </w:pPr>
            <w:r>
              <w:t>质量指标</w:t>
            </w:r>
          </w:p>
        </w:tc>
        <w:tc>
          <w:tcPr>
            <w:tcW w:w="2835" w:type="dxa"/>
            <w:vAlign w:val="center"/>
          </w:tcPr>
          <w:p w14:paraId="50BA9FCF">
            <w:pPr>
              <w:pStyle w:val="12"/>
            </w:pPr>
            <w:r>
              <w:t>预算执行率</w:t>
            </w:r>
          </w:p>
        </w:tc>
        <w:tc>
          <w:tcPr>
            <w:tcW w:w="5386" w:type="dxa"/>
            <w:vAlign w:val="center"/>
          </w:tcPr>
          <w:p w14:paraId="6EAC74D5">
            <w:pPr>
              <w:pStyle w:val="12"/>
            </w:pPr>
            <w:r>
              <w:t>预算执行率≥98%</w:t>
            </w:r>
          </w:p>
        </w:tc>
        <w:tc>
          <w:tcPr>
            <w:tcW w:w="2268" w:type="dxa"/>
            <w:vAlign w:val="center"/>
          </w:tcPr>
          <w:p w14:paraId="0C58EF27">
            <w:pPr>
              <w:pStyle w:val="12"/>
            </w:pPr>
            <w:r>
              <w:t>≥98%</w:t>
            </w:r>
          </w:p>
        </w:tc>
        <w:tc>
          <w:tcPr>
            <w:tcW w:w="1276" w:type="dxa"/>
            <w:vAlign w:val="center"/>
          </w:tcPr>
          <w:p w14:paraId="1E028A28">
            <w:pPr>
              <w:pStyle w:val="12"/>
            </w:pPr>
            <w:r>
              <w:t>城乡义务教育公用经费管理办法</w:t>
            </w:r>
          </w:p>
        </w:tc>
      </w:tr>
      <w:tr w14:paraId="684A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3BFB5"/>
        </w:tc>
        <w:tc>
          <w:tcPr>
            <w:tcW w:w="2268" w:type="dxa"/>
            <w:vAlign w:val="center"/>
          </w:tcPr>
          <w:p w14:paraId="049357D9">
            <w:pPr>
              <w:pStyle w:val="12"/>
            </w:pPr>
            <w:r>
              <w:t>时效指标</w:t>
            </w:r>
          </w:p>
        </w:tc>
        <w:tc>
          <w:tcPr>
            <w:tcW w:w="2835" w:type="dxa"/>
            <w:vAlign w:val="center"/>
          </w:tcPr>
          <w:p w14:paraId="366EA34C">
            <w:pPr>
              <w:pStyle w:val="12"/>
            </w:pPr>
            <w:r>
              <w:t>义教经费支付完成率</w:t>
            </w:r>
          </w:p>
        </w:tc>
        <w:tc>
          <w:tcPr>
            <w:tcW w:w="5386" w:type="dxa"/>
            <w:vAlign w:val="center"/>
          </w:tcPr>
          <w:p w14:paraId="5ABD0E5C">
            <w:pPr>
              <w:pStyle w:val="12"/>
            </w:pPr>
            <w:r>
              <w:t>按照序时进度完成资金支付</w:t>
            </w:r>
          </w:p>
        </w:tc>
        <w:tc>
          <w:tcPr>
            <w:tcW w:w="2268" w:type="dxa"/>
            <w:vAlign w:val="center"/>
          </w:tcPr>
          <w:p w14:paraId="5A32B2A0">
            <w:pPr>
              <w:pStyle w:val="12"/>
            </w:pPr>
            <w:r>
              <w:t>≥98%</w:t>
            </w:r>
          </w:p>
        </w:tc>
        <w:tc>
          <w:tcPr>
            <w:tcW w:w="1276" w:type="dxa"/>
            <w:vAlign w:val="center"/>
          </w:tcPr>
          <w:p w14:paraId="124BF647">
            <w:pPr>
              <w:pStyle w:val="12"/>
            </w:pPr>
            <w:r>
              <w:t>城乡义务教育公用经费管理办法</w:t>
            </w:r>
          </w:p>
        </w:tc>
      </w:tr>
      <w:tr w14:paraId="0163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DE291">
            <w:pPr>
              <w:pStyle w:val="13"/>
            </w:pPr>
            <w:r>
              <w:t>效益指标</w:t>
            </w:r>
          </w:p>
        </w:tc>
        <w:tc>
          <w:tcPr>
            <w:tcW w:w="2268" w:type="dxa"/>
            <w:vAlign w:val="center"/>
          </w:tcPr>
          <w:p w14:paraId="21C63425">
            <w:pPr>
              <w:pStyle w:val="12"/>
            </w:pPr>
            <w:r>
              <w:t>可持续影响指标</w:t>
            </w:r>
          </w:p>
        </w:tc>
        <w:tc>
          <w:tcPr>
            <w:tcW w:w="2835" w:type="dxa"/>
            <w:vAlign w:val="center"/>
          </w:tcPr>
          <w:p w14:paraId="3A7F684E">
            <w:pPr>
              <w:pStyle w:val="12"/>
            </w:pPr>
            <w:r>
              <w:t>学校运转得到提高</w:t>
            </w:r>
          </w:p>
        </w:tc>
        <w:tc>
          <w:tcPr>
            <w:tcW w:w="5386" w:type="dxa"/>
            <w:vAlign w:val="center"/>
          </w:tcPr>
          <w:p w14:paraId="4E24CC96">
            <w:pPr>
              <w:pStyle w:val="12"/>
            </w:pPr>
            <w:r>
              <w:t>学生受教育年限</w:t>
            </w:r>
          </w:p>
        </w:tc>
        <w:tc>
          <w:tcPr>
            <w:tcW w:w="2268" w:type="dxa"/>
            <w:vAlign w:val="center"/>
          </w:tcPr>
          <w:p w14:paraId="69E91B19">
            <w:pPr>
              <w:pStyle w:val="12"/>
            </w:pPr>
            <w:r>
              <w:t>6年</w:t>
            </w:r>
          </w:p>
        </w:tc>
        <w:tc>
          <w:tcPr>
            <w:tcW w:w="1276" w:type="dxa"/>
            <w:vAlign w:val="center"/>
          </w:tcPr>
          <w:p w14:paraId="2FA10720">
            <w:pPr>
              <w:pStyle w:val="12"/>
            </w:pPr>
            <w:r>
              <w:t>城乡义务教育公用经费管理办法</w:t>
            </w:r>
          </w:p>
        </w:tc>
      </w:tr>
      <w:tr w14:paraId="06CB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0BC60">
            <w:pPr>
              <w:pStyle w:val="13"/>
            </w:pPr>
            <w:r>
              <w:t>满意度指标</w:t>
            </w:r>
          </w:p>
        </w:tc>
        <w:tc>
          <w:tcPr>
            <w:tcW w:w="2268" w:type="dxa"/>
            <w:vAlign w:val="center"/>
          </w:tcPr>
          <w:p w14:paraId="2CA0D32A">
            <w:pPr>
              <w:pStyle w:val="12"/>
            </w:pPr>
            <w:r>
              <w:t>服务对象满意度指标</w:t>
            </w:r>
          </w:p>
        </w:tc>
        <w:tc>
          <w:tcPr>
            <w:tcW w:w="2835" w:type="dxa"/>
            <w:vAlign w:val="center"/>
          </w:tcPr>
          <w:p w14:paraId="0DBC33FB">
            <w:pPr>
              <w:pStyle w:val="12"/>
            </w:pPr>
            <w:r>
              <w:t>服务对象满意度</w:t>
            </w:r>
          </w:p>
        </w:tc>
        <w:tc>
          <w:tcPr>
            <w:tcW w:w="5386" w:type="dxa"/>
            <w:vAlign w:val="center"/>
          </w:tcPr>
          <w:p w14:paraId="19E6D88D">
            <w:pPr>
              <w:pStyle w:val="12"/>
            </w:pPr>
            <w:r>
              <w:t>学校老师和学生满意度</w:t>
            </w:r>
          </w:p>
        </w:tc>
        <w:tc>
          <w:tcPr>
            <w:tcW w:w="2268" w:type="dxa"/>
            <w:vAlign w:val="center"/>
          </w:tcPr>
          <w:p w14:paraId="19D55269">
            <w:pPr>
              <w:pStyle w:val="12"/>
            </w:pPr>
            <w:r>
              <w:t>≥95%</w:t>
            </w:r>
          </w:p>
        </w:tc>
        <w:tc>
          <w:tcPr>
            <w:tcW w:w="1276" w:type="dxa"/>
            <w:vAlign w:val="center"/>
          </w:tcPr>
          <w:p w14:paraId="1350E81D">
            <w:pPr>
              <w:pStyle w:val="12"/>
            </w:pPr>
            <w:r>
              <w:t>城乡义务教育公用经费管理办法</w:t>
            </w:r>
          </w:p>
        </w:tc>
      </w:tr>
    </w:tbl>
    <w:p w14:paraId="0404AE19">
      <w:pPr>
        <w:sectPr>
          <w:pgSz w:w="16840" w:h="11900" w:orient="landscape"/>
          <w:pgMar w:top="1361" w:right="1020" w:bottom="1134" w:left="1020" w:header="720" w:footer="720" w:gutter="0"/>
          <w:cols w:space="720" w:num="1"/>
        </w:sectPr>
      </w:pPr>
    </w:p>
    <w:p w14:paraId="1D4F0696">
      <w:pPr>
        <w:spacing w:before="0" w:after="0"/>
        <w:ind w:firstLine="560"/>
        <w:jc w:val="left"/>
        <w:outlineLvl w:val="9"/>
      </w:pPr>
      <w:r>
        <w:rPr>
          <w:rFonts w:ascii="方正仿宋_GBK" w:hAnsi="方正仿宋_GBK" w:eastAsia="方正仿宋_GBK" w:cs="方正仿宋_GBK"/>
          <w:b/>
          <w:color w:val="000000"/>
          <w:sz w:val="28"/>
        </w:rPr>
        <w:t>3、冀财教[2025]145号/省级/2026年薄弱学校改造/唐尧街小学取暖设施建设绩效目标表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DF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943E32">
            <w:pPr>
              <w:pStyle w:val="11"/>
            </w:pPr>
            <w:r>
              <w:t>单位：万元</w:t>
            </w:r>
          </w:p>
        </w:tc>
      </w:tr>
      <w:tr w14:paraId="37235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061FE">
            <w:pPr>
              <w:pStyle w:val="10"/>
            </w:pPr>
            <w:r>
              <w:t>项目编码</w:t>
            </w:r>
          </w:p>
        </w:tc>
        <w:tc>
          <w:tcPr>
            <w:tcW w:w="5103" w:type="dxa"/>
            <w:gridSpan w:val="2"/>
            <w:vAlign w:val="center"/>
          </w:tcPr>
          <w:p w14:paraId="518265AC">
            <w:pPr>
              <w:pStyle w:val="12"/>
            </w:pPr>
            <w:r>
              <w:t>13052526P00877010024B</w:t>
            </w:r>
          </w:p>
        </w:tc>
        <w:tc>
          <w:tcPr>
            <w:tcW w:w="2835" w:type="dxa"/>
            <w:vAlign w:val="center"/>
          </w:tcPr>
          <w:p w14:paraId="6A72BC9A">
            <w:pPr>
              <w:pStyle w:val="10"/>
            </w:pPr>
            <w:r>
              <w:t>项目名称</w:t>
            </w:r>
          </w:p>
        </w:tc>
        <w:tc>
          <w:tcPr>
            <w:tcW w:w="6095" w:type="dxa"/>
            <w:gridSpan w:val="3"/>
            <w:vAlign w:val="center"/>
          </w:tcPr>
          <w:p w14:paraId="0470E23E">
            <w:pPr>
              <w:pStyle w:val="12"/>
            </w:pPr>
            <w:r>
              <w:t>冀财教[2025]145号/省级/2026年薄弱学校改造/唐尧街小学取暖设施建设</w:t>
            </w:r>
          </w:p>
        </w:tc>
      </w:tr>
      <w:tr w14:paraId="172F2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404AF">
            <w:pPr>
              <w:pStyle w:val="10"/>
            </w:pPr>
            <w:r>
              <w:t>预算规模及资金用途</w:t>
            </w:r>
          </w:p>
        </w:tc>
        <w:tc>
          <w:tcPr>
            <w:tcW w:w="2268" w:type="dxa"/>
            <w:vAlign w:val="center"/>
          </w:tcPr>
          <w:p w14:paraId="2B4ED8E7">
            <w:pPr>
              <w:pStyle w:val="10"/>
            </w:pPr>
            <w:r>
              <w:t>预算数</w:t>
            </w:r>
          </w:p>
        </w:tc>
        <w:tc>
          <w:tcPr>
            <w:tcW w:w="2835" w:type="dxa"/>
            <w:vAlign w:val="center"/>
          </w:tcPr>
          <w:p w14:paraId="1D4E1D33">
            <w:pPr>
              <w:pStyle w:val="12"/>
            </w:pPr>
            <w:r>
              <w:t>28.00</w:t>
            </w:r>
          </w:p>
        </w:tc>
        <w:tc>
          <w:tcPr>
            <w:tcW w:w="2835" w:type="dxa"/>
            <w:vAlign w:val="center"/>
          </w:tcPr>
          <w:p w14:paraId="42E9A2DF">
            <w:pPr>
              <w:pStyle w:val="10"/>
            </w:pPr>
            <w:r>
              <w:t>其中：财政    资金</w:t>
            </w:r>
          </w:p>
        </w:tc>
        <w:tc>
          <w:tcPr>
            <w:tcW w:w="2551" w:type="dxa"/>
            <w:vAlign w:val="center"/>
          </w:tcPr>
          <w:p w14:paraId="1E21D404">
            <w:pPr>
              <w:pStyle w:val="12"/>
            </w:pPr>
            <w:r>
              <w:t>28.00</w:t>
            </w:r>
          </w:p>
        </w:tc>
        <w:tc>
          <w:tcPr>
            <w:tcW w:w="2268" w:type="dxa"/>
            <w:vAlign w:val="center"/>
          </w:tcPr>
          <w:p w14:paraId="23A529C7">
            <w:pPr>
              <w:pStyle w:val="10"/>
            </w:pPr>
            <w:r>
              <w:t>其他资金</w:t>
            </w:r>
          </w:p>
        </w:tc>
        <w:tc>
          <w:tcPr>
            <w:tcW w:w="1276" w:type="dxa"/>
            <w:vAlign w:val="center"/>
          </w:tcPr>
          <w:p w14:paraId="6E6524DE">
            <w:pPr>
              <w:pStyle w:val="12"/>
            </w:pPr>
            <w:r>
              <w:t xml:space="preserve"> </w:t>
            </w:r>
          </w:p>
        </w:tc>
      </w:tr>
      <w:tr w14:paraId="7575E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5DA21"/>
        </w:tc>
        <w:tc>
          <w:tcPr>
            <w:tcW w:w="14033" w:type="dxa"/>
            <w:gridSpan w:val="6"/>
            <w:vAlign w:val="center"/>
          </w:tcPr>
          <w:p w14:paraId="7B578EB1">
            <w:pPr>
              <w:pStyle w:val="12"/>
            </w:pPr>
            <w:r>
              <w:t>我校供暖设备为中央空调，为确保供暖设备正常使用，保证学生供暖情况，进行高压线路接引，进行取暖设施建设。</w:t>
            </w:r>
          </w:p>
        </w:tc>
      </w:tr>
      <w:tr w14:paraId="14AC4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C2F68">
            <w:pPr>
              <w:pStyle w:val="10"/>
            </w:pPr>
            <w:r>
              <w:t>资金支出计划（%）</w:t>
            </w:r>
          </w:p>
        </w:tc>
        <w:tc>
          <w:tcPr>
            <w:tcW w:w="5103" w:type="dxa"/>
            <w:gridSpan w:val="2"/>
            <w:vAlign w:val="center"/>
          </w:tcPr>
          <w:p w14:paraId="5D4C2578">
            <w:pPr>
              <w:pStyle w:val="10"/>
            </w:pPr>
            <w:r>
              <w:t>3月底</w:t>
            </w:r>
          </w:p>
        </w:tc>
        <w:tc>
          <w:tcPr>
            <w:tcW w:w="2835" w:type="dxa"/>
            <w:vAlign w:val="center"/>
          </w:tcPr>
          <w:p w14:paraId="1D2CB587">
            <w:pPr>
              <w:pStyle w:val="10"/>
            </w:pPr>
            <w:r>
              <w:t>6月底</w:t>
            </w:r>
          </w:p>
        </w:tc>
        <w:tc>
          <w:tcPr>
            <w:tcW w:w="2551" w:type="dxa"/>
            <w:vAlign w:val="center"/>
          </w:tcPr>
          <w:p w14:paraId="37F15550">
            <w:pPr>
              <w:pStyle w:val="10"/>
            </w:pPr>
            <w:r>
              <w:t>10月底</w:t>
            </w:r>
          </w:p>
        </w:tc>
        <w:tc>
          <w:tcPr>
            <w:tcW w:w="3544" w:type="dxa"/>
            <w:gridSpan w:val="2"/>
            <w:vAlign w:val="center"/>
          </w:tcPr>
          <w:p w14:paraId="448A2B77">
            <w:pPr>
              <w:pStyle w:val="10"/>
            </w:pPr>
            <w:r>
              <w:t>12月底</w:t>
            </w:r>
          </w:p>
        </w:tc>
      </w:tr>
      <w:tr w14:paraId="57BCA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8B823"/>
        </w:tc>
        <w:tc>
          <w:tcPr>
            <w:tcW w:w="5103" w:type="dxa"/>
            <w:gridSpan w:val="2"/>
            <w:vAlign w:val="center"/>
          </w:tcPr>
          <w:p w14:paraId="6BDE91B0">
            <w:pPr>
              <w:pStyle w:val="13"/>
            </w:pPr>
            <w:r>
              <w:t>25%</w:t>
            </w:r>
          </w:p>
        </w:tc>
        <w:tc>
          <w:tcPr>
            <w:tcW w:w="2835" w:type="dxa"/>
            <w:vAlign w:val="center"/>
          </w:tcPr>
          <w:p w14:paraId="70922648">
            <w:pPr>
              <w:pStyle w:val="13"/>
            </w:pPr>
            <w:r>
              <w:t>50%</w:t>
            </w:r>
          </w:p>
        </w:tc>
        <w:tc>
          <w:tcPr>
            <w:tcW w:w="2551" w:type="dxa"/>
            <w:vAlign w:val="center"/>
          </w:tcPr>
          <w:p w14:paraId="2AF6FBC8">
            <w:pPr>
              <w:pStyle w:val="13"/>
            </w:pPr>
            <w:r>
              <w:t>75%</w:t>
            </w:r>
          </w:p>
        </w:tc>
        <w:tc>
          <w:tcPr>
            <w:tcW w:w="3544" w:type="dxa"/>
            <w:gridSpan w:val="2"/>
            <w:vAlign w:val="center"/>
          </w:tcPr>
          <w:p w14:paraId="0E053032">
            <w:pPr>
              <w:pStyle w:val="13"/>
            </w:pPr>
            <w:r>
              <w:t>100%</w:t>
            </w:r>
          </w:p>
        </w:tc>
      </w:tr>
      <w:tr w14:paraId="7EA9E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D8BB5">
            <w:pPr>
              <w:pStyle w:val="10"/>
            </w:pPr>
            <w:r>
              <w:t>绩效目标</w:t>
            </w:r>
          </w:p>
        </w:tc>
        <w:tc>
          <w:tcPr>
            <w:tcW w:w="14033" w:type="dxa"/>
            <w:gridSpan w:val="6"/>
            <w:vAlign w:val="center"/>
          </w:tcPr>
          <w:p w14:paraId="739DE288">
            <w:pPr>
              <w:pStyle w:val="12"/>
            </w:pPr>
            <w:r>
              <w:t>1.改善义务教育办学条件，进一步提升教育教学办学质量。</w:t>
            </w:r>
          </w:p>
        </w:tc>
      </w:tr>
    </w:tbl>
    <w:p w14:paraId="0398C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5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9DC47">
            <w:pPr>
              <w:pStyle w:val="10"/>
            </w:pPr>
            <w:r>
              <w:t>一级指标</w:t>
            </w:r>
          </w:p>
        </w:tc>
        <w:tc>
          <w:tcPr>
            <w:tcW w:w="2268" w:type="dxa"/>
            <w:vAlign w:val="center"/>
          </w:tcPr>
          <w:p w14:paraId="20072EBA">
            <w:pPr>
              <w:pStyle w:val="10"/>
            </w:pPr>
            <w:r>
              <w:t>二级指标</w:t>
            </w:r>
          </w:p>
        </w:tc>
        <w:tc>
          <w:tcPr>
            <w:tcW w:w="2835" w:type="dxa"/>
            <w:vAlign w:val="center"/>
          </w:tcPr>
          <w:p w14:paraId="36DEEA81">
            <w:pPr>
              <w:pStyle w:val="10"/>
            </w:pPr>
            <w:r>
              <w:t>三级指标</w:t>
            </w:r>
          </w:p>
        </w:tc>
        <w:tc>
          <w:tcPr>
            <w:tcW w:w="5386" w:type="dxa"/>
            <w:vAlign w:val="center"/>
          </w:tcPr>
          <w:p w14:paraId="632D1DE9">
            <w:pPr>
              <w:pStyle w:val="10"/>
            </w:pPr>
            <w:r>
              <w:t>绩效指标描述</w:t>
            </w:r>
          </w:p>
        </w:tc>
        <w:tc>
          <w:tcPr>
            <w:tcW w:w="2268" w:type="dxa"/>
            <w:vAlign w:val="center"/>
          </w:tcPr>
          <w:p w14:paraId="25CE70AC">
            <w:pPr>
              <w:pStyle w:val="10"/>
            </w:pPr>
            <w:r>
              <w:t>指标值</w:t>
            </w:r>
          </w:p>
        </w:tc>
        <w:tc>
          <w:tcPr>
            <w:tcW w:w="1276" w:type="dxa"/>
            <w:vAlign w:val="center"/>
          </w:tcPr>
          <w:p w14:paraId="2B0D061C">
            <w:pPr>
              <w:pStyle w:val="10"/>
            </w:pPr>
            <w:r>
              <w:t>指标值确定依据</w:t>
            </w:r>
          </w:p>
        </w:tc>
      </w:tr>
      <w:tr w14:paraId="0A2A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9D925">
            <w:pPr>
              <w:pStyle w:val="13"/>
            </w:pPr>
            <w:r>
              <w:t>产出指标</w:t>
            </w:r>
          </w:p>
        </w:tc>
        <w:tc>
          <w:tcPr>
            <w:tcW w:w="2268" w:type="dxa"/>
            <w:vAlign w:val="center"/>
          </w:tcPr>
          <w:p w14:paraId="1E4E1E6F">
            <w:pPr>
              <w:pStyle w:val="12"/>
            </w:pPr>
            <w:r>
              <w:t>数量指标</w:t>
            </w:r>
          </w:p>
        </w:tc>
        <w:tc>
          <w:tcPr>
            <w:tcW w:w="2835" w:type="dxa"/>
            <w:vAlign w:val="center"/>
          </w:tcPr>
          <w:p w14:paraId="5F2A7D5F">
            <w:pPr>
              <w:pStyle w:val="12"/>
            </w:pPr>
            <w:r>
              <w:t>取暖设施建设</w:t>
            </w:r>
          </w:p>
        </w:tc>
        <w:tc>
          <w:tcPr>
            <w:tcW w:w="5386" w:type="dxa"/>
            <w:vAlign w:val="center"/>
          </w:tcPr>
          <w:p w14:paraId="702046B4">
            <w:pPr>
              <w:pStyle w:val="12"/>
            </w:pPr>
            <w:r>
              <w:t>增加学校变压器</w:t>
            </w:r>
          </w:p>
        </w:tc>
        <w:tc>
          <w:tcPr>
            <w:tcW w:w="2268" w:type="dxa"/>
            <w:vAlign w:val="center"/>
          </w:tcPr>
          <w:p w14:paraId="152AF6FD">
            <w:pPr>
              <w:pStyle w:val="12"/>
            </w:pPr>
            <w:r>
              <w:t>1套</w:t>
            </w:r>
          </w:p>
        </w:tc>
        <w:tc>
          <w:tcPr>
            <w:tcW w:w="1276" w:type="dxa"/>
            <w:vAlign w:val="center"/>
          </w:tcPr>
          <w:p w14:paraId="649FF49C">
            <w:pPr>
              <w:pStyle w:val="12"/>
            </w:pPr>
            <w:r>
              <w:t>项目规划</w:t>
            </w:r>
          </w:p>
        </w:tc>
      </w:tr>
      <w:tr w14:paraId="21BC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E2D1C"/>
        </w:tc>
        <w:tc>
          <w:tcPr>
            <w:tcW w:w="2268" w:type="dxa"/>
            <w:vAlign w:val="center"/>
          </w:tcPr>
          <w:p w14:paraId="16817E49">
            <w:pPr>
              <w:pStyle w:val="12"/>
            </w:pPr>
            <w:r>
              <w:t>质量指标</w:t>
            </w:r>
          </w:p>
        </w:tc>
        <w:tc>
          <w:tcPr>
            <w:tcW w:w="2835" w:type="dxa"/>
            <w:vAlign w:val="center"/>
          </w:tcPr>
          <w:p w14:paraId="780B06B7">
            <w:pPr>
              <w:pStyle w:val="12"/>
            </w:pPr>
            <w:r>
              <w:t>工程实施验收合格率</w:t>
            </w:r>
          </w:p>
        </w:tc>
        <w:tc>
          <w:tcPr>
            <w:tcW w:w="5386" w:type="dxa"/>
            <w:vAlign w:val="center"/>
          </w:tcPr>
          <w:p w14:paraId="2EE1E156">
            <w:pPr>
              <w:pStyle w:val="12"/>
            </w:pPr>
            <w:r>
              <w:t>申报程序的合规，项目实施及资金使用符合项目规划</w:t>
            </w:r>
          </w:p>
        </w:tc>
        <w:tc>
          <w:tcPr>
            <w:tcW w:w="2268" w:type="dxa"/>
            <w:vAlign w:val="center"/>
          </w:tcPr>
          <w:p w14:paraId="6A5BF2CB">
            <w:pPr>
              <w:pStyle w:val="12"/>
            </w:pPr>
            <w:r>
              <w:t>100%</w:t>
            </w:r>
          </w:p>
        </w:tc>
        <w:tc>
          <w:tcPr>
            <w:tcW w:w="1276" w:type="dxa"/>
            <w:vAlign w:val="center"/>
          </w:tcPr>
          <w:p w14:paraId="42F33933">
            <w:pPr>
              <w:pStyle w:val="12"/>
            </w:pPr>
            <w:r>
              <w:t>项目规划</w:t>
            </w:r>
          </w:p>
        </w:tc>
      </w:tr>
      <w:tr w14:paraId="3EC9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92AA0"/>
        </w:tc>
        <w:tc>
          <w:tcPr>
            <w:tcW w:w="2268" w:type="dxa"/>
            <w:vAlign w:val="center"/>
          </w:tcPr>
          <w:p w14:paraId="5F0CA4F0">
            <w:pPr>
              <w:pStyle w:val="12"/>
            </w:pPr>
            <w:r>
              <w:t>时效指标</w:t>
            </w:r>
          </w:p>
        </w:tc>
        <w:tc>
          <w:tcPr>
            <w:tcW w:w="2835" w:type="dxa"/>
            <w:vAlign w:val="center"/>
          </w:tcPr>
          <w:p w14:paraId="656007A1">
            <w:pPr>
              <w:pStyle w:val="12"/>
            </w:pPr>
            <w:r>
              <w:t>资金支付率</w:t>
            </w:r>
          </w:p>
        </w:tc>
        <w:tc>
          <w:tcPr>
            <w:tcW w:w="5386" w:type="dxa"/>
            <w:vAlign w:val="center"/>
          </w:tcPr>
          <w:p w14:paraId="0208CE98">
            <w:pPr>
              <w:pStyle w:val="12"/>
            </w:pPr>
            <w:r>
              <w:t>按照序时进度完成资金支付</w:t>
            </w:r>
          </w:p>
        </w:tc>
        <w:tc>
          <w:tcPr>
            <w:tcW w:w="2268" w:type="dxa"/>
            <w:vAlign w:val="center"/>
          </w:tcPr>
          <w:p w14:paraId="24204CBF">
            <w:pPr>
              <w:pStyle w:val="12"/>
            </w:pPr>
            <w:r>
              <w:t>100%</w:t>
            </w:r>
          </w:p>
        </w:tc>
        <w:tc>
          <w:tcPr>
            <w:tcW w:w="1276" w:type="dxa"/>
            <w:vAlign w:val="center"/>
          </w:tcPr>
          <w:p w14:paraId="744FCE1F">
            <w:pPr>
              <w:pStyle w:val="12"/>
            </w:pPr>
            <w:r>
              <w:t>项目规划</w:t>
            </w:r>
          </w:p>
        </w:tc>
      </w:tr>
      <w:tr w14:paraId="58E0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B23C"/>
        </w:tc>
        <w:tc>
          <w:tcPr>
            <w:tcW w:w="2268" w:type="dxa"/>
            <w:vAlign w:val="center"/>
          </w:tcPr>
          <w:p w14:paraId="62F5A652">
            <w:pPr>
              <w:pStyle w:val="12"/>
            </w:pPr>
            <w:r>
              <w:t>成本指标</w:t>
            </w:r>
          </w:p>
        </w:tc>
        <w:tc>
          <w:tcPr>
            <w:tcW w:w="2835" w:type="dxa"/>
            <w:vAlign w:val="center"/>
          </w:tcPr>
          <w:p w14:paraId="586FBBA2">
            <w:pPr>
              <w:pStyle w:val="12"/>
            </w:pPr>
            <w:r>
              <w:t>项目成本控制情况</w:t>
            </w:r>
          </w:p>
        </w:tc>
        <w:tc>
          <w:tcPr>
            <w:tcW w:w="5386" w:type="dxa"/>
            <w:vAlign w:val="center"/>
          </w:tcPr>
          <w:p w14:paraId="5A579F60">
            <w:pPr>
              <w:pStyle w:val="12"/>
            </w:pPr>
            <w:r>
              <w:t>严格按照招标价格及审计额进行</w:t>
            </w:r>
          </w:p>
        </w:tc>
        <w:tc>
          <w:tcPr>
            <w:tcW w:w="2268" w:type="dxa"/>
            <w:vAlign w:val="center"/>
          </w:tcPr>
          <w:p w14:paraId="02103D56">
            <w:pPr>
              <w:pStyle w:val="12"/>
            </w:pPr>
            <w:r>
              <w:t>≤28万元</w:t>
            </w:r>
          </w:p>
        </w:tc>
        <w:tc>
          <w:tcPr>
            <w:tcW w:w="1276" w:type="dxa"/>
            <w:vAlign w:val="center"/>
          </w:tcPr>
          <w:p w14:paraId="59B46C61">
            <w:pPr>
              <w:pStyle w:val="12"/>
            </w:pPr>
            <w:r>
              <w:t>项目规划</w:t>
            </w:r>
          </w:p>
        </w:tc>
      </w:tr>
      <w:tr w14:paraId="492B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424C1">
            <w:pPr>
              <w:pStyle w:val="13"/>
            </w:pPr>
            <w:r>
              <w:t>效益指标</w:t>
            </w:r>
          </w:p>
        </w:tc>
        <w:tc>
          <w:tcPr>
            <w:tcW w:w="2268" w:type="dxa"/>
            <w:vAlign w:val="center"/>
          </w:tcPr>
          <w:p w14:paraId="613DC782">
            <w:pPr>
              <w:pStyle w:val="12"/>
            </w:pPr>
            <w:r>
              <w:t>可持续影响指标</w:t>
            </w:r>
          </w:p>
        </w:tc>
        <w:tc>
          <w:tcPr>
            <w:tcW w:w="2835" w:type="dxa"/>
            <w:vAlign w:val="center"/>
          </w:tcPr>
          <w:p w14:paraId="55882E75">
            <w:pPr>
              <w:pStyle w:val="12"/>
            </w:pPr>
            <w:r>
              <w:t>学校办学能力提升</w:t>
            </w:r>
          </w:p>
        </w:tc>
        <w:tc>
          <w:tcPr>
            <w:tcW w:w="5386" w:type="dxa"/>
            <w:vAlign w:val="center"/>
          </w:tcPr>
          <w:p w14:paraId="50CFA75C">
            <w:pPr>
              <w:pStyle w:val="12"/>
            </w:pPr>
            <w:r>
              <w:t>学校办学能力情况及教育教学等工作开展</w:t>
            </w:r>
          </w:p>
        </w:tc>
        <w:tc>
          <w:tcPr>
            <w:tcW w:w="2268" w:type="dxa"/>
            <w:vAlign w:val="center"/>
          </w:tcPr>
          <w:p w14:paraId="260C9624">
            <w:pPr>
              <w:pStyle w:val="12"/>
            </w:pPr>
            <w:r>
              <w:t>100%</w:t>
            </w:r>
          </w:p>
        </w:tc>
        <w:tc>
          <w:tcPr>
            <w:tcW w:w="1276" w:type="dxa"/>
            <w:vAlign w:val="center"/>
          </w:tcPr>
          <w:p w14:paraId="63A590FA">
            <w:pPr>
              <w:pStyle w:val="12"/>
            </w:pPr>
            <w:r>
              <w:t>项目规划</w:t>
            </w:r>
          </w:p>
        </w:tc>
      </w:tr>
      <w:tr w14:paraId="3942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08BFC">
            <w:pPr>
              <w:pStyle w:val="13"/>
            </w:pPr>
            <w:r>
              <w:t>满意度指标</w:t>
            </w:r>
          </w:p>
        </w:tc>
        <w:tc>
          <w:tcPr>
            <w:tcW w:w="2268" w:type="dxa"/>
            <w:vAlign w:val="center"/>
          </w:tcPr>
          <w:p w14:paraId="281CC1B4">
            <w:pPr>
              <w:pStyle w:val="12"/>
            </w:pPr>
            <w:r>
              <w:t>服务对象满意度指标</w:t>
            </w:r>
          </w:p>
        </w:tc>
        <w:tc>
          <w:tcPr>
            <w:tcW w:w="2835" w:type="dxa"/>
            <w:vAlign w:val="center"/>
          </w:tcPr>
          <w:p w14:paraId="47906E0D">
            <w:pPr>
              <w:pStyle w:val="12"/>
            </w:pPr>
            <w:r>
              <w:t>学生、教师及家长对学校教学环境满意度情况</w:t>
            </w:r>
          </w:p>
        </w:tc>
        <w:tc>
          <w:tcPr>
            <w:tcW w:w="5386" w:type="dxa"/>
            <w:vAlign w:val="center"/>
          </w:tcPr>
          <w:p w14:paraId="322AB556">
            <w:pPr>
              <w:pStyle w:val="12"/>
            </w:pPr>
            <w:r>
              <w:t>学生、教师及家长对学校教学环境满意度情况</w:t>
            </w:r>
          </w:p>
        </w:tc>
        <w:tc>
          <w:tcPr>
            <w:tcW w:w="2268" w:type="dxa"/>
            <w:vAlign w:val="center"/>
          </w:tcPr>
          <w:p w14:paraId="63D27DE0">
            <w:pPr>
              <w:pStyle w:val="12"/>
            </w:pPr>
            <w:r>
              <w:t>≥95%</w:t>
            </w:r>
          </w:p>
        </w:tc>
        <w:tc>
          <w:tcPr>
            <w:tcW w:w="1276" w:type="dxa"/>
            <w:vAlign w:val="center"/>
          </w:tcPr>
          <w:p w14:paraId="43402825">
            <w:pPr>
              <w:pStyle w:val="12"/>
            </w:pPr>
            <w:r>
              <w:t>调查问卷</w:t>
            </w:r>
          </w:p>
        </w:tc>
      </w:tr>
    </w:tbl>
    <w:p w14:paraId="3861A1F4">
      <w:pPr>
        <w:sectPr>
          <w:pgSz w:w="16840" w:h="11900" w:orient="landscape"/>
          <w:pgMar w:top="1361" w:right="1020" w:bottom="1134" w:left="1020" w:header="720" w:footer="720" w:gutter="0"/>
          <w:cols w:space="720" w:num="1"/>
        </w:sectPr>
      </w:pPr>
    </w:p>
    <w:p w14:paraId="0D8840D1">
      <w:pPr>
        <w:spacing w:before="0" w:after="0"/>
        <w:ind w:firstLine="560"/>
        <w:jc w:val="left"/>
        <w:outlineLvl w:val="9"/>
      </w:pPr>
      <w:r>
        <w:rPr>
          <w:rFonts w:ascii="方正仿宋_GBK" w:hAnsi="方正仿宋_GBK" w:eastAsia="方正仿宋_GBK" w:cs="方正仿宋_GBK"/>
          <w:b/>
          <w:color w:val="000000"/>
          <w:sz w:val="28"/>
        </w:rPr>
        <w:t>4、冀财教[2025]147号/省级/2026年义教补助经费/唐尧街小学公用经费绩效目标表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63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68FBA">
            <w:pPr>
              <w:pStyle w:val="11"/>
            </w:pPr>
            <w:r>
              <w:t>单位：万元</w:t>
            </w:r>
          </w:p>
        </w:tc>
      </w:tr>
      <w:tr w14:paraId="09190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D4DC3">
            <w:pPr>
              <w:pStyle w:val="10"/>
            </w:pPr>
            <w:r>
              <w:t>项目编码</w:t>
            </w:r>
          </w:p>
        </w:tc>
        <w:tc>
          <w:tcPr>
            <w:tcW w:w="5103" w:type="dxa"/>
            <w:gridSpan w:val="2"/>
            <w:vAlign w:val="center"/>
          </w:tcPr>
          <w:p w14:paraId="6FC1C4A6">
            <w:pPr>
              <w:pStyle w:val="12"/>
            </w:pPr>
            <w:r>
              <w:t>13052526P000004103421</w:t>
            </w:r>
          </w:p>
        </w:tc>
        <w:tc>
          <w:tcPr>
            <w:tcW w:w="2835" w:type="dxa"/>
            <w:vAlign w:val="center"/>
          </w:tcPr>
          <w:p w14:paraId="3FD8231B">
            <w:pPr>
              <w:pStyle w:val="10"/>
            </w:pPr>
            <w:r>
              <w:t>项目名称</w:t>
            </w:r>
          </w:p>
        </w:tc>
        <w:tc>
          <w:tcPr>
            <w:tcW w:w="6095" w:type="dxa"/>
            <w:gridSpan w:val="3"/>
            <w:vAlign w:val="center"/>
          </w:tcPr>
          <w:p w14:paraId="1A45806F">
            <w:pPr>
              <w:pStyle w:val="12"/>
            </w:pPr>
            <w:r>
              <w:t>冀财教[2025]147号/省级/2026年义教补助经费/唐尧街小学公用经费</w:t>
            </w:r>
          </w:p>
        </w:tc>
      </w:tr>
      <w:tr w14:paraId="195D1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A1391">
            <w:pPr>
              <w:pStyle w:val="10"/>
            </w:pPr>
            <w:r>
              <w:t>预算规模及资金用途</w:t>
            </w:r>
          </w:p>
        </w:tc>
        <w:tc>
          <w:tcPr>
            <w:tcW w:w="2268" w:type="dxa"/>
            <w:vAlign w:val="center"/>
          </w:tcPr>
          <w:p w14:paraId="536AD065">
            <w:pPr>
              <w:pStyle w:val="10"/>
            </w:pPr>
            <w:r>
              <w:t>预算数</w:t>
            </w:r>
          </w:p>
        </w:tc>
        <w:tc>
          <w:tcPr>
            <w:tcW w:w="2835" w:type="dxa"/>
            <w:vAlign w:val="center"/>
          </w:tcPr>
          <w:p w14:paraId="166067B6">
            <w:pPr>
              <w:pStyle w:val="12"/>
            </w:pPr>
            <w:r>
              <w:t>39.14</w:t>
            </w:r>
          </w:p>
        </w:tc>
        <w:tc>
          <w:tcPr>
            <w:tcW w:w="2835" w:type="dxa"/>
            <w:vAlign w:val="center"/>
          </w:tcPr>
          <w:p w14:paraId="03AB0F54">
            <w:pPr>
              <w:pStyle w:val="10"/>
            </w:pPr>
            <w:r>
              <w:t>其中：财政    资金</w:t>
            </w:r>
          </w:p>
        </w:tc>
        <w:tc>
          <w:tcPr>
            <w:tcW w:w="2551" w:type="dxa"/>
            <w:vAlign w:val="center"/>
          </w:tcPr>
          <w:p w14:paraId="48E02C11">
            <w:pPr>
              <w:pStyle w:val="12"/>
            </w:pPr>
            <w:r>
              <w:t>39.14</w:t>
            </w:r>
          </w:p>
        </w:tc>
        <w:tc>
          <w:tcPr>
            <w:tcW w:w="2268" w:type="dxa"/>
            <w:vAlign w:val="center"/>
          </w:tcPr>
          <w:p w14:paraId="248650AB">
            <w:pPr>
              <w:pStyle w:val="10"/>
            </w:pPr>
            <w:r>
              <w:t>其他资金</w:t>
            </w:r>
          </w:p>
        </w:tc>
        <w:tc>
          <w:tcPr>
            <w:tcW w:w="1276" w:type="dxa"/>
            <w:vAlign w:val="center"/>
          </w:tcPr>
          <w:p w14:paraId="6F889B1F">
            <w:pPr>
              <w:pStyle w:val="12"/>
            </w:pPr>
            <w:r>
              <w:t xml:space="preserve"> </w:t>
            </w:r>
          </w:p>
        </w:tc>
      </w:tr>
      <w:tr w14:paraId="2242E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5BFC5"/>
        </w:tc>
        <w:tc>
          <w:tcPr>
            <w:tcW w:w="14033" w:type="dxa"/>
            <w:gridSpan w:val="6"/>
            <w:vAlign w:val="center"/>
          </w:tcPr>
          <w:p w14:paraId="6CB6D873">
            <w:pPr>
              <w:pStyle w:val="12"/>
            </w:pPr>
            <w:r>
              <w:t>有效完成学校教学安全秩序，保障学校教学任务有序开展，满足学校教学任务有效开展，满足学校正常教学需要。</w:t>
            </w:r>
          </w:p>
        </w:tc>
      </w:tr>
      <w:tr w14:paraId="31A85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859C9">
            <w:pPr>
              <w:pStyle w:val="10"/>
            </w:pPr>
            <w:r>
              <w:t>资金支出计划（%）</w:t>
            </w:r>
          </w:p>
        </w:tc>
        <w:tc>
          <w:tcPr>
            <w:tcW w:w="5103" w:type="dxa"/>
            <w:gridSpan w:val="2"/>
            <w:vAlign w:val="center"/>
          </w:tcPr>
          <w:p w14:paraId="4040CB36">
            <w:pPr>
              <w:pStyle w:val="10"/>
            </w:pPr>
            <w:r>
              <w:t>3月底</w:t>
            </w:r>
          </w:p>
        </w:tc>
        <w:tc>
          <w:tcPr>
            <w:tcW w:w="2835" w:type="dxa"/>
            <w:vAlign w:val="center"/>
          </w:tcPr>
          <w:p w14:paraId="12E914B7">
            <w:pPr>
              <w:pStyle w:val="10"/>
            </w:pPr>
            <w:r>
              <w:t>6月底</w:t>
            </w:r>
          </w:p>
        </w:tc>
        <w:tc>
          <w:tcPr>
            <w:tcW w:w="2551" w:type="dxa"/>
            <w:vAlign w:val="center"/>
          </w:tcPr>
          <w:p w14:paraId="2498C304">
            <w:pPr>
              <w:pStyle w:val="10"/>
            </w:pPr>
            <w:r>
              <w:t>10月底</w:t>
            </w:r>
          </w:p>
        </w:tc>
        <w:tc>
          <w:tcPr>
            <w:tcW w:w="3544" w:type="dxa"/>
            <w:gridSpan w:val="2"/>
            <w:vAlign w:val="center"/>
          </w:tcPr>
          <w:p w14:paraId="4B4C76A4">
            <w:pPr>
              <w:pStyle w:val="10"/>
            </w:pPr>
            <w:r>
              <w:t>12月底</w:t>
            </w:r>
          </w:p>
        </w:tc>
      </w:tr>
      <w:tr w14:paraId="2A3F6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7C9F7"/>
        </w:tc>
        <w:tc>
          <w:tcPr>
            <w:tcW w:w="5103" w:type="dxa"/>
            <w:gridSpan w:val="2"/>
            <w:vAlign w:val="center"/>
          </w:tcPr>
          <w:p w14:paraId="02EB39C8">
            <w:pPr>
              <w:pStyle w:val="13"/>
            </w:pPr>
            <w:r>
              <w:t>25%</w:t>
            </w:r>
          </w:p>
        </w:tc>
        <w:tc>
          <w:tcPr>
            <w:tcW w:w="2835" w:type="dxa"/>
            <w:vAlign w:val="center"/>
          </w:tcPr>
          <w:p w14:paraId="0457CDD9">
            <w:pPr>
              <w:pStyle w:val="13"/>
            </w:pPr>
            <w:r>
              <w:t>50%</w:t>
            </w:r>
          </w:p>
        </w:tc>
        <w:tc>
          <w:tcPr>
            <w:tcW w:w="2551" w:type="dxa"/>
            <w:vAlign w:val="center"/>
          </w:tcPr>
          <w:p w14:paraId="6D039EB6">
            <w:pPr>
              <w:pStyle w:val="13"/>
            </w:pPr>
            <w:r>
              <w:t>75%</w:t>
            </w:r>
          </w:p>
        </w:tc>
        <w:tc>
          <w:tcPr>
            <w:tcW w:w="3544" w:type="dxa"/>
            <w:gridSpan w:val="2"/>
            <w:vAlign w:val="center"/>
          </w:tcPr>
          <w:p w14:paraId="524D4C9C">
            <w:pPr>
              <w:pStyle w:val="13"/>
            </w:pPr>
            <w:r>
              <w:t>100%</w:t>
            </w:r>
          </w:p>
        </w:tc>
      </w:tr>
      <w:tr w14:paraId="65249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017D0">
            <w:pPr>
              <w:pStyle w:val="10"/>
            </w:pPr>
            <w:r>
              <w:t>绩效目标</w:t>
            </w:r>
          </w:p>
        </w:tc>
        <w:tc>
          <w:tcPr>
            <w:tcW w:w="14033" w:type="dxa"/>
            <w:gridSpan w:val="6"/>
            <w:vAlign w:val="center"/>
          </w:tcPr>
          <w:p w14:paraId="611E0DF7">
            <w:pPr>
              <w:pStyle w:val="12"/>
            </w:pPr>
            <w:r>
              <w:t>1.有效完成学校教学安全秩序，保障学校教学任务有序开展，满足学校教学任务有效开展，满足学校正常教学需要。</w:t>
            </w:r>
          </w:p>
        </w:tc>
      </w:tr>
    </w:tbl>
    <w:p w14:paraId="03448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9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1CF99">
            <w:pPr>
              <w:pStyle w:val="10"/>
            </w:pPr>
            <w:r>
              <w:t>一级指标</w:t>
            </w:r>
          </w:p>
        </w:tc>
        <w:tc>
          <w:tcPr>
            <w:tcW w:w="2268" w:type="dxa"/>
            <w:vAlign w:val="center"/>
          </w:tcPr>
          <w:p w14:paraId="3DCE7BB6">
            <w:pPr>
              <w:pStyle w:val="10"/>
            </w:pPr>
            <w:r>
              <w:t>二级指标</w:t>
            </w:r>
          </w:p>
        </w:tc>
        <w:tc>
          <w:tcPr>
            <w:tcW w:w="2835" w:type="dxa"/>
            <w:vAlign w:val="center"/>
          </w:tcPr>
          <w:p w14:paraId="4EDC3CD6">
            <w:pPr>
              <w:pStyle w:val="10"/>
            </w:pPr>
            <w:r>
              <w:t>三级指标</w:t>
            </w:r>
          </w:p>
        </w:tc>
        <w:tc>
          <w:tcPr>
            <w:tcW w:w="5386" w:type="dxa"/>
            <w:vAlign w:val="center"/>
          </w:tcPr>
          <w:p w14:paraId="0807F462">
            <w:pPr>
              <w:pStyle w:val="10"/>
            </w:pPr>
            <w:r>
              <w:t>绩效指标描述</w:t>
            </w:r>
          </w:p>
        </w:tc>
        <w:tc>
          <w:tcPr>
            <w:tcW w:w="2268" w:type="dxa"/>
            <w:vAlign w:val="center"/>
          </w:tcPr>
          <w:p w14:paraId="3791715A">
            <w:pPr>
              <w:pStyle w:val="10"/>
            </w:pPr>
            <w:r>
              <w:t>指标值</w:t>
            </w:r>
          </w:p>
        </w:tc>
        <w:tc>
          <w:tcPr>
            <w:tcW w:w="1276" w:type="dxa"/>
            <w:vAlign w:val="center"/>
          </w:tcPr>
          <w:p w14:paraId="132085FC">
            <w:pPr>
              <w:pStyle w:val="10"/>
            </w:pPr>
            <w:r>
              <w:t>指标值确定依据</w:t>
            </w:r>
          </w:p>
        </w:tc>
      </w:tr>
      <w:tr w14:paraId="41C37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26611">
            <w:pPr>
              <w:pStyle w:val="13"/>
            </w:pPr>
            <w:r>
              <w:t>产出指标</w:t>
            </w:r>
          </w:p>
        </w:tc>
        <w:tc>
          <w:tcPr>
            <w:tcW w:w="2268" w:type="dxa"/>
            <w:vAlign w:val="center"/>
          </w:tcPr>
          <w:p w14:paraId="1C345129">
            <w:pPr>
              <w:pStyle w:val="12"/>
            </w:pPr>
            <w:r>
              <w:t>成本指标</w:t>
            </w:r>
          </w:p>
        </w:tc>
        <w:tc>
          <w:tcPr>
            <w:tcW w:w="2835" w:type="dxa"/>
            <w:vAlign w:val="center"/>
          </w:tcPr>
          <w:p w14:paraId="6C0FA066">
            <w:pPr>
              <w:pStyle w:val="12"/>
            </w:pPr>
            <w:r>
              <w:t>生均拨款标准</w:t>
            </w:r>
          </w:p>
        </w:tc>
        <w:tc>
          <w:tcPr>
            <w:tcW w:w="5386" w:type="dxa"/>
            <w:vAlign w:val="center"/>
          </w:tcPr>
          <w:p w14:paraId="47261662">
            <w:pPr>
              <w:pStyle w:val="12"/>
            </w:pPr>
            <w:r>
              <w:t>小学生公用经费生均小学720元。取暖费120/元生/年，住宿生300元/生/年，随班就读学生补助7000/生。</w:t>
            </w:r>
          </w:p>
        </w:tc>
        <w:tc>
          <w:tcPr>
            <w:tcW w:w="2268" w:type="dxa"/>
            <w:vAlign w:val="center"/>
          </w:tcPr>
          <w:p w14:paraId="37621B9A">
            <w:pPr>
              <w:pStyle w:val="12"/>
            </w:pPr>
            <w:r>
              <w:t>840元</w:t>
            </w:r>
          </w:p>
        </w:tc>
        <w:tc>
          <w:tcPr>
            <w:tcW w:w="1276" w:type="dxa"/>
            <w:vAlign w:val="center"/>
          </w:tcPr>
          <w:p w14:paraId="6E0F09B0">
            <w:pPr>
              <w:pStyle w:val="12"/>
            </w:pPr>
            <w:r>
              <w:t>城乡义务教育公用经费管理办法</w:t>
            </w:r>
          </w:p>
        </w:tc>
      </w:tr>
      <w:tr w14:paraId="2EBD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C4F72"/>
        </w:tc>
        <w:tc>
          <w:tcPr>
            <w:tcW w:w="2268" w:type="dxa"/>
            <w:vAlign w:val="center"/>
          </w:tcPr>
          <w:p w14:paraId="5958DB27">
            <w:pPr>
              <w:pStyle w:val="12"/>
            </w:pPr>
            <w:r>
              <w:t>数量指标</w:t>
            </w:r>
          </w:p>
        </w:tc>
        <w:tc>
          <w:tcPr>
            <w:tcW w:w="2835" w:type="dxa"/>
            <w:vAlign w:val="center"/>
          </w:tcPr>
          <w:p w14:paraId="5A8BAD0C">
            <w:pPr>
              <w:pStyle w:val="12"/>
            </w:pPr>
            <w:r>
              <w:t>就读学生数</w:t>
            </w:r>
          </w:p>
        </w:tc>
        <w:tc>
          <w:tcPr>
            <w:tcW w:w="5386" w:type="dxa"/>
            <w:vAlign w:val="center"/>
          </w:tcPr>
          <w:p w14:paraId="73FDA342">
            <w:pPr>
              <w:pStyle w:val="12"/>
            </w:pPr>
            <w:r>
              <w:t>辐射区域内适龄学生人数</w:t>
            </w:r>
          </w:p>
        </w:tc>
        <w:tc>
          <w:tcPr>
            <w:tcW w:w="2268" w:type="dxa"/>
            <w:vAlign w:val="center"/>
          </w:tcPr>
          <w:p w14:paraId="3CA506A2">
            <w:pPr>
              <w:pStyle w:val="12"/>
            </w:pPr>
            <w:r>
              <w:t>≥1500人</w:t>
            </w:r>
          </w:p>
        </w:tc>
        <w:tc>
          <w:tcPr>
            <w:tcW w:w="1276" w:type="dxa"/>
            <w:vAlign w:val="center"/>
          </w:tcPr>
          <w:p w14:paraId="7EF8CB39">
            <w:pPr>
              <w:pStyle w:val="12"/>
            </w:pPr>
            <w:r>
              <w:t>城乡义务教育公用经费管理办法</w:t>
            </w:r>
          </w:p>
        </w:tc>
      </w:tr>
      <w:tr w14:paraId="5BA4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DCEED"/>
        </w:tc>
        <w:tc>
          <w:tcPr>
            <w:tcW w:w="2268" w:type="dxa"/>
            <w:vAlign w:val="center"/>
          </w:tcPr>
          <w:p w14:paraId="1B1B3FFA">
            <w:pPr>
              <w:pStyle w:val="12"/>
            </w:pPr>
            <w:r>
              <w:t>质量指标</w:t>
            </w:r>
          </w:p>
        </w:tc>
        <w:tc>
          <w:tcPr>
            <w:tcW w:w="2835" w:type="dxa"/>
            <w:vAlign w:val="center"/>
          </w:tcPr>
          <w:p w14:paraId="29A56F85">
            <w:pPr>
              <w:pStyle w:val="12"/>
            </w:pPr>
            <w:r>
              <w:t>预算执行率</w:t>
            </w:r>
          </w:p>
        </w:tc>
        <w:tc>
          <w:tcPr>
            <w:tcW w:w="5386" w:type="dxa"/>
            <w:vAlign w:val="center"/>
          </w:tcPr>
          <w:p w14:paraId="049E8694">
            <w:pPr>
              <w:pStyle w:val="12"/>
            </w:pPr>
            <w:r>
              <w:t>预算执行率≥98%</w:t>
            </w:r>
          </w:p>
        </w:tc>
        <w:tc>
          <w:tcPr>
            <w:tcW w:w="2268" w:type="dxa"/>
            <w:vAlign w:val="center"/>
          </w:tcPr>
          <w:p w14:paraId="47E5876B">
            <w:pPr>
              <w:pStyle w:val="12"/>
            </w:pPr>
            <w:r>
              <w:t>≥98%</w:t>
            </w:r>
          </w:p>
        </w:tc>
        <w:tc>
          <w:tcPr>
            <w:tcW w:w="1276" w:type="dxa"/>
            <w:vAlign w:val="center"/>
          </w:tcPr>
          <w:p w14:paraId="7AE2A0BA">
            <w:pPr>
              <w:pStyle w:val="12"/>
            </w:pPr>
            <w:r>
              <w:t>城乡义务教育公用经费管理办法</w:t>
            </w:r>
          </w:p>
        </w:tc>
      </w:tr>
      <w:tr w14:paraId="446A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5E1AB"/>
        </w:tc>
        <w:tc>
          <w:tcPr>
            <w:tcW w:w="2268" w:type="dxa"/>
            <w:vAlign w:val="center"/>
          </w:tcPr>
          <w:p w14:paraId="6D813F37">
            <w:pPr>
              <w:pStyle w:val="12"/>
            </w:pPr>
            <w:r>
              <w:t>时效指标</w:t>
            </w:r>
          </w:p>
        </w:tc>
        <w:tc>
          <w:tcPr>
            <w:tcW w:w="2835" w:type="dxa"/>
            <w:vAlign w:val="center"/>
          </w:tcPr>
          <w:p w14:paraId="7542C64F">
            <w:pPr>
              <w:pStyle w:val="12"/>
            </w:pPr>
            <w:r>
              <w:t>义教经费支付完成率</w:t>
            </w:r>
          </w:p>
        </w:tc>
        <w:tc>
          <w:tcPr>
            <w:tcW w:w="5386" w:type="dxa"/>
            <w:vAlign w:val="center"/>
          </w:tcPr>
          <w:p w14:paraId="391E88DD">
            <w:pPr>
              <w:pStyle w:val="12"/>
            </w:pPr>
            <w:r>
              <w:t>按照序时进度完成资金支付</w:t>
            </w:r>
          </w:p>
        </w:tc>
        <w:tc>
          <w:tcPr>
            <w:tcW w:w="2268" w:type="dxa"/>
            <w:vAlign w:val="center"/>
          </w:tcPr>
          <w:p w14:paraId="375A70C5">
            <w:pPr>
              <w:pStyle w:val="12"/>
            </w:pPr>
            <w:r>
              <w:t>98%</w:t>
            </w:r>
          </w:p>
        </w:tc>
        <w:tc>
          <w:tcPr>
            <w:tcW w:w="1276" w:type="dxa"/>
            <w:vAlign w:val="center"/>
          </w:tcPr>
          <w:p w14:paraId="5DCE69DE">
            <w:pPr>
              <w:pStyle w:val="12"/>
            </w:pPr>
            <w:r>
              <w:t>城乡义务教育公用经费管理办法</w:t>
            </w:r>
          </w:p>
        </w:tc>
      </w:tr>
      <w:tr w14:paraId="742C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AEDA9">
            <w:pPr>
              <w:pStyle w:val="13"/>
            </w:pPr>
            <w:r>
              <w:t>效益指标</w:t>
            </w:r>
          </w:p>
        </w:tc>
        <w:tc>
          <w:tcPr>
            <w:tcW w:w="2268" w:type="dxa"/>
            <w:vAlign w:val="center"/>
          </w:tcPr>
          <w:p w14:paraId="5E097E96">
            <w:pPr>
              <w:pStyle w:val="12"/>
            </w:pPr>
            <w:r>
              <w:t>可持续影响指标</w:t>
            </w:r>
          </w:p>
        </w:tc>
        <w:tc>
          <w:tcPr>
            <w:tcW w:w="2835" w:type="dxa"/>
            <w:vAlign w:val="center"/>
          </w:tcPr>
          <w:p w14:paraId="34DF7F47">
            <w:pPr>
              <w:pStyle w:val="12"/>
            </w:pPr>
            <w:r>
              <w:t>学校运转得到提高</w:t>
            </w:r>
          </w:p>
        </w:tc>
        <w:tc>
          <w:tcPr>
            <w:tcW w:w="5386" w:type="dxa"/>
            <w:vAlign w:val="center"/>
          </w:tcPr>
          <w:p w14:paraId="5FF3B82F">
            <w:pPr>
              <w:pStyle w:val="12"/>
            </w:pPr>
            <w:r>
              <w:t>学生受教育年限</w:t>
            </w:r>
          </w:p>
        </w:tc>
        <w:tc>
          <w:tcPr>
            <w:tcW w:w="2268" w:type="dxa"/>
            <w:vAlign w:val="center"/>
          </w:tcPr>
          <w:p w14:paraId="775DB129">
            <w:pPr>
              <w:pStyle w:val="12"/>
            </w:pPr>
            <w:r>
              <w:t>6年</w:t>
            </w:r>
          </w:p>
        </w:tc>
        <w:tc>
          <w:tcPr>
            <w:tcW w:w="1276" w:type="dxa"/>
            <w:vAlign w:val="center"/>
          </w:tcPr>
          <w:p w14:paraId="793EBC56">
            <w:pPr>
              <w:pStyle w:val="12"/>
            </w:pPr>
            <w:r>
              <w:t>城乡义务教育公用经费管理办法</w:t>
            </w:r>
          </w:p>
        </w:tc>
      </w:tr>
      <w:tr w14:paraId="0D73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6BDA0">
            <w:pPr>
              <w:pStyle w:val="13"/>
            </w:pPr>
            <w:r>
              <w:t>满意度指标</w:t>
            </w:r>
          </w:p>
        </w:tc>
        <w:tc>
          <w:tcPr>
            <w:tcW w:w="2268" w:type="dxa"/>
            <w:vAlign w:val="center"/>
          </w:tcPr>
          <w:p w14:paraId="485EBED8">
            <w:pPr>
              <w:pStyle w:val="12"/>
            </w:pPr>
            <w:r>
              <w:t>服务对象满意度指标</w:t>
            </w:r>
          </w:p>
        </w:tc>
        <w:tc>
          <w:tcPr>
            <w:tcW w:w="2835" w:type="dxa"/>
            <w:vAlign w:val="center"/>
          </w:tcPr>
          <w:p w14:paraId="6A0BA35C">
            <w:pPr>
              <w:pStyle w:val="12"/>
            </w:pPr>
            <w:r>
              <w:t>服务对象满意度</w:t>
            </w:r>
          </w:p>
        </w:tc>
        <w:tc>
          <w:tcPr>
            <w:tcW w:w="5386" w:type="dxa"/>
            <w:vAlign w:val="center"/>
          </w:tcPr>
          <w:p w14:paraId="061E8B8C">
            <w:pPr>
              <w:pStyle w:val="12"/>
            </w:pPr>
            <w:r>
              <w:t>学校老师和学生满意度</w:t>
            </w:r>
          </w:p>
        </w:tc>
        <w:tc>
          <w:tcPr>
            <w:tcW w:w="2268" w:type="dxa"/>
            <w:vAlign w:val="center"/>
          </w:tcPr>
          <w:p w14:paraId="7C0A4A8D">
            <w:pPr>
              <w:pStyle w:val="12"/>
            </w:pPr>
            <w:r>
              <w:t>≥95%</w:t>
            </w:r>
          </w:p>
        </w:tc>
        <w:tc>
          <w:tcPr>
            <w:tcW w:w="1276" w:type="dxa"/>
            <w:vAlign w:val="center"/>
          </w:tcPr>
          <w:p w14:paraId="41F69A64">
            <w:pPr>
              <w:pStyle w:val="12"/>
            </w:pPr>
            <w:r>
              <w:t>城乡义务教育公用经费管理办法</w:t>
            </w:r>
          </w:p>
        </w:tc>
      </w:tr>
    </w:tbl>
    <w:p w14:paraId="47EFB12D">
      <w:pPr>
        <w:sectPr>
          <w:pgSz w:w="16840" w:h="11900" w:orient="landscape"/>
          <w:pgMar w:top="1361" w:right="1020" w:bottom="1134" w:left="1020" w:header="720" w:footer="720" w:gutter="0"/>
          <w:cols w:space="720" w:num="1"/>
        </w:sectPr>
      </w:pPr>
    </w:p>
    <w:p w14:paraId="7D0D63FD">
      <w:pPr>
        <w:spacing w:before="0" w:after="0"/>
        <w:ind w:firstLine="560"/>
        <w:jc w:val="left"/>
        <w:outlineLvl w:val="9"/>
      </w:pPr>
      <w:r>
        <w:rPr>
          <w:rFonts w:ascii="方正仿宋_GBK" w:hAnsi="方正仿宋_GBK" w:eastAsia="方正仿宋_GBK" w:cs="方正仿宋_GBK"/>
          <w:b/>
          <w:color w:val="000000"/>
          <w:sz w:val="28"/>
        </w:rPr>
        <w:t>5、冀财教[2025]147号/省级/义教/2026年校舍安全/唐尧街小学塑胶操场改造绩效目标表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1A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F0204">
            <w:pPr>
              <w:pStyle w:val="11"/>
            </w:pPr>
            <w:r>
              <w:t>单位：万元</w:t>
            </w:r>
          </w:p>
        </w:tc>
      </w:tr>
      <w:tr w14:paraId="421A8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DF13E">
            <w:pPr>
              <w:pStyle w:val="10"/>
            </w:pPr>
            <w:r>
              <w:t>项目编码</w:t>
            </w:r>
          </w:p>
        </w:tc>
        <w:tc>
          <w:tcPr>
            <w:tcW w:w="5103" w:type="dxa"/>
            <w:gridSpan w:val="2"/>
            <w:vAlign w:val="center"/>
          </w:tcPr>
          <w:p w14:paraId="084D0CC3">
            <w:pPr>
              <w:pStyle w:val="12"/>
            </w:pPr>
            <w:r>
              <w:t>13052526P008762100956</w:t>
            </w:r>
          </w:p>
        </w:tc>
        <w:tc>
          <w:tcPr>
            <w:tcW w:w="2835" w:type="dxa"/>
            <w:vAlign w:val="center"/>
          </w:tcPr>
          <w:p w14:paraId="3BA1096F">
            <w:pPr>
              <w:pStyle w:val="10"/>
            </w:pPr>
            <w:r>
              <w:t>项目名称</w:t>
            </w:r>
          </w:p>
        </w:tc>
        <w:tc>
          <w:tcPr>
            <w:tcW w:w="6095" w:type="dxa"/>
            <w:gridSpan w:val="3"/>
            <w:vAlign w:val="center"/>
          </w:tcPr>
          <w:p w14:paraId="62C04AA3">
            <w:pPr>
              <w:pStyle w:val="12"/>
            </w:pPr>
            <w:r>
              <w:t>冀财教[2025]147号/省级/义教/2026年校舍安全/唐尧街小学塑胶操场改造</w:t>
            </w:r>
          </w:p>
        </w:tc>
      </w:tr>
      <w:tr w14:paraId="22DA7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10A45">
            <w:pPr>
              <w:pStyle w:val="10"/>
            </w:pPr>
            <w:r>
              <w:t>预算规模及资金用途</w:t>
            </w:r>
          </w:p>
        </w:tc>
        <w:tc>
          <w:tcPr>
            <w:tcW w:w="2268" w:type="dxa"/>
            <w:vAlign w:val="center"/>
          </w:tcPr>
          <w:p w14:paraId="1F9E6B6E">
            <w:pPr>
              <w:pStyle w:val="10"/>
            </w:pPr>
            <w:r>
              <w:t>预算数</w:t>
            </w:r>
          </w:p>
        </w:tc>
        <w:tc>
          <w:tcPr>
            <w:tcW w:w="2835" w:type="dxa"/>
            <w:vAlign w:val="center"/>
          </w:tcPr>
          <w:p w14:paraId="2F0B4F3B">
            <w:pPr>
              <w:pStyle w:val="12"/>
            </w:pPr>
            <w:r>
              <w:t>22.00</w:t>
            </w:r>
          </w:p>
        </w:tc>
        <w:tc>
          <w:tcPr>
            <w:tcW w:w="2835" w:type="dxa"/>
            <w:vAlign w:val="center"/>
          </w:tcPr>
          <w:p w14:paraId="594CF30F">
            <w:pPr>
              <w:pStyle w:val="10"/>
            </w:pPr>
            <w:r>
              <w:t>其中：财政    资金</w:t>
            </w:r>
          </w:p>
        </w:tc>
        <w:tc>
          <w:tcPr>
            <w:tcW w:w="2551" w:type="dxa"/>
            <w:vAlign w:val="center"/>
          </w:tcPr>
          <w:p w14:paraId="36716558">
            <w:pPr>
              <w:pStyle w:val="12"/>
            </w:pPr>
            <w:r>
              <w:t>22.00</w:t>
            </w:r>
          </w:p>
        </w:tc>
        <w:tc>
          <w:tcPr>
            <w:tcW w:w="2268" w:type="dxa"/>
            <w:vAlign w:val="center"/>
          </w:tcPr>
          <w:p w14:paraId="3F586FFC">
            <w:pPr>
              <w:pStyle w:val="10"/>
            </w:pPr>
            <w:r>
              <w:t>其他资金</w:t>
            </w:r>
          </w:p>
        </w:tc>
        <w:tc>
          <w:tcPr>
            <w:tcW w:w="1276" w:type="dxa"/>
            <w:vAlign w:val="center"/>
          </w:tcPr>
          <w:p w14:paraId="0FE913B6">
            <w:pPr>
              <w:pStyle w:val="12"/>
            </w:pPr>
            <w:r>
              <w:t xml:space="preserve"> </w:t>
            </w:r>
          </w:p>
        </w:tc>
      </w:tr>
      <w:tr w14:paraId="578D5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221AD"/>
        </w:tc>
        <w:tc>
          <w:tcPr>
            <w:tcW w:w="14033" w:type="dxa"/>
            <w:gridSpan w:val="6"/>
            <w:vAlign w:val="center"/>
          </w:tcPr>
          <w:p w14:paraId="282AEDC0">
            <w:pPr>
              <w:pStyle w:val="12"/>
            </w:pPr>
            <w:r>
              <w:t xml:space="preserve">  为更</w:t>
            </w:r>
            <w:r>
              <w:rPr>
                <w:rFonts w:hint="eastAsia"/>
                <w:lang w:eastAsia="zh-CN"/>
              </w:rPr>
              <w:t>好地</w:t>
            </w:r>
            <w:r>
              <w:t>开展体育教学活动和体育赛事的开展，扩大学生运动场地的使用，进行塑胶操场改造。</w:t>
            </w:r>
          </w:p>
        </w:tc>
      </w:tr>
      <w:tr w14:paraId="18A5B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916C3">
            <w:pPr>
              <w:pStyle w:val="10"/>
            </w:pPr>
            <w:r>
              <w:t>资金支出计划（%）</w:t>
            </w:r>
          </w:p>
        </w:tc>
        <w:tc>
          <w:tcPr>
            <w:tcW w:w="5103" w:type="dxa"/>
            <w:gridSpan w:val="2"/>
            <w:vAlign w:val="center"/>
          </w:tcPr>
          <w:p w14:paraId="3E2C25BA">
            <w:pPr>
              <w:pStyle w:val="10"/>
            </w:pPr>
            <w:r>
              <w:t>3月底</w:t>
            </w:r>
          </w:p>
        </w:tc>
        <w:tc>
          <w:tcPr>
            <w:tcW w:w="2835" w:type="dxa"/>
            <w:vAlign w:val="center"/>
          </w:tcPr>
          <w:p w14:paraId="69C5DB50">
            <w:pPr>
              <w:pStyle w:val="10"/>
            </w:pPr>
            <w:r>
              <w:t>6月底</w:t>
            </w:r>
          </w:p>
        </w:tc>
        <w:tc>
          <w:tcPr>
            <w:tcW w:w="2551" w:type="dxa"/>
            <w:vAlign w:val="center"/>
          </w:tcPr>
          <w:p w14:paraId="63390EB4">
            <w:pPr>
              <w:pStyle w:val="10"/>
            </w:pPr>
            <w:r>
              <w:t>10月底</w:t>
            </w:r>
          </w:p>
        </w:tc>
        <w:tc>
          <w:tcPr>
            <w:tcW w:w="3544" w:type="dxa"/>
            <w:gridSpan w:val="2"/>
            <w:vAlign w:val="center"/>
          </w:tcPr>
          <w:p w14:paraId="77356707">
            <w:pPr>
              <w:pStyle w:val="10"/>
            </w:pPr>
            <w:r>
              <w:t>12月底</w:t>
            </w:r>
          </w:p>
        </w:tc>
      </w:tr>
      <w:tr w14:paraId="63CAB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4F451"/>
        </w:tc>
        <w:tc>
          <w:tcPr>
            <w:tcW w:w="5103" w:type="dxa"/>
            <w:gridSpan w:val="2"/>
            <w:vAlign w:val="center"/>
          </w:tcPr>
          <w:p w14:paraId="2C6D088A">
            <w:pPr>
              <w:pStyle w:val="13"/>
            </w:pPr>
            <w:r>
              <w:t xml:space="preserve"> </w:t>
            </w:r>
          </w:p>
        </w:tc>
        <w:tc>
          <w:tcPr>
            <w:tcW w:w="2835" w:type="dxa"/>
            <w:vAlign w:val="center"/>
          </w:tcPr>
          <w:p w14:paraId="468FF7AD">
            <w:pPr>
              <w:pStyle w:val="13"/>
            </w:pPr>
            <w:r>
              <w:t xml:space="preserve"> </w:t>
            </w:r>
          </w:p>
        </w:tc>
        <w:tc>
          <w:tcPr>
            <w:tcW w:w="2551" w:type="dxa"/>
            <w:vAlign w:val="center"/>
          </w:tcPr>
          <w:p w14:paraId="7F5F3482">
            <w:pPr>
              <w:pStyle w:val="13"/>
            </w:pPr>
            <w:r>
              <w:t>100%</w:t>
            </w:r>
          </w:p>
        </w:tc>
        <w:tc>
          <w:tcPr>
            <w:tcW w:w="3544" w:type="dxa"/>
            <w:gridSpan w:val="2"/>
            <w:vAlign w:val="center"/>
          </w:tcPr>
          <w:p w14:paraId="3CAD900D">
            <w:pPr>
              <w:pStyle w:val="13"/>
            </w:pPr>
            <w:r>
              <w:t>100%</w:t>
            </w:r>
          </w:p>
        </w:tc>
      </w:tr>
      <w:tr w14:paraId="39E90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FC953">
            <w:pPr>
              <w:pStyle w:val="10"/>
            </w:pPr>
            <w:r>
              <w:t>绩效目标</w:t>
            </w:r>
          </w:p>
        </w:tc>
        <w:tc>
          <w:tcPr>
            <w:tcW w:w="14033" w:type="dxa"/>
            <w:gridSpan w:val="6"/>
            <w:vAlign w:val="center"/>
          </w:tcPr>
          <w:p w14:paraId="2903898C">
            <w:pPr>
              <w:pStyle w:val="12"/>
            </w:pPr>
            <w:r>
              <w:t>1.改善义务教学办学条件，进一步提升教育教学办学质量</w:t>
            </w:r>
          </w:p>
        </w:tc>
      </w:tr>
    </w:tbl>
    <w:p w14:paraId="2A16E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6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1F035">
            <w:pPr>
              <w:pStyle w:val="10"/>
            </w:pPr>
            <w:r>
              <w:t>一级指标</w:t>
            </w:r>
          </w:p>
        </w:tc>
        <w:tc>
          <w:tcPr>
            <w:tcW w:w="2268" w:type="dxa"/>
            <w:vAlign w:val="center"/>
          </w:tcPr>
          <w:p w14:paraId="31065293">
            <w:pPr>
              <w:pStyle w:val="10"/>
            </w:pPr>
            <w:r>
              <w:t>二级指标</w:t>
            </w:r>
          </w:p>
        </w:tc>
        <w:tc>
          <w:tcPr>
            <w:tcW w:w="2835" w:type="dxa"/>
            <w:vAlign w:val="center"/>
          </w:tcPr>
          <w:p w14:paraId="7FB1510C">
            <w:pPr>
              <w:pStyle w:val="10"/>
            </w:pPr>
            <w:r>
              <w:t>三级指标</w:t>
            </w:r>
          </w:p>
        </w:tc>
        <w:tc>
          <w:tcPr>
            <w:tcW w:w="5386" w:type="dxa"/>
            <w:vAlign w:val="center"/>
          </w:tcPr>
          <w:p w14:paraId="2BB559BB">
            <w:pPr>
              <w:pStyle w:val="10"/>
            </w:pPr>
            <w:r>
              <w:t>绩效指标描述</w:t>
            </w:r>
          </w:p>
        </w:tc>
        <w:tc>
          <w:tcPr>
            <w:tcW w:w="2268" w:type="dxa"/>
            <w:vAlign w:val="center"/>
          </w:tcPr>
          <w:p w14:paraId="2E0380E4">
            <w:pPr>
              <w:pStyle w:val="10"/>
            </w:pPr>
            <w:r>
              <w:t>指标值</w:t>
            </w:r>
          </w:p>
        </w:tc>
        <w:tc>
          <w:tcPr>
            <w:tcW w:w="1276" w:type="dxa"/>
            <w:vAlign w:val="center"/>
          </w:tcPr>
          <w:p w14:paraId="1BC3CC5C">
            <w:pPr>
              <w:pStyle w:val="10"/>
            </w:pPr>
            <w:r>
              <w:t>指标值确定依据</w:t>
            </w:r>
          </w:p>
        </w:tc>
      </w:tr>
      <w:tr w14:paraId="1FC2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55FFD">
            <w:pPr>
              <w:pStyle w:val="13"/>
            </w:pPr>
            <w:r>
              <w:t>产出指标</w:t>
            </w:r>
          </w:p>
        </w:tc>
        <w:tc>
          <w:tcPr>
            <w:tcW w:w="2268" w:type="dxa"/>
            <w:vAlign w:val="center"/>
          </w:tcPr>
          <w:p w14:paraId="7C646E04">
            <w:pPr>
              <w:pStyle w:val="12"/>
            </w:pPr>
            <w:r>
              <w:t>数量指标</w:t>
            </w:r>
          </w:p>
        </w:tc>
        <w:tc>
          <w:tcPr>
            <w:tcW w:w="2835" w:type="dxa"/>
            <w:vAlign w:val="center"/>
          </w:tcPr>
          <w:p w14:paraId="79427BAC">
            <w:pPr>
              <w:pStyle w:val="12"/>
            </w:pPr>
            <w:r>
              <w:t>塑胶操场改造</w:t>
            </w:r>
          </w:p>
        </w:tc>
        <w:tc>
          <w:tcPr>
            <w:tcW w:w="5386" w:type="dxa"/>
            <w:vAlign w:val="center"/>
          </w:tcPr>
          <w:p w14:paraId="323BF9CE">
            <w:pPr>
              <w:pStyle w:val="12"/>
            </w:pPr>
            <w:r>
              <w:t>对学校操场进行人造草坪改造面积</w:t>
            </w:r>
          </w:p>
        </w:tc>
        <w:tc>
          <w:tcPr>
            <w:tcW w:w="2268" w:type="dxa"/>
            <w:vAlign w:val="center"/>
          </w:tcPr>
          <w:p w14:paraId="5EE91BEF">
            <w:pPr>
              <w:pStyle w:val="12"/>
            </w:pPr>
            <w:r>
              <w:t>≥5400平方米</w:t>
            </w:r>
          </w:p>
        </w:tc>
        <w:tc>
          <w:tcPr>
            <w:tcW w:w="1276" w:type="dxa"/>
            <w:vAlign w:val="center"/>
          </w:tcPr>
          <w:p w14:paraId="5C955198">
            <w:pPr>
              <w:pStyle w:val="12"/>
            </w:pPr>
            <w:r>
              <w:t>项目规划</w:t>
            </w:r>
          </w:p>
        </w:tc>
      </w:tr>
      <w:tr w14:paraId="1666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81820"/>
        </w:tc>
        <w:tc>
          <w:tcPr>
            <w:tcW w:w="2268" w:type="dxa"/>
            <w:vAlign w:val="center"/>
          </w:tcPr>
          <w:p w14:paraId="30258DFD">
            <w:pPr>
              <w:pStyle w:val="12"/>
            </w:pPr>
            <w:r>
              <w:t>质量指标</w:t>
            </w:r>
          </w:p>
        </w:tc>
        <w:tc>
          <w:tcPr>
            <w:tcW w:w="2835" w:type="dxa"/>
            <w:vAlign w:val="center"/>
          </w:tcPr>
          <w:p w14:paraId="68D24222">
            <w:pPr>
              <w:pStyle w:val="12"/>
            </w:pPr>
            <w:r>
              <w:t>工程实施验收合格率</w:t>
            </w:r>
          </w:p>
        </w:tc>
        <w:tc>
          <w:tcPr>
            <w:tcW w:w="5386" w:type="dxa"/>
            <w:vAlign w:val="center"/>
          </w:tcPr>
          <w:p w14:paraId="423C9E0E">
            <w:pPr>
              <w:pStyle w:val="12"/>
            </w:pPr>
            <w:r>
              <w:t>申报程序的合规，项目实施及资金使用符合项目规划</w:t>
            </w:r>
          </w:p>
        </w:tc>
        <w:tc>
          <w:tcPr>
            <w:tcW w:w="2268" w:type="dxa"/>
            <w:vAlign w:val="center"/>
          </w:tcPr>
          <w:p w14:paraId="4CEB65AA">
            <w:pPr>
              <w:pStyle w:val="12"/>
            </w:pPr>
            <w:r>
              <w:t>100%</w:t>
            </w:r>
          </w:p>
        </w:tc>
        <w:tc>
          <w:tcPr>
            <w:tcW w:w="1276" w:type="dxa"/>
            <w:vAlign w:val="center"/>
          </w:tcPr>
          <w:p w14:paraId="71D0E6A2">
            <w:pPr>
              <w:pStyle w:val="12"/>
            </w:pPr>
            <w:r>
              <w:t>项目规划</w:t>
            </w:r>
          </w:p>
        </w:tc>
      </w:tr>
      <w:tr w14:paraId="69B5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C137E"/>
        </w:tc>
        <w:tc>
          <w:tcPr>
            <w:tcW w:w="2268" w:type="dxa"/>
            <w:vAlign w:val="center"/>
          </w:tcPr>
          <w:p w14:paraId="1B1EADD6">
            <w:pPr>
              <w:pStyle w:val="12"/>
            </w:pPr>
            <w:r>
              <w:t>时效指标</w:t>
            </w:r>
          </w:p>
        </w:tc>
        <w:tc>
          <w:tcPr>
            <w:tcW w:w="2835" w:type="dxa"/>
            <w:vAlign w:val="center"/>
          </w:tcPr>
          <w:p w14:paraId="6CF72B24">
            <w:pPr>
              <w:pStyle w:val="12"/>
            </w:pPr>
            <w:r>
              <w:t>资金支付率</w:t>
            </w:r>
          </w:p>
        </w:tc>
        <w:tc>
          <w:tcPr>
            <w:tcW w:w="5386" w:type="dxa"/>
            <w:vAlign w:val="center"/>
          </w:tcPr>
          <w:p w14:paraId="37B20D49">
            <w:pPr>
              <w:pStyle w:val="12"/>
            </w:pPr>
            <w:r>
              <w:t>按照序时进度完成资金支付</w:t>
            </w:r>
          </w:p>
        </w:tc>
        <w:tc>
          <w:tcPr>
            <w:tcW w:w="2268" w:type="dxa"/>
            <w:vAlign w:val="center"/>
          </w:tcPr>
          <w:p w14:paraId="0AA8FFDC">
            <w:pPr>
              <w:pStyle w:val="12"/>
            </w:pPr>
            <w:r>
              <w:t>100%</w:t>
            </w:r>
          </w:p>
        </w:tc>
        <w:tc>
          <w:tcPr>
            <w:tcW w:w="1276" w:type="dxa"/>
            <w:vAlign w:val="center"/>
          </w:tcPr>
          <w:p w14:paraId="4A7DA72F">
            <w:pPr>
              <w:pStyle w:val="12"/>
            </w:pPr>
            <w:r>
              <w:t>项目规划</w:t>
            </w:r>
          </w:p>
        </w:tc>
      </w:tr>
      <w:tr w14:paraId="7A4D8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B4AE4"/>
        </w:tc>
        <w:tc>
          <w:tcPr>
            <w:tcW w:w="2268" w:type="dxa"/>
            <w:vAlign w:val="center"/>
          </w:tcPr>
          <w:p w14:paraId="216DC391">
            <w:pPr>
              <w:pStyle w:val="12"/>
            </w:pPr>
            <w:r>
              <w:t>成本指标</w:t>
            </w:r>
          </w:p>
        </w:tc>
        <w:tc>
          <w:tcPr>
            <w:tcW w:w="2835" w:type="dxa"/>
            <w:vAlign w:val="center"/>
          </w:tcPr>
          <w:p w14:paraId="6E005FD1">
            <w:pPr>
              <w:pStyle w:val="12"/>
            </w:pPr>
            <w:r>
              <w:t>项目成本控制情况</w:t>
            </w:r>
          </w:p>
        </w:tc>
        <w:tc>
          <w:tcPr>
            <w:tcW w:w="5386" w:type="dxa"/>
            <w:vAlign w:val="center"/>
          </w:tcPr>
          <w:p w14:paraId="56570EA3">
            <w:pPr>
              <w:pStyle w:val="12"/>
            </w:pPr>
            <w:r>
              <w:t>严格按照招标价格及审计额进行</w:t>
            </w:r>
          </w:p>
        </w:tc>
        <w:tc>
          <w:tcPr>
            <w:tcW w:w="2268" w:type="dxa"/>
            <w:vAlign w:val="center"/>
          </w:tcPr>
          <w:p w14:paraId="12BFBDF8">
            <w:pPr>
              <w:pStyle w:val="12"/>
            </w:pPr>
            <w:r>
              <w:t>≤22万元</w:t>
            </w:r>
          </w:p>
        </w:tc>
        <w:tc>
          <w:tcPr>
            <w:tcW w:w="1276" w:type="dxa"/>
            <w:vAlign w:val="center"/>
          </w:tcPr>
          <w:p w14:paraId="231E5171">
            <w:pPr>
              <w:pStyle w:val="12"/>
            </w:pPr>
            <w:r>
              <w:t>项目规划</w:t>
            </w:r>
          </w:p>
        </w:tc>
      </w:tr>
      <w:tr w14:paraId="25AC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4284B">
            <w:pPr>
              <w:pStyle w:val="13"/>
            </w:pPr>
            <w:r>
              <w:t>效益指标</w:t>
            </w:r>
          </w:p>
        </w:tc>
        <w:tc>
          <w:tcPr>
            <w:tcW w:w="2268" w:type="dxa"/>
            <w:vAlign w:val="center"/>
          </w:tcPr>
          <w:p w14:paraId="35F5F7A2">
            <w:pPr>
              <w:pStyle w:val="12"/>
            </w:pPr>
            <w:r>
              <w:t>可持续影响指标</w:t>
            </w:r>
          </w:p>
        </w:tc>
        <w:tc>
          <w:tcPr>
            <w:tcW w:w="2835" w:type="dxa"/>
            <w:vAlign w:val="center"/>
          </w:tcPr>
          <w:p w14:paraId="20349A4C">
            <w:pPr>
              <w:pStyle w:val="12"/>
            </w:pPr>
            <w:r>
              <w:t>学校办学能力提升</w:t>
            </w:r>
          </w:p>
        </w:tc>
        <w:tc>
          <w:tcPr>
            <w:tcW w:w="5386" w:type="dxa"/>
            <w:vAlign w:val="center"/>
          </w:tcPr>
          <w:p w14:paraId="00B44F19">
            <w:pPr>
              <w:pStyle w:val="12"/>
            </w:pPr>
            <w:r>
              <w:t>学校办学能力情况及教育教学等工作开展</w:t>
            </w:r>
          </w:p>
        </w:tc>
        <w:tc>
          <w:tcPr>
            <w:tcW w:w="2268" w:type="dxa"/>
            <w:vAlign w:val="center"/>
          </w:tcPr>
          <w:p w14:paraId="38121C30">
            <w:pPr>
              <w:pStyle w:val="12"/>
            </w:pPr>
            <w:r>
              <w:t>100%</w:t>
            </w:r>
          </w:p>
        </w:tc>
        <w:tc>
          <w:tcPr>
            <w:tcW w:w="1276" w:type="dxa"/>
            <w:vAlign w:val="center"/>
          </w:tcPr>
          <w:p w14:paraId="2534C148">
            <w:pPr>
              <w:pStyle w:val="12"/>
            </w:pPr>
            <w:r>
              <w:t>项目规划</w:t>
            </w:r>
          </w:p>
        </w:tc>
      </w:tr>
      <w:tr w14:paraId="1E86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432CC">
            <w:pPr>
              <w:pStyle w:val="13"/>
            </w:pPr>
            <w:r>
              <w:t>满意度指标</w:t>
            </w:r>
          </w:p>
        </w:tc>
        <w:tc>
          <w:tcPr>
            <w:tcW w:w="2268" w:type="dxa"/>
            <w:vAlign w:val="center"/>
          </w:tcPr>
          <w:p w14:paraId="348DBACD">
            <w:pPr>
              <w:pStyle w:val="12"/>
            </w:pPr>
            <w:r>
              <w:t>服务对象满意度指标</w:t>
            </w:r>
          </w:p>
        </w:tc>
        <w:tc>
          <w:tcPr>
            <w:tcW w:w="2835" w:type="dxa"/>
            <w:vAlign w:val="center"/>
          </w:tcPr>
          <w:p w14:paraId="02036553">
            <w:pPr>
              <w:pStyle w:val="12"/>
            </w:pPr>
            <w:r>
              <w:t>服务对象满意度</w:t>
            </w:r>
          </w:p>
        </w:tc>
        <w:tc>
          <w:tcPr>
            <w:tcW w:w="5386" w:type="dxa"/>
            <w:vAlign w:val="center"/>
          </w:tcPr>
          <w:p w14:paraId="79A6B38D">
            <w:pPr>
              <w:pStyle w:val="12"/>
            </w:pPr>
            <w:r>
              <w:t>服务教师和学生满意度</w:t>
            </w:r>
          </w:p>
        </w:tc>
        <w:tc>
          <w:tcPr>
            <w:tcW w:w="2268" w:type="dxa"/>
            <w:vAlign w:val="center"/>
          </w:tcPr>
          <w:p w14:paraId="23DAE725">
            <w:pPr>
              <w:pStyle w:val="12"/>
            </w:pPr>
            <w:r>
              <w:t>≥95%</w:t>
            </w:r>
          </w:p>
        </w:tc>
        <w:tc>
          <w:tcPr>
            <w:tcW w:w="1276" w:type="dxa"/>
            <w:vAlign w:val="center"/>
          </w:tcPr>
          <w:p w14:paraId="770233C7">
            <w:pPr>
              <w:pStyle w:val="12"/>
            </w:pPr>
            <w:r>
              <w:t>调查问卷</w:t>
            </w:r>
          </w:p>
        </w:tc>
      </w:tr>
    </w:tbl>
    <w:p w14:paraId="7D601A3A">
      <w:pPr>
        <w:sectPr>
          <w:pgSz w:w="16840" w:h="11900" w:orient="landscape"/>
          <w:pgMar w:top="1361" w:right="1020" w:bottom="1134" w:left="1020" w:header="720" w:footer="720" w:gutter="0"/>
          <w:cols w:space="720" w:num="1"/>
        </w:sectPr>
      </w:pPr>
    </w:p>
    <w:p w14:paraId="7621B01D">
      <w:pPr>
        <w:spacing w:before="0" w:after="0"/>
        <w:ind w:firstLine="560"/>
        <w:jc w:val="left"/>
        <w:outlineLvl w:val="9"/>
      </w:pPr>
      <w:r>
        <w:rPr>
          <w:rFonts w:ascii="方正仿宋_GBK" w:hAnsi="方正仿宋_GBK" w:eastAsia="方正仿宋_GBK" w:cs="方正仿宋_GBK"/>
          <w:b/>
          <w:color w:val="000000"/>
          <w:sz w:val="28"/>
        </w:rPr>
        <w:t>6、县级配套/唐尧街小学公用经费绩效目标表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00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12E91">
            <w:pPr>
              <w:pStyle w:val="11"/>
            </w:pPr>
            <w:r>
              <w:t>单位：万元</w:t>
            </w:r>
          </w:p>
        </w:tc>
      </w:tr>
      <w:tr w14:paraId="7A935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8292E">
            <w:pPr>
              <w:pStyle w:val="10"/>
            </w:pPr>
            <w:r>
              <w:t>项目编码</w:t>
            </w:r>
          </w:p>
        </w:tc>
        <w:tc>
          <w:tcPr>
            <w:tcW w:w="5103" w:type="dxa"/>
            <w:gridSpan w:val="2"/>
            <w:vAlign w:val="center"/>
          </w:tcPr>
          <w:p w14:paraId="5DF35835">
            <w:pPr>
              <w:pStyle w:val="12"/>
            </w:pPr>
            <w:r>
              <w:t>13052526P00000410422J</w:t>
            </w:r>
          </w:p>
        </w:tc>
        <w:tc>
          <w:tcPr>
            <w:tcW w:w="2835" w:type="dxa"/>
            <w:vAlign w:val="center"/>
          </w:tcPr>
          <w:p w14:paraId="3BE99835">
            <w:pPr>
              <w:pStyle w:val="10"/>
            </w:pPr>
            <w:r>
              <w:t>项目名称</w:t>
            </w:r>
          </w:p>
        </w:tc>
        <w:tc>
          <w:tcPr>
            <w:tcW w:w="6095" w:type="dxa"/>
            <w:gridSpan w:val="3"/>
            <w:vAlign w:val="center"/>
          </w:tcPr>
          <w:p w14:paraId="004342FC">
            <w:pPr>
              <w:pStyle w:val="12"/>
            </w:pPr>
            <w:r>
              <w:t>县级配套/唐尧街小学公用经费</w:t>
            </w:r>
          </w:p>
        </w:tc>
      </w:tr>
      <w:tr w14:paraId="767C2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BE044">
            <w:pPr>
              <w:pStyle w:val="10"/>
            </w:pPr>
            <w:r>
              <w:t>预算规模及资金用途</w:t>
            </w:r>
          </w:p>
        </w:tc>
        <w:tc>
          <w:tcPr>
            <w:tcW w:w="2268" w:type="dxa"/>
            <w:vAlign w:val="center"/>
          </w:tcPr>
          <w:p w14:paraId="017AA190">
            <w:pPr>
              <w:pStyle w:val="10"/>
            </w:pPr>
            <w:r>
              <w:t>预算数</w:t>
            </w:r>
          </w:p>
        </w:tc>
        <w:tc>
          <w:tcPr>
            <w:tcW w:w="2835" w:type="dxa"/>
            <w:vAlign w:val="center"/>
          </w:tcPr>
          <w:p w14:paraId="16971C12">
            <w:pPr>
              <w:pStyle w:val="12"/>
            </w:pPr>
            <w:r>
              <w:t>12.39</w:t>
            </w:r>
          </w:p>
        </w:tc>
        <w:tc>
          <w:tcPr>
            <w:tcW w:w="2835" w:type="dxa"/>
            <w:vAlign w:val="center"/>
          </w:tcPr>
          <w:p w14:paraId="1080333C">
            <w:pPr>
              <w:pStyle w:val="10"/>
            </w:pPr>
            <w:r>
              <w:t>其中：财政    资金</w:t>
            </w:r>
          </w:p>
        </w:tc>
        <w:tc>
          <w:tcPr>
            <w:tcW w:w="2551" w:type="dxa"/>
            <w:vAlign w:val="center"/>
          </w:tcPr>
          <w:p w14:paraId="30290196">
            <w:pPr>
              <w:pStyle w:val="12"/>
            </w:pPr>
            <w:r>
              <w:t>12.39</w:t>
            </w:r>
          </w:p>
        </w:tc>
        <w:tc>
          <w:tcPr>
            <w:tcW w:w="2268" w:type="dxa"/>
            <w:vAlign w:val="center"/>
          </w:tcPr>
          <w:p w14:paraId="3BEFBCC3">
            <w:pPr>
              <w:pStyle w:val="10"/>
            </w:pPr>
            <w:r>
              <w:t>其他资金</w:t>
            </w:r>
          </w:p>
        </w:tc>
        <w:tc>
          <w:tcPr>
            <w:tcW w:w="1276" w:type="dxa"/>
            <w:vAlign w:val="center"/>
          </w:tcPr>
          <w:p w14:paraId="5C895E79">
            <w:pPr>
              <w:pStyle w:val="12"/>
            </w:pPr>
            <w:r>
              <w:t xml:space="preserve"> </w:t>
            </w:r>
          </w:p>
        </w:tc>
      </w:tr>
      <w:tr w14:paraId="7123C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D7928"/>
        </w:tc>
        <w:tc>
          <w:tcPr>
            <w:tcW w:w="14033" w:type="dxa"/>
            <w:gridSpan w:val="6"/>
            <w:vAlign w:val="center"/>
          </w:tcPr>
          <w:p w14:paraId="2F2E777D">
            <w:pPr>
              <w:pStyle w:val="12"/>
            </w:pPr>
            <w:r>
              <w:t>有效完成学校教学安全秩序，保障学校教学任务有效开展，满足学校正常教学需要。</w:t>
            </w:r>
          </w:p>
        </w:tc>
      </w:tr>
      <w:tr w14:paraId="09221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AB673">
            <w:pPr>
              <w:pStyle w:val="10"/>
            </w:pPr>
            <w:r>
              <w:t>资金支出计划（%）</w:t>
            </w:r>
          </w:p>
        </w:tc>
        <w:tc>
          <w:tcPr>
            <w:tcW w:w="5103" w:type="dxa"/>
            <w:gridSpan w:val="2"/>
            <w:vAlign w:val="center"/>
          </w:tcPr>
          <w:p w14:paraId="256E72AC">
            <w:pPr>
              <w:pStyle w:val="10"/>
            </w:pPr>
            <w:r>
              <w:t>3月底</w:t>
            </w:r>
          </w:p>
        </w:tc>
        <w:tc>
          <w:tcPr>
            <w:tcW w:w="2835" w:type="dxa"/>
            <w:vAlign w:val="center"/>
          </w:tcPr>
          <w:p w14:paraId="27C1FB0E">
            <w:pPr>
              <w:pStyle w:val="10"/>
            </w:pPr>
            <w:r>
              <w:t>6月底</w:t>
            </w:r>
          </w:p>
        </w:tc>
        <w:tc>
          <w:tcPr>
            <w:tcW w:w="2551" w:type="dxa"/>
            <w:vAlign w:val="center"/>
          </w:tcPr>
          <w:p w14:paraId="0DEFC871">
            <w:pPr>
              <w:pStyle w:val="10"/>
            </w:pPr>
            <w:r>
              <w:t>10月底</w:t>
            </w:r>
          </w:p>
        </w:tc>
        <w:tc>
          <w:tcPr>
            <w:tcW w:w="3544" w:type="dxa"/>
            <w:gridSpan w:val="2"/>
            <w:vAlign w:val="center"/>
          </w:tcPr>
          <w:p w14:paraId="1295A623">
            <w:pPr>
              <w:pStyle w:val="10"/>
            </w:pPr>
            <w:r>
              <w:t>12月底</w:t>
            </w:r>
          </w:p>
        </w:tc>
      </w:tr>
      <w:tr w14:paraId="0C3E8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A8B68"/>
        </w:tc>
        <w:tc>
          <w:tcPr>
            <w:tcW w:w="5103" w:type="dxa"/>
            <w:gridSpan w:val="2"/>
            <w:vAlign w:val="center"/>
          </w:tcPr>
          <w:p w14:paraId="3620173B">
            <w:pPr>
              <w:pStyle w:val="13"/>
            </w:pPr>
            <w:r>
              <w:t>25%</w:t>
            </w:r>
          </w:p>
        </w:tc>
        <w:tc>
          <w:tcPr>
            <w:tcW w:w="2835" w:type="dxa"/>
            <w:vAlign w:val="center"/>
          </w:tcPr>
          <w:p w14:paraId="17B12153">
            <w:pPr>
              <w:pStyle w:val="13"/>
            </w:pPr>
            <w:r>
              <w:t>50%</w:t>
            </w:r>
          </w:p>
        </w:tc>
        <w:tc>
          <w:tcPr>
            <w:tcW w:w="2551" w:type="dxa"/>
            <w:vAlign w:val="center"/>
          </w:tcPr>
          <w:p w14:paraId="55E44A7C">
            <w:pPr>
              <w:pStyle w:val="13"/>
            </w:pPr>
            <w:r>
              <w:t>75%</w:t>
            </w:r>
          </w:p>
        </w:tc>
        <w:tc>
          <w:tcPr>
            <w:tcW w:w="3544" w:type="dxa"/>
            <w:gridSpan w:val="2"/>
            <w:vAlign w:val="center"/>
          </w:tcPr>
          <w:p w14:paraId="660D01F3">
            <w:pPr>
              <w:pStyle w:val="13"/>
            </w:pPr>
            <w:r>
              <w:t>100%</w:t>
            </w:r>
          </w:p>
        </w:tc>
      </w:tr>
      <w:tr w14:paraId="1ECF7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16944">
            <w:pPr>
              <w:pStyle w:val="10"/>
            </w:pPr>
            <w:r>
              <w:t>绩效目标</w:t>
            </w:r>
          </w:p>
        </w:tc>
        <w:tc>
          <w:tcPr>
            <w:tcW w:w="14033" w:type="dxa"/>
            <w:gridSpan w:val="6"/>
            <w:vAlign w:val="center"/>
          </w:tcPr>
          <w:p w14:paraId="655B420D">
            <w:pPr>
              <w:pStyle w:val="12"/>
            </w:pPr>
            <w:r>
              <w:t>1.有效完成学校教学安全秩序，保障学校教学任务有效开展，满足学校正常教学需要。</w:t>
            </w:r>
          </w:p>
        </w:tc>
      </w:tr>
    </w:tbl>
    <w:p w14:paraId="350321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B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2E3F2">
            <w:pPr>
              <w:pStyle w:val="10"/>
            </w:pPr>
            <w:r>
              <w:t>一级指标</w:t>
            </w:r>
          </w:p>
        </w:tc>
        <w:tc>
          <w:tcPr>
            <w:tcW w:w="2268" w:type="dxa"/>
            <w:vAlign w:val="center"/>
          </w:tcPr>
          <w:p w14:paraId="7594018C">
            <w:pPr>
              <w:pStyle w:val="10"/>
            </w:pPr>
            <w:r>
              <w:t>二级指标</w:t>
            </w:r>
          </w:p>
        </w:tc>
        <w:tc>
          <w:tcPr>
            <w:tcW w:w="2835" w:type="dxa"/>
            <w:vAlign w:val="center"/>
          </w:tcPr>
          <w:p w14:paraId="0B9141DF">
            <w:pPr>
              <w:pStyle w:val="10"/>
            </w:pPr>
            <w:r>
              <w:t>三级指标</w:t>
            </w:r>
          </w:p>
        </w:tc>
        <w:tc>
          <w:tcPr>
            <w:tcW w:w="5386" w:type="dxa"/>
            <w:vAlign w:val="center"/>
          </w:tcPr>
          <w:p w14:paraId="6E4817BB">
            <w:pPr>
              <w:pStyle w:val="10"/>
            </w:pPr>
            <w:r>
              <w:t>绩效指标描述</w:t>
            </w:r>
          </w:p>
        </w:tc>
        <w:tc>
          <w:tcPr>
            <w:tcW w:w="2268" w:type="dxa"/>
            <w:vAlign w:val="center"/>
          </w:tcPr>
          <w:p w14:paraId="07E62111">
            <w:pPr>
              <w:pStyle w:val="10"/>
            </w:pPr>
            <w:r>
              <w:t>指标值</w:t>
            </w:r>
          </w:p>
        </w:tc>
        <w:tc>
          <w:tcPr>
            <w:tcW w:w="1276" w:type="dxa"/>
            <w:vAlign w:val="center"/>
          </w:tcPr>
          <w:p w14:paraId="786A815B">
            <w:pPr>
              <w:pStyle w:val="10"/>
            </w:pPr>
            <w:r>
              <w:t>指标值确定依据</w:t>
            </w:r>
          </w:p>
        </w:tc>
      </w:tr>
      <w:tr w14:paraId="7B13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B0F11">
            <w:pPr>
              <w:pStyle w:val="13"/>
            </w:pPr>
            <w:r>
              <w:t>产出指标</w:t>
            </w:r>
          </w:p>
        </w:tc>
        <w:tc>
          <w:tcPr>
            <w:tcW w:w="2268" w:type="dxa"/>
            <w:vAlign w:val="center"/>
          </w:tcPr>
          <w:p w14:paraId="339FD7F2">
            <w:pPr>
              <w:pStyle w:val="12"/>
            </w:pPr>
            <w:r>
              <w:t>成本指标</w:t>
            </w:r>
          </w:p>
        </w:tc>
        <w:tc>
          <w:tcPr>
            <w:tcW w:w="2835" w:type="dxa"/>
            <w:vAlign w:val="center"/>
          </w:tcPr>
          <w:p w14:paraId="56491FFF">
            <w:pPr>
              <w:pStyle w:val="12"/>
            </w:pPr>
            <w:r>
              <w:t>生均拨款标准</w:t>
            </w:r>
          </w:p>
        </w:tc>
        <w:tc>
          <w:tcPr>
            <w:tcW w:w="5386" w:type="dxa"/>
            <w:vAlign w:val="center"/>
          </w:tcPr>
          <w:p w14:paraId="4B8375F9">
            <w:pPr>
              <w:pStyle w:val="12"/>
            </w:pPr>
            <w:r>
              <w:t>小学生公用经费生均小学720元。取暖费120/元生/年，住宿生300元/生/年，随班就读学生补助7000/生。</w:t>
            </w:r>
          </w:p>
        </w:tc>
        <w:tc>
          <w:tcPr>
            <w:tcW w:w="2268" w:type="dxa"/>
            <w:vAlign w:val="center"/>
          </w:tcPr>
          <w:p w14:paraId="7242F64F">
            <w:pPr>
              <w:pStyle w:val="12"/>
            </w:pPr>
            <w:r>
              <w:t>小学生公用经费生均小学720元。取暖费140/元生/年，住宿生300元/生/年，随班就读学生补助7000/生。840元</w:t>
            </w:r>
          </w:p>
        </w:tc>
        <w:tc>
          <w:tcPr>
            <w:tcW w:w="1276" w:type="dxa"/>
            <w:vAlign w:val="center"/>
          </w:tcPr>
          <w:p w14:paraId="2291DA23">
            <w:pPr>
              <w:pStyle w:val="12"/>
            </w:pPr>
            <w:r>
              <w:t>城乡义务教育公用经费管理办法</w:t>
            </w:r>
          </w:p>
        </w:tc>
      </w:tr>
      <w:tr w14:paraId="5030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BEBE"/>
        </w:tc>
        <w:tc>
          <w:tcPr>
            <w:tcW w:w="2268" w:type="dxa"/>
            <w:vAlign w:val="center"/>
          </w:tcPr>
          <w:p w14:paraId="656E083C">
            <w:pPr>
              <w:pStyle w:val="12"/>
            </w:pPr>
            <w:r>
              <w:t>数量指标</w:t>
            </w:r>
          </w:p>
        </w:tc>
        <w:tc>
          <w:tcPr>
            <w:tcW w:w="2835" w:type="dxa"/>
            <w:vAlign w:val="center"/>
          </w:tcPr>
          <w:p w14:paraId="4614227A">
            <w:pPr>
              <w:pStyle w:val="12"/>
            </w:pPr>
            <w:r>
              <w:t>就读学生数</w:t>
            </w:r>
          </w:p>
        </w:tc>
        <w:tc>
          <w:tcPr>
            <w:tcW w:w="5386" w:type="dxa"/>
            <w:vAlign w:val="center"/>
          </w:tcPr>
          <w:p w14:paraId="4E10EBC5">
            <w:pPr>
              <w:pStyle w:val="12"/>
            </w:pPr>
            <w:r>
              <w:t>辐射区域内适龄学生人数</w:t>
            </w:r>
          </w:p>
        </w:tc>
        <w:tc>
          <w:tcPr>
            <w:tcW w:w="2268" w:type="dxa"/>
            <w:vAlign w:val="center"/>
          </w:tcPr>
          <w:p w14:paraId="7557EA9A">
            <w:pPr>
              <w:pStyle w:val="12"/>
            </w:pPr>
            <w:r>
              <w:t>辐射区域内适龄学生人数1500人</w:t>
            </w:r>
          </w:p>
        </w:tc>
        <w:tc>
          <w:tcPr>
            <w:tcW w:w="1276" w:type="dxa"/>
            <w:vAlign w:val="center"/>
          </w:tcPr>
          <w:p w14:paraId="0258406A">
            <w:pPr>
              <w:pStyle w:val="12"/>
            </w:pPr>
            <w:r>
              <w:t>城乡义务教育公用经费管理办法</w:t>
            </w:r>
          </w:p>
        </w:tc>
      </w:tr>
      <w:tr w14:paraId="033E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49A2A"/>
        </w:tc>
        <w:tc>
          <w:tcPr>
            <w:tcW w:w="2268" w:type="dxa"/>
            <w:vAlign w:val="center"/>
          </w:tcPr>
          <w:p w14:paraId="581CA7EC">
            <w:pPr>
              <w:pStyle w:val="12"/>
            </w:pPr>
            <w:r>
              <w:t>质量指标</w:t>
            </w:r>
          </w:p>
        </w:tc>
        <w:tc>
          <w:tcPr>
            <w:tcW w:w="2835" w:type="dxa"/>
            <w:vAlign w:val="center"/>
          </w:tcPr>
          <w:p w14:paraId="671990B2">
            <w:pPr>
              <w:pStyle w:val="12"/>
            </w:pPr>
            <w:r>
              <w:t>预算执行率</w:t>
            </w:r>
          </w:p>
        </w:tc>
        <w:tc>
          <w:tcPr>
            <w:tcW w:w="5386" w:type="dxa"/>
            <w:vAlign w:val="center"/>
          </w:tcPr>
          <w:p w14:paraId="1AAC11F5">
            <w:pPr>
              <w:pStyle w:val="12"/>
            </w:pPr>
            <w:r>
              <w:t>预算执行率≥98%</w:t>
            </w:r>
          </w:p>
        </w:tc>
        <w:tc>
          <w:tcPr>
            <w:tcW w:w="2268" w:type="dxa"/>
            <w:vAlign w:val="center"/>
          </w:tcPr>
          <w:p w14:paraId="773E95BE">
            <w:pPr>
              <w:pStyle w:val="12"/>
            </w:pPr>
            <w:r>
              <w:t>预算执行率≥98%98%</w:t>
            </w:r>
          </w:p>
        </w:tc>
        <w:tc>
          <w:tcPr>
            <w:tcW w:w="1276" w:type="dxa"/>
            <w:vAlign w:val="center"/>
          </w:tcPr>
          <w:p w14:paraId="4657A9FD">
            <w:pPr>
              <w:pStyle w:val="12"/>
            </w:pPr>
            <w:r>
              <w:t>城乡义务教育公用经费管理办法</w:t>
            </w:r>
          </w:p>
        </w:tc>
      </w:tr>
      <w:tr w14:paraId="334A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42650"/>
        </w:tc>
        <w:tc>
          <w:tcPr>
            <w:tcW w:w="2268" w:type="dxa"/>
            <w:vAlign w:val="center"/>
          </w:tcPr>
          <w:p w14:paraId="48C80391">
            <w:pPr>
              <w:pStyle w:val="12"/>
            </w:pPr>
            <w:r>
              <w:t>时效指标</w:t>
            </w:r>
          </w:p>
        </w:tc>
        <w:tc>
          <w:tcPr>
            <w:tcW w:w="2835" w:type="dxa"/>
            <w:vAlign w:val="center"/>
          </w:tcPr>
          <w:p w14:paraId="54EA3AB0">
            <w:pPr>
              <w:pStyle w:val="12"/>
            </w:pPr>
            <w:r>
              <w:t>义教经费支付完成率</w:t>
            </w:r>
          </w:p>
        </w:tc>
        <w:tc>
          <w:tcPr>
            <w:tcW w:w="5386" w:type="dxa"/>
            <w:vAlign w:val="center"/>
          </w:tcPr>
          <w:p w14:paraId="3D0C5A8D">
            <w:pPr>
              <w:pStyle w:val="12"/>
            </w:pPr>
            <w:r>
              <w:t>按照序时进度完成资金支付</w:t>
            </w:r>
          </w:p>
        </w:tc>
        <w:tc>
          <w:tcPr>
            <w:tcW w:w="2268" w:type="dxa"/>
            <w:vAlign w:val="center"/>
          </w:tcPr>
          <w:p w14:paraId="3A1A97B9">
            <w:pPr>
              <w:pStyle w:val="12"/>
            </w:pPr>
            <w:r>
              <w:t>按照序时进度完成资金支付98%</w:t>
            </w:r>
          </w:p>
        </w:tc>
        <w:tc>
          <w:tcPr>
            <w:tcW w:w="1276" w:type="dxa"/>
            <w:vAlign w:val="center"/>
          </w:tcPr>
          <w:p w14:paraId="25FDD92E">
            <w:pPr>
              <w:pStyle w:val="12"/>
            </w:pPr>
            <w:r>
              <w:t>城乡义务教育公用经费管理办法</w:t>
            </w:r>
          </w:p>
        </w:tc>
      </w:tr>
      <w:tr w14:paraId="7D73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513E5">
            <w:pPr>
              <w:pStyle w:val="13"/>
            </w:pPr>
            <w:r>
              <w:t>效益指标</w:t>
            </w:r>
          </w:p>
        </w:tc>
        <w:tc>
          <w:tcPr>
            <w:tcW w:w="2268" w:type="dxa"/>
            <w:vAlign w:val="center"/>
          </w:tcPr>
          <w:p w14:paraId="648E9684">
            <w:pPr>
              <w:pStyle w:val="12"/>
            </w:pPr>
            <w:r>
              <w:t>可持续影响指标</w:t>
            </w:r>
          </w:p>
        </w:tc>
        <w:tc>
          <w:tcPr>
            <w:tcW w:w="2835" w:type="dxa"/>
            <w:vAlign w:val="center"/>
          </w:tcPr>
          <w:p w14:paraId="24835285">
            <w:pPr>
              <w:pStyle w:val="12"/>
            </w:pPr>
            <w:r>
              <w:t>学校运转得到提高</w:t>
            </w:r>
          </w:p>
        </w:tc>
        <w:tc>
          <w:tcPr>
            <w:tcW w:w="5386" w:type="dxa"/>
            <w:vAlign w:val="center"/>
          </w:tcPr>
          <w:p w14:paraId="06C1B04A">
            <w:pPr>
              <w:pStyle w:val="12"/>
            </w:pPr>
            <w:r>
              <w:t>学生受教育年限</w:t>
            </w:r>
          </w:p>
        </w:tc>
        <w:tc>
          <w:tcPr>
            <w:tcW w:w="2268" w:type="dxa"/>
            <w:vAlign w:val="center"/>
          </w:tcPr>
          <w:p w14:paraId="2489243E">
            <w:pPr>
              <w:pStyle w:val="12"/>
            </w:pPr>
            <w:r>
              <w:t>学生受教育年限6年</w:t>
            </w:r>
          </w:p>
        </w:tc>
        <w:tc>
          <w:tcPr>
            <w:tcW w:w="1276" w:type="dxa"/>
            <w:vAlign w:val="center"/>
          </w:tcPr>
          <w:p w14:paraId="4DA15C9C">
            <w:pPr>
              <w:pStyle w:val="12"/>
            </w:pPr>
            <w:r>
              <w:t>城乡义务教育公用经费管理办法</w:t>
            </w:r>
          </w:p>
        </w:tc>
      </w:tr>
      <w:tr w14:paraId="62D0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4BF1F">
            <w:pPr>
              <w:pStyle w:val="13"/>
            </w:pPr>
            <w:r>
              <w:t>满意度指标</w:t>
            </w:r>
          </w:p>
        </w:tc>
        <w:tc>
          <w:tcPr>
            <w:tcW w:w="2268" w:type="dxa"/>
            <w:vAlign w:val="center"/>
          </w:tcPr>
          <w:p w14:paraId="32CD4762">
            <w:pPr>
              <w:pStyle w:val="12"/>
            </w:pPr>
            <w:r>
              <w:t>服务对象满意度指标</w:t>
            </w:r>
          </w:p>
        </w:tc>
        <w:tc>
          <w:tcPr>
            <w:tcW w:w="2835" w:type="dxa"/>
            <w:vAlign w:val="center"/>
          </w:tcPr>
          <w:p w14:paraId="226ADB2A">
            <w:pPr>
              <w:pStyle w:val="12"/>
            </w:pPr>
            <w:r>
              <w:t>服务对象满意度</w:t>
            </w:r>
          </w:p>
        </w:tc>
        <w:tc>
          <w:tcPr>
            <w:tcW w:w="5386" w:type="dxa"/>
            <w:vAlign w:val="center"/>
          </w:tcPr>
          <w:p w14:paraId="57293D07">
            <w:pPr>
              <w:pStyle w:val="12"/>
            </w:pPr>
            <w:r>
              <w:t>学校老师和学生满意度</w:t>
            </w:r>
          </w:p>
        </w:tc>
        <w:tc>
          <w:tcPr>
            <w:tcW w:w="2268" w:type="dxa"/>
            <w:vAlign w:val="center"/>
          </w:tcPr>
          <w:p w14:paraId="115BAA69">
            <w:pPr>
              <w:pStyle w:val="12"/>
            </w:pPr>
            <w:r>
              <w:t>学校老师和学生满意度95%</w:t>
            </w:r>
          </w:p>
        </w:tc>
        <w:tc>
          <w:tcPr>
            <w:tcW w:w="1276" w:type="dxa"/>
            <w:vAlign w:val="center"/>
          </w:tcPr>
          <w:p w14:paraId="5C35716A">
            <w:pPr>
              <w:pStyle w:val="12"/>
            </w:pPr>
            <w:r>
              <w:t>城乡义务教育公用经费管理办法</w:t>
            </w:r>
          </w:p>
        </w:tc>
      </w:tr>
    </w:tbl>
    <w:p w14:paraId="3A57C05F">
      <w:pPr>
        <w:sectPr>
          <w:pgSz w:w="16840" w:h="11900" w:orient="landscape"/>
          <w:pgMar w:top="1361" w:right="1020" w:bottom="1134" w:left="1020" w:header="720" w:footer="720" w:gutter="0"/>
          <w:cols w:space="720" w:num="1"/>
        </w:sectPr>
      </w:pPr>
    </w:p>
    <w:p w14:paraId="58908E98">
      <w:pPr>
        <w:spacing w:before="10" w:after="10" w:line="240" w:lineRule="auto"/>
        <w:ind w:firstLine="640"/>
        <w:jc w:val="left"/>
        <w:outlineLvl w:val="5"/>
      </w:pPr>
      <w:r>
        <w:rPr>
          <w:rFonts w:ascii="黑体" w:hAnsi="黑体" w:eastAsia="黑体" w:cs="黑体"/>
          <w:color w:val="000000"/>
          <w:sz w:val="32"/>
        </w:rPr>
        <w:t>六、政府采购预算情况</w:t>
      </w:r>
    </w:p>
    <w:p w14:paraId="46CEF8D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1E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0ECF0B">
            <w:pPr>
              <w:pStyle w:val="9"/>
            </w:pPr>
            <w:r>
              <w:t>360039隆尧县唐尧街小学</w:t>
            </w:r>
          </w:p>
        </w:tc>
        <w:tc>
          <w:tcPr>
            <w:tcW w:w="8676" w:type="dxa"/>
            <w:gridSpan w:val="9"/>
            <w:tcBorders>
              <w:top w:val="single" w:color="FFFFFF" w:sz="6" w:space="0"/>
              <w:left w:val="single" w:color="FFFFFF" w:sz="6" w:space="0"/>
              <w:right w:val="single" w:color="FFFFFF" w:sz="6" w:space="0"/>
            </w:tcBorders>
            <w:vAlign w:val="center"/>
          </w:tcPr>
          <w:p w14:paraId="32184941">
            <w:pPr>
              <w:pStyle w:val="21"/>
            </w:pPr>
            <w:r>
              <w:t>单位：万元</w:t>
            </w:r>
          </w:p>
        </w:tc>
      </w:tr>
      <w:tr w14:paraId="226D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E0C980">
            <w:pPr>
              <w:pStyle w:val="10"/>
            </w:pPr>
            <w:r>
              <w:t>政府采购项目来源</w:t>
            </w:r>
          </w:p>
        </w:tc>
        <w:tc>
          <w:tcPr>
            <w:tcW w:w="1134" w:type="dxa"/>
            <w:vMerge w:val="restart"/>
            <w:vAlign w:val="center"/>
          </w:tcPr>
          <w:p w14:paraId="23E94FEF">
            <w:pPr>
              <w:pStyle w:val="10"/>
            </w:pPr>
            <w:r>
              <w:t>采购物品名称</w:t>
            </w:r>
          </w:p>
        </w:tc>
        <w:tc>
          <w:tcPr>
            <w:tcW w:w="1134" w:type="dxa"/>
            <w:vMerge w:val="restart"/>
            <w:vAlign w:val="center"/>
          </w:tcPr>
          <w:p w14:paraId="461B1681">
            <w:pPr>
              <w:pStyle w:val="10"/>
            </w:pPr>
            <w:r>
              <w:t>政府采购目录序号</w:t>
            </w:r>
          </w:p>
        </w:tc>
        <w:tc>
          <w:tcPr>
            <w:tcW w:w="709" w:type="dxa"/>
            <w:vMerge w:val="restart"/>
            <w:vAlign w:val="center"/>
          </w:tcPr>
          <w:p w14:paraId="189AD519">
            <w:pPr>
              <w:pStyle w:val="10"/>
            </w:pPr>
            <w:r>
              <w:t>计量  单位</w:t>
            </w:r>
          </w:p>
        </w:tc>
        <w:tc>
          <w:tcPr>
            <w:tcW w:w="850" w:type="dxa"/>
            <w:vMerge w:val="restart"/>
            <w:vAlign w:val="center"/>
          </w:tcPr>
          <w:p w14:paraId="72876629">
            <w:pPr>
              <w:pStyle w:val="10"/>
            </w:pPr>
            <w:r>
              <w:t>数量</w:t>
            </w:r>
          </w:p>
        </w:tc>
        <w:tc>
          <w:tcPr>
            <w:tcW w:w="850" w:type="dxa"/>
            <w:vMerge w:val="restart"/>
            <w:vAlign w:val="center"/>
          </w:tcPr>
          <w:p w14:paraId="1B34D5F8">
            <w:pPr>
              <w:pStyle w:val="10"/>
            </w:pPr>
            <w:r>
              <w:t>单价</w:t>
            </w:r>
          </w:p>
        </w:tc>
        <w:tc>
          <w:tcPr>
            <w:tcW w:w="7712" w:type="dxa"/>
            <w:gridSpan w:val="8"/>
            <w:vAlign w:val="center"/>
          </w:tcPr>
          <w:p w14:paraId="59E09C51">
            <w:pPr>
              <w:pStyle w:val="10"/>
            </w:pPr>
            <w:r>
              <w:t>政府采购金额（当年部门预算安排资金）</w:t>
            </w:r>
          </w:p>
        </w:tc>
        <w:tc>
          <w:tcPr>
            <w:tcW w:w="964" w:type="dxa"/>
            <w:vMerge w:val="restart"/>
            <w:vAlign w:val="center"/>
          </w:tcPr>
          <w:p w14:paraId="2360F42B">
            <w:pPr>
              <w:pStyle w:val="10"/>
            </w:pPr>
            <w:r>
              <w:t>2026年  预留中  小微企  业份额</w:t>
            </w:r>
          </w:p>
        </w:tc>
      </w:tr>
      <w:tr w14:paraId="79D5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EAD196">
            <w:pPr>
              <w:pStyle w:val="10"/>
            </w:pPr>
            <w:r>
              <w:t>项目名称</w:t>
            </w:r>
          </w:p>
        </w:tc>
        <w:tc>
          <w:tcPr>
            <w:tcW w:w="964" w:type="dxa"/>
            <w:vAlign w:val="center"/>
          </w:tcPr>
          <w:p w14:paraId="480A842C">
            <w:pPr>
              <w:pStyle w:val="10"/>
            </w:pPr>
            <w:r>
              <w:t>预算    资金</w:t>
            </w:r>
          </w:p>
        </w:tc>
        <w:tc>
          <w:tcPr>
            <w:tcW w:w="1134" w:type="dxa"/>
            <w:vMerge w:val="continue"/>
          </w:tcPr>
          <w:p w14:paraId="7887F7A1"/>
        </w:tc>
        <w:tc>
          <w:tcPr>
            <w:tcW w:w="1134" w:type="dxa"/>
            <w:vMerge w:val="continue"/>
          </w:tcPr>
          <w:p w14:paraId="089763D9"/>
        </w:tc>
        <w:tc>
          <w:tcPr>
            <w:tcW w:w="709" w:type="dxa"/>
            <w:vMerge w:val="continue"/>
          </w:tcPr>
          <w:p w14:paraId="1838E3A2"/>
        </w:tc>
        <w:tc>
          <w:tcPr>
            <w:tcW w:w="850" w:type="dxa"/>
            <w:vMerge w:val="continue"/>
          </w:tcPr>
          <w:p w14:paraId="44C800E7"/>
        </w:tc>
        <w:tc>
          <w:tcPr>
            <w:tcW w:w="850" w:type="dxa"/>
            <w:vMerge w:val="continue"/>
          </w:tcPr>
          <w:p w14:paraId="55867081"/>
        </w:tc>
        <w:tc>
          <w:tcPr>
            <w:tcW w:w="964" w:type="dxa"/>
            <w:vAlign w:val="center"/>
          </w:tcPr>
          <w:p w14:paraId="1C0EE8C9">
            <w:pPr>
              <w:pStyle w:val="10"/>
            </w:pPr>
            <w:r>
              <w:t>合计</w:t>
            </w:r>
          </w:p>
        </w:tc>
        <w:tc>
          <w:tcPr>
            <w:tcW w:w="964" w:type="dxa"/>
            <w:vAlign w:val="center"/>
          </w:tcPr>
          <w:p w14:paraId="2360FEB7">
            <w:pPr>
              <w:pStyle w:val="10"/>
            </w:pPr>
            <w:r>
              <w:t>一般公共预算拨款</w:t>
            </w:r>
          </w:p>
        </w:tc>
        <w:tc>
          <w:tcPr>
            <w:tcW w:w="964" w:type="dxa"/>
            <w:vAlign w:val="center"/>
          </w:tcPr>
          <w:p w14:paraId="073FB011">
            <w:pPr>
              <w:pStyle w:val="10"/>
            </w:pPr>
            <w:r>
              <w:t>基金预算拨款</w:t>
            </w:r>
          </w:p>
        </w:tc>
        <w:tc>
          <w:tcPr>
            <w:tcW w:w="964" w:type="dxa"/>
            <w:vAlign w:val="center"/>
          </w:tcPr>
          <w:p w14:paraId="1B00641F">
            <w:pPr>
              <w:pStyle w:val="10"/>
            </w:pPr>
            <w:r>
              <w:t>国有资本经营预算拨款</w:t>
            </w:r>
          </w:p>
        </w:tc>
        <w:tc>
          <w:tcPr>
            <w:tcW w:w="964" w:type="dxa"/>
            <w:vAlign w:val="center"/>
          </w:tcPr>
          <w:p w14:paraId="7C94C245">
            <w:pPr>
              <w:pStyle w:val="10"/>
            </w:pPr>
            <w:r>
              <w:t>财政专户核拨</w:t>
            </w:r>
          </w:p>
        </w:tc>
        <w:tc>
          <w:tcPr>
            <w:tcW w:w="964" w:type="dxa"/>
            <w:vAlign w:val="center"/>
          </w:tcPr>
          <w:p w14:paraId="0F0016C7">
            <w:pPr>
              <w:pStyle w:val="10"/>
            </w:pPr>
            <w:r>
              <w:t>单位    资金</w:t>
            </w:r>
          </w:p>
        </w:tc>
        <w:tc>
          <w:tcPr>
            <w:tcW w:w="964" w:type="dxa"/>
            <w:vAlign w:val="center"/>
          </w:tcPr>
          <w:p w14:paraId="56788A26">
            <w:pPr>
              <w:pStyle w:val="10"/>
            </w:pPr>
            <w:r>
              <w:t>财政拨款结转</w:t>
            </w:r>
          </w:p>
        </w:tc>
        <w:tc>
          <w:tcPr>
            <w:tcW w:w="964" w:type="dxa"/>
            <w:vAlign w:val="center"/>
          </w:tcPr>
          <w:p w14:paraId="20909408">
            <w:pPr>
              <w:pStyle w:val="10"/>
            </w:pPr>
            <w:r>
              <w:t>非财政拨款结余</w:t>
            </w:r>
          </w:p>
        </w:tc>
        <w:tc>
          <w:tcPr>
            <w:tcW w:w="964" w:type="dxa"/>
            <w:vMerge w:val="continue"/>
          </w:tcPr>
          <w:p w14:paraId="22970D9F"/>
        </w:tc>
      </w:tr>
      <w:tr w14:paraId="5CA3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44EC5">
            <w:pPr>
              <w:pStyle w:val="14"/>
            </w:pPr>
            <w:r>
              <w:t>合  计</w:t>
            </w:r>
          </w:p>
        </w:tc>
        <w:tc>
          <w:tcPr>
            <w:tcW w:w="964" w:type="dxa"/>
            <w:vAlign w:val="center"/>
          </w:tcPr>
          <w:p w14:paraId="1F28CB58">
            <w:pPr>
              <w:pStyle w:val="15"/>
            </w:pPr>
          </w:p>
        </w:tc>
        <w:tc>
          <w:tcPr>
            <w:tcW w:w="1134" w:type="dxa"/>
            <w:vAlign w:val="center"/>
          </w:tcPr>
          <w:p w14:paraId="443767B8">
            <w:pPr>
              <w:pStyle w:val="16"/>
            </w:pPr>
          </w:p>
        </w:tc>
        <w:tc>
          <w:tcPr>
            <w:tcW w:w="1134" w:type="dxa"/>
            <w:vAlign w:val="center"/>
          </w:tcPr>
          <w:p w14:paraId="7F793162">
            <w:pPr>
              <w:pStyle w:val="16"/>
            </w:pPr>
          </w:p>
        </w:tc>
        <w:tc>
          <w:tcPr>
            <w:tcW w:w="709" w:type="dxa"/>
            <w:vAlign w:val="center"/>
          </w:tcPr>
          <w:p w14:paraId="07930AB7">
            <w:pPr>
              <w:pStyle w:val="14"/>
            </w:pPr>
          </w:p>
        </w:tc>
        <w:tc>
          <w:tcPr>
            <w:tcW w:w="850" w:type="dxa"/>
            <w:vAlign w:val="center"/>
          </w:tcPr>
          <w:p w14:paraId="1DD64660">
            <w:pPr>
              <w:pStyle w:val="15"/>
            </w:pPr>
          </w:p>
        </w:tc>
        <w:tc>
          <w:tcPr>
            <w:tcW w:w="850" w:type="dxa"/>
            <w:vAlign w:val="center"/>
          </w:tcPr>
          <w:p w14:paraId="515B2510">
            <w:pPr>
              <w:pStyle w:val="15"/>
            </w:pPr>
          </w:p>
        </w:tc>
        <w:tc>
          <w:tcPr>
            <w:tcW w:w="964" w:type="dxa"/>
            <w:vAlign w:val="center"/>
          </w:tcPr>
          <w:p w14:paraId="4EEC2F8D">
            <w:pPr>
              <w:pStyle w:val="15"/>
            </w:pPr>
            <w:r>
              <w:t>8.47</w:t>
            </w:r>
          </w:p>
        </w:tc>
        <w:tc>
          <w:tcPr>
            <w:tcW w:w="964" w:type="dxa"/>
            <w:vAlign w:val="center"/>
          </w:tcPr>
          <w:p w14:paraId="4DA35400">
            <w:pPr>
              <w:pStyle w:val="15"/>
            </w:pPr>
            <w:r>
              <w:t>8.47</w:t>
            </w:r>
          </w:p>
        </w:tc>
        <w:tc>
          <w:tcPr>
            <w:tcW w:w="964" w:type="dxa"/>
            <w:vAlign w:val="center"/>
          </w:tcPr>
          <w:p w14:paraId="4AF2848F">
            <w:pPr>
              <w:pStyle w:val="15"/>
            </w:pPr>
          </w:p>
        </w:tc>
        <w:tc>
          <w:tcPr>
            <w:tcW w:w="964" w:type="dxa"/>
            <w:vAlign w:val="center"/>
          </w:tcPr>
          <w:p w14:paraId="42D48A73">
            <w:pPr>
              <w:pStyle w:val="15"/>
            </w:pPr>
          </w:p>
        </w:tc>
        <w:tc>
          <w:tcPr>
            <w:tcW w:w="964" w:type="dxa"/>
            <w:vAlign w:val="center"/>
          </w:tcPr>
          <w:p w14:paraId="30EC181D">
            <w:pPr>
              <w:pStyle w:val="15"/>
            </w:pPr>
          </w:p>
        </w:tc>
        <w:tc>
          <w:tcPr>
            <w:tcW w:w="964" w:type="dxa"/>
            <w:vAlign w:val="center"/>
          </w:tcPr>
          <w:p w14:paraId="5683538A">
            <w:pPr>
              <w:pStyle w:val="15"/>
            </w:pPr>
          </w:p>
        </w:tc>
        <w:tc>
          <w:tcPr>
            <w:tcW w:w="964" w:type="dxa"/>
            <w:vAlign w:val="center"/>
          </w:tcPr>
          <w:p w14:paraId="52C0C876">
            <w:pPr>
              <w:pStyle w:val="15"/>
            </w:pPr>
          </w:p>
        </w:tc>
        <w:tc>
          <w:tcPr>
            <w:tcW w:w="964" w:type="dxa"/>
            <w:vAlign w:val="center"/>
          </w:tcPr>
          <w:p w14:paraId="437E0025">
            <w:pPr>
              <w:pStyle w:val="15"/>
            </w:pPr>
          </w:p>
        </w:tc>
        <w:tc>
          <w:tcPr>
            <w:tcW w:w="964" w:type="dxa"/>
            <w:vAlign w:val="center"/>
          </w:tcPr>
          <w:p w14:paraId="7704ADFA">
            <w:pPr>
              <w:pStyle w:val="15"/>
            </w:pPr>
            <w:r>
              <w:t>8.47</w:t>
            </w:r>
          </w:p>
        </w:tc>
      </w:tr>
      <w:tr w14:paraId="1DCA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01BAC7">
            <w:pPr>
              <w:pStyle w:val="14"/>
            </w:pPr>
            <w:r>
              <w:t>隆尧县唐尧街小学小计</w:t>
            </w:r>
          </w:p>
        </w:tc>
        <w:tc>
          <w:tcPr>
            <w:tcW w:w="964" w:type="dxa"/>
            <w:vAlign w:val="center"/>
          </w:tcPr>
          <w:p w14:paraId="73B2E0CA">
            <w:pPr>
              <w:pStyle w:val="15"/>
            </w:pPr>
          </w:p>
        </w:tc>
        <w:tc>
          <w:tcPr>
            <w:tcW w:w="1134" w:type="dxa"/>
            <w:vAlign w:val="center"/>
          </w:tcPr>
          <w:p w14:paraId="60AFB8FB">
            <w:pPr>
              <w:pStyle w:val="16"/>
            </w:pPr>
          </w:p>
        </w:tc>
        <w:tc>
          <w:tcPr>
            <w:tcW w:w="1134" w:type="dxa"/>
            <w:vAlign w:val="center"/>
          </w:tcPr>
          <w:p w14:paraId="360409A7">
            <w:pPr>
              <w:pStyle w:val="16"/>
            </w:pPr>
          </w:p>
        </w:tc>
        <w:tc>
          <w:tcPr>
            <w:tcW w:w="709" w:type="dxa"/>
            <w:vAlign w:val="center"/>
          </w:tcPr>
          <w:p w14:paraId="78364150">
            <w:pPr>
              <w:pStyle w:val="14"/>
            </w:pPr>
          </w:p>
        </w:tc>
        <w:tc>
          <w:tcPr>
            <w:tcW w:w="850" w:type="dxa"/>
            <w:vAlign w:val="center"/>
          </w:tcPr>
          <w:p w14:paraId="116C2486">
            <w:pPr>
              <w:pStyle w:val="15"/>
            </w:pPr>
          </w:p>
        </w:tc>
        <w:tc>
          <w:tcPr>
            <w:tcW w:w="850" w:type="dxa"/>
            <w:vAlign w:val="center"/>
          </w:tcPr>
          <w:p w14:paraId="45824E4F">
            <w:pPr>
              <w:pStyle w:val="15"/>
            </w:pPr>
          </w:p>
        </w:tc>
        <w:tc>
          <w:tcPr>
            <w:tcW w:w="964" w:type="dxa"/>
            <w:vAlign w:val="center"/>
          </w:tcPr>
          <w:p w14:paraId="5F3F1C9D">
            <w:pPr>
              <w:pStyle w:val="15"/>
            </w:pPr>
            <w:r>
              <w:t>8.47</w:t>
            </w:r>
          </w:p>
        </w:tc>
        <w:tc>
          <w:tcPr>
            <w:tcW w:w="964" w:type="dxa"/>
            <w:vAlign w:val="center"/>
          </w:tcPr>
          <w:p w14:paraId="27F022CD">
            <w:pPr>
              <w:pStyle w:val="15"/>
            </w:pPr>
            <w:r>
              <w:t>8.47</w:t>
            </w:r>
          </w:p>
        </w:tc>
        <w:tc>
          <w:tcPr>
            <w:tcW w:w="964" w:type="dxa"/>
            <w:vAlign w:val="center"/>
          </w:tcPr>
          <w:p w14:paraId="05EAE4C8">
            <w:pPr>
              <w:pStyle w:val="15"/>
            </w:pPr>
          </w:p>
        </w:tc>
        <w:tc>
          <w:tcPr>
            <w:tcW w:w="964" w:type="dxa"/>
            <w:vAlign w:val="center"/>
          </w:tcPr>
          <w:p w14:paraId="04D609ED">
            <w:pPr>
              <w:pStyle w:val="15"/>
            </w:pPr>
          </w:p>
        </w:tc>
        <w:tc>
          <w:tcPr>
            <w:tcW w:w="964" w:type="dxa"/>
            <w:vAlign w:val="center"/>
          </w:tcPr>
          <w:p w14:paraId="2C477350">
            <w:pPr>
              <w:pStyle w:val="15"/>
            </w:pPr>
          </w:p>
        </w:tc>
        <w:tc>
          <w:tcPr>
            <w:tcW w:w="964" w:type="dxa"/>
            <w:vAlign w:val="center"/>
          </w:tcPr>
          <w:p w14:paraId="1BD5D9F4">
            <w:pPr>
              <w:pStyle w:val="15"/>
            </w:pPr>
          </w:p>
        </w:tc>
        <w:tc>
          <w:tcPr>
            <w:tcW w:w="964" w:type="dxa"/>
            <w:vAlign w:val="center"/>
          </w:tcPr>
          <w:p w14:paraId="31C617ED">
            <w:pPr>
              <w:pStyle w:val="15"/>
            </w:pPr>
          </w:p>
        </w:tc>
        <w:tc>
          <w:tcPr>
            <w:tcW w:w="964" w:type="dxa"/>
            <w:vAlign w:val="center"/>
          </w:tcPr>
          <w:p w14:paraId="0A4AFDE0">
            <w:pPr>
              <w:pStyle w:val="15"/>
            </w:pPr>
          </w:p>
        </w:tc>
        <w:tc>
          <w:tcPr>
            <w:tcW w:w="964" w:type="dxa"/>
            <w:vAlign w:val="center"/>
          </w:tcPr>
          <w:p w14:paraId="156E6DCE">
            <w:pPr>
              <w:pStyle w:val="15"/>
            </w:pPr>
            <w:r>
              <w:t>8.47</w:t>
            </w:r>
          </w:p>
        </w:tc>
      </w:tr>
      <w:tr w14:paraId="431D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F8B53C">
            <w:pPr>
              <w:pStyle w:val="12"/>
            </w:pPr>
            <w:r>
              <w:t>冀财教[2025]147号/省级/2026年义教补助经费/唐尧街小学公用经费</w:t>
            </w:r>
          </w:p>
        </w:tc>
        <w:tc>
          <w:tcPr>
            <w:tcW w:w="964" w:type="dxa"/>
            <w:vAlign w:val="center"/>
          </w:tcPr>
          <w:p w14:paraId="5E4BEC0A">
            <w:pPr>
              <w:pStyle w:val="11"/>
            </w:pPr>
            <w:r>
              <w:t>39.14</w:t>
            </w:r>
          </w:p>
        </w:tc>
        <w:tc>
          <w:tcPr>
            <w:tcW w:w="1134" w:type="dxa"/>
            <w:vAlign w:val="center"/>
          </w:tcPr>
          <w:p w14:paraId="78356B2B">
            <w:pPr>
              <w:pStyle w:val="12"/>
            </w:pPr>
            <w:r>
              <w:t>办公桌</w:t>
            </w:r>
          </w:p>
        </w:tc>
        <w:tc>
          <w:tcPr>
            <w:tcW w:w="1134" w:type="dxa"/>
            <w:vAlign w:val="center"/>
          </w:tcPr>
          <w:p w14:paraId="245B6218">
            <w:pPr>
              <w:pStyle w:val="12"/>
            </w:pPr>
            <w:r>
              <w:t>A05010201</w:t>
            </w:r>
          </w:p>
        </w:tc>
        <w:tc>
          <w:tcPr>
            <w:tcW w:w="709" w:type="dxa"/>
            <w:vAlign w:val="center"/>
          </w:tcPr>
          <w:p w14:paraId="1DF98770">
            <w:pPr>
              <w:pStyle w:val="13"/>
            </w:pPr>
            <w:r>
              <w:t>个</w:t>
            </w:r>
          </w:p>
        </w:tc>
        <w:tc>
          <w:tcPr>
            <w:tcW w:w="850" w:type="dxa"/>
            <w:vAlign w:val="center"/>
          </w:tcPr>
          <w:p w14:paraId="0B6AAA5C">
            <w:pPr>
              <w:pStyle w:val="11"/>
            </w:pPr>
            <w:r>
              <w:t>8</w:t>
            </w:r>
          </w:p>
        </w:tc>
        <w:tc>
          <w:tcPr>
            <w:tcW w:w="850" w:type="dxa"/>
            <w:vAlign w:val="center"/>
          </w:tcPr>
          <w:p w14:paraId="37CC8359">
            <w:pPr>
              <w:pStyle w:val="11"/>
            </w:pPr>
            <w:r>
              <w:t>0.13</w:t>
            </w:r>
          </w:p>
        </w:tc>
        <w:tc>
          <w:tcPr>
            <w:tcW w:w="964" w:type="dxa"/>
            <w:vAlign w:val="center"/>
          </w:tcPr>
          <w:p w14:paraId="2040AE6E">
            <w:pPr>
              <w:pStyle w:val="11"/>
            </w:pPr>
            <w:r>
              <w:t>1.01</w:t>
            </w:r>
          </w:p>
        </w:tc>
        <w:tc>
          <w:tcPr>
            <w:tcW w:w="964" w:type="dxa"/>
            <w:vAlign w:val="center"/>
          </w:tcPr>
          <w:p w14:paraId="477CDF9F">
            <w:pPr>
              <w:pStyle w:val="11"/>
            </w:pPr>
            <w:r>
              <w:t>1.01</w:t>
            </w:r>
          </w:p>
        </w:tc>
        <w:tc>
          <w:tcPr>
            <w:tcW w:w="964" w:type="dxa"/>
            <w:vAlign w:val="center"/>
          </w:tcPr>
          <w:p w14:paraId="00E64D19">
            <w:pPr>
              <w:pStyle w:val="11"/>
            </w:pPr>
          </w:p>
        </w:tc>
        <w:tc>
          <w:tcPr>
            <w:tcW w:w="964" w:type="dxa"/>
            <w:vAlign w:val="center"/>
          </w:tcPr>
          <w:p w14:paraId="62A59388">
            <w:pPr>
              <w:pStyle w:val="11"/>
            </w:pPr>
          </w:p>
        </w:tc>
        <w:tc>
          <w:tcPr>
            <w:tcW w:w="964" w:type="dxa"/>
            <w:vAlign w:val="center"/>
          </w:tcPr>
          <w:p w14:paraId="4B77959A">
            <w:pPr>
              <w:pStyle w:val="11"/>
            </w:pPr>
          </w:p>
        </w:tc>
        <w:tc>
          <w:tcPr>
            <w:tcW w:w="964" w:type="dxa"/>
            <w:vAlign w:val="center"/>
          </w:tcPr>
          <w:p w14:paraId="075DC5AA">
            <w:pPr>
              <w:pStyle w:val="11"/>
            </w:pPr>
          </w:p>
        </w:tc>
        <w:tc>
          <w:tcPr>
            <w:tcW w:w="964" w:type="dxa"/>
            <w:vAlign w:val="center"/>
          </w:tcPr>
          <w:p w14:paraId="2FBB6876">
            <w:pPr>
              <w:pStyle w:val="11"/>
            </w:pPr>
          </w:p>
        </w:tc>
        <w:tc>
          <w:tcPr>
            <w:tcW w:w="964" w:type="dxa"/>
            <w:vAlign w:val="center"/>
          </w:tcPr>
          <w:p w14:paraId="4D396DF6">
            <w:pPr>
              <w:pStyle w:val="11"/>
            </w:pPr>
          </w:p>
        </w:tc>
        <w:tc>
          <w:tcPr>
            <w:tcW w:w="964" w:type="dxa"/>
            <w:vAlign w:val="center"/>
          </w:tcPr>
          <w:p w14:paraId="2C7CAD10">
            <w:pPr>
              <w:pStyle w:val="11"/>
            </w:pPr>
            <w:r>
              <w:t>1.01</w:t>
            </w:r>
          </w:p>
        </w:tc>
      </w:tr>
      <w:tr w14:paraId="4A1EA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8FEC50">
            <w:pPr>
              <w:pStyle w:val="12"/>
            </w:pPr>
            <w:r>
              <w:t>冀财教[2025]147号/省级/2026年义教补助经费/唐尧街小学公用经费</w:t>
            </w:r>
          </w:p>
        </w:tc>
        <w:tc>
          <w:tcPr>
            <w:tcW w:w="964" w:type="dxa"/>
            <w:vAlign w:val="center"/>
          </w:tcPr>
          <w:p w14:paraId="26BB697C">
            <w:pPr>
              <w:pStyle w:val="11"/>
            </w:pPr>
            <w:r>
              <w:t>39.14</w:t>
            </w:r>
          </w:p>
        </w:tc>
        <w:tc>
          <w:tcPr>
            <w:tcW w:w="1134" w:type="dxa"/>
            <w:vAlign w:val="center"/>
          </w:tcPr>
          <w:p w14:paraId="2946E7FE">
            <w:pPr>
              <w:pStyle w:val="12"/>
            </w:pPr>
            <w:r>
              <w:t>办公桌</w:t>
            </w:r>
          </w:p>
        </w:tc>
        <w:tc>
          <w:tcPr>
            <w:tcW w:w="1134" w:type="dxa"/>
            <w:vAlign w:val="center"/>
          </w:tcPr>
          <w:p w14:paraId="3096E3B3">
            <w:pPr>
              <w:pStyle w:val="12"/>
            </w:pPr>
            <w:r>
              <w:t>A05010201</w:t>
            </w:r>
          </w:p>
        </w:tc>
        <w:tc>
          <w:tcPr>
            <w:tcW w:w="709" w:type="dxa"/>
            <w:vAlign w:val="center"/>
          </w:tcPr>
          <w:p w14:paraId="4721EC18">
            <w:pPr>
              <w:pStyle w:val="13"/>
            </w:pPr>
            <w:r>
              <w:t>个</w:t>
            </w:r>
          </w:p>
        </w:tc>
        <w:tc>
          <w:tcPr>
            <w:tcW w:w="850" w:type="dxa"/>
            <w:vAlign w:val="center"/>
          </w:tcPr>
          <w:p w14:paraId="495A0124">
            <w:pPr>
              <w:pStyle w:val="11"/>
            </w:pPr>
            <w:r>
              <w:t>1</w:t>
            </w:r>
          </w:p>
        </w:tc>
        <w:tc>
          <w:tcPr>
            <w:tcW w:w="850" w:type="dxa"/>
            <w:vAlign w:val="center"/>
          </w:tcPr>
          <w:p w14:paraId="64011702">
            <w:pPr>
              <w:pStyle w:val="11"/>
            </w:pPr>
            <w:r>
              <w:t>0.09</w:t>
            </w:r>
          </w:p>
        </w:tc>
        <w:tc>
          <w:tcPr>
            <w:tcW w:w="964" w:type="dxa"/>
            <w:vAlign w:val="center"/>
          </w:tcPr>
          <w:p w14:paraId="25295A58">
            <w:pPr>
              <w:pStyle w:val="11"/>
            </w:pPr>
            <w:r>
              <w:t>0.09</w:t>
            </w:r>
          </w:p>
        </w:tc>
        <w:tc>
          <w:tcPr>
            <w:tcW w:w="964" w:type="dxa"/>
            <w:vAlign w:val="center"/>
          </w:tcPr>
          <w:p w14:paraId="5D8DC6C5">
            <w:pPr>
              <w:pStyle w:val="11"/>
            </w:pPr>
            <w:r>
              <w:t>0.09</w:t>
            </w:r>
          </w:p>
        </w:tc>
        <w:tc>
          <w:tcPr>
            <w:tcW w:w="964" w:type="dxa"/>
            <w:vAlign w:val="center"/>
          </w:tcPr>
          <w:p w14:paraId="2DFD1E27">
            <w:pPr>
              <w:pStyle w:val="11"/>
            </w:pPr>
          </w:p>
        </w:tc>
        <w:tc>
          <w:tcPr>
            <w:tcW w:w="964" w:type="dxa"/>
            <w:vAlign w:val="center"/>
          </w:tcPr>
          <w:p w14:paraId="6956E7EB">
            <w:pPr>
              <w:pStyle w:val="11"/>
            </w:pPr>
          </w:p>
        </w:tc>
        <w:tc>
          <w:tcPr>
            <w:tcW w:w="964" w:type="dxa"/>
            <w:vAlign w:val="center"/>
          </w:tcPr>
          <w:p w14:paraId="318F97EB">
            <w:pPr>
              <w:pStyle w:val="11"/>
            </w:pPr>
          </w:p>
        </w:tc>
        <w:tc>
          <w:tcPr>
            <w:tcW w:w="964" w:type="dxa"/>
            <w:vAlign w:val="center"/>
          </w:tcPr>
          <w:p w14:paraId="1AD06CC1">
            <w:pPr>
              <w:pStyle w:val="11"/>
            </w:pPr>
          </w:p>
        </w:tc>
        <w:tc>
          <w:tcPr>
            <w:tcW w:w="964" w:type="dxa"/>
            <w:vAlign w:val="center"/>
          </w:tcPr>
          <w:p w14:paraId="2C369146">
            <w:pPr>
              <w:pStyle w:val="11"/>
            </w:pPr>
          </w:p>
        </w:tc>
        <w:tc>
          <w:tcPr>
            <w:tcW w:w="964" w:type="dxa"/>
            <w:vAlign w:val="center"/>
          </w:tcPr>
          <w:p w14:paraId="47A903D8">
            <w:pPr>
              <w:pStyle w:val="11"/>
            </w:pPr>
          </w:p>
        </w:tc>
        <w:tc>
          <w:tcPr>
            <w:tcW w:w="964" w:type="dxa"/>
            <w:vAlign w:val="center"/>
          </w:tcPr>
          <w:p w14:paraId="1B6A6229">
            <w:pPr>
              <w:pStyle w:val="11"/>
            </w:pPr>
            <w:r>
              <w:t>0.09</w:t>
            </w:r>
          </w:p>
        </w:tc>
      </w:tr>
      <w:tr w14:paraId="0A9A8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79601A">
            <w:pPr>
              <w:pStyle w:val="12"/>
            </w:pPr>
            <w:r>
              <w:t>冀财教[2025]147号/省级/2026年义教补助经费/唐尧街小学公用经费</w:t>
            </w:r>
          </w:p>
        </w:tc>
        <w:tc>
          <w:tcPr>
            <w:tcW w:w="964" w:type="dxa"/>
            <w:vAlign w:val="center"/>
          </w:tcPr>
          <w:p w14:paraId="3E717EAE">
            <w:pPr>
              <w:pStyle w:val="11"/>
            </w:pPr>
            <w:r>
              <w:t>39.14</w:t>
            </w:r>
          </w:p>
        </w:tc>
        <w:tc>
          <w:tcPr>
            <w:tcW w:w="1134" w:type="dxa"/>
            <w:vAlign w:val="center"/>
          </w:tcPr>
          <w:p w14:paraId="40694E6D">
            <w:pPr>
              <w:pStyle w:val="12"/>
            </w:pPr>
            <w:r>
              <w:t>会议桌</w:t>
            </w:r>
          </w:p>
        </w:tc>
        <w:tc>
          <w:tcPr>
            <w:tcW w:w="1134" w:type="dxa"/>
            <w:vAlign w:val="center"/>
          </w:tcPr>
          <w:p w14:paraId="7F3A831C">
            <w:pPr>
              <w:pStyle w:val="12"/>
            </w:pPr>
            <w:r>
              <w:t>A05010202</w:t>
            </w:r>
          </w:p>
        </w:tc>
        <w:tc>
          <w:tcPr>
            <w:tcW w:w="709" w:type="dxa"/>
            <w:vAlign w:val="center"/>
          </w:tcPr>
          <w:p w14:paraId="3272680E">
            <w:pPr>
              <w:pStyle w:val="13"/>
            </w:pPr>
            <w:r>
              <w:t>个</w:t>
            </w:r>
          </w:p>
        </w:tc>
        <w:tc>
          <w:tcPr>
            <w:tcW w:w="850" w:type="dxa"/>
            <w:vAlign w:val="center"/>
          </w:tcPr>
          <w:p w14:paraId="509557A5">
            <w:pPr>
              <w:pStyle w:val="11"/>
            </w:pPr>
            <w:r>
              <w:t>1</w:t>
            </w:r>
          </w:p>
        </w:tc>
        <w:tc>
          <w:tcPr>
            <w:tcW w:w="850" w:type="dxa"/>
            <w:vAlign w:val="center"/>
          </w:tcPr>
          <w:p w14:paraId="4904D6EC">
            <w:pPr>
              <w:pStyle w:val="11"/>
            </w:pPr>
            <w:r>
              <w:t>0.36</w:t>
            </w:r>
          </w:p>
        </w:tc>
        <w:tc>
          <w:tcPr>
            <w:tcW w:w="964" w:type="dxa"/>
            <w:vAlign w:val="center"/>
          </w:tcPr>
          <w:p w14:paraId="5EDB44DB">
            <w:pPr>
              <w:pStyle w:val="11"/>
            </w:pPr>
            <w:r>
              <w:t>0.36</w:t>
            </w:r>
          </w:p>
        </w:tc>
        <w:tc>
          <w:tcPr>
            <w:tcW w:w="964" w:type="dxa"/>
            <w:vAlign w:val="center"/>
          </w:tcPr>
          <w:p w14:paraId="6D7AEE0A">
            <w:pPr>
              <w:pStyle w:val="11"/>
            </w:pPr>
            <w:r>
              <w:t>0.36</w:t>
            </w:r>
          </w:p>
        </w:tc>
        <w:tc>
          <w:tcPr>
            <w:tcW w:w="964" w:type="dxa"/>
            <w:vAlign w:val="center"/>
          </w:tcPr>
          <w:p w14:paraId="297DAEA8">
            <w:pPr>
              <w:pStyle w:val="11"/>
            </w:pPr>
          </w:p>
        </w:tc>
        <w:tc>
          <w:tcPr>
            <w:tcW w:w="964" w:type="dxa"/>
            <w:vAlign w:val="center"/>
          </w:tcPr>
          <w:p w14:paraId="36DE8ED8">
            <w:pPr>
              <w:pStyle w:val="11"/>
            </w:pPr>
          </w:p>
        </w:tc>
        <w:tc>
          <w:tcPr>
            <w:tcW w:w="964" w:type="dxa"/>
            <w:vAlign w:val="center"/>
          </w:tcPr>
          <w:p w14:paraId="463A2B7E">
            <w:pPr>
              <w:pStyle w:val="11"/>
            </w:pPr>
          </w:p>
        </w:tc>
        <w:tc>
          <w:tcPr>
            <w:tcW w:w="964" w:type="dxa"/>
            <w:vAlign w:val="center"/>
          </w:tcPr>
          <w:p w14:paraId="6EA21798">
            <w:pPr>
              <w:pStyle w:val="11"/>
            </w:pPr>
          </w:p>
        </w:tc>
        <w:tc>
          <w:tcPr>
            <w:tcW w:w="964" w:type="dxa"/>
            <w:vAlign w:val="center"/>
          </w:tcPr>
          <w:p w14:paraId="0208AC34">
            <w:pPr>
              <w:pStyle w:val="11"/>
            </w:pPr>
          </w:p>
        </w:tc>
        <w:tc>
          <w:tcPr>
            <w:tcW w:w="964" w:type="dxa"/>
            <w:vAlign w:val="center"/>
          </w:tcPr>
          <w:p w14:paraId="1C37D97F">
            <w:pPr>
              <w:pStyle w:val="11"/>
            </w:pPr>
          </w:p>
        </w:tc>
        <w:tc>
          <w:tcPr>
            <w:tcW w:w="964" w:type="dxa"/>
            <w:vAlign w:val="center"/>
          </w:tcPr>
          <w:p w14:paraId="5A6F37BC">
            <w:pPr>
              <w:pStyle w:val="11"/>
            </w:pPr>
            <w:r>
              <w:t>0.36</w:t>
            </w:r>
          </w:p>
        </w:tc>
      </w:tr>
      <w:tr w14:paraId="2306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DE9CC">
            <w:pPr>
              <w:pStyle w:val="12"/>
            </w:pPr>
            <w:r>
              <w:t>冀财教[2025]147号/省级/2026年义教补助经费/唐尧街小学公用经费</w:t>
            </w:r>
          </w:p>
        </w:tc>
        <w:tc>
          <w:tcPr>
            <w:tcW w:w="964" w:type="dxa"/>
            <w:vAlign w:val="center"/>
          </w:tcPr>
          <w:p w14:paraId="559A2116">
            <w:pPr>
              <w:pStyle w:val="11"/>
            </w:pPr>
            <w:r>
              <w:t>39.14</w:t>
            </w:r>
          </w:p>
        </w:tc>
        <w:tc>
          <w:tcPr>
            <w:tcW w:w="1134" w:type="dxa"/>
            <w:vAlign w:val="center"/>
          </w:tcPr>
          <w:p w14:paraId="165B1009">
            <w:pPr>
              <w:pStyle w:val="12"/>
            </w:pPr>
            <w:r>
              <w:t>茶几</w:t>
            </w:r>
          </w:p>
        </w:tc>
        <w:tc>
          <w:tcPr>
            <w:tcW w:w="1134" w:type="dxa"/>
            <w:vAlign w:val="center"/>
          </w:tcPr>
          <w:p w14:paraId="00F516FA">
            <w:pPr>
              <w:pStyle w:val="12"/>
            </w:pPr>
            <w:r>
              <w:t>A05010204</w:t>
            </w:r>
          </w:p>
        </w:tc>
        <w:tc>
          <w:tcPr>
            <w:tcW w:w="709" w:type="dxa"/>
            <w:vAlign w:val="center"/>
          </w:tcPr>
          <w:p w14:paraId="380BD86B">
            <w:pPr>
              <w:pStyle w:val="13"/>
            </w:pPr>
            <w:r>
              <w:t>个</w:t>
            </w:r>
          </w:p>
        </w:tc>
        <w:tc>
          <w:tcPr>
            <w:tcW w:w="850" w:type="dxa"/>
            <w:vAlign w:val="center"/>
          </w:tcPr>
          <w:p w14:paraId="17CE2435">
            <w:pPr>
              <w:pStyle w:val="11"/>
            </w:pPr>
            <w:r>
              <w:t>5</w:t>
            </w:r>
          </w:p>
        </w:tc>
        <w:tc>
          <w:tcPr>
            <w:tcW w:w="850" w:type="dxa"/>
            <w:vAlign w:val="center"/>
          </w:tcPr>
          <w:p w14:paraId="0D9749C9">
            <w:pPr>
              <w:pStyle w:val="11"/>
            </w:pPr>
            <w:r>
              <w:t>0.05</w:t>
            </w:r>
          </w:p>
        </w:tc>
        <w:tc>
          <w:tcPr>
            <w:tcW w:w="964" w:type="dxa"/>
            <w:vAlign w:val="center"/>
          </w:tcPr>
          <w:p w14:paraId="3A34226C">
            <w:pPr>
              <w:pStyle w:val="11"/>
            </w:pPr>
            <w:r>
              <w:t>0.23</w:t>
            </w:r>
          </w:p>
        </w:tc>
        <w:tc>
          <w:tcPr>
            <w:tcW w:w="964" w:type="dxa"/>
            <w:vAlign w:val="center"/>
          </w:tcPr>
          <w:p w14:paraId="733B9872">
            <w:pPr>
              <w:pStyle w:val="11"/>
            </w:pPr>
            <w:r>
              <w:t>0.23</w:t>
            </w:r>
          </w:p>
        </w:tc>
        <w:tc>
          <w:tcPr>
            <w:tcW w:w="964" w:type="dxa"/>
            <w:vAlign w:val="center"/>
          </w:tcPr>
          <w:p w14:paraId="51AC4D5E">
            <w:pPr>
              <w:pStyle w:val="11"/>
            </w:pPr>
          </w:p>
        </w:tc>
        <w:tc>
          <w:tcPr>
            <w:tcW w:w="964" w:type="dxa"/>
            <w:vAlign w:val="center"/>
          </w:tcPr>
          <w:p w14:paraId="4106E776">
            <w:pPr>
              <w:pStyle w:val="11"/>
            </w:pPr>
          </w:p>
        </w:tc>
        <w:tc>
          <w:tcPr>
            <w:tcW w:w="964" w:type="dxa"/>
            <w:vAlign w:val="center"/>
          </w:tcPr>
          <w:p w14:paraId="5A5D79EA">
            <w:pPr>
              <w:pStyle w:val="11"/>
            </w:pPr>
          </w:p>
        </w:tc>
        <w:tc>
          <w:tcPr>
            <w:tcW w:w="964" w:type="dxa"/>
            <w:vAlign w:val="center"/>
          </w:tcPr>
          <w:p w14:paraId="52B4AD7A">
            <w:pPr>
              <w:pStyle w:val="11"/>
            </w:pPr>
          </w:p>
        </w:tc>
        <w:tc>
          <w:tcPr>
            <w:tcW w:w="964" w:type="dxa"/>
            <w:vAlign w:val="center"/>
          </w:tcPr>
          <w:p w14:paraId="78DDACFD">
            <w:pPr>
              <w:pStyle w:val="11"/>
            </w:pPr>
          </w:p>
        </w:tc>
        <w:tc>
          <w:tcPr>
            <w:tcW w:w="964" w:type="dxa"/>
            <w:vAlign w:val="center"/>
          </w:tcPr>
          <w:p w14:paraId="0A6613A7">
            <w:pPr>
              <w:pStyle w:val="11"/>
            </w:pPr>
          </w:p>
        </w:tc>
        <w:tc>
          <w:tcPr>
            <w:tcW w:w="964" w:type="dxa"/>
            <w:vAlign w:val="center"/>
          </w:tcPr>
          <w:p w14:paraId="75963090">
            <w:pPr>
              <w:pStyle w:val="11"/>
            </w:pPr>
            <w:r>
              <w:t>0.23</w:t>
            </w:r>
          </w:p>
        </w:tc>
      </w:tr>
      <w:tr w14:paraId="5D87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51C77D">
            <w:pPr>
              <w:pStyle w:val="12"/>
            </w:pPr>
            <w:r>
              <w:t>冀财教[2025]147号/省级/2026年义教补助经费/唐尧街小学公用经费</w:t>
            </w:r>
          </w:p>
        </w:tc>
        <w:tc>
          <w:tcPr>
            <w:tcW w:w="964" w:type="dxa"/>
            <w:vAlign w:val="center"/>
          </w:tcPr>
          <w:p w14:paraId="52AE1E53">
            <w:pPr>
              <w:pStyle w:val="11"/>
            </w:pPr>
            <w:r>
              <w:t>39.14</w:t>
            </w:r>
          </w:p>
        </w:tc>
        <w:tc>
          <w:tcPr>
            <w:tcW w:w="1134" w:type="dxa"/>
            <w:vAlign w:val="center"/>
          </w:tcPr>
          <w:p w14:paraId="3F9C9329">
            <w:pPr>
              <w:pStyle w:val="12"/>
            </w:pPr>
            <w:r>
              <w:t>会议椅</w:t>
            </w:r>
          </w:p>
        </w:tc>
        <w:tc>
          <w:tcPr>
            <w:tcW w:w="1134" w:type="dxa"/>
            <w:vAlign w:val="center"/>
          </w:tcPr>
          <w:p w14:paraId="5FF090E8">
            <w:pPr>
              <w:pStyle w:val="12"/>
            </w:pPr>
            <w:r>
              <w:t>A05010303</w:t>
            </w:r>
          </w:p>
        </w:tc>
        <w:tc>
          <w:tcPr>
            <w:tcW w:w="709" w:type="dxa"/>
            <w:vAlign w:val="center"/>
          </w:tcPr>
          <w:p w14:paraId="36A847D4">
            <w:pPr>
              <w:pStyle w:val="13"/>
            </w:pPr>
            <w:r>
              <w:t>个</w:t>
            </w:r>
          </w:p>
        </w:tc>
        <w:tc>
          <w:tcPr>
            <w:tcW w:w="850" w:type="dxa"/>
            <w:vAlign w:val="center"/>
          </w:tcPr>
          <w:p w14:paraId="150B1621">
            <w:pPr>
              <w:pStyle w:val="11"/>
            </w:pPr>
            <w:r>
              <w:t>45</w:t>
            </w:r>
          </w:p>
        </w:tc>
        <w:tc>
          <w:tcPr>
            <w:tcW w:w="850" w:type="dxa"/>
            <w:vAlign w:val="center"/>
          </w:tcPr>
          <w:p w14:paraId="4DDA0208">
            <w:pPr>
              <w:pStyle w:val="11"/>
            </w:pPr>
            <w:r>
              <w:t>0.02</w:t>
            </w:r>
          </w:p>
        </w:tc>
        <w:tc>
          <w:tcPr>
            <w:tcW w:w="964" w:type="dxa"/>
            <w:vAlign w:val="center"/>
          </w:tcPr>
          <w:p w14:paraId="53763B7E">
            <w:pPr>
              <w:pStyle w:val="11"/>
            </w:pPr>
            <w:r>
              <w:t>0.90</w:t>
            </w:r>
          </w:p>
        </w:tc>
        <w:tc>
          <w:tcPr>
            <w:tcW w:w="964" w:type="dxa"/>
            <w:vAlign w:val="center"/>
          </w:tcPr>
          <w:p w14:paraId="3496AD38">
            <w:pPr>
              <w:pStyle w:val="11"/>
            </w:pPr>
            <w:r>
              <w:t>0.90</w:t>
            </w:r>
          </w:p>
        </w:tc>
        <w:tc>
          <w:tcPr>
            <w:tcW w:w="964" w:type="dxa"/>
            <w:vAlign w:val="center"/>
          </w:tcPr>
          <w:p w14:paraId="2E247446">
            <w:pPr>
              <w:pStyle w:val="11"/>
            </w:pPr>
          </w:p>
        </w:tc>
        <w:tc>
          <w:tcPr>
            <w:tcW w:w="964" w:type="dxa"/>
            <w:vAlign w:val="center"/>
          </w:tcPr>
          <w:p w14:paraId="523D3497">
            <w:pPr>
              <w:pStyle w:val="11"/>
            </w:pPr>
          </w:p>
        </w:tc>
        <w:tc>
          <w:tcPr>
            <w:tcW w:w="964" w:type="dxa"/>
            <w:vAlign w:val="center"/>
          </w:tcPr>
          <w:p w14:paraId="204B5FAA">
            <w:pPr>
              <w:pStyle w:val="11"/>
            </w:pPr>
          </w:p>
        </w:tc>
        <w:tc>
          <w:tcPr>
            <w:tcW w:w="964" w:type="dxa"/>
            <w:vAlign w:val="center"/>
          </w:tcPr>
          <w:p w14:paraId="40D62DAE">
            <w:pPr>
              <w:pStyle w:val="11"/>
            </w:pPr>
          </w:p>
        </w:tc>
        <w:tc>
          <w:tcPr>
            <w:tcW w:w="964" w:type="dxa"/>
            <w:vAlign w:val="center"/>
          </w:tcPr>
          <w:p w14:paraId="45D67587">
            <w:pPr>
              <w:pStyle w:val="11"/>
            </w:pPr>
          </w:p>
        </w:tc>
        <w:tc>
          <w:tcPr>
            <w:tcW w:w="964" w:type="dxa"/>
            <w:vAlign w:val="center"/>
          </w:tcPr>
          <w:p w14:paraId="5A273A97">
            <w:pPr>
              <w:pStyle w:val="11"/>
            </w:pPr>
          </w:p>
        </w:tc>
        <w:tc>
          <w:tcPr>
            <w:tcW w:w="964" w:type="dxa"/>
            <w:vAlign w:val="center"/>
          </w:tcPr>
          <w:p w14:paraId="79792150">
            <w:pPr>
              <w:pStyle w:val="11"/>
            </w:pPr>
            <w:r>
              <w:t>0.90</w:t>
            </w:r>
          </w:p>
        </w:tc>
      </w:tr>
      <w:tr w14:paraId="1C10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59F8B6">
            <w:pPr>
              <w:pStyle w:val="12"/>
            </w:pPr>
            <w:r>
              <w:t>冀财教[2025]147号/省级/2026年义教补助经费/唐尧街小学公用经费</w:t>
            </w:r>
          </w:p>
        </w:tc>
        <w:tc>
          <w:tcPr>
            <w:tcW w:w="964" w:type="dxa"/>
            <w:vAlign w:val="center"/>
          </w:tcPr>
          <w:p w14:paraId="584D7D28">
            <w:pPr>
              <w:pStyle w:val="11"/>
            </w:pPr>
            <w:r>
              <w:t>39.14</w:t>
            </w:r>
          </w:p>
        </w:tc>
        <w:tc>
          <w:tcPr>
            <w:tcW w:w="1134" w:type="dxa"/>
            <w:vAlign w:val="center"/>
          </w:tcPr>
          <w:p w14:paraId="74E1FD7C">
            <w:pPr>
              <w:pStyle w:val="12"/>
            </w:pPr>
            <w:r>
              <w:t>单人沙发</w:t>
            </w:r>
          </w:p>
        </w:tc>
        <w:tc>
          <w:tcPr>
            <w:tcW w:w="1134" w:type="dxa"/>
            <w:vAlign w:val="center"/>
          </w:tcPr>
          <w:p w14:paraId="526C28A1">
            <w:pPr>
              <w:pStyle w:val="12"/>
            </w:pPr>
            <w:r>
              <w:t>A05010402</w:t>
            </w:r>
          </w:p>
        </w:tc>
        <w:tc>
          <w:tcPr>
            <w:tcW w:w="709" w:type="dxa"/>
            <w:vAlign w:val="center"/>
          </w:tcPr>
          <w:p w14:paraId="06972214">
            <w:pPr>
              <w:pStyle w:val="13"/>
            </w:pPr>
            <w:r>
              <w:t>个</w:t>
            </w:r>
          </w:p>
        </w:tc>
        <w:tc>
          <w:tcPr>
            <w:tcW w:w="850" w:type="dxa"/>
            <w:vAlign w:val="center"/>
          </w:tcPr>
          <w:p w14:paraId="79F43C19">
            <w:pPr>
              <w:pStyle w:val="11"/>
            </w:pPr>
            <w:r>
              <w:t>2</w:t>
            </w:r>
          </w:p>
        </w:tc>
        <w:tc>
          <w:tcPr>
            <w:tcW w:w="850" w:type="dxa"/>
            <w:vAlign w:val="center"/>
          </w:tcPr>
          <w:p w14:paraId="6AB4A402">
            <w:pPr>
              <w:pStyle w:val="11"/>
            </w:pPr>
            <w:r>
              <w:t>0.13</w:t>
            </w:r>
          </w:p>
        </w:tc>
        <w:tc>
          <w:tcPr>
            <w:tcW w:w="964" w:type="dxa"/>
            <w:vAlign w:val="center"/>
          </w:tcPr>
          <w:p w14:paraId="62B7FC86">
            <w:pPr>
              <w:pStyle w:val="11"/>
            </w:pPr>
            <w:r>
              <w:t>0.26</w:t>
            </w:r>
          </w:p>
        </w:tc>
        <w:tc>
          <w:tcPr>
            <w:tcW w:w="964" w:type="dxa"/>
            <w:vAlign w:val="center"/>
          </w:tcPr>
          <w:p w14:paraId="540D5B86">
            <w:pPr>
              <w:pStyle w:val="11"/>
            </w:pPr>
            <w:r>
              <w:t>0.26</w:t>
            </w:r>
          </w:p>
        </w:tc>
        <w:tc>
          <w:tcPr>
            <w:tcW w:w="964" w:type="dxa"/>
            <w:vAlign w:val="center"/>
          </w:tcPr>
          <w:p w14:paraId="299DDD0D">
            <w:pPr>
              <w:pStyle w:val="11"/>
            </w:pPr>
          </w:p>
        </w:tc>
        <w:tc>
          <w:tcPr>
            <w:tcW w:w="964" w:type="dxa"/>
            <w:vAlign w:val="center"/>
          </w:tcPr>
          <w:p w14:paraId="6A743272">
            <w:pPr>
              <w:pStyle w:val="11"/>
            </w:pPr>
          </w:p>
        </w:tc>
        <w:tc>
          <w:tcPr>
            <w:tcW w:w="964" w:type="dxa"/>
            <w:vAlign w:val="center"/>
          </w:tcPr>
          <w:p w14:paraId="1753DC40">
            <w:pPr>
              <w:pStyle w:val="11"/>
            </w:pPr>
          </w:p>
        </w:tc>
        <w:tc>
          <w:tcPr>
            <w:tcW w:w="964" w:type="dxa"/>
            <w:vAlign w:val="center"/>
          </w:tcPr>
          <w:p w14:paraId="533EDE5B">
            <w:pPr>
              <w:pStyle w:val="11"/>
            </w:pPr>
          </w:p>
        </w:tc>
        <w:tc>
          <w:tcPr>
            <w:tcW w:w="964" w:type="dxa"/>
            <w:vAlign w:val="center"/>
          </w:tcPr>
          <w:p w14:paraId="65D6D3E9">
            <w:pPr>
              <w:pStyle w:val="11"/>
            </w:pPr>
          </w:p>
        </w:tc>
        <w:tc>
          <w:tcPr>
            <w:tcW w:w="964" w:type="dxa"/>
            <w:vAlign w:val="center"/>
          </w:tcPr>
          <w:p w14:paraId="056B7706">
            <w:pPr>
              <w:pStyle w:val="11"/>
            </w:pPr>
          </w:p>
        </w:tc>
        <w:tc>
          <w:tcPr>
            <w:tcW w:w="964" w:type="dxa"/>
            <w:vAlign w:val="center"/>
          </w:tcPr>
          <w:p w14:paraId="29CE49BE">
            <w:pPr>
              <w:pStyle w:val="11"/>
            </w:pPr>
            <w:r>
              <w:t>0.26</w:t>
            </w:r>
          </w:p>
        </w:tc>
      </w:tr>
      <w:tr w14:paraId="5156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DE8A12">
            <w:pPr>
              <w:pStyle w:val="12"/>
            </w:pPr>
            <w:r>
              <w:t>冀财教[2025]147号/省级/2026年义教补助经费/唐尧街小学公用经费</w:t>
            </w:r>
          </w:p>
        </w:tc>
        <w:tc>
          <w:tcPr>
            <w:tcW w:w="964" w:type="dxa"/>
            <w:vAlign w:val="center"/>
          </w:tcPr>
          <w:p w14:paraId="4102C50C">
            <w:pPr>
              <w:pStyle w:val="11"/>
            </w:pPr>
            <w:r>
              <w:t>39.14</w:t>
            </w:r>
          </w:p>
        </w:tc>
        <w:tc>
          <w:tcPr>
            <w:tcW w:w="1134" w:type="dxa"/>
            <w:vAlign w:val="center"/>
          </w:tcPr>
          <w:p w14:paraId="59BB005F">
            <w:pPr>
              <w:pStyle w:val="12"/>
            </w:pPr>
            <w:r>
              <w:t>书柜</w:t>
            </w:r>
          </w:p>
        </w:tc>
        <w:tc>
          <w:tcPr>
            <w:tcW w:w="1134" w:type="dxa"/>
            <w:vAlign w:val="center"/>
          </w:tcPr>
          <w:p w14:paraId="45864991">
            <w:pPr>
              <w:pStyle w:val="12"/>
            </w:pPr>
            <w:r>
              <w:t>A05010501</w:t>
            </w:r>
          </w:p>
        </w:tc>
        <w:tc>
          <w:tcPr>
            <w:tcW w:w="709" w:type="dxa"/>
            <w:vAlign w:val="center"/>
          </w:tcPr>
          <w:p w14:paraId="46C579EB">
            <w:pPr>
              <w:pStyle w:val="13"/>
            </w:pPr>
            <w:r>
              <w:t>组</w:t>
            </w:r>
          </w:p>
        </w:tc>
        <w:tc>
          <w:tcPr>
            <w:tcW w:w="850" w:type="dxa"/>
            <w:vAlign w:val="center"/>
          </w:tcPr>
          <w:p w14:paraId="675FA8BE">
            <w:pPr>
              <w:pStyle w:val="11"/>
            </w:pPr>
            <w:r>
              <w:t>27</w:t>
            </w:r>
          </w:p>
        </w:tc>
        <w:tc>
          <w:tcPr>
            <w:tcW w:w="850" w:type="dxa"/>
            <w:vAlign w:val="center"/>
          </w:tcPr>
          <w:p w14:paraId="64755217">
            <w:pPr>
              <w:pStyle w:val="11"/>
            </w:pPr>
            <w:r>
              <w:t>0.05</w:t>
            </w:r>
          </w:p>
        </w:tc>
        <w:tc>
          <w:tcPr>
            <w:tcW w:w="964" w:type="dxa"/>
            <w:vAlign w:val="center"/>
          </w:tcPr>
          <w:p w14:paraId="5CEFD465">
            <w:pPr>
              <w:pStyle w:val="11"/>
            </w:pPr>
            <w:r>
              <w:t>1.35</w:t>
            </w:r>
          </w:p>
        </w:tc>
        <w:tc>
          <w:tcPr>
            <w:tcW w:w="964" w:type="dxa"/>
            <w:vAlign w:val="center"/>
          </w:tcPr>
          <w:p w14:paraId="479CF895">
            <w:pPr>
              <w:pStyle w:val="11"/>
            </w:pPr>
            <w:r>
              <w:t>1.35</w:t>
            </w:r>
          </w:p>
        </w:tc>
        <w:tc>
          <w:tcPr>
            <w:tcW w:w="964" w:type="dxa"/>
            <w:vAlign w:val="center"/>
          </w:tcPr>
          <w:p w14:paraId="7CF8E065">
            <w:pPr>
              <w:pStyle w:val="11"/>
            </w:pPr>
          </w:p>
        </w:tc>
        <w:tc>
          <w:tcPr>
            <w:tcW w:w="964" w:type="dxa"/>
            <w:vAlign w:val="center"/>
          </w:tcPr>
          <w:p w14:paraId="5374206D">
            <w:pPr>
              <w:pStyle w:val="11"/>
            </w:pPr>
          </w:p>
        </w:tc>
        <w:tc>
          <w:tcPr>
            <w:tcW w:w="964" w:type="dxa"/>
            <w:vAlign w:val="center"/>
          </w:tcPr>
          <w:p w14:paraId="05FBE09B">
            <w:pPr>
              <w:pStyle w:val="11"/>
            </w:pPr>
          </w:p>
        </w:tc>
        <w:tc>
          <w:tcPr>
            <w:tcW w:w="964" w:type="dxa"/>
            <w:vAlign w:val="center"/>
          </w:tcPr>
          <w:p w14:paraId="274528B1">
            <w:pPr>
              <w:pStyle w:val="11"/>
            </w:pPr>
          </w:p>
        </w:tc>
        <w:tc>
          <w:tcPr>
            <w:tcW w:w="964" w:type="dxa"/>
            <w:vAlign w:val="center"/>
          </w:tcPr>
          <w:p w14:paraId="12F8D0E5">
            <w:pPr>
              <w:pStyle w:val="11"/>
            </w:pPr>
          </w:p>
        </w:tc>
        <w:tc>
          <w:tcPr>
            <w:tcW w:w="964" w:type="dxa"/>
            <w:vAlign w:val="center"/>
          </w:tcPr>
          <w:p w14:paraId="0055BCFC">
            <w:pPr>
              <w:pStyle w:val="11"/>
            </w:pPr>
          </w:p>
        </w:tc>
        <w:tc>
          <w:tcPr>
            <w:tcW w:w="964" w:type="dxa"/>
            <w:vAlign w:val="center"/>
          </w:tcPr>
          <w:p w14:paraId="45A40DF0">
            <w:pPr>
              <w:pStyle w:val="11"/>
            </w:pPr>
            <w:r>
              <w:t>1.35</w:t>
            </w:r>
          </w:p>
        </w:tc>
      </w:tr>
      <w:tr w14:paraId="4944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841818">
            <w:pPr>
              <w:pStyle w:val="12"/>
            </w:pPr>
            <w:r>
              <w:t>冀财教[2025]147号/省级/2026年义教补助经费/唐尧街小学公用经费</w:t>
            </w:r>
          </w:p>
        </w:tc>
        <w:tc>
          <w:tcPr>
            <w:tcW w:w="964" w:type="dxa"/>
            <w:vAlign w:val="center"/>
          </w:tcPr>
          <w:p w14:paraId="0DD725C4">
            <w:pPr>
              <w:pStyle w:val="11"/>
            </w:pPr>
            <w:r>
              <w:t>39.14</w:t>
            </w:r>
          </w:p>
        </w:tc>
        <w:tc>
          <w:tcPr>
            <w:tcW w:w="1134" w:type="dxa"/>
            <w:vAlign w:val="center"/>
          </w:tcPr>
          <w:p w14:paraId="5DD809F5">
            <w:pPr>
              <w:pStyle w:val="12"/>
            </w:pPr>
            <w:r>
              <w:t>书柜</w:t>
            </w:r>
          </w:p>
        </w:tc>
        <w:tc>
          <w:tcPr>
            <w:tcW w:w="1134" w:type="dxa"/>
            <w:vAlign w:val="center"/>
          </w:tcPr>
          <w:p w14:paraId="6EF6F2DD">
            <w:pPr>
              <w:pStyle w:val="12"/>
            </w:pPr>
            <w:r>
              <w:t>A05010501</w:t>
            </w:r>
          </w:p>
        </w:tc>
        <w:tc>
          <w:tcPr>
            <w:tcW w:w="709" w:type="dxa"/>
            <w:vAlign w:val="center"/>
          </w:tcPr>
          <w:p w14:paraId="0DE76893">
            <w:pPr>
              <w:pStyle w:val="13"/>
            </w:pPr>
            <w:r>
              <w:t xml:space="preserve">组 </w:t>
            </w:r>
          </w:p>
        </w:tc>
        <w:tc>
          <w:tcPr>
            <w:tcW w:w="850" w:type="dxa"/>
            <w:vAlign w:val="center"/>
          </w:tcPr>
          <w:p w14:paraId="67E24E0B">
            <w:pPr>
              <w:pStyle w:val="11"/>
            </w:pPr>
            <w:r>
              <w:t>45</w:t>
            </w:r>
          </w:p>
        </w:tc>
        <w:tc>
          <w:tcPr>
            <w:tcW w:w="850" w:type="dxa"/>
            <w:vAlign w:val="center"/>
          </w:tcPr>
          <w:p w14:paraId="48B9C484">
            <w:pPr>
              <w:pStyle w:val="11"/>
            </w:pPr>
            <w:r>
              <w:t>0.10</w:t>
            </w:r>
          </w:p>
        </w:tc>
        <w:tc>
          <w:tcPr>
            <w:tcW w:w="964" w:type="dxa"/>
            <w:vAlign w:val="center"/>
          </w:tcPr>
          <w:p w14:paraId="56A481F5">
            <w:pPr>
              <w:pStyle w:val="11"/>
            </w:pPr>
            <w:r>
              <w:t>4.28</w:t>
            </w:r>
          </w:p>
        </w:tc>
        <w:tc>
          <w:tcPr>
            <w:tcW w:w="964" w:type="dxa"/>
            <w:vAlign w:val="center"/>
          </w:tcPr>
          <w:p w14:paraId="7FF179EF">
            <w:pPr>
              <w:pStyle w:val="11"/>
            </w:pPr>
            <w:r>
              <w:t>4.28</w:t>
            </w:r>
          </w:p>
        </w:tc>
        <w:tc>
          <w:tcPr>
            <w:tcW w:w="964" w:type="dxa"/>
            <w:vAlign w:val="center"/>
          </w:tcPr>
          <w:p w14:paraId="707862BF">
            <w:pPr>
              <w:pStyle w:val="11"/>
            </w:pPr>
          </w:p>
        </w:tc>
        <w:tc>
          <w:tcPr>
            <w:tcW w:w="964" w:type="dxa"/>
            <w:vAlign w:val="center"/>
          </w:tcPr>
          <w:p w14:paraId="68620936">
            <w:pPr>
              <w:pStyle w:val="11"/>
            </w:pPr>
          </w:p>
        </w:tc>
        <w:tc>
          <w:tcPr>
            <w:tcW w:w="964" w:type="dxa"/>
            <w:vAlign w:val="center"/>
          </w:tcPr>
          <w:p w14:paraId="53FBFD6C">
            <w:pPr>
              <w:pStyle w:val="11"/>
            </w:pPr>
          </w:p>
        </w:tc>
        <w:tc>
          <w:tcPr>
            <w:tcW w:w="964" w:type="dxa"/>
            <w:vAlign w:val="center"/>
          </w:tcPr>
          <w:p w14:paraId="16AE3FE3">
            <w:pPr>
              <w:pStyle w:val="11"/>
            </w:pPr>
          </w:p>
        </w:tc>
        <w:tc>
          <w:tcPr>
            <w:tcW w:w="964" w:type="dxa"/>
            <w:vAlign w:val="center"/>
          </w:tcPr>
          <w:p w14:paraId="4DE94610">
            <w:pPr>
              <w:pStyle w:val="11"/>
            </w:pPr>
          </w:p>
        </w:tc>
        <w:tc>
          <w:tcPr>
            <w:tcW w:w="964" w:type="dxa"/>
            <w:vAlign w:val="center"/>
          </w:tcPr>
          <w:p w14:paraId="025BA3D7">
            <w:pPr>
              <w:pStyle w:val="11"/>
            </w:pPr>
          </w:p>
        </w:tc>
        <w:tc>
          <w:tcPr>
            <w:tcW w:w="964" w:type="dxa"/>
            <w:vAlign w:val="center"/>
          </w:tcPr>
          <w:p w14:paraId="651F1F61">
            <w:pPr>
              <w:pStyle w:val="11"/>
            </w:pPr>
            <w:r>
              <w:t>4.28</w:t>
            </w:r>
          </w:p>
        </w:tc>
      </w:tr>
    </w:tbl>
    <w:p w14:paraId="3FFCBC1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A9706D">
      <w:pPr>
        <w:spacing w:before="0" w:after="0"/>
        <w:ind w:firstLine="640"/>
        <w:jc w:val="left"/>
        <w:outlineLvl w:val="9"/>
      </w:pPr>
      <w:r>
        <w:rPr>
          <w:rFonts w:ascii="Times New Roman" w:hAnsi="Times New Roman" w:eastAsia="方正仿宋_GBK" w:cs="Times New Roman"/>
          <w:color w:val="000000"/>
          <w:sz w:val="32"/>
        </w:rPr>
        <w:t xml:space="preserve"> </w:t>
      </w:r>
    </w:p>
    <w:p w14:paraId="717F2692">
      <w:pPr>
        <w:spacing w:before="10" w:after="10" w:line="240" w:lineRule="auto"/>
        <w:ind w:firstLine="640"/>
        <w:jc w:val="left"/>
        <w:outlineLvl w:val="5"/>
      </w:pPr>
      <w:r>
        <w:rPr>
          <w:rFonts w:ascii="黑体" w:hAnsi="黑体" w:eastAsia="黑体" w:cs="黑体"/>
          <w:color w:val="000000"/>
          <w:sz w:val="32"/>
        </w:rPr>
        <w:t>七、国有资产信息</w:t>
      </w:r>
    </w:p>
    <w:p w14:paraId="0C57EE68">
      <w:pPr>
        <w:spacing w:before="0" w:after="0" w:line="500" w:lineRule="exact"/>
        <w:ind w:firstLine="560"/>
        <w:jc w:val="left"/>
        <w:outlineLvl w:val="9"/>
      </w:pPr>
      <w:r>
        <w:rPr>
          <w:rFonts w:ascii="Times New Roman" w:hAnsi="Times New Roman" w:eastAsia="方正仿宋_GBK" w:cs="Times New Roman"/>
          <w:b w:val="0"/>
          <w:color w:val="000000"/>
          <w:sz w:val="28"/>
        </w:rPr>
        <w:t>隆尧县唐尧街小学上年末固定资产金额为7680.57万元（详见下表）。本年度拟购置固定资产总额为0.00万元，已按要求列入政府采购预算，详见政府采购预算表。</w:t>
      </w:r>
    </w:p>
    <w:p w14:paraId="59B79D2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14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09AB04">
            <w:pPr>
              <w:pStyle w:val="9"/>
            </w:pPr>
            <w:r>
              <w:t>360039隆尧县唐尧街小学</w:t>
            </w:r>
          </w:p>
        </w:tc>
        <w:tc>
          <w:tcPr>
            <w:tcW w:w="5670" w:type="dxa"/>
            <w:gridSpan w:val="2"/>
            <w:tcBorders>
              <w:top w:val="single" w:color="FFFFFF" w:sz="6" w:space="0"/>
              <w:left w:val="single" w:color="FFFFFF" w:sz="6" w:space="0"/>
              <w:right w:val="single" w:color="FFFFFF" w:sz="6" w:space="0"/>
            </w:tcBorders>
            <w:vAlign w:val="center"/>
          </w:tcPr>
          <w:p w14:paraId="595E3B09">
            <w:pPr>
              <w:pStyle w:val="7"/>
            </w:pPr>
            <w:r>
              <w:t>截止时间：2025-12-31</w:t>
            </w:r>
          </w:p>
        </w:tc>
      </w:tr>
      <w:tr w14:paraId="1C6E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CED455">
            <w:pPr>
              <w:pStyle w:val="10"/>
            </w:pPr>
            <w:r>
              <w:t>项   目</w:t>
            </w:r>
          </w:p>
        </w:tc>
        <w:tc>
          <w:tcPr>
            <w:tcW w:w="2835" w:type="dxa"/>
            <w:vAlign w:val="center"/>
          </w:tcPr>
          <w:p w14:paraId="52747925">
            <w:pPr>
              <w:pStyle w:val="10"/>
            </w:pPr>
            <w:r>
              <w:t>数量</w:t>
            </w:r>
          </w:p>
        </w:tc>
        <w:tc>
          <w:tcPr>
            <w:tcW w:w="2835" w:type="dxa"/>
            <w:vAlign w:val="center"/>
          </w:tcPr>
          <w:p w14:paraId="764C3EC9">
            <w:pPr>
              <w:pStyle w:val="10"/>
            </w:pPr>
            <w:r>
              <w:t>价值（金额单位：万元）</w:t>
            </w:r>
          </w:p>
        </w:tc>
      </w:tr>
      <w:tr w14:paraId="1076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3401B3">
            <w:pPr>
              <w:pStyle w:val="12"/>
            </w:pPr>
            <w:r>
              <w:t>资产总额</w:t>
            </w:r>
          </w:p>
        </w:tc>
        <w:tc>
          <w:tcPr>
            <w:tcW w:w="2835" w:type="dxa"/>
            <w:vAlign w:val="center"/>
          </w:tcPr>
          <w:p w14:paraId="7E1AFD0F">
            <w:pPr>
              <w:pStyle w:val="13"/>
            </w:pPr>
          </w:p>
        </w:tc>
        <w:tc>
          <w:tcPr>
            <w:tcW w:w="2835" w:type="dxa"/>
            <w:vAlign w:val="center"/>
          </w:tcPr>
          <w:p w14:paraId="794B62D8">
            <w:pPr>
              <w:pStyle w:val="11"/>
            </w:pPr>
            <w:r>
              <w:t>7680.57</w:t>
            </w:r>
          </w:p>
        </w:tc>
      </w:tr>
      <w:tr w14:paraId="281D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EEF984">
            <w:pPr>
              <w:pStyle w:val="12"/>
            </w:pPr>
            <w:r>
              <w:t>1、房屋（平方米）</w:t>
            </w:r>
          </w:p>
        </w:tc>
        <w:tc>
          <w:tcPr>
            <w:tcW w:w="2835" w:type="dxa"/>
            <w:vAlign w:val="center"/>
          </w:tcPr>
          <w:p w14:paraId="14B1188A">
            <w:pPr>
              <w:pStyle w:val="13"/>
            </w:pPr>
            <w:r>
              <w:t>17384.10</w:t>
            </w:r>
          </w:p>
        </w:tc>
        <w:tc>
          <w:tcPr>
            <w:tcW w:w="2835" w:type="dxa"/>
            <w:vAlign w:val="center"/>
          </w:tcPr>
          <w:p w14:paraId="1BC74181">
            <w:pPr>
              <w:pStyle w:val="11"/>
            </w:pPr>
            <w:r>
              <w:t>6851.31</w:t>
            </w:r>
          </w:p>
        </w:tc>
      </w:tr>
      <w:tr w14:paraId="363B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A765D6">
            <w:pPr>
              <w:pStyle w:val="12"/>
            </w:pPr>
            <w:r>
              <w:t>　　其中：办公用房（平方米）</w:t>
            </w:r>
          </w:p>
        </w:tc>
        <w:tc>
          <w:tcPr>
            <w:tcW w:w="2835" w:type="dxa"/>
            <w:vAlign w:val="center"/>
          </w:tcPr>
          <w:p w14:paraId="344A5539">
            <w:pPr>
              <w:pStyle w:val="13"/>
            </w:pPr>
            <w:r>
              <w:t>2432.02</w:t>
            </w:r>
          </w:p>
        </w:tc>
        <w:tc>
          <w:tcPr>
            <w:tcW w:w="2835" w:type="dxa"/>
            <w:vAlign w:val="center"/>
          </w:tcPr>
          <w:p w14:paraId="79E9031D">
            <w:pPr>
              <w:pStyle w:val="11"/>
            </w:pPr>
            <w:r>
              <w:t>958.49</w:t>
            </w:r>
          </w:p>
        </w:tc>
      </w:tr>
      <w:tr w14:paraId="507A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ADB5A4">
            <w:pPr>
              <w:pStyle w:val="12"/>
            </w:pPr>
            <w:r>
              <w:t>2、车辆（台、辆）</w:t>
            </w:r>
          </w:p>
        </w:tc>
        <w:tc>
          <w:tcPr>
            <w:tcW w:w="2835" w:type="dxa"/>
            <w:vAlign w:val="center"/>
          </w:tcPr>
          <w:p w14:paraId="07E5B6F8">
            <w:pPr>
              <w:pStyle w:val="13"/>
            </w:pPr>
          </w:p>
        </w:tc>
        <w:tc>
          <w:tcPr>
            <w:tcW w:w="2835" w:type="dxa"/>
            <w:vAlign w:val="center"/>
          </w:tcPr>
          <w:p w14:paraId="1A0FD4AE">
            <w:pPr>
              <w:pStyle w:val="11"/>
            </w:pPr>
          </w:p>
        </w:tc>
      </w:tr>
      <w:tr w14:paraId="6C8B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BB6B97">
            <w:pPr>
              <w:pStyle w:val="12"/>
            </w:pPr>
            <w:r>
              <w:t>3、单价在20万元以上的设备</w:t>
            </w:r>
          </w:p>
        </w:tc>
        <w:tc>
          <w:tcPr>
            <w:tcW w:w="2835" w:type="dxa"/>
            <w:vAlign w:val="center"/>
          </w:tcPr>
          <w:p w14:paraId="0B3A19F6">
            <w:pPr>
              <w:pStyle w:val="13"/>
            </w:pPr>
            <w:r>
              <w:t>3</w:t>
            </w:r>
          </w:p>
        </w:tc>
        <w:tc>
          <w:tcPr>
            <w:tcW w:w="2835" w:type="dxa"/>
            <w:vAlign w:val="center"/>
          </w:tcPr>
          <w:p w14:paraId="78F85043">
            <w:pPr>
              <w:pStyle w:val="11"/>
            </w:pPr>
            <w:r>
              <w:t>68.50</w:t>
            </w:r>
          </w:p>
        </w:tc>
      </w:tr>
      <w:tr w14:paraId="357C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8D323C">
            <w:pPr>
              <w:pStyle w:val="12"/>
            </w:pPr>
            <w:r>
              <w:t>4、其他固定资产</w:t>
            </w:r>
          </w:p>
        </w:tc>
        <w:tc>
          <w:tcPr>
            <w:tcW w:w="2835" w:type="dxa"/>
            <w:vAlign w:val="center"/>
          </w:tcPr>
          <w:p w14:paraId="52FF3C32">
            <w:pPr>
              <w:pStyle w:val="13"/>
            </w:pPr>
            <w:r>
              <w:t>1431</w:t>
            </w:r>
          </w:p>
        </w:tc>
        <w:tc>
          <w:tcPr>
            <w:tcW w:w="2835" w:type="dxa"/>
            <w:vAlign w:val="center"/>
          </w:tcPr>
          <w:p w14:paraId="15B5807E">
            <w:pPr>
              <w:pStyle w:val="11"/>
            </w:pPr>
            <w:r>
              <w:t>760.75</w:t>
            </w:r>
          </w:p>
        </w:tc>
      </w:tr>
    </w:tbl>
    <w:p w14:paraId="1E736532">
      <w:pPr>
        <w:spacing w:before="0" w:after="0"/>
        <w:ind w:firstLine="640"/>
        <w:jc w:val="left"/>
        <w:outlineLvl w:val="9"/>
      </w:pPr>
      <w:r>
        <w:rPr>
          <w:rFonts w:ascii="Times New Roman" w:hAnsi="Times New Roman" w:eastAsia="方正仿宋_GBK" w:cs="Times New Roman"/>
          <w:color w:val="000000"/>
          <w:sz w:val="32"/>
        </w:rPr>
        <w:t xml:space="preserve"> </w:t>
      </w:r>
    </w:p>
    <w:p w14:paraId="072FE103">
      <w:pPr>
        <w:spacing w:before="10" w:after="10" w:line="240" w:lineRule="auto"/>
        <w:ind w:firstLine="640"/>
        <w:jc w:val="left"/>
        <w:outlineLvl w:val="5"/>
      </w:pPr>
      <w:r>
        <w:rPr>
          <w:rFonts w:ascii="黑体" w:hAnsi="黑体" w:eastAsia="黑体" w:cs="黑体"/>
          <w:color w:val="000000"/>
          <w:sz w:val="32"/>
        </w:rPr>
        <w:t>八、名词解释</w:t>
      </w:r>
    </w:p>
    <w:p w14:paraId="0313DE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66941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03A2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AC71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30FD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904FE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F6FE5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8DE76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7571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F1DB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4A1147">
      <w:pPr>
        <w:spacing w:before="10" w:after="10" w:line="240" w:lineRule="auto"/>
        <w:ind w:firstLine="640"/>
        <w:jc w:val="left"/>
        <w:outlineLvl w:val="5"/>
      </w:pPr>
      <w:r>
        <w:rPr>
          <w:rFonts w:ascii="黑体" w:hAnsi="黑体" w:eastAsia="黑体" w:cs="黑体"/>
          <w:color w:val="000000"/>
          <w:sz w:val="32"/>
        </w:rPr>
        <w:t>九、其他需要说明的事项</w:t>
      </w:r>
    </w:p>
    <w:p w14:paraId="62819E4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D3E4BE">
    <w:pPr>
      <w:jc w:val="right"/>
    </w:pPr>
    <w:r>
      <w:fldChar w:fldCharType="begin"/>
    </w:r>
    <w:r>
      <w:instrText xml:space="preserve">PAGE "page number"</w:instrText>
    </w:r>
    <w:r>
      <w:fldChar w:fldCharType="separate"/>
    </w:r>
    <w:r>
      <w:t>1627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CB729">
    <w:pPr>
      <w:jc w:val="left"/>
    </w:pPr>
    <w:r>
      <w:fldChar w:fldCharType="begin"/>
    </w:r>
    <w:r>
      <w:instrText xml:space="preserve">PAGE "page number"</w:instrText>
    </w:r>
    <w:r>
      <w:fldChar w:fldCharType="separate"/>
    </w:r>
    <w:r>
      <w:t>1626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BC764B"/>
    <w:rsid w:val="11EB7CC0"/>
    <w:rsid w:val="129021B5"/>
    <w:rsid w:val="12E97662"/>
    <w:rsid w:val="12FB6FE8"/>
    <w:rsid w:val="13017126"/>
    <w:rsid w:val="1A6A14B2"/>
    <w:rsid w:val="1C23556A"/>
    <w:rsid w:val="1CB6777E"/>
    <w:rsid w:val="1FCC6BB9"/>
    <w:rsid w:val="21271830"/>
    <w:rsid w:val="23955CDE"/>
    <w:rsid w:val="24464FDE"/>
    <w:rsid w:val="26317FF4"/>
    <w:rsid w:val="27E20D38"/>
    <w:rsid w:val="29934A6D"/>
    <w:rsid w:val="2AA64C74"/>
    <w:rsid w:val="2BA051BE"/>
    <w:rsid w:val="2C963A2F"/>
    <w:rsid w:val="3146704B"/>
    <w:rsid w:val="317B75D7"/>
    <w:rsid w:val="318911AD"/>
    <w:rsid w:val="33E3258B"/>
    <w:rsid w:val="347A51A8"/>
    <w:rsid w:val="35885AF5"/>
    <w:rsid w:val="36D8209E"/>
    <w:rsid w:val="372D208E"/>
    <w:rsid w:val="373730E8"/>
    <w:rsid w:val="38FA4FF0"/>
    <w:rsid w:val="433F0E43"/>
    <w:rsid w:val="43E25291"/>
    <w:rsid w:val="4D1B69A4"/>
    <w:rsid w:val="4FB04ACD"/>
    <w:rsid w:val="51145BE4"/>
    <w:rsid w:val="56D504FC"/>
    <w:rsid w:val="588E120B"/>
    <w:rsid w:val="58D6152B"/>
    <w:rsid w:val="5C213BC4"/>
    <w:rsid w:val="5E6208F8"/>
    <w:rsid w:val="63101DE8"/>
    <w:rsid w:val="63CA5825"/>
    <w:rsid w:val="63E3341E"/>
    <w:rsid w:val="660D4F6C"/>
    <w:rsid w:val="67EE266A"/>
    <w:rsid w:val="682B789C"/>
    <w:rsid w:val="6C22291F"/>
    <w:rsid w:val="6C3D3BAD"/>
    <w:rsid w:val="6D6B4986"/>
    <w:rsid w:val="6E985C4F"/>
    <w:rsid w:val="6EA7112B"/>
    <w:rsid w:val="6F1956E5"/>
    <w:rsid w:val="70707057"/>
    <w:rsid w:val="736667A4"/>
    <w:rsid w:val="7398664D"/>
    <w:rsid w:val="79B86EB9"/>
    <w:rsid w:val="7C783E6A"/>
    <w:rsid w:val="7D0E6639"/>
    <w:rsid w:val="7D502D5B"/>
    <w:rsid w:val="7FA6722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正文-公1"/>
    <w:basedOn w:val="23"/>
    <w:next w:val="1"/>
    <w:qFormat/>
    <w:uiPriority w:val="0"/>
    <w:pPr>
      <w:ind w:firstLine="200" w:firstLineChars="200"/>
    </w:pPr>
  </w:style>
  <w:style w:type="paragraph" w:customStyle="1" w:styleId="2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2"/>
    <w:qFormat/>
    <w:uiPriority w:val="0"/>
    <w:pPr>
      <w:widowControl w:val="0"/>
      <w:jc w:val="both"/>
    </w:pPr>
    <w:rPr>
      <w:rFonts w:ascii="Times New Roman" w:hAnsi="Times New Roman" w:eastAsia="宋体" w:cs="Times New Roman"/>
      <w:kern w:val="2"/>
      <w:sz w:val="21"/>
      <w:lang w:val="en-US" w:eastAsia="zh-CN"/>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89e3736d-8303-4fe5-aa64-4ab1700311b2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463D1CED</paraID>
      <start>2</start>
      <end>10</end>
      <status>ignored</status>
      <modifiedWord/>
      <trackRevisions>false</trackRevisions>
    </reviewItem>
    <reviewItem>
      <errorID>3a9b2f65-4200-4433-bbe3-503728cf0984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1D6D93F8</paraID>
      <start>2</start>
      <end>10</end>
      <status>ignored</status>
      <modifiedWord/>
      <trackRevisions>false</trackRevisions>
    </reviewItem>
    <reviewItem>
      <errorID>ba133a78-381d-44b7-b9aa-a47b654b4ee8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334016C2</paraID>
      <start>2</start>
      <end>10</end>
      <status>ignored</status>
      <modifiedWord/>
      <trackRevisions>false</trackRevisions>
    </reviewItem>
    <reviewItem>
      <errorID>36242382-88b6-41ed-8c69-da0b3a7d60ca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394929C4</paraID>
      <start>13</start>
      <end>15</end>
      <status>modified</status>
      <modifiedWord>》《</modifiedWord>
      <trackRevisions>false</trackRevisions>
    </reviewItem>
    <reviewItem>
      <errorID>241fa564-2535-45c5-808b-a8501751f0e1</errorID>
      <errorWord>学习</errorWord>
      <group>L1_Word</group>
      <groupName>字词问题</groupName>
      <ability>L2_Typo</ability>
      <abilityName>字词错误</abilityName>
      <candidateList>
        <item>学校</item>
      </candidateList>
      <explain/>
      <paraID>16039DC5</paraID>
      <start>10</start>
      <end>12</end>
      <status>modified</status>
      <modifiedWord>学校</modifiedWord>
      <trackRevisions>false</trackRevisions>
    </reviewItem>
    <reviewItem>
      <errorID>ebdf56bd-4d49-46f9-9b53-512552bdb101</errorID>
      <errorWord>人次</errorWord>
      <group>L1_Word</group>
      <groupName>字词问题</groupName>
      <ability>L2_Typo</ability>
      <abilityName>字词错误</abilityName>
      <candidateList>
        <item>人才</item>
      </candidateList>
      <explain>（人材）réncái〈名〉❶德才兼备的人；有某种特长的人：～难得｜～辈出。❷〈口〉指美丽端正的相貌：一表～｜有几分～。</explain>
      <paraID> 3D6483F</paraID>
      <start>10</start>
      <end>12</end>
      <status>ignored</status>
      <modifiedWord/>
      <trackRevisions>false</trackRevisions>
    </reviewItem>
    <reviewItem>
      <errorID>12c0b392-2afe-4a79-9039-b087eecc1e51</errorID>
      <errorWord>推进</errorWord>
      <group>L1_Punc</group>
      <groupName>标点问题</groupName>
      <ability>L2_Punc</ability>
      <abilityName>标点符号检查</abilityName>
      <candidateList>
        <item>，推进</item>
      </candidateList>
      <explain/>
      <paraID> 9B51853</paraID>
      <start>26</start>
      <end>29</end>
      <status>modified</status>
      <modifiedWord>，推进</modifiedWord>
      <trackRevisions>false</trackRevisions>
    </reviewItem>
    <reviewItem>
      <errorID>1b6c0ee6-f8ea-4b51-9cc3-ec63ec65fa4c</errorID>
      <errorWord>指呈</errorWord>
      <group>L1_Word</group>
      <groupName>字词问题</groupName>
      <ability>L2_Typo</ability>
      <abilityName>字词错误</abilityName>
      <candidateList>
        <item>指导</item>
      </candidateList>
      <explain/>
      <paraID> 9B51853</paraID>
      <start>45</start>
      <end>47</end>
      <status>modified</status>
      <modifiedWord>指导</modifiedWord>
      <trackRevisions>false</trackRevisions>
    </reviewItem>
    <reviewItem>
      <errorID>46a06ed8-2c22-46c4-a4b0-d460146623a5</errorID>
      <errorWord>援助</errorWord>
      <group>L1_Punc</group>
      <groupName>标点问题</groupName>
      <ability>L2_Punc</ability>
      <abilityName>标点符号检查</abilityName>
      <candidateList>
        <item>援助。</item>
      </candidateList>
      <explain/>
      <paraID>3D983D07</paraID>
      <start>33</start>
      <end>36</end>
      <status>modified</status>
      <modifiedWord>援助。</modifiedWord>
      <trackRevisions>false</trackRevisions>
    </reviewItem>
    <reviewItem>
      <errorID>59ba6291-b33d-487f-9b5b-7d7a01554161</errorID>
      <errorWord>其它事项</errorWord>
      <group>L1_Word</group>
      <groupName>字词问题</groupName>
      <ability>L2_Typo</ability>
      <abilityName>字词错误</abilityName>
      <candidateList>
        <item>其他事项</item>
      </candidateList>
      <explain/>
      <paraID>1E9A4E52</paraID>
      <start>14</start>
      <end>18</end>
      <status>modified</status>
      <modifiedWord>其他事项</modifiedWord>
      <trackRevisions>false</trackRevisions>
    </reviewItem>
    <reviewItem>
      <errorID>bc28dcc9-d049-43bd-83b3-f491985ec826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1C8CD80</paraID>
      <start>0</start>
      <end>2</end>
      <status>ignored</status>
      <modifiedWord/>
      <trackRevisions>false</trackRevisions>
    </reviewItem>
    <reviewItem>
      <errorID>c8cf1ee9-8226-45b3-9cb7-c69b3fa1fb5c</errorID>
      <errorWord>收</errorWord>
      <group>L1_Word</group>
      <groupName>字词问题</groupName>
      <ability>L2_Typo</ability>
      <abilityName>字词错误</abilityName>
      <candidateList>
        <item>收入</item>
      </candidateList>
      <explain/>
      <paraID>4A579FB2</paraID>
      <start>19</start>
      <end>21</end>
      <status>modified</status>
      <modifiedWord>收入</modifiedWord>
      <trackRevisions>false</trackRevisions>
    </reviewItem>
    <reviewItem>
      <errorID>a78842d4-0ded-4789-9b0b-8b78ed658168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69EB3B50</paraID>
      <start>0</start>
      <end>2</end>
      <status>ignored</status>
      <modifiedWord/>
      <trackRevisions>false</trackRevisions>
    </reviewItem>
    <reviewItem>
      <errorID>ccd55b67-cac2-464d-a900-d14609a7189b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ED71626</paraID>
      <start>0</start>
      <end>2</end>
      <status>ignored</status>
      <modifiedWord/>
      <trackRevisions>false</trackRevisions>
    </reviewItem>
    <reviewItem>
      <errorID>d48cb2fd-63a8-43b0-bb6a-91de8e966aea</errorID>
      <errorWord>教育局</errorWord>
      <group>L1_Word</group>
      <groupName>字词问题</groupName>
      <ability>L2_Typo</ability>
      <abilityName>字词错误</abilityName>
      <candidateList>
        <item>教育</item>
      </candidateList>
      <explain>❶〈名〉按一定要求培养人的工作，主要指学校培养人的工作：初等～｜高等～｜成人～｜～方针。❷〈动〉按一定要求培养：教师的责任是～下一代成为德、智、体全面发展的有用人才。❸〈动〉用道理说服人使照着（规则、指示或要求等）做：说服～｜～干部要清正廉洁。</explain>
      <paraID>593864B3</paraID>
      <start>18</start>
      <end>20</end>
      <status>modified</status>
      <modifiedWord>教育</modifiedWord>
      <trackRevisions>false</trackRevisions>
    </reviewItem>
    <reviewItem>
      <errorID>831e0156-f541-4343-8b44-6f16d50e641d</errorID>
      <errorWord>)</errorWord>
      <group>L1_Format</group>
      <groupName>格式问题</groupName>
      <ability>L2_HalfPunc</ability>
      <abilityName>全半角检查</abilityName>
      <candidateList>
        <item>）</item>
      </candidateList>
      <explain>文本全半角错误。</explain>
      <paraID>684F8F95</paraID>
      <start>82</start>
      <end>83</end>
      <status>modified</status>
      <modifiedWord>）</modifiedWord>
      <trackRevisions>false</trackRevisions>
    </reviewItem>
    <reviewItem>
      <errorID>5d931ba3-58ca-4d83-a2fb-10b275567523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2A56F6E6</paraID>
      <start>0</start>
      <end>2</end>
      <status>ignored</status>
      <modifiedWord/>
      <trackRevisions>false</trackRevisions>
    </reviewItem>
    <reviewItem>
      <errorID>5a2b70d4-10c6-4f35-95ab-023fb2654d41</errorID>
      <errorWord>[2025]116号</errorWord>
      <group>L1_Knowledge</group>
      <groupName>知识性问题</groupName>
      <ability>L2_Knowledge</ability>
      <abilityName>其他知识</abilityName>
      <candidateList>
        <item>〔2025〕116号</item>
      </candidateList>
      <explain>发文字号格式错误。</explain>
      <paraID>2A56F6E6</paraID>
      <start>5</start>
      <end>15</end>
      <status>ignored</status>
      <modifiedWord/>
      <trackRevisions>false</trackRevisions>
    </reviewItem>
    <reviewItem>
      <errorID>49c9a35e-dbc8-4ff7-92c8-9caa8cbfa80c</errorID>
      <errorWord>[2025]116号</errorWord>
      <group>L1_Knowledge</group>
      <groupName>知识性问题</groupName>
      <ability>L2_Knowledge</ability>
      <abilityName>其他知识</abilityName>
      <candidateList>
        <item>〔2025〕116号</item>
      </candidateList>
      <explain>发文字号格式错误。</explain>
      <paraID>416AC2F0</paraID>
      <start>3</start>
      <end>13</end>
      <status>ignored</status>
      <modifiedWord/>
      <trackRevisions>false</trackRevisions>
    </reviewItem>
    <reviewItem>
      <errorID>65bb15cf-ed37-44f3-b485-857a71d72b5b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22DC0216</paraID>
      <start>0</start>
      <end>2</end>
      <status>ignored</status>
      <modifiedWord/>
      <trackRevisions>false</trackRevisions>
    </reviewItem>
    <reviewItem>
      <errorID>5efbd3a7-fc9c-48eb-90a2-6e61e0a5893c</errorID>
      <errorWord>[2025]116号</errorWord>
      <group>L1_Knowledge</group>
      <groupName>知识性问题</groupName>
      <ability>L2_Knowledge</ability>
      <abilityName>其他知识</abilityName>
      <candidateList>
        <item>〔2025〕116号</item>
      </candidateList>
      <explain>发文字号格式错误。</explain>
      <paraID>22DC0216</paraID>
      <start>5</start>
      <end>15</end>
      <status>ignored</status>
      <modifiedWord/>
      <trackRevisions>false</trackRevisions>
    </reviewItem>
    <reviewItem>
      <errorID>b074235c-f25c-4d6e-b27b-64acdc23b0f6</errorID>
      <errorWord>[2025]116号</errorWord>
      <group>L1_Knowledge</group>
      <groupName>知识性问题</groupName>
      <ability>L2_Knowledge</ability>
      <abilityName>其他知识</abilityName>
      <candidateList>
        <item>〔2025〕116号</item>
      </candidateList>
      <explain>发文字号格式错误。</explain>
      <paraID>608EDDF7</paraID>
      <start>3</start>
      <end>13</end>
      <status>ignored</status>
      <modifiedWord/>
      <trackRevisions>false</trackRevisions>
    </reviewItem>
    <reviewItem>
      <errorID>3a2423a5-540a-4168-9d75-1158985ed4e4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12809ADC</paraID>
      <start>0</start>
      <end>2</end>
      <status>ignored</status>
      <modifiedWord/>
      <trackRevisions>false</trackRevisions>
    </reviewItem>
    <reviewItem>
      <errorID>d0f71d3a-5d70-47ad-8de5-acf873bf21ec</errorID>
      <errorWord>[2025]116号</errorWord>
      <group>L1_Knowledge</group>
      <groupName>知识性问题</groupName>
      <ability>L2_Knowledge</ability>
      <abilityName>其他知识</abilityName>
      <candidateList>
        <item>〔2025〕116号</item>
      </candidateList>
      <explain>发文字号格式错误。</explain>
      <paraID>12809ADC</paraID>
      <start>5</start>
      <end>15</end>
      <status>ignored</status>
      <modifiedWord/>
      <trackRevisions>false</trackRevisions>
    </reviewItem>
    <reviewItem>
      <errorID>5d5beb28-2dff-407d-b043-bd60aad0a8ef</errorID>
      <errorWord>[2025]116号</errorWord>
      <group>L1_Knowledge</group>
      <groupName>知识性问题</groupName>
      <ability>L2_Knowledge</ability>
      <abilityName>其他知识</abilityName>
      <candidateList>
        <item>〔2025〕116号</item>
      </candidateList>
      <explain>发文字号格式错误。</explain>
      <paraID>773C45FF</paraID>
      <start>3</start>
      <end>13</end>
      <status>ignored</status>
      <modifiedWord/>
      <trackRevisions>false</trackRevisions>
    </reviewItem>
    <reviewItem>
      <errorID>3770070c-a7d0-47ee-8466-6527c5c7efd0</errorID>
      <errorWord>困难</errorWord>
      <group>L1_Grammar</group>
      <groupName>语法问题</groupName>
      <ability>L2_Grammar</ability>
      <abilityName>语法错误</abilityName>
      <candidateList>
        <item>经济困难</item>
      </candidateList>
      <explain/>
      <paraID>62A61856</paraID>
      <start>24</start>
      <end>26</end>
      <status>ignored</status>
      <modifiedWord/>
      <trackRevisions>false</trackRevisions>
    </reviewItem>
    <reviewItem>
      <errorID>f7c0e678-6eb8-4d8c-8e95-4452db9f2ab2</errorID>
      <errorWord>困难</errorWord>
      <group>L1_Grammar</group>
      <groupName>语法问题</groupName>
      <ability>L2_Grammar</ability>
      <abilityName>语法错误</abilityName>
      <candidateList>
        <item>经济困难</item>
      </candidateList>
      <explain/>
      <paraID>207FB6D1</paraID>
      <start>26</start>
      <end>28</end>
      <status>ignored</status>
      <modifiedWord/>
      <trackRevisions>false</trackRevisions>
    </reviewItem>
    <reviewItem>
      <errorID>9f2ae687-5a71-4f10-a581-4cc3f2638d9d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4FC6B9F6</paraID>
      <start>0</start>
      <end>2</end>
      <status>ignored</status>
      <modifiedWord/>
      <trackRevisions>false</trackRevisions>
    </reviewItem>
    <reviewItem>
      <errorID>933dcced-4738-432f-aea7-acfb3885cb05</errorID>
      <errorWord>[2025]116号</errorWord>
      <group>L1_Knowledge</group>
      <groupName>知识性问题</groupName>
      <ability>L2_Knowledge</ability>
      <abilityName>其他知识</abilityName>
      <candidateList>
        <item>〔2025〕116号</item>
      </candidateList>
      <explain>发文字号格式错误。</explain>
      <paraID>4FC6B9F6</paraID>
      <start>5</start>
      <end>15</end>
      <status>ignored</status>
      <modifiedWord/>
      <trackRevisions>false</trackRevisions>
    </reviewItem>
    <reviewItem>
      <errorID>1750adfe-1d7a-492d-8d50-c3cf25a2b03b</errorID>
      <errorWord>[2025]116号</errorWord>
      <group>L1_Knowledge</group>
      <groupName>知识性问题</groupName>
      <ability>L2_Knowledge</ability>
      <abilityName>其他知识</abilityName>
      <candidateList>
        <item>〔2025〕116号</item>
      </candidateList>
      <explain>发文字号格式错误。</explain>
      <paraID>4D051C28</paraID>
      <start>3</start>
      <end>13</end>
      <status>ignored</status>
      <modifiedWord/>
      <trackRevisions>false</trackRevisions>
    </reviewItem>
    <reviewItem>
      <errorID>cb1af263-b985-47ff-a94c-28128ea9dcb1</errorID>
      <errorWord>20000</errorWord>
      <group>L1_Word</group>
      <groupName>字词问题</groupName>
      <ability>L2_Typo</ability>
      <abilityName>字词错误</abilityName>
      <candidateList>
        <item>2000</item>
      </candidateList>
      <explain/>
      <paraID>73C2E494</paraID>
      <start>2</start>
      <end>6</end>
      <status>modified</status>
      <modifiedWord>2000</modifiedWord>
      <trackRevisions>false</trackRevisions>
    </reviewItem>
    <reviewItem>
      <errorID>c318e1a9-ddc8-40c5-8548-cf8f60446cb2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50495A3D</paraID>
      <start>0</start>
      <end>2</end>
      <status>ignored</status>
      <modifiedWord/>
      <trackRevisions>false</trackRevisions>
    </reviewItem>
    <reviewItem>
      <errorID>ff3af780-8b03-4743-b49b-eeb850d452f4</errorID>
      <errorWord>[2025]116号</errorWord>
      <group>L1_Knowledge</group>
      <groupName>知识性问题</groupName>
      <ability>L2_Knowledge</ability>
      <abilityName>其他知识</abilityName>
      <candidateList>
        <item>〔2025〕116号</item>
      </candidateList>
      <explain>发文字号格式错误。</explain>
      <paraID>50495A3D</paraID>
      <start>5</start>
      <end>15</end>
      <status>ignored</status>
      <modifiedWord/>
      <trackRevisions>false</trackRevisions>
    </reviewItem>
    <reviewItem>
      <errorID>d64278eb-893d-4ead-9b7e-a432066d3284</errorID>
      <errorWord>[2025]116号</errorWord>
      <group>L1_Knowledge</group>
      <groupName>知识性问题</groupName>
      <ability>L2_Knowledge</ability>
      <abilityName>其他知识</abilityName>
      <candidateList>
        <item>〔2025〕116号</item>
      </candidateList>
      <explain>发文字号格式错误。</explain>
      <paraID>32A3CAEC</paraID>
      <start>3</start>
      <end>13</end>
      <status>ignored</status>
      <modifiedWord/>
      <trackRevisions>false</trackRevisions>
    </reviewItem>
    <reviewItem>
      <errorID>f7eb74c1-1e33-42de-9f9c-b8ca9ac3fc04</errorID>
      <errorWord>学生家长</errorWord>
      <group>L1_Punc</group>
      <groupName>标点问题</groupName>
      <ability>L2_Punc</ability>
      <abilityName>标点符号检查</abilityName>
      <candidateList>
        <item>，学生家长</item>
      </candidateList>
      <explain/>
      <paraID>30BFEAB9</paraID>
      <start>13</start>
      <end>18</end>
      <status>modified</status>
      <modifiedWord>，学生家长</modifiedWord>
      <trackRevisions>false</trackRevisions>
    </reviewItem>
    <reviewItem>
      <errorID>342efe16-b106-498b-ad95-6a8714ab7827</errorID>
      <errorWord>意</errorWord>
      <group>L1_Word</group>
      <groupName>字词问题</groupName>
      <ability>L2_Typo</ability>
      <abilityName>字词错误</abilityName>
      <candidateList>
        <item>意度</item>
      </candidateList>
      <explain/>
      <paraID>30BFEAB9</paraID>
      <start>19</start>
      <end>21</end>
      <status>modified</status>
      <modifiedWord>意度</modifiedWord>
      <trackRevisions>false</trackRevisions>
    </reviewItem>
    <reviewItem>
      <errorID>b5582917-81ba-40ce-8aa8-80fbdbc4d375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3FC76EE</paraID>
      <start>0</start>
      <end>2</end>
      <status>ignored</status>
      <modifiedWord/>
      <trackRevisions>false</trackRevisions>
    </reviewItem>
    <reviewItem>
      <errorID>3d2ff599-b4ac-4965-8a3d-e0bb4ccf0615</errorID>
      <errorWord>[2025]116号</errorWord>
      <group>L1_Knowledge</group>
      <groupName>知识性问题</groupName>
      <ability>L2_Knowledge</ability>
      <abilityName>其他知识</abilityName>
      <candidateList>
        <item>〔2025〕116号</item>
      </candidateList>
      <explain>发文字号格式错误。</explain>
      <paraID> 3FC76EE</paraID>
      <start>5</start>
      <end>15</end>
      <status>ignored</status>
      <modifiedWord/>
      <trackRevisions>false</trackRevisions>
    </reviewItem>
    <reviewItem>
      <errorID>70e89ccd-c154-430f-834e-1fe015ecbfdb</errorID>
      <errorWord>[2025]116号</errorWord>
      <group>L1_Knowledge</group>
      <groupName>知识性问题</groupName>
      <ability>L2_Knowledge</ability>
      <abilityName>其他知识</abilityName>
      <candidateList>
        <item>〔2025〕116号</item>
      </candidateList>
      <explain>发文字号格式错误。</explain>
      <paraID>7EB9E40F</paraID>
      <start>3</start>
      <end>13</end>
      <status>ignored</status>
      <modifiedWord/>
      <trackRevisions>false</trackRevisions>
    </reviewItem>
    <reviewItem>
      <errorID>f08cc2dc-ac0a-4e3d-82a9-38c154f51469</errorID>
      <errorWord>意</errorWord>
      <group>L1_Word</group>
      <groupName>字词问题</groupName>
      <ability>L2_Typo</ability>
      <abilityName>字词错误</abilityName>
      <candidateList>
        <item>意度</item>
      </candidateList>
      <explain/>
      <paraID>5A6C43C0</paraID>
      <start>18</start>
      <end>20</end>
      <status>modified</status>
      <modifiedWord>意度</modifiedWord>
      <trackRevisions>false</trackRevisions>
    </reviewItem>
    <reviewItem>
      <errorID>d7452efa-a46d-4659-85f9-0983644a5a5b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43D857E8</paraID>
      <start>0</start>
      <end>2</end>
      <status>ignored</status>
      <modifiedWord/>
      <trackRevisions>false</trackRevisions>
    </reviewItem>
    <reviewItem>
      <errorID>61c5cc99-6cf9-4f86-aa5c-6c0039993b05</errorID>
      <errorWord>[2025]116号</errorWord>
      <group>L1_Knowledge</group>
      <groupName>知识性问题</groupName>
      <ability>L2_Knowledge</ability>
      <abilityName>其他知识</abilityName>
      <candidateList>
        <item>〔2025〕116号</item>
      </candidateList>
      <explain>发文字号格式错误。</explain>
      <paraID>43D857E8</paraID>
      <start>5</start>
      <end>15</end>
      <status>ignored</status>
      <modifiedWord/>
      <trackRevisions>false</trackRevisions>
    </reviewItem>
    <reviewItem>
      <errorID>32a9ad70-0932-45c5-8e8e-9974a0ceb515</errorID>
      <errorWord>[2025]116号</errorWord>
      <group>L1_Knowledge</group>
      <groupName>知识性问题</groupName>
      <ability>L2_Knowledge</ability>
      <abilityName>其他知识</abilityName>
      <candidateList>
        <item>〔2025〕116号</item>
      </candidateList>
      <explain>发文字号格式错误。</explain>
      <paraID>3051CB88</paraID>
      <start>3</start>
      <end>13</end>
      <status>ignored</status>
      <modifiedWord/>
      <trackRevisions>false</trackRevisions>
    </reviewItem>
    <reviewItem>
      <errorID>c2c17f39-ac94-4f99-bb26-6cb6cd8e0f24</errorID>
      <errorWord>[2024]103号</errorWord>
      <group>L1_Knowledge</group>
      <groupName>知识性问题</groupName>
      <ability>L2_Knowledge</ability>
      <abilityName>其他知识</abilityName>
      <candidateList>
        <item>〔2024〕103号</item>
      </candidateList>
      <explain>发文字号格式错误。</explain>
      <paraID>33AEC9DF</paraID>
      <start>3</start>
      <end>13</end>
      <status>ignored</status>
      <modifiedWord/>
      <trackRevisions>false</trackRevisions>
    </reviewItem>
    <reviewItem>
      <errorID>ad9c0726-2769-47f6-afa1-cc027a450079</errorID>
      <errorWord>[2024]103号</errorWord>
      <group>L1_Knowledge</group>
      <groupName>知识性问题</groupName>
      <ability>L2_Knowledge</ability>
      <abilityName>其他知识</abilityName>
      <candidateList>
        <item>〔2024〕103号</item>
      </candidateList>
      <explain>发文字号格式错误。</explain>
      <paraID> 81C1002</paraID>
      <start>3</start>
      <end>13</end>
      <status>ignored</status>
      <modifiedWord/>
      <trackRevisions>false</trackRevisions>
    </reviewItem>
    <reviewItem>
      <errorID>7ee1d9e8-9730-47a4-90f8-481b7fe4bafa</errorID>
      <errorWord>/</errorWord>
      <group>L1_Word</group>
      <groupName>字词问题</groupName>
      <ability>L2_Typo</ability>
      <abilityName>字词错误</abilityName>
      <candidateList>
        <item>元/</item>
      </candidateList>
      <explain/>
      <paraID>6764824E</paraID>
      <start>13</start>
      <end>15</end>
      <status>modified</status>
      <modifiedWord>元/</modifiedWord>
      <trackRevisions>false</trackRevisions>
    </reviewItem>
    <reviewItem>
      <errorID>999fb2c8-91f2-4d8a-a4e2-0f01a3ef2786</errorID>
      <errorWord>[2024]103号</errorWord>
      <group>L1_Knowledge</group>
      <groupName>知识性问题</groupName>
      <ability>L2_Knowledge</ability>
      <abilityName>其他知识</abilityName>
      <candidateList>
        <item>〔2024〕103号</item>
      </candidateList>
      <explain>发文字号格式错误。</explain>
      <paraID>6017D481</paraID>
      <start>3</start>
      <end>13</end>
      <status>ignored</status>
      <modifiedWord/>
      <trackRevisions>false</trackRevisions>
    </reviewItem>
    <reviewItem>
      <errorID>60e31fb5-a6f0-4f9f-8518-bf6d8f87f8ba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3FA6A6CC</paraID>
      <start>0</start>
      <end>2</end>
      <status>ignored</status>
      <modifiedWord/>
      <trackRevisions>false</trackRevisions>
    </reviewItem>
    <reviewItem>
      <errorID>d419c8ce-a9c1-4a25-b993-2fc235b962f4</errorID>
      <errorWord>[2025]116号</errorWord>
      <group>L1_Knowledge</group>
      <groupName>知识性问题</groupName>
      <ability>L2_Knowledge</ability>
      <abilityName>其他知识</abilityName>
      <candidateList>
        <item>〔2025〕116号</item>
      </candidateList>
      <explain>发文字号格式错误。</explain>
      <paraID>3FA6A6CC</paraID>
      <start>5</start>
      <end>15</end>
      <status>ignored</status>
      <modifiedWord/>
      <trackRevisions>false</trackRevisions>
    </reviewItem>
    <reviewItem>
      <errorID>45809b4c-760f-4703-956a-06329d78bfd6</errorID>
      <errorWord>[2025]116号</errorWord>
      <group>L1_Knowledge</group>
      <groupName>知识性问题</groupName>
      <ability>L2_Knowledge</ability>
      <abilityName>其他知识</abilityName>
      <candidateList>
        <item>〔2025〕116号</item>
      </candidateList>
      <explain>发文字号格式错误。</explain>
      <paraID>58C35C49</paraID>
      <start>3</start>
      <end>13</end>
      <status>ignored</status>
      <modifiedWord/>
      <trackRevisions>false</trackRevisions>
    </reviewItem>
    <reviewItem>
      <errorID>6776cb41-fc80-494e-b5c2-d10f298b053e</errorID>
      <errorWord>【2024】103号</errorWord>
      <group>L1_Knowledge</group>
      <groupName>知识性问题</groupName>
      <ability>L2_Knowledge</ability>
      <abilityName>其他知识</abilityName>
      <candidateList>
        <item>〔2024〕103号</item>
      </candidateList>
      <explain>发文字号格式错误。</explain>
      <paraID> BFB7301</paraID>
      <start>3</start>
      <end>13</end>
      <status>ignored</status>
      <modifiedWord/>
      <trackRevisions>false</trackRevisions>
    </reviewItem>
    <reviewItem>
      <errorID>69c995b2-3e31-4980-868d-ce3c81efd5ed</errorID>
      <errorWord>【2024】103号</errorWord>
      <group>L1_Knowledge</group>
      <groupName>知识性问题</groupName>
      <ability>L2_Knowledge</ability>
      <abilityName>其他知识</abilityName>
      <candidateList>
        <item>〔2024〕103号</item>
      </candidateList>
      <explain>发文字号格式错误。</explain>
      <paraID>53EDFC37</paraID>
      <start>3</start>
      <end>13</end>
      <status>ignored</status>
      <modifiedWord/>
      <trackRevisions>false</trackRevisions>
    </reviewItem>
    <reviewItem>
      <errorID>a888ee41-1098-43c7-9142-76dd000d4f60</errorID>
      <errorWord>【2024】103号</errorWord>
      <group>L1_Knowledge</group>
      <groupName>知识性问题</groupName>
      <ability>L2_Knowledge</ability>
      <abilityName>其他知识</abilityName>
      <candidateList>
        <item>〔2024〕103号</item>
      </candidateList>
      <explain>发文字号格式错误。</explain>
      <paraID>5C69999F</paraID>
      <start>3</start>
      <end>13</end>
      <status>ignored</status>
      <modifiedWord/>
      <trackRevisions>false</trackRevisions>
    </reviewItem>
    <reviewItem>
      <errorID>b65f27b7-cbf2-479b-b2ee-18250ef224d0</errorID>
      <errorWord>【2024】103号</errorWord>
      <group>L1_Knowledge</group>
      <groupName>知识性问题</groupName>
      <ability>L2_Knowledge</ability>
      <abilityName>其他知识</abilityName>
      <candidateList>
        <item>〔2024〕103号</item>
      </candidateList>
      <explain>发文字号格式错误。</explain>
      <paraID>2412D6DC</paraID>
      <start>3</start>
      <end>13</end>
      <status>ignored</status>
      <modifiedWord/>
      <trackRevisions>false</trackRevisions>
    </reviewItem>
    <reviewItem>
      <errorID>6d20e808-14db-49bd-8b42-11919dd68bd6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4D3E36AE</paraID>
      <start>0</start>
      <end>2</end>
      <status>ignored</status>
      <modifiedWord/>
      <trackRevisions>false</trackRevisions>
    </reviewItem>
    <reviewItem>
      <errorID>1de9c8ce-8e43-47d1-baad-cd60b8d802af</errorID>
      <errorWord>寄四</errorWord>
      <group>L1_Word</group>
      <groupName>字词问题</groupName>
      <ability>L2_Typo</ability>
      <abilityName>字词错误</abilityName>
      <candidateList>
        <item>寄宿</item>
      </candidateList>
      <explain/>
      <paraID>693930DE</paraID>
      <start>10</start>
      <end>12</end>
      <status>modified</status>
      <modifiedWord>寄宿</modifiedWord>
      <trackRevisions>false</trackRevisions>
    </reviewItem>
    <reviewItem>
      <errorID>4c53750e-1eaf-4039-ab2c-0058ca355391</errorID>
      <errorWord>，</errorWord>
      <group>L1_Punc</group>
      <groupName>标点问题</groupName>
      <ability>L2_Punc</ability>
      <abilityName>标点符号检查</abilityName>
      <candidateList>
        <item>；</item>
      </candidateList>
      <explain/>
      <paraID>22B595C9</paraID>
      <start>20</start>
      <end>21</end>
      <status>modified</status>
      <modifiedWord>；</modifiedWord>
      <trackRevisions>false</trackRevisions>
    </reviewItem>
    <reviewItem>
      <errorID>64e2065b-8c28-495c-a1c7-0678191fb353</errorID>
      <errorWord>寄四</errorWord>
      <group>L1_Word</group>
      <groupName>字词问题</groupName>
      <ability>L2_Typo</ability>
      <abilityName>字词错误</abilityName>
      <candidateList>
        <item>寄宿</item>
      </candidateList>
      <explain/>
      <paraID>18EEC875</paraID>
      <start>10</start>
      <end>12</end>
      <status>modified</status>
      <modifiedWord>寄宿</modifiedWord>
      <trackRevisions>false</trackRevisions>
    </reviewItem>
    <reviewItem>
      <errorID>692f669c-ab1d-403a-863a-da3d45002c84</errorID>
      <errorWord>人</errorWord>
      <group>L1_Word</group>
      <groupName>字词问题</groupName>
      <ability>L2_Typo</ability>
      <abilityName>字词错误</abilityName>
      <candidateList>
        <item>生</item>
      </candidateList>
      <explain/>
      <paraID>1C10AF50</paraID>
      <start>31</start>
      <end>32</end>
      <status>modified</status>
      <modifiedWord>生</modifiedWord>
      <trackRevisions>false</trackRevisions>
    </reviewItem>
    <reviewItem>
      <errorID>1b9ae50e-099b-4b55-bb4a-f2a08fb67dc5</errorID>
      <errorWord>到达</errorWord>
      <group>L1_Word</group>
      <groupName>字词问题</groupName>
      <ability>L2_Typo</ability>
      <abilityName>字词错误</abilityName>
      <candidateList>
        <item>达到</item>
      </candidateList>
      <explain/>
      <paraID>1593FE48</paraID>
      <start>2</start>
      <end>4</end>
      <status>modified</status>
      <modifiedWord>达到</modifiedWord>
      <trackRevisions>false</trackRevisions>
    </reviewItem>
    <reviewItem>
      <errorID>ef8952d6-4516-45a7-aa69-f76b20f517a5</errorID>
      <errorWord>到达</errorWord>
      <group>L1_Word</group>
      <groupName>字词问题</groupName>
      <ability>L2_Typo</ability>
      <abilityName>字词错误</abilityName>
      <candidateList>
        <item>达到</item>
      </candidateList>
      <explain/>
      <paraID>  E55304</paraID>
      <start>4</start>
      <end>6</end>
      <status>modified</status>
      <modifiedWord>达到</modifiedWord>
      <trackRevisions>false</trackRevisions>
    </reviewItem>
    <reviewItem>
      <errorID>9be1e813-f4af-46b3-a350-8bb3713917e7</errorID>
      <errorWord>民办教师满意度</errorWord>
      <group>L1_Grammar</group>
      <groupName>语法问题</groupName>
      <ability>L2_Grammar</ability>
      <abilityName>语法错误</abilityName>
      <candidateList>
        <item>民办教师</item>
      </candidateList>
      <explain/>
      <paraID>69905448</paraID>
      <start>5</start>
      <end>9</end>
      <status>modified</status>
      <modifiedWord>民办教师</modifiedWord>
      <trackRevisions>false</trackRevisions>
    </reviewItem>
    <reviewItem>
      <errorID>5e532671-d64b-44bf-b5f9-643e4de623bc</errorID>
      <errorWord>学生家长</errorWord>
      <group>L1_Punc</group>
      <groupName>标点问题</groupName>
      <ability>L2_Punc</ability>
      <abilityName>标点符号检查</abilityName>
      <candidateList>
        <item>，学生家长</item>
      </candidateList>
      <explain/>
      <paraID>63BBA246</paraID>
      <start>13</start>
      <end>18</end>
      <status>modified</status>
      <modifiedWord>，学生家长</modifiedWord>
      <trackRevisions>false</trackRevisions>
    </reviewItem>
    <reviewItem>
      <errorID>90fc6c11-df83-4ae0-bc1e-1209ed93d7fe</errorID>
      <errorWord>意</errorWord>
      <group>L1_Word</group>
      <groupName>字词问题</groupName>
      <ability>L2_Typo</ability>
      <abilityName>字词错误</abilityName>
      <candidateList>
        <item>意度</item>
      </candidateList>
      <explain/>
      <paraID>63BBA246</paraID>
      <start>19</start>
      <end>21</end>
      <status>modified</status>
      <modifiedWord>意度</modifiedWord>
      <trackRevisions>false</trackRevisions>
    </reviewItem>
    <reviewItem>
      <errorID>33478fde-ab0a-47d3-8feb-2702101f3204</errorID>
      <errorWord>意</errorWord>
      <group>L1_Word</group>
      <groupName>字词问题</groupName>
      <ability>L2_Typo</ability>
      <abilityName>字词错误</abilityName>
      <candidateList>
        <item>意度</item>
      </candidateList>
      <explain/>
      <paraID>3C0E07E8</paraID>
      <start>18</start>
      <end>20</end>
      <status>modified</status>
      <modifiedWord>意度</modifiedWord>
      <trackRevisions>false</trackRevisions>
    </reviewItem>
    <reviewItem>
      <errorID>bbe7f640-b5d7-4366-9afe-bab5a472d324</errorID>
      <errorWord>寄四</errorWord>
      <group>L1_Word</group>
      <groupName>字词问题</groupName>
      <ability>L2_Typo</ability>
      <abilityName>字词错误</abilityName>
      <candidateList>
        <item>寄宿</item>
      </candidateList>
      <explain/>
      <paraID>6168B760</paraID>
      <start>10</start>
      <end>12</end>
      <status>modified</status>
      <modifiedWord>寄宿</modifiedWord>
      <trackRevisions>false</trackRevisions>
    </reviewItem>
    <reviewItem>
      <errorID>1b50e978-b1c0-4eef-b0db-bfed80b5a7be</errorID>
      <errorWord>寄四</errorWord>
      <group>L1_Word</group>
      <groupName>字词问题</groupName>
      <ability>L2_Typo</ability>
      <abilityName>字词错误</abilityName>
      <candidateList>
        <item>寄宿</item>
      </candidateList>
      <explain/>
      <paraID>26B639F5</paraID>
      <start>10</start>
      <end>12</end>
      <status>modified</status>
      <modifiedWord>寄宿</modifiedWord>
      <trackRevisions>false</trackRevisions>
    </reviewItem>
    <reviewItem>
      <errorID>7417218c-252e-466a-97d7-cd56e94a5f77</errorID>
      <errorWord>困难</errorWord>
      <group>L1_Grammar</group>
      <groupName>语法问题</groupName>
      <ability>L2_Grammar</ability>
      <abilityName>语法错误</abilityName>
      <candidateList>
        <item>经济困难</item>
      </candidateList>
      <explain/>
      <paraID>1498F4CE</paraID>
      <start>24</start>
      <end>26</end>
      <status>ignored</status>
      <modifiedWord/>
      <trackRevisions>false</trackRevisions>
    </reviewItem>
    <reviewItem>
      <errorID>e78b7a22-0d1f-45e2-9bbc-bbbd930843a0</errorID>
      <errorWord>经济</errorWord>
      <group>L1_Grammar</group>
      <groupName>语法问题</groupName>
      <ability>L2_Grammar</ability>
      <abilityName>语法错误</abilityName>
      <candidateList>
        <item>家庭经济</item>
      </candidateList>
      <explain/>
      <paraID> BD7E1DC</paraID>
      <start>2</start>
      <end>6</end>
      <status>modified</status>
      <modifiedWord>家庭经济</modifiedWord>
      <trackRevisions>false</trackRevisions>
    </reviewItem>
    <reviewItem>
      <errorID>3b943d66-36c4-4178-ac84-bf6bdbae6ddd</errorID>
      <errorWord>资助</errorWord>
      <group>L1_Grammar</group>
      <groupName>语法问题</groupName>
      <ability>L2_Grammar</ability>
      <abilityName>语法错误</abilityName>
      <candidateList>
        <item>学生资助</item>
      </candidateList>
      <explain/>
      <paraID> BD7E1DC</paraID>
      <start>8</start>
      <end>12</end>
      <status>modified</status>
      <modifiedWord>学生资助</modifiedWord>
      <trackRevisions>false</trackRevisions>
    </reviewItem>
    <reviewItem>
      <errorID>4892f494-2f74-49ed-b631-c45246ad3e96</errorID>
      <errorWord>满意度</errorWord>
      <group>L1_Word</group>
      <groupName>字词问题</groupName>
      <ability>L2_Typo</ability>
      <abilityName>字词错误</abilityName>
      <candidateList>
        <item>的满意度</item>
      </candidateList>
      <explain/>
      <paraID>26E28B60</paraID>
      <start>9</start>
      <end>13</end>
      <status>modified</status>
      <modifiedWord>的满意度</modifiedWord>
      <trackRevisions>false</trackRevisions>
    </reviewItem>
    <reviewItem>
      <errorID>61932206-1acb-4099-85d2-e24a1ab91d03</errorID>
      <errorWord>满意度情况</errorWord>
      <group>L1_Word</group>
      <groupName>字词问题</groupName>
      <ability>L2_Typo</ability>
      <abilityName>字词错误</abilityName>
      <candidateList>
        <item>的满意度</item>
      </candidateList>
      <explain/>
      <paraID>48E7CB4B</paraID>
      <start>17</start>
      <end>21</end>
      <status>modified</status>
      <modifiedWord>的满意度</modifiedWord>
      <trackRevisions>false</trackRevisions>
    </reviewItem>
    <reviewItem>
      <errorID>3a345a07-dd52-45e1-b663-191bb2d92edd</errorID>
      <errorWord>满意度情况</errorWord>
      <group>L1_Word</group>
      <groupName>字词问题</groupName>
      <ability>L2_Typo</ability>
      <abilityName>字词错误</abilityName>
      <candidateList>
        <item>的满意度</item>
      </candidateList>
      <explain/>
      <paraID>386EBD5E</paraID>
      <start>17</start>
      <end>21</end>
      <status>modified</status>
      <modifiedWord>的满意度</modifiedWord>
      <trackRevisions>false</trackRevisions>
    </reviewItem>
    <reviewItem>
      <errorID>a1d706ee-9a5f-4f55-930f-c61c0b15bedd</errorID>
      <errorWord>22、</errorWord>
      <group>L1_Format</group>
      <groupName>格式问题</groupName>
      <ability>L2_Ordinal</ability>
      <abilityName>序号格式</abilityName>
      <candidateList>
        <item>22.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278DD31F</paraID>
      <start>0</start>
      <end>3</end>
      <status>ignored</status>
      <modifiedWord/>
      <trackRevisions>false</trackRevisions>
    </reviewItem>
    <reviewItem>
      <errorID>fe0fa824-93e8-48b4-a0ff-b70bad8666a6</errorID>
      <errorWord>满意度</errorWord>
      <group>L1_Word</group>
      <groupName>字词问题</groupName>
      <ability>L2_Typo</ability>
      <abilityName>字词错误</abilityName>
      <candidateList>
        <item>的满意度</item>
      </candidateList>
      <explain/>
      <paraID>7D042A10</paraID>
      <start>7</start>
      <end>11</end>
      <status>modified</status>
      <modifiedWord>的满意度</modifiedWord>
      <trackRevisions>false</trackRevisions>
    </reviewItem>
    <reviewItem>
      <errorID>4736de7f-0e9f-41f4-a2c4-15b2a5b33e27</errorID>
      <errorWord>640000</errorWord>
      <group>L1_Word</group>
      <groupName>字词问题</groupName>
      <ability>L2_Typo</ability>
      <abilityName>字词错误</abilityName>
      <candidateList>
        <item>640,000</item>
      </candidateList>
      <explain/>
      <paraID> 815B463</paraID>
      <start>1</start>
      <end>7</end>
      <status>ignored</status>
      <modifiedWord/>
      <trackRevisions>false</trackRevisions>
    </reviewItem>
    <reviewItem>
      <errorID>92a82303-d20a-4ff5-a5ed-03fc9a13da6f</errorID>
      <errorWord>222306 </errorWord>
      <group>L1_Grammar</group>
      <groupName>语法问题</groupName>
      <ability>L2_Grammar</ability>
      <abilityName>语法错误</abilityName>
      <candidateList>
        <item>2,223,060</item>
      </candidateList>
      <explain/>
      <paraID>49BB0672</paraID>
      <start>0</start>
      <end>7</end>
      <status>ignored</status>
      <modifiedWord/>
      <trackRevisions>false</trackRevisions>
    </reviewItem>
    <reviewItem>
      <errorID>2563a3b7-1e34-4165-b8c3-0a03d643d27f</errorID>
      <errorWord>万元</errorWord>
      <group>L1_Word</group>
      <groupName>字词问题</groupName>
      <ability>L2_Typo</ability>
      <abilityName>字词错误</abilityName>
      <candidateList>
        <item>元</item>
      </candidateList>
      <explain/>
      <paraID>4F3810B6</paraID>
      <start>7</start>
      <end>9</end>
      <status>ignored</status>
      <modifiedWord/>
      <trackRevisions>false</trackRevisions>
    </reviewItem>
    <reviewItem>
      <errorID>ce6cdeba-1902-46ae-8e24-45356a1fe932</errorID>
      <errorWord>期的</errorWord>
      <group>L1_Word</group>
      <groupName>字词问题</groupName>
      <ability>L2_Typo</ability>
      <abilityName>字词错误</abilityName>
      <candidateList>
        <item>期</item>
      </candidateList>
      <explain/>
      <paraID>40916B5F</paraID>
      <start>58</start>
      <end>59</end>
      <status>modified</status>
      <modifiedWord>期</modifiedWord>
      <trackRevisions>false</trackRevisions>
    </reviewItem>
    <reviewItem>
      <errorID>18ff28dd-22d1-4a43-b40c-d7a522877c7d</errorID>
      <errorWord>期的</errorWord>
      <group>L1_Word</group>
      <groupName>字词问题</groupName>
      <ability>L2_Typo</ability>
      <abilityName>字词错误</abilityName>
      <candidateList>
        <item>期</item>
      </candidateList>
      <explain/>
      <paraID>3184DEB5</paraID>
      <start>60</start>
      <end>61</end>
      <status>modified</status>
      <modifiedWord>期</modifiedWord>
      <trackRevisions>false</trackRevisions>
    </reviewItem>
    <reviewItem>
      <errorID>454972de-a839-4c62-9fb5-a3d9b77b8574</errorID>
      <errorWord>力</errorWord>
      <group>L1_Word</group>
      <groupName>字词问题</groupName>
      <ability>L2_Typo</ability>
      <abilityName>字词错误</abilityName>
      <candidateList>
        <item>力提</item>
      </candidateList>
      <explain/>
      <paraID>527501C6</paraID>
      <start>5</start>
      <end>7</end>
      <status>modified</status>
      <modifiedWord>力提</modifiedWord>
      <trackRevisions>false</trackRevisions>
    </reviewItem>
    <reviewItem>
      <errorID>7c47bbc8-9a50-4663-ad61-b0ca5f55c1ee</errorID>
      <errorWord>工资</errorWord>
      <group>L1_Word</group>
      <groupName>字词问题</groupName>
      <ability>L2_Typo</ability>
      <abilityName>字词错误</abilityName>
      <candidateList>
        <item>工作</item>
      </candidateList>
      <explain>❶〈动〉从事体力或脑力劳动，也泛指机器、工具受人操纵而发挥生产作用：积极～｜开始～｜铲土机正在～。❷〈名〉职业：找～｜～没有贵贱之分。❸〈名〉业务；任务：～量｜宣传～｜工会～｜科学研究～。</explain>
      <paraID>299FB1E9</paraID>
      <start>4</start>
      <end>6</end>
      <status>modified</status>
      <modifiedWord>工作</modifiedWord>
      <trackRevisions>false</trackRevisions>
    </reviewItem>
    <reviewItem>
      <errorID>4fbe6cf9-305d-4009-b394-3d2852891d7d</errorID>
      <errorWord>工资</errorWord>
      <group>L1_Word</group>
      <groupName>字词问题</groupName>
      <ability>L2_Typo</ability>
      <abilityName>字词错误</abilityName>
      <candidateList>
        <item>工作</item>
      </candidateList>
      <explain>❶〈动〉从事体力或脑力劳动，也泛指机器、工具受人操纵而发挥生产作用：积极～｜开始～｜铲土机正在～。❷〈名〉职业：找～｜～没有贵贱之分。❸〈名〉业务；任务：～量｜宣传～｜工会～｜科学研究～。</explain>
      <paraID>6EC8EBD1</paraID>
      <start>4</start>
      <end>6</end>
      <status>modified</status>
      <modifiedWord>工作</modifiedWord>
      <trackRevisions>false</trackRevisions>
    </reviewItem>
    <reviewItem>
      <errorID>4661a4a8-dd32-4715-b01a-3884b3a3f880</errorID>
      <errorWord>工资</errorWord>
      <group>L1_Word</group>
      <groupName>字词问题</groupName>
      <ability>L2_Typo</ability>
      <abilityName>字词错误</abilityName>
      <candidateList>
        <item>工作</item>
      </candidateList>
      <explain>❶〈动〉从事体力或脑力劳动，也泛指机器、工具受人操纵而发挥生产作用：积极～｜开始～｜铲土机正在～。❷〈名〉职业：找～｜～没有贵贱之分。❸〈名〉业务；任务：～量｜宣传～｜工会～｜科学研究～。</explain>
      <paraID>39C62531</paraID>
      <start>4</start>
      <end>6</end>
      <status>modified</status>
      <modifiedWord>工作</modifiedWord>
      <trackRevisions>false</trackRevisions>
    </reviewItem>
    <reviewItem>
      <errorID>21eee6bb-2d06-42e4-adb8-7ab3a963fe2a</errorID>
      <errorWord>工资</errorWord>
      <group>L1_Word</group>
      <groupName>字词问题</groupName>
      <ability>L2_Typo</ability>
      <abilityName>字词错误</abilityName>
      <candidateList>
        <item>工作</item>
      </candidateList>
      <explain>❶〈动〉从事体力或脑力劳动，也泛指机器、工具受人操纵而发挥生产作用：积极～｜开始～｜铲土机正在～。❷〈名〉职业：找～｜～没有贵贱之分。❸〈名〉业务；任务：～量｜宣传～｜工会～｜科学研究～。</explain>
      <paraID>76C484F3</paraID>
      <start>4</start>
      <end>6</end>
      <status>modified</status>
      <modifiedWord>工作</modifiedWord>
      <trackRevisions>false</trackRevisions>
    </reviewItem>
    <reviewItem>
      <errorID>223acedd-8201-4e3e-8ea3-47d24a1e1484</errorID>
      <errorWord>工资</errorWord>
      <group>L1_Word</group>
      <groupName>字词问题</groupName>
      <ability>L2_Typo</ability>
      <abilityName>字词错误</abilityName>
      <candidateList>
        <item>工作</item>
      </candidateList>
      <explain>❶〈动〉从事体力或脑力劳动，也泛指机器、工具受人操纵而发挥生产作用：积极～｜开始～｜铲土机正在～。❷〈名〉职业：找～｜～没有贵贱之分。❸〈名〉业务；任务：～量｜宣传～｜工会～｜科学研究～。</explain>
      <paraID>59B2FED3</paraID>
      <start>4</start>
      <end>6</end>
      <status>modified</status>
      <modifiedWord>工作</modifiedWord>
      <trackRevisions>false</trackRevisions>
    </reviewItem>
    <reviewItem>
      <errorID>9b9b7c36-4ef2-4d63-96dd-44995e1bf29f</errorID>
      <errorWord>意</errorWord>
      <group>L1_Word</group>
      <groupName>字词问题</groupName>
      <ability>L2_Typo</ability>
      <abilityName>字词错误</abilityName>
      <candidateList>
        <item>意度</item>
      </candidateList>
      <explain/>
      <paraID>15A7FA03</paraID>
      <start>18</start>
      <end>20</end>
      <status>modified</status>
      <modifiedWord>意度</modifiedWord>
      <trackRevisions>false</trackRevisions>
    </reviewItem>
    <reviewItem>
      <errorID>343ff95a-81e5-4f55-80d8-f3a8be18b906</errorID>
      <errorWord>34、</errorWord>
      <group>L1_Format</group>
      <groupName>格式问题</groupName>
      <ability>L2_Ordinal</ability>
      <abilityName>序号格式</abilityName>
      <candidateList>
        <item>34.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7F9F8E3E</paraID>
      <start>0</start>
      <end>3</end>
      <status>modified</status>
      <modifiedWord>34.</modifiedWord>
      <trackRevisions>false</trackRevisions>
    </reviewItem>
    <reviewItem>
      <errorID>8353b2ba-c4f1-48d2-bbc1-bcc7fa7c8108</errorID>
      <errorWord>意</errorWord>
      <group>L1_Word</group>
      <groupName>字词问题</groupName>
      <ability>L2_Typo</ability>
      <abilityName>字词错误</abilityName>
      <candidateList>
        <item>意度</item>
      </candidateList>
      <explain/>
      <paraID>279F906B</paraID>
      <start>18</start>
      <end>20</end>
      <status>modified</status>
      <modifiedWord>意度</modifiedWord>
      <trackRevisions>false</trackRevisions>
    </reviewItem>
    <reviewItem>
      <errorID>d49a66e8-a9c0-4723-a91f-ed4609862f3e</errorID>
      <errorWord>[2024]103号</errorWord>
      <group>L1_Knowledge</group>
      <groupName>知识性问题</groupName>
      <ability>L2_Knowledge</ability>
      <abilityName>其他知识</abilityName>
      <candidateList>
        <item>〔2024〕103号</item>
      </candidateList>
      <explain>发文字号格式错误。</explain>
      <paraID>6C027130</paraID>
      <start>3</start>
      <end>13</end>
      <status>ignored</status>
      <modifiedWord/>
      <trackRevisions>false</trackRevisions>
    </reviewItem>
    <reviewItem>
      <errorID>03edffe4-62da-4290-96e4-036c0a83abc6</errorID>
      <errorWord>[2024]103号</errorWord>
      <group>L1_Knowledge</group>
      <groupName>知识性问题</groupName>
      <ability>L2_Knowledge</ability>
      <abilityName>其他知识</abilityName>
      <candidateList>
        <item>〔2024〕103号</item>
      </candidateList>
      <explain>发文字号格式错误。</explain>
      <paraID>184551E3</paraID>
      <start>3</start>
      <end>13</end>
      <status>ignored</status>
      <modifiedWord/>
      <trackRevisions>false</trackRevisions>
    </reviewItem>
    <reviewItem>
      <errorID>88ed80c5-6aef-4ad9-942e-f46fc0edf9a4</errorID>
      <errorWord>[2024]103号</errorWord>
      <group>L1_Knowledge</group>
      <groupName>知识性问题</groupName>
      <ability>L2_Knowledge</ability>
      <abilityName>其他知识</abilityName>
      <candidateList>
        <item>〔2024〕103号</item>
      </candidateList>
      <explain>发文字号格式错误。</explain>
      <paraID>35570EA7</paraID>
      <start>3</start>
      <end>13</end>
      <status>ignored</status>
      <modifiedWord/>
      <trackRevisions>false</trackRevisions>
    </reviewItem>
    <reviewItem>
      <errorID>4b9deb0f-2840-45be-ab79-714ff620d7f4</errorID>
      <errorWord>【2024】103号</errorWord>
      <group>L1_Knowledge</group>
      <groupName>知识性问题</groupName>
      <ability>L2_Knowledge</ability>
      <abilityName>其他知识</abilityName>
      <candidateList>
        <item>〔2024〕103号</item>
      </candidateList>
      <explain>发文字号格式错误。</explain>
      <paraID>34AD2263</paraID>
      <start>3</start>
      <end>13</end>
      <status>ignored</status>
      <modifiedWord/>
      <trackRevisions>false</trackRevisions>
    </reviewItem>
    <reviewItem>
      <errorID>179bfec1-0f4b-4c62-b6f3-549b3296f7d0</errorID>
      <errorWord>【2024】103号</errorWord>
      <group>L1_Knowledge</group>
      <groupName>知识性问题</groupName>
      <ability>L2_Knowledge</ability>
      <abilityName>其他知识</abilityName>
      <candidateList>
        <item>〔2024〕103号</item>
      </candidateList>
      <explain>发文字号格式错误。</explain>
      <paraID>3CD1BCFE</paraID>
      <start>3</start>
      <end>13</end>
      <status>ignored</status>
      <modifiedWord/>
      <trackRevisions>false</trackRevisions>
    </reviewItem>
    <reviewItem>
      <errorID>5d67c681-44ea-4fda-bde3-78bfe494555d</errorID>
      <errorWord>【2024】103号</errorWord>
      <group>L1_Knowledge</group>
      <groupName>知识性问题</groupName>
      <ability>L2_Knowledge</ability>
      <abilityName>其他知识</abilityName>
      <candidateList>
        <item>〔2024〕103号</item>
      </candidateList>
      <explain>发文字号格式错误。</explain>
      <paraID>29763C2B</paraID>
      <start>3</start>
      <end>13</end>
      <status>ignored</status>
      <modifiedWord/>
      <trackRevisions>false</trackRevisions>
    </reviewItem>
    <reviewItem>
      <errorID>5487649c-8267-4eef-9169-a61ec1720c66</errorID>
      <errorWord>【2024】103号</errorWord>
      <group>L1_Knowledge</group>
      <groupName>知识性问题</groupName>
      <ability>L2_Knowledge</ability>
      <abilityName>其他知识</abilityName>
      <candidateList>
        <item>〔2024〕103号</item>
      </candidateList>
      <explain>发文字号格式错误。</explain>
      <paraID>3859DD1A</paraID>
      <start>3</start>
      <end>13</end>
      <status>ignored</status>
      <modifiedWord/>
      <trackRevisions>false</trackRevisions>
    </reviewItem>
    <reviewItem>
      <errorID>9cddc39d-90b6-4f17-a1ec-23e350ccceae</errorID>
      <errorWord>寄四</errorWord>
      <group>L1_Word</group>
      <groupName>字词问题</groupName>
      <ability>L2_Typo</ability>
      <abilityName>字词错误</abilityName>
      <candidateList>
        <item>寄宿</item>
      </candidateList>
      <explain/>
      <paraID>155D1A94</paraID>
      <start>10</start>
      <end>12</end>
      <status>modified</status>
      <modifiedWord>寄宿</modifiedWord>
      <trackRevisions>false</trackRevisions>
    </reviewItem>
    <reviewItem>
      <errorID>0daea691-f654-451e-86c7-00c8af95fab5</errorID>
      <errorWord>.</errorWord>
      <group>L1_Format</group>
      <groupName>格式问题</groupName>
      <ability>L2_HalfPunc</ability>
      <abilityName>全半角检查</abilityName>
      <candidateList>
        <item>。</item>
      </candidateList>
      <explain>文本全半角错误。</explain>
      <paraID>2C0BCABC</paraID>
      <start>45</start>
      <end>46</end>
      <status>modified</status>
      <modifiedWord>。</modifiedWord>
      <trackRevisions>false</trackRevisions>
    </reviewItem>
    <reviewItem>
      <errorID>5fb1e054-920f-4aa4-b1b4-caecc2cd83bf</errorID>
      <errorWord>.</errorWord>
      <group>L1_Format</group>
      <groupName>格式问题</groupName>
      <ability>L2_HalfPunc</ability>
      <abilityName>全半角检查</abilityName>
      <candidateList>
        <item>。</item>
      </candidateList>
      <explain>文本全半角错误。</explain>
      <paraID>54ED5DB7</paraID>
      <start>47</start>
      <end>48</end>
      <status>modified</status>
      <modifiedWord>。</modifiedWord>
      <trackRevisions>false</trackRevisions>
    </reviewItem>
    <reviewItem>
      <errorID>8814fb30-5ba1-49a9-8164-d21528425da7</errorID>
      <errorWord>寄四</errorWord>
      <group>L1_Word</group>
      <groupName>字词问题</groupName>
      <ability>L2_Typo</ability>
      <abilityName>字词错误</abilityName>
      <candidateList>
        <item>寄宿</item>
      </candidateList>
      <explain/>
      <paraID>60F64194</paraID>
      <start>10</start>
      <end>12</end>
      <status>modified</status>
      <modifiedWord>寄宿</modifiedWord>
      <trackRevisions>false</trackRevisions>
    </reviewItem>
    <reviewItem>
      <errorID>b8b43286-2727-426b-8598-08ef004d34d5</errorID>
      <errorWord>期间</errorWord>
      <group>L1_Word</group>
      <groupName>字词问题</groupName>
      <ability>L2_Typo</ability>
      <abilityName>字词错误</abilityName>
      <candidateList>
        <item>期</item>
      </candidateList>
      <explain/>
      <paraID>289140B6</paraID>
      <start>3</start>
      <end>4</end>
      <status>modified</status>
      <modifiedWord>期</modifiedWord>
      <trackRevisions>false</trackRevisions>
    </reviewItem>
    <reviewItem>
      <errorID>ffddd524-735d-4a8a-942f-95e159dd3cb0</errorID>
      <errorWord>力</errorWord>
      <group>L1_Word</group>
      <groupName>字词问题</groupName>
      <ability>L2_Typo</ability>
      <abilityName>字词错误</abilityName>
      <candidateList>
        <item>力提</item>
      </candidateList>
      <explain/>
      <paraID>50B97FC6</paraID>
      <start>5</start>
      <end>7</end>
      <status>modified</status>
      <modifiedWord>力提</modifiedWord>
      <trackRevisions>false</trackRevisions>
    </reviewItem>
    <reviewItem>
      <errorID>5515c57e-5b9b-4aaa-9210-ec6ceae7ad6d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6B74C06D</paraID>
      <start>0</start>
      <end>8</end>
      <status>ignored</status>
      <modifiedWord/>
      <trackRevisions>false</trackRevisions>
    </reviewItem>
    <reviewItem>
      <errorID>2a75f433-48a0-49c6-afd3-4c0e298ab05a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7CF9A94</paraID>
      <start>0</start>
      <end>2</end>
      <status>ignored</status>
      <modifiedWord/>
      <trackRevisions>false</trackRevisions>
    </reviewItem>
    <reviewItem>
      <errorID>a581b6fa-e528-4c42-ad7b-b2f213407a84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3DD072D1</paraID>
      <start>0</start>
      <end>2</end>
      <status>ignored</status>
      <modifiedWord/>
      <trackRevisions>false</trackRevisions>
    </reviewItem>
    <reviewItem>
      <errorID>98b9adb5-4c3c-4f26-9257-1cde0e9a8ec6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1EDE6F45</paraID>
      <start>0</start>
      <end>2</end>
      <status>ignored</status>
      <modifiedWord/>
      <trackRevisions>false</trackRevisions>
    </reviewItem>
    <reviewItem>
      <errorID>2bccd4bd-aa0b-46dd-a5b9-80ae02489a16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1F300623</paraID>
      <start>0</start>
      <end>2</end>
      <status>ignored</status>
      <modifiedWord/>
      <trackRevisions>false</trackRevisions>
    </reviewItem>
    <reviewItem>
      <errorID>0dd7428a-1743-4550-bd33-a383b538effd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75846126</paraID>
      <start>0</start>
      <end>2</end>
      <status>ignored</status>
      <modifiedWord/>
      <trackRevisions>false</trackRevisions>
    </reviewItem>
    <reviewItem>
      <errorID>fe89f627-8990-4fca-89b2-d3814c3044b2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75846126</paraID>
      <start>24</start>
      <end>32</end>
      <status>ignored</status>
      <modifiedWord/>
      <trackRevisions>false</trackRevisions>
    </reviewItem>
    <reviewItem>
      <errorID>a6cf69ae-ce25-4c55-8859-5f435b0a9ee1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2BC3B644</paraID>
      <start>0</start>
      <end>2</end>
      <status>ignored</status>
      <modifiedWord/>
      <trackRevisions>false</trackRevisions>
    </reviewItem>
    <reviewItem>
      <errorID>3126ffb7-28df-4263-ac21-388202716b3c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311B2F79</paraID>
      <start>0</start>
      <end>2</end>
      <status>ignored</status>
      <modifiedWord/>
      <trackRevisions>false</trackRevisions>
    </reviewItem>
    <reviewItem>
      <errorID>28532822-347b-4389-bacb-d99d0d54d495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62FA7C40</paraID>
      <start>0</start>
      <end>2</end>
      <status>ignored</status>
      <modifiedWord/>
      <trackRevisions>false</trackRevisions>
    </reviewItem>
    <reviewItem>
      <errorID>b751cac5-78a7-4cdf-ada4-7e6d80b2f20d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43BD2816</paraID>
      <start>0</start>
      <end>2</end>
      <status>ignored</status>
      <modifiedWord/>
      <trackRevisions>false</trackRevisions>
    </reviewItem>
    <reviewItem>
      <errorID>563c7122-da2e-48c6-ac0d-bad8d67abf30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394E8FF9</paraID>
      <start>0</start>
      <end>2</end>
      <status>ignored</status>
      <modifiedWord/>
      <trackRevisions>false</trackRevisions>
    </reviewItem>
    <reviewItem>
      <errorID>2a12976a-94e9-4141-a2c8-e708a5d91226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628F8EFB</paraID>
      <start>0</start>
      <end>2</end>
      <status>ignored</status>
      <modifiedWord/>
      <trackRevisions>false</trackRevisions>
    </reviewItem>
    <reviewItem>
      <errorID>8a33d266-5b9a-406b-9938-e2145523c778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3CA3CDBE</paraID>
      <start>0</start>
      <end>2</end>
      <status>ignored</status>
      <modifiedWord/>
      <trackRevisions>false</trackRevisions>
    </reviewItem>
    <reviewItem>
      <errorID>1cb6c2ed-cf40-45fc-9c29-37ab83721325</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5B6C52C7</paraID>
      <start>0</start>
      <end>2</end>
      <status>ignored</status>
      <modifiedWord/>
      <trackRevisions>false</trackRevisions>
    </reviewItem>
    <reviewItem>
      <errorID>33a13341-3b3d-43ba-ac13-60e86416a0c8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76FED359</paraID>
      <start>2</start>
      <end>10</end>
      <status>ignored</status>
      <modifiedWord/>
      <trackRevisions>false</trackRevisions>
    </reviewItem>
    <reviewItem>
      <errorID>4d08cd5d-7032-4f94-81d3-f030f6f8318c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52343827</paraID>
      <start>2</start>
      <end>10</end>
      <status>ignored</status>
      <modifiedWord/>
      <trackRevisions>false</trackRevisions>
    </reviewItem>
    <reviewItem>
      <errorID>8cc20f68-9e4d-4f79-a371-c42684a55b20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722F66</paraID>
      <start>2</start>
      <end>10</end>
      <status>ignored</status>
      <modifiedWord/>
      <trackRevisions>false</trackRevisions>
    </reviewItem>
    <reviewItem>
      <errorID>e4a48c58-3c3c-44b7-a181-b8dcf2e50f95</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7DC6020E</paraID>
      <start>13</start>
      <end>15</end>
      <status>modified</status>
      <modifiedWord>》《</modifiedWord>
      <trackRevisions>false</trackRevisions>
    </reviewItem>
    <reviewItem>
      <errorID>802a1783-5d8c-47d4-9cbd-f0bc98fe7009</errorID>
      <errorWord>社会主义核心价值的</errorWord>
      <group>L1_Knowledge</group>
      <groupName>知识性问题</groupName>
      <ability>L2_Term</ability>
      <abilityName>专业术语</abilityName>
      <candidateList>
        <item>社会主义核心价值观</item>
      </candidateList>
      <explain/>
      <paraID>5F0B18AA</paraID>
      <start>71</start>
      <end>80</end>
      <status>modified</status>
      <modifiedWord>社会主义核心价值观</modifiedWord>
      <trackRevisions>false</trackRevisions>
    </reviewItem>
    <reviewItem>
      <errorID>5b21a11d-568e-49dd-a636-e1b823f2563b</errorID>
      <errorWord>教室队伍</errorWord>
      <group>L1_Word</group>
      <groupName>字词问题</groupName>
      <ability>L2_Typo</ability>
      <abilityName>字词错误</abilityName>
      <candidateList>
        <item>教师队伍</item>
      </candidateList>
      <explain/>
      <paraID>5F0B18AA</paraID>
      <start>133</start>
      <end>137</end>
      <status>modified</status>
      <modifiedWord>教师队伍</modifiedWord>
      <trackRevisions>false</trackRevisions>
    </reviewItem>
    <reviewItem>
      <errorID>1040b977-ceb7-4c6f-af4e-c7df660bf143</errorID>
      <errorWord>教室</errorWord>
      <group>L1_Word</group>
      <groupName>字词问题</groupName>
      <ability>L2_Typo</ability>
      <abilityName>字词错误</abilityName>
      <candidateList>
        <item>教师</item>
      </candidateList>
      <explain/>
      <paraID>5F0B18AA</paraID>
      <start>145</start>
      <end>147</end>
      <status>modified</status>
      <modifiedWord>教师</modifiedWord>
      <trackRevisions>false</trackRevisions>
    </reviewItem>
    <reviewItem>
      <errorID>36c4ce8f-d1ae-4240-8fc2-44f3b19e0b87</errorID>
      <errorWord>三</errorWord>
      <group>L1_Word</group>
      <groupName>字词问题</groupName>
      <ability>L2_Typo</ability>
      <abilityName>字词错误</abilityName>
      <candidateList>
        <item>三年</item>
      </candidateList>
      <explain/>
      <paraID>10113707</paraID>
      <start>94</start>
      <end>96</end>
      <status>modified</status>
      <modifiedWord>三年</modifiedWord>
      <trackRevisions>false</trackRevisions>
    </reviewItem>
    <reviewItem>
      <errorID>fd3e0420-2b69-4f04-b7c1-800006137efd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7E97A877</paraID>
      <start>0</start>
      <end>2</end>
      <status>ignored</status>
      <modifiedWord/>
      <trackRevisions>false</trackRevisions>
    </reviewItem>
    <reviewItem>
      <errorID>7aacd298-db07-4a68-9d3d-8823704d3c93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3213A8B7</paraID>
      <start>0</start>
      <end>2</end>
      <status>ignored</status>
      <modifiedWord/>
      <trackRevisions>false</trackRevisions>
    </reviewItem>
    <reviewItem>
      <errorID>66901cd4-9457-449d-97cc-7eea60847238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3AD4BD16</paraID>
      <start>0</start>
      <end>2</end>
      <status>ignored</status>
      <modifiedWord/>
      <trackRevisions>false</trackRevisions>
    </reviewItem>
    <reviewItem>
      <errorID>a01e5128-fe51-47f7-84ca-7f8162053c37</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5FC189A6</paraID>
      <start>12</start>
      <end>18</end>
      <status>modified</status>
      <modifiedWord>“三公”经费</modifiedWord>
      <trackRevisions>false</trackRevisions>
    </reviewItem>
    <reviewItem>
      <errorID>a17572a3-7e5c-4385-9f8d-3a89c209dcdf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4B949944</paraID>
      <start>0</start>
      <end>2</end>
      <status>ignored</status>
      <modifiedWord/>
      <trackRevisions>false</trackRevisions>
    </reviewItem>
    <reviewItem>
      <errorID>486c6e12-07bf-43c8-b766-f71f40728ccf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7DB2C4D8</paraID>
      <start>0</start>
      <end>2</end>
      <status>ignored</status>
      <modifiedWord/>
      <trackRevisions>false</trackRevisions>
    </reviewItem>
    <reviewItem>
      <errorID>687bd282-376c-4af8-9136-fd1a3fb10ffc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54BC42FA</paraID>
      <start>0</start>
      <end>2</end>
      <status>ignored</status>
      <modifiedWord/>
      <trackRevisions>false</trackRevisions>
    </reviewItem>
    <reviewItem>
      <errorID>6e444f76-f8c4-4b31-abfe-d4ff14417538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320722A1</paraID>
      <start>0</start>
      <end>2</end>
      <status>ignored</status>
      <modifiedWord/>
      <trackRevisions>false</trackRevisions>
    </reviewItem>
    <reviewItem>
      <errorID>39c9dd47-710d-4eba-a069-eccb6c9567c6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243C2E70</paraID>
      <start>0</start>
      <end>2</end>
      <status>ignored</status>
      <modifiedWord/>
      <trackRevisions>false</trackRevisions>
    </reviewItem>
    <reviewItem>
      <errorID>6cfdaed6-19b3-46d4-b67e-24eab43e6c31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6F0B91D5</paraID>
      <start>0</start>
      <end>2</end>
      <status>ignored</status>
      <modifiedWord/>
      <trackRevisions>false</trackRevisions>
    </reviewItem>
    <reviewItem>
      <errorID>07df0492-666b-4adf-b45b-7879ad261ef5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1AA0D8B6</paraID>
      <start>0</start>
      <end>2</end>
      <status>ignored</status>
      <modifiedWord/>
      <trackRevisions>false</trackRevisions>
    </reviewItem>
    <reviewItem>
      <errorID>9d4306da-e10a-4bf4-a965-008dd4350d7c</errorID>
      <errorWord>[2025]116号</errorWord>
      <group>L1_Knowledge</group>
      <groupName>知识性问题</groupName>
      <ability>L2_Knowledge</ability>
      <abilityName>其他知识</abilityName>
      <candidateList>
        <item>〔2025〕116号</item>
      </candidateList>
      <explain>发文字号格式错误。</explain>
      <paraID>1AA0D8B6</paraID>
      <start>5</start>
      <end>15</end>
      <status>ignored</status>
      <modifiedWord/>
      <trackRevisions>false</trackRevisions>
    </reviewItem>
    <reviewItem>
      <errorID>51b73d7d-c593-442e-9a39-4a62af5562a1</errorID>
      <errorWord>[2025]116号</errorWord>
      <group>L1_Knowledge</group>
      <groupName>知识性问题</groupName>
      <ability>L2_Knowledge</ability>
      <abilityName>其他知识</abilityName>
      <candidateList>
        <item>〔2025〕116号</item>
      </candidateList>
      <explain>发文字号格式错误。</explain>
      <paraID>61036C2D</paraID>
      <start>3</start>
      <end>13</end>
      <status>ignored</status>
      <modifiedWord/>
      <trackRevisions>false</trackRevisions>
    </reviewItem>
    <reviewItem>
      <errorID>aaf3a7ee-cd94-413e-8834-e364643f723d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3CB9519</paraID>
      <start>0</start>
      <end>2</end>
      <status>ignored</status>
      <modifiedWord/>
      <trackRevisions>false</trackRevisions>
    </reviewItem>
    <reviewItem>
      <errorID>ca114e94-116d-44ea-be46-39a7901f7eb2</errorID>
      <errorWord>[2025]116号</errorWord>
      <group>L1_Knowledge</group>
      <groupName>知识性问题</groupName>
      <ability>L2_Knowledge</ability>
      <abilityName>其他知识</abilityName>
      <candidateList>
        <item>〔2025〕116号</item>
      </candidateList>
      <explain>发文字号格式错误。</explain>
      <paraID> 3CB9519</paraID>
      <start>5</start>
      <end>15</end>
      <status>ignored</status>
      <modifiedWord/>
      <trackRevisions>false</trackRevisions>
    </reviewItem>
    <reviewItem>
      <errorID>3364ef01-1094-40af-aca6-ca5976e70d72</errorID>
      <errorWord>[2025]116号</errorWord>
      <group>L1_Knowledge</group>
      <groupName>知识性问题</groupName>
      <ability>L2_Knowledge</ability>
      <abilityName>其他知识</abilityName>
      <candidateList>
        <item>〔2025〕116号</item>
      </candidateList>
      <explain>发文字号格式错误。</explain>
      <paraID>3206249D</paraID>
      <start>3</start>
      <end>13</end>
      <status>ignored</status>
      <modifiedWord/>
      <trackRevisions>false</trackRevisions>
    </reviewItem>
    <reviewItem>
      <errorID>282b952c-2c78-412d-9c97-e08245238afa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D9C1829</paraID>
      <start>0</start>
      <end>2</end>
      <status>ignored</status>
      <modifiedWord/>
      <trackRevisions>false</trackRevisions>
    </reviewItem>
    <reviewItem>
      <errorID>d635922c-d7ed-4c78-99c5-dc1e1f894c67</errorID>
      <errorWord>按时</errorWord>
      <group>L1_Word</group>
      <groupName>字词问题</groupName>
      <ability>L2_Typo</ability>
      <abilityName>字词错误</abilityName>
      <candidateList>
        <item>按</item>
      </candidateList>
      <explain>（案）àn❶〈书〉考查；核对：有原文可～。❷（编者、作者等）加按语：编者～。</explain>
      <paraID>1852B6A2</paraID>
      <start>2</start>
      <end>3</end>
      <status>modified</status>
      <modifiedWord>按</modifiedWord>
      <trackRevisions>false</trackRevisions>
    </reviewItem>
    <reviewItem>
      <errorID>a9ad29bf-726d-4936-b277-ed00d4d4aaa4</errorID>
      <errorWord>收益</errorWord>
      <group>L1_Word</group>
      <groupName>字词问题</groupName>
      <ability>L2_Typo</ability>
      <abilityName>字词错误</abilityName>
      <candidateList>
        <item>受益</item>
      </candidateList>
      <explain>存在发音相同字词的误用。</explain>
      <paraID>419F4B61</paraID>
      <start>0</start>
      <end>2</end>
      <status>modified</status>
      <modifiedWord>受益</modifiedWord>
      <trackRevisions>false</trackRevisions>
    </reviewItem>
    <reviewItem>
      <errorID>b7a6f378-febd-4717-b588-c8ede53254a2</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680200CE</paraID>
      <start>9</start>
      <end>10</end>
      <status>modified</status>
      <modifiedWord>地</modifiedWord>
      <trackRevisions>false</trackRevisions>
    </reviewItem>
    <reviewItem>
      <errorID>05a62405-d808-4293-b7a9-6a9cbcbcd1d6</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 C1130EE</paraID>
      <start>11</start>
      <end>12</end>
      <status>modified</status>
      <modifiedWord>地</modifiedWord>
      <trackRevisions>false</trackRevisions>
    </reviewItem>
    <reviewItem>
      <errorID>9a309716-1881-4b90-89ce-529748766aee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6F8BA446</paraID>
      <start>0</start>
      <end>8</end>
      <status>ignored</status>
      <modifiedWord/>
      <trackRevisions>false</trackRevisions>
    </reviewItem>
    <reviewItem>
      <errorID>501835cb-4fe8-4bcd-9f5c-a81f7a812afb</errorID>
      <errorWord>[2025]116号</errorWord>
      <group>L1_Knowledge</group>
      <groupName>知识性问题</groupName>
      <ability>L2_Knowledge</ability>
      <abilityName>其他知识</abilityName>
      <candidateList>
        <item>〔2025〕116号</item>
      </candidateList>
      <explain>发文字号格式错误。</explain>
      <paraID>200C7E5F</paraID>
      <start>3</start>
      <end>13</end>
      <status>ignored</status>
      <modifiedWord/>
      <trackRevisions>false</trackRevisions>
    </reviewItem>
    <reviewItem>
      <errorID>0d3cf597-75d3-4af2-acd1-2b933482ed78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4E2894D</paraID>
      <start>0</start>
      <end>2</end>
      <status>ignored</status>
      <modifiedWord/>
      <trackRevisions>false</trackRevisions>
    </reviewItem>
    <reviewItem>
      <errorID>183a9363-fccb-4997-a354-137c0967a122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412F407D</paraID>
      <start>0</start>
      <end>2</end>
      <status>ignored</status>
      <modifiedWord/>
      <trackRevisions>false</trackRevisions>
    </reviewItem>
    <reviewItem>
      <errorID>79bc1599-e2c9-4c52-9640-af2c6a82516a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2C8EF873</paraID>
      <start>0</start>
      <end>2</end>
      <status>ignored</status>
      <modifiedWord/>
      <trackRevisions>false</trackRevisions>
    </reviewItem>
    <reviewItem>
      <errorID>976a504f-3453-40aa-a911-bdc26c7f3c21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8B8C9FA</paraID>
      <start>0</start>
      <end>2</end>
      <status>ignored</status>
      <modifiedWord/>
      <trackRevisions>false</trackRevisions>
    </reviewItem>
    <reviewItem>
      <errorID>24eb304e-2663-4c84-8684-bb3e93338374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28075DF6</paraID>
      <start>0</start>
      <end>2</end>
      <status>ignored</status>
      <modifiedWord/>
      <trackRevisions>false</trackRevisions>
    </reviewItem>
    <reviewItem>
      <errorID>30135b9b-39b6-4c2f-a240-0e3ffbaf26e9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28075DF6</paraID>
      <start>24</start>
      <end>32</end>
      <status>ignored</status>
      <modifiedWord/>
      <trackRevisions>false</trackRevisions>
    </reviewItem>
    <reviewItem>
      <errorID>858436ac-45fb-4088-bfa3-3aee0d004be6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3027E1F7</paraID>
      <start>0</start>
      <end>2</end>
      <status>ignored</status>
      <modifiedWord/>
      <trackRevisions>false</trackRevisions>
    </reviewItem>
    <reviewItem>
      <errorID>0b8004da-d36b-4dbd-9d3b-25b7a8290f09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49C82A7C</paraID>
      <start>0</start>
      <end>2</end>
      <status>ignored</status>
      <modifiedWord/>
      <trackRevisions>false</trackRevisions>
    </reviewItem>
    <reviewItem>
      <errorID>dcf2eb58-0204-4cdb-af62-37d502482d87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3CFC0AB2</paraID>
      <start>0</start>
      <end>2</end>
      <status>ignored</status>
      <modifiedWord/>
      <trackRevisions>false</trackRevisions>
    </reviewItem>
    <reviewItem>
      <errorID>4454ff21-13f9-4325-8003-d22b2ec473f5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73B8B939</paraID>
      <start>0</start>
      <end>2</end>
      <status>ignored</status>
      <modifiedWord/>
      <trackRevisions>false</trackRevisions>
    </reviewItem>
    <reviewItem>
      <errorID>c75d0e47-56b7-4a6a-8564-39079b538452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4B2ACFBD</paraID>
      <start>0</start>
      <end>2</end>
      <status>ignored</status>
      <modifiedWord/>
      <trackRevisions>false</trackRevisions>
    </reviewItem>
    <reviewItem>
      <errorID>909d8e8f-82b1-497e-b720-a4d5014606c1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2A6CDCDC</paraID>
      <start>0</start>
      <end>2</end>
      <status>ignored</status>
      <modifiedWord/>
      <trackRevisions>false</trackRevisions>
    </reviewItem>
    <reviewItem>
      <errorID>ae232271-04f9-4510-a831-5e35544681f7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56E2FED9</paraID>
      <start>0</start>
      <end>2</end>
      <status>ignored</status>
      <modifiedWord/>
      <trackRevisions>false</trackRevisions>
    </reviewItem>
    <reviewItem>
      <errorID>d99df999-ec21-4ea5-a0c2-79e04842648a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3E998419</paraID>
      <start>0</start>
      <end>2</end>
      <status>ignored</status>
      <modifiedWord/>
      <trackRevisions>false</trackRevisions>
    </reviewItem>
    <reviewItem>
      <errorID>d4b8243c-2b1d-49ef-aceb-020167241fd4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3093772C</paraID>
      <start>2</start>
      <end>10</end>
      <status>ignored</status>
      <modifiedWord/>
      <trackRevisions>false</trackRevisions>
    </reviewItem>
    <reviewItem>
      <errorID>66fea942-3534-4990-9dfd-1c24ba51e35c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328655D</paraID>
      <start>2</start>
      <end>10</end>
      <status>ignored</status>
      <modifiedWord/>
      <trackRevisions>false</trackRevisions>
    </reviewItem>
    <reviewItem>
      <errorID>92ddb2fb-c47f-438a-8104-f7b4023788e0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11D5B0E0</paraID>
      <start>2</start>
      <end>10</end>
      <status>ignored</status>
      <modifiedWord/>
      <trackRevisions>false</trackRevisions>
    </reviewItem>
    <reviewItem>
      <errorID>3d1dacdc-e8ee-485a-a895-59e01e895b98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5909192A</paraID>
      <start>13</start>
      <end>15</end>
      <status>modified</status>
      <modifiedWord>》《</modifiedWord>
      <trackRevisions>false</trackRevisions>
    </reviewItem>
    <reviewItem>
      <errorID>52e0ef44-0181-4869-88d0-335c4d81155d</errorID>
      <errorWord>(</errorWord>
      <group>L1_Format</group>
      <groupName>格式问题</groupName>
      <ability>L2_HalfPunc</ability>
      <abilityName>全半角检查</abilityName>
      <candidateList>
        <item>（</item>
      </candidateList>
      <explain>文本全半角错误。</explain>
      <paraID>2438604C</paraID>
      <start>27</start>
      <end>28</end>
      <status>modified</status>
      <modifiedWord>（</modifiedWord>
      <trackRevisions>false</trackRevisions>
    </reviewItem>
    <reviewItem>
      <errorID>5339c78f-1fc0-4ca5-a0f0-1d55f8559636</errorID>
      <errorWord>)</errorWord>
      <group>L1_Format</group>
      <groupName>格式问题</groupName>
      <ability>L2_HalfPunc</ability>
      <abilityName>全半角检查</abilityName>
      <candidateList>
        <item>）</item>
      </candidateList>
      <explain>文本全半角错误。</explain>
      <paraID>2438604C</paraID>
      <start>31</start>
      <end>32</end>
      <status>modified</status>
      <modifiedWord>）</modifiedWord>
      <trackRevisions>false</trackRevisions>
    </reviewItem>
    <reviewItem>
      <errorID>aa68db2c-5540-4933-a297-513ce2b3307a</errorID>
      <errorWord>(</errorWord>
      <group>L1_Format</group>
      <groupName>格式问题</groupName>
      <ability>L2_HalfPunc</ability>
      <abilityName>全半角检查</abilityName>
      <candidateList>
        <item>（</item>
      </candidateList>
      <explain>文本全半角错误。</explain>
      <paraID>2438604C</paraID>
      <start>38</start>
      <end>39</end>
      <status>modified</status>
      <modifiedWord>（</modifiedWord>
      <trackRevisions>false</trackRevisions>
    </reviewItem>
    <reviewItem>
      <errorID>acebc6ed-c481-4ff4-b70c-012048e48e72</errorID>
      <errorWord>)</errorWord>
      <group>L1_Format</group>
      <groupName>格式问题</groupName>
      <ability>L2_HalfPunc</ability>
      <abilityName>全半角检查</abilityName>
      <candidateList>
        <item>）</item>
      </candidateList>
      <explain>文本全半角错误。</explain>
      <paraID>2438604C</paraID>
      <start>42</start>
      <end>43</end>
      <status>modified</status>
      <modifiedWord>）</modifiedWord>
      <trackRevisions>false</trackRevisions>
    </reviewItem>
    <reviewItem>
      <errorID>e2d69ec6-59fb-4afa-bed5-714cd82c41b8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3E3E1BB3</paraID>
      <start>0</start>
      <end>2</end>
      <status>ignored</status>
      <modifiedWord/>
      <trackRevisions>false</trackRevisions>
    </reviewItem>
    <reviewItem>
      <errorID>c92d6ed5-b345-4223-b39d-6dc67a83e3c4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1B81B3BC</paraID>
      <start>0</start>
      <end>2</end>
      <status>ignored</status>
      <modifiedWord/>
      <trackRevisions>false</trackRevisions>
    </reviewItem>
    <reviewItem>
      <errorID>f3ab70b7-7eee-4839-9d2b-af0416fc208d</errorID>
      <errorWord>:</errorWord>
      <group>L1_Format</group>
      <groupName>格式问题</groupName>
      <ability>L2_HalfPunc</ability>
      <abilityName>全半角检查</abilityName>
      <candidateList>
        <item>：</item>
      </candidateList>
      <explain>文本全半角错误。</explain>
      <paraID> 3A02F9F</paraID>
      <start>93</start>
      <end>94</end>
      <status>modified</status>
      <modifiedWord>：</modifiedWord>
      <trackRevisions>false</trackRevisions>
    </reviewItem>
    <reviewItem>
      <errorID>c14b5441-a700-4456-b18c-6e4792a20cb8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6396940E</paraID>
      <start>0</start>
      <end>2</end>
      <status>ignored</status>
      <modifiedWord/>
      <trackRevisions>false</trackRevisions>
    </reviewItem>
    <reviewItem>
      <errorID>a892fccd-c512-457f-8345-2846477c03ed</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 1E783E0</paraID>
      <start>12</start>
      <end>18</end>
      <status>modified</status>
      <modifiedWord>“三公”经费</modifiedWord>
      <trackRevisions>false</trackRevisions>
    </reviewItem>
    <reviewItem>
      <errorID>1e55e1a8-ade8-414d-8ee0-d9fc9a93a8e1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5735376F</paraID>
      <start>0</start>
      <end>2</end>
      <status>ignored</status>
      <modifiedWord/>
      <trackRevisions>false</trackRevisions>
    </reviewItem>
    <reviewItem>
      <errorID>38c4c360-843a-44b1-8bf9-f23350a01a17</errorID>
      <errorWord>[2023]151号</errorWord>
      <group>L1_Knowledge</group>
      <groupName>知识性问题</groupName>
      <ability>L2_Knowledge</ability>
      <abilityName>其他知识</abilityName>
      <candidateList>
        <item>〔2023〕151号</item>
      </candidateList>
      <explain>发文字号格式错误。</explain>
      <paraID>5735376F</paraID>
      <start>5</start>
      <end>15</end>
      <status>modified</status>
      <modifiedWord>〔2023〕151号</modifiedWord>
      <trackRevisions>false</trackRevisions>
    </reviewItem>
    <reviewItem>
      <errorID>bda3ce0f-d67b-4dc8-9647-0518895fe5be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15AA73FA</paraID>
      <start>0</start>
      <end>2</end>
      <status>ignored</status>
      <modifiedWord/>
      <trackRevisions>false</trackRevisions>
    </reviewItem>
    <reviewItem>
      <errorID>8bec99e3-4f05-443b-bc21-ccdd47f5d276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68B2A536</paraID>
      <start>0</start>
      <end>2</end>
      <status>ignored</status>
      <modifiedWord/>
      <trackRevisions>false</trackRevisions>
    </reviewItem>
    <reviewItem>
      <errorID>60a36cfc-c9c2-4e4b-ac59-9fe140bd4032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23FC9D87</paraID>
      <start>0</start>
      <end>2</end>
      <status>ignored</status>
      <modifiedWord/>
      <trackRevisions>false</trackRevisions>
    </reviewItem>
    <reviewItem>
      <errorID>d5813e34-ca73-4df3-baf5-f6d71676e0c3</errorID>
      <errorWord>保障保障</errorWord>
      <group>L1_Word</group>
      <groupName>字词问题</groupName>
      <ability>L2_Typo</ability>
      <abilityName>字词错误</abilityName>
      <candidateList>
        <item>保障</item>
      </candidateList>
      <explain/>
      <paraID>32F49425</paraID>
      <start>18</start>
      <end>20</end>
      <status>modified</status>
      <modifiedWord>保障</modifiedWord>
      <trackRevisions>false</trackRevisions>
    </reviewItem>
    <reviewItem>
      <errorID>d21371a6-a6c5-4291-bab2-9c7f28c46c9a</errorID>
      <errorWord>保障保障</errorWord>
      <group>L1_Word</group>
      <groupName>字词问题</groupName>
      <ability>L2_Typo</ability>
      <abilityName>字词错误</abilityName>
      <candidateList>
        <item>保障</item>
      </candidateList>
      <explain/>
      <paraID>6D921956</paraID>
      <start>20</start>
      <end>22</end>
      <status>modified</status>
      <modifiedWord>保障</modifiedWord>
      <trackRevisions>false</trackRevisions>
    </reviewItem>
    <reviewItem>
      <errorID>382fb20b-2b24-45ff-9611-53a066298217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36CC7A5E</paraID>
      <start>0</start>
      <end>2</end>
      <status>ignored</status>
      <modifiedWord/>
      <trackRevisions>false</trackRevisions>
    </reviewItem>
    <reviewItem>
      <errorID>84bfc408-6539-4b20-a30d-c42992dc3029</errorID>
      <errorWord>保障保障</errorWord>
      <group>L1_Word</group>
      <groupName>字词问题</groupName>
      <ability>L2_Typo</ability>
      <abilityName>字词错误</abilityName>
      <candidateList>
        <item>保障</item>
      </candidateList>
      <explain/>
      <paraID>60AD8E5C</paraID>
      <start>18</start>
      <end>20</end>
      <status>modified</status>
      <modifiedWord>保障</modifiedWord>
      <trackRevisions>false</trackRevisions>
    </reviewItem>
    <reviewItem>
      <errorID>e008e9e8-3172-4bf2-a946-aebf56a128bb</errorID>
      <errorWord>保障保障</errorWord>
      <group>L1_Word</group>
      <groupName>字词问题</groupName>
      <ability>L2_Typo</ability>
      <abilityName>字词错误</abilityName>
      <candidateList>
        <item>保障</item>
      </candidateList>
      <explain/>
      <paraID>6F89C973</paraID>
      <start>20</start>
      <end>22</end>
      <status>modified</status>
      <modifiedWord>保障</modifiedWord>
      <trackRevisions>false</trackRevisions>
    </reviewItem>
    <reviewItem>
      <errorID>b53961a1-731a-4c04-8f93-3bd69e64f662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53F172AF</paraID>
      <start>0</start>
      <end>2</end>
      <status>ignored</status>
      <modifiedWord/>
      <trackRevisions>false</trackRevisions>
    </reviewItem>
    <reviewItem>
      <errorID>bb899e98-5766-4ae4-9e4a-43172b31d59d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74381D0</paraID>
      <start>0</start>
      <end>2</end>
      <status>ignored</status>
      <modifiedWord/>
      <trackRevisions>false</trackRevisions>
    </reviewItem>
    <reviewItem>
      <errorID>497ade2e-6a98-4737-85d0-365fed45c70a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284CFE2A</paraID>
      <start>0</start>
      <end>2</end>
      <status>ignored</status>
      <modifiedWord/>
      <trackRevisions>false</trackRevisions>
    </reviewItem>
    <reviewItem>
      <errorID>08f6feda-2828-4302-b4f2-19d1afb8a8a1</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2B35ECD</paraID>
      <start>0</start>
      <end>2</end>
      <status>ignored</status>
      <modifiedWord/>
      <trackRevisions>false</trackRevisions>
    </reviewItem>
    <reviewItem>
      <errorID>92d98de6-f7c5-4e9e-9e00-f4ff8d520ca8</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642F2B2F</paraID>
      <start>9</start>
      <end>10</end>
      <status>modified</status>
      <modifiedWord>地</modifiedWord>
      <trackRevisions>false</trackRevisions>
    </reviewItem>
    <reviewItem>
      <errorID>4306fc4b-912b-4adf-a135-0852e9917d75</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3ABC0DE4</paraID>
      <start>11</start>
      <end>12</end>
      <status>modified</status>
      <modifiedWord>地</modifiedWord>
      <trackRevisions>false</trackRevisions>
    </reviewItem>
    <reviewItem>
      <errorID>ab602be4-3270-4ab1-8b0c-e6b515c0bb36</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13998457</paraID>
      <start>24</start>
      <end>25</end>
      <status>modified</status>
      <modifiedWord>地</modifiedWord>
      <trackRevisions>false</trackRevisions>
    </reviewItem>
    <reviewItem>
      <errorID>fa418765-ef85-4e4a-87d6-f0d8b7a13a93</errorID>
      <errorWord>保障保障</errorWord>
      <group>L1_Word</group>
      <groupName>字词问题</groupName>
      <ability>L2_Typo</ability>
      <abilityName>字词错误</abilityName>
      <candidateList>
        <item>保障</item>
      </candidateList>
      <explain/>
      <paraID>180592F6</paraID>
      <start>18</start>
      <end>20</end>
      <status>modified</status>
      <modifiedWord>保障</modifiedWord>
      <trackRevisions>false</trackRevisions>
    </reviewItem>
    <reviewItem>
      <errorID>24fa72b9-506c-4aae-b748-69874cea9322</errorID>
      <errorWord>保障保障</errorWord>
      <group>L1_Word</group>
      <groupName>字词问题</groupName>
      <ability>L2_Typo</ability>
      <abilityName>字词错误</abilityName>
      <candidateList>
        <item>保障</item>
      </candidateList>
      <explain/>
      <paraID>1318D107</paraID>
      <start>20</start>
      <end>22</end>
      <status>modified</status>
      <modifiedWord>保障</modifiedWord>
      <trackRevisions>false</trackRevisions>
    </reviewItem>
    <reviewItem>
      <errorID>e0125a7c-ad71-443a-9638-33fdc9c0b60a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7DF8718B</paraID>
      <start>0</start>
      <end>8</end>
      <status>ignored</status>
      <modifiedWord/>
      <trackRevisions>false</trackRevisions>
    </reviewItem>
    <reviewItem>
      <errorID>0770b825-46ac-41a4-95b3-4fb65e9f240d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3B6733F0</paraID>
      <start>0</start>
      <end>2</end>
      <status>ignored</status>
      <modifiedWord/>
      <trackRevisions>false</trackRevisions>
    </reviewItem>
    <reviewItem>
      <errorID>f9deb2eb-f68a-4b84-aa85-79ce213450c5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E5DA6C5</paraID>
      <start>0</start>
      <end>2</end>
      <status>ignored</status>
      <modifiedWord/>
      <trackRevisions>false</trackRevisions>
    </reviewItem>
    <reviewItem>
      <errorID>bcfceba7-c3b8-4f0f-8d25-71c2e1da9107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560D214C</paraID>
      <start>0</start>
      <end>2</end>
      <status>ignored</status>
      <modifiedWord/>
      <trackRevisions>false</trackRevisions>
    </reviewItem>
    <reviewItem>
      <errorID>4b7be204-a393-4405-8e68-b61c81caac58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37EC9117</paraID>
      <start>0</start>
      <end>2</end>
      <status>ignored</status>
      <modifiedWord/>
      <trackRevisions>false</trackRevisions>
    </reviewItem>
    <reviewItem>
      <errorID>e76048cb-f20b-4670-9116-4c4b7618208d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272ED93F</paraID>
      <start>0</start>
      <end>2</end>
      <status>ignored</status>
      <modifiedWord/>
      <trackRevisions>false</trackRevisions>
    </reviewItem>
    <reviewItem>
      <errorID>c2026885-d032-4fd9-974d-e89d6ccd920e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272ED93F</paraID>
      <start>24</start>
      <end>32</end>
      <status>ignored</status>
      <modifiedWord/>
      <trackRevisions>false</trackRevisions>
    </reviewItem>
    <reviewItem>
      <errorID>4e5bfb4b-0762-4f2a-bb28-841f07097e05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39EA0332</paraID>
      <start>0</start>
      <end>2</end>
      <status>ignored</status>
      <modifiedWord/>
      <trackRevisions>false</trackRevisions>
    </reviewItem>
    <reviewItem>
      <errorID>a749199d-840e-47e5-9214-13b01c370125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5DFB81CA</paraID>
      <start>0</start>
      <end>2</end>
      <status>ignored</status>
      <modifiedWord/>
      <trackRevisions>false</trackRevisions>
    </reviewItem>
    <reviewItem>
      <errorID>cb51c3b2-6ba5-443d-8a18-0f4f7a4718d8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52AA3E90</paraID>
      <start>0</start>
      <end>2</end>
      <status>ignored</status>
      <modifiedWord/>
      <trackRevisions>false</trackRevisions>
    </reviewItem>
    <reviewItem>
      <errorID>12c77081-6f9d-4316-a70e-9222ba7634d0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66A8628B</paraID>
      <start>0</start>
      <end>2</end>
      <status>ignored</status>
      <modifiedWord/>
      <trackRevisions>false</trackRevisions>
    </reviewItem>
    <reviewItem>
      <errorID>73a0cfad-b653-47d7-b94c-be546890a36f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5F328237</paraID>
      <start>0</start>
      <end>2</end>
      <status>ignored</status>
      <modifiedWord/>
      <trackRevisions>false</trackRevisions>
    </reviewItem>
    <reviewItem>
      <errorID>175bc005-9401-4540-a337-1abac8294787</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968DA71</paraID>
      <start>0</start>
      <end>2</end>
      <status>ignored</status>
      <modifiedWord/>
      <trackRevisions>false</trackRevisions>
    </reviewItem>
    <reviewItem>
      <errorID>d4c393ff-15dc-43a1-bbae-b1373ee84e74</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196BAF5B</paraID>
      <start>0</start>
      <end>2</end>
      <status>ignored</status>
      <modifiedWord/>
      <trackRevisions>false</trackRevisions>
    </reviewItem>
    <reviewItem>
      <errorID>d4073139-bd51-423d-b383-1bcaf55ef5b3</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5139CAF7</paraID>
      <start>0</start>
      <end>2</end>
      <status>ignored</status>
      <modifiedWord/>
      <trackRevisions>false</trackRevisions>
    </reviewItem>
    <reviewItem>
      <errorID>a17e99db-3a75-4625-a263-c65b172f799b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4ED649F0</paraID>
      <start>2</start>
      <end>10</end>
      <status>ignored</status>
      <modifiedWord/>
      <trackRevisions>false</trackRevisions>
    </reviewItem>
    <reviewItem>
      <errorID>e1ae61ec-b8d2-4ed2-9e27-90310a0dc608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5B2FD70B</paraID>
      <start>2</start>
      <end>10</end>
      <status>ignored</status>
      <modifiedWord/>
      <trackRevisions>false</trackRevisions>
    </reviewItem>
    <reviewItem>
      <errorID>ba3eb4a7-509b-42ae-a299-b874a714cd14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4F76F68A</paraID>
      <start>2</start>
      <end>10</end>
      <status>ignored</status>
      <modifiedWord/>
      <trackRevisions>false</trackRevisions>
    </reviewItem>
    <reviewItem>
      <errorID>cbffb98e-aaa1-4936-9e09-4867c3215ff9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60F96A73</paraID>
      <start>13</start>
      <end>15</end>
      <status>modified</status>
      <modifiedWord>》《</modifiedWord>
      <trackRevisions>false</trackRevisions>
    </reviewItem>
    <reviewItem>
      <errorID>147fd262-2a64-4210-bcab-c50577b05d59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193F13EF</paraID>
      <start>0</start>
      <end>2</end>
      <status>ignored</status>
      <modifiedWord/>
      <trackRevisions>false</trackRevisions>
    </reviewItem>
    <reviewItem>
      <errorID>79c057ad-d6d1-486e-97ac-25b5e05373af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EBB65C4</paraID>
      <start>0</start>
      <end>2</end>
      <status>ignored</status>
      <modifiedWord/>
      <trackRevisions>false</trackRevisions>
    </reviewItem>
    <reviewItem>
      <errorID>8db45e46-55f0-40be-a071-d98724f270a7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74B44B13</paraID>
      <start>0</start>
      <end>2</end>
      <status>ignored</status>
      <modifiedWord/>
      <trackRevisions>false</trackRevisions>
    </reviewItem>
    <reviewItem>
      <errorID>7f16d42c-1af3-4bd5-81b9-20d92463501f</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40C8DCB3</paraID>
      <start>12</start>
      <end>18</end>
      <status>modified</status>
      <modifiedWord>“三公”经费</modifiedWord>
      <trackRevisions>false</trackRevisions>
    </reviewItem>
    <reviewItem>
      <errorID>46ff49b2-bb82-4692-9bbc-f91988c7f605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7C8C76B4</paraID>
      <start>0</start>
      <end>2</end>
      <status>ignored</status>
      <modifiedWord/>
      <trackRevisions>false</trackRevisions>
    </reviewItem>
    <reviewItem>
      <errorID>c69f949d-5ed5-46c9-b57b-ca20bc51bd70</errorID>
      <errorWord>办人民满意的教育</errorWord>
      <group>L1_Political</group>
      <groupName>政治性问题</groupName>
      <ability>L2_Unpolitical</ability>
      <abilityName>政治敏感错误</abilityName>
      <candidateList>
        <item>办好人民满意的教育</item>
      </candidateList>
      <explain/>
      <paraID>13C33AE6</paraID>
      <start>24</start>
      <end>33</end>
      <status>modified</status>
      <modifiedWord>办好人民满意的教育</modifiedWord>
      <trackRevisions>false</trackRevisions>
    </reviewItem>
    <reviewItem>
      <errorID>859116cd-1fb4-4b2e-aab1-a597cc5aa867</errorID>
      <errorWord>办人民满意的教育</errorWord>
      <group>L1_Political</group>
      <groupName>政治性问题</groupName>
      <ability>L2_Unpolitical</ability>
      <abilityName>政治敏感错误</abilityName>
      <candidateList>
        <item>办好人民满意的教育</item>
      </candidateList>
      <explain/>
      <paraID> 9C46E27</paraID>
      <start>26</start>
      <end>35</end>
      <status>modified</status>
      <modifiedWord>办好人民满意的教育</modifiedWord>
      <trackRevisions>false</trackRevisions>
    </reviewItem>
    <reviewItem>
      <errorID>8ea0a013-910a-477f-bb4f-3df67f2539c5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48AAC7EE</paraID>
      <start>0</start>
      <end>2</end>
      <status>ignored</status>
      <modifiedWord/>
      <trackRevisions>false</trackRevisions>
    </reviewItem>
    <reviewItem>
      <errorID>4a48d017-6906-454a-9fb4-1ee527962879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6AC92015</paraID>
      <start>0</start>
      <end>2</end>
      <status>ignored</status>
      <modifiedWord/>
      <trackRevisions>false</trackRevisions>
    </reviewItem>
    <reviewItem>
      <errorID>14c94ce5-e62e-4596-8bb4-932d427ea638</errorID>
      <errorWord>办人民满意的教育</errorWord>
      <group>L1_Political</group>
      <groupName>政治性问题</groupName>
      <ability>L2_Unpolitical</ability>
      <abilityName>政治敏感错误</abilityName>
      <candidateList>
        <item>办好人民满意的教育</item>
      </candidateList>
      <explain/>
      <paraID>78AD302C</paraID>
      <start>24</start>
      <end>33</end>
      <status>modified</status>
      <modifiedWord>办好人民满意的教育</modifiedWord>
      <trackRevisions>false</trackRevisions>
    </reviewItem>
    <reviewItem>
      <errorID>5f74eb76-8777-4b7f-9496-a660c5026263</errorID>
      <errorWord>办人民满意的教育</errorWord>
      <group>L1_Political</group>
      <groupName>政治性问题</groupName>
      <ability>L2_Unpolitical</ability>
      <abilityName>政治敏感错误</abilityName>
      <candidateList>
        <item>办好人民满意的教育</item>
      </candidateList>
      <explain/>
      <paraID>113D280F</paraID>
      <start>26</start>
      <end>35</end>
      <status>modified</status>
      <modifiedWord>办好人民满意的教育</modifiedWord>
      <trackRevisions>false</trackRevisions>
    </reviewItem>
    <reviewItem>
      <errorID>6e645135-2523-41a4-a014-c7934e96e0c2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72464D89</paraID>
      <start>0</start>
      <end>2</end>
      <status>ignored</status>
      <modifiedWord/>
      <trackRevisions>false</trackRevisions>
    </reviewItem>
    <reviewItem>
      <errorID>49a46d9b-fc22-4532-8e1c-692a88a882ca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23D25A63</paraID>
      <start>0</start>
      <end>2</end>
      <status>ignored</status>
      <modifiedWord/>
      <trackRevisions>false</trackRevisions>
    </reviewItem>
    <reviewItem>
      <errorID>c1fffe20-d535-4458-840d-cf698cb280d6</errorID>
      <errorWord>办人民满意的教育</errorWord>
      <group>L1_Political</group>
      <groupName>政治性问题</groupName>
      <ability>L2_Unpolitical</ability>
      <abilityName>政治敏感错误</abilityName>
      <candidateList>
        <item>办好人民满意的教育</item>
      </candidateList>
      <explain/>
      <paraID>30AFD588</paraID>
      <start>24</start>
      <end>33</end>
      <status>modified</status>
      <modifiedWord>办好人民满意的教育</modifiedWord>
      <trackRevisions>false</trackRevisions>
    </reviewItem>
    <reviewItem>
      <errorID>3cb6450d-fad8-4c95-b5cd-6e80477f92f9</errorID>
      <errorWord>办人民满意的教育</errorWord>
      <group>L1_Political</group>
      <groupName>政治性问题</groupName>
      <ability>L2_Unpolitical</ability>
      <abilityName>政治敏感错误</abilityName>
      <candidateList>
        <item>办好人民满意的教育</item>
      </candidateList>
      <explain/>
      <paraID>5035ABF0</paraID>
      <start>26</start>
      <end>35</end>
      <status>modified</status>
      <modifiedWord>办好人民满意的教育</modifiedWord>
      <trackRevisions>false</trackRevisions>
    </reviewItem>
    <reviewItem>
      <errorID>5073b4dc-c8e3-473c-98d0-9d4bf83cbd34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1CA7E632</paraID>
      <start>0</start>
      <end>8</end>
      <status>ignored</status>
      <modifiedWord/>
      <trackRevisions>false</trackRevisions>
    </reviewItem>
    <reviewItem>
      <errorID>de9c2c7c-552d-4f6d-81a6-9b939a9d689e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6CDC8414</paraID>
      <start>0</start>
      <end>2</end>
      <status>ignored</status>
      <modifiedWord/>
      <trackRevisions>false</trackRevisions>
    </reviewItem>
    <reviewItem>
      <errorID>43f2dd1c-3885-4085-8863-0d91fe60f101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30BAD79C</paraID>
      <start>0</start>
      <end>2</end>
      <status>ignored</status>
      <modifiedWord/>
      <trackRevisions>false</trackRevisions>
    </reviewItem>
    <reviewItem>
      <errorID>66bf3ae4-bfa4-49e7-9195-4450e4377295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7997C4E6</paraID>
      <start>0</start>
      <end>2</end>
      <status>ignored</status>
      <modifiedWord/>
      <trackRevisions>false</trackRevisions>
    </reviewItem>
    <reviewItem>
      <errorID>9036daa1-baaa-4692-82b6-07f707fe66cf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7F874FE4</paraID>
      <start>0</start>
      <end>2</end>
      <status>ignored</status>
      <modifiedWord/>
      <trackRevisions>false</trackRevisions>
    </reviewItem>
    <reviewItem>
      <errorID>598f9dbf-2153-4488-b356-72c1a054180f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3ACA2B78</paraID>
      <start>0</start>
      <end>2</end>
      <status>ignored</status>
      <modifiedWord/>
      <trackRevisions>false</trackRevisions>
    </reviewItem>
    <reviewItem>
      <errorID>392dc580-3c84-4230-860a-37f0c0977467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3ACA2B78</paraID>
      <start>24</start>
      <end>32</end>
      <status>ignored</status>
      <modifiedWord/>
      <trackRevisions>false</trackRevisions>
    </reviewItem>
    <reviewItem>
      <errorID>e6c6154a-16b5-434f-babb-994eed174e68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36A8A4B6</paraID>
      <start>0</start>
      <end>2</end>
      <status>ignored</status>
      <modifiedWord/>
      <trackRevisions>false</trackRevisions>
    </reviewItem>
    <reviewItem>
      <errorID>68885e4c-b749-49d1-bf3b-0bc040f4172b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45F9D3AA</paraID>
      <start>0</start>
      <end>2</end>
      <status>ignored</status>
      <modifiedWord/>
      <trackRevisions>false</trackRevisions>
    </reviewItem>
    <reviewItem>
      <errorID>2dba1f87-af9c-4899-aea6-7ad007dbb872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36BB8A62</paraID>
      <start>0</start>
      <end>2</end>
      <status>ignored</status>
      <modifiedWord/>
      <trackRevisions>false</trackRevisions>
    </reviewItem>
    <reviewItem>
      <errorID>b1768083-ae69-4e0e-902e-5b4ba7c21730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5232F113</paraID>
      <start>0</start>
      <end>2</end>
      <status>ignored</status>
      <modifiedWord/>
      <trackRevisions>false</trackRevisions>
    </reviewItem>
    <reviewItem>
      <errorID>5cc762cf-3b1b-4586-b9a6-d8139faf80bf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7B1898BC</paraID>
      <start>0</start>
      <end>2</end>
      <status>ignored</status>
      <modifiedWord/>
      <trackRevisions>false</trackRevisions>
    </reviewItem>
    <reviewItem>
      <errorID>4a1fefec-0fe7-4786-ab98-f606d191c387</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2797BFC0</paraID>
      <start>0</start>
      <end>2</end>
      <status>ignored</status>
      <modifiedWord/>
      <trackRevisions>false</trackRevisions>
    </reviewItem>
    <reviewItem>
      <errorID>ca05dd91-4324-4052-8afe-d0b56af7a227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78CA7F8E</paraID>
      <start>0</start>
      <end>2</end>
      <status>ignored</status>
      <modifiedWord/>
      <trackRevisions>false</trackRevisions>
    </reviewItem>
    <reviewItem>
      <errorID>28eb8c34-2a4c-4b00-b75e-2f1dfbfa25e2</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69014C59</paraID>
      <start>0</start>
      <end>2</end>
      <status>ignored</status>
      <modifiedWord/>
      <trackRevisions>false</trackRevisions>
    </reviewItem>
    <reviewItem>
      <errorID>fbf67144-681f-466e-b867-efff221a4f91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3E62C72</paraID>
      <start>2</start>
      <end>10</end>
      <status>ignored</status>
      <modifiedWord/>
      <trackRevisions>false</trackRevisions>
    </reviewItem>
    <reviewItem>
      <errorID>b24c603a-15ff-49f7-869c-7ea3a1ab6bab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3D3AA39F</paraID>
      <start>2</start>
      <end>10</end>
      <status>ignored</status>
      <modifiedWord/>
      <trackRevisions>false</trackRevisions>
    </reviewItem>
    <reviewItem>
      <errorID>75884403-db9c-4fa4-9e9d-b669a7dd0043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7FF1F0E4</paraID>
      <start>2</start>
      <end>10</end>
      <status>ignored</status>
      <modifiedWord/>
      <trackRevisions>false</trackRevisions>
    </reviewItem>
    <reviewItem>
      <errorID>8633bcbe-5907-44e7-829d-11545539c884</errorID>
      <errorWord>年</errorWord>
      <group>L1_Word</group>
      <groupName>字词问题</groupName>
      <ability>L2_Typo</ability>
      <abilityName>字词错误</abilityName>
      <candidateList>
        <item>年度</item>
      </candidateList>
      <explain/>
      <paraID>1F0E3703</paraID>
      <start>11</start>
      <end>13</end>
      <status>modified</status>
      <modifiedWord>年度</modifiedWord>
      <trackRevisions>false</trackRevisions>
    </reviewItem>
    <reviewItem>
      <errorID>c9008733-1cbc-4431-a086-3def5c17cb88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60CAC861</paraID>
      <start>13</start>
      <end>15</end>
      <status>modified</status>
      <modifiedWord>》《</modifiedWord>
      <trackRevisions>false</trackRevisions>
    </reviewItem>
    <reviewItem>
      <errorID>82aad743-adb0-43ef-9781-f1df1b9a5a0e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6DEB44F8</paraID>
      <start>0</start>
      <end>2</end>
      <status>ignored</status>
      <modifiedWord/>
      <trackRevisions>false</trackRevisions>
    </reviewItem>
    <reviewItem>
      <errorID>a4947525-f530-4f72-8340-2e73675fad47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732F55FC</paraID>
      <start>0</start>
      <end>2</end>
      <status>ignored</status>
      <modifiedWord/>
      <trackRevisions>false</trackRevisions>
    </reviewItem>
    <reviewItem>
      <errorID>4a8c9c7c-e6b7-4496-82d5-b1a462468b0c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29DBD67F</paraID>
      <start>0</start>
      <end>2</end>
      <status>ignored</status>
      <modifiedWord/>
      <trackRevisions>false</trackRevisions>
    </reviewItem>
    <reviewItem>
      <errorID>5f20d9aa-e79d-4c20-a7fc-997ad4f64ce4</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45988603</paraID>
      <start>9</start>
      <end>15</end>
      <status>modified</status>
      <modifiedWord>“三公”经费</modifiedWord>
      <trackRevisions>false</trackRevisions>
    </reviewItem>
    <reviewItem>
      <errorID>2f1e032c-496d-4fc5-9a15-d2cf6f899b8e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5E1771DE</paraID>
      <start>0</start>
      <end>2</end>
      <status>ignored</status>
      <modifiedWord/>
      <trackRevisions>false</trackRevisions>
    </reviewItem>
    <reviewItem>
      <errorID>cb782b79-7a60-4f33-9b3c-f97fb4fe16ae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2E6B511</paraID>
      <start>0</start>
      <end>2</end>
      <status>ignored</status>
      <modifiedWord/>
      <trackRevisions>false</trackRevisions>
    </reviewItem>
    <reviewItem>
      <errorID>92779dba-b24b-498f-a780-aafa7e8c2e74</errorID>
      <errorWord>"</errorWord>
      <group>L1_Format</group>
      <groupName>格式问题</groupName>
      <ability>L2_HalfPunc</ability>
      <abilityName>全半角检查</abilityName>
      <candidateList/>
      <explain>文本全半角错误。</explain>
      <paraID> D8AB20A</paraID>
      <start>0</start>
      <end>1</end>
      <status>unmodified</status>
      <modifiedWord/>
      <trackRevisions>false</trackRevisions>
    </reviewItem>
    <reviewItem>
      <errorID>b8d3b234-44d8-4ded-a4c0-c90f7c658a37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65F8E6FF</paraID>
      <start>0</start>
      <end>2</end>
      <status>ignored</status>
      <modifiedWord/>
      <trackRevisions>false</trackRevisions>
    </reviewItem>
    <reviewItem>
      <errorID>7f7d6f21-c0b6-4453-b71a-639a5d884fa8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106B8BD7</paraID>
      <start>0</start>
      <end>2</end>
      <status>ignored</status>
      <modifiedWord/>
      <trackRevisions>false</trackRevisions>
    </reviewItem>
    <reviewItem>
      <errorID>2b6cf4fa-93c1-45a2-a663-73decf2cbc28</errorID>
      <errorWord>"</errorWord>
      <group>L1_Format</group>
      <groupName>格式问题</groupName>
      <ability>L2_HalfPunc</ability>
      <abilityName>全半角检查</abilityName>
      <candidateList/>
      <explain>文本全半角错误。</explain>
      <paraID> 2AADA85</paraID>
      <start>0</start>
      <end>1</end>
      <status>unmodified</status>
      <modifiedWord/>
      <trackRevisions>false</trackRevisions>
    </reviewItem>
    <reviewItem>
      <errorID>e2a104de-14d2-4e30-98fb-c7830b718f98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4D3DABDE</paraID>
      <start>0</start>
      <end>2</end>
      <status>ignored</status>
      <modifiedWord/>
      <trackRevisions>false</trackRevisions>
    </reviewItem>
    <reviewItem>
      <errorID>afd9396e-4890-4395-8f65-88e276df8c65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51C25226</paraID>
      <start>0</start>
      <end>8</end>
      <status>ignored</status>
      <modifiedWord/>
      <trackRevisions>false</trackRevisions>
    </reviewItem>
    <reviewItem>
      <errorID>01d058ba-7fa1-4d8a-ab6a-288a46c667ff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1A339D20</paraID>
      <start>0</start>
      <end>2</end>
      <status>ignored</status>
      <modifiedWord/>
      <trackRevisions>false</trackRevisions>
    </reviewItem>
    <reviewItem>
      <errorID>b954ccbb-93cb-4e36-b25f-3f0d44feae6a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157841BB</paraID>
      <start>0</start>
      <end>2</end>
      <status>ignored</status>
      <modifiedWord/>
      <trackRevisions>false</trackRevisions>
    </reviewItem>
    <reviewItem>
      <errorID>70257aa2-e68f-4b82-bc95-8c372b324efe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73FF8CA0</paraID>
      <start>0</start>
      <end>2</end>
      <status>ignored</status>
      <modifiedWord/>
      <trackRevisions>false</trackRevisions>
    </reviewItem>
    <reviewItem>
      <errorID>fde1776c-e65c-442f-ac8e-c67ef3c76f15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1A91EBBE</paraID>
      <start>0</start>
      <end>2</end>
      <status>ignored</status>
      <modifiedWord/>
      <trackRevisions>false</trackRevisions>
    </reviewItem>
    <reviewItem>
      <errorID>1030d69b-8eee-4739-9d7a-69a12abd326f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410C08D5</paraID>
      <start>0</start>
      <end>2</end>
      <status>ignored</status>
      <modifiedWord/>
      <trackRevisions>false</trackRevisions>
    </reviewItem>
    <reviewItem>
      <errorID>b1ee1ab1-7bec-4705-ab90-03b80d699e41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410C08D5</paraID>
      <start>24</start>
      <end>32</end>
      <status>ignored</status>
      <modifiedWord/>
      <trackRevisions>false</trackRevisions>
    </reviewItem>
    <reviewItem>
      <errorID>02b03a34-7797-42b0-bc41-d14d1ed5d8bf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7B759568</paraID>
      <start>0</start>
      <end>2</end>
      <status>ignored</status>
      <modifiedWord/>
      <trackRevisions>false</trackRevisions>
    </reviewItem>
    <reviewItem>
      <errorID>00a7be05-a171-4c87-899a-93b10e785c0d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1485DAF7</paraID>
      <start>0</start>
      <end>2</end>
      <status>ignored</status>
      <modifiedWord/>
      <trackRevisions>false</trackRevisions>
    </reviewItem>
    <reviewItem>
      <errorID>156bb81e-da9f-4431-90d8-9baa5e0b825c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5EC6C10B</paraID>
      <start>0</start>
      <end>2</end>
      <status>ignored</status>
      <modifiedWord/>
      <trackRevisions>false</trackRevisions>
    </reviewItem>
    <reviewItem>
      <errorID>053dd706-7cd9-4bd4-8b33-0b4640eb0b6c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1DD9B35B</paraID>
      <start>0</start>
      <end>2</end>
      <status>ignored</status>
      <modifiedWord/>
      <trackRevisions>false</trackRevisions>
    </reviewItem>
    <reviewItem>
      <errorID>a6fe4ae8-e0ba-4c72-a4d8-e824741a464f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4F92F0BC</paraID>
      <start>0</start>
      <end>2</end>
      <status>ignored</status>
      <modifiedWord/>
      <trackRevisions>false</trackRevisions>
    </reviewItem>
    <reviewItem>
      <errorID>0a15fcaf-677e-485a-9974-0391a9d2b3ad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77652CB6</paraID>
      <start>0</start>
      <end>2</end>
      <status>ignored</status>
      <modifiedWord/>
      <trackRevisions>false</trackRevisions>
    </reviewItem>
    <reviewItem>
      <errorID>f25700e0-90df-4877-8b03-532b19686105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764B010D</paraID>
      <start>0</start>
      <end>2</end>
      <status>ignored</status>
      <modifiedWord/>
      <trackRevisions>false</trackRevisions>
    </reviewItem>
    <reviewItem>
      <errorID>89fa8916-8b4f-4788-bd61-fd7f764785e8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3DC9B72D</paraID>
      <start>0</start>
      <end>2</end>
      <status>ignored</status>
      <modifiedWord/>
      <trackRevisions>false</trackRevisions>
    </reviewItem>
    <reviewItem>
      <errorID>91f5c95b-b0b9-4ac7-9e69-01e26a25a749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5F23443C</paraID>
      <start>2</start>
      <end>10</end>
      <status>ignored</status>
      <modifiedWord/>
      <trackRevisions>false</trackRevisions>
    </reviewItem>
    <reviewItem>
      <errorID>3fb1f599-d05b-4182-9cfd-2b289c334b78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28056003</paraID>
      <start>2</start>
      <end>10</end>
      <status>ignored</status>
      <modifiedWord/>
      <trackRevisions>false</trackRevisions>
    </reviewItem>
    <reviewItem>
      <errorID>4238e4fa-765e-408d-9a41-4a339bf7b821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6B93D887</paraID>
      <start>2</start>
      <end>10</end>
      <status>ignored</status>
      <modifiedWord/>
      <trackRevisions>false</trackRevisions>
    </reviewItem>
    <reviewItem>
      <errorID>f3867cb1-e900-4e85-a929-e74792ab99c2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37A28644</paraID>
      <start>13</start>
      <end>15</end>
      <status>modified</status>
      <modifiedWord>》《</modifiedWord>
      <trackRevisions>false</trackRevisions>
    </reviewItem>
    <reviewItem>
      <errorID>9316d482-6713-4df1-889e-b9166b772389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4B88140F</paraID>
      <start>0</start>
      <end>2</end>
      <status>ignored</status>
      <modifiedWord/>
      <trackRevisions>false</trackRevisions>
    </reviewItem>
    <reviewItem>
      <errorID>295df7ca-f81c-4388-85fc-e3ce6fd2a631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1A7DAFAB</paraID>
      <start>0</start>
      <end>2</end>
      <status>ignored</status>
      <modifiedWord/>
      <trackRevisions>false</trackRevisions>
    </reviewItem>
    <reviewItem>
      <errorID>c0c4b7dc-0676-4c87-9ee9-fab17efdca45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7AFEBA9F</paraID>
      <start>0</start>
      <end>2</end>
      <status>ignored</status>
      <modifiedWord/>
      <trackRevisions>false</trackRevisions>
    </reviewItem>
    <reviewItem>
      <errorID>5d6272c0-4a66-498b-ad80-298c0810796e</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33A71EB6</paraID>
      <start>12</start>
      <end>18</end>
      <status>modified</status>
      <modifiedWord>“三公”经费</modifiedWord>
      <trackRevisions>false</trackRevisions>
    </reviewItem>
    <reviewItem>
      <errorID>97aba4ca-b2ab-49b6-abaa-0526686769d0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12CCE789</paraID>
      <start>0</start>
      <end>2</end>
      <status>ignored</status>
      <modifiedWord/>
      <trackRevisions>false</trackRevisions>
    </reviewItem>
    <reviewItem>
      <errorID>6a71e8cb-ffda-496a-8ec3-e46b5433f16c</errorID>
      <errorWord>办人民满意的教育</errorWord>
      <group>L1_Political</group>
      <groupName>政治性问题</groupName>
      <ability>L2_Unpolitical</ability>
      <abilityName>政治敏感错误</abilityName>
      <candidateList>
        <item>办好人民满意的教育</item>
      </candidateList>
      <explain/>
      <paraID>1AF7BD32</paraID>
      <start>26</start>
      <end>35</end>
      <status>modified</status>
      <modifiedWord>办好人民满意的教育</modifiedWord>
      <trackRevisions>false</trackRevisions>
    </reviewItem>
    <reviewItem>
      <errorID>1da255a2-59c7-458c-b93a-4d4616e36f1a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381931E3</paraID>
      <start>0</start>
      <end>2</end>
      <status>ignored</status>
      <modifiedWord/>
      <trackRevisions>false</trackRevisions>
    </reviewItem>
    <reviewItem>
      <errorID>2be046ea-9720-4138-9691-3e7f40039a51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1A273A12</paraID>
      <start>0</start>
      <end>2</end>
      <status>ignored</status>
      <modifiedWord/>
      <trackRevisions>false</trackRevisions>
    </reviewItem>
    <reviewItem>
      <errorID>2c7a351d-a4cd-4127-9ac0-b160a9ebca45</errorID>
      <errorWord>办人民满意的教育</errorWord>
      <group>L1_Political</group>
      <groupName>政治性问题</groupName>
      <ability>L2_Unpolitical</ability>
      <abilityName>政治敏感错误</abilityName>
      <candidateList>
        <item>办好人民满意的教育</item>
      </candidateList>
      <explain/>
      <paraID>583DED8B</paraID>
      <start>26</start>
      <end>35</end>
      <status>modified</status>
      <modifiedWord>办好人民满意的教育</modifiedWord>
      <trackRevisions>false</trackRevisions>
    </reviewItem>
    <reviewItem>
      <errorID>45d6116e-e43b-4baa-8d07-4bc2d4ac2266</errorID>
      <errorWord>,</errorWord>
      <group>L1_Format</group>
      <groupName>格式问题</groupName>
      <ability>L2_HalfPunc</ability>
      <abilityName>全半角检查</abilityName>
      <candidateList>
        <item>，</item>
      </candidateList>
      <explain>文本全半角错误。</explain>
      <paraID>5388B70D</paraID>
      <start>47</start>
      <end>48</end>
      <status>modified</status>
      <modifiedWord>，</modifiedWord>
      <trackRevisions>false</trackRevisions>
    </reviewItem>
    <reviewItem>
      <errorID>348a31a5-5e41-4cba-8876-45ad7da53dbb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5517E6D4</paraID>
      <start>0</start>
      <end>2</end>
      <status>ignored</status>
      <modifiedWord/>
      <trackRevisions>false</trackRevisions>
    </reviewItem>
    <reviewItem>
      <errorID>1e85c60b-f235-4a03-8339-d69786884be5</errorID>
      <errorWord>办人民满意的教育</errorWord>
      <group>L1_Political</group>
      <groupName>政治性问题</groupName>
      <ability>L2_Unpolitical</ability>
      <abilityName>政治敏感错误</abilityName>
      <candidateList>
        <item>办好人民满意的教育</item>
      </candidateList>
      <explain/>
      <paraID>461120AB</paraID>
      <start>24</start>
      <end>33</end>
      <status>modified</status>
      <modifiedWord>办好人民满意的教育</modifiedWord>
      <trackRevisions>false</trackRevisions>
    </reviewItem>
    <reviewItem>
      <errorID>c2e39345-863b-4e09-af4e-9d251d88a19c</errorID>
      <errorWord>办人民满意的教育</errorWord>
      <group>L1_Political</group>
      <groupName>政治性问题</groupName>
      <ability>L2_Unpolitical</ability>
      <abilityName>政治敏感错误</abilityName>
      <candidateList>
        <item>办好人民满意的教育</item>
      </candidateList>
      <explain/>
      <paraID>64EC2355</paraID>
      <start>26</start>
      <end>35</end>
      <status>modified</status>
      <modifiedWord>办好人民满意的教育</modifiedWord>
      <trackRevisions>false</trackRevisions>
    </reviewItem>
    <reviewItem>
      <errorID>c27cc9c6-8d8c-41e2-a93e-542a4d79399c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7BA27529</paraID>
      <start>0</start>
      <end>2</end>
      <status>ignored</status>
      <modifiedWord/>
      <trackRevisions>false</trackRevisions>
    </reviewItem>
    <reviewItem>
      <errorID>dddac383-e632-4b55-8480-d3ead5ed771a</errorID>
      <errorWord>办人民满意的教育</errorWord>
      <group>L1_Political</group>
      <groupName>政治性问题</groupName>
      <ability>L2_Unpolitical</ability>
      <abilityName>政治敏感错误</abilityName>
      <candidateList>
        <item>办好人民满意的教育</item>
      </candidateList>
      <explain/>
      <paraID> BC7A816</paraID>
      <start>26</start>
      <end>35</end>
      <status>modified</status>
      <modifiedWord>办好人民满意的教育</modifiedWord>
      <trackRevisions>false</trackRevisions>
    </reviewItem>
    <reviewItem>
      <errorID>e895346b-e4c4-4ba1-98b4-bee63a72b2f4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54F3F372</paraID>
      <start>0</start>
      <end>8</end>
      <status>ignored</status>
      <modifiedWord/>
      <trackRevisions>false</trackRevisions>
    </reviewItem>
    <reviewItem>
      <errorID>9eb3bb77-42f0-417e-99e5-d13aab8d5922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2843AA25</paraID>
      <start>0</start>
      <end>2</end>
      <status>ignored</status>
      <modifiedWord/>
      <trackRevisions>false</trackRevisions>
    </reviewItem>
    <reviewItem>
      <errorID>266d5b21-168c-4a5f-a8b0-2a64ff1292cc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2E665E71</paraID>
      <start>0</start>
      <end>2</end>
      <status>ignored</status>
      <modifiedWord/>
      <trackRevisions>false</trackRevisions>
    </reviewItem>
    <reviewItem>
      <errorID>f3e3f72e-0965-429b-9594-44d2ff9f3398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5A0A74B4</paraID>
      <start>0</start>
      <end>2</end>
      <status>ignored</status>
      <modifiedWord/>
      <trackRevisions>false</trackRevisions>
    </reviewItem>
    <reviewItem>
      <errorID>fbf496e1-e457-45e8-9cd9-36f043721374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45E4BDF7</paraID>
      <start>0</start>
      <end>2</end>
      <status>ignored</status>
      <modifiedWord/>
      <trackRevisions>false</trackRevisions>
    </reviewItem>
    <reviewItem>
      <errorID>23fa8958-b8a6-4983-8b85-286d75a2e97a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5BB98667</paraID>
      <start>0</start>
      <end>2</end>
      <status>ignored</status>
      <modifiedWord/>
      <trackRevisions>false</trackRevisions>
    </reviewItem>
    <reviewItem>
      <errorID>85a99021-748b-463e-9714-c6f106ea16b2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5BB98667</paraID>
      <start>24</start>
      <end>32</end>
      <status>ignored</status>
      <modifiedWord/>
      <trackRevisions>false</trackRevisions>
    </reviewItem>
    <reviewItem>
      <errorID>a482959d-630e-49ea-82cf-5667ad67c501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4E952189</paraID>
      <start>0</start>
      <end>2</end>
      <status>ignored</status>
      <modifiedWord/>
      <trackRevisions>false</trackRevisions>
    </reviewItem>
    <reviewItem>
      <errorID>2c8aa10b-8fae-4cbd-8424-c977e4455cc9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538BCB5E</paraID>
      <start>0</start>
      <end>2</end>
      <status>ignored</status>
      <modifiedWord/>
      <trackRevisions>false</trackRevisions>
    </reviewItem>
    <reviewItem>
      <errorID>b9c76697-1b08-4817-9571-b0d232d6eca7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72EE15E2</paraID>
      <start>0</start>
      <end>2</end>
      <status>ignored</status>
      <modifiedWord/>
      <trackRevisions>false</trackRevisions>
    </reviewItem>
    <reviewItem>
      <errorID>e3f3bcdd-3817-4d89-b4ae-c7f595e2793d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2AF760FA</paraID>
      <start>0</start>
      <end>2</end>
      <status>ignored</status>
      <modifiedWord/>
      <trackRevisions>false</trackRevisions>
    </reviewItem>
    <reviewItem>
      <errorID>fe9c037b-291b-49ec-878f-ab79ad31e1aa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65237347</paraID>
      <start>0</start>
      <end>2</end>
      <status>ignored</status>
      <modifiedWord/>
      <trackRevisions>false</trackRevisions>
    </reviewItem>
    <reviewItem>
      <errorID>263093e6-7f46-4113-9219-bd19b1488084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399FCF8C</paraID>
      <start>0</start>
      <end>2</end>
      <status>ignored</status>
      <modifiedWord/>
      <trackRevisions>false</trackRevisions>
    </reviewItem>
    <reviewItem>
      <errorID>dc6bf7bb-06ac-4e94-bfb5-bd4a7546053a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74851C39</paraID>
      <start>0</start>
      <end>2</end>
      <status>ignored</status>
      <modifiedWord/>
      <trackRevisions>false</trackRevisions>
    </reviewItem>
    <reviewItem>
      <errorID>8ac5a53a-0d60-4e49-ba18-17cdeea24eff</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3D941620</paraID>
      <start>0</start>
      <end>2</end>
      <status>ignored</status>
      <modifiedWord/>
      <trackRevisions>false</trackRevisions>
    </reviewItem>
    <reviewItem>
      <errorID>977b0a9d-3509-4365-bed7-f4e5c16d7e34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1763AF34</paraID>
      <start>2</start>
      <end>10</end>
      <status>ignored</status>
      <modifiedWord/>
      <trackRevisions>false</trackRevisions>
    </reviewItem>
    <reviewItem>
      <errorID>fb368af0-a1b1-4f3d-b49f-6eddaf2738f1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71D0C083</paraID>
      <start>2</start>
      <end>10</end>
      <status>ignored</status>
      <modifiedWord/>
      <trackRevisions>false</trackRevisions>
    </reviewItem>
    <reviewItem>
      <errorID>896d0cbf-c98c-49e2-a3e8-81c9c704167b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50F6F64A</paraID>
      <start>2</start>
      <end>10</end>
      <status>ignored</status>
      <modifiedWord/>
      <trackRevisions>false</trackRevisions>
    </reviewItem>
    <reviewItem>
      <errorID>9422df29-95bb-4152-a4b3-97112ed02476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2C45A98C</paraID>
      <start>13</start>
      <end>15</end>
      <status>modified</status>
      <modifiedWord>》《</modifiedWord>
      <trackRevisions>false</trackRevisions>
    </reviewItem>
    <reviewItem>
      <errorID>9492f621-71eb-4f72-b445-3051feef688b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531F1412</paraID>
      <start>0</start>
      <end>2</end>
      <status>ignored</status>
      <modifiedWord/>
      <trackRevisions>false</trackRevisions>
    </reviewItem>
    <reviewItem>
      <errorID>aa6490f4-87ee-4eb7-938a-fe07f816c8be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5DABD7</paraID>
      <start>0</start>
      <end>2</end>
      <status>ignored</status>
      <modifiedWord/>
      <trackRevisions>false</trackRevisions>
    </reviewItem>
    <reviewItem>
      <errorID>317e255e-a93d-4b2d-b928-1abb8e86ae87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7ED68079</paraID>
      <start>0</start>
      <end>2</end>
      <status>ignored</status>
      <modifiedWord/>
      <trackRevisions>false</trackRevisions>
    </reviewItem>
    <reviewItem>
      <errorID>7c46b639-2339-4ec8-80a4-83f2091099d6</errorID>
      <errorWord>)</errorWord>
      <group>L1_Format</group>
      <groupName>格式问题</groupName>
      <ability>L2_HalfPunc</ability>
      <abilityName>全半角检查</abilityName>
      <candidateList>
        <item>）</item>
      </candidateList>
      <explain>文本全半角错误。</explain>
      <paraID> F2A880B</paraID>
      <start>82</start>
      <end>83</end>
      <status>modified</status>
      <modifiedWord>）</modifiedWord>
      <trackRevisions>false</trackRevisions>
    </reviewItem>
    <reviewItem>
      <errorID>5d71d0b5-779c-46a9-b3dc-f9f1b51aa440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4B77977C</paraID>
      <start>0</start>
      <end>2</end>
      <status>ignored</status>
      <modifiedWord/>
      <trackRevisions>false</trackRevisions>
    </reviewItem>
    <reviewItem>
      <errorID>816b85ca-be91-40dd-9b68-7cc68dce0ba6</errorID>
      <errorWord>保障保障</errorWord>
      <group>L1_Word</group>
      <groupName>字词问题</groupName>
      <ability>L2_Typo</ability>
      <abilityName>字词错误</abilityName>
      <candidateList>
        <item>保障</item>
      </candidateList>
      <explain/>
      <paraID>49B18EDC</paraID>
      <start>20</start>
      <end>22</end>
      <status>modified</status>
      <modifiedWord>保障</modifiedWord>
      <trackRevisions>false</trackRevisions>
    </reviewItem>
    <reviewItem>
      <errorID>3f24db60-9bb7-4719-84cd-ec7c1d2d6b02</errorID>
      <errorWord>收益</errorWord>
      <group>L1_Word</group>
      <groupName>字词问题</groupName>
      <ability>L2_Typo</ability>
      <abilityName>字词错误</abilityName>
      <candidateList>
        <item>受益</item>
      </candidateList>
      <explain>〈动〉得到好处；受到利益：～良多｜水库修好后，～地区很大。</explain>
      <paraID>51B5CEF9</paraID>
      <start>0</start>
      <end>2</end>
      <status>modified</status>
      <modifiedWord>受益</modifiedWord>
      <trackRevisions>false</trackRevisions>
    </reviewItem>
    <reviewItem>
      <errorID>88831d3d-729a-406d-ba24-0d7d84e6e632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6F591011</paraID>
      <start>0</start>
      <end>2</end>
      <status>ignored</status>
      <modifiedWord/>
      <trackRevisions>false</trackRevisions>
    </reviewItem>
    <reviewItem>
      <errorID>9412f302-bdf1-4119-8350-99c500f0bc1e</errorID>
      <errorWord>保障保障</errorWord>
      <group>L1_Word</group>
      <groupName>字词问题</groupName>
      <ability>L2_Typo</ability>
      <abilityName>字词错误</abilityName>
      <candidateList>
        <item>保障</item>
      </candidateList>
      <explain/>
      <paraID>65D0EBE9</paraID>
      <start>18</start>
      <end>20</end>
      <status>modified</status>
      <modifiedWord>保障</modifiedWord>
      <trackRevisions>false</trackRevisions>
    </reviewItem>
    <reviewItem>
      <errorID>154d8602-6c8b-4dc9-9fbd-6fda84e391f4</errorID>
      <errorWord>保障保障</errorWord>
      <group>L1_Word</group>
      <groupName>字词问题</groupName>
      <ability>L2_Typo</ability>
      <abilityName>字词错误</abilityName>
      <candidateList>
        <item>保障</item>
      </candidateList>
      <explain/>
      <paraID>2A63C840</paraID>
      <start>20</start>
      <end>22</end>
      <status>modified</status>
      <modifiedWord>保障</modifiedWord>
      <trackRevisions>false</trackRevisions>
    </reviewItem>
    <reviewItem>
      <errorID>1c440f09-9234-4c46-b817-af198e1265b3</errorID>
      <errorWord>收益</errorWord>
      <group>L1_Word</group>
      <groupName>字词问题</groupName>
      <ability>L2_Typo</ability>
      <abilityName>字词错误</abilityName>
      <candidateList>
        <item>受益</item>
      </candidateList>
      <explain>〈动〉得到好处；受到利益：～良多｜水库修好后，～地区很大。</explain>
      <paraID>7C4A625D</paraID>
      <start>0</start>
      <end>2</end>
      <status>modified</status>
      <modifiedWord>受益</modifiedWord>
      <trackRevisions>false</trackRevisions>
    </reviewItem>
    <reviewItem>
      <errorID>d812695d-b0a1-4bdf-9cb1-626aadc6fe4c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AC19532</paraID>
      <start>0</start>
      <end>2</end>
      <status>ignored</status>
      <modifiedWord/>
      <trackRevisions>false</trackRevisions>
    </reviewItem>
    <reviewItem>
      <errorID>10fc27c4-7005-4ee5-85c4-8548ee55874a</errorID>
      <errorWord>收益</errorWord>
      <group>L1_Word</group>
      <groupName>字词问题</groupName>
      <ability>L2_Typo</ability>
      <abilityName>字词错误</abilityName>
      <candidateList>
        <item>受益</item>
      </candidateList>
      <explain>存在发音相同字词的误用。</explain>
      <paraID>2A766223</paraID>
      <start>0</start>
      <end>2</end>
      <status>modified</status>
      <modifiedWord>受益</modifiedWord>
      <trackRevisions>false</trackRevisions>
    </reviewItem>
    <reviewItem>
      <errorID>babff155-b159-4837-bea6-8beb552cd0d9</errorID>
      <errorWord>收益</errorWord>
      <group>L1_Word</group>
      <groupName>字词问题</groupName>
      <ability>L2_Typo</ability>
      <abilityName>字词错误</abilityName>
      <candidateList>
        <item>受益</item>
      </candidateList>
      <explain>存在发音相同字词的误用。</explain>
      <paraID>3EF6D4A2</paraID>
      <start>0</start>
      <end>2</end>
      <status>modified</status>
      <modifiedWord>受益</modifiedWord>
      <trackRevisions>false</trackRevisions>
    </reviewItem>
    <reviewItem>
      <errorID>b0251d11-cdd8-4437-bea9-4ffaa2b20190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198F9B34</paraID>
      <start>0</start>
      <end>2</end>
      <status>ignored</status>
      <modifiedWord/>
      <trackRevisions>false</trackRevisions>
    </reviewItem>
    <reviewItem>
      <errorID>4301f134-8242-48a9-8b2e-d41db335c388</errorID>
      <errorWord>收益</errorWord>
      <group>L1_Word</group>
      <groupName>字词问题</groupName>
      <ability>L2_Typo</ability>
      <abilityName>字词错误</abilityName>
      <candidateList>
        <item>受益</item>
      </candidateList>
      <explain>〈动〉得到好处；受到利益：～良多｜水库修好后，～地区很大。</explain>
      <paraID>530DFE8F</paraID>
      <start>0</start>
      <end>2</end>
      <status>modified</status>
      <modifiedWord>受益</modifiedWord>
      <trackRevisions>false</trackRevisions>
    </reviewItem>
    <reviewItem>
      <errorID>f4b4de19-004e-42a4-9655-5d10ed84f5d8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4401EAED</paraID>
      <start>0</start>
      <end>8</end>
      <status>ignored</status>
      <modifiedWord/>
      <trackRevisions>false</trackRevisions>
    </reviewItem>
    <reviewItem>
      <errorID>2d9444f0-b30b-4706-b69b-d58e89c301a5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1EE57B50</paraID>
      <start>0</start>
      <end>2</end>
      <status>ignored</status>
      <modifiedWord/>
      <trackRevisions>false</trackRevisions>
    </reviewItem>
    <reviewItem>
      <errorID>19614b07-e233-4394-95ba-e89ff34a1ba0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1A2E408C</paraID>
      <start>0</start>
      <end>2</end>
      <status>ignored</status>
      <modifiedWord/>
      <trackRevisions>false</trackRevisions>
    </reviewItem>
    <reviewItem>
      <errorID>3116072f-9547-4438-979d-9b06f7e7a5a8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761F8797</paraID>
      <start>0</start>
      <end>2</end>
      <status>ignored</status>
      <modifiedWord/>
      <trackRevisions>false</trackRevisions>
    </reviewItem>
    <reviewItem>
      <errorID>b070db70-ab33-40a2-accd-c0ed59c66d22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7EF675A1</paraID>
      <start>0</start>
      <end>2</end>
      <status>ignored</status>
      <modifiedWord/>
      <trackRevisions>false</trackRevisions>
    </reviewItem>
    <reviewItem>
      <errorID>955980ce-2fda-4fdc-80f8-835603541964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3B85C4D</paraID>
      <start>0</start>
      <end>2</end>
      <status>ignored</status>
      <modifiedWord/>
      <trackRevisions>false</trackRevisions>
    </reviewItem>
    <reviewItem>
      <errorID>2aa76d2b-2d4d-450f-a01d-43a55dc7ed7f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3B85C4D</paraID>
      <start>24</start>
      <end>32</end>
      <status>ignored</status>
      <modifiedWord/>
      <trackRevisions>false</trackRevisions>
    </reviewItem>
    <reviewItem>
      <errorID>5d220996-7c3a-4f9b-9e65-8f3c0c05ea23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79929192</paraID>
      <start>0</start>
      <end>2</end>
      <status>ignored</status>
      <modifiedWord/>
      <trackRevisions>false</trackRevisions>
    </reviewItem>
    <reviewItem>
      <errorID>090d29cd-caae-41af-9ec6-be98b4602c40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7B6C5CBC</paraID>
      <start>0</start>
      <end>2</end>
      <status>ignored</status>
      <modifiedWord/>
      <trackRevisions>false</trackRevisions>
    </reviewItem>
    <reviewItem>
      <errorID>326153af-2e39-4ce2-983b-37e087824239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439283F</paraID>
      <start>0</start>
      <end>2</end>
      <status>ignored</status>
      <modifiedWord/>
      <trackRevisions>false</trackRevisions>
    </reviewItem>
    <reviewItem>
      <errorID>c91e89b2-9ec3-4252-9e9d-becb0e1739e7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65265419</paraID>
      <start>0</start>
      <end>2</end>
      <status>ignored</status>
      <modifiedWord/>
      <trackRevisions>false</trackRevisions>
    </reviewItem>
    <reviewItem>
      <errorID>632eb723-6722-4aab-adc7-d4e7c10e4e28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2B9F5B81</paraID>
      <start>0</start>
      <end>2</end>
      <status>ignored</status>
      <modifiedWord/>
      <trackRevisions>false</trackRevisions>
    </reviewItem>
    <reviewItem>
      <errorID>6797a622-180a-443e-b07f-68bd1fb39453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1637058F</paraID>
      <start>0</start>
      <end>2</end>
      <status>ignored</status>
      <modifiedWord/>
      <trackRevisions>false</trackRevisions>
    </reviewItem>
    <reviewItem>
      <errorID>d62f2483-33ea-44ab-90cc-0ec3916b2a04</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65515DAA</paraID>
      <start>0</start>
      <end>2</end>
      <status>ignored</status>
      <modifiedWord/>
      <trackRevisions>false</trackRevisions>
    </reviewItem>
    <reviewItem>
      <errorID>5d107898-7540-4086-bf0e-c086f81bb2de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F871932</paraID>
      <start>0</start>
      <end>2</end>
      <status>ignored</status>
      <modifiedWord/>
      <trackRevisions>false</trackRevisions>
    </reviewItem>
    <reviewItem>
      <errorID>8488fa8d-8b2a-41b5-a165-7326b919958b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48ED6406</paraID>
      <start>2</start>
      <end>10</end>
      <status>ignored</status>
      <modifiedWord/>
      <trackRevisions>false</trackRevisions>
    </reviewItem>
    <reviewItem>
      <errorID>9bf386aa-be98-4f7a-bae0-b4e878149cd2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1A6DCF04</paraID>
      <start>2</start>
      <end>10</end>
      <status>ignored</status>
      <modifiedWord/>
      <trackRevisions>false</trackRevisions>
    </reviewItem>
    <reviewItem>
      <errorID>1fcde99d-00ad-4988-8bbb-c7c04c1b8624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DD3630E</paraID>
      <start>2</start>
      <end>10</end>
      <status>ignored</status>
      <modifiedWord/>
      <trackRevisions>false</trackRevisions>
    </reviewItem>
    <reviewItem>
      <errorID>a348cd93-d436-476b-bd33-9015d5eb7e86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530154EB</paraID>
      <start>13</start>
      <end>15</end>
      <status>modified</status>
      <modifiedWord>》《</modifiedWord>
      <trackRevisions>false</trackRevisions>
    </reviewItem>
    <reviewItem>
      <errorID>f8e00604-776e-4fc4-8dd9-bbdb950c9569</errorID>
      <errorWord>(</errorWord>
      <group>L1_Format</group>
      <groupName>格式问题</groupName>
      <ability>L2_HalfPunc</ability>
      <abilityName>全半角检查</abilityName>
      <candidateList>
        <item>（</item>
      </candidateList>
      <explain>文本全半角错误。</explain>
      <paraID>3E8CE571</paraID>
      <start>140</start>
      <end>141</end>
      <status>modified</status>
      <modifiedWord>（</modifiedWord>
      <trackRevisions>false</trackRevisions>
    </reviewItem>
    <reviewItem>
      <errorID>5ecd77dd-1556-4af8-ac9d-4a18d5d62343</errorID>
      <errorWord>,</errorWord>
      <group>L1_Format</group>
      <groupName>格式问题</groupName>
      <ability>L2_HalfPunc</ability>
      <abilityName>全半角检查</abilityName>
      <candidateList>
        <item>，</item>
      </candidateList>
      <explain>文本全半角错误。</explain>
      <paraID>3E8CE571</paraID>
      <start>145</start>
      <end>146</end>
      <status>modified</status>
      <modifiedWord>，</modifiedWord>
      <trackRevisions>false</trackRevisions>
    </reviewItem>
    <reviewItem>
      <errorID>09201c00-8864-4bcd-983a-ee5d300779c1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136CB42A</paraID>
      <start>0</start>
      <end>2</end>
      <status>ignored</status>
      <modifiedWord/>
      <trackRevisions>false</trackRevisions>
    </reviewItem>
    <reviewItem>
      <errorID>5e0dd06b-5ce1-4bb6-992f-ec644de53979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467618DF</paraID>
      <start>0</start>
      <end>2</end>
      <status>ignored</status>
      <modifiedWord/>
      <trackRevisions>false</trackRevisions>
    </reviewItem>
    <reviewItem>
      <errorID>bd954606-4398-4b7c-97f0-a4be5060f7cc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67DB2DC</paraID>
      <start>0</start>
      <end>2</end>
      <status>ignored</status>
      <modifiedWord/>
      <trackRevisions>false</trackRevisions>
    </reviewItem>
    <reviewItem>
      <errorID>6aefc7d7-1952-4ab1-85a9-1301014f8ead</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7BF3A3D8</paraID>
      <start>12</start>
      <end>18</end>
      <status>modified</status>
      <modifiedWord>“三公”经费</modifiedWord>
      <trackRevisions>false</trackRevisions>
    </reviewItem>
    <reviewItem>
      <errorID>ed19231a-eb2b-4fbe-843b-c10fd4ac89ac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7DA80961</paraID>
      <start>0</start>
      <end>2</end>
      <status>ignored</status>
      <modifiedWord/>
      <trackRevisions>false</trackRevisions>
    </reviewItem>
    <reviewItem>
      <errorID>53ae468f-99d6-4407-825c-cfb28ec02f85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69909339</paraID>
      <start>0</start>
      <end>2</end>
      <status>ignored</status>
      <modifiedWord/>
      <trackRevisions>false</trackRevisions>
    </reviewItem>
    <reviewItem>
      <errorID>94048725-471e-4ef4-8b43-408f01c46d29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9C48EBD</paraID>
      <start>0</start>
      <end>2</end>
      <status>ignored</status>
      <modifiedWord/>
      <trackRevisions>false</trackRevisions>
    </reviewItem>
    <reviewItem>
      <errorID>e8b2def8-d923-459e-83f3-d3d960f67002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35AA72D1</paraID>
      <start>0</start>
      <end>2</end>
      <status>ignored</status>
      <modifiedWord/>
      <trackRevisions>false</trackRevisions>
    </reviewItem>
    <reviewItem>
      <errorID>adec9737-4c0b-4387-a8c9-cec91ca222a1</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57731120</paraID>
      <start>20</start>
      <end>21</end>
      <status>modified</status>
      <modifiedWord>地</modifiedWord>
      <trackRevisions>false</trackRevisions>
    </reviewItem>
    <reviewItem>
      <errorID>a945b6fe-e391-498f-8452-7167d1be41ab</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5E3C3CA8</paraID>
      <start>22</start>
      <end>23</end>
      <status>modified</status>
      <modifiedWord>地</modifiedWord>
      <trackRevisions>false</trackRevisions>
    </reviewItem>
    <reviewItem>
      <errorID>879df253-63cc-4c45-93b9-f34a4b78a01d</errorID>
      <errorWord>调查调查</errorWord>
      <group>L1_Word</group>
      <groupName>字词问题</groupName>
      <ability>L2_Typo</ability>
      <abilityName>字词错误</abilityName>
      <candidateList>
        <item>调查</item>
      </candidateList>
      <explain>〈动〉为了了解情况进行考察（多指到现场）：～事实真相｜没有～，就没有发言权｜事情还没有～清楚，不能忙着处理。</explain>
      <paraID>4CF501A4</paraID>
      <start>5</start>
      <end>7</end>
      <status>modified</status>
      <modifiedWord>调查</modifiedWord>
      <trackRevisions>false</trackRevisions>
    </reviewItem>
    <reviewItem>
      <errorID>d2ecad01-2899-4fe9-b333-258c2645f565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2D323499</paraID>
      <start>0</start>
      <end>2</end>
      <status>ignored</status>
      <modifiedWord/>
      <trackRevisions>false</trackRevisions>
    </reviewItem>
    <reviewItem>
      <errorID>ea4312f8-654e-44a2-9c35-71fdada5da55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41469C0D</paraID>
      <start>0</start>
      <end>8</end>
      <status>ignored</status>
      <modifiedWord/>
      <trackRevisions>false</trackRevisions>
    </reviewItem>
    <reviewItem>
      <errorID>00c06163-98cb-4c6e-809f-b8eb51caccee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65A5F8B9</paraID>
      <start>0</start>
      <end>2</end>
      <status>ignored</status>
      <modifiedWord/>
      <trackRevisions>false</trackRevisions>
    </reviewItem>
    <reviewItem>
      <errorID>332b98c7-90c6-4bdb-b3c9-40884dd24a9f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51B9A719</paraID>
      <start>0</start>
      <end>2</end>
      <status>ignored</status>
      <modifiedWord/>
      <trackRevisions>false</trackRevisions>
    </reviewItem>
    <reviewItem>
      <errorID>c671ec2c-b6e0-4bd9-bc38-555c86618959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7D387C0F</paraID>
      <start>0</start>
      <end>2</end>
      <status>ignored</status>
      <modifiedWord/>
      <trackRevisions>false</trackRevisions>
    </reviewItem>
    <reviewItem>
      <errorID>846cd482-a128-453b-9c2e-27be7f3547c1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6E424846</paraID>
      <start>0</start>
      <end>2</end>
      <status>ignored</status>
      <modifiedWord/>
      <trackRevisions>false</trackRevisions>
    </reviewItem>
    <reviewItem>
      <errorID>795439e2-bb86-42af-bf5c-22ad0f9634e2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23CAD41D</paraID>
      <start>0</start>
      <end>2</end>
      <status>ignored</status>
      <modifiedWord/>
      <trackRevisions>false</trackRevisions>
    </reviewItem>
    <reviewItem>
      <errorID>e448956e-5654-4bf2-a28e-fdd2befcc857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23CAD41D</paraID>
      <start>24</start>
      <end>32</end>
      <status>ignored</status>
      <modifiedWord/>
      <trackRevisions>false</trackRevisions>
    </reviewItem>
    <reviewItem>
      <errorID>675b991b-4956-44b5-bc1d-f8bdd7df78cc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26CC540E</paraID>
      <start>0</start>
      <end>2</end>
      <status>ignored</status>
      <modifiedWord/>
      <trackRevisions>false</trackRevisions>
    </reviewItem>
    <reviewItem>
      <errorID>39ce10de-e89f-4854-b3dc-cd753d717f58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727FAD20</paraID>
      <start>0</start>
      <end>2</end>
      <status>ignored</status>
      <modifiedWord/>
      <trackRevisions>false</trackRevisions>
    </reviewItem>
    <reviewItem>
      <errorID>41725623-6c99-4134-8957-8a65f592bb95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366E0ADB</paraID>
      <start>0</start>
      <end>2</end>
      <status>ignored</status>
      <modifiedWord/>
      <trackRevisions>false</trackRevisions>
    </reviewItem>
    <reviewItem>
      <errorID>06447d3f-d95f-4eee-b81e-f9fa0378fb07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4F20647</paraID>
      <start>0</start>
      <end>2</end>
      <status>ignored</status>
      <modifiedWord/>
      <trackRevisions>false</trackRevisions>
    </reviewItem>
    <reviewItem>
      <errorID>d8e3069c-089f-4b46-82d0-6251bac55aff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761966CD</paraID>
      <start>0</start>
      <end>2</end>
      <status>ignored</status>
      <modifiedWord/>
      <trackRevisions>false</trackRevisions>
    </reviewItem>
    <reviewItem>
      <errorID>c1557f25-c347-49c7-8135-daa149014906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45BA1AD7</paraID>
      <start>0</start>
      <end>2</end>
      <status>ignored</status>
      <modifiedWord/>
      <trackRevisions>false</trackRevisions>
    </reviewItem>
    <reviewItem>
      <errorID>663b38ac-8a83-4501-8602-f34fe1b8bb6c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8997A09</paraID>
      <start>0</start>
      <end>2</end>
      <status>ignored</status>
      <modifiedWord/>
      <trackRevisions>false</trackRevisions>
    </reviewItem>
    <reviewItem>
      <errorID>7bb38e3b-2009-4d6b-99e8-2ebd7d037529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54E1DBEA</paraID>
      <start>0</start>
      <end>2</end>
      <status>ignored</status>
      <modifiedWord/>
      <trackRevisions>false</trackRevisions>
    </reviewItem>
    <reviewItem>
      <errorID>eea932b7-5ebd-4e01-a421-747c6f6bf540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7D5826AE</paraID>
      <start>2</start>
      <end>10</end>
      <status>ignored</status>
      <modifiedWord/>
      <trackRevisions>false</trackRevisions>
    </reviewItem>
    <reviewItem>
      <errorID>cf75a843-4e90-44d3-8f36-98ab611afb9e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2A412786</paraID>
      <start>2</start>
      <end>10</end>
      <status>ignored</status>
      <modifiedWord/>
      <trackRevisions>false</trackRevisions>
    </reviewItem>
    <reviewItem>
      <errorID>dabd816f-428c-4f30-bdea-228b9989ee18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2ED0779B</paraID>
      <start>2</start>
      <end>10</end>
      <status>ignored</status>
      <modifiedWord/>
      <trackRevisions>false</trackRevisions>
    </reviewItem>
    <reviewItem>
      <errorID>8a51d3fd-f95b-412b-9146-bf6d2f655b1b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7FBE08D6</paraID>
      <start>13</start>
      <end>15</end>
      <status>modified</status>
      <modifiedWord>》《</modifiedWord>
      <trackRevisions>false</trackRevisions>
    </reviewItem>
    <reviewItem>
      <errorID>032aa37c-9b49-47b7-94e2-ff96cca46d81</errorID>
      <errorWord>(</errorWord>
      <group>L1_Format</group>
      <groupName>格式问题</groupName>
      <ability>L2_HalfPunc</ability>
      <abilityName>全半角检查</abilityName>
      <candidateList>
        <item>（</item>
      </candidateList>
      <explain>文本全半角错误。</explain>
      <paraID>50C95AD7</paraID>
      <start>26</start>
      <end>27</end>
      <status>modified</status>
      <modifiedWord>（</modifiedWord>
      <trackRevisions>false</trackRevisions>
    </reviewItem>
    <reviewItem>
      <errorID>d12ff6b8-a1fa-4342-baf0-de65d6e5db89</errorID>
      <errorWord>)</errorWord>
      <group>L1_Format</group>
      <groupName>格式问题</groupName>
      <ability>L2_HalfPunc</ability>
      <abilityName>全半角检查</abilityName>
      <candidateList>
        <item>）</item>
      </candidateList>
      <explain>文本全半角错误。</explain>
      <paraID>50C95AD7</paraID>
      <start>30</start>
      <end>31</end>
      <status>modified</status>
      <modifiedWord>）</modifiedWord>
      <trackRevisions>false</trackRevisions>
    </reviewItem>
    <reviewItem>
      <errorID>6c831b76-8896-40d6-a6d1-2c5c7246c3bd</errorID>
      <errorWord>(</errorWord>
      <group>L1_Format</group>
      <groupName>格式问题</groupName>
      <ability>L2_HalfPunc</ability>
      <abilityName>全半角检查</abilityName>
      <candidateList>
        <item>（</item>
      </candidateList>
      <explain>文本全半角错误。</explain>
      <paraID>50C95AD7</paraID>
      <start>37</start>
      <end>38</end>
      <status>modified</status>
      <modifiedWord>（</modifiedWord>
      <trackRevisions>false</trackRevisions>
    </reviewItem>
    <reviewItem>
      <errorID>d84aebc5-bf20-4d48-8fb1-e2a314714603</errorID>
      <errorWord>)</errorWord>
      <group>L1_Format</group>
      <groupName>格式问题</groupName>
      <ability>L2_HalfPunc</ability>
      <abilityName>全半角检查</abilityName>
      <candidateList>
        <item>）</item>
      </candidateList>
      <explain>文本全半角错误。</explain>
      <paraID>50C95AD7</paraID>
      <start>41</start>
      <end>42</end>
      <status>modified</status>
      <modifiedWord>）</modifiedWord>
      <trackRevisions>false</trackRevisions>
    </reviewItem>
    <reviewItem>
      <errorID>2507a976-6024-4da9-b73e-0b67d2877ce1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6286FAAB</paraID>
      <start>0</start>
      <end>2</end>
      <status>ignored</status>
      <modifiedWord/>
      <trackRevisions>false</trackRevisions>
    </reviewItem>
    <reviewItem>
      <errorID>2cdc55be-a93c-4525-9a8f-9daba7c62146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1E126E96</paraID>
      <start>0</start>
      <end>2</end>
      <status>ignored</status>
      <modifiedWord/>
      <trackRevisions>false</trackRevisions>
    </reviewItem>
    <reviewItem>
      <errorID>baec56c0-4b47-4be5-a930-6f51e0a9ffa5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C243623</paraID>
      <start>0</start>
      <end>2</end>
      <status>ignored</status>
      <modifiedWord/>
      <trackRevisions>false</trackRevisions>
    </reviewItem>
    <reviewItem>
      <errorID>c0ba7156-23a0-4268-af72-5d130bf0b1da</errorID>
      <errorWord>)</errorWord>
      <group>L1_Format</group>
      <groupName>格式问题</groupName>
      <ability>L2_HalfPunc</ability>
      <abilityName>全半角检查</abilityName>
      <candidateList>
        <item>）</item>
      </candidateList>
      <explain>文本全半角错误。</explain>
      <paraID>33F92A83</paraID>
      <start>82</start>
      <end>83</end>
      <status>modified</status>
      <modifiedWord>）</modifiedWord>
      <trackRevisions>false</trackRevisions>
    </reviewItem>
    <reviewItem>
      <errorID>43240d62-a6bd-40f8-808b-f56d121124e9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5D739FB9</paraID>
      <start>0</start>
      <end>2</end>
      <status>ignored</status>
      <modifiedWord/>
      <trackRevisions>false</trackRevisions>
    </reviewItem>
    <reviewItem>
      <errorID>68e8d7cb-d788-4db8-9a7c-a760e2446c3f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1C059E67</paraID>
      <start>0</start>
      <end>2</end>
      <status>ignored</status>
      <modifiedWord/>
      <trackRevisions>false</trackRevisions>
    </reviewItem>
    <reviewItem>
      <errorID>92e5e74c-12bf-4b70-848c-6d6dcef841d3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12E60E8E</paraID>
      <start>0</start>
      <end>2</end>
      <status>ignored</status>
      <modifiedWord/>
      <trackRevisions>false</trackRevisions>
    </reviewItem>
    <reviewItem>
      <errorID>ed84dea5-17ff-4675-92e5-9a7f5d53598d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77498DD1</paraID>
      <start>0</start>
      <end>2</end>
      <status>ignored</status>
      <modifiedWord/>
      <trackRevisions>false</trackRevisions>
    </reviewItem>
    <reviewItem>
      <errorID>cfa935f8-93b8-44d4-86be-aa031231ab80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1DECA8E3</paraID>
      <start>0</start>
      <end>2</end>
      <status>ignored</status>
      <modifiedWord/>
      <trackRevisions>false</trackRevisions>
    </reviewItem>
    <reviewItem>
      <errorID>46b5f1a5-5189-4c6c-ba30-912282d4c309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38E48400</paraID>
      <start>0</start>
      <end>2</end>
      <status>ignored</status>
      <modifiedWord/>
      <trackRevisions>false</trackRevisions>
    </reviewItem>
    <reviewItem>
      <errorID>5175ca13-bea0-4eda-9871-503752afebb8</errorID>
      <errorWord>"</errorWord>
      <group>L1_Format</group>
      <groupName>格式问题</groupName>
      <ability>L2_HalfPunc</ability>
      <abilityName>全半角检查</abilityName>
      <candidateList/>
      <explain>文本全半角错误。</explain>
      <paraID>4CF34662</paraID>
      <start>2</start>
      <end>3</end>
      <status>unmodified</status>
      <modifiedWord/>
      <trackRevisions>false</trackRevisions>
    </reviewItem>
    <reviewItem>
      <errorID>2124d750-38a1-4b19-857c-b0ab3c3a58d1</errorID>
      <errorWord>,</errorWord>
      <group>L1_Format</group>
      <groupName>格式问题</groupName>
      <ability>L2_HalfPunc</ability>
      <abilityName>全半角检查</abilityName>
      <candidateList>
        <item>，</item>
      </candidateList>
      <explain>文本全半角错误。</explain>
      <paraID>192165CA</paraID>
      <start>15</start>
      <end>16</end>
      <status>modified</status>
      <modifiedWord>，</modifiedWord>
      <trackRevisions>false</trackRevisions>
    </reviewItem>
    <reviewItem>
      <errorID>f2b3f56f-bb4b-40b5-9e37-d8973dcb1e28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7BD18FE0</paraID>
      <start>0</start>
      <end>8</end>
      <status>ignored</status>
      <modifiedWord/>
      <trackRevisions>false</trackRevisions>
    </reviewItem>
    <reviewItem>
      <errorID>19047c34-5171-40bc-bc9d-abc293a6576d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4EB986B6</paraID>
      <start>0</start>
      <end>2</end>
      <status>ignored</status>
      <modifiedWord/>
      <trackRevisions>false</trackRevisions>
    </reviewItem>
    <reviewItem>
      <errorID>ecdb6023-0619-4838-ab60-34f17be1bd3f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B83D4D9</paraID>
      <start>0</start>
      <end>2</end>
      <status>ignored</status>
      <modifiedWord/>
      <trackRevisions>false</trackRevisions>
    </reviewItem>
    <reviewItem>
      <errorID>fd0c54c3-9457-4991-94a9-bfefd611811b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C04D31A</paraID>
      <start>0</start>
      <end>2</end>
      <status>ignored</status>
      <modifiedWord/>
      <trackRevisions>false</trackRevisions>
    </reviewItem>
    <reviewItem>
      <errorID>fa018bad-6df0-43e5-9c95-6bd9142236c7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5B176E9F</paraID>
      <start>0</start>
      <end>2</end>
      <status>ignored</status>
      <modifiedWord/>
      <trackRevisions>false</trackRevisions>
    </reviewItem>
    <reviewItem>
      <errorID>97035522-6f1f-45d9-bb92-1d92918d60ff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5AA436</paraID>
      <start>0</start>
      <end>2</end>
      <status>ignored</status>
      <modifiedWord/>
      <trackRevisions>false</trackRevisions>
    </reviewItem>
    <reviewItem>
      <errorID>3e56cc03-08b7-4b3e-815b-f6afdbab10c9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5AA436</paraID>
      <start>24</start>
      <end>32</end>
      <status>ignored</status>
      <modifiedWord/>
      <trackRevisions>false</trackRevisions>
    </reviewItem>
    <reviewItem>
      <errorID>4249792c-1b3c-45c6-855d-303d4c7083da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497DD9E6</paraID>
      <start>0</start>
      <end>2</end>
      <status>ignored</status>
      <modifiedWord/>
      <trackRevisions>false</trackRevisions>
    </reviewItem>
    <reviewItem>
      <errorID>f180bdba-6618-4018-84c3-84e222317880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27638A82</paraID>
      <start>0</start>
      <end>2</end>
      <status>ignored</status>
      <modifiedWord/>
      <trackRevisions>false</trackRevisions>
    </reviewItem>
    <reviewItem>
      <errorID>f400d2d3-accb-4e93-ab54-549de81c3b6e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78535475</paraID>
      <start>0</start>
      <end>2</end>
      <status>ignored</status>
      <modifiedWord/>
      <trackRevisions>false</trackRevisions>
    </reviewItem>
    <reviewItem>
      <errorID>5ddebb0d-be24-46f4-abc8-d31e1808c2b8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3941B20A</paraID>
      <start>0</start>
      <end>2</end>
      <status>ignored</status>
      <modifiedWord/>
      <trackRevisions>false</trackRevisions>
    </reviewItem>
    <reviewItem>
      <errorID>efe315cf-4c3c-4208-961c-a28bf6bd2f1c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3DC4F504</paraID>
      <start>0</start>
      <end>2</end>
      <status>ignored</status>
      <modifiedWord/>
      <trackRevisions>false</trackRevisions>
    </reviewItem>
    <reviewItem>
      <errorID>b2e5a892-aff9-4b36-a570-96907ff9d883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28869EEB</paraID>
      <start>0</start>
      <end>2</end>
      <status>ignored</status>
      <modifiedWord/>
      <trackRevisions>false</trackRevisions>
    </reviewItem>
    <reviewItem>
      <errorID>c65f28c6-a82c-415e-a5f0-f23a68caa5c8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24BBB427</paraID>
      <start>0</start>
      <end>2</end>
      <status>ignored</status>
      <modifiedWord/>
      <trackRevisions>false</trackRevisions>
    </reviewItem>
    <reviewItem>
      <errorID>c8452ad0-bb56-468c-88db-28b93c8aa443</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596762B6</paraID>
      <start>0</start>
      <end>2</end>
      <status>ignored</status>
      <modifiedWord/>
      <trackRevisions>false</trackRevisions>
    </reviewItem>
    <reviewItem>
      <errorID>bd609b69-b818-4fb5-be62-15bea505542a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23DF59C8</paraID>
      <start>2</start>
      <end>10</end>
      <status>ignored</status>
      <modifiedWord/>
      <trackRevisions>false</trackRevisions>
    </reviewItem>
    <reviewItem>
      <errorID>e2b66f76-2d88-446f-8cc4-83ad91081a76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1813C363</paraID>
      <start>2</start>
      <end>10</end>
      <status>ignored</status>
      <modifiedWord/>
      <trackRevisions>false</trackRevisions>
    </reviewItem>
    <reviewItem>
      <errorID>e370e17e-27e1-4887-a2c7-7e61bbdc8438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160A86BE</paraID>
      <start>2</start>
      <end>10</end>
      <status>ignored</status>
      <modifiedWord/>
      <trackRevisions>false</trackRevisions>
    </reviewItem>
    <reviewItem>
      <errorID>37e106d6-f6f9-466f-b9d5-af9abda53201</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588BE0DC</paraID>
      <start>13</start>
      <end>15</end>
      <status>modified</status>
      <modifiedWord>》《</modifiedWord>
      <trackRevisions>false</trackRevisions>
    </reviewItem>
    <reviewItem>
      <errorID>9b6d45a8-0f52-4142-821c-13eaaf44557d</errorID>
      <errorWord>．</errorWord>
      <group>L1_Format</group>
      <groupName>格式问题</groupName>
      <ability>L2_HalfPunc</ability>
      <abilityName>全半角检查</abilityName>
      <candidateList>
        <item>。</item>
      </candidateList>
      <explain>文本全半角错误。</explain>
      <paraID>72F76AD7</paraID>
      <start>18</start>
      <end>19</end>
      <status>modified</status>
      <modifiedWord>。</modifiedWord>
      <trackRevisions>false</trackRevisions>
    </reviewItem>
    <reviewItem>
      <errorID>ab8ac833-5e86-4706-925b-21acc9999c48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54BC8630</paraID>
      <start>0</start>
      <end>2</end>
      <status>ignored</status>
      <modifiedWord/>
      <trackRevisions>false</trackRevisions>
    </reviewItem>
    <reviewItem>
      <errorID>52a61173-f39e-496e-8ad4-6c6fc326e98b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7D220F82</paraID>
      <start>0</start>
      <end>2</end>
      <status>ignored</status>
      <modifiedWord/>
      <trackRevisions>false</trackRevisions>
    </reviewItem>
    <reviewItem>
      <errorID>6231e1c5-2813-4063-a160-d53377f132d2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3114C96C</paraID>
      <start>0</start>
      <end>2</end>
      <status>ignored</status>
      <modifiedWord/>
      <trackRevisions>false</trackRevisions>
    </reviewItem>
    <reviewItem>
      <errorID>100a6c4b-6312-4ed0-9612-581c097eff8c</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6D5A1E9E</paraID>
      <start>6</start>
      <end>12</end>
      <status>modified</status>
      <modifiedWord>“三公”经费</modifiedWord>
      <trackRevisions>false</trackRevisions>
    </reviewItem>
    <reviewItem>
      <errorID>93cc2573-306c-4504-aa2f-f76762f7a45d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679D352D</paraID>
      <start>0</start>
      <end>2</end>
      <status>ignored</status>
      <modifiedWord/>
      <trackRevisions>false</trackRevisions>
    </reviewItem>
    <reviewItem>
      <errorID>876b6cb3-233f-477a-889e-3c253416983d</errorID>
      <errorWord>资</errorWord>
      <group>L1_Word</group>
      <groupName>字词问题</groupName>
      <ability>L2_Typo</ability>
      <abilityName>字词错误</abilityName>
      <candidateList>
        <item>资金</item>
      </candidateList>
      <explain/>
      <paraID>27FA3184</paraID>
      <start>14</start>
      <end>16</end>
      <status>modified</status>
      <modifiedWord>资金</modifiedWord>
      <trackRevisions>false</trackRevisions>
    </reviewItem>
    <reviewItem>
      <errorID>2cd2b1f6-5f99-4ad5-a228-e195ff532144</errorID>
      <errorWord>力</errorWord>
      <group>L1_Word</group>
      <groupName>字词问题</groupName>
      <ability>L2_Typo</ability>
      <abilityName>字词错误</abilityName>
      <candidateList>
        <item>力提</item>
      </candidateList>
      <explain/>
      <paraID>30B3F782</paraID>
      <start>5</start>
      <end>7</end>
      <status>modified</status>
      <modifiedWord>力提</modifiedWord>
      <trackRevisions>false</trackRevisions>
    </reviewItem>
    <reviewItem>
      <errorID>88ff2586-bc1f-4d19-bc55-7f6d3c58cb4c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3F3663F5</paraID>
      <start>0</start>
      <end>2</end>
      <status>ignored</status>
      <modifiedWord/>
      <trackRevisions>false</trackRevisions>
    </reviewItem>
    <reviewItem>
      <errorID>06020900-a5d5-499e-907f-6441533386d2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B16692F</paraID>
      <start>0</start>
      <end>2</end>
      <status>ignored</status>
      <modifiedWord/>
      <trackRevisions>false</trackRevisions>
    </reviewItem>
    <reviewItem>
      <errorID>9c55cf74-5438-4e61-9e18-769b91d14d0a</errorID>
      <errorWord>力</errorWord>
      <group>L1_Word</group>
      <groupName>字词问题</groupName>
      <ability>L2_Typo</ability>
      <abilityName>字词错误</abilityName>
      <candidateList>
        <item>力提</item>
      </candidateList>
      <explain/>
      <paraID>4849EF19</paraID>
      <start>5</start>
      <end>7</end>
      <status>modified</status>
      <modifiedWord>力提</modifiedWord>
      <trackRevisions>false</trackRevisions>
    </reviewItem>
    <reviewItem>
      <errorID>41fd2eb9-b18f-4d6b-9680-cce242906b8a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2468BD80</paraID>
      <start>0</start>
      <end>2</end>
      <status>ignored</status>
      <modifiedWord/>
      <trackRevisions>false</trackRevisions>
    </reviewItem>
    <reviewItem>
      <errorID>80e60f06-cba2-401b-a4e0-869a4470d1c3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73ABF10</paraID>
      <start>0</start>
      <end>2</end>
      <status>ignored</status>
      <modifiedWord/>
      <trackRevisions>false</trackRevisions>
    </reviewItem>
    <reviewItem>
      <errorID>cad9e6fc-ce16-428e-b630-47fee119492a</errorID>
      <errorWord>，和</errorWord>
      <group>L1_Word</group>
      <groupName>字词问题</groupName>
      <ability>L2_Typo</ability>
      <abilityName>字词错误</abilityName>
      <candidateList>
        <item>，</item>
      </candidateList>
      <explain/>
      <paraID> 6AE6A98</paraID>
      <start>13</start>
      <end>14</end>
      <status>modified</status>
      <modifiedWord>，</modifiedWord>
      <trackRevisions>false</trackRevisions>
    </reviewItem>
    <reviewItem>
      <errorID>6e7bb751-6204-45dc-b355-075a6090675f</errorID>
      <errorWord>力</errorWord>
      <group>L1_Word</group>
      <groupName>字词问题</groupName>
      <ability>L2_Typo</ability>
      <abilityName>字词错误</abilityName>
      <candidateList>
        <item>力提</item>
      </candidateList>
      <explain/>
      <paraID>4887BFC0</paraID>
      <start>5</start>
      <end>7</end>
      <status>modified</status>
      <modifiedWord>力提</modifiedWord>
      <trackRevisions>false</trackRevisions>
    </reviewItem>
    <reviewItem>
      <errorID>4da98968-548d-4371-8892-9f7a4bee31db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F3996AB</paraID>
      <start>0</start>
      <end>2</end>
      <status>ignored</status>
      <modifiedWord/>
      <trackRevisions>false</trackRevisions>
    </reviewItem>
    <reviewItem>
      <errorID>b8bfba72-cbbf-4a00-94d6-93da95da59f7</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795A5217</paraID>
      <start>0</start>
      <end>2</end>
      <status>ignored</status>
      <modifiedWord/>
      <trackRevisions>false</trackRevisions>
    </reviewItem>
    <reviewItem>
      <errorID>7345c770-5a63-4063-bd60-bc13cad2ee0a</errorID>
      <errorWord>力</errorWord>
      <group>L1_Word</group>
      <groupName>字词问题</groupName>
      <ability>L2_Typo</ability>
      <abilityName>字词错误</abilityName>
      <candidateList>
        <item>力提</item>
      </candidateList>
      <explain/>
      <paraID>20E847C2</paraID>
      <start>5</start>
      <end>7</end>
      <status>modified</status>
      <modifiedWord>力提</modifiedWord>
      <trackRevisions>false</trackRevisions>
    </reviewItem>
    <reviewItem>
      <errorID>8132727d-7451-4698-981d-6093993d702c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4397C4D8</paraID>
      <start>0</start>
      <end>8</end>
      <status>ignored</status>
      <modifiedWord/>
      <trackRevisions>false</trackRevisions>
    </reviewItem>
    <reviewItem>
      <errorID>ab7bfe8f-5224-42ee-85c8-057cc01944cf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17CD6462</paraID>
      <start>0</start>
      <end>2</end>
      <status>ignored</status>
      <modifiedWord/>
      <trackRevisions>false</trackRevisions>
    </reviewItem>
    <reviewItem>
      <errorID>65c509da-394c-41cf-92a7-c82e858e1435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77965A81</paraID>
      <start>0</start>
      <end>2</end>
      <status>ignored</status>
      <modifiedWord/>
      <trackRevisions>false</trackRevisions>
    </reviewItem>
    <reviewItem>
      <errorID>22a3bbc5-6118-49c0-82b0-d119de97d670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56708709</paraID>
      <start>0</start>
      <end>2</end>
      <status>ignored</status>
      <modifiedWord/>
      <trackRevisions>false</trackRevisions>
    </reviewItem>
    <reviewItem>
      <errorID>6db70cc5-ba80-4217-88ff-061d70a6cf1f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74187613</paraID>
      <start>0</start>
      <end>2</end>
      <status>ignored</status>
      <modifiedWord/>
      <trackRevisions>false</trackRevisions>
    </reviewItem>
    <reviewItem>
      <errorID>6ab50330-3f0c-4868-9578-c8dc5f60feb7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2F2A49F8</paraID>
      <start>0</start>
      <end>2</end>
      <status>ignored</status>
      <modifiedWord/>
      <trackRevisions>false</trackRevisions>
    </reviewItem>
    <reviewItem>
      <errorID>7b7bf4c5-d244-4f53-abef-0dd1bbd687b6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2F2A49F8</paraID>
      <start>24</start>
      <end>32</end>
      <status>ignored</status>
      <modifiedWord/>
      <trackRevisions>false</trackRevisions>
    </reviewItem>
    <reviewItem>
      <errorID>368bbb79-7855-4dde-9fc4-9f8c14f690b1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212959E2</paraID>
      <start>0</start>
      <end>2</end>
      <status>ignored</status>
      <modifiedWord/>
      <trackRevisions>false</trackRevisions>
    </reviewItem>
    <reviewItem>
      <errorID>ff7985fa-9d81-42b5-918c-c2de6583df62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5FB27529</paraID>
      <start>0</start>
      <end>2</end>
      <status>ignored</status>
      <modifiedWord/>
      <trackRevisions>false</trackRevisions>
    </reviewItem>
    <reviewItem>
      <errorID>8adac6e2-1c11-4bcd-8fe2-07cbd09bc1a7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6907BD83</paraID>
      <start>0</start>
      <end>2</end>
      <status>ignored</status>
      <modifiedWord/>
      <trackRevisions>false</trackRevisions>
    </reviewItem>
    <reviewItem>
      <errorID>822b27c8-c46c-4c39-922a-8930bd7ab8df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6D035090</paraID>
      <start>0</start>
      <end>2</end>
      <status>ignored</status>
      <modifiedWord/>
      <trackRevisions>false</trackRevisions>
    </reviewItem>
    <reviewItem>
      <errorID>7a3b31b4-4ac3-4f4b-aee9-623af06225b2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6A66D82</paraID>
      <start>0</start>
      <end>2</end>
      <status>ignored</status>
      <modifiedWord/>
      <trackRevisions>false</trackRevisions>
    </reviewItem>
    <reviewItem>
      <errorID>1583a67e-9d8c-462b-a503-f3beca205a24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2479CFAC</paraID>
      <start>0</start>
      <end>2</end>
      <status>ignored</status>
      <modifiedWord/>
      <trackRevisions>false</trackRevisions>
    </reviewItem>
    <reviewItem>
      <errorID>cfcdefa2-a4c9-4630-b89a-99c4fb05d602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1D6E6CAA</paraID>
      <start>0</start>
      <end>2</end>
      <status>ignored</status>
      <modifiedWord/>
      <trackRevisions>false</trackRevisions>
    </reviewItem>
    <reviewItem>
      <errorID>4bc1fabd-1d03-4ae7-a11f-893b58048bda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1A11FA60</paraID>
      <start>0</start>
      <end>2</end>
      <status>ignored</status>
      <modifiedWord/>
      <trackRevisions>false</trackRevisions>
    </reviewItem>
    <reviewItem>
      <errorID>834aadc5-fbf4-487a-98d8-adf4c5c78d5e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60887210</paraID>
      <start>2</start>
      <end>10</end>
      <status>ignored</status>
      <modifiedWord/>
      <trackRevisions>false</trackRevisions>
    </reviewItem>
    <reviewItem>
      <errorID>2f6de65f-60a4-4c7f-b691-40898c8ab30a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43E2B035</paraID>
      <start>2</start>
      <end>10</end>
      <status>ignored</status>
      <modifiedWord/>
      <trackRevisions>false</trackRevisions>
    </reviewItem>
    <reviewItem>
      <errorID>e0389bbb-9c93-455d-ad3e-daa3b9bc1226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77C61976</paraID>
      <start>2</start>
      <end>10</end>
      <status>ignored</status>
      <modifiedWord/>
      <trackRevisions>false</trackRevisions>
    </reviewItem>
    <reviewItem>
      <errorID>e7fb54f2-1e9c-46e8-8dc9-768b5a2beff3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1FCB1B28</paraID>
      <start>13</start>
      <end>15</end>
      <status>modified</status>
      <modifiedWord>》《</modifiedWord>
      <trackRevisions>false</trackRevisions>
    </reviewItem>
    <reviewItem>
      <errorID>aed7d16d-a570-40bb-a5cf-a61607b1d547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2BEB762F</paraID>
      <start>0</start>
      <end>2</end>
      <status>ignored</status>
      <modifiedWord/>
      <trackRevisions>false</trackRevisions>
    </reviewItem>
    <reviewItem>
      <errorID>68b50082-3f06-4049-8f7f-a38d43cb8ef1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14A4325A</paraID>
      <start>0</start>
      <end>2</end>
      <status>ignored</status>
      <modifiedWord/>
      <trackRevisions>false</trackRevisions>
    </reviewItem>
    <reviewItem>
      <errorID>55a2453f-631c-4541-9b95-3c54ccaea386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702AE2BD</paraID>
      <start>0</start>
      <end>2</end>
      <status>ignored</status>
      <modifiedWord/>
      <trackRevisions>false</trackRevisions>
    </reviewItem>
    <reviewItem>
      <errorID>c0e2aa0e-80de-4f04-b8b0-f607d8d1b74a</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5C2306A9</paraID>
      <start>6</start>
      <end>12</end>
      <status>modified</status>
      <modifiedWord>“三公”经费</modifiedWord>
      <trackRevisions>false</trackRevisions>
    </reviewItem>
    <reviewItem>
      <errorID>2c1c3ffa-4220-4320-80f9-77064b2babe7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476ECD70</paraID>
      <start>0</start>
      <end>2</end>
      <status>ignored</status>
      <modifiedWord/>
      <trackRevisions>false</trackRevisions>
    </reviewItem>
    <reviewItem>
      <errorID>3e7ef4b1-7ef8-4907-b4bb-136c62516c5a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5A480CC</paraID>
      <start>0</start>
      <end>2</end>
      <status>ignored</status>
      <modifiedWord/>
      <trackRevisions>false</trackRevisions>
    </reviewItem>
    <reviewItem>
      <errorID>acb6894b-0c7e-4913-b538-7db1d2b9a6c0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757AD1D8</paraID>
      <start>0</start>
      <end>2</end>
      <status>ignored</status>
      <modifiedWord/>
      <trackRevisions>false</trackRevisions>
    </reviewItem>
    <reviewItem>
      <errorID>c9a2ae9e-a69e-4283-b6c4-dda53d87818b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51ED9DAE</paraID>
      <start>0</start>
      <end>2</end>
      <status>ignored</status>
      <modifiedWord/>
      <trackRevisions>false</trackRevisions>
    </reviewItem>
    <reviewItem>
      <errorID>b283da39-3b26-456e-a889-61b06a6c70bc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769725B9</paraID>
      <start>0</start>
      <end>2</end>
      <status>ignored</status>
      <modifiedWord/>
      <trackRevisions>false</trackRevisions>
    </reviewItem>
    <reviewItem>
      <errorID>82a4ac9a-3d09-44d1-add4-4bef41382d16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7DB557EB</paraID>
      <start>0</start>
      <end>8</end>
      <status>ignored</status>
      <modifiedWord/>
      <trackRevisions>false</trackRevisions>
    </reviewItem>
    <reviewItem>
      <errorID>312893ed-8e25-4b98-a888-24bf762ae5a2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512554BC</paraID>
      <start>0</start>
      <end>2</end>
      <status>ignored</status>
      <modifiedWord/>
      <trackRevisions>false</trackRevisions>
    </reviewItem>
    <reviewItem>
      <errorID>930897d8-e9c0-49f8-98de-1c3c5faa8832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45912CA2</paraID>
      <start>0</start>
      <end>2</end>
      <status>ignored</status>
      <modifiedWord/>
      <trackRevisions>false</trackRevisions>
    </reviewItem>
    <reviewItem>
      <errorID>a2274eee-bef7-41c2-920e-d5078253c9e5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2FE0E066</paraID>
      <start>0</start>
      <end>2</end>
      <status>ignored</status>
      <modifiedWord/>
      <trackRevisions>false</trackRevisions>
    </reviewItem>
    <reviewItem>
      <errorID>7a096edc-c381-4efc-b921-351ddf292327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671D66EC</paraID>
      <start>0</start>
      <end>2</end>
      <status>ignored</status>
      <modifiedWord/>
      <trackRevisions>false</trackRevisions>
    </reviewItem>
    <reviewItem>
      <errorID>609d53f3-16ee-4f8f-b526-2011373791b8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7832D09C</paraID>
      <start>0</start>
      <end>2</end>
      <status>ignored</status>
      <modifiedWord/>
      <trackRevisions>false</trackRevisions>
    </reviewItem>
    <reviewItem>
      <errorID>c4006199-a37a-4d07-9fdf-4e13997ed320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7832D09C</paraID>
      <start>24</start>
      <end>32</end>
      <status>ignored</status>
      <modifiedWord/>
      <trackRevisions>false</trackRevisions>
    </reviewItem>
    <reviewItem>
      <errorID>82fdd2a6-55e5-4dbe-8a15-dd4ce16a4e6b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1B2E35FE</paraID>
      <start>0</start>
      <end>2</end>
      <status>ignored</status>
      <modifiedWord/>
      <trackRevisions>false</trackRevisions>
    </reviewItem>
    <reviewItem>
      <errorID>df4bb266-8923-481f-8ae9-9b7907c4ee15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46277939</paraID>
      <start>0</start>
      <end>2</end>
      <status>ignored</status>
      <modifiedWord/>
      <trackRevisions>false</trackRevisions>
    </reviewItem>
    <reviewItem>
      <errorID>2e820749-7757-4343-af9c-0cbc76ac78a0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28EB5F66</paraID>
      <start>0</start>
      <end>2</end>
      <status>ignored</status>
      <modifiedWord/>
      <trackRevisions>false</trackRevisions>
    </reviewItem>
    <reviewItem>
      <errorID>03dc9d88-73e0-4f0a-975a-f304176209c4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771777A6</paraID>
      <start>0</start>
      <end>2</end>
      <status>ignored</status>
      <modifiedWord/>
      <trackRevisions>false</trackRevisions>
    </reviewItem>
    <reviewItem>
      <errorID>bc96458f-abf5-4638-9e99-89dcbb031fad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17D1FB62</paraID>
      <start>0</start>
      <end>2</end>
      <status>ignored</status>
      <modifiedWord/>
      <trackRevisions>false</trackRevisions>
    </reviewItem>
    <reviewItem>
      <errorID>20cc5af3-ae6b-449b-a4eb-77dc6d7c936a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4D42CC0E</paraID>
      <start>0</start>
      <end>2</end>
      <status>ignored</status>
      <modifiedWord/>
      <trackRevisions>false</trackRevisions>
    </reviewItem>
    <reviewItem>
      <errorID>e7584a8c-d413-496e-8881-92187c35ad04</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121A3F26</paraID>
      <start>0</start>
      <end>2</end>
      <status>ignored</status>
      <modifiedWord/>
      <trackRevisions>false</trackRevisions>
    </reviewItem>
    <reviewItem>
      <errorID>d503e7ca-1d90-47d8-a309-7d309b9484ad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5C02AE9A</paraID>
      <start>0</start>
      <end>2</end>
      <status>ignored</status>
      <modifiedWord/>
      <trackRevisions>false</trackRevisions>
    </reviewItem>
    <reviewItem>
      <errorID>8ee4c9de-8cf8-41ed-a1de-c48859234e53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7055D442</paraID>
      <start>2</start>
      <end>10</end>
      <status>ignored</status>
      <modifiedWord/>
      <trackRevisions>false</trackRevisions>
    </reviewItem>
    <reviewItem>
      <errorID>cd99ad9c-1525-4269-9c01-0733848bb59c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30377A61</paraID>
      <start>2</start>
      <end>10</end>
      <status>ignored</status>
      <modifiedWord/>
      <trackRevisions>false</trackRevisions>
    </reviewItem>
    <reviewItem>
      <errorID>270acff4-c7eb-4214-94b9-367d549508f4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2957ABE2</paraID>
      <start>2</start>
      <end>10</end>
      <status>ignored</status>
      <modifiedWord/>
      <trackRevisions>false</trackRevisions>
    </reviewItem>
    <reviewItem>
      <errorID>3618616b-7907-4f45-ac31-49117f9b5247</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7B626AAC</paraID>
      <start>13</start>
      <end>15</end>
      <status>modified</status>
      <modifiedWord>》《</modifiedWord>
      <trackRevisions>false</trackRevisions>
    </reviewItem>
    <reviewItem>
      <errorID>aff8a199-0906-4fda-8a23-064a0709c61f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4DE9C326</paraID>
      <start>0</start>
      <end>2</end>
      <status>ignored</status>
      <modifiedWord/>
      <trackRevisions>false</trackRevisions>
    </reviewItem>
    <reviewItem>
      <errorID>49643416-e3e9-4f59-ab6e-e6231f923512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6CB85EA4</paraID>
      <start>0</start>
      <end>2</end>
      <status>ignored</status>
      <modifiedWord/>
      <trackRevisions>false</trackRevisions>
    </reviewItem>
    <reviewItem>
      <errorID>95ec5380-d4da-4cfe-a853-75524d5d1abf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4BB397B1</paraID>
      <start>0</start>
      <end>2</end>
      <status>ignored</status>
      <modifiedWord/>
      <trackRevisions>false</trackRevisions>
    </reviewItem>
    <reviewItem>
      <errorID>9cced28b-402b-4339-96c1-ce5a79a8863b</errorID>
      <errorWord>.</errorWord>
      <group>L1_Format</group>
      <groupName>格式问题</groupName>
      <ability>L2_HalfPunc</ability>
      <abilityName>全半角检查</abilityName>
      <candidateList>
        <item>。</item>
      </candidateList>
      <explain>文本全半角错误。</explain>
      <paraID>20FD018D</paraID>
      <start>55</start>
      <end>56</end>
      <status>modified</status>
      <modifiedWord>。</modifiedWord>
      <trackRevisions>false</trackRevisions>
    </reviewItem>
    <reviewItem>
      <errorID>7d7bf695-9483-41f3-adc4-98772781fd55</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77E575A0</paraID>
      <start>6</start>
      <end>12</end>
      <status>modified</status>
      <modifiedWord>“三公”经费</modifiedWord>
      <trackRevisions>false</trackRevisions>
    </reviewItem>
    <reviewItem>
      <errorID>fc2bb6dc-ab07-4264-ba7a-d824a5f44ad9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4360F649</paraID>
      <start>0</start>
      <end>2</end>
      <status>ignored</status>
      <modifiedWord/>
      <trackRevisions>false</trackRevisions>
    </reviewItem>
    <reviewItem>
      <errorID>867b9188-badb-4955-b4ae-66424802dfbf</errorID>
      <errorWord>资</errorWord>
      <group>L1_Word</group>
      <groupName>字词问题</groupName>
      <ability>L2_Typo</ability>
      <abilityName>字词错误</abilityName>
      <candidateList>
        <item>资金</item>
      </candidateList>
      <explain/>
      <paraID>5CEE7A0C</paraID>
      <start>14</start>
      <end>16</end>
      <status>modified</status>
      <modifiedWord>资金</modifiedWord>
      <trackRevisions>false</trackRevisions>
    </reviewItem>
    <reviewItem>
      <errorID>c6f8cd47-1ca7-4336-adcd-a18f5f45a9d1</errorID>
      <errorWord>力</errorWord>
      <group>L1_Word</group>
      <groupName>字词问题</groupName>
      <ability>L2_Typo</ability>
      <abilityName>字词错误</abilityName>
      <candidateList>
        <item>力提</item>
      </candidateList>
      <explain/>
      <paraID>1E7DC1D6</paraID>
      <start>5</start>
      <end>7</end>
      <status>modified</status>
      <modifiedWord>力提</modifiedWord>
      <trackRevisions>false</trackRevisions>
    </reviewItem>
    <reviewItem>
      <errorID>c51a0b03-afbd-46fc-9aa5-14725996aee6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3465E61A</paraID>
      <start>0</start>
      <end>2</end>
      <status>ignored</status>
      <modifiedWord/>
      <trackRevisions>false</trackRevisions>
    </reviewItem>
    <reviewItem>
      <errorID>e23ec23d-9913-4340-a5cb-e0457f11f88a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4054729F</paraID>
      <start>0</start>
      <end>2</end>
      <status>ignored</status>
      <modifiedWord/>
      <trackRevisions>false</trackRevisions>
    </reviewItem>
    <reviewItem>
      <errorID>95a1b8fa-7c42-4601-a59f-06d68e6791b8</errorID>
      <errorWord>力</errorWord>
      <group>L1_Word</group>
      <groupName>字词问题</groupName>
      <ability>L2_Typo</ability>
      <abilityName>字词错误</abilityName>
      <candidateList>
        <item>力提</item>
      </candidateList>
      <explain/>
      <paraID>7BCFDBA4</paraID>
      <start>5</start>
      <end>7</end>
      <status>modified</status>
      <modifiedWord>力提</modifiedWord>
      <trackRevisions>false</trackRevisions>
    </reviewItem>
    <reviewItem>
      <errorID>8c94086d-41d7-4576-9a9a-fdf0dea0175e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69D5511A</paraID>
      <start>0</start>
      <end>2</end>
      <status>ignored</status>
      <modifiedWord/>
      <trackRevisions>false</trackRevisions>
    </reviewItem>
    <reviewItem>
      <errorID>0f214dfa-65de-48ac-ae25-132472559897</errorID>
      <errorWord>力</errorWord>
      <group>L1_Word</group>
      <groupName>字词问题</groupName>
      <ability>L2_Typo</ability>
      <abilityName>字词错误</abilityName>
      <candidateList>
        <item>力提</item>
      </candidateList>
      <explain/>
      <paraID>14842780</paraID>
      <start>5</start>
      <end>7</end>
      <status>modified</status>
      <modifiedWord>力提</modifiedWord>
      <trackRevisions>false</trackRevisions>
    </reviewItem>
    <reviewItem>
      <errorID>1b71c228-dc38-4eaf-9fc0-71891edeeab8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687C417A</paraID>
      <start>0</start>
      <end>8</end>
      <status>ignored</status>
      <modifiedWord/>
      <trackRevisions>false</trackRevisions>
    </reviewItem>
    <reviewItem>
      <errorID>68f63538-0a85-4af5-8f6e-2c1b54e38bc3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401AF407</paraID>
      <start>0</start>
      <end>2</end>
      <status>ignored</status>
      <modifiedWord/>
      <trackRevisions>false</trackRevisions>
    </reviewItem>
    <reviewItem>
      <errorID>5bd6091e-8a16-4342-a521-a9c2ac0a03bb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7ED73832</paraID>
      <start>0</start>
      <end>2</end>
      <status>ignored</status>
      <modifiedWord/>
      <trackRevisions>false</trackRevisions>
    </reviewItem>
    <reviewItem>
      <errorID>b8b99c68-d031-4b49-84f4-c7595996a2fe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29B0D104</paraID>
      <start>0</start>
      <end>2</end>
      <status>ignored</status>
      <modifiedWord/>
      <trackRevisions>false</trackRevisions>
    </reviewItem>
    <reviewItem>
      <errorID>d7c721c7-0f60-4d6f-9b06-59b899e87bc3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5DFAAF8E</paraID>
      <start>0</start>
      <end>2</end>
      <status>ignored</status>
      <modifiedWord/>
      <trackRevisions>false</trackRevisions>
    </reviewItem>
    <reviewItem>
      <errorID>ee210eb7-c09c-45fd-8983-de9df7247ac5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3F060371</paraID>
      <start>0</start>
      <end>2</end>
      <status>ignored</status>
      <modifiedWord/>
      <trackRevisions>false</trackRevisions>
    </reviewItem>
    <reviewItem>
      <errorID>438c3332-90b4-46ad-be06-003309651f2d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3F060371</paraID>
      <start>24</start>
      <end>32</end>
      <status>ignored</status>
      <modifiedWord/>
      <trackRevisions>false</trackRevisions>
    </reviewItem>
    <reviewItem>
      <errorID>46f0011b-26f6-460e-bdf2-1f7626763c04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6557B3DE</paraID>
      <start>0</start>
      <end>2</end>
      <status>ignored</status>
      <modifiedWord/>
      <trackRevisions>false</trackRevisions>
    </reviewItem>
    <reviewItem>
      <errorID>4d77372c-1739-4a53-82a3-eb066a60fb09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E1F107D</paraID>
      <start>0</start>
      <end>2</end>
      <status>ignored</status>
      <modifiedWord/>
      <trackRevisions>false</trackRevisions>
    </reviewItem>
    <reviewItem>
      <errorID>fc2febb7-41c4-437d-8dfb-c8682c5e641d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7A5F436F</paraID>
      <start>0</start>
      <end>2</end>
      <status>ignored</status>
      <modifiedWord/>
      <trackRevisions>false</trackRevisions>
    </reviewItem>
    <reviewItem>
      <errorID>14d61753-2e38-4eb2-988e-95aaf5f11e3b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380E802F</paraID>
      <start>0</start>
      <end>2</end>
      <status>ignored</status>
      <modifiedWord/>
      <trackRevisions>false</trackRevisions>
    </reviewItem>
    <reviewItem>
      <errorID>fdc8be17-bca4-40e6-bce4-acca14318fed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136D1197</paraID>
      <start>0</start>
      <end>2</end>
      <status>ignored</status>
      <modifiedWord/>
      <trackRevisions>false</trackRevisions>
    </reviewItem>
    <reviewItem>
      <errorID>bfaea809-a221-41ee-bb15-f7c8077f5a4a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564B0034</paraID>
      <start>0</start>
      <end>2</end>
      <status>ignored</status>
      <modifiedWord/>
      <trackRevisions>false</trackRevisions>
    </reviewItem>
    <reviewItem>
      <errorID>e49b755f-ee4a-45da-ae2d-1e6e03621ec2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7F2550E2</paraID>
      <start>0</start>
      <end>2</end>
      <status>ignored</status>
      <modifiedWord/>
      <trackRevisions>false</trackRevisions>
    </reviewItem>
    <reviewItem>
      <errorID>7eee1f13-6a9f-437b-8257-a02d3c9fcfd8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1EBEFCA5</paraID>
      <start>0</start>
      <end>2</end>
      <status>ignored</status>
      <modifiedWord/>
      <trackRevisions>false</trackRevisions>
    </reviewItem>
    <reviewItem>
      <errorID>a0e74523-6308-4756-842e-62cb359564fa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7B62D03E</paraID>
      <start>2</start>
      <end>10</end>
      <status>ignored</status>
      <modifiedWord/>
      <trackRevisions>false</trackRevisions>
    </reviewItem>
    <reviewItem>
      <errorID>0e861069-2406-4966-a391-bb7bec2ad4bd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27EBFFC5</paraID>
      <start>2</start>
      <end>10</end>
      <status>ignored</status>
      <modifiedWord/>
      <trackRevisions>false</trackRevisions>
    </reviewItem>
    <reviewItem>
      <errorID>555f0855-2ce7-4a03-ad94-e060e03cc4b9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7AB80B15</paraID>
      <start>2</start>
      <end>10</end>
      <status>ignored</status>
      <modifiedWord/>
      <trackRevisions>false</trackRevisions>
    </reviewItem>
    <reviewItem>
      <errorID>344cd8fc-dd53-4bb5-86b6-e4bda6e3060d</errorID>
      <errorWord>年</errorWord>
      <group>L1_Word</group>
      <groupName>字词问题</groupName>
      <ability>L2_Typo</ability>
      <abilityName>字词错误</abilityName>
      <candidateList>
        <item>年度</item>
      </candidateList>
      <explain/>
      <paraID>68FC24C3</paraID>
      <start>12</start>
      <end>14</end>
      <status>modified</status>
      <modifiedWord>年度</modifiedWord>
      <trackRevisions>false</trackRevisions>
    </reviewItem>
    <reviewItem>
      <errorID>6a539bf0-574d-42b5-bb16-0f731340d93e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3D992B8A</paraID>
      <start>13</start>
      <end>15</end>
      <status>modified</status>
      <modifiedWord>》《</modifiedWord>
      <trackRevisions>false</trackRevisions>
    </reviewItem>
    <reviewItem>
      <errorID>3ae92fd7-8541-473d-b5d0-6f8dacd3bf29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7FB508CB</paraID>
      <start>0</start>
      <end>2</end>
      <status>ignored</status>
      <modifiedWord/>
      <trackRevisions>false</trackRevisions>
    </reviewItem>
    <reviewItem>
      <errorID>9e0e98df-85b9-4eb2-9214-627fc1235874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2FBEF88F</paraID>
      <start>0</start>
      <end>2</end>
      <status>ignored</status>
      <modifiedWord/>
      <trackRevisions>false</trackRevisions>
    </reviewItem>
    <reviewItem>
      <errorID>13c57b92-6de3-43b0-a579-13cfb474a998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62F79A78</paraID>
      <start>0</start>
      <end>2</end>
      <status>ignored</status>
      <modifiedWord/>
      <trackRevisions>false</trackRevisions>
    </reviewItem>
    <reviewItem>
      <errorID>fe58842a-035e-4ac2-8572-b698312bc872</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73CC67F2</paraID>
      <start>6</start>
      <end>12</end>
      <status>modified</status>
      <modifiedWord>“三公”经费</modifiedWord>
      <trackRevisions>false</trackRevisions>
    </reviewItem>
    <reviewItem>
      <errorID>3caf5645-d8dc-4c7b-b826-0d2334b38b11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1E121519</paraID>
      <start>0</start>
      <end>2</end>
      <status>ignored</status>
      <modifiedWord/>
      <trackRevisions>false</trackRevisions>
    </reviewItem>
    <reviewItem>
      <errorID>b46662b9-95d8-43cd-8b30-944ecc8e565d</errorID>
      <errorWord>"</errorWord>
      <group>L1_Format</group>
      <groupName>格式问题</groupName>
      <ability>L2_HalfPunc</ability>
      <abilityName>全半角检查</abilityName>
      <candidateList/>
      <explain>文本全半角错误。</explain>
      <paraID>400CFECC</paraID>
      <start>2</start>
      <end>3</end>
      <status>unmodified</status>
      <modifiedWord/>
      <trackRevisions>false</trackRevisions>
    </reviewItem>
    <reviewItem>
      <errorID>1156219a-0e87-4515-8b4f-9b779deba76e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475D59C5</paraID>
      <start>0</start>
      <end>2</end>
      <status>ignored</status>
      <modifiedWord/>
      <trackRevisions>false</trackRevisions>
    </reviewItem>
    <reviewItem>
      <errorID>2ce6bb05-ce89-4a92-9c60-28a92dfe8867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1C2433DC</paraID>
      <start>0</start>
      <end>2</end>
      <status>ignored</status>
      <modifiedWord/>
      <trackRevisions>false</trackRevisions>
    </reviewItem>
    <reviewItem>
      <errorID>cd6bd616-7419-4ecf-ab7e-aff25190f461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4AEBCBB6</paraID>
      <start>0</start>
      <end>2</end>
      <status>ignored</status>
      <modifiedWord/>
      <trackRevisions>false</trackRevisions>
    </reviewItem>
    <reviewItem>
      <errorID>4e93f30a-f564-4ed1-a164-be507776bf96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30AA221B</paraID>
      <start>0</start>
      <end>2</end>
      <status>ignored</status>
      <modifiedWord/>
      <trackRevisions>false</trackRevisions>
    </reviewItem>
    <reviewItem>
      <errorID>2d31b873-d544-425d-a20e-470c4b615e2f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4BEF368B</paraID>
      <start>0</start>
      <end>2</end>
      <status>ignored</status>
      <modifiedWord/>
      <trackRevisions>false</trackRevisions>
    </reviewItem>
    <reviewItem>
      <errorID>fed3a851-3fb9-4c45-b763-87e33b71f45f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37F35AAA</paraID>
      <start>0</start>
      <end>2</end>
      <status>ignored</status>
      <modifiedWord/>
      <trackRevisions>false</trackRevisions>
    </reviewItem>
    <reviewItem>
      <errorID>8eeed777-21b9-4db7-848f-d41696bf3efb</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2A3F9F0C</paraID>
      <start>0</start>
      <end>2</end>
      <status>ignored</status>
      <modifiedWord/>
      <trackRevisions>false</trackRevisions>
    </reviewItem>
    <reviewItem>
      <errorID>3943fccd-463c-4ffc-a2ed-68e5be275938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6616AC0C</paraID>
      <start>0</start>
      <end>2</end>
      <status>ignored</status>
      <modifiedWord/>
      <trackRevisions>false</trackRevisions>
    </reviewItem>
    <reviewItem>
      <errorID>dc3e382e-deaf-4df1-8ea0-54053de1f132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5B04BD06</paraID>
      <start>0</start>
      <end>8</end>
      <status>ignored</status>
      <modifiedWord/>
      <trackRevisions>false</trackRevisions>
    </reviewItem>
    <reviewItem>
      <errorID>8db5d437-d89a-4e48-bbde-718166df89ec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5CBC01AA</paraID>
      <start>0</start>
      <end>2</end>
      <status>ignored</status>
      <modifiedWord/>
      <trackRevisions>false</trackRevisions>
    </reviewItem>
    <reviewItem>
      <errorID>aa869c8d-6c97-4939-af15-3075b7f7f189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7EF2F073</paraID>
      <start>0</start>
      <end>2</end>
      <status>ignored</status>
      <modifiedWord/>
      <trackRevisions>false</trackRevisions>
    </reviewItem>
    <reviewItem>
      <errorID>968e6e20-56f4-41b1-bb5b-1bbe99ac3293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1367A9F9</paraID>
      <start>0</start>
      <end>2</end>
      <status>ignored</status>
      <modifiedWord/>
      <trackRevisions>false</trackRevisions>
    </reviewItem>
    <reviewItem>
      <errorID>451fab93-bba2-499b-98d0-85aa97247e8e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357802F6</paraID>
      <start>0</start>
      <end>2</end>
      <status>ignored</status>
      <modifiedWord/>
      <trackRevisions>false</trackRevisions>
    </reviewItem>
    <reviewItem>
      <errorID>414507eb-23bb-4f3d-9aaa-64f879e7b1ff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5555D9EB</paraID>
      <start>0</start>
      <end>2</end>
      <status>ignored</status>
      <modifiedWord/>
      <trackRevisions>false</trackRevisions>
    </reviewItem>
    <reviewItem>
      <errorID>6c8d7d27-6c6d-46b1-a9b8-d226cba2ca8f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5555D9EB</paraID>
      <start>24</start>
      <end>32</end>
      <status>ignored</status>
      <modifiedWord/>
      <trackRevisions>false</trackRevisions>
    </reviewItem>
    <reviewItem>
      <errorID>82b6b136-b957-440b-8203-c706fc9e3269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6DCBA2BA</paraID>
      <start>0</start>
      <end>2</end>
      <status>ignored</status>
      <modifiedWord/>
      <trackRevisions>false</trackRevisions>
    </reviewItem>
    <reviewItem>
      <errorID>f950f66d-846e-414c-9be5-49544f79a672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41285DE9</paraID>
      <start>0</start>
      <end>2</end>
      <status>ignored</status>
      <modifiedWord/>
      <trackRevisions>false</trackRevisions>
    </reviewItem>
    <reviewItem>
      <errorID>df5fdaf7-186b-410d-8cc8-8e1a7addbc5f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32939FE5</paraID>
      <start>0</start>
      <end>2</end>
      <status>ignored</status>
      <modifiedWord/>
      <trackRevisions>false</trackRevisions>
    </reviewItem>
    <reviewItem>
      <errorID>34b21b33-f420-4018-8b9c-b60a1db86ea3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5CFD99A4</paraID>
      <start>0</start>
      <end>2</end>
      <status>ignored</status>
      <modifiedWord/>
      <trackRevisions>false</trackRevisions>
    </reviewItem>
    <reviewItem>
      <errorID>df5d668c-def0-42ea-a86b-cf98d88072a8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B2205F3</paraID>
      <start>0</start>
      <end>2</end>
      <status>ignored</status>
      <modifiedWord/>
      <trackRevisions>false</trackRevisions>
    </reviewItem>
    <reviewItem>
      <errorID>2eb17384-0e4f-485b-b4a9-d52be226b6e1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71CBE78B</paraID>
      <start>0</start>
      <end>2</end>
      <status>ignored</status>
      <modifiedWord/>
      <trackRevisions>false</trackRevisions>
    </reviewItem>
    <reviewItem>
      <errorID>7141a2af-6d99-4749-b942-70b339c35d8b</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6CA29531</paraID>
      <start>0</start>
      <end>2</end>
      <status>ignored</status>
      <modifiedWord/>
      <trackRevisions>false</trackRevisions>
    </reviewItem>
    <reviewItem>
      <errorID>cd106920-b907-47c1-8ca3-b50e3c63513a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6C4E8C62</paraID>
      <start>0</start>
      <end>2</end>
      <status>ignored</status>
      <modifiedWord/>
      <trackRevisions>false</trackRevisions>
    </reviewItem>
    <reviewItem>
      <errorID>a9c88f8d-98a5-4aeb-9702-358e9a8ebdf2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1715C6BA</paraID>
      <start>2</start>
      <end>10</end>
      <status>ignored</status>
      <modifiedWord/>
      <trackRevisions>false</trackRevisions>
    </reviewItem>
    <reviewItem>
      <errorID>61e1bceb-fa6a-4b8c-8840-dfe50dd5ddc5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2BD8EFAF</paraID>
      <start>2</start>
      <end>10</end>
      <status>ignored</status>
      <modifiedWord/>
      <trackRevisions>false</trackRevisions>
    </reviewItem>
    <reviewItem>
      <errorID>b2181e4c-5b93-479e-883b-fb9be0a1adc9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65050353</paraID>
      <start>2</start>
      <end>10</end>
      <status>ignored</status>
      <modifiedWord/>
      <trackRevisions>false</trackRevisions>
    </reviewItem>
    <reviewItem>
      <errorID>94f4b8b2-406f-456f-98e2-6ccb7501c0c7</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392414D2</paraID>
      <start>13</start>
      <end>15</end>
      <status>modified</status>
      <modifiedWord>》《</modifiedWord>
      <trackRevisions>false</trackRevisions>
    </reviewItem>
    <reviewItem>
      <errorID>6781473b-ff96-4653-a913-7e0c542e7b25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383F33B0</paraID>
      <start>0</start>
      <end>2</end>
      <status>ignored</status>
      <modifiedWord/>
      <trackRevisions>false</trackRevisions>
    </reviewItem>
    <reviewItem>
      <errorID>d3238e26-70e8-49ce-974a-1335e1e7e161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2A4948D1</paraID>
      <start>0</start>
      <end>2</end>
      <status>ignored</status>
      <modifiedWord/>
      <trackRevisions>false</trackRevisions>
    </reviewItem>
    <reviewItem>
      <errorID>91105959-76e6-4c8a-b0d5-13082f3df878</errorID>
      <errorWord>:</errorWord>
      <group>L1_Format</group>
      <groupName>格式问题</groupName>
      <ability>L2_HalfPunc</ability>
      <abilityName>全半角检查</abilityName>
      <candidateList>
        <item>：</item>
      </candidateList>
      <explain>文本全半角错误。</explain>
      <paraID> 8857123</paraID>
      <start>93</start>
      <end>94</end>
      <status>modified</status>
      <modifiedWord>：</modifiedWord>
      <trackRevisions>false</trackRevisions>
    </reviewItem>
    <reviewItem>
      <errorID>85291104-65da-460a-8cfe-1a373bfe8319</errorID>
      <errorWord>.</errorWord>
      <group>L1_Format</group>
      <groupName>格式问题</groupName>
      <ability>L2_HalfPunc</ability>
      <abilityName>全半角检查</abilityName>
      <candidateList>
        <item>。</item>
      </candidateList>
      <explain>文本全半角错误。</explain>
      <paraID> 8857123</paraID>
      <start>136</start>
      <end>137</end>
      <status>modified</status>
      <modifiedWord>。</modifiedWord>
      <trackRevisions>false</trackRevisions>
    </reviewItem>
    <reviewItem>
      <errorID>0fa0a997-a4ef-435b-80c1-8d37accbf262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35E2E38F</paraID>
      <start>0</start>
      <end>2</end>
      <status>ignored</status>
      <modifiedWord/>
      <trackRevisions>false</trackRevisions>
    </reviewItem>
    <reviewItem>
      <errorID>ffb3efa7-56e8-44e2-bf89-b9a3c475dce3</errorID>
      <errorWord>)</errorWord>
      <group>L1_Format</group>
      <groupName>格式问题</groupName>
      <ability>L2_HalfPunc</ability>
      <abilityName>全半角检查</abilityName>
      <candidateList>
        <item>）</item>
      </candidateList>
      <explain>文本全半角错误。</explain>
      <paraID>37A16987</paraID>
      <start>92</start>
      <end>93</end>
      <status>modified</status>
      <modifiedWord>）</modifiedWord>
      <trackRevisions>false</trackRevisions>
    </reviewItem>
    <reviewItem>
      <errorID>200b31b0-e282-40c7-9048-5a239f5b9833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622EC3F2</paraID>
      <start>0</start>
      <end>2</end>
      <status>ignored</status>
      <modifiedWord/>
      <trackRevisions>false</trackRevisions>
    </reviewItem>
    <reviewItem>
      <errorID>8a807247-2006-4954-a3bb-8ba85863ad5f</errorID>
      <errorWord>[2025]116号</errorWord>
      <group>L1_Knowledge</group>
      <groupName>知识性问题</groupName>
      <ability>L2_Knowledge</ability>
      <abilityName>其他知识</abilityName>
      <candidateList>
        <item>〔2025〕116号</item>
      </candidateList>
      <explain>发文字号格式错误。</explain>
      <paraID>622EC3F2</paraID>
      <start>5</start>
      <end>15</end>
      <status>ignored</status>
      <modifiedWord/>
      <trackRevisions>false</trackRevisions>
    </reviewItem>
    <reviewItem>
      <errorID>ff949e81-5c59-4461-bfaa-fe994225639a</errorID>
      <errorWord>[2025]116号</errorWord>
      <group>L1_Knowledge</group>
      <groupName>知识性问题</groupName>
      <ability>L2_Knowledge</ability>
      <abilityName>其他知识</abilityName>
      <candidateList>
        <item>〔2025〕116号</item>
      </candidateList>
      <explain>发文字号格式错误。</explain>
      <paraID>4A217BC8</paraID>
      <start>3</start>
      <end>13</end>
      <status>ignored</status>
      <modifiedWord/>
      <trackRevisions>false</trackRevisions>
    </reviewItem>
    <reviewItem>
      <errorID>53a35fd4-5f23-4d6d-be3e-451333cd4185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218A60D2</paraID>
      <start>0</start>
      <end>2</end>
      <status>ignored</status>
      <modifiedWord/>
      <trackRevisions>false</trackRevisions>
    </reviewItem>
    <reviewItem>
      <errorID>7fbc17d7-5294-4f4c-9ff3-0d22c95be158</errorID>
      <errorWord>[2025]116号</errorWord>
      <group>L1_Knowledge</group>
      <groupName>知识性问题</groupName>
      <ability>L2_Knowledge</ability>
      <abilityName>其他知识</abilityName>
      <candidateList>
        <item>〔2025〕116号</item>
      </candidateList>
      <explain>发文字号格式错误。</explain>
      <paraID>218A60D2</paraID>
      <start>5</start>
      <end>15</end>
      <status>ignored</status>
      <modifiedWord/>
      <trackRevisions>false</trackRevisions>
    </reviewItem>
    <reviewItem>
      <errorID>efc4de9a-6770-427d-a661-b44e0a18b2ff</errorID>
      <errorWord>[2025]116号</errorWord>
      <group>L1_Knowledge</group>
      <groupName>知识性问题</groupName>
      <ability>L2_Knowledge</ability>
      <abilityName>其他知识</abilityName>
      <candidateList>
        <item>〔2025〕116号</item>
      </candidateList>
      <explain>发文字号格式错误。</explain>
      <paraID>7D3CC84F</paraID>
      <start>3</start>
      <end>13</end>
      <status>ignored</status>
      <modifiedWord/>
      <trackRevisions>false</trackRevisions>
    </reviewItem>
    <reviewItem>
      <errorID>21eb7aec-52f7-43a2-ac6c-2542e37a3200</errorID>
      <errorWord>意</errorWord>
      <group>L1_Word</group>
      <groupName>字词问题</groupName>
      <ability>L2_Typo</ability>
      <abilityName>字词错误</abilityName>
      <candidateList>
        <item>意度</item>
      </candidateList>
      <explain/>
      <paraID>4978673B</paraID>
      <start>18</start>
      <end>20</end>
      <status>modified</status>
      <modifiedWord>意度</modifiedWord>
      <trackRevisions>false</trackRevisions>
    </reviewItem>
    <reviewItem>
      <errorID>75295a96-17b0-4f58-af98-42cff9cf81c8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4476E89A</paraID>
      <start>0</start>
      <end>2</end>
      <status>ignored</status>
      <modifiedWord/>
      <trackRevisions>false</trackRevisions>
    </reviewItem>
    <reviewItem>
      <errorID>3bf9c3d1-ddb0-4c92-b7a0-827801fcd221</errorID>
      <errorWord>[2025]116号</errorWord>
      <group>L1_Knowledge</group>
      <groupName>知识性问题</groupName>
      <ability>L2_Knowledge</ability>
      <abilityName>其他知识</abilityName>
      <candidateList>
        <item>〔2025〕116号</item>
      </candidateList>
      <explain>发文字号格式错误。</explain>
      <paraID>4476E89A</paraID>
      <start>5</start>
      <end>15</end>
      <status>ignored</status>
      <modifiedWord/>
      <trackRevisions>false</trackRevisions>
    </reviewItem>
    <reviewItem>
      <errorID>235ed089-388e-440e-8d16-766fed3a9d9b</errorID>
      <errorWord>[2025]116号</errorWord>
      <group>L1_Knowledge</group>
      <groupName>知识性问题</groupName>
      <ability>L2_Knowledge</ability>
      <abilityName>其他知识</abilityName>
      <candidateList>
        <item>〔2025〕116号</item>
      </candidateList>
      <explain>发文字号格式错误。</explain>
      <paraID>51821BF8</paraID>
      <start>3</start>
      <end>13</end>
      <status>ignored</status>
      <modifiedWord/>
      <trackRevisions>false</trackRevisions>
    </reviewItem>
    <reviewItem>
      <errorID>506696fb-daf2-4dc6-b84b-2fe7f2a7b289</errorID>
      <errorWord>意</errorWord>
      <group>L1_Word</group>
      <groupName>字词问题</groupName>
      <ability>L2_Typo</ability>
      <abilityName>字词错误</abilityName>
      <candidateList>
        <item>意度</item>
      </candidateList>
      <explain/>
      <paraID>422275DA</paraID>
      <start>18</start>
      <end>20</end>
      <status>modified</status>
      <modifiedWord>意度</modifiedWord>
      <trackRevisions>false</trackRevisions>
    </reviewItem>
    <reviewItem>
      <errorID>8880f1a0-2787-4604-8290-300305d70be2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180B7F32</paraID>
      <start>0</start>
      <end>2</end>
      <status>ignored</status>
      <modifiedWord/>
      <trackRevisions>false</trackRevisions>
    </reviewItem>
    <reviewItem>
      <errorID>bbaf55cf-8e0a-4802-8178-40efdda6eeeb</errorID>
      <errorWord>[2025]116号</errorWord>
      <group>L1_Knowledge</group>
      <groupName>知识性问题</groupName>
      <ability>L2_Knowledge</ability>
      <abilityName>其他知识</abilityName>
      <candidateList>
        <item>〔2025〕116号</item>
      </candidateList>
      <explain>发文字号格式错误。</explain>
      <paraID>180B7F32</paraID>
      <start>5</start>
      <end>15</end>
      <status>ignored</status>
      <modifiedWord/>
      <trackRevisions>false</trackRevisions>
    </reviewItem>
    <reviewItem>
      <errorID>9dba55c8-0d09-4f14-86af-39a895bc17d0</errorID>
      <errorWord>[2025]116号</errorWord>
      <group>L1_Knowledge</group>
      <groupName>知识性问题</groupName>
      <ability>L2_Knowledge</ability>
      <abilityName>其他知识</abilityName>
      <candidateList>
        <item>〔2025〕116号</item>
      </candidateList>
      <explain>发文字号格式错误。</explain>
      <paraID>228DC1C4</paraID>
      <start>3</start>
      <end>13</end>
      <status>ignored</status>
      <modifiedWord/>
      <trackRevisions>false</trackRevisions>
    </reviewItem>
    <reviewItem>
      <errorID>f3b49e75-ca1b-4113-8bba-bfa38ba05b0c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3BF38228</paraID>
      <start>0</start>
      <end>2</end>
      <status>ignored</status>
      <modifiedWord/>
      <trackRevisions>false</trackRevisions>
    </reviewItem>
    <reviewItem>
      <errorID>18f7f468-2e53-49fb-a733-3c826c3e2de6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7B44BEE5</paraID>
      <start>7</start>
      <end>8</end>
      <status>modified</status>
      <modifiedWord>—</modifiedWord>
      <trackRevisions>false</trackRevisions>
    </reviewItem>
    <reviewItem>
      <errorID>27c35859-d28a-4d19-bed6-0396b32ce24b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7BA28BD5</paraID>
      <start>0</start>
      <end>2</end>
      <status>ignored</status>
      <modifiedWord/>
      <trackRevisions>false</trackRevisions>
    </reviewItem>
    <reviewItem>
      <errorID>bd6e0dba-5017-46ff-9b6e-a522ad8d2e4c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18632C10</paraID>
      <start>0</start>
      <end>2</end>
      <status>ignored</status>
      <modifiedWord/>
      <trackRevisions>false</trackRevisions>
    </reviewItem>
    <reviewItem>
      <errorID>f4f6fe45-fccf-456b-98b1-328a5f276ddc</errorID>
      <errorWord>意</errorWord>
      <group>L1_Word</group>
      <groupName>字词问题</groupName>
      <ability>L2_Typo</ability>
      <abilityName>字词错误</abilityName>
      <candidateList>
        <item>意度</item>
      </candidateList>
      <explain/>
      <paraID> 49B8788</paraID>
      <start>18</start>
      <end>20</end>
      <status>modified</status>
      <modifiedWord>意度</modifiedWord>
      <trackRevisions>false</trackRevisions>
    </reviewItem>
    <reviewItem>
      <errorID>67306406-e561-4c41-b2aa-3a99335a025a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1BC6EF92</paraID>
      <start>0</start>
      <end>2</end>
      <status>ignored</status>
      <modifiedWord/>
      <trackRevisions>false</trackRevisions>
    </reviewItem>
    <reviewItem>
      <errorID>bfb710c2-c7b9-4edc-a2ea-aca3505f857c</errorID>
      <errorWord>意</errorWord>
      <group>L1_Word</group>
      <groupName>字词问题</groupName>
      <ability>L2_Typo</ability>
      <abilityName>字词错误</abilityName>
      <candidateList>
        <item>意度</item>
      </candidateList>
      <explain/>
      <paraID>768793B9</paraID>
      <start>18</start>
      <end>20</end>
      <status>modified</status>
      <modifiedWord>意度</modifiedWord>
      <trackRevisions>false</trackRevisions>
    </reviewItem>
    <reviewItem>
      <errorID>da68e013-8dde-4a31-adff-776ef3324587</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5B2EE375</paraID>
      <start>0</start>
      <end>2</end>
      <status>ignored</status>
      <modifiedWord/>
      <trackRevisions>false</trackRevisions>
    </reviewItem>
    <reviewItem>
      <errorID>d8565407-60f7-40d0-8a3e-905ae9971a93</errorID>
      <errorWord>意</errorWord>
      <group>L1_Word</group>
      <groupName>字词问题</groupName>
      <ability>L2_Typo</ability>
      <abilityName>字词错误</abilityName>
      <candidateList>
        <item>意度</item>
      </candidateList>
      <explain/>
      <paraID>6EC5E3CF</paraID>
      <start>18</start>
      <end>20</end>
      <status>modified</status>
      <modifiedWord>意度</modifiedWord>
      <trackRevisions>false</trackRevisions>
    </reviewItem>
    <reviewItem>
      <errorID>03d48a9b-744b-4810-bd4c-c474549f0f08</errorID>
      <errorWord>高中高中</errorWord>
      <group>L1_Word</group>
      <groupName>字词问题</groupName>
      <ability>L2_Typo</ability>
      <abilityName>字词错误</abilityName>
      <candidateList>
        <item>高中</item>
      </candidateList>
      <explain>〈名〉高级中学的简称。</explain>
      <paraID>49EF9E6B</paraID>
      <start>6</start>
      <end>8</end>
      <status>modified</status>
      <modifiedWord>高中</modifiedWord>
      <trackRevisions>false</trackRevisions>
    </reviewItem>
    <reviewItem>
      <errorID>80b8e039-ccd8-460f-b50c-9fb880391c8e</errorID>
      <errorWord>高中高中</errorWord>
      <group>L1_Word</group>
      <groupName>字词问题</groupName>
      <ability>L2_Typo</ability>
      <abilityName>字词错误</abilityName>
      <candidateList>
        <item>高中</item>
      </candidateList>
      <explain>〈名〉高级中学的简称。</explain>
      <paraID>6254E3B8</paraID>
      <start>6</start>
      <end>8</end>
      <status>modified</status>
      <modifiedWord>高中</modifiedWord>
      <trackRevisions>false</trackRevisions>
    </reviewItem>
    <reviewItem>
      <errorID>9f86af2c-48b8-4c4c-b26f-afd32304bc86</errorID>
      <errorWord>高中高中</errorWord>
      <group>L1_Word</group>
      <groupName>字词问题</groupName>
      <ability>L2_Typo</ability>
      <abilityName>字词错误</abilityName>
      <candidateList>
        <item>高中</item>
      </candidateList>
      <explain>〈名〉高级中学的简称。</explain>
      <paraID>77DE75E3</paraID>
      <start>6</start>
      <end>8</end>
      <status>modified</status>
      <modifiedWord>高中</modifiedWord>
      <trackRevisions>false</trackRevisions>
    </reviewItem>
    <reviewItem>
      <errorID>ad48dc86-eaca-4e69-96e7-e57e064377f6</errorID>
      <errorWord>高中高中</errorWord>
      <group>L1_Word</group>
      <groupName>字词问题</groupName>
      <ability>L2_Typo</ability>
      <abilityName>字词错误</abilityName>
      <candidateList>
        <item>高中</item>
      </candidateList>
      <explain>〈名〉高级中学的简称。</explain>
      <paraID>56EEEE83</paraID>
      <start>6</start>
      <end>8</end>
      <status>modified</status>
      <modifiedWord>高中</modifiedWord>
      <trackRevisions>false</trackRevisions>
    </reviewItem>
    <reviewItem>
      <errorID>35395007-71d8-412d-ab8a-21cae4e28e72</errorID>
      <errorWord>高中高中</errorWord>
      <group>L1_Word</group>
      <groupName>字词问题</groupName>
      <ability>L2_Typo</ability>
      <abilityName>字词错误</abilityName>
      <candidateList>
        <item>高中</item>
      </candidateList>
      <explain>〈名〉高级中学的简称。</explain>
      <paraID>65608956</paraID>
      <start>6</start>
      <end>8</end>
      <status>modified</status>
      <modifiedWord>高中</modifiedWord>
      <trackRevisions>false</trackRevisions>
    </reviewItem>
    <reviewItem>
      <errorID>51d646dc-dfb5-47a8-86e7-f8332cd618ab</errorID>
      <errorWord>高中高中</errorWord>
      <group>L1_Word</group>
      <groupName>字词问题</groupName>
      <ability>L2_Typo</ability>
      <abilityName>字词错误</abilityName>
      <candidateList>
        <item>高中</item>
      </candidateList>
      <explain>〈名〉高级中学的简称。</explain>
      <paraID> 4E2C805</paraID>
      <start>6</start>
      <end>8</end>
      <status>modified</status>
      <modifiedWord>高中</modifiedWord>
      <trackRevisions>false</trackRevisions>
    </reviewItem>
    <reviewItem>
      <errorID>fd55e20a-0727-420c-9060-05a7244b8186</errorID>
      <errorWord>收益</errorWord>
      <group>L1_Word</group>
      <groupName>字词问题</groupName>
      <ability>L2_Typo</ability>
      <abilityName>字词错误</abilityName>
      <candidateList>
        <item>受益</item>
      </candidateList>
      <explain>存在发音相同字词的误用。</explain>
      <paraID>4F3016B5</paraID>
      <start>0</start>
      <end>2</end>
      <status>modified</status>
      <modifiedWord>受益</modifiedWord>
      <trackRevisions>false</trackRevisions>
    </reviewItem>
    <reviewItem>
      <errorID>2c9b7bfb-3471-428c-aea4-c98ce08ac26b</errorID>
      <errorWord>意</errorWord>
      <group>L1_Word</group>
      <groupName>字词问题</groupName>
      <ability>L2_Typo</ability>
      <abilityName>字词错误</abilityName>
      <candidateList>
        <item>意度</item>
      </candidateList>
      <explain/>
      <paraID>78632FF2</paraID>
      <start>18</start>
      <end>20</end>
      <status>modified</status>
      <modifiedWord>意度</modifiedWord>
      <trackRevisions>false</trackRevisions>
    </reviewItem>
    <reviewItem>
      <errorID>9420a9f2-ea43-4e2c-8af5-2465b89acccf</errorID>
      <errorWord>意</errorWord>
      <group>L1_Word</group>
      <groupName>字词问题</groupName>
      <ability>L2_Typo</ability>
      <abilityName>字词错误</abilityName>
      <candidateList>
        <item>意度</item>
      </candidateList>
      <explain/>
      <paraID>5221843C</paraID>
      <start>18</start>
      <end>20</end>
      <status>modified</status>
      <modifiedWord>意度</modifiedWord>
      <trackRevisions>false</trackRevisions>
    </reviewItem>
    <reviewItem>
      <errorID>47ac8e35-131e-404e-ad26-5f434b7fa6b3</errorID>
      <errorWord>意</errorWord>
      <group>L1_Word</group>
      <groupName>字词问题</groupName>
      <ability>L2_Typo</ability>
      <abilityName>字词错误</abilityName>
      <candidateList>
        <item>意度</item>
      </candidateList>
      <explain/>
      <paraID> A5E3331</paraID>
      <start>18</start>
      <end>20</end>
      <status>modified</status>
      <modifiedWord>意度</modifiedWord>
      <trackRevisions>false</trackRevisions>
    </reviewItem>
    <reviewItem>
      <errorID>e994e847-6db8-41ef-b2ff-44994833350d</errorID>
      <errorWord>高中高中</errorWord>
      <group>L1_Word</group>
      <groupName>字词问题</groupName>
      <ability>L2_Typo</ability>
      <abilityName>字词错误</abilityName>
      <candidateList>
        <item>高中</item>
      </candidateList>
      <explain>〈名〉高级中学的简称。</explain>
      <paraID>347ED547</paraID>
      <start>6</start>
      <end>8</end>
      <status>modified</status>
      <modifiedWord>高中</modifiedWord>
      <trackRevisions>false</trackRevisions>
    </reviewItem>
    <reviewItem>
      <errorID>ae2df9dc-df6b-436c-afda-164bd7e35c99</errorID>
      <errorWord>高中高中</errorWord>
      <group>L1_Word</group>
      <groupName>字词问题</groupName>
      <ability>L2_Typo</ability>
      <abilityName>字词错误</abilityName>
      <candidateList>
        <item>高中</item>
      </candidateList>
      <explain>〈名〉高级中学的简称。</explain>
      <paraID>2A7C8A10</paraID>
      <start>6</start>
      <end>8</end>
      <status>modified</status>
      <modifiedWord>高中</modifiedWord>
      <trackRevisions>false</trackRevisions>
    </reviewItem>
    <reviewItem>
      <errorID>750b0763-1d3b-4396-8ffc-f4c6b151339a</errorID>
      <errorWord>高中高中</errorWord>
      <group>L1_Word</group>
      <groupName>字词问题</groupName>
      <ability>L2_Typo</ability>
      <abilityName>字词错误</abilityName>
      <candidateList>
        <item>高中</item>
      </candidateList>
      <explain>〈名〉高级中学的简称。</explain>
      <paraID>672BAAAE</paraID>
      <start>6</start>
      <end>8</end>
      <status>modified</status>
      <modifiedWord>高中</modifiedWord>
      <trackRevisions>false</trackRevisions>
    </reviewItem>
    <reviewItem>
      <errorID>6d1b81ae-9303-46d7-b39a-e133f0169f4b</errorID>
      <errorWord>高中高中</errorWord>
      <group>L1_Word</group>
      <groupName>字词问题</groupName>
      <ability>L2_Typo</ability>
      <abilityName>字词错误</abilityName>
      <candidateList>
        <item>高中</item>
      </candidateList>
      <explain>〈名〉高级中学的简称。</explain>
      <paraID>5A07619D</paraID>
      <start>6</start>
      <end>8</end>
      <status>modified</status>
      <modifiedWord>高中</modifiedWord>
      <trackRevisions>false</trackRevisions>
    </reviewItem>
    <reviewItem>
      <errorID>6ef82dcf-a65c-4bfb-987c-df96b8d156e6</errorID>
      <errorWord>高中高中</errorWord>
      <group>L1_Word</group>
      <groupName>字词问题</groupName>
      <ability>L2_Typo</ability>
      <abilityName>字词错误</abilityName>
      <candidateList>
        <item>高中</item>
      </candidateList>
      <explain>〈名〉高级中学的简称。</explain>
      <paraID>2FC5AB9F</paraID>
      <start>6</start>
      <end>8</end>
      <status>modified</status>
      <modifiedWord>高中</modifiedWord>
      <trackRevisions>false</trackRevisions>
    </reviewItem>
    <reviewItem>
      <errorID>51d47c9c-fe8d-436a-94bd-e5f37543975c</errorID>
      <errorWord>高中高中</errorWord>
      <group>L1_Word</group>
      <groupName>字词问题</groupName>
      <ability>L2_Typo</ability>
      <abilityName>字词错误</abilityName>
      <candidateList>
        <item>高中</item>
      </candidateList>
      <explain>〈名〉高级中学的简称。</explain>
      <paraID> 24B8D8D</paraID>
      <start>6</start>
      <end>8</end>
      <status>modified</status>
      <modifiedWord>高中</modifiedWord>
      <trackRevisions>false</trackRevisions>
    </reviewItem>
    <reviewItem>
      <errorID>e34346bc-72cd-492d-b57c-d40f3a518f69</errorID>
      <errorWord>学</errorWord>
      <group>L1_Word</group>
      <groupName>字词问题</groupName>
      <ability>L2_Typo</ability>
      <abilityName>字词错误</abilityName>
      <candidateList>
        <item>学生</item>
      </candidateList>
      <explain/>
      <paraID>7FEA1E07</paraID>
      <start>11</start>
      <end>13</end>
      <status>modified</status>
      <modifiedWord>学生</modifiedWord>
      <trackRevisions>false</trackRevisions>
    </reviewItem>
    <reviewItem>
      <errorID>1d34732b-dd0c-4881-aa82-9ddd78591327</errorID>
      <errorWord>出街</errorWord>
      <group>L1_Word</group>
      <groupName>字词问题</groupName>
      <ability>L2_Typo</ability>
      <abilityName>字词错误</abilityName>
      <candidateList>
        <item>出借</item>
      </candidateList>
      <explain>存在发音相同字词的误用。</explain>
      <paraID>28694C67</paraID>
      <start>8</start>
      <end>10</end>
      <status>modified</status>
      <modifiedWord>出借</modifiedWord>
      <trackRevisions>false</trackRevisions>
    </reviewItem>
    <reviewItem>
      <errorID>03b01522-401a-44de-bdf2-4f460cb363ed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431286B8</paraID>
      <start>0</start>
      <end>8</end>
      <status>ignored</status>
      <modifiedWord/>
      <trackRevisions>false</trackRevisions>
    </reviewItem>
    <reviewItem>
      <errorID>402e1623-d311-413f-ad60-f90348ba7822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2F9A3D95</paraID>
      <start>0</start>
      <end>2</end>
      <status>ignored</status>
      <modifiedWord/>
      <trackRevisions>false</trackRevisions>
    </reviewItem>
    <reviewItem>
      <errorID>6e2c9f0d-bd59-49d5-ad10-65bcd4f725c7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1CDA73D9</paraID>
      <start>0</start>
      <end>2</end>
      <status>ignored</status>
      <modifiedWord/>
      <trackRevisions>false</trackRevisions>
    </reviewItem>
    <reviewItem>
      <errorID>2014a96e-86c0-49b0-a021-13691f8d0a1e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7F00940D</paraID>
      <start>0</start>
      <end>2</end>
      <status>ignored</status>
      <modifiedWord/>
      <trackRevisions>false</trackRevisions>
    </reviewItem>
    <reviewItem>
      <errorID>ea20eb5a-8228-4929-89dd-4ec64ea37205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1AE6767C</paraID>
      <start>0</start>
      <end>2</end>
      <status>ignored</status>
      <modifiedWord/>
      <trackRevisions>false</trackRevisions>
    </reviewItem>
    <reviewItem>
      <errorID>7949f8de-0d8c-4312-b1d0-03386b5013a1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5B055D61</paraID>
      <start>0</start>
      <end>2</end>
      <status>ignored</status>
      <modifiedWord/>
      <trackRevisions>false</trackRevisions>
    </reviewItem>
    <reviewItem>
      <errorID>70ba126b-c08d-45ac-97df-be4dc8305653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5B055D61</paraID>
      <start>24</start>
      <end>32</end>
      <status>ignored</status>
      <modifiedWord/>
      <trackRevisions>false</trackRevisions>
    </reviewItem>
    <reviewItem>
      <errorID>7a033dae-e8a2-4dfc-9964-4187b9e16255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46F36084</paraID>
      <start>0</start>
      <end>2</end>
      <status>ignored</status>
      <modifiedWord/>
      <trackRevisions>false</trackRevisions>
    </reviewItem>
    <reviewItem>
      <errorID>cae19f9d-f3ab-4e5a-a745-39a65ed57252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54F73DA1</paraID>
      <start>0</start>
      <end>2</end>
      <status>ignored</status>
      <modifiedWord/>
      <trackRevisions>false</trackRevisions>
    </reviewItem>
    <reviewItem>
      <errorID>25e84802-2d5b-498c-aeb2-78a0955f0b59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506D79DF</paraID>
      <start>0</start>
      <end>2</end>
      <status>ignored</status>
      <modifiedWord/>
      <trackRevisions>false</trackRevisions>
    </reviewItem>
    <reviewItem>
      <errorID>fb9cfbbe-0945-47ca-9ba1-6020b709302f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35D3F4DD</paraID>
      <start>0</start>
      <end>2</end>
      <status>ignored</status>
      <modifiedWord/>
      <trackRevisions>false</trackRevisions>
    </reviewItem>
    <reviewItem>
      <errorID>163bee8d-e901-4809-b0f0-b32a078f3ae0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2FB8DAA2</paraID>
      <start>0</start>
      <end>2</end>
      <status>ignored</status>
      <modifiedWord/>
      <trackRevisions>false</trackRevisions>
    </reviewItem>
    <reviewItem>
      <errorID>2d7d2ad5-b182-4eb6-a88d-f187d42a84b0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3ACA5B07</paraID>
      <start>0</start>
      <end>2</end>
      <status>ignored</status>
      <modifiedWord/>
      <trackRevisions>false</trackRevisions>
    </reviewItem>
    <reviewItem>
      <errorID>dd89ab68-d081-4e7a-b1df-04545ba54068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2F72EEE</paraID>
      <start>0</start>
      <end>2</end>
      <status>ignored</status>
      <modifiedWord/>
      <trackRevisions>false</trackRevisions>
    </reviewItem>
    <reviewItem>
      <errorID>d9068a1a-4999-4e04-9c18-ed581a0028f6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1B770105</paraID>
      <start>0</start>
      <end>2</end>
      <status>ignored</status>
      <modifiedWord/>
      <trackRevisions>false</trackRevisions>
    </reviewItem>
    <reviewItem>
      <errorID>a9c372b1-af1a-4b78-8307-a875bcaa6163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70710D9C</paraID>
      <start>2</start>
      <end>10</end>
      <status>ignored</status>
      <modifiedWord/>
      <trackRevisions>false</trackRevisions>
    </reviewItem>
    <reviewItem>
      <errorID>b5fea26c-5016-491d-ad09-fe8af648ee96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410DBB0D</paraID>
      <start>2</start>
      <end>10</end>
      <status>ignored</status>
      <modifiedWord/>
      <trackRevisions>false</trackRevisions>
    </reviewItem>
    <reviewItem>
      <errorID>0f7cce5e-cf68-497a-8890-ac8e58b92d0d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2300FEAB</paraID>
      <start>2</start>
      <end>10</end>
      <status>ignored</status>
      <modifiedWord/>
      <trackRevisions>false</trackRevisions>
    </reviewItem>
    <reviewItem>
      <errorID>9173f6e9-034b-442c-8120-89ba796d21d4</errorID>
      <errorWord>年</errorWord>
      <group>L1_Word</group>
      <groupName>字词问题</groupName>
      <ability>L2_Typo</ability>
      <abilityName>字词错误</abilityName>
      <candidateList>
        <item>年度</item>
      </candidateList>
      <explain/>
      <paraID>55134811</paraID>
      <start>11</start>
      <end>13</end>
      <status>modified</status>
      <modifiedWord>年度</modifiedWord>
      <trackRevisions>false</trackRevisions>
    </reviewItem>
    <reviewItem>
      <errorID>d01fa5ae-aee1-4fd1-bc6b-2a7268b3858e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19A85BF0</paraID>
      <start>13</start>
      <end>15</end>
      <status>modified</status>
      <modifiedWord>》《</modifiedWord>
      <trackRevisions>false</trackRevisions>
    </reviewItem>
    <reviewItem>
      <errorID>3af7165f-063b-4f8a-9bef-9119b18a6299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2F3496B8</paraID>
      <start>0</start>
      <end>2</end>
      <status>ignored</status>
      <modifiedWord/>
      <trackRevisions>false</trackRevisions>
    </reviewItem>
    <reviewItem>
      <errorID>6741611c-bc20-41fb-b05a-e16f98fd6f5a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2600500D</paraID>
      <start>0</start>
      <end>2</end>
      <status>ignored</status>
      <modifiedWord/>
      <trackRevisions>false</trackRevisions>
    </reviewItem>
    <reviewItem>
      <errorID>813008c4-83e2-4688-9d33-c3ec13e37f59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74B348B7</paraID>
      <start>0</start>
      <end>2</end>
      <status>ignored</status>
      <modifiedWord/>
      <trackRevisions>false</trackRevisions>
    </reviewItem>
    <reviewItem>
      <errorID>1af24ed9-d787-4673-bad9-27a263667f32</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7A80E9F7</paraID>
      <start>6</start>
      <end>12</end>
      <status>modified</status>
      <modifiedWord>“三公”经费</modifiedWord>
      <trackRevisions>false</trackRevisions>
    </reviewItem>
    <reviewItem>
      <errorID>6daa0a86-a78e-492d-98f3-d6be5f670334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7DEB4858</paraID>
      <start>0</start>
      <end>2</end>
      <status>ignored</status>
      <modifiedWord/>
      <trackRevisions>false</trackRevisions>
    </reviewItem>
    <reviewItem>
      <errorID>764be947-d943-4384-808e-f511dae593c6</errorID>
      <errorWord>环境及</errorWord>
      <group>L1_Word</group>
      <groupName>字词问题</groupName>
      <ability>L2_Typo</ability>
      <abilityName>字词错误</abilityName>
      <candidateList>
        <item>环境</item>
      </candidateList>
      <explain>〈名〉❶周围的地方：～优美｜～卫生。❷周围的情况和条件：客观～｜工作～。</explain>
      <paraID>621E5CC1</paraID>
      <start>21</start>
      <end>23</end>
      <status>modified</status>
      <modifiedWord>环境</modifiedWord>
      <trackRevisions>false</trackRevisions>
    </reviewItem>
    <reviewItem>
      <errorID>1657f58d-641c-4dbc-8734-5742c2a2438d</errorID>
      <errorWord>环境及</errorWord>
      <group>L1_Word</group>
      <groupName>字词问题</groupName>
      <ability>L2_Typo</ability>
      <abilityName>字词错误</abilityName>
      <candidateList>
        <item>环境</item>
      </candidateList>
      <explain>〈名〉❶周围的地方：～优美｜～卫生。❷周围的情况和条件：客观～｜工作～。</explain>
      <paraID>299E93CE</paraID>
      <start>23</start>
      <end>25</end>
      <status>modified</status>
      <modifiedWord>环境</modifiedWord>
      <trackRevisions>false</trackRevisions>
    </reviewItem>
    <reviewItem>
      <errorID>e4821dc6-8059-4ea2-9ed6-da9206350a9c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7F53FF09</paraID>
      <start>0</start>
      <end>2</end>
      <status>ignored</status>
      <modifiedWord/>
      <trackRevisions>false</trackRevisions>
    </reviewItem>
    <reviewItem>
      <errorID>083d84a8-6504-44f8-924a-c03bc75df1d9</errorID>
      <errorWord>力</errorWord>
      <group>L1_Word</group>
      <groupName>字词问题</groupName>
      <ability>L2_Typo</ability>
      <abilityName>字词错误</abilityName>
      <candidateList>
        <item>力提</item>
      </candidateList>
      <explain/>
      <paraID>126ABDEA</paraID>
      <start>5</start>
      <end>7</end>
      <status>modified</status>
      <modifiedWord>力提</modifiedWord>
      <trackRevisions>false</trackRevisions>
    </reviewItem>
    <reviewItem>
      <errorID>eff6e41b-a654-403f-9996-a7bdf96fd3eb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5C5FF10F</paraID>
      <start>0</start>
      <end>2</end>
      <status>ignored</status>
      <modifiedWord/>
      <trackRevisions>false</trackRevisions>
    </reviewItem>
    <reviewItem>
      <errorID>2444d09f-4335-463e-8b2a-f2394615bae4</errorID>
      <errorWord>资</errorWord>
      <group>L1_Word</group>
      <groupName>字词问题</groupName>
      <ability>L2_Typo</ability>
      <abilityName>字词错误</abilityName>
      <candidateList>
        <item>资金</item>
      </candidateList>
      <explain/>
      <paraID>4F87EE12</paraID>
      <start>14</start>
      <end>16</end>
      <status>modified</status>
      <modifiedWord>资金</modifiedWord>
      <trackRevisions>false</trackRevisions>
    </reviewItem>
    <reviewItem>
      <errorID>5f57aa29-7de9-4494-b5af-4eed3c8084cb</errorID>
      <errorWord>力</errorWord>
      <group>L1_Word</group>
      <groupName>字词问题</groupName>
      <ability>L2_Typo</ability>
      <abilityName>字词错误</abilityName>
      <candidateList>
        <item>力提</item>
      </candidateList>
      <explain/>
      <paraID>4FD6D336</paraID>
      <start>5</start>
      <end>7</end>
      <status>modified</status>
      <modifiedWord>力提</modifiedWord>
      <trackRevisions>false</trackRevisions>
    </reviewItem>
    <reviewItem>
      <errorID>6c5d414d-9046-4fa5-bc4b-749aa5a3c160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2F6DFD0D</paraID>
      <start>0</start>
      <end>2</end>
      <status>ignored</status>
      <modifiedWord/>
      <trackRevisions>false</trackRevisions>
    </reviewItem>
    <reviewItem>
      <errorID>a7783d9d-e7ee-4ba6-9351-05afb5ed26d5</errorID>
      <errorWord>力</errorWord>
      <group>L1_Word</group>
      <groupName>字词问题</groupName>
      <ability>L2_Typo</ability>
      <abilityName>字词错误</abilityName>
      <candidateList>
        <item>力提</item>
      </candidateList>
      <explain/>
      <paraID>540F1076</paraID>
      <start>5</start>
      <end>7</end>
      <status>modified</status>
      <modifiedWord>力提</modifiedWord>
      <trackRevisions>false</trackRevisions>
    </reviewItem>
    <reviewItem>
      <errorID>324e27a5-dc56-4354-a3b2-f13e5795ebe2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76BDADD7</paraID>
      <start>0</start>
      <end>2</end>
      <status>ignored</status>
      <modifiedWord/>
      <trackRevisions>false</trackRevisions>
    </reviewItem>
    <reviewItem>
      <errorID>0ee13f9b-489c-4e4a-ad4a-bf00b44ed88c</errorID>
      <errorWord>力</errorWord>
      <group>L1_Word</group>
      <groupName>字词问题</groupName>
      <ability>L2_Typo</ability>
      <abilityName>字词错误</abilityName>
      <candidateList>
        <item>力提</item>
      </candidateList>
      <explain/>
      <paraID>64843134</paraID>
      <start>5</start>
      <end>7</end>
      <status>modified</status>
      <modifiedWord>力提</modifiedWord>
      <trackRevisions>false</trackRevisions>
    </reviewItem>
    <reviewItem>
      <errorID>527d29aa-ded5-49b7-8a29-97bae154705d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63CB0F01</paraID>
      <start>0</start>
      <end>2</end>
      <status>ignored</status>
      <modifiedWord/>
      <trackRevisions>false</trackRevisions>
    </reviewItem>
    <reviewItem>
      <errorID>e55b2ed1-f4d6-4aa1-8f17-52866112127f</errorID>
      <errorWord>力</errorWord>
      <group>L1_Word</group>
      <groupName>字词问题</groupName>
      <ability>L2_Typo</ability>
      <abilityName>字词错误</abilityName>
      <candidateList>
        <item>力提</item>
      </candidateList>
      <explain/>
      <paraID>445C45D6</paraID>
      <start>5</start>
      <end>7</end>
      <status>modified</status>
      <modifiedWord>力提</modifiedWord>
      <trackRevisions>false</trackRevisions>
    </reviewItem>
    <reviewItem>
      <errorID>c7bff659-ee64-480a-8387-9de22ed1c4d6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5A8C9774</paraID>
      <start>0</start>
      <end>2</end>
      <status>ignored</status>
      <modifiedWord/>
      <trackRevisions>false</trackRevisions>
    </reviewItem>
    <reviewItem>
      <errorID>08b48146-5dd9-44b5-a51e-bd3aec83b458</errorID>
      <errorWord>力</errorWord>
      <group>L1_Word</group>
      <groupName>字词问题</groupName>
      <ability>L2_Typo</ability>
      <abilityName>字词错误</abilityName>
      <candidateList>
        <item>力提</item>
      </candidateList>
      <explain/>
      <paraID>1190EDC6</paraID>
      <start>5</start>
      <end>7</end>
      <status>modified</status>
      <modifiedWord>力提</modifiedWord>
      <trackRevisions>false</trackRevisions>
    </reviewItem>
    <reviewItem>
      <errorID>9785b402-3252-410d-bd4f-dfc46dede1f4</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34622957</paraID>
      <start>0</start>
      <end>2</end>
      <status>ignored</status>
      <modifiedWord/>
      <trackRevisions>false</trackRevisions>
    </reviewItem>
    <reviewItem>
      <errorID>30ac5751-2dc8-4cb2-b626-19d48552a530</errorID>
      <errorWord>力</errorWord>
      <group>L1_Word</group>
      <groupName>字词问题</groupName>
      <ability>L2_Typo</ability>
      <abilityName>字词错误</abilityName>
      <candidateList>
        <item>力提</item>
      </candidateList>
      <explain/>
      <paraID>64DA0023</paraID>
      <start>5</start>
      <end>7</end>
      <status>modified</status>
      <modifiedWord>力提</modifiedWord>
      <trackRevisions>false</trackRevisions>
    </reviewItem>
    <reviewItem>
      <errorID>d5e95b64-39ab-46fb-bb0e-f8a3d82e2f28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4FDE8E6A</paraID>
      <start>0</start>
      <end>2</end>
      <status>ignored</status>
      <modifiedWord/>
      <trackRevisions>false</trackRevisions>
    </reviewItem>
    <reviewItem>
      <errorID>1e0f6c4f-d0c3-4a1b-9795-925f3ed1f4d8</errorID>
      <errorWord>力</errorWord>
      <group>L1_Word</group>
      <groupName>字词问题</groupName>
      <ability>L2_Typo</ability>
      <abilityName>字词错误</abilityName>
      <candidateList>
        <item>力提</item>
      </candidateList>
      <explain/>
      <paraID>6D7564AD</paraID>
      <start>5</start>
      <end>7</end>
      <status>modified</status>
      <modifiedWord>力提</modifiedWord>
      <trackRevisions>false</trackRevisions>
    </reviewItem>
    <reviewItem>
      <errorID>2e533b95-ef6e-47b3-aeb8-b57c2ea5a239</errorID>
      <errorWord>力</errorWord>
      <group>L1_Word</group>
      <groupName>字词问题</groupName>
      <ability>L2_Typo</ability>
      <abilityName>字词错误</abilityName>
      <candidateList>
        <item>力提</item>
      </candidateList>
      <explain/>
      <paraID>72FAEFBC</paraID>
      <start>5</start>
      <end>7</end>
      <status>modified</status>
      <modifiedWord>力提</modifiedWord>
      <trackRevisions>false</trackRevisions>
    </reviewItem>
    <reviewItem>
      <errorID>62a1dd47-0bb6-4df5-8a3b-a7797e8def1c</errorID>
      <errorWord>力</errorWord>
      <group>L1_Word</group>
      <groupName>字词问题</groupName>
      <ability>L2_Typo</ability>
      <abilityName>字词错误</abilityName>
      <candidateList>
        <item>力提</item>
      </candidateList>
      <explain/>
      <paraID>17FDE9A3</paraID>
      <start>5</start>
      <end>7</end>
      <status>modified</status>
      <modifiedWord>力提</modifiedWord>
      <trackRevisions>false</trackRevisions>
    </reviewItem>
    <reviewItem>
      <errorID>2d51fb53-a4df-4b22-b32a-088bb1762794</errorID>
      <errorWord>力</errorWord>
      <group>L1_Word</group>
      <groupName>字词问题</groupName>
      <ability>L2_Typo</ability>
      <abilityName>字词错误</abilityName>
      <candidateList>
        <item>力提</item>
      </candidateList>
      <explain/>
      <paraID>4A64BFD2</paraID>
      <start>5</start>
      <end>7</end>
      <status>modified</status>
      <modifiedWord>力提</modifiedWord>
      <trackRevisions>false</trackRevisions>
    </reviewItem>
    <reviewItem>
      <errorID>78c746a9-9d1e-476e-ba1a-594b93eee5b9</errorID>
      <errorWord>力</errorWord>
      <group>L1_Word</group>
      <groupName>字词问题</groupName>
      <ability>L2_Typo</ability>
      <abilityName>字词错误</abilityName>
      <candidateList>
        <item>力提</item>
      </candidateList>
      <explain/>
      <paraID>42C87B1C</paraID>
      <start>5</start>
      <end>7</end>
      <status>modified</status>
      <modifiedWord>力提</modifiedWord>
      <trackRevisions>false</trackRevisions>
    </reviewItem>
    <reviewItem>
      <errorID>bf03408b-c029-4e15-b3b2-4b56ba3dfc5f</errorID>
      <errorWord>力</errorWord>
      <group>L1_Word</group>
      <groupName>字词问题</groupName>
      <ability>L2_Typo</ability>
      <abilityName>字词错误</abilityName>
      <candidateList>
        <item>力提</item>
      </candidateList>
      <explain/>
      <paraID>4A6F2F0F</paraID>
      <start>5</start>
      <end>7</end>
      <status>modified</status>
      <modifiedWord>力提</modifiedWord>
      <trackRevisions>false</trackRevisions>
    </reviewItem>
    <reviewItem>
      <errorID>d157d612-bc14-419a-9427-8b9b99ddca89</errorID>
      <errorWord>教学教学</errorWord>
      <group>L1_Word</group>
      <groupName>字词问题</groupName>
      <ability>L2_Typo</ability>
      <abilityName>字词错误</abilityName>
      <candidateList>
        <item>教学</item>
      </candidateList>
      <explain>〈名〉教师把知识、技能传授给学生的过程。</explain>
      <paraID>650DA926</paraID>
      <start>10</start>
      <end>12</end>
      <status>modified</status>
      <modifiedWord>教学</modifiedWord>
      <trackRevisions>false</trackRevisions>
    </reviewItem>
    <reviewItem>
      <errorID>c694cff2-799d-47aa-a51d-fd7ee3428a3e</errorID>
      <errorWord>教学教学</errorWord>
      <group>L1_Word</group>
      <groupName>字词问题</groupName>
      <ability>L2_Typo</ability>
      <abilityName>字词错误</abilityName>
      <candidateList>
        <item>教学</item>
      </candidateList>
      <explain>〈名〉教师把知识、技能传授给学生的过程。</explain>
      <paraID>7C4A1BD7</paraID>
      <start>12</start>
      <end>14</end>
      <status>modified</status>
      <modifiedWord>教学</modifiedWord>
      <trackRevisions>false</trackRevisions>
    </reviewItem>
    <reviewItem>
      <errorID>d7d1495e-b0b9-43de-adba-dd97139fe835</errorID>
      <errorWord>力</errorWord>
      <group>L1_Word</group>
      <groupName>字词问题</groupName>
      <ability>L2_Typo</ability>
      <abilityName>字词错误</abilityName>
      <candidateList>
        <item>力提</item>
      </candidateList>
      <explain/>
      <paraID>515B4A4F</paraID>
      <start>5</start>
      <end>7</end>
      <status>modified</status>
      <modifiedWord>力提</modifiedWord>
      <trackRevisions>false</trackRevisions>
    </reviewItem>
    <reviewItem>
      <errorID>8ffd8787-e53d-4e38-8e0b-78f2da34fbed</errorID>
      <errorWord>力</errorWord>
      <group>L1_Word</group>
      <groupName>字词问题</groupName>
      <ability>L2_Typo</ability>
      <abilityName>字词错误</abilityName>
      <candidateList>
        <item>力提</item>
      </candidateList>
      <explain/>
      <paraID> D8BDCBA</paraID>
      <start>5</start>
      <end>7</end>
      <status>modified</status>
      <modifiedWord>力提</modifiedWord>
      <trackRevisions>false</trackRevisions>
    </reviewItem>
    <reviewItem>
      <errorID>27f412b2-6f2c-433b-a074-9e6cda8e6eb7</errorID>
      <errorWord>力</errorWord>
      <group>L1_Word</group>
      <groupName>字词问题</groupName>
      <ability>L2_Typo</ability>
      <abilityName>字词错误</abilityName>
      <candidateList>
        <item>力提</item>
      </candidateList>
      <explain/>
      <paraID>3ED05356</paraID>
      <start>5</start>
      <end>7</end>
      <status>modified</status>
      <modifiedWord>力提</modifiedWord>
      <trackRevisions>false</trackRevisions>
    </reviewItem>
    <reviewItem>
      <errorID>de21e33e-71f2-45be-8d5c-ca48ad69f398</errorID>
      <errorWord>力</errorWord>
      <group>L1_Word</group>
      <groupName>字词问题</groupName>
      <ability>L2_Typo</ability>
      <abilityName>字词错误</abilityName>
      <candidateList>
        <item>力提</item>
      </candidateList>
      <explain/>
      <paraID> 3A170CB</paraID>
      <start>5</start>
      <end>7</end>
      <status>modified</status>
      <modifiedWord>力提</modifiedWord>
      <trackRevisions>false</trackRevisions>
    </reviewItem>
    <reviewItem>
      <errorID>1fb6ca98-fd84-41a4-882f-b35cc82020fa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172EBF14</paraID>
      <start>0</start>
      <end>8</end>
      <status>ignored</status>
      <modifiedWord/>
      <trackRevisions>false</trackRevisions>
    </reviewItem>
    <reviewItem>
      <errorID>9eebbe82-9d4f-47a4-bc88-df35ae236c28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70DF5890</paraID>
      <start>0</start>
      <end>2</end>
      <status>ignored</status>
      <modifiedWord/>
      <trackRevisions>false</trackRevisions>
    </reviewItem>
    <reviewItem>
      <errorID>f013451a-cfc1-477b-bac7-ef05c0a6b28c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331A0986</paraID>
      <start>0</start>
      <end>2</end>
      <status>ignored</status>
      <modifiedWord/>
      <trackRevisions>false</trackRevisions>
    </reviewItem>
    <reviewItem>
      <errorID>1817a503-2c57-4f64-b082-7c5f87b95b2b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F438B98</paraID>
      <start>0</start>
      <end>2</end>
      <status>ignored</status>
      <modifiedWord/>
      <trackRevisions>false</trackRevisions>
    </reviewItem>
    <reviewItem>
      <errorID>96653e15-fab4-4fbd-8598-a60b5261a8e0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15AE8E92</paraID>
      <start>0</start>
      <end>2</end>
      <status>ignored</status>
      <modifiedWord/>
      <trackRevisions>false</trackRevisions>
    </reviewItem>
    <reviewItem>
      <errorID>dbb278af-fc39-4d59-bec9-7d7b9b7d57be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74D50335</paraID>
      <start>0</start>
      <end>2</end>
      <status>ignored</status>
      <modifiedWord/>
      <trackRevisions>false</trackRevisions>
    </reviewItem>
    <reviewItem>
      <errorID>0d6ac39b-e84d-42bd-b6c6-f5f4f59cc6e8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74D50335</paraID>
      <start>24</start>
      <end>32</end>
      <status>ignored</status>
      <modifiedWord/>
      <trackRevisions>false</trackRevisions>
    </reviewItem>
    <reviewItem>
      <errorID>381d5def-bc39-4c57-8347-8be49d7ca585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44FBDEF3</paraID>
      <start>0</start>
      <end>2</end>
      <status>ignored</status>
      <modifiedWord/>
      <trackRevisions>false</trackRevisions>
    </reviewItem>
    <reviewItem>
      <errorID>e820e9d3-c0e9-433c-9537-75c14f70b12a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479E6E48</paraID>
      <start>0</start>
      <end>2</end>
      <status>ignored</status>
      <modifiedWord/>
      <trackRevisions>false</trackRevisions>
    </reviewItem>
    <reviewItem>
      <errorID>dbd9787a-f02d-4df0-b681-abea48df4248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1EFDA181</paraID>
      <start>0</start>
      <end>2</end>
      <status>ignored</status>
      <modifiedWord/>
      <trackRevisions>false</trackRevisions>
    </reviewItem>
    <reviewItem>
      <errorID>015104f4-bf66-4c66-a5dd-c915f63b8bf7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1FB363F7</paraID>
      <start>0</start>
      <end>2</end>
      <status>ignored</status>
      <modifiedWord/>
      <trackRevisions>false</trackRevisions>
    </reviewItem>
    <reviewItem>
      <errorID>cae3fe03-0153-4fa7-962f-3fa574c41f34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4C71C25F</paraID>
      <start>0</start>
      <end>2</end>
      <status>ignored</status>
      <modifiedWord/>
      <trackRevisions>false</trackRevisions>
    </reviewItem>
    <reviewItem>
      <errorID>609b22ea-ec82-4951-b3ce-b18262ec50cb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7D05CBDF</paraID>
      <start>0</start>
      <end>2</end>
      <status>ignored</status>
      <modifiedWord/>
      <trackRevisions>false</trackRevisions>
    </reviewItem>
    <reviewItem>
      <errorID>82e20afd-21dc-4dd6-8359-3ceb6397b096</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74EA4A01</paraID>
      <start>0</start>
      <end>2</end>
      <status>ignored</status>
      <modifiedWord/>
      <trackRevisions>false</trackRevisions>
    </reviewItem>
    <reviewItem>
      <errorID>ce15ea89-3263-4df4-9422-106f3bea395f</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695DD821</paraID>
      <start>0</start>
      <end>2</end>
      <status>ignored</status>
      <modifiedWord/>
      <trackRevisions>false</trackRevisions>
    </reviewItem>
    <reviewItem>
      <errorID>e670ae89-d4af-4ad4-9f51-53c0a681bd9f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298934EE</paraID>
      <start>2</start>
      <end>10</end>
      <status>ignored</status>
      <modifiedWord/>
      <trackRevisions>false</trackRevisions>
    </reviewItem>
    <reviewItem>
      <errorID>de7b8eab-c03e-4661-ae4e-f5bea56b71e4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16C97C83</paraID>
      <start>2</start>
      <end>10</end>
      <status>ignored</status>
      <modifiedWord/>
      <trackRevisions>false</trackRevisions>
    </reviewItem>
    <reviewItem>
      <errorID>6b880c57-7942-4b8e-869f-bfed4314c533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594796BE</paraID>
      <start>2</start>
      <end>10</end>
      <status>ignored</status>
      <modifiedWord/>
      <trackRevisions>false</trackRevisions>
    </reviewItem>
    <reviewItem>
      <errorID>83c3b46e-e155-434f-bbf9-5e0f1a29477d</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7BFBE0D8</paraID>
      <start>13</start>
      <end>15</end>
      <status>modified</status>
      <modifiedWord>》《</modifiedWord>
      <trackRevisions>false</trackRevisions>
    </reviewItem>
    <reviewItem>
      <errorID>3797b0e8-74d4-46ee-985a-99ab263d62cd</errorID>
      <errorWord>(</errorWord>
      <group>L1_Format</group>
      <groupName>格式问题</groupName>
      <ability>L2_HalfPunc</ability>
      <abilityName>全半角检查</abilityName>
      <candidateList>
        <item>（</item>
      </candidateList>
      <explain>文本全半角错误。</explain>
      <paraID>  EDC0BF</paraID>
      <start>23</start>
      <end>24</end>
      <status>modified</status>
      <modifiedWord>（</modifiedWord>
      <trackRevisions>false</trackRevisions>
    </reviewItem>
    <reviewItem>
      <errorID>620f9fb3-0c19-4178-8f5e-a58a1ad41d0a</errorID>
      <errorWord>)</errorWord>
      <group>L1_Format</group>
      <groupName>格式问题</groupName>
      <ability>L2_HalfPunc</ability>
      <abilityName>全半角检查</abilityName>
      <candidateList>
        <item>）</item>
      </candidateList>
      <explain>文本全半角错误。</explain>
      <paraID>  EDC0BF</paraID>
      <start>27</start>
      <end>28</end>
      <status>modified</status>
      <modifiedWord>）</modifiedWord>
      <trackRevisions>false</trackRevisions>
    </reviewItem>
    <reviewItem>
      <errorID>bc29b995-e1d9-43c1-9b2b-8a206abfbe33</errorID>
      <errorWord>(</errorWord>
      <group>L1_Format</group>
      <groupName>格式问题</groupName>
      <ability>L2_HalfPunc</ability>
      <abilityName>全半角检查</abilityName>
      <candidateList>
        <item>（</item>
      </candidateList>
      <explain>文本全半角错误。</explain>
      <paraID>  EDC0BF</paraID>
      <start>34</start>
      <end>35</end>
      <status>modified</status>
      <modifiedWord>（</modifiedWord>
      <trackRevisions>false</trackRevisions>
    </reviewItem>
    <reviewItem>
      <errorID>dcaaa9e5-9951-4d00-a890-d6504a434d31</errorID>
      <errorWord>)</errorWord>
      <group>L1_Format</group>
      <groupName>格式问题</groupName>
      <ability>L2_HalfPunc</ability>
      <abilityName>全半角检查</abilityName>
      <candidateList>
        <item>）</item>
      </candidateList>
      <explain>文本全半角错误。</explain>
      <paraID>  EDC0BF</paraID>
      <start>38</start>
      <end>39</end>
      <status>modified</status>
      <modifiedWord>）</modifiedWord>
      <trackRevisions>false</trackRevisions>
    </reviewItem>
    <reviewItem>
      <errorID>b67c80a3-82d7-4a3c-bd36-c351ccb95d46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2B1D65E</paraID>
      <start>0</start>
      <end>2</end>
      <status>ignored</status>
      <modifiedWord/>
      <trackRevisions>false</trackRevisions>
    </reviewItem>
    <reviewItem>
      <errorID>da325cb4-b17d-42cf-ad6c-b12d34b4e346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214CF0B5</paraID>
      <start>0</start>
      <end>2</end>
      <status>ignored</status>
      <modifiedWord/>
      <trackRevisions>false</trackRevisions>
    </reviewItem>
    <reviewItem>
      <errorID>f85725d4-936c-4a7a-8172-8ef6d7ff086f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23B7A475</paraID>
      <start>0</start>
      <end>2</end>
      <status>ignored</status>
      <modifiedWord/>
      <trackRevisions>false</trackRevisions>
    </reviewItem>
    <reviewItem>
      <errorID>db98cfd8-6920-4fc5-8ec4-4fae396bf793</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238AD48A</paraID>
      <start>6</start>
      <end>12</end>
      <status>modified</status>
      <modifiedWord>“三公”经费</modifiedWord>
      <trackRevisions>false</trackRevisions>
    </reviewItem>
    <reviewItem>
      <errorID>662d17fc-e59f-4423-bbb5-6d7d27f5eb5a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6760FBBA</paraID>
      <start>0</start>
      <end>2</end>
      <status>ignored</status>
      <modifiedWord/>
      <trackRevisions>false</trackRevisions>
    </reviewItem>
    <reviewItem>
      <errorID>9a7bcfa4-334e-461e-914b-e1a03aa275ad</errorID>
      <errorWord>平</errorWord>
      <group>L1_Word</group>
      <groupName>字词问题</groupName>
      <ability>L2_Typo</ability>
      <abilityName>字词错误</abilityName>
      <candidateList>
        <item>平方</item>
      </candidateList>
      <explain/>
      <paraID>2227B063</paraID>
      <start>5</start>
      <end>7</end>
      <status>modified</status>
      <modifiedWord>平方</modifiedWord>
      <trackRevisions>false</trackRevisions>
    </reviewItem>
    <reviewItem>
      <errorID>2c5c9c39-72bf-4084-9f88-034fd0fd7bbf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731AC0C</paraID>
      <start>0</start>
      <end>2</end>
      <status>ignored</status>
      <modifiedWord/>
      <trackRevisions>false</trackRevisions>
    </reviewItem>
    <reviewItem>
      <errorID>8b02cc26-4bb8-4388-8327-bf00494f61b2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3E473832</paraID>
      <start>0</start>
      <end>2</end>
      <status>ignored</status>
      <modifiedWord/>
      <trackRevisions>false</trackRevisions>
    </reviewItem>
    <reviewItem>
      <errorID>5e0c3504-99cf-481a-92be-8faa1f5f2847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1858FCC5</paraID>
      <start>0</start>
      <end>2</end>
      <status>ignored</status>
      <modifiedWord/>
      <trackRevisions>false</trackRevisions>
    </reviewItem>
    <reviewItem>
      <errorID>d4287834-14c9-4b9e-b96b-46a0bf63d640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7CBACE0D</paraID>
      <start>0</start>
      <end>2</end>
      <status>ignored</status>
      <modifiedWord/>
      <trackRevisions>false</trackRevisions>
    </reviewItem>
    <reviewItem>
      <errorID>dde141bd-f859-4ffe-b406-1c93771d6f69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7668FB76</paraID>
      <start>0</start>
      <end>2</end>
      <status>ignored</status>
      <modifiedWord/>
      <trackRevisions>false</trackRevisions>
    </reviewItem>
    <reviewItem>
      <errorID>29939d31-3d5e-435c-8128-ab1e5a7b2fc2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F582639</paraID>
      <start>0</start>
      <end>2</end>
      <status>ignored</status>
      <modifiedWord/>
      <trackRevisions>false</trackRevisions>
    </reviewItem>
    <reviewItem>
      <errorID>5e824b26-6ae3-4fcf-a251-55008cbd2660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2EB6C5B1</paraID>
      <start>0</start>
      <end>2</end>
      <status>ignored</status>
      <modifiedWord/>
      <trackRevisions>false</trackRevisions>
    </reviewItem>
    <reviewItem>
      <errorID>75d925e8-c696-44a2-94a3-e8fd4d284c39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52834D85</paraID>
      <start>0</start>
      <end>2</end>
      <status>ignored</status>
      <modifiedWord/>
      <trackRevisions>false</trackRevisions>
    </reviewItem>
    <reviewItem>
      <errorID>62909aad-d280-48e5-9cea-2cbe8b0235d1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F269E67</paraID>
      <start>0</start>
      <end>8</end>
      <status>ignored</status>
      <modifiedWord/>
      <trackRevisions>false</trackRevisions>
    </reviewItem>
    <reviewItem>
      <errorID>bb6ec1fc-dd2c-488c-98e9-62859eee7a33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5CB66C1F</paraID>
      <start>0</start>
      <end>2</end>
      <status>ignored</status>
      <modifiedWord/>
      <trackRevisions>false</trackRevisions>
    </reviewItem>
    <reviewItem>
      <errorID>2f4b1dcb-4766-4775-987a-8ccedaf80441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3E6E02CE</paraID>
      <start>0</start>
      <end>2</end>
      <status>ignored</status>
      <modifiedWord/>
      <trackRevisions>false</trackRevisions>
    </reviewItem>
    <reviewItem>
      <errorID>23382cc7-77b0-43dc-8148-463834f898d6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20DC5F2A</paraID>
      <start>0</start>
      <end>2</end>
      <status>ignored</status>
      <modifiedWord/>
      <trackRevisions>false</trackRevisions>
    </reviewItem>
    <reviewItem>
      <errorID>0a57e74a-c47b-4046-b385-783650d4d443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11B85A11</paraID>
      <start>0</start>
      <end>2</end>
      <status>ignored</status>
      <modifiedWord/>
      <trackRevisions>false</trackRevisions>
    </reviewItem>
    <reviewItem>
      <errorID>4caa571e-d579-4d28-b40d-f59316745909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5328C37E</paraID>
      <start>0</start>
      <end>2</end>
      <status>ignored</status>
      <modifiedWord/>
      <trackRevisions>false</trackRevisions>
    </reviewItem>
    <reviewItem>
      <errorID>a4397e73-3ecd-4480-89b8-5c51fc472621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5328C37E</paraID>
      <start>24</start>
      <end>32</end>
      <status>ignored</status>
      <modifiedWord/>
      <trackRevisions>false</trackRevisions>
    </reviewItem>
    <reviewItem>
      <errorID>bd1e7597-7684-4192-a8b6-f24dd7648dc5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650E823C</paraID>
      <start>0</start>
      <end>2</end>
      <status>ignored</status>
      <modifiedWord/>
      <trackRevisions>false</trackRevisions>
    </reviewItem>
    <reviewItem>
      <errorID>0a3c77c0-a6a9-433a-90c3-7200e6d9a284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41AB0BF8</paraID>
      <start>0</start>
      <end>2</end>
      <status>ignored</status>
      <modifiedWord/>
      <trackRevisions>false</trackRevisions>
    </reviewItem>
    <reviewItem>
      <errorID>edd44cd3-0e7a-40e7-ade8-76369b04abbd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6839DB69</paraID>
      <start>0</start>
      <end>2</end>
      <status>ignored</status>
      <modifiedWord/>
      <trackRevisions>false</trackRevisions>
    </reviewItem>
    <reviewItem>
      <errorID>ac8fb172-98fd-4c5c-83bf-19ccd939ad7d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31663383</paraID>
      <start>0</start>
      <end>2</end>
      <status>ignored</status>
      <modifiedWord/>
      <trackRevisions>false</trackRevisions>
    </reviewItem>
    <reviewItem>
      <errorID>071abf90-fa52-4e8a-8e8b-b9618ed2fabe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53073D09</paraID>
      <start>0</start>
      <end>2</end>
      <status>ignored</status>
      <modifiedWord/>
      <trackRevisions>false</trackRevisions>
    </reviewItem>
    <reviewItem>
      <errorID>e147b813-e462-4686-af94-72c970f8f107</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365A6A87</paraID>
      <start>0</start>
      <end>2</end>
      <status>ignored</status>
      <modifiedWord/>
      <trackRevisions>false</trackRevisions>
    </reviewItem>
    <reviewItem>
      <errorID>6ce80c9c-8076-4f4e-b42d-6ce67f9e2e26</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26656138</paraID>
      <start>0</start>
      <end>2</end>
      <status>ignored</status>
      <modifiedWord/>
      <trackRevisions>false</trackRevisions>
    </reviewItem>
    <reviewItem>
      <errorID>76fc0a58-571e-45f0-85f8-8c4d76ed29f1</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6054585A</paraID>
      <start>0</start>
      <end>2</end>
      <status>ignored</status>
      <modifiedWord/>
      <trackRevisions>false</trackRevisions>
    </reviewItem>
    <reviewItem>
      <errorID>185c3f60-c161-4e4c-8fb3-3547626aa7e6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39438F9</paraID>
      <start>2</start>
      <end>10</end>
      <status>ignored</status>
      <modifiedWord/>
      <trackRevisions>false</trackRevisions>
    </reviewItem>
    <reviewItem>
      <errorID>407345d3-2aba-4669-ad10-a70b4e1545b2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5CF6235A</paraID>
      <start>2</start>
      <end>10</end>
      <status>ignored</status>
      <modifiedWord/>
      <trackRevisions>false</trackRevisions>
    </reviewItem>
    <reviewItem>
      <errorID>bec8bad3-f9dd-4450-a16b-dbefa543fd81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55FD4CE9</paraID>
      <start>2</start>
      <end>10</end>
      <status>ignored</status>
      <modifiedWord/>
      <trackRevisions>false</trackRevisions>
    </reviewItem>
    <reviewItem>
      <errorID>79b1e0ed-2098-448f-ab48-b03c315db6cf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53189EC6</paraID>
      <start>13</start>
      <end>15</end>
      <status>modified</status>
      <modifiedWord>》《</modifiedWord>
      <trackRevisions>false</trackRevisions>
    </reviewItem>
    <reviewItem>
      <errorID>2aa5777b-8a81-42c1-a2d5-7c78ad175a4e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4ACAB1FB</paraID>
      <start>0</start>
      <end>2</end>
      <status>ignored</status>
      <modifiedWord/>
      <trackRevisions>false</trackRevisions>
    </reviewItem>
    <reviewItem>
      <errorID>51cb6bdd-53d7-486d-a217-33fca10ee1c0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49FB3371</paraID>
      <start>0</start>
      <end>2</end>
      <status>ignored</status>
      <modifiedWord/>
      <trackRevisions>false</trackRevisions>
    </reviewItem>
    <reviewItem>
      <errorID>644e2ed4-dde6-4c15-ac43-9daf3f113cfe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7B0864FD</paraID>
      <start>0</start>
      <end>2</end>
      <status>ignored</status>
      <modifiedWord/>
      <trackRevisions>false</trackRevisions>
    </reviewItem>
    <reviewItem>
      <errorID>53038711-9758-438b-8ef1-a93f709ac5c8</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7106A2A4</paraID>
      <start>6</start>
      <end>12</end>
      <status>modified</status>
      <modifiedWord>“三公”经费</modifiedWord>
      <trackRevisions>false</trackRevisions>
    </reviewItem>
    <reviewItem>
      <errorID>6c4adbbb-91ea-444e-885a-9cf184a77fd2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14753A14</paraID>
      <start>0</start>
      <end>2</end>
      <status>ignored</status>
      <modifiedWord/>
      <trackRevisions>false</trackRevisions>
    </reviewItem>
    <reviewItem>
      <errorID>e6ca2d30-9b96-4fcb-a06d-d6082bfb2b9d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2AEF899B</paraID>
      <start>0</start>
      <end>2</end>
      <status>ignored</status>
      <modifiedWord/>
      <trackRevisions>false</trackRevisions>
    </reviewItem>
    <reviewItem>
      <errorID>b6db6e6d-fc3a-4d0d-9448-a84575613c0c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30423730</paraID>
      <start>0</start>
      <end>2</end>
      <status>ignored</status>
      <modifiedWord/>
      <trackRevisions>false</trackRevisions>
    </reviewItem>
    <reviewItem>
      <errorID>c065540b-57af-4b7b-8217-42b44d17d219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5DAC73A5</paraID>
      <start>0</start>
      <end>2</end>
      <status>ignored</status>
      <modifiedWord/>
      <trackRevisions>false</trackRevisions>
    </reviewItem>
    <reviewItem>
      <errorID>8551ad29-3b0b-4105-bb20-7eba9e1acb14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16BBCDC0</paraID>
      <start>0</start>
      <end>2</end>
      <status>ignored</status>
      <modifiedWord/>
      <trackRevisions>false</trackRevisions>
    </reviewItem>
    <reviewItem>
      <errorID>d53d7dae-688f-4c45-8649-7ffbad92a731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1BD049F4</paraID>
      <start>0</start>
      <end>2</end>
      <status>ignored</status>
      <modifiedWord/>
      <trackRevisions>false</trackRevisions>
    </reviewItem>
    <reviewItem>
      <errorID>5cd1e22b-5268-4f9b-9f1f-1211a9203639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21F55FD7</paraID>
      <start>0</start>
      <end>2</end>
      <status>ignored</status>
      <modifiedWord/>
      <trackRevisions>false</trackRevisions>
    </reviewItem>
    <reviewItem>
      <errorID>cb082f80-c8b5-4ff9-9aa3-a9f56dac2cd4</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1CE05CDC</paraID>
      <start>0</start>
      <end>2</end>
      <status>ignored</status>
      <modifiedWord/>
      <trackRevisions>false</trackRevisions>
    </reviewItem>
    <reviewItem>
      <errorID>087348fa-a413-42be-a00b-a3eaf23ad5ba</errorID>
      <errorWord>混泥土浇筑</errorWord>
      <group>L1_Knowledge</group>
      <groupName>知识性问题</groupName>
      <ability>L2_Term</ability>
      <abilityName>专业术语</abilityName>
      <candidateList>
        <item>混凝土浇筑</item>
      </candidateList>
      <explain/>
      <paraID>26DA02E5</paraID>
      <start>8</start>
      <end>13</end>
      <status>modified</status>
      <modifiedWord>混凝土浇筑</modifiedWord>
      <trackRevisions>false</trackRevisions>
    </reviewItem>
    <reviewItem>
      <errorID>c3207091-9fca-4a6e-90e0-5811e484cdad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352DE01D</paraID>
      <start>0</start>
      <end>2</end>
      <status>ignored</status>
      <modifiedWord/>
      <trackRevisions>false</trackRevisions>
    </reviewItem>
    <reviewItem>
      <errorID>fa8ab310-55d4-4637-8c6b-1f9606723a50</errorID>
      <errorWord>"</errorWord>
      <group>L1_Format</group>
      <groupName>格式问题</groupName>
      <ability>L2_HalfPunc</ability>
      <abilityName>全半角检查</abilityName>
      <candidateList/>
      <explain>文本全半角错误。</explain>
      <paraID>4310BD49</paraID>
      <start>2</start>
      <end>3</end>
      <status>unmodified</status>
      <modifiedWord/>
      <trackRevisions>false</trackRevisions>
    </reviewItem>
    <reviewItem>
      <errorID>6007ffa6-e389-4c98-8cac-4ba3914128eb</errorID>
      <errorWord>须</errorWord>
      <group>L1_Word</group>
      <groupName>字词问题</groupName>
      <ability>L2_Typo</ability>
      <abilityName>字词错误</abilityName>
      <candidateList>
        <item>需</item>
      </candidateList>
      <explain>存在发音相同字词的误用。</explain>
      <paraID>7CEE600A</paraID>
      <start>4</start>
      <end>5</end>
      <status>modified</status>
      <modifiedWord>需</modifiedWord>
      <trackRevisions>false</trackRevisions>
    </reviewItem>
    <reviewItem>
      <errorID>0710ff81-e6a9-47b7-b752-aac408aa7b45</errorID>
      <errorWord>须</errorWord>
      <group>L1_Word</group>
      <groupName>字词问题</groupName>
      <ability>L2_Typo</ability>
      <abilityName>字词错误</abilityName>
      <candidateList>
        <item>需</item>
      </candidateList>
      <explain>存在发音相同字词的误用。</explain>
      <paraID>1BE1129B</paraID>
      <start>4</start>
      <end>5</end>
      <status>modified</status>
      <modifiedWord>需</modifiedWord>
      <trackRevisions>false</trackRevisions>
    </reviewItem>
    <reviewItem>
      <errorID>132a436b-09e1-4d8f-a17b-f2fb4ff11127</errorID>
      <errorWord>须</errorWord>
      <group>L1_Word</group>
      <groupName>字词问题</groupName>
      <ability>L2_Typo</ability>
      <abilityName>字词错误</abilityName>
      <candidateList>
        <item>需</item>
      </candidateList>
      <explain>存在发音相同字词的误用。</explain>
      <paraID> 488BF6B</paraID>
      <start>4</start>
      <end>5</end>
      <status>modified</status>
      <modifiedWord>需</modifiedWord>
      <trackRevisions>false</trackRevisions>
    </reviewItem>
    <reviewItem>
      <errorID>5e2c3f18-5b5d-4526-9073-1c9a1363021d</errorID>
      <errorWord>"</errorWord>
      <group>L1_Format</group>
      <groupName>格式问题</groupName>
      <ability>L2_HalfPunc</ability>
      <abilityName>全半角检查</abilityName>
      <candidateList>
        <item>”</item>
      </candidateList>
      <explain>文本全半角错误。</explain>
      <paraID> C05448D</paraID>
      <start>0</start>
      <end>1</end>
      <status>modified</status>
      <modifiedWord>”</modifiedWord>
      <trackRevisions>false</trackRevisions>
    </reviewItem>
    <reviewItem>
      <errorID>a060c9d6-d6ae-4c8c-a138-3e818bfb5c0a</errorID>
      <errorWord>"</errorWord>
      <group>L1_Format</group>
      <groupName>格式问题</groupName>
      <ability>L2_HalfPunc</ability>
      <abilityName>全半角检查</abilityName>
      <candidateList>
        <item>”</item>
      </candidateList>
      <explain>文本全半角错误。</explain>
      <paraID>143D6FB8</paraID>
      <start>0</start>
      <end>1</end>
      <status>modified</status>
      <modifiedWord>”</modifiedWord>
      <trackRevisions>false</trackRevisions>
    </reviewItem>
    <reviewItem>
      <errorID>fdce9eb7-2d12-4bbf-98a9-4095cd1dd551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926B42C</paraID>
      <start>0</start>
      <end>8</end>
      <status>ignored</status>
      <modifiedWord/>
      <trackRevisions>false</trackRevisions>
    </reviewItem>
    <reviewItem>
      <errorID>1f0a951b-c65b-4594-a6a5-861d3fd2762b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325213B</paraID>
      <start>0</start>
      <end>2</end>
      <status>ignored</status>
      <modifiedWord/>
      <trackRevisions>false</trackRevisions>
    </reviewItem>
    <reviewItem>
      <errorID>90102cf5-1fb4-43a3-b73e-4af4d2ed2ed2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63D4DE3E</paraID>
      <start>0</start>
      <end>2</end>
      <status>ignored</status>
      <modifiedWord/>
      <trackRevisions>false</trackRevisions>
    </reviewItem>
    <reviewItem>
      <errorID>c5c64f89-52b1-4a45-99d7-8bce90430074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696EE5D1</paraID>
      <start>0</start>
      <end>2</end>
      <status>ignored</status>
      <modifiedWord/>
      <trackRevisions>false</trackRevisions>
    </reviewItem>
    <reviewItem>
      <errorID>e1c4d029-c8b1-4927-a9df-47bf66680481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47B41FBA</paraID>
      <start>0</start>
      <end>2</end>
      <status>ignored</status>
      <modifiedWord/>
      <trackRevisions>false</trackRevisions>
    </reviewItem>
    <reviewItem>
      <errorID>b3f6b19d-00cd-44f9-b5f6-e88d57144825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66CC77A5</paraID>
      <start>0</start>
      <end>2</end>
      <status>ignored</status>
      <modifiedWord/>
      <trackRevisions>false</trackRevisions>
    </reviewItem>
    <reviewItem>
      <errorID>b6acd074-aa80-424c-8389-40b2d114d271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66CC77A5</paraID>
      <start>24</start>
      <end>32</end>
      <status>ignored</status>
      <modifiedWord/>
      <trackRevisions>false</trackRevisions>
    </reviewItem>
    <reviewItem>
      <errorID>702ec17a-c82d-4302-98ca-acbd24f01e50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2B6CB83C</paraID>
      <start>0</start>
      <end>2</end>
      <status>ignored</status>
      <modifiedWord/>
      <trackRevisions>false</trackRevisions>
    </reviewItem>
    <reviewItem>
      <errorID>ca661104-f9f7-4a5d-9a6c-f33811e96116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3A2158B</paraID>
      <start>0</start>
      <end>2</end>
      <status>ignored</status>
      <modifiedWord/>
      <trackRevisions>false</trackRevisions>
    </reviewItem>
    <reviewItem>
      <errorID>6b095c06-9206-4d68-bdca-a9019ac2d31f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37727467</paraID>
      <start>0</start>
      <end>2</end>
      <status>ignored</status>
      <modifiedWord/>
      <trackRevisions>false</trackRevisions>
    </reviewItem>
    <reviewItem>
      <errorID>6083a8e7-d8bc-4c91-9d06-0cc90d53e10a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1B92BD55</paraID>
      <start>0</start>
      <end>2</end>
      <status>ignored</status>
      <modifiedWord/>
      <trackRevisions>false</trackRevisions>
    </reviewItem>
    <reviewItem>
      <errorID>a21789d7-ad3e-4809-938e-9ba3ff9885a4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5C12203E</paraID>
      <start>0</start>
      <end>2</end>
      <status>ignored</status>
      <modifiedWord/>
      <trackRevisions>false</trackRevisions>
    </reviewItem>
    <reviewItem>
      <errorID>41ebfa85-55d3-4f86-9a13-1909cf74b8d3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105F33AC</paraID>
      <start>0</start>
      <end>2</end>
      <status>ignored</status>
      <modifiedWord/>
      <trackRevisions>false</trackRevisions>
    </reviewItem>
    <reviewItem>
      <errorID>db1f6d1d-e06b-443b-a4da-f111b03d8ba8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547D31CB</paraID>
      <start>0</start>
      <end>2</end>
      <status>ignored</status>
      <modifiedWord/>
      <trackRevisions>false</trackRevisions>
    </reviewItem>
    <reviewItem>
      <errorID>29a6a16f-b394-4cd7-979c-559181630310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4AD7CF74</paraID>
      <start>0</start>
      <end>2</end>
      <status>ignored</status>
      <modifiedWord/>
      <trackRevisions>false</trackRevisions>
    </reviewItem>
    <reviewItem>
      <errorID>c6544889-84af-461e-a0e8-51f27ea3a1e4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5DA5DE32</paraID>
      <start>2</start>
      <end>10</end>
      <status>ignored</status>
      <modifiedWord/>
      <trackRevisions>false</trackRevisions>
    </reviewItem>
    <reviewItem>
      <errorID>8b6800e3-9532-4956-a1c3-3d9b7322e0e8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6E8CCD9E</paraID>
      <start>2</start>
      <end>10</end>
      <status>ignored</status>
      <modifiedWord/>
      <trackRevisions>false</trackRevisions>
    </reviewItem>
    <reviewItem>
      <errorID>a6a2df51-6b29-43fe-94f1-1914f9302c70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7CD183B5</paraID>
      <start>2</start>
      <end>10</end>
      <status>ignored</status>
      <modifiedWord/>
      <trackRevisions>false</trackRevisions>
    </reviewItem>
    <reviewItem>
      <errorID>4c8c8568-f83f-48b4-aced-c9755c862d3c</errorID>
      <errorWord>年</errorWord>
      <group>L1_Word</group>
      <groupName>字词问题</groupName>
      <ability>L2_Typo</ability>
      <abilityName>字词错误</abilityName>
      <candidateList>
        <item>年度</item>
      </candidateList>
      <explain/>
      <paraID>7B14B17D</paraID>
      <start>11</start>
      <end>13</end>
      <status>modified</status>
      <modifiedWord>年度</modifiedWord>
      <trackRevisions>false</trackRevisions>
    </reviewItem>
    <reviewItem>
      <errorID>5ebc89a8-dcd9-4a63-802a-3a3d0c82815a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41703E68</paraID>
      <start>13</start>
      <end>15</end>
      <status>modified</status>
      <modifiedWord>》《</modifiedWord>
      <trackRevisions>false</trackRevisions>
    </reviewItem>
    <reviewItem>
      <errorID>bb1a8f83-36f8-434a-a337-760e1c57173c</errorID>
      <errorWord>(</errorWord>
      <group>L1_Format</group>
      <groupName>格式问题</groupName>
      <ability>L2_HalfPunc</ability>
      <abilityName>全半角检查</abilityName>
      <candidateList>
        <item>（</item>
      </candidateList>
      <explain>文本全半角错误。</explain>
      <paraID> DB34B1F</paraID>
      <start>23</start>
      <end>24</end>
      <status>modified</status>
      <modifiedWord>（</modifiedWord>
      <trackRevisions>false</trackRevisions>
    </reviewItem>
    <reviewItem>
      <errorID>faf3dee1-4c42-42ac-b250-31b19c5b6b9c</errorID>
      <errorWord>)</errorWord>
      <group>L1_Format</group>
      <groupName>格式问题</groupName>
      <ability>L2_HalfPunc</ability>
      <abilityName>全半角检查</abilityName>
      <candidateList>
        <item>）</item>
      </candidateList>
      <explain>文本全半角错误。</explain>
      <paraID> DB34B1F</paraID>
      <start>27</start>
      <end>28</end>
      <status>modified</status>
      <modifiedWord>）</modifiedWord>
      <trackRevisions>false</trackRevisions>
    </reviewItem>
    <reviewItem>
      <errorID>751e98be-9769-443a-b321-3b285eb82d98</errorID>
      <errorWord>(</errorWord>
      <group>L1_Format</group>
      <groupName>格式问题</groupName>
      <ability>L2_HalfPunc</ability>
      <abilityName>全半角检查</abilityName>
      <candidateList>
        <item>（</item>
      </candidateList>
      <explain>文本全半角错误。</explain>
      <paraID> DB34B1F</paraID>
      <start>34</start>
      <end>35</end>
      <status>modified</status>
      <modifiedWord>（</modifiedWord>
      <trackRevisions>false</trackRevisions>
    </reviewItem>
    <reviewItem>
      <errorID>be3b799d-957e-4c9a-bc24-1df02b331f14</errorID>
      <errorWord>)</errorWord>
      <group>L1_Format</group>
      <groupName>格式问题</groupName>
      <ability>L2_HalfPunc</ability>
      <abilityName>全半角检查</abilityName>
      <candidateList>
        <item>）</item>
      </candidateList>
      <explain>文本全半角错误。</explain>
      <paraID> DB34B1F</paraID>
      <start>38</start>
      <end>39</end>
      <status>modified</status>
      <modifiedWord>）</modifiedWord>
      <trackRevisions>false</trackRevisions>
    </reviewItem>
    <reviewItem>
      <errorID>7a187d86-d3b1-47bf-af62-0a0f6d473627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3C39F093</paraID>
      <start>0</start>
      <end>2</end>
      <status>ignored</status>
      <modifiedWord/>
      <trackRevisions>false</trackRevisions>
    </reviewItem>
    <reviewItem>
      <errorID>800a358d-a66f-494d-90f7-6bf8ddd8a86c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1FE1CE09</paraID>
      <start>0</start>
      <end>2</end>
      <status>ignored</status>
      <modifiedWord/>
      <trackRevisions>false</trackRevisions>
    </reviewItem>
    <reviewItem>
      <errorID>88059e46-d50e-4eb6-9e5d-c6075722ce73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1E1C4993</paraID>
      <start>0</start>
      <end>2</end>
      <status>ignored</status>
      <modifiedWord/>
      <trackRevisions>false</trackRevisions>
    </reviewItem>
    <reviewItem>
      <errorID>7ee580cc-60e2-401c-83e3-9a1f71ac8fc6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353DCD7B</paraID>
      <start>0</start>
      <end>2</end>
      <status>ignored</status>
      <modifiedWord/>
      <trackRevisions>false</trackRevisions>
    </reviewItem>
    <reviewItem>
      <errorID>aa989a14-72e3-43e2-8d2f-19cac807ecc3</errorID>
      <errorWord>,</errorWord>
      <group>L1_Format</group>
      <groupName>格式问题</groupName>
      <ability>L2_HalfPunc</ability>
      <abilityName>全半角检查</abilityName>
      <candidateList>
        <item>，</item>
      </candidateList>
      <explain>文本全半角错误。</explain>
      <paraID>29CA7004</paraID>
      <start>16</start>
      <end>17</end>
      <status>modified</status>
      <modifiedWord>，</modifiedWord>
      <trackRevisions>false</trackRevisions>
    </reviewItem>
    <reviewItem>
      <errorID>49d5bfda-2c2d-4d0d-a959-e38d287a14d0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5F1F7676</paraID>
      <start>0</start>
      <end>2</end>
      <status>ignored</status>
      <modifiedWord/>
      <trackRevisions>false</trackRevisions>
    </reviewItem>
    <reviewItem>
      <errorID>92f0a6c2-2a7f-44a2-bb38-d38d42711706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305DF6FC</paraID>
      <start>0</start>
      <end>2</end>
      <status>ignored</status>
      <modifiedWord/>
      <trackRevisions>false</trackRevisions>
    </reviewItem>
    <reviewItem>
      <errorID>6077e2ee-f5b8-41d7-988e-007fa527cf84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411371CD</paraID>
      <start>0</start>
      <end>2</end>
      <status>ignored</status>
      <modifiedWord/>
      <trackRevisions>false</trackRevisions>
    </reviewItem>
    <reviewItem>
      <errorID>8c3e1fb8-92fb-4f50-9743-d038eb84d4fa</errorID>
      <errorWord>力</errorWord>
      <group>L1_Word</group>
      <groupName>字词问题</groupName>
      <ability>L2_Typo</ability>
      <abilityName>字词错误</abilityName>
      <candidateList>
        <item>力提</item>
      </candidateList>
      <explain/>
      <paraID>26F859AA</paraID>
      <start>5</start>
      <end>7</end>
      <status>modified</status>
      <modifiedWord>力提</modifiedWord>
      <trackRevisions>false</trackRevisions>
    </reviewItem>
    <reviewItem>
      <errorID>3f58149d-0834-4fac-9029-02e37e567378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146FCC39</paraID>
      <start>0</start>
      <end>2</end>
      <status>ignored</status>
      <modifiedWord/>
      <trackRevisions>false</trackRevisions>
    </reviewItem>
    <reviewItem>
      <errorID>a713ca36-3a21-4a23-a98d-5864238550c3</errorID>
      <errorWord>力</errorWord>
      <group>L1_Word</group>
      <groupName>字词问题</groupName>
      <ability>L2_Typo</ability>
      <abilityName>字词错误</abilityName>
      <candidateList>
        <item>力提</item>
      </candidateList>
      <explain/>
      <paraID>60580DD0</paraID>
      <start>5</start>
      <end>7</end>
      <status>modified</status>
      <modifiedWord>力提</modifiedWord>
      <trackRevisions>false</trackRevisions>
    </reviewItem>
    <reviewItem>
      <errorID>1597d7bd-d7d4-4fea-a809-941617b89737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3BD941A6</paraID>
      <start>0</start>
      <end>2</end>
      <status>ignored</status>
      <modifiedWord/>
      <trackRevisions>false</trackRevisions>
    </reviewItem>
    <reviewItem>
      <errorID>ed8b37ba-af62-4af5-be59-5ce1fb00a8db</errorID>
      <errorWord>力</errorWord>
      <group>L1_Word</group>
      <groupName>字词问题</groupName>
      <ability>L2_Typo</ability>
      <abilityName>字词错误</abilityName>
      <candidateList>
        <item>力提</item>
      </candidateList>
      <explain/>
      <paraID>426F4EA7</paraID>
      <start>5</start>
      <end>7</end>
      <status>modified</status>
      <modifiedWord>力提</modifiedWord>
      <trackRevisions>false</trackRevisions>
    </reviewItem>
    <reviewItem>
      <errorID>2a0f89c6-1b49-4aa5-a4a9-88ef5b84ca46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3E033771</paraID>
      <start>0</start>
      <end>2</end>
      <status>ignored</status>
      <modifiedWord/>
      <trackRevisions>false</trackRevisions>
    </reviewItem>
    <reviewItem>
      <errorID>7a648dc6-8534-4115-999f-0a6fe70e6669</errorID>
      <errorWord>力</errorWord>
      <group>L1_Word</group>
      <groupName>字词问题</groupName>
      <ability>L2_Typo</ability>
      <abilityName>字词错误</abilityName>
      <candidateList>
        <item>力提</item>
      </candidateList>
      <explain/>
      <paraID>4B40CFC4</paraID>
      <start>5</start>
      <end>7</end>
      <status>modified</status>
      <modifiedWord>力提</modifiedWord>
      <trackRevisions>false</trackRevisions>
    </reviewItem>
    <reviewItem>
      <errorID>125175a1-0937-47ed-8c41-ca19e867c69e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2F6BD848</paraID>
      <start>0</start>
      <end>2</end>
      <status>ignored</status>
      <modifiedWord/>
      <trackRevisions>false</trackRevisions>
    </reviewItem>
    <reviewItem>
      <errorID>e92f8b0d-2688-4a31-8fc8-bcc05d565407</errorID>
      <errorWord>力</errorWord>
      <group>L1_Word</group>
      <groupName>字词问题</groupName>
      <ability>L2_Typo</ability>
      <abilityName>字词错误</abilityName>
      <candidateList>
        <item>力提</item>
      </candidateList>
      <explain/>
      <paraID>1F3065FF</paraID>
      <start>5</start>
      <end>7</end>
      <status>modified</status>
      <modifiedWord>力提</modifiedWord>
      <trackRevisions>false</trackRevisions>
    </reviewItem>
    <reviewItem>
      <errorID>62030a71-64f8-4e5f-ae1f-9f49ac5efbae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14A4D6BF</paraID>
      <start>0</start>
      <end>2</end>
      <status>ignored</status>
      <modifiedWord/>
      <trackRevisions>false</trackRevisions>
    </reviewItem>
    <reviewItem>
      <errorID>5f174e4d-ac2b-44e2-b538-335a7bdc36f2</errorID>
      <errorWord>力</errorWord>
      <group>L1_Word</group>
      <groupName>字词问题</groupName>
      <ability>L2_Typo</ability>
      <abilityName>字词错误</abilityName>
      <candidateList>
        <item>力提</item>
      </candidateList>
      <explain/>
      <paraID>713E5C50</paraID>
      <start>5</start>
      <end>7</end>
      <status>modified</status>
      <modifiedWord>力提</modifiedWord>
      <trackRevisions>false</trackRevisions>
    </reviewItem>
    <reviewItem>
      <errorID>abb9c20e-75af-4415-8e09-b6547973128d</errorID>
      <errorWord>力</errorWord>
      <group>L1_Word</group>
      <groupName>字词问题</groupName>
      <ability>L2_Typo</ability>
      <abilityName>字词错误</abilityName>
      <candidateList>
        <item>力提</item>
      </candidateList>
      <explain/>
      <paraID> 7A361CE</paraID>
      <start>5</start>
      <end>7</end>
      <status>modified</status>
      <modifiedWord>力提</modifiedWord>
      <trackRevisions>false</trackRevisions>
    </reviewItem>
    <reviewItem>
      <errorID>39b94ef5-4987-449e-aa7c-d2e7c74540d6</errorID>
      <errorWord>言校</errorWord>
      <group>L1_Word</group>
      <groupName>字词问题</groupName>
      <ability>L2_Typo</ability>
      <abilityName>字词错误</abilityName>
      <candidateList>
        <item>院校</item>
      </candidateList>
      <explain/>
      <paraID> A604C8F</paraID>
      <start>4</start>
      <end>6</end>
      <status>modified</status>
      <modifiedWord>院校</modifiedWord>
      <trackRevisions>false</trackRevisions>
    </reviewItem>
    <reviewItem>
      <errorID>158a950a-a948-4655-9c47-d0795c69e160</errorID>
      <errorWord>力</errorWord>
      <group>L1_Word</group>
      <groupName>字词问题</groupName>
      <ability>L2_Typo</ability>
      <abilityName>字词错误</abilityName>
      <candidateList>
        <item>力提</item>
      </candidateList>
      <explain/>
      <paraID>79B56764</paraID>
      <start>5</start>
      <end>7</end>
      <status>modified</status>
      <modifiedWord>力提</modifiedWord>
      <trackRevisions>false</trackRevisions>
    </reviewItem>
    <reviewItem>
      <errorID>4c56b418-7abc-45ed-9322-b795fa25da76</errorID>
      <errorWord>力</errorWord>
      <group>L1_Word</group>
      <groupName>字词问题</groupName>
      <ability>L2_Typo</ability>
      <abilityName>字词错误</abilityName>
      <candidateList>
        <item>力提</item>
      </candidateList>
      <explain/>
      <paraID>13125AFE</paraID>
      <start>5</start>
      <end>7</end>
      <status>modified</status>
      <modifiedWord>力提</modifiedWord>
      <trackRevisions>false</trackRevisions>
    </reviewItem>
    <reviewItem>
      <errorID>e2b99098-f3c7-4e39-9ec5-a474746e3ac6</errorID>
      <errorWord>力</errorWord>
      <group>L1_Word</group>
      <groupName>字词问题</groupName>
      <ability>L2_Typo</ability>
      <abilityName>字词错误</abilityName>
      <candidateList>
        <item>力提</item>
      </candidateList>
      <explain/>
      <paraID>7ACDA1CD</paraID>
      <start>5</start>
      <end>7</end>
      <status>modified</status>
      <modifiedWord>力提</modifiedWord>
      <trackRevisions>false</trackRevisions>
    </reviewItem>
    <reviewItem>
      <errorID>e6df0223-4666-4fc7-bc87-0c9756ff7b37</errorID>
      <errorWord>力</errorWord>
      <group>L1_Word</group>
      <groupName>字词问题</groupName>
      <ability>L2_Typo</ability>
      <abilityName>字词错误</abilityName>
      <candidateList>
        <item>力提</item>
      </candidateList>
      <explain/>
      <paraID>7AEABADA</paraID>
      <start>5</start>
      <end>7</end>
      <status>modified</status>
      <modifiedWord>力提</modifiedWord>
      <trackRevisions>false</trackRevisions>
    </reviewItem>
    <reviewItem>
      <errorID>b99dd874-e2be-4a38-83f6-0781bd8095c8</errorID>
      <errorWord>力</errorWord>
      <group>L1_Word</group>
      <groupName>字词问题</groupName>
      <ability>L2_Typo</ability>
      <abilityName>字词错误</abilityName>
      <candidateList>
        <item>力提</item>
      </candidateList>
      <explain/>
      <paraID>4CB4C2AD</paraID>
      <start>5</start>
      <end>7</end>
      <status>modified</status>
      <modifiedWord>力提</modifiedWord>
      <trackRevisions>false</trackRevisions>
    </reviewItem>
    <reviewItem>
      <errorID>f9dea4d0-2b19-48fe-97e4-b96baedb673e</errorID>
      <errorWord>力</errorWord>
      <group>L1_Word</group>
      <groupName>字词问题</groupName>
      <ability>L2_Typo</ability>
      <abilityName>字词错误</abilityName>
      <candidateList>
        <item>力提</item>
      </candidateList>
      <explain/>
      <paraID> 11F5EC1</paraID>
      <start>5</start>
      <end>7</end>
      <status>modified</status>
      <modifiedWord>力提</modifiedWord>
      <trackRevisions>false</trackRevisions>
    </reviewItem>
    <reviewItem>
      <errorID>d843d751-baa8-466c-a448-9b5de63088fa</errorID>
      <errorWord>力</errorWord>
      <group>L1_Word</group>
      <groupName>字词问题</groupName>
      <ability>L2_Typo</ability>
      <abilityName>字词错误</abilityName>
      <candidateList>
        <item>力提</item>
      </candidateList>
      <explain/>
      <paraID>11338156</paraID>
      <start>5</start>
      <end>7</end>
      <status>modified</status>
      <modifiedWord>力提</modifiedWord>
      <trackRevisions>false</trackRevisions>
    </reviewItem>
    <reviewItem>
      <errorID>ffc63a54-f4d6-4dcd-8368-9260b73b1501</errorID>
      <errorWord>力</errorWord>
      <group>L1_Word</group>
      <groupName>字词问题</groupName>
      <ability>L2_Typo</ability>
      <abilityName>字词错误</abilityName>
      <candidateList>
        <item>力提</item>
      </candidateList>
      <explain/>
      <paraID>4ECF7781</paraID>
      <start>5</start>
      <end>7</end>
      <status>modified</status>
      <modifiedWord>力提</modifiedWord>
      <trackRevisions>false</trackRevisions>
    </reviewItem>
    <reviewItem>
      <errorID>b59f8090-9c74-4f44-a8c1-41498bf66692</errorID>
      <errorWord>力</errorWord>
      <group>L1_Word</group>
      <groupName>字词问题</groupName>
      <ability>L2_Typo</ability>
      <abilityName>字词错误</abilityName>
      <candidateList>
        <item>力提</item>
      </candidateList>
      <explain/>
      <paraID>7E63892A</paraID>
      <start>5</start>
      <end>7</end>
      <status>modified</status>
      <modifiedWord>力提</modifiedWord>
      <trackRevisions>false</trackRevisions>
    </reviewItem>
    <reviewItem>
      <errorID>b9009cdf-c36e-4974-9cac-538df8865b1c</errorID>
      <errorWord>力</errorWord>
      <group>L1_Word</group>
      <groupName>字词问题</groupName>
      <ability>L2_Typo</ability>
      <abilityName>字词错误</abilityName>
      <candidateList>
        <item>力提</item>
      </candidateList>
      <explain/>
      <paraID>57DC85DF</paraID>
      <start>5</start>
      <end>7</end>
      <status>modified</status>
      <modifiedWord>力提</modifiedWord>
      <trackRevisions>false</trackRevisions>
    </reviewItem>
    <reviewItem>
      <errorID>48ce757a-98f4-4a77-a7c7-460653a63c07</errorID>
      <errorWord>力</errorWord>
      <group>L1_Word</group>
      <groupName>字词问题</groupName>
      <ability>L2_Typo</ability>
      <abilityName>字词错误</abilityName>
      <candidateList>
        <item>力提</item>
      </candidateList>
      <explain/>
      <paraID>4DBF0905</paraID>
      <start>5</start>
      <end>7</end>
      <status>modified</status>
      <modifiedWord>力提</modifiedWord>
      <trackRevisions>false</trackRevisions>
    </reviewItem>
    <reviewItem>
      <errorID>6cd59272-c00b-4a9f-bbfd-9d5ccfbd988a</errorID>
      <errorWord>力</errorWord>
      <group>L1_Word</group>
      <groupName>字词问题</groupName>
      <ability>L2_Typo</ability>
      <abilityName>字词错误</abilityName>
      <candidateList>
        <item>力提</item>
      </candidateList>
      <explain/>
      <paraID> 1C5A52D</paraID>
      <start>5</start>
      <end>7</end>
      <status>modified</status>
      <modifiedWord>力提</modifiedWord>
      <trackRevisions>false</trackRevisions>
    </reviewItem>
    <reviewItem>
      <errorID>7dbed185-b3ea-4b31-98f8-3e1a0c7b3037</errorID>
      <errorWord>力</errorWord>
      <group>L1_Word</group>
      <groupName>字词问题</groupName>
      <ability>L2_Typo</ability>
      <abilityName>字词错误</abilityName>
      <candidateList>
        <item>力提</item>
      </candidateList>
      <explain/>
      <paraID>726A7226</paraID>
      <start>5</start>
      <end>7</end>
      <status>modified</status>
      <modifiedWord>力提</modifiedWord>
      <trackRevisions>false</trackRevisions>
    </reviewItem>
    <reviewItem>
      <errorID>a40a7ad7-2f29-4579-9f6f-5f08b05e57fc</errorID>
      <errorWord>力</errorWord>
      <group>L1_Word</group>
      <groupName>字词问题</groupName>
      <ability>L2_Typo</ability>
      <abilityName>字词错误</abilityName>
      <candidateList>
        <item>力提</item>
      </candidateList>
      <explain/>
      <paraID>386434EB</paraID>
      <start>5</start>
      <end>7</end>
      <status>modified</status>
      <modifiedWord>力提</modifiedWord>
      <trackRevisions>false</trackRevisions>
    </reviewItem>
    <reviewItem>
      <errorID>58e03808-52f2-4310-8412-0d6c5348c128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4DFA18EB</paraID>
      <start>0</start>
      <end>8</end>
      <status>ignored</status>
      <modifiedWord/>
      <trackRevisions>false</trackRevisions>
    </reviewItem>
    <reviewItem>
      <errorID>3e75532a-7167-4bb9-9b6b-a28dc42c7f89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2DA6B786</paraID>
      <start>0</start>
      <end>2</end>
      <status>ignored</status>
      <modifiedWord/>
      <trackRevisions>false</trackRevisions>
    </reviewItem>
    <reviewItem>
      <errorID>3ec8a255-fd29-445c-9a96-1f0038f6348e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2DF5F819</paraID>
      <start>0</start>
      <end>2</end>
      <status>ignored</status>
      <modifiedWord/>
      <trackRevisions>false</trackRevisions>
    </reviewItem>
    <reviewItem>
      <errorID>17b8f77d-c7cf-4c39-9d64-7b70281621d8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7F5087C3</paraID>
      <start>0</start>
      <end>2</end>
      <status>ignored</status>
      <modifiedWord/>
      <trackRevisions>false</trackRevisions>
    </reviewItem>
    <reviewItem>
      <errorID>07619d34-e61c-4125-8790-683203fddf9a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1A032320</paraID>
      <start>0</start>
      <end>2</end>
      <status>ignored</status>
      <modifiedWord/>
      <trackRevisions>false</trackRevisions>
    </reviewItem>
    <reviewItem>
      <errorID>d156f3a7-12c9-4d05-ae91-4cf1f7d08e42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35C9F249</paraID>
      <start>0</start>
      <end>2</end>
      <status>ignored</status>
      <modifiedWord/>
      <trackRevisions>false</trackRevisions>
    </reviewItem>
    <reviewItem>
      <errorID>561cd949-85cd-4ab6-8286-227fb3872df5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35C9F249</paraID>
      <start>24</start>
      <end>32</end>
      <status>ignored</status>
      <modifiedWord/>
      <trackRevisions>false</trackRevisions>
    </reviewItem>
    <reviewItem>
      <errorID>b4aec42e-3002-416c-a87b-e90a4ecacc69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33482F47</paraID>
      <start>0</start>
      <end>2</end>
      <status>ignored</status>
      <modifiedWord/>
      <trackRevisions>false</trackRevisions>
    </reviewItem>
    <reviewItem>
      <errorID>1f7cf0ed-c7db-4f50-b55b-dfece06f360c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64A684DA</paraID>
      <start>0</start>
      <end>2</end>
      <status>ignored</status>
      <modifiedWord/>
      <trackRevisions>false</trackRevisions>
    </reviewItem>
    <reviewItem>
      <errorID>2794e43e-9ec7-4c25-ac67-ab980e8fe7b2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1C3B7AE9</paraID>
      <start>0</start>
      <end>2</end>
      <status>ignored</status>
      <modifiedWord/>
      <trackRevisions>false</trackRevisions>
    </reviewItem>
    <reviewItem>
      <errorID>7d73166a-f959-4f96-871c-08e9c4800c7f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238BD3AC</paraID>
      <start>0</start>
      <end>2</end>
      <status>ignored</status>
      <modifiedWord/>
      <trackRevisions>false</trackRevisions>
    </reviewItem>
    <reviewItem>
      <errorID>6d3a770f-c0d2-4e75-94aa-3b40e9dba66f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2A2DB526</paraID>
      <start>0</start>
      <end>2</end>
      <status>ignored</status>
      <modifiedWord/>
      <trackRevisions>false</trackRevisions>
    </reviewItem>
    <reviewItem>
      <errorID>24095e34-8510-4639-bf8e-c9d8995f318c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61416A3F</paraID>
      <start>0</start>
      <end>2</end>
      <status>ignored</status>
      <modifiedWord/>
      <trackRevisions>false</trackRevisions>
    </reviewItem>
    <reviewItem>
      <errorID>0006f45e-2f21-45f3-ad34-1c3e654fac0a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3A9A97E1</paraID>
      <start>0</start>
      <end>2</end>
      <status>ignored</status>
      <modifiedWord/>
      <trackRevisions>false</trackRevisions>
    </reviewItem>
    <reviewItem>
      <errorID>376a3f5a-851f-4f10-bd85-07fce19bcdfb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A46A2EA</paraID>
      <start>0</start>
      <end>2</end>
      <status>ignored</status>
      <modifiedWord/>
      <trackRevisions>false</trackRevisions>
    </reviewItem>
    <reviewItem>
      <errorID>377f93b2-2708-4907-9adb-5b6a6dfe2c74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2102D077</paraID>
      <start>2</start>
      <end>10</end>
      <status>ignored</status>
      <modifiedWord/>
      <trackRevisions>false</trackRevisions>
    </reviewItem>
    <reviewItem>
      <errorID>f566825f-7c0b-4271-9cc7-d6f71d84f37d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7C663950</paraID>
      <start>2</start>
      <end>10</end>
      <status>ignored</status>
      <modifiedWord/>
      <trackRevisions>false</trackRevisions>
    </reviewItem>
    <reviewItem>
      <errorID>79abb6a7-83f6-418b-8ede-d81621d66e9e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493E9395</paraID>
      <start>2</start>
      <end>10</end>
      <status>ignored</status>
      <modifiedWord/>
      <trackRevisions>false</trackRevisions>
    </reviewItem>
    <reviewItem>
      <errorID>4b49f689-d3c8-45ef-9e92-489b631e9344</errorID>
      <errorWord>年</errorWord>
      <group>L1_Word</group>
      <groupName>字词问题</groupName>
      <ability>L2_Typo</ability>
      <abilityName>字词错误</abilityName>
      <candidateList>
        <item>年度</item>
      </candidateList>
      <explain/>
      <paraID>2EC6DC81</paraID>
      <start>11</start>
      <end>13</end>
      <status>modified</status>
      <modifiedWord>年度</modifiedWord>
      <trackRevisions>false</trackRevisions>
    </reviewItem>
    <reviewItem>
      <errorID>0568e888-f3ff-44f1-bdd4-a11e1a7b1791</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1A13E8DE</paraID>
      <start>13</start>
      <end>15</end>
      <status>modified</status>
      <modifiedWord>》《</modifiedWord>
      <trackRevisions>false</trackRevisions>
    </reviewItem>
    <reviewItem>
      <errorID>e0fd05ff-5d14-4578-9760-313ff6af116f</errorID>
      <errorWord>(</errorWord>
      <group>L1_Format</group>
      <groupName>格式问题</groupName>
      <ability>L2_HalfPunc</ability>
      <abilityName>全半角检查</abilityName>
      <candidateList>
        <item>（</item>
      </candidateList>
      <explain>文本全半角错误。</explain>
      <paraID>6303F51C</paraID>
      <start>23</start>
      <end>24</end>
      <status>modified</status>
      <modifiedWord>（</modifiedWord>
      <trackRevisions>false</trackRevisions>
    </reviewItem>
    <reviewItem>
      <errorID>5ee56b9f-0fcb-45e6-a956-50d1d181a91a</errorID>
      <errorWord>)</errorWord>
      <group>L1_Format</group>
      <groupName>格式问题</groupName>
      <ability>L2_HalfPunc</ability>
      <abilityName>全半角检查</abilityName>
      <candidateList>
        <item>）</item>
      </candidateList>
      <explain>文本全半角错误。</explain>
      <paraID>6303F51C</paraID>
      <start>27</start>
      <end>28</end>
      <status>modified</status>
      <modifiedWord>）</modifiedWord>
      <trackRevisions>false</trackRevisions>
    </reviewItem>
    <reviewItem>
      <errorID>bac5258a-43ab-4b19-b586-187c4a1f2be9</errorID>
      <errorWord>(</errorWord>
      <group>L1_Format</group>
      <groupName>格式问题</groupName>
      <ability>L2_HalfPunc</ability>
      <abilityName>全半角检查</abilityName>
      <candidateList>
        <item>（</item>
      </candidateList>
      <explain>文本全半角错误。</explain>
      <paraID>6303F51C</paraID>
      <start>34</start>
      <end>35</end>
      <status>modified</status>
      <modifiedWord>（</modifiedWord>
      <trackRevisions>false</trackRevisions>
    </reviewItem>
    <reviewItem>
      <errorID>0bc2225c-13a8-4f8d-9048-cb59c831f3ac</errorID>
      <errorWord>)</errorWord>
      <group>L1_Format</group>
      <groupName>格式问题</groupName>
      <ability>L2_HalfPunc</ability>
      <abilityName>全半角检查</abilityName>
      <candidateList>
        <item>）</item>
      </candidateList>
      <explain>文本全半角错误。</explain>
      <paraID>6303F51C</paraID>
      <start>38</start>
      <end>39</end>
      <status>modified</status>
      <modifiedWord>）</modifiedWord>
      <trackRevisions>false</trackRevisions>
    </reviewItem>
    <reviewItem>
      <errorID>df0d2b2d-1610-4ddf-acad-2cc1bec9268c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4B9CF56C</paraID>
      <start>0</start>
      <end>2</end>
      <status>ignored</status>
      <modifiedWord/>
      <trackRevisions>false</trackRevisions>
    </reviewItem>
    <reviewItem>
      <errorID>d2b911b9-e3cc-45bd-bc5b-12c23a76c886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51F9B891</paraID>
      <start>0</start>
      <end>2</end>
      <status>ignored</status>
      <modifiedWord/>
      <trackRevisions>false</trackRevisions>
    </reviewItem>
    <reviewItem>
      <errorID>a268783e-da1d-4f1b-b286-ebb381ac2daf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32127A44</paraID>
      <start>0</start>
      <end>2</end>
      <status>ignored</status>
      <modifiedWord/>
      <trackRevisions>false</trackRevisions>
    </reviewItem>
    <reviewItem>
      <errorID>e7361c2e-8fbc-4244-93be-bc8fe0715f54</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7CA229C6</paraID>
      <start>6</start>
      <end>12</end>
      <status>modified</status>
      <modifiedWord>“三公”经费</modifiedWord>
      <trackRevisions>false</trackRevisions>
    </reviewItem>
    <reviewItem>
      <errorID>3d6d4d06-a3f4-4e6a-96f3-1226cce15deb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3A627C20</paraID>
      <start>0</start>
      <end>2</end>
      <status>ignored</status>
      <modifiedWord/>
      <trackRevisions>false</trackRevisions>
    </reviewItem>
    <reviewItem>
      <errorID>fc185089-f845-4d2f-9b2c-26d5e30bd0b6</errorID>
      <errorWord>力</errorWord>
      <group>L1_Word</group>
      <groupName>字词问题</groupName>
      <ability>L2_Typo</ability>
      <abilityName>字词错误</abilityName>
      <candidateList>
        <item>力提</item>
      </candidateList>
      <explain/>
      <paraID> EEE113C</paraID>
      <start>5</start>
      <end>7</end>
      <status>modified</status>
      <modifiedWord>力提</modifiedWord>
      <trackRevisions>false</trackRevisions>
    </reviewItem>
    <reviewItem>
      <errorID>fe52079c-4950-40ea-9ec2-4376bda829a4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1E4EB2E1</paraID>
      <start>0</start>
      <end>2</end>
      <status>ignored</status>
      <modifiedWord/>
      <trackRevisions>false</trackRevisions>
    </reviewItem>
    <reviewItem>
      <errorID>53af6c5c-289d-4d9f-897e-cceb0ac37bae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66274B07</paraID>
      <start>0</start>
      <end>2</end>
      <status>ignored</status>
      <modifiedWord/>
      <trackRevisions>false</trackRevisions>
    </reviewItem>
    <reviewItem>
      <errorID>98b73393-b8e1-42aa-bd0f-6fb1ca28d21e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1D25641B</paraID>
      <start>0</start>
      <end>2</end>
      <status>ignored</status>
      <modifiedWord/>
      <trackRevisions>false</trackRevisions>
    </reviewItem>
    <reviewItem>
      <errorID>709117c6-22cc-4b9a-8368-4b5cc6d62ca4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2C299B6B</paraID>
      <start>0</start>
      <end>2</end>
      <status>ignored</status>
      <modifiedWord/>
      <trackRevisions>false</trackRevisions>
    </reviewItem>
    <reviewItem>
      <errorID>1a4ca18f-6df6-49f0-95d9-3515c909cc46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422EAFAB</paraID>
      <start>0</start>
      <end>2</end>
      <status>ignored</status>
      <modifiedWord/>
      <trackRevisions>false</trackRevisions>
    </reviewItem>
    <reviewItem>
      <errorID>ecb03548-af22-49f3-afb8-fe5c5c6e69d0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371E3668</paraID>
      <start>0</start>
      <end>2</end>
      <status>ignored</status>
      <modifiedWord/>
      <trackRevisions>false</trackRevisions>
    </reviewItem>
    <reviewItem>
      <errorID>a34bf78c-0b38-4a80-8a25-bfec2a2da879</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1C29BAFA</paraID>
      <start>0</start>
      <end>2</end>
      <status>ignored</status>
      <modifiedWord/>
      <trackRevisions>false</trackRevisions>
    </reviewItem>
    <reviewItem>
      <errorID>ad604b2b-631e-4a43-8c5d-33c9f0eb27da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264A82A8</paraID>
      <start>0</start>
      <end>2</end>
      <status>ignored</status>
      <modifiedWord/>
      <trackRevisions>false</trackRevisions>
    </reviewItem>
    <reviewItem>
      <errorID>856b8077-9ccd-49e8-8355-ec904463b79a</errorID>
      <errorWord>"</errorWord>
      <group>L1_Format</group>
      <groupName>格式问题</groupName>
      <ability>L2_HalfPunc</ability>
      <abilityName>全半角检查</abilityName>
      <candidateList/>
      <explain>文本全半角错误。</explain>
      <paraID>7CD8F423</paraID>
      <start>0</start>
      <end>1</end>
      <status>unmodified</status>
      <modifiedWord/>
      <trackRevisions>false</trackRevisions>
    </reviewItem>
    <reviewItem>
      <errorID>eb016c15-7441-44d0-ac68-f0e012a40db8</errorID>
      <errorWord>"</errorWord>
      <group>L1_Format</group>
      <groupName>格式问题</groupName>
      <ability>L2_HalfPunc</ability>
      <abilityName>全半角检查</abilityName>
      <candidateList>
        <item>”</item>
      </candidateList>
      <explain>文本全半角错误。</explain>
      <paraID>656F0E65</paraID>
      <start>0</start>
      <end>1</end>
      <status>modified</status>
      <modifiedWord>”</modifiedWord>
      <trackRevisions>false</trackRevisions>
    </reviewItem>
    <reviewItem>
      <errorID>c43237e6-ef8a-4d3d-9243-9a1823c95014</errorID>
      <errorWord>"</errorWord>
      <group>L1_Format</group>
      <groupName>格式问题</groupName>
      <ability>L2_HalfPunc</ability>
      <abilityName>全半角检查</abilityName>
      <candidateList>
        <item>”</item>
      </candidateList>
      <explain>文本全半角错误。</explain>
      <paraID> 4ADC6C7</paraID>
      <start>0</start>
      <end>1</end>
      <status>modified</status>
      <modifiedWord>”</modifiedWord>
      <trackRevisions>false</trackRevisions>
    </reviewItem>
    <reviewItem>
      <errorID>4504bc94-93d9-4620-9b47-eaada32c7018</errorID>
      <errorWord>"</errorWord>
      <group>L1_Format</group>
      <groupName>格式问题</groupName>
      <ability>L2_HalfPunc</ability>
      <abilityName>全半角检查</abilityName>
      <candidateList>
        <item>“</item>
      </candidateList>
      <explain>文本全半角错误。</explain>
      <paraID>114306D7</paraID>
      <start>0</start>
      <end>1</end>
      <status>modified</status>
      <modifiedWord>“</modifiedWord>
      <trackRevisions>false</trackRevisions>
    </reviewItem>
    <reviewItem>
      <errorID>b740bbe4-783b-47ff-80e3-f2fbe227e4d2</errorID>
      <errorWord>"</errorWord>
      <group>L1_Format</group>
      <groupName>格式问题</groupName>
      <ability>L2_HalfPunc</ability>
      <abilityName>全半角检查</abilityName>
      <candidateList>
        <item>”</item>
      </candidateList>
      <explain>文本全半角错误。</explain>
      <paraID>7F66115D</paraID>
      <start>0</start>
      <end>1</end>
      <status>modified</status>
      <modifiedWord>”</modifiedWord>
      <trackRevisions>false</trackRevisions>
    </reviewItem>
    <reviewItem>
      <errorID>1d3621dd-c882-46e1-92fb-cf80535f99de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5AD5EA34</paraID>
      <start>0</start>
      <end>8</end>
      <status>ignored</status>
      <modifiedWord/>
      <trackRevisions>false</trackRevisions>
    </reviewItem>
    <reviewItem>
      <errorID>42b785d8-27af-47fa-afa3-d9e0134d593c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2AD29279</paraID>
      <start>0</start>
      <end>2</end>
      <status>ignored</status>
      <modifiedWord/>
      <trackRevisions>false</trackRevisions>
    </reviewItem>
    <reviewItem>
      <errorID>47f20925-9cd4-4ba6-843d-11a839f2a6ca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441756D7</paraID>
      <start>0</start>
      <end>2</end>
      <status>ignored</status>
      <modifiedWord/>
      <trackRevisions>false</trackRevisions>
    </reviewItem>
    <reviewItem>
      <errorID>685d93a9-b85e-4a9b-94ec-b186b40dc18c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32E90949</paraID>
      <start>0</start>
      <end>2</end>
      <status>ignored</status>
      <modifiedWord/>
      <trackRevisions>false</trackRevisions>
    </reviewItem>
    <reviewItem>
      <errorID>07c17f95-f421-4943-a355-9d30108a04ca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65DC5814</paraID>
      <start>0</start>
      <end>2</end>
      <status>ignored</status>
      <modifiedWord/>
      <trackRevisions>false</trackRevisions>
    </reviewItem>
    <reviewItem>
      <errorID>02de1b93-208e-4fda-8546-221a3156865d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12DD771F</paraID>
      <start>0</start>
      <end>2</end>
      <status>ignored</status>
      <modifiedWord/>
      <trackRevisions>false</trackRevisions>
    </reviewItem>
    <reviewItem>
      <errorID>b42bdda2-3cf3-4e7b-ace8-876009bb323c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12DD771F</paraID>
      <start>24</start>
      <end>32</end>
      <status>ignored</status>
      <modifiedWord/>
      <trackRevisions>false</trackRevisions>
    </reviewItem>
    <reviewItem>
      <errorID>0bcbe2bd-173e-4bb0-acea-8e61f364bc65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730E9E15</paraID>
      <start>0</start>
      <end>2</end>
      <status>ignored</status>
      <modifiedWord/>
      <trackRevisions>false</trackRevisions>
    </reviewItem>
    <reviewItem>
      <errorID>0c506611-4a79-457c-932f-242ad42da99d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67B64B21</paraID>
      <start>0</start>
      <end>2</end>
      <status>ignored</status>
      <modifiedWord/>
      <trackRevisions>false</trackRevisions>
    </reviewItem>
    <reviewItem>
      <errorID>5c367e64-e88e-4f01-b570-19cb54eb599c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35743EAF</paraID>
      <start>0</start>
      <end>2</end>
      <status>ignored</status>
      <modifiedWord/>
      <trackRevisions>false</trackRevisions>
    </reviewItem>
    <reviewItem>
      <errorID>d79e7c60-3aab-4c1f-8fba-480aa1aece1d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343299B0</paraID>
      <start>0</start>
      <end>2</end>
      <status>ignored</status>
      <modifiedWord/>
      <trackRevisions>false</trackRevisions>
    </reviewItem>
    <reviewItem>
      <errorID>32eefbd5-62c1-4dfa-be47-1a53d3e27a7f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601C60CE</paraID>
      <start>0</start>
      <end>2</end>
      <status>ignored</status>
      <modifiedWord/>
      <trackRevisions>false</trackRevisions>
    </reviewItem>
    <reviewItem>
      <errorID>77a94f44-e98c-4d43-8b55-448c268e8433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222598F6</paraID>
      <start>0</start>
      <end>2</end>
      <status>ignored</status>
      <modifiedWord/>
      <trackRevisions>false</trackRevisions>
    </reviewItem>
    <reviewItem>
      <errorID>1eb80527-17b4-408f-b61e-b36996f96cec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358F1DA1</paraID>
      <start>0</start>
      <end>2</end>
      <status>ignored</status>
      <modifiedWord/>
      <trackRevisions>false</trackRevisions>
    </reviewItem>
    <reviewItem>
      <errorID>c0ea327f-2f94-4e91-9315-381ad4a0b99e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204B9D3F</paraID>
      <start>0</start>
      <end>2</end>
      <status>ignored</status>
      <modifiedWord/>
      <trackRevisions>false</trackRevisions>
    </reviewItem>
    <reviewItem>
      <errorID>1f10c105-7b34-4401-9ca7-922a02d504bd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580323CC</paraID>
      <start>2</start>
      <end>10</end>
      <status>ignored</status>
      <modifiedWord/>
      <trackRevisions>false</trackRevisions>
    </reviewItem>
    <reviewItem>
      <errorID>419b4ff4-6b58-410f-a2ce-aef4f11b3ce5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1676AC9A</paraID>
      <start>2</start>
      <end>10</end>
      <status>ignored</status>
      <modifiedWord/>
      <trackRevisions>false</trackRevisions>
    </reviewItem>
    <reviewItem>
      <errorID>ea0c92ae-e42a-4cea-8b70-d0adf061a093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56725553</paraID>
      <start>2</start>
      <end>10</end>
      <status>ignored</status>
      <modifiedWord/>
      <trackRevisions>false</trackRevisions>
    </reviewItem>
    <reviewItem>
      <errorID>b0c7078e-29f6-4a93-bea1-27dfb849424b</errorID>
      <errorWord>年</errorWord>
      <group>L1_Word</group>
      <groupName>字词问题</groupName>
      <ability>L2_Typo</ability>
      <abilityName>字词错误</abilityName>
      <candidateList>
        <item>年度</item>
      </candidateList>
      <explain/>
      <paraID>5DD30998</paraID>
      <start>11</start>
      <end>13</end>
      <status>modified</status>
      <modifiedWord>年度</modifiedWord>
      <trackRevisions>false</trackRevisions>
    </reviewItem>
    <reviewItem>
      <errorID>e68e4fd3-818a-47ec-80e0-8852733756e8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6D2A4051</paraID>
      <start>13</start>
      <end>15</end>
      <status>modified</status>
      <modifiedWord>》《</modifiedWord>
      <trackRevisions>false</trackRevisions>
    </reviewItem>
    <reviewItem>
      <errorID>f04bfa2d-8104-4623-9c24-134b6c166dee</errorID>
      <errorWord>(</errorWord>
      <group>L1_Format</group>
      <groupName>格式问题</groupName>
      <ability>L2_HalfPunc</ability>
      <abilityName>全半角检查</abilityName>
      <candidateList>
        <item>（</item>
      </candidateList>
      <explain>文本全半角错误。</explain>
      <paraID>22A4542C</paraID>
      <start>23</start>
      <end>24</end>
      <status>modified</status>
      <modifiedWord>（</modifiedWord>
      <trackRevisions>false</trackRevisions>
    </reviewItem>
    <reviewItem>
      <errorID>97699015-b5ee-48ea-965d-e61c4c65dc3c</errorID>
      <errorWord>)</errorWord>
      <group>L1_Format</group>
      <groupName>格式问题</groupName>
      <ability>L2_HalfPunc</ability>
      <abilityName>全半角检查</abilityName>
      <candidateList>
        <item>）</item>
      </candidateList>
      <explain>文本全半角错误。</explain>
      <paraID>22A4542C</paraID>
      <start>27</start>
      <end>28</end>
      <status>modified</status>
      <modifiedWord>）</modifiedWord>
      <trackRevisions>false</trackRevisions>
    </reviewItem>
    <reviewItem>
      <errorID>9c75eb2b-8981-415a-b8ae-9605113d0845</errorID>
      <errorWord>(</errorWord>
      <group>L1_Format</group>
      <groupName>格式问题</groupName>
      <ability>L2_HalfPunc</ability>
      <abilityName>全半角检查</abilityName>
      <candidateList>
        <item>（</item>
      </candidateList>
      <explain>文本全半角错误。</explain>
      <paraID>22A4542C</paraID>
      <start>34</start>
      <end>35</end>
      <status>modified</status>
      <modifiedWord>（</modifiedWord>
      <trackRevisions>false</trackRevisions>
    </reviewItem>
    <reviewItem>
      <errorID>f5366ee8-8288-4f66-a013-e6b21a90708d</errorID>
      <errorWord>)</errorWord>
      <group>L1_Format</group>
      <groupName>格式问题</groupName>
      <ability>L2_HalfPunc</ability>
      <abilityName>全半角检查</abilityName>
      <candidateList>
        <item>）</item>
      </candidateList>
      <explain>文本全半角错误。</explain>
      <paraID>22A4542C</paraID>
      <start>38</start>
      <end>39</end>
      <status>modified</status>
      <modifiedWord>）</modifiedWord>
      <trackRevisions>false</trackRevisions>
    </reviewItem>
    <reviewItem>
      <errorID>05c69ef8-cb0a-4330-a6ff-8911298b0c46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57365966</paraID>
      <start>0</start>
      <end>2</end>
      <status>ignored</status>
      <modifiedWord/>
      <trackRevisions>false</trackRevisions>
    </reviewItem>
    <reviewItem>
      <errorID>4c1a0a77-18d8-4bc2-bfb8-d0fa3182fb48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1F3E9DF9</paraID>
      <start>0</start>
      <end>2</end>
      <status>ignored</status>
      <modifiedWord/>
      <trackRevisions>false</trackRevisions>
    </reviewItem>
    <reviewItem>
      <errorID>add938b3-d312-4022-b4ca-df09d4115b55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29A2780D</paraID>
      <start>0</start>
      <end>2</end>
      <status>ignored</status>
      <modifiedWord/>
      <trackRevisions>false</trackRevisions>
    </reviewItem>
    <reviewItem>
      <errorID>720470df-c0c9-4898-ad92-12f4963d4441</errorID>
      <errorWord>.</errorWord>
      <group>L1_Format</group>
      <groupName>格式问题</groupName>
      <ability>L2_HalfPunc</ability>
      <abilityName>全半角检查</abilityName>
      <candidateList>
        <item>。</item>
      </candidateList>
      <explain>文本全半角错误。</explain>
      <paraID>43ED6744</paraID>
      <start>72</start>
      <end>73</end>
      <status>modified</status>
      <modifiedWord>。</modifiedWord>
      <trackRevisions>false</trackRevisions>
    </reviewItem>
    <reviewItem>
      <errorID>2c68a6c7-8286-452f-a03d-08605d2b00f3</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12AAA1A8</paraID>
      <start>6</start>
      <end>12</end>
      <status>modified</status>
      <modifiedWord>“三公”经费</modifiedWord>
      <trackRevisions>false</trackRevisions>
    </reviewItem>
    <reviewItem>
      <errorID>7b3bea07-55b9-4907-a1a6-f569e7d2ec3b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178350AD</paraID>
      <start>0</start>
      <end>2</end>
      <status>ignored</status>
      <modifiedWord/>
      <trackRevisions>false</trackRevisions>
    </reviewItem>
    <reviewItem>
      <errorID>0703b78d-fbbe-4acf-8c50-482df0cf5c1a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48768021</paraID>
      <start>0</start>
      <end>2</end>
      <status>ignored</status>
      <modifiedWord/>
      <trackRevisions>false</trackRevisions>
    </reviewItem>
    <reviewItem>
      <errorID>c26315d3-bcf9-4d4d-b180-be57b1194d80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9CAE3A9</paraID>
      <start>0</start>
      <end>2</end>
      <status>ignored</status>
      <modifiedWord/>
      <trackRevisions>false</trackRevisions>
    </reviewItem>
    <reviewItem>
      <errorID>d3ff2ea9-e56c-440c-a748-88b79da6c96e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69C3FB60</paraID>
      <start>0</start>
      <end>2</end>
      <status>ignored</status>
      <modifiedWord/>
      <trackRevisions>false</trackRevisions>
    </reviewItem>
    <reviewItem>
      <errorID>cdf0635b-8993-4252-b78a-5c88f625fa2a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1EE3522E</paraID>
      <start>0</start>
      <end>2</end>
      <status>ignored</status>
      <modifiedWord/>
      <trackRevisions>false</trackRevisions>
    </reviewItem>
    <reviewItem>
      <errorID>18743945-5839-4096-b4b1-df93c1b2093c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4716E240</paraID>
      <start>0</start>
      <end>2</end>
      <status>ignored</status>
      <modifiedWord/>
      <trackRevisions>false</trackRevisions>
    </reviewItem>
    <reviewItem>
      <errorID>906e8a82-adea-4bca-8bf9-d924abc396bf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ED0C13E</paraID>
      <start>0</start>
      <end>2</end>
      <status>ignored</status>
      <modifiedWord/>
      <trackRevisions>false</trackRevisions>
    </reviewItem>
    <reviewItem>
      <errorID>872b347e-de27-44f3-8f72-fc01cc667703</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35BAD0AC</paraID>
      <start>0</start>
      <end>2</end>
      <status>ignored</status>
      <modifiedWord/>
      <trackRevisions>false</trackRevisions>
    </reviewItem>
    <reviewItem>
      <errorID>9e114b87-d97b-4aa9-80c8-a927077a46cb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7AB8A030</paraID>
      <start>0</start>
      <end>2</end>
      <status>ignored</status>
      <modifiedWord/>
      <trackRevisions>false</trackRevisions>
    </reviewItem>
    <reviewItem>
      <errorID>d49d40d5-56d3-4266-83af-6747bb41a621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5BFAB19E</paraID>
      <start>0</start>
      <end>8</end>
      <status>ignored</status>
      <modifiedWord/>
      <trackRevisions>false</trackRevisions>
    </reviewItem>
    <reviewItem>
      <errorID>3ea5c78d-252f-494c-980c-306c561978f0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342D7860</paraID>
      <start>0</start>
      <end>2</end>
      <status>ignored</status>
      <modifiedWord/>
      <trackRevisions>false</trackRevisions>
    </reviewItem>
    <reviewItem>
      <errorID>0cd7e5f0-4d73-4f78-b723-255643522e3c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600CE574</paraID>
      <start>0</start>
      <end>2</end>
      <status>ignored</status>
      <modifiedWord/>
      <trackRevisions>false</trackRevisions>
    </reviewItem>
    <reviewItem>
      <errorID>859e9e12-3fb5-48ac-b7ab-e2c52f4d5d0b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E0929E8</paraID>
      <start>0</start>
      <end>2</end>
      <status>ignored</status>
      <modifiedWord/>
      <trackRevisions>false</trackRevisions>
    </reviewItem>
    <reviewItem>
      <errorID>4c6826f8-4b64-4994-9e62-ccd7cb1422c5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25A0855E</paraID>
      <start>0</start>
      <end>2</end>
      <status>ignored</status>
      <modifiedWord/>
      <trackRevisions>false</trackRevisions>
    </reviewItem>
    <reviewItem>
      <errorID>41b5afcc-eda5-4e06-92e8-8928fc42273f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399EBFE4</paraID>
      <start>0</start>
      <end>2</end>
      <status>ignored</status>
      <modifiedWord/>
      <trackRevisions>false</trackRevisions>
    </reviewItem>
    <reviewItem>
      <errorID>4fd23aa4-1c1d-4050-aed6-4b9d43cb0590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399EBFE4</paraID>
      <start>24</start>
      <end>32</end>
      <status>ignored</status>
      <modifiedWord/>
      <trackRevisions>false</trackRevisions>
    </reviewItem>
    <reviewItem>
      <errorID>05cfd6d1-d8c4-430b-ae2c-4120288949d6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60A96250</paraID>
      <start>0</start>
      <end>2</end>
      <status>ignored</status>
      <modifiedWord/>
      <trackRevisions>false</trackRevisions>
    </reviewItem>
    <reviewItem>
      <errorID>049c621c-8944-4223-b780-8ce13c06a9af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2275B0BC</paraID>
      <start>0</start>
      <end>2</end>
      <status>ignored</status>
      <modifiedWord/>
      <trackRevisions>false</trackRevisions>
    </reviewItem>
    <reviewItem>
      <errorID>bcae35b0-0d7d-4aa0-9f9a-5fe21bbbaaae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45A28972</paraID>
      <start>0</start>
      <end>2</end>
      <status>ignored</status>
      <modifiedWord/>
      <trackRevisions>false</trackRevisions>
    </reviewItem>
    <reviewItem>
      <errorID>c277aa00-9546-4b28-b401-2a45a7eb5ab3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41982426</paraID>
      <start>0</start>
      <end>2</end>
      <status>ignored</status>
      <modifiedWord/>
      <trackRevisions>false</trackRevisions>
    </reviewItem>
    <reviewItem>
      <errorID>34b74d25-2eda-40e4-8e9f-f11771a6f56e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17D7B59F</paraID>
      <start>0</start>
      <end>2</end>
      <status>ignored</status>
      <modifiedWord/>
      <trackRevisions>false</trackRevisions>
    </reviewItem>
    <reviewItem>
      <errorID>d12e3965-f8bf-44c7-9e73-7fe8f8c9dca4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6714ED70</paraID>
      <start>0</start>
      <end>2</end>
      <status>ignored</status>
      <modifiedWord/>
      <trackRevisions>false</trackRevisions>
    </reviewItem>
    <reviewItem>
      <errorID>bb101b0b-3d40-410a-a3f2-ceda2ffab4f6</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4B5DCEF9</paraID>
      <start>0</start>
      <end>2</end>
      <status>ignored</status>
      <modifiedWord/>
      <trackRevisions>false</trackRevisions>
    </reviewItem>
    <reviewItem>
      <errorID>5f65d5e4-872e-4b5a-9d8d-a9e81fde387b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813FB0A</paraID>
      <start>0</start>
      <end>2</end>
      <status>ignored</status>
      <modifiedWord/>
      <trackRevisions>false</trackRevisions>
    </reviewItem>
    <reviewItem>
      <errorID>25c1d1e6-0da2-4fd9-9c11-ce1318ac7da2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21057436</paraID>
      <start>2</start>
      <end>10</end>
      <status>ignored</status>
      <modifiedWord/>
      <trackRevisions>false</trackRevisions>
    </reviewItem>
    <reviewItem>
      <errorID>1fe7f5ce-de5d-43a8-8aff-7efef9e6a1e7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7565611A</paraID>
      <start>2</start>
      <end>10</end>
      <status>ignored</status>
      <modifiedWord/>
      <trackRevisions>false</trackRevisions>
    </reviewItem>
    <reviewItem>
      <errorID>44ba4873-d17c-4292-a80e-c385b5d2685b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210EA6F6</paraID>
      <start>2</start>
      <end>10</end>
      <status>ignored</status>
      <modifiedWord/>
      <trackRevisions>false</trackRevisions>
    </reviewItem>
    <reviewItem>
      <errorID>da8d8eb6-d280-4bc7-bfed-f64b46e335ec</errorID>
      <errorWord>年</errorWord>
      <group>L1_Word</group>
      <groupName>字词问题</groupName>
      <ability>L2_Typo</ability>
      <abilityName>字词错误</abilityName>
      <candidateList>
        <item>年度</item>
      </candidateList>
      <explain/>
      <paraID>4DB44CDF</paraID>
      <start>11</start>
      <end>13</end>
      <status>modified</status>
      <modifiedWord>年度</modifiedWord>
      <trackRevisions>false</trackRevisions>
    </reviewItem>
    <reviewItem>
      <errorID>d351b981-1abc-404a-80e9-df6eb0fe98ae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1453716E</paraID>
      <start>13</start>
      <end>15</end>
      <status>modified</status>
      <modifiedWord>》《</modifiedWord>
      <trackRevisions>false</trackRevisions>
    </reviewItem>
    <reviewItem>
      <errorID>54f93b61-a45d-4fdc-9b8f-b364dda63b95</errorID>
      <errorWord>(</errorWord>
      <group>L1_Format</group>
      <groupName>格式问题</groupName>
      <ability>L2_HalfPunc</ability>
      <abilityName>全半角检查</abilityName>
      <candidateList>
        <item>（</item>
      </candidateList>
      <explain>文本全半角错误。</explain>
      <paraID>76DFF674</paraID>
      <start>23</start>
      <end>24</end>
      <status>modified</status>
      <modifiedWord>（</modifiedWord>
      <trackRevisions>false</trackRevisions>
    </reviewItem>
    <reviewItem>
      <errorID>ab89bf5a-db44-4cf5-a6a4-4e5ea3035fc8</errorID>
      <errorWord>)</errorWord>
      <group>L1_Format</group>
      <groupName>格式问题</groupName>
      <ability>L2_HalfPunc</ability>
      <abilityName>全半角检查</abilityName>
      <candidateList>
        <item>）</item>
      </candidateList>
      <explain>文本全半角错误。</explain>
      <paraID>76DFF674</paraID>
      <start>27</start>
      <end>28</end>
      <status>modified</status>
      <modifiedWord>）</modifiedWord>
      <trackRevisions>false</trackRevisions>
    </reviewItem>
    <reviewItem>
      <errorID>e99f0ac9-9e9c-46ab-854e-b1276fc1e855</errorID>
      <errorWord>(</errorWord>
      <group>L1_Format</group>
      <groupName>格式问题</groupName>
      <ability>L2_HalfPunc</ability>
      <abilityName>全半角检查</abilityName>
      <candidateList>
        <item>（</item>
      </candidateList>
      <explain>文本全半角错误。</explain>
      <paraID>76DFF674</paraID>
      <start>34</start>
      <end>35</end>
      <status>modified</status>
      <modifiedWord>（</modifiedWord>
      <trackRevisions>false</trackRevisions>
    </reviewItem>
    <reviewItem>
      <errorID>cca2af37-6fc6-439d-8a0b-1d7b7f751caf</errorID>
      <errorWord>)</errorWord>
      <group>L1_Format</group>
      <groupName>格式问题</groupName>
      <ability>L2_HalfPunc</ability>
      <abilityName>全半角检查</abilityName>
      <candidateList>
        <item>）</item>
      </candidateList>
      <explain>文本全半角错误。</explain>
      <paraID>76DFF674</paraID>
      <start>38</start>
      <end>39</end>
      <status>modified</status>
      <modifiedWord>）</modifiedWord>
      <trackRevisions>false</trackRevisions>
    </reviewItem>
    <reviewItem>
      <errorID>86496b21-3b22-4cab-9e8a-5c566501445d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176AA8EB</paraID>
      <start>0</start>
      <end>2</end>
      <status>ignored</status>
      <modifiedWord/>
      <trackRevisions>false</trackRevisions>
    </reviewItem>
    <reviewItem>
      <errorID>2ba6c3e0-ecc5-41ed-a799-aa7b1c17fb45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302D3B34</paraID>
      <start>0</start>
      <end>2</end>
      <status>ignored</status>
      <modifiedWord/>
      <trackRevisions>false</trackRevisions>
    </reviewItem>
    <reviewItem>
      <errorID>fec4a039-2f98-4b36-9547-216f4d367b63</errorID>
      <errorWord>元元</errorWord>
      <group>L1_Word</group>
      <groupName>字词问题</groupName>
      <ability>L2_Typo</ability>
      <abilityName>字词错误</abilityName>
      <candidateList>
        <item>元</item>
      </candidateList>
      <explain/>
      <paraID> 460C8FE</paraID>
      <start>76</start>
      <end>77</end>
      <status>modified</status>
      <modifiedWord>元</modifiedWord>
      <trackRevisions>false</trackRevisions>
    </reviewItem>
    <reviewItem>
      <errorID>8b05848f-d44f-4946-94cb-59f8007dfca8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7B4625EE</paraID>
      <start>0</start>
      <end>2</end>
      <status>ignored</status>
      <modifiedWord/>
      <trackRevisions>false</trackRevisions>
    </reviewItem>
    <reviewItem>
      <errorID>dd8bde56-ec66-402d-82c8-2dd42cd87c26</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60C3A083</paraID>
      <start>11</start>
      <end>17</end>
      <status>modified</status>
      <modifiedWord>“三公”经费</modifiedWord>
      <trackRevisions>false</trackRevisions>
    </reviewItem>
    <reviewItem>
      <errorID>18034cdf-021e-4d02-adb3-727801d96a12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2623B276</paraID>
      <start>0</start>
      <end>2</end>
      <status>ignored</status>
      <modifiedWord/>
      <trackRevisions>false</trackRevisions>
    </reviewItem>
    <reviewItem>
      <errorID>994e6dad-0dbb-4e95-aac8-4e36b6ca9192</errorID>
      <errorWord>平</errorWord>
      <group>L1_Word</group>
      <groupName>字词问题</groupName>
      <ability>L2_Typo</ability>
      <abilityName>字词错误</abilityName>
      <candidateList>
        <item>平方</item>
      </candidateList>
      <explain/>
      <paraID>3C6EC36F</paraID>
      <start>7</start>
      <end>9</end>
      <status>modified</status>
      <modifiedWord>平方</modifiedWord>
      <trackRevisions>false</trackRevisions>
    </reviewItem>
    <reviewItem>
      <errorID>e08d029a-473e-45a6-ad47-71ef7ae9a63c</errorID>
      <errorWord>平</errorWord>
      <group>L1_Word</group>
      <groupName>字词问题</groupName>
      <ability>L2_Typo</ability>
      <abilityName>字词错误</abilityName>
      <candidateList>
        <item>平方</item>
      </candidateList>
      <explain/>
      <paraID>  827FB3</paraID>
      <start>30</start>
      <end>32</end>
      <status>modified</status>
      <modifiedWord>平方</modifiedWord>
      <trackRevisions>false</trackRevisions>
    </reviewItem>
    <reviewItem>
      <errorID>62ef0bb7-29cd-4a2a-a4aa-0ecba9cc0e3f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3CD22DF6</paraID>
      <start>0</start>
      <end>2</end>
      <status>ignored</status>
      <modifiedWord/>
      <trackRevisions>false</trackRevisions>
    </reviewItem>
    <reviewItem>
      <errorID>3562f2d1-7a56-4ee1-a9ba-c165bdf5ee80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506D24BB</paraID>
      <start>0</start>
      <end>2</end>
      <status>ignored</status>
      <modifiedWord/>
      <trackRevisions>false</trackRevisions>
    </reviewItem>
    <reviewItem>
      <errorID>ae7c2586-e0e3-4be6-b19b-c966b7f684c8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61FF316C</paraID>
      <start>0</start>
      <end>2</end>
      <status>ignored</status>
      <modifiedWord/>
      <trackRevisions>false</trackRevisions>
    </reviewItem>
    <reviewItem>
      <errorID>14e48eee-0401-43e5-b3bf-aafec9b9ce44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63C996B3</paraID>
      <start>0</start>
      <end>2</end>
      <status>ignored</status>
      <modifiedWord/>
      <trackRevisions>false</trackRevisions>
    </reviewItem>
    <reviewItem>
      <errorID>549d6e9c-e004-4765-b4b9-ca658489f319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4717438B</paraID>
      <start>0</start>
      <end>2</end>
      <status>ignored</status>
      <modifiedWord/>
      <trackRevisions>false</trackRevisions>
    </reviewItem>
    <reviewItem>
      <errorID>b27b48ea-fe85-490a-91da-50f5ebc4c5a0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449D36CE</paraID>
      <start>0</start>
      <end>2</end>
      <status>ignored</status>
      <modifiedWord/>
      <trackRevisions>false</trackRevisions>
    </reviewItem>
    <reviewItem>
      <errorID>ffbfa3de-2a08-442c-b549-907da568a897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24768FC4</paraID>
      <start>0</start>
      <end>2</end>
      <status>ignored</status>
      <modifiedWord/>
      <trackRevisions>false</trackRevisions>
    </reviewItem>
    <reviewItem>
      <errorID>cfe277d9-e5c7-485b-839b-05ddb4646a20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4E1DECB7</paraID>
      <start>0</start>
      <end>2</end>
      <status>ignored</status>
      <modifiedWord/>
      <trackRevisions>false</trackRevisions>
    </reviewItem>
    <reviewItem>
      <errorID>fbddfd8c-bb55-4f5b-9ae4-b17054c32faf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39745CDB</paraID>
      <start>0</start>
      <end>8</end>
      <status>ignored</status>
      <modifiedWord/>
      <trackRevisions>false</trackRevisions>
    </reviewItem>
    <reviewItem>
      <errorID>82160fc5-9ab7-4f11-8d06-ea6ab8049a86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11FC825E</paraID>
      <start>0</start>
      <end>2</end>
      <status>ignored</status>
      <modifiedWord/>
      <trackRevisions>false</trackRevisions>
    </reviewItem>
    <reviewItem>
      <errorID>f8556103-3ed9-40a9-91b4-c7b46d4c5ee4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62A9D720</paraID>
      <start>0</start>
      <end>2</end>
      <status>ignored</status>
      <modifiedWord/>
      <trackRevisions>false</trackRevisions>
    </reviewItem>
    <reviewItem>
      <errorID>b53104c6-cb16-4b58-b0e5-b60b43e96cf1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2DDD0824</paraID>
      <start>0</start>
      <end>2</end>
      <status>ignored</status>
      <modifiedWord/>
      <trackRevisions>false</trackRevisions>
    </reviewItem>
    <reviewItem>
      <errorID>dd949776-89cc-4fe5-9473-49a62c360f49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1D184323</paraID>
      <start>0</start>
      <end>2</end>
      <status>ignored</status>
      <modifiedWord/>
      <trackRevisions>false</trackRevisions>
    </reviewItem>
    <reviewItem>
      <errorID>6c1ab97c-7e69-4453-aa7c-4fb519e1a91d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46E658ED</paraID>
      <start>0</start>
      <end>2</end>
      <status>ignored</status>
      <modifiedWord/>
      <trackRevisions>false</trackRevisions>
    </reviewItem>
    <reviewItem>
      <errorID>2f082ab9-fa18-41b6-bcbf-044fdcb6a17c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46E658ED</paraID>
      <start>24</start>
      <end>32</end>
      <status>ignored</status>
      <modifiedWord/>
      <trackRevisions>false</trackRevisions>
    </reviewItem>
    <reviewItem>
      <errorID>0e63d92d-aa6c-434f-b936-26339746231b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2A5D2F70</paraID>
      <start>0</start>
      <end>2</end>
      <status>ignored</status>
      <modifiedWord/>
      <trackRevisions>false</trackRevisions>
    </reviewItem>
    <reviewItem>
      <errorID>1b146b9c-90be-484a-8582-bb73611e97a8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3B9A24D1</paraID>
      <start>0</start>
      <end>2</end>
      <status>ignored</status>
      <modifiedWord/>
      <trackRevisions>false</trackRevisions>
    </reviewItem>
    <reviewItem>
      <errorID>3092c43f-5f38-4886-a286-4d108c51a2c2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31411360</paraID>
      <start>0</start>
      <end>2</end>
      <status>ignored</status>
      <modifiedWord/>
      <trackRevisions>false</trackRevisions>
    </reviewItem>
    <reviewItem>
      <errorID>aa12f9a2-931b-4243-8c52-43c3ff46f618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72C440F5</paraID>
      <start>0</start>
      <end>2</end>
      <status>ignored</status>
      <modifiedWord/>
      <trackRevisions>false</trackRevisions>
    </reviewItem>
    <reviewItem>
      <errorID>2d0c719e-b78f-4957-b13f-553c00ddfd28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4CFC216D</paraID>
      <start>0</start>
      <end>2</end>
      <status>ignored</status>
      <modifiedWord/>
      <trackRevisions>false</trackRevisions>
    </reviewItem>
    <reviewItem>
      <errorID>d468a0a9-a7cd-4063-9956-baa2e370ff5b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15A8B101</paraID>
      <start>0</start>
      <end>2</end>
      <status>ignored</status>
      <modifiedWord/>
      <trackRevisions>false</trackRevisions>
    </reviewItem>
    <reviewItem>
      <errorID>f3bc8849-3fda-4a32-8409-f63813a50b77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4A264EC6</paraID>
      <start>0</start>
      <end>2</end>
      <status>ignored</status>
      <modifiedWord/>
      <trackRevisions>false</trackRevisions>
    </reviewItem>
    <reviewItem>
      <errorID>49e67698-2013-49e8-bf7c-900937773751</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626CF002</paraID>
      <start>0</start>
      <end>2</end>
      <status>ignored</status>
      <modifiedWord/>
      <trackRevisions>false</trackRevisions>
    </reviewItem>
    <reviewItem>
      <errorID>40317ef7-4ef5-498b-8406-8e31633d5907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20004F08</paraID>
      <start>2</start>
      <end>10</end>
      <status>ignored</status>
      <modifiedWord/>
      <trackRevisions>false</trackRevisions>
    </reviewItem>
    <reviewItem>
      <errorID>45cf29dc-37df-4e36-bd70-b1b30690de00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33F4F289</paraID>
      <start>2</start>
      <end>10</end>
      <status>ignored</status>
      <modifiedWord/>
      <trackRevisions>false</trackRevisions>
    </reviewItem>
    <reviewItem>
      <errorID>2e77cf34-fd27-4beb-8aff-3fc9b6b2980f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3E27D87F</paraID>
      <start>2</start>
      <end>10</end>
      <status>ignored</status>
      <modifiedWord/>
      <trackRevisions>false</trackRevisions>
    </reviewItem>
    <reviewItem>
      <errorID>b547f0ed-3d52-4ef9-8953-2882d805e0e6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59103F9D</paraID>
      <start>13</start>
      <end>15</end>
      <status>modified</status>
      <modifiedWord>》《</modifiedWord>
      <trackRevisions>false</trackRevisions>
    </reviewItem>
    <reviewItem>
      <errorID>427eb7c7-b68e-4c6a-b842-fcbd0f87cd87</errorID>
      <errorWord>(</errorWord>
      <group>L1_Format</group>
      <groupName>格式问题</groupName>
      <ability>L2_HalfPunc</ability>
      <abilityName>全半角检查</abilityName>
      <candidateList>
        <item>（</item>
      </candidateList>
      <explain>文本全半角错误。</explain>
      <paraID>48D61C12</paraID>
      <start>23</start>
      <end>24</end>
      <status>modified</status>
      <modifiedWord>（</modifiedWord>
      <trackRevisions>false</trackRevisions>
    </reviewItem>
    <reviewItem>
      <errorID>935ecfb1-3eca-4b69-adb4-caf28dd60319</errorID>
      <errorWord>)</errorWord>
      <group>L1_Format</group>
      <groupName>格式问题</groupName>
      <ability>L2_HalfPunc</ability>
      <abilityName>全半角检查</abilityName>
      <candidateList>
        <item>）</item>
      </candidateList>
      <explain>文本全半角错误。</explain>
      <paraID>48D61C12</paraID>
      <start>27</start>
      <end>28</end>
      <status>modified</status>
      <modifiedWord>）</modifiedWord>
      <trackRevisions>false</trackRevisions>
    </reviewItem>
    <reviewItem>
      <errorID>448ebeee-ba05-4ec2-bc6c-e3fc6e1ad917</errorID>
      <errorWord>(</errorWord>
      <group>L1_Format</group>
      <groupName>格式问题</groupName>
      <ability>L2_HalfPunc</ability>
      <abilityName>全半角检查</abilityName>
      <candidateList>
        <item>（</item>
      </candidateList>
      <explain>文本全半角错误。</explain>
      <paraID>48D61C12</paraID>
      <start>34</start>
      <end>35</end>
      <status>modified</status>
      <modifiedWord>（</modifiedWord>
      <trackRevisions>false</trackRevisions>
    </reviewItem>
    <reviewItem>
      <errorID>f6537bc6-474d-414a-9968-1cc406ea6ff8</errorID>
      <errorWord>)</errorWord>
      <group>L1_Format</group>
      <groupName>格式问题</groupName>
      <ability>L2_HalfPunc</ability>
      <abilityName>全半角检查</abilityName>
      <candidateList>
        <item>）</item>
      </candidateList>
      <explain>文本全半角错误。</explain>
      <paraID>48D61C12</paraID>
      <start>38</start>
      <end>39</end>
      <status>modified</status>
      <modifiedWord>）</modifiedWord>
      <trackRevisions>false</trackRevisions>
    </reviewItem>
    <reviewItem>
      <errorID>fbe3a07b-234d-48e8-a164-850706c2e703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4959EF57</paraID>
      <start>0</start>
      <end>2</end>
      <status>ignored</status>
      <modifiedWord/>
      <trackRevisions>false</trackRevisions>
    </reviewItem>
    <reviewItem>
      <errorID>28fc4e4d-0ba0-41cb-b753-a8c8a2f528ec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32CEB2F6</paraID>
      <start>0</start>
      <end>2</end>
      <status>ignored</status>
      <modifiedWord/>
      <trackRevisions>false</trackRevisions>
    </reviewItem>
    <reviewItem>
      <errorID>e8c9a10e-2d3a-4925-81c9-7937ebf3552a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E93076B</paraID>
      <start>0</start>
      <end>2</end>
      <status>ignored</status>
      <modifiedWord/>
      <trackRevisions>false</trackRevisions>
    </reviewItem>
    <reviewItem>
      <errorID>6c254253-9521-4597-98c1-3fcf104732dd</errorID>
      <errorWord>.</errorWord>
      <group>L1_Format</group>
      <groupName>格式问题</groupName>
      <ability>L2_HalfPunc</ability>
      <abilityName>全半角检查</abilityName>
      <candidateList>
        <item>。</item>
      </candidateList>
      <explain>文本全半角错误。</explain>
      <paraID>3CF54D98</paraID>
      <start>72</start>
      <end>73</end>
      <status>modified</status>
      <modifiedWord>。</modifiedWord>
      <trackRevisions>false</trackRevisions>
    </reviewItem>
    <reviewItem>
      <errorID>ada7bf84-95b7-490d-8f7f-38332d05fcc3</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701C5815</paraID>
      <start>11</start>
      <end>17</end>
      <status>modified</status>
      <modifiedWord>“三公”经费</modifiedWord>
      <trackRevisions>false</trackRevisions>
    </reviewItem>
    <reviewItem>
      <errorID>23479318-72a6-430a-9713-fa38737fa78c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70EEDA17</paraID>
      <start>0</start>
      <end>2</end>
      <status>ignored</status>
      <modifiedWord/>
      <trackRevisions>false</trackRevisions>
    </reviewItem>
    <reviewItem>
      <errorID>2ab575df-076f-49c2-b131-3ceecbfc716e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372F6628</paraID>
      <start>0</start>
      <end>2</end>
      <status>ignored</status>
      <modifiedWord/>
      <trackRevisions>false</trackRevisions>
    </reviewItem>
    <reviewItem>
      <errorID>eaa7fb71-c0c4-4f5a-9645-5bcc4b6d0b56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75ECE741</paraID>
      <start>0</start>
      <end>2</end>
      <status>ignored</status>
      <modifiedWord/>
      <trackRevisions>false</trackRevisions>
    </reviewItem>
    <reviewItem>
      <errorID>0049bc95-711d-4c94-a087-79947ed51c3c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FF4CAAD</paraID>
      <start>0</start>
      <end>2</end>
      <status>ignored</status>
      <modifiedWord/>
      <trackRevisions>false</trackRevisions>
    </reviewItem>
    <reviewItem>
      <errorID>eaf05f6c-adcc-49bf-8528-90c551e713f8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66E48672</paraID>
      <start>0</start>
      <end>2</end>
      <status>ignored</status>
      <modifiedWord/>
      <trackRevisions>false</trackRevisions>
    </reviewItem>
    <reviewItem>
      <errorID>3294781b-b9ea-44b0-9344-de677ab4a3ca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1CB790B</paraID>
      <start>0</start>
      <end>2</end>
      <status>ignored</status>
      <modifiedWord/>
      <trackRevisions>false</trackRevisions>
    </reviewItem>
    <reviewItem>
      <errorID>708c4b40-f8fb-4cc9-9775-030ee47aabdd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5EF1E059</paraID>
      <start>0</start>
      <end>2</end>
      <status>ignored</status>
      <modifiedWord/>
      <trackRevisions>false</trackRevisions>
    </reviewItem>
    <reviewItem>
      <errorID>75683b3c-ec1d-49b0-81d5-e790b8311382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7BDA49CE</paraID>
      <start>0</start>
      <end>2</end>
      <status>ignored</status>
      <modifiedWord/>
      <trackRevisions>false</trackRevisions>
    </reviewItem>
    <reviewItem>
      <errorID>15a8b663-bd31-4129-923b-7d5783a2d51e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3207E82D</paraID>
      <start>0</start>
      <end>2</end>
      <status>ignored</status>
      <modifiedWord/>
      <trackRevisions>false</trackRevisions>
    </reviewItem>
    <reviewItem>
      <errorID>3f6bad93-e2ac-484e-95ce-3efe5e6f3f4d</errorID>
      <errorWord>力</errorWord>
      <group>L1_Word</group>
      <groupName>字词问题</groupName>
      <ability>L2_Typo</ability>
      <abilityName>字词错误</abilityName>
      <candidateList>
        <item>力提</item>
      </candidateList>
      <explain/>
      <paraID>58B471C0</paraID>
      <start>5</start>
      <end>7</end>
      <status>modified</status>
      <modifiedWord>力提</modifiedWord>
      <trackRevisions>false</trackRevisions>
    </reviewItem>
    <reviewItem>
      <errorID>9c31c125-c33c-47c8-b61d-3670039687d8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577C6D8A</paraID>
      <start>0</start>
      <end>8</end>
      <status>ignored</status>
      <modifiedWord/>
      <trackRevisions>false</trackRevisions>
    </reviewItem>
    <reviewItem>
      <errorID>e851fa2e-a5bb-4fed-bf66-a0d17a3e915b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7BA589C6</paraID>
      <start>0</start>
      <end>2</end>
      <status>ignored</status>
      <modifiedWord/>
      <trackRevisions>false</trackRevisions>
    </reviewItem>
    <reviewItem>
      <errorID>b41415a9-ec26-4718-83c5-e8b2f4b40932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30390496</paraID>
      <start>0</start>
      <end>2</end>
      <status>ignored</status>
      <modifiedWord/>
      <trackRevisions>false</trackRevisions>
    </reviewItem>
    <reviewItem>
      <errorID>5e6ab852-1cfa-43fd-b0d0-e0fcd4c739fd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1F58B97</paraID>
      <start>0</start>
      <end>2</end>
      <status>ignored</status>
      <modifiedWord/>
      <trackRevisions>false</trackRevisions>
    </reviewItem>
    <reviewItem>
      <errorID>c7a22a4e-470c-475d-b977-4f4bc828ce1b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96A71BF</paraID>
      <start>0</start>
      <end>2</end>
      <status>ignored</status>
      <modifiedWord/>
      <trackRevisions>false</trackRevisions>
    </reviewItem>
    <reviewItem>
      <errorID>9ba158b1-adc5-4b56-a399-b693e2adb6d0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17C8C866</paraID>
      <start>0</start>
      <end>2</end>
      <status>ignored</status>
      <modifiedWord/>
      <trackRevisions>false</trackRevisions>
    </reviewItem>
    <reviewItem>
      <errorID>1388e007-7e02-4559-a35f-dbb6eef86f27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17C8C866</paraID>
      <start>24</start>
      <end>32</end>
      <status>ignored</status>
      <modifiedWord/>
      <trackRevisions>false</trackRevisions>
    </reviewItem>
    <reviewItem>
      <errorID>5d7bbd39-1f0e-4111-a9c2-d2369f741403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504AF43E</paraID>
      <start>0</start>
      <end>2</end>
      <status>ignored</status>
      <modifiedWord/>
      <trackRevisions>false</trackRevisions>
    </reviewItem>
    <reviewItem>
      <errorID>d9336976-6c3f-4fca-ba70-08f48e750fc1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1745E445</paraID>
      <start>0</start>
      <end>2</end>
      <status>ignored</status>
      <modifiedWord/>
      <trackRevisions>false</trackRevisions>
    </reviewItem>
    <reviewItem>
      <errorID>238e2d7b-4644-4e3a-85bf-1716946e78a8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1B1ACD15</paraID>
      <start>0</start>
      <end>2</end>
      <status>ignored</status>
      <modifiedWord/>
      <trackRevisions>false</trackRevisions>
    </reviewItem>
    <reviewItem>
      <errorID>a8253dfc-0a16-4060-9627-c88f95f22805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22B8BBEC</paraID>
      <start>0</start>
      <end>2</end>
      <status>ignored</status>
      <modifiedWord/>
      <trackRevisions>false</trackRevisions>
    </reviewItem>
    <reviewItem>
      <errorID>f13777a0-cf8e-4323-9411-ee72487c83e7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71B0F639</paraID>
      <start>0</start>
      <end>2</end>
      <status>ignored</status>
      <modifiedWord/>
      <trackRevisions>false</trackRevisions>
    </reviewItem>
    <reviewItem>
      <errorID>575387fe-08d3-46eb-bf35-0488c4cb0257</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16BE6A01</paraID>
      <start>0</start>
      <end>2</end>
      <status>ignored</status>
      <modifiedWord/>
      <trackRevisions>false</trackRevisions>
    </reviewItem>
    <reviewItem>
      <errorID>28a96b52-e5c4-4f6c-a007-06907a1ca43d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7EA038A1</paraID>
      <start>0</start>
      <end>2</end>
      <status>ignored</status>
      <modifiedWord/>
      <trackRevisions>false</trackRevisions>
    </reviewItem>
    <reviewItem>
      <errorID>f9b2a751-5ec7-4d36-944d-4d005a9dc0e9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7C565F72</paraID>
      <start>0</start>
      <end>2</end>
      <status>ignored</status>
      <modifiedWord/>
      <trackRevisions>false</trackRevisions>
    </reviewItem>
    <reviewItem>
      <errorID>b0383501-8d59-4c62-a223-d80832f1ad36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1C3B5D13</paraID>
      <start>2</start>
      <end>10</end>
      <status>ignored</status>
      <modifiedWord/>
      <trackRevisions>false</trackRevisions>
    </reviewItem>
    <reviewItem>
      <errorID>b12e75a8-c4d2-4f53-ab24-e6479899fa8d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4DB3559E</paraID>
      <start>2</start>
      <end>10</end>
      <status>ignored</status>
      <modifiedWord/>
      <trackRevisions>false</trackRevisions>
    </reviewItem>
    <reviewItem>
      <errorID>125d39da-d1fa-4c4c-8b41-f922ff6063c0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2C09F7A1</paraID>
      <start>2</start>
      <end>10</end>
      <status>ignored</status>
      <modifiedWord/>
      <trackRevisions>false</trackRevisions>
    </reviewItem>
    <reviewItem>
      <errorID>2f0f713f-810b-4d93-9af7-2df410408ee1</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4BBFEB1D</paraID>
      <start>13</start>
      <end>15</end>
      <status>modified</status>
      <modifiedWord>》《</modifiedWord>
      <trackRevisions>false</trackRevisions>
    </reviewItem>
    <reviewItem>
      <errorID>5c13763f-bf36-40c1-91cd-3832f70c6123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54058A29</paraID>
      <start>0</start>
      <end>2</end>
      <status>ignored</status>
      <modifiedWord/>
      <trackRevisions>false</trackRevisions>
    </reviewItem>
    <reviewItem>
      <errorID>0df64330-de7b-438f-b176-c21512c04581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36228437</paraID>
      <start>0</start>
      <end>2</end>
      <status>ignored</status>
      <modifiedWord/>
      <trackRevisions>false</trackRevisions>
    </reviewItem>
    <reviewItem>
      <errorID>ac84879e-698d-4db9-86ee-1fc78bbf9403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34B95A03</paraID>
      <start>0</start>
      <end>2</end>
      <status>ignored</status>
      <modifiedWord/>
      <trackRevisions>false</trackRevisions>
    </reviewItem>
    <reviewItem>
      <errorID>648a4871-feae-4aff-9ad2-f1b037a00886</errorID>
      <errorWord>)</errorWord>
      <group>L1_Format</group>
      <groupName>格式问题</groupName>
      <ability>L2_HalfPunc</ability>
      <abilityName>全半角检查</abilityName>
      <candidateList>
        <item>）</item>
      </candidateList>
      <explain>文本全半角错误。</explain>
      <paraID>68832EFD</paraID>
      <start>82</start>
      <end>83</end>
      <status>modified</status>
      <modifiedWord>）</modifiedWord>
      <trackRevisions>false</trackRevisions>
    </reviewItem>
    <reviewItem>
      <errorID>95e4ca9d-b264-405b-b794-d144ff4a3b4f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2E9CCB8C</paraID>
      <start>0</start>
      <end>2</end>
      <status>ignored</status>
      <modifiedWord/>
      <trackRevisions>false</trackRevisions>
    </reviewItem>
    <reviewItem>
      <errorID>1baa0926-bd8a-4d44-8da2-a0d991456547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616FD228</paraID>
      <start>0</start>
      <end>2</end>
      <status>ignored</status>
      <modifiedWord/>
      <trackRevisions>false</trackRevisions>
    </reviewItem>
    <reviewItem>
      <errorID>b35530fe-7f64-40a1-9f01-dcced9852a90</errorID>
      <errorWord>底月</errorWord>
      <group>L1_Word</group>
      <groupName>字词问题</groupName>
      <ability>L2_Typo</ability>
      <abilityName>字词错误</abilityName>
      <candidateList>
        <item>月底</item>
      </candidateList>
      <explain/>
      <paraID>2B261345</paraID>
      <start>27</start>
      <end>29</end>
      <status>modified</status>
      <modifiedWord>月底</modifiedWord>
      <trackRevisions>false</trackRevisions>
    </reviewItem>
    <reviewItem>
      <errorID>a455a4fc-674c-48d0-83d2-c5a4ff7ceb59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7B321128</paraID>
      <start>0</start>
      <end>2</end>
      <status>ignored</status>
      <modifiedWord/>
      <trackRevisions>false</trackRevisions>
    </reviewItem>
    <reviewItem>
      <errorID>e787eeef-763e-4ec5-ae59-bdfe12a2d205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7D270C9F</paraID>
      <start>0</start>
      <end>2</end>
      <status>ignored</status>
      <modifiedWord/>
      <trackRevisions>false</trackRevisions>
    </reviewItem>
    <reviewItem>
      <errorID>fccb6607-f7b9-47e9-8f25-f570263fdcc0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434291DA</paraID>
      <start>0</start>
      <end>2</end>
      <status>ignored</status>
      <modifiedWord/>
      <trackRevisions>false</trackRevisions>
    </reviewItem>
    <reviewItem>
      <errorID>ee593561-d5f5-4f05-9c5d-e2b50ff238d5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1C007815</paraID>
      <start>0</start>
      <end>2</end>
      <status>ignored</status>
      <modifiedWord/>
      <trackRevisions>false</trackRevisions>
    </reviewItem>
    <reviewItem>
      <errorID>a6521114-8012-444f-80ac-41a3fad84325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537F0ED8</paraID>
      <start>0</start>
      <end>2</end>
      <status>ignored</status>
      <modifiedWord/>
      <trackRevisions>false</trackRevisions>
    </reviewItem>
    <reviewItem>
      <errorID>a1f8bfcb-fa65-4158-8e66-4356efd4559a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23175C0B</paraID>
      <start>0</start>
      <end>2</end>
      <status>ignored</status>
      <modifiedWord/>
      <trackRevisions>false</trackRevisions>
    </reviewItem>
    <reviewItem>
      <errorID>06f68cbc-1a6e-4a37-af77-09bd3f2a63d5</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2DA0CA2F</paraID>
      <start>0</start>
      <end>2</end>
      <status>ignored</status>
      <modifiedWord/>
      <trackRevisions>false</trackRevisions>
    </reviewItem>
    <reviewItem>
      <errorID>a0b9e737-fe8e-4a0e-a0b2-bea4f6b0f1f9</errorID>
      <errorWord>验收验收</errorWord>
      <group>L1_Word</group>
      <groupName>字词问题</groupName>
      <ability>L2_Typo</ability>
      <abilityName>字词错误</abilityName>
      <candidateList>
        <item>验收</item>
      </candidateList>
      <explain/>
      <paraID>53333BF5</paraID>
      <start>2</start>
      <end>4</end>
      <status>modified</status>
      <modifiedWord>验收</modifiedWord>
      <trackRevisions>false</trackRevisions>
    </reviewItem>
    <reviewItem>
      <errorID>97f284f0-2086-4693-bf9d-98ad1f6fc2f2</errorID>
      <errorWord>环境及</errorWord>
      <group>L1_Word</group>
      <groupName>字词问题</groupName>
      <ability>L2_Typo</ability>
      <abilityName>字词错误</abilityName>
      <candidateList>
        <item>环境</item>
      </candidateList>
      <explain>〈名〉❶周围的地方：～优美｜～卫生。❷周围的情况和条件：客观～｜工作～。</explain>
      <paraID>  76CCA4</paraID>
      <start>21</start>
      <end>23</end>
      <status>modified</status>
      <modifiedWord>环境</modifiedWord>
      <trackRevisions>false</trackRevisions>
    </reviewItem>
    <reviewItem>
      <errorID>2cb4c64f-e809-468b-861b-f0cca5a96b8d</errorID>
      <errorWord>环境及</errorWord>
      <group>L1_Word</group>
      <groupName>字词问题</groupName>
      <ability>L2_Typo</ability>
      <abilityName>字词错误</abilityName>
      <candidateList>
        <item>环境</item>
      </candidateList>
      <explain>〈名〉❶周围的地方：～优美｜～卫生。❷周围的情况和条件：客观～｜工作～。</explain>
      <paraID>21C363DC</paraID>
      <start>23</start>
      <end>25</end>
      <status>modified</status>
      <modifiedWord>环境</modifiedWord>
      <trackRevisions>false</trackRevisions>
    </reviewItem>
    <reviewItem>
      <errorID>b68f978f-6dd5-4eb4-b02a-dfca6bf9e7ab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58C94D7C</paraID>
      <start>0</start>
      <end>8</end>
      <status>ignored</status>
      <modifiedWord/>
      <trackRevisions>false</trackRevisions>
    </reviewItem>
    <reviewItem>
      <errorID>47ef730b-7c71-423b-ae6e-cc4c9b3c386c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6C1FDCD3</paraID>
      <start>0</start>
      <end>2</end>
      <status>ignored</status>
      <modifiedWord/>
      <trackRevisions>false</trackRevisions>
    </reviewItem>
    <reviewItem>
      <errorID>09d6ebf4-fd5d-4520-9109-24f700e7fffe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250AC92C</paraID>
      <start>0</start>
      <end>2</end>
      <status>ignored</status>
      <modifiedWord/>
      <trackRevisions>false</trackRevisions>
    </reviewItem>
    <reviewItem>
      <errorID>fddb8f96-8377-4f43-a126-a736528c1e5d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312CC2FB</paraID>
      <start>0</start>
      <end>2</end>
      <status>ignored</status>
      <modifiedWord/>
      <trackRevisions>false</trackRevisions>
    </reviewItem>
    <reviewItem>
      <errorID>be60daf6-ea30-4da2-b0bc-97a5474cc165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71A48EBC</paraID>
      <start>0</start>
      <end>2</end>
      <status>ignored</status>
      <modifiedWord/>
      <trackRevisions>false</trackRevisions>
    </reviewItem>
    <reviewItem>
      <errorID>7db3f893-64f6-4c15-b60b-644c5f9031ce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38629BF5</paraID>
      <start>0</start>
      <end>2</end>
      <status>ignored</status>
      <modifiedWord/>
      <trackRevisions>false</trackRevisions>
    </reviewItem>
    <reviewItem>
      <errorID>07da06a3-5986-4a61-bc32-e70aca466137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38629BF5</paraID>
      <start>24</start>
      <end>32</end>
      <status>ignored</status>
      <modifiedWord/>
      <trackRevisions>false</trackRevisions>
    </reviewItem>
    <reviewItem>
      <errorID>cbc5d7a4-d696-489d-ac9a-0b2e984c442e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1523C640</paraID>
      <start>0</start>
      <end>2</end>
      <status>ignored</status>
      <modifiedWord/>
      <trackRevisions>false</trackRevisions>
    </reviewItem>
    <reviewItem>
      <errorID>a4ef046d-8914-4e76-822d-fec0ec8f66f9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7E8C04ED</paraID>
      <start>0</start>
      <end>2</end>
      <status>ignored</status>
      <modifiedWord/>
      <trackRevisions>false</trackRevisions>
    </reviewItem>
    <reviewItem>
      <errorID>263c9ec0-ddfd-4c03-bbcf-8f31599db802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494DD165</paraID>
      <start>0</start>
      <end>2</end>
      <status>ignored</status>
      <modifiedWord/>
      <trackRevisions>false</trackRevisions>
    </reviewItem>
    <reviewItem>
      <errorID>f49bf5b7-73f3-4456-bbcd-c6db5f224488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4E2577E6</paraID>
      <start>0</start>
      <end>2</end>
      <status>ignored</status>
      <modifiedWord/>
      <trackRevisions>false</trackRevisions>
    </reviewItem>
    <reviewItem>
      <errorID>adede1a0-f37f-4a28-89e7-9d72b873b6c2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4267F6A9</paraID>
      <start>0</start>
      <end>2</end>
      <status>ignored</status>
      <modifiedWord/>
      <trackRevisions>false</trackRevisions>
    </reviewItem>
    <reviewItem>
      <errorID>fe3a3c5d-b1fd-49be-90b8-eab154941ef9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4571595E</paraID>
      <start>0</start>
      <end>2</end>
      <status>ignored</status>
      <modifiedWord/>
      <trackRevisions>false</trackRevisions>
    </reviewItem>
    <reviewItem>
      <errorID>0a5b9507-3d07-4f65-9a6a-947346553448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64851D43</paraID>
      <start>0</start>
      <end>2</end>
      <status>ignored</status>
      <modifiedWord/>
      <trackRevisions>false</trackRevisions>
    </reviewItem>
    <reviewItem>
      <errorID>0fd2c65d-8d63-4194-bffe-6e0b30a6bbca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5A6D8191</paraID>
      <start>0</start>
      <end>2</end>
      <status>ignored</status>
      <modifiedWord/>
      <trackRevisions>false</trackRevisions>
    </reviewItem>
    <reviewItem>
      <errorID>775bdd14-a25c-4271-b824-35a7e7f00fba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6278DF57</paraID>
      <start>2</start>
      <end>10</end>
      <status>ignored</status>
      <modifiedWord/>
      <trackRevisions>false</trackRevisions>
    </reviewItem>
    <reviewItem>
      <errorID>6d77a44c-d4d0-4a63-b1f0-c5cd62380e3f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26590319</paraID>
      <start>2</start>
      <end>10</end>
      <status>ignored</status>
      <modifiedWord/>
      <trackRevisions>false</trackRevisions>
    </reviewItem>
    <reviewItem>
      <errorID>4749d636-fbb9-48e1-a5b9-a0991bf7ad75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5907C2EF</paraID>
      <start>2</start>
      <end>10</end>
      <status>ignored</status>
      <modifiedWord/>
      <trackRevisions>false</trackRevisions>
    </reviewItem>
    <reviewItem>
      <errorID>a94450ac-2079-4dce-93fb-172989bfeb7c</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1D36001</paraID>
      <start>13</start>
      <end>15</end>
      <status>modified</status>
      <modifiedWord>》《</modifiedWord>
      <trackRevisions>false</trackRevisions>
    </reviewItem>
    <reviewItem>
      <errorID>4f0c8e6d-f96c-4eb6-abb8-d9e3b76136c1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57756355</paraID>
      <start>0</start>
      <end>2</end>
      <status>ignored</status>
      <modifiedWord/>
      <trackRevisions>false</trackRevisions>
    </reviewItem>
    <reviewItem>
      <errorID>c6f0bd31-5172-49d2-a25e-b4c557a96a3a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7265589C</paraID>
      <start>0</start>
      <end>2</end>
      <status>ignored</status>
      <modifiedWord/>
      <trackRevisions>false</trackRevisions>
    </reviewItem>
    <reviewItem>
      <errorID>b89dfde6-7c1e-4894-b2fa-87795eda1779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22793B84</paraID>
      <start>0</start>
      <end>2</end>
      <status>ignored</status>
      <modifiedWord/>
      <trackRevisions>false</trackRevisions>
    </reviewItem>
    <reviewItem>
      <errorID>5bf4e8bf-3226-40a5-8530-563aae1f956d</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4DD140AA</paraID>
      <start>6</start>
      <end>12</end>
      <status>modified</status>
      <modifiedWord>“三公”经费</modifiedWord>
      <trackRevisions>false</trackRevisions>
    </reviewItem>
    <reviewItem>
      <errorID>7b04ed5c-154a-4bfa-b3a6-f49262b64039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6C8B816B</paraID>
      <start>0</start>
      <end>2</end>
      <status>ignored</status>
      <modifiedWord/>
      <trackRevisions>false</trackRevisions>
    </reviewItem>
    <reviewItem>
      <errorID>673ad017-a693-43f8-8565-253a244e0e96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68E01D56</paraID>
      <start>0</start>
      <end>2</end>
      <status>ignored</status>
      <modifiedWord/>
      <trackRevisions>false</trackRevisions>
    </reviewItem>
    <reviewItem>
      <errorID>0a8e9bed-af92-4fcc-94dd-64a9b9461f67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68456011</paraID>
      <start>0</start>
      <end>2</end>
      <status>ignored</status>
      <modifiedWord/>
      <trackRevisions>false</trackRevisions>
    </reviewItem>
    <reviewItem>
      <errorID>e348d00a-d08d-4a05-90cc-ad0e0991cc0f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54E7B46E</paraID>
      <start>0</start>
      <end>2</end>
      <status>ignored</status>
      <modifiedWord/>
      <trackRevisions>false</trackRevisions>
    </reviewItem>
    <reviewItem>
      <errorID>c69777a5-00df-407b-a055-7de4a5d199c7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6A161894</paraID>
      <start>0</start>
      <end>2</end>
      <status>ignored</status>
      <modifiedWord/>
      <trackRevisions>false</trackRevisions>
    </reviewItem>
    <reviewItem>
      <errorID>136d40ff-0281-4845-9b2a-2af343f1c10c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7B3A9E00</paraID>
      <start>0</start>
      <end>2</end>
      <status>ignored</status>
      <modifiedWord/>
      <trackRevisions>false</trackRevisions>
    </reviewItem>
    <reviewItem>
      <errorID>0060ed54-81f1-4b94-8434-94e4f814e6fd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783B7367</paraID>
      <start>0</start>
      <end>2</end>
      <status>ignored</status>
      <modifiedWord/>
      <trackRevisions>false</trackRevisions>
    </reviewItem>
    <reviewItem>
      <errorID>46a8ad65-24ce-4db4-ae82-a9cc9ffc3701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3C32F467</paraID>
      <start>0</start>
      <end>2</end>
      <status>ignored</status>
      <modifiedWord/>
      <trackRevisions>false</trackRevisions>
    </reviewItem>
    <reviewItem>
      <errorID>fd1f4315-f2a3-49ff-8349-f7028b210905</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BBD6474</paraID>
      <start>0</start>
      <end>2</end>
      <status>ignored</status>
      <modifiedWord/>
      <trackRevisions>false</trackRevisions>
    </reviewItem>
    <reviewItem>
      <errorID>4568aa4c-3736-476c-8447-ee5b00ad0e52</errorID>
      <errorWord>环境及</errorWord>
      <group>L1_Word</group>
      <groupName>字词问题</groupName>
      <ability>L2_Typo</ability>
      <abilityName>字词错误</abilityName>
      <candidateList>
        <item>环境</item>
      </candidateList>
      <explain>〈名〉❶周围的地方：～优美｜～卫生。❷周围的情况和条件：客观～｜工作～。</explain>
      <paraID>36C9C69B</paraID>
      <start>21</start>
      <end>23</end>
      <status>modified</status>
      <modifiedWord>环境</modifiedWord>
      <trackRevisions>false</trackRevisions>
    </reviewItem>
    <reviewItem>
      <errorID>1a67b80f-85e3-4f8e-ab18-15d32771f21f</errorID>
      <errorWord>环境及</errorWord>
      <group>L1_Word</group>
      <groupName>字词问题</groupName>
      <ability>L2_Typo</ability>
      <abilityName>字词错误</abilityName>
      <candidateList>
        <item>环境</item>
      </candidateList>
      <explain>〈名〉❶周围的地方：～优美｜～卫生。❷周围的情况和条件：客观～｜工作～。</explain>
      <paraID>3285EC35</paraID>
      <start>23</start>
      <end>25</end>
      <status>modified</status>
      <modifiedWord>环境</modifiedWord>
      <trackRevisions>false</trackRevisions>
    </reviewItem>
    <reviewItem>
      <errorID>1a5b9476-fa8b-46bc-8579-4d9461252ef9</errorID>
      <errorWord>环境及</errorWord>
      <group>L1_Word</group>
      <groupName>字词问题</groupName>
      <ability>L2_Typo</ability>
      <abilityName>字词错误</abilityName>
      <candidateList>
        <item>环境</item>
      </candidateList>
      <explain>〈名〉❶周围的地方：～优美｜～卫生。❷周围的情况和条件：客观～｜工作～。</explain>
      <paraID> ED8697C</paraID>
      <start>21</start>
      <end>23</end>
      <status>modified</status>
      <modifiedWord>环境</modifiedWord>
      <trackRevisions>false</trackRevisions>
    </reviewItem>
    <reviewItem>
      <errorID>f08c6790-6be2-46e7-b5af-e20740ef40a6</errorID>
      <errorWord>环境及</errorWord>
      <group>L1_Word</group>
      <groupName>字词问题</groupName>
      <ability>L2_Typo</ability>
      <abilityName>字词错误</abilityName>
      <candidateList>
        <item>环境</item>
      </candidateList>
      <explain>〈名〉❶周围的地方：～优美｜～卫生。❷周围的情况和条件：客观～｜工作～。</explain>
      <paraID>72459C99</paraID>
      <start>23</start>
      <end>25</end>
      <status>modified</status>
      <modifiedWord>环境</modifiedWord>
      <trackRevisions>false</trackRevisions>
    </reviewItem>
    <reviewItem>
      <errorID>999ecfa0-63c9-4165-b0dd-0d42910b7324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6E0377EF</paraID>
      <start>0</start>
      <end>8</end>
      <status>ignored</status>
      <modifiedWord/>
      <trackRevisions>false</trackRevisions>
    </reviewItem>
    <reviewItem>
      <errorID>235fcd6a-4278-4863-abe0-0234b482c6f4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4760EDB</paraID>
      <start>0</start>
      <end>2</end>
      <status>ignored</status>
      <modifiedWord/>
      <trackRevisions>false</trackRevisions>
    </reviewItem>
    <reviewItem>
      <errorID>1ff9210a-57d5-4c97-939d-72b500ccfabb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56CCBB9B</paraID>
      <start>0</start>
      <end>2</end>
      <status>ignored</status>
      <modifiedWord/>
      <trackRevisions>false</trackRevisions>
    </reviewItem>
    <reviewItem>
      <errorID>842eb580-464d-4f04-a62b-1f511e257659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7ECDB9D9</paraID>
      <start>0</start>
      <end>2</end>
      <status>ignored</status>
      <modifiedWord/>
      <trackRevisions>false</trackRevisions>
    </reviewItem>
    <reviewItem>
      <errorID>e1a21ed3-b7e3-439e-bf8a-8eb6e53e220e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45BFD08B</paraID>
      <start>0</start>
      <end>2</end>
      <status>ignored</status>
      <modifiedWord/>
      <trackRevisions>false</trackRevisions>
    </reviewItem>
    <reviewItem>
      <errorID>a51fdf95-f6e0-43d7-af08-30d523ce539c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44CC2668</paraID>
      <start>0</start>
      <end>2</end>
      <status>ignored</status>
      <modifiedWord/>
      <trackRevisions>false</trackRevisions>
    </reviewItem>
    <reviewItem>
      <errorID>78f1f2f1-550b-40b9-b78b-0c692d62a2be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44CC2668</paraID>
      <start>24</start>
      <end>32</end>
      <status>ignored</status>
      <modifiedWord/>
      <trackRevisions>false</trackRevisions>
    </reviewItem>
    <reviewItem>
      <errorID>c113e12b-d6fa-43c6-bfa1-6cb1d52baeba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652BBA6F</paraID>
      <start>0</start>
      <end>2</end>
      <status>ignored</status>
      <modifiedWord/>
      <trackRevisions>false</trackRevisions>
    </reviewItem>
    <reviewItem>
      <errorID>b6aaf2b7-b59e-45d4-9993-73086ac19aeb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33E501D7</paraID>
      <start>0</start>
      <end>2</end>
      <status>ignored</status>
      <modifiedWord/>
      <trackRevisions>false</trackRevisions>
    </reviewItem>
    <reviewItem>
      <errorID>654cdeb5-5ebd-44e3-85d1-8627b3c939ab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2F0B4027</paraID>
      <start>0</start>
      <end>2</end>
      <status>ignored</status>
      <modifiedWord/>
      <trackRevisions>false</trackRevisions>
    </reviewItem>
    <reviewItem>
      <errorID>eae0c6f0-902c-4b23-94ba-3a174fb329b5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320B9DF6</paraID>
      <start>0</start>
      <end>2</end>
      <status>ignored</status>
      <modifiedWord/>
      <trackRevisions>false</trackRevisions>
    </reviewItem>
    <reviewItem>
      <errorID>6d3488c3-9cfc-40fc-ac6d-4532241e0fdd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42654A35</paraID>
      <start>0</start>
      <end>2</end>
      <status>ignored</status>
      <modifiedWord/>
      <trackRevisions>false</trackRevisions>
    </reviewItem>
    <reviewItem>
      <errorID>d9d6cd4e-3b92-4064-ac94-f389d0003dc6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3BF8D713</paraID>
      <start>0</start>
      <end>2</end>
      <status>ignored</status>
      <modifiedWord/>
      <trackRevisions>false</trackRevisions>
    </reviewItem>
    <reviewItem>
      <errorID>fd22a642-35f5-4d68-8f3b-90376dc8b398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1266CB39</paraID>
      <start>0</start>
      <end>2</end>
      <status>ignored</status>
      <modifiedWord/>
      <trackRevisions>false</trackRevisions>
    </reviewItem>
    <reviewItem>
      <errorID>e9489ab9-f328-436f-aac0-f73ac878b6b0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B4C15F3</paraID>
      <start>0</start>
      <end>2</end>
      <status>ignored</status>
      <modifiedWord/>
      <trackRevisions>false</trackRevisions>
    </reviewItem>
    <reviewItem>
      <errorID>cec6a5f8-4d8f-49db-b9f3-34182a2ceab9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88B4A4B</paraID>
      <start>2</start>
      <end>10</end>
      <status>ignored</status>
      <modifiedWord/>
      <trackRevisions>false</trackRevisions>
    </reviewItem>
    <reviewItem>
      <errorID>407c8399-2bf3-4963-9691-c89dfc7165ac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98DC704</paraID>
      <start>2</start>
      <end>10</end>
      <status>ignored</status>
      <modifiedWord/>
      <trackRevisions>false</trackRevisions>
    </reviewItem>
    <reviewItem>
      <errorID>89896ae2-f226-4b2a-8354-e0253d5d03f4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5B45E548</paraID>
      <start>2</start>
      <end>10</end>
      <status>ignored</status>
      <modifiedWord/>
      <trackRevisions>false</trackRevisions>
    </reviewItem>
    <reviewItem>
      <errorID>6738f0ce-def9-42e5-941f-07781ed43e9b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2C487CDB</paraID>
      <start>13</start>
      <end>15</end>
      <status>modified</status>
      <modifiedWord>》《</modifiedWord>
      <trackRevisions>false</trackRevisions>
    </reviewItem>
    <reviewItem>
      <errorID>0fbf8393-8b63-4c0f-b3ca-c50f074d6457</errorID>
      <errorWord>提高</errorWord>
      <group>L1_Word</group>
      <groupName>字词问题</groupName>
      <ability>L2_Typo</ability>
      <abilityName>字词错误</abilityName>
      <candidateList>
        <item>提供</item>
      </candidateList>
      <explain/>
      <paraID>597A9AC2</paraID>
      <start>22</start>
      <end>24</end>
      <status>modified</status>
      <modifiedWord>提供</modifiedWord>
      <trackRevisions>false</trackRevisions>
    </reviewItem>
    <reviewItem>
      <errorID>a544c0f7-7c14-4b92-b83c-02e2bd48b77a</errorID>
      <errorWord>．</errorWord>
      <group>L1_Format</group>
      <groupName>格式问题</groupName>
      <ability>L2_HalfPunc</ability>
      <abilityName>全半角检查</abilityName>
      <candidateList>
        <item>。</item>
      </candidateList>
      <explain>文本全半角错误。</explain>
      <paraID> FFF4C62</paraID>
      <start>16</start>
      <end>17</end>
      <status>modified</status>
      <modifiedWord>。</modifiedWord>
      <trackRevisions>false</trackRevisions>
    </reviewItem>
    <reviewItem>
      <errorID>d225c9e0-9f0a-4fdb-84de-38908cba80cc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7C787825</paraID>
      <start>0</start>
      <end>2</end>
      <status>ignored</status>
      <modifiedWord/>
      <trackRevisions>false</trackRevisions>
    </reviewItem>
    <reviewItem>
      <errorID>c59e8d8f-292f-476f-9046-ed5ac6a43729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3907FD2B</paraID>
      <start>0</start>
      <end>2</end>
      <status>ignored</status>
      <modifiedWord/>
      <trackRevisions>false</trackRevisions>
    </reviewItem>
    <reviewItem>
      <errorID>df77c2cd-da44-47bd-ade5-3c01243a8923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34473547</paraID>
      <start>0</start>
      <end>2</end>
      <status>ignored</status>
      <modifiedWord/>
      <trackRevisions>false</trackRevisions>
    </reviewItem>
    <reviewItem>
      <errorID>2887321d-7ad9-4895-b852-4654d9062bf4</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79084962</paraID>
      <start>6</start>
      <end>12</end>
      <status>modified</status>
      <modifiedWord>“三公”经费</modifiedWord>
      <trackRevisions>false</trackRevisions>
    </reviewItem>
    <reviewItem>
      <errorID>394cb06c-d55a-4cd7-9dc8-f2d9efe84e9d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38673AE8</paraID>
      <start>0</start>
      <end>2</end>
      <status>ignored</status>
      <modifiedWord/>
      <trackRevisions>false</trackRevisions>
    </reviewItem>
    <reviewItem>
      <errorID>5f4225bb-2b2a-420c-9af2-f1fc23de5464</errorID>
      <errorWord>平米</errorWord>
      <group>L1_Word</group>
      <groupName>字词问题</groupName>
      <ability>L2_Typo</ability>
      <abilityName>字词错误</abilityName>
      <candidateList>
        <item>平方米</item>
      </candidateList>
      <explain>〈量〉面积单位，边长1米的正方形的面积是1平方米，符号为m²。</explain>
      <paraID>47BDAFBF</paraID>
      <start>5</start>
      <end>8</end>
      <status>modified</status>
      <modifiedWord>平方米</modifiedWord>
      <trackRevisions>false</trackRevisions>
    </reviewItem>
    <reviewItem>
      <errorID>93ac1a64-fb25-4fc5-acba-dd77d0283bfe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19F3EAA6</paraID>
      <start>0</start>
      <end>2</end>
      <status>ignored</status>
      <modifiedWord/>
      <trackRevisions>false</trackRevisions>
    </reviewItem>
    <reviewItem>
      <errorID>c4a3dea1-e400-431d-a002-ec7a2a9543e6</errorID>
      <errorWord>平</errorWord>
      <group>L1_Word</group>
      <groupName>字词问题</groupName>
      <ability>L2_Typo</ability>
      <abilityName>字词错误</abilityName>
      <candidateList>
        <item>平方</item>
      </candidateList>
      <explain/>
      <paraID>31F02A59</paraID>
      <start>3</start>
      <end>5</end>
      <status>modified</status>
      <modifiedWord>平方</modifiedWord>
      <trackRevisions>false</trackRevisions>
    </reviewItem>
    <reviewItem>
      <errorID>1c71b50d-144f-4ce5-af06-35b57c1c260d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3685D5F3</paraID>
      <start>0</start>
      <end>2</end>
      <status>ignored</status>
      <modifiedWord/>
      <trackRevisions>false</trackRevisions>
    </reviewItem>
    <reviewItem>
      <errorID>c3a3b977-8da6-4a88-935c-2ca160a4b550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69D8D6DD</paraID>
      <start>0</start>
      <end>2</end>
      <status>ignored</status>
      <modifiedWord/>
      <trackRevisions>false</trackRevisions>
    </reviewItem>
    <reviewItem>
      <errorID>d72b3380-3b8a-4c9e-8b25-ae053fe583d4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5ECEA76C</paraID>
      <start>0</start>
      <end>2</end>
      <status>ignored</status>
      <modifiedWord/>
      <trackRevisions>false</trackRevisions>
    </reviewItem>
    <reviewItem>
      <errorID>7ecfdc23-7148-4bc4-93b8-342ffe379596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3C73918C</paraID>
      <start>0</start>
      <end>2</end>
      <status>ignored</status>
      <modifiedWord/>
      <trackRevisions>false</trackRevisions>
    </reviewItem>
    <reviewItem>
      <errorID>ba6482a3-094f-426d-a01a-d477a5b5464b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1BBE8B96</paraID>
      <start>0</start>
      <end>2</end>
      <status>ignored</status>
      <modifiedWord/>
      <trackRevisions>false</trackRevisions>
    </reviewItem>
    <reviewItem>
      <errorID>fed4a951-93a1-4c97-be10-4fab7dc12658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14D5C492</paraID>
      <start>0</start>
      <end>2</end>
      <status>ignored</status>
      <modifiedWord/>
      <trackRevisions>false</trackRevisions>
    </reviewItem>
    <reviewItem>
      <errorID>8863b0e8-3ce7-4abf-9c0f-80eb8724793f</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6BB1536C</paraID>
      <start>0</start>
      <end>2</end>
      <status>ignored</status>
      <modifiedWord/>
      <trackRevisions>false</trackRevisions>
    </reviewItem>
    <reviewItem>
      <errorID>60a4657b-4c1a-4c27-98b9-d3553a76d44e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7D0BF555</paraID>
      <start>0</start>
      <end>8</end>
      <status>ignored</status>
      <modifiedWord/>
      <trackRevisions>false</trackRevisions>
    </reviewItem>
    <reviewItem>
      <errorID>4496821d-1d68-4785-9487-08e411b052d5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59F2769</paraID>
      <start>0</start>
      <end>2</end>
      <status>ignored</status>
      <modifiedWord/>
      <trackRevisions>false</trackRevisions>
    </reviewItem>
    <reviewItem>
      <errorID>b70e0eed-1a12-42e4-886b-524ea6f2d152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65FED90F</paraID>
      <start>0</start>
      <end>2</end>
      <status>ignored</status>
      <modifiedWord/>
      <trackRevisions>false</trackRevisions>
    </reviewItem>
    <reviewItem>
      <errorID>cbabfce4-0dea-4652-92df-703b11d45541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59FE2BAE</paraID>
      <start>0</start>
      <end>2</end>
      <status>ignored</status>
      <modifiedWord/>
      <trackRevisions>false</trackRevisions>
    </reviewItem>
    <reviewItem>
      <errorID>7f80dcdc-bba5-4db5-b395-e7fcbcf20e61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32BE195</paraID>
      <start>0</start>
      <end>2</end>
      <status>ignored</status>
      <modifiedWord/>
      <trackRevisions>false</trackRevisions>
    </reviewItem>
    <reviewItem>
      <errorID>c9817b85-415b-4a21-aaa9-098fb56031f2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2B1C56B4</paraID>
      <start>0</start>
      <end>2</end>
      <status>ignored</status>
      <modifiedWord/>
      <trackRevisions>false</trackRevisions>
    </reviewItem>
    <reviewItem>
      <errorID>f2142d61-ef1f-44b9-bd76-34c2a950a035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2B1C56B4</paraID>
      <start>24</start>
      <end>32</end>
      <status>ignored</status>
      <modifiedWord/>
      <trackRevisions>false</trackRevisions>
    </reviewItem>
    <reviewItem>
      <errorID>8c951d77-1f74-4a26-94e9-7b24e5b3999e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3C6EF3A</paraID>
      <start>0</start>
      <end>2</end>
      <status>ignored</status>
      <modifiedWord/>
      <trackRevisions>false</trackRevisions>
    </reviewItem>
    <reviewItem>
      <errorID>2cd88c8b-561b-4346-ac1a-97e928de936c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2AAB5FCB</paraID>
      <start>0</start>
      <end>2</end>
      <status>ignored</status>
      <modifiedWord/>
      <trackRevisions>false</trackRevisions>
    </reviewItem>
    <reviewItem>
      <errorID>0facb5f9-99fa-466f-8f00-0a31512e1e90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572034CD</paraID>
      <start>0</start>
      <end>2</end>
      <status>ignored</status>
      <modifiedWord/>
      <trackRevisions>false</trackRevisions>
    </reviewItem>
    <reviewItem>
      <errorID>2dad1c17-26f9-4494-a6ac-db81b2e64388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7A2C048D</paraID>
      <start>0</start>
      <end>2</end>
      <status>ignored</status>
      <modifiedWord/>
      <trackRevisions>false</trackRevisions>
    </reviewItem>
    <reviewItem>
      <errorID>6571e9d3-c76a-4f5c-b506-e05d8ae1b5b8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634B12EA</paraID>
      <start>0</start>
      <end>2</end>
      <status>ignored</status>
      <modifiedWord/>
      <trackRevisions>false</trackRevisions>
    </reviewItem>
    <reviewItem>
      <errorID>e10de879-0bde-4108-90f5-e19b2cb031e6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221DDC70</paraID>
      <start>0</start>
      <end>2</end>
      <status>ignored</status>
      <modifiedWord/>
      <trackRevisions>false</trackRevisions>
    </reviewItem>
    <reviewItem>
      <errorID>adb5a4ca-0c95-46d4-9476-fa63593fa168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7E868B8D</paraID>
      <start>0</start>
      <end>2</end>
      <status>ignored</status>
      <modifiedWord/>
      <trackRevisions>false</trackRevisions>
    </reviewItem>
    <reviewItem>
      <errorID>28b8d562-1738-48d1-834f-ec13c1c79385</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489A9F35</paraID>
      <start>0</start>
      <end>2</end>
      <status>ignored</status>
      <modifiedWord/>
      <trackRevisions>false</trackRevisions>
    </reviewItem>
    <reviewItem>
      <errorID>e9c0260c-904d-4eef-9293-0677ceced4ea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7A060E74</paraID>
      <start>2</start>
      <end>10</end>
      <status>ignored</status>
      <modifiedWord/>
      <trackRevisions>false</trackRevisions>
    </reviewItem>
    <reviewItem>
      <errorID>0dbcf265-bb79-4170-b10d-e730044a44ff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6E11A509</paraID>
      <start>2</start>
      <end>10</end>
      <status>ignored</status>
      <modifiedWord/>
      <trackRevisions>false</trackRevisions>
    </reviewItem>
    <reviewItem>
      <errorID>529439bd-08a7-4a80-b5e7-68d29c0609d4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69D45D4F</paraID>
      <start>2</start>
      <end>10</end>
      <status>ignored</status>
      <modifiedWord/>
      <trackRevisions>false</trackRevisions>
    </reviewItem>
    <reviewItem>
      <errorID>7efc6316-de91-4a5c-bf9d-bcbfdf5db7d4</errorID>
      <errorWord>年</errorWord>
      <group>L1_Word</group>
      <groupName>字词问题</groupName>
      <ability>L2_Typo</ability>
      <abilityName>字词错误</abilityName>
      <candidateList>
        <item>年度</item>
      </candidateList>
      <explain/>
      <paraID> 52FF73B</paraID>
      <start>12</start>
      <end>14</end>
      <status>modified</status>
      <modifiedWord>年度</modifiedWord>
      <trackRevisions>false</trackRevisions>
    </reviewItem>
    <reviewItem>
      <errorID>07cf748c-dc0e-4c66-91f5-87c9d8269c13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561E2985</paraID>
      <start>13</start>
      <end>15</end>
      <status>modified</status>
      <modifiedWord>》《</modifiedWord>
      <trackRevisions>false</trackRevisions>
    </reviewItem>
    <reviewItem>
      <errorID>ef018805-0952-4863-b997-1a08b6a2659d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4C6CDF63</paraID>
      <start>0</start>
      <end>2</end>
      <status>ignored</status>
      <modifiedWord/>
      <trackRevisions>false</trackRevisions>
    </reviewItem>
    <reviewItem>
      <errorID>63597a1f-81fa-4049-a48d-1bc3866ecafb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4AA154A5</paraID>
      <start>0</start>
      <end>2</end>
      <status>ignored</status>
      <modifiedWord/>
      <trackRevisions>false</trackRevisions>
    </reviewItem>
    <reviewItem>
      <errorID>c18741d4-bbc0-4811-bdb0-2798003a8a78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210C6073</paraID>
      <start>0</start>
      <end>2</end>
      <status>ignored</status>
      <modifiedWord/>
      <trackRevisions>false</trackRevisions>
    </reviewItem>
    <reviewItem>
      <errorID>ad8d1d65-30c5-47ed-8468-43fadd5745ed</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67897C75</paraID>
      <start>6</start>
      <end>12</end>
      <status>modified</status>
      <modifiedWord>“三公”经费</modifiedWord>
      <trackRevisions>false</trackRevisions>
    </reviewItem>
    <reviewItem>
      <errorID>e0af11cc-bd1e-4422-9d8d-223615b6d986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1B9E3900</paraID>
      <start>0</start>
      <end>2</end>
      <status>ignored</status>
      <modifiedWord/>
      <trackRevisions>false</trackRevisions>
    </reviewItem>
    <reviewItem>
      <errorID>a74ad8ae-83d3-4681-8317-2f07dbea2068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10A0D5DE</paraID>
      <start>0</start>
      <end>2</end>
      <status>ignored</status>
      <modifiedWord/>
      <trackRevisions>false</trackRevisions>
    </reviewItem>
    <reviewItem>
      <errorID>782c4aae-ec42-4627-b774-1b848b1fed5f</errorID>
      <errorWord>万</errorWord>
      <group>L1_Word</group>
      <groupName>字词问题</groupName>
      <ability>L2_Typo</ability>
      <abilityName>字词错误</abilityName>
      <candidateList>
        <item>万元</item>
      </candidateList>
      <explain/>
      <paraID> CF38E7A</paraID>
      <start>10</start>
      <end>12</end>
      <status>modified</status>
      <modifiedWord>万元</modifiedWord>
      <trackRevisions>false</trackRevisions>
    </reviewItem>
    <reviewItem>
      <errorID>14c44509-7e38-455a-9d4c-92a8b46f3397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23244899</paraID>
      <start>0</start>
      <end>2</end>
      <status>ignored</status>
      <modifiedWord/>
      <trackRevisions>false</trackRevisions>
    </reviewItem>
    <reviewItem>
      <errorID>42decec9-ac9b-49bf-9d2d-9c6094c4eedb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41EB7201</paraID>
      <start>0</start>
      <end>2</end>
      <status>ignored</status>
      <modifiedWord/>
      <trackRevisions>false</trackRevisions>
    </reviewItem>
    <reviewItem>
      <errorID>ce089c9c-eb6c-445f-ab04-b77e42e3039a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69263EE0</paraID>
      <start>0</start>
      <end>2</end>
      <status>ignored</status>
      <modifiedWord/>
      <trackRevisions>false</trackRevisions>
    </reviewItem>
    <reviewItem>
      <errorID>8d506905-9b79-4424-8e50-18a90934d9a3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63102B85</paraID>
      <start>0</start>
      <end>2</end>
      <status>ignored</status>
      <modifiedWord/>
      <trackRevisions>false</trackRevisions>
    </reviewItem>
    <reviewItem>
      <errorID>0bd797ba-8f16-42cd-a760-b20634c1ff46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369273C2</paraID>
      <start>0</start>
      <end>2</end>
      <status>ignored</status>
      <modifiedWord/>
      <trackRevisions>false</trackRevisions>
    </reviewItem>
    <reviewItem>
      <errorID>2c424d3f-f475-4e29-b25b-716c4f71a005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5233A2B3</paraID>
      <start>0</start>
      <end>2</end>
      <status>ignored</status>
      <modifiedWord/>
      <trackRevisions>false</trackRevisions>
    </reviewItem>
    <reviewItem>
      <errorID>91ee6e68-6964-48b6-b78b-60ac3d487119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7AD6102C</paraID>
      <start>0</start>
      <end>2</end>
      <status>ignored</status>
      <modifiedWord/>
      <trackRevisions>false</trackRevisions>
    </reviewItem>
    <reviewItem>
      <errorID>de43779f-01c7-46f4-ad7e-e495175ddca2</errorID>
      <errorWord>.</errorWord>
      <group>L1_Format</group>
      <groupName>格式问题</groupName>
      <ability>L2_HalfPunc</ability>
      <abilityName>全半角检查</abilityName>
      <candidateList>
        <item>。</item>
      </candidateList>
      <explain>文本全半角错误。</explain>
      <paraID>7D8EF014</paraID>
      <start>47</start>
      <end>48</end>
      <status>modified</status>
      <modifiedWord>。</modifiedWord>
      <trackRevisions>false</trackRevisions>
    </reviewItem>
    <reviewItem>
      <errorID>2ae6f2a3-d663-45eb-895e-926482e3f952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5D810B52</paraID>
      <start>0</start>
      <end>8</end>
      <status>ignored</status>
      <modifiedWord/>
      <trackRevisions>false</trackRevisions>
    </reviewItem>
    <reviewItem>
      <errorID>3df48723-c2a1-4a5d-8d57-5fc79e9f12ce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33FEDF90</paraID>
      <start>0</start>
      <end>2</end>
      <status>ignored</status>
      <modifiedWord/>
      <trackRevisions>false</trackRevisions>
    </reviewItem>
    <reviewItem>
      <errorID>9b569672-eb6c-453f-b932-d928af9a105b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1457DFE8</paraID>
      <start>0</start>
      <end>2</end>
      <status>ignored</status>
      <modifiedWord/>
      <trackRevisions>false</trackRevisions>
    </reviewItem>
    <reviewItem>
      <errorID>cf51a3d1-a310-4b8f-8ac6-afedef3245f8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352B26DF</paraID>
      <start>0</start>
      <end>2</end>
      <status>ignored</status>
      <modifiedWord/>
      <trackRevisions>false</trackRevisions>
    </reviewItem>
    <reviewItem>
      <errorID>58f1bb2a-af84-4885-975d-84918fe3220e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7410A8FE</paraID>
      <start>0</start>
      <end>2</end>
      <status>ignored</status>
      <modifiedWord/>
      <trackRevisions>false</trackRevisions>
    </reviewItem>
    <reviewItem>
      <errorID>a7d1a7e8-01a5-4ceb-8772-f07a10e87f62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63E0B866</paraID>
      <start>0</start>
      <end>2</end>
      <status>ignored</status>
      <modifiedWord/>
      <trackRevisions>false</trackRevisions>
    </reviewItem>
    <reviewItem>
      <errorID>3d5a8c9e-233b-4e25-8374-e013205d8a85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63E0B866</paraID>
      <start>24</start>
      <end>32</end>
      <status>ignored</status>
      <modifiedWord/>
      <trackRevisions>false</trackRevisions>
    </reviewItem>
    <reviewItem>
      <errorID>6f193a2e-8d85-4b87-94a4-5f21b64e8323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5128CF09</paraID>
      <start>0</start>
      <end>2</end>
      <status>ignored</status>
      <modifiedWord/>
      <trackRevisions>false</trackRevisions>
    </reviewItem>
    <reviewItem>
      <errorID>0a17cf71-938a-4408-ae3b-6a2152e4a671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3CDB9DEA</paraID>
      <start>0</start>
      <end>2</end>
      <status>ignored</status>
      <modifiedWord/>
      <trackRevisions>false</trackRevisions>
    </reviewItem>
    <reviewItem>
      <errorID>f61b4bb0-44e9-454e-b798-4e8b86cd947b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3FB47415</paraID>
      <start>0</start>
      <end>2</end>
      <status>ignored</status>
      <modifiedWord/>
      <trackRevisions>false</trackRevisions>
    </reviewItem>
    <reviewItem>
      <errorID>db23b699-5215-4e02-ae06-a3f550a0a598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4C6887E</paraID>
      <start>0</start>
      <end>2</end>
      <status>ignored</status>
      <modifiedWord/>
      <trackRevisions>false</trackRevisions>
    </reviewItem>
    <reviewItem>
      <errorID>bce7c0fa-4caf-4771-b392-6607c5b27936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32B408DC</paraID>
      <start>0</start>
      <end>2</end>
      <status>ignored</status>
      <modifiedWord/>
      <trackRevisions>false</trackRevisions>
    </reviewItem>
    <reviewItem>
      <errorID>daf5a451-d742-4e86-97c0-d9deb089d908</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66B052B9</paraID>
      <start>0</start>
      <end>2</end>
      <status>ignored</status>
      <modifiedWord/>
      <trackRevisions>false</trackRevisions>
    </reviewItem>
    <reviewItem>
      <errorID>d5b2a5f0-7e74-4f24-822d-efcfa6251b12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5F7742E9</paraID>
      <start>0</start>
      <end>2</end>
      <status>ignored</status>
      <modifiedWord/>
      <trackRevisions>false</trackRevisions>
    </reviewItem>
    <reviewItem>
      <errorID>be2e41a0-90ca-4767-83c3-4b8064adbf13</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40D6E69F</paraID>
      <start>0</start>
      <end>2</end>
      <status>ignored</status>
      <modifiedWord/>
      <trackRevisions>false</trackRevisions>
    </reviewItem>
    <reviewItem>
      <errorID>192d358e-2fc8-4e7c-bb28-a41ec83f7aff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7A804E9C</paraID>
      <start>2</start>
      <end>10</end>
      <status>ignored</status>
      <modifiedWord/>
      <trackRevisions>false</trackRevisions>
    </reviewItem>
    <reviewItem>
      <errorID>00cea470-536b-4e6e-979b-f2fc8bbf4c42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4BCBB6A7</paraID>
      <start>2</start>
      <end>10</end>
      <status>ignored</status>
      <modifiedWord/>
      <trackRevisions>false</trackRevisions>
    </reviewItem>
    <reviewItem>
      <errorID>f80a3389-35ac-4cda-9e2b-15484c6c596c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582431CC</paraID>
      <start>2</start>
      <end>10</end>
      <status>ignored</status>
      <modifiedWord/>
      <trackRevisions>false</trackRevisions>
    </reviewItem>
    <reviewItem>
      <errorID>fbd160ed-b851-4acf-a192-3411521eb941</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5075AB3B</paraID>
      <start>13</start>
      <end>15</end>
      <status>modified</status>
      <modifiedWord>》《</modifiedWord>
      <trackRevisions>false</trackRevisions>
    </reviewItem>
    <reviewItem>
      <errorID>8db197e6-d5dd-47f5-9a87-f8f79178af1b</errorID>
      <errorWord>(</errorWord>
      <group>L1_Format</group>
      <groupName>格式问题</groupName>
      <ability>L2_HalfPunc</ability>
      <abilityName>全半角检查</abilityName>
      <candidateList>
        <item>（</item>
      </candidateList>
      <explain>文本全半角错误。</explain>
      <paraID>69BB08E3</paraID>
      <start>34</start>
      <end>35</end>
      <status>modified</status>
      <modifiedWord>（</modifiedWord>
      <trackRevisions>false</trackRevisions>
    </reviewItem>
    <reviewItem>
      <errorID>9f61b474-b761-47ac-8a7c-ca614dabdef5</errorID>
      <errorWord>)</errorWord>
      <group>L1_Format</group>
      <groupName>格式问题</groupName>
      <ability>L2_HalfPunc</ability>
      <abilityName>全半角检查</abilityName>
      <candidateList>
        <item>）</item>
      </candidateList>
      <explain>文本全半角错误。</explain>
      <paraID>69BB08E3</paraID>
      <start>38</start>
      <end>39</end>
      <status>modified</status>
      <modifiedWord>）</modifiedWord>
      <trackRevisions>false</trackRevisions>
    </reviewItem>
    <reviewItem>
      <errorID>d662b5dd-fd75-437b-8106-7ccf1aaa0843</errorID>
      <errorWord>(</errorWord>
      <group>L1_Format</group>
      <groupName>格式问题</groupName>
      <ability>L2_HalfPunc</ability>
      <abilityName>全半角检查</abilityName>
      <candidateList>
        <item>（</item>
      </candidateList>
      <explain>文本全半角错误。</explain>
      <paraID>69BB08E3</paraID>
      <start>45</start>
      <end>46</end>
      <status>modified</status>
      <modifiedWord>（</modifiedWord>
      <trackRevisions>false</trackRevisions>
    </reviewItem>
    <reviewItem>
      <errorID>b09d453a-cd98-42fe-831c-60cd95e3743a</errorID>
      <errorWord>)</errorWord>
      <group>L1_Format</group>
      <groupName>格式问题</groupName>
      <ability>L2_HalfPunc</ability>
      <abilityName>全半角检查</abilityName>
      <candidateList>
        <item>）</item>
      </candidateList>
      <explain>文本全半角错误。</explain>
      <paraID>69BB08E3</paraID>
      <start>49</start>
      <end>50</end>
      <status>modified</status>
      <modifiedWord>）</modifiedWord>
      <trackRevisions>false</trackRevisions>
    </reviewItem>
    <reviewItem>
      <errorID>329d23f0-200c-4fbb-90bf-2cfd638acae7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2C7B1213</paraID>
      <start>0</start>
      <end>2</end>
      <status>ignored</status>
      <modifiedWord/>
      <trackRevisions>false</trackRevisions>
    </reviewItem>
    <reviewItem>
      <errorID>45ad793d-83c5-414f-9a70-2246218280e0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118E4A5B</paraID>
      <start>0</start>
      <end>2</end>
      <status>ignored</status>
      <modifiedWord/>
      <trackRevisions>false</trackRevisions>
    </reviewItem>
    <reviewItem>
      <errorID>0af1eb32-7553-4dcc-9f1b-aff55942ce82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1F0C2BFD</paraID>
      <start>0</start>
      <end>2</end>
      <status>ignored</status>
      <modifiedWord/>
      <trackRevisions>false</trackRevisions>
    </reviewItem>
    <reviewItem>
      <errorID>67843b74-4fb8-4322-87fb-430b57651402</errorID>
      <errorWord>)</errorWord>
      <group>L1_Format</group>
      <groupName>格式问题</groupName>
      <ability>L2_HalfPunc</ability>
      <abilityName>全半角检查</abilityName>
      <candidateList>
        <item>）</item>
      </candidateList>
      <explain>文本全半角错误。</explain>
      <paraID>12F5D571</paraID>
      <start>92</start>
      <end>93</end>
      <status>modified</status>
      <modifiedWord>）</modifiedWord>
      <trackRevisions>false</trackRevisions>
    </reviewItem>
    <reviewItem>
      <errorID>b24e6245-7a3d-4a0d-85a4-ccb30a045b1c</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2EC74A3F</paraID>
      <start>12</start>
      <end>18</end>
      <status>modified</status>
      <modifiedWord>“三公”经费</modifiedWord>
      <trackRevisions>false</trackRevisions>
    </reviewItem>
    <reviewItem>
      <errorID>5fac2c1b-9d0d-4bd0-9d80-f2167ae97751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43FDCC12</paraID>
      <start>0</start>
      <end>2</end>
      <status>ignored</status>
      <modifiedWord/>
      <trackRevisions>false</trackRevisions>
    </reviewItem>
    <reviewItem>
      <errorID>2b4c83b3-cc02-4be8-960f-8011b6e4f95e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389BBAF0</paraID>
      <start>0</start>
      <end>2</end>
      <status>ignored</status>
      <modifiedWord/>
      <trackRevisions>false</trackRevisions>
    </reviewItem>
    <reviewItem>
      <errorID>3b9c89f8-c973-41f8-8233-8602fe0a84db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40FAA6C3</paraID>
      <start>0</start>
      <end>2</end>
      <status>ignored</status>
      <modifiedWord/>
      <trackRevisions>false</trackRevisions>
    </reviewItem>
    <reviewItem>
      <errorID>f4f4b83f-a0c0-4d0b-a893-33dfcf516593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2A5DF4CA</paraID>
      <start>0</start>
      <end>8</end>
      <status>ignored</status>
      <modifiedWord/>
      <trackRevisions>false</trackRevisions>
    </reviewItem>
    <reviewItem>
      <errorID>be9b67f6-d1ae-4288-8d78-fb51c5db7090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3AA9CF35</paraID>
      <start>0</start>
      <end>2</end>
      <status>ignored</status>
      <modifiedWord/>
      <trackRevisions>false</trackRevisions>
    </reviewItem>
    <reviewItem>
      <errorID>53804389-cc10-481c-a784-a1d0bd46497d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360E821F</paraID>
      <start>0</start>
      <end>2</end>
      <status>ignored</status>
      <modifiedWord/>
      <trackRevisions>false</trackRevisions>
    </reviewItem>
    <reviewItem>
      <errorID>a9ec5cc3-72e1-4b5d-9a1e-33ba65d185c8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5CF667C8</paraID>
      <start>0</start>
      <end>2</end>
      <status>ignored</status>
      <modifiedWord/>
      <trackRevisions>false</trackRevisions>
    </reviewItem>
    <reviewItem>
      <errorID>3c131fd5-00b9-4d8f-9e47-5f13f5e1393f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32081089</paraID>
      <start>0</start>
      <end>2</end>
      <status>ignored</status>
      <modifiedWord/>
      <trackRevisions>false</trackRevisions>
    </reviewItem>
    <reviewItem>
      <errorID>80ba4b8c-3215-4d9b-9362-51faa0e437c8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21B3D81D</paraID>
      <start>0</start>
      <end>2</end>
      <status>ignored</status>
      <modifiedWord/>
      <trackRevisions>false</trackRevisions>
    </reviewItem>
    <reviewItem>
      <errorID>0bb143ad-a0bf-4a1b-bfc7-cea01211bbc0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21B3D81D</paraID>
      <start>24</start>
      <end>32</end>
      <status>ignored</status>
      <modifiedWord/>
      <trackRevisions>false</trackRevisions>
    </reviewItem>
    <reviewItem>
      <errorID>1b92d85e-ab81-4216-af66-fcf830690ccb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43FD3E78</paraID>
      <start>0</start>
      <end>2</end>
      <status>ignored</status>
      <modifiedWord/>
      <trackRevisions>false</trackRevisions>
    </reviewItem>
    <reviewItem>
      <errorID>49d4bfbf-8bbd-41de-be6a-82281ad705a2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407391CB</paraID>
      <start>0</start>
      <end>2</end>
      <status>ignored</status>
      <modifiedWord/>
      <trackRevisions>false</trackRevisions>
    </reviewItem>
    <reviewItem>
      <errorID>c9e4c32e-c133-496d-81ee-286501bf0fff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34330E9E</paraID>
      <start>0</start>
      <end>2</end>
      <status>ignored</status>
      <modifiedWord/>
      <trackRevisions>false</trackRevisions>
    </reviewItem>
    <reviewItem>
      <errorID>f91e353f-d243-41e3-a509-3c5c9465720a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2D8C82A</paraID>
      <start>0</start>
      <end>2</end>
      <status>ignored</status>
      <modifiedWord/>
      <trackRevisions>false</trackRevisions>
    </reviewItem>
    <reviewItem>
      <errorID>f354fa84-0831-46bf-889f-dd61864518b7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9E12762</paraID>
      <start>0</start>
      <end>2</end>
      <status>ignored</status>
      <modifiedWord/>
      <trackRevisions>false</trackRevisions>
    </reviewItem>
    <reviewItem>
      <errorID>19ff1be9-1b44-471b-9b4e-09bc9efb7ae0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3F6330EE</paraID>
      <start>0</start>
      <end>2</end>
      <status>ignored</status>
      <modifiedWord/>
      <trackRevisions>false</trackRevisions>
    </reviewItem>
    <reviewItem>
      <errorID>91f9705b-1083-44ee-baa2-22ed1936dd98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6635496F</paraID>
      <start>0</start>
      <end>2</end>
      <status>ignored</status>
      <modifiedWord/>
      <trackRevisions>false</trackRevisions>
    </reviewItem>
    <reviewItem>
      <errorID>93c3ff87-3387-49af-9f79-80ce92b36714</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1C12A059</paraID>
      <start>0</start>
      <end>2</end>
      <status>ignored</status>
      <modifiedWord/>
      <trackRevisions>false</trackRevisions>
    </reviewItem>
    <reviewItem>
      <errorID>122283ab-c3a4-4a21-b6ad-abbc40ef7ebf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55D20113</paraID>
      <start>2</start>
      <end>10</end>
      <status>ignored</status>
      <modifiedWord/>
      <trackRevisions>false</trackRevisions>
    </reviewItem>
    <reviewItem>
      <errorID>72d6a025-eafa-48f5-90b5-1919a5a1b1c3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619637A0</paraID>
      <start>2</start>
      <end>10</end>
      <status>ignored</status>
      <modifiedWord/>
      <trackRevisions>false</trackRevisions>
    </reviewItem>
    <reviewItem>
      <errorID>35e48450-a600-44cb-8588-e8e97679b915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73BDD07B</paraID>
      <start>2</start>
      <end>10</end>
      <status>ignored</status>
      <modifiedWord/>
      <trackRevisions>false</trackRevisions>
    </reviewItem>
    <reviewItem>
      <errorID>13fcf4ab-1fe7-4a45-961c-96bdcb361eb1</errorID>
      <errorWord>年</errorWord>
      <group>L1_Word</group>
      <groupName>字词问题</groupName>
      <ability>L2_Typo</ability>
      <abilityName>字词错误</abilityName>
      <candidateList>
        <item>年度</item>
      </candidateList>
      <explain/>
      <paraID>287C314E</paraID>
      <start>12</start>
      <end>14</end>
      <status>modified</status>
      <modifiedWord>年度</modifiedWord>
      <trackRevisions>false</trackRevisions>
    </reviewItem>
    <reviewItem>
      <errorID>2e341986-8248-46b5-834e-ea3c111dd403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562EC5BF</paraID>
      <start>13</start>
      <end>15</end>
      <status>modified</status>
      <modifiedWord>》《</modifiedWord>
      <trackRevisions>false</trackRevisions>
    </reviewItem>
    <reviewItem>
      <errorID>cec935ae-cd3d-48e2-98fd-e7c7cf4eaccd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4BAA0E7B</paraID>
      <start>0</start>
      <end>2</end>
      <status>ignored</status>
      <modifiedWord/>
      <trackRevisions>false</trackRevisions>
    </reviewItem>
    <reviewItem>
      <errorID>707c11c9-154e-445e-8d66-24326b8c268a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5685301D</paraID>
      <start>0</start>
      <end>2</end>
      <status>ignored</status>
      <modifiedWord/>
      <trackRevisions>false</trackRevisions>
    </reviewItem>
    <reviewItem>
      <errorID>02fc3bc8-3a5d-4b11-b563-a5cd05c751c1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2CCFCAD1</paraID>
      <start>0</start>
      <end>2</end>
      <status>ignored</status>
      <modifiedWord/>
      <trackRevisions>false</trackRevisions>
    </reviewItem>
    <reviewItem>
      <errorID>f8ba22c1-e715-4556-9341-95466860165b</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  305F66</paraID>
      <start>6</start>
      <end>12</end>
      <status>modified</status>
      <modifiedWord>“三公”经费</modifiedWord>
      <trackRevisions>false</trackRevisions>
    </reviewItem>
    <reviewItem>
      <errorID>e03e74e6-bca5-4ed0-9395-021b6f6c8577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737E4F63</paraID>
      <start>0</start>
      <end>2</end>
      <status>ignored</status>
      <modifiedWord/>
      <trackRevisions>false</trackRevisions>
    </reviewItem>
    <reviewItem>
      <errorID>50bf4cb4-ee26-4d5b-95ad-8d004972dd66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2260B49E</paraID>
      <start>0</start>
      <end>2</end>
      <status>ignored</status>
      <modifiedWord/>
      <trackRevisions>false</trackRevisions>
    </reviewItem>
    <reviewItem>
      <errorID>9f7e6fe8-b147-435f-912d-24ff04bf1f54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4DEAEED6</paraID>
      <start>0</start>
      <end>2</end>
      <status>ignored</status>
      <modifiedWord/>
      <trackRevisions>false</trackRevisions>
    </reviewItem>
    <reviewItem>
      <errorID>cc8d38d7-1dcb-4a6e-a28d-dcdb9551c7b9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79D86F4C</paraID>
      <start>0</start>
      <end>8</end>
      <status>ignored</status>
      <modifiedWord/>
      <trackRevisions>false</trackRevisions>
    </reviewItem>
    <reviewItem>
      <errorID>07c2adcf-2f9e-4ce0-8f76-e84d536ce0ca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3C6A0C5A</paraID>
      <start>0</start>
      <end>2</end>
      <status>ignored</status>
      <modifiedWord/>
      <trackRevisions>false</trackRevisions>
    </reviewItem>
    <reviewItem>
      <errorID>586ff339-6dba-489b-b7a8-8f331accc062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4CD4F40</paraID>
      <start>0</start>
      <end>2</end>
      <status>ignored</status>
      <modifiedWord/>
      <trackRevisions>false</trackRevisions>
    </reviewItem>
    <reviewItem>
      <errorID>eaab27f5-d13e-47f5-850f-f0a0e9ee9809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D55DB00</paraID>
      <start>0</start>
      <end>2</end>
      <status>ignored</status>
      <modifiedWord/>
      <trackRevisions>false</trackRevisions>
    </reviewItem>
    <reviewItem>
      <errorID>ea22d471-2c6f-4fed-bfe3-47db4052ab98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3E009C25</paraID>
      <start>0</start>
      <end>2</end>
      <status>ignored</status>
      <modifiedWord/>
      <trackRevisions>false</trackRevisions>
    </reviewItem>
    <reviewItem>
      <errorID>f1355281-52e0-400b-8bbc-4caf69fde779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37E2CBAC</paraID>
      <start>0</start>
      <end>2</end>
      <status>ignored</status>
      <modifiedWord/>
      <trackRevisions>false</trackRevisions>
    </reviewItem>
    <reviewItem>
      <errorID>4f67bddc-c8e9-42c0-bf72-b7a3bf18fcfe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37E2CBAC</paraID>
      <start>24</start>
      <end>32</end>
      <status>ignored</status>
      <modifiedWord/>
      <trackRevisions>false</trackRevisions>
    </reviewItem>
    <reviewItem>
      <errorID>7039ee5a-1371-46ed-bfc3-f457c4272d41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1A176BA3</paraID>
      <start>0</start>
      <end>2</end>
      <status>ignored</status>
      <modifiedWord/>
      <trackRevisions>false</trackRevisions>
    </reviewItem>
    <reviewItem>
      <errorID>1cf178e3-5fd3-4c0f-8cd3-76133e59d4e6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3D0BDED9</paraID>
      <start>0</start>
      <end>2</end>
      <status>ignored</status>
      <modifiedWord/>
      <trackRevisions>false</trackRevisions>
    </reviewItem>
    <reviewItem>
      <errorID>e3b36792-d2ec-4ad0-81eb-8c8ef7e31598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34A18DCB</paraID>
      <start>0</start>
      <end>2</end>
      <status>ignored</status>
      <modifiedWord/>
      <trackRevisions>false</trackRevisions>
    </reviewItem>
    <reviewItem>
      <errorID>0c60e445-3d62-46e9-9870-d3261bb7c624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47E12EDE</paraID>
      <start>0</start>
      <end>2</end>
      <status>ignored</status>
      <modifiedWord/>
      <trackRevisions>false</trackRevisions>
    </reviewItem>
    <reviewItem>
      <errorID>eae47f79-f9e8-439f-b99e-2ca66dfadd98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1706378D</paraID>
      <start>0</start>
      <end>2</end>
      <status>ignored</status>
      <modifiedWord/>
      <trackRevisions>false</trackRevisions>
    </reviewItem>
    <reviewItem>
      <errorID>f788ed7c-c232-41d9-8fa2-e9956a7174f4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2B26AC63</paraID>
      <start>0</start>
      <end>2</end>
      <status>ignored</status>
      <modifiedWord/>
      <trackRevisions>false</trackRevisions>
    </reviewItem>
    <reviewItem>
      <errorID>62258201-46e5-45a1-aa54-20838466905b</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159CE448</paraID>
      <start>0</start>
      <end>2</end>
      <status>ignored</status>
      <modifiedWord/>
      <trackRevisions>false</trackRevisions>
    </reviewItem>
    <reviewItem>
      <errorID>8841187e-ea14-40a6-8376-5e8ec8a6e6d5</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3C35E60B</paraID>
      <start>0</start>
      <end>2</end>
      <status>ignored</status>
      <modifiedWord/>
      <trackRevisions>false</trackRevisions>
    </reviewItem>
    <reviewItem>
      <errorID>db831791-26fd-4789-a9bc-c33bfca67960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44DEFA9F</paraID>
      <start>2</start>
      <end>10</end>
      <status>ignored</status>
      <modifiedWord/>
      <trackRevisions>false</trackRevisions>
    </reviewItem>
    <reviewItem>
      <errorID>c43db4a0-698a-47fd-9d62-cfa34446eb72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2809C6DE</paraID>
      <start>2</start>
      <end>10</end>
      <status>ignored</status>
      <modifiedWord/>
      <trackRevisions>false</trackRevisions>
    </reviewItem>
    <reviewItem>
      <errorID>4fe5281d-82cd-4848-8f4e-3232fe84279c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31B00600</paraID>
      <start>2</start>
      <end>10</end>
      <status>ignored</status>
      <modifiedWord/>
      <trackRevisions>false</trackRevisions>
    </reviewItem>
    <reviewItem>
      <errorID>8d310eb9-ac95-4315-b1ac-aee912f6ba78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2EBC347</paraID>
      <start>13</start>
      <end>15</end>
      <status>modified</status>
      <modifiedWord>》《</modifiedWord>
      <trackRevisions>false</trackRevisions>
    </reviewItem>
    <reviewItem>
      <errorID>01c7775a-be72-4d62-911b-fc07bc7363ac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172A9541</paraID>
      <start>0</start>
      <end>2</end>
      <status>ignored</status>
      <modifiedWord/>
      <trackRevisions>false</trackRevisions>
    </reviewItem>
    <reviewItem>
      <errorID>6231521c-af34-4038-982e-6bb5c2785925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4749B9CB</paraID>
      <start>0</start>
      <end>2</end>
      <status>ignored</status>
      <modifiedWord/>
      <trackRevisions>false</trackRevisions>
    </reviewItem>
    <reviewItem>
      <errorID>7e863856-b69d-4c74-8623-2876a93fba10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492F8814</paraID>
      <start>0</start>
      <end>2</end>
      <status>ignored</status>
      <modifiedWord/>
      <trackRevisions>false</trackRevisions>
    </reviewItem>
    <reviewItem>
      <errorID>9e47f8a4-efa8-4edc-b42b-6a8fb3c002c8</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5B31F04B</paraID>
      <start>11</start>
      <end>17</end>
      <status>modified</status>
      <modifiedWord>“三公”经费</modifiedWord>
      <trackRevisions>false</trackRevisions>
    </reviewItem>
    <reviewItem>
      <errorID>f1f9daf5-64fa-4d83-91ec-89ec518cf3c0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3B1BD655</paraID>
      <start>0</start>
      <end>2</end>
      <status>ignored</status>
      <modifiedWord/>
      <trackRevisions>false</trackRevisions>
    </reviewItem>
    <reviewItem>
      <errorID>b2da094c-cff3-449f-9761-77112cf4498d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7B97063C</paraID>
      <start>0</start>
      <end>2</end>
      <status>ignored</status>
      <modifiedWord/>
      <trackRevisions>false</trackRevisions>
    </reviewItem>
    <reviewItem>
      <errorID>0fd30f1e-2957-4473-a223-0cbf372d2f38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B9E1B67</paraID>
      <start>0</start>
      <end>2</end>
      <status>ignored</status>
      <modifiedWord/>
      <trackRevisions>false</trackRevisions>
    </reviewItem>
    <reviewItem>
      <errorID>28b56085-1e8c-4960-a1d2-69cba0f91372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7970630A</paraID>
      <start>0</start>
      <end>2</end>
      <status>ignored</status>
      <modifiedWord/>
      <trackRevisions>false</trackRevisions>
    </reviewItem>
    <reviewItem>
      <errorID>5e052e72-3cef-4c86-88ac-eac2bca44eff</errorID>
      <errorWord>"</errorWord>
      <group>L1_Format</group>
      <groupName>格式问题</groupName>
      <ability>L2_HalfPunc</ability>
      <abilityName>全半角检查</abilityName>
      <candidateList/>
      <explain>文本全半角错误。</explain>
      <paraID>339C3965</paraID>
      <start>2</start>
      <end>3</end>
      <status>unmodified</status>
      <modifiedWord/>
      <trackRevisions>false</trackRevisions>
    </reviewItem>
    <reviewItem>
      <errorID>aaa4c960-e449-45d6-b24d-dd0ff2bbb8a1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573C816C</paraID>
      <start>0</start>
      <end>2</end>
      <status>ignored</status>
      <modifiedWord/>
      <trackRevisions>false</trackRevisions>
    </reviewItem>
    <reviewItem>
      <errorID>371e12e0-3255-4cd6-bd09-e57b21e6517e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2259653F</paraID>
      <start>0</start>
      <end>2</end>
      <status>ignored</status>
      <modifiedWord/>
      <trackRevisions>false</trackRevisions>
    </reviewItem>
    <reviewItem>
      <errorID>b1d71c50-9b52-46c0-8fbe-f697c8f8c728</errorID>
      <errorWord>.</errorWord>
      <group>L1_Format</group>
      <groupName>格式问题</groupName>
      <ability>L2_HalfPunc</ability>
      <abilityName>全半角检查</abilityName>
      <candidateList>
        <item>。</item>
      </candidateList>
      <explain>文本全半角错误。</explain>
      <paraID>26E23C3D</paraID>
      <start>39</start>
      <end>40</end>
      <status>modified</status>
      <modifiedWord>。</modifiedWord>
      <trackRevisions>false</trackRevisions>
    </reviewItem>
    <reviewItem>
      <errorID>64525b54-91ca-43a0-88ec-229e08109b9e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2506C7F</paraID>
      <start>0</start>
      <end>2</end>
      <status>ignored</status>
      <modifiedWord/>
      <trackRevisions>false</trackRevisions>
    </reviewItem>
    <reviewItem>
      <errorID>b03a4e3d-7f20-43d5-8561-ec9baa7bd176</errorID>
      <errorWord>"</errorWord>
      <group>L1_Format</group>
      <groupName>格式问题</groupName>
      <ability>L2_HalfPunc</ability>
      <abilityName>全半角检查</abilityName>
      <candidateList>
        <item>”</item>
      </candidateList>
      <explain>文本全半角错误。</explain>
      <paraID>4A13009D</paraID>
      <start>0</start>
      <end>1</end>
      <status>modified</status>
      <modifiedWord>”</modifiedWord>
      <trackRevisions>false</trackRevisions>
    </reviewItem>
    <reviewItem>
      <errorID>7df203b8-f779-4a53-8582-746cada99901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7267AF85</paraID>
      <start>0</start>
      <end>8</end>
      <status>ignored</status>
      <modifiedWord/>
      <trackRevisions>false</trackRevisions>
    </reviewItem>
    <reviewItem>
      <errorID>19f2722b-e97b-4432-8eac-56912a6df4b4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17C0EBBE</paraID>
      <start>0</start>
      <end>2</end>
      <status>ignored</status>
      <modifiedWord/>
      <trackRevisions>false</trackRevisions>
    </reviewItem>
    <reviewItem>
      <errorID>694b8f26-1504-4e51-9eb5-e718a5431428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7E8D21A1</paraID>
      <start>0</start>
      <end>2</end>
      <status>ignored</status>
      <modifiedWord/>
      <trackRevisions>false</trackRevisions>
    </reviewItem>
    <reviewItem>
      <errorID>410fd9d2-d65b-4bab-93a3-ef4ac6ce537c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7BF7397F</paraID>
      <start>0</start>
      <end>2</end>
      <status>ignored</status>
      <modifiedWord/>
      <trackRevisions>false</trackRevisions>
    </reviewItem>
    <reviewItem>
      <errorID>44d93310-0945-49b8-916a-88133cdeb0a8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3471864D</paraID>
      <start>0</start>
      <end>2</end>
      <status>ignored</status>
      <modifiedWord/>
      <trackRevisions>false</trackRevisions>
    </reviewItem>
    <reviewItem>
      <errorID>ddb1bdb3-b40b-460c-bf2e-a6c79bc9f648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371D325E</paraID>
      <start>0</start>
      <end>2</end>
      <status>ignored</status>
      <modifiedWord/>
      <trackRevisions>false</trackRevisions>
    </reviewItem>
    <reviewItem>
      <errorID>5b3bfb52-9ace-4436-9cf1-b8a7ef4fa8c1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371D325E</paraID>
      <start>24</start>
      <end>32</end>
      <status>ignored</status>
      <modifiedWord/>
      <trackRevisions>false</trackRevisions>
    </reviewItem>
    <reviewItem>
      <errorID>83254704-0add-4147-9a90-304eb871d380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1CD09560</paraID>
      <start>0</start>
      <end>2</end>
      <status>ignored</status>
      <modifiedWord/>
      <trackRevisions>false</trackRevisions>
    </reviewItem>
    <reviewItem>
      <errorID>f092b3cb-a0ca-4ed5-857f-10ee32d4a7c6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4BF14E2C</paraID>
      <start>0</start>
      <end>2</end>
      <status>ignored</status>
      <modifiedWord/>
      <trackRevisions>false</trackRevisions>
    </reviewItem>
    <reviewItem>
      <errorID>a873f1c0-4763-4af4-9a30-96810697f96e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545A4297</paraID>
      <start>0</start>
      <end>2</end>
      <status>ignored</status>
      <modifiedWord/>
      <trackRevisions>false</trackRevisions>
    </reviewItem>
    <reviewItem>
      <errorID>f7e39cfd-5382-4b11-956a-51c78c79f7a4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3FD87397</paraID>
      <start>0</start>
      <end>2</end>
      <status>ignored</status>
      <modifiedWord/>
      <trackRevisions>false</trackRevisions>
    </reviewItem>
    <reviewItem>
      <errorID>29f4d2f9-1a3c-4562-8460-92458a0e8781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64AD09DF</paraID>
      <start>0</start>
      <end>2</end>
      <status>ignored</status>
      <modifiedWord/>
      <trackRevisions>false</trackRevisions>
    </reviewItem>
    <reviewItem>
      <errorID>5cc1327e-16a4-4266-bc43-395f972df9f6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B9FB887</paraID>
      <start>0</start>
      <end>2</end>
      <status>ignored</status>
      <modifiedWord/>
      <trackRevisions>false</trackRevisions>
    </reviewItem>
    <reviewItem>
      <errorID>9fc9db9f-449a-436e-9bbf-283587770e65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9D553EC</paraID>
      <start>0</start>
      <end>2</end>
      <status>ignored</status>
      <modifiedWord/>
      <trackRevisions>false</trackRevisions>
    </reviewItem>
    <reviewItem>
      <errorID>90e87a9d-efc0-440d-8e25-47244bc06199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4A5C99B6</paraID>
      <start>0</start>
      <end>2</end>
      <status>ignored</status>
      <modifiedWord/>
      <trackRevisions>false</trackRevisions>
    </reviewItem>
    <reviewItem>
      <errorID>9d8c96e9-03dd-4463-8b5f-1011b08b8c3f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2E661B7E</paraID>
      <start>2</start>
      <end>10</end>
      <status>ignored</status>
      <modifiedWord/>
      <trackRevisions>false</trackRevisions>
    </reviewItem>
    <reviewItem>
      <errorID>1774a054-9dd5-47c9-8ca7-ffaed33a70a7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4AB1BD42</paraID>
      <start>2</start>
      <end>10</end>
      <status>ignored</status>
      <modifiedWord/>
      <trackRevisions>false</trackRevisions>
    </reviewItem>
    <reviewItem>
      <errorID>d8ab6439-c50a-4cc3-a615-4b14f30e8c7d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45B06553</paraID>
      <start>2</start>
      <end>10</end>
      <status>ignored</status>
      <modifiedWord/>
      <trackRevisions>false</trackRevisions>
    </reviewItem>
    <reviewItem>
      <errorID>53eb487e-4fb4-42ad-8c4a-e7adf75d01ac</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7D56E0EC</paraID>
      <start>13</start>
      <end>15</end>
      <status>modified</status>
      <modifiedWord>》《</modifiedWord>
      <trackRevisions>false</trackRevisions>
    </reviewItem>
    <reviewItem>
      <errorID>3fd21b46-4481-4457-9d91-7a9f4f7b7f99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53452FCD</paraID>
      <start>0</start>
      <end>2</end>
      <status>ignored</status>
      <modifiedWord/>
      <trackRevisions>false</trackRevisions>
    </reviewItem>
    <reviewItem>
      <errorID>dba8415c-aaf3-46fc-85f5-96f9b4c29f36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29764B09</paraID>
      <start>0</start>
      <end>2</end>
      <status>ignored</status>
      <modifiedWord/>
      <trackRevisions>false</trackRevisions>
    </reviewItem>
    <reviewItem>
      <errorID>386e5d49-7b8a-4175-b31c-0f8124907a03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7C9A73B8</paraID>
      <start>0</start>
      <end>2</end>
      <status>ignored</status>
      <modifiedWord/>
      <trackRevisions>false</trackRevisions>
    </reviewItem>
    <reviewItem>
      <errorID>f1791b3d-f03c-43d7-8683-d1fcf97b32e0</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3DEB248A</paraID>
      <start>12</start>
      <end>18</end>
      <status>modified</status>
      <modifiedWord>“三公”经费</modifiedWord>
      <trackRevisions>false</trackRevisions>
    </reviewItem>
    <reviewItem>
      <errorID>9a1dd637-56ad-41f6-a47a-13e2dddab919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3B310EC4</paraID>
      <start>0</start>
      <end>2</end>
      <status>ignored</status>
      <modifiedWord/>
      <trackRevisions>false</trackRevisions>
    </reviewItem>
    <reviewItem>
      <errorID>379552da-ecc7-4a22-89b0-41f605066cd2</errorID>
      <errorWord>"</errorWord>
      <group>L1_Format</group>
      <groupName>格式问题</groupName>
      <ability>L2_HalfPunc</ability>
      <abilityName>全半角检查</abilityName>
      <candidateList/>
      <explain>文本全半角错误。</explain>
      <paraID>5A98D780</paraID>
      <start>0</start>
      <end>1</end>
      <status>unmodified</status>
      <modifiedWord/>
      <trackRevisions>false</trackRevisions>
    </reviewItem>
    <reviewItem>
      <errorID>d5140fb6-657a-4182-bf69-4776279e9dee</errorID>
      <errorWord>季</errorWord>
      <group>L1_Word</group>
      <groupName>字词问题</groupName>
      <ability>L2_Typo</ability>
      <abilityName>字词错误</abilityName>
      <candidateList>
        <item>季度</item>
      </candidateList>
      <explain/>
      <paraID> BAA8C41</paraID>
      <start>3</start>
      <end>5</end>
      <status>modified</status>
      <modifiedWord>季度</modifiedWord>
      <trackRevisions>false</trackRevisions>
    </reviewItem>
    <reviewItem>
      <errorID>88121367-c369-440d-8607-8c59ea907b20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11E36FE</paraID>
      <start>0</start>
      <end>2</end>
      <status>ignored</status>
      <modifiedWord/>
      <trackRevisions>false</trackRevisions>
    </reviewItem>
    <reviewItem>
      <errorID>a0009e1f-14d2-4c34-9fb9-e408e11e18a3</errorID>
      <errorWord>办人民满意的教育</errorWord>
      <group>L1_Political</group>
      <groupName>政治性问题</groupName>
      <ability>L2_Unpolitical</ability>
      <abilityName>政治敏感错误</abilityName>
      <candidateList>
        <item>办好人民满意的教育</item>
      </candidateList>
      <explain/>
      <paraID>7C021A0B</paraID>
      <start>24</start>
      <end>33</end>
      <status>modified</status>
      <modifiedWord>办好人民满意的教育</modifiedWord>
      <trackRevisions>false</trackRevisions>
    </reviewItem>
    <reviewItem>
      <errorID>0e34d73e-fb98-430d-bcf3-f3426142d39c</errorID>
      <errorWord>办人民满意的教育</errorWord>
      <group>L1_Political</group>
      <groupName>政治性问题</groupName>
      <ability>L2_Unpolitical</ability>
      <abilityName>政治敏感错误</abilityName>
      <candidateList>
        <item>办好人民满意的教育</item>
      </candidateList>
      <explain/>
      <paraID> 4CDDE44</paraID>
      <start>26</start>
      <end>35</end>
      <status>modified</status>
      <modifiedWord>办好人民满意的教育</modifiedWord>
      <trackRevisions>false</trackRevisions>
    </reviewItem>
    <reviewItem>
      <errorID>3b5f2640-148b-4844-98b1-8ae398bcd518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6607353E</paraID>
      <start>0</start>
      <end>2</end>
      <status>ignored</status>
      <modifiedWord/>
      <trackRevisions>false</trackRevisions>
    </reviewItem>
    <reviewItem>
      <errorID>a211d44d-d632-4acf-aa75-52fa4b0642e6</errorID>
      <errorWord>办人民满意的教育</errorWord>
      <group>L1_Political</group>
      <groupName>政治性问题</groupName>
      <ability>L2_Unpolitical</ability>
      <abilityName>政治敏感错误</abilityName>
      <candidateList>
        <item>办好人民满意的教育</item>
      </candidateList>
      <explain/>
      <paraID>1BC114A1</paraID>
      <start>24</start>
      <end>33</end>
      <status>modified</status>
      <modifiedWord>办好人民满意的教育</modifiedWord>
      <trackRevisions>false</trackRevisions>
    </reviewItem>
    <reviewItem>
      <errorID>b6070577-7b9a-4698-9138-15d959749fcc</errorID>
      <errorWord>办人民满意的教育</errorWord>
      <group>L1_Political</group>
      <groupName>政治性问题</groupName>
      <ability>L2_Unpolitical</ability>
      <abilityName>政治敏感错误</abilityName>
      <candidateList>
        <item>办好人民满意的教育</item>
      </candidateList>
      <explain/>
      <paraID>1C452409</paraID>
      <start>26</start>
      <end>35</end>
      <status>modified</status>
      <modifiedWord>办好人民满意的教育</modifiedWord>
      <trackRevisions>false</trackRevisions>
    </reviewItem>
    <reviewItem>
      <errorID>ba20000d-ad17-452d-9bd7-21b089c306ee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692EAF77</paraID>
      <start>0</start>
      <end>2</end>
      <status>ignored</status>
      <modifiedWord/>
      <trackRevisions>false</trackRevisions>
    </reviewItem>
    <reviewItem>
      <errorID>317a85e7-17da-42dc-87bc-1ceff0a23cbc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2BE55BAB</paraID>
      <start>0</start>
      <end>2</end>
      <status>ignored</status>
      <modifiedWord/>
      <trackRevisions>false</trackRevisions>
    </reviewItem>
    <reviewItem>
      <errorID>0b002e70-f6b6-4492-abd1-ae53f579dfeb</errorID>
      <errorWord>"</errorWord>
      <group>L1_Format</group>
      <groupName>格式问题</groupName>
      <ability>L2_HalfPunc</ability>
      <abilityName>全半角检查</abilityName>
      <candidateList/>
      <explain>文本全半角错误。</explain>
      <paraID>59ED3E6F</paraID>
      <start>0</start>
      <end>1</end>
      <status>unmodified</status>
      <modifiedWord/>
      <trackRevisions>false</trackRevisions>
    </reviewItem>
    <reviewItem>
      <errorID>be21e43e-02d7-4d64-9daa-47761d3c5342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605017FE</paraID>
      <start>0</start>
      <end>2</end>
      <status>ignored</status>
      <modifiedWord/>
      <trackRevisions>false</trackRevisions>
    </reviewItem>
    <reviewItem>
      <errorID>5a15748f-f54d-483f-82e8-d7c8b140ddd8</errorID>
      <errorWord>"</errorWord>
      <group>L1_Format</group>
      <groupName>格式问题</groupName>
      <ability>L2_HalfPunc</ability>
      <abilityName>全半角检查</abilityName>
      <candidateList/>
      <explain>文本全半角错误。</explain>
      <paraID>57F2F461</paraID>
      <start>0</start>
      <end>1</end>
      <status>unmodified</status>
      <modifiedWord/>
      <trackRevisions>false</trackRevisions>
    </reviewItem>
    <reviewItem>
      <errorID>dadddd0f-3673-4e1d-a185-6abc8f0e8009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43E7B5D</paraID>
      <start>0</start>
      <end>2</end>
      <status>ignored</status>
      <modifiedWord/>
      <trackRevisions>false</trackRevisions>
    </reviewItem>
    <reviewItem>
      <errorID>3c78cf00-fed7-41c9-bdf3-050b5d44a2d4</errorID>
      <errorWord>办人民满意的教育</errorWord>
      <group>L1_Political</group>
      <groupName>政治性问题</groupName>
      <ability>L2_Unpolitical</ability>
      <abilityName>政治敏感错误</abilityName>
      <candidateList>
        <item>办好人民满意的教育</item>
      </candidateList>
      <explain/>
      <paraID>4616C950</paraID>
      <start>24</start>
      <end>33</end>
      <status>modified</status>
      <modifiedWord>办好人民满意的教育</modifiedWord>
      <trackRevisions>false</trackRevisions>
    </reviewItem>
    <reviewItem>
      <errorID>2e78cde7-ddd7-46f1-8788-3946d977a495</errorID>
      <errorWord>办人民满意的教育</errorWord>
      <group>L1_Political</group>
      <groupName>政治性问题</groupName>
      <ability>L2_Unpolitical</ability>
      <abilityName>政治敏感错误</abilityName>
      <candidateList>
        <item>办好人民满意的教育</item>
      </candidateList>
      <explain/>
      <paraID> AE24360</paraID>
      <start>26</start>
      <end>35</end>
      <status>modified</status>
      <modifiedWord>办好人民满意的教育</modifiedWord>
      <trackRevisions>false</trackRevisions>
    </reviewItem>
    <reviewItem>
      <errorID>bcc99a0b-75a3-40ec-b8fb-1bfda82328ff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7AB697CC</paraID>
      <start>0</start>
      <end>8</end>
      <status>ignored</status>
      <modifiedWord/>
      <trackRevisions>false</trackRevisions>
    </reviewItem>
    <reviewItem>
      <errorID>a9fcd805-5ea2-4298-833c-4b09a999ab01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5890BCBE</paraID>
      <start>0</start>
      <end>2</end>
      <status>ignored</status>
      <modifiedWord/>
      <trackRevisions>false</trackRevisions>
    </reviewItem>
    <reviewItem>
      <errorID>ae3d437d-1bbf-4763-9e9c-de446e07e64d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32E7A339</paraID>
      <start>0</start>
      <end>2</end>
      <status>ignored</status>
      <modifiedWord/>
      <trackRevisions>false</trackRevisions>
    </reviewItem>
    <reviewItem>
      <errorID>b03aa0f2-1406-4177-870f-004d130175d5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1E3977C7</paraID>
      <start>0</start>
      <end>2</end>
      <status>ignored</status>
      <modifiedWord/>
      <trackRevisions>false</trackRevisions>
    </reviewItem>
    <reviewItem>
      <errorID>14180f3e-f73f-4dda-9947-daeae2c2f397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10DB597C</paraID>
      <start>0</start>
      <end>2</end>
      <status>ignored</status>
      <modifiedWord/>
      <trackRevisions>false</trackRevisions>
    </reviewItem>
    <reviewItem>
      <errorID>185cdf7a-7a22-4f05-b2fb-3aa0ccd082eb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20F7968</paraID>
      <start>0</start>
      <end>2</end>
      <status>ignored</status>
      <modifiedWord/>
      <trackRevisions>false</trackRevisions>
    </reviewItem>
    <reviewItem>
      <errorID>0786d754-674a-46f9-85ad-8618d4d43b58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20F7968</paraID>
      <start>24</start>
      <end>32</end>
      <status>ignored</status>
      <modifiedWord/>
      <trackRevisions>false</trackRevisions>
    </reviewItem>
    <reviewItem>
      <errorID>63698e13-9f77-4572-95f6-2b6fd7576abf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30493374</paraID>
      <start>0</start>
      <end>2</end>
      <status>ignored</status>
      <modifiedWord/>
      <trackRevisions>false</trackRevisions>
    </reviewItem>
    <reviewItem>
      <errorID>25a436bd-8a1d-4157-82a5-4e36319cc455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551B7FEC</paraID>
      <start>0</start>
      <end>2</end>
      <status>ignored</status>
      <modifiedWord/>
      <trackRevisions>false</trackRevisions>
    </reviewItem>
    <reviewItem>
      <errorID>6484a08c-e6cf-4a9c-a5e6-4af64c499020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1CC65553</paraID>
      <start>0</start>
      <end>2</end>
      <status>ignored</status>
      <modifiedWord/>
      <trackRevisions>false</trackRevisions>
    </reviewItem>
    <reviewItem>
      <errorID>7fcd413d-1203-4cc7-a341-b1b5c3d0fb4c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52840EBC</paraID>
      <start>0</start>
      <end>2</end>
      <status>ignored</status>
      <modifiedWord/>
      <trackRevisions>false</trackRevisions>
    </reviewItem>
    <reviewItem>
      <errorID>db76c6bf-4bdd-44d2-9ad4-03eab7669c12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56B7C9EF</paraID>
      <start>0</start>
      <end>2</end>
      <status>ignored</status>
      <modifiedWord/>
      <trackRevisions>false</trackRevisions>
    </reviewItem>
    <reviewItem>
      <errorID>8cb49698-b7bb-4c0c-a9ea-38f37ba4c460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807883A</paraID>
      <start>0</start>
      <end>2</end>
      <status>ignored</status>
      <modifiedWord/>
      <trackRevisions>false</trackRevisions>
    </reviewItem>
    <reviewItem>
      <errorID>9e51bd56-097f-4ae6-b366-82a99e3c1722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3E104926</paraID>
      <start>0</start>
      <end>2</end>
      <status>ignored</status>
      <modifiedWord/>
      <trackRevisions>false</trackRevisions>
    </reviewItem>
    <reviewItem>
      <errorID>093da2a2-cbe6-4860-ac1d-7997d374f0bc</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2142D4E8</paraID>
      <start>0</start>
      <end>2</end>
      <status>ignored</status>
      <modifiedWord/>
      <trackRevisions>false</trackRevisions>
    </reviewItem>
    <reviewItem>
      <errorID>6417d0f7-09bb-4c3a-bcef-9691e496fa81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60B855F8</paraID>
      <start>2</start>
      <end>10</end>
      <status>ignored</status>
      <modifiedWord/>
      <trackRevisions>false</trackRevisions>
    </reviewItem>
    <reviewItem>
      <errorID>acd455d6-19f1-4403-89f4-c9b9404a1b0b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38773A0C</paraID>
      <start>2</start>
      <end>10</end>
      <status>ignored</status>
      <modifiedWord/>
      <trackRevisions>false</trackRevisions>
    </reviewItem>
    <reviewItem>
      <errorID>6278605d-40ac-4288-b5d0-ba0761d69bfd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12E10A3C</paraID>
      <start>2</start>
      <end>10</end>
      <status>ignored</status>
      <modifiedWord/>
      <trackRevisions>false</trackRevisions>
    </reviewItem>
    <reviewItem>
      <errorID>0aac38f4-2982-4b35-8608-f50539421607</errorID>
      <errorWord>年</errorWord>
      <group>L1_Word</group>
      <groupName>字词问题</groupName>
      <ability>L2_Typo</ability>
      <abilityName>字词错误</abilityName>
      <candidateList>
        <item>年度</item>
      </candidateList>
      <explain/>
      <paraID>704B7104</paraID>
      <start>11</start>
      <end>13</end>
      <status>modified</status>
      <modifiedWord>年度</modifiedWord>
      <trackRevisions>false</trackRevisions>
    </reviewItem>
    <reviewItem>
      <errorID>18315af9-b894-4bd1-a495-329ae35e87e0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3FD48844</paraID>
      <start>13</start>
      <end>15</end>
      <status>modified</status>
      <modifiedWord>》《</modifiedWord>
      <trackRevisions>false</trackRevisions>
    </reviewItem>
    <reviewItem>
      <errorID>6e39f4bf-e4fa-4632-88f7-1df7e2495e67</errorID>
      <errorWord>(</errorWord>
      <group>L1_Format</group>
      <groupName>格式问题</groupName>
      <ability>L2_HalfPunc</ability>
      <abilityName>全半角检查</abilityName>
      <candidateList>
        <item>（</item>
      </candidateList>
      <explain>文本全半角错误。</explain>
      <paraID>7CC3010A</paraID>
      <start>25</start>
      <end>26</end>
      <status>modified</status>
      <modifiedWord>（</modifiedWord>
      <trackRevisions>false</trackRevisions>
    </reviewItem>
    <reviewItem>
      <errorID>450ad978-8ec5-4ed7-8c9a-ef3153f88b46</errorID>
      <errorWord>)</errorWord>
      <group>L1_Format</group>
      <groupName>格式问题</groupName>
      <ability>L2_HalfPunc</ability>
      <abilityName>全半角检查</abilityName>
      <candidateList>
        <item>）</item>
      </candidateList>
      <explain>文本全半角错误。</explain>
      <paraID>7CC3010A</paraID>
      <start>29</start>
      <end>30</end>
      <status>modified</status>
      <modifiedWord>）</modifiedWord>
      <trackRevisions>false</trackRevisions>
    </reviewItem>
    <reviewItem>
      <errorID>21604c51-87ed-49e6-8b65-0b74bb63f56b</errorID>
      <errorWord>(</errorWord>
      <group>L1_Format</group>
      <groupName>格式问题</groupName>
      <ability>L2_HalfPunc</ability>
      <abilityName>全半角检查</abilityName>
      <candidateList>
        <item>（</item>
      </candidateList>
      <explain>文本全半角错误。</explain>
      <paraID>7CC3010A</paraID>
      <start>36</start>
      <end>37</end>
      <status>modified</status>
      <modifiedWord>（</modifiedWord>
      <trackRevisions>false</trackRevisions>
    </reviewItem>
    <reviewItem>
      <errorID>1288c80d-e50d-498a-9325-1a7d17af71ad</errorID>
      <errorWord>)</errorWord>
      <group>L1_Format</group>
      <groupName>格式问题</groupName>
      <ability>L2_HalfPunc</ability>
      <abilityName>全半角检查</abilityName>
      <candidateList>
        <item>）</item>
      </candidateList>
      <explain>文本全半角错误。</explain>
      <paraID>7CC3010A</paraID>
      <start>40</start>
      <end>41</end>
      <status>modified</status>
      <modifiedWord>）</modifiedWord>
      <trackRevisions>false</trackRevisions>
    </reviewItem>
    <reviewItem>
      <errorID>28df31dc-63a1-4958-9bf1-013be512fa2c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51724644</paraID>
      <start>0</start>
      <end>2</end>
      <status>ignored</status>
      <modifiedWord/>
      <trackRevisions>false</trackRevisions>
    </reviewItem>
    <reviewItem>
      <errorID>dfed9dd9-41c5-44ec-a033-ee66c34a8920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52AA0132</paraID>
      <start>0</start>
      <end>2</end>
      <status>ignored</status>
      <modifiedWord/>
      <trackRevisions>false</trackRevisions>
    </reviewItem>
    <reviewItem>
      <errorID>eebc2d5a-1e05-40c3-8a22-e78015af44ee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5BBC56AD</paraID>
      <start>0</start>
      <end>2</end>
      <status>ignored</status>
      <modifiedWord/>
      <trackRevisions>false</trackRevisions>
    </reviewItem>
    <reviewItem>
      <errorID>d0d24f44-cfb4-41d8-bb36-c508e2302742</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4E40C13D</paraID>
      <start>12</start>
      <end>18</end>
      <status>modified</status>
      <modifiedWord>“三公”经费</modifiedWord>
      <trackRevisions>false</trackRevisions>
    </reviewItem>
    <reviewItem>
      <errorID>1b65e246-e035-4c31-b291-aa584e5e1e83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1F5E813C</paraID>
      <start>0</start>
      <end>2</end>
      <status>ignored</status>
      <modifiedWord/>
      <trackRevisions>false</trackRevisions>
    </reviewItem>
    <reviewItem>
      <errorID>034b5c69-270e-4390-a01e-5aa7f350804f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70E7401F</paraID>
      <start>0</start>
      <end>2</end>
      <status>ignored</status>
      <modifiedWord/>
      <trackRevisions>false</trackRevisions>
    </reviewItem>
    <reviewItem>
      <errorID>4c927a67-d6b1-40a7-b477-799bc8be43f2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5249FAC8</paraID>
      <start>0</start>
      <end>2</end>
      <status>ignored</status>
      <modifiedWord/>
      <trackRevisions>false</trackRevisions>
    </reviewItem>
    <reviewItem>
      <errorID>48c87a60-dec2-4570-8469-7c7b334a4569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395F007A</paraID>
      <start>0</start>
      <end>2</end>
      <status>ignored</status>
      <modifiedWord/>
      <trackRevisions>false</trackRevisions>
    </reviewItem>
    <reviewItem>
      <errorID>6206a9c9-43f6-47fd-a9ef-27ec3ce150ac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37FBA72D</paraID>
      <start>0</start>
      <end>8</end>
      <status>ignored</status>
      <modifiedWord/>
      <trackRevisions>false</trackRevisions>
    </reviewItem>
    <reviewItem>
      <errorID>ec8efe43-b5c5-4883-ae82-293d606d467e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38E5BDB4</paraID>
      <start>0</start>
      <end>2</end>
      <status>ignored</status>
      <modifiedWord/>
      <trackRevisions>false</trackRevisions>
    </reviewItem>
    <reviewItem>
      <errorID>320b02d7-706d-4d8f-8e15-7dad18df0118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5D12D35C</paraID>
      <start>0</start>
      <end>2</end>
      <status>ignored</status>
      <modifiedWord/>
      <trackRevisions>false</trackRevisions>
    </reviewItem>
    <reviewItem>
      <errorID>93ec60f6-35dc-4cf0-9a29-7400d715038c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1C6AF841</paraID>
      <start>0</start>
      <end>2</end>
      <status>ignored</status>
      <modifiedWord/>
      <trackRevisions>false</trackRevisions>
    </reviewItem>
    <reviewItem>
      <errorID>bef967c4-89fa-4681-a9b6-4c16c9f14a0d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B50D78D</paraID>
      <start>0</start>
      <end>2</end>
      <status>ignored</status>
      <modifiedWord/>
      <trackRevisions>false</trackRevisions>
    </reviewItem>
    <reviewItem>
      <errorID>24c9bb00-3dd7-4934-a9bf-ad015f30fc3b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BA7EA01</paraID>
      <start>0</start>
      <end>2</end>
      <status>ignored</status>
      <modifiedWord/>
      <trackRevisions>false</trackRevisions>
    </reviewItem>
    <reviewItem>
      <errorID>9eaaf189-26ff-4b22-b955-1208e66e2243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BA7EA01</paraID>
      <start>24</start>
      <end>32</end>
      <status>ignored</status>
      <modifiedWord/>
      <trackRevisions>false</trackRevisions>
    </reviewItem>
    <reviewItem>
      <errorID>feb2dd77-4bac-4d05-b662-bd0e3cf79708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1D87F12</paraID>
      <start>0</start>
      <end>2</end>
      <status>ignored</status>
      <modifiedWord/>
      <trackRevisions>false</trackRevisions>
    </reviewItem>
    <reviewItem>
      <errorID>4cad015c-ba0d-4c57-ad81-4231d6b357fb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71926AD5</paraID>
      <start>0</start>
      <end>2</end>
      <status>ignored</status>
      <modifiedWord/>
      <trackRevisions>false</trackRevisions>
    </reviewItem>
    <reviewItem>
      <errorID>7302a3c6-208c-4ccf-9cec-1fa187b9e000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19D9AD8A</paraID>
      <start>0</start>
      <end>2</end>
      <status>ignored</status>
      <modifiedWord/>
      <trackRevisions>false</trackRevisions>
    </reviewItem>
    <reviewItem>
      <errorID>3ddbefb2-62ac-491a-8a0e-96f6fbc27418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784D9CD6</paraID>
      <start>0</start>
      <end>2</end>
      <status>ignored</status>
      <modifiedWord/>
      <trackRevisions>false</trackRevisions>
    </reviewItem>
    <reviewItem>
      <errorID>39486bee-d383-4618-9abf-03432bd2464b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379A2388</paraID>
      <start>0</start>
      <end>2</end>
      <status>ignored</status>
      <modifiedWord/>
      <trackRevisions>false</trackRevisions>
    </reviewItem>
    <reviewItem>
      <errorID>51f8b631-7167-47d4-af58-61ba35cc23b3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74884ACC</paraID>
      <start>0</start>
      <end>2</end>
      <status>ignored</status>
      <modifiedWord/>
      <trackRevisions>false</trackRevisions>
    </reviewItem>
    <reviewItem>
      <errorID>2c0334c7-1e87-4bd2-97c5-3a10aa91ccb7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60336AFC</paraID>
      <start>0</start>
      <end>2</end>
      <status>ignored</status>
      <modifiedWord/>
      <trackRevisions>false</trackRevisions>
    </reviewItem>
    <reviewItem>
      <errorID>7ffee399-5c6c-4b0e-b52b-1bc0fc1ecf78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ABD21B7</paraID>
      <start>0</start>
      <end>2</end>
      <status>ignored</status>
      <modifiedWord/>
      <trackRevisions>false</trackRevisions>
    </reviewItem>
    <reviewItem>
      <errorID>847548be-6e69-4bd9-9ffe-2200ae88e475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69592C2D</paraID>
      <start>2</start>
      <end>10</end>
      <status>ignored</status>
      <modifiedWord/>
      <trackRevisions>false</trackRevisions>
    </reviewItem>
    <reviewItem>
      <errorID>840fd530-ab25-4f6a-877c-1ee800fe0679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4FC756E7</paraID>
      <start>2</start>
      <end>10</end>
      <status>ignored</status>
      <modifiedWord/>
      <trackRevisions>false</trackRevisions>
    </reviewItem>
    <reviewItem>
      <errorID>366d0511-7df5-438b-8187-17ffa1ade63d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60FF1117</paraID>
      <start>2</start>
      <end>10</end>
      <status>ignored</status>
      <modifiedWord/>
      <trackRevisions>false</trackRevisions>
    </reviewItem>
    <reviewItem>
      <errorID>9f3872c3-eeda-494d-8e9f-737ce79df294</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74018C49</paraID>
      <start>13</start>
      <end>15</end>
      <status>modified</status>
      <modifiedWord>》《</modifiedWord>
      <trackRevisions>false</trackRevisions>
    </reviewItem>
    <reviewItem>
      <errorID>db85cc28-5333-40cc-919d-3cdbaaeca72b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5E72B07F</paraID>
      <start>0</start>
      <end>2</end>
      <status>ignored</status>
      <modifiedWord/>
      <trackRevisions>false</trackRevisions>
    </reviewItem>
    <reviewItem>
      <errorID>42311752-d687-47ab-bacb-4276fd4e73d8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458F5515</paraID>
      <start>0</start>
      <end>2</end>
      <status>ignored</status>
      <modifiedWord/>
      <trackRevisions>false</trackRevisions>
    </reviewItem>
    <reviewItem>
      <errorID>a19df253-00c5-4be5-8530-72d4e6cbf369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45567A21</paraID>
      <start>0</start>
      <end>2</end>
      <status>ignored</status>
      <modifiedWord/>
      <trackRevisions>false</trackRevisions>
    </reviewItem>
    <reviewItem>
      <errorID>700bf842-053a-414e-864a-bead6b7a2edc</errorID>
      <errorWord>)</errorWord>
      <group>L1_Format</group>
      <groupName>格式问题</groupName>
      <ability>L2_HalfPunc</ability>
      <abilityName>全半角检查</abilityName>
      <candidateList>
        <item>）</item>
      </candidateList>
      <explain>文本全半角错误。</explain>
      <paraID>73077DBD</paraID>
      <start>82</start>
      <end>83</end>
      <status>modified</status>
      <modifiedWord>）</modifiedWord>
      <trackRevisions>false</trackRevisions>
    </reviewItem>
    <reviewItem>
      <errorID>22c29b00-b8f0-48d8-8ed8-6c56ce0066b0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F898C22</paraID>
      <start>0</start>
      <end>2</end>
      <status>ignored</status>
      <modifiedWord/>
      <trackRevisions>false</trackRevisions>
    </reviewItem>
    <reviewItem>
      <errorID>a3fa9ff2-5e84-4bb5-ad4e-5d0f3e050791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200B5DEC</paraID>
      <start>0</start>
      <end>2</end>
      <status>ignored</status>
      <modifiedWord/>
      <trackRevisions>false</trackRevisions>
    </reviewItem>
    <reviewItem>
      <errorID>a43d1d06-82cf-4eb5-9bc2-9fc0a6fcd506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3E1ADFDF</paraID>
      <start>0</start>
      <end>2</end>
      <status>ignored</status>
      <modifiedWord/>
      <trackRevisions>false</trackRevisions>
    </reviewItem>
    <reviewItem>
      <errorID>0d20d236-f58a-42f9-809d-f2e4ba40d64d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16DD831</paraID>
      <start>0</start>
      <end>2</end>
      <status>ignored</status>
      <modifiedWord/>
      <trackRevisions>false</trackRevisions>
    </reviewItem>
    <reviewItem>
      <errorID>89d75bd3-e6c6-48aa-a9d3-1cf86dbf4f74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3C92421E</paraID>
      <start>0</start>
      <end>8</end>
      <status>ignored</status>
      <modifiedWord/>
      <trackRevisions>false</trackRevisions>
    </reviewItem>
    <reviewItem>
      <errorID>e02e049e-5711-4b06-ba57-9e9e37a9cd25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418209D4</paraID>
      <start>0</start>
      <end>2</end>
      <status>ignored</status>
      <modifiedWord/>
      <trackRevisions>false</trackRevisions>
    </reviewItem>
    <reviewItem>
      <errorID>c273b297-b2cc-4e83-8e9f-4619d2a6931f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4814B8B7</paraID>
      <start>0</start>
      <end>2</end>
      <status>ignored</status>
      <modifiedWord/>
      <trackRevisions>false</trackRevisions>
    </reviewItem>
    <reviewItem>
      <errorID>03b3a1a2-c829-4a30-b62f-a20a31327da2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467D3C2E</paraID>
      <start>0</start>
      <end>2</end>
      <status>ignored</status>
      <modifiedWord/>
      <trackRevisions>false</trackRevisions>
    </reviewItem>
    <reviewItem>
      <errorID>29609bac-2795-4a18-982f-6bc9fc89a774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20694381</paraID>
      <start>0</start>
      <end>2</end>
      <status>ignored</status>
      <modifiedWord/>
      <trackRevisions>false</trackRevisions>
    </reviewItem>
    <reviewItem>
      <errorID>8b3e1392-a970-4de0-a086-0c0a7744bfba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A88C46C</paraID>
      <start>0</start>
      <end>2</end>
      <status>ignored</status>
      <modifiedWord/>
      <trackRevisions>false</trackRevisions>
    </reviewItem>
    <reviewItem>
      <errorID>72483719-a4bc-4e37-a2c1-9b4754623ef1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A88C46C</paraID>
      <start>24</start>
      <end>32</end>
      <status>ignored</status>
      <modifiedWord/>
      <trackRevisions>false</trackRevisions>
    </reviewItem>
    <reviewItem>
      <errorID>298e5805-e781-4d0d-befb-63d1fdccd445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349CEF37</paraID>
      <start>0</start>
      <end>2</end>
      <status>ignored</status>
      <modifiedWord/>
      <trackRevisions>false</trackRevisions>
    </reviewItem>
    <reviewItem>
      <errorID>85adfc08-355c-430f-90ba-82ed5281c890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6FB4D6CC</paraID>
      <start>0</start>
      <end>2</end>
      <status>ignored</status>
      <modifiedWord/>
      <trackRevisions>false</trackRevisions>
    </reviewItem>
    <reviewItem>
      <errorID>41ad9eaf-a040-47e1-912c-4c5e6bc218ab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38946949</paraID>
      <start>0</start>
      <end>2</end>
      <status>ignored</status>
      <modifiedWord/>
      <trackRevisions>false</trackRevisions>
    </reviewItem>
    <reviewItem>
      <errorID>c5829a3e-d253-458b-a316-b995f2c8ea09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45E12183</paraID>
      <start>0</start>
      <end>2</end>
      <status>ignored</status>
      <modifiedWord/>
      <trackRevisions>false</trackRevisions>
    </reviewItem>
    <reviewItem>
      <errorID>04f3bdf2-48d7-4b86-b707-9807bf424efc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566161CB</paraID>
      <start>0</start>
      <end>2</end>
      <status>ignored</status>
      <modifiedWord/>
      <trackRevisions>false</trackRevisions>
    </reviewItem>
    <reviewItem>
      <errorID>f671b24c-dd38-4210-84f0-844dc5fe5c04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45C488E3</paraID>
      <start>0</start>
      <end>2</end>
      <status>ignored</status>
      <modifiedWord/>
      <trackRevisions>false</trackRevisions>
    </reviewItem>
    <reviewItem>
      <errorID>db9f6975-9281-48b1-97bf-a59db50d85c5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1CD72E48</paraID>
      <start>0</start>
      <end>2</end>
      <status>ignored</status>
      <modifiedWord/>
      <trackRevisions>false</trackRevisions>
    </reviewItem>
    <reviewItem>
      <errorID>b61ee1c6-76df-4dc6-a576-f09ede2b724c</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1C601DA4</paraID>
      <start>0</start>
      <end>2</end>
      <status>ignored</status>
      <modifiedWord/>
      <trackRevisions>false</trackRevisions>
    </reviewItem>
    <reviewItem>
      <errorID>774df5d6-fc28-4bf8-9648-353db70f5302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12F66E03</paraID>
      <start>2</start>
      <end>10</end>
      <status>ignored</status>
      <modifiedWord/>
      <trackRevisions>false</trackRevisions>
    </reviewItem>
    <reviewItem>
      <errorID>d31e5e50-d7a0-4e35-90cd-bbc52064fc8e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65F36C66</paraID>
      <start>2</start>
      <end>10</end>
      <status>ignored</status>
      <modifiedWord/>
      <trackRevisions>false</trackRevisions>
    </reviewItem>
    <reviewItem>
      <errorID>ed0ee3a7-8f96-4a92-82f8-5bd88114dfcf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750FC5CE</paraID>
      <start>2</start>
      <end>10</end>
      <status>ignored</status>
      <modifiedWord/>
      <trackRevisions>false</trackRevisions>
    </reviewItem>
    <reviewItem>
      <errorID>ba1c3383-2f59-4906-902f-2308b4861692</errorID>
      <errorWord>年</errorWord>
      <group>L1_Word</group>
      <groupName>字词问题</groupName>
      <ability>L2_Typo</ability>
      <abilityName>字词错误</abilityName>
      <candidateList>
        <item>年度</item>
      </candidateList>
      <explain/>
      <paraID>51A720C4</paraID>
      <start>11</start>
      <end>13</end>
      <status>modified</status>
      <modifiedWord>年度</modifiedWord>
      <trackRevisions>false</trackRevisions>
    </reviewItem>
    <reviewItem>
      <errorID>45255101-20fb-49fe-ab0c-568801564159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6B2ACF30</paraID>
      <start>13</start>
      <end>15</end>
      <status>modified</status>
      <modifiedWord>》《</modifiedWord>
      <trackRevisions>false</trackRevisions>
    </reviewItem>
    <reviewItem>
      <errorID>6638f195-d66c-4aa4-bf02-ffa1ac441721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7196F7A9</paraID>
      <start>0</start>
      <end>2</end>
      <status>ignored</status>
      <modifiedWord/>
      <trackRevisions>false</trackRevisions>
    </reviewItem>
    <reviewItem>
      <errorID>89bc271d-e6a6-40d3-9248-de7465f6e7f8</errorID>
      <errorWord>,</errorWord>
      <group>L1_Format</group>
      <groupName>格式问题</groupName>
      <ability>L2_HalfPunc</ability>
      <abilityName>全半角检查</abilityName>
      <candidateList>
        <item>，</item>
      </candidateList>
      <explain>文本全半角错误。</explain>
      <paraID> 1803DDC</paraID>
      <start>83</start>
      <end>84</end>
      <status>modified</status>
      <modifiedWord>，</modifiedWord>
      <trackRevisions>false</trackRevisions>
    </reviewItem>
    <reviewItem>
      <errorID>faa094dd-7b94-48cd-8ec1-e26b1ff51106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51E7170A</paraID>
      <start>0</start>
      <end>2</end>
      <status>ignored</status>
      <modifiedWord/>
      <trackRevisions>false</trackRevisions>
    </reviewItem>
    <reviewItem>
      <errorID>5556fe77-49be-48f6-9aa2-fb111564639f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42BC902C</paraID>
      <start>0</start>
      <end>2</end>
      <status>ignored</status>
      <modifiedWord/>
      <trackRevisions>false</trackRevisions>
    </reviewItem>
    <reviewItem>
      <errorID>8095eeb5-73ee-48ff-8e46-a173ee00919f</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280D25C5</paraID>
      <start>12</start>
      <end>18</end>
      <status>modified</status>
      <modifiedWord>“三公”经费</modifiedWord>
      <trackRevisions>false</trackRevisions>
    </reviewItem>
    <reviewItem>
      <errorID>4d3d11ca-5518-41c6-8b1e-9756a0e48cce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60B0EEC6</paraID>
      <start>0</start>
      <end>2</end>
      <status>ignored</status>
      <modifiedWord/>
      <trackRevisions>false</trackRevisions>
    </reviewItem>
    <reviewItem>
      <errorID>dfaee3cc-a9d7-42bc-9747-69ad05645e0d</errorID>
      <errorWord>保障保障</errorWord>
      <group>L1_Word</group>
      <groupName>字词问题</groupName>
      <ability>L2_Typo</ability>
      <abilityName>字词错误</abilityName>
      <candidateList>
        <item>保障</item>
      </candidateList>
      <explain/>
      <paraID>3CB76A03</paraID>
      <start>20</start>
      <end>22</end>
      <status>modified</status>
      <modifiedWord>保障</modifiedWord>
      <trackRevisions>false</trackRevisions>
    </reviewItem>
    <reviewItem>
      <errorID>7b9b75a8-479a-45ef-9173-8386e276a70a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67F50C16</paraID>
      <start>0</start>
      <end>2</end>
      <status>ignored</status>
      <modifiedWord/>
      <trackRevisions>false</trackRevisions>
    </reviewItem>
    <reviewItem>
      <errorID>176c9f8c-7015-4954-9684-ace31a991680</errorID>
      <errorWord>办人民满意的教育</errorWord>
      <group>L1_Political</group>
      <groupName>政治性问题</groupName>
      <ability>L2_Unpolitical</ability>
      <abilityName>政治敏感错误</abilityName>
      <candidateList>
        <item>办好人民满意的教育</item>
      </candidateList>
      <explain/>
      <paraID>2DF5FC6E</paraID>
      <start>26</start>
      <end>35</end>
      <status>modified</status>
      <modifiedWord>办好人民满意的教育</modifiedWord>
      <trackRevisions>false</trackRevisions>
    </reviewItem>
    <reviewItem>
      <errorID>63582cc1-059c-49a8-bc74-dfb7b72c6220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67A1D1C0</paraID>
      <start>0</start>
      <end>2</end>
      <status>ignored</status>
      <modifiedWord/>
      <trackRevisions>false</trackRevisions>
    </reviewItem>
    <reviewItem>
      <errorID>f593a674-95f7-482a-a9d0-0c7e7e7e3227</errorID>
      <errorWord>"</errorWord>
      <group>L1_Format</group>
      <groupName>格式问题</groupName>
      <ability>L2_HalfPunc</ability>
      <abilityName>全半角检查</abilityName>
      <candidateList/>
      <explain>文本全半角错误。</explain>
      <paraID>6C27A769</paraID>
      <start>0</start>
      <end>1</end>
      <status>unmodified</status>
      <modifiedWord/>
      <trackRevisions>false</trackRevisions>
    </reviewItem>
    <reviewItem>
      <errorID>800196e7-3d3e-4d93-a725-b1753b04be5d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105EECCD</paraID>
      <start>0</start>
      <end>2</end>
      <status>ignored</status>
      <modifiedWord/>
      <trackRevisions>false</trackRevisions>
    </reviewItem>
    <reviewItem>
      <errorID>48f98ebc-f22c-482c-8fae-7070ead65c90</errorID>
      <errorWord>"</errorWord>
      <group>L1_Format</group>
      <groupName>格式问题</groupName>
      <ability>L2_HalfPunc</ability>
      <abilityName>全半角检查</abilityName>
      <candidateList/>
      <explain>文本全半角错误。</explain>
      <paraID>20601C71</paraID>
      <start>0</start>
      <end>1</end>
      <status>unmodified</status>
      <modifiedWord/>
      <trackRevisions>false</trackRevisions>
    </reviewItem>
    <reviewItem>
      <errorID>3d56364b-40f5-4f0c-b05c-dcf3c62ba5d2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38BC985F</paraID>
      <start>0</start>
      <end>2</end>
      <status>ignored</status>
      <modifiedWord/>
      <trackRevisions>false</trackRevisions>
    </reviewItem>
    <reviewItem>
      <errorID>6313cb4e-10ab-4cc2-b1f9-cbe43242f829</errorID>
      <errorWord>办人民满意的教育</errorWord>
      <group>L1_Political</group>
      <groupName>政治性问题</groupName>
      <ability>L2_Unpolitical</ability>
      <abilityName>政治敏感错误</abilityName>
      <candidateList>
        <item>办好人民满意的教育</item>
      </candidateList>
      <explain/>
      <paraID>165FB2A6</paraID>
      <start>26</start>
      <end>35</end>
      <status>modified</status>
      <modifiedWord>办好人民满意的教育</modifiedWord>
      <trackRevisions>false</trackRevisions>
    </reviewItem>
    <reviewItem>
      <errorID>b9c13d4c-1ea4-46d9-9be5-c61fa7712c6e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1E3151F5</paraID>
      <start>0</start>
      <end>8</end>
      <status>ignored</status>
      <modifiedWord/>
      <trackRevisions>false</trackRevisions>
    </reviewItem>
    <reviewItem>
      <errorID>8061dd7e-2c4c-46cc-a816-a0407586ae61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7BEFFF1C</paraID>
      <start>0</start>
      <end>2</end>
      <status>ignored</status>
      <modifiedWord/>
      <trackRevisions>false</trackRevisions>
    </reviewItem>
    <reviewItem>
      <errorID>ae41b4eb-8d7a-4f96-bd26-e164bd760704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2FC63BE6</paraID>
      <start>0</start>
      <end>2</end>
      <status>ignored</status>
      <modifiedWord/>
      <trackRevisions>false</trackRevisions>
    </reviewItem>
    <reviewItem>
      <errorID>d902f72e-80b3-4070-96a9-58305274dab2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22B4D15B</paraID>
      <start>0</start>
      <end>2</end>
      <status>ignored</status>
      <modifiedWord/>
      <trackRevisions>false</trackRevisions>
    </reviewItem>
    <reviewItem>
      <errorID>6d50d304-9041-4d64-acbc-e4384e7267eb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7F919AC1</paraID>
      <start>0</start>
      <end>2</end>
      <status>ignored</status>
      <modifiedWord/>
      <trackRevisions>false</trackRevisions>
    </reviewItem>
    <reviewItem>
      <errorID>02727b03-38b0-4a28-9e5d-b8540067df3b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6E87D094</paraID>
      <start>0</start>
      <end>2</end>
      <status>ignored</status>
      <modifiedWord/>
      <trackRevisions>false</trackRevisions>
    </reviewItem>
    <reviewItem>
      <errorID>6ed70cf9-1b7e-4a12-a427-b561fcf66811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6E87D094</paraID>
      <start>24</start>
      <end>32</end>
      <status>ignored</status>
      <modifiedWord/>
      <trackRevisions>false</trackRevisions>
    </reviewItem>
    <reviewItem>
      <errorID>7473ad53-6927-4128-888f-24745dd57b21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4A06EC11</paraID>
      <start>0</start>
      <end>2</end>
      <status>ignored</status>
      <modifiedWord/>
      <trackRevisions>false</trackRevisions>
    </reviewItem>
    <reviewItem>
      <errorID>d194c1e9-44a1-463e-b06d-c6cb40d46017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6989028F</paraID>
      <start>0</start>
      <end>2</end>
      <status>ignored</status>
      <modifiedWord/>
      <trackRevisions>false</trackRevisions>
    </reviewItem>
    <reviewItem>
      <errorID>a357ea4e-52fe-48db-b34b-ea2a7490b4ad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6964B929</paraID>
      <start>0</start>
      <end>2</end>
      <status>ignored</status>
      <modifiedWord/>
      <trackRevisions>false</trackRevisions>
    </reviewItem>
    <reviewItem>
      <errorID>cd9617db-717f-40a5-8a83-c98384432522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4C0A374A</paraID>
      <start>0</start>
      <end>2</end>
      <status>ignored</status>
      <modifiedWord/>
      <trackRevisions>false</trackRevisions>
    </reviewItem>
    <reviewItem>
      <errorID>43b906f4-d7d4-4771-a095-b2afaeedd3ca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489B422E</paraID>
      <start>0</start>
      <end>2</end>
      <status>ignored</status>
      <modifiedWord/>
      <trackRevisions>false</trackRevisions>
    </reviewItem>
    <reviewItem>
      <errorID>d86a8e82-8e25-4fe5-bed0-6fee411f1b2a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77AFFC85</paraID>
      <start>0</start>
      <end>2</end>
      <status>ignored</status>
      <modifiedWord/>
      <trackRevisions>false</trackRevisions>
    </reviewItem>
    <reviewItem>
      <errorID>82acbb16-9471-4ea9-9663-9a5a53904e9a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2D4E1EAF</paraID>
      <start>0</start>
      <end>2</end>
      <status>ignored</status>
      <modifiedWord/>
      <trackRevisions>false</trackRevisions>
    </reviewItem>
    <reviewItem>
      <errorID>190fd752-bfde-4d5c-9c90-da5b71782478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2D5E9D07</paraID>
      <start>0</start>
      <end>2</end>
      <status>ignored</status>
      <modifiedWord/>
      <trackRevisions>false</trackRevisions>
    </reviewItem>
    <reviewItem>
      <errorID>4fc6ba07-c2f4-44ac-a571-02bf586120ba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2AFF7D02</paraID>
      <start>2</start>
      <end>10</end>
      <status>ignored</status>
      <modifiedWord/>
      <trackRevisions>false</trackRevisions>
    </reviewItem>
    <reviewItem>
      <errorID>69cd5a1f-9d3d-4153-8608-56fd63d8f8ba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8C32FF</paraID>
      <start>2</start>
      <end>10</end>
      <status>ignored</status>
      <modifiedWord/>
      <trackRevisions>false</trackRevisions>
    </reviewItem>
    <reviewItem>
      <errorID>a8f27c3a-d8e0-4842-8561-a9594ac3bb9a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1656805C</paraID>
      <start>2</start>
      <end>10</end>
      <status>ignored</status>
      <modifiedWord/>
      <trackRevisions>false</trackRevisions>
    </reviewItem>
    <reviewItem>
      <errorID>0b2d86ea-aec5-489e-9957-29774b2e25f0</errorID>
      <errorWord>年</errorWord>
      <group>L1_Word</group>
      <groupName>字词问题</groupName>
      <ability>L2_Typo</ability>
      <abilityName>字词错误</abilityName>
      <candidateList>
        <item>年度</item>
      </candidateList>
      <explain/>
      <paraID>6994E2B2</paraID>
      <start>13</start>
      <end>15</end>
      <status>modified</status>
      <modifiedWord>年度</modifiedWord>
      <trackRevisions>false</trackRevisions>
    </reviewItem>
    <reviewItem>
      <errorID>191c1909-3168-454a-b8f2-73e3598bd4a6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163498BC</paraID>
      <start>13</start>
      <end>15</end>
      <status>modified</status>
      <modifiedWord>》《</modifiedWord>
      <trackRevisions>false</trackRevisions>
    </reviewItem>
    <reviewItem>
      <errorID>4552649d-2240-4614-a904-2219faceca46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2AB4B181</paraID>
      <start>0</start>
      <end>2</end>
      <status>ignored</status>
      <modifiedWord/>
      <trackRevisions>false</trackRevisions>
    </reviewItem>
    <reviewItem>
      <errorID>04d18d7d-0eb9-45c5-a21b-d3ccdcd7a01f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638F65BB</paraID>
      <start>0</start>
      <end>2</end>
      <status>ignored</status>
      <modifiedWord/>
      <trackRevisions>false</trackRevisions>
    </reviewItem>
    <reviewItem>
      <errorID>44993b4e-85cf-4dec-b242-6eeb73b77892</errorID>
      <errorWord>年</errorWord>
      <group>L1_Word</group>
      <groupName>字词问题</groupName>
      <ability>L2_Typo</ability>
      <abilityName>字词错误</abilityName>
      <candidateList>
        <item>年度</item>
      </candidateList>
      <explain/>
      <paraID>389C5B6C</paraID>
      <start>49</start>
      <end>51</end>
      <status>modified</status>
      <modifiedWord>年度</modifiedWord>
      <trackRevisions>false</trackRevisions>
    </reviewItem>
    <reviewItem>
      <errorID>c3dfa2cc-fe24-459f-981e-51323fc9d3b0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BB637EB</paraID>
      <start>0</start>
      <end>2</end>
      <status>ignored</status>
      <modifiedWord/>
      <trackRevisions>false</trackRevisions>
    </reviewItem>
    <reviewItem>
      <errorID>48baa604-5675-4d56-946c-4b02d31725aa</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2D0F6707</paraID>
      <start>6</start>
      <end>12</end>
      <status>modified</status>
      <modifiedWord>“三公”经费</modifiedWord>
      <trackRevisions>false</trackRevisions>
    </reviewItem>
    <reviewItem>
      <errorID>38c32dc1-9c68-48fc-a39b-8179d7126999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5C26FBD0</paraID>
      <start>0</start>
      <end>2</end>
      <status>ignored</status>
      <modifiedWord/>
      <trackRevisions>false</trackRevisions>
    </reviewItem>
    <reviewItem>
      <errorID>ee00d14f-eaf4-4a89-8510-1e7a329a73e8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3D3B16CB</paraID>
      <start>0</start>
      <end>2</end>
      <status>ignored</status>
      <modifiedWord/>
      <trackRevisions>false</trackRevisions>
    </reviewItem>
    <reviewItem>
      <errorID>bed5fe64-6ca3-481a-a62d-03a64fd19810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7EF1F420</paraID>
      <start>0</start>
      <end>2</end>
      <status>ignored</status>
      <modifiedWord/>
      <trackRevisions>false</trackRevisions>
    </reviewItem>
    <reviewItem>
      <errorID>e98d8464-757e-4d9a-ab8d-580970965a80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6CBA56C6</paraID>
      <start>0</start>
      <end>2</end>
      <status>ignored</status>
      <modifiedWord/>
      <trackRevisions>false</trackRevisions>
    </reviewItem>
    <reviewItem>
      <errorID>05174190-8089-4768-81b9-6b2638a5a425</errorID>
      <errorWord>"</errorWord>
      <group>L1_Format</group>
      <groupName>格式问题</groupName>
      <ability>L2_HalfPunc</ability>
      <abilityName>全半角检查</abilityName>
      <candidateList>
        <item>”</item>
      </candidateList>
      <explain>文本全半角错误。</explain>
      <paraID>74A693DA</paraID>
      <start>2</start>
      <end>3</end>
      <status>modified</status>
      <modifiedWord>”</modifiedWord>
      <trackRevisions>false</trackRevisions>
    </reviewItem>
    <reviewItem>
      <errorID>cb9f222c-e7ec-4ca2-bf3c-ba9af3ca6233</errorID>
      <errorWord>"</errorWord>
      <group>L1_Format</group>
      <groupName>格式问题</groupName>
      <ability>L2_HalfPunc</ability>
      <abilityName>全半角检查</abilityName>
      <candidateList/>
      <explain>文本全半角错误。</explain>
      <paraID>218DA117</paraID>
      <start>2</start>
      <end>3</end>
      <status>unmodified</status>
      <modifiedWord/>
      <trackRevisions>false</trackRevisions>
    </reviewItem>
    <reviewItem>
      <errorID>28f39163-6ee1-4436-a7a3-5272c23b07bd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53CE7584</paraID>
      <start>0</start>
      <end>2</end>
      <status>ignored</status>
      <modifiedWord/>
      <trackRevisions>false</trackRevisions>
    </reviewItem>
    <reviewItem>
      <errorID>a31526bc-07c1-42b4-9c2f-8a4a16616006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297A62FB</paraID>
      <start>0</start>
      <end>2</end>
      <status>ignored</status>
      <modifiedWord/>
      <trackRevisions>false</trackRevisions>
    </reviewItem>
    <reviewItem>
      <errorID>73d4f181-852d-4e95-a590-36b67c86f938</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34DBA45</paraID>
      <start>0</start>
      <end>2</end>
      <status>ignored</status>
      <modifiedWord/>
      <trackRevisions>false</trackRevisions>
    </reviewItem>
    <reviewItem>
      <errorID>6df42c1a-bbb2-4884-bc29-626622d98e83</errorID>
      <errorWord>好</errorWord>
      <group>L1_Word</group>
      <groupName>字词问题</groupName>
      <ability>L2_Typo</ability>
      <abilityName>字词错误</abilityName>
      <candidateList>
        <item>好地</item>
      </candidateList>
      <explain/>
      <paraID>3C7ADF56</paraID>
      <start>17</start>
      <end>19</end>
      <status>modified</status>
      <modifiedWord>好地</modifiedWord>
      <trackRevisions>false</trackRevisions>
    </reviewItem>
    <reviewItem>
      <errorID>4bd35dc4-10e2-4321-b4e8-fd80f273fe97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1F8C00B6</paraID>
      <start>0</start>
      <end>2</end>
      <status>ignored</status>
      <modifiedWord/>
      <trackRevisions>false</trackRevisions>
    </reviewItem>
    <reviewItem>
      <errorID>84002598-0ec1-4dc6-9ffb-fddfcbf8ae07</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3D67608</paraID>
      <start>0</start>
      <end>2</end>
      <status>ignored</status>
      <modifiedWord/>
      <trackRevisions>false</trackRevisions>
    </reviewItem>
    <reviewItem>
      <errorID>92516d59-a3ea-4402-b3f0-15ae424e931a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692CAF29</paraID>
      <start>0</start>
      <end>8</end>
      <status>ignored</status>
      <modifiedWord/>
      <trackRevisions>false</trackRevisions>
    </reviewItem>
    <reviewItem>
      <errorID>e4bb98c5-a4c5-40d8-a74e-b6c61d54736e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440A82D8</paraID>
      <start>0</start>
      <end>2</end>
      <status>ignored</status>
      <modifiedWord/>
      <trackRevisions>false</trackRevisions>
    </reviewItem>
    <reviewItem>
      <errorID>09d52f97-0244-4870-a89d-27038964b12f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1D9ED322</paraID>
      <start>0</start>
      <end>2</end>
      <status>ignored</status>
      <modifiedWord/>
      <trackRevisions>false</trackRevisions>
    </reviewItem>
    <reviewItem>
      <errorID>8176ba0c-1805-4b01-acd1-4c40e4cf15c4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53F36F6</paraID>
      <start>0</start>
      <end>2</end>
      <status>ignored</status>
      <modifiedWord/>
      <trackRevisions>false</trackRevisions>
    </reviewItem>
    <reviewItem>
      <errorID>89fcef52-8d04-4f03-acc1-1c5930d4425e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6E6C2FAE</paraID>
      <start>0</start>
      <end>2</end>
      <status>ignored</status>
      <modifiedWord/>
      <trackRevisions>false</trackRevisions>
    </reviewItem>
    <reviewItem>
      <errorID>7a1568b9-3133-40c6-8a45-39003c5d1f54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47E491EC</paraID>
      <start>0</start>
      <end>2</end>
      <status>ignored</status>
      <modifiedWord/>
      <trackRevisions>false</trackRevisions>
    </reviewItem>
    <reviewItem>
      <errorID>ab3a10cf-8c59-47e8-a447-97a7501cd7c8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47E491EC</paraID>
      <start>24</start>
      <end>32</end>
      <status>ignored</status>
      <modifiedWord/>
      <trackRevisions>false</trackRevisions>
    </reviewItem>
    <reviewItem>
      <errorID>0568eac6-b8a3-4f08-a5b6-b3d21094e2f2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213574CD</paraID>
      <start>0</start>
      <end>2</end>
      <status>ignored</status>
      <modifiedWord/>
      <trackRevisions>false</trackRevisions>
    </reviewItem>
    <reviewItem>
      <errorID>e4e360aa-c10c-46d3-a043-e0ddfb41468d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258818D</paraID>
      <start>0</start>
      <end>2</end>
      <status>ignored</status>
      <modifiedWord/>
      <trackRevisions>false</trackRevisions>
    </reviewItem>
    <reviewItem>
      <errorID>c011a92b-fd5c-4807-b04d-cfd96262d601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1738D122</paraID>
      <start>0</start>
      <end>2</end>
      <status>ignored</status>
      <modifiedWord/>
      <trackRevisions>false</trackRevisions>
    </reviewItem>
    <reviewItem>
      <errorID>a2219365-11bf-48b1-bae0-765a10df594c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71F50ABA</paraID>
      <start>0</start>
      <end>2</end>
      <status>ignored</status>
      <modifiedWord/>
      <trackRevisions>false</trackRevisions>
    </reviewItem>
    <reviewItem>
      <errorID>30ef7054-0b02-4e3b-b929-ca97cf59defc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4A6A4BF</paraID>
      <start>0</start>
      <end>2</end>
      <status>ignored</status>
      <modifiedWord/>
      <trackRevisions>false</trackRevisions>
    </reviewItem>
    <reviewItem>
      <errorID>57bab390-cf58-446d-bc90-86269f641a51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4D1948E6</paraID>
      <start>0</start>
      <end>2</end>
      <status>ignored</status>
      <modifiedWord/>
      <trackRevisions>false</trackRevisions>
    </reviewItem>
    <reviewItem>
      <errorID>ddc31475-b332-44d3-9cbf-43e03b2f43b6</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12F20916</paraID>
      <start>0</start>
      <end>2</end>
      <status>ignored</status>
      <modifiedWord/>
      <trackRevisions>false</trackRevisions>
    </reviewItem>
    <reviewItem>
      <errorID>e0cd84c9-1690-4214-8ba2-f5384bc220ad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4521C84E</paraID>
      <start>0</start>
      <end>2</end>
      <status>ignored</status>
      <modifiedWord/>
      <trackRevisions>false</trackRevisions>
    </reviewItem>
    <reviewItem>
      <errorID>83ea8920-2f6a-43b0-92dc-1498dcaeff8f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4E20DF5E</paraID>
      <start>2</start>
      <end>10</end>
      <status>ignored</status>
      <modifiedWord/>
      <trackRevisions>false</trackRevisions>
    </reviewItem>
    <reviewItem>
      <errorID>0dd9234a-1b61-40b5-abf2-0001aea49146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4B05B45</paraID>
      <start>2</start>
      <end>10</end>
      <status>ignored</status>
      <modifiedWord/>
      <trackRevisions>false</trackRevisions>
    </reviewItem>
    <reviewItem>
      <errorID>54c22c70-4586-4797-b97c-84558be08ffe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3C5EA400</paraID>
      <start>2</start>
      <end>10</end>
      <status>ignored</status>
      <modifiedWord/>
      <trackRevisions>false</trackRevisions>
    </reviewItem>
    <reviewItem>
      <errorID>d6fa8321-5e19-4259-bbbf-93fd26dd6050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597C08EB</paraID>
      <start>13</start>
      <end>15</end>
      <status>modified</status>
      <modifiedWord>》《</modifiedWord>
      <trackRevisions>false</trackRevisions>
    </reviewItem>
    <reviewItem>
      <errorID>7c95efb6-68be-4952-b2c2-1664411dd195</errorID>
      <errorWord>．</errorWord>
      <group>L1_Format</group>
      <groupName>格式问题</groupName>
      <ability>L2_HalfPunc</ability>
      <abilityName>全半角检查</abilityName>
      <candidateList>
        <item>。</item>
      </candidateList>
      <explain>文本全半角错误。</explain>
      <paraID> 8A7095A</paraID>
      <start>25</start>
      <end>26</end>
      <status>modified</status>
      <modifiedWord>。</modifiedWord>
      <trackRevisions>false</trackRevisions>
    </reviewItem>
    <reviewItem>
      <errorID>869b4771-0a3a-4f5b-8a8a-44a464a4424a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7C6D68C4</paraID>
      <start>0</start>
      <end>2</end>
      <status>ignored</status>
      <modifiedWord/>
      <trackRevisions>false</trackRevisions>
    </reviewItem>
    <reviewItem>
      <errorID>4defa318-092d-41cb-a904-a6f219e6406c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116895E3</paraID>
      <start>0</start>
      <end>2</end>
      <status>ignored</status>
      <modifiedWord/>
      <trackRevisions>false</trackRevisions>
    </reviewItem>
    <reviewItem>
      <errorID>5ccba50a-0a41-4f5f-94ae-3087ed7b000a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6F92D8D3</paraID>
      <start>0</start>
      <end>2</end>
      <status>ignored</status>
      <modifiedWord/>
      <trackRevisions>false</trackRevisions>
    </reviewItem>
    <reviewItem>
      <errorID>10a74668-718a-48c9-8aba-7b839d3f313f</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  1EBDD7</paraID>
      <start>12</start>
      <end>18</end>
      <status>modified</status>
      <modifiedWord>“三公”经费</modifiedWord>
      <trackRevisions>false</trackRevisions>
    </reviewItem>
    <reviewItem>
      <errorID>d420fc72-afeb-4bc8-8d7f-00a14e4845fa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69383F84</paraID>
      <start>0</start>
      <end>8</end>
      <status>ignored</status>
      <modifiedWord/>
      <trackRevisions>false</trackRevisions>
    </reviewItem>
    <reviewItem>
      <errorID>69a55733-07f0-4000-8619-dc72a01979df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2EB12E21</paraID>
      <start>0</start>
      <end>2</end>
      <status>ignored</status>
      <modifiedWord/>
      <trackRevisions>false</trackRevisions>
    </reviewItem>
    <reviewItem>
      <errorID>aae2f06c-f605-4dd4-8cac-9efa8af7685e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53A8AD34</paraID>
      <start>0</start>
      <end>2</end>
      <status>ignored</status>
      <modifiedWord/>
      <trackRevisions>false</trackRevisions>
    </reviewItem>
    <reviewItem>
      <errorID>50ec033d-7ac7-4fd0-ab62-779d78bf141f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3921A368</paraID>
      <start>0</start>
      <end>2</end>
      <status>ignored</status>
      <modifiedWord/>
      <trackRevisions>false</trackRevisions>
    </reviewItem>
    <reviewItem>
      <errorID>eb7f5870-522f-4610-a5fa-76e87f027f14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4400B79E</paraID>
      <start>0</start>
      <end>2</end>
      <status>ignored</status>
      <modifiedWord/>
      <trackRevisions>false</trackRevisions>
    </reviewItem>
    <reviewItem>
      <errorID>01d737ca-849a-455a-be7e-94c08b77125a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5BC0F74C</paraID>
      <start>0</start>
      <end>2</end>
      <status>ignored</status>
      <modifiedWord/>
      <trackRevisions>false</trackRevisions>
    </reviewItem>
    <reviewItem>
      <errorID>84ed1e23-21dc-4270-a7ff-15d1eb0ba316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5BC0F74C</paraID>
      <start>24</start>
      <end>32</end>
      <status>ignored</status>
      <modifiedWord/>
      <trackRevisions>false</trackRevisions>
    </reviewItem>
    <reviewItem>
      <errorID>cf7b1447-fa04-4e44-9b57-89141dda4e5c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C931F1B</paraID>
      <start>0</start>
      <end>2</end>
      <status>ignored</status>
      <modifiedWord/>
      <trackRevisions>false</trackRevisions>
    </reviewItem>
    <reviewItem>
      <errorID>4b05bbee-3621-4fa6-ae3c-0c32ef124c25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2543EFAD</paraID>
      <start>0</start>
      <end>2</end>
      <status>ignored</status>
      <modifiedWord/>
      <trackRevisions>false</trackRevisions>
    </reviewItem>
    <reviewItem>
      <errorID>cb2cc863-2410-4fd7-8b63-259bafd29203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53478BAE</paraID>
      <start>0</start>
      <end>2</end>
      <status>ignored</status>
      <modifiedWord/>
      <trackRevisions>false</trackRevisions>
    </reviewItem>
    <reviewItem>
      <errorID>c6417a0d-cded-4d8a-a8d2-28b064c913d7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4BB8BE9F</paraID>
      <start>0</start>
      <end>2</end>
      <status>ignored</status>
      <modifiedWord/>
      <trackRevisions>false</trackRevisions>
    </reviewItem>
    <reviewItem>
      <errorID>d62cce7a-4db8-4410-ad6d-ba65875733e8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1956B73D</paraID>
      <start>0</start>
      <end>2</end>
      <status>ignored</status>
      <modifiedWord/>
      <trackRevisions>false</trackRevisions>
    </reviewItem>
    <reviewItem>
      <errorID>bdd51883-88b9-48e6-84ea-435bab5f6061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5854413E</paraID>
      <start>0</start>
      <end>2</end>
      <status>ignored</status>
      <modifiedWord/>
      <trackRevisions>false</trackRevisions>
    </reviewItem>
    <reviewItem>
      <errorID>e6f50743-f04f-4935-a660-9891cd4b7291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4184DACB</paraID>
      <start>0</start>
      <end>2</end>
      <status>ignored</status>
      <modifiedWord/>
      <trackRevisions>false</trackRevisions>
    </reviewItem>
    <reviewItem>
      <errorID>3a5c0f62-6f38-4df7-a156-4534afc21026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54B3B7C3</paraID>
      <start>0</start>
      <end>2</end>
      <status>ignored</status>
      <modifiedWord/>
      <trackRevisions>false</trackRevisions>
    </reviewItem>
    <reviewItem>
      <errorID>79f220f4-662d-4146-9d29-385f8226536b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7C8E0D0F</paraID>
      <start>2</start>
      <end>10</end>
      <status>ignored</status>
      <modifiedWord/>
      <trackRevisions>false</trackRevisions>
    </reviewItem>
    <reviewItem>
      <errorID>bc2ad22c-b8b2-4c74-9e6e-2ee99dcdc733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17CCD5E2</paraID>
      <start>2</start>
      <end>10</end>
      <status>ignored</status>
      <modifiedWord/>
      <trackRevisions>false</trackRevisions>
    </reviewItem>
    <reviewItem>
      <errorID>130b4c96-d441-457a-9895-6323dd969672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5D826C9C</paraID>
      <start>2</start>
      <end>10</end>
      <status>ignored</status>
      <modifiedWord/>
      <trackRevisions>false</trackRevisions>
    </reviewItem>
    <reviewItem>
      <errorID>665a5a15-2f81-4f78-983f-9c336ec2505d</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6AED3F28</paraID>
      <start>13</start>
      <end>15</end>
      <status>modified</status>
      <modifiedWord>》《</modifiedWord>
      <trackRevisions>false</trackRevisions>
    </reviewItem>
    <reviewItem>
      <errorID>0eae3ebd-a71e-46c2-beed-81a27ce2e943</errorID>
      <errorWord>．</errorWord>
      <group>L1_Format</group>
      <groupName>格式问题</groupName>
      <ability>L2_HalfPunc</ability>
      <abilityName>全半角检查</abilityName>
      <candidateList>
        <item>。</item>
      </candidateList>
      <explain>文本全半角错误。</explain>
      <paraID> 2725B0F</paraID>
      <start>16</start>
      <end>17</end>
      <status>modified</status>
      <modifiedWord>。</modifiedWord>
      <trackRevisions>false</trackRevisions>
    </reviewItem>
    <reviewItem>
      <errorID>7d8fdd15-62a1-4e10-a909-2e98794adf4c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14A11A96</paraID>
      <start>0</start>
      <end>2</end>
      <status>ignored</status>
      <modifiedWord/>
      <trackRevisions>false</trackRevisions>
    </reviewItem>
    <reviewItem>
      <errorID>aad69ce5-ddcc-4f5e-b8d0-a64ae386d3c4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276E92F5</paraID>
      <start>0</start>
      <end>2</end>
      <status>ignored</status>
      <modifiedWord/>
      <trackRevisions>false</trackRevisions>
    </reviewItem>
    <reviewItem>
      <errorID>98b5ea52-fa6a-4eba-839e-0c65f5bb0d55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482C3B5</paraID>
      <start>0</start>
      <end>2</end>
      <status>ignored</status>
      <modifiedWord/>
      <trackRevisions>false</trackRevisions>
    </reviewItem>
    <reviewItem>
      <errorID>abf34ac2-2b55-404a-aab6-8a9d3943f3a5</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 B2B2A26</paraID>
      <start>6</start>
      <end>12</end>
      <status>modified</status>
      <modifiedWord>“三公”经费</modifiedWord>
      <trackRevisions>false</trackRevisions>
    </reviewItem>
    <reviewItem>
      <errorID>b62df862-4f14-4ae8-ad50-e6173cbcb6c3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6EAEABB9</paraID>
      <start>0</start>
      <end>2</end>
      <status>ignored</status>
      <modifiedWord/>
      <trackRevisions>false</trackRevisions>
    </reviewItem>
    <reviewItem>
      <errorID>2246dd64-e802-4046-8e8f-93fdcf6e1f4f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39044276</paraID>
      <start>0</start>
      <end>2</end>
      <status>ignored</status>
      <modifiedWord/>
      <trackRevisions>false</trackRevisions>
    </reviewItem>
    <reviewItem>
      <errorID>13574f7a-2248-49ab-91e2-12fb0254bbe9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62FADD53</paraID>
      <start>0</start>
      <end>2</end>
      <status>ignored</status>
      <modifiedWord/>
      <trackRevisions>false</trackRevisions>
    </reviewItem>
    <reviewItem>
      <errorID>859f9b95-43f9-45dc-a170-684056f27188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228D51D9</paraID>
      <start>0</start>
      <end>2</end>
      <status>ignored</status>
      <modifiedWord/>
      <trackRevisions>false</trackRevisions>
    </reviewItem>
    <reviewItem>
      <errorID>5094dcb4-c6aa-4d64-97e7-eb157b578f58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2F3CC86</paraID>
      <start>0</start>
      <end>2</end>
      <status>ignored</status>
      <modifiedWord/>
      <trackRevisions>false</trackRevisions>
    </reviewItem>
    <reviewItem>
      <errorID>4e14b0d8-4f41-4ee5-8b9b-663f3dd99a1d</errorID>
      <errorWord>行</errorWord>
      <group>L1_Word</group>
      <groupName>字词问题</groupName>
      <ability>L2_Typo</ability>
      <abilityName>字词错误</abilityName>
      <candidateList>
        <item>行资</item>
      </candidateList>
      <explain/>
      <paraID>6F7A93D7</paraID>
      <start>13</start>
      <end>15</end>
      <status>modified</status>
      <modifiedWord>行资</modifiedWord>
      <trackRevisions>false</trackRevisions>
    </reviewItem>
    <reviewItem>
      <errorID>ab9d3a4c-879a-4151-9f72-2b80f7222332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1FCD1258</paraID>
      <start>0</start>
      <end>2</end>
      <status>ignored</status>
      <modifiedWord/>
      <trackRevisions>false</trackRevisions>
    </reviewItem>
    <reviewItem>
      <errorID>099fb7cc-dca9-4027-afdf-d9af6c69fd4e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75414C7A</paraID>
      <start>0</start>
      <end>8</end>
      <status>ignored</status>
      <modifiedWord/>
      <trackRevisions>false</trackRevisions>
    </reviewItem>
    <reviewItem>
      <errorID>2571e7f4-9657-4f9d-943f-0cd955a430df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28C2D1BA</paraID>
      <start>0</start>
      <end>2</end>
      <status>ignored</status>
      <modifiedWord/>
      <trackRevisions>false</trackRevisions>
    </reviewItem>
    <reviewItem>
      <errorID>2de60750-daa7-40ac-88ac-d812cd6ce7a3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50EE9E3A</paraID>
      <start>0</start>
      <end>2</end>
      <status>ignored</status>
      <modifiedWord/>
      <trackRevisions>false</trackRevisions>
    </reviewItem>
    <reviewItem>
      <errorID>77ae9e4f-b8c4-49b2-827d-8895aeab2a67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5FD8CCF7</paraID>
      <start>0</start>
      <end>2</end>
      <status>ignored</status>
      <modifiedWord/>
      <trackRevisions>false</trackRevisions>
    </reviewItem>
    <reviewItem>
      <errorID>d7daf5f5-46d5-47c0-b74c-ae23ecb2f389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76B646A9</paraID>
      <start>0</start>
      <end>2</end>
      <status>ignored</status>
      <modifiedWord/>
      <trackRevisions>false</trackRevisions>
    </reviewItem>
    <reviewItem>
      <errorID>9ea96d25-8cac-46f6-85b5-410a7c0829c9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45CEB226</paraID>
      <start>0</start>
      <end>2</end>
      <status>ignored</status>
      <modifiedWord/>
      <trackRevisions>false</trackRevisions>
    </reviewItem>
    <reviewItem>
      <errorID>b95248f4-802f-4aaa-81f7-c1b055c9e1e5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45CEB226</paraID>
      <start>24</start>
      <end>32</end>
      <status>ignored</status>
      <modifiedWord/>
      <trackRevisions>false</trackRevisions>
    </reviewItem>
    <reviewItem>
      <errorID>be08ada5-fc6d-4627-b3e1-856ed3f0838f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59350404</paraID>
      <start>0</start>
      <end>2</end>
      <status>ignored</status>
      <modifiedWord/>
      <trackRevisions>false</trackRevisions>
    </reviewItem>
    <reviewItem>
      <errorID>c17d81ac-b97a-442c-8d15-bf8e5628e662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36E0EA8E</paraID>
      <start>0</start>
      <end>2</end>
      <status>ignored</status>
      <modifiedWord/>
      <trackRevisions>false</trackRevisions>
    </reviewItem>
    <reviewItem>
      <errorID>b475681a-d491-437e-93ef-019a01e3d0a6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1B5EC18F</paraID>
      <start>0</start>
      <end>2</end>
      <status>ignored</status>
      <modifiedWord/>
      <trackRevisions>false</trackRevisions>
    </reviewItem>
    <reviewItem>
      <errorID>afce85bc-1a5a-4145-9c1c-5f5c27efafee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FDC3DB9</paraID>
      <start>0</start>
      <end>2</end>
      <status>ignored</status>
      <modifiedWord/>
      <trackRevisions>false</trackRevisions>
    </reviewItem>
    <reviewItem>
      <errorID>924fd90a-7f66-4779-908c-683a29b0c4cb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5555D477</paraID>
      <start>0</start>
      <end>2</end>
      <status>ignored</status>
      <modifiedWord/>
      <trackRevisions>false</trackRevisions>
    </reviewItem>
    <reviewItem>
      <errorID>ed8a2a08-884c-4e66-ab67-3239f4f6a72a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90BB8C4</paraID>
      <start>0</start>
      <end>2</end>
      <status>ignored</status>
      <modifiedWord/>
      <trackRevisions>false</trackRevisions>
    </reviewItem>
    <reviewItem>
      <errorID>82963527-42b9-4300-a592-5d8ccac66db2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32F94B98</paraID>
      <start>0</start>
      <end>2</end>
      <status>ignored</status>
      <modifiedWord/>
      <trackRevisions>false</trackRevisions>
    </reviewItem>
    <reviewItem>
      <errorID>5c601b07-c08e-4c4b-b5e6-72e4994f1d75</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529E7E04</paraID>
      <start>0</start>
      <end>2</end>
      <status>ignored</status>
      <modifiedWord/>
      <trackRevisions>false</trackRevisions>
    </reviewItem>
    <reviewItem>
      <errorID>80adaff1-c08c-4f14-bd80-81db1e08ec60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48978BFB</paraID>
      <start>2</start>
      <end>10</end>
      <status>ignored</status>
      <modifiedWord/>
      <trackRevisions>false</trackRevisions>
    </reviewItem>
    <reviewItem>
      <errorID>d7555f83-957a-409f-96f3-2d90962eb84b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1CAA036D</paraID>
      <start>2</start>
      <end>10</end>
      <status>ignored</status>
      <modifiedWord/>
      <trackRevisions>false</trackRevisions>
    </reviewItem>
    <reviewItem>
      <errorID>05517b69-5f39-42e3-9073-7aea915193ec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608501EB</paraID>
      <start>2</start>
      <end>10</end>
      <status>ignored</status>
      <modifiedWord/>
      <trackRevisions>false</trackRevisions>
    </reviewItem>
    <reviewItem>
      <errorID>eb2fbc53-b4f2-41b0-a51b-e925b86f39b3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1325D343</paraID>
      <start>13</start>
      <end>15</end>
      <status>modified</status>
      <modifiedWord>》《</modifiedWord>
      <trackRevisions>false</trackRevisions>
    </reviewItem>
    <reviewItem>
      <errorID>fd27b03d-5704-4c01-97f8-96e195472ee0</errorID>
      <errorWord>．</errorWord>
      <group>L1_Format</group>
      <groupName>格式问题</groupName>
      <ability>L2_HalfPunc</ability>
      <abilityName>全半角检查</abilityName>
      <candidateList>
        <item>。</item>
      </candidateList>
      <explain>文本全半角错误。</explain>
      <paraID>7F5988C1</paraID>
      <start>17</start>
      <end>18</end>
      <status>modified</status>
      <modifiedWord>。</modifiedWord>
      <trackRevisions>false</trackRevisions>
    </reviewItem>
    <reviewItem>
      <errorID>62c3881e-4ec4-4a86-aeec-0f7999fecaf6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47F918AC</paraID>
      <start>0</start>
      <end>2</end>
      <status>ignored</status>
      <modifiedWord/>
      <trackRevisions>false</trackRevisions>
    </reviewItem>
    <reviewItem>
      <errorID>ff301dd2-09ef-486d-98d9-c6b403b24a2d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4F4EDBA5</paraID>
      <start>0</start>
      <end>2</end>
      <status>ignored</status>
      <modifiedWord/>
      <trackRevisions>false</trackRevisions>
    </reviewItem>
    <reviewItem>
      <errorID>3a90b7f5-0094-43a2-87d1-a547ab5eb812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5ACF4838</paraID>
      <start>0</start>
      <end>2</end>
      <status>ignored</status>
      <modifiedWord/>
      <trackRevisions>false</trackRevisions>
    </reviewItem>
    <reviewItem>
      <errorID>5c32e63d-6e46-4ff6-828f-63c34debb83b</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1002E9EA</paraID>
      <start>6</start>
      <end>12</end>
      <status>modified</status>
      <modifiedWord>“三公”经费</modifiedWord>
      <trackRevisions>false</trackRevisions>
    </reviewItem>
    <reviewItem>
      <errorID>84de55be-542e-417e-872a-3bf5fcaf683c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4028419A</paraID>
      <start>0</start>
      <end>2</end>
      <status>ignored</status>
      <modifiedWord/>
      <trackRevisions>false</trackRevisions>
    </reviewItem>
    <reviewItem>
      <errorID>918687c7-2c21-49c3-8677-4377d1bdf876</errorID>
      <errorWord>其它</errorWord>
      <group>L1_Word</group>
      <groupName>字词问题</groupName>
      <ability>L2_Alias</ability>
      <abilityName>也作/曾用词</abilityName>
      <candidateList>
        <item>其他</item>
      </candidateList>
      <explain>词汇[其它]为不规范表述或旧称，其规范书面表述为[其他]。</explain>
      <paraID>310A521A</paraID>
      <start>20</start>
      <end>22</end>
      <status>modified</status>
      <modifiedWord>其他</modifiedWord>
      <trackRevisions>false</trackRevisions>
    </reviewItem>
    <reviewItem>
      <errorID>03b73e69-9ab1-4464-8988-d335e4aa1a86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30845713</paraID>
      <start>0</start>
      <end>2</end>
      <status>ignored</status>
      <modifiedWord/>
      <trackRevisions>false</trackRevisions>
    </reviewItem>
    <reviewItem>
      <errorID>e8e51682-c18d-43d3-aeb1-984fd630e128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410EBA4B</paraID>
      <start>0</start>
      <end>2</end>
      <status>ignored</status>
      <modifiedWord/>
      <trackRevisions>false</trackRevisions>
    </reviewItem>
    <reviewItem>
      <errorID>b2b198ff-3ec4-4039-aec6-42cb2680ed4b</errorID>
      <errorWord>学</errorWord>
      <group>L1_Word</group>
      <groupName>字词问题</groupName>
      <ability>L2_Typo</ability>
      <abilityName>字词错误</abilityName>
      <candidateList>
        <item>学校</item>
      </candidateList>
      <explain/>
      <paraID>4567F4A1</paraID>
      <start>2</start>
      <end>4</end>
      <status>modified</status>
      <modifiedWord>学校</modifiedWord>
      <trackRevisions>false</trackRevisions>
    </reviewItem>
    <reviewItem>
      <errorID>cfef66c4-e618-47df-bf2c-765e2f767c7f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1A9DB0BD</paraID>
      <start>0</start>
      <end>8</end>
      <status>ignored</status>
      <modifiedWord/>
      <trackRevisions>false</trackRevisions>
    </reviewItem>
    <reviewItem>
      <errorID>11fde446-7e04-45e5-a30f-f82ab83f171f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21516159</paraID>
      <start>0</start>
      <end>2</end>
      <status>ignored</status>
      <modifiedWord/>
      <trackRevisions>false</trackRevisions>
    </reviewItem>
    <reviewItem>
      <errorID>599afe5c-89e5-46ff-b45b-d1683138dc3c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55FD6541</paraID>
      <start>0</start>
      <end>2</end>
      <status>ignored</status>
      <modifiedWord/>
      <trackRevisions>false</trackRevisions>
    </reviewItem>
    <reviewItem>
      <errorID>3c5595f0-0b42-492c-aae6-de1e488350e7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783F12A5</paraID>
      <start>0</start>
      <end>2</end>
      <status>ignored</status>
      <modifiedWord/>
      <trackRevisions>false</trackRevisions>
    </reviewItem>
    <reviewItem>
      <errorID>379dec8b-24bd-4252-86b4-5c125d1a050f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129E35D4</paraID>
      <start>0</start>
      <end>2</end>
      <status>ignored</status>
      <modifiedWord/>
      <trackRevisions>false</trackRevisions>
    </reviewItem>
    <reviewItem>
      <errorID>2a2ffde3-2f0a-4522-b94f-27c388eee8c9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DA3AEFF</paraID>
      <start>0</start>
      <end>2</end>
      <status>ignored</status>
      <modifiedWord/>
      <trackRevisions>false</trackRevisions>
    </reviewItem>
    <reviewItem>
      <errorID>d9a02aef-9760-4016-ab22-3acda575e6ca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DA3AEFF</paraID>
      <start>24</start>
      <end>32</end>
      <status>ignored</status>
      <modifiedWord/>
      <trackRevisions>false</trackRevisions>
    </reviewItem>
    <reviewItem>
      <errorID>68ac78b4-019d-49d4-a122-236202b6a1f2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5F56C0EA</paraID>
      <start>0</start>
      <end>2</end>
      <status>ignored</status>
      <modifiedWord/>
      <trackRevisions>false</trackRevisions>
    </reviewItem>
    <reviewItem>
      <errorID>4c0c043f-c304-40b6-8f1b-eefeecfbee7b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6D4FFEE2</paraID>
      <start>0</start>
      <end>2</end>
      <status>ignored</status>
      <modifiedWord/>
      <trackRevisions>false</trackRevisions>
    </reviewItem>
    <reviewItem>
      <errorID>348b3f91-2c1b-485b-96f8-b0b5114b4916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677ED6D2</paraID>
      <start>0</start>
      <end>2</end>
      <status>ignored</status>
      <modifiedWord/>
      <trackRevisions>false</trackRevisions>
    </reviewItem>
    <reviewItem>
      <errorID>f7d8556a-7d0a-4e2d-a8bf-84215bd2adea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5B49EFE7</paraID>
      <start>0</start>
      <end>2</end>
      <status>ignored</status>
      <modifiedWord/>
      <trackRevisions>false</trackRevisions>
    </reviewItem>
    <reviewItem>
      <errorID>ada5f1da-3502-482c-afe9-d4ad81e1e31f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420FB45A</paraID>
      <start>0</start>
      <end>2</end>
      <status>ignored</status>
      <modifiedWord/>
      <trackRevisions>false</trackRevisions>
    </reviewItem>
    <reviewItem>
      <errorID>3d6f5f42-f92e-4a8c-b1e5-07bf80c714c3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5B242AD5</paraID>
      <start>0</start>
      <end>2</end>
      <status>ignored</status>
      <modifiedWord/>
      <trackRevisions>false</trackRevisions>
    </reviewItem>
    <reviewItem>
      <errorID>75d3d2a2-fd81-49ee-8ab8-3f3847086932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53F776C9</paraID>
      <start>0</start>
      <end>2</end>
      <status>ignored</status>
      <modifiedWord/>
      <trackRevisions>false</trackRevisions>
    </reviewItem>
    <reviewItem>
      <errorID>c1c778ae-b937-4c7c-942d-254baa135c8a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EFF6ADB</paraID>
      <start>0</start>
      <end>2</end>
      <status>ignored</status>
      <modifiedWord/>
      <trackRevisions>false</trackRevisions>
    </reviewItem>
    <reviewItem>
      <errorID>9c3db5fe-5b44-4541-8055-c930d5c9ec10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69EB60C5</paraID>
      <start>2</start>
      <end>10</end>
      <status>ignored</status>
      <modifiedWord/>
      <trackRevisions>false</trackRevisions>
    </reviewItem>
    <reviewItem>
      <errorID>ecb09c08-31c9-4098-856e-0c22856c270f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403AC690</paraID>
      <start>2</start>
      <end>10</end>
      <status>ignored</status>
      <modifiedWord/>
      <trackRevisions>false</trackRevisions>
    </reviewItem>
    <reviewItem>
      <errorID>eeea9143-a443-4c73-94b0-be5601f5041b</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2A40E47F</paraID>
      <start>2</start>
      <end>10</end>
      <status>ignored</status>
      <modifiedWord/>
      <trackRevisions>false</trackRevisions>
    </reviewItem>
    <reviewItem>
      <errorID>0cd14f0c-29e8-40ec-bbb0-f07c25e81de3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25860EDE</paraID>
      <start>13</start>
      <end>15</end>
      <status>modified</status>
      <modifiedWord>》《</modifiedWord>
      <trackRevisions>false</trackRevisions>
    </reviewItem>
    <reviewItem>
      <errorID>510562e2-50cf-4d5c-84f8-21b40a6fc4ca</errorID>
      <errorWord>．</errorWord>
      <group>L1_Format</group>
      <groupName>格式问题</groupName>
      <ability>L2_HalfPunc</ability>
      <abilityName>全半角检查</abilityName>
      <candidateList>
        <item>。</item>
      </candidateList>
      <explain>文本全半角错误。</explain>
      <paraID> C170361</paraID>
      <start>15</start>
      <end>16</end>
      <status>modified</status>
      <modifiedWord>。</modifiedWord>
      <trackRevisions>false</trackRevisions>
    </reviewItem>
    <reviewItem>
      <errorID>336d4bc2-bb9e-4fef-a2f6-546f462573a4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1719B7AC</paraID>
      <start>0</start>
      <end>2</end>
      <status>ignored</status>
      <modifiedWord/>
      <trackRevisions>false</trackRevisions>
    </reviewItem>
    <reviewItem>
      <errorID>f40e1627-508f-488f-bcdb-4db22b01a60b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35AFF8D9</paraID>
      <start>0</start>
      <end>2</end>
      <status>ignored</status>
      <modifiedWord/>
      <trackRevisions>false</trackRevisions>
    </reviewItem>
    <reviewItem>
      <errorID>346ba7f5-af11-4e68-8516-b0299ba01c5a</errorID>
      <errorWord>年</errorWord>
      <group>L1_Word</group>
      <groupName>字词问题</groupName>
      <ability>L2_Typo</ability>
      <abilityName>字词错误</abilityName>
      <candidateList>
        <item>年度</item>
      </candidateList>
      <explain/>
      <paraID> 27B36E1</paraID>
      <start>48</start>
      <end>50</end>
      <status>modified</status>
      <modifiedWord>年度</modifiedWord>
      <trackRevisions>false</trackRevisions>
    </reviewItem>
    <reviewItem>
      <errorID>bcd9bafd-cd10-4a2b-810e-83e6c582dcc7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2FDD6396</paraID>
      <start>0</start>
      <end>2</end>
      <status>ignored</status>
      <modifiedWord/>
      <trackRevisions>false</trackRevisions>
    </reviewItem>
    <reviewItem>
      <errorID>8024b2db-e365-4d37-acdb-18e26a1e80fd</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3749024E</paraID>
      <start>6</start>
      <end>12</end>
      <status>modified</status>
      <modifiedWord>“三公”经费</modifiedWord>
      <trackRevisions>false</trackRevisions>
    </reviewItem>
    <reviewItem>
      <errorID>5727b7a3-5501-444c-9e13-fe83caff7274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717B2ACD</paraID>
      <start>0</start>
      <end>2</end>
      <status>ignored</status>
      <modifiedWord/>
      <trackRevisions>false</trackRevisions>
    </reviewItem>
    <reviewItem>
      <errorID>c8240975-52ac-4f99-9652-2d025a41ce63</errorID>
      <errorWord>好</errorWord>
      <group>L1_Word</group>
      <groupName>字词问题</groupName>
      <ability>L2_Typo</ability>
      <abilityName>字词错误</abilityName>
      <candidateList>
        <item>好地</item>
      </candidateList>
      <explain/>
      <paraID>2D104167</paraID>
      <start>3</start>
      <end>5</end>
      <status>modified</status>
      <modifiedWord>好地</modifiedWord>
      <trackRevisions>false</trackRevisions>
    </reviewItem>
    <reviewItem>
      <errorID>a7e6e2cd-6889-45c2-937b-10a598d97f39</errorID>
      <errorWord>力</errorWord>
      <group>L1_Word</group>
      <groupName>字词问题</groupName>
      <ability>L2_Typo</ability>
      <abilityName>字词错误</abilityName>
      <candidateList>
        <item>力提</item>
      </candidateList>
      <explain/>
      <paraID>30940B67</paraID>
      <start>5</start>
      <end>7</end>
      <status>modified</status>
      <modifiedWord>力提</modifiedWord>
      <trackRevisions>false</trackRevisions>
    </reviewItem>
    <reviewItem>
      <errorID>8ce1e0b2-cd60-41fd-a68c-4b2f2aa906d8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2DB886C9</paraID>
      <start>0</start>
      <end>2</end>
      <status>ignored</status>
      <modifiedWord/>
      <trackRevisions>false</trackRevisions>
    </reviewItem>
    <reviewItem>
      <errorID>4cacd5a7-431a-4088-8efe-4a72a8a57276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1D4F0696</paraID>
      <start>0</start>
      <end>2</end>
      <status>ignored</status>
      <modifiedWord/>
      <trackRevisions>false</trackRevisions>
    </reviewItem>
    <reviewItem>
      <errorID>723ed578-698b-45bf-bf89-46c786da652b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D8840D1</paraID>
      <start>0</start>
      <end>2</end>
      <status>ignored</status>
      <modifiedWord/>
      <trackRevisions>false</trackRevisions>
    </reviewItem>
    <reviewItem>
      <errorID>1bad2964-642e-4267-9d3c-0bbea6b46a38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7D0D63FD</paraID>
      <start>0</start>
      <end>2</end>
      <status>ignored</status>
      <modifiedWord/>
      <trackRevisions>false</trackRevisions>
    </reviewItem>
    <reviewItem>
      <errorID>d6d5b244-3d7d-42a6-bfc3-bef31276e511</errorID>
      <errorWord>好</errorWord>
      <group>L1_Word</group>
      <groupName>字词问题</groupName>
      <ability>L2_Typo</ability>
      <abilityName>字词错误</abilityName>
      <candidateList>
        <item>好地</item>
      </candidateList>
      <explain/>
      <paraID>282AEDC0</paraID>
      <start>4</start>
      <end>6</end>
      <status>modified</status>
      <modifiedWord>好地</modifiedWord>
      <trackRevisions>false</trackRevisions>
    </reviewItem>
    <reviewItem>
      <errorID>260edf9d-af82-4ca4-a708-9c7b66727d0d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7621B01D</paraID>
      <start>0</start>
      <end>2</end>
      <status>ignored</status>
      <modifiedWord/>
      <trackRevisions>false</trackRevisions>
    </reviewItem>
    <reviewItem>
      <errorID>d33a218e-9f39-4052-a003-e2f720f76a23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2360FEB7</paraID>
      <start>0</start>
      <end>8</end>
      <status>ignored</status>
      <modifiedWord/>
      <trackRevisions>false</trackRevisions>
    </reviewItem>
    <reviewItem>
      <errorID>a9e4b86c-08a7-4998-bc4b-6bf21ae393a0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5BEEF984</paraID>
      <start>0</start>
      <end>2</end>
      <status>ignored</status>
      <modifiedWord/>
      <trackRevisions>false</trackRevisions>
    </reviewItem>
    <reviewItem>
      <errorID>afdd3706-8e9a-421a-b5e3-b653c328306d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71ADB5A4</paraID>
      <start>0</start>
      <end>2</end>
      <status>ignored</status>
      <modifiedWord/>
      <trackRevisions>false</trackRevisions>
    </reviewItem>
    <reviewItem>
      <errorID>63d7f384-bbac-45d6-9031-2a7555f66d46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20BB6B97</paraID>
      <start>0</start>
      <end>2</end>
      <status>ignored</status>
      <modifiedWord/>
      <trackRevisions>false</trackRevisions>
    </reviewItem>
    <reviewItem>
      <errorID>2065c440-1fb5-4094-b8e5-350ffff90e35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558D323C</paraID>
      <start>0</start>
      <end>2</end>
      <status>ignored</status>
      <modifiedWord/>
      <trackRevisions>false</trackRevisions>
    </reviewItem>
    <reviewItem>
      <errorID>05c63de0-6721-4fb2-b3fc-c06ab5380f2e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313DE34</paraID>
      <start>0</start>
      <end>2</end>
      <status>ignored</status>
      <modifiedWord/>
      <trackRevisions>false</trackRevisions>
    </reviewItem>
    <reviewItem>
      <errorID>7c3345e2-425d-4e8f-9066-254ac1d6b530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313DE34</paraID>
      <start>24</start>
      <end>32</end>
      <status>ignored</status>
      <modifiedWord/>
      <trackRevisions>false</trackRevisions>
    </reviewItem>
    <reviewItem>
      <errorID>df1ac799-1fad-4b68-8a2f-45900c778952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A669411</paraID>
      <start>0</start>
      <end>2</end>
      <status>ignored</status>
      <modifiedWord/>
      <trackRevisions>false</trackRevisions>
    </reviewItem>
    <reviewItem>
      <errorID>6b4f724c-38dc-476e-b16e-a4d31822c3d7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7E03A2EA</paraID>
      <start>0</start>
      <end>2</end>
      <status>ignored</status>
      <modifiedWord/>
      <trackRevisions>false</trackRevisions>
    </reviewItem>
    <reviewItem>
      <errorID>402a0f16-558b-4fd3-88a1-b4e155ce687d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66AC71D2</paraID>
      <start>0</start>
      <end>2</end>
      <status>ignored</status>
      <modifiedWord/>
      <trackRevisions>false</trackRevisions>
    </reviewItem>
    <reviewItem>
      <errorID>c93b7e08-b9e5-4476-bf08-cb754b3b0f79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530FD83</paraID>
      <start>0</start>
      <end>2</end>
      <status>ignored</status>
      <modifiedWord/>
      <trackRevisions>false</trackRevisions>
    </reviewItem>
    <reviewItem>
      <errorID>7e17834c-d84f-4985-8f8e-f7644de4798e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1904FEBC</paraID>
      <start>0</start>
      <end>2</end>
      <status>ignored</status>
      <modifiedWord/>
      <trackRevisions>false</trackRevisions>
    </reviewItem>
    <reviewItem>
      <errorID>a46d7214-fdf4-4514-a1f9-400f7305501e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7BF6FE52</paraID>
      <start>0</start>
      <end>2</end>
      <status>ignored</status>
      <modifiedWord/>
      <trackRevisions>false</trackRevisions>
    </reviewItem>
    <reviewItem>
      <errorID>1d5ef069-1634-44ea-bd81-e0ef2e464bd1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E8DE764</paraID>
      <start>0</start>
      <end>2</end>
      <status>ignored</status>
      <modifiedWord/>
      <trackRevisions>false</trackRevisions>
    </reviewItem>
    <reviewItem>
      <errorID>8146e34f-ec7a-412d-a505-d5827bc8cf7d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22757154</paraID>
      <start>0</start>
      <end>2</end>
      <status>ignored</status>
      <modifiedWord/>
      <trackRevisions>false</trackRevisions>
    </reviewItem>
  </reviewItems>
  <config/>
</contractReview>
</file>

<file path=customXml/itemProps1.xml><?xml version="1.0" encoding="utf-8"?>
<ds:datastoreItem xmlns:ds="http://schemas.openxmlformats.org/officeDocument/2006/customXml" ds:itemID="{dad17ecf-bc98-434b-aee0-cd3c6a9abc85}">
  <ds:schemaRefs/>
</ds:datastoreItem>
</file>

<file path=docProps/app.xml><?xml version="1.0" encoding="utf-8"?>
<Properties xmlns="http://schemas.openxmlformats.org/officeDocument/2006/extended-properties" xmlns:vt="http://schemas.openxmlformats.org/officeDocument/2006/docPropsVTypes">
  <Pages>1543</Pages>
  <Words>7150</Words>
  <Characters>9510</Characters>
  <TotalTime>5</TotalTime>
  <ScaleCrop>false</ScaleCrop>
  <LinksUpToDate>false</LinksUpToDate>
  <CharactersWithSpaces>9682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2026-02-10T14:11:00Z</dcterms:created>
  <dc:creator>Acer</dc:creator>
  <cp:lastModifiedBy>齐赞法</cp:lastModifiedBy>
  <dcterms:modified xsi:type="dcterms:W3CDTF">2026-02-11T06:28:39Z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6EC0950295E24B44A7D1CC49EF18D74A_13</vt:lpwstr>
  </property>
  <property fmtid="{D5CDD505-2E9C-101B-9397-08002B2CF9AE}" pid="4" name="KSOTemplateDocerSaveRecord">
    <vt:lpwstr>eyJoZGlkIjoiZTg1NGM5MzY4ZmUyZDFhOTM5ZDIwNDFhOWMxOGI2YmUiLCJ1c2VySWQiOiI2MjQzMDU2NzcifQ==</vt:lpwstr>
  </property>
</Properties>
</file>